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CF09DE" w14:textId="12A181B5" w:rsidR="002B7F01" w:rsidRPr="00747E35" w:rsidRDefault="00E52EF3" w:rsidP="002B7F01">
      <w:pPr>
        <w:pStyle w:val="OWSCoverlogosDRAFT"/>
        <w:rPr>
          <w:rFonts w:asciiTheme="minorHAnsi" w:hAnsiTheme="minorHAnsi" w:cstheme="minorHAnsi"/>
        </w:rPr>
      </w:pPr>
      <w:bookmarkStart w:id="0" w:name="OLE_LINK1"/>
      <w:bookmarkStart w:id="1" w:name="OLE_LINK2"/>
      <w:r w:rsidRPr="00747E35">
        <w:rPr>
          <w:rFonts w:asciiTheme="minorHAnsi" w:hAnsiTheme="minorHAnsi" w:cstheme="minorHAnsi"/>
        </w:rPr>
        <w:drawing>
          <wp:anchor distT="0" distB="0" distL="114300" distR="114300" simplePos="0" relativeHeight="251658241" behindDoc="0" locked="0" layoutInCell="1" allowOverlap="1" wp14:anchorId="29EE8C52" wp14:editId="061B12E4">
            <wp:simplePos x="0" y="0"/>
            <wp:positionH relativeFrom="margin">
              <wp:align>right</wp:align>
            </wp:positionH>
            <wp:positionV relativeFrom="margin">
              <wp:posOffset>218440</wp:posOffset>
            </wp:positionV>
            <wp:extent cx="2468880" cy="1028700"/>
            <wp:effectExtent l="0" t="0" r="7620" b="0"/>
            <wp:wrapSquare wrapText="bothSides"/>
            <wp:docPr id="24" name="Picture 23" descr="Australian Government, Department of the Environment and Energy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ene-stacked-black-transparent-bg.png"/>
                    <pic:cNvPicPr/>
                  </pic:nvPicPr>
                  <pic:blipFill>
                    <a:blip r:embed="rId7" cstate="screen">
                      <a:extLst>
                        <a:ext uri="{BEBA8EAE-BF5A-486C-A8C5-ECC9F3942E4B}">
                          <a14:imgProps xmlns:a14="http://schemas.microsoft.com/office/drawing/2010/main">
                            <a14:imgLayer r:embed="rId8">
                              <a14:imgEffect>
                                <a14:brightnessContrast bright="2000"/>
                              </a14:imgEffect>
                            </a14:imgLayer>
                          </a14:imgProps>
                        </a:ext>
                        <a:ext uri="{28A0092B-C50C-407E-A947-70E740481C1C}">
                          <a14:useLocalDpi xmlns:a14="http://schemas.microsoft.com/office/drawing/2010/main"/>
                        </a:ext>
                      </a:extLst>
                    </a:blip>
                    <a:stretch>
                      <a:fillRect/>
                    </a:stretch>
                  </pic:blipFill>
                  <pic:spPr>
                    <a:xfrm>
                      <a:off x="0" y="0"/>
                      <a:ext cx="2468880" cy="1028700"/>
                    </a:xfrm>
                    <a:prstGeom prst="rect">
                      <a:avLst/>
                    </a:prstGeom>
                  </pic:spPr>
                </pic:pic>
              </a:graphicData>
            </a:graphic>
          </wp:anchor>
        </w:drawing>
      </w:r>
      <w:r w:rsidR="002B7F01" w:rsidRPr="00747E35">
        <w:rPr>
          <w:rFonts w:asciiTheme="minorHAnsi" w:hAnsiTheme="minorHAnsi" w:cstheme="minorHAnsi"/>
        </w:rPr>
        <w:drawing>
          <wp:anchor distT="0" distB="0" distL="114300" distR="114300" simplePos="0" relativeHeight="251658240" behindDoc="0" locked="0" layoutInCell="1" allowOverlap="1" wp14:anchorId="11851D77" wp14:editId="17754A79">
            <wp:simplePos x="0" y="0"/>
            <wp:positionH relativeFrom="column">
              <wp:posOffset>-194945</wp:posOffset>
            </wp:positionH>
            <wp:positionV relativeFrom="paragraph">
              <wp:posOffset>114935</wp:posOffset>
            </wp:positionV>
            <wp:extent cx="2961640" cy="1064895"/>
            <wp:effectExtent l="0" t="0" r="0" b="1905"/>
            <wp:wrapNone/>
            <wp:docPr id="8" name="Picture 16" descr="The Independent Expert Scientific Committee on Coal Seam Gas and Large Coal Mining Development (IESC)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Independent Expert Scientific Committee on Coal Seam Gas and Large Coal Mining Development (IESC) symbol."/>
                    <pic:cNvPicPr>
                      <a:picLocks noChangeAspect="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2961640" cy="1064895"/>
                    </a:xfrm>
                    <a:prstGeom prst="rect">
                      <a:avLst/>
                    </a:prstGeom>
                    <a:noFill/>
                  </pic:spPr>
                </pic:pic>
              </a:graphicData>
            </a:graphic>
            <wp14:sizeRelH relativeFrom="page">
              <wp14:pctWidth>0</wp14:pctWidth>
            </wp14:sizeRelH>
            <wp14:sizeRelV relativeFrom="page">
              <wp14:pctHeight>0</wp14:pctHeight>
            </wp14:sizeRelV>
          </wp:anchor>
        </w:drawing>
      </w:r>
      <w:r w:rsidR="002B7F01" w:rsidRPr="00747E35">
        <w:rPr>
          <w:rFonts w:asciiTheme="minorHAnsi" w:hAnsiTheme="minorHAnsi" w:cstheme="minorHAnsi"/>
        </w:rPr>
        <w:t xml:space="preserve"> </w:t>
      </w:r>
    </w:p>
    <w:bookmarkEnd w:id="0"/>
    <w:bookmarkEnd w:id="1"/>
    <w:p w14:paraId="6E503B0D" w14:textId="77777777" w:rsidR="002B7F01" w:rsidRPr="00747E35" w:rsidRDefault="002B7F01" w:rsidP="002B7F01">
      <w:pPr>
        <w:pStyle w:val="OWSCovertitle"/>
        <w:rPr>
          <w:rFonts w:asciiTheme="minorHAnsi" w:hAnsiTheme="minorHAnsi" w:cstheme="minorHAnsi"/>
        </w:rPr>
      </w:pPr>
    </w:p>
    <w:p w14:paraId="66ABDE9D" w14:textId="77777777" w:rsidR="0096743A" w:rsidRPr="00747E35" w:rsidRDefault="0096743A" w:rsidP="002B7F01">
      <w:pPr>
        <w:pStyle w:val="OWSCovertitle"/>
        <w:rPr>
          <w:rFonts w:asciiTheme="minorHAnsi" w:hAnsiTheme="minorHAnsi" w:cstheme="minorHAnsi"/>
        </w:rPr>
      </w:pPr>
    </w:p>
    <w:p w14:paraId="16F6459B" w14:textId="0184B85F" w:rsidR="002B7F01" w:rsidRPr="00747E35" w:rsidRDefault="003D3694" w:rsidP="003D3694">
      <w:pPr>
        <w:pStyle w:val="OWSCovertitle"/>
        <w:rPr>
          <w:rFonts w:asciiTheme="minorHAnsi" w:hAnsiTheme="minorHAnsi" w:cstheme="minorHAnsi"/>
        </w:rPr>
      </w:pPr>
      <w:r w:rsidRPr="00747E35">
        <w:rPr>
          <w:rFonts w:asciiTheme="minorHAnsi" w:hAnsiTheme="minorHAnsi" w:cstheme="minorHAnsi"/>
        </w:rPr>
        <w:t xml:space="preserve">Research to inform the assessment of ecohydrological responses to coal seam gas extraction and coal mining </w:t>
      </w:r>
    </w:p>
    <w:p w14:paraId="02EE3580" w14:textId="77777777" w:rsidR="0096743A" w:rsidRPr="00747E35" w:rsidRDefault="0096743A" w:rsidP="002B7F01">
      <w:pPr>
        <w:pStyle w:val="OWSCoverstory"/>
        <w:rPr>
          <w:rFonts w:asciiTheme="minorHAnsi" w:hAnsiTheme="minorHAnsi" w:cstheme="minorHAnsi"/>
        </w:rPr>
      </w:pPr>
    </w:p>
    <w:p w14:paraId="0787253A" w14:textId="77777777" w:rsidR="0096743A" w:rsidRPr="00747E35" w:rsidRDefault="0096743A" w:rsidP="002B7F01">
      <w:pPr>
        <w:pStyle w:val="OWSCoverstory"/>
        <w:rPr>
          <w:rFonts w:asciiTheme="minorHAnsi" w:hAnsiTheme="minorHAnsi" w:cstheme="minorHAnsi"/>
        </w:rPr>
      </w:pPr>
    </w:p>
    <w:p w14:paraId="10F9BDE8" w14:textId="2BBDDFF7" w:rsidR="009D6600" w:rsidRPr="00747E35" w:rsidRDefault="002B7F01" w:rsidP="002B7F01">
      <w:pPr>
        <w:pStyle w:val="OWSCoverstory"/>
        <w:rPr>
          <w:rFonts w:asciiTheme="minorHAnsi" w:hAnsiTheme="minorHAnsi" w:cstheme="minorHAnsi"/>
        </w:rPr>
      </w:pPr>
      <w:r w:rsidRPr="00747E35">
        <w:rPr>
          <w:rFonts w:asciiTheme="minorHAnsi" w:hAnsiTheme="minorHAnsi" w:cstheme="minorHAnsi"/>
        </w:rPr>
        <w:t>This report was commissioned by the Department of the Environment and Energy on the advice of the Independent Expert Scientific Committee on Coal Seam Gas and Large Coal Mining Development (IESC).</w:t>
      </w:r>
      <w:r w:rsidR="009D6600" w:rsidRPr="00747E35">
        <w:rPr>
          <w:rFonts w:asciiTheme="minorHAnsi" w:hAnsiTheme="minorHAnsi" w:cstheme="minorHAnsi"/>
        </w:rPr>
        <w:t xml:space="preserve"> It was prepared by researchers from </w:t>
      </w:r>
      <w:r w:rsidR="0037062B" w:rsidRPr="00747E35">
        <w:rPr>
          <w:rFonts w:asciiTheme="minorHAnsi" w:hAnsiTheme="minorHAnsi" w:cstheme="minorHAnsi"/>
        </w:rPr>
        <w:t xml:space="preserve">the </w:t>
      </w:r>
      <w:r w:rsidR="009D6600" w:rsidRPr="00747E35">
        <w:rPr>
          <w:rFonts w:asciiTheme="minorHAnsi" w:hAnsiTheme="minorHAnsi" w:cstheme="minorHAnsi"/>
        </w:rPr>
        <w:t>Australian Rivers Institute, Griffith University</w:t>
      </w:r>
      <w:r w:rsidR="0037062B" w:rsidRPr="00747E35">
        <w:rPr>
          <w:rFonts w:asciiTheme="minorHAnsi" w:hAnsiTheme="minorHAnsi" w:cstheme="minorHAnsi"/>
        </w:rPr>
        <w:t>,</w:t>
      </w:r>
      <w:r w:rsidR="009D6600" w:rsidRPr="00747E35">
        <w:rPr>
          <w:rFonts w:asciiTheme="minorHAnsi" w:hAnsiTheme="minorHAnsi" w:cstheme="minorHAnsi"/>
        </w:rPr>
        <w:t xml:space="preserve"> </w:t>
      </w:r>
      <w:r w:rsidR="0037062B" w:rsidRPr="00747E35">
        <w:rPr>
          <w:rFonts w:asciiTheme="minorHAnsi" w:hAnsiTheme="minorHAnsi" w:cstheme="minorHAnsi"/>
        </w:rPr>
        <w:t xml:space="preserve">the </w:t>
      </w:r>
      <w:r w:rsidR="009D6600" w:rsidRPr="00747E35">
        <w:rPr>
          <w:rFonts w:asciiTheme="minorHAnsi" w:hAnsiTheme="minorHAnsi" w:cstheme="minorHAnsi"/>
        </w:rPr>
        <w:t>Connected Waters Initiative Research Centre, University of New South Wales</w:t>
      </w:r>
      <w:r w:rsidR="0037062B" w:rsidRPr="00747E35">
        <w:rPr>
          <w:rFonts w:asciiTheme="minorHAnsi" w:hAnsiTheme="minorHAnsi" w:cstheme="minorHAnsi"/>
        </w:rPr>
        <w:t xml:space="preserve">, the </w:t>
      </w:r>
      <w:r w:rsidR="009D6600" w:rsidRPr="00747E35">
        <w:rPr>
          <w:rFonts w:asciiTheme="minorHAnsi" w:hAnsiTheme="minorHAnsi" w:cstheme="minorHAnsi"/>
        </w:rPr>
        <w:t>Murray-Darling Freshwater Research Centre, La Trobe University</w:t>
      </w:r>
      <w:r w:rsidR="0037062B" w:rsidRPr="00747E35">
        <w:rPr>
          <w:rFonts w:asciiTheme="minorHAnsi" w:hAnsiTheme="minorHAnsi" w:cstheme="minorHAnsi"/>
        </w:rPr>
        <w:t xml:space="preserve">, </w:t>
      </w:r>
      <w:r w:rsidR="009D6600" w:rsidRPr="00747E35">
        <w:rPr>
          <w:rFonts w:asciiTheme="minorHAnsi" w:hAnsiTheme="minorHAnsi" w:cstheme="minorHAnsi"/>
        </w:rPr>
        <w:t>Subterranean Ecology Pty Ltd</w:t>
      </w:r>
      <w:r w:rsidR="0037062B" w:rsidRPr="00747E35">
        <w:rPr>
          <w:rFonts w:asciiTheme="minorHAnsi" w:hAnsiTheme="minorHAnsi" w:cstheme="minorHAnsi"/>
        </w:rPr>
        <w:t>, T</w:t>
      </w:r>
      <w:r w:rsidR="009D6600" w:rsidRPr="00747E35">
        <w:rPr>
          <w:rFonts w:asciiTheme="minorHAnsi" w:hAnsiTheme="minorHAnsi" w:cstheme="minorHAnsi"/>
        </w:rPr>
        <w:t>he University of Queensland</w:t>
      </w:r>
      <w:r w:rsidR="0037062B" w:rsidRPr="00747E35">
        <w:rPr>
          <w:rFonts w:asciiTheme="minorHAnsi" w:hAnsiTheme="minorHAnsi" w:cstheme="minorHAnsi"/>
        </w:rPr>
        <w:t xml:space="preserve">, the </w:t>
      </w:r>
      <w:r w:rsidR="009D6600" w:rsidRPr="00747E35">
        <w:rPr>
          <w:rFonts w:asciiTheme="minorHAnsi" w:hAnsiTheme="minorHAnsi" w:cstheme="minorHAnsi"/>
        </w:rPr>
        <w:t>Centre for Ecosystem Management, Edith Cowan University</w:t>
      </w:r>
      <w:r w:rsidR="0037062B" w:rsidRPr="00747E35">
        <w:rPr>
          <w:rFonts w:asciiTheme="minorHAnsi" w:hAnsiTheme="minorHAnsi" w:cstheme="minorHAnsi"/>
        </w:rPr>
        <w:t xml:space="preserve"> and </w:t>
      </w:r>
      <w:r w:rsidR="009D6600" w:rsidRPr="00747E35">
        <w:rPr>
          <w:rFonts w:asciiTheme="minorHAnsi" w:hAnsiTheme="minorHAnsi" w:cstheme="minorHAnsi"/>
        </w:rPr>
        <w:t>Yorb Pty Ltd</w:t>
      </w:r>
      <w:r w:rsidR="0037062B" w:rsidRPr="00747E35">
        <w:rPr>
          <w:rFonts w:asciiTheme="minorHAnsi" w:hAnsiTheme="minorHAnsi" w:cstheme="minorHAnsi"/>
        </w:rPr>
        <w:t>.</w:t>
      </w:r>
    </w:p>
    <w:p w14:paraId="14E7F6A1" w14:textId="535E0F23" w:rsidR="00BA5C65" w:rsidRDefault="002B7F01" w:rsidP="00BA5C65">
      <w:pPr>
        <w:pStyle w:val="OWSCoverdate"/>
        <w:rPr>
          <w:rFonts w:asciiTheme="minorHAnsi" w:hAnsiTheme="minorHAnsi" w:cstheme="minorHAnsi"/>
        </w:rPr>
        <w:sectPr w:rsidR="00BA5C65" w:rsidSect="00BA5C65">
          <w:headerReference w:type="even" r:id="rId10"/>
          <w:headerReference w:type="default" r:id="rId11"/>
          <w:footerReference w:type="even" r:id="rId12"/>
          <w:footerReference w:type="default" r:id="rId13"/>
          <w:headerReference w:type="first" r:id="rId14"/>
          <w:footerReference w:type="first" r:id="rId15"/>
          <w:pgSz w:w="11906" w:h="16838"/>
          <w:pgMar w:top="1134" w:right="1134" w:bottom="1134" w:left="1134" w:header="709" w:footer="709" w:gutter="0"/>
          <w:cols w:space="708"/>
          <w:titlePg/>
          <w:docGrid w:linePitch="360"/>
        </w:sectPr>
      </w:pPr>
      <w:r w:rsidRPr="00747E35">
        <w:rPr>
          <w:rFonts w:asciiTheme="minorHAnsi" w:hAnsiTheme="minorHAnsi" w:cstheme="minorHAnsi"/>
        </w:rPr>
        <w:t>December 201</w:t>
      </w:r>
      <w:bookmarkStart w:id="2" w:name="_Toc371671722"/>
      <w:r w:rsidRPr="00747E35">
        <w:rPr>
          <w:rFonts w:asciiTheme="minorHAnsi" w:hAnsiTheme="minorHAnsi" w:cstheme="minorHAnsi"/>
        </w:rPr>
        <w:t>6</w:t>
      </w:r>
    </w:p>
    <w:p w14:paraId="26CEF669" w14:textId="77777777" w:rsidR="002B7F01" w:rsidRPr="00747E35" w:rsidRDefault="002B7F01" w:rsidP="0037062B">
      <w:pPr>
        <w:pStyle w:val="OWSSummaryH2"/>
        <w:spacing w:before="60" w:after="60"/>
        <w:rPr>
          <w:rFonts w:asciiTheme="minorHAnsi" w:hAnsiTheme="minorHAnsi" w:cstheme="minorHAnsi"/>
        </w:rPr>
      </w:pPr>
      <w:r w:rsidRPr="00747E35">
        <w:rPr>
          <w:rFonts w:asciiTheme="minorHAnsi" w:hAnsiTheme="minorHAnsi" w:cstheme="minorHAnsi"/>
        </w:rPr>
        <w:lastRenderedPageBreak/>
        <w:t>Copyright</w:t>
      </w:r>
    </w:p>
    <w:p w14:paraId="6CCFF24C" w14:textId="77777777" w:rsidR="002B7F01" w:rsidRPr="00747E35" w:rsidRDefault="002B7F01" w:rsidP="0037062B">
      <w:pPr>
        <w:pStyle w:val="OWSversopagenormaltext"/>
        <w:spacing w:before="60" w:after="60"/>
        <w:rPr>
          <w:rFonts w:asciiTheme="minorHAnsi" w:hAnsiTheme="minorHAnsi" w:cstheme="minorHAnsi"/>
        </w:rPr>
      </w:pPr>
      <w:bookmarkStart w:id="3" w:name="_Toc384302920"/>
      <w:bookmarkEnd w:id="2"/>
      <w:r w:rsidRPr="00747E35">
        <w:rPr>
          <w:rFonts w:asciiTheme="minorHAnsi" w:hAnsiTheme="minorHAnsi" w:cstheme="minorHAnsi"/>
        </w:rPr>
        <w:t>© Copyright Commonwealth of Australia, 2016.</w:t>
      </w:r>
    </w:p>
    <w:p w14:paraId="008F2F22" w14:textId="77777777" w:rsidR="002B7F01" w:rsidRPr="00747E35" w:rsidRDefault="002B7F01" w:rsidP="0037062B">
      <w:pPr>
        <w:pStyle w:val="OWSversopagenormaltext"/>
        <w:spacing w:before="60" w:after="60"/>
        <w:rPr>
          <w:rFonts w:asciiTheme="minorHAnsi" w:hAnsiTheme="minorHAnsi" w:cstheme="minorHAnsi"/>
          <w:i/>
        </w:rPr>
      </w:pPr>
      <w:r w:rsidRPr="00747E35">
        <w:rPr>
          <w:rFonts w:asciiTheme="minorHAnsi" w:hAnsiTheme="minorHAnsi" w:cstheme="minorHAnsi"/>
          <w:noProof/>
          <w:lang w:val="en-AU" w:eastAsia="en-AU"/>
        </w:rPr>
        <w:drawing>
          <wp:inline distT="0" distB="0" distL="0" distR="0" wp14:anchorId="2BD5D886" wp14:editId="45E05E20">
            <wp:extent cx="1000125" cy="361950"/>
            <wp:effectExtent l="0" t="0" r="0" b="0"/>
            <wp:docPr id="4"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1000125" cy="361950"/>
                    </a:xfrm>
                    <a:prstGeom prst="rect">
                      <a:avLst/>
                    </a:prstGeom>
                    <a:noFill/>
                    <a:ln>
                      <a:noFill/>
                    </a:ln>
                  </pic:spPr>
                </pic:pic>
              </a:graphicData>
            </a:graphic>
          </wp:inline>
        </w:drawing>
      </w:r>
    </w:p>
    <w:bookmarkEnd w:id="3"/>
    <w:p w14:paraId="2592220E" w14:textId="780F3AD0" w:rsidR="00CA26A1" w:rsidRPr="00BB7523" w:rsidRDefault="00CA26A1" w:rsidP="0037062B">
      <w:pPr>
        <w:pStyle w:val="OWSversopagenormaltext"/>
        <w:spacing w:before="60" w:after="60"/>
        <w:rPr>
          <w:rFonts w:asciiTheme="minorHAnsi" w:hAnsiTheme="minorHAnsi" w:cstheme="minorHAnsi"/>
        </w:rPr>
      </w:pPr>
      <w:r w:rsidRPr="00BB7523">
        <w:rPr>
          <w:rFonts w:asciiTheme="minorHAnsi" w:hAnsiTheme="minorHAnsi" w:cstheme="minorHAnsi"/>
          <w:i/>
        </w:rPr>
        <w:t>Research to inform the assessment of ecohydrological responses to coal seam gas extraction and coal mining</w:t>
      </w:r>
      <w:r w:rsidRPr="00BB7523">
        <w:t xml:space="preserve"> </w:t>
      </w:r>
      <w:r w:rsidRPr="00BB7523">
        <w:rPr>
          <w:rFonts w:asciiTheme="minorHAnsi" w:hAnsiTheme="minorHAnsi" w:cstheme="minorHAnsi"/>
        </w:rPr>
        <w:t>is licensed by the Commonwealth of Australia for use under a Creative Commons Attribution 4.0 International licence with the exception of the Coat of Arms of the Commonwealth of A</w:t>
      </w:r>
      <w:r w:rsidR="00E565ED" w:rsidRPr="00BB7523">
        <w:rPr>
          <w:rFonts w:asciiTheme="minorHAnsi" w:hAnsiTheme="minorHAnsi" w:cstheme="minorHAnsi"/>
        </w:rPr>
        <w:t>ustralia, the logos of the agencies</w:t>
      </w:r>
      <w:r w:rsidRPr="00BB7523">
        <w:rPr>
          <w:rFonts w:asciiTheme="minorHAnsi" w:hAnsiTheme="minorHAnsi" w:cstheme="minorHAnsi"/>
        </w:rPr>
        <w:t xml:space="preserve"> responsible for publishing the report, content supplied by third parties, and any images depicting people. For licence conditions see: </w:t>
      </w:r>
      <w:hyperlink r:id="rId17" w:history="1">
        <w:r w:rsidRPr="00BB7523">
          <w:rPr>
            <w:rStyle w:val="Hyperlink"/>
            <w:rFonts w:asciiTheme="minorHAnsi" w:hAnsiTheme="minorHAnsi" w:cstheme="minorHAnsi"/>
            <w:color w:val="auto"/>
          </w:rPr>
          <w:t>https://creativecommons.org/licenses/by/4.0/</w:t>
        </w:r>
      </w:hyperlink>
      <w:r w:rsidRPr="00BB7523">
        <w:rPr>
          <w:rFonts w:asciiTheme="minorHAnsi" w:hAnsiTheme="minorHAnsi" w:cstheme="minorHAnsi"/>
          <w:color w:val="auto"/>
        </w:rPr>
        <w:t xml:space="preserve"> </w:t>
      </w:r>
    </w:p>
    <w:p w14:paraId="5AE43432" w14:textId="77777777" w:rsidR="0037062B" w:rsidRPr="00747E35" w:rsidRDefault="002B7F01" w:rsidP="0037062B">
      <w:pPr>
        <w:pStyle w:val="OWSversopagenormaltext"/>
        <w:spacing w:before="60" w:after="60"/>
        <w:rPr>
          <w:rFonts w:asciiTheme="minorHAnsi" w:hAnsiTheme="minorHAnsi" w:cstheme="minorHAnsi"/>
        </w:rPr>
      </w:pPr>
      <w:r w:rsidRPr="00747E35">
        <w:rPr>
          <w:rFonts w:asciiTheme="minorHAnsi" w:hAnsiTheme="minorHAnsi" w:cstheme="minorHAnsi"/>
        </w:rPr>
        <w:t>This report should be attributed as</w:t>
      </w:r>
      <w:r w:rsidR="0037062B" w:rsidRPr="00747E35">
        <w:rPr>
          <w:rFonts w:asciiTheme="minorHAnsi" w:hAnsiTheme="minorHAnsi" w:cstheme="minorHAnsi"/>
        </w:rPr>
        <w:t>:</w:t>
      </w:r>
    </w:p>
    <w:p w14:paraId="4B5A42E5" w14:textId="27645D0B" w:rsidR="002B7F01" w:rsidRPr="00747E35" w:rsidRDefault="0096743A" w:rsidP="0037062B">
      <w:pPr>
        <w:pStyle w:val="OWSversopagenormaltext"/>
        <w:spacing w:before="60" w:after="60"/>
        <w:rPr>
          <w:rFonts w:asciiTheme="minorHAnsi" w:hAnsiTheme="minorHAnsi" w:cstheme="minorHAnsi"/>
        </w:rPr>
      </w:pPr>
      <w:r w:rsidRPr="00747E35">
        <w:rPr>
          <w:rFonts w:asciiTheme="minorHAnsi" w:hAnsiTheme="minorHAnsi" w:cstheme="minorHAnsi"/>
          <w:bCs/>
          <w:lang w:val="en-AU"/>
        </w:rPr>
        <w:t xml:space="preserve">Andersen M, </w:t>
      </w:r>
      <w:r w:rsidR="00650DEE" w:rsidRPr="00650DEE">
        <w:rPr>
          <w:rFonts w:asciiTheme="minorHAnsi" w:hAnsiTheme="minorHAnsi" w:cstheme="minorHAnsi"/>
          <w:bCs/>
          <w:lang w:val="en-AU"/>
        </w:rPr>
        <w:t>Barron</w:t>
      </w:r>
      <w:r w:rsidR="00650DEE">
        <w:rPr>
          <w:rFonts w:asciiTheme="minorHAnsi" w:hAnsiTheme="minorHAnsi" w:cstheme="minorHAnsi"/>
          <w:bCs/>
          <w:lang w:val="en-AU"/>
        </w:rPr>
        <w:t xml:space="preserve"> O,</w:t>
      </w:r>
      <w:r w:rsidR="00650DEE" w:rsidRPr="00650DEE">
        <w:rPr>
          <w:rFonts w:asciiTheme="minorHAnsi" w:hAnsiTheme="minorHAnsi" w:cstheme="minorHAnsi"/>
          <w:bCs/>
          <w:lang w:val="en-AU"/>
        </w:rPr>
        <w:t xml:space="preserve"> </w:t>
      </w:r>
      <w:r w:rsidRPr="00747E35">
        <w:rPr>
          <w:rFonts w:asciiTheme="minorHAnsi" w:hAnsiTheme="minorHAnsi" w:cstheme="minorHAnsi"/>
          <w:bCs/>
          <w:lang w:val="en-AU"/>
        </w:rPr>
        <w:t xml:space="preserve">Bond N, Burrows R, Eberhard S, </w:t>
      </w:r>
      <w:r w:rsidR="00650DEE" w:rsidRPr="00650DEE">
        <w:rPr>
          <w:rFonts w:asciiTheme="minorHAnsi" w:hAnsiTheme="minorHAnsi" w:cstheme="minorHAnsi"/>
          <w:bCs/>
          <w:lang w:val="en-AU"/>
        </w:rPr>
        <w:t>Emelyanova</w:t>
      </w:r>
      <w:r w:rsidR="00650DEE">
        <w:rPr>
          <w:rFonts w:asciiTheme="minorHAnsi" w:hAnsiTheme="minorHAnsi" w:cstheme="minorHAnsi"/>
          <w:bCs/>
          <w:lang w:val="en-AU"/>
        </w:rPr>
        <w:t xml:space="preserve"> I, </w:t>
      </w:r>
      <w:r w:rsidRPr="00747E35">
        <w:rPr>
          <w:rFonts w:asciiTheme="minorHAnsi" w:hAnsiTheme="minorHAnsi" w:cstheme="minorHAnsi"/>
          <w:bCs/>
          <w:lang w:val="en-AU"/>
        </w:rPr>
        <w:t>Fensham R, Froend R, Kennard M, Marsh N, Pettit N, Rossini R, Rutlidge R, Valdez D &amp; Ward D,</w:t>
      </w:r>
      <w:r w:rsidR="00CA26A1">
        <w:rPr>
          <w:rFonts w:asciiTheme="minorHAnsi" w:hAnsiTheme="minorHAnsi" w:cstheme="minorHAnsi"/>
        </w:rPr>
        <w:t xml:space="preserve"> (2016)</w:t>
      </w:r>
      <w:r w:rsidR="002B7F01" w:rsidRPr="00747E35">
        <w:rPr>
          <w:rFonts w:asciiTheme="minorHAnsi" w:hAnsiTheme="minorHAnsi" w:cstheme="minorHAnsi"/>
        </w:rPr>
        <w:t xml:space="preserve"> </w:t>
      </w:r>
      <w:r w:rsidRPr="00747E35">
        <w:rPr>
          <w:rFonts w:asciiTheme="minorHAnsi" w:hAnsiTheme="minorHAnsi" w:cstheme="minorHAnsi"/>
          <w:i/>
        </w:rPr>
        <w:t>Research to inform the assessment of ecohydrological responses to coal seam gas extraction and coal mining</w:t>
      </w:r>
      <w:r w:rsidR="002B7F01" w:rsidRPr="00747E35">
        <w:rPr>
          <w:rFonts w:asciiTheme="minorHAnsi" w:hAnsiTheme="minorHAnsi" w:cstheme="minorHAnsi"/>
        </w:rPr>
        <w:t>, Department of the Environment and En</w:t>
      </w:r>
      <w:r w:rsidR="00825D9D">
        <w:rPr>
          <w:rFonts w:asciiTheme="minorHAnsi" w:hAnsiTheme="minorHAnsi" w:cstheme="minorHAnsi"/>
        </w:rPr>
        <w:t>ergy, Commonwealth of Australia</w:t>
      </w:r>
      <w:r w:rsidR="002B7F01" w:rsidRPr="00747E35">
        <w:rPr>
          <w:rFonts w:asciiTheme="minorHAnsi" w:hAnsiTheme="minorHAnsi" w:cstheme="minorHAnsi"/>
        </w:rPr>
        <w:t>.</w:t>
      </w:r>
    </w:p>
    <w:p w14:paraId="60C53613" w14:textId="77777777" w:rsidR="002B7F01" w:rsidRPr="00BB7523" w:rsidRDefault="002B7F01" w:rsidP="0037062B">
      <w:pPr>
        <w:pStyle w:val="OWSversopagenormaltext"/>
        <w:spacing w:before="60" w:after="60"/>
        <w:rPr>
          <w:rFonts w:asciiTheme="minorHAnsi" w:hAnsiTheme="minorHAnsi" w:cstheme="minorHAnsi"/>
        </w:rPr>
      </w:pPr>
      <w:r w:rsidRPr="00BB7523">
        <w:rPr>
          <w:rFonts w:asciiTheme="minorHAnsi" w:hAnsiTheme="minorHAnsi" w:cstheme="minorHAnsi"/>
        </w:rPr>
        <w:t>The Commonwealth of Australia has made all reasonable efforts to identify content supplied by third parties using the following format ‘© Copyright, [</w:t>
      </w:r>
      <w:r w:rsidRPr="00BB7523">
        <w:rPr>
          <w:rFonts w:asciiTheme="minorHAnsi" w:hAnsiTheme="minorHAnsi" w:cstheme="minorHAnsi"/>
          <w:i/>
          <w:iCs/>
        </w:rPr>
        <w:t>name of third party</w:t>
      </w:r>
      <w:r w:rsidRPr="00BB7523">
        <w:rPr>
          <w:rFonts w:asciiTheme="minorHAnsi" w:hAnsiTheme="minorHAnsi" w:cstheme="minorHAnsi"/>
        </w:rPr>
        <w:t>] ’.</w:t>
      </w:r>
    </w:p>
    <w:p w14:paraId="08B86833" w14:textId="77777777" w:rsidR="002B7F01" w:rsidRPr="00BB7523" w:rsidRDefault="002B7F01" w:rsidP="0037062B">
      <w:pPr>
        <w:pStyle w:val="OWSversopagenormaltext"/>
        <w:spacing w:before="60" w:after="60"/>
        <w:rPr>
          <w:rFonts w:asciiTheme="minorHAnsi" w:hAnsiTheme="minorHAnsi" w:cstheme="minorHAnsi"/>
        </w:rPr>
      </w:pPr>
      <w:r w:rsidRPr="00BB7523">
        <w:rPr>
          <w:rFonts w:asciiTheme="minorHAnsi" w:hAnsiTheme="minorHAnsi" w:cstheme="minorHAnsi"/>
        </w:rPr>
        <w:t xml:space="preserve">Enquiries concerning reproduction and rights should be addressed to: </w:t>
      </w:r>
    </w:p>
    <w:p w14:paraId="25821238" w14:textId="77777777" w:rsidR="002B7F01" w:rsidRPr="00BB7523" w:rsidRDefault="002B7F01" w:rsidP="0037062B">
      <w:pPr>
        <w:pStyle w:val="OWSversopageaddress"/>
        <w:spacing w:before="60" w:after="60"/>
        <w:rPr>
          <w:rFonts w:asciiTheme="minorHAnsi" w:hAnsiTheme="minorHAnsi" w:cstheme="minorHAnsi"/>
        </w:rPr>
      </w:pPr>
      <w:r w:rsidRPr="00BB7523">
        <w:rPr>
          <w:rFonts w:asciiTheme="minorHAnsi" w:hAnsiTheme="minorHAnsi" w:cstheme="minorHAnsi"/>
        </w:rPr>
        <w:t xml:space="preserve">Department of the Environment and Energy, Public Affairs </w:t>
      </w:r>
    </w:p>
    <w:p w14:paraId="0A01AFD6" w14:textId="77777777" w:rsidR="002B7F01" w:rsidRPr="00BB7523" w:rsidRDefault="002B7F01" w:rsidP="0037062B">
      <w:pPr>
        <w:pStyle w:val="OWSversopageaddress"/>
        <w:spacing w:before="60" w:after="60"/>
        <w:rPr>
          <w:rFonts w:asciiTheme="minorHAnsi" w:hAnsiTheme="minorHAnsi" w:cstheme="minorHAnsi"/>
        </w:rPr>
      </w:pPr>
      <w:r w:rsidRPr="00BB7523">
        <w:rPr>
          <w:rFonts w:asciiTheme="minorHAnsi" w:hAnsiTheme="minorHAnsi" w:cstheme="minorHAnsi"/>
        </w:rPr>
        <w:t>GPO Box 787 Canberra ACT 2601</w:t>
      </w:r>
    </w:p>
    <w:p w14:paraId="7DC34EC6" w14:textId="77777777" w:rsidR="002B7F01" w:rsidRPr="00BB7523" w:rsidRDefault="002B7F01" w:rsidP="0037062B">
      <w:pPr>
        <w:pStyle w:val="OWSversopagenormaltext"/>
        <w:spacing w:before="60" w:after="60"/>
        <w:rPr>
          <w:rFonts w:asciiTheme="minorHAnsi" w:hAnsiTheme="minorHAnsi" w:cstheme="minorHAnsi"/>
        </w:rPr>
      </w:pPr>
      <w:r w:rsidRPr="00BB7523">
        <w:rPr>
          <w:rFonts w:asciiTheme="minorHAnsi" w:hAnsiTheme="minorHAnsi" w:cstheme="minorHAnsi"/>
        </w:rPr>
        <w:t>Or by email to:  public.affairs@environment.gov.au</w:t>
      </w:r>
    </w:p>
    <w:p w14:paraId="48B1FE4F" w14:textId="26B06BF8" w:rsidR="002B7F01" w:rsidRPr="00BB7523" w:rsidRDefault="002B7F01" w:rsidP="0037062B">
      <w:pPr>
        <w:pStyle w:val="OWSversopagenormaltext"/>
        <w:spacing w:before="60" w:after="60"/>
        <w:rPr>
          <w:rStyle w:val="Hyperlink"/>
          <w:rFonts w:asciiTheme="minorHAnsi" w:hAnsiTheme="minorHAnsi" w:cstheme="minorHAnsi"/>
          <w:color w:val="auto"/>
        </w:rPr>
      </w:pPr>
      <w:r w:rsidRPr="00BB7523">
        <w:rPr>
          <w:rFonts w:asciiTheme="minorHAnsi" w:hAnsiTheme="minorHAnsi" w:cstheme="minorHAnsi"/>
        </w:rPr>
        <w:t xml:space="preserve">This publication can be accessed at: </w:t>
      </w:r>
      <w:r w:rsidR="00B07517" w:rsidRPr="00BB7523">
        <w:rPr>
          <w:rFonts w:asciiTheme="minorHAnsi" w:hAnsiTheme="minorHAnsi" w:cstheme="minorHAnsi"/>
        </w:rPr>
        <w:t>http://www.environment.gov.au/water/coal-and-coal-seam-gas/resources</w:t>
      </w:r>
    </w:p>
    <w:p w14:paraId="6F760A9E" w14:textId="77777777" w:rsidR="002B7F01" w:rsidRPr="00747E35" w:rsidRDefault="002B7F01" w:rsidP="0037062B">
      <w:pPr>
        <w:pStyle w:val="OWSSummaryH2"/>
        <w:spacing w:before="60" w:after="60"/>
        <w:rPr>
          <w:rFonts w:asciiTheme="minorHAnsi" w:hAnsiTheme="minorHAnsi" w:cstheme="minorHAnsi"/>
        </w:rPr>
      </w:pPr>
      <w:bookmarkStart w:id="4" w:name="_Toc394405263"/>
      <w:r w:rsidRPr="00747E35">
        <w:rPr>
          <w:rFonts w:asciiTheme="minorHAnsi" w:hAnsiTheme="minorHAnsi" w:cstheme="minorHAnsi"/>
        </w:rPr>
        <w:t>Acknowledgements</w:t>
      </w:r>
      <w:bookmarkEnd w:id="4"/>
    </w:p>
    <w:p w14:paraId="1E823B26" w14:textId="77777777" w:rsidR="002B7F01" w:rsidRPr="00747E35" w:rsidRDefault="002B7F01" w:rsidP="0037062B">
      <w:pPr>
        <w:pStyle w:val="OWSversopagenormaltext"/>
        <w:spacing w:before="60" w:after="60"/>
        <w:rPr>
          <w:rFonts w:asciiTheme="minorHAnsi" w:hAnsiTheme="minorHAnsi" w:cstheme="minorHAnsi"/>
        </w:rPr>
      </w:pPr>
      <w:r w:rsidRPr="00747E35">
        <w:rPr>
          <w:rFonts w:asciiTheme="minorHAnsi" w:hAnsiTheme="minorHAnsi" w:cstheme="minorHAnsi"/>
        </w:rPr>
        <w:t xml:space="preserve">This report was commissioned by the Department of the Environment on the advice of the Independent Expert Scientific Committee on Coal Seam Gas and Large Coal Mining Development (IESC). </w:t>
      </w:r>
    </w:p>
    <w:p w14:paraId="68F3A633" w14:textId="24CD6241" w:rsidR="0096743A" w:rsidRPr="00747E35" w:rsidRDefault="0096743A" w:rsidP="0037062B">
      <w:pPr>
        <w:pStyle w:val="OWSversopagenormaltext"/>
        <w:spacing w:before="60" w:after="60"/>
        <w:rPr>
          <w:rFonts w:asciiTheme="minorHAnsi" w:hAnsiTheme="minorHAnsi" w:cstheme="minorHAnsi"/>
        </w:rPr>
      </w:pPr>
      <w:r w:rsidRPr="00747E35">
        <w:rPr>
          <w:rFonts w:asciiTheme="minorHAnsi" w:hAnsiTheme="minorHAnsi" w:cstheme="minorHAnsi"/>
        </w:rPr>
        <w:t xml:space="preserve">The report was prepared by*: </w:t>
      </w:r>
    </w:p>
    <w:p w14:paraId="178A339C" w14:textId="62800003" w:rsidR="0096743A" w:rsidRPr="00747E35" w:rsidRDefault="0096743A" w:rsidP="0037062B">
      <w:pPr>
        <w:pStyle w:val="OWSversopagenormaltext"/>
        <w:spacing w:before="60" w:after="60"/>
        <w:rPr>
          <w:rFonts w:asciiTheme="minorHAnsi" w:hAnsiTheme="minorHAnsi" w:cstheme="minorHAnsi"/>
        </w:rPr>
      </w:pPr>
      <w:r w:rsidRPr="00747E35">
        <w:rPr>
          <w:rFonts w:asciiTheme="minorHAnsi" w:hAnsiTheme="minorHAnsi" w:cstheme="minorHAnsi"/>
        </w:rPr>
        <w:t>Martin Andersen</w:t>
      </w:r>
      <w:r w:rsidRPr="00747E35">
        <w:rPr>
          <w:rFonts w:asciiTheme="minorHAnsi" w:hAnsiTheme="minorHAnsi" w:cstheme="minorHAnsi"/>
          <w:vertAlign w:val="superscript"/>
        </w:rPr>
        <w:t>1</w:t>
      </w:r>
      <w:r w:rsidRPr="00747E35">
        <w:rPr>
          <w:rFonts w:asciiTheme="minorHAnsi" w:hAnsiTheme="minorHAnsi" w:cstheme="minorHAnsi"/>
        </w:rPr>
        <w:t xml:space="preserve">, </w:t>
      </w:r>
      <w:r w:rsidR="00650DEE">
        <w:rPr>
          <w:rFonts w:asciiTheme="minorHAnsi" w:hAnsiTheme="minorHAnsi" w:cstheme="minorHAnsi"/>
        </w:rPr>
        <w:t>Olga Barron</w:t>
      </w:r>
      <w:r w:rsidR="00650DEE" w:rsidRPr="00747E35">
        <w:rPr>
          <w:rFonts w:asciiTheme="minorHAnsi" w:hAnsiTheme="minorHAnsi" w:cstheme="minorHAnsi"/>
          <w:vertAlign w:val="superscript"/>
        </w:rPr>
        <w:t>2</w:t>
      </w:r>
      <w:r w:rsidR="00650DEE">
        <w:rPr>
          <w:rFonts w:asciiTheme="minorHAnsi" w:hAnsiTheme="minorHAnsi" w:cstheme="minorHAnsi"/>
        </w:rPr>
        <w:t>,</w:t>
      </w:r>
      <w:r w:rsidR="00650DEE" w:rsidRPr="00747E35">
        <w:rPr>
          <w:rFonts w:asciiTheme="minorHAnsi" w:hAnsiTheme="minorHAnsi" w:cstheme="minorHAnsi"/>
        </w:rPr>
        <w:t xml:space="preserve"> </w:t>
      </w:r>
      <w:r w:rsidRPr="00747E35">
        <w:rPr>
          <w:rFonts w:asciiTheme="minorHAnsi" w:hAnsiTheme="minorHAnsi" w:cstheme="minorHAnsi"/>
        </w:rPr>
        <w:t>Nick Bond</w:t>
      </w:r>
      <w:r w:rsidRPr="00747E35">
        <w:rPr>
          <w:rFonts w:asciiTheme="minorHAnsi" w:hAnsiTheme="minorHAnsi" w:cstheme="minorHAnsi"/>
          <w:vertAlign w:val="superscript"/>
        </w:rPr>
        <w:t>3</w:t>
      </w:r>
      <w:r w:rsidR="00650DEE">
        <w:rPr>
          <w:rFonts w:asciiTheme="minorHAnsi" w:hAnsiTheme="minorHAnsi" w:cstheme="minorHAnsi"/>
          <w:vertAlign w:val="superscript"/>
        </w:rPr>
        <w:t>,4</w:t>
      </w:r>
      <w:r w:rsidRPr="00747E35">
        <w:rPr>
          <w:rFonts w:asciiTheme="minorHAnsi" w:hAnsiTheme="minorHAnsi" w:cstheme="minorHAnsi"/>
        </w:rPr>
        <w:t>, Ryan Burrows</w:t>
      </w:r>
      <w:r w:rsidR="00650DEE">
        <w:rPr>
          <w:rFonts w:asciiTheme="minorHAnsi" w:hAnsiTheme="minorHAnsi" w:cstheme="minorHAnsi"/>
          <w:vertAlign w:val="superscript"/>
        </w:rPr>
        <w:t>3</w:t>
      </w:r>
      <w:r w:rsidRPr="00747E35">
        <w:rPr>
          <w:rFonts w:asciiTheme="minorHAnsi" w:hAnsiTheme="minorHAnsi" w:cstheme="minorHAnsi"/>
        </w:rPr>
        <w:t>, Stefan Eberhard</w:t>
      </w:r>
      <w:r w:rsidR="00650DEE">
        <w:rPr>
          <w:rFonts w:asciiTheme="minorHAnsi" w:hAnsiTheme="minorHAnsi" w:cstheme="minorHAnsi"/>
          <w:vertAlign w:val="superscript"/>
        </w:rPr>
        <w:t>5</w:t>
      </w:r>
      <w:r w:rsidRPr="00747E35">
        <w:rPr>
          <w:rFonts w:asciiTheme="minorHAnsi" w:hAnsiTheme="minorHAnsi" w:cstheme="minorHAnsi"/>
        </w:rPr>
        <w:t xml:space="preserve">, </w:t>
      </w:r>
      <w:r w:rsidR="00650DEE">
        <w:rPr>
          <w:rFonts w:asciiTheme="minorHAnsi" w:hAnsiTheme="minorHAnsi" w:cstheme="minorHAnsi"/>
        </w:rPr>
        <w:t>Irina Emelyanova</w:t>
      </w:r>
      <w:r w:rsidR="00650DEE" w:rsidRPr="00747E35">
        <w:rPr>
          <w:rFonts w:asciiTheme="minorHAnsi" w:hAnsiTheme="minorHAnsi" w:cstheme="minorHAnsi"/>
          <w:vertAlign w:val="superscript"/>
        </w:rPr>
        <w:t>2</w:t>
      </w:r>
      <w:r w:rsidR="00650DEE">
        <w:rPr>
          <w:rFonts w:asciiTheme="minorHAnsi" w:hAnsiTheme="minorHAnsi" w:cstheme="minorHAnsi"/>
        </w:rPr>
        <w:t>,</w:t>
      </w:r>
      <w:r w:rsidR="00650DEE" w:rsidRPr="00747E35">
        <w:rPr>
          <w:rFonts w:asciiTheme="minorHAnsi" w:hAnsiTheme="minorHAnsi" w:cstheme="minorHAnsi"/>
        </w:rPr>
        <w:t xml:space="preserve"> </w:t>
      </w:r>
      <w:r w:rsidRPr="00747E35">
        <w:rPr>
          <w:rFonts w:asciiTheme="minorHAnsi" w:hAnsiTheme="minorHAnsi" w:cstheme="minorHAnsi"/>
        </w:rPr>
        <w:t>Rod Fensham</w:t>
      </w:r>
      <w:r w:rsidR="00650DEE">
        <w:rPr>
          <w:rFonts w:asciiTheme="minorHAnsi" w:hAnsiTheme="minorHAnsi" w:cstheme="minorHAnsi"/>
          <w:vertAlign w:val="superscript"/>
        </w:rPr>
        <w:t>6</w:t>
      </w:r>
      <w:r w:rsidRPr="00747E35">
        <w:rPr>
          <w:rFonts w:asciiTheme="minorHAnsi" w:hAnsiTheme="minorHAnsi" w:cstheme="minorHAnsi"/>
        </w:rPr>
        <w:t>, Ray Froend</w:t>
      </w:r>
      <w:r w:rsidR="00650DEE">
        <w:rPr>
          <w:rFonts w:asciiTheme="minorHAnsi" w:hAnsiTheme="minorHAnsi" w:cstheme="minorHAnsi"/>
          <w:vertAlign w:val="superscript"/>
        </w:rPr>
        <w:t>7</w:t>
      </w:r>
      <w:r w:rsidRPr="00747E35">
        <w:rPr>
          <w:rFonts w:asciiTheme="minorHAnsi" w:hAnsiTheme="minorHAnsi" w:cstheme="minorHAnsi"/>
        </w:rPr>
        <w:t>, Mark Kennard</w:t>
      </w:r>
      <w:r w:rsidR="00650DEE">
        <w:rPr>
          <w:rFonts w:asciiTheme="minorHAnsi" w:hAnsiTheme="minorHAnsi" w:cstheme="minorHAnsi"/>
          <w:vertAlign w:val="superscript"/>
        </w:rPr>
        <w:t>3</w:t>
      </w:r>
      <w:r w:rsidRPr="00747E35">
        <w:rPr>
          <w:rFonts w:asciiTheme="minorHAnsi" w:hAnsiTheme="minorHAnsi" w:cstheme="minorHAnsi"/>
        </w:rPr>
        <w:t>, Nick Marsh</w:t>
      </w:r>
      <w:r w:rsidR="00650DEE">
        <w:rPr>
          <w:rFonts w:asciiTheme="minorHAnsi" w:hAnsiTheme="minorHAnsi" w:cstheme="minorHAnsi"/>
          <w:vertAlign w:val="superscript"/>
        </w:rPr>
        <w:t>8</w:t>
      </w:r>
      <w:r w:rsidRPr="00747E35">
        <w:rPr>
          <w:rFonts w:asciiTheme="minorHAnsi" w:hAnsiTheme="minorHAnsi" w:cstheme="minorHAnsi"/>
        </w:rPr>
        <w:t>, Neil Pettit</w:t>
      </w:r>
      <w:r w:rsidR="00650DEE">
        <w:rPr>
          <w:rFonts w:asciiTheme="minorHAnsi" w:hAnsiTheme="minorHAnsi" w:cstheme="minorHAnsi"/>
          <w:vertAlign w:val="superscript"/>
        </w:rPr>
        <w:t>7</w:t>
      </w:r>
      <w:r w:rsidRPr="00747E35">
        <w:rPr>
          <w:rFonts w:asciiTheme="minorHAnsi" w:hAnsiTheme="minorHAnsi" w:cstheme="minorHAnsi"/>
        </w:rPr>
        <w:t>, Renee Rossini</w:t>
      </w:r>
      <w:r w:rsidR="00650DEE">
        <w:rPr>
          <w:rFonts w:asciiTheme="minorHAnsi" w:hAnsiTheme="minorHAnsi" w:cstheme="minorHAnsi"/>
          <w:vertAlign w:val="superscript"/>
        </w:rPr>
        <w:t>6</w:t>
      </w:r>
      <w:r w:rsidRPr="00747E35">
        <w:rPr>
          <w:rFonts w:asciiTheme="minorHAnsi" w:hAnsiTheme="minorHAnsi" w:cstheme="minorHAnsi"/>
        </w:rPr>
        <w:t>, Helen Rutlidge</w:t>
      </w:r>
      <w:r w:rsidRPr="00747E35">
        <w:rPr>
          <w:rFonts w:asciiTheme="minorHAnsi" w:hAnsiTheme="minorHAnsi" w:cstheme="minorHAnsi"/>
          <w:vertAlign w:val="superscript"/>
        </w:rPr>
        <w:t>1</w:t>
      </w:r>
      <w:r w:rsidRPr="00747E35">
        <w:rPr>
          <w:rFonts w:asciiTheme="minorHAnsi" w:hAnsiTheme="minorHAnsi" w:cstheme="minorHAnsi"/>
        </w:rPr>
        <w:t>, Dominic Valdez</w:t>
      </w:r>
      <w:r w:rsidR="00650DEE">
        <w:rPr>
          <w:rFonts w:asciiTheme="minorHAnsi" w:hAnsiTheme="minorHAnsi" w:cstheme="minorHAnsi"/>
          <w:vertAlign w:val="superscript"/>
        </w:rPr>
        <w:t>3</w:t>
      </w:r>
      <w:r w:rsidRPr="00747E35">
        <w:rPr>
          <w:rFonts w:asciiTheme="minorHAnsi" w:hAnsiTheme="minorHAnsi" w:cstheme="minorHAnsi"/>
        </w:rPr>
        <w:t xml:space="preserve"> &amp; Doug Ward</w:t>
      </w:r>
      <w:r w:rsidR="00650DEE">
        <w:rPr>
          <w:rFonts w:asciiTheme="minorHAnsi" w:hAnsiTheme="minorHAnsi" w:cstheme="minorHAnsi"/>
          <w:vertAlign w:val="superscript"/>
        </w:rPr>
        <w:t>3</w:t>
      </w:r>
    </w:p>
    <w:p w14:paraId="2BEAA244" w14:textId="77777777" w:rsidR="0096743A" w:rsidRPr="008E278C" w:rsidRDefault="0096743A" w:rsidP="0037062B">
      <w:pPr>
        <w:spacing w:before="60" w:after="60"/>
        <w:rPr>
          <w:rFonts w:asciiTheme="minorHAnsi" w:hAnsiTheme="minorHAnsi" w:cstheme="minorHAnsi"/>
          <w:sz w:val="20"/>
          <w:szCs w:val="20"/>
        </w:rPr>
      </w:pPr>
      <w:r w:rsidRPr="008E278C">
        <w:rPr>
          <w:rFonts w:asciiTheme="minorHAnsi" w:hAnsiTheme="minorHAnsi" w:cstheme="minorHAnsi"/>
          <w:sz w:val="20"/>
          <w:szCs w:val="20"/>
          <w:vertAlign w:val="superscript"/>
        </w:rPr>
        <w:t>*</w:t>
      </w:r>
      <w:r w:rsidRPr="008E278C">
        <w:rPr>
          <w:rFonts w:asciiTheme="minorHAnsi" w:hAnsiTheme="minorHAnsi" w:cstheme="minorHAnsi"/>
          <w:sz w:val="20"/>
          <w:szCs w:val="20"/>
        </w:rPr>
        <w:t xml:space="preserve"> Authors listed alphabetically</w:t>
      </w:r>
    </w:p>
    <w:p w14:paraId="635FE630" w14:textId="77777777" w:rsidR="0096743A" w:rsidRPr="00747E35" w:rsidRDefault="0096743A" w:rsidP="0037062B">
      <w:pPr>
        <w:spacing w:before="60" w:after="60"/>
        <w:rPr>
          <w:rFonts w:asciiTheme="minorHAnsi" w:hAnsiTheme="minorHAnsi" w:cstheme="minorHAnsi"/>
          <w:sz w:val="20"/>
        </w:rPr>
      </w:pPr>
      <w:r w:rsidRPr="00747E35">
        <w:rPr>
          <w:rFonts w:asciiTheme="minorHAnsi" w:hAnsiTheme="minorHAnsi" w:cstheme="minorHAnsi"/>
          <w:sz w:val="20"/>
          <w:vertAlign w:val="superscript"/>
        </w:rPr>
        <w:t>1</w:t>
      </w:r>
      <w:r w:rsidRPr="00747E35">
        <w:rPr>
          <w:rFonts w:asciiTheme="minorHAnsi" w:hAnsiTheme="minorHAnsi" w:cstheme="minorHAnsi"/>
          <w:sz w:val="20"/>
        </w:rPr>
        <w:t>Connected Waters Initiative Research Centre, University of New South Wales</w:t>
      </w:r>
    </w:p>
    <w:p w14:paraId="37A292CF" w14:textId="567326F3" w:rsidR="00650DEE" w:rsidRPr="00747E35" w:rsidRDefault="00650DEE" w:rsidP="00650DEE">
      <w:pPr>
        <w:spacing w:before="60" w:after="60"/>
        <w:rPr>
          <w:rFonts w:asciiTheme="minorHAnsi" w:hAnsiTheme="minorHAnsi" w:cstheme="minorHAnsi"/>
          <w:sz w:val="20"/>
        </w:rPr>
      </w:pPr>
      <w:r w:rsidRPr="00747E35">
        <w:rPr>
          <w:rFonts w:asciiTheme="minorHAnsi" w:hAnsiTheme="minorHAnsi" w:cstheme="minorHAnsi"/>
          <w:sz w:val="20"/>
          <w:vertAlign w:val="superscript"/>
        </w:rPr>
        <w:t>2</w:t>
      </w:r>
      <w:r w:rsidRPr="00650DEE">
        <w:rPr>
          <w:rFonts w:asciiTheme="minorHAnsi" w:hAnsiTheme="minorHAnsi" w:cstheme="minorHAnsi"/>
          <w:sz w:val="20"/>
        </w:rPr>
        <w:t>CSIRO, Land and Water, Floreat Park, Western Australia</w:t>
      </w:r>
    </w:p>
    <w:p w14:paraId="72E6DA0D" w14:textId="0BC1E0D7" w:rsidR="00650DEE" w:rsidRPr="00747E35" w:rsidRDefault="00650DEE" w:rsidP="00650DEE">
      <w:pPr>
        <w:spacing w:before="60" w:after="60"/>
        <w:rPr>
          <w:rFonts w:asciiTheme="minorHAnsi" w:hAnsiTheme="minorHAnsi" w:cstheme="minorHAnsi"/>
          <w:sz w:val="20"/>
        </w:rPr>
      </w:pPr>
      <w:r>
        <w:rPr>
          <w:rFonts w:asciiTheme="minorHAnsi" w:hAnsiTheme="minorHAnsi" w:cstheme="minorHAnsi"/>
          <w:sz w:val="20"/>
          <w:vertAlign w:val="superscript"/>
        </w:rPr>
        <w:t>3</w:t>
      </w:r>
      <w:r w:rsidRPr="00747E35">
        <w:rPr>
          <w:rFonts w:asciiTheme="minorHAnsi" w:hAnsiTheme="minorHAnsi" w:cstheme="minorHAnsi"/>
          <w:sz w:val="20"/>
        </w:rPr>
        <w:t>Australian Rivers Institute, Griffith University</w:t>
      </w:r>
    </w:p>
    <w:p w14:paraId="5C9BB69B" w14:textId="20B35E8A" w:rsidR="0096743A" w:rsidRPr="00747E35" w:rsidRDefault="00650DEE" w:rsidP="0037062B">
      <w:pPr>
        <w:spacing w:before="60" w:after="60"/>
        <w:rPr>
          <w:rFonts w:asciiTheme="minorHAnsi" w:hAnsiTheme="minorHAnsi" w:cstheme="minorHAnsi"/>
          <w:sz w:val="20"/>
          <w:vertAlign w:val="superscript"/>
        </w:rPr>
      </w:pPr>
      <w:r>
        <w:rPr>
          <w:rFonts w:asciiTheme="minorHAnsi" w:hAnsiTheme="minorHAnsi" w:cstheme="minorHAnsi"/>
          <w:sz w:val="20"/>
          <w:vertAlign w:val="superscript"/>
        </w:rPr>
        <w:t>4</w:t>
      </w:r>
      <w:r w:rsidR="0096743A" w:rsidRPr="00747E35">
        <w:rPr>
          <w:rFonts w:asciiTheme="minorHAnsi" w:hAnsiTheme="minorHAnsi" w:cstheme="minorHAnsi"/>
          <w:sz w:val="20"/>
        </w:rPr>
        <w:t>Murray-Darling Freshwater Research Centre, La Trobe University</w:t>
      </w:r>
    </w:p>
    <w:p w14:paraId="5CB92ED9" w14:textId="27FEC529" w:rsidR="0096743A" w:rsidRPr="00747E35" w:rsidRDefault="00650DEE" w:rsidP="0037062B">
      <w:pPr>
        <w:spacing w:before="60" w:after="60"/>
        <w:rPr>
          <w:rFonts w:asciiTheme="minorHAnsi" w:hAnsiTheme="minorHAnsi" w:cstheme="minorHAnsi"/>
          <w:sz w:val="20"/>
        </w:rPr>
      </w:pPr>
      <w:r>
        <w:rPr>
          <w:rFonts w:asciiTheme="minorHAnsi" w:hAnsiTheme="minorHAnsi" w:cstheme="minorHAnsi"/>
          <w:sz w:val="20"/>
          <w:vertAlign w:val="superscript"/>
        </w:rPr>
        <w:t>5</w:t>
      </w:r>
      <w:r w:rsidR="0096743A" w:rsidRPr="00747E35">
        <w:rPr>
          <w:rFonts w:asciiTheme="minorHAnsi" w:hAnsiTheme="minorHAnsi" w:cstheme="minorHAnsi"/>
          <w:sz w:val="20"/>
        </w:rPr>
        <w:t>Subterranean Ecology Pty Ltd / University of New South Wales</w:t>
      </w:r>
    </w:p>
    <w:p w14:paraId="4747332B" w14:textId="10EE1B23" w:rsidR="0096743A" w:rsidRPr="00747E35" w:rsidRDefault="00650DEE" w:rsidP="0037062B">
      <w:pPr>
        <w:spacing w:before="60" w:after="60"/>
        <w:rPr>
          <w:rFonts w:asciiTheme="minorHAnsi" w:hAnsiTheme="minorHAnsi" w:cstheme="minorHAnsi"/>
          <w:sz w:val="20"/>
        </w:rPr>
      </w:pPr>
      <w:r>
        <w:rPr>
          <w:rFonts w:asciiTheme="minorHAnsi" w:hAnsiTheme="minorHAnsi" w:cstheme="minorHAnsi"/>
          <w:sz w:val="20"/>
          <w:vertAlign w:val="superscript"/>
        </w:rPr>
        <w:t>6</w:t>
      </w:r>
      <w:r w:rsidR="0096743A" w:rsidRPr="00747E35">
        <w:rPr>
          <w:rFonts w:asciiTheme="minorHAnsi" w:hAnsiTheme="minorHAnsi" w:cstheme="minorHAnsi"/>
          <w:sz w:val="20"/>
        </w:rPr>
        <w:t>Department of Biological Sciences, The University of Queensland</w:t>
      </w:r>
    </w:p>
    <w:p w14:paraId="1182C786" w14:textId="5697CD41" w:rsidR="0096743A" w:rsidRPr="00747E35" w:rsidRDefault="00650DEE" w:rsidP="0037062B">
      <w:pPr>
        <w:spacing w:before="60" w:after="60"/>
        <w:rPr>
          <w:rFonts w:asciiTheme="minorHAnsi" w:hAnsiTheme="minorHAnsi" w:cstheme="minorHAnsi"/>
          <w:sz w:val="20"/>
        </w:rPr>
      </w:pPr>
      <w:r>
        <w:rPr>
          <w:rFonts w:asciiTheme="minorHAnsi" w:hAnsiTheme="minorHAnsi" w:cstheme="minorHAnsi"/>
          <w:sz w:val="20"/>
          <w:vertAlign w:val="superscript"/>
        </w:rPr>
        <w:t>7</w:t>
      </w:r>
      <w:r w:rsidR="0096743A" w:rsidRPr="00747E35">
        <w:rPr>
          <w:rFonts w:asciiTheme="minorHAnsi" w:hAnsiTheme="minorHAnsi" w:cstheme="minorHAnsi"/>
          <w:sz w:val="20"/>
        </w:rPr>
        <w:t>Centre for Ecosystem Management, School of Natural Sciences, Edith Cowan University</w:t>
      </w:r>
    </w:p>
    <w:p w14:paraId="612D1D6B" w14:textId="4F826119" w:rsidR="0096743A" w:rsidRPr="00747E35" w:rsidRDefault="00650DEE" w:rsidP="0037062B">
      <w:pPr>
        <w:spacing w:before="60" w:after="60"/>
        <w:rPr>
          <w:rFonts w:asciiTheme="minorHAnsi" w:hAnsiTheme="minorHAnsi" w:cstheme="minorHAnsi"/>
        </w:rPr>
      </w:pPr>
      <w:r>
        <w:rPr>
          <w:rFonts w:asciiTheme="minorHAnsi" w:hAnsiTheme="minorHAnsi" w:cstheme="minorHAnsi"/>
          <w:sz w:val="20"/>
          <w:vertAlign w:val="superscript"/>
        </w:rPr>
        <w:t>8</w:t>
      </w:r>
      <w:r w:rsidR="0096743A" w:rsidRPr="00747E35">
        <w:rPr>
          <w:rFonts w:asciiTheme="minorHAnsi" w:hAnsiTheme="minorHAnsi" w:cstheme="minorHAnsi"/>
          <w:sz w:val="20"/>
        </w:rPr>
        <w:t>Yorb Pty Ltd and Australian Rivers Institute, Griffith University</w:t>
      </w:r>
    </w:p>
    <w:p w14:paraId="4BBE9261" w14:textId="4566E505" w:rsidR="002B7F01" w:rsidRPr="00747E35" w:rsidRDefault="002B7F01" w:rsidP="0037062B">
      <w:pPr>
        <w:pStyle w:val="OWSversopagenormaltext"/>
        <w:spacing w:before="60" w:after="60"/>
        <w:rPr>
          <w:rFonts w:asciiTheme="minorHAnsi" w:hAnsiTheme="minorHAnsi" w:cstheme="minorHAnsi"/>
        </w:rPr>
      </w:pPr>
      <w:r w:rsidRPr="00747E35">
        <w:rPr>
          <w:rFonts w:asciiTheme="minorHAnsi" w:hAnsiTheme="minorHAnsi" w:cstheme="minorHAnsi"/>
        </w:rPr>
        <w:t>The report was peer reviewed by Dr Bruce Che</w:t>
      </w:r>
      <w:r w:rsidR="0037062B" w:rsidRPr="00747E35">
        <w:rPr>
          <w:rFonts w:asciiTheme="minorHAnsi" w:hAnsiTheme="minorHAnsi" w:cstheme="minorHAnsi"/>
        </w:rPr>
        <w:t>ssman (ecological consultant).</w:t>
      </w:r>
    </w:p>
    <w:p w14:paraId="69026608" w14:textId="77777777" w:rsidR="002B7F01" w:rsidRPr="00747E35" w:rsidRDefault="002B7F01" w:rsidP="0037062B">
      <w:pPr>
        <w:pStyle w:val="OWSSummaryH2"/>
        <w:spacing w:before="60" w:after="60"/>
        <w:rPr>
          <w:rFonts w:asciiTheme="minorHAnsi" w:hAnsiTheme="minorHAnsi" w:cstheme="minorHAnsi"/>
        </w:rPr>
      </w:pPr>
      <w:bookmarkStart w:id="5" w:name="_Toc370301050"/>
      <w:bookmarkStart w:id="6" w:name="_Toc371671726"/>
      <w:bookmarkStart w:id="7" w:name="_Toc394405264"/>
      <w:r w:rsidRPr="00747E35">
        <w:rPr>
          <w:rFonts w:asciiTheme="minorHAnsi" w:hAnsiTheme="minorHAnsi" w:cstheme="minorHAnsi"/>
        </w:rPr>
        <w:t>Disclaimer</w:t>
      </w:r>
      <w:bookmarkEnd w:id="5"/>
      <w:bookmarkEnd w:id="6"/>
      <w:bookmarkEnd w:id="7"/>
    </w:p>
    <w:p w14:paraId="1C113619" w14:textId="77777777" w:rsidR="002B7F01" w:rsidRPr="00BB7523" w:rsidRDefault="002B7F01" w:rsidP="0037062B">
      <w:pPr>
        <w:pStyle w:val="OWSversopagenormaltext"/>
        <w:spacing w:before="60" w:after="60"/>
        <w:rPr>
          <w:rFonts w:asciiTheme="minorHAnsi" w:hAnsiTheme="minorHAnsi" w:cstheme="minorHAnsi"/>
        </w:rPr>
      </w:pPr>
      <w:bookmarkStart w:id="8" w:name="_Toc384302924"/>
      <w:r w:rsidRPr="00BB7523">
        <w:rPr>
          <w:rFonts w:asciiTheme="minorHAnsi" w:hAnsiTheme="minorHAnsi" w:cstheme="minorHAnsi"/>
        </w:rPr>
        <w:t>The views and opinions expressed in this publication are those of the authors and do not necessarily reflect those of the Australian Government or the Minister for the Environment and Energy or the IESC.</w:t>
      </w:r>
    </w:p>
    <w:p w14:paraId="5B5513DA" w14:textId="77777777" w:rsidR="002B7F01" w:rsidRPr="00BB7523" w:rsidRDefault="002B7F01" w:rsidP="0037062B">
      <w:pPr>
        <w:pStyle w:val="OWSversopagenormaltext"/>
        <w:spacing w:before="60" w:after="60"/>
        <w:rPr>
          <w:rFonts w:asciiTheme="minorHAnsi" w:hAnsiTheme="minorHAnsi" w:cstheme="minorHAnsi"/>
        </w:rPr>
      </w:pPr>
      <w:r w:rsidRPr="00BB7523">
        <w:rPr>
          <w:rFonts w:asciiTheme="minorHAnsi" w:hAnsiTheme="minorHAnsi" w:cstheme="minorHAnsi"/>
        </w:rPr>
        <w:t>While reasonable efforts have been made to ensure that the contents of this publication are factually correct, the Commonwealth and IESC do not accept responsibility for the accuracy or completeness of the contents, and shall not be liable for any loss or damage that may be occasioned directly or indirectly through the use of, or reliance on, the contents of this publication.</w:t>
      </w:r>
      <w:bookmarkEnd w:id="8"/>
    </w:p>
    <w:p w14:paraId="10E06E98" w14:textId="77777777" w:rsidR="003D3694" w:rsidRPr="00747E35" w:rsidRDefault="003D3694" w:rsidP="0037062B">
      <w:pPr>
        <w:spacing w:before="60" w:after="60"/>
        <w:rPr>
          <w:rFonts w:asciiTheme="minorHAnsi" w:hAnsiTheme="minorHAnsi" w:cstheme="minorHAnsi"/>
        </w:rPr>
      </w:pPr>
    </w:p>
    <w:p w14:paraId="0CFF7711" w14:textId="77777777" w:rsidR="003D3694" w:rsidRPr="00747E35" w:rsidRDefault="003D3694" w:rsidP="003D3694">
      <w:pPr>
        <w:rPr>
          <w:rFonts w:asciiTheme="minorHAnsi" w:hAnsiTheme="minorHAnsi" w:cstheme="minorHAnsi"/>
        </w:rPr>
        <w:sectPr w:rsidR="003D3694" w:rsidRPr="00747E35" w:rsidSect="00BA5C65">
          <w:pgSz w:w="11906" w:h="16838"/>
          <w:pgMar w:top="1134" w:right="1134" w:bottom="1134" w:left="1134" w:header="709" w:footer="709" w:gutter="0"/>
          <w:pgNumType w:start="2"/>
          <w:cols w:space="708"/>
          <w:docGrid w:linePitch="360"/>
        </w:sectPr>
      </w:pPr>
      <w:r w:rsidRPr="00747E35">
        <w:rPr>
          <w:rFonts w:asciiTheme="minorHAnsi" w:hAnsiTheme="minorHAnsi" w:cstheme="minorHAnsi"/>
          <w:noProof/>
          <w:lang w:val="en-AU" w:eastAsia="en-AU"/>
        </w:rPr>
        <w:drawing>
          <wp:inline distT="0" distB="0" distL="0" distR="0" wp14:anchorId="49C7B604" wp14:editId="6C783BB1">
            <wp:extent cx="1333500" cy="574269"/>
            <wp:effectExtent l="0" t="0" r="0" b="0"/>
            <wp:docPr id="2052" name="Picture 6" descr="Griffith University Australian Rivers Institu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6" descr="Griffith Logo - ARI.jp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1357671" cy="584678"/>
                    </a:xfrm>
                    <a:prstGeom prst="rect">
                      <a:avLst/>
                    </a:prstGeom>
                    <a:noFill/>
                    <a:ln>
                      <a:noFill/>
                    </a:ln>
                    <a:extLst/>
                  </pic:spPr>
                </pic:pic>
              </a:graphicData>
            </a:graphic>
          </wp:inline>
        </w:drawing>
      </w:r>
      <w:r w:rsidRPr="00747E35">
        <w:rPr>
          <w:rFonts w:asciiTheme="minorHAnsi" w:hAnsiTheme="minorHAnsi" w:cstheme="minorHAnsi"/>
          <w:noProof/>
          <w:lang w:val="en-AU" w:eastAsia="en-AU"/>
        </w:rPr>
        <w:drawing>
          <wp:inline distT="0" distB="0" distL="0" distR="0" wp14:anchorId="15643100" wp14:editId="20BA26C2">
            <wp:extent cx="1362075" cy="501179"/>
            <wp:effectExtent l="0" t="0" r="0" b="0"/>
            <wp:docPr id="5" name="Picture 5" descr="University of New South Wal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Projects\Commonwealth\OWS ecological program\branding\UNSW landscape Colour Pos.jpg"/>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1370109" cy="504135"/>
                    </a:xfrm>
                    <a:prstGeom prst="rect">
                      <a:avLst/>
                    </a:prstGeom>
                    <a:noFill/>
                    <a:ln>
                      <a:noFill/>
                    </a:ln>
                  </pic:spPr>
                </pic:pic>
              </a:graphicData>
            </a:graphic>
          </wp:inline>
        </w:drawing>
      </w:r>
      <w:r w:rsidRPr="00747E35">
        <w:rPr>
          <w:rFonts w:asciiTheme="minorHAnsi" w:hAnsiTheme="minorHAnsi" w:cstheme="minorHAnsi"/>
          <w:noProof/>
          <w:lang w:val="en-AU" w:eastAsia="en-AU"/>
        </w:rPr>
        <w:drawing>
          <wp:inline distT="0" distB="0" distL="0" distR="0" wp14:anchorId="27029904" wp14:editId="495F817A">
            <wp:extent cx="759125" cy="561538"/>
            <wp:effectExtent l="0" t="0" r="3175" b="0"/>
            <wp:docPr id="16" name="Picture 16" descr="Edith Cowan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ips.net.au/wp-content/uploads/2011/06/ECU-Logo.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827748" cy="612300"/>
                    </a:xfrm>
                    <a:prstGeom prst="rect">
                      <a:avLst/>
                    </a:prstGeom>
                    <a:noFill/>
                    <a:ln>
                      <a:noFill/>
                    </a:ln>
                  </pic:spPr>
                </pic:pic>
              </a:graphicData>
            </a:graphic>
          </wp:inline>
        </w:drawing>
      </w:r>
      <w:r w:rsidRPr="00747E35">
        <w:rPr>
          <w:rFonts w:asciiTheme="minorHAnsi" w:hAnsiTheme="minorHAnsi" w:cstheme="minorHAnsi"/>
          <w:noProof/>
          <w:lang w:val="en-AU" w:eastAsia="en-AU"/>
        </w:rPr>
        <w:drawing>
          <wp:inline distT="0" distB="0" distL="0" distR="0" wp14:anchorId="1EB8F1B1" wp14:editId="77FA4A0C">
            <wp:extent cx="1128395" cy="590456"/>
            <wp:effectExtent l="0" t="0" r="0" b="635"/>
            <wp:docPr id="2171" name="Picture 2171" descr="Subterranean Ecolog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ata\Projects\Commonwealth\OWS ecological program\branding\Subterranean Ecology Logo DETAILED black on white.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144633" cy="598953"/>
                    </a:xfrm>
                    <a:prstGeom prst="rect">
                      <a:avLst/>
                    </a:prstGeom>
                    <a:noFill/>
                    <a:ln>
                      <a:noFill/>
                    </a:ln>
                  </pic:spPr>
                </pic:pic>
              </a:graphicData>
            </a:graphic>
          </wp:inline>
        </w:drawing>
      </w:r>
      <w:r w:rsidRPr="00747E35">
        <w:rPr>
          <w:rFonts w:asciiTheme="minorHAnsi" w:hAnsiTheme="minorHAnsi" w:cstheme="minorHAnsi"/>
          <w:noProof/>
          <w:lang w:val="en-AU" w:eastAsia="en-AU"/>
        </w:rPr>
        <w:drawing>
          <wp:inline distT="0" distB="0" distL="0" distR="0" wp14:anchorId="444D2318" wp14:editId="7EEA8FBF">
            <wp:extent cx="1143000" cy="506393"/>
            <wp:effectExtent l="0" t="0" r="0" b="8255"/>
            <wp:docPr id="2" name="Picture 2" descr="Yorb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ck\AppData\Local\Microsoft\Windows\INetCache\Content.Word\YORB-LOGO.JP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151252" cy="510049"/>
                    </a:xfrm>
                    <a:prstGeom prst="rect">
                      <a:avLst/>
                    </a:prstGeom>
                    <a:noFill/>
                    <a:ln>
                      <a:noFill/>
                    </a:ln>
                  </pic:spPr>
                </pic:pic>
              </a:graphicData>
            </a:graphic>
          </wp:inline>
        </w:drawing>
      </w:r>
    </w:p>
    <w:sdt>
      <w:sdtPr>
        <w:rPr>
          <w:rFonts w:asciiTheme="minorHAnsi" w:eastAsiaTheme="minorEastAsia" w:hAnsiTheme="minorHAnsi" w:cstheme="minorHAnsi"/>
          <w:color w:val="auto"/>
          <w:sz w:val="22"/>
          <w:szCs w:val="22"/>
        </w:rPr>
        <w:id w:val="1448729984"/>
        <w:docPartObj>
          <w:docPartGallery w:val="Table of Contents"/>
          <w:docPartUnique/>
        </w:docPartObj>
      </w:sdtPr>
      <w:sdtEndPr>
        <w:rPr>
          <w:b/>
          <w:bCs/>
          <w:noProof/>
        </w:rPr>
      </w:sdtEndPr>
      <w:sdtContent>
        <w:p w14:paraId="07BA93A4" w14:textId="67A11EF0" w:rsidR="00C6582F" w:rsidRPr="00825D9D" w:rsidRDefault="00C6582F">
          <w:pPr>
            <w:pStyle w:val="TOCHeading"/>
            <w:rPr>
              <w:rFonts w:asciiTheme="minorHAnsi" w:hAnsiTheme="minorHAnsi" w:cstheme="minorHAnsi"/>
            </w:rPr>
          </w:pPr>
          <w:r w:rsidRPr="00825D9D">
            <w:rPr>
              <w:rFonts w:asciiTheme="minorHAnsi" w:hAnsiTheme="minorHAnsi" w:cstheme="minorHAnsi"/>
            </w:rPr>
            <w:t>Contents</w:t>
          </w:r>
        </w:p>
        <w:p w14:paraId="40AF943E" w14:textId="77777777" w:rsidR="00BA5C65" w:rsidRPr="00BA5C65" w:rsidRDefault="00C6582F">
          <w:pPr>
            <w:pStyle w:val="TOC1"/>
            <w:rPr>
              <w:rFonts w:asciiTheme="minorHAnsi" w:hAnsiTheme="minorHAnsi"/>
              <w:noProof/>
              <w:szCs w:val="20"/>
              <w:lang w:val="en-AU" w:eastAsia="en-AU"/>
            </w:rPr>
          </w:pPr>
          <w:r w:rsidRPr="00D5273D">
            <w:rPr>
              <w:rFonts w:asciiTheme="minorHAnsi" w:hAnsiTheme="minorHAnsi" w:cstheme="minorHAnsi"/>
              <w:szCs w:val="20"/>
            </w:rPr>
            <w:fldChar w:fldCharType="begin"/>
          </w:r>
          <w:r w:rsidRPr="00D5273D">
            <w:rPr>
              <w:rFonts w:asciiTheme="minorHAnsi" w:hAnsiTheme="minorHAnsi" w:cstheme="minorHAnsi"/>
              <w:szCs w:val="20"/>
            </w:rPr>
            <w:instrText xml:space="preserve"> TOC \o "1-3" \h \z \u </w:instrText>
          </w:r>
          <w:r w:rsidRPr="00D5273D">
            <w:rPr>
              <w:rFonts w:asciiTheme="minorHAnsi" w:hAnsiTheme="minorHAnsi" w:cstheme="minorHAnsi"/>
              <w:szCs w:val="20"/>
            </w:rPr>
            <w:fldChar w:fldCharType="separate"/>
          </w:r>
          <w:hyperlink w:anchor="_Toc470004814" w:history="1">
            <w:r w:rsidR="00BA5C65" w:rsidRPr="00BA5C65">
              <w:rPr>
                <w:rStyle w:val="Hyperlink"/>
                <w:rFonts w:asciiTheme="minorHAnsi" w:hAnsiTheme="minorHAnsi" w:cstheme="minorHAnsi"/>
                <w:noProof/>
                <w:szCs w:val="20"/>
              </w:rPr>
              <w:t>Abbreviations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_Toc470004814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6</w:t>
            </w:r>
            <w:r w:rsidR="00BA5C65" w:rsidRPr="00BA5C65">
              <w:rPr>
                <w:rFonts w:asciiTheme="minorHAnsi" w:hAnsiTheme="minorHAnsi"/>
                <w:noProof/>
                <w:webHidden/>
                <w:szCs w:val="20"/>
              </w:rPr>
              <w:fldChar w:fldCharType="end"/>
            </w:r>
          </w:hyperlink>
        </w:p>
        <w:p w14:paraId="2AD6D9D4" w14:textId="77777777" w:rsidR="00BA5C65" w:rsidRPr="00BA5C65" w:rsidRDefault="006E6498">
          <w:pPr>
            <w:pStyle w:val="TOC1"/>
            <w:rPr>
              <w:rFonts w:asciiTheme="minorHAnsi" w:hAnsiTheme="minorHAnsi"/>
              <w:noProof/>
              <w:szCs w:val="20"/>
              <w:lang w:val="en-AU" w:eastAsia="en-AU"/>
            </w:rPr>
          </w:pPr>
          <w:hyperlink w:anchor="_Toc470004815" w:history="1">
            <w:r w:rsidR="00BA5C65" w:rsidRPr="00BA5C65">
              <w:rPr>
                <w:rStyle w:val="Hyperlink"/>
                <w:rFonts w:asciiTheme="minorHAnsi" w:hAnsiTheme="minorHAnsi" w:cstheme="minorHAnsi"/>
                <w:noProof/>
                <w:szCs w:val="20"/>
              </w:rPr>
              <w:t>Glossary</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_Toc470004815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7</w:t>
            </w:r>
            <w:r w:rsidR="00BA5C65" w:rsidRPr="00BA5C65">
              <w:rPr>
                <w:rFonts w:asciiTheme="minorHAnsi" w:hAnsiTheme="minorHAnsi"/>
                <w:noProof/>
                <w:webHidden/>
                <w:szCs w:val="20"/>
              </w:rPr>
              <w:fldChar w:fldCharType="end"/>
            </w:r>
          </w:hyperlink>
        </w:p>
        <w:p w14:paraId="0F6F628D" w14:textId="77777777" w:rsidR="00BA5C65" w:rsidRPr="00BA5C65" w:rsidRDefault="006E6498">
          <w:pPr>
            <w:pStyle w:val="TOC1"/>
            <w:rPr>
              <w:rFonts w:asciiTheme="minorHAnsi" w:hAnsiTheme="minorHAnsi"/>
              <w:noProof/>
              <w:szCs w:val="20"/>
              <w:lang w:val="en-AU" w:eastAsia="en-AU"/>
            </w:rPr>
          </w:pPr>
          <w:hyperlink w:anchor="_Toc470004816" w:history="1">
            <w:r w:rsidR="00BA5C65" w:rsidRPr="00BA5C65">
              <w:rPr>
                <w:rStyle w:val="Hyperlink"/>
                <w:rFonts w:asciiTheme="minorHAnsi" w:hAnsiTheme="minorHAnsi" w:cstheme="minorHAnsi"/>
                <w:noProof/>
                <w:szCs w:val="20"/>
              </w:rPr>
              <w:t>Executive summary</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_Toc470004816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12</w:t>
            </w:r>
            <w:r w:rsidR="00BA5C65" w:rsidRPr="00BA5C65">
              <w:rPr>
                <w:rFonts w:asciiTheme="minorHAnsi" w:hAnsiTheme="minorHAnsi"/>
                <w:noProof/>
                <w:webHidden/>
                <w:szCs w:val="20"/>
              </w:rPr>
              <w:fldChar w:fldCharType="end"/>
            </w:r>
          </w:hyperlink>
        </w:p>
        <w:p w14:paraId="3F24681B" w14:textId="77777777" w:rsidR="00BA5C65" w:rsidRPr="00BA5C65" w:rsidRDefault="006E6498">
          <w:pPr>
            <w:pStyle w:val="TOC1"/>
            <w:rPr>
              <w:rFonts w:asciiTheme="minorHAnsi" w:hAnsiTheme="minorHAnsi"/>
              <w:noProof/>
              <w:szCs w:val="20"/>
              <w:lang w:val="en-AU" w:eastAsia="en-AU"/>
            </w:rPr>
          </w:pPr>
          <w:hyperlink w:anchor="_Toc470004817" w:history="1">
            <w:r w:rsidR="00BA5C65" w:rsidRPr="00BA5C65">
              <w:rPr>
                <w:rStyle w:val="Hyperlink"/>
                <w:rFonts w:asciiTheme="minorHAnsi" w:hAnsiTheme="minorHAnsi" w:cstheme="minorHAnsi"/>
                <w:noProof/>
                <w:szCs w:val="20"/>
              </w:rPr>
              <w:t>1</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Introduction</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_Toc470004817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18</w:t>
            </w:r>
            <w:r w:rsidR="00BA5C65" w:rsidRPr="00BA5C65">
              <w:rPr>
                <w:rFonts w:asciiTheme="minorHAnsi" w:hAnsiTheme="minorHAnsi"/>
                <w:noProof/>
                <w:webHidden/>
                <w:szCs w:val="20"/>
              </w:rPr>
              <w:fldChar w:fldCharType="end"/>
            </w:r>
          </w:hyperlink>
        </w:p>
        <w:p w14:paraId="72BAA614" w14:textId="2545657E"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18" w:history="1">
            <w:r w:rsidR="00BA5C65" w:rsidRPr="00BA5C65">
              <w:rPr>
                <w:rStyle w:val="Hyperlink"/>
                <w:rFonts w:asciiTheme="minorHAnsi" w:hAnsiTheme="minorHAnsi" w:cstheme="minorHAnsi"/>
                <w:noProof/>
                <w:szCs w:val="20"/>
              </w:rPr>
              <w:t>1.1</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Conceptual framework for understanding potential water-related impacts of CSG extraction and coal mining</w:t>
            </w:r>
            <w:r w:rsidR="00BA5C65" w:rsidRPr="00BA5C65">
              <w:rPr>
                <w:rFonts w:asciiTheme="minorHAnsi" w:hAnsiTheme="minorHAnsi"/>
                <w:noProof/>
                <w:webHidden/>
                <w:szCs w:val="20"/>
              </w:rPr>
              <w:tab/>
            </w:r>
            <w:r w:rsidR="00CD09D3">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_Toc470004818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19</w:t>
            </w:r>
            <w:r w:rsidR="00BA5C65" w:rsidRPr="00BA5C65">
              <w:rPr>
                <w:rFonts w:asciiTheme="minorHAnsi" w:hAnsiTheme="minorHAnsi"/>
                <w:noProof/>
                <w:webHidden/>
                <w:szCs w:val="20"/>
              </w:rPr>
              <w:fldChar w:fldCharType="end"/>
            </w:r>
          </w:hyperlink>
        </w:p>
        <w:p w14:paraId="7D823809"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19" w:history="1">
            <w:r w:rsidR="00BA5C65" w:rsidRPr="00BA5C65">
              <w:rPr>
                <w:rStyle w:val="Hyperlink"/>
                <w:rFonts w:asciiTheme="minorHAnsi" w:hAnsiTheme="minorHAnsi" w:cstheme="minorHAnsi"/>
                <w:noProof/>
                <w:szCs w:val="20"/>
              </w:rPr>
              <w:t>1.2</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Conceptualisation and framing of research questions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_Toc470004819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24</w:t>
            </w:r>
            <w:r w:rsidR="00BA5C65" w:rsidRPr="00BA5C65">
              <w:rPr>
                <w:rFonts w:asciiTheme="minorHAnsi" w:hAnsiTheme="minorHAnsi"/>
                <w:noProof/>
                <w:webHidden/>
                <w:szCs w:val="20"/>
              </w:rPr>
              <w:fldChar w:fldCharType="end"/>
            </w:r>
          </w:hyperlink>
        </w:p>
        <w:p w14:paraId="07ACAB55"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20" w:history="1">
            <w:r w:rsidR="00BA5C65" w:rsidRPr="00BA5C65">
              <w:rPr>
                <w:rStyle w:val="Hyperlink"/>
                <w:rFonts w:asciiTheme="minorHAnsi" w:hAnsiTheme="minorHAnsi" w:cstheme="minorHAnsi"/>
                <w:noProof/>
                <w:szCs w:val="20"/>
              </w:rPr>
              <w:t>1.3</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Research questions to test</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_Toc470004820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29</w:t>
            </w:r>
            <w:r w:rsidR="00BA5C65" w:rsidRPr="00BA5C65">
              <w:rPr>
                <w:rFonts w:asciiTheme="minorHAnsi" w:hAnsiTheme="minorHAnsi"/>
                <w:noProof/>
                <w:webHidden/>
                <w:szCs w:val="20"/>
              </w:rPr>
              <w:fldChar w:fldCharType="end"/>
            </w:r>
          </w:hyperlink>
        </w:p>
        <w:p w14:paraId="06358B50"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21" w:history="1">
            <w:r w:rsidR="00BA5C65" w:rsidRPr="00BA5C65">
              <w:rPr>
                <w:rStyle w:val="Hyperlink"/>
                <w:rFonts w:asciiTheme="minorHAnsi" w:hAnsiTheme="minorHAnsi" w:cstheme="minorHAnsi"/>
                <w:noProof/>
                <w:szCs w:val="20"/>
              </w:rPr>
              <w:t>1.4</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References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_Toc470004821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31</w:t>
            </w:r>
            <w:r w:rsidR="00BA5C65" w:rsidRPr="00BA5C65">
              <w:rPr>
                <w:rFonts w:asciiTheme="minorHAnsi" w:hAnsiTheme="minorHAnsi"/>
                <w:noProof/>
                <w:webHidden/>
                <w:szCs w:val="20"/>
              </w:rPr>
              <w:fldChar w:fldCharType="end"/>
            </w:r>
          </w:hyperlink>
        </w:p>
        <w:p w14:paraId="4F2E2EB7" w14:textId="77777777" w:rsidR="00BA5C65" w:rsidRPr="00BA5C65" w:rsidRDefault="006E6498">
          <w:pPr>
            <w:pStyle w:val="TOC1"/>
            <w:rPr>
              <w:rFonts w:asciiTheme="minorHAnsi" w:hAnsiTheme="minorHAnsi"/>
              <w:noProof/>
              <w:szCs w:val="20"/>
              <w:lang w:val="en-AU" w:eastAsia="en-AU"/>
            </w:rPr>
          </w:pPr>
          <w:hyperlink w:anchor="_Toc470004822" w:history="1">
            <w:r w:rsidR="00BA5C65" w:rsidRPr="00BA5C65">
              <w:rPr>
                <w:rStyle w:val="Hyperlink"/>
                <w:rFonts w:asciiTheme="minorHAnsi" w:eastAsiaTheme="majorEastAsia" w:hAnsiTheme="minorHAnsi" w:cstheme="minorHAnsi"/>
                <w:noProof/>
                <w:szCs w:val="20"/>
              </w:rPr>
              <w:t>2</w:t>
            </w:r>
            <w:r w:rsidR="00BA5C65" w:rsidRPr="00BA5C65">
              <w:rPr>
                <w:rFonts w:asciiTheme="minorHAnsi" w:hAnsiTheme="minorHAnsi"/>
                <w:noProof/>
                <w:szCs w:val="20"/>
                <w:lang w:val="en-AU" w:eastAsia="en-AU"/>
              </w:rPr>
              <w:tab/>
            </w:r>
            <w:r w:rsidR="00BA5C65" w:rsidRPr="00BA5C65">
              <w:rPr>
                <w:rStyle w:val="Hyperlink"/>
                <w:rFonts w:asciiTheme="minorHAnsi" w:eastAsiaTheme="majorEastAsia" w:hAnsiTheme="minorHAnsi" w:cstheme="minorHAnsi"/>
                <w:noProof/>
                <w:szCs w:val="20"/>
              </w:rPr>
              <w:t>Component 1 – Groundwater dependent vegetation</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_Toc470004822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33</w:t>
            </w:r>
            <w:r w:rsidR="00BA5C65" w:rsidRPr="00BA5C65">
              <w:rPr>
                <w:rFonts w:asciiTheme="minorHAnsi" w:hAnsiTheme="minorHAnsi"/>
                <w:noProof/>
                <w:webHidden/>
                <w:szCs w:val="20"/>
              </w:rPr>
              <w:fldChar w:fldCharType="end"/>
            </w:r>
          </w:hyperlink>
        </w:p>
        <w:p w14:paraId="39C2F43A"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23" w:history="1">
            <w:r w:rsidR="00BA5C65" w:rsidRPr="00BA5C65">
              <w:rPr>
                <w:rStyle w:val="Hyperlink"/>
                <w:rFonts w:asciiTheme="minorHAnsi" w:hAnsiTheme="minorHAnsi" w:cstheme="minorHAnsi"/>
                <w:noProof/>
                <w:szCs w:val="20"/>
              </w:rPr>
              <w:t>2.1</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Introduction</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_Toc470004823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33</w:t>
            </w:r>
            <w:r w:rsidR="00BA5C65" w:rsidRPr="00BA5C65">
              <w:rPr>
                <w:rFonts w:asciiTheme="minorHAnsi" w:hAnsiTheme="minorHAnsi"/>
                <w:noProof/>
                <w:webHidden/>
                <w:szCs w:val="20"/>
              </w:rPr>
              <w:fldChar w:fldCharType="end"/>
            </w:r>
          </w:hyperlink>
        </w:p>
        <w:p w14:paraId="0720356F"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24" w:history="1">
            <w:r w:rsidR="00BA5C65" w:rsidRPr="00BA5C65">
              <w:rPr>
                <w:rStyle w:val="Hyperlink"/>
                <w:rFonts w:asciiTheme="minorHAnsi" w:hAnsiTheme="minorHAnsi" w:cstheme="minorHAnsi"/>
                <w:noProof/>
                <w:szCs w:val="20"/>
              </w:rPr>
              <w:t>2.2</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Methods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_Toc470004824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35</w:t>
            </w:r>
            <w:r w:rsidR="00BA5C65" w:rsidRPr="00BA5C65">
              <w:rPr>
                <w:rFonts w:asciiTheme="minorHAnsi" w:hAnsiTheme="minorHAnsi"/>
                <w:noProof/>
                <w:webHidden/>
                <w:szCs w:val="20"/>
              </w:rPr>
              <w:fldChar w:fldCharType="end"/>
            </w:r>
          </w:hyperlink>
        </w:p>
        <w:p w14:paraId="79AE8710"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25" w:history="1">
            <w:r w:rsidR="00BA5C65" w:rsidRPr="00BA5C65">
              <w:rPr>
                <w:rStyle w:val="Hyperlink"/>
                <w:rFonts w:asciiTheme="minorHAnsi" w:hAnsiTheme="minorHAnsi" w:cstheme="minorHAnsi"/>
                <w:noProof/>
                <w:szCs w:val="20"/>
              </w:rPr>
              <w:t>2.3</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Results &amp; Discussion</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_Toc470004825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41</w:t>
            </w:r>
            <w:r w:rsidR="00BA5C65" w:rsidRPr="00BA5C65">
              <w:rPr>
                <w:rFonts w:asciiTheme="minorHAnsi" w:hAnsiTheme="minorHAnsi"/>
                <w:noProof/>
                <w:webHidden/>
                <w:szCs w:val="20"/>
              </w:rPr>
              <w:fldChar w:fldCharType="end"/>
            </w:r>
          </w:hyperlink>
        </w:p>
        <w:p w14:paraId="3780634E" w14:textId="77777777" w:rsidR="00BA5C65" w:rsidRPr="00BA5C65" w:rsidRDefault="006E6498">
          <w:pPr>
            <w:pStyle w:val="TOC3"/>
            <w:rPr>
              <w:rFonts w:eastAsiaTheme="minorEastAsia" w:cstheme="minorBidi"/>
              <w:bCs w:val="0"/>
              <w:noProof/>
              <w:sz w:val="20"/>
              <w:szCs w:val="20"/>
              <w:lang w:eastAsia="en-AU"/>
            </w:rPr>
          </w:pPr>
          <w:hyperlink w:anchor="_Toc470004826" w:history="1">
            <w:r w:rsidR="00BA5C65" w:rsidRPr="00BA5C65">
              <w:rPr>
                <w:rStyle w:val="Hyperlink"/>
                <w:rFonts w:cstheme="minorHAnsi"/>
                <w:noProof/>
                <w:sz w:val="20"/>
                <w:szCs w:val="20"/>
                <w:lang w:eastAsia="en-AU"/>
              </w:rPr>
              <w:t>2.3.1</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lang w:eastAsia="en-AU"/>
              </w:rPr>
              <w:t>Typology of phreatophytic vegetation</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_Toc470004826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41</w:t>
            </w:r>
            <w:r w:rsidR="00BA5C65" w:rsidRPr="00BA5C65">
              <w:rPr>
                <w:noProof/>
                <w:webHidden/>
                <w:sz w:val="20"/>
                <w:szCs w:val="20"/>
              </w:rPr>
              <w:fldChar w:fldCharType="end"/>
            </w:r>
          </w:hyperlink>
        </w:p>
        <w:p w14:paraId="536E6FCA" w14:textId="77777777" w:rsidR="00BA5C65" w:rsidRPr="00BA5C65" w:rsidRDefault="006E6498">
          <w:pPr>
            <w:pStyle w:val="TOC3"/>
            <w:rPr>
              <w:rFonts w:eastAsiaTheme="minorEastAsia" w:cstheme="minorBidi"/>
              <w:bCs w:val="0"/>
              <w:noProof/>
              <w:sz w:val="20"/>
              <w:szCs w:val="20"/>
              <w:lang w:eastAsia="en-AU"/>
            </w:rPr>
          </w:pPr>
          <w:hyperlink w:anchor="_Toc470004827" w:history="1">
            <w:r w:rsidR="00BA5C65" w:rsidRPr="00BA5C65">
              <w:rPr>
                <w:rStyle w:val="Hyperlink"/>
                <w:rFonts w:cstheme="minorHAnsi"/>
                <w:noProof/>
                <w:sz w:val="20"/>
                <w:szCs w:val="20"/>
                <w:lang w:eastAsia="en-AU"/>
              </w:rPr>
              <w:t>2.3.2</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lang w:eastAsia="en-AU"/>
              </w:rPr>
              <w:t>Landscape distribution of plant hydrotypes and productivity</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_Toc470004827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50</w:t>
            </w:r>
            <w:r w:rsidR="00BA5C65" w:rsidRPr="00BA5C65">
              <w:rPr>
                <w:noProof/>
                <w:webHidden/>
                <w:sz w:val="20"/>
                <w:szCs w:val="20"/>
              </w:rPr>
              <w:fldChar w:fldCharType="end"/>
            </w:r>
          </w:hyperlink>
        </w:p>
        <w:p w14:paraId="4EC38B06" w14:textId="77777777" w:rsidR="00BA5C65" w:rsidRPr="00BA5C65" w:rsidRDefault="006E6498">
          <w:pPr>
            <w:pStyle w:val="TOC3"/>
            <w:rPr>
              <w:rFonts w:eastAsiaTheme="minorEastAsia" w:cstheme="minorBidi"/>
              <w:bCs w:val="0"/>
              <w:noProof/>
              <w:sz w:val="20"/>
              <w:szCs w:val="20"/>
              <w:lang w:eastAsia="en-AU"/>
            </w:rPr>
          </w:pPr>
          <w:hyperlink w:anchor="_Toc470004828" w:history="1">
            <w:r w:rsidR="00BA5C65" w:rsidRPr="00BA5C65">
              <w:rPr>
                <w:rStyle w:val="Hyperlink"/>
                <w:rFonts w:cstheme="minorHAnsi"/>
                <w:noProof/>
                <w:sz w:val="20"/>
                <w:szCs w:val="20"/>
                <w:lang w:eastAsia="en-AU"/>
              </w:rPr>
              <w:t>2.3.3</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lang w:eastAsia="en-AU"/>
              </w:rPr>
              <w:t>Predicting groundwater use of plants across landscapes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_Toc470004828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55</w:t>
            </w:r>
            <w:r w:rsidR="00BA5C65" w:rsidRPr="00BA5C65">
              <w:rPr>
                <w:noProof/>
                <w:webHidden/>
                <w:sz w:val="20"/>
                <w:szCs w:val="20"/>
              </w:rPr>
              <w:fldChar w:fldCharType="end"/>
            </w:r>
          </w:hyperlink>
        </w:p>
        <w:p w14:paraId="3EB93B93" w14:textId="77777777" w:rsidR="00BA5C65" w:rsidRPr="00BA5C65" w:rsidRDefault="006E6498">
          <w:pPr>
            <w:pStyle w:val="TOC3"/>
            <w:rPr>
              <w:rFonts w:eastAsiaTheme="minorEastAsia" w:cstheme="minorBidi"/>
              <w:bCs w:val="0"/>
              <w:noProof/>
              <w:sz w:val="20"/>
              <w:szCs w:val="20"/>
              <w:lang w:eastAsia="en-AU"/>
            </w:rPr>
          </w:pPr>
          <w:hyperlink w:anchor="_Toc470004829" w:history="1">
            <w:r w:rsidR="00BA5C65" w:rsidRPr="00BA5C65">
              <w:rPr>
                <w:rStyle w:val="Hyperlink"/>
                <w:rFonts w:cstheme="minorHAnsi"/>
                <w:noProof/>
                <w:sz w:val="20"/>
                <w:szCs w:val="20"/>
                <w:lang w:eastAsia="en-AU"/>
              </w:rPr>
              <w:t>2.3.4</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lang w:eastAsia="en-AU"/>
              </w:rPr>
              <w:t>Using remote sensing to assess the spatial and temporal dependency of plant communities on groundwater</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_Toc470004829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62</w:t>
            </w:r>
            <w:r w:rsidR="00BA5C65" w:rsidRPr="00BA5C65">
              <w:rPr>
                <w:noProof/>
                <w:webHidden/>
                <w:sz w:val="20"/>
                <w:szCs w:val="20"/>
              </w:rPr>
              <w:fldChar w:fldCharType="end"/>
            </w:r>
          </w:hyperlink>
        </w:p>
        <w:p w14:paraId="632F3A6F"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30" w:history="1">
            <w:r w:rsidR="00BA5C65" w:rsidRPr="00BA5C65">
              <w:rPr>
                <w:rStyle w:val="Hyperlink"/>
                <w:rFonts w:asciiTheme="minorHAnsi" w:hAnsiTheme="minorHAnsi" w:cstheme="minorHAnsi"/>
                <w:noProof/>
                <w:szCs w:val="20"/>
              </w:rPr>
              <w:t>2.4</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Major Findings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_Toc470004830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72</w:t>
            </w:r>
            <w:r w:rsidR="00BA5C65" w:rsidRPr="00BA5C65">
              <w:rPr>
                <w:rFonts w:asciiTheme="minorHAnsi" w:hAnsiTheme="minorHAnsi"/>
                <w:noProof/>
                <w:webHidden/>
                <w:szCs w:val="20"/>
              </w:rPr>
              <w:fldChar w:fldCharType="end"/>
            </w:r>
          </w:hyperlink>
        </w:p>
        <w:p w14:paraId="25E1B1D5"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31" w:history="1">
            <w:r w:rsidR="00BA5C65" w:rsidRPr="00BA5C65">
              <w:rPr>
                <w:rStyle w:val="Hyperlink"/>
                <w:rFonts w:asciiTheme="minorHAnsi" w:hAnsiTheme="minorHAnsi" w:cstheme="minorHAnsi"/>
                <w:noProof/>
                <w:szCs w:val="20"/>
              </w:rPr>
              <w:t>2.5</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References Component 1</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_Toc470004831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76</w:t>
            </w:r>
            <w:r w:rsidR="00BA5C65" w:rsidRPr="00BA5C65">
              <w:rPr>
                <w:rFonts w:asciiTheme="minorHAnsi" w:hAnsiTheme="minorHAnsi"/>
                <w:noProof/>
                <w:webHidden/>
                <w:szCs w:val="20"/>
              </w:rPr>
              <w:fldChar w:fldCharType="end"/>
            </w:r>
          </w:hyperlink>
        </w:p>
        <w:p w14:paraId="5E6FF55E" w14:textId="77777777" w:rsidR="00BA5C65" w:rsidRPr="00BA5C65" w:rsidRDefault="006E6498">
          <w:pPr>
            <w:pStyle w:val="TOC1"/>
            <w:tabs>
              <w:tab w:val="left" w:pos="660"/>
            </w:tabs>
            <w:rPr>
              <w:rFonts w:asciiTheme="minorHAnsi" w:hAnsiTheme="minorHAnsi"/>
              <w:noProof/>
              <w:szCs w:val="20"/>
              <w:lang w:val="en-AU" w:eastAsia="en-AU"/>
            </w:rPr>
          </w:pPr>
          <w:hyperlink w:anchor="_Toc470004832" w:history="1">
            <w:r w:rsidR="00BA5C65" w:rsidRPr="00BA5C65">
              <w:rPr>
                <w:rStyle w:val="Hyperlink"/>
                <w:rFonts w:asciiTheme="minorHAnsi" w:hAnsiTheme="minorHAnsi" w:cstheme="minorHAnsi"/>
                <w:noProof/>
                <w:szCs w:val="20"/>
              </w:rPr>
              <w:t>3</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Component 2 – Ecological values of baseflow and surface water-groundwater connectivity regimes in non-perennial streams. (Short title: Baseflows).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_Toc470004832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80</w:t>
            </w:r>
            <w:r w:rsidR="00BA5C65" w:rsidRPr="00BA5C65">
              <w:rPr>
                <w:rFonts w:asciiTheme="minorHAnsi" w:hAnsiTheme="minorHAnsi"/>
                <w:noProof/>
                <w:webHidden/>
                <w:szCs w:val="20"/>
              </w:rPr>
              <w:fldChar w:fldCharType="end"/>
            </w:r>
          </w:hyperlink>
        </w:p>
        <w:p w14:paraId="082511CF"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33" w:history="1">
            <w:r w:rsidR="00BA5C65" w:rsidRPr="00BA5C65">
              <w:rPr>
                <w:rStyle w:val="Hyperlink"/>
                <w:rFonts w:asciiTheme="minorHAnsi" w:hAnsiTheme="minorHAnsi" w:cstheme="minorHAnsi"/>
                <w:noProof/>
                <w:szCs w:val="20"/>
              </w:rPr>
              <w:t>3.1</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Acknowledgments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_Toc470004833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80</w:t>
            </w:r>
            <w:r w:rsidR="00BA5C65" w:rsidRPr="00BA5C65">
              <w:rPr>
                <w:rFonts w:asciiTheme="minorHAnsi" w:hAnsiTheme="minorHAnsi"/>
                <w:noProof/>
                <w:webHidden/>
                <w:szCs w:val="20"/>
              </w:rPr>
              <w:fldChar w:fldCharType="end"/>
            </w:r>
          </w:hyperlink>
        </w:p>
        <w:p w14:paraId="1128F2F1"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34" w:history="1">
            <w:r w:rsidR="00BA5C65" w:rsidRPr="00BA5C65">
              <w:rPr>
                <w:rStyle w:val="Hyperlink"/>
                <w:rFonts w:asciiTheme="minorHAnsi" w:hAnsiTheme="minorHAnsi" w:cstheme="minorHAnsi"/>
                <w:noProof/>
                <w:szCs w:val="20"/>
              </w:rPr>
              <w:t>3.2</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General introduction</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_Toc470004834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80</w:t>
            </w:r>
            <w:r w:rsidR="00BA5C65" w:rsidRPr="00BA5C65">
              <w:rPr>
                <w:rFonts w:asciiTheme="minorHAnsi" w:hAnsiTheme="minorHAnsi"/>
                <w:noProof/>
                <w:webHidden/>
                <w:szCs w:val="20"/>
              </w:rPr>
              <w:fldChar w:fldCharType="end"/>
            </w:r>
          </w:hyperlink>
        </w:p>
        <w:p w14:paraId="6AFCB8A0" w14:textId="77777777" w:rsidR="00BA5C65" w:rsidRPr="00BA5C65" w:rsidRDefault="006E6498">
          <w:pPr>
            <w:pStyle w:val="TOC3"/>
            <w:rPr>
              <w:rFonts w:eastAsiaTheme="minorEastAsia" w:cstheme="minorBidi"/>
              <w:bCs w:val="0"/>
              <w:noProof/>
              <w:sz w:val="20"/>
              <w:szCs w:val="20"/>
              <w:lang w:eastAsia="en-AU"/>
            </w:rPr>
          </w:pPr>
          <w:hyperlink w:anchor="_Toc470004835" w:history="1">
            <w:r w:rsidR="00BA5C65" w:rsidRPr="00BA5C65">
              <w:rPr>
                <w:rStyle w:val="Hyperlink"/>
                <w:rFonts w:cstheme="minorHAnsi"/>
                <w:noProof/>
                <w:sz w:val="20"/>
                <w:szCs w:val="20"/>
              </w:rPr>
              <w:t>3.2.1</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Purpose of study</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_Toc470004835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80</w:t>
            </w:r>
            <w:r w:rsidR="00BA5C65" w:rsidRPr="00BA5C65">
              <w:rPr>
                <w:noProof/>
                <w:webHidden/>
                <w:sz w:val="20"/>
                <w:szCs w:val="20"/>
              </w:rPr>
              <w:fldChar w:fldCharType="end"/>
            </w:r>
          </w:hyperlink>
        </w:p>
        <w:p w14:paraId="7C43D15A" w14:textId="77777777" w:rsidR="00BA5C65" w:rsidRPr="00BA5C65" w:rsidRDefault="006E6498">
          <w:pPr>
            <w:pStyle w:val="TOC3"/>
            <w:rPr>
              <w:rFonts w:eastAsiaTheme="minorEastAsia" w:cstheme="minorBidi"/>
              <w:bCs w:val="0"/>
              <w:noProof/>
              <w:sz w:val="20"/>
              <w:szCs w:val="20"/>
              <w:lang w:eastAsia="en-AU"/>
            </w:rPr>
          </w:pPr>
          <w:hyperlink w:anchor="_Toc470004836" w:history="1">
            <w:r w:rsidR="00BA5C65" w:rsidRPr="00BA5C65">
              <w:rPr>
                <w:rStyle w:val="Hyperlink"/>
                <w:rFonts w:cstheme="minorHAnsi"/>
                <w:noProof/>
                <w:sz w:val="20"/>
                <w:szCs w:val="20"/>
              </w:rPr>
              <w:t>3.2.2</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Background</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_Toc470004836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80</w:t>
            </w:r>
            <w:r w:rsidR="00BA5C65" w:rsidRPr="00BA5C65">
              <w:rPr>
                <w:noProof/>
                <w:webHidden/>
                <w:sz w:val="20"/>
                <w:szCs w:val="20"/>
              </w:rPr>
              <w:fldChar w:fldCharType="end"/>
            </w:r>
          </w:hyperlink>
        </w:p>
        <w:p w14:paraId="50C35405"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37" w:history="1">
            <w:r w:rsidR="00BA5C65" w:rsidRPr="00BA5C65">
              <w:rPr>
                <w:rStyle w:val="Hyperlink"/>
                <w:rFonts w:asciiTheme="minorHAnsi" w:hAnsiTheme="minorHAnsi" w:cstheme="minorHAnsi"/>
                <w:noProof/>
                <w:szCs w:val="20"/>
              </w:rPr>
              <w:t>3.3</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Hypothesised responses to reduced baseflow</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_Toc470004837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82</w:t>
            </w:r>
            <w:r w:rsidR="00BA5C65" w:rsidRPr="00BA5C65">
              <w:rPr>
                <w:rFonts w:asciiTheme="minorHAnsi" w:hAnsiTheme="minorHAnsi"/>
                <w:noProof/>
                <w:webHidden/>
                <w:szCs w:val="20"/>
              </w:rPr>
              <w:fldChar w:fldCharType="end"/>
            </w:r>
          </w:hyperlink>
        </w:p>
        <w:p w14:paraId="707B1410"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38" w:history="1">
            <w:r w:rsidR="00BA5C65" w:rsidRPr="00BA5C65">
              <w:rPr>
                <w:rStyle w:val="Hyperlink"/>
                <w:rFonts w:asciiTheme="minorHAnsi" w:hAnsiTheme="minorHAnsi" w:cstheme="minorHAnsi"/>
                <w:noProof/>
                <w:szCs w:val="20"/>
              </w:rPr>
              <w:t>3.4</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Study site characteristics in the upper Bremer River catchment</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_Toc470004838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83</w:t>
            </w:r>
            <w:r w:rsidR="00BA5C65" w:rsidRPr="00BA5C65">
              <w:rPr>
                <w:rFonts w:asciiTheme="minorHAnsi" w:hAnsiTheme="minorHAnsi"/>
                <w:noProof/>
                <w:webHidden/>
                <w:szCs w:val="20"/>
              </w:rPr>
              <w:fldChar w:fldCharType="end"/>
            </w:r>
          </w:hyperlink>
        </w:p>
        <w:p w14:paraId="3CBD9842" w14:textId="77777777" w:rsidR="00BA5C65" w:rsidRPr="00BA5C65" w:rsidRDefault="006E6498">
          <w:pPr>
            <w:pStyle w:val="TOC3"/>
            <w:rPr>
              <w:rFonts w:eastAsiaTheme="minorEastAsia" w:cstheme="minorBidi"/>
              <w:bCs w:val="0"/>
              <w:noProof/>
              <w:sz w:val="20"/>
              <w:szCs w:val="20"/>
              <w:lang w:eastAsia="en-AU"/>
            </w:rPr>
          </w:pPr>
          <w:hyperlink w:anchor="_Toc470004839" w:history="1">
            <w:r w:rsidR="00BA5C65" w:rsidRPr="00BA5C65">
              <w:rPr>
                <w:rStyle w:val="Hyperlink"/>
                <w:rFonts w:cstheme="minorHAnsi"/>
                <w:noProof/>
                <w:sz w:val="20"/>
                <w:szCs w:val="20"/>
              </w:rPr>
              <w:t>3.4.1</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Study region and sites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_Toc470004839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83</w:t>
            </w:r>
            <w:r w:rsidR="00BA5C65" w:rsidRPr="00BA5C65">
              <w:rPr>
                <w:noProof/>
                <w:webHidden/>
                <w:sz w:val="20"/>
                <w:szCs w:val="20"/>
              </w:rPr>
              <w:fldChar w:fldCharType="end"/>
            </w:r>
          </w:hyperlink>
        </w:p>
        <w:p w14:paraId="5086EBED" w14:textId="77777777" w:rsidR="00BA5C65" w:rsidRPr="00BA5C65" w:rsidRDefault="006E6498">
          <w:pPr>
            <w:pStyle w:val="TOC3"/>
            <w:rPr>
              <w:rFonts w:eastAsiaTheme="minorEastAsia" w:cstheme="minorBidi"/>
              <w:bCs w:val="0"/>
              <w:noProof/>
              <w:sz w:val="20"/>
              <w:szCs w:val="20"/>
              <w:lang w:eastAsia="en-AU"/>
            </w:rPr>
          </w:pPr>
          <w:hyperlink w:anchor="_Toc470004840" w:history="1">
            <w:r w:rsidR="00BA5C65" w:rsidRPr="00BA5C65">
              <w:rPr>
                <w:rStyle w:val="Hyperlink"/>
                <w:rFonts w:cstheme="minorHAnsi"/>
                <w:noProof/>
                <w:sz w:val="20"/>
                <w:szCs w:val="20"/>
              </w:rPr>
              <w:t>3.4.2</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Estimating temporal variation in flow</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_Toc470004840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86</w:t>
            </w:r>
            <w:r w:rsidR="00BA5C65" w:rsidRPr="00BA5C65">
              <w:rPr>
                <w:noProof/>
                <w:webHidden/>
                <w:sz w:val="20"/>
                <w:szCs w:val="20"/>
              </w:rPr>
              <w:fldChar w:fldCharType="end"/>
            </w:r>
          </w:hyperlink>
        </w:p>
        <w:p w14:paraId="6315B5AB" w14:textId="77777777" w:rsidR="00BA5C65" w:rsidRPr="00BA5C65" w:rsidRDefault="006E6498">
          <w:pPr>
            <w:pStyle w:val="TOC3"/>
            <w:rPr>
              <w:rFonts w:eastAsiaTheme="minorEastAsia" w:cstheme="minorBidi"/>
              <w:bCs w:val="0"/>
              <w:noProof/>
              <w:sz w:val="20"/>
              <w:szCs w:val="20"/>
              <w:lang w:eastAsia="en-AU"/>
            </w:rPr>
          </w:pPr>
          <w:hyperlink w:anchor="_Toc470004841" w:history="1">
            <w:r w:rsidR="00BA5C65" w:rsidRPr="00BA5C65">
              <w:rPr>
                <w:rStyle w:val="Hyperlink"/>
                <w:rFonts w:cstheme="minorHAnsi"/>
                <w:noProof/>
                <w:sz w:val="20"/>
                <w:szCs w:val="20"/>
              </w:rPr>
              <w:t>3.4.3</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Groundwater contributions to flow</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_Toc470004841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88</w:t>
            </w:r>
            <w:r w:rsidR="00BA5C65" w:rsidRPr="00BA5C65">
              <w:rPr>
                <w:noProof/>
                <w:webHidden/>
                <w:sz w:val="20"/>
                <w:szCs w:val="20"/>
              </w:rPr>
              <w:fldChar w:fldCharType="end"/>
            </w:r>
          </w:hyperlink>
        </w:p>
        <w:p w14:paraId="52E74167" w14:textId="77777777" w:rsidR="00BA5C65" w:rsidRPr="00BA5C65" w:rsidRDefault="006E6498">
          <w:pPr>
            <w:pStyle w:val="TOC3"/>
            <w:rPr>
              <w:rFonts w:eastAsiaTheme="minorEastAsia" w:cstheme="minorBidi"/>
              <w:bCs w:val="0"/>
              <w:noProof/>
              <w:sz w:val="20"/>
              <w:szCs w:val="20"/>
              <w:lang w:eastAsia="en-AU"/>
            </w:rPr>
          </w:pPr>
          <w:hyperlink w:anchor="_Toc470004842" w:history="1">
            <w:r w:rsidR="00BA5C65" w:rsidRPr="00BA5C65">
              <w:rPr>
                <w:rStyle w:val="Hyperlink"/>
                <w:rFonts w:cstheme="minorHAnsi"/>
                <w:noProof/>
                <w:sz w:val="20"/>
                <w:szCs w:val="20"/>
              </w:rPr>
              <w:t>3.4.4</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Water quality and chlorophyll</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_Toc470004842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88</w:t>
            </w:r>
            <w:r w:rsidR="00BA5C65" w:rsidRPr="00BA5C65">
              <w:rPr>
                <w:noProof/>
                <w:webHidden/>
                <w:sz w:val="20"/>
                <w:szCs w:val="20"/>
              </w:rPr>
              <w:fldChar w:fldCharType="end"/>
            </w:r>
          </w:hyperlink>
        </w:p>
        <w:p w14:paraId="0CC4F5EC"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43" w:history="1">
            <w:r w:rsidR="00BA5C65" w:rsidRPr="00BA5C65">
              <w:rPr>
                <w:rStyle w:val="Hyperlink"/>
                <w:rFonts w:asciiTheme="minorHAnsi" w:hAnsiTheme="minorHAnsi" w:cstheme="minorHAnsi"/>
                <w:noProof/>
                <w:szCs w:val="20"/>
              </w:rPr>
              <w:t>3.5</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Organic matter processing</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_Toc470004843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92</w:t>
            </w:r>
            <w:r w:rsidR="00BA5C65" w:rsidRPr="00BA5C65">
              <w:rPr>
                <w:rFonts w:asciiTheme="minorHAnsi" w:hAnsiTheme="minorHAnsi"/>
                <w:noProof/>
                <w:webHidden/>
                <w:szCs w:val="20"/>
              </w:rPr>
              <w:fldChar w:fldCharType="end"/>
            </w:r>
          </w:hyperlink>
        </w:p>
        <w:p w14:paraId="7B1B089E" w14:textId="77777777" w:rsidR="00BA5C65" w:rsidRPr="00BA5C65" w:rsidRDefault="006E6498">
          <w:pPr>
            <w:pStyle w:val="TOC3"/>
            <w:rPr>
              <w:rFonts w:eastAsiaTheme="minorEastAsia" w:cstheme="minorBidi"/>
              <w:bCs w:val="0"/>
              <w:noProof/>
              <w:sz w:val="20"/>
              <w:szCs w:val="20"/>
              <w:lang w:eastAsia="en-AU"/>
            </w:rPr>
          </w:pPr>
          <w:hyperlink w:anchor="_Toc470004844" w:history="1">
            <w:r w:rsidR="00BA5C65" w:rsidRPr="00BA5C65">
              <w:rPr>
                <w:rStyle w:val="Hyperlink"/>
                <w:rFonts w:cstheme="minorHAnsi"/>
                <w:noProof/>
                <w:sz w:val="20"/>
                <w:szCs w:val="20"/>
              </w:rPr>
              <w:t>3.5.1</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Introduction</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_Toc470004844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92</w:t>
            </w:r>
            <w:r w:rsidR="00BA5C65" w:rsidRPr="00BA5C65">
              <w:rPr>
                <w:noProof/>
                <w:webHidden/>
                <w:sz w:val="20"/>
                <w:szCs w:val="20"/>
              </w:rPr>
              <w:fldChar w:fldCharType="end"/>
            </w:r>
          </w:hyperlink>
        </w:p>
        <w:p w14:paraId="572683D7" w14:textId="77777777" w:rsidR="00BA5C65" w:rsidRPr="00BA5C65" w:rsidRDefault="006E6498">
          <w:pPr>
            <w:pStyle w:val="TOC3"/>
            <w:rPr>
              <w:rFonts w:eastAsiaTheme="minorEastAsia" w:cstheme="minorBidi"/>
              <w:bCs w:val="0"/>
              <w:noProof/>
              <w:sz w:val="20"/>
              <w:szCs w:val="20"/>
              <w:lang w:eastAsia="en-AU"/>
            </w:rPr>
          </w:pPr>
          <w:hyperlink w:anchor="_Toc470004845" w:history="1">
            <w:r w:rsidR="00BA5C65" w:rsidRPr="00BA5C65">
              <w:rPr>
                <w:rStyle w:val="Hyperlink"/>
                <w:rFonts w:cstheme="minorHAnsi"/>
                <w:noProof/>
                <w:sz w:val="20"/>
                <w:szCs w:val="20"/>
              </w:rPr>
              <w:t>3.5.2</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Methods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_Toc470004845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93</w:t>
            </w:r>
            <w:r w:rsidR="00BA5C65" w:rsidRPr="00BA5C65">
              <w:rPr>
                <w:noProof/>
                <w:webHidden/>
                <w:sz w:val="20"/>
                <w:szCs w:val="20"/>
              </w:rPr>
              <w:fldChar w:fldCharType="end"/>
            </w:r>
          </w:hyperlink>
        </w:p>
        <w:p w14:paraId="7B9CC56A" w14:textId="77777777" w:rsidR="00BA5C65" w:rsidRPr="00BA5C65" w:rsidRDefault="006E6498">
          <w:pPr>
            <w:pStyle w:val="TOC3"/>
            <w:rPr>
              <w:rFonts w:eastAsiaTheme="minorEastAsia" w:cstheme="minorBidi"/>
              <w:bCs w:val="0"/>
              <w:noProof/>
              <w:sz w:val="20"/>
              <w:szCs w:val="20"/>
              <w:lang w:eastAsia="en-AU"/>
            </w:rPr>
          </w:pPr>
          <w:hyperlink w:anchor="_Toc470004846" w:history="1">
            <w:r w:rsidR="00BA5C65" w:rsidRPr="00BA5C65">
              <w:rPr>
                <w:rStyle w:val="Hyperlink"/>
                <w:rFonts w:cstheme="minorHAnsi"/>
                <w:noProof/>
                <w:sz w:val="20"/>
                <w:szCs w:val="20"/>
              </w:rPr>
              <w:t>3.5.3</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Results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_Toc470004846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97</w:t>
            </w:r>
            <w:r w:rsidR="00BA5C65" w:rsidRPr="00BA5C65">
              <w:rPr>
                <w:noProof/>
                <w:webHidden/>
                <w:sz w:val="20"/>
                <w:szCs w:val="20"/>
              </w:rPr>
              <w:fldChar w:fldCharType="end"/>
            </w:r>
          </w:hyperlink>
        </w:p>
        <w:p w14:paraId="484E6C71" w14:textId="77777777" w:rsidR="00BA5C65" w:rsidRPr="00BA5C65" w:rsidRDefault="006E6498">
          <w:pPr>
            <w:pStyle w:val="TOC3"/>
            <w:rPr>
              <w:rFonts w:eastAsiaTheme="minorEastAsia" w:cstheme="minorBidi"/>
              <w:bCs w:val="0"/>
              <w:noProof/>
              <w:sz w:val="20"/>
              <w:szCs w:val="20"/>
              <w:lang w:eastAsia="en-AU"/>
            </w:rPr>
          </w:pPr>
          <w:hyperlink w:anchor="_Toc470004847" w:history="1">
            <w:r w:rsidR="00BA5C65" w:rsidRPr="00BA5C65">
              <w:rPr>
                <w:rStyle w:val="Hyperlink"/>
                <w:rFonts w:cstheme="minorHAnsi"/>
                <w:noProof/>
                <w:sz w:val="20"/>
                <w:szCs w:val="20"/>
              </w:rPr>
              <w:t>3.5.4</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Discussion</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_Toc470004847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103</w:t>
            </w:r>
            <w:r w:rsidR="00BA5C65" w:rsidRPr="00BA5C65">
              <w:rPr>
                <w:noProof/>
                <w:webHidden/>
                <w:sz w:val="20"/>
                <w:szCs w:val="20"/>
              </w:rPr>
              <w:fldChar w:fldCharType="end"/>
            </w:r>
          </w:hyperlink>
        </w:p>
        <w:p w14:paraId="03A30B7D"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48" w:history="1">
            <w:r w:rsidR="00BA5C65" w:rsidRPr="00BA5C65">
              <w:rPr>
                <w:rStyle w:val="Hyperlink"/>
                <w:rFonts w:asciiTheme="minorHAnsi" w:hAnsiTheme="minorHAnsi" w:cstheme="minorHAnsi"/>
                <w:noProof/>
                <w:szCs w:val="20"/>
              </w:rPr>
              <w:t>3.6</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Basal resource use and food web dynamics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_Toc470004848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105</w:t>
            </w:r>
            <w:r w:rsidR="00BA5C65" w:rsidRPr="00BA5C65">
              <w:rPr>
                <w:rFonts w:asciiTheme="minorHAnsi" w:hAnsiTheme="minorHAnsi"/>
                <w:noProof/>
                <w:webHidden/>
                <w:szCs w:val="20"/>
              </w:rPr>
              <w:fldChar w:fldCharType="end"/>
            </w:r>
          </w:hyperlink>
        </w:p>
        <w:p w14:paraId="20FC651F" w14:textId="77777777" w:rsidR="00BA5C65" w:rsidRPr="00BA5C65" w:rsidRDefault="006E6498">
          <w:pPr>
            <w:pStyle w:val="TOC3"/>
            <w:rPr>
              <w:rFonts w:eastAsiaTheme="minorEastAsia" w:cstheme="minorBidi"/>
              <w:bCs w:val="0"/>
              <w:noProof/>
              <w:sz w:val="20"/>
              <w:szCs w:val="20"/>
              <w:lang w:eastAsia="en-AU"/>
            </w:rPr>
          </w:pPr>
          <w:hyperlink w:anchor="_Toc470004849" w:history="1">
            <w:r w:rsidR="00BA5C65" w:rsidRPr="00BA5C65">
              <w:rPr>
                <w:rStyle w:val="Hyperlink"/>
                <w:rFonts w:cstheme="minorHAnsi"/>
                <w:noProof/>
                <w:sz w:val="20"/>
                <w:szCs w:val="20"/>
              </w:rPr>
              <w:t>3.6.1</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Introduction</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_Toc470004849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105</w:t>
            </w:r>
            <w:r w:rsidR="00BA5C65" w:rsidRPr="00BA5C65">
              <w:rPr>
                <w:noProof/>
                <w:webHidden/>
                <w:sz w:val="20"/>
                <w:szCs w:val="20"/>
              </w:rPr>
              <w:fldChar w:fldCharType="end"/>
            </w:r>
          </w:hyperlink>
        </w:p>
        <w:p w14:paraId="0DC01E45" w14:textId="77777777" w:rsidR="00BA5C65" w:rsidRPr="00BA5C65" w:rsidRDefault="006E6498">
          <w:pPr>
            <w:pStyle w:val="TOC3"/>
            <w:rPr>
              <w:rFonts w:eastAsiaTheme="minorEastAsia" w:cstheme="minorBidi"/>
              <w:bCs w:val="0"/>
              <w:noProof/>
              <w:sz w:val="20"/>
              <w:szCs w:val="20"/>
              <w:lang w:eastAsia="en-AU"/>
            </w:rPr>
          </w:pPr>
          <w:hyperlink w:anchor="_Toc470004850" w:history="1">
            <w:r w:rsidR="00BA5C65" w:rsidRPr="00BA5C65">
              <w:rPr>
                <w:rStyle w:val="Hyperlink"/>
                <w:rFonts w:cstheme="minorHAnsi"/>
                <w:noProof/>
                <w:sz w:val="20"/>
                <w:szCs w:val="20"/>
              </w:rPr>
              <w:t>3.6.2</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Methods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_Toc470004850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106</w:t>
            </w:r>
            <w:r w:rsidR="00BA5C65" w:rsidRPr="00BA5C65">
              <w:rPr>
                <w:noProof/>
                <w:webHidden/>
                <w:sz w:val="20"/>
                <w:szCs w:val="20"/>
              </w:rPr>
              <w:fldChar w:fldCharType="end"/>
            </w:r>
          </w:hyperlink>
        </w:p>
        <w:p w14:paraId="1E5605E6" w14:textId="77777777" w:rsidR="00BA5C65" w:rsidRPr="00BA5C65" w:rsidRDefault="006E6498">
          <w:pPr>
            <w:pStyle w:val="TOC3"/>
            <w:rPr>
              <w:rFonts w:eastAsiaTheme="minorEastAsia" w:cstheme="minorBidi"/>
              <w:bCs w:val="0"/>
              <w:noProof/>
              <w:sz w:val="20"/>
              <w:szCs w:val="20"/>
              <w:lang w:eastAsia="en-AU"/>
            </w:rPr>
          </w:pPr>
          <w:hyperlink w:anchor="_Toc470004851" w:history="1">
            <w:r w:rsidR="00BA5C65" w:rsidRPr="00BA5C65">
              <w:rPr>
                <w:rStyle w:val="Hyperlink"/>
                <w:rFonts w:cstheme="minorHAnsi"/>
                <w:noProof/>
                <w:sz w:val="20"/>
                <w:szCs w:val="20"/>
              </w:rPr>
              <w:t>3.6.3</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Data analysis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_Toc470004851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106</w:t>
            </w:r>
            <w:r w:rsidR="00BA5C65" w:rsidRPr="00BA5C65">
              <w:rPr>
                <w:noProof/>
                <w:webHidden/>
                <w:sz w:val="20"/>
                <w:szCs w:val="20"/>
              </w:rPr>
              <w:fldChar w:fldCharType="end"/>
            </w:r>
          </w:hyperlink>
        </w:p>
        <w:p w14:paraId="652D114F" w14:textId="77777777" w:rsidR="00BA5C65" w:rsidRPr="00BA5C65" w:rsidRDefault="006E6498">
          <w:pPr>
            <w:pStyle w:val="TOC3"/>
            <w:rPr>
              <w:rFonts w:eastAsiaTheme="minorEastAsia" w:cstheme="minorBidi"/>
              <w:bCs w:val="0"/>
              <w:noProof/>
              <w:sz w:val="20"/>
              <w:szCs w:val="20"/>
              <w:lang w:eastAsia="en-AU"/>
            </w:rPr>
          </w:pPr>
          <w:hyperlink w:anchor="_Toc470004852" w:history="1">
            <w:r w:rsidR="00BA5C65" w:rsidRPr="00BA5C65">
              <w:rPr>
                <w:rStyle w:val="Hyperlink"/>
                <w:rFonts w:cstheme="minorHAnsi"/>
                <w:noProof/>
                <w:sz w:val="20"/>
                <w:szCs w:val="20"/>
              </w:rPr>
              <w:t>3.6.4</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Results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_Toc470004852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107</w:t>
            </w:r>
            <w:r w:rsidR="00BA5C65" w:rsidRPr="00BA5C65">
              <w:rPr>
                <w:noProof/>
                <w:webHidden/>
                <w:sz w:val="20"/>
                <w:szCs w:val="20"/>
              </w:rPr>
              <w:fldChar w:fldCharType="end"/>
            </w:r>
          </w:hyperlink>
        </w:p>
        <w:p w14:paraId="0CFDEBDA" w14:textId="77777777" w:rsidR="00BA5C65" w:rsidRPr="00BA5C65" w:rsidRDefault="006E6498">
          <w:pPr>
            <w:pStyle w:val="TOC3"/>
            <w:rPr>
              <w:rFonts w:eastAsiaTheme="minorEastAsia" w:cstheme="minorBidi"/>
              <w:bCs w:val="0"/>
              <w:noProof/>
              <w:sz w:val="20"/>
              <w:szCs w:val="20"/>
              <w:lang w:eastAsia="en-AU"/>
            </w:rPr>
          </w:pPr>
          <w:hyperlink w:anchor="_Toc470004853" w:history="1">
            <w:r w:rsidR="00BA5C65" w:rsidRPr="00BA5C65">
              <w:rPr>
                <w:rStyle w:val="Hyperlink"/>
                <w:rFonts w:cstheme="minorHAnsi"/>
                <w:noProof/>
                <w:sz w:val="20"/>
                <w:szCs w:val="20"/>
              </w:rPr>
              <w:t>3.6.5</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Discussion</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_Toc470004853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112</w:t>
            </w:r>
            <w:r w:rsidR="00BA5C65" w:rsidRPr="00BA5C65">
              <w:rPr>
                <w:noProof/>
                <w:webHidden/>
                <w:sz w:val="20"/>
                <w:szCs w:val="20"/>
              </w:rPr>
              <w:fldChar w:fldCharType="end"/>
            </w:r>
          </w:hyperlink>
        </w:p>
        <w:p w14:paraId="044DD01B"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54" w:history="1">
            <w:r w:rsidR="00BA5C65" w:rsidRPr="00BA5C65">
              <w:rPr>
                <w:rStyle w:val="Hyperlink"/>
                <w:rFonts w:asciiTheme="minorHAnsi" w:hAnsiTheme="minorHAnsi" w:cstheme="minorHAnsi"/>
                <w:noProof/>
                <w:szCs w:val="20"/>
              </w:rPr>
              <w:t>3.7</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Fish and macroinvertebrate diversity and abundance</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_Toc470004854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114</w:t>
            </w:r>
            <w:r w:rsidR="00BA5C65" w:rsidRPr="00BA5C65">
              <w:rPr>
                <w:rFonts w:asciiTheme="minorHAnsi" w:hAnsiTheme="minorHAnsi"/>
                <w:noProof/>
                <w:webHidden/>
                <w:szCs w:val="20"/>
              </w:rPr>
              <w:fldChar w:fldCharType="end"/>
            </w:r>
          </w:hyperlink>
        </w:p>
        <w:p w14:paraId="38356158" w14:textId="77777777" w:rsidR="00BA5C65" w:rsidRPr="00BA5C65" w:rsidRDefault="006E6498">
          <w:pPr>
            <w:pStyle w:val="TOC3"/>
            <w:rPr>
              <w:rFonts w:eastAsiaTheme="minorEastAsia" w:cstheme="minorBidi"/>
              <w:bCs w:val="0"/>
              <w:noProof/>
              <w:sz w:val="20"/>
              <w:szCs w:val="20"/>
              <w:lang w:eastAsia="en-AU"/>
            </w:rPr>
          </w:pPr>
          <w:hyperlink w:anchor="_Toc470004855" w:history="1">
            <w:r w:rsidR="00BA5C65" w:rsidRPr="00BA5C65">
              <w:rPr>
                <w:rStyle w:val="Hyperlink"/>
                <w:rFonts w:cstheme="minorHAnsi"/>
                <w:noProof/>
                <w:sz w:val="20"/>
                <w:szCs w:val="20"/>
              </w:rPr>
              <w:t>3.7.1</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Introduction</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_Toc470004855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114</w:t>
            </w:r>
            <w:r w:rsidR="00BA5C65" w:rsidRPr="00BA5C65">
              <w:rPr>
                <w:noProof/>
                <w:webHidden/>
                <w:sz w:val="20"/>
                <w:szCs w:val="20"/>
              </w:rPr>
              <w:fldChar w:fldCharType="end"/>
            </w:r>
          </w:hyperlink>
        </w:p>
        <w:p w14:paraId="72E43605" w14:textId="77777777" w:rsidR="00BA5C65" w:rsidRPr="00BA5C65" w:rsidRDefault="006E6498">
          <w:pPr>
            <w:pStyle w:val="TOC3"/>
            <w:rPr>
              <w:rFonts w:eastAsiaTheme="minorEastAsia" w:cstheme="minorBidi"/>
              <w:bCs w:val="0"/>
              <w:noProof/>
              <w:sz w:val="20"/>
              <w:szCs w:val="20"/>
              <w:lang w:eastAsia="en-AU"/>
            </w:rPr>
          </w:pPr>
          <w:hyperlink w:anchor="_Toc470004856" w:history="1">
            <w:r w:rsidR="00BA5C65" w:rsidRPr="00BA5C65">
              <w:rPr>
                <w:rStyle w:val="Hyperlink"/>
                <w:rFonts w:cstheme="minorHAnsi"/>
                <w:noProof/>
                <w:sz w:val="20"/>
                <w:szCs w:val="20"/>
              </w:rPr>
              <w:t>3.7.2</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Methods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_Toc470004856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115</w:t>
            </w:r>
            <w:r w:rsidR="00BA5C65" w:rsidRPr="00BA5C65">
              <w:rPr>
                <w:noProof/>
                <w:webHidden/>
                <w:sz w:val="20"/>
                <w:szCs w:val="20"/>
              </w:rPr>
              <w:fldChar w:fldCharType="end"/>
            </w:r>
          </w:hyperlink>
        </w:p>
        <w:p w14:paraId="37F961D7" w14:textId="77777777" w:rsidR="00BA5C65" w:rsidRPr="00BA5C65" w:rsidRDefault="006E6498">
          <w:pPr>
            <w:pStyle w:val="TOC3"/>
            <w:rPr>
              <w:rFonts w:eastAsiaTheme="minorEastAsia" w:cstheme="minorBidi"/>
              <w:bCs w:val="0"/>
              <w:noProof/>
              <w:sz w:val="20"/>
              <w:szCs w:val="20"/>
              <w:lang w:eastAsia="en-AU"/>
            </w:rPr>
          </w:pPr>
          <w:hyperlink w:anchor="_Toc470004857" w:history="1">
            <w:r w:rsidR="00BA5C65" w:rsidRPr="00BA5C65">
              <w:rPr>
                <w:rStyle w:val="Hyperlink"/>
                <w:rFonts w:cstheme="minorHAnsi"/>
                <w:noProof/>
                <w:sz w:val="20"/>
                <w:szCs w:val="20"/>
              </w:rPr>
              <w:t>3.7.3</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Results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_Toc470004857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116</w:t>
            </w:r>
            <w:r w:rsidR="00BA5C65" w:rsidRPr="00BA5C65">
              <w:rPr>
                <w:noProof/>
                <w:webHidden/>
                <w:sz w:val="20"/>
                <w:szCs w:val="20"/>
              </w:rPr>
              <w:fldChar w:fldCharType="end"/>
            </w:r>
          </w:hyperlink>
        </w:p>
        <w:p w14:paraId="752B510A" w14:textId="77777777" w:rsidR="00BA5C65" w:rsidRPr="00BA5C65" w:rsidRDefault="006E6498">
          <w:pPr>
            <w:pStyle w:val="TOC3"/>
            <w:rPr>
              <w:rFonts w:eastAsiaTheme="minorEastAsia" w:cstheme="minorBidi"/>
              <w:bCs w:val="0"/>
              <w:noProof/>
              <w:sz w:val="20"/>
              <w:szCs w:val="20"/>
              <w:lang w:eastAsia="en-AU"/>
            </w:rPr>
          </w:pPr>
          <w:hyperlink w:anchor="_Toc470004858" w:history="1">
            <w:r w:rsidR="00BA5C65" w:rsidRPr="00BA5C65">
              <w:rPr>
                <w:rStyle w:val="Hyperlink"/>
                <w:rFonts w:cstheme="minorHAnsi"/>
                <w:noProof/>
                <w:sz w:val="20"/>
                <w:szCs w:val="20"/>
              </w:rPr>
              <w:t>3.7.4</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Discussion</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_Toc470004858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124</w:t>
            </w:r>
            <w:r w:rsidR="00BA5C65" w:rsidRPr="00BA5C65">
              <w:rPr>
                <w:noProof/>
                <w:webHidden/>
                <w:sz w:val="20"/>
                <w:szCs w:val="20"/>
              </w:rPr>
              <w:fldChar w:fldCharType="end"/>
            </w:r>
          </w:hyperlink>
        </w:p>
        <w:p w14:paraId="19D0E7F8"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59" w:history="1">
            <w:r w:rsidR="00BA5C65" w:rsidRPr="00BA5C65">
              <w:rPr>
                <w:rStyle w:val="Hyperlink"/>
                <w:rFonts w:asciiTheme="minorHAnsi" w:hAnsiTheme="minorHAnsi" w:cstheme="minorHAnsi"/>
                <w:noProof/>
                <w:szCs w:val="20"/>
              </w:rPr>
              <w:t>3.8</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Conclusions and key findings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_Toc470004859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126</w:t>
            </w:r>
            <w:r w:rsidR="00BA5C65" w:rsidRPr="00BA5C65">
              <w:rPr>
                <w:rFonts w:asciiTheme="minorHAnsi" w:hAnsiTheme="minorHAnsi"/>
                <w:noProof/>
                <w:webHidden/>
                <w:szCs w:val="20"/>
              </w:rPr>
              <w:fldChar w:fldCharType="end"/>
            </w:r>
          </w:hyperlink>
        </w:p>
        <w:p w14:paraId="7E5FC7F7"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60" w:history="1">
            <w:r w:rsidR="00BA5C65" w:rsidRPr="00BA5C65">
              <w:rPr>
                <w:rStyle w:val="Hyperlink"/>
                <w:rFonts w:asciiTheme="minorHAnsi" w:hAnsiTheme="minorHAnsi" w:cstheme="minorHAnsi"/>
                <w:noProof/>
                <w:szCs w:val="20"/>
              </w:rPr>
              <w:t>3.9</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Evaluation of hypotheses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_Toc470004860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127</w:t>
            </w:r>
            <w:r w:rsidR="00BA5C65" w:rsidRPr="00BA5C65">
              <w:rPr>
                <w:rFonts w:asciiTheme="minorHAnsi" w:hAnsiTheme="minorHAnsi"/>
                <w:noProof/>
                <w:webHidden/>
                <w:szCs w:val="20"/>
              </w:rPr>
              <w:fldChar w:fldCharType="end"/>
            </w:r>
          </w:hyperlink>
        </w:p>
        <w:p w14:paraId="3B875BBF"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61" w:history="1">
            <w:r w:rsidR="00BA5C65" w:rsidRPr="00BA5C65">
              <w:rPr>
                <w:rStyle w:val="Hyperlink"/>
                <w:rFonts w:asciiTheme="minorHAnsi" w:hAnsiTheme="minorHAnsi" w:cstheme="minorHAnsi"/>
                <w:noProof/>
                <w:szCs w:val="20"/>
              </w:rPr>
              <w:t>3.10</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References – Component 2</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_Toc470004861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128</w:t>
            </w:r>
            <w:r w:rsidR="00BA5C65" w:rsidRPr="00BA5C65">
              <w:rPr>
                <w:rFonts w:asciiTheme="minorHAnsi" w:hAnsiTheme="minorHAnsi"/>
                <w:noProof/>
                <w:webHidden/>
                <w:szCs w:val="20"/>
              </w:rPr>
              <w:fldChar w:fldCharType="end"/>
            </w:r>
          </w:hyperlink>
        </w:p>
        <w:p w14:paraId="52D78288" w14:textId="77777777" w:rsidR="00BA5C65" w:rsidRPr="00BA5C65" w:rsidRDefault="006E6498">
          <w:pPr>
            <w:pStyle w:val="TOC1"/>
            <w:tabs>
              <w:tab w:val="left" w:pos="880"/>
            </w:tabs>
            <w:rPr>
              <w:rFonts w:asciiTheme="minorHAnsi" w:hAnsiTheme="minorHAnsi"/>
              <w:noProof/>
              <w:szCs w:val="20"/>
              <w:lang w:val="en-AU" w:eastAsia="en-AU"/>
            </w:rPr>
          </w:pPr>
          <w:hyperlink w:anchor="_Toc470004862" w:history="1">
            <w:r w:rsidR="00BA5C65" w:rsidRPr="00BA5C65">
              <w:rPr>
                <w:rStyle w:val="Hyperlink"/>
                <w:rFonts w:asciiTheme="minorHAnsi" w:hAnsiTheme="minorHAnsi" w:cstheme="minorHAnsi"/>
                <w:noProof/>
                <w:szCs w:val="20"/>
              </w:rPr>
              <w:t>4</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Component 3 – Hydrogeochemistry, biogeochemical processes and the hyporheos / stygofauna (Short title: Subsurface ecology)</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_Toc470004862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132</w:t>
            </w:r>
            <w:r w:rsidR="00BA5C65" w:rsidRPr="00BA5C65">
              <w:rPr>
                <w:rFonts w:asciiTheme="minorHAnsi" w:hAnsiTheme="minorHAnsi"/>
                <w:noProof/>
                <w:webHidden/>
                <w:szCs w:val="20"/>
              </w:rPr>
              <w:fldChar w:fldCharType="end"/>
            </w:r>
          </w:hyperlink>
        </w:p>
        <w:p w14:paraId="30B77492"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63" w:history="1">
            <w:r w:rsidR="00BA5C65" w:rsidRPr="00BA5C65">
              <w:rPr>
                <w:rStyle w:val="Hyperlink"/>
                <w:rFonts w:asciiTheme="minorHAnsi" w:hAnsiTheme="minorHAnsi" w:cstheme="minorHAnsi"/>
                <w:noProof/>
                <w:szCs w:val="20"/>
              </w:rPr>
              <w:t>4.1</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Acknowledgements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_Toc470004863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132</w:t>
            </w:r>
            <w:r w:rsidR="00BA5C65" w:rsidRPr="00BA5C65">
              <w:rPr>
                <w:rFonts w:asciiTheme="minorHAnsi" w:hAnsiTheme="minorHAnsi"/>
                <w:noProof/>
                <w:webHidden/>
                <w:szCs w:val="20"/>
              </w:rPr>
              <w:fldChar w:fldCharType="end"/>
            </w:r>
          </w:hyperlink>
        </w:p>
        <w:p w14:paraId="08FFE4BA"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64" w:history="1">
            <w:r w:rsidR="00BA5C65" w:rsidRPr="00BA5C65">
              <w:rPr>
                <w:rStyle w:val="Hyperlink"/>
                <w:rFonts w:asciiTheme="minorHAnsi" w:hAnsiTheme="minorHAnsi" w:cstheme="minorHAnsi"/>
                <w:noProof/>
                <w:szCs w:val="20"/>
              </w:rPr>
              <w:t>4.2</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Introduction</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_Toc470004864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132</w:t>
            </w:r>
            <w:r w:rsidR="00BA5C65" w:rsidRPr="00BA5C65">
              <w:rPr>
                <w:rFonts w:asciiTheme="minorHAnsi" w:hAnsiTheme="minorHAnsi"/>
                <w:noProof/>
                <w:webHidden/>
                <w:szCs w:val="20"/>
              </w:rPr>
              <w:fldChar w:fldCharType="end"/>
            </w:r>
          </w:hyperlink>
        </w:p>
        <w:p w14:paraId="5BF66552" w14:textId="77777777" w:rsidR="00BA5C65" w:rsidRPr="00BA5C65" w:rsidRDefault="006E6498">
          <w:pPr>
            <w:pStyle w:val="TOC3"/>
            <w:rPr>
              <w:rFonts w:eastAsiaTheme="minorEastAsia" w:cstheme="minorBidi"/>
              <w:bCs w:val="0"/>
              <w:noProof/>
              <w:sz w:val="20"/>
              <w:szCs w:val="20"/>
              <w:lang w:eastAsia="en-AU"/>
            </w:rPr>
          </w:pPr>
          <w:hyperlink w:anchor="_Toc470004865" w:history="1">
            <w:r w:rsidR="00BA5C65" w:rsidRPr="00BA5C65">
              <w:rPr>
                <w:rStyle w:val="Hyperlink"/>
                <w:rFonts w:cstheme="minorHAnsi"/>
                <w:noProof/>
                <w:sz w:val="20"/>
                <w:szCs w:val="20"/>
              </w:rPr>
              <w:t>4.2.1</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Aims and purpose</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_Toc470004865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132</w:t>
            </w:r>
            <w:r w:rsidR="00BA5C65" w:rsidRPr="00BA5C65">
              <w:rPr>
                <w:noProof/>
                <w:webHidden/>
                <w:sz w:val="20"/>
                <w:szCs w:val="20"/>
              </w:rPr>
              <w:fldChar w:fldCharType="end"/>
            </w:r>
          </w:hyperlink>
        </w:p>
        <w:p w14:paraId="1699EC02" w14:textId="77777777" w:rsidR="00BA5C65" w:rsidRPr="00BA5C65" w:rsidRDefault="006E6498">
          <w:pPr>
            <w:pStyle w:val="TOC3"/>
            <w:rPr>
              <w:rFonts w:eastAsiaTheme="minorEastAsia" w:cstheme="minorBidi"/>
              <w:bCs w:val="0"/>
              <w:noProof/>
              <w:sz w:val="20"/>
              <w:szCs w:val="20"/>
              <w:lang w:eastAsia="en-AU"/>
            </w:rPr>
          </w:pPr>
          <w:hyperlink w:anchor="_Toc470004866" w:history="1">
            <w:r w:rsidR="00BA5C65" w:rsidRPr="00BA5C65">
              <w:rPr>
                <w:rStyle w:val="Hyperlink"/>
                <w:rFonts w:cstheme="minorHAnsi"/>
                <w:noProof/>
                <w:sz w:val="20"/>
                <w:szCs w:val="20"/>
              </w:rPr>
              <w:t>4.2.2</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Background</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_Toc470004866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133</w:t>
            </w:r>
            <w:r w:rsidR="00BA5C65" w:rsidRPr="00BA5C65">
              <w:rPr>
                <w:noProof/>
                <w:webHidden/>
                <w:sz w:val="20"/>
                <w:szCs w:val="20"/>
              </w:rPr>
              <w:fldChar w:fldCharType="end"/>
            </w:r>
          </w:hyperlink>
        </w:p>
        <w:p w14:paraId="29FFCDD0" w14:textId="77777777" w:rsidR="00BA5C65" w:rsidRPr="00BA5C65" w:rsidRDefault="006E6498">
          <w:pPr>
            <w:pStyle w:val="TOC3"/>
            <w:rPr>
              <w:rFonts w:eastAsiaTheme="minorEastAsia" w:cstheme="minorBidi"/>
              <w:bCs w:val="0"/>
              <w:noProof/>
              <w:sz w:val="20"/>
              <w:szCs w:val="20"/>
              <w:lang w:eastAsia="en-AU"/>
            </w:rPr>
          </w:pPr>
          <w:hyperlink w:anchor="_Toc470004867" w:history="1">
            <w:r w:rsidR="00BA5C65" w:rsidRPr="00BA5C65">
              <w:rPr>
                <w:rStyle w:val="Hyperlink"/>
                <w:rFonts w:cstheme="minorHAnsi"/>
                <w:noProof/>
                <w:sz w:val="20"/>
                <w:szCs w:val="20"/>
              </w:rPr>
              <w:t>4.2.3</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Hypothesised responses to lowering groundwater</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_Toc470004867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135</w:t>
            </w:r>
            <w:r w:rsidR="00BA5C65" w:rsidRPr="00BA5C65">
              <w:rPr>
                <w:noProof/>
                <w:webHidden/>
                <w:sz w:val="20"/>
                <w:szCs w:val="20"/>
              </w:rPr>
              <w:fldChar w:fldCharType="end"/>
            </w:r>
          </w:hyperlink>
        </w:p>
        <w:p w14:paraId="55876A2B"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68" w:history="1">
            <w:r w:rsidR="00BA5C65" w:rsidRPr="00BA5C65">
              <w:rPr>
                <w:rStyle w:val="Hyperlink"/>
                <w:rFonts w:asciiTheme="minorHAnsi" w:hAnsiTheme="minorHAnsi" w:cstheme="minorHAnsi"/>
                <w:noProof/>
                <w:szCs w:val="20"/>
              </w:rPr>
              <w:t>4.3</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Study sites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_Toc470004868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137</w:t>
            </w:r>
            <w:r w:rsidR="00BA5C65" w:rsidRPr="00BA5C65">
              <w:rPr>
                <w:rFonts w:asciiTheme="minorHAnsi" w:hAnsiTheme="minorHAnsi"/>
                <w:noProof/>
                <w:webHidden/>
                <w:szCs w:val="20"/>
              </w:rPr>
              <w:fldChar w:fldCharType="end"/>
            </w:r>
          </w:hyperlink>
        </w:p>
        <w:p w14:paraId="4700EA02"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69" w:history="1">
            <w:r w:rsidR="00BA5C65" w:rsidRPr="00BA5C65">
              <w:rPr>
                <w:rStyle w:val="Hyperlink"/>
                <w:rFonts w:asciiTheme="minorHAnsi" w:hAnsiTheme="minorHAnsi" w:cstheme="minorHAnsi"/>
                <w:noProof/>
                <w:szCs w:val="20"/>
              </w:rPr>
              <w:t>4.4</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Methods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_Toc470004869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140</w:t>
            </w:r>
            <w:r w:rsidR="00BA5C65" w:rsidRPr="00BA5C65">
              <w:rPr>
                <w:rFonts w:asciiTheme="minorHAnsi" w:hAnsiTheme="minorHAnsi"/>
                <w:noProof/>
                <w:webHidden/>
                <w:szCs w:val="20"/>
              </w:rPr>
              <w:fldChar w:fldCharType="end"/>
            </w:r>
          </w:hyperlink>
        </w:p>
        <w:p w14:paraId="091E2845" w14:textId="77777777" w:rsidR="00BA5C65" w:rsidRPr="00BA5C65" w:rsidRDefault="006E6498">
          <w:pPr>
            <w:pStyle w:val="TOC3"/>
            <w:rPr>
              <w:rFonts w:eastAsiaTheme="minorEastAsia" w:cstheme="minorBidi"/>
              <w:bCs w:val="0"/>
              <w:noProof/>
              <w:sz w:val="20"/>
              <w:szCs w:val="20"/>
              <w:lang w:eastAsia="en-AU"/>
            </w:rPr>
          </w:pPr>
          <w:hyperlink w:anchor="_Toc470004870" w:history="1">
            <w:r w:rsidR="00BA5C65" w:rsidRPr="00BA5C65">
              <w:rPr>
                <w:rStyle w:val="Hyperlink"/>
                <w:rFonts w:cstheme="minorHAnsi"/>
                <w:noProof/>
                <w:sz w:val="20"/>
                <w:szCs w:val="20"/>
              </w:rPr>
              <w:t>4.4.1</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Hyporheic zone field campaigns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_Toc470004870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140</w:t>
            </w:r>
            <w:r w:rsidR="00BA5C65" w:rsidRPr="00BA5C65">
              <w:rPr>
                <w:noProof/>
                <w:webHidden/>
                <w:sz w:val="20"/>
                <w:szCs w:val="20"/>
              </w:rPr>
              <w:fldChar w:fldCharType="end"/>
            </w:r>
          </w:hyperlink>
        </w:p>
        <w:p w14:paraId="64FB94DD" w14:textId="77777777" w:rsidR="00BA5C65" w:rsidRPr="00BA5C65" w:rsidRDefault="006E6498">
          <w:pPr>
            <w:pStyle w:val="TOC3"/>
            <w:rPr>
              <w:rFonts w:eastAsiaTheme="minorEastAsia" w:cstheme="minorBidi"/>
              <w:bCs w:val="0"/>
              <w:noProof/>
              <w:sz w:val="20"/>
              <w:szCs w:val="20"/>
              <w:lang w:eastAsia="en-AU"/>
            </w:rPr>
          </w:pPr>
          <w:hyperlink w:anchor="_Toc470004871" w:history="1">
            <w:r w:rsidR="00BA5C65" w:rsidRPr="00BA5C65">
              <w:rPr>
                <w:rStyle w:val="Hyperlink"/>
                <w:rFonts w:cstheme="minorHAnsi"/>
                <w:noProof/>
                <w:sz w:val="20"/>
                <w:szCs w:val="20"/>
              </w:rPr>
              <w:t>4.4.2</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Aquifer sampling field campaigns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_Toc470004871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140</w:t>
            </w:r>
            <w:r w:rsidR="00BA5C65" w:rsidRPr="00BA5C65">
              <w:rPr>
                <w:noProof/>
                <w:webHidden/>
                <w:sz w:val="20"/>
                <w:szCs w:val="20"/>
              </w:rPr>
              <w:fldChar w:fldCharType="end"/>
            </w:r>
          </w:hyperlink>
        </w:p>
        <w:p w14:paraId="228ACC29" w14:textId="77777777" w:rsidR="00BA5C65" w:rsidRPr="00BA5C65" w:rsidRDefault="006E6498">
          <w:pPr>
            <w:pStyle w:val="TOC3"/>
            <w:rPr>
              <w:rFonts w:eastAsiaTheme="minorEastAsia" w:cstheme="minorBidi"/>
              <w:bCs w:val="0"/>
              <w:noProof/>
              <w:sz w:val="20"/>
              <w:szCs w:val="20"/>
              <w:lang w:eastAsia="en-AU"/>
            </w:rPr>
          </w:pPr>
          <w:hyperlink w:anchor="_Toc470004872" w:history="1">
            <w:r w:rsidR="00BA5C65" w:rsidRPr="00BA5C65">
              <w:rPr>
                <w:rStyle w:val="Hyperlink"/>
                <w:rFonts w:cstheme="minorHAnsi"/>
                <w:noProof/>
                <w:sz w:val="20"/>
                <w:szCs w:val="20"/>
              </w:rPr>
              <w:t>4.4.3</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Environmental factors and variables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_Toc470004872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142</w:t>
            </w:r>
            <w:r w:rsidR="00BA5C65" w:rsidRPr="00BA5C65">
              <w:rPr>
                <w:noProof/>
                <w:webHidden/>
                <w:sz w:val="20"/>
                <w:szCs w:val="20"/>
              </w:rPr>
              <w:fldChar w:fldCharType="end"/>
            </w:r>
          </w:hyperlink>
        </w:p>
        <w:p w14:paraId="41C70D9F" w14:textId="77777777" w:rsidR="00BA5C65" w:rsidRPr="00BA5C65" w:rsidRDefault="006E6498">
          <w:pPr>
            <w:pStyle w:val="TOC3"/>
            <w:rPr>
              <w:rFonts w:eastAsiaTheme="minorEastAsia" w:cstheme="minorBidi"/>
              <w:bCs w:val="0"/>
              <w:noProof/>
              <w:sz w:val="20"/>
              <w:szCs w:val="20"/>
              <w:lang w:eastAsia="en-AU"/>
            </w:rPr>
          </w:pPr>
          <w:hyperlink w:anchor="_Toc470004873" w:history="1">
            <w:r w:rsidR="00BA5C65" w:rsidRPr="00BA5C65">
              <w:rPr>
                <w:rStyle w:val="Hyperlink"/>
                <w:rFonts w:cstheme="minorHAnsi"/>
                <w:noProof/>
                <w:sz w:val="20"/>
                <w:szCs w:val="20"/>
              </w:rPr>
              <w:t>4.4.4</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Physical Hydrology</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_Toc470004873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143</w:t>
            </w:r>
            <w:r w:rsidR="00BA5C65" w:rsidRPr="00BA5C65">
              <w:rPr>
                <w:noProof/>
                <w:webHidden/>
                <w:sz w:val="20"/>
                <w:szCs w:val="20"/>
              </w:rPr>
              <w:fldChar w:fldCharType="end"/>
            </w:r>
          </w:hyperlink>
        </w:p>
        <w:p w14:paraId="0C62669B" w14:textId="77777777" w:rsidR="00BA5C65" w:rsidRPr="00BA5C65" w:rsidRDefault="006E6498">
          <w:pPr>
            <w:pStyle w:val="TOC3"/>
            <w:rPr>
              <w:rFonts w:eastAsiaTheme="minorEastAsia" w:cstheme="minorBidi"/>
              <w:bCs w:val="0"/>
              <w:noProof/>
              <w:sz w:val="20"/>
              <w:szCs w:val="20"/>
              <w:lang w:eastAsia="en-AU"/>
            </w:rPr>
          </w:pPr>
          <w:hyperlink w:anchor="_Toc470004874" w:history="1">
            <w:r w:rsidR="00BA5C65" w:rsidRPr="00BA5C65">
              <w:rPr>
                <w:rStyle w:val="Hyperlink"/>
                <w:rFonts w:cstheme="minorHAnsi"/>
                <w:noProof/>
                <w:sz w:val="20"/>
                <w:szCs w:val="20"/>
              </w:rPr>
              <w:t>4.4.5</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Hydrochemistry</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_Toc470004874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143</w:t>
            </w:r>
            <w:r w:rsidR="00BA5C65" w:rsidRPr="00BA5C65">
              <w:rPr>
                <w:noProof/>
                <w:webHidden/>
                <w:sz w:val="20"/>
                <w:szCs w:val="20"/>
              </w:rPr>
              <w:fldChar w:fldCharType="end"/>
            </w:r>
          </w:hyperlink>
        </w:p>
        <w:p w14:paraId="3606F39E" w14:textId="77777777" w:rsidR="00BA5C65" w:rsidRPr="00BA5C65" w:rsidRDefault="006E6498">
          <w:pPr>
            <w:pStyle w:val="TOC3"/>
            <w:rPr>
              <w:rFonts w:eastAsiaTheme="minorEastAsia" w:cstheme="minorBidi"/>
              <w:bCs w:val="0"/>
              <w:noProof/>
              <w:sz w:val="20"/>
              <w:szCs w:val="20"/>
              <w:lang w:eastAsia="en-AU"/>
            </w:rPr>
          </w:pPr>
          <w:hyperlink w:anchor="_Toc470004875" w:history="1">
            <w:r w:rsidR="00BA5C65" w:rsidRPr="00BA5C65">
              <w:rPr>
                <w:rStyle w:val="Hyperlink"/>
                <w:rFonts w:cstheme="minorHAnsi"/>
                <w:noProof/>
                <w:sz w:val="20"/>
                <w:szCs w:val="20"/>
              </w:rPr>
              <w:t>4.4.6</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Organic Matter (OM) Degradation Studies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_Toc470004875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144</w:t>
            </w:r>
            <w:r w:rsidR="00BA5C65" w:rsidRPr="00BA5C65">
              <w:rPr>
                <w:noProof/>
                <w:webHidden/>
                <w:sz w:val="20"/>
                <w:szCs w:val="20"/>
              </w:rPr>
              <w:fldChar w:fldCharType="end"/>
            </w:r>
          </w:hyperlink>
        </w:p>
        <w:p w14:paraId="43BCCDCA" w14:textId="77777777" w:rsidR="00BA5C65" w:rsidRPr="00BA5C65" w:rsidRDefault="006E6498">
          <w:pPr>
            <w:pStyle w:val="TOC3"/>
            <w:rPr>
              <w:rFonts w:eastAsiaTheme="minorEastAsia" w:cstheme="minorBidi"/>
              <w:bCs w:val="0"/>
              <w:noProof/>
              <w:sz w:val="20"/>
              <w:szCs w:val="20"/>
              <w:lang w:eastAsia="en-AU"/>
            </w:rPr>
          </w:pPr>
          <w:hyperlink w:anchor="_Toc470004876" w:history="1">
            <w:r w:rsidR="00BA5C65" w:rsidRPr="00BA5C65">
              <w:rPr>
                <w:rStyle w:val="Hyperlink"/>
                <w:rFonts w:cstheme="minorHAnsi"/>
                <w:noProof/>
                <w:sz w:val="20"/>
                <w:szCs w:val="20"/>
              </w:rPr>
              <w:t>4.4.7</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Invertebrate ecology</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_Toc470004876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145</w:t>
            </w:r>
            <w:r w:rsidR="00BA5C65" w:rsidRPr="00BA5C65">
              <w:rPr>
                <w:noProof/>
                <w:webHidden/>
                <w:sz w:val="20"/>
                <w:szCs w:val="20"/>
              </w:rPr>
              <w:fldChar w:fldCharType="end"/>
            </w:r>
          </w:hyperlink>
        </w:p>
        <w:p w14:paraId="3D2F8C9C"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77" w:history="1">
            <w:r w:rsidR="00BA5C65" w:rsidRPr="00BA5C65">
              <w:rPr>
                <w:rStyle w:val="Hyperlink"/>
                <w:rFonts w:asciiTheme="minorHAnsi" w:hAnsiTheme="minorHAnsi" w:cstheme="minorHAnsi"/>
                <w:noProof/>
                <w:szCs w:val="20"/>
              </w:rPr>
              <w:t>4.5</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Results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_Toc470004877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148</w:t>
            </w:r>
            <w:r w:rsidR="00BA5C65" w:rsidRPr="00BA5C65">
              <w:rPr>
                <w:rFonts w:asciiTheme="minorHAnsi" w:hAnsiTheme="minorHAnsi"/>
                <w:noProof/>
                <w:webHidden/>
                <w:szCs w:val="20"/>
              </w:rPr>
              <w:fldChar w:fldCharType="end"/>
            </w:r>
          </w:hyperlink>
        </w:p>
        <w:p w14:paraId="6432086C" w14:textId="77777777" w:rsidR="00BA5C65" w:rsidRPr="00BA5C65" w:rsidRDefault="006E6498">
          <w:pPr>
            <w:pStyle w:val="TOC3"/>
            <w:rPr>
              <w:rFonts w:eastAsiaTheme="minorEastAsia" w:cstheme="minorBidi"/>
              <w:bCs w:val="0"/>
              <w:noProof/>
              <w:sz w:val="20"/>
              <w:szCs w:val="20"/>
              <w:lang w:eastAsia="en-AU"/>
            </w:rPr>
          </w:pPr>
          <w:hyperlink w:anchor="_Toc470004878" w:history="1">
            <w:r w:rsidR="00BA5C65" w:rsidRPr="00BA5C65">
              <w:rPr>
                <w:rStyle w:val="Hyperlink"/>
                <w:rFonts w:cstheme="minorHAnsi"/>
                <w:noProof/>
                <w:sz w:val="20"/>
                <w:szCs w:val="20"/>
              </w:rPr>
              <w:t>4.5.1</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Physical Hydrology</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_Toc470004878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148</w:t>
            </w:r>
            <w:r w:rsidR="00BA5C65" w:rsidRPr="00BA5C65">
              <w:rPr>
                <w:noProof/>
                <w:webHidden/>
                <w:sz w:val="20"/>
                <w:szCs w:val="20"/>
              </w:rPr>
              <w:fldChar w:fldCharType="end"/>
            </w:r>
          </w:hyperlink>
        </w:p>
        <w:p w14:paraId="6E7A0993" w14:textId="77777777" w:rsidR="00BA5C65" w:rsidRPr="00BA5C65" w:rsidRDefault="006E6498">
          <w:pPr>
            <w:pStyle w:val="TOC3"/>
            <w:rPr>
              <w:rFonts w:eastAsiaTheme="minorEastAsia" w:cstheme="minorBidi"/>
              <w:bCs w:val="0"/>
              <w:noProof/>
              <w:sz w:val="20"/>
              <w:szCs w:val="20"/>
              <w:lang w:eastAsia="en-AU"/>
            </w:rPr>
          </w:pPr>
          <w:hyperlink w:anchor="_Toc470004879" w:history="1">
            <w:r w:rsidR="00BA5C65" w:rsidRPr="00BA5C65">
              <w:rPr>
                <w:rStyle w:val="Hyperlink"/>
                <w:rFonts w:cstheme="minorHAnsi"/>
                <w:noProof/>
                <w:sz w:val="20"/>
                <w:szCs w:val="20"/>
              </w:rPr>
              <w:t>4.5.2</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Hydrochemistry</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_Toc470004879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151</w:t>
            </w:r>
            <w:r w:rsidR="00BA5C65" w:rsidRPr="00BA5C65">
              <w:rPr>
                <w:noProof/>
                <w:webHidden/>
                <w:sz w:val="20"/>
                <w:szCs w:val="20"/>
              </w:rPr>
              <w:fldChar w:fldCharType="end"/>
            </w:r>
          </w:hyperlink>
        </w:p>
        <w:p w14:paraId="5ACE2D49" w14:textId="77777777" w:rsidR="00BA5C65" w:rsidRPr="00BA5C65" w:rsidRDefault="006E6498">
          <w:pPr>
            <w:pStyle w:val="TOC3"/>
            <w:rPr>
              <w:rFonts w:eastAsiaTheme="minorEastAsia" w:cstheme="minorBidi"/>
              <w:bCs w:val="0"/>
              <w:noProof/>
              <w:sz w:val="20"/>
              <w:szCs w:val="20"/>
              <w:lang w:eastAsia="en-AU"/>
            </w:rPr>
          </w:pPr>
          <w:hyperlink w:anchor="_Toc470004880" w:history="1">
            <w:r w:rsidR="00BA5C65" w:rsidRPr="00BA5C65">
              <w:rPr>
                <w:rStyle w:val="Hyperlink"/>
                <w:rFonts w:cstheme="minorHAnsi"/>
                <w:noProof/>
                <w:sz w:val="20"/>
                <w:szCs w:val="20"/>
              </w:rPr>
              <w:t>4.5.3</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Organic Matter Degradation Studies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_Toc470004880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164</w:t>
            </w:r>
            <w:r w:rsidR="00BA5C65" w:rsidRPr="00BA5C65">
              <w:rPr>
                <w:noProof/>
                <w:webHidden/>
                <w:sz w:val="20"/>
                <w:szCs w:val="20"/>
              </w:rPr>
              <w:fldChar w:fldCharType="end"/>
            </w:r>
          </w:hyperlink>
        </w:p>
        <w:p w14:paraId="32AC1E1D" w14:textId="77777777" w:rsidR="00BA5C65" w:rsidRPr="00BA5C65" w:rsidRDefault="006E6498">
          <w:pPr>
            <w:pStyle w:val="TOC3"/>
            <w:rPr>
              <w:rFonts w:eastAsiaTheme="minorEastAsia" w:cstheme="minorBidi"/>
              <w:bCs w:val="0"/>
              <w:noProof/>
              <w:sz w:val="20"/>
              <w:szCs w:val="20"/>
              <w:lang w:eastAsia="en-AU"/>
            </w:rPr>
          </w:pPr>
          <w:hyperlink w:anchor="_Toc470004881" w:history="1">
            <w:r w:rsidR="00BA5C65" w:rsidRPr="00BA5C65">
              <w:rPr>
                <w:rStyle w:val="Hyperlink"/>
                <w:rFonts w:cstheme="minorHAnsi"/>
                <w:noProof/>
                <w:sz w:val="20"/>
                <w:szCs w:val="20"/>
              </w:rPr>
              <w:t>4.5.4</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Invertebrate ecology</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_Toc470004881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170</w:t>
            </w:r>
            <w:r w:rsidR="00BA5C65" w:rsidRPr="00BA5C65">
              <w:rPr>
                <w:noProof/>
                <w:webHidden/>
                <w:sz w:val="20"/>
                <w:szCs w:val="20"/>
              </w:rPr>
              <w:fldChar w:fldCharType="end"/>
            </w:r>
          </w:hyperlink>
        </w:p>
        <w:p w14:paraId="100C1B26"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82" w:history="1">
            <w:r w:rsidR="00BA5C65" w:rsidRPr="00BA5C65">
              <w:rPr>
                <w:rStyle w:val="Hyperlink"/>
                <w:rFonts w:asciiTheme="minorHAnsi" w:hAnsiTheme="minorHAnsi"/>
                <w:noProof/>
                <w:szCs w:val="20"/>
              </w:rPr>
              <w:t>4.6</w:t>
            </w:r>
            <w:r w:rsidR="00BA5C65" w:rsidRPr="00BA5C65">
              <w:rPr>
                <w:rFonts w:asciiTheme="minorHAnsi" w:hAnsiTheme="minorHAnsi"/>
                <w:noProof/>
                <w:szCs w:val="20"/>
                <w:lang w:val="en-AU" w:eastAsia="en-AU"/>
              </w:rPr>
              <w:tab/>
            </w:r>
            <w:r w:rsidR="00BA5C65" w:rsidRPr="00BA5C65">
              <w:rPr>
                <w:rStyle w:val="Hyperlink"/>
                <w:rFonts w:asciiTheme="minorHAnsi" w:hAnsiTheme="minorHAnsi"/>
                <w:noProof/>
                <w:szCs w:val="20"/>
              </w:rPr>
              <w:t>Discussion</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_Toc470004882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195</w:t>
            </w:r>
            <w:r w:rsidR="00BA5C65" w:rsidRPr="00BA5C65">
              <w:rPr>
                <w:rFonts w:asciiTheme="minorHAnsi" w:hAnsiTheme="minorHAnsi"/>
                <w:noProof/>
                <w:webHidden/>
                <w:szCs w:val="20"/>
              </w:rPr>
              <w:fldChar w:fldCharType="end"/>
            </w:r>
          </w:hyperlink>
        </w:p>
        <w:p w14:paraId="3B7A47C3" w14:textId="77777777" w:rsidR="00BA5C65" w:rsidRPr="00BA5C65" w:rsidRDefault="006E6498">
          <w:pPr>
            <w:pStyle w:val="TOC3"/>
            <w:rPr>
              <w:rFonts w:eastAsiaTheme="minorEastAsia" w:cstheme="minorBidi"/>
              <w:bCs w:val="0"/>
              <w:noProof/>
              <w:sz w:val="20"/>
              <w:szCs w:val="20"/>
              <w:lang w:eastAsia="en-AU"/>
            </w:rPr>
          </w:pPr>
          <w:hyperlink w:anchor="_Toc470004883" w:history="1">
            <w:r w:rsidR="00BA5C65" w:rsidRPr="00BA5C65">
              <w:rPr>
                <w:rStyle w:val="Hyperlink"/>
                <w:rFonts w:cstheme="minorHAnsi"/>
                <w:noProof/>
                <w:sz w:val="20"/>
                <w:szCs w:val="20"/>
              </w:rPr>
              <w:t>4.6.1</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Physical Hydrology</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_Toc470004883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195</w:t>
            </w:r>
            <w:r w:rsidR="00BA5C65" w:rsidRPr="00BA5C65">
              <w:rPr>
                <w:noProof/>
                <w:webHidden/>
                <w:sz w:val="20"/>
                <w:szCs w:val="20"/>
              </w:rPr>
              <w:fldChar w:fldCharType="end"/>
            </w:r>
          </w:hyperlink>
        </w:p>
        <w:p w14:paraId="5D1FDE34" w14:textId="77777777" w:rsidR="00BA5C65" w:rsidRPr="00BA5C65" w:rsidRDefault="006E6498">
          <w:pPr>
            <w:pStyle w:val="TOC3"/>
            <w:rPr>
              <w:rFonts w:eastAsiaTheme="minorEastAsia" w:cstheme="minorBidi"/>
              <w:bCs w:val="0"/>
              <w:noProof/>
              <w:sz w:val="20"/>
              <w:szCs w:val="20"/>
              <w:lang w:eastAsia="en-AU"/>
            </w:rPr>
          </w:pPr>
          <w:hyperlink w:anchor="_Toc470004884" w:history="1">
            <w:r w:rsidR="00BA5C65" w:rsidRPr="00BA5C65">
              <w:rPr>
                <w:rStyle w:val="Hyperlink"/>
                <w:rFonts w:cstheme="minorHAnsi"/>
                <w:noProof/>
                <w:sz w:val="20"/>
                <w:szCs w:val="20"/>
              </w:rPr>
              <w:t>4.6.2</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OM Degradation Studies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_Toc470004884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201</w:t>
            </w:r>
            <w:r w:rsidR="00BA5C65" w:rsidRPr="00BA5C65">
              <w:rPr>
                <w:noProof/>
                <w:webHidden/>
                <w:sz w:val="20"/>
                <w:szCs w:val="20"/>
              </w:rPr>
              <w:fldChar w:fldCharType="end"/>
            </w:r>
          </w:hyperlink>
        </w:p>
        <w:p w14:paraId="2A9C4CFB" w14:textId="77777777" w:rsidR="00BA5C65" w:rsidRPr="00BA5C65" w:rsidRDefault="006E6498">
          <w:pPr>
            <w:pStyle w:val="TOC3"/>
            <w:rPr>
              <w:rFonts w:eastAsiaTheme="minorEastAsia" w:cstheme="minorBidi"/>
              <w:bCs w:val="0"/>
              <w:noProof/>
              <w:sz w:val="20"/>
              <w:szCs w:val="20"/>
              <w:lang w:eastAsia="en-AU"/>
            </w:rPr>
          </w:pPr>
          <w:hyperlink w:anchor="_Toc470004885" w:history="1">
            <w:r w:rsidR="00BA5C65" w:rsidRPr="00BA5C65">
              <w:rPr>
                <w:rStyle w:val="Hyperlink"/>
                <w:rFonts w:cstheme="minorHAnsi"/>
                <w:noProof/>
                <w:sz w:val="20"/>
                <w:szCs w:val="20"/>
              </w:rPr>
              <w:t>4.6.3</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Invertebrate ecology</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_Toc470004885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202</w:t>
            </w:r>
            <w:r w:rsidR="00BA5C65" w:rsidRPr="00BA5C65">
              <w:rPr>
                <w:noProof/>
                <w:webHidden/>
                <w:sz w:val="20"/>
                <w:szCs w:val="20"/>
              </w:rPr>
              <w:fldChar w:fldCharType="end"/>
            </w:r>
          </w:hyperlink>
        </w:p>
        <w:p w14:paraId="4941F5BA" w14:textId="77777777" w:rsidR="00BA5C65" w:rsidRPr="00BA5C65" w:rsidRDefault="006E6498">
          <w:pPr>
            <w:pStyle w:val="TOC3"/>
            <w:rPr>
              <w:rFonts w:eastAsiaTheme="minorEastAsia" w:cstheme="minorBidi"/>
              <w:bCs w:val="0"/>
              <w:noProof/>
              <w:sz w:val="20"/>
              <w:szCs w:val="20"/>
              <w:lang w:eastAsia="en-AU"/>
            </w:rPr>
          </w:pPr>
          <w:hyperlink w:anchor="_Toc470004886" w:history="1">
            <w:r w:rsidR="00BA5C65" w:rsidRPr="00BA5C65">
              <w:rPr>
                <w:rStyle w:val="Hyperlink"/>
                <w:rFonts w:cstheme="minorHAnsi"/>
                <w:noProof/>
                <w:sz w:val="20"/>
                <w:szCs w:val="20"/>
              </w:rPr>
              <w:t>4.6.4</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Integration – site specific models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_Toc470004886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205</w:t>
            </w:r>
            <w:r w:rsidR="00BA5C65" w:rsidRPr="00BA5C65">
              <w:rPr>
                <w:noProof/>
                <w:webHidden/>
                <w:sz w:val="20"/>
                <w:szCs w:val="20"/>
              </w:rPr>
              <w:fldChar w:fldCharType="end"/>
            </w:r>
          </w:hyperlink>
        </w:p>
        <w:p w14:paraId="027CB16C" w14:textId="77777777" w:rsidR="00BA5C65" w:rsidRPr="00BA5C65" w:rsidRDefault="006E6498">
          <w:pPr>
            <w:pStyle w:val="TOC3"/>
            <w:rPr>
              <w:rFonts w:eastAsiaTheme="minorEastAsia" w:cstheme="minorBidi"/>
              <w:bCs w:val="0"/>
              <w:noProof/>
              <w:sz w:val="20"/>
              <w:szCs w:val="20"/>
              <w:lang w:eastAsia="en-AU"/>
            </w:rPr>
          </w:pPr>
          <w:hyperlink w:anchor="_Toc470004887" w:history="1">
            <w:r w:rsidR="00BA5C65" w:rsidRPr="00BA5C65">
              <w:rPr>
                <w:rStyle w:val="Hyperlink"/>
                <w:rFonts w:cstheme="minorHAnsi"/>
                <w:noProof/>
                <w:sz w:val="20"/>
                <w:szCs w:val="20"/>
              </w:rPr>
              <w:t>4.6.5</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Middle Creek Farm (intermittent)</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_Toc470004887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205</w:t>
            </w:r>
            <w:r w:rsidR="00BA5C65" w:rsidRPr="00BA5C65">
              <w:rPr>
                <w:noProof/>
                <w:webHidden/>
                <w:sz w:val="20"/>
                <w:szCs w:val="20"/>
              </w:rPr>
              <w:fldChar w:fldCharType="end"/>
            </w:r>
          </w:hyperlink>
        </w:p>
        <w:p w14:paraId="04AF2F57" w14:textId="77777777" w:rsidR="00BA5C65" w:rsidRPr="00BA5C65" w:rsidRDefault="006E6498">
          <w:pPr>
            <w:pStyle w:val="TOC3"/>
            <w:rPr>
              <w:rFonts w:eastAsiaTheme="minorEastAsia" w:cstheme="minorBidi"/>
              <w:bCs w:val="0"/>
              <w:noProof/>
              <w:sz w:val="20"/>
              <w:szCs w:val="20"/>
              <w:lang w:eastAsia="en-AU"/>
            </w:rPr>
          </w:pPr>
          <w:hyperlink w:anchor="_Toc470004888" w:history="1">
            <w:r w:rsidR="00BA5C65" w:rsidRPr="00BA5C65">
              <w:rPr>
                <w:rStyle w:val="Hyperlink"/>
                <w:rFonts w:cstheme="minorHAnsi"/>
                <w:noProof/>
                <w:sz w:val="20"/>
                <w:szCs w:val="20"/>
              </w:rPr>
              <w:t>4.6.6</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Horsearm Creek (perennial gaining)</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_Toc470004888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209</w:t>
            </w:r>
            <w:r w:rsidR="00BA5C65" w:rsidRPr="00BA5C65">
              <w:rPr>
                <w:noProof/>
                <w:webHidden/>
                <w:sz w:val="20"/>
                <w:szCs w:val="20"/>
              </w:rPr>
              <w:fldChar w:fldCharType="end"/>
            </w:r>
          </w:hyperlink>
        </w:p>
        <w:p w14:paraId="4FB7CB70"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89" w:history="1">
            <w:r w:rsidR="00BA5C65" w:rsidRPr="00BA5C65">
              <w:rPr>
                <w:rStyle w:val="Hyperlink"/>
                <w:rFonts w:asciiTheme="minorHAnsi" w:hAnsiTheme="minorHAnsi" w:cstheme="minorHAnsi"/>
                <w:noProof/>
                <w:szCs w:val="20"/>
              </w:rPr>
              <w:t>4.7</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Synthesis for Component 3</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_Toc470004889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214</w:t>
            </w:r>
            <w:r w:rsidR="00BA5C65" w:rsidRPr="00BA5C65">
              <w:rPr>
                <w:rFonts w:asciiTheme="minorHAnsi" w:hAnsiTheme="minorHAnsi"/>
                <w:noProof/>
                <w:webHidden/>
                <w:szCs w:val="20"/>
              </w:rPr>
              <w:fldChar w:fldCharType="end"/>
            </w:r>
          </w:hyperlink>
        </w:p>
        <w:p w14:paraId="59046650" w14:textId="77777777" w:rsidR="00BA5C65" w:rsidRPr="00BA5C65" w:rsidRDefault="006E6498">
          <w:pPr>
            <w:pStyle w:val="TOC3"/>
            <w:rPr>
              <w:rFonts w:eastAsiaTheme="minorEastAsia" w:cstheme="minorBidi"/>
              <w:bCs w:val="0"/>
              <w:noProof/>
              <w:sz w:val="20"/>
              <w:szCs w:val="20"/>
              <w:lang w:eastAsia="en-AU"/>
            </w:rPr>
          </w:pPr>
          <w:hyperlink w:anchor="_Toc470004890" w:history="1">
            <w:r w:rsidR="00BA5C65" w:rsidRPr="00BA5C65">
              <w:rPr>
                <w:rStyle w:val="Hyperlink"/>
                <w:rFonts w:cstheme="minorHAnsi"/>
                <w:noProof/>
                <w:sz w:val="20"/>
                <w:szCs w:val="20"/>
              </w:rPr>
              <w:t>4.7.1</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Key Findings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_Toc470004890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214</w:t>
            </w:r>
            <w:r w:rsidR="00BA5C65" w:rsidRPr="00BA5C65">
              <w:rPr>
                <w:noProof/>
                <w:webHidden/>
                <w:sz w:val="20"/>
                <w:szCs w:val="20"/>
              </w:rPr>
              <w:fldChar w:fldCharType="end"/>
            </w:r>
          </w:hyperlink>
        </w:p>
        <w:p w14:paraId="18D5E56E" w14:textId="77777777" w:rsidR="00BA5C65" w:rsidRPr="00BA5C65" w:rsidRDefault="006E6498">
          <w:pPr>
            <w:pStyle w:val="TOC3"/>
            <w:rPr>
              <w:rFonts w:eastAsiaTheme="minorEastAsia" w:cstheme="minorBidi"/>
              <w:bCs w:val="0"/>
              <w:noProof/>
              <w:sz w:val="20"/>
              <w:szCs w:val="20"/>
              <w:lang w:eastAsia="en-AU"/>
            </w:rPr>
          </w:pPr>
          <w:hyperlink w:anchor="_Toc470004891" w:history="1">
            <w:r w:rsidR="00BA5C65" w:rsidRPr="00BA5C65">
              <w:rPr>
                <w:rStyle w:val="Hyperlink"/>
                <w:rFonts w:cstheme="minorHAnsi"/>
                <w:noProof/>
                <w:sz w:val="20"/>
                <w:szCs w:val="20"/>
              </w:rPr>
              <w:t>4.7.2</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General conceptual models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_Toc470004891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215</w:t>
            </w:r>
            <w:r w:rsidR="00BA5C65" w:rsidRPr="00BA5C65">
              <w:rPr>
                <w:noProof/>
                <w:webHidden/>
                <w:sz w:val="20"/>
                <w:szCs w:val="20"/>
              </w:rPr>
              <w:fldChar w:fldCharType="end"/>
            </w:r>
          </w:hyperlink>
        </w:p>
        <w:p w14:paraId="60CF62AF" w14:textId="77777777" w:rsidR="00BA5C65" w:rsidRPr="00BA5C65" w:rsidRDefault="006E6498">
          <w:pPr>
            <w:pStyle w:val="TOC3"/>
            <w:rPr>
              <w:rFonts w:eastAsiaTheme="minorEastAsia" w:cstheme="minorBidi"/>
              <w:bCs w:val="0"/>
              <w:noProof/>
              <w:sz w:val="20"/>
              <w:szCs w:val="20"/>
              <w:lang w:eastAsia="en-AU"/>
            </w:rPr>
          </w:pPr>
          <w:hyperlink w:anchor="_Toc470004892" w:history="1">
            <w:r w:rsidR="00BA5C65" w:rsidRPr="00BA5C65">
              <w:rPr>
                <w:rStyle w:val="Hyperlink"/>
                <w:rFonts w:cstheme="minorHAnsi"/>
                <w:noProof/>
                <w:sz w:val="20"/>
                <w:szCs w:val="20"/>
              </w:rPr>
              <w:t>4.7.3</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Evaluation of hypotheses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_Toc470004892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218</w:t>
            </w:r>
            <w:r w:rsidR="00BA5C65" w:rsidRPr="00BA5C65">
              <w:rPr>
                <w:noProof/>
                <w:webHidden/>
                <w:sz w:val="20"/>
                <w:szCs w:val="20"/>
              </w:rPr>
              <w:fldChar w:fldCharType="end"/>
            </w:r>
          </w:hyperlink>
        </w:p>
        <w:p w14:paraId="0F09B67C"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93" w:history="1">
            <w:r w:rsidR="00BA5C65" w:rsidRPr="00BA5C65">
              <w:rPr>
                <w:rStyle w:val="Hyperlink"/>
                <w:rFonts w:asciiTheme="minorHAnsi" w:hAnsiTheme="minorHAnsi" w:cstheme="minorHAnsi"/>
                <w:noProof/>
                <w:szCs w:val="20"/>
              </w:rPr>
              <w:t>4.8</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References for Component 3</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_Toc470004893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221</w:t>
            </w:r>
            <w:r w:rsidR="00BA5C65" w:rsidRPr="00BA5C65">
              <w:rPr>
                <w:rFonts w:asciiTheme="minorHAnsi" w:hAnsiTheme="minorHAnsi"/>
                <w:noProof/>
                <w:webHidden/>
                <w:szCs w:val="20"/>
              </w:rPr>
              <w:fldChar w:fldCharType="end"/>
            </w:r>
          </w:hyperlink>
        </w:p>
        <w:p w14:paraId="02AA5D89" w14:textId="77777777" w:rsidR="00BA5C65" w:rsidRPr="00BA5C65" w:rsidRDefault="006E6498">
          <w:pPr>
            <w:pStyle w:val="TOC1"/>
            <w:rPr>
              <w:rFonts w:asciiTheme="minorHAnsi" w:hAnsiTheme="minorHAnsi"/>
              <w:noProof/>
              <w:szCs w:val="20"/>
              <w:lang w:val="en-AU" w:eastAsia="en-AU"/>
            </w:rPr>
          </w:pPr>
          <w:hyperlink w:anchor="_Toc470004894" w:history="1">
            <w:r w:rsidR="00BA5C65" w:rsidRPr="00BA5C65">
              <w:rPr>
                <w:rStyle w:val="Hyperlink"/>
                <w:rFonts w:asciiTheme="minorHAnsi" w:hAnsiTheme="minorHAnsi" w:cstheme="minorHAnsi"/>
                <w:noProof/>
                <w:szCs w:val="20"/>
              </w:rPr>
              <w:t>5</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Component 4 – Biodiversity and risk assessment of Great Artesian Basin spring wetlands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_Toc470004894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223</w:t>
            </w:r>
            <w:r w:rsidR="00BA5C65" w:rsidRPr="00BA5C65">
              <w:rPr>
                <w:rFonts w:asciiTheme="minorHAnsi" w:hAnsiTheme="minorHAnsi"/>
                <w:noProof/>
                <w:webHidden/>
                <w:szCs w:val="20"/>
              </w:rPr>
              <w:fldChar w:fldCharType="end"/>
            </w:r>
          </w:hyperlink>
        </w:p>
        <w:p w14:paraId="5CD303DF"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95" w:history="1">
            <w:r w:rsidR="00BA5C65" w:rsidRPr="00BA5C65">
              <w:rPr>
                <w:rStyle w:val="Hyperlink"/>
                <w:rFonts w:asciiTheme="minorHAnsi" w:hAnsiTheme="minorHAnsi" w:cstheme="minorHAnsi"/>
                <w:noProof/>
                <w:szCs w:val="20"/>
              </w:rPr>
              <w:t>5.1</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Acknowledgements: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_Toc470004895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223</w:t>
            </w:r>
            <w:r w:rsidR="00BA5C65" w:rsidRPr="00BA5C65">
              <w:rPr>
                <w:rFonts w:asciiTheme="minorHAnsi" w:hAnsiTheme="minorHAnsi"/>
                <w:noProof/>
                <w:webHidden/>
                <w:szCs w:val="20"/>
              </w:rPr>
              <w:fldChar w:fldCharType="end"/>
            </w:r>
          </w:hyperlink>
        </w:p>
        <w:p w14:paraId="26485736"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96" w:history="1">
            <w:r w:rsidR="00BA5C65" w:rsidRPr="00BA5C65">
              <w:rPr>
                <w:rStyle w:val="Hyperlink"/>
                <w:rFonts w:asciiTheme="minorHAnsi" w:hAnsiTheme="minorHAnsi" w:cstheme="minorHAnsi"/>
                <w:noProof/>
                <w:szCs w:val="20"/>
              </w:rPr>
              <w:t>5.2</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Summary</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_Toc470004896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223</w:t>
            </w:r>
            <w:r w:rsidR="00BA5C65" w:rsidRPr="00BA5C65">
              <w:rPr>
                <w:rFonts w:asciiTheme="minorHAnsi" w:hAnsiTheme="minorHAnsi"/>
                <w:noProof/>
                <w:webHidden/>
                <w:szCs w:val="20"/>
              </w:rPr>
              <w:fldChar w:fldCharType="end"/>
            </w:r>
          </w:hyperlink>
        </w:p>
        <w:p w14:paraId="40466AE3"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97" w:history="1">
            <w:r w:rsidR="00BA5C65" w:rsidRPr="00BA5C65">
              <w:rPr>
                <w:rStyle w:val="Hyperlink"/>
                <w:rFonts w:asciiTheme="minorHAnsi" w:hAnsiTheme="minorHAnsi" w:cstheme="minorHAnsi"/>
                <w:noProof/>
                <w:szCs w:val="20"/>
              </w:rPr>
              <w:t>5.3</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Background</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_Toc470004897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224</w:t>
            </w:r>
            <w:r w:rsidR="00BA5C65" w:rsidRPr="00BA5C65">
              <w:rPr>
                <w:rFonts w:asciiTheme="minorHAnsi" w:hAnsiTheme="minorHAnsi"/>
                <w:noProof/>
                <w:webHidden/>
                <w:szCs w:val="20"/>
              </w:rPr>
              <w:fldChar w:fldCharType="end"/>
            </w:r>
          </w:hyperlink>
        </w:p>
        <w:p w14:paraId="687F701D"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898" w:history="1">
            <w:r w:rsidR="00BA5C65" w:rsidRPr="00BA5C65">
              <w:rPr>
                <w:rStyle w:val="Hyperlink"/>
                <w:rFonts w:asciiTheme="minorHAnsi" w:hAnsiTheme="minorHAnsi" w:cstheme="minorHAnsi"/>
                <w:noProof/>
                <w:szCs w:val="20"/>
              </w:rPr>
              <w:t>5.4</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Spatial assessment of biodiversity patterns and conservation values of discharge springs across the Great Artesian Basin</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_Toc470004898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229</w:t>
            </w:r>
            <w:r w:rsidR="00BA5C65" w:rsidRPr="00BA5C65">
              <w:rPr>
                <w:rFonts w:asciiTheme="minorHAnsi" w:hAnsiTheme="minorHAnsi"/>
                <w:noProof/>
                <w:webHidden/>
                <w:szCs w:val="20"/>
              </w:rPr>
              <w:fldChar w:fldCharType="end"/>
            </w:r>
          </w:hyperlink>
        </w:p>
        <w:p w14:paraId="7BFCE6B7" w14:textId="77777777" w:rsidR="00BA5C65" w:rsidRPr="00BA5C65" w:rsidRDefault="006E6498">
          <w:pPr>
            <w:pStyle w:val="TOC3"/>
            <w:rPr>
              <w:rFonts w:eastAsiaTheme="minorEastAsia" w:cstheme="minorBidi"/>
              <w:bCs w:val="0"/>
              <w:noProof/>
              <w:sz w:val="20"/>
              <w:szCs w:val="20"/>
              <w:lang w:eastAsia="en-AU"/>
            </w:rPr>
          </w:pPr>
          <w:hyperlink w:anchor="_Toc470004899" w:history="1">
            <w:r w:rsidR="00BA5C65" w:rsidRPr="00BA5C65">
              <w:rPr>
                <w:rStyle w:val="Hyperlink"/>
                <w:rFonts w:cstheme="minorHAnsi"/>
                <w:noProof/>
                <w:sz w:val="20"/>
                <w:szCs w:val="20"/>
              </w:rPr>
              <w:t>5.4.1</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Key objectives: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_Toc470004899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229</w:t>
            </w:r>
            <w:r w:rsidR="00BA5C65" w:rsidRPr="00BA5C65">
              <w:rPr>
                <w:noProof/>
                <w:webHidden/>
                <w:sz w:val="20"/>
                <w:szCs w:val="20"/>
              </w:rPr>
              <w:fldChar w:fldCharType="end"/>
            </w:r>
          </w:hyperlink>
        </w:p>
        <w:p w14:paraId="302C070C" w14:textId="77777777" w:rsidR="00BA5C65" w:rsidRPr="00BA5C65" w:rsidRDefault="006E6498">
          <w:pPr>
            <w:pStyle w:val="TOC3"/>
            <w:rPr>
              <w:rFonts w:eastAsiaTheme="minorEastAsia" w:cstheme="minorBidi"/>
              <w:bCs w:val="0"/>
              <w:noProof/>
              <w:sz w:val="20"/>
              <w:szCs w:val="20"/>
              <w:lang w:eastAsia="en-AU"/>
            </w:rPr>
          </w:pPr>
          <w:hyperlink w:anchor="_Toc470004900" w:history="1">
            <w:r w:rsidR="00BA5C65" w:rsidRPr="00BA5C65">
              <w:rPr>
                <w:rStyle w:val="Hyperlink"/>
                <w:rFonts w:cstheme="minorHAnsi"/>
                <w:noProof/>
                <w:sz w:val="20"/>
                <w:szCs w:val="20"/>
              </w:rPr>
              <w:t>5.4.2</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Background</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_Toc470004900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229</w:t>
            </w:r>
            <w:r w:rsidR="00BA5C65" w:rsidRPr="00BA5C65">
              <w:rPr>
                <w:noProof/>
                <w:webHidden/>
                <w:sz w:val="20"/>
                <w:szCs w:val="20"/>
              </w:rPr>
              <w:fldChar w:fldCharType="end"/>
            </w:r>
          </w:hyperlink>
        </w:p>
        <w:p w14:paraId="241727E9" w14:textId="77777777" w:rsidR="00BA5C65" w:rsidRPr="00BA5C65" w:rsidRDefault="006E6498">
          <w:pPr>
            <w:pStyle w:val="TOC3"/>
            <w:rPr>
              <w:rFonts w:eastAsiaTheme="minorEastAsia" w:cstheme="minorBidi"/>
              <w:bCs w:val="0"/>
              <w:noProof/>
              <w:sz w:val="20"/>
              <w:szCs w:val="20"/>
              <w:lang w:eastAsia="en-AU"/>
            </w:rPr>
          </w:pPr>
          <w:hyperlink w:anchor="_Toc470004901" w:history="1">
            <w:r w:rsidR="00BA5C65" w:rsidRPr="00BA5C65">
              <w:rPr>
                <w:rStyle w:val="Hyperlink"/>
                <w:rFonts w:cstheme="minorHAnsi"/>
                <w:noProof/>
                <w:sz w:val="20"/>
                <w:szCs w:val="20"/>
              </w:rPr>
              <w:t>5.4.3</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Approach</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_Toc470004901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230</w:t>
            </w:r>
            <w:r w:rsidR="00BA5C65" w:rsidRPr="00BA5C65">
              <w:rPr>
                <w:noProof/>
                <w:webHidden/>
                <w:sz w:val="20"/>
                <w:szCs w:val="20"/>
              </w:rPr>
              <w:fldChar w:fldCharType="end"/>
            </w:r>
          </w:hyperlink>
        </w:p>
        <w:p w14:paraId="2762D33D" w14:textId="77777777" w:rsidR="00BA5C65" w:rsidRPr="00BA5C65" w:rsidRDefault="006E6498">
          <w:pPr>
            <w:pStyle w:val="TOC3"/>
            <w:rPr>
              <w:rFonts w:eastAsiaTheme="minorEastAsia" w:cstheme="minorBidi"/>
              <w:bCs w:val="0"/>
              <w:noProof/>
              <w:sz w:val="20"/>
              <w:szCs w:val="20"/>
              <w:lang w:eastAsia="en-AU"/>
            </w:rPr>
          </w:pPr>
          <w:hyperlink w:anchor="_Toc470004902" w:history="1">
            <w:r w:rsidR="00BA5C65" w:rsidRPr="00BA5C65">
              <w:rPr>
                <w:rStyle w:val="Hyperlink"/>
                <w:rFonts w:cstheme="minorHAnsi"/>
                <w:noProof/>
                <w:sz w:val="20"/>
                <w:szCs w:val="20"/>
              </w:rPr>
              <w:t>5.4.4</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Results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_Toc470004902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237</w:t>
            </w:r>
            <w:r w:rsidR="00BA5C65" w:rsidRPr="00BA5C65">
              <w:rPr>
                <w:noProof/>
                <w:webHidden/>
                <w:sz w:val="20"/>
                <w:szCs w:val="20"/>
              </w:rPr>
              <w:fldChar w:fldCharType="end"/>
            </w:r>
          </w:hyperlink>
        </w:p>
        <w:p w14:paraId="154E8A7A" w14:textId="77777777" w:rsidR="00BA5C65" w:rsidRPr="00BA5C65" w:rsidRDefault="006E6498">
          <w:pPr>
            <w:pStyle w:val="TOC3"/>
            <w:rPr>
              <w:rFonts w:eastAsiaTheme="minorEastAsia" w:cstheme="minorBidi"/>
              <w:bCs w:val="0"/>
              <w:noProof/>
              <w:sz w:val="20"/>
              <w:szCs w:val="20"/>
              <w:lang w:eastAsia="en-AU"/>
            </w:rPr>
          </w:pPr>
          <w:hyperlink w:anchor="_Toc470004903" w:history="1">
            <w:r w:rsidR="00BA5C65" w:rsidRPr="00BA5C65">
              <w:rPr>
                <w:rStyle w:val="Hyperlink"/>
                <w:rFonts w:cstheme="minorHAnsi"/>
                <w:noProof/>
                <w:sz w:val="20"/>
                <w:szCs w:val="20"/>
              </w:rPr>
              <w:t>5.4.5</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Discussion</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_Toc470004903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251</w:t>
            </w:r>
            <w:r w:rsidR="00BA5C65" w:rsidRPr="00BA5C65">
              <w:rPr>
                <w:noProof/>
                <w:webHidden/>
                <w:sz w:val="20"/>
                <w:szCs w:val="20"/>
              </w:rPr>
              <w:fldChar w:fldCharType="end"/>
            </w:r>
          </w:hyperlink>
        </w:p>
        <w:p w14:paraId="01233075" w14:textId="77777777" w:rsidR="00BA5C65" w:rsidRPr="00BA5C65" w:rsidRDefault="006E6498">
          <w:pPr>
            <w:pStyle w:val="TOC3"/>
            <w:rPr>
              <w:rFonts w:eastAsiaTheme="minorEastAsia" w:cstheme="minorBidi"/>
              <w:bCs w:val="0"/>
              <w:noProof/>
              <w:sz w:val="20"/>
              <w:szCs w:val="20"/>
              <w:lang w:eastAsia="en-AU"/>
            </w:rPr>
          </w:pPr>
          <w:hyperlink w:anchor="_Toc470004904" w:history="1">
            <w:r w:rsidR="00BA5C65" w:rsidRPr="00BA5C65">
              <w:rPr>
                <w:rStyle w:val="Hyperlink"/>
                <w:rFonts w:cstheme="minorHAnsi"/>
                <w:noProof/>
                <w:sz w:val="20"/>
                <w:szCs w:val="20"/>
              </w:rPr>
              <w:t>5.4.6</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Key findings and recommendations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_Toc470004904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254</w:t>
            </w:r>
            <w:r w:rsidR="00BA5C65" w:rsidRPr="00BA5C65">
              <w:rPr>
                <w:noProof/>
                <w:webHidden/>
                <w:sz w:val="20"/>
                <w:szCs w:val="20"/>
              </w:rPr>
              <w:fldChar w:fldCharType="end"/>
            </w:r>
          </w:hyperlink>
        </w:p>
        <w:p w14:paraId="3E06AC94"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905" w:history="1">
            <w:r w:rsidR="00BA5C65" w:rsidRPr="00BA5C65">
              <w:rPr>
                <w:rStyle w:val="Hyperlink"/>
                <w:rFonts w:asciiTheme="minorHAnsi" w:hAnsiTheme="minorHAnsi" w:cstheme="minorHAnsi"/>
                <w:noProof/>
                <w:szCs w:val="20"/>
              </w:rPr>
              <w:t>5.5</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Assessment of the cumulative risks of groundwater drawdown and other stressors on endemic flora and fauna of Great Artesian Basin springs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_Toc470004905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256</w:t>
            </w:r>
            <w:r w:rsidR="00BA5C65" w:rsidRPr="00BA5C65">
              <w:rPr>
                <w:rFonts w:asciiTheme="minorHAnsi" w:hAnsiTheme="minorHAnsi"/>
                <w:noProof/>
                <w:webHidden/>
                <w:szCs w:val="20"/>
              </w:rPr>
              <w:fldChar w:fldCharType="end"/>
            </w:r>
          </w:hyperlink>
        </w:p>
        <w:p w14:paraId="21178CD3" w14:textId="77777777" w:rsidR="00BA5C65" w:rsidRPr="00BA5C65" w:rsidRDefault="006E6498">
          <w:pPr>
            <w:pStyle w:val="TOC3"/>
            <w:rPr>
              <w:rFonts w:eastAsiaTheme="minorEastAsia" w:cstheme="minorBidi"/>
              <w:bCs w:val="0"/>
              <w:noProof/>
              <w:sz w:val="20"/>
              <w:szCs w:val="20"/>
              <w:lang w:eastAsia="en-AU"/>
            </w:rPr>
          </w:pPr>
          <w:hyperlink w:anchor="_Toc470004906" w:history="1">
            <w:r w:rsidR="00BA5C65" w:rsidRPr="00BA5C65">
              <w:rPr>
                <w:rStyle w:val="Hyperlink"/>
                <w:rFonts w:cstheme="minorHAnsi"/>
                <w:noProof/>
                <w:sz w:val="20"/>
                <w:szCs w:val="20"/>
              </w:rPr>
              <w:t>5.5.1</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Key objectives: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_Toc470004906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256</w:t>
            </w:r>
            <w:r w:rsidR="00BA5C65" w:rsidRPr="00BA5C65">
              <w:rPr>
                <w:noProof/>
                <w:webHidden/>
                <w:sz w:val="20"/>
                <w:szCs w:val="20"/>
              </w:rPr>
              <w:fldChar w:fldCharType="end"/>
            </w:r>
          </w:hyperlink>
        </w:p>
        <w:p w14:paraId="1F823E8A" w14:textId="77777777" w:rsidR="00BA5C65" w:rsidRPr="00BA5C65" w:rsidRDefault="006E6498">
          <w:pPr>
            <w:pStyle w:val="TOC3"/>
            <w:rPr>
              <w:rFonts w:eastAsiaTheme="minorEastAsia" w:cstheme="minorBidi"/>
              <w:bCs w:val="0"/>
              <w:noProof/>
              <w:sz w:val="20"/>
              <w:szCs w:val="20"/>
              <w:lang w:eastAsia="en-AU"/>
            </w:rPr>
          </w:pPr>
          <w:hyperlink w:anchor="_Toc470004907" w:history="1">
            <w:r w:rsidR="00BA5C65" w:rsidRPr="00BA5C65">
              <w:rPr>
                <w:rStyle w:val="Hyperlink"/>
                <w:rFonts w:cstheme="minorHAnsi"/>
                <w:noProof/>
                <w:sz w:val="20"/>
                <w:szCs w:val="20"/>
              </w:rPr>
              <w:t>5.5.2</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Background</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_Toc470004907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256</w:t>
            </w:r>
            <w:r w:rsidR="00BA5C65" w:rsidRPr="00BA5C65">
              <w:rPr>
                <w:noProof/>
                <w:webHidden/>
                <w:sz w:val="20"/>
                <w:szCs w:val="20"/>
              </w:rPr>
              <w:fldChar w:fldCharType="end"/>
            </w:r>
          </w:hyperlink>
        </w:p>
        <w:p w14:paraId="62A5FD56" w14:textId="77777777" w:rsidR="00BA5C65" w:rsidRPr="00BA5C65" w:rsidRDefault="006E6498">
          <w:pPr>
            <w:pStyle w:val="TOC3"/>
            <w:rPr>
              <w:rFonts w:eastAsiaTheme="minorEastAsia" w:cstheme="minorBidi"/>
              <w:bCs w:val="0"/>
              <w:noProof/>
              <w:sz w:val="20"/>
              <w:szCs w:val="20"/>
              <w:lang w:eastAsia="en-AU"/>
            </w:rPr>
          </w:pPr>
          <w:hyperlink w:anchor="_Toc470004908" w:history="1">
            <w:r w:rsidR="00BA5C65" w:rsidRPr="00BA5C65">
              <w:rPr>
                <w:rStyle w:val="Hyperlink"/>
                <w:rFonts w:cstheme="minorHAnsi"/>
                <w:noProof/>
                <w:sz w:val="20"/>
                <w:szCs w:val="20"/>
              </w:rPr>
              <w:t>5.5.3</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Categorising threats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_Toc470004908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260</w:t>
            </w:r>
            <w:r w:rsidR="00BA5C65" w:rsidRPr="00BA5C65">
              <w:rPr>
                <w:noProof/>
                <w:webHidden/>
                <w:sz w:val="20"/>
                <w:szCs w:val="20"/>
              </w:rPr>
              <w:fldChar w:fldCharType="end"/>
            </w:r>
          </w:hyperlink>
        </w:p>
        <w:p w14:paraId="14F4B7D8" w14:textId="77777777" w:rsidR="00BA5C65" w:rsidRPr="00BA5C65" w:rsidRDefault="006E6498">
          <w:pPr>
            <w:pStyle w:val="TOC3"/>
            <w:rPr>
              <w:rFonts w:eastAsiaTheme="minorEastAsia" w:cstheme="minorBidi"/>
              <w:bCs w:val="0"/>
              <w:noProof/>
              <w:sz w:val="20"/>
              <w:szCs w:val="20"/>
              <w:lang w:eastAsia="en-AU"/>
            </w:rPr>
          </w:pPr>
          <w:hyperlink w:anchor="_Toc470004909" w:history="1">
            <w:r w:rsidR="00BA5C65" w:rsidRPr="00BA5C65">
              <w:rPr>
                <w:rStyle w:val="Hyperlink"/>
                <w:rFonts w:cstheme="minorHAnsi"/>
                <w:noProof/>
                <w:sz w:val="20"/>
                <w:szCs w:val="20"/>
              </w:rPr>
              <w:t>5.5.4</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Risk assessment approach</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_Toc470004909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261</w:t>
            </w:r>
            <w:r w:rsidR="00BA5C65" w:rsidRPr="00BA5C65">
              <w:rPr>
                <w:noProof/>
                <w:webHidden/>
                <w:sz w:val="20"/>
                <w:szCs w:val="20"/>
              </w:rPr>
              <w:fldChar w:fldCharType="end"/>
            </w:r>
          </w:hyperlink>
        </w:p>
        <w:p w14:paraId="0B3D86A7" w14:textId="77777777" w:rsidR="00BA5C65" w:rsidRPr="00BA5C65" w:rsidRDefault="006E6498">
          <w:pPr>
            <w:pStyle w:val="TOC3"/>
            <w:rPr>
              <w:rFonts w:eastAsiaTheme="minorEastAsia" w:cstheme="minorBidi"/>
              <w:bCs w:val="0"/>
              <w:noProof/>
              <w:sz w:val="20"/>
              <w:szCs w:val="20"/>
              <w:lang w:eastAsia="en-AU"/>
            </w:rPr>
          </w:pPr>
          <w:hyperlink w:anchor="_Toc470004910" w:history="1">
            <w:r w:rsidR="00BA5C65" w:rsidRPr="00BA5C65">
              <w:rPr>
                <w:rStyle w:val="Hyperlink"/>
                <w:rFonts w:cstheme="minorHAnsi"/>
                <w:noProof/>
                <w:sz w:val="20"/>
                <w:szCs w:val="20"/>
              </w:rPr>
              <w:t>5.5.5</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Results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_Toc470004910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265</w:t>
            </w:r>
            <w:r w:rsidR="00BA5C65" w:rsidRPr="00BA5C65">
              <w:rPr>
                <w:noProof/>
                <w:webHidden/>
                <w:sz w:val="20"/>
                <w:szCs w:val="20"/>
              </w:rPr>
              <w:fldChar w:fldCharType="end"/>
            </w:r>
          </w:hyperlink>
        </w:p>
        <w:p w14:paraId="52637C73" w14:textId="77777777" w:rsidR="00BA5C65" w:rsidRPr="00BA5C65" w:rsidRDefault="006E6498">
          <w:pPr>
            <w:pStyle w:val="TOC3"/>
            <w:rPr>
              <w:rFonts w:eastAsiaTheme="minorEastAsia" w:cstheme="minorBidi"/>
              <w:bCs w:val="0"/>
              <w:noProof/>
              <w:sz w:val="20"/>
              <w:szCs w:val="20"/>
              <w:lang w:eastAsia="en-AU"/>
            </w:rPr>
          </w:pPr>
          <w:hyperlink w:anchor="_Toc470004911" w:history="1">
            <w:r w:rsidR="00BA5C65" w:rsidRPr="00BA5C65">
              <w:rPr>
                <w:rStyle w:val="Hyperlink"/>
                <w:rFonts w:cstheme="minorHAnsi"/>
                <w:noProof/>
                <w:sz w:val="20"/>
                <w:szCs w:val="20"/>
              </w:rPr>
              <w:t>5.5.6</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Discussion</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_Toc470004911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273</w:t>
            </w:r>
            <w:r w:rsidR="00BA5C65" w:rsidRPr="00BA5C65">
              <w:rPr>
                <w:noProof/>
                <w:webHidden/>
                <w:sz w:val="20"/>
                <w:szCs w:val="20"/>
              </w:rPr>
              <w:fldChar w:fldCharType="end"/>
            </w:r>
          </w:hyperlink>
        </w:p>
        <w:p w14:paraId="4DAA2211" w14:textId="422AABE5" w:rsidR="00BA5C65" w:rsidRPr="00BA5C65" w:rsidRDefault="006E6498">
          <w:pPr>
            <w:pStyle w:val="TOC3"/>
            <w:rPr>
              <w:rFonts w:eastAsiaTheme="minorEastAsia" w:cstheme="minorBidi"/>
              <w:bCs w:val="0"/>
              <w:noProof/>
              <w:sz w:val="20"/>
              <w:szCs w:val="20"/>
              <w:lang w:eastAsia="en-AU"/>
            </w:rPr>
          </w:pPr>
          <w:hyperlink w:anchor="_Toc470004912" w:history="1">
            <w:r w:rsidR="00BA5C65" w:rsidRPr="00BA5C65">
              <w:rPr>
                <w:rStyle w:val="Hyperlink"/>
                <w:rFonts w:cstheme="minorHAnsi"/>
                <w:noProof/>
                <w:sz w:val="20"/>
                <w:szCs w:val="20"/>
              </w:rPr>
              <w:t>5.5.7</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 xml:space="preserve">Key </w:t>
            </w:r>
            <w:r w:rsidR="00260373">
              <w:rPr>
                <w:rStyle w:val="Hyperlink"/>
                <w:rFonts w:cstheme="minorHAnsi"/>
                <w:noProof/>
                <w:sz w:val="20"/>
                <w:szCs w:val="20"/>
              </w:rPr>
              <w:t>findings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_Toc470004912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277</w:t>
            </w:r>
            <w:r w:rsidR="00BA5C65" w:rsidRPr="00BA5C65">
              <w:rPr>
                <w:noProof/>
                <w:webHidden/>
                <w:sz w:val="20"/>
                <w:szCs w:val="20"/>
              </w:rPr>
              <w:fldChar w:fldCharType="end"/>
            </w:r>
          </w:hyperlink>
        </w:p>
        <w:p w14:paraId="12E9BB4C"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913" w:history="1">
            <w:r w:rsidR="00BA5C65" w:rsidRPr="00BA5C65">
              <w:rPr>
                <w:rStyle w:val="Hyperlink"/>
                <w:rFonts w:asciiTheme="minorHAnsi" w:hAnsiTheme="minorHAnsi" w:cstheme="minorHAnsi"/>
                <w:noProof/>
                <w:szCs w:val="20"/>
              </w:rPr>
              <w:t>5.6</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References – Component 4</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_Toc470004913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278</w:t>
            </w:r>
            <w:r w:rsidR="00BA5C65" w:rsidRPr="00BA5C65">
              <w:rPr>
                <w:rFonts w:asciiTheme="minorHAnsi" w:hAnsiTheme="minorHAnsi"/>
                <w:noProof/>
                <w:webHidden/>
                <w:szCs w:val="20"/>
              </w:rPr>
              <w:fldChar w:fldCharType="end"/>
            </w:r>
          </w:hyperlink>
        </w:p>
        <w:p w14:paraId="2BC31346" w14:textId="77777777" w:rsidR="00BA5C65" w:rsidRPr="00BA5C65" w:rsidRDefault="006E6498">
          <w:pPr>
            <w:pStyle w:val="TOC1"/>
            <w:rPr>
              <w:rFonts w:asciiTheme="minorHAnsi" w:hAnsiTheme="minorHAnsi"/>
              <w:noProof/>
              <w:szCs w:val="20"/>
              <w:lang w:val="en-AU" w:eastAsia="en-AU"/>
            </w:rPr>
          </w:pPr>
          <w:hyperlink w:anchor="_Toc470004914" w:history="1">
            <w:r w:rsidR="00BA5C65" w:rsidRPr="00BA5C65">
              <w:rPr>
                <w:rStyle w:val="Hyperlink"/>
                <w:rFonts w:asciiTheme="minorHAnsi" w:eastAsiaTheme="majorEastAsia" w:hAnsiTheme="minorHAnsi" w:cstheme="minorHAnsi"/>
                <w:noProof/>
                <w:szCs w:val="20"/>
              </w:rPr>
              <w:t>6</w:t>
            </w:r>
            <w:r w:rsidR="00BA5C65" w:rsidRPr="00BA5C65">
              <w:rPr>
                <w:rFonts w:asciiTheme="minorHAnsi" w:hAnsiTheme="minorHAnsi"/>
                <w:noProof/>
                <w:szCs w:val="20"/>
                <w:lang w:val="en-AU" w:eastAsia="en-AU"/>
              </w:rPr>
              <w:tab/>
            </w:r>
            <w:r w:rsidR="00BA5C65" w:rsidRPr="00BA5C65">
              <w:rPr>
                <w:rStyle w:val="Hyperlink"/>
                <w:rFonts w:asciiTheme="minorHAnsi" w:eastAsiaTheme="majorEastAsia" w:hAnsiTheme="minorHAnsi" w:cstheme="minorHAnsi"/>
                <w:noProof/>
                <w:szCs w:val="20"/>
              </w:rPr>
              <w:t>Synthesis: application of the research, key findings and project outcomes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_Toc470004914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284</w:t>
            </w:r>
            <w:r w:rsidR="00BA5C65" w:rsidRPr="00BA5C65">
              <w:rPr>
                <w:rFonts w:asciiTheme="minorHAnsi" w:hAnsiTheme="minorHAnsi"/>
                <w:noProof/>
                <w:webHidden/>
                <w:szCs w:val="20"/>
              </w:rPr>
              <w:fldChar w:fldCharType="end"/>
            </w:r>
          </w:hyperlink>
        </w:p>
        <w:p w14:paraId="75C734E6"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915" w:history="1">
            <w:r w:rsidR="00BA5C65" w:rsidRPr="00BA5C65">
              <w:rPr>
                <w:rStyle w:val="Hyperlink"/>
                <w:rFonts w:asciiTheme="minorHAnsi" w:hAnsiTheme="minorHAnsi" w:cstheme="minorHAnsi"/>
                <w:noProof/>
                <w:szCs w:val="20"/>
              </w:rPr>
              <w:t>6.1</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Background</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_Toc470004915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284</w:t>
            </w:r>
            <w:r w:rsidR="00BA5C65" w:rsidRPr="00BA5C65">
              <w:rPr>
                <w:rFonts w:asciiTheme="minorHAnsi" w:hAnsiTheme="minorHAnsi"/>
                <w:noProof/>
                <w:webHidden/>
                <w:szCs w:val="20"/>
              </w:rPr>
              <w:fldChar w:fldCharType="end"/>
            </w:r>
          </w:hyperlink>
        </w:p>
        <w:p w14:paraId="76455EE7"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916" w:history="1">
            <w:r w:rsidR="00BA5C65" w:rsidRPr="00BA5C65">
              <w:rPr>
                <w:rStyle w:val="Hyperlink"/>
                <w:rFonts w:asciiTheme="minorHAnsi" w:hAnsiTheme="minorHAnsi" w:cstheme="minorHAnsi"/>
                <w:noProof/>
                <w:szCs w:val="20"/>
              </w:rPr>
              <w:t>6.2</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Inferential strength, transfer and scaling of ecological response relationships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_Toc470004916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284</w:t>
            </w:r>
            <w:r w:rsidR="00BA5C65" w:rsidRPr="00BA5C65">
              <w:rPr>
                <w:rFonts w:asciiTheme="minorHAnsi" w:hAnsiTheme="minorHAnsi"/>
                <w:noProof/>
                <w:webHidden/>
                <w:szCs w:val="20"/>
              </w:rPr>
              <w:fldChar w:fldCharType="end"/>
            </w:r>
          </w:hyperlink>
        </w:p>
        <w:p w14:paraId="5E56ADCA" w14:textId="77777777" w:rsidR="00BA5C65" w:rsidRPr="00BA5C65" w:rsidRDefault="006E6498">
          <w:pPr>
            <w:pStyle w:val="TOC3"/>
            <w:rPr>
              <w:rFonts w:eastAsiaTheme="minorEastAsia" w:cstheme="minorBidi"/>
              <w:bCs w:val="0"/>
              <w:noProof/>
              <w:sz w:val="20"/>
              <w:szCs w:val="20"/>
              <w:lang w:eastAsia="en-AU"/>
            </w:rPr>
          </w:pPr>
          <w:hyperlink w:anchor="_Toc470004917" w:history="1">
            <w:r w:rsidR="00BA5C65" w:rsidRPr="00BA5C65">
              <w:rPr>
                <w:rStyle w:val="Hyperlink"/>
                <w:rFonts w:cstheme="minorHAnsi"/>
                <w:noProof/>
                <w:sz w:val="20"/>
                <w:szCs w:val="20"/>
                <w:lang w:eastAsia="en-AU"/>
              </w:rPr>
              <w:t>6.2.1</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lang w:eastAsia="en-AU"/>
              </w:rPr>
              <w:t>Inferential strength of ecological response relationships and issues of scope and scale</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_Toc470004917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284</w:t>
            </w:r>
            <w:r w:rsidR="00BA5C65" w:rsidRPr="00BA5C65">
              <w:rPr>
                <w:noProof/>
                <w:webHidden/>
                <w:sz w:val="20"/>
                <w:szCs w:val="20"/>
              </w:rPr>
              <w:fldChar w:fldCharType="end"/>
            </w:r>
          </w:hyperlink>
        </w:p>
        <w:p w14:paraId="3E56118C" w14:textId="77777777" w:rsidR="00BA5C65" w:rsidRPr="00BA5C65" w:rsidRDefault="006E6498">
          <w:pPr>
            <w:pStyle w:val="TOC3"/>
            <w:rPr>
              <w:rFonts w:eastAsiaTheme="minorEastAsia" w:cstheme="minorBidi"/>
              <w:bCs w:val="0"/>
              <w:noProof/>
              <w:sz w:val="20"/>
              <w:szCs w:val="20"/>
              <w:lang w:eastAsia="en-AU"/>
            </w:rPr>
          </w:pPr>
          <w:hyperlink w:anchor="_Toc470004918" w:history="1">
            <w:r w:rsidR="00BA5C65" w:rsidRPr="00BA5C65">
              <w:rPr>
                <w:rStyle w:val="Hyperlink"/>
                <w:rFonts w:cstheme="minorHAnsi"/>
                <w:noProof/>
                <w:sz w:val="20"/>
                <w:szCs w:val="20"/>
                <w:lang w:eastAsia="en-AU"/>
              </w:rPr>
              <w:t>6.2.2</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lang w:eastAsia="en-AU"/>
              </w:rPr>
              <w:t>Transfer and scaling of responses through space and time</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_Toc470004918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286</w:t>
            </w:r>
            <w:r w:rsidR="00BA5C65" w:rsidRPr="00BA5C65">
              <w:rPr>
                <w:noProof/>
                <w:webHidden/>
                <w:sz w:val="20"/>
                <w:szCs w:val="20"/>
              </w:rPr>
              <w:fldChar w:fldCharType="end"/>
            </w:r>
          </w:hyperlink>
        </w:p>
        <w:p w14:paraId="06EC08AC" w14:textId="77777777" w:rsidR="00BA5C65" w:rsidRPr="00BA5C65" w:rsidRDefault="006E6498">
          <w:pPr>
            <w:pStyle w:val="TOC3"/>
            <w:rPr>
              <w:rFonts w:eastAsiaTheme="minorEastAsia" w:cstheme="minorBidi"/>
              <w:bCs w:val="0"/>
              <w:noProof/>
              <w:sz w:val="20"/>
              <w:szCs w:val="20"/>
              <w:lang w:eastAsia="en-AU"/>
            </w:rPr>
          </w:pPr>
          <w:hyperlink w:anchor="_Toc470004919" w:history="1">
            <w:r w:rsidR="00BA5C65" w:rsidRPr="00BA5C65">
              <w:rPr>
                <w:rStyle w:val="Hyperlink"/>
                <w:rFonts w:eastAsia="Times New Roman" w:cstheme="minorHAnsi"/>
                <w:noProof/>
                <w:sz w:val="20"/>
                <w:szCs w:val="20"/>
                <w:lang w:eastAsia="en-AU"/>
              </w:rPr>
              <w:t>6.2.3</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lang w:eastAsia="en-AU"/>
              </w:rPr>
              <w:t>Transferability and scalability of findings for different ecological responses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_Toc470004919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287</w:t>
            </w:r>
            <w:r w:rsidR="00BA5C65" w:rsidRPr="00BA5C65">
              <w:rPr>
                <w:noProof/>
                <w:webHidden/>
                <w:sz w:val="20"/>
                <w:szCs w:val="20"/>
              </w:rPr>
              <w:fldChar w:fldCharType="end"/>
            </w:r>
          </w:hyperlink>
        </w:p>
        <w:p w14:paraId="281555AC"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920" w:history="1">
            <w:r w:rsidR="00BA5C65" w:rsidRPr="00BA5C65">
              <w:rPr>
                <w:rStyle w:val="Hyperlink"/>
                <w:rFonts w:asciiTheme="minorHAnsi" w:hAnsiTheme="minorHAnsi" w:cstheme="minorHAnsi"/>
                <w:noProof/>
                <w:szCs w:val="20"/>
                <w:lang w:eastAsia="en-AU"/>
              </w:rPr>
              <w:t>6.3</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Monitoring and assessment</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_Toc470004920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290</w:t>
            </w:r>
            <w:r w:rsidR="00BA5C65" w:rsidRPr="00BA5C65">
              <w:rPr>
                <w:rFonts w:asciiTheme="minorHAnsi" w:hAnsiTheme="minorHAnsi"/>
                <w:noProof/>
                <w:webHidden/>
                <w:szCs w:val="20"/>
              </w:rPr>
              <w:fldChar w:fldCharType="end"/>
            </w:r>
          </w:hyperlink>
        </w:p>
        <w:p w14:paraId="5584813F" w14:textId="77777777" w:rsidR="00BA5C65" w:rsidRPr="00BA5C65" w:rsidRDefault="006E6498">
          <w:pPr>
            <w:pStyle w:val="TOC3"/>
            <w:rPr>
              <w:rFonts w:eastAsiaTheme="minorEastAsia" w:cstheme="minorBidi"/>
              <w:bCs w:val="0"/>
              <w:noProof/>
              <w:sz w:val="20"/>
              <w:szCs w:val="20"/>
              <w:lang w:eastAsia="en-AU"/>
            </w:rPr>
          </w:pPr>
          <w:hyperlink w:anchor="_Toc470004921" w:history="1">
            <w:r w:rsidR="00BA5C65" w:rsidRPr="00BA5C65">
              <w:rPr>
                <w:rStyle w:val="Hyperlink"/>
                <w:rFonts w:cstheme="minorHAnsi"/>
                <w:noProof/>
                <w:sz w:val="20"/>
                <w:szCs w:val="20"/>
                <w:lang w:eastAsia="en-AU"/>
              </w:rPr>
              <w:t>6.3.1</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lang w:eastAsia="en-AU"/>
              </w:rPr>
              <w:t>Key principles for effective monitoring</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_Toc470004921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290</w:t>
            </w:r>
            <w:r w:rsidR="00BA5C65" w:rsidRPr="00BA5C65">
              <w:rPr>
                <w:noProof/>
                <w:webHidden/>
                <w:sz w:val="20"/>
                <w:szCs w:val="20"/>
              </w:rPr>
              <w:fldChar w:fldCharType="end"/>
            </w:r>
          </w:hyperlink>
        </w:p>
        <w:p w14:paraId="575F3EF4" w14:textId="77777777" w:rsidR="00BA5C65" w:rsidRPr="00BA5C65" w:rsidRDefault="006E6498">
          <w:pPr>
            <w:pStyle w:val="TOC3"/>
            <w:rPr>
              <w:rFonts w:eastAsiaTheme="minorEastAsia" w:cstheme="minorBidi"/>
              <w:bCs w:val="0"/>
              <w:noProof/>
              <w:sz w:val="20"/>
              <w:szCs w:val="20"/>
              <w:lang w:eastAsia="en-AU"/>
            </w:rPr>
          </w:pPr>
          <w:hyperlink w:anchor="_Toc470004922" w:history="1">
            <w:r w:rsidR="00BA5C65" w:rsidRPr="00BA5C65">
              <w:rPr>
                <w:rStyle w:val="Hyperlink"/>
                <w:rFonts w:cstheme="minorHAnsi"/>
                <w:noProof/>
                <w:sz w:val="20"/>
                <w:szCs w:val="20"/>
                <w:lang w:eastAsia="en-AU"/>
              </w:rPr>
              <w:t>6.3.2</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lang w:eastAsia="en-AU"/>
              </w:rPr>
              <w:t>Monitoring indicators</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_Toc470004922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291</w:t>
            </w:r>
            <w:r w:rsidR="00BA5C65" w:rsidRPr="00BA5C65">
              <w:rPr>
                <w:noProof/>
                <w:webHidden/>
                <w:sz w:val="20"/>
                <w:szCs w:val="20"/>
              </w:rPr>
              <w:fldChar w:fldCharType="end"/>
            </w:r>
          </w:hyperlink>
        </w:p>
        <w:p w14:paraId="7BFEF426"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923" w:history="1">
            <w:r w:rsidR="00BA5C65" w:rsidRPr="00BA5C65">
              <w:rPr>
                <w:rStyle w:val="Hyperlink"/>
                <w:rFonts w:asciiTheme="minorHAnsi" w:hAnsiTheme="minorHAnsi"/>
                <w:noProof/>
                <w:szCs w:val="20"/>
              </w:rPr>
              <w:t>6.4</w:t>
            </w:r>
            <w:r w:rsidR="00BA5C65" w:rsidRPr="00BA5C65">
              <w:rPr>
                <w:rFonts w:asciiTheme="minorHAnsi" w:hAnsiTheme="minorHAnsi"/>
                <w:noProof/>
                <w:szCs w:val="20"/>
                <w:lang w:val="en-AU" w:eastAsia="en-AU"/>
              </w:rPr>
              <w:tab/>
            </w:r>
            <w:r w:rsidR="00BA5C65" w:rsidRPr="00BA5C65">
              <w:rPr>
                <w:rStyle w:val="Hyperlink"/>
                <w:rFonts w:asciiTheme="minorHAnsi" w:hAnsiTheme="minorHAnsi"/>
                <w:noProof/>
                <w:szCs w:val="20"/>
              </w:rPr>
              <w:t>Key project findings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_Toc470004923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296</w:t>
            </w:r>
            <w:r w:rsidR="00BA5C65" w:rsidRPr="00BA5C65">
              <w:rPr>
                <w:rFonts w:asciiTheme="minorHAnsi" w:hAnsiTheme="minorHAnsi"/>
                <w:noProof/>
                <w:webHidden/>
                <w:szCs w:val="20"/>
              </w:rPr>
              <w:fldChar w:fldCharType="end"/>
            </w:r>
          </w:hyperlink>
        </w:p>
        <w:p w14:paraId="7EE94A04"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924" w:history="1">
            <w:r w:rsidR="00BA5C65" w:rsidRPr="00BA5C65">
              <w:rPr>
                <w:rStyle w:val="Hyperlink"/>
                <w:rFonts w:asciiTheme="minorHAnsi" w:hAnsiTheme="minorHAnsi" w:cstheme="minorHAnsi"/>
                <w:noProof/>
                <w:szCs w:val="20"/>
                <w:lang w:eastAsia="en-AU"/>
              </w:rPr>
              <w:t>6.5</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lang w:eastAsia="en-AU"/>
              </w:rPr>
              <w:t>Project outcomes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_Toc470004924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301</w:t>
            </w:r>
            <w:r w:rsidR="00BA5C65" w:rsidRPr="00BA5C65">
              <w:rPr>
                <w:rFonts w:asciiTheme="minorHAnsi" w:hAnsiTheme="minorHAnsi"/>
                <w:noProof/>
                <w:webHidden/>
                <w:szCs w:val="20"/>
              </w:rPr>
              <w:fldChar w:fldCharType="end"/>
            </w:r>
          </w:hyperlink>
        </w:p>
        <w:p w14:paraId="56C9712A"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925" w:history="1">
            <w:r w:rsidR="00BA5C65" w:rsidRPr="00BA5C65">
              <w:rPr>
                <w:rStyle w:val="Hyperlink"/>
                <w:rFonts w:asciiTheme="minorHAnsi" w:hAnsiTheme="minorHAnsi" w:cstheme="minorHAnsi"/>
                <w:noProof/>
                <w:szCs w:val="20"/>
                <w:lang w:eastAsia="en-AU"/>
              </w:rPr>
              <w:t>6.6</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lang w:eastAsia="en-AU"/>
              </w:rPr>
              <w:t>References: Synthesis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_Toc470004925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303</w:t>
            </w:r>
            <w:r w:rsidR="00BA5C65" w:rsidRPr="00BA5C65">
              <w:rPr>
                <w:rFonts w:asciiTheme="minorHAnsi" w:hAnsiTheme="minorHAnsi"/>
                <w:noProof/>
                <w:webHidden/>
                <w:szCs w:val="20"/>
              </w:rPr>
              <w:fldChar w:fldCharType="end"/>
            </w:r>
          </w:hyperlink>
        </w:p>
        <w:p w14:paraId="09073FE3" w14:textId="77777777" w:rsidR="00BA5C65" w:rsidRPr="00BA5C65" w:rsidRDefault="006E6498">
          <w:pPr>
            <w:pStyle w:val="TOC1"/>
            <w:rPr>
              <w:rFonts w:asciiTheme="minorHAnsi" w:hAnsiTheme="minorHAnsi"/>
              <w:noProof/>
              <w:szCs w:val="20"/>
              <w:lang w:val="en-AU" w:eastAsia="en-AU"/>
            </w:rPr>
          </w:pPr>
          <w:hyperlink w:anchor="_Toc470004926" w:history="1">
            <w:r w:rsidR="00BA5C65" w:rsidRPr="00BA5C65">
              <w:rPr>
                <w:rStyle w:val="Hyperlink"/>
                <w:rFonts w:asciiTheme="minorHAnsi" w:hAnsiTheme="minorHAnsi" w:cstheme="minorHAnsi"/>
                <w:noProof/>
                <w:szCs w:val="20"/>
              </w:rPr>
              <w:t>7</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Appendices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_Toc470004926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305</w:t>
            </w:r>
            <w:r w:rsidR="00BA5C65" w:rsidRPr="00BA5C65">
              <w:rPr>
                <w:rFonts w:asciiTheme="minorHAnsi" w:hAnsiTheme="minorHAnsi"/>
                <w:noProof/>
                <w:webHidden/>
                <w:szCs w:val="20"/>
              </w:rPr>
              <w:fldChar w:fldCharType="end"/>
            </w:r>
          </w:hyperlink>
        </w:p>
        <w:p w14:paraId="762AA2F4"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927" w:history="1">
            <w:r w:rsidR="00BA5C65" w:rsidRPr="00BA5C65">
              <w:rPr>
                <w:rStyle w:val="Hyperlink"/>
                <w:rFonts w:asciiTheme="minorHAnsi" w:hAnsiTheme="minorHAnsi" w:cstheme="minorHAnsi"/>
                <w:noProof/>
                <w:szCs w:val="20"/>
              </w:rPr>
              <w:t>7.1</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Appendix 1: Component 1: Groundwater dependent vegetation supplementary material</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_Toc470004927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306</w:t>
            </w:r>
            <w:r w:rsidR="00BA5C65" w:rsidRPr="00BA5C65">
              <w:rPr>
                <w:rFonts w:asciiTheme="minorHAnsi" w:hAnsiTheme="minorHAnsi"/>
                <w:noProof/>
                <w:webHidden/>
                <w:szCs w:val="20"/>
              </w:rPr>
              <w:fldChar w:fldCharType="end"/>
            </w:r>
          </w:hyperlink>
        </w:p>
        <w:p w14:paraId="5CBA7362" w14:textId="77777777" w:rsidR="00BA5C65" w:rsidRPr="00BA5C65" w:rsidRDefault="006E6498">
          <w:pPr>
            <w:pStyle w:val="TOC3"/>
            <w:rPr>
              <w:rFonts w:eastAsiaTheme="minorEastAsia" w:cstheme="minorBidi"/>
              <w:bCs w:val="0"/>
              <w:noProof/>
              <w:sz w:val="20"/>
              <w:szCs w:val="20"/>
              <w:lang w:eastAsia="en-AU"/>
            </w:rPr>
          </w:pPr>
          <w:hyperlink w:anchor="_Toc470004928" w:history="1">
            <w:r w:rsidR="00BA5C65" w:rsidRPr="00BA5C65">
              <w:rPr>
                <w:rStyle w:val="Hyperlink"/>
                <w:rFonts w:cstheme="minorHAnsi"/>
                <w:noProof/>
                <w:sz w:val="20"/>
                <w:szCs w:val="20"/>
              </w:rPr>
              <w:t>7.1.1</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Remote sensing report commissioned as part of this project</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_Toc470004928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306</w:t>
            </w:r>
            <w:r w:rsidR="00BA5C65" w:rsidRPr="00BA5C65">
              <w:rPr>
                <w:noProof/>
                <w:webHidden/>
                <w:sz w:val="20"/>
                <w:szCs w:val="20"/>
              </w:rPr>
              <w:fldChar w:fldCharType="end"/>
            </w:r>
          </w:hyperlink>
        </w:p>
        <w:p w14:paraId="77E96378"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929" w:history="1">
            <w:r w:rsidR="00BA5C65" w:rsidRPr="00BA5C65">
              <w:rPr>
                <w:rStyle w:val="Hyperlink"/>
                <w:rFonts w:asciiTheme="minorHAnsi" w:hAnsiTheme="minorHAnsi" w:cstheme="minorHAnsi"/>
                <w:noProof/>
                <w:szCs w:val="20"/>
              </w:rPr>
              <w:t>7.2</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Appendix 2: Component 2 Ecological values of baseflow and surface water-groundwater connectivity regimes in non-perennial streams.</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_Toc470004929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313</w:t>
            </w:r>
            <w:r w:rsidR="00BA5C65" w:rsidRPr="00BA5C65">
              <w:rPr>
                <w:rFonts w:asciiTheme="minorHAnsi" w:hAnsiTheme="minorHAnsi"/>
                <w:noProof/>
                <w:webHidden/>
                <w:szCs w:val="20"/>
              </w:rPr>
              <w:fldChar w:fldCharType="end"/>
            </w:r>
          </w:hyperlink>
        </w:p>
        <w:p w14:paraId="4F99EFE0" w14:textId="77777777" w:rsidR="00BA5C65" w:rsidRPr="00BA5C65" w:rsidRDefault="006E6498">
          <w:pPr>
            <w:pStyle w:val="TOC3"/>
            <w:rPr>
              <w:rFonts w:eastAsiaTheme="minorEastAsia" w:cstheme="minorBidi"/>
              <w:bCs w:val="0"/>
              <w:noProof/>
              <w:sz w:val="20"/>
              <w:szCs w:val="20"/>
              <w:lang w:eastAsia="en-AU"/>
            </w:rPr>
          </w:pPr>
          <w:hyperlink w:anchor="_Toc470004930" w:history="1">
            <w:r w:rsidR="00BA5C65" w:rsidRPr="00BA5C65">
              <w:rPr>
                <w:rStyle w:val="Hyperlink"/>
                <w:rFonts w:cstheme="minorHAnsi"/>
                <w:noProof/>
                <w:sz w:val="20"/>
                <w:szCs w:val="20"/>
              </w:rPr>
              <w:t>7.2.1</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Supplementary material</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_Toc470004930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313</w:t>
            </w:r>
            <w:r w:rsidR="00BA5C65" w:rsidRPr="00BA5C65">
              <w:rPr>
                <w:noProof/>
                <w:webHidden/>
                <w:sz w:val="20"/>
                <w:szCs w:val="20"/>
              </w:rPr>
              <w:fldChar w:fldCharType="end"/>
            </w:r>
          </w:hyperlink>
        </w:p>
        <w:p w14:paraId="5F9432D3"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931" w:history="1">
            <w:r w:rsidR="00BA5C65" w:rsidRPr="00BA5C65">
              <w:rPr>
                <w:rStyle w:val="Hyperlink"/>
                <w:rFonts w:asciiTheme="minorHAnsi" w:hAnsiTheme="minorHAnsi" w:cstheme="minorHAnsi"/>
                <w:noProof/>
                <w:szCs w:val="20"/>
              </w:rPr>
              <w:t>7.3</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Appendix 3: Component 3 – Subsurface ecology supplementary material</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_Toc470004931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317</w:t>
            </w:r>
            <w:r w:rsidR="00BA5C65" w:rsidRPr="00BA5C65">
              <w:rPr>
                <w:rFonts w:asciiTheme="minorHAnsi" w:hAnsiTheme="minorHAnsi"/>
                <w:noProof/>
                <w:webHidden/>
                <w:szCs w:val="20"/>
              </w:rPr>
              <w:fldChar w:fldCharType="end"/>
            </w:r>
          </w:hyperlink>
        </w:p>
        <w:p w14:paraId="536EA94F" w14:textId="77777777" w:rsidR="00BA5C65" w:rsidRPr="00BA5C65" w:rsidRDefault="006E6498">
          <w:pPr>
            <w:pStyle w:val="TOC2"/>
            <w:tabs>
              <w:tab w:val="left" w:pos="880"/>
              <w:tab w:val="right" w:leader="dot" w:pos="9628"/>
            </w:tabs>
            <w:rPr>
              <w:rFonts w:asciiTheme="minorHAnsi" w:hAnsiTheme="minorHAnsi"/>
              <w:noProof/>
              <w:szCs w:val="20"/>
              <w:lang w:val="en-AU" w:eastAsia="en-AU"/>
            </w:rPr>
          </w:pPr>
          <w:hyperlink w:anchor="_Toc470004932" w:history="1">
            <w:r w:rsidR="00BA5C65" w:rsidRPr="00BA5C65">
              <w:rPr>
                <w:rStyle w:val="Hyperlink"/>
                <w:rFonts w:asciiTheme="minorHAnsi" w:hAnsiTheme="minorHAnsi" w:cstheme="minorHAnsi"/>
                <w:noProof/>
                <w:szCs w:val="20"/>
              </w:rPr>
              <w:t>7.4</w:t>
            </w:r>
            <w:r w:rsidR="00BA5C65" w:rsidRPr="00BA5C65">
              <w:rPr>
                <w:rFonts w:asciiTheme="minorHAnsi" w:hAnsiTheme="minorHAnsi"/>
                <w:noProof/>
                <w:szCs w:val="20"/>
                <w:lang w:val="en-AU" w:eastAsia="en-AU"/>
              </w:rPr>
              <w:tab/>
            </w:r>
            <w:r w:rsidR="00BA5C65" w:rsidRPr="00BA5C65">
              <w:rPr>
                <w:rStyle w:val="Hyperlink"/>
                <w:rFonts w:asciiTheme="minorHAnsi" w:hAnsiTheme="minorHAnsi" w:cstheme="minorHAnsi"/>
                <w:noProof/>
                <w:szCs w:val="20"/>
              </w:rPr>
              <w:t>Appendix 4: Component 4: GAB Springs supplementary material</w:t>
            </w:r>
            <w:r w:rsidR="00BA5C65" w:rsidRPr="00BA5C65">
              <w:rPr>
                <w:rFonts w:asciiTheme="minorHAnsi" w:hAnsiTheme="minorHAnsi"/>
                <w:noProof/>
                <w:webHidden/>
                <w:szCs w:val="20"/>
              </w:rPr>
              <w:tab/>
            </w:r>
            <w:r w:rsidR="00BA5C65" w:rsidRPr="00BA5C65">
              <w:rPr>
                <w:rFonts w:asciiTheme="minorHAnsi" w:hAnsiTheme="minorHAnsi"/>
                <w:noProof/>
                <w:webHidden/>
                <w:szCs w:val="20"/>
              </w:rPr>
              <w:fldChar w:fldCharType="begin"/>
            </w:r>
            <w:r w:rsidR="00BA5C65" w:rsidRPr="00BA5C65">
              <w:rPr>
                <w:rFonts w:asciiTheme="minorHAnsi" w:hAnsiTheme="minorHAnsi"/>
                <w:noProof/>
                <w:webHidden/>
                <w:szCs w:val="20"/>
              </w:rPr>
              <w:instrText xml:space="preserve"> PAGEREF _Toc470004932 \h </w:instrText>
            </w:r>
            <w:r w:rsidR="00BA5C65" w:rsidRPr="00BA5C65">
              <w:rPr>
                <w:rFonts w:asciiTheme="minorHAnsi" w:hAnsiTheme="minorHAnsi"/>
                <w:noProof/>
                <w:webHidden/>
                <w:szCs w:val="20"/>
              </w:rPr>
            </w:r>
            <w:r w:rsidR="00BA5C65" w:rsidRPr="00BA5C65">
              <w:rPr>
                <w:rFonts w:asciiTheme="minorHAnsi" w:hAnsiTheme="minorHAnsi"/>
                <w:noProof/>
                <w:webHidden/>
                <w:szCs w:val="20"/>
              </w:rPr>
              <w:fldChar w:fldCharType="separate"/>
            </w:r>
            <w:r w:rsidR="00D023DD">
              <w:rPr>
                <w:rFonts w:asciiTheme="minorHAnsi" w:hAnsiTheme="minorHAnsi"/>
                <w:noProof/>
                <w:webHidden/>
                <w:szCs w:val="20"/>
              </w:rPr>
              <w:t>332</w:t>
            </w:r>
            <w:r w:rsidR="00BA5C65" w:rsidRPr="00BA5C65">
              <w:rPr>
                <w:rFonts w:asciiTheme="minorHAnsi" w:hAnsiTheme="minorHAnsi"/>
                <w:noProof/>
                <w:webHidden/>
                <w:szCs w:val="20"/>
              </w:rPr>
              <w:fldChar w:fldCharType="end"/>
            </w:r>
          </w:hyperlink>
        </w:p>
        <w:p w14:paraId="576221AD" w14:textId="40673942" w:rsidR="00BA5C65" w:rsidRDefault="006E6498">
          <w:pPr>
            <w:pStyle w:val="TOC3"/>
            <w:rPr>
              <w:rFonts w:eastAsiaTheme="minorEastAsia" w:cstheme="minorBidi"/>
              <w:bCs w:val="0"/>
              <w:noProof/>
              <w:lang w:eastAsia="en-AU"/>
            </w:rPr>
          </w:pPr>
          <w:hyperlink w:anchor="_Toc470004933" w:history="1">
            <w:r w:rsidR="00BA5C65" w:rsidRPr="00BA5C65">
              <w:rPr>
                <w:rStyle w:val="Hyperlink"/>
                <w:rFonts w:cstheme="minorHAnsi"/>
                <w:noProof/>
                <w:sz w:val="20"/>
                <w:szCs w:val="20"/>
              </w:rPr>
              <w:t>7.4.1</w:t>
            </w:r>
            <w:r w:rsidR="00BA5C65" w:rsidRPr="00BA5C65">
              <w:rPr>
                <w:rFonts w:eastAsiaTheme="minorEastAsia" w:cstheme="minorBidi"/>
                <w:bCs w:val="0"/>
                <w:noProof/>
                <w:sz w:val="20"/>
                <w:szCs w:val="20"/>
                <w:lang w:eastAsia="en-AU"/>
              </w:rPr>
              <w:tab/>
            </w:r>
            <w:r w:rsidR="00BA5C65" w:rsidRPr="00BA5C65">
              <w:rPr>
                <w:rStyle w:val="Hyperlink"/>
                <w:rFonts w:cstheme="minorHAnsi"/>
                <w:noProof/>
                <w:sz w:val="20"/>
                <w:szCs w:val="20"/>
              </w:rPr>
              <w:t>Supplementary material</w:t>
            </w:r>
            <w:r w:rsidR="00BA5C65" w:rsidRPr="00BA5C65">
              <w:rPr>
                <w:noProof/>
                <w:webHidden/>
                <w:sz w:val="20"/>
                <w:szCs w:val="20"/>
              </w:rPr>
              <w:tab/>
            </w:r>
            <w:r w:rsidR="00BA5C65" w:rsidRPr="00BA5C65">
              <w:rPr>
                <w:noProof/>
                <w:webHidden/>
                <w:sz w:val="20"/>
                <w:szCs w:val="20"/>
              </w:rPr>
              <w:fldChar w:fldCharType="begin"/>
            </w:r>
            <w:r w:rsidR="00BA5C65" w:rsidRPr="00BA5C65">
              <w:rPr>
                <w:noProof/>
                <w:webHidden/>
                <w:sz w:val="20"/>
                <w:szCs w:val="20"/>
              </w:rPr>
              <w:instrText xml:space="preserve"> PAGEREF _Toc470004933 \h </w:instrText>
            </w:r>
            <w:r w:rsidR="00BA5C65" w:rsidRPr="00BA5C65">
              <w:rPr>
                <w:noProof/>
                <w:webHidden/>
                <w:sz w:val="20"/>
                <w:szCs w:val="20"/>
              </w:rPr>
            </w:r>
            <w:r w:rsidR="00BA5C65" w:rsidRPr="00BA5C65">
              <w:rPr>
                <w:noProof/>
                <w:webHidden/>
                <w:sz w:val="20"/>
                <w:szCs w:val="20"/>
              </w:rPr>
              <w:fldChar w:fldCharType="separate"/>
            </w:r>
            <w:r w:rsidR="00D023DD">
              <w:rPr>
                <w:noProof/>
                <w:webHidden/>
                <w:sz w:val="20"/>
                <w:szCs w:val="20"/>
              </w:rPr>
              <w:t>332</w:t>
            </w:r>
            <w:r w:rsidR="00BA5C65" w:rsidRPr="00BA5C65">
              <w:rPr>
                <w:noProof/>
                <w:webHidden/>
                <w:sz w:val="20"/>
                <w:szCs w:val="20"/>
              </w:rPr>
              <w:fldChar w:fldCharType="end"/>
            </w:r>
          </w:hyperlink>
        </w:p>
        <w:p w14:paraId="1BBEC150" w14:textId="64388708" w:rsidR="00C6582F" w:rsidRPr="00747E35" w:rsidRDefault="00C6582F">
          <w:pPr>
            <w:rPr>
              <w:rFonts w:asciiTheme="minorHAnsi" w:hAnsiTheme="minorHAnsi" w:cstheme="minorHAnsi"/>
            </w:rPr>
          </w:pPr>
          <w:r w:rsidRPr="00D5273D">
            <w:rPr>
              <w:rFonts w:asciiTheme="minorHAnsi" w:hAnsiTheme="minorHAnsi" w:cstheme="minorHAnsi"/>
              <w:b/>
              <w:bCs/>
              <w:noProof/>
              <w:sz w:val="20"/>
              <w:szCs w:val="20"/>
            </w:rPr>
            <w:fldChar w:fldCharType="end"/>
          </w:r>
        </w:p>
      </w:sdtContent>
    </w:sdt>
    <w:p w14:paraId="61A8BEF0" w14:textId="63CFB62C" w:rsidR="003D3694" w:rsidRPr="00747E35" w:rsidRDefault="003D3694" w:rsidP="003D3694">
      <w:pPr>
        <w:rPr>
          <w:rFonts w:asciiTheme="minorHAnsi" w:hAnsiTheme="minorHAnsi" w:cstheme="minorHAnsi"/>
        </w:rPr>
      </w:pPr>
      <w:r w:rsidRPr="00747E35">
        <w:rPr>
          <w:rFonts w:asciiTheme="minorHAnsi" w:hAnsiTheme="minorHAnsi" w:cstheme="minorHAnsi"/>
        </w:rPr>
        <w:br w:type="page"/>
      </w:r>
    </w:p>
    <w:p w14:paraId="21B1EB2F" w14:textId="08BBA5B7" w:rsidR="003D3694" w:rsidRPr="00747E35" w:rsidRDefault="003D3694" w:rsidP="004C011D">
      <w:pPr>
        <w:pStyle w:val="Heading1"/>
        <w:numPr>
          <w:ilvl w:val="0"/>
          <w:numId w:val="0"/>
        </w:numPr>
        <w:ind w:left="432"/>
        <w:rPr>
          <w:rFonts w:asciiTheme="minorHAnsi" w:hAnsiTheme="minorHAnsi" w:cstheme="minorHAnsi"/>
        </w:rPr>
      </w:pPr>
      <w:bookmarkStart w:id="9" w:name="_Toc470004814"/>
      <w:bookmarkStart w:id="10" w:name="_Toc449360782"/>
      <w:r w:rsidRPr="00747E35">
        <w:rPr>
          <w:rFonts w:asciiTheme="minorHAnsi" w:hAnsiTheme="minorHAnsi" w:cstheme="minorHAnsi"/>
        </w:rPr>
        <w:lastRenderedPageBreak/>
        <w:t>Abbreviations</w:t>
      </w:r>
      <w:bookmarkEnd w:id="9"/>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7512"/>
      </w:tblGrid>
      <w:tr w:rsidR="003D3694" w:rsidRPr="00747E35" w14:paraId="336AFAAC" w14:textId="77777777" w:rsidTr="003D57A3">
        <w:trPr>
          <w:trHeight w:val="20"/>
        </w:trPr>
        <w:tc>
          <w:tcPr>
            <w:tcW w:w="2127" w:type="dxa"/>
            <w:shd w:val="clear" w:color="auto" w:fill="DEEAF6" w:themeFill="accent1" w:themeFillTint="33"/>
          </w:tcPr>
          <w:p w14:paraId="076CD0F6" w14:textId="77777777" w:rsidR="003D3694" w:rsidRPr="00747E35" w:rsidRDefault="003D3694" w:rsidP="0096743A">
            <w:pPr>
              <w:pStyle w:val="OWSTableheading"/>
              <w:spacing w:before="0" w:after="0"/>
              <w:rPr>
                <w:rFonts w:asciiTheme="minorHAnsi" w:hAnsiTheme="minorHAnsi" w:cstheme="minorHAnsi"/>
              </w:rPr>
            </w:pPr>
            <w:r w:rsidRPr="00747E35">
              <w:rPr>
                <w:rFonts w:asciiTheme="minorHAnsi" w:hAnsiTheme="minorHAnsi" w:cstheme="minorHAnsi"/>
              </w:rPr>
              <w:t>General abbreviations</w:t>
            </w:r>
          </w:p>
        </w:tc>
        <w:tc>
          <w:tcPr>
            <w:tcW w:w="7512" w:type="dxa"/>
            <w:shd w:val="clear" w:color="auto" w:fill="DEEAF6" w:themeFill="accent1" w:themeFillTint="33"/>
          </w:tcPr>
          <w:p w14:paraId="74992D47" w14:textId="77777777" w:rsidR="003D3694" w:rsidRPr="00747E35" w:rsidRDefault="003D3694" w:rsidP="0096743A">
            <w:pPr>
              <w:pStyle w:val="OWSTableheading"/>
              <w:spacing w:before="0" w:after="0"/>
              <w:rPr>
                <w:rFonts w:asciiTheme="minorHAnsi" w:hAnsiTheme="minorHAnsi" w:cstheme="minorHAnsi"/>
              </w:rPr>
            </w:pPr>
            <w:r w:rsidRPr="00747E35">
              <w:rPr>
                <w:rFonts w:asciiTheme="minorHAnsi" w:hAnsiTheme="minorHAnsi" w:cstheme="minorHAnsi"/>
              </w:rPr>
              <w:t>Description</w:t>
            </w:r>
          </w:p>
        </w:tc>
      </w:tr>
      <w:tr w:rsidR="00173728" w:rsidRPr="00747E35" w14:paraId="643E140F"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0B7D6853" w14:textId="64609B71" w:rsidR="00173728" w:rsidRPr="00747E35" w:rsidRDefault="00173728" w:rsidP="0096743A">
            <w:pPr>
              <w:pStyle w:val="Tabletext"/>
              <w:spacing w:before="0" w:after="0"/>
              <w:rPr>
                <w:rFonts w:cstheme="minorHAnsi"/>
              </w:rPr>
            </w:pPr>
            <w:r w:rsidRPr="00173728">
              <w:rPr>
                <w:rFonts w:cstheme="minorHAnsi"/>
              </w:rPr>
              <w:t>CDP</w:t>
            </w:r>
          </w:p>
        </w:tc>
        <w:tc>
          <w:tcPr>
            <w:tcW w:w="7512" w:type="dxa"/>
            <w:tcBorders>
              <w:top w:val="single" w:sz="4" w:space="0" w:color="auto"/>
              <w:left w:val="single" w:sz="4" w:space="0" w:color="auto"/>
              <w:bottom w:val="single" w:sz="4" w:space="0" w:color="auto"/>
              <w:right w:val="single" w:sz="4" w:space="0" w:color="auto"/>
            </w:tcBorders>
          </w:tcPr>
          <w:p w14:paraId="6517FC7C" w14:textId="70A916A1" w:rsidR="00173728" w:rsidRPr="00747E35" w:rsidRDefault="00173728" w:rsidP="0096743A">
            <w:pPr>
              <w:pStyle w:val="Tabletext"/>
              <w:spacing w:before="0" w:after="0"/>
              <w:rPr>
                <w:rFonts w:cstheme="minorHAnsi"/>
              </w:rPr>
            </w:pPr>
            <w:r>
              <w:rPr>
                <w:rFonts w:cstheme="minorHAnsi"/>
              </w:rPr>
              <w:t>C</w:t>
            </w:r>
            <w:r w:rsidRPr="00173728">
              <w:rPr>
                <w:rFonts w:cstheme="minorHAnsi"/>
              </w:rPr>
              <w:t>ellulose decomposition potential</w:t>
            </w:r>
          </w:p>
        </w:tc>
      </w:tr>
      <w:tr w:rsidR="003D3694" w:rsidRPr="00747E35" w14:paraId="00DAAE4D"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2A1F7852" w14:textId="77777777" w:rsidR="003D3694" w:rsidRPr="00747E35" w:rsidRDefault="003D3694" w:rsidP="0096743A">
            <w:pPr>
              <w:pStyle w:val="Tabletext"/>
              <w:spacing w:before="0" w:after="0"/>
              <w:rPr>
                <w:rFonts w:cstheme="minorHAnsi"/>
              </w:rPr>
            </w:pPr>
            <w:r w:rsidRPr="00747E35">
              <w:rPr>
                <w:rFonts w:cstheme="minorHAnsi"/>
              </w:rPr>
              <w:t>CSG</w:t>
            </w:r>
          </w:p>
        </w:tc>
        <w:tc>
          <w:tcPr>
            <w:tcW w:w="7512" w:type="dxa"/>
            <w:tcBorders>
              <w:top w:val="single" w:sz="4" w:space="0" w:color="auto"/>
              <w:left w:val="single" w:sz="4" w:space="0" w:color="auto"/>
              <w:bottom w:val="single" w:sz="4" w:space="0" w:color="auto"/>
              <w:right w:val="single" w:sz="4" w:space="0" w:color="auto"/>
            </w:tcBorders>
          </w:tcPr>
          <w:p w14:paraId="1457A17B" w14:textId="77777777" w:rsidR="003D3694" w:rsidRPr="00747E35" w:rsidRDefault="003D3694" w:rsidP="0096743A">
            <w:pPr>
              <w:pStyle w:val="Tabletext"/>
              <w:spacing w:before="0" w:after="0"/>
              <w:rPr>
                <w:rFonts w:cstheme="minorHAnsi"/>
              </w:rPr>
            </w:pPr>
            <w:r w:rsidRPr="00747E35">
              <w:rPr>
                <w:rFonts w:cstheme="minorHAnsi"/>
              </w:rPr>
              <w:t>Coal seam gas</w:t>
            </w:r>
          </w:p>
        </w:tc>
      </w:tr>
      <w:tr w:rsidR="003D3694" w:rsidRPr="00747E35" w14:paraId="5BCCB3D3"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605D5F71" w14:textId="77777777" w:rsidR="003D3694" w:rsidRPr="00747E35" w:rsidRDefault="003D3694" w:rsidP="0096743A">
            <w:pPr>
              <w:pStyle w:val="Tabletext"/>
              <w:spacing w:before="0" w:after="0"/>
              <w:rPr>
                <w:rFonts w:cstheme="minorHAnsi"/>
              </w:rPr>
            </w:pPr>
            <w:r w:rsidRPr="00747E35">
              <w:rPr>
                <w:rFonts w:cstheme="minorHAnsi"/>
              </w:rPr>
              <w:t>CSGCM</w:t>
            </w:r>
          </w:p>
        </w:tc>
        <w:tc>
          <w:tcPr>
            <w:tcW w:w="7512" w:type="dxa"/>
            <w:tcBorders>
              <w:top w:val="single" w:sz="4" w:space="0" w:color="auto"/>
              <w:left w:val="single" w:sz="4" w:space="0" w:color="auto"/>
              <w:bottom w:val="single" w:sz="4" w:space="0" w:color="auto"/>
              <w:right w:val="single" w:sz="4" w:space="0" w:color="auto"/>
            </w:tcBorders>
          </w:tcPr>
          <w:p w14:paraId="792356FA" w14:textId="77777777" w:rsidR="003D3694" w:rsidRPr="00747E35" w:rsidRDefault="003D3694" w:rsidP="0096743A">
            <w:pPr>
              <w:pStyle w:val="Tabletext"/>
              <w:spacing w:before="0" w:after="0"/>
              <w:rPr>
                <w:rFonts w:cstheme="minorHAnsi"/>
              </w:rPr>
            </w:pPr>
            <w:r w:rsidRPr="00747E35">
              <w:rPr>
                <w:rFonts w:cstheme="minorHAnsi"/>
              </w:rPr>
              <w:t>Coal seam gas and coal mining</w:t>
            </w:r>
          </w:p>
        </w:tc>
      </w:tr>
      <w:tr w:rsidR="00173728" w:rsidRPr="00747E35" w14:paraId="699280CC"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641D3D26" w14:textId="77777777" w:rsidR="00173728" w:rsidRPr="00747E35" w:rsidRDefault="00173728" w:rsidP="001C05E2">
            <w:pPr>
              <w:pStyle w:val="Tabletext"/>
              <w:spacing w:before="0" w:after="0"/>
              <w:rPr>
                <w:rFonts w:cstheme="minorHAnsi"/>
              </w:rPr>
            </w:pPr>
            <w:r w:rsidRPr="00173728">
              <w:rPr>
                <w:rFonts w:cstheme="minorHAnsi"/>
              </w:rPr>
              <w:t>CTFR</w:t>
            </w:r>
          </w:p>
        </w:tc>
        <w:tc>
          <w:tcPr>
            <w:tcW w:w="7512" w:type="dxa"/>
            <w:tcBorders>
              <w:top w:val="single" w:sz="4" w:space="0" w:color="auto"/>
              <w:left w:val="single" w:sz="4" w:space="0" w:color="auto"/>
              <w:bottom w:val="single" w:sz="4" w:space="0" w:color="auto"/>
              <w:right w:val="single" w:sz="4" w:space="0" w:color="auto"/>
            </w:tcBorders>
          </w:tcPr>
          <w:p w14:paraId="50BFCFC4" w14:textId="77777777" w:rsidR="00173728" w:rsidRPr="00747E35" w:rsidRDefault="00173728" w:rsidP="001C05E2">
            <w:pPr>
              <w:pStyle w:val="Tabletext"/>
              <w:spacing w:before="0" w:after="0"/>
              <w:rPr>
                <w:rFonts w:cstheme="minorHAnsi"/>
              </w:rPr>
            </w:pPr>
            <w:r>
              <w:rPr>
                <w:rFonts w:cstheme="minorHAnsi"/>
              </w:rPr>
              <w:t>C</w:t>
            </w:r>
            <w:r w:rsidRPr="00173728">
              <w:rPr>
                <w:rFonts w:cstheme="minorHAnsi"/>
              </w:rPr>
              <w:t>otton tensile force ratio</w:t>
            </w:r>
          </w:p>
        </w:tc>
      </w:tr>
      <w:tr w:rsidR="00173728" w:rsidRPr="00747E35" w14:paraId="0B0F0B0C"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6D0C89E3" w14:textId="77777777" w:rsidR="00173728" w:rsidRPr="00747E35" w:rsidRDefault="00173728" w:rsidP="001C05E2">
            <w:pPr>
              <w:pStyle w:val="Tabletext"/>
              <w:spacing w:before="0" w:after="0"/>
              <w:rPr>
                <w:rFonts w:cstheme="minorHAnsi"/>
              </w:rPr>
            </w:pPr>
            <w:r w:rsidRPr="00747E35">
              <w:rPr>
                <w:rFonts w:cstheme="minorHAnsi"/>
              </w:rPr>
              <w:t>Dbh</w:t>
            </w:r>
          </w:p>
        </w:tc>
        <w:tc>
          <w:tcPr>
            <w:tcW w:w="7512" w:type="dxa"/>
            <w:tcBorders>
              <w:top w:val="single" w:sz="4" w:space="0" w:color="auto"/>
              <w:left w:val="single" w:sz="4" w:space="0" w:color="auto"/>
              <w:bottom w:val="single" w:sz="4" w:space="0" w:color="auto"/>
              <w:right w:val="single" w:sz="4" w:space="0" w:color="auto"/>
            </w:tcBorders>
          </w:tcPr>
          <w:p w14:paraId="1512BDFB" w14:textId="77777777" w:rsidR="00173728" w:rsidRPr="00747E35" w:rsidRDefault="00173728" w:rsidP="001C05E2">
            <w:pPr>
              <w:pStyle w:val="Tabletext"/>
              <w:spacing w:before="0" w:after="0"/>
              <w:rPr>
                <w:rFonts w:cstheme="minorHAnsi"/>
              </w:rPr>
            </w:pPr>
            <w:r w:rsidRPr="00747E35">
              <w:rPr>
                <w:rFonts w:cstheme="minorHAnsi"/>
              </w:rPr>
              <w:t>Diameter at breast height</w:t>
            </w:r>
          </w:p>
        </w:tc>
      </w:tr>
      <w:tr w:rsidR="003D3694" w:rsidRPr="00747E35" w14:paraId="440CDB5D"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571B7AFF" w14:textId="77777777" w:rsidR="003D3694" w:rsidRPr="00747E35" w:rsidRDefault="003D3694" w:rsidP="0096743A">
            <w:pPr>
              <w:pStyle w:val="Tabletext"/>
              <w:spacing w:before="0" w:after="0"/>
              <w:rPr>
                <w:rFonts w:cstheme="minorHAnsi"/>
              </w:rPr>
            </w:pPr>
            <w:r w:rsidRPr="00747E35">
              <w:rPr>
                <w:rFonts w:cstheme="minorHAnsi"/>
              </w:rPr>
              <w:t>DO</w:t>
            </w:r>
          </w:p>
        </w:tc>
        <w:tc>
          <w:tcPr>
            <w:tcW w:w="7512" w:type="dxa"/>
            <w:tcBorders>
              <w:top w:val="single" w:sz="4" w:space="0" w:color="auto"/>
              <w:left w:val="single" w:sz="4" w:space="0" w:color="auto"/>
              <w:bottom w:val="single" w:sz="4" w:space="0" w:color="auto"/>
              <w:right w:val="single" w:sz="4" w:space="0" w:color="auto"/>
            </w:tcBorders>
          </w:tcPr>
          <w:p w14:paraId="544A5E34" w14:textId="77777777" w:rsidR="003D3694" w:rsidRPr="00747E35" w:rsidRDefault="003D3694" w:rsidP="0096743A">
            <w:pPr>
              <w:pStyle w:val="Tabletext"/>
              <w:spacing w:before="0" w:after="0"/>
              <w:rPr>
                <w:rFonts w:cstheme="minorHAnsi"/>
              </w:rPr>
            </w:pPr>
            <w:r w:rsidRPr="00747E35">
              <w:rPr>
                <w:rFonts w:cstheme="minorHAnsi"/>
              </w:rPr>
              <w:t>Dissolved oxygen</w:t>
            </w:r>
          </w:p>
        </w:tc>
      </w:tr>
      <w:tr w:rsidR="003D3694" w:rsidRPr="00747E35" w14:paraId="611DD644"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3C485CE5" w14:textId="77777777" w:rsidR="003D3694" w:rsidRPr="00747E35" w:rsidRDefault="003D3694" w:rsidP="0096743A">
            <w:pPr>
              <w:pStyle w:val="Tabletext"/>
              <w:spacing w:before="0" w:after="0"/>
              <w:rPr>
                <w:rFonts w:cstheme="minorHAnsi"/>
                <w:sz w:val="20"/>
                <w:szCs w:val="20"/>
              </w:rPr>
            </w:pPr>
            <w:r w:rsidRPr="00747E35">
              <w:rPr>
                <w:rFonts w:cstheme="minorHAnsi"/>
              </w:rPr>
              <w:t>DOC</w:t>
            </w:r>
          </w:p>
        </w:tc>
        <w:tc>
          <w:tcPr>
            <w:tcW w:w="7512" w:type="dxa"/>
            <w:tcBorders>
              <w:top w:val="single" w:sz="4" w:space="0" w:color="auto"/>
              <w:left w:val="single" w:sz="4" w:space="0" w:color="auto"/>
              <w:bottom w:val="single" w:sz="4" w:space="0" w:color="auto"/>
              <w:right w:val="single" w:sz="4" w:space="0" w:color="auto"/>
            </w:tcBorders>
          </w:tcPr>
          <w:p w14:paraId="3F209C6D" w14:textId="77777777" w:rsidR="003D3694" w:rsidRPr="00747E35" w:rsidRDefault="003D3694" w:rsidP="0096743A">
            <w:pPr>
              <w:pStyle w:val="Tabletext"/>
              <w:spacing w:before="0" w:after="0"/>
              <w:rPr>
                <w:rFonts w:cstheme="minorHAnsi"/>
                <w:sz w:val="20"/>
                <w:szCs w:val="20"/>
              </w:rPr>
            </w:pPr>
            <w:r w:rsidRPr="00747E35">
              <w:rPr>
                <w:rFonts w:cstheme="minorHAnsi"/>
              </w:rPr>
              <w:t>Dissolved organic carbon</w:t>
            </w:r>
          </w:p>
        </w:tc>
      </w:tr>
      <w:tr w:rsidR="003D3694" w:rsidRPr="00747E35" w14:paraId="48F066CC"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50B1D248" w14:textId="77777777" w:rsidR="003D3694" w:rsidRPr="00747E35" w:rsidRDefault="003D3694" w:rsidP="0096743A">
            <w:pPr>
              <w:pStyle w:val="Tabletext"/>
              <w:spacing w:before="0" w:after="0"/>
              <w:rPr>
                <w:rFonts w:cstheme="minorHAnsi"/>
                <w:sz w:val="20"/>
                <w:szCs w:val="20"/>
              </w:rPr>
            </w:pPr>
            <w:r w:rsidRPr="00747E35">
              <w:rPr>
                <w:rFonts w:cstheme="minorHAnsi"/>
              </w:rPr>
              <w:t>DOM</w:t>
            </w:r>
          </w:p>
        </w:tc>
        <w:tc>
          <w:tcPr>
            <w:tcW w:w="7512" w:type="dxa"/>
            <w:tcBorders>
              <w:top w:val="single" w:sz="4" w:space="0" w:color="auto"/>
              <w:left w:val="single" w:sz="4" w:space="0" w:color="auto"/>
              <w:bottom w:val="single" w:sz="4" w:space="0" w:color="auto"/>
              <w:right w:val="single" w:sz="4" w:space="0" w:color="auto"/>
            </w:tcBorders>
          </w:tcPr>
          <w:p w14:paraId="50DCFD5B" w14:textId="77777777" w:rsidR="003D3694" w:rsidRPr="00747E35" w:rsidRDefault="003D3694" w:rsidP="0096743A">
            <w:pPr>
              <w:pStyle w:val="Tabletext"/>
              <w:spacing w:before="0" w:after="0"/>
              <w:rPr>
                <w:rFonts w:cstheme="minorHAnsi"/>
                <w:sz w:val="20"/>
                <w:szCs w:val="20"/>
              </w:rPr>
            </w:pPr>
            <w:r w:rsidRPr="00747E35">
              <w:rPr>
                <w:rFonts w:cstheme="minorHAnsi"/>
              </w:rPr>
              <w:t>Dissolved organic matter</w:t>
            </w:r>
          </w:p>
        </w:tc>
      </w:tr>
      <w:tr w:rsidR="003D3694" w:rsidRPr="00747E35" w14:paraId="7EA0AB86"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49A478AD" w14:textId="77777777" w:rsidR="003D3694" w:rsidRPr="00747E35" w:rsidRDefault="003D3694" w:rsidP="0096743A">
            <w:pPr>
              <w:pStyle w:val="Tabletext"/>
              <w:spacing w:before="0" w:after="0"/>
              <w:rPr>
                <w:rFonts w:cstheme="minorHAnsi"/>
              </w:rPr>
            </w:pPr>
            <w:r w:rsidRPr="00747E35">
              <w:rPr>
                <w:rFonts w:cstheme="minorHAnsi"/>
              </w:rPr>
              <w:t>EIS</w:t>
            </w:r>
          </w:p>
        </w:tc>
        <w:tc>
          <w:tcPr>
            <w:tcW w:w="7512" w:type="dxa"/>
            <w:tcBorders>
              <w:top w:val="single" w:sz="4" w:space="0" w:color="auto"/>
              <w:left w:val="single" w:sz="4" w:space="0" w:color="auto"/>
              <w:bottom w:val="single" w:sz="4" w:space="0" w:color="auto"/>
              <w:right w:val="single" w:sz="4" w:space="0" w:color="auto"/>
            </w:tcBorders>
          </w:tcPr>
          <w:p w14:paraId="45B65326" w14:textId="77777777" w:rsidR="003D3694" w:rsidRPr="00747E35" w:rsidRDefault="003D3694" w:rsidP="0096743A">
            <w:pPr>
              <w:pStyle w:val="Tabletext"/>
              <w:spacing w:before="0" w:after="0"/>
              <w:rPr>
                <w:rFonts w:cstheme="minorHAnsi"/>
              </w:rPr>
            </w:pPr>
            <w:r w:rsidRPr="00747E35">
              <w:rPr>
                <w:rFonts w:cstheme="minorHAnsi"/>
              </w:rPr>
              <w:t>Environmental Impact Statement</w:t>
            </w:r>
          </w:p>
        </w:tc>
      </w:tr>
      <w:tr w:rsidR="003D3694" w:rsidRPr="00747E35" w14:paraId="1B91BD82"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74E121E5" w14:textId="77777777" w:rsidR="003D3694" w:rsidRPr="00747E35" w:rsidRDefault="003D3694" w:rsidP="0096743A">
            <w:pPr>
              <w:pStyle w:val="Tabletext"/>
              <w:spacing w:before="0" w:after="0"/>
              <w:rPr>
                <w:rFonts w:cstheme="minorHAnsi"/>
              </w:rPr>
            </w:pPr>
            <w:r w:rsidRPr="00747E35">
              <w:rPr>
                <w:rFonts w:cstheme="minorHAnsi"/>
              </w:rPr>
              <w:t>EPBC Act</w:t>
            </w:r>
          </w:p>
        </w:tc>
        <w:tc>
          <w:tcPr>
            <w:tcW w:w="7512" w:type="dxa"/>
            <w:tcBorders>
              <w:top w:val="single" w:sz="4" w:space="0" w:color="auto"/>
              <w:left w:val="single" w:sz="4" w:space="0" w:color="auto"/>
              <w:bottom w:val="single" w:sz="4" w:space="0" w:color="auto"/>
              <w:right w:val="single" w:sz="4" w:space="0" w:color="auto"/>
            </w:tcBorders>
          </w:tcPr>
          <w:p w14:paraId="7BDE55E2" w14:textId="77777777" w:rsidR="003D3694" w:rsidRPr="00747E35" w:rsidRDefault="003D3694" w:rsidP="0096743A">
            <w:pPr>
              <w:pStyle w:val="Tabletext"/>
              <w:spacing w:before="0" w:after="0"/>
              <w:rPr>
                <w:rFonts w:cstheme="minorHAnsi"/>
              </w:rPr>
            </w:pPr>
            <w:r w:rsidRPr="00747E35">
              <w:rPr>
                <w:rFonts w:cstheme="minorHAnsi"/>
              </w:rPr>
              <w:t>Environment Protection and Biodiversity Conservation Act 1999</w:t>
            </w:r>
          </w:p>
        </w:tc>
      </w:tr>
      <w:tr w:rsidR="003D3694" w:rsidRPr="00747E35" w14:paraId="31E3CD26"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411FE830" w14:textId="78F51439" w:rsidR="003D3694" w:rsidRPr="00747E35" w:rsidRDefault="00173728" w:rsidP="0096743A">
            <w:pPr>
              <w:pStyle w:val="Tabletext"/>
              <w:spacing w:before="0" w:after="0"/>
              <w:rPr>
                <w:rFonts w:cstheme="minorHAnsi"/>
              </w:rPr>
            </w:pPr>
            <w:r>
              <w:rPr>
                <w:rFonts w:cstheme="minorHAnsi"/>
              </w:rPr>
              <w:t>F</w:t>
            </w:r>
            <w:r w:rsidR="003D3694" w:rsidRPr="00747E35">
              <w:rPr>
                <w:rFonts w:cstheme="minorHAnsi"/>
              </w:rPr>
              <w:t>DOM</w:t>
            </w:r>
          </w:p>
        </w:tc>
        <w:tc>
          <w:tcPr>
            <w:tcW w:w="7512" w:type="dxa"/>
            <w:tcBorders>
              <w:top w:val="single" w:sz="4" w:space="0" w:color="auto"/>
              <w:left w:val="single" w:sz="4" w:space="0" w:color="auto"/>
              <w:bottom w:val="single" w:sz="4" w:space="0" w:color="auto"/>
              <w:right w:val="single" w:sz="4" w:space="0" w:color="auto"/>
            </w:tcBorders>
          </w:tcPr>
          <w:p w14:paraId="001B499D" w14:textId="77777777" w:rsidR="003D3694" w:rsidRPr="00747E35" w:rsidRDefault="003D3694" w:rsidP="0096743A">
            <w:pPr>
              <w:pStyle w:val="Tabletext"/>
              <w:spacing w:before="0" w:after="0"/>
              <w:rPr>
                <w:rFonts w:cstheme="minorHAnsi"/>
              </w:rPr>
            </w:pPr>
            <w:r w:rsidRPr="00747E35">
              <w:rPr>
                <w:rFonts w:cstheme="minorHAnsi"/>
              </w:rPr>
              <w:t>Fluorescent dissolved organic matter</w:t>
            </w:r>
          </w:p>
        </w:tc>
      </w:tr>
      <w:tr w:rsidR="003D3694" w:rsidRPr="00747E35" w14:paraId="14A03D3C"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0B41FEBB" w14:textId="77777777" w:rsidR="003D3694" w:rsidRPr="00747E35" w:rsidRDefault="003D3694" w:rsidP="0096743A">
            <w:pPr>
              <w:pStyle w:val="Tabletext"/>
              <w:spacing w:before="0" w:after="0"/>
              <w:rPr>
                <w:rFonts w:cstheme="minorHAnsi"/>
                <w:sz w:val="20"/>
                <w:szCs w:val="20"/>
              </w:rPr>
            </w:pPr>
            <w:r w:rsidRPr="00747E35">
              <w:rPr>
                <w:rFonts w:cstheme="minorHAnsi"/>
              </w:rPr>
              <w:t>FPOM</w:t>
            </w:r>
          </w:p>
        </w:tc>
        <w:tc>
          <w:tcPr>
            <w:tcW w:w="7512" w:type="dxa"/>
            <w:tcBorders>
              <w:top w:val="single" w:sz="4" w:space="0" w:color="auto"/>
              <w:left w:val="single" w:sz="4" w:space="0" w:color="auto"/>
              <w:bottom w:val="single" w:sz="4" w:space="0" w:color="auto"/>
              <w:right w:val="single" w:sz="4" w:space="0" w:color="auto"/>
            </w:tcBorders>
          </w:tcPr>
          <w:p w14:paraId="7DD5F836" w14:textId="77777777" w:rsidR="003D3694" w:rsidRPr="00747E35" w:rsidRDefault="003D3694" w:rsidP="0096743A">
            <w:pPr>
              <w:pStyle w:val="Tabletext"/>
              <w:spacing w:before="0" w:after="0"/>
              <w:rPr>
                <w:rFonts w:cstheme="minorHAnsi"/>
                <w:sz w:val="20"/>
                <w:szCs w:val="20"/>
              </w:rPr>
            </w:pPr>
            <w:r w:rsidRPr="00747E35">
              <w:rPr>
                <w:rFonts w:cstheme="minorHAnsi"/>
              </w:rPr>
              <w:t>Fine particulate organic matter</w:t>
            </w:r>
          </w:p>
        </w:tc>
      </w:tr>
      <w:tr w:rsidR="003D3694" w:rsidRPr="00747E35" w14:paraId="4FA922C7"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6259E5F6" w14:textId="77777777" w:rsidR="003D3694" w:rsidRPr="00747E35" w:rsidRDefault="003D3694" w:rsidP="0096743A">
            <w:pPr>
              <w:pStyle w:val="Tabletext"/>
              <w:spacing w:before="0" w:after="0"/>
              <w:rPr>
                <w:rFonts w:cstheme="minorHAnsi"/>
              </w:rPr>
            </w:pPr>
            <w:r w:rsidRPr="00747E35">
              <w:rPr>
                <w:rFonts w:cstheme="minorHAnsi"/>
              </w:rPr>
              <w:t>GDE</w:t>
            </w:r>
          </w:p>
        </w:tc>
        <w:tc>
          <w:tcPr>
            <w:tcW w:w="7512" w:type="dxa"/>
            <w:tcBorders>
              <w:top w:val="single" w:sz="4" w:space="0" w:color="auto"/>
              <w:left w:val="single" w:sz="4" w:space="0" w:color="auto"/>
              <w:bottom w:val="single" w:sz="4" w:space="0" w:color="auto"/>
              <w:right w:val="single" w:sz="4" w:space="0" w:color="auto"/>
            </w:tcBorders>
          </w:tcPr>
          <w:p w14:paraId="2DD7ECEE" w14:textId="77777777" w:rsidR="003D3694" w:rsidRPr="00747E35" w:rsidRDefault="003D3694" w:rsidP="0096743A">
            <w:pPr>
              <w:pStyle w:val="Tabletext"/>
              <w:spacing w:before="0" w:after="0"/>
              <w:rPr>
                <w:rFonts w:cstheme="minorHAnsi"/>
              </w:rPr>
            </w:pPr>
            <w:r w:rsidRPr="00747E35">
              <w:rPr>
                <w:rFonts w:cstheme="minorHAnsi"/>
              </w:rPr>
              <w:t>Groundwater dependent ecosystem</w:t>
            </w:r>
          </w:p>
        </w:tc>
      </w:tr>
      <w:tr w:rsidR="003D3694" w:rsidRPr="00747E35" w14:paraId="26BB3537"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26A80E9A" w14:textId="77777777" w:rsidR="003D3694" w:rsidRPr="00747E35" w:rsidRDefault="003D3694" w:rsidP="0096743A">
            <w:pPr>
              <w:pStyle w:val="Tabletext"/>
              <w:spacing w:before="0" w:after="0"/>
              <w:rPr>
                <w:rFonts w:cstheme="minorHAnsi"/>
              </w:rPr>
            </w:pPr>
            <w:r w:rsidRPr="00747E35">
              <w:rPr>
                <w:rFonts w:cstheme="minorHAnsi"/>
              </w:rPr>
              <w:t>GDV</w:t>
            </w:r>
          </w:p>
        </w:tc>
        <w:tc>
          <w:tcPr>
            <w:tcW w:w="7512" w:type="dxa"/>
            <w:tcBorders>
              <w:top w:val="single" w:sz="4" w:space="0" w:color="auto"/>
              <w:left w:val="single" w:sz="4" w:space="0" w:color="auto"/>
              <w:bottom w:val="single" w:sz="4" w:space="0" w:color="auto"/>
              <w:right w:val="single" w:sz="4" w:space="0" w:color="auto"/>
            </w:tcBorders>
          </w:tcPr>
          <w:p w14:paraId="1844E96A" w14:textId="77777777" w:rsidR="003D3694" w:rsidRPr="00747E35" w:rsidRDefault="003D3694" w:rsidP="0096743A">
            <w:pPr>
              <w:pStyle w:val="Tabletext"/>
              <w:spacing w:before="0" w:after="0"/>
              <w:rPr>
                <w:rFonts w:cstheme="minorHAnsi"/>
              </w:rPr>
            </w:pPr>
            <w:r w:rsidRPr="00747E35">
              <w:rPr>
                <w:rFonts w:cstheme="minorHAnsi"/>
              </w:rPr>
              <w:t>Groundwater dependent vegetation</w:t>
            </w:r>
          </w:p>
        </w:tc>
      </w:tr>
      <w:tr w:rsidR="003D3694" w:rsidRPr="00747E35" w14:paraId="4DAA22E9"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76F5512C" w14:textId="77777777" w:rsidR="003D3694" w:rsidRPr="00747E35" w:rsidRDefault="003D3694" w:rsidP="0096743A">
            <w:pPr>
              <w:pStyle w:val="Tabletext"/>
              <w:spacing w:before="0" w:after="0"/>
              <w:rPr>
                <w:rFonts w:cstheme="minorHAnsi"/>
                <w:sz w:val="20"/>
                <w:szCs w:val="20"/>
              </w:rPr>
            </w:pPr>
            <w:r w:rsidRPr="00747E35">
              <w:rPr>
                <w:rFonts w:cstheme="minorHAnsi"/>
              </w:rPr>
              <w:t>HEF</w:t>
            </w:r>
          </w:p>
        </w:tc>
        <w:tc>
          <w:tcPr>
            <w:tcW w:w="7512" w:type="dxa"/>
            <w:tcBorders>
              <w:top w:val="single" w:sz="4" w:space="0" w:color="auto"/>
              <w:left w:val="single" w:sz="4" w:space="0" w:color="auto"/>
              <w:bottom w:val="single" w:sz="4" w:space="0" w:color="auto"/>
              <w:right w:val="single" w:sz="4" w:space="0" w:color="auto"/>
            </w:tcBorders>
          </w:tcPr>
          <w:p w14:paraId="3C380F27" w14:textId="77777777" w:rsidR="003D3694" w:rsidRPr="00747E35" w:rsidRDefault="003D3694" w:rsidP="0096743A">
            <w:pPr>
              <w:pStyle w:val="Tabletext"/>
              <w:spacing w:before="0" w:after="0"/>
              <w:rPr>
                <w:rFonts w:cstheme="minorHAnsi"/>
                <w:sz w:val="20"/>
                <w:szCs w:val="20"/>
              </w:rPr>
            </w:pPr>
            <w:r w:rsidRPr="00747E35">
              <w:rPr>
                <w:rFonts w:cstheme="minorHAnsi"/>
              </w:rPr>
              <w:t>Hydrologic exchange flows</w:t>
            </w:r>
          </w:p>
        </w:tc>
      </w:tr>
      <w:tr w:rsidR="003D3694" w:rsidRPr="00747E35" w14:paraId="03B6BEF7"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130A1306" w14:textId="77777777" w:rsidR="003D3694" w:rsidRPr="00747E35" w:rsidRDefault="003D3694" w:rsidP="0096743A">
            <w:pPr>
              <w:pStyle w:val="Tabletext"/>
              <w:spacing w:before="0" w:after="0"/>
              <w:rPr>
                <w:rFonts w:cstheme="minorHAnsi"/>
              </w:rPr>
            </w:pPr>
            <w:r w:rsidRPr="00747E35">
              <w:rPr>
                <w:rFonts w:cstheme="minorHAnsi"/>
              </w:rPr>
              <w:t>IESC</w:t>
            </w:r>
          </w:p>
        </w:tc>
        <w:tc>
          <w:tcPr>
            <w:tcW w:w="7512" w:type="dxa"/>
            <w:tcBorders>
              <w:top w:val="single" w:sz="4" w:space="0" w:color="auto"/>
              <w:left w:val="single" w:sz="4" w:space="0" w:color="auto"/>
              <w:bottom w:val="single" w:sz="4" w:space="0" w:color="auto"/>
              <w:right w:val="single" w:sz="4" w:space="0" w:color="auto"/>
            </w:tcBorders>
          </w:tcPr>
          <w:p w14:paraId="04888082" w14:textId="77777777" w:rsidR="003D3694" w:rsidRPr="00747E35" w:rsidRDefault="003D3694" w:rsidP="0096743A">
            <w:pPr>
              <w:pStyle w:val="Tabletext"/>
              <w:spacing w:before="0" w:after="0"/>
              <w:rPr>
                <w:rFonts w:cstheme="minorHAnsi"/>
              </w:rPr>
            </w:pPr>
            <w:r w:rsidRPr="00747E35">
              <w:rPr>
                <w:rFonts w:cstheme="minorHAnsi"/>
              </w:rPr>
              <w:t>Independent Expert Scientific Committee on Coal Seam Gas and Large Coal Mining Development</w:t>
            </w:r>
          </w:p>
        </w:tc>
      </w:tr>
      <w:tr w:rsidR="00173728" w:rsidRPr="00747E35" w14:paraId="2FD94E71"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1BA4CE39" w14:textId="77777777" w:rsidR="00173728" w:rsidRPr="00747E35" w:rsidRDefault="00173728" w:rsidP="001C05E2">
            <w:pPr>
              <w:pStyle w:val="Tabletext"/>
              <w:spacing w:before="0" w:after="0"/>
              <w:rPr>
                <w:rFonts w:cstheme="minorHAnsi"/>
              </w:rPr>
            </w:pPr>
            <w:r>
              <w:rPr>
                <w:rFonts w:cstheme="minorHAnsi"/>
              </w:rPr>
              <w:t>K</w:t>
            </w:r>
          </w:p>
        </w:tc>
        <w:tc>
          <w:tcPr>
            <w:tcW w:w="7512" w:type="dxa"/>
            <w:tcBorders>
              <w:top w:val="single" w:sz="4" w:space="0" w:color="auto"/>
              <w:left w:val="single" w:sz="4" w:space="0" w:color="auto"/>
              <w:bottom w:val="single" w:sz="4" w:space="0" w:color="auto"/>
              <w:right w:val="single" w:sz="4" w:space="0" w:color="auto"/>
            </w:tcBorders>
          </w:tcPr>
          <w:p w14:paraId="1C883155" w14:textId="77777777" w:rsidR="00173728" w:rsidRPr="00747E35" w:rsidRDefault="00173728" w:rsidP="001C05E2">
            <w:pPr>
              <w:pStyle w:val="Tabletext"/>
              <w:spacing w:before="0" w:after="0"/>
              <w:rPr>
                <w:rFonts w:cstheme="minorHAnsi"/>
              </w:rPr>
            </w:pPr>
            <w:r w:rsidRPr="00747E35">
              <w:rPr>
                <w:rFonts w:cstheme="minorHAnsi"/>
              </w:rPr>
              <w:t>Decay rate</w:t>
            </w:r>
          </w:p>
        </w:tc>
      </w:tr>
      <w:tr w:rsidR="00173728" w:rsidRPr="00747E35" w14:paraId="5E73357A"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17D536CE" w14:textId="77777777" w:rsidR="00173728" w:rsidRPr="00747E35" w:rsidRDefault="00173728" w:rsidP="001C05E2">
            <w:pPr>
              <w:pStyle w:val="Tabletext"/>
              <w:spacing w:before="0" w:after="0"/>
              <w:rPr>
                <w:rFonts w:cstheme="minorHAnsi"/>
              </w:rPr>
            </w:pPr>
            <w:r w:rsidRPr="00747E35">
              <w:rPr>
                <w:rFonts w:cstheme="minorHAnsi"/>
              </w:rPr>
              <w:t>LMM</w:t>
            </w:r>
          </w:p>
        </w:tc>
        <w:tc>
          <w:tcPr>
            <w:tcW w:w="7512" w:type="dxa"/>
            <w:tcBorders>
              <w:top w:val="single" w:sz="4" w:space="0" w:color="auto"/>
              <w:left w:val="single" w:sz="4" w:space="0" w:color="auto"/>
              <w:bottom w:val="single" w:sz="4" w:space="0" w:color="auto"/>
              <w:right w:val="single" w:sz="4" w:space="0" w:color="auto"/>
            </w:tcBorders>
          </w:tcPr>
          <w:p w14:paraId="69A44836" w14:textId="77777777" w:rsidR="00173728" w:rsidRPr="00747E35" w:rsidRDefault="00173728" w:rsidP="001C05E2">
            <w:pPr>
              <w:pStyle w:val="Tabletext"/>
              <w:spacing w:before="0" w:after="0"/>
              <w:rPr>
                <w:rFonts w:cstheme="minorHAnsi"/>
                <w:highlight w:val="yellow"/>
              </w:rPr>
            </w:pPr>
            <w:r w:rsidRPr="00747E35">
              <w:rPr>
                <w:rFonts w:cstheme="minorHAnsi"/>
              </w:rPr>
              <w:t>Linear Mixed-effects Model</w:t>
            </w:r>
          </w:p>
        </w:tc>
      </w:tr>
      <w:tr w:rsidR="003D3694" w:rsidRPr="00747E35" w14:paraId="5B47411D"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14C8C500" w14:textId="77777777" w:rsidR="003D3694" w:rsidRPr="00747E35" w:rsidRDefault="003D3694" w:rsidP="0096743A">
            <w:pPr>
              <w:pStyle w:val="Tabletext"/>
              <w:spacing w:before="0" w:after="0"/>
              <w:rPr>
                <w:rFonts w:cstheme="minorHAnsi"/>
              </w:rPr>
            </w:pPr>
            <w:r w:rsidRPr="00747E35">
              <w:rPr>
                <w:rFonts w:cstheme="minorHAnsi"/>
              </w:rPr>
              <w:t>NDVI</w:t>
            </w:r>
          </w:p>
        </w:tc>
        <w:tc>
          <w:tcPr>
            <w:tcW w:w="7512" w:type="dxa"/>
            <w:tcBorders>
              <w:top w:val="single" w:sz="4" w:space="0" w:color="auto"/>
              <w:left w:val="single" w:sz="4" w:space="0" w:color="auto"/>
              <w:bottom w:val="single" w:sz="4" w:space="0" w:color="auto"/>
              <w:right w:val="single" w:sz="4" w:space="0" w:color="auto"/>
            </w:tcBorders>
          </w:tcPr>
          <w:p w14:paraId="753A5E79" w14:textId="77777777" w:rsidR="003D3694" w:rsidRPr="00747E35" w:rsidRDefault="003D3694" w:rsidP="0096743A">
            <w:pPr>
              <w:pStyle w:val="Tabletext"/>
              <w:spacing w:before="0" w:after="0"/>
              <w:rPr>
                <w:rFonts w:cstheme="minorHAnsi"/>
              </w:rPr>
            </w:pPr>
            <w:r w:rsidRPr="00747E35">
              <w:rPr>
                <w:rFonts w:cstheme="minorHAnsi"/>
              </w:rPr>
              <w:t>Normalised Difference Vegetation Index</w:t>
            </w:r>
          </w:p>
        </w:tc>
      </w:tr>
      <w:tr w:rsidR="003D3694" w:rsidRPr="00747E35" w14:paraId="6CFDA33B"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5799EACC" w14:textId="77777777" w:rsidR="003D3694" w:rsidRPr="00747E35" w:rsidRDefault="003D3694" w:rsidP="0096743A">
            <w:pPr>
              <w:pStyle w:val="Tabletext"/>
              <w:spacing w:before="0" w:after="0"/>
              <w:rPr>
                <w:rFonts w:cstheme="minorHAnsi"/>
              </w:rPr>
            </w:pPr>
            <w:r w:rsidRPr="00747E35">
              <w:rPr>
                <w:rFonts w:cstheme="minorHAnsi"/>
              </w:rPr>
              <w:t>NDVW</w:t>
            </w:r>
          </w:p>
        </w:tc>
        <w:tc>
          <w:tcPr>
            <w:tcW w:w="7512" w:type="dxa"/>
            <w:tcBorders>
              <w:top w:val="single" w:sz="4" w:space="0" w:color="auto"/>
              <w:left w:val="single" w:sz="4" w:space="0" w:color="auto"/>
              <w:bottom w:val="single" w:sz="4" w:space="0" w:color="auto"/>
              <w:right w:val="single" w:sz="4" w:space="0" w:color="auto"/>
            </w:tcBorders>
          </w:tcPr>
          <w:p w14:paraId="46D17837" w14:textId="77777777" w:rsidR="003D3694" w:rsidRPr="00747E35" w:rsidRDefault="003D3694" w:rsidP="0096743A">
            <w:pPr>
              <w:pStyle w:val="Tabletext"/>
              <w:spacing w:before="0" w:after="0"/>
              <w:rPr>
                <w:rFonts w:cstheme="minorHAnsi"/>
              </w:rPr>
            </w:pPr>
            <w:r w:rsidRPr="00747E35">
              <w:rPr>
                <w:rFonts w:cstheme="minorHAnsi"/>
              </w:rPr>
              <w:t>Normalised Difference Wetness Index</w:t>
            </w:r>
          </w:p>
        </w:tc>
      </w:tr>
      <w:tr w:rsidR="003D3694" w:rsidRPr="00747E35" w14:paraId="4084D861"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596BF2B0" w14:textId="77777777" w:rsidR="003D3694" w:rsidRPr="00747E35" w:rsidRDefault="003D3694" w:rsidP="0096743A">
            <w:pPr>
              <w:pStyle w:val="Tabletext"/>
              <w:spacing w:before="0" w:after="0"/>
              <w:rPr>
                <w:rFonts w:cstheme="minorHAnsi"/>
              </w:rPr>
            </w:pPr>
            <w:r w:rsidRPr="00747E35">
              <w:rPr>
                <w:rFonts w:cstheme="minorHAnsi"/>
              </w:rPr>
              <w:t>NSW</w:t>
            </w:r>
          </w:p>
        </w:tc>
        <w:tc>
          <w:tcPr>
            <w:tcW w:w="7512" w:type="dxa"/>
            <w:tcBorders>
              <w:top w:val="single" w:sz="4" w:space="0" w:color="auto"/>
              <w:left w:val="single" w:sz="4" w:space="0" w:color="auto"/>
              <w:bottom w:val="single" w:sz="4" w:space="0" w:color="auto"/>
              <w:right w:val="single" w:sz="4" w:space="0" w:color="auto"/>
            </w:tcBorders>
          </w:tcPr>
          <w:p w14:paraId="1D4A2547" w14:textId="77777777" w:rsidR="003D3694" w:rsidRPr="00747E35" w:rsidRDefault="003D3694" w:rsidP="0096743A">
            <w:pPr>
              <w:pStyle w:val="Tabletext"/>
              <w:spacing w:before="0" w:after="0"/>
              <w:rPr>
                <w:rFonts w:cstheme="minorHAnsi"/>
              </w:rPr>
            </w:pPr>
            <w:r w:rsidRPr="00747E35">
              <w:rPr>
                <w:rFonts w:cstheme="minorHAnsi"/>
              </w:rPr>
              <w:t>New South Wales</w:t>
            </w:r>
          </w:p>
        </w:tc>
      </w:tr>
      <w:tr w:rsidR="00173728" w:rsidRPr="00747E35" w14:paraId="5CA61959"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607ED31F" w14:textId="77777777" w:rsidR="00173728" w:rsidRPr="00747E35" w:rsidRDefault="00173728" w:rsidP="001C05E2">
            <w:pPr>
              <w:pStyle w:val="Tabletext"/>
              <w:spacing w:before="0" w:after="0"/>
              <w:rPr>
                <w:rFonts w:cstheme="minorHAnsi"/>
              </w:rPr>
            </w:pPr>
            <w:r w:rsidRPr="00747E35">
              <w:rPr>
                <w:rFonts w:cstheme="minorHAnsi"/>
              </w:rPr>
              <w:t>MLR</w:t>
            </w:r>
          </w:p>
        </w:tc>
        <w:tc>
          <w:tcPr>
            <w:tcW w:w="7512" w:type="dxa"/>
            <w:tcBorders>
              <w:top w:val="single" w:sz="4" w:space="0" w:color="auto"/>
              <w:left w:val="single" w:sz="4" w:space="0" w:color="auto"/>
              <w:bottom w:val="single" w:sz="4" w:space="0" w:color="auto"/>
              <w:right w:val="single" w:sz="4" w:space="0" w:color="auto"/>
            </w:tcBorders>
          </w:tcPr>
          <w:p w14:paraId="7C762CEA" w14:textId="77777777" w:rsidR="00173728" w:rsidRPr="00747E35" w:rsidRDefault="00173728" w:rsidP="001C05E2">
            <w:pPr>
              <w:pStyle w:val="Tabletext"/>
              <w:spacing w:before="0" w:after="0"/>
              <w:rPr>
                <w:rFonts w:cstheme="minorHAnsi"/>
              </w:rPr>
            </w:pPr>
            <w:r w:rsidRPr="00747E35">
              <w:rPr>
                <w:rFonts w:cstheme="minorHAnsi"/>
              </w:rPr>
              <w:t>Multiple Linear Regression</w:t>
            </w:r>
          </w:p>
        </w:tc>
      </w:tr>
      <w:tr w:rsidR="003D3694" w:rsidRPr="00747E35" w14:paraId="6731688A"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436DD4EF" w14:textId="77777777" w:rsidR="003D3694" w:rsidRPr="00747E35" w:rsidRDefault="003D3694" w:rsidP="0096743A">
            <w:pPr>
              <w:pStyle w:val="Tabletext"/>
              <w:spacing w:before="0" w:after="0"/>
              <w:rPr>
                <w:rFonts w:cstheme="minorHAnsi"/>
                <w:sz w:val="20"/>
                <w:szCs w:val="20"/>
              </w:rPr>
            </w:pPr>
            <w:r w:rsidRPr="00747E35">
              <w:rPr>
                <w:rFonts w:cstheme="minorHAnsi"/>
              </w:rPr>
              <w:t>OM</w:t>
            </w:r>
          </w:p>
        </w:tc>
        <w:tc>
          <w:tcPr>
            <w:tcW w:w="7512" w:type="dxa"/>
            <w:tcBorders>
              <w:top w:val="single" w:sz="4" w:space="0" w:color="auto"/>
              <w:left w:val="single" w:sz="4" w:space="0" w:color="auto"/>
              <w:bottom w:val="single" w:sz="4" w:space="0" w:color="auto"/>
              <w:right w:val="single" w:sz="4" w:space="0" w:color="auto"/>
            </w:tcBorders>
          </w:tcPr>
          <w:p w14:paraId="678EAA8A" w14:textId="77777777" w:rsidR="003D3694" w:rsidRPr="00747E35" w:rsidRDefault="003D3694" w:rsidP="0096743A">
            <w:pPr>
              <w:pStyle w:val="Tabletext"/>
              <w:spacing w:before="0" w:after="0"/>
              <w:rPr>
                <w:rFonts w:cstheme="minorHAnsi"/>
                <w:sz w:val="20"/>
                <w:szCs w:val="20"/>
              </w:rPr>
            </w:pPr>
            <w:r w:rsidRPr="00747E35">
              <w:rPr>
                <w:rFonts w:cstheme="minorHAnsi"/>
              </w:rPr>
              <w:t>Organic matter</w:t>
            </w:r>
          </w:p>
        </w:tc>
      </w:tr>
      <w:tr w:rsidR="003D3694" w:rsidRPr="00747E35" w14:paraId="41C90844"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6D84725D" w14:textId="77777777" w:rsidR="003D3694" w:rsidRPr="00747E35" w:rsidRDefault="003D3694" w:rsidP="0096743A">
            <w:pPr>
              <w:pStyle w:val="Tabletext"/>
              <w:spacing w:before="0" w:after="0"/>
              <w:rPr>
                <w:rFonts w:cstheme="minorHAnsi"/>
              </w:rPr>
            </w:pPr>
            <w:r w:rsidRPr="00747E35">
              <w:rPr>
                <w:rFonts w:cstheme="minorHAnsi"/>
              </w:rPr>
              <w:t>OWS</w:t>
            </w:r>
          </w:p>
        </w:tc>
        <w:tc>
          <w:tcPr>
            <w:tcW w:w="7512" w:type="dxa"/>
            <w:tcBorders>
              <w:top w:val="single" w:sz="4" w:space="0" w:color="auto"/>
              <w:left w:val="single" w:sz="4" w:space="0" w:color="auto"/>
              <w:bottom w:val="single" w:sz="4" w:space="0" w:color="auto"/>
              <w:right w:val="single" w:sz="4" w:space="0" w:color="auto"/>
            </w:tcBorders>
          </w:tcPr>
          <w:p w14:paraId="0D2439C6" w14:textId="77777777" w:rsidR="003D3694" w:rsidRPr="00747E35" w:rsidRDefault="003D3694" w:rsidP="0096743A">
            <w:pPr>
              <w:pStyle w:val="Tabletext"/>
              <w:spacing w:before="0" w:after="0"/>
              <w:rPr>
                <w:rFonts w:cstheme="minorHAnsi"/>
              </w:rPr>
            </w:pPr>
            <w:r w:rsidRPr="00747E35">
              <w:rPr>
                <w:rFonts w:cstheme="minorHAnsi"/>
              </w:rPr>
              <w:t xml:space="preserve">Office of Water Science </w:t>
            </w:r>
          </w:p>
        </w:tc>
      </w:tr>
      <w:tr w:rsidR="003D3694" w:rsidRPr="00747E35" w14:paraId="527920C8"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584F0067" w14:textId="77777777" w:rsidR="003D3694" w:rsidRPr="00747E35" w:rsidRDefault="003D3694" w:rsidP="0096743A">
            <w:pPr>
              <w:pStyle w:val="Tabletext"/>
              <w:spacing w:before="0" w:after="0"/>
              <w:rPr>
                <w:rFonts w:cstheme="minorHAnsi"/>
              </w:rPr>
            </w:pPr>
            <w:r w:rsidRPr="00747E35">
              <w:rPr>
                <w:rFonts w:cstheme="minorHAnsi"/>
              </w:rPr>
              <w:t>PARAFAC</w:t>
            </w:r>
          </w:p>
        </w:tc>
        <w:tc>
          <w:tcPr>
            <w:tcW w:w="7512" w:type="dxa"/>
            <w:tcBorders>
              <w:top w:val="single" w:sz="4" w:space="0" w:color="auto"/>
              <w:left w:val="single" w:sz="4" w:space="0" w:color="auto"/>
              <w:bottom w:val="single" w:sz="4" w:space="0" w:color="auto"/>
              <w:right w:val="single" w:sz="4" w:space="0" w:color="auto"/>
            </w:tcBorders>
          </w:tcPr>
          <w:p w14:paraId="69CF583E" w14:textId="77777777" w:rsidR="003D3694" w:rsidRPr="00747E35" w:rsidRDefault="003D3694" w:rsidP="0096743A">
            <w:pPr>
              <w:pStyle w:val="Tabletext"/>
              <w:spacing w:before="0" w:after="0"/>
              <w:rPr>
                <w:rFonts w:cstheme="minorHAnsi"/>
              </w:rPr>
            </w:pPr>
            <w:r w:rsidRPr="00747E35">
              <w:rPr>
                <w:rFonts w:cstheme="minorHAnsi"/>
              </w:rPr>
              <w:t>Parallel Factor Analysis (here applied to fluorescence data)</w:t>
            </w:r>
          </w:p>
        </w:tc>
      </w:tr>
      <w:tr w:rsidR="003D3694" w:rsidRPr="00747E35" w14:paraId="0FF0ED62"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0BEB85D5" w14:textId="77777777" w:rsidR="003D3694" w:rsidRPr="00747E35" w:rsidRDefault="003D3694" w:rsidP="0096743A">
            <w:pPr>
              <w:pStyle w:val="Tabletext"/>
              <w:spacing w:before="0" w:after="0"/>
              <w:rPr>
                <w:rFonts w:cstheme="minorHAnsi"/>
              </w:rPr>
            </w:pPr>
            <w:r w:rsidRPr="00747E35">
              <w:rPr>
                <w:rFonts w:cstheme="minorHAnsi"/>
              </w:rPr>
              <w:t>Qld</w:t>
            </w:r>
          </w:p>
        </w:tc>
        <w:tc>
          <w:tcPr>
            <w:tcW w:w="7512" w:type="dxa"/>
            <w:tcBorders>
              <w:top w:val="single" w:sz="4" w:space="0" w:color="auto"/>
              <w:left w:val="single" w:sz="4" w:space="0" w:color="auto"/>
              <w:bottom w:val="single" w:sz="4" w:space="0" w:color="auto"/>
              <w:right w:val="single" w:sz="4" w:space="0" w:color="auto"/>
            </w:tcBorders>
          </w:tcPr>
          <w:p w14:paraId="6579E271" w14:textId="77777777" w:rsidR="003D3694" w:rsidRPr="00747E35" w:rsidRDefault="003D3694" w:rsidP="0096743A">
            <w:pPr>
              <w:pStyle w:val="Tabletext"/>
              <w:spacing w:before="0" w:after="0"/>
              <w:rPr>
                <w:rFonts w:cstheme="minorHAnsi"/>
              </w:rPr>
            </w:pPr>
            <w:r w:rsidRPr="00747E35">
              <w:rPr>
                <w:rFonts w:cstheme="minorHAnsi"/>
              </w:rPr>
              <w:t>Queensland</w:t>
            </w:r>
          </w:p>
        </w:tc>
      </w:tr>
      <w:tr w:rsidR="003D3694" w:rsidRPr="00747E35" w14:paraId="56CBA671"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28CF8465" w14:textId="77777777" w:rsidR="003D3694" w:rsidRPr="00747E35" w:rsidRDefault="003D3694" w:rsidP="0096743A">
            <w:pPr>
              <w:pStyle w:val="Tabletext"/>
              <w:spacing w:before="0" w:after="0"/>
              <w:rPr>
                <w:rFonts w:cstheme="minorHAnsi"/>
                <w:sz w:val="20"/>
                <w:szCs w:val="20"/>
              </w:rPr>
            </w:pPr>
            <w:r w:rsidRPr="00747E35">
              <w:rPr>
                <w:rFonts w:cstheme="minorHAnsi"/>
              </w:rPr>
              <w:t>RS</w:t>
            </w:r>
          </w:p>
        </w:tc>
        <w:tc>
          <w:tcPr>
            <w:tcW w:w="7512" w:type="dxa"/>
            <w:tcBorders>
              <w:top w:val="single" w:sz="4" w:space="0" w:color="auto"/>
              <w:left w:val="single" w:sz="4" w:space="0" w:color="auto"/>
              <w:bottom w:val="single" w:sz="4" w:space="0" w:color="auto"/>
              <w:right w:val="single" w:sz="4" w:space="0" w:color="auto"/>
            </w:tcBorders>
          </w:tcPr>
          <w:p w14:paraId="3C16EE95" w14:textId="77777777" w:rsidR="003D3694" w:rsidRPr="00747E35" w:rsidRDefault="003D3694" w:rsidP="0096743A">
            <w:pPr>
              <w:pStyle w:val="Tabletext"/>
              <w:spacing w:before="0" w:after="0"/>
              <w:rPr>
                <w:rFonts w:cstheme="minorHAnsi"/>
                <w:sz w:val="20"/>
                <w:szCs w:val="20"/>
              </w:rPr>
            </w:pPr>
            <w:r w:rsidRPr="00747E35">
              <w:rPr>
                <w:rFonts w:cstheme="minorHAnsi"/>
              </w:rPr>
              <w:t>Remote sensing</w:t>
            </w:r>
          </w:p>
        </w:tc>
      </w:tr>
      <w:tr w:rsidR="00173728" w:rsidRPr="00747E35" w14:paraId="335C0E73"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1A0A6BC4" w14:textId="77777777" w:rsidR="00173728" w:rsidRPr="00747E35" w:rsidRDefault="00173728" w:rsidP="001C05E2">
            <w:pPr>
              <w:pStyle w:val="Tabletext"/>
              <w:spacing w:before="0" w:after="0"/>
              <w:rPr>
                <w:rFonts w:cstheme="minorHAnsi"/>
              </w:rPr>
            </w:pPr>
            <w:r w:rsidRPr="00747E35">
              <w:rPr>
                <w:rFonts w:cstheme="minorHAnsi"/>
              </w:rPr>
              <w:t>RV</w:t>
            </w:r>
          </w:p>
        </w:tc>
        <w:tc>
          <w:tcPr>
            <w:tcW w:w="7512" w:type="dxa"/>
            <w:tcBorders>
              <w:top w:val="single" w:sz="4" w:space="0" w:color="auto"/>
              <w:left w:val="single" w:sz="4" w:space="0" w:color="auto"/>
              <w:bottom w:val="single" w:sz="4" w:space="0" w:color="auto"/>
              <w:right w:val="single" w:sz="4" w:space="0" w:color="auto"/>
            </w:tcBorders>
          </w:tcPr>
          <w:p w14:paraId="1CD50636" w14:textId="253DBB8F" w:rsidR="00173728" w:rsidRPr="00747E35" w:rsidRDefault="00173728" w:rsidP="001C05E2">
            <w:pPr>
              <w:pStyle w:val="Tabletext"/>
              <w:spacing w:before="0" w:after="0"/>
              <w:rPr>
                <w:rFonts w:cstheme="minorHAnsi"/>
              </w:rPr>
            </w:pPr>
            <w:r>
              <w:rPr>
                <w:rFonts w:cstheme="minorHAnsi"/>
              </w:rPr>
              <w:t>Remnant v</w:t>
            </w:r>
            <w:r w:rsidRPr="00747E35">
              <w:rPr>
                <w:rFonts w:cstheme="minorHAnsi"/>
              </w:rPr>
              <w:t>egetation</w:t>
            </w:r>
          </w:p>
        </w:tc>
      </w:tr>
      <w:tr w:rsidR="003D3694" w:rsidRPr="00747E35" w14:paraId="527F8622"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5DBD0E7F" w14:textId="77777777" w:rsidR="003D3694" w:rsidRPr="00747E35" w:rsidRDefault="003D3694" w:rsidP="0096743A">
            <w:pPr>
              <w:pStyle w:val="Tabletext"/>
              <w:spacing w:before="0" w:after="0"/>
              <w:rPr>
                <w:rFonts w:cstheme="minorHAnsi"/>
              </w:rPr>
            </w:pPr>
            <w:r w:rsidRPr="00747E35">
              <w:rPr>
                <w:rFonts w:cstheme="minorHAnsi"/>
              </w:rPr>
              <w:t>TDS</w:t>
            </w:r>
          </w:p>
        </w:tc>
        <w:tc>
          <w:tcPr>
            <w:tcW w:w="7512" w:type="dxa"/>
            <w:tcBorders>
              <w:top w:val="single" w:sz="4" w:space="0" w:color="auto"/>
              <w:left w:val="single" w:sz="4" w:space="0" w:color="auto"/>
              <w:bottom w:val="single" w:sz="4" w:space="0" w:color="auto"/>
              <w:right w:val="single" w:sz="4" w:space="0" w:color="auto"/>
            </w:tcBorders>
          </w:tcPr>
          <w:p w14:paraId="38E208FC" w14:textId="77777777" w:rsidR="003D3694" w:rsidRPr="00747E35" w:rsidRDefault="003D3694" w:rsidP="0096743A">
            <w:pPr>
              <w:pStyle w:val="Tabletext"/>
              <w:spacing w:before="0" w:after="0"/>
              <w:rPr>
                <w:rFonts w:cstheme="minorHAnsi"/>
              </w:rPr>
            </w:pPr>
            <w:r w:rsidRPr="00747E35">
              <w:rPr>
                <w:rFonts w:cstheme="minorHAnsi"/>
              </w:rPr>
              <w:t>Total dissolved solids</w:t>
            </w:r>
          </w:p>
        </w:tc>
      </w:tr>
      <w:tr w:rsidR="00C766C8" w:rsidRPr="00747E35" w14:paraId="0C6B279D"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0B08EC3E" w14:textId="7F96AFAB" w:rsidR="00C766C8" w:rsidRPr="00747E35" w:rsidRDefault="00C766C8" w:rsidP="0096743A">
            <w:pPr>
              <w:pStyle w:val="Tabletext"/>
              <w:spacing w:before="0" w:after="0"/>
              <w:rPr>
                <w:rFonts w:cstheme="minorHAnsi"/>
              </w:rPr>
            </w:pPr>
            <w:r w:rsidRPr="00C766C8">
              <w:rPr>
                <w:rFonts w:cstheme="minorHAnsi"/>
              </w:rPr>
              <w:t>VHH</w:t>
            </w:r>
          </w:p>
        </w:tc>
        <w:tc>
          <w:tcPr>
            <w:tcW w:w="7512" w:type="dxa"/>
            <w:tcBorders>
              <w:top w:val="single" w:sz="4" w:space="0" w:color="auto"/>
              <w:left w:val="single" w:sz="4" w:space="0" w:color="auto"/>
              <w:bottom w:val="single" w:sz="4" w:space="0" w:color="auto"/>
              <w:right w:val="single" w:sz="4" w:space="0" w:color="auto"/>
            </w:tcBorders>
          </w:tcPr>
          <w:p w14:paraId="705BCA42" w14:textId="389484E9" w:rsidR="00C766C8" w:rsidRPr="00747E35" w:rsidRDefault="00C766C8" w:rsidP="0096743A">
            <w:pPr>
              <w:pStyle w:val="Tabletext"/>
              <w:spacing w:before="0" w:after="0"/>
              <w:rPr>
                <w:rFonts w:cstheme="minorHAnsi"/>
              </w:rPr>
            </w:pPr>
            <w:r>
              <w:rPr>
                <w:rFonts w:cstheme="minorHAnsi"/>
              </w:rPr>
              <w:t>V</w:t>
            </w:r>
            <w:r w:rsidRPr="00C766C8">
              <w:rPr>
                <w:rFonts w:cstheme="minorHAnsi"/>
              </w:rPr>
              <w:t>ertical hydraulic head difference</w:t>
            </w:r>
          </w:p>
        </w:tc>
      </w:tr>
      <w:tr w:rsidR="003D3694" w:rsidRPr="00747E35" w14:paraId="48745090" w14:textId="77777777" w:rsidTr="003D57A3">
        <w:trPr>
          <w:trHeight w:val="20"/>
        </w:trPr>
        <w:tc>
          <w:tcPr>
            <w:tcW w:w="2127" w:type="dxa"/>
            <w:tcBorders>
              <w:top w:val="single" w:sz="4" w:space="0" w:color="auto"/>
              <w:left w:val="single" w:sz="4" w:space="0" w:color="auto"/>
              <w:bottom w:val="single" w:sz="4" w:space="0" w:color="auto"/>
              <w:right w:val="single" w:sz="4" w:space="0" w:color="auto"/>
            </w:tcBorders>
          </w:tcPr>
          <w:p w14:paraId="0149B759" w14:textId="77777777" w:rsidR="003D3694" w:rsidRPr="00747E35" w:rsidRDefault="003D3694" w:rsidP="0096743A">
            <w:pPr>
              <w:pStyle w:val="Tabletext"/>
              <w:spacing w:before="0" w:after="0"/>
              <w:rPr>
                <w:rFonts w:cstheme="minorHAnsi"/>
              </w:rPr>
            </w:pPr>
            <w:r w:rsidRPr="00747E35">
              <w:rPr>
                <w:rFonts w:cstheme="minorHAnsi"/>
              </w:rPr>
              <w:t>y</w:t>
            </w:r>
          </w:p>
        </w:tc>
        <w:tc>
          <w:tcPr>
            <w:tcW w:w="7512" w:type="dxa"/>
            <w:tcBorders>
              <w:top w:val="single" w:sz="4" w:space="0" w:color="auto"/>
              <w:left w:val="single" w:sz="4" w:space="0" w:color="auto"/>
              <w:bottom w:val="single" w:sz="4" w:space="0" w:color="auto"/>
              <w:right w:val="single" w:sz="4" w:space="0" w:color="auto"/>
            </w:tcBorders>
          </w:tcPr>
          <w:p w14:paraId="040B8184" w14:textId="77777777" w:rsidR="003D3694" w:rsidRPr="00747E35" w:rsidRDefault="003D3694" w:rsidP="0096743A">
            <w:pPr>
              <w:pStyle w:val="Tabletext"/>
              <w:spacing w:before="0" w:after="0"/>
              <w:rPr>
                <w:rFonts w:cstheme="minorHAnsi"/>
              </w:rPr>
            </w:pPr>
            <w:r w:rsidRPr="00747E35">
              <w:rPr>
                <w:rFonts w:cstheme="minorHAnsi"/>
              </w:rPr>
              <w:t>Year</w:t>
            </w:r>
          </w:p>
        </w:tc>
      </w:tr>
    </w:tbl>
    <w:p w14:paraId="2BBCC64C" w14:textId="77777777" w:rsidR="003D3694" w:rsidRPr="00747E35" w:rsidRDefault="003D3694" w:rsidP="003D3694">
      <w:pPr>
        <w:pStyle w:val="Body"/>
        <w:rPr>
          <w:rFonts w:asciiTheme="minorHAnsi" w:hAnsiTheme="minorHAnsi" w:cstheme="minorHAnsi"/>
        </w:rPr>
      </w:pPr>
    </w:p>
    <w:p w14:paraId="775A9ABF"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br w:type="page"/>
      </w:r>
    </w:p>
    <w:p w14:paraId="69EF7C4F" w14:textId="03EDF477" w:rsidR="003D3694" w:rsidRPr="00747E35" w:rsidRDefault="003D3694" w:rsidP="004C011D">
      <w:pPr>
        <w:pStyle w:val="Heading1"/>
        <w:numPr>
          <w:ilvl w:val="0"/>
          <w:numId w:val="0"/>
        </w:numPr>
        <w:ind w:left="432"/>
        <w:rPr>
          <w:rFonts w:asciiTheme="minorHAnsi" w:hAnsiTheme="minorHAnsi" w:cstheme="minorHAnsi"/>
        </w:rPr>
      </w:pPr>
      <w:bookmarkStart w:id="11" w:name="_Toc467211670"/>
      <w:bookmarkStart w:id="12" w:name="_Toc470004815"/>
      <w:r w:rsidRPr="00747E35">
        <w:rPr>
          <w:rFonts w:asciiTheme="minorHAnsi" w:hAnsiTheme="minorHAnsi" w:cstheme="minorHAnsi"/>
        </w:rPr>
        <w:lastRenderedPageBreak/>
        <w:t>Glossary</w:t>
      </w:r>
      <w:bookmarkEnd w:id="11"/>
      <w:bookmarkEnd w:id="12"/>
    </w:p>
    <w:tbl>
      <w:tblPr>
        <w:tblW w:w="9526" w:type="dxa"/>
        <w:tblInd w:w="108" w:type="dxa"/>
        <w:tblLook w:val="04A0" w:firstRow="1" w:lastRow="0" w:firstColumn="1" w:lastColumn="0" w:noHBand="0" w:noVBand="1"/>
      </w:tblPr>
      <w:tblGrid>
        <w:gridCol w:w="2127"/>
        <w:gridCol w:w="7399"/>
      </w:tblGrid>
      <w:tr w:rsidR="003D3694" w:rsidRPr="00747E35" w14:paraId="4FBB4F62" w14:textId="77777777" w:rsidTr="00B004E4">
        <w:trPr>
          <w:trHeight w:val="20"/>
          <w:tblHeader/>
        </w:trPr>
        <w:tc>
          <w:tcPr>
            <w:tcW w:w="212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DF8BE5B" w14:textId="77777777" w:rsidR="003D3694" w:rsidRPr="00747E35" w:rsidRDefault="003D3694" w:rsidP="0096743A">
            <w:pPr>
              <w:pStyle w:val="Tableheading"/>
              <w:spacing w:before="0" w:after="0"/>
              <w:rPr>
                <w:rFonts w:asciiTheme="minorHAnsi" w:hAnsiTheme="minorHAnsi" w:cstheme="minorHAnsi"/>
                <w:lang w:eastAsia="en-AU"/>
              </w:rPr>
            </w:pPr>
            <w:r w:rsidRPr="00747E35">
              <w:rPr>
                <w:rFonts w:asciiTheme="minorHAnsi" w:hAnsiTheme="minorHAnsi" w:cstheme="minorHAnsi"/>
                <w:lang w:eastAsia="en-AU"/>
              </w:rPr>
              <w:t>Term</w:t>
            </w:r>
          </w:p>
        </w:tc>
        <w:tc>
          <w:tcPr>
            <w:tcW w:w="739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tcPr>
          <w:p w14:paraId="6AAB7BDA" w14:textId="77777777" w:rsidR="003D3694" w:rsidRPr="00747E35" w:rsidRDefault="003D3694" w:rsidP="0096743A">
            <w:pPr>
              <w:pStyle w:val="Tableheading"/>
              <w:spacing w:before="0" w:after="0"/>
              <w:rPr>
                <w:rFonts w:asciiTheme="minorHAnsi" w:hAnsiTheme="minorHAnsi" w:cstheme="minorHAnsi"/>
                <w:lang w:eastAsia="en-AU"/>
              </w:rPr>
            </w:pPr>
            <w:r w:rsidRPr="00747E35">
              <w:rPr>
                <w:rFonts w:asciiTheme="minorHAnsi" w:hAnsiTheme="minorHAnsi" w:cstheme="minorHAnsi"/>
                <w:lang w:eastAsia="en-AU"/>
              </w:rPr>
              <w:t>Description</w:t>
            </w:r>
          </w:p>
        </w:tc>
      </w:tr>
      <w:tr w:rsidR="00173728" w:rsidRPr="00747E35" w14:paraId="40760E97"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468C04FC" w14:textId="77777777" w:rsidR="00173728" w:rsidRPr="00747E35" w:rsidRDefault="00173728" w:rsidP="0096743A">
            <w:pPr>
              <w:pStyle w:val="Tabletext"/>
              <w:spacing w:before="0" w:after="0"/>
              <w:rPr>
                <w:rFonts w:cstheme="minorHAnsi"/>
                <w:szCs w:val="18"/>
              </w:rPr>
            </w:pPr>
            <w:r w:rsidRPr="00747E35">
              <w:rPr>
                <w:rFonts w:cstheme="minorHAnsi"/>
                <w:szCs w:val="18"/>
              </w:rPr>
              <w:t>Adventitious Roots</w:t>
            </w:r>
          </w:p>
        </w:tc>
        <w:tc>
          <w:tcPr>
            <w:tcW w:w="7399" w:type="dxa"/>
            <w:tcBorders>
              <w:top w:val="nil"/>
              <w:left w:val="nil"/>
              <w:bottom w:val="single" w:sz="4" w:space="0" w:color="auto"/>
              <w:right w:val="single" w:sz="4" w:space="0" w:color="auto"/>
            </w:tcBorders>
            <w:shd w:val="clear" w:color="auto" w:fill="auto"/>
          </w:tcPr>
          <w:p w14:paraId="04A81D3B" w14:textId="77777777" w:rsidR="00173728" w:rsidRPr="00747E35" w:rsidRDefault="00173728" w:rsidP="0096743A">
            <w:pPr>
              <w:pStyle w:val="Tabletext"/>
              <w:spacing w:before="0" w:after="0"/>
              <w:rPr>
                <w:rFonts w:cstheme="minorHAnsi"/>
                <w:szCs w:val="18"/>
              </w:rPr>
            </w:pPr>
            <w:r w:rsidRPr="00747E35">
              <w:rPr>
                <w:rFonts w:cstheme="minorHAnsi"/>
                <w:szCs w:val="18"/>
              </w:rPr>
              <w:t>Roots that arise from an organ other than the root, usually a stem and sometimes a leaf. Common in plants that are subject to flooding, to improve oxygen exchange.</w:t>
            </w:r>
          </w:p>
        </w:tc>
      </w:tr>
      <w:tr w:rsidR="00173728" w:rsidRPr="00747E35" w14:paraId="42EA68C1"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0C1A8C81" w14:textId="77777777" w:rsidR="00173728" w:rsidRPr="00747E35" w:rsidRDefault="00173728" w:rsidP="0096743A">
            <w:pPr>
              <w:pStyle w:val="Tabletext"/>
              <w:spacing w:before="0" w:after="0"/>
              <w:rPr>
                <w:rFonts w:cstheme="minorHAnsi"/>
                <w:szCs w:val="18"/>
              </w:rPr>
            </w:pPr>
            <w:r w:rsidRPr="00747E35">
              <w:rPr>
                <w:rFonts w:cstheme="minorHAnsi"/>
                <w:szCs w:val="18"/>
              </w:rPr>
              <w:t>Aerenchyma</w:t>
            </w:r>
          </w:p>
        </w:tc>
        <w:tc>
          <w:tcPr>
            <w:tcW w:w="7399" w:type="dxa"/>
            <w:tcBorders>
              <w:top w:val="nil"/>
              <w:left w:val="nil"/>
              <w:bottom w:val="single" w:sz="4" w:space="0" w:color="auto"/>
              <w:right w:val="single" w:sz="4" w:space="0" w:color="auto"/>
            </w:tcBorders>
            <w:shd w:val="clear" w:color="auto" w:fill="auto"/>
          </w:tcPr>
          <w:p w14:paraId="718CD593" w14:textId="77777777" w:rsidR="00173728" w:rsidRPr="00747E35" w:rsidRDefault="00173728" w:rsidP="0096743A">
            <w:pPr>
              <w:pStyle w:val="Tabletext"/>
              <w:spacing w:before="0" w:after="0"/>
              <w:rPr>
                <w:rFonts w:cstheme="minorHAnsi"/>
                <w:szCs w:val="18"/>
              </w:rPr>
            </w:pPr>
            <w:r w:rsidRPr="00747E35">
              <w:rPr>
                <w:rFonts w:cstheme="minorHAnsi"/>
                <w:szCs w:val="18"/>
              </w:rPr>
              <w:t>Spongy tissue with large air spaces found between the cells of the stems and leaves of aquatic plants to allow circulation of gases.</w:t>
            </w:r>
          </w:p>
        </w:tc>
      </w:tr>
      <w:tr w:rsidR="00173728" w:rsidRPr="00747E35" w14:paraId="371A68ED"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35C193CC" w14:textId="77777777" w:rsidR="00173728" w:rsidRPr="00747E35" w:rsidRDefault="00173728" w:rsidP="0096743A">
            <w:pPr>
              <w:pStyle w:val="Tabletext"/>
              <w:spacing w:before="0" w:after="0"/>
              <w:rPr>
                <w:rFonts w:cstheme="minorHAnsi"/>
                <w:szCs w:val="18"/>
              </w:rPr>
            </w:pPr>
            <w:r w:rsidRPr="00747E35">
              <w:rPr>
                <w:rFonts w:cstheme="minorHAnsi"/>
                <w:szCs w:val="18"/>
              </w:rPr>
              <w:t>Allochthonous</w:t>
            </w:r>
          </w:p>
        </w:tc>
        <w:tc>
          <w:tcPr>
            <w:tcW w:w="7399" w:type="dxa"/>
            <w:tcBorders>
              <w:top w:val="nil"/>
              <w:left w:val="nil"/>
              <w:bottom w:val="single" w:sz="4" w:space="0" w:color="auto"/>
              <w:right w:val="single" w:sz="4" w:space="0" w:color="auto"/>
            </w:tcBorders>
            <w:shd w:val="clear" w:color="auto" w:fill="auto"/>
          </w:tcPr>
          <w:p w14:paraId="5E4FD139" w14:textId="77777777" w:rsidR="00173728" w:rsidRPr="00747E35" w:rsidRDefault="00173728" w:rsidP="0096743A">
            <w:pPr>
              <w:pStyle w:val="Tabletext"/>
              <w:spacing w:before="0" w:after="0"/>
              <w:rPr>
                <w:rFonts w:cstheme="minorHAnsi"/>
                <w:szCs w:val="18"/>
              </w:rPr>
            </w:pPr>
            <w:r w:rsidRPr="00747E35">
              <w:rPr>
                <w:rFonts w:cstheme="minorHAnsi"/>
                <w:szCs w:val="18"/>
              </w:rPr>
              <w:t>Having an external or terrestrial (for freshwater ecosystems) origin.</w:t>
            </w:r>
          </w:p>
        </w:tc>
      </w:tr>
      <w:tr w:rsidR="00173728" w:rsidRPr="00747E35" w14:paraId="44CBF299"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0B38112F" w14:textId="77777777" w:rsidR="00173728" w:rsidRPr="00747E35" w:rsidRDefault="00173728" w:rsidP="0096743A">
            <w:pPr>
              <w:pStyle w:val="Tabletext"/>
              <w:spacing w:before="0" w:after="0"/>
              <w:rPr>
                <w:rFonts w:cstheme="minorHAnsi"/>
                <w:szCs w:val="18"/>
              </w:rPr>
            </w:pPr>
            <w:r w:rsidRPr="00747E35">
              <w:rPr>
                <w:rFonts w:cstheme="minorHAnsi"/>
                <w:szCs w:val="18"/>
              </w:rPr>
              <w:t>Anthropogenic</w:t>
            </w:r>
          </w:p>
        </w:tc>
        <w:tc>
          <w:tcPr>
            <w:tcW w:w="7399" w:type="dxa"/>
            <w:tcBorders>
              <w:top w:val="nil"/>
              <w:left w:val="nil"/>
              <w:bottom w:val="single" w:sz="4" w:space="0" w:color="auto"/>
              <w:right w:val="single" w:sz="4" w:space="0" w:color="auto"/>
            </w:tcBorders>
            <w:shd w:val="clear" w:color="auto" w:fill="auto"/>
          </w:tcPr>
          <w:p w14:paraId="00F7FDB0" w14:textId="77777777" w:rsidR="00173728" w:rsidRPr="00747E35" w:rsidRDefault="00173728" w:rsidP="0096743A">
            <w:pPr>
              <w:pStyle w:val="Tabletext"/>
              <w:spacing w:before="0" w:after="0"/>
              <w:rPr>
                <w:rFonts w:cstheme="minorHAnsi"/>
                <w:szCs w:val="18"/>
              </w:rPr>
            </w:pPr>
            <w:r w:rsidRPr="00747E35">
              <w:rPr>
                <w:rFonts w:cstheme="minorHAnsi"/>
                <w:szCs w:val="18"/>
              </w:rPr>
              <w:t>Relating to, or resulting from, the influence of humans on nature.</w:t>
            </w:r>
          </w:p>
        </w:tc>
      </w:tr>
      <w:tr w:rsidR="00173728" w:rsidRPr="00747E35" w14:paraId="6064BB52"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5F26B11F"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Aquatic autotrophs </w:t>
            </w:r>
          </w:p>
        </w:tc>
        <w:tc>
          <w:tcPr>
            <w:tcW w:w="7399" w:type="dxa"/>
            <w:tcBorders>
              <w:top w:val="nil"/>
              <w:left w:val="nil"/>
              <w:bottom w:val="single" w:sz="4" w:space="0" w:color="auto"/>
              <w:right w:val="single" w:sz="4" w:space="0" w:color="auto"/>
            </w:tcBorders>
            <w:shd w:val="clear" w:color="auto" w:fill="auto"/>
          </w:tcPr>
          <w:p w14:paraId="6A65D9E3" w14:textId="77777777" w:rsidR="00173728" w:rsidRPr="00747E35" w:rsidRDefault="00173728" w:rsidP="0096743A">
            <w:pPr>
              <w:pStyle w:val="Tabletext"/>
              <w:spacing w:before="0" w:after="0"/>
              <w:rPr>
                <w:rFonts w:cstheme="minorHAnsi"/>
                <w:szCs w:val="18"/>
              </w:rPr>
            </w:pPr>
            <w:r w:rsidRPr="00747E35">
              <w:rPr>
                <w:rFonts w:cstheme="minorHAnsi"/>
                <w:szCs w:val="18"/>
              </w:rPr>
              <w:t>Organisms that generate organic compounds from inorganic material [generally using energy from light (photosynthesis) or inorganic chemical reactions (chemosynthesis)] in streams, rivers, lakes, and wetlands.</w:t>
            </w:r>
          </w:p>
        </w:tc>
      </w:tr>
      <w:tr w:rsidR="00173728" w:rsidRPr="00747E35" w14:paraId="366931D2"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hideMark/>
          </w:tcPr>
          <w:p w14:paraId="13731B2C" w14:textId="77777777" w:rsidR="00173728" w:rsidRPr="00747E35" w:rsidRDefault="00173728" w:rsidP="0096743A">
            <w:pPr>
              <w:pStyle w:val="Tabletext"/>
              <w:spacing w:before="0" w:after="0"/>
              <w:rPr>
                <w:rFonts w:cstheme="minorHAnsi"/>
                <w:szCs w:val="18"/>
              </w:rPr>
            </w:pPr>
            <w:r w:rsidRPr="00747E35">
              <w:rPr>
                <w:rFonts w:cstheme="minorHAnsi"/>
                <w:szCs w:val="18"/>
              </w:rPr>
              <w:t>Aquatic ecosystems</w:t>
            </w:r>
          </w:p>
        </w:tc>
        <w:tc>
          <w:tcPr>
            <w:tcW w:w="7399" w:type="dxa"/>
            <w:tcBorders>
              <w:top w:val="nil"/>
              <w:left w:val="nil"/>
              <w:bottom w:val="single" w:sz="4" w:space="0" w:color="auto"/>
              <w:right w:val="single" w:sz="4" w:space="0" w:color="auto"/>
            </w:tcBorders>
            <w:shd w:val="clear" w:color="auto" w:fill="auto"/>
            <w:hideMark/>
          </w:tcPr>
          <w:p w14:paraId="41E62D6B" w14:textId="26269B73" w:rsidR="00173728" w:rsidRPr="00747E35" w:rsidRDefault="00173728" w:rsidP="001C05E2">
            <w:pPr>
              <w:pStyle w:val="Tabletext"/>
              <w:spacing w:before="0" w:after="0"/>
              <w:rPr>
                <w:rFonts w:cstheme="minorHAnsi"/>
                <w:szCs w:val="18"/>
              </w:rPr>
            </w:pPr>
            <w:r w:rsidRPr="00747E35">
              <w:rPr>
                <w:rFonts w:cstheme="minorHAnsi"/>
                <w:szCs w:val="18"/>
              </w:rPr>
              <w:t>Are those that depend on flows, or periodic or sustained inundation/waterlogging for their ecological integrity (e.g. lakes, wetlands, rivers, aquifers, saltmarshes and estuaries) but do not generally include marine waters.</w:t>
            </w:r>
          </w:p>
        </w:tc>
      </w:tr>
      <w:tr w:rsidR="00173728" w:rsidRPr="00747E35" w14:paraId="288A3B77"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CA917DB" w14:textId="77777777" w:rsidR="00173728" w:rsidRPr="00747E35" w:rsidRDefault="00173728" w:rsidP="0096743A">
            <w:pPr>
              <w:pStyle w:val="Tabletext"/>
              <w:spacing w:before="0" w:after="0"/>
              <w:rPr>
                <w:rFonts w:cstheme="minorHAnsi"/>
                <w:szCs w:val="18"/>
              </w:rPr>
            </w:pPr>
            <w:r w:rsidRPr="00747E35">
              <w:rPr>
                <w:rFonts w:cstheme="minorHAnsi"/>
                <w:szCs w:val="18"/>
              </w:rPr>
              <w:t>Aquatic macroinvertebrate</w:t>
            </w:r>
          </w:p>
        </w:tc>
        <w:tc>
          <w:tcPr>
            <w:tcW w:w="7399" w:type="dxa"/>
            <w:tcBorders>
              <w:top w:val="nil"/>
              <w:left w:val="nil"/>
              <w:bottom w:val="single" w:sz="4" w:space="0" w:color="auto"/>
              <w:right w:val="single" w:sz="4" w:space="0" w:color="auto"/>
            </w:tcBorders>
            <w:shd w:val="clear" w:color="auto" w:fill="auto"/>
          </w:tcPr>
          <w:p w14:paraId="7E053334" w14:textId="77777777" w:rsidR="00173728" w:rsidRPr="00747E35" w:rsidRDefault="00173728" w:rsidP="0096743A">
            <w:pPr>
              <w:pStyle w:val="Tabletext"/>
              <w:spacing w:before="0" w:after="0"/>
              <w:rPr>
                <w:rFonts w:cstheme="minorHAnsi"/>
                <w:szCs w:val="18"/>
              </w:rPr>
            </w:pPr>
            <w:r w:rsidRPr="00747E35">
              <w:rPr>
                <w:rFonts w:cstheme="minorHAnsi"/>
                <w:szCs w:val="18"/>
              </w:rPr>
              <w:t>Organisms without backbones, which are visible to the eye without the aid of a microscope, and that live on, under, and around rocks and sediment on the bottoms of lakes, rivers, and streams.</w:t>
            </w:r>
          </w:p>
        </w:tc>
      </w:tr>
      <w:tr w:rsidR="00173728" w:rsidRPr="00747E35" w14:paraId="050B62BA"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5A181B85" w14:textId="77777777" w:rsidR="00173728" w:rsidRPr="00747E35" w:rsidRDefault="00173728" w:rsidP="0096743A">
            <w:pPr>
              <w:pStyle w:val="Tabletext"/>
              <w:spacing w:before="0" w:after="0"/>
              <w:rPr>
                <w:rFonts w:cstheme="minorHAnsi"/>
                <w:szCs w:val="18"/>
              </w:rPr>
            </w:pPr>
            <w:r w:rsidRPr="00747E35">
              <w:rPr>
                <w:rFonts w:cstheme="minorHAnsi"/>
                <w:szCs w:val="18"/>
              </w:rPr>
              <w:t>Aquifer</w:t>
            </w:r>
          </w:p>
        </w:tc>
        <w:tc>
          <w:tcPr>
            <w:tcW w:w="7399" w:type="dxa"/>
            <w:tcBorders>
              <w:top w:val="nil"/>
              <w:left w:val="nil"/>
              <w:bottom w:val="single" w:sz="4" w:space="0" w:color="auto"/>
              <w:right w:val="single" w:sz="4" w:space="0" w:color="auto"/>
            </w:tcBorders>
            <w:shd w:val="clear" w:color="auto" w:fill="auto"/>
          </w:tcPr>
          <w:p w14:paraId="69E4AE9B" w14:textId="77777777" w:rsidR="00173728" w:rsidRPr="00747E35" w:rsidRDefault="00173728" w:rsidP="0096743A">
            <w:pPr>
              <w:pStyle w:val="Tabletext"/>
              <w:spacing w:before="0" w:after="0"/>
              <w:rPr>
                <w:rFonts w:cstheme="minorHAnsi"/>
                <w:szCs w:val="18"/>
              </w:rPr>
            </w:pPr>
            <w:r w:rsidRPr="00747E35">
              <w:rPr>
                <w:rFonts w:cstheme="minorHAnsi"/>
                <w:szCs w:val="18"/>
              </w:rPr>
              <w:t>Rock or sediment in formation, group of formations or part of a formation, that is saturated and sufficiently permeable to transmit quantities of water to wells and springs.</w:t>
            </w:r>
          </w:p>
        </w:tc>
      </w:tr>
      <w:tr w:rsidR="00173728" w:rsidRPr="00747E35" w14:paraId="606C20D9"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20D73B0F" w14:textId="77777777" w:rsidR="00173728" w:rsidRPr="00747E35" w:rsidRDefault="00173728" w:rsidP="0096743A">
            <w:pPr>
              <w:pStyle w:val="Tabletext"/>
              <w:spacing w:before="0" w:after="0"/>
              <w:rPr>
                <w:rFonts w:cstheme="minorHAnsi"/>
                <w:szCs w:val="18"/>
              </w:rPr>
            </w:pPr>
            <w:r w:rsidRPr="00747E35">
              <w:rPr>
                <w:rFonts w:cstheme="minorHAnsi"/>
                <w:szCs w:val="18"/>
              </w:rPr>
              <w:t>Assemblage Beta Diversity (BD)</w:t>
            </w:r>
          </w:p>
        </w:tc>
        <w:tc>
          <w:tcPr>
            <w:tcW w:w="7399" w:type="dxa"/>
            <w:tcBorders>
              <w:top w:val="nil"/>
              <w:left w:val="nil"/>
              <w:bottom w:val="single" w:sz="4" w:space="0" w:color="auto"/>
              <w:right w:val="single" w:sz="4" w:space="0" w:color="auto"/>
            </w:tcBorders>
            <w:shd w:val="clear" w:color="auto" w:fill="auto"/>
          </w:tcPr>
          <w:p w14:paraId="7C017ED8" w14:textId="77777777" w:rsidR="00173728" w:rsidRPr="00747E35" w:rsidRDefault="00173728" w:rsidP="0096743A">
            <w:pPr>
              <w:pStyle w:val="Tabletext"/>
              <w:spacing w:before="0" w:after="0"/>
              <w:rPr>
                <w:rFonts w:cstheme="minorHAnsi"/>
                <w:szCs w:val="18"/>
              </w:rPr>
            </w:pPr>
            <w:r w:rsidRPr="00747E35">
              <w:rPr>
                <w:rFonts w:cstheme="minorHAnsi"/>
                <w:szCs w:val="18"/>
              </w:rPr>
              <w:t>Variability in assemblage composition among sampling units for a given area.</w:t>
            </w:r>
          </w:p>
        </w:tc>
      </w:tr>
      <w:tr w:rsidR="00173728" w:rsidRPr="00747E35" w14:paraId="5680589E"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2F3512C1" w14:textId="77777777" w:rsidR="00173728" w:rsidRPr="00747E35" w:rsidRDefault="00173728" w:rsidP="0096743A">
            <w:pPr>
              <w:pStyle w:val="Tabletext"/>
              <w:spacing w:before="0" w:after="0"/>
              <w:rPr>
                <w:rFonts w:cstheme="minorHAnsi"/>
                <w:szCs w:val="18"/>
              </w:rPr>
            </w:pPr>
            <w:r w:rsidRPr="00747E35">
              <w:rPr>
                <w:rFonts w:cstheme="minorHAnsi"/>
                <w:szCs w:val="18"/>
              </w:rPr>
              <w:t>Autochthonous</w:t>
            </w:r>
          </w:p>
        </w:tc>
        <w:tc>
          <w:tcPr>
            <w:tcW w:w="7399" w:type="dxa"/>
            <w:tcBorders>
              <w:top w:val="nil"/>
              <w:left w:val="nil"/>
              <w:bottom w:val="single" w:sz="4" w:space="0" w:color="auto"/>
              <w:right w:val="single" w:sz="4" w:space="0" w:color="auto"/>
            </w:tcBorders>
            <w:shd w:val="clear" w:color="auto" w:fill="auto"/>
          </w:tcPr>
          <w:p w14:paraId="221D3B80" w14:textId="77777777" w:rsidR="00173728" w:rsidRPr="00747E35" w:rsidRDefault="00173728" w:rsidP="0096743A">
            <w:pPr>
              <w:pStyle w:val="Tabletext"/>
              <w:spacing w:before="0" w:after="0"/>
              <w:rPr>
                <w:rFonts w:cstheme="minorHAnsi"/>
                <w:szCs w:val="18"/>
              </w:rPr>
            </w:pPr>
            <w:r w:rsidRPr="00747E35">
              <w:rPr>
                <w:rFonts w:cstheme="minorHAnsi"/>
                <w:szCs w:val="18"/>
              </w:rPr>
              <w:t>Having an internal origin (autotrophic production in freshwater ecosystems).</w:t>
            </w:r>
          </w:p>
        </w:tc>
      </w:tr>
      <w:tr w:rsidR="00173728" w:rsidRPr="00747E35" w14:paraId="0C68152B"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14D48B4E" w14:textId="77777777" w:rsidR="00173728" w:rsidRPr="00747E35" w:rsidRDefault="00173728" w:rsidP="0096743A">
            <w:pPr>
              <w:pStyle w:val="Tabletext"/>
              <w:spacing w:before="0" w:after="0"/>
              <w:rPr>
                <w:rFonts w:cstheme="minorHAnsi"/>
                <w:szCs w:val="18"/>
              </w:rPr>
            </w:pPr>
            <w:r w:rsidRPr="00747E35">
              <w:rPr>
                <w:rFonts w:cstheme="minorHAnsi"/>
                <w:szCs w:val="18"/>
              </w:rPr>
              <w:t>Autotroph</w:t>
            </w:r>
          </w:p>
        </w:tc>
        <w:tc>
          <w:tcPr>
            <w:tcW w:w="7399" w:type="dxa"/>
            <w:tcBorders>
              <w:top w:val="nil"/>
              <w:left w:val="nil"/>
              <w:bottom w:val="single" w:sz="4" w:space="0" w:color="auto"/>
              <w:right w:val="single" w:sz="4" w:space="0" w:color="auto"/>
            </w:tcBorders>
            <w:shd w:val="clear" w:color="auto" w:fill="auto"/>
          </w:tcPr>
          <w:p w14:paraId="38F0E403" w14:textId="77777777" w:rsidR="00173728" w:rsidRPr="00747E35" w:rsidRDefault="00173728" w:rsidP="0096743A">
            <w:pPr>
              <w:pStyle w:val="Tabletext"/>
              <w:spacing w:before="0" w:after="0"/>
              <w:rPr>
                <w:rFonts w:cstheme="minorHAnsi"/>
                <w:szCs w:val="18"/>
              </w:rPr>
            </w:pPr>
            <w:r w:rsidRPr="00747E35">
              <w:rPr>
                <w:rFonts w:cstheme="minorHAnsi"/>
                <w:szCs w:val="18"/>
              </w:rPr>
              <w:t>Organism that produces complex organic compounds from simple substances present in its surroundings, generally using energy from light or inorganic chemical reactions.</w:t>
            </w:r>
          </w:p>
        </w:tc>
      </w:tr>
      <w:tr w:rsidR="00173728" w:rsidRPr="00747E35" w14:paraId="344CA06A"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1000D071"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Baseflow </w:t>
            </w:r>
          </w:p>
        </w:tc>
        <w:tc>
          <w:tcPr>
            <w:tcW w:w="7399" w:type="dxa"/>
            <w:tcBorders>
              <w:top w:val="nil"/>
              <w:left w:val="nil"/>
              <w:bottom w:val="single" w:sz="4" w:space="0" w:color="auto"/>
              <w:right w:val="single" w:sz="4" w:space="0" w:color="auto"/>
            </w:tcBorders>
            <w:shd w:val="clear" w:color="auto" w:fill="auto"/>
          </w:tcPr>
          <w:p w14:paraId="0A492CE9" w14:textId="7C4C8F7F" w:rsidR="00173728" w:rsidRPr="00747E35" w:rsidRDefault="00173728" w:rsidP="0096743A">
            <w:pPr>
              <w:pStyle w:val="Tabletext"/>
              <w:spacing w:before="0" w:after="0"/>
              <w:rPr>
                <w:rFonts w:cstheme="minorHAnsi"/>
                <w:szCs w:val="18"/>
              </w:rPr>
            </w:pPr>
            <w:r w:rsidRPr="00747E35">
              <w:rPr>
                <w:rFonts w:cstheme="minorHAnsi"/>
                <w:szCs w:val="18"/>
              </w:rPr>
              <w:t xml:space="preserve">The portion of streamflow not influenced by precipitation or overland flow but from deep </w:t>
            </w:r>
            <w:r w:rsidR="006B2C7A">
              <w:rPr>
                <w:rFonts w:cstheme="minorHAnsi"/>
                <w:szCs w:val="18"/>
              </w:rPr>
              <w:t>subsurface</w:t>
            </w:r>
            <w:r w:rsidRPr="00747E35">
              <w:rPr>
                <w:rFonts w:cstheme="minorHAnsi"/>
                <w:szCs w:val="18"/>
              </w:rPr>
              <w:t xml:space="preserve"> flow paths and delayed shallow </w:t>
            </w:r>
            <w:r w:rsidR="006B2C7A">
              <w:rPr>
                <w:rFonts w:cstheme="minorHAnsi"/>
                <w:szCs w:val="18"/>
              </w:rPr>
              <w:t>subsurface</w:t>
            </w:r>
            <w:r w:rsidRPr="00747E35">
              <w:rPr>
                <w:rFonts w:cstheme="minorHAnsi"/>
                <w:szCs w:val="18"/>
              </w:rPr>
              <w:t xml:space="preserve"> flow.</w:t>
            </w:r>
          </w:p>
        </w:tc>
      </w:tr>
      <w:tr w:rsidR="00173728" w:rsidRPr="00747E35" w14:paraId="44ABC750"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AB2DE11" w14:textId="77777777" w:rsidR="00173728" w:rsidRPr="00747E35" w:rsidRDefault="00173728" w:rsidP="0096743A">
            <w:pPr>
              <w:pStyle w:val="Tabletext"/>
              <w:spacing w:before="0" w:after="0"/>
              <w:rPr>
                <w:rFonts w:cstheme="minorHAnsi"/>
                <w:szCs w:val="18"/>
              </w:rPr>
            </w:pPr>
            <w:r w:rsidRPr="00747E35">
              <w:rPr>
                <w:rFonts w:cstheme="minorHAnsi"/>
                <w:szCs w:val="18"/>
              </w:rPr>
              <w:t>Biodiversity</w:t>
            </w:r>
          </w:p>
        </w:tc>
        <w:tc>
          <w:tcPr>
            <w:tcW w:w="7399" w:type="dxa"/>
            <w:tcBorders>
              <w:top w:val="nil"/>
              <w:left w:val="nil"/>
              <w:bottom w:val="single" w:sz="4" w:space="0" w:color="auto"/>
              <w:right w:val="single" w:sz="4" w:space="0" w:color="auto"/>
            </w:tcBorders>
            <w:shd w:val="clear" w:color="auto" w:fill="auto"/>
          </w:tcPr>
          <w:p w14:paraId="3AFE3108" w14:textId="77777777" w:rsidR="00173728" w:rsidRPr="00747E35" w:rsidRDefault="00173728" w:rsidP="0096743A">
            <w:pPr>
              <w:pStyle w:val="Tabletext"/>
              <w:spacing w:before="0" w:after="0"/>
              <w:rPr>
                <w:rFonts w:cstheme="minorHAnsi"/>
                <w:szCs w:val="18"/>
              </w:rPr>
            </w:pPr>
            <w:r w:rsidRPr="00747E35">
              <w:rPr>
                <w:rFonts w:cstheme="minorHAnsi"/>
                <w:szCs w:val="18"/>
              </w:rPr>
              <w:t>Variation of life at all levels of biological organisation (molecular, genetic, species, and ecosystems) within a given area.</w:t>
            </w:r>
          </w:p>
        </w:tc>
      </w:tr>
      <w:tr w:rsidR="00173728" w:rsidRPr="00747E35" w14:paraId="30BDA274"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0D0A25E0"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Biofilm </w:t>
            </w:r>
          </w:p>
        </w:tc>
        <w:tc>
          <w:tcPr>
            <w:tcW w:w="7399" w:type="dxa"/>
            <w:tcBorders>
              <w:top w:val="nil"/>
              <w:left w:val="nil"/>
              <w:bottom w:val="single" w:sz="4" w:space="0" w:color="auto"/>
              <w:right w:val="single" w:sz="4" w:space="0" w:color="auto"/>
            </w:tcBorders>
            <w:shd w:val="clear" w:color="auto" w:fill="auto"/>
          </w:tcPr>
          <w:p w14:paraId="595BC5BC" w14:textId="77777777" w:rsidR="00173728" w:rsidRPr="00747E35" w:rsidRDefault="00173728" w:rsidP="0096743A">
            <w:pPr>
              <w:pStyle w:val="Tabletext"/>
              <w:spacing w:before="0" w:after="0"/>
              <w:rPr>
                <w:rFonts w:cstheme="minorHAnsi"/>
                <w:szCs w:val="18"/>
              </w:rPr>
            </w:pPr>
            <w:r w:rsidRPr="00747E35">
              <w:rPr>
                <w:rFonts w:cstheme="minorHAnsi"/>
                <w:szCs w:val="18"/>
              </w:rPr>
              <w:t>A diverse assemblage of bacteria, fungi, and algae, which exists in complex, three-dimensional matrices attached to benthic and other substrates.</w:t>
            </w:r>
          </w:p>
        </w:tc>
      </w:tr>
      <w:tr w:rsidR="00173728" w:rsidRPr="00747E35" w14:paraId="0FD0D5E8"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60DF7DB" w14:textId="77777777" w:rsidR="00173728" w:rsidRPr="00747E35" w:rsidRDefault="00173728" w:rsidP="0096743A">
            <w:pPr>
              <w:pStyle w:val="Tabletext"/>
              <w:spacing w:before="0" w:after="0"/>
              <w:rPr>
                <w:rFonts w:cstheme="minorHAnsi"/>
                <w:szCs w:val="18"/>
              </w:rPr>
            </w:pPr>
            <w:r w:rsidRPr="00747E35">
              <w:rPr>
                <w:rFonts w:cstheme="minorHAnsi"/>
                <w:szCs w:val="18"/>
              </w:rPr>
              <w:t>Biogeochemistry</w:t>
            </w:r>
          </w:p>
        </w:tc>
        <w:tc>
          <w:tcPr>
            <w:tcW w:w="7399" w:type="dxa"/>
            <w:tcBorders>
              <w:top w:val="nil"/>
              <w:left w:val="nil"/>
              <w:bottom w:val="single" w:sz="4" w:space="0" w:color="auto"/>
              <w:right w:val="single" w:sz="4" w:space="0" w:color="auto"/>
            </w:tcBorders>
            <w:shd w:val="clear" w:color="auto" w:fill="auto"/>
          </w:tcPr>
          <w:p w14:paraId="10EA83D9" w14:textId="77777777" w:rsidR="00173728" w:rsidRPr="00747E35" w:rsidRDefault="00173728" w:rsidP="0096743A">
            <w:pPr>
              <w:pStyle w:val="Tabletext"/>
              <w:spacing w:before="0" w:after="0"/>
              <w:rPr>
                <w:rFonts w:cstheme="minorHAnsi"/>
                <w:szCs w:val="18"/>
              </w:rPr>
            </w:pPr>
            <w:r w:rsidRPr="00747E35">
              <w:rPr>
                <w:rFonts w:cstheme="minorHAnsi"/>
                <w:szCs w:val="18"/>
              </w:rPr>
              <w:t>The chemical, physical, geological, and biological processes and reactions that shape the composition of the natural environment (in this report mainly referring to the hydrosphere).</w:t>
            </w:r>
          </w:p>
        </w:tc>
      </w:tr>
      <w:tr w:rsidR="00173728" w:rsidRPr="00747E35" w14:paraId="7B8F91FC"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59AACFFD" w14:textId="77777777" w:rsidR="00173728" w:rsidRPr="00747E35" w:rsidRDefault="00173728" w:rsidP="0096743A">
            <w:pPr>
              <w:pStyle w:val="Tabletext"/>
              <w:spacing w:before="0" w:after="0"/>
              <w:rPr>
                <w:rFonts w:cstheme="minorHAnsi"/>
                <w:szCs w:val="18"/>
              </w:rPr>
            </w:pPr>
            <w:r w:rsidRPr="00747E35">
              <w:rPr>
                <w:rFonts w:cstheme="minorHAnsi"/>
                <w:szCs w:val="18"/>
              </w:rPr>
              <w:t>Canopy cover</w:t>
            </w:r>
          </w:p>
        </w:tc>
        <w:tc>
          <w:tcPr>
            <w:tcW w:w="7399" w:type="dxa"/>
            <w:tcBorders>
              <w:top w:val="nil"/>
              <w:left w:val="nil"/>
              <w:bottom w:val="single" w:sz="4" w:space="0" w:color="auto"/>
              <w:right w:val="single" w:sz="4" w:space="0" w:color="auto"/>
            </w:tcBorders>
            <w:shd w:val="clear" w:color="auto" w:fill="auto"/>
          </w:tcPr>
          <w:p w14:paraId="08FA0B49" w14:textId="77777777" w:rsidR="00173728" w:rsidRPr="00747E35" w:rsidRDefault="00173728" w:rsidP="0096743A">
            <w:pPr>
              <w:pStyle w:val="Tabletext"/>
              <w:spacing w:before="0" w:after="0"/>
              <w:rPr>
                <w:rFonts w:cstheme="minorHAnsi"/>
                <w:szCs w:val="18"/>
              </w:rPr>
            </w:pPr>
            <w:r w:rsidRPr="00747E35">
              <w:rPr>
                <w:rFonts w:cstheme="minorHAnsi"/>
                <w:szCs w:val="18"/>
              </w:rPr>
              <w:t>The proportion of the forest floor covered by the vertical projection of the tree crowns from the trees in upper vegetation layer within a forest or woodland.</w:t>
            </w:r>
          </w:p>
        </w:tc>
      </w:tr>
      <w:tr w:rsidR="00173728" w:rsidRPr="00747E35" w14:paraId="56D7646C"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4DE05FAA" w14:textId="77777777" w:rsidR="00173728" w:rsidRPr="00747E35" w:rsidRDefault="00173728" w:rsidP="0096743A">
            <w:pPr>
              <w:pStyle w:val="Tabletext"/>
              <w:spacing w:before="0" w:after="0"/>
              <w:rPr>
                <w:rFonts w:cstheme="minorHAnsi"/>
                <w:szCs w:val="18"/>
              </w:rPr>
            </w:pPr>
            <w:r w:rsidRPr="00747E35">
              <w:rPr>
                <w:rFonts w:cstheme="minorHAnsi"/>
                <w:szCs w:val="18"/>
              </w:rPr>
              <w:t>Capillary fringe</w:t>
            </w:r>
          </w:p>
        </w:tc>
        <w:tc>
          <w:tcPr>
            <w:tcW w:w="7399" w:type="dxa"/>
            <w:tcBorders>
              <w:top w:val="nil"/>
              <w:left w:val="nil"/>
              <w:bottom w:val="single" w:sz="4" w:space="0" w:color="auto"/>
              <w:right w:val="single" w:sz="4" w:space="0" w:color="auto"/>
            </w:tcBorders>
            <w:shd w:val="clear" w:color="auto" w:fill="auto"/>
          </w:tcPr>
          <w:p w14:paraId="33C2E4FC" w14:textId="77777777" w:rsidR="00173728" w:rsidRPr="00747E35" w:rsidRDefault="00173728" w:rsidP="0096743A">
            <w:pPr>
              <w:pStyle w:val="Tabletext"/>
              <w:spacing w:before="0" w:after="0"/>
              <w:rPr>
                <w:rFonts w:cstheme="minorHAnsi"/>
                <w:szCs w:val="18"/>
              </w:rPr>
            </w:pPr>
            <w:r w:rsidRPr="00747E35">
              <w:rPr>
                <w:rStyle w:val="tgc"/>
                <w:rFonts w:cstheme="minorHAnsi"/>
                <w:szCs w:val="18"/>
              </w:rPr>
              <w:t>Part of the unsaturated zone where groundwater is rising up from the water table by capillary forces.</w:t>
            </w:r>
          </w:p>
        </w:tc>
      </w:tr>
      <w:tr w:rsidR="00173728" w:rsidRPr="00747E35" w14:paraId="36FE9775"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20346B03" w14:textId="77777777" w:rsidR="00173728" w:rsidRPr="00747E35" w:rsidRDefault="00173728" w:rsidP="0096743A">
            <w:pPr>
              <w:pStyle w:val="Tabletext"/>
              <w:spacing w:before="0" w:after="0"/>
              <w:rPr>
                <w:rFonts w:cstheme="minorHAnsi"/>
                <w:szCs w:val="18"/>
              </w:rPr>
            </w:pPr>
            <w:r w:rsidRPr="00747E35">
              <w:rPr>
                <w:rFonts w:cstheme="minorHAnsi"/>
                <w:szCs w:val="18"/>
              </w:rPr>
              <w:t>Chlorophyll a</w:t>
            </w:r>
          </w:p>
        </w:tc>
        <w:tc>
          <w:tcPr>
            <w:tcW w:w="7399" w:type="dxa"/>
            <w:tcBorders>
              <w:top w:val="nil"/>
              <w:left w:val="nil"/>
              <w:bottom w:val="single" w:sz="4" w:space="0" w:color="auto"/>
              <w:right w:val="single" w:sz="4" w:space="0" w:color="auto"/>
            </w:tcBorders>
            <w:shd w:val="clear" w:color="auto" w:fill="auto"/>
          </w:tcPr>
          <w:p w14:paraId="15FA1B86" w14:textId="77777777" w:rsidR="00173728" w:rsidRPr="00747E35" w:rsidRDefault="00173728" w:rsidP="0096743A">
            <w:pPr>
              <w:pStyle w:val="Tabletext"/>
              <w:spacing w:before="0" w:after="0"/>
              <w:rPr>
                <w:rFonts w:cstheme="minorHAnsi"/>
                <w:szCs w:val="18"/>
              </w:rPr>
            </w:pPr>
            <w:r w:rsidRPr="00747E35">
              <w:rPr>
                <w:rFonts w:cstheme="minorHAnsi"/>
                <w:szCs w:val="18"/>
              </w:rPr>
              <w:t>A green pigment, present in all green plants and in cyanobacteria, which is responsible for the absorption of light to provide energy for photosynthesis.</w:t>
            </w:r>
          </w:p>
        </w:tc>
      </w:tr>
      <w:tr w:rsidR="00173728" w:rsidRPr="00747E35" w14:paraId="5266B031"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60052AAF" w14:textId="77777777" w:rsidR="00173728" w:rsidRPr="00747E35" w:rsidRDefault="00173728" w:rsidP="0096743A">
            <w:pPr>
              <w:pStyle w:val="Tabletext"/>
              <w:spacing w:before="0" w:after="0"/>
              <w:rPr>
                <w:rFonts w:cstheme="minorHAnsi"/>
                <w:szCs w:val="18"/>
              </w:rPr>
            </w:pPr>
            <w:r w:rsidRPr="00747E35">
              <w:rPr>
                <w:rFonts w:cstheme="minorHAnsi"/>
                <w:szCs w:val="18"/>
              </w:rPr>
              <w:t>Consumer</w:t>
            </w:r>
          </w:p>
        </w:tc>
        <w:tc>
          <w:tcPr>
            <w:tcW w:w="7399" w:type="dxa"/>
            <w:tcBorders>
              <w:top w:val="nil"/>
              <w:left w:val="nil"/>
              <w:bottom w:val="single" w:sz="4" w:space="0" w:color="auto"/>
              <w:right w:val="single" w:sz="4" w:space="0" w:color="auto"/>
            </w:tcBorders>
            <w:shd w:val="clear" w:color="auto" w:fill="auto"/>
          </w:tcPr>
          <w:p w14:paraId="41436AD8" w14:textId="77777777" w:rsidR="00173728" w:rsidRPr="00747E35" w:rsidRDefault="00173728" w:rsidP="0096743A">
            <w:pPr>
              <w:pStyle w:val="Tabletext"/>
              <w:spacing w:before="0" w:after="0"/>
              <w:rPr>
                <w:rFonts w:cstheme="minorHAnsi"/>
                <w:szCs w:val="18"/>
              </w:rPr>
            </w:pPr>
            <w:r w:rsidRPr="00747E35">
              <w:rPr>
                <w:rFonts w:cstheme="minorHAnsi"/>
                <w:szCs w:val="18"/>
              </w:rPr>
              <w:t>An organism that has obtained resources (i.e. energy) from other organisms.</w:t>
            </w:r>
          </w:p>
        </w:tc>
      </w:tr>
      <w:tr w:rsidR="00173728" w:rsidRPr="00747E35" w14:paraId="399B4BC5"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48822BD4" w14:textId="77777777" w:rsidR="00173728" w:rsidRPr="00747E35" w:rsidRDefault="00173728" w:rsidP="0096743A">
            <w:pPr>
              <w:pStyle w:val="Tabletext"/>
              <w:spacing w:before="0" w:after="0"/>
              <w:rPr>
                <w:rFonts w:cstheme="minorHAnsi"/>
                <w:szCs w:val="18"/>
              </w:rPr>
            </w:pPr>
            <w:r w:rsidRPr="00747E35">
              <w:rPr>
                <w:rFonts w:cstheme="minorHAnsi"/>
                <w:szCs w:val="18"/>
              </w:rPr>
              <w:t>Crenophile</w:t>
            </w:r>
          </w:p>
        </w:tc>
        <w:tc>
          <w:tcPr>
            <w:tcW w:w="7399" w:type="dxa"/>
            <w:tcBorders>
              <w:top w:val="nil"/>
              <w:left w:val="nil"/>
              <w:bottom w:val="single" w:sz="4" w:space="0" w:color="auto"/>
              <w:right w:val="single" w:sz="4" w:space="0" w:color="auto"/>
            </w:tcBorders>
            <w:shd w:val="clear" w:color="auto" w:fill="auto"/>
          </w:tcPr>
          <w:p w14:paraId="44D850A9" w14:textId="77777777" w:rsidR="00173728" w:rsidRPr="00747E35" w:rsidRDefault="00173728" w:rsidP="0096743A">
            <w:pPr>
              <w:pStyle w:val="Tabletext"/>
              <w:spacing w:before="0" w:after="0"/>
              <w:rPr>
                <w:rFonts w:cstheme="minorHAnsi"/>
                <w:szCs w:val="18"/>
              </w:rPr>
            </w:pPr>
            <w:r w:rsidRPr="00747E35">
              <w:rPr>
                <w:rFonts w:cstheme="minorHAnsi"/>
                <w:szCs w:val="18"/>
              </w:rPr>
              <w:t>An organism preferring spring environments and unlikely to persist elsewhere.</w:t>
            </w:r>
          </w:p>
        </w:tc>
      </w:tr>
      <w:tr w:rsidR="00173728" w:rsidRPr="00747E35" w14:paraId="0655151D"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15B69F62" w14:textId="77777777" w:rsidR="00173728" w:rsidRPr="00747E35" w:rsidRDefault="00173728" w:rsidP="0096743A">
            <w:pPr>
              <w:pStyle w:val="Tabletext"/>
              <w:spacing w:before="0" w:after="0"/>
              <w:rPr>
                <w:rFonts w:cstheme="minorHAnsi"/>
                <w:szCs w:val="18"/>
              </w:rPr>
            </w:pPr>
            <w:r w:rsidRPr="00747E35">
              <w:rPr>
                <w:rFonts w:cstheme="minorHAnsi"/>
                <w:szCs w:val="18"/>
              </w:rPr>
              <w:t>Cumulative impacts</w:t>
            </w:r>
          </w:p>
        </w:tc>
        <w:tc>
          <w:tcPr>
            <w:tcW w:w="7399" w:type="dxa"/>
            <w:tcBorders>
              <w:top w:val="nil"/>
              <w:left w:val="nil"/>
              <w:bottom w:val="single" w:sz="4" w:space="0" w:color="auto"/>
              <w:right w:val="single" w:sz="4" w:space="0" w:color="auto"/>
            </w:tcBorders>
            <w:shd w:val="clear" w:color="auto" w:fill="auto"/>
          </w:tcPr>
          <w:p w14:paraId="1A0D2BC6" w14:textId="77777777" w:rsidR="00173728" w:rsidRPr="00747E35" w:rsidRDefault="00173728" w:rsidP="0096743A">
            <w:pPr>
              <w:pStyle w:val="Tabletext"/>
              <w:spacing w:before="0" w:after="0"/>
              <w:rPr>
                <w:rFonts w:cstheme="minorHAnsi"/>
                <w:szCs w:val="18"/>
              </w:rPr>
            </w:pPr>
            <w:r w:rsidRPr="00747E35">
              <w:rPr>
                <w:rFonts w:cstheme="minorHAnsi"/>
                <w:szCs w:val="18"/>
              </w:rPr>
              <w:t>Combined effects of multiple, potentially interacting threats.</w:t>
            </w:r>
          </w:p>
        </w:tc>
      </w:tr>
      <w:tr w:rsidR="00173728" w:rsidRPr="00747E35" w14:paraId="53A26112"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0917A645" w14:textId="77777777" w:rsidR="00173728" w:rsidRPr="00747E35" w:rsidRDefault="00173728" w:rsidP="0096743A">
            <w:pPr>
              <w:pStyle w:val="Tabletext"/>
              <w:spacing w:before="0" w:after="0"/>
              <w:rPr>
                <w:rFonts w:cstheme="minorHAnsi"/>
                <w:szCs w:val="18"/>
              </w:rPr>
            </w:pPr>
            <w:r w:rsidRPr="00747E35">
              <w:rPr>
                <w:rFonts w:cstheme="minorHAnsi"/>
                <w:szCs w:val="18"/>
              </w:rPr>
              <w:t>Cumulative risk assessment</w:t>
            </w:r>
          </w:p>
        </w:tc>
        <w:tc>
          <w:tcPr>
            <w:tcW w:w="7399" w:type="dxa"/>
            <w:tcBorders>
              <w:top w:val="nil"/>
              <w:left w:val="nil"/>
              <w:bottom w:val="single" w:sz="4" w:space="0" w:color="auto"/>
              <w:right w:val="single" w:sz="4" w:space="0" w:color="auto"/>
            </w:tcBorders>
            <w:shd w:val="clear" w:color="auto" w:fill="auto"/>
          </w:tcPr>
          <w:p w14:paraId="6B526966" w14:textId="77777777" w:rsidR="00173728" w:rsidRPr="00747E35" w:rsidRDefault="00173728" w:rsidP="0096743A">
            <w:pPr>
              <w:pStyle w:val="Tabletext"/>
              <w:spacing w:before="0" w:after="0"/>
              <w:rPr>
                <w:rFonts w:cstheme="minorHAnsi"/>
                <w:szCs w:val="18"/>
              </w:rPr>
            </w:pPr>
            <w:r w:rsidRPr="00747E35">
              <w:rPr>
                <w:rFonts w:cstheme="minorHAnsi"/>
                <w:szCs w:val="18"/>
              </w:rPr>
              <w:t>Analysis, characterization, and quantification of the combined risks to the environment from multiple stressors.</w:t>
            </w:r>
          </w:p>
        </w:tc>
      </w:tr>
      <w:tr w:rsidR="00173728" w:rsidRPr="00747E35" w14:paraId="00B23919"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1772C27D" w14:textId="77777777" w:rsidR="00173728" w:rsidRPr="00747E35" w:rsidRDefault="00173728" w:rsidP="0096743A">
            <w:pPr>
              <w:pStyle w:val="Tabletext"/>
              <w:spacing w:before="0" w:after="0"/>
              <w:rPr>
                <w:rFonts w:cstheme="minorHAnsi"/>
                <w:szCs w:val="18"/>
              </w:rPr>
            </w:pPr>
            <w:r w:rsidRPr="00747E35">
              <w:rPr>
                <w:rFonts w:cstheme="minorHAnsi"/>
                <w:szCs w:val="18"/>
              </w:rPr>
              <w:t>Dendrometer</w:t>
            </w:r>
          </w:p>
        </w:tc>
        <w:tc>
          <w:tcPr>
            <w:tcW w:w="7399" w:type="dxa"/>
            <w:tcBorders>
              <w:top w:val="nil"/>
              <w:left w:val="nil"/>
              <w:bottom w:val="single" w:sz="4" w:space="0" w:color="auto"/>
              <w:right w:val="single" w:sz="4" w:space="0" w:color="auto"/>
            </w:tcBorders>
            <w:shd w:val="clear" w:color="auto" w:fill="auto"/>
          </w:tcPr>
          <w:p w14:paraId="289BEBCF" w14:textId="77777777" w:rsidR="00173728" w:rsidRPr="00747E35" w:rsidRDefault="00173728" w:rsidP="0096743A">
            <w:pPr>
              <w:pStyle w:val="Tabletext"/>
              <w:spacing w:before="0" w:after="0"/>
              <w:rPr>
                <w:rFonts w:cstheme="minorHAnsi"/>
                <w:szCs w:val="18"/>
              </w:rPr>
            </w:pPr>
            <w:r w:rsidRPr="00747E35">
              <w:rPr>
                <w:rFonts w:cstheme="minorHAnsi"/>
                <w:szCs w:val="18"/>
              </w:rPr>
              <w:t>A device for monitoring variations in the girth of a tree trunk, usually a steel band that fits around the trunk and measures changes in stem diameter, either manually or automatically.</w:t>
            </w:r>
          </w:p>
        </w:tc>
      </w:tr>
      <w:tr w:rsidR="00173728" w:rsidRPr="00747E35" w14:paraId="5AB19FE0"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50451FD7" w14:textId="77777777" w:rsidR="00173728" w:rsidRPr="00747E35" w:rsidRDefault="00173728" w:rsidP="0096743A">
            <w:pPr>
              <w:pStyle w:val="Tabletext"/>
              <w:spacing w:before="0" w:after="0"/>
              <w:rPr>
                <w:rFonts w:cstheme="minorHAnsi"/>
                <w:szCs w:val="18"/>
              </w:rPr>
            </w:pPr>
            <w:r w:rsidRPr="00747E35">
              <w:rPr>
                <w:rFonts w:cstheme="minorHAnsi"/>
                <w:szCs w:val="18"/>
              </w:rPr>
              <w:t>Denitrification</w:t>
            </w:r>
          </w:p>
        </w:tc>
        <w:tc>
          <w:tcPr>
            <w:tcW w:w="7399" w:type="dxa"/>
            <w:tcBorders>
              <w:top w:val="nil"/>
              <w:left w:val="nil"/>
              <w:bottom w:val="single" w:sz="4" w:space="0" w:color="auto"/>
              <w:right w:val="single" w:sz="4" w:space="0" w:color="auto"/>
            </w:tcBorders>
            <w:shd w:val="clear" w:color="auto" w:fill="auto"/>
          </w:tcPr>
          <w:p w14:paraId="06E357F2" w14:textId="77777777" w:rsidR="00173728" w:rsidRPr="00747E35" w:rsidRDefault="00173728" w:rsidP="0096743A">
            <w:pPr>
              <w:pStyle w:val="Tabletext"/>
              <w:spacing w:before="0" w:after="0"/>
              <w:rPr>
                <w:rFonts w:cstheme="minorHAnsi"/>
                <w:szCs w:val="18"/>
              </w:rPr>
            </w:pPr>
            <w:r w:rsidRPr="00747E35">
              <w:rPr>
                <w:rFonts w:cstheme="minorHAnsi"/>
                <w:szCs w:val="18"/>
              </w:rPr>
              <w:t>The microbial transformation of nitrate (NO</w:t>
            </w:r>
            <w:r w:rsidRPr="00747E35">
              <w:rPr>
                <w:rFonts w:cstheme="minorHAnsi"/>
                <w:szCs w:val="18"/>
                <w:vertAlign w:val="subscript"/>
              </w:rPr>
              <w:t>3</w:t>
            </w:r>
            <w:r w:rsidRPr="00747E35">
              <w:rPr>
                <w:rFonts w:cstheme="minorHAnsi"/>
                <w:szCs w:val="18"/>
                <w:vertAlign w:val="superscript"/>
              </w:rPr>
              <w:t>-</w:t>
            </w:r>
            <w:r w:rsidRPr="00747E35">
              <w:rPr>
                <w:rFonts w:cstheme="minorHAnsi"/>
                <w:szCs w:val="18"/>
              </w:rPr>
              <w:t>) and nitrite (NO</w:t>
            </w:r>
            <w:r w:rsidRPr="00747E35">
              <w:rPr>
                <w:rFonts w:cstheme="minorHAnsi"/>
                <w:szCs w:val="18"/>
                <w:vertAlign w:val="subscript"/>
              </w:rPr>
              <w:t>2</w:t>
            </w:r>
            <w:r w:rsidRPr="00747E35">
              <w:rPr>
                <w:rFonts w:cstheme="minorHAnsi"/>
                <w:szCs w:val="18"/>
                <w:vertAlign w:val="superscript"/>
              </w:rPr>
              <w:t>-</w:t>
            </w:r>
            <w:r w:rsidRPr="00747E35">
              <w:rPr>
                <w:rFonts w:cstheme="minorHAnsi"/>
                <w:szCs w:val="18"/>
              </w:rPr>
              <w:t>) by reduction to gaseous molecular nitrogen (N</w:t>
            </w:r>
            <w:r w:rsidRPr="00747E35">
              <w:rPr>
                <w:rFonts w:cstheme="minorHAnsi"/>
                <w:szCs w:val="18"/>
                <w:vertAlign w:val="subscript"/>
              </w:rPr>
              <w:t>2</w:t>
            </w:r>
            <w:r w:rsidRPr="00747E35">
              <w:rPr>
                <w:rFonts w:cstheme="minorHAnsi"/>
                <w:szCs w:val="18"/>
              </w:rPr>
              <w:t>(g)).</w:t>
            </w:r>
          </w:p>
        </w:tc>
      </w:tr>
      <w:tr w:rsidR="00173728" w:rsidRPr="00747E35" w14:paraId="00179C21"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6B4F40B8" w14:textId="77777777" w:rsidR="00173728" w:rsidRPr="00747E35" w:rsidRDefault="00173728" w:rsidP="0096743A">
            <w:pPr>
              <w:pStyle w:val="Tabletext"/>
              <w:spacing w:before="0" w:after="0"/>
              <w:rPr>
                <w:rFonts w:cstheme="minorHAnsi"/>
                <w:szCs w:val="18"/>
              </w:rPr>
            </w:pPr>
            <w:r w:rsidRPr="00747E35">
              <w:rPr>
                <w:rFonts w:cstheme="minorHAnsi"/>
                <w:szCs w:val="18"/>
              </w:rPr>
              <w:t>Diatoms</w:t>
            </w:r>
          </w:p>
        </w:tc>
        <w:tc>
          <w:tcPr>
            <w:tcW w:w="7399" w:type="dxa"/>
            <w:tcBorders>
              <w:top w:val="nil"/>
              <w:left w:val="nil"/>
              <w:bottom w:val="single" w:sz="4" w:space="0" w:color="auto"/>
              <w:right w:val="single" w:sz="4" w:space="0" w:color="auto"/>
            </w:tcBorders>
            <w:shd w:val="clear" w:color="auto" w:fill="auto"/>
          </w:tcPr>
          <w:p w14:paraId="5A72C5B5" w14:textId="77777777" w:rsidR="00173728" w:rsidRPr="00747E35" w:rsidRDefault="00173728" w:rsidP="0096743A">
            <w:pPr>
              <w:pStyle w:val="Tabletext"/>
              <w:spacing w:before="0" w:after="0"/>
              <w:rPr>
                <w:rFonts w:cstheme="minorHAnsi"/>
                <w:szCs w:val="18"/>
              </w:rPr>
            </w:pPr>
            <w:r w:rsidRPr="00747E35">
              <w:rPr>
                <w:rFonts w:cstheme="minorHAnsi"/>
                <w:szCs w:val="18"/>
              </w:rPr>
              <w:t>Algae with distinctive, transparent cell walls made of silica.</w:t>
            </w:r>
          </w:p>
        </w:tc>
      </w:tr>
      <w:tr w:rsidR="00173728" w:rsidRPr="00747E35" w14:paraId="19F30DA8"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24CD5CA1" w14:textId="77777777" w:rsidR="00173728" w:rsidRPr="00747E35" w:rsidRDefault="00173728" w:rsidP="0096743A">
            <w:pPr>
              <w:pStyle w:val="Tabletext"/>
              <w:spacing w:before="0" w:after="0"/>
              <w:rPr>
                <w:rFonts w:cstheme="minorHAnsi"/>
                <w:szCs w:val="18"/>
              </w:rPr>
            </w:pPr>
            <w:r w:rsidRPr="00747E35">
              <w:rPr>
                <w:rFonts w:cstheme="minorHAnsi"/>
                <w:szCs w:val="18"/>
              </w:rPr>
              <w:t>Diel</w:t>
            </w:r>
          </w:p>
        </w:tc>
        <w:tc>
          <w:tcPr>
            <w:tcW w:w="7399" w:type="dxa"/>
            <w:tcBorders>
              <w:top w:val="nil"/>
              <w:left w:val="nil"/>
              <w:bottom w:val="single" w:sz="4" w:space="0" w:color="auto"/>
              <w:right w:val="single" w:sz="4" w:space="0" w:color="auto"/>
            </w:tcBorders>
            <w:shd w:val="clear" w:color="auto" w:fill="auto"/>
          </w:tcPr>
          <w:p w14:paraId="756760A2" w14:textId="77777777" w:rsidR="00173728" w:rsidRPr="00747E35" w:rsidRDefault="00173728" w:rsidP="0096743A">
            <w:pPr>
              <w:pStyle w:val="Tabletext"/>
              <w:spacing w:before="0" w:after="0"/>
              <w:rPr>
                <w:rFonts w:cstheme="minorHAnsi"/>
                <w:szCs w:val="18"/>
              </w:rPr>
            </w:pPr>
            <w:r w:rsidRPr="00747E35">
              <w:rPr>
                <w:rFonts w:cstheme="minorHAnsi"/>
                <w:szCs w:val="18"/>
              </w:rPr>
              <w:t>Of or relating to a 24-hour period, especially a regular daily cycle, as of the physiology or behaviour of an organism.</w:t>
            </w:r>
          </w:p>
        </w:tc>
      </w:tr>
      <w:tr w:rsidR="00173728" w:rsidRPr="00747E35" w14:paraId="1650A10A"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1C5FA19A"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Discharge spring </w:t>
            </w:r>
          </w:p>
          <w:p w14:paraId="1BC753EF" w14:textId="77777777" w:rsidR="00173728" w:rsidRPr="00747E35" w:rsidRDefault="00173728" w:rsidP="0096743A">
            <w:pPr>
              <w:pStyle w:val="Tabletext"/>
              <w:spacing w:before="0" w:after="0"/>
              <w:rPr>
                <w:rFonts w:cstheme="minorHAnsi"/>
                <w:szCs w:val="18"/>
              </w:rPr>
            </w:pPr>
            <w:r w:rsidRPr="00747E35">
              <w:rPr>
                <w:rFonts w:cstheme="minorHAnsi"/>
                <w:szCs w:val="18"/>
              </w:rPr>
              <w:t>(also referred to as ‘artesian’ spring)</w:t>
            </w:r>
          </w:p>
        </w:tc>
        <w:tc>
          <w:tcPr>
            <w:tcW w:w="7399" w:type="dxa"/>
            <w:tcBorders>
              <w:top w:val="nil"/>
              <w:left w:val="nil"/>
              <w:bottom w:val="single" w:sz="4" w:space="0" w:color="auto"/>
              <w:right w:val="single" w:sz="4" w:space="0" w:color="auto"/>
            </w:tcBorders>
            <w:shd w:val="clear" w:color="auto" w:fill="auto"/>
          </w:tcPr>
          <w:p w14:paraId="48EBBA23" w14:textId="77777777" w:rsidR="00173728" w:rsidRPr="00747E35" w:rsidRDefault="00173728" w:rsidP="0096743A">
            <w:pPr>
              <w:pStyle w:val="Tabletext"/>
              <w:spacing w:before="0" w:after="0"/>
              <w:rPr>
                <w:rFonts w:cstheme="minorHAnsi"/>
                <w:szCs w:val="18"/>
              </w:rPr>
            </w:pPr>
            <w:r w:rsidRPr="00747E35">
              <w:rPr>
                <w:rFonts w:cstheme="minorHAnsi"/>
                <w:szCs w:val="18"/>
              </w:rPr>
              <w:t>Groundwater outflow from confined underground aquifers in which the water has had an extremely long residence time and where the water reaches the ground surface via faults in the strata overlying the aquifer or from thin or exposed parts of the aquifer.</w:t>
            </w:r>
          </w:p>
        </w:tc>
      </w:tr>
      <w:tr w:rsidR="00173728" w:rsidRPr="00747E35" w14:paraId="632DB69F"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2E3ECBAF" w14:textId="77777777" w:rsidR="00173728" w:rsidRPr="00747E35" w:rsidRDefault="00173728" w:rsidP="0096743A">
            <w:pPr>
              <w:pStyle w:val="Tabletext"/>
              <w:spacing w:before="0" w:after="0"/>
              <w:rPr>
                <w:rFonts w:cstheme="minorHAnsi"/>
                <w:szCs w:val="18"/>
              </w:rPr>
            </w:pPr>
            <w:r w:rsidRPr="00747E35">
              <w:rPr>
                <w:rFonts w:cstheme="minorHAnsi"/>
                <w:szCs w:val="18"/>
              </w:rPr>
              <w:t>Dissolved organic matter</w:t>
            </w:r>
          </w:p>
        </w:tc>
        <w:tc>
          <w:tcPr>
            <w:tcW w:w="7399" w:type="dxa"/>
            <w:tcBorders>
              <w:top w:val="nil"/>
              <w:left w:val="nil"/>
              <w:bottom w:val="single" w:sz="4" w:space="0" w:color="auto"/>
              <w:right w:val="single" w:sz="4" w:space="0" w:color="auto"/>
            </w:tcBorders>
            <w:shd w:val="clear" w:color="auto" w:fill="auto"/>
          </w:tcPr>
          <w:p w14:paraId="3A18C441" w14:textId="77777777" w:rsidR="00173728" w:rsidRPr="00747E35" w:rsidRDefault="00173728" w:rsidP="0096743A">
            <w:pPr>
              <w:pStyle w:val="Tabletext"/>
              <w:spacing w:before="0" w:after="0"/>
              <w:rPr>
                <w:rFonts w:cstheme="minorHAnsi"/>
                <w:szCs w:val="18"/>
              </w:rPr>
            </w:pPr>
            <w:r w:rsidRPr="00747E35">
              <w:rPr>
                <w:rFonts w:cstheme="minorHAnsi"/>
                <w:szCs w:val="18"/>
              </w:rPr>
              <w:t>A broad classification for organic molecules of carbon, hydrogen, nitrogen, and phosphorus with varied origin and composition within aquatic systems. A practical definition of dissolved is all substances that pass through filter pores below 0.45 micrometers diameter.</w:t>
            </w:r>
          </w:p>
        </w:tc>
      </w:tr>
      <w:tr w:rsidR="00173728" w:rsidRPr="00747E35" w14:paraId="18C1BC93"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6BC3D6C3" w14:textId="77777777" w:rsidR="00173728" w:rsidRPr="00747E35" w:rsidRDefault="00173728" w:rsidP="0096743A">
            <w:pPr>
              <w:pStyle w:val="Tabletext"/>
              <w:spacing w:before="0" w:after="0"/>
              <w:rPr>
                <w:rFonts w:cstheme="minorHAnsi"/>
                <w:szCs w:val="18"/>
              </w:rPr>
            </w:pPr>
            <w:r w:rsidRPr="00747E35">
              <w:rPr>
                <w:rFonts w:cstheme="minorHAnsi"/>
                <w:szCs w:val="18"/>
              </w:rPr>
              <w:t>Diversity</w:t>
            </w:r>
          </w:p>
        </w:tc>
        <w:tc>
          <w:tcPr>
            <w:tcW w:w="7399" w:type="dxa"/>
            <w:tcBorders>
              <w:top w:val="nil"/>
              <w:left w:val="nil"/>
              <w:bottom w:val="single" w:sz="4" w:space="0" w:color="auto"/>
              <w:right w:val="single" w:sz="4" w:space="0" w:color="auto"/>
            </w:tcBorders>
            <w:shd w:val="clear" w:color="auto" w:fill="auto"/>
          </w:tcPr>
          <w:p w14:paraId="5312F159" w14:textId="77777777" w:rsidR="00173728" w:rsidRPr="00747E35" w:rsidRDefault="00173728" w:rsidP="0096743A">
            <w:pPr>
              <w:pStyle w:val="Tabletext"/>
              <w:spacing w:before="0" w:after="0"/>
              <w:rPr>
                <w:rFonts w:cstheme="minorHAnsi"/>
                <w:szCs w:val="18"/>
              </w:rPr>
            </w:pPr>
            <w:r w:rsidRPr="00747E35">
              <w:rPr>
                <w:rFonts w:cstheme="minorHAnsi"/>
                <w:szCs w:val="18"/>
              </w:rPr>
              <w:t>See ‘Taxonomic diversity’</w:t>
            </w:r>
          </w:p>
        </w:tc>
      </w:tr>
      <w:tr w:rsidR="00173728" w:rsidRPr="00747E35" w14:paraId="0EA1CBD7"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5B6C13B1" w14:textId="77777777" w:rsidR="00173728" w:rsidRPr="00747E35" w:rsidRDefault="00173728" w:rsidP="0096743A">
            <w:pPr>
              <w:pStyle w:val="Tabletext"/>
              <w:spacing w:before="0" w:after="0"/>
              <w:rPr>
                <w:rFonts w:cstheme="minorHAnsi"/>
                <w:szCs w:val="18"/>
              </w:rPr>
            </w:pPr>
            <w:r w:rsidRPr="00747E35">
              <w:rPr>
                <w:rFonts w:cstheme="minorHAnsi"/>
                <w:szCs w:val="18"/>
              </w:rPr>
              <w:t>Drought avoiders</w:t>
            </w:r>
          </w:p>
        </w:tc>
        <w:tc>
          <w:tcPr>
            <w:tcW w:w="7399" w:type="dxa"/>
            <w:tcBorders>
              <w:top w:val="nil"/>
              <w:left w:val="nil"/>
              <w:bottom w:val="single" w:sz="4" w:space="0" w:color="auto"/>
              <w:right w:val="single" w:sz="4" w:space="0" w:color="auto"/>
            </w:tcBorders>
            <w:shd w:val="clear" w:color="auto" w:fill="auto"/>
          </w:tcPr>
          <w:p w14:paraId="5C3C414B" w14:textId="77777777" w:rsidR="00173728" w:rsidRPr="00747E35" w:rsidRDefault="00173728" w:rsidP="0096743A">
            <w:pPr>
              <w:pStyle w:val="Tabletext"/>
              <w:spacing w:before="0" w:after="0"/>
              <w:rPr>
                <w:rFonts w:cstheme="minorHAnsi"/>
                <w:szCs w:val="18"/>
              </w:rPr>
            </w:pPr>
            <w:r w:rsidRPr="00747E35">
              <w:rPr>
                <w:rFonts w:cstheme="minorHAnsi"/>
                <w:szCs w:val="18"/>
              </w:rPr>
              <w:t>Plants that use adaptive strategies to avoid drought.</w:t>
            </w:r>
          </w:p>
        </w:tc>
      </w:tr>
      <w:tr w:rsidR="00173728" w:rsidRPr="00747E35" w14:paraId="7FA84074"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015B8AA" w14:textId="77777777" w:rsidR="00173728" w:rsidRPr="00747E35" w:rsidRDefault="00173728" w:rsidP="0096743A">
            <w:pPr>
              <w:pStyle w:val="Tabletext"/>
              <w:spacing w:before="0" w:after="0"/>
              <w:rPr>
                <w:rFonts w:cstheme="minorHAnsi"/>
                <w:szCs w:val="18"/>
              </w:rPr>
            </w:pPr>
            <w:r w:rsidRPr="00747E35">
              <w:rPr>
                <w:rFonts w:cstheme="minorHAnsi"/>
                <w:szCs w:val="18"/>
              </w:rPr>
              <w:t>Drought tolerators</w:t>
            </w:r>
          </w:p>
        </w:tc>
        <w:tc>
          <w:tcPr>
            <w:tcW w:w="7399" w:type="dxa"/>
            <w:tcBorders>
              <w:top w:val="nil"/>
              <w:left w:val="nil"/>
              <w:bottom w:val="single" w:sz="4" w:space="0" w:color="auto"/>
              <w:right w:val="single" w:sz="4" w:space="0" w:color="auto"/>
            </w:tcBorders>
            <w:shd w:val="clear" w:color="auto" w:fill="auto"/>
          </w:tcPr>
          <w:p w14:paraId="0C5A4F7E" w14:textId="77777777" w:rsidR="00173728" w:rsidRPr="00747E35" w:rsidRDefault="00173728" w:rsidP="0096743A">
            <w:pPr>
              <w:pStyle w:val="Tabletext"/>
              <w:spacing w:before="0" w:after="0"/>
              <w:rPr>
                <w:rFonts w:cstheme="minorHAnsi"/>
                <w:szCs w:val="18"/>
              </w:rPr>
            </w:pPr>
            <w:r w:rsidRPr="00747E35">
              <w:rPr>
                <w:rFonts w:cstheme="minorHAnsi"/>
                <w:szCs w:val="18"/>
              </w:rPr>
              <w:t>Plants that have developed mechanisms that allow them to tolerate dry conditions.</w:t>
            </w:r>
          </w:p>
        </w:tc>
      </w:tr>
      <w:tr w:rsidR="00173728" w:rsidRPr="00747E35" w14:paraId="02ADCF95"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4BD9E5E" w14:textId="77777777" w:rsidR="00173728" w:rsidRPr="00747E35" w:rsidRDefault="00173728" w:rsidP="0096743A">
            <w:pPr>
              <w:pStyle w:val="Tabletext"/>
              <w:spacing w:before="0" w:after="0"/>
              <w:rPr>
                <w:rFonts w:cstheme="minorHAnsi"/>
                <w:szCs w:val="18"/>
              </w:rPr>
            </w:pPr>
            <w:r w:rsidRPr="00747E35">
              <w:rPr>
                <w:rFonts w:cstheme="minorHAnsi"/>
                <w:szCs w:val="18"/>
              </w:rPr>
              <w:t>Dry gravel bed</w:t>
            </w:r>
          </w:p>
        </w:tc>
        <w:tc>
          <w:tcPr>
            <w:tcW w:w="7399" w:type="dxa"/>
            <w:tcBorders>
              <w:top w:val="nil"/>
              <w:left w:val="nil"/>
              <w:bottom w:val="single" w:sz="4" w:space="0" w:color="auto"/>
              <w:right w:val="single" w:sz="4" w:space="0" w:color="auto"/>
            </w:tcBorders>
            <w:shd w:val="clear" w:color="auto" w:fill="auto"/>
          </w:tcPr>
          <w:p w14:paraId="297182A5" w14:textId="77777777" w:rsidR="00173728" w:rsidRPr="00747E35" w:rsidRDefault="00173728" w:rsidP="0096743A">
            <w:pPr>
              <w:pStyle w:val="Tabletext"/>
              <w:spacing w:before="0" w:after="0"/>
              <w:rPr>
                <w:rFonts w:cstheme="minorHAnsi"/>
                <w:szCs w:val="18"/>
              </w:rPr>
            </w:pPr>
            <w:r w:rsidRPr="00747E35">
              <w:rPr>
                <w:rFonts w:cstheme="minorHAnsi"/>
                <w:szCs w:val="18"/>
              </w:rPr>
              <w:t>An area of coarse sediment and gravel, usually within the parafluvial zone.</w:t>
            </w:r>
          </w:p>
        </w:tc>
      </w:tr>
      <w:tr w:rsidR="00173728" w:rsidRPr="00747E35" w14:paraId="77561C5F"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61014039" w14:textId="77777777" w:rsidR="00173728" w:rsidRPr="00747E35" w:rsidRDefault="00173728" w:rsidP="0096743A">
            <w:pPr>
              <w:pStyle w:val="Tabletext"/>
              <w:spacing w:before="0" w:after="0"/>
              <w:rPr>
                <w:rFonts w:cstheme="minorHAnsi"/>
                <w:szCs w:val="18"/>
              </w:rPr>
            </w:pPr>
            <w:r w:rsidRPr="00747E35">
              <w:rPr>
                <w:rFonts w:cstheme="minorHAnsi"/>
                <w:szCs w:val="18"/>
              </w:rPr>
              <w:lastRenderedPageBreak/>
              <w:t>Ecohydrology</w:t>
            </w:r>
          </w:p>
        </w:tc>
        <w:tc>
          <w:tcPr>
            <w:tcW w:w="7399" w:type="dxa"/>
            <w:tcBorders>
              <w:top w:val="nil"/>
              <w:left w:val="nil"/>
              <w:bottom w:val="single" w:sz="4" w:space="0" w:color="auto"/>
              <w:right w:val="single" w:sz="4" w:space="0" w:color="auto"/>
            </w:tcBorders>
            <w:shd w:val="clear" w:color="auto" w:fill="auto"/>
          </w:tcPr>
          <w:p w14:paraId="0809B449" w14:textId="77777777" w:rsidR="00173728" w:rsidRPr="00747E35" w:rsidRDefault="00173728" w:rsidP="0096743A">
            <w:pPr>
              <w:pStyle w:val="Tabletext"/>
              <w:spacing w:before="0" w:after="0"/>
              <w:rPr>
                <w:rFonts w:cstheme="minorHAnsi"/>
                <w:szCs w:val="18"/>
              </w:rPr>
            </w:pPr>
            <w:r w:rsidRPr="00747E35">
              <w:rPr>
                <w:rFonts w:cstheme="minorHAnsi"/>
                <w:szCs w:val="18"/>
              </w:rPr>
              <w:t>Study of the availability and movement of water through the environment and ecosystems. See also hydroecology.</w:t>
            </w:r>
          </w:p>
        </w:tc>
      </w:tr>
      <w:tr w:rsidR="00173728" w:rsidRPr="00747E35" w14:paraId="6D629279"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3D8B7022"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Ecology </w:t>
            </w:r>
          </w:p>
        </w:tc>
        <w:tc>
          <w:tcPr>
            <w:tcW w:w="7399" w:type="dxa"/>
            <w:tcBorders>
              <w:top w:val="nil"/>
              <w:left w:val="nil"/>
              <w:bottom w:val="single" w:sz="4" w:space="0" w:color="auto"/>
              <w:right w:val="single" w:sz="4" w:space="0" w:color="auto"/>
            </w:tcBorders>
            <w:shd w:val="clear" w:color="auto" w:fill="auto"/>
          </w:tcPr>
          <w:p w14:paraId="29599980" w14:textId="77777777" w:rsidR="00173728" w:rsidRPr="00747E35" w:rsidRDefault="00173728" w:rsidP="0096743A">
            <w:pPr>
              <w:pStyle w:val="Tabletext"/>
              <w:spacing w:before="0" w:after="0"/>
              <w:rPr>
                <w:rFonts w:cstheme="minorHAnsi"/>
                <w:szCs w:val="18"/>
              </w:rPr>
            </w:pPr>
            <w:r w:rsidRPr="00747E35">
              <w:rPr>
                <w:rFonts w:cstheme="minorHAnsi"/>
                <w:szCs w:val="18"/>
              </w:rPr>
              <w:t>The branch of biology that deals with the relations of organisms to one another and to their physical surroundings.</w:t>
            </w:r>
          </w:p>
        </w:tc>
      </w:tr>
      <w:tr w:rsidR="00173728" w:rsidRPr="00747E35" w14:paraId="6884B8D7"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99A1707" w14:textId="77777777" w:rsidR="00173728" w:rsidRPr="00747E35" w:rsidRDefault="00173728" w:rsidP="0096743A">
            <w:pPr>
              <w:pStyle w:val="Tabletext"/>
              <w:spacing w:before="0" w:after="0"/>
              <w:rPr>
                <w:rFonts w:cstheme="minorHAnsi"/>
                <w:szCs w:val="18"/>
              </w:rPr>
            </w:pPr>
            <w:r w:rsidRPr="00747E35">
              <w:rPr>
                <w:rFonts w:cstheme="minorHAnsi"/>
                <w:szCs w:val="18"/>
              </w:rPr>
              <w:t>Ecosystem functions</w:t>
            </w:r>
          </w:p>
        </w:tc>
        <w:tc>
          <w:tcPr>
            <w:tcW w:w="7399" w:type="dxa"/>
            <w:tcBorders>
              <w:top w:val="nil"/>
              <w:left w:val="nil"/>
              <w:bottom w:val="single" w:sz="4" w:space="0" w:color="auto"/>
              <w:right w:val="single" w:sz="4" w:space="0" w:color="auto"/>
            </w:tcBorders>
            <w:shd w:val="clear" w:color="auto" w:fill="auto"/>
          </w:tcPr>
          <w:p w14:paraId="2772571D" w14:textId="77777777" w:rsidR="00173728" w:rsidRPr="00747E35" w:rsidRDefault="00173728" w:rsidP="0096743A">
            <w:pPr>
              <w:pStyle w:val="Tabletext"/>
              <w:spacing w:before="0" w:after="0"/>
              <w:rPr>
                <w:rFonts w:cstheme="minorHAnsi"/>
                <w:szCs w:val="18"/>
              </w:rPr>
            </w:pPr>
            <w:r w:rsidRPr="00747E35">
              <w:rPr>
                <w:rFonts w:cstheme="minorHAnsi"/>
                <w:szCs w:val="18"/>
              </w:rPr>
              <w:t>The biological, geochemical and physical processes that take place within an ecosystem.</w:t>
            </w:r>
          </w:p>
        </w:tc>
      </w:tr>
      <w:tr w:rsidR="00173728" w:rsidRPr="00747E35" w14:paraId="5FAA66EA"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46B410FB" w14:textId="77777777" w:rsidR="00173728" w:rsidRPr="00747E35" w:rsidRDefault="00173728" w:rsidP="0096743A">
            <w:pPr>
              <w:pStyle w:val="Tabletext"/>
              <w:spacing w:before="0" w:after="0"/>
              <w:rPr>
                <w:rFonts w:cstheme="minorHAnsi"/>
                <w:szCs w:val="18"/>
              </w:rPr>
            </w:pPr>
            <w:r w:rsidRPr="00747E35">
              <w:rPr>
                <w:rFonts w:cstheme="minorHAnsi"/>
                <w:szCs w:val="18"/>
              </w:rPr>
              <w:t>Ecosystem services</w:t>
            </w:r>
          </w:p>
        </w:tc>
        <w:tc>
          <w:tcPr>
            <w:tcW w:w="7399" w:type="dxa"/>
            <w:tcBorders>
              <w:top w:val="nil"/>
              <w:left w:val="nil"/>
              <w:bottom w:val="single" w:sz="4" w:space="0" w:color="auto"/>
              <w:right w:val="single" w:sz="4" w:space="0" w:color="auto"/>
            </w:tcBorders>
            <w:shd w:val="clear" w:color="auto" w:fill="auto"/>
          </w:tcPr>
          <w:p w14:paraId="04FC5736" w14:textId="77777777" w:rsidR="00173728" w:rsidRPr="00747E35" w:rsidRDefault="00173728" w:rsidP="0096743A">
            <w:pPr>
              <w:pStyle w:val="Tabletext"/>
              <w:spacing w:before="0" w:after="0"/>
              <w:rPr>
                <w:rFonts w:cstheme="minorHAnsi"/>
                <w:szCs w:val="18"/>
              </w:rPr>
            </w:pPr>
            <w:r w:rsidRPr="00747E35">
              <w:rPr>
                <w:rFonts w:cstheme="minorHAnsi"/>
                <w:szCs w:val="18"/>
              </w:rPr>
              <w:t>Are the ‘services’ provided by natural (and semi-natural) ecosystems - ‘ecosystem service providers‘ - that benefit, sustain and support the well-being of people.</w:t>
            </w:r>
          </w:p>
        </w:tc>
      </w:tr>
      <w:tr w:rsidR="00173728" w:rsidRPr="00747E35" w14:paraId="3E536C4D"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273B16F8" w14:textId="77777777" w:rsidR="00173728" w:rsidRPr="00747E35" w:rsidRDefault="00173728" w:rsidP="0096743A">
            <w:pPr>
              <w:pStyle w:val="Tabletext"/>
              <w:spacing w:before="0" w:after="0"/>
              <w:rPr>
                <w:rFonts w:cstheme="minorHAnsi"/>
                <w:szCs w:val="18"/>
              </w:rPr>
            </w:pPr>
            <w:r w:rsidRPr="00747E35">
              <w:rPr>
                <w:rFonts w:cstheme="minorHAnsi"/>
                <w:szCs w:val="18"/>
              </w:rPr>
              <w:t>Endemism</w:t>
            </w:r>
          </w:p>
        </w:tc>
        <w:tc>
          <w:tcPr>
            <w:tcW w:w="7399" w:type="dxa"/>
            <w:tcBorders>
              <w:top w:val="nil"/>
              <w:left w:val="nil"/>
              <w:bottom w:val="single" w:sz="4" w:space="0" w:color="auto"/>
              <w:right w:val="single" w:sz="4" w:space="0" w:color="auto"/>
            </w:tcBorders>
            <w:shd w:val="clear" w:color="auto" w:fill="auto"/>
          </w:tcPr>
          <w:p w14:paraId="20ECFA84" w14:textId="77777777" w:rsidR="00173728" w:rsidRPr="00747E35" w:rsidRDefault="00173728" w:rsidP="0096743A">
            <w:pPr>
              <w:pStyle w:val="Tabletext"/>
              <w:spacing w:before="0" w:after="0"/>
              <w:rPr>
                <w:rFonts w:cstheme="minorHAnsi"/>
                <w:szCs w:val="18"/>
              </w:rPr>
            </w:pPr>
            <w:r w:rsidRPr="00747E35">
              <w:rPr>
                <w:rFonts w:cstheme="minorHAnsi"/>
                <w:szCs w:val="18"/>
              </w:rPr>
              <w:t>See ‘Taxonomic endemism’</w:t>
            </w:r>
          </w:p>
        </w:tc>
      </w:tr>
      <w:tr w:rsidR="00173728" w:rsidRPr="00747E35" w14:paraId="6AC6C249"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216E915A" w14:textId="77777777" w:rsidR="00173728" w:rsidRPr="00747E35" w:rsidRDefault="00173728" w:rsidP="0096743A">
            <w:pPr>
              <w:pStyle w:val="Tabletext"/>
              <w:spacing w:before="0" w:after="0"/>
              <w:rPr>
                <w:rFonts w:cstheme="minorHAnsi"/>
                <w:szCs w:val="18"/>
              </w:rPr>
            </w:pPr>
            <w:r w:rsidRPr="00747E35">
              <w:rPr>
                <w:rFonts w:cstheme="minorHAnsi"/>
                <w:szCs w:val="18"/>
              </w:rPr>
              <w:t>Ephemeral stream</w:t>
            </w:r>
          </w:p>
        </w:tc>
        <w:tc>
          <w:tcPr>
            <w:tcW w:w="7399" w:type="dxa"/>
            <w:tcBorders>
              <w:top w:val="nil"/>
              <w:left w:val="nil"/>
              <w:bottom w:val="single" w:sz="4" w:space="0" w:color="auto"/>
              <w:right w:val="single" w:sz="4" w:space="0" w:color="auto"/>
            </w:tcBorders>
            <w:shd w:val="clear" w:color="auto" w:fill="auto"/>
          </w:tcPr>
          <w:p w14:paraId="29CAF932"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A category of temporary stream in which water is present only after unpredictable rainfall and runoff. Surface water dries within days to weeks of filling and can support only short-lived aquatic life (adapted from Boulton et al. 2014). </w:t>
            </w:r>
          </w:p>
        </w:tc>
      </w:tr>
      <w:tr w:rsidR="00173728" w:rsidRPr="00747E35" w14:paraId="686D177E"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66186387" w14:textId="77777777" w:rsidR="00173728" w:rsidRPr="00747E35" w:rsidRDefault="00173728" w:rsidP="0096743A">
            <w:pPr>
              <w:pStyle w:val="Tabletext"/>
              <w:spacing w:before="0" w:after="0"/>
              <w:rPr>
                <w:rFonts w:cstheme="minorHAnsi"/>
                <w:szCs w:val="18"/>
              </w:rPr>
            </w:pPr>
            <w:r w:rsidRPr="00747E35">
              <w:rPr>
                <w:rFonts w:cstheme="minorHAnsi"/>
                <w:szCs w:val="18"/>
              </w:rPr>
              <w:t>Epigean</w:t>
            </w:r>
          </w:p>
        </w:tc>
        <w:tc>
          <w:tcPr>
            <w:tcW w:w="7399" w:type="dxa"/>
            <w:tcBorders>
              <w:top w:val="nil"/>
              <w:left w:val="nil"/>
              <w:bottom w:val="single" w:sz="4" w:space="0" w:color="auto"/>
              <w:right w:val="single" w:sz="4" w:space="0" w:color="auto"/>
            </w:tcBorders>
            <w:shd w:val="clear" w:color="auto" w:fill="auto"/>
          </w:tcPr>
          <w:p w14:paraId="50AF195E" w14:textId="77777777" w:rsidR="00173728" w:rsidRPr="00747E35" w:rsidRDefault="00173728" w:rsidP="0096743A">
            <w:pPr>
              <w:pStyle w:val="Tabletext"/>
              <w:spacing w:before="0" w:after="0"/>
              <w:rPr>
                <w:rFonts w:cstheme="minorHAnsi"/>
                <w:szCs w:val="18"/>
              </w:rPr>
            </w:pPr>
            <w:r w:rsidRPr="00747E35">
              <w:rPr>
                <w:rFonts w:cstheme="minorHAnsi"/>
                <w:szCs w:val="18"/>
              </w:rPr>
              <w:t>Meaning ‘of the surface’ (terrestrial organisms or habitats)</w:t>
            </w:r>
          </w:p>
        </w:tc>
      </w:tr>
      <w:tr w:rsidR="00173728" w:rsidRPr="00747E35" w14:paraId="335C5EA0"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3C2B2FA4" w14:textId="77777777" w:rsidR="00173728" w:rsidRPr="00747E35" w:rsidRDefault="00173728" w:rsidP="0096743A">
            <w:pPr>
              <w:pStyle w:val="Tabletext"/>
              <w:spacing w:before="0" w:after="0"/>
              <w:rPr>
                <w:rFonts w:cstheme="minorHAnsi"/>
                <w:szCs w:val="18"/>
              </w:rPr>
            </w:pPr>
            <w:r w:rsidRPr="00747E35">
              <w:rPr>
                <w:rFonts w:cstheme="minorHAnsi"/>
                <w:szCs w:val="18"/>
              </w:rPr>
              <w:t>Epilithon</w:t>
            </w:r>
          </w:p>
        </w:tc>
        <w:tc>
          <w:tcPr>
            <w:tcW w:w="7399" w:type="dxa"/>
            <w:tcBorders>
              <w:top w:val="nil"/>
              <w:left w:val="nil"/>
              <w:bottom w:val="single" w:sz="4" w:space="0" w:color="auto"/>
              <w:right w:val="single" w:sz="4" w:space="0" w:color="auto"/>
            </w:tcBorders>
            <w:shd w:val="clear" w:color="auto" w:fill="auto"/>
          </w:tcPr>
          <w:p w14:paraId="5FCF6B83" w14:textId="77777777" w:rsidR="00173728" w:rsidRPr="00747E35" w:rsidRDefault="00173728" w:rsidP="0096743A">
            <w:pPr>
              <w:pStyle w:val="Tabletext"/>
              <w:spacing w:before="0" w:after="0"/>
              <w:rPr>
                <w:rFonts w:cstheme="minorHAnsi"/>
                <w:szCs w:val="18"/>
              </w:rPr>
            </w:pPr>
            <w:r w:rsidRPr="00747E35">
              <w:rPr>
                <w:rFonts w:cstheme="minorHAnsi"/>
                <w:szCs w:val="18"/>
              </w:rPr>
              <w:t>Freshwater organisms attached or clinging to stones and rocks.</w:t>
            </w:r>
          </w:p>
        </w:tc>
      </w:tr>
      <w:tr w:rsidR="00173728" w:rsidRPr="00747E35" w14:paraId="66FC7B2D"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9A6F863" w14:textId="77777777" w:rsidR="00173728" w:rsidRPr="00747E35" w:rsidRDefault="00173728" w:rsidP="0096743A">
            <w:pPr>
              <w:pStyle w:val="Tabletext"/>
              <w:spacing w:before="0" w:after="0"/>
              <w:rPr>
                <w:rFonts w:cstheme="minorHAnsi"/>
                <w:szCs w:val="18"/>
              </w:rPr>
            </w:pPr>
            <w:r w:rsidRPr="00747E35">
              <w:rPr>
                <w:rFonts w:cstheme="minorHAnsi"/>
                <w:szCs w:val="18"/>
              </w:rPr>
              <w:t>Floodplain</w:t>
            </w:r>
          </w:p>
        </w:tc>
        <w:tc>
          <w:tcPr>
            <w:tcW w:w="7399" w:type="dxa"/>
            <w:tcBorders>
              <w:top w:val="nil"/>
              <w:left w:val="nil"/>
              <w:bottom w:val="single" w:sz="4" w:space="0" w:color="auto"/>
              <w:right w:val="single" w:sz="4" w:space="0" w:color="auto"/>
            </w:tcBorders>
            <w:shd w:val="clear" w:color="auto" w:fill="auto"/>
          </w:tcPr>
          <w:p w14:paraId="1593ED1F" w14:textId="77777777" w:rsidR="00173728" w:rsidRPr="00747E35" w:rsidRDefault="00173728" w:rsidP="0096743A">
            <w:pPr>
              <w:pStyle w:val="Tabletext"/>
              <w:spacing w:before="0" w:after="0"/>
              <w:rPr>
                <w:rFonts w:cstheme="minorHAnsi"/>
                <w:szCs w:val="18"/>
              </w:rPr>
            </w:pPr>
            <w:r w:rsidRPr="00747E35">
              <w:rPr>
                <w:rFonts w:cstheme="minorHAnsi"/>
                <w:szCs w:val="18"/>
              </w:rPr>
              <w:t>The area of flat land adjacent to a stream or river that floods during periods of high river overbank flows.</w:t>
            </w:r>
          </w:p>
        </w:tc>
      </w:tr>
      <w:tr w:rsidR="00173728" w:rsidRPr="00747E35" w14:paraId="4C4D95EA"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F0E6109" w14:textId="77777777" w:rsidR="00173728" w:rsidRPr="00747E35" w:rsidRDefault="00173728" w:rsidP="0096743A">
            <w:pPr>
              <w:pStyle w:val="Tabletext"/>
              <w:spacing w:before="0" w:after="0"/>
              <w:rPr>
                <w:rFonts w:cstheme="minorHAnsi"/>
                <w:szCs w:val="18"/>
              </w:rPr>
            </w:pPr>
            <w:r w:rsidRPr="00747E35">
              <w:rPr>
                <w:rFonts w:cstheme="minorHAnsi"/>
                <w:szCs w:val="18"/>
              </w:rPr>
              <w:t>Floristics</w:t>
            </w:r>
          </w:p>
        </w:tc>
        <w:tc>
          <w:tcPr>
            <w:tcW w:w="7399" w:type="dxa"/>
            <w:tcBorders>
              <w:top w:val="nil"/>
              <w:left w:val="nil"/>
              <w:bottom w:val="single" w:sz="4" w:space="0" w:color="auto"/>
              <w:right w:val="single" w:sz="4" w:space="0" w:color="auto"/>
            </w:tcBorders>
            <w:shd w:val="clear" w:color="auto" w:fill="auto"/>
          </w:tcPr>
          <w:p w14:paraId="65AD817D" w14:textId="77777777" w:rsidR="00173728" w:rsidRPr="00747E35" w:rsidRDefault="00173728" w:rsidP="0096743A">
            <w:pPr>
              <w:pStyle w:val="Tabletext"/>
              <w:spacing w:before="0" w:after="0"/>
              <w:rPr>
                <w:rFonts w:cstheme="minorHAnsi"/>
                <w:szCs w:val="18"/>
              </w:rPr>
            </w:pPr>
            <w:r w:rsidRPr="00747E35">
              <w:rPr>
                <w:rFonts w:cstheme="minorHAnsi"/>
                <w:szCs w:val="18"/>
              </w:rPr>
              <w:t>The branch of phytogeography concerned with the study of plant species present in an area.</w:t>
            </w:r>
          </w:p>
        </w:tc>
      </w:tr>
      <w:tr w:rsidR="00173728" w:rsidRPr="00747E35" w14:paraId="2197975E"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577D155D" w14:textId="77777777" w:rsidR="00173728" w:rsidRPr="00747E35" w:rsidRDefault="00173728" w:rsidP="0096743A">
            <w:pPr>
              <w:pStyle w:val="Tabletext"/>
              <w:spacing w:before="0" w:after="0"/>
              <w:rPr>
                <w:rFonts w:cstheme="minorHAnsi"/>
                <w:szCs w:val="18"/>
              </w:rPr>
            </w:pPr>
            <w:r w:rsidRPr="00747E35">
              <w:rPr>
                <w:rFonts w:cstheme="minorHAnsi"/>
                <w:szCs w:val="18"/>
              </w:rPr>
              <w:t>Flow path</w:t>
            </w:r>
          </w:p>
        </w:tc>
        <w:tc>
          <w:tcPr>
            <w:tcW w:w="7399" w:type="dxa"/>
            <w:tcBorders>
              <w:top w:val="nil"/>
              <w:left w:val="nil"/>
              <w:bottom w:val="single" w:sz="4" w:space="0" w:color="auto"/>
              <w:right w:val="single" w:sz="4" w:space="0" w:color="auto"/>
            </w:tcBorders>
            <w:shd w:val="clear" w:color="auto" w:fill="auto"/>
          </w:tcPr>
          <w:p w14:paraId="74A96514" w14:textId="044E995C" w:rsidR="00173728" w:rsidRPr="00747E35" w:rsidRDefault="00173728" w:rsidP="0096743A">
            <w:pPr>
              <w:pStyle w:val="Tabletext"/>
              <w:spacing w:before="0" w:after="0"/>
              <w:rPr>
                <w:rFonts w:cstheme="minorHAnsi"/>
                <w:szCs w:val="18"/>
              </w:rPr>
            </w:pPr>
            <w:r w:rsidRPr="00747E35">
              <w:rPr>
                <w:rFonts w:cstheme="minorHAnsi"/>
                <w:szCs w:val="18"/>
              </w:rPr>
              <w:t>The route that water passes th</w:t>
            </w:r>
            <w:r w:rsidR="004B22C7">
              <w:rPr>
                <w:rFonts w:cstheme="minorHAnsi"/>
                <w:szCs w:val="18"/>
              </w:rPr>
              <w:t>r</w:t>
            </w:r>
            <w:r w:rsidRPr="00747E35">
              <w:rPr>
                <w:rFonts w:cstheme="minorHAnsi"/>
                <w:szCs w:val="18"/>
              </w:rPr>
              <w:t xml:space="preserve">ough in surface (including organic soil horizons) and </w:t>
            </w:r>
            <w:r w:rsidR="006B2C7A">
              <w:rPr>
                <w:rFonts w:cstheme="minorHAnsi"/>
                <w:szCs w:val="18"/>
              </w:rPr>
              <w:t>subsurface</w:t>
            </w:r>
            <w:r w:rsidRPr="00747E35">
              <w:rPr>
                <w:rFonts w:cstheme="minorHAnsi"/>
                <w:szCs w:val="18"/>
              </w:rPr>
              <w:t xml:space="preserve"> environments.</w:t>
            </w:r>
          </w:p>
        </w:tc>
      </w:tr>
      <w:tr w:rsidR="00173728" w:rsidRPr="00747E35" w14:paraId="420C7A04"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4F96C897" w14:textId="77777777" w:rsidR="00173728" w:rsidRPr="00747E35" w:rsidRDefault="00173728" w:rsidP="0096743A">
            <w:pPr>
              <w:pStyle w:val="Tabletext"/>
              <w:spacing w:before="0" w:after="0"/>
              <w:rPr>
                <w:rFonts w:cstheme="minorHAnsi"/>
                <w:szCs w:val="18"/>
              </w:rPr>
            </w:pPr>
            <w:r w:rsidRPr="00747E35">
              <w:rPr>
                <w:rFonts w:cstheme="minorHAnsi"/>
                <w:szCs w:val="18"/>
              </w:rPr>
              <w:t>Flow regime</w:t>
            </w:r>
          </w:p>
        </w:tc>
        <w:tc>
          <w:tcPr>
            <w:tcW w:w="7399" w:type="dxa"/>
            <w:tcBorders>
              <w:top w:val="nil"/>
              <w:left w:val="nil"/>
              <w:bottom w:val="single" w:sz="4" w:space="0" w:color="auto"/>
              <w:right w:val="single" w:sz="4" w:space="0" w:color="auto"/>
            </w:tcBorders>
            <w:shd w:val="clear" w:color="auto" w:fill="auto"/>
          </w:tcPr>
          <w:p w14:paraId="669A21B8"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The flow regime of flowing water systems has five components: magnitude, frequency, duration, timing and rate of change. Modification of flow has cascading effects on the ecological integrity of streams (Poff et al. 1997). </w:t>
            </w:r>
          </w:p>
        </w:tc>
      </w:tr>
      <w:tr w:rsidR="00173728" w:rsidRPr="00747E35" w14:paraId="7135504B"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3B1D40D" w14:textId="77777777" w:rsidR="00173728" w:rsidRPr="00747E35" w:rsidRDefault="00173728" w:rsidP="0096743A">
            <w:pPr>
              <w:pStyle w:val="Tabletext"/>
              <w:spacing w:before="0" w:after="0"/>
              <w:rPr>
                <w:rFonts w:cstheme="minorHAnsi"/>
                <w:szCs w:val="18"/>
              </w:rPr>
            </w:pPr>
            <w:r w:rsidRPr="00747E35">
              <w:rPr>
                <w:rFonts w:cstheme="minorHAnsi"/>
                <w:szCs w:val="18"/>
              </w:rPr>
              <w:t>Food web</w:t>
            </w:r>
          </w:p>
        </w:tc>
        <w:tc>
          <w:tcPr>
            <w:tcW w:w="7399" w:type="dxa"/>
            <w:tcBorders>
              <w:top w:val="nil"/>
              <w:left w:val="nil"/>
              <w:bottom w:val="single" w:sz="4" w:space="0" w:color="auto"/>
              <w:right w:val="single" w:sz="4" w:space="0" w:color="auto"/>
            </w:tcBorders>
            <w:shd w:val="clear" w:color="auto" w:fill="auto"/>
          </w:tcPr>
          <w:p w14:paraId="0820E672"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A diagram of the trophic links among species in an ecosystem – essentially who eats what. </w:t>
            </w:r>
          </w:p>
        </w:tc>
      </w:tr>
      <w:tr w:rsidR="00173728" w:rsidRPr="00747E35" w14:paraId="63D03BF3"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255645E2" w14:textId="77777777" w:rsidR="00173728" w:rsidRPr="00747E35" w:rsidRDefault="00173728" w:rsidP="0096743A">
            <w:pPr>
              <w:pStyle w:val="Tabletext"/>
              <w:spacing w:before="0" w:after="0"/>
              <w:rPr>
                <w:rFonts w:cstheme="minorHAnsi"/>
                <w:szCs w:val="18"/>
              </w:rPr>
            </w:pPr>
            <w:r w:rsidRPr="00747E35">
              <w:rPr>
                <w:rFonts w:cstheme="minorHAnsi"/>
                <w:szCs w:val="18"/>
              </w:rPr>
              <w:t>Geomorphology</w:t>
            </w:r>
          </w:p>
        </w:tc>
        <w:tc>
          <w:tcPr>
            <w:tcW w:w="7399" w:type="dxa"/>
            <w:tcBorders>
              <w:top w:val="nil"/>
              <w:left w:val="nil"/>
              <w:bottom w:val="single" w:sz="4" w:space="0" w:color="auto"/>
              <w:right w:val="single" w:sz="4" w:space="0" w:color="auto"/>
            </w:tcBorders>
            <w:shd w:val="clear" w:color="auto" w:fill="auto"/>
          </w:tcPr>
          <w:p w14:paraId="79C3B3A8" w14:textId="77777777" w:rsidR="00173728" w:rsidRPr="00747E35" w:rsidRDefault="00173728" w:rsidP="0096743A">
            <w:pPr>
              <w:pStyle w:val="Tabletext"/>
              <w:spacing w:before="0" w:after="0"/>
              <w:rPr>
                <w:rFonts w:cstheme="minorHAnsi"/>
                <w:szCs w:val="18"/>
              </w:rPr>
            </w:pPr>
            <w:r w:rsidRPr="00747E35">
              <w:rPr>
                <w:rFonts w:cstheme="minorHAnsi"/>
                <w:szCs w:val="18"/>
              </w:rPr>
              <w:t>The study of the physical features of the surface of the earth and their relation to its geological structures.</w:t>
            </w:r>
          </w:p>
        </w:tc>
      </w:tr>
      <w:tr w:rsidR="00173728" w:rsidRPr="00747E35" w14:paraId="7FC2396F"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4698C64C" w14:textId="77777777" w:rsidR="00173728" w:rsidRPr="00747E35" w:rsidRDefault="00173728" w:rsidP="0096743A">
            <w:pPr>
              <w:pStyle w:val="Tabletext"/>
              <w:spacing w:before="0" w:after="0"/>
              <w:rPr>
                <w:rFonts w:cstheme="minorHAnsi"/>
                <w:szCs w:val="18"/>
              </w:rPr>
            </w:pPr>
            <w:r w:rsidRPr="00747E35">
              <w:rPr>
                <w:rFonts w:cstheme="minorHAnsi"/>
                <w:szCs w:val="18"/>
              </w:rPr>
              <w:t>Graminoid</w:t>
            </w:r>
          </w:p>
        </w:tc>
        <w:tc>
          <w:tcPr>
            <w:tcW w:w="7399" w:type="dxa"/>
            <w:tcBorders>
              <w:top w:val="nil"/>
              <w:left w:val="nil"/>
              <w:bottom w:val="single" w:sz="4" w:space="0" w:color="auto"/>
              <w:right w:val="single" w:sz="4" w:space="0" w:color="auto"/>
            </w:tcBorders>
            <w:shd w:val="clear" w:color="auto" w:fill="auto"/>
          </w:tcPr>
          <w:p w14:paraId="6DFC3676" w14:textId="77777777" w:rsidR="00173728" w:rsidRPr="00747E35" w:rsidRDefault="00173728" w:rsidP="0096743A">
            <w:pPr>
              <w:pStyle w:val="Tabletext"/>
              <w:spacing w:before="0" w:after="0"/>
              <w:rPr>
                <w:rFonts w:cstheme="minorHAnsi"/>
                <w:szCs w:val="18"/>
              </w:rPr>
            </w:pPr>
            <w:r w:rsidRPr="00747E35">
              <w:rPr>
                <w:rFonts w:cstheme="minorHAnsi"/>
                <w:szCs w:val="18"/>
              </w:rPr>
              <w:t>Herbaceous plant with a grass-like morphology usually from the plant families Poaceae, Cyperaceae and Restionaceae.</w:t>
            </w:r>
          </w:p>
        </w:tc>
      </w:tr>
      <w:tr w:rsidR="00173728" w:rsidRPr="00747E35" w14:paraId="0D340197"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59225F2B" w14:textId="77777777" w:rsidR="00173728" w:rsidRPr="00747E35" w:rsidRDefault="00173728" w:rsidP="0096743A">
            <w:pPr>
              <w:pStyle w:val="Tabletext"/>
              <w:spacing w:before="0" w:after="0"/>
              <w:rPr>
                <w:rFonts w:cstheme="minorHAnsi"/>
                <w:szCs w:val="18"/>
              </w:rPr>
            </w:pPr>
            <w:r w:rsidRPr="00747E35">
              <w:rPr>
                <w:rFonts w:cstheme="minorHAnsi"/>
                <w:szCs w:val="18"/>
              </w:rPr>
              <w:t>Groundwater</w:t>
            </w:r>
          </w:p>
        </w:tc>
        <w:tc>
          <w:tcPr>
            <w:tcW w:w="7399" w:type="dxa"/>
            <w:tcBorders>
              <w:top w:val="nil"/>
              <w:left w:val="nil"/>
              <w:bottom w:val="single" w:sz="4" w:space="0" w:color="auto"/>
              <w:right w:val="single" w:sz="4" w:space="0" w:color="auto"/>
            </w:tcBorders>
            <w:shd w:val="clear" w:color="auto" w:fill="auto"/>
          </w:tcPr>
          <w:p w14:paraId="16A9DA9A" w14:textId="77777777" w:rsidR="00173728" w:rsidRPr="00747E35" w:rsidRDefault="00173728" w:rsidP="0096743A">
            <w:pPr>
              <w:pStyle w:val="Tabletext"/>
              <w:spacing w:before="0" w:after="0"/>
              <w:rPr>
                <w:rFonts w:cstheme="minorHAnsi"/>
                <w:szCs w:val="18"/>
              </w:rPr>
            </w:pPr>
            <w:r w:rsidRPr="00747E35">
              <w:rPr>
                <w:rFonts w:cstheme="minorHAnsi"/>
                <w:szCs w:val="18"/>
              </w:rPr>
              <w:t>Water occurring naturally below ground level (whether in an aquifer or other low-permeability material), or water occurring at a place below ground that has been pumped, diverted or released to that place for storage. It does not include water held in underground tanks, pipes or other works.</w:t>
            </w:r>
          </w:p>
        </w:tc>
      </w:tr>
      <w:tr w:rsidR="00173728" w:rsidRPr="00747E35" w14:paraId="3E8FA0D0"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1F2DC7D0" w14:textId="77777777" w:rsidR="00173728" w:rsidRPr="00747E35" w:rsidRDefault="00173728" w:rsidP="0096743A">
            <w:pPr>
              <w:pStyle w:val="Tabletext"/>
              <w:spacing w:before="0" w:after="0"/>
              <w:rPr>
                <w:rFonts w:cstheme="minorHAnsi"/>
                <w:szCs w:val="18"/>
              </w:rPr>
            </w:pPr>
            <w:r w:rsidRPr="00747E35">
              <w:rPr>
                <w:rFonts w:cstheme="minorHAnsi"/>
                <w:szCs w:val="18"/>
              </w:rPr>
              <w:t>Habitat</w:t>
            </w:r>
          </w:p>
        </w:tc>
        <w:tc>
          <w:tcPr>
            <w:tcW w:w="7399" w:type="dxa"/>
            <w:tcBorders>
              <w:top w:val="nil"/>
              <w:left w:val="nil"/>
              <w:bottom w:val="single" w:sz="4" w:space="0" w:color="auto"/>
              <w:right w:val="single" w:sz="4" w:space="0" w:color="auto"/>
            </w:tcBorders>
            <w:shd w:val="clear" w:color="auto" w:fill="auto"/>
          </w:tcPr>
          <w:p w14:paraId="3A5734C1"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An </w:t>
            </w:r>
            <w:hyperlink r:id="rId23" w:tooltip="Ecological" w:history="1">
              <w:r w:rsidRPr="00747E35">
                <w:rPr>
                  <w:rFonts w:cstheme="minorHAnsi"/>
                  <w:szCs w:val="18"/>
                </w:rPr>
                <w:t>ecological</w:t>
              </w:r>
            </w:hyperlink>
            <w:r w:rsidRPr="00747E35">
              <w:rPr>
                <w:rFonts w:cstheme="minorHAnsi"/>
                <w:szCs w:val="18"/>
              </w:rPr>
              <w:t xml:space="preserve"> or </w:t>
            </w:r>
            <w:hyperlink r:id="rId24" w:tooltip="Natural environment" w:history="1">
              <w:r w:rsidRPr="00747E35">
                <w:rPr>
                  <w:rFonts w:cstheme="minorHAnsi"/>
                  <w:szCs w:val="18"/>
                </w:rPr>
                <w:t>environmental</w:t>
              </w:r>
            </w:hyperlink>
            <w:r w:rsidRPr="00747E35">
              <w:rPr>
                <w:rFonts w:cstheme="minorHAnsi"/>
                <w:szCs w:val="18"/>
              </w:rPr>
              <w:t xml:space="preserve"> area that is inhabited by a particular </w:t>
            </w:r>
            <w:hyperlink r:id="rId25" w:tooltip="Species" w:history="1">
              <w:r w:rsidRPr="00747E35">
                <w:rPr>
                  <w:rFonts w:cstheme="minorHAnsi"/>
                  <w:szCs w:val="18"/>
                </w:rPr>
                <w:t>species</w:t>
              </w:r>
            </w:hyperlink>
            <w:r w:rsidRPr="00747E35">
              <w:rPr>
                <w:rFonts w:cstheme="minorHAnsi"/>
                <w:szCs w:val="18"/>
              </w:rPr>
              <w:t xml:space="preserve">. It is the natural environment in which an organism lives, or the physical environment that surrounds (influences and is utilized by) a species </w:t>
            </w:r>
            <w:hyperlink r:id="rId26" w:tooltip="Population" w:history="1">
              <w:r w:rsidRPr="00747E35">
                <w:rPr>
                  <w:rFonts w:cstheme="minorHAnsi"/>
                  <w:szCs w:val="18"/>
                </w:rPr>
                <w:t>population</w:t>
              </w:r>
            </w:hyperlink>
            <w:r w:rsidRPr="00747E35">
              <w:rPr>
                <w:rFonts w:cstheme="minorHAnsi"/>
                <w:szCs w:val="18"/>
              </w:rPr>
              <w:t xml:space="preserve">. </w:t>
            </w:r>
          </w:p>
        </w:tc>
      </w:tr>
      <w:tr w:rsidR="00173728" w:rsidRPr="00747E35" w14:paraId="3D7FF4A1"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27191718" w14:textId="77777777" w:rsidR="00173728" w:rsidRPr="00747E35" w:rsidRDefault="00173728" w:rsidP="0096743A">
            <w:pPr>
              <w:pStyle w:val="Tabletext"/>
              <w:spacing w:before="0" w:after="0"/>
              <w:rPr>
                <w:rFonts w:cstheme="minorHAnsi"/>
                <w:szCs w:val="18"/>
              </w:rPr>
            </w:pPr>
            <w:r w:rsidRPr="00747E35">
              <w:rPr>
                <w:rFonts w:cstheme="minorHAnsi"/>
                <w:szCs w:val="18"/>
              </w:rPr>
              <w:t>Humic</w:t>
            </w:r>
          </w:p>
        </w:tc>
        <w:tc>
          <w:tcPr>
            <w:tcW w:w="7399" w:type="dxa"/>
            <w:tcBorders>
              <w:top w:val="nil"/>
              <w:left w:val="nil"/>
              <w:bottom w:val="single" w:sz="4" w:space="0" w:color="auto"/>
              <w:right w:val="single" w:sz="4" w:space="0" w:color="auto"/>
            </w:tcBorders>
            <w:shd w:val="clear" w:color="auto" w:fill="auto"/>
          </w:tcPr>
          <w:p w14:paraId="0897AACB"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Produced by biodegradation of dead organic matter, humic substances are the major organic constituents of soil (humus), peat and coal. humic substances are also a major organic constituent of many upland streams, dystrophic lakes, and ocean water. </w:t>
            </w:r>
          </w:p>
        </w:tc>
      </w:tr>
      <w:tr w:rsidR="00173728" w:rsidRPr="00747E35" w14:paraId="15D14E3C"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0D897E1" w14:textId="77777777" w:rsidR="00173728" w:rsidRPr="00747E35" w:rsidRDefault="00173728" w:rsidP="0096743A">
            <w:pPr>
              <w:pStyle w:val="Tabletext"/>
              <w:spacing w:before="0" w:after="0"/>
              <w:rPr>
                <w:rFonts w:cstheme="minorHAnsi"/>
                <w:szCs w:val="18"/>
              </w:rPr>
            </w:pPr>
            <w:r w:rsidRPr="00747E35">
              <w:rPr>
                <w:rFonts w:cstheme="minorHAnsi"/>
                <w:szCs w:val="18"/>
              </w:rPr>
              <w:t>Hydrochemistry</w:t>
            </w:r>
          </w:p>
        </w:tc>
        <w:tc>
          <w:tcPr>
            <w:tcW w:w="7399" w:type="dxa"/>
            <w:tcBorders>
              <w:top w:val="nil"/>
              <w:left w:val="nil"/>
              <w:bottom w:val="single" w:sz="4" w:space="0" w:color="auto"/>
              <w:right w:val="single" w:sz="4" w:space="0" w:color="auto"/>
            </w:tcBorders>
            <w:shd w:val="clear" w:color="auto" w:fill="auto"/>
          </w:tcPr>
          <w:p w14:paraId="4047994F" w14:textId="77777777" w:rsidR="00173728" w:rsidRPr="00747E35" w:rsidRDefault="00173728" w:rsidP="0096743A">
            <w:pPr>
              <w:pStyle w:val="Tabletext"/>
              <w:spacing w:before="0" w:after="0"/>
              <w:rPr>
                <w:rFonts w:cstheme="minorHAnsi"/>
                <w:szCs w:val="18"/>
              </w:rPr>
            </w:pPr>
            <w:r w:rsidRPr="00747E35">
              <w:rPr>
                <w:rFonts w:cstheme="minorHAnsi"/>
                <w:szCs w:val="18"/>
              </w:rPr>
              <w:t>Refers to the resulting chemical composition of water due to chemical, physical, and biological processes (often used interchangeably with ‘water quality’).</w:t>
            </w:r>
          </w:p>
        </w:tc>
      </w:tr>
      <w:tr w:rsidR="00173728" w:rsidRPr="00747E35" w14:paraId="08E9BED2"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19B301CE" w14:textId="77777777" w:rsidR="00173728" w:rsidRPr="00747E35" w:rsidRDefault="00173728" w:rsidP="0096743A">
            <w:pPr>
              <w:pStyle w:val="Tabletext"/>
              <w:spacing w:before="0" w:after="0"/>
              <w:rPr>
                <w:rFonts w:cstheme="minorHAnsi"/>
                <w:szCs w:val="18"/>
              </w:rPr>
            </w:pPr>
            <w:r w:rsidRPr="00747E35">
              <w:rPr>
                <w:rFonts w:cstheme="minorHAnsi"/>
                <w:szCs w:val="18"/>
              </w:rPr>
              <w:t>Hydroecology (ecohydrology)</w:t>
            </w:r>
          </w:p>
        </w:tc>
        <w:tc>
          <w:tcPr>
            <w:tcW w:w="7399" w:type="dxa"/>
            <w:tcBorders>
              <w:top w:val="nil"/>
              <w:left w:val="nil"/>
              <w:bottom w:val="single" w:sz="4" w:space="0" w:color="auto"/>
              <w:right w:val="single" w:sz="4" w:space="0" w:color="auto"/>
            </w:tcBorders>
            <w:shd w:val="clear" w:color="auto" w:fill="auto"/>
          </w:tcPr>
          <w:p w14:paraId="0359038C" w14:textId="77777777" w:rsidR="00173728" w:rsidRPr="00747E35" w:rsidRDefault="00173728" w:rsidP="0096743A">
            <w:pPr>
              <w:spacing w:after="0"/>
              <w:rPr>
                <w:rFonts w:asciiTheme="minorHAnsi" w:hAnsiTheme="minorHAnsi" w:cstheme="minorHAnsi"/>
                <w:sz w:val="18"/>
                <w:szCs w:val="18"/>
              </w:rPr>
            </w:pPr>
            <w:r w:rsidRPr="00747E35">
              <w:rPr>
                <w:rFonts w:asciiTheme="minorHAnsi" w:hAnsiTheme="minorHAnsi" w:cstheme="minorHAnsi"/>
                <w:sz w:val="18"/>
                <w:szCs w:val="18"/>
              </w:rPr>
              <w:t xml:space="preserve">The simplest definitions of ecohydrology and hydroecology consider either: (1) the scientific overlap between the fields of hydrology and ecology or (2) the impact of hydrology on ecosystems or </w:t>
            </w:r>
            <w:r w:rsidRPr="00747E35">
              <w:rPr>
                <w:rFonts w:asciiTheme="minorHAnsi" w:hAnsiTheme="minorHAnsi" w:cstheme="minorHAnsi"/>
                <w:i/>
                <w:sz w:val="18"/>
                <w:szCs w:val="18"/>
              </w:rPr>
              <w:t>vice versa</w:t>
            </w:r>
            <w:r w:rsidRPr="00747E35">
              <w:rPr>
                <w:rFonts w:asciiTheme="minorHAnsi" w:hAnsiTheme="minorHAnsi" w:cstheme="minorHAnsi"/>
                <w:sz w:val="18"/>
                <w:szCs w:val="18"/>
              </w:rPr>
              <w:t>. See also ecohydrology.</w:t>
            </w:r>
          </w:p>
        </w:tc>
      </w:tr>
      <w:tr w:rsidR="00173728" w:rsidRPr="00747E35" w14:paraId="33DC04A4"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0A4A312B" w14:textId="77777777" w:rsidR="00173728" w:rsidRPr="00747E35" w:rsidRDefault="00173728" w:rsidP="0096743A">
            <w:pPr>
              <w:pStyle w:val="Tabletext"/>
              <w:spacing w:before="0" w:after="0"/>
              <w:rPr>
                <w:rFonts w:cstheme="minorHAnsi"/>
                <w:szCs w:val="18"/>
              </w:rPr>
            </w:pPr>
            <w:r w:rsidRPr="00747E35">
              <w:rPr>
                <w:rFonts w:cstheme="minorHAnsi"/>
                <w:szCs w:val="18"/>
              </w:rPr>
              <w:t>Hydrogeology</w:t>
            </w:r>
          </w:p>
        </w:tc>
        <w:tc>
          <w:tcPr>
            <w:tcW w:w="7399" w:type="dxa"/>
            <w:tcBorders>
              <w:top w:val="nil"/>
              <w:left w:val="nil"/>
              <w:bottom w:val="single" w:sz="4" w:space="0" w:color="auto"/>
              <w:right w:val="single" w:sz="4" w:space="0" w:color="auto"/>
            </w:tcBorders>
            <w:shd w:val="clear" w:color="auto" w:fill="auto"/>
          </w:tcPr>
          <w:p w14:paraId="5B4CFEE9" w14:textId="77777777" w:rsidR="00173728" w:rsidRPr="00747E35" w:rsidRDefault="00173728" w:rsidP="0096743A">
            <w:pPr>
              <w:pStyle w:val="Tabletext"/>
              <w:spacing w:before="0" w:after="0"/>
              <w:rPr>
                <w:rFonts w:cstheme="minorHAnsi"/>
                <w:szCs w:val="18"/>
              </w:rPr>
            </w:pPr>
            <w:r w:rsidRPr="00747E35">
              <w:rPr>
                <w:rStyle w:val="oneclick-link"/>
                <w:rFonts w:cstheme="minorHAnsi"/>
                <w:szCs w:val="18"/>
              </w:rPr>
              <w:t>The</w:t>
            </w:r>
            <w:r w:rsidRPr="00747E35">
              <w:rPr>
                <w:rFonts w:cstheme="minorHAnsi"/>
                <w:szCs w:val="18"/>
              </w:rPr>
              <w:t xml:space="preserve"> </w:t>
            </w:r>
            <w:r w:rsidRPr="00747E35">
              <w:rPr>
                <w:rStyle w:val="oneclick-link"/>
                <w:rFonts w:cstheme="minorHAnsi"/>
                <w:szCs w:val="18"/>
              </w:rPr>
              <w:t>branch</w:t>
            </w:r>
            <w:r w:rsidRPr="00747E35">
              <w:rPr>
                <w:rFonts w:cstheme="minorHAnsi"/>
                <w:szCs w:val="18"/>
              </w:rPr>
              <w:t xml:space="preserve"> </w:t>
            </w:r>
            <w:r w:rsidRPr="00747E35">
              <w:rPr>
                <w:rStyle w:val="oneclick-link"/>
                <w:rFonts w:cstheme="minorHAnsi"/>
                <w:szCs w:val="18"/>
              </w:rPr>
              <w:t>of</w:t>
            </w:r>
            <w:r w:rsidRPr="00747E35">
              <w:rPr>
                <w:rFonts w:cstheme="minorHAnsi"/>
                <w:szCs w:val="18"/>
              </w:rPr>
              <w:t xml:space="preserve"> </w:t>
            </w:r>
            <w:r w:rsidRPr="00747E35">
              <w:rPr>
                <w:rStyle w:val="oneclick-link"/>
                <w:rFonts w:cstheme="minorHAnsi"/>
                <w:szCs w:val="18"/>
              </w:rPr>
              <w:t>geology</w:t>
            </w:r>
            <w:r w:rsidRPr="00747E35">
              <w:rPr>
                <w:rFonts w:cstheme="minorHAnsi"/>
                <w:szCs w:val="18"/>
              </w:rPr>
              <w:t xml:space="preserve"> </w:t>
            </w:r>
            <w:r w:rsidRPr="00747E35">
              <w:rPr>
                <w:rStyle w:val="oneclick-link"/>
                <w:rFonts w:cstheme="minorHAnsi"/>
                <w:szCs w:val="18"/>
              </w:rPr>
              <w:t>dealing</w:t>
            </w:r>
            <w:r w:rsidRPr="00747E35">
              <w:rPr>
                <w:rFonts w:cstheme="minorHAnsi"/>
                <w:szCs w:val="18"/>
              </w:rPr>
              <w:t xml:space="preserve"> </w:t>
            </w:r>
            <w:r w:rsidRPr="00747E35">
              <w:rPr>
                <w:rStyle w:val="oneclick-link"/>
                <w:rFonts w:cstheme="minorHAnsi"/>
                <w:szCs w:val="18"/>
              </w:rPr>
              <w:t>with</w:t>
            </w:r>
            <w:r w:rsidRPr="00747E35">
              <w:rPr>
                <w:rFonts w:cstheme="minorHAnsi"/>
                <w:szCs w:val="18"/>
              </w:rPr>
              <w:t xml:space="preserve"> </w:t>
            </w:r>
            <w:r w:rsidRPr="00747E35">
              <w:rPr>
                <w:rStyle w:val="oneclick-link"/>
                <w:rFonts w:cstheme="minorHAnsi"/>
                <w:szCs w:val="18"/>
              </w:rPr>
              <w:t>the</w:t>
            </w:r>
            <w:r w:rsidRPr="00747E35">
              <w:rPr>
                <w:rFonts w:cstheme="minorHAnsi"/>
                <w:szCs w:val="18"/>
              </w:rPr>
              <w:t xml:space="preserve"> </w:t>
            </w:r>
            <w:r w:rsidRPr="00747E35">
              <w:rPr>
                <w:rStyle w:val="oneclick-link"/>
                <w:rFonts w:cstheme="minorHAnsi"/>
                <w:szCs w:val="18"/>
              </w:rPr>
              <w:t>waters</w:t>
            </w:r>
            <w:r w:rsidRPr="00747E35">
              <w:rPr>
                <w:rFonts w:cstheme="minorHAnsi"/>
                <w:szCs w:val="18"/>
              </w:rPr>
              <w:t xml:space="preserve"> </w:t>
            </w:r>
            <w:r w:rsidRPr="00747E35">
              <w:rPr>
                <w:rStyle w:val="oneclick-link"/>
                <w:rFonts w:cstheme="minorHAnsi"/>
                <w:szCs w:val="18"/>
              </w:rPr>
              <w:t>below</w:t>
            </w:r>
            <w:r w:rsidRPr="00747E35">
              <w:rPr>
                <w:rFonts w:cstheme="minorHAnsi"/>
                <w:szCs w:val="18"/>
              </w:rPr>
              <w:t xml:space="preserve"> </w:t>
            </w:r>
            <w:r w:rsidRPr="00747E35">
              <w:rPr>
                <w:rStyle w:val="oneclick-link"/>
                <w:rFonts w:cstheme="minorHAnsi"/>
                <w:szCs w:val="18"/>
              </w:rPr>
              <w:t>the</w:t>
            </w:r>
            <w:r w:rsidRPr="00747E35">
              <w:rPr>
                <w:rFonts w:cstheme="minorHAnsi"/>
                <w:szCs w:val="18"/>
              </w:rPr>
              <w:t xml:space="preserve"> </w:t>
            </w:r>
            <w:r w:rsidRPr="00747E35">
              <w:rPr>
                <w:rStyle w:val="oneclick-link"/>
                <w:rFonts w:cstheme="minorHAnsi"/>
                <w:szCs w:val="18"/>
              </w:rPr>
              <w:t>earth's</w:t>
            </w:r>
            <w:r w:rsidRPr="00747E35">
              <w:rPr>
                <w:rFonts w:cstheme="minorHAnsi"/>
                <w:szCs w:val="18"/>
              </w:rPr>
              <w:t xml:space="preserve"> </w:t>
            </w:r>
            <w:r w:rsidRPr="00747E35">
              <w:rPr>
                <w:rStyle w:val="oneclick-link"/>
                <w:rFonts w:cstheme="minorHAnsi"/>
                <w:szCs w:val="18"/>
              </w:rPr>
              <w:t>surface</w:t>
            </w:r>
            <w:r w:rsidRPr="00747E35">
              <w:rPr>
                <w:rFonts w:cstheme="minorHAnsi"/>
                <w:szCs w:val="18"/>
              </w:rPr>
              <w:t xml:space="preserve"> </w:t>
            </w:r>
            <w:r w:rsidRPr="00747E35">
              <w:rPr>
                <w:rStyle w:val="oneclick-link"/>
                <w:rFonts w:cstheme="minorHAnsi"/>
                <w:szCs w:val="18"/>
              </w:rPr>
              <w:t>and</w:t>
            </w:r>
            <w:r w:rsidRPr="00747E35">
              <w:rPr>
                <w:rFonts w:cstheme="minorHAnsi"/>
                <w:szCs w:val="18"/>
              </w:rPr>
              <w:t xml:space="preserve"> </w:t>
            </w:r>
            <w:r w:rsidRPr="00747E35">
              <w:rPr>
                <w:rStyle w:val="oneclick-link"/>
                <w:rFonts w:cstheme="minorHAnsi"/>
                <w:szCs w:val="18"/>
              </w:rPr>
              <w:t>with</w:t>
            </w:r>
            <w:r w:rsidRPr="00747E35">
              <w:rPr>
                <w:rFonts w:cstheme="minorHAnsi"/>
                <w:szCs w:val="18"/>
              </w:rPr>
              <w:t xml:space="preserve"> </w:t>
            </w:r>
            <w:r w:rsidRPr="00747E35">
              <w:rPr>
                <w:rStyle w:val="oneclick-link"/>
                <w:rFonts w:cstheme="minorHAnsi"/>
                <w:szCs w:val="18"/>
              </w:rPr>
              <w:t>the</w:t>
            </w:r>
            <w:r w:rsidRPr="00747E35">
              <w:rPr>
                <w:rFonts w:cstheme="minorHAnsi"/>
                <w:szCs w:val="18"/>
              </w:rPr>
              <w:t xml:space="preserve"> </w:t>
            </w:r>
            <w:r w:rsidRPr="00747E35">
              <w:rPr>
                <w:rStyle w:val="oneclick-link"/>
                <w:rFonts w:cstheme="minorHAnsi"/>
                <w:szCs w:val="18"/>
              </w:rPr>
              <w:t>geological</w:t>
            </w:r>
            <w:r w:rsidRPr="00747E35">
              <w:rPr>
                <w:rFonts w:cstheme="minorHAnsi"/>
                <w:szCs w:val="18"/>
              </w:rPr>
              <w:t xml:space="preserve"> </w:t>
            </w:r>
            <w:r w:rsidRPr="00747E35">
              <w:rPr>
                <w:rStyle w:val="oneclick-link"/>
                <w:rFonts w:cstheme="minorHAnsi"/>
                <w:szCs w:val="18"/>
              </w:rPr>
              <w:t>aspects</w:t>
            </w:r>
            <w:r w:rsidRPr="00747E35">
              <w:rPr>
                <w:rFonts w:cstheme="minorHAnsi"/>
                <w:szCs w:val="18"/>
              </w:rPr>
              <w:t xml:space="preserve"> </w:t>
            </w:r>
            <w:r w:rsidRPr="00747E35">
              <w:rPr>
                <w:rStyle w:val="oneclick-link"/>
                <w:rFonts w:cstheme="minorHAnsi"/>
                <w:szCs w:val="18"/>
              </w:rPr>
              <w:t>of</w:t>
            </w:r>
            <w:r w:rsidRPr="00747E35">
              <w:rPr>
                <w:rFonts w:cstheme="minorHAnsi"/>
                <w:szCs w:val="18"/>
              </w:rPr>
              <w:t xml:space="preserve"> </w:t>
            </w:r>
            <w:r w:rsidRPr="00747E35">
              <w:rPr>
                <w:rStyle w:val="oneclick-link"/>
                <w:rFonts w:cstheme="minorHAnsi"/>
                <w:szCs w:val="18"/>
              </w:rPr>
              <w:t>surface</w:t>
            </w:r>
            <w:r w:rsidRPr="00747E35">
              <w:rPr>
                <w:rFonts w:cstheme="minorHAnsi"/>
                <w:szCs w:val="18"/>
              </w:rPr>
              <w:t xml:space="preserve"> </w:t>
            </w:r>
            <w:r w:rsidRPr="00747E35">
              <w:rPr>
                <w:rStyle w:val="oneclick-link"/>
                <w:rFonts w:cstheme="minorHAnsi"/>
                <w:szCs w:val="18"/>
              </w:rPr>
              <w:t>waters</w:t>
            </w:r>
          </w:p>
        </w:tc>
      </w:tr>
      <w:tr w:rsidR="00173728" w:rsidRPr="00747E35" w14:paraId="349DE035"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1AAAD2CF" w14:textId="77777777" w:rsidR="00173728" w:rsidRPr="00747E35" w:rsidRDefault="00173728" w:rsidP="0096743A">
            <w:pPr>
              <w:pStyle w:val="Tabletext"/>
              <w:spacing w:before="0" w:after="0"/>
              <w:rPr>
                <w:rFonts w:cstheme="minorHAnsi"/>
                <w:szCs w:val="18"/>
              </w:rPr>
            </w:pPr>
            <w:r w:rsidRPr="00747E35">
              <w:rPr>
                <w:rFonts w:cstheme="minorHAnsi"/>
                <w:szCs w:val="18"/>
              </w:rPr>
              <w:t>Hydrology</w:t>
            </w:r>
          </w:p>
        </w:tc>
        <w:tc>
          <w:tcPr>
            <w:tcW w:w="7399" w:type="dxa"/>
            <w:tcBorders>
              <w:top w:val="nil"/>
              <w:left w:val="nil"/>
              <w:bottom w:val="single" w:sz="4" w:space="0" w:color="auto"/>
              <w:right w:val="single" w:sz="4" w:space="0" w:color="auto"/>
            </w:tcBorders>
            <w:shd w:val="clear" w:color="auto" w:fill="auto"/>
          </w:tcPr>
          <w:p w14:paraId="266610C3" w14:textId="77777777" w:rsidR="00173728" w:rsidRPr="00747E35" w:rsidRDefault="00173728" w:rsidP="0096743A">
            <w:pPr>
              <w:pStyle w:val="Tabletext"/>
              <w:spacing w:before="0" w:after="0"/>
              <w:rPr>
                <w:rFonts w:cstheme="minorHAnsi"/>
                <w:szCs w:val="18"/>
              </w:rPr>
            </w:pPr>
            <w:r w:rsidRPr="00747E35">
              <w:rPr>
                <w:rFonts w:cstheme="minorHAnsi"/>
                <w:szCs w:val="18"/>
              </w:rPr>
              <w:t>The study of the movement, distribution and quality of water on Earth and other planets, including the hydrologic cycle, water resources and environmental water allocations.</w:t>
            </w:r>
          </w:p>
        </w:tc>
      </w:tr>
      <w:tr w:rsidR="00173728" w:rsidRPr="00747E35" w14:paraId="46EE424F"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27AF2327" w14:textId="77777777" w:rsidR="00173728" w:rsidRPr="00747E35" w:rsidRDefault="00173728" w:rsidP="0096743A">
            <w:pPr>
              <w:pStyle w:val="Tabletext"/>
              <w:spacing w:before="0" w:after="0"/>
              <w:rPr>
                <w:rFonts w:cstheme="minorHAnsi"/>
                <w:szCs w:val="18"/>
              </w:rPr>
            </w:pPr>
            <w:r w:rsidRPr="00747E35">
              <w:rPr>
                <w:rFonts w:cstheme="minorHAnsi"/>
                <w:szCs w:val="18"/>
              </w:rPr>
              <w:t>Hydrotype</w:t>
            </w:r>
          </w:p>
        </w:tc>
        <w:tc>
          <w:tcPr>
            <w:tcW w:w="7399" w:type="dxa"/>
            <w:tcBorders>
              <w:top w:val="nil"/>
              <w:left w:val="nil"/>
              <w:bottom w:val="single" w:sz="4" w:space="0" w:color="auto"/>
              <w:right w:val="single" w:sz="4" w:space="0" w:color="auto"/>
            </w:tcBorders>
            <w:shd w:val="clear" w:color="auto" w:fill="auto"/>
          </w:tcPr>
          <w:p w14:paraId="04E4571A" w14:textId="77777777" w:rsidR="00173728" w:rsidRPr="00747E35" w:rsidRDefault="00173728" w:rsidP="0096743A">
            <w:pPr>
              <w:pStyle w:val="Tabletext"/>
              <w:spacing w:before="0" w:after="0"/>
              <w:rPr>
                <w:rFonts w:cstheme="minorHAnsi"/>
                <w:szCs w:val="18"/>
              </w:rPr>
            </w:pPr>
            <w:r w:rsidRPr="00747E35">
              <w:rPr>
                <w:rFonts w:cstheme="minorHAnsi"/>
                <w:szCs w:val="18"/>
              </w:rPr>
              <w:t>Functionally similar plant species with shared requirements for and adaptions to specific hydrological conditions.</w:t>
            </w:r>
          </w:p>
        </w:tc>
      </w:tr>
      <w:tr w:rsidR="00173728" w:rsidRPr="00747E35" w14:paraId="2624C624"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3D729D93" w14:textId="77777777" w:rsidR="00173728" w:rsidRPr="00747E35" w:rsidRDefault="00173728" w:rsidP="0096743A">
            <w:pPr>
              <w:pStyle w:val="Tabletext"/>
              <w:spacing w:before="0" w:after="0"/>
              <w:rPr>
                <w:rFonts w:cstheme="minorHAnsi"/>
                <w:szCs w:val="18"/>
              </w:rPr>
            </w:pPr>
            <w:r w:rsidRPr="00747E35">
              <w:rPr>
                <w:rFonts w:cstheme="minorHAnsi"/>
                <w:szCs w:val="18"/>
              </w:rPr>
              <w:t>Hyporheic zone</w:t>
            </w:r>
          </w:p>
        </w:tc>
        <w:tc>
          <w:tcPr>
            <w:tcW w:w="7399" w:type="dxa"/>
            <w:tcBorders>
              <w:top w:val="nil"/>
              <w:left w:val="nil"/>
              <w:bottom w:val="single" w:sz="4" w:space="0" w:color="auto"/>
              <w:right w:val="single" w:sz="4" w:space="0" w:color="auto"/>
            </w:tcBorders>
            <w:shd w:val="clear" w:color="auto" w:fill="auto"/>
          </w:tcPr>
          <w:p w14:paraId="7113F82D" w14:textId="77777777" w:rsidR="00173728" w:rsidRPr="00747E35" w:rsidRDefault="00173728" w:rsidP="0096743A">
            <w:pPr>
              <w:pStyle w:val="Tabletext"/>
              <w:spacing w:before="0" w:after="0"/>
              <w:rPr>
                <w:rFonts w:cstheme="minorHAnsi"/>
                <w:szCs w:val="18"/>
              </w:rPr>
            </w:pPr>
            <w:r w:rsidRPr="00747E35">
              <w:rPr>
                <w:rFonts w:cstheme="minorHAnsi"/>
                <w:szCs w:val="18"/>
              </w:rPr>
              <w:t>The portion of the groundwater interface in streams where a mixture of surface water and groundwater can be found.</w:t>
            </w:r>
          </w:p>
        </w:tc>
      </w:tr>
      <w:tr w:rsidR="00173728" w:rsidRPr="00747E35" w14:paraId="7C71F818"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6BD22D37" w14:textId="77777777" w:rsidR="00173728" w:rsidRPr="00747E35" w:rsidRDefault="00173728" w:rsidP="0096743A">
            <w:pPr>
              <w:pStyle w:val="Tabletext"/>
              <w:spacing w:before="0" w:after="0"/>
              <w:rPr>
                <w:rFonts w:cstheme="minorHAnsi"/>
                <w:szCs w:val="18"/>
              </w:rPr>
            </w:pPr>
            <w:r w:rsidRPr="00747E35">
              <w:rPr>
                <w:rFonts w:cstheme="minorHAnsi"/>
                <w:szCs w:val="18"/>
              </w:rPr>
              <w:t>Hyporheos</w:t>
            </w:r>
          </w:p>
        </w:tc>
        <w:tc>
          <w:tcPr>
            <w:tcW w:w="7399" w:type="dxa"/>
            <w:tcBorders>
              <w:top w:val="nil"/>
              <w:left w:val="nil"/>
              <w:bottom w:val="single" w:sz="4" w:space="0" w:color="auto"/>
              <w:right w:val="single" w:sz="4" w:space="0" w:color="auto"/>
            </w:tcBorders>
            <w:shd w:val="clear" w:color="auto" w:fill="auto"/>
          </w:tcPr>
          <w:p w14:paraId="791D8486" w14:textId="77777777" w:rsidR="00173728" w:rsidRPr="00747E35" w:rsidRDefault="00173728" w:rsidP="0096743A">
            <w:pPr>
              <w:pStyle w:val="Tabletext"/>
              <w:spacing w:before="0" w:after="0"/>
              <w:rPr>
                <w:rFonts w:cstheme="minorHAnsi"/>
                <w:szCs w:val="18"/>
              </w:rPr>
            </w:pPr>
            <w:r w:rsidRPr="00747E35">
              <w:rPr>
                <w:rFonts w:cstheme="minorHAnsi"/>
                <w:szCs w:val="18"/>
              </w:rPr>
              <w:t>The assemblage of organisms (including micro-organisms) which inhabits the hyporheic zone</w:t>
            </w:r>
          </w:p>
        </w:tc>
      </w:tr>
      <w:tr w:rsidR="00173728" w:rsidRPr="00747E35" w14:paraId="5121145B"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3B47B4D1" w14:textId="77777777" w:rsidR="00173728" w:rsidRPr="00747E35" w:rsidRDefault="00173728" w:rsidP="0096743A">
            <w:pPr>
              <w:pStyle w:val="Tabletext"/>
              <w:spacing w:before="0" w:after="0"/>
              <w:rPr>
                <w:rFonts w:cstheme="minorHAnsi"/>
                <w:szCs w:val="18"/>
              </w:rPr>
            </w:pPr>
            <w:r w:rsidRPr="00747E35">
              <w:rPr>
                <w:rFonts w:cstheme="minorHAnsi"/>
                <w:szCs w:val="18"/>
              </w:rPr>
              <w:t>Immobilisation</w:t>
            </w:r>
          </w:p>
        </w:tc>
        <w:tc>
          <w:tcPr>
            <w:tcW w:w="7399" w:type="dxa"/>
            <w:tcBorders>
              <w:top w:val="nil"/>
              <w:left w:val="nil"/>
              <w:bottom w:val="single" w:sz="4" w:space="0" w:color="auto"/>
              <w:right w:val="single" w:sz="4" w:space="0" w:color="auto"/>
            </w:tcBorders>
            <w:shd w:val="clear" w:color="auto" w:fill="auto"/>
          </w:tcPr>
          <w:p w14:paraId="48F098C2" w14:textId="77777777" w:rsidR="00173728" w:rsidRPr="00747E35" w:rsidRDefault="00173728" w:rsidP="0096743A">
            <w:pPr>
              <w:pStyle w:val="Tabletext"/>
              <w:spacing w:before="0" w:after="0"/>
              <w:rPr>
                <w:rFonts w:cstheme="minorHAnsi"/>
                <w:szCs w:val="18"/>
              </w:rPr>
            </w:pPr>
            <w:r w:rsidRPr="00747E35">
              <w:rPr>
                <w:rFonts w:cstheme="minorHAnsi"/>
                <w:szCs w:val="18"/>
              </w:rPr>
              <w:t>The incorporation of inorganic and organic matter (carbon and nutrients) into living tissue.</w:t>
            </w:r>
          </w:p>
        </w:tc>
      </w:tr>
      <w:tr w:rsidR="00173728" w:rsidRPr="00747E35" w14:paraId="4C767DFE"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D16C4A4"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Intermittent stream </w:t>
            </w:r>
          </w:p>
        </w:tc>
        <w:tc>
          <w:tcPr>
            <w:tcW w:w="7399" w:type="dxa"/>
            <w:tcBorders>
              <w:top w:val="nil"/>
              <w:left w:val="nil"/>
              <w:bottom w:val="single" w:sz="4" w:space="0" w:color="auto"/>
              <w:right w:val="single" w:sz="4" w:space="0" w:color="auto"/>
            </w:tcBorders>
            <w:shd w:val="clear" w:color="auto" w:fill="auto"/>
          </w:tcPr>
          <w:p w14:paraId="6D82C2C2" w14:textId="77777777" w:rsidR="00173728" w:rsidRPr="00747E35" w:rsidRDefault="00173728" w:rsidP="0096743A">
            <w:pPr>
              <w:pStyle w:val="Tabletext"/>
              <w:spacing w:before="0" w:after="0"/>
              <w:rPr>
                <w:rFonts w:cstheme="minorHAnsi"/>
                <w:szCs w:val="18"/>
              </w:rPr>
            </w:pPr>
            <w:r w:rsidRPr="00747E35">
              <w:rPr>
                <w:rFonts w:cstheme="minorHAnsi"/>
                <w:szCs w:val="18"/>
              </w:rPr>
              <w:t>A category of temporary stream with alternate flowing and non-flowing periods that may not be seasonal.</w:t>
            </w:r>
          </w:p>
        </w:tc>
      </w:tr>
      <w:tr w:rsidR="00173728" w:rsidRPr="00747E35" w14:paraId="75A8ED4B"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8CC5A4D" w14:textId="77777777" w:rsidR="00173728" w:rsidRPr="00747E35" w:rsidRDefault="00173728" w:rsidP="0096743A">
            <w:pPr>
              <w:pStyle w:val="Tabletext"/>
              <w:spacing w:before="0" w:after="0"/>
              <w:rPr>
                <w:rFonts w:cstheme="minorHAnsi"/>
                <w:szCs w:val="18"/>
              </w:rPr>
            </w:pPr>
            <w:r w:rsidRPr="00747E35">
              <w:rPr>
                <w:rFonts w:cstheme="minorHAnsi"/>
                <w:szCs w:val="18"/>
              </w:rPr>
              <w:t>Invertebrates</w:t>
            </w:r>
          </w:p>
        </w:tc>
        <w:tc>
          <w:tcPr>
            <w:tcW w:w="7399" w:type="dxa"/>
            <w:tcBorders>
              <w:top w:val="nil"/>
              <w:left w:val="nil"/>
              <w:bottom w:val="single" w:sz="4" w:space="0" w:color="auto"/>
              <w:right w:val="single" w:sz="4" w:space="0" w:color="auto"/>
            </w:tcBorders>
            <w:shd w:val="clear" w:color="auto" w:fill="auto"/>
          </w:tcPr>
          <w:p w14:paraId="52B144CA"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Multicellular animals without backbones (vertebral column). Includes terrestrial and aquatic animals such as insects, crustaceans and arachnids (all arthropods), as well as molluscs, annelid worms, nematodes, jellyfish, sponges and corals. Does not include unicellular microorganisms such as protozoans and bacteria. </w:t>
            </w:r>
          </w:p>
        </w:tc>
      </w:tr>
      <w:tr w:rsidR="00173728" w:rsidRPr="00747E35" w14:paraId="473BAA18"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6CA4565F" w14:textId="77777777" w:rsidR="00173728" w:rsidRPr="00747E35" w:rsidRDefault="00173728" w:rsidP="0096743A">
            <w:pPr>
              <w:pStyle w:val="Tabletext"/>
              <w:spacing w:before="0" w:after="0"/>
              <w:rPr>
                <w:rFonts w:cstheme="minorHAnsi"/>
                <w:szCs w:val="18"/>
              </w:rPr>
            </w:pPr>
            <w:r w:rsidRPr="00747E35">
              <w:rPr>
                <w:rFonts w:cstheme="minorHAnsi"/>
                <w:szCs w:val="18"/>
              </w:rPr>
              <w:t>Isotope</w:t>
            </w:r>
          </w:p>
        </w:tc>
        <w:tc>
          <w:tcPr>
            <w:tcW w:w="7399" w:type="dxa"/>
            <w:tcBorders>
              <w:top w:val="nil"/>
              <w:left w:val="nil"/>
              <w:bottom w:val="single" w:sz="4" w:space="0" w:color="auto"/>
              <w:right w:val="single" w:sz="4" w:space="0" w:color="auto"/>
            </w:tcBorders>
            <w:shd w:val="clear" w:color="auto" w:fill="auto"/>
          </w:tcPr>
          <w:p w14:paraId="77926BBA" w14:textId="77777777" w:rsidR="00173728" w:rsidRPr="00747E35" w:rsidRDefault="00173728" w:rsidP="0096743A">
            <w:pPr>
              <w:pStyle w:val="Tabletext"/>
              <w:spacing w:before="0" w:after="0"/>
              <w:rPr>
                <w:rFonts w:cstheme="minorHAnsi"/>
                <w:szCs w:val="18"/>
              </w:rPr>
            </w:pPr>
            <w:r w:rsidRPr="00747E35">
              <w:rPr>
                <w:rFonts w:cstheme="minorHAnsi"/>
                <w:szCs w:val="18"/>
              </w:rPr>
              <w:t>A chemical element having the same atomic number as another (i.e. the same number of nuclear protons), but having a different atomic mass (i.e. a different number of nuclear neutrons).</w:t>
            </w:r>
          </w:p>
        </w:tc>
      </w:tr>
      <w:tr w:rsidR="00173728" w:rsidRPr="00747E35" w14:paraId="4C949765"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56F9275F" w14:textId="77777777" w:rsidR="00173728" w:rsidRPr="00747E35" w:rsidRDefault="00173728" w:rsidP="0096743A">
            <w:pPr>
              <w:pStyle w:val="Tabletext"/>
              <w:spacing w:before="0" w:after="0"/>
              <w:rPr>
                <w:rFonts w:cstheme="minorHAnsi"/>
                <w:szCs w:val="18"/>
              </w:rPr>
            </w:pPr>
            <w:r w:rsidRPr="00747E35">
              <w:rPr>
                <w:rFonts w:cstheme="minorHAnsi"/>
                <w:szCs w:val="18"/>
              </w:rPr>
              <w:t>Lacustrine</w:t>
            </w:r>
          </w:p>
        </w:tc>
        <w:tc>
          <w:tcPr>
            <w:tcW w:w="7399" w:type="dxa"/>
            <w:tcBorders>
              <w:top w:val="nil"/>
              <w:left w:val="nil"/>
              <w:bottom w:val="single" w:sz="4" w:space="0" w:color="auto"/>
              <w:right w:val="single" w:sz="4" w:space="0" w:color="auto"/>
            </w:tcBorders>
            <w:shd w:val="clear" w:color="auto" w:fill="auto"/>
          </w:tcPr>
          <w:p w14:paraId="2F683A62" w14:textId="77777777" w:rsidR="00173728" w:rsidRPr="00747E35" w:rsidRDefault="00173728" w:rsidP="0096743A">
            <w:pPr>
              <w:pStyle w:val="Tabletext"/>
              <w:spacing w:before="0" w:after="0"/>
              <w:rPr>
                <w:rFonts w:cstheme="minorHAnsi"/>
                <w:szCs w:val="18"/>
              </w:rPr>
            </w:pPr>
            <w:r w:rsidRPr="00747E35">
              <w:rPr>
                <w:rFonts w:cstheme="minorHAnsi"/>
                <w:szCs w:val="18"/>
              </w:rPr>
              <w:t>Relating to a lake.</w:t>
            </w:r>
          </w:p>
        </w:tc>
      </w:tr>
      <w:tr w:rsidR="00173728" w:rsidRPr="00747E35" w14:paraId="268EA1EF"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B80D6B4" w14:textId="77777777" w:rsidR="00173728" w:rsidRPr="00747E35" w:rsidRDefault="00173728" w:rsidP="0096743A">
            <w:pPr>
              <w:pStyle w:val="Tabletext"/>
              <w:spacing w:before="0" w:after="0"/>
              <w:rPr>
                <w:rFonts w:cstheme="minorHAnsi"/>
                <w:szCs w:val="18"/>
              </w:rPr>
            </w:pPr>
            <w:r w:rsidRPr="00747E35">
              <w:rPr>
                <w:rFonts w:cstheme="minorHAnsi"/>
                <w:szCs w:val="18"/>
              </w:rPr>
              <w:t>Leaf stomata</w:t>
            </w:r>
          </w:p>
        </w:tc>
        <w:tc>
          <w:tcPr>
            <w:tcW w:w="7399" w:type="dxa"/>
            <w:tcBorders>
              <w:top w:val="nil"/>
              <w:left w:val="nil"/>
              <w:bottom w:val="single" w:sz="4" w:space="0" w:color="auto"/>
              <w:right w:val="single" w:sz="4" w:space="0" w:color="auto"/>
            </w:tcBorders>
            <w:shd w:val="clear" w:color="auto" w:fill="auto"/>
          </w:tcPr>
          <w:p w14:paraId="18B9AF81" w14:textId="77777777" w:rsidR="00173728" w:rsidRPr="00747E35" w:rsidRDefault="00173728" w:rsidP="0096743A">
            <w:pPr>
              <w:pStyle w:val="Tabletext"/>
              <w:spacing w:before="0" w:after="0"/>
              <w:rPr>
                <w:rFonts w:cstheme="minorHAnsi"/>
                <w:szCs w:val="18"/>
              </w:rPr>
            </w:pPr>
            <w:r w:rsidRPr="00747E35">
              <w:rPr>
                <w:rFonts w:cstheme="minorHAnsi"/>
                <w:szCs w:val="18"/>
              </w:rPr>
              <w:t>Pores found in the epidermis of plant leaves that allow the exchange of water and gases.</w:t>
            </w:r>
          </w:p>
        </w:tc>
      </w:tr>
      <w:tr w:rsidR="00173728" w:rsidRPr="00747E35" w14:paraId="3F42CE25"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48E71EE5" w14:textId="77777777" w:rsidR="00173728" w:rsidRPr="00747E35" w:rsidRDefault="00173728" w:rsidP="0096743A">
            <w:pPr>
              <w:pStyle w:val="Tabletext"/>
              <w:spacing w:before="0" w:after="0"/>
              <w:rPr>
                <w:rFonts w:cstheme="minorHAnsi"/>
                <w:szCs w:val="18"/>
              </w:rPr>
            </w:pPr>
            <w:r w:rsidRPr="00747E35">
              <w:rPr>
                <w:rFonts w:cstheme="minorHAnsi"/>
                <w:szCs w:val="18"/>
              </w:rPr>
              <w:t>Littoral zone</w:t>
            </w:r>
          </w:p>
        </w:tc>
        <w:tc>
          <w:tcPr>
            <w:tcW w:w="7399" w:type="dxa"/>
            <w:tcBorders>
              <w:top w:val="nil"/>
              <w:left w:val="nil"/>
              <w:bottom w:val="single" w:sz="4" w:space="0" w:color="auto"/>
              <w:right w:val="single" w:sz="4" w:space="0" w:color="auto"/>
            </w:tcBorders>
            <w:shd w:val="clear" w:color="auto" w:fill="auto"/>
          </w:tcPr>
          <w:p w14:paraId="6599258F" w14:textId="77777777" w:rsidR="00173728" w:rsidRPr="00747E35" w:rsidRDefault="00173728" w:rsidP="0096743A">
            <w:pPr>
              <w:pStyle w:val="Tabletext"/>
              <w:spacing w:before="0" w:after="0"/>
              <w:rPr>
                <w:rFonts w:cstheme="minorHAnsi"/>
                <w:szCs w:val="18"/>
              </w:rPr>
            </w:pPr>
            <w:r w:rsidRPr="00747E35">
              <w:rPr>
                <w:rFonts w:cstheme="minorHAnsi"/>
                <w:szCs w:val="18"/>
              </w:rPr>
              <w:t>The part of a sea, lake or river that is close to the shore.</w:t>
            </w:r>
          </w:p>
        </w:tc>
      </w:tr>
      <w:tr w:rsidR="00173728" w:rsidRPr="00747E35" w14:paraId="254BF156"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00EB2A33" w14:textId="77777777" w:rsidR="00173728" w:rsidRPr="00747E35" w:rsidRDefault="00173728" w:rsidP="0096743A">
            <w:pPr>
              <w:pStyle w:val="Tabletext"/>
              <w:spacing w:before="0" w:after="0"/>
              <w:rPr>
                <w:rFonts w:cstheme="minorHAnsi"/>
                <w:szCs w:val="18"/>
              </w:rPr>
            </w:pPr>
            <w:r w:rsidRPr="00747E35">
              <w:rPr>
                <w:rFonts w:cstheme="minorHAnsi"/>
                <w:szCs w:val="18"/>
              </w:rPr>
              <w:t>Lotic</w:t>
            </w:r>
          </w:p>
        </w:tc>
        <w:tc>
          <w:tcPr>
            <w:tcW w:w="7399" w:type="dxa"/>
            <w:tcBorders>
              <w:top w:val="nil"/>
              <w:left w:val="nil"/>
              <w:bottom w:val="single" w:sz="4" w:space="0" w:color="auto"/>
              <w:right w:val="single" w:sz="4" w:space="0" w:color="auto"/>
            </w:tcBorders>
            <w:shd w:val="clear" w:color="auto" w:fill="auto"/>
          </w:tcPr>
          <w:p w14:paraId="58BEA850" w14:textId="77777777" w:rsidR="00173728" w:rsidRPr="00747E35" w:rsidRDefault="00173728" w:rsidP="0096743A">
            <w:pPr>
              <w:pStyle w:val="Tabletext"/>
              <w:spacing w:before="0" w:after="0"/>
              <w:rPr>
                <w:rFonts w:cstheme="minorHAnsi"/>
                <w:szCs w:val="18"/>
              </w:rPr>
            </w:pPr>
            <w:r w:rsidRPr="00747E35">
              <w:rPr>
                <w:rFonts w:cstheme="minorHAnsi"/>
                <w:szCs w:val="18"/>
              </w:rPr>
              <w:t>Relating to running or flowing waters, as compared with standing (lentic) waters.</w:t>
            </w:r>
          </w:p>
        </w:tc>
      </w:tr>
      <w:tr w:rsidR="00173728" w:rsidRPr="00747E35" w14:paraId="769C6943"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6D76413D" w14:textId="77777777" w:rsidR="00173728" w:rsidRPr="00747E35" w:rsidRDefault="00173728" w:rsidP="0096743A">
            <w:pPr>
              <w:pStyle w:val="Tabletext"/>
              <w:spacing w:before="0" w:after="0"/>
              <w:rPr>
                <w:rFonts w:cstheme="minorHAnsi"/>
                <w:szCs w:val="18"/>
              </w:rPr>
            </w:pPr>
            <w:r w:rsidRPr="00747E35">
              <w:rPr>
                <w:rFonts w:cstheme="minorHAnsi"/>
                <w:szCs w:val="18"/>
              </w:rPr>
              <w:lastRenderedPageBreak/>
              <w:t>Mineralisation</w:t>
            </w:r>
          </w:p>
        </w:tc>
        <w:tc>
          <w:tcPr>
            <w:tcW w:w="7399" w:type="dxa"/>
            <w:tcBorders>
              <w:top w:val="nil"/>
              <w:left w:val="nil"/>
              <w:bottom w:val="single" w:sz="4" w:space="0" w:color="auto"/>
              <w:right w:val="single" w:sz="4" w:space="0" w:color="auto"/>
            </w:tcBorders>
            <w:shd w:val="clear" w:color="auto" w:fill="auto"/>
          </w:tcPr>
          <w:p w14:paraId="6CB1A88F" w14:textId="77777777" w:rsidR="00173728" w:rsidRPr="00747E35" w:rsidRDefault="00173728" w:rsidP="0096743A">
            <w:pPr>
              <w:pStyle w:val="Tabletext"/>
              <w:spacing w:before="0" w:after="0"/>
              <w:rPr>
                <w:rFonts w:cstheme="minorHAnsi"/>
                <w:szCs w:val="18"/>
              </w:rPr>
            </w:pPr>
            <w:r w:rsidRPr="00747E35">
              <w:rPr>
                <w:rFonts w:cstheme="minorHAnsi"/>
                <w:szCs w:val="18"/>
              </w:rPr>
              <w:t>The conversion of organic matter to inorganic matter by abiotic and biotic processes.</w:t>
            </w:r>
          </w:p>
        </w:tc>
      </w:tr>
      <w:tr w:rsidR="00173728" w:rsidRPr="00747E35" w14:paraId="50B2693F"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697F1E28" w14:textId="77777777" w:rsidR="00173728" w:rsidRPr="00747E35" w:rsidRDefault="00173728" w:rsidP="0096743A">
            <w:pPr>
              <w:pStyle w:val="Tabletext"/>
              <w:spacing w:before="0" w:after="0"/>
              <w:rPr>
                <w:rFonts w:cstheme="minorHAnsi"/>
                <w:szCs w:val="18"/>
              </w:rPr>
            </w:pPr>
            <w:r w:rsidRPr="00747E35">
              <w:rPr>
                <w:rFonts w:cstheme="minorHAnsi"/>
                <w:szCs w:val="18"/>
              </w:rPr>
              <w:t>Mixing model</w:t>
            </w:r>
          </w:p>
        </w:tc>
        <w:tc>
          <w:tcPr>
            <w:tcW w:w="7399" w:type="dxa"/>
            <w:tcBorders>
              <w:top w:val="nil"/>
              <w:left w:val="nil"/>
              <w:bottom w:val="single" w:sz="4" w:space="0" w:color="auto"/>
              <w:right w:val="single" w:sz="4" w:space="0" w:color="auto"/>
            </w:tcBorders>
            <w:shd w:val="clear" w:color="auto" w:fill="auto"/>
          </w:tcPr>
          <w:p w14:paraId="4CB4D73F" w14:textId="77777777" w:rsidR="00173728" w:rsidRPr="00747E35" w:rsidRDefault="00173728" w:rsidP="0096743A">
            <w:pPr>
              <w:pStyle w:val="Tabletext"/>
              <w:spacing w:before="0" w:after="0"/>
              <w:rPr>
                <w:rFonts w:cstheme="minorHAnsi"/>
                <w:szCs w:val="18"/>
              </w:rPr>
            </w:pPr>
            <w:r w:rsidRPr="00747E35">
              <w:rPr>
                <w:rFonts w:cstheme="minorHAnsi"/>
                <w:szCs w:val="18"/>
              </w:rPr>
              <w:t>Mathematical models with fixed and random effects to determine the proportions of various sources in a mixture.  Commonly used in stable isotope analysis.</w:t>
            </w:r>
          </w:p>
        </w:tc>
      </w:tr>
      <w:tr w:rsidR="00173728" w:rsidRPr="00747E35" w14:paraId="747341C3"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677C7C29" w14:textId="77777777" w:rsidR="00173728" w:rsidRPr="00747E35" w:rsidRDefault="00173728" w:rsidP="0096743A">
            <w:pPr>
              <w:pStyle w:val="Tabletext"/>
              <w:spacing w:before="0" w:after="0"/>
              <w:rPr>
                <w:rFonts w:cstheme="minorHAnsi"/>
                <w:szCs w:val="18"/>
              </w:rPr>
            </w:pPr>
            <w:r w:rsidRPr="00747E35">
              <w:rPr>
                <w:rFonts w:cstheme="minorHAnsi"/>
                <w:szCs w:val="18"/>
              </w:rPr>
              <w:t>Morphology</w:t>
            </w:r>
          </w:p>
        </w:tc>
        <w:tc>
          <w:tcPr>
            <w:tcW w:w="7399" w:type="dxa"/>
            <w:tcBorders>
              <w:top w:val="nil"/>
              <w:left w:val="nil"/>
              <w:bottom w:val="single" w:sz="4" w:space="0" w:color="auto"/>
              <w:right w:val="single" w:sz="4" w:space="0" w:color="auto"/>
            </w:tcBorders>
            <w:shd w:val="clear" w:color="auto" w:fill="auto"/>
          </w:tcPr>
          <w:p w14:paraId="2DB42EC7" w14:textId="77777777" w:rsidR="00173728" w:rsidRPr="00747E35" w:rsidRDefault="00173728" w:rsidP="0096743A">
            <w:pPr>
              <w:pStyle w:val="Tabletext"/>
              <w:spacing w:before="0" w:after="0"/>
              <w:rPr>
                <w:rFonts w:cstheme="minorHAnsi"/>
                <w:szCs w:val="18"/>
              </w:rPr>
            </w:pPr>
            <w:r w:rsidRPr="00747E35">
              <w:rPr>
                <w:rFonts w:cstheme="minorHAnsi"/>
                <w:szCs w:val="18"/>
              </w:rPr>
              <w:t>The physical form and structure of an organism or one of its parts.</w:t>
            </w:r>
          </w:p>
        </w:tc>
      </w:tr>
      <w:tr w:rsidR="009A08A3" w:rsidRPr="00747E35" w14:paraId="41946C12"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43916160" w14:textId="7ED0050C" w:rsidR="009A08A3" w:rsidRPr="00747E35" w:rsidRDefault="009A08A3" w:rsidP="009A08A3">
            <w:pPr>
              <w:pStyle w:val="Tabletext"/>
              <w:tabs>
                <w:tab w:val="right" w:pos="1911"/>
              </w:tabs>
              <w:spacing w:before="0" w:after="0"/>
              <w:rPr>
                <w:rFonts w:cstheme="minorHAnsi"/>
                <w:szCs w:val="18"/>
              </w:rPr>
            </w:pPr>
            <w:r w:rsidRPr="009A08A3">
              <w:rPr>
                <w:rFonts w:cstheme="minorHAnsi"/>
                <w:szCs w:val="18"/>
              </w:rPr>
              <w:t>Morpho-species, morpho-taxon</w:t>
            </w:r>
          </w:p>
        </w:tc>
        <w:tc>
          <w:tcPr>
            <w:tcW w:w="7399" w:type="dxa"/>
            <w:tcBorders>
              <w:top w:val="nil"/>
              <w:left w:val="nil"/>
              <w:bottom w:val="single" w:sz="4" w:space="0" w:color="auto"/>
              <w:right w:val="single" w:sz="4" w:space="0" w:color="auto"/>
            </w:tcBorders>
            <w:shd w:val="clear" w:color="auto" w:fill="auto"/>
          </w:tcPr>
          <w:p w14:paraId="3B518627" w14:textId="4075491A" w:rsidR="009A08A3" w:rsidRPr="00747E35" w:rsidRDefault="009A08A3" w:rsidP="009A08A3">
            <w:pPr>
              <w:pStyle w:val="Tabletext"/>
              <w:spacing w:before="0" w:after="0"/>
              <w:rPr>
                <w:rFonts w:cstheme="minorHAnsi"/>
                <w:szCs w:val="18"/>
              </w:rPr>
            </w:pPr>
            <w:r w:rsidRPr="009A08A3">
              <w:rPr>
                <w:rFonts w:cstheme="minorHAnsi"/>
                <w:szCs w:val="18"/>
              </w:rPr>
              <w:t>A species (or taxon) distinguished from others only by its morphology. Typically applied during para-taxonomic sorting and identification, for specimens in unsuitable condition for the observation of species level characters, or for organisms where the current state of taxonomic knowledge is insufficient or unknown</w:t>
            </w:r>
            <w:r w:rsidRPr="00747E35">
              <w:rPr>
                <w:rFonts w:cstheme="minorHAnsi"/>
                <w:szCs w:val="18"/>
              </w:rPr>
              <w:t>.</w:t>
            </w:r>
          </w:p>
        </w:tc>
      </w:tr>
      <w:tr w:rsidR="00173728" w:rsidRPr="00747E35" w14:paraId="6C086F3A"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17627F4F" w14:textId="77777777" w:rsidR="00173728" w:rsidRPr="00747E35" w:rsidRDefault="00173728" w:rsidP="0096743A">
            <w:pPr>
              <w:pStyle w:val="Tabletext"/>
              <w:spacing w:before="0" w:after="0"/>
              <w:rPr>
                <w:rFonts w:cstheme="minorHAnsi"/>
                <w:szCs w:val="18"/>
              </w:rPr>
            </w:pPr>
            <w:r w:rsidRPr="00747E35">
              <w:rPr>
                <w:rFonts w:cstheme="minorHAnsi"/>
                <w:szCs w:val="18"/>
              </w:rPr>
              <w:t>Multi-dimensional scaling</w:t>
            </w:r>
          </w:p>
        </w:tc>
        <w:tc>
          <w:tcPr>
            <w:tcW w:w="7399" w:type="dxa"/>
            <w:tcBorders>
              <w:top w:val="nil"/>
              <w:left w:val="nil"/>
              <w:bottom w:val="single" w:sz="4" w:space="0" w:color="auto"/>
              <w:right w:val="single" w:sz="4" w:space="0" w:color="auto"/>
            </w:tcBorders>
            <w:shd w:val="clear" w:color="auto" w:fill="auto"/>
          </w:tcPr>
          <w:p w14:paraId="38BAA994" w14:textId="77777777" w:rsidR="00173728" w:rsidRPr="00747E35" w:rsidRDefault="00173728" w:rsidP="0096743A">
            <w:pPr>
              <w:pStyle w:val="Tabletext"/>
              <w:spacing w:before="0" w:after="0"/>
              <w:rPr>
                <w:rFonts w:cstheme="minorHAnsi"/>
                <w:szCs w:val="18"/>
              </w:rPr>
            </w:pPr>
            <w:r w:rsidRPr="00747E35">
              <w:rPr>
                <w:rFonts w:cstheme="minorHAnsi"/>
                <w:szCs w:val="18"/>
              </w:rPr>
              <w:t>Mathematical multivariate (ordination) technique for visualizing the level of similarity of individual cases or objects of a dataset using a number of variables.</w:t>
            </w:r>
          </w:p>
        </w:tc>
      </w:tr>
      <w:tr w:rsidR="00173728" w:rsidRPr="00747E35" w14:paraId="42634998"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1A9FE375" w14:textId="77777777" w:rsidR="00173728" w:rsidRPr="00747E35" w:rsidRDefault="00173728" w:rsidP="0096743A">
            <w:pPr>
              <w:pStyle w:val="Tabletext"/>
              <w:spacing w:before="0" w:after="0"/>
              <w:rPr>
                <w:rFonts w:cstheme="minorHAnsi"/>
                <w:szCs w:val="18"/>
              </w:rPr>
            </w:pPr>
            <w:r w:rsidRPr="00747E35">
              <w:rPr>
                <w:rFonts w:cstheme="minorHAnsi"/>
                <w:szCs w:val="18"/>
              </w:rPr>
              <w:t>NOx</w:t>
            </w:r>
          </w:p>
        </w:tc>
        <w:tc>
          <w:tcPr>
            <w:tcW w:w="7399" w:type="dxa"/>
            <w:tcBorders>
              <w:top w:val="nil"/>
              <w:left w:val="nil"/>
              <w:bottom w:val="single" w:sz="4" w:space="0" w:color="auto"/>
              <w:right w:val="single" w:sz="4" w:space="0" w:color="auto"/>
            </w:tcBorders>
            <w:shd w:val="clear" w:color="auto" w:fill="auto"/>
          </w:tcPr>
          <w:p w14:paraId="02E5BBD3" w14:textId="77777777" w:rsidR="00173728" w:rsidRPr="00747E35" w:rsidRDefault="00173728" w:rsidP="0096743A">
            <w:pPr>
              <w:pStyle w:val="Tabletext"/>
              <w:spacing w:before="0" w:after="0"/>
              <w:rPr>
                <w:rFonts w:cstheme="minorHAnsi"/>
                <w:szCs w:val="18"/>
              </w:rPr>
            </w:pPr>
            <w:r w:rsidRPr="00747E35">
              <w:rPr>
                <w:rFonts w:cstheme="minorHAnsi"/>
                <w:szCs w:val="18"/>
              </w:rPr>
              <w:t>The sum of nitrate (NO</w:t>
            </w:r>
            <w:r w:rsidRPr="00747E35">
              <w:rPr>
                <w:rFonts w:cstheme="minorHAnsi"/>
                <w:szCs w:val="18"/>
                <w:vertAlign w:val="subscript"/>
              </w:rPr>
              <w:t>3</w:t>
            </w:r>
            <w:r w:rsidRPr="00747E35">
              <w:rPr>
                <w:rFonts w:cstheme="minorHAnsi"/>
                <w:szCs w:val="18"/>
                <w:vertAlign w:val="superscript"/>
              </w:rPr>
              <w:t>-</w:t>
            </w:r>
            <w:r w:rsidRPr="00747E35">
              <w:rPr>
                <w:rFonts w:cstheme="minorHAnsi"/>
                <w:szCs w:val="18"/>
              </w:rPr>
              <w:t>) and nitrite (NO</w:t>
            </w:r>
            <w:r w:rsidRPr="00747E35">
              <w:rPr>
                <w:rFonts w:cstheme="minorHAnsi"/>
                <w:szCs w:val="18"/>
                <w:vertAlign w:val="subscript"/>
              </w:rPr>
              <w:t>2</w:t>
            </w:r>
            <w:r w:rsidRPr="00747E35">
              <w:rPr>
                <w:rFonts w:cstheme="minorHAnsi"/>
                <w:szCs w:val="18"/>
                <w:vertAlign w:val="superscript"/>
              </w:rPr>
              <w:t>-</w:t>
            </w:r>
            <w:r w:rsidRPr="00747E35">
              <w:rPr>
                <w:rFonts w:cstheme="minorHAnsi"/>
                <w:szCs w:val="18"/>
              </w:rPr>
              <w:t>) concentrations.</w:t>
            </w:r>
          </w:p>
        </w:tc>
      </w:tr>
      <w:tr w:rsidR="00173728" w:rsidRPr="00747E35" w14:paraId="5F542887"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60B320C" w14:textId="77777777" w:rsidR="00173728" w:rsidRPr="00747E35" w:rsidRDefault="00173728" w:rsidP="0096743A">
            <w:pPr>
              <w:pStyle w:val="Tabletext"/>
              <w:rPr>
                <w:rFonts w:cstheme="minorHAnsi"/>
                <w:szCs w:val="18"/>
              </w:rPr>
            </w:pPr>
            <w:r w:rsidRPr="00747E35">
              <w:rPr>
                <w:rFonts w:cstheme="minorHAnsi"/>
                <w:szCs w:val="18"/>
              </w:rPr>
              <w:t xml:space="preserve">Organic matter processing </w:t>
            </w:r>
          </w:p>
        </w:tc>
        <w:tc>
          <w:tcPr>
            <w:tcW w:w="7399" w:type="dxa"/>
            <w:tcBorders>
              <w:top w:val="nil"/>
              <w:left w:val="nil"/>
              <w:bottom w:val="single" w:sz="4" w:space="0" w:color="auto"/>
              <w:right w:val="single" w:sz="4" w:space="0" w:color="auto"/>
            </w:tcBorders>
            <w:shd w:val="clear" w:color="auto" w:fill="auto"/>
          </w:tcPr>
          <w:p w14:paraId="268BE16F" w14:textId="77777777" w:rsidR="00173728" w:rsidRPr="00747E35" w:rsidRDefault="00173728" w:rsidP="0096743A">
            <w:pPr>
              <w:pStyle w:val="Tabletext"/>
              <w:rPr>
                <w:rFonts w:cstheme="minorHAnsi"/>
                <w:szCs w:val="18"/>
              </w:rPr>
            </w:pPr>
            <w:r w:rsidRPr="00747E35">
              <w:rPr>
                <w:rFonts w:cstheme="minorHAnsi"/>
                <w:szCs w:val="18"/>
              </w:rPr>
              <w:t>The biological (i.e. consumption) and physical (i.e. fragmentation due to flowing water) degradaton of organic substances.</w:t>
            </w:r>
          </w:p>
        </w:tc>
      </w:tr>
      <w:tr w:rsidR="00173728" w:rsidRPr="00747E35" w14:paraId="38EB9C68"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3AA3AEA4" w14:textId="77777777" w:rsidR="00173728" w:rsidRPr="00747E35" w:rsidRDefault="00173728" w:rsidP="0096743A">
            <w:pPr>
              <w:pStyle w:val="Tabletext"/>
              <w:spacing w:before="0" w:after="0"/>
              <w:rPr>
                <w:rFonts w:cstheme="minorHAnsi"/>
                <w:szCs w:val="18"/>
              </w:rPr>
            </w:pPr>
            <w:r w:rsidRPr="00747E35">
              <w:rPr>
                <w:rFonts w:cstheme="minorHAnsi"/>
                <w:szCs w:val="18"/>
              </w:rPr>
              <w:t>Palustrine</w:t>
            </w:r>
          </w:p>
        </w:tc>
        <w:tc>
          <w:tcPr>
            <w:tcW w:w="7399" w:type="dxa"/>
            <w:tcBorders>
              <w:top w:val="nil"/>
              <w:left w:val="nil"/>
              <w:bottom w:val="single" w:sz="4" w:space="0" w:color="auto"/>
              <w:right w:val="single" w:sz="4" w:space="0" w:color="auto"/>
            </w:tcBorders>
            <w:shd w:val="clear" w:color="auto" w:fill="auto"/>
          </w:tcPr>
          <w:p w14:paraId="346F9D20" w14:textId="77777777" w:rsidR="00173728" w:rsidRPr="00747E35" w:rsidRDefault="00173728" w:rsidP="0096743A">
            <w:pPr>
              <w:pStyle w:val="Tabletext"/>
              <w:spacing w:before="0" w:after="0"/>
              <w:rPr>
                <w:rFonts w:cstheme="minorHAnsi"/>
                <w:szCs w:val="18"/>
              </w:rPr>
            </w:pPr>
            <w:r w:rsidRPr="00747E35">
              <w:rPr>
                <w:rFonts w:cstheme="minorHAnsi"/>
                <w:szCs w:val="18"/>
              </w:rPr>
              <w:t>Relating to a small wetland that is non-riverine or non-channel and can be vegetated throughout. They include billabongs, swamps, bogs, springs, soaks.</w:t>
            </w:r>
          </w:p>
        </w:tc>
      </w:tr>
      <w:tr w:rsidR="00173728" w:rsidRPr="00747E35" w14:paraId="58521B0E"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41DC1C12" w14:textId="77777777" w:rsidR="00173728" w:rsidRPr="00747E35" w:rsidRDefault="00173728" w:rsidP="0096743A">
            <w:pPr>
              <w:pStyle w:val="Tabletext"/>
              <w:spacing w:before="0" w:after="0"/>
              <w:rPr>
                <w:rFonts w:cstheme="minorHAnsi"/>
                <w:szCs w:val="18"/>
              </w:rPr>
            </w:pPr>
            <w:r w:rsidRPr="00747E35">
              <w:rPr>
                <w:rFonts w:cstheme="minorHAnsi"/>
                <w:szCs w:val="18"/>
              </w:rPr>
              <w:t>Parafluvial zone</w:t>
            </w:r>
          </w:p>
        </w:tc>
        <w:tc>
          <w:tcPr>
            <w:tcW w:w="7399" w:type="dxa"/>
            <w:tcBorders>
              <w:top w:val="nil"/>
              <w:left w:val="nil"/>
              <w:bottom w:val="single" w:sz="4" w:space="0" w:color="auto"/>
              <w:right w:val="single" w:sz="4" w:space="0" w:color="auto"/>
            </w:tcBorders>
            <w:shd w:val="clear" w:color="auto" w:fill="auto"/>
          </w:tcPr>
          <w:p w14:paraId="342DB3A9" w14:textId="77777777" w:rsidR="00173728" w:rsidRPr="00747E35" w:rsidRDefault="00173728" w:rsidP="0096743A">
            <w:pPr>
              <w:pStyle w:val="Tabletext"/>
              <w:spacing w:before="0" w:after="0"/>
              <w:rPr>
                <w:rFonts w:cstheme="minorHAnsi"/>
                <w:szCs w:val="18"/>
              </w:rPr>
            </w:pPr>
            <w:r w:rsidRPr="00747E35">
              <w:rPr>
                <w:rFonts w:cstheme="minorHAnsi"/>
                <w:szCs w:val="18"/>
              </w:rPr>
              <w:t>The area of the bankfull channel that is usually scoured annually by flooding.</w:t>
            </w:r>
          </w:p>
        </w:tc>
      </w:tr>
      <w:tr w:rsidR="00173728" w:rsidRPr="00747E35" w14:paraId="51E1DCA4"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60E4DEEC" w14:textId="77777777" w:rsidR="00173728" w:rsidRPr="00747E35" w:rsidRDefault="00173728" w:rsidP="0096743A">
            <w:pPr>
              <w:pStyle w:val="Tabletext"/>
              <w:spacing w:before="0" w:after="0"/>
              <w:rPr>
                <w:rFonts w:cstheme="minorHAnsi"/>
                <w:szCs w:val="18"/>
              </w:rPr>
            </w:pPr>
            <w:r w:rsidRPr="00747E35">
              <w:rPr>
                <w:rFonts w:cstheme="minorHAnsi"/>
                <w:szCs w:val="18"/>
              </w:rPr>
              <w:t>Parataxonomy</w:t>
            </w:r>
          </w:p>
        </w:tc>
        <w:tc>
          <w:tcPr>
            <w:tcW w:w="7399" w:type="dxa"/>
            <w:tcBorders>
              <w:top w:val="nil"/>
              <w:left w:val="nil"/>
              <w:bottom w:val="single" w:sz="4" w:space="0" w:color="auto"/>
              <w:right w:val="single" w:sz="4" w:space="0" w:color="auto"/>
            </w:tcBorders>
            <w:shd w:val="clear" w:color="auto" w:fill="auto"/>
          </w:tcPr>
          <w:p w14:paraId="4748E0B8" w14:textId="77777777" w:rsidR="00173728" w:rsidRPr="00747E35" w:rsidRDefault="00173728" w:rsidP="0096743A">
            <w:pPr>
              <w:pStyle w:val="Tabletext"/>
              <w:spacing w:before="0" w:after="0"/>
              <w:rPr>
                <w:rFonts w:cstheme="minorHAnsi"/>
                <w:szCs w:val="18"/>
              </w:rPr>
            </w:pPr>
            <w:r w:rsidRPr="00747E35">
              <w:rPr>
                <w:rFonts w:cstheme="minorHAnsi"/>
                <w:szCs w:val="18"/>
              </w:rPr>
              <w:t>Sorting of specimens into recognizable taxonomic units (e.g. higher taxonomic levels such as family or order, or morpho-species) based upon morphology, without the use of taxonomic keys or expert knowledge.</w:t>
            </w:r>
          </w:p>
        </w:tc>
      </w:tr>
      <w:tr w:rsidR="00173728" w:rsidRPr="00747E35" w14:paraId="7E3AAE34"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60DA6BB3" w14:textId="77777777" w:rsidR="00173728" w:rsidRPr="00747E35" w:rsidRDefault="00173728" w:rsidP="0096743A">
            <w:pPr>
              <w:pStyle w:val="Tabletext"/>
              <w:spacing w:before="0" w:after="0"/>
              <w:rPr>
                <w:rFonts w:cstheme="minorHAnsi"/>
                <w:szCs w:val="18"/>
              </w:rPr>
            </w:pPr>
            <w:r w:rsidRPr="00747E35">
              <w:rPr>
                <w:rFonts w:cstheme="minorHAnsi"/>
                <w:szCs w:val="18"/>
              </w:rPr>
              <w:t>Particulate organic matter (POM)</w:t>
            </w:r>
          </w:p>
        </w:tc>
        <w:tc>
          <w:tcPr>
            <w:tcW w:w="7399" w:type="dxa"/>
            <w:tcBorders>
              <w:top w:val="nil"/>
              <w:left w:val="nil"/>
              <w:bottom w:val="single" w:sz="4" w:space="0" w:color="auto"/>
              <w:right w:val="single" w:sz="4" w:space="0" w:color="auto"/>
            </w:tcBorders>
            <w:shd w:val="clear" w:color="auto" w:fill="auto"/>
          </w:tcPr>
          <w:p w14:paraId="36628FFD" w14:textId="77777777" w:rsidR="00173728" w:rsidRPr="00747E35" w:rsidRDefault="00173728" w:rsidP="0096743A">
            <w:pPr>
              <w:pStyle w:val="Tabletext"/>
              <w:spacing w:before="0" w:after="0"/>
              <w:rPr>
                <w:rFonts w:cstheme="minorHAnsi"/>
                <w:szCs w:val="18"/>
              </w:rPr>
            </w:pPr>
            <w:r w:rsidRPr="00747E35">
              <w:rPr>
                <w:rFonts w:cstheme="minorHAnsi"/>
                <w:szCs w:val="18"/>
              </w:rPr>
              <w:t>Material of plant or animal origin that is suspended in water (e.g. leaves, sticks, bark). May be further defined as coarse particulate organic matter (CPOM) and fine particulate organic matter (FPOM).</w:t>
            </w:r>
          </w:p>
        </w:tc>
      </w:tr>
      <w:tr w:rsidR="00173728" w:rsidRPr="00747E35" w14:paraId="545D163C"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2C3A042B" w14:textId="77777777" w:rsidR="00173728" w:rsidRPr="00747E35" w:rsidRDefault="00173728" w:rsidP="0096743A">
            <w:pPr>
              <w:pStyle w:val="Tabletext"/>
              <w:spacing w:before="0" w:after="0"/>
              <w:rPr>
                <w:rFonts w:cstheme="minorHAnsi"/>
                <w:szCs w:val="18"/>
              </w:rPr>
            </w:pPr>
            <w:r w:rsidRPr="00747E35">
              <w:rPr>
                <w:rFonts w:cstheme="minorHAnsi"/>
                <w:szCs w:val="18"/>
              </w:rPr>
              <w:t>Perennial stream</w:t>
            </w:r>
          </w:p>
        </w:tc>
        <w:tc>
          <w:tcPr>
            <w:tcW w:w="7399" w:type="dxa"/>
            <w:tcBorders>
              <w:top w:val="nil"/>
              <w:left w:val="nil"/>
              <w:bottom w:val="single" w:sz="4" w:space="0" w:color="auto"/>
              <w:right w:val="single" w:sz="4" w:space="0" w:color="auto"/>
            </w:tcBorders>
            <w:shd w:val="clear" w:color="auto" w:fill="auto"/>
          </w:tcPr>
          <w:p w14:paraId="48BEA217" w14:textId="77777777" w:rsidR="00173728" w:rsidRPr="00747E35" w:rsidRDefault="00173728" w:rsidP="0096743A">
            <w:pPr>
              <w:pStyle w:val="Tabletext"/>
              <w:spacing w:before="0" w:after="0"/>
              <w:rPr>
                <w:rFonts w:cstheme="minorHAnsi"/>
                <w:szCs w:val="18"/>
              </w:rPr>
            </w:pPr>
            <w:r w:rsidRPr="00747E35">
              <w:rPr>
                <w:rFonts w:cstheme="minorHAnsi"/>
                <w:szCs w:val="18"/>
              </w:rPr>
              <w:t>A stream with continuous flowing water for the majority (e.g. 90%) of the time.</w:t>
            </w:r>
          </w:p>
        </w:tc>
      </w:tr>
      <w:tr w:rsidR="00173728" w:rsidRPr="00747E35" w14:paraId="568D4F63"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122AD963"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Periphyton </w:t>
            </w:r>
          </w:p>
        </w:tc>
        <w:tc>
          <w:tcPr>
            <w:tcW w:w="7399" w:type="dxa"/>
            <w:tcBorders>
              <w:top w:val="nil"/>
              <w:left w:val="nil"/>
              <w:bottom w:val="single" w:sz="4" w:space="0" w:color="auto"/>
              <w:right w:val="single" w:sz="4" w:space="0" w:color="auto"/>
            </w:tcBorders>
            <w:shd w:val="clear" w:color="auto" w:fill="auto"/>
          </w:tcPr>
          <w:p w14:paraId="10E2596C" w14:textId="77777777" w:rsidR="00173728" w:rsidRPr="00747E35" w:rsidRDefault="00173728" w:rsidP="0096743A">
            <w:pPr>
              <w:pStyle w:val="Tabletext"/>
              <w:spacing w:before="0" w:after="0"/>
              <w:rPr>
                <w:rFonts w:cstheme="minorHAnsi"/>
                <w:szCs w:val="18"/>
              </w:rPr>
            </w:pPr>
            <w:r w:rsidRPr="00747E35">
              <w:rPr>
                <w:rFonts w:cstheme="minorHAnsi"/>
                <w:szCs w:val="18"/>
              </w:rPr>
              <w:t>Freshwater organisms (generally confined to small autotrophs) attached or clinging to submerged substrata in an aquatic ecosystem.</w:t>
            </w:r>
          </w:p>
        </w:tc>
      </w:tr>
      <w:tr w:rsidR="00173728" w:rsidRPr="00747E35" w14:paraId="5FAA823A"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062B69ED" w14:textId="77777777" w:rsidR="00173728" w:rsidRPr="00747E35" w:rsidRDefault="00173728" w:rsidP="0096743A">
            <w:pPr>
              <w:pStyle w:val="Tabletext"/>
              <w:spacing w:before="0" w:after="0"/>
              <w:rPr>
                <w:rFonts w:cstheme="minorHAnsi"/>
                <w:szCs w:val="18"/>
              </w:rPr>
            </w:pPr>
            <w:r w:rsidRPr="00747E35">
              <w:rPr>
                <w:rFonts w:cstheme="minorHAnsi"/>
                <w:szCs w:val="18"/>
              </w:rPr>
              <w:t>Phreatophyte</w:t>
            </w:r>
          </w:p>
        </w:tc>
        <w:tc>
          <w:tcPr>
            <w:tcW w:w="7399" w:type="dxa"/>
            <w:tcBorders>
              <w:top w:val="nil"/>
              <w:left w:val="nil"/>
              <w:bottom w:val="single" w:sz="4" w:space="0" w:color="auto"/>
              <w:right w:val="single" w:sz="4" w:space="0" w:color="auto"/>
            </w:tcBorders>
            <w:shd w:val="clear" w:color="auto" w:fill="auto"/>
          </w:tcPr>
          <w:p w14:paraId="4A8B5E39" w14:textId="77777777" w:rsidR="00173728" w:rsidRPr="00747E35" w:rsidRDefault="00173728" w:rsidP="0096743A">
            <w:pPr>
              <w:pStyle w:val="Tabletext"/>
              <w:spacing w:before="0" w:after="0"/>
              <w:rPr>
                <w:rFonts w:cstheme="minorHAnsi"/>
                <w:szCs w:val="18"/>
              </w:rPr>
            </w:pPr>
            <w:r w:rsidRPr="00747E35">
              <w:rPr>
                <w:rFonts w:cstheme="minorHAnsi"/>
                <w:szCs w:val="18"/>
              </w:rPr>
              <w:t>Plants that habitually obtain water from groundwater, via the zone of saturation, either directly or through the capillary fringe above the water table.</w:t>
            </w:r>
          </w:p>
        </w:tc>
      </w:tr>
      <w:tr w:rsidR="00173728" w:rsidRPr="00747E35" w14:paraId="440C89D4"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2B52DCE3" w14:textId="77777777" w:rsidR="00173728" w:rsidRPr="00747E35" w:rsidRDefault="00173728" w:rsidP="0096743A">
            <w:pPr>
              <w:pStyle w:val="Tabletext"/>
              <w:spacing w:before="0" w:after="0"/>
              <w:rPr>
                <w:rFonts w:cstheme="minorHAnsi"/>
                <w:szCs w:val="18"/>
              </w:rPr>
            </w:pPr>
            <w:r w:rsidRPr="00747E35">
              <w:rPr>
                <w:rFonts w:cstheme="minorHAnsi"/>
                <w:szCs w:val="18"/>
              </w:rPr>
              <w:t>Phylogenetic diversity (PD)</w:t>
            </w:r>
          </w:p>
        </w:tc>
        <w:tc>
          <w:tcPr>
            <w:tcW w:w="7399" w:type="dxa"/>
            <w:tcBorders>
              <w:top w:val="nil"/>
              <w:left w:val="nil"/>
              <w:bottom w:val="single" w:sz="4" w:space="0" w:color="auto"/>
              <w:right w:val="single" w:sz="4" w:space="0" w:color="auto"/>
            </w:tcBorders>
            <w:shd w:val="clear" w:color="auto" w:fill="auto"/>
          </w:tcPr>
          <w:p w14:paraId="24F0C6EF"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A measure of diversity based on units of phylogenetic variation (instead of taxa). Areas with high PD may represent centres of current speciation and may be important areas to protect for maintenance of evolutionary processes. High PD could arise by having a high number of closely related taxa or by having few taxa that are phylogenetically divergent from one another. </w:t>
            </w:r>
          </w:p>
        </w:tc>
      </w:tr>
      <w:tr w:rsidR="00173728" w:rsidRPr="00747E35" w14:paraId="40C8FEC6"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30105D0A" w14:textId="77777777" w:rsidR="00173728" w:rsidRPr="00747E35" w:rsidRDefault="00173728" w:rsidP="0096743A">
            <w:pPr>
              <w:pStyle w:val="Tabletext"/>
              <w:spacing w:before="0" w:after="0"/>
              <w:rPr>
                <w:rFonts w:cstheme="minorHAnsi"/>
                <w:szCs w:val="18"/>
              </w:rPr>
            </w:pPr>
            <w:r w:rsidRPr="00747E35">
              <w:rPr>
                <w:rFonts w:cstheme="minorHAnsi"/>
                <w:szCs w:val="18"/>
              </w:rPr>
              <w:t>Phylogenetic endemism (PE)</w:t>
            </w:r>
          </w:p>
        </w:tc>
        <w:tc>
          <w:tcPr>
            <w:tcW w:w="7399" w:type="dxa"/>
            <w:tcBorders>
              <w:top w:val="nil"/>
              <w:left w:val="nil"/>
              <w:bottom w:val="single" w:sz="4" w:space="0" w:color="auto"/>
              <w:right w:val="single" w:sz="4" w:space="0" w:color="auto"/>
            </w:tcBorders>
            <w:shd w:val="clear" w:color="auto" w:fill="auto"/>
          </w:tcPr>
          <w:p w14:paraId="7ECE05FF"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A measure of the degree to which elements of evolutionary history are spatially restricted in space. PE combines the phylogenetic diversity (PD) and taxonomic endemism (TE) measures to identify areas to which substantial components of phylogenetic diversity are restricted. </w:t>
            </w:r>
          </w:p>
        </w:tc>
      </w:tr>
      <w:tr w:rsidR="00173728" w:rsidRPr="00747E35" w14:paraId="7FEA4631"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9E2C493" w14:textId="77777777" w:rsidR="00173728" w:rsidRPr="00747E35" w:rsidRDefault="00173728" w:rsidP="0096743A">
            <w:pPr>
              <w:pStyle w:val="Tabletext"/>
              <w:spacing w:before="0" w:after="0"/>
              <w:rPr>
                <w:rFonts w:cstheme="minorHAnsi"/>
                <w:szCs w:val="18"/>
              </w:rPr>
            </w:pPr>
            <w:r w:rsidRPr="00747E35">
              <w:rPr>
                <w:rFonts w:cstheme="minorHAnsi"/>
                <w:szCs w:val="18"/>
              </w:rPr>
              <w:t>Phylogeny</w:t>
            </w:r>
          </w:p>
        </w:tc>
        <w:tc>
          <w:tcPr>
            <w:tcW w:w="7399" w:type="dxa"/>
            <w:tcBorders>
              <w:top w:val="nil"/>
              <w:left w:val="nil"/>
              <w:bottom w:val="single" w:sz="4" w:space="0" w:color="auto"/>
              <w:right w:val="single" w:sz="4" w:space="0" w:color="auto"/>
            </w:tcBorders>
            <w:shd w:val="clear" w:color="auto" w:fill="auto"/>
          </w:tcPr>
          <w:p w14:paraId="0B9C22A8" w14:textId="77777777" w:rsidR="00173728" w:rsidRPr="00747E35" w:rsidRDefault="00173728" w:rsidP="0096743A">
            <w:pPr>
              <w:pStyle w:val="Tabletext"/>
              <w:spacing w:before="0" w:after="0"/>
              <w:rPr>
                <w:rFonts w:cstheme="minorHAnsi"/>
                <w:szCs w:val="18"/>
              </w:rPr>
            </w:pPr>
            <w:r w:rsidRPr="00747E35">
              <w:rPr>
                <w:rFonts w:cstheme="minorHAnsi"/>
                <w:szCs w:val="18"/>
              </w:rPr>
              <w:t>Branching diagram or "tree" showing the inferred evolutionary relationships among various taxa based upon similarities and differences in their physical or genetic characteristics</w:t>
            </w:r>
          </w:p>
        </w:tc>
      </w:tr>
      <w:tr w:rsidR="00173728" w:rsidRPr="00747E35" w14:paraId="27228F84"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5993CAB9" w14:textId="77777777" w:rsidR="00173728" w:rsidRPr="00747E35" w:rsidRDefault="00173728" w:rsidP="0096743A">
            <w:pPr>
              <w:pStyle w:val="Tabletext"/>
              <w:spacing w:before="0" w:after="0"/>
              <w:rPr>
                <w:rFonts w:cstheme="minorHAnsi"/>
                <w:szCs w:val="18"/>
              </w:rPr>
            </w:pPr>
            <w:r w:rsidRPr="00747E35">
              <w:rPr>
                <w:rFonts w:cstheme="minorHAnsi"/>
                <w:szCs w:val="18"/>
              </w:rPr>
              <w:t>Plant life history</w:t>
            </w:r>
          </w:p>
        </w:tc>
        <w:tc>
          <w:tcPr>
            <w:tcW w:w="7399" w:type="dxa"/>
            <w:tcBorders>
              <w:top w:val="nil"/>
              <w:left w:val="nil"/>
              <w:bottom w:val="single" w:sz="4" w:space="0" w:color="auto"/>
              <w:right w:val="single" w:sz="4" w:space="0" w:color="auto"/>
            </w:tcBorders>
            <w:shd w:val="clear" w:color="auto" w:fill="auto"/>
          </w:tcPr>
          <w:p w14:paraId="15D4FE0A" w14:textId="77777777" w:rsidR="00173728" w:rsidRPr="00747E35" w:rsidRDefault="00173728" w:rsidP="0096743A">
            <w:pPr>
              <w:pStyle w:val="Tabletext"/>
              <w:spacing w:before="0" w:after="0"/>
              <w:rPr>
                <w:rFonts w:cstheme="minorHAnsi"/>
                <w:szCs w:val="18"/>
              </w:rPr>
            </w:pPr>
            <w:r w:rsidRPr="00747E35">
              <w:rPr>
                <w:rFonts w:cstheme="minorHAnsi"/>
                <w:szCs w:val="18"/>
              </w:rPr>
              <w:t>The longevity and reproductive traits of plants (e.g. annuals, perennials, ephemerals)</w:t>
            </w:r>
          </w:p>
        </w:tc>
      </w:tr>
      <w:tr w:rsidR="00173728" w:rsidRPr="00747E35" w14:paraId="04AD25C7"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3E8722C" w14:textId="77777777" w:rsidR="00173728" w:rsidRPr="00747E35" w:rsidRDefault="00173728" w:rsidP="0096743A">
            <w:pPr>
              <w:pStyle w:val="Tabletext"/>
              <w:spacing w:before="0" w:after="0"/>
              <w:rPr>
                <w:rFonts w:cstheme="minorHAnsi"/>
                <w:szCs w:val="18"/>
              </w:rPr>
            </w:pPr>
            <w:r w:rsidRPr="00747E35">
              <w:rPr>
                <w:rFonts w:cstheme="minorHAnsi"/>
                <w:szCs w:val="18"/>
              </w:rPr>
              <w:t>Pool</w:t>
            </w:r>
          </w:p>
        </w:tc>
        <w:tc>
          <w:tcPr>
            <w:tcW w:w="7399" w:type="dxa"/>
            <w:tcBorders>
              <w:top w:val="nil"/>
              <w:left w:val="nil"/>
              <w:bottom w:val="single" w:sz="4" w:space="0" w:color="auto"/>
              <w:right w:val="single" w:sz="4" w:space="0" w:color="auto"/>
            </w:tcBorders>
            <w:shd w:val="clear" w:color="auto" w:fill="auto"/>
          </w:tcPr>
          <w:p w14:paraId="3770FD2B" w14:textId="77777777" w:rsidR="00173728" w:rsidRPr="00747E35" w:rsidRDefault="00173728" w:rsidP="0096743A">
            <w:pPr>
              <w:pStyle w:val="Tabletext"/>
              <w:spacing w:before="0" w:after="0"/>
              <w:rPr>
                <w:rFonts w:cstheme="minorHAnsi"/>
                <w:szCs w:val="18"/>
              </w:rPr>
            </w:pPr>
            <w:r w:rsidRPr="00747E35">
              <w:rPr>
                <w:rFonts w:cstheme="minorHAnsi"/>
                <w:szCs w:val="18"/>
              </w:rPr>
              <w:t>A slow moving, often stagnant section of a stream or river, with deeper water than adjacent habitats.</w:t>
            </w:r>
          </w:p>
        </w:tc>
      </w:tr>
      <w:tr w:rsidR="00173728" w:rsidRPr="00747E35" w14:paraId="7D600A29"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018EFDE4" w14:textId="77777777" w:rsidR="00173728" w:rsidRPr="00747E35" w:rsidRDefault="00173728" w:rsidP="0096743A">
            <w:pPr>
              <w:pStyle w:val="Tabletext"/>
              <w:spacing w:before="0" w:after="0"/>
              <w:rPr>
                <w:rFonts w:cstheme="minorHAnsi"/>
                <w:szCs w:val="18"/>
              </w:rPr>
            </w:pPr>
            <w:r w:rsidRPr="00747E35">
              <w:rPr>
                <w:rFonts w:cstheme="minorHAnsi"/>
                <w:szCs w:val="18"/>
              </w:rPr>
              <w:t>Primary producers</w:t>
            </w:r>
          </w:p>
        </w:tc>
        <w:tc>
          <w:tcPr>
            <w:tcW w:w="7399" w:type="dxa"/>
            <w:tcBorders>
              <w:top w:val="nil"/>
              <w:left w:val="nil"/>
              <w:bottom w:val="single" w:sz="4" w:space="0" w:color="auto"/>
              <w:right w:val="single" w:sz="4" w:space="0" w:color="auto"/>
            </w:tcBorders>
            <w:shd w:val="clear" w:color="auto" w:fill="auto"/>
          </w:tcPr>
          <w:p w14:paraId="65AEC8F3" w14:textId="77777777" w:rsidR="00173728" w:rsidRPr="00747E35" w:rsidRDefault="00173728" w:rsidP="0096743A">
            <w:pPr>
              <w:pStyle w:val="Tabletext"/>
              <w:spacing w:before="0" w:after="0"/>
              <w:rPr>
                <w:rFonts w:cstheme="minorHAnsi"/>
                <w:szCs w:val="18"/>
              </w:rPr>
            </w:pPr>
            <w:r w:rsidRPr="00747E35">
              <w:rPr>
                <w:rFonts w:cstheme="minorHAnsi"/>
                <w:szCs w:val="18"/>
              </w:rPr>
              <w:t>Organisms in an ecosystem that produce biomass from inorganic compounds. In almost all cases these are photosynthetically active organisms.</w:t>
            </w:r>
          </w:p>
        </w:tc>
      </w:tr>
      <w:tr w:rsidR="00173728" w:rsidRPr="00747E35" w14:paraId="50F16F2E"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6872C42C"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Recharge spring </w:t>
            </w:r>
          </w:p>
          <w:p w14:paraId="15DCC0CD" w14:textId="77777777" w:rsidR="00173728" w:rsidRPr="00747E35" w:rsidRDefault="00173728" w:rsidP="0096743A">
            <w:pPr>
              <w:pStyle w:val="Tabletext"/>
              <w:spacing w:before="0" w:after="0"/>
              <w:rPr>
                <w:rFonts w:cstheme="minorHAnsi"/>
                <w:szCs w:val="18"/>
              </w:rPr>
            </w:pPr>
            <w:r w:rsidRPr="00747E35">
              <w:rPr>
                <w:rFonts w:cstheme="minorHAnsi"/>
                <w:szCs w:val="18"/>
              </w:rPr>
              <w:t>(also referred to as ‘non-artesian’ spring)</w:t>
            </w:r>
          </w:p>
        </w:tc>
        <w:tc>
          <w:tcPr>
            <w:tcW w:w="7399" w:type="dxa"/>
            <w:tcBorders>
              <w:top w:val="nil"/>
              <w:left w:val="nil"/>
              <w:bottom w:val="single" w:sz="4" w:space="0" w:color="auto"/>
              <w:right w:val="single" w:sz="4" w:space="0" w:color="auto"/>
            </w:tcBorders>
            <w:shd w:val="clear" w:color="auto" w:fill="auto"/>
          </w:tcPr>
          <w:p w14:paraId="50DD32C4" w14:textId="77777777" w:rsidR="00173728" w:rsidRPr="00747E35" w:rsidRDefault="00173728" w:rsidP="0096743A">
            <w:pPr>
              <w:pStyle w:val="Tabletext"/>
              <w:spacing w:before="0" w:after="0"/>
              <w:rPr>
                <w:rFonts w:cstheme="minorHAnsi"/>
                <w:szCs w:val="18"/>
              </w:rPr>
            </w:pPr>
            <w:r w:rsidRPr="00747E35">
              <w:rPr>
                <w:rFonts w:cstheme="minorHAnsi"/>
                <w:szCs w:val="18"/>
              </w:rPr>
              <w:t>Groundwater outflow from overflow from unconfined aquifers (generally associated with outcropping sandstones). The water generally has a relatively short residence time compared with confined underground aquifers (except in western GAB) and water flow rates are affected by recent rainfall events.</w:t>
            </w:r>
          </w:p>
        </w:tc>
      </w:tr>
      <w:tr w:rsidR="00173728" w:rsidRPr="00747E35" w14:paraId="3CA083AA"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594319B7" w14:textId="77777777" w:rsidR="00173728" w:rsidRPr="00747E35" w:rsidRDefault="00173728" w:rsidP="0096743A">
            <w:pPr>
              <w:pStyle w:val="Tabletext"/>
              <w:spacing w:before="0" w:after="0"/>
              <w:rPr>
                <w:rFonts w:cstheme="minorHAnsi"/>
                <w:szCs w:val="18"/>
              </w:rPr>
            </w:pPr>
            <w:r w:rsidRPr="00747E35">
              <w:rPr>
                <w:rFonts w:cstheme="minorHAnsi"/>
                <w:szCs w:val="18"/>
              </w:rPr>
              <w:t>Resilience</w:t>
            </w:r>
          </w:p>
        </w:tc>
        <w:tc>
          <w:tcPr>
            <w:tcW w:w="7399" w:type="dxa"/>
            <w:tcBorders>
              <w:top w:val="nil"/>
              <w:left w:val="nil"/>
              <w:bottom w:val="single" w:sz="4" w:space="0" w:color="auto"/>
              <w:right w:val="single" w:sz="4" w:space="0" w:color="auto"/>
            </w:tcBorders>
            <w:shd w:val="clear" w:color="auto" w:fill="auto"/>
          </w:tcPr>
          <w:p w14:paraId="7E3E71CB" w14:textId="77777777" w:rsidR="00173728" w:rsidRPr="00747E35" w:rsidRDefault="00173728" w:rsidP="0096743A">
            <w:pPr>
              <w:pStyle w:val="Tabletext"/>
              <w:spacing w:before="0" w:after="0"/>
              <w:rPr>
                <w:rFonts w:cstheme="minorHAnsi"/>
                <w:szCs w:val="18"/>
              </w:rPr>
            </w:pPr>
            <w:r w:rsidRPr="00747E35">
              <w:rPr>
                <w:rFonts w:cstheme="minorHAnsi"/>
                <w:szCs w:val="18"/>
              </w:rPr>
              <w:t>Capacity of a species (or other entity) to recover from disturbance.</w:t>
            </w:r>
          </w:p>
        </w:tc>
      </w:tr>
      <w:tr w:rsidR="00173728" w:rsidRPr="00747E35" w14:paraId="2C441146"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4E7E19A" w14:textId="77777777" w:rsidR="00173728" w:rsidRPr="00747E35" w:rsidRDefault="00173728" w:rsidP="0096743A">
            <w:pPr>
              <w:pStyle w:val="Tabletext"/>
              <w:spacing w:before="0" w:after="0"/>
              <w:rPr>
                <w:rFonts w:cstheme="minorHAnsi"/>
                <w:szCs w:val="18"/>
              </w:rPr>
            </w:pPr>
            <w:r w:rsidRPr="00747E35">
              <w:rPr>
                <w:rFonts w:cstheme="minorHAnsi"/>
                <w:szCs w:val="18"/>
              </w:rPr>
              <w:t>Resistance</w:t>
            </w:r>
          </w:p>
        </w:tc>
        <w:tc>
          <w:tcPr>
            <w:tcW w:w="7399" w:type="dxa"/>
            <w:tcBorders>
              <w:top w:val="nil"/>
              <w:left w:val="nil"/>
              <w:bottom w:val="single" w:sz="4" w:space="0" w:color="auto"/>
              <w:right w:val="single" w:sz="4" w:space="0" w:color="auto"/>
            </w:tcBorders>
            <w:shd w:val="clear" w:color="auto" w:fill="auto"/>
          </w:tcPr>
          <w:p w14:paraId="7EC6D0C5" w14:textId="77777777" w:rsidR="00173728" w:rsidRPr="00747E35" w:rsidRDefault="00173728" w:rsidP="0096743A">
            <w:pPr>
              <w:pStyle w:val="Tabletext"/>
              <w:spacing w:before="0" w:after="0"/>
              <w:rPr>
                <w:rFonts w:cstheme="minorHAnsi"/>
                <w:szCs w:val="18"/>
              </w:rPr>
            </w:pPr>
            <w:r w:rsidRPr="00747E35">
              <w:rPr>
                <w:rFonts w:cstheme="minorHAnsi"/>
                <w:szCs w:val="18"/>
              </w:rPr>
              <w:t>Capacity of a species (or other entity) to withstand a disturbance.</w:t>
            </w:r>
          </w:p>
        </w:tc>
      </w:tr>
      <w:tr w:rsidR="00173728" w:rsidRPr="00747E35" w14:paraId="3A462E2C"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4A578013" w14:textId="77777777" w:rsidR="00173728" w:rsidRPr="00747E35" w:rsidRDefault="00173728" w:rsidP="0096743A">
            <w:pPr>
              <w:pStyle w:val="Tabletext"/>
              <w:spacing w:before="0" w:after="0"/>
              <w:rPr>
                <w:rFonts w:cstheme="minorHAnsi"/>
                <w:szCs w:val="18"/>
              </w:rPr>
            </w:pPr>
            <w:r w:rsidRPr="00747E35">
              <w:rPr>
                <w:rFonts w:cstheme="minorHAnsi"/>
                <w:szCs w:val="18"/>
              </w:rPr>
              <w:t>Rheophilous</w:t>
            </w:r>
          </w:p>
        </w:tc>
        <w:tc>
          <w:tcPr>
            <w:tcW w:w="7399" w:type="dxa"/>
            <w:tcBorders>
              <w:top w:val="nil"/>
              <w:left w:val="nil"/>
              <w:bottom w:val="single" w:sz="4" w:space="0" w:color="auto"/>
              <w:right w:val="single" w:sz="4" w:space="0" w:color="auto"/>
            </w:tcBorders>
            <w:shd w:val="clear" w:color="auto" w:fill="auto"/>
          </w:tcPr>
          <w:p w14:paraId="19D923FC" w14:textId="77777777" w:rsidR="00173728" w:rsidRPr="00747E35" w:rsidRDefault="00173728" w:rsidP="0096743A">
            <w:pPr>
              <w:pStyle w:val="Tabletext"/>
              <w:spacing w:before="0" w:after="0"/>
              <w:rPr>
                <w:rFonts w:cstheme="minorHAnsi"/>
                <w:szCs w:val="18"/>
              </w:rPr>
            </w:pPr>
            <w:r w:rsidRPr="00747E35">
              <w:rPr>
                <w:rFonts w:cstheme="minorHAnsi"/>
                <w:szCs w:val="18"/>
              </w:rPr>
              <w:t>Having an affinity for, or thriving in, flowing water.</w:t>
            </w:r>
          </w:p>
        </w:tc>
      </w:tr>
      <w:tr w:rsidR="00173728" w:rsidRPr="00747E35" w14:paraId="0B0B7220"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31662D98" w14:textId="77777777" w:rsidR="00173728" w:rsidRPr="00747E35" w:rsidRDefault="00173728" w:rsidP="0096743A">
            <w:pPr>
              <w:pStyle w:val="Tabletext"/>
              <w:spacing w:before="0" w:after="0"/>
              <w:rPr>
                <w:rFonts w:cstheme="minorHAnsi"/>
                <w:szCs w:val="18"/>
              </w:rPr>
            </w:pPr>
            <w:r w:rsidRPr="00747E35">
              <w:rPr>
                <w:rFonts w:cstheme="minorHAnsi"/>
                <w:szCs w:val="18"/>
              </w:rPr>
              <w:t>Riffle</w:t>
            </w:r>
          </w:p>
        </w:tc>
        <w:tc>
          <w:tcPr>
            <w:tcW w:w="7399" w:type="dxa"/>
            <w:tcBorders>
              <w:top w:val="nil"/>
              <w:left w:val="nil"/>
              <w:bottom w:val="single" w:sz="4" w:space="0" w:color="auto"/>
              <w:right w:val="single" w:sz="4" w:space="0" w:color="auto"/>
            </w:tcBorders>
            <w:shd w:val="clear" w:color="auto" w:fill="auto"/>
          </w:tcPr>
          <w:p w14:paraId="37EFF15E" w14:textId="77777777" w:rsidR="00173728" w:rsidRPr="00747E35" w:rsidRDefault="00173728" w:rsidP="0096743A">
            <w:pPr>
              <w:pStyle w:val="Tabletext"/>
              <w:spacing w:before="0" w:after="0"/>
              <w:rPr>
                <w:rFonts w:cstheme="minorHAnsi"/>
                <w:szCs w:val="18"/>
              </w:rPr>
            </w:pPr>
            <w:r w:rsidRPr="00747E35">
              <w:rPr>
                <w:rFonts w:cstheme="minorHAnsi"/>
                <w:szCs w:val="18"/>
              </w:rPr>
              <w:t>A shallow section of a stream or river with rapid current and a surface broken by gravel, rubble or boulders.</w:t>
            </w:r>
          </w:p>
        </w:tc>
      </w:tr>
      <w:tr w:rsidR="00173728" w:rsidRPr="00747E35" w14:paraId="0959E725"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5125FA55" w14:textId="77777777" w:rsidR="00173728" w:rsidRPr="00747E35" w:rsidRDefault="00173728" w:rsidP="0096743A">
            <w:pPr>
              <w:pStyle w:val="Tabletext"/>
              <w:spacing w:before="0" w:after="0"/>
              <w:rPr>
                <w:rFonts w:cstheme="minorHAnsi"/>
                <w:szCs w:val="18"/>
              </w:rPr>
            </w:pPr>
            <w:r w:rsidRPr="00747E35">
              <w:rPr>
                <w:rFonts w:cstheme="minorHAnsi"/>
                <w:szCs w:val="18"/>
              </w:rPr>
              <w:t>Riparian</w:t>
            </w:r>
          </w:p>
        </w:tc>
        <w:tc>
          <w:tcPr>
            <w:tcW w:w="7399" w:type="dxa"/>
            <w:tcBorders>
              <w:top w:val="nil"/>
              <w:left w:val="nil"/>
              <w:bottom w:val="single" w:sz="4" w:space="0" w:color="auto"/>
              <w:right w:val="single" w:sz="4" w:space="0" w:color="auto"/>
            </w:tcBorders>
            <w:shd w:val="clear" w:color="auto" w:fill="auto"/>
          </w:tcPr>
          <w:p w14:paraId="39017E5F" w14:textId="77777777" w:rsidR="00173728" w:rsidRPr="00747E35" w:rsidRDefault="00173728" w:rsidP="0096743A">
            <w:pPr>
              <w:pStyle w:val="Tabletext"/>
              <w:spacing w:before="0" w:after="0"/>
              <w:rPr>
                <w:rFonts w:cstheme="minorHAnsi"/>
                <w:szCs w:val="18"/>
              </w:rPr>
            </w:pPr>
            <w:r w:rsidRPr="00747E35">
              <w:rPr>
                <w:rFonts w:cstheme="minorHAnsi"/>
                <w:szCs w:val="18"/>
              </w:rPr>
              <w:t>From the Latin word meaning of or belonging to the bank of the river, and refers to the biotic communities living along streams. The riparian zone can be thought of as the interface or ecotone between terrestrial and aquatic systems.</w:t>
            </w:r>
          </w:p>
        </w:tc>
      </w:tr>
      <w:tr w:rsidR="00173728" w:rsidRPr="00747E35" w14:paraId="6A2FF68E"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590527BE" w14:textId="77777777" w:rsidR="00173728" w:rsidRPr="00747E35" w:rsidRDefault="00173728" w:rsidP="0096743A">
            <w:pPr>
              <w:pStyle w:val="Tabletext"/>
              <w:spacing w:before="0" w:after="0"/>
              <w:rPr>
                <w:rFonts w:cstheme="minorHAnsi"/>
                <w:szCs w:val="18"/>
              </w:rPr>
            </w:pPr>
            <w:r w:rsidRPr="00747E35">
              <w:rPr>
                <w:rFonts w:cstheme="minorHAnsi"/>
                <w:szCs w:val="18"/>
              </w:rPr>
              <w:t>Sclerophyll</w:t>
            </w:r>
          </w:p>
        </w:tc>
        <w:tc>
          <w:tcPr>
            <w:tcW w:w="7399" w:type="dxa"/>
            <w:tcBorders>
              <w:top w:val="nil"/>
              <w:left w:val="nil"/>
              <w:bottom w:val="single" w:sz="4" w:space="0" w:color="auto"/>
              <w:right w:val="single" w:sz="4" w:space="0" w:color="auto"/>
            </w:tcBorders>
            <w:shd w:val="clear" w:color="auto" w:fill="auto"/>
          </w:tcPr>
          <w:p w14:paraId="35D291CB" w14:textId="77777777" w:rsidR="00173728" w:rsidRPr="00747E35" w:rsidRDefault="00173728" w:rsidP="0096743A">
            <w:pPr>
              <w:pStyle w:val="Tabletext"/>
              <w:spacing w:before="0" w:after="0"/>
              <w:rPr>
                <w:rFonts w:cstheme="minorHAnsi"/>
                <w:szCs w:val="18"/>
              </w:rPr>
            </w:pPr>
            <w:r w:rsidRPr="00747E35">
              <w:rPr>
                <w:rFonts w:cstheme="minorHAnsi"/>
                <w:szCs w:val="18"/>
              </w:rPr>
              <w:t>Plants with hard, leathery, evergreen foliage that is specially adapted to prevent moisture loss and cope with low soil fertility (e.g. Eucalyptus).</w:t>
            </w:r>
          </w:p>
        </w:tc>
      </w:tr>
      <w:tr w:rsidR="00173728" w:rsidRPr="00747E35" w14:paraId="0710C348"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4D128F4F" w14:textId="77777777" w:rsidR="00173728" w:rsidRPr="00747E35" w:rsidRDefault="00173728" w:rsidP="0096743A">
            <w:pPr>
              <w:pStyle w:val="Tabletext"/>
              <w:spacing w:before="0" w:after="0"/>
              <w:rPr>
                <w:rFonts w:cstheme="minorHAnsi"/>
                <w:szCs w:val="18"/>
              </w:rPr>
            </w:pPr>
            <w:r w:rsidRPr="00747E35">
              <w:rPr>
                <w:rFonts w:cstheme="minorHAnsi"/>
                <w:szCs w:val="18"/>
              </w:rPr>
              <w:t>Seston</w:t>
            </w:r>
          </w:p>
        </w:tc>
        <w:tc>
          <w:tcPr>
            <w:tcW w:w="7399" w:type="dxa"/>
            <w:tcBorders>
              <w:top w:val="nil"/>
              <w:left w:val="nil"/>
              <w:bottom w:val="single" w:sz="4" w:space="0" w:color="auto"/>
              <w:right w:val="single" w:sz="4" w:space="0" w:color="auto"/>
            </w:tcBorders>
            <w:shd w:val="clear" w:color="auto" w:fill="auto"/>
          </w:tcPr>
          <w:p w14:paraId="5C10AEDA" w14:textId="77777777" w:rsidR="00173728" w:rsidRPr="00747E35" w:rsidRDefault="00173728" w:rsidP="0096743A">
            <w:pPr>
              <w:pStyle w:val="Tabletext"/>
              <w:spacing w:before="0" w:after="0"/>
              <w:rPr>
                <w:rFonts w:cstheme="minorHAnsi"/>
                <w:szCs w:val="18"/>
              </w:rPr>
            </w:pPr>
            <w:r w:rsidRPr="00747E35">
              <w:rPr>
                <w:rFonts w:cstheme="minorHAnsi"/>
                <w:szCs w:val="18"/>
              </w:rPr>
              <w:t>Microorganisms and non-living matter swimming or floating in a water body.</w:t>
            </w:r>
          </w:p>
        </w:tc>
      </w:tr>
      <w:tr w:rsidR="00173728" w:rsidRPr="00747E35" w14:paraId="0AD56115"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29204BB8" w14:textId="77777777" w:rsidR="00173728" w:rsidRPr="00747E35" w:rsidRDefault="00173728" w:rsidP="0096743A">
            <w:pPr>
              <w:pStyle w:val="Tabletext"/>
              <w:spacing w:before="0" w:after="0"/>
              <w:rPr>
                <w:rFonts w:cstheme="minorHAnsi"/>
                <w:szCs w:val="18"/>
              </w:rPr>
            </w:pPr>
            <w:r w:rsidRPr="00747E35">
              <w:rPr>
                <w:rFonts w:cstheme="minorHAnsi"/>
                <w:szCs w:val="18"/>
              </w:rPr>
              <w:t>Soil structure</w:t>
            </w:r>
          </w:p>
        </w:tc>
        <w:tc>
          <w:tcPr>
            <w:tcW w:w="7399" w:type="dxa"/>
            <w:tcBorders>
              <w:top w:val="nil"/>
              <w:left w:val="nil"/>
              <w:bottom w:val="single" w:sz="4" w:space="0" w:color="auto"/>
              <w:right w:val="single" w:sz="4" w:space="0" w:color="auto"/>
            </w:tcBorders>
            <w:shd w:val="clear" w:color="auto" w:fill="auto"/>
          </w:tcPr>
          <w:p w14:paraId="57058BE9" w14:textId="77777777" w:rsidR="00173728" w:rsidRPr="00747E35" w:rsidRDefault="00173728" w:rsidP="0096743A">
            <w:pPr>
              <w:pStyle w:val="Tabletext"/>
              <w:spacing w:before="0" w:after="0"/>
              <w:rPr>
                <w:rFonts w:cstheme="minorHAnsi"/>
                <w:szCs w:val="18"/>
              </w:rPr>
            </w:pPr>
            <w:r w:rsidRPr="00747E35">
              <w:rPr>
                <w:rFonts w:cstheme="minorHAnsi"/>
                <w:szCs w:val="18"/>
              </w:rPr>
              <w:t>The arrangement of the solid parts of the soil and of the pore space located between them. It is determined by how individual soil granules clump, bind together and aggregate.</w:t>
            </w:r>
          </w:p>
        </w:tc>
      </w:tr>
      <w:tr w:rsidR="00173728" w:rsidRPr="00747E35" w14:paraId="2F042D1E"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36FA2AA3" w14:textId="77777777" w:rsidR="00173728" w:rsidRPr="00747E35" w:rsidRDefault="00173728" w:rsidP="0096743A">
            <w:pPr>
              <w:pStyle w:val="Tabletext"/>
              <w:spacing w:before="0" w:after="0"/>
              <w:rPr>
                <w:rFonts w:cstheme="minorHAnsi"/>
                <w:szCs w:val="18"/>
              </w:rPr>
            </w:pPr>
            <w:r w:rsidRPr="00747E35">
              <w:rPr>
                <w:rFonts w:cstheme="minorHAnsi"/>
                <w:szCs w:val="18"/>
              </w:rPr>
              <w:t>Soil texture</w:t>
            </w:r>
          </w:p>
        </w:tc>
        <w:tc>
          <w:tcPr>
            <w:tcW w:w="7399" w:type="dxa"/>
            <w:tcBorders>
              <w:top w:val="nil"/>
              <w:left w:val="nil"/>
              <w:bottom w:val="single" w:sz="4" w:space="0" w:color="auto"/>
              <w:right w:val="single" w:sz="4" w:space="0" w:color="auto"/>
            </w:tcBorders>
            <w:shd w:val="clear" w:color="auto" w:fill="auto"/>
          </w:tcPr>
          <w:p w14:paraId="3642780C" w14:textId="77777777" w:rsidR="00173728" w:rsidRPr="00747E35" w:rsidRDefault="00173728" w:rsidP="0096743A">
            <w:pPr>
              <w:pStyle w:val="Tabletext"/>
              <w:spacing w:before="0" w:after="0"/>
              <w:rPr>
                <w:rFonts w:cstheme="minorHAnsi"/>
                <w:szCs w:val="18"/>
              </w:rPr>
            </w:pPr>
            <w:r w:rsidRPr="00747E35">
              <w:rPr>
                <w:rFonts w:cstheme="minorHAnsi"/>
                <w:szCs w:val="18"/>
              </w:rPr>
              <w:t>The relative proportion by weight of the mineral soil (% sand, silt, and clay) for soil particles &lt;2mm.</w:t>
            </w:r>
          </w:p>
        </w:tc>
      </w:tr>
      <w:tr w:rsidR="00173728" w:rsidRPr="00747E35" w14:paraId="49EBDC5D"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4E4399AF" w14:textId="77777777" w:rsidR="00173728" w:rsidRPr="00747E35" w:rsidRDefault="00173728" w:rsidP="0096743A">
            <w:pPr>
              <w:pStyle w:val="Tabletext"/>
              <w:spacing w:before="0" w:after="0"/>
              <w:rPr>
                <w:rFonts w:cstheme="minorHAnsi"/>
                <w:szCs w:val="18"/>
              </w:rPr>
            </w:pPr>
            <w:r w:rsidRPr="00747E35">
              <w:rPr>
                <w:rFonts w:cstheme="minorHAnsi"/>
                <w:szCs w:val="18"/>
              </w:rPr>
              <w:t>Species</w:t>
            </w:r>
          </w:p>
        </w:tc>
        <w:tc>
          <w:tcPr>
            <w:tcW w:w="7399" w:type="dxa"/>
            <w:tcBorders>
              <w:top w:val="nil"/>
              <w:left w:val="nil"/>
              <w:bottom w:val="single" w:sz="4" w:space="0" w:color="auto"/>
              <w:right w:val="single" w:sz="4" w:space="0" w:color="auto"/>
            </w:tcBorders>
            <w:shd w:val="clear" w:color="auto" w:fill="auto"/>
          </w:tcPr>
          <w:p w14:paraId="126BBAD9"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A </w:t>
            </w:r>
            <w:hyperlink r:id="rId27" w:tooltip="Taxonomic rank" w:history="1">
              <w:r w:rsidRPr="00747E35">
                <w:rPr>
                  <w:rFonts w:cstheme="minorHAnsi"/>
                  <w:szCs w:val="18"/>
                </w:rPr>
                <w:t>taxonomic rank</w:t>
              </w:r>
            </w:hyperlink>
            <w:r w:rsidRPr="00747E35">
              <w:rPr>
                <w:rFonts w:cstheme="minorHAnsi"/>
                <w:szCs w:val="18"/>
              </w:rPr>
              <w:t xml:space="preserve"> that is the basic rank of </w:t>
            </w:r>
            <w:hyperlink r:id="rId28" w:tooltip="Biological classification" w:history="1">
              <w:r w:rsidRPr="00747E35">
                <w:rPr>
                  <w:rFonts w:cstheme="minorHAnsi"/>
                  <w:szCs w:val="18"/>
                </w:rPr>
                <w:t>biological classification</w:t>
              </w:r>
            </w:hyperlink>
            <w:r w:rsidRPr="00747E35">
              <w:rPr>
                <w:rFonts w:cstheme="minorHAnsi"/>
                <w:szCs w:val="18"/>
              </w:rPr>
              <w:t>. Commonly, a group of organisms capable of interbreeding and producing fertile offspring.</w:t>
            </w:r>
          </w:p>
        </w:tc>
      </w:tr>
      <w:tr w:rsidR="00173728" w:rsidRPr="00747E35" w14:paraId="0BCA682A"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871CB33" w14:textId="77777777" w:rsidR="00173728" w:rsidRPr="00747E35" w:rsidRDefault="00173728" w:rsidP="0096743A">
            <w:pPr>
              <w:pStyle w:val="Tabletext"/>
              <w:spacing w:before="0" w:after="0"/>
              <w:rPr>
                <w:rFonts w:cstheme="minorHAnsi"/>
                <w:szCs w:val="18"/>
              </w:rPr>
            </w:pPr>
            <w:r w:rsidRPr="00747E35">
              <w:rPr>
                <w:rFonts w:cstheme="minorHAnsi"/>
                <w:szCs w:val="18"/>
              </w:rPr>
              <w:lastRenderedPageBreak/>
              <w:t>Species richness</w:t>
            </w:r>
          </w:p>
        </w:tc>
        <w:tc>
          <w:tcPr>
            <w:tcW w:w="7399" w:type="dxa"/>
            <w:tcBorders>
              <w:top w:val="nil"/>
              <w:left w:val="nil"/>
              <w:bottom w:val="single" w:sz="4" w:space="0" w:color="auto"/>
              <w:right w:val="single" w:sz="4" w:space="0" w:color="auto"/>
            </w:tcBorders>
            <w:shd w:val="clear" w:color="auto" w:fill="auto"/>
          </w:tcPr>
          <w:p w14:paraId="408D678D" w14:textId="77777777" w:rsidR="00173728" w:rsidRPr="00747E35" w:rsidRDefault="00173728" w:rsidP="0096743A">
            <w:pPr>
              <w:pStyle w:val="Tabletext"/>
              <w:spacing w:before="0" w:after="0"/>
              <w:rPr>
                <w:rFonts w:cstheme="minorHAnsi"/>
                <w:szCs w:val="18"/>
              </w:rPr>
            </w:pPr>
            <w:r w:rsidRPr="00747E35">
              <w:rPr>
                <w:rFonts w:cstheme="minorHAnsi"/>
                <w:szCs w:val="18"/>
              </w:rPr>
              <w:t>The total number of species in a given area or sample, the most commonly used measure of biodiversity.</w:t>
            </w:r>
          </w:p>
        </w:tc>
      </w:tr>
      <w:tr w:rsidR="00173728" w:rsidRPr="00747E35" w14:paraId="6C667FAA"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6F0AC1DC" w14:textId="77777777" w:rsidR="00173728" w:rsidRPr="00747E35" w:rsidRDefault="00173728" w:rsidP="0096743A">
            <w:pPr>
              <w:pStyle w:val="Tabletext"/>
              <w:spacing w:before="0" w:after="0"/>
              <w:rPr>
                <w:rFonts w:cstheme="minorHAnsi"/>
                <w:szCs w:val="18"/>
              </w:rPr>
            </w:pPr>
            <w:r w:rsidRPr="00747E35">
              <w:rPr>
                <w:rFonts w:cstheme="minorHAnsi"/>
                <w:szCs w:val="18"/>
              </w:rPr>
              <w:t>Spring</w:t>
            </w:r>
          </w:p>
        </w:tc>
        <w:tc>
          <w:tcPr>
            <w:tcW w:w="7399" w:type="dxa"/>
            <w:tcBorders>
              <w:top w:val="nil"/>
              <w:left w:val="nil"/>
              <w:bottom w:val="single" w:sz="4" w:space="0" w:color="auto"/>
              <w:right w:val="single" w:sz="4" w:space="0" w:color="auto"/>
            </w:tcBorders>
            <w:shd w:val="clear" w:color="auto" w:fill="auto"/>
          </w:tcPr>
          <w:p w14:paraId="0ABC1461" w14:textId="77777777" w:rsidR="00173728" w:rsidRPr="00747E35" w:rsidRDefault="00173728" w:rsidP="0096743A">
            <w:pPr>
              <w:pStyle w:val="Tabletext"/>
              <w:spacing w:before="0" w:after="0"/>
              <w:rPr>
                <w:rFonts w:cstheme="minorHAnsi"/>
                <w:szCs w:val="18"/>
              </w:rPr>
            </w:pPr>
            <w:r w:rsidRPr="00747E35">
              <w:rPr>
                <w:rFonts w:cstheme="minorHAnsi"/>
                <w:szCs w:val="18"/>
              </w:rPr>
              <w:t>A vent or vents where the natural groundwater outflow forms a single spring wetland. See also ‘watercourse spring’.</w:t>
            </w:r>
          </w:p>
        </w:tc>
      </w:tr>
      <w:tr w:rsidR="00173728" w:rsidRPr="00747E35" w14:paraId="05655457"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333C7FF7"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Spring complex </w:t>
            </w:r>
          </w:p>
        </w:tc>
        <w:tc>
          <w:tcPr>
            <w:tcW w:w="7399" w:type="dxa"/>
            <w:tcBorders>
              <w:top w:val="nil"/>
              <w:left w:val="nil"/>
              <w:bottom w:val="single" w:sz="4" w:space="0" w:color="auto"/>
              <w:right w:val="single" w:sz="4" w:space="0" w:color="auto"/>
            </w:tcBorders>
            <w:shd w:val="clear" w:color="auto" w:fill="auto"/>
          </w:tcPr>
          <w:p w14:paraId="3305ED17" w14:textId="77777777" w:rsidR="00173728" w:rsidRPr="00747E35" w:rsidRDefault="00173728" w:rsidP="0096743A">
            <w:pPr>
              <w:pStyle w:val="Tabletext"/>
              <w:spacing w:before="0" w:after="0"/>
              <w:rPr>
                <w:rFonts w:cstheme="minorHAnsi"/>
                <w:szCs w:val="18"/>
              </w:rPr>
            </w:pPr>
            <w:r w:rsidRPr="00747E35">
              <w:rPr>
                <w:rFonts w:cstheme="minorHAnsi"/>
                <w:szCs w:val="18"/>
              </w:rPr>
              <w:t>Collection of springs all related to a particular location and hydrogeological feature(s).</w:t>
            </w:r>
          </w:p>
        </w:tc>
      </w:tr>
      <w:tr w:rsidR="00173728" w:rsidRPr="00747E35" w14:paraId="025AC7F5"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1B613DF0" w14:textId="77777777" w:rsidR="00173728" w:rsidRPr="00747E35" w:rsidRDefault="00173728" w:rsidP="0096743A">
            <w:pPr>
              <w:pStyle w:val="Tabletext"/>
              <w:spacing w:before="0" w:after="0"/>
              <w:rPr>
                <w:rFonts w:cstheme="minorHAnsi"/>
                <w:szCs w:val="18"/>
              </w:rPr>
            </w:pPr>
            <w:r w:rsidRPr="00747E35">
              <w:rPr>
                <w:rFonts w:cstheme="minorHAnsi"/>
                <w:szCs w:val="18"/>
              </w:rPr>
              <w:t>Spring group</w:t>
            </w:r>
          </w:p>
        </w:tc>
        <w:tc>
          <w:tcPr>
            <w:tcW w:w="7399" w:type="dxa"/>
            <w:tcBorders>
              <w:top w:val="nil"/>
              <w:left w:val="nil"/>
              <w:bottom w:val="single" w:sz="4" w:space="0" w:color="auto"/>
              <w:right w:val="single" w:sz="4" w:space="0" w:color="auto"/>
            </w:tcBorders>
            <w:shd w:val="clear" w:color="auto" w:fill="auto"/>
          </w:tcPr>
          <w:p w14:paraId="7C91D9BB" w14:textId="77777777" w:rsidR="00173728" w:rsidRPr="00747E35" w:rsidRDefault="00173728" w:rsidP="0096743A">
            <w:pPr>
              <w:pStyle w:val="Tabletext"/>
              <w:spacing w:before="0" w:after="0"/>
              <w:rPr>
                <w:rFonts w:cstheme="minorHAnsi"/>
                <w:szCs w:val="18"/>
              </w:rPr>
            </w:pPr>
            <w:r w:rsidRPr="00747E35">
              <w:rPr>
                <w:rFonts w:cstheme="minorHAnsi"/>
                <w:szCs w:val="18"/>
              </w:rPr>
              <w:t>Multiple springs all related to the same hydrogeological structure and probably the same aquifer (or groundwater source) and hydrochemistry (at the present time).</w:t>
            </w:r>
          </w:p>
        </w:tc>
      </w:tr>
      <w:tr w:rsidR="00173728" w:rsidRPr="00747E35" w14:paraId="40F62858"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6FB5C091"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Stable isotope </w:t>
            </w:r>
          </w:p>
        </w:tc>
        <w:tc>
          <w:tcPr>
            <w:tcW w:w="7399" w:type="dxa"/>
            <w:tcBorders>
              <w:top w:val="nil"/>
              <w:left w:val="nil"/>
              <w:bottom w:val="single" w:sz="4" w:space="0" w:color="auto"/>
              <w:right w:val="single" w:sz="4" w:space="0" w:color="auto"/>
            </w:tcBorders>
            <w:shd w:val="clear" w:color="auto" w:fill="auto"/>
          </w:tcPr>
          <w:p w14:paraId="2AA96E38"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An isotope that does not decay into other elements. An isotope of an element has the same number of protons as another isotope of that element, but a differing number of neutrons. Stable isotope analysis can be used in ecological studies to trace chemical movement through the environment. </w:t>
            </w:r>
          </w:p>
        </w:tc>
      </w:tr>
      <w:tr w:rsidR="00173728" w:rsidRPr="00747E35" w14:paraId="2164787C"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3E76952E"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Streambed </w:t>
            </w:r>
          </w:p>
        </w:tc>
        <w:tc>
          <w:tcPr>
            <w:tcW w:w="7399" w:type="dxa"/>
            <w:tcBorders>
              <w:top w:val="nil"/>
              <w:left w:val="nil"/>
              <w:bottom w:val="single" w:sz="4" w:space="0" w:color="auto"/>
              <w:right w:val="single" w:sz="4" w:space="0" w:color="auto"/>
            </w:tcBorders>
            <w:shd w:val="clear" w:color="auto" w:fill="auto"/>
          </w:tcPr>
          <w:p w14:paraId="6645DE0D" w14:textId="77777777" w:rsidR="00173728" w:rsidRPr="00747E35" w:rsidRDefault="00173728" w:rsidP="0096743A">
            <w:pPr>
              <w:pStyle w:val="Tabletext"/>
              <w:spacing w:before="0" w:after="0"/>
              <w:rPr>
                <w:rFonts w:cstheme="minorHAnsi"/>
                <w:szCs w:val="18"/>
              </w:rPr>
            </w:pPr>
            <w:r w:rsidRPr="00747E35">
              <w:rPr>
                <w:rFonts w:cstheme="minorHAnsi"/>
                <w:szCs w:val="18"/>
              </w:rPr>
              <w:t>The channel bottom of a stream, river or creek; the physical confine of the normal water flow.</w:t>
            </w:r>
          </w:p>
        </w:tc>
      </w:tr>
      <w:tr w:rsidR="00173728" w:rsidRPr="00747E35" w14:paraId="27E0B86F"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266EE5C5" w14:textId="77777777" w:rsidR="00173728" w:rsidRPr="00747E35" w:rsidRDefault="00173728" w:rsidP="0096743A">
            <w:pPr>
              <w:pStyle w:val="Tabletext"/>
              <w:spacing w:before="0" w:after="0"/>
              <w:rPr>
                <w:rFonts w:cstheme="minorHAnsi"/>
                <w:szCs w:val="18"/>
              </w:rPr>
            </w:pPr>
            <w:r w:rsidRPr="00747E35">
              <w:rPr>
                <w:rFonts w:cstheme="minorHAnsi"/>
                <w:szCs w:val="18"/>
              </w:rPr>
              <w:t>Stygo/ Stygal</w:t>
            </w:r>
          </w:p>
        </w:tc>
        <w:tc>
          <w:tcPr>
            <w:tcW w:w="7399" w:type="dxa"/>
            <w:tcBorders>
              <w:top w:val="nil"/>
              <w:left w:val="nil"/>
              <w:bottom w:val="single" w:sz="4" w:space="0" w:color="auto"/>
              <w:right w:val="single" w:sz="4" w:space="0" w:color="auto"/>
            </w:tcBorders>
            <w:shd w:val="clear" w:color="auto" w:fill="auto"/>
          </w:tcPr>
          <w:p w14:paraId="07717D4D"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Prefix referring to groundwater habitats or organisms. </w:t>
            </w:r>
          </w:p>
        </w:tc>
      </w:tr>
      <w:tr w:rsidR="00173728" w:rsidRPr="00747E35" w14:paraId="4BEE8496"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3103C68" w14:textId="77777777" w:rsidR="00173728" w:rsidRPr="00747E35" w:rsidRDefault="00173728" w:rsidP="0096743A">
            <w:pPr>
              <w:pStyle w:val="Tabletext"/>
              <w:spacing w:before="0" w:after="0"/>
              <w:rPr>
                <w:rFonts w:cstheme="minorHAnsi"/>
                <w:szCs w:val="18"/>
              </w:rPr>
            </w:pPr>
            <w:r w:rsidRPr="00747E35">
              <w:rPr>
                <w:rFonts w:cstheme="minorHAnsi"/>
                <w:szCs w:val="18"/>
              </w:rPr>
              <w:t>Stygobite</w:t>
            </w:r>
          </w:p>
        </w:tc>
        <w:tc>
          <w:tcPr>
            <w:tcW w:w="7399" w:type="dxa"/>
            <w:tcBorders>
              <w:top w:val="nil"/>
              <w:left w:val="nil"/>
              <w:bottom w:val="single" w:sz="4" w:space="0" w:color="auto"/>
              <w:right w:val="single" w:sz="4" w:space="0" w:color="auto"/>
            </w:tcBorders>
            <w:shd w:val="clear" w:color="auto" w:fill="auto"/>
          </w:tcPr>
          <w:p w14:paraId="50EA69ED" w14:textId="77777777" w:rsidR="00173728" w:rsidRPr="00747E35" w:rsidRDefault="00173728" w:rsidP="0096743A">
            <w:pPr>
              <w:rPr>
                <w:rFonts w:asciiTheme="minorHAnsi" w:hAnsiTheme="minorHAnsi" w:cstheme="minorHAnsi"/>
                <w:sz w:val="18"/>
                <w:szCs w:val="18"/>
              </w:rPr>
            </w:pPr>
            <w:r w:rsidRPr="00747E35">
              <w:rPr>
                <w:rFonts w:asciiTheme="minorHAnsi" w:hAnsiTheme="minorHAnsi" w:cstheme="minorHAnsi"/>
                <w:sz w:val="18"/>
                <w:szCs w:val="18"/>
              </w:rPr>
              <w:t xml:space="preserve">Stygobites are specialised obligate subterranean aquatic species (or taxa) that occur in all kinds of groundwater habitats, and sometimes may be found very close to the surface including the hyporheic zone. </w:t>
            </w:r>
          </w:p>
        </w:tc>
      </w:tr>
      <w:tr w:rsidR="00173728" w:rsidRPr="00747E35" w14:paraId="1C802EC0"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18614004" w14:textId="77777777" w:rsidR="00173728" w:rsidRPr="00747E35" w:rsidRDefault="00173728" w:rsidP="000E4B99">
            <w:pPr>
              <w:pStyle w:val="Tabletext"/>
              <w:spacing w:before="0" w:after="0"/>
              <w:rPr>
                <w:rFonts w:cstheme="minorHAnsi"/>
                <w:szCs w:val="18"/>
              </w:rPr>
            </w:pPr>
            <w:r w:rsidRPr="00747E35">
              <w:rPr>
                <w:rFonts w:cstheme="minorHAnsi"/>
                <w:szCs w:val="18"/>
              </w:rPr>
              <w:t xml:space="preserve">Stygofauna </w:t>
            </w:r>
          </w:p>
        </w:tc>
        <w:tc>
          <w:tcPr>
            <w:tcW w:w="7399" w:type="dxa"/>
            <w:tcBorders>
              <w:top w:val="nil"/>
              <w:left w:val="nil"/>
              <w:bottom w:val="single" w:sz="4" w:space="0" w:color="auto"/>
              <w:right w:val="single" w:sz="4" w:space="0" w:color="auto"/>
            </w:tcBorders>
            <w:shd w:val="clear" w:color="auto" w:fill="auto"/>
          </w:tcPr>
          <w:p w14:paraId="65E1A4E7" w14:textId="77777777" w:rsidR="00173728" w:rsidRPr="00747E35" w:rsidRDefault="00173728" w:rsidP="0096743A">
            <w:pPr>
              <w:pStyle w:val="Tabletext"/>
              <w:spacing w:before="0" w:after="0"/>
              <w:rPr>
                <w:rFonts w:cstheme="minorHAnsi"/>
                <w:szCs w:val="18"/>
              </w:rPr>
            </w:pPr>
            <w:r w:rsidRPr="00747E35">
              <w:rPr>
                <w:rFonts w:cstheme="minorHAnsi"/>
                <w:szCs w:val="18"/>
              </w:rPr>
              <w:t>Aquatic fauna inhabiting the various types of groundwater. The term ‘stygofauna’ embraces, implicitly, three categories (stygobites, stygophiles, stygoxenes) which can be used to further define aquatic subterranean fauna.</w:t>
            </w:r>
          </w:p>
        </w:tc>
      </w:tr>
      <w:tr w:rsidR="00173728" w:rsidRPr="00747E35" w14:paraId="3AF95515"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C8E46C0" w14:textId="77777777" w:rsidR="00173728" w:rsidRPr="00747E35" w:rsidRDefault="00173728" w:rsidP="0096743A">
            <w:pPr>
              <w:pStyle w:val="Tabletext"/>
              <w:spacing w:before="0" w:after="0"/>
              <w:rPr>
                <w:rFonts w:cstheme="minorHAnsi"/>
                <w:szCs w:val="18"/>
              </w:rPr>
            </w:pPr>
            <w:r w:rsidRPr="00747E35">
              <w:rPr>
                <w:rFonts w:cstheme="minorHAnsi"/>
                <w:szCs w:val="18"/>
              </w:rPr>
              <w:t>Stygomorphy</w:t>
            </w:r>
          </w:p>
        </w:tc>
        <w:tc>
          <w:tcPr>
            <w:tcW w:w="7399" w:type="dxa"/>
            <w:tcBorders>
              <w:top w:val="nil"/>
              <w:left w:val="nil"/>
              <w:bottom w:val="single" w:sz="4" w:space="0" w:color="auto"/>
              <w:right w:val="single" w:sz="4" w:space="0" w:color="auto"/>
            </w:tcBorders>
            <w:shd w:val="clear" w:color="auto" w:fill="auto"/>
          </w:tcPr>
          <w:p w14:paraId="793D2D21"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Any morphological, physiological, or behavioural feature that characterizes aquatic subterranean taxa. Common (stygo-)morphologic traits include: reduction of eyes, pigment, elongation of appendages, enhancement of non-optic  sensory structures. </w:t>
            </w:r>
          </w:p>
        </w:tc>
      </w:tr>
      <w:tr w:rsidR="00173728" w:rsidRPr="00747E35" w14:paraId="26CCC037"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0A41D77B" w14:textId="77777777" w:rsidR="00173728" w:rsidRPr="00747E35" w:rsidRDefault="00173728" w:rsidP="000E4B99">
            <w:pPr>
              <w:pStyle w:val="Tabletext"/>
              <w:spacing w:before="0" w:after="0"/>
              <w:rPr>
                <w:rFonts w:cstheme="minorHAnsi"/>
                <w:szCs w:val="18"/>
              </w:rPr>
            </w:pPr>
            <w:r w:rsidRPr="00747E35">
              <w:rPr>
                <w:rFonts w:cstheme="minorHAnsi"/>
                <w:szCs w:val="18"/>
              </w:rPr>
              <w:t>Stygophile</w:t>
            </w:r>
          </w:p>
        </w:tc>
        <w:tc>
          <w:tcPr>
            <w:tcW w:w="7399" w:type="dxa"/>
            <w:tcBorders>
              <w:top w:val="nil"/>
              <w:left w:val="nil"/>
              <w:bottom w:val="single" w:sz="4" w:space="0" w:color="auto"/>
              <w:right w:val="single" w:sz="4" w:space="0" w:color="auto"/>
            </w:tcBorders>
            <w:shd w:val="clear" w:color="auto" w:fill="auto"/>
          </w:tcPr>
          <w:p w14:paraId="1AF43CCA"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Collectively, facultative subterranean aquatic species (or taxa) which can complete their life-cycles either underground or in epigean habitats. Hypogean and epigean populations may simultaneously exist, and individuals may be able to move between them.  </w:t>
            </w:r>
          </w:p>
        </w:tc>
      </w:tr>
      <w:tr w:rsidR="00173728" w:rsidRPr="00747E35" w14:paraId="56D18753"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17F6C59D" w14:textId="77777777" w:rsidR="00173728" w:rsidRPr="00747E35" w:rsidRDefault="00173728" w:rsidP="0096743A">
            <w:pPr>
              <w:pStyle w:val="Tabletext"/>
              <w:spacing w:before="0" w:after="0"/>
              <w:rPr>
                <w:rFonts w:cstheme="minorHAnsi"/>
                <w:szCs w:val="18"/>
              </w:rPr>
            </w:pPr>
            <w:r w:rsidRPr="00747E35">
              <w:rPr>
                <w:rFonts w:cstheme="minorHAnsi"/>
                <w:szCs w:val="18"/>
              </w:rPr>
              <w:t>Stygoxene</w:t>
            </w:r>
          </w:p>
        </w:tc>
        <w:tc>
          <w:tcPr>
            <w:tcW w:w="7399" w:type="dxa"/>
            <w:tcBorders>
              <w:top w:val="nil"/>
              <w:left w:val="nil"/>
              <w:bottom w:val="single" w:sz="4" w:space="0" w:color="auto"/>
              <w:right w:val="single" w:sz="4" w:space="0" w:color="auto"/>
            </w:tcBorders>
            <w:shd w:val="clear" w:color="auto" w:fill="auto"/>
          </w:tcPr>
          <w:p w14:paraId="7107E462" w14:textId="190E7CAD" w:rsidR="00173728" w:rsidRPr="00747E35" w:rsidRDefault="00173728" w:rsidP="009A08A3">
            <w:pPr>
              <w:pStyle w:val="Tabletext"/>
              <w:spacing w:before="0" w:after="0"/>
              <w:rPr>
                <w:rFonts w:cstheme="minorHAnsi"/>
                <w:szCs w:val="18"/>
              </w:rPr>
            </w:pPr>
            <w:r w:rsidRPr="00747E35">
              <w:rPr>
                <w:rFonts w:cstheme="minorHAnsi"/>
                <w:szCs w:val="18"/>
              </w:rPr>
              <w:t xml:space="preserve">Collectively, </w:t>
            </w:r>
            <w:r w:rsidRPr="009A08A3">
              <w:rPr>
                <w:rFonts w:cstheme="minorHAnsi"/>
                <w:szCs w:val="18"/>
              </w:rPr>
              <w:t>aquatic species (or taxa</w:t>
            </w:r>
            <w:r w:rsidRPr="00747E35">
              <w:rPr>
                <w:rFonts w:cstheme="minorHAnsi"/>
                <w:szCs w:val="18"/>
                <w:u w:val="single"/>
              </w:rPr>
              <w:t>)</w:t>
            </w:r>
            <w:r w:rsidRPr="00747E35">
              <w:rPr>
                <w:rFonts w:cstheme="minorHAnsi"/>
                <w:szCs w:val="18"/>
              </w:rPr>
              <w:t xml:space="preserve"> that occur incidentally or ‘accidentally’ in subterranean habitats. They generally cannot complete their entire life-cycles underground, and individuals may frequently move between the surface and underground habitats for foraging and sheltering, or to complete part of their reproductive cycles. </w:t>
            </w:r>
          </w:p>
        </w:tc>
      </w:tr>
      <w:tr w:rsidR="00173728" w:rsidRPr="00747E35" w14:paraId="79974BEF"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3F416194"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Supergroup </w:t>
            </w:r>
          </w:p>
        </w:tc>
        <w:tc>
          <w:tcPr>
            <w:tcW w:w="7399" w:type="dxa"/>
            <w:tcBorders>
              <w:top w:val="nil"/>
              <w:left w:val="nil"/>
              <w:bottom w:val="single" w:sz="4" w:space="0" w:color="auto"/>
              <w:right w:val="single" w:sz="4" w:space="0" w:color="auto"/>
            </w:tcBorders>
            <w:shd w:val="clear" w:color="auto" w:fill="auto"/>
          </w:tcPr>
          <w:p w14:paraId="4A495038"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Major regional clusters of spring complexes with some consistent hydrogeological characteristics. </w:t>
            </w:r>
          </w:p>
        </w:tc>
      </w:tr>
      <w:tr w:rsidR="00173728" w:rsidRPr="00747E35" w14:paraId="2D021470"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3C48F6A0" w14:textId="77777777" w:rsidR="00173728" w:rsidRPr="00747E35" w:rsidRDefault="00173728" w:rsidP="0096743A">
            <w:pPr>
              <w:pStyle w:val="Tabletext"/>
              <w:spacing w:before="0" w:after="0"/>
              <w:rPr>
                <w:rFonts w:cstheme="minorHAnsi"/>
                <w:szCs w:val="18"/>
              </w:rPr>
            </w:pPr>
            <w:r w:rsidRPr="00747E35">
              <w:rPr>
                <w:rFonts w:cstheme="minorHAnsi"/>
                <w:szCs w:val="18"/>
              </w:rPr>
              <w:t>Supra littoral</w:t>
            </w:r>
          </w:p>
        </w:tc>
        <w:tc>
          <w:tcPr>
            <w:tcW w:w="7399" w:type="dxa"/>
            <w:tcBorders>
              <w:top w:val="nil"/>
              <w:left w:val="nil"/>
              <w:bottom w:val="single" w:sz="4" w:space="0" w:color="auto"/>
              <w:right w:val="single" w:sz="4" w:space="0" w:color="auto"/>
            </w:tcBorders>
            <w:shd w:val="clear" w:color="auto" w:fill="auto"/>
          </w:tcPr>
          <w:p w14:paraId="562A3A0E" w14:textId="77777777" w:rsidR="00173728" w:rsidRPr="00747E35" w:rsidRDefault="00173728" w:rsidP="0096743A">
            <w:pPr>
              <w:pStyle w:val="Tabletext"/>
              <w:spacing w:before="0" w:after="0"/>
              <w:rPr>
                <w:rFonts w:cstheme="minorHAnsi"/>
                <w:szCs w:val="18"/>
              </w:rPr>
            </w:pPr>
            <w:r w:rsidRPr="00747E35">
              <w:rPr>
                <w:rFonts w:cstheme="minorHAnsi"/>
                <w:szCs w:val="18"/>
              </w:rPr>
              <w:t>The landward zone adjacent to the littoral zone that only very occasionally is flooded.</w:t>
            </w:r>
          </w:p>
        </w:tc>
      </w:tr>
      <w:tr w:rsidR="00173728" w:rsidRPr="00747E35" w14:paraId="211C5634"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43D6CF00" w14:textId="77777777" w:rsidR="00173728" w:rsidRPr="00747E35" w:rsidRDefault="00173728" w:rsidP="0096743A">
            <w:pPr>
              <w:pStyle w:val="Tabletext"/>
              <w:spacing w:before="0" w:after="0"/>
              <w:rPr>
                <w:rFonts w:cstheme="minorHAnsi"/>
                <w:szCs w:val="18"/>
              </w:rPr>
            </w:pPr>
            <w:r w:rsidRPr="00747E35">
              <w:rPr>
                <w:rFonts w:cstheme="minorHAnsi"/>
                <w:szCs w:val="18"/>
              </w:rPr>
              <w:t>Taxa</w:t>
            </w:r>
          </w:p>
        </w:tc>
        <w:tc>
          <w:tcPr>
            <w:tcW w:w="7399" w:type="dxa"/>
            <w:tcBorders>
              <w:top w:val="nil"/>
              <w:left w:val="nil"/>
              <w:bottom w:val="single" w:sz="4" w:space="0" w:color="auto"/>
              <w:right w:val="single" w:sz="4" w:space="0" w:color="auto"/>
            </w:tcBorders>
            <w:shd w:val="clear" w:color="auto" w:fill="auto"/>
          </w:tcPr>
          <w:p w14:paraId="22D00353"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(Singular taxon) is any taxonomic group or rank, generally used as a grouping of organisms that belong to different species but the same family or genus. </w:t>
            </w:r>
          </w:p>
        </w:tc>
      </w:tr>
      <w:tr w:rsidR="00173728" w:rsidRPr="00747E35" w14:paraId="25EE735D"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5723D491" w14:textId="77777777" w:rsidR="00173728" w:rsidRPr="00747E35" w:rsidRDefault="00173728" w:rsidP="0096743A">
            <w:pPr>
              <w:pStyle w:val="Tabletext"/>
              <w:spacing w:before="0" w:after="0"/>
              <w:rPr>
                <w:rFonts w:cstheme="minorHAnsi"/>
                <w:szCs w:val="18"/>
              </w:rPr>
            </w:pPr>
            <w:r w:rsidRPr="00747E35">
              <w:rPr>
                <w:rFonts w:cstheme="minorHAnsi"/>
                <w:szCs w:val="18"/>
              </w:rPr>
              <w:t>Taxonomic diversity (H')</w:t>
            </w:r>
          </w:p>
        </w:tc>
        <w:tc>
          <w:tcPr>
            <w:tcW w:w="7399" w:type="dxa"/>
            <w:tcBorders>
              <w:top w:val="nil"/>
              <w:left w:val="nil"/>
              <w:bottom w:val="single" w:sz="4" w:space="0" w:color="auto"/>
              <w:right w:val="single" w:sz="4" w:space="0" w:color="auto"/>
            </w:tcBorders>
            <w:shd w:val="clear" w:color="auto" w:fill="auto"/>
          </w:tcPr>
          <w:p w14:paraId="149EAA0D"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An index that incorporates the number of taxa and the evenness of the distribution of individuals across species. </w:t>
            </w:r>
          </w:p>
        </w:tc>
      </w:tr>
      <w:tr w:rsidR="00173728" w:rsidRPr="00747E35" w14:paraId="06B0CAD0"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47CC8AEE" w14:textId="77777777" w:rsidR="00173728" w:rsidRPr="00747E35" w:rsidRDefault="00173728" w:rsidP="0096743A">
            <w:pPr>
              <w:pStyle w:val="Tabletext"/>
              <w:spacing w:before="0" w:after="0"/>
              <w:rPr>
                <w:rFonts w:cstheme="minorHAnsi"/>
                <w:szCs w:val="18"/>
              </w:rPr>
            </w:pPr>
            <w:r w:rsidRPr="00747E35">
              <w:rPr>
                <w:rFonts w:cstheme="minorHAnsi"/>
                <w:szCs w:val="18"/>
              </w:rPr>
              <w:t>Taxonomic endemism (TE)</w:t>
            </w:r>
          </w:p>
        </w:tc>
        <w:tc>
          <w:tcPr>
            <w:tcW w:w="7399" w:type="dxa"/>
            <w:tcBorders>
              <w:top w:val="nil"/>
              <w:left w:val="nil"/>
              <w:bottom w:val="single" w:sz="4" w:space="0" w:color="auto"/>
              <w:right w:val="single" w:sz="4" w:space="0" w:color="auto"/>
            </w:tcBorders>
            <w:shd w:val="clear" w:color="auto" w:fill="auto"/>
          </w:tcPr>
          <w:p w14:paraId="0CFAA5A1" w14:textId="77777777" w:rsidR="00173728" w:rsidRPr="00747E35" w:rsidRDefault="00173728" w:rsidP="0096743A">
            <w:pPr>
              <w:pStyle w:val="Tabletext"/>
              <w:spacing w:before="0" w:after="0"/>
              <w:rPr>
                <w:rFonts w:cstheme="minorHAnsi"/>
                <w:szCs w:val="18"/>
              </w:rPr>
            </w:pPr>
            <w:r w:rsidRPr="00747E35">
              <w:rPr>
                <w:rFonts w:cstheme="minorHAnsi"/>
                <w:szCs w:val="18"/>
              </w:rPr>
              <w:t>An index of endemism identifying areas where taxa with restricted ranges are concentrated.  This index ranges from one, where all taxa in a given area have broad geographical ranges, to infinity, with large values indicating the presence of taxa with range-size rarity (i.e. areas with high endemism).</w:t>
            </w:r>
          </w:p>
        </w:tc>
      </w:tr>
      <w:tr w:rsidR="00173728" w:rsidRPr="00747E35" w14:paraId="7E577C3D"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47613F51"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Taxonomic richness (S) </w:t>
            </w:r>
          </w:p>
        </w:tc>
        <w:tc>
          <w:tcPr>
            <w:tcW w:w="7399" w:type="dxa"/>
            <w:tcBorders>
              <w:top w:val="nil"/>
              <w:left w:val="nil"/>
              <w:bottom w:val="single" w:sz="4" w:space="0" w:color="auto"/>
              <w:right w:val="single" w:sz="4" w:space="0" w:color="auto"/>
            </w:tcBorders>
            <w:shd w:val="clear" w:color="auto" w:fill="auto"/>
          </w:tcPr>
          <w:p w14:paraId="78C6D147" w14:textId="77777777" w:rsidR="00173728" w:rsidRPr="00747E35" w:rsidRDefault="00173728" w:rsidP="0096743A">
            <w:pPr>
              <w:pStyle w:val="Tabletext"/>
              <w:spacing w:before="0" w:after="0"/>
              <w:rPr>
                <w:rFonts w:cstheme="minorHAnsi"/>
                <w:szCs w:val="18"/>
              </w:rPr>
            </w:pPr>
            <w:r w:rsidRPr="00747E35">
              <w:rPr>
                <w:rFonts w:cstheme="minorHAnsi"/>
                <w:szCs w:val="18"/>
              </w:rPr>
              <w:t>Number of taxa in a given area (also referred to as alpha diversity).</w:t>
            </w:r>
          </w:p>
        </w:tc>
      </w:tr>
      <w:tr w:rsidR="00173728" w:rsidRPr="00747E35" w14:paraId="78543423"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D461C47" w14:textId="77777777" w:rsidR="00173728" w:rsidRPr="00747E35" w:rsidRDefault="00173728" w:rsidP="0096743A">
            <w:pPr>
              <w:pStyle w:val="Tabletext"/>
              <w:spacing w:before="0" w:after="0"/>
              <w:rPr>
                <w:rFonts w:cstheme="minorHAnsi"/>
                <w:szCs w:val="18"/>
              </w:rPr>
            </w:pPr>
            <w:r w:rsidRPr="00747E35">
              <w:rPr>
                <w:rFonts w:cstheme="minorHAnsi"/>
                <w:szCs w:val="18"/>
              </w:rPr>
              <w:t>Taxonomy</w:t>
            </w:r>
          </w:p>
        </w:tc>
        <w:tc>
          <w:tcPr>
            <w:tcW w:w="7399" w:type="dxa"/>
            <w:tcBorders>
              <w:top w:val="nil"/>
              <w:left w:val="nil"/>
              <w:bottom w:val="single" w:sz="4" w:space="0" w:color="auto"/>
              <w:right w:val="single" w:sz="4" w:space="0" w:color="auto"/>
            </w:tcBorders>
            <w:shd w:val="clear" w:color="auto" w:fill="auto"/>
          </w:tcPr>
          <w:p w14:paraId="05B7D432" w14:textId="77777777" w:rsidR="00173728" w:rsidRPr="00747E35" w:rsidRDefault="00173728" w:rsidP="0096743A">
            <w:pPr>
              <w:pStyle w:val="Tabletext"/>
              <w:spacing w:before="0" w:after="0"/>
              <w:rPr>
                <w:rFonts w:cstheme="minorHAnsi"/>
                <w:szCs w:val="18"/>
              </w:rPr>
            </w:pPr>
            <w:r w:rsidRPr="00747E35">
              <w:rPr>
                <w:rFonts w:cstheme="minorHAnsi"/>
                <w:szCs w:val="18"/>
              </w:rPr>
              <w:t>The scientific classification of organisms into named groups based either on shared characteristics or on evolutionary relationships.</w:t>
            </w:r>
          </w:p>
        </w:tc>
      </w:tr>
      <w:tr w:rsidR="00173728" w:rsidRPr="00747E35" w14:paraId="1DF5E37E"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516128D6" w14:textId="77777777" w:rsidR="00173728" w:rsidRPr="00747E35" w:rsidRDefault="00173728" w:rsidP="0096743A">
            <w:pPr>
              <w:pStyle w:val="Tabletext"/>
              <w:spacing w:before="0" w:after="0"/>
              <w:rPr>
                <w:rFonts w:cstheme="minorHAnsi"/>
                <w:szCs w:val="18"/>
              </w:rPr>
            </w:pPr>
            <w:r w:rsidRPr="00747E35">
              <w:rPr>
                <w:rFonts w:cstheme="minorHAnsi"/>
                <w:szCs w:val="18"/>
              </w:rPr>
              <w:t>Temporary stream</w:t>
            </w:r>
          </w:p>
        </w:tc>
        <w:tc>
          <w:tcPr>
            <w:tcW w:w="7399" w:type="dxa"/>
            <w:tcBorders>
              <w:top w:val="nil"/>
              <w:left w:val="nil"/>
              <w:bottom w:val="single" w:sz="4" w:space="0" w:color="auto"/>
              <w:right w:val="single" w:sz="4" w:space="0" w:color="auto"/>
            </w:tcBorders>
            <w:shd w:val="clear" w:color="auto" w:fill="auto"/>
          </w:tcPr>
          <w:p w14:paraId="176878FB" w14:textId="77777777" w:rsidR="00173728" w:rsidRPr="00747E35" w:rsidRDefault="00173728" w:rsidP="0096743A">
            <w:pPr>
              <w:pStyle w:val="Tabletext"/>
              <w:spacing w:before="0" w:after="0"/>
              <w:rPr>
                <w:rFonts w:cstheme="minorHAnsi"/>
                <w:szCs w:val="18"/>
              </w:rPr>
            </w:pPr>
            <w:r w:rsidRPr="00747E35">
              <w:rPr>
                <w:rFonts w:cstheme="minorHAnsi"/>
                <w:szCs w:val="18"/>
              </w:rPr>
              <w:t>A stream that flows less than 90% of the time.</w:t>
            </w:r>
          </w:p>
        </w:tc>
      </w:tr>
      <w:tr w:rsidR="00173728" w:rsidRPr="00747E35" w14:paraId="557830E9"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D2515FD" w14:textId="77777777" w:rsidR="00173728" w:rsidRPr="00747E35" w:rsidRDefault="00173728" w:rsidP="0096743A">
            <w:pPr>
              <w:pStyle w:val="Tabletext"/>
              <w:spacing w:before="0" w:after="0"/>
              <w:rPr>
                <w:rFonts w:cstheme="minorHAnsi"/>
                <w:szCs w:val="18"/>
              </w:rPr>
            </w:pPr>
            <w:r w:rsidRPr="00747E35">
              <w:rPr>
                <w:rFonts w:cstheme="minorHAnsi"/>
                <w:szCs w:val="18"/>
              </w:rPr>
              <w:t>Therophytes</w:t>
            </w:r>
          </w:p>
        </w:tc>
        <w:tc>
          <w:tcPr>
            <w:tcW w:w="7399" w:type="dxa"/>
            <w:tcBorders>
              <w:top w:val="nil"/>
              <w:left w:val="nil"/>
              <w:bottom w:val="single" w:sz="4" w:space="0" w:color="auto"/>
              <w:right w:val="single" w:sz="4" w:space="0" w:color="auto"/>
            </w:tcBorders>
            <w:shd w:val="clear" w:color="auto" w:fill="auto"/>
          </w:tcPr>
          <w:p w14:paraId="12C9741D" w14:textId="77777777" w:rsidR="00173728" w:rsidRPr="00747E35" w:rsidRDefault="00173728" w:rsidP="0096743A">
            <w:pPr>
              <w:pStyle w:val="Tabletext"/>
              <w:spacing w:before="0" w:after="0"/>
              <w:rPr>
                <w:rFonts w:cstheme="minorHAnsi"/>
                <w:szCs w:val="18"/>
              </w:rPr>
            </w:pPr>
            <w:r w:rsidRPr="00747E35">
              <w:rPr>
                <w:rFonts w:cstheme="minorHAnsi"/>
                <w:szCs w:val="18"/>
              </w:rPr>
              <w:t>Plants that complete their life cycle in a short period when conditions are favourable and survive harsh conditions as seeds.</w:t>
            </w:r>
          </w:p>
        </w:tc>
      </w:tr>
      <w:tr w:rsidR="00173728" w:rsidRPr="00747E35" w14:paraId="4515462B"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EF93335" w14:textId="77777777" w:rsidR="00173728" w:rsidRPr="00747E35" w:rsidRDefault="00173728" w:rsidP="0096743A">
            <w:pPr>
              <w:pStyle w:val="Tabletext"/>
              <w:spacing w:before="0" w:after="0"/>
              <w:rPr>
                <w:rFonts w:cstheme="minorHAnsi"/>
                <w:szCs w:val="18"/>
              </w:rPr>
            </w:pPr>
            <w:r w:rsidRPr="00747E35">
              <w:rPr>
                <w:rFonts w:cstheme="minorHAnsi"/>
                <w:szCs w:val="18"/>
              </w:rPr>
              <w:t>Tree basal area</w:t>
            </w:r>
          </w:p>
        </w:tc>
        <w:tc>
          <w:tcPr>
            <w:tcW w:w="7399" w:type="dxa"/>
            <w:tcBorders>
              <w:top w:val="nil"/>
              <w:left w:val="nil"/>
              <w:bottom w:val="single" w:sz="4" w:space="0" w:color="auto"/>
              <w:right w:val="single" w:sz="4" w:space="0" w:color="auto"/>
            </w:tcBorders>
            <w:shd w:val="clear" w:color="auto" w:fill="auto"/>
          </w:tcPr>
          <w:p w14:paraId="392E6CEB" w14:textId="77777777" w:rsidR="00173728" w:rsidRPr="00747E35" w:rsidRDefault="00173728" w:rsidP="0096743A">
            <w:pPr>
              <w:pStyle w:val="Tabletext"/>
              <w:spacing w:before="0" w:after="0"/>
              <w:rPr>
                <w:rFonts w:cstheme="minorHAnsi"/>
                <w:szCs w:val="18"/>
              </w:rPr>
            </w:pPr>
            <w:r w:rsidRPr="00747E35">
              <w:rPr>
                <w:rFonts w:cstheme="minorHAnsi"/>
                <w:szCs w:val="18"/>
              </w:rPr>
              <w:t>The area of a given section of land that is occupied by the cross-section of tree trunks and stems at the base.</w:t>
            </w:r>
          </w:p>
        </w:tc>
      </w:tr>
      <w:tr w:rsidR="00173728" w:rsidRPr="00747E35" w14:paraId="49667A98"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5C31AE72" w14:textId="77777777" w:rsidR="00173728" w:rsidRPr="00747E35" w:rsidRDefault="00173728" w:rsidP="0096743A">
            <w:pPr>
              <w:pStyle w:val="Tabletext"/>
              <w:spacing w:before="0" w:after="0"/>
              <w:rPr>
                <w:rFonts w:cstheme="minorHAnsi"/>
                <w:szCs w:val="18"/>
              </w:rPr>
            </w:pPr>
            <w:r w:rsidRPr="00747E35">
              <w:rPr>
                <w:rFonts w:cstheme="minorHAnsi"/>
                <w:szCs w:val="18"/>
              </w:rPr>
              <w:t>Typology</w:t>
            </w:r>
          </w:p>
        </w:tc>
        <w:tc>
          <w:tcPr>
            <w:tcW w:w="7399" w:type="dxa"/>
            <w:tcBorders>
              <w:top w:val="nil"/>
              <w:left w:val="nil"/>
              <w:bottom w:val="single" w:sz="4" w:space="0" w:color="auto"/>
              <w:right w:val="single" w:sz="4" w:space="0" w:color="auto"/>
            </w:tcBorders>
            <w:shd w:val="clear" w:color="auto" w:fill="auto"/>
          </w:tcPr>
          <w:p w14:paraId="78FE288C" w14:textId="77777777" w:rsidR="00173728" w:rsidRPr="00747E35" w:rsidRDefault="00173728" w:rsidP="0096743A">
            <w:pPr>
              <w:pStyle w:val="Tabletext"/>
              <w:spacing w:before="0" w:after="0"/>
              <w:rPr>
                <w:rFonts w:cstheme="minorHAnsi"/>
                <w:szCs w:val="18"/>
              </w:rPr>
            </w:pPr>
            <w:r w:rsidRPr="00747E35">
              <w:rPr>
                <w:rFonts w:cstheme="minorHAnsi"/>
                <w:szCs w:val="18"/>
              </w:rPr>
              <w:t>A scheme for categorising entities into distinct groups such that those entities belonging to a type share common attributes, but in combinations that differ from other types.</w:t>
            </w:r>
          </w:p>
        </w:tc>
      </w:tr>
      <w:tr w:rsidR="00173728" w:rsidRPr="00747E35" w14:paraId="099FB7EF"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B79FD3F" w14:textId="77777777" w:rsidR="00173728" w:rsidRPr="00747E35" w:rsidRDefault="00173728" w:rsidP="0096743A">
            <w:pPr>
              <w:pStyle w:val="Tabletext"/>
              <w:spacing w:before="0" w:after="0"/>
              <w:rPr>
                <w:rFonts w:cstheme="minorHAnsi"/>
                <w:szCs w:val="18"/>
              </w:rPr>
            </w:pPr>
            <w:r w:rsidRPr="00747E35">
              <w:rPr>
                <w:rFonts w:cstheme="minorHAnsi"/>
                <w:szCs w:val="18"/>
              </w:rPr>
              <w:t xml:space="preserve">Vent </w:t>
            </w:r>
          </w:p>
        </w:tc>
        <w:tc>
          <w:tcPr>
            <w:tcW w:w="7399" w:type="dxa"/>
            <w:tcBorders>
              <w:top w:val="nil"/>
              <w:left w:val="nil"/>
              <w:bottom w:val="single" w:sz="4" w:space="0" w:color="auto"/>
              <w:right w:val="single" w:sz="4" w:space="0" w:color="auto"/>
            </w:tcBorders>
            <w:shd w:val="clear" w:color="auto" w:fill="auto"/>
          </w:tcPr>
          <w:p w14:paraId="11F54689" w14:textId="77777777" w:rsidR="00173728" w:rsidRPr="00747E35" w:rsidRDefault="00173728" w:rsidP="0096743A">
            <w:pPr>
              <w:pStyle w:val="Tabletext"/>
              <w:spacing w:before="0" w:after="0"/>
              <w:rPr>
                <w:rFonts w:cstheme="minorHAnsi"/>
                <w:szCs w:val="18"/>
              </w:rPr>
            </w:pPr>
            <w:r w:rsidRPr="00747E35">
              <w:rPr>
                <w:rFonts w:cstheme="minorHAnsi"/>
                <w:szCs w:val="18"/>
              </w:rPr>
              <w:t>Point of natural groundwater discharge at the ground surface.</w:t>
            </w:r>
          </w:p>
        </w:tc>
      </w:tr>
      <w:tr w:rsidR="00173728" w:rsidRPr="00747E35" w14:paraId="3BDF2993"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4F600E36" w14:textId="77777777" w:rsidR="00173728" w:rsidRPr="00747E35" w:rsidRDefault="00173728" w:rsidP="0096743A">
            <w:pPr>
              <w:pStyle w:val="Tabletext"/>
              <w:spacing w:before="0" w:after="0"/>
              <w:rPr>
                <w:rFonts w:cstheme="minorHAnsi"/>
                <w:szCs w:val="18"/>
              </w:rPr>
            </w:pPr>
            <w:r w:rsidRPr="00747E35">
              <w:rPr>
                <w:rFonts w:cstheme="minorHAnsi"/>
                <w:szCs w:val="18"/>
              </w:rPr>
              <w:t>Vertisols</w:t>
            </w:r>
          </w:p>
        </w:tc>
        <w:tc>
          <w:tcPr>
            <w:tcW w:w="7399" w:type="dxa"/>
            <w:tcBorders>
              <w:top w:val="nil"/>
              <w:left w:val="nil"/>
              <w:bottom w:val="single" w:sz="4" w:space="0" w:color="auto"/>
              <w:right w:val="single" w:sz="4" w:space="0" w:color="auto"/>
            </w:tcBorders>
            <w:shd w:val="clear" w:color="auto" w:fill="auto"/>
          </w:tcPr>
          <w:p w14:paraId="330E04E9" w14:textId="77777777" w:rsidR="00173728" w:rsidRPr="00747E35" w:rsidRDefault="00173728" w:rsidP="0096743A">
            <w:pPr>
              <w:pStyle w:val="Tabletext"/>
              <w:spacing w:before="0" w:after="0"/>
              <w:rPr>
                <w:rFonts w:cstheme="minorHAnsi"/>
                <w:szCs w:val="18"/>
              </w:rPr>
            </w:pPr>
            <w:r w:rsidRPr="00747E35">
              <w:rPr>
                <w:rFonts w:cstheme="minorHAnsi"/>
                <w:szCs w:val="18"/>
              </w:rPr>
              <w:t>Clay-rich soils that shrink and swell with changes in moisture content. During dry periods, the soil volume shrinks, and deep wide cracks form. The soil volume then expands as it wets.</w:t>
            </w:r>
          </w:p>
        </w:tc>
      </w:tr>
      <w:tr w:rsidR="00173728" w:rsidRPr="00747E35" w14:paraId="338BDDD3"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B4AB874" w14:textId="77777777" w:rsidR="00173728" w:rsidRPr="00747E35" w:rsidRDefault="00173728" w:rsidP="0096743A">
            <w:pPr>
              <w:pStyle w:val="Tabletext"/>
              <w:spacing w:before="0" w:after="0"/>
              <w:rPr>
                <w:rFonts w:cstheme="minorHAnsi"/>
                <w:szCs w:val="18"/>
              </w:rPr>
            </w:pPr>
            <w:r w:rsidRPr="00747E35">
              <w:rPr>
                <w:rFonts w:cstheme="minorHAnsi"/>
                <w:szCs w:val="18"/>
              </w:rPr>
              <w:t>Water quality</w:t>
            </w:r>
          </w:p>
        </w:tc>
        <w:tc>
          <w:tcPr>
            <w:tcW w:w="7399" w:type="dxa"/>
            <w:tcBorders>
              <w:top w:val="nil"/>
              <w:left w:val="nil"/>
              <w:bottom w:val="single" w:sz="4" w:space="0" w:color="auto"/>
              <w:right w:val="single" w:sz="4" w:space="0" w:color="auto"/>
            </w:tcBorders>
            <w:shd w:val="clear" w:color="auto" w:fill="auto"/>
          </w:tcPr>
          <w:p w14:paraId="7C9321FD" w14:textId="77777777" w:rsidR="00173728" w:rsidRPr="00747E35" w:rsidRDefault="00173728" w:rsidP="0096743A">
            <w:pPr>
              <w:pStyle w:val="Tabletext"/>
              <w:spacing w:before="0" w:after="0"/>
              <w:rPr>
                <w:rFonts w:cstheme="minorHAnsi"/>
                <w:szCs w:val="18"/>
              </w:rPr>
            </w:pPr>
            <w:r w:rsidRPr="00747E35">
              <w:rPr>
                <w:rFonts w:cstheme="minorHAnsi"/>
                <w:szCs w:val="18"/>
              </w:rPr>
              <w:t>The physical, chemical and biological attributes of water that affect its ability to sustain environmental values.</w:t>
            </w:r>
          </w:p>
        </w:tc>
      </w:tr>
      <w:tr w:rsidR="00173728" w:rsidRPr="00747E35" w14:paraId="52ADF7EA"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17C9A552" w14:textId="77777777" w:rsidR="00173728" w:rsidRPr="00747E35" w:rsidRDefault="00173728" w:rsidP="0096743A">
            <w:pPr>
              <w:pStyle w:val="Tabletext"/>
              <w:spacing w:before="0" w:after="0"/>
              <w:rPr>
                <w:rFonts w:cstheme="minorHAnsi"/>
                <w:szCs w:val="18"/>
              </w:rPr>
            </w:pPr>
            <w:r w:rsidRPr="00747E35">
              <w:rPr>
                <w:rFonts w:cstheme="minorHAnsi"/>
                <w:szCs w:val="18"/>
              </w:rPr>
              <w:t>Water use efficiency</w:t>
            </w:r>
          </w:p>
        </w:tc>
        <w:tc>
          <w:tcPr>
            <w:tcW w:w="7399" w:type="dxa"/>
            <w:tcBorders>
              <w:top w:val="nil"/>
              <w:left w:val="nil"/>
              <w:bottom w:val="single" w:sz="4" w:space="0" w:color="auto"/>
              <w:right w:val="single" w:sz="4" w:space="0" w:color="auto"/>
            </w:tcBorders>
            <w:shd w:val="clear" w:color="auto" w:fill="auto"/>
          </w:tcPr>
          <w:p w14:paraId="2DD80113" w14:textId="77777777" w:rsidR="00173728" w:rsidRPr="00747E35" w:rsidRDefault="00173728" w:rsidP="0096743A">
            <w:pPr>
              <w:pStyle w:val="Tabletext"/>
              <w:spacing w:before="0" w:after="0"/>
              <w:rPr>
                <w:rFonts w:cstheme="minorHAnsi"/>
                <w:szCs w:val="18"/>
              </w:rPr>
            </w:pPr>
            <w:r w:rsidRPr="00747E35">
              <w:rPr>
                <w:rFonts w:cstheme="minorHAnsi"/>
                <w:szCs w:val="18"/>
              </w:rPr>
              <w:t>A measure of a plant’s capacity to convert water into biomass that includes the use of water stored in the soil, groundwater and rainfall during the growing season.</w:t>
            </w:r>
          </w:p>
        </w:tc>
      </w:tr>
      <w:tr w:rsidR="00173728" w:rsidRPr="00747E35" w14:paraId="38AE59E8"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70CA6D1" w14:textId="77777777" w:rsidR="00173728" w:rsidRPr="00747E35" w:rsidRDefault="00173728" w:rsidP="0096743A">
            <w:pPr>
              <w:pStyle w:val="Tabletext"/>
              <w:spacing w:before="0" w:after="0"/>
              <w:rPr>
                <w:rFonts w:cstheme="minorHAnsi"/>
                <w:szCs w:val="18"/>
              </w:rPr>
            </w:pPr>
            <w:r w:rsidRPr="00747E35">
              <w:rPr>
                <w:rFonts w:cstheme="minorHAnsi"/>
                <w:szCs w:val="18"/>
              </w:rPr>
              <w:t>Watercourse spring</w:t>
            </w:r>
          </w:p>
        </w:tc>
        <w:tc>
          <w:tcPr>
            <w:tcW w:w="7399" w:type="dxa"/>
            <w:tcBorders>
              <w:top w:val="nil"/>
              <w:left w:val="nil"/>
              <w:bottom w:val="single" w:sz="4" w:space="0" w:color="auto"/>
              <w:right w:val="single" w:sz="4" w:space="0" w:color="auto"/>
            </w:tcBorders>
            <w:shd w:val="clear" w:color="auto" w:fill="auto"/>
          </w:tcPr>
          <w:p w14:paraId="3B68A5D3" w14:textId="77777777" w:rsidR="00173728" w:rsidRPr="00747E35" w:rsidRDefault="00173728" w:rsidP="0096743A">
            <w:pPr>
              <w:pStyle w:val="Tabletext"/>
              <w:spacing w:before="0" w:after="0"/>
              <w:rPr>
                <w:rFonts w:cstheme="minorHAnsi"/>
                <w:szCs w:val="18"/>
              </w:rPr>
            </w:pPr>
            <w:r w:rsidRPr="00747E35">
              <w:rPr>
                <w:rFonts w:cstheme="minorHAnsi"/>
                <w:szCs w:val="18"/>
              </w:rPr>
              <w:t>A section of a watercourse where groundwater from an aquifer enters the stream through the streambed. This includes waterholes and flowing sections of streams dependent on groundwater. Sometimes also referred to as a baseflow-fed section of a watercourse.</w:t>
            </w:r>
          </w:p>
        </w:tc>
      </w:tr>
      <w:tr w:rsidR="00173728" w:rsidRPr="00747E35" w14:paraId="60D890E2"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13BBF359" w14:textId="77777777" w:rsidR="00173728" w:rsidRPr="00747E35" w:rsidRDefault="00173728" w:rsidP="0096743A">
            <w:pPr>
              <w:pStyle w:val="Tabletext"/>
              <w:spacing w:before="0" w:after="0"/>
              <w:rPr>
                <w:rFonts w:cstheme="minorHAnsi"/>
                <w:szCs w:val="18"/>
              </w:rPr>
            </w:pPr>
            <w:r w:rsidRPr="00747E35">
              <w:rPr>
                <w:rFonts w:cstheme="minorHAnsi"/>
                <w:szCs w:val="18"/>
              </w:rPr>
              <w:t>Watertable</w:t>
            </w:r>
          </w:p>
        </w:tc>
        <w:tc>
          <w:tcPr>
            <w:tcW w:w="7399" w:type="dxa"/>
            <w:tcBorders>
              <w:top w:val="nil"/>
              <w:left w:val="nil"/>
              <w:bottom w:val="single" w:sz="4" w:space="0" w:color="auto"/>
              <w:right w:val="single" w:sz="4" w:space="0" w:color="auto"/>
            </w:tcBorders>
            <w:shd w:val="clear" w:color="auto" w:fill="auto"/>
          </w:tcPr>
          <w:p w14:paraId="2C735D8C" w14:textId="77777777" w:rsidR="00173728" w:rsidRPr="00747E35" w:rsidRDefault="00173728" w:rsidP="0096743A">
            <w:pPr>
              <w:pStyle w:val="Tabletext"/>
              <w:spacing w:before="0" w:after="0"/>
              <w:rPr>
                <w:rFonts w:cstheme="minorHAnsi"/>
                <w:szCs w:val="18"/>
              </w:rPr>
            </w:pPr>
            <w:r w:rsidRPr="00747E35">
              <w:rPr>
                <w:rFonts w:cstheme="minorHAnsi"/>
                <w:szCs w:val="18"/>
              </w:rPr>
              <w:t>The upper surface of a body of groundwater occurring in an unconfined aquifer. At the watertable, pore water pressure equals atmospheric pressure.</w:t>
            </w:r>
          </w:p>
        </w:tc>
      </w:tr>
      <w:tr w:rsidR="00173728" w:rsidRPr="00747E35" w14:paraId="202B9593"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6F3B23D0" w14:textId="77777777" w:rsidR="00173728" w:rsidRPr="00747E35" w:rsidRDefault="00173728" w:rsidP="0096743A">
            <w:pPr>
              <w:pStyle w:val="Tabletext"/>
              <w:spacing w:before="0" w:after="0"/>
              <w:rPr>
                <w:rFonts w:cstheme="minorHAnsi"/>
                <w:szCs w:val="18"/>
              </w:rPr>
            </w:pPr>
            <w:r w:rsidRPr="00747E35">
              <w:rPr>
                <w:rFonts w:cstheme="minorHAnsi"/>
                <w:szCs w:val="18"/>
              </w:rPr>
              <w:lastRenderedPageBreak/>
              <w:t>Xylem</w:t>
            </w:r>
          </w:p>
        </w:tc>
        <w:tc>
          <w:tcPr>
            <w:tcW w:w="7399" w:type="dxa"/>
            <w:tcBorders>
              <w:top w:val="nil"/>
              <w:left w:val="nil"/>
              <w:bottom w:val="single" w:sz="4" w:space="0" w:color="auto"/>
              <w:right w:val="single" w:sz="4" w:space="0" w:color="auto"/>
            </w:tcBorders>
            <w:shd w:val="clear" w:color="auto" w:fill="auto"/>
          </w:tcPr>
          <w:p w14:paraId="4AD9CA1D" w14:textId="77777777" w:rsidR="00173728" w:rsidRPr="00747E35" w:rsidRDefault="00173728" w:rsidP="0096743A">
            <w:pPr>
              <w:pStyle w:val="Tabletext"/>
              <w:spacing w:before="0" w:after="0"/>
              <w:rPr>
                <w:rFonts w:cstheme="minorHAnsi"/>
                <w:szCs w:val="18"/>
              </w:rPr>
            </w:pPr>
            <w:r w:rsidRPr="00747E35">
              <w:rPr>
                <w:rFonts w:cstheme="minorHAnsi"/>
                <w:szCs w:val="18"/>
              </w:rPr>
              <w:t>Specialized plants cells for the transport of water and dissolved minerals from the roots to the leaves.</w:t>
            </w:r>
          </w:p>
        </w:tc>
      </w:tr>
      <w:tr w:rsidR="003D3694" w:rsidRPr="00747E35" w14:paraId="6BF00B6B"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3234A814" w14:textId="77777777" w:rsidR="003D3694" w:rsidRPr="00747E35" w:rsidRDefault="003D3694" w:rsidP="0096743A">
            <w:pPr>
              <w:pStyle w:val="Tabletext"/>
              <w:spacing w:before="0" w:after="0"/>
              <w:rPr>
                <w:rFonts w:cstheme="minorHAnsi"/>
                <w:szCs w:val="18"/>
              </w:rPr>
            </w:pPr>
            <w:r w:rsidRPr="00747E35">
              <w:rPr>
                <w:rFonts w:cstheme="minorHAnsi"/>
                <w:szCs w:val="18"/>
              </w:rPr>
              <w:t>δ</w:t>
            </w:r>
            <w:r w:rsidRPr="00747E35">
              <w:rPr>
                <w:rFonts w:cstheme="minorHAnsi"/>
                <w:szCs w:val="18"/>
                <w:vertAlign w:val="superscript"/>
              </w:rPr>
              <w:t>13</w:t>
            </w:r>
            <w:r w:rsidRPr="00747E35">
              <w:rPr>
                <w:rFonts w:cstheme="minorHAnsi"/>
                <w:szCs w:val="18"/>
              </w:rPr>
              <w:t>C</w:t>
            </w:r>
          </w:p>
        </w:tc>
        <w:tc>
          <w:tcPr>
            <w:tcW w:w="7399" w:type="dxa"/>
            <w:tcBorders>
              <w:top w:val="nil"/>
              <w:left w:val="nil"/>
              <w:bottom w:val="single" w:sz="4" w:space="0" w:color="auto"/>
              <w:right w:val="single" w:sz="4" w:space="0" w:color="auto"/>
            </w:tcBorders>
            <w:shd w:val="clear" w:color="auto" w:fill="auto"/>
          </w:tcPr>
          <w:p w14:paraId="2920D74A" w14:textId="77777777" w:rsidR="003D3694" w:rsidRPr="00747E35" w:rsidRDefault="003D3694" w:rsidP="0096743A">
            <w:pPr>
              <w:pStyle w:val="Tabletext"/>
              <w:spacing w:before="0" w:after="0"/>
              <w:rPr>
                <w:rFonts w:cstheme="minorHAnsi"/>
                <w:szCs w:val="18"/>
              </w:rPr>
            </w:pPr>
            <w:r w:rsidRPr="00747E35">
              <w:rPr>
                <w:rFonts w:cstheme="minorHAnsi"/>
                <w:szCs w:val="18"/>
              </w:rPr>
              <w:t>A measure of the ratio of stable isotopes </w:t>
            </w:r>
            <w:r w:rsidRPr="00747E35">
              <w:rPr>
                <w:rFonts w:cstheme="minorHAnsi"/>
                <w:szCs w:val="18"/>
                <w:vertAlign w:val="superscript"/>
              </w:rPr>
              <w:t>13</w:t>
            </w:r>
            <w:r w:rsidRPr="00747E35">
              <w:rPr>
                <w:rFonts w:cstheme="minorHAnsi"/>
                <w:szCs w:val="18"/>
              </w:rPr>
              <w:t>C: </w:t>
            </w:r>
            <w:r w:rsidRPr="00747E35">
              <w:rPr>
                <w:rFonts w:cstheme="minorHAnsi"/>
                <w:szCs w:val="18"/>
                <w:vertAlign w:val="superscript"/>
              </w:rPr>
              <w:t>12</w:t>
            </w:r>
            <w:r w:rsidRPr="00747E35">
              <w:rPr>
                <w:rFonts w:cstheme="minorHAnsi"/>
                <w:szCs w:val="18"/>
              </w:rPr>
              <w:t>C, reported in parts per thousand (per mil, ‰).</w:t>
            </w:r>
          </w:p>
        </w:tc>
      </w:tr>
      <w:tr w:rsidR="003D3694" w:rsidRPr="00747E35" w14:paraId="43557D38" w14:textId="77777777" w:rsidTr="003D57A3">
        <w:trPr>
          <w:trHeight w:val="20"/>
        </w:trPr>
        <w:tc>
          <w:tcPr>
            <w:tcW w:w="2127" w:type="dxa"/>
            <w:tcBorders>
              <w:top w:val="nil"/>
              <w:left w:val="single" w:sz="4" w:space="0" w:color="auto"/>
              <w:bottom w:val="single" w:sz="4" w:space="0" w:color="auto"/>
              <w:right w:val="single" w:sz="4" w:space="0" w:color="auto"/>
            </w:tcBorders>
            <w:shd w:val="clear" w:color="auto" w:fill="auto"/>
          </w:tcPr>
          <w:p w14:paraId="72F30A65" w14:textId="77777777" w:rsidR="003D3694" w:rsidRPr="00747E35" w:rsidRDefault="003D3694" w:rsidP="0096743A">
            <w:pPr>
              <w:pStyle w:val="Tabletext"/>
              <w:spacing w:before="0" w:after="0"/>
              <w:rPr>
                <w:rFonts w:cstheme="minorHAnsi"/>
                <w:szCs w:val="18"/>
              </w:rPr>
            </w:pPr>
            <w:r w:rsidRPr="00747E35">
              <w:rPr>
                <w:rFonts w:cstheme="minorHAnsi"/>
                <w:szCs w:val="18"/>
              </w:rPr>
              <w:t>δ</w:t>
            </w:r>
            <w:r w:rsidRPr="00747E35">
              <w:rPr>
                <w:rFonts w:cstheme="minorHAnsi"/>
                <w:szCs w:val="18"/>
                <w:vertAlign w:val="superscript"/>
              </w:rPr>
              <w:t>15</w:t>
            </w:r>
            <w:r w:rsidRPr="00747E35">
              <w:rPr>
                <w:rFonts w:cstheme="minorHAnsi"/>
                <w:szCs w:val="18"/>
              </w:rPr>
              <w:t>N</w:t>
            </w:r>
          </w:p>
        </w:tc>
        <w:tc>
          <w:tcPr>
            <w:tcW w:w="7399" w:type="dxa"/>
            <w:tcBorders>
              <w:top w:val="nil"/>
              <w:left w:val="nil"/>
              <w:bottom w:val="single" w:sz="4" w:space="0" w:color="auto"/>
              <w:right w:val="single" w:sz="4" w:space="0" w:color="auto"/>
            </w:tcBorders>
            <w:shd w:val="clear" w:color="auto" w:fill="auto"/>
          </w:tcPr>
          <w:p w14:paraId="70E2AEB6" w14:textId="77777777" w:rsidR="003D3694" w:rsidRPr="00747E35" w:rsidRDefault="003D3694" w:rsidP="0096743A">
            <w:pPr>
              <w:pStyle w:val="Tabletext"/>
              <w:spacing w:before="0" w:after="0"/>
              <w:rPr>
                <w:rFonts w:cstheme="minorHAnsi"/>
                <w:szCs w:val="18"/>
              </w:rPr>
            </w:pPr>
            <w:r w:rsidRPr="00747E35">
              <w:rPr>
                <w:rFonts w:cstheme="minorHAnsi"/>
                <w:szCs w:val="18"/>
              </w:rPr>
              <w:t>A measure of the ratio of stable isotopes </w:t>
            </w:r>
            <w:r w:rsidRPr="00747E35">
              <w:rPr>
                <w:rFonts w:cstheme="minorHAnsi"/>
                <w:szCs w:val="18"/>
                <w:vertAlign w:val="superscript"/>
              </w:rPr>
              <w:t>15</w:t>
            </w:r>
            <w:r w:rsidRPr="00747E35">
              <w:rPr>
                <w:rFonts w:cstheme="minorHAnsi"/>
                <w:szCs w:val="18"/>
              </w:rPr>
              <w:t>N: </w:t>
            </w:r>
            <w:r w:rsidRPr="00747E35">
              <w:rPr>
                <w:rFonts w:cstheme="minorHAnsi"/>
                <w:szCs w:val="18"/>
                <w:vertAlign w:val="superscript"/>
              </w:rPr>
              <w:t>14</w:t>
            </w:r>
            <w:r w:rsidRPr="00747E35">
              <w:rPr>
                <w:rFonts w:cstheme="minorHAnsi"/>
                <w:szCs w:val="18"/>
              </w:rPr>
              <w:t>N, reported in parts per thousand (per mil, ‰).</w:t>
            </w:r>
          </w:p>
        </w:tc>
      </w:tr>
    </w:tbl>
    <w:p w14:paraId="41B1A5FC"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br w:type="page"/>
      </w:r>
    </w:p>
    <w:p w14:paraId="573989D0" w14:textId="77C9F9AA" w:rsidR="003D3694" w:rsidRPr="00747E35" w:rsidRDefault="003D3694" w:rsidP="004C011D">
      <w:pPr>
        <w:pStyle w:val="Heading1"/>
        <w:numPr>
          <w:ilvl w:val="0"/>
          <w:numId w:val="0"/>
        </w:numPr>
        <w:ind w:left="432"/>
        <w:rPr>
          <w:rFonts w:asciiTheme="minorHAnsi" w:hAnsiTheme="minorHAnsi" w:cstheme="minorHAnsi"/>
        </w:rPr>
      </w:pPr>
      <w:bookmarkStart w:id="13" w:name="_Toc470004816"/>
      <w:r w:rsidRPr="00747E35">
        <w:rPr>
          <w:rFonts w:asciiTheme="minorHAnsi" w:hAnsiTheme="minorHAnsi" w:cstheme="minorHAnsi"/>
        </w:rPr>
        <w:lastRenderedPageBreak/>
        <w:t>Executive summary</w:t>
      </w:r>
      <w:bookmarkEnd w:id="13"/>
    </w:p>
    <w:p w14:paraId="343A3446" w14:textId="77777777" w:rsidR="003D3694" w:rsidRPr="00747E35" w:rsidRDefault="003D3694" w:rsidP="001207C7">
      <w:pPr>
        <w:spacing w:after="120"/>
        <w:rPr>
          <w:rFonts w:asciiTheme="minorHAnsi" w:hAnsiTheme="minorHAnsi" w:cstheme="minorHAnsi"/>
          <w:b/>
        </w:rPr>
      </w:pPr>
      <w:r w:rsidRPr="00747E35">
        <w:rPr>
          <w:rFonts w:asciiTheme="minorHAnsi" w:hAnsiTheme="minorHAnsi" w:cstheme="minorHAnsi"/>
          <w:b/>
        </w:rPr>
        <w:t>Background</w:t>
      </w:r>
    </w:p>
    <w:p w14:paraId="37F43F2A" w14:textId="77777777" w:rsidR="003D3694" w:rsidRPr="00747E35" w:rsidRDefault="003D3694" w:rsidP="001207C7">
      <w:pPr>
        <w:spacing w:after="120"/>
        <w:rPr>
          <w:rFonts w:asciiTheme="minorHAnsi" w:hAnsiTheme="minorHAnsi" w:cstheme="minorHAnsi"/>
        </w:rPr>
      </w:pPr>
      <w:r w:rsidRPr="00747E35">
        <w:rPr>
          <w:rFonts w:asciiTheme="minorHAnsi" w:hAnsiTheme="minorHAnsi" w:cstheme="minorHAnsi"/>
        </w:rPr>
        <w:t xml:space="preserve">In 2012, the Australian Government established an Independent Expert Scientific Committee on Coal Seam Gas and Large Coal Mining Development (IESC) to provide scientific advice to government regulators on the impacts that coal seam gas (CSG) extraction and large coal mining development may have on Australia’s water resources. The IESC is supported by the Office of Water Science (OWS) within the Australian Government Department of the Environment and Energy. The IESC’s Information Guidelines (IESC 2015) outline the information requirements considered necessary by the IESC to enable delivery of robust scientific advice to government regulators on the water-related impacts of CSG and large coal mining developments. </w:t>
      </w:r>
    </w:p>
    <w:p w14:paraId="0C21895E" w14:textId="77777777" w:rsidR="003D3694" w:rsidRPr="00747E35" w:rsidRDefault="003D3694" w:rsidP="001207C7">
      <w:pPr>
        <w:spacing w:after="120"/>
        <w:rPr>
          <w:rFonts w:asciiTheme="minorHAnsi" w:hAnsiTheme="minorHAnsi" w:cstheme="minorHAnsi"/>
        </w:rPr>
      </w:pPr>
      <w:r w:rsidRPr="00747E35">
        <w:rPr>
          <w:rFonts w:asciiTheme="minorHAnsi" w:hAnsiTheme="minorHAnsi" w:cstheme="minorHAnsi"/>
        </w:rPr>
        <w:t>This project was commissioned by the OWS to undertake research to address critical ecology research priorities concerning ecohydrological responses to CSG extraction and coal mining.  The ecology research priorities were developed by the OWS (under their Ecosystems and Water Research theme) in consultation with the IESC and informed by a workshop “Modelling water-related ecological responses to coal seam gas extraction and coal mining” (Commonwealth of Australia 2015</w:t>
      </w:r>
      <w:r w:rsidRPr="00747E35">
        <w:rPr>
          <w:rStyle w:val="FootnoteReference"/>
          <w:rFonts w:asciiTheme="minorHAnsi" w:hAnsiTheme="minorHAnsi" w:cstheme="minorHAnsi"/>
        </w:rPr>
        <w:footnoteReference w:id="2"/>
      </w:r>
      <w:r w:rsidRPr="00747E35">
        <w:rPr>
          <w:rFonts w:asciiTheme="minorHAnsi" w:hAnsiTheme="minorHAnsi" w:cstheme="minorHAnsi"/>
        </w:rPr>
        <w:t xml:space="preserve">). This project delivers an integrated programme of research that addresses key elements within each of the four major components identified in the OWS ecology research priorities.  The project was undertaken by a collaborative, interdisciplinary team of Australia’s leading freshwater researchers. The project was hosted by Griffith University’s Australian Rivers Institute, in partnership with the University of New South Wales, Edith Cowan University, Subterranean Ecology Pty Ltd and Yorb Pty Ltd. </w:t>
      </w:r>
    </w:p>
    <w:p w14:paraId="6E5D3437" w14:textId="77777777" w:rsidR="003D3694" w:rsidRPr="00747E35" w:rsidRDefault="003D3694" w:rsidP="001207C7">
      <w:pPr>
        <w:spacing w:after="120"/>
        <w:rPr>
          <w:rFonts w:asciiTheme="minorHAnsi" w:hAnsiTheme="minorHAnsi" w:cstheme="minorHAnsi"/>
          <w:b/>
        </w:rPr>
      </w:pPr>
      <w:r w:rsidRPr="00747E35">
        <w:rPr>
          <w:rFonts w:asciiTheme="minorHAnsi" w:hAnsiTheme="minorHAnsi" w:cstheme="minorHAnsi"/>
          <w:b/>
        </w:rPr>
        <w:t>Research aims and project structure</w:t>
      </w:r>
    </w:p>
    <w:p w14:paraId="08A91719" w14:textId="77777777" w:rsidR="003D3694" w:rsidRPr="00747E35" w:rsidRDefault="003D3694" w:rsidP="001207C7">
      <w:pPr>
        <w:spacing w:after="120"/>
        <w:rPr>
          <w:rFonts w:asciiTheme="minorHAnsi" w:hAnsiTheme="minorHAnsi" w:cstheme="minorHAnsi"/>
        </w:rPr>
      </w:pPr>
      <w:r w:rsidRPr="00747E35">
        <w:rPr>
          <w:rFonts w:asciiTheme="minorHAnsi" w:hAnsiTheme="minorHAnsi" w:cstheme="minorHAnsi"/>
        </w:rPr>
        <w:t xml:space="preserve">The aim of this project, </w:t>
      </w:r>
      <w:r w:rsidRPr="00747E35">
        <w:rPr>
          <w:rFonts w:asciiTheme="minorHAnsi" w:hAnsiTheme="minorHAnsi" w:cstheme="minorHAnsi"/>
          <w:i/>
        </w:rPr>
        <w:t>Research to inform the assessment of</w:t>
      </w:r>
      <w:r w:rsidRPr="00747E35">
        <w:rPr>
          <w:rFonts w:asciiTheme="minorHAnsi" w:hAnsiTheme="minorHAnsi" w:cstheme="minorHAnsi"/>
        </w:rPr>
        <w:t xml:space="preserve"> </w:t>
      </w:r>
      <w:r w:rsidRPr="00747E35">
        <w:rPr>
          <w:rFonts w:asciiTheme="minorHAnsi" w:hAnsiTheme="minorHAnsi" w:cstheme="minorHAnsi"/>
          <w:i/>
          <w:iCs/>
        </w:rPr>
        <w:t>ecohydrological responses to coal seam gas extraction and coal mining</w:t>
      </w:r>
      <w:r w:rsidRPr="00747E35">
        <w:rPr>
          <w:rFonts w:asciiTheme="minorHAnsi" w:hAnsiTheme="minorHAnsi" w:cstheme="minorHAnsi"/>
        </w:rPr>
        <w:t xml:space="preserve">, was to provide information to support assessments of the water-related impacts of coal seam gas (CSG) extraction and coal mining.  The project design focussed on developing a quantitative understanding of ecological responses across gradients of surface-groundwater interaction as a basis to understand and predict potential consequence of groundwater drawdown associated with CSG extraction and coal mining.  </w:t>
      </w:r>
    </w:p>
    <w:p w14:paraId="59E7C9F6" w14:textId="77777777" w:rsidR="003D3694" w:rsidRPr="00747E35" w:rsidRDefault="003D3694" w:rsidP="001207C7">
      <w:pPr>
        <w:spacing w:after="120"/>
        <w:rPr>
          <w:rFonts w:asciiTheme="minorHAnsi" w:hAnsiTheme="minorHAnsi" w:cstheme="minorHAnsi"/>
        </w:rPr>
      </w:pPr>
      <w:r w:rsidRPr="00747E35">
        <w:rPr>
          <w:rFonts w:asciiTheme="minorHAnsi" w:hAnsiTheme="minorHAnsi" w:cstheme="minorHAnsi"/>
        </w:rPr>
        <w:t xml:space="preserve">The program is constructed around four major research Components: </w:t>
      </w:r>
    </w:p>
    <w:p w14:paraId="2C3BBED5" w14:textId="77777777" w:rsidR="003D3694" w:rsidRPr="00747E35" w:rsidRDefault="003D3694" w:rsidP="001207C7">
      <w:pPr>
        <w:spacing w:after="120"/>
        <w:rPr>
          <w:rFonts w:asciiTheme="minorHAnsi" w:hAnsiTheme="minorHAnsi" w:cstheme="minorHAnsi"/>
          <w:i/>
        </w:rPr>
      </w:pPr>
      <w:r w:rsidRPr="00747E35">
        <w:rPr>
          <w:rFonts w:asciiTheme="minorHAnsi" w:hAnsiTheme="minorHAnsi" w:cstheme="minorHAnsi"/>
          <w:b/>
          <w:i/>
        </w:rPr>
        <w:t xml:space="preserve">Component 1 </w:t>
      </w:r>
      <w:r w:rsidRPr="00747E35">
        <w:rPr>
          <w:rFonts w:asciiTheme="minorHAnsi" w:hAnsiTheme="minorHAnsi" w:cstheme="minorHAnsi"/>
          <w:i/>
        </w:rPr>
        <w:t>– Ecohydrology of groundwater dependent terrestrial vegetation. (Short title: Groundwater dependent vegetation).</w:t>
      </w:r>
    </w:p>
    <w:p w14:paraId="0B14AA67" w14:textId="77777777" w:rsidR="003D3694" w:rsidRPr="00747E35" w:rsidRDefault="003D3694" w:rsidP="001207C7">
      <w:pPr>
        <w:spacing w:after="120"/>
        <w:ind w:left="720"/>
        <w:rPr>
          <w:rFonts w:asciiTheme="minorHAnsi" w:hAnsiTheme="minorHAnsi" w:cstheme="minorHAnsi"/>
        </w:rPr>
      </w:pPr>
      <w:r w:rsidRPr="001207C7">
        <w:rPr>
          <w:rFonts w:asciiTheme="minorHAnsi" w:hAnsiTheme="minorHAnsi" w:cstheme="minorHAnsi"/>
        </w:rPr>
        <w:t>Objectives</w:t>
      </w:r>
      <w:r w:rsidRPr="00747E35">
        <w:rPr>
          <w:rFonts w:asciiTheme="minorHAnsi" w:hAnsiTheme="minorHAnsi" w:cstheme="minorHAnsi"/>
        </w:rPr>
        <w:t xml:space="preserve"> - to </w:t>
      </w:r>
      <w:r w:rsidRPr="00747E35">
        <w:rPr>
          <w:rFonts w:asciiTheme="minorHAnsi" w:hAnsiTheme="minorHAnsi" w:cstheme="minorHAnsi"/>
          <w:lang w:eastAsia="zh-CN" w:bidi="th-TH"/>
        </w:rPr>
        <w:t>understand the impacts of altered groundwater regimes on groundwater-dependent vegetation in different biophysical settings.</w:t>
      </w:r>
    </w:p>
    <w:p w14:paraId="32D9EDA9" w14:textId="77777777" w:rsidR="003D3694" w:rsidRPr="00747E35" w:rsidRDefault="003D3694" w:rsidP="001207C7">
      <w:pPr>
        <w:spacing w:after="120"/>
        <w:rPr>
          <w:rFonts w:asciiTheme="minorHAnsi" w:hAnsiTheme="minorHAnsi" w:cstheme="minorHAnsi"/>
          <w:i/>
        </w:rPr>
      </w:pPr>
      <w:r w:rsidRPr="00747E35">
        <w:rPr>
          <w:rFonts w:asciiTheme="minorHAnsi" w:hAnsiTheme="minorHAnsi" w:cstheme="minorHAnsi"/>
          <w:b/>
          <w:i/>
        </w:rPr>
        <w:t xml:space="preserve">Component 2 </w:t>
      </w:r>
      <w:r w:rsidRPr="00747E35">
        <w:rPr>
          <w:rFonts w:asciiTheme="minorHAnsi" w:hAnsiTheme="minorHAnsi" w:cstheme="minorHAnsi"/>
          <w:i/>
        </w:rPr>
        <w:t>– Ecological values of baseflow and surface water-groundwater connectivity regimes in non-perennial streams. (Short title: Baseflows).</w:t>
      </w:r>
    </w:p>
    <w:p w14:paraId="6D7F47BB" w14:textId="77777777" w:rsidR="003D3694" w:rsidRPr="00747E35" w:rsidRDefault="003D3694" w:rsidP="001207C7">
      <w:pPr>
        <w:spacing w:after="120"/>
        <w:ind w:left="720"/>
        <w:rPr>
          <w:rFonts w:asciiTheme="minorHAnsi" w:hAnsiTheme="minorHAnsi" w:cstheme="minorHAnsi"/>
        </w:rPr>
      </w:pPr>
      <w:r w:rsidRPr="001207C7">
        <w:rPr>
          <w:rFonts w:asciiTheme="minorHAnsi" w:hAnsiTheme="minorHAnsi" w:cstheme="minorHAnsi"/>
        </w:rPr>
        <w:t>Objectives</w:t>
      </w:r>
      <w:r w:rsidRPr="00747E35">
        <w:rPr>
          <w:rFonts w:asciiTheme="minorHAnsi" w:hAnsiTheme="minorHAnsi" w:cstheme="minorHAnsi"/>
        </w:rPr>
        <w:t xml:space="preserve"> - to quantify and describe the ecological values of non-perennial waterways, the contributions from groundwater in maintaining those values, and the potential threats to those values resulting from altered surface-groundwater connectivity, including the ability for systems to recover from periods of altered groundwater-surface water connectivity.</w:t>
      </w:r>
    </w:p>
    <w:p w14:paraId="46EFBAE2" w14:textId="77777777" w:rsidR="003D3694" w:rsidRPr="00747E35" w:rsidRDefault="003D3694" w:rsidP="001207C7">
      <w:pPr>
        <w:spacing w:after="120"/>
        <w:rPr>
          <w:rFonts w:asciiTheme="minorHAnsi" w:hAnsiTheme="minorHAnsi" w:cstheme="minorHAnsi"/>
        </w:rPr>
      </w:pPr>
      <w:r w:rsidRPr="00747E35">
        <w:rPr>
          <w:rFonts w:asciiTheme="minorHAnsi" w:hAnsiTheme="minorHAnsi" w:cstheme="minorHAnsi"/>
          <w:b/>
        </w:rPr>
        <w:t xml:space="preserve">Component 3 </w:t>
      </w:r>
      <w:r w:rsidRPr="00747E35">
        <w:rPr>
          <w:rFonts w:asciiTheme="minorHAnsi" w:hAnsiTheme="minorHAnsi" w:cstheme="minorHAnsi"/>
        </w:rPr>
        <w:t xml:space="preserve">– </w:t>
      </w:r>
      <w:r w:rsidRPr="001207C7">
        <w:rPr>
          <w:rFonts w:asciiTheme="minorHAnsi" w:hAnsiTheme="minorHAnsi" w:cstheme="minorHAnsi"/>
          <w:i/>
        </w:rPr>
        <w:t>Hydrogeochemistry, biogeochemical processes and the hyporheos / stygofauna (Short title: Subsurface ecology).</w:t>
      </w:r>
    </w:p>
    <w:p w14:paraId="75E143F1" w14:textId="77777777" w:rsidR="003D3694" w:rsidRPr="00747E35" w:rsidRDefault="003D3694" w:rsidP="001207C7">
      <w:pPr>
        <w:spacing w:after="120"/>
        <w:ind w:left="720"/>
        <w:rPr>
          <w:rFonts w:asciiTheme="minorHAnsi" w:hAnsiTheme="minorHAnsi" w:cstheme="minorHAnsi"/>
        </w:rPr>
      </w:pPr>
      <w:r w:rsidRPr="001207C7">
        <w:rPr>
          <w:rFonts w:asciiTheme="minorHAnsi" w:hAnsiTheme="minorHAnsi" w:cstheme="minorHAnsi"/>
        </w:rPr>
        <w:lastRenderedPageBreak/>
        <w:t>Objectives</w:t>
      </w:r>
      <w:r w:rsidRPr="00747E35">
        <w:rPr>
          <w:rFonts w:asciiTheme="minorHAnsi" w:hAnsiTheme="minorHAnsi" w:cstheme="minorHAnsi"/>
        </w:rPr>
        <w:t xml:space="preserve"> - to understand how changes in groundwater-surface water connectivity, hyporheic exchange and biogeochemical conditions affect the ecological conditions for hyporheos and stygofauna.</w:t>
      </w:r>
    </w:p>
    <w:p w14:paraId="5DF87E91" w14:textId="6B0E1C6C" w:rsidR="003D3694" w:rsidRPr="00747E35" w:rsidRDefault="003D3694" w:rsidP="001207C7">
      <w:pPr>
        <w:spacing w:after="120"/>
        <w:rPr>
          <w:rFonts w:asciiTheme="minorHAnsi" w:hAnsiTheme="minorHAnsi" w:cstheme="minorHAnsi"/>
        </w:rPr>
      </w:pPr>
      <w:r w:rsidRPr="00747E35">
        <w:rPr>
          <w:rFonts w:asciiTheme="minorHAnsi" w:hAnsiTheme="minorHAnsi" w:cstheme="minorHAnsi"/>
          <w:b/>
        </w:rPr>
        <w:t xml:space="preserve">Component 4 </w:t>
      </w:r>
      <w:r w:rsidRPr="00747E35">
        <w:rPr>
          <w:rFonts w:asciiTheme="minorHAnsi" w:hAnsiTheme="minorHAnsi" w:cstheme="minorHAnsi"/>
        </w:rPr>
        <w:t xml:space="preserve">– </w:t>
      </w:r>
      <w:r w:rsidR="00090218" w:rsidRPr="001207C7">
        <w:rPr>
          <w:rFonts w:asciiTheme="minorHAnsi" w:hAnsiTheme="minorHAnsi" w:cstheme="minorHAnsi"/>
          <w:i/>
        </w:rPr>
        <w:t xml:space="preserve">Biodiversity and risk assessment </w:t>
      </w:r>
      <w:r w:rsidRPr="001207C7">
        <w:rPr>
          <w:rFonts w:asciiTheme="minorHAnsi" w:hAnsiTheme="minorHAnsi" w:cstheme="minorHAnsi"/>
          <w:i/>
        </w:rPr>
        <w:t>of Grea</w:t>
      </w:r>
      <w:r w:rsidR="00090218" w:rsidRPr="001207C7">
        <w:rPr>
          <w:rFonts w:asciiTheme="minorHAnsi" w:hAnsiTheme="minorHAnsi" w:cstheme="minorHAnsi"/>
          <w:i/>
        </w:rPr>
        <w:t xml:space="preserve">t Artesian Basin spring wetlands </w:t>
      </w:r>
      <w:r w:rsidRPr="001207C7">
        <w:rPr>
          <w:rFonts w:asciiTheme="minorHAnsi" w:hAnsiTheme="minorHAnsi" w:cstheme="minorHAnsi"/>
          <w:i/>
        </w:rPr>
        <w:t>(Short title: GAB springs).</w:t>
      </w:r>
    </w:p>
    <w:p w14:paraId="211C70FF" w14:textId="77777777" w:rsidR="003D3694" w:rsidRPr="00747E35" w:rsidRDefault="003D3694" w:rsidP="001207C7">
      <w:pPr>
        <w:spacing w:after="240"/>
        <w:ind w:left="720"/>
        <w:rPr>
          <w:rFonts w:asciiTheme="minorHAnsi" w:hAnsiTheme="minorHAnsi" w:cstheme="minorHAnsi"/>
        </w:rPr>
      </w:pPr>
      <w:r w:rsidRPr="001207C7">
        <w:rPr>
          <w:rFonts w:asciiTheme="minorHAnsi" w:hAnsiTheme="minorHAnsi" w:cstheme="minorHAnsi"/>
        </w:rPr>
        <w:t>Objectives</w:t>
      </w:r>
      <w:r w:rsidRPr="00747E35">
        <w:rPr>
          <w:rFonts w:asciiTheme="minorHAnsi" w:hAnsiTheme="minorHAnsi" w:cstheme="minorHAnsi"/>
        </w:rPr>
        <w:t xml:space="preserve"> - to conceptualise and quantify the environmental determinants of GAB spring wetland species composition and biodiversity patterns and how resident species respond to cumulative impacts of groundwater drawdown and other threats.</w:t>
      </w:r>
    </w:p>
    <w:p w14:paraId="1AEB29B7" w14:textId="77777777" w:rsidR="003D3694" w:rsidRPr="00747E35" w:rsidRDefault="003D3694" w:rsidP="001207C7">
      <w:pPr>
        <w:spacing w:after="120"/>
        <w:rPr>
          <w:rFonts w:asciiTheme="minorHAnsi" w:hAnsiTheme="minorHAnsi" w:cstheme="minorHAnsi"/>
          <w:b/>
        </w:rPr>
      </w:pPr>
      <w:r w:rsidRPr="00747E35">
        <w:rPr>
          <w:rFonts w:asciiTheme="minorHAnsi" w:hAnsiTheme="minorHAnsi" w:cstheme="minorHAnsi"/>
          <w:b/>
        </w:rPr>
        <w:t>Report Structure</w:t>
      </w:r>
    </w:p>
    <w:p w14:paraId="4AAC1D02" w14:textId="77777777" w:rsidR="003D3694" w:rsidRPr="00747E35" w:rsidRDefault="003D3694" w:rsidP="001207C7">
      <w:pPr>
        <w:spacing w:after="120"/>
        <w:rPr>
          <w:rFonts w:asciiTheme="minorHAnsi" w:hAnsiTheme="minorHAnsi" w:cstheme="minorHAnsi"/>
        </w:rPr>
      </w:pPr>
      <w:r w:rsidRPr="00747E35">
        <w:rPr>
          <w:rFonts w:asciiTheme="minorHAnsi" w:hAnsiTheme="minorHAnsi" w:cstheme="minorHAnsi"/>
        </w:rPr>
        <w:t xml:space="preserve">This report begins with a brief context-setting description of the range of hydrological conditions within streams that are likely to be impacted by CSG extraction and coal mining activities. We also present a basic conceptual synthesis of the role that water plays in different stream ecosystems at different temporal and spatial scales. The subsequent sections of the report are focused on the four major research components.  A summary of the rationale, approaches used, and key findings for each research component is presented below. </w:t>
      </w:r>
    </w:p>
    <w:p w14:paraId="38A31924" w14:textId="77777777" w:rsidR="003D3694" w:rsidRPr="00747E35" w:rsidRDefault="003D3694" w:rsidP="001207C7">
      <w:pPr>
        <w:spacing w:after="120"/>
        <w:rPr>
          <w:rFonts w:asciiTheme="minorHAnsi" w:hAnsiTheme="minorHAnsi" w:cstheme="minorHAnsi"/>
          <w:b/>
          <w:i/>
        </w:rPr>
      </w:pPr>
      <w:r w:rsidRPr="00747E35">
        <w:rPr>
          <w:rFonts w:asciiTheme="minorHAnsi" w:hAnsiTheme="minorHAnsi" w:cstheme="minorHAnsi"/>
          <w:b/>
          <w:i/>
        </w:rPr>
        <w:t>Component 1 – Groundwater dependent vegetation</w:t>
      </w:r>
    </w:p>
    <w:p w14:paraId="64084D79" w14:textId="2BBA2DF8" w:rsidR="003D3694" w:rsidRDefault="003D3694" w:rsidP="001207C7">
      <w:pPr>
        <w:spacing w:after="120"/>
        <w:rPr>
          <w:rFonts w:asciiTheme="minorHAnsi" w:hAnsiTheme="minorHAnsi" w:cstheme="minorHAnsi"/>
        </w:rPr>
      </w:pPr>
      <w:r w:rsidRPr="00747E35">
        <w:rPr>
          <w:rFonts w:asciiTheme="minorHAnsi" w:hAnsiTheme="minorHAnsi" w:cstheme="minorHAnsi"/>
        </w:rPr>
        <w:t xml:space="preserve">The role of groundwater in supporting vegetation is poorly understood and therefore so are the potential impacts of a reduction in groundwater availability. We </w:t>
      </w:r>
      <w:r w:rsidR="004A72AC">
        <w:rPr>
          <w:rFonts w:asciiTheme="minorHAnsi" w:hAnsiTheme="minorHAnsi" w:cstheme="minorHAnsi"/>
        </w:rPr>
        <w:t>aimed</w:t>
      </w:r>
      <w:r w:rsidRPr="00747E35">
        <w:rPr>
          <w:rFonts w:asciiTheme="minorHAnsi" w:hAnsiTheme="minorHAnsi" w:cstheme="minorHAnsi"/>
        </w:rPr>
        <w:t xml:space="preserve"> to understand the characteristics of plants that utilise groundwater so we can predict plant responses to groundwater availability. We used a combination of on-ground measurements of plant communities and remote sensing of vegetation patterns. We characterised vegetation communities as a mix of plant functional types (hydrotypes) that emphasises the plant-hydrology linkages relevant in recognising the likelihood of groundwater use. In most landscapes as depth to groundwater increases and therefore accessibility decreases, the proportion of hydrotypes in the plant community adapted to wet conditions (and the number of phreatophytes) will decline. The typology provides us with a convenient first step in identifying the water sources important to maintaining vegetation.</w:t>
      </w:r>
    </w:p>
    <w:p w14:paraId="6CA0950D" w14:textId="77777777" w:rsidR="00824472" w:rsidRPr="00747E35" w:rsidRDefault="00824472" w:rsidP="001207C7">
      <w:pPr>
        <w:adjustRightInd w:val="0"/>
        <w:spacing w:after="120"/>
        <w:jc w:val="both"/>
        <w:rPr>
          <w:rFonts w:asciiTheme="minorHAnsi" w:eastAsia="Times New Roman" w:hAnsiTheme="minorHAnsi" w:cstheme="minorHAnsi"/>
        </w:rPr>
      </w:pPr>
      <w:r w:rsidRPr="00747E35">
        <w:rPr>
          <w:rFonts w:asciiTheme="minorHAnsi" w:eastAsia="Times New Roman" w:hAnsiTheme="minorHAnsi" w:cstheme="minorHAnsi"/>
        </w:rPr>
        <w:t>We provide a decision tree for broadly categorising plants within a community into hydrotype functional groups, and identifying potential phreatophytes. The decision tree uses life history traits (annual or perennials) and life form (woody or herbaceous) as well as habitat, depth to groundwater, duration of inundation and drought adaptation to identify the different hydrotypes. Consequently, this type of approach can be used to assess potential ecological impacts of groundwater drawdown as a result of coal seam gas (CSG) and coal mining developments in a variety of biophysical settings.</w:t>
      </w:r>
    </w:p>
    <w:p w14:paraId="2D90FB2B" w14:textId="77777777" w:rsidR="003D3694" w:rsidRPr="00747E35" w:rsidRDefault="003D3694" w:rsidP="001207C7">
      <w:pPr>
        <w:spacing w:after="120"/>
        <w:rPr>
          <w:rFonts w:asciiTheme="minorHAnsi" w:hAnsiTheme="minorHAnsi" w:cstheme="minorHAnsi"/>
        </w:rPr>
      </w:pPr>
      <w:r w:rsidRPr="00747E35">
        <w:rPr>
          <w:rFonts w:asciiTheme="minorHAnsi" w:hAnsiTheme="minorHAnsi" w:cstheme="minorHAnsi"/>
        </w:rPr>
        <w:t>Our results suggest that it is possible to predict, for management purposes, the importance of groundwater to a given plant community. This prediction can be based on a number of easily observable factors including landscape position, climate, soil, geology, groundwater depth and the proportions of plant hydrotypes within a plant community. The development of this typology will enable measurement of the proportions of different hydrotypes within a habitat, which will provide an indication of the degree of reliance on groundwater. Measurements of plant hydrotypes, stem diameter changes and water isotopes (</w:t>
      </w:r>
      <w:r w:rsidRPr="00747E35">
        <w:rPr>
          <w:rFonts w:asciiTheme="minorHAnsi" w:hAnsiTheme="minorHAnsi" w:cstheme="minorHAnsi"/>
          <w:i/>
          <w:iCs/>
        </w:rPr>
        <w:t>δ</w:t>
      </w:r>
      <w:r w:rsidRPr="00747E35">
        <w:rPr>
          <w:rFonts w:asciiTheme="minorHAnsi" w:hAnsiTheme="minorHAnsi" w:cstheme="minorHAnsi"/>
          <w:vertAlign w:val="superscript"/>
        </w:rPr>
        <w:t>18</w:t>
      </w:r>
      <w:r w:rsidRPr="00747E35">
        <w:rPr>
          <w:rFonts w:asciiTheme="minorHAnsi" w:hAnsiTheme="minorHAnsi" w:cstheme="minorHAnsi"/>
        </w:rPr>
        <w:t>O</w:t>
      </w:r>
      <w:r w:rsidRPr="00747E35" w:rsidDel="00D30201">
        <w:rPr>
          <w:rFonts w:asciiTheme="minorHAnsi" w:hAnsiTheme="minorHAnsi" w:cstheme="minorHAnsi"/>
          <w:i/>
          <w:iCs/>
        </w:rPr>
        <w:t xml:space="preserve"> </w:t>
      </w:r>
      <w:r w:rsidRPr="00747E35">
        <w:rPr>
          <w:rFonts w:asciiTheme="minorHAnsi" w:hAnsiTheme="minorHAnsi" w:cstheme="minorHAnsi"/>
        </w:rPr>
        <w:t xml:space="preserve">and </w:t>
      </w:r>
      <w:r w:rsidRPr="00747E35">
        <w:rPr>
          <w:rFonts w:asciiTheme="minorHAnsi" w:hAnsiTheme="minorHAnsi" w:cstheme="minorHAnsi"/>
          <w:i/>
          <w:iCs/>
        </w:rPr>
        <w:t>δ</w:t>
      </w:r>
      <w:r w:rsidRPr="00747E35">
        <w:rPr>
          <w:rFonts w:asciiTheme="minorHAnsi" w:hAnsiTheme="minorHAnsi" w:cstheme="minorHAnsi"/>
          <w:vertAlign w:val="superscript"/>
        </w:rPr>
        <w:t>2</w:t>
      </w:r>
      <w:r w:rsidRPr="00747E35">
        <w:rPr>
          <w:rFonts w:asciiTheme="minorHAnsi" w:hAnsiTheme="minorHAnsi" w:cstheme="minorHAnsi"/>
        </w:rPr>
        <w:t xml:space="preserve">H) of river red gum trees, in riparian areas and on the floodplain, provides multiple lines of evidence that are strongly suggestive that where groundwater is close to the surface, these trees are utilising groundwater for at least some of their water requirements. </w:t>
      </w:r>
    </w:p>
    <w:p w14:paraId="5EF485C0" w14:textId="79156860" w:rsidR="003D3694" w:rsidRPr="00747E35" w:rsidRDefault="00824472" w:rsidP="001207C7">
      <w:pPr>
        <w:spacing w:after="120"/>
        <w:rPr>
          <w:rFonts w:asciiTheme="minorHAnsi" w:hAnsiTheme="minorHAnsi" w:cstheme="minorHAnsi"/>
        </w:rPr>
      </w:pPr>
      <w:r w:rsidRPr="00747E35">
        <w:rPr>
          <w:rFonts w:asciiTheme="minorHAnsi" w:eastAsia="Times New Roman" w:hAnsiTheme="minorHAnsi" w:cstheme="minorHAnsi"/>
        </w:rPr>
        <w:t>We also developed and applied a web-based t</w:t>
      </w:r>
      <w:r>
        <w:rPr>
          <w:rFonts w:asciiTheme="minorHAnsi" w:eastAsia="Times New Roman" w:hAnsiTheme="minorHAnsi" w:cstheme="minorHAnsi"/>
        </w:rPr>
        <w:t>oolset to support the analyses</w:t>
      </w:r>
      <w:r w:rsidR="00431D03">
        <w:rPr>
          <w:rFonts w:asciiTheme="minorHAnsi" w:eastAsia="Times New Roman" w:hAnsiTheme="minorHAnsi" w:cstheme="minorHAnsi"/>
        </w:rPr>
        <w:t xml:space="preserve"> of remote sensing imag</w:t>
      </w:r>
      <w:r w:rsidR="00AD1769">
        <w:rPr>
          <w:rFonts w:asciiTheme="minorHAnsi" w:eastAsia="Times New Roman" w:hAnsiTheme="minorHAnsi" w:cstheme="minorHAnsi"/>
        </w:rPr>
        <w:t>e</w:t>
      </w:r>
      <w:r w:rsidR="00431D03">
        <w:rPr>
          <w:rFonts w:asciiTheme="minorHAnsi" w:eastAsia="Times New Roman" w:hAnsiTheme="minorHAnsi" w:cstheme="minorHAnsi"/>
        </w:rPr>
        <w:t xml:space="preserve">ry to </w:t>
      </w:r>
      <w:r w:rsidR="00431D03" w:rsidRPr="00747E35">
        <w:rPr>
          <w:rFonts w:asciiTheme="minorHAnsi" w:hAnsiTheme="minorHAnsi" w:cstheme="minorHAnsi"/>
        </w:rPr>
        <w:t>model relationships between vegetation greenness, climate data and groundwater level dynamics</w:t>
      </w:r>
      <w:r w:rsidRPr="00747E35">
        <w:rPr>
          <w:rFonts w:asciiTheme="minorHAnsi" w:eastAsia="Times New Roman" w:hAnsiTheme="minorHAnsi" w:cstheme="minorHAnsi"/>
        </w:rPr>
        <w:t>. This toolset adapted the methodology for GDV mapping (CSIRO-GDV), previously developed by CSIRO for the Pilbara Water Resources Assessment (PWRA) project. It was implemented in the Google Earth Engine (GEE) environment, an open source monitoring platform for development of web-based Earth observation applications.</w:t>
      </w:r>
      <w:r>
        <w:rPr>
          <w:rFonts w:asciiTheme="minorHAnsi" w:eastAsia="Times New Roman" w:hAnsiTheme="minorHAnsi" w:cstheme="minorHAnsi"/>
        </w:rPr>
        <w:t xml:space="preserve">  </w:t>
      </w:r>
      <w:r w:rsidR="00431D03">
        <w:rPr>
          <w:rFonts w:asciiTheme="minorHAnsi" w:hAnsiTheme="minorHAnsi" w:cstheme="minorHAnsi"/>
        </w:rPr>
        <w:t>The analysis</w:t>
      </w:r>
      <w:r w:rsidR="003D3694" w:rsidRPr="00747E35">
        <w:rPr>
          <w:rFonts w:asciiTheme="minorHAnsi" w:hAnsiTheme="minorHAnsi" w:cstheme="minorHAnsi"/>
        </w:rPr>
        <w:t xml:space="preserve"> showed that in study areas the NDWI plant wetness index is more sensitive to the variability in depth to groundwater than the NDVI plant greenness index. However, both remote sensing indices are substantially lower where groundwater is deep. This remote sensing analysis can assist </w:t>
      </w:r>
      <w:r w:rsidR="003D3694" w:rsidRPr="00747E35">
        <w:rPr>
          <w:rFonts w:asciiTheme="minorHAnsi" w:hAnsiTheme="minorHAnsi" w:cstheme="minorHAnsi"/>
        </w:rPr>
        <w:lastRenderedPageBreak/>
        <w:t>in the development of a baseline for investigation of the potential impacts of groundwater drawdown from mining activities on vegetation. Small-scale on-ground data can also be used to ‘ground-truth’ these remotely sensed data. The combination of on-ground studies and remote sensing will provide a critical linkage in understanding how plant communities respond to groundwater drawdown at the local and catchment scales.</w:t>
      </w:r>
    </w:p>
    <w:p w14:paraId="65BC04D1" w14:textId="77777777" w:rsidR="003D3694" w:rsidRPr="00747E35" w:rsidRDefault="003D3694" w:rsidP="001207C7">
      <w:pPr>
        <w:spacing w:after="120"/>
        <w:rPr>
          <w:rFonts w:asciiTheme="minorHAnsi" w:hAnsiTheme="minorHAnsi" w:cstheme="minorHAnsi"/>
          <w:b/>
          <w:i/>
        </w:rPr>
      </w:pPr>
      <w:r w:rsidRPr="00747E35">
        <w:rPr>
          <w:rFonts w:asciiTheme="minorHAnsi" w:hAnsiTheme="minorHAnsi" w:cstheme="minorHAnsi"/>
          <w:b/>
          <w:i/>
        </w:rPr>
        <w:t>Component 2 – Baseflows</w:t>
      </w:r>
    </w:p>
    <w:p w14:paraId="38F09CEA" w14:textId="1D3A0EC6" w:rsidR="003D3694" w:rsidRDefault="003D3694" w:rsidP="001207C7">
      <w:pPr>
        <w:spacing w:after="120"/>
        <w:rPr>
          <w:rFonts w:asciiTheme="minorHAnsi" w:hAnsiTheme="minorHAnsi" w:cstheme="minorHAnsi"/>
        </w:rPr>
      </w:pPr>
      <w:r w:rsidRPr="00747E35">
        <w:rPr>
          <w:rFonts w:asciiTheme="minorHAnsi" w:hAnsiTheme="minorHAnsi" w:cstheme="minorHAnsi"/>
        </w:rPr>
        <w:t xml:space="preserve">Reduced baseflow permanence can have a destabilising effect on stream ecosystems by reducing algal biomass, by altering the breakdown rates of organic matter, and through the elimination of top predators. We examined the effects of reduced baseflow permanence on a range of ecological indicators by sampling in wetter and drier periods and among streams with varying degrees of intermittency. We quantified organic matter processing (leaf litter and cellulose breakdown rates), the cycling of carbon and nitrogen through food-webs (using stable isotopes of nitrogen and carbon), and the composition of benthic macroinvertebrate and fish assemblages. Processing of organic matter was consistently greater in hyporheic than surface habitats, and both leaf and cotton processing was greater in surface habitats subject to persistent saturated conditions. Algae were an important energy source for aquatic consumers in wetter periods, with no evidence of reliance on sampled food sources in drier periods. The intermittent streams studied contained a diverse biotic assemblage of fish and macroinvertebrates, </w:t>
      </w:r>
      <w:r w:rsidRPr="00747E35">
        <w:rPr>
          <w:rFonts w:asciiTheme="minorHAnsi" w:hAnsiTheme="minorHAnsi" w:cstheme="minorHAnsi"/>
          <w:lang w:eastAsia="en-AU"/>
        </w:rPr>
        <w:t xml:space="preserve">and continual </w:t>
      </w:r>
      <w:r w:rsidR="006B2C7A">
        <w:rPr>
          <w:rFonts w:asciiTheme="minorHAnsi" w:hAnsiTheme="minorHAnsi" w:cstheme="minorHAnsi"/>
          <w:lang w:eastAsia="en-AU"/>
        </w:rPr>
        <w:t>subsurface</w:t>
      </w:r>
      <w:r w:rsidRPr="00747E35">
        <w:rPr>
          <w:rFonts w:asciiTheme="minorHAnsi" w:hAnsiTheme="minorHAnsi" w:cstheme="minorHAnsi"/>
          <w:lang w:eastAsia="en-AU"/>
        </w:rPr>
        <w:t xml:space="preserve"> baseflow appeared to be instrumental in sustaining these assemblages. </w:t>
      </w:r>
      <w:r w:rsidRPr="00747E35">
        <w:rPr>
          <w:rFonts w:asciiTheme="minorHAnsi" w:hAnsiTheme="minorHAnsi" w:cstheme="minorHAnsi"/>
        </w:rPr>
        <w:t xml:space="preserve">Our findings support existing research challenging the commonly held assumption that intermittent streams do not contribute to local and regional aquatic biodiversity. </w:t>
      </w:r>
      <w:r w:rsidR="00431D03" w:rsidRPr="00747E35">
        <w:rPr>
          <w:rFonts w:asciiTheme="minorHAnsi" w:eastAsia="Times New Roman" w:hAnsiTheme="minorHAnsi" w:cstheme="minorHAnsi"/>
          <w:lang w:eastAsia="en-AU"/>
        </w:rPr>
        <w:t>Longer-term patterns in flow variability are an important predictor of fish assemblage structure. Streams with a lower discharge will likely be more intermittent and have low wetted habitat persistence and longitudinal connectivity, which may act as a broad-scale filter in determining fish species composition and assemblage structure. However, groundwater contributions to baseflow may play an important role in sustaining fish populations by buffering against periods of flow cessation by maintaining residual wetted habitats.</w:t>
      </w:r>
      <w:r w:rsidR="00431D03">
        <w:rPr>
          <w:rFonts w:asciiTheme="minorHAnsi" w:eastAsia="Times New Roman" w:hAnsiTheme="minorHAnsi" w:cstheme="minorHAnsi"/>
          <w:lang w:eastAsia="en-AU"/>
        </w:rPr>
        <w:t xml:space="preserve">  </w:t>
      </w:r>
      <w:r w:rsidRPr="00747E35">
        <w:rPr>
          <w:rFonts w:asciiTheme="minorHAnsi" w:hAnsiTheme="minorHAnsi" w:cstheme="minorHAnsi"/>
        </w:rPr>
        <w:t xml:space="preserve">Furthermore, our results highlight that intermittent river systems are important locations for detrital processes, and that the hyporheic zone sustains critical ecosystem processes even when surface flow-paths cease. </w:t>
      </w:r>
      <w:r w:rsidR="00431D03">
        <w:rPr>
          <w:rFonts w:asciiTheme="minorHAnsi" w:hAnsiTheme="minorHAnsi" w:cstheme="minorHAnsi"/>
        </w:rPr>
        <w:t xml:space="preserve"> </w:t>
      </w:r>
      <w:r w:rsidRPr="00747E35">
        <w:rPr>
          <w:rFonts w:asciiTheme="minorHAnsi" w:hAnsiTheme="minorHAnsi" w:cstheme="minorHAnsi"/>
        </w:rPr>
        <w:t>Given the susceptibility of algae to drying, and the likely importance of continual</w:t>
      </w:r>
      <w:r w:rsidRPr="00747E35">
        <w:rPr>
          <w:rFonts w:asciiTheme="minorHAnsi" w:hAnsiTheme="minorHAnsi" w:cstheme="minorHAnsi"/>
          <w:lang w:eastAsia="en-AU"/>
        </w:rPr>
        <w:t xml:space="preserve"> </w:t>
      </w:r>
      <w:r w:rsidR="006B2C7A">
        <w:rPr>
          <w:rFonts w:asciiTheme="minorHAnsi" w:hAnsiTheme="minorHAnsi" w:cstheme="minorHAnsi"/>
          <w:lang w:eastAsia="en-AU"/>
        </w:rPr>
        <w:t>subsurface</w:t>
      </w:r>
      <w:r w:rsidRPr="00747E35">
        <w:rPr>
          <w:rFonts w:asciiTheme="minorHAnsi" w:hAnsiTheme="minorHAnsi" w:cstheme="minorHAnsi"/>
          <w:lang w:eastAsia="en-AU"/>
        </w:rPr>
        <w:t xml:space="preserve"> baseflow for maintaining fish and macroinvertebrate communities, </w:t>
      </w:r>
      <w:r w:rsidRPr="00747E35">
        <w:rPr>
          <w:rFonts w:asciiTheme="minorHAnsi" w:hAnsiTheme="minorHAnsi" w:cstheme="minorHAnsi"/>
        </w:rPr>
        <w:t>groundwater contributions to baseflow may be vital for sustaining stream ecosystem functioning and structure.</w:t>
      </w:r>
    </w:p>
    <w:p w14:paraId="01C07D60" w14:textId="77777777" w:rsidR="003D3694" w:rsidRPr="00747E35" w:rsidRDefault="003D3694" w:rsidP="001207C7">
      <w:pPr>
        <w:spacing w:after="120"/>
        <w:rPr>
          <w:rFonts w:asciiTheme="minorHAnsi" w:hAnsiTheme="minorHAnsi" w:cstheme="minorHAnsi"/>
          <w:b/>
        </w:rPr>
      </w:pPr>
      <w:r w:rsidRPr="00747E35">
        <w:rPr>
          <w:rFonts w:asciiTheme="minorHAnsi" w:hAnsiTheme="minorHAnsi" w:cstheme="minorHAnsi"/>
          <w:b/>
        </w:rPr>
        <w:t>Component 3 – Subsurface ecology</w:t>
      </w:r>
    </w:p>
    <w:p w14:paraId="50968079" w14:textId="77777777" w:rsidR="003D3694" w:rsidRPr="00747E35" w:rsidRDefault="003D3694" w:rsidP="001207C7">
      <w:pPr>
        <w:spacing w:after="120"/>
        <w:rPr>
          <w:rFonts w:asciiTheme="minorHAnsi" w:hAnsiTheme="minorHAnsi" w:cstheme="minorHAnsi"/>
        </w:rPr>
      </w:pPr>
      <w:r w:rsidRPr="00747E35">
        <w:rPr>
          <w:rFonts w:asciiTheme="minorHAnsi" w:hAnsiTheme="minorHAnsi" w:cstheme="minorHAnsi"/>
        </w:rPr>
        <w:t>The hyporheic zone (the shallow zone of saturated sediments beneath the beds of streams and rivers, where stream and groundwater interact) is a focal point of stream and groundwater hydroecological processes including the degradation of organic matter, biogeochemical cycling of organic carbon and nutrients, and a rich diversity of aquatic invertebrates (hyporheos). The taxonomic richness and functional diversity of groundwater ecosystems (including aquifers and hyporheic zone) are globally well known, and Australia is a global hotspot of groundwater diversity. However, the functional aspects and ecosystem services contributed by this remarkable hidden biodiversity are poorly understood. While stygofauna in aquifers is considered in current EIS policy and regulations in some Australian states, hyporheic ecosystems have to date been ignored. We sought to characterise hydrological, biogeochemical and detrital processes in the hyporheic zone, and to understand how variations in groundwater-surface water connectivity, hyporheic exchange and biogeochemical conditions influence the ecological conditions for hyporheos and stygofauna. We examined the effects of reduced surface and baseflow permanence by sampling in wet and dry periods and among streams of varying degrees of intermittency and perenniality. Multidisciplinary suites of methods were employed spanning hydrology, hydrochemistry, stream and groundwater ecology. A main objective was to integrate and synthesize the multidisciplinary findings into conceptual models to aid understanding of ecological responses to groundwater drawdown in streams due to environmental changes or human activities.</w:t>
      </w:r>
    </w:p>
    <w:p w14:paraId="38CB8F6E" w14:textId="5BB515F1" w:rsidR="003D3694" w:rsidRDefault="009424E9" w:rsidP="00E947EA">
      <w:pPr>
        <w:adjustRightInd w:val="0"/>
        <w:spacing w:after="120"/>
        <w:rPr>
          <w:rFonts w:asciiTheme="minorHAnsi" w:hAnsiTheme="minorHAnsi" w:cstheme="minorHAnsi"/>
        </w:rPr>
      </w:pPr>
      <w:r>
        <w:rPr>
          <w:rFonts w:asciiTheme="minorHAnsi" w:eastAsia="Times New Roman" w:hAnsiTheme="minorHAnsi" w:cstheme="minorHAnsi"/>
        </w:rPr>
        <w:t>Our study confirmed that g</w:t>
      </w:r>
      <w:r w:rsidRPr="00747E35">
        <w:rPr>
          <w:rFonts w:asciiTheme="minorHAnsi" w:eastAsia="Times New Roman" w:hAnsiTheme="minorHAnsi" w:cstheme="minorHAnsi"/>
        </w:rPr>
        <w:t>roundwater is essential for sustaining baseflow, hydroecological processes and ecosystem structure and function in surface and subsurface (hyporheic) habitats in both intermittent and perennial streams.</w:t>
      </w:r>
      <w:r>
        <w:rPr>
          <w:rFonts w:asciiTheme="minorHAnsi" w:eastAsia="Times New Roman" w:hAnsiTheme="minorHAnsi" w:cstheme="minorHAnsi"/>
        </w:rPr>
        <w:t xml:space="preserve"> We also confirmed that </w:t>
      </w:r>
      <w:r w:rsidR="003D3694" w:rsidRPr="00747E35">
        <w:rPr>
          <w:rFonts w:asciiTheme="minorHAnsi" w:hAnsiTheme="minorHAnsi" w:cstheme="minorHAnsi"/>
        </w:rPr>
        <w:t xml:space="preserve">the hyporheic zone plays an important role in stream biogeochemical and detrital processes, including in intermittent streams when surface flows have ceased. </w:t>
      </w:r>
      <w:r w:rsidR="003D3694" w:rsidRPr="00747E35">
        <w:rPr>
          <w:rFonts w:asciiTheme="minorHAnsi" w:hAnsiTheme="minorHAnsi" w:cstheme="minorHAnsi"/>
        </w:rPr>
        <w:lastRenderedPageBreak/>
        <w:t xml:space="preserve">Biogeochemical processing of nutrients and organic carbon (OC), and redox hydrochemistry, were principally related to the interplay between groundwater discharge and hyporheic exchange gradients. Hyporheic </w:t>
      </w:r>
      <w:r w:rsidR="006B2C7A">
        <w:rPr>
          <w:rFonts w:asciiTheme="minorHAnsi" w:hAnsiTheme="minorHAnsi" w:cstheme="minorHAnsi"/>
        </w:rPr>
        <w:t>downwelling</w:t>
      </w:r>
      <w:r w:rsidR="003D3694" w:rsidRPr="00747E35">
        <w:rPr>
          <w:rFonts w:asciiTheme="minorHAnsi" w:hAnsiTheme="minorHAnsi" w:cstheme="minorHAnsi"/>
        </w:rPr>
        <w:t xml:space="preserve"> and stream losing conditions were characterised by chemically reducing conditions. Hyporheic upwelling and stream gaining hydrochemical conditions were dependent on the length and/or residence time along hyporheic flow paths, as well as the influence of regional groundwater discharge mixing with hyporheic exchange flows. In the Maules Catchment, localised discharge of oxic regional groundwater exerted a strong influence on hyporheic biogeochemical processes by sustaining aerobic biogeochemical processes to a greater degree than would be expected if groundwater discharge was anoxic. Generally, we found that nitrate/ammonium ratios initially increased along hyporheic flow paths, presumably due to nitrification coupled to organic matter mineralisation, and then decreased as denitrification set in. As the length and/or residence time along hyporheic flow paths increased, hydrochemical conditions became more reduced and progressed from oxic to suboxic (DO &lt; 0.5 mg/l and NO</w:t>
      </w:r>
      <w:r w:rsidR="003D3694" w:rsidRPr="00747E35">
        <w:rPr>
          <w:rFonts w:asciiTheme="minorHAnsi" w:hAnsiTheme="minorHAnsi" w:cstheme="minorHAnsi"/>
          <w:vertAlign w:val="subscript"/>
        </w:rPr>
        <w:t>3</w:t>
      </w:r>
      <w:r w:rsidR="003D3694" w:rsidRPr="00747E35">
        <w:rPr>
          <w:rFonts w:asciiTheme="minorHAnsi" w:hAnsiTheme="minorHAnsi" w:cstheme="minorHAnsi"/>
        </w:rPr>
        <w:t xml:space="preserve"> &lt; 0.5 mg/l) and then anoxic (DO &lt; 0.5 mg/l)  leading to reduced ionic species including ferrous iron and manganese. We found that the onset of iron-oxide reduction coincided with release of phosphorus and a reduction in nitrogen/ phosphorus ratios.</w:t>
      </w:r>
    </w:p>
    <w:p w14:paraId="2936931A" w14:textId="64D4D2BA" w:rsidR="009424E9" w:rsidRDefault="009424E9" w:rsidP="00E947EA">
      <w:pPr>
        <w:adjustRightInd w:val="0"/>
        <w:spacing w:after="120"/>
        <w:rPr>
          <w:rFonts w:asciiTheme="minorHAnsi" w:hAnsiTheme="minorHAnsi" w:cstheme="minorHAnsi"/>
        </w:rPr>
      </w:pPr>
      <w:r>
        <w:rPr>
          <w:rFonts w:asciiTheme="minorHAnsi" w:eastAsia="Times New Roman" w:hAnsiTheme="minorHAnsi" w:cstheme="minorHAnsi"/>
        </w:rPr>
        <w:t>Our results strongly indicate that i</w:t>
      </w:r>
      <w:r w:rsidRPr="00747E35">
        <w:rPr>
          <w:rFonts w:asciiTheme="minorHAnsi" w:eastAsia="Times New Roman" w:hAnsiTheme="minorHAnsi" w:cstheme="minorHAnsi"/>
        </w:rPr>
        <w:t>ntermittent streams</w:t>
      </w:r>
      <w:r>
        <w:rPr>
          <w:rFonts w:asciiTheme="minorHAnsi" w:eastAsia="Times New Roman" w:hAnsiTheme="minorHAnsi" w:cstheme="minorHAnsi"/>
        </w:rPr>
        <w:t xml:space="preserve"> with</w:t>
      </w:r>
      <w:r w:rsidRPr="00747E35">
        <w:rPr>
          <w:rFonts w:asciiTheme="minorHAnsi" w:eastAsia="Times New Roman" w:hAnsiTheme="minorHAnsi" w:cstheme="minorHAnsi"/>
        </w:rPr>
        <w:t xml:space="preserve"> groundwater baseflow component are ecologica</w:t>
      </w:r>
      <w:r>
        <w:rPr>
          <w:rFonts w:asciiTheme="minorHAnsi" w:eastAsia="Times New Roman" w:hAnsiTheme="minorHAnsi" w:cstheme="minorHAnsi"/>
        </w:rPr>
        <w:t xml:space="preserve">lly important as they </w:t>
      </w:r>
      <w:r w:rsidRPr="00747E35">
        <w:rPr>
          <w:rFonts w:asciiTheme="minorHAnsi" w:eastAsia="Times New Roman" w:hAnsiTheme="minorHAnsi" w:cstheme="minorHAnsi"/>
        </w:rPr>
        <w:t>harbor a rich biodiversity in both surface and subsurface (hyporheic) habitats.</w:t>
      </w:r>
      <w:r>
        <w:rPr>
          <w:rFonts w:asciiTheme="minorHAnsi" w:eastAsia="Times New Roman" w:hAnsiTheme="minorHAnsi" w:cstheme="minorHAnsi"/>
        </w:rPr>
        <w:t xml:space="preserve">  </w:t>
      </w:r>
      <w:r w:rsidRPr="00747E35">
        <w:rPr>
          <w:rFonts w:asciiTheme="minorHAnsi" w:eastAsia="Times New Roman" w:hAnsiTheme="minorHAnsi" w:cstheme="minorHAnsi"/>
        </w:rPr>
        <w:t xml:space="preserve">Obligate groundwater invertebrates (stygobites) are an ecological group that are ‘signature’ indicators of baseflow connectivity between streams and permanent groundwater (aquifers), and they respond to changes in </w:t>
      </w:r>
      <w:r w:rsidRPr="00747E35">
        <w:rPr>
          <w:rFonts w:asciiTheme="minorHAnsi" w:eastAsia="Times New Roman" w:hAnsiTheme="minorHAnsi" w:cstheme="minorHAnsi"/>
          <w:lang w:eastAsia="en-AU"/>
        </w:rPr>
        <w:t xml:space="preserve">groundwater condition and quality (DO and redox state), </w:t>
      </w:r>
      <w:r w:rsidRPr="00747E35">
        <w:rPr>
          <w:rFonts w:asciiTheme="minorHAnsi" w:eastAsia="Times New Roman" w:hAnsiTheme="minorHAnsi" w:cstheme="minorHAnsi"/>
        </w:rPr>
        <w:t xml:space="preserve">hyporheic exchange and stream flow regime. </w:t>
      </w:r>
      <w:r>
        <w:rPr>
          <w:rFonts w:asciiTheme="minorHAnsi" w:eastAsia="Times New Roman" w:hAnsiTheme="minorHAnsi" w:cstheme="minorHAnsi"/>
        </w:rPr>
        <w:t xml:space="preserve"> </w:t>
      </w:r>
      <w:r w:rsidR="003D3694" w:rsidRPr="00747E35">
        <w:rPr>
          <w:rFonts w:asciiTheme="minorHAnsi" w:hAnsiTheme="minorHAnsi" w:cstheme="minorHAnsi"/>
        </w:rPr>
        <w:t xml:space="preserve">In both the Bremer and Maules catchments we found a rich diversity of invertebrates in the hyporheic zone, including streams with only a thin alluvial cover (sediment depth &lt; </w:t>
      </w:r>
      <w:r w:rsidR="008B4C44">
        <w:rPr>
          <w:rFonts w:asciiTheme="minorHAnsi" w:hAnsiTheme="minorHAnsi" w:cstheme="minorHAnsi"/>
        </w:rPr>
        <w:t>1.</w:t>
      </w:r>
      <w:r w:rsidR="003D3694" w:rsidRPr="00747E35">
        <w:rPr>
          <w:rFonts w:asciiTheme="minorHAnsi" w:hAnsiTheme="minorHAnsi" w:cstheme="minorHAnsi"/>
        </w:rPr>
        <w:t xml:space="preserve">0m) overlying relatively impermeable strata. Hyporheos assemblage structure and abundance were highly variable over small spatial scales, and at different time periods of sampling. In our study sites, oxic conditions, irrespective of flow regime class and hyporheic exchange direction, supported the existence of hyporheos. In both Bremer and Maules Catchments, suboxic conditions (DO &lt; 0.5 mg/L) were associated with depletion of invertebrate richness and abundance, and invertebrate absence was correlated with severely hypoxic / anoxic conditions and reduced ionic species (especially iron). We found limited evidence of associations between hyporheic diversity and measures of organic carbon, namely negative correlations of richness and abundance with processed and unprocessed humics in the Maules catchment only. </w:t>
      </w:r>
    </w:p>
    <w:p w14:paraId="7B9D7F55" w14:textId="494E9AEC" w:rsidR="009424E9" w:rsidRDefault="003D3694" w:rsidP="001207C7">
      <w:pPr>
        <w:spacing w:after="120"/>
        <w:rPr>
          <w:rFonts w:asciiTheme="minorHAnsi" w:hAnsiTheme="minorHAnsi" w:cstheme="minorHAnsi"/>
        </w:rPr>
      </w:pPr>
      <w:r w:rsidRPr="00747E35">
        <w:rPr>
          <w:rFonts w:asciiTheme="minorHAnsi" w:hAnsiTheme="minorHAnsi" w:cstheme="minorHAnsi"/>
        </w:rPr>
        <w:t>Our study confirmed the fundamental relevance of the hydrological interconnectivity between streams and groundwater, and groundwater connectivity may confer resistance and resilience in stream ecosystems, the narrow vertical range of the hyporheic zone means that relatively small groundwater drawdown may have a locally significant impact on stream ecosystem function.</w:t>
      </w:r>
      <w:r w:rsidR="009424E9">
        <w:rPr>
          <w:rFonts w:asciiTheme="minorHAnsi" w:hAnsiTheme="minorHAnsi" w:cstheme="minorHAnsi"/>
        </w:rPr>
        <w:t xml:space="preserve">  </w:t>
      </w:r>
      <w:r w:rsidR="009424E9" w:rsidRPr="00747E35">
        <w:rPr>
          <w:rFonts w:asciiTheme="minorHAnsi" w:eastAsia="Times New Roman" w:hAnsiTheme="minorHAnsi" w:cstheme="minorHAnsi"/>
        </w:rPr>
        <w:t>Groundwater recession/drawdown reduces baseflow and changes hyporheic exchange flows, which may deplete ecological values and the hydroecological functioning of streams and associated groundwater-dependent ecosystems (GDEs). The very narrow vertical range (generally &lt; 1 to 2 m depth) of the hyporheic zone means that only small amounts of groundwater drawdown may have a significant impact on the ecological functioning and baseflow connectivity of streams</w:t>
      </w:r>
      <w:r w:rsidR="007F0AF5">
        <w:rPr>
          <w:rFonts w:asciiTheme="minorHAnsi" w:eastAsia="Times New Roman" w:hAnsiTheme="minorHAnsi" w:cstheme="minorHAnsi"/>
        </w:rPr>
        <w:t xml:space="preserve">. </w:t>
      </w:r>
      <w:r w:rsidR="009424E9" w:rsidRPr="00747E35">
        <w:rPr>
          <w:rFonts w:asciiTheme="minorHAnsi" w:eastAsia="Times New Roman" w:hAnsiTheme="minorHAnsi" w:cstheme="minorHAnsi"/>
        </w:rPr>
        <w:t>Ecosystem assets and services that are potentially depleted by groundwater drawdown include biodiversity, detrital processes, and important biogeochemical processes mediated by microbes such as carbon and nutrient transformations.</w:t>
      </w:r>
      <w:r w:rsidR="009424E9">
        <w:rPr>
          <w:rFonts w:asciiTheme="minorHAnsi" w:eastAsia="Times New Roman" w:hAnsiTheme="minorHAnsi" w:cstheme="minorHAnsi"/>
        </w:rPr>
        <w:t xml:space="preserve">  </w:t>
      </w:r>
      <w:r w:rsidR="009424E9" w:rsidRPr="00747E35">
        <w:rPr>
          <w:rFonts w:asciiTheme="minorHAnsi" w:eastAsia="Times New Roman" w:hAnsiTheme="minorHAnsi" w:cstheme="minorHAnsi"/>
        </w:rPr>
        <w:t>Conceptual models were useful for integrating and synthesizing the mu</w:t>
      </w:r>
      <w:r w:rsidR="00424FDD">
        <w:rPr>
          <w:rFonts w:asciiTheme="minorHAnsi" w:eastAsia="Times New Roman" w:hAnsiTheme="minorHAnsi" w:cstheme="minorHAnsi"/>
        </w:rPr>
        <w:t>l</w:t>
      </w:r>
      <w:r w:rsidR="009424E9" w:rsidRPr="00747E35">
        <w:rPr>
          <w:rFonts w:asciiTheme="minorHAnsi" w:eastAsia="Times New Roman" w:hAnsiTheme="minorHAnsi" w:cstheme="minorHAnsi"/>
        </w:rPr>
        <w:t>tidis</w:t>
      </w:r>
      <w:r w:rsidR="00424FDD">
        <w:rPr>
          <w:rFonts w:asciiTheme="minorHAnsi" w:eastAsia="Times New Roman" w:hAnsiTheme="minorHAnsi" w:cstheme="minorHAnsi"/>
        </w:rPr>
        <w:t>ci</w:t>
      </w:r>
      <w:r w:rsidR="009424E9" w:rsidRPr="00747E35">
        <w:rPr>
          <w:rFonts w:asciiTheme="minorHAnsi" w:eastAsia="Times New Roman" w:hAnsiTheme="minorHAnsi" w:cstheme="minorHAnsi"/>
        </w:rPr>
        <w:t xml:space="preserve">plinary findings to aid understanding of hydroecological responses in streams due to changes in groundwater regime.  </w:t>
      </w:r>
    </w:p>
    <w:p w14:paraId="19E9CCEA" w14:textId="77777777" w:rsidR="003D3694" w:rsidRPr="00747E35" w:rsidRDefault="003D3694" w:rsidP="001207C7">
      <w:pPr>
        <w:spacing w:after="120"/>
        <w:rPr>
          <w:rFonts w:asciiTheme="minorHAnsi" w:hAnsiTheme="minorHAnsi" w:cstheme="minorHAnsi"/>
          <w:b/>
        </w:rPr>
      </w:pPr>
      <w:r w:rsidRPr="00747E35">
        <w:rPr>
          <w:rFonts w:asciiTheme="minorHAnsi" w:hAnsiTheme="minorHAnsi" w:cstheme="minorHAnsi"/>
          <w:b/>
        </w:rPr>
        <w:t>Component 4 – GAB springs</w:t>
      </w:r>
    </w:p>
    <w:p w14:paraId="3966F46A" w14:textId="600E2D49" w:rsidR="003D3694" w:rsidRPr="00747E35" w:rsidRDefault="003D3694" w:rsidP="001207C7">
      <w:pPr>
        <w:spacing w:after="120"/>
        <w:rPr>
          <w:rFonts w:asciiTheme="minorHAnsi" w:hAnsiTheme="minorHAnsi" w:cstheme="minorHAnsi"/>
        </w:rPr>
      </w:pPr>
      <w:r w:rsidRPr="00747E35">
        <w:rPr>
          <w:rFonts w:asciiTheme="minorHAnsi" w:hAnsiTheme="minorHAnsi" w:cstheme="minorHAnsi"/>
        </w:rPr>
        <w:t xml:space="preserve">Spring wetlands are a characteristic groundwater-dependent feature of the Great Artesian Basin and have great ecological, scientific and socio-economic significance. Due to prolonged isolation, many GAB springs contain rare and endemic species of plants and animals that have undergone significant local genetic differentiation and speciation.  The springs are also important as drought refuge areas for much wildlife and as wetlands for migratory birds.  However, development of the GAB over the past century by human activity has seen an overall decline in the flows from springs in many areas.  The ecological consequences of groundwater decline for GAB springs and the resident biota may be substantial but difficult to detect and potentially difficult to reverse.  Furthermore, impacts of groundwater drawdown could greatly increase </w:t>
      </w:r>
      <w:r w:rsidRPr="00747E35">
        <w:rPr>
          <w:rFonts w:asciiTheme="minorHAnsi" w:hAnsiTheme="minorHAnsi" w:cstheme="minorHAnsi"/>
        </w:rPr>
        <w:lastRenderedPageBreak/>
        <w:t>vulnerability to other existing and future threatening processes such as land use, direct human modifications, livestock damage, int</w:t>
      </w:r>
      <w:r w:rsidR="000E4B99" w:rsidRPr="00747E35">
        <w:rPr>
          <w:rFonts w:asciiTheme="minorHAnsi" w:hAnsiTheme="minorHAnsi" w:cstheme="minorHAnsi"/>
        </w:rPr>
        <w:t>r</w:t>
      </w:r>
      <w:r w:rsidRPr="00747E35">
        <w:rPr>
          <w:rFonts w:asciiTheme="minorHAnsi" w:hAnsiTheme="minorHAnsi" w:cstheme="minorHAnsi"/>
        </w:rPr>
        <w:t xml:space="preserve">oduced species and climate change. </w:t>
      </w:r>
    </w:p>
    <w:p w14:paraId="3DBB6452" w14:textId="6DC54CAC" w:rsidR="003D3694" w:rsidRDefault="003D3694" w:rsidP="001207C7">
      <w:pPr>
        <w:spacing w:after="120"/>
        <w:rPr>
          <w:rFonts w:asciiTheme="minorHAnsi" w:hAnsiTheme="minorHAnsi" w:cstheme="minorHAnsi"/>
        </w:rPr>
      </w:pPr>
      <w:r w:rsidRPr="00747E35">
        <w:rPr>
          <w:rFonts w:asciiTheme="minorHAnsi" w:hAnsiTheme="minorHAnsi" w:cstheme="minorHAnsi"/>
        </w:rPr>
        <w:t>Using available literature, ecological theory, existing databases, unpublished data and expert knowledge, we conceptualised and quantified the environmental determinants of GAB spring endemic species composition and biodiversity patterns (within the fish, molluscs, crustaceans and plants) and assessed how they respond to cumulative impacts of human activities and other stressors.  We found that many species endemic to GAB springs have extremely restricted distributions, have very few populations within conservation reserves, and have high exposure to a range of threats.  Many of these taxa are assessed as being highly vulnerable (i.e. low resistance and/or resilience) and therefore may be at substantial risk from threats associated with groundwater drawdown, introduced plants and animals and range of other stressors.  We report which spring complexes are exposed to the greatest number and intensity of threats, how vulnerability to threats varies among taxa and which complexes are at the highest risk (i.e. contain a high number of vulnerable species and are exposed to the highest threat intensities). Our cumulative risk assessment for the subset of 76 spring complexes containing one or more endemic taxa revealed that the Pelican Creek complex (containing Ed</w:t>
      </w:r>
      <w:r w:rsidR="000E4B99" w:rsidRPr="00747E35">
        <w:rPr>
          <w:rFonts w:asciiTheme="minorHAnsi" w:hAnsiTheme="minorHAnsi" w:cstheme="minorHAnsi"/>
        </w:rPr>
        <w:t>g</w:t>
      </w:r>
      <w:r w:rsidRPr="00747E35">
        <w:rPr>
          <w:rFonts w:asciiTheme="minorHAnsi" w:hAnsiTheme="minorHAnsi" w:cstheme="minorHAnsi"/>
        </w:rPr>
        <w:t xml:space="preserve">baston and Myross Springs) in the Barcaldine supergroup in Queensland was at substantially higher risk of threats than all others. This complex is exposed to all five threats with the highest cumulative intensity and contains 26 species with representatives from all four taxon groups that were vulnerable to all five threats. Thus, the Pelican Creek complex can be considered to be of extremely high conservation concern.  Other complexes at relatively high risk included Moses complex (Barcaldine supergroup), Yowah Mud complex (Eulo supergroup), Dalhousie springs complex (Dalhousie supergroup) and 15 complexes from the Lake Eyre supergroup. </w:t>
      </w:r>
      <w:r w:rsidRPr="001207C7">
        <w:rPr>
          <w:rFonts w:asciiTheme="minorHAnsi" w:hAnsiTheme="minorHAnsi" w:cstheme="minorHAnsi"/>
        </w:rPr>
        <w:t xml:space="preserve"> </w:t>
      </w:r>
      <w:r w:rsidRPr="00747E35">
        <w:rPr>
          <w:rFonts w:asciiTheme="minorHAnsi" w:hAnsiTheme="minorHAnsi" w:cstheme="minorHAnsi"/>
        </w:rPr>
        <w:t xml:space="preserve">We synthesise on-ground management and monitoring for GAB springs identified as being at highest risk.  We also provide </w:t>
      </w:r>
      <w:r w:rsidR="00AD1769">
        <w:rPr>
          <w:rFonts w:asciiTheme="minorHAnsi" w:hAnsiTheme="minorHAnsi" w:cstheme="minorHAnsi"/>
        </w:rPr>
        <w:t>some view</w:t>
      </w:r>
      <w:r w:rsidRPr="00747E35">
        <w:rPr>
          <w:rFonts w:asciiTheme="minorHAnsi" w:hAnsiTheme="minorHAnsi" w:cstheme="minorHAnsi"/>
        </w:rPr>
        <w:t>s</w:t>
      </w:r>
      <w:r w:rsidR="00AD1769">
        <w:rPr>
          <w:rFonts w:asciiTheme="minorHAnsi" w:hAnsiTheme="minorHAnsi" w:cstheme="minorHAnsi"/>
        </w:rPr>
        <w:t>,</w:t>
      </w:r>
      <w:r w:rsidRPr="00747E35">
        <w:rPr>
          <w:rFonts w:asciiTheme="minorHAnsi" w:hAnsiTheme="minorHAnsi" w:cstheme="minorHAnsi"/>
        </w:rPr>
        <w:t xml:space="preserve"> informed by our assessment</w:t>
      </w:r>
      <w:r w:rsidR="00AD1769">
        <w:rPr>
          <w:rFonts w:asciiTheme="minorHAnsi" w:hAnsiTheme="minorHAnsi" w:cstheme="minorHAnsi"/>
        </w:rPr>
        <w:t>,</w:t>
      </w:r>
      <w:r w:rsidRPr="00747E35">
        <w:rPr>
          <w:rFonts w:asciiTheme="minorHAnsi" w:hAnsiTheme="minorHAnsi" w:cstheme="minorHAnsi"/>
        </w:rPr>
        <w:t xml:space="preserve"> </w:t>
      </w:r>
      <w:r w:rsidR="00AD1769">
        <w:rPr>
          <w:rFonts w:asciiTheme="minorHAnsi" w:hAnsiTheme="minorHAnsi" w:cstheme="minorHAnsi"/>
        </w:rPr>
        <w:t xml:space="preserve">on where </w:t>
      </w:r>
      <w:r w:rsidR="00AD1769" w:rsidRPr="00747E35">
        <w:rPr>
          <w:rFonts w:asciiTheme="minorHAnsi" w:hAnsiTheme="minorHAnsi" w:cstheme="minorHAnsi"/>
        </w:rPr>
        <w:t>GAB springs research and conservation management</w:t>
      </w:r>
      <w:r w:rsidR="00AD1769">
        <w:rPr>
          <w:rFonts w:asciiTheme="minorHAnsi" w:hAnsiTheme="minorHAnsi" w:cstheme="minorHAnsi"/>
        </w:rPr>
        <w:t xml:space="preserve"> might focus.</w:t>
      </w:r>
      <w:r w:rsidR="005700F2">
        <w:rPr>
          <w:rFonts w:asciiTheme="minorHAnsi" w:hAnsiTheme="minorHAnsi" w:cstheme="minorHAnsi"/>
        </w:rPr>
        <w:t xml:space="preserve">  </w:t>
      </w:r>
    </w:p>
    <w:p w14:paraId="67AD3479" w14:textId="451B5CB1" w:rsidR="005700F2" w:rsidRDefault="005700F2" w:rsidP="00412482">
      <w:pPr>
        <w:spacing w:after="60"/>
        <w:rPr>
          <w:rFonts w:asciiTheme="minorHAnsi" w:hAnsiTheme="minorHAnsi" w:cstheme="minorHAnsi"/>
        </w:rPr>
      </w:pPr>
      <w:r>
        <w:rPr>
          <w:rFonts w:asciiTheme="minorHAnsi" w:hAnsiTheme="minorHAnsi" w:cstheme="minorHAnsi"/>
        </w:rPr>
        <w:t>These included:</w:t>
      </w:r>
    </w:p>
    <w:p w14:paraId="410D8705" w14:textId="6C57D827" w:rsidR="00C2356F" w:rsidRPr="00C2356F" w:rsidRDefault="00C2356F" w:rsidP="001207C7">
      <w:pPr>
        <w:numPr>
          <w:ilvl w:val="0"/>
          <w:numId w:val="27"/>
        </w:numPr>
        <w:adjustRightInd w:val="0"/>
        <w:spacing w:before="60" w:after="60"/>
        <w:ind w:left="714" w:hanging="357"/>
        <w:jc w:val="both"/>
        <w:rPr>
          <w:rFonts w:asciiTheme="minorHAnsi" w:eastAsia="Times New Roman" w:hAnsiTheme="minorHAnsi" w:cstheme="minorHAnsi"/>
        </w:rPr>
      </w:pPr>
      <w:r>
        <w:rPr>
          <w:rFonts w:asciiTheme="minorHAnsi" w:eastAsia="Times New Roman" w:hAnsiTheme="minorHAnsi" w:cstheme="minorHAnsi"/>
        </w:rPr>
        <w:t>A need to im</w:t>
      </w:r>
      <w:r w:rsidR="00275692">
        <w:rPr>
          <w:rFonts w:asciiTheme="minorHAnsi" w:eastAsia="Times New Roman" w:hAnsiTheme="minorHAnsi" w:cstheme="minorHAnsi"/>
        </w:rPr>
        <w:t>p</w:t>
      </w:r>
      <w:r>
        <w:rPr>
          <w:rFonts w:asciiTheme="minorHAnsi" w:eastAsia="Times New Roman" w:hAnsiTheme="minorHAnsi" w:cstheme="minorHAnsi"/>
        </w:rPr>
        <w:t xml:space="preserve">rove our taxonomic understanding of </w:t>
      </w:r>
      <w:r w:rsidRPr="00C2356F">
        <w:rPr>
          <w:rFonts w:asciiTheme="minorHAnsi" w:eastAsia="Times New Roman" w:hAnsiTheme="minorHAnsi" w:cstheme="minorHAnsi"/>
        </w:rPr>
        <w:t xml:space="preserve">GAB spring flora and fauna </w:t>
      </w:r>
      <w:r>
        <w:rPr>
          <w:rFonts w:asciiTheme="minorHAnsi" w:eastAsia="Times New Roman" w:hAnsiTheme="minorHAnsi" w:cstheme="minorHAnsi"/>
        </w:rPr>
        <w:t>to help</w:t>
      </w:r>
      <w:r w:rsidRPr="00C2356F">
        <w:rPr>
          <w:rFonts w:asciiTheme="minorHAnsi" w:eastAsia="Times New Roman" w:hAnsiTheme="minorHAnsi" w:cstheme="minorHAnsi"/>
        </w:rPr>
        <w:t xml:space="preserve"> to preserve its evolutionary potential</w:t>
      </w:r>
    </w:p>
    <w:p w14:paraId="01EC0505" w14:textId="124D02B6" w:rsidR="005700F2" w:rsidRPr="00747E35" w:rsidRDefault="005700F2" w:rsidP="003A15A1">
      <w:pPr>
        <w:numPr>
          <w:ilvl w:val="0"/>
          <w:numId w:val="27"/>
        </w:numPr>
        <w:adjustRightInd w:val="0"/>
        <w:spacing w:before="60" w:after="60"/>
        <w:jc w:val="both"/>
        <w:rPr>
          <w:rFonts w:asciiTheme="minorHAnsi" w:eastAsia="Times New Roman" w:hAnsiTheme="minorHAnsi" w:cstheme="minorHAnsi"/>
        </w:rPr>
      </w:pPr>
      <w:r>
        <w:rPr>
          <w:rFonts w:asciiTheme="minorHAnsi" w:eastAsia="Times New Roman" w:hAnsiTheme="minorHAnsi" w:cstheme="minorHAnsi"/>
        </w:rPr>
        <w:t>A</w:t>
      </w:r>
      <w:r w:rsidR="00412482">
        <w:rPr>
          <w:rFonts w:asciiTheme="minorHAnsi" w:eastAsia="Times New Roman" w:hAnsiTheme="minorHAnsi" w:cstheme="minorHAnsi"/>
        </w:rPr>
        <w:t>n opportunity</w:t>
      </w:r>
      <w:r>
        <w:rPr>
          <w:rFonts w:asciiTheme="minorHAnsi" w:eastAsia="Times New Roman" w:hAnsiTheme="minorHAnsi" w:cstheme="minorHAnsi"/>
        </w:rPr>
        <w:t xml:space="preserve"> to </w:t>
      </w:r>
      <w:r w:rsidR="00AD1769">
        <w:rPr>
          <w:rFonts w:asciiTheme="minorHAnsi" w:eastAsia="Times New Roman" w:hAnsiTheme="minorHAnsi" w:cstheme="minorHAnsi"/>
        </w:rPr>
        <w:t>update</w:t>
      </w:r>
      <w:r w:rsidRPr="00747E35">
        <w:rPr>
          <w:rFonts w:asciiTheme="minorHAnsi" w:eastAsia="Times New Roman" w:hAnsiTheme="minorHAnsi" w:cstheme="minorHAnsi"/>
        </w:rPr>
        <w:t xml:space="preserve"> conservation listing</w:t>
      </w:r>
      <w:r>
        <w:rPr>
          <w:rFonts w:asciiTheme="minorHAnsi" w:eastAsia="Times New Roman" w:hAnsiTheme="minorHAnsi" w:cstheme="minorHAnsi"/>
        </w:rPr>
        <w:t>s</w:t>
      </w:r>
      <w:r w:rsidRPr="00747E35">
        <w:rPr>
          <w:rFonts w:asciiTheme="minorHAnsi" w:eastAsia="Times New Roman" w:hAnsiTheme="minorHAnsi" w:cstheme="minorHAnsi"/>
        </w:rPr>
        <w:t xml:space="preserve"> </w:t>
      </w:r>
      <w:r>
        <w:rPr>
          <w:rFonts w:asciiTheme="minorHAnsi" w:eastAsia="Times New Roman" w:hAnsiTheme="minorHAnsi" w:cstheme="minorHAnsi"/>
        </w:rPr>
        <w:t xml:space="preserve">of </w:t>
      </w:r>
      <w:r w:rsidRPr="00747E35">
        <w:rPr>
          <w:rFonts w:asciiTheme="minorHAnsi" w:hAnsiTheme="minorHAnsi" w:cstheme="minorHAnsi"/>
        </w:rPr>
        <w:t>GAB-dependent species</w:t>
      </w:r>
      <w:r>
        <w:rPr>
          <w:rFonts w:asciiTheme="minorHAnsi" w:hAnsiTheme="minorHAnsi" w:cstheme="minorHAnsi"/>
        </w:rPr>
        <w:t xml:space="preserve"> based on our assessment which highlights the scientific basis </w:t>
      </w:r>
      <w:r w:rsidR="00412482">
        <w:rPr>
          <w:rFonts w:asciiTheme="minorHAnsi" w:hAnsiTheme="minorHAnsi" w:cstheme="minorHAnsi"/>
        </w:rPr>
        <w:t>for a</w:t>
      </w:r>
      <w:r>
        <w:rPr>
          <w:rFonts w:asciiTheme="minorHAnsi" w:hAnsiTheme="minorHAnsi" w:cstheme="minorHAnsi"/>
        </w:rPr>
        <w:t xml:space="preserve"> re-evaluation of taxa </w:t>
      </w:r>
      <w:r w:rsidRPr="00747E35">
        <w:rPr>
          <w:rFonts w:asciiTheme="minorHAnsi" w:hAnsiTheme="minorHAnsi" w:cstheme="minorHAnsi"/>
        </w:rPr>
        <w:t>belonging to the ‘community of native species dependent on natural discharge of groundwater from the GAB’</w:t>
      </w:r>
      <w:r w:rsidR="003A15A1">
        <w:rPr>
          <w:rFonts w:asciiTheme="minorHAnsi" w:hAnsiTheme="minorHAnsi" w:cstheme="minorHAnsi"/>
        </w:rPr>
        <w:t xml:space="preserve"> </w:t>
      </w:r>
      <w:r w:rsidR="003A15A1" w:rsidRPr="003A15A1">
        <w:rPr>
          <w:rFonts w:asciiTheme="minorHAnsi" w:hAnsiTheme="minorHAnsi" w:cstheme="minorHAnsi"/>
        </w:rPr>
        <w:t xml:space="preserve">listed as ‘Endangered’ under the </w:t>
      </w:r>
      <w:r w:rsidR="003A15A1">
        <w:rPr>
          <w:rFonts w:asciiTheme="minorHAnsi" w:hAnsiTheme="minorHAnsi" w:cstheme="minorHAnsi"/>
        </w:rPr>
        <w:t>EPBC Act</w:t>
      </w:r>
    </w:p>
    <w:p w14:paraId="6989B461" w14:textId="4AE13128" w:rsidR="005700F2" w:rsidRPr="00747E35" w:rsidRDefault="005700F2" w:rsidP="001207C7">
      <w:pPr>
        <w:numPr>
          <w:ilvl w:val="0"/>
          <w:numId w:val="27"/>
        </w:numPr>
        <w:adjustRightInd w:val="0"/>
        <w:spacing w:before="60" w:after="60"/>
        <w:ind w:left="714" w:hanging="357"/>
        <w:jc w:val="both"/>
        <w:rPr>
          <w:rFonts w:asciiTheme="minorHAnsi" w:eastAsia="Times New Roman" w:hAnsiTheme="minorHAnsi" w:cstheme="minorHAnsi"/>
        </w:rPr>
      </w:pPr>
      <w:r>
        <w:rPr>
          <w:rFonts w:asciiTheme="minorHAnsi" w:eastAsia="Times New Roman" w:hAnsiTheme="minorHAnsi" w:cstheme="minorHAnsi"/>
        </w:rPr>
        <w:t>A need to b</w:t>
      </w:r>
      <w:r w:rsidRPr="00747E35">
        <w:rPr>
          <w:rFonts w:asciiTheme="minorHAnsi" w:eastAsia="Times New Roman" w:hAnsiTheme="minorHAnsi" w:cstheme="minorHAnsi"/>
        </w:rPr>
        <w:t xml:space="preserve">roaden the focus </w:t>
      </w:r>
      <w:r>
        <w:rPr>
          <w:rFonts w:asciiTheme="minorHAnsi" w:eastAsia="Times New Roman" w:hAnsiTheme="minorHAnsi" w:cstheme="minorHAnsi"/>
        </w:rPr>
        <w:t xml:space="preserve">of the biodiversity assessment </w:t>
      </w:r>
      <w:r w:rsidRPr="00747E35">
        <w:rPr>
          <w:rFonts w:asciiTheme="minorHAnsi" w:eastAsia="Times New Roman" w:hAnsiTheme="minorHAnsi" w:cstheme="minorHAnsi"/>
        </w:rPr>
        <w:t>to other organisms and increase the spatial resolution of the assessments</w:t>
      </w:r>
      <w:r>
        <w:rPr>
          <w:rFonts w:asciiTheme="minorHAnsi" w:eastAsia="Times New Roman" w:hAnsiTheme="minorHAnsi" w:cstheme="minorHAnsi"/>
        </w:rPr>
        <w:t xml:space="preserve"> to enable more </w:t>
      </w:r>
      <w:r w:rsidRPr="005700F2">
        <w:rPr>
          <w:rFonts w:asciiTheme="minorHAnsi" w:eastAsia="Times New Roman" w:hAnsiTheme="minorHAnsi" w:cstheme="minorHAnsi"/>
        </w:rPr>
        <w:t>effective conservation management of springs and their resident biodiversity</w:t>
      </w:r>
    </w:p>
    <w:p w14:paraId="583B55FD" w14:textId="11458318" w:rsidR="005700F2" w:rsidRPr="00747E35" w:rsidRDefault="005700F2" w:rsidP="001207C7">
      <w:pPr>
        <w:numPr>
          <w:ilvl w:val="0"/>
          <w:numId w:val="27"/>
        </w:numPr>
        <w:adjustRightInd w:val="0"/>
        <w:spacing w:before="60" w:after="60"/>
        <w:ind w:left="714" w:hanging="357"/>
        <w:jc w:val="both"/>
        <w:rPr>
          <w:rFonts w:asciiTheme="minorHAnsi" w:eastAsia="Times New Roman" w:hAnsiTheme="minorHAnsi" w:cstheme="minorHAnsi"/>
        </w:rPr>
      </w:pPr>
      <w:r>
        <w:rPr>
          <w:rFonts w:asciiTheme="minorHAnsi" w:eastAsia="Times New Roman" w:hAnsiTheme="minorHAnsi" w:cstheme="minorHAnsi"/>
        </w:rPr>
        <w:t>A requirement to i</w:t>
      </w:r>
      <w:r w:rsidRPr="00747E35">
        <w:rPr>
          <w:rFonts w:asciiTheme="minorHAnsi" w:eastAsia="Times New Roman" w:hAnsiTheme="minorHAnsi" w:cstheme="minorHAnsi"/>
        </w:rPr>
        <w:t>mprove collaboration across research effort</w:t>
      </w:r>
      <w:r>
        <w:rPr>
          <w:rFonts w:asciiTheme="minorHAnsi" w:eastAsia="Times New Roman" w:hAnsiTheme="minorHAnsi" w:cstheme="minorHAnsi"/>
        </w:rPr>
        <w:t xml:space="preserve"> to </w:t>
      </w:r>
      <w:r w:rsidRPr="00747E35">
        <w:rPr>
          <w:rFonts w:asciiTheme="minorHAnsi" w:hAnsiTheme="minorHAnsi" w:cstheme="minorHAnsi"/>
        </w:rPr>
        <w:t>facilitate identification of knowledge gaps and rese</w:t>
      </w:r>
      <w:r w:rsidR="00C2356F">
        <w:rPr>
          <w:rFonts w:asciiTheme="minorHAnsi" w:hAnsiTheme="minorHAnsi" w:cstheme="minorHAnsi"/>
        </w:rPr>
        <w:t>arch priorities</w:t>
      </w:r>
    </w:p>
    <w:p w14:paraId="05282852" w14:textId="4F6A9F80" w:rsidR="005700F2" w:rsidRPr="00747E35" w:rsidRDefault="00C2356F" w:rsidP="001207C7">
      <w:pPr>
        <w:numPr>
          <w:ilvl w:val="0"/>
          <w:numId w:val="27"/>
        </w:numPr>
        <w:adjustRightInd w:val="0"/>
        <w:spacing w:before="60" w:after="60"/>
        <w:ind w:left="714" w:hanging="357"/>
        <w:jc w:val="both"/>
        <w:rPr>
          <w:rFonts w:asciiTheme="minorHAnsi" w:eastAsia="Times New Roman" w:hAnsiTheme="minorHAnsi" w:cstheme="minorHAnsi"/>
        </w:rPr>
      </w:pPr>
      <w:r>
        <w:rPr>
          <w:rFonts w:asciiTheme="minorHAnsi" w:eastAsia="Times New Roman" w:hAnsiTheme="minorHAnsi" w:cstheme="minorHAnsi"/>
        </w:rPr>
        <w:t>A f</w:t>
      </w:r>
      <w:r w:rsidR="005700F2" w:rsidRPr="00747E35">
        <w:rPr>
          <w:rFonts w:asciiTheme="minorHAnsi" w:eastAsia="Times New Roman" w:hAnsiTheme="minorHAnsi" w:cstheme="minorHAnsi"/>
        </w:rPr>
        <w:t>ocus on the ecology of species and their responses to threats</w:t>
      </w:r>
      <w:r w:rsidR="005700F2">
        <w:rPr>
          <w:rFonts w:asciiTheme="minorHAnsi" w:eastAsia="Times New Roman" w:hAnsiTheme="minorHAnsi" w:cstheme="minorHAnsi"/>
        </w:rPr>
        <w:t xml:space="preserve"> to improve our </w:t>
      </w:r>
      <w:r w:rsidR="005700F2" w:rsidRPr="005700F2">
        <w:rPr>
          <w:rFonts w:asciiTheme="minorHAnsi" w:eastAsia="Times New Roman" w:hAnsiTheme="minorHAnsi" w:cstheme="minorHAnsi"/>
        </w:rPr>
        <w:t xml:space="preserve">ability to prioritise species </w:t>
      </w:r>
      <w:r>
        <w:rPr>
          <w:rFonts w:asciiTheme="minorHAnsi" w:eastAsia="Times New Roman" w:hAnsiTheme="minorHAnsi" w:cstheme="minorHAnsi"/>
        </w:rPr>
        <w:t xml:space="preserve">and locations </w:t>
      </w:r>
      <w:r w:rsidR="005700F2" w:rsidRPr="005700F2">
        <w:rPr>
          <w:rFonts w:asciiTheme="minorHAnsi" w:eastAsia="Times New Roman" w:hAnsiTheme="minorHAnsi" w:cstheme="minorHAnsi"/>
        </w:rPr>
        <w:t>for conservation manage</w:t>
      </w:r>
      <w:r>
        <w:rPr>
          <w:rFonts w:asciiTheme="minorHAnsi" w:eastAsia="Times New Roman" w:hAnsiTheme="minorHAnsi" w:cstheme="minorHAnsi"/>
        </w:rPr>
        <w:t>ment</w:t>
      </w:r>
    </w:p>
    <w:p w14:paraId="6BAC20A7" w14:textId="714F4BDF" w:rsidR="005700F2" w:rsidRPr="00747E35" w:rsidRDefault="00AD1769" w:rsidP="001207C7">
      <w:pPr>
        <w:numPr>
          <w:ilvl w:val="0"/>
          <w:numId w:val="28"/>
        </w:numPr>
        <w:adjustRightInd w:val="0"/>
        <w:spacing w:before="60" w:after="60"/>
        <w:ind w:left="714" w:hanging="357"/>
        <w:jc w:val="both"/>
        <w:rPr>
          <w:rFonts w:asciiTheme="minorHAnsi" w:eastAsia="Times New Roman" w:hAnsiTheme="minorHAnsi" w:cstheme="minorHAnsi"/>
        </w:rPr>
      </w:pPr>
      <w:r>
        <w:rPr>
          <w:rFonts w:asciiTheme="minorHAnsi" w:eastAsia="Times New Roman" w:hAnsiTheme="minorHAnsi" w:cstheme="minorHAnsi"/>
        </w:rPr>
        <w:t>The importance of</w:t>
      </w:r>
      <w:r w:rsidR="00412482">
        <w:rPr>
          <w:rFonts w:asciiTheme="minorHAnsi" w:eastAsia="Times New Roman" w:hAnsiTheme="minorHAnsi" w:cstheme="minorHAnsi"/>
        </w:rPr>
        <w:t xml:space="preserve"> </w:t>
      </w:r>
      <w:r w:rsidR="005700F2" w:rsidRPr="00747E35">
        <w:rPr>
          <w:rFonts w:asciiTheme="minorHAnsi" w:eastAsia="Times New Roman" w:hAnsiTheme="minorHAnsi" w:cstheme="minorHAnsi"/>
        </w:rPr>
        <w:t xml:space="preserve">strategic, coordinated, inclusive and committed management to address current and future threats </w:t>
      </w:r>
      <w:r w:rsidR="00412482">
        <w:rPr>
          <w:rFonts w:asciiTheme="minorHAnsi" w:eastAsia="Times New Roman" w:hAnsiTheme="minorHAnsi" w:cstheme="minorHAnsi"/>
        </w:rPr>
        <w:t>to some</w:t>
      </w:r>
      <w:r w:rsidR="00412482" w:rsidRPr="00747E35">
        <w:rPr>
          <w:rFonts w:asciiTheme="minorHAnsi" w:eastAsia="Times New Roman" w:hAnsiTheme="minorHAnsi" w:cstheme="minorHAnsi"/>
        </w:rPr>
        <w:t xml:space="preserve"> GAB springs and their endemic s</w:t>
      </w:r>
      <w:r w:rsidR="00412482">
        <w:rPr>
          <w:rFonts w:asciiTheme="minorHAnsi" w:eastAsia="Times New Roman" w:hAnsiTheme="minorHAnsi" w:cstheme="minorHAnsi"/>
        </w:rPr>
        <w:t xml:space="preserve">pecies which are clearly at high risk </w:t>
      </w:r>
    </w:p>
    <w:p w14:paraId="02D44D09" w14:textId="02D92DCE" w:rsidR="005700F2" w:rsidRPr="00747E35" w:rsidRDefault="00412482" w:rsidP="001207C7">
      <w:pPr>
        <w:numPr>
          <w:ilvl w:val="0"/>
          <w:numId w:val="28"/>
        </w:numPr>
        <w:adjustRightInd w:val="0"/>
        <w:spacing w:before="60" w:after="60"/>
        <w:ind w:left="714" w:hanging="357"/>
        <w:jc w:val="both"/>
        <w:rPr>
          <w:rFonts w:asciiTheme="minorHAnsi" w:eastAsia="Times New Roman" w:hAnsiTheme="minorHAnsi" w:cstheme="minorHAnsi"/>
        </w:rPr>
      </w:pPr>
      <w:r>
        <w:rPr>
          <w:rFonts w:asciiTheme="minorHAnsi" w:eastAsia="Times New Roman" w:hAnsiTheme="minorHAnsi" w:cstheme="minorHAnsi"/>
        </w:rPr>
        <w:t>Improved s</w:t>
      </w:r>
      <w:r w:rsidR="005700F2" w:rsidRPr="00747E35">
        <w:rPr>
          <w:rFonts w:asciiTheme="minorHAnsi" w:eastAsia="Times New Roman" w:hAnsiTheme="minorHAnsi" w:cstheme="minorHAnsi"/>
        </w:rPr>
        <w:t xml:space="preserve">cience to establish ecological responses to threats and benefits of actions </w:t>
      </w:r>
    </w:p>
    <w:p w14:paraId="7E1CF1C1" w14:textId="756E99B6" w:rsidR="005700F2" w:rsidRPr="00747E35" w:rsidRDefault="00412482" w:rsidP="001207C7">
      <w:pPr>
        <w:numPr>
          <w:ilvl w:val="0"/>
          <w:numId w:val="28"/>
        </w:numPr>
        <w:adjustRightInd w:val="0"/>
        <w:spacing w:before="60" w:after="240"/>
        <w:ind w:left="714" w:hanging="357"/>
        <w:jc w:val="both"/>
        <w:rPr>
          <w:rFonts w:asciiTheme="minorHAnsi" w:eastAsia="Times New Roman" w:hAnsiTheme="minorHAnsi" w:cstheme="minorHAnsi"/>
        </w:rPr>
      </w:pPr>
      <w:r>
        <w:rPr>
          <w:rFonts w:asciiTheme="minorHAnsi" w:eastAsia="Times New Roman" w:hAnsiTheme="minorHAnsi" w:cstheme="minorHAnsi"/>
        </w:rPr>
        <w:t>A call to action as m</w:t>
      </w:r>
      <w:r w:rsidR="005700F2" w:rsidRPr="00747E35">
        <w:rPr>
          <w:rFonts w:asciiTheme="minorHAnsi" w:eastAsia="Times New Roman" w:hAnsiTheme="minorHAnsi" w:cstheme="minorHAnsi"/>
        </w:rPr>
        <w:t>any on-ground management actions to mitigate threats can be implemented now</w:t>
      </w:r>
      <w:r w:rsidR="00C2356F">
        <w:rPr>
          <w:rFonts w:asciiTheme="minorHAnsi" w:eastAsia="Times New Roman" w:hAnsiTheme="minorHAnsi" w:cstheme="minorHAnsi"/>
        </w:rPr>
        <w:t xml:space="preserve"> – t</w:t>
      </w:r>
      <w:r w:rsidR="00C2356F" w:rsidRPr="00C2356F">
        <w:rPr>
          <w:rFonts w:asciiTheme="minorHAnsi" w:eastAsia="Times New Roman" w:hAnsiTheme="minorHAnsi" w:cstheme="minorHAnsi"/>
        </w:rPr>
        <w:t>he high concentration of endemic species in relatively small areas means that it should be feasible to identify appropriate threat management strategies and successfully implement them</w:t>
      </w:r>
      <w:r w:rsidR="00C2356F">
        <w:rPr>
          <w:rFonts w:asciiTheme="minorHAnsi" w:eastAsia="Times New Roman" w:hAnsiTheme="minorHAnsi" w:cstheme="minorHAnsi"/>
        </w:rPr>
        <w:t>.</w:t>
      </w:r>
    </w:p>
    <w:p w14:paraId="180FD3F6" w14:textId="77777777" w:rsidR="003D3694" w:rsidRPr="00747E35" w:rsidRDefault="003D3694" w:rsidP="003D3694">
      <w:pPr>
        <w:spacing w:after="60"/>
        <w:rPr>
          <w:rFonts w:asciiTheme="minorHAnsi" w:hAnsiTheme="minorHAnsi" w:cstheme="minorHAnsi"/>
          <w:b/>
        </w:rPr>
      </w:pPr>
      <w:r w:rsidRPr="00747E35">
        <w:rPr>
          <w:rFonts w:asciiTheme="minorHAnsi" w:hAnsiTheme="minorHAnsi" w:cstheme="minorHAnsi"/>
          <w:b/>
        </w:rPr>
        <w:t>Application of the research</w:t>
      </w:r>
    </w:p>
    <w:p w14:paraId="32434016" w14:textId="77777777" w:rsidR="003D3694" w:rsidRPr="00747E35" w:rsidRDefault="003D3694" w:rsidP="001207C7">
      <w:pPr>
        <w:spacing w:after="120"/>
        <w:rPr>
          <w:rFonts w:asciiTheme="minorHAnsi" w:hAnsiTheme="minorHAnsi" w:cstheme="minorHAnsi"/>
        </w:rPr>
      </w:pPr>
      <w:r w:rsidRPr="00747E35">
        <w:rPr>
          <w:rFonts w:asciiTheme="minorHAnsi" w:hAnsiTheme="minorHAnsi" w:cstheme="minorHAnsi"/>
        </w:rPr>
        <w:t>The report includes a synthesis of potential applications of the research and a collated list of key findings for each research component.  To facilitate uptake of the research, w</w:t>
      </w:r>
      <w:r w:rsidRPr="00747E35">
        <w:rPr>
          <w:rFonts w:asciiTheme="minorHAnsi" w:hAnsiTheme="minorHAnsi" w:cstheme="minorHAnsi"/>
          <w:shd w:val="clear" w:color="auto" w:fill="FFFFFF"/>
        </w:rPr>
        <w:t>e evaluate the inferential strength and potential broader application of the research</w:t>
      </w:r>
      <w:r w:rsidRPr="00747E35">
        <w:rPr>
          <w:rFonts w:asciiTheme="minorHAnsi" w:hAnsiTheme="minorHAnsi" w:cstheme="minorHAnsi"/>
        </w:rPr>
        <w:t xml:space="preserve"> by outlining key considerations when transferring our findings to other situations and scales.  We detail specific issues associated with transferability and scaling for each of the key ecological response themes examined in the project (relating to biogeochemistry, ecosystem </w:t>
      </w:r>
      <w:r w:rsidRPr="00747E35">
        <w:rPr>
          <w:rFonts w:asciiTheme="minorHAnsi" w:hAnsiTheme="minorHAnsi" w:cstheme="minorHAnsi"/>
        </w:rPr>
        <w:lastRenderedPageBreak/>
        <w:t>processes, groundwater dependent vegetation, hyporheic fauna, macroinvertebrates and fish).  We argue that o</w:t>
      </w:r>
      <w:r w:rsidRPr="00747E35">
        <w:rPr>
          <w:rFonts w:asciiTheme="minorHAnsi" w:hAnsiTheme="minorHAnsi" w:cstheme="minorHAnsi"/>
          <w:shd w:val="clear" w:color="auto" w:fill="FFFFFF"/>
        </w:rPr>
        <w:t xml:space="preserve">ur research findings, if appropriately applied, can strengthen the scientific basis for environmental assessments of new CSG or large coal mining development proposals (either greenfield or brownfield). </w:t>
      </w:r>
      <w:r w:rsidRPr="00747E35">
        <w:rPr>
          <w:rFonts w:asciiTheme="minorHAnsi" w:hAnsiTheme="minorHAnsi" w:cstheme="minorHAnsi"/>
        </w:rPr>
        <w:t>We also outline how our methods and research findings can inform the development and implementation of monitoring programs</w:t>
      </w:r>
      <w:r w:rsidRPr="00747E35">
        <w:rPr>
          <w:rFonts w:asciiTheme="minorHAnsi" w:eastAsia="Times New Roman" w:hAnsiTheme="minorHAnsi" w:cstheme="minorHAnsi"/>
          <w:lang w:eastAsia="en-AU"/>
        </w:rPr>
        <w:t xml:space="preserve"> aimed at assessing performance of proposed measures to mitigate potential impacts of </w:t>
      </w:r>
      <w:r w:rsidRPr="00747E35">
        <w:rPr>
          <w:rFonts w:asciiTheme="minorHAnsi" w:hAnsiTheme="minorHAnsi" w:cstheme="minorHAnsi"/>
          <w:shd w:val="clear" w:color="auto" w:fill="FFFFFF"/>
        </w:rPr>
        <w:t xml:space="preserve">CSG or large coal mining development.  In particular, </w:t>
      </w:r>
      <w:r w:rsidRPr="00747E35">
        <w:rPr>
          <w:rFonts w:asciiTheme="minorHAnsi" w:hAnsiTheme="minorHAnsi" w:cstheme="minorHAnsi"/>
        </w:rPr>
        <w:t xml:space="preserve">we highlight ways in which some of our findings and research methods offer potential for monitoring impacts of water-related threats associated with </w:t>
      </w:r>
      <w:r w:rsidRPr="00747E35">
        <w:rPr>
          <w:rFonts w:asciiTheme="minorHAnsi" w:eastAsia="Times New Roman" w:hAnsiTheme="minorHAnsi" w:cstheme="minorHAnsi"/>
          <w:color w:val="222222"/>
          <w:lang w:eastAsia="en-AU"/>
        </w:rPr>
        <w:t>CSG extraction and coal mining.</w:t>
      </w:r>
      <w:r w:rsidRPr="00747E35">
        <w:rPr>
          <w:rFonts w:asciiTheme="minorHAnsi" w:hAnsiTheme="minorHAnsi" w:cstheme="minorHAnsi"/>
        </w:rPr>
        <w:t xml:space="preserve">  </w:t>
      </w:r>
    </w:p>
    <w:p w14:paraId="313F5D71" w14:textId="77777777" w:rsidR="003D3694" w:rsidRPr="00747E35" w:rsidRDefault="003D3694" w:rsidP="003D3694">
      <w:pPr>
        <w:spacing w:after="60"/>
        <w:rPr>
          <w:rFonts w:asciiTheme="minorHAnsi" w:hAnsiTheme="minorHAnsi" w:cstheme="minorHAnsi"/>
          <w:b/>
        </w:rPr>
      </w:pPr>
      <w:r w:rsidRPr="00747E35">
        <w:rPr>
          <w:rFonts w:asciiTheme="minorHAnsi" w:hAnsiTheme="minorHAnsi" w:cstheme="minorHAnsi"/>
          <w:b/>
        </w:rPr>
        <w:t>Project outcomes</w:t>
      </w:r>
    </w:p>
    <w:p w14:paraId="66F0891F" w14:textId="77777777" w:rsidR="003D3694" w:rsidRPr="00747E35" w:rsidRDefault="003D3694" w:rsidP="003D3694">
      <w:pPr>
        <w:spacing w:after="60"/>
        <w:rPr>
          <w:rFonts w:asciiTheme="minorHAnsi" w:hAnsiTheme="minorHAnsi" w:cstheme="minorHAnsi"/>
          <w:lang w:val="en-GB"/>
        </w:rPr>
      </w:pPr>
      <w:r w:rsidRPr="00747E35">
        <w:rPr>
          <w:rFonts w:asciiTheme="minorHAnsi" w:hAnsiTheme="minorHAnsi" w:cstheme="minorHAnsi"/>
        </w:rPr>
        <w:t xml:space="preserve">We expect that the methods and key findings from our research </w:t>
      </w:r>
      <w:r w:rsidRPr="00747E35">
        <w:rPr>
          <w:rFonts w:asciiTheme="minorHAnsi" w:hAnsiTheme="minorHAnsi" w:cstheme="minorHAnsi"/>
          <w:shd w:val="clear" w:color="auto" w:fill="FFFFFF"/>
        </w:rPr>
        <w:t xml:space="preserve">will be valuable </w:t>
      </w:r>
      <w:r w:rsidRPr="00747E35">
        <w:rPr>
          <w:rFonts w:asciiTheme="minorHAnsi" w:hAnsiTheme="minorHAnsi" w:cstheme="minorHAnsi"/>
        </w:rPr>
        <w:t xml:space="preserve">for OWS, IESC, proponents of </w:t>
      </w:r>
      <w:r w:rsidRPr="00747E35">
        <w:rPr>
          <w:rFonts w:asciiTheme="minorHAnsi" w:eastAsia="Times New Roman" w:hAnsiTheme="minorHAnsi" w:cstheme="minorHAnsi"/>
          <w:lang w:eastAsia="en-AU"/>
        </w:rPr>
        <w:t>coal seam gas (</w:t>
      </w:r>
      <w:r w:rsidRPr="00747E35">
        <w:rPr>
          <w:rFonts w:asciiTheme="minorHAnsi" w:hAnsiTheme="minorHAnsi" w:cstheme="minorHAnsi"/>
          <w:shd w:val="clear" w:color="auto" w:fill="FFFFFF"/>
        </w:rPr>
        <w:t>CSG) or large coal mining development</w:t>
      </w:r>
      <w:r w:rsidRPr="00747E35">
        <w:rPr>
          <w:rFonts w:asciiTheme="minorHAnsi" w:hAnsiTheme="minorHAnsi" w:cstheme="minorHAnsi"/>
        </w:rPr>
        <w:t xml:space="preserve"> projects, the broader scientific community and other stakeholders.  </w:t>
      </w:r>
      <w:r w:rsidRPr="00747E35">
        <w:rPr>
          <w:rFonts w:asciiTheme="minorHAnsi" w:hAnsiTheme="minorHAnsi" w:cstheme="minorHAnsi"/>
          <w:lang w:val="en-GB"/>
        </w:rPr>
        <w:t>The expected outcomes from the project are:</w:t>
      </w:r>
    </w:p>
    <w:p w14:paraId="34C958A2" w14:textId="77777777" w:rsidR="003D3694" w:rsidRPr="00747E35" w:rsidRDefault="003D3694" w:rsidP="0083624F">
      <w:pPr>
        <w:pStyle w:val="OWSbulletL1"/>
        <w:numPr>
          <w:ilvl w:val="0"/>
          <w:numId w:val="26"/>
        </w:numPr>
        <w:spacing w:before="60" w:after="60" w:line="240" w:lineRule="auto"/>
        <w:ind w:left="714" w:hanging="357"/>
        <w:rPr>
          <w:rFonts w:asciiTheme="minorHAnsi" w:hAnsiTheme="minorHAnsi" w:cstheme="minorHAnsi"/>
        </w:rPr>
      </w:pPr>
      <w:r w:rsidRPr="00747E35">
        <w:rPr>
          <w:rFonts w:asciiTheme="minorHAnsi" w:hAnsiTheme="minorHAnsi" w:cstheme="minorHAnsi"/>
        </w:rPr>
        <w:t xml:space="preserve">improved identification and understanding of the potential water-related ecological responses to coal seam gas extraction and coal mining in Australia </w:t>
      </w:r>
    </w:p>
    <w:p w14:paraId="2B5A07AF" w14:textId="77777777" w:rsidR="003D3694" w:rsidRPr="00747E35" w:rsidRDefault="003D3694" w:rsidP="0083624F">
      <w:pPr>
        <w:pStyle w:val="OWSbulletL1"/>
        <w:numPr>
          <w:ilvl w:val="0"/>
          <w:numId w:val="26"/>
        </w:numPr>
        <w:spacing w:before="60" w:after="60" w:line="240" w:lineRule="auto"/>
        <w:ind w:left="714" w:hanging="357"/>
        <w:rPr>
          <w:rFonts w:asciiTheme="minorHAnsi" w:hAnsiTheme="minorHAnsi" w:cstheme="minorHAnsi"/>
        </w:rPr>
      </w:pPr>
      <w:r w:rsidRPr="00747E35">
        <w:rPr>
          <w:rFonts w:asciiTheme="minorHAnsi" w:hAnsiTheme="minorHAnsi" w:cstheme="minorHAnsi"/>
        </w:rPr>
        <w:t>information that will strengthen IESC advice on project proposals concerning the adequacy of methods of prediction, assessment and mitigation of impacts on:</w:t>
      </w:r>
    </w:p>
    <w:p w14:paraId="37E58D55" w14:textId="77777777" w:rsidR="003D3694" w:rsidRPr="00747E35" w:rsidRDefault="003D3694" w:rsidP="0083624F">
      <w:pPr>
        <w:pStyle w:val="OWSbulletL1"/>
        <w:numPr>
          <w:ilvl w:val="1"/>
          <w:numId w:val="26"/>
        </w:numPr>
        <w:spacing w:before="60" w:after="60" w:line="240" w:lineRule="auto"/>
        <w:ind w:left="1434" w:hanging="357"/>
        <w:rPr>
          <w:rFonts w:asciiTheme="minorHAnsi" w:hAnsiTheme="minorHAnsi" w:cstheme="minorHAnsi"/>
        </w:rPr>
      </w:pPr>
      <w:r w:rsidRPr="00747E35">
        <w:rPr>
          <w:rFonts w:asciiTheme="minorHAnsi" w:hAnsiTheme="minorHAnsi" w:cstheme="minorHAnsi"/>
        </w:rPr>
        <w:t xml:space="preserve">subsurface biogeochemistry and water quality, </w:t>
      </w:r>
    </w:p>
    <w:p w14:paraId="7C6BB7AA" w14:textId="77777777" w:rsidR="003D3694" w:rsidRPr="00747E35" w:rsidRDefault="003D3694" w:rsidP="0083624F">
      <w:pPr>
        <w:pStyle w:val="OWSbulletL1"/>
        <w:numPr>
          <w:ilvl w:val="1"/>
          <w:numId w:val="26"/>
        </w:numPr>
        <w:spacing w:before="60" w:after="60" w:line="240" w:lineRule="auto"/>
        <w:ind w:left="1434" w:hanging="357"/>
        <w:rPr>
          <w:rFonts w:asciiTheme="minorHAnsi" w:hAnsiTheme="minorHAnsi" w:cstheme="minorHAnsi"/>
        </w:rPr>
      </w:pPr>
      <w:r w:rsidRPr="00747E35">
        <w:rPr>
          <w:rFonts w:asciiTheme="minorHAnsi" w:hAnsiTheme="minorHAnsi" w:cstheme="minorHAnsi"/>
        </w:rPr>
        <w:t xml:space="preserve">groundwater dependent vegetation, </w:t>
      </w:r>
    </w:p>
    <w:p w14:paraId="4B71E107" w14:textId="77777777" w:rsidR="003D3694" w:rsidRPr="00747E35" w:rsidRDefault="003D3694" w:rsidP="0083624F">
      <w:pPr>
        <w:pStyle w:val="OWSbulletL1"/>
        <w:numPr>
          <w:ilvl w:val="1"/>
          <w:numId w:val="26"/>
        </w:numPr>
        <w:spacing w:before="60" w:after="60" w:line="240" w:lineRule="auto"/>
        <w:ind w:left="1434" w:hanging="357"/>
        <w:rPr>
          <w:rFonts w:asciiTheme="minorHAnsi" w:hAnsiTheme="minorHAnsi" w:cstheme="minorHAnsi"/>
        </w:rPr>
      </w:pPr>
      <w:r w:rsidRPr="00747E35">
        <w:rPr>
          <w:rFonts w:asciiTheme="minorHAnsi" w:hAnsiTheme="minorHAnsi" w:cstheme="minorHAnsi"/>
        </w:rPr>
        <w:t>ecological values of non-perennial streams (including ecosystem processes, and hyporehic and surface fauna)</w:t>
      </w:r>
    </w:p>
    <w:p w14:paraId="6AD2B583" w14:textId="77777777" w:rsidR="003D3694" w:rsidRPr="00747E35" w:rsidRDefault="003D3694" w:rsidP="0083624F">
      <w:pPr>
        <w:pStyle w:val="OWSbulletL1"/>
        <w:numPr>
          <w:ilvl w:val="1"/>
          <w:numId w:val="26"/>
        </w:numPr>
        <w:spacing w:before="60" w:after="60" w:line="240" w:lineRule="auto"/>
        <w:ind w:left="1434" w:hanging="357"/>
        <w:rPr>
          <w:rFonts w:asciiTheme="minorHAnsi" w:hAnsiTheme="minorHAnsi" w:cstheme="minorHAnsi"/>
        </w:rPr>
      </w:pPr>
      <w:r w:rsidRPr="00747E35">
        <w:rPr>
          <w:rFonts w:asciiTheme="minorHAnsi" w:hAnsiTheme="minorHAnsi" w:cstheme="minorHAnsi"/>
        </w:rPr>
        <w:t>GAB springs and the biodiversity they sustain</w:t>
      </w:r>
    </w:p>
    <w:p w14:paraId="308A58FA" w14:textId="77777777" w:rsidR="003D3694" w:rsidRPr="00747E35" w:rsidRDefault="003D3694" w:rsidP="0083624F">
      <w:pPr>
        <w:pStyle w:val="OWSbulletL1"/>
        <w:numPr>
          <w:ilvl w:val="0"/>
          <w:numId w:val="26"/>
        </w:numPr>
        <w:spacing w:before="60" w:after="60" w:line="240" w:lineRule="auto"/>
        <w:ind w:left="714" w:hanging="357"/>
        <w:rPr>
          <w:rFonts w:asciiTheme="minorHAnsi" w:hAnsiTheme="minorHAnsi" w:cstheme="minorHAnsi"/>
        </w:rPr>
      </w:pPr>
      <w:r w:rsidRPr="00747E35">
        <w:rPr>
          <w:rFonts w:asciiTheme="minorHAnsi" w:hAnsiTheme="minorHAnsi" w:cstheme="minorHAnsi"/>
        </w:rPr>
        <w:t>strengthened regulator and industry understanding of:</w:t>
      </w:r>
    </w:p>
    <w:p w14:paraId="4684485C" w14:textId="77777777" w:rsidR="003D3694" w:rsidRPr="00747E35" w:rsidRDefault="003D3694" w:rsidP="0083624F">
      <w:pPr>
        <w:pStyle w:val="OWSbulletL1"/>
        <w:numPr>
          <w:ilvl w:val="1"/>
          <w:numId w:val="26"/>
        </w:numPr>
        <w:spacing w:before="60" w:after="60" w:line="240" w:lineRule="auto"/>
        <w:ind w:left="1434" w:hanging="357"/>
        <w:rPr>
          <w:rFonts w:asciiTheme="minorHAnsi" w:hAnsiTheme="minorHAnsi" w:cstheme="minorHAnsi"/>
        </w:rPr>
      </w:pPr>
      <w:r w:rsidRPr="00747E35">
        <w:rPr>
          <w:rFonts w:asciiTheme="minorHAnsi" w:hAnsiTheme="minorHAnsi" w:cstheme="minorHAnsi"/>
        </w:rPr>
        <w:t>the water-related requirements of, and impacts on, groundwater dependent vegetation</w:t>
      </w:r>
    </w:p>
    <w:p w14:paraId="5BD8CD95" w14:textId="77777777" w:rsidR="003D3694" w:rsidRPr="00747E35" w:rsidRDefault="003D3694" w:rsidP="0083624F">
      <w:pPr>
        <w:pStyle w:val="OWSbulletL1"/>
        <w:numPr>
          <w:ilvl w:val="1"/>
          <w:numId w:val="26"/>
        </w:numPr>
        <w:spacing w:before="60" w:after="60" w:line="240" w:lineRule="auto"/>
        <w:ind w:left="1434" w:hanging="357"/>
        <w:rPr>
          <w:rFonts w:asciiTheme="minorHAnsi" w:hAnsiTheme="minorHAnsi" w:cstheme="minorHAnsi"/>
        </w:rPr>
      </w:pPr>
      <w:r w:rsidRPr="00747E35">
        <w:rPr>
          <w:rFonts w:asciiTheme="minorHAnsi" w:hAnsiTheme="minorHAnsi" w:cstheme="minorHAnsi"/>
        </w:rPr>
        <w:t>the ecological importance of groundwater discharge and surface water-groundwater connectivity regimes in non-perennial streams</w:t>
      </w:r>
    </w:p>
    <w:p w14:paraId="2753B701" w14:textId="77777777" w:rsidR="003D3694" w:rsidRPr="00747E35" w:rsidRDefault="003D3694" w:rsidP="0083624F">
      <w:pPr>
        <w:pStyle w:val="OWSbulletL1"/>
        <w:numPr>
          <w:ilvl w:val="1"/>
          <w:numId w:val="26"/>
        </w:numPr>
        <w:spacing w:before="60" w:after="60" w:line="240" w:lineRule="auto"/>
        <w:ind w:left="1434" w:hanging="357"/>
        <w:rPr>
          <w:rFonts w:asciiTheme="minorHAnsi" w:hAnsiTheme="minorHAnsi" w:cstheme="minorHAnsi"/>
        </w:rPr>
      </w:pPr>
      <w:r w:rsidRPr="00747E35">
        <w:rPr>
          <w:rFonts w:asciiTheme="minorHAnsi" w:hAnsiTheme="minorHAnsi" w:cstheme="minorHAnsi"/>
        </w:rPr>
        <w:t>the ecological relevance of subsurface fauna and biogeochemistry</w:t>
      </w:r>
    </w:p>
    <w:p w14:paraId="51A06E17" w14:textId="77777777" w:rsidR="003D3694" w:rsidRPr="00747E35" w:rsidRDefault="003D3694" w:rsidP="0083624F">
      <w:pPr>
        <w:pStyle w:val="OWSbulletL1"/>
        <w:numPr>
          <w:ilvl w:val="1"/>
          <w:numId w:val="26"/>
        </w:numPr>
        <w:spacing w:before="60" w:after="60" w:line="240" w:lineRule="auto"/>
        <w:ind w:left="1434" w:hanging="357"/>
        <w:rPr>
          <w:rFonts w:asciiTheme="minorHAnsi" w:hAnsiTheme="minorHAnsi" w:cstheme="minorHAnsi"/>
        </w:rPr>
      </w:pPr>
      <w:r w:rsidRPr="00747E35">
        <w:rPr>
          <w:rFonts w:asciiTheme="minorHAnsi" w:hAnsiTheme="minorHAnsi" w:cstheme="minorHAnsi"/>
        </w:rPr>
        <w:t>the biodiversity and conservation values of GAB spring wetlands and the vulnerability of resident taxa to hydrological changes and other threats</w:t>
      </w:r>
    </w:p>
    <w:p w14:paraId="12AC4233" w14:textId="77777777" w:rsidR="003D3694" w:rsidRPr="00747E35" w:rsidRDefault="003D3694" w:rsidP="0083624F">
      <w:pPr>
        <w:pStyle w:val="OWSbulletL1"/>
        <w:numPr>
          <w:ilvl w:val="0"/>
          <w:numId w:val="26"/>
        </w:numPr>
        <w:spacing w:before="60" w:after="60" w:line="240" w:lineRule="auto"/>
        <w:ind w:left="714" w:hanging="357"/>
        <w:rPr>
          <w:rFonts w:asciiTheme="minorHAnsi" w:hAnsiTheme="minorHAnsi" w:cstheme="minorHAnsi"/>
        </w:rPr>
      </w:pPr>
      <w:r w:rsidRPr="00747E35">
        <w:rPr>
          <w:rFonts w:asciiTheme="minorHAnsi" w:hAnsiTheme="minorHAnsi" w:cstheme="minorHAnsi"/>
        </w:rPr>
        <w:t>research that complements the bioregional assessments and other research activities coordinated by OWS that will collectively improve the knowledge base regarding the potential water-related impacts of CSG extraction and coal mining.</w:t>
      </w:r>
    </w:p>
    <w:p w14:paraId="757449D5" w14:textId="77777777" w:rsidR="003D3694" w:rsidRPr="00747E35" w:rsidRDefault="003D3694" w:rsidP="0083624F">
      <w:pPr>
        <w:pStyle w:val="OWSbulletL1"/>
        <w:numPr>
          <w:ilvl w:val="0"/>
          <w:numId w:val="26"/>
        </w:numPr>
        <w:spacing w:before="60" w:after="60" w:line="240" w:lineRule="auto"/>
        <w:ind w:left="714" w:hanging="357"/>
        <w:rPr>
          <w:rFonts w:asciiTheme="minorHAnsi" w:hAnsiTheme="minorHAnsi" w:cstheme="minorHAnsi"/>
        </w:rPr>
      </w:pPr>
      <w:r w:rsidRPr="00747E35">
        <w:rPr>
          <w:rFonts w:asciiTheme="minorHAnsi" w:hAnsiTheme="minorHAnsi" w:cstheme="minorHAnsi"/>
        </w:rPr>
        <w:t xml:space="preserve">a rigorous foundation for future research to fill critical research gaps. </w:t>
      </w:r>
    </w:p>
    <w:p w14:paraId="09417023" w14:textId="77777777" w:rsidR="003D3694" w:rsidRPr="00747E35" w:rsidRDefault="003D3694" w:rsidP="0083624F">
      <w:pPr>
        <w:pStyle w:val="Bullet"/>
        <w:numPr>
          <w:ilvl w:val="0"/>
          <w:numId w:val="26"/>
        </w:numPr>
        <w:spacing w:before="60" w:beforeAutospacing="0" w:after="60" w:afterAutospacing="0"/>
        <w:ind w:left="714" w:hanging="357"/>
        <w:rPr>
          <w:rFonts w:asciiTheme="minorHAnsi" w:hAnsiTheme="minorHAnsi" w:cstheme="minorHAnsi"/>
        </w:rPr>
      </w:pPr>
      <w:r w:rsidRPr="00747E35">
        <w:rPr>
          <w:rFonts w:asciiTheme="minorHAnsi" w:hAnsiTheme="minorHAnsi" w:cstheme="minorHAnsi"/>
        </w:rPr>
        <w:t>improved capacity to evaluate ecological and biodiversity values of an area subject to proposed mining development relative to elsewhere</w:t>
      </w:r>
    </w:p>
    <w:p w14:paraId="2E7796A7" w14:textId="77777777" w:rsidR="003D3694" w:rsidRPr="00747E35" w:rsidRDefault="003D3694" w:rsidP="0083624F">
      <w:pPr>
        <w:pStyle w:val="Bullet"/>
        <w:numPr>
          <w:ilvl w:val="0"/>
          <w:numId w:val="26"/>
        </w:numPr>
        <w:spacing w:before="60" w:beforeAutospacing="0" w:after="60" w:afterAutospacing="0"/>
        <w:ind w:left="714" w:hanging="357"/>
        <w:rPr>
          <w:rFonts w:asciiTheme="minorHAnsi" w:hAnsiTheme="minorHAnsi" w:cstheme="minorHAnsi"/>
        </w:rPr>
      </w:pPr>
      <w:r w:rsidRPr="00747E35">
        <w:rPr>
          <w:rFonts w:asciiTheme="minorHAnsi" w:hAnsiTheme="minorHAnsi" w:cstheme="minorHAnsi"/>
        </w:rPr>
        <w:t>information for future updates to conservation listing of GAB discharge spring ecological communities (and individual species) by DoE Threatened Species Scientific Committee</w:t>
      </w:r>
    </w:p>
    <w:p w14:paraId="3CDB5764" w14:textId="77777777" w:rsidR="003D3694" w:rsidRPr="00747E35" w:rsidRDefault="003D3694" w:rsidP="003D3694">
      <w:pPr>
        <w:autoSpaceDE/>
        <w:autoSpaceDN/>
        <w:spacing w:line="276" w:lineRule="auto"/>
        <w:rPr>
          <w:rFonts w:asciiTheme="minorHAnsi" w:eastAsiaTheme="majorEastAsia" w:hAnsiTheme="minorHAnsi" w:cstheme="minorHAnsi"/>
          <w:b/>
          <w:bCs/>
          <w:color w:val="FFFFFF" w:themeColor="background1"/>
          <w:sz w:val="36"/>
          <w:szCs w:val="28"/>
        </w:rPr>
      </w:pPr>
      <w:r w:rsidRPr="00747E35">
        <w:rPr>
          <w:rFonts w:asciiTheme="minorHAnsi" w:hAnsiTheme="minorHAnsi" w:cstheme="minorHAnsi"/>
        </w:rPr>
        <w:br w:type="page"/>
      </w:r>
    </w:p>
    <w:p w14:paraId="45B45F2F" w14:textId="1D1380A8" w:rsidR="003D3694" w:rsidRPr="00747E35" w:rsidRDefault="003D3694" w:rsidP="003D3694">
      <w:pPr>
        <w:pStyle w:val="Heading1"/>
        <w:rPr>
          <w:rFonts w:asciiTheme="minorHAnsi" w:hAnsiTheme="minorHAnsi" w:cstheme="minorHAnsi"/>
        </w:rPr>
      </w:pPr>
      <w:bookmarkStart w:id="14" w:name="_Toc467211672"/>
      <w:bookmarkStart w:id="15" w:name="_Toc470004817"/>
      <w:r w:rsidRPr="00747E35">
        <w:rPr>
          <w:rFonts w:asciiTheme="minorHAnsi" w:hAnsiTheme="minorHAnsi" w:cstheme="minorHAnsi"/>
        </w:rPr>
        <w:lastRenderedPageBreak/>
        <w:t>Introduction</w:t>
      </w:r>
      <w:bookmarkEnd w:id="14"/>
      <w:bookmarkEnd w:id="15"/>
    </w:p>
    <w:p w14:paraId="33B46F55"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In 2012, the Australian Government established an Independent Expert Scientific Committee on Coal Seam Gas and Large Coal Mining Development (IESC) to provide scientific advice to government regulators on the impacts that coal seam gas (CSG) extraction and large coal mining development may have on Australia’s water resources. The IESC is supported by the Office of Water Science (OWS) within the Australian Government Department of the Environment and Energy. The IESC’s Information Guidelines (IESC 2015) outline the information requirements considered necessary by the IESC to enable delivery of robust scientific advice to government regulators on the water-related impacts of CSG and large coal mining developments. </w:t>
      </w:r>
    </w:p>
    <w:p w14:paraId="2C1FE0E1"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aim of this project, </w:t>
      </w:r>
      <w:r w:rsidRPr="00747E35">
        <w:rPr>
          <w:rFonts w:asciiTheme="minorHAnsi" w:hAnsiTheme="minorHAnsi" w:cstheme="minorHAnsi"/>
          <w:i/>
          <w:iCs/>
        </w:rPr>
        <w:t>Ecohydrological responses to coal seam gas extraction and coal mining</w:t>
      </w:r>
      <w:r w:rsidRPr="00747E35">
        <w:rPr>
          <w:rFonts w:asciiTheme="minorHAnsi" w:hAnsiTheme="minorHAnsi" w:cstheme="minorHAnsi"/>
        </w:rPr>
        <w:t xml:space="preserve">, was not only to provide information to support assessments of the water-related impacts of CSG extraction and coal mining but also to provide a case study of interdisciplinary working, discuss suitable field methods and analyses and provide guidance on integrated assessment of ecosystem responses and on application of methods and analyses in other catchments and regions. </w:t>
      </w:r>
    </w:p>
    <w:p w14:paraId="5E02D8C6"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The project builds on the outcomes of an expert workshop held in 2014 which considered approaches to ecological conceptual modelling that may assist assessment of the water-related ecological impacts of CSG extraction and coal mining development (Commonwealth of Australia 2015). Knowledge gaps and research questions identified by workshop participants informed the scope of the present study.</w:t>
      </w:r>
    </w:p>
    <w:p w14:paraId="2E43173F" w14:textId="6D2E2432" w:rsidR="003D3694" w:rsidRPr="00C22E62" w:rsidRDefault="003D3694" w:rsidP="003D3694">
      <w:pPr>
        <w:rPr>
          <w:rFonts w:asciiTheme="minorHAnsi" w:hAnsiTheme="minorHAnsi" w:cstheme="minorHAnsi"/>
        </w:rPr>
      </w:pPr>
      <w:r w:rsidRPr="00747E35">
        <w:rPr>
          <w:rFonts w:asciiTheme="minorHAnsi" w:hAnsiTheme="minorHAnsi" w:cstheme="minorHAnsi"/>
        </w:rPr>
        <w:t>The research program has been designed to support assessments of CSG extraction and coal mining development proposals and does not directly examine the ecological impacts of particular existing or proposed developments.  Instead, the experimental desig</w:t>
      </w:r>
      <w:r w:rsidR="00317E32" w:rsidRPr="00747E35">
        <w:rPr>
          <w:rFonts w:asciiTheme="minorHAnsi" w:hAnsiTheme="minorHAnsi" w:cstheme="minorHAnsi"/>
        </w:rPr>
        <w:t>n focusses on developing a quan</w:t>
      </w:r>
      <w:r w:rsidRPr="00747E35">
        <w:rPr>
          <w:rFonts w:asciiTheme="minorHAnsi" w:hAnsiTheme="minorHAnsi" w:cstheme="minorHAnsi"/>
        </w:rPr>
        <w:t>t</w:t>
      </w:r>
      <w:r w:rsidR="00317E32" w:rsidRPr="00747E35">
        <w:rPr>
          <w:rFonts w:asciiTheme="minorHAnsi" w:hAnsiTheme="minorHAnsi" w:cstheme="minorHAnsi"/>
        </w:rPr>
        <w:t>it</w:t>
      </w:r>
      <w:r w:rsidRPr="00747E35">
        <w:rPr>
          <w:rFonts w:asciiTheme="minorHAnsi" w:hAnsiTheme="minorHAnsi" w:cstheme="minorHAnsi"/>
        </w:rPr>
        <w:t>ative understanding of ecological responses across gradients of surface-groundwater interaction as a basis to understand and predict potential consequence of groundwater drawdown associated with CSG extraction a</w:t>
      </w:r>
      <w:r w:rsidRPr="00C22E62">
        <w:rPr>
          <w:rFonts w:asciiTheme="minorHAnsi" w:hAnsiTheme="minorHAnsi" w:cstheme="minorHAnsi"/>
        </w:rPr>
        <w:t xml:space="preserve">nd coal mining.  </w:t>
      </w:r>
    </w:p>
    <w:p w14:paraId="4247E060" w14:textId="69D03EAE" w:rsidR="003D3694" w:rsidRPr="00747E35" w:rsidRDefault="003D3694" w:rsidP="003D3694">
      <w:pPr>
        <w:rPr>
          <w:rFonts w:asciiTheme="minorHAnsi" w:hAnsiTheme="minorHAnsi" w:cstheme="minorHAnsi"/>
        </w:rPr>
      </w:pPr>
      <w:r w:rsidRPr="00C22E62">
        <w:rPr>
          <w:rFonts w:asciiTheme="minorHAnsi" w:hAnsiTheme="minorHAnsi" w:cstheme="minorHAnsi"/>
        </w:rPr>
        <w:t>The program is constructed around four major research components</w:t>
      </w:r>
      <w:r w:rsidR="00317E32" w:rsidRPr="00C22E62">
        <w:rPr>
          <w:rFonts w:asciiTheme="minorHAnsi" w:hAnsiTheme="minorHAnsi" w:cstheme="minorHAnsi"/>
        </w:rPr>
        <w:t xml:space="preserve"> focused </w:t>
      </w:r>
      <w:r w:rsidR="00464231" w:rsidRPr="00C22E62">
        <w:rPr>
          <w:rFonts w:asciiTheme="minorHAnsi" w:hAnsiTheme="minorHAnsi" w:cstheme="minorHAnsi"/>
        </w:rPr>
        <w:t>i</w:t>
      </w:r>
      <w:r w:rsidR="00317E32" w:rsidRPr="00C22E62">
        <w:rPr>
          <w:rFonts w:asciiTheme="minorHAnsi" w:hAnsiTheme="minorHAnsi" w:cstheme="minorHAnsi"/>
        </w:rPr>
        <w:t xml:space="preserve">n </w:t>
      </w:r>
      <w:r w:rsidR="002A7D1C" w:rsidRPr="00C22E62">
        <w:rPr>
          <w:rFonts w:asciiTheme="minorHAnsi" w:hAnsiTheme="minorHAnsi" w:cstheme="minorHAnsi"/>
        </w:rPr>
        <w:t>three</w:t>
      </w:r>
      <w:r w:rsidR="00317E32" w:rsidRPr="00C22E62">
        <w:rPr>
          <w:rFonts w:asciiTheme="minorHAnsi" w:hAnsiTheme="minorHAnsi" w:cstheme="minorHAnsi"/>
        </w:rPr>
        <w:t xml:space="preserve"> study areas (</w:t>
      </w:r>
      <w:r w:rsidR="00317E32" w:rsidRPr="00C22E62">
        <w:rPr>
          <w:rFonts w:asciiTheme="minorHAnsi" w:hAnsiTheme="minorHAnsi" w:cstheme="minorHAnsi"/>
        </w:rPr>
        <w:fldChar w:fldCharType="begin"/>
      </w:r>
      <w:r w:rsidR="00317E32" w:rsidRPr="00C22E62">
        <w:rPr>
          <w:rFonts w:asciiTheme="minorHAnsi" w:hAnsiTheme="minorHAnsi" w:cstheme="minorHAnsi"/>
        </w:rPr>
        <w:instrText xml:space="preserve"> REF _Ref469046171 \h </w:instrText>
      </w:r>
      <w:r w:rsidR="00925BFC" w:rsidRPr="00C22E62">
        <w:rPr>
          <w:rFonts w:asciiTheme="minorHAnsi" w:hAnsiTheme="minorHAnsi" w:cstheme="minorHAnsi"/>
        </w:rPr>
        <w:instrText xml:space="preserve"> \* MERGEFORMAT </w:instrText>
      </w:r>
      <w:r w:rsidR="00317E32" w:rsidRPr="00C22E62">
        <w:rPr>
          <w:rFonts w:asciiTheme="minorHAnsi" w:hAnsiTheme="minorHAnsi" w:cstheme="minorHAnsi"/>
        </w:rPr>
      </w:r>
      <w:r w:rsidR="00317E32" w:rsidRPr="00C22E62">
        <w:rPr>
          <w:rFonts w:asciiTheme="minorHAnsi" w:hAnsiTheme="minorHAnsi" w:cstheme="minorHAnsi"/>
        </w:rPr>
        <w:fldChar w:fldCharType="separate"/>
      </w:r>
      <w:r w:rsidR="00D023DD" w:rsidRPr="00D023DD">
        <w:rPr>
          <w:rFonts w:asciiTheme="minorHAnsi" w:hAnsiTheme="minorHAnsi" w:cstheme="minorHAnsi"/>
          <w:noProof/>
        </w:rPr>
        <w:t>Figure</w:t>
      </w:r>
      <w:r w:rsidR="00D023DD" w:rsidRPr="00D023DD">
        <w:rPr>
          <w:rFonts w:asciiTheme="minorHAnsi" w:hAnsiTheme="minorHAnsi" w:cstheme="minorHAnsi"/>
        </w:rPr>
        <w:t xml:space="preserve"> </w:t>
      </w:r>
      <w:r w:rsidR="00D023DD" w:rsidRPr="00D023DD">
        <w:rPr>
          <w:rFonts w:asciiTheme="minorHAnsi" w:hAnsiTheme="minorHAnsi" w:cstheme="minorHAnsi"/>
          <w:noProof/>
        </w:rPr>
        <w:t>1</w:t>
      </w:r>
      <w:r w:rsidR="00317E32" w:rsidRPr="00C22E62">
        <w:rPr>
          <w:rFonts w:asciiTheme="minorHAnsi" w:hAnsiTheme="minorHAnsi" w:cstheme="minorHAnsi"/>
        </w:rPr>
        <w:fldChar w:fldCharType="end"/>
      </w:r>
      <w:r w:rsidR="00317E32" w:rsidRPr="00C22E62">
        <w:rPr>
          <w:rFonts w:asciiTheme="minorHAnsi" w:hAnsiTheme="minorHAnsi" w:cstheme="minorHAnsi"/>
        </w:rPr>
        <w:t>)</w:t>
      </w:r>
      <w:r w:rsidR="00464231" w:rsidRPr="00C22E62">
        <w:rPr>
          <w:rFonts w:asciiTheme="minorHAnsi" w:hAnsiTheme="minorHAnsi" w:cstheme="minorHAnsi"/>
        </w:rPr>
        <w:t>.</w:t>
      </w:r>
      <w:r w:rsidR="00464231" w:rsidRPr="00C22E62">
        <w:rPr>
          <w:rFonts w:asciiTheme="minorHAnsi" w:hAnsiTheme="minorHAnsi"/>
        </w:rPr>
        <w:t xml:space="preserve"> </w:t>
      </w:r>
      <w:r w:rsidR="003E6175" w:rsidRPr="00C22E62">
        <w:rPr>
          <w:rFonts w:asciiTheme="minorHAnsi" w:hAnsiTheme="minorHAnsi"/>
        </w:rPr>
        <w:t xml:space="preserve"> </w:t>
      </w:r>
      <w:r w:rsidR="00464231" w:rsidRPr="00C22E62">
        <w:rPr>
          <w:rFonts w:asciiTheme="minorHAnsi" w:hAnsiTheme="minorHAnsi"/>
        </w:rPr>
        <w:t xml:space="preserve">Research components 1 – 3 are conducted in </w:t>
      </w:r>
      <w:r w:rsidR="00464231" w:rsidRPr="00C22E62">
        <w:rPr>
          <w:rFonts w:asciiTheme="minorHAnsi" w:hAnsiTheme="minorHAnsi" w:cstheme="minorHAnsi"/>
        </w:rPr>
        <w:t>the Bremer River (south-east Queensland) and Maules Creek (upper Namoi River basin, central New South Wales, research component 4 is focused on the Great</w:t>
      </w:r>
      <w:r w:rsidR="00464231" w:rsidRPr="00464231">
        <w:rPr>
          <w:rFonts w:asciiTheme="minorHAnsi" w:hAnsiTheme="minorHAnsi" w:cstheme="minorHAnsi"/>
        </w:rPr>
        <w:t xml:space="preserve"> Artesian Basin (inland Australia</w:t>
      </w:r>
      <w:r w:rsidR="00464231">
        <w:rPr>
          <w:rFonts w:asciiTheme="minorHAnsi" w:hAnsiTheme="minorHAnsi" w:cstheme="minorHAnsi"/>
        </w:rPr>
        <w:t>). Each research component is introduced below.</w:t>
      </w:r>
    </w:p>
    <w:p w14:paraId="5A779D63"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Component 1 – Ecohydrology of groundwater-dependent terrestrial vegetation. (Short title: Groundwater dependent vegetation).</w:t>
      </w:r>
    </w:p>
    <w:p w14:paraId="39DDC8FD" w14:textId="77777777" w:rsidR="003D3694" w:rsidRPr="00747E35" w:rsidRDefault="003D3694" w:rsidP="003D3694">
      <w:pPr>
        <w:ind w:left="720"/>
        <w:rPr>
          <w:rFonts w:asciiTheme="minorHAnsi" w:hAnsiTheme="minorHAnsi" w:cstheme="minorHAnsi"/>
        </w:rPr>
      </w:pPr>
      <w:r w:rsidRPr="00747E35">
        <w:rPr>
          <w:rFonts w:asciiTheme="minorHAnsi" w:hAnsiTheme="minorHAnsi" w:cstheme="minorHAnsi"/>
        </w:rPr>
        <w:t xml:space="preserve">Objectives - to </w:t>
      </w:r>
      <w:r w:rsidRPr="00747E35">
        <w:rPr>
          <w:rFonts w:asciiTheme="minorHAnsi" w:hAnsiTheme="minorHAnsi" w:cstheme="minorHAnsi"/>
          <w:lang w:eastAsia="zh-CN" w:bidi="th-TH"/>
        </w:rPr>
        <w:t xml:space="preserve">understand the impacts of altered groundwater regimes as a result of </w:t>
      </w:r>
      <w:r w:rsidRPr="00747E35">
        <w:rPr>
          <w:rFonts w:asciiTheme="minorHAnsi" w:hAnsiTheme="minorHAnsi" w:cstheme="minorHAnsi"/>
        </w:rPr>
        <w:t>CSG extraction and coal mining</w:t>
      </w:r>
      <w:r w:rsidRPr="00747E35" w:rsidDel="001718CB">
        <w:rPr>
          <w:rFonts w:asciiTheme="minorHAnsi" w:hAnsiTheme="minorHAnsi" w:cstheme="minorHAnsi"/>
          <w:lang w:eastAsia="zh-CN" w:bidi="th-TH"/>
        </w:rPr>
        <w:t xml:space="preserve"> </w:t>
      </w:r>
      <w:r w:rsidRPr="00747E35">
        <w:rPr>
          <w:rFonts w:asciiTheme="minorHAnsi" w:hAnsiTheme="minorHAnsi" w:cstheme="minorHAnsi"/>
          <w:lang w:eastAsia="zh-CN" w:bidi="th-TH"/>
        </w:rPr>
        <w:t>developments on groundwater-dependent vegetation in different biophysical settings.</w:t>
      </w:r>
    </w:p>
    <w:p w14:paraId="0C746C94"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Component 2 – Ecological values of baseflow and surface water-groundwater connectivity regimes in non-perennial streams. (Short title: Baseflows).</w:t>
      </w:r>
    </w:p>
    <w:p w14:paraId="697614FF" w14:textId="77777777" w:rsidR="003D3694" w:rsidRPr="00747E35" w:rsidRDefault="003D3694" w:rsidP="003D3694">
      <w:pPr>
        <w:ind w:left="720"/>
        <w:rPr>
          <w:rFonts w:asciiTheme="minorHAnsi" w:hAnsiTheme="minorHAnsi" w:cstheme="minorHAnsi"/>
        </w:rPr>
      </w:pPr>
      <w:r w:rsidRPr="00747E35">
        <w:rPr>
          <w:rFonts w:asciiTheme="minorHAnsi" w:hAnsiTheme="minorHAnsi" w:cstheme="minorHAnsi"/>
        </w:rPr>
        <w:t>Objectives - to quantify and describe the ecological values of non-perennial waterways, the contributions from groundwater in maintaining those values, and the potential threats to those values resulting from altered surface-groundwater connectivity, including the ability for systems to recover from periods of altered groundwater-surface water connectivity.</w:t>
      </w:r>
    </w:p>
    <w:p w14:paraId="7210736B"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Component 3 – Hydrogeochemistry, biogeochemical processes and the hyporheos / stygofauna (Short title: Subsurface ecology).</w:t>
      </w:r>
    </w:p>
    <w:p w14:paraId="7C28C894" w14:textId="77777777" w:rsidR="003D3694" w:rsidRPr="00747E35" w:rsidRDefault="003D3694" w:rsidP="003D3694">
      <w:pPr>
        <w:ind w:left="720"/>
        <w:rPr>
          <w:rFonts w:asciiTheme="minorHAnsi" w:hAnsiTheme="minorHAnsi" w:cstheme="minorHAnsi"/>
        </w:rPr>
      </w:pPr>
      <w:r w:rsidRPr="00747E35">
        <w:rPr>
          <w:rFonts w:asciiTheme="minorHAnsi" w:hAnsiTheme="minorHAnsi" w:cstheme="minorHAnsi"/>
        </w:rPr>
        <w:lastRenderedPageBreak/>
        <w:t>Objectives - to understand how changes in groundwater-surface water connectivity, hyporheic exchange and biogeochemical conditions affect the ecological conditions for hyporheos and stygofauna.</w:t>
      </w:r>
    </w:p>
    <w:p w14:paraId="43A3C795" w14:textId="53F9D9B8"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Component 4 – </w:t>
      </w:r>
      <w:r w:rsidR="00090218">
        <w:rPr>
          <w:rFonts w:asciiTheme="minorHAnsi" w:hAnsiTheme="minorHAnsi" w:cstheme="minorHAnsi"/>
        </w:rPr>
        <w:t>Biodiversity and risk assessment</w:t>
      </w:r>
      <w:r w:rsidRPr="00747E35">
        <w:rPr>
          <w:rFonts w:asciiTheme="minorHAnsi" w:hAnsiTheme="minorHAnsi" w:cstheme="minorHAnsi"/>
        </w:rPr>
        <w:t xml:space="preserve"> of Great </w:t>
      </w:r>
      <w:r w:rsidR="00090218">
        <w:rPr>
          <w:rFonts w:asciiTheme="minorHAnsi" w:hAnsiTheme="minorHAnsi" w:cstheme="minorHAnsi"/>
        </w:rPr>
        <w:t xml:space="preserve">Artesian Basin spring wetlands </w:t>
      </w:r>
      <w:r w:rsidRPr="00747E35">
        <w:rPr>
          <w:rFonts w:asciiTheme="minorHAnsi" w:hAnsiTheme="minorHAnsi" w:cstheme="minorHAnsi"/>
        </w:rPr>
        <w:t>(Short title: GAB springs).</w:t>
      </w:r>
    </w:p>
    <w:p w14:paraId="7D2C75AB" w14:textId="77777777" w:rsidR="003D3694" w:rsidRDefault="003D3694" w:rsidP="003D3694">
      <w:pPr>
        <w:ind w:left="720"/>
        <w:rPr>
          <w:rFonts w:asciiTheme="minorHAnsi" w:hAnsiTheme="minorHAnsi" w:cstheme="minorHAnsi"/>
        </w:rPr>
      </w:pPr>
      <w:r w:rsidRPr="00747E35">
        <w:rPr>
          <w:rFonts w:asciiTheme="minorHAnsi" w:hAnsiTheme="minorHAnsi" w:cstheme="minorHAnsi"/>
        </w:rPr>
        <w:t>Objectives - to conceptualise and quantify the environmental determinants of GAB spring wetland species composition and biodiversity patterns and how resident species respond to cumulative impacts of groundwater drawdown and other threats.</w:t>
      </w:r>
    </w:p>
    <w:p w14:paraId="7F80BEDC" w14:textId="1FC38F89" w:rsidR="00C22E62" w:rsidRPr="00747E35" w:rsidRDefault="00C22E62" w:rsidP="00C22E62">
      <w:pPr>
        <w:rPr>
          <w:rFonts w:asciiTheme="minorHAnsi" w:hAnsiTheme="minorHAnsi" w:cstheme="minorHAnsi"/>
        </w:rPr>
      </w:pPr>
      <w:bookmarkStart w:id="16" w:name="_GoBack"/>
      <w:r>
        <w:rPr>
          <w:noProof/>
          <w:lang w:val="en-AU" w:eastAsia="en-AU"/>
        </w:rPr>
        <w:drawing>
          <wp:inline distT="0" distB="0" distL="0" distR="0" wp14:anchorId="2C663777" wp14:editId="7919515E">
            <wp:extent cx="6108951" cy="2749247"/>
            <wp:effectExtent l="0" t="0" r="6350" b="0"/>
            <wp:docPr id="17" name="Picture 17" descr="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6127421" cy="2757559"/>
                    </a:xfrm>
                    <a:prstGeom prst="rect">
                      <a:avLst/>
                    </a:prstGeom>
                    <a:noFill/>
                  </pic:spPr>
                </pic:pic>
              </a:graphicData>
            </a:graphic>
          </wp:inline>
        </w:drawing>
      </w:r>
      <w:bookmarkEnd w:id="16"/>
    </w:p>
    <w:p w14:paraId="0F820CE3" w14:textId="199B9CF7" w:rsidR="00697C1D" w:rsidRPr="00747E35" w:rsidRDefault="00697C1D" w:rsidP="00A15951">
      <w:pPr>
        <w:pStyle w:val="Caption"/>
        <w:numPr>
          <w:ilvl w:val="0"/>
          <w:numId w:val="0"/>
        </w:numPr>
        <w:rPr>
          <w:rFonts w:cstheme="minorHAnsi"/>
        </w:rPr>
      </w:pPr>
      <w:bookmarkStart w:id="17" w:name="_Ref469046171"/>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w:t>
      </w:r>
      <w:r w:rsidR="009D6600" w:rsidRPr="00747E35">
        <w:rPr>
          <w:rFonts w:cstheme="minorHAnsi"/>
          <w:noProof/>
        </w:rPr>
        <w:fldChar w:fldCharType="end"/>
      </w:r>
      <w:bookmarkEnd w:id="17"/>
      <w:r w:rsidRPr="00747E35">
        <w:rPr>
          <w:rFonts w:cstheme="minorHAnsi"/>
        </w:rPr>
        <w:t xml:space="preserve">: Main study areas </w:t>
      </w:r>
      <w:r w:rsidR="000E4B99" w:rsidRPr="00747E35">
        <w:rPr>
          <w:rFonts w:cstheme="minorHAnsi"/>
        </w:rPr>
        <w:t xml:space="preserve">including </w:t>
      </w:r>
      <w:r w:rsidR="00464231">
        <w:rPr>
          <w:rFonts w:cstheme="minorHAnsi"/>
        </w:rPr>
        <w:t xml:space="preserve">(a) </w:t>
      </w:r>
      <w:r w:rsidR="000E4B99" w:rsidRPr="00747E35">
        <w:rPr>
          <w:rFonts w:cstheme="minorHAnsi"/>
        </w:rPr>
        <w:t xml:space="preserve">the </w:t>
      </w:r>
      <w:r w:rsidR="00E851A2" w:rsidRPr="00747E35">
        <w:rPr>
          <w:rFonts w:cstheme="minorHAnsi"/>
        </w:rPr>
        <w:t>Great Artesian Basin</w:t>
      </w:r>
      <w:r w:rsidR="00464231">
        <w:rPr>
          <w:rFonts w:cstheme="minorHAnsi"/>
        </w:rPr>
        <w:t xml:space="preserve"> and (b)</w:t>
      </w:r>
      <w:r w:rsidR="00E851A2">
        <w:rPr>
          <w:rFonts w:cstheme="minorHAnsi"/>
        </w:rPr>
        <w:t xml:space="preserve">, the </w:t>
      </w:r>
      <w:r w:rsidRPr="00747E35">
        <w:rPr>
          <w:rFonts w:cstheme="minorHAnsi"/>
        </w:rPr>
        <w:t xml:space="preserve">Bremer River </w:t>
      </w:r>
      <w:r w:rsidR="000E4B99" w:rsidRPr="00747E35">
        <w:rPr>
          <w:rFonts w:cstheme="minorHAnsi"/>
        </w:rPr>
        <w:t>(s</w:t>
      </w:r>
      <w:r w:rsidRPr="00747E35">
        <w:rPr>
          <w:rFonts w:cstheme="minorHAnsi"/>
        </w:rPr>
        <w:t>outh</w:t>
      </w:r>
      <w:r w:rsidR="000E4B99" w:rsidRPr="00747E35">
        <w:rPr>
          <w:rFonts w:cstheme="minorHAnsi"/>
        </w:rPr>
        <w:t>-</w:t>
      </w:r>
      <w:r w:rsidRPr="00747E35">
        <w:rPr>
          <w:rFonts w:cstheme="minorHAnsi"/>
        </w:rPr>
        <w:t>east Queensland</w:t>
      </w:r>
      <w:r w:rsidR="00E851A2">
        <w:rPr>
          <w:rFonts w:cstheme="minorHAnsi"/>
        </w:rPr>
        <w:t>) and</w:t>
      </w:r>
      <w:r w:rsidR="000E4B99" w:rsidRPr="00747E35">
        <w:rPr>
          <w:rFonts w:cstheme="minorHAnsi"/>
        </w:rPr>
        <w:t xml:space="preserve"> </w:t>
      </w:r>
      <w:r w:rsidRPr="00747E35">
        <w:rPr>
          <w:rFonts w:cstheme="minorHAnsi"/>
        </w:rPr>
        <w:t xml:space="preserve">Maules Creek </w:t>
      </w:r>
      <w:r w:rsidR="000E4B99" w:rsidRPr="00747E35">
        <w:rPr>
          <w:rFonts w:cstheme="minorHAnsi"/>
        </w:rPr>
        <w:t xml:space="preserve">(upper Namoi River basin, </w:t>
      </w:r>
      <w:r w:rsidRPr="00747E35">
        <w:rPr>
          <w:rFonts w:cstheme="minorHAnsi"/>
        </w:rPr>
        <w:t>central New South Wales)</w:t>
      </w:r>
      <w:r w:rsidR="00E851A2">
        <w:rPr>
          <w:rFonts w:cstheme="minorHAnsi"/>
        </w:rPr>
        <w:t>.</w:t>
      </w:r>
      <w:r w:rsidR="00464231">
        <w:rPr>
          <w:rFonts w:cstheme="minorHAnsi"/>
        </w:rPr>
        <w:t xml:space="preserve"> Major geological basins in the vicinity of the Bremer River and Maules Creek are also shown.</w:t>
      </w:r>
    </w:p>
    <w:p w14:paraId="0B35269A" w14:textId="5F51D989" w:rsidR="00697C1D" w:rsidRPr="00747E35" w:rsidRDefault="00697C1D" w:rsidP="003D3694">
      <w:pPr>
        <w:rPr>
          <w:rFonts w:asciiTheme="minorHAnsi" w:hAnsiTheme="minorHAnsi" w:cstheme="minorHAnsi"/>
        </w:rPr>
      </w:pPr>
    </w:p>
    <w:p w14:paraId="17FC6C8E"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This report begins (following section) with setting the hydrological context for the range of conditions within streams that are likely to be impacted on by CSG extraction and coal mining activities. We present a basic conceptual synthesis of the role that water plays in different stream ecosystems at different temporal and spatial scales. The subsequent sections of this report are focused on the key research components and their results.  The report concludes with a summary of potential applications of the research and implications for assessment and monitoring of water-related ecological responses to CSG extraction and coal mining development.</w:t>
      </w:r>
    </w:p>
    <w:p w14:paraId="49DD4F43" w14:textId="77777777" w:rsidR="003D3694" w:rsidRPr="00747E35" w:rsidRDefault="003D3694" w:rsidP="003D3694">
      <w:pPr>
        <w:rPr>
          <w:rFonts w:asciiTheme="minorHAnsi" w:hAnsiTheme="minorHAnsi" w:cstheme="minorHAnsi"/>
        </w:rPr>
      </w:pPr>
    </w:p>
    <w:p w14:paraId="4A36A8B6" w14:textId="53C09499" w:rsidR="003D3694" w:rsidRPr="00747E35" w:rsidRDefault="003D3694" w:rsidP="003D3694">
      <w:pPr>
        <w:pStyle w:val="Heading2"/>
        <w:rPr>
          <w:rStyle w:val="Heading2Char"/>
          <w:rFonts w:asciiTheme="minorHAnsi" w:hAnsiTheme="minorHAnsi" w:cstheme="minorHAnsi"/>
          <w:b/>
          <w:bCs/>
        </w:rPr>
      </w:pPr>
      <w:bookmarkStart w:id="18" w:name="_Toc467211673"/>
      <w:bookmarkStart w:id="19" w:name="_Toc470004818"/>
      <w:bookmarkStart w:id="20" w:name="_Toc417654925"/>
      <w:r w:rsidRPr="00747E35">
        <w:rPr>
          <w:rStyle w:val="Heading2Char"/>
          <w:rFonts w:asciiTheme="minorHAnsi" w:hAnsiTheme="minorHAnsi" w:cstheme="minorHAnsi"/>
          <w:b/>
        </w:rPr>
        <w:t xml:space="preserve">Conceptual framework for understanding potential water-related impacts of </w:t>
      </w:r>
      <w:r w:rsidRPr="00747E35">
        <w:rPr>
          <w:rFonts w:asciiTheme="minorHAnsi" w:hAnsiTheme="minorHAnsi" w:cstheme="minorHAnsi"/>
        </w:rPr>
        <w:t>CSG extraction and coal mining</w:t>
      </w:r>
      <w:bookmarkEnd w:id="18"/>
      <w:bookmarkEnd w:id="19"/>
      <w:r w:rsidRPr="00747E35">
        <w:rPr>
          <w:rFonts w:asciiTheme="minorHAnsi" w:hAnsiTheme="minorHAnsi" w:cstheme="minorHAnsi"/>
        </w:rPr>
        <w:t xml:space="preserve"> </w:t>
      </w:r>
      <w:bookmarkEnd w:id="20"/>
    </w:p>
    <w:p w14:paraId="2DF3331F"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Coal seam gas extraction and coal mining can cause a complex range of hydrogeological and hydrochemical impacts and elicit a variety of ecohydrological responses in groundwater-influenced ecosystems.  In this project, we focus on the ecohydrological responses in surface and subsurface ecosystems to groundwater drawdown, a pervasive impact of coal seam gas extraction and coal mining. A series of conceptual representations of potential physical, hydrochemical and ecological responses to groundwater lowering is considered. This conceptual framework informed the development of hypotheses and the overall research plan.</w:t>
      </w:r>
    </w:p>
    <w:p w14:paraId="65FD0067"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lastRenderedPageBreak/>
        <w:t xml:space="preserve">Coal seam gas extraction and coal mining activities are widespread and occur in a range of landscape settings, but low-relief, sedimentary landscapes dominate the major coal-bearing regions.  These landscapes can have complex geology with local and regional aquifers that are highly variable in their hydrogeological parameters (e.g. grain size distribution, permeability and porosity) across broad spatial extents and with depth. Our research focuses on systems where surface water and groundwater are hydraulically connected, whereby abstraction from the groundwater system can affect the quantity (and quality) of the surface water system (SKM 2011). </w:t>
      </w:r>
    </w:p>
    <w:p w14:paraId="36056EF2" w14:textId="34BBA77E" w:rsidR="003D3694" w:rsidRPr="00747E35" w:rsidRDefault="003D3694" w:rsidP="003D3694">
      <w:pPr>
        <w:rPr>
          <w:rFonts w:asciiTheme="minorHAnsi" w:hAnsiTheme="minorHAnsi" w:cstheme="minorHAnsi"/>
        </w:rPr>
      </w:pPr>
      <w:r w:rsidRPr="00747E35">
        <w:rPr>
          <w:rFonts w:asciiTheme="minorHAnsi" w:hAnsiTheme="minorHAnsi" w:cstheme="minorHAnsi"/>
        </w:rPr>
        <w:t>Within this broad definition of connected water systems, our research program is primarily focused on examining ecological responses to the various stages of transition from a connected surface-groundwater water system to a disconnected surface-groundwater system, as this transition reflects increasing levels of impact of groundwater drawdown associated with CSG extraction and coal mining. Brunner et al. (2009) illustrate five stages of connectivity based on the hydraulic connection of the stream with the underlying aquifer. Our research primarily focused on the surface and near-surface expression of groundwater and the longitudinal extent or continuity of that expression, as well as hyporheic exchange flows and the connectivity between groundwater and stream flow. We have adopted a terminology for surface-groundwater interaction regimes that combines the cross-section descriptions of Brunner et al</w:t>
      </w:r>
      <w:r w:rsidR="005E04D7">
        <w:rPr>
          <w:rFonts w:asciiTheme="minorHAnsi" w:hAnsiTheme="minorHAnsi" w:cstheme="minorHAnsi"/>
        </w:rPr>
        <w:t>.</w:t>
      </w:r>
      <w:r w:rsidRPr="00747E35">
        <w:rPr>
          <w:rFonts w:asciiTheme="minorHAnsi" w:hAnsiTheme="minorHAnsi" w:cstheme="minorHAnsi"/>
        </w:rPr>
        <w:t xml:space="preserve"> (2009) with a typology described by SKM (2011), which includes the notion of longitudinal connection. In this way, we can apply the four-dimensional representation (longitudinal, vertical, lateral and temporal) of lotic systems. We conceptualise five basic states of the surface-groundwater system (</w:t>
      </w:r>
      <w:r w:rsidRPr="00747E35">
        <w:rPr>
          <w:rFonts w:asciiTheme="minorHAnsi" w:hAnsiTheme="minorHAnsi" w:cstheme="minorHAnsi"/>
        </w:rPr>
        <w:fldChar w:fldCharType="begin"/>
      </w:r>
      <w:r w:rsidRPr="00747E35">
        <w:rPr>
          <w:rFonts w:asciiTheme="minorHAnsi" w:hAnsiTheme="minorHAnsi" w:cstheme="minorHAnsi"/>
        </w:rPr>
        <w:instrText xml:space="preserve"> REF _Ref416346223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w:t>
      </w:r>
      <w:r w:rsidRPr="00747E35">
        <w:rPr>
          <w:rFonts w:asciiTheme="minorHAnsi" w:hAnsiTheme="minorHAnsi" w:cstheme="minorHAnsi"/>
        </w:rPr>
        <w:fldChar w:fldCharType="end"/>
      </w:r>
      <w:r w:rsidRPr="00747E35">
        <w:rPr>
          <w:rFonts w:asciiTheme="minorHAnsi" w:hAnsiTheme="minorHAnsi" w:cstheme="minorHAnsi"/>
        </w:rPr>
        <w:t xml:space="preserve">): </w:t>
      </w:r>
    </w:p>
    <w:p w14:paraId="097E199A" w14:textId="3168748E" w:rsidR="003D3694" w:rsidRPr="00747E35" w:rsidRDefault="003D3694" w:rsidP="0083624F">
      <w:pPr>
        <w:pStyle w:val="ListParagraph"/>
        <w:numPr>
          <w:ilvl w:val="0"/>
          <w:numId w:val="7"/>
        </w:numPr>
        <w:adjustRightInd w:val="0"/>
        <w:spacing w:before="60" w:after="120" w:line="240" w:lineRule="auto"/>
        <w:contextualSpacing w:val="0"/>
        <w:jc w:val="both"/>
        <w:rPr>
          <w:rFonts w:asciiTheme="minorHAnsi" w:hAnsiTheme="minorHAnsi" w:cstheme="minorHAnsi"/>
        </w:rPr>
      </w:pPr>
      <w:r w:rsidRPr="00747E35">
        <w:rPr>
          <w:rFonts w:asciiTheme="minorHAnsi" w:hAnsiTheme="minorHAnsi" w:cstheme="minorHAnsi"/>
        </w:rPr>
        <w:t>Gaining with perennial surface flow: A gaining stream (the groundwater hydraulic gradient is toward the stream), with continuous or near continuous surface flow (</w:t>
      </w:r>
      <w:r w:rsidRPr="00747E35">
        <w:rPr>
          <w:rFonts w:asciiTheme="minorHAnsi" w:hAnsiTheme="minorHAnsi" w:cstheme="minorHAnsi"/>
        </w:rPr>
        <w:fldChar w:fldCharType="begin"/>
      </w:r>
      <w:r w:rsidRPr="00747E35">
        <w:rPr>
          <w:rFonts w:asciiTheme="minorHAnsi" w:hAnsiTheme="minorHAnsi" w:cstheme="minorHAnsi"/>
        </w:rPr>
        <w:instrText xml:space="preserve"> REF _Ref416346223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w:t>
      </w:r>
      <w:r w:rsidRPr="00747E35">
        <w:rPr>
          <w:rFonts w:asciiTheme="minorHAnsi" w:hAnsiTheme="minorHAnsi" w:cstheme="minorHAnsi"/>
        </w:rPr>
        <w:fldChar w:fldCharType="end"/>
      </w:r>
      <w:r w:rsidRPr="00747E35">
        <w:rPr>
          <w:rFonts w:asciiTheme="minorHAnsi" w:hAnsiTheme="minorHAnsi" w:cstheme="minorHAnsi"/>
        </w:rPr>
        <w:t xml:space="preserve">a). In a gaining stream with perennial surface flow, water exchange through the </w:t>
      </w:r>
      <w:r w:rsidR="000E6336">
        <w:rPr>
          <w:rFonts w:asciiTheme="minorHAnsi" w:hAnsiTheme="minorHAnsi" w:cstheme="minorHAnsi"/>
        </w:rPr>
        <w:t>streambed</w:t>
      </w:r>
      <w:r w:rsidRPr="00747E35">
        <w:rPr>
          <w:rFonts w:asciiTheme="minorHAnsi" w:hAnsiTheme="minorHAnsi" w:cstheme="minorHAnsi"/>
        </w:rPr>
        <w:t xml:space="preserve"> is dominated by regional groundwater discharge, but variations in the streambed geometry and pressure distribution will support local hyporheic exchange (local down- and upwelling over relative short time and length scales). The surface water quality is dominated by aerobic processes associated with turbulent aeration due to free flow over riffles. </w:t>
      </w:r>
    </w:p>
    <w:p w14:paraId="45A8DAB3" w14:textId="35992B3B" w:rsidR="003D3694" w:rsidRPr="00747E35" w:rsidRDefault="003D3694" w:rsidP="0083624F">
      <w:pPr>
        <w:pStyle w:val="ListParagraph"/>
        <w:numPr>
          <w:ilvl w:val="0"/>
          <w:numId w:val="7"/>
        </w:numPr>
        <w:adjustRightInd w:val="0"/>
        <w:spacing w:before="60" w:after="120" w:line="240" w:lineRule="auto"/>
        <w:contextualSpacing w:val="0"/>
        <w:jc w:val="both"/>
        <w:rPr>
          <w:rFonts w:asciiTheme="minorHAnsi" w:hAnsiTheme="minorHAnsi" w:cstheme="minorHAnsi"/>
        </w:rPr>
      </w:pPr>
      <w:r w:rsidRPr="00747E35">
        <w:rPr>
          <w:rFonts w:asciiTheme="minorHAnsi" w:hAnsiTheme="minorHAnsi" w:cstheme="minorHAnsi"/>
        </w:rPr>
        <w:t xml:space="preserve">Gaining with intermittent surface flow: A gaining stream, where stream pools are supplied by the groundwater (upwelling) and are permanent or near permanent, but where surface flow over riffles is due only to surface inflow related to storms. At other times flow between pools is via the </w:t>
      </w:r>
      <w:r w:rsidR="006B2C7A">
        <w:rPr>
          <w:rFonts w:asciiTheme="minorHAnsi" w:hAnsiTheme="minorHAnsi" w:cstheme="minorHAnsi"/>
        </w:rPr>
        <w:t>subsurface</w:t>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_Ref416346223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w:t>
      </w:r>
      <w:r w:rsidRPr="00747E35">
        <w:rPr>
          <w:rFonts w:asciiTheme="minorHAnsi" w:hAnsiTheme="minorHAnsi" w:cstheme="minorHAnsi"/>
        </w:rPr>
        <w:fldChar w:fldCharType="end"/>
      </w:r>
      <w:r w:rsidRPr="00747E35">
        <w:rPr>
          <w:rFonts w:asciiTheme="minorHAnsi" w:hAnsiTheme="minorHAnsi" w:cstheme="minorHAnsi"/>
        </w:rPr>
        <w:t>b).</w:t>
      </w:r>
    </w:p>
    <w:p w14:paraId="79DACFE1" w14:textId="7CEAAE70" w:rsidR="003D3694" w:rsidRPr="00747E35" w:rsidRDefault="003D3694" w:rsidP="0083624F">
      <w:pPr>
        <w:pStyle w:val="ListParagraph"/>
        <w:numPr>
          <w:ilvl w:val="0"/>
          <w:numId w:val="7"/>
        </w:numPr>
        <w:adjustRightInd w:val="0"/>
        <w:spacing w:before="60" w:after="120" w:line="240" w:lineRule="auto"/>
        <w:contextualSpacing w:val="0"/>
        <w:jc w:val="both"/>
        <w:rPr>
          <w:rFonts w:asciiTheme="minorHAnsi" w:hAnsiTheme="minorHAnsi" w:cstheme="minorHAnsi"/>
        </w:rPr>
      </w:pPr>
      <w:r w:rsidRPr="00747E35">
        <w:rPr>
          <w:rFonts w:asciiTheme="minorHAnsi" w:hAnsiTheme="minorHAnsi" w:cstheme="minorHAnsi"/>
        </w:rPr>
        <w:t>Losing-connected with intermittent surface flow: A losing stream (hydraulic gradient is from the stream to the groundwater) where intermittent surface flow results from overland flow and from upstream reaches (</w:t>
      </w:r>
      <w:r w:rsidRPr="00747E35">
        <w:rPr>
          <w:rFonts w:asciiTheme="minorHAnsi" w:hAnsiTheme="minorHAnsi" w:cstheme="minorHAnsi"/>
        </w:rPr>
        <w:fldChar w:fldCharType="begin"/>
      </w:r>
      <w:r w:rsidRPr="00747E35">
        <w:rPr>
          <w:rFonts w:asciiTheme="minorHAnsi" w:hAnsiTheme="minorHAnsi" w:cstheme="minorHAnsi"/>
        </w:rPr>
        <w:instrText xml:space="preserve"> REF _Ref416346223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w:t>
      </w:r>
      <w:r w:rsidRPr="00747E35">
        <w:rPr>
          <w:rFonts w:asciiTheme="minorHAnsi" w:hAnsiTheme="minorHAnsi" w:cstheme="minorHAnsi"/>
        </w:rPr>
        <w:fldChar w:fldCharType="end"/>
      </w:r>
      <w:r w:rsidRPr="00747E35">
        <w:rPr>
          <w:rFonts w:asciiTheme="minorHAnsi" w:hAnsiTheme="minorHAnsi" w:cstheme="minorHAnsi"/>
        </w:rPr>
        <w:t>c). Compared to a gaining stream with intermittent surface flow (</w:t>
      </w:r>
      <w:r w:rsidRPr="00747E35">
        <w:rPr>
          <w:rFonts w:asciiTheme="minorHAnsi" w:hAnsiTheme="minorHAnsi" w:cstheme="minorHAnsi"/>
        </w:rPr>
        <w:fldChar w:fldCharType="begin"/>
      </w:r>
      <w:r w:rsidRPr="00747E35">
        <w:rPr>
          <w:rFonts w:asciiTheme="minorHAnsi" w:hAnsiTheme="minorHAnsi" w:cstheme="minorHAnsi"/>
        </w:rPr>
        <w:instrText xml:space="preserve"> REF _Ref416346223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w:t>
      </w:r>
      <w:r w:rsidRPr="00747E35">
        <w:rPr>
          <w:rFonts w:asciiTheme="minorHAnsi" w:hAnsiTheme="minorHAnsi" w:cstheme="minorHAnsi"/>
        </w:rPr>
        <w:fldChar w:fldCharType="end"/>
      </w:r>
      <w:r w:rsidRPr="00747E35">
        <w:rPr>
          <w:rFonts w:asciiTheme="minorHAnsi" w:hAnsiTheme="minorHAnsi" w:cstheme="minorHAnsi"/>
        </w:rPr>
        <w:t xml:space="preserve">b), a losing stream with intermittent surface flow has a net loss of water through the hyporheic zone (downwelling). Where the region between the </w:t>
      </w:r>
      <w:r w:rsidR="000E6336">
        <w:rPr>
          <w:rFonts w:asciiTheme="minorHAnsi" w:hAnsiTheme="minorHAnsi" w:cstheme="minorHAnsi"/>
        </w:rPr>
        <w:t>streambed</w:t>
      </w:r>
      <w:r w:rsidRPr="00747E35">
        <w:rPr>
          <w:rFonts w:asciiTheme="minorHAnsi" w:hAnsiTheme="minorHAnsi" w:cstheme="minorHAnsi"/>
        </w:rPr>
        <w:t xml:space="preserve"> and the groundwater is fully saturated, the surface-groundwater system is hydraulically connected. </w:t>
      </w:r>
    </w:p>
    <w:p w14:paraId="5A65D62F" w14:textId="53AC8DB2" w:rsidR="003D3694" w:rsidRPr="00747E35" w:rsidRDefault="003D3694" w:rsidP="0083624F">
      <w:pPr>
        <w:pStyle w:val="ListParagraph"/>
        <w:numPr>
          <w:ilvl w:val="0"/>
          <w:numId w:val="7"/>
        </w:numPr>
        <w:adjustRightInd w:val="0"/>
        <w:spacing w:before="60" w:after="120" w:line="240" w:lineRule="auto"/>
        <w:contextualSpacing w:val="0"/>
        <w:jc w:val="both"/>
        <w:rPr>
          <w:rFonts w:asciiTheme="minorHAnsi" w:hAnsiTheme="minorHAnsi" w:cstheme="minorHAnsi"/>
        </w:rPr>
      </w:pPr>
      <w:r w:rsidRPr="00747E35">
        <w:rPr>
          <w:rFonts w:asciiTheme="minorHAnsi" w:hAnsiTheme="minorHAnsi" w:cstheme="minorHAnsi"/>
        </w:rPr>
        <w:t xml:space="preserve">Losing-transition (Brunner et al. 2009) with intermittent surface flow: A losing stream where there is an unsaturated zone between the </w:t>
      </w:r>
      <w:r w:rsidR="000E6336">
        <w:rPr>
          <w:rFonts w:asciiTheme="minorHAnsi" w:hAnsiTheme="minorHAnsi" w:cstheme="minorHAnsi"/>
        </w:rPr>
        <w:t>streambed</w:t>
      </w:r>
      <w:r w:rsidRPr="00747E35">
        <w:rPr>
          <w:rFonts w:asciiTheme="minorHAnsi" w:hAnsiTheme="minorHAnsi" w:cstheme="minorHAnsi"/>
        </w:rPr>
        <w:t xml:space="preserve"> and the water table (partially disconnected) but the capillary fringe extends from the water table to the </w:t>
      </w:r>
      <w:r w:rsidR="000E6336">
        <w:rPr>
          <w:rFonts w:asciiTheme="minorHAnsi" w:hAnsiTheme="minorHAnsi" w:cstheme="minorHAnsi"/>
        </w:rPr>
        <w:t>streambed</w:t>
      </w:r>
      <w:r w:rsidRPr="00747E35">
        <w:rPr>
          <w:rFonts w:asciiTheme="minorHAnsi" w:hAnsiTheme="minorHAnsi" w:cstheme="minorHAnsi"/>
        </w:rPr>
        <w:t>. Surface flow is intermittent and is from periodic overland flow and from upstream reaches (</w:t>
      </w:r>
      <w:r w:rsidRPr="00747E35">
        <w:rPr>
          <w:rFonts w:asciiTheme="minorHAnsi" w:hAnsiTheme="minorHAnsi" w:cstheme="minorHAnsi"/>
        </w:rPr>
        <w:fldChar w:fldCharType="begin"/>
      </w:r>
      <w:r w:rsidRPr="00747E35">
        <w:rPr>
          <w:rFonts w:asciiTheme="minorHAnsi" w:hAnsiTheme="minorHAnsi" w:cstheme="minorHAnsi"/>
        </w:rPr>
        <w:instrText xml:space="preserve"> REF _Ref416346223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w:t>
      </w:r>
      <w:r w:rsidRPr="00747E35">
        <w:rPr>
          <w:rFonts w:asciiTheme="minorHAnsi" w:hAnsiTheme="minorHAnsi" w:cstheme="minorHAnsi"/>
        </w:rPr>
        <w:fldChar w:fldCharType="end"/>
      </w:r>
      <w:r w:rsidRPr="00747E35">
        <w:rPr>
          <w:rFonts w:asciiTheme="minorHAnsi" w:hAnsiTheme="minorHAnsi" w:cstheme="minorHAnsi"/>
        </w:rPr>
        <w:t>d). Riparian and floodplain vegetation may be able to access groundwater even though it is disconnected from the stream. However, further lowering of the water table may render this water source unavailable for vegetation.</w:t>
      </w:r>
    </w:p>
    <w:p w14:paraId="0FD6B533" w14:textId="6259672F" w:rsidR="003D3694" w:rsidRPr="00747E35" w:rsidRDefault="003D3694" w:rsidP="0083624F">
      <w:pPr>
        <w:pStyle w:val="ListParagraph"/>
        <w:numPr>
          <w:ilvl w:val="0"/>
          <w:numId w:val="7"/>
        </w:numPr>
        <w:adjustRightInd w:val="0"/>
        <w:spacing w:before="60" w:after="120" w:line="240" w:lineRule="auto"/>
        <w:contextualSpacing w:val="0"/>
        <w:jc w:val="both"/>
        <w:rPr>
          <w:rFonts w:asciiTheme="minorHAnsi" w:hAnsiTheme="minorHAnsi" w:cstheme="minorHAnsi"/>
        </w:rPr>
      </w:pPr>
      <w:r w:rsidRPr="00747E35">
        <w:rPr>
          <w:rFonts w:asciiTheme="minorHAnsi" w:hAnsiTheme="minorHAnsi" w:cstheme="minorHAnsi"/>
        </w:rPr>
        <w:t xml:space="preserve">Losing fully disconnected: A losing stream where there is an unsaturated zone between the </w:t>
      </w:r>
      <w:r w:rsidR="000E6336">
        <w:rPr>
          <w:rFonts w:asciiTheme="minorHAnsi" w:hAnsiTheme="minorHAnsi" w:cstheme="minorHAnsi"/>
        </w:rPr>
        <w:t>streambed</w:t>
      </w:r>
      <w:r w:rsidRPr="00747E35">
        <w:rPr>
          <w:rFonts w:asciiTheme="minorHAnsi" w:hAnsiTheme="minorHAnsi" w:cstheme="minorHAnsi"/>
        </w:rPr>
        <w:t xml:space="preserve"> and groundwater (disconnected) as in </w:t>
      </w:r>
      <w:r w:rsidRPr="00747E35">
        <w:rPr>
          <w:rFonts w:asciiTheme="minorHAnsi" w:hAnsiTheme="minorHAnsi" w:cstheme="minorHAnsi"/>
        </w:rPr>
        <w:fldChar w:fldCharType="begin"/>
      </w:r>
      <w:r w:rsidRPr="00747E35">
        <w:rPr>
          <w:rFonts w:asciiTheme="minorHAnsi" w:hAnsiTheme="minorHAnsi" w:cstheme="minorHAnsi"/>
        </w:rPr>
        <w:instrText xml:space="preserve"> REF _Ref416346223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w:t>
      </w:r>
      <w:r w:rsidRPr="00747E35">
        <w:rPr>
          <w:rFonts w:asciiTheme="minorHAnsi" w:hAnsiTheme="minorHAnsi" w:cstheme="minorHAnsi"/>
        </w:rPr>
        <w:fldChar w:fldCharType="end"/>
      </w:r>
      <w:r w:rsidRPr="00747E35">
        <w:rPr>
          <w:rFonts w:asciiTheme="minorHAnsi" w:hAnsiTheme="minorHAnsi" w:cstheme="minorHAnsi"/>
        </w:rPr>
        <w:t xml:space="preserve">d but where the capillary fringe extending up from the water table does not intersect the </w:t>
      </w:r>
      <w:r w:rsidR="000E6336">
        <w:rPr>
          <w:rFonts w:asciiTheme="minorHAnsi" w:hAnsiTheme="minorHAnsi" w:cstheme="minorHAnsi"/>
        </w:rPr>
        <w:t>streambed</w:t>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_Ref416346223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w:t>
      </w:r>
      <w:r w:rsidRPr="00747E35">
        <w:rPr>
          <w:rFonts w:asciiTheme="minorHAnsi" w:hAnsiTheme="minorHAnsi" w:cstheme="minorHAnsi"/>
        </w:rPr>
        <w:fldChar w:fldCharType="end"/>
      </w:r>
      <w:r w:rsidRPr="00747E35">
        <w:rPr>
          <w:rFonts w:asciiTheme="minorHAnsi" w:hAnsiTheme="minorHAnsi" w:cstheme="minorHAnsi"/>
        </w:rPr>
        <w:t>e). Further lowering of the water table in a losing-disconnected stream (</w:t>
      </w:r>
      <w:r w:rsidRPr="00747E35">
        <w:rPr>
          <w:rFonts w:asciiTheme="minorHAnsi" w:hAnsiTheme="minorHAnsi" w:cstheme="minorHAnsi"/>
        </w:rPr>
        <w:fldChar w:fldCharType="begin"/>
      </w:r>
      <w:r w:rsidRPr="00747E35">
        <w:rPr>
          <w:rFonts w:asciiTheme="minorHAnsi" w:hAnsiTheme="minorHAnsi" w:cstheme="minorHAnsi"/>
        </w:rPr>
        <w:instrText xml:space="preserve"> REF _Ref416346223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w:t>
      </w:r>
      <w:r w:rsidRPr="00747E35">
        <w:rPr>
          <w:rFonts w:asciiTheme="minorHAnsi" w:hAnsiTheme="minorHAnsi" w:cstheme="minorHAnsi"/>
        </w:rPr>
        <w:fldChar w:fldCharType="end"/>
      </w:r>
      <w:r w:rsidRPr="00747E35">
        <w:rPr>
          <w:rFonts w:asciiTheme="minorHAnsi" w:hAnsiTheme="minorHAnsi" w:cstheme="minorHAnsi"/>
        </w:rPr>
        <w:t xml:space="preserve">c) has little effect on the rate of water loss from the surface water system. </w:t>
      </w:r>
    </w:p>
    <w:p w14:paraId="3AF21D20" w14:textId="77777777" w:rsidR="003D3694" w:rsidRPr="00747E35" w:rsidRDefault="003D3694" w:rsidP="003D3694">
      <w:pPr>
        <w:rPr>
          <w:rFonts w:asciiTheme="minorHAnsi" w:hAnsiTheme="minorHAnsi" w:cstheme="minorHAnsi"/>
        </w:rPr>
      </w:pPr>
    </w:p>
    <w:p w14:paraId="755425EB" w14:textId="62502733" w:rsidR="003D3694" w:rsidRPr="00747E35" w:rsidRDefault="003D3694" w:rsidP="003D3694">
      <w:pPr>
        <w:rPr>
          <w:rFonts w:asciiTheme="minorHAnsi" w:hAnsiTheme="minorHAnsi" w:cstheme="minorHAnsi"/>
        </w:rPr>
      </w:pPr>
      <w:r w:rsidRPr="00747E35">
        <w:rPr>
          <w:rFonts w:asciiTheme="minorHAnsi" w:hAnsiTheme="minorHAnsi" w:cstheme="minorHAnsi"/>
        </w:rPr>
        <w:lastRenderedPageBreak/>
        <w:t xml:space="preserve">All the types of surface-groundwater connections represented in </w:t>
      </w:r>
      <w:r w:rsidRPr="00747E35">
        <w:rPr>
          <w:rFonts w:asciiTheme="minorHAnsi" w:hAnsiTheme="minorHAnsi" w:cstheme="minorHAnsi"/>
        </w:rPr>
        <w:fldChar w:fldCharType="begin"/>
      </w:r>
      <w:r w:rsidRPr="00747E35">
        <w:rPr>
          <w:rFonts w:asciiTheme="minorHAnsi" w:hAnsiTheme="minorHAnsi" w:cstheme="minorHAnsi"/>
        </w:rPr>
        <w:instrText xml:space="preserve"> REF _Ref416346223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w:t>
      </w:r>
      <w:r w:rsidRPr="00747E35">
        <w:rPr>
          <w:rFonts w:asciiTheme="minorHAnsi" w:hAnsiTheme="minorHAnsi" w:cstheme="minorHAnsi"/>
        </w:rPr>
        <w:fldChar w:fldCharType="end"/>
      </w:r>
      <w:r w:rsidRPr="00747E35">
        <w:rPr>
          <w:rFonts w:asciiTheme="minorHAnsi" w:hAnsiTheme="minorHAnsi" w:cstheme="minorHAnsi"/>
        </w:rPr>
        <w:t xml:space="preserve"> naturally occur within stream networks. The focus of this research program is to consider the ecological implications of the transition from one surface-groundwater configuration to the next (summarised in </w:t>
      </w:r>
      <w:r w:rsidRPr="00747E35">
        <w:rPr>
          <w:rFonts w:asciiTheme="minorHAnsi" w:hAnsiTheme="minorHAnsi" w:cstheme="minorHAnsi"/>
        </w:rPr>
        <w:fldChar w:fldCharType="begin"/>
      </w:r>
      <w:r w:rsidRPr="00747E35">
        <w:rPr>
          <w:rFonts w:asciiTheme="minorHAnsi" w:hAnsiTheme="minorHAnsi" w:cstheme="minorHAnsi"/>
        </w:rPr>
        <w:instrText xml:space="preserve"> REF _Ref416346445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w:t>
      </w:r>
      <w:r w:rsidRPr="00747E35">
        <w:rPr>
          <w:rFonts w:asciiTheme="minorHAnsi" w:hAnsiTheme="minorHAnsi" w:cstheme="minorHAnsi"/>
        </w:rPr>
        <w:fldChar w:fldCharType="end"/>
      </w:r>
      <w:r w:rsidRPr="00747E35">
        <w:rPr>
          <w:rFonts w:asciiTheme="minorHAnsi" w:hAnsiTheme="minorHAnsi" w:cstheme="minorHAnsi"/>
        </w:rPr>
        <w:t>) as an analogue for progressive groundwater drawdown due to CSG extraction and coal mining</w:t>
      </w:r>
      <w:r w:rsidRPr="00747E35" w:rsidDel="008A72CA">
        <w:rPr>
          <w:rFonts w:asciiTheme="minorHAnsi" w:hAnsiTheme="minorHAnsi" w:cstheme="minorHAnsi"/>
        </w:rPr>
        <w:t xml:space="preserve"> </w:t>
      </w:r>
      <w:r w:rsidRPr="00747E35">
        <w:rPr>
          <w:rFonts w:asciiTheme="minorHAnsi" w:hAnsiTheme="minorHAnsi" w:cstheme="minorHAnsi"/>
        </w:rPr>
        <w:t xml:space="preserve">activities. </w:t>
      </w:r>
    </w:p>
    <w:p w14:paraId="383FABA5" w14:textId="77777777" w:rsidR="003D3694" w:rsidRPr="00747E35" w:rsidRDefault="003D3694" w:rsidP="003D3694">
      <w:pPr>
        <w:rPr>
          <w:rFonts w:asciiTheme="minorHAnsi" w:hAnsiTheme="minorHAnsi" w:cstheme="minorHAnsi"/>
        </w:rPr>
      </w:pPr>
    </w:p>
    <w:p w14:paraId="7DA8BBC5" w14:textId="77777777" w:rsidR="003D3694" w:rsidRPr="00747E35" w:rsidRDefault="003D3694" w:rsidP="003D3694">
      <w:pPr>
        <w:rPr>
          <w:rFonts w:asciiTheme="minorHAnsi" w:hAnsiTheme="minorHAnsi" w:cstheme="minorHAnsi"/>
        </w:rPr>
      </w:pPr>
    </w:p>
    <w:p w14:paraId="4D3864CF" w14:textId="77777777" w:rsidR="003D3694" w:rsidRPr="00747E35" w:rsidRDefault="003D3694" w:rsidP="003D3694">
      <w:pPr>
        <w:rPr>
          <w:rFonts w:asciiTheme="minorHAnsi" w:hAnsiTheme="minorHAnsi" w:cstheme="minorHAnsi"/>
        </w:rPr>
        <w:sectPr w:rsidR="003D3694" w:rsidRPr="00747E35" w:rsidSect="0096743A">
          <w:footerReference w:type="default" r:id="rId30"/>
          <w:pgSz w:w="11906" w:h="16838"/>
          <w:pgMar w:top="1134" w:right="1134" w:bottom="1134" w:left="1134" w:header="709" w:footer="709" w:gutter="0"/>
          <w:cols w:space="708"/>
          <w:docGrid w:linePitch="360"/>
        </w:sectPr>
      </w:pPr>
    </w:p>
    <w:p w14:paraId="078036F0"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0F559CCF" wp14:editId="147C3363">
            <wp:extent cx="6655981" cy="6022711"/>
            <wp:effectExtent l="0" t="0" r="0" b="0"/>
            <wp:docPr id="14359" name="Picture 14359" descr="Dia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6665883" cy="6031671"/>
                    </a:xfrm>
                    <a:prstGeom prst="rect">
                      <a:avLst/>
                    </a:prstGeom>
                    <a:noFill/>
                  </pic:spPr>
                </pic:pic>
              </a:graphicData>
            </a:graphic>
          </wp:inline>
        </w:drawing>
      </w:r>
    </w:p>
    <w:p w14:paraId="5CC85194" w14:textId="77777777" w:rsidR="003D3694" w:rsidRPr="00747E35" w:rsidRDefault="003D3694" w:rsidP="00A15951">
      <w:pPr>
        <w:pStyle w:val="Caption"/>
        <w:numPr>
          <w:ilvl w:val="0"/>
          <w:numId w:val="0"/>
        </w:numPr>
        <w:rPr>
          <w:rFonts w:cstheme="minorHAnsi"/>
        </w:rPr>
      </w:pPr>
      <w:bookmarkStart w:id="21" w:name="_Ref416346223"/>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2</w:t>
      </w:r>
      <w:r w:rsidR="009D6600" w:rsidRPr="00747E35">
        <w:rPr>
          <w:rFonts w:cstheme="minorHAnsi"/>
          <w:noProof/>
        </w:rPr>
        <w:fldChar w:fldCharType="end"/>
      </w:r>
      <w:bookmarkEnd w:id="21"/>
      <w:r w:rsidRPr="00747E35">
        <w:rPr>
          <w:rFonts w:cstheme="minorHAnsi"/>
        </w:rPr>
        <w:t>: Conceptualisation of streams with different surface-groundwater configurations represented in four dimensions (vertical, lateral, longitudinal and temporal, respectively). a) Gaining with perennial surface flow, b) Gaining with intermittent surface flow, c) Losing-connected with intermittent surface flow, d) Losing-transition with intermittent surface flow, and e) Losing fully disconnected.</w:t>
      </w:r>
    </w:p>
    <w:p w14:paraId="0BEE840B" w14:textId="77777777" w:rsidR="003D3694" w:rsidRPr="00747E35" w:rsidRDefault="003D3694" w:rsidP="003D3694">
      <w:pPr>
        <w:rPr>
          <w:rFonts w:asciiTheme="minorHAnsi" w:hAnsiTheme="minorHAnsi" w:cstheme="minorHAnsi"/>
        </w:rPr>
        <w:sectPr w:rsidR="003D3694" w:rsidRPr="00747E35" w:rsidSect="0096743A">
          <w:pgSz w:w="11906" w:h="16838"/>
          <w:pgMar w:top="720" w:right="720" w:bottom="720" w:left="720" w:header="708" w:footer="708" w:gutter="0"/>
          <w:cols w:space="708"/>
          <w:docGrid w:linePitch="360"/>
        </w:sectPr>
      </w:pPr>
    </w:p>
    <w:p w14:paraId="584C5557" w14:textId="0FAEA253" w:rsidR="003D3694" w:rsidRPr="00747E35" w:rsidRDefault="003D3694" w:rsidP="00A15951">
      <w:pPr>
        <w:pStyle w:val="Caption"/>
        <w:numPr>
          <w:ilvl w:val="0"/>
          <w:numId w:val="0"/>
        </w:numPr>
        <w:rPr>
          <w:rFonts w:cstheme="minorHAnsi"/>
        </w:rPr>
      </w:pPr>
      <w:bookmarkStart w:id="22" w:name="_Ref416346445"/>
      <w:bookmarkStart w:id="23" w:name="_Ref416346365"/>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1</w:t>
      </w:r>
      <w:r w:rsidR="009D6600" w:rsidRPr="00747E35">
        <w:rPr>
          <w:rFonts w:cstheme="minorHAnsi"/>
          <w:noProof/>
        </w:rPr>
        <w:fldChar w:fldCharType="end"/>
      </w:r>
      <w:bookmarkEnd w:id="22"/>
      <w:r w:rsidRPr="00747E35">
        <w:rPr>
          <w:rFonts w:cstheme="minorHAnsi"/>
        </w:rPr>
        <w:t>: Key physical changes that result from transition from one surface-groundwater configuration to the next as may be expected to occur in response to groundwater drawdown.</w:t>
      </w:r>
      <w:bookmarkEnd w:id="23"/>
      <w:r w:rsidR="0096743A" w:rsidRPr="00747E35">
        <w:rPr>
          <w:rFonts w:cstheme="minorHAnsi"/>
        </w:rPr>
        <w:t xml:space="preserve"> Study sites characteris</w:t>
      </w:r>
      <w:r w:rsidRPr="00747E35">
        <w:rPr>
          <w:rFonts w:cstheme="minorHAnsi"/>
        </w:rPr>
        <w:t>ing each transition state is also listed for each case.</w:t>
      </w:r>
    </w:p>
    <w:tbl>
      <w:tblPr>
        <w:tblW w:w="15588"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Look w:val="04A0" w:firstRow="1" w:lastRow="0" w:firstColumn="1" w:lastColumn="0" w:noHBand="0" w:noVBand="1"/>
      </w:tblPr>
      <w:tblGrid>
        <w:gridCol w:w="675"/>
        <w:gridCol w:w="4849"/>
        <w:gridCol w:w="4961"/>
        <w:gridCol w:w="5103"/>
      </w:tblGrid>
      <w:tr w:rsidR="003D3694" w:rsidRPr="00747E35" w14:paraId="3813FB34" w14:textId="77777777" w:rsidTr="00B004E4">
        <w:tc>
          <w:tcPr>
            <w:tcW w:w="675" w:type="dxa"/>
            <w:shd w:val="clear" w:color="auto" w:fill="DEEAF6" w:themeFill="accent1" w:themeFillTint="33"/>
          </w:tcPr>
          <w:p w14:paraId="0372BF0E" w14:textId="77777777" w:rsidR="003D3694" w:rsidRPr="00747E35" w:rsidRDefault="003D3694" w:rsidP="0096743A">
            <w:pPr>
              <w:pStyle w:val="TableHead"/>
              <w:rPr>
                <w:rFonts w:asciiTheme="minorHAnsi" w:hAnsiTheme="minorHAnsi" w:cstheme="minorHAnsi"/>
              </w:rPr>
            </w:pPr>
            <w:r w:rsidRPr="00747E35">
              <w:rPr>
                <w:rFonts w:asciiTheme="minorHAnsi" w:hAnsiTheme="minorHAnsi" w:cstheme="minorHAnsi"/>
              </w:rPr>
              <w:t>Case</w:t>
            </w:r>
          </w:p>
        </w:tc>
        <w:tc>
          <w:tcPr>
            <w:tcW w:w="4849" w:type="dxa"/>
            <w:shd w:val="clear" w:color="auto" w:fill="DEEAF6" w:themeFill="accent1" w:themeFillTint="33"/>
          </w:tcPr>
          <w:p w14:paraId="64182465" w14:textId="77777777" w:rsidR="003D3694" w:rsidRPr="00747E35" w:rsidRDefault="003D3694" w:rsidP="0096743A">
            <w:pPr>
              <w:pStyle w:val="TableHead"/>
              <w:rPr>
                <w:rFonts w:asciiTheme="minorHAnsi" w:hAnsiTheme="minorHAnsi" w:cstheme="minorHAnsi"/>
              </w:rPr>
            </w:pPr>
            <w:r w:rsidRPr="00747E35">
              <w:rPr>
                <w:rFonts w:asciiTheme="minorHAnsi" w:hAnsiTheme="minorHAnsi" w:cstheme="minorHAnsi"/>
              </w:rPr>
              <w:t>Initial State</w:t>
            </w:r>
          </w:p>
        </w:tc>
        <w:tc>
          <w:tcPr>
            <w:tcW w:w="4961" w:type="dxa"/>
            <w:shd w:val="clear" w:color="auto" w:fill="DEEAF6" w:themeFill="accent1" w:themeFillTint="33"/>
          </w:tcPr>
          <w:p w14:paraId="0D392C42" w14:textId="77777777" w:rsidR="003D3694" w:rsidRPr="00747E35" w:rsidRDefault="003D3694" w:rsidP="0096743A">
            <w:pPr>
              <w:pStyle w:val="TableHead"/>
              <w:rPr>
                <w:rFonts w:asciiTheme="minorHAnsi" w:hAnsiTheme="minorHAnsi" w:cstheme="minorHAnsi"/>
              </w:rPr>
            </w:pPr>
            <w:r w:rsidRPr="00747E35">
              <w:rPr>
                <w:rFonts w:asciiTheme="minorHAnsi" w:hAnsiTheme="minorHAnsi" w:cstheme="minorHAnsi"/>
              </w:rPr>
              <w:t>End State</w:t>
            </w:r>
          </w:p>
        </w:tc>
        <w:tc>
          <w:tcPr>
            <w:tcW w:w="5103" w:type="dxa"/>
            <w:shd w:val="clear" w:color="auto" w:fill="DEEAF6" w:themeFill="accent1" w:themeFillTint="33"/>
          </w:tcPr>
          <w:p w14:paraId="6563933A" w14:textId="77777777" w:rsidR="003D3694" w:rsidRPr="00747E35" w:rsidRDefault="003D3694" w:rsidP="0096743A">
            <w:pPr>
              <w:pStyle w:val="TableHead"/>
              <w:rPr>
                <w:rFonts w:asciiTheme="minorHAnsi" w:hAnsiTheme="minorHAnsi" w:cstheme="minorHAnsi"/>
              </w:rPr>
            </w:pPr>
            <w:r w:rsidRPr="00747E35">
              <w:rPr>
                <w:rFonts w:asciiTheme="minorHAnsi" w:hAnsiTheme="minorHAnsi" w:cstheme="minorHAnsi"/>
              </w:rPr>
              <w:t>Description of key physical changes expected</w:t>
            </w:r>
          </w:p>
        </w:tc>
      </w:tr>
      <w:tr w:rsidR="003D3694" w:rsidRPr="00747E35" w14:paraId="686DBC3B" w14:textId="77777777" w:rsidTr="00657288">
        <w:tc>
          <w:tcPr>
            <w:tcW w:w="675" w:type="dxa"/>
          </w:tcPr>
          <w:p w14:paraId="7198B947" w14:textId="77777777" w:rsidR="003D3694" w:rsidRPr="00747E35" w:rsidRDefault="003D3694" w:rsidP="0096743A">
            <w:pPr>
              <w:pStyle w:val="Tabletext"/>
              <w:spacing w:before="0" w:after="0"/>
              <w:rPr>
                <w:rFonts w:cstheme="minorHAnsi"/>
              </w:rPr>
            </w:pPr>
            <w:r w:rsidRPr="00747E35">
              <w:rPr>
                <w:rFonts w:cstheme="minorHAnsi"/>
              </w:rPr>
              <w:t>1</w:t>
            </w:r>
          </w:p>
        </w:tc>
        <w:tc>
          <w:tcPr>
            <w:tcW w:w="4849" w:type="dxa"/>
          </w:tcPr>
          <w:p w14:paraId="0B08CC43" w14:textId="77777777" w:rsidR="003D3694" w:rsidRPr="00747E35" w:rsidRDefault="003D3694" w:rsidP="0096743A">
            <w:pPr>
              <w:pStyle w:val="Tabletext"/>
              <w:spacing w:before="0" w:after="0"/>
              <w:rPr>
                <w:rFonts w:cstheme="minorHAnsi"/>
              </w:rPr>
            </w:pPr>
            <w:r w:rsidRPr="00747E35">
              <w:rPr>
                <w:rFonts w:cstheme="minorHAnsi"/>
                <w:noProof/>
                <w:lang w:val="en-AU" w:eastAsia="en-AU"/>
              </w:rPr>
              <w:drawing>
                <wp:inline distT="0" distB="0" distL="0" distR="0" wp14:anchorId="1A2C2D7A" wp14:editId="4202D468">
                  <wp:extent cx="2322830" cy="1103630"/>
                  <wp:effectExtent l="0" t="0" r="1270" b="1270"/>
                  <wp:docPr id="14360" name="Picture 14360" descr="Diagram of creek/river initial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322830" cy="1103630"/>
                          </a:xfrm>
                          <a:prstGeom prst="rect">
                            <a:avLst/>
                          </a:prstGeom>
                          <a:noFill/>
                        </pic:spPr>
                      </pic:pic>
                    </a:graphicData>
                  </a:graphic>
                </wp:inline>
              </w:drawing>
            </w:r>
          </w:p>
          <w:p w14:paraId="6B90D65E" w14:textId="77777777" w:rsidR="003D3694" w:rsidRPr="00747E35" w:rsidRDefault="003D3694" w:rsidP="0096743A">
            <w:pPr>
              <w:pStyle w:val="Tabletext"/>
              <w:spacing w:before="0" w:after="0"/>
              <w:rPr>
                <w:rFonts w:cstheme="minorHAnsi"/>
              </w:rPr>
            </w:pPr>
            <w:r w:rsidRPr="00747E35">
              <w:rPr>
                <w:rFonts w:cstheme="minorHAnsi"/>
              </w:rPr>
              <w:t xml:space="preserve">Sites: Upper Bremer River </w:t>
            </w:r>
          </w:p>
          <w:p w14:paraId="2E7CBE8C" w14:textId="77777777" w:rsidR="003D3694" w:rsidRPr="00747E35" w:rsidRDefault="003D3694" w:rsidP="0096743A">
            <w:pPr>
              <w:pStyle w:val="Tabletext"/>
              <w:spacing w:before="0" w:after="0"/>
              <w:rPr>
                <w:rFonts w:cstheme="minorHAnsi"/>
              </w:rPr>
            </w:pPr>
            <w:r w:rsidRPr="00747E35">
              <w:rPr>
                <w:rFonts w:cstheme="minorHAnsi"/>
              </w:rPr>
              <w:t>Perennial section of Horsearm Creek</w:t>
            </w:r>
          </w:p>
        </w:tc>
        <w:tc>
          <w:tcPr>
            <w:tcW w:w="4961" w:type="dxa"/>
          </w:tcPr>
          <w:p w14:paraId="02A6D801" w14:textId="77777777" w:rsidR="003D3694" w:rsidRPr="00747E35" w:rsidRDefault="003D3694" w:rsidP="0096743A">
            <w:pPr>
              <w:pStyle w:val="Tabletext"/>
              <w:spacing w:before="0" w:after="0"/>
              <w:rPr>
                <w:rFonts w:cstheme="minorHAnsi"/>
                <w:lang w:eastAsia="en-AU"/>
              </w:rPr>
            </w:pPr>
            <w:r w:rsidRPr="00747E35">
              <w:rPr>
                <w:rFonts w:cstheme="minorHAnsi"/>
                <w:noProof/>
                <w:lang w:val="en-AU" w:eastAsia="en-AU"/>
              </w:rPr>
              <w:drawing>
                <wp:inline distT="0" distB="0" distL="0" distR="0" wp14:anchorId="502E92E3" wp14:editId="42000426">
                  <wp:extent cx="2190750" cy="1066800"/>
                  <wp:effectExtent l="0" t="0" r="0" b="0"/>
                  <wp:docPr id="14361" name="Picture 14361" descr="Diagram of creek/river end state (change from initial state described in next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190750" cy="1066800"/>
                          </a:xfrm>
                          <a:prstGeom prst="rect">
                            <a:avLst/>
                          </a:prstGeom>
                          <a:noFill/>
                        </pic:spPr>
                      </pic:pic>
                    </a:graphicData>
                  </a:graphic>
                </wp:inline>
              </w:drawing>
            </w:r>
          </w:p>
          <w:p w14:paraId="55B95B5B" w14:textId="77777777" w:rsidR="003D3694" w:rsidRPr="00747E35" w:rsidRDefault="003D3694" w:rsidP="0096743A">
            <w:pPr>
              <w:pStyle w:val="Tabletext"/>
              <w:spacing w:before="0" w:after="0"/>
              <w:rPr>
                <w:rFonts w:cstheme="minorHAnsi"/>
              </w:rPr>
            </w:pPr>
            <w:r w:rsidRPr="00747E35">
              <w:rPr>
                <w:rFonts w:cstheme="minorHAnsi"/>
              </w:rPr>
              <w:t xml:space="preserve">Sites: Upper Bremer River </w:t>
            </w:r>
          </w:p>
          <w:p w14:paraId="42F2865B" w14:textId="77777777" w:rsidR="003D3694" w:rsidRPr="00747E35" w:rsidRDefault="003D3694" w:rsidP="0096743A">
            <w:pPr>
              <w:pStyle w:val="Tabletext"/>
              <w:spacing w:before="0" w:after="0"/>
              <w:rPr>
                <w:rFonts w:cstheme="minorHAnsi"/>
              </w:rPr>
            </w:pPr>
            <w:r w:rsidRPr="00747E35">
              <w:rPr>
                <w:rFonts w:cstheme="minorHAnsi"/>
              </w:rPr>
              <w:t>Upper section of Horsearm Creek</w:t>
            </w:r>
          </w:p>
        </w:tc>
        <w:tc>
          <w:tcPr>
            <w:tcW w:w="5103" w:type="dxa"/>
          </w:tcPr>
          <w:p w14:paraId="6D1928CC" w14:textId="77777777" w:rsidR="003D3694" w:rsidRPr="00747E35" w:rsidRDefault="003D3694" w:rsidP="0096743A">
            <w:pPr>
              <w:pStyle w:val="Tabletext"/>
              <w:spacing w:before="0" w:after="0"/>
              <w:rPr>
                <w:rFonts w:cstheme="minorHAnsi"/>
                <w:sz w:val="20"/>
                <w:szCs w:val="20"/>
              </w:rPr>
            </w:pPr>
            <w:r w:rsidRPr="00747E35">
              <w:rPr>
                <w:rFonts w:cstheme="minorHAnsi"/>
                <w:sz w:val="20"/>
                <w:szCs w:val="20"/>
              </w:rPr>
              <w:t>Transition from gaining perennial stream to a gaining stream with intermittent surface flow. Contribution from groundwater remains but surface flow over riffles ceases periodically.</w:t>
            </w:r>
          </w:p>
          <w:p w14:paraId="793F0ED8" w14:textId="77777777" w:rsidR="003D3694" w:rsidRPr="00747E35" w:rsidRDefault="003D3694" w:rsidP="0096743A">
            <w:pPr>
              <w:pStyle w:val="Tabletext"/>
              <w:spacing w:before="0" w:after="0"/>
              <w:rPr>
                <w:rFonts w:cstheme="minorHAnsi"/>
                <w:sz w:val="20"/>
                <w:szCs w:val="20"/>
              </w:rPr>
            </w:pPr>
          </w:p>
          <w:p w14:paraId="032974AD" w14:textId="77777777" w:rsidR="003D3694" w:rsidRPr="00747E35" w:rsidRDefault="003D3694" w:rsidP="0096743A">
            <w:pPr>
              <w:pStyle w:val="Tabletext"/>
              <w:spacing w:before="0" w:after="0"/>
              <w:rPr>
                <w:rFonts w:cstheme="minorHAnsi"/>
                <w:sz w:val="20"/>
                <w:szCs w:val="20"/>
              </w:rPr>
            </w:pPr>
          </w:p>
        </w:tc>
      </w:tr>
      <w:tr w:rsidR="003D3694" w:rsidRPr="00747E35" w14:paraId="5602C404" w14:textId="77777777" w:rsidTr="00657288">
        <w:tc>
          <w:tcPr>
            <w:tcW w:w="675" w:type="dxa"/>
          </w:tcPr>
          <w:p w14:paraId="54DB03CB" w14:textId="77777777" w:rsidR="003D3694" w:rsidRPr="00747E35" w:rsidRDefault="003D3694" w:rsidP="0096743A">
            <w:pPr>
              <w:pStyle w:val="Tabletext"/>
              <w:spacing w:before="0" w:after="0"/>
              <w:rPr>
                <w:rFonts w:cstheme="minorHAnsi"/>
              </w:rPr>
            </w:pPr>
            <w:r w:rsidRPr="00747E35">
              <w:rPr>
                <w:rFonts w:cstheme="minorHAnsi"/>
              </w:rPr>
              <w:t>2</w:t>
            </w:r>
          </w:p>
        </w:tc>
        <w:tc>
          <w:tcPr>
            <w:tcW w:w="4849" w:type="dxa"/>
          </w:tcPr>
          <w:p w14:paraId="712D63DA" w14:textId="77777777" w:rsidR="003D3694" w:rsidRPr="00747E35" w:rsidRDefault="003D3694" w:rsidP="0096743A">
            <w:pPr>
              <w:pStyle w:val="Tabletext"/>
              <w:spacing w:before="0" w:after="0"/>
              <w:rPr>
                <w:rFonts w:cstheme="minorHAnsi"/>
                <w:lang w:eastAsia="en-AU"/>
              </w:rPr>
            </w:pPr>
            <w:r w:rsidRPr="00747E35">
              <w:rPr>
                <w:rFonts w:cstheme="minorHAnsi"/>
                <w:noProof/>
                <w:lang w:val="en-AU" w:eastAsia="en-AU"/>
              </w:rPr>
              <w:drawing>
                <wp:inline distT="0" distB="0" distL="0" distR="0" wp14:anchorId="34BB6684" wp14:editId="5E3C24A3">
                  <wp:extent cx="2322830" cy="1095375"/>
                  <wp:effectExtent l="0" t="0" r="1270" b="9525"/>
                  <wp:docPr id="14362" name="Picture 14362" descr="Diagram of creek/river initial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322830" cy="1095375"/>
                          </a:xfrm>
                          <a:prstGeom prst="rect">
                            <a:avLst/>
                          </a:prstGeom>
                          <a:noFill/>
                        </pic:spPr>
                      </pic:pic>
                    </a:graphicData>
                  </a:graphic>
                </wp:inline>
              </w:drawing>
            </w:r>
          </w:p>
          <w:p w14:paraId="755C8B9E" w14:textId="77777777" w:rsidR="003D3694" w:rsidRPr="00747E35" w:rsidRDefault="003D3694" w:rsidP="0096743A">
            <w:pPr>
              <w:pStyle w:val="Tabletext"/>
              <w:spacing w:before="0" w:after="0"/>
              <w:rPr>
                <w:rFonts w:cstheme="minorHAnsi"/>
              </w:rPr>
            </w:pPr>
            <w:r w:rsidRPr="00747E35">
              <w:rPr>
                <w:rFonts w:cstheme="minorHAnsi"/>
              </w:rPr>
              <w:t>Sites: Upper Bremer River</w:t>
            </w:r>
          </w:p>
          <w:p w14:paraId="7A651C1D" w14:textId="77777777" w:rsidR="003D3694" w:rsidRPr="00747E35" w:rsidRDefault="003D3694" w:rsidP="0096743A">
            <w:pPr>
              <w:pStyle w:val="Tabletext"/>
              <w:spacing w:before="0" w:after="0"/>
              <w:rPr>
                <w:rFonts w:cstheme="minorHAnsi"/>
                <w:lang w:eastAsia="en-AU"/>
              </w:rPr>
            </w:pPr>
            <w:r w:rsidRPr="00747E35">
              <w:rPr>
                <w:rFonts w:cstheme="minorHAnsi"/>
              </w:rPr>
              <w:t>Upper section of Horsearm Creek</w:t>
            </w:r>
          </w:p>
        </w:tc>
        <w:tc>
          <w:tcPr>
            <w:tcW w:w="4961" w:type="dxa"/>
          </w:tcPr>
          <w:p w14:paraId="13F47E26" w14:textId="77777777" w:rsidR="003D3694" w:rsidRPr="00747E35" w:rsidRDefault="003D3694" w:rsidP="0096743A">
            <w:pPr>
              <w:pStyle w:val="Tabletext"/>
              <w:spacing w:before="0" w:after="0"/>
              <w:rPr>
                <w:rFonts w:cstheme="minorHAnsi"/>
                <w:lang w:eastAsia="en-AU"/>
              </w:rPr>
            </w:pPr>
            <w:r w:rsidRPr="00747E35">
              <w:rPr>
                <w:rFonts w:cstheme="minorHAnsi"/>
                <w:noProof/>
                <w:lang w:val="en-AU" w:eastAsia="en-AU"/>
              </w:rPr>
              <w:drawing>
                <wp:inline distT="0" distB="0" distL="0" distR="0" wp14:anchorId="29DE2A9A" wp14:editId="5E7D378E">
                  <wp:extent cx="2316480" cy="1139825"/>
                  <wp:effectExtent l="0" t="0" r="7620" b="3175"/>
                  <wp:docPr id="14363" name="Picture 14363" descr="Diagram of creek/river end state (change from initial state described in next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316480" cy="1139825"/>
                          </a:xfrm>
                          <a:prstGeom prst="rect">
                            <a:avLst/>
                          </a:prstGeom>
                          <a:noFill/>
                        </pic:spPr>
                      </pic:pic>
                    </a:graphicData>
                  </a:graphic>
                </wp:inline>
              </w:drawing>
            </w:r>
          </w:p>
          <w:p w14:paraId="259823CA" w14:textId="77777777" w:rsidR="003D3694" w:rsidRPr="00747E35" w:rsidRDefault="003D3694" w:rsidP="0096743A">
            <w:pPr>
              <w:pStyle w:val="Tabletext"/>
              <w:spacing w:before="0" w:after="0"/>
              <w:rPr>
                <w:rFonts w:cstheme="minorHAnsi"/>
              </w:rPr>
            </w:pPr>
            <w:r w:rsidRPr="00747E35">
              <w:rPr>
                <w:rFonts w:cstheme="minorHAnsi"/>
              </w:rPr>
              <w:t>Sites: Middle Creek (following flow event)</w:t>
            </w:r>
          </w:p>
          <w:p w14:paraId="58A1C7C2" w14:textId="77777777" w:rsidR="003D3694" w:rsidRPr="00747E35" w:rsidRDefault="003D3694" w:rsidP="0096743A">
            <w:pPr>
              <w:pStyle w:val="Tabletext"/>
              <w:spacing w:before="0" w:after="0"/>
              <w:rPr>
                <w:rFonts w:cstheme="minorHAnsi"/>
              </w:rPr>
            </w:pPr>
            <w:r w:rsidRPr="00747E35">
              <w:rPr>
                <w:rFonts w:cstheme="minorHAnsi"/>
              </w:rPr>
              <w:t>Lower Maules Creek (not examined)</w:t>
            </w:r>
          </w:p>
        </w:tc>
        <w:tc>
          <w:tcPr>
            <w:tcW w:w="5103" w:type="dxa"/>
          </w:tcPr>
          <w:p w14:paraId="51795357" w14:textId="77777777" w:rsidR="003D3694" w:rsidRPr="00747E35" w:rsidRDefault="003D3694" w:rsidP="0096743A">
            <w:pPr>
              <w:pStyle w:val="Tabletext"/>
              <w:spacing w:before="0" w:after="0"/>
              <w:rPr>
                <w:rFonts w:cstheme="minorHAnsi"/>
                <w:sz w:val="20"/>
                <w:szCs w:val="20"/>
              </w:rPr>
            </w:pPr>
            <w:r w:rsidRPr="00747E35">
              <w:rPr>
                <w:rFonts w:cstheme="minorHAnsi"/>
                <w:sz w:val="20"/>
                <w:szCs w:val="20"/>
              </w:rPr>
              <w:t>Transition from gaining stream with intermittent surface flow to a losing stream with intermittent surface flow. Flow reversal in hyporheic zone from upwelling to downwelling.</w:t>
            </w:r>
          </w:p>
          <w:p w14:paraId="367EFFBB" w14:textId="77777777" w:rsidR="003D3694" w:rsidRPr="00747E35" w:rsidRDefault="003D3694" w:rsidP="0096743A">
            <w:pPr>
              <w:pStyle w:val="Tabletext"/>
              <w:spacing w:before="0" w:after="0"/>
              <w:rPr>
                <w:rFonts w:cstheme="minorHAnsi"/>
                <w:sz w:val="20"/>
                <w:szCs w:val="20"/>
              </w:rPr>
            </w:pPr>
            <w:r w:rsidRPr="00747E35">
              <w:rPr>
                <w:rFonts w:cstheme="minorHAnsi"/>
                <w:sz w:val="20"/>
                <w:szCs w:val="20"/>
              </w:rPr>
              <w:t>Increasing duration of no-surface-flow periods.</w:t>
            </w:r>
          </w:p>
          <w:p w14:paraId="41257B94" w14:textId="77777777" w:rsidR="003D3694" w:rsidRPr="00747E35" w:rsidRDefault="003D3694" w:rsidP="0096743A">
            <w:pPr>
              <w:pStyle w:val="Tabletext"/>
              <w:spacing w:before="0" w:after="0"/>
              <w:rPr>
                <w:rFonts w:cstheme="minorHAnsi"/>
                <w:sz w:val="20"/>
                <w:szCs w:val="20"/>
              </w:rPr>
            </w:pPr>
          </w:p>
        </w:tc>
      </w:tr>
      <w:tr w:rsidR="003D3694" w:rsidRPr="00747E35" w14:paraId="1EB5A48C" w14:textId="77777777" w:rsidTr="00657288">
        <w:tc>
          <w:tcPr>
            <w:tcW w:w="675" w:type="dxa"/>
          </w:tcPr>
          <w:p w14:paraId="4326B2D5" w14:textId="77777777" w:rsidR="003D3694" w:rsidRPr="00747E35" w:rsidRDefault="003D3694" w:rsidP="0096743A">
            <w:pPr>
              <w:pStyle w:val="Tabletext"/>
              <w:spacing w:before="0" w:after="0"/>
              <w:rPr>
                <w:rFonts w:cstheme="minorHAnsi"/>
              </w:rPr>
            </w:pPr>
            <w:r w:rsidRPr="00747E35">
              <w:rPr>
                <w:rFonts w:cstheme="minorHAnsi"/>
              </w:rPr>
              <w:t>3</w:t>
            </w:r>
          </w:p>
        </w:tc>
        <w:tc>
          <w:tcPr>
            <w:tcW w:w="4849" w:type="dxa"/>
          </w:tcPr>
          <w:p w14:paraId="3EA76601" w14:textId="77777777" w:rsidR="003D3694" w:rsidRPr="00747E35" w:rsidRDefault="003D3694" w:rsidP="0096743A">
            <w:pPr>
              <w:pStyle w:val="Tabletext"/>
              <w:spacing w:before="0" w:after="0"/>
              <w:rPr>
                <w:rFonts w:cstheme="minorHAnsi"/>
                <w:lang w:eastAsia="en-AU"/>
              </w:rPr>
            </w:pPr>
            <w:r w:rsidRPr="00747E35">
              <w:rPr>
                <w:rFonts w:cstheme="minorHAnsi"/>
                <w:noProof/>
                <w:lang w:val="en-AU" w:eastAsia="en-AU"/>
              </w:rPr>
              <w:drawing>
                <wp:inline distT="0" distB="0" distL="0" distR="0" wp14:anchorId="01FA5BB2" wp14:editId="1E0A4A56">
                  <wp:extent cx="2316480" cy="1139825"/>
                  <wp:effectExtent l="0" t="0" r="7620" b="3175"/>
                  <wp:docPr id="14364" name="Picture 14364" descr="Diagram of creek/river initiate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316480" cy="1139825"/>
                          </a:xfrm>
                          <a:prstGeom prst="rect">
                            <a:avLst/>
                          </a:prstGeom>
                          <a:noFill/>
                        </pic:spPr>
                      </pic:pic>
                    </a:graphicData>
                  </a:graphic>
                </wp:inline>
              </w:drawing>
            </w:r>
          </w:p>
          <w:p w14:paraId="3700F8EC" w14:textId="77777777" w:rsidR="003D3694" w:rsidRPr="00747E35" w:rsidRDefault="003D3694" w:rsidP="0096743A">
            <w:pPr>
              <w:pStyle w:val="Tabletext"/>
              <w:spacing w:before="0" w:after="0"/>
              <w:rPr>
                <w:rFonts w:cstheme="minorHAnsi"/>
              </w:rPr>
            </w:pPr>
            <w:r w:rsidRPr="00747E35">
              <w:rPr>
                <w:rFonts w:cstheme="minorHAnsi"/>
              </w:rPr>
              <w:t>Sites: Upper Bremer River</w:t>
            </w:r>
          </w:p>
          <w:p w14:paraId="3B5A574B" w14:textId="77777777" w:rsidR="003D3694" w:rsidRPr="00747E35" w:rsidRDefault="003D3694" w:rsidP="0096743A">
            <w:pPr>
              <w:pStyle w:val="Tabletext"/>
              <w:spacing w:before="0" w:after="0"/>
              <w:rPr>
                <w:rFonts w:cstheme="minorHAnsi"/>
                <w:lang w:eastAsia="en-AU"/>
              </w:rPr>
            </w:pPr>
            <w:r w:rsidRPr="00747E35">
              <w:rPr>
                <w:rFonts w:cstheme="minorHAnsi"/>
              </w:rPr>
              <w:t>Middle Creek (following flow event)</w:t>
            </w:r>
          </w:p>
        </w:tc>
        <w:tc>
          <w:tcPr>
            <w:tcW w:w="4961" w:type="dxa"/>
          </w:tcPr>
          <w:p w14:paraId="13D39EC2" w14:textId="77777777" w:rsidR="003D3694" w:rsidRPr="00747E35" w:rsidRDefault="003D3694" w:rsidP="0096743A">
            <w:pPr>
              <w:pStyle w:val="Tabletext"/>
              <w:spacing w:before="0" w:after="0"/>
              <w:rPr>
                <w:rFonts w:cstheme="minorHAnsi"/>
                <w:lang w:eastAsia="en-AU"/>
              </w:rPr>
            </w:pPr>
            <w:r w:rsidRPr="00747E35">
              <w:rPr>
                <w:rFonts w:cstheme="minorHAnsi"/>
                <w:noProof/>
                <w:lang w:val="en-AU" w:eastAsia="en-AU"/>
              </w:rPr>
              <w:drawing>
                <wp:inline distT="0" distB="0" distL="0" distR="0" wp14:anchorId="15838ABC" wp14:editId="77606345">
                  <wp:extent cx="2316480" cy="1146175"/>
                  <wp:effectExtent l="0" t="0" r="7620" b="0"/>
                  <wp:docPr id="14365" name="Picture 14365" descr="Diagram of creek/river end state (change from initial state described in next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316480" cy="1146175"/>
                          </a:xfrm>
                          <a:prstGeom prst="rect">
                            <a:avLst/>
                          </a:prstGeom>
                          <a:noFill/>
                        </pic:spPr>
                      </pic:pic>
                    </a:graphicData>
                  </a:graphic>
                </wp:inline>
              </w:drawing>
            </w:r>
          </w:p>
          <w:p w14:paraId="387E2908" w14:textId="77777777" w:rsidR="003D3694" w:rsidRPr="00747E35" w:rsidRDefault="003D3694" w:rsidP="0096743A">
            <w:pPr>
              <w:pStyle w:val="Tabletext"/>
              <w:spacing w:before="0" w:after="0"/>
              <w:rPr>
                <w:rFonts w:cstheme="minorHAnsi"/>
              </w:rPr>
            </w:pPr>
            <w:r w:rsidRPr="00747E35">
              <w:rPr>
                <w:rFonts w:cstheme="minorHAnsi"/>
              </w:rPr>
              <w:t>Sites: Maules and Middle creeks (following dry period)</w:t>
            </w:r>
          </w:p>
          <w:p w14:paraId="5AF8E65B" w14:textId="77777777" w:rsidR="003D3694" w:rsidRPr="00747E35" w:rsidRDefault="003D3694" w:rsidP="0096743A">
            <w:pPr>
              <w:pStyle w:val="Tabletext"/>
              <w:spacing w:before="0" w:after="0"/>
              <w:rPr>
                <w:rFonts w:cstheme="minorHAnsi"/>
                <w:lang w:eastAsia="en-AU"/>
              </w:rPr>
            </w:pPr>
            <w:r w:rsidRPr="00747E35">
              <w:rPr>
                <w:rFonts w:cstheme="minorHAnsi"/>
              </w:rPr>
              <w:t>Lower Maules Creek (not examined)</w:t>
            </w:r>
          </w:p>
        </w:tc>
        <w:tc>
          <w:tcPr>
            <w:tcW w:w="5103" w:type="dxa"/>
          </w:tcPr>
          <w:p w14:paraId="19AA11B8" w14:textId="77777777" w:rsidR="003D3694" w:rsidRPr="00747E35" w:rsidRDefault="003D3694" w:rsidP="0096743A">
            <w:pPr>
              <w:pStyle w:val="Tabletext"/>
              <w:spacing w:before="0" w:after="0"/>
              <w:rPr>
                <w:rFonts w:cstheme="minorHAnsi"/>
                <w:sz w:val="20"/>
                <w:szCs w:val="20"/>
              </w:rPr>
            </w:pPr>
            <w:r w:rsidRPr="00747E35">
              <w:rPr>
                <w:rFonts w:cstheme="minorHAnsi"/>
                <w:sz w:val="20"/>
                <w:szCs w:val="20"/>
              </w:rPr>
              <w:t>Transition from losing stream with intermittent surface flow to losing-transition stream. This case is intended to represent the effect of large scale groundwater drawdown and its effects on near stream and floodplain vegetation.</w:t>
            </w:r>
          </w:p>
          <w:p w14:paraId="2C767F76" w14:textId="77777777" w:rsidR="003D3694" w:rsidRPr="00747E35" w:rsidRDefault="003D3694" w:rsidP="0096743A">
            <w:pPr>
              <w:pStyle w:val="Tabletext"/>
              <w:spacing w:before="0" w:after="0"/>
              <w:rPr>
                <w:rFonts w:cstheme="minorHAnsi"/>
                <w:sz w:val="20"/>
                <w:szCs w:val="20"/>
              </w:rPr>
            </w:pPr>
            <w:r w:rsidRPr="00747E35">
              <w:rPr>
                <w:rFonts w:cstheme="minorHAnsi"/>
                <w:sz w:val="20"/>
                <w:szCs w:val="20"/>
              </w:rPr>
              <w:t>Increasing intermittency. Reduced accessibility of vegetation to groundwater.</w:t>
            </w:r>
          </w:p>
          <w:p w14:paraId="59048D82" w14:textId="77777777" w:rsidR="003D3694" w:rsidRPr="00747E35" w:rsidRDefault="003D3694" w:rsidP="0096743A">
            <w:pPr>
              <w:pStyle w:val="Tabletext"/>
              <w:spacing w:before="0" w:after="0"/>
              <w:rPr>
                <w:rFonts w:cstheme="minorHAnsi"/>
                <w:sz w:val="20"/>
                <w:szCs w:val="20"/>
              </w:rPr>
            </w:pPr>
          </w:p>
        </w:tc>
      </w:tr>
      <w:tr w:rsidR="003D3694" w:rsidRPr="00747E35" w14:paraId="6DDDC076" w14:textId="77777777" w:rsidTr="00657288">
        <w:tc>
          <w:tcPr>
            <w:tcW w:w="675" w:type="dxa"/>
          </w:tcPr>
          <w:p w14:paraId="39764D0D" w14:textId="77777777" w:rsidR="003D3694" w:rsidRPr="00747E35" w:rsidRDefault="003D3694" w:rsidP="0096743A">
            <w:pPr>
              <w:pStyle w:val="Tabletext"/>
              <w:spacing w:before="0" w:after="0"/>
              <w:rPr>
                <w:rFonts w:cstheme="minorHAnsi"/>
              </w:rPr>
            </w:pPr>
            <w:r w:rsidRPr="00747E35">
              <w:rPr>
                <w:rFonts w:cstheme="minorHAnsi"/>
              </w:rPr>
              <w:t>4</w:t>
            </w:r>
          </w:p>
        </w:tc>
        <w:tc>
          <w:tcPr>
            <w:tcW w:w="4849" w:type="dxa"/>
          </w:tcPr>
          <w:p w14:paraId="0A76BC6D" w14:textId="77777777" w:rsidR="003D3694" w:rsidRPr="00747E35" w:rsidRDefault="003D3694" w:rsidP="0096743A">
            <w:pPr>
              <w:pStyle w:val="Tabletext"/>
              <w:spacing w:before="0" w:after="0"/>
              <w:rPr>
                <w:rFonts w:cstheme="minorHAnsi"/>
                <w:lang w:eastAsia="en-AU"/>
              </w:rPr>
            </w:pPr>
            <w:r w:rsidRPr="00747E35">
              <w:rPr>
                <w:rFonts w:cstheme="minorHAnsi"/>
                <w:noProof/>
                <w:lang w:val="en-AU" w:eastAsia="en-AU"/>
              </w:rPr>
              <w:drawing>
                <wp:inline distT="0" distB="0" distL="0" distR="0" wp14:anchorId="012A1BE6" wp14:editId="0D973618">
                  <wp:extent cx="2316480" cy="1181100"/>
                  <wp:effectExtent l="0" t="0" r="7620" b="0"/>
                  <wp:docPr id="14366" name="Picture 14366" descr="Diagram of creek/river initial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316480" cy="1181100"/>
                          </a:xfrm>
                          <a:prstGeom prst="rect">
                            <a:avLst/>
                          </a:prstGeom>
                          <a:noFill/>
                        </pic:spPr>
                      </pic:pic>
                    </a:graphicData>
                  </a:graphic>
                </wp:inline>
              </w:drawing>
            </w:r>
          </w:p>
          <w:p w14:paraId="082746C4" w14:textId="77777777" w:rsidR="003D3694" w:rsidRPr="00747E35" w:rsidRDefault="003D3694" w:rsidP="0096743A">
            <w:pPr>
              <w:pStyle w:val="Tabletext"/>
              <w:spacing w:before="0" w:after="0"/>
              <w:rPr>
                <w:rFonts w:cstheme="minorHAnsi"/>
              </w:rPr>
            </w:pPr>
            <w:r w:rsidRPr="00747E35">
              <w:rPr>
                <w:rFonts w:cstheme="minorHAnsi"/>
              </w:rPr>
              <w:t>Sites: Maules Creek and Middle creeks (following dry period)</w:t>
            </w:r>
          </w:p>
          <w:p w14:paraId="65D28446" w14:textId="77777777" w:rsidR="003D3694" w:rsidRPr="00747E35" w:rsidRDefault="003D3694" w:rsidP="0096743A">
            <w:pPr>
              <w:pStyle w:val="Tabletext"/>
              <w:spacing w:before="0" w:after="0"/>
              <w:rPr>
                <w:rFonts w:cstheme="minorHAnsi"/>
                <w:noProof/>
                <w:lang w:eastAsia="en-AU"/>
              </w:rPr>
            </w:pPr>
          </w:p>
        </w:tc>
        <w:tc>
          <w:tcPr>
            <w:tcW w:w="4961" w:type="dxa"/>
          </w:tcPr>
          <w:p w14:paraId="58295EAD" w14:textId="77777777" w:rsidR="003D3694" w:rsidRPr="00747E35" w:rsidRDefault="003D3694" w:rsidP="0096743A">
            <w:pPr>
              <w:pStyle w:val="Tabletext"/>
              <w:spacing w:before="0" w:after="0"/>
              <w:rPr>
                <w:rFonts w:cstheme="minorHAnsi"/>
                <w:lang w:eastAsia="en-AU"/>
              </w:rPr>
            </w:pPr>
            <w:r w:rsidRPr="00747E35">
              <w:rPr>
                <w:rFonts w:cstheme="minorHAnsi"/>
                <w:noProof/>
                <w:lang w:val="en-AU" w:eastAsia="en-AU"/>
              </w:rPr>
              <w:drawing>
                <wp:inline distT="0" distB="0" distL="0" distR="0" wp14:anchorId="20ECD271" wp14:editId="3DF7EE02">
                  <wp:extent cx="2310765" cy="1158240"/>
                  <wp:effectExtent l="0" t="0" r="0" b="0"/>
                  <wp:docPr id="14367" name="Picture 14367" descr="Diagram of creek/river end state (change from initial state described in next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310765" cy="1158240"/>
                          </a:xfrm>
                          <a:prstGeom prst="rect">
                            <a:avLst/>
                          </a:prstGeom>
                          <a:noFill/>
                        </pic:spPr>
                      </pic:pic>
                    </a:graphicData>
                  </a:graphic>
                </wp:inline>
              </w:drawing>
            </w:r>
          </w:p>
          <w:p w14:paraId="4621E63E" w14:textId="77777777" w:rsidR="003D3694" w:rsidRPr="00747E35" w:rsidRDefault="003D3694" w:rsidP="0096743A">
            <w:pPr>
              <w:pStyle w:val="Tabletext"/>
              <w:spacing w:before="0" w:after="0"/>
              <w:rPr>
                <w:rFonts w:cstheme="minorHAnsi"/>
              </w:rPr>
            </w:pPr>
            <w:r w:rsidRPr="00747E35">
              <w:rPr>
                <w:rFonts w:cstheme="minorHAnsi"/>
              </w:rPr>
              <w:t>Sites: Lower Maules Creek (not examined)Middle Creek (after prolonged dry period)</w:t>
            </w:r>
          </w:p>
        </w:tc>
        <w:tc>
          <w:tcPr>
            <w:tcW w:w="5103" w:type="dxa"/>
          </w:tcPr>
          <w:p w14:paraId="1D8AB8BC" w14:textId="77777777" w:rsidR="003D3694" w:rsidRPr="00747E35" w:rsidRDefault="003D3694" w:rsidP="0096743A">
            <w:pPr>
              <w:pStyle w:val="Tabletext"/>
              <w:spacing w:before="0" w:after="0"/>
              <w:rPr>
                <w:rFonts w:cstheme="minorHAnsi"/>
                <w:sz w:val="20"/>
                <w:szCs w:val="20"/>
              </w:rPr>
            </w:pPr>
            <w:r w:rsidRPr="00747E35">
              <w:rPr>
                <w:rFonts w:cstheme="minorHAnsi"/>
                <w:sz w:val="20"/>
                <w:szCs w:val="20"/>
              </w:rPr>
              <w:t>Transition from losing-transition stream to losing-disconnected stream. This case is to consider the effect of large scale groundwater drawdown and its effects on near stream and floodplain vegetation. Increasing intermittency. Reduced accessibility of vegetation to groundwater.</w:t>
            </w:r>
          </w:p>
        </w:tc>
      </w:tr>
    </w:tbl>
    <w:p w14:paraId="6F2D6999" w14:textId="77777777" w:rsidR="003D3694" w:rsidRPr="00747E35" w:rsidRDefault="003D3694" w:rsidP="003D3694">
      <w:pPr>
        <w:rPr>
          <w:rFonts w:asciiTheme="minorHAnsi" w:hAnsiTheme="minorHAnsi" w:cstheme="minorHAnsi"/>
        </w:rPr>
        <w:sectPr w:rsidR="003D3694" w:rsidRPr="00747E35" w:rsidSect="0096743A">
          <w:pgSz w:w="16838" w:h="11906" w:orient="landscape"/>
          <w:pgMar w:top="720" w:right="720" w:bottom="720" w:left="720" w:header="708" w:footer="708" w:gutter="0"/>
          <w:cols w:space="708"/>
          <w:docGrid w:linePitch="360"/>
        </w:sectPr>
      </w:pPr>
    </w:p>
    <w:p w14:paraId="3C3900CD" w14:textId="5FA81FFC" w:rsidR="003D3694" w:rsidRPr="00747E35" w:rsidRDefault="003D3694" w:rsidP="003D3694">
      <w:pPr>
        <w:pStyle w:val="Heading2"/>
        <w:rPr>
          <w:rFonts w:asciiTheme="minorHAnsi" w:hAnsiTheme="minorHAnsi" w:cstheme="minorHAnsi"/>
        </w:rPr>
      </w:pPr>
      <w:bookmarkStart w:id="24" w:name="_Toc417654926"/>
      <w:bookmarkStart w:id="25" w:name="_Toc467211674"/>
      <w:bookmarkStart w:id="26" w:name="_Toc470004819"/>
      <w:r w:rsidRPr="00747E35">
        <w:rPr>
          <w:rFonts w:asciiTheme="minorHAnsi" w:hAnsiTheme="minorHAnsi" w:cstheme="minorHAnsi"/>
        </w:rPr>
        <w:lastRenderedPageBreak/>
        <w:t>Conceptualisation and framing of research questions</w:t>
      </w:r>
      <w:bookmarkEnd w:id="24"/>
      <w:bookmarkEnd w:id="25"/>
      <w:bookmarkEnd w:id="26"/>
    </w:p>
    <w:p w14:paraId="71E099CD" w14:textId="74E016F6"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Building on the conceptual models presented in </w:t>
      </w:r>
      <w:r w:rsidRPr="00747E35">
        <w:rPr>
          <w:rFonts w:asciiTheme="minorHAnsi" w:hAnsiTheme="minorHAnsi" w:cstheme="minorHAnsi"/>
          <w:lang w:eastAsia="x-none"/>
        </w:rPr>
        <w:fldChar w:fldCharType="begin"/>
      </w:r>
      <w:r w:rsidRPr="00747E35">
        <w:rPr>
          <w:rFonts w:asciiTheme="minorHAnsi" w:hAnsiTheme="minorHAnsi" w:cstheme="minorHAnsi"/>
          <w:lang w:eastAsia="x-none"/>
        </w:rPr>
        <w:instrText xml:space="preserve"> REF _Ref416346223 \h </w:instrText>
      </w:r>
      <w:r w:rsidR="00925BFC" w:rsidRPr="00747E35">
        <w:rPr>
          <w:rFonts w:asciiTheme="minorHAnsi" w:hAnsiTheme="minorHAnsi" w:cstheme="minorHAnsi"/>
          <w:lang w:eastAsia="x-none"/>
        </w:rPr>
        <w:instrText xml:space="preserve"> \* MERGEFORMAT </w:instrText>
      </w:r>
      <w:r w:rsidRPr="00747E35">
        <w:rPr>
          <w:rFonts w:asciiTheme="minorHAnsi" w:hAnsiTheme="minorHAnsi" w:cstheme="minorHAnsi"/>
          <w:lang w:eastAsia="x-none"/>
        </w:rPr>
      </w:r>
      <w:r w:rsidRPr="00747E35">
        <w:rPr>
          <w:rFonts w:asciiTheme="minorHAnsi" w:hAnsiTheme="minorHAnsi" w:cstheme="minorHAnsi"/>
          <w:lang w:eastAsia="x-none"/>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w:t>
      </w:r>
      <w:r w:rsidRPr="00747E35">
        <w:rPr>
          <w:rFonts w:asciiTheme="minorHAnsi" w:hAnsiTheme="minorHAnsi" w:cstheme="minorHAnsi"/>
          <w:lang w:eastAsia="x-none"/>
        </w:rPr>
        <w:fldChar w:fldCharType="end"/>
      </w:r>
      <w:r w:rsidRPr="00747E35">
        <w:rPr>
          <w:rFonts w:asciiTheme="minorHAnsi" w:hAnsiTheme="minorHAnsi" w:cstheme="minorHAnsi"/>
          <w:lang w:eastAsia="x-none"/>
        </w:rPr>
        <w:t xml:space="preserve"> and </w:t>
      </w:r>
      <w:r w:rsidRPr="00747E35">
        <w:rPr>
          <w:rFonts w:asciiTheme="minorHAnsi" w:hAnsiTheme="minorHAnsi" w:cstheme="minorHAnsi"/>
        </w:rPr>
        <w:fldChar w:fldCharType="begin"/>
      </w:r>
      <w:r w:rsidRPr="00747E35">
        <w:rPr>
          <w:rFonts w:asciiTheme="minorHAnsi" w:hAnsiTheme="minorHAnsi" w:cstheme="minorHAnsi"/>
        </w:rPr>
        <w:instrText xml:space="preserve"> REF _Ref416346445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w:t>
      </w:r>
      <w:r w:rsidRPr="00747E35">
        <w:rPr>
          <w:rFonts w:asciiTheme="minorHAnsi" w:hAnsiTheme="minorHAnsi" w:cstheme="minorHAnsi"/>
        </w:rPr>
        <w:fldChar w:fldCharType="end"/>
      </w:r>
      <w:r w:rsidRPr="00747E35">
        <w:rPr>
          <w:rFonts w:asciiTheme="minorHAnsi" w:hAnsiTheme="minorHAnsi" w:cstheme="minorHAnsi"/>
        </w:rPr>
        <w:t xml:space="preserve">, we here conceptualise expected ecological responses to changes in groundwater regimes such as those that may result from groundwater drawdown. This conceptualisation forms the basis for development of the research questions tested in this project and is intended to facilitate synthesis, integration and future application of research findings. </w:t>
      </w:r>
    </w:p>
    <w:p w14:paraId="50794BCD" w14:textId="1A3D7B50" w:rsidR="003D3694" w:rsidRPr="00747E35" w:rsidRDefault="003D3694" w:rsidP="003D3694">
      <w:pPr>
        <w:rPr>
          <w:rFonts w:asciiTheme="minorHAnsi" w:hAnsiTheme="minorHAnsi" w:cstheme="minorHAnsi"/>
        </w:rPr>
      </w:pPr>
      <w:r w:rsidRPr="00747E35">
        <w:rPr>
          <w:rFonts w:asciiTheme="minorHAnsi" w:hAnsiTheme="minorHAnsi" w:cstheme="minorHAnsi"/>
          <w:lang w:eastAsia="x-none"/>
        </w:rPr>
        <w:t>Consider a gaining perennial stream (</w:t>
      </w:r>
      <w:r w:rsidRPr="00747E35">
        <w:rPr>
          <w:rFonts w:asciiTheme="minorHAnsi" w:hAnsiTheme="minorHAnsi" w:cstheme="minorHAnsi"/>
          <w:lang w:eastAsia="x-none"/>
        </w:rPr>
        <w:fldChar w:fldCharType="begin"/>
      </w:r>
      <w:r w:rsidRPr="00747E35">
        <w:rPr>
          <w:rFonts w:asciiTheme="minorHAnsi" w:hAnsiTheme="minorHAnsi" w:cstheme="minorHAnsi"/>
          <w:lang w:eastAsia="x-none"/>
        </w:rPr>
        <w:instrText xml:space="preserve"> REF _Ref416346223 \h </w:instrText>
      </w:r>
      <w:r w:rsidR="00925BFC" w:rsidRPr="00747E35">
        <w:rPr>
          <w:rFonts w:asciiTheme="minorHAnsi" w:hAnsiTheme="minorHAnsi" w:cstheme="minorHAnsi"/>
          <w:lang w:eastAsia="x-none"/>
        </w:rPr>
        <w:instrText xml:space="preserve"> \* MERGEFORMAT </w:instrText>
      </w:r>
      <w:r w:rsidRPr="00747E35">
        <w:rPr>
          <w:rFonts w:asciiTheme="minorHAnsi" w:hAnsiTheme="minorHAnsi" w:cstheme="minorHAnsi"/>
          <w:lang w:eastAsia="x-none"/>
        </w:rPr>
      </w:r>
      <w:r w:rsidRPr="00747E35">
        <w:rPr>
          <w:rFonts w:asciiTheme="minorHAnsi" w:hAnsiTheme="minorHAnsi" w:cstheme="minorHAnsi"/>
          <w:lang w:eastAsia="x-none"/>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w:t>
      </w:r>
      <w:r w:rsidRPr="00747E35">
        <w:rPr>
          <w:rFonts w:asciiTheme="minorHAnsi" w:hAnsiTheme="minorHAnsi" w:cstheme="minorHAnsi"/>
          <w:lang w:eastAsia="x-none"/>
        </w:rPr>
        <w:fldChar w:fldCharType="end"/>
      </w:r>
      <w:r w:rsidRPr="00747E35">
        <w:rPr>
          <w:rFonts w:asciiTheme="minorHAnsi" w:hAnsiTheme="minorHAnsi" w:cstheme="minorHAnsi"/>
          <w:lang w:eastAsia="x-none"/>
        </w:rPr>
        <w:t xml:space="preserve">a). The temporal flow pattern (right of </w:t>
      </w:r>
      <w:r w:rsidRPr="00747E35">
        <w:rPr>
          <w:rFonts w:asciiTheme="minorHAnsi" w:hAnsiTheme="minorHAnsi" w:cstheme="minorHAnsi"/>
          <w:lang w:eastAsia="x-none"/>
        </w:rPr>
        <w:fldChar w:fldCharType="begin"/>
      </w:r>
      <w:r w:rsidRPr="00747E35">
        <w:rPr>
          <w:rFonts w:asciiTheme="minorHAnsi" w:hAnsiTheme="minorHAnsi" w:cstheme="minorHAnsi"/>
          <w:lang w:eastAsia="x-none"/>
        </w:rPr>
        <w:instrText xml:space="preserve"> REF _Ref416346223 \h </w:instrText>
      </w:r>
      <w:r w:rsidR="00925BFC" w:rsidRPr="00747E35">
        <w:rPr>
          <w:rFonts w:asciiTheme="minorHAnsi" w:hAnsiTheme="minorHAnsi" w:cstheme="minorHAnsi"/>
          <w:lang w:eastAsia="x-none"/>
        </w:rPr>
        <w:instrText xml:space="preserve"> \* MERGEFORMAT </w:instrText>
      </w:r>
      <w:r w:rsidRPr="00747E35">
        <w:rPr>
          <w:rFonts w:asciiTheme="minorHAnsi" w:hAnsiTheme="minorHAnsi" w:cstheme="minorHAnsi"/>
          <w:lang w:eastAsia="x-none"/>
        </w:rPr>
      </w:r>
      <w:r w:rsidRPr="00747E35">
        <w:rPr>
          <w:rFonts w:asciiTheme="minorHAnsi" w:hAnsiTheme="minorHAnsi" w:cstheme="minorHAnsi"/>
          <w:lang w:eastAsia="x-none"/>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w:t>
      </w:r>
      <w:r w:rsidRPr="00747E35">
        <w:rPr>
          <w:rFonts w:asciiTheme="minorHAnsi" w:hAnsiTheme="minorHAnsi" w:cstheme="minorHAnsi"/>
          <w:lang w:eastAsia="x-none"/>
        </w:rPr>
        <w:fldChar w:fldCharType="end"/>
      </w:r>
      <w:r w:rsidRPr="00747E35">
        <w:rPr>
          <w:rFonts w:asciiTheme="minorHAnsi" w:hAnsiTheme="minorHAnsi" w:cstheme="minorHAnsi"/>
          <w:lang w:eastAsia="x-none"/>
        </w:rPr>
        <w:t>(a)) shows continuous flow with a significant contribution from groundwater. The water chemistry is dominated by the combination of continuous groundwater inflow and the highly aerobic conditions created by flow over riffles (</w:t>
      </w:r>
      <w:r w:rsidRPr="00747E35">
        <w:rPr>
          <w:rFonts w:asciiTheme="minorHAnsi" w:hAnsiTheme="minorHAnsi" w:cstheme="minorHAnsi"/>
          <w:lang w:eastAsia="x-none"/>
        </w:rPr>
        <w:fldChar w:fldCharType="begin"/>
      </w:r>
      <w:r w:rsidRPr="00747E35">
        <w:rPr>
          <w:rFonts w:asciiTheme="minorHAnsi" w:hAnsiTheme="minorHAnsi" w:cstheme="minorHAnsi"/>
          <w:lang w:eastAsia="x-none"/>
        </w:rPr>
        <w:instrText xml:space="preserve"> REF _Ref416346619 \h </w:instrText>
      </w:r>
      <w:r w:rsidR="00925BFC" w:rsidRPr="00747E35">
        <w:rPr>
          <w:rFonts w:asciiTheme="minorHAnsi" w:hAnsiTheme="minorHAnsi" w:cstheme="minorHAnsi"/>
          <w:lang w:eastAsia="x-none"/>
        </w:rPr>
        <w:instrText xml:space="preserve"> \* MERGEFORMAT </w:instrText>
      </w:r>
      <w:r w:rsidRPr="00747E35">
        <w:rPr>
          <w:rFonts w:asciiTheme="minorHAnsi" w:hAnsiTheme="minorHAnsi" w:cstheme="minorHAnsi"/>
          <w:lang w:eastAsia="x-none"/>
        </w:rPr>
      </w:r>
      <w:r w:rsidRPr="00747E35">
        <w:rPr>
          <w:rFonts w:asciiTheme="minorHAnsi" w:hAnsiTheme="minorHAnsi" w:cstheme="minorHAnsi"/>
          <w:lang w:eastAsia="x-none"/>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w:t>
      </w:r>
      <w:r w:rsidRPr="00747E35">
        <w:rPr>
          <w:rFonts w:asciiTheme="minorHAnsi" w:hAnsiTheme="minorHAnsi" w:cstheme="minorHAnsi"/>
          <w:lang w:eastAsia="x-none"/>
        </w:rPr>
        <w:fldChar w:fldCharType="end"/>
      </w:r>
      <w:r w:rsidRPr="00747E35">
        <w:rPr>
          <w:rFonts w:asciiTheme="minorHAnsi" w:hAnsiTheme="minorHAnsi" w:cstheme="minorHAnsi"/>
          <w:lang w:eastAsia="x-none"/>
        </w:rPr>
        <w:t xml:space="preserve">a). For gaining perennial streams the </w:t>
      </w:r>
      <w:r w:rsidRPr="00747E35">
        <w:rPr>
          <w:rFonts w:asciiTheme="minorHAnsi" w:hAnsiTheme="minorHAnsi" w:cstheme="minorHAnsi"/>
        </w:rPr>
        <w:t xml:space="preserve">hyporheic exchange will be strong in localised zones as driven by velocity and pressure effects, but relative to the overall flow down the creek the hyporheic contribution as well as regional groundwater discharge will be small (compared to a gaining stream with intermittent surface flow </w:t>
      </w:r>
      <w:r w:rsidRPr="00747E35">
        <w:rPr>
          <w:rFonts w:asciiTheme="minorHAnsi" w:hAnsiTheme="minorHAnsi" w:cstheme="minorHAnsi"/>
          <w:lang w:eastAsia="x-none"/>
        </w:rPr>
        <w:fldChar w:fldCharType="begin"/>
      </w:r>
      <w:r w:rsidRPr="00747E35">
        <w:rPr>
          <w:rFonts w:asciiTheme="minorHAnsi" w:hAnsiTheme="minorHAnsi" w:cstheme="minorHAnsi"/>
          <w:lang w:eastAsia="x-none"/>
        </w:rPr>
        <w:instrText xml:space="preserve"> REF _Ref416346619 \h </w:instrText>
      </w:r>
      <w:r w:rsidR="00925BFC" w:rsidRPr="00747E35">
        <w:rPr>
          <w:rFonts w:asciiTheme="minorHAnsi" w:hAnsiTheme="minorHAnsi" w:cstheme="minorHAnsi"/>
          <w:lang w:eastAsia="x-none"/>
        </w:rPr>
        <w:instrText xml:space="preserve"> \* MERGEFORMAT </w:instrText>
      </w:r>
      <w:r w:rsidRPr="00747E35">
        <w:rPr>
          <w:rFonts w:asciiTheme="minorHAnsi" w:hAnsiTheme="minorHAnsi" w:cstheme="minorHAnsi"/>
          <w:lang w:eastAsia="x-none"/>
        </w:rPr>
      </w:r>
      <w:r w:rsidRPr="00747E35">
        <w:rPr>
          <w:rFonts w:asciiTheme="minorHAnsi" w:hAnsiTheme="minorHAnsi" w:cstheme="minorHAnsi"/>
          <w:lang w:eastAsia="x-none"/>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w:t>
      </w:r>
      <w:r w:rsidRPr="00747E35">
        <w:rPr>
          <w:rFonts w:asciiTheme="minorHAnsi" w:hAnsiTheme="minorHAnsi" w:cstheme="minorHAnsi"/>
          <w:lang w:eastAsia="x-none"/>
        </w:rPr>
        <w:fldChar w:fldCharType="end"/>
      </w:r>
      <w:r w:rsidRPr="00747E35">
        <w:rPr>
          <w:rFonts w:asciiTheme="minorHAnsi" w:hAnsiTheme="minorHAnsi" w:cstheme="minorHAnsi"/>
          <w:lang w:eastAsia="x-none"/>
        </w:rPr>
        <w:t>b, c</w:t>
      </w:r>
      <w:r w:rsidRPr="00747E35">
        <w:rPr>
          <w:rFonts w:asciiTheme="minorHAnsi" w:hAnsiTheme="minorHAnsi" w:cstheme="minorHAnsi"/>
        </w:rPr>
        <w:t xml:space="preserve">). The hyporheic flow paths will be shorter/faster with limited time for streambed nitrification which means that </w:t>
      </w:r>
      <w:r w:rsidRPr="00747E35">
        <w:rPr>
          <w:rFonts w:asciiTheme="minorHAnsi" w:hAnsiTheme="minorHAnsi" w:cstheme="minorHAnsi"/>
          <w:lang w:eastAsia="x-none"/>
        </w:rPr>
        <w:t>the amount of oxidised N</w:t>
      </w:r>
      <w:r w:rsidRPr="00747E35">
        <w:rPr>
          <w:rFonts w:asciiTheme="minorHAnsi" w:hAnsiTheme="minorHAnsi" w:cstheme="minorHAnsi"/>
        </w:rPr>
        <w:t xml:space="preserve"> (NO</w:t>
      </w:r>
      <w:r w:rsidRPr="00747E35">
        <w:rPr>
          <w:rFonts w:asciiTheme="minorHAnsi" w:hAnsiTheme="minorHAnsi" w:cstheme="minorHAnsi"/>
          <w:vertAlign w:val="subscript"/>
        </w:rPr>
        <w:t>x</w:t>
      </w:r>
      <w:r w:rsidRPr="00747E35">
        <w:rPr>
          <w:rFonts w:asciiTheme="minorHAnsi" w:hAnsiTheme="minorHAnsi" w:cstheme="minorHAnsi"/>
        </w:rPr>
        <w:t>) contribution from upwelling will be smaller than for streams without continuous surface flow (</w:t>
      </w:r>
      <w:r w:rsidRPr="00747E35">
        <w:rPr>
          <w:rFonts w:asciiTheme="minorHAnsi" w:hAnsiTheme="minorHAnsi" w:cstheme="minorHAnsi"/>
          <w:lang w:eastAsia="x-none"/>
        </w:rPr>
        <w:fldChar w:fldCharType="begin"/>
      </w:r>
      <w:r w:rsidRPr="00747E35">
        <w:rPr>
          <w:rFonts w:asciiTheme="minorHAnsi" w:hAnsiTheme="minorHAnsi" w:cstheme="minorHAnsi"/>
          <w:lang w:eastAsia="x-none"/>
        </w:rPr>
        <w:instrText xml:space="preserve"> REF _Ref416346619 \h </w:instrText>
      </w:r>
      <w:r w:rsidR="00925BFC" w:rsidRPr="00747E35">
        <w:rPr>
          <w:rFonts w:asciiTheme="minorHAnsi" w:hAnsiTheme="minorHAnsi" w:cstheme="minorHAnsi"/>
          <w:lang w:eastAsia="x-none"/>
        </w:rPr>
        <w:instrText xml:space="preserve"> \* MERGEFORMAT </w:instrText>
      </w:r>
      <w:r w:rsidRPr="00747E35">
        <w:rPr>
          <w:rFonts w:asciiTheme="minorHAnsi" w:hAnsiTheme="minorHAnsi" w:cstheme="minorHAnsi"/>
          <w:lang w:eastAsia="x-none"/>
        </w:rPr>
      </w:r>
      <w:r w:rsidRPr="00747E35">
        <w:rPr>
          <w:rFonts w:asciiTheme="minorHAnsi" w:hAnsiTheme="minorHAnsi" w:cstheme="minorHAnsi"/>
          <w:lang w:eastAsia="x-none"/>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w:t>
      </w:r>
      <w:r w:rsidRPr="00747E35">
        <w:rPr>
          <w:rFonts w:asciiTheme="minorHAnsi" w:hAnsiTheme="minorHAnsi" w:cstheme="minorHAnsi"/>
          <w:lang w:eastAsia="x-none"/>
        </w:rPr>
        <w:fldChar w:fldCharType="end"/>
      </w:r>
      <w:r w:rsidRPr="00747E35">
        <w:rPr>
          <w:rFonts w:asciiTheme="minorHAnsi" w:hAnsiTheme="minorHAnsi" w:cstheme="minorHAnsi"/>
          <w:lang w:eastAsia="x-none"/>
        </w:rPr>
        <w:t>b, c</w:t>
      </w:r>
      <w:r w:rsidRPr="00747E35">
        <w:rPr>
          <w:rFonts w:asciiTheme="minorHAnsi" w:hAnsiTheme="minorHAnsi" w:cstheme="minorHAnsi"/>
        </w:rPr>
        <w:t>). Due to the surface water flow, the nutrient distribution will be well mixed in the stream. Consequently, algae, which are an important energy source in many aquatic food webs, would grow more uniformly along the stream as opposed to their growth being restricted to near the upwelling zones in a gaining stream with intermittent surface flow.</w:t>
      </w:r>
    </w:p>
    <w:p w14:paraId="585DDAE7" w14:textId="43B07604" w:rsidR="003D3694" w:rsidRPr="00747E35" w:rsidRDefault="003D3694" w:rsidP="003D3694">
      <w:pPr>
        <w:rPr>
          <w:rFonts w:asciiTheme="minorHAnsi" w:hAnsiTheme="minorHAnsi" w:cstheme="minorHAnsi"/>
          <w:lang w:eastAsia="x-none"/>
        </w:rPr>
      </w:pPr>
      <w:r w:rsidRPr="00747E35">
        <w:rPr>
          <w:rFonts w:asciiTheme="minorHAnsi" w:hAnsiTheme="minorHAnsi" w:cstheme="minorHAnsi"/>
          <w:lang w:eastAsia="x-none"/>
        </w:rPr>
        <w:t xml:space="preserve">Lowering of groundwater levels and a transition from gaining (a) to losing (c) in </w:t>
      </w:r>
      <w:r w:rsidRPr="00747E35">
        <w:rPr>
          <w:rFonts w:asciiTheme="minorHAnsi" w:hAnsiTheme="minorHAnsi" w:cstheme="minorHAnsi"/>
          <w:lang w:eastAsia="x-none"/>
        </w:rPr>
        <w:fldChar w:fldCharType="begin"/>
      </w:r>
      <w:r w:rsidRPr="00747E35">
        <w:rPr>
          <w:rFonts w:asciiTheme="minorHAnsi" w:hAnsiTheme="minorHAnsi" w:cstheme="minorHAnsi"/>
          <w:lang w:eastAsia="x-none"/>
        </w:rPr>
        <w:instrText xml:space="preserve"> REF _Ref416346619 \h </w:instrText>
      </w:r>
      <w:r w:rsidR="00925BFC" w:rsidRPr="00747E35">
        <w:rPr>
          <w:rFonts w:asciiTheme="minorHAnsi" w:hAnsiTheme="minorHAnsi" w:cstheme="minorHAnsi"/>
          <w:lang w:eastAsia="x-none"/>
        </w:rPr>
        <w:instrText xml:space="preserve"> \* MERGEFORMAT </w:instrText>
      </w:r>
      <w:r w:rsidRPr="00747E35">
        <w:rPr>
          <w:rFonts w:asciiTheme="minorHAnsi" w:hAnsiTheme="minorHAnsi" w:cstheme="minorHAnsi"/>
          <w:lang w:eastAsia="x-none"/>
        </w:rPr>
      </w:r>
      <w:r w:rsidRPr="00747E35">
        <w:rPr>
          <w:rFonts w:asciiTheme="minorHAnsi" w:hAnsiTheme="minorHAnsi" w:cstheme="minorHAnsi"/>
          <w:lang w:eastAsia="x-none"/>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w:t>
      </w:r>
      <w:r w:rsidRPr="00747E35">
        <w:rPr>
          <w:rFonts w:asciiTheme="minorHAnsi" w:hAnsiTheme="minorHAnsi" w:cstheme="minorHAnsi"/>
          <w:lang w:eastAsia="x-none"/>
        </w:rPr>
        <w:fldChar w:fldCharType="end"/>
      </w:r>
      <w:r w:rsidRPr="00747E35">
        <w:rPr>
          <w:rFonts w:asciiTheme="minorHAnsi" w:hAnsiTheme="minorHAnsi" w:cstheme="minorHAnsi"/>
          <w:lang w:eastAsia="x-none"/>
        </w:rPr>
        <w:t xml:space="preserve"> would lead to an overall reduction in the amount of NO</w:t>
      </w:r>
      <w:r w:rsidRPr="00747E35">
        <w:rPr>
          <w:rFonts w:asciiTheme="minorHAnsi" w:hAnsiTheme="minorHAnsi" w:cstheme="minorHAnsi"/>
          <w:vertAlign w:val="subscript"/>
          <w:lang w:eastAsia="x-none"/>
        </w:rPr>
        <w:t>x</w:t>
      </w:r>
      <w:r w:rsidRPr="00747E35">
        <w:rPr>
          <w:rFonts w:asciiTheme="minorHAnsi" w:hAnsiTheme="minorHAnsi" w:cstheme="minorHAnsi"/>
          <w:lang w:eastAsia="x-none"/>
        </w:rPr>
        <w:t xml:space="preserve"> inasmuch as longer flow paths allow for N removal by denitrification. This may cause N-limitation and limit algal production. However, longer flow paths and hence longer residence times would lead to increased time for organic matter mineralisation which for redox-reactions past denitrification would lead to a release of ammonium (NH</w:t>
      </w:r>
      <w:r w:rsidRPr="00747E35">
        <w:rPr>
          <w:rFonts w:asciiTheme="minorHAnsi" w:hAnsiTheme="minorHAnsi" w:cstheme="minorHAnsi"/>
          <w:vertAlign w:val="subscript"/>
          <w:lang w:eastAsia="x-none"/>
        </w:rPr>
        <w:t>4</w:t>
      </w:r>
      <w:r w:rsidRPr="00747E35">
        <w:rPr>
          <w:rFonts w:asciiTheme="minorHAnsi" w:hAnsiTheme="minorHAnsi" w:cstheme="minorHAnsi"/>
          <w:vertAlign w:val="superscript"/>
          <w:lang w:eastAsia="x-none"/>
        </w:rPr>
        <w:t>+</w:t>
      </w:r>
      <w:r w:rsidRPr="00747E35">
        <w:rPr>
          <w:rFonts w:asciiTheme="minorHAnsi" w:hAnsiTheme="minorHAnsi" w:cstheme="minorHAnsi"/>
          <w:lang w:eastAsia="x-none"/>
        </w:rPr>
        <w:t xml:space="preserve">) from dissolved organic carbon (DOC) mineralisation. </w:t>
      </w:r>
    </w:p>
    <w:p w14:paraId="23A3AB2F" w14:textId="1444CDCA" w:rsidR="003D3694" w:rsidRPr="00747E35" w:rsidRDefault="003D3694" w:rsidP="003D3694">
      <w:pPr>
        <w:rPr>
          <w:rFonts w:asciiTheme="minorHAnsi" w:hAnsiTheme="minorHAnsi" w:cstheme="minorHAnsi"/>
          <w:lang w:eastAsia="x-none"/>
        </w:rPr>
      </w:pPr>
      <w:r w:rsidRPr="00747E35">
        <w:rPr>
          <w:rFonts w:asciiTheme="minorHAnsi" w:hAnsiTheme="minorHAnsi" w:cstheme="minorHAnsi"/>
          <w:lang w:eastAsia="x-none"/>
        </w:rPr>
        <w:t xml:space="preserve">If the groundwater table below a stream is sufficiently deep, changes in the groundwater table position effectively do not alter the infiltration rate through the </w:t>
      </w:r>
      <w:r w:rsidR="000E6336">
        <w:rPr>
          <w:rFonts w:asciiTheme="minorHAnsi" w:hAnsiTheme="minorHAnsi" w:cstheme="minorHAnsi"/>
          <w:lang w:eastAsia="x-none"/>
        </w:rPr>
        <w:t>streambed</w:t>
      </w:r>
      <w:r w:rsidRPr="00747E35">
        <w:rPr>
          <w:rFonts w:asciiTheme="minorHAnsi" w:hAnsiTheme="minorHAnsi" w:cstheme="minorHAnsi"/>
          <w:lang w:eastAsia="x-none"/>
        </w:rPr>
        <w:t xml:space="preserve">; this is referred to as a disconnected system (Brunner et al. 2009).  For a shallower water table a saturated groundwater mound with a capillary fringe may maintain a zone of saturated connectivity between the groundwater table and the </w:t>
      </w:r>
      <w:r w:rsidR="000E6336">
        <w:rPr>
          <w:rFonts w:asciiTheme="minorHAnsi" w:hAnsiTheme="minorHAnsi" w:cstheme="minorHAnsi"/>
          <w:lang w:eastAsia="x-none"/>
        </w:rPr>
        <w:t>streambed</w:t>
      </w:r>
      <w:r w:rsidRPr="00747E35">
        <w:rPr>
          <w:rFonts w:asciiTheme="minorHAnsi" w:hAnsiTheme="minorHAnsi" w:cstheme="minorHAnsi"/>
          <w:lang w:eastAsia="x-none"/>
        </w:rPr>
        <w:t xml:space="preserve">. A lowering of the groundwater table from this level may cause a transition state prior to full disconnection when the groundwater table and capillary fringe completely disconnect from the </w:t>
      </w:r>
      <w:r w:rsidR="000E6336">
        <w:rPr>
          <w:rFonts w:asciiTheme="minorHAnsi" w:hAnsiTheme="minorHAnsi" w:cstheme="minorHAnsi"/>
          <w:lang w:eastAsia="x-none"/>
        </w:rPr>
        <w:t>streambed</w:t>
      </w:r>
      <w:r w:rsidRPr="00747E35">
        <w:rPr>
          <w:rFonts w:asciiTheme="minorHAnsi" w:hAnsiTheme="minorHAnsi" w:cstheme="minorHAnsi"/>
          <w:lang w:eastAsia="x-none"/>
        </w:rPr>
        <w:t xml:space="preserve">.  Brunner et al. (2009) found that the the critical groundwater level at which full disconnection occurs is related to aquifer thickness and conductivity, stream width, depth and the hydraulic conductivity of the streambed sediments. While the vertical extent of the capillary fringe may be quite narrow in permeable sediments such as sands and gravels (in the order of a few to tens of centimetres, in fine grained silty/clayey sediments the fringe may be several meters thick (Liu et al. 2014). We have included the transition state (Figure 1d) in our conceptual models because it is considered important in the hydrogeological literature and because the saturation and moisture status of </w:t>
      </w:r>
      <w:r w:rsidR="000E6336">
        <w:rPr>
          <w:rFonts w:asciiTheme="minorHAnsi" w:hAnsiTheme="minorHAnsi" w:cstheme="minorHAnsi"/>
          <w:lang w:eastAsia="x-none"/>
        </w:rPr>
        <w:t>streambed</w:t>
      </w:r>
      <w:r w:rsidRPr="00747E35">
        <w:rPr>
          <w:rFonts w:asciiTheme="minorHAnsi" w:hAnsiTheme="minorHAnsi" w:cstheme="minorHAnsi"/>
          <w:lang w:eastAsia="x-none"/>
        </w:rPr>
        <w:t xml:space="preserve"> sediments are critical to ecosystem processes in the hyporheic zone. Even if the capillary fringe is narrow, as in coarse sediments, we consider that the moisture status of </w:t>
      </w:r>
      <w:r w:rsidR="000E6336">
        <w:rPr>
          <w:rFonts w:asciiTheme="minorHAnsi" w:hAnsiTheme="minorHAnsi" w:cstheme="minorHAnsi"/>
          <w:lang w:eastAsia="x-none"/>
        </w:rPr>
        <w:t>streambed</w:t>
      </w:r>
      <w:r w:rsidRPr="00747E35">
        <w:rPr>
          <w:rFonts w:asciiTheme="minorHAnsi" w:hAnsiTheme="minorHAnsi" w:cstheme="minorHAnsi"/>
          <w:lang w:eastAsia="x-none"/>
        </w:rPr>
        <w:t xml:space="preserve"> sediments, and their capacity to retain that moisture (for weeks, months, years) are important factors to consider for hyporheic ecosystem functioning and its resistance and resilience to groundwater recession.  </w:t>
      </w:r>
    </w:p>
    <w:p w14:paraId="58EAE6B1" w14:textId="6652896C" w:rsidR="003D3694" w:rsidRPr="00747E35" w:rsidRDefault="003D3694" w:rsidP="003D3694">
      <w:pPr>
        <w:rPr>
          <w:rFonts w:asciiTheme="minorHAnsi" w:hAnsiTheme="minorHAnsi" w:cstheme="minorHAnsi"/>
          <w:lang w:eastAsia="x-none"/>
        </w:rPr>
      </w:pPr>
      <w:r w:rsidRPr="00747E35">
        <w:rPr>
          <w:rFonts w:asciiTheme="minorHAnsi" w:hAnsiTheme="minorHAnsi" w:cstheme="minorHAnsi"/>
          <w:lang w:eastAsia="x-none"/>
        </w:rPr>
        <w:t>In the case of groundwater drawdown leading to a net losing stream (</w:t>
      </w:r>
      <w:r w:rsidRPr="00747E35">
        <w:rPr>
          <w:rFonts w:asciiTheme="minorHAnsi" w:hAnsiTheme="minorHAnsi" w:cstheme="minorHAnsi"/>
          <w:lang w:eastAsia="x-none"/>
        </w:rPr>
        <w:fldChar w:fldCharType="begin"/>
      </w:r>
      <w:r w:rsidRPr="00747E35">
        <w:rPr>
          <w:rFonts w:asciiTheme="minorHAnsi" w:hAnsiTheme="minorHAnsi" w:cstheme="minorHAnsi"/>
          <w:lang w:eastAsia="x-none"/>
        </w:rPr>
        <w:instrText xml:space="preserve"> REF _Ref416346223 \h </w:instrText>
      </w:r>
      <w:r w:rsidR="00925BFC" w:rsidRPr="00747E35">
        <w:rPr>
          <w:rFonts w:asciiTheme="minorHAnsi" w:hAnsiTheme="minorHAnsi" w:cstheme="minorHAnsi"/>
          <w:lang w:eastAsia="x-none"/>
        </w:rPr>
        <w:instrText xml:space="preserve"> \* MERGEFORMAT </w:instrText>
      </w:r>
      <w:r w:rsidRPr="00747E35">
        <w:rPr>
          <w:rFonts w:asciiTheme="minorHAnsi" w:hAnsiTheme="minorHAnsi" w:cstheme="minorHAnsi"/>
          <w:lang w:eastAsia="x-none"/>
        </w:rPr>
      </w:r>
      <w:r w:rsidRPr="00747E35">
        <w:rPr>
          <w:rFonts w:asciiTheme="minorHAnsi" w:hAnsiTheme="minorHAnsi" w:cstheme="minorHAnsi"/>
          <w:lang w:eastAsia="x-none"/>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w:t>
      </w:r>
      <w:r w:rsidRPr="00747E35">
        <w:rPr>
          <w:rFonts w:asciiTheme="minorHAnsi" w:hAnsiTheme="minorHAnsi" w:cstheme="minorHAnsi"/>
          <w:lang w:eastAsia="x-none"/>
        </w:rPr>
        <w:fldChar w:fldCharType="end"/>
      </w:r>
      <w:r w:rsidRPr="00747E35">
        <w:rPr>
          <w:rFonts w:asciiTheme="minorHAnsi" w:hAnsiTheme="minorHAnsi" w:cstheme="minorHAnsi"/>
          <w:lang w:eastAsia="x-none"/>
        </w:rPr>
        <w:t>c, d, e) the surface hydrology is dominated by surface inflows, with a short period of baseflow generated by storm events (i.e. as bank storage). In the case of pools no longer being supported by horizontal subsurface flows the stream becomes ephemeral with occasional remnant pools following surface-water flows. The aquatic ecological processes are limited for this stream condition (</w:t>
      </w:r>
      <w:r w:rsidRPr="00747E35">
        <w:rPr>
          <w:rFonts w:asciiTheme="minorHAnsi" w:hAnsiTheme="minorHAnsi" w:cstheme="minorHAnsi"/>
          <w:lang w:eastAsia="x-none"/>
        </w:rPr>
        <w:fldChar w:fldCharType="begin"/>
      </w:r>
      <w:r w:rsidRPr="00747E35">
        <w:rPr>
          <w:rFonts w:asciiTheme="minorHAnsi" w:hAnsiTheme="minorHAnsi" w:cstheme="minorHAnsi"/>
          <w:lang w:eastAsia="x-none"/>
        </w:rPr>
        <w:instrText xml:space="preserve"> REF _Ref416346619 \h </w:instrText>
      </w:r>
      <w:r w:rsidR="00925BFC" w:rsidRPr="00747E35">
        <w:rPr>
          <w:rFonts w:asciiTheme="minorHAnsi" w:hAnsiTheme="minorHAnsi" w:cstheme="minorHAnsi"/>
          <w:lang w:eastAsia="x-none"/>
        </w:rPr>
        <w:instrText xml:space="preserve"> \* MERGEFORMAT </w:instrText>
      </w:r>
      <w:r w:rsidRPr="00747E35">
        <w:rPr>
          <w:rFonts w:asciiTheme="minorHAnsi" w:hAnsiTheme="minorHAnsi" w:cstheme="minorHAnsi"/>
          <w:lang w:eastAsia="x-none"/>
        </w:rPr>
      </w:r>
      <w:r w:rsidRPr="00747E35">
        <w:rPr>
          <w:rFonts w:asciiTheme="minorHAnsi" w:hAnsiTheme="minorHAnsi" w:cstheme="minorHAnsi"/>
          <w:lang w:eastAsia="x-none"/>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w:t>
      </w:r>
      <w:r w:rsidRPr="00747E35">
        <w:rPr>
          <w:rFonts w:asciiTheme="minorHAnsi" w:hAnsiTheme="minorHAnsi" w:cstheme="minorHAnsi"/>
          <w:lang w:eastAsia="x-none"/>
        </w:rPr>
        <w:fldChar w:fldCharType="end"/>
      </w:r>
      <w:r w:rsidRPr="00747E35">
        <w:rPr>
          <w:rFonts w:asciiTheme="minorHAnsi" w:hAnsiTheme="minorHAnsi" w:cstheme="minorHAnsi"/>
          <w:lang w:eastAsia="x-none"/>
        </w:rPr>
        <w:t>d).</w:t>
      </w:r>
    </w:p>
    <w:p w14:paraId="46A0EC1E"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To consider riparian and floodplain vegetation, we need to take a broader lateral view (</w:t>
      </w:r>
      <w:r w:rsidRPr="00747E35">
        <w:rPr>
          <w:rFonts w:asciiTheme="minorHAnsi" w:hAnsiTheme="minorHAnsi" w:cstheme="minorHAnsi"/>
        </w:rPr>
        <w:fldChar w:fldCharType="begin"/>
      </w:r>
      <w:r w:rsidRPr="00747E35">
        <w:rPr>
          <w:rFonts w:asciiTheme="minorHAnsi" w:hAnsiTheme="minorHAnsi" w:cstheme="minorHAnsi"/>
        </w:rPr>
        <w:instrText xml:space="preserve"> REF _Ref416346778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Figure 4</w:t>
      </w:r>
      <w:r w:rsidRPr="00747E35">
        <w:rPr>
          <w:rFonts w:asciiTheme="minorHAnsi" w:hAnsiTheme="minorHAnsi" w:cstheme="minorHAnsi"/>
        </w:rPr>
        <w:fldChar w:fldCharType="end"/>
      </w:r>
      <w:r w:rsidRPr="00747E35">
        <w:rPr>
          <w:rFonts w:asciiTheme="minorHAnsi" w:hAnsiTheme="minorHAnsi" w:cstheme="minorHAnsi"/>
        </w:rPr>
        <w:t xml:space="preserve">). In the case of lateral flow in a gaining stream, groundwater discharge into the channel is localised or continuous along the reach and occurs throughout periods of low runoff and channel flow. High flows in the channel </w:t>
      </w:r>
      <w:r w:rsidRPr="00747E35">
        <w:rPr>
          <w:rFonts w:asciiTheme="minorHAnsi" w:hAnsiTheme="minorHAnsi" w:cstheme="minorHAnsi"/>
        </w:rPr>
        <w:lastRenderedPageBreak/>
        <w:t xml:space="preserve">lead to localised recharge and bank storage with increasing groundwater levels near the channel. Larger flow events leading to over-bank flow may result in groundwater recharge and rising groundwater levels over a larger part of the floodplain. With increasing distance away from the bank and floodplain, water tables are deeper and recharge from streams does not occur, leaving localised rainfall and runoff as the major sources of recharge. Soil water contribution to losing streams is limited to short-lived return flow derived from local bank storage created during periods of high flow and high rainfall. </w:t>
      </w:r>
    </w:p>
    <w:p w14:paraId="268F103E"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These spatial and temporal patterns in water distribution and recharge processes across the riparian and upland landscape determine the availability of water to vegetation and consequently are reflected in plant distribution, composition, productivity and relative dependence on groundwater (</w:t>
      </w:r>
      <w:r w:rsidRPr="00747E35">
        <w:rPr>
          <w:rFonts w:asciiTheme="minorHAnsi" w:hAnsiTheme="minorHAnsi" w:cstheme="minorHAnsi"/>
        </w:rPr>
        <w:fldChar w:fldCharType="begin"/>
      </w:r>
      <w:r w:rsidRPr="00747E35">
        <w:rPr>
          <w:rFonts w:asciiTheme="minorHAnsi" w:hAnsiTheme="minorHAnsi" w:cstheme="minorHAnsi"/>
        </w:rPr>
        <w:instrText xml:space="preserve"> REF _Ref416346778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Figure 4</w:t>
      </w:r>
      <w:r w:rsidRPr="00747E35">
        <w:rPr>
          <w:rFonts w:asciiTheme="minorHAnsi" w:hAnsiTheme="minorHAnsi" w:cstheme="minorHAnsi"/>
        </w:rPr>
        <w:fldChar w:fldCharType="end"/>
      </w:r>
      <w:r w:rsidRPr="00747E35">
        <w:rPr>
          <w:rFonts w:asciiTheme="minorHAnsi" w:hAnsiTheme="minorHAnsi" w:cstheme="minorHAnsi"/>
        </w:rPr>
        <w:t>). Hydrophytes (plants preferring wet areas with comparatively long periods of flood inundation) dominate the low-lying riparian and floodplain areas where flow is either permanent or over most of the year, soil moisture is regularly recharged and water tables are shallow. Groundwater use (inferred dependence) and plant productivity are high as a consequence of perennial discharge/accessibility. In upland areas hydrophyte habitat does not occur and xerophytes dominate. Groundwater dependence is reduced but still present in lower slope habitats. Greater reliance on localised rainfall recharge/runoff results in lower productivity as the growth period is shortened due to increased seasonality of available water.</w:t>
      </w:r>
    </w:p>
    <w:p w14:paraId="596EF017" w14:textId="076EE621" w:rsidR="003D3694" w:rsidRPr="00747E35" w:rsidRDefault="003D3694" w:rsidP="003D3694">
      <w:pPr>
        <w:rPr>
          <w:rFonts w:asciiTheme="minorHAnsi" w:hAnsiTheme="minorHAnsi" w:cstheme="minorHAnsi"/>
        </w:rPr>
      </w:pPr>
      <w:r w:rsidRPr="00747E35">
        <w:rPr>
          <w:rFonts w:asciiTheme="minorHAnsi" w:hAnsiTheme="minorHAnsi" w:cstheme="minorHAnsi"/>
        </w:rPr>
        <w:t>Drawdown of groundwater due to CSG extraction and coal mining may result in reduced/lost groundwater discharge to the channel (shift to an intermittent flow model) and lower accessibility to water tables across all habitats (</w:t>
      </w:r>
      <w:r w:rsidRPr="00747E35">
        <w:rPr>
          <w:rFonts w:asciiTheme="minorHAnsi" w:hAnsiTheme="minorHAnsi" w:cstheme="minorHAnsi"/>
        </w:rPr>
        <w:fldChar w:fldCharType="begin"/>
      </w:r>
      <w:r w:rsidRPr="00747E35">
        <w:rPr>
          <w:rFonts w:asciiTheme="minorHAnsi" w:hAnsiTheme="minorHAnsi" w:cstheme="minorHAnsi"/>
        </w:rPr>
        <w:instrText xml:space="preserve"> REF _Ref417648242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w:t>
      </w:r>
      <w:r w:rsidRPr="00747E35">
        <w:rPr>
          <w:rFonts w:asciiTheme="minorHAnsi" w:hAnsiTheme="minorHAnsi" w:cstheme="minorHAnsi"/>
        </w:rPr>
        <w:fldChar w:fldCharType="end"/>
      </w:r>
      <w:r w:rsidRPr="00747E35">
        <w:rPr>
          <w:rFonts w:asciiTheme="minorHAnsi" w:hAnsiTheme="minorHAnsi" w:cstheme="minorHAnsi"/>
        </w:rPr>
        <w:t>). This fundamental change in the hydrological habitats for vegetation will have the greatest impact on vegetation dependent on groundwater and will result in reduced abundance/loss of hydrophytes and greater importance of xerophytes. Increased seasonality of available water will restrict periods of maximum vegetative growth and result in reduced riparian and floodplain net primary production. The change in upland vegetation (less dependent on groundwater) will be less with productivity expected to remain the same unless reduction in rainfall recharge also occurs.</w:t>
      </w:r>
    </w:p>
    <w:p w14:paraId="0FFD8CD5" w14:textId="11EF8AF7" w:rsidR="003D3694" w:rsidRPr="00747E35" w:rsidRDefault="003D3694" w:rsidP="0096743A">
      <w:pPr>
        <w:rPr>
          <w:rFonts w:asciiTheme="minorHAnsi" w:hAnsiTheme="minorHAnsi" w:cstheme="minorHAnsi"/>
          <w:lang w:eastAsia="x-none"/>
        </w:rPr>
      </w:pPr>
      <w:r w:rsidRPr="00747E35">
        <w:rPr>
          <w:rFonts w:asciiTheme="minorHAnsi" w:hAnsiTheme="minorHAnsi" w:cstheme="minorHAnsi"/>
        </w:rPr>
        <w:t>In Component 4, we present a conceptualisation of seasonal variation in natural functioning discharge springs and the cosmopolitan, aquatic, and semi-aquatic species they sustain.  We also conceptualise potential responses of discharge springs and their resid</w:t>
      </w:r>
      <w:r w:rsidR="0096743A" w:rsidRPr="00747E35">
        <w:rPr>
          <w:rFonts w:asciiTheme="minorHAnsi" w:hAnsiTheme="minorHAnsi" w:cstheme="minorHAnsi"/>
        </w:rPr>
        <w:t>ent species to the cumulative im</w:t>
      </w:r>
      <w:r w:rsidRPr="00747E35">
        <w:rPr>
          <w:rFonts w:asciiTheme="minorHAnsi" w:hAnsiTheme="minorHAnsi" w:cstheme="minorHAnsi"/>
        </w:rPr>
        <w:t>pacts of groundwater drawdown and interactions with other threats.</w:t>
      </w:r>
    </w:p>
    <w:p w14:paraId="0D107F21" w14:textId="0BBF2243" w:rsidR="003D3694" w:rsidRPr="00747E35" w:rsidRDefault="0096743A" w:rsidP="003D3694">
      <w:pPr>
        <w:jc w:val="center"/>
        <w:rPr>
          <w:rFonts w:asciiTheme="minorHAnsi" w:hAnsiTheme="minorHAnsi" w:cstheme="minorHAnsi"/>
          <w:lang w:eastAsia="x-none"/>
        </w:rPr>
      </w:pPr>
      <w:r w:rsidRPr="00747E35">
        <w:rPr>
          <w:rFonts w:asciiTheme="minorHAnsi" w:hAnsiTheme="minorHAnsi" w:cstheme="minorHAnsi"/>
          <w:noProof/>
          <w:lang w:val="en-AU" w:eastAsia="en-AU"/>
        </w:rPr>
        <w:lastRenderedPageBreak/>
        <w:drawing>
          <wp:inline distT="0" distB="0" distL="0" distR="0" wp14:anchorId="3E92193D" wp14:editId="5B3A3A02">
            <wp:extent cx="6120130" cy="6420559"/>
            <wp:effectExtent l="0" t="0" r="0" b="0"/>
            <wp:docPr id="26" name="Picture 26"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6120130" cy="6420559"/>
                    </a:xfrm>
                    <a:prstGeom prst="rect">
                      <a:avLst/>
                    </a:prstGeom>
                    <a:noFill/>
                  </pic:spPr>
                </pic:pic>
              </a:graphicData>
            </a:graphic>
          </wp:inline>
        </w:drawing>
      </w:r>
    </w:p>
    <w:p w14:paraId="4CE9CDDC" w14:textId="6ADA84AB" w:rsidR="003D3694" w:rsidRPr="00747E35" w:rsidRDefault="003D3694" w:rsidP="00DE012C">
      <w:pPr>
        <w:pStyle w:val="Caption"/>
        <w:numPr>
          <w:ilvl w:val="0"/>
          <w:numId w:val="0"/>
        </w:numPr>
        <w:rPr>
          <w:rFonts w:cstheme="minorHAnsi"/>
        </w:rPr>
      </w:pPr>
      <w:bookmarkStart w:id="27" w:name="_Ref416346619"/>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3</w:t>
      </w:r>
      <w:r w:rsidR="009D6600" w:rsidRPr="00747E35">
        <w:rPr>
          <w:rFonts w:cstheme="minorHAnsi"/>
          <w:noProof/>
        </w:rPr>
        <w:fldChar w:fldCharType="end"/>
      </w:r>
      <w:bookmarkEnd w:id="27"/>
      <w:r w:rsidRPr="00747E35">
        <w:rPr>
          <w:rFonts w:cstheme="minorHAnsi"/>
        </w:rPr>
        <w:t>: Conceptualised longitudinal in-stream and hyporheic-zone hydrochemical conditions for four stages of progressive groundwater drawdown. This scenario is one where the groundwater is predominantly oxidised (as observed in the Maules Creek catchment). a) Perennial surface flow: Subsurface flow is a combination of regional groundwater discharge (e.g. baseflow) and hyporheic exchange (local up</w:t>
      </w:r>
      <w:r w:rsidR="006B2C7A">
        <w:rPr>
          <w:rFonts w:cstheme="minorHAnsi"/>
        </w:rPr>
        <w:t>welling</w:t>
      </w:r>
      <w:r w:rsidRPr="00747E35">
        <w:rPr>
          <w:rFonts w:cstheme="minorHAnsi"/>
        </w:rPr>
        <w:t xml:space="preserve"> and downwelling). Short hyporheic flow paths and oxic conditions favour rich and abundant hyporheos; b) Intermittent surface flow (when not in flood), and some regional groundwater discharge maintain pools. Flow between pools is via subsurface hyporheic flow paths that are now longer than in scenario a). The longer subsurface flow paths (and residence times) allow redox reactions to progress towards more reduced conditions with nitrate reduction and some manganese-oxide and iron-oxide reduction. c) Further reduction in the groundwater level limits surface water expression and flow is now predominantly along subsurface hyporheic flow paths. The redox conditions are now further reduced with iron-oxide reduction, sulfate reduction and methanogenesis. The iron-oxide reduction leads to release of phosphate from the dissolving iron-oxide surfaces; d) For further lowering of the water table surface expressions of groundwater is lost and subsurface flows are dominated by regional groundwater flows and after a transition period the </w:t>
      </w:r>
      <w:r w:rsidR="006B2C7A">
        <w:rPr>
          <w:rFonts w:cstheme="minorHAnsi"/>
        </w:rPr>
        <w:t>subsurface</w:t>
      </w:r>
      <w:r w:rsidRPr="00747E35">
        <w:rPr>
          <w:rFonts w:cstheme="minorHAnsi"/>
        </w:rPr>
        <w:t xml:space="preserve"> hydrochemistry may resemble the regional conditions in the aquifer.   </w:t>
      </w:r>
    </w:p>
    <w:p w14:paraId="408B4597" w14:textId="77777777" w:rsidR="003D3694" w:rsidRPr="00747E35" w:rsidRDefault="003D3694" w:rsidP="003D3694">
      <w:pPr>
        <w:rPr>
          <w:rFonts w:asciiTheme="minorHAnsi" w:hAnsiTheme="minorHAnsi" w:cstheme="minorHAnsi"/>
        </w:rPr>
        <w:sectPr w:rsidR="003D3694" w:rsidRPr="00747E35" w:rsidSect="0096743A">
          <w:footerReference w:type="default" r:id="rId40"/>
          <w:pgSz w:w="11906" w:h="16838"/>
          <w:pgMar w:top="1134" w:right="1134" w:bottom="1134" w:left="1134" w:header="709" w:footer="709" w:gutter="0"/>
          <w:cols w:space="708"/>
          <w:docGrid w:linePitch="360"/>
        </w:sectPr>
      </w:pPr>
    </w:p>
    <w:p w14:paraId="39F99570"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52819A70" wp14:editId="63D0564F">
            <wp:extent cx="7857640" cy="5596460"/>
            <wp:effectExtent l="0" t="0" r="0" b="4445"/>
            <wp:docPr id="14372" name="Picture 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7857992" cy="5596711"/>
                    </a:xfrm>
                    <a:prstGeom prst="rect">
                      <a:avLst/>
                    </a:prstGeom>
                    <a:noFill/>
                    <a:ln>
                      <a:noFill/>
                    </a:ln>
                  </pic:spPr>
                </pic:pic>
              </a:graphicData>
            </a:graphic>
          </wp:inline>
        </w:drawing>
      </w:r>
    </w:p>
    <w:p w14:paraId="4A756B6B" w14:textId="77777777" w:rsidR="003D3694" w:rsidRPr="00747E35" w:rsidRDefault="003D3694" w:rsidP="00DE012C">
      <w:pPr>
        <w:pStyle w:val="Caption"/>
        <w:numPr>
          <w:ilvl w:val="0"/>
          <w:numId w:val="0"/>
        </w:numPr>
        <w:rPr>
          <w:rFonts w:cstheme="minorHAnsi"/>
          <w:b/>
          <w:bCs w:val="0"/>
          <w:i w:val="0"/>
        </w:rPr>
      </w:pPr>
      <w:bookmarkStart w:id="28" w:name="_Ref416346778"/>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4</w:t>
      </w:r>
      <w:r w:rsidR="009D6600" w:rsidRPr="00747E35">
        <w:rPr>
          <w:rFonts w:cstheme="minorHAnsi"/>
          <w:noProof/>
        </w:rPr>
        <w:fldChar w:fldCharType="end"/>
      </w:r>
      <w:bookmarkEnd w:id="28"/>
      <w:r w:rsidRPr="00747E35">
        <w:rPr>
          <w:rFonts w:cstheme="minorHAnsi"/>
        </w:rPr>
        <w:t>: Natural spatial and seasonal variation in groundwater dependent vegetation for a gaining perennial stream (a) and for a losing disconnected stream (b).</w:t>
      </w:r>
      <w:r w:rsidRPr="00747E35">
        <w:rPr>
          <w:rFonts w:cstheme="minorHAnsi"/>
        </w:rPr>
        <w:br w:type="page"/>
      </w:r>
    </w:p>
    <w:p w14:paraId="15A6C070"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3B6CC24A" wp14:editId="4A8C1101">
            <wp:extent cx="8090115" cy="5737249"/>
            <wp:effectExtent l="0" t="0" r="6350" b="0"/>
            <wp:docPr id="14373" name="Picture 2" descr="Dia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8090115" cy="5737249"/>
                    </a:xfrm>
                    <a:prstGeom prst="rect">
                      <a:avLst/>
                    </a:prstGeom>
                    <a:noFill/>
                    <a:ln>
                      <a:noFill/>
                    </a:ln>
                  </pic:spPr>
                </pic:pic>
              </a:graphicData>
            </a:graphic>
          </wp:inline>
        </w:drawing>
      </w:r>
    </w:p>
    <w:p w14:paraId="393156FD" w14:textId="5F7027B1" w:rsidR="003D3694" w:rsidRPr="00747E35" w:rsidRDefault="003D3694" w:rsidP="00DE012C">
      <w:pPr>
        <w:pStyle w:val="Caption"/>
        <w:numPr>
          <w:ilvl w:val="0"/>
          <w:numId w:val="0"/>
        </w:numPr>
        <w:rPr>
          <w:rFonts w:cstheme="minorHAnsi"/>
        </w:rPr>
      </w:pPr>
      <w:bookmarkStart w:id="29" w:name="_Ref417648242"/>
      <w:r w:rsidRPr="00747E35">
        <w:rPr>
          <w:rFonts w:cstheme="minorHAnsi"/>
        </w:rPr>
        <w:lastRenderedPageBreak/>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5</w:t>
      </w:r>
      <w:r w:rsidR="009D6600" w:rsidRPr="00747E35">
        <w:rPr>
          <w:rFonts w:cstheme="minorHAnsi"/>
          <w:noProof/>
        </w:rPr>
        <w:fldChar w:fldCharType="end"/>
      </w:r>
      <w:bookmarkEnd w:id="29"/>
      <w:r w:rsidRPr="00747E35">
        <w:rPr>
          <w:rFonts w:cstheme="minorHAnsi"/>
        </w:rPr>
        <w:t xml:space="preserve">: Consequences of groundwater drawdown on vegetation.  (a) shows the end state of transition from a gaining stream (see </w:t>
      </w:r>
      <w:r w:rsidRPr="00747E35">
        <w:rPr>
          <w:rFonts w:cstheme="minorHAnsi"/>
        </w:rPr>
        <w:fldChar w:fldCharType="begin"/>
      </w:r>
      <w:r w:rsidRPr="00747E35">
        <w:rPr>
          <w:rFonts w:cstheme="minorHAnsi"/>
        </w:rPr>
        <w:instrText xml:space="preserve"> REF _Ref416346778 \h </w:instrText>
      </w:r>
      <w:r w:rsidR="00925BFC" w:rsidRPr="00747E35">
        <w:rPr>
          <w:rFonts w:cstheme="minorHAnsi"/>
        </w:rPr>
        <w:instrText xml:space="preserve"> \* MERGEFORMAT </w:instrText>
      </w:r>
      <w:r w:rsidRPr="00747E35">
        <w:rPr>
          <w:rFonts w:cstheme="minorHAnsi"/>
        </w:rPr>
      </w:r>
      <w:r w:rsidRPr="00747E35">
        <w:rPr>
          <w:rFonts w:cstheme="minorHAnsi"/>
        </w:rPr>
        <w:fldChar w:fldCharType="separate"/>
      </w:r>
      <w:r w:rsidR="00D023DD" w:rsidRPr="00747E35">
        <w:rPr>
          <w:rFonts w:cstheme="minorHAnsi"/>
        </w:rPr>
        <w:t xml:space="preserve">Figure </w:t>
      </w:r>
      <w:r w:rsidR="00D023DD">
        <w:rPr>
          <w:rFonts w:cstheme="minorHAnsi"/>
          <w:noProof/>
        </w:rPr>
        <w:t>4</w:t>
      </w:r>
      <w:r w:rsidRPr="00747E35">
        <w:rPr>
          <w:rFonts w:cstheme="minorHAnsi"/>
        </w:rPr>
        <w:fldChar w:fldCharType="end"/>
      </w:r>
      <w:r w:rsidRPr="00747E35">
        <w:rPr>
          <w:rFonts w:cstheme="minorHAnsi"/>
        </w:rPr>
        <w:t xml:space="preserve">a) to a losing stream (see </w:t>
      </w:r>
      <w:r w:rsidRPr="00747E35">
        <w:rPr>
          <w:rFonts w:cstheme="minorHAnsi"/>
        </w:rPr>
        <w:fldChar w:fldCharType="begin"/>
      </w:r>
      <w:r w:rsidRPr="00747E35">
        <w:rPr>
          <w:rFonts w:cstheme="minorHAnsi"/>
        </w:rPr>
        <w:instrText xml:space="preserve"> REF _Ref416346778 \h </w:instrText>
      </w:r>
      <w:r w:rsidR="00925BFC" w:rsidRPr="00747E35">
        <w:rPr>
          <w:rFonts w:cstheme="minorHAnsi"/>
        </w:rPr>
        <w:instrText xml:space="preserve"> \* MERGEFORMAT </w:instrText>
      </w:r>
      <w:r w:rsidRPr="00747E35">
        <w:rPr>
          <w:rFonts w:cstheme="minorHAnsi"/>
        </w:rPr>
      </w:r>
      <w:r w:rsidRPr="00747E35">
        <w:rPr>
          <w:rFonts w:cstheme="minorHAnsi"/>
        </w:rPr>
        <w:fldChar w:fldCharType="separate"/>
      </w:r>
      <w:r w:rsidR="00D023DD" w:rsidRPr="00747E35">
        <w:rPr>
          <w:rFonts w:cstheme="minorHAnsi"/>
        </w:rPr>
        <w:t xml:space="preserve">Figure </w:t>
      </w:r>
      <w:r w:rsidR="00D023DD">
        <w:rPr>
          <w:rFonts w:cstheme="minorHAnsi"/>
          <w:noProof/>
        </w:rPr>
        <w:t>4</w:t>
      </w:r>
      <w:r w:rsidRPr="00747E35">
        <w:rPr>
          <w:rFonts w:cstheme="minorHAnsi"/>
        </w:rPr>
        <w:fldChar w:fldCharType="end"/>
      </w:r>
      <w:r w:rsidRPr="00747E35">
        <w:rPr>
          <w:rFonts w:cstheme="minorHAnsi"/>
        </w:rPr>
        <w:t>b). (b) describes transitioning from a stream with connected surface-groundwater to a disconnected stream.</w:t>
      </w:r>
    </w:p>
    <w:p w14:paraId="34E2FAA2" w14:textId="77777777" w:rsidR="003D3694" w:rsidRPr="00747E35" w:rsidRDefault="003D3694" w:rsidP="003D3694">
      <w:pPr>
        <w:pStyle w:val="Heading2"/>
        <w:rPr>
          <w:rFonts w:asciiTheme="minorHAnsi" w:hAnsiTheme="minorHAnsi" w:cstheme="minorHAnsi"/>
        </w:rPr>
        <w:sectPr w:rsidR="003D3694" w:rsidRPr="00747E35" w:rsidSect="0096743A">
          <w:pgSz w:w="16838" w:h="11906" w:orient="landscape"/>
          <w:pgMar w:top="720" w:right="720" w:bottom="720" w:left="720" w:header="708" w:footer="708" w:gutter="0"/>
          <w:cols w:space="708"/>
          <w:docGrid w:linePitch="360"/>
        </w:sectPr>
      </w:pPr>
    </w:p>
    <w:p w14:paraId="02B5E0B6" w14:textId="5FF0918F" w:rsidR="003D3694" w:rsidRPr="00747E35" w:rsidRDefault="003D3694" w:rsidP="003D3694">
      <w:pPr>
        <w:pStyle w:val="Heading2"/>
        <w:rPr>
          <w:rFonts w:asciiTheme="minorHAnsi" w:hAnsiTheme="minorHAnsi" w:cstheme="minorHAnsi"/>
        </w:rPr>
      </w:pPr>
      <w:bookmarkStart w:id="30" w:name="_Toc417654927"/>
      <w:bookmarkStart w:id="31" w:name="_Toc467211675"/>
      <w:bookmarkStart w:id="32" w:name="_Toc470004820"/>
      <w:r w:rsidRPr="00747E35">
        <w:rPr>
          <w:rFonts w:asciiTheme="minorHAnsi" w:hAnsiTheme="minorHAnsi" w:cstheme="minorHAnsi"/>
        </w:rPr>
        <w:lastRenderedPageBreak/>
        <w:t>Research questions to test</w:t>
      </w:r>
      <w:bookmarkEnd w:id="30"/>
      <w:bookmarkEnd w:id="31"/>
      <w:bookmarkEnd w:id="32"/>
    </w:p>
    <w:p w14:paraId="167A6104" w14:textId="6CAFAB0F"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This study is structured around a series of research questions listed in </w:t>
      </w:r>
      <w:r w:rsidRPr="00747E35">
        <w:rPr>
          <w:rFonts w:asciiTheme="minorHAnsi" w:hAnsiTheme="minorHAnsi" w:cstheme="minorHAnsi"/>
        </w:rPr>
        <w:fldChar w:fldCharType="begin"/>
      </w:r>
      <w:r w:rsidRPr="00747E35">
        <w:rPr>
          <w:rFonts w:asciiTheme="minorHAnsi" w:hAnsiTheme="minorHAnsi" w:cstheme="minorHAnsi"/>
        </w:rPr>
        <w:instrText xml:space="preserve"> REF _Ref432746296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2</w:t>
      </w:r>
      <w:r w:rsidRPr="00747E35">
        <w:rPr>
          <w:rFonts w:asciiTheme="minorHAnsi" w:hAnsiTheme="minorHAnsi" w:cstheme="minorHAnsi"/>
        </w:rPr>
        <w:fldChar w:fldCharType="end"/>
      </w:r>
      <w:r w:rsidRPr="00747E35">
        <w:rPr>
          <w:rFonts w:asciiTheme="minorHAnsi" w:hAnsiTheme="minorHAnsi" w:cstheme="minorHAnsi"/>
        </w:rPr>
        <w:t>. Subsequent sections of this report refer back to these research questions.</w:t>
      </w:r>
    </w:p>
    <w:p w14:paraId="45AD2765" w14:textId="77777777" w:rsidR="003D3694" w:rsidRPr="00747E35" w:rsidRDefault="003D3694" w:rsidP="00DE012C">
      <w:pPr>
        <w:pStyle w:val="Caption"/>
        <w:numPr>
          <w:ilvl w:val="0"/>
          <w:numId w:val="0"/>
        </w:numPr>
        <w:rPr>
          <w:rFonts w:cstheme="minorHAnsi"/>
        </w:rPr>
      </w:pPr>
      <w:bookmarkStart w:id="33" w:name="_Ref432746296"/>
      <w:bookmarkStart w:id="34" w:name="_Ref416347147"/>
      <w:r w:rsidRPr="00747E35">
        <w:rPr>
          <w:rFonts w:cstheme="minorHAnsi"/>
        </w:rPr>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2</w:t>
      </w:r>
      <w:r w:rsidR="009D6600" w:rsidRPr="00747E35">
        <w:rPr>
          <w:rFonts w:cstheme="minorHAnsi"/>
          <w:noProof/>
        </w:rPr>
        <w:fldChar w:fldCharType="end"/>
      </w:r>
      <w:bookmarkEnd w:id="33"/>
      <w:r w:rsidRPr="00747E35">
        <w:rPr>
          <w:rFonts w:cstheme="minorHAnsi"/>
        </w:rPr>
        <w:t>:</w:t>
      </w:r>
      <w:bookmarkEnd w:id="34"/>
      <w:r w:rsidRPr="00747E35">
        <w:rPr>
          <w:rFonts w:cstheme="minorHAnsi"/>
        </w:rPr>
        <w:t xml:space="preserve"> Key Research Questions and approaches to answering them with reference to the relevant research Component.</w:t>
      </w:r>
    </w:p>
    <w:tbl>
      <w:tblPr>
        <w:tblW w:w="1006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Layout w:type="fixed"/>
        <w:tblLook w:val="04A0" w:firstRow="1" w:lastRow="0" w:firstColumn="1" w:lastColumn="0" w:noHBand="0" w:noVBand="1"/>
      </w:tblPr>
      <w:tblGrid>
        <w:gridCol w:w="3369"/>
        <w:gridCol w:w="1134"/>
        <w:gridCol w:w="5557"/>
      </w:tblGrid>
      <w:tr w:rsidR="003D3694" w:rsidRPr="00747E35" w14:paraId="01BE2DDE" w14:textId="77777777" w:rsidTr="00B004E4">
        <w:trPr>
          <w:tblHeader/>
        </w:trPr>
        <w:tc>
          <w:tcPr>
            <w:tcW w:w="3369" w:type="dxa"/>
            <w:shd w:val="clear" w:color="auto" w:fill="DEEAF6" w:themeFill="accent1" w:themeFillTint="33"/>
          </w:tcPr>
          <w:p w14:paraId="1ECD3804" w14:textId="77777777" w:rsidR="003D3694" w:rsidRPr="00747E35" w:rsidRDefault="003D3694" w:rsidP="0096743A">
            <w:pPr>
              <w:pStyle w:val="Tabletext"/>
              <w:spacing w:before="0" w:after="0"/>
              <w:rPr>
                <w:rFonts w:cstheme="minorHAnsi"/>
                <w:b/>
                <w:lang w:val="en-AU"/>
              </w:rPr>
            </w:pPr>
            <w:r w:rsidRPr="00747E35">
              <w:rPr>
                <w:rFonts w:cstheme="minorHAnsi"/>
                <w:b/>
                <w:lang w:val="en-AU"/>
              </w:rPr>
              <w:t>Research Question</w:t>
            </w:r>
          </w:p>
        </w:tc>
        <w:tc>
          <w:tcPr>
            <w:tcW w:w="1134" w:type="dxa"/>
            <w:shd w:val="clear" w:color="auto" w:fill="DEEAF6" w:themeFill="accent1" w:themeFillTint="33"/>
          </w:tcPr>
          <w:p w14:paraId="41EAC1A0" w14:textId="77777777" w:rsidR="003D3694" w:rsidRPr="00747E35" w:rsidRDefault="003D3694" w:rsidP="0096743A">
            <w:pPr>
              <w:pStyle w:val="Tabletext"/>
              <w:spacing w:before="0" w:after="0"/>
              <w:jc w:val="center"/>
              <w:rPr>
                <w:rFonts w:cstheme="minorHAnsi"/>
                <w:b/>
                <w:lang w:val="en-AU"/>
              </w:rPr>
            </w:pPr>
            <w:r w:rsidRPr="00747E35">
              <w:rPr>
                <w:rFonts w:cstheme="minorHAnsi"/>
                <w:b/>
                <w:lang w:val="en-AU"/>
              </w:rPr>
              <w:t>Research Component</w:t>
            </w:r>
          </w:p>
        </w:tc>
        <w:tc>
          <w:tcPr>
            <w:tcW w:w="5557" w:type="dxa"/>
            <w:shd w:val="clear" w:color="auto" w:fill="DEEAF6" w:themeFill="accent1" w:themeFillTint="33"/>
          </w:tcPr>
          <w:p w14:paraId="6612FE99" w14:textId="77777777" w:rsidR="003D3694" w:rsidRPr="00747E35" w:rsidRDefault="003D3694" w:rsidP="0096743A">
            <w:pPr>
              <w:pStyle w:val="Tabletext"/>
              <w:spacing w:before="0" w:after="0"/>
              <w:rPr>
                <w:rFonts w:cstheme="minorHAnsi"/>
                <w:b/>
                <w:lang w:val="en-AU"/>
              </w:rPr>
            </w:pPr>
            <w:r w:rsidRPr="00747E35">
              <w:rPr>
                <w:rFonts w:cstheme="minorHAnsi"/>
                <w:b/>
                <w:lang w:val="en-AU"/>
              </w:rPr>
              <w:t>Summary of approach for addressing Research Question</w:t>
            </w:r>
          </w:p>
        </w:tc>
      </w:tr>
      <w:tr w:rsidR="003D3694" w:rsidRPr="00747E35" w14:paraId="40E556D0" w14:textId="77777777" w:rsidTr="00657288">
        <w:tc>
          <w:tcPr>
            <w:tcW w:w="3369" w:type="dxa"/>
            <w:shd w:val="clear" w:color="auto" w:fill="auto"/>
          </w:tcPr>
          <w:p w14:paraId="77F261E8" w14:textId="77777777" w:rsidR="003D3694" w:rsidRPr="00747E35" w:rsidRDefault="003D3694" w:rsidP="0096743A">
            <w:pPr>
              <w:pStyle w:val="Tabletext"/>
              <w:spacing w:before="0" w:after="0"/>
              <w:rPr>
                <w:rFonts w:cstheme="minorHAnsi"/>
                <w:lang w:val="en-AU"/>
              </w:rPr>
            </w:pPr>
            <w:r w:rsidRPr="00747E35">
              <w:rPr>
                <w:rFonts w:cstheme="minorHAnsi"/>
                <w:lang w:val="en-AU"/>
              </w:rPr>
              <w:t>1a). What are the characteristics of plants that utilise groundwater and under what environmental conditions do they occur (typology of phreatophytic vegetation)?</w:t>
            </w:r>
          </w:p>
        </w:tc>
        <w:tc>
          <w:tcPr>
            <w:tcW w:w="1134" w:type="dxa"/>
          </w:tcPr>
          <w:p w14:paraId="28A2ED55" w14:textId="77777777" w:rsidR="003D3694" w:rsidRPr="00747E35" w:rsidRDefault="003D3694" w:rsidP="0096743A">
            <w:pPr>
              <w:pStyle w:val="Tabletext"/>
              <w:spacing w:before="0" w:after="0"/>
              <w:jc w:val="center"/>
              <w:rPr>
                <w:rFonts w:cstheme="minorHAnsi"/>
                <w:lang w:val="en-AU"/>
              </w:rPr>
            </w:pPr>
            <w:r w:rsidRPr="00747E35">
              <w:rPr>
                <w:rFonts w:cstheme="minorHAnsi"/>
                <w:lang w:val="en-AU"/>
              </w:rPr>
              <w:t>1</w:t>
            </w:r>
          </w:p>
        </w:tc>
        <w:tc>
          <w:tcPr>
            <w:tcW w:w="5557" w:type="dxa"/>
            <w:shd w:val="clear" w:color="auto" w:fill="auto"/>
          </w:tcPr>
          <w:p w14:paraId="0D779D97" w14:textId="38288D74" w:rsidR="003D3694" w:rsidRPr="00747E35" w:rsidRDefault="003D3694" w:rsidP="0096743A">
            <w:pPr>
              <w:pStyle w:val="Tabletext"/>
              <w:spacing w:before="0" w:after="0"/>
              <w:rPr>
                <w:rFonts w:cstheme="minorHAnsi"/>
                <w:lang w:val="en-AU"/>
              </w:rPr>
            </w:pPr>
            <w:r w:rsidRPr="00747E35">
              <w:rPr>
                <w:rFonts w:cstheme="minorHAnsi"/>
                <w:lang w:val="en-AU"/>
              </w:rPr>
              <w:t xml:space="preserve">Recent research on long-term change in phreatophytic vegetation composition revealed the dynamics between functional classes of plant species and hydrological gradients defined by accessibility to groundwater. The characteristics of vegetation responses are defined by the hydrological state of the environment and whether it is altered by artificial drawdown and reduction in recharge. However, a general typology of vegetation and groundwater interactions and responses to groundwater drawdown does not exist. Previous studies of terrestrial groundwater-dependent vegetation have found a dynamic interaction between deep roots and groundwater, suggesting mature trees have the capacity to adapt to declining water tables. Whether this interaction is common to all phreatophytes in different biophysical settings is not known. Root redistribution may afford tolerance to short-term drawdown in water tables but protracted and rapid groundwater declines are known to result in phreatophyte water deficit stress and mortality and prevent vegetation resilience. </w:t>
            </w:r>
            <w:r w:rsidRPr="00747E35">
              <w:rPr>
                <w:rFonts w:cstheme="minorHAnsi"/>
                <w:bCs/>
                <w:lang w:val="en-AU"/>
              </w:rPr>
              <w:t>The information outlined in the previous sentences formed the basis for our development of a typology.</w:t>
            </w:r>
          </w:p>
        </w:tc>
      </w:tr>
      <w:tr w:rsidR="003D3694" w:rsidRPr="00747E35" w14:paraId="31705200" w14:textId="77777777" w:rsidTr="00657288">
        <w:tc>
          <w:tcPr>
            <w:tcW w:w="3369" w:type="dxa"/>
            <w:shd w:val="clear" w:color="auto" w:fill="auto"/>
          </w:tcPr>
          <w:p w14:paraId="394042CE" w14:textId="77777777" w:rsidR="003D3694" w:rsidRPr="00747E35" w:rsidRDefault="003D3694" w:rsidP="0096743A">
            <w:pPr>
              <w:pStyle w:val="Tabletext"/>
              <w:spacing w:before="0" w:after="0"/>
              <w:rPr>
                <w:rFonts w:cstheme="minorHAnsi"/>
                <w:lang w:val="en-AU"/>
              </w:rPr>
            </w:pPr>
            <w:r w:rsidRPr="00747E35">
              <w:rPr>
                <w:rFonts w:cstheme="minorHAnsi"/>
                <w:lang w:val="en-AU"/>
              </w:rPr>
              <w:t>1b). Are there functionally similar plants that share groundwater requirements (hydrotypes) and what is their distribution in relation to groundwater availability?</w:t>
            </w:r>
          </w:p>
          <w:p w14:paraId="714F991F" w14:textId="77777777" w:rsidR="003D3694" w:rsidRPr="00747E35" w:rsidRDefault="003D3694" w:rsidP="0096743A">
            <w:pPr>
              <w:pStyle w:val="Tabletext"/>
              <w:spacing w:before="0" w:after="0"/>
              <w:rPr>
                <w:rFonts w:cstheme="minorHAnsi"/>
                <w:lang w:val="en-AU"/>
              </w:rPr>
            </w:pPr>
          </w:p>
        </w:tc>
        <w:tc>
          <w:tcPr>
            <w:tcW w:w="1134" w:type="dxa"/>
          </w:tcPr>
          <w:p w14:paraId="15B2349F" w14:textId="77777777" w:rsidR="003D3694" w:rsidRPr="00747E35" w:rsidRDefault="003D3694" w:rsidP="0096743A">
            <w:pPr>
              <w:pStyle w:val="Tabletext"/>
              <w:spacing w:before="0" w:after="0"/>
              <w:jc w:val="center"/>
              <w:rPr>
                <w:rFonts w:cstheme="minorHAnsi"/>
                <w:lang w:val="en-AU"/>
              </w:rPr>
            </w:pPr>
            <w:r w:rsidRPr="00747E35">
              <w:rPr>
                <w:rFonts w:cstheme="minorHAnsi"/>
                <w:lang w:val="en-AU"/>
              </w:rPr>
              <w:t>1</w:t>
            </w:r>
          </w:p>
        </w:tc>
        <w:tc>
          <w:tcPr>
            <w:tcW w:w="5557" w:type="dxa"/>
            <w:shd w:val="clear" w:color="auto" w:fill="auto"/>
          </w:tcPr>
          <w:p w14:paraId="70998310" w14:textId="77777777" w:rsidR="003D3694" w:rsidRPr="00747E35" w:rsidRDefault="003D3694" w:rsidP="0096743A">
            <w:pPr>
              <w:pStyle w:val="Tabletext"/>
              <w:spacing w:before="0" w:after="0"/>
              <w:rPr>
                <w:rFonts w:cstheme="minorHAnsi"/>
                <w:lang w:val="en-AU"/>
              </w:rPr>
            </w:pPr>
            <w:r w:rsidRPr="00747E35">
              <w:rPr>
                <w:rFonts w:cstheme="minorHAnsi"/>
                <w:lang w:val="en-AU"/>
              </w:rPr>
              <w:t>The landscape gradient from stream to upland formed the basis of the sampling design, and responses of different functional plant types to potential groundwater drawdown are inferred from this space-for-time analysis. The change in the hydrological environments for vegetation will have the greatest impact on vegetation dependent on groundwater and will result in reduced abundance/loss of hydrophytes and greater importance of xerophytes. Initial vegetation surveys are conducted at each site to determine composition, population structure of potentially phreatophytic species and biomass indices/productivity. Species are classified into hydrotypes according to the preliminary typology.  These field surveys of hydrotypes and plant productivity in different landscape positions also provide the ground-truthing for the remote sensing aspect of this project.</w:t>
            </w:r>
          </w:p>
          <w:p w14:paraId="4C45EBB5" w14:textId="77777777" w:rsidR="003D3694" w:rsidRPr="00747E35" w:rsidRDefault="003D3694" w:rsidP="0096743A">
            <w:pPr>
              <w:pStyle w:val="Tabletext"/>
              <w:spacing w:before="0" w:after="0"/>
              <w:rPr>
                <w:rFonts w:cstheme="minorHAnsi"/>
                <w:lang w:val="en-AU"/>
              </w:rPr>
            </w:pPr>
            <w:r w:rsidRPr="00747E35">
              <w:rPr>
                <w:rFonts w:cstheme="minorHAnsi"/>
                <w:lang w:val="en-AU"/>
              </w:rPr>
              <w:t>On-ground surveys are complemented by a search of the national and international literature to develop a typology of hydrological environments and associated vegetation. This review asks fundamental questions including how to define phreatophytic vegetation, what are the types of phreatophytes, and what types of landscapes they occur in.</w:t>
            </w:r>
          </w:p>
        </w:tc>
      </w:tr>
      <w:tr w:rsidR="003D3694" w:rsidRPr="00747E35" w14:paraId="0867C253" w14:textId="77777777" w:rsidTr="00657288">
        <w:tc>
          <w:tcPr>
            <w:tcW w:w="3369" w:type="dxa"/>
            <w:shd w:val="clear" w:color="auto" w:fill="auto"/>
          </w:tcPr>
          <w:p w14:paraId="3D069C46" w14:textId="77777777" w:rsidR="003D3694" w:rsidRPr="00747E35" w:rsidRDefault="003D3694" w:rsidP="0096743A">
            <w:pPr>
              <w:spacing w:after="0"/>
              <w:rPr>
                <w:rFonts w:asciiTheme="minorHAnsi" w:hAnsiTheme="minorHAnsi" w:cstheme="minorHAnsi"/>
              </w:rPr>
            </w:pPr>
            <w:r w:rsidRPr="00747E35">
              <w:rPr>
                <w:rFonts w:asciiTheme="minorHAnsi" w:hAnsiTheme="minorHAnsi" w:cstheme="minorHAnsi"/>
                <w:sz w:val="18"/>
                <w:szCs w:val="18"/>
              </w:rPr>
              <w:t>2). Is plant distribution and response (groundwater use and productivity) to groundwater availability predictable?</w:t>
            </w:r>
          </w:p>
        </w:tc>
        <w:tc>
          <w:tcPr>
            <w:tcW w:w="1134" w:type="dxa"/>
          </w:tcPr>
          <w:p w14:paraId="41A5EDD7" w14:textId="77777777" w:rsidR="003D3694" w:rsidRPr="00747E35" w:rsidRDefault="003D3694" w:rsidP="0096743A">
            <w:pPr>
              <w:pStyle w:val="Tabletext"/>
              <w:spacing w:before="0" w:after="0"/>
              <w:jc w:val="center"/>
              <w:rPr>
                <w:rFonts w:cstheme="minorHAnsi"/>
                <w:lang w:val="en-AU"/>
              </w:rPr>
            </w:pPr>
            <w:r w:rsidRPr="00747E35">
              <w:rPr>
                <w:rFonts w:cstheme="minorHAnsi"/>
                <w:lang w:val="en-AU"/>
              </w:rPr>
              <w:t>1</w:t>
            </w:r>
          </w:p>
        </w:tc>
        <w:tc>
          <w:tcPr>
            <w:tcW w:w="5557" w:type="dxa"/>
            <w:shd w:val="clear" w:color="auto" w:fill="auto"/>
          </w:tcPr>
          <w:p w14:paraId="15A224BA" w14:textId="77777777" w:rsidR="003D3694" w:rsidRPr="00747E35" w:rsidRDefault="003D3694" w:rsidP="0096743A">
            <w:pPr>
              <w:pStyle w:val="Tabletext"/>
              <w:spacing w:before="0" w:after="0"/>
              <w:rPr>
                <w:rFonts w:cstheme="minorHAnsi"/>
                <w:lang w:val="en-AU"/>
              </w:rPr>
            </w:pPr>
            <w:r w:rsidRPr="00747E35">
              <w:rPr>
                <w:rFonts w:cstheme="minorHAnsi"/>
                <w:lang w:val="en-AU"/>
              </w:rPr>
              <w:t xml:space="preserve">Previous studies of trees growing above shallow groundwater have revealed a dynamic interaction between deep roots and groundwater, suggesting mature trees have the capacity to adapt to declining water tables. Whether this interaction is common to all plants that access groundwater in different biophysical settings is not known. We used </w:t>
            </w:r>
            <w:r w:rsidRPr="00747E35">
              <w:rPr>
                <w:rFonts w:cstheme="minorHAnsi"/>
              </w:rPr>
              <w:t>dendrometer bands with attached data loggers, placed on the trunk of overstorey trees (</w:t>
            </w:r>
            <w:r w:rsidRPr="00747E35">
              <w:rPr>
                <w:rFonts w:cstheme="minorHAnsi"/>
                <w:i/>
              </w:rPr>
              <w:t>Eucalyptus camaldulensis</w:t>
            </w:r>
            <w:r w:rsidRPr="00747E35">
              <w:rPr>
                <w:rFonts w:cstheme="minorHAnsi"/>
              </w:rPr>
              <w:t>) to measure their diel and seasonal hydrological state and growth in the different landscape positions (riparian and floodplain) over the study period. To determine where these trees are sourcing their water, we measured stable isotopes of oxygen (</w:t>
            </w:r>
            <w:r w:rsidRPr="00747E35">
              <w:rPr>
                <w:rFonts w:cstheme="minorHAnsi"/>
                <w:i/>
                <w:iCs/>
              </w:rPr>
              <w:t>δ</w:t>
            </w:r>
            <w:r w:rsidRPr="00747E35">
              <w:rPr>
                <w:rFonts w:cstheme="minorHAnsi"/>
                <w:vertAlign w:val="superscript"/>
              </w:rPr>
              <w:t>18</w:t>
            </w:r>
            <w:r w:rsidRPr="00747E35">
              <w:rPr>
                <w:rFonts w:cstheme="minorHAnsi"/>
              </w:rPr>
              <w:t>O) and hydrogen (</w:t>
            </w:r>
            <w:r w:rsidRPr="00747E35">
              <w:rPr>
                <w:rFonts w:cstheme="minorHAnsi"/>
                <w:i/>
                <w:iCs/>
              </w:rPr>
              <w:t>δ</w:t>
            </w:r>
            <w:r w:rsidRPr="00747E35">
              <w:rPr>
                <w:rFonts w:cstheme="minorHAnsi"/>
                <w:vertAlign w:val="superscript"/>
              </w:rPr>
              <w:t>2</w:t>
            </w:r>
            <w:r w:rsidRPr="00747E35">
              <w:rPr>
                <w:rFonts w:cstheme="minorHAnsi"/>
              </w:rPr>
              <w:t>H) extracted from xylem water from tree branches and from soil samples from the unsaturated soil layers, as well as groundwater.</w:t>
            </w:r>
          </w:p>
        </w:tc>
      </w:tr>
      <w:tr w:rsidR="003D3694" w:rsidRPr="00747E35" w14:paraId="255BBDD0" w14:textId="77777777" w:rsidTr="00657288">
        <w:tc>
          <w:tcPr>
            <w:tcW w:w="3369" w:type="dxa"/>
            <w:shd w:val="clear" w:color="auto" w:fill="auto"/>
          </w:tcPr>
          <w:p w14:paraId="15DA7B73" w14:textId="282FAD50" w:rsidR="008C1675" w:rsidRDefault="003D3694" w:rsidP="0096743A">
            <w:pPr>
              <w:spacing w:after="0"/>
              <w:rPr>
                <w:rFonts w:asciiTheme="minorHAnsi" w:hAnsiTheme="minorHAnsi" w:cstheme="minorHAnsi"/>
                <w:sz w:val="18"/>
                <w:szCs w:val="18"/>
              </w:rPr>
            </w:pPr>
            <w:r w:rsidRPr="00747E35">
              <w:rPr>
                <w:rFonts w:asciiTheme="minorHAnsi" w:hAnsiTheme="minorHAnsi" w:cstheme="minorHAnsi"/>
                <w:sz w:val="18"/>
                <w:szCs w:val="18"/>
              </w:rPr>
              <w:t xml:space="preserve">3). How do vegetation and groundwater interactions vary spatially and temporally </w:t>
            </w:r>
            <w:r w:rsidRPr="00747E35">
              <w:rPr>
                <w:rFonts w:asciiTheme="minorHAnsi" w:hAnsiTheme="minorHAnsi" w:cstheme="minorHAnsi"/>
                <w:sz w:val="18"/>
                <w:szCs w:val="18"/>
              </w:rPr>
              <w:lastRenderedPageBreak/>
              <w:t xml:space="preserve">across the landscape? </w:t>
            </w:r>
            <w:r w:rsidR="008C1675">
              <w:rPr>
                <w:rFonts w:asciiTheme="minorHAnsi" w:hAnsiTheme="minorHAnsi" w:cstheme="minorHAnsi"/>
                <w:sz w:val="18"/>
                <w:szCs w:val="18"/>
              </w:rPr>
              <w:t>This includes</w:t>
            </w:r>
            <w:r w:rsidR="008C1675" w:rsidRPr="008C1675">
              <w:rPr>
                <w:rFonts w:asciiTheme="minorHAnsi" w:hAnsiTheme="minorHAnsi" w:cstheme="minorHAnsi"/>
                <w:sz w:val="18"/>
                <w:szCs w:val="18"/>
              </w:rPr>
              <w:t xml:space="preserve"> identif</w:t>
            </w:r>
            <w:r w:rsidR="008C1675">
              <w:rPr>
                <w:rFonts w:asciiTheme="minorHAnsi" w:hAnsiTheme="minorHAnsi" w:cstheme="minorHAnsi"/>
                <w:sz w:val="18"/>
                <w:szCs w:val="18"/>
              </w:rPr>
              <w:t>ication of</w:t>
            </w:r>
            <w:r w:rsidR="008C1675" w:rsidRPr="008C1675">
              <w:rPr>
                <w:rFonts w:asciiTheme="minorHAnsi" w:hAnsiTheme="minorHAnsi" w:cstheme="minorHAnsi"/>
                <w:sz w:val="18"/>
                <w:szCs w:val="18"/>
              </w:rPr>
              <w:t xml:space="preserve"> the determinants of vegetation recovery following altered groundwater regimes in different biophysical settings and at different scales, from remote sensing (RS) data.</w:t>
            </w:r>
          </w:p>
          <w:p w14:paraId="0F9699F6" w14:textId="77777777" w:rsidR="008C1675" w:rsidRPr="00747E35" w:rsidRDefault="008C1675" w:rsidP="0096743A">
            <w:pPr>
              <w:spacing w:after="0"/>
              <w:rPr>
                <w:rFonts w:asciiTheme="minorHAnsi" w:hAnsiTheme="minorHAnsi" w:cstheme="minorHAnsi"/>
              </w:rPr>
            </w:pPr>
          </w:p>
        </w:tc>
        <w:tc>
          <w:tcPr>
            <w:tcW w:w="1134" w:type="dxa"/>
          </w:tcPr>
          <w:p w14:paraId="1F9D2180" w14:textId="77777777" w:rsidR="003D3694" w:rsidRPr="00747E35" w:rsidRDefault="003D3694" w:rsidP="0096743A">
            <w:pPr>
              <w:pStyle w:val="Tabletext"/>
              <w:spacing w:before="0" w:after="0"/>
              <w:jc w:val="center"/>
              <w:rPr>
                <w:rFonts w:cstheme="minorHAnsi"/>
                <w:lang w:val="en-AU"/>
              </w:rPr>
            </w:pPr>
            <w:r w:rsidRPr="00747E35">
              <w:rPr>
                <w:rFonts w:cstheme="minorHAnsi"/>
                <w:lang w:val="en-AU"/>
              </w:rPr>
              <w:lastRenderedPageBreak/>
              <w:t>1</w:t>
            </w:r>
          </w:p>
        </w:tc>
        <w:tc>
          <w:tcPr>
            <w:tcW w:w="5557" w:type="dxa"/>
            <w:shd w:val="clear" w:color="auto" w:fill="auto"/>
          </w:tcPr>
          <w:p w14:paraId="6A1AE8A4" w14:textId="77777777" w:rsidR="003D3694" w:rsidRPr="00747E35" w:rsidRDefault="003D3694" w:rsidP="0096743A">
            <w:pPr>
              <w:pStyle w:val="Tabletext"/>
              <w:spacing w:before="0" w:after="0"/>
              <w:rPr>
                <w:rFonts w:cstheme="minorHAnsi"/>
                <w:lang w:val="en-AU"/>
              </w:rPr>
            </w:pPr>
            <w:r w:rsidRPr="00747E35">
              <w:rPr>
                <w:rFonts w:cstheme="minorHAnsi"/>
                <w:lang w:val="en-AU"/>
              </w:rPr>
              <w:t xml:space="preserve">Remote sensing is used to quantify the spatiotemporal variation in vegetation type and growth dynamics relative to water availability from </w:t>
            </w:r>
            <w:r w:rsidRPr="00747E35">
              <w:rPr>
                <w:rFonts w:cstheme="minorHAnsi"/>
                <w:lang w:val="en-AU"/>
              </w:rPr>
              <w:lastRenderedPageBreak/>
              <w:t>local (e.g. stream reach) to landscape (e.g. catchment) scales. Plant productivity and groundwater relationships are drawn from existing knowledge and by applying new remote sensing methods to determine ecohydrological patterns. Archival data sets in the form of remotely sensed data are used to reveal longer-term temporal patterns and establish consistency of interactions with groundwater</w:t>
            </w:r>
          </w:p>
        </w:tc>
      </w:tr>
      <w:tr w:rsidR="003D3694" w:rsidRPr="00747E35" w14:paraId="576FB161" w14:textId="77777777" w:rsidTr="00657288">
        <w:tc>
          <w:tcPr>
            <w:tcW w:w="3369" w:type="dxa"/>
            <w:shd w:val="clear" w:color="auto" w:fill="auto"/>
          </w:tcPr>
          <w:p w14:paraId="4B8D8D0F" w14:textId="77777777" w:rsidR="003D3694" w:rsidRPr="00747E35" w:rsidRDefault="003D3694" w:rsidP="0096743A">
            <w:pPr>
              <w:pStyle w:val="Tabletext"/>
              <w:spacing w:before="0" w:after="0"/>
              <w:rPr>
                <w:rFonts w:cstheme="minorHAnsi"/>
                <w:lang w:val="en-AU"/>
              </w:rPr>
            </w:pPr>
            <w:r w:rsidRPr="00747E35">
              <w:rPr>
                <w:rFonts w:cstheme="minorHAnsi"/>
                <w:lang w:val="en-AU"/>
              </w:rPr>
              <w:lastRenderedPageBreak/>
              <w:t>4) How does stream flow regime and degree of substrate saturation affect organic matter processing in surface habitats (riffle, pool, and dry gravel bar) and the hyporheic zone?</w:t>
            </w:r>
          </w:p>
        </w:tc>
        <w:tc>
          <w:tcPr>
            <w:tcW w:w="1134" w:type="dxa"/>
          </w:tcPr>
          <w:p w14:paraId="106950A5" w14:textId="77777777" w:rsidR="003D3694" w:rsidRPr="00747E35" w:rsidRDefault="003D3694" w:rsidP="0096743A">
            <w:pPr>
              <w:pStyle w:val="Tabletext"/>
              <w:spacing w:before="0" w:after="0"/>
              <w:jc w:val="center"/>
              <w:rPr>
                <w:rFonts w:cstheme="minorHAnsi"/>
                <w:lang w:val="en-AU"/>
              </w:rPr>
            </w:pPr>
            <w:r w:rsidRPr="00747E35">
              <w:rPr>
                <w:rFonts w:cstheme="minorHAnsi"/>
                <w:lang w:val="en-AU"/>
              </w:rPr>
              <w:t>2,3</w:t>
            </w:r>
          </w:p>
        </w:tc>
        <w:tc>
          <w:tcPr>
            <w:tcW w:w="5557" w:type="dxa"/>
            <w:shd w:val="clear" w:color="auto" w:fill="auto"/>
          </w:tcPr>
          <w:p w14:paraId="33477567" w14:textId="77777777" w:rsidR="003D3694" w:rsidRPr="00747E35" w:rsidRDefault="003D3694" w:rsidP="0096743A">
            <w:pPr>
              <w:pStyle w:val="Tabletext"/>
              <w:spacing w:before="0" w:after="0"/>
              <w:rPr>
                <w:rFonts w:cstheme="minorHAnsi"/>
                <w:lang w:val="en-AU"/>
              </w:rPr>
            </w:pPr>
            <w:r w:rsidRPr="00747E35">
              <w:rPr>
                <w:rFonts w:cstheme="minorHAnsi"/>
                <w:lang w:val="en-AU"/>
              </w:rPr>
              <w:t>Organic matter processing was assessed by two complementary methods: leaf litter incubations and cotton strip assays. Leaf litter packs were deployed in coarse</w:t>
            </w:r>
            <w:r w:rsidRPr="00747E35">
              <w:rPr>
                <w:rFonts w:cstheme="minorHAnsi"/>
                <w:lang w:val="en-AU"/>
              </w:rPr>
              <w:noBreakHyphen/>
              <w:t>mesh and fine</w:t>
            </w:r>
            <w:r w:rsidRPr="00747E35">
              <w:rPr>
                <w:rFonts w:cstheme="minorHAnsi"/>
                <w:lang w:val="en-AU"/>
              </w:rPr>
              <w:noBreakHyphen/>
              <w:t xml:space="preserve">mesh bags to distinguish the effect of macroinvertebrate shredders. The design involved replicates deployed in riffle, pool, and dry gravel surface habitats, as well as the hyporheic zone, and under a range of flow regime and substrate saturation conditions (saturated, moist, dry). In the Maules Creek catchment, two field sampling campaigns were undertaken for leaf litter incubations and cotton strip assays. In the upper Bremer River Catchment, two leaf litter incubations and four cotton-strip assays were undertaken. </w:t>
            </w:r>
          </w:p>
        </w:tc>
      </w:tr>
      <w:tr w:rsidR="003D3694" w:rsidRPr="00747E35" w14:paraId="2CE6510F" w14:textId="77777777" w:rsidTr="00657288">
        <w:tc>
          <w:tcPr>
            <w:tcW w:w="3369" w:type="dxa"/>
            <w:shd w:val="clear" w:color="auto" w:fill="auto"/>
          </w:tcPr>
          <w:p w14:paraId="72F4C295" w14:textId="77777777" w:rsidR="003D3694" w:rsidRPr="00747E35" w:rsidRDefault="003D3694" w:rsidP="0096743A">
            <w:pPr>
              <w:pStyle w:val="Tabletext"/>
              <w:spacing w:before="0" w:after="0"/>
              <w:rPr>
                <w:rFonts w:cstheme="minorHAnsi"/>
                <w:lang w:val="en-AU"/>
              </w:rPr>
            </w:pPr>
            <w:r w:rsidRPr="00747E35">
              <w:rPr>
                <w:rFonts w:cstheme="minorHAnsi"/>
                <w:lang w:val="en-AU"/>
              </w:rPr>
              <w:t>5) How does stream flow regime affect invertebrate diversity and abundance in surface habitats (riffle and pool) and the hyporheic zone?</w:t>
            </w:r>
          </w:p>
          <w:p w14:paraId="32D9C0FF" w14:textId="77777777" w:rsidR="003D3694" w:rsidRPr="00747E35" w:rsidRDefault="003D3694" w:rsidP="0096743A">
            <w:pPr>
              <w:pStyle w:val="Tabletext"/>
              <w:spacing w:before="0" w:after="0"/>
              <w:rPr>
                <w:rFonts w:cstheme="minorHAnsi"/>
                <w:lang w:val="en-AU"/>
              </w:rPr>
            </w:pPr>
          </w:p>
        </w:tc>
        <w:tc>
          <w:tcPr>
            <w:tcW w:w="1134" w:type="dxa"/>
          </w:tcPr>
          <w:p w14:paraId="66CDBBA5" w14:textId="77777777" w:rsidR="003D3694" w:rsidRPr="00747E35" w:rsidRDefault="003D3694" w:rsidP="0096743A">
            <w:pPr>
              <w:pStyle w:val="Tabletext"/>
              <w:spacing w:before="0" w:after="0"/>
              <w:jc w:val="center"/>
              <w:rPr>
                <w:rFonts w:cstheme="minorHAnsi"/>
                <w:lang w:val="en-AU"/>
              </w:rPr>
            </w:pPr>
            <w:r w:rsidRPr="00747E35">
              <w:rPr>
                <w:rFonts w:cstheme="minorHAnsi"/>
                <w:lang w:val="en-AU"/>
              </w:rPr>
              <w:t>2,3</w:t>
            </w:r>
          </w:p>
        </w:tc>
        <w:tc>
          <w:tcPr>
            <w:tcW w:w="5557" w:type="dxa"/>
            <w:shd w:val="clear" w:color="auto" w:fill="auto"/>
          </w:tcPr>
          <w:p w14:paraId="7DA48DF1" w14:textId="77777777" w:rsidR="003D3694" w:rsidRPr="00747E35" w:rsidRDefault="003D3694" w:rsidP="0096743A">
            <w:pPr>
              <w:pStyle w:val="Tabletext"/>
              <w:spacing w:before="0" w:after="0"/>
              <w:rPr>
                <w:rFonts w:cstheme="minorHAnsi"/>
                <w:lang w:val="en-AU"/>
              </w:rPr>
            </w:pPr>
            <w:r w:rsidRPr="00747E35">
              <w:rPr>
                <w:rFonts w:cstheme="minorHAnsi"/>
                <w:lang w:val="en-AU"/>
              </w:rPr>
              <w:t>Invertebrate community structure and composition in pool and riffle habitats was assessed by taking replicate kick net samples from each of these two invertebrate habitat types. Hyporheic samples were collected from shallow and deep piezometers (see below).</w:t>
            </w:r>
          </w:p>
        </w:tc>
      </w:tr>
      <w:tr w:rsidR="003D3694" w:rsidRPr="00747E35" w14:paraId="5175296C" w14:textId="77777777" w:rsidTr="00657288">
        <w:tc>
          <w:tcPr>
            <w:tcW w:w="3369" w:type="dxa"/>
            <w:shd w:val="clear" w:color="auto" w:fill="auto"/>
          </w:tcPr>
          <w:p w14:paraId="1AC085B1" w14:textId="77777777" w:rsidR="003D3694" w:rsidRPr="00747E35" w:rsidRDefault="003D3694" w:rsidP="0096743A">
            <w:pPr>
              <w:pStyle w:val="Tabletext"/>
              <w:spacing w:before="0" w:after="0"/>
              <w:rPr>
                <w:rFonts w:cstheme="minorHAnsi"/>
                <w:lang w:val="en-AU"/>
              </w:rPr>
            </w:pPr>
            <w:r w:rsidRPr="00747E35">
              <w:rPr>
                <w:rFonts w:cstheme="minorHAnsi"/>
                <w:lang w:val="en-AU"/>
              </w:rPr>
              <w:t>6) How does stream flow regime affect basal resource use and food web structure in surface and hyporheic environments?</w:t>
            </w:r>
          </w:p>
        </w:tc>
        <w:tc>
          <w:tcPr>
            <w:tcW w:w="1134" w:type="dxa"/>
          </w:tcPr>
          <w:p w14:paraId="66D59796" w14:textId="77777777" w:rsidR="003D3694" w:rsidRPr="00747E35" w:rsidRDefault="003D3694" w:rsidP="0096743A">
            <w:pPr>
              <w:pStyle w:val="Tabletext"/>
              <w:spacing w:before="0" w:after="0"/>
              <w:jc w:val="center"/>
              <w:rPr>
                <w:rFonts w:cstheme="minorHAnsi"/>
                <w:lang w:val="en-AU"/>
              </w:rPr>
            </w:pPr>
            <w:r w:rsidRPr="00747E35">
              <w:rPr>
                <w:rFonts w:cstheme="minorHAnsi"/>
                <w:lang w:val="en-AU"/>
              </w:rPr>
              <w:t>2,3</w:t>
            </w:r>
          </w:p>
        </w:tc>
        <w:tc>
          <w:tcPr>
            <w:tcW w:w="5557" w:type="dxa"/>
            <w:shd w:val="clear" w:color="auto" w:fill="auto"/>
          </w:tcPr>
          <w:p w14:paraId="2B254FDA" w14:textId="64E7B3F0" w:rsidR="003D3694" w:rsidRPr="00747E35" w:rsidRDefault="003D3694" w:rsidP="0096743A">
            <w:pPr>
              <w:pStyle w:val="Tabletext"/>
              <w:spacing w:before="0" w:after="0"/>
              <w:rPr>
                <w:rFonts w:cstheme="minorHAnsi"/>
                <w:lang w:val="en-AU"/>
              </w:rPr>
            </w:pPr>
            <w:r w:rsidRPr="00747E35">
              <w:rPr>
                <w:rFonts w:cstheme="minorHAnsi"/>
                <w:lang w:val="en-AU"/>
              </w:rPr>
              <w:t xml:space="preserve">Stable isotope analysis of C and N was used to quantify the basal resource use and trophic position of surface and </w:t>
            </w:r>
            <w:r w:rsidR="006B2C7A">
              <w:rPr>
                <w:rFonts w:cstheme="minorHAnsi"/>
                <w:lang w:val="en-AU"/>
              </w:rPr>
              <w:t>subsurface</w:t>
            </w:r>
            <w:r w:rsidRPr="00747E35">
              <w:rPr>
                <w:rFonts w:cstheme="minorHAnsi"/>
                <w:lang w:val="en-AU"/>
              </w:rPr>
              <w:t xml:space="preserve"> consumers. </w:t>
            </w:r>
          </w:p>
        </w:tc>
      </w:tr>
      <w:tr w:rsidR="003D3694" w:rsidRPr="00747E35" w14:paraId="1BAEA018" w14:textId="77777777" w:rsidTr="00657288">
        <w:tc>
          <w:tcPr>
            <w:tcW w:w="3369" w:type="dxa"/>
            <w:shd w:val="clear" w:color="auto" w:fill="auto"/>
          </w:tcPr>
          <w:p w14:paraId="16C2FC2A" w14:textId="77777777" w:rsidR="003D3694" w:rsidRPr="00747E35" w:rsidRDefault="003D3694" w:rsidP="0096743A">
            <w:pPr>
              <w:pStyle w:val="Tabletext"/>
              <w:spacing w:before="0" w:after="0"/>
              <w:rPr>
                <w:rFonts w:cstheme="minorHAnsi"/>
                <w:lang w:val="en-AU"/>
              </w:rPr>
            </w:pPr>
            <w:r w:rsidRPr="00747E35">
              <w:rPr>
                <w:rFonts w:cstheme="minorHAnsi"/>
                <w:lang w:val="en-AU"/>
              </w:rPr>
              <w:t>7)</w:t>
            </w:r>
            <w:r w:rsidRPr="00747E35">
              <w:rPr>
                <w:rFonts w:cstheme="minorHAnsi"/>
                <w:sz w:val="24"/>
                <w:lang w:val="en-AU"/>
              </w:rPr>
              <w:t xml:space="preserve"> </w:t>
            </w:r>
            <w:r w:rsidRPr="00747E35">
              <w:rPr>
                <w:rFonts w:cstheme="minorHAnsi"/>
                <w:lang w:val="en-AU"/>
              </w:rPr>
              <w:t>How does stream flow regime affect fish diversity and abundance?</w:t>
            </w:r>
          </w:p>
        </w:tc>
        <w:tc>
          <w:tcPr>
            <w:tcW w:w="1134" w:type="dxa"/>
          </w:tcPr>
          <w:p w14:paraId="51508843" w14:textId="77777777" w:rsidR="003D3694" w:rsidRPr="00747E35" w:rsidRDefault="003D3694" w:rsidP="0096743A">
            <w:pPr>
              <w:pStyle w:val="Tabletext"/>
              <w:spacing w:before="0" w:after="0"/>
              <w:jc w:val="center"/>
              <w:rPr>
                <w:rFonts w:cstheme="minorHAnsi"/>
                <w:lang w:val="en-AU"/>
              </w:rPr>
            </w:pPr>
            <w:r w:rsidRPr="00747E35">
              <w:rPr>
                <w:rFonts w:cstheme="minorHAnsi"/>
                <w:lang w:val="en-AU"/>
              </w:rPr>
              <w:t>2</w:t>
            </w:r>
          </w:p>
        </w:tc>
        <w:tc>
          <w:tcPr>
            <w:tcW w:w="5557" w:type="dxa"/>
            <w:shd w:val="clear" w:color="auto" w:fill="auto"/>
          </w:tcPr>
          <w:p w14:paraId="1988443D" w14:textId="77777777" w:rsidR="003D3694" w:rsidRPr="00747E35" w:rsidRDefault="003D3694" w:rsidP="0096743A">
            <w:pPr>
              <w:pStyle w:val="Tabletext"/>
              <w:spacing w:before="0" w:after="0"/>
              <w:rPr>
                <w:rFonts w:cstheme="minorHAnsi"/>
                <w:lang w:val="en-AU"/>
              </w:rPr>
            </w:pPr>
            <w:r w:rsidRPr="00747E35">
              <w:rPr>
                <w:rFonts w:cstheme="minorHAnsi"/>
                <w:lang w:val="en-AU"/>
              </w:rPr>
              <w:t>Fish in riffles and pools were sampled in dry and wet phase in the upper Bremer River catchment sites.</w:t>
            </w:r>
          </w:p>
        </w:tc>
      </w:tr>
      <w:tr w:rsidR="003D3694" w:rsidRPr="00747E35" w14:paraId="13688F83" w14:textId="77777777" w:rsidTr="00657288">
        <w:tc>
          <w:tcPr>
            <w:tcW w:w="3369" w:type="dxa"/>
            <w:shd w:val="clear" w:color="auto" w:fill="auto"/>
          </w:tcPr>
          <w:p w14:paraId="15407A95" w14:textId="77777777" w:rsidR="003D3694" w:rsidRPr="00747E35" w:rsidRDefault="003D3694" w:rsidP="0096743A">
            <w:pPr>
              <w:pStyle w:val="Tabletext"/>
              <w:spacing w:before="0" w:after="0"/>
              <w:rPr>
                <w:rFonts w:cstheme="minorHAnsi"/>
                <w:lang w:val="en-AU"/>
              </w:rPr>
            </w:pPr>
            <w:r w:rsidRPr="00747E35">
              <w:rPr>
                <w:rFonts w:cstheme="minorHAnsi"/>
                <w:lang w:val="en-AU"/>
              </w:rPr>
              <w:t>8) How does stream flow regime and degree of substrate saturation affect nutrient (N) biogeochemical processes and organic matter Carbon (C) degradation rates in the hyporheic zone?</w:t>
            </w:r>
          </w:p>
        </w:tc>
        <w:tc>
          <w:tcPr>
            <w:tcW w:w="1134" w:type="dxa"/>
          </w:tcPr>
          <w:p w14:paraId="65AB7301" w14:textId="77777777" w:rsidR="003D3694" w:rsidRPr="00747E35" w:rsidRDefault="003D3694" w:rsidP="0096743A">
            <w:pPr>
              <w:pStyle w:val="Tabletext"/>
              <w:spacing w:before="0" w:after="0"/>
              <w:jc w:val="center"/>
              <w:rPr>
                <w:rFonts w:cstheme="minorHAnsi"/>
                <w:lang w:val="en-AU"/>
              </w:rPr>
            </w:pPr>
            <w:r w:rsidRPr="00747E35">
              <w:rPr>
                <w:rFonts w:cstheme="minorHAnsi"/>
                <w:lang w:val="en-AU"/>
              </w:rPr>
              <w:t>3</w:t>
            </w:r>
          </w:p>
        </w:tc>
        <w:tc>
          <w:tcPr>
            <w:tcW w:w="5557" w:type="dxa"/>
            <w:shd w:val="clear" w:color="auto" w:fill="auto"/>
          </w:tcPr>
          <w:p w14:paraId="7D67D523" w14:textId="77777777" w:rsidR="003D3694" w:rsidRPr="00747E35" w:rsidRDefault="003D3694" w:rsidP="0096743A">
            <w:pPr>
              <w:pStyle w:val="Tabletext"/>
              <w:spacing w:before="0" w:after="0"/>
              <w:rPr>
                <w:rFonts w:cstheme="minorHAnsi"/>
                <w:lang w:val="en-AU"/>
              </w:rPr>
            </w:pPr>
            <w:r w:rsidRPr="00747E35">
              <w:rPr>
                <w:rFonts w:cstheme="minorHAnsi"/>
                <w:lang w:val="en-AU"/>
              </w:rPr>
              <w:t xml:space="preserve">Nutrient (N) biogeochemical processes and organic matter carbon (C) degradation rates in the hyporheic zone were characterised by surface water and hyporheic pore water sampling. At Maules Creek this was done from the range of longitudinal surface water-groundwater hydrological regimes (from intermittent losing over perennial gaining to perennial losing). For the Bremer River this was done at five individual streams. The biogeochemical processes were characterised by measuring nutrients, redox, and organic and inorganic carbon in the context of local hyporheic exchange flow paths (downwelling-upwelling) and regional groundwater discharge. </w:t>
            </w:r>
          </w:p>
        </w:tc>
      </w:tr>
      <w:tr w:rsidR="003D3694" w:rsidRPr="00747E35" w14:paraId="605E2CBE" w14:textId="77777777" w:rsidTr="00657288">
        <w:tc>
          <w:tcPr>
            <w:tcW w:w="3369" w:type="dxa"/>
            <w:shd w:val="clear" w:color="auto" w:fill="auto"/>
          </w:tcPr>
          <w:p w14:paraId="2D56485E" w14:textId="77777777" w:rsidR="003D3694" w:rsidRPr="00747E35" w:rsidRDefault="003D3694" w:rsidP="0096743A">
            <w:pPr>
              <w:pStyle w:val="Tabletext"/>
              <w:spacing w:before="0" w:after="0"/>
              <w:rPr>
                <w:rFonts w:cstheme="minorHAnsi"/>
                <w:lang w:val="en-AU"/>
              </w:rPr>
            </w:pPr>
            <w:r w:rsidRPr="00747E35">
              <w:rPr>
                <w:rFonts w:cstheme="minorHAnsi"/>
                <w:lang w:val="en-AU"/>
              </w:rPr>
              <w:t>9). How does stream flow regime, hyporheic exchange and degree of substrate saturation affect invertebrate assemblages, and their associations with dissolved oxygen (DO) and hydrochemical processes in the hyporheic zone?</w:t>
            </w:r>
          </w:p>
        </w:tc>
        <w:tc>
          <w:tcPr>
            <w:tcW w:w="1134" w:type="dxa"/>
          </w:tcPr>
          <w:p w14:paraId="62230554" w14:textId="77777777" w:rsidR="003D3694" w:rsidRPr="00747E35" w:rsidRDefault="003D3694" w:rsidP="0096743A">
            <w:pPr>
              <w:pStyle w:val="Tabletext"/>
              <w:spacing w:before="0" w:after="0"/>
              <w:jc w:val="center"/>
              <w:rPr>
                <w:rFonts w:cstheme="minorHAnsi"/>
                <w:lang w:val="en-AU"/>
              </w:rPr>
            </w:pPr>
            <w:r w:rsidRPr="00747E35">
              <w:rPr>
                <w:rFonts w:cstheme="minorHAnsi"/>
                <w:lang w:val="en-AU"/>
              </w:rPr>
              <w:t>3</w:t>
            </w:r>
          </w:p>
        </w:tc>
        <w:tc>
          <w:tcPr>
            <w:tcW w:w="5557" w:type="dxa"/>
            <w:shd w:val="clear" w:color="auto" w:fill="auto"/>
          </w:tcPr>
          <w:p w14:paraId="749056C8" w14:textId="77777777" w:rsidR="003D3694" w:rsidRPr="00747E35" w:rsidRDefault="003D3694" w:rsidP="0096743A">
            <w:pPr>
              <w:pStyle w:val="Tabletext"/>
              <w:spacing w:before="0" w:after="0"/>
              <w:rPr>
                <w:rFonts w:cstheme="minorHAnsi"/>
                <w:lang w:val="en-AU"/>
              </w:rPr>
            </w:pPr>
            <w:r w:rsidRPr="00747E35">
              <w:rPr>
                <w:rFonts w:cstheme="minorHAnsi"/>
                <w:lang w:val="en-AU"/>
              </w:rPr>
              <w:t xml:space="preserve">Invertebrate faunal communities in the hyporheic zone were sampled with temporary piezometers installed in paired shallow (40 cm) and deep (approx. 80 cm) sub-sites (where possible), and in a range of flow-regime and hyporheic-exchange conditions. At Maules Creek three surface flow regimes were sampled - intermittent losing, perennial gaining and perennial losing. At Bremer River five streams with a range of flow regime expressions (characterised during study) were sampled. Invertebrate communities were identified and characterised, initially on higher level (family) taxonomy and degree of groundwater dependency (stygobite, stygophile, stygoxene), to identify assemblage patterns related to stream flow regime and hyporheic exchange. Abiotic variables were measured in each piezometer from which invertebrates were sampled.  Abiotic variables measured included flow regime, hyporheic exchange (via vertical hydraulic gradient), field physico-chemistry, major ions, nutrients, DO and redox sensitive species, DOC and FDOM (dissolved organic matter fluorescence). Associations between biotic and abiotic variables were explored and characterized initially with multivariate pattern analytical methods. Potential biotic and abiotic indicators of hyporheic ecosystem functioning were identified.  </w:t>
            </w:r>
          </w:p>
        </w:tc>
      </w:tr>
      <w:tr w:rsidR="003D3694" w:rsidRPr="00747E35" w14:paraId="2000097F" w14:textId="77777777" w:rsidTr="00657288">
        <w:tc>
          <w:tcPr>
            <w:tcW w:w="3369" w:type="dxa"/>
            <w:shd w:val="clear" w:color="auto" w:fill="auto"/>
          </w:tcPr>
          <w:p w14:paraId="17E7590E" w14:textId="77777777" w:rsidR="003D3694" w:rsidRPr="00747E35" w:rsidRDefault="003D3694" w:rsidP="0096743A">
            <w:pPr>
              <w:pStyle w:val="Tabletext"/>
              <w:spacing w:before="0" w:after="0"/>
              <w:rPr>
                <w:rFonts w:cstheme="minorHAnsi"/>
                <w:lang w:val="en-AU"/>
              </w:rPr>
            </w:pPr>
            <w:r w:rsidRPr="00747E35">
              <w:rPr>
                <w:rFonts w:cstheme="minorHAnsi"/>
                <w:lang w:val="en-AU"/>
              </w:rPr>
              <w:lastRenderedPageBreak/>
              <w:t>10). What is the degree of hydrologic connectivity, hydro chemical and invertebrate assemblage similarities, between the hyporheic zone and regional aquifer at Maules Creek, and what are the implications of this with respect to understanding and managing groundwater drawdown impacts on hyporheic ecosystems?</w:t>
            </w:r>
          </w:p>
        </w:tc>
        <w:tc>
          <w:tcPr>
            <w:tcW w:w="1134" w:type="dxa"/>
          </w:tcPr>
          <w:p w14:paraId="2150345F" w14:textId="77777777" w:rsidR="003D3694" w:rsidRPr="00747E35" w:rsidRDefault="003D3694" w:rsidP="0096743A">
            <w:pPr>
              <w:pStyle w:val="Tabletext"/>
              <w:spacing w:before="0" w:after="0"/>
              <w:jc w:val="center"/>
              <w:rPr>
                <w:rFonts w:cstheme="minorHAnsi"/>
                <w:lang w:val="en-AU"/>
              </w:rPr>
            </w:pPr>
            <w:r w:rsidRPr="00747E35">
              <w:rPr>
                <w:rFonts w:cstheme="minorHAnsi"/>
                <w:lang w:val="en-AU"/>
              </w:rPr>
              <w:t>3</w:t>
            </w:r>
          </w:p>
        </w:tc>
        <w:tc>
          <w:tcPr>
            <w:tcW w:w="5557" w:type="dxa"/>
            <w:shd w:val="clear" w:color="auto" w:fill="auto"/>
          </w:tcPr>
          <w:p w14:paraId="1CF5E287" w14:textId="77777777" w:rsidR="003D3694" w:rsidRPr="00747E35" w:rsidRDefault="003D3694" w:rsidP="0096743A">
            <w:pPr>
              <w:pStyle w:val="Tabletext"/>
              <w:spacing w:before="0" w:after="0"/>
              <w:rPr>
                <w:rFonts w:cstheme="minorHAnsi"/>
                <w:lang w:val="en-AU"/>
              </w:rPr>
            </w:pPr>
            <w:r w:rsidRPr="00747E35">
              <w:rPr>
                <w:rFonts w:cstheme="minorHAnsi"/>
                <w:lang w:val="en-AU"/>
              </w:rPr>
              <w:t xml:space="preserve">Fifteen groundwater bores located in the regional aquifers alongside Middle Creekand Maules Creek were sampled for stygofauna and hydrochemistry. The bores were equipped with water level loggers to record groundwater level fluctuations that were related to adjacent stream flow conditions. The hydrograph, hydrochemistry and invertebrate sampling results were analysed to evaluate the degree of hydroecological connectivity between the streams, hyporheic zone and the regional aquifer. Two field sampling campaigns were conducted: Sept-Oct 2015 and Feb-Mar 2016. </w:t>
            </w:r>
          </w:p>
        </w:tc>
      </w:tr>
      <w:tr w:rsidR="003D3694" w:rsidRPr="00747E35" w14:paraId="6513B613" w14:textId="77777777" w:rsidTr="00657288">
        <w:tc>
          <w:tcPr>
            <w:tcW w:w="3369" w:type="dxa"/>
          </w:tcPr>
          <w:p w14:paraId="3C79064F" w14:textId="77777777" w:rsidR="003D3694" w:rsidRPr="00747E35" w:rsidDel="006F0C16" w:rsidRDefault="003D3694" w:rsidP="0096743A">
            <w:pPr>
              <w:pStyle w:val="Tabletext"/>
              <w:spacing w:before="0" w:after="0"/>
              <w:rPr>
                <w:rFonts w:cstheme="minorHAnsi"/>
                <w:lang w:val="en-AU"/>
              </w:rPr>
            </w:pPr>
            <w:r w:rsidRPr="00747E35">
              <w:rPr>
                <w:rFonts w:cstheme="minorHAnsi"/>
              </w:rPr>
              <w:t>11). What is the current state of knowledge available concerning freshwater biodiversity endemic to GAB springs, with respect to taxonomy, distribution, population status, population connectivity, ecology and threats and how does this knowledge vary among taxa?</w:t>
            </w:r>
          </w:p>
        </w:tc>
        <w:tc>
          <w:tcPr>
            <w:tcW w:w="1134" w:type="dxa"/>
          </w:tcPr>
          <w:p w14:paraId="09F3CEE2" w14:textId="77777777" w:rsidR="003D3694" w:rsidRPr="00747E35" w:rsidDel="006F0C16" w:rsidRDefault="003D3694" w:rsidP="0096743A">
            <w:pPr>
              <w:pStyle w:val="Tabletext"/>
              <w:spacing w:before="0" w:after="0"/>
              <w:jc w:val="center"/>
              <w:rPr>
                <w:rFonts w:cstheme="minorHAnsi"/>
                <w:lang w:val="en-AU"/>
              </w:rPr>
            </w:pPr>
            <w:r w:rsidRPr="00747E35">
              <w:rPr>
                <w:rFonts w:cstheme="minorHAnsi"/>
                <w:lang w:val="en-AU"/>
              </w:rPr>
              <w:t>4</w:t>
            </w:r>
          </w:p>
        </w:tc>
        <w:tc>
          <w:tcPr>
            <w:tcW w:w="5557" w:type="dxa"/>
          </w:tcPr>
          <w:p w14:paraId="695460D5" w14:textId="77777777" w:rsidR="003D3694" w:rsidRPr="00747E35" w:rsidDel="006F0C16" w:rsidRDefault="003D3694" w:rsidP="0096743A">
            <w:pPr>
              <w:pStyle w:val="Tabletext"/>
              <w:spacing w:before="0" w:after="0"/>
              <w:rPr>
                <w:rFonts w:cstheme="minorHAnsi"/>
                <w:lang w:val="en-AU"/>
              </w:rPr>
            </w:pPr>
            <w:r w:rsidRPr="00747E35">
              <w:rPr>
                <w:rFonts w:cstheme="minorHAnsi"/>
              </w:rPr>
              <w:t xml:space="preserve">We undertook a comprehensive and systematic literature review, supplemented with assessments and review by relevant experts and on-the-ground managers of spring wetlands and spring-dependent species as well as a semi-quantitative assessment of information availability for each taxa. </w:t>
            </w:r>
          </w:p>
        </w:tc>
      </w:tr>
      <w:tr w:rsidR="003D3694" w:rsidRPr="00747E35" w14:paraId="63350384" w14:textId="77777777" w:rsidTr="00657288">
        <w:tc>
          <w:tcPr>
            <w:tcW w:w="3369" w:type="dxa"/>
          </w:tcPr>
          <w:p w14:paraId="403CE9EB" w14:textId="77777777" w:rsidR="003D3694" w:rsidRPr="00747E35" w:rsidDel="006F0C16" w:rsidRDefault="003D3694" w:rsidP="0096743A">
            <w:pPr>
              <w:pStyle w:val="Tabletext"/>
              <w:spacing w:before="0" w:after="0"/>
              <w:rPr>
                <w:rFonts w:cstheme="minorHAnsi"/>
                <w:lang w:val="en-AU"/>
              </w:rPr>
            </w:pPr>
            <w:r w:rsidRPr="00747E35">
              <w:rPr>
                <w:rFonts w:cstheme="minorHAnsi"/>
              </w:rPr>
              <w:t>12). What are the key environmental determinants of the distribution and biodiversity patterns (e.g. taxonomic and phylogenetic richness, diversity and endemism) of taxa endemic to GAB springs?</w:t>
            </w:r>
          </w:p>
        </w:tc>
        <w:tc>
          <w:tcPr>
            <w:tcW w:w="1134" w:type="dxa"/>
          </w:tcPr>
          <w:p w14:paraId="7BE6AF3D" w14:textId="77777777" w:rsidR="003D3694" w:rsidRPr="00747E35" w:rsidDel="006F0C16" w:rsidRDefault="003D3694" w:rsidP="0096743A">
            <w:pPr>
              <w:pStyle w:val="Tabletext"/>
              <w:spacing w:before="0" w:after="0"/>
              <w:jc w:val="center"/>
              <w:rPr>
                <w:rFonts w:cstheme="minorHAnsi"/>
                <w:lang w:val="en-AU"/>
              </w:rPr>
            </w:pPr>
            <w:r w:rsidRPr="00747E35">
              <w:rPr>
                <w:rFonts w:cstheme="minorHAnsi"/>
                <w:lang w:val="en-AU"/>
              </w:rPr>
              <w:t>4</w:t>
            </w:r>
          </w:p>
        </w:tc>
        <w:tc>
          <w:tcPr>
            <w:tcW w:w="5557" w:type="dxa"/>
          </w:tcPr>
          <w:p w14:paraId="5BDDB351" w14:textId="77777777" w:rsidR="003D3694" w:rsidRPr="00747E35" w:rsidDel="006F0C16" w:rsidRDefault="003D3694" w:rsidP="0096743A">
            <w:pPr>
              <w:pStyle w:val="Tabletext"/>
              <w:spacing w:before="0" w:after="0"/>
              <w:rPr>
                <w:rFonts w:cstheme="minorHAnsi"/>
                <w:lang w:val="en-AU"/>
              </w:rPr>
            </w:pPr>
            <w:r w:rsidRPr="00747E35">
              <w:rPr>
                <w:rFonts w:cstheme="minorHAnsi"/>
              </w:rPr>
              <w:t xml:space="preserve">We used species distribution data to quantify spatial variation in biodiversity values of spring complexes. We used a range of explanatory statistical modelling methods to quantify relationships of spatial variation in biodiversity and species composition to a set of ecologically-relevant environmental attributes describing spring complexes. </w:t>
            </w:r>
          </w:p>
        </w:tc>
      </w:tr>
      <w:tr w:rsidR="003D3694" w:rsidRPr="00747E35" w14:paraId="3B8BBC86" w14:textId="77777777" w:rsidTr="00657288">
        <w:tc>
          <w:tcPr>
            <w:tcW w:w="3369" w:type="dxa"/>
          </w:tcPr>
          <w:p w14:paraId="03D4B7AC" w14:textId="77777777" w:rsidR="003D3694" w:rsidRPr="00747E35" w:rsidDel="006F0C16" w:rsidRDefault="003D3694" w:rsidP="0096743A">
            <w:pPr>
              <w:pStyle w:val="Tabletext"/>
              <w:spacing w:before="0" w:after="0"/>
              <w:rPr>
                <w:rFonts w:cstheme="minorHAnsi"/>
                <w:lang w:val="en-AU"/>
              </w:rPr>
            </w:pPr>
            <w:r w:rsidRPr="00747E35">
              <w:rPr>
                <w:rFonts w:cstheme="minorHAnsi"/>
              </w:rPr>
              <w:t>13). How well do existing conservation measures (i.e. representation within protected areas, inclusion in species’ conservation status listings) align with our new assessment of the taxonomy and present-day distribution of GAB endemic taxa?</w:t>
            </w:r>
          </w:p>
        </w:tc>
        <w:tc>
          <w:tcPr>
            <w:tcW w:w="1134" w:type="dxa"/>
          </w:tcPr>
          <w:p w14:paraId="1296F75C" w14:textId="77777777" w:rsidR="003D3694" w:rsidRPr="00747E35" w:rsidDel="006F0C16" w:rsidRDefault="003D3694" w:rsidP="0096743A">
            <w:pPr>
              <w:pStyle w:val="Tabletext"/>
              <w:spacing w:before="0" w:after="0"/>
              <w:jc w:val="center"/>
              <w:rPr>
                <w:rFonts w:cstheme="minorHAnsi"/>
                <w:lang w:val="en-AU"/>
              </w:rPr>
            </w:pPr>
            <w:r w:rsidRPr="00747E35">
              <w:rPr>
                <w:rFonts w:cstheme="minorHAnsi"/>
                <w:lang w:val="en-AU"/>
              </w:rPr>
              <w:t>4</w:t>
            </w:r>
          </w:p>
        </w:tc>
        <w:tc>
          <w:tcPr>
            <w:tcW w:w="5557" w:type="dxa"/>
          </w:tcPr>
          <w:p w14:paraId="449C4EE7" w14:textId="77777777" w:rsidR="003D3694" w:rsidRPr="00747E35" w:rsidDel="006F0C16" w:rsidRDefault="003D3694" w:rsidP="0096743A">
            <w:pPr>
              <w:pStyle w:val="Tabletext"/>
              <w:spacing w:before="0" w:after="0"/>
              <w:rPr>
                <w:rFonts w:cstheme="minorHAnsi"/>
                <w:lang w:val="en-AU"/>
              </w:rPr>
            </w:pPr>
            <w:r w:rsidRPr="00747E35">
              <w:rPr>
                <w:rFonts w:cstheme="minorHAnsi"/>
              </w:rPr>
              <w:t>We evaluated current conservation status listing of GAB endemics (using various state, federal and international listings) with respect to our new data on species distributions to identify those species worthy of consideration for elevated conservation status.  We also quantified representation of spring complexes and endemic spring taxa within existing protected areas to evaluate current levels of protection and identify gaps.</w:t>
            </w:r>
          </w:p>
        </w:tc>
      </w:tr>
      <w:tr w:rsidR="003D3694" w:rsidRPr="00747E35" w14:paraId="5201B915" w14:textId="77777777" w:rsidTr="00657288">
        <w:tc>
          <w:tcPr>
            <w:tcW w:w="3369" w:type="dxa"/>
          </w:tcPr>
          <w:p w14:paraId="7ACC3AE4" w14:textId="77777777" w:rsidR="003D3694" w:rsidRPr="00747E35" w:rsidDel="006F0C16" w:rsidRDefault="003D3694" w:rsidP="0096743A">
            <w:pPr>
              <w:pStyle w:val="Tabletext"/>
              <w:spacing w:before="0" w:after="0"/>
              <w:rPr>
                <w:rFonts w:cstheme="minorHAnsi"/>
                <w:lang w:val="en-AU"/>
              </w:rPr>
            </w:pPr>
            <w:r w:rsidRPr="00747E35">
              <w:rPr>
                <w:rFonts w:cstheme="minorHAnsi"/>
              </w:rPr>
              <w:t>14). How does relative exposure to the different threats posed by groundwater drawdown and other stressors vary among GAB spring complexes?</w:t>
            </w:r>
          </w:p>
        </w:tc>
        <w:tc>
          <w:tcPr>
            <w:tcW w:w="1134" w:type="dxa"/>
          </w:tcPr>
          <w:p w14:paraId="07FC3158" w14:textId="77777777" w:rsidR="003D3694" w:rsidRPr="00747E35" w:rsidDel="006F0C16" w:rsidRDefault="003D3694" w:rsidP="0096743A">
            <w:pPr>
              <w:pStyle w:val="Tabletext"/>
              <w:spacing w:before="0" w:after="0"/>
              <w:jc w:val="center"/>
              <w:rPr>
                <w:rFonts w:cstheme="minorHAnsi"/>
                <w:lang w:val="en-AU"/>
              </w:rPr>
            </w:pPr>
            <w:r w:rsidRPr="00747E35">
              <w:rPr>
                <w:rFonts w:cstheme="minorHAnsi"/>
                <w:lang w:val="en-AU"/>
              </w:rPr>
              <w:t>4</w:t>
            </w:r>
          </w:p>
        </w:tc>
        <w:tc>
          <w:tcPr>
            <w:tcW w:w="5557" w:type="dxa"/>
          </w:tcPr>
          <w:p w14:paraId="70FDC1D3" w14:textId="77777777" w:rsidR="003D3694" w:rsidRPr="00747E35" w:rsidDel="006F0C16" w:rsidRDefault="003D3694" w:rsidP="0096743A">
            <w:pPr>
              <w:pStyle w:val="Tabletext"/>
              <w:spacing w:before="0" w:after="0"/>
              <w:rPr>
                <w:rFonts w:cstheme="minorHAnsi"/>
                <w:lang w:val="en-AU"/>
              </w:rPr>
            </w:pPr>
            <w:r w:rsidRPr="00747E35">
              <w:rPr>
                <w:rFonts w:cstheme="minorHAnsi"/>
              </w:rPr>
              <w:t xml:space="preserve">We quantified the relative exposure of each GAB spring complex to five major current threats including aquifer (groundwater) drawdown, human modification of springs, disturbance from livestock and feral animals, introduced flora and introduced aquatic fauna. This analysis was undertaken with existing readily available data layers and Arc GIS. From this analysis we identified spring complexes that are exposed to the greatest number and intensity of threats. </w:t>
            </w:r>
          </w:p>
        </w:tc>
      </w:tr>
      <w:tr w:rsidR="003D3694" w:rsidRPr="00747E35" w14:paraId="488D493F" w14:textId="77777777" w:rsidTr="00657288">
        <w:tc>
          <w:tcPr>
            <w:tcW w:w="3369" w:type="dxa"/>
          </w:tcPr>
          <w:p w14:paraId="2726372B" w14:textId="77777777" w:rsidR="003D3694" w:rsidRPr="00747E35" w:rsidDel="006F0C16" w:rsidRDefault="003D3694" w:rsidP="0096743A">
            <w:pPr>
              <w:pStyle w:val="Tabletext"/>
              <w:spacing w:before="0" w:after="0"/>
              <w:rPr>
                <w:rFonts w:cstheme="minorHAnsi"/>
                <w:lang w:val="en-AU"/>
              </w:rPr>
            </w:pPr>
            <w:r w:rsidRPr="00747E35">
              <w:rPr>
                <w:rFonts w:cstheme="minorHAnsi"/>
              </w:rPr>
              <w:t>15). How does vulnerability to threats posed by groundwater drawdown and other stressors vary among endemic flora and fauna of GAB spring wetlands?</w:t>
            </w:r>
          </w:p>
        </w:tc>
        <w:tc>
          <w:tcPr>
            <w:tcW w:w="1134" w:type="dxa"/>
          </w:tcPr>
          <w:p w14:paraId="001F2C9D" w14:textId="77777777" w:rsidR="003D3694" w:rsidRPr="00747E35" w:rsidDel="006F0C16" w:rsidRDefault="003D3694" w:rsidP="0096743A">
            <w:pPr>
              <w:pStyle w:val="Tabletext"/>
              <w:spacing w:before="0" w:after="0"/>
              <w:jc w:val="center"/>
              <w:rPr>
                <w:rFonts w:cstheme="minorHAnsi"/>
                <w:lang w:val="en-AU"/>
              </w:rPr>
            </w:pPr>
            <w:r w:rsidRPr="00747E35">
              <w:rPr>
                <w:rFonts w:cstheme="minorHAnsi"/>
                <w:lang w:val="en-AU"/>
              </w:rPr>
              <w:t>4</w:t>
            </w:r>
          </w:p>
        </w:tc>
        <w:tc>
          <w:tcPr>
            <w:tcW w:w="5557" w:type="dxa"/>
          </w:tcPr>
          <w:p w14:paraId="46FF3B28" w14:textId="77777777" w:rsidR="003D3694" w:rsidRPr="00747E35" w:rsidDel="006F0C16" w:rsidRDefault="003D3694" w:rsidP="0096743A">
            <w:pPr>
              <w:pStyle w:val="Tabletext"/>
              <w:spacing w:before="0" w:after="0"/>
              <w:rPr>
                <w:rFonts w:cstheme="minorHAnsi"/>
                <w:lang w:val="en-AU"/>
              </w:rPr>
            </w:pPr>
            <w:r w:rsidRPr="00747E35">
              <w:rPr>
                <w:rFonts w:cstheme="minorHAnsi"/>
              </w:rPr>
              <w:t xml:space="preserve">We used expert elicitation to assess taxa vulnerability to each threat. Our approach incorporated measures of resistance, resilience and certainty and was informed by literature, ecological theory, unpublished data and expert knowledge. </w:t>
            </w:r>
          </w:p>
        </w:tc>
      </w:tr>
      <w:tr w:rsidR="003D3694" w:rsidRPr="00747E35" w14:paraId="55B9BB3A" w14:textId="77777777" w:rsidTr="00657288">
        <w:tc>
          <w:tcPr>
            <w:tcW w:w="3369" w:type="dxa"/>
          </w:tcPr>
          <w:p w14:paraId="6F3FC456" w14:textId="77777777" w:rsidR="003D3694" w:rsidRPr="00747E35" w:rsidDel="006F0C16" w:rsidRDefault="003D3694" w:rsidP="0096743A">
            <w:pPr>
              <w:pStyle w:val="Tabletext"/>
              <w:spacing w:before="0" w:after="0"/>
              <w:rPr>
                <w:rFonts w:cstheme="minorHAnsi"/>
                <w:lang w:val="en-AU"/>
              </w:rPr>
            </w:pPr>
            <w:r w:rsidRPr="00747E35">
              <w:rPr>
                <w:rFonts w:cstheme="minorHAnsi"/>
              </w:rPr>
              <w:t>16). Which GAB spring complexes are at the highest cumulative risk (i.e. contain high number of vulnerable species and are exposed to the highest threat intensities)?</w:t>
            </w:r>
          </w:p>
        </w:tc>
        <w:tc>
          <w:tcPr>
            <w:tcW w:w="1134" w:type="dxa"/>
          </w:tcPr>
          <w:p w14:paraId="7C5BF7E5" w14:textId="77777777" w:rsidR="003D3694" w:rsidRPr="00747E35" w:rsidDel="006F0C16" w:rsidRDefault="003D3694" w:rsidP="0096743A">
            <w:pPr>
              <w:pStyle w:val="Tabletext"/>
              <w:spacing w:before="0" w:after="0"/>
              <w:jc w:val="center"/>
              <w:rPr>
                <w:rFonts w:cstheme="minorHAnsi"/>
                <w:lang w:val="en-AU"/>
              </w:rPr>
            </w:pPr>
            <w:r w:rsidRPr="00747E35">
              <w:rPr>
                <w:rFonts w:cstheme="minorHAnsi"/>
                <w:lang w:val="en-AU"/>
              </w:rPr>
              <w:t>4</w:t>
            </w:r>
          </w:p>
        </w:tc>
        <w:tc>
          <w:tcPr>
            <w:tcW w:w="5557" w:type="dxa"/>
          </w:tcPr>
          <w:p w14:paraId="6F4218AE" w14:textId="77777777" w:rsidR="003D3694" w:rsidRPr="00747E35" w:rsidDel="006F0C16" w:rsidRDefault="003D3694" w:rsidP="0096743A">
            <w:pPr>
              <w:pStyle w:val="Tabletext"/>
              <w:spacing w:before="0" w:after="0"/>
              <w:rPr>
                <w:rFonts w:cstheme="minorHAnsi"/>
                <w:lang w:val="en-AU"/>
              </w:rPr>
            </w:pPr>
            <w:r w:rsidRPr="00747E35">
              <w:rPr>
                <w:rFonts w:cstheme="minorHAnsi"/>
              </w:rPr>
              <w:t>We used a well-established and robust cumulative risk assessment method to estimate cumulative risks to spring complexes from multiple threats.  The approach combined threat exposure data with taxon occurrences and certainty-weighted taxon vulnerability to threats to assess the overall risk for each complex.  From these data, we evaluated: 1) which complexes are exposed to the greatest number and intensity of threats; 2) how vulnerability to threats varies among species; and, 3) which complexes are at the highest risk (i.e. contain high number of vulnerable species and are exposed to the highest threat intensities).</w:t>
            </w:r>
          </w:p>
        </w:tc>
      </w:tr>
      <w:tr w:rsidR="003D3694" w:rsidRPr="00747E35" w14:paraId="5BB19EBC" w14:textId="77777777" w:rsidTr="00657288">
        <w:tc>
          <w:tcPr>
            <w:tcW w:w="3369" w:type="dxa"/>
          </w:tcPr>
          <w:p w14:paraId="51508F30" w14:textId="77777777" w:rsidR="003D3694" w:rsidRPr="00747E35" w:rsidDel="006F0C16" w:rsidRDefault="003D3694" w:rsidP="0096743A">
            <w:pPr>
              <w:pStyle w:val="Tabletext"/>
              <w:spacing w:before="0" w:after="0"/>
              <w:rPr>
                <w:rFonts w:cstheme="minorHAnsi"/>
                <w:lang w:val="en-AU"/>
              </w:rPr>
            </w:pPr>
            <w:r w:rsidRPr="00747E35">
              <w:rPr>
                <w:rFonts w:cstheme="minorHAnsi"/>
              </w:rPr>
              <w:t>17). What on-ground management and monitoring activities are appropriate for managing threats in GAB spring complexes identified as being at highest risk?</w:t>
            </w:r>
          </w:p>
        </w:tc>
        <w:tc>
          <w:tcPr>
            <w:tcW w:w="1134" w:type="dxa"/>
          </w:tcPr>
          <w:p w14:paraId="1A920C97" w14:textId="77777777" w:rsidR="003D3694" w:rsidRPr="00747E35" w:rsidDel="006F0C16" w:rsidRDefault="003D3694" w:rsidP="0096743A">
            <w:pPr>
              <w:pStyle w:val="Tabletext"/>
              <w:spacing w:before="0" w:after="0"/>
              <w:jc w:val="center"/>
              <w:rPr>
                <w:rFonts w:cstheme="minorHAnsi"/>
                <w:lang w:val="en-AU"/>
              </w:rPr>
            </w:pPr>
            <w:r w:rsidRPr="00747E35">
              <w:rPr>
                <w:rFonts w:cstheme="minorHAnsi"/>
                <w:lang w:val="en-AU"/>
              </w:rPr>
              <w:t>4</w:t>
            </w:r>
          </w:p>
        </w:tc>
        <w:tc>
          <w:tcPr>
            <w:tcW w:w="5557" w:type="dxa"/>
          </w:tcPr>
          <w:p w14:paraId="6FF9C2C3" w14:textId="77777777" w:rsidR="003D3694" w:rsidRPr="00747E35" w:rsidDel="006F0C16" w:rsidRDefault="003D3694" w:rsidP="0096743A">
            <w:pPr>
              <w:pStyle w:val="Tabletext"/>
              <w:spacing w:before="0" w:after="0"/>
              <w:rPr>
                <w:rFonts w:cstheme="minorHAnsi"/>
                <w:lang w:val="en-AU"/>
              </w:rPr>
            </w:pPr>
            <w:r w:rsidRPr="00747E35">
              <w:rPr>
                <w:rFonts w:cstheme="minorHAnsi"/>
              </w:rPr>
              <w:t>We reviewed the literature to synthesise on-ground management and monitoring to ameliorate or mitigate threats to GAB springs.</w:t>
            </w:r>
          </w:p>
        </w:tc>
      </w:tr>
    </w:tbl>
    <w:p w14:paraId="482381B7" w14:textId="77777777" w:rsidR="003D3694" w:rsidRPr="00747E35" w:rsidRDefault="003D3694" w:rsidP="003D3694">
      <w:pPr>
        <w:rPr>
          <w:rFonts w:asciiTheme="minorHAnsi" w:hAnsiTheme="minorHAnsi" w:cstheme="minorHAnsi"/>
        </w:rPr>
      </w:pPr>
    </w:p>
    <w:p w14:paraId="15342725" w14:textId="27B62D1E" w:rsidR="003D3694" w:rsidRPr="00747E35" w:rsidRDefault="003D3694" w:rsidP="003D3694">
      <w:pPr>
        <w:pStyle w:val="Heading2"/>
        <w:rPr>
          <w:rFonts w:asciiTheme="minorHAnsi" w:hAnsiTheme="minorHAnsi" w:cstheme="minorHAnsi"/>
        </w:rPr>
      </w:pPr>
      <w:bookmarkStart w:id="35" w:name="_Toc470004821"/>
      <w:r w:rsidRPr="00747E35">
        <w:rPr>
          <w:rFonts w:asciiTheme="minorHAnsi" w:hAnsiTheme="minorHAnsi" w:cstheme="minorHAnsi"/>
        </w:rPr>
        <w:t>References</w:t>
      </w:r>
      <w:bookmarkEnd w:id="35"/>
    </w:p>
    <w:p w14:paraId="0CCE6BDE" w14:textId="2735232C" w:rsidR="003D3694" w:rsidRPr="00747E35" w:rsidRDefault="000A29BB" w:rsidP="00A64AF8">
      <w:pPr>
        <w:pStyle w:val="References"/>
        <w:ind w:left="284" w:hanging="284"/>
        <w:rPr>
          <w:rFonts w:asciiTheme="minorHAnsi" w:hAnsiTheme="minorHAnsi" w:cstheme="minorHAnsi"/>
        </w:rPr>
      </w:pPr>
      <w:r>
        <w:rPr>
          <w:rFonts w:asciiTheme="minorHAnsi" w:hAnsiTheme="minorHAnsi" w:cstheme="minorHAnsi"/>
        </w:rPr>
        <w:lastRenderedPageBreak/>
        <w:t>Brunner P., Simmons</w:t>
      </w:r>
      <w:r w:rsidR="003D3694" w:rsidRPr="00747E35">
        <w:rPr>
          <w:rFonts w:asciiTheme="minorHAnsi" w:hAnsiTheme="minorHAnsi" w:cstheme="minorHAnsi"/>
        </w:rPr>
        <w:t xml:space="preserve"> C. </w:t>
      </w:r>
      <w:r w:rsidR="00864114">
        <w:rPr>
          <w:rFonts w:asciiTheme="minorHAnsi" w:hAnsiTheme="minorHAnsi" w:cstheme="minorHAnsi"/>
        </w:rPr>
        <w:t>&amp;</w:t>
      </w:r>
      <w:r>
        <w:rPr>
          <w:rFonts w:asciiTheme="minorHAnsi" w:hAnsiTheme="minorHAnsi" w:cstheme="minorHAnsi"/>
        </w:rPr>
        <w:t xml:space="preserve"> Cook</w:t>
      </w:r>
      <w:r w:rsidR="003D3694" w:rsidRPr="00747E35">
        <w:rPr>
          <w:rFonts w:asciiTheme="minorHAnsi" w:hAnsiTheme="minorHAnsi" w:cstheme="minorHAnsi"/>
        </w:rPr>
        <w:t xml:space="preserve"> P</w:t>
      </w:r>
      <w:r>
        <w:rPr>
          <w:rFonts w:asciiTheme="minorHAnsi" w:hAnsiTheme="minorHAnsi" w:cstheme="minorHAnsi"/>
        </w:rPr>
        <w:t>.</w:t>
      </w:r>
      <w:r w:rsidR="003D3694" w:rsidRPr="00747E35">
        <w:rPr>
          <w:rFonts w:asciiTheme="minorHAnsi" w:hAnsiTheme="minorHAnsi" w:cstheme="minorHAnsi"/>
        </w:rPr>
        <w:t xml:space="preserve"> </w:t>
      </w:r>
      <w:r w:rsidR="00864114">
        <w:rPr>
          <w:rFonts w:asciiTheme="minorHAnsi" w:hAnsiTheme="minorHAnsi" w:cstheme="minorHAnsi"/>
        </w:rPr>
        <w:t>(</w:t>
      </w:r>
      <w:r w:rsidR="003D3694" w:rsidRPr="00747E35">
        <w:rPr>
          <w:rFonts w:asciiTheme="minorHAnsi" w:hAnsiTheme="minorHAnsi" w:cstheme="minorHAnsi"/>
        </w:rPr>
        <w:t>2009</w:t>
      </w:r>
      <w:r w:rsidR="00864114">
        <w:rPr>
          <w:rFonts w:asciiTheme="minorHAnsi" w:hAnsiTheme="minorHAnsi" w:cstheme="minorHAnsi"/>
        </w:rPr>
        <w:t>)</w:t>
      </w:r>
      <w:r w:rsidR="003D3694" w:rsidRPr="00747E35">
        <w:rPr>
          <w:rFonts w:asciiTheme="minorHAnsi" w:hAnsiTheme="minorHAnsi" w:cstheme="minorHAnsi"/>
        </w:rPr>
        <w:t>. Spatial and temporal aspects of the transition from connection to disconnection between rivers, lakes and groundwater</w:t>
      </w:r>
      <w:r w:rsidR="00864114">
        <w:rPr>
          <w:rFonts w:asciiTheme="minorHAnsi" w:hAnsiTheme="minorHAnsi" w:cstheme="minorHAnsi"/>
        </w:rPr>
        <w:t>.</w:t>
      </w:r>
      <w:r w:rsidR="003D3694" w:rsidRPr="00747E35">
        <w:rPr>
          <w:rFonts w:asciiTheme="minorHAnsi" w:hAnsiTheme="minorHAnsi" w:cstheme="minorHAnsi"/>
        </w:rPr>
        <w:t xml:space="preserve"> </w:t>
      </w:r>
      <w:r w:rsidR="003D3694" w:rsidRPr="00864114">
        <w:rPr>
          <w:rFonts w:asciiTheme="minorHAnsi" w:hAnsiTheme="minorHAnsi" w:cstheme="minorHAnsi"/>
          <w:i/>
        </w:rPr>
        <w:t>Journal of Hydrology</w:t>
      </w:r>
      <w:r w:rsidR="003D3694" w:rsidRPr="00747E35">
        <w:rPr>
          <w:rFonts w:asciiTheme="minorHAnsi" w:hAnsiTheme="minorHAnsi" w:cstheme="minorHAnsi"/>
        </w:rPr>
        <w:t xml:space="preserve"> 376:</w:t>
      </w:r>
      <w:r w:rsidR="00864114">
        <w:rPr>
          <w:rFonts w:asciiTheme="minorHAnsi" w:hAnsiTheme="minorHAnsi" w:cstheme="minorHAnsi"/>
        </w:rPr>
        <w:t xml:space="preserve"> </w:t>
      </w:r>
      <w:r w:rsidR="003D3694" w:rsidRPr="00747E35">
        <w:rPr>
          <w:rFonts w:asciiTheme="minorHAnsi" w:hAnsiTheme="minorHAnsi" w:cstheme="minorHAnsi"/>
        </w:rPr>
        <w:t>159-169.</w:t>
      </w:r>
    </w:p>
    <w:p w14:paraId="660CEAAE" w14:textId="1362D4EC" w:rsidR="003D3694" w:rsidRPr="00747E35" w:rsidRDefault="000A29BB" w:rsidP="00A64AF8">
      <w:pPr>
        <w:pStyle w:val="References"/>
        <w:ind w:left="284" w:hanging="284"/>
        <w:rPr>
          <w:rFonts w:asciiTheme="minorHAnsi" w:hAnsiTheme="minorHAnsi" w:cstheme="minorHAnsi"/>
        </w:rPr>
      </w:pPr>
      <w:r>
        <w:rPr>
          <w:rFonts w:asciiTheme="minorHAnsi" w:hAnsiTheme="minorHAnsi" w:cstheme="minorHAnsi"/>
        </w:rPr>
        <w:t>Liu Q., Yasufuku N., Miao</w:t>
      </w:r>
      <w:r w:rsidR="00864114">
        <w:rPr>
          <w:rFonts w:asciiTheme="minorHAnsi" w:hAnsiTheme="minorHAnsi" w:cstheme="minorHAnsi"/>
        </w:rPr>
        <w:t xml:space="preserve"> J.</w:t>
      </w:r>
      <w:r w:rsidR="003D3694" w:rsidRPr="00747E35">
        <w:rPr>
          <w:rFonts w:asciiTheme="minorHAnsi" w:hAnsiTheme="minorHAnsi" w:cstheme="minorHAnsi"/>
        </w:rPr>
        <w:t xml:space="preserve"> </w:t>
      </w:r>
      <w:r w:rsidR="00864114">
        <w:rPr>
          <w:rFonts w:asciiTheme="minorHAnsi" w:hAnsiTheme="minorHAnsi" w:cstheme="minorHAnsi"/>
        </w:rPr>
        <w:t xml:space="preserve">&amp; </w:t>
      </w:r>
      <w:r>
        <w:rPr>
          <w:rFonts w:asciiTheme="minorHAnsi" w:hAnsiTheme="minorHAnsi" w:cstheme="minorHAnsi"/>
        </w:rPr>
        <w:t>Ren</w:t>
      </w:r>
      <w:r w:rsidR="003D3694" w:rsidRPr="00747E35">
        <w:rPr>
          <w:rFonts w:asciiTheme="minorHAnsi" w:hAnsiTheme="minorHAnsi" w:cstheme="minorHAnsi"/>
        </w:rPr>
        <w:t xml:space="preserve"> J.</w:t>
      </w:r>
      <w:r w:rsidR="00864114">
        <w:rPr>
          <w:rFonts w:asciiTheme="minorHAnsi" w:hAnsiTheme="minorHAnsi" w:cstheme="minorHAnsi"/>
        </w:rPr>
        <w:t xml:space="preserve"> (</w:t>
      </w:r>
      <w:r w:rsidR="003D3694" w:rsidRPr="00747E35">
        <w:rPr>
          <w:rFonts w:asciiTheme="minorHAnsi" w:hAnsiTheme="minorHAnsi" w:cstheme="minorHAnsi"/>
        </w:rPr>
        <w:t>2014</w:t>
      </w:r>
      <w:r w:rsidR="00864114">
        <w:rPr>
          <w:rFonts w:asciiTheme="minorHAnsi" w:hAnsiTheme="minorHAnsi" w:cstheme="minorHAnsi"/>
        </w:rPr>
        <w:t>)</w:t>
      </w:r>
      <w:r w:rsidR="003D3694" w:rsidRPr="00747E35">
        <w:rPr>
          <w:rFonts w:asciiTheme="minorHAnsi" w:hAnsiTheme="minorHAnsi" w:cstheme="minorHAnsi"/>
        </w:rPr>
        <w:t xml:space="preserve">. An approach for quick estimation of maximum height of capillary rise. </w:t>
      </w:r>
      <w:r w:rsidR="003D3694" w:rsidRPr="00864114">
        <w:rPr>
          <w:rFonts w:asciiTheme="minorHAnsi" w:hAnsiTheme="minorHAnsi" w:cstheme="minorHAnsi"/>
          <w:i/>
        </w:rPr>
        <w:t>Soils and Foundations</w:t>
      </w:r>
      <w:r w:rsidR="003D3694" w:rsidRPr="00747E35">
        <w:rPr>
          <w:rFonts w:asciiTheme="minorHAnsi" w:hAnsiTheme="minorHAnsi" w:cstheme="minorHAnsi"/>
        </w:rPr>
        <w:t xml:space="preserve"> 54</w:t>
      </w:r>
      <w:r w:rsidR="00864114">
        <w:rPr>
          <w:rFonts w:asciiTheme="minorHAnsi" w:hAnsiTheme="minorHAnsi" w:cstheme="minorHAnsi"/>
        </w:rPr>
        <w:t>:</w:t>
      </w:r>
      <w:r w:rsidR="003D3694" w:rsidRPr="00747E35">
        <w:rPr>
          <w:rFonts w:asciiTheme="minorHAnsi" w:hAnsiTheme="minorHAnsi" w:cstheme="minorHAnsi"/>
        </w:rPr>
        <w:t xml:space="preserve"> 1241–1245</w:t>
      </w:r>
    </w:p>
    <w:p w14:paraId="1893F68C" w14:textId="399E6C12" w:rsidR="003D3694" w:rsidRPr="00747E35" w:rsidRDefault="003D3694" w:rsidP="00A64AF8">
      <w:pPr>
        <w:pStyle w:val="References"/>
        <w:ind w:left="284" w:hanging="284"/>
        <w:rPr>
          <w:rFonts w:asciiTheme="minorHAnsi" w:hAnsiTheme="minorHAnsi" w:cstheme="minorHAnsi"/>
        </w:rPr>
      </w:pPr>
      <w:r w:rsidRPr="00747E35">
        <w:rPr>
          <w:rFonts w:asciiTheme="minorHAnsi" w:hAnsiTheme="minorHAnsi" w:cstheme="minorHAnsi"/>
        </w:rPr>
        <w:t xml:space="preserve">SKM </w:t>
      </w:r>
      <w:r w:rsidR="00864114">
        <w:rPr>
          <w:rFonts w:asciiTheme="minorHAnsi" w:hAnsiTheme="minorHAnsi" w:cstheme="minorHAnsi"/>
        </w:rPr>
        <w:t>(</w:t>
      </w:r>
      <w:r w:rsidRPr="00747E35">
        <w:rPr>
          <w:rFonts w:asciiTheme="minorHAnsi" w:hAnsiTheme="minorHAnsi" w:cstheme="minorHAnsi"/>
        </w:rPr>
        <w:t>2011</w:t>
      </w:r>
      <w:r w:rsidR="00864114">
        <w:rPr>
          <w:rFonts w:asciiTheme="minorHAnsi" w:hAnsiTheme="minorHAnsi" w:cstheme="minorHAnsi"/>
        </w:rPr>
        <w:t>).</w:t>
      </w:r>
      <w:r w:rsidRPr="00747E35">
        <w:rPr>
          <w:rFonts w:asciiTheme="minorHAnsi" w:hAnsiTheme="minorHAnsi" w:cstheme="minorHAnsi"/>
        </w:rPr>
        <w:t xml:space="preserve"> National framework for integrated management of connected groundwater and surface water systems, Waterlines report, National Water Commission, Canberra</w:t>
      </w:r>
    </w:p>
    <w:p w14:paraId="7F660A75" w14:textId="2CF6E572" w:rsidR="003D3694" w:rsidRPr="00747E35" w:rsidRDefault="000A29BB" w:rsidP="00A64AF8">
      <w:pPr>
        <w:pStyle w:val="References"/>
        <w:ind w:left="284" w:hanging="284"/>
        <w:rPr>
          <w:rFonts w:asciiTheme="minorHAnsi" w:hAnsiTheme="minorHAnsi" w:cstheme="minorHAnsi"/>
        </w:rPr>
      </w:pPr>
      <w:r>
        <w:rPr>
          <w:rFonts w:asciiTheme="minorHAnsi" w:hAnsiTheme="minorHAnsi" w:cstheme="minorHAnsi"/>
        </w:rPr>
        <w:t>Ward</w:t>
      </w:r>
      <w:r w:rsidR="00864114">
        <w:rPr>
          <w:rFonts w:asciiTheme="minorHAnsi" w:hAnsiTheme="minorHAnsi" w:cstheme="minorHAnsi"/>
        </w:rPr>
        <w:t xml:space="preserve"> J.</w:t>
      </w:r>
      <w:r w:rsidR="003D3694" w:rsidRPr="00747E35">
        <w:rPr>
          <w:rFonts w:asciiTheme="minorHAnsi" w:hAnsiTheme="minorHAnsi" w:cstheme="minorHAnsi"/>
        </w:rPr>
        <w:t xml:space="preserve">V. </w:t>
      </w:r>
      <w:r w:rsidR="00864114">
        <w:rPr>
          <w:rFonts w:asciiTheme="minorHAnsi" w:hAnsiTheme="minorHAnsi" w:cstheme="minorHAnsi"/>
        </w:rPr>
        <w:t>(</w:t>
      </w:r>
      <w:r w:rsidR="003D3694" w:rsidRPr="00747E35">
        <w:rPr>
          <w:rFonts w:asciiTheme="minorHAnsi" w:hAnsiTheme="minorHAnsi" w:cstheme="minorHAnsi"/>
        </w:rPr>
        <w:t>1989</w:t>
      </w:r>
      <w:r w:rsidR="00864114">
        <w:rPr>
          <w:rFonts w:asciiTheme="minorHAnsi" w:hAnsiTheme="minorHAnsi" w:cstheme="minorHAnsi"/>
        </w:rPr>
        <w:t>)</w:t>
      </w:r>
      <w:r w:rsidR="003D3694" w:rsidRPr="00747E35">
        <w:rPr>
          <w:rFonts w:asciiTheme="minorHAnsi" w:hAnsiTheme="minorHAnsi" w:cstheme="minorHAnsi"/>
        </w:rPr>
        <w:t xml:space="preserve">. The four dimensional nature of lotic ecosystems. </w:t>
      </w:r>
      <w:r w:rsidR="003D3694" w:rsidRPr="00864114">
        <w:rPr>
          <w:rFonts w:asciiTheme="minorHAnsi" w:hAnsiTheme="minorHAnsi" w:cstheme="minorHAnsi"/>
          <w:i/>
        </w:rPr>
        <w:t>J</w:t>
      </w:r>
      <w:r>
        <w:rPr>
          <w:rFonts w:asciiTheme="minorHAnsi" w:hAnsiTheme="minorHAnsi" w:cstheme="minorHAnsi"/>
          <w:i/>
        </w:rPr>
        <w:t xml:space="preserve">ournal of the </w:t>
      </w:r>
      <w:r w:rsidR="003D3694" w:rsidRPr="00864114">
        <w:rPr>
          <w:rFonts w:asciiTheme="minorHAnsi" w:hAnsiTheme="minorHAnsi" w:cstheme="minorHAnsi"/>
          <w:i/>
        </w:rPr>
        <w:t>N</w:t>
      </w:r>
      <w:r>
        <w:rPr>
          <w:rFonts w:asciiTheme="minorHAnsi" w:hAnsiTheme="minorHAnsi" w:cstheme="minorHAnsi"/>
          <w:i/>
        </w:rPr>
        <w:t>orth</w:t>
      </w:r>
      <w:r w:rsidR="003D3694" w:rsidRPr="00864114">
        <w:rPr>
          <w:rFonts w:asciiTheme="minorHAnsi" w:hAnsiTheme="minorHAnsi" w:cstheme="minorHAnsi"/>
          <w:i/>
        </w:rPr>
        <w:t xml:space="preserve"> Am</w:t>
      </w:r>
      <w:r>
        <w:rPr>
          <w:rFonts w:asciiTheme="minorHAnsi" w:hAnsiTheme="minorHAnsi" w:cstheme="minorHAnsi"/>
          <w:i/>
        </w:rPr>
        <w:t>erican</w:t>
      </w:r>
      <w:r w:rsidR="003D3694" w:rsidRPr="00864114">
        <w:rPr>
          <w:rFonts w:asciiTheme="minorHAnsi" w:hAnsiTheme="minorHAnsi" w:cstheme="minorHAnsi"/>
          <w:i/>
        </w:rPr>
        <w:t xml:space="preserve"> Benthol</w:t>
      </w:r>
      <w:r>
        <w:rPr>
          <w:rFonts w:asciiTheme="minorHAnsi" w:hAnsiTheme="minorHAnsi" w:cstheme="minorHAnsi"/>
          <w:i/>
        </w:rPr>
        <w:t>ogical</w:t>
      </w:r>
      <w:r w:rsidR="003D3694" w:rsidRPr="00864114">
        <w:rPr>
          <w:rFonts w:asciiTheme="minorHAnsi" w:hAnsiTheme="minorHAnsi" w:cstheme="minorHAnsi"/>
          <w:i/>
        </w:rPr>
        <w:t xml:space="preserve"> Soc</w:t>
      </w:r>
      <w:r>
        <w:rPr>
          <w:rFonts w:asciiTheme="minorHAnsi" w:hAnsiTheme="minorHAnsi" w:cstheme="minorHAnsi"/>
          <w:i/>
        </w:rPr>
        <w:t>iety</w:t>
      </w:r>
      <w:r w:rsidR="003D3694" w:rsidRPr="00747E35">
        <w:rPr>
          <w:rFonts w:asciiTheme="minorHAnsi" w:hAnsiTheme="minorHAnsi" w:cstheme="minorHAnsi"/>
        </w:rPr>
        <w:t>. 8: 2-8.</w:t>
      </w:r>
    </w:p>
    <w:p w14:paraId="08AC3427" w14:textId="77777777" w:rsidR="003D3694" w:rsidRPr="00747E35" w:rsidRDefault="003D3694" w:rsidP="003D3694">
      <w:pPr>
        <w:autoSpaceDE/>
        <w:autoSpaceDN/>
        <w:spacing w:line="276" w:lineRule="auto"/>
        <w:rPr>
          <w:rFonts w:asciiTheme="minorHAnsi" w:hAnsiTheme="minorHAnsi" w:cstheme="minorHAnsi"/>
        </w:rPr>
      </w:pPr>
      <w:r w:rsidRPr="00747E35">
        <w:rPr>
          <w:rFonts w:asciiTheme="minorHAnsi" w:hAnsiTheme="minorHAnsi" w:cstheme="minorHAnsi"/>
        </w:rPr>
        <w:br w:type="page"/>
      </w:r>
    </w:p>
    <w:p w14:paraId="51596334" w14:textId="2D33C38D" w:rsidR="003D3694" w:rsidRPr="00747E35" w:rsidRDefault="003D3694" w:rsidP="00657288">
      <w:pPr>
        <w:pStyle w:val="Heading1"/>
        <w:ind w:right="452"/>
        <w:rPr>
          <w:rFonts w:asciiTheme="minorHAnsi" w:eastAsiaTheme="majorEastAsia" w:hAnsiTheme="minorHAnsi" w:cstheme="minorHAnsi"/>
        </w:rPr>
      </w:pPr>
      <w:bookmarkStart w:id="36" w:name="_Toc470004822"/>
      <w:bookmarkEnd w:id="10"/>
      <w:r w:rsidRPr="00747E35">
        <w:rPr>
          <w:rFonts w:asciiTheme="minorHAnsi" w:eastAsiaTheme="majorEastAsia" w:hAnsiTheme="minorHAnsi" w:cstheme="minorHAnsi"/>
        </w:rPr>
        <w:lastRenderedPageBreak/>
        <w:t>Component 1 – Groundwater dependent vegetation</w:t>
      </w:r>
      <w:bookmarkEnd w:id="36"/>
      <w:r w:rsidRPr="00747E35">
        <w:rPr>
          <w:rFonts w:asciiTheme="minorHAnsi" w:eastAsiaTheme="majorEastAsia" w:hAnsiTheme="minorHAnsi" w:cstheme="minorHAnsi"/>
        </w:rPr>
        <w:t xml:space="preserve"> </w:t>
      </w:r>
    </w:p>
    <w:p w14:paraId="6D3FB414" w14:textId="77777777" w:rsidR="003D3694" w:rsidRPr="00747E35" w:rsidRDefault="003D3694" w:rsidP="00657288">
      <w:pPr>
        <w:ind w:right="452"/>
        <w:rPr>
          <w:rFonts w:asciiTheme="minorHAnsi" w:hAnsiTheme="minorHAnsi" w:cstheme="minorHAnsi"/>
          <w:vertAlign w:val="superscript"/>
        </w:rPr>
      </w:pPr>
      <w:r w:rsidRPr="00747E35">
        <w:rPr>
          <w:rFonts w:asciiTheme="minorHAnsi" w:hAnsiTheme="minorHAnsi" w:cstheme="minorHAnsi"/>
        </w:rPr>
        <w:t>Neil E Pettit</w:t>
      </w:r>
      <w:r w:rsidRPr="00747E35">
        <w:rPr>
          <w:rFonts w:asciiTheme="minorHAnsi" w:hAnsiTheme="minorHAnsi" w:cstheme="minorHAnsi"/>
          <w:vertAlign w:val="superscript"/>
        </w:rPr>
        <w:t>1</w:t>
      </w:r>
      <w:r w:rsidRPr="00747E35">
        <w:rPr>
          <w:rFonts w:asciiTheme="minorHAnsi" w:hAnsiTheme="minorHAnsi" w:cstheme="minorHAnsi"/>
        </w:rPr>
        <w:t>, Irina Emelyanova</w:t>
      </w:r>
      <w:r w:rsidRPr="00747E35">
        <w:rPr>
          <w:rFonts w:asciiTheme="minorHAnsi" w:hAnsiTheme="minorHAnsi" w:cstheme="minorHAnsi"/>
          <w:vertAlign w:val="superscript"/>
        </w:rPr>
        <w:t>2</w:t>
      </w:r>
      <w:r w:rsidRPr="00747E35">
        <w:rPr>
          <w:rFonts w:asciiTheme="minorHAnsi" w:hAnsiTheme="minorHAnsi" w:cstheme="minorHAnsi"/>
        </w:rPr>
        <w:t>, Olga Barron</w:t>
      </w:r>
      <w:r w:rsidRPr="00747E35">
        <w:rPr>
          <w:rFonts w:asciiTheme="minorHAnsi" w:hAnsiTheme="minorHAnsi" w:cstheme="minorHAnsi"/>
          <w:vertAlign w:val="superscript"/>
        </w:rPr>
        <w:t>2</w:t>
      </w:r>
      <w:r w:rsidRPr="00747E35">
        <w:rPr>
          <w:rFonts w:asciiTheme="minorHAnsi" w:hAnsiTheme="minorHAnsi" w:cstheme="minorHAnsi"/>
        </w:rPr>
        <w:t xml:space="preserve"> and Ray H Froend</w:t>
      </w:r>
      <w:r w:rsidRPr="00747E35">
        <w:rPr>
          <w:rFonts w:asciiTheme="minorHAnsi" w:hAnsiTheme="minorHAnsi" w:cstheme="minorHAnsi"/>
          <w:vertAlign w:val="superscript"/>
        </w:rPr>
        <w:t>1</w:t>
      </w:r>
    </w:p>
    <w:p w14:paraId="3FEC5C93" w14:textId="77777777" w:rsidR="003D3694" w:rsidRPr="00747E35" w:rsidRDefault="003D3694" w:rsidP="00657288">
      <w:pPr>
        <w:ind w:right="452"/>
        <w:rPr>
          <w:rFonts w:asciiTheme="minorHAnsi" w:hAnsiTheme="minorHAnsi" w:cstheme="minorHAnsi"/>
        </w:rPr>
      </w:pPr>
      <w:r w:rsidRPr="00747E35">
        <w:rPr>
          <w:rFonts w:asciiTheme="minorHAnsi" w:hAnsiTheme="minorHAnsi" w:cstheme="minorHAnsi"/>
          <w:vertAlign w:val="superscript"/>
        </w:rPr>
        <w:t>1</w:t>
      </w:r>
      <w:r w:rsidRPr="00747E35">
        <w:rPr>
          <w:rFonts w:asciiTheme="minorHAnsi" w:hAnsiTheme="minorHAnsi" w:cstheme="minorHAnsi"/>
        </w:rPr>
        <w:t>School of Science, Edith Cowan University, Joondalup, Western Australia.</w:t>
      </w:r>
    </w:p>
    <w:p w14:paraId="69A8503C" w14:textId="77777777" w:rsidR="003D3694" w:rsidRPr="00747E35" w:rsidRDefault="003D3694" w:rsidP="00657288">
      <w:pPr>
        <w:ind w:right="452"/>
        <w:rPr>
          <w:rFonts w:asciiTheme="minorHAnsi" w:hAnsiTheme="minorHAnsi" w:cstheme="minorHAnsi"/>
        </w:rPr>
      </w:pPr>
      <w:r w:rsidRPr="00747E35">
        <w:rPr>
          <w:rFonts w:asciiTheme="minorHAnsi" w:hAnsiTheme="minorHAnsi" w:cstheme="minorHAnsi"/>
          <w:vertAlign w:val="superscript"/>
        </w:rPr>
        <w:t>2</w:t>
      </w:r>
      <w:r w:rsidRPr="00747E35">
        <w:rPr>
          <w:rFonts w:asciiTheme="minorHAnsi" w:hAnsiTheme="minorHAnsi" w:cstheme="minorHAnsi"/>
        </w:rPr>
        <w:t>CSIRO, Land and Water, Floreat Park, Western Australia.</w:t>
      </w:r>
    </w:p>
    <w:p w14:paraId="791B1005" w14:textId="77777777" w:rsidR="003D3694" w:rsidRPr="00747E35" w:rsidRDefault="003D3694" w:rsidP="00657288">
      <w:pPr>
        <w:ind w:right="452"/>
        <w:rPr>
          <w:rFonts w:asciiTheme="minorHAnsi" w:hAnsiTheme="minorHAnsi" w:cstheme="minorHAnsi"/>
        </w:rPr>
      </w:pPr>
    </w:p>
    <w:p w14:paraId="1E42842F" w14:textId="157F293D" w:rsidR="003D3694" w:rsidRPr="00747E35" w:rsidRDefault="003D3694" w:rsidP="00657288">
      <w:pPr>
        <w:pStyle w:val="Heading2"/>
        <w:ind w:right="452"/>
        <w:rPr>
          <w:rFonts w:asciiTheme="minorHAnsi" w:hAnsiTheme="minorHAnsi" w:cstheme="minorHAnsi"/>
        </w:rPr>
      </w:pPr>
      <w:bookmarkStart w:id="37" w:name="_Toc470004823"/>
      <w:r w:rsidRPr="00747E35">
        <w:rPr>
          <w:rFonts w:asciiTheme="minorHAnsi" w:hAnsiTheme="minorHAnsi" w:cstheme="minorHAnsi"/>
        </w:rPr>
        <w:t>Introduction</w:t>
      </w:r>
      <w:bookmarkEnd w:id="37"/>
    </w:p>
    <w:p w14:paraId="78D5B5FE" w14:textId="77777777" w:rsidR="003D3694" w:rsidRPr="00747E35" w:rsidRDefault="003D3694" w:rsidP="00657288">
      <w:pPr>
        <w:ind w:right="452"/>
        <w:rPr>
          <w:rFonts w:asciiTheme="minorHAnsi" w:hAnsiTheme="minorHAnsi" w:cstheme="minorHAnsi"/>
        </w:rPr>
      </w:pPr>
      <w:r w:rsidRPr="00747E35">
        <w:rPr>
          <w:rFonts w:asciiTheme="minorHAnsi" w:hAnsiTheme="minorHAnsi" w:cstheme="minorHAnsi"/>
        </w:rPr>
        <w:t xml:space="preserve">Plants maximise their water-use efficiency through the use of the most readily available water and so plant communities are likely to have a highly complex dependence on water from different sources.  These can include soil-stored water in most instances, and deeper, less accessible groundwater sources under drying conditions. Groundwater sources are particularly important for plants in areas where rainfall is low, either annually or seasonally, and when drought conditions prevail for all or some part of the year. Therefore, plants may access shallow groundwater on a permanent, seasonal or episodic basis and different species assemblages may develop that are characteristic of the predominant groundwater / surface water hydrological regime (Cassanova 2010).  Phreatophytes are plants that habitually obtain water from groundwater, viz. the zone of saturation, either directly or indirectly through the capillary fringe above the water table (Meinzer 1927). The distribution of phreatophytic plants generally reflects an adaptation to the dry conditions of arid or semi-arid regions in which they occur (Thomas 2014), but phreatophytes can also occur in other temperate or tropical regions where there are periods of seasonal drought. </w:t>
      </w:r>
    </w:p>
    <w:p w14:paraId="39B3D6F2" w14:textId="77777777" w:rsidR="003D3694" w:rsidRPr="00747E35" w:rsidRDefault="003D3694" w:rsidP="00657288">
      <w:pPr>
        <w:ind w:right="452"/>
        <w:rPr>
          <w:rFonts w:asciiTheme="minorHAnsi" w:hAnsiTheme="minorHAnsi" w:cstheme="minorHAnsi"/>
        </w:rPr>
      </w:pPr>
      <w:r w:rsidRPr="00747E35">
        <w:rPr>
          <w:rFonts w:asciiTheme="minorHAnsi" w:hAnsiTheme="minorHAnsi" w:cstheme="minorHAnsi"/>
        </w:rPr>
        <w:t xml:space="preserve">The role of groundwater in supporting vegetation across hydrological gradients and in different biophysical settings is poorly understood and knowledge is usually site specific and based on the detailed study of only a few species. Recent research on long-term changes in phreatophytic vegetation composition (Sommer &amp; Froend 2014) revealed the dynamics between functional classes of plant species and hydrological gradients, defined by accessibility to groundwater. However, a general typology of vegetation and groundwater interactions does not exist. Consequently, attempts to assess potential ecological impacts of groundwater drawdown as a result of coal seam gas (CSG) and coal mining developments in a variety of biophysical settings have been hampered by a lack of accepted conceptual models of groundwater-dependent vegetation ecology. </w:t>
      </w:r>
    </w:p>
    <w:p w14:paraId="4349DD8D" w14:textId="6926AC87" w:rsidR="003D3694" w:rsidRPr="00747E35" w:rsidRDefault="003D3694" w:rsidP="00657288">
      <w:pPr>
        <w:ind w:right="452"/>
        <w:rPr>
          <w:rFonts w:asciiTheme="minorHAnsi" w:hAnsiTheme="minorHAnsi" w:cstheme="minorHAnsi"/>
        </w:rPr>
      </w:pPr>
      <w:r w:rsidRPr="00747E35">
        <w:rPr>
          <w:rFonts w:asciiTheme="minorHAnsi" w:hAnsiTheme="minorHAnsi" w:cstheme="minorHAnsi"/>
        </w:rPr>
        <w:t xml:space="preserve">This project has developed a typology of plant functional types in relation to groundwater and how this and other hydrological mechanisms structure plant communities. In developing a typology, the project has identified functionally similar plant species or communities with shared groundwater requirements (hydrotypes) and investigated whether hydrotypes in different biophysical settings share responses to changes in hydrological regime (Sommer &amp; Froend 2014). Critical to the development of the typology and prediction of the response of plant communities to groundwater drawdown is a more detailed understanding of the relationship of plants and the hydrological environment.  Plant functional types combine attributes of plant physiology, plant communities and ecosystem processes so that they provide an integration of species and environmental interactions (Diaz et al. 1997). Growth forms such as annual and perennial, herbs and woody plants, are indicators of responses to the environment such as capture of light, nutrients and water and of the links between key plant traits and plant response and function </w:t>
      </w:r>
      <w:r w:rsidRPr="00747E35">
        <w:rPr>
          <w:rFonts w:asciiTheme="minorHAnsi" w:hAnsiTheme="minorHAnsi" w:cstheme="minorHAnsi"/>
        </w:rPr>
        <w:lastRenderedPageBreak/>
        <w:t xml:space="preserve">(Chapin 1993). Ecologically, wetland plants have morphological and physiological responses to water availability and can be described according to where their photosynthetic parts are in relation to the water: submerged, floating, emergent, semi-terrestrial and terrestrial (Brock &amp; Casanova 1997).  It is expected that the natural spatial and temporal patterns in water distribution and recharge across the lowland and upland landscape determine the availability of water to vegetation and consequently are reflected in plant distribution, composition, productivity and relative dependence on groundwater. In this project, we used a combination of field studies and desktop modeling to develop a classification of hydrotypes within plant communities according to their groundwater dependencies. This typology will assist in assessing potential ecological impacts of changes to groundwater availability, as the proportion of different hydrotypes within a habitat will provide an indication of the degree of reliance on groundwater. Furthermore, detected changes over time in the proportion of different hydrotypes in a community will indicate possible changes in the hydrological regime (e.g. groundwater drawdown) operating within that area. </w:t>
      </w:r>
    </w:p>
    <w:p w14:paraId="03C549AF" w14:textId="77777777" w:rsidR="003D3694" w:rsidRPr="00747E35" w:rsidRDefault="003D3694" w:rsidP="00657288">
      <w:pPr>
        <w:ind w:right="452"/>
        <w:rPr>
          <w:rFonts w:asciiTheme="minorHAnsi" w:hAnsiTheme="minorHAnsi" w:cstheme="minorHAnsi"/>
        </w:rPr>
      </w:pPr>
      <w:r w:rsidRPr="00747E35">
        <w:rPr>
          <w:rFonts w:asciiTheme="minorHAnsi" w:hAnsiTheme="minorHAnsi" w:cstheme="minorHAnsi"/>
        </w:rPr>
        <w:t>In general, there are uncertainties regarding the potential for recovery of groundwater-dependent vegetation exposed to a reduction in groundwater availability. Previous studies of trees growing above shallow groundwater have identified a dynamic interaction between deep roots and groundwater (Guevara et al. 2010, Vonlanthen et al. 2011, Canham et al. 2012), suggesting mature trees have the capacity to adapt to declining water tables (Richardson et al. 2011). Whether this interaction is common to all plants that access groundwater in different biophysical settings is not known. The water source partitioning of key plant hydrotypes in these different biophysical settings can be determined through analysis of the natural abundance of stable isotopes of water (</w:t>
      </w:r>
      <w:r w:rsidRPr="00747E35">
        <w:rPr>
          <w:rFonts w:asciiTheme="minorHAnsi" w:hAnsiTheme="minorHAnsi" w:cstheme="minorHAnsi"/>
          <w:i/>
          <w:iCs/>
        </w:rPr>
        <w:t>δ</w:t>
      </w:r>
      <w:r w:rsidRPr="00747E35">
        <w:rPr>
          <w:rFonts w:asciiTheme="minorHAnsi" w:hAnsiTheme="minorHAnsi" w:cstheme="minorHAnsi"/>
          <w:vertAlign w:val="superscript"/>
        </w:rPr>
        <w:t>18</w:t>
      </w:r>
      <w:r w:rsidRPr="00747E35">
        <w:rPr>
          <w:rFonts w:asciiTheme="minorHAnsi" w:hAnsiTheme="minorHAnsi" w:cstheme="minorHAnsi"/>
        </w:rPr>
        <w:t>O</w:t>
      </w:r>
      <w:r w:rsidRPr="00747E35" w:rsidDel="00D30201">
        <w:rPr>
          <w:rFonts w:asciiTheme="minorHAnsi" w:hAnsiTheme="minorHAnsi" w:cstheme="minorHAnsi"/>
          <w:i/>
          <w:iCs/>
        </w:rPr>
        <w:t xml:space="preserve"> </w:t>
      </w:r>
      <w:r w:rsidRPr="00747E35">
        <w:rPr>
          <w:rFonts w:asciiTheme="minorHAnsi" w:hAnsiTheme="minorHAnsi" w:cstheme="minorHAnsi"/>
        </w:rPr>
        <w:t xml:space="preserve">and </w:t>
      </w:r>
      <w:r w:rsidRPr="00747E35">
        <w:rPr>
          <w:rFonts w:asciiTheme="minorHAnsi" w:hAnsiTheme="minorHAnsi" w:cstheme="minorHAnsi"/>
          <w:i/>
          <w:iCs/>
        </w:rPr>
        <w:t>δ</w:t>
      </w:r>
      <w:r w:rsidRPr="00747E35">
        <w:rPr>
          <w:rFonts w:asciiTheme="minorHAnsi" w:hAnsiTheme="minorHAnsi" w:cstheme="minorHAnsi"/>
          <w:vertAlign w:val="superscript"/>
        </w:rPr>
        <w:t>2</w:t>
      </w:r>
      <w:r w:rsidRPr="00747E35">
        <w:rPr>
          <w:rFonts w:asciiTheme="minorHAnsi" w:hAnsiTheme="minorHAnsi" w:cstheme="minorHAnsi"/>
        </w:rPr>
        <w:t xml:space="preserve">H), in an effort to represent the relative importance of groundwater as a plant water source in different hydrological conditions. The abundance of the naturally occurring stable isotopes of water is a standard tool to determine the source of water used by plants (Dawson and Ehleringer, 1991, Adams and Grierson, 2001). For this project, we examined the spatial variability of the isotopes </w:t>
      </w:r>
      <w:r w:rsidRPr="00747E35">
        <w:rPr>
          <w:rFonts w:asciiTheme="minorHAnsi" w:hAnsiTheme="minorHAnsi" w:cstheme="minorHAnsi"/>
          <w:i/>
          <w:iCs/>
        </w:rPr>
        <w:t>δ</w:t>
      </w:r>
      <w:r w:rsidRPr="00747E35">
        <w:rPr>
          <w:rFonts w:asciiTheme="minorHAnsi" w:hAnsiTheme="minorHAnsi" w:cstheme="minorHAnsi"/>
          <w:vertAlign w:val="superscript"/>
        </w:rPr>
        <w:t>18</w:t>
      </w:r>
      <w:r w:rsidRPr="00747E35">
        <w:rPr>
          <w:rFonts w:asciiTheme="minorHAnsi" w:hAnsiTheme="minorHAnsi" w:cstheme="minorHAnsi"/>
        </w:rPr>
        <w:t>O</w:t>
      </w:r>
      <w:r w:rsidRPr="00747E35" w:rsidDel="00D30201">
        <w:rPr>
          <w:rFonts w:asciiTheme="minorHAnsi" w:hAnsiTheme="minorHAnsi" w:cstheme="minorHAnsi"/>
          <w:i/>
          <w:iCs/>
        </w:rPr>
        <w:t xml:space="preserve"> </w:t>
      </w:r>
      <w:r w:rsidRPr="00747E35">
        <w:rPr>
          <w:rFonts w:asciiTheme="minorHAnsi" w:hAnsiTheme="minorHAnsi" w:cstheme="minorHAnsi"/>
        </w:rPr>
        <w:t xml:space="preserve">and </w:t>
      </w:r>
      <w:r w:rsidRPr="00747E35">
        <w:rPr>
          <w:rFonts w:asciiTheme="minorHAnsi" w:hAnsiTheme="minorHAnsi" w:cstheme="minorHAnsi"/>
          <w:i/>
          <w:iCs/>
        </w:rPr>
        <w:t>δ</w:t>
      </w:r>
      <w:r w:rsidRPr="00747E35">
        <w:rPr>
          <w:rFonts w:asciiTheme="minorHAnsi" w:hAnsiTheme="minorHAnsi" w:cstheme="minorHAnsi"/>
          <w:vertAlign w:val="superscript"/>
        </w:rPr>
        <w:t>2</w:t>
      </w:r>
      <w:r w:rsidRPr="00747E35">
        <w:rPr>
          <w:rFonts w:asciiTheme="minorHAnsi" w:hAnsiTheme="minorHAnsi" w:cstheme="minorHAnsi"/>
        </w:rPr>
        <w:t xml:space="preserve">H in xylem water, soil water and groundwater along transects spanning the elevation gradient of the riparian zone and the floodplain, in perennial and intermittent sections of the stream. Groundwater use can be determined by comparing xylem </w:t>
      </w:r>
      <w:r w:rsidRPr="00747E35">
        <w:rPr>
          <w:rFonts w:asciiTheme="minorHAnsi" w:hAnsiTheme="minorHAnsi" w:cstheme="minorHAnsi"/>
          <w:i/>
          <w:iCs/>
        </w:rPr>
        <w:t>δ</w:t>
      </w:r>
      <w:r w:rsidRPr="00747E35">
        <w:rPr>
          <w:rFonts w:asciiTheme="minorHAnsi" w:hAnsiTheme="minorHAnsi" w:cstheme="minorHAnsi"/>
          <w:vertAlign w:val="superscript"/>
        </w:rPr>
        <w:t>18</w:t>
      </w:r>
      <w:r w:rsidRPr="00747E35">
        <w:rPr>
          <w:rFonts w:asciiTheme="minorHAnsi" w:hAnsiTheme="minorHAnsi" w:cstheme="minorHAnsi"/>
        </w:rPr>
        <w:t>O</w:t>
      </w:r>
      <w:r w:rsidRPr="00747E35" w:rsidDel="00D30201">
        <w:rPr>
          <w:rFonts w:asciiTheme="minorHAnsi" w:hAnsiTheme="minorHAnsi" w:cstheme="minorHAnsi"/>
          <w:i/>
          <w:iCs/>
        </w:rPr>
        <w:t xml:space="preserve"> </w:t>
      </w:r>
      <w:r w:rsidRPr="00747E35">
        <w:rPr>
          <w:rFonts w:asciiTheme="minorHAnsi" w:hAnsiTheme="minorHAnsi" w:cstheme="minorHAnsi"/>
        </w:rPr>
        <w:t xml:space="preserve">and </w:t>
      </w:r>
      <w:r w:rsidRPr="00747E35">
        <w:rPr>
          <w:rFonts w:asciiTheme="minorHAnsi" w:hAnsiTheme="minorHAnsi" w:cstheme="minorHAnsi"/>
          <w:i/>
          <w:iCs/>
        </w:rPr>
        <w:t>δ</w:t>
      </w:r>
      <w:r w:rsidRPr="00747E35">
        <w:rPr>
          <w:rFonts w:asciiTheme="minorHAnsi" w:hAnsiTheme="minorHAnsi" w:cstheme="minorHAnsi"/>
          <w:vertAlign w:val="superscript"/>
        </w:rPr>
        <w:t>2</w:t>
      </w:r>
      <w:r w:rsidRPr="00747E35">
        <w:rPr>
          <w:rFonts w:asciiTheme="minorHAnsi" w:hAnsiTheme="minorHAnsi" w:cstheme="minorHAnsi"/>
        </w:rPr>
        <w:t xml:space="preserve">H to soil water and groundwater isotope ratios for the different landscape positions. Research on riparian and floodplain trees using this stable isotope methodology in different environments in Australia has provided evidence for trees using various combinations of groundwater, rainfall-derived shallow soil water, and stream water (Thorburn and Walker, 1994, Lamontagne et al. 2005, O’Grady et al. 2006, Pfautsch et al. 2015). This project component explored the use of groundwater by vegetation across an ecohydrological gradient extending from terrestrial to freshwater ecosystems. </w:t>
      </w:r>
    </w:p>
    <w:p w14:paraId="42A881C9" w14:textId="77777777" w:rsidR="003D3694" w:rsidRPr="00747E35" w:rsidRDefault="003D3694" w:rsidP="00657288">
      <w:pPr>
        <w:ind w:right="452"/>
        <w:rPr>
          <w:rFonts w:asciiTheme="minorHAnsi" w:hAnsiTheme="minorHAnsi" w:cstheme="minorHAnsi"/>
        </w:rPr>
      </w:pPr>
      <w:r w:rsidRPr="00747E35">
        <w:rPr>
          <w:rFonts w:asciiTheme="minorHAnsi" w:hAnsiTheme="minorHAnsi" w:cstheme="minorHAnsi"/>
        </w:rPr>
        <w:t>The use of archival data sets in the form of remotely sensed data can reveal longer-term temporal patterns and consistency of interactions with groundwater in different reaches and catchments. Remote sensing can be used to quantify the spatiotemporal variation in vegetation type and growth dynamics relative to water availability from local (e.g. stream reach) to landscape (e.g. catchment) scales. Plant productivity and groundwater relationships can be drawn from existing knowledge (e.g. Zolfaghar et al. 2014) and the application of new remote-sensing methods (Barron et al. 2014) to determine ecohydrological patterns over time and between different habitat types (riparian, floodplain, lower and upper slope).  Remote sensing data can help delineate groundwater-dependent ecosystems and the analysis of their dependency on various elements of the water regime (groundwater, surface water, soil water or purely rainfall). We use a combination of remotely sensed data and data describing water regime, allowing assessment of the extent of groundwater dependence of remanent vegetation at a catchment scale. Remote sensing (RS) techniques can also help in the characterisation of the groundwater environmental functions and the effect of changes in groundwater regime on groundwater-dependent environmental assets. Particular advantages of RS techniques include the availability of long-term historical satellite datasets and the ability to monitor large areas at low cost. The combination of on-</w:t>
      </w:r>
      <w:r w:rsidRPr="00747E35">
        <w:rPr>
          <w:rFonts w:asciiTheme="minorHAnsi" w:hAnsiTheme="minorHAnsi" w:cstheme="minorHAnsi"/>
        </w:rPr>
        <w:lastRenderedPageBreak/>
        <w:t>ground studies and remote sensing provides a critical linkage in understanding how plant communities may respond to groundwater drawdown at the local and catchment scales.</w:t>
      </w:r>
    </w:p>
    <w:p w14:paraId="5587D33C" w14:textId="77777777" w:rsidR="003D3694" w:rsidRPr="00747E35" w:rsidRDefault="003D3694" w:rsidP="00657288">
      <w:pPr>
        <w:ind w:right="452"/>
        <w:rPr>
          <w:rFonts w:asciiTheme="minorHAnsi" w:hAnsiTheme="minorHAnsi" w:cstheme="minorHAnsi"/>
        </w:rPr>
      </w:pPr>
      <w:r w:rsidRPr="00747E35">
        <w:rPr>
          <w:rFonts w:asciiTheme="minorHAnsi" w:hAnsiTheme="minorHAnsi" w:cstheme="minorHAnsi"/>
        </w:rPr>
        <w:t>The key research questions to address in developing a typology of interactions are:</w:t>
      </w:r>
    </w:p>
    <w:p w14:paraId="56BF8F1E" w14:textId="77777777" w:rsidR="003D3694" w:rsidRPr="00747E35" w:rsidRDefault="003D3694" w:rsidP="00657288">
      <w:pPr>
        <w:ind w:right="452"/>
        <w:rPr>
          <w:rFonts w:asciiTheme="minorHAnsi" w:hAnsiTheme="minorHAnsi" w:cstheme="minorHAnsi"/>
        </w:rPr>
      </w:pPr>
      <w:r w:rsidRPr="00747E35">
        <w:rPr>
          <w:rFonts w:asciiTheme="minorHAnsi" w:hAnsiTheme="minorHAnsi" w:cstheme="minorHAnsi"/>
          <w:i/>
        </w:rPr>
        <w:t>Research Question 1a</w:t>
      </w:r>
      <w:r w:rsidRPr="00747E35">
        <w:rPr>
          <w:rFonts w:asciiTheme="minorHAnsi" w:hAnsiTheme="minorHAnsi" w:cstheme="minorHAnsi"/>
        </w:rPr>
        <w:t>: What are the characteristics of plants that utilise groundwater and under what environmental conditions do they occur (typology of phreatophytic vegetation)?</w:t>
      </w:r>
    </w:p>
    <w:p w14:paraId="0DE26870" w14:textId="77777777" w:rsidR="003D3694" w:rsidRPr="00747E35" w:rsidRDefault="003D3694" w:rsidP="00657288">
      <w:pPr>
        <w:ind w:right="452"/>
        <w:rPr>
          <w:rFonts w:asciiTheme="minorHAnsi" w:hAnsiTheme="minorHAnsi" w:cstheme="minorHAnsi"/>
        </w:rPr>
      </w:pPr>
      <w:r w:rsidRPr="00747E35">
        <w:rPr>
          <w:rFonts w:asciiTheme="minorHAnsi" w:hAnsiTheme="minorHAnsi" w:cstheme="minorHAnsi"/>
          <w:i/>
        </w:rPr>
        <w:t>Research Question 1b:</w:t>
      </w:r>
      <w:r w:rsidRPr="00747E35">
        <w:rPr>
          <w:rFonts w:asciiTheme="minorHAnsi" w:hAnsiTheme="minorHAnsi" w:cstheme="minorHAnsi"/>
        </w:rPr>
        <w:t xml:space="preserve"> Are there functionally similar plants that share groundwater requirements (hydrotypes) and what is their distribution in relation to groundwater availability?</w:t>
      </w:r>
    </w:p>
    <w:p w14:paraId="41CD51CD" w14:textId="77777777" w:rsidR="003D3694" w:rsidRPr="00747E35" w:rsidRDefault="003D3694" w:rsidP="00657288">
      <w:pPr>
        <w:ind w:right="452"/>
        <w:rPr>
          <w:rFonts w:asciiTheme="minorHAnsi" w:hAnsiTheme="minorHAnsi" w:cstheme="minorHAnsi"/>
        </w:rPr>
      </w:pPr>
      <w:r w:rsidRPr="00747E35">
        <w:rPr>
          <w:rFonts w:asciiTheme="minorHAnsi" w:hAnsiTheme="minorHAnsi" w:cstheme="minorHAnsi"/>
          <w:i/>
        </w:rPr>
        <w:t>Research Question 2:</w:t>
      </w:r>
      <w:r w:rsidRPr="00747E35">
        <w:rPr>
          <w:rFonts w:asciiTheme="minorHAnsi" w:hAnsiTheme="minorHAnsi" w:cstheme="minorHAnsi"/>
        </w:rPr>
        <w:t xml:space="preserve"> Is plant distribution and response (groundwater use and productivity) to groundwater availability predictable?</w:t>
      </w:r>
    </w:p>
    <w:p w14:paraId="7CC7F964" w14:textId="09B39BF3" w:rsidR="003D3694" w:rsidRPr="00747E35" w:rsidRDefault="003D3694" w:rsidP="00657288">
      <w:pPr>
        <w:ind w:right="452"/>
        <w:rPr>
          <w:rFonts w:asciiTheme="minorHAnsi" w:hAnsiTheme="minorHAnsi" w:cstheme="minorHAnsi"/>
        </w:rPr>
      </w:pPr>
      <w:r w:rsidRPr="00747E35">
        <w:rPr>
          <w:rFonts w:asciiTheme="minorHAnsi" w:hAnsiTheme="minorHAnsi" w:cstheme="minorHAnsi"/>
          <w:i/>
        </w:rPr>
        <w:t>Research Question 3:</w:t>
      </w:r>
      <w:r w:rsidRPr="00747E35">
        <w:rPr>
          <w:rFonts w:asciiTheme="minorHAnsi" w:hAnsiTheme="minorHAnsi" w:cstheme="minorHAnsi"/>
        </w:rPr>
        <w:t xml:space="preserve"> How do vegetation and groundwater interactions vary spatially and temporally across the landscape? </w:t>
      </w:r>
      <w:r w:rsidR="008C1675">
        <w:rPr>
          <w:rFonts w:asciiTheme="minorHAnsi" w:hAnsiTheme="minorHAnsi" w:cstheme="minorHAnsi"/>
        </w:rPr>
        <w:t>Th</w:t>
      </w:r>
      <w:r w:rsidR="008C1675" w:rsidRPr="008C1675">
        <w:rPr>
          <w:rFonts w:asciiTheme="minorHAnsi" w:hAnsiTheme="minorHAnsi" w:cstheme="minorHAnsi"/>
        </w:rPr>
        <w:t>is includes identification of the determinants of vegetation recovery following altered groundwater regimes in different biophysical settings and at different scales, from remote sensing (RS) data.</w:t>
      </w:r>
      <w:r w:rsidR="008C1675">
        <w:rPr>
          <w:rFonts w:asciiTheme="minorHAnsi" w:hAnsiTheme="minorHAnsi" w:cstheme="minorHAnsi"/>
        </w:rPr>
        <w:t xml:space="preserve"> </w:t>
      </w:r>
    </w:p>
    <w:p w14:paraId="7B4F6565" w14:textId="4A245024" w:rsidR="003D3694" w:rsidRPr="00747E35" w:rsidRDefault="003D3694" w:rsidP="00657288">
      <w:pPr>
        <w:pStyle w:val="Heading2"/>
        <w:ind w:right="452"/>
        <w:rPr>
          <w:rFonts w:asciiTheme="minorHAnsi" w:hAnsiTheme="minorHAnsi" w:cstheme="minorHAnsi"/>
        </w:rPr>
      </w:pPr>
      <w:bookmarkStart w:id="38" w:name="_Toc470004824"/>
      <w:r w:rsidRPr="00747E35">
        <w:rPr>
          <w:rFonts w:asciiTheme="minorHAnsi" w:hAnsiTheme="minorHAnsi" w:cstheme="minorHAnsi"/>
        </w:rPr>
        <w:t>Methods</w:t>
      </w:r>
      <w:bookmarkEnd w:id="38"/>
    </w:p>
    <w:p w14:paraId="2FF1D804" w14:textId="77777777" w:rsidR="003D3694" w:rsidRPr="00747E35" w:rsidRDefault="003D3694" w:rsidP="00657288">
      <w:pPr>
        <w:ind w:right="452"/>
        <w:rPr>
          <w:rFonts w:asciiTheme="minorHAnsi" w:hAnsiTheme="minorHAnsi" w:cstheme="minorHAnsi"/>
        </w:rPr>
      </w:pPr>
      <w:r w:rsidRPr="00747E35">
        <w:rPr>
          <w:rFonts w:asciiTheme="minorHAnsi" w:hAnsiTheme="minorHAnsi" w:cstheme="minorHAnsi"/>
          <w:i/>
        </w:rPr>
        <w:t>Research Question 1a - Typology of phreatophytic vegetation</w:t>
      </w:r>
      <w:r w:rsidRPr="00747E35">
        <w:rPr>
          <w:rFonts w:asciiTheme="minorHAnsi" w:hAnsiTheme="minorHAnsi" w:cstheme="minorHAnsi"/>
        </w:rPr>
        <w:t xml:space="preserve"> –A review of the published scientific literature was used to provide an understanding of how key environmental factors such as climate, geology, hydrology and soils shape the development of particular plant functional types and communities. The first step was to identify functionally similar plant species or communities with shared groundwater requirements (hydrotypes). We developed a typology of hydrotypes based on their reported distribution in terms of climate, geology, landscape position, soil characteristics and plant traits. Plant ecological, physiological and morphological traits that are reported in the literature as characteristic of phreatophytes were used to identify situations where there is likely to be dependency on groundwater. Using the developed typology we estimated the proportion of different hydrotypes (including phreatophytes) that occur within a given plant community and made inferences concerning how groundwater use by plants varies spatially and temporally across the landscape. From this review, we develop a decision tree for categorising plants into particular hydrotype functional groups.</w:t>
      </w:r>
    </w:p>
    <w:p w14:paraId="6BF8E2E6" w14:textId="4A6A9590" w:rsidR="003D3694" w:rsidRPr="00747E35" w:rsidRDefault="003D3694" w:rsidP="00657288">
      <w:pPr>
        <w:ind w:right="452"/>
        <w:rPr>
          <w:rFonts w:asciiTheme="minorHAnsi" w:hAnsiTheme="minorHAnsi" w:cstheme="minorHAnsi"/>
        </w:rPr>
      </w:pPr>
      <w:r w:rsidRPr="00747E35">
        <w:rPr>
          <w:rFonts w:asciiTheme="minorHAnsi" w:hAnsiTheme="minorHAnsi" w:cstheme="minorHAnsi"/>
          <w:i/>
        </w:rPr>
        <w:t>Research Question 1b – Landscape distribution of plant hydrotypes and productivity</w:t>
      </w:r>
      <w:r w:rsidRPr="00747E35">
        <w:rPr>
          <w:rFonts w:asciiTheme="minorHAnsi" w:hAnsiTheme="minorHAnsi" w:cstheme="minorHAnsi"/>
        </w:rPr>
        <w:t xml:space="preserve"> - Field surveys for this study were undertaken at riparian, floodplain and terrestrial sites within the Maules Creek catchment in northern NSW and the Bremer River catchment in south-east Queensland (see supplementary Table 45 for a listing of the locations of all sites).  Plant communities in the Maules Ck and Bremer River catchments were surveyed in October 2015 and March 2016.  On each occasion, in each catchment, we sampled in five different landscape positions including riparian and floodplain sites on perennial river sections and a riparian and floodplain sites on intermittent river sections. The fifth landscape position included sites in upslope terrestrial areas. The rationale for choosing this sampling strategy was to have a gradient of groundwater depth across sites at both river systems. Riparian perennial sites had the shallowest depth to groundwater, indicated by the water level in the permanent stream pools at these sites (confirmed by water isotope signatures of the pools being similar to groundwater signatures, see section 2a). Floodplain sites close to the perennial pools (100 – 200m distant) were considered to have the next shallowest groundwater followed by sites further up the catchment at the intermittent riparian sites and then the nearby floodplain sites (so called, ‘intermittent floodplain’), where groundwater is deeper or shallower for only short periods (</w:t>
      </w:r>
      <w:r w:rsidRPr="00747E35">
        <w:rPr>
          <w:rFonts w:asciiTheme="minorHAnsi" w:hAnsiTheme="minorHAnsi" w:cstheme="minorHAnsi"/>
        </w:rPr>
        <w:fldChar w:fldCharType="begin"/>
      </w:r>
      <w:r w:rsidRPr="00747E35">
        <w:rPr>
          <w:rFonts w:asciiTheme="minorHAnsi" w:hAnsiTheme="minorHAnsi" w:cstheme="minorHAnsi"/>
        </w:rPr>
        <w:instrText xml:space="preserve"> REF _Ref467053755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Figure 6</w:t>
      </w:r>
      <w:r w:rsidRPr="00747E35">
        <w:rPr>
          <w:rFonts w:asciiTheme="minorHAnsi" w:hAnsiTheme="minorHAnsi" w:cstheme="minorHAnsi"/>
        </w:rPr>
        <w:fldChar w:fldCharType="end"/>
      </w:r>
      <w:r w:rsidRPr="00747E35">
        <w:rPr>
          <w:rFonts w:asciiTheme="minorHAnsi" w:hAnsiTheme="minorHAnsi" w:cstheme="minorHAnsi"/>
        </w:rPr>
        <w:t xml:space="preserve">).  Terrestrial sites were upslope from the riparian and floodplain sites and considered to be sites where the vegetation is disconnected from the groundwater.  Depth-to-groundwater data are limited at the study sites (particularly for the Bremer River catchment) but the data </w:t>
      </w:r>
      <w:r w:rsidRPr="00747E35">
        <w:rPr>
          <w:rFonts w:asciiTheme="minorHAnsi" w:hAnsiTheme="minorHAnsi" w:cstheme="minorHAnsi"/>
        </w:rPr>
        <w:lastRenderedPageBreak/>
        <w:t>available do support our assumptions about differences between landscape positions (Maules Creek sites in particular). This gradient, as a representation of expected interactions and responses to water availability, across the landscape and inferred over time, forms the basis of the sampling design and vegetation responses to potential groundwater drawdown (</w:t>
      </w:r>
      <w:r w:rsidRPr="00747E35">
        <w:rPr>
          <w:rFonts w:asciiTheme="minorHAnsi" w:hAnsiTheme="minorHAnsi" w:cstheme="minorHAnsi"/>
        </w:rPr>
        <w:fldChar w:fldCharType="begin"/>
      </w:r>
      <w:r w:rsidRPr="00747E35">
        <w:rPr>
          <w:rFonts w:asciiTheme="minorHAnsi" w:hAnsiTheme="minorHAnsi" w:cstheme="minorHAnsi"/>
        </w:rPr>
        <w:instrText xml:space="preserve"> REF _Ref467053755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Figure 6</w:t>
      </w:r>
      <w:r w:rsidRPr="00747E35">
        <w:rPr>
          <w:rFonts w:asciiTheme="minorHAnsi" w:hAnsiTheme="minorHAnsi" w:cstheme="minorHAnsi"/>
        </w:rPr>
        <w:fldChar w:fldCharType="end"/>
      </w:r>
      <w:r w:rsidRPr="00747E35">
        <w:rPr>
          <w:rFonts w:asciiTheme="minorHAnsi" w:hAnsiTheme="minorHAnsi" w:cstheme="minorHAnsi"/>
        </w:rPr>
        <w:t>).</w:t>
      </w:r>
    </w:p>
    <w:p w14:paraId="27225628" w14:textId="77777777" w:rsidR="003D3694" w:rsidRPr="00747E35" w:rsidRDefault="003D3694" w:rsidP="00657288">
      <w:pPr>
        <w:ind w:right="452"/>
        <w:rPr>
          <w:rFonts w:asciiTheme="minorHAnsi" w:hAnsiTheme="minorHAnsi" w:cstheme="minorHAnsi"/>
        </w:rPr>
      </w:pPr>
      <w:r w:rsidRPr="00747E35">
        <w:rPr>
          <w:rFonts w:asciiTheme="minorHAnsi" w:hAnsiTheme="minorHAnsi" w:cstheme="minorHAnsi"/>
        </w:rPr>
        <w:t>A total of 25 sites were surveyed at Maules Creek and 27 sites at the Bremer River, representing the five landscape positions within each catchment.  At each site a 20m x 20m overstorey plot were arbitrarily placed to be representative of local riparian conditions, making sure to include the lowest point on the riparian bank at the 5m mark of the plot.  Within each 20m x 20m plot we recorded the stem diameter at breast height (dbh) of all woody species with a dbh &gt;2cm.  Nested within each overstorey plot, a 10m x 10m sub-plot was established where all plants were identified and given a percentage foliage projected cover score for the plot.  Nine canopy photos were taken in a grid pattern across the 10 x 10m sub-plot and converted to canopy and foliage cover with MatLab Image Processing Toolbox (MacFarlane &amp; Ogden 2012).  Plot overstorey basal area for each site was calculated from dbh measurements. As a measure of tree productivity, three leaf litter traps were installed at one site for each of the landscape positions. Litter was collected from each trap during sampling trips and the contents of each trap was dried (80</w:t>
      </w:r>
      <w:r w:rsidRPr="00747E35">
        <w:rPr>
          <w:rFonts w:asciiTheme="minorHAnsi" w:hAnsiTheme="minorHAnsi" w:cstheme="minorHAnsi"/>
          <w:b/>
        </w:rPr>
        <w:t>°</w:t>
      </w:r>
      <w:r w:rsidRPr="00747E35">
        <w:rPr>
          <w:rFonts w:asciiTheme="minorHAnsi" w:hAnsiTheme="minorHAnsi" w:cstheme="minorHAnsi"/>
        </w:rPr>
        <w:t xml:space="preserve"> C for 24 hrs) and weighed. Litter traps were set at the Maules Creek sites only as this was the site of more intensive sampling and hence more frequent field trips for the collection of traps.  </w:t>
      </w:r>
    </w:p>
    <w:p w14:paraId="7A462E61" w14:textId="7AFFB30D" w:rsidR="003D3694" w:rsidRPr="00747E35" w:rsidRDefault="003D3694" w:rsidP="00657288">
      <w:pPr>
        <w:ind w:right="452"/>
        <w:rPr>
          <w:rFonts w:asciiTheme="minorHAnsi" w:hAnsiTheme="minorHAnsi" w:cstheme="minorHAnsi"/>
        </w:rPr>
      </w:pPr>
      <w:r w:rsidRPr="00747E35">
        <w:rPr>
          <w:rFonts w:asciiTheme="minorHAnsi" w:hAnsiTheme="minorHAnsi" w:cstheme="minorHAnsi"/>
        </w:rPr>
        <w:t>All species recorded in each sub-plot were assigned to a hydrotype based on attributes from a comprehensive review of the literature on plant functional characteristics relative to hydrological habitat, and the proportion of each hydrotype within each landscape position was calculated for both catchments. Literature was sourced from a systematic search of relevant online databases (i.e. Web of Science, Scopus and Google Scholar). Patterns in species and hydrotype community composition across landscape positions and catchments were assessed with multivariate ordination using distance-based redundancy analysis (dbRDA). The SIMPER routine was used to i</w:t>
      </w:r>
      <w:r w:rsidRPr="00747E35">
        <w:rPr>
          <w:rFonts w:asciiTheme="minorHAnsi" w:eastAsia="Times New Roman" w:hAnsiTheme="minorHAnsi" w:cstheme="minorHAnsi"/>
        </w:rPr>
        <w:t>dentify the species primarily providing the discrimination between and within sample groups (in this case, landscape position)</w:t>
      </w:r>
      <w:r w:rsidRPr="00747E35">
        <w:rPr>
          <w:rFonts w:asciiTheme="minorHAnsi" w:hAnsiTheme="minorHAnsi" w:cstheme="minorHAnsi"/>
        </w:rPr>
        <w:t>.  All % foliage cover data for plant species within plots was transformed (log (x+1)) and all analyses were conducted with the Primer multivariate statistics package (Clarke &amp; Gorley 2006). Differences in tree canopy, basal area and litter fall between landscape positions and, for litter fall, seasons, were analysed with analysis of variance (ANOVA) followed by Fisher’s PLSD tests to discern differences between factors.</w:t>
      </w:r>
    </w:p>
    <w:p w14:paraId="716E3865" w14:textId="77777777" w:rsidR="003D3694" w:rsidRPr="00747E35" w:rsidRDefault="003D3694" w:rsidP="00657288">
      <w:pPr>
        <w:ind w:right="452"/>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2EC91308" wp14:editId="7E4AFEED">
            <wp:extent cx="6248047" cy="4763386"/>
            <wp:effectExtent l="0" t="0" r="635" b="0"/>
            <wp:docPr id="14374" name="Picture 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6263662" cy="4775291"/>
                    </a:xfrm>
                    <a:prstGeom prst="rect">
                      <a:avLst/>
                    </a:prstGeom>
                    <a:noFill/>
                    <a:ln>
                      <a:noFill/>
                    </a:ln>
                  </pic:spPr>
                </pic:pic>
              </a:graphicData>
            </a:graphic>
          </wp:inline>
        </w:drawing>
      </w:r>
    </w:p>
    <w:p w14:paraId="2C766FF5" w14:textId="77777777" w:rsidR="003D3694" w:rsidRPr="00747E35" w:rsidRDefault="003D3694" w:rsidP="00657288">
      <w:pPr>
        <w:keepNext/>
        <w:keepLines/>
        <w:spacing w:after="0"/>
        <w:ind w:right="452"/>
        <w:outlineLvl w:val="4"/>
        <w:rPr>
          <w:rFonts w:asciiTheme="minorHAnsi" w:hAnsiTheme="minorHAnsi" w:cstheme="minorHAnsi"/>
          <w:i/>
          <w:color w:val="5B9BD5" w:themeColor="accent1"/>
          <w:sz w:val="20"/>
          <w:szCs w:val="20"/>
        </w:rPr>
      </w:pPr>
      <w:bookmarkStart w:id="39" w:name="_Ref467053755"/>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6</w:t>
      </w:r>
      <w:r w:rsidRPr="00747E35">
        <w:rPr>
          <w:rFonts w:asciiTheme="minorHAnsi" w:hAnsiTheme="minorHAnsi" w:cstheme="minorHAnsi"/>
          <w:i/>
          <w:noProof/>
          <w:color w:val="5B9BD5" w:themeColor="accent1"/>
          <w:sz w:val="20"/>
          <w:szCs w:val="20"/>
        </w:rPr>
        <w:fldChar w:fldCharType="end"/>
      </w:r>
      <w:bookmarkEnd w:id="39"/>
      <w:r w:rsidRPr="00747E35">
        <w:rPr>
          <w:rFonts w:asciiTheme="minorHAnsi" w:hAnsiTheme="minorHAnsi" w:cstheme="minorHAnsi"/>
          <w:i/>
          <w:color w:val="5B9BD5" w:themeColor="accent1"/>
          <w:sz w:val="20"/>
          <w:szCs w:val="20"/>
        </w:rPr>
        <w:t>: Schematic of field survey layout for vegetation surveys and tree measurements at the Maules Creek and Bremer River sites.  Vegetation plots (and at Maules Creek, dendrometer and water isotope data) were established at riparian and adjacent floodplain sites in perennial and intermittent river sections. These plots generally corresponded with depth to groundwater at the sites with intermittent floodplain (1) having greatest depth to groundwater and intermittent riparian (2) a large seasonal range in groundwater depth and perennial sites (3 &amp; 4) with shallower more consistent depth to groundwater.  Vegetation plots were also established at terrestrial (upland) sites (5) where groundwater is generally too deep for interaction with plants.</w:t>
      </w:r>
    </w:p>
    <w:p w14:paraId="56B1C7D2" w14:textId="77777777" w:rsidR="003D3694" w:rsidRPr="00747E35" w:rsidRDefault="003D3694" w:rsidP="00657288">
      <w:pPr>
        <w:ind w:right="452"/>
        <w:rPr>
          <w:rFonts w:asciiTheme="minorHAnsi" w:hAnsiTheme="minorHAnsi" w:cstheme="minorHAnsi"/>
        </w:rPr>
      </w:pPr>
    </w:p>
    <w:p w14:paraId="7D4B9781" w14:textId="75F889AE" w:rsidR="003D3694" w:rsidRPr="00747E35" w:rsidRDefault="003D3694" w:rsidP="00657288">
      <w:pPr>
        <w:ind w:right="452"/>
        <w:rPr>
          <w:rFonts w:asciiTheme="minorHAnsi" w:hAnsiTheme="minorHAnsi" w:cstheme="minorHAnsi"/>
        </w:rPr>
      </w:pPr>
      <w:r w:rsidRPr="00747E35">
        <w:rPr>
          <w:rFonts w:asciiTheme="minorHAnsi" w:hAnsiTheme="minorHAnsi" w:cstheme="minorHAnsi"/>
          <w:i/>
        </w:rPr>
        <w:t>Research Question 2</w:t>
      </w:r>
      <w:r w:rsidRPr="00747E35">
        <w:rPr>
          <w:rFonts w:asciiTheme="minorHAnsi" w:hAnsiTheme="minorHAnsi" w:cstheme="minorHAnsi"/>
        </w:rPr>
        <w:t xml:space="preserve"> </w:t>
      </w:r>
      <w:r w:rsidRPr="00747E35">
        <w:rPr>
          <w:rFonts w:asciiTheme="minorHAnsi" w:hAnsiTheme="minorHAnsi" w:cstheme="minorHAnsi"/>
          <w:i/>
        </w:rPr>
        <w:t xml:space="preserve">– Predicting groundwater use of plants across landscapes </w:t>
      </w:r>
      <w:r w:rsidRPr="00747E35">
        <w:rPr>
          <w:rFonts w:asciiTheme="minorHAnsi" w:hAnsiTheme="minorHAnsi" w:cstheme="minorHAnsi"/>
        </w:rPr>
        <w:t>- At Maules Creek we fitted dendrometer bands with an attached data logger to the trunk of three trees at each of a perennial riparian, perennial floodplain, intermittent riparian and intermittent floodplain site (</w:t>
      </w:r>
      <w:r w:rsidRPr="00747E35">
        <w:rPr>
          <w:rFonts w:asciiTheme="minorHAnsi" w:hAnsiTheme="minorHAnsi" w:cstheme="minorHAnsi"/>
        </w:rPr>
        <w:fldChar w:fldCharType="begin"/>
      </w:r>
      <w:r w:rsidRPr="00747E35">
        <w:rPr>
          <w:rFonts w:asciiTheme="minorHAnsi" w:hAnsiTheme="minorHAnsi" w:cstheme="minorHAnsi"/>
        </w:rPr>
        <w:instrText xml:space="preserve"> REF _Ref467053791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7</w:t>
      </w:r>
      <w:r w:rsidRPr="00747E35">
        <w:rPr>
          <w:rFonts w:asciiTheme="minorHAnsi" w:hAnsiTheme="minorHAnsi" w:cstheme="minorHAnsi"/>
        </w:rPr>
        <w:fldChar w:fldCharType="end"/>
      </w:r>
      <w:r w:rsidRPr="00747E35">
        <w:rPr>
          <w:rFonts w:asciiTheme="minorHAnsi" w:hAnsiTheme="minorHAnsi" w:cstheme="minorHAnsi"/>
        </w:rPr>
        <w:t>). The dendrometers measured and logged stem diameter changes (mm) continuously, at one hourly intervals. The stem diameter dataset was used to assess the diel and seasonal hydrological state and growth of overstorey trees in the different landscape positions over the study period (350 days between October 2015 and September 2016). Stem increment data were compared visually with meterological and stream flow conditions over the study period, to assess the extent and timing of tree responses to rainfall or groundwater.</w:t>
      </w:r>
    </w:p>
    <w:p w14:paraId="5800365C" w14:textId="77777777" w:rsidR="003D3694" w:rsidRPr="00747E35" w:rsidRDefault="003D3694" w:rsidP="00657288">
      <w:pPr>
        <w:ind w:right="452"/>
        <w:rPr>
          <w:rFonts w:asciiTheme="minorHAnsi" w:hAnsiTheme="minorHAnsi" w:cstheme="minorHAnsi"/>
        </w:rPr>
      </w:pPr>
      <w:r w:rsidRPr="00747E35">
        <w:rPr>
          <w:rFonts w:asciiTheme="minorHAnsi" w:hAnsiTheme="minorHAnsi" w:cstheme="minorHAnsi"/>
        </w:rPr>
        <w:t>To determine from where trees (</w:t>
      </w:r>
      <w:r w:rsidRPr="00747E35">
        <w:rPr>
          <w:rFonts w:asciiTheme="minorHAnsi" w:hAnsiTheme="minorHAnsi" w:cstheme="minorHAnsi"/>
          <w:i/>
        </w:rPr>
        <w:t>Eucalyptus camaldulensis</w:t>
      </w:r>
      <w:r w:rsidRPr="00747E35">
        <w:rPr>
          <w:rFonts w:asciiTheme="minorHAnsi" w:hAnsiTheme="minorHAnsi" w:cstheme="minorHAnsi"/>
        </w:rPr>
        <w:t>) on riparian and floodplain sites at Maules Creek are sourcing their water, we measured stable isotopes of oxygen (</w:t>
      </w:r>
      <w:r w:rsidRPr="00747E35">
        <w:rPr>
          <w:rFonts w:asciiTheme="minorHAnsi" w:hAnsiTheme="minorHAnsi" w:cstheme="minorHAnsi"/>
          <w:i/>
          <w:iCs/>
        </w:rPr>
        <w:t>δ</w:t>
      </w:r>
      <w:r w:rsidRPr="00747E35">
        <w:rPr>
          <w:rFonts w:asciiTheme="minorHAnsi" w:hAnsiTheme="minorHAnsi" w:cstheme="minorHAnsi"/>
          <w:vertAlign w:val="superscript"/>
        </w:rPr>
        <w:t>18</w:t>
      </w:r>
      <w:r w:rsidRPr="00747E35">
        <w:rPr>
          <w:rFonts w:asciiTheme="minorHAnsi" w:hAnsiTheme="minorHAnsi" w:cstheme="minorHAnsi"/>
        </w:rPr>
        <w:t>O) and hydrogen (</w:t>
      </w:r>
      <w:r w:rsidRPr="00747E35">
        <w:rPr>
          <w:rFonts w:asciiTheme="minorHAnsi" w:hAnsiTheme="minorHAnsi" w:cstheme="minorHAnsi"/>
          <w:i/>
          <w:iCs/>
        </w:rPr>
        <w:t>δ</w:t>
      </w:r>
      <w:r w:rsidRPr="00747E35">
        <w:rPr>
          <w:rFonts w:asciiTheme="minorHAnsi" w:hAnsiTheme="minorHAnsi" w:cstheme="minorHAnsi"/>
          <w:vertAlign w:val="superscript"/>
        </w:rPr>
        <w:t>2</w:t>
      </w:r>
      <w:r w:rsidRPr="00747E35">
        <w:rPr>
          <w:rFonts w:asciiTheme="minorHAnsi" w:hAnsiTheme="minorHAnsi" w:cstheme="minorHAnsi"/>
        </w:rPr>
        <w:t xml:space="preserve">H) extracted from xylem water from tree branches and from soil samples from the unsaturated soil layers, as </w:t>
      </w:r>
      <w:r w:rsidRPr="00747E35">
        <w:rPr>
          <w:rFonts w:asciiTheme="minorHAnsi" w:hAnsiTheme="minorHAnsi" w:cstheme="minorHAnsi"/>
        </w:rPr>
        <w:lastRenderedPageBreak/>
        <w:t xml:space="preserve">well as groundwater and stream pool water. At each tree where a dendrometer band was installed, we also collected samples of small tree branches (5mm dia. x 10 mm length) from the northern sun-lit mid-canopy on each of three trees at each landscape position.  Soil samples were taken near each sampled tree at 0.25m intervals down to 1.5m depth where possible with a hand auger.  Plant and soil samples were put on ice and taken back to the laboratory where water was extracted via cryogenic distillation (Turner et al. 2001).  Collections were made in October 2015, March 2016 and June 2016. Extracted water was analysed for </w:t>
      </w:r>
      <w:r w:rsidRPr="00747E35">
        <w:rPr>
          <w:rFonts w:asciiTheme="minorHAnsi" w:hAnsiTheme="minorHAnsi" w:cstheme="minorHAnsi"/>
          <w:i/>
          <w:iCs/>
        </w:rPr>
        <w:t>δ</w:t>
      </w:r>
      <w:r w:rsidRPr="00747E35">
        <w:rPr>
          <w:rFonts w:asciiTheme="minorHAnsi" w:hAnsiTheme="minorHAnsi" w:cstheme="minorHAnsi"/>
          <w:vertAlign w:val="superscript"/>
        </w:rPr>
        <w:t>18</w:t>
      </w:r>
      <w:r w:rsidRPr="00747E35">
        <w:rPr>
          <w:rFonts w:asciiTheme="minorHAnsi" w:hAnsiTheme="minorHAnsi" w:cstheme="minorHAnsi"/>
        </w:rPr>
        <w:t>O</w:t>
      </w:r>
      <w:r w:rsidRPr="00747E35" w:rsidDel="00D30201">
        <w:rPr>
          <w:rFonts w:asciiTheme="minorHAnsi" w:hAnsiTheme="minorHAnsi" w:cstheme="minorHAnsi"/>
          <w:i/>
          <w:iCs/>
        </w:rPr>
        <w:t xml:space="preserve"> </w:t>
      </w:r>
      <w:r w:rsidRPr="00747E35">
        <w:rPr>
          <w:rFonts w:asciiTheme="minorHAnsi" w:hAnsiTheme="minorHAnsi" w:cstheme="minorHAnsi"/>
        </w:rPr>
        <w:t xml:space="preserve">and </w:t>
      </w:r>
      <w:r w:rsidRPr="00747E35">
        <w:rPr>
          <w:rFonts w:asciiTheme="minorHAnsi" w:hAnsiTheme="minorHAnsi" w:cstheme="minorHAnsi"/>
          <w:i/>
          <w:iCs/>
        </w:rPr>
        <w:t>δ</w:t>
      </w:r>
      <w:r w:rsidRPr="00747E35">
        <w:rPr>
          <w:rFonts w:asciiTheme="minorHAnsi" w:hAnsiTheme="minorHAnsi" w:cstheme="minorHAnsi"/>
          <w:vertAlign w:val="superscript"/>
        </w:rPr>
        <w:t>2</w:t>
      </w:r>
      <w:r w:rsidRPr="00747E35">
        <w:rPr>
          <w:rFonts w:asciiTheme="minorHAnsi" w:hAnsiTheme="minorHAnsi" w:cstheme="minorHAnsi"/>
        </w:rPr>
        <w:t>H isotopes to compare isotope ratios of plant and soil water with values for rainwater, stream water and groundwater (data collected as part of research in Component 3 and supplied by M. Andersen &amp; H. Rutlidge).  Water samples with similar isotope ratios are likely to come from the same source and therefore provide insight to whether tree water comes from soil water (rainfall) vs groundwater.  By using an isotopic mixing model (IsoSource) (Phillips &amp; Gregg 2003), we quantified the proportion of water in tree xylem that is contributed by each sampled environmental source. The range in % contributions (1</w:t>
      </w:r>
      <w:r w:rsidRPr="00747E35">
        <w:rPr>
          <w:rFonts w:asciiTheme="minorHAnsi" w:hAnsiTheme="minorHAnsi" w:cstheme="minorHAnsi"/>
          <w:vertAlign w:val="superscript"/>
        </w:rPr>
        <w:t>st</w:t>
      </w:r>
      <w:r w:rsidRPr="00747E35">
        <w:rPr>
          <w:rFonts w:asciiTheme="minorHAnsi" w:hAnsiTheme="minorHAnsi" w:cstheme="minorHAnsi"/>
        </w:rPr>
        <w:t xml:space="preserve"> - 99</w:t>
      </w:r>
      <w:r w:rsidRPr="00747E35">
        <w:rPr>
          <w:rFonts w:asciiTheme="minorHAnsi" w:hAnsiTheme="minorHAnsi" w:cstheme="minorHAnsi"/>
          <w:vertAlign w:val="superscript"/>
        </w:rPr>
        <w:t>th</w:t>
      </w:r>
      <w:r w:rsidRPr="00747E35">
        <w:rPr>
          <w:rFonts w:asciiTheme="minorHAnsi" w:hAnsiTheme="minorHAnsi" w:cstheme="minorHAnsi"/>
        </w:rPr>
        <w:t xml:space="preserve"> percentiles) and mean value of each water source (groundwater, deep and shallow soil water) at each site and sampling time was determined. The mixing model results were based on isotopic proportional increments of 2% and a tolerance of 2% (Phillips &amp; Gregg 2003). Sources with a low 99</w:t>
      </w:r>
      <w:r w:rsidRPr="00747E35">
        <w:rPr>
          <w:rFonts w:asciiTheme="minorHAnsi" w:hAnsiTheme="minorHAnsi" w:cstheme="minorHAnsi"/>
          <w:vertAlign w:val="superscript"/>
        </w:rPr>
        <w:t>th</w:t>
      </w:r>
      <w:r w:rsidRPr="00747E35">
        <w:rPr>
          <w:rFonts w:asciiTheme="minorHAnsi" w:hAnsiTheme="minorHAnsi" w:cstheme="minorHAnsi"/>
        </w:rPr>
        <w:t xml:space="preserve"> percentile value are not likely to be important for leaf water at that site, whereas sources with high 1st and 99th percentile values show strong constraint and high probability of being an important water source for trees (Benstead et al. 2006).</w:t>
      </w:r>
    </w:p>
    <w:p w14:paraId="1B324310" w14:textId="77777777" w:rsidR="003D3694" w:rsidRPr="00747E35" w:rsidRDefault="003D3694" w:rsidP="00657288">
      <w:pPr>
        <w:ind w:right="452"/>
        <w:rPr>
          <w:rFonts w:asciiTheme="minorHAnsi" w:hAnsiTheme="minorHAnsi" w:cstheme="minorHAnsi"/>
        </w:rPr>
      </w:pPr>
    </w:p>
    <w:p w14:paraId="724375E8" w14:textId="77777777" w:rsidR="003D3694" w:rsidRPr="00747E35" w:rsidRDefault="003D3694" w:rsidP="00657288">
      <w:pPr>
        <w:ind w:right="452"/>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5F186D65" wp14:editId="714805D9">
            <wp:extent cx="4312508" cy="2870854"/>
            <wp:effectExtent l="0" t="0" r="0" b="5715"/>
            <wp:docPr id="14375" name="Picture 1" descr="Photograph of field scientist a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4345884" cy="2893072"/>
                    </a:xfrm>
                    <a:prstGeom prst="rect">
                      <a:avLst/>
                    </a:prstGeom>
                    <a:noFill/>
                    <a:ln>
                      <a:noFill/>
                    </a:ln>
                  </pic:spPr>
                </pic:pic>
              </a:graphicData>
            </a:graphic>
          </wp:inline>
        </w:drawing>
      </w:r>
    </w:p>
    <w:p w14:paraId="210F2EDC" w14:textId="77777777" w:rsidR="003D3694" w:rsidRPr="00747E35" w:rsidRDefault="003D3694" w:rsidP="00657288">
      <w:pPr>
        <w:keepNext/>
        <w:keepLines/>
        <w:spacing w:after="0"/>
        <w:ind w:right="452"/>
        <w:outlineLvl w:val="4"/>
        <w:rPr>
          <w:rFonts w:asciiTheme="minorHAnsi" w:hAnsiTheme="minorHAnsi" w:cstheme="minorHAnsi"/>
          <w:i/>
          <w:color w:val="5B9BD5" w:themeColor="accent1"/>
          <w:sz w:val="20"/>
          <w:szCs w:val="20"/>
        </w:rPr>
      </w:pPr>
      <w:bookmarkStart w:id="40" w:name="_Ref467053791"/>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7</w:t>
      </w:r>
      <w:r w:rsidRPr="00747E35">
        <w:rPr>
          <w:rFonts w:asciiTheme="minorHAnsi" w:hAnsiTheme="minorHAnsi" w:cstheme="minorHAnsi"/>
          <w:i/>
          <w:noProof/>
          <w:color w:val="5B9BD5" w:themeColor="accent1"/>
          <w:sz w:val="20"/>
          <w:szCs w:val="20"/>
        </w:rPr>
        <w:fldChar w:fldCharType="end"/>
      </w:r>
      <w:bookmarkEnd w:id="40"/>
      <w:r w:rsidRPr="00747E35">
        <w:rPr>
          <w:rFonts w:asciiTheme="minorHAnsi" w:hAnsiTheme="minorHAnsi" w:cstheme="minorHAnsi"/>
          <w:i/>
          <w:color w:val="5B9BD5" w:themeColor="accent1"/>
          <w:sz w:val="20"/>
          <w:szCs w:val="20"/>
        </w:rPr>
        <w:t xml:space="preserve">: Setting up a dendrometer band and logger for measuring changes in tree stem diameter over diel and seasonal time periods. Inset shows detail of dendrometer and logger.  The species is </w:t>
      </w:r>
      <w:r w:rsidRPr="00747E35">
        <w:rPr>
          <w:rFonts w:asciiTheme="minorHAnsi" w:hAnsiTheme="minorHAnsi" w:cstheme="minorHAnsi"/>
          <w:i/>
          <w:iCs/>
          <w:color w:val="5B9BD5" w:themeColor="accent1"/>
          <w:sz w:val="20"/>
          <w:szCs w:val="20"/>
        </w:rPr>
        <w:t>Eucalyptus camaldulensis</w:t>
      </w:r>
      <w:r w:rsidRPr="00747E35">
        <w:rPr>
          <w:rFonts w:asciiTheme="minorHAnsi" w:hAnsiTheme="minorHAnsi" w:cstheme="minorHAnsi"/>
          <w:i/>
          <w:color w:val="5B9BD5" w:themeColor="accent1"/>
          <w:sz w:val="20"/>
          <w:szCs w:val="20"/>
        </w:rPr>
        <w:t xml:space="preserve"> situated at the perennial riparian site at Maules Creek.</w:t>
      </w:r>
    </w:p>
    <w:p w14:paraId="5E855ED9" w14:textId="77777777" w:rsidR="003D3694" w:rsidRPr="00747E35" w:rsidRDefault="003D3694" w:rsidP="00657288">
      <w:pPr>
        <w:ind w:right="452"/>
        <w:rPr>
          <w:rFonts w:asciiTheme="minorHAnsi" w:hAnsiTheme="minorHAnsi" w:cstheme="minorHAnsi"/>
        </w:rPr>
      </w:pPr>
    </w:p>
    <w:p w14:paraId="3D949C20" w14:textId="77777777" w:rsidR="003D3694" w:rsidRPr="00747E35" w:rsidRDefault="003D3694" w:rsidP="00657288">
      <w:pPr>
        <w:ind w:right="452"/>
        <w:rPr>
          <w:rFonts w:asciiTheme="minorHAnsi" w:hAnsiTheme="minorHAnsi" w:cstheme="minorHAnsi"/>
        </w:rPr>
      </w:pPr>
      <w:r w:rsidRPr="00747E35">
        <w:rPr>
          <w:rFonts w:asciiTheme="minorHAnsi" w:hAnsiTheme="minorHAnsi" w:cstheme="minorHAnsi"/>
        </w:rPr>
        <w:t xml:space="preserve">Research Question 3 - Using remote sensing to assess the spatial and temporal dependency of plant communities on groundwater </w:t>
      </w:r>
    </w:p>
    <w:p w14:paraId="3EEE510B" w14:textId="18C0CE16" w:rsidR="004A72AC" w:rsidRDefault="003D3694" w:rsidP="007A4E81">
      <w:pPr>
        <w:ind w:right="452"/>
        <w:rPr>
          <w:rFonts w:asciiTheme="minorHAnsi" w:hAnsiTheme="minorHAnsi" w:cstheme="minorHAnsi"/>
        </w:rPr>
      </w:pPr>
      <w:r w:rsidRPr="00747E35">
        <w:rPr>
          <w:rFonts w:asciiTheme="minorHAnsi" w:hAnsiTheme="minorHAnsi" w:cstheme="minorHAnsi"/>
        </w:rPr>
        <w:t>The groundwater-dependent vegetation (GDV) relationship with water regime (and particularly with groundwater) results in distinct signatures in remotely sensed surface reflectance images, which differ</w:t>
      </w:r>
      <w:r w:rsidR="008C1675">
        <w:rPr>
          <w:rFonts w:asciiTheme="minorHAnsi" w:hAnsiTheme="minorHAnsi" w:cstheme="minorHAnsi"/>
        </w:rPr>
        <w:t>s</w:t>
      </w:r>
      <w:r w:rsidRPr="00747E35">
        <w:rPr>
          <w:rFonts w:asciiTheme="minorHAnsi" w:hAnsiTheme="minorHAnsi" w:cstheme="minorHAnsi"/>
        </w:rPr>
        <w:t xml:space="preserve"> </w:t>
      </w:r>
      <w:r w:rsidR="008C1675">
        <w:rPr>
          <w:rFonts w:asciiTheme="minorHAnsi" w:hAnsiTheme="minorHAnsi" w:cstheme="minorHAnsi"/>
        </w:rPr>
        <w:t>from surrounding areas and varies through time</w:t>
      </w:r>
      <w:r w:rsidRPr="00747E35">
        <w:rPr>
          <w:rFonts w:asciiTheme="minorHAnsi" w:hAnsiTheme="minorHAnsi" w:cstheme="minorHAnsi"/>
        </w:rPr>
        <w:t xml:space="preserve">. Remotely sensed reflectance data allow analysis of ‘active greenness’ provided by the multispectral NDVI (Normalised Difference Vegetation Index) time </w:t>
      </w:r>
      <w:r w:rsidRPr="00747E35">
        <w:rPr>
          <w:rFonts w:asciiTheme="minorHAnsi" w:hAnsiTheme="minorHAnsi" w:cstheme="minorHAnsi"/>
        </w:rPr>
        <w:lastRenderedPageBreak/>
        <w:t xml:space="preserve">series. Time series of RS data are well suited for exploration of differences in the vegetation ‘phenology’, or cyclical growth rate, of terrestrial vegetation with and without access to groundwater.  This exploration of differences makes use of time series of NDVI and NDWI (Normalised Difference Wetness Index) as indicators of vegetation greenness and wetness patterns, respectively. In this study, we mainly use Landsat data, which has the longest record of data acquisition.  RS provides rapid and spatially extensive techniques for the assessment of vegetation structure and function, and can also provide insights into relationships between </w:t>
      </w:r>
      <w:r w:rsidR="008C1675" w:rsidRPr="00747E35">
        <w:rPr>
          <w:rFonts w:asciiTheme="minorHAnsi" w:hAnsiTheme="minorHAnsi" w:cstheme="minorHAnsi"/>
        </w:rPr>
        <w:t xml:space="preserve">vegetation structure and function </w:t>
      </w:r>
      <w:r w:rsidRPr="00747E35">
        <w:rPr>
          <w:rFonts w:asciiTheme="minorHAnsi" w:hAnsiTheme="minorHAnsi" w:cstheme="minorHAnsi"/>
        </w:rPr>
        <w:t xml:space="preserve">and climate variables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&lt;EndNote&gt;&lt;Cite&gt;&lt;Author&gt;Eamus&lt;/Author&gt;&lt;Year&gt;2015&lt;/Year&gt;&lt;RecNum&gt;483&lt;/RecNum&gt;&lt;DisplayText&gt;(Eamus et al., 2015)&lt;/DisplayText&gt;&lt;record&gt;&lt;rec-number&gt;483&lt;/rec-number&gt;&lt;foreign-keys&gt;&lt;key app="EN" db-id="s55rdd0f4dst5tedetnxad0pfwdvszwdss0d" timestamp="1455609341"&gt;483&lt;/key&gt;&lt;/foreign-keys&gt;&lt;ref-type name="Journal Article"&gt;17&lt;/ref-type&gt;&lt;contributors&gt;&lt;authors&gt;&lt;author&gt;Eamus, D.&lt;/author&gt;&lt;author&gt;Zolfaghar, S.&lt;/author&gt;&lt;author&gt;Villalobos-Vega, R.&lt;/author&gt;&lt;author&gt;Cleverly, J.&lt;/author&gt;&lt;author&gt;Huete, A.&lt;/author&gt;&lt;/authors&gt;&lt;/contributors&gt;&lt;titles&gt;&lt;title&gt;Groundwater-dependent ecosystems: recent insights from satellite and field-based studies&lt;/title&gt;&lt;secondary-title&gt;Hydrology and Earth System Sciences&lt;/secondary-title&gt;&lt;/titles&gt;&lt;periodical&gt;&lt;full-title&gt;Hydrology and Earth System Sciences&lt;/full-title&gt;&lt;abbr-1&gt;Hydrol. Earth Syst. Sci.&lt;/abbr-1&gt;&lt;abbr-2&gt;Hydrol Earth Syst Sci&lt;/abbr-2&gt;&lt;/periodical&gt;&lt;pages&gt;4229-4256&lt;/pages&gt;&lt;volume&gt;19&lt;/volume&gt;&lt;number&gt;10&lt;/number&gt;&lt;dates&gt;&lt;year&gt;2015&lt;/year&gt;&lt;/dates&gt;&lt;isbn&gt;1027-5606&lt;/isbn&gt;&lt;accession-num&gt;CCC:000364327800013&lt;/accession-num&gt;&lt;urls&gt;&lt;related-urls&gt;&lt;url&gt;&amp;lt;Go to ISI&amp;gt;://CCC:000364327800013&lt;/url&gt;&lt;/related-urls&gt;&lt;/urls&gt;&lt;/record&gt;&lt;/Cite&gt;&lt;/EndNote&gt;</w:instrText>
      </w:r>
      <w:r w:rsidRPr="00747E35">
        <w:rPr>
          <w:rFonts w:asciiTheme="minorHAnsi" w:hAnsiTheme="minorHAnsi" w:cstheme="minorHAnsi"/>
        </w:rPr>
        <w:fldChar w:fldCharType="separate"/>
      </w:r>
      <w:r w:rsidRPr="00747E35">
        <w:rPr>
          <w:rFonts w:asciiTheme="minorHAnsi" w:hAnsiTheme="minorHAnsi" w:cstheme="minorHAnsi"/>
        </w:rPr>
        <w:t>(Eamus et al. 2015)</w:t>
      </w:r>
      <w:r w:rsidRPr="00747E35">
        <w:rPr>
          <w:rFonts w:asciiTheme="minorHAnsi" w:hAnsiTheme="minorHAnsi" w:cstheme="minorHAnsi"/>
        </w:rPr>
        <w:fldChar w:fldCharType="end"/>
      </w:r>
      <w:r w:rsidRPr="00747E35">
        <w:rPr>
          <w:rFonts w:asciiTheme="minorHAnsi" w:hAnsiTheme="minorHAnsi" w:cstheme="minorHAnsi"/>
        </w:rPr>
        <w:t xml:space="preserve">. The distinct GDV signatures are manifested in plant density, greenness or specific spatial arrangement, given that plant density associated with leaf area index is positively correlated with water availability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&lt;EndNote&gt;&lt;Cite&gt;&lt;Author&gt;Glenn&lt;/Author&gt;&lt;Year&gt;2008&lt;/Year&gt;&lt;RecNum&gt;26&lt;/RecNum&gt;&lt;DisplayText&gt;(Glenn et al., 2008)&lt;/DisplayText&gt;&lt;record&gt;&lt;rec-number&gt;26&lt;/rec-number&gt;&lt;foreign-keys&gt;&lt;key app="EN" db-id="52rftz2xxzdts3e0vsnp00pyzd0xd5r22fpe"&gt;26&lt;/key&gt;&lt;/foreign-keys&gt;&lt;ref-type name="Journal Article"&gt;17&lt;/ref-type&gt;&lt;contributors&gt;&lt;authors&gt;&lt;author&gt;Glenn, Edward P.&lt;/author&gt;&lt;author&gt;Huete, Alfredo R.&lt;/author&gt;&lt;author&gt;Nagler, Pamela L.&lt;/author&gt;&lt;author&gt;Nelson, Stephen G.&lt;/author&gt;&lt;/authors&gt;&lt;/contributors&gt;&lt;titles&gt;&lt;title&gt;Relationship between remotely-sensed vegetation indices, canopy attributes and plant physiological processes: What vegetation indices can and cannot tell us about the landscape&lt;/title&gt;&lt;secondary-title&gt;Sensors&lt;/secondary-title&gt;&lt;/titles&gt;&lt;periodical&gt;&lt;full-title&gt;Sensors&lt;/full-title&gt;&lt;/periodical&gt;&lt;pages&gt;2136-2160&lt;/pages&gt;&lt;volume&gt;8&lt;/volume&gt;&lt;number&gt;4&lt;/number&gt;&lt;dates&gt;&lt;year&gt;2008&lt;/year&gt;&lt;pub-dates&gt;&lt;date&gt;Apr&lt;/date&gt;&lt;/pub-dates&gt;&lt;/dates&gt;&lt;isbn&gt;1424-8220&lt;/isbn&gt;&lt;accession-num&gt;WOS:000256642400005&lt;/accession-num&gt;&lt;urls&gt;&lt;related-urls&gt;&lt;url&gt;&amp;lt;Go to ISI&amp;gt;://WOS:000256642400005&lt;/url&gt;&lt;/related-urls&gt;&lt;/urls&gt;&lt;electronic-resource-num&gt;10.3390/s8042136&lt;/electronic-resource-num&gt;&lt;/record&gt;&lt;/Cite&gt;&lt;/EndNote&gt;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rPr>
        <w:t>(Glenn et al. 2008)</w:t>
      </w:r>
      <w:r w:rsidRPr="00747E35">
        <w:rPr>
          <w:rFonts w:asciiTheme="minorHAnsi" w:hAnsiTheme="minorHAnsi" w:cstheme="minorHAnsi"/>
        </w:rPr>
        <w:fldChar w:fldCharType="end"/>
      </w:r>
      <w:r w:rsidRPr="00747E35">
        <w:rPr>
          <w:rFonts w:asciiTheme="minorHAnsi" w:hAnsiTheme="minorHAnsi" w:cstheme="minorHAnsi"/>
        </w:rPr>
        <w:t xml:space="preserve">. This report presents the outcomes of the analysis undertaken within the Maules Creek and Bremer River catchments. As more on-ground information was available for the Maules Creek study area, a wider range of analyses was carried out for this region. Some interpretations presented in this report were based on general knowledge of the eco-hydrological conditions in the region.  We provide here a brief outline of the methods used for development of a remote sensing technique to assess groundwater-dependent vegetation. </w:t>
      </w:r>
    </w:p>
    <w:p w14:paraId="2C5E58F0" w14:textId="57A7F633" w:rsidR="007A4E81" w:rsidRPr="004A72AC" w:rsidRDefault="003D3694" w:rsidP="007A4E81">
      <w:pPr>
        <w:ind w:right="452"/>
        <w:rPr>
          <w:rFonts w:asciiTheme="minorHAnsi" w:hAnsiTheme="minorHAnsi" w:cstheme="minorHAnsi"/>
        </w:rPr>
      </w:pPr>
      <w:r w:rsidRPr="004A72AC">
        <w:rPr>
          <w:rFonts w:asciiTheme="minorHAnsi" w:hAnsiTheme="minorHAnsi" w:cstheme="minorHAnsi"/>
        </w:rPr>
        <w:t>A full description of the image capture methods and analysis, along with CSIRO-GDV methodology and procedures are provided in the full Remote Sensing report (</w:t>
      </w:r>
      <w:r w:rsidR="007A4E81" w:rsidRPr="004A72AC">
        <w:rPr>
          <w:rFonts w:asciiTheme="minorHAnsi" w:hAnsiTheme="minorHAnsi" w:cstheme="minorHAnsi"/>
        </w:rPr>
        <w:t>see Section 7.1, Appendix 1</w:t>
      </w:r>
      <w:r w:rsidRPr="004A72AC">
        <w:rPr>
          <w:rFonts w:asciiTheme="minorHAnsi" w:hAnsiTheme="minorHAnsi" w:cstheme="minorHAnsi"/>
        </w:rPr>
        <w:t xml:space="preserve"> for executive summary and bibliographic details.). </w:t>
      </w:r>
      <w:r w:rsidR="007A4E81" w:rsidRPr="004A72AC">
        <w:rPr>
          <w:rFonts w:asciiTheme="minorHAnsi" w:hAnsiTheme="minorHAnsi" w:cstheme="minorHAnsi"/>
        </w:rPr>
        <w:t xml:space="preserve"> This includes the devlopment and application of a web-based toolset which adapted the methodology for GDV mapping (CSIRO-GDV), previously developed by CSIRO for the Pilbara Water Resources Assessment (PWRA) project.  The toolset can be implemented using the supplied javascript code </w:t>
      </w:r>
      <w:r w:rsidR="004A72AC" w:rsidRPr="004A72AC">
        <w:rPr>
          <w:rFonts w:asciiTheme="minorHAnsi" w:hAnsiTheme="minorHAnsi" w:cstheme="minorHAnsi"/>
        </w:rPr>
        <w:t>(see Appendix B “GEE-CSIRO-GDV scripts” of</w:t>
      </w:r>
      <w:r w:rsidR="004A72AC" w:rsidRPr="004A72AC">
        <w:t xml:space="preserve"> </w:t>
      </w:r>
      <w:r w:rsidR="004A72AC" w:rsidRPr="004A72AC">
        <w:rPr>
          <w:rFonts w:asciiTheme="minorHAnsi" w:hAnsiTheme="minorHAnsi" w:cstheme="minorHAnsi"/>
        </w:rPr>
        <w:t xml:space="preserve">Section 7.1, Appendix 1)  </w:t>
      </w:r>
      <w:r w:rsidR="007A4E81" w:rsidRPr="004A72AC">
        <w:rPr>
          <w:rFonts w:asciiTheme="minorHAnsi" w:hAnsiTheme="minorHAnsi" w:cstheme="minorHAnsi"/>
        </w:rPr>
        <w:t xml:space="preserve">in the Google Earth Engine (GEE) environment, an open source monitoring platform for development of web-based Earth observation applications.  The developed GEE-CSIRO-GDV tools include: </w:t>
      </w:r>
    </w:p>
    <w:p w14:paraId="3A86C7FA" w14:textId="77777777" w:rsidR="007A4E81" w:rsidRPr="004A72AC" w:rsidRDefault="007A4E81" w:rsidP="007A4E81">
      <w:pPr>
        <w:spacing w:after="0"/>
        <w:ind w:left="567" w:hanging="567"/>
        <w:rPr>
          <w:rFonts w:asciiTheme="minorHAnsi" w:hAnsiTheme="minorHAnsi" w:cstheme="minorHAnsi"/>
        </w:rPr>
      </w:pPr>
      <w:r w:rsidRPr="004A72AC">
        <w:rPr>
          <w:rFonts w:asciiTheme="minorHAnsi" w:hAnsiTheme="minorHAnsi" w:cstheme="minorHAnsi"/>
        </w:rPr>
        <w:t xml:space="preserve">Tool 1 - creating image thumbnails for image quality control; </w:t>
      </w:r>
    </w:p>
    <w:p w14:paraId="5FB2A506" w14:textId="77777777" w:rsidR="007A4E81" w:rsidRPr="004A72AC" w:rsidRDefault="007A4E81" w:rsidP="007A4E81">
      <w:pPr>
        <w:spacing w:after="0"/>
        <w:ind w:left="567" w:hanging="567"/>
        <w:rPr>
          <w:rFonts w:asciiTheme="minorHAnsi" w:hAnsiTheme="minorHAnsi" w:cstheme="minorHAnsi"/>
        </w:rPr>
      </w:pPr>
      <w:r w:rsidRPr="004A72AC">
        <w:rPr>
          <w:rFonts w:asciiTheme="minorHAnsi" w:hAnsiTheme="minorHAnsi" w:cstheme="minorHAnsi"/>
        </w:rPr>
        <w:t xml:space="preserve">Tool 2 - identification of dates of cloud-free Landsat imagery from the GEE remote sensing database and generation of cloud free NDVI and NDWI data cubes covering the selected time periods; </w:t>
      </w:r>
    </w:p>
    <w:p w14:paraId="6371C3E6" w14:textId="77777777" w:rsidR="007A4E81" w:rsidRPr="004A72AC" w:rsidRDefault="007A4E81" w:rsidP="007A4E81">
      <w:pPr>
        <w:spacing w:after="0"/>
        <w:ind w:left="567" w:hanging="567"/>
        <w:rPr>
          <w:rFonts w:asciiTheme="minorHAnsi" w:hAnsiTheme="minorHAnsi" w:cstheme="minorHAnsi"/>
        </w:rPr>
      </w:pPr>
      <w:r w:rsidRPr="004A72AC">
        <w:rPr>
          <w:rFonts w:asciiTheme="minorHAnsi" w:hAnsiTheme="minorHAnsi" w:cstheme="minorHAnsi"/>
        </w:rPr>
        <w:t xml:space="preserve">Tool 3 - NDVI and NDWI time series extraction at selected point locations; </w:t>
      </w:r>
    </w:p>
    <w:p w14:paraId="1E753DE7" w14:textId="77777777" w:rsidR="007A4E81" w:rsidRPr="004A72AC" w:rsidRDefault="007A4E81" w:rsidP="007A4E81">
      <w:pPr>
        <w:spacing w:after="0"/>
        <w:ind w:left="567" w:hanging="567"/>
        <w:rPr>
          <w:rFonts w:asciiTheme="minorHAnsi" w:hAnsiTheme="minorHAnsi" w:cstheme="minorHAnsi"/>
        </w:rPr>
      </w:pPr>
      <w:r w:rsidRPr="004A72AC">
        <w:rPr>
          <w:rFonts w:asciiTheme="minorHAnsi" w:hAnsiTheme="minorHAnsi" w:cstheme="minorHAnsi"/>
        </w:rPr>
        <w:t xml:space="preserve">Tool 4 - Principal Component Analysis of multi-temporal NDVI and NDWI datasets; </w:t>
      </w:r>
    </w:p>
    <w:p w14:paraId="12D47740" w14:textId="77777777" w:rsidR="007A4E81" w:rsidRPr="004A72AC" w:rsidRDefault="007A4E81" w:rsidP="007A4E81">
      <w:pPr>
        <w:ind w:left="567" w:hanging="567"/>
        <w:rPr>
          <w:rFonts w:asciiTheme="minorHAnsi" w:hAnsiTheme="minorHAnsi" w:cstheme="minorHAnsi"/>
        </w:rPr>
      </w:pPr>
      <w:r w:rsidRPr="004A72AC">
        <w:rPr>
          <w:rFonts w:asciiTheme="minorHAnsi" w:hAnsiTheme="minorHAnsi" w:cstheme="minorHAnsi"/>
        </w:rPr>
        <w:t>Tool 5 - Multiple Linear Regression Analysis to model relationships between NDVI temporal profiles at each NDVI grid pixel location and local climate parameters (e.g. temperature, rainfall).</w:t>
      </w:r>
    </w:p>
    <w:p w14:paraId="01CF2BB4" w14:textId="77777777" w:rsidR="003D3694" w:rsidRPr="00747E35" w:rsidRDefault="003D3694" w:rsidP="00657288">
      <w:pPr>
        <w:ind w:right="452"/>
        <w:rPr>
          <w:rFonts w:asciiTheme="minorHAnsi" w:hAnsiTheme="minorHAnsi" w:cstheme="minorHAnsi"/>
        </w:rPr>
      </w:pPr>
      <w:r w:rsidRPr="00747E35">
        <w:rPr>
          <w:rFonts w:asciiTheme="minorHAnsi" w:hAnsiTheme="minorHAnsi" w:cstheme="minorHAnsi"/>
        </w:rPr>
        <w:t xml:space="preserve">All available cloud-free images were geometrically rectified, terrain-corrected, radiometrically calibrated and converted to surface reflectance (Masek et al. 2006). Landsat 5 Thematic Mapper (TM) and Landsat 8 </w:t>
      </w:r>
      <w:r w:rsidRPr="00747E35">
        <w:rPr>
          <w:rFonts w:asciiTheme="minorHAnsi" w:hAnsiTheme="minorHAnsi" w:cstheme="minorHAnsi"/>
          <w:iCs/>
        </w:rPr>
        <w:t>Operational Land Imager</w:t>
      </w:r>
      <w:r w:rsidRPr="00747E35">
        <w:rPr>
          <w:rFonts w:asciiTheme="minorHAnsi" w:hAnsiTheme="minorHAnsi" w:cstheme="minorHAnsi"/>
        </w:rPr>
        <w:t xml:space="preserve"> (</w:t>
      </w:r>
      <w:r w:rsidRPr="00747E35">
        <w:rPr>
          <w:rFonts w:asciiTheme="minorHAnsi" w:hAnsiTheme="minorHAnsi" w:cstheme="minorHAnsi"/>
          <w:iCs/>
        </w:rPr>
        <w:t>OLI</w:t>
      </w:r>
      <w:r w:rsidRPr="00747E35">
        <w:rPr>
          <w:rFonts w:asciiTheme="minorHAnsi" w:hAnsiTheme="minorHAnsi" w:cstheme="minorHAnsi"/>
        </w:rPr>
        <w:t xml:space="preserve">) data covering the study sites were downloaded from the Google Earth Engine (GEE) RS database (https://earthengine.google.com) for the period between 1986 and 2015 (in total, 169 and 121 datasets for Maules Creek and Bremer River catchments, respectively). For further processing and analysis, the imagery was converted into two sets of multi-date stacks of band reflectance grids. According to the number of the optical Landsat bands, six data cubes (one for each band) were created for each of the study sites. The CSIRO-GDV methodology is a suite of procedures developed under the Pilbara Water Resources Assessment project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&lt;EndNote&gt;&lt;Cite&gt;&lt;Author&gt;McFarlane&lt;/Author&gt;&lt;Year&gt;2015&lt;/Year&gt;&lt;RecNum&gt;512&lt;/RecNum&gt;&lt;DisplayText&gt;(McFarlane, 2015)&lt;/DisplayText&gt;&lt;record&gt;&lt;rec-number&gt;512&lt;/rec-number&gt;&lt;foreign-keys&gt;&lt;key app="EN" db-id="s55rdd0f4dst5tedetnxad0pfwdvszwdss0d" timestamp="1466054882"&gt;512&lt;/key&gt;&lt;/foreign-keys&gt;&lt;ref-type name="Edited Book"&gt;28&lt;/ref-type&gt;&lt;contributors&gt;&lt;authors&gt;&lt;author&gt;McFarlane, D.J.&lt;/author&gt;&lt;/authors&gt;&lt;/contributors&gt;&lt;titles&gt;&lt;title&gt;Pilbara Water Resource Assessment&lt;/title&gt;&lt;secondary-title&gt;A report to the Government of Western Australia and industry partners from the CSIRO Pilbara Water Resource Assessment&lt;/secondary-title&gt;&lt;/titles&gt;&lt;dates&gt;&lt;year&gt;2015&lt;/year&gt;&lt;/dates&gt;&lt;pub-location&gt;Australia&lt;/pub-location&gt;&lt;publisher&gt;CSIRO Land and Water&lt;/publisher&gt;&lt;urls&gt;&lt;related-urls&gt;&lt;url&gt;Available at https://publications.csiro.au/rpr/download?pid=csiro:EP157751&amp;amp;dsid=DS2&lt;/url&gt;&lt;/related-urls&gt;&lt;/urls&gt;&lt;/record&gt;&lt;/Cite&gt;&lt;/EndNote&gt;</w:instrText>
      </w:r>
      <w:r w:rsidRPr="00747E35">
        <w:rPr>
          <w:rFonts w:asciiTheme="minorHAnsi" w:hAnsiTheme="minorHAnsi" w:cstheme="minorHAnsi"/>
        </w:rPr>
        <w:fldChar w:fldCharType="separate"/>
      </w:r>
      <w:r w:rsidRPr="00747E35">
        <w:rPr>
          <w:rFonts w:asciiTheme="minorHAnsi" w:hAnsiTheme="minorHAnsi" w:cstheme="minorHAnsi"/>
        </w:rPr>
        <w:t>(McFarlane 2015)</w:t>
      </w:r>
      <w:r w:rsidRPr="00747E35">
        <w:rPr>
          <w:rFonts w:asciiTheme="minorHAnsi" w:hAnsiTheme="minorHAnsi" w:cstheme="minorHAnsi"/>
        </w:rPr>
        <w:fldChar w:fldCharType="end"/>
      </w:r>
      <w:r w:rsidRPr="00747E35">
        <w:rPr>
          <w:rFonts w:asciiTheme="minorHAnsi" w:hAnsiTheme="minorHAnsi" w:cstheme="minorHAnsi"/>
        </w:rPr>
        <w:t xml:space="preserve"> to delineate GDVs, which assesses their sensitivity to climate variability and explores relationships between vegetation greenness, groundwater levels and streamflow (where data were available)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&lt;EndNote&gt;&lt;Cite&gt;&lt;Author&gt;Barron&lt;/Author&gt;&lt;Year&gt;2015&lt;/Year&gt;&lt;RecNum&gt;482&lt;/RecNum&gt;&lt;DisplayText&gt;(Barron and Emelyanova, 2015)&lt;/DisplayText&gt;&lt;record&gt;&lt;rec-number&gt;482&lt;/rec-number&gt;&lt;foreign-keys&gt;&lt;key app="EN" db-id="s55rdd0f4dst5tedetnxad0pfwdvszwdss0d" timestamp="1455607023"&gt;482&lt;/key&gt;&lt;/foreign-keys&gt;&lt;ref-type name="Book Section"&gt;5&lt;/ref-type&gt;&lt;contributors&gt;&lt;authors&gt;&lt;author&gt;Barron, O., &lt;/author&gt;&lt;author&gt;Emelyanova, I.&lt;/author&gt;&lt;/authors&gt;&lt;secondary-authors&gt;&lt;author&gt;McFarlane, D. J.&lt;/author&gt;&lt;/secondary-authors&gt;&lt;/contributors&gt;&lt;titles&gt;&lt;title&gt;Chapter 6: Groundwater-dependent ecosystems&lt;/title&gt;&lt;secondary-title&gt;(2015) Pilbara Water Resource Assessment: Upper Fortescue region. A report to the Government of Western Australia and industry partners from the CSIRO Pilbara Water Resource Assessment&lt;/secondary-title&gt;&lt;/titles&gt;&lt;dates&gt;&lt;year&gt;2015&lt;/year&gt;&lt;/dates&gt;&lt;publisher&gt;CSIRO Land and Water, Australia&lt;/publisher&gt;&lt;urls&gt;&lt;related-urls&gt;&lt;url&gt;Available at https://publications.csiro.au/rpr/download?pid=csiro:EP157771&amp;amp;dsid=DS2&lt;/url&gt;&lt;/related-urls&gt;&lt;/urls&gt;&lt;/record&gt;&lt;/Cite&gt;&lt;/EndNote&gt;</w:instrText>
      </w:r>
      <w:r w:rsidRPr="00747E35">
        <w:rPr>
          <w:rFonts w:asciiTheme="minorHAnsi" w:hAnsiTheme="minorHAnsi" w:cstheme="minorHAnsi"/>
        </w:rPr>
        <w:fldChar w:fldCharType="separate"/>
      </w:r>
      <w:r w:rsidRPr="00747E35">
        <w:rPr>
          <w:rFonts w:asciiTheme="minorHAnsi" w:hAnsiTheme="minorHAnsi" w:cstheme="minorHAnsi"/>
        </w:rPr>
        <w:t>(Barron and Emelyanova 2015)</w:t>
      </w:r>
      <w:r w:rsidRPr="00747E35">
        <w:rPr>
          <w:rFonts w:asciiTheme="minorHAnsi" w:hAnsiTheme="minorHAnsi" w:cstheme="minorHAnsi"/>
        </w:rPr>
        <w:fldChar w:fldCharType="end"/>
      </w:r>
      <w:r w:rsidRPr="00747E35">
        <w:rPr>
          <w:rFonts w:asciiTheme="minorHAnsi" w:hAnsiTheme="minorHAnsi" w:cstheme="minorHAnsi"/>
        </w:rPr>
        <w:t xml:space="preserve">. The methodology is based on a combined analysis of available information on geological and hydrogeological data, climate variability, water regime and groundwater dependent ecosystem (GDE) ecohydrological characteristics, and the spatiotemporal analysis of Landsat data. This methodology allows the capture of specifics of the temporal and spatial variability of various land cover types and extrapolating local knowledge to the larger scales available for the historical period. Due to the spatial resolution of available RS products (e.g., Landsat imagery with 30m by 30m spatial resolution) with longer records, the </w:t>
      </w:r>
      <w:r w:rsidRPr="00747E35">
        <w:rPr>
          <w:rFonts w:asciiTheme="minorHAnsi" w:hAnsiTheme="minorHAnsi" w:cstheme="minorHAnsi"/>
        </w:rPr>
        <w:lastRenderedPageBreak/>
        <w:t xml:space="preserve">developed methodology is more suitable for delineation and characterisation of vegetation communities or habitats rather than for individual plants. </w:t>
      </w:r>
    </w:p>
    <w:p w14:paraId="03CC426E" w14:textId="77777777" w:rsidR="003D3694" w:rsidRPr="00747E35" w:rsidRDefault="003D3694" w:rsidP="00657288">
      <w:pPr>
        <w:ind w:right="452"/>
        <w:rPr>
          <w:rFonts w:asciiTheme="minorHAnsi" w:hAnsiTheme="minorHAnsi" w:cstheme="minorHAnsi"/>
        </w:rPr>
      </w:pPr>
      <w:r w:rsidRPr="00747E35">
        <w:rPr>
          <w:rFonts w:asciiTheme="minorHAnsi" w:hAnsiTheme="minorHAnsi" w:cstheme="minorHAnsi"/>
        </w:rPr>
        <w:t>For quantitative assessment of greenness and wetness we used NDVI and NDWI grids derived from the Landsat data cube. NDVI is used for indirect evaluation of vegetation greenness (Townsend and Justice 1986, Tucker 1986). The NDVI allows assessment of density and vigour of green areas on the surface. The NDWI was proposed by Gao (1996) to evaluate vegetation liquid water within the leaves. NDWI is less sensitive to atmospheric scattering effects than NDVI and provides additional and independent information about vegetation water content (Gao 1996).</w:t>
      </w:r>
    </w:p>
    <w:p w14:paraId="4E1D259E" w14:textId="6827C786" w:rsidR="003D3694" w:rsidRPr="00747E35" w:rsidRDefault="003D3694" w:rsidP="00657288">
      <w:pPr>
        <w:ind w:right="452"/>
        <w:rPr>
          <w:rFonts w:asciiTheme="minorHAnsi" w:hAnsiTheme="minorHAnsi" w:cstheme="minorHAnsi"/>
        </w:rPr>
      </w:pPr>
      <w:r w:rsidRPr="00747E35">
        <w:rPr>
          <w:rFonts w:asciiTheme="minorHAnsi" w:hAnsiTheme="minorHAnsi" w:cstheme="minorHAnsi"/>
        </w:rPr>
        <w:t xml:space="preserve">Riparian vegetation is characterised by a consistently higher level of greenness across long-term (multi-year) periods in comparison with other types of vegetation with seasonal access to water (e.g. annual pasture, etc.). Therefore, a multi-date NDVI dataset (NDVI data cube) contains information about greenness dynamics over the considered period. Extraction of such information is achieved by the application of principal components analysis (PCA) (Jolliffe 2002) to the NDVI data cube. PCA allows transformation of the original NDVI data cube into a new dataset of principal component (PC) grids. The lower order PCs represent most correlated information between image dates (Richards 1993, Lunetta and Elvidge 1998, Canty 2010), in other words, temporally invariant regions of the landscape. The higher order PCs indicate land cover changes. It was expected that PC1 and PC2 grids produced from the multi-temporal NDVI dataset (NDVI PC1 and NDVI PC2, hereafter) would provide information for mapping temporally invariant vegetation areas characterized by high NDVI values, such as groundwater dependent vegetation (GDV) (see </w:t>
      </w:r>
      <w:r w:rsidR="007A4E81" w:rsidRPr="005D5719">
        <w:rPr>
          <w:rFonts w:asciiTheme="minorHAnsi" w:hAnsiTheme="minorHAnsi" w:cstheme="minorHAnsi"/>
        </w:rPr>
        <w:t>Section 7.1</w:t>
      </w:r>
      <w:r w:rsidR="007A4E81">
        <w:rPr>
          <w:rFonts w:asciiTheme="minorHAnsi" w:hAnsiTheme="minorHAnsi" w:cstheme="minorHAnsi"/>
        </w:rPr>
        <w:t>,</w:t>
      </w:r>
      <w:r w:rsidR="007A4E81" w:rsidRPr="005D5719">
        <w:rPr>
          <w:rFonts w:asciiTheme="minorHAnsi" w:hAnsiTheme="minorHAnsi" w:cstheme="minorHAnsi"/>
        </w:rPr>
        <w:t xml:space="preserve"> </w:t>
      </w:r>
      <w:r w:rsidR="007A4E81" w:rsidRPr="00747E35">
        <w:rPr>
          <w:rFonts w:asciiTheme="minorHAnsi" w:hAnsiTheme="minorHAnsi" w:cstheme="minorHAnsi"/>
        </w:rPr>
        <w:t>Appendix 1</w:t>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_Ref467227826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43</w:t>
      </w:r>
      <w:r w:rsidRPr="00747E35">
        <w:rPr>
          <w:rFonts w:asciiTheme="minorHAnsi" w:hAnsiTheme="minorHAnsi" w:cstheme="minorHAnsi"/>
        </w:rPr>
        <w:fldChar w:fldCharType="end"/>
      </w:r>
      <w:r w:rsidRPr="00747E35">
        <w:rPr>
          <w:rFonts w:asciiTheme="minorHAnsi" w:hAnsiTheme="minorHAnsi" w:cstheme="minorHAnsi"/>
        </w:rPr>
        <w:t>).</w:t>
      </w:r>
    </w:p>
    <w:p w14:paraId="4F38FCF3" w14:textId="77777777" w:rsidR="003D3694" w:rsidRPr="00747E35" w:rsidRDefault="003D3694" w:rsidP="00657288">
      <w:pPr>
        <w:ind w:right="452"/>
        <w:rPr>
          <w:rFonts w:asciiTheme="minorHAnsi" w:hAnsiTheme="minorHAnsi" w:cstheme="minorHAnsi"/>
        </w:rPr>
      </w:pPr>
      <w:r w:rsidRPr="00747E35">
        <w:rPr>
          <w:rFonts w:asciiTheme="minorHAnsi" w:hAnsiTheme="minorHAnsi" w:cstheme="minorHAnsi"/>
        </w:rPr>
        <w:t>Dependence of NDVI (or vegetation greenness) on climate conditions was investigated by modelling relationships between NDVI and climate variables with the multiple linear regression (MLR) analysis method:</w:t>
      </w:r>
    </w:p>
    <w:p w14:paraId="584CC9AC" w14:textId="77777777" w:rsidR="003D3694" w:rsidRPr="00747E35" w:rsidRDefault="003D3694" w:rsidP="00657288">
      <w:pPr>
        <w:ind w:right="452"/>
        <w:rPr>
          <w:rFonts w:asciiTheme="minorHAnsi" w:hAnsiTheme="minorHAnsi" w:cstheme="minorHAnsi"/>
        </w:rPr>
      </w:pPr>
      <w:r w:rsidRPr="00747E35">
        <w:rPr>
          <w:rFonts w:asciiTheme="minorHAnsi" w:hAnsiTheme="minorHAnsi" w:cstheme="minorHAnsi"/>
        </w:rPr>
        <w:t xml:space="preserve">                     </w:t>
      </w:r>
      <m:oMath>
        <m:r>
          <w:rPr>
            <w:rFonts w:ascii="Cambria Math" w:hAnsi="Cambria Math" w:cstheme="minorHAnsi"/>
          </w:rPr>
          <m:t>NDVI=</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0</m:t>
            </m:r>
          </m:sub>
        </m:sSub>
        <m:r>
          <w:rPr>
            <w:rFonts w:ascii="Cambria Math" w:hAnsi="Cambria Math" w:cstheme="minorHAnsi"/>
          </w:rPr>
          <m:t xml:space="preserve">+ </m:t>
        </m:r>
        <m:nary>
          <m:naryPr>
            <m:chr m:val="∑"/>
            <m:limLoc m:val="undOvr"/>
            <m:ctrlPr>
              <w:rPr>
                <w:rFonts w:ascii="Cambria Math" w:hAnsi="Cambria Math" w:cstheme="minorHAnsi"/>
                <w:i/>
              </w:rPr>
            </m:ctrlPr>
          </m:naryPr>
          <m:sub>
            <m:r>
              <w:rPr>
                <w:rFonts w:ascii="Cambria Math" w:hAnsi="Cambria Math" w:cstheme="minorHAnsi"/>
              </w:rPr>
              <m:t>i=1</m:t>
            </m:r>
          </m:sub>
          <m:sup>
            <m:r>
              <w:rPr>
                <w:rFonts w:ascii="Cambria Math" w:hAnsi="Cambria Math" w:cstheme="minorHAnsi"/>
              </w:rPr>
              <m:t>N</m:t>
            </m:r>
          </m:sup>
          <m:e>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i</m:t>
                </m:r>
              </m:sub>
            </m:sSub>
            <m:sSub>
              <m:sSubPr>
                <m:ctrlPr>
                  <w:rPr>
                    <w:rFonts w:ascii="Cambria Math" w:hAnsi="Cambria Math" w:cstheme="minorHAnsi"/>
                    <w:i/>
                  </w:rPr>
                </m:ctrlPr>
              </m:sSubPr>
              <m:e>
                <m:r>
                  <w:rPr>
                    <w:rFonts w:ascii="Cambria Math" w:hAnsi="Cambria Math" w:cstheme="minorHAnsi"/>
                  </w:rPr>
                  <m:t>CP</m:t>
                </m:r>
              </m:e>
              <m:sub>
                <m:r>
                  <w:rPr>
                    <w:rFonts w:ascii="Cambria Math" w:hAnsi="Cambria Math" w:cstheme="minorHAnsi"/>
                  </w:rPr>
                  <m:t>i</m:t>
                </m:r>
              </m:sub>
            </m:sSub>
          </m:e>
        </m:nary>
      </m:oMath>
      <w:r w:rsidRPr="00747E35">
        <w:rPr>
          <w:rFonts w:asciiTheme="minorHAnsi" w:hAnsiTheme="minorHAnsi" w:cstheme="minorHAnsi"/>
        </w:rPr>
        <w:t xml:space="preserve">                                      (4)</w:t>
      </w:r>
    </w:p>
    <w:p w14:paraId="14E1ABB2" w14:textId="77777777" w:rsidR="003D3694" w:rsidRPr="00747E35" w:rsidRDefault="003D3694" w:rsidP="00657288">
      <w:pPr>
        <w:ind w:right="452"/>
        <w:rPr>
          <w:rFonts w:asciiTheme="minorHAnsi" w:hAnsiTheme="minorHAnsi" w:cstheme="minorHAnsi"/>
        </w:rPr>
      </w:pPr>
      <w:r w:rsidRPr="00747E35">
        <w:rPr>
          <w:rFonts w:asciiTheme="minorHAnsi" w:hAnsiTheme="minorHAnsi" w:cstheme="minorHAnsi"/>
        </w:rPr>
        <w:t xml:space="preserve">Where </w:t>
      </w:r>
      <m:oMath>
        <m:r>
          <w:rPr>
            <w:rFonts w:ascii="Cambria Math" w:hAnsi="Cambria Math" w:cstheme="minorHAnsi"/>
          </w:rPr>
          <m:t>N</m:t>
        </m:r>
      </m:oMath>
      <w:r w:rsidRPr="00747E35">
        <w:rPr>
          <w:rFonts w:asciiTheme="minorHAnsi" w:hAnsiTheme="minorHAnsi" w:cstheme="minorHAnsi"/>
        </w:rPr>
        <w:t>= 14 is the number of climate variables (</w:t>
      </w:r>
      <m:oMath>
        <m:sSub>
          <m:sSubPr>
            <m:ctrlPr>
              <w:rPr>
                <w:rFonts w:ascii="Cambria Math" w:hAnsi="Cambria Math" w:cstheme="minorHAnsi"/>
                <w:i/>
              </w:rPr>
            </m:ctrlPr>
          </m:sSubPr>
          <m:e>
            <m:r>
              <w:rPr>
                <w:rFonts w:ascii="Cambria Math" w:hAnsi="Cambria Math" w:cstheme="minorHAnsi"/>
              </w:rPr>
              <m:t>CP</m:t>
            </m:r>
          </m:e>
          <m:sub>
            <m:r>
              <w:rPr>
                <w:rFonts w:ascii="Cambria Math" w:hAnsi="Cambria Math" w:cstheme="minorHAnsi"/>
              </w:rPr>
              <m:t>i</m:t>
            </m:r>
          </m:sub>
        </m:sSub>
        <m:r>
          <w:rPr>
            <w:rFonts w:ascii="Cambria Math" w:hAnsi="Cambria Math" w:cstheme="minorHAnsi"/>
          </w:rPr>
          <m:t xml:space="preserve"> , i=1,2,…,N</m:t>
        </m:r>
      </m:oMath>
      <w:r w:rsidRPr="00747E35">
        <w:rPr>
          <w:rFonts w:asciiTheme="minorHAnsi" w:hAnsiTheme="minorHAnsi" w:cstheme="minorHAnsi"/>
        </w:rPr>
        <w:t xml:space="preserve">), and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0</m:t>
            </m:r>
          </m:sub>
        </m:sSub>
      </m:oMath>
      <w:r w:rsidRPr="00747E35">
        <w:rPr>
          <w:rFonts w:asciiTheme="minorHAnsi" w:hAnsiTheme="minorHAnsi" w:cstheme="minorHAnsi"/>
        </w:rPr>
        <w:t xml:space="preserve"> and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i</m:t>
            </m:r>
          </m:sub>
        </m:sSub>
      </m:oMath>
      <w:r w:rsidRPr="00747E35">
        <w:rPr>
          <w:rFonts w:asciiTheme="minorHAnsi" w:hAnsiTheme="minorHAnsi" w:cstheme="minorHAnsi"/>
        </w:rPr>
        <w:t xml:space="preserve"> are the Intercept and MLR coefficients, respectively. Climate variables used for modelling in this study included mean values of daily maximum temperature (</w:t>
      </w:r>
      <m:oMath>
        <m:sSub>
          <m:sSubPr>
            <m:ctrlPr>
              <w:rPr>
                <w:rFonts w:ascii="Cambria Math" w:hAnsi="Cambria Math" w:cstheme="minorHAnsi"/>
                <w:i/>
              </w:rPr>
            </m:ctrlPr>
          </m:sSubPr>
          <m:e>
            <m:r>
              <w:rPr>
                <w:rFonts w:ascii="Cambria Math" w:hAnsi="Cambria Math" w:cstheme="minorHAnsi"/>
              </w:rPr>
              <m:t>CP</m:t>
            </m:r>
          </m:e>
          <m:sub>
            <m:r>
              <w:rPr>
                <w:rFonts w:ascii="Cambria Math" w:hAnsi="Cambria Math" w:cstheme="minorHAnsi"/>
              </w:rPr>
              <m:t>1</m:t>
            </m:r>
          </m:sub>
        </m:sSub>
        <m:r>
          <w:rPr>
            <w:rFonts w:ascii="Cambria Math" w:hAnsi="Cambria Math" w:cstheme="minorHAnsi"/>
          </w:rPr>
          <m:t>=Tma</m:t>
        </m:r>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m</m:t>
            </m:r>
          </m:sub>
        </m:sSub>
      </m:oMath>
      <w:r w:rsidRPr="00747E35">
        <w:rPr>
          <w:rFonts w:asciiTheme="minorHAnsi" w:hAnsiTheme="minorHAnsi" w:cstheme="minorHAnsi"/>
        </w:rPr>
        <w:t xml:space="preserve">; </w:t>
      </w:r>
      <m:oMath>
        <m:sSub>
          <m:sSubPr>
            <m:ctrlPr>
              <w:rPr>
                <w:rFonts w:ascii="Cambria Math" w:hAnsi="Cambria Math" w:cstheme="minorHAnsi"/>
                <w:i/>
              </w:rPr>
            </m:ctrlPr>
          </m:sSubPr>
          <m:e>
            <m:r>
              <w:rPr>
                <w:rFonts w:ascii="Cambria Math" w:hAnsi="Cambria Math" w:cstheme="minorHAnsi"/>
              </w:rPr>
              <m:t>CP</m:t>
            </m:r>
          </m:e>
          <m:sub>
            <m:r>
              <w:rPr>
                <w:rFonts w:ascii="Cambria Math" w:hAnsi="Cambria Math" w:cstheme="minorHAnsi"/>
              </w:rPr>
              <m:t>8</m:t>
            </m:r>
          </m:sub>
        </m:sSub>
        <m:r>
          <w:rPr>
            <w:rFonts w:ascii="Cambria Math" w:hAnsi="Cambria Math" w:cstheme="minorHAnsi"/>
          </w:rPr>
          <m:t>=Tma</m:t>
        </m:r>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l</m:t>
            </m:r>
          </m:sub>
        </m:sSub>
      </m:oMath>
      <w:r w:rsidRPr="00747E35">
        <w:rPr>
          <w:rFonts w:asciiTheme="minorHAnsi" w:hAnsiTheme="minorHAnsi" w:cstheme="minorHAnsi"/>
        </w:rPr>
        <w:t>); pan evaporation (</w:t>
      </w:r>
      <m:oMath>
        <m:sSub>
          <m:sSubPr>
            <m:ctrlPr>
              <w:rPr>
                <w:rFonts w:ascii="Cambria Math" w:hAnsi="Cambria Math" w:cstheme="minorHAnsi"/>
                <w:i/>
              </w:rPr>
            </m:ctrlPr>
          </m:sSubPr>
          <m:e>
            <m:r>
              <w:rPr>
                <w:rFonts w:ascii="Cambria Math" w:hAnsi="Cambria Math" w:cstheme="minorHAnsi"/>
              </w:rPr>
              <m:t>CP</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Evap</m:t>
            </m:r>
          </m:e>
          <m:sub>
            <m:r>
              <w:rPr>
                <w:rFonts w:ascii="Cambria Math" w:hAnsi="Cambria Math" w:cstheme="minorHAnsi"/>
              </w:rPr>
              <m:t>m</m:t>
            </m:r>
          </m:sub>
        </m:sSub>
      </m:oMath>
      <w:r w:rsidRPr="00747E35">
        <w:rPr>
          <w:rFonts w:asciiTheme="minorHAnsi" w:hAnsiTheme="minorHAnsi" w:cstheme="minorHAnsi"/>
        </w:rPr>
        <w:t xml:space="preserve">; </w:t>
      </w:r>
      <m:oMath>
        <m:sSub>
          <m:sSubPr>
            <m:ctrlPr>
              <w:rPr>
                <w:rFonts w:ascii="Cambria Math" w:hAnsi="Cambria Math" w:cstheme="minorHAnsi"/>
                <w:i/>
              </w:rPr>
            </m:ctrlPr>
          </m:sSubPr>
          <m:e>
            <m:r>
              <w:rPr>
                <w:rFonts w:ascii="Cambria Math" w:hAnsi="Cambria Math" w:cstheme="minorHAnsi"/>
              </w:rPr>
              <m:t>CP</m:t>
            </m:r>
          </m:e>
          <m:sub>
            <m:r>
              <w:rPr>
                <w:rFonts w:ascii="Cambria Math" w:hAnsi="Cambria Math" w:cstheme="minorHAnsi"/>
              </w:rPr>
              <m:t>9</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Evap</m:t>
            </m:r>
          </m:e>
          <m:sub>
            <m:r>
              <w:rPr>
                <w:rFonts w:ascii="Cambria Math" w:hAnsi="Cambria Math" w:cstheme="minorHAnsi"/>
              </w:rPr>
              <m:t>l</m:t>
            </m:r>
          </m:sub>
        </m:sSub>
      </m:oMath>
      <w:r w:rsidRPr="00747E35">
        <w:rPr>
          <w:rFonts w:asciiTheme="minorHAnsi" w:hAnsiTheme="minorHAnsi" w:cstheme="minorHAnsi"/>
        </w:rPr>
        <w:t>); vapour pressure (</w:t>
      </w:r>
      <m:oMath>
        <m:sSub>
          <m:sSubPr>
            <m:ctrlPr>
              <w:rPr>
                <w:rFonts w:ascii="Cambria Math" w:hAnsi="Cambria Math" w:cstheme="minorHAnsi"/>
                <w:i/>
              </w:rPr>
            </m:ctrlPr>
          </m:sSubPr>
          <m:e>
            <m:r>
              <w:rPr>
                <w:rFonts w:ascii="Cambria Math" w:hAnsi="Cambria Math" w:cstheme="minorHAnsi"/>
              </w:rPr>
              <m:t>CP</m:t>
            </m:r>
          </m:e>
          <m:sub>
            <m:r>
              <w:rPr>
                <w:rFonts w:ascii="Cambria Math" w:hAnsi="Cambria Math" w:cstheme="minorHAnsi"/>
              </w:rPr>
              <m:t>3</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Vp</m:t>
            </m:r>
          </m:e>
          <m:sub>
            <m:r>
              <w:rPr>
                <w:rFonts w:ascii="Cambria Math" w:hAnsi="Cambria Math" w:cstheme="minorHAnsi"/>
              </w:rPr>
              <m:t>m</m:t>
            </m:r>
          </m:sub>
        </m:sSub>
      </m:oMath>
      <w:r w:rsidRPr="00747E35">
        <w:rPr>
          <w:rFonts w:asciiTheme="minorHAnsi" w:hAnsiTheme="minorHAnsi" w:cstheme="minorHAnsi"/>
        </w:rPr>
        <w:t xml:space="preserve">; </w:t>
      </w:r>
      <m:oMath>
        <m:sSub>
          <m:sSubPr>
            <m:ctrlPr>
              <w:rPr>
                <w:rFonts w:ascii="Cambria Math" w:hAnsi="Cambria Math" w:cstheme="minorHAnsi"/>
                <w:i/>
              </w:rPr>
            </m:ctrlPr>
          </m:sSubPr>
          <m:e>
            <m:r>
              <w:rPr>
                <w:rFonts w:ascii="Cambria Math" w:hAnsi="Cambria Math" w:cstheme="minorHAnsi"/>
              </w:rPr>
              <m:t>CP</m:t>
            </m:r>
          </m:e>
          <m:sub>
            <m:r>
              <w:rPr>
                <w:rFonts w:ascii="Cambria Math" w:hAnsi="Cambria Math" w:cstheme="minorHAnsi"/>
              </w:rPr>
              <m:t>10</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Vp</m:t>
            </m:r>
          </m:e>
          <m:sub>
            <m:r>
              <w:rPr>
                <w:rFonts w:ascii="Cambria Math" w:hAnsi="Cambria Math" w:cstheme="minorHAnsi"/>
              </w:rPr>
              <m:t>l</m:t>
            </m:r>
          </m:sub>
        </m:sSub>
      </m:oMath>
      <w:r w:rsidRPr="00747E35">
        <w:rPr>
          <w:rFonts w:asciiTheme="minorHAnsi" w:hAnsiTheme="minorHAnsi" w:cstheme="minorHAnsi"/>
        </w:rPr>
        <w:t>); vapour pressure deficit (</w:t>
      </w:r>
      <m:oMath>
        <m:sSub>
          <m:sSubPr>
            <m:ctrlPr>
              <w:rPr>
                <w:rFonts w:ascii="Cambria Math" w:hAnsi="Cambria Math" w:cstheme="minorHAnsi"/>
                <w:i/>
              </w:rPr>
            </m:ctrlPr>
          </m:sSubPr>
          <m:e>
            <m:r>
              <w:rPr>
                <w:rFonts w:ascii="Cambria Math" w:hAnsi="Cambria Math" w:cstheme="minorHAnsi"/>
              </w:rPr>
              <m:t>CP</m:t>
            </m:r>
          </m:e>
          <m:sub>
            <m:r>
              <w:rPr>
                <w:rFonts w:ascii="Cambria Math" w:hAnsi="Cambria Math" w:cstheme="minorHAnsi"/>
              </w:rPr>
              <m:t>4</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VpD</m:t>
            </m:r>
          </m:e>
          <m:sub>
            <m:r>
              <w:rPr>
                <w:rFonts w:ascii="Cambria Math" w:hAnsi="Cambria Math" w:cstheme="minorHAnsi"/>
              </w:rPr>
              <m:t>m</m:t>
            </m:r>
          </m:sub>
        </m:sSub>
      </m:oMath>
      <w:r w:rsidRPr="00747E35">
        <w:rPr>
          <w:rFonts w:asciiTheme="minorHAnsi" w:hAnsiTheme="minorHAnsi" w:cstheme="minorHAnsi"/>
        </w:rPr>
        <w:t xml:space="preserve">; </w:t>
      </w:r>
      <m:oMath>
        <m:sSub>
          <m:sSubPr>
            <m:ctrlPr>
              <w:rPr>
                <w:rFonts w:ascii="Cambria Math" w:hAnsi="Cambria Math" w:cstheme="minorHAnsi"/>
                <w:i/>
              </w:rPr>
            </m:ctrlPr>
          </m:sSubPr>
          <m:e>
            <m:r>
              <w:rPr>
                <w:rFonts w:ascii="Cambria Math" w:hAnsi="Cambria Math" w:cstheme="minorHAnsi"/>
              </w:rPr>
              <m:t>CP</m:t>
            </m:r>
          </m:e>
          <m:sub>
            <m:r>
              <w:rPr>
                <w:rFonts w:ascii="Cambria Math" w:hAnsi="Cambria Math" w:cstheme="minorHAnsi"/>
              </w:rPr>
              <m:t>11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VpD</m:t>
            </m:r>
          </m:e>
          <m:sub>
            <m:r>
              <w:rPr>
                <w:rFonts w:ascii="Cambria Math" w:hAnsi="Cambria Math" w:cstheme="minorHAnsi"/>
              </w:rPr>
              <m:t>l</m:t>
            </m:r>
          </m:sub>
        </m:sSub>
      </m:oMath>
      <w:r w:rsidRPr="00747E35">
        <w:rPr>
          <w:rFonts w:asciiTheme="minorHAnsi" w:hAnsiTheme="minorHAnsi" w:cstheme="minorHAnsi"/>
        </w:rPr>
        <w:t>); relative humidity at maximum temperature (</w:t>
      </w:r>
      <m:oMath>
        <m:sSub>
          <m:sSubPr>
            <m:ctrlPr>
              <w:rPr>
                <w:rFonts w:ascii="Cambria Math" w:hAnsi="Cambria Math" w:cstheme="minorHAnsi"/>
                <w:i/>
              </w:rPr>
            </m:ctrlPr>
          </m:sSubPr>
          <m:e>
            <m:r>
              <w:rPr>
                <w:rFonts w:ascii="Cambria Math" w:hAnsi="Cambria Math" w:cstheme="minorHAnsi"/>
              </w:rPr>
              <m:t>CP</m:t>
            </m:r>
          </m:e>
          <m:sub>
            <m:r>
              <w:rPr>
                <w:rFonts w:ascii="Cambria Math" w:hAnsi="Cambria Math" w:cstheme="minorHAnsi"/>
              </w:rPr>
              <m:t>5</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RHmaxT</m:t>
            </m:r>
          </m:e>
          <m:sub>
            <m:r>
              <w:rPr>
                <w:rFonts w:ascii="Cambria Math" w:hAnsi="Cambria Math" w:cstheme="minorHAnsi"/>
              </w:rPr>
              <m:t>m</m:t>
            </m:r>
          </m:sub>
        </m:sSub>
      </m:oMath>
      <w:r w:rsidRPr="00747E35">
        <w:rPr>
          <w:rFonts w:asciiTheme="minorHAnsi" w:hAnsiTheme="minorHAnsi" w:cstheme="minorHAnsi"/>
        </w:rPr>
        <w:t xml:space="preserve">; </w:t>
      </w:r>
      <m:oMath>
        <m:sSub>
          <m:sSubPr>
            <m:ctrlPr>
              <w:rPr>
                <w:rFonts w:ascii="Cambria Math" w:hAnsi="Cambria Math" w:cstheme="minorHAnsi"/>
                <w:i/>
              </w:rPr>
            </m:ctrlPr>
          </m:sSubPr>
          <m:e>
            <m:r>
              <w:rPr>
                <w:rFonts w:ascii="Cambria Math" w:hAnsi="Cambria Math" w:cstheme="minorHAnsi"/>
              </w:rPr>
              <m:t>CP</m:t>
            </m:r>
          </m:e>
          <m:sub>
            <m:r>
              <w:rPr>
                <w:rFonts w:ascii="Cambria Math" w:hAnsi="Cambria Math" w:cstheme="minorHAnsi"/>
              </w:rPr>
              <m:t>12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RHmaxT</m:t>
            </m:r>
          </m:e>
          <m:sub>
            <m:r>
              <w:rPr>
                <w:rFonts w:ascii="Cambria Math" w:hAnsi="Cambria Math" w:cstheme="minorHAnsi"/>
              </w:rPr>
              <m:t>l</m:t>
            </m:r>
          </m:sub>
        </m:sSub>
      </m:oMath>
      <w:r w:rsidRPr="00747E35">
        <w:rPr>
          <w:rFonts w:asciiTheme="minorHAnsi" w:hAnsiTheme="minorHAnsi" w:cstheme="minorHAnsi"/>
        </w:rPr>
        <w:t>); solar radiation (</w:t>
      </w:r>
      <m:oMath>
        <m:sSub>
          <m:sSubPr>
            <m:ctrlPr>
              <w:rPr>
                <w:rFonts w:ascii="Cambria Math" w:hAnsi="Cambria Math" w:cstheme="minorHAnsi"/>
                <w:i/>
              </w:rPr>
            </m:ctrlPr>
          </m:sSubPr>
          <m:e>
            <m:r>
              <w:rPr>
                <w:rFonts w:ascii="Cambria Math" w:hAnsi="Cambria Math" w:cstheme="minorHAnsi"/>
              </w:rPr>
              <m:t>CP</m:t>
            </m:r>
          </m:e>
          <m:sub>
            <m:r>
              <w:rPr>
                <w:rFonts w:ascii="Cambria Math" w:hAnsi="Cambria Math" w:cstheme="minorHAnsi"/>
              </w:rPr>
              <m:t>6</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Rad</m:t>
            </m:r>
          </m:e>
          <m:sub>
            <m:r>
              <w:rPr>
                <w:rFonts w:ascii="Cambria Math" w:hAnsi="Cambria Math" w:cstheme="minorHAnsi"/>
              </w:rPr>
              <m:t>m</m:t>
            </m:r>
          </m:sub>
        </m:sSub>
      </m:oMath>
      <w:r w:rsidRPr="00747E35">
        <w:rPr>
          <w:rFonts w:asciiTheme="minorHAnsi" w:hAnsiTheme="minorHAnsi" w:cstheme="minorHAnsi"/>
        </w:rPr>
        <w:t xml:space="preserve">; </w:t>
      </w:r>
      <m:oMath>
        <m:sSub>
          <m:sSubPr>
            <m:ctrlPr>
              <w:rPr>
                <w:rFonts w:ascii="Cambria Math" w:hAnsi="Cambria Math" w:cstheme="minorHAnsi"/>
                <w:i/>
              </w:rPr>
            </m:ctrlPr>
          </m:sSubPr>
          <m:e>
            <m:r>
              <w:rPr>
                <w:rFonts w:ascii="Cambria Math" w:hAnsi="Cambria Math" w:cstheme="minorHAnsi"/>
              </w:rPr>
              <m:t>CP</m:t>
            </m:r>
          </m:e>
          <m:sub>
            <m:r>
              <w:rPr>
                <w:rFonts w:ascii="Cambria Math" w:hAnsi="Cambria Math" w:cstheme="minorHAnsi"/>
              </w:rPr>
              <m:t>13</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Rad</m:t>
            </m:r>
          </m:e>
          <m:sub>
            <m:r>
              <w:rPr>
                <w:rFonts w:ascii="Cambria Math" w:hAnsi="Cambria Math" w:cstheme="minorHAnsi"/>
              </w:rPr>
              <m:t>l</m:t>
            </m:r>
          </m:sub>
        </m:sSub>
      </m:oMath>
      <w:r w:rsidRPr="00747E35">
        <w:rPr>
          <w:rFonts w:asciiTheme="minorHAnsi" w:hAnsiTheme="minorHAnsi" w:cstheme="minorHAnsi"/>
        </w:rPr>
        <w:t>) and rainfall (</w:t>
      </w:r>
      <m:oMath>
        <m:sSub>
          <m:sSubPr>
            <m:ctrlPr>
              <w:rPr>
                <w:rFonts w:ascii="Cambria Math" w:hAnsi="Cambria Math" w:cstheme="minorHAnsi"/>
                <w:i/>
              </w:rPr>
            </m:ctrlPr>
          </m:sSubPr>
          <m:e>
            <m:r>
              <w:rPr>
                <w:rFonts w:ascii="Cambria Math" w:hAnsi="Cambria Math" w:cstheme="minorHAnsi"/>
              </w:rPr>
              <m:t>CP</m:t>
            </m:r>
          </m:e>
          <m:sub>
            <m:r>
              <w:rPr>
                <w:rFonts w:ascii="Cambria Math" w:hAnsi="Cambria Math" w:cstheme="minorHAnsi"/>
              </w:rPr>
              <m:t>7</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RF</m:t>
            </m:r>
          </m:e>
          <m:sub>
            <m:r>
              <w:rPr>
                <w:rFonts w:ascii="Cambria Math" w:hAnsi="Cambria Math" w:cstheme="minorHAnsi"/>
              </w:rPr>
              <m:t>m</m:t>
            </m:r>
          </m:sub>
        </m:sSub>
      </m:oMath>
      <w:r w:rsidRPr="00747E35">
        <w:rPr>
          <w:rFonts w:asciiTheme="minorHAnsi" w:hAnsiTheme="minorHAnsi" w:cstheme="minorHAnsi"/>
        </w:rPr>
        <w:t xml:space="preserve">; </w:t>
      </w:r>
      <m:oMath>
        <m:sSub>
          <m:sSubPr>
            <m:ctrlPr>
              <w:rPr>
                <w:rFonts w:ascii="Cambria Math" w:hAnsi="Cambria Math" w:cstheme="minorHAnsi"/>
                <w:i/>
              </w:rPr>
            </m:ctrlPr>
          </m:sSubPr>
          <m:e>
            <m:r>
              <w:rPr>
                <w:rFonts w:ascii="Cambria Math" w:hAnsi="Cambria Math" w:cstheme="minorHAnsi"/>
              </w:rPr>
              <m:t>CP</m:t>
            </m:r>
          </m:e>
          <m:sub>
            <m:r>
              <w:rPr>
                <w:rFonts w:ascii="Cambria Math" w:hAnsi="Cambria Math" w:cstheme="minorHAnsi"/>
              </w:rPr>
              <m:t>14</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RF</m:t>
            </m:r>
          </m:e>
          <m:sub>
            <m:r>
              <w:rPr>
                <w:rFonts w:ascii="Cambria Math" w:hAnsi="Cambria Math" w:cstheme="minorHAnsi"/>
              </w:rPr>
              <m:t>l</m:t>
            </m:r>
          </m:sub>
        </m:sSub>
      </m:oMath>
      <w:r w:rsidRPr="00747E35">
        <w:rPr>
          <w:rFonts w:asciiTheme="minorHAnsi" w:hAnsiTheme="minorHAnsi" w:cstheme="minorHAnsi"/>
        </w:rPr>
        <w:t>). These were all estimated over two selected periods of time to model immediate and longer-term effects. The immediate and long-term periods covered 15 days and a year, respectively. Labels ‘</w:t>
      </w:r>
      <w:r w:rsidRPr="00747E35">
        <w:rPr>
          <w:rFonts w:asciiTheme="minorHAnsi" w:hAnsiTheme="minorHAnsi" w:cstheme="minorHAnsi"/>
          <w:i/>
        </w:rPr>
        <w:t>m’</w:t>
      </w:r>
      <w:r w:rsidRPr="00747E35">
        <w:rPr>
          <w:rFonts w:asciiTheme="minorHAnsi" w:hAnsiTheme="minorHAnsi" w:cstheme="minorHAnsi"/>
        </w:rPr>
        <w:t xml:space="preserve"> and ‘</w:t>
      </w:r>
      <w:r w:rsidRPr="00747E35">
        <w:rPr>
          <w:rFonts w:asciiTheme="minorHAnsi" w:hAnsiTheme="minorHAnsi" w:cstheme="minorHAnsi"/>
          <w:i/>
        </w:rPr>
        <w:t>l</w:t>
      </w:r>
      <w:r w:rsidRPr="00747E35">
        <w:rPr>
          <w:rFonts w:asciiTheme="minorHAnsi" w:hAnsiTheme="minorHAnsi" w:cstheme="minorHAnsi"/>
        </w:rPr>
        <w:t>’ in climate variables names stand for immediate and annual time periods, respectively.</w:t>
      </w:r>
    </w:p>
    <w:p w14:paraId="308487D5" w14:textId="335AE19C" w:rsidR="003D3694" w:rsidRPr="00747E35" w:rsidRDefault="003D3694" w:rsidP="00657288">
      <w:pPr>
        <w:ind w:right="452"/>
        <w:rPr>
          <w:rFonts w:asciiTheme="minorHAnsi" w:hAnsiTheme="minorHAnsi" w:cstheme="minorHAnsi"/>
        </w:rPr>
      </w:pPr>
      <w:r w:rsidRPr="00747E35">
        <w:rPr>
          <w:rFonts w:asciiTheme="minorHAnsi" w:hAnsiTheme="minorHAnsi" w:cstheme="minorHAnsi"/>
        </w:rPr>
        <w:t>Temporal profiles of NDVI were extracted from the multi-temporal NDVI dataset created for applying PCA at each 30 m by 30 m pixel of the image covering the analysis area. Equation (4) was then applied for each of these NDVI profiles and normalised values of the climate variables.  Normalisation of the climate variables allowed quantitative assessment of their contribution into the MLR model (4) by comparison of the MLR coefficients’ magnitudes: it was assumed that the larger the magnitude the more influential the climate variable was. In addition, the sign of a coefficient’s value allowed us to conclude whether a particular climate variable contribution was negative or positive. The MLR coefficients were assessed over the entire study area within the Maules or Bremer catchments, within the remnant vegetation mask and at the vegetation observation points. At the entire area scale, the ISODATA clustering technique (Ball and Hall 1967) was applied to the set of 15 grids containing the intercept</w:t>
      </w:r>
      <m:oMath>
        <m:r>
          <w:rPr>
            <w:rFonts w:ascii="Cambria Math" w:hAnsi="Cambria Math" w:cstheme="minorHAnsi"/>
          </w:rPr>
          <m:t xml:space="preserve"> </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0</m:t>
            </m:r>
          </m:sub>
        </m:sSub>
      </m:oMath>
      <w:r w:rsidRPr="00747E35">
        <w:rPr>
          <w:rFonts w:asciiTheme="minorHAnsi" w:hAnsiTheme="minorHAnsi" w:cstheme="minorHAnsi"/>
        </w:rPr>
        <w:t xml:space="preserve"> and MLR coefficients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i</m:t>
            </m:r>
          </m:sub>
        </m:sSub>
      </m:oMath>
      <w:r w:rsidRPr="00747E35">
        <w:rPr>
          <w:rFonts w:asciiTheme="minorHAnsi" w:hAnsiTheme="minorHAnsi" w:cstheme="minorHAnsi"/>
        </w:rPr>
        <w:t xml:space="preserve"> to identify six clusters of various land cover types with similar dependence on climate. It was assumed that remnant vegetation patches will be grouped into one or at least two clusters with distinctive statistical </w:t>
      </w:r>
      <w:r w:rsidRPr="00747E35">
        <w:rPr>
          <w:rFonts w:asciiTheme="minorHAnsi" w:hAnsiTheme="minorHAnsi" w:cstheme="minorHAnsi"/>
        </w:rPr>
        <w:lastRenderedPageBreak/>
        <w:t>characteristics compared to the other clusters regardless of their total number, i.e., six MLR clusters, as in this study, or more. The mean coefficients values of the six MLR clusters were then estimated and their magnitudes and signs compared as described above. To investigate ability of the MLR coefficients to distinguish various remnant vegetation communities, the ISODATA method was applied only at the image pixels located within the remnant vegetation mask. According to the remnant vegetation conceptual model (</w:t>
      </w:r>
      <w:r w:rsidR="007A4E81" w:rsidRPr="00747E35">
        <w:rPr>
          <w:rFonts w:asciiTheme="minorHAnsi" w:hAnsiTheme="minorHAnsi" w:cstheme="minorHAnsi"/>
        </w:rPr>
        <w:t xml:space="preserve">see </w:t>
      </w:r>
      <w:r w:rsidR="007A4E81" w:rsidRPr="005D5719">
        <w:rPr>
          <w:rFonts w:asciiTheme="minorHAnsi" w:hAnsiTheme="minorHAnsi" w:cstheme="minorHAnsi"/>
        </w:rPr>
        <w:t>Section 7.1</w:t>
      </w:r>
      <w:r w:rsidR="007A4E81">
        <w:rPr>
          <w:rFonts w:asciiTheme="minorHAnsi" w:hAnsiTheme="minorHAnsi" w:cstheme="minorHAnsi"/>
        </w:rPr>
        <w:t>,</w:t>
      </w:r>
      <w:r w:rsidR="007A4E81" w:rsidRPr="005D5719">
        <w:rPr>
          <w:rFonts w:asciiTheme="minorHAnsi" w:hAnsiTheme="minorHAnsi" w:cstheme="minorHAnsi"/>
        </w:rPr>
        <w:t xml:space="preserve"> </w:t>
      </w:r>
      <w:r w:rsidR="007A4E81" w:rsidRPr="00747E35">
        <w:rPr>
          <w:rFonts w:asciiTheme="minorHAnsi" w:hAnsiTheme="minorHAnsi" w:cstheme="minorHAnsi"/>
        </w:rPr>
        <w:t>Appendix 1</w:t>
      </w:r>
      <w:r w:rsidRPr="00747E35">
        <w:rPr>
          <w:rFonts w:asciiTheme="minorHAnsi" w:hAnsiTheme="minorHAnsi" w:cstheme="minorHAnsi"/>
        </w:rPr>
        <w:t>), it was expected that the clustering procedure will allow us to distinguish at least six MLR remnant vegetation (MLR RV) clusters.</w:t>
      </w:r>
    </w:p>
    <w:p w14:paraId="675BCABF" w14:textId="05A205A9" w:rsidR="003D3694" w:rsidRPr="00747E35" w:rsidRDefault="003D3694" w:rsidP="00657288">
      <w:pPr>
        <w:ind w:right="452"/>
        <w:rPr>
          <w:rFonts w:asciiTheme="minorHAnsi" w:hAnsiTheme="minorHAnsi" w:cstheme="minorHAnsi"/>
        </w:rPr>
      </w:pPr>
      <w:r w:rsidRPr="00747E35">
        <w:rPr>
          <w:rFonts w:asciiTheme="minorHAnsi" w:hAnsiTheme="minorHAnsi" w:cstheme="minorHAnsi"/>
        </w:rPr>
        <w:t>The combination of on-ground studies and remote sensing used in this study provides a critical link in understanding how plant communities respond to groundwater drawdown at the local and catchment scales. The analysis of Landsat data allows the capture of specifics of the temporal and spatial variability of broad land cover types and extrapolating local knowledge to the larger scales available for the historical period, when satellite images are available.  For this study the remnant vegetation classes (riparian, floodplain, terrestrial) distinguished from the remote sensing analysis were found to be in good agreement with on-ground observations. Based on the fieldwork the remnant vegetation was observed either in the immediate vicinity of the creek channels (riparian vegetation) or within the floodplains. Such broad vegetation classes were also associated with locations, where the stream flow was either intermittent or permanent. The remaining remnant vegetation was classified as terrestrial, also in agreement with field observations.</w:t>
      </w:r>
    </w:p>
    <w:p w14:paraId="477DEF75" w14:textId="77777777" w:rsidR="003D3694" w:rsidRPr="00747E35" w:rsidRDefault="003D3694" w:rsidP="00657288">
      <w:pPr>
        <w:ind w:right="452"/>
        <w:rPr>
          <w:rFonts w:asciiTheme="minorHAnsi" w:hAnsiTheme="minorHAnsi" w:cstheme="minorHAnsi"/>
        </w:rPr>
      </w:pPr>
    </w:p>
    <w:p w14:paraId="63092DE4" w14:textId="7222A2DF" w:rsidR="003D3694" w:rsidRPr="00747E35" w:rsidRDefault="003D3694" w:rsidP="00657288">
      <w:pPr>
        <w:pStyle w:val="Heading2"/>
        <w:ind w:right="452"/>
        <w:rPr>
          <w:rFonts w:asciiTheme="minorHAnsi" w:hAnsiTheme="minorHAnsi" w:cstheme="minorHAnsi"/>
        </w:rPr>
      </w:pPr>
      <w:bookmarkStart w:id="41" w:name="_Toc470004825"/>
      <w:r w:rsidRPr="00747E35">
        <w:rPr>
          <w:rFonts w:asciiTheme="minorHAnsi" w:hAnsiTheme="minorHAnsi" w:cstheme="minorHAnsi"/>
        </w:rPr>
        <w:t>Results &amp; Discussion</w:t>
      </w:r>
      <w:bookmarkEnd w:id="41"/>
    </w:p>
    <w:p w14:paraId="132BC4AE" w14:textId="21174533" w:rsidR="003D3694" w:rsidRPr="00747E35" w:rsidRDefault="003D3694" w:rsidP="00657288">
      <w:pPr>
        <w:pStyle w:val="Heading3"/>
        <w:ind w:right="452"/>
        <w:rPr>
          <w:rFonts w:asciiTheme="minorHAnsi" w:hAnsiTheme="minorHAnsi" w:cstheme="minorHAnsi"/>
          <w:lang w:eastAsia="en-AU"/>
        </w:rPr>
      </w:pPr>
      <w:bookmarkStart w:id="42" w:name="_Toc470004826"/>
      <w:r w:rsidRPr="00747E35">
        <w:rPr>
          <w:rFonts w:asciiTheme="minorHAnsi" w:hAnsiTheme="minorHAnsi" w:cstheme="minorHAnsi"/>
          <w:lang w:eastAsia="en-AU"/>
        </w:rPr>
        <w:t>Typology of phreatophytic vegetation</w:t>
      </w:r>
      <w:bookmarkEnd w:id="42"/>
    </w:p>
    <w:p w14:paraId="11251284" w14:textId="0661BF27" w:rsidR="003D3694" w:rsidRPr="00747E35" w:rsidRDefault="003D3694" w:rsidP="00657288">
      <w:pPr>
        <w:ind w:right="452"/>
        <w:rPr>
          <w:rFonts w:asciiTheme="minorHAnsi" w:hAnsiTheme="minorHAnsi" w:cstheme="minorHAnsi"/>
        </w:rPr>
      </w:pPr>
      <w:r w:rsidRPr="00747E35">
        <w:rPr>
          <w:rFonts w:asciiTheme="minorHAnsi" w:hAnsiTheme="minorHAnsi" w:cstheme="minorHAnsi"/>
        </w:rPr>
        <w:t>The interrelationships among key environmental elements such as climate, geology, landscape and soils has a strong influence on the plant attributes that will determine the distribution and abundance of groundwater-dependent plants and phreatophytes (</w:t>
      </w:r>
      <w:r w:rsidRPr="00747E35">
        <w:rPr>
          <w:rFonts w:asciiTheme="minorHAnsi" w:hAnsiTheme="minorHAnsi" w:cstheme="minorHAnsi"/>
        </w:rPr>
        <w:fldChar w:fldCharType="begin"/>
      </w:r>
      <w:r w:rsidRPr="00747E35">
        <w:rPr>
          <w:rFonts w:asciiTheme="minorHAnsi" w:hAnsiTheme="minorHAnsi" w:cstheme="minorHAnsi"/>
        </w:rPr>
        <w:instrText xml:space="preserve"> REF _Ref467054031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i/>
        </w:rPr>
        <w:t xml:space="preserve">Figure </w:t>
      </w:r>
      <w:r w:rsidR="00D023DD" w:rsidRPr="00D023DD">
        <w:rPr>
          <w:rFonts w:asciiTheme="minorHAnsi" w:hAnsiTheme="minorHAnsi" w:cstheme="minorHAnsi"/>
          <w:i/>
          <w:noProof/>
        </w:rPr>
        <w:t>8</w:t>
      </w:r>
      <w:r w:rsidRPr="00747E35">
        <w:rPr>
          <w:rFonts w:asciiTheme="minorHAnsi" w:hAnsiTheme="minorHAnsi" w:cstheme="minorHAnsi"/>
        </w:rPr>
        <w:fldChar w:fldCharType="end"/>
      </w:r>
      <w:r w:rsidRPr="00747E35">
        <w:rPr>
          <w:rFonts w:asciiTheme="minorHAnsi" w:hAnsiTheme="minorHAnsi" w:cstheme="minorHAnsi"/>
        </w:rPr>
        <w:t>).  We distinguish here between groundwater dependence and phreatophytes because relative groundwater dependence of different plant species is related to habitat use and plant functional characteristics (defining hydrotypes), maintained by significant groundwater discharge. Phreatophytes are a sub-group of these hydrotypes that maintain a subsurface root interaction with the capillary fringe and saturated zone of the groundwater.  For example, riparian ecosystems can be groundwater dependent and contain both hydrophytes and phreatophytes.  Influences on the development of phreatophytes within plant communities occur at multiple scales. Regional-scale</w:t>
      </w:r>
      <w:r w:rsidRPr="00747E35" w:rsidDel="00C3240D">
        <w:rPr>
          <w:rFonts w:asciiTheme="minorHAnsi" w:hAnsiTheme="minorHAnsi" w:cstheme="minorHAnsi"/>
        </w:rPr>
        <w:t xml:space="preserve"> </w:t>
      </w:r>
      <w:r w:rsidRPr="00747E35">
        <w:rPr>
          <w:rFonts w:asciiTheme="minorHAnsi" w:hAnsiTheme="minorHAnsi" w:cstheme="minorHAnsi"/>
        </w:rPr>
        <w:t>variation in climate and geology, landscape-scale variation in landform and groundwater systems, and local-scale variation in soil and micro-climate interact with the intrinsic traits of plants to influence the distribution and production of phreatophytic species. The climatic environments where phreatophytes have been recorded are diverse and include most regions of the world (</w:t>
      </w:r>
      <w:r w:rsidRPr="00747E35">
        <w:rPr>
          <w:rFonts w:asciiTheme="minorHAnsi" w:hAnsiTheme="minorHAnsi" w:cstheme="minorHAnsi"/>
        </w:rPr>
        <w:fldChar w:fldCharType="begin"/>
      </w:r>
      <w:r w:rsidRPr="00747E35">
        <w:rPr>
          <w:rFonts w:asciiTheme="minorHAnsi" w:hAnsiTheme="minorHAnsi" w:cstheme="minorHAnsi"/>
        </w:rPr>
        <w:instrText xml:space="preserve"> REF _Ref466188239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3</w:t>
      </w:r>
      <w:r w:rsidRPr="00747E35">
        <w:rPr>
          <w:rFonts w:asciiTheme="minorHAnsi" w:hAnsiTheme="minorHAnsi" w:cstheme="minorHAnsi"/>
        </w:rPr>
        <w:fldChar w:fldCharType="end"/>
      </w:r>
      <w:r w:rsidRPr="00747E35">
        <w:rPr>
          <w:rFonts w:asciiTheme="minorHAnsi" w:hAnsiTheme="minorHAnsi" w:cstheme="minorHAnsi"/>
        </w:rPr>
        <w:t>). However, the majority of reported studies on phreatophytes are from arid and semi-arid and Mediterranean-type climates where a combination of annual and/or seasonal drought and accessible, good quality groundwater is available. Underlying geology generally provides the conditions for the development of shallow aquifers accessible to the roots of phreatophytic vegetation and includes alluvial and aeolian sediments, sedimentary rocks, particularly karst, and fractured volcanics such as basalt.  These conditions can create different groundwater systems from shallow alluvial to deep regional aquifers (</w:t>
      </w:r>
      <w:r w:rsidRPr="00747E35">
        <w:rPr>
          <w:rFonts w:asciiTheme="minorHAnsi" w:hAnsiTheme="minorHAnsi" w:cstheme="minorHAnsi"/>
        </w:rPr>
        <w:fldChar w:fldCharType="begin"/>
      </w:r>
      <w:r w:rsidRPr="00747E35">
        <w:rPr>
          <w:rFonts w:asciiTheme="minorHAnsi" w:hAnsiTheme="minorHAnsi" w:cstheme="minorHAnsi"/>
        </w:rPr>
        <w:instrText xml:space="preserve"> REF _Ref467054031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8</w:t>
      </w:r>
      <w:r w:rsidRPr="00747E35">
        <w:rPr>
          <w:rFonts w:asciiTheme="minorHAnsi" w:hAnsiTheme="minorHAnsi" w:cstheme="minorHAnsi"/>
        </w:rPr>
        <w:fldChar w:fldCharType="end"/>
      </w:r>
      <w:r w:rsidRPr="00747E35">
        <w:rPr>
          <w:rFonts w:asciiTheme="minorHAnsi" w:hAnsiTheme="minorHAnsi" w:cstheme="minorHAnsi"/>
        </w:rPr>
        <w:t xml:space="preserve">). The common requirement for phreatophytes is groundwater shallow enough for roots to access and a soil profile or rock fissures that allows penetration by plant roots. Soil depth and texture are likely to be particularly important in the development of root-groundwater interactions. A deep soil profile with soil texture and structure that readily retains moisture is likely to preclude the necessity for extensive development of deeper roots to meet water requirements, except in extremely dry habitats such as in deserts where rainfall is insufficient </w:t>
      </w:r>
      <w:r w:rsidRPr="00747E35">
        <w:rPr>
          <w:rFonts w:asciiTheme="minorHAnsi" w:hAnsiTheme="minorHAnsi" w:cstheme="minorHAnsi"/>
        </w:rPr>
        <w:lastRenderedPageBreak/>
        <w:t>to replenish soil water supplies. Phreatophytes with a high dependency on groundwater are most common on soil types that do not readily retain water, such as deep sands. True phreatophytes are commonly perennial trees and shrubs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_Ref466188239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3</w:t>
      </w:r>
      <w:r w:rsidRPr="00747E35">
        <w:rPr>
          <w:rFonts w:asciiTheme="minorHAnsi" w:hAnsiTheme="minorHAnsi" w:cstheme="minorHAnsi"/>
        </w:rPr>
        <w:fldChar w:fldCharType="end"/>
      </w:r>
      <w:r w:rsidRPr="00747E35">
        <w:rPr>
          <w:rFonts w:asciiTheme="minorHAnsi" w:hAnsiTheme="minorHAnsi" w:cstheme="minorHAnsi"/>
        </w:rPr>
        <w:t>) with particular ecological, physiological, reproductive and morphological attributes (</w:t>
      </w:r>
      <w:r w:rsidRPr="00747E35">
        <w:rPr>
          <w:rFonts w:asciiTheme="minorHAnsi" w:hAnsiTheme="minorHAnsi" w:cstheme="minorHAnsi"/>
        </w:rPr>
        <w:fldChar w:fldCharType="begin"/>
      </w:r>
      <w:r w:rsidRPr="00747E35">
        <w:rPr>
          <w:rFonts w:asciiTheme="minorHAnsi" w:hAnsiTheme="minorHAnsi" w:cstheme="minorHAnsi"/>
        </w:rPr>
        <w:instrText xml:space="preserve"> REF _Ref467054031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8</w:t>
      </w:r>
      <w:r w:rsidRPr="00747E35">
        <w:rPr>
          <w:rFonts w:asciiTheme="minorHAnsi" w:hAnsiTheme="minorHAnsi" w:cstheme="minorHAnsi"/>
        </w:rPr>
        <w:fldChar w:fldCharType="end"/>
      </w:r>
      <w:r w:rsidRPr="00747E35">
        <w:rPr>
          <w:rFonts w:asciiTheme="minorHAnsi" w:hAnsiTheme="minorHAnsi" w:cstheme="minorHAnsi"/>
        </w:rPr>
        <w:t>) that enhance the ability of the plants to access groundwater (Eamus et al. 2015), for example, perennial woody plants with secondary growth allowing the development of sinker roots that can penetrate deep into the soil to access groundwater.</w:t>
      </w:r>
    </w:p>
    <w:p w14:paraId="0DB8DA4C" w14:textId="77777777" w:rsidR="003D3694" w:rsidRPr="00747E35" w:rsidRDefault="003D3694" w:rsidP="00657288">
      <w:pPr>
        <w:ind w:right="452"/>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257664BF" wp14:editId="731550DD">
            <wp:extent cx="5578407" cy="4028536"/>
            <wp:effectExtent l="0" t="0" r="3810" b="0"/>
            <wp:docPr id="14376" name="Picture 14376" descr="Dia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5606453" cy="4048790"/>
                    </a:xfrm>
                    <a:prstGeom prst="rect">
                      <a:avLst/>
                    </a:prstGeom>
                    <a:noFill/>
                    <a:ln>
                      <a:noFill/>
                    </a:ln>
                  </pic:spPr>
                </pic:pic>
              </a:graphicData>
            </a:graphic>
          </wp:inline>
        </w:drawing>
      </w:r>
    </w:p>
    <w:p w14:paraId="079B4185" w14:textId="77777777" w:rsidR="003D3694" w:rsidRPr="00747E35" w:rsidRDefault="003D3694" w:rsidP="00657288">
      <w:pPr>
        <w:keepNext/>
        <w:keepLines/>
        <w:spacing w:after="0"/>
        <w:ind w:right="452"/>
        <w:outlineLvl w:val="4"/>
        <w:rPr>
          <w:rFonts w:asciiTheme="minorHAnsi" w:hAnsiTheme="minorHAnsi" w:cstheme="minorHAnsi"/>
          <w:i/>
          <w:color w:val="5B9BD5" w:themeColor="accent1"/>
          <w:sz w:val="20"/>
          <w:szCs w:val="20"/>
        </w:rPr>
      </w:pPr>
      <w:bookmarkStart w:id="43" w:name="_Ref467054031"/>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8</w:t>
      </w:r>
      <w:r w:rsidRPr="00747E35">
        <w:rPr>
          <w:rFonts w:asciiTheme="minorHAnsi" w:hAnsiTheme="minorHAnsi" w:cstheme="minorHAnsi"/>
          <w:i/>
          <w:noProof/>
          <w:color w:val="5B9BD5" w:themeColor="accent1"/>
          <w:sz w:val="20"/>
          <w:szCs w:val="20"/>
        </w:rPr>
        <w:fldChar w:fldCharType="end"/>
      </w:r>
      <w:bookmarkEnd w:id="43"/>
      <w:r w:rsidRPr="00747E35">
        <w:rPr>
          <w:rFonts w:asciiTheme="minorHAnsi" w:hAnsiTheme="minorHAnsi" w:cstheme="minorHAnsi"/>
          <w:i/>
          <w:color w:val="5B9BD5" w:themeColor="accent1"/>
          <w:sz w:val="20"/>
          <w:szCs w:val="20"/>
        </w:rPr>
        <w:t>: Conceptual model of the environmental drivers and landscape attributes and their relationships to phreatophyte vegetation that influence the development of conditions under which phreatophytic vegetation types may occur. Influences on the development of phreatophytes within plant communities occur at multiple scales including climate and geology as overriding influences at the regional scale, habitat and groundwater systems at the landscape scale and soil and plant traits at the local scale. Thickness of arrows indicates the relative strength of the influence and plus and minus signs indicate whether influence is mostly positive or negative.</w:t>
      </w:r>
    </w:p>
    <w:p w14:paraId="6A2D4FB9" w14:textId="77777777" w:rsidR="003D3694" w:rsidRDefault="003D3694" w:rsidP="00657288">
      <w:pPr>
        <w:ind w:right="452"/>
        <w:rPr>
          <w:rFonts w:asciiTheme="minorHAnsi" w:hAnsiTheme="minorHAnsi" w:cstheme="minorHAnsi"/>
        </w:rPr>
      </w:pPr>
    </w:p>
    <w:p w14:paraId="3F82BEE9" w14:textId="77777777" w:rsidR="00A91390" w:rsidRPr="00747E35" w:rsidRDefault="00A91390" w:rsidP="00A91390">
      <w:pPr>
        <w:ind w:right="452"/>
        <w:rPr>
          <w:rFonts w:asciiTheme="minorHAnsi" w:hAnsiTheme="minorHAnsi" w:cstheme="minorHAnsi"/>
        </w:rPr>
      </w:pPr>
      <w:r w:rsidRPr="00747E35">
        <w:rPr>
          <w:rFonts w:asciiTheme="minorHAnsi" w:hAnsiTheme="minorHAnsi" w:cstheme="minorHAnsi"/>
        </w:rPr>
        <w:t xml:space="preserve">The types of habitats where phreatophytes can occur include a wide variety of landscapes, geology and climates.Some examples are provided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_Ref466188347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4</w:t>
      </w:r>
      <w:r w:rsidRPr="00747E35">
        <w:rPr>
          <w:rFonts w:asciiTheme="minorHAnsi" w:hAnsiTheme="minorHAnsi" w:cstheme="minorHAnsi"/>
        </w:rPr>
        <w:fldChar w:fldCharType="end"/>
      </w:r>
      <w:r w:rsidRPr="00747E35">
        <w:rPr>
          <w:rFonts w:asciiTheme="minorHAnsi" w:hAnsiTheme="minorHAnsi" w:cstheme="minorHAnsi"/>
        </w:rPr>
        <w:t xml:space="preserve">. Riparian areas are the most readily identifiable phreatophytic landscape type and where most research has been based, particularly in south-western USA (eg. Meinzer 1927, Robinson 1952, Stromberg et al. 1996, Smith et al. 1998, Snyder &amp; Williams 2000).  Rivers are in the water gaining parts of the landscape and generally have shallow alluvial soils and sediments with shallow groundwater.  Adjacent to the river, floodplains are common habitats with features that allow the development of phreatophytes. Seasonally episodic surface flooding over alluvial sediments recharges soil water and groundwater in the wet season. In desert habitats phreatophytes can make up a large proportion of plant communities as rainfall is usually insufficient to maintain perennial trees and shrubs and additional water sources are needed. Desert phreatophytes often have unique adaptations to the dry environment including extensive deep root systems to source deep water from </w:t>
      </w:r>
      <w:r w:rsidRPr="00747E35">
        <w:rPr>
          <w:rFonts w:asciiTheme="minorHAnsi" w:hAnsiTheme="minorHAnsi" w:cstheme="minorHAnsi"/>
        </w:rPr>
        <w:lastRenderedPageBreak/>
        <w:t xml:space="preserve">local and regional aquifers.  Examples include plants of the Namib desert of southern Africa with uniquely adapted species such as the shrubs </w:t>
      </w:r>
      <w:r w:rsidRPr="00747E35">
        <w:rPr>
          <w:rFonts w:asciiTheme="minorHAnsi" w:hAnsiTheme="minorHAnsi" w:cstheme="minorHAnsi"/>
          <w:i/>
        </w:rPr>
        <w:t xml:space="preserve">Welwitschia mirabilis </w:t>
      </w:r>
      <w:r w:rsidRPr="00747E35">
        <w:rPr>
          <w:rFonts w:asciiTheme="minorHAnsi" w:hAnsiTheme="minorHAnsi" w:cstheme="minorHAnsi"/>
        </w:rPr>
        <w:t xml:space="preserve">and </w:t>
      </w:r>
      <w:r w:rsidRPr="00747E35">
        <w:rPr>
          <w:rFonts w:asciiTheme="minorHAnsi" w:hAnsiTheme="minorHAnsi" w:cstheme="minorHAnsi"/>
          <w:i/>
        </w:rPr>
        <w:t>Acanthosioyos horridus</w:t>
      </w:r>
      <w:r w:rsidRPr="00747E35">
        <w:rPr>
          <w:rFonts w:asciiTheme="minorHAnsi" w:hAnsiTheme="minorHAnsi" w:cstheme="minorHAnsi"/>
        </w:rPr>
        <w:t xml:space="preserve"> (Canadell et al. 1996, Cowling et al. 1997).  Desert oases are generally a surface expression of the groundwater and can contain hydrophytes and obligate phreatophytes such as palm trees and perennial grasses such as </w:t>
      </w:r>
      <w:r w:rsidRPr="00747E35">
        <w:rPr>
          <w:rFonts w:asciiTheme="minorHAnsi" w:hAnsiTheme="minorHAnsi" w:cstheme="minorHAnsi"/>
          <w:i/>
        </w:rPr>
        <w:t>Phragmites australis</w:t>
      </w:r>
      <w:r w:rsidRPr="00747E35">
        <w:rPr>
          <w:rFonts w:asciiTheme="minorHAnsi" w:hAnsiTheme="minorHAnsi" w:cstheme="minorHAnsi"/>
        </w:rPr>
        <w:t xml:space="preserve"> that would not normally occur in the surrounding arid environments (Bruelheide et al. 2010).</w:t>
      </w:r>
    </w:p>
    <w:p w14:paraId="15E2D6A0" w14:textId="77777777" w:rsidR="00A91390" w:rsidRPr="00747E35" w:rsidRDefault="00A91390" w:rsidP="00A91390">
      <w:pPr>
        <w:ind w:right="452"/>
        <w:rPr>
          <w:rFonts w:asciiTheme="minorHAnsi" w:hAnsiTheme="minorHAnsi" w:cstheme="minorHAnsi"/>
        </w:rPr>
      </w:pPr>
      <w:r w:rsidRPr="00747E35">
        <w:rPr>
          <w:rFonts w:asciiTheme="minorHAnsi" w:hAnsiTheme="minorHAnsi" w:cstheme="minorHAnsi"/>
        </w:rPr>
        <w:t xml:space="preserve">Ecological adaptations of plants to seasonal or episodic drought periods can be either via those that have developed mechanisms that allow them to tolerate dry conditions (drought tolerators) (plant hydrotypes 1, 2 and 3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_Ref466189596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i/>
        </w:rPr>
        <w:t xml:space="preserve">Table </w:t>
      </w:r>
      <w:r w:rsidR="00D023DD" w:rsidRPr="00D023DD">
        <w:rPr>
          <w:rFonts w:asciiTheme="minorHAnsi" w:hAnsiTheme="minorHAnsi" w:cstheme="minorHAnsi"/>
          <w:i/>
          <w:noProof/>
        </w:rPr>
        <w:t>5</w:t>
      </w:r>
      <w:r w:rsidRPr="00747E35">
        <w:rPr>
          <w:rFonts w:asciiTheme="minorHAnsi" w:hAnsiTheme="minorHAnsi" w:cstheme="minorHAnsi"/>
        </w:rPr>
        <w:fldChar w:fldCharType="end"/>
      </w:r>
      <w:r w:rsidRPr="00747E35">
        <w:rPr>
          <w:rFonts w:asciiTheme="minorHAnsi" w:hAnsiTheme="minorHAnsi" w:cstheme="minorHAnsi"/>
        </w:rPr>
        <w:t xml:space="preserve">) or those that use adaptive strategies to avoid drought (drought avoiders) (plant hydrotypes 4, 5, and 6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_Ref466189596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i/>
        </w:rPr>
        <w:t xml:space="preserve">Table </w:t>
      </w:r>
      <w:r w:rsidR="00D023DD" w:rsidRPr="00D023DD">
        <w:rPr>
          <w:rFonts w:asciiTheme="minorHAnsi" w:hAnsiTheme="minorHAnsi" w:cstheme="minorHAnsi"/>
          <w:i/>
          <w:noProof/>
        </w:rPr>
        <w:t>5</w:t>
      </w:r>
      <w:r w:rsidRPr="00747E35">
        <w:rPr>
          <w:rFonts w:asciiTheme="minorHAnsi" w:hAnsiTheme="minorHAnsi" w:cstheme="minorHAnsi"/>
        </w:rPr>
        <w:fldChar w:fldCharType="end"/>
      </w:r>
      <w:r w:rsidRPr="00747E35">
        <w:rPr>
          <w:rFonts w:asciiTheme="minorHAnsi" w:hAnsiTheme="minorHAnsi" w:cstheme="minorHAnsi"/>
        </w:rPr>
        <w:t>). Drought tolerators can physiologically shut down to prevent desiccation during drought periods. This shut-down can be through mechanisms such as control of leaf stomata opening, or possessing few and hidden stomata to reduce water loss from leaves, or the capacity to store water within the plant (e.g. cactus). Plants with these characteristics can shut down when conditions don’t suit during drought, enabling them to occupy a wide range of climates and topographic positions in the landscape. Drought avoiders are either annual plants or plants that are able to access water at all times.  These plants usually have higher summer water potentials and water loss and low stomatal control, and are therefore restricted topographically and climatically to areas where water is available all year round (Groom 2004). Phreatophytes are considered classic drought avoiders with their deep or dimorphic root systems that let them reach water sources deep in soil profiles or tap into the capillary fringe above the water table when soil moisture is depleted or hard to access (Ehleringer et al., 1991; Dawson and Pate, 1996). The ability to access shallow groundwater means these plants are less restricted by low rainwater and soil water availability and are able to photosynthesise and grow for longer periods during periods with no rainfall, provided that groundwater is accessible.</w:t>
      </w:r>
    </w:p>
    <w:p w14:paraId="67586630" w14:textId="77777777" w:rsidR="003D3694" w:rsidRPr="00747E35" w:rsidRDefault="003D3694" w:rsidP="00657288">
      <w:pPr>
        <w:keepNext/>
        <w:keepLines/>
        <w:spacing w:after="0"/>
        <w:ind w:right="452"/>
        <w:outlineLvl w:val="4"/>
        <w:rPr>
          <w:rFonts w:asciiTheme="minorHAnsi" w:hAnsiTheme="minorHAnsi" w:cstheme="minorHAnsi"/>
          <w:i/>
          <w:color w:val="5B9BD5" w:themeColor="accent1"/>
          <w:sz w:val="20"/>
          <w:szCs w:val="20"/>
        </w:rPr>
      </w:pPr>
      <w:bookmarkStart w:id="44" w:name="_Ref466188239"/>
      <w:r w:rsidRPr="00747E35">
        <w:rPr>
          <w:rFonts w:asciiTheme="minorHAnsi" w:hAnsiTheme="minorHAnsi" w:cstheme="minorHAnsi"/>
          <w:i/>
          <w:color w:val="5B9BD5" w:themeColor="accent1"/>
          <w:sz w:val="20"/>
          <w:szCs w:val="20"/>
        </w:rPr>
        <w:t xml:space="preserve">Table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Table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3</w:t>
      </w:r>
      <w:r w:rsidRPr="00747E35">
        <w:rPr>
          <w:rFonts w:asciiTheme="minorHAnsi" w:hAnsiTheme="minorHAnsi" w:cstheme="minorHAnsi"/>
          <w:i/>
          <w:noProof/>
          <w:color w:val="5B9BD5" w:themeColor="accent1"/>
          <w:sz w:val="20"/>
          <w:szCs w:val="20"/>
        </w:rPr>
        <w:fldChar w:fldCharType="end"/>
      </w:r>
      <w:bookmarkEnd w:id="44"/>
      <w:r w:rsidRPr="00747E35">
        <w:rPr>
          <w:rFonts w:asciiTheme="minorHAnsi" w:hAnsiTheme="minorHAnsi" w:cstheme="minorHAnsi"/>
          <w:i/>
          <w:color w:val="5B9BD5" w:themeColor="accent1"/>
          <w:sz w:val="20"/>
          <w:szCs w:val="20"/>
        </w:rPr>
        <w:t>: Summary of the number of published references (108) by region, climate, habitat and life form of phreatophytes indicating the major regions, climate, and habitat where they have been studied and the major plant life-forms.  Data are taken from Table 1 in Thomas (2015) and supplemented with data from additional literature.  Numbers are biased towards regions (and their flora) where there has been greater research effort.</w:t>
      </w:r>
    </w:p>
    <w:tbl>
      <w:tblPr>
        <w:tblStyle w:val="TableGrid2"/>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481"/>
        <w:gridCol w:w="887"/>
        <w:gridCol w:w="1459"/>
        <w:gridCol w:w="887"/>
        <w:gridCol w:w="1379"/>
        <w:gridCol w:w="887"/>
        <w:gridCol w:w="1515"/>
        <w:gridCol w:w="861"/>
      </w:tblGrid>
      <w:tr w:rsidR="00657288" w:rsidRPr="00090218" w14:paraId="250F9365" w14:textId="77777777" w:rsidTr="00B004E4">
        <w:trPr>
          <w:tblHeader/>
        </w:trPr>
        <w:tc>
          <w:tcPr>
            <w:tcW w:w="1625" w:type="dxa"/>
            <w:tcBorders>
              <w:top w:val="single" w:sz="4" w:space="0" w:color="auto"/>
              <w:bottom w:val="single" w:sz="4" w:space="0" w:color="auto"/>
            </w:tcBorders>
            <w:shd w:val="clear" w:color="auto" w:fill="DEEAF6" w:themeFill="accent1" w:themeFillTint="33"/>
            <w:tcMar>
              <w:left w:w="85" w:type="dxa"/>
              <w:right w:w="85" w:type="dxa"/>
            </w:tcMar>
          </w:tcPr>
          <w:p w14:paraId="4555348D" w14:textId="77777777" w:rsidR="003D3694" w:rsidRPr="00090218" w:rsidRDefault="003D3694" w:rsidP="00657288">
            <w:pPr>
              <w:autoSpaceDE/>
              <w:autoSpaceDN/>
              <w:spacing w:after="0"/>
              <w:ind w:right="452"/>
              <w:rPr>
                <w:rFonts w:asciiTheme="minorHAnsi" w:eastAsia="Times New Roman" w:hAnsiTheme="minorHAnsi" w:cstheme="minorHAnsi"/>
                <w:sz w:val="20"/>
                <w:szCs w:val="20"/>
                <w:lang w:val="en-AU" w:eastAsia="en-AU"/>
              </w:rPr>
            </w:pPr>
            <w:r w:rsidRPr="00090218">
              <w:rPr>
                <w:rFonts w:asciiTheme="minorHAnsi" w:eastAsia="Times New Roman" w:hAnsiTheme="minorHAnsi" w:cstheme="minorHAnsi"/>
                <w:sz w:val="20"/>
                <w:szCs w:val="20"/>
                <w:lang w:val="en-AU" w:eastAsia="en-AU"/>
              </w:rPr>
              <w:t>Region</w:t>
            </w:r>
          </w:p>
        </w:tc>
        <w:tc>
          <w:tcPr>
            <w:tcW w:w="964" w:type="dxa"/>
            <w:tcBorders>
              <w:top w:val="single" w:sz="4" w:space="0" w:color="auto"/>
              <w:bottom w:val="single" w:sz="4" w:space="0" w:color="auto"/>
            </w:tcBorders>
            <w:shd w:val="clear" w:color="auto" w:fill="DEEAF6" w:themeFill="accent1" w:themeFillTint="33"/>
            <w:tcMar>
              <w:left w:w="85" w:type="dxa"/>
              <w:right w:w="85" w:type="dxa"/>
            </w:tcMar>
          </w:tcPr>
          <w:p w14:paraId="70CDDB63" w14:textId="477FC33D" w:rsidR="003D3694" w:rsidRPr="00090218" w:rsidRDefault="003D3694" w:rsidP="00657288">
            <w:pPr>
              <w:autoSpaceDE/>
              <w:autoSpaceDN/>
              <w:spacing w:after="0"/>
              <w:ind w:right="452"/>
              <w:rPr>
                <w:rFonts w:asciiTheme="minorHAnsi" w:eastAsia="Times New Roman" w:hAnsiTheme="minorHAnsi" w:cstheme="minorHAnsi"/>
                <w:sz w:val="20"/>
                <w:szCs w:val="20"/>
                <w:lang w:val="en-AU" w:eastAsia="en-AU"/>
              </w:rPr>
            </w:pPr>
            <w:r w:rsidRPr="00090218">
              <w:rPr>
                <w:rFonts w:asciiTheme="minorHAnsi" w:eastAsia="Times New Roman" w:hAnsiTheme="minorHAnsi" w:cstheme="minorHAnsi"/>
                <w:sz w:val="20"/>
                <w:szCs w:val="20"/>
                <w:lang w:val="en-AU" w:eastAsia="en-AU"/>
              </w:rPr>
              <w:t>No</w:t>
            </w:r>
          </w:p>
        </w:tc>
        <w:tc>
          <w:tcPr>
            <w:tcW w:w="1599" w:type="dxa"/>
            <w:tcBorders>
              <w:top w:val="single" w:sz="4" w:space="0" w:color="auto"/>
              <w:bottom w:val="single" w:sz="4" w:space="0" w:color="auto"/>
            </w:tcBorders>
            <w:shd w:val="clear" w:color="auto" w:fill="DEEAF6" w:themeFill="accent1" w:themeFillTint="33"/>
            <w:tcMar>
              <w:left w:w="85" w:type="dxa"/>
              <w:right w:w="85" w:type="dxa"/>
            </w:tcMar>
          </w:tcPr>
          <w:p w14:paraId="246660D3" w14:textId="77777777" w:rsidR="003D3694" w:rsidRPr="00090218" w:rsidRDefault="003D3694" w:rsidP="00657288">
            <w:pPr>
              <w:autoSpaceDE/>
              <w:autoSpaceDN/>
              <w:spacing w:after="0"/>
              <w:ind w:right="452"/>
              <w:rPr>
                <w:rFonts w:asciiTheme="minorHAnsi" w:eastAsia="Times New Roman" w:hAnsiTheme="minorHAnsi" w:cstheme="minorHAnsi"/>
                <w:sz w:val="20"/>
                <w:szCs w:val="20"/>
                <w:lang w:val="en-AU" w:eastAsia="en-AU"/>
              </w:rPr>
            </w:pPr>
            <w:r w:rsidRPr="00090218">
              <w:rPr>
                <w:rFonts w:asciiTheme="minorHAnsi" w:eastAsia="Times New Roman" w:hAnsiTheme="minorHAnsi" w:cstheme="minorHAnsi"/>
                <w:sz w:val="20"/>
                <w:szCs w:val="20"/>
                <w:lang w:val="en-AU" w:eastAsia="en-AU"/>
              </w:rPr>
              <w:t>Climate</w:t>
            </w:r>
          </w:p>
        </w:tc>
        <w:tc>
          <w:tcPr>
            <w:tcW w:w="964" w:type="dxa"/>
            <w:tcBorders>
              <w:top w:val="single" w:sz="4" w:space="0" w:color="auto"/>
              <w:bottom w:val="single" w:sz="4" w:space="0" w:color="auto"/>
            </w:tcBorders>
            <w:shd w:val="clear" w:color="auto" w:fill="DEEAF6" w:themeFill="accent1" w:themeFillTint="33"/>
            <w:tcMar>
              <w:left w:w="85" w:type="dxa"/>
              <w:right w:w="85" w:type="dxa"/>
            </w:tcMar>
          </w:tcPr>
          <w:p w14:paraId="069D3BDF" w14:textId="0B71E723" w:rsidR="003D3694" w:rsidRPr="00090218" w:rsidRDefault="003D3694" w:rsidP="00657288">
            <w:pPr>
              <w:autoSpaceDE/>
              <w:autoSpaceDN/>
              <w:spacing w:after="0"/>
              <w:ind w:right="452"/>
              <w:rPr>
                <w:rFonts w:asciiTheme="minorHAnsi" w:eastAsia="Times New Roman" w:hAnsiTheme="minorHAnsi" w:cstheme="minorHAnsi"/>
                <w:sz w:val="20"/>
                <w:szCs w:val="20"/>
                <w:lang w:val="en-AU" w:eastAsia="en-AU"/>
              </w:rPr>
            </w:pPr>
            <w:r w:rsidRPr="00090218">
              <w:rPr>
                <w:rFonts w:asciiTheme="minorHAnsi" w:eastAsia="Times New Roman" w:hAnsiTheme="minorHAnsi" w:cstheme="minorHAnsi"/>
                <w:sz w:val="20"/>
                <w:szCs w:val="20"/>
                <w:lang w:val="en-AU" w:eastAsia="en-AU"/>
              </w:rPr>
              <w:t>No</w:t>
            </w:r>
          </w:p>
        </w:tc>
        <w:tc>
          <w:tcPr>
            <w:tcW w:w="1510" w:type="dxa"/>
            <w:tcBorders>
              <w:top w:val="single" w:sz="4" w:space="0" w:color="auto"/>
              <w:bottom w:val="single" w:sz="4" w:space="0" w:color="auto"/>
            </w:tcBorders>
            <w:shd w:val="clear" w:color="auto" w:fill="DEEAF6" w:themeFill="accent1" w:themeFillTint="33"/>
            <w:tcMar>
              <w:left w:w="85" w:type="dxa"/>
              <w:right w:w="85" w:type="dxa"/>
            </w:tcMar>
          </w:tcPr>
          <w:p w14:paraId="590E9CD9" w14:textId="77777777" w:rsidR="003D3694" w:rsidRPr="00090218" w:rsidRDefault="003D3694" w:rsidP="00657288">
            <w:pPr>
              <w:autoSpaceDE/>
              <w:autoSpaceDN/>
              <w:spacing w:after="0"/>
              <w:ind w:right="452"/>
              <w:rPr>
                <w:rFonts w:asciiTheme="minorHAnsi" w:eastAsia="Times New Roman" w:hAnsiTheme="minorHAnsi" w:cstheme="minorHAnsi"/>
                <w:sz w:val="20"/>
                <w:szCs w:val="20"/>
                <w:lang w:val="en-AU" w:eastAsia="en-AU"/>
              </w:rPr>
            </w:pPr>
            <w:r w:rsidRPr="00090218">
              <w:rPr>
                <w:rFonts w:asciiTheme="minorHAnsi" w:eastAsia="Times New Roman" w:hAnsiTheme="minorHAnsi" w:cstheme="minorHAnsi"/>
                <w:sz w:val="20"/>
                <w:szCs w:val="20"/>
                <w:lang w:val="en-AU" w:eastAsia="en-AU"/>
              </w:rPr>
              <w:t>Habitat</w:t>
            </w:r>
          </w:p>
        </w:tc>
        <w:tc>
          <w:tcPr>
            <w:tcW w:w="964" w:type="dxa"/>
            <w:tcBorders>
              <w:top w:val="single" w:sz="4" w:space="0" w:color="auto"/>
              <w:bottom w:val="single" w:sz="4" w:space="0" w:color="auto"/>
            </w:tcBorders>
            <w:shd w:val="clear" w:color="auto" w:fill="DEEAF6" w:themeFill="accent1" w:themeFillTint="33"/>
            <w:tcMar>
              <w:left w:w="85" w:type="dxa"/>
              <w:right w:w="85" w:type="dxa"/>
            </w:tcMar>
          </w:tcPr>
          <w:p w14:paraId="20A40B93" w14:textId="289DC448" w:rsidR="003D3694" w:rsidRPr="00090218" w:rsidRDefault="003D3694" w:rsidP="00657288">
            <w:pPr>
              <w:autoSpaceDE/>
              <w:autoSpaceDN/>
              <w:spacing w:after="0"/>
              <w:ind w:right="452"/>
              <w:rPr>
                <w:rFonts w:asciiTheme="minorHAnsi" w:eastAsia="Times New Roman" w:hAnsiTheme="minorHAnsi" w:cstheme="minorHAnsi"/>
                <w:sz w:val="20"/>
                <w:szCs w:val="20"/>
                <w:lang w:val="en-AU" w:eastAsia="en-AU"/>
              </w:rPr>
            </w:pPr>
            <w:r w:rsidRPr="00090218">
              <w:rPr>
                <w:rFonts w:asciiTheme="minorHAnsi" w:eastAsia="Times New Roman" w:hAnsiTheme="minorHAnsi" w:cstheme="minorHAnsi"/>
                <w:sz w:val="20"/>
                <w:szCs w:val="20"/>
                <w:lang w:val="en-AU" w:eastAsia="en-AU"/>
              </w:rPr>
              <w:t>No</w:t>
            </w:r>
          </w:p>
        </w:tc>
        <w:tc>
          <w:tcPr>
            <w:tcW w:w="1662" w:type="dxa"/>
            <w:tcBorders>
              <w:top w:val="single" w:sz="4" w:space="0" w:color="auto"/>
              <w:bottom w:val="single" w:sz="4" w:space="0" w:color="auto"/>
            </w:tcBorders>
            <w:shd w:val="clear" w:color="auto" w:fill="DEEAF6" w:themeFill="accent1" w:themeFillTint="33"/>
            <w:tcMar>
              <w:left w:w="85" w:type="dxa"/>
              <w:right w:w="85" w:type="dxa"/>
            </w:tcMar>
          </w:tcPr>
          <w:p w14:paraId="505CB89B" w14:textId="77777777" w:rsidR="003D3694" w:rsidRPr="00090218" w:rsidRDefault="003D3694" w:rsidP="00657288">
            <w:pPr>
              <w:autoSpaceDE/>
              <w:autoSpaceDN/>
              <w:spacing w:after="0"/>
              <w:ind w:right="452"/>
              <w:rPr>
                <w:rFonts w:asciiTheme="minorHAnsi" w:eastAsia="Times New Roman" w:hAnsiTheme="minorHAnsi" w:cstheme="minorHAnsi"/>
                <w:sz w:val="20"/>
                <w:szCs w:val="20"/>
                <w:lang w:val="en-AU" w:eastAsia="en-AU"/>
              </w:rPr>
            </w:pPr>
            <w:r w:rsidRPr="00090218">
              <w:rPr>
                <w:rFonts w:asciiTheme="minorHAnsi" w:eastAsia="Times New Roman" w:hAnsiTheme="minorHAnsi" w:cstheme="minorHAnsi"/>
                <w:sz w:val="20"/>
                <w:szCs w:val="20"/>
                <w:lang w:val="en-AU" w:eastAsia="en-AU"/>
              </w:rPr>
              <w:t>Life form</w:t>
            </w:r>
          </w:p>
        </w:tc>
        <w:tc>
          <w:tcPr>
            <w:tcW w:w="935" w:type="dxa"/>
            <w:tcBorders>
              <w:top w:val="single" w:sz="4" w:space="0" w:color="auto"/>
              <w:bottom w:val="single" w:sz="4" w:space="0" w:color="auto"/>
            </w:tcBorders>
            <w:shd w:val="clear" w:color="auto" w:fill="DEEAF6" w:themeFill="accent1" w:themeFillTint="33"/>
            <w:tcMar>
              <w:left w:w="28" w:type="dxa"/>
              <w:right w:w="28" w:type="dxa"/>
            </w:tcMar>
          </w:tcPr>
          <w:p w14:paraId="1022E09D" w14:textId="0322421A" w:rsidR="003D3694" w:rsidRPr="00090218" w:rsidRDefault="003D3694" w:rsidP="00657288">
            <w:pPr>
              <w:autoSpaceDE/>
              <w:autoSpaceDN/>
              <w:spacing w:after="0"/>
              <w:ind w:right="452"/>
              <w:rPr>
                <w:rFonts w:asciiTheme="minorHAnsi" w:eastAsia="Times New Roman" w:hAnsiTheme="minorHAnsi" w:cstheme="minorHAnsi"/>
                <w:sz w:val="20"/>
                <w:szCs w:val="20"/>
                <w:lang w:val="en-AU" w:eastAsia="en-AU"/>
              </w:rPr>
            </w:pPr>
            <w:r w:rsidRPr="00090218">
              <w:rPr>
                <w:rFonts w:asciiTheme="minorHAnsi" w:eastAsia="Times New Roman" w:hAnsiTheme="minorHAnsi" w:cstheme="minorHAnsi"/>
                <w:sz w:val="20"/>
                <w:szCs w:val="20"/>
                <w:lang w:val="en-AU" w:eastAsia="en-AU"/>
              </w:rPr>
              <w:t>No</w:t>
            </w:r>
          </w:p>
        </w:tc>
      </w:tr>
      <w:tr w:rsidR="00657288" w:rsidRPr="00747E35" w14:paraId="6CCD8D58" w14:textId="77777777" w:rsidTr="00657288">
        <w:tc>
          <w:tcPr>
            <w:tcW w:w="1625" w:type="dxa"/>
            <w:tcBorders>
              <w:top w:val="single" w:sz="4" w:space="0" w:color="auto"/>
            </w:tcBorders>
            <w:tcMar>
              <w:left w:w="85" w:type="dxa"/>
              <w:right w:w="85" w:type="dxa"/>
            </w:tcMar>
          </w:tcPr>
          <w:p w14:paraId="6196518C"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S.-W. USA</w:t>
            </w:r>
          </w:p>
        </w:tc>
        <w:tc>
          <w:tcPr>
            <w:tcW w:w="964" w:type="dxa"/>
            <w:tcBorders>
              <w:top w:val="single" w:sz="4" w:space="0" w:color="auto"/>
            </w:tcBorders>
            <w:tcMar>
              <w:left w:w="85" w:type="dxa"/>
              <w:right w:w="85" w:type="dxa"/>
            </w:tcMar>
          </w:tcPr>
          <w:p w14:paraId="5EC3491D"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38</w:t>
            </w:r>
          </w:p>
        </w:tc>
        <w:tc>
          <w:tcPr>
            <w:tcW w:w="1599" w:type="dxa"/>
            <w:tcBorders>
              <w:top w:val="single" w:sz="4" w:space="0" w:color="auto"/>
            </w:tcBorders>
            <w:tcMar>
              <w:left w:w="85" w:type="dxa"/>
              <w:right w:w="85" w:type="dxa"/>
            </w:tcMar>
          </w:tcPr>
          <w:p w14:paraId="04D8D4E6"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Semi-Arid</w:t>
            </w:r>
          </w:p>
        </w:tc>
        <w:tc>
          <w:tcPr>
            <w:tcW w:w="964" w:type="dxa"/>
            <w:tcBorders>
              <w:top w:val="single" w:sz="4" w:space="0" w:color="auto"/>
            </w:tcBorders>
            <w:tcMar>
              <w:left w:w="85" w:type="dxa"/>
              <w:right w:w="85" w:type="dxa"/>
            </w:tcMar>
          </w:tcPr>
          <w:p w14:paraId="0D6C3C99"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45</w:t>
            </w:r>
          </w:p>
        </w:tc>
        <w:tc>
          <w:tcPr>
            <w:tcW w:w="1510" w:type="dxa"/>
            <w:tcBorders>
              <w:top w:val="single" w:sz="4" w:space="0" w:color="auto"/>
            </w:tcBorders>
            <w:tcMar>
              <w:left w:w="85" w:type="dxa"/>
              <w:right w:w="85" w:type="dxa"/>
            </w:tcMar>
          </w:tcPr>
          <w:p w14:paraId="0C5D602C"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Riparian</w:t>
            </w:r>
          </w:p>
        </w:tc>
        <w:tc>
          <w:tcPr>
            <w:tcW w:w="964" w:type="dxa"/>
            <w:tcBorders>
              <w:top w:val="single" w:sz="4" w:space="0" w:color="auto"/>
            </w:tcBorders>
            <w:tcMar>
              <w:left w:w="85" w:type="dxa"/>
              <w:right w:w="85" w:type="dxa"/>
            </w:tcMar>
          </w:tcPr>
          <w:p w14:paraId="753F405D"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25</w:t>
            </w:r>
          </w:p>
        </w:tc>
        <w:tc>
          <w:tcPr>
            <w:tcW w:w="1662" w:type="dxa"/>
            <w:tcBorders>
              <w:top w:val="single" w:sz="4" w:space="0" w:color="auto"/>
            </w:tcBorders>
            <w:tcMar>
              <w:left w:w="85" w:type="dxa"/>
              <w:right w:w="85" w:type="dxa"/>
            </w:tcMar>
          </w:tcPr>
          <w:p w14:paraId="16951B76"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Trees</w:t>
            </w:r>
          </w:p>
        </w:tc>
        <w:tc>
          <w:tcPr>
            <w:tcW w:w="935" w:type="dxa"/>
            <w:tcBorders>
              <w:top w:val="single" w:sz="4" w:space="0" w:color="auto"/>
            </w:tcBorders>
            <w:tcMar>
              <w:left w:w="28" w:type="dxa"/>
              <w:right w:w="28" w:type="dxa"/>
            </w:tcMar>
          </w:tcPr>
          <w:p w14:paraId="714B3217"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47</w:t>
            </w:r>
          </w:p>
        </w:tc>
      </w:tr>
      <w:tr w:rsidR="00657288" w:rsidRPr="00747E35" w14:paraId="3BA236EA" w14:textId="77777777" w:rsidTr="00657288">
        <w:tc>
          <w:tcPr>
            <w:tcW w:w="1625" w:type="dxa"/>
            <w:tcMar>
              <w:left w:w="85" w:type="dxa"/>
              <w:right w:w="85" w:type="dxa"/>
            </w:tcMar>
          </w:tcPr>
          <w:p w14:paraId="24B465E0"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Central Asia</w:t>
            </w:r>
          </w:p>
        </w:tc>
        <w:tc>
          <w:tcPr>
            <w:tcW w:w="964" w:type="dxa"/>
            <w:tcMar>
              <w:left w:w="85" w:type="dxa"/>
              <w:right w:w="85" w:type="dxa"/>
            </w:tcMar>
          </w:tcPr>
          <w:p w14:paraId="37B5146C"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13</w:t>
            </w:r>
          </w:p>
        </w:tc>
        <w:tc>
          <w:tcPr>
            <w:tcW w:w="1599" w:type="dxa"/>
            <w:tcMar>
              <w:left w:w="85" w:type="dxa"/>
              <w:right w:w="85" w:type="dxa"/>
            </w:tcMar>
          </w:tcPr>
          <w:p w14:paraId="38DD491A"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Arid</w:t>
            </w:r>
          </w:p>
        </w:tc>
        <w:tc>
          <w:tcPr>
            <w:tcW w:w="964" w:type="dxa"/>
            <w:tcMar>
              <w:left w:w="85" w:type="dxa"/>
              <w:right w:w="85" w:type="dxa"/>
            </w:tcMar>
          </w:tcPr>
          <w:p w14:paraId="1C4A4A6E"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34</w:t>
            </w:r>
          </w:p>
        </w:tc>
        <w:tc>
          <w:tcPr>
            <w:tcW w:w="1510" w:type="dxa"/>
            <w:tcMar>
              <w:left w:w="85" w:type="dxa"/>
              <w:right w:w="85" w:type="dxa"/>
            </w:tcMar>
          </w:tcPr>
          <w:p w14:paraId="69162B96"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 xml:space="preserve">Desert plain </w:t>
            </w:r>
          </w:p>
        </w:tc>
        <w:tc>
          <w:tcPr>
            <w:tcW w:w="964" w:type="dxa"/>
            <w:tcMar>
              <w:left w:w="85" w:type="dxa"/>
              <w:right w:w="85" w:type="dxa"/>
            </w:tcMar>
          </w:tcPr>
          <w:p w14:paraId="1292FA3A"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14</w:t>
            </w:r>
          </w:p>
        </w:tc>
        <w:tc>
          <w:tcPr>
            <w:tcW w:w="1662" w:type="dxa"/>
            <w:tcMar>
              <w:left w:w="85" w:type="dxa"/>
              <w:right w:w="85" w:type="dxa"/>
            </w:tcMar>
          </w:tcPr>
          <w:p w14:paraId="2B9649A8"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Shrubs</w:t>
            </w:r>
          </w:p>
        </w:tc>
        <w:tc>
          <w:tcPr>
            <w:tcW w:w="935" w:type="dxa"/>
            <w:tcMar>
              <w:left w:w="28" w:type="dxa"/>
              <w:right w:w="28" w:type="dxa"/>
            </w:tcMar>
          </w:tcPr>
          <w:p w14:paraId="3F94698E"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33</w:t>
            </w:r>
          </w:p>
        </w:tc>
      </w:tr>
      <w:tr w:rsidR="00657288" w:rsidRPr="00747E35" w14:paraId="0D465C66" w14:textId="77777777" w:rsidTr="00657288">
        <w:tc>
          <w:tcPr>
            <w:tcW w:w="1625" w:type="dxa"/>
            <w:tcMar>
              <w:left w:w="85" w:type="dxa"/>
              <w:right w:w="85" w:type="dxa"/>
            </w:tcMar>
          </w:tcPr>
          <w:p w14:paraId="5921900A"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S. Australia</w:t>
            </w:r>
          </w:p>
        </w:tc>
        <w:tc>
          <w:tcPr>
            <w:tcW w:w="964" w:type="dxa"/>
            <w:tcMar>
              <w:left w:w="85" w:type="dxa"/>
              <w:right w:w="85" w:type="dxa"/>
            </w:tcMar>
          </w:tcPr>
          <w:p w14:paraId="779FB216"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11</w:t>
            </w:r>
          </w:p>
        </w:tc>
        <w:tc>
          <w:tcPr>
            <w:tcW w:w="1599" w:type="dxa"/>
            <w:tcMar>
              <w:left w:w="85" w:type="dxa"/>
              <w:right w:w="85" w:type="dxa"/>
            </w:tcMar>
          </w:tcPr>
          <w:p w14:paraId="447FE9C2"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Mediterranean</w:t>
            </w:r>
          </w:p>
        </w:tc>
        <w:tc>
          <w:tcPr>
            <w:tcW w:w="964" w:type="dxa"/>
            <w:tcMar>
              <w:left w:w="85" w:type="dxa"/>
              <w:right w:w="85" w:type="dxa"/>
            </w:tcMar>
          </w:tcPr>
          <w:p w14:paraId="7A378360"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19</w:t>
            </w:r>
          </w:p>
        </w:tc>
        <w:tc>
          <w:tcPr>
            <w:tcW w:w="1510" w:type="dxa"/>
            <w:tcMar>
              <w:left w:w="85" w:type="dxa"/>
              <w:right w:w="85" w:type="dxa"/>
            </w:tcMar>
          </w:tcPr>
          <w:p w14:paraId="3EB7FA27"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Floodplain</w:t>
            </w:r>
          </w:p>
        </w:tc>
        <w:tc>
          <w:tcPr>
            <w:tcW w:w="964" w:type="dxa"/>
            <w:tcMar>
              <w:left w:w="85" w:type="dxa"/>
              <w:right w:w="85" w:type="dxa"/>
            </w:tcMar>
          </w:tcPr>
          <w:p w14:paraId="330482CF"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12</w:t>
            </w:r>
          </w:p>
        </w:tc>
        <w:tc>
          <w:tcPr>
            <w:tcW w:w="1662" w:type="dxa"/>
            <w:tcMar>
              <w:left w:w="85" w:type="dxa"/>
              <w:right w:w="85" w:type="dxa"/>
            </w:tcMar>
          </w:tcPr>
          <w:p w14:paraId="4F1B1478"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Perennial Grasses</w:t>
            </w:r>
          </w:p>
        </w:tc>
        <w:tc>
          <w:tcPr>
            <w:tcW w:w="935" w:type="dxa"/>
            <w:tcMar>
              <w:left w:w="28" w:type="dxa"/>
              <w:right w:w="28" w:type="dxa"/>
            </w:tcMar>
          </w:tcPr>
          <w:p w14:paraId="5CED0E31"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4</w:t>
            </w:r>
          </w:p>
        </w:tc>
      </w:tr>
      <w:tr w:rsidR="00657288" w:rsidRPr="00747E35" w14:paraId="6065C35F" w14:textId="77777777" w:rsidTr="00657288">
        <w:tc>
          <w:tcPr>
            <w:tcW w:w="1625" w:type="dxa"/>
            <w:tcMar>
              <w:left w:w="85" w:type="dxa"/>
              <w:right w:w="85" w:type="dxa"/>
            </w:tcMar>
          </w:tcPr>
          <w:p w14:paraId="5F536C6D"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S. Africa</w:t>
            </w:r>
          </w:p>
        </w:tc>
        <w:tc>
          <w:tcPr>
            <w:tcW w:w="964" w:type="dxa"/>
            <w:tcMar>
              <w:left w:w="85" w:type="dxa"/>
              <w:right w:w="85" w:type="dxa"/>
            </w:tcMar>
          </w:tcPr>
          <w:p w14:paraId="1E73745B"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10</w:t>
            </w:r>
          </w:p>
        </w:tc>
        <w:tc>
          <w:tcPr>
            <w:tcW w:w="1599" w:type="dxa"/>
            <w:tcMar>
              <w:left w:w="85" w:type="dxa"/>
              <w:right w:w="85" w:type="dxa"/>
            </w:tcMar>
          </w:tcPr>
          <w:p w14:paraId="4E4389F8"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 xml:space="preserve">Tropical </w:t>
            </w:r>
          </w:p>
        </w:tc>
        <w:tc>
          <w:tcPr>
            <w:tcW w:w="964" w:type="dxa"/>
            <w:tcMar>
              <w:left w:w="85" w:type="dxa"/>
              <w:right w:w="85" w:type="dxa"/>
            </w:tcMar>
          </w:tcPr>
          <w:p w14:paraId="1010D0CE"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12</w:t>
            </w:r>
          </w:p>
        </w:tc>
        <w:tc>
          <w:tcPr>
            <w:tcW w:w="1510" w:type="dxa"/>
            <w:tcMar>
              <w:left w:w="85" w:type="dxa"/>
              <w:right w:w="85" w:type="dxa"/>
            </w:tcMar>
          </w:tcPr>
          <w:p w14:paraId="70271CEA"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Sand plain</w:t>
            </w:r>
          </w:p>
        </w:tc>
        <w:tc>
          <w:tcPr>
            <w:tcW w:w="964" w:type="dxa"/>
            <w:tcMar>
              <w:left w:w="85" w:type="dxa"/>
              <w:right w:w="85" w:type="dxa"/>
            </w:tcMar>
          </w:tcPr>
          <w:p w14:paraId="278D320C"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12</w:t>
            </w:r>
          </w:p>
        </w:tc>
        <w:tc>
          <w:tcPr>
            <w:tcW w:w="1662" w:type="dxa"/>
            <w:tcMar>
              <w:left w:w="85" w:type="dxa"/>
              <w:right w:w="85" w:type="dxa"/>
            </w:tcMar>
          </w:tcPr>
          <w:p w14:paraId="6EC5C5B5"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Perennial Herbs</w:t>
            </w:r>
          </w:p>
        </w:tc>
        <w:tc>
          <w:tcPr>
            <w:tcW w:w="935" w:type="dxa"/>
            <w:tcMar>
              <w:left w:w="85" w:type="dxa"/>
              <w:right w:w="85" w:type="dxa"/>
            </w:tcMar>
          </w:tcPr>
          <w:p w14:paraId="343E984E"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1</w:t>
            </w:r>
          </w:p>
        </w:tc>
      </w:tr>
      <w:tr w:rsidR="00657288" w:rsidRPr="00747E35" w14:paraId="6784A441" w14:textId="77777777" w:rsidTr="00657288">
        <w:tc>
          <w:tcPr>
            <w:tcW w:w="1625" w:type="dxa"/>
            <w:tcMar>
              <w:left w:w="85" w:type="dxa"/>
              <w:right w:w="85" w:type="dxa"/>
            </w:tcMar>
          </w:tcPr>
          <w:p w14:paraId="3B0507F3"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Mediterranean</w:t>
            </w:r>
          </w:p>
        </w:tc>
        <w:tc>
          <w:tcPr>
            <w:tcW w:w="964" w:type="dxa"/>
            <w:tcMar>
              <w:left w:w="85" w:type="dxa"/>
              <w:right w:w="85" w:type="dxa"/>
            </w:tcMar>
          </w:tcPr>
          <w:p w14:paraId="4B0ED975"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9</w:t>
            </w:r>
          </w:p>
        </w:tc>
        <w:tc>
          <w:tcPr>
            <w:tcW w:w="1599" w:type="dxa"/>
            <w:tcMar>
              <w:left w:w="85" w:type="dxa"/>
              <w:right w:w="85" w:type="dxa"/>
            </w:tcMar>
          </w:tcPr>
          <w:p w14:paraId="13B931BA"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Temperate</w:t>
            </w:r>
          </w:p>
        </w:tc>
        <w:tc>
          <w:tcPr>
            <w:tcW w:w="964" w:type="dxa"/>
            <w:tcMar>
              <w:left w:w="85" w:type="dxa"/>
              <w:right w:w="85" w:type="dxa"/>
            </w:tcMar>
          </w:tcPr>
          <w:p w14:paraId="42B56657"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9</w:t>
            </w:r>
          </w:p>
        </w:tc>
        <w:tc>
          <w:tcPr>
            <w:tcW w:w="1510" w:type="dxa"/>
            <w:tcMar>
              <w:left w:w="85" w:type="dxa"/>
              <w:right w:w="85" w:type="dxa"/>
            </w:tcMar>
          </w:tcPr>
          <w:p w14:paraId="4423F32B"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Woodland</w:t>
            </w:r>
          </w:p>
        </w:tc>
        <w:tc>
          <w:tcPr>
            <w:tcW w:w="964" w:type="dxa"/>
            <w:tcMar>
              <w:left w:w="85" w:type="dxa"/>
              <w:right w:w="85" w:type="dxa"/>
            </w:tcMar>
          </w:tcPr>
          <w:p w14:paraId="3234911D"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8</w:t>
            </w:r>
          </w:p>
        </w:tc>
        <w:tc>
          <w:tcPr>
            <w:tcW w:w="1662" w:type="dxa"/>
            <w:tcMar>
              <w:left w:w="85" w:type="dxa"/>
              <w:right w:w="85" w:type="dxa"/>
            </w:tcMar>
          </w:tcPr>
          <w:p w14:paraId="25AFCCDE" w14:textId="77777777" w:rsidR="003D3694" w:rsidRPr="00747E35" w:rsidRDefault="003D3694" w:rsidP="00657288">
            <w:pPr>
              <w:spacing w:after="0"/>
              <w:ind w:right="452"/>
              <w:rPr>
                <w:rFonts w:asciiTheme="minorHAnsi" w:hAnsiTheme="minorHAnsi" w:cstheme="minorHAnsi"/>
                <w:sz w:val="18"/>
              </w:rPr>
            </w:pPr>
          </w:p>
        </w:tc>
        <w:tc>
          <w:tcPr>
            <w:tcW w:w="935" w:type="dxa"/>
            <w:tcMar>
              <w:left w:w="85" w:type="dxa"/>
              <w:right w:w="85" w:type="dxa"/>
            </w:tcMar>
          </w:tcPr>
          <w:p w14:paraId="6453377D" w14:textId="77777777" w:rsidR="003D3694" w:rsidRPr="00747E35" w:rsidRDefault="003D3694" w:rsidP="00657288">
            <w:pPr>
              <w:spacing w:after="0"/>
              <w:ind w:right="452"/>
              <w:rPr>
                <w:rFonts w:asciiTheme="minorHAnsi" w:hAnsiTheme="minorHAnsi" w:cstheme="minorHAnsi"/>
                <w:sz w:val="18"/>
              </w:rPr>
            </w:pPr>
          </w:p>
        </w:tc>
      </w:tr>
      <w:tr w:rsidR="00657288" w:rsidRPr="00747E35" w14:paraId="787D06DB" w14:textId="77777777" w:rsidTr="00657288">
        <w:tc>
          <w:tcPr>
            <w:tcW w:w="1625" w:type="dxa"/>
            <w:tcMar>
              <w:left w:w="85" w:type="dxa"/>
              <w:right w:w="85" w:type="dxa"/>
            </w:tcMar>
          </w:tcPr>
          <w:p w14:paraId="669E3664"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China</w:t>
            </w:r>
          </w:p>
        </w:tc>
        <w:tc>
          <w:tcPr>
            <w:tcW w:w="964" w:type="dxa"/>
            <w:tcMar>
              <w:left w:w="85" w:type="dxa"/>
              <w:right w:w="85" w:type="dxa"/>
            </w:tcMar>
          </w:tcPr>
          <w:p w14:paraId="5E997FEE"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5</w:t>
            </w:r>
          </w:p>
        </w:tc>
        <w:tc>
          <w:tcPr>
            <w:tcW w:w="1599" w:type="dxa"/>
            <w:tcMar>
              <w:left w:w="85" w:type="dxa"/>
              <w:right w:w="85" w:type="dxa"/>
            </w:tcMar>
          </w:tcPr>
          <w:p w14:paraId="41CDB2FD"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Sub-alpine</w:t>
            </w:r>
          </w:p>
        </w:tc>
        <w:tc>
          <w:tcPr>
            <w:tcW w:w="964" w:type="dxa"/>
            <w:tcMar>
              <w:left w:w="85" w:type="dxa"/>
              <w:right w:w="85" w:type="dxa"/>
            </w:tcMar>
          </w:tcPr>
          <w:p w14:paraId="0B587279"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1</w:t>
            </w:r>
          </w:p>
        </w:tc>
        <w:tc>
          <w:tcPr>
            <w:tcW w:w="1510" w:type="dxa"/>
            <w:tcMar>
              <w:left w:w="85" w:type="dxa"/>
              <w:right w:w="85" w:type="dxa"/>
            </w:tcMar>
          </w:tcPr>
          <w:p w14:paraId="5B2C4846"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Saline areas</w:t>
            </w:r>
          </w:p>
        </w:tc>
        <w:tc>
          <w:tcPr>
            <w:tcW w:w="964" w:type="dxa"/>
            <w:tcMar>
              <w:left w:w="85" w:type="dxa"/>
              <w:right w:w="85" w:type="dxa"/>
            </w:tcMar>
          </w:tcPr>
          <w:p w14:paraId="4CDD87BC"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3</w:t>
            </w:r>
          </w:p>
        </w:tc>
        <w:tc>
          <w:tcPr>
            <w:tcW w:w="1662" w:type="dxa"/>
            <w:tcMar>
              <w:left w:w="85" w:type="dxa"/>
              <w:right w:w="85" w:type="dxa"/>
            </w:tcMar>
          </w:tcPr>
          <w:p w14:paraId="69AD1D1F" w14:textId="77777777" w:rsidR="003D3694" w:rsidRPr="00747E35" w:rsidRDefault="003D3694" w:rsidP="00657288">
            <w:pPr>
              <w:spacing w:after="0"/>
              <w:ind w:right="452"/>
              <w:rPr>
                <w:rFonts w:asciiTheme="minorHAnsi" w:hAnsiTheme="minorHAnsi" w:cstheme="minorHAnsi"/>
                <w:sz w:val="18"/>
              </w:rPr>
            </w:pPr>
          </w:p>
        </w:tc>
        <w:tc>
          <w:tcPr>
            <w:tcW w:w="935" w:type="dxa"/>
            <w:tcMar>
              <w:left w:w="85" w:type="dxa"/>
              <w:right w:w="85" w:type="dxa"/>
            </w:tcMar>
          </w:tcPr>
          <w:p w14:paraId="314328B2" w14:textId="77777777" w:rsidR="003D3694" w:rsidRPr="00747E35" w:rsidRDefault="003D3694" w:rsidP="00657288">
            <w:pPr>
              <w:spacing w:after="0"/>
              <w:ind w:right="452"/>
              <w:rPr>
                <w:rFonts w:asciiTheme="minorHAnsi" w:hAnsiTheme="minorHAnsi" w:cstheme="minorHAnsi"/>
                <w:sz w:val="18"/>
              </w:rPr>
            </w:pPr>
          </w:p>
        </w:tc>
      </w:tr>
      <w:tr w:rsidR="00657288" w:rsidRPr="00747E35" w14:paraId="2E974954" w14:textId="77777777" w:rsidTr="00657288">
        <w:tc>
          <w:tcPr>
            <w:tcW w:w="1625" w:type="dxa"/>
            <w:tcMar>
              <w:left w:w="85" w:type="dxa"/>
              <w:right w:w="85" w:type="dxa"/>
            </w:tcMar>
          </w:tcPr>
          <w:p w14:paraId="6F7D09B9"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N. Australia</w:t>
            </w:r>
          </w:p>
        </w:tc>
        <w:tc>
          <w:tcPr>
            <w:tcW w:w="964" w:type="dxa"/>
            <w:tcMar>
              <w:left w:w="85" w:type="dxa"/>
              <w:right w:w="85" w:type="dxa"/>
            </w:tcMar>
          </w:tcPr>
          <w:p w14:paraId="2AEAFC50"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4</w:t>
            </w:r>
          </w:p>
        </w:tc>
        <w:tc>
          <w:tcPr>
            <w:tcW w:w="1599" w:type="dxa"/>
            <w:tcMar>
              <w:left w:w="85" w:type="dxa"/>
              <w:right w:w="85" w:type="dxa"/>
            </w:tcMar>
          </w:tcPr>
          <w:p w14:paraId="13DE5784" w14:textId="77777777" w:rsidR="003D3694" w:rsidRPr="00747E35" w:rsidRDefault="003D3694" w:rsidP="00657288">
            <w:pPr>
              <w:spacing w:after="0"/>
              <w:ind w:right="452"/>
              <w:rPr>
                <w:rFonts w:asciiTheme="minorHAnsi" w:hAnsiTheme="minorHAnsi" w:cstheme="minorHAnsi"/>
                <w:sz w:val="18"/>
              </w:rPr>
            </w:pPr>
          </w:p>
        </w:tc>
        <w:tc>
          <w:tcPr>
            <w:tcW w:w="964" w:type="dxa"/>
            <w:tcMar>
              <w:left w:w="85" w:type="dxa"/>
              <w:right w:w="85" w:type="dxa"/>
            </w:tcMar>
          </w:tcPr>
          <w:p w14:paraId="53D01D3F" w14:textId="77777777" w:rsidR="003D3694" w:rsidRPr="00747E35" w:rsidRDefault="003D3694" w:rsidP="00657288">
            <w:pPr>
              <w:spacing w:after="0"/>
              <w:ind w:right="452"/>
              <w:rPr>
                <w:rFonts w:asciiTheme="minorHAnsi" w:hAnsiTheme="minorHAnsi" w:cstheme="minorHAnsi"/>
                <w:sz w:val="18"/>
              </w:rPr>
            </w:pPr>
          </w:p>
        </w:tc>
        <w:tc>
          <w:tcPr>
            <w:tcW w:w="1510" w:type="dxa"/>
            <w:tcMar>
              <w:left w:w="85" w:type="dxa"/>
              <w:right w:w="85" w:type="dxa"/>
            </w:tcMar>
          </w:tcPr>
          <w:p w14:paraId="71FEDFDD" w14:textId="77777777" w:rsidR="003D3694" w:rsidRPr="00747E35" w:rsidRDefault="003D3694" w:rsidP="00657288">
            <w:pPr>
              <w:spacing w:after="0"/>
              <w:ind w:right="452"/>
              <w:rPr>
                <w:rFonts w:asciiTheme="minorHAnsi" w:hAnsiTheme="minorHAnsi" w:cstheme="minorHAnsi"/>
                <w:sz w:val="18"/>
              </w:rPr>
            </w:pPr>
          </w:p>
        </w:tc>
        <w:tc>
          <w:tcPr>
            <w:tcW w:w="964" w:type="dxa"/>
            <w:tcMar>
              <w:left w:w="85" w:type="dxa"/>
              <w:right w:w="85" w:type="dxa"/>
            </w:tcMar>
          </w:tcPr>
          <w:p w14:paraId="59DF034A" w14:textId="77777777" w:rsidR="003D3694" w:rsidRPr="00747E35" w:rsidRDefault="003D3694" w:rsidP="00657288">
            <w:pPr>
              <w:spacing w:after="0"/>
              <w:ind w:right="452"/>
              <w:rPr>
                <w:rFonts w:asciiTheme="minorHAnsi" w:hAnsiTheme="minorHAnsi" w:cstheme="minorHAnsi"/>
                <w:sz w:val="18"/>
              </w:rPr>
            </w:pPr>
          </w:p>
        </w:tc>
        <w:tc>
          <w:tcPr>
            <w:tcW w:w="1662" w:type="dxa"/>
            <w:tcMar>
              <w:left w:w="85" w:type="dxa"/>
              <w:right w:w="85" w:type="dxa"/>
            </w:tcMar>
          </w:tcPr>
          <w:p w14:paraId="5B8E1E33" w14:textId="77777777" w:rsidR="003D3694" w:rsidRPr="00747E35" w:rsidRDefault="003D3694" w:rsidP="00657288">
            <w:pPr>
              <w:spacing w:after="0"/>
              <w:ind w:right="452"/>
              <w:rPr>
                <w:rFonts w:asciiTheme="minorHAnsi" w:hAnsiTheme="minorHAnsi" w:cstheme="minorHAnsi"/>
                <w:sz w:val="18"/>
              </w:rPr>
            </w:pPr>
          </w:p>
        </w:tc>
        <w:tc>
          <w:tcPr>
            <w:tcW w:w="935" w:type="dxa"/>
            <w:tcMar>
              <w:left w:w="85" w:type="dxa"/>
              <w:right w:w="85" w:type="dxa"/>
            </w:tcMar>
          </w:tcPr>
          <w:p w14:paraId="76296F14" w14:textId="77777777" w:rsidR="003D3694" w:rsidRPr="00747E35" w:rsidRDefault="003D3694" w:rsidP="00657288">
            <w:pPr>
              <w:spacing w:after="0"/>
              <w:ind w:right="452"/>
              <w:rPr>
                <w:rFonts w:asciiTheme="minorHAnsi" w:hAnsiTheme="minorHAnsi" w:cstheme="minorHAnsi"/>
                <w:sz w:val="18"/>
              </w:rPr>
            </w:pPr>
          </w:p>
        </w:tc>
      </w:tr>
      <w:tr w:rsidR="00657288" w:rsidRPr="00747E35" w14:paraId="34C56758" w14:textId="77777777" w:rsidTr="00657288">
        <w:tc>
          <w:tcPr>
            <w:tcW w:w="1625" w:type="dxa"/>
            <w:tcMar>
              <w:left w:w="85" w:type="dxa"/>
              <w:right w:w="85" w:type="dxa"/>
            </w:tcMar>
          </w:tcPr>
          <w:p w14:paraId="7CE4E71D"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N. Africa</w:t>
            </w:r>
          </w:p>
        </w:tc>
        <w:tc>
          <w:tcPr>
            <w:tcW w:w="964" w:type="dxa"/>
            <w:tcMar>
              <w:left w:w="85" w:type="dxa"/>
              <w:right w:w="85" w:type="dxa"/>
            </w:tcMar>
          </w:tcPr>
          <w:p w14:paraId="74834E4D"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4</w:t>
            </w:r>
          </w:p>
        </w:tc>
        <w:tc>
          <w:tcPr>
            <w:tcW w:w="1599" w:type="dxa"/>
            <w:tcMar>
              <w:left w:w="85" w:type="dxa"/>
              <w:right w:w="85" w:type="dxa"/>
            </w:tcMar>
          </w:tcPr>
          <w:p w14:paraId="6C5FC918" w14:textId="77777777" w:rsidR="003D3694" w:rsidRPr="00747E35" w:rsidRDefault="003D3694" w:rsidP="00657288">
            <w:pPr>
              <w:spacing w:after="0"/>
              <w:ind w:right="452"/>
              <w:rPr>
                <w:rFonts w:asciiTheme="minorHAnsi" w:hAnsiTheme="minorHAnsi" w:cstheme="minorHAnsi"/>
                <w:sz w:val="18"/>
              </w:rPr>
            </w:pPr>
          </w:p>
        </w:tc>
        <w:tc>
          <w:tcPr>
            <w:tcW w:w="964" w:type="dxa"/>
            <w:tcMar>
              <w:left w:w="85" w:type="dxa"/>
              <w:right w:w="85" w:type="dxa"/>
            </w:tcMar>
          </w:tcPr>
          <w:p w14:paraId="31B297EE" w14:textId="77777777" w:rsidR="003D3694" w:rsidRPr="00747E35" w:rsidRDefault="003D3694" w:rsidP="00657288">
            <w:pPr>
              <w:spacing w:after="0"/>
              <w:ind w:right="452"/>
              <w:rPr>
                <w:rFonts w:asciiTheme="minorHAnsi" w:hAnsiTheme="minorHAnsi" w:cstheme="minorHAnsi"/>
                <w:sz w:val="18"/>
              </w:rPr>
            </w:pPr>
          </w:p>
        </w:tc>
        <w:tc>
          <w:tcPr>
            <w:tcW w:w="1510" w:type="dxa"/>
            <w:tcMar>
              <w:left w:w="85" w:type="dxa"/>
              <w:right w:w="85" w:type="dxa"/>
            </w:tcMar>
          </w:tcPr>
          <w:p w14:paraId="2B7B42D4" w14:textId="77777777" w:rsidR="003D3694" w:rsidRPr="00747E35" w:rsidRDefault="003D3694" w:rsidP="00657288">
            <w:pPr>
              <w:spacing w:after="0"/>
              <w:ind w:right="452"/>
              <w:rPr>
                <w:rFonts w:asciiTheme="minorHAnsi" w:hAnsiTheme="minorHAnsi" w:cstheme="minorHAnsi"/>
                <w:sz w:val="18"/>
              </w:rPr>
            </w:pPr>
          </w:p>
        </w:tc>
        <w:tc>
          <w:tcPr>
            <w:tcW w:w="964" w:type="dxa"/>
            <w:tcMar>
              <w:left w:w="85" w:type="dxa"/>
              <w:right w:w="85" w:type="dxa"/>
            </w:tcMar>
          </w:tcPr>
          <w:p w14:paraId="32BF8FCA" w14:textId="77777777" w:rsidR="003D3694" w:rsidRPr="00747E35" w:rsidRDefault="003D3694" w:rsidP="00657288">
            <w:pPr>
              <w:spacing w:after="0"/>
              <w:ind w:right="452"/>
              <w:rPr>
                <w:rFonts w:asciiTheme="minorHAnsi" w:hAnsiTheme="minorHAnsi" w:cstheme="minorHAnsi"/>
                <w:sz w:val="18"/>
              </w:rPr>
            </w:pPr>
          </w:p>
        </w:tc>
        <w:tc>
          <w:tcPr>
            <w:tcW w:w="1662" w:type="dxa"/>
            <w:tcMar>
              <w:left w:w="85" w:type="dxa"/>
              <w:right w:w="85" w:type="dxa"/>
            </w:tcMar>
          </w:tcPr>
          <w:p w14:paraId="79FC0AE0" w14:textId="77777777" w:rsidR="003D3694" w:rsidRPr="00747E35" w:rsidRDefault="003D3694" w:rsidP="00657288">
            <w:pPr>
              <w:spacing w:after="0"/>
              <w:ind w:right="452"/>
              <w:rPr>
                <w:rFonts w:asciiTheme="minorHAnsi" w:hAnsiTheme="minorHAnsi" w:cstheme="minorHAnsi"/>
                <w:sz w:val="18"/>
              </w:rPr>
            </w:pPr>
          </w:p>
        </w:tc>
        <w:tc>
          <w:tcPr>
            <w:tcW w:w="935" w:type="dxa"/>
            <w:tcMar>
              <w:left w:w="85" w:type="dxa"/>
              <w:right w:w="85" w:type="dxa"/>
            </w:tcMar>
          </w:tcPr>
          <w:p w14:paraId="553A330D" w14:textId="77777777" w:rsidR="003D3694" w:rsidRPr="00747E35" w:rsidRDefault="003D3694" w:rsidP="00657288">
            <w:pPr>
              <w:spacing w:after="0"/>
              <w:ind w:right="452"/>
              <w:rPr>
                <w:rFonts w:asciiTheme="minorHAnsi" w:hAnsiTheme="minorHAnsi" w:cstheme="minorHAnsi"/>
                <w:sz w:val="18"/>
              </w:rPr>
            </w:pPr>
          </w:p>
        </w:tc>
      </w:tr>
      <w:tr w:rsidR="00657288" w:rsidRPr="00747E35" w14:paraId="69F07F7F" w14:textId="77777777" w:rsidTr="00657288">
        <w:tc>
          <w:tcPr>
            <w:tcW w:w="1625" w:type="dxa"/>
            <w:tcMar>
              <w:left w:w="85" w:type="dxa"/>
              <w:right w:w="85" w:type="dxa"/>
            </w:tcMar>
          </w:tcPr>
          <w:p w14:paraId="141A6AD8"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S. America</w:t>
            </w:r>
          </w:p>
        </w:tc>
        <w:tc>
          <w:tcPr>
            <w:tcW w:w="964" w:type="dxa"/>
            <w:tcMar>
              <w:left w:w="85" w:type="dxa"/>
              <w:right w:w="85" w:type="dxa"/>
            </w:tcMar>
          </w:tcPr>
          <w:p w14:paraId="5481AC12"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4</w:t>
            </w:r>
          </w:p>
        </w:tc>
        <w:tc>
          <w:tcPr>
            <w:tcW w:w="1599" w:type="dxa"/>
            <w:tcMar>
              <w:left w:w="85" w:type="dxa"/>
              <w:right w:w="85" w:type="dxa"/>
            </w:tcMar>
          </w:tcPr>
          <w:p w14:paraId="0DB312F2" w14:textId="77777777" w:rsidR="003D3694" w:rsidRPr="00747E35" w:rsidRDefault="003D3694" w:rsidP="00657288">
            <w:pPr>
              <w:spacing w:after="0"/>
              <w:ind w:right="452"/>
              <w:rPr>
                <w:rFonts w:asciiTheme="minorHAnsi" w:hAnsiTheme="minorHAnsi" w:cstheme="minorHAnsi"/>
                <w:sz w:val="18"/>
              </w:rPr>
            </w:pPr>
          </w:p>
        </w:tc>
        <w:tc>
          <w:tcPr>
            <w:tcW w:w="964" w:type="dxa"/>
            <w:tcMar>
              <w:left w:w="85" w:type="dxa"/>
              <w:right w:w="85" w:type="dxa"/>
            </w:tcMar>
          </w:tcPr>
          <w:p w14:paraId="29EA90AD" w14:textId="77777777" w:rsidR="003D3694" w:rsidRPr="00747E35" w:rsidRDefault="003D3694" w:rsidP="00657288">
            <w:pPr>
              <w:spacing w:after="0"/>
              <w:ind w:right="452"/>
              <w:rPr>
                <w:rFonts w:asciiTheme="minorHAnsi" w:hAnsiTheme="minorHAnsi" w:cstheme="minorHAnsi"/>
                <w:sz w:val="18"/>
              </w:rPr>
            </w:pPr>
          </w:p>
        </w:tc>
        <w:tc>
          <w:tcPr>
            <w:tcW w:w="1510" w:type="dxa"/>
            <w:tcMar>
              <w:left w:w="85" w:type="dxa"/>
              <w:right w:w="85" w:type="dxa"/>
            </w:tcMar>
          </w:tcPr>
          <w:p w14:paraId="26BD109F" w14:textId="77777777" w:rsidR="003D3694" w:rsidRPr="00747E35" w:rsidRDefault="003D3694" w:rsidP="00657288">
            <w:pPr>
              <w:spacing w:after="0"/>
              <w:ind w:right="452"/>
              <w:rPr>
                <w:rFonts w:asciiTheme="minorHAnsi" w:hAnsiTheme="minorHAnsi" w:cstheme="minorHAnsi"/>
                <w:sz w:val="18"/>
              </w:rPr>
            </w:pPr>
          </w:p>
        </w:tc>
        <w:tc>
          <w:tcPr>
            <w:tcW w:w="964" w:type="dxa"/>
            <w:tcMar>
              <w:left w:w="85" w:type="dxa"/>
              <w:right w:w="85" w:type="dxa"/>
            </w:tcMar>
          </w:tcPr>
          <w:p w14:paraId="3E335A16" w14:textId="77777777" w:rsidR="003D3694" w:rsidRPr="00747E35" w:rsidRDefault="003D3694" w:rsidP="00657288">
            <w:pPr>
              <w:spacing w:after="0"/>
              <w:ind w:right="452"/>
              <w:rPr>
                <w:rFonts w:asciiTheme="minorHAnsi" w:hAnsiTheme="minorHAnsi" w:cstheme="minorHAnsi"/>
                <w:sz w:val="18"/>
              </w:rPr>
            </w:pPr>
          </w:p>
        </w:tc>
        <w:tc>
          <w:tcPr>
            <w:tcW w:w="1662" w:type="dxa"/>
            <w:tcMar>
              <w:left w:w="85" w:type="dxa"/>
              <w:right w:w="85" w:type="dxa"/>
            </w:tcMar>
          </w:tcPr>
          <w:p w14:paraId="5313CBEB" w14:textId="77777777" w:rsidR="003D3694" w:rsidRPr="00747E35" w:rsidRDefault="003D3694" w:rsidP="00657288">
            <w:pPr>
              <w:spacing w:after="0"/>
              <w:ind w:right="452"/>
              <w:rPr>
                <w:rFonts w:asciiTheme="minorHAnsi" w:hAnsiTheme="minorHAnsi" w:cstheme="minorHAnsi"/>
                <w:sz w:val="18"/>
              </w:rPr>
            </w:pPr>
          </w:p>
        </w:tc>
        <w:tc>
          <w:tcPr>
            <w:tcW w:w="935" w:type="dxa"/>
            <w:tcMar>
              <w:left w:w="85" w:type="dxa"/>
              <w:right w:w="85" w:type="dxa"/>
            </w:tcMar>
          </w:tcPr>
          <w:p w14:paraId="3982CC9D" w14:textId="77777777" w:rsidR="003D3694" w:rsidRPr="00747E35" w:rsidRDefault="003D3694" w:rsidP="00657288">
            <w:pPr>
              <w:spacing w:after="0"/>
              <w:ind w:right="452"/>
              <w:rPr>
                <w:rFonts w:asciiTheme="minorHAnsi" w:hAnsiTheme="minorHAnsi" w:cstheme="minorHAnsi"/>
                <w:sz w:val="18"/>
              </w:rPr>
            </w:pPr>
          </w:p>
        </w:tc>
      </w:tr>
      <w:tr w:rsidR="00657288" w:rsidRPr="00747E35" w14:paraId="7F5D42B0" w14:textId="77777777" w:rsidTr="00657288">
        <w:tc>
          <w:tcPr>
            <w:tcW w:w="1625" w:type="dxa"/>
            <w:tcBorders>
              <w:bottom w:val="single" w:sz="4" w:space="0" w:color="auto"/>
            </w:tcBorders>
            <w:tcMar>
              <w:left w:w="85" w:type="dxa"/>
              <w:right w:w="85" w:type="dxa"/>
            </w:tcMar>
          </w:tcPr>
          <w:p w14:paraId="4A580A85"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N. USA</w:t>
            </w:r>
          </w:p>
        </w:tc>
        <w:tc>
          <w:tcPr>
            <w:tcW w:w="964" w:type="dxa"/>
            <w:tcBorders>
              <w:bottom w:val="single" w:sz="4" w:space="0" w:color="auto"/>
            </w:tcBorders>
            <w:tcMar>
              <w:left w:w="85" w:type="dxa"/>
              <w:right w:w="85" w:type="dxa"/>
            </w:tcMar>
          </w:tcPr>
          <w:p w14:paraId="2E9872EC" w14:textId="77777777" w:rsidR="003D3694" w:rsidRPr="00747E35" w:rsidRDefault="003D3694" w:rsidP="00657288">
            <w:pPr>
              <w:spacing w:after="0"/>
              <w:ind w:right="452"/>
              <w:rPr>
                <w:rFonts w:asciiTheme="minorHAnsi" w:hAnsiTheme="minorHAnsi" w:cstheme="minorHAnsi"/>
                <w:sz w:val="18"/>
              </w:rPr>
            </w:pPr>
            <w:r w:rsidRPr="00747E35">
              <w:rPr>
                <w:rFonts w:asciiTheme="minorHAnsi" w:hAnsiTheme="minorHAnsi" w:cstheme="minorHAnsi"/>
                <w:sz w:val="18"/>
              </w:rPr>
              <w:t>3</w:t>
            </w:r>
          </w:p>
        </w:tc>
        <w:tc>
          <w:tcPr>
            <w:tcW w:w="1599" w:type="dxa"/>
            <w:tcBorders>
              <w:bottom w:val="single" w:sz="4" w:space="0" w:color="auto"/>
            </w:tcBorders>
            <w:tcMar>
              <w:left w:w="85" w:type="dxa"/>
              <w:right w:w="85" w:type="dxa"/>
            </w:tcMar>
          </w:tcPr>
          <w:p w14:paraId="297DA313" w14:textId="77777777" w:rsidR="003D3694" w:rsidRPr="00747E35" w:rsidRDefault="003D3694" w:rsidP="00657288">
            <w:pPr>
              <w:spacing w:after="0"/>
              <w:ind w:right="452"/>
              <w:rPr>
                <w:rFonts w:asciiTheme="minorHAnsi" w:hAnsiTheme="minorHAnsi" w:cstheme="minorHAnsi"/>
                <w:sz w:val="18"/>
              </w:rPr>
            </w:pPr>
          </w:p>
        </w:tc>
        <w:tc>
          <w:tcPr>
            <w:tcW w:w="964" w:type="dxa"/>
            <w:tcBorders>
              <w:bottom w:val="single" w:sz="4" w:space="0" w:color="auto"/>
            </w:tcBorders>
            <w:tcMar>
              <w:left w:w="85" w:type="dxa"/>
              <w:right w:w="85" w:type="dxa"/>
            </w:tcMar>
          </w:tcPr>
          <w:p w14:paraId="53E5D37D" w14:textId="77777777" w:rsidR="003D3694" w:rsidRPr="00747E35" w:rsidRDefault="003D3694" w:rsidP="00657288">
            <w:pPr>
              <w:spacing w:after="0"/>
              <w:ind w:right="452"/>
              <w:rPr>
                <w:rFonts w:asciiTheme="minorHAnsi" w:hAnsiTheme="minorHAnsi" w:cstheme="minorHAnsi"/>
                <w:sz w:val="18"/>
              </w:rPr>
            </w:pPr>
          </w:p>
        </w:tc>
        <w:tc>
          <w:tcPr>
            <w:tcW w:w="1510" w:type="dxa"/>
            <w:tcBorders>
              <w:bottom w:val="single" w:sz="4" w:space="0" w:color="auto"/>
            </w:tcBorders>
            <w:tcMar>
              <w:left w:w="85" w:type="dxa"/>
              <w:right w:w="85" w:type="dxa"/>
            </w:tcMar>
          </w:tcPr>
          <w:p w14:paraId="32EF361B" w14:textId="77777777" w:rsidR="003D3694" w:rsidRPr="00747E35" w:rsidRDefault="003D3694" w:rsidP="00657288">
            <w:pPr>
              <w:spacing w:after="0"/>
              <w:ind w:right="452"/>
              <w:rPr>
                <w:rFonts w:asciiTheme="minorHAnsi" w:hAnsiTheme="minorHAnsi" w:cstheme="minorHAnsi"/>
                <w:sz w:val="18"/>
              </w:rPr>
            </w:pPr>
          </w:p>
        </w:tc>
        <w:tc>
          <w:tcPr>
            <w:tcW w:w="964" w:type="dxa"/>
            <w:tcBorders>
              <w:bottom w:val="single" w:sz="4" w:space="0" w:color="auto"/>
            </w:tcBorders>
            <w:tcMar>
              <w:left w:w="85" w:type="dxa"/>
              <w:right w:w="85" w:type="dxa"/>
            </w:tcMar>
          </w:tcPr>
          <w:p w14:paraId="1DFB7F87" w14:textId="77777777" w:rsidR="003D3694" w:rsidRPr="00747E35" w:rsidRDefault="003D3694" w:rsidP="00657288">
            <w:pPr>
              <w:spacing w:after="0"/>
              <w:ind w:right="452"/>
              <w:rPr>
                <w:rFonts w:asciiTheme="minorHAnsi" w:hAnsiTheme="minorHAnsi" w:cstheme="minorHAnsi"/>
                <w:sz w:val="18"/>
              </w:rPr>
            </w:pPr>
          </w:p>
        </w:tc>
        <w:tc>
          <w:tcPr>
            <w:tcW w:w="1662" w:type="dxa"/>
            <w:tcBorders>
              <w:bottom w:val="single" w:sz="4" w:space="0" w:color="auto"/>
            </w:tcBorders>
            <w:tcMar>
              <w:left w:w="85" w:type="dxa"/>
              <w:right w:w="85" w:type="dxa"/>
            </w:tcMar>
          </w:tcPr>
          <w:p w14:paraId="54583017" w14:textId="77777777" w:rsidR="003D3694" w:rsidRPr="00747E35" w:rsidRDefault="003D3694" w:rsidP="00657288">
            <w:pPr>
              <w:spacing w:after="0"/>
              <w:ind w:right="452"/>
              <w:rPr>
                <w:rFonts w:asciiTheme="minorHAnsi" w:hAnsiTheme="minorHAnsi" w:cstheme="minorHAnsi"/>
                <w:sz w:val="18"/>
              </w:rPr>
            </w:pPr>
          </w:p>
        </w:tc>
        <w:tc>
          <w:tcPr>
            <w:tcW w:w="935" w:type="dxa"/>
            <w:tcBorders>
              <w:bottom w:val="single" w:sz="4" w:space="0" w:color="auto"/>
            </w:tcBorders>
            <w:tcMar>
              <w:left w:w="85" w:type="dxa"/>
              <w:right w:w="85" w:type="dxa"/>
            </w:tcMar>
          </w:tcPr>
          <w:p w14:paraId="5639B839" w14:textId="77777777" w:rsidR="003D3694" w:rsidRPr="00747E35" w:rsidRDefault="003D3694" w:rsidP="00657288">
            <w:pPr>
              <w:spacing w:after="0"/>
              <w:ind w:right="452"/>
              <w:rPr>
                <w:rFonts w:asciiTheme="minorHAnsi" w:hAnsiTheme="minorHAnsi" w:cstheme="minorHAnsi"/>
                <w:sz w:val="18"/>
              </w:rPr>
            </w:pPr>
          </w:p>
        </w:tc>
      </w:tr>
    </w:tbl>
    <w:p w14:paraId="37D44DED" w14:textId="77777777" w:rsidR="003D3694" w:rsidRPr="00747E35" w:rsidRDefault="003D3694" w:rsidP="00657288">
      <w:pPr>
        <w:ind w:right="452"/>
        <w:rPr>
          <w:rFonts w:asciiTheme="minorHAnsi" w:hAnsiTheme="minorHAnsi" w:cstheme="minorHAnsi"/>
        </w:rPr>
      </w:pPr>
    </w:p>
    <w:p w14:paraId="230D40F2" w14:textId="77777777" w:rsidR="003D3694" w:rsidRPr="00747E35" w:rsidRDefault="003D3694" w:rsidP="003D3694">
      <w:pPr>
        <w:rPr>
          <w:rFonts w:asciiTheme="minorHAnsi" w:hAnsiTheme="minorHAnsi" w:cstheme="minorHAnsi"/>
        </w:rPr>
        <w:sectPr w:rsidR="003D3694" w:rsidRPr="00747E35" w:rsidSect="00657288">
          <w:footerReference w:type="even" r:id="rId46"/>
          <w:footerReference w:type="default" r:id="rId47"/>
          <w:pgSz w:w="12240" w:h="15840"/>
          <w:pgMar w:top="1134" w:right="1134" w:bottom="1134" w:left="1134" w:header="720" w:footer="720" w:gutter="0"/>
          <w:cols w:space="720"/>
          <w:docGrid w:linePitch="360"/>
        </w:sectPr>
      </w:pPr>
    </w:p>
    <w:p w14:paraId="4E813E95"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45" w:name="_Ref466188347"/>
      <w:r w:rsidRPr="00747E35">
        <w:rPr>
          <w:rFonts w:asciiTheme="minorHAnsi" w:hAnsiTheme="minorHAnsi" w:cstheme="minorHAnsi"/>
          <w:i/>
          <w:color w:val="5B9BD5" w:themeColor="accent1"/>
          <w:sz w:val="20"/>
          <w:szCs w:val="20"/>
        </w:rPr>
        <w:lastRenderedPageBreak/>
        <w:t xml:space="preserve">Table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Table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4</w:t>
      </w:r>
      <w:r w:rsidRPr="00747E35">
        <w:rPr>
          <w:rFonts w:asciiTheme="minorHAnsi" w:hAnsiTheme="minorHAnsi" w:cstheme="minorHAnsi"/>
          <w:i/>
          <w:noProof/>
          <w:color w:val="5B9BD5" w:themeColor="accent1"/>
          <w:sz w:val="20"/>
          <w:szCs w:val="20"/>
        </w:rPr>
        <w:fldChar w:fldCharType="end"/>
      </w:r>
      <w:bookmarkEnd w:id="45"/>
      <w:r w:rsidRPr="00747E35">
        <w:rPr>
          <w:rFonts w:asciiTheme="minorHAnsi" w:hAnsiTheme="minorHAnsi" w:cstheme="minorHAnsi"/>
          <w:i/>
          <w:color w:val="5B9BD5" w:themeColor="accent1"/>
          <w:sz w:val="20"/>
          <w:szCs w:val="20"/>
        </w:rPr>
        <w:t>: Typology of hydrogeomorphic environments where phreatophytes may occur.</w:t>
      </w:r>
    </w:p>
    <w:tbl>
      <w:tblPr>
        <w:tblStyle w:val="TableGrid2"/>
        <w:tblW w:w="0" w:type="auto"/>
        <w:tblLayout w:type="fixed"/>
        <w:tblLook w:val="04A0" w:firstRow="1" w:lastRow="0" w:firstColumn="1" w:lastColumn="0" w:noHBand="0" w:noVBand="1"/>
      </w:tblPr>
      <w:tblGrid>
        <w:gridCol w:w="1242"/>
        <w:gridCol w:w="1276"/>
        <w:gridCol w:w="1418"/>
        <w:gridCol w:w="1021"/>
        <w:gridCol w:w="1984"/>
        <w:gridCol w:w="2410"/>
        <w:gridCol w:w="1984"/>
        <w:gridCol w:w="1991"/>
      </w:tblGrid>
      <w:tr w:rsidR="003D3694" w:rsidRPr="00747E35" w14:paraId="54F6058B" w14:textId="77777777" w:rsidTr="00B004E4">
        <w:trPr>
          <w:tblHeader/>
        </w:trPr>
        <w:tc>
          <w:tcPr>
            <w:tcW w:w="1242" w:type="dxa"/>
            <w:shd w:val="clear" w:color="auto" w:fill="DEEAF6" w:themeFill="accent1" w:themeFillTint="33"/>
          </w:tcPr>
          <w:p w14:paraId="4F4ABC96"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Habitat</w:t>
            </w:r>
          </w:p>
        </w:tc>
        <w:tc>
          <w:tcPr>
            <w:tcW w:w="1276" w:type="dxa"/>
            <w:shd w:val="clear" w:color="auto" w:fill="DEEAF6" w:themeFill="accent1" w:themeFillTint="33"/>
          </w:tcPr>
          <w:p w14:paraId="013193E6"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Geology/ Lithology</w:t>
            </w:r>
          </w:p>
        </w:tc>
        <w:tc>
          <w:tcPr>
            <w:tcW w:w="1418" w:type="dxa"/>
            <w:shd w:val="clear" w:color="auto" w:fill="DEEAF6" w:themeFill="accent1" w:themeFillTint="33"/>
          </w:tcPr>
          <w:p w14:paraId="66038404"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Climate</w:t>
            </w:r>
          </w:p>
        </w:tc>
        <w:tc>
          <w:tcPr>
            <w:tcW w:w="1021" w:type="dxa"/>
            <w:shd w:val="clear" w:color="auto" w:fill="DEEAF6" w:themeFill="accent1" w:themeFillTint="33"/>
          </w:tcPr>
          <w:p w14:paraId="2FEC86C4"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Ground-water depth</w:t>
            </w:r>
          </w:p>
        </w:tc>
        <w:tc>
          <w:tcPr>
            <w:tcW w:w="1984" w:type="dxa"/>
            <w:shd w:val="clear" w:color="auto" w:fill="DEEAF6" w:themeFill="accent1" w:themeFillTint="33"/>
          </w:tcPr>
          <w:p w14:paraId="1FFACF11"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Existing hydrology</w:t>
            </w:r>
          </w:p>
        </w:tc>
        <w:tc>
          <w:tcPr>
            <w:tcW w:w="2410" w:type="dxa"/>
            <w:shd w:val="clear" w:color="auto" w:fill="DEEAF6" w:themeFill="accent1" w:themeFillTint="33"/>
          </w:tcPr>
          <w:p w14:paraId="73E68C0D" w14:textId="69B425BB" w:rsidR="003D3694" w:rsidRPr="00747E35" w:rsidRDefault="003D3694" w:rsidP="008C1675">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 xml:space="preserve">Vegetation-groundwater </w:t>
            </w:r>
            <w:r w:rsidR="008C1675">
              <w:rPr>
                <w:rFonts w:asciiTheme="minorHAnsi" w:eastAsia="Times New Roman" w:hAnsiTheme="minorHAnsi" w:cstheme="minorHAnsi"/>
                <w:sz w:val="20"/>
                <w:szCs w:val="20"/>
                <w:lang w:val="en-AU" w:eastAsia="en-AU"/>
              </w:rPr>
              <w:t>dependencies</w:t>
            </w:r>
            <w:r w:rsidRPr="00747E35">
              <w:rPr>
                <w:rFonts w:asciiTheme="minorHAnsi" w:eastAsia="Times New Roman" w:hAnsiTheme="minorHAnsi" w:cstheme="minorHAnsi"/>
                <w:sz w:val="20"/>
                <w:szCs w:val="20"/>
                <w:lang w:val="en-AU" w:eastAsia="en-AU"/>
              </w:rPr>
              <w:t xml:space="preserve"> </w:t>
            </w:r>
          </w:p>
        </w:tc>
        <w:tc>
          <w:tcPr>
            <w:tcW w:w="1984" w:type="dxa"/>
            <w:shd w:val="clear" w:color="auto" w:fill="DEEAF6" w:themeFill="accent1" w:themeFillTint="33"/>
          </w:tcPr>
          <w:p w14:paraId="6E97B67F"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Example</w:t>
            </w:r>
          </w:p>
        </w:tc>
        <w:tc>
          <w:tcPr>
            <w:tcW w:w="1991" w:type="dxa"/>
            <w:shd w:val="clear" w:color="auto" w:fill="DEEAF6" w:themeFill="accent1" w:themeFillTint="33"/>
          </w:tcPr>
          <w:p w14:paraId="4D411601"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Reference</w:t>
            </w:r>
          </w:p>
        </w:tc>
      </w:tr>
      <w:tr w:rsidR="003D3694" w:rsidRPr="00747E35" w14:paraId="0BB4F374" w14:textId="77777777" w:rsidTr="0096743A">
        <w:tc>
          <w:tcPr>
            <w:tcW w:w="1242" w:type="dxa"/>
          </w:tcPr>
          <w:p w14:paraId="7D3F95E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Riparian</w:t>
            </w:r>
          </w:p>
          <w:p w14:paraId="0B6610FE" w14:textId="77777777" w:rsidR="003D3694" w:rsidRPr="00747E35" w:rsidRDefault="003D3694" w:rsidP="0096743A">
            <w:pPr>
              <w:spacing w:after="0"/>
              <w:rPr>
                <w:rFonts w:asciiTheme="minorHAnsi" w:hAnsiTheme="minorHAnsi" w:cstheme="minorHAnsi"/>
                <w:sz w:val="18"/>
              </w:rPr>
            </w:pPr>
          </w:p>
        </w:tc>
        <w:tc>
          <w:tcPr>
            <w:tcW w:w="1276" w:type="dxa"/>
          </w:tcPr>
          <w:p w14:paraId="65A6868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Alluvial Sediments</w:t>
            </w:r>
          </w:p>
        </w:tc>
        <w:tc>
          <w:tcPr>
            <w:tcW w:w="1418" w:type="dxa"/>
          </w:tcPr>
          <w:p w14:paraId="4085152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Wet-dry Tropical, Sub-tropical, Mediterranean semi-arid,</w:t>
            </w:r>
          </w:p>
        </w:tc>
        <w:tc>
          <w:tcPr>
            <w:tcW w:w="1021" w:type="dxa"/>
          </w:tcPr>
          <w:p w14:paraId="4C8A81D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Shallow alluvial</w:t>
            </w:r>
          </w:p>
        </w:tc>
        <w:tc>
          <w:tcPr>
            <w:tcW w:w="1984" w:type="dxa"/>
          </w:tcPr>
          <w:p w14:paraId="78A4FAA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Perennial surface flow. Bank recharge in wet. Shallow WT in dry. Consistent soil recharge.</w:t>
            </w:r>
          </w:p>
        </w:tc>
        <w:tc>
          <w:tcPr>
            <w:tcW w:w="2410" w:type="dxa"/>
          </w:tcPr>
          <w:p w14:paraId="6C311D8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 xml:space="preserve">Hydrophytes dominant. High % groundwater use, High productivity, long growth season. </w:t>
            </w:r>
          </w:p>
        </w:tc>
        <w:tc>
          <w:tcPr>
            <w:tcW w:w="1984" w:type="dxa"/>
          </w:tcPr>
          <w:p w14:paraId="3345BE4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 xml:space="preserve">Riparian forests </w:t>
            </w:r>
          </w:p>
        </w:tc>
        <w:tc>
          <w:tcPr>
            <w:tcW w:w="1991" w:type="dxa"/>
          </w:tcPr>
          <w:p w14:paraId="15A23AC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Thorburn &amp; Walker 1993, Lamontagne et al 2005, Lite &amp; Stromberg 2005, O’Grady et al 2006, Chen et al. 2015.</w:t>
            </w:r>
          </w:p>
        </w:tc>
      </w:tr>
      <w:tr w:rsidR="003D3694" w:rsidRPr="00747E35" w14:paraId="34BEF78B" w14:textId="77777777" w:rsidTr="0096743A">
        <w:tc>
          <w:tcPr>
            <w:tcW w:w="1242" w:type="dxa"/>
          </w:tcPr>
          <w:p w14:paraId="37EC6DD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Floodplain</w:t>
            </w:r>
          </w:p>
        </w:tc>
        <w:tc>
          <w:tcPr>
            <w:tcW w:w="1276" w:type="dxa"/>
          </w:tcPr>
          <w:p w14:paraId="043F0D5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Alluvial Sediments</w:t>
            </w:r>
          </w:p>
        </w:tc>
        <w:tc>
          <w:tcPr>
            <w:tcW w:w="1418" w:type="dxa"/>
          </w:tcPr>
          <w:p w14:paraId="01EF0DC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Tropical, Semi-arid, temperate</w:t>
            </w:r>
          </w:p>
        </w:tc>
        <w:tc>
          <w:tcPr>
            <w:tcW w:w="1021" w:type="dxa"/>
          </w:tcPr>
          <w:p w14:paraId="4AF0895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Shallow alluvial, local regional</w:t>
            </w:r>
          </w:p>
        </w:tc>
        <w:tc>
          <w:tcPr>
            <w:tcW w:w="1984" w:type="dxa"/>
          </w:tcPr>
          <w:p w14:paraId="08D0FC9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 xml:space="preserve">Seasonal-episodic surface flooding. Recharge in wet. Shallow WT in dry. </w:t>
            </w:r>
          </w:p>
        </w:tc>
        <w:tc>
          <w:tcPr>
            <w:tcW w:w="2410" w:type="dxa"/>
          </w:tcPr>
          <w:p w14:paraId="5475EEC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 xml:space="preserve">Hydrophytes present. High-moderate %groundwater use, high productivity, long growth season. </w:t>
            </w:r>
          </w:p>
        </w:tc>
        <w:tc>
          <w:tcPr>
            <w:tcW w:w="1984" w:type="dxa"/>
          </w:tcPr>
          <w:p w14:paraId="4B558F7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Floodplain forests</w:t>
            </w:r>
          </w:p>
        </w:tc>
        <w:tc>
          <w:tcPr>
            <w:tcW w:w="1991" w:type="dxa"/>
          </w:tcPr>
          <w:p w14:paraId="2C6EE11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Thorburn &amp; Walker 1993, O’Grady et al. 2009, Stromberg &amp; Merritt 2016, Pfautsch et al 2015</w:t>
            </w:r>
          </w:p>
        </w:tc>
      </w:tr>
      <w:tr w:rsidR="003D3694" w:rsidRPr="00747E35" w14:paraId="467C9693" w14:textId="77777777" w:rsidTr="0096743A">
        <w:tc>
          <w:tcPr>
            <w:tcW w:w="1242" w:type="dxa"/>
          </w:tcPr>
          <w:p w14:paraId="1D2B597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Coastal sandplain</w:t>
            </w:r>
          </w:p>
        </w:tc>
        <w:tc>
          <w:tcPr>
            <w:tcW w:w="1276" w:type="dxa"/>
          </w:tcPr>
          <w:p w14:paraId="2313755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 xml:space="preserve">Sedimentary </w:t>
            </w:r>
          </w:p>
        </w:tc>
        <w:tc>
          <w:tcPr>
            <w:tcW w:w="1418" w:type="dxa"/>
          </w:tcPr>
          <w:p w14:paraId="3C890E9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Mediterranean</w:t>
            </w:r>
          </w:p>
        </w:tc>
        <w:tc>
          <w:tcPr>
            <w:tcW w:w="1021" w:type="dxa"/>
          </w:tcPr>
          <w:p w14:paraId="71010F4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Shallow to moderate</w:t>
            </w:r>
          </w:p>
        </w:tc>
        <w:tc>
          <w:tcPr>
            <w:tcW w:w="1984" w:type="dxa"/>
          </w:tcPr>
          <w:p w14:paraId="50B48DA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porous sand shallow aquifer</w:t>
            </w:r>
          </w:p>
        </w:tc>
        <w:tc>
          <w:tcPr>
            <w:tcW w:w="2410" w:type="dxa"/>
          </w:tcPr>
          <w:p w14:paraId="39AC398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High proportion of phreatophytes, varies along a catena</w:t>
            </w:r>
          </w:p>
        </w:tc>
        <w:tc>
          <w:tcPr>
            <w:tcW w:w="1984" w:type="dxa"/>
          </w:tcPr>
          <w:p w14:paraId="1F27F0C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 xml:space="preserve">Swan Coastal Plain, </w:t>
            </w:r>
            <w:r w:rsidRPr="00747E35">
              <w:rPr>
                <w:rFonts w:asciiTheme="minorHAnsi" w:hAnsiTheme="minorHAnsi" w:cstheme="minorHAnsi"/>
                <w:i/>
                <w:sz w:val="18"/>
              </w:rPr>
              <w:t>Banksia</w:t>
            </w:r>
            <w:r w:rsidRPr="00747E35">
              <w:rPr>
                <w:rFonts w:asciiTheme="minorHAnsi" w:hAnsiTheme="minorHAnsi" w:cstheme="minorHAnsi"/>
                <w:sz w:val="18"/>
              </w:rPr>
              <w:t xml:space="preserve"> spp. Coastal heath and woodlands</w:t>
            </w:r>
          </w:p>
        </w:tc>
        <w:tc>
          <w:tcPr>
            <w:tcW w:w="1991" w:type="dxa"/>
          </w:tcPr>
          <w:p w14:paraId="5A4C91A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Sommer &amp; Froend 2010, Zencich et al. 2002</w:t>
            </w:r>
          </w:p>
        </w:tc>
      </w:tr>
      <w:tr w:rsidR="003D3694" w:rsidRPr="00747E35" w14:paraId="047B1676" w14:textId="77777777" w:rsidTr="0096743A">
        <w:tc>
          <w:tcPr>
            <w:tcW w:w="1242" w:type="dxa"/>
          </w:tcPr>
          <w:p w14:paraId="34A95640"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Coastal dunes</w:t>
            </w:r>
          </w:p>
        </w:tc>
        <w:tc>
          <w:tcPr>
            <w:tcW w:w="1276" w:type="dxa"/>
          </w:tcPr>
          <w:p w14:paraId="5F5EAEB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Sedimentary</w:t>
            </w:r>
          </w:p>
        </w:tc>
        <w:tc>
          <w:tcPr>
            <w:tcW w:w="1418" w:type="dxa"/>
          </w:tcPr>
          <w:p w14:paraId="4E6177A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Mediterranean, Sub-tropical</w:t>
            </w:r>
          </w:p>
        </w:tc>
        <w:tc>
          <w:tcPr>
            <w:tcW w:w="1021" w:type="dxa"/>
          </w:tcPr>
          <w:p w14:paraId="0C38EF7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Shallow to deep</w:t>
            </w:r>
          </w:p>
        </w:tc>
        <w:tc>
          <w:tcPr>
            <w:tcW w:w="1984" w:type="dxa"/>
          </w:tcPr>
          <w:p w14:paraId="7F480E0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Poor soil water retention, Perched shallow groundwater.</w:t>
            </w:r>
          </w:p>
        </w:tc>
        <w:tc>
          <w:tcPr>
            <w:tcW w:w="2410" w:type="dxa"/>
          </w:tcPr>
          <w:p w14:paraId="0A4F4CA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High proportion of phreatophytes, varies along a catena</w:t>
            </w:r>
          </w:p>
        </w:tc>
        <w:tc>
          <w:tcPr>
            <w:tcW w:w="1984" w:type="dxa"/>
          </w:tcPr>
          <w:p w14:paraId="1F3BA2EB"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Coastal dunes &amp; wetlands</w:t>
            </w:r>
          </w:p>
        </w:tc>
        <w:tc>
          <w:tcPr>
            <w:tcW w:w="1991" w:type="dxa"/>
          </w:tcPr>
          <w:p w14:paraId="4DE5D07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Barrabas et al. 1999, Rutherford et al. 2013</w:t>
            </w:r>
          </w:p>
        </w:tc>
      </w:tr>
      <w:tr w:rsidR="003D3694" w:rsidRPr="00747E35" w14:paraId="6E1433AE" w14:textId="77777777" w:rsidTr="0096743A">
        <w:tc>
          <w:tcPr>
            <w:tcW w:w="1242" w:type="dxa"/>
          </w:tcPr>
          <w:p w14:paraId="01196D4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Desert sand dunes,</w:t>
            </w:r>
          </w:p>
        </w:tc>
        <w:tc>
          <w:tcPr>
            <w:tcW w:w="1276" w:type="dxa"/>
          </w:tcPr>
          <w:p w14:paraId="47832B4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Sedimentary</w:t>
            </w:r>
          </w:p>
        </w:tc>
        <w:tc>
          <w:tcPr>
            <w:tcW w:w="1418" w:type="dxa"/>
          </w:tcPr>
          <w:p w14:paraId="0E1FB90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Arid</w:t>
            </w:r>
          </w:p>
        </w:tc>
        <w:tc>
          <w:tcPr>
            <w:tcW w:w="1021" w:type="dxa"/>
          </w:tcPr>
          <w:p w14:paraId="720B1BD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Moderate to deep</w:t>
            </w:r>
          </w:p>
        </w:tc>
        <w:tc>
          <w:tcPr>
            <w:tcW w:w="1984" w:type="dxa"/>
          </w:tcPr>
          <w:p w14:paraId="2F38B59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Little soil water storage, deep regional aquifer</w:t>
            </w:r>
          </w:p>
        </w:tc>
        <w:tc>
          <w:tcPr>
            <w:tcW w:w="2410" w:type="dxa"/>
          </w:tcPr>
          <w:p w14:paraId="2D9B46A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Highly specialised arid zone plants with deep taproots</w:t>
            </w:r>
          </w:p>
        </w:tc>
        <w:tc>
          <w:tcPr>
            <w:tcW w:w="1984" w:type="dxa"/>
          </w:tcPr>
          <w:p w14:paraId="38F19A7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Namib desert, South Africa</w:t>
            </w:r>
          </w:p>
        </w:tc>
        <w:tc>
          <w:tcPr>
            <w:tcW w:w="1991" w:type="dxa"/>
          </w:tcPr>
          <w:p w14:paraId="27BF39A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Cowling et al. 1997, Canadell et al. 1996</w:t>
            </w:r>
          </w:p>
        </w:tc>
      </w:tr>
      <w:tr w:rsidR="003D3694" w:rsidRPr="00747E35" w14:paraId="0B1451AC" w14:textId="77777777" w:rsidTr="0096743A">
        <w:tc>
          <w:tcPr>
            <w:tcW w:w="1242" w:type="dxa"/>
          </w:tcPr>
          <w:p w14:paraId="180F7CE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Desert oasis</w:t>
            </w:r>
          </w:p>
        </w:tc>
        <w:tc>
          <w:tcPr>
            <w:tcW w:w="1276" w:type="dxa"/>
          </w:tcPr>
          <w:p w14:paraId="2537193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Sedimentary</w:t>
            </w:r>
          </w:p>
        </w:tc>
        <w:tc>
          <w:tcPr>
            <w:tcW w:w="1418" w:type="dxa"/>
          </w:tcPr>
          <w:p w14:paraId="4DCEF30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Arid</w:t>
            </w:r>
          </w:p>
        </w:tc>
        <w:tc>
          <w:tcPr>
            <w:tcW w:w="1021" w:type="dxa"/>
          </w:tcPr>
          <w:p w14:paraId="174F09A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shallow</w:t>
            </w:r>
          </w:p>
        </w:tc>
        <w:tc>
          <w:tcPr>
            <w:tcW w:w="1984" w:type="dxa"/>
          </w:tcPr>
          <w:p w14:paraId="4E32DE0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Surface expression of regional groundwater</w:t>
            </w:r>
          </w:p>
        </w:tc>
        <w:tc>
          <w:tcPr>
            <w:tcW w:w="2410" w:type="dxa"/>
          </w:tcPr>
          <w:p w14:paraId="107D9F5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Hydrophytes and aquatic plants in proxity to open water, reliance on groundwater along catena</w:t>
            </w:r>
          </w:p>
        </w:tc>
        <w:tc>
          <w:tcPr>
            <w:tcW w:w="1984" w:type="dxa"/>
          </w:tcPr>
          <w:p w14:paraId="3E57C2A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Silt loam soil, catena</w:t>
            </w:r>
          </w:p>
        </w:tc>
        <w:tc>
          <w:tcPr>
            <w:tcW w:w="1991" w:type="dxa"/>
          </w:tcPr>
          <w:p w14:paraId="47D32A8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Vonlanthen et al. 2011, Bruelheide et al. 2010.</w:t>
            </w:r>
          </w:p>
        </w:tc>
      </w:tr>
      <w:tr w:rsidR="003D3694" w:rsidRPr="00747E35" w14:paraId="294FFAF7" w14:textId="77777777" w:rsidTr="0096743A">
        <w:tc>
          <w:tcPr>
            <w:tcW w:w="1242" w:type="dxa"/>
          </w:tcPr>
          <w:p w14:paraId="258DDCE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Savanna plain</w:t>
            </w:r>
          </w:p>
        </w:tc>
        <w:tc>
          <w:tcPr>
            <w:tcW w:w="1276" w:type="dxa"/>
          </w:tcPr>
          <w:p w14:paraId="4E610E5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 xml:space="preserve">Sedimentary </w:t>
            </w:r>
          </w:p>
        </w:tc>
        <w:tc>
          <w:tcPr>
            <w:tcW w:w="1418" w:type="dxa"/>
          </w:tcPr>
          <w:p w14:paraId="7C7114A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Mediterranean</w:t>
            </w:r>
          </w:p>
        </w:tc>
        <w:tc>
          <w:tcPr>
            <w:tcW w:w="1021" w:type="dxa"/>
          </w:tcPr>
          <w:p w14:paraId="1932F33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Shallow to moderate</w:t>
            </w:r>
          </w:p>
        </w:tc>
        <w:tc>
          <w:tcPr>
            <w:tcW w:w="1984" w:type="dxa"/>
          </w:tcPr>
          <w:p w14:paraId="52AA1C3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Summer or prolonged drought, low soil moisture storage capacity</w:t>
            </w:r>
          </w:p>
        </w:tc>
        <w:tc>
          <w:tcPr>
            <w:tcW w:w="2410" w:type="dxa"/>
          </w:tcPr>
          <w:p w14:paraId="630A290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i/>
                <w:sz w:val="18"/>
              </w:rPr>
              <w:t>Quercus suber</w:t>
            </w:r>
            <w:r w:rsidRPr="00747E35">
              <w:rPr>
                <w:rFonts w:asciiTheme="minorHAnsi" w:hAnsiTheme="minorHAnsi" w:cstheme="minorHAnsi"/>
                <w:sz w:val="18"/>
              </w:rPr>
              <w:t xml:space="preserve"> with dimorphic root system</w:t>
            </w:r>
          </w:p>
        </w:tc>
        <w:tc>
          <w:tcPr>
            <w:tcW w:w="1984" w:type="dxa"/>
          </w:tcPr>
          <w:p w14:paraId="17D4B55B"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Central Portugal</w:t>
            </w:r>
          </w:p>
        </w:tc>
        <w:tc>
          <w:tcPr>
            <w:tcW w:w="1991" w:type="dxa"/>
          </w:tcPr>
          <w:p w14:paraId="563E264B"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David et al. 2013, Pinto et al. 2014</w:t>
            </w:r>
          </w:p>
        </w:tc>
      </w:tr>
      <w:tr w:rsidR="003D3694" w:rsidRPr="00747E35" w14:paraId="3A623B65" w14:textId="77777777" w:rsidTr="0096743A">
        <w:tc>
          <w:tcPr>
            <w:tcW w:w="1242" w:type="dxa"/>
          </w:tcPr>
          <w:p w14:paraId="7C5BA8E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Groundwater discharge springs</w:t>
            </w:r>
          </w:p>
        </w:tc>
        <w:tc>
          <w:tcPr>
            <w:tcW w:w="1276" w:type="dxa"/>
          </w:tcPr>
          <w:p w14:paraId="636B713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 xml:space="preserve">Sedimentary </w:t>
            </w:r>
          </w:p>
        </w:tc>
        <w:tc>
          <w:tcPr>
            <w:tcW w:w="1418" w:type="dxa"/>
          </w:tcPr>
          <w:p w14:paraId="2BE36050"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Mediterranean, Sub-tropical</w:t>
            </w:r>
          </w:p>
        </w:tc>
        <w:tc>
          <w:tcPr>
            <w:tcW w:w="1021" w:type="dxa"/>
          </w:tcPr>
          <w:p w14:paraId="4CF2B74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shallow</w:t>
            </w:r>
          </w:p>
        </w:tc>
        <w:tc>
          <w:tcPr>
            <w:tcW w:w="1984" w:type="dxa"/>
          </w:tcPr>
          <w:p w14:paraId="166DECF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Artesian springs</w:t>
            </w:r>
          </w:p>
        </w:tc>
        <w:tc>
          <w:tcPr>
            <w:tcW w:w="2410" w:type="dxa"/>
          </w:tcPr>
          <w:p w14:paraId="1227C4B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Hydrophytes and aquatic plants in proximity to springs</w:t>
            </w:r>
          </w:p>
        </w:tc>
        <w:tc>
          <w:tcPr>
            <w:tcW w:w="1984" w:type="dxa"/>
          </w:tcPr>
          <w:p w14:paraId="1AB1D72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Great Artesian Basin, eastern Australia, Fens, glaciated Midwest and Northeast USA</w:t>
            </w:r>
          </w:p>
        </w:tc>
        <w:tc>
          <w:tcPr>
            <w:tcW w:w="1991" w:type="dxa"/>
          </w:tcPr>
          <w:p w14:paraId="3396C72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Bedford &amp; Godwin 2003, Fensham et al 2004</w:t>
            </w:r>
          </w:p>
        </w:tc>
      </w:tr>
      <w:tr w:rsidR="003D3694" w:rsidRPr="00747E35" w14:paraId="16AB2232" w14:textId="77777777" w:rsidTr="0096743A">
        <w:tc>
          <w:tcPr>
            <w:tcW w:w="1242" w:type="dxa"/>
          </w:tcPr>
          <w:p w14:paraId="658D559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High elevation lacustrine plain.</w:t>
            </w:r>
          </w:p>
        </w:tc>
        <w:tc>
          <w:tcPr>
            <w:tcW w:w="1276" w:type="dxa"/>
          </w:tcPr>
          <w:p w14:paraId="7A18D7F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Permeable volcanic rock</w:t>
            </w:r>
          </w:p>
        </w:tc>
        <w:tc>
          <w:tcPr>
            <w:tcW w:w="1418" w:type="dxa"/>
          </w:tcPr>
          <w:p w14:paraId="262230B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Montane Sub-tropical, seasonal rainfall</w:t>
            </w:r>
          </w:p>
        </w:tc>
        <w:tc>
          <w:tcPr>
            <w:tcW w:w="1021" w:type="dxa"/>
          </w:tcPr>
          <w:p w14:paraId="08B2C9D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moderate</w:t>
            </w:r>
          </w:p>
        </w:tc>
        <w:tc>
          <w:tcPr>
            <w:tcW w:w="1984" w:type="dxa"/>
          </w:tcPr>
          <w:p w14:paraId="4DF6519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deep local aquifer with localized discharge areas</w:t>
            </w:r>
          </w:p>
        </w:tc>
        <w:tc>
          <w:tcPr>
            <w:tcW w:w="2410" w:type="dxa"/>
          </w:tcPr>
          <w:p w14:paraId="7DA5CE5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Mixed plant communities around discharge sites</w:t>
            </w:r>
          </w:p>
        </w:tc>
        <w:tc>
          <w:tcPr>
            <w:tcW w:w="1984" w:type="dxa"/>
          </w:tcPr>
          <w:p w14:paraId="5CE91B4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Central mountains Mexico, deep groundwater discharge areas</w:t>
            </w:r>
          </w:p>
        </w:tc>
        <w:tc>
          <w:tcPr>
            <w:tcW w:w="1991" w:type="dxa"/>
          </w:tcPr>
          <w:p w14:paraId="75C80D1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Duraz &amp; Farvolden 1989</w:t>
            </w:r>
          </w:p>
        </w:tc>
      </w:tr>
    </w:tbl>
    <w:p w14:paraId="3E4B8EF0" w14:textId="77777777" w:rsidR="003D3694" w:rsidRPr="00747E35" w:rsidRDefault="003D3694" w:rsidP="003D3694">
      <w:pPr>
        <w:rPr>
          <w:rFonts w:asciiTheme="minorHAnsi" w:hAnsiTheme="minorHAnsi" w:cstheme="minorHAnsi"/>
        </w:rPr>
        <w:sectPr w:rsidR="003D3694" w:rsidRPr="00747E35" w:rsidSect="0096743A">
          <w:pgSz w:w="15840" w:h="12240" w:orient="landscape"/>
          <w:pgMar w:top="720" w:right="720" w:bottom="720" w:left="720" w:header="720" w:footer="720" w:gutter="0"/>
          <w:cols w:space="720"/>
          <w:docGrid w:linePitch="360"/>
        </w:sectPr>
      </w:pPr>
    </w:p>
    <w:p w14:paraId="73B75E8F"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46" w:name="_Ref466189596"/>
      <w:r w:rsidRPr="00747E35">
        <w:rPr>
          <w:rFonts w:asciiTheme="minorHAnsi" w:hAnsiTheme="minorHAnsi" w:cstheme="minorHAnsi"/>
          <w:i/>
          <w:color w:val="5B9BD5" w:themeColor="accent1"/>
          <w:sz w:val="20"/>
          <w:szCs w:val="20"/>
        </w:rPr>
        <w:lastRenderedPageBreak/>
        <w:t xml:space="preserve">Table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Table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5</w:t>
      </w:r>
      <w:r w:rsidRPr="00747E35">
        <w:rPr>
          <w:rFonts w:asciiTheme="minorHAnsi" w:hAnsiTheme="minorHAnsi" w:cstheme="minorHAnsi"/>
          <w:i/>
          <w:noProof/>
          <w:color w:val="5B9BD5" w:themeColor="accent1"/>
          <w:sz w:val="20"/>
          <w:szCs w:val="20"/>
        </w:rPr>
        <w:fldChar w:fldCharType="end"/>
      </w:r>
      <w:bookmarkEnd w:id="46"/>
      <w:r w:rsidRPr="00747E35">
        <w:rPr>
          <w:rFonts w:asciiTheme="minorHAnsi" w:hAnsiTheme="minorHAnsi" w:cstheme="minorHAnsi"/>
          <w:i/>
          <w:color w:val="5B9BD5" w:themeColor="accent1"/>
          <w:sz w:val="20"/>
          <w:szCs w:val="20"/>
        </w:rPr>
        <w:t xml:space="preserve">: Typology of groundwater-dependent vegetation including phreatophytes.  </w:t>
      </w:r>
    </w:p>
    <w:tbl>
      <w:tblPr>
        <w:tblStyle w:val="TableGrid2"/>
        <w:tblW w:w="14709" w:type="dxa"/>
        <w:tblLook w:val="04A0" w:firstRow="1" w:lastRow="0" w:firstColumn="1" w:lastColumn="0" w:noHBand="0" w:noVBand="1"/>
      </w:tblPr>
      <w:tblGrid>
        <w:gridCol w:w="392"/>
        <w:gridCol w:w="1701"/>
        <w:gridCol w:w="3969"/>
        <w:gridCol w:w="2693"/>
        <w:gridCol w:w="1981"/>
        <w:gridCol w:w="1988"/>
        <w:gridCol w:w="1985"/>
      </w:tblGrid>
      <w:tr w:rsidR="003D3694" w:rsidRPr="00747E35" w14:paraId="345F9C9C" w14:textId="77777777" w:rsidTr="00B004E4">
        <w:trPr>
          <w:tblHeader/>
        </w:trPr>
        <w:tc>
          <w:tcPr>
            <w:tcW w:w="392" w:type="dxa"/>
            <w:shd w:val="clear" w:color="auto" w:fill="DEEAF6" w:themeFill="accent1" w:themeFillTint="33"/>
          </w:tcPr>
          <w:p w14:paraId="5CB377D4"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p>
        </w:tc>
        <w:tc>
          <w:tcPr>
            <w:tcW w:w="1701" w:type="dxa"/>
            <w:shd w:val="clear" w:color="auto" w:fill="DEEAF6" w:themeFill="accent1" w:themeFillTint="33"/>
          </w:tcPr>
          <w:p w14:paraId="6C08DECC"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Plant Hydrotype</w:t>
            </w:r>
            <w:r w:rsidRPr="00747E35">
              <w:rPr>
                <w:rFonts w:asciiTheme="minorHAnsi" w:eastAsia="Times New Roman" w:hAnsiTheme="minorHAnsi" w:cstheme="minorHAnsi"/>
                <w:sz w:val="20"/>
                <w:szCs w:val="20"/>
                <w:vertAlign w:val="superscript"/>
                <w:lang w:val="en-AU" w:eastAsia="en-AU"/>
              </w:rPr>
              <w:t>1</w:t>
            </w:r>
          </w:p>
        </w:tc>
        <w:tc>
          <w:tcPr>
            <w:tcW w:w="3969" w:type="dxa"/>
            <w:shd w:val="clear" w:color="auto" w:fill="DEEAF6" w:themeFill="accent1" w:themeFillTint="33"/>
          </w:tcPr>
          <w:p w14:paraId="2B582FB2"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Plant Type/Characteristics</w:t>
            </w:r>
          </w:p>
        </w:tc>
        <w:tc>
          <w:tcPr>
            <w:tcW w:w="2693" w:type="dxa"/>
            <w:shd w:val="clear" w:color="auto" w:fill="DEEAF6" w:themeFill="accent1" w:themeFillTint="33"/>
          </w:tcPr>
          <w:p w14:paraId="712A959B"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Response to drought</w:t>
            </w:r>
          </w:p>
        </w:tc>
        <w:tc>
          <w:tcPr>
            <w:tcW w:w="1981" w:type="dxa"/>
            <w:shd w:val="clear" w:color="auto" w:fill="DEEAF6" w:themeFill="accent1" w:themeFillTint="33"/>
          </w:tcPr>
          <w:p w14:paraId="09BA4244"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Range of habitats</w:t>
            </w:r>
          </w:p>
        </w:tc>
        <w:tc>
          <w:tcPr>
            <w:tcW w:w="1988" w:type="dxa"/>
            <w:shd w:val="clear" w:color="auto" w:fill="DEEAF6" w:themeFill="accent1" w:themeFillTint="33"/>
          </w:tcPr>
          <w:p w14:paraId="498CCDFE"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Example taxa</w:t>
            </w:r>
          </w:p>
        </w:tc>
        <w:tc>
          <w:tcPr>
            <w:tcW w:w="1985" w:type="dxa"/>
            <w:shd w:val="clear" w:color="auto" w:fill="DEEAF6" w:themeFill="accent1" w:themeFillTint="33"/>
          </w:tcPr>
          <w:p w14:paraId="39C77851"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References</w:t>
            </w:r>
          </w:p>
        </w:tc>
      </w:tr>
      <w:tr w:rsidR="003D3694" w:rsidRPr="00747E35" w14:paraId="363B861A" w14:textId="77777777" w:rsidTr="0096743A">
        <w:tc>
          <w:tcPr>
            <w:tcW w:w="392" w:type="dxa"/>
          </w:tcPr>
          <w:p w14:paraId="5307D6B3" w14:textId="77777777" w:rsidR="003D3694" w:rsidRPr="00747E35" w:rsidRDefault="003D3694" w:rsidP="0096743A">
            <w:pPr>
              <w:spacing w:after="0"/>
              <w:rPr>
                <w:rFonts w:asciiTheme="minorHAnsi" w:hAnsiTheme="minorHAnsi" w:cstheme="minorHAnsi"/>
                <w:sz w:val="18"/>
                <w:vertAlign w:val="superscript"/>
              </w:rPr>
            </w:pPr>
            <w:r w:rsidRPr="00747E35">
              <w:rPr>
                <w:rFonts w:asciiTheme="minorHAnsi" w:hAnsiTheme="minorHAnsi" w:cstheme="minorHAnsi"/>
                <w:sz w:val="18"/>
              </w:rPr>
              <w:t>1</w:t>
            </w:r>
          </w:p>
        </w:tc>
        <w:tc>
          <w:tcPr>
            <w:tcW w:w="1701" w:type="dxa"/>
          </w:tcPr>
          <w:p w14:paraId="6EC47C8C" w14:textId="77777777" w:rsidR="003D3694" w:rsidRPr="00747E35" w:rsidRDefault="003D3694" w:rsidP="0096743A">
            <w:pPr>
              <w:spacing w:after="0"/>
              <w:rPr>
                <w:rFonts w:asciiTheme="minorHAnsi" w:hAnsiTheme="minorHAnsi" w:cstheme="minorHAnsi"/>
                <w:sz w:val="18"/>
                <w:vertAlign w:val="superscript"/>
              </w:rPr>
            </w:pPr>
            <w:r w:rsidRPr="00747E35">
              <w:rPr>
                <w:rFonts w:asciiTheme="minorHAnsi" w:hAnsiTheme="minorHAnsi" w:cstheme="minorHAnsi"/>
                <w:sz w:val="18"/>
              </w:rPr>
              <w:t>Hydrophyte</w:t>
            </w:r>
            <w:r w:rsidRPr="00747E35">
              <w:rPr>
                <w:rFonts w:asciiTheme="minorHAnsi" w:hAnsiTheme="minorHAnsi" w:cstheme="minorHAnsi"/>
                <w:sz w:val="18"/>
                <w:vertAlign w:val="superscript"/>
              </w:rPr>
              <w:t>2</w:t>
            </w:r>
          </w:p>
        </w:tc>
        <w:tc>
          <w:tcPr>
            <w:tcW w:w="3969" w:type="dxa"/>
          </w:tcPr>
          <w:p w14:paraId="02EAF9C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Aquatic submerged/floating, reliant on surface water expression of groundwater. Annual or perennial herbs. Usually ephemeral and exist as dormant seeds, tubers or spores in sediments until wetland is inundated.</w:t>
            </w:r>
          </w:p>
        </w:tc>
        <w:tc>
          <w:tcPr>
            <w:tcW w:w="2693" w:type="dxa"/>
          </w:tcPr>
          <w:p w14:paraId="0B7DF98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Drought avoider, growing only in surface water or surface expression of groundwater. Exist as dormant seeds, tubers. Groundwater range 0-0.25m</w:t>
            </w:r>
          </w:p>
        </w:tc>
        <w:tc>
          <w:tcPr>
            <w:tcW w:w="1981" w:type="dxa"/>
          </w:tcPr>
          <w:p w14:paraId="7ADA718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Perennial palustrine, lacustrine wetlands, streams</w:t>
            </w:r>
          </w:p>
        </w:tc>
        <w:tc>
          <w:tcPr>
            <w:tcW w:w="1988" w:type="dxa"/>
          </w:tcPr>
          <w:p w14:paraId="294255C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Nymphaea, Hydrilla, Vallisineria spp., Utricularia spp.</w:t>
            </w:r>
          </w:p>
        </w:tc>
        <w:tc>
          <w:tcPr>
            <w:tcW w:w="1985" w:type="dxa"/>
          </w:tcPr>
          <w:p w14:paraId="70E2574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Den Hartog &amp; van der Velde 1988; Boutin &amp; Keddy 1993; Brock 1994, Cassanova 2011</w:t>
            </w:r>
          </w:p>
        </w:tc>
      </w:tr>
      <w:tr w:rsidR="003D3694" w:rsidRPr="00747E35" w14:paraId="251C404E" w14:textId="77777777" w:rsidTr="0096743A">
        <w:tc>
          <w:tcPr>
            <w:tcW w:w="392" w:type="dxa"/>
          </w:tcPr>
          <w:p w14:paraId="24947395" w14:textId="77777777" w:rsidR="003D3694" w:rsidRPr="00747E35" w:rsidRDefault="003D3694" w:rsidP="0096743A">
            <w:pPr>
              <w:spacing w:after="0"/>
              <w:rPr>
                <w:rFonts w:asciiTheme="minorHAnsi" w:hAnsiTheme="minorHAnsi" w:cstheme="minorHAnsi"/>
                <w:sz w:val="18"/>
                <w:vertAlign w:val="superscript"/>
              </w:rPr>
            </w:pPr>
            <w:r w:rsidRPr="00747E35">
              <w:rPr>
                <w:rFonts w:asciiTheme="minorHAnsi" w:hAnsiTheme="minorHAnsi" w:cstheme="minorHAnsi"/>
                <w:sz w:val="18"/>
              </w:rPr>
              <w:t>2</w:t>
            </w:r>
          </w:p>
        </w:tc>
        <w:tc>
          <w:tcPr>
            <w:tcW w:w="1701" w:type="dxa"/>
          </w:tcPr>
          <w:p w14:paraId="6E22D053" w14:textId="77777777" w:rsidR="003D3694" w:rsidRPr="00747E35" w:rsidRDefault="003D3694" w:rsidP="0096743A">
            <w:pPr>
              <w:spacing w:after="0"/>
              <w:rPr>
                <w:rFonts w:asciiTheme="minorHAnsi" w:hAnsiTheme="minorHAnsi" w:cstheme="minorHAnsi"/>
                <w:sz w:val="18"/>
                <w:vertAlign w:val="superscript"/>
              </w:rPr>
            </w:pPr>
            <w:r w:rsidRPr="00747E35">
              <w:rPr>
                <w:rFonts w:asciiTheme="minorHAnsi" w:hAnsiTheme="minorHAnsi" w:cstheme="minorHAnsi"/>
                <w:sz w:val="18"/>
              </w:rPr>
              <w:t>Helophyte</w:t>
            </w:r>
            <w:r w:rsidRPr="00747E35">
              <w:rPr>
                <w:rFonts w:asciiTheme="minorHAnsi" w:hAnsiTheme="minorHAnsi" w:cstheme="minorHAnsi"/>
                <w:sz w:val="18"/>
                <w:vertAlign w:val="superscript"/>
              </w:rPr>
              <w:t>2, 3</w:t>
            </w:r>
          </w:p>
        </w:tc>
        <w:tc>
          <w:tcPr>
            <w:tcW w:w="3969" w:type="dxa"/>
          </w:tcPr>
          <w:p w14:paraId="489EFF0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Aquatic, semi-aquatic emergent plants. Transition between aquatic and terrestrial areas. Graminoid, or perennial herbs spreading roots or rhizomes, aerenchyma cells. Tolerant of seasonal drying of surface water as long the water table is not below the rooting zone for an extended period</w:t>
            </w:r>
          </w:p>
        </w:tc>
        <w:tc>
          <w:tcPr>
            <w:tcW w:w="2693" w:type="dxa"/>
          </w:tcPr>
          <w:p w14:paraId="16A9B72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Drought avoider or drought tolerator and many die back to rhizomes or dormant seed during dry periods. Groundwater range 0-1m.</w:t>
            </w:r>
          </w:p>
        </w:tc>
        <w:tc>
          <w:tcPr>
            <w:tcW w:w="1981" w:type="dxa"/>
          </w:tcPr>
          <w:p w14:paraId="07E3712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Perennial palustrine, lacustrine wetlands, streams, floodplains, desert oasis, mound springs</w:t>
            </w:r>
          </w:p>
        </w:tc>
        <w:tc>
          <w:tcPr>
            <w:tcW w:w="1988" w:type="dxa"/>
          </w:tcPr>
          <w:p w14:paraId="3B791B9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Phragmites australis, Enchinochloa polystachya, Eleocharis spp., Cyperus spp., Juncus spp., Scirpus spp.</w:t>
            </w:r>
          </w:p>
        </w:tc>
        <w:tc>
          <w:tcPr>
            <w:tcW w:w="1985" w:type="dxa"/>
          </w:tcPr>
          <w:p w14:paraId="3025618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Pieadade et al. 1991, Boutin &amp; Keddy 1993, Brock 1994, Vonlanthen et al. 2011, Bruelheide et al. 2010.</w:t>
            </w:r>
          </w:p>
        </w:tc>
      </w:tr>
      <w:tr w:rsidR="003D3694" w:rsidRPr="00747E35" w14:paraId="01F4C807" w14:textId="77777777" w:rsidTr="0096743A">
        <w:tc>
          <w:tcPr>
            <w:tcW w:w="392" w:type="dxa"/>
          </w:tcPr>
          <w:p w14:paraId="47DBC142" w14:textId="77777777" w:rsidR="003D3694" w:rsidRPr="00747E35" w:rsidRDefault="003D3694" w:rsidP="0096743A">
            <w:pPr>
              <w:spacing w:after="0"/>
              <w:rPr>
                <w:rFonts w:asciiTheme="minorHAnsi" w:hAnsiTheme="minorHAnsi" w:cstheme="minorHAnsi"/>
                <w:sz w:val="18"/>
                <w:vertAlign w:val="superscript"/>
              </w:rPr>
            </w:pPr>
            <w:r w:rsidRPr="00747E35">
              <w:rPr>
                <w:rFonts w:asciiTheme="minorHAnsi" w:hAnsiTheme="minorHAnsi" w:cstheme="minorHAnsi"/>
                <w:sz w:val="18"/>
              </w:rPr>
              <w:t>3</w:t>
            </w:r>
          </w:p>
        </w:tc>
        <w:tc>
          <w:tcPr>
            <w:tcW w:w="1701" w:type="dxa"/>
          </w:tcPr>
          <w:p w14:paraId="5491E169" w14:textId="77777777" w:rsidR="003D3694" w:rsidRPr="00747E35" w:rsidRDefault="003D3694" w:rsidP="0096743A">
            <w:pPr>
              <w:spacing w:after="0"/>
              <w:rPr>
                <w:rFonts w:asciiTheme="minorHAnsi" w:hAnsiTheme="minorHAnsi" w:cstheme="minorHAnsi"/>
                <w:sz w:val="18"/>
                <w:vertAlign w:val="superscript"/>
              </w:rPr>
            </w:pPr>
            <w:r w:rsidRPr="00747E35">
              <w:rPr>
                <w:rFonts w:asciiTheme="minorHAnsi" w:hAnsiTheme="minorHAnsi" w:cstheme="minorHAnsi"/>
                <w:sz w:val="18"/>
              </w:rPr>
              <w:t>Mesophyte</w:t>
            </w:r>
            <w:r w:rsidRPr="00747E35">
              <w:rPr>
                <w:rFonts w:asciiTheme="minorHAnsi" w:hAnsiTheme="minorHAnsi" w:cstheme="minorHAnsi"/>
                <w:sz w:val="18"/>
                <w:vertAlign w:val="superscript"/>
              </w:rPr>
              <w:t>2,3</w:t>
            </w:r>
          </w:p>
        </w:tc>
        <w:tc>
          <w:tcPr>
            <w:tcW w:w="3969" w:type="dxa"/>
          </w:tcPr>
          <w:p w14:paraId="7B814A3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Usually trees and shrubs that are flooding tolerant, aerenchyma, adventitious roots and shallow roots. Able to survive on soil moisture only if water table is inaccessible during dry periods but can also tolerate periods of inundation and waterlogged soils. Development of arenchyma cells in roots, large xylem.</w:t>
            </w:r>
          </w:p>
        </w:tc>
        <w:tc>
          <w:tcPr>
            <w:tcW w:w="2693" w:type="dxa"/>
          </w:tcPr>
          <w:p w14:paraId="2A090E5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Drought avoider via high water use. Groundwater range 0-5m</w:t>
            </w:r>
          </w:p>
        </w:tc>
        <w:tc>
          <w:tcPr>
            <w:tcW w:w="1981" w:type="dxa"/>
          </w:tcPr>
          <w:p w14:paraId="38785B9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Riparian, wetlands, floodplains, desert oasis.</w:t>
            </w:r>
          </w:p>
        </w:tc>
        <w:tc>
          <w:tcPr>
            <w:tcW w:w="1988" w:type="dxa"/>
          </w:tcPr>
          <w:p w14:paraId="7C5EF2A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Prosopis spp., Tamarix ramossina, Populus euphratica, Melaleuca spp., Eucaluptus camaldulensis</w:t>
            </w:r>
          </w:p>
        </w:tc>
        <w:tc>
          <w:tcPr>
            <w:tcW w:w="1985" w:type="dxa"/>
          </w:tcPr>
          <w:p w14:paraId="61906E2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Stromberg et al. 1996, Stromberg &amp; Merritt 2015; Vonlanthen et al. 2011, Bruelheide et al. 2010, Lamontagne et al. 2005</w:t>
            </w:r>
          </w:p>
          <w:p w14:paraId="7CDE9486" w14:textId="77777777" w:rsidR="003D3694" w:rsidRPr="00747E35" w:rsidRDefault="003D3694" w:rsidP="0096743A">
            <w:pPr>
              <w:spacing w:after="0"/>
              <w:rPr>
                <w:rFonts w:asciiTheme="minorHAnsi" w:hAnsiTheme="minorHAnsi" w:cstheme="minorHAnsi"/>
                <w:sz w:val="18"/>
              </w:rPr>
            </w:pPr>
          </w:p>
        </w:tc>
      </w:tr>
      <w:tr w:rsidR="003D3694" w:rsidRPr="00747E35" w14:paraId="0705881E" w14:textId="77777777" w:rsidTr="0096743A">
        <w:tc>
          <w:tcPr>
            <w:tcW w:w="392" w:type="dxa"/>
          </w:tcPr>
          <w:p w14:paraId="26AA650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4</w:t>
            </w:r>
          </w:p>
        </w:tc>
        <w:tc>
          <w:tcPr>
            <w:tcW w:w="1701" w:type="dxa"/>
          </w:tcPr>
          <w:p w14:paraId="71F25EA9" w14:textId="77777777" w:rsidR="003D3694" w:rsidRPr="00747E35" w:rsidRDefault="003D3694" w:rsidP="0096743A">
            <w:pPr>
              <w:spacing w:after="0"/>
              <w:rPr>
                <w:rFonts w:asciiTheme="minorHAnsi" w:hAnsiTheme="minorHAnsi" w:cstheme="minorHAnsi"/>
                <w:sz w:val="18"/>
                <w:vertAlign w:val="superscript"/>
              </w:rPr>
            </w:pPr>
            <w:r w:rsidRPr="00747E35">
              <w:rPr>
                <w:rFonts w:asciiTheme="minorHAnsi" w:hAnsiTheme="minorHAnsi" w:cstheme="minorHAnsi"/>
                <w:sz w:val="18"/>
              </w:rPr>
              <w:t>Semi-mesophyte</w:t>
            </w:r>
            <w:r w:rsidRPr="00747E35">
              <w:rPr>
                <w:rFonts w:asciiTheme="minorHAnsi" w:hAnsiTheme="minorHAnsi" w:cstheme="minorHAnsi"/>
                <w:sz w:val="18"/>
                <w:vertAlign w:val="superscript"/>
              </w:rPr>
              <w:t>3</w:t>
            </w:r>
          </w:p>
        </w:tc>
        <w:tc>
          <w:tcPr>
            <w:tcW w:w="3969" w:type="dxa"/>
          </w:tcPr>
          <w:p w14:paraId="7A26752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Drought tolerant, some waterlogging tolerance, dimorphic roots, trees and shrubs. Able to access groundwater from the capillary fringe but can access soil water when available and possesses physiological mechanisms to cope with drought. High to moderate productivity.</w:t>
            </w:r>
          </w:p>
        </w:tc>
        <w:tc>
          <w:tcPr>
            <w:tcW w:w="2693" w:type="dxa"/>
          </w:tcPr>
          <w:p w14:paraId="306A1BE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Drought avoider accessing soil water. Groundwater range 2-10m</w:t>
            </w:r>
          </w:p>
        </w:tc>
        <w:tc>
          <w:tcPr>
            <w:tcW w:w="1981" w:type="dxa"/>
          </w:tcPr>
          <w:p w14:paraId="71BC938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 xml:space="preserve">Riparian, floodplain, woodlands, savanna, sedimentary plains </w:t>
            </w:r>
          </w:p>
        </w:tc>
        <w:tc>
          <w:tcPr>
            <w:tcW w:w="1988" w:type="dxa"/>
          </w:tcPr>
          <w:p w14:paraId="6A74877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Banksia spp., Quercus sp Acer negundo, Eucalyptus largeflorens</w:t>
            </w:r>
          </w:p>
        </w:tc>
        <w:tc>
          <w:tcPr>
            <w:tcW w:w="1985" w:type="dxa"/>
          </w:tcPr>
          <w:p w14:paraId="137EEAE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Sommer &amp; Froend 2010, Zencich et al 2002; David et al. 2013, Pinto et al. 2014, Lamontagne et al. 2005.</w:t>
            </w:r>
          </w:p>
        </w:tc>
      </w:tr>
      <w:tr w:rsidR="003D3694" w:rsidRPr="00747E35" w14:paraId="3E98BDEA" w14:textId="77777777" w:rsidTr="0096743A">
        <w:tc>
          <w:tcPr>
            <w:tcW w:w="392" w:type="dxa"/>
          </w:tcPr>
          <w:p w14:paraId="7A439A3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5</w:t>
            </w:r>
          </w:p>
        </w:tc>
        <w:tc>
          <w:tcPr>
            <w:tcW w:w="1701" w:type="dxa"/>
          </w:tcPr>
          <w:p w14:paraId="0E8066CF" w14:textId="77777777" w:rsidR="003D3694" w:rsidRPr="00747E35" w:rsidRDefault="003D3694" w:rsidP="0096743A">
            <w:pPr>
              <w:spacing w:after="0"/>
              <w:rPr>
                <w:rFonts w:asciiTheme="minorHAnsi" w:hAnsiTheme="minorHAnsi" w:cstheme="minorHAnsi"/>
                <w:sz w:val="18"/>
                <w:vertAlign w:val="superscript"/>
              </w:rPr>
            </w:pPr>
            <w:r w:rsidRPr="00747E35">
              <w:rPr>
                <w:rFonts w:asciiTheme="minorHAnsi" w:hAnsiTheme="minorHAnsi" w:cstheme="minorHAnsi"/>
                <w:sz w:val="18"/>
              </w:rPr>
              <w:t>Semi-xerophytes</w:t>
            </w:r>
            <w:r w:rsidRPr="00747E35">
              <w:rPr>
                <w:rFonts w:asciiTheme="minorHAnsi" w:hAnsiTheme="minorHAnsi" w:cstheme="minorHAnsi"/>
                <w:sz w:val="18"/>
                <w:vertAlign w:val="superscript"/>
              </w:rPr>
              <w:t>3</w:t>
            </w:r>
          </w:p>
        </w:tc>
        <w:tc>
          <w:tcPr>
            <w:tcW w:w="3969" w:type="dxa"/>
          </w:tcPr>
          <w:p w14:paraId="6EF4CE7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Sclerophyll, drought tolerant dimorphic roots, possesses physiological mechanisms to cope with drought.  Can access deeper groundwater via sinker roots. Moderate productivity.</w:t>
            </w:r>
          </w:p>
        </w:tc>
        <w:tc>
          <w:tcPr>
            <w:tcW w:w="2693" w:type="dxa"/>
          </w:tcPr>
          <w:p w14:paraId="40A19F1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Drought tolerator, physiological shutdown in dry conditions, under certain conditions will access groundwater. Groundwater range 5-30m</w:t>
            </w:r>
          </w:p>
        </w:tc>
        <w:tc>
          <w:tcPr>
            <w:tcW w:w="1981" w:type="dxa"/>
          </w:tcPr>
          <w:p w14:paraId="1360487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 xml:space="preserve">Woodlands, floodplain, coastal sand dunes, savanna plains. </w:t>
            </w:r>
          </w:p>
        </w:tc>
        <w:tc>
          <w:tcPr>
            <w:tcW w:w="1988" w:type="dxa"/>
          </w:tcPr>
          <w:p w14:paraId="6FC999C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Eucalyptus vitrix on semi-arid floodplain, Tamarix aphylla, Banksia attenuata, Prosopis veluntina</w:t>
            </w:r>
          </w:p>
        </w:tc>
        <w:tc>
          <w:tcPr>
            <w:tcW w:w="1985" w:type="dxa"/>
          </w:tcPr>
          <w:p w14:paraId="241E6F1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 xml:space="preserve">Synder &amp; Williams 2000 Lite &amp; Stromberg 2005 Vonlanthen et al. 2011, Pfautsch et al 2015; </w:t>
            </w:r>
          </w:p>
        </w:tc>
      </w:tr>
      <w:tr w:rsidR="003D3694" w:rsidRPr="00747E35" w14:paraId="7D831C20" w14:textId="77777777" w:rsidTr="0096743A">
        <w:tc>
          <w:tcPr>
            <w:tcW w:w="392" w:type="dxa"/>
          </w:tcPr>
          <w:p w14:paraId="04BA9DD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6</w:t>
            </w:r>
          </w:p>
        </w:tc>
        <w:tc>
          <w:tcPr>
            <w:tcW w:w="1701" w:type="dxa"/>
          </w:tcPr>
          <w:p w14:paraId="06450C4F" w14:textId="77777777" w:rsidR="003D3694" w:rsidRPr="00747E35" w:rsidRDefault="003D3694" w:rsidP="0096743A">
            <w:pPr>
              <w:spacing w:after="0"/>
              <w:rPr>
                <w:rFonts w:asciiTheme="minorHAnsi" w:hAnsiTheme="minorHAnsi" w:cstheme="minorHAnsi"/>
                <w:sz w:val="18"/>
                <w:vertAlign w:val="superscript"/>
              </w:rPr>
            </w:pPr>
            <w:r w:rsidRPr="00747E35">
              <w:rPr>
                <w:rFonts w:asciiTheme="minorHAnsi" w:hAnsiTheme="minorHAnsi" w:cstheme="minorHAnsi"/>
                <w:sz w:val="18"/>
              </w:rPr>
              <w:t>Xerophytes</w:t>
            </w:r>
          </w:p>
        </w:tc>
        <w:tc>
          <w:tcPr>
            <w:tcW w:w="3969" w:type="dxa"/>
          </w:tcPr>
          <w:p w14:paraId="21F5DAB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Trees and shrubs, spreading root system, sclerophyll leaves and reduced leaves, small diameter xylem, low productivity.</w:t>
            </w:r>
          </w:p>
        </w:tc>
        <w:tc>
          <w:tcPr>
            <w:tcW w:w="2693" w:type="dxa"/>
          </w:tcPr>
          <w:p w14:paraId="6FD451C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Drought tolerator, physiological shutdown under dry conditions. Soil water dependent. Groundwater range 2- &gt;30m</w:t>
            </w:r>
          </w:p>
        </w:tc>
        <w:tc>
          <w:tcPr>
            <w:tcW w:w="1981" w:type="dxa"/>
          </w:tcPr>
          <w:p w14:paraId="3F5335E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Upslope, terrestrial environments.</w:t>
            </w:r>
          </w:p>
        </w:tc>
        <w:tc>
          <w:tcPr>
            <w:tcW w:w="1988" w:type="dxa"/>
          </w:tcPr>
          <w:p w14:paraId="7648F37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Quercus turbinella, Carnegiea gigantea, Acacia anuera</w:t>
            </w:r>
          </w:p>
        </w:tc>
        <w:tc>
          <w:tcPr>
            <w:tcW w:w="1985" w:type="dxa"/>
          </w:tcPr>
          <w:p w14:paraId="67B09CF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 xml:space="preserve">Neilson &amp; Wullstien 1985, Barcikowski &amp; Nobel 1984, Pressland 1973, </w:t>
            </w:r>
          </w:p>
        </w:tc>
      </w:tr>
    </w:tbl>
    <w:p w14:paraId="29DAFAC0" w14:textId="0981A32E" w:rsidR="003D3694" w:rsidRPr="00747E35" w:rsidRDefault="003D3694" w:rsidP="003D3694">
      <w:pPr>
        <w:spacing w:after="0"/>
        <w:rPr>
          <w:rFonts w:asciiTheme="minorHAnsi" w:hAnsiTheme="minorHAnsi" w:cstheme="minorHAnsi"/>
          <w:sz w:val="20"/>
          <w:szCs w:val="20"/>
        </w:rPr>
      </w:pPr>
      <w:r w:rsidRPr="00747E35">
        <w:rPr>
          <w:rFonts w:asciiTheme="minorHAnsi" w:hAnsiTheme="minorHAnsi" w:cstheme="minorHAnsi"/>
          <w:sz w:val="20"/>
          <w:szCs w:val="20"/>
          <w:vertAlign w:val="superscript"/>
        </w:rPr>
        <w:t>1</w:t>
      </w:r>
      <w:r w:rsidRPr="00747E35">
        <w:rPr>
          <w:rFonts w:asciiTheme="minorHAnsi" w:hAnsiTheme="minorHAnsi" w:cstheme="minorHAnsi"/>
          <w:sz w:val="20"/>
          <w:szCs w:val="20"/>
        </w:rPr>
        <w:t>The functional traits that distinguish different plant hydrotypes relating to physiology, morphology and ecology (</w:t>
      </w:r>
      <w:r w:rsidRPr="00747E35">
        <w:rPr>
          <w:rFonts w:asciiTheme="minorHAnsi" w:hAnsiTheme="minorHAnsi" w:cstheme="minorHAnsi"/>
          <w:sz w:val="20"/>
          <w:szCs w:val="20"/>
        </w:rPr>
        <w:fldChar w:fldCharType="begin"/>
      </w:r>
      <w:r w:rsidRPr="00747E35">
        <w:rPr>
          <w:rFonts w:asciiTheme="minorHAnsi" w:hAnsiTheme="minorHAnsi" w:cstheme="minorHAnsi"/>
          <w:sz w:val="20"/>
          <w:szCs w:val="20"/>
        </w:rPr>
        <w:instrText xml:space="preserve"> REF _Ref467054031 \h </w:instrText>
      </w:r>
      <w:r w:rsidR="00925BFC" w:rsidRPr="00747E35">
        <w:rPr>
          <w:rFonts w:asciiTheme="minorHAnsi" w:hAnsiTheme="minorHAnsi" w:cstheme="minorHAnsi"/>
          <w:sz w:val="20"/>
          <w:szCs w:val="20"/>
        </w:rPr>
        <w:instrText xml:space="preserve"> \* MERGEFORMAT </w:instrText>
      </w:r>
      <w:r w:rsidRPr="00747E35">
        <w:rPr>
          <w:rFonts w:asciiTheme="minorHAnsi" w:hAnsiTheme="minorHAnsi" w:cstheme="minorHAnsi"/>
          <w:sz w:val="20"/>
          <w:szCs w:val="20"/>
        </w:rPr>
      </w:r>
      <w:r w:rsidRPr="00747E35">
        <w:rPr>
          <w:rFonts w:asciiTheme="minorHAnsi" w:hAnsiTheme="minorHAnsi" w:cstheme="minorHAnsi"/>
          <w:sz w:val="20"/>
          <w:szCs w:val="20"/>
        </w:rPr>
        <w:fldChar w:fldCharType="separate"/>
      </w:r>
      <w:r w:rsidR="00D023DD" w:rsidRPr="00747E35">
        <w:rPr>
          <w:rFonts w:asciiTheme="minorHAnsi" w:hAnsiTheme="minorHAnsi" w:cstheme="minorHAnsi"/>
          <w:i/>
          <w:color w:val="5B9BD5" w:themeColor="accent1"/>
          <w:sz w:val="20"/>
          <w:szCs w:val="20"/>
        </w:rPr>
        <w:t xml:space="preserve">Figure </w:t>
      </w:r>
      <w:r w:rsidR="00D023DD">
        <w:rPr>
          <w:rFonts w:asciiTheme="minorHAnsi" w:hAnsiTheme="minorHAnsi" w:cstheme="minorHAnsi"/>
          <w:i/>
          <w:noProof/>
          <w:color w:val="5B9BD5" w:themeColor="accent1"/>
          <w:sz w:val="20"/>
          <w:szCs w:val="20"/>
        </w:rPr>
        <w:t>8</w:t>
      </w:r>
      <w:r w:rsidRPr="00747E35">
        <w:rPr>
          <w:rFonts w:asciiTheme="minorHAnsi" w:hAnsiTheme="minorHAnsi" w:cstheme="minorHAnsi"/>
          <w:sz w:val="20"/>
          <w:szCs w:val="20"/>
        </w:rPr>
        <w:fldChar w:fldCharType="end"/>
      </w:r>
      <w:r w:rsidRPr="00747E35">
        <w:rPr>
          <w:rFonts w:asciiTheme="minorHAnsi" w:hAnsiTheme="minorHAnsi" w:cstheme="minorHAnsi"/>
          <w:sz w:val="20"/>
          <w:szCs w:val="20"/>
        </w:rPr>
        <w:t xml:space="preserve">, </w:t>
      </w:r>
      <w:r w:rsidRPr="00747E35">
        <w:rPr>
          <w:rFonts w:asciiTheme="minorHAnsi" w:hAnsiTheme="minorHAnsi" w:cstheme="minorHAnsi"/>
          <w:sz w:val="20"/>
          <w:szCs w:val="20"/>
        </w:rPr>
        <w:fldChar w:fldCharType="begin"/>
      </w:r>
      <w:r w:rsidRPr="00747E35">
        <w:rPr>
          <w:rFonts w:asciiTheme="minorHAnsi" w:hAnsiTheme="minorHAnsi" w:cstheme="minorHAnsi"/>
          <w:sz w:val="20"/>
          <w:szCs w:val="20"/>
        </w:rPr>
        <w:instrText xml:space="preserve"> REF _Ref466188347 \h </w:instrText>
      </w:r>
      <w:r w:rsidR="00925BFC" w:rsidRPr="00747E35">
        <w:rPr>
          <w:rFonts w:asciiTheme="minorHAnsi" w:hAnsiTheme="minorHAnsi" w:cstheme="minorHAnsi"/>
          <w:sz w:val="20"/>
          <w:szCs w:val="20"/>
        </w:rPr>
        <w:instrText xml:space="preserve"> \* MERGEFORMAT </w:instrText>
      </w:r>
      <w:r w:rsidRPr="00747E35">
        <w:rPr>
          <w:rFonts w:asciiTheme="minorHAnsi" w:hAnsiTheme="minorHAnsi" w:cstheme="minorHAnsi"/>
          <w:sz w:val="20"/>
          <w:szCs w:val="20"/>
        </w:rPr>
      </w:r>
      <w:r w:rsidRPr="00747E35">
        <w:rPr>
          <w:rFonts w:asciiTheme="minorHAnsi" w:hAnsiTheme="minorHAnsi" w:cstheme="minorHAnsi"/>
          <w:sz w:val="20"/>
          <w:szCs w:val="20"/>
        </w:rPr>
        <w:fldChar w:fldCharType="separate"/>
      </w:r>
      <w:r w:rsidR="00D023DD" w:rsidRPr="00747E35">
        <w:rPr>
          <w:rFonts w:asciiTheme="minorHAnsi" w:hAnsiTheme="minorHAnsi" w:cstheme="minorHAnsi"/>
          <w:i/>
          <w:color w:val="5B9BD5" w:themeColor="accent1"/>
          <w:sz w:val="20"/>
          <w:szCs w:val="20"/>
        </w:rPr>
        <w:t xml:space="preserve">Table </w:t>
      </w:r>
      <w:r w:rsidR="00D023DD">
        <w:rPr>
          <w:rFonts w:asciiTheme="minorHAnsi" w:hAnsiTheme="minorHAnsi" w:cstheme="minorHAnsi"/>
          <w:i/>
          <w:noProof/>
          <w:color w:val="5B9BD5" w:themeColor="accent1"/>
          <w:sz w:val="20"/>
          <w:szCs w:val="20"/>
        </w:rPr>
        <w:t>4</w:t>
      </w:r>
      <w:r w:rsidRPr="00747E35">
        <w:rPr>
          <w:rFonts w:asciiTheme="minorHAnsi" w:hAnsiTheme="minorHAnsi" w:cstheme="minorHAnsi"/>
          <w:sz w:val="20"/>
          <w:szCs w:val="20"/>
        </w:rPr>
        <w:fldChar w:fldCharType="end"/>
      </w:r>
      <w:r w:rsidRPr="00747E35">
        <w:rPr>
          <w:rFonts w:asciiTheme="minorHAnsi" w:hAnsiTheme="minorHAnsi" w:cstheme="minorHAnsi"/>
          <w:sz w:val="20"/>
          <w:szCs w:val="20"/>
        </w:rPr>
        <w:t>). Traits can include: 1. life cycle, 2. root system, 3. cell development, 4. productivity, 5. leaf morphology, and 6. reproduction.  The various responses of hydrotypes to drought (</w:t>
      </w:r>
      <w:r w:rsidRPr="00747E35">
        <w:rPr>
          <w:rFonts w:asciiTheme="minorHAnsi" w:hAnsiTheme="minorHAnsi" w:cstheme="minorHAnsi"/>
          <w:sz w:val="20"/>
          <w:szCs w:val="20"/>
        </w:rPr>
        <w:fldChar w:fldCharType="begin"/>
      </w:r>
      <w:r w:rsidRPr="00747E35">
        <w:rPr>
          <w:rFonts w:asciiTheme="minorHAnsi" w:hAnsiTheme="minorHAnsi" w:cstheme="minorHAnsi"/>
          <w:sz w:val="20"/>
          <w:szCs w:val="20"/>
        </w:rPr>
        <w:instrText xml:space="preserve"> REF _Ref466188347 \h </w:instrText>
      </w:r>
      <w:r w:rsidR="00925BFC" w:rsidRPr="00747E35">
        <w:rPr>
          <w:rFonts w:asciiTheme="minorHAnsi" w:hAnsiTheme="minorHAnsi" w:cstheme="minorHAnsi"/>
          <w:sz w:val="20"/>
          <w:szCs w:val="20"/>
        </w:rPr>
        <w:instrText xml:space="preserve"> \* MERGEFORMAT </w:instrText>
      </w:r>
      <w:r w:rsidRPr="00747E35">
        <w:rPr>
          <w:rFonts w:asciiTheme="minorHAnsi" w:hAnsiTheme="minorHAnsi" w:cstheme="minorHAnsi"/>
          <w:sz w:val="20"/>
          <w:szCs w:val="20"/>
        </w:rPr>
      </w:r>
      <w:r w:rsidRPr="00747E35">
        <w:rPr>
          <w:rFonts w:asciiTheme="minorHAnsi" w:hAnsiTheme="minorHAnsi" w:cstheme="minorHAnsi"/>
          <w:sz w:val="20"/>
          <w:szCs w:val="20"/>
        </w:rPr>
        <w:fldChar w:fldCharType="separate"/>
      </w:r>
      <w:r w:rsidR="00D023DD" w:rsidRPr="00747E35">
        <w:rPr>
          <w:rFonts w:asciiTheme="minorHAnsi" w:hAnsiTheme="minorHAnsi" w:cstheme="minorHAnsi"/>
          <w:i/>
          <w:color w:val="5B9BD5" w:themeColor="accent1"/>
          <w:sz w:val="20"/>
          <w:szCs w:val="20"/>
        </w:rPr>
        <w:t xml:space="preserve">Table </w:t>
      </w:r>
      <w:r w:rsidR="00D023DD">
        <w:rPr>
          <w:rFonts w:asciiTheme="minorHAnsi" w:hAnsiTheme="minorHAnsi" w:cstheme="minorHAnsi"/>
          <w:i/>
          <w:noProof/>
          <w:color w:val="5B9BD5" w:themeColor="accent1"/>
          <w:sz w:val="20"/>
          <w:szCs w:val="20"/>
        </w:rPr>
        <w:t>4</w:t>
      </w:r>
      <w:r w:rsidRPr="00747E35">
        <w:rPr>
          <w:rFonts w:asciiTheme="minorHAnsi" w:hAnsiTheme="minorHAnsi" w:cstheme="minorHAnsi"/>
          <w:sz w:val="20"/>
          <w:szCs w:val="20"/>
        </w:rPr>
        <w:fldChar w:fldCharType="end"/>
      </w:r>
      <w:r w:rsidRPr="00747E35">
        <w:rPr>
          <w:rFonts w:asciiTheme="minorHAnsi" w:hAnsiTheme="minorHAnsi" w:cstheme="minorHAnsi"/>
          <w:sz w:val="20"/>
          <w:szCs w:val="20"/>
        </w:rPr>
        <w:t>) include: 1. drought avoider (water saving, spending), 2. drought tolerator (avoider by accessing groundwater, or tolerator by shutting down), semi-aquatic emergents includes species described as ‘matrix and interstitial’ by Boutin &amp; Keddy (1993).</w:t>
      </w:r>
    </w:p>
    <w:p w14:paraId="50D26CCB" w14:textId="77777777" w:rsidR="003D3694" w:rsidRPr="00747E35" w:rsidRDefault="003D3694" w:rsidP="003D3694">
      <w:pPr>
        <w:spacing w:after="0"/>
        <w:rPr>
          <w:rFonts w:asciiTheme="minorHAnsi" w:hAnsiTheme="minorHAnsi" w:cstheme="minorHAnsi"/>
          <w:sz w:val="20"/>
          <w:szCs w:val="20"/>
        </w:rPr>
      </w:pPr>
      <w:r w:rsidRPr="00747E35">
        <w:rPr>
          <w:rFonts w:asciiTheme="minorHAnsi" w:hAnsiTheme="minorHAnsi" w:cstheme="minorHAnsi"/>
          <w:sz w:val="20"/>
          <w:szCs w:val="20"/>
          <w:vertAlign w:val="superscript"/>
        </w:rPr>
        <w:t>2</w:t>
      </w:r>
      <w:r w:rsidRPr="00747E35">
        <w:rPr>
          <w:rFonts w:asciiTheme="minorHAnsi" w:hAnsiTheme="minorHAnsi" w:cstheme="minorHAnsi"/>
          <w:sz w:val="20"/>
          <w:szCs w:val="20"/>
        </w:rPr>
        <w:t xml:space="preserve">Groundwater dependent plants. </w:t>
      </w:r>
      <w:r w:rsidRPr="00747E35">
        <w:rPr>
          <w:rFonts w:asciiTheme="minorHAnsi" w:hAnsiTheme="minorHAnsi" w:cstheme="minorHAnsi"/>
          <w:sz w:val="20"/>
          <w:szCs w:val="20"/>
          <w:vertAlign w:val="superscript"/>
        </w:rPr>
        <w:t>3</w:t>
      </w:r>
      <w:r w:rsidRPr="00747E35">
        <w:rPr>
          <w:rFonts w:asciiTheme="minorHAnsi" w:hAnsiTheme="minorHAnsi" w:cstheme="minorHAnsi"/>
          <w:sz w:val="20"/>
          <w:szCs w:val="20"/>
        </w:rPr>
        <w:t>potential phreatophytic plants.</w:t>
      </w:r>
    </w:p>
    <w:p w14:paraId="33A487CE" w14:textId="77777777" w:rsidR="003D3694" w:rsidRPr="00747E35" w:rsidRDefault="003D3694" w:rsidP="003D3694">
      <w:pPr>
        <w:rPr>
          <w:rFonts w:asciiTheme="minorHAnsi" w:hAnsiTheme="minorHAnsi" w:cstheme="minorHAnsi"/>
        </w:rPr>
        <w:sectPr w:rsidR="003D3694" w:rsidRPr="00747E35" w:rsidSect="0096743A">
          <w:pgSz w:w="15840" w:h="12240" w:orient="landscape"/>
          <w:pgMar w:top="720" w:right="720" w:bottom="720" w:left="720" w:header="720" w:footer="720" w:gutter="0"/>
          <w:cols w:space="720"/>
          <w:docGrid w:linePitch="360"/>
        </w:sectPr>
      </w:pPr>
    </w:p>
    <w:p w14:paraId="49FABE6E" w14:textId="5C71B4C1" w:rsidR="003D3694" w:rsidRPr="00747E35" w:rsidRDefault="003D3694" w:rsidP="003D3694">
      <w:pPr>
        <w:rPr>
          <w:rFonts w:asciiTheme="minorHAnsi" w:hAnsiTheme="minorHAnsi" w:cstheme="minorHAnsi"/>
        </w:rPr>
      </w:pPr>
      <w:r w:rsidRPr="00747E35">
        <w:rPr>
          <w:rFonts w:asciiTheme="minorHAnsi" w:hAnsiTheme="minorHAnsi" w:cstheme="minorHAnsi"/>
        </w:rPr>
        <w:lastRenderedPageBreak/>
        <w:t>We have used the general plant life form and life history functional types (Raunkaier 1934, Dansereau 1959, Hutchinson 1975) as well as wetland plant types (Boutin &amp; Keddy 1993, Brock &amp; Cassanova 1997, Keddy 2000) and dryland riparian plant characteristics to develop a typology of hydrotypes with different functional/physiological traits representing adaptions specific to hydrological conditions, and in our case groundwater use (</w:t>
      </w:r>
      <w:r w:rsidRPr="00747E35">
        <w:rPr>
          <w:rFonts w:asciiTheme="minorHAnsi" w:hAnsiTheme="minorHAnsi" w:cstheme="minorHAnsi"/>
        </w:rPr>
        <w:fldChar w:fldCharType="begin"/>
      </w:r>
      <w:r w:rsidRPr="00747E35">
        <w:rPr>
          <w:rFonts w:asciiTheme="minorHAnsi" w:hAnsiTheme="minorHAnsi" w:cstheme="minorHAnsi"/>
        </w:rPr>
        <w:instrText xml:space="preserve"> REF _Ref467054166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9</w:t>
      </w:r>
      <w:r w:rsidRPr="00747E35">
        <w:rPr>
          <w:rFonts w:asciiTheme="minorHAnsi" w:hAnsiTheme="minorHAnsi" w:cstheme="minorHAnsi"/>
        </w:rPr>
        <w:fldChar w:fldCharType="end"/>
      </w:r>
      <w:r w:rsidRPr="00747E35">
        <w:rPr>
          <w:rFonts w:asciiTheme="minorHAnsi" w:hAnsiTheme="minorHAnsi" w:cstheme="minorHAnsi"/>
        </w:rPr>
        <w:t xml:space="preserve"> and </w:t>
      </w:r>
      <w:r w:rsidRPr="00747E35">
        <w:rPr>
          <w:rFonts w:asciiTheme="minorHAnsi" w:hAnsiTheme="minorHAnsi" w:cstheme="minorHAnsi"/>
        </w:rPr>
        <w:fldChar w:fldCharType="begin"/>
      </w:r>
      <w:r w:rsidRPr="00747E35">
        <w:rPr>
          <w:rFonts w:asciiTheme="minorHAnsi" w:hAnsiTheme="minorHAnsi" w:cstheme="minorHAnsi"/>
        </w:rPr>
        <w:instrText xml:space="preserve"> REF _Ref467054174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10</w:t>
      </w:r>
      <w:r w:rsidRPr="00747E35">
        <w:rPr>
          <w:rFonts w:asciiTheme="minorHAnsi" w:hAnsiTheme="minorHAnsi" w:cstheme="minorHAnsi"/>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_Ref466189596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5</w:t>
      </w:r>
      <w:r w:rsidRPr="00747E35">
        <w:rPr>
          <w:rFonts w:asciiTheme="minorHAnsi" w:hAnsiTheme="minorHAnsi" w:cstheme="minorHAnsi"/>
        </w:rPr>
        <w:fldChar w:fldCharType="end"/>
      </w:r>
      <w:r w:rsidRPr="00747E35">
        <w:rPr>
          <w:rFonts w:asciiTheme="minorHAnsi" w:hAnsiTheme="minorHAnsi" w:cstheme="minorHAnsi"/>
        </w:rPr>
        <w:t>).  Our typology comprises six functional types that reflect a gradient of groundwater dependency and includes: aquatic (hydrophytes) and semi-aquatic (helophytes) plants; terrestrial plants that are tolerant of some flooding and waterlogging (mesophytes, semi- mesophytes); dryland plants that are drought avoiders with roots that can access the capillary fringe of the groundwater (semi-xerophytes); and, dryland plants that are drought tolerators that have morphological and physiological features that allow them to survive long periods without water (xerophytes)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_Ref466189596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5</w:t>
      </w:r>
      <w:r w:rsidRPr="00747E35">
        <w:rPr>
          <w:rFonts w:asciiTheme="minorHAnsi" w:hAnsiTheme="minorHAnsi" w:cstheme="minorHAnsi"/>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_Ref467054166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9</w:t>
      </w:r>
      <w:r w:rsidRPr="00747E35">
        <w:rPr>
          <w:rFonts w:asciiTheme="minorHAnsi" w:hAnsiTheme="minorHAnsi" w:cstheme="minorHAnsi"/>
        </w:rPr>
        <w:fldChar w:fldCharType="end"/>
      </w:r>
      <w:r w:rsidRPr="00747E35">
        <w:rPr>
          <w:rFonts w:asciiTheme="minorHAnsi" w:hAnsiTheme="minorHAnsi" w:cstheme="minorHAnsi"/>
        </w:rPr>
        <w:t>).  These hydrotypes can range from fully aquatic plants in permanently flooded wetlands where the groundwater levels are higher than the land surface for much of the year, to plants adapted to habitats that have only seasonally or episodically available soil water (xerophytes). Functional hydrotypes are likely to experience spatial and temporal variability in frequency of contact with, and extent of use of groundwater, and plasticity in groundwater dependence may also occur between and within species.</w:t>
      </w:r>
    </w:p>
    <w:p w14:paraId="33685E93" w14:textId="04976FD6" w:rsidR="003D3694" w:rsidRPr="00747E35" w:rsidRDefault="003D3694" w:rsidP="003D3694">
      <w:pPr>
        <w:rPr>
          <w:rFonts w:asciiTheme="minorHAnsi" w:hAnsiTheme="minorHAnsi" w:cstheme="minorHAnsi"/>
        </w:rPr>
      </w:pPr>
      <w:r w:rsidRPr="00747E35">
        <w:rPr>
          <w:rFonts w:asciiTheme="minorHAnsi" w:hAnsiTheme="minorHAnsi" w:cstheme="minorHAnsi"/>
        </w:rPr>
        <w:t>The criteria used to define the hydrotypes are broad and intended to provide an indication of the potential for the occurrence of phreatophytes within a plant community (</w:t>
      </w:r>
      <w:r w:rsidRPr="00747E35">
        <w:rPr>
          <w:rFonts w:asciiTheme="minorHAnsi" w:hAnsiTheme="minorHAnsi" w:cstheme="minorHAnsi"/>
        </w:rPr>
        <w:fldChar w:fldCharType="begin"/>
      </w:r>
      <w:r w:rsidRPr="00747E35">
        <w:rPr>
          <w:rFonts w:asciiTheme="minorHAnsi" w:hAnsiTheme="minorHAnsi" w:cstheme="minorHAnsi"/>
        </w:rPr>
        <w:instrText xml:space="preserve"> REF _Ref467054166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9</w:t>
      </w:r>
      <w:r w:rsidRPr="00747E35">
        <w:rPr>
          <w:rFonts w:asciiTheme="minorHAnsi" w:hAnsiTheme="minorHAnsi" w:cstheme="minorHAnsi"/>
        </w:rPr>
        <w:fldChar w:fldCharType="end"/>
      </w:r>
      <w:r w:rsidRPr="00747E35">
        <w:rPr>
          <w:rFonts w:asciiTheme="minorHAnsi" w:hAnsiTheme="minorHAnsi" w:cstheme="minorHAnsi"/>
        </w:rPr>
        <w:t xml:space="preserve">). Criteria used for identifying hydrotypes included life history (annual or perennial), life form (woody or herbaceous), landscape position (aquatic, littoral, terrestrial), depth to groundwater and drought adaptation (drought avoider or drought tolerator) (see </w:t>
      </w:r>
      <w:r w:rsidRPr="00747E35">
        <w:rPr>
          <w:rFonts w:asciiTheme="minorHAnsi" w:hAnsiTheme="minorHAnsi" w:cstheme="minorHAnsi"/>
        </w:rPr>
        <w:fldChar w:fldCharType="begin"/>
      </w:r>
      <w:r w:rsidRPr="00747E35">
        <w:rPr>
          <w:rFonts w:asciiTheme="minorHAnsi" w:hAnsiTheme="minorHAnsi" w:cstheme="minorHAnsi"/>
        </w:rPr>
        <w:instrText xml:space="preserve"> REF _Ref466189596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5</w:t>
      </w:r>
      <w:r w:rsidRPr="00747E35">
        <w:rPr>
          <w:rFonts w:asciiTheme="minorHAnsi" w:hAnsiTheme="minorHAnsi" w:cstheme="minorHAnsi"/>
        </w:rPr>
        <w:fldChar w:fldCharType="end"/>
      </w:r>
      <w:r w:rsidRPr="00747E35">
        <w:rPr>
          <w:rFonts w:asciiTheme="minorHAnsi" w:hAnsiTheme="minorHAnsi" w:cstheme="minorHAnsi"/>
        </w:rPr>
        <w:t>). Plasticity in ecological adaptations and local conditions (ecotypes) between and within species means that there is likely to be considerable overlap across hydrotypes.  This overlap is particularly likely for transition groups such as semi-mesophytes and semi-xerophytes. Therefore, we have distinguished six general hydrotypes that comprise the following:</w:t>
      </w:r>
    </w:p>
    <w:p w14:paraId="4600F45C" w14:textId="77777777" w:rsidR="003D3694" w:rsidRPr="00747E35" w:rsidRDefault="003D3694" w:rsidP="0083624F">
      <w:pPr>
        <w:numPr>
          <w:ilvl w:val="0"/>
          <w:numId w:val="11"/>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i/>
        </w:rPr>
        <w:t>Hydrophytes</w:t>
      </w:r>
      <w:r w:rsidRPr="00747E35">
        <w:rPr>
          <w:rFonts w:asciiTheme="minorHAnsi" w:eastAsia="Times New Roman" w:hAnsiTheme="minorHAnsi" w:cstheme="minorHAnsi"/>
        </w:rPr>
        <w:t xml:space="preserve"> are aquatic plants that are dependent on some semi-permanent surface water in low-lying areas that are commonly are maintained by surface water and groundwater in varying proportions. These plants occur in the sub-littoral zone with seasonal surface water and therefore tend to be annuals which exist as dormant seeds or spores in sediments or perennials with a perennial storage organ, such as tubers, rhizomes, etc. Hydrophytes can be fully aquatic and submerged (e.g. </w:t>
      </w:r>
      <w:r w:rsidRPr="00747E35">
        <w:rPr>
          <w:rFonts w:asciiTheme="minorHAnsi" w:eastAsia="Times New Roman" w:hAnsiTheme="minorHAnsi" w:cstheme="minorHAnsi"/>
          <w:i/>
        </w:rPr>
        <w:t>Myriophyllum</w:t>
      </w:r>
      <w:r w:rsidRPr="00747E35">
        <w:rPr>
          <w:rFonts w:asciiTheme="minorHAnsi" w:eastAsia="Times New Roman" w:hAnsiTheme="minorHAnsi" w:cstheme="minorHAnsi"/>
        </w:rPr>
        <w:t xml:space="preserve"> spp.), floating</w:t>
      </w:r>
      <w:r w:rsidRPr="00747E35">
        <w:rPr>
          <w:rFonts w:asciiTheme="minorHAnsi" w:eastAsia="Times New Roman" w:hAnsiTheme="minorHAnsi" w:cstheme="minorHAnsi"/>
          <w:i/>
        </w:rPr>
        <w:t xml:space="preserve"> (Azolla</w:t>
      </w:r>
      <w:r w:rsidRPr="00747E35">
        <w:rPr>
          <w:rFonts w:asciiTheme="minorHAnsi" w:eastAsia="Times New Roman" w:hAnsiTheme="minorHAnsi" w:cstheme="minorHAnsi"/>
        </w:rPr>
        <w:t xml:space="preserve"> spp.) or attached with floating leaves (</w:t>
      </w:r>
      <w:r w:rsidRPr="00747E35">
        <w:rPr>
          <w:rFonts w:asciiTheme="minorHAnsi" w:eastAsia="Times New Roman" w:hAnsiTheme="minorHAnsi" w:cstheme="minorHAnsi"/>
          <w:i/>
        </w:rPr>
        <w:t>Nymphaea</w:t>
      </w:r>
      <w:r w:rsidRPr="00747E35">
        <w:rPr>
          <w:rFonts w:asciiTheme="minorHAnsi" w:eastAsia="Times New Roman" w:hAnsiTheme="minorHAnsi" w:cstheme="minorHAnsi"/>
        </w:rPr>
        <w:t xml:space="preserve"> spp.).</w:t>
      </w:r>
    </w:p>
    <w:p w14:paraId="2DAB47C9" w14:textId="77777777" w:rsidR="003D3694" w:rsidRPr="00747E35" w:rsidRDefault="003D3694" w:rsidP="0083624F">
      <w:pPr>
        <w:numPr>
          <w:ilvl w:val="0"/>
          <w:numId w:val="11"/>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i/>
        </w:rPr>
        <w:t>Helophytes</w:t>
      </w:r>
      <w:r w:rsidRPr="00747E35">
        <w:rPr>
          <w:rFonts w:asciiTheme="minorHAnsi" w:eastAsia="Times New Roman" w:hAnsiTheme="minorHAnsi" w:cstheme="minorHAnsi"/>
        </w:rPr>
        <w:t xml:space="preserve"> are plants that dominate the littoral zone boundaries of low-lying wetland areas where surface water is present for some part of the year (den Hartog &amp; van der Velde 1988). These plants are also described as ‘matrix’ species by Boutin and Keddy (1993), capable of vigorous clonal spread. Helophytic plants tolerate a wide range of water depths and periods of inundation. This group can grow in semi-permanent standing water but also can be relatively tolerant of drying soil conditions, as long the water table is not below the rooting zone for an extended period. Graminoids are typical helophytes from the Poaceae (eg. </w:t>
      </w:r>
      <w:r w:rsidRPr="00747E35">
        <w:rPr>
          <w:rFonts w:asciiTheme="minorHAnsi" w:eastAsia="Times New Roman" w:hAnsiTheme="minorHAnsi" w:cstheme="minorHAnsi"/>
          <w:i/>
        </w:rPr>
        <w:t>Phragmites</w:t>
      </w:r>
      <w:r w:rsidRPr="00747E35">
        <w:rPr>
          <w:rFonts w:asciiTheme="minorHAnsi" w:eastAsia="Times New Roman" w:hAnsiTheme="minorHAnsi" w:cstheme="minorHAnsi"/>
        </w:rPr>
        <w:t xml:space="preserve"> spp.) or Cyperaceae (eg. </w:t>
      </w:r>
      <w:r w:rsidRPr="00747E35">
        <w:rPr>
          <w:rFonts w:asciiTheme="minorHAnsi" w:eastAsia="Times New Roman" w:hAnsiTheme="minorHAnsi" w:cstheme="minorHAnsi"/>
          <w:i/>
        </w:rPr>
        <w:t>Cyperus</w:t>
      </w:r>
      <w:r w:rsidRPr="00747E35">
        <w:rPr>
          <w:rFonts w:asciiTheme="minorHAnsi" w:eastAsia="Times New Roman" w:hAnsiTheme="minorHAnsi" w:cstheme="minorHAnsi"/>
        </w:rPr>
        <w:t xml:space="preserve"> spp.) families, possessing rhizomes, stolons or other below-ground perenniating organs.</w:t>
      </w:r>
    </w:p>
    <w:p w14:paraId="1EEDC61C" w14:textId="40AA148C" w:rsidR="003D3694" w:rsidRPr="00747E35" w:rsidRDefault="003D3694" w:rsidP="0083624F">
      <w:pPr>
        <w:numPr>
          <w:ilvl w:val="0"/>
          <w:numId w:val="11"/>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i/>
        </w:rPr>
        <w:t>Mesophytes</w:t>
      </w:r>
      <w:r w:rsidRPr="00747E35">
        <w:rPr>
          <w:rFonts w:asciiTheme="minorHAnsi" w:eastAsia="Times New Roman" w:hAnsiTheme="minorHAnsi" w:cstheme="minorHAnsi"/>
        </w:rPr>
        <w:t xml:space="preserve"> generally occupy littoral and supra-littoral areas and can be phreatophytic. Seasonal drying of soil water for at least some part of the year is offset by accessing shallow water tables. Mesophytes are tolerant of flooded conditions for extended periods and may also require groundwater to be accessible to allow root development under aerated soil conditions. Mesophytes can be phreatophytic wetland trees and shrubs that tolerate flooding and exploit shallow groundwater in the dry part of the year to maintain long periods of growth </w:t>
      </w:r>
      <w:r w:rsidRPr="00747E35">
        <w:rPr>
          <w:rFonts w:asciiTheme="minorHAnsi" w:eastAsia="Times New Roman" w:hAnsiTheme="minorHAnsi" w:cstheme="minorHAnsi"/>
        </w:rPr>
        <w:lastRenderedPageBreak/>
        <w:t>and reproduction. They are typically obligate phreatophytes with shallower maximum rooting depths (</w:t>
      </w:r>
      <w:r w:rsidRPr="00747E35">
        <w:rPr>
          <w:rFonts w:asciiTheme="minorHAnsi" w:eastAsia="Times New Roman" w:hAnsiTheme="minorHAnsi" w:cstheme="minorHAnsi"/>
        </w:rPr>
        <w:fldChar w:fldCharType="begin"/>
      </w:r>
      <w:r w:rsidRPr="00747E35">
        <w:rPr>
          <w:rFonts w:asciiTheme="minorHAnsi" w:eastAsia="Times New Roman" w:hAnsiTheme="minorHAnsi" w:cstheme="minorHAnsi"/>
        </w:rPr>
        <w:instrText xml:space="preserve"> REF _Ref467054166 \h </w:instrText>
      </w:r>
      <w:r w:rsidR="00925BFC" w:rsidRPr="00747E35">
        <w:rPr>
          <w:rFonts w:asciiTheme="minorHAnsi" w:eastAsia="Times New Roman" w:hAnsiTheme="minorHAnsi" w:cstheme="minorHAnsi"/>
        </w:rPr>
        <w:instrText xml:space="preserve"> \* MERGEFORMAT </w:instrText>
      </w:r>
      <w:r w:rsidRPr="00747E35">
        <w:rPr>
          <w:rFonts w:asciiTheme="minorHAnsi" w:eastAsia="Times New Roman" w:hAnsiTheme="minorHAnsi" w:cstheme="minorHAnsi"/>
        </w:rPr>
      </w:r>
      <w:r w:rsidRPr="00747E35">
        <w:rPr>
          <w:rFonts w:asciiTheme="minorHAnsi" w:eastAsia="Times New Roman"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9</w:t>
      </w:r>
      <w:r w:rsidRPr="00747E35">
        <w:rPr>
          <w:rFonts w:asciiTheme="minorHAnsi" w:eastAsia="Times New Roman" w:hAnsiTheme="minorHAnsi" w:cstheme="minorHAnsi"/>
        </w:rPr>
        <w:fldChar w:fldCharType="end"/>
      </w:r>
      <w:r w:rsidRPr="00747E35">
        <w:rPr>
          <w:rFonts w:asciiTheme="minorHAnsi" w:eastAsia="Times New Roman" w:hAnsiTheme="minorHAnsi" w:cstheme="minorHAnsi"/>
        </w:rPr>
        <w:t xml:space="preserve">) and limited physiological capacity to tolerate prolonged drought and disconnection from shallow water tables.  </w:t>
      </w:r>
    </w:p>
    <w:p w14:paraId="22D5DCB7" w14:textId="77777777" w:rsidR="003D3694" w:rsidRPr="00747E35" w:rsidRDefault="003D3694" w:rsidP="0083624F">
      <w:pPr>
        <w:numPr>
          <w:ilvl w:val="0"/>
          <w:numId w:val="11"/>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i/>
        </w:rPr>
        <w:t>Semi-mesophytes</w:t>
      </w:r>
      <w:r w:rsidRPr="00747E35">
        <w:rPr>
          <w:rFonts w:asciiTheme="minorHAnsi" w:eastAsia="Times New Roman" w:hAnsiTheme="minorHAnsi" w:cstheme="minorHAnsi"/>
        </w:rPr>
        <w:t xml:space="preserve"> can be either obligate or facultative phreatophytes that are opportunistic in their use of groundwater. They will develop root systems according to the distribution of water, groundwater depth and soil water stores, and have greater maximum rooting depths than mesophytes. Dimorphic root systems are common in this hydrotype, enabling these plants to access shallow and deep water sources. Some species can also tolerate short periods of inundation and waterlogged soils, and most are more tolerant of drought than mesophytes.</w:t>
      </w:r>
    </w:p>
    <w:p w14:paraId="01812955" w14:textId="70F81AC1" w:rsidR="003D3694" w:rsidRPr="00747E35" w:rsidRDefault="003D3694" w:rsidP="0083624F">
      <w:pPr>
        <w:numPr>
          <w:ilvl w:val="0"/>
          <w:numId w:val="11"/>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i/>
        </w:rPr>
        <w:t>Semi-xerophytes</w:t>
      </w:r>
      <w:r w:rsidRPr="00747E35">
        <w:rPr>
          <w:rFonts w:asciiTheme="minorHAnsi" w:eastAsia="Times New Roman" w:hAnsiTheme="minorHAnsi" w:cstheme="minorHAnsi"/>
        </w:rPr>
        <w:t xml:space="preserve"> occur at the transition between flooding-tolerant and drought-tolerant xerophytes (</w:t>
      </w:r>
      <w:r w:rsidRPr="00747E35">
        <w:rPr>
          <w:rFonts w:asciiTheme="minorHAnsi" w:eastAsia="Times New Roman" w:hAnsiTheme="minorHAnsi" w:cstheme="minorHAnsi"/>
        </w:rPr>
        <w:fldChar w:fldCharType="begin"/>
      </w:r>
      <w:r w:rsidRPr="00747E35">
        <w:rPr>
          <w:rFonts w:asciiTheme="minorHAnsi" w:eastAsia="Times New Roman" w:hAnsiTheme="minorHAnsi" w:cstheme="minorHAnsi"/>
        </w:rPr>
        <w:instrText xml:space="preserve"> REF _Ref466189596 \h </w:instrText>
      </w:r>
      <w:r w:rsidR="00925BFC" w:rsidRPr="00747E35">
        <w:rPr>
          <w:rFonts w:asciiTheme="minorHAnsi" w:eastAsia="Times New Roman" w:hAnsiTheme="minorHAnsi" w:cstheme="minorHAnsi"/>
        </w:rPr>
        <w:instrText xml:space="preserve"> \* MERGEFORMAT </w:instrText>
      </w:r>
      <w:r w:rsidRPr="00747E35">
        <w:rPr>
          <w:rFonts w:asciiTheme="minorHAnsi" w:eastAsia="Times New Roman" w:hAnsiTheme="minorHAnsi" w:cstheme="minorHAnsi"/>
        </w:rPr>
      </w:r>
      <w:r w:rsidRPr="00747E35">
        <w:rPr>
          <w:rFonts w:asciiTheme="minorHAnsi" w:eastAsia="Times New Roman"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5</w:t>
      </w:r>
      <w:r w:rsidRPr="00747E35">
        <w:rPr>
          <w:rFonts w:asciiTheme="minorHAnsi" w:eastAsia="Times New Roman" w:hAnsiTheme="minorHAnsi" w:cstheme="minorHAnsi"/>
        </w:rPr>
        <w:fldChar w:fldCharType="end"/>
      </w:r>
      <w:r w:rsidRPr="00747E35">
        <w:rPr>
          <w:rFonts w:asciiTheme="minorHAnsi" w:eastAsia="Times New Roman" w:hAnsiTheme="minorHAnsi" w:cstheme="minorHAnsi"/>
        </w:rPr>
        <w:t xml:space="preserve">, </w:t>
      </w:r>
      <w:r w:rsidRPr="00747E35">
        <w:rPr>
          <w:rFonts w:asciiTheme="minorHAnsi" w:eastAsia="Times New Roman" w:hAnsiTheme="minorHAnsi" w:cstheme="minorHAnsi"/>
        </w:rPr>
        <w:fldChar w:fldCharType="begin"/>
      </w:r>
      <w:r w:rsidRPr="00747E35">
        <w:rPr>
          <w:rFonts w:asciiTheme="minorHAnsi" w:eastAsia="Times New Roman" w:hAnsiTheme="minorHAnsi" w:cstheme="minorHAnsi"/>
        </w:rPr>
        <w:instrText xml:space="preserve"> REF _Ref467054166 \h </w:instrText>
      </w:r>
      <w:r w:rsidR="00925BFC" w:rsidRPr="00747E35">
        <w:rPr>
          <w:rFonts w:asciiTheme="minorHAnsi" w:eastAsia="Times New Roman" w:hAnsiTheme="minorHAnsi" w:cstheme="minorHAnsi"/>
        </w:rPr>
        <w:instrText xml:space="preserve"> \* MERGEFORMAT </w:instrText>
      </w:r>
      <w:r w:rsidRPr="00747E35">
        <w:rPr>
          <w:rFonts w:asciiTheme="minorHAnsi" w:eastAsia="Times New Roman" w:hAnsiTheme="minorHAnsi" w:cstheme="minorHAnsi"/>
        </w:rPr>
      </w:r>
      <w:r w:rsidRPr="00747E35">
        <w:rPr>
          <w:rFonts w:asciiTheme="minorHAnsi" w:eastAsia="Times New Roman"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9</w:t>
      </w:r>
      <w:r w:rsidRPr="00747E35">
        <w:rPr>
          <w:rFonts w:asciiTheme="minorHAnsi" w:eastAsia="Times New Roman" w:hAnsiTheme="minorHAnsi" w:cstheme="minorHAnsi"/>
        </w:rPr>
        <w:fldChar w:fldCharType="end"/>
      </w:r>
      <w:r w:rsidRPr="00747E35">
        <w:rPr>
          <w:rFonts w:asciiTheme="minorHAnsi" w:eastAsia="Times New Roman" w:hAnsiTheme="minorHAnsi" w:cstheme="minorHAnsi"/>
        </w:rPr>
        <w:t>).  Semi-xerophytes can either be obligate (rare) or facultative phreatophytes accessing deep soil. Drier conditions and less soil water storage make accessing groundwater through deep sinker roots important for growth and reproduction during seasonal or episodic drought (</w:t>
      </w:r>
      <w:r w:rsidRPr="00747E35">
        <w:rPr>
          <w:rFonts w:asciiTheme="minorHAnsi" w:eastAsia="Times New Roman" w:hAnsiTheme="minorHAnsi" w:cstheme="minorHAnsi"/>
        </w:rPr>
        <w:fldChar w:fldCharType="begin"/>
      </w:r>
      <w:r w:rsidRPr="00747E35">
        <w:rPr>
          <w:rFonts w:asciiTheme="minorHAnsi" w:eastAsia="Times New Roman" w:hAnsiTheme="minorHAnsi" w:cstheme="minorHAnsi"/>
        </w:rPr>
        <w:instrText xml:space="preserve"> REF _Ref467054166 \h </w:instrText>
      </w:r>
      <w:r w:rsidR="00925BFC" w:rsidRPr="00747E35">
        <w:rPr>
          <w:rFonts w:asciiTheme="minorHAnsi" w:eastAsia="Times New Roman" w:hAnsiTheme="minorHAnsi" w:cstheme="minorHAnsi"/>
        </w:rPr>
        <w:instrText xml:space="preserve"> \* MERGEFORMAT </w:instrText>
      </w:r>
      <w:r w:rsidRPr="00747E35">
        <w:rPr>
          <w:rFonts w:asciiTheme="minorHAnsi" w:eastAsia="Times New Roman" w:hAnsiTheme="minorHAnsi" w:cstheme="minorHAnsi"/>
        </w:rPr>
      </w:r>
      <w:r w:rsidRPr="00747E35">
        <w:rPr>
          <w:rFonts w:asciiTheme="minorHAnsi" w:eastAsia="Times New Roman"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9</w:t>
      </w:r>
      <w:r w:rsidRPr="00747E35">
        <w:rPr>
          <w:rFonts w:asciiTheme="minorHAnsi" w:eastAsia="Times New Roman" w:hAnsiTheme="minorHAnsi" w:cstheme="minorHAnsi"/>
        </w:rPr>
        <w:fldChar w:fldCharType="end"/>
      </w:r>
      <w:r w:rsidRPr="00747E35">
        <w:rPr>
          <w:rFonts w:asciiTheme="minorHAnsi" w:eastAsia="Times New Roman" w:hAnsiTheme="minorHAnsi" w:cstheme="minorHAnsi"/>
        </w:rPr>
        <w:t>). These plants are able to access water from the capillary fringe of the water table if it is shallow enough but can survive in areas with no groundwater influence by accessing deep soil water when available and possessing physiological mechanisms to cope with drought.</w:t>
      </w:r>
    </w:p>
    <w:p w14:paraId="531B54FB" w14:textId="79276355" w:rsidR="003D3694" w:rsidRPr="00747E35" w:rsidRDefault="003D3694" w:rsidP="0083624F">
      <w:pPr>
        <w:numPr>
          <w:ilvl w:val="0"/>
          <w:numId w:val="11"/>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i/>
        </w:rPr>
        <w:t>Xerophytes</w:t>
      </w:r>
      <w:r w:rsidRPr="00747E35">
        <w:rPr>
          <w:rFonts w:asciiTheme="minorHAnsi" w:eastAsia="Times New Roman" w:hAnsiTheme="minorHAnsi" w:cstheme="minorHAnsi"/>
        </w:rPr>
        <w:t xml:space="preserve"> are drought-tolerant plants that are unlikely to be dependent on groundwater to maintain growth and reproduction. Drought tolerance is typically through various physiological and morphological traits (</w:t>
      </w:r>
      <w:r w:rsidRPr="00747E35">
        <w:rPr>
          <w:rFonts w:asciiTheme="minorHAnsi" w:eastAsia="Times New Roman" w:hAnsiTheme="minorHAnsi" w:cstheme="minorHAnsi"/>
        </w:rPr>
        <w:fldChar w:fldCharType="begin"/>
      </w:r>
      <w:r w:rsidRPr="00747E35">
        <w:rPr>
          <w:rFonts w:asciiTheme="minorHAnsi" w:eastAsia="Times New Roman" w:hAnsiTheme="minorHAnsi" w:cstheme="minorHAnsi"/>
        </w:rPr>
        <w:instrText xml:space="preserve"> REF _Ref466189596 \h </w:instrText>
      </w:r>
      <w:r w:rsidR="00925BFC" w:rsidRPr="00747E35">
        <w:rPr>
          <w:rFonts w:asciiTheme="minorHAnsi" w:eastAsia="Times New Roman" w:hAnsiTheme="minorHAnsi" w:cstheme="minorHAnsi"/>
        </w:rPr>
        <w:instrText xml:space="preserve"> \* MERGEFORMAT </w:instrText>
      </w:r>
      <w:r w:rsidRPr="00747E35">
        <w:rPr>
          <w:rFonts w:asciiTheme="minorHAnsi" w:eastAsia="Times New Roman" w:hAnsiTheme="minorHAnsi" w:cstheme="minorHAnsi"/>
        </w:rPr>
      </w:r>
      <w:r w:rsidRPr="00747E35">
        <w:rPr>
          <w:rFonts w:asciiTheme="minorHAnsi" w:eastAsia="Times New Roman"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5</w:t>
      </w:r>
      <w:r w:rsidRPr="00747E35">
        <w:rPr>
          <w:rFonts w:asciiTheme="minorHAnsi" w:eastAsia="Times New Roman" w:hAnsiTheme="minorHAnsi" w:cstheme="minorHAnsi"/>
        </w:rPr>
        <w:fldChar w:fldCharType="end"/>
      </w:r>
      <w:r w:rsidRPr="00747E35">
        <w:rPr>
          <w:rFonts w:asciiTheme="minorHAnsi" w:eastAsia="Times New Roman" w:hAnsiTheme="minorHAnsi" w:cstheme="minorHAnsi"/>
        </w:rPr>
        <w:t xml:space="preserve">). They can grow in areas with no groundwater influence where plants must obtain their water from the soil profile via direct rainfall infiltration only. Plants usually either require extensive root systems to explore a large volume of soil and/or possess mechanisms to minimize water loss, such as becoming dormant during drought periods (Ehleringer et al. 1991, Smith et al. 1997). </w:t>
      </w:r>
    </w:p>
    <w:p w14:paraId="5A97F660" w14:textId="5641DDF6" w:rsidR="003D3694" w:rsidRPr="00747E35" w:rsidRDefault="003D3694" w:rsidP="003D3694">
      <w:pPr>
        <w:rPr>
          <w:rFonts w:asciiTheme="minorHAnsi" w:hAnsiTheme="minorHAnsi" w:cstheme="minorHAnsi"/>
        </w:rPr>
      </w:pPr>
      <w:r w:rsidRPr="00747E35">
        <w:rPr>
          <w:rFonts w:asciiTheme="minorHAnsi" w:hAnsiTheme="minorHAnsi" w:cstheme="minorHAnsi"/>
        </w:rPr>
        <w:t>In most landscapes, as depth to groundwater increases and therefore accessibility decreases, the proportion of hydrotypes in the plant community adapted to wet conditions (and the prevalence of phreatophytes) will decline (Figure 10).  The proportion of phreatophytic plants is usually highest at the lowest part of the landscape such as the bottom of a slope in a river valley or wetland basin. There is however, a range of groundwater depths at which phreatophytes occur and this range increases across the different hydrotypes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_Ref466189596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Table 5</w:t>
      </w:r>
      <w:r w:rsidRPr="00747E35">
        <w:rPr>
          <w:rFonts w:asciiTheme="minorHAnsi" w:hAnsiTheme="minorHAnsi" w:cstheme="minorHAnsi"/>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_Ref467054174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10</w:t>
      </w:r>
      <w:r w:rsidRPr="00747E35">
        <w:rPr>
          <w:rFonts w:asciiTheme="minorHAnsi" w:hAnsiTheme="minorHAnsi" w:cstheme="minorHAnsi"/>
        </w:rPr>
        <w:fldChar w:fldCharType="end"/>
      </w:r>
      <w:r w:rsidRPr="00747E35">
        <w:rPr>
          <w:rFonts w:asciiTheme="minorHAnsi" w:hAnsiTheme="minorHAnsi" w:cstheme="minorHAnsi"/>
        </w:rPr>
        <w:t>). In upper-slope terrestrial areas where groundwater is very deep (&gt;15m), almost all plants will be xerophytes or drought tolerators that derive their water predominately or exclusively from the unsaturated soil and will have traits indicative of drought tolerance (</w:t>
      </w:r>
      <w:r w:rsidRPr="00747E35">
        <w:rPr>
          <w:rFonts w:asciiTheme="minorHAnsi" w:hAnsiTheme="minorHAnsi" w:cstheme="minorHAnsi"/>
        </w:rPr>
        <w:fldChar w:fldCharType="begin"/>
      </w:r>
      <w:r w:rsidRPr="00747E35">
        <w:rPr>
          <w:rFonts w:asciiTheme="minorHAnsi" w:hAnsiTheme="minorHAnsi" w:cstheme="minorHAnsi"/>
        </w:rPr>
        <w:instrText xml:space="preserve"> REF _Ref466189596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5</w:t>
      </w:r>
      <w:r w:rsidRPr="00747E35">
        <w:rPr>
          <w:rFonts w:asciiTheme="minorHAnsi" w:hAnsiTheme="minorHAnsi" w:cstheme="minorHAnsi"/>
        </w:rPr>
        <w:fldChar w:fldCharType="end"/>
      </w:r>
      <w:r w:rsidRPr="00747E35">
        <w:rPr>
          <w:rFonts w:asciiTheme="minorHAnsi" w:hAnsiTheme="minorHAnsi" w:cstheme="minorHAnsi"/>
        </w:rPr>
        <w:t>).</w:t>
      </w:r>
    </w:p>
    <w:p w14:paraId="5FA03993" w14:textId="5E68B3EF" w:rsidR="003D3694" w:rsidRPr="00747E35" w:rsidRDefault="003D3694" w:rsidP="003D3694">
      <w:pPr>
        <w:rPr>
          <w:rFonts w:asciiTheme="minorHAnsi" w:hAnsiTheme="minorHAnsi" w:cstheme="minorHAnsi"/>
        </w:rPr>
      </w:pPr>
      <w:r w:rsidRPr="00747E35">
        <w:rPr>
          <w:rFonts w:asciiTheme="minorHAnsi" w:hAnsiTheme="minorHAnsi" w:cstheme="minorHAnsi"/>
        </w:rPr>
        <w:t>Use of hydrotypes to define plant communities in terms of hydrological preferences and (inferred) groundwater dependency, highlights the importance of vegetation-hydrology linkages.  We provide a decision tree for categorising plants into hydrotype functional groups (</w:t>
      </w:r>
      <w:r w:rsidRPr="00747E35">
        <w:rPr>
          <w:rFonts w:asciiTheme="minorHAnsi" w:hAnsiTheme="minorHAnsi" w:cstheme="minorHAnsi"/>
        </w:rPr>
        <w:fldChar w:fldCharType="begin"/>
      </w:r>
      <w:r w:rsidRPr="00747E35">
        <w:rPr>
          <w:rFonts w:asciiTheme="minorHAnsi" w:hAnsiTheme="minorHAnsi" w:cstheme="minorHAnsi"/>
        </w:rPr>
        <w:instrText xml:space="preserve"> REF _Ref467054257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11</w:t>
      </w:r>
      <w:r w:rsidRPr="00747E35">
        <w:rPr>
          <w:rFonts w:asciiTheme="minorHAnsi" w:hAnsiTheme="minorHAnsi" w:cstheme="minorHAnsi"/>
        </w:rPr>
        <w:fldChar w:fldCharType="end"/>
      </w:r>
      <w:r w:rsidRPr="00747E35">
        <w:rPr>
          <w:rFonts w:asciiTheme="minorHAnsi" w:hAnsiTheme="minorHAnsi" w:cstheme="minorHAnsi"/>
        </w:rPr>
        <w:t>).  The decision tree starts with life history traits (annual or perennials) and life form (woody or herbaceous) and utilises information on habitat use, depth to groundwater, duration of inundation and drought adaption to identify the hydrotype (such as high water use efficiency or sunken stomata, for drought tolerator xerophytes).  Groundwater dependent vegetation is likely to be dominated by hydrophytes, helophytes, mesophytes and semi-mesophytes and phreatophytes are most likely to be either mesophytes, semi-mesophytes or semi-xerophytes, and in some situations helophytes (</w:t>
      </w:r>
      <w:r w:rsidRPr="00747E35">
        <w:rPr>
          <w:rFonts w:asciiTheme="minorHAnsi" w:hAnsiTheme="minorHAnsi" w:cstheme="minorHAnsi"/>
        </w:rPr>
        <w:fldChar w:fldCharType="begin"/>
      </w:r>
      <w:r w:rsidRPr="00747E35">
        <w:rPr>
          <w:rFonts w:asciiTheme="minorHAnsi" w:hAnsiTheme="minorHAnsi" w:cstheme="minorHAnsi"/>
        </w:rPr>
        <w:instrText xml:space="preserve"> REF _Ref467054257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11</w:t>
      </w:r>
      <w:r w:rsidRPr="00747E35">
        <w:rPr>
          <w:rFonts w:asciiTheme="minorHAnsi" w:hAnsiTheme="minorHAnsi" w:cstheme="minorHAnsi"/>
        </w:rPr>
        <w:fldChar w:fldCharType="end"/>
      </w:r>
      <w:r w:rsidRPr="00747E35">
        <w:rPr>
          <w:rFonts w:asciiTheme="minorHAnsi" w:hAnsiTheme="minorHAnsi" w:cstheme="minorHAnsi"/>
        </w:rPr>
        <w:t>). The diagram also places the hydrotypes according to their relationship with depth to groundwater and duration of surface water inundation. Other plants groups that are not directly influenced by groundwater or surface water hydrology include terrestrial perennial herbs such as geophytes and terrestrial annual herbs including therophytes.</w:t>
      </w:r>
      <w:r w:rsidRPr="00747E35">
        <w:rPr>
          <w:rFonts w:asciiTheme="minorHAnsi" w:hAnsiTheme="minorHAnsi" w:cstheme="minorHAnsi"/>
        </w:rPr>
        <w:br w:type="page"/>
      </w:r>
    </w:p>
    <w:p w14:paraId="20CDAF6B"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0D021179" wp14:editId="13CC1205">
            <wp:extent cx="5706466" cy="3179135"/>
            <wp:effectExtent l="0" t="0" r="8890" b="2540"/>
            <wp:docPr id="14377" name="Picture 1" descr="Dia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742854" cy="3199407"/>
                    </a:xfrm>
                    <a:prstGeom prst="rect">
                      <a:avLst/>
                    </a:prstGeom>
                    <a:noFill/>
                    <a:ln>
                      <a:noFill/>
                    </a:ln>
                  </pic:spPr>
                </pic:pic>
              </a:graphicData>
            </a:graphic>
          </wp:inline>
        </w:drawing>
      </w:r>
    </w:p>
    <w:p w14:paraId="0DCF6EBF"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47" w:name="_Ref467054166"/>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9</w:t>
      </w:r>
      <w:r w:rsidRPr="00747E35">
        <w:rPr>
          <w:rFonts w:asciiTheme="minorHAnsi" w:hAnsiTheme="minorHAnsi" w:cstheme="minorHAnsi"/>
          <w:i/>
          <w:noProof/>
          <w:color w:val="5B9BD5" w:themeColor="accent1"/>
          <w:sz w:val="20"/>
          <w:szCs w:val="20"/>
        </w:rPr>
        <w:fldChar w:fldCharType="end"/>
      </w:r>
      <w:bookmarkEnd w:id="47"/>
      <w:r w:rsidRPr="00747E35">
        <w:rPr>
          <w:rFonts w:asciiTheme="minorHAnsi" w:hAnsiTheme="minorHAnsi" w:cstheme="minorHAnsi"/>
          <w:i/>
          <w:color w:val="5B9BD5" w:themeColor="accent1"/>
          <w:sz w:val="20"/>
          <w:szCs w:val="20"/>
        </w:rPr>
        <w:t>: Relationship between plant hydrotypes and depth to groundwater and the range of landscape positions and hydrotypes that include phreatophytes. Hydrophytes are aquatic plants that are dependent on surface water expression of groundwater.  Helophytes and mesophytes occur where groundwater is seasonally at or close to the surface.  Semi-mesophytes and semi-xerophytes occupy the transitional areas between terrestrial and wetland habitats and can tolerate drought conditions and may access groundwater. Xerophytes have no access to groundwater and thus are dependent on rainwater and able to tolerate drought conditions. Phreatophytes include semi-xerophytes, semi-mesophytes, mesophytes and, in some situations, helophytes.</w:t>
      </w:r>
    </w:p>
    <w:p w14:paraId="69D844D0" w14:textId="77777777" w:rsidR="003D3694" w:rsidRPr="00747E35" w:rsidRDefault="003D3694" w:rsidP="003D3694">
      <w:pPr>
        <w:rPr>
          <w:rFonts w:asciiTheme="minorHAnsi" w:hAnsiTheme="minorHAnsi" w:cstheme="minorHAnsi"/>
        </w:rPr>
      </w:pPr>
    </w:p>
    <w:p w14:paraId="28D4DEF1"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754EEBAA" wp14:editId="0F380771">
            <wp:extent cx="4647709" cy="3082925"/>
            <wp:effectExtent l="0" t="0" r="635" b="3175"/>
            <wp:docPr id="14378" name="Picture 3" descr="Box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4667554" cy="3096088"/>
                    </a:xfrm>
                    <a:prstGeom prst="rect">
                      <a:avLst/>
                    </a:prstGeom>
                    <a:noFill/>
                    <a:ln>
                      <a:noFill/>
                    </a:ln>
                  </pic:spPr>
                </pic:pic>
              </a:graphicData>
            </a:graphic>
          </wp:inline>
        </w:drawing>
      </w:r>
    </w:p>
    <w:p w14:paraId="0979954D"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48" w:name="_Ref467054174"/>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10</w:t>
      </w:r>
      <w:r w:rsidRPr="00747E35">
        <w:rPr>
          <w:rFonts w:asciiTheme="minorHAnsi" w:hAnsiTheme="minorHAnsi" w:cstheme="minorHAnsi"/>
          <w:i/>
          <w:noProof/>
          <w:color w:val="5B9BD5" w:themeColor="accent1"/>
          <w:sz w:val="20"/>
          <w:szCs w:val="20"/>
        </w:rPr>
        <w:fldChar w:fldCharType="end"/>
      </w:r>
      <w:bookmarkEnd w:id="48"/>
      <w:r w:rsidRPr="00747E35">
        <w:rPr>
          <w:rFonts w:asciiTheme="minorHAnsi" w:hAnsiTheme="minorHAnsi" w:cstheme="minorHAnsi"/>
          <w:i/>
          <w:color w:val="5B9BD5" w:themeColor="accent1"/>
          <w:sz w:val="20"/>
          <w:szCs w:val="20"/>
        </w:rPr>
        <w:t>: Box plots of data gathered from 168 articles in the international literature on the range in depths to groundwater at which different plant hydrotypes including phreatophytes (mesophytes, facultive mesophytes and semi-xerophytes) are found.  Number of studies cited for each hydrotype is given in parentheses. The data highlight both the degree of overlap in depth to groundwater for different hydrotypes and increasing range in depth to groundwater preferences from hydrophytes to xerophytes.</w:t>
      </w:r>
    </w:p>
    <w:p w14:paraId="186164F8" w14:textId="77777777" w:rsidR="003D3694" w:rsidRPr="00747E35" w:rsidRDefault="003D3694" w:rsidP="003D3694">
      <w:pPr>
        <w:rPr>
          <w:rFonts w:asciiTheme="minorHAnsi" w:hAnsiTheme="minorHAnsi" w:cstheme="minorHAnsi"/>
        </w:rPr>
      </w:pPr>
    </w:p>
    <w:p w14:paraId="6B6B4832" w14:textId="77777777" w:rsidR="003D3694" w:rsidRPr="00747E35" w:rsidRDefault="003D3694" w:rsidP="003D3694">
      <w:pPr>
        <w:rPr>
          <w:rFonts w:asciiTheme="minorHAnsi" w:hAnsiTheme="minorHAnsi" w:cstheme="minorHAnsi"/>
          <w:sz w:val="20"/>
          <w:szCs w:val="20"/>
        </w:rPr>
      </w:pPr>
      <w:r w:rsidRPr="00747E35">
        <w:rPr>
          <w:rFonts w:asciiTheme="minorHAnsi" w:hAnsiTheme="minorHAnsi" w:cstheme="minorHAnsi"/>
          <w:noProof/>
          <w:lang w:val="en-AU" w:eastAsia="en-AU"/>
        </w:rPr>
        <w:lastRenderedPageBreak/>
        <w:drawing>
          <wp:inline distT="0" distB="0" distL="0" distR="0" wp14:anchorId="61E7A37E" wp14:editId="63672DBB">
            <wp:extent cx="5954233" cy="3926421"/>
            <wp:effectExtent l="0" t="0" r="8890" b="0"/>
            <wp:docPr id="14379" name="Picture 4" descr="Decision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5968161" cy="3935606"/>
                    </a:xfrm>
                    <a:prstGeom prst="rect">
                      <a:avLst/>
                    </a:prstGeom>
                    <a:noFill/>
                    <a:ln>
                      <a:noFill/>
                    </a:ln>
                  </pic:spPr>
                </pic:pic>
              </a:graphicData>
            </a:graphic>
          </wp:inline>
        </w:drawing>
      </w:r>
    </w:p>
    <w:p w14:paraId="0DBD98A8"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49" w:name="_Ref467054257"/>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11</w:t>
      </w:r>
      <w:r w:rsidRPr="00747E35">
        <w:rPr>
          <w:rFonts w:asciiTheme="minorHAnsi" w:hAnsiTheme="minorHAnsi" w:cstheme="minorHAnsi"/>
          <w:i/>
          <w:noProof/>
          <w:color w:val="5B9BD5" w:themeColor="accent1"/>
          <w:sz w:val="20"/>
          <w:szCs w:val="20"/>
        </w:rPr>
        <w:fldChar w:fldCharType="end"/>
      </w:r>
      <w:bookmarkEnd w:id="49"/>
      <w:r w:rsidRPr="00747E35">
        <w:rPr>
          <w:rFonts w:asciiTheme="minorHAnsi" w:hAnsiTheme="minorHAnsi" w:cstheme="minorHAnsi"/>
          <w:i/>
          <w:color w:val="5B9BD5" w:themeColor="accent1"/>
          <w:sz w:val="20"/>
          <w:szCs w:val="20"/>
        </w:rPr>
        <w:t xml:space="preserve">: Decision tree for categorising plants into particular hydrotype functional groups.  This starts with life history traits (annual or perennials) and life form (woody or herbaceous).  Plants can then be categorised according to habitat or position in the landscape and for terrestrial woody plants depth to GW.  For terrestrial woody plants where GW is deep hydrotypes can be distinguished according to their drought adaption strategy such as high water use efficiency or morphological features such as sunken stomata, etc, for drought tolerator xerophytes.  Drought avoiding plants (semi-xerophytes) require deep sinker roots to access deep GW, have a longer growing period in the dry season and low water use efficiency. Hydrotypes that are most likely to contain some phreatophytes are highlighted (dashed line box, and dashed arrow indicating that in some situations helophytes can also be phreatophytic). The diagram also places the hydrotypes according to their relationship with depth to GW and duration of surface water inundation. Other plants groups that are not related to groundwater and therefore not included here include terrestrial perennial herbs such as geophytes and terrestrial annual herbs including therophytes. </w:t>
      </w:r>
    </w:p>
    <w:p w14:paraId="3D962D7D"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r w:rsidRPr="00747E35" w:rsidDel="00D73B63">
        <w:rPr>
          <w:rFonts w:asciiTheme="minorHAnsi" w:hAnsiTheme="minorHAnsi" w:cstheme="minorHAnsi"/>
          <w:i/>
          <w:color w:val="5B9BD5" w:themeColor="accent1"/>
          <w:sz w:val="20"/>
          <w:szCs w:val="20"/>
        </w:rPr>
        <w:t xml:space="preserve"> </w:t>
      </w:r>
      <w:r w:rsidRPr="00747E35">
        <w:rPr>
          <w:rFonts w:asciiTheme="minorHAnsi" w:hAnsiTheme="minorHAnsi" w:cstheme="minorHAnsi"/>
          <w:i/>
          <w:color w:val="5B9BD5" w:themeColor="accent1"/>
          <w:sz w:val="20"/>
          <w:szCs w:val="20"/>
        </w:rPr>
        <w:br w:type="page"/>
      </w:r>
    </w:p>
    <w:p w14:paraId="455BE0B0" w14:textId="77777777" w:rsidR="003D3694" w:rsidRPr="00747E35" w:rsidRDefault="003D3694" w:rsidP="003D3694">
      <w:pPr>
        <w:rPr>
          <w:rFonts w:asciiTheme="minorHAnsi" w:hAnsiTheme="minorHAnsi" w:cstheme="minorHAnsi"/>
        </w:rPr>
      </w:pPr>
    </w:p>
    <w:p w14:paraId="70C79654" w14:textId="05D7F4FD" w:rsidR="003D3694" w:rsidRPr="00747E35" w:rsidRDefault="003D3694" w:rsidP="00F44B2D">
      <w:pPr>
        <w:pStyle w:val="Heading3"/>
        <w:rPr>
          <w:rFonts w:asciiTheme="minorHAnsi" w:hAnsiTheme="minorHAnsi" w:cstheme="minorHAnsi"/>
          <w:lang w:eastAsia="en-AU"/>
        </w:rPr>
      </w:pPr>
      <w:bookmarkStart w:id="50" w:name="_Toc470004827"/>
      <w:r w:rsidRPr="00747E35">
        <w:rPr>
          <w:rFonts w:asciiTheme="minorHAnsi" w:hAnsiTheme="minorHAnsi" w:cstheme="minorHAnsi"/>
          <w:lang w:eastAsia="en-AU"/>
        </w:rPr>
        <w:t>Landscape distribution of plant hydrotypes and productivity</w:t>
      </w:r>
      <w:bookmarkEnd w:id="50"/>
    </w:p>
    <w:p w14:paraId="33DEFEEA" w14:textId="70A96351" w:rsidR="003D3694" w:rsidRPr="00747E35" w:rsidRDefault="003D3694" w:rsidP="003D3694">
      <w:pPr>
        <w:rPr>
          <w:rFonts w:asciiTheme="minorHAnsi" w:hAnsiTheme="minorHAnsi" w:cstheme="minorHAnsi"/>
        </w:rPr>
      </w:pPr>
      <w:r w:rsidRPr="00747E35">
        <w:rPr>
          <w:rFonts w:asciiTheme="minorHAnsi" w:hAnsiTheme="minorHAnsi" w:cstheme="minorHAnsi"/>
        </w:rPr>
        <w:t>Vegetation plot surveys undertaken between October 2015 and March 2016 produced a total of 112 species at the 27 Maules Creek sites and 118 species at the 25 Bremer River sites, with 32 and 27 exotic species, respectively (supplementary Table 46). Surveys indicated the primary floristic difference between the plant communities for Maules Creek and Bremer River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_Ref466191416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w:t>
      </w:r>
      <w:r w:rsidRPr="00747E35">
        <w:rPr>
          <w:rFonts w:asciiTheme="minorHAnsi" w:hAnsiTheme="minorHAnsi" w:cstheme="minorHAnsi"/>
        </w:rPr>
        <w:fldChar w:fldCharType="end"/>
      </w:r>
      <w:r w:rsidRPr="00747E35">
        <w:rPr>
          <w:rFonts w:asciiTheme="minorHAnsi" w:hAnsiTheme="minorHAnsi" w:cstheme="minorHAnsi"/>
        </w:rPr>
        <w:t xml:space="preserve">).  Ordination of plant species composition data revealed that, for the Maules Creek sites, there was clear separation in plant communities between riparian and floodplain landscape positions and between perennial and intermittent riparian sites.  Indicator species for each landscape position for each river are given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_Ref466189843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6</w:t>
      </w:r>
      <w:r w:rsidRPr="00747E35">
        <w:rPr>
          <w:rFonts w:asciiTheme="minorHAnsi" w:hAnsiTheme="minorHAnsi" w:cstheme="minorHAnsi"/>
        </w:rPr>
        <w:fldChar w:fldCharType="end"/>
      </w:r>
      <w:r w:rsidRPr="00747E35">
        <w:rPr>
          <w:rFonts w:asciiTheme="minorHAnsi" w:hAnsiTheme="minorHAnsi" w:cstheme="minorHAnsi"/>
        </w:rPr>
        <w:t>.  River red gum (</w:t>
      </w:r>
      <w:r w:rsidRPr="00747E35">
        <w:rPr>
          <w:rFonts w:asciiTheme="minorHAnsi" w:hAnsiTheme="minorHAnsi" w:cstheme="minorHAnsi"/>
          <w:i/>
        </w:rPr>
        <w:t>Eucalyptus camaldulensis</w:t>
      </w:r>
      <w:r w:rsidRPr="00747E35">
        <w:rPr>
          <w:rFonts w:asciiTheme="minorHAnsi" w:hAnsiTheme="minorHAnsi" w:cstheme="minorHAnsi"/>
        </w:rPr>
        <w:t>) was a dominant tree for both riparian and floodplain sites at Maules Creek, while River Oak (</w:t>
      </w:r>
      <w:r w:rsidRPr="00747E35">
        <w:rPr>
          <w:rFonts w:asciiTheme="minorHAnsi" w:hAnsiTheme="minorHAnsi" w:cstheme="minorHAnsi"/>
          <w:i/>
        </w:rPr>
        <w:t>Casuarina cunninghamiana</w:t>
      </w:r>
      <w:r w:rsidRPr="00747E35">
        <w:rPr>
          <w:rFonts w:asciiTheme="minorHAnsi" w:hAnsiTheme="minorHAnsi" w:cstheme="minorHAnsi"/>
        </w:rPr>
        <w:t>) and Black Tea-tree (</w:t>
      </w:r>
      <w:r w:rsidRPr="00747E35">
        <w:rPr>
          <w:rFonts w:asciiTheme="minorHAnsi" w:hAnsiTheme="minorHAnsi" w:cstheme="minorHAnsi"/>
          <w:i/>
        </w:rPr>
        <w:t>Melaleuca bracteata</w:t>
      </w:r>
      <w:r w:rsidRPr="00747E35">
        <w:rPr>
          <w:rFonts w:asciiTheme="minorHAnsi" w:hAnsiTheme="minorHAnsi" w:cstheme="minorHAnsi"/>
        </w:rPr>
        <w:t>) were common riparian trees at both Maules Creek and the Bremer River (</w:t>
      </w:r>
      <w:r w:rsidRPr="00747E35">
        <w:rPr>
          <w:rFonts w:asciiTheme="minorHAnsi" w:hAnsiTheme="minorHAnsi" w:cstheme="minorHAnsi"/>
        </w:rPr>
        <w:fldChar w:fldCharType="begin"/>
      </w:r>
      <w:r w:rsidRPr="00747E35">
        <w:rPr>
          <w:rFonts w:asciiTheme="minorHAnsi" w:hAnsiTheme="minorHAnsi" w:cstheme="minorHAnsi"/>
        </w:rPr>
        <w:instrText xml:space="preserve"> REF _Ref466189843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6</w:t>
      </w:r>
      <w:r w:rsidRPr="00747E35">
        <w:rPr>
          <w:rFonts w:asciiTheme="minorHAnsi" w:hAnsiTheme="minorHAnsi" w:cstheme="minorHAnsi"/>
        </w:rPr>
        <w:fldChar w:fldCharType="end"/>
      </w:r>
      <w:r w:rsidRPr="00747E35">
        <w:rPr>
          <w:rFonts w:asciiTheme="minorHAnsi" w:hAnsiTheme="minorHAnsi" w:cstheme="minorHAnsi"/>
        </w:rPr>
        <w:t>). Distance-based redundancy analysis for each study catchment confirmed the plant community differences for the different landscape positions, particularly for Maules Creek where lower rainfall is likely to create greater distinctions in plant community types, based on water availability (</w:t>
      </w:r>
      <w:r w:rsidRPr="00747E35">
        <w:rPr>
          <w:rFonts w:asciiTheme="minorHAnsi" w:hAnsiTheme="minorHAnsi" w:cstheme="minorHAnsi"/>
        </w:rPr>
        <w:fldChar w:fldCharType="begin"/>
      </w:r>
      <w:r w:rsidRPr="00747E35">
        <w:rPr>
          <w:rFonts w:asciiTheme="minorHAnsi" w:hAnsiTheme="minorHAnsi" w:cstheme="minorHAnsi"/>
        </w:rPr>
        <w:instrText xml:space="preserve"> REF _Ref466189864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12</w:t>
      </w:r>
      <w:r w:rsidRPr="00747E35">
        <w:rPr>
          <w:rFonts w:asciiTheme="minorHAnsi" w:hAnsiTheme="minorHAnsi" w:cstheme="minorHAnsi"/>
        </w:rPr>
        <w:fldChar w:fldCharType="end"/>
      </w:r>
      <w:r w:rsidRPr="00747E35">
        <w:rPr>
          <w:rFonts w:asciiTheme="minorHAnsi" w:hAnsiTheme="minorHAnsi" w:cstheme="minorHAnsi"/>
        </w:rPr>
        <w:t>). This difference in plant communities is emphasised by the vector plots indicating the influence of hydrotype composition on the separation between sites.  Vector plots showed that hydrophytes, helophytes and mesophytes were associated with riparian sites while xerophytes and semi-xerophytes mostly associated with the drier terrestrial and intermittent floodplain sites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_Ref466189864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12</w:t>
      </w:r>
      <w:r w:rsidRPr="00747E35">
        <w:rPr>
          <w:rFonts w:asciiTheme="minorHAnsi" w:hAnsiTheme="minorHAnsi" w:cstheme="minorHAnsi"/>
        </w:rPr>
        <w:fldChar w:fldCharType="end"/>
      </w:r>
      <w:r w:rsidRPr="00747E35">
        <w:rPr>
          <w:rFonts w:asciiTheme="minorHAnsi" w:hAnsiTheme="minorHAnsi" w:cstheme="minorHAnsi"/>
        </w:rPr>
        <w:t>).  In terms of potential groundwater-dependent vegetation, 41% of the plant cover at the riparian perennial sites, and 52% for intermittent riparian sites were for plant hydrotypes that are likely to be groundwater dependent (</w:t>
      </w:r>
      <w:r w:rsidRPr="00747E35">
        <w:rPr>
          <w:rFonts w:asciiTheme="minorHAnsi" w:hAnsiTheme="minorHAnsi" w:cstheme="minorHAnsi"/>
        </w:rPr>
        <w:fldChar w:fldCharType="begin"/>
      </w:r>
      <w:r w:rsidRPr="00747E35">
        <w:rPr>
          <w:rFonts w:asciiTheme="minorHAnsi" w:hAnsiTheme="minorHAnsi" w:cstheme="minorHAnsi"/>
        </w:rPr>
        <w:instrText xml:space="preserve"> REF _Ref466189596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5</w:t>
      </w:r>
      <w:r w:rsidRPr="00747E35">
        <w:rPr>
          <w:rFonts w:asciiTheme="minorHAnsi" w:hAnsiTheme="minorHAnsi" w:cstheme="minorHAnsi"/>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_Ref466191416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w:t>
      </w:r>
      <w:r w:rsidRPr="00747E35">
        <w:rPr>
          <w:rFonts w:asciiTheme="minorHAnsi" w:hAnsiTheme="minorHAnsi" w:cstheme="minorHAnsi"/>
        </w:rPr>
        <w:fldChar w:fldCharType="end"/>
      </w:r>
      <w:r w:rsidRPr="00747E35">
        <w:rPr>
          <w:rFonts w:asciiTheme="minorHAnsi" w:hAnsiTheme="minorHAnsi" w:cstheme="minorHAnsi"/>
        </w:rPr>
        <w:t>). At floodplain sites, groundwater-dependent species made up 19% of foliage cover and no groundwater dependent species were recorded at the terrestrial sites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_Ref466191416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w:t>
      </w:r>
      <w:r w:rsidRPr="00747E35">
        <w:rPr>
          <w:rFonts w:asciiTheme="minorHAnsi" w:hAnsiTheme="minorHAnsi" w:cstheme="minorHAnsi"/>
        </w:rPr>
        <w:fldChar w:fldCharType="end"/>
      </w:r>
      <w:r w:rsidRPr="00747E35">
        <w:rPr>
          <w:rFonts w:asciiTheme="minorHAnsi" w:hAnsiTheme="minorHAnsi" w:cstheme="minorHAnsi"/>
        </w:rPr>
        <w:t>). These figures show that the hydrophytes and helophytes were found only in the wetter landscape positions and mesophytes are also most abundant in the riparian and floodplain areas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_Ref466191416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w:t>
      </w:r>
      <w:r w:rsidRPr="00747E35">
        <w:rPr>
          <w:rFonts w:asciiTheme="minorHAnsi" w:hAnsiTheme="minorHAnsi" w:cstheme="minorHAnsi"/>
        </w:rPr>
        <w:fldChar w:fldCharType="end"/>
      </w:r>
      <w:r w:rsidRPr="00747E35">
        <w:rPr>
          <w:rFonts w:asciiTheme="minorHAnsi" w:hAnsiTheme="minorHAnsi" w:cstheme="minorHAnsi"/>
        </w:rPr>
        <w:t>).</w:t>
      </w:r>
    </w:p>
    <w:p w14:paraId="0CE62E27" w14:textId="177DC413"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We measured standing biomass (as basal area per ha), canopy cover and litter fall of overstorey species in different landscape positions at the Maules Creek and Bremer River study sites. Data indicate similar tree basal area across landscape positions with only terrestrial sites having significantly lower basal area (F=4.32, p=0.02) </w:t>
      </w:r>
      <w:r w:rsidRPr="00747E35">
        <w:rPr>
          <w:rFonts w:asciiTheme="minorHAnsi" w:hAnsiTheme="minorHAnsi" w:cstheme="minorHAnsi"/>
          <w:i/>
        </w:rPr>
        <w:t>(</w:t>
      </w:r>
      <w:r w:rsidRPr="00747E35">
        <w:rPr>
          <w:rFonts w:asciiTheme="minorHAnsi" w:hAnsiTheme="minorHAnsi" w:cstheme="minorHAnsi"/>
          <w:i/>
        </w:rPr>
        <w:fldChar w:fldCharType="begin"/>
      </w:r>
      <w:r w:rsidRPr="00747E35">
        <w:rPr>
          <w:rFonts w:asciiTheme="minorHAnsi" w:hAnsiTheme="minorHAnsi" w:cstheme="minorHAnsi"/>
          <w:i/>
        </w:rPr>
        <w:instrText xml:space="preserve"> REF _Ref466191446 \h </w:instrText>
      </w:r>
      <w:r w:rsidR="00925BFC" w:rsidRPr="00747E35">
        <w:rPr>
          <w:rFonts w:asciiTheme="minorHAnsi" w:hAnsiTheme="minorHAnsi" w:cstheme="minorHAnsi"/>
          <w:i/>
        </w:rPr>
        <w:instrText xml:space="preserve"> \* MERGEFORMAT </w:instrText>
      </w:r>
      <w:r w:rsidRPr="00747E35">
        <w:rPr>
          <w:rFonts w:asciiTheme="minorHAnsi" w:hAnsiTheme="minorHAnsi" w:cstheme="minorHAnsi"/>
          <w:i/>
        </w:rPr>
      </w:r>
      <w:r w:rsidRPr="00747E35">
        <w:rPr>
          <w:rFonts w:asciiTheme="minorHAnsi" w:hAnsiTheme="minorHAnsi" w:cstheme="minorHAnsi"/>
          <w:i/>
        </w:rPr>
        <w:fldChar w:fldCharType="separate"/>
      </w:r>
      <w:r w:rsidR="00D023DD" w:rsidRPr="00D023DD">
        <w:rPr>
          <w:rFonts w:asciiTheme="minorHAnsi" w:hAnsiTheme="minorHAnsi" w:cstheme="minorHAnsi"/>
          <w:i/>
        </w:rPr>
        <w:t xml:space="preserve">Figure </w:t>
      </w:r>
      <w:r w:rsidR="00D023DD" w:rsidRPr="00D023DD">
        <w:rPr>
          <w:rFonts w:asciiTheme="minorHAnsi" w:hAnsiTheme="minorHAnsi" w:cstheme="minorHAnsi"/>
          <w:i/>
          <w:noProof/>
        </w:rPr>
        <w:t>14</w:t>
      </w:r>
      <w:r w:rsidRPr="00747E35">
        <w:rPr>
          <w:rFonts w:asciiTheme="minorHAnsi" w:hAnsiTheme="minorHAnsi" w:cstheme="minorHAnsi"/>
          <w:i/>
        </w:rPr>
        <w:fldChar w:fldCharType="end"/>
      </w:r>
      <w:r w:rsidRPr="00747E35">
        <w:rPr>
          <w:rFonts w:asciiTheme="minorHAnsi" w:hAnsiTheme="minorHAnsi" w:cstheme="minorHAnsi"/>
          <w:i/>
        </w:rPr>
        <w:t>).</w:t>
      </w:r>
      <w:r w:rsidRPr="00747E35">
        <w:rPr>
          <w:rFonts w:asciiTheme="minorHAnsi" w:hAnsiTheme="minorHAnsi" w:cstheme="minorHAnsi"/>
        </w:rPr>
        <w:t xml:space="preserve">  Basal area at the perennial riparian sites at Maules Creek was higher than at other sites but because of high variability this was not significant (F= 2.1 p=0.08).  Canopy cover was similar across landscape positions but generally higher in the Bremer catchment, likely due to higher rainfall and some rainforest elements in the plant communities in this catchment, particularly in the riparian zone.  Litterfall results for Maules Creek were patchy due to the loss of a number of traps attributed to cattle and wind disturbance.  Litterfall rates varied across sites from 308 g m</w:t>
      </w:r>
      <w:r w:rsidRPr="00747E35">
        <w:rPr>
          <w:rFonts w:asciiTheme="minorHAnsi" w:hAnsiTheme="minorHAnsi" w:cstheme="minorHAnsi"/>
          <w:vertAlign w:val="superscript"/>
        </w:rPr>
        <w:t>-2</w:t>
      </w:r>
      <w:r w:rsidRPr="00747E35">
        <w:rPr>
          <w:rFonts w:asciiTheme="minorHAnsi" w:hAnsiTheme="minorHAnsi" w:cstheme="minorHAnsi"/>
        </w:rPr>
        <w:t xml:space="preserve"> yr</w:t>
      </w:r>
      <w:r w:rsidRPr="00747E35">
        <w:rPr>
          <w:rFonts w:asciiTheme="minorHAnsi" w:hAnsiTheme="minorHAnsi" w:cstheme="minorHAnsi"/>
          <w:vertAlign w:val="superscript"/>
        </w:rPr>
        <w:t>-1</w:t>
      </w:r>
      <w:r w:rsidRPr="00747E35">
        <w:rPr>
          <w:rFonts w:asciiTheme="minorHAnsi" w:hAnsiTheme="minorHAnsi" w:cstheme="minorHAnsi"/>
        </w:rPr>
        <w:t xml:space="preserve"> at the perennial floodplain site to 644 g m</w:t>
      </w:r>
      <w:r w:rsidRPr="00747E35">
        <w:rPr>
          <w:rFonts w:asciiTheme="minorHAnsi" w:hAnsiTheme="minorHAnsi" w:cstheme="minorHAnsi"/>
          <w:vertAlign w:val="superscript"/>
        </w:rPr>
        <w:t>-2</w:t>
      </w:r>
      <w:r w:rsidRPr="00747E35">
        <w:rPr>
          <w:rFonts w:asciiTheme="minorHAnsi" w:hAnsiTheme="minorHAnsi" w:cstheme="minorHAnsi"/>
        </w:rPr>
        <w:t xml:space="preserve"> yr</w:t>
      </w:r>
      <w:r w:rsidRPr="00747E35">
        <w:rPr>
          <w:rFonts w:asciiTheme="minorHAnsi" w:hAnsiTheme="minorHAnsi" w:cstheme="minorHAnsi"/>
          <w:vertAlign w:val="superscript"/>
        </w:rPr>
        <w:t>-1</w:t>
      </w:r>
      <w:r w:rsidRPr="00747E35">
        <w:rPr>
          <w:rFonts w:asciiTheme="minorHAnsi" w:hAnsiTheme="minorHAnsi" w:cstheme="minorHAnsi"/>
        </w:rPr>
        <w:t xml:space="preserve"> at the intermittent riparian site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_Ref466191435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w:t>
      </w:r>
      <w:r w:rsidRPr="00747E35">
        <w:rPr>
          <w:rFonts w:asciiTheme="minorHAnsi" w:hAnsiTheme="minorHAnsi" w:cstheme="minorHAnsi"/>
        </w:rPr>
        <w:fldChar w:fldCharType="end"/>
      </w:r>
      <w:r w:rsidRPr="00747E35">
        <w:rPr>
          <w:rFonts w:asciiTheme="minorHAnsi" w:hAnsiTheme="minorHAnsi" w:cstheme="minorHAnsi"/>
        </w:rPr>
        <w:t>). There were also higher rates of litterfall over the summer period (October to March) than at other times of the year (F=8.23, p=0.01)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_Ref466191435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w:t>
      </w:r>
      <w:r w:rsidRPr="00747E35">
        <w:rPr>
          <w:rFonts w:asciiTheme="minorHAnsi" w:hAnsiTheme="minorHAnsi" w:cstheme="minorHAnsi"/>
        </w:rPr>
        <w:fldChar w:fldCharType="end"/>
      </w:r>
      <w:r w:rsidRPr="00747E35">
        <w:rPr>
          <w:rFonts w:asciiTheme="minorHAnsi" w:hAnsiTheme="minorHAnsi" w:cstheme="minorHAnsi"/>
        </w:rPr>
        <w:t>).</w:t>
      </w:r>
    </w:p>
    <w:p w14:paraId="75854B28" w14:textId="28AEDB42" w:rsidR="003D3694" w:rsidRPr="00747E35" w:rsidRDefault="003D3694" w:rsidP="003D3694">
      <w:pPr>
        <w:rPr>
          <w:rFonts w:asciiTheme="minorHAnsi" w:hAnsiTheme="minorHAnsi" w:cstheme="minorHAnsi"/>
        </w:rPr>
      </w:pPr>
      <w:r w:rsidRPr="00747E35">
        <w:rPr>
          <w:rFonts w:asciiTheme="minorHAnsi" w:hAnsiTheme="minorHAnsi" w:cstheme="minorHAnsi"/>
        </w:rPr>
        <w:t>River red gum</w:t>
      </w:r>
      <w:r w:rsidRPr="00747E35">
        <w:rPr>
          <w:rFonts w:asciiTheme="minorHAnsi" w:hAnsiTheme="minorHAnsi" w:cstheme="minorHAnsi"/>
          <w:i/>
        </w:rPr>
        <w:t xml:space="preserve"> (E. camaldulensis)</w:t>
      </w:r>
      <w:r w:rsidRPr="00747E35">
        <w:rPr>
          <w:rFonts w:asciiTheme="minorHAnsi" w:hAnsiTheme="minorHAnsi" w:cstheme="minorHAnsi"/>
        </w:rPr>
        <w:t xml:space="preserve"> was the dominant tree species on perennial riparian and floodplain sites at Maules Ck with by far the highest basal area, dbh and number of trees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_Ref466191461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7</w:t>
      </w:r>
      <w:r w:rsidRPr="00747E35">
        <w:rPr>
          <w:rFonts w:asciiTheme="minorHAnsi" w:hAnsiTheme="minorHAnsi" w:cstheme="minorHAnsi"/>
        </w:rPr>
        <w:fldChar w:fldCharType="end"/>
      </w:r>
      <w:r w:rsidRPr="00747E35">
        <w:rPr>
          <w:rFonts w:asciiTheme="minorHAnsi" w:hAnsiTheme="minorHAnsi" w:cstheme="minorHAnsi"/>
        </w:rPr>
        <w:t>).  This species also occurred at the intermittent sites but with lower biomass and canopy cover. River red gums are considered mesophytes and able to tolerate high water tables and flooded conditions and are widespread throughout most of Australia as riparian and floodplain trees. The other prominent overstorey species were the obligate riparian species River Oak (</w:t>
      </w:r>
      <w:r w:rsidRPr="00747E35">
        <w:rPr>
          <w:rFonts w:asciiTheme="minorHAnsi" w:hAnsiTheme="minorHAnsi" w:cstheme="minorHAnsi"/>
          <w:i/>
        </w:rPr>
        <w:t>Casuarina cunninghamiana)</w:t>
      </w:r>
      <w:r w:rsidRPr="00747E35">
        <w:rPr>
          <w:rFonts w:asciiTheme="minorHAnsi" w:hAnsiTheme="minorHAnsi" w:cstheme="minorHAnsi"/>
        </w:rPr>
        <w:t xml:space="preserve"> and Black tea-tree (</w:t>
      </w:r>
      <w:r w:rsidRPr="00747E35">
        <w:rPr>
          <w:rFonts w:asciiTheme="minorHAnsi" w:hAnsiTheme="minorHAnsi" w:cstheme="minorHAnsi"/>
          <w:i/>
        </w:rPr>
        <w:t>Melaeuca bracteata)</w:t>
      </w:r>
      <w:r w:rsidRPr="00747E35">
        <w:rPr>
          <w:rFonts w:asciiTheme="minorHAnsi" w:hAnsiTheme="minorHAnsi" w:cstheme="minorHAnsi"/>
        </w:rPr>
        <w:t>.  On the intermittent floodplain and terrestrial sites, native cypress pine (</w:t>
      </w:r>
      <w:r w:rsidRPr="00747E35">
        <w:rPr>
          <w:rFonts w:asciiTheme="minorHAnsi" w:hAnsiTheme="minorHAnsi" w:cstheme="minorHAnsi"/>
          <w:i/>
          <w:iCs/>
        </w:rPr>
        <w:t xml:space="preserve">Callitris glaucophylla) </w:t>
      </w:r>
      <w:r w:rsidRPr="00747E35">
        <w:rPr>
          <w:rFonts w:asciiTheme="minorHAnsi" w:hAnsiTheme="minorHAnsi" w:cstheme="minorHAnsi"/>
          <w:iCs/>
        </w:rPr>
        <w:t>was the most abundant overstorey tree, although total tree basal area was much lower than at riparian and floodplain perennial sites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_Ref466191461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7</w:t>
      </w:r>
      <w:r w:rsidRPr="00747E35">
        <w:rPr>
          <w:rFonts w:asciiTheme="minorHAnsi" w:hAnsiTheme="minorHAnsi" w:cstheme="minorHAnsi"/>
        </w:rPr>
        <w:fldChar w:fldCharType="end"/>
      </w:r>
      <w:r w:rsidRPr="00747E35">
        <w:rPr>
          <w:rFonts w:asciiTheme="minorHAnsi" w:hAnsiTheme="minorHAnsi" w:cstheme="minorHAnsi"/>
          <w:iCs/>
        </w:rPr>
        <w:t xml:space="preserve">).  This species can be considered a xerophyte with features indicating adaptation to dry conditions. At the Bremer sites </w:t>
      </w:r>
      <w:r w:rsidRPr="00747E35">
        <w:rPr>
          <w:rFonts w:asciiTheme="minorHAnsi" w:hAnsiTheme="minorHAnsi" w:cstheme="minorHAnsi"/>
          <w:iCs/>
        </w:rPr>
        <w:lastRenderedPageBreak/>
        <w:t xml:space="preserve">the riparian trees with the highest biomass were C. </w:t>
      </w:r>
      <w:r w:rsidRPr="00747E35">
        <w:rPr>
          <w:rFonts w:asciiTheme="minorHAnsi" w:hAnsiTheme="minorHAnsi" w:cstheme="minorHAnsi"/>
          <w:i/>
        </w:rPr>
        <w:t>cunninghamiana</w:t>
      </w:r>
      <w:r w:rsidRPr="00747E35">
        <w:rPr>
          <w:rFonts w:asciiTheme="minorHAnsi" w:hAnsiTheme="minorHAnsi" w:cstheme="minorHAnsi"/>
        </w:rPr>
        <w:t xml:space="preserve"> and </w:t>
      </w:r>
      <w:r w:rsidRPr="00747E35">
        <w:rPr>
          <w:rFonts w:asciiTheme="minorHAnsi" w:hAnsiTheme="minorHAnsi" w:cstheme="minorHAnsi"/>
          <w:i/>
        </w:rPr>
        <w:t xml:space="preserve">M. bracteata </w:t>
      </w:r>
      <w:r w:rsidRPr="00747E35">
        <w:rPr>
          <w:rFonts w:asciiTheme="minorHAnsi" w:hAnsiTheme="minorHAnsi" w:cstheme="minorHAnsi"/>
        </w:rPr>
        <w:t>with</w:t>
      </w:r>
      <w:r w:rsidRPr="00747E35">
        <w:rPr>
          <w:rFonts w:asciiTheme="minorHAnsi" w:hAnsiTheme="minorHAnsi" w:cstheme="minorHAnsi"/>
          <w:i/>
        </w:rPr>
        <w:t xml:space="preserve"> M. bracteata </w:t>
      </w:r>
      <w:r w:rsidRPr="00747E35">
        <w:rPr>
          <w:rFonts w:asciiTheme="minorHAnsi" w:hAnsiTheme="minorHAnsi" w:cstheme="minorHAnsi"/>
        </w:rPr>
        <w:t>also common on floodplain sites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_Ref466191461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7</w:t>
      </w:r>
      <w:r w:rsidRPr="00747E35">
        <w:rPr>
          <w:rFonts w:asciiTheme="minorHAnsi" w:hAnsiTheme="minorHAnsi" w:cstheme="minorHAnsi"/>
        </w:rPr>
        <w:fldChar w:fldCharType="end"/>
      </w:r>
      <w:r w:rsidRPr="00747E35">
        <w:rPr>
          <w:rFonts w:asciiTheme="minorHAnsi" w:hAnsiTheme="minorHAnsi" w:cstheme="minorHAnsi"/>
        </w:rPr>
        <w:t>).  As for Maules Creek sites, the dominant overstorey trees were similar between the terrestrial and floodplain intermittent sites on the Bremer River. These were the forest red gum (</w:t>
      </w:r>
      <w:r w:rsidRPr="00747E35">
        <w:rPr>
          <w:rFonts w:asciiTheme="minorHAnsi" w:hAnsiTheme="minorHAnsi" w:cstheme="minorHAnsi"/>
          <w:i/>
        </w:rPr>
        <w:t>E. tereticornis</w:t>
      </w:r>
      <w:r w:rsidRPr="00747E35">
        <w:rPr>
          <w:rFonts w:asciiTheme="minorHAnsi" w:hAnsiTheme="minorHAnsi" w:cstheme="minorHAnsi"/>
        </w:rPr>
        <w:t>) and Carbeen (</w:t>
      </w:r>
      <w:r w:rsidRPr="00747E35">
        <w:rPr>
          <w:rFonts w:asciiTheme="minorHAnsi" w:hAnsiTheme="minorHAnsi" w:cstheme="minorHAnsi"/>
          <w:i/>
        </w:rPr>
        <w:t>Corymbia tessellaris</w:t>
      </w:r>
      <w:r w:rsidRPr="00747E35">
        <w:rPr>
          <w:rFonts w:asciiTheme="minorHAnsi" w:hAnsiTheme="minorHAnsi" w:cstheme="minorHAnsi"/>
        </w:rPr>
        <w:t xml:space="preserve">).  These species occur across a wide variety of habitats and can be considered semi-xerophytes. The obligate riparian tree </w:t>
      </w:r>
      <w:r w:rsidRPr="00747E35">
        <w:rPr>
          <w:rFonts w:asciiTheme="minorHAnsi" w:hAnsiTheme="minorHAnsi" w:cstheme="minorHAnsi"/>
          <w:i/>
        </w:rPr>
        <w:t>Melaleuca viminea</w:t>
      </w:r>
      <w:r w:rsidRPr="00747E35">
        <w:rPr>
          <w:rFonts w:asciiTheme="minorHAnsi" w:hAnsiTheme="minorHAnsi" w:cstheme="minorHAnsi"/>
        </w:rPr>
        <w:t xml:space="preserve"> was a common riparian species that appears restricted to streams with perennial pools.</w:t>
      </w:r>
    </w:p>
    <w:p w14:paraId="15A13831" w14:textId="77777777" w:rsidR="003D3694" w:rsidRPr="00747E35" w:rsidRDefault="003D3694" w:rsidP="003D3694">
      <w:pPr>
        <w:rPr>
          <w:rFonts w:asciiTheme="minorHAnsi" w:hAnsiTheme="minorHAnsi" w:cstheme="minorHAnsi"/>
        </w:rPr>
      </w:pPr>
    </w:p>
    <w:p w14:paraId="64F5709D"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51" w:name="_Ref466189843"/>
      <w:r w:rsidRPr="00747E35">
        <w:rPr>
          <w:rFonts w:asciiTheme="minorHAnsi" w:hAnsiTheme="minorHAnsi" w:cstheme="minorHAnsi"/>
          <w:i/>
          <w:color w:val="5B9BD5" w:themeColor="accent1"/>
          <w:sz w:val="20"/>
          <w:szCs w:val="20"/>
        </w:rPr>
        <w:t xml:space="preserve">Table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Table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6</w:t>
      </w:r>
      <w:r w:rsidRPr="00747E35">
        <w:rPr>
          <w:rFonts w:asciiTheme="minorHAnsi" w:hAnsiTheme="minorHAnsi" w:cstheme="minorHAnsi"/>
          <w:i/>
          <w:noProof/>
          <w:color w:val="5B9BD5" w:themeColor="accent1"/>
          <w:sz w:val="20"/>
          <w:szCs w:val="20"/>
        </w:rPr>
        <w:fldChar w:fldCharType="end"/>
      </w:r>
      <w:bookmarkEnd w:id="51"/>
      <w:r w:rsidRPr="00747E35">
        <w:rPr>
          <w:rFonts w:asciiTheme="minorHAnsi" w:hAnsiTheme="minorHAnsi" w:cstheme="minorHAnsi"/>
          <w:i/>
          <w:color w:val="5B9BD5" w:themeColor="accent1"/>
          <w:sz w:val="20"/>
          <w:szCs w:val="20"/>
        </w:rPr>
        <w:t>: Top five indicator species (Simper results) for each landscape position at the Maules Creek and Bremer River study sites.</w:t>
      </w:r>
    </w:p>
    <w:tbl>
      <w:tblPr>
        <w:tblStyle w:val="TableGrid2"/>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42"/>
        <w:gridCol w:w="2268"/>
        <w:gridCol w:w="851"/>
        <w:gridCol w:w="850"/>
        <w:gridCol w:w="2268"/>
        <w:gridCol w:w="851"/>
        <w:gridCol w:w="850"/>
      </w:tblGrid>
      <w:tr w:rsidR="003D3694" w:rsidRPr="00090218" w14:paraId="08B5344C" w14:textId="77777777" w:rsidTr="00B004E4">
        <w:trPr>
          <w:tblHeader/>
        </w:trPr>
        <w:tc>
          <w:tcPr>
            <w:tcW w:w="1242" w:type="dxa"/>
            <w:tcBorders>
              <w:top w:val="single" w:sz="4" w:space="0" w:color="auto"/>
              <w:bottom w:val="single" w:sz="4" w:space="0" w:color="auto"/>
            </w:tcBorders>
            <w:shd w:val="clear" w:color="auto" w:fill="DEEAF6" w:themeFill="accent1" w:themeFillTint="33"/>
          </w:tcPr>
          <w:p w14:paraId="36EE1572" w14:textId="09897E6E" w:rsidR="003D3694" w:rsidRPr="00090218" w:rsidRDefault="00090218" w:rsidP="0096743A">
            <w:pPr>
              <w:autoSpaceDE/>
              <w:autoSpaceDN/>
              <w:spacing w:after="0"/>
              <w:rPr>
                <w:rFonts w:asciiTheme="minorHAnsi" w:eastAsia="Times New Roman" w:hAnsiTheme="minorHAnsi" w:cstheme="minorHAnsi"/>
                <w:i/>
                <w:iCs/>
                <w:color w:val="1F4D78" w:themeColor="accent1" w:themeShade="7F"/>
                <w:sz w:val="20"/>
                <w:szCs w:val="20"/>
                <w:lang w:val="en-AU" w:eastAsia="en-AU"/>
              </w:rPr>
            </w:pPr>
            <w:r w:rsidRPr="00090218">
              <w:rPr>
                <w:rFonts w:asciiTheme="minorHAnsi" w:eastAsia="Times New Roman" w:hAnsiTheme="minorHAnsi" w:cstheme="minorHAnsi"/>
                <w:sz w:val="20"/>
                <w:szCs w:val="20"/>
                <w:lang w:val="en-AU" w:eastAsia="en-AU"/>
              </w:rPr>
              <w:t>Land</w:t>
            </w:r>
            <w:r w:rsidR="003D3694" w:rsidRPr="00090218">
              <w:rPr>
                <w:rFonts w:asciiTheme="minorHAnsi" w:eastAsia="Times New Roman" w:hAnsiTheme="minorHAnsi" w:cstheme="minorHAnsi"/>
                <w:sz w:val="20"/>
                <w:szCs w:val="20"/>
                <w:lang w:val="en-AU" w:eastAsia="en-AU"/>
              </w:rPr>
              <w:t>scape</w:t>
            </w:r>
          </w:p>
        </w:tc>
        <w:tc>
          <w:tcPr>
            <w:tcW w:w="2268" w:type="dxa"/>
            <w:tcBorders>
              <w:top w:val="single" w:sz="4" w:space="0" w:color="auto"/>
              <w:bottom w:val="single" w:sz="4" w:space="0" w:color="auto"/>
            </w:tcBorders>
            <w:shd w:val="clear" w:color="auto" w:fill="DEEAF6" w:themeFill="accent1" w:themeFillTint="33"/>
          </w:tcPr>
          <w:p w14:paraId="66B98B28" w14:textId="77777777" w:rsidR="003D3694" w:rsidRPr="00090218" w:rsidRDefault="003D3694" w:rsidP="0096743A">
            <w:pPr>
              <w:autoSpaceDE/>
              <w:autoSpaceDN/>
              <w:spacing w:after="0"/>
              <w:rPr>
                <w:rFonts w:asciiTheme="minorHAnsi" w:eastAsia="Times New Roman" w:hAnsiTheme="minorHAnsi" w:cstheme="minorHAnsi"/>
                <w:i/>
                <w:iCs/>
                <w:color w:val="1F4D78" w:themeColor="accent1" w:themeShade="7F"/>
                <w:sz w:val="20"/>
                <w:szCs w:val="20"/>
                <w:lang w:val="en-AU" w:eastAsia="en-AU"/>
              </w:rPr>
            </w:pPr>
            <w:r w:rsidRPr="00090218">
              <w:rPr>
                <w:rFonts w:asciiTheme="minorHAnsi" w:eastAsia="Times New Roman" w:hAnsiTheme="minorHAnsi" w:cstheme="minorHAnsi"/>
                <w:sz w:val="20"/>
                <w:szCs w:val="20"/>
                <w:lang w:val="en-AU" w:eastAsia="en-AU"/>
              </w:rPr>
              <w:t>Maules Creek</w:t>
            </w:r>
          </w:p>
        </w:tc>
        <w:tc>
          <w:tcPr>
            <w:tcW w:w="851" w:type="dxa"/>
            <w:tcBorders>
              <w:top w:val="single" w:sz="4" w:space="0" w:color="auto"/>
              <w:bottom w:val="single" w:sz="4" w:space="0" w:color="auto"/>
            </w:tcBorders>
            <w:shd w:val="clear" w:color="auto" w:fill="DEEAF6" w:themeFill="accent1" w:themeFillTint="33"/>
          </w:tcPr>
          <w:p w14:paraId="771C6814" w14:textId="77777777" w:rsidR="003D3694" w:rsidRPr="00090218" w:rsidRDefault="003D3694" w:rsidP="0096743A">
            <w:pPr>
              <w:autoSpaceDE/>
              <w:autoSpaceDN/>
              <w:spacing w:after="0"/>
              <w:rPr>
                <w:rFonts w:asciiTheme="minorHAnsi" w:eastAsia="Times New Roman" w:hAnsiTheme="minorHAnsi" w:cstheme="minorHAnsi"/>
                <w:sz w:val="20"/>
                <w:szCs w:val="20"/>
                <w:lang w:val="en-AU" w:eastAsia="en-AU"/>
              </w:rPr>
            </w:pPr>
          </w:p>
        </w:tc>
        <w:tc>
          <w:tcPr>
            <w:tcW w:w="850" w:type="dxa"/>
            <w:tcBorders>
              <w:top w:val="single" w:sz="4" w:space="0" w:color="auto"/>
              <w:bottom w:val="single" w:sz="4" w:space="0" w:color="auto"/>
              <w:right w:val="single" w:sz="4" w:space="0" w:color="auto"/>
            </w:tcBorders>
            <w:shd w:val="clear" w:color="auto" w:fill="DEEAF6" w:themeFill="accent1" w:themeFillTint="33"/>
          </w:tcPr>
          <w:p w14:paraId="17D1AC59" w14:textId="77777777" w:rsidR="003D3694" w:rsidRPr="00090218" w:rsidRDefault="003D3694" w:rsidP="0096743A">
            <w:pPr>
              <w:autoSpaceDE/>
              <w:autoSpaceDN/>
              <w:spacing w:after="0"/>
              <w:rPr>
                <w:rFonts w:asciiTheme="minorHAnsi" w:eastAsia="Times New Roman" w:hAnsiTheme="minorHAnsi" w:cstheme="minorHAnsi"/>
                <w:sz w:val="20"/>
                <w:szCs w:val="20"/>
                <w:lang w:val="en-AU" w:eastAsia="en-AU"/>
              </w:rPr>
            </w:pPr>
          </w:p>
        </w:tc>
        <w:tc>
          <w:tcPr>
            <w:tcW w:w="2268" w:type="dxa"/>
            <w:tcBorders>
              <w:top w:val="single" w:sz="4" w:space="0" w:color="auto"/>
              <w:left w:val="single" w:sz="4" w:space="0" w:color="auto"/>
              <w:bottom w:val="single" w:sz="4" w:space="0" w:color="auto"/>
            </w:tcBorders>
            <w:shd w:val="clear" w:color="auto" w:fill="DEEAF6" w:themeFill="accent1" w:themeFillTint="33"/>
          </w:tcPr>
          <w:p w14:paraId="61CD8728" w14:textId="77777777" w:rsidR="003D3694" w:rsidRPr="00090218" w:rsidRDefault="003D3694" w:rsidP="0096743A">
            <w:pPr>
              <w:autoSpaceDE/>
              <w:autoSpaceDN/>
              <w:spacing w:after="0"/>
              <w:rPr>
                <w:rFonts w:asciiTheme="minorHAnsi" w:eastAsia="Times New Roman" w:hAnsiTheme="minorHAnsi" w:cstheme="minorHAnsi"/>
                <w:i/>
                <w:iCs/>
                <w:color w:val="1F4D78" w:themeColor="accent1" w:themeShade="7F"/>
                <w:sz w:val="20"/>
                <w:szCs w:val="20"/>
                <w:lang w:val="en-AU" w:eastAsia="en-AU"/>
              </w:rPr>
            </w:pPr>
            <w:r w:rsidRPr="00090218">
              <w:rPr>
                <w:rFonts w:asciiTheme="minorHAnsi" w:eastAsia="Times New Roman" w:hAnsiTheme="minorHAnsi" w:cstheme="minorHAnsi"/>
                <w:sz w:val="20"/>
                <w:szCs w:val="20"/>
                <w:lang w:val="en-AU" w:eastAsia="en-AU"/>
              </w:rPr>
              <w:t>Bremer River</w:t>
            </w:r>
          </w:p>
        </w:tc>
        <w:tc>
          <w:tcPr>
            <w:tcW w:w="851" w:type="dxa"/>
            <w:tcBorders>
              <w:top w:val="single" w:sz="4" w:space="0" w:color="auto"/>
              <w:bottom w:val="single" w:sz="4" w:space="0" w:color="auto"/>
            </w:tcBorders>
            <w:shd w:val="clear" w:color="auto" w:fill="DEEAF6" w:themeFill="accent1" w:themeFillTint="33"/>
          </w:tcPr>
          <w:p w14:paraId="24C6E58C" w14:textId="77777777" w:rsidR="003D3694" w:rsidRPr="00090218" w:rsidRDefault="003D3694" w:rsidP="0096743A">
            <w:pPr>
              <w:autoSpaceDE/>
              <w:autoSpaceDN/>
              <w:spacing w:after="0"/>
              <w:rPr>
                <w:rFonts w:asciiTheme="minorHAnsi" w:eastAsia="Times New Roman" w:hAnsiTheme="minorHAnsi" w:cstheme="minorHAnsi"/>
                <w:sz w:val="20"/>
                <w:szCs w:val="20"/>
                <w:lang w:val="en-AU" w:eastAsia="en-AU"/>
              </w:rPr>
            </w:pPr>
          </w:p>
        </w:tc>
        <w:tc>
          <w:tcPr>
            <w:tcW w:w="850" w:type="dxa"/>
            <w:tcBorders>
              <w:top w:val="single" w:sz="4" w:space="0" w:color="auto"/>
              <w:bottom w:val="single" w:sz="4" w:space="0" w:color="auto"/>
            </w:tcBorders>
            <w:shd w:val="clear" w:color="auto" w:fill="DEEAF6" w:themeFill="accent1" w:themeFillTint="33"/>
          </w:tcPr>
          <w:p w14:paraId="7D60E16E" w14:textId="77777777" w:rsidR="003D3694" w:rsidRPr="00090218" w:rsidRDefault="003D3694" w:rsidP="0096743A">
            <w:pPr>
              <w:autoSpaceDE/>
              <w:autoSpaceDN/>
              <w:spacing w:after="0"/>
              <w:rPr>
                <w:rFonts w:asciiTheme="minorHAnsi" w:eastAsia="Times New Roman" w:hAnsiTheme="minorHAnsi" w:cstheme="minorHAnsi"/>
                <w:sz w:val="20"/>
                <w:szCs w:val="20"/>
                <w:lang w:val="en-AU" w:eastAsia="en-AU"/>
              </w:rPr>
            </w:pPr>
          </w:p>
        </w:tc>
      </w:tr>
      <w:tr w:rsidR="003D3694" w:rsidRPr="00747E35" w14:paraId="33030032" w14:textId="77777777" w:rsidTr="00B004E4">
        <w:trPr>
          <w:tblHeader/>
        </w:trPr>
        <w:tc>
          <w:tcPr>
            <w:tcW w:w="1242" w:type="dxa"/>
            <w:tcBorders>
              <w:top w:val="single" w:sz="4" w:space="0" w:color="auto"/>
              <w:bottom w:val="single" w:sz="4" w:space="0" w:color="auto"/>
            </w:tcBorders>
            <w:shd w:val="clear" w:color="auto" w:fill="DEEAF6" w:themeFill="accent1" w:themeFillTint="33"/>
          </w:tcPr>
          <w:p w14:paraId="2AA3FA7D"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p>
        </w:tc>
        <w:tc>
          <w:tcPr>
            <w:tcW w:w="2268" w:type="dxa"/>
            <w:tcBorders>
              <w:top w:val="single" w:sz="4" w:space="0" w:color="auto"/>
              <w:bottom w:val="single" w:sz="4" w:space="0" w:color="auto"/>
            </w:tcBorders>
            <w:shd w:val="clear" w:color="auto" w:fill="DEEAF6" w:themeFill="accent1" w:themeFillTint="33"/>
          </w:tcPr>
          <w:p w14:paraId="6FCD4DB2"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Species</w:t>
            </w:r>
          </w:p>
        </w:tc>
        <w:tc>
          <w:tcPr>
            <w:tcW w:w="851" w:type="dxa"/>
            <w:tcBorders>
              <w:top w:val="single" w:sz="4" w:space="0" w:color="auto"/>
              <w:bottom w:val="single" w:sz="4" w:space="0" w:color="auto"/>
            </w:tcBorders>
            <w:shd w:val="clear" w:color="auto" w:fill="DEEAF6" w:themeFill="accent1" w:themeFillTint="33"/>
          </w:tcPr>
          <w:p w14:paraId="322AA006"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Abun.</w:t>
            </w:r>
          </w:p>
        </w:tc>
        <w:tc>
          <w:tcPr>
            <w:tcW w:w="850" w:type="dxa"/>
            <w:tcBorders>
              <w:top w:val="single" w:sz="4" w:space="0" w:color="auto"/>
              <w:bottom w:val="single" w:sz="4" w:space="0" w:color="auto"/>
              <w:right w:val="single" w:sz="4" w:space="0" w:color="auto"/>
            </w:tcBorders>
            <w:shd w:val="clear" w:color="auto" w:fill="DEEAF6" w:themeFill="accent1" w:themeFillTint="33"/>
          </w:tcPr>
          <w:p w14:paraId="2849D17C"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 Cont.</w:t>
            </w:r>
          </w:p>
        </w:tc>
        <w:tc>
          <w:tcPr>
            <w:tcW w:w="2268" w:type="dxa"/>
            <w:tcBorders>
              <w:top w:val="single" w:sz="4" w:space="0" w:color="auto"/>
              <w:left w:val="single" w:sz="4" w:space="0" w:color="auto"/>
              <w:bottom w:val="single" w:sz="4" w:space="0" w:color="auto"/>
            </w:tcBorders>
            <w:shd w:val="clear" w:color="auto" w:fill="DEEAF6" w:themeFill="accent1" w:themeFillTint="33"/>
          </w:tcPr>
          <w:p w14:paraId="32F64A94"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Species</w:t>
            </w:r>
          </w:p>
        </w:tc>
        <w:tc>
          <w:tcPr>
            <w:tcW w:w="851" w:type="dxa"/>
            <w:tcBorders>
              <w:top w:val="single" w:sz="4" w:space="0" w:color="auto"/>
              <w:bottom w:val="single" w:sz="4" w:space="0" w:color="auto"/>
            </w:tcBorders>
            <w:shd w:val="clear" w:color="auto" w:fill="DEEAF6" w:themeFill="accent1" w:themeFillTint="33"/>
          </w:tcPr>
          <w:p w14:paraId="2D97E303"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Abun.</w:t>
            </w:r>
          </w:p>
        </w:tc>
        <w:tc>
          <w:tcPr>
            <w:tcW w:w="850" w:type="dxa"/>
            <w:tcBorders>
              <w:top w:val="single" w:sz="4" w:space="0" w:color="auto"/>
              <w:bottom w:val="single" w:sz="4" w:space="0" w:color="auto"/>
            </w:tcBorders>
            <w:shd w:val="clear" w:color="auto" w:fill="DEEAF6" w:themeFill="accent1" w:themeFillTint="33"/>
          </w:tcPr>
          <w:p w14:paraId="36ECBC5D"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 Cont.</w:t>
            </w:r>
          </w:p>
        </w:tc>
      </w:tr>
      <w:tr w:rsidR="003D3694" w:rsidRPr="00747E35" w14:paraId="4A11A3DF" w14:textId="77777777" w:rsidTr="0096743A">
        <w:tc>
          <w:tcPr>
            <w:tcW w:w="1242" w:type="dxa"/>
            <w:tcBorders>
              <w:top w:val="single" w:sz="4" w:space="0" w:color="auto"/>
            </w:tcBorders>
          </w:tcPr>
          <w:p w14:paraId="152B51C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Riparian Perennial</w:t>
            </w:r>
          </w:p>
        </w:tc>
        <w:tc>
          <w:tcPr>
            <w:tcW w:w="2268" w:type="dxa"/>
            <w:tcBorders>
              <w:top w:val="single" w:sz="4" w:space="0" w:color="auto"/>
            </w:tcBorders>
            <w:vAlign w:val="bottom"/>
          </w:tcPr>
          <w:p w14:paraId="39ED5AC5"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Eucalyptus camaldulensis</w:t>
            </w:r>
          </w:p>
        </w:tc>
        <w:tc>
          <w:tcPr>
            <w:tcW w:w="851" w:type="dxa"/>
            <w:tcBorders>
              <w:top w:val="single" w:sz="4" w:space="0" w:color="auto"/>
            </w:tcBorders>
            <w:vAlign w:val="bottom"/>
          </w:tcPr>
          <w:p w14:paraId="61C00DBB"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5.1</w:t>
            </w:r>
          </w:p>
        </w:tc>
        <w:tc>
          <w:tcPr>
            <w:tcW w:w="850" w:type="dxa"/>
            <w:tcBorders>
              <w:top w:val="single" w:sz="4" w:space="0" w:color="auto"/>
              <w:right w:val="single" w:sz="4" w:space="0" w:color="auto"/>
            </w:tcBorders>
            <w:vAlign w:val="bottom"/>
          </w:tcPr>
          <w:p w14:paraId="1FDBBACB"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28.7</w:t>
            </w:r>
          </w:p>
        </w:tc>
        <w:tc>
          <w:tcPr>
            <w:tcW w:w="2268" w:type="dxa"/>
            <w:tcBorders>
              <w:top w:val="single" w:sz="4" w:space="0" w:color="auto"/>
              <w:left w:val="single" w:sz="4" w:space="0" w:color="auto"/>
            </w:tcBorders>
            <w:vAlign w:val="bottom"/>
          </w:tcPr>
          <w:p w14:paraId="4B99BAE3"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Casuarina cunninghamiana</w:t>
            </w:r>
          </w:p>
        </w:tc>
        <w:tc>
          <w:tcPr>
            <w:tcW w:w="851" w:type="dxa"/>
            <w:tcBorders>
              <w:top w:val="single" w:sz="4" w:space="0" w:color="auto"/>
            </w:tcBorders>
            <w:vAlign w:val="bottom"/>
          </w:tcPr>
          <w:p w14:paraId="63A378B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3.6</w:t>
            </w:r>
          </w:p>
        </w:tc>
        <w:tc>
          <w:tcPr>
            <w:tcW w:w="850" w:type="dxa"/>
            <w:tcBorders>
              <w:top w:val="single" w:sz="4" w:space="0" w:color="auto"/>
            </w:tcBorders>
            <w:vAlign w:val="bottom"/>
          </w:tcPr>
          <w:p w14:paraId="115A238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17.7</w:t>
            </w:r>
          </w:p>
        </w:tc>
      </w:tr>
      <w:tr w:rsidR="003D3694" w:rsidRPr="00747E35" w14:paraId="7859A5B7" w14:textId="77777777" w:rsidTr="0096743A">
        <w:tc>
          <w:tcPr>
            <w:tcW w:w="1242" w:type="dxa"/>
          </w:tcPr>
          <w:p w14:paraId="21C873D6" w14:textId="77777777" w:rsidR="003D3694" w:rsidRPr="00747E35" w:rsidRDefault="003D3694" w:rsidP="0096743A">
            <w:pPr>
              <w:spacing w:after="0"/>
              <w:rPr>
                <w:rFonts w:asciiTheme="minorHAnsi" w:hAnsiTheme="minorHAnsi" w:cstheme="minorHAnsi"/>
                <w:sz w:val="18"/>
              </w:rPr>
            </w:pPr>
          </w:p>
        </w:tc>
        <w:tc>
          <w:tcPr>
            <w:tcW w:w="2268" w:type="dxa"/>
            <w:vAlign w:val="bottom"/>
          </w:tcPr>
          <w:p w14:paraId="221099B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i/>
                <w:sz w:val="18"/>
              </w:rPr>
              <w:t>Cyperus</w:t>
            </w:r>
            <w:r w:rsidRPr="00747E35">
              <w:rPr>
                <w:rFonts w:asciiTheme="minorHAnsi" w:hAnsiTheme="minorHAnsi" w:cstheme="minorHAnsi"/>
                <w:sz w:val="18"/>
              </w:rPr>
              <w:t xml:space="preserve"> sp</w:t>
            </w:r>
          </w:p>
        </w:tc>
        <w:tc>
          <w:tcPr>
            <w:tcW w:w="851" w:type="dxa"/>
            <w:vAlign w:val="bottom"/>
          </w:tcPr>
          <w:p w14:paraId="71E57AB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2.3</w:t>
            </w:r>
          </w:p>
        </w:tc>
        <w:tc>
          <w:tcPr>
            <w:tcW w:w="850" w:type="dxa"/>
            <w:tcBorders>
              <w:right w:val="single" w:sz="4" w:space="0" w:color="auto"/>
            </w:tcBorders>
            <w:vAlign w:val="bottom"/>
          </w:tcPr>
          <w:p w14:paraId="0BA2712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12.3</w:t>
            </w:r>
          </w:p>
        </w:tc>
        <w:tc>
          <w:tcPr>
            <w:tcW w:w="2268" w:type="dxa"/>
            <w:tcBorders>
              <w:left w:val="single" w:sz="4" w:space="0" w:color="auto"/>
            </w:tcBorders>
            <w:vAlign w:val="bottom"/>
          </w:tcPr>
          <w:p w14:paraId="71DC1D44"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Melaleuca viminalis</w:t>
            </w:r>
          </w:p>
        </w:tc>
        <w:tc>
          <w:tcPr>
            <w:tcW w:w="851" w:type="dxa"/>
            <w:vAlign w:val="bottom"/>
          </w:tcPr>
          <w:p w14:paraId="245B9EB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3.0</w:t>
            </w:r>
          </w:p>
        </w:tc>
        <w:tc>
          <w:tcPr>
            <w:tcW w:w="850" w:type="dxa"/>
            <w:vAlign w:val="bottom"/>
          </w:tcPr>
          <w:p w14:paraId="69E459E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12.2</w:t>
            </w:r>
          </w:p>
        </w:tc>
      </w:tr>
      <w:tr w:rsidR="003D3694" w:rsidRPr="00747E35" w14:paraId="7A0B9E1E" w14:textId="77777777" w:rsidTr="0096743A">
        <w:tc>
          <w:tcPr>
            <w:tcW w:w="1242" w:type="dxa"/>
          </w:tcPr>
          <w:p w14:paraId="22376388" w14:textId="77777777" w:rsidR="003D3694" w:rsidRPr="00747E35" w:rsidRDefault="003D3694" w:rsidP="0096743A">
            <w:pPr>
              <w:spacing w:after="0"/>
              <w:rPr>
                <w:rFonts w:asciiTheme="minorHAnsi" w:hAnsiTheme="minorHAnsi" w:cstheme="minorHAnsi"/>
                <w:sz w:val="18"/>
              </w:rPr>
            </w:pPr>
          </w:p>
        </w:tc>
        <w:tc>
          <w:tcPr>
            <w:tcW w:w="2268" w:type="dxa"/>
            <w:vAlign w:val="bottom"/>
          </w:tcPr>
          <w:p w14:paraId="41F20A3C"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Leptochloa digitata</w:t>
            </w:r>
          </w:p>
        </w:tc>
        <w:tc>
          <w:tcPr>
            <w:tcW w:w="851" w:type="dxa"/>
            <w:vAlign w:val="bottom"/>
          </w:tcPr>
          <w:p w14:paraId="7D7F719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3.1</w:t>
            </w:r>
          </w:p>
        </w:tc>
        <w:tc>
          <w:tcPr>
            <w:tcW w:w="850" w:type="dxa"/>
            <w:tcBorders>
              <w:right w:val="single" w:sz="4" w:space="0" w:color="auto"/>
            </w:tcBorders>
            <w:vAlign w:val="bottom"/>
          </w:tcPr>
          <w:p w14:paraId="1D36A1B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9.9</w:t>
            </w:r>
          </w:p>
        </w:tc>
        <w:tc>
          <w:tcPr>
            <w:tcW w:w="2268" w:type="dxa"/>
            <w:tcBorders>
              <w:left w:val="single" w:sz="4" w:space="0" w:color="auto"/>
            </w:tcBorders>
            <w:vAlign w:val="bottom"/>
          </w:tcPr>
          <w:p w14:paraId="53E722A1"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Melaleuca bracteata</w:t>
            </w:r>
          </w:p>
        </w:tc>
        <w:tc>
          <w:tcPr>
            <w:tcW w:w="851" w:type="dxa"/>
            <w:vAlign w:val="bottom"/>
          </w:tcPr>
          <w:p w14:paraId="65284DF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3.4</w:t>
            </w:r>
          </w:p>
        </w:tc>
        <w:tc>
          <w:tcPr>
            <w:tcW w:w="850" w:type="dxa"/>
            <w:vAlign w:val="bottom"/>
          </w:tcPr>
          <w:p w14:paraId="5643972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12.1</w:t>
            </w:r>
          </w:p>
        </w:tc>
      </w:tr>
      <w:tr w:rsidR="003D3694" w:rsidRPr="00747E35" w14:paraId="3721CFED" w14:textId="77777777" w:rsidTr="0096743A">
        <w:tc>
          <w:tcPr>
            <w:tcW w:w="1242" w:type="dxa"/>
          </w:tcPr>
          <w:p w14:paraId="2ABDE002" w14:textId="77777777" w:rsidR="003D3694" w:rsidRPr="00747E35" w:rsidRDefault="003D3694" w:rsidP="0096743A">
            <w:pPr>
              <w:spacing w:after="0"/>
              <w:rPr>
                <w:rFonts w:asciiTheme="minorHAnsi" w:hAnsiTheme="minorHAnsi" w:cstheme="minorHAnsi"/>
                <w:sz w:val="18"/>
              </w:rPr>
            </w:pPr>
          </w:p>
        </w:tc>
        <w:tc>
          <w:tcPr>
            <w:tcW w:w="2268" w:type="dxa"/>
            <w:vAlign w:val="bottom"/>
          </w:tcPr>
          <w:p w14:paraId="514770F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i/>
                <w:sz w:val="18"/>
              </w:rPr>
              <w:t xml:space="preserve">Pericarya </w:t>
            </w:r>
            <w:r w:rsidRPr="00747E35">
              <w:rPr>
                <w:rFonts w:asciiTheme="minorHAnsi" w:hAnsiTheme="minorHAnsi" w:cstheme="minorHAnsi"/>
                <w:sz w:val="18"/>
              </w:rPr>
              <w:t>sp</w:t>
            </w:r>
          </w:p>
        </w:tc>
        <w:tc>
          <w:tcPr>
            <w:tcW w:w="851" w:type="dxa"/>
            <w:vAlign w:val="bottom"/>
          </w:tcPr>
          <w:p w14:paraId="3CC65F9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1.4</w:t>
            </w:r>
          </w:p>
        </w:tc>
        <w:tc>
          <w:tcPr>
            <w:tcW w:w="850" w:type="dxa"/>
            <w:tcBorders>
              <w:right w:val="single" w:sz="4" w:space="0" w:color="auto"/>
            </w:tcBorders>
            <w:vAlign w:val="bottom"/>
          </w:tcPr>
          <w:p w14:paraId="214E213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6.4</w:t>
            </w:r>
          </w:p>
        </w:tc>
        <w:tc>
          <w:tcPr>
            <w:tcW w:w="2268" w:type="dxa"/>
            <w:tcBorders>
              <w:left w:val="single" w:sz="4" w:space="0" w:color="auto"/>
            </w:tcBorders>
            <w:vAlign w:val="bottom"/>
          </w:tcPr>
          <w:p w14:paraId="4D5CEA09"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Cynodon dactylis</w:t>
            </w:r>
          </w:p>
        </w:tc>
        <w:tc>
          <w:tcPr>
            <w:tcW w:w="851" w:type="dxa"/>
            <w:vAlign w:val="bottom"/>
          </w:tcPr>
          <w:p w14:paraId="008B37C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2.8</w:t>
            </w:r>
          </w:p>
        </w:tc>
        <w:tc>
          <w:tcPr>
            <w:tcW w:w="850" w:type="dxa"/>
            <w:vAlign w:val="bottom"/>
          </w:tcPr>
          <w:p w14:paraId="77E8C02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10.3</w:t>
            </w:r>
          </w:p>
        </w:tc>
      </w:tr>
      <w:tr w:rsidR="003D3694" w:rsidRPr="00747E35" w14:paraId="3B819E5D" w14:textId="77777777" w:rsidTr="0096743A">
        <w:tc>
          <w:tcPr>
            <w:tcW w:w="1242" w:type="dxa"/>
            <w:tcBorders>
              <w:bottom w:val="single" w:sz="4" w:space="0" w:color="auto"/>
            </w:tcBorders>
          </w:tcPr>
          <w:p w14:paraId="27327810" w14:textId="77777777" w:rsidR="003D3694" w:rsidRPr="00747E35" w:rsidRDefault="003D3694" w:rsidP="0096743A">
            <w:pPr>
              <w:spacing w:after="0"/>
              <w:rPr>
                <w:rFonts w:asciiTheme="minorHAnsi" w:hAnsiTheme="minorHAnsi" w:cstheme="minorHAnsi"/>
                <w:sz w:val="18"/>
              </w:rPr>
            </w:pPr>
          </w:p>
        </w:tc>
        <w:tc>
          <w:tcPr>
            <w:tcW w:w="2268" w:type="dxa"/>
            <w:tcBorders>
              <w:bottom w:val="single" w:sz="4" w:space="0" w:color="auto"/>
            </w:tcBorders>
            <w:vAlign w:val="bottom"/>
          </w:tcPr>
          <w:p w14:paraId="5634C3CB" w14:textId="77777777" w:rsidR="003D3694" w:rsidRPr="00747E35" w:rsidRDefault="003D3694" w:rsidP="0096743A">
            <w:pPr>
              <w:spacing w:after="0"/>
              <w:rPr>
                <w:rFonts w:asciiTheme="minorHAnsi" w:hAnsiTheme="minorHAnsi" w:cstheme="minorHAnsi"/>
                <w:i/>
                <w:sz w:val="18"/>
              </w:rPr>
            </w:pPr>
          </w:p>
        </w:tc>
        <w:tc>
          <w:tcPr>
            <w:tcW w:w="851" w:type="dxa"/>
            <w:tcBorders>
              <w:bottom w:val="single" w:sz="4" w:space="0" w:color="auto"/>
            </w:tcBorders>
          </w:tcPr>
          <w:p w14:paraId="4148359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2.3</w:t>
            </w:r>
          </w:p>
        </w:tc>
        <w:tc>
          <w:tcPr>
            <w:tcW w:w="850" w:type="dxa"/>
            <w:tcBorders>
              <w:bottom w:val="single" w:sz="4" w:space="0" w:color="auto"/>
              <w:right w:val="single" w:sz="4" w:space="0" w:color="auto"/>
            </w:tcBorders>
          </w:tcPr>
          <w:p w14:paraId="0A3D8CF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5.3</w:t>
            </w:r>
          </w:p>
        </w:tc>
        <w:tc>
          <w:tcPr>
            <w:tcW w:w="2268" w:type="dxa"/>
            <w:tcBorders>
              <w:left w:val="single" w:sz="4" w:space="0" w:color="auto"/>
              <w:bottom w:val="single" w:sz="4" w:space="0" w:color="auto"/>
            </w:tcBorders>
            <w:vAlign w:val="bottom"/>
          </w:tcPr>
          <w:p w14:paraId="7655E420"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Aegeratina denophora</w:t>
            </w:r>
          </w:p>
        </w:tc>
        <w:tc>
          <w:tcPr>
            <w:tcW w:w="851" w:type="dxa"/>
            <w:tcBorders>
              <w:bottom w:val="single" w:sz="4" w:space="0" w:color="auto"/>
            </w:tcBorders>
            <w:vAlign w:val="bottom"/>
          </w:tcPr>
          <w:p w14:paraId="581D9E4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1.9</w:t>
            </w:r>
          </w:p>
        </w:tc>
        <w:tc>
          <w:tcPr>
            <w:tcW w:w="850" w:type="dxa"/>
            <w:tcBorders>
              <w:bottom w:val="single" w:sz="4" w:space="0" w:color="auto"/>
            </w:tcBorders>
            <w:vAlign w:val="bottom"/>
          </w:tcPr>
          <w:p w14:paraId="034CFC8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7.2</w:t>
            </w:r>
          </w:p>
        </w:tc>
      </w:tr>
      <w:tr w:rsidR="003D3694" w:rsidRPr="00747E35" w14:paraId="042A12F1" w14:textId="77777777" w:rsidTr="0096743A">
        <w:tc>
          <w:tcPr>
            <w:tcW w:w="1242" w:type="dxa"/>
            <w:tcBorders>
              <w:top w:val="single" w:sz="4" w:space="0" w:color="auto"/>
            </w:tcBorders>
          </w:tcPr>
          <w:p w14:paraId="76A53A4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Floodplain Perennial</w:t>
            </w:r>
          </w:p>
        </w:tc>
        <w:tc>
          <w:tcPr>
            <w:tcW w:w="2268" w:type="dxa"/>
            <w:tcBorders>
              <w:top w:val="single" w:sz="4" w:space="0" w:color="auto"/>
            </w:tcBorders>
            <w:vAlign w:val="bottom"/>
          </w:tcPr>
          <w:p w14:paraId="3BB92370"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Eucalyptus camaldulensis</w:t>
            </w:r>
          </w:p>
        </w:tc>
        <w:tc>
          <w:tcPr>
            <w:tcW w:w="851" w:type="dxa"/>
            <w:tcBorders>
              <w:top w:val="single" w:sz="4" w:space="0" w:color="auto"/>
            </w:tcBorders>
            <w:vAlign w:val="bottom"/>
          </w:tcPr>
          <w:p w14:paraId="4891465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4.3</w:t>
            </w:r>
          </w:p>
        </w:tc>
        <w:tc>
          <w:tcPr>
            <w:tcW w:w="850" w:type="dxa"/>
            <w:tcBorders>
              <w:top w:val="single" w:sz="4" w:space="0" w:color="auto"/>
              <w:right w:val="single" w:sz="4" w:space="0" w:color="auto"/>
            </w:tcBorders>
            <w:vAlign w:val="bottom"/>
          </w:tcPr>
          <w:p w14:paraId="084482D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20.3</w:t>
            </w:r>
          </w:p>
        </w:tc>
        <w:tc>
          <w:tcPr>
            <w:tcW w:w="2268" w:type="dxa"/>
            <w:tcBorders>
              <w:top w:val="single" w:sz="4" w:space="0" w:color="auto"/>
              <w:left w:val="single" w:sz="4" w:space="0" w:color="auto"/>
            </w:tcBorders>
            <w:vAlign w:val="bottom"/>
          </w:tcPr>
          <w:p w14:paraId="475B9EDC"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Lantana camara</w:t>
            </w:r>
          </w:p>
        </w:tc>
        <w:tc>
          <w:tcPr>
            <w:tcW w:w="851" w:type="dxa"/>
            <w:tcBorders>
              <w:top w:val="single" w:sz="4" w:space="0" w:color="auto"/>
            </w:tcBorders>
            <w:vAlign w:val="bottom"/>
          </w:tcPr>
          <w:p w14:paraId="20EA3F5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6.3</w:t>
            </w:r>
          </w:p>
        </w:tc>
        <w:tc>
          <w:tcPr>
            <w:tcW w:w="850" w:type="dxa"/>
            <w:tcBorders>
              <w:top w:val="single" w:sz="4" w:space="0" w:color="auto"/>
            </w:tcBorders>
            <w:vAlign w:val="bottom"/>
          </w:tcPr>
          <w:p w14:paraId="558C587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26.9</w:t>
            </w:r>
          </w:p>
        </w:tc>
      </w:tr>
      <w:tr w:rsidR="003D3694" w:rsidRPr="00747E35" w14:paraId="2E4D37CF" w14:textId="77777777" w:rsidTr="0096743A">
        <w:tc>
          <w:tcPr>
            <w:tcW w:w="1242" w:type="dxa"/>
          </w:tcPr>
          <w:p w14:paraId="5D254EE3" w14:textId="77777777" w:rsidR="003D3694" w:rsidRPr="00747E35" w:rsidRDefault="003D3694" w:rsidP="0096743A">
            <w:pPr>
              <w:spacing w:after="0"/>
              <w:rPr>
                <w:rFonts w:asciiTheme="minorHAnsi" w:hAnsiTheme="minorHAnsi" w:cstheme="minorHAnsi"/>
                <w:sz w:val="18"/>
              </w:rPr>
            </w:pPr>
          </w:p>
        </w:tc>
        <w:tc>
          <w:tcPr>
            <w:tcW w:w="2268" w:type="dxa"/>
            <w:vAlign w:val="bottom"/>
          </w:tcPr>
          <w:p w14:paraId="7B50422A"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Geijera parviflora</w:t>
            </w:r>
          </w:p>
        </w:tc>
        <w:tc>
          <w:tcPr>
            <w:tcW w:w="851" w:type="dxa"/>
            <w:vAlign w:val="bottom"/>
          </w:tcPr>
          <w:p w14:paraId="51072E1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4.4</w:t>
            </w:r>
          </w:p>
        </w:tc>
        <w:tc>
          <w:tcPr>
            <w:tcW w:w="850" w:type="dxa"/>
            <w:tcBorders>
              <w:right w:val="single" w:sz="4" w:space="0" w:color="auto"/>
            </w:tcBorders>
            <w:vAlign w:val="bottom"/>
          </w:tcPr>
          <w:p w14:paraId="1B7FB9F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19.1</w:t>
            </w:r>
          </w:p>
        </w:tc>
        <w:tc>
          <w:tcPr>
            <w:tcW w:w="2268" w:type="dxa"/>
            <w:tcBorders>
              <w:left w:val="single" w:sz="4" w:space="0" w:color="auto"/>
            </w:tcBorders>
            <w:vAlign w:val="bottom"/>
          </w:tcPr>
          <w:p w14:paraId="0E0E0682"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Melaleuca bracteata</w:t>
            </w:r>
          </w:p>
        </w:tc>
        <w:tc>
          <w:tcPr>
            <w:tcW w:w="851" w:type="dxa"/>
            <w:vAlign w:val="bottom"/>
          </w:tcPr>
          <w:p w14:paraId="4B1C718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5.4</w:t>
            </w:r>
          </w:p>
        </w:tc>
        <w:tc>
          <w:tcPr>
            <w:tcW w:w="850" w:type="dxa"/>
            <w:vAlign w:val="bottom"/>
          </w:tcPr>
          <w:p w14:paraId="1D3C531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26.5</w:t>
            </w:r>
          </w:p>
        </w:tc>
      </w:tr>
      <w:tr w:rsidR="003D3694" w:rsidRPr="00747E35" w14:paraId="5FE9B43E" w14:textId="77777777" w:rsidTr="0096743A">
        <w:tc>
          <w:tcPr>
            <w:tcW w:w="1242" w:type="dxa"/>
          </w:tcPr>
          <w:p w14:paraId="6362C37C" w14:textId="77777777" w:rsidR="003D3694" w:rsidRPr="00747E35" w:rsidRDefault="003D3694" w:rsidP="0096743A">
            <w:pPr>
              <w:spacing w:after="0"/>
              <w:rPr>
                <w:rFonts w:asciiTheme="minorHAnsi" w:hAnsiTheme="minorHAnsi" w:cstheme="minorHAnsi"/>
                <w:sz w:val="18"/>
              </w:rPr>
            </w:pPr>
          </w:p>
        </w:tc>
        <w:tc>
          <w:tcPr>
            <w:tcW w:w="2268" w:type="dxa"/>
            <w:vAlign w:val="bottom"/>
          </w:tcPr>
          <w:p w14:paraId="5EF24A3B"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 xml:space="preserve">Aristida </w:t>
            </w:r>
            <w:r w:rsidRPr="00747E35">
              <w:rPr>
                <w:rFonts w:asciiTheme="minorHAnsi" w:hAnsiTheme="minorHAnsi" w:cstheme="minorHAnsi"/>
                <w:sz w:val="18"/>
              </w:rPr>
              <w:t>sp</w:t>
            </w:r>
          </w:p>
        </w:tc>
        <w:tc>
          <w:tcPr>
            <w:tcW w:w="851" w:type="dxa"/>
            <w:vAlign w:val="bottom"/>
          </w:tcPr>
          <w:p w14:paraId="10169FA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3.8</w:t>
            </w:r>
          </w:p>
        </w:tc>
        <w:tc>
          <w:tcPr>
            <w:tcW w:w="850" w:type="dxa"/>
            <w:tcBorders>
              <w:right w:val="single" w:sz="4" w:space="0" w:color="auto"/>
            </w:tcBorders>
            <w:vAlign w:val="bottom"/>
          </w:tcPr>
          <w:p w14:paraId="4EF700C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15.2</w:t>
            </w:r>
          </w:p>
        </w:tc>
        <w:tc>
          <w:tcPr>
            <w:tcW w:w="2268" w:type="dxa"/>
            <w:tcBorders>
              <w:left w:val="single" w:sz="4" w:space="0" w:color="auto"/>
            </w:tcBorders>
            <w:vAlign w:val="bottom"/>
          </w:tcPr>
          <w:p w14:paraId="74E51CCB"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Macfadyena unguis-cati</w:t>
            </w:r>
          </w:p>
        </w:tc>
        <w:tc>
          <w:tcPr>
            <w:tcW w:w="851" w:type="dxa"/>
            <w:vAlign w:val="bottom"/>
          </w:tcPr>
          <w:p w14:paraId="148E7D6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3.9</w:t>
            </w:r>
          </w:p>
        </w:tc>
        <w:tc>
          <w:tcPr>
            <w:tcW w:w="850" w:type="dxa"/>
            <w:vAlign w:val="bottom"/>
          </w:tcPr>
          <w:p w14:paraId="396E84C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12.8</w:t>
            </w:r>
          </w:p>
        </w:tc>
      </w:tr>
      <w:tr w:rsidR="003D3694" w:rsidRPr="00747E35" w14:paraId="364D69D0" w14:textId="77777777" w:rsidTr="0096743A">
        <w:tc>
          <w:tcPr>
            <w:tcW w:w="1242" w:type="dxa"/>
          </w:tcPr>
          <w:p w14:paraId="23B48D76" w14:textId="77777777" w:rsidR="003D3694" w:rsidRPr="00747E35" w:rsidRDefault="003D3694" w:rsidP="0096743A">
            <w:pPr>
              <w:spacing w:after="0"/>
              <w:rPr>
                <w:rFonts w:asciiTheme="minorHAnsi" w:hAnsiTheme="minorHAnsi" w:cstheme="minorHAnsi"/>
                <w:sz w:val="18"/>
              </w:rPr>
            </w:pPr>
          </w:p>
        </w:tc>
        <w:tc>
          <w:tcPr>
            <w:tcW w:w="2268" w:type="dxa"/>
            <w:vAlign w:val="bottom"/>
          </w:tcPr>
          <w:p w14:paraId="60A3A0A9"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Hyparrhenia hirta</w:t>
            </w:r>
          </w:p>
        </w:tc>
        <w:tc>
          <w:tcPr>
            <w:tcW w:w="851" w:type="dxa"/>
            <w:vAlign w:val="bottom"/>
          </w:tcPr>
          <w:p w14:paraId="0057677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3.7</w:t>
            </w:r>
          </w:p>
        </w:tc>
        <w:tc>
          <w:tcPr>
            <w:tcW w:w="850" w:type="dxa"/>
            <w:tcBorders>
              <w:right w:val="single" w:sz="4" w:space="0" w:color="auto"/>
            </w:tcBorders>
            <w:vAlign w:val="bottom"/>
          </w:tcPr>
          <w:p w14:paraId="3428DB3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10.7</w:t>
            </w:r>
          </w:p>
        </w:tc>
        <w:tc>
          <w:tcPr>
            <w:tcW w:w="2268" w:type="dxa"/>
            <w:tcBorders>
              <w:left w:val="single" w:sz="4" w:space="0" w:color="auto"/>
            </w:tcBorders>
            <w:vAlign w:val="bottom"/>
          </w:tcPr>
          <w:p w14:paraId="1E6E42B8"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Cynodon dactylis</w:t>
            </w:r>
          </w:p>
        </w:tc>
        <w:tc>
          <w:tcPr>
            <w:tcW w:w="851" w:type="dxa"/>
            <w:vAlign w:val="bottom"/>
          </w:tcPr>
          <w:p w14:paraId="0702532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4.2</w:t>
            </w:r>
          </w:p>
        </w:tc>
        <w:tc>
          <w:tcPr>
            <w:tcW w:w="850" w:type="dxa"/>
            <w:vAlign w:val="bottom"/>
          </w:tcPr>
          <w:p w14:paraId="7F3BDAF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8.4</w:t>
            </w:r>
          </w:p>
        </w:tc>
      </w:tr>
      <w:tr w:rsidR="003D3694" w:rsidRPr="00747E35" w14:paraId="1DA5DE04" w14:textId="77777777" w:rsidTr="0096743A">
        <w:tc>
          <w:tcPr>
            <w:tcW w:w="1242" w:type="dxa"/>
            <w:tcBorders>
              <w:bottom w:val="single" w:sz="4" w:space="0" w:color="auto"/>
            </w:tcBorders>
          </w:tcPr>
          <w:p w14:paraId="52E13018" w14:textId="77777777" w:rsidR="003D3694" w:rsidRPr="00747E35" w:rsidRDefault="003D3694" w:rsidP="0096743A">
            <w:pPr>
              <w:spacing w:after="0"/>
              <w:rPr>
                <w:rFonts w:asciiTheme="minorHAnsi" w:hAnsiTheme="minorHAnsi" w:cstheme="minorHAnsi"/>
                <w:sz w:val="18"/>
              </w:rPr>
            </w:pPr>
          </w:p>
        </w:tc>
        <w:tc>
          <w:tcPr>
            <w:tcW w:w="2268" w:type="dxa"/>
            <w:tcBorders>
              <w:bottom w:val="single" w:sz="4" w:space="0" w:color="auto"/>
            </w:tcBorders>
          </w:tcPr>
          <w:p w14:paraId="23FEF943"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Astrostipa</w:t>
            </w:r>
            <w:r w:rsidRPr="00747E35">
              <w:rPr>
                <w:rFonts w:asciiTheme="minorHAnsi" w:hAnsiTheme="minorHAnsi" w:cstheme="minorHAnsi"/>
                <w:sz w:val="18"/>
              </w:rPr>
              <w:t xml:space="preserve"> sp</w:t>
            </w:r>
          </w:p>
        </w:tc>
        <w:tc>
          <w:tcPr>
            <w:tcW w:w="851" w:type="dxa"/>
            <w:tcBorders>
              <w:bottom w:val="single" w:sz="4" w:space="0" w:color="auto"/>
            </w:tcBorders>
          </w:tcPr>
          <w:p w14:paraId="07AD5270"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2.6</w:t>
            </w:r>
          </w:p>
        </w:tc>
        <w:tc>
          <w:tcPr>
            <w:tcW w:w="850" w:type="dxa"/>
            <w:tcBorders>
              <w:bottom w:val="single" w:sz="4" w:space="0" w:color="auto"/>
              <w:right w:val="single" w:sz="4" w:space="0" w:color="auto"/>
            </w:tcBorders>
          </w:tcPr>
          <w:p w14:paraId="1F40570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8.2</w:t>
            </w:r>
          </w:p>
        </w:tc>
        <w:tc>
          <w:tcPr>
            <w:tcW w:w="2268" w:type="dxa"/>
            <w:tcBorders>
              <w:left w:val="single" w:sz="4" w:space="0" w:color="auto"/>
              <w:bottom w:val="single" w:sz="4" w:space="0" w:color="auto"/>
            </w:tcBorders>
            <w:vAlign w:val="bottom"/>
          </w:tcPr>
          <w:p w14:paraId="02574DD6"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Lantana camara</w:t>
            </w:r>
          </w:p>
        </w:tc>
        <w:tc>
          <w:tcPr>
            <w:tcW w:w="851" w:type="dxa"/>
            <w:tcBorders>
              <w:bottom w:val="single" w:sz="4" w:space="0" w:color="auto"/>
            </w:tcBorders>
            <w:vAlign w:val="bottom"/>
          </w:tcPr>
          <w:p w14:paraId="6A51B73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6.3</w:t>
            </w:r>
          </w:p>
        </w:tc>
        <w:tc>
          <w:tcPr>
            <w:tcW w:w="850" w:type="dxa"/>
            <w:tcBorders>
              <w:bottom w:val="single" w:sz="4" w:space="0" w:color="auto"/>
            </w:tcBorders>
            <w:vAlign w:val="bottom"/>
          </w:tcPr>
          <w:p w14:paraId="5BEFE80B"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26.9</w:t>
            </w:r>
          </w:p>
        </w:tc>
      </w:tr>
      <w:tr w:rsidR="003D3694" w:rsidRPr="00747E35" w14:paraId="4B1FF926" w14:textId="77777777" w:rsidTr="0096743A">
        <w:tc>
          <w:tcPr>
            <w:tcW w:w="1242" w:type="dxa"/>
            <w:tcBorders>
              <w:top w:val="single" w:sz="4" w:space="0" w:color="auto"/>
            </w:tcBorders>
          </w:tcPr>
          <w:p w14:paraId="7F43082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Riparian Intermittent</w:t>
            </w:r>
          </w:p>
        </w:tc>
        <w:tc>
          <w:tcPr>
            <w:tcW w:w="2268" w:type="dxa"/>
            <w:tcBorders>
              <w:top w:val="single" w:sz="4" w:space="0" w:color="auto"/>
            </w:tcBorders>
            <w:vAlign w:val="bottom"/>
          </w:tcPr>
          <w:p w14:paraId="499BE189"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Melaleuca bracteata</w:t>
            </w:r>
          </w:p>
        </w:tc>
        <w:tc>
          <w:tcPr>
            <w:tcW w:w="851" w:type="dxa"/>
            <w:tcBorders>
              <w:top w:val="single" w:sz="4" w:space="0" w:color="auto"/>
            </w:tcBorders>
            <w:vAlign w:val="bottom"/>
          </w:tcPr>
          <w:p w14:paraId="7C280ED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3.9</w:t>
            </w:r>
          </w:p>
        </w:tc>
        <w:tc>
          <w:tcPr>
            <w:tcW w:w="850" w:type="dxa"/>
            <w:tcBorders>
              <w:top w:val="single" w:sz="4" w:space="0" w:color="auto"/>
              <w:right w:val="single" w:sz="4" w:space="0" w:color="auto"/>
            </w:tcBorders>
            <w:vAlign w:val="bottom"/>
          </w:tcPr>
          <w:p w14:paraId="27CF738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13.9</w:t>
            </w:r>
          </w:p>
        </w:tc>
        <w:tc>
          <w:tcPr>
            <w:tcW w:w="2268" w:type="dxa"/>
            <w:tcBorders>
              <w:top w:val="single" w:sz="4" w:space="0" w:color="auto"/>
              <w:left w:val="single" w:sz="4" w:space="0" w:color="auto"/>
            </w:tcBorders>
            <w:vAlign w:val="bottom"/>
          </w:tcPr>
          <w:p w14:paraId="5C8EE451"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Melaleuca bracteata</w:t>
            </w:r>
          </w:p>
        </w:tc>
        <w:tc>
          <w:tcPr>
            <w:tcW w:w="851" w:type="dxa"/>
            <w:tcBorders>
              <w:top w:val="single" w:sz="4" w:space="0" w:color="auto"/>
            </w:tcBorders>
            <w:vAlign w:val="bottom"/>
          </w:tcPr>
          <w:p w14:paraId="70D9EA10"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4.7</w:t>
            </w:r>
          </w:p>
        </w:tc>
        <w:tc>
          <w:tcPr>
            <w:tcW w:w="850" w:type="dxa"/>
            <w:tcBorders>
              <w:top w:val="single" w:sz="4" w:space="0" w:color="auto"/>
            </w:tcBorders>
            <w:vAlign w:val="bottom"/>
          </w:tcPr>
          <w:p w14:paraId="72F5649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29.5</w:t>
            </w:r>
          </w:p>
        </w:tc>
      </w:tr>
      <w:tr w:rsidR="003D3694" w:rsidRPr="00747E35" w14:paraId="56CE538E" w14:textId="77777777" w:rsidTr="0096743A">
        <w:tc>
          <w:tcPr>
            <w:tcW w:w="1242" w:type="dxa"/>
          </w:tcPr>
          <w:p w14:paraId="24A604FE" w14:textId="77777777" w:rsidR="003D3694" w:rsidRPr="00747E35" w:rsidRDefault="003D3694" w:rsidP="0096743A">
            <w:pPr>
              <w:spacing w:after="0"/>
              <w:rPr>
                <w:rFonts w:asciiTheme="minorHAnsi" w:hAnsiTheme="minorHAnsi" w:cstheme="minorHAnsi"/>
                <w:sz w:val="18"/>
              </w:rPr>
            </w:pPr>
          </w:p>
        </w:tc>
        <w:tc>
          <w:tcPr>
            <w:tcW w:w="2268" w:type="dxa"/>
            <w:vAlign w:val="bottom"/>
          </w:tcPr>
          <w:p w14:paraId="101A441E"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Eucalyptus camaldulensis</w:t>
            </w:r>
          </w:p>
        </w:tc>
        <w:tc>
          <w:tcPr>
            <w:tcW w:w="851" w:type="dxa"/>
            <w:vAlign w:val="bottom"/>
          </w:tcPr>
          <w:p w14:paraId="5AB3DD1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3.2</w:t>
            </w:r>
          </w:p>
        </w:tc>
        <w:tc>
          <w:tcPr>
            <w:tcW w:w="850" w:type="dxa"/>
            <w:tcBorders>
              <w:right w:val="single" w:sz="4" w:space="0" w:color="auto"/>
            </w:tcBorders>
            <w:vAlign w:val="bottom"/>
          </w:tcPr>
          <w:p w14:paraId="4135529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13.5</w:t>
            </w:r>
          </w:p>
        </w:tc>
        <w:tc>
          <w:tcPr>
            <w:tcW w:w="2268" w:type="dxa"/>
            <w:tcBorders>
              <w:left w:val="single" w:sz="4" w:space="0" w:color="auto"/>
            </w:tcBorders>
            <w:vAlign w:val="bottom"/>
          </w:tcPr>
          <w:p w14:paraId="35AE03CF"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Aegeratina denophora</w:t>
            </w:r>
          </w:p>
        </w:tc>
        <w:tc>
          <w:tcPr>
            <w:tcW w:w="851" w:type="dxa"/>
            <w:vAlign w:val="bottom"/>
          </w:tcPr>
          <w:p w14:paraId="6FD4E25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2.4</w:t>
            </w:r>
          </w:p>
        </w:tc>
        <w:tc>
          <w:tcPr>
            <w:tcW w:w="850" w:type="dxa"/>
            <w:vAlign w:val="bottom"/>
          </w:tcPr>
          <w:p w14:paraId="54FBB15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13.6</w:t>
            </w:r>
          </w:p>
        </w:tc>
      </w:tr>
      <w:tr w:rsidR="003D3694" w:rsidRPr="00747E35" w14:paraId="4BA0FBE7" w14:textId="77777777" w:rsidTr="0096743A">
        <w:tc>
          <w:tcPr>
            <w:tcW w:w="1242" w:type="dxa"/>
          </w:tcPr>
          <w:p w14:paraId="44685457" w14:textId="77777777" w:rsidR="003D3694" w:rsidRPr="00747E35" w:rsidRDefault="003D3694" w:rsidP="0096743A">
            <w:pPr>
              <w:spacing w:after="0"/>
              <w:rPr>
                <w:rFonts w:asciiTheme="minorHAnsi" w:hAnsiTheme="minorHAnsi" w:cstheme="minorHAnsi"/>
                <w:sz w:val="18"/>
              </w:rPr>
            </w:pPr>
          </w:p>
        </w:tc>
        <w:tc>
          <w:tcPr>
            <w:tcW w:w="2268" w:type="dxa"/>
            <w:vAlign w:val="bottom"/>
          </w:tcPr>
          <w:p w14:paraId="71785AB4"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Casuarina cunninghamiana</w:t>
            </w:r>
          </w:p>
        </w:tc>
        <w:tc>
          <w:tcPr>
            <w:tcW w:w="851" w:type="dxa"/>
            <w:vAlign w:val="bottom"/>
          </w:tcPr>
          <w:p w14:paraId="313CA81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2.7</w:t>
            </w:r>
          </w:p>
        </w:tc>
        <w:tc>
          <w:tcPr>
            <w:tcW w:w="850" w:type="dxa"/>
            <w:tcBorders>
              <w:right w:val="single" w:sz="4" w:space="0" w:color="auto"/>
            </w:tcBorders>
            <w:vAlign w:val="bottom"/>
          </w:tcPr>
          <w:p w14:paraId="7F089DF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10.0</w:t>
            </w:r>
          </w:p>
        </w:tc>
        <w:tc>
          <w:tcPr>
            <w:tcW w:w="2268" w:type="dxa"/>
            <w:tcBorders>
              <w:left w:val="single" w:sz="4" w:space="0" w:color="auto"/>
            </w:tcBorders>
            <w:vAlign w:val="bottom"/>
          </w:tcPr>
          <w:p w14:paraId="08A10E5C"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Cynodon dactylis</w:t>
            </w:r>
          </w:p>
        </w:tc>
        <w:tc>
          <w:tcPr>
            <w:tcW w:w="851" w:type="dxa"/>
            <w:vAlign w:val="bottom"/>
          </w:tcPr>
          <w:p w14:paraId="25B09C3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2.4</w:t>
            </w:r>
          </w:p>
        </w:tc>
        <w:tc>
          <w:tcPr>
            <w:tcW w:w="850" w:type="dxa"/>
            <w:vAlign w:val="bottom"/>
          </w:tcPr>
          <w:p w14:paraId="0364C33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8.8</w:t>
            </w:r>
          </w:p>
        </w:tc>
      </w:tr>
      <w:tr w:rsidR="003D3694" w:rsidRPr="00747E35" w14:paraId="5555484E" w14:textId="77777777" w:rsidTr="0096743A">
        <w:tc>
          <w:tcPr>
            <w:tcW w:w="1242" w:type="dxa"/>
          </w:tcPr>
          <w:p w14:paraId="79ECA33B" w14:textId="77777777" w:rsidR="003D3694" w:rsidRPr="00747E35" w:rsidRDefault="003D3694" w:rsidP="0096743A">
            <w:pPr>
              <w:spacing w:after="0"/>
              <w:rPr>
                <w:rFonts w:asciiTheme="minorHAnsi" w:hAnsiTheme="minorHAnsi" w:cstheme="minorHAnsi"/>
                <w:sz w:val="18"/>
              </w:rPr>
            </w:pPr>
          </w:p>
        </w:tc>
        <w:tc>
          <w:tcPr>
            <w:tcW w:w="2268" w:type="dxa"/>
            <w:vAlign w:val="bottom"/>
          </w:tcPr>
          <w:p w14:paraId="063F183B"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Abutilon oxycarpum</w:t>
            </w:r>
          </w:p>
        </w:tc>
        <w:tc>
          <w:tcPr>
            <w:tcW w:w="851" w:type="dxa"/>
            <w:vAlign w:val="bottom"/>
          </w:tcPr>
          <w:p w14:paraId="3D91446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2.0</w:t>
            </w:r>
          </w:p>
        </w:tc>
        <w:tc>
          <w:tcPr>
            <w:tcW w:w="850" w:type="dxa"/>
            <w:tcBorders>
              <w:right w:val="single" w:sz="4" w:space="0" w:color="auto"/>
            </w:tcBorders>
            <w:vAlign w:val="bottom"/>
          </w:tcPr>
          <w:p w14:paraId="08FA33B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6.5</w:t>
            </w:r>
          </w:p>
        </w:tc>
        <w:tc>
          <w:tcPr>
            <w:tcW w:w="2268" w:type="dxa"/>
            <w:tcBorders>
              <w:left w:val="single" w:sz="4" w:space="0" w:color="auto"/>
            </w:tcBorders>
            <w:vAlign w:val="bottom"/>
          </w:tcPr>
          <w:p w14:paraId="019F60A2"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Lantana camara</w:t>
            </w:r>
          </w:p>
        </w:tc>
        <w:tc>
          <w:tcPr>
            <w:tcW w:w="851" w:type="dxa"/>
            <w:vAlign w:val="bottom"/>
          </w:tcPr>
          <w:p w14:paraId="5A4AD63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2.1</w:t>
            </w:r>
          </w:p>
        </w:tc>
        <w:tc>
          <w:tcPr>
            <w:tcW w:w="850" w:type="dxa"/>
            <w:vAlign w:val="bottom"/>
          </w:tcPr>
          <w:p w14:paraId="0408814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7.4</w:t>
            </w:r>
          </w:p>
        </w:tc>
      </w:tr>
      <w:tr w:rsidR="003D3694" w:rsidRPr="00747E35" w14:paraId="43F1CB05" w14:textId="77777777" w:rsidTr="0096743A">
        <w:tc>
          <w:tcPr>
            <w:tcW w:w="1242" w:type="dxa"/>
            <w:tcBorders>
              <w:bottom w:val="single" w:sz="4" w:space="0" w:color="auto"/>
            </w:tcBorders>
          </w:tcPr>
          <w:p w14:paraId="43C3B04D" w14:textId="77777777" w:rsidR="003D3694" w:rsidRPr="00747E35" w:rsidRDefault="003D3694" w:rsidP="0096743A">
            <w:pPr>
              <w:spacing w:after="0"/>
              <w:rPr>
                <w:rFonts w:asciiTheme="minorHAnsi" w:hAnsiTheme="minorHAnsi" w:cstheme="minorHAnsi"/>
                <w:sz w:val="18"/>
              </w:rPr>
            </w:pPr>
          </w:p>
        </w:tc>
        <w:tc>
          <w:tcPr>
            <w:tcW w:w="2268" w:type="dxa"/>
            <w:tcBorders>
              <w:bottom w:val="single" w:sz="4" w:space="0" w:color="auto"/>
            </w:tcBorders>
            <w:vAlign w:val="bottom"/>
          </w:tcPr>
          <w:p w14:paraId="454F5D41"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Callitris glaucophylla</w:t>
            </w:r>
          </w:p>
        </w:tc>
        <w:tc>
          <w:tcPr>
            <w:tcW w:w="851" w:type="dxa"/>
            <w:tcBorders>
              <w:bottom w:val="single" w:sz="4" w:space="0" w:color="auto"/>
            </w:tcBorders>
            <w:vAlign w:val="bottom"/>
          </w:tcPr>
          <w:p w14:paraId="10B953F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2.3</w:t>
            </w:r>
          </w:p>
        </w:tc>
        <w:tc>
          <w:tcPr>
            <w:tcW w:w="850" w:type="dxa"/>
            <w:tcBorders>
              <w:bottom w:val="single" w:sz="4" w:space="0" w:color="auto"/>
              <w:right w:val="single" w:sz="4" w:space="0" w:color="auto"/>
            </w:tcBorders>
            <w:vAlign w:val="bottom"/>
          </w:tcPr>
          <w:p w14:paraId="30D6096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5.6</w:t>
            </w:r>
          </w:p>
        </w:tc>
        <w:tc>
          <w:tcPr>
            <w:tcW w:w="2268" w:type="dxa"/>
            <w:tcBorders>
              <w:left w:val="single" w:sz="4" w:space="0" w:color="auto"/>
              <w:bottom w:val="single" w:sz="4" w:space="0" w:color="auto"/>
            </w:tcBorders>
            <w:vAlign w:val="bottom"/>
          </w:tcPr>
          <w:p w14:paraId="1E33D837"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Lomandra longifolia</w:t>
            </w:r>
          </w:p>
        </w:tc>
        <w:tc>
          <w:tcPr>
            <w:tcW w:w="851" w:type="dxa"/>
            <w:tcBorders>
              <w:bottom w:val="single" w:sz="4" w:space="0" w:color="auto"/>
            </w:tcBorders>
            <w:vAlign w:val="bottom"/>
          </w:tcPr>
          <w:p w14:paraId="45FA6C0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1.9</w:t>
            </w:r>
          </w:p>
        </w:tc>
        <w:tc>
          <w:tcPr>
            <w:tcW w:w="850" w:type="dxa"/>
            <w:tcBorders>
              <w:bottom w:val="single" w:sz="4" w:space="0" w:color="auto"/>
            </w:tcBorders>
            <w:vAlign w:val="bottom"/>
          </w:tcPr>
          <w:p w14:paraId="330E3AC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6.6</w:t>
            </w:r>
          </w:p>
        </w:tc>
      </w:tr>
      <w:tr w:rsidR="003D3694" w:rsidRPr="00747E35" w14:paraId="37BC6D09" w14:textId="77777777" w:rsidTr="0096743A">
        <w:tc>
          <w:tcPr>
            <w:tcW w:w="1242" w:type="dxa"/>
            <w:tcBorders>
              <w:top w:val="single" w:sz="4" w:space="0" w:color="auto"/>
            </w:tcBorders>
          </w:tcPr>
          <w:p w14:paraId="2E0659C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Floodplain Intermittent</w:t>
            </w:r>
          </w:p>
        </w:tc>
        <w:tc>
          <w:tcPr>
            <w:tcW w:w="2268" w:type="dxa"/>
            <w:tcBorders>
              <w:top w:val="single" w:sz="4" w:space="0" w:color="auto"/>
            </w:tcBorders>
            <w:vAlign w:val="bottom"/>
          </w:tcPr>
          <w:p w14:paraId="44AF14C3"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 xml:space="preserve">Astrostipa </w:t>
            </w:r>
            <w:r w:rsidRPr="00747E35">
              <w:rPr>
                <w:rFonts w:asciiTheme="minorHAnsi" w:hAnsiTheme="minorHAnsi" w:cstheme="minorHAnsi"/>
                <w:sz w:val="18"/>
              </w:rPr>
              <w:t>sp</w:t>
            </w:r>
          </w:p>
        </w:tc>
        <w:tc>
          <w:tcPr>
            <w:tcW w:w="851" w:type="dxa"/>
            <w:tcBorders>
              <w:top w:val="single" w:sz="4" w:space="0" w:color="auto"/>
            </w:tcBorders>
            <w:vAlign w:val="bottom"/>
          </w:tcPr>
          <w:p w14:paraId="0BBC652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2.9</w:t>
            </w:r>
          </w:p>
        </w:tc>
        <w:tc>
          <w:tcPr>
            <w:tcW w:w="850" w:type="dxa"/>
            <w:tcBorders>
              <w:top w:val="single" w:sz="4" w:space="0" w:color="auto"/>
              <w:right w:val="single" w:sz="4" w:space="0" w:color="auto"/>
            </w:tcBorders>
            <w:vAlign w:val="bottom"/>
          </w:tcPr>
          <w:p w14:paraId="5580E9E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21.3</w:t>
            </w:r>
          </w:p>
        </w:tc>
        <w:tc>
          <w:tcPr>
            <w:tcW w:w="2268" w:type="dxa"/>
            <w:tcBorders>
              <w:top w:val="single" w:sz="4" w:space="0" w:color="auto"/>
              <w:left w:val="single" w:sz="4" w:space="0" w:color="auto"/>
            </w:tcBorders>
            <w:vAlign w:val="bottom"/>
          </w:tcPr>
          <w:p w14:paraId="4D9AE663"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Imperata cylindica</w:t>
            </w:r>
          </w:p>
        </w:tc>
        <w:tc>
          <w:tcPr>
            <w:tcW w:w="851" w:type="dxa"/>
            <w:tcBorders>
              <w:top w:val="single" w:sz="4" w:space="0" w:color="auto"/>
            </w:tcBorders>
            <w:vAlign w:val="bottom"/>
          </w:tcPr>
          <w:p w14:paraId="4A85542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3.8</w:t>
            </w:r>
          </w:p>
        </w:tc>
        <w:tc>
          <w:tcPr>
            <w:tcW w:w="850" w:type="dxa"/>
            <w:tcBorders>
              <w:top w:val="single" w:sz="4" w:space="0" w:color="auto"/>
            </w:tcBorders>
            <w:vAlign w:val="bottom"/>
          </w:tcPr>
          <w:p w14:paraId="77F972F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19.9</w:t>
            </w:r>
          </w:p>
        </w:tc>
      </w:tr>
      <w:tr w:rsidR="003D3694" w:rsidRPr="00747E35" w14:paraId="48197715" w14:textId="77777777" w:rsidTr="0096743A">
        <w:tc>
          <w:tcPr>
            <w:tcW w:w="1242" w:type="dxa"/>
          </w:tcPr>
          <w:p w14:paraId="52AFBD1F" w14:textId="77777777" w:rsidR="003D3694" w:rsidRPr="00747E35" w:rsidRDefault="003D3694" w:rsidP="0096743A">
            <w:pPr>
              <w:spacing w:after="0"/>
              <w:rPr>
                <w:rFonts w:asciiTheme="minorHAnsi" w:hAnsiTheme="minorHAnsi" w:cstheme="minorHAnsi"/>
                <w:sz w:val="18"/>
              </w:rPr>
            </w:pPr>
          </w:p>
        </w:tc>
        <w:tc>
          <w:tcPr>
            <w:tcW w:w="2268" w:type="dxa"/>
            <w:vAlign w:val="bottom"/>
          </w:tcPr>
          <w:p w14:paraId="3AF739B6"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Callitris glaucophylla</w:t>
            </w:r>
          </w:p>
        </w:tc>
        <w:tc>
          <w:tcPr>
            <w:tcW w:w="851" w:type="dxa"/>
            <w:vAlign w:val="bottom"/>
          </w:tcPr>
          <w:p w14:paraId="396DC0B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3.9</w:t>
            </w:r>
          </w:p>
        </w:tc>
        <w:tc>
          <w:tcPr>
            <w:tcW w:w="850" w:type="dxa"/>
            <w:tcBorders>
              <w:right w:val="single" w:sz="4" w:space="0" w:color="auto"/>
            </w:tcBorders>
            <w:vAlign w:val="bottom"/>
          </w:tcPr>
          <w:p w14:paraId="42876F9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19.4</w:t>
            </w:r>
          </w:p>
        </w:tc>
        <w:tc>
          <w:tcPr>
            <w:tcW w:w="2268" w:type="dxa"/>
            <w:tcBorders>
              <w:left w:val="single" w:sz="4" w:space="0" w:color="auto"/>
            </w:tcBorders>
            <w:vAlign w:val="bottom"/>
          </w:tcPr>
          <w:p w14:paraId="60D0F3C2"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Bothriochloa sp</w:t>
            </w:r>
          </w:p>
        </w:tc>
        <w:tc>
          <w:tcPr>
            <w:tcW w:w="851" w:type="dxa"/>
            <w:vAlign w:val="bottom"/>
          </w:tcPr>
          <w:p w14:paraId="4B2435A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2.7</w:t>
            </w:r>
          </w:p>
        </w:tc>
        <w:tc>
          <w:tcPr>
            <w:tcW w:w="850" w:type="dxa"/>
            <w:vAlign w:val="bottom"/>
          </w:tcPr>
          <w:p w14:paraId="472A981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17.6</w:t>
            </w:r>
          </w:p>
        </w:tc>
      </w:tr>
      <w:tr w:rsidR="003D3694" w:rsidRPr="00747E35" w14:paraId="221DF046" w14:textId="77777777" w:rsidTr="0096743A">
        <w:tc>
          <w:tcPr>
            <w:tcW w:w="1242" w:type="dxa"/>
          </w:tcPr>
          <w:p w14:paraId="13FA3A79" w14:textId="77777777" w:rsidR="003D3694" w:rsidRPr="00747E35" w:rsidRDefault="003D3694" w:rsidP="0096743A">
            <w:pPr>
              <w:spacing w:after="0"/>
              <w:rPr>
                <w:rFonts w:asciiTheme="minorHAnsi" w:hAnsiTheme="minorHAnsi" w:cstheme="minorHAnsi"/>
                <w:sz w:val="18"/>
              </w:rPr>
            </w:pPr>
          </w:p>
        </w:tc>
        <w:tc>
          <w:tcPr>
            <w:tcW w:w="2268" w:type="dxa"/>
            <w:vAlign w:val="bottom"/>
          </w:tcPr>
          <w:p w14:paraId="01A1DF45"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Eucalyptus camaldulensis</w:t>
            </w:r>
          </w:p>
        </w:tc>
        <w:tc>
          <w:tcPr>
            <w:tcW w:w="851" w:type="dxa"/>
            <w:vAlign w:val="bottom"/>
          </w:tcPr>
          <w:p w14:paraId="39FF0D1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3.5</w:t>
            </w:r>
          </w:p>
        </w:tc>
        <w:tc>
          <w:tcPr>
            <w:tcW w:w="850" w:type="dxa"/>
            <w:tcBorders>
              <w:right w:val="single" w:sz="4" w:space="0" w:color="auto"/>
            </w:tcBorders>
            <w:vAlign w:val="bottom"/>
          </w:tcPr>
          <w:p w14:paraId="08A61FF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18.3</w:t>
            </w:r>
          </w:p>
        </w:tc>
        <w:tc>
          <w:tcPr>
            <w:tcW w:w="2268" w:type="dxa"/>
            <w:tcBorders>
              <w:left w:val="single" w:sz="4" w:space="0" w:color="auto"/>
            </w:tcBorders>
            <w:vAlign w:val="bottom"/>
          </w:tcPr>
          <w:p w14:paraId="68245E21"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Themeda australis</w:t>
            </w:r>
          </w:p>
        </w:tc>
        <w:tc>
          <w:tcPr>
            <w:tcW w:w="851" w:type="dxa"/>
            <w:vAlign w:val="bottom"/>
          </w:tcPr>
          <w:p w14:paraId="563C024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2.3</w:t>
            </w:r>
          </w:p>
        </w:tc>
        <w:tc>
          <w:tcPr>
            <w:tcW w:w="850" w:type="dxa"/>
            <w:vAlign w:val="bottom"/>
          </w:tcPr>
          <w:p w14:paraId="5731873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11.4</w:t>
            </w:r>
          </w:p>
        </w:tc>
      </w:tr>
      <w:tr w:rsidR="003D3694" w:rsidRPr="00747E35" w14:paraId="3C2C771F" w14:textId="77777777" w:rsidTr="0096743A">
        <w:tc>
          <w:tcPr>
            <w:tcW w:w="1242" w:type="dxa"/>
          </w:tcPr>
          <w:p w14:paraId="71978159" w14:textId="77777777" w:rsidR="003D3694" w:rsidRPr="00747E35" w:rsidRDefault="003D3694" w:rsidP="0096743A">
            <w:pPr>
              <w:spacing w:after="0"/>
              <w:rPr>
                <w:rFonts w:asciiTheme="minorHAnsi" w:hAnsiTheme="minorHAnsi" w:cstheme="minorHAnsi"/>
                <w:sz w:val="18"/>
              </w:rPr>
            </w:pPr>
          </w:p>
        </w:tc>
        <w:tc>
          <w:tcPr>
            <w:tcW w:w="2268" w:type="dxa"/>
            <w:vAlign w:val="bottom"/>
          </w:tcPr>
          <w:p w14:paraId="5C4A1DF4"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 xml:space="preserve">Aristida </w:t>
            </w:r>
            <w:r w:rsidRPr="00747E35">
              <w:rPr>
                <w:rFonts w:asciiTheme="minorHAnsi" w:hAnsiTheme="minorHAnsi" w:cstheme="minorHAnsi"/>
                <w:sz w:val="18"/>
              </w:rPr>
              <w:t>sp</w:t>
            </w:r>
          </w:p>
        </w:tc>
        <w:tc>
          <w:tcPr>
            <w:tcW w:w="851" w:type="dxa"/>
            <w:vAlign w:val="bottom"/>
          </w:tcPr>
          <w:p w14:paraId="226C05C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2.8</w:t>
            </w:r>
          </w:p>
        </w:tc>
        <w:tc>
          <w:tcPr>
            <w:tcW w:w="850" w:type="dxa"/>
            <w:tcBorders>
              <w:right w:val="single" w:sz="4" w:space="0" w:color="auto"/>
            </w:tcBorders>
            <w:vAlign w:val="bottom"/>
          </w:tcPr>
          <w:p w14:paraId="2525E7C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11.8</w:t>
            </w:r>
          </w:p>
        </w:tc>
        <w:tc>
          <w:tcPr>
            <w:tcW w:w="2268" w:type="dxa"/>
            <w:tcBorders>
              <w:left w:val="single" w:sz="4" w:space="0" w:color="auto"/>
            </w:tcBorders>
            <w:vAlign w:val="bottom"/>
          </w:tcPr>
          <w:p w14:paraId="3A3A74C5"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Corymbia tessellaris</w:t>
            </w:r>
          </w:p>
        </w:tc>
        <w:tc>
          <w:tcPr>
            <w:tcW w:w="851" w:type="dxa"/>
            <w:vAlign w:val="bottom"/>
          </w:tcPr>
          <w:p w14:paraId="6F9E867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2.8</w:t>
            </w:r>
          </w:p>
        </w:tc>
        <w:tc>
          <w:tcPr>
            <w:tcW w:w="850" w:type="dxa"/>
            <w:vAlign w:val="bottom"/>
          </w:tcPr>
          <w:p w14:paraId="2F99D92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9.7</w:t>
            </w:r>
          </w:p>
        </w:tc>
      </w:tr>
      <w:tr w:rsidR="003D3694" w:rsidRPr="00747E35" w14:paraId="5C055FBE" w14:textId="77777777" w:rsidTr="0096743A">
        <w:tc>
          <w:tcPr>
            <w:tcW w:w="1242" w:type="dxa"/>
            <w:tcBorders>
              <w:bottom w:val="single" w:sz="4" w:space="0" w:color="auto"/>
            </w:tcBorders>
          </w:tcPr>
          <w:p w14:paraId="10E2C4D2" w14:textId="77777777" w:rsidR="003D3694" w:rsidRPr="00747E35" w:rsidRDefault="003D3694" w:rsidP="0096743A">
            <w:pPr>
              <w:spacing w:after="0"/>
              <w:rPr>
                <w:rFonts w:asciiTheme="minorHAnsi" w:hAnsiTheme="minorHAnsi" w:cstheme="minorHAnsi"/>
                <w:sz w:val="18"/>
              </w:rPr>
            </w:pPr>
          </w:p>
        </w:tc>
        <w:tc>
          <w:tcPr>
            <w:tcW w:w="2268" w:type="dxa"/>
            <w:tcBorders>
              <w:bottom w:val="single" w:sz="4" w:space="0" w:color="auto"/>
            </w:tcBorders>
            <w:vAlign w:val="bottom"/>
          </w:tcPr>
          <w:p w14:paraId="66A5569F"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Alectryon oleifolius</w:t>
            </w:r>
          </w:p>
        </w:tc>
        <w:tc>
          <w:tcPr>
            <w:tcW w:w="851" w:type="dxa"/>
            <w:tcBorders>
              <w:bottom w:val="single" w:sz="4" w:space="0" w:color="auto"/>
            </w:tcBorders>
            <w:vAlign w:val="bottom"/>
          </w:tcPr>
          <w:p w14:paraId="6FF903A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2.0</w:t>
            </w:r>
          </w:p>
        </w:tc>
        <w:tc>
          <w:tcPr>
            <w:tcW w:w="850" w:type="dxa"/>
            <w:tcBorders>
              <w:bottom w:val="single" w:sz="4" w:space="0" w:color="auto"/>
              <w:right w:val="single" w:sz="4" w:space="0" w:color="auto"/>
            </w:tcBorders>
            <w:vAlign w:val="bottom"/>
          </w:tcPr>
          <w:p w14:paraId="3F0DFB1B"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4.7</w:t>
            </w:r>
          </w:p>
        </w:tc>
        <w:tc>
          <w:tcPr>
            <w:tcW w:w="2268" w:type="dxa"/>
            <w:tcBorders>
              <w:left w:val="single" w:sz="4" w:space="0" w:color="auto"/>
              <w:bottom w:val="single" w:sz="4" w:space="0" w:color="auto"/>
            </w:tcBorders>
            <w:vAlign w:val="bottom"/>
          </w:tcPr>
          <w:p w14:paraId="166701C5" w14:textId="55E10960"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 xml:space="preserve">Eucalyptus </w:t>
            </w:r>
            <w:r w:rsidR="00847A55">
              <w:rPr>
                <w:rFonts w:asciiTheme="minorHAnsi" w:hAnsiTheme="minorHAnsi" w:cstheme="minorHAnsi"/>
                <w:i/>
                <w:sz w:val="18"/>
              </w:rPr>
              <w:t>tereticornis</w:t>
            </w:r>
          </w:p>
        </w:tc>
        <w:tc>
          <w:tcPr>
            <w:tcW w:w="851" w:type="dxa"/>
            <w:tcBorders>
              <w:bottom w:val="single" w:sz="4" w:space="0" w:color="auto"/>
            </w:tcBorders>
            <w:vAlign w:val="bottom"/>
          </w:tcPr>
          <w:p w14:paraId="08BB969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1.8</w:t>
            </w:r>
          </w:p>
        </w:tc>
        <w:tc>
          <w:tcPr>
            <w:tcW w:w="850" w:type="dxa"/>
            <w:tcBorders>
              <w:bottom w:val="single" w:sz="4" w:space="0" w:color="auto"/>
            </w:tcBorders>
          </w:tcPr>
          <w:p w14:paraId="1F8C14C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4.4</w:t>
            </w:r>
          </w:p>
        </w:tc>
      </w:tr>
      <w:tr w:rsidR="003D3694" w:rsidRPr="00747E35" w14:paraId="06EFB565" w14:textId="77777777" w:rsidTr="0096743A">
        <w:tc>
          <w:tcPr>
            <w:tcW w:w="1242" w:type="dxa"/>
            <w:tcBorders>
              <w:top w:val="single" w:sz="4" w:space="0" w:color="auto"/>
            </w:tcBorders>
          </w:tcPr>
          <w:p w14:paraId="5536F33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Terrestrial</w:t>
            </w:r>
          </w:p>
        </w:tc>
        <w:tc>
          <w:tcPr>
            <w:tcW w:w="2268" w:type="dxa"/>
            <w:tcBorders>
              <w:top w:val="single" w:sz="4" w:space="0" w:color="auto"/>
            </w:tcBorders>
            <w:vAlign w:val="bottom"/>
          </w:tcPr>
          <w:p w14:paraId="381E1E43"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Callitris glaucophylla</w:t>
            </w:r>
          </w:p>
        </w:tc>
        <w:tc>
          <w:tcPr>
            <w:tcW w:w="851" w:type="dxa"/>
            <w:tcBorders>
              <w:top w:val="single" w:sz="4" w:space="0" w:color="auto"/>
            </w:tcBorders>
            <w:vAlign w:val="bottom"/>
          </w:tcPr>
          <w:p w14:paraId="767BC58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3.5</w:t>
            </w:r>
          </w:p>
        </w:tc>
        <w:tc>
          <w:tcPr>
            <w:tcW w:w="850" w:type="dxa"/>
            <w:tcBorders>
              <w:top w:val="single" w:sz="4" w:space="0" w:color="auto"/>
              <w:right w:val="single" w:sz="4" w:space="0" w:color="auto"/>
            </w:tcBorders>
            <w:vAlign w:val="bottom"/>
          </w:tcPr>
          <w:p w14:paraId="0555E06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27.7</w:t>
            </w:r>
          </w:p>
        </w:tc>
        <w:tc>
          <w:tcPr>
            <w:tcW w:w="2268" w:type="dxa"/>
            <w:tcBorders>
              <w:top w:val="single" w:sz="4" w:space="0" w:color="auto"/>
              <w:left w:val="single" w:sz="4" w:space="0" w:color="auto"/>
            </w:tcBorders>
            <w:vAlign w:val="bottom"/>
          </w:tcPr>
          <w:p w14:paraId="4A8E9BC5"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Bothriochloa</w:t>
            </w:r>
            <w:r w:rsidRPr="00747E35">
              <w:rPr>
                <w:rFonts w:asciiTheme="minorHAnsi" w:hAnsiTheme="minorHAnsi" w:cstheme="minorHAnsi"/>
                <w:sz w:val="18"/>
              </w:rPr>
              <w:t xml:space="preserve"> sp</w:t>
            </w:r>
          </w:p>
        </w:tc>
        <w:tc>
          <w:tcPr>
            <w:tcW w:w="851" w:type="dxa"/>
            <w:tcBorders>
              <w:top w:val="single" w:sz="4" w:space="0" w:color="auto"/>
            </w:tcBorders>
            <w:vAlign w:val="bottom"/>
          </w:tcPr>
          <w:p w14:paraId="5BFAB1E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6.7</w:t>
            </w:r>
          </w:p>
        </w:tc>
        <w:tc>
          <w:tcPr>
            <w:tcW w:w="850" w:type="dxa"/>
            <w:tcBorders>
              <w:top w:val="single" w:sz="4" w:space="0" w:color="auto"/>
            </w:tcBorders>
            <w:vAlign w:val="bottom"/>
          </w:tcPr>
          <w:p w14:paraId="3B88B760"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44.8</w:t>
            </w:r>
          </w:p>
        </w:tc>
      </w:tr>
      <w:tr w:rsidR="003D3694" w:rsidRPr="00747E35" w14:paraId="222EE2DC" w14:textId="77777777" w:rsidTr="0096743A">
        <w:tc>
          <w:tcPr>
            <w:tcW w:w="1242" w:type="dxa"/>
          </w:tcPr>
          <w:p w14:paraId="350E9D2A" w14:textId="77777777" w:rsidR="003D3694" w:rsidRPr="00747E35" w:rsidRDefault="003D3694" w:rsidP="0096743A">
            <w:pPr>
              <w:spacing w:after="0"/>
              <w:rPr>
                <w:rFonts w:asciiTheme="minorHAnsi" w:hAnsiTheme="minorHAnsi" w:cstheme="minorHAnsi"/>
                <w:sz w:val="18"/>
              </w:rPr>
            </w:pPr>
          </w:p>
        </w:tc>
        <w:tc>
          <w:tcPr>
            <w:tcW w:w="2268" w:type="dxa"/>
            <w:vAlign w:val="bottom"/>
          </w:tcPr>
          <w:p w14:paraId="0CB013F3"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 xml:space="preserve">Triodia </w:t>
            </w:r>
            <w:r w:rsidRPr="00747E35">
              <w:rPr>
                <w:rFonts w:asciiTheme="minorHAnsi" w:hAnsiTheme="minorHAnsi" w:cstheme="minorHAnsi"/>
                <w:sz w:val="18"/>
              </w:rPr>
              <w:t>sp</w:t>
            </w:r>
          </w:p>
        </w:tc>
        <w:tc>
          <w:tcPr>
            <w:tcW w:w="851" w:type="dxa"/>
            <w:vAlign w:val="bottom"/>
          </w:tcPr>
          <w:p w14:paraId="59FA13E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3.2</w:t>
            </w:r>
          </w:p>
        </w:tc>
        <w:tc>
          <w:tcPr>
            <w:tcW w:w="850" w:type="dxa"/>
            <w:tcBorders>
              <w:right w:val="single" w:sz="4" w:space="0" w:color="auto"/>
            </w:tcBorders>
            <w:vAlign w:val="bottom"/>
          </w:tcPr>
          <w:p w14:paraId="69D9D7A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19.5</w:t>
            </w:r>
          </w:p>
        </w:tc>
        <w:tc>
          <w:tcPr>
            <w:tcW w:w="2268" w:type="dxa"/>
            <w:tcBorders>
              <w:left w:val="single" w:sz="4" w:space="0" w:color="auto"/>
            </w:tcBorders>
            <w:vAlign w:val="bottom"/>
          </w:tcPr>
          <w:p w14:paraId="65335352" w14:textId="49B41F59"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 xml:space="preserve">Eucalyptus </w:t>
            </w:r>
            <w:r w:rsidR="00847A55">
              <w:rPr>
                <w:rFonts w:asciiTheme="minorHAnsi" w:hAnsiTheme="minorHAnsi" w:cstheme="minorHAnsi"/>
                <w:i/>
                <w:sz w:val="18"/>
              </w:rPr>
              <w:t>tereticornis</w:t>
            </w:r>
          </w:p>
        </w:tc>
        <w:tc>
          <w:tcPr>
            <w:tcW w:w="851" w:type="dxa"/>
            <w:vAlign w:val="bottom"/>
          </w:tcPr>
          <w:p w14:paraId="7D10645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4.1</w:t>
            </w:r>
          </w:p>
        </w:tc>
        <w:tc>
          <w:tcPr>
            <w:tcW w:w="850" w:type="dxa"/>
            <w:vAlign w:val="bottom"/>
          </w:tcPr>
          <w:p w14:paraId="78E5C7C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28.6</w:t>
            </w:r>
          </w:p>
        </w:tc>
      </w:tr>
      <w:tr w:rsidR="003D3694" w:rsidRPr="00747E35" w14:paraId="6EF98DB2" w14:textId="77777777" w:rsidTr="0096743A">
        <w:tc>
          <w:tcPr>
            <w:tcW w:w="1242" w:type="dxa"/>
          </w:tcPr>
          <w:p w14:paraId="7BC1CE3C" w14:textId="77777777" w:rsidR="003D3694" w:rsidRPr="00747E35" w:rsidRDefault="003D3694" w:rsidP="0096743A">
            <w:pPr>
              <w:spacing w:after="0"/>
              <w:rPr>
                <w:rFonts w:asciiTheme="minorHAnsi" w:hAnsiTheme="minorHAnsi" w:cstheme="minorHAnsi"/>
                <w:sz w:val="18"/>
              </w:rPr>
            </w:pPr>
          </w:p>
        </w:tc>
        <w:tc>
          <w:tcPr>
            <w:tcW w:w="2268" w:type="dxa"/>
            <w:vAlign w:val="bottom"/>
          </w:tcPr>
          <w:p w14:paraId="5511DC77"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 xml:space="preserve">Aristida </w:t>
            </w:r>
            <w:r w:rsidRPr="00747E35">
              <w:rPr>
                <w:rFonts w:asciiTheme="minorHAnsi" w:hAnsiTheme="minorHAnsi" w:cstheme="minorHAnsi"/>
                <w:sz w:val="18"/>
              </w:rPr>
              <w:t>sp</w:t>
            </w:r>
          </w:p>
        </w:tc>
        <w:tc>
          <w:tcPr>
            <w:tcW w:w="851" w:type="dxa"/>
            <w:vAlign w:val="bottom"/>
          </w:tcPr>
          <w:p w14:paraId="2943A70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3.1</w:t>
            </w:r>
          </w:p>
        </w:tc>
        <w:tc>
          <w:tcPr>
            <w:tcW w:w="850" w:type="dxa"/>
            <w:tcBorders>
              <w:right w:val="single" w:sz="4" w:space="0" w:color="auto"/>
            </w:tcBorders>
            <w:vAlign w:val="bottom"/>
          </w:tcPr>
          <w:p w14:paraId="236CBE8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19.5</w:t>
            </w:r>
          </w:p>
        </w:tc>
        <w:tc>
          <w:tcPr>
            <w:tcW w:w="2268" w:type="dxa"/>
            <w:tcBorders>
              <w:left w:val="single" w:sz="4" w:space="0" w:color="auto"/>
            </w:tcBorders>
            <w:vAlign w:val="bottom"/>
          </w:tcPr>
          <w:p w14:paraId="1DD5C684"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Heteropogon contortus</w:t>
            </w:r>
          </w:p>
        </w:tc>
        <w:tc>
          <w:tcPr>
            <w:tcW w:w="851" w:type="dxa"/>
            <w:vAlign w:val="bottom"/>
          </w:tcPr>
          <w:p w14:paraId="2D2D736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3.5</w:t>
            </w:r>
          </w:p>
        </w:tc>
        <w:tc>
          <w:tcPr>
            <w:tcW w:w="850" w:type="dxa"/>
            <w:vAlign w:val="bottom"/>
          </w:tcPr>
          <w:p w14:paraId="43B0C16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11.4</w:t>
            </w:r>
          </w:p>
        </w:tc>
      </w:tr>
      <w:tr w:rsidR="003D3694" w:rsidRPr="00747E35" w14:paraId="62700B33" w14:textId="77777777" w:rsidTr="0096743A">
        <w:tc>
          <w:tcPr>
            <w:tcW w:w="1242" w:type="dxa"/>
          </w:tcPr>
          <w:p w14:paraId="76BDE5B7" w14:textId="77777777" w:rsidR="003D3694" w:rsidRPr="00747E35" w:rsidRDefault="003D3694" w:rsidP="0096743A">
            <w:pPr>
              <w:spacing w:after="0"/>
              <w:rPr>
                <w:rFonts w:asciiTheme="minorHAnsi" w:hAnsiTheme="minorHAnsi" w:cstheme="minorHAnsi"/>
                <w:sz w:val="18"/>
              </w:rPr>
            </w:pPr>
          </w:p>
        </w:tc>
        <w:tc>
          <w:tcPr>
            <w:tcW w:w="2268" w:type="dxa"/>
            <w:vAlign w:val="bottom"/>
          </w:tcPr>
          <w:p w14:paraId="6E2287A7"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Themeda australis</w:t>
            </w:r>
          </w:p>
        </w:tc>
        <w:tc>
          <w:tcPr>
            <w:tcW w:w="851" w:type="dxa"/>
            <w:vAlign w:val="bottom"/>
          </w:tcPr>
          <w:p w14:paraId="3DBAFA5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1.5</w:t>
            </w:r>
          </w:p>
        </w:tc>
        <w:tc>
          <w:tcPr>
            <w:tcW w:w="850" w:type="dxa"/>
            <w:tcBorders>
              <w:right w:val="single" w:sz="4" w:space="0" w:color="auto"/>
            </w:tcBorders>
            <w:vAlign w:val="bottom"/>
          </w:tcPr>
          <w:p w14:paraId="4922D25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9.8</w:t>
            </w:r>
          </w:p>
        </w:tc>
        <w:tc>
          <w:tcPr>
            <w:tcW w:w="2268" w:type="dxa"/>
            <w:tcBorders>
              <w:left w:val="single" w:sz="4" w:space="0" w:color="auto"/>
            </w:tcBorders>
            <w:vAlign w:val="bottom"/>
          </w:tcPr>
          <w:p w14:paraId="57ED362A"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Eucalyptus melanophloia</w:t>
            </w:r>
          </w:p>
        </w:tc>
        <w:tc>
          <w:tcPr>
            <w:tcW w:w="851" w:type="dxa"/>
            <w:vAlign w:val="bottom"/>
          </w:tcPr>
          <w:p w14:paraId="4243D72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2.2</w:t>
            </w:r>
          </w:p>
        </w:tc>
        <w:tc>
          <w:tcPr>
            <w:tcW w:w="850" w:type="dxa"/>
            <w:vAlign w:val="bottom"/>
          </w:tcPr>
          <w:p w14:paraId="3FA2C51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7.4</w:t>
            </w:r>
          </w:p>
        </w:tc>
      </w:tr>
      <w:tr w:rsidR="003D3694" w:rsidRPr="00747E35" w14:paraId="649E7BA4" w14:textId="77777777" w:rsidTr="0096743A">
        <w:tc>
          <w:tcPr>
            <w:tcW w:w="1242" w:type="dxa"/>
            <w:tcBorders>
              <w:bottom w:val="single" w:sz="4" w:space="0" w:color="auto"/>
            </w:tcBorders>
          </w:tcPr>
          <w:p w14:paraId="7F6A896D" w14:textId="77777777" w:rsidR="003D3694" w:rsidRPr="00747E35" w:rsidRDefault="003D3694" w:rsidP="0096743A">
            <w:pPr>
              <w:spacing w:after="0"/>
              <w:rPr>
                <w:rFonts w:asciiTheme="minorHAnsi" w:hAnsiTheme="minorHAnsi" w:cstheme="minorHAnsi"/>
                <w:sz w:val="18"/>
              </w:rPr>
            </w:pPr>
          </w:p>
        </w:tc>
        <w:tc>
          <w:tcPr>
            <w:tcW w:w="2268" w:type="dxa"/>
            <w:tcBorders>
              <w:bottom w:val="single" w:sz="4" w:space="0" w:color="auto"/>
            </w:tcBorders>
            <w:vAlign w:val="bottom"/>
          </w:tcPr>
          <w:p w14:paraId="35271C00"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Eucalyptus dealbata</w:t>
            </w:r>
          </w:p>
        </w:tc>
        <w:tc>
          <w:tcPr>
            <w:tcW w:w="851" w:type="dxa"/>
            <w:tcBorders>
              <w:bottom w:val="single" w:sz="4" w:space="0" w:color="auto"/>
            </w:tcBorders>
            <w:vAlign w:val="bottom"/>
          </w:tcPr>
          <w:p w14:paraId="3869FA2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2.3</w:t>
            </w:r>
          </w:p>
        </w:tc>
        <w:tc>
          <w:tcPr>
            <w:tcW w:w="850" w:type="dxa"/>
            <w:tcBorders>
              <w:bottom w:val="single" w:sz="4" w:space="0" w:color="auto"/>
              <w:right w:val="single" w:sz="4" w:space="0" w:color="auto"/>
            </w:tcBorders>
            <w:vAlign w:val="bottom"/>
          </w:tcPr>
          <w:p w14:paraId="54AE6EF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8.6</w:t>
            </w:r>
          </w:p>
        </w:tc>
        <w:tc>
          <w:tcPr>
            <w:tcW w:w="2268" w:type="dxa"/>
            <w:tcBorders>
              <w:left w:val="single" w:sz="4" w:space="0" w:color="auto"/>
              <w:bottom w:val="single" w:sz="4" w:space="0" w:color="auto"/>
            </w:tcBorders>
          </w:tcPr>
          <w:p w14:paraId="42E356BD" w14:textId="77777777" w:rsidR="003D3694" w:rsidRPr="00747E35" w:rsidRDefault="003D3694" w:rsidP="0096743A">
            <w:pPr>
              <w:spacing w:after="0"/>
              <w:rPr>
                <w:rFonts w:asciiTheme="minorHAnsi" w:hAnsiTheme="minorHAnsi" w:cstheme="minorHAnsi"/>
                <w:sz w:val="18"/>
              </w:rPr>
            </w:pPr>
          </w:p>
        </w:tc>
        <w:tc>
          <w:tcPr>
            <w:tcW w:w="851" w:type="dxa"/>
            <w:tcBorders>
              <w:bottom w:val="single" w:sz="4" w:space="0" w:color="auto"/>
            </w:tcBorders>
          </w:tcPr>
          <w:p w14:paraId="2683712B" w14:textId="77777777" w:rsidR="003D3694" w:rsidRPr="00747E35" w:rsidRDefault="003D3694" w:rsidP="0096743A">
            <w:pPr>
              <w:spacing w:after="0"/>
              <w:rPr>
                <w:rFonts w:asciiTheme="minorHAnsi" w:hAnsiTheme="minorHAnsi" w:cstheme="minorHAnsi"/>
                <w:sz w:val="18"/>
              </w:rPr>
            </w:pPr>
          </w:p>
        </w:tc>
        <w:tc>
          <w:tcPr>
            <w:tcW w:w="850" w:type="dxa"/>
            <w:tcBorders>
              <w:bottom w:val="single" w:sz="4" w:space="0" w:color="auto"/>
            </w:tcBorders>
          </w:tcPr>
          <w:p w14:paraId="1B9956AA" w14:textId="77777777" w:rsidR="003D3694" w:rsidRPr="00747E35" w:rsidRDefault="003D3694" w:rsidP="0096743A">
            <w:pPr>
              <w:spacing w:after="0"/>
              <w:rPr>
                <w:rFonts w:asciiTheme="minorHAnsi" w:hAnsiTheme="minorHAnsi" w:cstheme="minorHAnsi"/>
                <w:sz w:val="18"/>
              </w:rPr>
            </w:pPr>
          </w:p>
        </w:tc>
      </w:tr>
    </w:tbl>
    <w:p w14:paraId="2EFA3226" w14:textId="77777777" w:rsidR="003D3694" w:rsidRPr="00747E35" w:rsidRDefault="003D3694" w:rsidP="003D3694">
      <w:pPr>
        <w:rPr>
          <w:rFonts w:asciiTheme="minorHAnsi" w:hAnsiTheme="minorHAnsi" w:cstheme="minorHAnsi"/>
        </w:rPr>
      </w:pPr>
    </w:p>
    <w:p w14:paraId="4F62A10A" w14:textId="77777777" w:rsidR="003D3694" w:rsidRPr="00747E35" w:rsidRDefault="003D3694" w:rsidP="003D3694">
      <w:pPr>
        <w:autoSpaceDE/>
        <w:autoSpaceDN/>
        <w:spacing w:line="276" w:lineRule="auto"/>
        <w:rPr>
          <w:rFonts w:asciiTheme="minorHAnsi" w:hAnsiTheme="minorHAnsi" w:cstheme="minorHAnsi"/>
        </w:rPr>
      </w:pPr>
      <w:r w:rsidRPr="00747E35">
        <w:rPr>
          <w:rFonts w:asciiTheme="minorHAnsi" w:hAnsiTheme="minorHAnsi" w:cstheme="minorHAnsi"/>
        </w:rPr>
        <w:br w:type="page"/>
      </w:r>
    </w:p>
    <w:p w14:paraId="15C8D02E"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52" w:name="_Ref466191461"/>
      <w:r w:rsidRPr="00747E35">
        <w:rPr>
          <w:rFonts w:asciiTheme="minorHAnsi" w:hAnsiTheme="minorHAnsi" w:cstheme="minorHAnsi"/>
          <w:i/>
          <w:color w:val="5B9BD5" w:themeColor="accent1"/>
          <w:sz w:val="20"/>
          <w:szCs w:val="20"/>
        </w:rPr>
        <w:lastRenderedPageBreak/>
        <w:t xml:space="preserve">Table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Table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7</w:t>
      </w:r>
      <w:r w:rsidRPr="00747E35">
        <w:rPr>
          <w:rFonts w:asciiTheme="minorHAnsi" w:hAnsiTheme="minorHAnsi" w:cstheme="minorHAnsi"/>
          <w:i/>
          <w:noProof/>
          <w:color w:val="5B9BD5" w:themeColor="accent1"/>
          <w:sz w:val="20"/>
          <w:szCs w:val="20"/>
        </w:rPr>
        <w:fldChar w:fldCharType="end"/>
      </w:r>
      <w:bookmarkEnd w:id="52"/>
      <w:r w:rsidRPr="00747E35">
        <w:rPr>
          <w:rFonts w:asciiTheme="minorHAnsi" w:hAnsiTheme="minorHAnsi" w:cstheme="minorHAnsi"/>
          <w:i/>
          <w:color w:val="5B9BD5" w:themeColor="accent1"/>
          <w:sz w:val="20"/>
          <w:szCs w:val="20"/>
        </w:rPr>
        <w:t>: Average number of trees, diameter at breast height (dbh) and basal area (BA) of the dominant tree species for each landscape position at Maules Creek and the Bremer River sites.</w:t>
      </w:r>
    </w:p>
    <w:tbl>
      <w:tblPr>
        <w:tblStyle w:val="TableGrid2"/>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1070"/>
        <w:gridCol w:w="1115"/>
        <w:gridCol w:w="2275"/>
        <w:gridCol w:w="907"/>
        <w:gridCol w:w="907"/>
        <w:gridCol w:w="1556"/>
      </w:tblGrid>
      <w:tr w:rsidR="003D3694" w:rsidRPr="00090218" w14:paraId="2B722B70" w14:textId="77777777" w:rsidTr="00B004E4">
        <w:trPr>
          <w:tblHeader/>
          <w:jc w:val="center"/>
        </w:trPr>
        <w:tc>
          <w:tcPr>
            <w:tcW w:w="1526" w:type="dxa"/>
            <w:tcBorders>
              <w:top w:val="single" w:sz="4" w:space="0" w:color="auto"/>
              <w:bottom w:val="single" w:sz="4" w:space="0" w:color="auto"/>
            </w:tcBorders>
            <w:shd w:val="clear" w:color="auto" w:fill="DEEAF6" w:themeFill="accent1" w:themeFillTint="33"/>
          </w:tcPr>
          <w:p w14:paraId="53E73C7E" w14:textId="77777777" w:rsidR="003D3694" w:rsidRPr="00090218" w:rsidRDefault="003D3694" w:rsidP="0096743A">
            <w:pPr>
              <w:autoSpaceDE/>
              <w:autoSpaceDN/>
              <w:spacing w:after="0"/>
              <w:rPr>
                <w:rFonts w:asciiTheme="minorHAnsi" w:eastAsia="Times New Roman" w:hAnsiTheme="minorHAnsi" w:cstheme="minorHAnsi"/>
                <w:sz w:val="20"/>
                <w:szCs w:val="20"/>
                <w:lang w:val="en-AU" w:eastAsia="en-AU"/>
              </w:rPr>
            </w:pPr>
            <w:r w:rsidRPr="00090218">
              <w:rPr>
                <w:rFonts w:asciiTheme="minorHAnsi" w:eastAsia="Times New Roman" w:hAnsiTheme="minorHAnsi" w:cstheme="minorHAnsi"/>
                <w:sz w:val="20"/>
                <w:szCs w:val="20"/>
                <w:lang w:val="en-AU" w:eastAsia="en-AU"/>
              </w:rPr>
              <w:t>Site</w:t>
            </w:r>
          </w:p>
        </w:tc>
        <w:tc>
          <w:tcPr>
            <w:tcW w:w="1070" w:type="dxa"/>
            <w:tcBorders>
              <w:top w:val="single" w:sz="4" w:space="0" w:color="auto"/>
              <w:bottom w:val="single" w:sz="4" w:space="0" w:color="auto"/>
            </w:tcBorders>
            <w:shd w:val="clear" w:color="auto" w:fill="DEEAF6" w:themeFill="accent1" w:themeFillTint="33"/>
          </w:tcPr>
          <w:p w14:paraId="6908880F" w14:textId="77777777" w:rsidR="003D3694" w:rsidRPr="00090218" w:rsidRDefault="003D3694" w:rsidP="0096743A">
            <w:pPr>
              <w:autoSpaceDE/>
              <w:autoSpaceDN/>
              <w:spacing w:after="0"/>
              <w:rPr>
                <w:rFonts w:asciiTheme="minorHAnsi" w:eastAsia="Times New Roman" w:hAnsiTheme="minorHAnsi" w:cstheme="minorHAnsi"/>
                <w:sz w:val="20"/>
                <w:szCs w:val="20"/>
                <w:lang w:val="en-AU" w:eastAsia="en-AU"/>
              </w:rPr>
            </w:pPr>
            <w:r w:rsidRPr="00090218">
              <w:rPr>
                <w:rFonts w:asciiTheme="minorHAnsi" w:eastAsia="Times New Roman" w:hAnsiTheme="minorHAnsi" w:cstheme="minorHAnsi"/>
                <w:sz w:val="20"/>
                <w:szCs w:val="20"/>
                <w:lang w:val="en-AU" w:eastAsia="en-AU"/>
              </w:rPr>
              <w:t>Landscape Position</w:t>
            </w:r>
          </w:p>
        </w:tc>
        <w:tc>
          <w:tcPr>
            <w:tcW w:w="1115" w:type="dxa"/>
            <w:tcBorders>
              <w:top w:val="single" w:sz="4" w:space="0" w:color="auto"/>
              <w:bottom w:val="single" w:sz="4" w:space="0" w:color="auto"/>
            </w:tcBorders>
            <w:shd w:val="clear" w:color="auto" w:fill="DEEAF6" w:themeFill="accent1" w:themeFillTint="33"/>
          </w:tcPr>
          <w:p w14:paraId="0758A2EF" w14:textId="77777777" w:rsidR="003D3694" w:rsidRPr="00090218" w:rsidRDefault="003D3694" w:rsidP="0096743A">
            <w:pPr>
              <w:autoSpaceDE/>
              <w:autoSpaceDN/>
              <w:spacing w:after="0"/>
              <w:rPr>
                <w:rFonts w:asciiTheme="minorHAnsi" w:eastAsia="Times New Roman" w:hAnsiTheme="minorHAnsi" w:cstheme="minorHAnsi"/>
                <w:sz w:val="20"/>
                <w:szCs w:val="20"/>
                <w:lang w:val="en-AU" w:eastAsia="en-AU"/>
              </w:rPr>
            </w:pPr>
            <w:r w:rsidRPr="00090218">
              <w:rPr>
                <w:rFonts w:asciiTheme="minorHAnsi" w:eastAsia="Times New Roman" w:hAnsiTheme="minorHAnsi" w:cstheme="minorHAnsi"/>
                <w:sz w:val="20"/>
                <w:szCs w:val="20"/>
                <w:lang w:val="en-AU" w:eastAsia="en-AU"/>
              </w:rPr>
              <w:t>Stream Hydrology</w:t>
            </w:r>
          </w:p>
        </w:tc>
        <w:tc>
          <w:tcPr>
            <w:tcW w:w="2275" w:type="dxa"/>
            <w:tcBorders>
              <w:top w:val="single" w:sz="4" w:space="0" w:color="auto"/>
              <w:bottom w:val="single" w:sz="4" w:space="0" w:color="auto"/>
            </w:tcBorders>
            <w:shd w:val="clear" w:color="auto" w:fill="DEEAF6" w:themeFill="accent1" w:themeFillTint="33"/>
          </w:tcPr>
          <w:p w14:paraId="6E6F6B7C" w14:textId="77777777" w:rsidR="003D3694" w:rsidRPr="00090218" w:rsidRDefault="003D3694" w:rsidP="0096743A">
            <w:pPr>
              <w:autoSpaceDE/>
              <w:autoSpaceDN/>
              <w:spacing w:after="0"/>
              <w:rPr>
                <w:rFonts w:asciiTheme="minorHAnsi" w:eastAsia="Times New Roman" w:hAnsiTheme="minorHAnsi" w:cstheme="minorHAnsi"/>
                <w:sz w:val="20"/>
                <w:szCs w:val="20"/>
                <w:lang w:val="en-AU" w:eastAsia="en-AU"/>
              </w:rPr>
            </w:pPr>
            <w:r w:rsidRPr="00090218">
              <w:rPr>
                <w:rFonts w:asciiTheme="minorHAnsi" w:eastAsia="Times New Roman" w:hAnsiTheme="minorHAnsi" w:cstheme="minorHAnsi"/>
                <w:sz w:val="20"/>
                <w:szCs w:val="20"/>
                <w:lang w:val="en-AU" w:eastAsia="en-AU"/>
              </w:rPr>
              <w:t>Main Species</w:t>
            </w:r>
          </w:p>
        </w:tc>
        <w:tc>
          <w:tcPr>
            <w:tcW w:w="907" w:type="dxa"/>
            <w:tcBorders>
              <w:top w:val="single" w:sz="4" w:space="0" w:color="auto"/>
              <w:bottom w:val="single" w:sz="4" w:space="0" w:color="auto"/>
            </w:tcBorders>
            <w:shd w:val="clear" w:color="auto" w:fill="DEEAF6" w:themeFill="accent1" w:themeFillTint="33"/>
          </w:tcPr>
          <w:p w14:paraId="437B6AE2" w14:textId="77777777" w:rsidR="003D3694" w:rsidRPr="00090218" w:rsidRDefault="003D3694" w:rsidP="0096743A">
            <w:pPr>
              <w:autoSpaceDE/>
              <w:autoSpaceDN/>
              <w:spacing w:after="0"/>
              <w:rPr>
                <w:rFonts w:asciiTheme="minorHAnsi" w:eastAsia="Times New Roman" w:hAnsiTheme="minorHAnsi" w:cstheme="minorHAnsi"/>
                <w:sz w:val="20"/>
                <w:szCs w:val="20"/>
                <w:lang w:val="en-AU" w:eastAsia="en-AU"/>
              </w:rPr>
            </w:pPr>
            <w:r w:rsidRPr="00090218">
              <w:rPr>
                <w:rFonts w:asciiTheme="minorHAnsi" w:eastAsia="Times New Roman" w:hAnsiTheme="minorHAnsi" w:cstheme="minorHAnsi"/>
                <w:sz w:val="20"/>
                <w:szCs w:val="20"/>
                <w:lang w:val="en-AU" w:eastAsia="en-AU"/>
              </w:rPr>
              <w:t>Mean no. trees</w:t>
            </w:r>
          </w:p>
        </w:tc>
        <w:tc>
          <w:tcPr>
            <w:tcW w:w="907" w:type="dxa"/>
            <w:tcBorders>
              <w:top w:val="single" w:sz="4" w:space="0" w:color="auto"/>
              <w:bottom w:val="single" w:sz="4" w:space="0" w:color="auto"/>
            </w:tcBorders>
            <w:shd w:val="clear" w:color="auto" w:fill="DEEAF6" w:themeFill="accent1" w:themeFillTint="33"/>
          </w:tcPr>
          <w:p w14:paraId="70C03D3C" w14:textId="77777777" w:rsidR="003D3694" w:rsidRPr="00090218" w:rsidRDefault="003D3694" w:rsidP="0096743A">
            <w:pPr>
              <w:autoSpaceDE/>
              <w:autoSpaceDN/>
              <w:spacing w:after="0"/>
              <w:rPr>
                <w:rFonts w:asciiTheme="minorHAnsi" w:eastAsia="Times New Roman" w:hAnsiTheme="minorHAnsi" w:cstheme="minorHAnsi"/>
                <w:sz w:val="20"/>
                <w:szCs w:val="20"/>
                <w:lang w:val="en-AU" w:eastAsia="en-AU"/>
              </w:rPr>
            </w:pPr>
            <w:r w:rsidRPr="00090218">
              <w:rPr>
                <w:rFonts w:asciiTheme="minorHAnsi" w:eastAsia="Times New Roman" w:hAnsiTheme="minorHAnsi" w:cstheme="minorHAnsi"/>
                <w:sz w:val="20"/>
                <w:szCs w:val="20"/>
                <w:lang w:val="en-AU" w:eastAsia="en-AU"/>
              </w:rPr>
              <w:t>Mean dbh (cm)</w:t>
            </w:r>
          </w:p>
        </w:tc>
        <w:tc>
          <w:tcPr>
            <w:tcW w:w="1556" w:type="dxa"/>
            <w:tcBorders>
              <w:top w:val="single" w:sz="4" w:space="0" w:color="auto"/>
              <w:bottom w:val="single" w:sz="4" w:space="0" w:color="auto"/>
            </w:tcBorders>
            <w:shd w:val="clear" w:color="auto" w:fill="DEEAF6" w:themeFill="accent1" w:themeFillTint="33"/>
          </w:tcPr>
          <w:p w14:paraId="19FA1E89" w14:textId="77777777" w:rsidR="003D3694" w:rsidRPr="00090218" w:rsidRDefault="003D3694" w:rsidP="0096743A">
            <w:pPr>
              <w:autoSpaceDE/>
              <w:autoSpaceDN/>
              <w:spacing w:after="0"/>
              <w:rPr>
                <w:rFonts w:asciiTheme="minorHAnsi" w:eastAsia="Times New Roman" w:hAnsiTheme="minorHAnsi" w:cstheme="minorHAnsi"/>
                <w:sz w:val="20"/>
                <w:szCs w:val="20"/>
                <w:lang w:val="en-AU" w:eastAsia="en-AU"/>
              </w:rPr>
            </w:pPr>
            <w:r w:rsidRPr="00090218">
              <w:rPr>
                <w:rFonts w:asciiTheme="minorHAnsi" w:eastAsia="Times New Roman" w:hAnsiTheme="minorHAnsi" w:cstheme="minorHAnsi"/>
                <w:sz w:val="20"/>
                <w:szCs w:val="20"/>
                <w:lang w:val="en-AU" w:eastAsia="en-AU"/>
              </w:rPr>
              <w:t>BA m</w:t>
            </w:r>
            <w:r w:rsidRPr="00090218">
              <w:rPr>
                <w:rFonts w:asciiTheme="minorHAnsi" w:eastAsia="Times New Roman" w:hAnsiTheme="minorHAnsi" w:cstheme="minorHAnsi"/>
                <w:sz w:val="20"/>
                <w:szCs w:val="20"/>
                <w:vertAlign w:val="superscript"/>
                <w:lang w:val="en-AU" w:eastAsia="en-AU"/>
              </w:rPr>
              <w:t xml:space="preserve">2 </w:t>
            </w:r>
            <w:r w:rsidRPr="00090218">
              <w:rPr>
                <w:rFonts w:asciiTheme="minorHAnsi" w:eastAsia="Times New Roman" w:hAnsiTheme="minorHAnsi" w:cstheme="minorHAnsi"/>
                <w:sz w:val="20"/>
                <w:szCs w:val="20"/>
                <w:lang w:val="en-AU" w:eastAsia="en-AU"/>
              </w:rPr>
              <w:t>ha</w:t>
            </w:r>
            <w:r w:rsidRPr="00090218">
              <w:rPr>
                <w:rFonts w:asciiTheme="minorHAnsi" w:eastAsia="Times New Roman" w:hAnsiTheme="minorHAnsi" w:cstheme="minorHAnsi"/>
                <w:sz w:val="20"/>
                <w:szCs w:val="20"/>
                <w:vertAlign w:val="superscript"/>
                <w:lang w:val="en-AU" w:eastAsia="en-AU"/>
              </w:rPr>
              <w:t>-1</w:t>
            </w:r>
          </w:p>
        </w:tc>
      </w:tr>
      <w:tr w:rsidR="003D3694" w:rsidRPr="00747E35" w14:paraId="3171F97F" w14:textId="77777777" w:rsidTr="0096743A">
        <w:trPr>
          <w:jc w:val="center"/>
        </w:trPr>
        <w:tc>
          <w:tcPr>
            <w:tcW w:w="1526" w:type="dxa"/>
            <w:tcBorders>
              <w:top w:val="single" w:sz="4" w:space="0" w:color="auto"/>
            </w:tcBorders>
            <w:vAlign w:val="bottom"/>
          </w:tcPr>
          <w:p w14:paraId="55F92DF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Maules</w:t>
            </w:r>
          </w:p>
        </w:tc>
        <w:tc>
          <w:tcPr>
            <w:tcW w:w="1070" w:type="dxa"/>
            <w:tcBorders>
              <w:top w:val="single" w:sz="4" w:space="0" w:color="auto"/>
            </w:tcBorders>
            <w:vAlign w:val="bottom"/>
          </w:tcPr>
          <w:p w14:paraId="53656B7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riparian</w:t>
            </w:r>
          </w:p>
        </w:tc>
        <w:tc>
          <w:tcPr>
            <w:tcW w:w="1115" w:type="dxa"/>
            <w:tcBorders>
              <w:top w:val="single" w:sz="4" w:space="0" w:color="auto"/>
            </w:tcBorders>
            <w:vAlign w:val="bottom"/>
          </w:tcPr>
          <w:p w14:paraId="74D8B56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perennial</w:t>
            </w:r>
          </w:p>
        </w:tc>
        <w:tc>
          <w:tcPr>
            <w:tcW w:w="2275" w:type="dxa"/>
            <w:tcBorders>
              <w:top w:val="single" w:sz="4" w:space="0" w:color="auto"/>
            </w:tcBorders>
            <w:vAlign w:val="bottom"/>
          </w:tcPr>
          <w:p w14:paraId="38B43651"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Eucalyptus camaldulensis</w:t>
            </w:r>
          </w:p>
        </w:tc>
        <w:tc>
          <w:tcPr>
            <w:tcW w:w="907" w:type="dxa"/>
            <w:tcBorders>
              <w:top w:val="single" w:sz="4" w:space="0" w:color="auto"/>
            </w:tcBorders>
            <w:vAlign w:val="bottom"/>
          </w:tcPr>
          <w:p w14:paraId="74948BA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17</w:t>
            </w:r>
          </w:p>
        </w:tc>
        <w:tc>
          <w:tcPr>
            <w:tcW w:w="907" w:type="dxa"/>
            <w:tcBorders>
              <w:top w:val="single" w:sz="4" w:space="0" w:color="auto"/>
            </w:tcBorders>
            <w:vAlign w:val="bottom"/>
          </w:tcPr>
          <w:p w14:paraId="01BF6C4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38.67</w:t>
            </w:r>
          </w:p>
        </w:tc>
        <w:tc>
          <w:tcPr>
            <w:tcW w:w="1556" w:type="dxa"/>
            <w:tcBorders>
              <w:top w:val="single" w:sz="4" w:space="0" w:color="auto"/>
            </w:tcBorders>
            <w:vAlign w:val="bottom"/>
          </w:tcPr>
          <w:p w14:paraId="27A9A02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18.99</w:t>
            </w:r>
          </w:p>
        </w:tc>
      </w:tr>
      <w:tr w:rsidR="003D3694" w:rsidRPr="00747E35" w14:paraId="4DE06102" w14:textId="77777777" w:rsidTr="0096743A">
        <w:trPr>
          <w:jc w:val="center"/>
        </w:trPr>
        <w:tc>
          <w:tcPr>
            <w:tcW w:w="1526" w:type="dxa"/>
            <w:tcBorders>
              <w:bottom w:val="single" w:sz="4" w:space="0" w:color="auto"/>
            </w:tcBorders>
            <w:vAlign w:val="bottom"/>
          </w:tcPr>
          <w:p w14:paraId="7C7D5B3E" w14:textId="77777777" w:rsidR="003D3694" w:rsidRPr="00747E35" w:rsidRDefault="003D3694" w:rsidP="0096743A">
            <w:pPr>
              <w:spacing w:after="0"/>
              <w:rPr>
                <w:rFonts w:asciiTheme="minorHAnsi" w:hAnsiTheme="minorHAnsi" w:cstheme="minorHAnsi"/>
                <w:sz w:val="18"/>
              </w:rPr>
            </w:pPr>
          </w:p>
        </w:tc>
        <w:tc>
          <w:tcPr>
            <w:tcW w:w="1070" w:type="dxa"/>
            <w:tcBorders>
              <w:bottom w:val="single" w:sz="4" w:space="0" w:color="auto"/>
            </w:tcBorders>
            <w:vAlign w:val="bottom"/>
          </w:tcPr>
          <w:p w14:paraId="70225F1E" w14:textId="77777777" w:rsidR="003D3694" w:rsidRPr="00747E35" w:rsidRDefault="003D3694" w:rsidP="0096743A">
            <w:pPr>
              <w:spacing w:after="0"/>
              <w:rPr>
                <w:rFonts w:asciiTheme="minorHAnsi" w:hAnsiTheme="minorHAnsi" w:cstheme="minorHAnsi"/>
                <w:sz w:val="18"/>
              </w:rPr>
            </w:pPr>
          </w:p>
        </w:tc>
        <w:tc>
          <w:tcPr>
            <w:tcW w:w="1115" w:type="dxa"/>
            <w:tcBorders>
              <w:bottom w:val="single" w:sz="4" w:space="0" w:color="auto"/>
            </w:tcBorders>
            <w:vAlign w:val="bottom"/>
          </w:tcPr>
          <w:p w14:paraId="71A7FD01" w14:textId="77777777" w:rsidR="003D3694" w:rsidRPr="00747E35" w:rsidRDefault="003D3694" w:rsidP="0096743A">
            <w:pPr>
              <w:spacing w:after="0"/>
              <w:rPr>
                <w:rFonts w:asciiTheme="minorHAnsi" w:hAnsiTheme="minorHAnsi" w:cstheme="minorHAnsi"/>
                <w:sz w:val="18"/>
              </w:rPr>
            </w:pPr>
          </w:p>
        </w:tc>
        <w:tc>
          <w:tcPr>
            <w:tcW w:w="2275" w:type="dxa"/>
            <w:tcBorders>
              <w:bottom w:val="single" w:sz="4" w:space="0" w:color="auto"/>
            </w:tcBorders>
            <w:vAlign w:val="bottom"/>
          </w:tcPr>
          <w:p w14:paraId="54A1F9FC"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Melaleuca bracteata</w:t>
            </w:r>
          </w:p>
        </w:tc>
        <w:tc>
          <w:tcPr>
            <w:tcW w:w="907" w:type="dxa"/>
            <w:tcBorders>
              <w:bottom w:val="single" w:sz="4" w:space="0" w:color="auto"/>
            </w:tcBorders>
            <w:vAlign w:val="bottom"/>
          </w:tcPr>
          <w:p w14:paraId="650024AB"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4</w:t>
            </w:r>
          </w:p>
        </w:tc>
        <w:tc>
          <w:tcPr>
            <w:tcW w:w="907" w:type="dxa"/>
            <w:tcBorders>
              <w:bottom w:val="single" w:sz="4" w:space="0" w:color="auto"/>
            </w:tcBorders>
            <w:vAlign w:val="bottom"/>
          </w:tcPr>
          <w:p w14:paraId="518B921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4.33</w:t>
            </w:r>
          </w:p>
        </w:tc>
        <w:tc>
          <w:tcPr>
            <w:tcW w:w="1556" w:type="dxa"/>
            <w:tcBorders>
              <w:bottom w:val="single" w:sz="4" w:space="0" w:color="auto"/>
            </w:tcBorders>
            <w:vAlign w:val="bottom"/>
          </w:tcPr>
          <w:p w14:paraId="727000E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0.45</w:t>
            </w:r>
          </w:p>
        </w:tc>
      </w:tr>
      <w:tr w:rsidR="003D3694" w:rsidRPr="00747E35" w14:paraId="56B92612" w14:textId="77777777" w:rsidTr="0096743A">
        <w:trPr>
          <w:jc w:val="center"/>
        </w:trPr>
        <w:tc>
          <w:tcPr>
            <w:tcW w:w="1526" w:type="dxa"/>
            <w:tcBorders>
              <w:top w:val="single" w:sz="4" w:space="0" w:color="auto"/>
            </w:tcBorders>
            <w:vAlign w:val="bottom"/>
          </w:tcPr>
          <w:p w14:paraId="33F66C8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Maules</w:t>
            </w:r>
          </w:p>
        </w:tc>
        <w:tc>
          <w:tcPr>
            <w:tcW w:w="1070" w:type="dxa"/>
            <w:tcBorders>
              <w:top w:val="single" w:sz="4" w:space="0" w:color="auto"/>
            </w:tcBorders>
            <w:vAlign w:val="bottom"/>
          </w:tcPr>
          <w:p w14:paraId="0FAF73D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floodplain</w:t>
            </w:r>
          </w:p>
        </w:tc>
        <w:tc>
          <w:tcPr>
            <w:tcW w:w="1115" w:type="dxa"/>
            <w:tcBorders>
              <w:top w:val="single" w:sz="4" w:space="0" w:color="auto"/>
            </w:tcBorders>
            <w:vAlign w:val="bottom"/>
          </w:tcPr>
          <w:p w14:paraId="58FB699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perennial</w:t>
            </w:r>
          </w:p>
        </w:tc>
        <w:tc>
          <w:tcPr>
            <w:tcW w:w="2275" w:type="dxa"/>
            <w:tcBorders>
              <w:top w:val="single" w:sz="4" w:space="0" w:color="auto"/>
            </w:tcBorders>
            <w:vAlign w:val="bottom"/>
          </w:tcPr>
          <w:p w14:paraId="400F0DC4"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Eucalyptus camaldulensis</w:t>
            </w:r>
          </w:p>
        </w:tc>
        <w:tc>
          <w:tcPr>
            <w:tcW w:w="907" w:type="dxa"/>
            <w:tcBorders>
              <w:top w:val="single" w:sz="4" w:space="0" w:color="auto"/>
            </w:tcBorders>
            <w:vAlign w:val="bottom"/>
          </w:tcPr>
          <w:p w14:paraId="1C8FE35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9</w:t>
            </w:r>
          </w:p>
        </w:tc>
        <w:tc>
          <w:tcPr>
            <w:tcW w:w="907" w:type="dxa"/>
            <w:tcBorders>
              <w:top w:val="single" w:sz="4" w:space="0" w:color="auto"/>
            </w:tcBorders>
            <w:vAlign w:val="bottom"/>
          </w:tcPr>
          <w:p w14:paraId="5711FB0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34.00</w:t>
            </w:r>
          </w:p>
        </w:tc>
        <w:tc>
          <w:tcPr>
            <w:tcW w:w="1556" w:type="dxa"/>
            <w:tcBorders>
              <w:top w:val="single" w:sz="4" w:space="0" w:color="auto"/>
            </w:tcBorders>
            <w:vAlign w:val="bottom"/>
          </w:tcPr>
          <w:p w14:paraId="67D7A3F0"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7.55</w:t>
            </w:r>
          </w:p>
        </w:tc>
      </w:tr>
      <w:tr w:rsidR="003D3694" w:rsidRPr="00747E35" w14:paraId="526817A5" w14:textId="77777777" w:rsidTr="0096743A">
        <w:trPr>
          <w:jc w:val="center"/>
        </w:trPr>
        <w:tc>
          <w:tcPr>
            <w:tcW w:w="1526" w:type="dxa"/>
            <w:tcBorders>
              <w:bottom w:val="single" w:sz="4" w:space="0" w:color="auto"/>
            </w:tcBorders>
            <w:vAlign w:val="bottom"/>
          </w:tcPr>
          <w:p w14:paraId="17F6725C" w14:textId="77777777" w:rsidR="003D3694" w:rsidRPr="00747E35" w:rsidRDefault="003D3694" w:rsidP="0096743A">
            <w:pPr>
              <w:spacing w:after="0"/>
              <w:rPr>
                <w:rFonts w:asciiTheme="minorHAnsi" w:hAnsiTheme="minorHAnsi" w:cstheme="minorHAnsi"/>
                <w:sz w:val="18"/>
              </w:rPr>
            </w:pPr>
          </w:p>
        </w:tc>
        <w:tc>
          <w:tcPr>
            <w:tcW w:w="1070" w:type="dxa"/>
            <w:tcBorders>
              <w:bottom w:val="single" w:sz="4" w:space="0" w:color="auto"/>
            </w:tcBorders>
            <w:vAlign w:val="bottom"/>
          </w:tcPr>
          <w:p w14:paraId="648DE386" w14:textId="77777777" w:rsidR="003D3694" w:rsidRPr="00747E35" w:rsidRDefault="003D3694" w:rsidP="0096743A">
            <w:pPr>
              <w:spacing w:after="0"/>
              <w:rPr>
                <w:rFonts w:asciiTheme="minorHAnsi" w:hAnsiTheme="minorHAnsi" w:cstheme="minorHAnsi"/>
                <w:sz w:val="18"/>
              </w:rPr>
            </w:pPr>
          </w:p>
        </w:tc>
        <w:tc>
          <w:tcPr>
            <w:tcW w:w="1115" w:type="dxa"/>
            <w:tcBorders>
              <w:bottom w:val="single" w:sz="4" w:space="0" w:color="auto"/>
            </w:tcBorders>
            <w:vAlign w:val="bottom"/>
          </w:tcPr>
          <w:p w14:paraId="325E7D0C" w14:textId="77777777" w:rsidR="003D3694" w:rsidRPr="00747E35" w:rsidRDefault="003D3694" w:rsidP="0096743A">
            <w:pPr>
              <w:spacing w:after="0"/>
              <w:rPr>
                <w:rFonts w:asciiTheme="minorHAnsi" w:hAnsiTheme="minorHAnsi" w:cstheme="minorHAnsi"/>
                <w:sz w:val="18"/>
              </w:rPr>
            </w:pPr>
          </w:p>
        </w:tc>
        <w:tc>
          <w:tcPr>
            <w:tcW w:w="2275" w:type="dxa"/>
            <w:tcBorders>
              <w:bottom w:val="single" w:sz="4" w:space="0" w:color="auto"/>
            </w:tcBorders>
            <w:vAlign w:val="bottom"/>
          </w:tcPr>
          <w:p w14:paraId="6DF00861"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Geijera parviflora</w:t>
            </w:r>
          </w:p>
        </w:tc>
        <w:tc>
          <w:tcPr>
            <w:tcW w:w="907" w:type="dxa"/>
            <w:tcBorders>
              <w:bottom w:val="single" w:sz="4" w:space="0" w:color="auto"/>
            </w:tcBorders>
            <w:vAlign w:val="bottom"/>
          </w:tcPr>
          <w:p w14:paraId="2C7E54F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14</w:t>
            </w:r>
          </w:p>
        </w:tc>
        <w:tc>
          <w:tcPr>
            <w:tcW w:w="907" w:type="dxa"/>
            <w:tcBorders>
              <w:bottom w:val="single" w:sz="4" w:space="0" w:color="auto"/>
            </w:tcBorders>
            <w:vAlign w:val="bottom"/>
          </w:tcPr>
          <w:p w14:paraId="058E7EF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8.03</w:t>
            </w:r>
          </w:p>
        </w:tc>
        <w:tc>
          <w:tcPr>
            <w:tcW w:w="1556" w:type="dxa"/>
            <w:tcBorders>
              <w:bottom w:val="single" w:sz="4" w:space="0" w:color="auto"/>
            </w:tcBorders>
            <w:vAlign w:val="bottom"/>
          </w:tcPr>
          <w:p w14:paraId="46A8BD0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0.76</w:t>
            </w:r>
          </w:p>
        </w:tc>
      </w:tr>
      <w:tr w:rsidR="003D3694" w:rsidRPr="00747E35" w14:paraId="665D731B" w14:textId="77777777" w:rsidTr="0096743A">
        <w:trPr>
          <w:jc w:val="center"/>
        </w:trPr>
        <w:tc>
          <w:tcPr>
            <w:tcW w:w="1526" w:type="dxa"/>
            <w:tcBorders>
              <w:top w:val="single" w:sz="4" w:space="0" w:color="auto"/>
            </w:tcBorders>
            <w:vAlign w:val="bottom"/>
          </w:tcPr>
          <w:p w14:paraId="7E6002E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Maules</w:t>
            </w:r>
          </w:p>
        </w:tc>
        <w:tc>
          <w:tcPr>
            <w:tcW w:w="1070" w:type="dxa"/>
            <w:tcBorders>
              <w:top w:val="single" w:sz="4" w:space="0" w:color="auto"/>
            </w:tcBorders>
            <w:vAlign w:val="bottom"/>
          </w:tcPr>
          <w:p w14:paraId="445D7D8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riparian</w:t>
            </w:r>
          </w:p>
        </w:tc>
        <w:tc>
          <w:tcPr>
            <w:tcW w:w="1115" w:type="dxa"/>
            <w:tcBorders>
              <w:top w:val="single" w:sz="4" w:space="0" w:color="auto"/>
            </w:tcBorders>
            <w:vAlign w:val="bottom"/>
          </w:tcPr>
          <w:p w14:paraId="51A5F49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intermittent</w:t>
            </w:r>
          </w:p>
        </w:tc>
        <w:tc>
          <w:tcPr>
            <w:tcW w:w="2275" w:type="dxa"/>
            <w:tcBorders>
              <w:top w:val="single" w:sz="4" w:space="0" w:color="auto"/>
            </w:tcBorders>
            <w:vAlign w:val="bottom"/>
          </w:tcPr>
          <w:p w14:paraId="66A44BEB"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Eucalyptus camaldulensis</w:t>
            </w:r>
          </w:p>
        </w:tc>
        <w:tc>
          <w:tcPr>
            <w:tcW w:w="907" w:type="dxa"/>
            <w:tcBorders>
              <w:top w:val="single" w:sz="4" w:space="0" w:color="auto"/>
            </w:tcBorders>
            <w:vAlign w:val="bottom"/>
          </w:tcPr>
          <w:p w14:paraId="4801702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w:t>
            </w:r>
          </w:p>
        </w:tc>
        <w:tc>
          <w:tcPr>
            <w:tcW w:w="907" w:type="dxa"/>
            <w:tcBorders>
              <w:top w:val="single" w:sz="4" w:space="0" w:color="auto"/>
            </w:tcBorders>
            <w:vAlign w:val="bottom"/>
          </w:tcPr>
          <w:p w14:paraId="7A37823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26.50</w:t>
            </w:r>
          </w:p>
        </w:tc>
        <w:tc>
          <w:tcPr>
            <w:tcW w:w="1556" w:type="dxa"/>
            <w:tcBorders>
              <w:top w:val="single" w:sz="4" w:space="0" w:color="auto"/>
            </w:tcBorders>
            <w:vAlign w:val="bottom"/>
          </w:tcPr>
          <w:p w14:paraId="3E8A9AB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3.05</w:t>
            </w:r>
          </w:p>
        </w:tc>
      </w:tr>
      <w:tr w:rsidR="003D3694" w:rsidRPr="00747E35" w14:paraId="5638C41C" w14:textId="77777777" w:rsidTr="0096743A">
        <w:trPr>
          <w:jc w:val="center"/>
        </w:trPr>
        <w:tc>
          <w:tcPr>
            <w:tcW w:w="1526" w:type="dxa"/>
            <w:vAlign w:val="bottom"/>
          </w:tcPr>
          <w:p w14:paraId="2A15C7D9" w14:textId="77777777" w:rsidR="003D3694" w:rsidRPr="00747E35" w:rsidRDefault="003D3694" w:rsidP="0096743A">
            <w:pPr>
              <w:spacing w:after="0"/>
              <w:rPr>
                <w:rFonts w:asciiTheme="minorHAnsi" w:hAnsiTheme="minorHAnsi" w:cstheme="minorHAnsi"/>
                <w:sz w:val="18"/>
              </w:rPr>
            </w:pPr>
          </w:p>
        </w:tc>
        <w:tc>
          <w:tcPr>
            <w:tcW w:w="1070" w:type="dxa"/>
            <w:vAlign w:val="bottom"/>
          </w:tcPr>
          <w:p w14:paraId="20A09F09" w14:textId="77777777" w:rsidR="003D3694" w:rsidRPr="00747E35" w:rsidRDefault="003D3694" w:rsidP="0096743A">
            <w:pPr>
              <w:spacing w:after="0"/>
              <w:rPr>
                <w:rFonts w:asciiTheme="minorHAnsi" w:hAnsiTheme="minorHAnsi" w:cstheme="minorHAnsi"/>
                <w:sz w:val="18"/>
              </w:rPr>
            </w:pPr>
          </w:p>
        </w:tc>
        <w:tc>
          <w:tcPr>
            <w:tcW w:w="1115" w:type="dxa"/>
            <w:vAlign w:val="bottom"/>
          </w:tcPr>
          <w:p w14:paraId="4D01CF85" w14:textId="77777777" w:rsidR="003D3694" w:rsidRPr="00747E35" w:rsidRDefault="003D3694" w:rsidP="0096743A">
            <w:pPr>
              <w:spacing w:after="0"/>
              <w:rPr>
                <w:rFonts w:asciiTheme="minorHAnsi" w:hAnsiTheme="minorHAnsi" w:cstheme="minorHAnsi"/>
                <w:sz w:val="18"/>
              </w:rPr>
            </w:pPr>
          </w:p>
        </w:tc>
        <w:tc>
          <w:tcPr>
            <w:tcW w:w="2275" w:type="dxa"/>
            <w:vAlign w:val="bottom"/>
          </w:tcPr>
          <w:p w14:paraId="59830472"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Casuarina cunninghamiana</w:t>
            </w:r>
          </w:p>
        </w:tc>
        <w:tc>
          <w:tcPr>
            <w:tcW w:w="907" w:type="dxa"/>
            <w:vAlign w:val="bottom"/>
          </w:tcPr>
          <w:p w14:paraId="124E6F2B"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11</w:t>
            </w:r>
          </w:p>
        </w:tc>
        <w:tc>
          <w:tcPr>
            <w:tcW w:w="907" w:type="dxa"/>
            <w:vAlign w:val="bottom"/>
          </w:tcPr>
          <w:p w14:paraId="660B91B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31.55</w:t>
            </w:r>
          </w:p>
        </w:tc>
        <w:tc>
          <w:tcPr>
            <w:tcW w:w="1556" w:type="dxa"/>
            <w:vAlign w:val="bottom"/>
          </w:tcPr>
          <w:p w14:paraId="64E23C8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5.36</w:t>
            </w:r>
          </w:p>
        </w:tc>
      </w:tr>
      <w:tr w:rsidR="003D3694" w:rsidRPr="00747E35" w14:paraId="2A148065" w14:textId="77777777" w:rsidTr="0096743A">
        <w:trPr>
          <w:jc w:val="center"/>
        </w:trPr>
        <w:tc>
          <w:tcPr>
            <w:tcW w:w="1526" w:type="dxa"/>
            <w:tcBorders>
              <w:bottom w:val="single" w:sz="4" w:space="0" w:color="auto"/>
            </w:tcBorders>
            <w:vAlign w:val="bottom"/>
          </w:tcPr>
          <w:p w14:paraId="5AC8416F" w14:textId="77777777" w:rsidR="003D3694" w:rsidRPr="00747E35" w:rsidRDefault="003D3694" w:rsidP="0096743A">
            <w:pPr>
              <w:spacing w:after="0"/>
              <w:rPr>
                <w:rFonts w:asciiTheme="minorHAnsi" w:hAnsiTheme="minorHAnsi" w:cstheme="minorHAnsi"/>
                <w:sz w:val="18"/>
              </w:rPr>
            </w:pPr>
          </w:p>
        </w:tc>
        <w:tc>
          <w:tcPr>
            <w:tcW w:w="1070" w:type="dxa"/>
            <w:tcBorders>
              <w:bottom w:val="single" w:sz="4" w:space="0" w:color="auto"/>
            </w:tcBorders>
            <w:vAlign w:val="bottom"/>
          </w:tcPr>
          <w:p w14:paraId="4F83224E" w14:textId="77777777" w:rsidR="003D3694" w:rsidRPr="00747E35" w:rsidRDefault="003D3694" w:rsidP="0096743A">
            <w:pPr>
              <w:spacing w:after="0"/>
              <w:rPr>
                <w:rFonts w:asciiTheme="minorHAnsi" w:hAnsiTheme="minorHAnsi" w:cstheme="minorHAnsi"/>
                <w:sz w:val="18"/>
              </w:rPr>
            </w:pPr>
          </w:p>
        </w:tc>
        <w:tc>
          <w:tcPr>
            <w:tcW w:w="1115" w:type="dxa"/>
            <w:tcBorders>
              <w:bottom w:val="single" w:sz="4" w:space="0" w:color="auto"/>
            </w:tcBorders>
            <w:vAlign w:val="bottom"/>
          </w:tcPr>
          <w:p w14:paraId="74C7E226" w14:textId="77777777" w:rsidR="003D3694" w:rsidRPr="00747E35" w:rsidRDefault="003D3694" w:rsidP="0096743A">
            <w:pPr>
              <w:spacing w:after="0"/>
              <w:rPr>
                <w:rFonts w:asciiTheme="minorHAnsi" w:hAnsiTheme="minorHAnsi" w:cstheme="minorHAnsi"/>
                <w:sz w:val="18"/>
              </w:rPr>
            </w:pPr>
          </w:p>
        </w:tc>
        <w:tc>
          <w:tcPr>
            <w:tcW w:w="2275" w:type="dxa"/>
            <w:tcBorders>
              <w:bottom w:val="single" w:sz="4" w:space="0" w:color="auto"/>
            </w:tcBorders>
            <w:vAlign w:val="bottom"/>
          </w:tcPr>
          <w:p w14:paraId="333BC783"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Melaleuca bracteata</w:t>
            </w:r>
          </w:p>
        </w:tc>
        <w:tc>
          <w:tcPr>
            <w:tcW w:w="907" w:type="dxa"/>
            <w:tcBorders>
              <w:bottom w:val="single" w:sz="4" w:space="0" w:color="auto"/>
            </w:tcBorders>
            <w:vAlign w:val="bottom"/>
          </w:tcPr>
          <w:p w14:paraId="1761C23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15</w:t>
            </w:r>
          </w:p>
        </w:tc>
        <w:tc>
          <w:tcPr>
            <w:tcW w:w="907" w:type="dxa"/>
            <w:tcBorders>
              <w:bottom w:val="single" w:sz="4" w:space="0" w:color="auto"/>
            </w:tcBorders>
            <w:vAlign w:val="bottom"/>
          </w:tcPr>
          <w:p w14:paraId="1C6542E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15.13</w:t>
            </w:r>
          </w:p>
        </w:tc>
        <w:tc>
          <w:tcPr>
            <w:tcW w:w="1556" w:type="dxa"/>
            <w:tcBorders>
              <w:bottom w:val="single" w:sz="4" w:space="0" w:color="auto"/>
            </w:tcBorders>
            <w:vAlign w:val="bottom"/>
          </w:tcPr>
          <w:p w14:paraId="73C3655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3.14</w:t>
            </w:r>
          </w:p>
        </w:tc>
      </w:tr>
      <w:tr w:rsidR="003D3694" w:rsidRPr="00747E35" w14:paraId="12C0874C" w14:textId="77777777" w:rsidTr="0096743A">
        <w:trPr>
          <w:jc w:val="center"/>
        </w:trPr>
        <w:tc>
          <w:tcPr>
            <w:tcW w:w="1526" w:type="dxa"/>
            <w:tcBorders>
              <w:top w:val="single" w:sz="4" w:space="0" w:color="auto"/>
            </w:tcBorders>
            <w:vAlign w:val="bottom"/>
          </w:tcPr>
          <w:p w14:paraId="6F8E73D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Maules</w:t>
            </w:r>
          </w:p>
        </w:tc>
        <w:tc>
          <w:tcPr>
            <w:tcW w:w="1070" w:type="dxa"/>
            <w:tcBorders>
              <w:top w:val="single" w:sz="4" w:space="0" w:color="auto"/>
            </w:tcBorders>
            <w:vAlign w:val="bottom"/>
          </w:tcPr>
          <w:p w14:paraId="46FECE1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floodplain</w:t>
            </w:r>
          </w:p>
        </w:tc>
        <w:tc>
          <w:tcPr>
            <w:tcW w:w="1115" w:type="dxa"/>
            <w:tcBorders>
              <w:top w:val="single" w:sz="4" w:space="0" w:color="auto"/>
            </w:tcBorders>
            <w:vAlign w:val="bottom"/>
          </w:tcPr>
          <w:p w14:paraId="3834C07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intermittent</w:t>
            </w:r>
          </w:p>
        </w:tc>
        <w:tc>
          <w:tcPr>
            <w:tcW w:w="2275" w:type="dxa"/>
            <w:tcBorders>
              <w:top w:val="single" w:sz="4" w:space="0" w:color="auto"/>
            </w:tcBorders>
            <w:vAlign w:val="bottom"/>
          </w:tcPr>
          <w:p w14:paraId="5AC9527A"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Eucalyptus camaldulensis</w:t>
            </w:r>
          </w:p>
        </w:tc>
        <w:tc>
          <w:tcPr>
            <w:tcW w:w="907" w:type="dxa"/>
            <w:tcBorders>
              <w:top w:val="single" w:sz="4" w:space="0" w:color="auto"/>
            </w:tcBorders>
            <w:vAlign w:val="bottom"/>
          </w:tcPr>
          <w:p w14:paraId="786DEEB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w:t>
            </w:r>
          </w:p>
        </w:tc>
        <w:tc>
          <w:tcPr>
            <w:tcW w:w="907" w:type="dxa"/>
            <w:tcBorders>
              <w:top w:val="single" w:sz="4" w:space="0" w:color="auto"/>
            </w:tcBorders>
            <w:vAlign w:val="bottom"/>
          </w:tcPr>
          <w:p w14:paraId="2C6B6E2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25.80</w:t>
            </w:r>
          </w:p>
        </w:tc>
        <w:tc>
          <w:tcPr>
            <w:tcW w:w="1556" w:type="dxa"/>
            <w:tcBorders>
              <w:top w:val="single" w:sz="4" w:space="0" w:color="auto"/>
            </w:tcBorders>
            <w:vAlign w:val="bottom"/>
          </w:tcPr>
          <w:p w14:paraId="306E4E5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1.30</w:t>
            </w:r>
          </w:p>
        </w:tc>
      </w:tr>
      <w:tr w:rsidR="003D3694" w:rsidRPr="00747E35" w14:paraId="17AA5D79" w14:textId="77777777" w:rsidTr="0096743A">
        <w:trPr>
          <w:jc w:val="center"/>
        </w:trPr>
        <w:tc>
          <w:tcPr>
            <w:tcW w:w="1526" w:type="dxa"/>
            <w:tcBorders>
              <w:bottom w:val="single" w:sz="4" w:space="0" w:color="auto"/>
            </w:tcBorders>
            <w:vAlign w:val="bottom"/>
          </w:tcPr>
          <w:p w14:paraId="7F1335B6" w14:textId="77777777" w:rsidR="003D3694" w:rsidRPr="00747E35" w:rsidRDefault="003D3694" w:rsidP="0096743A">
            <w:pPr>
              <w:spacing w:after="0"/>
              <w:rPr>
                <w:rFonts w:asciiTheme="minorHAnsi" w:hAnsiTheme="minorHAnsi" w:cstheme="minorHAnsi"/>
                <w:sz w:val="18"/>
              </w:rPr>
            </w:pPr>
          </w:p>
        </w:tc>
        <w:tc>
          <w:tcPr>
            <w:tcW w:w="1070" w:type="dxa"/>
            <w:tcBorders>
              <w:bottom w:val="single" w:sz="4" w:space="0" w:color="auto"/>
            </w:tcBorders>
            <w:vAlign w:val="bottom"/>
          </w:tcPr>
          <w:p w14:paraId="1F0095C8" w14:textId="77777777" w:rsidR="003D3694" w:rsidRPr="00747E35" w:rsidRDefault="003D3694" w:rsidP="0096743A">
            <w:pPr>
              <w:spacing w:after="0"/>
              <w:rPr>
                <w:rFonts w:asciiTheme="minorHAnsi" w:hAnsiTheme="minorHAnsi" w:cstheme="minorHAnsi"/>
                <w:sz w:val="18"/>
              </w:rPr>
            </w:pPr>
          </w:p>
        </w:tc>
        <w:tc>
          <w:tcPr>
            <w:tcW w:w="1115" w:type="dxa"/>
            <w:tcBorders>
              <w:bottom w:val="single" w:sz="4" w:space="0" w:color="auto"/>
            </w:tcBorders>
            <w:vAlign w:val="bottom"/>
          </w:tcPr>
          <w:p w14:paraId="747EED80" w14:textId="77777777" w:rsidR="003D3694" w:rsidRPr="00747E35" w:rsidRDefault="003D3694" w:rsidP="0096743A">
            <w:pPr>
              <w:spacing w:after="0"/>
              <w:rPr>
                <w:rFonts w:asciiTheme="minorHAnsi" w:hAnsiTheme="minorHAnsi" w:cstheme="minorHAnsi"/>
                <w:sz w:val="18"/>
              </w:rPr>
            </w:pPr>
          </w:p>
        </w:tc>
        <w:tc>
          <w:tcPr>
            <w:tcW w:w="2275" w:type="dxa"/>
            <w:tcBorders>
              <w:bottom w:val="single" w:sz="4" w:space="0" w:color="auto"/>
            </w:tcBorders>
            <w:vAlign w:val="bottom"/>
          </w:tcPr>
          <w:p w14:paraId="446A2B28"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Callitris glaucophylla</w:t>
            </w:r>
          </w:p>
        </w:tc>
        <w:tc>
          <w:tcPr>
            <w:tcW w:w="907" w:type="dxa"/>
            <w:tcBorders>
              <w:bottom w:val="single" w:sz="4" w:space="0" w:color="auto"/>
            </w:tcBorders>
            <w:vAlign w:val="bottom"/>
          </w:tcPr>
          <w:p w14:paraId="3806677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17</w:t>
            </w:r>
          </w:p>
        </w:tc>
        <w:tc>
          <w:tcPr>
            <w:tcW w:w="907" w:type="dxa"/>
            <w:tcBorders>
              <w:bottom w:val="single" w:sz="4" w:space="0" w:color="auto"/>
            </w:tcBorders>
            <w:vAlign w:val="bottom"/>
          </w:tcPr>
          <w:p w14:paraId="68BCE49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8.68</w:t>
            </w:r>
          </w:p>
        </w:tc>
        <w:tc>
          <w:tcPr>
            <w:tcW w:w="1556" w:type="dxa"/>
            <w:tcBorders>
              <w:bottom w:val="single" w:sz="4" w:space="0" w:color="auto"/>
            </w:tcBorders>
            <w:vAlign w:val="bottom"/>
          </w:tcPr>
          <w:p w14:paraId="319AB8A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2.48</w:t>
            </w:r>
          </w:p>
        </w:tc>
      </w:tr>
      <w:tr w:rsidR="003D3694" w:rsidRPr="00747E35" w14:paraId="2F2E5FA2" w14:textId="77777777" w:rsidTr="0096743A">
        <w:trPr>
          <w:jc w:val="center"/>
        </w:trPr>
        <w:tc>
          <w:tcPr>
            <w:tcW w:w="1526" w:type="dxa"/>
            <w:tcBorders>
              <w:top w:val="single" w:sz="4" w:space="0" w:color="auto"/>
            </w:tcBorders>
            <w:vAlign w:val="bottom"/>
          </w:tcPr>
          <w:p w14:paraId="7DD0A20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Maules</w:t>
            </w:r>
          </w:p>
        </w:tc>
        <w:tc>
          <w:tcPr>
            <w:tcW w:w="1070" w:type="dxa"/>
            <w:tcBorders>
              <w:top w:val="single" w:sz="4" w:space="0" w:color="auto"/>
            </w:tcBorders>
            <w:vAlign w:val="bottom"/>
          </w:tcPr>
          <w:p w14:paraId="47E4D3C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terrestrial</w:t>
            </w:r>
          </w:p>
        </w:tc>
        <w:tc>
          <w:tcPr>
            <w:tcW w:w="1115" w:type="dxa"/>
            <w:tcBorders>
              <w:top w:val="single" w:sz="4" w:space="0" w:color="auto"/>
            </w:tcBorders>
            <w:vAlign w:val="bottom"/>
          </w:tcPr>
          <w:p w14:paraId="309DBFE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dry</w:t>
            </w:r>
          </w:p>
        </w:tc>
        <w:tc>
          <w:tcPr>
            <w:tcW w:w="2275" w:type="dxa"/>
            <w:tcBorders>
              <w:top w:val="single" w:sz="4" w:space="0" w:color="auto"/>
            </w:tcBorders>
            <w:vAlign w:val="bottom"/>
          </w:tcPr>
          <w:p w14:paraId="2ED8D53E"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Callitris glaucophylla</w:t>
            </w:r>
          </w:p>
        </w:tc>
        <w:tc>
          <w:tcPr>
            <w:tcW w:w="907" w:type="dxa"/>
            <w:tcBorders>
              <w:top w:val="single" w:sz="4" w:space="0" w:color="auto"/>
            </w:tcBorders>
            <w:vAlign w:val="bottom"/>
          </w:tcPr>
          <w:p w14:paraId="4F7985D0"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18</w:t>
            </w:r>
          </w:p>
        </w:tc>
        <w:tc>
          <w:tcPr>
            <w:tcW w:w="907" w:type="dxa"/>
            <w:tcBorders>
              <w:top w:val="single" w:sz="4" w:space="0" w:color="auto"/>
            </w:tcBorders>
            <w:vAlign w:val="bottom"/>
          </w:tcPr>
          <w:p w14:paraId="040F51A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19.20</w:t>
            </w:r>
          </w:p>
        </w:tc>
        <w:tc>
          <w:tcPr>
            <w:tcW w:w="1556" w:type="dxa"/>
            <w:tcBorders>
              <w:top w:val="single" w:sz="4" w:space="0" w:color="auto"/>
            </w:tcBorders>
            <w:vAlign w:val="bottom"/>
          </w:tcPr>
          <w:p w14:paraId="5ABD673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1.43</w:t>
            </w:r>
          </w:p>
        </w:tc>
      </w:tr>
      <w:tr w:rsidR="003D3694" w:rsidRPr="00747E35" w14:paraId="650F392D" w14:textId="77777777" w:rsidTr="0096743A">
        <w:trPr>
          <w:jc w:val="center"/>
        </w:trPr>
        <w:tc>
          <w:tcPr>
            <w:tcW w:w="1526" w:type="dxa"/>
            <w:tcBorders>
              <w:bottom w:val="double" w:sz="4" w:space="0" w:color="auto"/>
            </w:tcBorders>
            <w:vAlign w:val="bottom"/>
          </w:tcPr>
          <w:p w14:paraId="2117A6D7" w14:textId="77777777" w:rsidR="003D3694" w:rsidRPr="00747E35" w:rsidRDefault="003D3694" w:rsidP="0096743A">
            <w:pPr>
              <w:spacing w:after="0"/>
              <w:rPr>
                <w:rFonts w:asciiTheme="minorHAnsi" w:hAnsiTheme="minorHAnsi" w:cstheme="minorHAnsi"/>
                <w:sz w:val="18"/>
              </w:rPr>
            </w:pPr>
          </w:p>
        </w:tc>
        <w:tc>
          <w:tcPr>
            <w:tcW w:w="1070" w:type="dxa"/>
            <w:tcBorders>
              <w:bottom w:val="double" w:sz="4" w:space="0" w:color="auto"/>
            </w:tcBorders>
            <w:vAlign w:val="bottom"/>
          </w:tcPr>
          <w:p w14:paraId="2368498B" w14:textId="77777777" w:rsidR="003D3694" w:rsidRPr="00747E35" w:rsidRDefault="003D3694" w:rsidP="0096743A">
            <w:pPr>
              <w:spacing w:after="0"/>
              <w:rPr>
                <w:rFonts w:asciiTheme="minorHAnsi" w:hAnsiTheme="minorHAnsi" w:cstheme="minorHAnsi"/>
                <w:sz w:val="18"/>
              </w:rPr>
            </w:pPr>
          </w:p>
        </w:tc>
        <w:tc>
          <w:tcPr>
            <w:tcW w:w="1115" w:type="dxa"/>
            <w:tcBorders>
              <w:bottom w:val="double" w:sz="4" w:space="0" w:color="auto"/>
            </w:tcBorders>
            <w:vAlign w:val="bottom"/>
          </w:tcPr>
          <w:p w14:paraId="72DA1F40" w14:textId="77777777" w:rsidR="003D3694" w:rsidRPr="00747E35" w:rsidRDefault="003D3694" w:rsidP="0096743A">
            <w:pPr>
              <w:spacing w:after="0"/>
              <w:rPr>
                <w:rFonts w:asciiTheme="minorHAnsi" w:hAnsiTheme="minorHAnsi" w:cstheme="minorHAnsi"/>
                <w:sz w:val="18"/>
              </w:rPr>
            </w:pPr>
          </w:p>
        </w:tc>
        <w:tc>
          <w:tcPr>
            <w:tcW w:w="2275" w:type="dxa"/>
            <w:tcBorders>
              <w:bottom w:val="double" w:sz="4" w:space="0" w:color="auto"/>
            </w:tcBorders>
            <w:vAlign w:val="bottom"/>
          </w:tcPr>
          <w:p w14:paraId="34EDDE93"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Eucalyptus dealbata</w:t>
            </w:r>
          </w:p>
        </w:tc>
        <w:tc>
          <w:tcPr>
            <w:tcW w:w="907" w:type="dxa"/>
            <w:tcBorders>
              <w:bottom w:val="double" w:sz="4" w:space="0" w:color="auto"/>
            </w:tcBorders>
            <w:vAlign w:val="bottom"/>
          </w:tcPr>
          <w:p w14:paraId="24807ED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5</w:t>
            </w:r>
          </w:p>
        </w:tc>
        <w:tc>
          <w:tcPr>
            <w:tcW w:w="907" w:type="dxa"/>
            <w:tcBorders>
              <w:bottom w:val="double" w:sz="4" w:space="0" w:color="auto"/>
            </w:tcBorders>
            <w:vAlign w:val="bottom"/>
          </w:tcPr>
          <w:p w14:paraId="708F35A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18.3</w:t>
            </w:r>
          </w:p>
        </w:tc>
        <w:tc>
          <w:tcPr>
            <w:tcW w:w="1556" w:type="dxa"/>
            <w:tcBorders>
              <w:bottom w:val="double" w:sz="4" w:space="0" w:color="auto"/>
            </w:tcBorders>
            <w:vAlign w:val="bottom"/>
          </w:tcPr>
          <w:p w14:paraId="410B2EC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1.61</w:t>
            </w:r>
          </w:p>
        </w:tc>
      </w:tr>
      <w:tr w:rsidR="003D3694" w:rsidRPr="00747E35" w14:paraId="0CC12A43" w14:textId="77777777" w:rsidTr="0096743A">
        <w:trPr>
          <w:jc w:val="center"/>
        </w:trPr>
        <w:tc>
          <w:tcPr>
            <w:tcW w:w="1526" w:type="dxa"/>
            <w:tcBorders>
              <w:top w:val="double" w:sz="4" w:space="0" w:color="auto"/>
            </w:tcBorders>
            <w:vAlign w:val="bottom"/>
          </w:tcPr>
          <w:p w14:paraId="141150D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Bremer</w:t>
            </w:r>
          </w:p>
        </w:tc>
        <w:tc>
          <w:tcPr>
            <w:tcW w:w="1070" w:type="dxa"/>
            <w:tcBorders>
              <w:top w:val="double" w:sz="4" w:space="0" w:color="auto"/>
            </w:tcBorders>
            <w:vAlign w:val="bottom"/>
          </w:tcPr>
          <w:p w14:paraId="7757D5C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riparian</w:t>
            </w:r>
          </w:p>
        </w:tc>
        <w:tc>
          <w:tcPr>
            <w:tcW w:w="1115" w:type="dxa"/>
            <w:tcBorders>
              <w:top w:val="double" w:sz="4" w:space="0" w:color="auto"/>
            </w:tcBorders>
            <w:vAlign w:val="bottom"/>
          </w:tcPr>
          <w:p w14:paraId="7FB0DC3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perennial</w:t>
            </w:r>
          </w:p>
        </w:tc>
        <w:tc>
          <w:tcPr>
            <w:tcW w:w="2275" w:type="dxa"/>
            <w:tcBorders>
              <w:top w:val="double" w:sz="4" w:space="0" w:color="auto"/>
            </w:tcBorders>
            <w:vAlign w:val="bottom"/>
          </w:tcPr>
          <w:p w14:paraId="3EFC97A0"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Casuarina cunninghamiana</w:t>
            </w:r>
          </w:p>
        </w:tc>
        <w:tc>
          <w:tcPr>
            <w:tcW w:w="907" w:type="dxa"/>
            <w:tcBorders>
              <w:top w:val="double" w:sz="4" w:space="0" w:color="auto"/>
            </w:tcBorders>
            <w:vAlign w:val="bottom"/>
          </w:tcPr>
          <w:p w14:paraId="7B519BC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9</w:t>
            </w:r>
          </w:p>
        </w:tc>
        <w:tc>
          <w:tcPr>
            <w:tcW w:w="907" w:type="dxa"/>
            <w:tcBorders>
              <w:top w:val="double" w:sz="4" w:space="0" w:color="auto"/>
            </w:tcBorders>
            <w:vAlign w:val="bottom"/>
          </w:tcPr>
          <w:p w14:paraId="04D22C8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26.20</w:t>
            </w:r>
          </w:p>
        </w:tc>
        <w:tc>
          <w:tcPr>
            <w:tcW w:w="1556" w:type="dxa"/>
            <w:tcBorders>
              <w:top w:val="double" w:sz="4" w:space="0" w:color="auto"/>
            </w:tcBorders>
            <w:vAlign w:val="bottom"/>
          </w:tcPr>
          <w:p w14:paraId="0E0263F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4.51</w:t>
            </w:r>
          </w:p>
        </w:tc>
      </w:tr>
      <w:tr w:rsidR="003D3694" w:rsidRPr="00747E35" w14:paraId="433A49C8" w14:textId="77777777" w:rsidTr="0096743A">
        <w:trPr>
          <w:jc w:val="center"/>
        </w:trPr>
        <w:tc>
          <w:tcPr>
            <w:tcW w:w="1526" w:type="dxa"/>
            <w:vAlign w:val="bottom"/>
          </w:tcPr>
          <w:p w14:paraId="697EFCAB" w14:textId="77777777" w:rsidR="003D3694" w:rsidRPr="00747E35" w:rsidRDefault="003D3694" w:rsidP="0096743A">
            <w:pPr>
              <w:spacing w:after="0"/>
              <w:rPr>
                <w:rFonts w:asciiTheme="minorHAnsi" w:hAnsiTheme="minorHAnsi" w:cstheme="minorHAnsi"/>
                <w:sz w:val="18"/>
              </w:rPr>
            </w:pPr>
          </w:p>
        </w:tc>
        <w:tc>
          <w:tcPr>
            <w:tcW w:w="1070" w:type="dxa"/>
            <w:vAlign w:val="bottom"/>
          </w:tcPr>
          <w:p w14:paraId="47B00C07" w14:textId="77777777" w:rsidR="003D3694" w:rsidRPr="00747E35" w:rsidRDefault="003D3694" w:rsidP="0096743A">
            <w:pPr>
              <w:spacing w:after="0"/>
              <w:rPr>
                <w:rFonts w:asciiTheme="minorHAnsi" w:hAnsiTheme="minorHAnsi" w:cstheme="minorHAnsi"/>
                <w:sz w:val="18"/>
              </w:rPr>
            </w:pPr>
          </w:p>
        </w:tc>
        <w:tc>
          <w:tcPr>
            <w:tcW w:w="1115" w:type="dxa"/>
            <w:vAlign w:val="bottom"/>
          </w:tcPr>
          <w:p w14:paraId="47CA5590" w14:textId="77777777" w:rsidR="003D3694" w:rsidRPr="00747E35" w:rsidRDefault="003D3694" w:rsidP="0096743A">
            <w:pPr>
              <w:spacing w:after="0"/>
              <w:rPr>
                <w:rFonts w:asciiTheme="minorHAnsi" w:hAnsiTheme="minorHAnsi" w:cstheme="minorHAnsi"/>
                <w:sz w:val="18"/>
              </w:rPr>
            </w:pPr>
          </w:p>
        </w:tc>
        <w:tc>
          <w:tcPr>
            <w:tcW w:w="2275" w:type="dxa"/>
            <w:vAlign w:val="bottom"/>
          </w:tcPr>
          <w:p w14:paraId="38415A2B"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Melaleuca viminea</w:t>
            </w:r>
          </w:p>
        </w:tc>
        <w:tc>
          <w:tcPr>
            <w:tcW w:w="907" w:type="dxa"/>
            <w:vAlign w:val="bottom"/>
          </w:tcPr>
          <w:p w14:paraId="3E2CE9D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11</w:t>
            </w:r>
          </w:p>
        </w:tc>
        <w:tc>
          <w:tcPr>
            <w:tcW w:w="907" w:type="dxa"/>
            <w:vAlign w:val="bottom"/>
          </w:tcPr>
          <w:p w14:paraId="5C134B6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11.50</w:t>
            </w:r>
          </w:p>
        </w:tc>
        <w:tc>
          <w:tcPr>
            <w:tcW w:w="1556" w:type="dxa"/>
            <w:vAlign w:val="bottom"/>
          </w:tcPr>
          <w:p w14:paraId="6B414D2B"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0.26</w:t>
            </w:r>
          </w:p>
        </w:tc>
      </w:tr>
      <w:tr w:rsidR="003D3694" w:rsidRPr="00747E35" w14:paraId="4E5C7820" w14:textId="77777777" w:rsidTr="0096743A">
        <w:trPr>
          <w:jc w:val="center"/>
        </w:trPr>
        <w:tc>
          <w:tcPr>
            <w:tcW w:w="1526" w:type="dxa"/>
            <w:tcBorders>
              <w:bottom w:val="single" w:sz="4" w:space="0" w:color="auto"/>
            </w:tcBorders>
            <w:vAlign w:val="bottom"/>
          </w:tcPr>
          <w:p w14:paraId="2E2D4B82" w14:textId="77777777" w:rsidR="003D3694" w:rsidRPr="00747E35" w:rsidRDefault="003D3694" w:rsidP="0096743A">
            <w:pPr>
              <w:spacing w:after="0"/>
              <w:rPr>
                <w:rFonts w:asciiTheme="minorHAnsi" w:hAnsiTheme="minorHAnsi" w:cstheme="minorHAnsi"/>
                <w:sz w:val="18"/>
              </w:rPr>
            </w:pPr>
          </w:p>
        </w:tc>
        <w:tc>
          <w:tcPr>
            <w:tcW w:w="1070" w:type="dxa"/>
            <w:tcBorders>
              <w:bottom w:val="single" w:sz="4" w:space="0" w:color="auto"/>
            </w:tcBorders>
            <w:vAlign w:val="bottom"/>
          </w:tcPr>
          <w:p w14:paraId="1AB68981" w14:textId="77777777" w:rsidR="003D3694" w:rsidRPr="00747E35" w:rsidRDefault="003D3694" w:rsidP="0096743A">
            <w:pPr>
              <w:spacing w:after="0"/>
              <w:rPr>
                <w:rFonts w:asciiTheme="minorHAnsi" w:hAnsiTheme="minorHAnsi" w:cstheme="minorHAnsi"/>
                <w:sz w:val="18"/>
              </w:rPr>
            </w:pPr>
          </w:p>
        </w:tc>
        <w:tc>
          <w:tcPr>
            <w:tcW w:w="1115" w:type="dxa"/>
            <w:tcBorders>
              <w:bottom w:val="single" w:sz="4" w:space="0" w:color="auto"/>
            </w:tcBorders>
            <w:vAlign w:val="bottom"/>
          </w:tcPr>
          <w:p w14:paraId="67C5D415" w14:textId="77777777" w:rsidR="003D3694" w:rsidRPr="00747E35" w:rsidRDefault="003D3694" w:rsidP="0096743A">
            <w:pPr>
              <w:spacing w:after="0"/>
              <w:rPr>
                <w:rFonts w:asciiTheme="minorHAnsi" w:hAnsiTheme="minorHAnsi" w:cstheme="minorHAnsi"/>
                <w:sz w:val="18"/>
              </w:rPr>
            </w:pPr>
          </w:p>
        </w:tc>
        <w:tc>
          <w:tcPr>
            <w:tcW w:w="2275" w:type="dxa"/>
            <w:tcBorders>
              <w:bottom w:val="single" w:sz="4" w:space="0" w:color="auto"/>
            </w:tcBorders>
            <w:vAlign w:val="bottom"/>
          </w:tcPr>
          <w:p w14:paraId="2B6608A4"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Melaleuca bracteata</w:t>
            </w:r>
          </w:p>
        </w:tc>
        <w:tc>
          <w:tcPr>
            <w:tcW w:w="907" w:type="dxa"/>
            <w:tcBorders>
              <w:bottom w:val="single" w:sz="4" w:space="0" w:color="auto"/>
            </w:tcBorders>
            <w:vAlign w:val="bottom"/>
          </w:tcPr>
          <w:p w14:paraId="04663B5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16</w:t>
            </w:r>
          </w:p>
        </w:tc>
        <w:tc>
          <w:tcPr>
            <w:tcW w:w="907" w:type="dxa"/>
            <w:tcBorders>
              <w:bottom w:val="single" w:sz="4" w:space="0" w:color="auto"/>
            </w:tcBorders>
            <w:vAlign w:val="bottom"/>
          </w:tcPr>
          <w:p w14:paraId="60FF688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22.00</w:t>
            </w:r>
          </w:p>
        </w:tc>
        <w:tc>
          <w:tcPr>
            <w:tcW w:w="1556" w:type="dxa"/>
            <w:tcBorders>
              <w:bottom w:val="single" w:sz="4" w:space="0" w:color="auto"/>
            </w:tcBorders>
            <w:vAlign w:val="bottom"/>
          </w:tcPr>
          <w:p w14:paraId="415AAAE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6.23</w:t>
            </w:r>
          </w:p>
        </w:tc>
      </w:tr>
      <w:tr w:rsidR="003D3694" w:rsidRPr="00747E35" w14:paraId="1E79E269" w14:textId="77777777" w:rsidTr="0096743A">
        <w:trPr>
          <w:jc w:val="center"/>
        </w:trPr>
        <w:tc>
          <w:tcPr>
            <w:tcW w:w="1526" w:type="dxa"/>
            <w:tcBorders>
              <w:top w:val="single" w:sz="4" w:space="0" w:color="auto"/>
            </w:tcBorders>
            <w:vAlign w:val="bottom"/>
          </w:tcPr>
          <w:p w14:paraId="4C7953A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Bremer</w:t>
            </w:r>
          </w:p>
        </w:tc>
        <w:tc>
          <w:tcPr>
            <w:tcW w:w="1070" w:type="dxa"/>
            <w:tcBorders>
              <w:top w:val="single" w:sz="4" w:space="0" w:color="auto"/>
            </w:tcBorders>
            <w:vAlign w:val="bottom"/>
          </w:tcPr>
          <w:p w14:paraId="658AA99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floodplain</w:t>
            </w:r>
          </w:p>
        </w:tc>
        <w:tc>
          <w:tcPr>
            <w:tcW w:w="1115" w:type="dxa"/>
            <w:tcBorders>
              <w:top w:val="single" w:sz="4" w:space="0" w:color="auto"/>
            </w:tcBorders>
            <w:vAlign w:val="bottom"/>
          </w:tcPr>
          <w:p w14:paraId="139A19F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perennial</w:t>
            </w:r>
          </w:p>
        </w:tc>
        <w:tc>
          <w:tcPr>
            <w:tcW w:w="2275" w:type="dxa"/>
            <w:tcBorders>
              <w:top w:val="single" w:sz="4" w:space="0" w:color="auto"/>
            </w:tcBorders>
            <w:vAlign w:val="bottom"/>
          </w:tcPr>
          <w:p w14:paraId="19E222F2"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Melaleuca bracteata</w:t>
            </w:r>
          </w:p>
        </w:tc>
        <w:tc>
          <w:tcPr>
            <w:tcW w:w="907" w:type="dxa"/>
            <w:tcBorders>
              <w:top w:val="single" w:sz="4" w:space="0" w:color="auto"/>
            </w:tcBorders>
            <w:vAlign w:val="bottom"/>
          </w:tcPr>
          <w:p w14:paraId="1363631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9</w:t>
            </w:r>
          </w:p>
        </w:tc>
        <w:tc>
          <w:tcPr>
            <w:tcW w:w="907" w:type="dxa"/>
            <w:tcBorders>
              <w:top w:val="single" w:sz="4" w:space="0" w:color="auto"/>
            </w:tcBorders>
            <w:vAlign w:val="bottom"/>
          </w:tcPr>
          <w:p w14:paraId="66DC9C7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14.50</w:t>
            </w:r>
          </w:p>
        </w:tc>
        <w:tc>
          <w:tcPr>
            <w:tcW w:w="1556" w:type="dxa"/>
            <w:tcBorders>
              <w:top w:val="single" w:sz="4" w:space="0" w:color="auto"/>
            </w:tcBorders>
            <w:vAlign w:val="bottom"/>
          </w:tcPr>
          <w:p w14:paraId="386BE69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5.00</w:t>
            </w:r>
          </w:p>
        </w:tc>
      </w:tr>
      <w:tr w:rsidR="003D3694" w:rsidRPr="00747E35" w14:paraId="70DA23B8" w14:textId="77777777" w:rsidTr="0096743A">
        <w:trPr>
          <w:jc w:val="center"/>
        </w:trPr>
        <w:tc>
          <w:tcPr>
            <w:tcW w:w="1526" w:type="dxa"/>
            <w:tcBorders>
              <w:bottom w:val="single" w:sz="4" w:space="0" w:color="auto"/>
            </w:tcBorders>
            <w:vAlign w:val="bottom"/>
          </w:tcPr>
          <w:p w14:paraId="44EF886C" w14:textId="77777777" w:rsidR="003D3694" w:rsidRPr="00747E35" w:rsidRDefault="003D3694" w:rsidP="0096743A">
            <w:pPr>
              <w:spacing w:after="0"/>
              <w:rPr>
                <w:rFonts w:asciiTheme="minorHAnsi" w:hAnsiTheme="minorHAnsi" w:cstheme="minorHAnsi"/>
                <w:sz w:val="18"/>
              </w:rPr>
            </w:pPr>
          </w:p>
        </w:tc>
        <w:tc>
          <w:tcPr>
            <w:tcW w:w="1070" w:type="dxa"/>
            <w:tcBorders>
              <w:bottom w:val="single" w:sz="4" w:space="0" w:color="auto"/>
            </w:tcBorders>
            <w:vAlign w:val="bottom"/>
          </w:tcPr>
          <w:p w14:paraId="34516C81" w14:textId="77777777" w:rsidR="003D3694" w:rsidRPr="00747E35" w:rsidRDefault="003D3694" w:rsidP="0096743A">
            <w:pPr>
              <w:spacing w:after="0"/>
              <w:rPr>
                <w:rFonts w:asciiTheme="minorHAnsi" w:hAnsiTheme="minorHAnsi" w:cstheme="minorHAnsi"/>
                <w:sz w:val="18"/>
              </w:rPr>
            </w:pPr>
          </w:p>
        </w:tc>
        <w:tc>
          <w:tcPr>
            <w:tcW w:w="1115" w:type="dxa"/>
            <w:tcBorders>
              <w:bottom w:val="single" w:sz="4" w:space="0" w:color="auto"/>
            </w:tcBorders>
            <w:vAlign w:val="bottom"/>
          </w:tcPr>
          <w:p w14:paraId="32BC5F77" w14:textId="77777777" w:rsidR="003D3694" w:rsidRPr="00747E35" w:rsidRDefault="003D3694" w:rsidP="0096743A">
            <w:pPr>
              <w:spacing w:after="0"/>
              <w:rPr>
                <w:rFonts w:asciiTheme="minorHAnsi" w:hAnsiTheme="minorHAnsi" w:cstheme="minorHAnsi"/>
                <w:sz w:val="18"/>
              </w:rPr>
            </w:pPr>
          </w:p>
        </w:tc>
        <w:tc>
          <w:tcPr>
            <w:tcW w:w="2275" w:type="dxa"/>
            <w:tcBorders>
              <w:bottom w:val="single" w:sz="4" w:space="0" w:color="auto"/>
            </w:tcBorders>
            <w:vAlign w:val="bottom"/>
          </w:tcPr>
          <w:p w14:paraId="7FA72075" w14:textId="506817C5"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 xml:space="preserve">Eucalyptus </w:t>
            </w:r>
            <w:r w:rsidR="00847A55">
              <w:rPr>
                <w:rFonts w:asciiTheme="minorHAnsi" w:hAnsiTheme="minorHAnsi" w:cstheme="minorHAnsi"/>
                <w:i/>
                <w:sz w:val="18"/>
              </w:rPr>
              <w:t>tereticornis</w:t>
            </w:r>
          </w:p>
        </w:tc>
        <w:tc>
          <w:tcPr>
            <w:tcW w:w="907" w:type="dxa"/>
            <w:tcBorders>
              <w:bottom w:val="single" w:sz="4" w:space="0" w:color="auto"/>
            </w:tcBorders>
            <w:vAlign w:val="bottom"/>
          </w:tcPr>
          <w:p w14:paraId="49952C9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1.5</w:t>
            </w:r>
          </w:p>
        </w:tc>
        <w:tc>
          <w:tcPr>
            <w:tcW w:w="907" w:type="dxa"/>
            <w:tcBorders>
              <w:bottom w:val="single" w:sz="4" w:space="0" w:color="auto"/>
            </w:tcBorders>
            <w:vAlign w:val="bottom"/>
          </w:tcPr>
          <w:p w14:paraId="7ADCF2C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44.00</w:t>
            </w:r>
          </w:p>
        </w:tc>
        <w:tc>
          <w:tcPr>
            <w:tcW w:w="1556" w:type="dxa"/>
            <w:tcBorders>
              <w:bottom w:val="single" w:sz="4" w:space="0" w:color="auto"/>
            </w:tcBorders>
            <w:vAlign w:val="bottom"/>
          </w:tcPr>
          <w:p w14:paraId="095A862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6.00</w:t>
            </w:r>
          </w:p>
        </w:tc>
      </w:tr>
      <w:tr w:rsidR="003D3694" w:rsidRPr="00747E35" w14:paraId="40DC40D4" w14:textId="77777777" w:rsidTr="0096743A">
        <w:trPr>
          <w:jc w:val="center"/>
        </w:trPr>
        <w:tc>
          <w:tcPr>
            <w:tcW w:w="1526" w:type="dxa"/>
            <w:tcBorders>
              <w:top w:val="single" w:sz="4" w:space="0" w:color="auto"/>
            </w:tcBorders>
            <w:vAlign w:val="bottom"/>
          </w:tcPr>
          <w:p w14:paraId="7B992C9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Bremer</w:t>
            </w:r>
          </w:p>
        </w:tc>
        <w:tc>
          <w:tcPr>
            <w:tcW w:w="1070" w:type="dxa"/>
            <w:tcBorders>
              <w:top w:val="single" w:sz="4" w:space="0" w:color="auto"/>
            </w:tcBorders>
            <w:vAlign w:val="bottom"/>
          </w:tcPr>
          <w:p w14:paraId="3E50D30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riparian</w:t>
            </w:r>
          </w:p>
        </w:tc>
        <w:tc>
          <w:tcPr>
            <w:tcW w:w="1115" w:type="dxa"/>
            <w:tcBorders>
              <w:top w:val="single" w:sz="4" w:space="0" w:color="auto"/>
            </w:tcBorders>
            <w:vAlign w:val="bottom"/>
          </w:tcPr>
          <w:p w14:paraId="3DBBBD1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intermittent</w:t>
            </w:r>
          </w:p>
        </w:tc>
        <w:tc>
          <w:tcPr>
            <w:tcW w:w="2275" w:type="dxa"/>
            <w:tcBorders>
              <w:top w:val="single" w:sz="4" w:space="0" w:color="auto"/>
            </w:tcBorders>
            <w:vAlign w:val="bottom"/>
          </w:tcPr>
          <w:p w14:paraId="6651A1CC"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Melaleuca bracteata</w:t>
            </w:r>
          </w:p>
        </w:tc>
        <w:tc>
          <w:tcPr>
            <w:tcW w:w="907" w:type="dxa"/>
            <w:tcBorders>
              <w:top w:val="single" w:sz="4" w:space="0" w:color="auto"/>
            </w:tcBorders>
            <w:vAlign w:val="bottom"/>
          </w:tcPr>
          <w:p w14:paraId="64B900C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31</w:t>
            </w:r>
          </w:p>
        </w:tc>
        <w:tc>
          <w:tcPr>
            <w:tcW w:w="907" w:type="dxa"/>
            <w:tcBorders>
              <w:top w:val="single" w:sz="4" w:space="0" w:color="auto"/>
            </w:tcBorders>
            <w:vAlign w:val="bottom"/>
          </w:tcPr>
          <w:p w14:paraId="285F9AD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21.30</w:t>
            </w:r>
          </w:p>
        </w:tc>
        <w:tc>
          <w:tcPr>
            <w:tcW w:w="1556" w:type="dxa"/>
            <w:tcBorders>
              <w:top w:val="single" w:sz="4" w:space="0" w:color="auto"/>
            </w:tcBorders>
            <w:vAlign w:val="bottom"/>
          </w:tcPr>
          <w:p w14:paraId="76C363E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8.96</w:t>
            </w:r>
          </w:p>
        </w:tc>
      </w:tr>
      <w:tr w:rsidR="003D3694" w:rsidRPr="00747E35" w14:paraId="753F3435" w14:textId="77777777" w:rsidTr="0096743A">
        <w:trPr>
          <w:jc w:val="center"/>
        </w:trPr>
        <w:tc>
          <w:tcPr>
            <w:tcW w:w="1526" w:type="dxa"/>
            <w:vAlign w:val="bottom"/>
          </w:tcPr>
          <w:p w14:paraId="5CAFC993" w14:textId="77777777" w:rsidR="003D3694" w:rsidRPr="00747E35" w:rsidRDefault="003D3694" w:rsidP="0096743A">
            <w:pPr>
              <w:spacing w:after="0"/>
              <w:rPr>
                <w:rFonts w:asciiTheme="minorHAnsi" w:hAnsiTheme="minorHAnsi" w:cstheme="minorHAnsi"/>
                <w:sz w:val="18"/>
              </w:rPr>
            </w:pPr>
          </w:p>
        </w:tc>
        <w:tc>
          <w:tcPr>
            <w:tcW w:w="1070" w:type="dxa"/>
            <w:vAlign w:val="bottom"/>
          </w:tcPr>
          <w:p w14:paraId="5ED4EDF5" w14:textId="77777777" w:rsidR="003D3694" w:rsidRPr="00747E35" w:rsidRDefault="003D3694" w:rsidP="0096743A">
            <w:pPr>
              <w:spacing w:after="0"/>
              <w:rPr>
                <w:rFonts w:asciiTheme="minorHAnsi" w:hAnsiTheme="minorHAnsi" w:cstheme="minorHAnsi"/>
                <w:sz w:val="18"/>
              </w:rPr>
            </w:pPr>
          </w:p>
        </w:tc>
        <w:tc>
          <w:tcPr>
            <w:tcW w:w="1115" w:type="dxa"/>
            <w:vAlign w:val="bottom"/>
          </w:tcPr>
          <w:p w14:paraId="29B9BCE0" w14:textId="77777777" w:rsidR="003D3694" w:rsidRPr="00747E35" w:rsidRDefault="003D3694" w:rsidP="0096743A">
            <w:pPr>
              <w:spacing w:after="0"/>
              <w:rPr>
                <w:rFonts w:asciiTheme="minorHAnsi" w:hAnsiTheme="minorHAnsi" w:cstheme="minorHAnsi"/>
                <w:sz w:val="18"/>
              </w:rPr>
            </w:pPr>
          </w:p>
        </w:tc>
        <w:tc>
          <w:tcPr>
            <w:tcW w:w="2275" w:type="dxa"/>
            <w:vAlign w:val="bottom"/>
          </w:tcPr>
          <w:p w14:paraId="558FB44A"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Casuarina cunninghamiana</w:t>
            </w:r>
          </w:p>
        </w:tc>
        <w:tc>
          <w:tcPr>
            <w:tcW w:w="907" w:type="dxa"/>
            <w:vAlign w:val="bottom"/>
          </w:tcPr>
          <w:p w14:paraId="05046FB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1.5</w:t>
            </w:r>
          </w:p>
        </w:tc>
        <w:tc>
          <w:tcPr>
            <w:tcW w:w="907" w:type="dxa"/>
            <w:vAlign w:val="bottom"/>
          </w:tcPr>
          <w:p w14:paraId="163DE05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16.80</w:t>
            </w:r>
          </w:p>
        </w:tc>
        <w:tc>
          <w:tcPr>
            <w:tcW w:w="1556" w:type="dxa"/>
            <w:vAlign w:val="bottom"/>
          </w:tcPr>
          <w:p w14:paraId="5ED38FC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0.26</w:t>
            </w:r>
          </w:p>
        </w:tc>
      </w:tr>
      <w:tr w:rsidR="003D3694" w:rsidRPr="00747E35" w14:paraId="77645775" w14:textId="77777777" w:rsidTr="0096743A">
        <w:trPr>
          <w:jc w:val="center"/>
        </w:trPr>
        <w:tc>
          <w:tcPr>
            <w:tcW w:w="1526" w:type="dxa"/>
            <w:tcBorders>
              <w:bottom w:val="single" w:sz="4" w:space="0" w:color="auto"/>
            </w:tcBorders>
            <w:vAlign w:val="bottom"/>
          </w:tcPr>
          <w:p w14:paraId="14C2C593" w14:textId="77777777" w:rsidR="003D3694" w:rsidRPr="00747E35" w:rsidRDefault="003D3694" w:rsidP="0096743A">
            <w:pPr>
              <w:spacing w:after="0"/>
              <w:rPr>
                <w:rFonts w:asciiTheme="minorHAnsi" w:hAnsiTheme="minorHAnsi" w:cstheme="minorHAnsi"/>
                <w:sz w:val="18"/>
              </w:rPr>
            </w:pPr>
          </w:p>
        </w:tc>
        <w:tc>
          <w:tcPr>
            <w:tcW w:w="1070" w:type="dxa"/>
            <w:tcBorders>
              <w:bottom w:val="single" w:sz="4" w:space="0" w:color="auto"/>
            </w:tcBorders>
            <w:vAlign w:val="bottom"/>
          </w:tcPr>
          <w:p w14:paraId="0F2256AC" w14:textId="77777777" w:rsidR="003D3694" w:rsidRPr="00747E35" w:rsidRDefault="003D3694" w:rsidP="0096743A">
            <w:pPr>
              <w:spacing w:after="0"/>
              <w:rPr>
                <w:rFonts w:asciiTheme="minorHAnsi" w:hAnsiTheme="minorHAnsi" w:cstheme="minorHAnsi"/>
                <w:sz w:val="18"/>
              </w:rPr>
            </w:pPr>
          </w:p>
        </w:tc>
        <w:tc>
          <w:tcPr>
            <w:tcW w:w="1115" w:type="dxa"/>
            <w:tcBorders>
              <w:bottom w:val="single" w:sz="4" w:space="0" w:color="auto"/>
            </w:tcBorders>
            <w:vAlign w:val="bottom"/>
          </w:tcPr>
          <w:p w14:paraId="3363B5CA" w14:textId="77777777" w:rsidR="003D3694" w:rsidRPr="00747E35" w:rsidRDefault="003D3694" w:rsidP="0096743A">
            <w:pPr>
              <w:spacing w:after="0"/>
              <w:rPr>
                <w:rFonts w:asciiTheme="minorHAnsi" w:hAnsiTheme="minorHAnsi" w:cstheme="minorHAnsi"/>
                <w:sz w:val="18"/>
              </w:rPr>
            </w:pPr>
          </w:p>
        </w:tc>
        <w:tc>
          <w:tcPr>
            <w:tcW w:w="2275" w:type="dxa"/>
            <w:tcBorders>
              <w:bottom w:val="single" w:sz="4" w:space="0" w:color="auto"/>
            </w:tcBorders>
            <w:vAlign w:val="bottom"/>
          </w:tcPr>
          <w:p w14:paraId="1341CDCB" w14:textId="66B7A04E"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 xml:space="preserve">Eucalyptus </w:t>
            </w:r>
            <w:r w:rsidR="00847A55">
              <w:rPr>
                <w:rFonts w:asciiTheme="minorHAnsi" w:hAnsiTheme="minorHAnsi" w:cstheme="minorHAnsi"/>
                <w:i/>
                <w:sz w:val="18"/>
              </w:rPr>
              <w:t>tereticornis</w:t>
            </w:r>
          </w:p>
        </w:tc>
        <w:tc>
          <w:tcPr>
            <w:tcW w:w="907" w:type="dxa"/>
            <w:tcBorders>
              <w:bottom w:val="single" w:sz="4" w:space="0" w:color="auto"/>
            </w:tcBorders>
            <w:vAlign w:val="bottom"/>
          </w:tcPr>
          <w:p w14:paraId="5E809C3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0.5</w:t>
            </w:r>
          </w:p>
        </w:tc>
        <w:tc>
          <w:tcPr>
            <w:tcW w:w="907" w:type="dxa"/>
            <w:tcBorders>
              <w:bottom w:val="single" w:sz="4" w:space="0" w:color="auto"/>
            </w:tcBorders>
            <w:vAlign w:val="bottom"/>
          </w:tcPr>
          <w:p w14:paraId="06F4ED8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46.70</w:t>
            </w:r>
          </w:p>
        </w:tc>
        <w:tc>
          <w:tcPr>
            <w:tcW w:w="1556" w:type="dxa"/>
            <w:tcBorders>
              <w:bottom w:val="single" w:sz="4" w:space="0" w:color="auto"/>
            </w:tcBorders>
            <w:vAlign w:val="bottom"/>
          </w:tcPr>
          <w:p w14:paraId="7D4912D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3.20</w:t>
            </w:r>
          </w:p>
        </w:tc>
      </w:tr>
      <w:tr w:rsidR="003D3694" w:rsidRPr="00747E35" w14:paraId="3AF179C8" w14:textId="77777777" w:rsidTr="0096743A">
        <w:trPr>
          <w:jc w:val="center"/>
        </w:trPr>
        <w:tc>
          <w:tcPr>
            <w:tcW w:w="1526" w:type="dxa"/>
            <w:tcBorders>
              <w:top w:val="single" w:sz="4" w:space="0" w:color="auto"/>
            </w:tcBorders>
            <w:vAlign w:val="bottom"/>
          </w:tcPr>
          <w:p w14:paraId="5F7C1AD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Bremer</w:t>
            </w:r>
          </w:p>
        </w:tc>
        <w:tc>
          <w:tcPr>
            <w:tcW w:w="1070" w:type="dxa"/>
            <w:tcBorders>
              <w:top w:val="single" w:sz="4" w:space="0" w:color="auto"/>
            </w:tcBorders>
            <w:vAlign w:val="bottom"/>
          </w:tcPr>
          <w:p w14:paraId="371F77C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floodplain</w:t>
            </w:r>
          </w:p>
        </w:tc>
        <w:tc>
          <w:tcPr>
            <w:tcW w:w="1115" w:type="dxa"/>
            <w:tcBorders>
              <w:top w:val="single" w:sz="4" w:space="0" w:color="auto"/>
            </w:tcBorders>
            <w:vAlign w:val="bottom"/>
          </w:tcPr>
          <w:p w14:paraId="4D4247C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intermittent</w:t>
            </w:r>
          </w:p>
        </w:tc>
        <w:tc>
          <w:tcPr>
            <w:tcW w:w="2275" w:type="dxa"/>
            <w:tcBorders>
              <w:top w:val="single" w:sz="4" w:space="0" w:color="auto"/>
            </w:tcBorders>
            <w:vAlign w:val="bottom"/>
          </w:tcPr>
          <w:p w14:paraId="02C7C81B"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Corymbia tesselaris</w:t>
            </w:r>
          </w:p>
        </w:tc>
        <w:tc>
          <w:tcPr>
            <w:tcW w:w="907" w:type="dxa"/>
            <w:tcBorders>
              <w:top w:val="single" w:sz="4" w:space="0" w:color="auto"/>
            </w:tcBorders>
            <w:vAlign w:val="bottom"/>
          </w:tcPr>
          <w:p w14:paraId="4554532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18</w:t>
            </w:r>
          </w:p>
        </w:tc>
        <w:tc>
          <w:tcPr>
            <w:tcW w:w="907" w:type="dxa"/>
            <w:tcBorders>
              <w:top w:val="single" w:sz="4" w:space="0" w:color="auto"/>
            </w:tcBorders>
            <w:vAlign w:val="bottom"/>
          </w:tcPr>
          <w:p w14:paraId="4F05EFFB"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12.10</w:t>
            </w:r>
          </w:p>
        </w:tc>
        <w:tc>
          <w:tcPr>
            <w:tcW w:w="1556" w:type="dxa"/>
            <w:tcBorders>
              <w:top w:val="single" w:sz="4" w:space="0" w:color="auto"/>
            </w:tcBorders>
            <w:vAlign w:val="bottom"/>
          </w:tcPr>
          <w:p w14:paraId="31D45C9B"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2.59</w:t>
            </w:r>
          </w:p>
        </w:tc>
      </w:tr>
      <w:tr w:rsidR="003D3694" w:rsidRPr="00747E35" w14:paraId="5B087FA7" w14:textId="77777777" w:rsidTr="0096743A">
        <w:trPr>
          <w:jc w:val="center"/>
        </w:trPr>
        <w:tc>
          <w:tcPr>
            <w:tcW w:w="1526" w:type="dxa"/>
            <w:vAlign w:val="bottom"/>
          </w:tcPr>
          <w:p w14:paraId="5CD9AE78" w14:textId="77777777" w:rsidR="003D3694" w:rsidRPr="00747E35" w:rsidRDefault="003D3694" w:rsidP="0096743A">
            <w:pPr>
              <w:spacing w:after="0"/>
              <w:rPr>
                <w:rFonts w:asciiTheme="minorHAnsi" w:hAnsiTheme="minorHAnsi" w:cstheme="minorHAnsi"/>
                <w:sz w:val="18"/>
              </w:rPr>
            </w:pPr>
          </w:p>
        </w:tc>
        <w:tc>
          <w:tcPr>
            <w:tcW w:w="1070" w:type="dxa"/>
            <w:vAlign w:val="bottom"/>
          </w:tcPr>
          <w:p w14:paraId="26071001" w14:textId="77777777" w:rsidR="003D3694" w:rsidRPr="00747E35" w:rsidRDefault="003D3694" w:rsidP="0096743A">
            <w:pPr>
              <w:spacing w:after="0"/>
              <w:rPr>
                <w:rFonts w:asciiTheme="minorHAnsi" w:hAnsiTheme="minorHAnsi" w:cstheme="minorHAnsi"/>
                <w:sz w:val="18"/>
              </w:rPr>
            </w:pPr>
          </w:p>
        </w:tc>
        <w:tc>
          <w:tcPr>
            <w:tcW w:w="1115" w:type="dxa"/>
            <w:vAlign w:val="bottom"/>
          </w:tcPr>
          <w:p w14:paraId="77FDCB1B" w14:textId="77777777" w:rsidR="003D3694" w:rsidRPr="00747E35" w:rsidRDefault="003D3694" w:rsidP="0096743A">
            <w:pPr>
              <w:spacing w:after="0"/>
              <w:rPr>
                <w:rFonts w:asciiTheme="minorHAnsi" w:hAnsiTheme="minorHAnsi" w:cstheme="minorHAnsi"/>
                <w:sz w:val="18"/>
              </w:rPr>
            </w:pPr>
          </w:p>
        </w:tc>
        <w:tc>
          <w:tcPr>
            <w:tcW w:w="2275" w:type="dxa"/>
            <w:vAlign w:val="bottom"/>
          </w:tcPr>
          <w:p w14:paraId="5E65B55B"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Melaleuca bracteata</w:t>
            </w:r>
          </w:p>
        </w:tc>
        <w:tc>
          <w:tcPr>
            <w:tcW w:w="907" w:type="dxa"/>
            <w:vAlign w:val="bottom"/>
          </w:tcPr>
          <w:p w14:paraId="7EEB494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9</w:t>
            </w:r>
          </w:p>
        </w:tc>
        <w:tc>
          <w:tcPr>
            <w:tcW w:w="907" w:type="dxa"/>
            <w:vAlign w:val="bottom"/>
          </w:tcPr>
          <w:p w14:paraId="23675E9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20.80</w:t>
            </w:r>
          </w:p>
        </w:tc>
        <w:tc>
          <w:tcPr>
            <w:tcW w:w="1556" w:type="dxa"/>
            <w:vAlign w:val="bottom"/>
          </w:tcPr>
          <w:p w14:paraId="4FA3D3F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10.44</w:t>
            </w:r>
          </w:p>
        </w:tc>
      </w:tr>
      <w:tr w:rsidR="003D3694" w:rsidRPr="00747E35" w14:paraId="326658D8" w14:textId="77777777" w:rsidTr="0096743A">
        <w:trPr>
          <w:jc w:val="center"/>
        </w:trPr>
        <w:tc>
          <w:tcPr>
            <w:tcW w:w="1526" w:type="dxa"/>
            <w:tcBorders>
              <w:bottom w:val="single" w:sz="4" w:space="0" w:color="auto"/>
            </w:tcBorders>
            <w:vAlign w:val="bottom"/>
          </w:tcPr>
          <w:p w14:paraId="70161556" w14:textId="77777777" w:rsidR="003D3694" w:rsidRPr="00747E35" w:rsidRDefault="003D3694" w:rsidP="0096743A">
            <w:pPr>
              <w:spacing w:after="0"/>
              <w:rPr>
                <w:rFonts w:asciiTheme="minorHAnsi" w:hAnsiTheme="minorHAnsi" w:cstheme="minorHAnsi"/>
                <w:sz w:val="18"/>
              </w:rPr>
            </w:pPr>
          </w:p>
        </w:tc>
        <w:tc>
          <w:tcPr>
            <w:tcW w:w="1070" w:type="dxa"/>
            <w:tcBorders>
              <w:bottom w:val="single" w:sz="4" w:space="0" w:color="auto"/>
            </w:tcBorders>
            <w:vAlign w:val="bottom"/>
          </w:tcPr>
          <w:p w14:paraId="1A3D851F" w14:textId="77777777" w:rsidR="003D3694" w:rsidRPr="00747E35" w:rsidRDefault="003D3694" w:rsidP="0096743A">
            <w:pPr>
              <w:spacing w:after="0"/>
              <w:rPr>
                <w:rFonts w:asciiTheme="minorHAnsi" w:hAnsiTheme="minorHAnsi" w:cstheme="minorHAnsi"/>
                <w:sz w:val="18"/>
              </w:rPr>
            </w:pPr>
          </w:p>
        </w:tc>
        <w:tc>
          <w:tcPr>
            <w:tcW w:w="1115" w:type="dxa"/>
            <w:tcBorders>
              <w:bottom w:val="single" w:sz="4" w:space="0" w:color="auto"/>
            </w:tcBorders>
            <w:vAlign w:val="bottom"/>
          </w:tcPr>
          <w:p w14:paraId="4528B9EC" w14:textId="77777777" w:rsidR="003D3694" w:rsidRPr="00747E35" w:rsidRDefault="003D3694" w:rsidP="0096743A">
            <w:pPr>
              <w:spacing w:after="0"/>
              <w:rPr>
                <w:rFonts w:asciiTheme="minorHAnsi" w:hAnsiTheme="minorHAnsi" w:cstheme="minorHAnsi"/>
                <w:sz w:val="18"/>
              </w:rPr>
            </w:pPr>
          </w:p>
        </w:tc>
        <w:tc>
          <w:tcPr>
            <w:tcW w:w="2275" w:type="dxa"/>
            <w:tcBorders>
              <w:bottom w:val="single" w:sz="4" w:space="0" w:color="auto"/>
            </w:tcBorders>
            <w:vAlign w:val="bottom"/>
          </w:tcPr>
          <w:p w14:paraId="46716D66" w14:textId="32B184E3"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 xml:space="preserve">Eucalyptus </w:t>
            </w:r>
            <w:r w:rsidR="00847A55">
              <w:rPr>
                <w:rFonts w:asciiTheme="minorHAnsi" w:hAnsiTheme="minorHAnsi" w:cstheme="minorHAnsi"/>
                <w:i/>
                <w:sz w:val="18"/>
              </w:rPr>
              <w:t>tereticornis</w:t>
            </w:r>
          </w:p>
        </w:tc>
        <w:tc>
          <w:tcPr>
            <w:tcW w:w="907" w:type="dxa"/>
            <w:tcBorders>
              <w:bottom w:val="single" w:sz="4" w:space="0" w:color="auto"/>
            </w:tcBorders>
            <w:vAlign w:val="bottom"/>
          </w:tcPr>
          <w:p w14:paraId="087EB3A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4</w:t>
            </w:r>
          </w:p>
        </w:tc>
        <w:tc>
          <w:tcPr>
            <w:tcW w:w="907" w:type="dxa"/>
            <w:tcBorders>
              <w:bottom w:val="single" w:sz="4" w:space="0" w:color="auto"/>
            </w:tcBorders>
            <w:vAlign w:val="bottom"/>
          </w:tcPr>
          <w:p w14:paraId="7FBEE01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7.70</w:t>
            </w:r>
          </w:p>
        </w:tc>
        <w:tc>
          <w:tcPr>
            <w:tcW w:w="1556" w:type="dxa"/>
            <w:tcBorders>
              <w:bottom w:val="single" w:sz="4" w:space="0" w:color="auto"/>
            </w:tcBorders>
            <w:vAlign w:val="bottom"/>
          </w:tcPr>
          <w:p w14:paraId="58A7A4B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0.71</w:t>
            </w:r>
          </w:p>
        </w:tc>
      </w:tr>
      <w:tr w:rsidR="003D3694" w:rsidRPr="00747E35" w14:paraId="4A621F59" w14:textId="77777777" w:rsidTr="0096743A">
        <w:trPr>
          <w:jc w:val="center"/>
        </w:trPr>
        <w:tc>
          <w:tcPr>
            <w:tcW w:w="1526" w:type="dxa"/>
            <w:tcBorders>
              <w:top w:val="single" w:sz="4" w:space="0" w:color="auto"/>
            </w:tcBorders>
            <w:vAlign w:val="bottom"/>
          </w:tcPr>
          <w:p w14:paraId="1B6B2CF0"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Bremer</w:t>
            </w:r>
          </w:p>
        </w:tc>
        <w:tc>
          <w:tcPr>
            <w:tcW w:w="1070" w:type="dxa"/>
            <w:tcBorders>
              <w:top w:val="single" w:sz="4" w:space="0" w:color="auto"/>
            </w:tcBorders>
            <w:vAlign w:val="bottom"/>
          </w:tcPr>
          <w:p w14:paraId="79A7BE30"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terrestrial</w:t>
            </w:r>
          </w:p>
        </w:tc>
        <w:tc>
          <w:tcPr>
            <w:tcW w:w="1115" w:type="dxa"/>
            <w:tcBorders>
              <w:top w:val="single" w:sz="4" w:space="0" w:color="auto"/>
            </w:tcBorders>
            <w:vAlign w:val="bottom"/>
          </w:tcPr>
          <w:p w14:paraId="333830D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Perennial</w:t>
            </w:r>
          </w:p>
        </w:tc>
        <w:tc>
          <w:tcPr>
            <w:tcW w:w="2275" w:type="dxa"/>
            <w:tcBorders>
              <w:top w:val="single" w:sz="4" w:space="0" w:color="auto"/>
            </w:tcBorders>
            <w:vAlign w:val="bottom"/>
          </w:tcPr>
          <w:p w14:paraId="0DB5CC06" w14:textId="45050D3F"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 xml:space="preserve">Eucalyptus </w:t>
            </w:r>
            <w:r w:rsidR="00847A55">
              <w:rPr>
                <w:rFonts w:asciiTheme="minorHAnsi" w:hAnsiTheme="minorHAnsi" w:cstheme="minorHAnsi"/>
                <w:i/>
                <w:sz w:val="18"/>
              </w:rPr>
              <w:t>tereticornis</w:t>
            </w:r>
          </w:p>
        </w:tc>
        <w:tc>
          <w:tcPr>
            <w:tcW w:w="907" w:type="dxa"/>
            <w:tcBorders>
              <w:top w:val="single" w:sz="4" w:space="0" w:color="auto"/>
            </w:tcBorders>
            <w:vAlign w:val="bottom"/>
          </w:tcPr>
          <w:p w14:paraId="1260AC9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8</w:t>
            </w:r>
          </w:p>
        </w:tc>
        <w:tc>
          <w:tcPr>
            <w:tcW w:w="907" w:type="dxa"/>
            <w:tcBorders>
              <w:top w:val="single" w:sz="4" w:space="0" w:color="auto"/>
            </w:tcBorders>
            <w:vAlign w:val="bottom"/>
          </w:tcPr>
          <w:p w14:paraId="21C9EF5B"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24.90</w:t>
            </w:r>
          </w:p>
        </w:tc>
        <w:tc>
          <w:tcPr>
            <w:tcW w:w="1556" w:type="dxa"/>
            <w:tcBorders>
              <w:top w:val="single" w:sz="4" w:space="0" w:color="auto"/>
            </w:tcBorders>
            <w:vAlign w:val="bottom"/>
          </w:tcPr>
          <w:p w14:paraId="5AF0290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2.87</w:t>
            </w:r>
          </w:p>
        </w:tc>
      </w:tr>
      <w:tr w:rsidR="003D3694" w:rsidRPr="00747E35" w14:paraId="00393107" w14:textId="77777777" w:rsidTr="0096743A">
        <w:trPr>
          <w:jc w:val="center"/>
        </w:trPr>
        <w:tc>
          <w:tcPr>
            <w:tcW w:w="1526" w:type="dxa"/>
            <w:tcBorders>
              <w:bottom w:val="single" w:sz="4" w:space="0" w:color="auto"/>
            </w:tcBorders>
            <w:vAlign w:val="bottom"/>
          </w:tcPr>
          <w:p w14:paraId="31596935" w14:textId="77777777" w:rsidR="003D3694" w:rsidRPr="00747E35" w:rsidRDefault="003D3694" w:rsidP="0096743A">
            <w:pPr>
              <w:spacing w:after="0"/>
              <w:rPr>
                <w:rFonts w:asciiTheme="minorHAnsi" w:hAnsiTheme="minorHAnsi" w:cstheme="minorHAnsi"/>
                <w:sz w:val="18"/>
              </w:rPr>
            </w:pPr>
          </w:p>
        </w:tc>
        <w:tc>
          <w:tcPr>
            <w:tcW w:w="1070" w:type="dxa"/>
            <w:tcBorders>
              <w:bottom w:val="single" w:sz="4" w:space="0" w:color="auto"/>
            </w:tcBorders>
            <w:vAlign w:val="bottom"/>
          </w:tcPr>
          <w:p w14:paraId="4E25E1DB" w14:textId="77777777" w:rsidR="003D3694" w:rsidRPr="00747E35" w:rsidRDefault="003D3694" w:rsidP="0096743A">
            <w:pPr>
              <w:spacing w:after="0"/>
              <w:rPr>
                <w:rFonts w:asciiTheme="minorHAnsi" w:hAnsiTheme="minorHAnsi" w:cstheme="minorHAnsi"/>
                <w:sz w:val="18"/>
              </w:rPr>
            </w:pPr>
          </w:p>
        </w:tc>
        <w:tc>
          <w:tcPr>
            <w:tcW w:w="1115" w:type="dxa"/>
            <w:tcBorders>
              <w:bottom w:val="single" w:sz="4" w:space="0" w:color="auto"/>
            </w:tcBorders>
            <w:vAlign w:val="bottom"/>
          </w:tcPr>
          <w:p w14:paraId="1E5672F7" w14:textId="77777777" w:rsidR="003D3694" w:rsidRPr="00747E35" w:rsidRDefault="003D3694" w:rsidP="0096743A">
            <w:pPr>
              <w:spacing w:after="0"/>
              <w:rPr>
                <w:rFonts w:asciiTheme="minorHAnsi" w:hAnsiTheme="minorHAnsi" w:cstheme="minorHAnsi"/>
                <w:sz w:val="18"/>
              </w:rPr>
            </w:pPr>
          </w:p>
        </w:tc>
        <w:tc>
          <w:tcPr>
            <w:tcW w:w="2275" w:type="dxa"/>
            <w:tcBorders>
              <w:bottom w:val="single" w:sz="4" w:space="0" w:color="auto"/>
            </w:tcBorders>
            <w:vAlign w:val="bottom"/>
          </w:tcPr>
          <w:p w14:paraId="7585307D" w14:textId="77777777" w:rsidR="003D3694" w:rsidRPr="00747E35" w:rsidRDefault="003D3694" w:rsidP="0096743A">
            <w:pPr>
              <w:spacing w:after="0"/>
              <w:rPr>
                <w:rFonts w:asciiTheme="minorHAnsi" w:hAnsiTheme="minorHAnsi" w:cstheme="minorHAnsi"/>
                <w:i/>
                <w:sz w:val="18"/>
              </w:rPr>
            </w:pPr>
            <w:r w:rsidRPr="00747E35">
              <w:rPr>
                <w:rFonts w:asciiTheme="minorHAnsi" w:hAnsiTheme="minorHAnsi" w:cstheme="minorHAnsi"/>
                <w:i/>
                <w:sz w:val="18"/>
              </w:rPr>
              <w:t>Corymbia tesselaris</w:t>
            </w:r>
          </w:p>
        </w:tc>
        <w:tc>
          <w:tcPr>
            <w:tcW w:w="907" w:type="dxa"/>
            <w:tcBorders>
              <w:bottom w:val="single" w:sz="4" w:space="0" w:color="auto"/>
            </w:tcBorders>
            <w:vAlign w:val="bottom"/>
          </w:tcPr>
          <w:p w14:paraId="11A2258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0.5</w:t>
            </w:r>
          </w:p>
        </w:tc>
        <w:tc>
          <w:tcPr>
            <w:tcW w:w="907" w:type="dxa"/>
            <w:tcBorders>
              <w:bottom w:val="single" w:sz="4" w:space="0" w:color="auto"/>
            </w:tcBorders>
            <w:vAlign w:val="bottom"/>
          </w:tcPr>
          <w:p w14:paraId="1487225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6.90</w:t>
            </w:r>
          </w:p>
        </w:tc>
        <w:tc>
          <w:tcPr>
            <w:tcW w:w="1556" w:type="dxa"/>
            <w:tcBorders>
              <w:bottom w:val="single" w:sz="4" w:space="0" w:color="auto"/>
            </w:tcBorders>
            <w:vAlign w:val="bottom"/>
          </w:tcPr>
          <w:p w14:paraId="1F3CF2B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0.06</w:t>
            </w:r>
          </w:p>
        </w:tc>
      </w:tr>
    </w:tbl>
    <w:p w14:paraId="2D1A9064" w14:textId="77777777" w:rsidR="003D3694" w:rsidRPr="00747E35" w:rsidRDefault="003D3694" w:rsidP="003D3694">
      <w:pPr>
        <w:rPr>
          <w:rFonts w:asciiTheme="minorHAnsi" w:hAnsiTheme="minorHAnsi" w:cstheme="minorHAnsi"/>
        </w:rPr>
      </w:pPr>
    </w:p>
    <w:p w14:paraId="6F2224AB"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2B94B7D8" wp14:editId="085251A7">
            <wp:extent cx="6183824" cy="2471210"/>
            <wp:effectExtent l="0" t="0" r="7620" b="5715"/>
            <wp:docPr id="14380" name="Picture 3" descr="Vector plo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6184920" cy="2471648"/>
                    </a:xfrm>
                    <a:prstGeom prst="rect">
                      <a:avLst/>
                    </a:prstGeom>
                    <a:noFill/>
                    <a:ln>
                      <a:noFill/>
                    </a:ln>
                  </pic:spPr>
                </pic:pic>
              </a:graphicData>
            </a:graphic>
          </wp:inline>
        </w:drawing>
      </w:r>
    </w:p>
    <w:p w14:paraId="0BE5A245"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53" w:name="_Ref466189864"/>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12</w:t>
      </w:r>
      <w:r w:rsidRPr="00747E35">
        <w:rPr>
          <w:rFonts w:asciiTheme="minorHAnsi" w:hAnsiTheme="minorHAnsi" w:cstheme="minorHAnsi"/>
          <w:i/>
          <w:noProof/>
          <w:color w:val="5B9BD5" w:themeColor="accent1"/>
          <w:sz w:val="20"/>
          <w:szCs w:val="20"/>
        </w:rPr>
        <w:fldChar w:fldCharType="end"/>
      </w:r>
      <w:bookmarkEnd w:id="53"/>
      <w:r w:rsidRPr="00747E35">
        <w:rPr>
          <w:rFonts w:asciiTheme="minorHAnsi" w:hAnsiTheme="minorHAnsi" w:cstheme="minorHAnsi"/>
          <w:i/>
          <w:color w:val="5B9BD5" w:themeColor="accent1"/>
          <w:sz w:val="20"/>
          <w:szCs w:val="20"/>
        </w:rPr>
        <w:t xml:space="preserve">: Distance based redundancy analysis of the floristics for different landscape positions (terrestrial, perennial and intermittent riparian and floodplain) for the (a) Maules Creek and (b) Bremer River sites. Each data point represents a site and the proximity of points in ordination space indicates greater similarity in plant communities between sites. Blue vector lines show the relationship of the different hydrotypes to the distribution of sites, with length of the line indicating the strength of the relationship (only vectors with r &gt; 0.3 are shown). </w:t>
      </w:r>
    </w:p>
    <w:p w14:paraId="038EE525" w14:textId="77777777" w:rsidR="003D3694" w:rsidRPr="00747E35" w:rsidRDefault="003D3694" w:rsidP="003D3694">
      <w:pPr>
        <w:rPr>
          <w:rFonts w:asciiTheme="minorHAnsi" w:hAnsiTheme="minorHAnsi" w:cstheme="minorHAnsi"/>
        </w:rPr>
      </w:pPr>
    </w:p>
    <w:p w14:paraId="1BF97923"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br w:type="page"/>
      </w:r>
    </w:p>
    <w:p w14:paraId="4CA8EC23"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3C80F1B3" wp14:editId="60B2E929">
            <wp:extent cx="5181572" cy="3743325"/>
            <wp:effectExtent l="0" t="0" r="635" b="0"/>
            <wp:docPr id="14381" name="Picture 3" descr="Diagram (Parts (a) and (b) of 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212423" cy="3765612"/>
                    </a:xfrm>
                    <a:prstGeom prst="rect">
                      <a:avLst/>
                    </a:prstGeom>
                    <a:noFill/>
                    <a:ln>
                      <a:noFill/>
                    </a:ln>
                  </pic:spPr>
                </pic:pic>
              </a:graphicData>
            </a:graphic>
          </wp:inline>
        </w:drawing>
      </w:r>
    </w:p>
    <w:p w14:paraId="0777CBF1"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5DD6D07E" wp14:editId="755360E4">
            <wp:extent cx="5265622" cy="3762375"/>
            <wp:effectExtent l="0" t="0" r="0" b="0"/>
            <wp:docPr id="14382" name="Picture 4" descr="Diagram (Parts (c) and (d) of 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297788" cy="3785358"/>
                    </a:xfrm>
                    <a:prstGeom prst="rect">
                      <a:avLst/>
                    </a:prstGeom>
                    <a:noFill/>
                    <a:ln>
                      <a:noFill/>
                    </a:ln>
                  </pic:spPr>
                </pic:pic>
              </a:graphicData>
            </a:graphic>
          </wp:inline>
        </w:drawing>
      </w:r>
    </w:p>
    <w:p w14:paraId="19D78C22"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54" w:name="_Ref466191416"/>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13</w:t>
      </w:r>
      <w:r w:rsidRPr="00747E35">
        <w:rPr>
          <w:rFonts w:asciiTheme="minorHAnsi" w:hAnsiTheme="minorHAnsi" w:cstheme="minorHAnsi"/>
          <w:i/>
          <w:noProof/>
          <w:color w:val="5B9BD5" w:themeColor="accent1"/>
          <w:sz w:val="20"/>
          <w:szCs w:val="20"/>
        </w:rPr>
        <w:fldChar w:fldCharType="end"/>
      </w:r>
      <w:bookmarkEnd w:id="54"/>
      <w:r w:rsidRPr="00747E35">
        <w:rPr>
          <w:rFonts w:asciiTheme="minorHAnsi" w:hAnsiTheme="minorHAnsi" w:cstheme="minorHAnsi"/>
          <w:i/>
          <w:color w:val="5B9BD5" w:themeColor="accent1"/>
          <w:sz w:val="20"/>
          <w:szCs w:val="20"/>
        </w:rPr>
        <w:t xml:space="preserve">: Schematic of an (a) perennial and (b) intermittent reach of the Maules Creek and (c) a perennial and (d) intermittent reach of the Bremer River sites, respectively. The schematics summarise the relationship between landscape position and plant hydrotypes (see Table 3) in each flow regime type in each catchment.  Pie graphs indicate the proportion of plant abundance for each hydrotype for each landscape position.  Also given are indicators of plant productivity (canopy cover, basal area) for each landscape position. </w:t>
      </w:r>
    </w:p>
    <w:p w14:paraId="7D27B4F0" w14:textId="77777777" w:rsidR="003D3694" w:rsidRPr="00747E35" w:rsidRDefault="003D3694" w:rsidP="003D3694">
      <w:pPr>
        <w:rPr>
          <w:rFonts w:asciiTheme="minorHAnsi" w:hAnsiTheme="minorHAnsi" w:cstheme="minorHAnsi"/>
        </w:rPr>
      </w:pPr>
    </w:p>
    <w:p w14:paraId="77554B0D"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224A44D4" wp14:editId="640D8436">
            <wp:extent cx="5951764" cy="4166742"/>
            <wp:effectExtent l="0" t="0" r="0" b="5715"/>
            <wp:docPr id="14383" name="Picture 9" descr="Bar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955205" cy="4169151"/>
                    </a:xfrm>
                    <a:prstGeom prst="rect">
                      <a:avLst/>
                    </a:prstGeom>
                    <a:noFill/>
                    <a:ln>
                      <a:noFill/>
                    </a:ln>
                  </pic:spPr>
                </pic:pic>
              </a:graphicData>
            </a:graphic>
          </wp:inline>
        </w:drawing>
      </w:r>
    </w:p>
    <w:p w14:paraId="1E2D3945"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55" w:name="_Ref466191446"/>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14</w:t>
      </w:r>
      <w:r w:rsidRPr="00747E35">
        <w:rPr>
          <w:rFonts w:asciiTheme="minorHAnsi" w:hAnsiTheme="minorHAnsi" w:cstheme="minorHAnsi"/>
          <w:i/>
          <w:noProof/>
          <w:color w:val="5B9BD5" w:themeColor="accent1"/>
          <w:sz w:val="20"/>
          <w:szCs w:val="20"/>
        </w:rPr>
        <w:fldChar w:fldCharType="end"/>
      </w:r>
      <w:bookmarkEnd w:id="55"/>
      <w:r w:rsidRPr="00747E35">
        <w:rPr>
          <w:rFonts w:asciiTheme="minorHAnsi" w:hAnsiTheme="minorHAnsi" w:cstheme="minorHAnsi"/>
          <w:i/>
          <w:color w:val="5B9BD5" w:themeColor="accent1"/>
          <w:sz w:val="20"/>
          <w:szCs w:val="20"/>
        </w:rPr>
        <w:t>: (a) Tree basal area for each landscape position and study catchment, (b) Tree canopy cover for each landscape position, (c) Tree canopy cover for perennial and intermittent landscape positions. Data are means ±SE for five plots in each landscape position at the Maules Creek and Bremer River study sites.</w:t>
      </w:r>
    </w:p>
    <w:p w14:paraId="47FAD62C" w14:textId="77777777" w:rsidR="003D3694" w:rsidRPr="00747E35" w:rsidRDefault="003D3694" w:rsidP="003D3694">
      <w:pPr>
        <w:rPr>
          <w:rFonts w:asciiTheme="minorHAnsi" w:hAnsiTheme="minorHAnsi" w:cstheme="minorHAnsi"/>
        </w:rPr>
      </w:pPr>
    </w:p>
    <w:p w14:paraId="7CF7221C"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125B1B46" wp14:editId="37D69687">
            <wp:extent cx="5731510" cy="2413118"/>
            <wp:effectExtent l="0" t="0" r="2540" b="6350"/>
            <wp:docPr id="14384" name="Picture 2" descr="Bar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5731510" cy="2413118"/>
                    </a:xfrm>
                    <a:prstGeom prst="rect">
                      <a:avLst/>
                    </a:prstGeom>
                    <a:noFill/>
                    <a:ln>
                      <a:noFill/>
                    </a:ln>
                  </pic:spPr>
                </pic:pic>
              </a:graphicData>
            </a:graphic>
          </wp:inline>
        </w:drawing>
      </w:r>
    </w:p>
    <w:p w14:paraId="2FE47AFE"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56" w:name="_Ref466191435"/>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15</w:t>
      </w:r>
      <w:r w:rsidRPr="00747E35">
        <w:rPr>
          <w:rFonts w:asciiTheme="minorHAnsi" w:hAnsiTheme="minorHAnsi" w:cstheme="minorHAnsi"/>
          <w:i/>
          <w:noProof/>
          <w:color w:val="5B9BD5" w:themeColor="accent1"/>
          <w:sz w:val="20"/>
          <w:szCs w:val="20"/>
        </w:rPr>
        <w:fldChar w:fldCharType="end"/>
      </w:r>
      <w:bookmarkEnd w:id="56"/>
      <w:r w:rsidRPr="00747E35">
        <w:rPr>
          <w:rFonts w:asciiTheme="minorHAnsi" w:hAnsiTheme="minorHAnsi" w:cstheme="minorHAnsi"/>
          <w:i/>
          <w:color w:val="5B9BD5" w:themeColor="accent1"/>
          <w:sz w:val="20"/>
          <w:szCs w:val="20"/>
        </w:rPr>
        <w:t>: (a) Differences in mean (± SE) daily litter fall for different landscape positions at Maules Creek sites over the three sampling times which represented different seasons including summer (October to March), Autumn (March to June) and Winter (June to September). (b) Mean (± SE) annual litter fall for the different landscape positions.</w:t>
      </w:r>
    </w:p>
    <w:p w14:paraId="6B4F2EA0" w14:textId="77777777" w:rsidR="003D3694" w:rsidRPr="00747E35" w:rsidRDefault="003D3694" w:rsidP="003D3694">
      <w:pPr>
        <w:rPr>
          <w:rFonts w:asciiTheme="minorHAnsi" w:hAnsiTheme="minorHAnsi" w:cstheme="minorHAnsi"/>
        </w:rPr>
      </w:pPr>
    </w:p>
    <w:p w14:paraId="57BC8D7C"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br w:type="page"/>
      </w:r>
    </w:p>
    <w:p w14:paraId="778CB479" w14:textId="153F0A11" w:rsidR="003D3694" w:rsidRPr="00747E35" w:rsidRDefault="003D3694" w:rsidP="004B7607">
      <w:pPr>
        <w:pStyle w:val="Heading3"/>
        <w:rPr>
          <w:rFonts w:asciiTheme="minorHAnsi" w:hAnsiTheme="minorHAnsi" w:cstheme="minorHAnsi"/>
          <w:lang w:eastAsia="en-AU"/>
        </w:rPr>
      </w:pPr>
      <w:bookmarkStart w:id="57" w:name="_Toc470004828"/>
      <w:r w:rsidRPr="00747E35">
        <w:rPr>
          <w:rFonts w:asciiTheme="minorHAnsi" w:hAnsiTheme="minorHAnsi" w:cstheme="minorHAnsi"/>
          <w:lang w:eastAsia="en-AU"/>
        </w:rPr>
        <w:lastRenderedPageBreak/>
        <w:t>Predicting groundwater use of plants across landscapes</w:t>
      </w:r>
      <w:bookmarkEnd w:id="57"/>
    </w:p>
    <w:p w14:paraId="6BF46B68" w14:textId="4D4CC598" w:rsidR="003D3694" w:rsidRPr="00747E35" w:rsidRDefault="003D3694" w:rsidP="003D3694">
      <w:pPr>
        <w:rPr>
          <w:rFonts w:asciiTheme="minorHAnsi" w:hAnsiTheme="minorHAnsi" w:cstheme="minorHAnsi"/>
        </w:rPr>
      </w:pPr>
      <w:r w:rsidRPr="00747E35">
        <w:rPr>
          <w:rFonts w:asciiTheme="minorHAnsi" w:hAnsiTheme="minorHAnsi" w:cstheme="minorHAnsi"/>
        </w:rPr>
        <w:t>Annual rainfall at Maules Creek over the study period was 21% above the long-term average (620mm).  But rainfall varied across the study period with the late summer, early autumn period (February to April) below average at 56% of long-term average (132 mm) for these months.  In contrast, June to September was 214% above the long-term average for these months (124 mm)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_Ref466191511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16</w:t>
      </w:r>
      <w:r w:rsidRPr="00747E35">
        <w:rPr>
          <w:rFonts w:asciiTheme="minorHAnsi" w:hAnsiTheme="minorHAnsi" w:cstheme="minorHAnsi"/>
        </w:rPr>
        <w:fldChar w:fldCharType="end"/>
      </w:r>
      <w:r w:rsidRPr="00747E35">
        <w:rPr>
          <w:rFonts w:asciiTheme="minorHAnsi" w:hAnsiTheme="minorHAnsi" w:cstheme="minorHAnsi"/>
        </w:rPr>
        <w:t>). The dendrometer traces of changes in stem diameter of red gum (E. camaldulensis) trees over the 12-month study period (October 2015 to September 2016) indicate seasonal variation in hydrological state and growth among landscape positions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_Ref466191511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16</w:t>
      </w:r>
      <w:r w:rsidRPr="00747E35">
        <w:rPr>
          <w:rFonts w:asciiTheme="minorHAnsi" w:hAnsiTheme="minorHAnsi" w:cstheme="minorHAnsi"/>
        </w:rPr>
        <w:fldChar w:fldCharType="end"/>
      </w:r>
      <w:r w:rsidRPr="00747E35">
        <w:rPr>
          <w:rFonts w:asciiTheme="minorHAnsi" w:hAnsiTheme="minorHAnsi" w:cstheme="minorHAnsi"/>
        </w:rPr>
        <w:t>). The traces indicate the short-term responses (hydration) of trees to rainfall events and longer-term changes in stem diameter (growth) over the study period.  Trees at the Maules Creek perennial riparian and floodplain sites showed sustained growth over the study period.  Average growth rate was 8.4 mm yr</w:t>
      </w:r>
      <w:r w:rsidRPr="00747E35">
        <w:rPr>
          <w:rFonts w:asciiTheme="minorHAnsi" w:hAnsiTheme="minorHAnsi" w:cstheme="minorHAnsi"/>
          <w:vertAlign w:val="superscript"/>
        </w:rPr>
        <w:t>-1</w:t>
      </w:r>
      <w:r w:rsidRPr="00747E35">
        <w:rPr>
          <w:rFonts w:asciiTheme="minorHAnsi" w:hAnsiTheme="minorHAnsi" w:cstheme="minorHAnsi"/>
        </w:rPr>
        <w:t xml:space="preserve"> for perennial riparian trees and 4.1 mm yr</w:t>
      </w:r>
      <w:r w:rsidRPr="00747E35">
        <w:rPr>
          <w:rFonts w:asciiTheme="minorHAnsi" w:hAnsiTheme="minorHAnsi" w:cstheme="minorHAnsi"/>
          <w:vertAlign w:val="superscript"/>
        </w:rPr>
        <w:t>-1</w:t>
      </w:r>
      <w:r w:rsidRPr="00747E35">
        <w:rPr>
          <w:rFonts w:asciiTheme="minorHAnsi" w:hAnsiTheme="minorHAnsi" w:cstheme="minorHAnsi"/>
        </w:rPr>
        <w:t xml:space="preserve"> for floodplain perennial trees.  For the intermittent sites, the riparian tree growth was 1.4 mm yr</w:t>
      </w:r>
      <w:r w:rsidRPr="00747E35">
        <w:rPr>
          <w:rFonts w:asciiTheme="minorHAnsi" w:hAnsiTheme="minorHAnsi" w:cstheme="minorHAnsi"/>
          <w:vertAlign w:val="superscript"/>
        </w:rPr>
        <w:t xml:space="preserve">-1 </w:t>
      </w:r>
      <w:r w:rsidRPr="00747E35">
        <w:rPr>
          <w:rFonts w:asciiTheme="minorHAnsi" w:hAnsiTheme="minorHAnsi" w:cstheme="minorHAnsi"/>
        </w:rPr>
        <w:t>and floodplain trees showed a negative growth over the study period of -0.2 mm yr</w:t>
      </w:r>
      <w:r w:rsidRPr="00747E35">
        <w:rPr>
          <w:rFonts w:asciiTheme="minorHAnsi" w:hAnsiTheme="minorHAnsi" w:cstheme="minorHAnsi"/>
          <w:vertAlign w:val="superscript"/>
        </w:rPr>
        <w:t>-1</w:t>
      </w:r>
      <w:r w:rsidRPr="00747E35">
        <w:rPr>
          <w:rFonts w:asciiTheme="minorHAnsi" w:hAnsiTheme="minorHAnsi" w:cstheme="minorHAnsi"/>
        </w:rPr>
        <w:t>.  These growth rates for the different landscape positions accorded with average depth to groundwater at each site, with perennial sites that had shallower depth to groundwater (2 to 7 m), having more rapid growth than trees higher up in the catchment at the intermittent sites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_Ref466191511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16</w:t>
      </w:r>
      <w:r w:rsidRPr="00747E35">
        <w:rPr>
          <w:rFonts w:asciiTheme="minorHAnsi" w:hAnsiTheme="minorHAnsi" w:cstheme="minorHAnsi"/>
        </w:rPr>
        <w:fldChar w:fldCharType="end"/>
      </w:r>
      <w:r w:rsidRPr="00747E35">
        <w:rPr>
          <w:rFonts w:asciiTheme="minorHAnsi" w:hAnsiTheme="minorHAnsi" w:cstheme="minorHAnsi"/>
        </w:rPr>
        <w:t>). Negative growth of the intermittent floodplain trees related to much greater depth to groundwater (&gt;18 m) and suggests these trees were not phreatophytic. Interestingly, these trees showed some recovery in stem diameter in the latter stages of the study period when there was above-average rainfall in the area of Maules Creek, suggesting dependence on rainfall recharge of soil. Tree response to rainfall events and periods also varied among landscape positions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_Ref466191548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17</w:t>
      </w:r>
      <w:r w:rsidRPr="00747E35">
        <w:rPr>
          <w:rFonts w:asciiTheme="minorHAnsi" w:hAnsiTheme="minorHAnsi" w:cstheme="minorHAnsi"/>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_Ref466191567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8</w:t>
      </w:r>
      <w:r w:rsidRPr="00747E35">
        <w:rPr>
          <w:rFonts w:asciiTheme="minorHAnsi" w:hAnsiTheme="minorHAnsi" w:cstheme="minorHAnsi"/>
        </w:rPr>
        <w:fldChar w:fldCharType="end"/>
      </w:r>
      <w:r w:rsidRPr="00747E35">
        <w:rPr>
          <w:rFonts w:asciiTheme="minorHAnsi" w:hAnsiTheme="minorHAnsi" w:cstheme="minorHAnsi"/>
        </w:rPr>
        <w:t xml:space="preserve">).  </w:t>
      </w:r>
    </w:p>
    <w:p w14:paraId="1AC972E3" w14:textId="3378105E" w:rsidR="003D3694" w:rsidRPr="00747E35" w:rsidRDefault="003D3694" w:rsidP="003D3694">
      <w:pPr>
        <w:rPr>
          <w:rFonts w:asciiTheme="minorHAnsi" w:hAnsiTheme="minorHAnsi" w:cstheme="minorHAnsi"/>
        </w:rPr>
      </w:pPr>
      <w:r w:rsidRPr="00747E35">
        <w:rPr>
          <w:rFonts w:asciiTheme="minorHAnsi" w:hAnsiTheme="minorHAnsi" w:cstheme="minorHAnsi"/>
        </w:rPr>
        <w:t>We analysed the response of all tree diameter traces to a single large rainfall event, a sustained period of rainfall and a prolonged drought period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_Ref466191548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17</w:t>
      </w:r>
      <w:r w:rsidRPr="00747E35">
        <w:rPr>
          <w:rFonts w:asciiTheme="minorHAnsi" w:hAnsiTheme="minorHAnsi" w:cstheme="minorHAnsi"/>
        </w:rPr>
        <w:fldChar w:fldCharType="end"/>
      </w:r>
      <w:r w:rsidRPr="00747E35">
        <w:rPr>
          <w:rFonts w:asciiTheme="minorHAnsi" w:hAnsiTheme="minorHAnsi" w:cstheme="minorHAnsi"/>
        </w:rPr>
        <w:t>).  Responses of trees in the perennial riparian and floodplain positions were much greater than for the intermittent sites in terms of the rate, size and duration of the stem increment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_Ref466191567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8</w:t>
      </w:r>
      <w:r w:rsidRPr="00747E35">
        <w:rPr>
          <w:rFonts w:asciiTheme="minorHAnsi" w:hAnsiTheme="minorHAnsi" w:cstheme="minorHAnsi"/>
        </w:rPr>
        <w:fldChar w:fldCharType="end"/>
      </w:r>
      <w:r w:rsidRPr="00747E35">
        <w:rPr>
          <w:rFonts w:asciiTheme="minorHAnsi" w:hAnsiTheme="minorHAnsi" w:cstheme="minorHAnsi"/>
        </w:rPr>
        <w:t>). During a sustained rainfall period, riparian perennial trees showed the least variation in response to rainfall and, during a sustained drought period, showed a lower rate of decline (drought slope) in stem diameter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_Ref466191548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17</w:t>
      </w:r>
      <w:r w:rsidRPr="00747E35">
        <w:rPr>
          <w:rFonts w:asciiTheme="minorHAnsi" w:hAnsiTheme="minorHAnsi" w:cstheme="minorHAnsi"/>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_Ref466191567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8</w:t>
      </w:r>
      <w:r w:rsidRPr="00747E35">
        <w:rPr>
          <w:rFonts w:asciiTheme="minorHAnsi" w:hAnsiTheme="minorHAnsi" w:cstheme="minorHAnsi"/>
        </w:rPr>
        <w:fldChar w:fldCharType="end"/>
      </w:r>
      <w:r w:rsidRPr="00747E35">
        <w:rPr>
          <w:rFonts w:asciiTheme="minorHAnsi" w:hAnsiTheme="minorHAnsi" w:cstheme="minorHAnsi"/>
        </w:rPr>
        <w:t>). These differences in stem diameter responses are also evident when considering the diel traces for trees in each landscape position during a period immediately before and after a rainfall event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_Ref466191601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18</w:t>
      </w:r>
      <w:r w:rsidRPr="00747E35">
        <w:rPr>
          <w:rFonts w:asciiTheme="minorHAnsi" w:hAnsiTheme="minorHAnsi" w:cstheme="minorHAnsi"/>
        </w:rPr>
        <w:fldChar w:fldCharType="end"/>
      </w:r>
      <w:r w:rsidRPr="00747E35">
        <w:rPr>
          <w:rFonts w:asciiTheme="minorHAnsi" w:hAnsiTheme="minorHAnsi" w:cstheme="minorHAnsi"/>
        </w:rPr>
        <w:t>a, b) and during a drought period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_Ref466191601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18</w:t>
      </w:r>
      <w:r w:rsidRPr="00747E35">
        <w:rPr>
          <w:rFonts w:asciiTheme="minorHAnsi" w:hAnsiTheme="minorHAnsi" w:cstheme="minorHAnsi"/>
        </w:rPr>
        <w:fldChar w:fldCharType="end"/>
      </w:r>
      <w:r w:rsidRPr="00747E35">
        <w:rPr>
          <w:rFonts w:asciiTheme="minorHAnsi" w:hAnsiTheme="minorHAnsi" w:cstheme="minorHAnsi"/>
        </w:rPr>
        <w:t>c, d). These traces clearly show the diel expansion and contraction of the trees stems as they transpire and rehydrate. They also show greater responses of trees in the perennial riparian and floodplain landscapes compared with the intermittent sites. These results suggest that the trees at the riparian perennial site (in particular, but also the floodplain perennial site) had higher growth rates over the year and larger diel responses indicating higher short-term growth rates. Although these trees have responded to rainfall events (and corresponding flow), they show less response to drought periods, suggesting they are less dependent on rainfall and may also be accessing groundwater continuously.  To a lesser extent, dendrometer traces also suggest riparian trees at the intermittent site may also be accessing groundwater at some periods during the year.</w:t>
      </w:r>
    </w:p>
    <w:p w14:paraId="3D493CEA" w14:textId="40DCA3D4"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w:t>
      </w:r>
      <w:r w:rsidRPr="00747E35">
        <w:rPr>
          <w:rFonts w:asciiTheme="minorHAnsi" w:hAnsiTheme="minorHAnsi" w:cstheme="minorHAnsi"/>
          <w:i/>
          <w:iCs/>
        </w:rPr>
        <w:t>δ</w:t>
      </w:r>
      <w:r w:rsidRPr="00747E35">
        <w:rPr>
          <w:rFonts w:asciiTheme="minorHAnsi" w:hAnsiTheme="minorHAnsi" w:cstheme="minorHAnsi"/>
          <w:vertAlign w:val="superscript"/>
        </w:rPr>
        <w:t>2</w:t>
      </w:r>
      <w:r w:rsidRPr="00747E35">
        <w:rPr>
          <w:rFonts w:asciiTheme="minorHAnsi" w:hAnsiTheme="minorHAnsi" w:cstheme="minorHAnsi"/>
        </w:rPr>
        <w:t xml:space="preserve">H and </w:t>
      </w:r>
      <w:r w:rsidRPr="00747E35">
        <w:rPr>
          <w:rFonts w:asciiTheme="minorHAnsi" w:hAnsiTheme="minorHAnsi" w:cstheme="minorHAnsi"/>
          <w:i/>
          <w:iCs/>
        </w:rPr>
        <w:t>δ</w:t>
      </w:r>
      <w:r w:rsidRPr="00747E35">
        <w:rPr>
          <w:rFonts w:asciiTheme="minorHAnsi" w:hAnsiTheme="minorHAnsi" w:cstheme="minorHAnsi"/>
          <w:vertAlign w:val="superscript"/>
        </w:rPr>
        <w:t>18</w:t>
      </w:r>
      <w:r w:rsidRPr="00747E35">
        <w:rPr>
          <w:rFonts w:asciiTheme="minorHAnsi" w:hAnsiTheme="minorHAnsi" w:cstheme="minorHAnsi"/>
        </w:rPr>
        <w:t>O water isotope signature for leaves, soil, groundwater and stream water at the different landscape positions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_Ref466191621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19</w:t>
      </w:r>
      <w:r w:rsidRPr="00747E35">
        <w:rPr>
          <w:rFonts w:asciiTheme="minorHAnsi" w:hAnsiTheme="minorHAnsi" w:cstheme="minorHAnsi"/>
        </w:rPr>
        <w:fldChar w:fldCharType="end"/>
      </w:r>
      <w:r w:rsidRPr="00747E35">
        <w:rPr>
          <w:rFonts w:asciiTheme="minorHAnsi" w:hAnsiTheme="minorHAnsi" w:cstheme="minorHAnsi"/>
        </w:rPr>
        <w:t>) corroborate the results from the dendrometer data.  The isotope study shows in particular the separation of leaf water and soil water from the perennial riparian site.  Mixing model results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_Ref466191632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9</w:t>
      </w:r>
      <w:r w:rsidRPr="00747E35">
        <w:rPr>
          <w:rFonts w:asciiTheme="minorHAnsi" w:hAnsiTheme="minorHAnsi" w:cstheme="minorHAnsi"/>
        </w:rPr>
        <w:fldChar w:fldCharType="end"/>
      </w:r>
      <w:r w:rsidRPr="00747E35">
        <w:rPr>
          <w:rFonts w:asciiTheme="minorHAnsi" w:hAnsiTheme="minorHAnsi" w:cstheme="minorHAnsi"/>
        </w:rPr>
        <w:t>) indicate that trees mostly obtain water from deep soil sources and groundwater at perennial sites where groundwater is relatively shallow. For all landscape positions leaf isotope values were most similar to groundwater</w:t>
      </w:r>
      <w:r w:rsidRPr="00747E35" w:rsidDel="00D8571B">
        <w:rPr>
          <w:rFonts w:asciiTheme="minorHAnsi" w:hAnsiTheme="minorHAnsi" w:cstheme="minorHAnsi"/>
        </w:rPr>
        <w:t xml:space="preserve"> </w:t>
      </w:r>
      <w:r w:rsidRPr="00747E35">
        <w:rPr>
          <w:rFonts w:asciiTheme="minorHAnsi" w:hAnsiTheme="minorHAnsi" w:cstheme="minorHAnsi"/>
        </w:rPr>
        <w:t xml:space="preserve">and deep soil water in October when rainfall for the previous two months had been well below average.  Water </w:t>
      </w:r>
      <w:r w:rsidRPr="00747E35">
        <w:rPr>
          <w:rFonts w:asciiTheme="minorHAnsi" w:hAnsiTheme="minorHAnsi" w:cstheme="minorHAnsi"/>
          <w:i/>
          <w:iCs/>
        </w:rPr>
        <w:t>δ</w:t>
      </w:r>
      <w:r w:rsidRPr="00747E35">
        <w:rPr>
          <w:rFonts w:asciiTheme="minorHAnsi" w:hAnsiTheme="minorHAnsi" w:cstheme="minorHAnsi"/>
          <w:vertAlign w:val="superscript"/>
        </w:rPr>
        <w:t>2</w:t>
      </w:r>
      <w:r w:rsidRPr="00747E35">
        <w:rPr>
          <w:rFonts w:asciiTheme="minorHAnsi" w:hAnsiTheme="minorHAnsi" w:cstheme="minorHAnsi"/>
        </w:rPr>
        <w:t xml:space="preserve">H and </w:t>
      </w:r>
      <w:r w:rsidRPr="00747E35">
        <w:rPr>
          <w:rFonts w:asciiTheme="minorHAnsi" w:hAnsiTheme="minorHAnsi" w:cstheme="minorHAnsi"/>
          <w:i/>
          <w:iCs/>
        </w:rPr>
        <w:t>δ</w:t>
      </w:r>
      <w:r w:rsidRPr="00747E35">
        <w:rPr>
          <w:rFonts w:asciiTheme="minorHAnsi" w:hAnsiTheme="minorHAnsi" w:cstheme="minorHAnsi"/>
          <w:vertAlign w:val="superscript"/>
        </w:rPr>
        <w:t>18</w:t>
      </w:r>
      <w:r w:rsidRPr="00747E35">
        <w:rPr>
          <w:rFonts w:asciiTheme="minorHAnsi" w:hAnsiTheme="minorHAnsi" w:cstheme="minorHAnsi"/>
        </w:rPr>
        <w:t>O values for leaves were very different than groundwater</w:t>
      </w:r>
      <w:r w:rsidRPr="00747E35" w:rsidDel="00D8571B">
        <w:rPr>
          <w:rFonts w:asciiTheme="minorHAnsi" w:hAnsiTheme="minorHAnsi" w:cstheme="minorHAnsi"/>
        </w:rPr>
        <w:t xml:space="preserve"> </w:t>
      </w:r>
      <w:r w:rsidRPr="00747E35">
        <w:rPr>
          <w:rFonts w:asciiTheme="minorHAnsi" w:hAnsiTheme="minorHAnsi" w:cstheme="minorHAnsi"/>
        </w:rPr>
        <w:t>for samples taken in March during a time of extended dry, hot conditions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_Ref466191651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20</w:t>
      </w:r>
      <w:r w:rsidRPr="00747E35">
        <w:rPr>
          <w:rFonts w:asciiTheme="minorHAnsi" w:hAnsiTheme="minorHAnsi" w:cstheme="minorHAnsi"/>
        </w:rPr>
        <w:fldChar w:fldCharType="end"/>
      </w:r>
      <w:r w:rsidRPr="00747E35">
        <w:rPr>
          <w:rFonts w:asciiTheme="minorHAnsi" w:hAnsiTheme="minorHAnsi" w:cstheme="minorHAnsi"/>
        </w:rPr>
        <w:t xml:space="preserve">a, b). </w:t>
      </w:r>
    </w:p>
    <w:p w14:paraId="3DB2BDAA" w14:textId="3DCF9C6B" w:rsidR="003D3694" w:rsidRPr="00747E35" w:rsidRDefault="003D3694" w:rsidP="003D3694">
      <w:pPr>
        <w:rPr>
          <w:rFonts w:asciiTheme="minorHAnsi" w:hAnsiTheme="minorHAnsi" w:cstheme="minorHAnsi"/>
        </w:rPr>
      </w:pPr>
      <w:r w:rsidRPr="00747E35">
        <w:rPr>
          <w:rFonts w:asciiTheme="minorHAnsi" w:hAnsiTheme="minorHAnsi" w:cstheme="minorHAnsi"/>
        </w:rPr>
        <w:lastRenderedPageBreak/>
        <w:t>Soil water isotope values showed similar trends over the study period as the values for leaves although the seasonal changes were not as great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_Ref466191651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20</w:t>
      </w:r>
      <w:r w:rsidRPr="00747E35">
        <w:rPr>
          <w:rFonts w:asciiTheme="minorHAnsi" w:hAnsiTheme="minorHAnsi" w:cstheme="minorHAnsi"/>
        </w:rPr>
        <w:fldChar w:fldCharType="end"/>
      </w:r>
      <w:r w:rsidRPr="00747E35">
        <w:rPr>
          <w:rFonts w:asciiTheme="minorHAnsi" w:hAnsiTheme="minorHAnsi" w:cstheme="minorHAnsi"/>
        </w:rPr>
        <w:t xml:space="preserve">c, d). Soil water </w:t>
      </w:r>
      <w:r w:rsidRPr="00747E35">
        <w:rPr>
          <w:rFonts w:asciiTheme="minorHAnsi" w:hAnsiTheme="minorHAnsi" w:cstheme="minorHAnsi"/>
          <w:iCs/>
        </w:rPr>
        <w:t>δ</w:t>
      </w:r>
      <w:r w:rsidRPr="00747E35">
        <w:rPr>
          <w:rFonts w:asciiTheme="minorHAnsi" w:hAnsiTheme="minorHAnsi" w:cstheme="minorHAnsi"/>
          <w:vertAlign w:val="superscript"/>
        </w:rPr>
        <w:t>18</w:t>
      </w:r>
      <w:r w:rsidRPr="00747E35">
        <w:rPr>
          <w:rFonts w:asciiTheme="minorHAnsi" w:hAnsiTheme="minorHAnsi" w:cstheme="minorHAnsi"/>
        </w:rPr>
        <w:t>O values were more enriched near the soil surface reflecting an increase in fractionation through the effects of evaporation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_Ref466191669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21</w:t>
      </w:r>
      <w:r w:rsidRPr="00747E35">
        <w:rPr>
          <w:rFonts w:asciiTheme="minorHAnsi" w:hAnsiTheme="minorHAnsi" w:cstheme="minorHAnsi"/>
        </w:rPr>
        <w:fldChar w:fldCharType="end"/>
      </w:r>
      <w:r w:rsidRPr="00747E35">
        <w:rPr>
          <w:rFonts w:asciiTheme="minorHAnsi" w:hAnsiTheme="minorHAnsi" w:cstheme="minorHAnsi"/>
        </w:rPr>
        <w:t xml:space="preserve">).  Isotope values were more positive in upper than in lower soil layers and became more depleted with depth and </w:t>
      </w:r>
      <w:r w:rsidRPr="00747E35">
        <w:rPr>
          <w:rFonts w:asciiTheme="minorHAnsi" w:hAnsiTheme="minorHAnsi" w:cstheme="minorHAnsi"/>
          <w:i/>
          <w:iCs/>
        </w:rPr>
        <w:t>δ</w:t>
      </w:r>
      <w:r w:rsidRPr="00747E35">
        <w:rPr>
          <w:rFonts w:asciiTheme="minorHAnsi" w:hAnsiTheme="minorHAnsi" w:cstheme="minorHAnsi"/>
          <w:vertAlign w:val="superscript"/>
        </w:rPr>
        <w:t>18</w:t>
      </w:r>
      <w:r w:rsidRPr="00747E35">
        <w:rPr>
          <w:rFonts w:asciiTheme="minorHAnsi" w:hAnsiTheme="minorHAnsi" w:cstheme="minorHAnsi"/>
        </w:rPr>
        <w:t xml:space="preserve">O and </w:t>
      </w:r>
      <w:r w:rsidRPr="00747E35">
        <w:rPr>
          <w:rFonts w:asciiTheme="minorHAnsi" w:hAnsiTheme="minorHAnsi" w:cstheme="minorHAnsi"/>
          <w:i/>
          <w:iCs/>
        </w:rPr>
        <w:t>δ</w:t>
      </w:r>
      <w:r w:rsidRPr="00747E35">
        <w:rPr>
          <w:rFonts w:asciiTheme="minorHAnsi" w:hAnsiTheme="minorHAnsi" w:cstheme="minorHAnsi"/>
          <w:vertAlign w:val="superscript"/>
        </w:rPr>
        <w:t>2</w:t>
      </w:r>
      <w:r w:rsidRPr="00747E35">
        <w:rPr>
          <w:rFonts w:asciiTheme="minorHAnsi" w:hAnsiTheme="minorHAnsi" w:cstheme="minorHAnsi"/>
        </w:rPr>
        <w:t>H values at 75-100 cm soil depth were similar to those of groundwater at the perennial sites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_Ref466191669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21</w:t>
      </w:r>
      <w:r w:rsidRPr="00747E35">
        <w:rPr>
          <w:rFonts w:asciiTheme="minorHAnsi" w:hAnsiTheme="minorHAnsi" w:cstheme="minorHAnsi"/>
        </w:rPr>
        <w:fldChar w:fldCharType="end"/>
      </w:r>
      <w:r w:rsidRPr="00747E35">
        <w:rPr>
          <w:rFonts w:asciiTheme="minorHAnsi" w:hAnsiTheme="minorHAnsi" w:cstheme="minorHAnsi"/>
        </w:rPr>
        <w:t>). Mixing model results show that tree water is likely to come from multiple sources and that this varies with landscape position and time of year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_Ref466191632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9</w:t>
      </w:r>
      <w:r w:rsidRPr="00747E35">
        <w:rPr>
          <w:rFonts w:asciiTheme="minorHAnsi" w:hAnsiTheme="minorHAnsi" w:cstheme="minorHAnsi"/>
        </w:rPr>
        <w:fldChar w:fldCharType="end"/>
      </w:r>
      <w:r w:rsidRPr="00747E35">
        <w:rPr>
          <w:rFonts w:asciiTheme="minorHAnsi" w:hAnsiTheme="minorHAnsi" w:cstheme="minorHAnsi"/>
        </w:rPr>
        <w:t>). Strong groundwater</w:t>
      </w:r>
      <w:r w:rsidRPr="00747E35" w:rsidDel="00D8571B">
        <w:rPr>
          <w:rFonts w:asciiTheme="minorHAnsi" w:hAnsiTheme="minorHAnsi" w:cstheme="minorHAnsi"/>
        </w:rPr>
        <w:t xml:space="preserve"> </w:t>
      </w:r>
      <w:r w:rsidRPr="00747E35">
        <w:rPr>
          <w:rFonts w:asciiTheme="minorHAnsi" w:hAnsiTheme="minorHAnsi" w:cstheme="minorHAnsi"/>
        </w:rPr>
        <w:t>links to plant water are seen for trees in the riparian perennial site in March and June (groundwater</w:t>
      </w:r>
      <w:r w:rsidRPr="00747E35" w:rsidDel="00D8571B">
        <w:rPr>
          <w:rFonts w:asciiTheme="minorHAnsi" w:hAnsiTheme="minorHAnsi" w:cstheme="minorHAnsi"/>
        </w:rPr>
        <w:t xml:space="preserve"> </w:t>
      </w:r>
      <w:r w:rsidRPr="00747E35">
        <w:rPr>
          <w:rFonts w:asciiTheme="minorHAnsi" w:hAnsiTheme="minorHAnsi" w:cstheme="minorHAnsi"/>
        </w:rPr>
        <w:t>depth 2-3m) and for floodplain perennial (groundwater</w:t>
      </w:r>
      <w:r w:rsidRPr="00747E35" w:rsidDel="00D8571B">
        <w:rPr>
          <w:rFonts w:asciiTheme="minorHAnsi" w:hAnsiTheme="minorHAnsi" w:cstheme="minorHAnsi"/>
        </w:rPr>
        <w:t xml:space="preserve"> </w:t>
      </w:r>
      <w:r w:rsidRPr="00747E35">
        <w:rPr>
          <w:rFonts w:asciiTheme="minorHAnsi" w:hAnsiTheme="minorHAnsi" w:cstheme="minorHAnsi"/>
        </w:rPr>
        <w:t>depth 5-7m) and riparian intermittent sites (groundwater</w:t>
      </w:r>
      <w:r w:rsidRPr="00747E35" w:rsidDel="00D8571B">
        <w:rPr>
          <w:rFonts w:asciiTheme="minorHAnsi" w:hAnsiTheme="minorHAnsi" w:cstheme="minorHAnsi"/>
        </w:rPr>
        <w:t xml:space="preserve"> </w:t>
      </w:r>
      <w:r w:rsidRPr="00747E35">
        <w:rPr>
          <w:rFonts w:asciiTheme="minorHAnsi" w:hAnsiTheme="minorHAnsi" w:cstheme="minorHAnsi"/>
        </w:rPr>
        <w:t>depth 6-8m) during the October sampling period. The results also suggest that groundwater</w:t>
      </w:r>
      <w:r w:rsidRPr="00747E35" w:rsidDel="00D8571B">
        <w:rPr>
          <w:rFonts w:asciiTheme="minorHAnsi" w:hAnsiTheme="minorHAnsi" w:cstheme="minorHAnsi"/>
        </w:rPr>
        <w:t xml:space="preserve"> </w:t>
      </w:r>
      <w:r w:rsidRPr="00747E35">
        <w:rPr>
          <w:rFonts w:asciiTheme="minorHAnsi" w:hAnsiTheme="minorHAnsi" w:cstheme="minorHAnsi"/>
        </w:rPr>
        <w:t>is likely to make up some part of the water obtained for most of the year in three of the four landscape positions with relatively shallow groundwater.  Although mixing model results suggest that there is some groundwater</w:t>
      </w:r>
      <w:r w:rsidRPr="00747E35" w:rsidDel="00D8571B">
        <w:rPr>
          <w:rFonts w:asciiTheme="minorHAnsi" w:hAnsiTheme="minorHAnsi" w:cstheme="minorHAnsi"/>
        </w:rPr>
        <w:t xml:space="preserve"> </w:t>
      </w:r>
      <w:r w:rsidRPr="00747E35">
        <w:rPr>
          <w:rFonts w:asciiTheme="minorHAnsi" w:hAnsiTheme="minorHAnsi" w:cstheme="minorHAnsi"/>
        </w:rPr>
        <w:t>use by trees in the intermittent floodplain site, this is unlikely given the depth of groundwater</w:t>
      </w:r>
      <w:r w:rsidRPr="00747E35" w:rsidDel="00D8571B">
        <w:rPr>
          <w:rFonts w:asciiTheme="minorHAnsi" w:hAnsiTheme="minorHAnsi" w:cstheme="minorHAnsi"/>
        </w:rPr>
        <w:t xml:space="preserve"> </w:t>
      </w:r>
      <w:r w:rsidRPr="00747E35">
        <w:rPr>
          <w:rFonts w:asciiTheme="minorHAnsi" w:hAnsiTheme="minorHAnsi" w:cstheme="minorHAnsi"/>
        </w:rPr>
        <w:t>(&gt;18 m) and the dendrometer data. Groundwater samples were not taken at precisely the same times as leaf samples, but groundwater</w:t>
      </w:r>
      <w:r w:rsidRPr="00747E35" w:rsidDel="00D8571B">
        <w:rPr>
          <w:rFonts w:asciiTheme="minorHAnsi" w:hAnsiTheme="minorHAnsi" w:cstheme="minorHAnsi"/>
        </w:rPr>
        <w:t xml:space="preserve"> </w:t>
      </w:r>
      <w:r w:rsidRPr="00747E35">
        <w:rPr>
          <w:rFonts w:asciiTheme="minorHAnsi" w:hAnsiTheme="minorHAnsi" w:cstheme="minorHAnsi"/>
        </w:rPr>
        <w:t>isotope signatures did not vary greatly, compared with leaf and soil water values, over the study period at Maules Creek.  Groundwater isotope values were also similar to perennial pool water, indicating that evaporation from the pool water is rapidly replaced by groundwater</w:t>
      </w:r>
      <w:r w:rsidRPr="00747E35" w:rsidDel="00D8571B">
        <w:rPr>
          <w:rFonts w:asciiTheme="minorHAnsi" w:hAnsiTheme="minorHAnsi" w:cstheme="minorHAnsi"/>
        </w:rPr>
        <w:t xml:space="preserve"> </w:t>
      </w:r>
      <w:r w:rsidRPr="00747E35">
        <w:rPr>
          <w:rFonts w:asciiTheme="minorHAnsi" w:hAnsiTheme="minorHAnsi" w:cstheme="minorHAnsi"/>
        </w:rPr>
        <w:t xml:space="preserve">inflow.  </w:t>
      </w:r>
    </w:p>
    <w:p w14:paraId="0D2308BD" w14:textId="6E65C48C"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We also matched leaf water </w:t>
      </w:r>
      <w:r w:rsidRPr="00747E35">
        <w:rPr>
          <w:rFonts w:asciiTheme="minorHAnsi" w:hAnsiTheme="minorHAnsi" w:cstheme="minorHAnsi"/>
          <w:i/>
          <w:iCs/>
        </w:rPr>
        <w:t>δ</w:t>
      </w:r>
      <w:r w:rsidRPr="00747E35">
        <w:rPr>
          <w:rFonts w:asciiTheme="minorHAnsi" w:hAnsiTheme="minorHAnsi" w:cstheme="minorHAnsi"/>
          <w:vertAlign w:val="superscript"/>
        </w:rPr>
        <w:t>18</w:t>
      </w:r>
      <w:r w:rsidRPr="00747E35">
        <w:rPr>
          <w:rFonts w:asciiTheme="minorHAnsi" w:hAnsiTheme="minorHAnsi" w:cstheme="minorHAnsi"/>
        </w:rPr>
        <w:t>O values with maximum daily stem expansion from dendrometer readings for the surveyed trees at each sampling time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_Ref466191710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22</w:t>
      </w:r>
      <w:r w:rsidRPr="00747E35">
        <w:rPr>
          <w:rFonts w:asciiTheme="minorHAnsi" w:hAnsiTheme="minorHAnsi" w:cstheme="minorHAnsi"/>
        </w:rPr>
        <w:fldChar w:fldCharType="end"/>
      </w:r>
      <w:r w:rsidRPr="00747E35">
        <w:rPr>
          <w:rFonts w:asciiTheme="minorHAnsi" w:hAnsiTheme="minorHAnsi" w:cstheme="minorHAnsi"/>
        </w:rPr>
        <w:t>). The measurement of the diel maximum stem expansion gives an indication of the level of hydration of the tree for a given 24-hr period so that we can assess the relationship of tree hydration with tree water isotope values.  For all landscape positions, diel maximum stem expansion, as a measure of tree hydration, showed highest values in June (winter) and lowest values in March (late summer).  Riparian trees adjacent to the perennial pool showed the highest stem expansion across all dates and expansion was higher in March than June at the other sites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_Ref466191669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21</w:t>
      </w:r>
      <w:r w:rsidRPr="00747E35">
        <w:rPr>
          <w:rFonts w:asciiTheme="minorHAnsi" w:hAnsiTheme="minorHAnsi" w:cstheme="minorHAnsi"/>
        </w:rPr>
        <w:fldChar w:fldCharType="end"/>
      </w:r>
      <w:r w:rsidRPr="00747E35">
        <w:rPr>
          <w:rFonts w:asciiTheme="minorHAnsi" w:hAnsiTheme="minorHAnsi" w:cstheme="minorHAnsi"/>
        </w:rPr>
        <w:t xml:space="preserve">). Seasonal changes in water source availability that produced enriched </w:t>
      </w:r>
      <w:r w:rsidRPr="00747E35">
        <w:rPr>
          <w:rFonts w:asciiTheme="minorHAnsi" w:hAnsiTheme="minorHAnsi" w:cstheme="minorHAnsi"/>
          <w:i/>
          <w:iCs/>
        </w:rPr>
        <w:t>δ</w:t>
      </w:r>
      <w:r w:rsidRPr="00747E35">
        <w:rPr>
          <w:rFonts w:asciiTheme="minorHAnsi" w:hAnsiTheme="minorHAnsi" w:cstheme="minorHAnsi"/>
          <w:vertAlign w:val="superscript"/>
        </w:rPr>
        <w:t>18</w:t>
      </w:r>
      <w:r w:rsidRPr="00747E35">
        <w:rPr>
          <w:rFonts w:asciiTheme="minorHAnsi" w:hAnsiTheme="minorHAnsi" w:cstheme="minorHAnsi"/>
        </w:rPr>
        <w:t xml:space="preserve">O values of the plant water were generally accompanied by higher maximum stem expansion values for all landscape positions.  For all sites, leaf water </w:t>
      </w:r>
      <w:r w:rsidRPr="00747E35">
        <w:rPr>
          <w:rFonts w:asciiTheme="minorHAnsi" w:hAnsiTheme="minorHAnsi" w:cstheme="minorHAnsi"/>
          <w:i/>
          <w:iCs/>
        </w:rPr>
        <w:t>δ</w:t>
      </w:r>
      <w:r w:rsidRPr="00747E35">
        <w:rPr>
          <w:rFonts w:asciiTheme="minorHAnsi" w:hAnsiTheme="minorHAnsi" w:cstheme="minorHAnsi"/>
          <w:vertAlign w:val="superscript"/>
        </w:rPr>
        <w:t>18</w:t>
      </w:r>
      <w:r w:rsidRPr="00747E35">
        <w:rPr>
          <w:rFonts w:asciiTheme="minorHAnsi" w:hAnsiTheme="minorHAnsi" w:cstheme="minorHAnsi"/>
        </w:rPr>
        <w:t xml:space="preserve">O values were significantly enriched (higher) in March than at the other sampling times and maximum diel stem expansion was significantly greater in June and for perennial sites compared with intermittent sites.  </w:t>
      </w:r>
    </w:p>
    <w:p w14:paraId="1412F64E" w14:textId="77777777" w:rsidR="003D3694" w:rsidRPr="00747E35" w:rsidRDefault="003D3694" w:rsidP="003D3694">
      <w:pPr>
        <w:rPr>
          <w:rFonts w:asciiTheme="minorHAnsi" w:hAnsiTheme="minorHAnsi" w:cstheme="minorHAnsi"/>
        </w:rPr>
      </w:pPr>
    </w:p>
    <w:p w14:paraId="367FD84B"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58" w:name="_Ref466191567"/>
      <w:r w:rsidRPr="00747E35">
        <w:rPr>
          <w:rFonts w:asciiTheme="minorHAnsi" w:hAnsiTheme="minorHAnsi" w:cstheme="minorHAnsi"/>
          <w:i/>
          <w:color w:val="5B9BD5" w:themeColor="accent1"/>
          <w:sz w:val="20"/>
          <w:szCs w:val="20"/>
        </w:rPr>
        <w:t xml:space="preserve">Table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Table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8</w:t>
      </w:r>
      <w:r w:rsidRPr="00747E35">
        <w:rPr>
          <w:rFonts w:asciiTheme="minorHAnsi" w:hAnsiTheme="minorHAnsi" w:cstheme="minorHAnsi"/>
          <w:i/>
          <w:noProof/>
          <w:color w:val="5B9BD5" w:themeColor="accent1"/>
          <w:sz w:val="20"/>
          <w:szCs w:val="20"/>
        </w:rPr>
        <w:fldChar w:fldCharType="end"/>
      </w:r>
      <w:bookmarkEnd w:id="58"/>
      <w:r w:rsidRPr="00747E35">
        <w:rPr>
          <w:rFonts w:asciiTheme="minorHAnsi" w:hAnsiTheme="minorHAnsi" w:cstheme="minorHAnsi"/>
          <w:i/>
          <w:color w:val="5B9BD5" w:themeColor="accent1"/>
          <w:sz w:val="20"/>
          <w:szCs w:val="20"/>
        </w:rPr>
        <w:t>: Statistics for the dendrometer traces of trees in each landscape position showing average tree responses to different rainfall patterns including storm event</w:t>
      </w:r>
      <w:r w:rsidRPr="00747E35">
        <w:rPr>
          <w:rFonts w:asciiTheme="minorHAnsi" w:hAnsiTheme="minorHAnsi" w:cstheme="minorHAnsi"/>
          <w:i/>
          <w:color w:val="5B9BD5" w:themeColor="accent1"/>
          <w:sz w:val="20"/>
          <w:szCs w:val="20"/>
          <w:vertAlign w:val="superscript"/>
        </w:rPr>
        <w:t>1</w:t>
      </w:r>
      <w:r w:rsidRPr="00747E35">
        <w:rPr>
          <w:rFonts w:asciiTheme="minorHAnsi" w:hAnsiTheme="minorHAnsi" w:cstheme="minorHAnsi"/>
          <w:i/>
          <w:color w:val="5B9BD5" w:themeColor="accent1"/>
          <w:sz w:val="20"/>
          <w:szCs w:val="20"/>
        </w:rPr>
        <w:t>, period of frequent rainfall</w:t>
      </w:r>
      <w:r w:rsidRPr="00747E35">
        <w:rPr>
          <w:rFonts w:asciiTheme="minorHAnsi" w:hAnsiTheme="minorHAnsi" w:cstheme="minorHAnsi"/>
          <w:i/>
          <w:color w:val="5B9BD5" w:themeColor="accent1"/>
          <w:sz w:val="20"/>
          <w:szCs w:val="20"/>
          <w:vertAlign w:val="superscript"/>
        </w:rPr>
        <w:t>2</w:t>
      </w:r>
      <w:r w:rsidRPr="00747E35">
        <w:rPr>
          <w:rFonts w:asciiTheme="minorHAnsi" w:hAnsiTheme="minorHAnsi" w:cstheme="minorHAnsi"/>
          <w:i/>
          <w:color w:val="5B9BD5" w:themeColor="accent1"/>
          <w:sz w:val="20"/>
          <w:szCs w:val="20"/>
        </w:rPr>
        <w:t>, and period of drought</w:t>
      </w:r>
      <w:r w:rsidRPr="00747E35">
        <w:rPr>
          <w:rFonts w:asciiTheme="minorHAnsi" w:hAnsiTheme="minorHAnsi" w:cstheme="minorHAnsi"/>
          <w:i/>
          <w:color w:val="5B9BD5" w:themeColor="accent1"/>
          <w:sz w:val="20"/>
          <w:szCs w:val="20"/>
          <w:vertAlign w:val="superscript"/>
        </w:rPr>
        <w:t>3</w:t>
      </w:r>
      <w:r w:rsidRPr="00747E35">
        <w:rPr>
          <w:rFonts w:asciiTheme="minorHAnsi" w:hAnsiTheme="minorHAnsi" w:cstheme="minorHAnsi"/>
          <w:i/>
          <w:color w:val="5B9BD5" w:themeColor="accent1"/>
          <w:sz w:val="20"/>
          <w:szCs w:val="20"/>
        </w:rPr>
        <w:t>.  Also shown is the average growth increment</w:t>
      </w:r>
      <w:r w:rsidRPr="00747E35">
        <w:rPr>
          <w:rFonts w:asciiTheme="minorHAnsi" w:hAnsiTheme="minorHAnsi" w:cstheme="minorHAnsi"/>
          <w:i/>
          <w:color w:val="5B9BD5" w:themeColor="accent1"/>
          <w:sz w:val="20"/>
          <w:szCs w:val="20"/>
          <w:vertAlign w:val="superscript"/>
        </w:rPr>
        <w:t>4</w:t>
      </w:r>
      <w:r w:rsidRPr="00747E35">
        <w:rPr>
          <w:rFonts w:asciiTheme="minorHAnsi" w:hAnsiTheme="minorHAnsi" w:cstheme="minorHAnsi"/>
          <w:i/>
          <w:color w:val="5B9BD5" w:themeColor="accent1"/>
          <w:sz w:val="20"/>
          <w:szCs w:val="20"/>
        </w:rPr>
        <w:t xml:space="preserve"> for the study period and average daily rate</w:t>
      </w:r>
      <w:r w:rsidRPr="00747E35">
        <w:rPr>
          <w:rFonts w:asciiTheme="minorHAnsi" w:hAnsiTheme="minorHAnsi" w:cstheme="minorHAnsi"/>
          <w:i/>
          <w:color w:val="5B9BD5" w:themeColor="accent1"/>
          <w:sz w:val="20"/>
          <w:szCs w:val="20"/>
          <w:vertAlign w:val="superscript"/>
        </w:rPr>
        <w:t>5</w:t>
      </w:r>
      <w:r w:rsidRPr="00747E35">
        <w:rPr>
          <w:rFonts w:asciiTheme="minorHAnsi" w:hAnsiTheme="minorHAnsi" w:cstheme="minorHAnsi"/>
          <w:i/>
          <w:color w:val="5B9BD5" w:themeColor="accent1"/>
          <w:sz w:val="20"/>
          <w:szCs w:val="20"/>
        </w:rPr>
        <w:t xml:space="preserve"> for each landscape position at Maules Creek. </w:t>
      </w:r>
    </w:p>
    <w:tbl>
      <w:tblPr>
        <w:tblStyle w:val="TableGrid2"/>
        <w:tblW w:w="9322" w:type="dxa"/>
        <w:tblLayout w:type="fixed"/>
        <w:tblLook w:val="04A0" w:firstRow="1" w:lastRow="0" w:firstColumn="1" w:lastColumn="0" w:noHBand="0" w:noVBand="1"/>
      </w:tblPr>
      <w:tblGrid>
        <w:gridCol w:w="1119"/>
        <w:gridCol w:w="1088"/>
        <w:gridCol w:w="1088"/>
        <w:gridCol w:w="1098"/>
        <w:gridCol w:w="879"/>
        <w:gridCol w:w="849"/>
        <w:gridCol w:w="932"/>
        <w:gridCol w:w="1165"/>
        <w:gridCol w:w="1104"/>
      </w:tblGrid>
      <w:tr w:rsidR="003D3694" w:rsidRPr="00747E35" w14:paraId="197FE976" w14:textId="77777777" w:rsidTr="00B004E4">
        <w:trPr>
          <w:tblHeader/>
        </w:trPr>
        <w:tc>
          <w:tcPr>
            <w:tcW w:w="1119" w:type="dxa"/>
            <w:shd w:val="clear" w:color="auto" w:fill="DEEAF6" w:themeFill="accent1" w:themeFillTint="33"/>
          </w:tcPr>
          <w:p w14:paraId="6199736F"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Location</w:t>
            </w:r>
          </w:p>
        </w:tc>
        <w:tc>
          <w:tcPr>
            <w:tcW w:w="1088" w:type="dxa"/>
            <w:shd w:val="clear" w:color="auto" w:fill="DEEAF6" w:themeFill="accent1" w:themeFillTint="33"/>
          </w:tcPr>
          <w:p w14:paraId="56EE6062" w14:textId="77777777" w:rsidR="003D3694" w:rsidRPr="00747E35" w:rsidRDefault="003D3694" w:rsidP="0096743A">
            <w:pPr>
              <w:autoSpaceDE/>
              <w:autoSpaceDN/>
              <w:spacing w:after="0"/>
              <w:rPr>
                <w:rFonts w:asciiTheme="minorHAnsi" w:eastAsia="Times New Roman" w:hAnsiTheme="minorHAnsi" w:cstheme="minorHAnsi"/>
                <w:sz w:val="20"/>
                <w:szCs w:val="20"/>
                <w:vertAlign w:val="superscript"/>
                <w:lang w:val="en-AU" w:eastAsia="en-AU"/>
              </w:rPr>
            </w:pPr>
            <w:r w:rsidRPr="00747E35">
              <w:rPr>
                <w:rFonts w:asciiTheme="minorHAnsi" w:eastAsia="Times New Roman" w:hAnsiTheme="minorHAnsi" w:cstheme="minorHAnsi"/>
                <w:sz w:val="20"/>
                <w:szCs w:val="20"/>
                <w:lang w:val="en-AU" w:eastAsia="en-AU"/>
              </w:rPr>
              <w:t>Response slope</w:t>
            </w:r>
            <w:r w:rsidRPr="00747E35">
              <w:rPr>
                <w:rFonts w:asciiTheme="minorHAnsi" w:eastAsia="Times New Roman" w:hAnsiTheme="minorHAnsi" w:cstheme="minorHAnsi"/>
                <w:sz w:val="20"/>
                <w:szCs w:val="20"/>
                <w:vertAlign w:val="superscript"/>
                <w:lang w:val="en-AU" w:eastAsia="en-AU"/>
              </w:rPr>
              <w:t>1</w:t>
            </w:r>
          </w:p>
        </w:tc>
        <w:tc>
          <w:tcPr>
            <w:tcW w:w="1088" w:type="dxa"/>
            <w:shd w:val="clear" w:color="auto" w:fill="DEEAF6" w:themeFill="accent1" w:themeFillTint="33"/>
          </w:tcPr>
          <w:p w14:paraId="11F4817F"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Response max.</w:t>
            </w:r>
            <w:r w:rsidRPr="00747E35">
              <w:rPr>
                <w:rFonts w:asciiTheme="minorHAnsi" w:eastAsia="Times New Roman" w:hAnsiTheme="minorHAnsi" w:cstheme="minorHAnsi"/>
                <w:sz w:val="20"/>
                <w:szCs w:val="20"/>
                <w:vertAlign w:val="superscript"/>
                <w:lang w:val="en-AU" w:eastAsia="en-AU"/>
              </w:rPr>
              <w:t xml:space="preserve">1 </w:t>
            </w:r>
            <w:r w:rsidRPr="00747E35">
              <w:rPr>
                <w:rFonts w:asciiTheme="minorHAnsi" w:eastAsia="Times New Roman" w:hAnsiTheme="minorHAnsi" w:cstheme="minorHAnsi"/>
                <w:sz w:val="20"/>
                <w:szCs w:val="20"/>
                <w:lang w:val="en-AU" w:eastAsia="en-AU"/>
              </w:rPr>
              <w:t>(mm/day)</w:t>
            </w:r>
          </w:p>
        </w:tc>
        <w:tc>
          <w:tcPr>
            <w:tcW w:w="1098" w:type="dxa"/>
            <w:shd w:val="clear" w:color="auto" w:fill="DEEAF6" w:themeFill="accent1" w:themeFillTint="33"/>
          </w:tcPr>
          <w:p w14:paraId="6C189C35"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Period of response</w:t>
            </w:r>
            <w:r w:rsidRPr="00747E35">
              <w:rPr>
                <w:rFonts w:asciiTheme="minorHAnsi" w:eastAsia="Times New Roman" w:hAnsiTheme="minorHAnsi" w:cstheme="minorHAnsi"/>
                <w:sz w:val="20"/>
                <w:szCs w:val="20"/>
                <w:vertAlign w:val="superscript"/>
                <w:lang w:val="en-AU" w:eastAsia="en-AU"/>
              </w:rPr>
              <w:t xml:space="preserve">1 </w:t>
            </w:r>
            <w:r w:rsidRPr="00747E35">
              <w:rPr>
                <w:rFonts w:asciiTheme="minorHAnsi" w:eastAsia="Times New Roman" w:hAnsiTheme="minorHAnsi" w:cstheme="minorHAnsi"/>
                <w:sz w:val="20"/>
                <w:szCs w:val="20"/>
                <w:lang w:val="en-AU" w:eastAsia="en-AU"/>
              </w:rPr>
              <w:t>(days)</w:t>
            </w:r>
          </w:p>
        </w:tc>
        <w:tc>
          <w:tcPr>
            <w:tcW w:w="879" w:type="dxa"/>
            <w:shd w:val="clear" w:color="auto" w:fill="DEEAF6" w:themeFill="accent1" w:themeFillTint="33"/>
          </w:tcPr>
          <w:p w14:paraId="072D8A81" w14:textId="77777777" w:rsidR="003D3694" w:rsidRPr="00747E35" w:rsidRDefault="003D3694" w:rsidP="0096743A">
            <w:pPr>
              <w:autoSpaceDE/>
              <w:autoSpaceDN/>
              <w:spacing w:after="0"/>
              <w:rPr>
                <w:rFonts w:asciiTheme="minorHAnsi" w:eastAsia="Times New Roman" w:hAnsiTheme="minorHAnsi" w:cstheme="minorHAnsi"/>
                <w:sz w:val="20"/>
                <w:szCs w:val="20"/>
                <w:vertAlign w:val="superscript"/>
                <w:lang w:val="en-AU" w:eastAsia="en-AU"/>
              </w:rPr>
            </w:pPr>
            <w:r w:rsidRPr="00747E35">
              <w:rPr>
                <w:rFonts w:asciiTheme="minorHAnsi" w:eastAsia="Times New Roman" w:hAnsiTheme="minorHAnsi" w:cstheme="minorHAnsi"/>
                <w:sz w:val="20"/>
                <w:szCs w:val="20"/>
                <w:lang w:val="en-AU" w:eastAsia="en-AU"/>
              </w:rPr>
              <w:t>Decline slope</w:t>
            </w:r>
            <w:r w:rsidRPr="00747E35">
              <w:rPr>
                <w:rFonts w:asciiTheme="minorHAnsi" w:eastAsia="Times New Roman" w:hAnsiTheme="minorHAnsi" w:cstheme="minorHAnsi"/>
                <w:sz w:val="20"/>
                <w:szCs w:val="20"/>
                <w:vertAlign w:val="superscript"/>
                <w:lang w:val="en-AU" w:eastAsia="en-AU"/>
              </w:rPr>
              <w:t>1</w:t>
            </w:r>
          </w:p>
        </w:tc>
        <w:tc>
          <w:tcPr>
            <w:tcW w:w="849" w:type="dxa"/>
            <w:shd w:val="clear" w:color="auto" w:fill="DEEAF6" w:themeFill="accent1" w:themeFillTint="33"/>
          </w:tcPr>
          <w:p w14:paraId="7927240B" w14:textId="77777777" w:rsidR="003D3694" w:rsidRPr="00747E35" w:rsidRDefault="003D3694" w:rsidP="0096743A">
            <w:pPr>
              <w:autoSpaceDE/>
              <w:autoSpaceDN/>
              <w:spacing w:after="0"/>
              <w:rPr>
                <w:rFonts w:asciiTheme="minorHAnsi" w:eastAsia="Times New Roman" w:hAnsiTheme="minorHAnsi" w:cstheme="minorHAnsi"/>
                <w:sz w:val="20"/>
                <w:szCs w:val="20"/>
                <w:vertAlign w:val="superscript"/>
                <w:lang w:val="en-AU" w:eastAsia="en-AU"/>
              </w:rPr>
            </w:pPr>
            <w:r w:rsidRPr="00747E35">
              <w:rPr>
                <w:rFonts w:asciiTheme="minorHAnsi" w:eastAsia="Times New Roman" w:hAnsiTheme="minorHAnsi" w:cstheme="minorHAnsi"/>
                <w:sz w:val="20"/>
                <w:szCs w:val="20"/>
                <w:lang w:val="en-AU" w:eastAsia="en-AU"/>
              </w:rPr>
              <w:t>Std Dev. for rain period</w:t>
            </w:r>
            <w:r w:rsidRPr="00747E35">
              <w:rPr>
                <w:rFonts w:asciiTheme="minorHAnsi" w:eastAsia="Times New Roman" w:hAnsiTheme="minorHAnsi" w:cstheme="minorHAnsi"/>
                <w:sz w:val="20"/>
                <w:szCs w:val="20"/>
                <w:vertAlign w:val="superscript"/>
                <w:lang w:val="en-AU" w:eastAsia="en-AU"/>
              </w:rPr>
              <w:t>2</w:t>
            </w:r>
          </w:p>
        </w:tc>
        <w:tc>
          <w:tcPr>
            <w:tcW w:w="932" w:type="dxa"/>
            <w:shd w:val="clear" w:color="auto" w:fill="DEEAF6" w:themeFill="accent1" w:themeFillTint="33"/>
          </w:tcPr>
          <w:p w14:paraId="6D9EA823" w14:textId="77777777" w:rsidR="003D3694" w:rsidRPr="00747E35" w:rsidRDefault="003D3694" w:rsidP="0096743A">
            <w:pPr>
              <w:autoSpaceDE/>
              <w:autoSpaceDN/>
              <w:spacing w:after="0"/>
              <w:rPr>
                <w:rFonts w:asciiTheme="minorHAnsi" w:eastAsia="Times New Roman" w:hAnsiTheme="minorHAnsi" w:cstheme="minorHAnsi"/>
                <w:sz w:val="20"/>
                <w:szCs w:val="20"/>
                <w:vertAlign w:val="superscript"/>
                <w:lang w:val="en-AU" w:eastAsia="en-AU"/>
              </w:rPr>
            </w:pPr>
            <w:r w:rsidRPr="00747E35">
              <w:rPr>
                <w:rFonts w:asciiTheme="minorHAnsi" w:eastAsia="Times New Roman" w:hAnsiTheme="minorHAnsi" w:cstheme="minorHAnsi"/>
                <w:sz w:val="20"/>
                <w:szCs w:val="20"/>
                <w:lang w:val="en-AU" w:eastAsia="en-AU"/>
              </w:rPr>
              <w:t>Drought slope</w:t>
            </w:r>
            <w:r w:rsidRPr="00747E35">
              <w:rPr>
                <w:rFonts w:asciiTheme="minorHAnsi" w:eastAsia="Times New Roman" w:hAnsiTheme="minorHAnsi" w:cstheme="minorHAnsi"/>
                <w:sz w:val="20"/>
                <w:szCs w:val="20"/>
                <w:vertAlign w:val="superscript"/>
                <w:lang w:val="en-AU" w:eastAsia="en-AU"/>
              </w:rPr>
              <w:t>3</w:t>
            </w:r>
          </w:p>
        </w:tc>
        <w:tc>
          <w:tcPr>
            <w:tcW w:w="1165" w:type="dxa"/>
            <w:shd w:val="clear" w:color="auto" w:fill="DEEAF6" w:themeFill="accent1" w:themeFillTint="33"/>
          </w:tcPr>
          <w:p w14:paraId="7AA54783" w14:textId="77777777" w:rsidR="003D3694" w:rsidRPr="00747E35" w:rsidRDefault="003D3694" w:rsidP="0096743A">
            <w:pPr>
              <w:autoSpaceDE/>
              <w:autoSpaceDN/>
              <w:spacing w:after="0"/>
              <w:rPr>
                <w:rFonts w:asciiTheme="minorHAnsi" w:eastAsia="Times New Roman" w:hAnsiTheme="minorHAnsi" w:cstheme="minorHAnsi"/>
                <w:sz w:val="20"/>
                <w:szCs w:val="20"/>
                <w:vertAlign w:val="superscript"/>
                <w:lang w:val="en-AU" w:eastAsia="en-AU"/>
              </w:rPr>
            </w:pPr>
            <w:r w:rsidRPr="00747E35">
              <w:rPr>
                <w:rFonts w:asciiTheme="minorHAnsi" w:eastAsia="Times New Roman" w:hAnsiTheme="minorHAnsi" w:cstheme="minorHAnsi"/>
                <w:sz w:val="20"/>
                <w:szCs w:val="20"/>
                <w:lang w:val="en-AU" w:eastAsia="en-AU"/>
              </w:rPr>
              <w:t>Increment (mm/year)</w:t>
            </w:r>
            <w:r w:rsidRPr="00747E35">
              <w:rPr>
                <w:rFonts w:asciiTheme="minorHAnsi" w:eastAsia="Times New Roman" w:hAnsiTheme="minorHAnsi" w:cstheme="minorHAnsi"/>
                <w:sz w:val="20"/>
                <w:szCs w:val="20"/>
                <w:vertAlign w:val="superscript"/>
                <w:lang w:val="en-AU" w:eastAsia="en-AU"/>
              </w:rPr>
              <w:t>4</w:t>
            </w:r>
          </w:p>
        </w:tc>
        <w:tc>
          <w:tcPr>
            <w:tcW w:w="1104" w:type="dxa"/>
            <w:shd w:val="clear" w:color="auto" w:fill="DEEAF6" w:themeFill="accent1" w:themeFillTint="33"/>
          </w:tcPr>
          <w:p w14:paraId="31B57616" w14:textId="77777777" w:rsidR="003D3694" w:rsidRPr="00747E35" w:rsidRDefault="003D3694" w:rsidP="0096743A">
            <w:pPr>
              <w:autoSpaceDE/>
              <w:autoSpaceDN/>
              <w:spacing w:after="0"/>
              <w:rPr>
                <w:rFonts w:asciiTheme="minorHAnsi" w:eastAsia="Times New Roman" w:hAnsiTheme="minorHAnsi" w:cstheme="minorHAnsi"/>
                <w:sz w:val="20"/>
                <w:szCs w:val="20"/>
                <w:vertAlign w:val="superscript"/>
                <w:lang w:val="en-AU" w:eastAsia="en-AU"/>
              </w:rPr>
            </w:pPr>
            <w:r w:rsidRPr="00747E35">
              <w:rPr>
                <w:rFonts w:asciiTheme="minorHAnsi" w:eastAsia="Times New Roman" w:hAnsiTheme="minorHAnsi" w:cstheme="minorHAnsi"/>
                <w:sz w:val="20"/>
                <w:szCs w:val="20"/>
                <w:lang w:val="en-AU" w:eastAsia="en-AU"/>
              </w:rPr>
              <w:t>Rate (mm/day)</w:t>
            </w:r>
            <w:r w:rsidRPr="00747E35">
              <w:rPr>
                <w:rFonts w:asciiTheme="minorHAnsi" w:eastAsia="Times New Roman" w:hAnsiTheme="minorHAnsi" w:cstheme="minorHAnsi"/>
                <w:sz w:val="20"/>
                <w:szCs w:val="20"/>
                <w:vertAlign w:val="superscript"/>
                <w:lang w:val="en-AU" w:eastAsia="en-AU"/>
              </w:rPr>
              <w:t>5</w:t>
            </w:r>
          </w:p>
        </w:tc>
      </w:tr>
      <w:tr w:rsidR="003D3694" w:rsidRPr="00747E35" w14:paraId="410BECF2" w14:textId="77777777" w:rsidTr="0096743A">
        <w:tc>
          <w:tcPr>
            <w:tcW w:w="1119" w:type="dxa"/>
          </w:tcPr>
          <w:p w14:paraId="5B2C019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Riparian Perennial</w:t>
            </w:r>
          </w:p>
        </w:tc>
        <w:tc>
          <w:tcPr>
            <w:tcW w:w="1088" w:type="dxa"/>
          </w:tcPr>
          <w:p w14:paraId="4245369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0.087</w:t>
            </w:r>
          </w:p>
        </w:tc>
        <w:tc>
          <w:tcPr>
            <w:tcW w:w="1088" w:type="dxa"/>
          </w:tcPr>
          <w:p w14:paraId="744C6F6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0.85</w:t>
            </w:r>
          </w:p>
        </w:tc>
        <w:tc>
          <w:tcPr>
            <w:tcW w:w="1098" w:type="dxa"/>
          </w:tcPr>
          <w:p w14:paraId="335A00B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18</w:t>
            </w:r>
          </w:p>
        </w:tc>
        <w:tc>
          <w:tcPr>
            <w:tcW w:w="879" w:type="dxa"/>
          </w:tcPr>
          <w:p w14:paraId="1ED9EE3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-0.027</w:t>
            </w:r>
          </w:p>
        </w:tc>
        <w:tc>
          <w:tcPr>
            <w:tcW w:w="849" w:type="dxa"/>
          </w:tcPr>
          <w:p w14:paraId="2994218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0.184</w:t>
            </w:r>
          </w:p>
        </w:tc>
        <w:tc>
          <w:tcPr>
            <w:tcW w:w="932" w:type="dxa"/>
          </w:tcPr>
          <w:p w14:paraId="32D7DDD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0.0003</w:t>
            </w:r>
          </w:p>
        </w:tc>
        <w:tc>
          <w:tcPr>
            <w:tcW w:w="1165" w:type="dxa"/>
          </w:tcPr>
          <w:p w14:paraId="1E663CC0"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8.4</w:t>
            </w:r>
          </w:p>
        </w:tc>
        <w:tc>
          <w:tcPr>
            <w:tcW w:w="1104" w:type="dxa"/>
          </w:tcPr>
          <w:p w14:paraId="53355BB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0.024</w:t>
            </w:r>
          </w:p>
        </w:tc>
      </w:tr>
      <w:tr w:rsidR="003D3694" w:rsidRPr="00747E35" w14:paraId="77DA31B9" w14:textId="77777777" w:rsidTr="0096743A">
        <w:tc>
          <w:tcPr>
            <w:tcW w:w="1119" w:type="dxa"/>
          </w:tcPr>
          <w:p w14:paraId="018DD09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Floodplain Perennial</w:t>
            </w:r>
          </w:p>
        </w:tc>
        <w:tc>
          <w:tcPr>
            <w:tcW w:w="1088" w:type="dxa"/>
          </w:tcPr>
          <w:p w14:paraId="3888E290"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0.258</w:t>
            </w:r>
          </w:p>
        </w:tc>
        <w:tc>
          <w:tcPr>
            <w:tcW w:w="1088" w:type="dxa"/>
          </w:tcPr>
          <w:p w14:paraId="76688BB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1.4</w:t>
            </w:r>
          </w:p>
        </w:tc>
        <w:tc>
          <w:tcPr>
            <w:tcW w:w="1098" w:type="dxa"/>
          </w:tcPr>
          <w:p w14:paraId="23C6171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16</w:t>
            </w:r>
          </w:p>
        </w:tc>
        <w:tc>
          <w:tcPr>
            <w:tcW w:w="879" w:type="dxa"/>
          </w:tcPr>
          <w:p w14:paraId="0170E58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-0.118</w:t>
            </w:r>
          </w:p>
        </w:tc>
        <w:tc>
          <w:tcPr>
            <w:tcW w:w="849" w:type="dxa"/>
          </w:tcPr>
          <w:p w14:paraId="63228F3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0.278</w:t>
            </w:r>
          </w:p>
        </w:tc>
        <w:tc>
          <w:tcPr>
            <w:tcW w:w="932" w:type="dxa"/>
          </w:tcPr>
          <w:p w14:paraId="3FDDE22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-0.017</w:t>
            </w:r>
          </w:p>
        </w:tc>
        <w:tc>
          <w:tcPr>
            <w:tcW w:w="1165" w:type="dxa"/>
          </w:tcPr>
          <w:p w14:paraId="3E3A43B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4.1</w:t>
            </w:r>
          </w:p>
        </w:tc>
        <w:tc>
          <w:tcPr>
            <w:tcW w:w="1104" w:type="dxa"/>
          </w:tcPr>
          <w:p w14:paraId="5C45ABB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0.012</w:t>
            </w:r>
          </w:p>
        </w:tc>
      </w:tr>
      <w:tr w:rsidR="003D3694" w:rsidRPr="00747E35" w14:paraId="1293D3C5" w14:textId="77777777" w:rsidTr="0096743A">
        <w:tc>
          <w:tcPr>
            <w:tcW w:w="1119" w:type="dxa"/>
          </w:tcPr>
          <w:p w14:paraId="08B26BA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Riparian Intermittent</w:t>
            </w:r>
          </w:p>
        </w:tc>
        <w:tc>
          <w:tcPr>
            <w:tcW w:w="1088" w:type="dxa"/>
          </w:tcPr>
          <w:p w14:paraId="3FD90A23"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0.061</w:t>
            </w:r>
          </w:p>
        </w:tc>
        <w:tc>
          <w:tcPr>
            <w:tcW w:w="1088" w:type="dxa"/>
          </w:tcPr>
          <w:p w14:paraId="0466AF18"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0.33</w:t>
            </w:r>
          </w:p>
        </w:tc>
        <w:tc>
          <w:tcPr>
            <w:tcW w:w="1098" w:type="dxa"/>
          </w:tcPr>
          <w:p w14:paraId="7257DF0B"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9</w:t>
            </w:r>
          </w:p>
        </w:tc>
        <w:tc>
          <w:tcPr>
            <w:tcW w:w="879" w:type="dxa"/>
          </w:tcPr>
          <w:p w14:paraId="3014931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-0.051</w:t>
            </w:r>
          </w:p>
        </w:tc>
        <w:tc>
          <w:tcPr>
            <w:tcW w:w="849" w:type="dxa"/>
          </w:tcPr>
          <w:p w14:paraId="205BE15A"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0.254</w:t>
            </w:r>
          </w:p>
        </w:tc>
        <w:tc>
          <w:tcPr>
            <w:tcW w:w="932" w:type="dxa"/>
          </w:tcPr>
          <w:p w14:paraId="7FE1072B"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-0.021</w:t>
            </w:r>
          </w:p>
        </w:tc>
        <w:tc>
          <w:tcPr>
            <w:tcW w:w="1165" w:type="dxa"/>
          </w:tcPr>
          <w:p w14:paraId="76DCF5C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1.4</w:t>
            </w:r>
          </w:p>
        </w:tc>
        <w:tc>
          <w:tcPr>
            <w:tcW w:w="1104" w:type="dxa"/>
          </w:tcPr>
          <w:p w14:paraId="15CDC88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0.005</w:t>
            </w:r>
          </w:p>
        </w:tc>
      </w:tr>
      <w:tr w:rsidR="003D3694" w:rsidRPr="00747E35" w14:paraId="68D95A64" w14:textId="77777777" w:rsidTr="0096743A">
        <w:tc>
          <w:tcPr>
            <w:tcW w:w="1119" w:type="dxa"/>
          </w:tcPr>
          <w:p w14:paraId="4C2FDA6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Floodplain Intermittent</w:t>
            </w:r>
          </w:p>
        </w:tc>
        <w:tc>
          <w:tcPr>
            <w:tcW w:w="1088" w:type="dxa"/>
          </w:tcPr>
          <w:p w14:paraId="62DB415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0.053</w:t>
            </w:r>
          </w:p>
        </w:tc>
        <w:tc>
          <w:tcPr>
            <w:tcW w:w="1088" w:type="dxa"/>
          </w:tcPr>
          <w:p w14:paraId="10678EB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0.39</w:t>
            </w:r>
          </w:p>
        </w:tc>
        <w:tc>
          <w:tcPr>
            <w:tcW w:w="1098" w:type="dxa"/>
          </w:tcPr>
          <w:p w14:paraId="6FDAB49B"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10</w:t>
            </w:r>
          </w:p>
        </w:tc>
        <w:tc>
          <w:tcPr>
            <w:tcW w:w="879" w:type="dxa"/>
          </w:tcPr>
          <w:p w14:paraId="344F8C0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-0.082</w:t>
            </w:r>
          </w:p>
        </w:tc>
        <w:tc>
          <w:tcPr>
            <w:tcW w:w="849" w:type="dxa"/>
          </w:tcPr>
          <w:p w14:paraId="6ABAD93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0.269</w:t>
            </w:r>
          </w:p>
        </w:tc>
        <w:tc>
          <w:tcPr>
            <w:tcW w:w="932" w:type="dxa"/>
          </w:tcPr>
          <w:p w14:paraId="1D2B8DB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-0.034</w:t>
            </w:r>
          </w:p>
        </w:tc>
        <w:tc>
          <w:tcPr>
            <w:tcW w:w="1165" w:type="dxa"/>
          </w:tcPr>
          <w:p w14:paraId="2AE94A1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-0.2</w:t>
            </w:r>
          </w:p>
        </w:tc>
        <w:tc>
          <w:tcPr>
            <w:tcW w:w="1104" w:type="dxa"/>
          </w:tcPr>
          <w:p w14:paraId="52CBA08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-0.00016</w:t>
            </w:r>
          </w:p>
        </w:tc>
      </w:tr>
    </w:tbl>
    <w:p w14:paraId="756D8CE2" w14:textId="77777777" w:rsidR="003D3694" w:rsidRPr="00747E35" w:rsidRDefault="003D3694" w:rsidP="003D3694">
      <w:pPr>
        <w:rPr>
          <w:rFonts w:asciiTheme="minorHAnsi" w:hAnsiTheme="minorHAnsi" w:cstheme="minorHAnsi"/>
        </w:rPr>
      </w:pPr>
    </w:p>
    <w:p w14:paraId="06C2C326"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59" w:name="_Ref466191632"/>
      <w:r w:rsidRPr="00747E35">
        <w:rPr>
          <w:rFonts w:asciiTheme="minorHAnsi" w:hAnsiTheme="minorHAnsi" w:cstheme="minorHAnsi"/>
          <w:i/>
          <w:color w:val="5B9BD5" w:themeColor="accent1"/>
          <w:sz w:val="20"/>
          <w:szCs w:val="20"/>
        </w:rPr>
        <w:lastRenderedPageBreak/>
        <w:t xml:space="preserve">Table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Table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9</w:t>
      </w:r>
      <w:r w:rsidRPr="00747E35">
        <w:rPr>
          <w:rFonts w:asciiTheme="minorHAnsi" w:hAnsiTheme="minorHAnsi" w:cstheme="minorHAnsi"/>
          <w:i/>
          <w:noProof/>
          <w:color w:val="5B9BD5" w:themeColor="accent1"/>
          <w:sz w:val="20"/>
          <w:szCs w:val="20"/>
        </w:rPr>
        <w:fldChar w:fldCharType="end"/>
      </w:r>
      <w:bookmarkEnd w:id="59"/>
      <w:r w:rsidRPr="00747E35">
        <w:rPr>
          <w:rFonts w:asciiTheme="minorHAnsi" w:hAnsiTheme="minorHAnsi" w:cstheme="minorHAnsi"/>
          <w:i/>
          <w:color w:val="5B9BD5" w:themeColor="accent1"/>
          <w:sz w:val="20"/>
          <w:szCs w:val="20"/>
        </w:rPr>
        <w:t>: Stable Isotopes (</w:t>
      </w:r>
      <w:r w:rsidRPr="00747E35">
        <w:rPr>
          <w:rFonts w:asciiTheme="minorHAnsi" w:hAnsiTheme="minorHAnsi" w:cstheme="minorHAnsi"/>
          <w:i/>
          <w:color w:val="5B9BD5" w:themeColor="accent1"/>
          <w:sz w:val="20"/>
          <w:szCs w:val="20"/>
        </w:rPr>
        <w:sym w:font="Symbol" w:char="F064"/>
      </w:r>
      <w:r w:rsidRPr="00747E35">
        <w:rPr>
          <w:rFonts w:asciiTheme="minorHAnsi" w:hAnsiTheme="minorHAnsi" w:cstheme="minorHAnsi"/>
          <w:i/>
          <w:color w:val="5B9BD5" w:themeColor="accent1"/>
          <w:sz w:val="20"/>
          <w:szCs w:val="20"/>
          <w:vertAlign w:val="superscript"/>
        </w:rPr>
        <w:t>18</w:t>
      </w:r>
      <w:r w:rsidRPr="00747E35">
        <w:rPr>
          <w:rFonts w:asciiTheme="minorHAnsi" w:hAnsiTheme="minorHAnsi" w:cstheme="minorHAnsi"/>
          <w:i/>
          <w:color w:val="5B9BD5" w:themeColor="accent1"/>
          <w:sz w:val="20"/>
          <w:szCs w:val="20"/>
        </w:rPr>
        <w:t xml:space="preserve">O and </w:t>
      </w:r>
      <w:r w:rsidRPr="00747E35">
        <w:rPr>
          <w:rFonts w:asciiTheme="minorHAnsi" w:hAnsiTheme="minorHAnsi" w:cstheme="minorHAnsi"/>
          <w:i/>
          <w:color w:val="5B9BD5" w:themeColor="accent1"/>
          <w:sz w:val="20"/>
          <w:szCs w:val="20"/>
        </w:rPr>
        <w:sym w:font="Symbol" w:char="F064"/>
      </w:r>
      <w:r w:rsidRPr="00747E35">
        <w:rPr>
          <w:rFonts w:asciiTheme="minorHAnsi" w:hAnsiTheme="minorHAnsi" w:cstheme="minorHAnsi"/>
          <w:i/>
          <w:color w:val="5B9BD5" w:themeColor="accent1"/>
          <w:sz w:val="20"/>
          <w:szCs w:val="20"/>
          <w:vertAlign w:val="superscript"/>
        </w:rPr>
        <w:t>2</w:t>
      </w:r>
      <w:r w:rsidRPr="00747E35">
        <w:rPr>
          <w:rFonts w:asciiTheme="minorHAnsi" w:hAnsiTheme="minorHAnsi" w:cstheme="minorHAnsi"/>
          <w:i/>
          <w:color w:val="5B9BD5" w:themeColor="accent1"/>
          <w:sz w:val="20"/>
          <w:szCs w:val="20"/>
        </w:rPr>
        <w:t>H) mixing model results for the potential contribution to plant water of various sources including groundwater, deep soil water (75-100 cm) and shallow soil water (5-10 cm), at each sampling time at Maules Creek. Groundwater values are from monitoring bores closest to the sampled trees. Numbers in bold show strong constraint and high probability of being an important water source for the sampled trees.</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8"/>
        <w:gridCol w:w="1274"/>
        <w:gridCol w:w="1620"/>
        <w:gridCol w:w="1695"/>
        <w:gridCol w:w="1741"/>
        <w:gridCol w:w="1838"/>
      </w:tblGrid>
      <w:tr w:rsidR="003D3694" w:rsidRPr="00747E35" w14:paraId="38B5FCE3" w14:textId="77777777" w:rsidTr="00B004E4">
        <w:trPr>
          <w:tblHeader/>
        </w:trPr>
        <w:tc>
          <w:tcPr>
            <w:tcW w:w="880" w:type="dxa"/>
            <w:tcBorders>
              <w:top w:val="single" w:sz="4" w:space="0" w:color="auto"/>
              <w:bottom w:val="single" w:sz="4" w:space="0" w:color="auto"/>
            </w:tcBorders>
            <w:shd w:val="clear" w:color="auto" w:fill="DEEAF6" w:themeFill="accent1" w:themeFillTint="33"/>
          </w:tcPr>
          <w:p w14:paraId="78C544D2"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p>
        </w:tc>
        <w:tc>
          <w:tcPr>
            <w:tcW w:w="1308" w:type="dxa"/>
            <w:tcBorders>
              <w:top w:val="single" w:sz="4" w:space="0" w:color="auto"/>
              <w:bottom w:val="single" w:sz="4" w:space="0" w:color="auto"/>
            </w:tcBorders>
            <w:shd w:val="clear" w:color="auto" w:fill="DEEAF6" w:themeFill="accent1" w:themeFillTint="33"/>
          </w:tcPr>
          <w:p w14:paraId="42EE1916"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Landscape</w:t>
            </w:r>
          </w:p>
        </w:tc>
        <w:tc>
          <w:tcPr>
            <w:tcW w:w="1889" w:type="dxa"/>
            <w:tcBorders>
              <w:top w:val="single" w:sz="4" w:space="0" w:color="auto"/>
              <w:bottom w:val="single" w:sz="4" w:space="0" w:color="auto"/>
            </w:tcBorders>
            <w:shd w:val="clear" w:color="auto" w:fill="DEEAF6" w:themeFill="accent1" w:themeFillTint="33"/>
          </w:tcPr>
          <w:p w14:paraId="434530F1"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Riparian perennial</w:t>
            </w:r>
          </w:p>
        </w:tc>
        <w:tc>
          <w:tcPr>
            <w:tcW w:w="1985" w:type="dxa"/>
            <w:tcBorders>
              <w:top w:val="single" w:sz="4" w:space="0" w:color="auto"/>
              <w:bottom w:val="single" w:sz="4" w:space="0" w:color="auto"/>
            </w:tcBorders>
            <w:shd w:val="clear" w:color="auto" w:fill="DEEAF6" w:themeFill="accent1" w:themeFillTint="33"/>
          </w:tcPr>
          <w:p w14:paraId="5073601F"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Floodplain perennial</w:t>
            </w:r>
          </w:p>
        </w:tc>
        <w:tc>
          <w:tcPr>
            <w:tcW w:w="1984" w:type="dxa"/>
            <w:tcBorders>
              <w:top w:val="single" w:sz="4" w:space="0" w:color="auto"/>
              <w:bottom w:val="single" w:sz="4" w:space="0" w:color="auto"/>
            </w:tcBorders>
            <w:shd w:val="clear" w:color="auto" w:fill="DEEAF6" w:themeFill="accent1" w:themeFillTint="33"/>
          </w:tcPr>
          <w:p w14:paraId="753B658B"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Riparian intermittent</w:t>
            </w:r>
          </w:p>
        </w:tc>
        <w:tc>
          <w:tcPr>
            <w:tcW w:w="2127" w:type="dxa"/>
            <w:tcBorders>
              <w:top w:val="single" w:sz="4" w:space="0" w:color="auto"/>
              <w:bottom w:val="single" w:sz="4" w:space="0" w:color="auto"/>
            </w:tcBorders>
            <w:shd w:val="clear" w:color="auto" w:fill="DEEAF6" w:themeFill="accent1" w:themeFillTint="33"/>
          </w:tcPr>
          <w:p w14:paraId="02B36F00"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Floodplain intermittent</w:t>
            </w:r>
          </w:p>
        </w:tc>
      </w:tr>
      <w:tr w:rsidR="003D3694" w:rsidRPr="00747E35" w14:paraId="7DE7B61C" w14:textId="77777777" w:rsidTr="0096743A">
        <w:tc>
          <w:tcPr>
            <w:tcW w:w="880" w:type="dxa"/>
            <w:tcBorders>
              <w:top w:val="single" w:sz="4" w:space="0" w:color="auto"/>
              <w:bottom w:val="single" w:sz="4" w:space="0" w:color="auto"/>
            </w:tcBorders>
          </w:tcPr>
          <w:p w14:paraId="38B3588D"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p>
          <w:p w14:paraId="5358D9A9"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Month</w:t>
            </w:r>
          </w:p>
        </w:tc>
        <w:tc>
          <w:tcPr>
            <w:tcW w:w="1308" w:type="dxa"/>
            <w:tcBorders>
              <w:top w:val="single" w:sz="4" w:space="0" w:color="auto"/>
              <w:bottom w:val="single" w:sz="4" w:space="0" w:color="auto"/>
            </w:tcBorders>
          </w:tcPr>
          <w:p w14:paraId="12A30A54"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p>
          <w:p w14:paraId="13CFFB81"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Source</w:t>
            </w:r>
          </w:p>
        </w:tc>
        <w:tc>
          <w:tcPr>
            <w:tcW w:w="1889" w:type="dxa"/>
            <w:tcBorders>
              <w:top w:val="single" w:sz="4" w:space="0" w:color="auto"/>
              <w:bottom w:val="single" w:sz="4" w:space="0" w:color="auto"/>
            </w:tcBorders>
          </w:tcPr>
          <w:p w14:paraId="2CF0462D"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Plant water</w:t>
            </w:r>
          </w:p>
          <w:p w14:paraId="18C0FCAC"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Range, 1- 50 -99 percentile</w:t>
            </w:r>
          </w:p>
        </w:tc>
        <w:tc>
          <w:tcPr>
            <w:tcW w:w="1985" w:type="dxa"/>
            <w:tcBorders>
              <w:top w:val="single" w:sz="4" w:space="0" w:color="auto"/>
              <w:bottom w:val="single" w:sz="4" w:space="0" w:color="auto"/>
            </w:tcBorders>
          </w:tcPr>
          <w:p w14:paraId="3EAA2189"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Plant water</w:t>
            </w:r>
          </w:p>
          <w:p w14:paraId="1FD55073"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Range, 1- 50 -99 percentile</w:t>
            </w:r>
          </w:p>
        </w:tc>
        <w:tc>
          <w:tcPr>
            <w:tcW w:w="1984" w:type="dxa"/>
            <w:tcBorders>
              <w:top w:val="single" w:sz="4" w:space="0" w:color="auto"/>
              <w:bottom w:val="single" w:sz="4" w:space="0" w:color="auto"/>
            </w:tcBorders>
          </w:tcPr>
          <w:p w14:paraId="557C10C9"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Plant water</w:t>
            </w:r>
          </w:p>
          <w:p w14:paraId="139CD407"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Range, 1- 50 -99 percentile</w:t>
            </w:r>
          </w:p>
        </w:tc>
        <w:tc>
          <w:tcPr>
            <w:tcW w:w="2127" w:type="dxa"/>
            <w:tcBorders>
              <w:top w:val="single" w:sz="4" w:space="0" w:color="auto"/>
              <w:bottom w:val="single" w:sz="4" w:space="0" w:color="auto"/>
            </w:tcBorders>
          </w:tcPr>
          <w:p w14:paraId="027EBE54"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Plant water</w:t>
            </w:r>
          </w:p>
          <w:p w14:paraId="53584F51" w14:textId="77777777" w:rsidR="003D3694" w:rsidRPr="00747E35" w:rsidRDefault="003D3694" w:rsidP="0096743A">
            <w:pPr>
              <w:autoSpaceDE/>
              <w:autoSpaceDN/>
              <w:spacing w:after="0"/>
              <w:rPr>
                <w:rFonts w:asciiTheme="minorHAnsi" w:eastAsia="Times New Roman" w:hAnsiTheme="minorHAnsi" w:cstheme="minorHAnsi"/>
                <w:sz w:val="20"/>
                <w:szCs w:val="20"/>
                <w:lang w:val="en-AU" w:eastAsia="en-AU"/>
              </w:rPr>
            </w:pPr>
            <w:r w:rsidRPr="00747E35">
              <w:rPr>
                <w:rFonts w:asciiTheme="minorHAnsi" w:eastAsia="Times New Roman" w:hAnsiTheme="minorHAnsi" w:cstheme="minorHAnsi"/>
                <w:sz w:val="20"/>
                <w:szCs w:val="20"/>
                <w:lang w:val="en-AU" w:eastAsia="en-AU"/>
              </w:rPr>
              <w:t>Range, 1- 50 -99 percentile</w:t>
            </w:r>
          </w:p>
        </w:tc>
      </w:tr>
      <w:tr w:rsidR="003D3694" w:rsidRPr="00747E35" w14:paraId="7466014F" w14:textId="77777777" w:rsidTr="0096743A">
        <w:tc>
          <w:tcPr>
            <w:tcW w:w="880" w:type="dxa"/>
            <w:tcBorders>
              <w:top w:val="single" w:sz="4" w:space="0" w:color="auto"/>
            </w:tcBorders>
          </w:tcPr>
          <w:p w14:paraId="3D423F4B"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October</w:t>
            </w:r>
          </w:p>
        </w:tc>
        <w:tc>
          <w:tcPr>
            <w:tcW w:w="1308" w:type="dxa"/>
            <w:tcBorders>
              <w:top w:val="single" w:sz="4" w:space="0" w:color="auto"/>
            </w:tcBorders>
          </w:tcPr>
          <w:p w14:paraId="3182E21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Groundwater</w:t>
            </w:r>
          </w:p>
        </w:tc>
        <w:tc>
          <w:tcPr>
            <w:tcW w:w="1889" w:type="dxa"/>
            <w:tcBorders>
              <w:top w:val="single" w:sz="4" w:space="0" w:color="auto"/>
            </w:tcBorders>
          </w:tcPr>
          <w:p w14:paraId="0529190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 xml:space="preserve">0 - 8 -25 </w:t>
            </w:r>
          </w:p>
        </w:tc>
        <w:tc>
          <w:tcPr>
            <w:tcW w:w="1985" w:type="dxa"/>
            <w:tcBorders>
              <w:top w:val="single" w:sz="4" w:space="0" w:color="auto"/>
            </w:tcBorders>
          </w:tcPr>
          <w:p w14:paraId="14B2C923" w14:textId="77777777" w:rsidR="003D3694" w:rsidRPr="00747E35" w:rsidRDefault="003D3694" w:rsidP="0096743A">
            <w:pPr>
              <w:spacing w:after="0"/>
              <w:rPr>
                <w:rFonts w:asciiTheme="minorHAnsi" w:hAnsiTheme="minorHAnsi" w:cstheme="minorHAnsi"/>
                <w:b/>
                <w:sz w:val="18"/>
              </w:rPr>
            </w:pPr>
            <w:r w:rsidRPr="00747E35">
              <w:rPr>
                <w:rFonts w:asciiTheme="minorHAnsi" w:hAnsiTheme="minorHAnsi" w:cstheme="minorHAnsi"/>
                <w:b/>
                <w:sz w:val="18"/>
              </w:rPr>
              <w:t>26 - 44 - 64</w:t>
            </w:r>
          </w:p>
        </w:tc>
        <w:tc>
          <w:tcPr>
            <w:tcW w:w="1984" w:type="dxa"/>
            <w:tcBorders>
              <w:top w:val="single" w:sz="4" w:space="0" w:color="auto"/>
            </w:tcBorders>
          </w:tcPr>
          <w:p w14:paraId="29DB0D25" w14:textId="77777777" w:rsidR="003D3694" w:rsidRPr="00747E35" w:rsidRDefault="003D3694" w:rsidP="0096743A">
            <w:pPr>
              <w:spacing w:after="0"/>
              <w:rPr>
                <w:rFonts w:asciiTheme="minorHAnsi" w:hAnsiTheme="minorHAnsi" w:cstheme="minorHAnsi"/>
                <w:b/>
                <w:sz w:val="18"/>
              </w:rPr>
            </w:pPr>
            <w:r w:rsidRPr="00747E35">
              <w:rPr>
                <w:rFonts w:asciiTheme="minorHAnsi" w:hAnsiTheme="minorHAnsi" w:cstheme="minorHAnsi"/>
                <w:b/>
                <w:sz w:val="18"/>
              </w:rPr>
              <w:t>74 - 86 - 98</w:t>
            </w:r>
          </w:p>
        </w:tc>
        <w:tc>
          <w:tcPr>
            <w:tcW w:w="2127" w:type="dxa"/>
            <w:tcBorders>
              <w:top w:val="single" w:sz="4" w:space="0" w:color="auto"/>
            </w:tcBorders>
          </w:tcPr>
          <w:p w14:paraId="53941E9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0 - 37 - 86</w:t>
            </w:r>
          </w:p>
        </w:tc>
      </w:tr>
      <w:tr w:rsidR="003D3694" w:rsidRPr="00747E35" w14:paraId="60A6298B" w14:textId="77777777" w:rsidTr="0096743A">
        <w:tc>
          <w:tcPr>
            <w:tcW w:w="880" w:type="dxa"/>
          </w:tcPr>
          <w:p w14:paraId="084D22F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2015</w:t>
            </w:r>
          </w:p>
        </w:tc>
        <w:tc>
          <w:tcPr>
            <w:tcW w:w="1308" w:type="dxa"/>
          </w:tcPr>
          <w:p w14:paraId="124353E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Deep soil</w:t>
            </w:r>
          </w:p>
        </w:tc>
        <w:tc>
          <w:tcPr>
            <w:tcW w:w="1889" w:type="dxa"/>
          </w:tcPr>
          <w:p w14:paraId="3BF63CD4" w14:textId="77777777" w:rsidR="003D3694" w:rsidRPr="00747E35" w:rsidRDefault="003D3694" w:rsidP="0096743A">
            <w:pPr>
              <w:spacing w:after="0"/>
              <w:rPr>
                <w:rFonts w:asciiTheme="minorHAnsi" w:hAnsiTheme="minorHAnsi" w:cstheme="minorHAnsi"/>
                <w:b/>
                <w:sz w:val="18"/>
              </w:rPr>
            </w:pPr>
            <w:r w:rsidRPr="00747E35">
              <w:rPr>
                <w:rFonts w:asciiTheme="minorHAnsi" w:hAnsiTheme="minorHAnsi" w:cstheme="minorHAnsi"/>
                <w:b/>
                <w:sz w:val="18"/>
              </w:rPr>
              <w:t>65 - 80 - 98</w:t>
            </w:r>
          </w:p>
        </w:tc>
        <w:tc>
          <w:tcPr>
            <w:tcW w:w="1985" w:type="dxa"/>
          </w:tcPr>
          <w:p w14:paraId="7088532D"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0 - 26 - 50</w:t>
            </w:r>
          </w:p>
        </w:tc>
        <w:tc>
          <w:tcPr>
            <w:tcW w:w="1984" w:type="dxa"/>
          </w:tcPr>
          <w:p w14:paraId="38EBCE1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0 - 4 - 16</w:t>
            </w:r>
          </w:p>
        </w:tc>
        <w:tc>
          <w:tcPr>
            <w:tcW w:w="2127" w:type="dxa"/>
          </w:tcPr>
          <w:p w14:paraId="494E6C8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0 - 26 - 60</w:t>
            </w:r>
          </w:p>
        </w:tc>
      </w:tr>
      <w:tr w:rsidR="003D3694" w:rsidRPr="00747E35" w14:paraId="4E64ED51" w14:textId="77777777" w:rsidTr="0096743A">
        <w:tc>
          <w:tcPr>
            <w:tcW w:w="880" w:type="dxa"/>
            <w:tcBorders>
              <w:bottom w:val="single" w:sz="4" w:space="0" w:color="auto"/>
            </w:tcBorders>
          </w:tcPr>
          <w:p w14:paraId="6194A3AB" w14:textId="77777777" w:rsidR="003D3694" w:rsidRPr="00747E35" w:rsidRDefault="003D3694" w:rsidP="0096743A">
            <w:pPr>
              <w:spacing w:after="0"/>
              <w:rPr>
                <w:rFonts w:asciiTheme="minorHAnsi" w:hAnsiTheme="minorHAnsi" w:cstheme="minorHAnsi"/>
                <w:sz w:val="18"/>
              </w:rPr>
            </w:pPr>
          </w:p>
        </w:tc>
        <w:tc>
          <w:tcPr>
            <w:tcW w:w="1308" w:type="dxa"/>
            <w:tcBorders>
              <w:bottom w:val="single" w:sz="4" w:space="0" w:color="auto"/>
            </w:tcBorders>
          </w:tcPr>
          <w:p w14:paraId="1E57BFB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Shallow soil</w:t>
            </w:r>
          </w:p>
        </w:tc>
        <w:tc>
          <w:tcPr>
            <w:tcW w:w="1889" w:type="dxa"/>
            <w:tcBorders>
              <w:bottom w:val="single" w:sz="4" w:space="0" w:color="auto"/>
            </w:tcBorders>
          </w:tcPr>
          <w:p w14:paraId="2762E590"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0 - 10 - 35</w:t>
            </w:r>
          </w:p>
        </w:tc>
        <w:tc>
          <w:tcPr>
            <w:tcW w:w="1985" w:type="dxa"/>
            <w:tcBorders>
              <w:bottom w:val="single" w:sz="4" w:space="0" w:color="auto"/>
            </w:tcBorders>
          </w:tcPr>
          <w:p w14:paraId="180D987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0 - 28 - 60</w:t>
            </w:r>
          </w:p>
        </w:tc>
        <w:tc>
          <w:tcPr>
            <w:tcW w:w="1984" w:type="dxa"/>
            <w:tcBorders>
              <w:bottom w:val="single" w:sz="4" w:space="0" w:color="auto"/>
            </w:tcBorders>
          </w:tcPr>
          <w:p w14:paraId="5C9F9859"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0 - 8 - 24</w:t>
            </w:r>
          </w:p>
        </w:tc>
        <w:tc>
          <w:tcPr>
            <w:tcW w:w="2127" w:type="dxa"/>
            <w:tcBorders>
              <w:bottom w:val="single" w:sz="4" w:space="0" w:color="auto"/>
            </w:tcBorders>
          </w:tcPr>
          <w:p w14:paraId="71A47D39" w14:textId="77777777" w:rsidR="003D3694" w:rsidRPr="00747E35" w:rsidRDefault="003D3694" w:rsidP="0096743A">
            <w:pPr>
              <w:spacing w:after="0"/>
              <w:rPr>
                <w:rFonts w:asciiTheme="minorHAnsi" w:hAnsiTheme="minorHAnsi" w:cstheme="minorHAnsi"/>
                <w:b/>
                <w:sz w:val="18"/>
              </w:rPr>
            </w:pPr>
            <w:r w:rsidRPr="00747E35">
              <w:rPr>
                <w:rFonts w:asciiTheme="minorHAnsi" w:hAnsiTheme="minorHAnsi" w:cstheme="minorHAnsi"/>
                <w:b/>
                <w:sz w:val="18"/>
              </w:rPr>
              <w:t>12 - 36 - 58</w:t>
            </w:r>
          </w:p>
        </w:tc>
      </w:tr>
      <w:tr w:rsidR="003D3694" w:rsidRPr="00747E35" w14:paraId="62AE6570" w14:textId="77777777" w:rsidTr="0096743A">
        <w:tc>
          <w:tcPr>
            <w:tcW w:w="880" w:type="dxa"/>
            <w:tcBorders>
              <w:top w:val="single" w:sz="4" w:space="0" w:color="auto"/>
            </w:tcBorders>
          </w:tcPr>
          <w:p w14:paraId="10F10EC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March</w:t>
            </w:r>
          </w:p>
        </w:tc>
        <w:tc>
          <w:tcPr>
            <w:tcW w:w="1308" w:type="dxa"/>
            <w:tcBorders>
              <w:top w:val="single" w:sz="4" w:space="0" w:color="auto"/>
            </w:tcBorders>
          </w:tcPr>
          <w:p w14:paraId="0AD08D50"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Groundwater</w:t>
            </w:r>
          </w:p>
        </w:tc>
        <w:tc>
          <w:tcPr>
            <w:tcW w:w="1889" w:type="dxa"/>
            <w:tcBorders>
              <w:top w:val="single" w:sz="4" w:space="0" w:color="auto"/>
            </w:tcBorders>
          </w:tcPr>
          <w:p w14:paraId="7DC9DF32" w14:textId="77777777" w:rsidR="003D3694" w:rsidRPr="00747E35" w:rsidRDefault="003D3694" w:rsidP="0096743A">
            <w:pPr>
              <w:spacing w:after="0"/>
              <w:rPr>
                <w:rFonts w:asciiTheme="minorHAnsi" w:hAnsiTheme="minorHAnsi" w:cstheme="minorHAnsi"/>
                <w:b/>
                <w:sz w:val="18"/>
              </w:rPr>
            </w:pPr>
            <w:r w:rsidRPr="00747E35">
              <w:rPr>
                <w:rFonts w:asciiTheme="minorHAnsi" w:hAnsiTheme="minorHAnsi" w:cstheme="minorHAnsi"/>
                <w:b/>
                <w:sz w:val="18"/>
              </w:rPr>
              <w:t>50 - 60 - 80</w:t>
            </w:r>
          </w:p>
        </w:tc>
        <w:tc>
          <w:tcPr>
            <w:tcW w:w="1985" w:type="dxa"/>
            <w:tcBorders>
              <w:top w:val="single" w:sz="4" w:space="0" w:color="auto"/>
            </w:tcBorders>
          </w:tcPr>
          <w:p w14:paraId="448476A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0 - 29 - 75</w:t>
            </w:r>
          </w:p>
        </w:tc>
        <w:tc>
          <w:tcPr>
            <w:tcW w:w="1984" w:type="dxa"/>
            <w:tcBorders>
              <w:top w:val="single" w:sz="4" w:space="0" w:color="auto"/>
            </w:tcBorders>
          </w:tcPr>
          <w:p w14:paraId="28C8B75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0 - 9 - 24</w:t>
            </w:r>
          </w:p>
        </w:tc>
        <w:tc>
          <w:tcPr>
            <w:tcW w:w="2127" w:type="dxa"/>
            <w:tcBorders>
              <w:top w:val="single" w:sz="4" w:space="0" w:color="auto"/>
            </w:tcBorders>
          </w:tcPr>
          <w:p w14:paraId="372D5F5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0 - 3 - 15</w:t>
            </w:r>
          </w:p>
        </w:tc>
      </w:tr>
      <w:tr w:rsidR="003D3694" w:rsidRPr="00747E35" w14:paraId="60827CEB" w14:textId="77777777" w:rsidTr="0096743A">
        <w:tc>
          <w:tcPr>
            <w:tcW w:w="880" w:type="dxa"/>
          </w:tcPr>
          <w:p w14:paraId="577670A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2016</w:t>
            </w:r>
          </w:p>
        </w:tc>
        <w:tc>
          <w:tcPr>
            <w:tcW w:w="1308" w:type="dxa"/>
          </w:tcPr>
          <w:p w14:paraId="75CD616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Deep soil</w:t>
            </w:r>
          </w:p>
        </w:tc>
        <w:tc>
          <w:tcPr>
            <w:tcW w:w="1889" w:type="dxa"/>
          </w:tcPr>
          <w:p w14:paraId="631EB45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6 - 24 - 40</w:t>
            </w:r>
          </w:p>
        </w:tc>
        <w:tc>
          <w:tcPr>
            <w:tcW w:w="1985" w:type="dxa"/>
          </w:tcPr>
          <w:p w14:paraId="2BF9344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0 - 34 - 80</w:t>
            </w:r>
          </w:p>
        </w:tc>
        <w:tc>
          <w:tcPr>
            <w:tcW w:w="1984" w:type="dxa"/>
          </w:tcPr>
          <w:p w14:paraId="1256D332" w14:textId="77777777" w:rsidR="003D3694" w:rsidRPr="00747E35" w:rsidRDefault="003D3694" w:rsidP="0096743A">
            <w:pPr>
              <w:spacing w:after="0"/>
              <w:rPr>
                <w:rFonts w:asciiTheme="minorHAnsi" w:hAnsiTheme="minorHAnsi" w:cstheme="minorHAnsi"/>
                <w:b/>
                <w:sz w:val="18"/>
              </w:rPr>
            </w:pPr>
            <w:r w:rsidRPr="00747E35">
              <w:rPr>
                <w:rFonts w:asciiTheme="minorHAnsi" w:hAnsiTheme="minorHAnsi" w:cstheme="minorHAnsi"/>
                <w:b/>
                <w:sz w:val="18"/>
              </w:rPr>
              <w:t>66 - 79 - 96</w:t>
            </w:r>
          </w:p>
        </w:tc>
        <w:tc>
          <w:tcPr>
            <w:tcW w:w="2127" w:type="dxa"/>
          </w:tcPr>
          <w:p w14:paraId="27F0EB60" w14:textId="77777777" w:rsidR="003D3694" w:rsidRPr="00747E35" w:rsidRDefault="003D3694" w:rsidP="0096743A">
            <w:pPr>
              <w:spacing w:after="0"/>
              <w:rPr>
                <w:rFonts w:asciiTheme="minorHAnsi" w:hAnsiTheme="minorHAnsi" w:cstheme="minorHAnsi"/>
                <w:b/>
                <w:sz w:val="18"/>
              </w:rPr>
            </w:pPr>
            <w:r w:rsidRPr="00747E35">
              <w:rPr>
                <w:rFonts w:asciiTheme="minorHAnsi" w:hAnsiTheme="minorHAnsi" w:cstheme="minorHAnsi"/>
                <w:b/>
                <w:sz w:val="18"/>
              </w:rPr>
              <w:t>44 - 87 - 98</w:t>
            </w:r>
          </w:p>
        </w:tc>
      </w:tr>
      <w:tr w:rsidR="003D3694" w:rsidRPr="00747E35" w14:paraId="3B09CD06" w14:textId="77777777" w:rsidTr="0096743A">
        <w:tc>
          <w:tcPr>
            <w:tcW w:w="880" w:type="dxa"/>
            <w:tcBorders>
              <w:bottom w:val="single" w:sz="4" w:space="0" w:color="auto"/>
            </w:tcBorders>
          </w:tcPr>
          <w:p w14:paraId="08FF224F" w14:textId="77777777" w:rsidR="003D3694" w:rsidRPr="00747E35" w:rsidRDefault="003D3694" w:rsidP="0096743A">
            <w:pPr>
              <w:spacing w:after="0"/>
              <w:rPr>
                <w:rFonts w:asciiTheme="minorHAnsi" w:hAnsiTheme="minorHAnsi" w:cstheme="minorHAnsi"/>
                <w:sz w:val="18"/>
              </w:rPr>
            </w:pPr>
          </w:p>
        </w:tc>
        <w:tc>
          <w:tcPr>
            <w:tcW w:w="1308" w:type="dxa"/>
            <w:tcBorders>
              <w:bottom w:val="single" w:sz="4" w:space="0" w:color="auto"/>
            </w:tcBorders>
          </w:tcPr>
          <w:p w14:paraId="3ED3E97F"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Shallow soil</w:t>
            </w:r>
          </w:p>
        </w:tc>
        <w:tc>
          <w:tcPr>
            <w:tcW w:w="1889" w:type="dxa"/>
            <w:tcBorders>
              <w:bottom w:val="single" w:sz="4" w:space="0" w:color="auto"/>
            </w:tcBorders>
          </w:tcPr>
          <w:p w14:paraId="62B17AD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0 - 8 - 24</w:t>
            </w:r>
          </w:p>
        </w:tc>
        <w:tc>
          <w:tcPr>
            <w:tcW w:w="1985" w:type="dxa"/>
            <w:tcBorders>
              <w:bottom w:val="single" w:sz="4" w:space="0" w:color="auto"/>
            </w:tcBorders>
          </w:tcPr>
          <w:p w14:paraId="4DC24B71"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0 - 35 - 90</w:t>
            </w:r>
          </w:p>
        </w:tc>
        <w:tc>
          <w:tcPr>
            <w:tcW w:w="1984" w:type="dxa"/>
            <w:tcBorders>
              <w:bottom w:val="single" w:sz="4" w:space="0" w:color="auto"/>
            </w:tcBorders>
          </w:tcPr>
          <w:p w14:paraId="31D516E0"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0 - 11 - 30</w:t>
            </w:r>
          </w:p>
        </w:tc>
        <w:tc>
          <w:tcPr>
            <w:tcW w:w="2127" w:type="dxa"/>
            <w:tcBorders>
              <w:bottom w:val="single" w:sz="4" w:space="0" w:color="auto"/>
            </w:tcBorders>
          </w:tcPr>
          <w:p w14:paraId="56DB6DA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0 - 9 - 20</w:t>
            </w:r>
          </w:p>
        </w:tc>
      </w:tr>
      <w:tr w:rsidR="003D3694" w:rsidRPr="00747E35" w14:paraId="18E33A33" w14:textId="77777777" w:rsidTr="0096743A">
        <w:tc>
          <w:tcPr>
            <w:tcW w:w="880" w:type="dxa"/>
            <w:tcBorders>
              <w:top w:val="single" w:sz="4" w:space="0" w:color="auto"/>
            </w:tcBorders>
          </w:tcPr>
          <w:p w14:paraId="020B2B9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June</w:t>
            </w:r>
          </w:p>
        </w:tc>
        <w:tc>
          <w:tcPr>
            <w:tcW w:w="1308" w:type="dxa"/>
            <w:tcBorders>
              <w:top w:val="single" w:sz="4" w:space="0" w:color="auto"/>
            </w:tcBorders>
          </w:tcPr>
          <w:p w14:paraId="0194BDA4"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Groundwater</w:t>
            </w:r>
          </w:p>
        </w:tc>
        <w:tc>
          <w:tcPr>
            <w:tcW w:w="1889" w:type="dxa"/>
            <w:tcBorders>
              <w:top w:val="single" w:sz="4" w:space="0" w:color="auto"/>
            </w:tcBorders>
          </w:tcPr>
          <w:p w14:paraId="423BF860" w14:textId="77777777" w:rsidR="003D3694" w:rsidRPr="00747E35" w:rsidRDefault="003D3694" w:rsidP="0096743A">
            <w:pPr>
              <w:spacing w:after="0"/>
              <w:rPr>
                <w:rFonts w:asciiTheme="minorHAnsi" w:hAnsiTheme="minorHAnsi" w:cstheme="minorHAnsi"/>
                <w:b/>
                <w:sz w:val="18"/>
              </w:rPr>
            </w:pPr>
            <w:r w:rsidRPr="00747E35">
              <w:rPr>
                <w:rFonts w:asciiTheme="minorHAnsi" w:hAnsiTheme="minorHAnsi" w:cstheme="minorHAnsi"/>
                <w:b/>
                <w:sz w:val="18"/>
              </w:rPr>
              <w:t>17 - 40 - 81</w:t>
            </w:r>
          </w:p>
        </w:tc>
        <w:tc>
          <w:tcPr>
            <w:tcW w:w="1985" w:type="dxa"/>
            <w:tcBorders>
              <w:top w:val="single" w:sz="4" w:space="0" w:color="auto"/>
            </w:tcBorders>
          </w:tcPr>
          <w:p w14:paraId="11B4436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0 - 35 - 76</w:t>
            </w:r>
          </w:p>
        </w:tc>
        <w:tc>
          <w:tcPr>
            <w:tcW w:w="1984" w:type="dxa"/>
            <w:tcBorders>
              <w:top w:val="single" w:sz="4" w:space="0" w:color="auto"/>
            </w:tcBorders>
          </w:tcPr>
          <w:p w14:paraId="4B8A868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0 - 29 - 72</w:t>
            </w:r>
          </w:p>
        </w:tc>
        <w:tc>
          <w:tcPr>
            <w:tcW w:w="2127" w:type="dxa"/>
            <w:tcBorders>
              <w:top w:val="single" w:sz="4" w:space="0" w:color="auto"/>
            </w:tcBorders>
          </w:tcPr>
          <w:p w14:paraId="1C58E20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0 - 31 - 60</w:t>
            </w:r>
          </w:p>
        </w:tc>
      </w:tr>
      <w:tr w:rsidR="003D3694" w:rsidRPr="00747E35" w14:paraId="1ACCCDD7" w14:textId="77777777" w:rsidTr="0096743A">
        <w:tc>
          <w:tcPr>
            <w:tcW w:w="880" w:type="dxa"/>
          </w:tcPr>
          <w:p w14:paraId="603C7757"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2016</w:t>
            </w:r>
          </w:p>
        </w:tc>
        <w:tc>
          <w:tcPr>
            <w:tcW w:w="1308" w:type="dxa"/>
          </w:tcPr>
          <w:p w14:paraId="0ABB2305"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Deep soil</w:t>
            </w:r>
          </w:p>
        </w:tc>
        <w:tc>
          <w:tcPr>
            <w:tcW w:w="1889" w:type="dxa"/>
          </w:tcPr>
          <w:p w14:paraId="483B2532"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0 - 29 - 31</w:t>
            </w:r>
          </w:p>
        </w:tc>
        <w:tc>
          <w:tcPr>
            <w:tcW w:w="1985" w:type="dxa"/>
          </w:tcPr>
          <w:p w14:paraId="200ED9B7" w14:textId="77777777" w:rsidR="003D3694" w:rsidRPr="00747E35" w:rsidRDefault="003D3694" w:rsidP="0096743A">
            <w:pPr>
              <w:spacing w:after="0"/>
              <w:rPr>
                <w:rFonts w:asciiTheme="minorHAnsi" w:hAnsiTheme="minorHAnsi" w:cstheme="minorHAnsi"/>
                <w:b/>
                <w:sz w:val="18"/>
              </w:rPr>
            </w:pPr>
            <w:r w:rsidRPr="00747E35">
              <w:rPr>
                <w:rFonts w:asciiTheme="minorHAnsi" w:hAnsiTheme="minorHAnsi" w:cstheme="minorHAnsi"/>
                <w:b/>
                <w:sz w:val="18"/>
              </w:rPr>
              <w:t>22 - 56 - 96</w:t>
            </w:r>
          </w:p>
        </w:tc>
        <w:tc>
          <w:tcPr>
            <w:tcW w:w="1984" w:type="dxa"/>
          </w:tcPr>
          <w:p w14:paraId="74C30031" w14:textId="77777777" w:rsidR="003D3694" w:rsidRPr="00747E35" w:rsidRDefault="003D3694" w:rsidP="0096743A">
            <w:pPr>
              <w:spacing w:after="0"/>
              <w:rPr>
                <w:rFonts w:asciiTheme="minorHAnsi" w:hAnsiTheme="minorHAnsi" w:cstheme="minorHAnsi"/>
                <w:b/>
                <w:sz w:val="18"/>
              </w:rPr>
            </w:pPr>
            <w:r w:rsidRPr="00747E35">
              <w:rPr>
                <w:rFonts w:asciiTheme="minorHAnsi" w:hAnsiTheme="minorHAnsi" w:cstheme="minorHAnsi"/>
                <w:b/>
                <w:sz w:val="18"/>
              </w:rPr>
              <w:t>27 - 56 - 78</w:t>
            </w:r>
          </w:p>
        </w:tc>
        <w:tc>
          <w:tcPr>
            <w:tcW w:w="2127" w:type="dxa"/>
          </w:tcPr>
          <w:p w14:paraId="77EB594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0 - 16 - 39</w:t>
            </w:r>
          </w:p>
        </w:tc>
      </w:tr>
      <w:tr w:rsidR="003D3694" w:rsidRPr="00747E35" w14:paraId="3BE6F7C5" w14:textId="77777777" w:rsidTr="0096743A">
        <w:tc>
          <w:tcPr>
            <w:tcW w:w="880" w:type="dxa"/>
            <w:tcBorders>
              <w:bottom w:val="single" w:sz="4" w:space="0" w:color="auto"/>
            </w:tcBorders>
          </w:tcPr>
          <w:p w14:paraId="3E016AE0" w14:textId="77777777" w:rsidR="003D3694" w:rsidRPr="00747E35" w:rsidRDefault="003D3694" w:rsidP="0096743A">
            <w:pPr>
              <w:spacing w:after="0"/>
              <w:rPr>
                <w:rFonts w:asciiTheme="minorHAnsi" w:hAnsiTheme="minorHAnsi" w:cstheme="minorHAnsi"/>
                <w:sz w:val="18"/>
              </w:rPr>
            </w:pPr>
          </w:p>
        </w:tc>
        <w:tc>
          <w:tcPr>
            <w:tcW w:w="1308" w:type="dxa"/>
            <w:tcBorders>
              <w:bottom w:val="single" w:sz="4" w:space="0" w:color="auto"/>
            </w:tcBorders>
          </w:tcPr>
          <w:p w14:paraId="576DEEF0"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Shallow soil</w:t>
            </w:r>
          </w:p>
        </w:tc>
        <w:tc>
          <w:tcPr>
            <w:tcW w:w="1889" w:type="dxa"/>
            <w:tcBorders>
              <w:bottom w:val="single" w:sz="4" w:space="0" w:color="auto"/>
            </w:tcBorders>
          </w:tcPr>
          <w:p w14:paraId="2F7445AE"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0 - 31 - 63</w:t>
            </w:r>
          </w:p>
        </w:tc>
        <w:tc>
          <w:tcPr>
            <w:tcW w:w="1985" w:type="dxa"/>
            <w:tcBorders>
              <w:bottom w:val="single" w:sz="4" w:space="0" w:color="auto"/>
            </w:tcBorders>
          </w:tcPr>
          <w:p w14:paraId="1AA1EB8C"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0 - 7 - 17</w:t>
            </w:r>
          </w:p>
        </w:tc>
        <w:tc>
          <w:tcPr>
            <w:tcW w:w="1984" w:type="dxa"/>
            <w:tcBorders>
              <w:bottom w:val="single" w:sz="4" w:space="0" w:color="auto"/>
            </w:tcBorders>
          </w:tcPr>
          <w:p w14:paraId="50D60A5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0 - 15 - 36</w:t>
            </w:r>
          </w:p>
        </w:tc>
        <w:tc>
          <w:tcPr>
            <w:tcW w:w="2127" w:type="dxa"/>
            <w:tcBorders>
              <w:bottom w:val="single" w:sz="4" w:space="0" w:color="auto"/>
            </w:tcBorders>
          </w:tcPr>
          <w:p w14:paraId="3E577316" w14:textId="77777777" w:rsidR="003D3694" w:rsidRPr="00747E35" w:rsidRDefault="003D3694" w:rsidP="0096743A">
            <w:pPr>
              <w:spacing w:after="0"/>
              <w:rPr>
                <w:rFonts w:asciiTheme="minorHAnsi" w:hAnsiTheme="minorHAnsi" w:cstheme="minorHAnsi"/>
                <w:sz w:val="18"/>
              </w:rPr>
            </w:pPr>
            <w:r w:rsidRPr="00747E35">
              <w:rPr>
                <w:rFonts w:asciiTheme="minorHAnsi" w:hAnsiTheme="minorHAnsi" w:cstheme="minorHAnsi"/>
                <w:sz w:val="18"/>
              </w:rPr>
              <w:t>2 - 51 - 96</w:t>
            </w:r>
          </w:p>
        </w:tc>
      </w:tr>
    </w:tbl>
    <w:p w14:paraId="26BC262C" w14:textId="77777777" w:rsidR="003D3694" w:rsidRPr="00747E35" w:rsidRDefault="003D3694" w:rsidP="003D3694">
      <w:pPr>
        <w:rPr>
          <w:rFonts w:asciiTheme="minorHAnsi" w:hAnsiTheme="minorHAnsi" w:cstheme="minorHAnsi"/>
        </w:rPr>
      </w:pPr>
    </w:p>
    <w:p w14:paraId="1B112527"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368669B2" wp14:editId="293CA5EC">
            <wp:extent cx="5185954" cy="3885959"/>
            <wp:effectExtent l="0" t="0" r="0" b="635"/>
            <wp:docPr id="14385" name="Picture 12" descr="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220553" cy="3911885"/>
                    </a:xfrm>
                    <a:prstGeom prst="rect">
                      <a:avLst/>
                    </a:prstGeom>
                    <a:noFill/>
                    <a:ln>
                      <a:noFill/>
                    </a:ln>
                  </pic:spPr>
                </pic:pic>
              </a:graphicData>
            </a:graphic>
          </wp:inline>
        </w:drawing>
      </w:r>
    </w:p>
    <w:p w14:paraId="7BCB015C" w14:textId="757ECD6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60" w:name="_Ref466191511"/>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16</w:t>
      </w:r>
      <w:r w:rsidRPr="00747E35">
        <w:rPr>
          <w:rFonts w:asciiTheme="minorHAnsi" w:hAnsiTheme="minorHAnsi" w:cstheme="minorHAnsi"/>
          <w:i/>
          <w:noProof/>
          <w:color w:val="5B9BD5" w:themeColor="accent1"/>
          <w:sz w:val="20"/>
          <w:szCs w:val="20"/>
        </w:rPr>
        <w:fldChar w:fldCharType="end"/>
      </w:r>
      <w:bookmarkEnd w:id="60"/>
      <w:r w:rsidR="005C5AAB">
        <w:rPr>
          <w:rFonts w:asciiTheme="minorHAnsi" w:hAnsiTheme="minorHAnsi" w:cstheme="minorHAnsi"/>
          <w:i/>
          <w:color w:val="5B9BD5" w:themeColor="accent1"/>
          <w:sz w:val="20"/>
          <w:szCs w:val="20"/>
        </w:rPr>
        <w:t xml:space="preserve">: (a) </w:t>
      </w:r>
      <w:r w:rsidRPr="00747E35">
        <w:rPr>
          <w:rFonts w:asciiTheme="minorHAnsi" w:hAnsiTheme="minorHAnsi" w:cstheme="minorHAnsi"/>
          <w:i/>
          <w:color w:val="5B9BD5" w:themeColor="accent1"/>
          <w:sz w:val="20"/>
          <w:szCs w:val="20"/>
        </w:rPr>
        <w:t xml:space="preserve">Traces of changes in stem diameter of </w:t>
      </w:r>
      <w:r w:rsidRPr="00747E35">
        <w:rPr>
          <w:rFonts w:asciiTheme="minorHAnsi" w:hAnsiTheme="minorHAnsi" w:cstheme="minorHAnsi"/>
          <w:i/>
          <w:iCs/>
          <w:color w:val="5B9BD5" w:themeColor="accent1"/>
          <w:sz w:val="20"/>
          <w:szCs w:val="20"/>
        </w:rPr>
        <w:t xml:space="preserve">Eucalyptus camaldulensis </w:t>
      </w:r>
      <w:r w:rsidRPr="00747E35">
        <w:rPr>
          <w:rFonts w:asciiTheme="minorHAnsi" w:hAnsiTheme="minorHAnsi" w:cstheme="minorHAnsi"/>
          <w:i/>
          <w:color w:val="5B9BD5" w:themeColor="accent1"/>
          <w:sz w:val="20"/>
          <w:szCs w:val="20"/>
        </w:rPr>
        <w:t>trees (averages for 3 trees at each site) and daily rainfall over the study period indicating seasonal hydrological state and growth of red gum trees in different landscape positions with logged dendrometer bands. Average annual growth rate for riparian perennial trees was 8.4 mm yr</w:t>
      </w:r>
      <w:r w:rsidRPr="00747E35">
        <w:rPr>
          <w:rFonts w:asciiTheme="minorHAnsi" w:hAnsiTheme="minorHAnsi" w:cstheme="minorHAnsi"/>
          <w:i/>
          <w:color w:val="5B9BD5" w:themeColor="accent1"/>
          <w:sz w:val="20"/>
          <w:szCs w:val="20"/>
          <w:vertAlign w:val="superscript"/>
        </w:rPr>
        <w:t>-1</w:t>
      </w:r>
      <w:r w:rsidRPr="00747E35">
        <w:rPr>
          <w:rFonts w:asciiTheme="minorHAnsi" w:hAnsiTheme="minorHAnsi" w:cstheme="minorHAnsi"/>
          <w:i/>
          <w:color w:val="5B9BD5" w:themeColor="accent1"/>
          <w:sz w:val="20"/>
          <w:szCs w:val="20"/>
        </w:rPr>
        <w:t>; floodplain perennial was 4.1 mm yr</w:t>
      </w:r>
      <w:r w:rsidRPr="00747E35">
        <w:rPr>
          <w:rFonts w:asciiTheme="minorHAnsi" w:hAnsiTheme="minorHAnsi" w:cstheme="minorHAnsi"/>
          <w:i/>
          <w:color w:val="5B9BD5" w:themeColor="accent1"/>
          <w:sz w:val="20"/>
          <w:szCs w:val="20"/>
          <w:vertAlign w:val="superscript"/>
        </w:rPr>
        <w:t>-1</w:t>
      </w:r>
      <w:r w:rsidRPr="00747E35">
        <w:rPr>
          <w:rFonts w:asciiTheme="minorHAnsi" w:hAnsiTheme="minorHAnsi" w:cstheme="minorHAnsi"/>
          <w:i/>
          <w:color w:val="5B9BD5" w:themeColor="accent1"/>
          <w:sz w:val="20"/>
          <w:szCs w:val="20"/>
        </w:rPr>
        <w:t>; riparian intermittent was 1.4 mm yr</w:t>
      </w:r>
      <w:r w:rsidRPr="00747E35">
        <w:rPr>
          <w:rFonts w:asciiTheme="minorHAnsi" w:hAnsiTheme="minorHAnsi" w:cstheme="minorHAnsi"/>
          <w:i/>
          <w:color w:val="5B9BD5" w:themeColor="accent1"/>
          <w:sz w:val="20"/>
          <w:szCs w:val="20"/>
          <w:vertAlign w:val="superscript"/>
        </w:rPr>
        <w:t xml:space="preserve">-1 </w:t>
      </w:r>
      <w:r w:rsidRPr="00747E35">
        <w:rPr>
          <w:rFonts w:asciiTheme="minorHAnsi" w:hAnsiTheme="minorHAnsi" w:cstheme="minorHAnsi"/>
          <w:i/>
          <w:color w:val="5B9BD5" w:themeColor="accent1"/>
          <w:sz w:val="20"/>
          <w:szCs w:val="20"/>
        </w:rPr>
        <w:t>and floodplain intermittent trees -0.2 mm yr</w:t>
      </w:r>
      <w:r w:rsidRPr="00747E35">
        <w:rPr>
          <w:rFonts w:asciiTheme="minorHAnsi" w:hAnsiTheme="minorHAnsi" w:cstheme="minorHAnsi"/>
          <w:i/>
          <w:color w:val="5B9BD5" w:themeColor="accent1"/>
          <w:sz w:val="20"/>
          <w:szCs w:val="20"/>
          <w:vertAlign w:val="superscript"/>
        </w:rPr>
        <w:t>-1</w:t>
      </w:r>
      <w:r w:rsidR="005C5AAB">
        <w:rPr>
          <w:rFonts w:asciiTheme="minorHAnsi" w:hAnsiTheme="minorHAnsi" w:cstheme="minorHAnsi"/>
          <w:i/>
          <w:color w:val="5B9BD5" w:themeColor="accent1"/>
          <w:sz w:val="20"/>
          <w:szCs w:val="20"/>
        </w:rPr>
        <w:t xml:space="preserve">. (b) </w:t>
      </w:r>
      <w:r w:rsidRPr="00747E35">
        <w:rPr>
          <w:rFonts w:asciiTheme="minorHAnsi" w:hAnsiTheme="minorHAnsi" w:cstheme="minorHAnsi"/>
          <w:i/>
          <w:color w:val="5B9BD5" w:themeColor="accent1"/>
          <w:sz w:val="20"/>
          <w:szCs w:val="20"/>
        </w:rPr>
        <w:t>Annual rainfall over the study period (October 2015 to September 2016) was 21% above the long-term average (620mm).  But rainfall varied across the study period with the late summer, early autumn period (February to April) below average with 56% of long term average (132 mm) for these months.  In contrast, June to September was 214% above the long-term average for these months (124 mm).</w:t>
      </w:r>
    </w:p>
    <w:p w14:paraId="36002F77" w14:textId="77777777" w:rsidR="003D3694" w:rsidRPr="00747E35" w:rsidRDefault="003D3694" w:rsidP="003D3694">
      <w:pPr>
        <w:rPr>
          <w:rFonts w:asciiTheme="minorHAnsi" w:hAnsiTheme="minorHAnsi" w:cstheme="minorHAnsi"/>
        </w:rPr>
      </w:pPr>
    </w:p>
    <w:p w14:paraId="4029CA9D"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3479730F" wp14:editId="127A11DE">
            <wp:extent cx="5370163" cy="3373165"/>
            <wp:effectExtent l="0" t="0" r="2540" b="0"/>
            <wp:docPr id="14386" name="Picture 5"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5371927" cy="3374273"/>
                    </a:xfrm>
                    <a:prstGeom prst="rect">
                      <a:avLst/>
                    </a:prstGeom>
                    <a:noFill/>
                    <a:ln>
                      <a:noFill/>
                    </a:ln>
                  </pic:spPr>
                </pic:pic>
              </a:graphicData>
            </a:graphic>
          </wp:inline>
        </w:drawing>
      </w:r>
    </w:p>
    <w:p w14:paraId="1E4EAF78"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61" w:name="_Ref466191548"/>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17</w:t>
      </w:r>
      <w:r w:rsidRPr="00747E35">
        <w:rPr>
          <w:rFonts w:asciiTheme="minorHAnsi" w:hAnsiTheme="minorHAnsi" w:cstheme="minorHAnsi"/>
          <w:i/>
          <w:noProof/>
          <w:color w:val="5B9BD5" w:themeColor="accent1"/>
          <w:sz w:val="20"/>
          <w:szCs w:val="20"/>
        </w:rPr>
        <w:fldChar w:fldCharType="end"/>
      </w:r>
      <w:bookmarkEnd w:id="61"/>
      <w:r w:rsidRPr="00747E35">
        <w:rPr>
          <w:rFonts w:asciiTheme="minorHAnsi" w:hAnsiTheme="minorHAnsi" w:cstheme="minorHAnsi"/>
          <w:i/>
          <w:color w:val="5B9BD5" w:themeColor="accent1"/>
          <w:sz w:val="20"/>
          <w:szCs w:val="20"/>
        </w:rPr>
        <w:t xml:space="preserve">: Analysis of the dendrometer growth curves over six months indicating different responses to rainfall events for trees in different landscape positions at Maules Creek. We analysed the response of tree diameter traces to a single large rainfall event, a sustained period of rainfall and a prolonged drought period.  </w:t>
      </w:r>
    </w:p>
    <w:p w14:paraId="4BAE5E8B"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566715BF" wp14:editId="41810361">
            <wp:extent cx="5680129" cy="3634111"/>
            <wp:effectExtent l="0" t="0" r="0" b="4445"/>
            <wp:docPr id="14387" name="Picture 14" descr="Time serie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682022" cy="3635322"/>
                    </a:xfrm>
                    <a:prstGeom prst="rect">
                      <a:avLst/>
                    </a:prstGeom>
                    <a:noFill/>
                    <a:ln>
                      <a:noFill/>
                    </a:ln>
                  </pic:spPr>
                </pic:pic>
              </a:graphicData>
            </a:graphic>
          </wp:inline>
        </w:drawing>
      </w:r>
    </w:p>
    <w:p w14:paraId="7B6DCD10" w14:textId="37AB8179"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62" w:name="_Ref466191601"/>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18</w:t>
      </w:r>
      <w:r w:rsidRPr="00747E35">
        <w:rPr>
          <w:rFonts w:asciiTheme="minorHAnsi" w:hAnsiTheme="minorHAnsi" w:cstheme="minorHAnsi"/>
          <w:i/>
          <w:noProof/>
          <w:color w:val="5B9BD5" w:themeColor="accent1"/>
          <w:sz w:val="20"/>
          <w:szCs w:val="20"/>
        </w:rPr>
        <w:fldChar w:fldCharType="end"/>
      </w:r>
      <w:bookmarkEnd w:id="62"/>
      <w:r w:rsidRPr="00747E35">
        <w:rPr>
          <w:rFonts w:asciiTheme="minorHAnsi" w:hAnsiTheme="minorHAnsi" w:cstheme="minorHAnsi"/>
          <w:i/>
          <w:color w:val="5B9BD5" w:themeColor="accent1"/>
          <w:sz w:val="20"/>
          <w:szCs w:val="20"/>
        </w:rPr>
        <w:t xml:space="preserve">: Diel stem diameter of E. camaldulensis trees in the different landscape positions at Maules Creek in response to a rainfall event 2 days prior when 18 mm rain fell over 48 hours (a) </w:t>
      </w:r>
      <w:r w:rsidR="00847A55" w:rsidRPr="00747E35">
        <w:rPr>
          <w:rFonts w:asciiTheme="minorHAnsi" w:hAnsiTheme="minorHAnsi" w:cstheme="minorHAnsi"/>
          <w:i/>
          <w:color w:val="5B9BD5" w:themeColor="accent1"/>
          <w:sz w:val="20"/>
          <w:szCs w:val="20"/>
        </w:rPr>
        <w:t xml:space="preserve">riparian </w:t>
      </w:r>
      <w:r w:rsidR="00847A55">
        <w:rPr>
          <w:rFonts w:asciiTheme="minorHAnsi" w:hAnsiTheme="minorHAnsi" w:cstheme="minorHAnsi"/>
          <w:i/>
          <w:color w:val="5B9BD5" w:themeColor="accent1"/>
          <w:sz w:val="20"/>
          <w:szCs w:val="20"/>
        </w:rPr>
        <w:t xml:space="preserve">trees from </w:t>
      </w:r>
      <w:r w:rsidRPr="00747E35">
        <w:rPr>
          <w:rFonts w:asciiTheme="minorHAnsi" w:hAnsiTheme="minorHAnsi" w:cstheme="minorHAnsi"/>
          <w:i/>
          <w:color w:val="5B9BD5" w:themeColor="accent1"/>
          <w:sz w:val="20"/>
          <w:szCs w:val="20"/>
        </w:rPr>
        <w:t xml:space="preserve">perennial and intermittent </w:t>
      </w:r>
      <w:r w:rsidR="00847A55">
        <w:rPr>
          <w:rFonts w:asciiTheme="minorHAnsi" w:hAnsiTheme="minorHAnsi" w:cstheme="minorHAnsi"/>
          <w:i/>
          <w:color w:val="5B9BD5" w:themeColor="accent1"/>
          <w:sz w:val="20"/>
          <w:szCs w:val="20"/>
        </w:rPr>
        <w:t>sites</w:t>
      </w:r>
      <w:r w:rsidRPr="00747E35">
        <w:rPr>
          <w:rFonts w:asciiTheme="minorHAnsi" w:hAnsiTheme="minorHAnsi" w:cstheme="minorHAnsi"/>
          <w:i/>
          <w:color w:val="5B9BD5" w:themeColor="accent1"/>
          <w:sz w:val="20"/>
          <w:szCs w:val="20"/>
        </w:rPr>
        <w:t xml:space="preserve"> and (b) floodplain </w:t>
      </w:r>
      <w:r w:rsidR="00847A55" w:rsidRPr="00747E35">
        <w:rPr>
          <w:rFonts w:asciiTheme="minorHAnsi" w:hAnsiTheme="minorHAnsi" w:cstheme="minorHAnsi"/>
          <w:i/>
          <w:color w:val="5B9BD5" w:themeColor="accent1"/>
          <w:sz w:val="20"/>
          <w:szCs w:val="20"/>
        </w:rPr>
        <w:t xml:space="preserve">trees </w:t>
      </w:r>
      <w:r w:rsidR="00847A55">
        <w:rPr>
          <w:rFonts w:asciiTheme="minorHAnsi" w:hAnsiTheme="minorHAnsi" w:cstheme="minorHAnsi"/>
          <w:i/>
          <w:color w:val="5B9BD5" w:themeColor="accent1"/>
          <w:sz w:val="20"/>
          <w:szCs w:val="20"/>
        </w:rPr>
        <w:t xml:space="preserve">from </w:t>
      </w:r>
      <w:r w:rsidRPr="00747E35">
        <w:rPr>
          <w:rFonts w:asciiTheme="minorHAnsi" w:hAnsiTheme="minorHAnsi" w:cstheme="minorHAnsi"/>
          <w:i/>
          <w:color w:val="5B9BD5" w:themeColor="accent1"/>
          <w:sz w:val="20"/>
          <w:szCs w:val="20"/>
        </w:rPr>
        <w:t>perennial and intermittent</w:t>
      </w:r>
      <w:r w:rsidR="00847A55">
        <w:rPr>
          <w:rFonts w:asciiTheme="minorHAnsi" w:hAnsiTheme="minorHAnsi" w:cstheme="minorHAnsi"/>
          <w:i/>
          <w:color w:val="5B9BD5" w:themeColor="accent1"/>
          <w:sz w:val="20"/>
          <w:szCs w:val="20"/>
        </w:rPr>
        <w:t xml:space="preserve"> sites</w:t>
      </w:r>
      <w:r w:rsidRPr="00747E35">
        <w:rPr>
          <w:rFonts w:asciiTheme="minorHAnsi" w:hAnsiTheme="minorHAnsi" w:cstheme="minorHAnsi"/>
          <w:i/>
          <w:color w:val="5B9BD5" w:themeColor="accent1"/>
          <w:sz w:val="20"/>
          <w:szCs w:val="20"/>
        </w:rPr>
        <w:t xml:space="preserve">. (c &amp; d) Diel stem diameter response of trees after an extended drought period (38 days of no rain) for (c) riparian perennial and intermittent </w:t>
      </w:r>
      <w:r w:rsidR="00847A55">
        <w:rPr>
          <w:rFonts w:asciiTheme="minorHAnsi" w:hAnsiTheme="minorHAnsi" w:cstheme="minorHAnsi"/>
          <w:i/>
          <w:color w:val="5B9BD5" w:themeColor="accent1"/>
          <w:sz w:val="20"/>
          <w:szCs w:val="20"/>
        </w:rPr>
        <w:t>sites</w:t>
      </w:r>
      <w:r w:rsidRPr="00747E35">
        <w:rPr>
          <w:rFonts w:asciiTheme="minorHAnsi" w:hAnsiTheme="minorHAnsi" w:cstheme="minorHAnsi"/>
          <w:i/>
          <w:color w:val="5B9BD5" w:themeColor="accent1"/>
          <w:sz w:val="20"/>
          <w:szCs w:val="20"/>
        </w:rPr>
        <w:t xml:space="preserve"> and (d) floodplain perennial and intermittent </w:t>
      </w:r>
      <w:r w:rsidR="00847A55">
        <w:rPr>
          <w:rFonts w:asciiTheme="minorHAnsi" w:hAnsiTheme="minorHAnsi" w:cstheme="minorHAnsi"/>
          <w:i/>
          <w:color w:val="5B9BD5" w:themeColor="accent1"/>
          <w:sz w:val="20"/>
          <w:szCs w:val="20"/>
        </w:rPr>
        <w:t>sites</w:t>
      </w:r>
      <w:r w:rsidRPr="00747E35">
        <w:rPr>
          <w:rFonts w:asciiTheme="minorHAnsi" w:hAnsiTheme="minorHAnsi" w:cstheme="minorHAnsi"/>
          <w:i/>
          <w:color w:val="5B9BD5" w:themeColor="accent1"/>
          <w:sz w:val="20"/>
          <w:szCs w:val="20"/>
        </w:rPr>
        <w:t>.</w:t>
      </w:r>
    </w:p>
    <w:p w14:paraId="3E60E576"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br w:type="page"/>
      </w:r>
    </w:p>
    <w:p w14:paraId="264FA314"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3D3C785D" wp14:editId="3AA9FFB3">
            <wp:extent cx="5919855" cy="4486940"/>
            <wp:effectExtent l="0" t="0" r="5080" b="8890"/>
            <wp:docPr id="14388" name="Picture 1" descr="Bi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5942414" cy="4504039"/>
                    </a:xfrm>
                    <a:prstGeom prst="rect">
                      <a:avLst/>
                    </a:prstGeom>
                    <a:noFill/>
                    <a:ln>
                      <a:noFill/>
                    </a:ln>
                  </pic:spPr>
                </pic:pic>
              </a:graphicData>
            </a:graphic>
          </wp:inline>
        </w:drawing>
      </w:r>
    </w:p>
    <w:p w14:paraId="58300D7B"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63" w:name="_Ref466191621"/>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19</w:t>
      </w:r>
      <w:r w:rsidRPr="00747E35">
        <w:rPr>
          <w:rFonts w:asciiTheme="minorHAnsi" w:hAnsiTheme="minorHAnsi" w:cstheme="minorHAnsi"/>
          <w:i/>
          <w:noProof/>
          <w:color w:val="5B9BD5" w:themeColor="accent1"/>
          <w:sz w:val="20"/>
          <w:szCs w:val="20"/>
        </w:rPr>
        <w:fldChar w:fldCharType="end"/>
      </w:r>
      <w:bookmarkEnd w:id="63"/>
      <w:r w:rsidRPr="00747E35">
        <w:rPr>
          <w:rFonts w:asciiTheme="minorHAnsi" w:hAnsiTheme="minorHAnsi" w:cstheme="minorHAnsi"/>
          <w:i/>
          <w:color w:val="5B9BD5" w:themeColor="accent1"/>
          <w:sz w:val="20"/>
          <w:szCs w:val="20"/>
        </w:rPr>
        <w:t>: Biplots of water stable isotope composition (</w:t>
      </w:r>
      <w:r w:rsidRPr="00747E35">
        <w:rPr>
          <w:rFonts w:asciiTheme="minorHAnsi" w:hAnsiTheme="minorHAnsi" w:cstheme="minorHAnsi"/>
          <w:i/>
          <w:iCs/>
          <w:color w:val="5B9BD5" w:themeColor="accent1"/>
          <w:sz w:val="20"/>
          <w:szCs w:val="20"/>
        </w:rPr>
        <w:t>δ</w:t>
      </w:r>
      <w:r w:rsidRPr="00747E35">
        <w:rPr>
          <w:rFonts w:asciiTheme="minorHAnsi" w:hAnsiTheme="minorHAnsi" w:cstheme="minorHAnsi"/>
          <w:i/>
          <w:color w:val="5B9BD5" w:themeColor="accent1"/>
          <w:sz w:val="20"/>
          <w:szCs w:val="20"/>
          <w:vertAlign w:val="superscript"/>
        </w:rPr>
        <w:t>18</w:t>
      </w:r>
      <w:r w:rsidRPr="00747E35">
        <w:rPr>
          <w:rFonts w:asciiTheme="minorHAnsi" w:hAnsiTheme="minorHAnsi" w:cstheme="minorHAnsi"/>
          <w:i/>
          <w:color w:val="5B9BD5" w:themeColor="accent1"/>
          <w:sz w:val="20"/>
          <w:szCs w:val="20"/>
        </w:rPr>
        <w:t xml:space="preserve">O and </w:t>
      </w:r>
      <w:r w:rsidRPr="00747E35">
        <w:rPr>
          <w:rFonts w:asciiTheme="minorHAnsi" w:hAnsiTheme="minorHAnsi" w:cstheme="minorHAnsi"/>
          <w:i/>
          <w:iCs/>
          <w:color w:val="5B9BD5" w:themeColor="accent1"/>
          <w:sz w:val="20"/>
          <w:szCs w:val="20"/>
        </w:rPr>
        <w:t>δ</w:t>
      </w:r>
      <w:r w:rsidRPr="00747E35">
        <w:rPr>
          <w:rFonts w:asciiTheme="minorHAnsi" w:hAnsiTheme="minorHAnsi" w:cstheme="minorHAnsi"/>
          <w:i/>
          <w:color w:val="5B9BD5" w:themeColor="accent1"/>
          <w:sz w:val="20"/>
          <w:szCs w:val="20"/>
          <w:vertAlign w:val="superscript"/>
        </w:rPr>
        <w:t>2</w:t>
      </w:r>
      <w:r w:rsidRPr="00747E35">
        <w:rPr>
          <w:rFonts w:asciiTheme="minorHAnsi" w:hAnsiTheme="minorHAnsi" w:cstheme="minorHAnsi"/>
          <w:i/>
          <w:color w:val="5B9BD5" w:themeColor="accent1"/>
          <w:sz w:val="20"/>
          <w:szCs w:val="20"/>
        </w:rPr>
        <w:t>H) from water in tree leaves (green triangles), soil water (brown circles), groundwater (dark blue squares), pool water (light blue squares) and rainfall from sites at each of the different landscape positions at the Maules Creek study site. (a) Riparian perennial, (b) Riparian intermittent, (c) Floodplain perennial and (d) Floodplain intermittent. SI values for leaves are the mean of 3 samples from 3 trees at each site for each sampling time (October 2015, March 2016 and June 2016) ±SE.  SI values for soil samples are means of 3 samples for each soil depth (cm) and each sampling time.  Groundwater samples are means of 6-10 monitoring bores at the study sites and rain water and stream water samples were opportunistically collected during field sampling</w:t>
      </w:r>
    </w:p>
    <w:p w14:paraId="46821202"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br w:type="page"/>
      </w:r>
    </w:p>
    <w:p w14:paraId="06F9A6E7"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2EC2490F" wp14:editId="4800ED1E">
            <wp:extent cx="5355771" cy="3922410"/>
            <wp:effectExtent l="0" t="0" r="0" b="1905"/>
            <wp:docPr id="14389" name="Picture 1" descr="Line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356852" cy="3923202"/>
                    </a:xfrm>
                    <a:prstGeom prst="rect">
                      <a:avLst/>
                    </a:prstGeom>
                    <a:noFill/>
                    <a:ln>
                      <a:noFill/>
                    </a:ln>
                  </pic:spPr>
                </pic:pic>
              </a:graphicData>
            </a:graphic>
          </wp:inline>
        </w:drawing>
      </w:r>
    </w:p>
    <w:p w14:paraId="3284AD08"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64" w:name="_Ref466191651"/>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20</w:t>
      </w:r>
      <w:r w:rsidRPr="00747E35">
        <w:rPr>
          <w:rFonts w:asciiTheme="minorHAnsi" w:hAnsiTheme="minorHAnsi" w:cstheme="minorHAnsi"/>
          <w:i/>
          <w:noProof/>
          <w:color w:val="5B9BD5" w:themeColor="accent1"/>
          <w:sz w:val="20"/>
          <w:szCs w:val="20"/>
        </w:rPr>
        <w:fldChar w:fldCharType="end"/>
      </w:r>
      <w:bookmarkEnd w:id="64"/>
      <w:r w:rsidRPr="00747E35">
        <w:rPr>
          <w:rFonts w:asciiTheme="minorHAnsi" w:hAnsiTheme="minorHAnsi" w:cstheme="minorHAnsi"/>
          <w:i/>
          <w:color w:val="5B9BD5" w:themeColor="accent1"/>
          <w:sz w:val="20"/>
          <w:szCs w:val="20"/>
        </w:rPr>
        <w:t xml:space="preserve">: Changes in leaf stem water (a) </w:t>
      </w:r>
      <w:r w:rsidRPr="00747E35">
        <w:rPr>
          <w:rFonts w:asciiTheme="minorHAnsi" w:hAnsiTheme="minorHAnsi" w:cstheme="minorHAnsi"/>
          <w:i/>
          <w:iCs/>
          <w:color w:val="5B9BD5" w:themeColor="accent1"/>
          <w:sz w:val="20"/>
          <w:szCs w:val="20"/>
        </w:rPr>
        <w:t>δ</w:t>
      </w:r>
      <w:r w:rsidRPr="00747E35">
        <w:rPr>
          <w:rFonts w:asciiTheme="minorHAnsi" w:hAnsiTheme="minorHAnsi" w:cstheme="minorHAnsi"/>
          <w:i/>
          <w:color w:val="5B9BD5" w:themeColor="accent1"/>
          <w:sz w:val="20"/>
          <w:szCs w:val="20"/>
          <w:vertAlign w:val="superscript"/>
        </w:rPr>
        <w:t>18</w:t>
      </w:r>
      <w:r w:rsidRPr="00747E35">
        <w:rPr>
          <w:rFonts w:asciiTheme="minorHAnsi" w:hAnsiTheme="minorHAnsi" w:cstheme="minorHAnsi"/>
          <w:i/>
          <w:color w:val="5B9BD5" w:themeColor="accent1"/>
          <w:sz w:val="20"/>
          <w:szCs w:val="20"/>
        </w:rPr>
        <w:t xml:space="preserve">O and (b) </w:t>
      </w:r>
      <w:r w:rsidRPr="00747E35">
        <w:rPr>
          <w:rFonts w:asciiTheme="minorHAnsi" w:hAnsiTheme="minorHAnsi" w:cstheme="minorHAnsi"/>
          <w:i/>
          <w:iCs/>
          <w:color w:val="5B9BD5" w:themeColor="accent1"/>
          <w:sz w:val="20"/>
          <w:szCs w:val="20"/>
        </w:rPr>
        <w:t>δ</w:t>
      </w:r>
      <w:r w:rsidRPr="00747E35">
        <w:rPr>
          <w:rFonts w:asciiTheme="minorHAnsi" w:hAnsiTheme="minorHAnsi" w:cstheme="minorHAnsi"/>
          <w:i/>
          <w:color w:val="5B9BD5" w:themeColor="accent1"/>
          <w:sz w:val="20"/>
          <w:szCs w:val="20"/>
          <w:vertAlign w:val="superscript"/>
        </w:rPr>
        <w:t>2</w:t>
      </w:r>
      <w:r w:rsidRPr="00747E35">
        <w:rPr>
          <w:rFonts w:asciiTheme="minorHAnsi" w:hAnsiTheme="minorHAnsi" w:cstheme="minorHAnsi"/>
          <w:i/>
          <w:color w:val="5B9BD5" w:themeColor="accent1"/>
          <w:sz w:val="20"/>
          <w:szCs w:val="20"/>
        </w:rPr>
        <w:t xml:space="preserve">H isotope values at each sampling time (October 2015, March 2016 and June 2016), for 3 samples for each of 3 trees in each landscape position at Maules Creek. Changes in soil (c) </w:t>
      </w:r>
      <w:r w:rsidRPr="00747E35">
        <w:rPr>
          <w:rFonts w:asciiTheme="minorHAnsi" w:hAnsiTheme="minorHAnsi" w:cstheme="minorHAnsi"/>
          <w:i/>
          <w:iCs/>
          <w:color w:val="5B9BD5" w:themeColor="accent1"/>
          <w:sz w:val="20"/>
          <w:szCs w:val="20"/>
        </w:rPr>
        <w:t>δ</w:t>
      </w:r>
      <w:r w:rsidRPr="00747E35">
        <w:rPr>
          <w:rFonts w:asciiTheme="minorHAnsi" w:hAnsiTheme="minorHAnsi" w:cstheme="minorHAnsi"/>
          <w:i/>
          <w:color w:val="5B9BD5" w:themeColor="accent1"/>
          <w:sz w:val="20"/>
          <w:szCs w:val="20"/>
          <w:vertAlign w:val="superscript"/>
        </w:rPr>
        <w:t>18</w:t>
      </w:r>
      <w:r w:rsidRPr="00747E35">
        <w:rPr>
          <w:rFonts w:asciiTheme="minorHAnsi" w:hAnsiTheme="minorHAnsi" w:cstheme="minorHAnsi"/>
          <w:i/>
          <w:color w:val="5B9BD5" w:themeColor="accent1"/>
          <w:sz w:val="20"/>
          <w:szCs w:val="20"/>
        </w:rPr>
        <w:t xml:space="preserve">O and (d) </w:t>
      </w:r>
      <w:r w:rsidRPr="00747E35">
        <w:rPr>
          <w:rFonts w:asciiTheme="minorHAnsi" w:hAnsiTheme="minorHAnsi" w:cstheme="minorHAnsi"/>
          <w:i/>
          <w:iCs/>
          <w:color w:val="5B9BD5" w:themeColor="accent1"/>
          <w:sz w:val="20"/>
          <w:szCs w:val="20"/>
        </w:rPr>
        <w:t>δ</w:t>
      </w:r>
      <w:r w:rsidRPr="00747E35">
        <w:rPr>
          <w:rFonts w:asciiTheme="minorHAnsi" w:hAnsiTheme="minorHAnsi" w:cstheme="minorHAnsi"/>
          <w:i/>
          <w:color w:val="5B9BD5" w:themeColor="accent1"/>
          <w:sz w:val="20"/>
          <w:szCs w:val="20"/>
          <w:vertAlign w:val="superscript"/>
        </w:rPr>
        <w:t>2</w:t>
      </w:r>
      <w:r w:rsidRPr="00747E35">
        <w:rPr>
          <w:rFonts w:asciiTheme="minorHAnsi" w:hAnsiTheme="minorHAnsi" w:cstheme="minorHAnsi"/>
          <w:i/>
          <w:color w:val="5B9BD5" w:themeColor="accent1"/>
          <w:sz w:val="20"/>
          <w:szCs w:val="20"/>
        </w:rPr>
        <w:t>H isotope values at each sampling time. For reference, groundwater isotope values are given on each graph during the study period (red diamonds).</w:t>
      </w:r>
    </w:p>
    <w:p w14:paraId="26EEDFD4" w14:textId="77777777" w:rsidR="003D3694" w:rsidRPr="00747E35" w:rsidRDefault="003D3694" w:rsidP="003D3694">
      <w:pPr>
        <w:rPr>
          <w:rFonts w:asciiTheme="minorHAnsi" w:hAnsiTheme="minorHAnsi" w:cstheme="minorHAnsi"/>
        </w:rPr>
      </w:pPr>
    </w:p>
    <w:p w14:paraId="350D8C47"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46258352" wp14:editId="2B63C443">
            <wp:extent cx="5826642" cy="2222418"/>
            <wp:effectExtent l="0" t="0" r="3175" b="6985"/>
            <wp:docPr id="14390" name="Picture 2" descr="Line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5845099" cy="2229458"/>
                    </a:xfrm>
                    <a:prstGeom prst="rect">
                      <a:avLst/>
                    </a:prstGeom>
                    <a:noFill/>
                    <a:ln>
                      <a:noFill/>
                    </a:ln>
                  </pic:spPr>
                </pic:pic>
              </a:graphicData>
            </a:graphic>
          </wp:inline>
        </w:drawing>
      </w:r>
    </w:p>
    <w:p w14:paraId="63CB4579"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65" w:name="_Ref466191669"/>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21</w:t>
      </w:r>
      <w:r w:rsidRPr="00747E35">
        <w:rPr>
          <w:rFonts w:asciiTheme="minorHAnsi" w:hAnsiTheme="minorHAnsi" w:cstheme="minorHAnsi"/>
          <w:i/>
          <w:noProof/>
          <w:color w:val="5B9BD5" w:themeColor="accent1"/>
          <w:sz w:val="20"/>
          <w:szCs w:val="20"/>
        </w:rPr>
        <w:fldChar w:fldCharType="end"/>
      </w:r>
      <w:bookmarkEnd w:id="65"/>
      <w:r w:rsidRPr="00747E35">
        <w:rPr>
          <w:rFonts w:asciiTheme="minorHAnsi" w:hAnsiTheme="minorHAnsi" w:cstheme="minorHAnsi"/>
          <w:i/>
          <w:color w:val="5B9BD5" w:themeColor="accent1"/>
          <w:sz w:val="20"/>
          <w:szCs w:val="20"/>
        </w:rPr>
        <w:t xml:space="preserve">: Relationship between soil depth and soil water a) </w:t>
      </w:r>
      <w:r w:rsidRPr="00747E35">
        <w:rPr>
          <w:rFonts w:asciiTheme="minorHAnsi" w:hAnsiTheme="minorHAnsi" w:cstheme="minorHAnsi"/>
          <w:i/>
          <w:iCs/>
          <w:color w:val="5B9BD5" w:themeColor="accent1"/>
          <w:sz w:val="20"/>
          <w:szCs w:val="20"/>
        </w:rPr>
        <w:t>δ</w:t>
      </w:r>
      <w:r w:rsidRPr="00747E35">
        <w:rPr>
          <w:rFonts w:asciiTheme="minorHAnsi" w:hAnsiTheme="minorHAnsi" w:cstheme="minorHAnsi"/>
          <w:i/>
          <w:color w:val="5B9BD5" w:themeColor="accent1"/>
          <w:sz w:val="20"/>
          <w:szCs w:val="20"/>
          <w:vertAlign w:val="superscript"/>
        </w:rPr>
        <w:t>18</w:t>
      </w:r>
      <w:r w:rsidRPr="00747E35">
        <w:rPr>
          <w:rFonts w:asciiTheme="minorHAnsi" w:hAnsiTheme="minorHAnsi" w:cstheme="minorHAnsi"/>
          <w:i/>
          <w:color w:val="5B9BD5" w:themeColor="accent1"/>
          <w:sz w:val="20"/>
          <w:szCs w:val="20"/>
        </w:rPr>
        <w:t xml:space="preserve">O and b) </w:t>
      </w:r>
      <w:r w:rsidRPr="00747E35">
        <w:rPr>
          <w:rFonts w:asciiTheme="minorHAnsi" w:hAnsiTheme="minorHAnsi" w:cstheme="minorHAnsi"/>
          <w:i/>
          <w:iCs/>
          <w:color w:val="5B9BD5" w:themeColor="accent1"/>
          <w:sz w:val="20"/>
          <w:szCs w:val="20"/>
        </w:rPr>
        <w:t>δ</w:t>
      </w:r>
      <w:r w:rsidRPr="00747E35">
        <w:rPr>
          <w:rFonts w:asciiTheme="minorHAnsi" w:hAnsiTheme="minorHAnsi" w:cstheme="minorHAnsi"/>
          <w:i/>
          <w:color w:val="5B9BD5" w:themeColor="accent1"/>
          <w:sz w:val="20"/>
          <w:szCs w:val="20"/>
          <w:vertAlign w:val="superscript"/>
        </w:rPr>
        <w:t>2</w:t>
      </w:r>
      <w:r w:rsidRPr="00747E35">
        <w:rPr>
          <w:rFonts w:asciiTheme="minorHAnsi" w:hAnsiTheme="minorHAnsi" w:cstheme="minorHAnsi"/>
          <w:i/>
          <w:color w:val="5B9BD5" w:themeColor="accent1"/>
          <w:sz w:val="20"/>
          <w:szCs w:val="20"/>
        </w:rPr>
        <w:t xml:space="preserve">H isotope values from Maules Creek samples. Reference average (±SE) groundwater isotope values are given on each graph (red diamond). Soil water </w:t>
      </w:r>
      <w:r w:rsidRPr="00747E35">
        <w:rPr>
          <w:rFonts w:asciiTheme="minorHAnsi" w:hAnsiTheme="minorHAnsi" w:cstheme="minorHAnsi"/>
          <w:i/>
          <w:iCs/>
          <w:color w:val="5B9BD5" w:themeColor="accent1"/>
          <w:sz w:val="20"/>
          <w:szCs w:val="20"/>
        </w:rPr>
        <w:t>δ</w:t>
      </w:r>
      <w:r w:rsidRPr="00747E35">
        <w:rPr>
          <w:rFonts w:asciiTheme="minorHAnsi" w:hAnsiTheme="minorHAnsi" w:cstheme="minorHAnsi"/>
          <w:i/>
          <w:color w:val="5B9BD5" w:themeColor="accent1"/>
          <w:sz w:val="20"/>
          <w:szCs w:val="20"/>
          <w:vertAlign w:val="superscript"/>
        </w:rPr>
        <w:t>18</w:t>
      </w:r>
      <w:r w:rsidRPr="00747E35">
        <w:rPr>
          <w:rFonts w:asciiTheme="minorHAnsi" w:hAnsiTheme="minorHAnsi" w:cstheme="minorHAnsi"/>
          <w:i/>
          <w:color w:val="5B9BD5" w:themeColor="accent1"/>
          <w:sz w:val="20"/>
          <w:szCs w:val="20"/>
        </w:rPr>
        <w:t xml:space="preserve">O and </w:t>
      </w:r>
      <w:r w:rsidRPr="00747E35">
        <w:rPr>
          <w:rFonts w:asciiTheme="minorHAnsi" w:hAnsiTheme="minorHAnsi" w:cstheme="minorHAnsi"/>
          <w:i/>
          <w:iCs/>
          <w:color w:val="5B9BD5" w:themeColor="accent1"/>
          <w:sz w:val="20"/>
          <w:szCs w:val="20"/>
        </w:rPr>
        <w:t>δ</w:t>
      </w:r>
      <w:r w:rsidRPr="00747E35">
        <w:rPr>
          <w:rFonts w:asciiTheme="minorHAnsi" w:hAnsiTheme="minorHAnsi" w:cstheme="minorHAnsi"/>
          <w:i/>
          <w:color w:val="5B9BD5" w:themeColor="accent1"/>
          <w:sz w:val="20"/>
          <w:szCs w:val="20"/>
          <w:vertAlign w:val="superscript"/>
        </w:rPr>
        <w:t>2</w:t>
      </w:r>
      <w:r w:rsidRPr="00747E35">
        <w:rPr>
          <w:rFonts w:asciiTheme="minorHAnsi" w:hAnsiTheme="minorHAnsi" w:cstheme="minorHAnsi"/>
          <w:i/>
          <w:color w:val="5B9BD5" w:themeColor="accent1"/>
          <w:sz w:val="20"/>
          <w:szCs w:val="20"/>
        </w:rPr>
        <w:t xml:space="preserve">H isotope values were more positive in upper than in lower soil layers, and became more negative with depth. </w:t>
      </w:r>
    </w:p>
    <w:p w14:paraId="08353051" w14:textId="77777777" w:rsidR="003D3694" w:rsidRPr="00747E35" w:rsidRDefault="003D3694" w:rsidP="003D3694">
      <w:pPr>
        <w:rPr>
          <w:rFonts w:asciiTheme="minorHAnsi" w:hAnsiTheme="minorHAnsi" w:cstheme="minorHAnsi"/>
        </w:rPr>
      </w:pPr>
    </w:p>
    <w:p w14:paraId="7B8B427A"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2F9B100F" wp14:editId="0D6B8ADD">
            <wp:extent cx="5682343" cy="3861197"/>
            <wp:effectExtent l="0" t="0" r="0" b="6350"/>
            <wp:docPr id="14391" name="Picture 18" descr="Bi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683224" cy="3861796"/>
                    </a:xfrm>
                    <a:prstGeom prst="rect">
                      <a:avLst/>
                    </a:prstGeom>
                    <a:noFill/>
                    <a:ln>
                      <a:noFill/>
                    </a:ln>
                  </pic:spPr>
                </pic:pic>
              </a:graphicData>
            </a:graphic>
          </wp:inline>
        </w:drawing>
      </w:r>
    </w:p>
    <w:p w14:paraId="28824539"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66" w:name="_Ref466191710"/>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22</w:t>
      </w:r>
      <w:r w:rsidRPr="00747E35">
        <w:rPr>
          <w:rFonts w:asciiTheme="minorHAnsi" w:hAnsiTheme="minorHAnsi" w:cstheme="minorHAnsi"/>
          <w:i/>
          <w:noProof/>
          <w:color w:val="5B9BD5" w:themeColor="accent1"/>
          <w:sz w:val="20"/>
          <w:szCs w:val="20"/>
        </w:rPr>
        <w:fldChar w:fldCharType="end"/>
      </w:r>
      <w:bookmarkEnd w:id="66"/>
      <w:r w:rsidRPr="00747E35">
        <w:rPr>
          <w:rFonts w:asciiTheme="minorHAnsi" w:hAnsiTheme="minorHAnsi" w:cstheme="minorHAnsi"/>
          <w:i/>
          <w:color w:val="5B9BD5" w:themeColor="accent1"/>
          <w:sz w:val="20"/>
          <w:szCs w:val="20"/>
        </w:rPr>
        <w:t>: Daily maximum stem diameter expansion and δ</w:t>
      </w:r>
      <w:r w:rsidRPr="00747E35">
        <w:rPr>
          <w:rFonts w:asciiTheme="minorHAnsi" w:hAnsiTheme="minorHAnsi" w:cstheme="minorHAnsi"/>
          <w:i/>
          <w:color w:val="5B9BD5" w:themeColor="accent1"/>
          <w:sz w:val="20"/>
          <w:szCs w:val="20"/>
          <w:vertAlign w:val="superscript"/>
        </w:rPr>
        <w:t>18</w:t>
      </w:r>
      <w:r w:rsidRPr="00747E35">
        <w:rPr>
          <w:rFonts w:asciiTheme="minorHAnsi" w:hAnsiTheme="minorHAnsi" w:cstheme="minorHAnsi"/>
          <w:i/>
          <w:color w:val="5B9BD5" w:themeColor="accent1"/>
          <w:sz w:val="20"/>
          <w:szCs w:val="20"/>
        </w:rPr>
        <w:t xml:space="preserve">0 values of tree leaf water for each month for </w:t>
      </w:r>
      <w:r w:rsidRPr="00747E35">
        <w:rPr>
          <w:rFonts w:asciiTheme="minorHAnsi" w:hAnsiTheme="minorHAnsi" w:cstheme="minorHAnsi"/>
          <w:i/>
          <w:iCs/>
          <w:color w:val="5B9BD5" w:themeColor="accent1"/>
          <w:sz w:val="20"/>
          <w:szCs w:val="20"/>
        </w:rPr>
        <w:t xml:space="preserve">E. camaldulesis </w:t>
      </w:r>
      <w:r w:rsidRPr="00747E35">
        <w:rPr>
          <w:rFonts w:asciiTheme="minorHAnsi" w:hAnsiTheme="minorHAnsi" w:cstheme="minorHAnsi"/>
          <w:i/>
          <w:color w:val="5B9BD5" w:themeColor="accent1"/>
          <w:sz w:val="20"/>
          <w:szCs w:val="20"/>
        </w:rPr>
        <w:t>trees in the different landscape positions at Maules Creek.  Dark blue are trees at the riparian perennial site (mean ±SE of 3 trees); dark green are trees at the floodplain perennial site; light blue are trees at the riparian intermittent sites; light green are trees at the floodplain intermittent site. October 2015 sampling (circles), March 2016 sampling (squares), June 2016 sampling (triangles).  For all landscape positions, diel maximum stem expansion, as a measure of tree hydration, showed highest values in June (winter) and lowest values in March (late summer). Riparian trees adjacent to the perennial pool showed the highest stem expansion across all dates and increments were higher in March than in winter at the other sites. Seasonal changes in water source availability that produced enriched δ</w:t>
      </w:r>
      <w:r w:rsidRPr="00747E35">
        <w:rPr>
          <w:rFonts w:asciiTheme="minorHAnsi" w:hAnsiTheme="minorHAnsi" w:cstheme="minorHAnsi"/>
          <w:i/>
          <w:color w:val="5B9BD5" w:themeColor="accent1"/>
          <w:sz w:val="20"/>
          <w:szCs w:val="20"/>
          <w:vertAlign w:val="superscript"/>
        </w:rPr>
        <w:t>18</w:t>
      </w:r>
      <w:r w:rsidRPr="00747E35">
        <w:rPr>
          <w:rFonts w:asciiTheme="minorHAnsi" w:hAnsiTheme="minorHAnsi" w:cstheme="minorHAnsi"/>
          <w:i/>
          <w:color w:val="5B9BD5" w:themeColor="accent1"/>
          <w:sz w:val="20"/>
          <w:szCs w:val="20"/>
        </w:rPr>
        <w:t>O values of plants were generally accompanied by higher stem expansion for all landscape positions.  For all sites leaf water δ</w:t>
      </w:r>
      <w:r w:rsidRPr="00747E35">
        <w:rPr>
          <w:rFonts w:asciiTheme="minorHAnsi" w:hAnsiTheme="minorHAnsi" w:cstheme="minorHAnsi"/>
          <w:i/>
          <w:color w:val="5B9BD5" w:themeColor="accent1"/>
          <w:sz w:val="20"/>
          <w:szCs w:val="20"/>
          <w:vertAlign w:val="superscript"/>
        </w:rPr>
        <w:t>18</w:t>
      </w:r>
      <w:r w:rsidRPr="00747E35">
        <w:rPr>
          <w:rFonts w:asciiTheme="minorHAnsi" w:hAnsiTheme="minorHAnsi" w:cstheme="minorHAnsi"/>
          <w:i/>
          <w:color w:val="5B9BD5" w:themeColor="accent1"/>
          <w:sz w:val="20"/>
          <w:szCs w:val="20"/>
        </w:rPr>
        <w:t>O values were significantly enriched (higher) in March than at the other sampling times and maximum diel stem expansion was significantly greater in June and for perennial sites compared with intermittent sites.</w:t>
      </w:r>
    </w:p>
    <w:p w14:paraId="28A65BC6" w14:textId="77777777" w:rsidR="003D3694" w:rsidRPr="00747E35" w:rsidRDefault="003D3694" w:rsidP="003D3694">
      <w:pPr>
        <w:rPr>
          <w:rFonts w:asciiTheme="minorHAnsi" w:hAnsiTheme="minorHAnsi" w:cstheme="minorHAnsi"/>
        </w:rPr>
      </w:pPr>
    </w:p>
    <w:p w14:paraId="111B7A06"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br w:type="page"/>
      </w:r>
    </w:p>
    <w:p w14:paraId="6624E968" w14:textId="6A4C1478" w:rsidR="003D3694" w:rsidRPr="00747E35" w:rsidRDefault="003D3694" w:rsidP="005F6F29">
      <w:pPr>
        <w:pStyle w:val="Heading3"/>
        <w:rPr>
          <w:rFonts w:asciiTheme="minorHAnsi" w:hAnsiTheme="minorHAnsi" w:cstheme="minorHAnsi"/>
          <w:lang w:eastAsia="en-AU"/>
        </w:rPr>
      </w:pPr>
      <w:bookmarkStart w:id="67" w:name="_Toc470004829"/>
      <w:r w:rsidRPr="00747E35">
        <w:rPr>
          <w:rFonts w:asciiTheme="minorHAnsi" w:hAnsiTheme="minorHAnsi" w:cstheme="minorHAnsi"/>
          <w:lang w:eastAsia="en-AU"/>
        </w:rPr>
        <w:lastRenderedPageBreak/>
        <w:t>Using remote sensing to assess the spatial and temporal dependency of plant communities on groundwater</w:t>
      </w:r>
      <w:bookmarkEnd w:id="67"/>
    </w:p>
    <w:p w14:paraId="311B2196" w14:textId="229B0D0A" w:rsidR="003D3694" w:rsidRPr="00747E35" w:rsidRDefault="003D3694" w:rsidP="003D3694">
      <w:pPr>
        <w:rPr>
          <w:rFonts w:asciiTheme="minorHAnsi" w:hAnsiTheme="minorHAnsi" w:cstheme="minorHAnsi"/>
        </w:rPr>
      </w:pPr>
      <w:r w:rsidRPr="00747E35">
        <w:rPr>
          <w:rFonts w:asciiTheme="minorHAnsi" w:hAnsiTheme="minorHAnsi" w:cstheme="minorHAnsi"/>
        </w:rPr>
        <w:t>For the Maules Creek study area we present the NDVI PC1 and PC2 grids colour-coded to highlight the areas of the highest magnitude of both positive and negative PC1 and PC2 values by the most intense colour tone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_Ref466191753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23</w:t>
      </w:r>
      <w:r w:rsidRPr="00747E35">
        <w:rPr>
          <w:rFonts w:asciiTheme="minorHAnsi" w:hAnsiTheme="minorHAnsi" w:cstheme="minorHAnsi"/>
        </w:rPr>
        <w:fldChar w:fldCharType="end"/>
      </w:r>
      <w:r w:rsidRPr="00747E35">
        <w:rPr>
          <w:rFonts w:asciiTheme="minorHAnsi" w:hAnsiTheme="minorHAnsi" w:cstheme="minorHAnsi"/>
        </w:rPr>
        <w:t>). Visual analysis of the spatial distribution of these values on the NDVI PC1 grids allows us to distinguish regions of persistently green (dark green) land cover from the patches of bare soil indicated by red colour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_Ref466191753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23</w:t>
      </w:r>
      <w:r w:rsidRPr="00747E35">
        <w:rPr>
          <w:rFonts w:asciiTheme="minorHAnsi" w:hAnsiTheme="minorHAnsi" w:cstheme="minorHAnsi"/>
        </w:rPr>
        <w:fldChar w:fldCharType="end"/>
      </w:r>
      <w:r w:rsidRPr="00747E35">
        <w:rPr>
          <w:rFonts w:asciiTheme="minorHAnsi" w:hAnsiTheme="minorHAnsi" w:cstheme="minorHAnsi"/>
        </w:rPr>
        <w:t>). The results of the ISODATA clustering applied to both the NDVI and NDWI PC1 and PC2 grids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_Ref466191753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23</w:t>
      </w:r>
      <w:r w:rsidRPr="00747E35">
        <w:rPr>
          <w:rFonts w:asciiTheme="minorHAnsi" w:hAnsiTheme="minorHAnsi" w:cstheme="minorHAnsi"/>
        </w:rPr>
        <w:fldChar w:fldCharType="end"/>
      </w:r>
      <w:r w:rsidRPr="00747E35">
        <w:rPr>
          <w:rFonts w:asciiTheme="minorHAnsi" w:hAnsiTheme="minorHAnsi" w:cstheme="minorHAnsi"/>
        </w:rPr>
        <w:t>) within the delineated area delineated the spatial extent of remnant vegetation including riparian, floodplain and terrestrial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_Ref466191778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24</w:t>
      </w:r>
      <w:r w:rsidRPr="00747E35">
        <w:rPr>
          <w:rFonts w:asciiTheme="minorHAnsi" w:hAnsiTheme="minorHAnsi" w:cstheme="minorHAnsi"/>
        </w:rPr>
        <w:fldChar w:fldCharType="end"/>
      </w:r>
      <w:r w:rsidRPr="00747E35">
        <w:rPr>
          <w:rFonts w:asciiTheme="minorHAnsi" w:hAnsiTheme="minorHAnsi" w:cstheme="minorHAnsi"/>
        </w:rPr>
        <w:t>). Seven types (classes) were determined in terms of their eco-hydrological conditions. These classes included: 1) open water, 2) riparian vegetation along perennial streams; 3) vegetation within floodplains; 4) riparian vegetation along intermittent streams; 5, 6) two vegetation classes outside of the riverine systems in terrestrial areas; and 7) one indistinguished class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_Ref466191791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10</w:t>
      </w:r>
      <w:r w:rsidRPr="00747E35">
        <w:rPr>
          <w:rFonts w:asciiTheme="minorHAnsi" w:hAnsiTheme="minorHAnsi" w:cstheme="minorHAnsi"/>
        </w:rPr>
        <w:fldChar w:fldCharType="end"/>
      </w:r>
      <w:r w:rsidRPr="00747E35">
        <w:rPr>
          <w:rFonts w:asciiTheme="minorHAnsi" w:hAnsiTheme="minorHAnsi" w:cstheme="minorHAnsi"/>
        </w:rPr>
        <w:t>, Figure 23).</w:t>
      </w:r>
    </w:p>
    <w:p w14:paraId="78E4330F" w14:textId="3D5A4007" w:rsidR="003D3694" w:rsidRPr="00747E35" w:rsidRDefault="003D3694" w:rsidP="003D3694">
      <w:pPr>
        <w:rPr>
          <w:rFonts w:asciiTheme="minorHAnsi" w:hAnsiTheme="minorHAnsi" w:cstheme="minorHAnsi"/>
        </w:rPr>
      </w:pPr>
      <w:r w:rsidRPr="00747E35">
        <w:rPr>
          <w:rFonts w:asciiTheme="minorHAnsi" w:hAnsiTheme="minorHAnsi" w:cstheme="minorHAnsi"/>
        </w:rPr>
        <w:t>The statistical analysis of NDVI and NDWI was undertaken for the identified RV classes. Mean, minimum and maximum NDVI and NDWI values at individual pixels within each class were estimated and their ranges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_Ref466191806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25</w:t>
      </w:r>
      <w:r w:rsidRPr="00747E35">
        <w:rPr>
          <w:rFonts w:asciiTheme="minorHAnsi" w:hAnsiTheme="minorHAnsi" w:cstheme="minorHAnsi"/>
        </w:rPr>
        <w:fldChar w:fldCharType="end"/>
      </w:r>
      <w:r w:rsidRPr="00747E35">
        <w:rPr>
          <w:rFonts w:asciiTheme="minorHAnsi" w:hAnsiTheme="minorHAnsi" w:cstheme="minorHAnsi"/>
        </w:rPr>
        <w:t>). Within the study area the NDWI range indicated that this index is more sensitive to the variability in depth to groundwater compared to NDVI. However, both RS indices are substantially lower where groundwater is deep. The variability of NDVI and NDWI time series at the vegetation observation points grouped accordingly to their RV classes with the NDVI ranges lower than NDWI ranges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_Ref466191806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25</w:t>
      </w:r>
      <w:r w:rsidRPr="00747E35">
        <w:rPr>
          <w:rFonts w:asciiTheme="minorHAnsi" w:hAnsiTheme="minorHAnsi" w:cstheme="minorHAnsi"/>
        </w:rPr>
        <w:fldChar w:fldCharType="end"/>
      </w:r>
      <w:r w:rsidRPr="00747E35">
        <w:rPr>
          <w:rFonts w:asciiTheme="minorHAnsi" w:hAnsiTheme="minorHAnsi" w:cstheme="minorHAnsi"/>
        </w:rPr>
        <w:t>). NDVI and NDWI value ranges gradually reduce from class 2 to class 6 but the proportion of the negative NDWI values increased from class 4 to class 6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_Ref466191821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26</w:t>
      </w:r>
      <w:r w:rsidRPr="00747E35">
        <w:rPr>
          <w:rFonts w:asciiTheme="minorHAnsi" w:hAnsiTheme="minorHAnsi" w:cstheme="minorHAnsi"/>
        </w:rPr>
        <w:fldChar w:fldCharType="end"/>
      </w:r>
      <w:r w:rsidRPr="00747E35">
        <w:rPr>
          <w:rFonts w:asciiTheme="minorHAnsi" w:hAnsiTheme="minorHAnsi" w:cstheme="minorHAnsi"/>
        </w:rPr>
        <w:t xml:space="preserve">), which is likely to be indicative of the less persistent access of vegetation to water. </w:t>
      </w:r>
    </w:p>
    <w:p w14:paraId="6587AFCC" w14:textId="0940939E" w:rsidR="003D3694" w:rsidRPr="00747E35" w:rsidRDefault="003D3694" w:rsidP="003D3694">
      <w:pPr>
        <w:rPr>
          <w:rFonts w:asciiTheme="minorHAnsi" w:hAnsiTheme="minorHAnsi" w:cstheme="minorHAnsi"/>
        </w:rPr>
      </w:pPr>
      <w:r w:rsidRPr="00747E35">
        <w:rPr>
          <w:rFonts w:asciiTheme="minorHAnsi" w:hAnsiTheme="minorHAnsi" w:cstheme="minorHAnsi"/>
        </w:rPr>
        <w:t>A scatterplot of intercepts and slopes estimated by the linear regressions between NDVI and NDWI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_Ref466191832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27</w:t>
      </w:r>
      <w:r w:rsidRPr="00747E35">
        <w:rPr>
          <w:rFonts w:asciiTheme="minorHAnsi" w:hAnsiTheme="minorHAnsi" w:cstheme="minorHAnsi"/>
        </w:rPr>
        <w:fldChar w:fldCharType="end"/>
      </w:r>
      <w:r w:rsidRPr="00747E35">
        <w:rPr>
          <w:rFonts w:asciiTheme="minorHAnsi" w:hAnsiTheme="minorHAnsi" w:cstheme="minorHAnsi"/>
        </w:rPr>
        <w:t>) shows that high value intercepts are associated with relatively lower slopes, indicating the high and persistent NDVI (vegetation greenness) with lower dependence on NDWI. On the other hand, the lower values of intercepts and higher slope values allow inferring a greater dependency of NDVI values on NDWI and show lower vegetation greenness under drier conditions (NDWI&lt;0). Hence it appears that vegetation with an access to groundwater or permanent surface water is likely to be characterised by high intercept and low slope values in linear regressions describing relationship between NDVI and NDWI. Seasonal variability of NDVI values for all observation points within each RV class show the mean monthly NDVI are highest in the early winter (June-July) and the lowest in late spring – early summer (November-December)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_Ref466191840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28</w:t>
      </w:r>
      <w:r w:rsidRPr="00747E35">
        <w:rPr>
          <w:rFonts w:asciiTheme="minorHAnsi" w:hAnsiTheme="minorHAnsi" w:cstheme="minorHAnsi"/>
        </w:rPr>
        <w:fldChar w:fldCharType="end"/>
      </w:r>
      <w:r w:rsidRPr="00747E35">
        <w:rPr>
          <w:rFonts w:asciiTheme="minorHAnsi" w:hAnsiTheme="minorHAnsi" w:cstheme="minorHAnsi"/>
        </w:rPr>
        <w:t>).</w:t>
      </w:r>
    </w:p>
    <w:p w14:paraId="21700DF0" w14:textId="3097052C" w:rsidR="003D3694" w:rsidRPr="00747E35" w:rsidRDefault="003D3694" w:rsidP="003D3694">
      <w:pPr>
        <w:rPr>
          <w:rFonts w:asciiTheme="minorHAnsi" w:hAnsiTheme="minorHAnsi" w:cstheme="minorHAnsi"/>
        </w:rPr>
      </w:pPr>
      <w:r w:rsidRPr="00747E35">
        <w:rPr>
          <w:rFonts w:asciiTheme="minorHAnsi" w:hAnsiTheme="minorHAnsi" w:cstheme="minorHAnsi"/>
        </w:rPr>
        <w:t>NDVI dependence on climatic conditions was assessed for each of the MLR clusters. The remnant vegetation extent is mainly included in cluster 4 and partially in cluster 6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_Ref466191847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29</w:t>
      </w:r>
      <w:r w:rsidRPr="00747E35">
        <w:rPr>
          <w:rFonts w:asciiTheme="minorHAnsi" w:hAnsiTheme="minorHAnsi" w:cstheme="minorHAnsi"/>
        </w:rPr>
        <w:fldChar w:fldCharType="end"/>
      </w:r>
      <w:r w:rsidRPr="00747E35">
        <w:rPr>
          <w:rFonts w:asciiTheme="minorHAnsi" w:hAnsiTheme="minorHAnsi" w:cstheme="minorHAnsi"/>
        </w:rPr>
        <w:t>). The red (cluster 4) and green (cluster 6) curves are the least variable and relatively low (close to zero) values of all MLR coefficients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_Ref466191847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29</w:t>
      </w:r>
      <w:r w:rsidRPr="00747E35">
        <w:rPr>
          <w:rFonts w:asciiTheme="minorHAnsi" w:hAnsiTheme="minorHAnsi" w:cstheme="minorHAnsi"/>
        </w:rPr>
        <w:fldChar w:fldCharType="end"/>
      </w:r>
      <w:r w:rsidRPr="00747E35">
        <w:rPr>
          <w:rFonts w:asciiTheme="minorHAnsi" w:hAnsiTheme="minorHAnsi" w:cstheme="minorHAnsi"/>
        </w:rPr>
        <w:t>). All clusters exhibit similar mean MLR coefficients value distributions for all seven immediate climate variables. Among the other immediate climate parameters, pan evaporation shows the largest negative impact on NDVI.  In comparison, the NDVI response to the annual climate parameters is different across various clusters. Clusters 1 and 2, for example, show a relatively large negative dependence on annual maximum temperature, pan evaporation and vapour pressure, while the other four clusters are positively correlated with annual maximum temperature and vapour pressure. Clusters 1, 2 and 6 indicate a relatively high dependence on the annual vapour pressure deficit climate parameter in comparison with the other clusters. It appears that remnant vegetation is independent from both immediate and annual rainfall. Analysis of the MLR RV coefficients at the observation points also demonstrated a greater dependence of NDVI on annual climate parameters rather than on the immediate meteorological conditions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_Ref466191863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30</w:t>
      </w:r>
      <w:r w:rsidRPr="00747E35">
        <w:rPr>
          <w:rFonts w:asciiTheme="minorHAnsi" w:hAnsiTheme="minorHAnsi" w:cstheme="minorHAnsi"/>
        </w:rPr>
        <w:fldChar w:fldCharType="end"/>
      </w:r>
      <w:r w:rsidRPr="00747E35">
        <w:rPr>
          <w:rFonts w:asciiTheme="minorHAnsi" w:hAnsiTheme="minorHAnsi" w:cstheme="minorHAnsi"/>
        </w:rPr>
        <w:t xml:space="preserve">). The largest (negative) impact on NDVI among the immediate climate parameters was identified for pan evaporation. A dependence of NDVI on the annual climate parameters such as vapour pressure </w:t>
      </w:r>
      <w:r w:rsidRPr="00747E35">
        <w:rPr>
          <w:rFonts w:asciiTheme="minorHAnsi" w:hAnsiTheme="minorHAnsi" w:cstheme="minorHAnsi"/>
        </w:rPr>
        <w:lastRenderedPageBreak/>
        <w:t>(positive), vapour pressure deficit (positive), maximum temperature (negative) and pan evaporation (negative) is gradually reduced from cluster 2 to cluster 6 and is minimal for terrestrial vegetation (clusters 5 and 6)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_Ref466191863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30</w:t>
      </w:r>
      <w:r w:rsidRPr="00747E35">
        <w:rPr>
          <w:rFonts w:asciiTheme="minorHAnsi" w:hAnsiTheme="minorHAnsi" w:cstheme="minorHAnsi"/>
        </w:rPr>
        <w:fldChar w:fldCharType="end"/>
      </w:r>
      <w:r w:rsidRPr="00747E35">
        <w:rPr>
          <w:rFonts w:asciiTheme="minorHAnsi" w:hAnsiTheme="minorHAnsi" w:cstheme="minorHAnsi"/>
        </w:rPr>
        <w:t xml:space="preserve">). </w:t>
      </w:r>
    </w:p>
    <w:p w14:paraId="62D36815" w14:textId="7570E21E" w:rsidR="003D3694" w:rsidRPr="00747E35" w:rsidRDefault="003D3694" w:rsidP="003D3694">
      <w:pPr>
        <w:rPr>
          <w:rFonts w:asciiTheme="minorHAnsi" w:hAnsiTheme="minorHAnsi" w:cstheme="minorHAnsi"/>
        </w:rPr>
      </w:pPr>
      <w:r w:rsidRPr="00747E35">
        <w:rPr>
          <w:rFonts w:asciiTheme="minorHAnsi" w:hAnsiTheme="minorHAnsi" w:cstheme="minorHAnsi"/>
        </w:rPr>
        <w:t>Available monitoring data clearly indicate the effect of groundwater abstraction on groundwater levels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_Ref466191879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31</w:t>
      </w:r>
      <w:r w:rsidRPr="00747E35">
        <w:rPr>
          <w:rFonts w:asciiTheme="minorHAnsi" w:hAnsiTheme="minorHAnsi" w:cstheme="minorHAnsi"/>
        </w:rPr>
        <w:fldChar w:fldCharType="end"/>
      </w:r>
      <w:r w:rsidRPr="00747E35">
        <w:rPr>
          <w:rFonts w:asciiTheme="minorHAnsi" w:hAnsiTheme="minorHAnsi" w:cstheme="minorHAnsi"/>
        </w:rPr>
        <w:t>). In addition to the effect of the interannual rainfall variability, this results in an overall greater groundwater downward trends than in the area unaffected by groundwater use for irrigation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_Ref466191879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31</w:t>
      </w:r>
      <w:r w:rsidRPr="00747E35">
        <w:rPr>
          <w:rFonts w:asciiTheme="minorHAnsi" w:hAnsiTheme="minorHAnsi" w:cstheme="minorHAnsi"/>
        </w:rPr>
        <w:fldChar w:fldCharType="end"/>
      </w:r>
      <w:r w:rsidRPr="00747E35">
        <w:rPr>
          <w:rFonts w:asciiTheme="minorHAnsi" w:hAnsiTheme="minorHAnsi" w:cstheme="minorHAnsi"/>
        </w:rPr>
        <w:t>). These trends were modelled for all groundwater monitoring locations by a linear regression and measured by the regression slope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_Ref466191894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32</w:t>
      </w:r>
      <w:r w:rsidRPr="00747E35">
        <w:rPr>
          <w:rFonts w:asciiTheme="minorHAnsi" w:hAnsiTheme="minorHAnsi" w:cstheme="minorHAnsi"/>
        </w:rPr>
        <w:fldChar w:fldCharType="end"/>
      </w:r>
      <w:r w:rsidRPr="00747E35">
        <w:rPr>
          <w:rFonts w:asciiTheme="minorHAnsi" w:hAnsiTheme="minorHAnsi" w:cstheme="minorHAnsi"/>
        </w:rPr>
        <w:t>a). The bores affected by groundwater abstraction are characterized by slopes greater than 0.05. In addition, the historical trend of the NDVI temporal profiles modelled by a linear regression was measured by the regression slope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_Ref466191894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32</w:t>
      </w:r>
      <w:r w:rsidRPr="00747E35">
        <w:rPr>
          <w:rFonts w:asciiTheme="minorHAnsi" w:hAnsiTheme="minorHAnsi" w:cstheme="minorHAnsi"/>
        </w:rPr>
        <w:fldChar w:fldCharType="end"/>
      </w:r>
      <w:r w:rsidRPr="00747E35">
        <w:rPr>
          <w:rFonts w:asciiTheme="minorHAnsi" w:hAnsiTheme="minorHAnsi" w:cstheme="minorHAnsi"/>
        </w:rPr>
        <w:t xml:space="preserve">b). The comparison of trends in the groundwater levels and NDVI was inconclusive as the slope values for NDVI are insignificant and the trends’ direction (positive or negative) inconsistent. The available long-term groundwater monitoring data were not sufficient to draw a statistically justifiable conclusion on the effect of the depth to groundwater on NDVI. However,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_Ref466191910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33</w:t>
      </w:r>
      <w:r w:rsidRPr="00747E35">
        <w:rPr>
          <w:rFonts w:asciiTheme="minorHAnsi" w:hAnsiTheme="minorHAnsi" w:cstheme="minorHAnsi"/>
        </w:rPr>
        <w:fldChar w:fldCharType="end"/>
      </w:r>
      <w:r w:rsidRPr="00747E35">
        <w:rPr>
          <w:rFonts w:asciiTheme="minorHAnsi" w:hAnsiTheme="minorHAnsi" w:cstheme="minorHAnsi"/>
        </w:rPr>
        <w:t xml:space="preserve"> illustrates that it is likely that the RV greenness is higher where groundwater is shallow. This is consistent with the adapted conceptual model of eco-hydrological conditions of the RV vegetation classes. </w:t>
      </w:r>
    </w:p>
    <w:p w14:paraId="634CDACC" w14:textId="7C932360" w:rsidR="003D3694" w:rsidRPr="00747E35" w:rsidRDefault="003D3694" w:rsidP="003D3694">
      <w:pPr>
        <w:rPr>
          <w:rFonts w:asciiTheme="minorHAnsi" w:hAnsiTheme="minorHAnsi" w:cstheme="minorHAnsi"/>
        </w:rPr>
      </w:pPr>
      <w:r w:rsidRPr="00747E35">
        <w:rPr>
          <w:rFonts w:asciiTheme="minorHAnsi" w:hAnsiTheme="minorHAnsi" w:cstheme="minorHAnsi"/>
        </w:rPr>
        <w:t>Some short-term groundwater monitoring data w</w:t>
      </w:r>
      <w:r w:rsidR="00424FDD">
        <w:rPr>
          <w:rFonts w:asciiTheme="minorHAnsi" w:hAnsiTheme="minorHAnsi" w:cstheme="minorHAnsi"/>
        </w:rPr>
        <w:t>ere</w:t>
      </w:r>
      <w:r w:rsidRPr="00747E35">
        <w:rPr>
          <w:rFonts w:asciiTheme="minorHAnsi" w:hAnsiTheme="minorHAnsi" w:cstheme="minorHAnsi"/>
        </w:rPr>
        <w:t xml:space="preserve"> available in the proximity of the study site vegetation observation points. The annual average depth to the watertable in the recently installed project monitoring bores was used to infer the relationship between the depth to groundwater, NDVI and NDWI values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_Ref466191923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34</w:t>
      </w:r>
      <w:r w:rsidRPr="00747E35">
        <w:rPr>
          <w:rFonts w:asciiTheme="minorHAnsi" w:hAnsiTheme="minorHAnsi" w:cstheme="minorHAnsi"/>
        </w:rPr>
        <w:fldChar w:fldCharType="end"/>
      </w:r>
      <w:r w:rsidRPr="00747E35">
        <w:rPr>
          <w:rFonts w:asciiTheme="minorHAnsi" w:hAnsiTheme="minorHAnsi" w:cstheme="minorHAnsi"/>
        </w:rPr>
        <w:t>). The relationship illustrates that NDWI appears to be more sensitive to the depth to groundwater when compared to NDVI. However, both RS indices are substantially lower where groundwater is deep.  This is also illustrated in the long-term dynamics of the groundwater depth and NDVI at a selected location, where groundwater is not affected by abstraction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_Ref466192043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35</w:t>
      </w:r>
      <w:r w:rsidRPr="00747E35">
        <w:rPr>
          <w:rFonts w:asciiTheme="minorHAnsi" w:hAnsiTheme="minorHAnsi" w:cstheme="minorHAnsi"/>
        </w:rPr>
        <w:fldChar w:fldCharType="end"/>
      </w:r>
      <w:r w:rsidRPr="00747E35">
        <w:rPr>
          <w:rFonts w:asciiTheme="minorHAnsi" w:hAnsiTheme="minorHAnsi" w:cstheme="minorHAnsi"/>
        </w:rPr>
        <w:t xml:space="preserve">a, b).  A greater depth to groundwater (green) is indicated for the period of 1992 to 1995 and mostly in the mid 2000s. This greater depth to groundwater corresponds to a relative reduction in NDVI during the same periods. The effect of the groundwater abstraction on remnant vegetation was not detected with the study area, though some changes were observed along the Maules Creek downstream. In contrast,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_Ref466192043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35</w:t>
      </w:r>
      <w:r w:rsidRPr="00747E35">
        <w:rPr>
          <w:rFonts w:asciiTheme="minorHAnsi" w:hAnsiTheme="minorHAnsi" w:cstheme="minorHAnsi"/>
        </w:rPr>
        <w:fldChar w:fldCharType="end"/>
      </w:r>
      <w:r w:rsidRPr="00747E35">
        <w:rPr>
          <w:rFonts w:asciiTheme="minorHAnsi" w:hAnsiTheme="minorHAnsi" w:cstheme="minorHAnsi"/>
        </w:rPr>
        <w:t>c and d illustrate local NDVI changes at a bore where the groundwater level was affected by irrigation. The reduction in both the depth to groundwater and NDVI value are greater during the dry periods compared with the area unaffected by groundwater abstraction. The groundwater levels at this bore vary from 4 mBGL to more than 20 mBGL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_Ref466192043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35</w:t>
      </w:r>
      <w:r w:rsidRPr="00747E35">
        <w:rPr>
          <w:rFonts w:asciiTheme="minorHAnsi" w:hAnsiTheme="minorHAnsi" w:cstheme="minorHAnsi"/>
        </w:rPr>
        <w:fldChar w:fldCharType="end"/>
      </w:r>
      <w:r w:rsidRPr="00747E35">
        <w:rPr>
          <w:rFonts w:asciiTheme="minorHAnsi" w:hAnsiTheme="minorHAnsi" w:cstheme="minorHAnsi"/>
        </w:rPr>
        <w:t xml:space="preserve">). A particularly substantial groundwater drawdown (yellow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_Ref466192043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35</w:t>
      </w:r>
      <w:r w:rsidRPr="00747E35">
        <w:rPr>
          <w:rFonts w:asciiTheme="minorHAnsi" w:hAnsiTheme="minorHAnsi" w:cstheme="minorHAnsi"/>
        </w:rPr>
        <w:fldChar w:fldCharType="end"/>
      </w:r>
      <w:r w:rsidRPr="00747E35">
        <w:rPr>
          <w:rFonts w:asciiTheme="minorHAnsi" w:hAnsiTheme="minorHAnsi" w:cstheme="minorHAnsi"/>
        </w:rPr>
        <w:t>) occurred in mid 2000s drought and particularly during the summer when groundwater use for irrigation is in greater demand. This is in a contrast to the area unaffected by abstraction, where groundwater level drawdown and reduction in NDVI values was not as great (</w:t>
      </w:r>
      <w:r w:rsidRPr="00747E35">
        <w:rPr>
          <w:rFonts w:asciiTheme="minorHAnsi" w:hAnsiTheme="minorHAnsi" w:cstheme="minorHAnsi"/>
        </w:rPr>
        <w:fldChar w:fldCharType="begin"/>
      </w:r>
      <w:r w:rsidRPr="00747E35">
        <w:rPr>
          <w:rFonts w:asciiTheme="minorHAnsi" w:hAnsiTheme="minorHAnsi" w:cstheme="minorHAnsi"/>
        </w:rPr>
        <w:instrText xml:space="preserve"> REF _Ref466192043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35</w:t>
      </w:r>
      <w:r w:rsidRPr="00747E35">
        <w:rPr>
          <w:rFonts w:asciiTheme="minorHAnsi" w:hAnsiTheme="minorHAnsi" w:cstheme="minorHAnsi"/>
        </w:rPr>
        <w:fldChar w:fldCharType="end"/>
      </w:r>
      <w:r w:rsidRPr="00747E35">
        <w:rPr>
          <w:rFonts w:asciiTheme="minorHAnsi" w:hAnsiTheme="minorHAnsi" w:cstheme="minorHAnsi"/>
        </w:rPr>
        <w:t>a, b).</w:t>
      </w:r>
    </w:p>
    <w:p w14:paraId="1672B6E7" w14:textId="77777777" w:rsidR="003D3694" w:rsidRPr="00747E35" w:rsidRDefault="003D3694" w:rsidP="003D3694">
      <w:pPr>
        <w:rPr>
          <w:rFonts w:asciiTheme="minorHAnsi" w:hAnsiTheme="minorHAnsi" w:cstheme="minorHAnsi"/>
        </w:rPr>
      </w:pPr>
    </w:p>
    <w:p w14:paraId="49DF79E2"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781BD616" wp14:editId="3DFFE765">
            <wp:extent cx="4798919" cy="6627136"/>
            <wp:effectExtent l="0" t="0" r="1905" b="2540"/>
            <wp:docPr id="14392" name="Picture 14392" descr="Aerial/satellite images with sh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4799594" cy="6628068"/>
                    </a:xfrm>
                    <a:prstGeom prst="rect">
                      <a:avLst/>
                    </a:prstGeom>
                    <a:noFill/>
                    <a:ln>
                      <a:noFill/>
                    </a:ln>
                  </pic:spPr>
                </pic:pic>
              </a:graphicData>
            </a:graphic>
          </wp:inline>
        </w:drawing>
      </w:r>
    </w:p>
    <w:p w14:paraId="1D53B543"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68" w:name="_Ref466191753"/>
      <w:bookmarkStart w:id="69" w:name="_Toc465885000"/>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23</w:t>
      </w:r>
      <w:r w:rsidRPr="00747E35">
        <w:rPr>
          <w:rFonts w:asciiTheme="minorHAnsi" w:hAnsiTheme="minorHAnsi" w:cstheme="minorHAnsi"/>
          <w:i/>
          <w:noProof/>
          <w:color w:val="5B9BD5" w:themeColor="accent1"/>
          <w:sz w:val="20"/>
          <w:szCs w:val="20"/>
        </w:rPr>
        <w:fldChar w:fldCharType="end"/>
      </w:r>
      <w:bookmarkEnd w:id="68"/>
      <w:r w:rsidRPr="00747E35">
        <w:rPr>
          <w:rFonts w:asciiTheme="minorHAnsi" w:hAnsiTheme="minorHAnsi" w:cstheme="minorHAnsi"/>
          <w:i/>
          <w:color w:val="5B9BD5" w:themeColor="accent1"/>
          <w:sz w:val="20"/>
          <w:szCs w:val="20"/>
        </w:rPr>
        <w:t>: Maules Creek NDVI and NDWI Principal Components: (a) NDVI PC1, (b) NDVI PC2, (c) NDWI PC1, (d) NDWI PC2</w:t>
      </w:r>
      <w:bookmarkEnd w:id="69"/>
      <w:r w:rsidRPr="00747E35">
        <w:rPr>
          <w:rFonts w:asciiTheme="minorHAnsi" w:hAnsiTheme="minorHAnsi" w:cstheme="minorHAnsi"/>
          <w:i/>
          <w:color w:val="5B9BD5" w:themeColor="accent1"/>
          <w:sz w:val="20"/>
          <w:szCs w:val="20"/>
        </w:rPr>
        <w:t>.</w:t>
      </w:r>
    </w:p>
    <w:p w14:paraId="2F5D7CDE" w14:textId="77777777" w:rsidR="003D3694" w:rsidRPr="00747E35" w:rsidRDefault="003D3694" w:rsidP="003D3694">
      <w:pPr>
        <w:rPr>
          <w:rFonts w:asciiTheme="minorHAnsi" w:hAnsiTheme="minorHAnsi" w:cstheme="minorHAnsi"/>
        </w:rPr>
      </w:pPr>
    </w:p>
    <w:p w14:paraId="308C2CF6" w14:textId="77777777" w:rsidR="003D3694" w:rsidRPr="00747E35" w:rsidRDefault="003D3694" w:rsidP="003D3694">
      <w:pPr>
        <w:rPr>
          <w:rFonts w:asciiTheme="minorHAnsi" w:hAnsiTheme="minorHAnsi" w:cstheme="minorHAnsi"/>
        </w:rPr>
      </w:pPr>
    </w:p>
    <w:p w14:paraId="0CA5AAD1" w14:textId="77777777" w:rsidR="003D3694" w:rsidRPr="00747E35" w:rsidRDefault="003D3694" w:rsidP="003D3694">
      <w:pPr>
        <w:rPr>
          <w:rFonts w:asciiTheme="minorHAnsi" w:hAnsiTheme="minorHAnsi" w:cstheme="minorHAnsi"/>
        </w:rPr>
      </w:pPr>
    </w:p>
    <w:p w14:paraId="4A96D869" w14:textId="77777777" w:rsidR="003D3694" w:rsidRPr="00747E35" w:rsidRDefault="003D3694" w:rsidP="003D3694">
      <w:pPr>
        <w:autoSpaceDE/>
        <w:autoSpaceDN/>
        <w:spacing w:line="276" w:lineRule="auto"/>
        <w:rPr>
          <w:rFonts w:asciiTheme="minorHAnsi" w:hAnsiTheme="minorHAnsi" w:cstheme="minorHAnsi"/>
        </w:rPr>
      </w:pPr>
      <w:r w:rsidRPr="00747E35">
        <w:rPr>
          <w:rFonts w:asciiTheme="minorHAnsi" w:hAnsiTheme="minorHAnsi" w:cstheme="minorHAnsi"/>
        </w:rPr>
        <w:br w:type="page"/>
      </w:r>
    </w:p>
    <w:p w14:paraId="17F90EBC"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70" w:name="_Ref466191791"/>
      <w:bookmarkStart w:id="71" w:name="_Ref451608070"/>
      <w:r w:rsidRPr="00747E35">
        <w:rPr>
          <w:rFonts w:asciiTheme="minorHAnsi" w:hAnsiTheme="minorHAnsi" w:cstheme="minorHAnsi"/>
          <w:i/>
          <w:color w:val="5B9BD5" w:themeColor="accent1"/>
          <w:sz w:val="20"/>
          <w:szCs w:val="20"/>
        </w:rPr>
        <w:lastRenderedPageBreak/>
        <w:t xml:space="preserve">Table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Table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10</w:t>
      </w:r>
      <w:r w:rsidRPr="00747E35">
        <w:rPr>
          <w:rFonts w:asciiTheme="minorHAnsi" w:hAnsiTheme="minorHAnsi" w:cstheme="minorHAnsi"/>
          <w:i/>
          <w:noProof/>
          <w:color w:val="5B9BD5" w:themeColor="accent1"/>
          <w:sz w:val="20"/>
          <w:szCs w:val="20"/>
        </w:rPr>
        <w:fldChar w:fldCharType="end"/>
      </w:r>
      <w:bookmarkEnd w:id="70"/>
      <w:r w:rsidRPr="00747E35">
        <w:rPr>
          <w:rFonts w:asciiTheme="minorHAnsi" w:hAnsiTheme="minorHAnsi" w:cstheme="minorHAnsi"/>
          <w:i/>
          <w:color w:val="5B9BD5" w:themeColor="accent1"/>
          <w:sz w:val="20"/>
          <w:szCs w:val="20"/>
        </w:rPr>
        <w:t>:Conceptual vegetation classes identified within the Maules study area</w:t>
      </w:r>
      <w:bookmarkEnd w:id="71"/>
      <w:r w:rsidRPr="00747E35">
        <w:rPr>
          <w:rFonts w:asciiTheme="minorHAnsi" w:hAnsiTheme="minorHAnsi" w:cstheme="minorHAnsi"/>
          <w:i/>
          <w:color w:val="5B9BD5" w:themeColor="accent1"/>
          <w:sz w:val="20"/>
          <w:szCs w:val="20"/>
        </w:rPr>
        <w:t>.</w:t>
      </w:r>
    </w:p>
    <w:tbl>
      <w:tblPr>
        <w:tblStyle w:val="TableCSIRO1"/>
        <w:tblW w:w="8392" w:type="dxa"/>
        <w:tblLayout w:type="fixed"/>
        <w:tblLook w:val="04A0" w:firstRow="1" w:lastRow="0" w:firstColumn="1" w:lastColumn="0" w:noHBand="0" w:noVBand="1"/>
      </w:tblPr>
      <w:tblGrid>
        <w:gridCol w:w="2462"/>
        <w:gridCol w:w="1254"/>
        <w:gridCol w:w="1553"/>
        <w:gridCol w:w="3123"/>
      </w:tblGrid>
      <w:tr w:rsidR="003D3694" w:rsidRPr="00747E35" w14:paraId="58A6838C" w14:textId="77777777" w:rsidTr="00BB5645">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2462" w:type="dxa"/>
            <w:shd w:val="clear" w:color="auto" w:fill="DEEAF6" w:themeFill="accent1" w:themeFillTint="33"/>
            <w:noWrap/>
            <w:hideMark/>
          </w:tcPr>
          <w:p w14:paraId="48B70CED" w14:textId="77777777" w:rsidR="003D3694" w:rsidRPr="00747E35" w:rsidRDefault="003D3694" w:rsidP="0096743A">
            <w:pPr>
              <w:autoSpaceDE/>
              <w:autoSpaceDN/>
              <w:spacing w:after="0"/>
              <w:rPr>
                <w:rFonts w:asciiTheme="minorHAnsi" w:eastAsia="Times New Roman" w:hAnsiTheme="minorHAnsi" w:cstheme="minorHAnsi"/>
                <w:color w:val="auto"/>
                <w:sz w:val="20"/>
                <w:szCs w:val="20"/>
              </w:rPr>
            </w:pPr>
            <w:r w:rsidRPr="00747E35">
              <w:rPr>
                <w:rFonts w:asciiTheme="minorHAnsi" w:eastAsia="Times New Roman" w:hAnsiTheme="minorHAnsi" w:cstheme="minorHAnsi"/>
                <w:color w:val="auto"/>
                <w:sz w:val="20"/>
                <w:szCs w:val="20"/>
              </w:rPr>
              <w:t xml:space="preserve">Landscape </w:t>
            </w:r>
          </w:p>
        </w:tc>
        <w:tc>
          <w:tcPr>
            <w:tcW w:w="5930" w:type="dxa"/>
            <w:gridSpan w:val="3"/>
            <w:shd w:val="clear" w:color="auto" w:fill="DEEAF6" w:themeFill="accent1" w:themeFillTint="33"/>
            <w:noWrap/>
            <w:hideMark/>
          </w:tcPr>
          <w:p w14:paraId="3177B6A4" w14:textId="77777777" w:rsidR="003D3694" w:rsidRPr="00BB5645" w:rsidRDefault="003D3694" w:rsidP="0096743A">
            <w:pPr>
              <w:autoSpaceDE/>
              <w:autoSpaceDN/>
              <w:spacing w:after="0"/>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0"/>
                <w:szCs w:val="20"/>
              </w:rPr>
            </w:pPr>
            <w:r w:rsidRPr="00BB5645">
              <w:rPr>
                <w:rFonts w:asciiTheme="minorHAnsi" w:eastAsia="Times New Roman" w:hAnsiTheme="minorHAnsi" w:cstheme="minorHAnsi"/>
                <w:color w:val="auto"/>
                <w:sz w:val="20"/>
                <w:szCs w:val="20"/>
              </w:rPr>
              <w:t>Stream Type</w:t>
            </w:r>
          </w:p>
        </w:tc>
      </w:tr>
      <w:tr w:rsidR="003D3694" w:rsidRPr="00747E35" w14:paraId="79B629E2" w14:textId="77777777" w:rsidTr="00BB5645">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2462" w:type="dxa"/>
            <w:shd w:val="clear" w:color="auto" w:fill="DEEAF6" w:themeFill="accent1" w:themeFillTint="33"/>
            <w:noWrap/>
          </w:tcPr>
          <w:p w14:paraId="07118720" w14:textId="77777777" w:rsidR="003D3694" w:rsidRPr="00747E35" w:rsidRDefault="003D3694" w:rsidP="0096743A">
            <w:pPr>
              <w:autoSpaceDE/>
              <w:autoSpaceDN/>
              <w:spacing w:after="0"/>
              <w:rPr>
                <w:rFonts w:asciiTheme="minorHAnsi" w:eastAsia="Times New Roman" w:hAnsiTheme="minorHAnsi" w:cstheme="minorHAnsi"/>
                <w:sz w:val="20"/>
                <w:szCs w:val="20"/>
              </w:rPr>
            </w:pPr>
          </w:p>
        </w:tc>
        <w:tc>
          <w:tcPr>
            <w:tcW w:w="1254" w:type="dxa"/>
            <w:shd w:val="clear" w:color="auto" w:fill="DEEAF6" w:themeFill="accent1" w:themeFillTint="33"/>
            <w:noWrap/>
          </w:tcPr>
          <w:p w14:paraId="4679945E" w14:textId="77777777" w:rsidR="003D3694" w:rsidRPr="00BB5645" w:rsidRDefault="003D3694" w:rsidP="0096743A">
            <w:pPr>
              <w:autoSpaceDE/>
              <w:autoSpaceDN/>
              <w:spacing w:after="0"/>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auto"/>
                <w:sz w:val="20"/>
                <w:szCs w:val="20"/>
              </w:rPr>
            </w:pPr>
            <w:r w:rsidRPr="00BB5645">
              <w:rPr>
                <w:rFonts w:asciiTheme="minorHAnsi" w:eastAsia="Times New Roman" w:hAnsiTheme="minorHAnsi" w:cstheme="minorHAnsi"/>
                <w:b w:val="0"/>
                <w:color w:val="auto"/>
                <w:sz w:val="20"/>
                <w:szCs w:val="20"/>
              </w:rPr>
              <w:t>Perennial</w:t>
            </w:r>
          </w:p>
        </w:tc>
        <w:tc>
          <w:tcPr>
            <w:tcW w:w="1553" w:type="dxa"/>
            <w:shd w:val="clear" w:color="auto" w:fill="DEEAF6" w:themeFill="accent1" w:themeFillTint="33"/>
            <w:noWrap/>
          </w:tcPr>
          <w:p w14:paraId="413DA766" w14:textId="77777777" w:rsidR="003D3694" w:rsidRPr="00BB5645" w:rsidRDefault="003D3694" w:rsidP="0096743A">
            <w:pPr>
              <w:autoSpaceDE/>
              <w:autoSpaceDN/>
              <w:spacing w:after="0"/>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auto"/>
                <w:sz w:val="20"/>
                <w:szCs w:val="20"/>
              </w:rPr>
            </w:pPr>
            <w:r w:rsidRPr="00BB5645">
              <w:rPr>
                <w:rFonts w:asciiTheme="minorHAnsi" w:eastAsia="Times New Roman" w:hAnsiTheme="minorHAnsi" w:cstheme="minorHAnsi"/>
                <w:b w:val="0"/>
                <w:color w:val="auto"/>
                <w:sz w:val="20"/>
                <w:szCs w:val="20"/>
              </w:rPr>
              <w:t>Intermittent</w:t>
            </w:r>
          </w:p>
        </w:tc>
        <w:tc>
          <w:tcPr>
            <w:tcW w:w="3123" w:type="dxa"/>
            <w:shd w:val="clear" w:color="auto" w:fill="DEEAF6" w:themeFill="accent1" w:themeFillTint="33"/>
          </w:tcPr>
          <w:p w14:paraId="754BD84E" w14:textId="77777777" w:rsidR="003D3694" w:rsidRPr="00BB5645" w:rsidRDefault="003D3694" w:rsidP="0096743A">
            <w:pPr>
              <w:autoSpaceDE/>
              <w:autoSpaceDN/>
              <w:spacing w:after="0"/>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auto"/>
                <w:sz w:val="20"/>
                <w:szCs w:val="20"/>
              </w:rPr>
            </w:pPr>
            <w:r w:rsidRPr="00BB5645">
              <w:rPr>
                <w:rFonts w:asciiTheme="minorHAnsi" w:eastAsia="Times New Roman" w:hAnsiTheme="minorHAnsi" w:cstheme="minorHAnsi"/>
                <w:b w:val="0"/>
                <w:color w:val="auto"/>
                <w:sz w:val="20"/>
                <w:szCs w:val="20"/>
              </w:rPr>
              <w:t>not in the proximity of a stream</w:t>
            </w:r>
          </w:p>
        </w:tc>
      </w:tr>
      <w:tr w:rsidR="003D3694" w:rsidRPr="00747E35" w14:paraId="09AEB0A7" w14:textId="77777777" w:rsidTr="0096743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62" w:type="dxa"/>
            <w:shd w:val="clear" w:color="auto" w:fill="FFFFFF" w:themeFill="background1"/>
            <w:noWrap/>
            <w:hideMark/>
          </w:tcPr>
          <w:p w14:paraId="5C71C58D" w14:textId="77777777" w:rsidR="003D3694" w:rsidRPr="00747E35" w:rsidRDefault="003D3694" w:rsidP="0096743A">
            <w:pPr>
              <w:spacing w:after="0"/>
              <w:rPr>
                <w:rFonts w:asciiTheme="minorHAnsi" w:hAnsiTheme="minorHAnsi" w:cstheme="minorHAnsi"/>
                <w:b w:val="0"/>
                <w:sz w:val="18"/>
              </w:rPr>
            </w:pPr>
            <w:r w:rsidRPr="00747E35">
              <w:rPr>
                <w:rFonts w:asciiTheme="minorHAnsi" w:hAnsiTheme="minorHAnsi" w:cstheme="minorHAnsi"/>
                <w:b w:val="0"/>
                <w:sz w:val="18"/>
              </w:rPr>
              <w:t>Water</w:t>
            </w:r>
          </w:p>
        </w:tc>
        <w:tc>
          <w:tcPr>
            <w:tcW w:w="1254" w:type="dxa"/>
            <w:shd w:val="clear" w:color="auto" w:fill="FFFFFF" w:themeFill="background1"/>
            <w:noWrap/>
            <w:hideMark/>
          </w:tcPr>
          <w:p w14:paraId="13B49535" w14:textId="77777777" w:rsidR="003D3694" w:rsidRPr="00747E35" w:rsidRDefault="003D3694" w:rsidP="0096743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rPr>
            </w:pPr>
            <w:r w:rsidRPr="00747E35">
              <w:rPr>
                <w:rFonts w:asciiTheme="minorHAnsi" w:hAnsiTheme="minorHAnsi" w:cstheme="minorHAnsi"/>
                <w:sz w:val="18"/>
              </w:rPr>
              <w:t>1</w:t>
            </w:r>
          </w:p>
        </w:tc>
        <w:tc>
          <w:tcPr>
            <w:tcW w:w="1553" w:type="dxa"/>
            <w:shd w:val="clear" w:color="auto" w:fill="FFFFFF" w:themeFill="background1"/>
            <w:noWrap/>
            <w:hideMark/>
          </w:tcPr>
          <w:p w14:paraId="11CCC3B6" w14:textId="77777777" w:rsidR="003D3694" w:rsidRPr="00747E35" w:rsidRDefault="003D3694" w:rsidP="0096743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rPr>
            </w:pPr>
            <w:r w:rsidRPr="00747E35">
              <w:rPr>
                <w:rFonts w:asciiTheme="minorHAnsi" w:hAnsiTheme="minorHAnsi" w:cstheme="minorHAnsi"/>
                <w:sz w:val="18"/>
              </w:rPr>
              <w:t>-</w:t>
            </w:r>
          </w:p>
        </w:tc>
        <w:tc>
          <w:tcPr>
            <w:tcW w:w="3123" w:type="dxa"/>
            <w:shd w:val="clear" w:color="auto" w:fill="FFFFFF" w:themeFill="background1"/>
          </w:tcPr>
          <w:p w14:paraId="777CCC18" w14:textId="77777777" w:rsidR="003D3694" w:rsidRPr="00747E35" w:rsidRDefault="003D3694" w:rsidP="0096743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rPr>
            </w:pPr>
            <w:r w:rsidRPr="00747E35">
              <w:rPr>
                <w:rFonts w:asciiTheme="minorHAnsi" w:hAnsiTheme="minorHAnsi" w:cstheme="minorHAnsi"/>
                <w:sz w:val="18"/>
              </w:rPr>
              <w:t>-</w:t>
            </w:r>
          </w:p>
        </w:tc>
      </w:tr>
      <w:tr w:rsidR="003D3694" w:rsidRPr="00747E35" w14:paraId="73DE6C6D" w14:textId="77777777" w:rsidTr="0096743A">
        <w:trPr>
          <w:trHeight w:val="315"/>
        </w:trPr>
        <w:tc>
          <w:tcPr>
            <w:cnfStyle w:val="001000000000" w:firstRow="0" w:lastRow="0" w:firstColumn="1" w:lastColumn="0" w:oddVBand="0" w:evenVBand="0" w:oddHBand="0" w:evenHBand="0" w:firstRowFirstColumn="0" w:firstRowLastColumn="0" w:lastRowFirstColumn="0" w:lastRowLastColumn="0"/>
            <w:tcW w:w="2462" w:type="dxa"/>
            <w:shd w:val="clear" w:color="auto" w:fill="FFFFFF" w:themeFill="background1"/>
            <w:noWrap/>
          </w:tcPr>
          <w:p w14:paraId="0DBBBAEE" w14:textId="77777777" w:rsidR="003D3694" w:rsidRPr="00747E35" w:rsidRDefault="003D3694" w:rsidP="0096743A">
            <w:pPr>
              <w:spacing w:after="0"/>
              <w:rPr>
                <w:rFonts w:asciiTheme="minorHAnsi" w:hAnsiTheme="minorHAnsi" w:cstheme="minorHAnsi"/>
                <w:b w:val="0"/>
                <w:sz w:val="18"/>
              </w:rPr>
            </w:pPr>
            <w:r w:rsidRPr="00747E35">
              <w:rPr>
                <w:rFonts w:asciiTheme="minorHAnsi" w:hAnsiTheme="minorHAnsi" w:cstheme="minorHAnsi"/>
                <w:b w:val="0"/>
                <w:sz w:val="18"/>
              </w:rPr>
              <w:t>Riparian</w:t>
            </w:r>
          </w:p>
        </w:tc>
        <w:tc>
          <w:tcPr>
            <w:tcW w:w="1254" w:type="dxa"/>
            <w:shd w:val="clear" w:color="auto" w:fill="FFFFFF" w:themeFill="background1"/>
            <w:noWrap/>
          </w:tcPr>
          <w:p w14:paraId="75FF0224" w14:textId="77777777" w:rsidR="003D3694" w:rsidRPr="00747E35" w:rsidRDefault="003D3694" w:rsidP="0096743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rPr>
            </w:pPr>
            <w:r w:rsidRPr="00747E35">
              <w:rPr>
                <w:rFonts w:asciiTheme="minorHAnsi" w:hAnsiTheme="minorHAnsi" w:cstheme="minorHAnsi"/>
                <w:sz w:val="18"/>
              </w:rPr>
              <w:t>2</w:t>
            </w:r>
          </w:p>
        </w:tc>
        <w:tc>
          <w:tcPr>
            <w:tcW w:w="1553" w:type="dxa"/>
            <w:shd w:val="clear" w:color="auto" w:fill="FFFFFF" w:themeFill="background1"/>
            <w:noWrap/>
          </w:tcPr>
          <w:p w14:paraId="53021C6F" w14:textId="77777777" w:rsidR="003D3694" w:rsidRPr="00747E35" w:rsidRDefault="003D3694" w:rsidP="0096743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rPr>
            </w:pPr>
            <w:r w:rsidRPr="00747E35">
              <w:rPr>
                <w:rFonts w:asciiTheme="minorHAnsi" w:hAnsiTheme="minorHAnsi" w:cstheme="minorHAnsi"/>
                <w:sz w:val="18"/>
              </w:rPr>
              <w:t>3</w:t>
            </w:r>
          </w:p>
        </w:tc>
        <w:tc>
          <w:tcPr>
            <w:tcW w:w="3123" w:type="dxa"/>
            <w:shd w:val="clear" w:color="auto" w:fill="FFFFFF" w:themeFill="background1"/>
          </w:tcPr>
          <w:p w14:paraId="1309A3D2" w14:textId="77777777" w:rsidR="003D3694" w:rsidRPr="00747E35" w:rsidRDefault="003D3694" w:rsidP="0096743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rPr>
            </w:pPr>
            <w:r w:rsidRPr="00747E35">
              <w:rPr>
                <w:rFonts w:asciiTheme="minorHAnsi" w:hAnsiTheme="minorHAnsi" w:cstheme="minorHAnsi"/>
                <w:sz w:val="18"/>
              </w:rPr>
              <w:t>-</w:t>
            </w:r>
          </w:p>
        </w:tc>
      </w:tr>
      <w:tr w:rsidR="003D3694" w:rsidRPr="00747E35" w14:paraId="56D15B97" w14:textId="77777777" w:rsidTr="0096743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62" w:type="dxa"/>
            <w:shd w:val="clear" w:color="auto" w:fill="FFFFFF" w:themeFill="background1"/>
            <w:noWrap/>
          </w:tcPr>
          <w:p w14:paraId="36F29A31" w14:textId="77777777" w:rsidR="003D3694" w:rsidRPr="00747E35" w:rsidRDefault="003D3694" w:rsidP="0096743A">
            <w:pPr>
              <w:spacing w:after="0"/>
              <w:rPr>
                <w:rFonts w:asciiTheme="minorHAnsi" w:hAnsiTheme="minorHAnsi" w:cstheme="minorHAnsi"/>
                <w:b w:val="0"/>
                <w:sz w:val="18"/>
              </w:rPr>
            </w:pPr>
            <w:r w:rsidRPr="00747E35">
              <w:rPr>
                <w:rFonts w:asciiTheme="minorHAnsi" w:hAnsiTheme="minorHAnsi" w:cstheme="minorHAnsi"/>
                <w:b w:val="0"/>
                <w:sz w:val="18"/>
              </w:rPr>
              <w:t>Floodplain</w:t>
            </w:r>
          </w:p>
        </w:tc>
        <w:tc>
          <w:tcPr>
            <w:tcW w:w="1254" w:type="dxa"/>
            <w:shd w:val="clear" w:color="auto" w:fill="FFFFFF" w:themeFill="background1"/>
            <w:noWrap/>
          </w:tcPr>
          <w:p w14:paraId="141228BD" w14:textId="77777777" w:rsidR="003D3694" w:rsidRPr="00747E35" w:rsidRDefault="003D3694" w:rsidP="0096743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rPr>
            </w:pPr>
            <w:r w:rsidRPr="00747E35">
              <w:rPr>
                <w:rFonts w:asciiTheme="minorHAnsi" w:hAnsiTheme="minorHAnsi" w:cstheme="minorHAnsi"/>
                <w:sz w:val="18"/>
              </w:rPr>
              <w:t>3</w:t>
            </w:r>
          </w:p>
        </w:tc>
        <w:tc>
          <w:tcPr>
            <w:tcW w:w="1553" w:type="dxa"/>
            <w:shd w:val="clear" w:color="auto" w:fill="FFFFFF" w:themeFill="background1"/>
            <w:noWrap/>
          </w:tcPr>
          <w:p w14:paraId="17B19375" w14:textId="77777777" w:rsidR="003D3694" w:rsidRPr="00747E35" w:rsidRDefault="003D3694" w:rsidP="0096743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rPr>
            </w:pPr>
            <w:r w:rsidRPr="00747E35">
              <w:rPr>
                <w:rFonts w:asciiTheme="minorHAnsi" w:hAnsiTheme="minorHAnsi" w:cstheme="minorHAnsi"/>
                <w:sz w:val="18"/>
              </w:rPr>
              <w:t>4</w:t>
            </w:r>
          </w:p>
        </w:tc>
        <w:tc>
          <w:tcPr>
            <w:tcW w:w="3123" w:type="dxa"/>
            <w:shd w:val="clear" w:color="auto" w:fill="FFFFFF" w:themeFill="background1"/>
          </w:tcPr>
          <w:p w14:paraId="1272BD35" w14:textId="77777777" w:rsidR="003D3694" w:rsidRPr="00747E35" w:rsidRDefault="003D3694" w:rsidP="0096743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rPr>
            </w:pPr>
            <w:r w:rsidRPr="00747E35">
              <w:rPr>
                <w:rFonts w:asciiTheme="minorHAnsi" w:hAnsiTheme="minorHAnsi" w:cstheme="minorHAnsi"/>
                <w:sz w:val="18"/>
              </w:rPr>
              <w:t>-</w:t>
            </w:r>
          </w:p>
        </w:tc>
      </w:tr>
      <w:tr w:rsidR="003D3694" w:rsidRPr="00747E35" w14:paraId="143698D2" w14:textId="77777777" w:rsidTr="0096743A">
        <w:trPr>
          <w:trHeight w:val="315"/>
        </w:trPr>
        <w:tc>
          <w:tcPr>
            <w:cnfStyle w:val="001000000000" w:firstRow="0" w:lastRow="0" w:firstColumn="1" w:lastColumn="0" w:oddVBand="0" w:evenVBand="0" w:oddHBand="0" w:evenHBand="0" w:firstRowFirstColumn="0" w:firstRowLastColumn="0" w:lastRowFirstColumn="0" w:lastRowLastColumn="0"/>
            <w:tcW w:w="2462" w:type="dxa"/>
            <w:shd w:val="clear" w:color="auto" w:fill="FFFFFF" w:themeFill="background1"/>
            <w:noWrap/>
          </w:tcPr>
          <w:p w14:paraId="38B398AE" w14:textId="77777777" w:rsidR="003D3694" w:rsidRPr="00747E35" w:rsidRDefault="003D3694" w:rsidP="0096743A">
            <w:pPr>
              <w:spacing w:after="0"/>
              <w:rPr>
                <w:rFonts w:asciiTheme="minorHAnsi" w:hAnsiTheme="minorHAnsi" w:cstheme="minorHAnsi"/>
                <w:b w:val="0"/>
                <w:sz w:val="18"/>
              </w:rPr>
            </w:pPr>
            <w:r w:rsidRPr="00747E35">
              <w:rPr>
                <w:rFonts w:asciiTheme="minorHAnsi" w:hAnsiTheme="minorHAnsi" w:cstheme="minorHAnsi"/>
                <w:b w:val="0"/>
                <w:sz w:val="18"/>
              </w:rPr>
              <w:t xml:space="preserve">Terrestrial </w:t>
            </w:r>
          </w:p>
        </w:tc>
        <w:tc>
          <w:tcPr>
            <w:tcW w:w="1254" w:type="dxa"/>
            <w:shd w:val="clear" w:color="auto" w:fill="FFFFFF" w:themeFill="background1"/>
            <w:noWrap/>
          </w:tcPr>
          <w:p w14:paraId="5CF52978" w14:textId="77777777" w:rsidR="003D3694" w:rsidRPr="00747E35" w:rsidRDefault="003D3694" w:rsidP="0096743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rPr>
            </w:pPr>
            <w:r w:rsidRPr="00747E35">
              <w:rPr>
                <w:rFonts w:asciiTheme="minorHAnsi" w:hAnsiTheme="minorHAnsi" w:cstheme="minorHAnsi"/>
                <w:sz w:val="18"/>
              </w:rPr>
              <w:t>-</w:t>
            </w:r>
          </w:p>
        </w:tc>
        <w:tc>
          <w:tcPr>
            <w:tcW w:w="1553" w:type="dxa"/>
            <w:shd w:val="clear" w:color="auto" w:fill="FFFFFF" w:themeFill="background1"/>
            <w:noWrap/>
          </w:tcPr>
          <w:p w14:paraId="4444CDC4" w14:textId="77777777" w:rsidR="003D3694" w:rsidRPr="00747E35" w:rsidRDefault="003D3694" w:rsidP="0096743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rPr>
            </w:pPr>
            <w:r w:rsidRPr="00747E35">
              <w:rPr>
                <w:rFonts w:asciiTheme="minorHAnsi" w:hAnsiTheme="minorHAnsi" w:cstheme="minorHAnsi"/>
                <w:sz w:val="18"/>
              </w:rPr>
              <w:t>-</w:t>
            </w:r>
          </w:p>
        </w:tc>
        <w:tc>
          <w:tcPr>
            <w:tcW w:w="3123" w:type="dxa"/>
            <w:shd w:val="clear" w:color="auto" w:fill="FFFFFF" w:themeFill="background1"/>
          </w:tcPr>
          <w:p w14:paraId="1E96A4A2" w14:textId="77777777" w:rsidR="003D3694" w:rsidRPr="00747E35" w:rsidRDefault="003D3694" w:rsidP="0096743A">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rPr>
            </w:pPr>
            <w:r w:rsidRPr="00747E35">
              <w:rPr>
                <w:rFonts w:asciiTheme="minorHAnsi" w:hAnsiTheme="minorHAnsi" w:cstheme="minorHAnsi"/>
                <w:sz w:val="18"/>
              </w:rPr>
              <w:t>5, 6</w:t>
            </w:r>
          </w:p>
        </w:tc>
      </w:tr>
      <w:tr w:rsidR="003D3694" w:rsidRPr="00747E35" w14:paraId="4D67FFAC" w14:textId="77777777" w:rsidTr="0096743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462" w:type="dxa"/>
            <w:shd w:val="clear" w:color="auto" w:fill="FFFFFF" w:themeFill="background1"/>
            <w:noWrap/>
          </w:tcPr>
          <w:p w14:paraId="0D916C16" w14:textId="77777777" w:rsidR="003D3694" w:rsidRPr="00747E35" w:rsidRDefault="003D3694" w:rsidP="0096743A">
            <w:pPr>
              <w:spacing w:after="0"/>
              <w:rPr>
                <w:rFonts w:asciiTheme="minorHAnsi" w:hAnsiTheme="minorHAnsi" w:cstheme="minorHAnsi"/>
                <w:b w:val="0"/>
                <w:sz w:val="18"/>
              </w:rPr>
            </w:pPr>
            <w:r w:rsidRPr="00747E35">
              <w:rPr>
                <w:rFonts w:asciiTheme="minorHAnsi" w:hAnsiTheme="minorHAnsi" w:cstheme="minorHAnsi"/>
                <w:b w:val="0"/>
                <w:sz w:val="18"/>
              </w:rPr>
              <w:t>Other</w:t>
            </w:r>
          </w:p>
        </w:tc>
        <w:tc>
          <w:tcPr>
            <w:tcW w:w="1254" w:type="dxa"/>
            <w:shd w:val="clear" w:color="auto" w:fill="FFFFFF" w:themeFill="background1"/>
            <w:noWrap/>
          </w:tcPr>
          <w:p w14:paraId="1EEC3986" w14:textId="77777777" w:rsidR="003D3694" w:rsidRPr="00747E35" w:rsidRDefault="003D3694" w:rsidP="0096743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rPr>
            </w:pPr>
            <w:r w:rsidRPr="00747E35">
              <w:rPr>
                <w:rFonts w:asciiTheme="minorHAnsi" w:hAnsiTheme="minorHAnsi" w:cstheme="minorHAnsi"/>
                <w:sz w:val="18"/>
              </w:rPr>
              <w:t>-</w:t>
            </w:r>
          </w:p>
        </w:tc>
        <w:tc>
          <w:tcPr>
            <w:tcW w:w="1553" w:type="dxa"/>
            <w:shd w:val="clear" w:color="auto" w:fill="FFFFFF" w:themeFill="background1"/>
            <w:noWrap/>
          </w:tcPr>
          <w:p w14:paraId="67677FA0" w14:textId="77777777" w:rsidR="003D3694" w:rsidRPr="00747E35" w:rsidRDefault="003D3694" w:rsidP="0096743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rPr>
            </w:pPr>
            <w:r w:rsidRPr="00747E35">
              <w:rPr>
                <w:rFonts w:asciiTheme="minorHAnsi" w:hAnsiTheme="minorHAnsi" w:cstheme="minorHAnsi"/>
                <w:sz w:val="18"/>
              </w:rPr>
              <w:t>-</w:t>
            </w:r>
          </w:p>
        </w:tc>
        <w:tc>
          <w:tcPr>
            <w:tcW w:w="3123" w:type="dxa"/>
            <w:shd w:val="clear" w:color="auto" w:fill="FFFFFF" w:themeFill="background1"/>
          </w:tcPr>
          <w:p w14:paraId="089814F0" w14:textId="77777777" w:rsidR="003D3694" w:rsidRPr="00747E35" w:rsidRDefault="003D3694" w:rsidP="0096743A">
            <w:pPr>
              <w:spacing w:after="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rPr>
            </w:pPr>
            <w:r w:rsidRPr="00747E35">
              <w:rPr>
                <w:rFonts w:asciiTheme="minorHAnsi" w:hAnsiTheme="minorHAnsi" w:cstheme="minorHAnsi"/>
                <w:sz w:val="18"/>
              </w:rPr>
              <w:t>7</w:t>
            </w:r>
          </w:p>
        </w:tc>
      </w:tr>
    </w:tbl>
    <w:p w14:paraId="29C84413" w14:textId="77777777" w:rsidR="003D3694" w:rsidRPr="00747E35" w:rsidRDefault="003D3694" w:rsidP="003D3694">
      <w:pPr>
        <w:rPr>
          <w:rFonts w:asciiTheme="minorHAnsi" w:hAnsiTheme="minorHAnsi" w:cstheme="minorHAnsi"/>
          <w:lang w:eastAsia="en-AU"/>
        </w:rPr>
      </w:pPr>
    </w:p>
    <w:p w14:paraId="02E85789"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6093ECBC" wp14:editId="6E940D8D">
            <wp:extent cx="5298393" cy="3180882"/>
            <wp:effectExtent l="0" t="0" r="0" b="635"/>
            <wp:docPr id="14393" name="Picture 14393" descr="Map with sh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302662" cy="3183445"/>
                    </a:xfrm>
                    <a:prstGeom prst="rect">
                      <a:avLst/>
                    </a:prstGeom>
                    <a:noFill/>
                    <a:ln>
                      <a:noFill/>
                    </a:ln>
                  </pic:spPr>
                </pic:pic>
              </a:graphicData>
            </a:graphic>
          </wp:inline>
        </w:drawing>
      </w:r>
    </w:p>
    <w:p w14:paraId="2672D2F3" w14:textId="77777777" w:rsidR="003D3694" w:rsidRPr="00747E35" w:rsidRDefault="003D3694" w:rsidP="003D3694">
      <w:pPr>
        <w:keepNext/>
        <w:keepLines/>
        <w:spacing w:after="0"/>
        <w:outlineLvl w:val="4"/>
        <w:rPr>
          <w:rFonts w:asciiTheme="minorHAnsi" w:hAnsiTheme="minorHAnsi" w:cstheme="minorHAnsi"/>
          <w:b/>
          <w:i/>
          <w:color w:val="5B9BD5" w:themeColor="accent1"/>
          <w:sz w:val="20"/>
          <w:szCs w:val="20"/>
        </w:rPr>
      </w:pPr>
      <w:bookmarkStart w:id="72" w:name="_Ref466191778"/>
      <w:bookmarkStart w:id="73" w:name="_Ref451610305"/>
      <w:bookmarkStart w:id="74" w:name="_Toc465885002"/>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24</w:t>
      </w:r>
      <w:r w:rsidRPr="00747E35">
        <w:rPr>
          <w:rFonts w:asciiTheme="minorHAnsi" w:hAnsiTheme="minorHAnsi" w:cstheme="minorHAnsi"/>
          <w:i/>
          <w:noProof/>
          <w:color w:val="5B9BD5" w:themeColor="accent1"/>
          <w:sz w:val="20"/>
          <w:szCs w:val="20"/>
        </w:rPr>
        <w:fldChar w:fldCharType="end"/>
      </w:r>
      <w:bookmarkEnd w:id="72"/>
      <w:r w:rsidRPr="00747E35">
        <w:rPr>
          <w:rFonts w:asciiTheme="minorHAnsi" w:hAnsiTheme="minorHAnsi" w:cstheme="minorHAnsi"/>
          <w:i/>
          <w:color w:val="5B9BD5" w:themeColor="accent1"/>
          <w:sz w:val="20"/>
          <w:szCs w:val="20"/>
        </w:rPr>
        <w:t>:</w:t>
      </w:r>
      <w:r w:rsidRPr="00747E35">
        <w:rPr>
          <w:rFonts w:asciiTheme="minorHAnsi" w:hAnsiTheme="minorHAnsi" w:cstheme="minorHAnsi"/>
          <w:b/>
          <w:i/>
          <w:color w:val="5B9BD5" w:themeColor="accent1"/>
          <w:sz w:val="20"/>
          <w:szCs w:val="20"/>
        </w:rPr>
        <w:t xml:space="preserve"> </w:t>
      </w:r>
      <w:r w:rsidRPr="00747E35">
        <w:rPr>
          <w:rFonts w:asciiTheme="minorHAnsi" w:hAnsiTheme="minorHAnsi" w:cstheme="minorHAnsi"/>
          <w:i/>
          <w:color w:val="5B9BD5" w:themeColor="accent1"/>
          <w:sz w:val="20"/>
          <w:szCs w:val="20"/>
        </w:rPr>
        <w:t>Identified remnant vegetation classes</w:t>
      </w:r>
      <w:bookmarkEnd w:id="73"/>
      <w:bookmarkEnd w:id="74"/>
      <w:r w:rsidRPr="00747E35">
        <w:rPr>
          <w:rFonts w:asciiTheme="minorHAnsi" w:hAnsiTheme="minorHAnsi" w:cstheme="minorHAnsi"/>
          <w:i/>
          <w:color w:val="5B9BD5" w:themeColor="accent1"/>
          <w:sz w:val="20"/>
          <w:szCs w:val="20"/>
        </w:rPr>
        <w:t xml:space="preserve"> at the Maules Creek study area. </w:t>
      </w:r>
    </w:p>
    <w:p w14:paraId="1E138641" w14:textId="77777777" w:rsidR="003D3694" w:rsidRPr="00747E35" w:rsidRDefault="003D3694" w:rsidP="003D3694">
      <w:pPr>
        <w:rPr>
          <w:rFonts w:asciiTheme="minorHAnsi" w:hAnsiTheme="minorHAnsi" w:cstheme="minorHAnsi"/>
        </w:rPr>
      </w:pPr>
    </w:p>
    <w:p w14:paraId="6E122B26"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32427094" wp14:editId="48131B8A">
            <wp:extent cx="5724525" cy="1659622"/>
            <wp:effectExtent l="0" t="0" r="0" b="0"/>
            <wp:docPr id="14394" name="Picture 1" descr="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750107" cy="1667039"/>
                    </a:xfrm>
                    <a:prstGeom prst="rect">
                      <a:avLst/>
                    </a:prstGeom>
                    <a:noFill/>
                    <a:ln>
                      <a:noFill/>
                    </a:ln>
                  </pic:spPr>
                </pic:pic>
              </a:graphicData>
            </a:graphic>
          </wp:inline>
        </w:drawing>
      </w:r>
    </w:p>
    <w:p w14:paraId="4A0E5235"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75" w:name="_Ref466191806"/>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25</w:t>
      </w:r>
      <w:r w:rsidRPr="00747E35">
        <w:rPr>
          <w:rFonts w:asciiTheme="minorHAnsi" w:hAnsiTheme="minorHAnsi" w:cstheme="minorHAnsi"/>
          <w:i/>
          <w:noProof/>
          <w:color w:val="5B9BD5" w:themeColor="accent1"/>
          <w:sz w:val="20"/>
          <w:szCs w:val="20"/>
        </w:rPr>
        <w:fldChar w:fldCharType="end"/>
      </w:r>
      <w:bookmarkEnd w:id="75"/>
      <w:r w:rsidRPr="00747E35">
        <w:rPr>
          <w:rFonts w:asciiTheme="minorHAnsi" w:hAnsiTheme="minorHAnsi" w:cstheme="minorHAnsi"/>
          <w:i/>
          <w:color w:val="5B9BD5" w:themeColor="accent1"/>
          <w:sz w:val="20"/>
          <w:szCs w:val="20"/>
        </w:rPr>
        <w:t>: Ranges of NDVI (left panel) and NDWI (right panel) for the identified classes of remnant vegetation. MEAN_mean is the mean pixel values of multi-date NDVIs or NDWIs averaged for each class; MEAN_min is the minimum pixel values of multi-date NDVIs or NDWIs averaged for each class; and MEAN_max is the maximum pixel values of multi-date NDVIs or NDWIs averaged for each class.</w:t>
      </w:r>
    </w:p>
    <w:p w14:paraId="22748968" w14:textId="77777777" w:rsidR="003D3694" w:rsidRPr="00747E35" w:rsidRDefault="003D3694" w:rsidP="003D3694">
      <w:pPr>
        <w:rPr>
          <w:rFonts w:asciiTheme="minorHAnsi" w:hAnsiTheme="minorHAnsi" w:cstheme="minorHAnsi"/>
        </w:rPr>
      </w:pPr>
    </w:p>
    <w:p w14:paraId="6BC81F90"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3C9668EC" wp14:editId="62D996F0">
            <wp:extent cx="5686425" cy="3355385"/>
            <wp:effectExtent l="0" t="0" r="0" b="0"/>
            <wp:docPr id="14395" name="Picture 1" descr="Scatter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692091" cy="3358728"/>
                    </a:xfrm>
                    <a:prstGeom prst="rect">
                      <a:avLst/>
                    </a:prstGeom>
                    <a:noFill/>
                    <a:ln>
                      <a:noFill/>
                    </a:ln>
                  </pic:spPr>
                </pic:pic>
              </a:graphicData>
            </a:graphic>
          </wp:inline>
        </w:drawing>
      </w:r>
    </w:p>
    <w:p w14:paraId="776FCDC5" w14:textId="32264838"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76" w:name="_Ref466191821"/>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26</w:t>
      </w:r>
      <w:r w:rsidRPr="00747E35">
        <w:rPr>
          <w:rFonts w:asciiTheme="minorHAnsi" w:hAnsiTheme="minorHAnsi" w:cstheme="minorHAnsi"/>
          <w:i/>
          <w:noProof/>
          <w:color w:val="5B9BD5" w:themeColor="accent1"/>
          <w:sz w:val="20"/>
          <w:szCs w:val="20"/>
        </w:rPr>
        <w:fldChar w:fldCharType="end"/>
      </w:r>
      <w:bookmarkEnd w:id="76"/>
      <w:r w:rsidRPr="00747E35">
        <w:rPr>
          <w:rFonts w:asciiTheme="minorHAnsi" w:hAnsiTheme="minorHAnsi" w:cstheme="minorHAnsi"/>
          <w:i/>
          <w:color w:val="5B9BD5" w:themeColor="accent1"/>
          <w:sz w:val="20"/>
          <w:szCs w:val="20"/>
        </w:rPr>
        <w:t>:</w:t>
      </w:r>
      <w:r w:rsidRPr="00747E35">
        <w:rPr>
          <w:rFonts w:asciiTheme="minorHAnsi" w:hAnsiTheme="minorHAnsi" w:cstheme="minorHAnsi"/>
          <w:b/>
          <w:i/>
          <w:color w:val="5B9BD5" w:themeColor="accent1"/>
          <w:sz w:val="20"/>
          <w:szCs w:val="20"/>
        </w:rPr>
        <w:t xml:space="preserve"> </w:t>
      </w:r>
      <w:r w:rsidRPr="00747E35">
        <w:rPr>
          <w:rFonts w:asciiTheme="minorHAnsi" w:hAnsiTheme="minorHAnsi" w:cstheme="minorHAnsi"/>
          <w:i/>
          <w:color w:val="5B9BD5" w:themeColor="accent1"/>
          <w:sz w:val="20"/>
          <w:szCs w:val="20"/>
        </w:rPr>
        <w:t>Scatter plots of NDVI and NDWI extracted at the vegetation observation points, grouped for six remnant vegetation classes. Colour coding of points are random, just to illustrate that each plot contain</w:t>
      </w:r>
      <w:r w:rsidR="001C05E2">
        <w:rPr>
          <w:rFonts w:asciiTheme="minorHAnsi" w:hAnsiTheme="minorHAnsi" w:cstheme="minorHAnsi"/>
          <w:i/>
          <w:color w:val="5B9BD5" w:themeColor="accent1"/>
          <w:sz w:val="20"/>
          <w:szCs w:val="20"/>
        </w:rPr>
        <w:t>s</w:t>
      </w:r>
      <w:r w:rsidRPr="00747E35">
        <w:rPr>
          <w:rFonts w:asciiTheme="minorHAnsi" w:hAnsiTheme="minorHAnsi" w:cstheme="minorHAnsi"/>
          <w:i/>
          <w:color w:val="5B9BD5" w:themeColor="accent1"/>
          <w:sz w:val="20"/>
          <w:szCs w:val="20"/>
        </w:rPr>
        <w:t xml:space="preserve"> information from more than one point.</w:t>
      </w:r>
    </w:p>
    <w:p w14:paraId="17360584" w14:textId="77777777" w:rsidR="003D3694" w:rsidRPr="00747E35" w:rsidRDefault="003D3694" w:rsidP="003D3694">
      <w:pPr>
        <w:rPr>
          <w:rFonts w:asciiTheme="minorHAnsi" w:hAnsiTheme="minorHAnsi" w:cstheme="minorHAnsi"/>
        </w:rPr>
      </w:pPr>
    </w:p>
    <w:p w14:paraId="0E7E51AD"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56633696" wp14:editId="20D59C9E">
            <wp:extent cx="4698748" cy="3737821"/>
            <wp:effectExtent l="0" t="0" r="6985" b="0"/>
            <wp:docPr id="14396" name="Picture 2" descr="Scatter plot with tren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4698748" cy="3737821"/>
                    </a:xfrm>
                    <a:prstGeom prst="rect">
                      <a:avLst/>
                    </a:prstGeom>
                    <a:noFill/>
                    <a:ln>
                      <a:noFill/>
                    </a:ln>
                  </pic:spPr>
                </pic:pic>
              </a:graphicData>
            </a:graphic>
          </wp:inline>
        </w:drawing>
      </w:r>
    </w:p>
    <w:p w14:paraId="1F102095" w14:textId="0787B298"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77" w:name="_Ref466191832"/>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27</w:t>
      </w:r>
      <w:r w:rsidRPr="00747E35">
        <w:rPr>
          <w:rFonts w:asciiTheme="minorHAnsi" w:hAnsiTheme="minorHAnsi" w:cstheme="minorHAnsi"/>
          <w:i/>
          <w:noProof/>
          <w:color w:val="5B9BD5" w:themeColor="accent1"/>
          <w:sz w:val="20"/>
          <w:szCs w:val="20"/>
        </w:rPr>
        <w:fldChar w:fldCharType="end"/>
      </w:r>
      <w:bookmarkEnd w:id="77"/>
      <w:r w:rsidRPr="00747E35">
        <w:rPr>
          <w:rFonts w:asciiTheme="minorHAnsi" w:hAnsiTheme="minorHAnsi" w:cstheme="minorHAnsi"/>
          <w:i/>
          <w:color w:val="5B9BD5" w:themeColor="accent1"/>
          <w:sz w:val="20"/>
          <w:szCs w:val="20"/>
        </w:rPr>
        <w:t>:</w:t>
      </w:r>
      <w:r w:rsidRPr="00747E35">
        <w:rPr>
          <w:rFonts w:asciiTheme="minorHAnsi" w:hAnsiTheme="minorHAnsi" w:cstheme="minorHAnsi"/>
          <w:b/>
          <w:i/>
          <w:color w:val="5B9BD5" w:themeColor="accent1"/>
          <w:sz w:val="20"/>
          <w:szCs w:val="20"/>
        </w:rPr>
        <w:t xml:space="preserve"> </w:t>
      </w:r>
      <w:r w:rsidRPr="00747E35">
        <w:rPr>
          <w:rFonts w:asciiTheme="minorHAnsi" w:hAnsiTheme="minorHAnsi" w:cstheme="minorHAnsi"/>
          <w:i/>
          <w:color w:val="5B9BD5" w:themeColor="accent1"/>
          <w:sz w:val="20"/>
          <w:szCs w:val="20"/>
        </w:rPr>
        <w:t xml:space="preserve">Relationship between the values of the intercepts and slopes estimated from the NDVI and NDWI scatter plots shown in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REF _Ref466191821 \h </w:instrText>
      </w:r>
      <w:r w:rsidR="00925BFC" w:rsidRPr="00747E35">
        <w:rPr>
          <w:rFonts w:asciiTheme="minorHAnsi" w:hAnsiTheme="minorHAnsi" w:cstheme="minorHAnsi"/>
          <w:i/>
          <w:color w:val="5B9BD5" w:themeColor="accent1"/>
          <w:sz w:val="20"/>
          <w:szCs w:val="20"/>
        </w:rPr>
        <w:instrText xml:space="preserve"> \* MERGEFORMAT </w:instrText>
      </w:r>
      <w:r w:rsidRPr="00747E35">
        <w:rPr>
          <w:rFonts w:asciiTheme="minorHAnsi" w:hAnsiTheme="minorHAnsi" w:cstheme="minorHAnsi"/>
          <w:i/>
          <w:color w:val="5B9BD5" w:themeColor="accent1"/>
          <w:sz w:val="20"/>
          <w:szCs w:val="20"/>
        </w:rPr>
      </w:r>
      <w:r w:rsidRPr="00747E35">
        <w:rPr>
          <w:rFonts w:asciiTheme="minorHAnsi" w:hAnsiTheme="minorHAnsi" w:cstheme="minorHAnsi"/>
          <w:i/>
          <w:color w:val="5B9BD5" w:themeColor="accent1"/>
          <w:sz w:val="20"/>
          <w:szCs w:val="20"/>
        </w:rPr>
        <w:fldChar w:fldCharType="separate"/>
      </w:r>
      <w:r w:rsidR="00D023DD" w:rsidRPr="00747E35">
        <w:rPr>
          <w:rFonts w:asciiTheme="minorHAnsi" w:hAnsiTheme="minorHAnsi" w:cstheme="minorHAnsi"/>
          <w:i/>
          <w:color w:val="5B9BD5" w:themeColor="accent1"/>
          <w:sz w:val="20"/>
          <w:szCs w:val="20"/>
        </w:rPr>
        <w:t xml:space="preserve">Figure </w:t>
      </w:r>
      <w:r w:rsidR="00D023DD">
        <w:rPr>
          <w:rFonts w:asciiTheme="minorHAnsi" w:hAnsiTheme="minorHAnsi" w:cstheme="minorHAnsi"/>
          <w:i/>
          <w:noProof/>
          <w:color w:val="5B9BD5" w:themeColor="accent1"/>
          <w:sz w:val="20"/>
          <w:szCs w:val="20"/>
        </w:rPr>
        <w:t>26</w:t>
      </w:r>
      <w:r w:rsidRPr="00747E35">
        <w:rPr>
          <w:rFonts w:asciiTheme="minorHAnsi" w:hAnsiTheme="minorHAnsi" w:cstheme="minorHAnsi"/>
          <w:i/>
          <w:color w:val="5B9BD5" w:themeColor="accent1"/>
          <w:sz w:val="20"/>
          <w:szCs w:val="20"/>
        </w:rPr>
        <w:fldChar w:fldCharType="end"/>
      </w:r>
      <w:r w:rsidRPr="00747E35">
        <w:rPr>
          <w:rFonts w:asciiTheme="minorHAnsi" w:hAnsiTheme="minorHAnsi" w:cstheme="minorHAnsi"/>
          <w:i/>
          <w:color w:val="5B9BD5" w:themeColor="accent1"/>
          <w:sz w:val="20"/>
          <w:szCs w:val="20"/>
        </w:rPr>
        <w:t xml:space="preserve">. The likelihood of vegetation dependency on groundwater increases with an increase in the intercept values and reduction in the slope values. </w:t>
      </w:r>
    </w:p>
    <w:p w14:paraId="48BEB996" w14:textId="77777777" w:rsidR="003D3694" w:rsidRPr="00747E35" w:rsidRDefault="003D3694" w:rsidP="003D3694">
      <w:pPr>
        <w:rPr>
          <w:rFonts w:asciiTheme="minorHAnsi" w:hAnsiTheme="minorHAnsi" w:cstheme="minorHAnsi"/>
        </w:rPr>
      </w:pPr>
    </w:p>
    <w:p w14:paraId="57E297F1"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123BB7C7" wp14:editId="059522CF">
            <wp:extent cx="5595041" cy="3373732"/>
            <wp:effectExtent l="0" t="0" r="5715" b="0"/>
            <wp:docPr id="14397" name="Picture 3" descr="Time serie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595256" cy="3373862"/>
                    </a:xfrm>
                    <a:prstGeom prst="rect">
                      <a:avLst/>
                    </a:prstGeom>
                    <a:noFill/>
                    <a:ln>
                      <a:noFill/>
                    </a:ln>
                  </pic:spPr>
                </pic:pic>
              </a:graphicData>
            </a:graphic>
          </wp:inline>
        </w:drawing>
      </w:r>
    </w:p>
    <w:p w14:paraId="2AEBDA55"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78" w:name="_Ref466191840"/>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28</w:t>
      </w:r>
      <w:r w:rsidRPr="00747E35">
        <w:rPr>
          <w:rFonts w:asciiTheme="minorHAnsi" w:hAnsiTheme="minorHAnsi" w:cstheme="minorHAnsi"/>
          <w:i/>
          <w:noProof/>
          <w:color w:val="5B9BD5" w:themeColor="accent1"/>
          <w:sz w:val="20"/>
          <w:szCs w:val="20"/>
        </w:rPr>
        <w:fldChar w:fldCharType="end"/>
      </w:r>
      <w:bookmarkEnd w:id="78"/>
      <w:r w:rsidRPr="00747E35">
        <w:rPr>
          <w:rFonts w:asciiTheme="minorHAnsi" w:hAnsiTheme="minorHAnsi" w:cstheme="minorHAnsi"/>
          <w:i/>
          <w:color w:val="5B9BD5" w:themeColor="accent1"/>
          <w:sz w:val="20"/>
          <w:szCs w:val="20"/>
        </w:rPr>
        <w:t>:</w:t>
      </w:r>
      <w:r w:rsidRPr="00747E35">
        <w:rPr>
          <w:rFonts w:asciiTheme="minorHAnsi" w:hAnsiTheme="minorHAnsi" w:cstheme="minorHAnsi"/>
          <w:b/>
          <w:i/>
          <w:color w:val="5B9BD5" w:themeColor="accent1"/>
          <w:sz w:val="20"/>
          <w:szCs w:val="20"/>
        </w:rPr>
        <w:t xml:space="preserve"> </w:t>
      </w:r>
      <w:r w:rsidRPr="00747E35">
        <w:rPr>
          <w:rFonts w:asciiTheme="minorHAnsi" w:hAnsiTheme="minorHAnsi" w:cstheme="minorHAnsi"/>
          <w:i/>
          <w:color w:val="5B9BD5" w:themeColor="accent1"/>
          <w:sz w:val="20"/>
          <w:szCs w:val="20"/>
        </w:rPr>
        <w:t>Mean monthly NDVI at the individual vegetation observation points averaged for each remnant vegetation class. Seasonal variability of NDVI values for all observation points within each RV class show the mean monthly NDVI are highest in the early winter (June-July) and the lowest in late spring – early summer (November-December).</w:t>
      </w:r>
    </w:p>
    <w:p w14:paraId="391469CD"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3B52407A" wp14:editId="73DFEC9C">
            <wp:extent cx="5522614" cy="3597753"/>
            <wp:effectExtent l="0" t="0" r="1905" b="3175"/>
            <wp:docPr id="14398" name="Picture 4" descr="Lin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523717" cy="3598472"/>
                    </a:xfrm>
                    <a:prstGeom prst="rect">
                      <a:avLst/>
                    </a:prstGeom>
                    <a:noFill/>
                    <a:ln>
                      <a:noFill/>
                    </a:ln>
                  </pic:spPr>
                </pic:pic>
              </a:graphicData>
            </a:graphic>
          </wp:inline>
        </w:drawing>
      </w:r>
    </w:p>
    <w:p w14:paraId="5F2BAD0C"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79" w:name="_Ref466191847"/>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29</w:t>
      </w:r>
      <w:r w:rsidRPr="00747E35">
        <w:rPr>
          <w:rFonts w:asciiTheme="minorHAnsi" w:hAnsiTheme="minorHAnsi" w:cstheme="minorHAnsi"/>
          <w:i/>
          <w:noProof/>
          <w:color w:val="5B9BD5" w:themeColor="accent1"/>
          <w:sz w:val="20"/>
          <w:szCs w:val="20"/>
        </w:rPr>
        <w:fldChar w:fldCharType="end"/>
      </w:r>
      <w:bookmarkEnd w:id="79"/>
      <w:r w:rsidRPr="00747E35">
        <w:rPr>
          <w:rFonts w:asciiTheme="minorHAnsi" w:hAnsiTheme="minorHAnsi" w:cstheme="minorHAnsi"/>
          <w:i/>
          <w:color w:val="5B9BD5" w:themeColor="accent1"/>
          <w:sz w:val="20"/>
          <w:szCs w:val="20"/>
        </w:rPr>
        <w:t>:</w:t>
      </w:r>
      <w:r w:rsidRPr="00747E35">
        <w:rPr>
          <w:rFonts w:asciiTheme="minorHAnsi" w:hAnsiTheme="minorHAnsi" w:cstheme="minorHAnsi"/>
          <w:b/>
          <w:i/>
          <w:color w:val="5B9BD5" w:themeColor="accent1"/>
          <w:sz w:val="20"/>
          <w:szCs w:val="20"/>
        </w:rPr>
        <w:t xml:space="preserve"> </w:t>
      </w:r>
      <w:r w:rsidRPr="00747E35">
        <w:rPr>
          <w:rFonts w:asciiTheme="minorHAnsi" w:hAnsiTheme="minorHAnsi" w:cstheme="minorHAnsi"/>
          <w:i/>
          <w:color w:val="5B9BD5" w:themeColor="accent1"/>
          <w:sz w:val="20"/>
          <w:szCs w:val="20"/>
        </w:rPr>
        <w:t>Mean values of MLR cluster’s coefficients. Labels ‘m’ and ‘l’ indicate immediate and annual climate conditions. Abbreviations include Tmax = daily maximum temperature; Evap = pan evaporation; Vp = vapour pressure; VpD_m = vapour pressure deficit; RHmaxT_m = relative humidity at maximum temperature; Rad = solar radiation; RF = rainfall.</w:t>
      </w:r>
    </w:p>
    <w:p w14:paraId="299A7B74" w14:textId="77777777" w:rsidR="003D3694" w:rsidRPr="00747E35" w:rsidRDefault="003D3694" w:rsidP="003D3694">
      <w:pPr>
        <w:rPr>
          <w:rFonts w:asciiTheme="minorHAnsi" w:hAnsiTheme="minorHAnsi" w:cstheme="minorHAnsi"/>
        </w:rPr>
      </w:pPr>
    </w:p>
    <w:p w14:paraId="267EDFAB"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21BB4B23" wp14:editId="4BEEFC53">
            <wp:extent cx="5545207" cy="3558012"/>
            <wp:effectExtent l="0" t="0" r="0" b="4445"/>
            <wp:docPr id="14399" name="Picture 5" descr="Line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545754" cy="3558363"/>
                    </a:xfrm>
                    <a:prstGeom prst="rect">
                      <a:avLst/>
                    </a:prstGeom>
                    <a:noFill/>
                    <a:ln>
                      <a:noFill/>
                    </a:ln>
                  </pic:spPr>
                </pic:pic>
              </a:graphicData>
            </a:graphic>
          </wp:inline>
        </w:drawing>
      </w:r>
    </w:p>
    <w:p w14:paraId="6C576462"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80" w:name="_Ref466191863"/>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30</w:t>
      </w:r>
      <w:r w:rsidRPr="00747E35">
        <w:rPr>
          <w:rFonts w:asciiTheme="minorHAnsi" w:hAnsiTheme="minorHAnsi" w:cstheme="minorHAnsi"/>
          <w:i/>
          <w:noProof/>
          <w:color w:val="5B9BD5" w:themeColor="accent1"/>
          <w:sz w:val="20"/>
          <w:szCs w:val="20"/>
        </w:rPr>
        <w:fldChar w:fldCharType="end"/>
      </w:r>
      <w:bookmarkEnd w:id="80"/>
      <w:r w:rsidRPr="00747E35">
        <w:rPr>
          <w:rFonts w:asciiTheme="minorHAnsi" w:hAnsiTheme="minorHAnsi" w:cstheme="minorHAnsi"/>
          <w:i/>
          <w:color w:val="5B9BD5" w:themeColor="accent1"/>
          <w:sz w:val="20"/>
          <w:szCs w:val="20"/>
        </w:rPr>
        <w:t>: Multiple linear regression</w:t>
      </w:r>
      <w:r w:rsidRPr="00747E35">
        <w:rPr>
          <w:rFonts w:asciiTheme="minorHAnsi" w:hAnsiTheme="minorHAnsi" w:cstheme="minorHAnsi"/>
          <w:b/>
          <w:i/>
          <w:color w:val="5B9BD5" w:themeColor="accent1"/>
          <w:sz w:val="20"/>
          <w:szCs w:val="20"/>
        </w:rPr>
        <w:t xml:space="preserve"> </w:t>
      </w:r>
      <w:r w:rsidRPr="00747E35">
        <w:rPr>
          <w:rFonts w:asciiTheme="minorHAnsi" w:hAnsiTheme="minorHAnsi" w:cstheme="minorHAnsi"/>
          <w:i/>
          <w:color w:val="5B9BD5" w:themeColor="accent1"/>
          <w:sz w:val="20"/>
          <w:szCs w:val="20"/>
        </w:rPr>
        <w:t>(MLR) coefficients for the immediate (a) and annual (b) periods at the observation points averaged within the MLR remnant vegetation (RV) clusters.  Abbreviations include Tmax = daily maximum temperature; Evap = pan evaporation; Vp = vapour pressure; VpD_m = vapour pressure deficit; RHmaxT_m = relative humidity at maximum temperature; Rad = solar radiation; RF = rainfall. Labels ‘m’ and ‘l’ indicate immediate and annual climate conditions.</w:t>
      </w:r>
    </w:p>
    <w:p w14:paraId="6FB2E575" w14:textId="77777777" w:rsidR="003D3694" w:rsidRPr="00747E35" w:rsidRDefault="003D3694" w:rsidP="003D3694">
      <w:pPr>
        <w:rPr>
          <w:rFonts w:asciiTheme="minorHAnsi" w:hAnsiTheme="minorHAnsi" w:cstheme="minorHAnsi"/>
        </w:rPr>
      </w:pPr>
    </w:p>
    <w:p w14:paraId="3D199C09"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54AF56EB" wp14:editId="216D0902">
            <wp:extent cx="5650215" cy="3114392"/>
            <wp:effectExtent l="0" t="0" r="8255" b="0"/>
            <wp:docPr id="7170" name="Picture 6" descr="Time serie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651115" cy="3114888"/>
                    </a:xfrm>
                    <a:prstGeom prst="rect">
                      <a:avLst/>
                    </a:prstGeom>
                    <a:noFill/>
                    <a:ln>
                      <a:noFill/>
                    </a:ln>
                  </pic:spPr>
                </pic:pic>
              </a:graphicData>
            </a:graphic>
          </wp:inline>
        </w:drawing>
      </w:r>
    </w:p>
    <w:p w14:paraId="1A83D9B7"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81" w:name="_Ref466191879"/>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31</w:t>
      </w:r>
      <w:r w:rsidRPr="00747E35">
        <w:rPr>
          <w:rFonts w:asciiTheme="minorHAnsi" w:hAnsiTheme="minorHAnsi" w:cstheme="minorHAnsi"/>
          <w:i/>
          <w:noProof/>
          <w:color w:val="5B9BD5" w:themeColor="accent1"/>
          <w:sz w:val="20"/>
          <w:szCs w:val="20"/>
        </w:rPr>
        <w:fldChar w:fldCharType="end"/>
      </w:r>
      <w:bookmarkEnd w:id="81"/>
      <w:r w:rsidRPr="00747E35">
        <w:rPr>
          <w:rFonts w:asciiTheme="minorHAnsi" w:hAnsiTheme="minorHAnsi" w:cstheme="minorHAnsi"/>
          <w:i/>
          <w:color w:val="5B9BD5" w:themeColor="accent1"/>
          <w:sz w:val="20"/>
          <w:szCs w:val="20"/>
        </w:rPr>
        <w:t xml:space="preserve">: Depth to groundwater at two individual bores and the long-term downward linear trends. GW030133.1.1 is located in an area not affected by groundwater abstraction and GW030447.1.1 in an area of irrigation. </w:t>
      </w:r>
    </w:p>
    <w:p w14:paraId="4F441028" w14:textId="77777777" w:rsidR="003D3694" w:rsidRPr="00747E35" w:rsidRDefault="003D3694" w:rsidP="003D3694">
      <w:pPr>
        <w:rPr>
          <w:rFonts w:asciiTheme="minorHAnsi" w:hAnsiTheme="minorHAnsi" w:cstheme="minorHAnsi"/>
        </w:rPr>
      </w:pPr>
    </w:p>
    <w:p w14:paraId="012C9DBC" w14:textId="77777777" w:rsidR="003D3694" w:rsidRPr="00747E35" w:rsidRDefault="003D3694" w:rsidP="003D3694">
      <w:pPr>
        <w:rPr>
          <w:rFonts w:asciiTheme="minorHAnsi" w:hAnsiTheme="minorHAnsi" w:cstheme="minorHAnsi"/>
        </w:rPr>
      </w:pPr>
    </w:p>
    <w:p w14:paraId="27ABE88D"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36F1EB08" wp14:editId="2B5C178B">
            <wp:extent cx="4606183" cy="4455651"/>
            <wp:effectExtent l="0" t="0" r="4445" b="2540"/>
            <wp:docPr id="7182" name="Picture 7" descr="Bar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4608408" cy="4457804"/>
                    </a:xfrm>
                    <a:prstGeom prst="rect">
                      <a:avLst/>
                    </a:prstGeom>
                    <a:noFill/>
                    <a:ln>
                      <a:noFill/>
                    </a:ln>
                  </pic:spPr>
                </pic:pic>
              </a:graphicData>
            </a:graphic>
          </wp:inline>
        </w:drawing>
      </w:r>
    </w:p>
    <w:p w14:paraId="090525FF" w14:textId="33CCD49C"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82" w:name="_Ref466191894"/>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32</w:t>
      </w:r>
      <w:r w:rsidRPr="00747E35">
        <w:rPr>
          <w:rFonts w:asciiTheme="minorHAnsi" w:hAnsiTheme="minorHAnsi" w:cstheme="minorHAnsi"/>
          <w:i/>
          <w:noProof/>
          <w:color w:val="5B9BD5" w:themeColor="accent1"/>
          <w:sz w:val="20"/>
          <w:szCs w:val="20"/>
        </w:rPr>
        <w:fldChar w:fldCharType="end"/>
      </w:r>
      <w:bookmarkEnd w:id="82"/>
      <w:r w:rsidRPr="00747E35">
        <w:rPr>
          <w:rFonts w:asciiTheme="minorHAnsi" w:hAnsiTheme="minorHAnsi" w:cstheme="minorHAnsi"/>
          <w:i/>
          <w:color w:val="5B9BD5" w:themeColor="accent1"/>
          <w:sz w:val="20"/>
          <w:szCs w:val="20"/>
        </w:rPr>
        <w:t>: Trends in (a) depth to groundwater and</w:t>
      </w:r>
      <w:r w:rsidR="000B6292">
        <w:rPr>
          <w:rFonts w:asciiTheme="minorHAnsi" w:hAnsiTheme="minorHAnsi" w:cstheme="minorHAnsi"/>
          <w:i/>
          <w:color w:val="5B9BD5" w:themeColor="accent1"/>
          <w:sz w:val="20"/>
          <w:szCs w:val="20"/>
        </w:rPr>
        <w:t xml:space="preserve"> </w:t>
      </w:r>
      <w:r w:rsidRPr="00747E35">
        <w:rPr>
          <w:rFonts w:asciiTheme="minorHAnsi" w:hAnsiTheme="minorHAnsi" w:cstheme="minorHAnsi"/>
          <w:i/>
          <w:color w:val="5B9BD5" w:themeColor="accent1"/>
          <w:sz w:val="20"/>
          <w:szCs w:val="20"/>
        </w:rPr>
        <w:t xml:space="preserve">(b) NDVI extracted at the individual bores.  Orange and yellow columns are for bores located within the study area remnant vegetation classes 5 (yellow) and 6 (orange). For (a) the bores affected by groundwater abstraction are characterized by slopes greater than 0.05. </w:t>
      </w:r>
    </w:p>
    <w:p w14:paraId="258F4C2B"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19D5408B" wp14:editId="6BB91901">
            <wp:extent cx="4119326" cy="2467305"/>
            <wp:effectExtent l="0" t="0" r="0" b="9525"/>
            <wp:docPr id="7184" name="Picture 1" descr="Bi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3" cstate="email">
                      <a:extLst>
                        <a:ext uri="{28A0092B-C50C-407E-A947-70E740481C1C}">
                          <a14:useLocalDpi xmlns:a14="http://schemas.microsoft.com/office/drawing/2010/main"/>
                        </a:ext>
                      </a:extLst>
                    </a:blip>
                    <a:stretch>
                      <a:fillRect/>
                    </a:stretch>
                  </pic:blipFill>
                  <pic:spPr>
                    <a:xfrm>
                      <a:off x="0" y="0"/>
                      <a:ext cx="4119326" cy="2467305"/>
                    </a:xfrm>
                    <a:prstGeom prst="rect">
                      <a:avLst/>
                    </a:prstGeom>
                  </pic:spPr>
                </pic:pic>
              </a:graphicData>
            </a:graphic>
          </wp:inline>
        </w:drawing>
      </w:r>
    </w:p>
    <w:p w14:paraId="0569C303"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83" w:name="_Ref466191910"/>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33</w:t>
      </w:r>
      <w:r w:rsidRPr="00747E35">
        <w:rPr>
          <w:rFonts w:asciiTheme="minorHAnsi" w:hAnsiTheme="minorHAnsi" w:cstheme="minorHAnsi"/>
          <w:i/>
          <w:noProof/>
          <w:color w:val="5B9BD5" w:themeColor="accent1"/>
          <w:sz w:val="20"/>
          <w:szCs w:val="20"/>
        </w:rPr>
        <w:fldChar w:fldCharType="end"/>
      </w:r>
      <w:bookmarkEnd w:id="83"/>
      <w:r w:rsidRPr="00747E35">
        <w:rPr>
          <w:rFonts w:asciiTheme="minorHAnsi" w:hAnsiTheme="minorHAnsi" w:cstheme="minorHAnsi"/>
          <w:i/>
          <w:color w:val="5B9BD5" w:themeColor="accent1"/>
          <w:sz w:val="20"/>
          <w:szCs w:val="20"/>
        </w:rPr>
        <w:t xml:space="preserve">: The relationship between NDVI and the depth to groundwater at individual bores within the identified RV classes. NDVI and the depth to groundwater were estimated as means of annual minimum values, and the error bars show their interannual variability (SD). RV classes 3 and 6 are shown in green and brown, respectively. The “empty” symbols are related to the bores with short periods of groundwater level monitoring. </w:t>
      </w:r>
    </w:p>
    <w:p w14:paraId="456AFA75" w14:textId="77777777" w:rsidR="003D3694" w:rsidRPr="00747E35" w:rsidRDefault="003D3694" w:rsidP="003D3694">
      <w:pPr>
        <w:rPr>
          <w:rFonts w:asciiTheme="minorHAnsi" w:hAnsiTheme="minorHAnsi" w:cstheme="minorHAnsi"/>
        </w:rPr>
      </w:pPr>
    </w:p>
    <w:p w14:paraId="34172AB7" w14:textId="77777777" w:rsidR="003D3694" w:rsidRPr="00747E35" w:rsidRDefault="003D3694" w:rsidP="003D3694">
      <w:pPr>
        <w:jc w:val="center"/>
        <w:rPr>
          <w:rFonts w:asciiTheme="minorHAnsi" w:hAnsiTheme="minorHAnsi" w:cstheme="minorHAnsi"/>
          <w:sz w:val="20"/>
          <w:szCs w:val="20"/>
        </w:rPr>
      </w:pPr>
      <w:r w:rsidRPr="00747E35">
        <w:rPr>
          <w:rFonts w:asciiTheme="minorHAnsi" w:hAnsiTheme="minorHAnsi" w:cstheme="minorHAnsi"/>
          <w:noProof/>
          <w:lang w:val="en-AU" w:eastAsia="en-AU"/>
        </w:rPr>
        <w:lastRenderedPageBreak/>
        <w:drawing>
          <wp:inline distT="0" distB="0" distL="0" distR="0" wp14:anchorId="69AEE667" wp14:editId="3000D172">
            <wp:extent cx="5115208" cy="4666736"/>
            <wp:effectExtent l="0" t="0" r="9525" b="635"/>
            <wp:docPr id="7185" name="Picture 8" descr="3D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5116676" cy="4668075"/>
                    </a:xfrm>
                    <a:prstGeom prst="rect">
                      <a:avLst/>
                    </a:prstGeom>
                    <a:noFill/>
                    <a:ln>
                      <a:noFill/>
                    </a:ln>
                  </pic:spPr>
                </pic:pic>
              </a:graphicData>
            </a:graphic>
          </wp:inline>
        </w:drawing>
      </w:r>
    </w:p>
    <w:p w14:paraId="77CE864B"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84" w:name="_Ref466191923"/>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34</w:t>
      </w:r>
      <w:r w:rsidRPr="00747E35">
        <w:rPr>
          <w:rFonts w:asciiTheme="minorHAnsi" w:hAnsiTheme="minorHAnsi" w:cstheme="minorHAnsi"/>
          <w:i/>
          <w:noProof/>
          <w:color w:val="5B9BD5" w:themeColor="accent1"/>
          <w:sz w:val="20"/>
          <w:szCs w:val="20"/>
        </w:rPr>
        <w:fldChar w:fldCharType="end"/>
      </w:r>
      <w:bookmarkEnd w:id="84"/>
      <w:r w:rsidRPr="00747E35">
        <w:rPr>
          <w:rFonts w:asciiTheme="minorHAnsi" w:hAnsiTheme="minorHAnsi" w:cstheme="minorHAnsi"/>
          <w:i/>
          <w:color w:val="5B9BD5" w:themeColor="accent1"/>
          <w:sz w:val="20"/>
          <w:szCs w:val="20"/>
        </w:rPr>
        <w:t>: The relationship between the depth to groundwater, NDVI and NDWI of the remnant vegetation, showing lower NDVI and NDWI values where groundwater is deeper. The variability (or range) in NDVI values at locations with different groundwater depths appear to be lower than the variability in NDWI values. This indicates that NDWI is more sensitive to the depth to groundwater.</w:t>
      </w:r>
    </w:p>
    <w:p w14:paraId="4902E6F4" w14:textId="77777777" w:rsidR="003D3694" w:rsidRPr="00747E35" w:rsidRDefault="003D3694" w:rsidP="003D3694">
      <w:pPr>
        <w:rPr>
          <w:rFonts w:asciiTheme="minorHAnsi" w:hAnsiTheme="minorHAnsi" w:cstheme="minorHAnsi"/>
        </w:rPr>
      </w:pPr>
    </w:p>
    <w:p w14:paraId="0F62F449" w14:textId="77777777" w:rsidR="003D3694" w:rsidRPr="00747E35" w:rsidRDefault="003D3694" w:rsidP="003D3694">
      <w:pPr>
        <w:rPr>
          <w:rFonts w:asciiTheme="minorHAnsi" w:hAnsiTheme="minorHAnsi" w:cstheme="minorHAnsi"/>
        </w:rPr>
      </w:pPr>
    </w:p>
    <w:p w14:paraId="62425F99" w14:textId="77777777" w:rsidR="003D3694" w:rsidRPr="00747E35" w:rsidRDefault="003D3694" w:rsidP="003D3694">
      <w:pPr>
        <w:jc w:val="center"/>
        <w:rPr>
          <w:rFonts w:asciiTheme="minorHAnsi" w:hAnsiTheme="minorHAnsi" w:cstheme="minorHAnsi"/>
          <w:sz w:val="20"/>
          <w:szCs w:val="20"/>
        </w:rPr>
      </w:pPr>
      <w:r w:rsidRPr="00747E35">
        <w:rPr>
          <w:rFonts w:asciiTheme="minorHAnsi" w:hAnsiTheme="minorHAnsi" w:cstheme="minorHAnsi"/>
          <w:noProof/>
          <w:lang w:val="en-AU" w:eastAsia="en-AU"/>
        </w:rPr>
        <w:lastRenderedPageBreak/>
        <w:drawing>
          <wp:inline distT="0" distB="0" distL="0" distR="0" wp14:anchorId="5DA3F601" wp14:editId="6280DF03">
            <wp:extent cx="5781675" cy="5555924"/>
            <wp:effectExtent l="0" t="0" r="0" b="6985"/>
            <wp:docPr id="7186" name="Picture 9" descr="Time series figure with sh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5795986" cy="5569676"/>
                    </a:xfrm>
                    <a:prstGeom prst="rect">
                      <a:avLst/>
                    </a:prstGeom>
                    <a:noFill/>
                    <a:ln>
                      <a:noFill/>
                    </a:ln>
                  </pic:spPr>
                </pic:pic>
              </a:graphicData>
            </a:graphic>
          </wp:inline>
        </w:drawing>
      </w:r>
    </w:p>
    <w:p w14:paraId="275A4A93"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85" w:name="_Ref466192043"/>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35</w:t>
      </w:r>
      <w:r w:rsidRPr="00747E35">
        <w:rPr>
          <w:rFonts w:asciiTheme="minorHAnsi" w:hAnsiTheme="minorHAnsi" w:cstheme="minorHAnsi"/>
          <w:i/>
          <w:noProof/>
          <w:color w:val="5B9BD5" w:themeColor="accent1"/>
          <w:sz w:val="20"/>
          <w:szCs w:val="20"/>
        </w:rPr>
        <w:fldChar w:fldCharType="end"/>
      </w:r>
      <w:bookmarkEnd w:id="85"/>
      <w:r w:rsidRPr="00747E35">
        <w:rPr>
          <w:rFonts w:asciiTheme="minorHAnsi" w:hAnsiTheme="minorHAnsi" w:cstheme="minorHAnsi"/>
          <w:i/>
          <w:color w:val="5B9BD5" w:themeColor="accent1"/>
          <w:sz w:val="20"/>
          <w:szCs w:val="20"/>
        </w:rPr>
        <w:t>: Long term variation in groundwater level (m) (a) at a monitoring bore at a location unaffected by groundwater abstraction for irrigation and (b) NDVI at that location (bore GW0310133.1.1) and (c) long term variation in groundwater level at a monitoring bore at a location affected by groundwater abstraction for irrigation and (d) NDVI at that location (bore GW030447.1.1). For (a) and (c) colours represent depth to groundwater and in (b) and (d) NDVI.  Red outline indicates the period when Landsat data were available, blue outline indicates the gap in available Landsat data.</w:t>
      </w:r>
    </w:p>
    <w:p w14:paraId="4DEBA2A6" w14:textId="77777777" w:rsidR="003D3694" w:rsidRPr="00747E35" w:rsidRDefault="003D3694" w:rsidP="003D3694">
      <w:pPr>
        <w:rPr>
          <w:rFonts w:asciiTheme="minorHAnsi" w:hAnsiTheme="minorHAnsi" w:cstheme="minorHAnsi"/>
        </w:rPr>
      </w:pPr>
    </w:p>
    <w:p w14:paraId="63CB8B73"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br w:type="page"/>
      </w:r>
    </w:p>
    <w:p w14:paraId="45BE339C" w14:textId="64C16569" w:rsidR="003D3694" w:rsidRPr="00747E35" w:rsidRDefault="003D3694" w:rsidP="004B7607">
      <w:pPr>
        <w:pStyle w:val="Heading2"/>
        <w:rPr>
          <w:rFonts w:asciiTheme="minorHAnsi" w:hAnsiTheme="minorHAnsi" w:cstheme="minorHAnsi"/>
        </w:rPr>
      </w:pPr>
      <w:bookmarkStart w:id="86" w:name="_Toc470004830"/>
      <w:r w:rsidRPr="00747E35">
        <w:rPr>
          <w:rFonts w:asciiTheme="minorHAnsi" w:hAnsiTheme="minorHAnsi" w:cstheme="minorHAnsi"/>
        </w:rPr>
        <w:lastRenderedPageBreak/>
        <w:t>Major Findings</w:t>
      </w:r>
      <w:bookmarkEnd w:id="86"/>
    </w:p>
    <w:p w14:paraId="2CCEB0CE"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Research Question 1a, b - What are the characteristics of the environment and the plants that utilise groundwater (typology of hydrotypes and phreatophytic vegetation)?</w:t>
      </w:r>
    </w:p>
    <w:p w14:paraId="10618D1B" w14:textId="7BDB328E" w:rsidR="003D3694" w:rsidRPr="00747E35" w:rsidRDefault="003D3694" w:rsidP="003D3694">
      <w:pPr>
        <w:rPr>
          <w:rFonts w:asciiTheme="minorHAnsi" w:hAnsiTheme="minorHAnsi" w:cstheme="minorHAnsi"/>
        </w:rPr>
      </w:pPr>
      <w:r w:rsidRPr="00747E35">
        <w:rPr>
          <w:rFonts w:asciiTheme="minorHAnsi" w:hAnsiTheme="minorHAnsi" w:cstheme="minorHAnsi"/>
        </w:rPr>
        <w:t>The climatic environments where phreatophytes have been recorded are diverse with the majority of reported studies on phreatophytes from arid and semi-arid and Mediterranean-type climates where a combination of annual and/or seasonal drought and accessible, good-quality groundwater is available. Underlying geology generally provides the conditions for the development of shallow aquifers accessible to phreatophytic vegetation to grow and includes alluvial and aeolian sediments, sedimentary rocks, particularly karst, and fractured volcanics such as basalt.  True phreatophytes are commonly perennial trees and shrubs with particular ecological, physiological, reproductive and morphological attributes (</w:t>
      </w:r>
      <w:r w:rsidRPr="00747E35">
        <w:rPr>
          <w:rFonts w:asciiTheme="minorHAnsi" w:hAnsiTheme="minorHAnsi" w:cstheme="minorHAnsi"/>
        </w:rPr>
        <w:fldChar w:fldCharType="begin"/>
      </w:r>
      <w:r w:rsidRPr="00747E35">
        <w:rPr>
          <w:rFonts w:asciiTheme="minorHAnsi" w:hAnsiTheme="minorHAnsi" w:cstheme="minorHAnsi"/>
        </w:rPr>
        <w:instrText xml:space="preserve"> REF _Ref467054031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8</w:t>
      </w:r>
      <w:r w:rsidRPr="00747E35">
        <w:rPr>
          <w:rFonts w:asciiTheme="minorHAnsi" w:hAnsiTheme="minorHAnsi" w:cstheme="minorHAnsi"/>
        </w:rPr>
        <w:fldChar w:fldCharType="end"/>
      </w:r>
      <w:r w:rsidRPr="00747E35">
        <w:rPr>
          <w:rFonts w:asciiTheme="minorHAnsi" w:hAnsiTheme="minorHAnsi" w:cstheme="minorHAnsi"/>
        </w:rPr>
        <w:t>) that enhance the ability of the plants to access groundwater.</w:t>
      </w:r>
    </w:p>
    <w:p w14:paraId="096EF61D" w14:textId="773502B6" w:rsidR="003D3694" w:rsidRPr="00747E35" w:rsidRDefault="003D3694" w:rsidP="003D3694">
      <w:pPr>
        <w:rPr>
          <w:rFonts w:asciiTheme="minorHAnsi" w:hAnsiTheme="minorHAnsi" w:cstheme="minorHAnsi"/>
        </w:rPr>
      </w:pPr>
      <w:r w:rsidRPr="00747E35">
        <w:rPr>
          <w:rFonts w:asciiTheme="minorHAnsi" w:hAnsiTheme="minorHAnsi" w:cstheme="minorHAnsi"/>
          <w:lang w:eastAsia="en-AU"/>
        </w:rPr>
        <w:t>This project has characterised plant communities as a mix of hydrotypes indicative of hydrological requirements and associated with landscape position and other environmental factors. In particular, this typology emphasizes the plant-hydrology linkages relevant in recognizing the likelihood of groundwater use.</w:t>
      </w:r>
      <w:r w:rsidRPr="00747E35">
        <w:rPr>
          <w:rFonts w:asciiTheme="minorHAnsi" w:hAnsiTheme="minorHAnsi" w:cstheme="minorHAnsi"/>
        </w:rPr>
        <w:t xml:space="preserve"> These hydrotypes can range from fully aquatic plants (hydrophytes) in permanently flooded wetlands where the groundwater levels are higher than the land surface for much of the year, to plants adapted to habitats that have only seasonally or episodically available soil water (xerophytes). In most landscapes as depth to groundwater increases and therefore accessibility decreases, the proportion of hydrotypes in the plant community adapted to wet conditions (and the number of phreatophytes) will decline. The typology provides us with a convenient first step in identifying the water sources important to maintaining vegetation and the potential for groundwater dependence for EIA.  Caveats on the development of a plant hydrotypes typology are the requirement for good taxonomic and ecological knowledge of species, as well as informati</w:t>
      </w:r>
      <w:r w:rsidR="00BE4D6D">
        <w:rPr>
          <w:rFonts w:asciiTheme="minorHAnsi" w:hAnsiTheme="minorHAnsi" w:cstheme="minorHAnsi"/>
        </w:rPr>
        <w:t>on on</w:t>
      </w:r>
      <w:r w:rsidRPr="00747E35">
        <w:rPr>
          <w:rFonts w:asciiTheme="minorHAnsi" w:hAnsiTheme="minorHAnsi" w:cstheme="minorHAnsi"/>
        </w:rPr>
        <w:t xml:space="preserve"> ecophysiological traits and responses (Casanova 2011). However, the typology developed here works well as a general guide to categories of hydrological plant types in a continuum of groundwater dependence at the plant community level.  </w:t>
      </w:r>
    </w:p>
    <w:p w14:paraId="00E47DF2" w14:textId="232F65EA"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Our results suggest that it is possible to predict for management purposes, the importance of groundwater to a given plant community. This prediction can be based on a number of relatively easily observable factors including landscape position, climate, soil, geology, groundwater depth and proportion of plant hydrotypes within a plant community. However, the degree of certainty will increase with the level of knowledge of plant traits and physiology, such as root morphology, xylem anatomy, water use efficiency and productivity (see Eamus et al. 2006). Use of hydrotypes to define plant communities in terms of groundwater dependency, and the likely presence of phreatophytes, provides a practical way of assessing the importance of these functional types within a landscape.  We provide a decision tree for broadly categorising plants within a community into hydrotype functional groups, and identifying potential phreatophytes (see </w:t>
      </w:r>
      <w:r w:rsidRPr="00747E35">
        <w:rPr>
          <w:rFonts w:asciiTheme="minorHAnsi" w:hAnsiTheme="minorHAnsi" w:cstheme="minorHAnsi"/>
        </w:rPr>
        <w:fldChar w:fldCharType="begin"/>
      </w:r>
      <w:r w:rsidRPr="00747E35">
        <w:rPr>
          <w:rFonts w:asciiTheme="minorHAnsi" w:hAnsiTheme="minorHAnsi" w:cstheme="minorHAnsi"/>
        </w:rPr>
        <w:instrText xml:space="preserve"> REF _Ref467054257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11</w:t>
      </w:r>
      <w:r w:rsidRPr="00747E35">
        <w:rPr>
          <w:rFonts w:asciiTheme="minorHAnsi" w:hAnsiTheme="minorHAnsi" w:cstheme="minorHAnsi"/>
        </w:rPr>
        <w:fldChar w:fldCharType="end"/>
      </w:r>
      <w:r w:rsidRPr="00747E35">
        <w:rPr>
          <w:rFonts w:asciiTheme="minorHAnsi" w:hAnsiTheme="minorHAnsi" w:cstheme="minorHAnsi"/>
        </w:rPr>
        <w:t xml:space="preserve">). The decision tree uses life history traits (annual or perennials) and life form (woody or herbaceous) as well as habitat, depth to groundwater, duration of inundation and drought adaption to identify the different hydrotypes. Consequently, this type of approach can be used to assess potential ecological impacts of groundwater drawdown as a result of coal seam gas (CSG) and coal mining developments in a variety of biophysical settings. This is important given our limited knowledge of the relationship between hydrology and plant community composition and a lack of accepted conceptual models of groundwater dependent vegetation ecology. </w:t>
      </w:r>
    </w:p>
    <w:p w14:paraId="58C0645C"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Our field studies confirmed the desktop analysis of hydrotypes and showed that hydrophytes, helophytes and mesophytes were associated with the wetter environment of riparian sites, while xerophytes and semi-xerophytes mostly associated with the drier terrestrial and intermittent floodplain sites where deep groundwater is not readily accessible to plants. Hydrophytes and </w:t>
      </w:r>
      <w:r w:rsidRPr="00747E35">
        <w:rPr>
          <w:rFonts w:asciiTheme="minorHAnsi" w:hAnsiTheme="minorHAnsi" w:cstheme="minorHAnsi"/>
        </w:rPr>
        <w:lastRenderedPageBreak/>
        <w:t>helophytes were found only in the wetter landscape positions and mesophytes are also most abundant in the riparian and floodplain areas.  We suggest that our approach of developing a typology of plant hydrotypes can be used as part of a field assessment of plant community vulnerability to changes in hydrology such as groundwater drawdown. The development of a typology of hydrotypes will assist in assessing potential ecological impacts of changes to groundwater availability, as measuring the proportion of different hydrotypes within a habitat will provide an indication of the degree of reliance on groundwater. Furthermore, detected changes over time in the proportion of different hydrotypes in a community will indicate possible changes in the hydrological regime (e.g. groundwater drawdown) operating within that area.</w:t>
      </w:r>
    </w:p>
    <w:p w14:paraId="67D70725"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Research Question 2 - Distribution of plant hydrotypes and productivity: predicting groundwater use of plants across landscapes.</w:t>
      </w:r>
    </w:p>
    <w:p w14:paraId="3F3A070F" w14:textId="182B5496" w:rsidR="003D3694" w:rsidRPr="00747E35" w:rsidRDefault="003D3694" w:rsidP="003D3694">
      <w:pPr>
        <w:rPr>
          <w:rFonts w:asciiTheme="minorHAnsi" w:hAnsiTheme="minorHAnsi" w:cstheme="minorHAnsi"/>
        </w:rPr>
      </w:pPr>
      <w:r w:rsidRPr="00747E35">
        <w:rPr>
          <w:rFonts w:asciiTheme="minorHAnsi" w:hAnsiTheme="minorHAnsi" w:cstheme="minorHAnsi"/>
        </w:rPr>
        <w:t>Our results indicate the importance of antecedent climate (particularly rainfall) and hydrological conditions for the ecohydrological state of the trees and from where they are accessing water.  When there has been abundant rainfall and stream flow, trees tend to be well hydrated and accessing their water mainly from soil water. Annual rainfall over the study period (October 2015 to September 2016) was 21% above the long-term average (620mm) for the Maules Creek area.  However, this rainfall varied across the study period with the late summer-early autumn period (February to April) below average with 56% of the long-term average and June to September was 214% above the long-term average for these months.  Therefore, in terms of rainfall and stream flow, the study period can be considered atypical with the rainfall seasons reversed with what is</w:t>
      </w:r>
      <w:r w:rsidR="000B6292">
        <w:rPr>
          <w:rFonts w:asciiTheme="minorHAnsi" w:hAnsiTheme="minorHAnsi" w:cstheme="minorHAnsi"/>
        </w:rPr>
        <w:t>,</w:t>
      </w:r>
      <w:r w:rsidRPr="00747E35">
        <w:rPr>
          <w:rFonts w:asciiTheme="minorHAnsi" w:hAnsiTheme="minorHAnsi" w:cstheme="minorHAnsi"/>
        </w:rPr>
        <w:t xml:space="preserve"> on average</w:t>
      </w:r>
      <w:r w:rsidR="000B6292">
        <w:rPr>
          <w:rFonts w:asciiTheme="minorHAnsi" w:hAnsiTheme="minorHAnsi" w:cstheme="minorHAnsi"/>
        </w:rPr>
        <w:t>,</w:t>
      </w:r>
      <w:r w:rsidRPr="00747E35">
        <w:rPr>
          <w:rFonts w:asciiTheme="minorHAnsi" w:hAnsiTheme="minorHAnsi" w:cstheme="minorHAnsi"/>
        </w:rPr>
        <w:t xml:space="preserve"> the driest part of the year being the wettest during our study.  Therefore, although this deviation from average rainfall does not reduce the validity of our findings, </w:t>
      </w:r>
      <w:r w:rsidR="000B6292">
        <w:rPr>
          <w:rFonts w:asciiTheme="minorHAnsi" w:hAnsiTheme="minorHAnsi" w:cstheme="minorHAnsi"/>
        </w:rPr>
        <w:t xml:space="preserve">comparison or transfer of our findings to other years or regions would be most valid </w:t>
      </w:r>
      <w:r w:rsidR="00CD726F">
        <w:rPr>
          <w:rFonts w:asciiTheme="minorHAnsi" w:hAnsiTheme="minorHAnsi" w:cstheme="minorHAnsi"/>
        </w:rPr>
        <w:t xml:space="preserve">for situations with </w:t>
      </w:r>
      <w:r w:rsidR="000B6292">
        <w:rPr>
          <w:rFonts w:asciiTheme="minorHAnsi" w:hAnsiTheme="minorHAnsi" w:cstheme="minorHAnsi"/>
        </w:rPr>
        <w:t xml:space="preserve">similar rainfall </w:t>
      </w:r>
      <w:r w:rsidR="00CD726F">
        <w:rPr>
          <w:rFonts w:asciiTheme="minorHAnsi" w:hAnsiTheme="minorHAnsi" w:cstheme="minorHAnsi"/>
        </w:rPr>
        <w:t>conditions as experienced during our study</w:t>
      </w:r>
      <w:r w:rsidRPr="00747E35">
        <w:rPr>
          <w:rFonts w:asciiTheme="minorHAnsi" w:hAnsiTheme="minorHAnsi" w:cstheme="minorHAnsi"/>
        </w:rPr>
        <w:t>.</w:t>
      </w:r>
    </w:p>
    <w:p w14:paraId="302DA484"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Our dendrometer study of red gum trees in different landscape positions suggests that sites with shallow groundwater for most of the year had greater growth rates over the year and larger daily stem changes indicating greater short-term growth rates. Although these trees have responded to rainfall events (and corresponding flow), they show less response to drought periods, suggesting they are less dependent on rainfall and may also be accessing groundwater continuously.  Riparian trees at the intermittent site, where groundwater is seasonally deeper, may also be accessing groundwater at some periods during the year. Stable isotope analysis provided further evidence that there were strong links to groundwater</w:t>
      </w:r>
      <w:r w:rsidRPr="00747E35" w:rsidDel="00D8571B">
        <w:rPr>
          <w:rFonts w:asciiTheme="minorHAnsi" w:hAnsiTheme="minorHAnsi" w:cstheme="minorHAnsi"/>
        </w:rPr>
        <w:t xml:space="preserve"> </w:t>
      </w:r>
      <w:r w:rsidRPr="00747E35">
        <w:rPr>
          <w:rFonts w:asciiTheme="minorHAnsi" w:hAnsiTheme="minorHAnsi" w:cstheme="minorHAnsi"/>
        </w:rPr>
        <w:t>for trees in the riparian area of Maules Creek at the site of a perennial pool as well for trees on the nearby floodplain where groundwater</w:t>
      </w:r>
      <w:r w:rsidRPr="00747E35" w:rsidDel="00D8571B">
        <w:rPr>
          <w:rFonts w:asciiTheme="minorHAnsi" w:hAnsiTheme="minorHAnsi" w:cstheme="minorHAnsi"/>
        </w:rPr>
        <w:t xml:space="preserve"> </w:t>
      </w:r>
      <w:r w:rsidRPr="00747E35">
        <w:rPr>
          <w:rFonts w:asciiTheme="minorHAnsi" w:hAnsiTheme="minorHAnsi" w:cstheme="minorHAnsi"/>
        </w:rPr>
        <w:t>is deeper (5-7m). At the sites further up the catchment where stream flow and shallow groundwater are seasonally intermittent, trees close to the stream (groundwater</w:t>
      </w:r>
      <w:r w:rsidRPr="00747E35" w:rsidDel="00D8571B">
        <w:rPr>
          <w:rFonts w:asciiTheme="minorHAnsi" w:hAnsiTheme="minorHAnsi" w:cstheme="minorHAnsi"/>
        </w:rPr>
        <w:t xml:space="preserve"> </w:t>
      </w:r>
      <w:r w:rsidRPr="00747E35">
        <w:rPr>
          <w:rFonts w:asciiTheme="minorHAnsi" w:hAnsiTheme="minorHAnsi" w:cstheme="minorHAnsi"/>
        </w:rPr>
        <w:t xml:space="preserve">depth 6-8m) appeared to be accessing groundwater during the October sampling period. </w:t>
      </w:r>
    </w:p>
    <w:p w14:paraId="620D1C2A" w14:textId="1B6A47DB" w:rsidR="003D3694" w:rsidRPr="00747E35" w:rsidRDefault="003D3694" w:rsidP="003D3694">
      <w:pPr>
        <w:rPr>
          <w:rFonts w:asciiTheme="minorHAnsi" w:hAnsiTheme="minorHAnsi" w:cstheme="minorHAnsi"/>
        </w:rPr>
      </w:pPr>
      <w:r w:rsidRPr="00747E35">
        <w:rPr>
          <w:rFonts w:asciiTheme="minorHAnsi" w:hAnsiTheme="minorHAnsi" w:cstheme="minorHAnsi"/>
        </w:rPr>
        <w:t>Although the data presented here are not conclusive as to which trees are using groundwater, and where or when, there are multiple lines of evidence that strongly suggest that red gum trees (</w:t>
      </w:r>
      <w:r w:rsidRPr="00747E35">
        <w:rPr>
          <w:rFonts w:asciiTheme="minorHAnsi" w:hAnsiTheme="minorHAnsi" w:cstheme="minorHAnsi"/>
          <w:i/>
        </w:rPr>
        <w:t>E. camaldulensis</w:t>
      </w:r>
      <w:r w:rsidRPr="00747E35">
        <w:rPr>
          <w:rFonts w:asciiTheme="minorHAnsi" w:hAnsiTheme="minorHAnsi" w:cstheme="minorHAnsi"/>
        </w:rPr>
        <w:t>) in riparian areas and on the floodplain, where groundwater is relatively close to the surface, are utilizing groundwater for some of their water requirements. This finding confirms results of other studies within Australia where river red gum growing in riparian areas have been shown to be making use of groundwater (Thorburn and Walker 1994, Lamontagne et al</w:t>
      </w:r>
      <w:r w:rsidR="005E04D7">
        <w:rPr>
          <w:rFonts w:asciiTheme="minorHAnsi" w:hAnsiTheme="minorHAnsi" w:cstheme="minorHAnsi"/>
        </w:rPr>
        <w:t>.</w:t>
      </w:r>
      <w:r w:rsidRPr="00747E35">
        <w:rPr>
          <w:rFonts w:asciiTheme="minorHAnsi" w:hAnsiTheme="minorHAnsi" w:cstheme="minorHAnsi"/>
        </w:rPr>
        <w:t xml:space="preserve"> 2005). The degree of dependence on groundwater is likely to vary considerably among locations and times of year and for individual trees. The ability of some plant species to change their physiological and morphological responses to changing hydrologic conditions makes the categorising of phenotypically plastic species as phreatophytic challenging.  For example, </w:t>
      </w:r>
      <w:r w:rsidRPr="00747E35">
        <w:rPr>
          <w:rFonts w:asciiTheme="minorHAnsi" w:hAnsiTheme="minorHAnsi" w:cstheme="minorHAnsi"/>
          <w:i/>
        </w:rPr>
        <w:t>Populus</w:t>
      </w:r>
      <w:r w:rsidRPr="00747E35">
        <w:rPr>
          <w:rFonts w:asciiTheme="minorHAnsi" w:hAnsiTheme="minorHAnsi" w:cstheme="minorHAnsi"/>
        </w:rPr>
        <w:t xml:space="preserve"> spp. may have denser wood, more cavitation-resistant xylem and slower growth if established in drier environments and may be less vulnerable to abrupt groundwater decline than individuals growing in wetter areas (Stromberg &amp; Merritt 2016). </w:t>
      </w:r>
      <w:r w:rsidRPr="00747E35">
        <w:rPr>
          <w:rFonts w:asciiTheme="minorHAnsi" w:hAnsiTheme="minorHAnsi" w:cstheme="minorHAnsi"/>
        </w:rPr>
        <w:lastRenderedPageBreak/>
        <w:t>Plants using groundwater (phreatophytes) are generally restricted to environments with permanent groundwater supplies that are within a depth accessible to plant roots. Therefore, phreatophytes can occur i</w:t>
      </w:r>
      <w:r w:rsidR="00CD726F">
        <w:rPr>
          <w:rFonts w:asciiTheme="minorHAnsi" w:hAnsiTheme="minorHAnsi" w:cstheme="minorHAnsi"/>
        </w:rPr>
        <w:t>n</w:t>
      </w:r>
      <w:r w:rsidRPr="00747E35">
        <w:rPr>
          <w:rFonts w:asciiTheme="minorHAnsi" w:hAnsiTheme="minorHAnsi" w:cstheme="minorHAnsi"/>
        </w:rPr>
        <w:t xml:space="preserve"> most habitats where groundwater</w:t>
      </w:r>
      <w:r w:rsidRPr="00747E35" w:rsidDel="005B5911">
        <w:rPr>
          <w:rFonts w:asciiTheme="minorHAnsi" w:hAnsiTheme="minorHAnsi" w:cstheme="minorHAnsi"/>
        </w:rPr>
        <w:t xml:space="preserve"> </w:t>
      </w:r>
      <w:r w:rsidRPr="00747E35">
        <w:rPr>
          <w:rFonts w:asciiTheme="minorHAnsi" w:hAnsiTheme="minorHAnsi" w:cstheme="minorHAnsi"/>
        </w:rPr>
        <w:t>is shallow enough for roots to reach and plants opportunistically use groundwater</w:t>
      </w:r>
      <w:r w:rsidRPr="00747E35" w:rsidDel="005B5911">
        <w:rPr>
          <w:rFonts w:asciiTheme="minorHAnsi" w:hAnsiTheme="minorHAnsi" w:cstheme="minorHAnsi"/>
        </w:rPr>
        <w:t xml:space="preserve"> </w:t>
      </w:r>
      <w:r w:rsidRPr="00747E35">
        <w:rPr>
          <w:rFonts w:asciiTheme="minorHAnsi" w:hAnsiTheme="minorHAnsi" w:cstheme="minorHAnsi"/>
        </w:rPr>
        <w:t>to a greater or lesser extent when the energetic balance is favourable to extracting deeper soil water at the capillary fringe of the water table. It is generally assumed therefore that if plants can access groundwater then some plants within the ecosystem will develop some degree of dependence.  Therefore, phreatophytic behaviour seems to be more related to the prevailing environmental conditions than to the capabilities of a given plant species or type (Thomas 2012).  In addition, trees are likely to maximize the exploitation of the environmental resources by using the topsoil water during most of the year and groundwater in the dry summer (David et al. 2013).</w:t>
      </w:r>
    </w:p>
    <w:p w14:paraId="2BFE6AA6"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As for the critical question of whether mature trees have the capacity to adapt to declining water tables, this is likely to be most dependent on the rates of groundwater</w:t>
      </w:r>
      <w:r w:rsidRPr="00747E35" w:rsidDel="005B5911">
        <w:rPr>
          <w:rFonts w:asciiTheme="minorHAnsi" w:hAnsiTheme="minorHAnsi" w:cstheme="minorHAnsi"/>
        </w:rPr>
        <w:t xml:space="preserve"> </w:t>
      </w:r>
      <w:r w:rsidRPr="00747E35">
        <w:rPr>
          <w:rFonts w:asciiTheme="minorHAnsi" w:hAnsiTheme="minorHAnsi" w:cstheme="minorHAnsi"/>
        </w:rPr>
        <w:t xml:space="preserve">drawdown and recovery. Root redistribution may afford tolerance to short-term drawdown in water tables but protracted and rapid groundwater declines are known to result in phreatophyte water deficit stress and mortality (Shafroth et al. 2002, Froend &amp; Sommer 2010, Barron et.al. 2014a) and reduce vegetation resilience (Sommer &amp; Froend, 2011). The nature of dependence on groundwater relative to other sources of water is important in differentiating these responses to changes in groundwater availability.  Therefore, to assess potential groundwater use by plant communities we suggest that ideally sources of tree water use must be assessed over several different seasons and years.  Clearly this is rarely practical for environmental impact assessments and a possible compromise is to substitute space for time, so that assessment of groundwater use by trees can be done at different locations with a gradient of groundwater depths. However, if the trajectory of environmental change is faster than vegetation adaptability, plants are likely to have physiological limits to how quickly root extension can keep pace with rapid groundwater drawdown through extraction (Zencich et al., 2002). </w:t>
      </w:r>
    </w:p>
    <w:p w14:paraId="5A4E31A7"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Research Question 3 - How do vegetation and groundwater interactions vary spatially and temporally across the landscape within catchments? </w:t>
      </w:r>
    </w:p>
    <w:p w14:paraId="04D3BB39"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Most of the identified remnant vegetation in the Maules Creek study area is associated with the riverine systems, including riparian vegetation and vegetation established on the floodplains. Here, the depth to groundwater reduces from the north-west to the south-east of the study area. Following this pattern, the ephemeral Maules Creek becomes perennial, providing annual recharge to groundwater in the north-west and being a gaining stream in the south-east. As a result, all riparian and floodplain vegetation in the study area is likely to have access to groundwater, though at various depths: more than 8 m below ground level (BGL) in the north-west and within a few metres BGL in the south-east. Decadal variability of rainfall in the study area led to some reduction in vegetation greenness during the particularly dry periods (such as during the Millennium Drought of mid 2000s). During this time the groundwater levels also dropped, in some bores up to 4 m. However, both groundwater levels and vegetation greenness recovered in the wetter periods following the droughts. This recovery is likely to indicate that vegetation is well adapted to the decadal variability of the climatic conditions and variation in water availability associated with it. Groundwater is locally used for irrigation, which has an effect on groundwater levels in the south-west of the study area outside the riverine systems. Seasonal changes in the groundwater level may be more than 7 m, and there is a long-term trend in the groundwater drawdown in this area. However, this trend has not had an impact on vegetation greenness within the study area. All analysis indicated that vegetation wetness (NDWI) is a more sensitive variable than NDVI to spatiotemporal variations in groundwater levels. This great sensitivity of NDWI can potentially be due to a greater effect of the depth to groundwater on evapotranspiration rates by plants rather than on their greenness. </w:t>
      </w:r>
    </w:p>
    <w:p w14:paraId="49C22E3B"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lastRenderedPageBreak/>
        <w:t xml:space="preserve">In summary, decadal and seasonal variations in groundwater levels, even when induced by groundwater use for irrigation, do not have detectable impacts on remnant vegetation from the riverine systems. This lack of impact is likely to be due to the position in the landscape of riparian vegetation, within groundwater discharge zone or localised groundwater discharge zone associated with the riverine systems. Unless groundwater abstraction, climate change or their combination led to substantial changes in surface and groundwater interaction processes (e.g. reversing streams from gaining to losing), seasonal river flow and regional groundwater discharge provide a sufficient water source for vegetation within the riverine systems. </w:t>
      </w:r>
    </w:p>
    <w:p w14:paraId="397473F0" w14:textId="77777777" w:rsidR="003D3694" w:rsidRPr="00747E35" w:rsidRDefault="003D3694" w:rsidP="003D3694">
      <w:pPr>
        <w:rPr>
          <w:rFonts w:asciiTheme="minorHAnsi" w:hAnsiTheme="minorHAnsi" w:cstheme="minorHAnsi"/>
          <w:i/>
        </w:rPr>
      </w:pPr>
      <w:r w:rsidRPr="00747E35">
        <w:rPr>
          <w:rFonts w:asciiTheme="minorHAnsi" w:hAnsiTheme="minorHAnsi" w:cstheme="minorHAnsi"/>
        </w:rPr>
        <w:t>The methods developed in this project allowed the use of remote sensing imagery for the delineation of remnant vegetation in the two study areas at Maules Creek in northern NSW and Bremer River in south-east Queensland. This use of RS imagery included the determination and characterization of eco-hydrological classes of the delineated remnant vegetation (including riparian perennial, floodplain and riparian intermittent and terrestrial vegetation classes) and assessment of seasonal and long-term variability of the remnant vegetation greenness at the vegetation observation points. Modelling relationships between the remnant vegetation greenness and climate data and the analysis of the relationship between the remnant vegetation greenness and groundwater level dynamics indicated that vegetation with an access to groundwater or permanent surface water is likely to be characterised by high intercept and low slope values in linear regression models describing the relationship between vegetation greenness (NDVI) and wetness (NDWI).</w:t>
      </w:r>
    </w:p>
    <w:p w14:paraId="4390843F"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The mean monthly NDVI estimated over the period of Landsat data availability (1985-2015) is highest in the early winter (June-July) and the lowest in late spring – early summer (November-December) and NDWI is more sensitive to the depth to groundwater compared to NDVI. However, both RS indices are substantially lower where groundwater is deep. Changes in groundwater levels due to groundwater abstraction for irrigation do not affect remnant vegetation within the study area.</w:t>
      </w:r>
    </w:p>
    <w:p w14:paraId="1A2E385C"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This remote sensing analysis can assist in the development of a baseline for investigation of the potential impacts of groundwater drawdown from mining activities on vegetation at the landscape scale. Small-scale on-ground observations can also be used to ‘ground-truth’ these remotely sensed data.  The combination of on-ground studies and remote sensing will provide a critical linkage in understanding how plant communities respond to groundwater drawdown at the local and catchment scales.</w:t>
      </w:r>
    </w:p>
    <w:p w14:paraId="15AF8431" w14:textId="456EBDDA" w:rsidR="005D5719" w:rsidRPr="005D5719" w:rsidRDefault="003D3694" w:rsidP="005D5719">
      <w:pPr>
        <w:rPr>
          <w:rFonts w:asciiTheme="minorHAnsi" w:hAnsiTheme="minorHAnsi" w:cstheme="minorHAnsi"/>
        </w:rPr>
      </w:pPr>
      <w:r w:rsidRPr="00747E35">
        <w:rPr>
          <w:rFonts w:asciiTheme="minorHAnsi" w:hAnsiTheme="minorHAnsi" w:cstheme="minorHAnsi"/>
        </w:rPr>
        <w:t xml:space="preserve">We also developed and applied a web-based toolset to support the analyses (see </w:t>
      </w:r>
      <w:r w:rsidR="005D5719" w:rsidRPr="005D5719">
        <w:rPr>
          <w:rFonts w:asciiTheme="minorHAnsi" w:hAnsiTheme="minorHAnsi" w:cstheme="minorHAnsi"/>
        </w:rPr>
        <w:t>Section 7.1</w:t>
      </w:r>
      <w:r w:rsidR="005D5719">
        <w:rPr>
          <w:rFonts w:asciiTheme="minorHAnsi" w:hAnsiTheme="minorHAnsi" w:cstheme="minorHAnsi"/>
        </w:rPr>
        <w:t>,</w:t>
      </w:r>
      <w:r w:rsidR="005D5719" w:rsidRPr="005D5719">
        <w:rPr>
          <w:rFonts w:asciiTheme="minorHAnsi" w:hAnsiTheme="minorHAnsi" w:cstheme="minorHAnsi"/>
        </w:rPr>
        <w:t xml:space="preserve"> </w:t>
      </w:r>
      <w:r w:rsidRPr="00747E35">
        <w:rPr>
          <w:rFonts w:asciiTheme="minorHAnsi" w:hAnsiTheme="minorHAnsi" w:cstheme="minorHAnsi"/>
        </w:rPr>
        <w:t xml:space="preserve">Appendix 1 for full description). This toolset adapted the methodology for GDV mapping (CSIRO-GDV), previously developed by CSIRO for the Pilbara Water Resources Assessment (PWRA) project. It </w:t>
      </w:r>
      <w:r w:rsidR="005D5719" w:rsidRPr="005D5719">
        <w:rPr>
          <w:rFonts w:asciiTheme="minorHAnsi" w:hAnsiTheme="minorHAnsi" w:cstheme="minorHAnsi"/>
        </w:rPr>
        <w:t xml:space="preserve">It can be implemented using </w:t>
      </w:r>
      <w:r w:rsidR="005D5719">
        <w:rPr>
          <w:rFonts w:asciiTheme="minorHAnsi" w:hAnsiTheme="minorHAnsi" w:cstheme="minorHAnsi"/>
        </w:rPr>
        <w:t xml:space="preserve">the supplied </w:t>
      </w:r>
      <w:r w:rsidR="005D5719" w:rsidRPr="005D5719">
        <w:rPr>
          <w:rFonts w:asciiTheme="minorHAnsi" w:hAnsiTheme="minorHAnsi" w:cstheme="minorHAnsi"/>
        </w:rPr>
        <w:t xml:space="preserve">javascript code </w:t>
      </w:r>
      <w:r w:rsidRPr="00747E35">
        <w:rPr>
          <w:rFonts w:asciiTheme="minorHAnsi" w:hAnsiTheme="minorHAnsi" w:cstheme="minorHAnsi"/>
        </w:rPr>
        <w:t>in the Google Earth Engine (GEE) environment, an open source monitoring platform for development of web-based Earth observation applications.</w:t>
      </w:r>
      <w:r w:rsidR="005D5719">
        <w:rPr>
          <w:rFonts w:asciiTheme="minorHAnsi" w:hAnsiTheme="minorHAnsi" w:cstheme="minorHAnsi"/>
        </w:rPr>
        <w:t xml:space="preserve">  </w:t>
      </w:r>
      <w:r w:rsidR="005D5719" w:rsidRPr="005D5719">
        <w:rPr>
          <w:rFonts w:asciiTheme="minorHAnsi" w:hAnsiTheme="minorHAnsi" w:cstheme="minorHAnsi"/>
        </w:rPr>
        <w:t xml:space="preserve">The developed GEE-CSIRO-GDV tools include: </w:t>
      </w:r>
    </w:p>
    <w:p w14:paraId="096F14DC" w14:textId="77777777" w:rsidR="005D5719" w:rsidRPr="005D5719" w:rsidRDefault="005D5719" w:rsidP="005D5719">
      <w:pPr>
        <w:spacing w:after="0"/>
        <w:ind w:left="567" w:hanging="567"/>
        <w:rPr>
          <w:rFonts w:asciiTheme="minorHAnsi" w:hAnsiTheme="minorHAnsi" w:cstheme="minorHAnsi"/>
        </w:rPr>
      </w:pPr>
      <w:r w:rsidRPr="005D5719">
        <w:rPr>
          <w:rFonts w:asciiTheme="minorHAnsi" w:hAnsiTheme="minorHAnsi" w:cstheme="minorHAnsi"/>
        </w:rPr>
        <w:t xml:space="preserve">Tool 1 - creating image thumbnails for image quality control; </w:t>
      </w:r>
    </w:p>
    <w:p w14:paraId="057FF339" w14:textId="77777777" w:rsidR="005D5719" w:rsidRPr="005D5719" w:rsidRDefault="005D5719" w:rsidP="005D5719">
      <w:pPr>
        <w:spacing w:after="0"/>
        <w:ind w:left="567" w:hanging="567"/>
        <w:rPr>
          <w:rFonts w:asciiTheme="minorHAnsi" w:hAnsiTheme="minorHAnsi" w:cstheme="minorHAnsi"/>
        </w:rPr>
      </w:pPr>
      <w:r w:rsidRPr="005D5719">
        <w:rPr>
          <w:rFonts w:asciiTheme="minorHAnsi" w:hAnsiTheme="minorHAnsi" w:cstheme="minorHAnsi"/>
        </w:rPr>
        <w:t xml:space="preserve">Tool 2 - identification of dates of cloud-free Landsat imagery from the GEE remote sensing database and generation of cloud free NDVI and NDWI data cubes covering the selected time periods; </w:t>
      </w:r>
    </w:p>
    <w:p w14:paraId="18A28722" w14:textId="77777777" w:rsidR="005D5719" w:rsidRPr="005D5719" w:rsidRDefault="005D5719" w:rsidP="005D5719">
      <w:pPr>
        <w:spacing w:after="0"/>
        <w:ind w:left="567" w:hanging="567"/>
        <w:rPr>
          <w:rFonts w:asciiTheme="minorHAnsi" w:hAnsiTheme="minorHAnsi" w:cstheme="minorHAnsi"/>
        </w:rPr>
      </w:pPr>
      <w:r w:rsidRPr="005D5719">
        <w:rPr>
          <w:rFonts w:asciiTheme="minorHAnsi" w:hAnsiTheme="minorHAnsi" w:cstheme="minorHAnsi"/>
        </w:rPr>
        <w:t xml:space="preserve">Tool 3 - NDVI and NDWI time series extraction at selected point locations; </w:t>
      </w:r>
    </w:p>
    <w:p w14:paraId="2E26EA63" w14:textId="77777777" w:rsidR="005D5719" w:rsidRPr="005D5719" w:rsidRDefault="005D5719" w:rsidP="005D5719">
      <w:pPr>
        <w:spacing w:after="0"/>
        <w:ind w:left="567" w:hanging="567"/>
        <w:rPr>
          <w:rFonts w:asciiTheme="minorHAnsi" w:hAnsiTheme="minorHAnsi" w:cstheme="minorHAnsi"/>
        </w:rPr>
      </w:pPr>
      <w:r w:rsidRPr="005D5719">
        <w:rPr>
          <w:rFonts w:asciiTheme="minorHAnsi" w:hAnsiTheme="minorHAnsi" w:cstheme="minorHAnsi"/>
        </w:rPr>
        <w:t xml:space="preserve">Tool 4 - Principal Component Analysis of multi-temporal NDVI and NDWI datasets; </w:t>
      </w:r>
    </w:p>
    <w:p w14:paraId="537F4964" w14:textId="5873981D" w:rsidR="005D5719" w:rsidRDefault="005D5719" w:rsidP="005D5719">
      <w:pPr>
        <w:ind w:left="567" w:hanging="567"/>
        <w:rPr>
          <w:rFonts w:asciiTheme="minorHAnsi" w:hAnsiTheme="minorHAnsi" w:cstheme="minorHAnsi"/>
        </w:rPr>
      </w:pPr>
      <w:r w:rsidRPr="005D5719">
        <w:rPr>
          <w:rFonts w:asciiTheme="minorHAnsi" w:hAnsiTheme="minorHAnsi" w:cstheme="minorHAnsi"/>
        </w:rPr>
        <w:t>Tool 5 - Multiple Linear Regression Analysis to model relationships between NDVI temporal profiles at each NDVI grid pixel location and local climate parameters (e.g. temperature, rainfall).</w:t>
      </w:r>
    </w:p>
    <w:p w14:paraId="77D86EA3" w14:textId="70BBFFE2" w:rsidR="005F6F29" w:rsidRPr="00747E35" w:rsidRDefault="005D5719" w:rsidP="005D5719">
      <w:pPr>
        <w:rPr>
          <w:rFonts w:asciiTheme="minorHAnsi" w:hAnsiTheme="minorHAnsi" w:cstheme="minorHAnsi"/>
        </w:rPr>
      </w:pPr>
      <w:r w:rsidRPr="005D5719">
        <w:rPr>
          <w:rFonts w:asciiTheme="minorHAnsi" w:hAnsiTheme="minorHAnsi" w:cstheme="minorHAnsi"/>
        </w:rPr>
        <w:t xml:space="preserve">Any agency or researcher can use the scripts to analyse the </w:t>
      </w:r>
      <w:r>
        <w:rPr>
          <w:rFonts w:asciiTheme="minorHAnsi" w:hAnsiTheme="minorHAnsi" w:cstheme="minorHAnsi"/>
        </w:rPr>
        <w:t>groundwater dep</w:t>
      </w:r>
      <w:r w:rsidR="00847A55">
        <w:rPr>
          <w:rFonts w:asciiTheme="minorHAnsi" w:hAnsiTheme="minorHAnsi" w:cstheme="minorHAnsi"/>
        </w:rPr>
        <w:t>en</w:t>
      </w:r>
      <w:r>
        <w:rPr>
          <w:rFonts w:asciiTheme="minorHAnsi" w:hAnsiTheme="minorHAnsi" w:cstheme="minorHAnsi"/>
        </w:rPr>
        <w:t>dent vegetation</w:t>
      </w:r>
      <w:r w:rsidRPr="005D5719">
        <w:rPr>
          <w:rFonts w:asciiTheme="minorHAnsi" w:hAnsiTheme="minorHAnsi" w:cstheme="minorHAnsi"/>
        </w:rPr>
        <w:t xml:space="preserve"> </w:t>
      </w:r>
      <w:r>
        <w:rPr>
          <w:rFonts w:asciiTheme="minorHAnsi" w:hAnsiTheme="minorHAnsi" w:cstheme="minorHAnsi"/>
        </w:rPr>
        <w:t xml:space="preserve">in </w:t>
      </w:r>
      <w:r w:rsidRPr="005D5719">
        <w:rPr>
          <w:rFonts w:asciiTheme="minorHAnsi" w:hAnsiTheme="minorHAnsi" w:cstheme="minorHAnsi"/>
        </w:rPr>
        <w:t>their region of interest</w:t>
      </w:r>
      <w:r>
        <w:rPr>
          <w:rFonts w:asciiTheme="minorHAnsi" w:hAnsiTheme="minorHAnsi" w:cstheme="minorHAnsi"/>
        </w:rPr>
        <w:t>. H</w:t>
      </w:r>
      <w:r w:rsidRPr="005D5719">
        <w:rPr>
          <w:rFonts w:asciiTheme="minorHAnsi" w:hAnsiTheme="minorHAnsi" w:cstheme="minorHAnsi"/>
        </w:rPr>
        <w:t xml:space="preserve">owever, the user will require experience using Javascript code in </w:t>
      </w:r>
      <w:r>
        <w:rPr>
          <w:rFonts w:asciiTheme="minorHAnsi" w:hAnsiTheme="minorHAnsi" w:cstheme="minorHAnsi"/>
        </w:rPr>
        <w:t>GEE</w:t>
      </w:r>
      <w:r w:rsidRPr="005D5719">
        <w:rPr>
          <w:rFonts w:asciiTheme="minorHAnsi" w:hAnsiTheme="minorHAnsi" w:cstheme="minorHAnsi"/>
        </w:rPr>
        <w:t>.</w:t>
      </w:r>
      <w:r>
        <w:rPr>
          <w:rFonts w:asciiTheme="minorHAnsi" w:hAnsiTheme="minorHAnsi" w:cstheme="minorHAnsi"/>
        </w:rPr>
        <w:t xml:space="preserve">  Contact the authors for details. </w:t>
      </w:r>
    </w:p>
    <w:p w14:paraId="4D0D23FF" w14:textId="093EAFA4" w:rsidR="003D3694" w:rsidRPr="00747E35" w:rsidRDefault="003D3694" w:rsidP="004B7607">
      <w:pPr>
        <w:pStyle w:val="Heading2"/>
        <w:rPr>
          <w:rFonts w:asciiTheme="minorHAnsi" w:hAnsiTheme="minorHAnsi" w:cstheme="minorHAnsi"/>
        </w:rPr>
      </w:pPr>
      <w:bookmarkStart w:id="87" w:name="_Toc470004831"/>
      <w:r w:rsidRPr="00747E35">
        <w:rPr>
          <w:rFonts w:asciiTheme="minorHAnsi" w:hAnsiTheme="minorHAnsi" w:cstheme="minorHAnsi"/>
        </w:rPr>
        <w:lastRenderedPageBreak/>
        <w:t>References</w:t>
      </w:r>
      <w:r w:rsidR="00C6582F" w:rsidRPr="00747E35">
        <w:rPr>
          <w:rFonts w:asciiTheme="minorHAnsi" w:hAnsiTheme="minorHAnsi" w:cstheme="minorHAnsi"/>
        </w:rPr>
        <w:t xml:space="preserve"> Component 1</w:t>
      </w:r>
      <w:bookmarkEnd w:id="87"/>
    </w:p>
    <w:p w14:paraId="0C2AD830" w14:textId="5C486792"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Ad</w:t>
      </w:r>
      <w:r w:rsidRPr="00864114">
        <w:rPr>
          <w:rFonts w:asciiTheme="minorHAnsi" w:hAnsiTheme="minorHAnsi" w:cstheme="minorHAnsi"/>
          <w:noProof/>
          <w:color w:val="000000"/>
          <w:sz w:val="20"/>
          <w:szCs w:val="20"/>
          <w:lang w:eastAsia="en-AU"/>
        </w:rPr>
        <w:t xml:space="preserve">ams M.A. </w:t>
      </w:r>
      <w:r w:rsidR="000A29BB">
        <w:rPr>
          <w:rFonts w:asciiTheme="minorHAnsi" w:hAnsiTheme="minorHAnsi" w:cstheme="minorHAnsi"/>
          <w:noProof/>
          <w:color w:val="000000"/>
          <w:sz w:val="20"/>
          <w:szCs w:val="20"/>
          <w:lang w:eastAsia="en-AU"/>
        </w:rPr>
        <w:t>&amp;</w:t>
      </w:r>
      <w:r w:rsidRPr="00864114">
        <w:rPr>
          <w:rFonts w:asciiTheme="minorHAnsi" w:hAnsiTheme="minorHAnsi" w:cstheme="minorHAnsi"/>
          <w:noProof/>
          <w:color w:val="000000"/>
          <w:sz w:val="20"/>
          <w:szCs w:val="20"/>
          <w:lang w:eastAsia="en-AU"/>
        </w:rPr>
        <w:t xml:space="preserve"> Grierson P.F. (2001)</w:t>
      </w:r>
      <w:r w:rsidR="00864114" w:rsidRPr="00864114">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Stable isotopes at natural abundance in terrestrial plant ecology and ecophysiology. </w:t>
      </w:r>
      <w:r w:rsidRPr="00864114">
        <w:rPr>
          <w:rFonts w:asciiTheme="minorHAnsi" w:hAnsiTheme="minorHAnsi" w:cstheme="minorHAnsi"/>
          <w:i/>
          <w:noProof/>
          <w:color w:val="000000"/>
          <w:sz w:val="20"/>
          <w:szCs w:val="20"/>
          <w:lang w:eastAsia="en-AU"/>
        </w:rPr>
        <w:t>Plant Biology</w:t>
      </w:r>
      <w:r w:rsidRPr="00864114">
        <w:rPr>
          <w:rFonts w:asciiTheme="minorHAnsi" w:hAnsiTheme="minorHAnsi" w:cstheme="minorHAnsi"/>
          <w:noProof/>
          <w:color w:val="000000"/>
          <w:sz w:val="20"/>
          <w:szCs w:val="20"/>
          <w:lang w:eastAsia="en-AU"/>
        </w:rPr>
        <w:t xml:space="preserve"> 3</w:t>
      </w:r>
      <w:r w:rsidR="00864114">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299–310.</w:t>
      </w:r>
    </w:p>
    <w:p w14:paraId="62B46827" w14:textId="43845850"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Anderson M.S., Meredith K., Timms W. </w:t>
      </w:r>
      <w:r w:rsidR="000A29BB">
        <w:rPr>
          <w:rFonts w:asciiTheme="minorHAnsi" w:hAnsiTheme="minorHAnsi" w:cstheme="minorHAnsi"/>
          <w:noProof/>
          <w:color w:val="000000"/>
          <w:sz w:val="20"/>
          <w:szCs w:val="20"/>
          <w:lang w:eastAsia="en-AU"/>
        </w:rPr>
        <w:t>&amp;</w:t>
      </w:r>
      <w:r w:rsidRPr="00864114">
        <w:rPr>
          <w:rFonts w:asciiTheme="minorHAnsi" w:hAnsiTheme="minorHAnsi" w:cstheme="minorHAnsi"/>
          <w:noProof/>
          <w:color w:val="000000"/>
          <w:sz w:val="20"/>
          <w:szCs w:val="20"/>
          <w:lang w:eastAsia="en-AU"/>
        </w:rPr>
        <w:t xml:space="preserve"> Acworth R.I. (2008)</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Investigation of </w:t>
      </w:r>
      <w:r w:rsidRPr="00864114">
        <w:rPr>
          <w:rFonts w:asciiTheme="minorHAnsi" w:hAnsiTheme="minorHAnsi" w:cstheme="minorHAnsi"/>
          <w:i/>
          <w:iCs/>
          <w:noProof/>
          <w:color w:val="000000"/>
          <w:sz w:val="20"/>
          <w:szCs w:val="20"/>
          <w:lang w:eastAsia="en-AU"/>
        </w:rPr>
        <w:t>δ</w:t>
      </w:r>
      <w:r w:rsidRPr="00864114">
        <w:rPr>
          <w:rFonts w:asciiTheme="minorHAnsi" w:hAnsiTheme="minorHAnsi" w:cstheme="minorHAnsi"/>
          <w:noProof/>
          <w:color w:val="000000"/>
          <w:sz w:val="20"/>
          <w:szCs w:val="20"/>
          <w:vertAlign w:val="superscript"/>
          <w:lang w:eastAsia="en-AU"/>
        </w:rPr>
        <w:t>18</w:t>
      </w:r>
      <w:r w:rsidRPr="00864114">
        <w:rPr>
          <w:rFonts w:asciiTheme="minorHAnsi" w:hAnsiTheme="minorHAnsi" w:cstheme="minorHAnsi"/>
          <w:noProof/>
          <w:color w:val="000000"/>
          <w:sz w:val="20"/>
          <w:szCs w:val="20"/>
          <w:lang w:eastAsia="en-AU"/>
        </w:rPr>
        <w:t xml:space="preserve">O and </w:t>
      </w:r>
      <w:r w:rsidRPr="00864114">
        <w:rPr>
          <w:rFonts w:asciiTheme="minorHAnsi" w:hAnsiTheme="minorHAnsi" w:cstheme="minorHAnsi"/>
          <w:i/>
          <w:iCs/>
          <w:noProof/>
          <w:color w:val="000000"/>
          <w:sz w:val="20"/>
          <w:szCs w:val="20"/>
          <w:lang w:eastAsia="en-AU"/>
        </w:rPr>
        <w:t>δ</w:t>
      </w:r>
      <w:r w:rsidRPr="00864114">
        <w:rPr>
          <w:rFonts w:asciiTheme="minorHAnsi" w:hAnsiTheme="minorHAnsi" w:cstheme="minorHAnsi"/>
          <w:noProof/>
          <w:color w:val="000000"/>
          <w:sz w:val="20"/>
          <w:szCs w:val="20"/>
          <w:vertAlign w:val="superscript"/>
          <w:lang w:eastAsia="en-AU"/>
        </w:rPr>
        <w:t>2</w:t>
      </w:r>
      <w:r w:rsidRPr="00864114">
        <w:rPr>
          <w:rFonts w:asciiTheme="minorHAnsi" w:hAnsiTheme="minorHAnsi" w:cstheme="minorHAnsi"/>
          <w:noProof/>
          <w:color w:val="000000"/>
          <w:sz w:val="20"/>
          <w:szCs w:val="20"/>
          <w:lang w:eastAsia="en-AU"/>
        </w:rPr>
        <w:t>H in the Namoi River catchment – elucidating recharge sources and the extent of surface water/groundwater interaction. IAH Congress, Toyama, 2008.</w:t>
      </w:r>
    </w:p>
    <w:p w14:paraId="3E0C7B48" w14:textId="686D9E9B"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Ball G.H.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Hall D.J. (1967)</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A clustering technique for summarizing multivariate data. </w:t>
      </w:r>
      <w:r w:rsidRPr="00864114">
        <w:rPr>
          <w:rFonts w:asciiTheme="minorHAnsi" w:hAnsiTheme="minorHAnsi" w:cstheme="minorHAnsi"/>
          <w:i/>
          <w:noProof/>
          <w:color w:val="000000"/>
          <w:sz w:val="20"/>
          <w:szCs w:val="20"/>
          <w:lang w:eastAsia="en-AU"/>
        </w:rPr>
        <w:t>Behavioral Science</w:t>
      </w:r>
      <w:r w:rsidRPr="00864114">
        <w:rPr>
          <w:rFonts w:asciiTheme="minorHAnsi" w:hAnsiTheme="minorHAnsi" w:cstheme="minorHAnsi"/>
          <w:noProof/>
          <w:color w:val="000000"/>
          <w:sz w:val="20"/>
          <w:szCs w:val="20"/>
          <w:lang w:eastAsia="en-AU"/>
        </w:rPr>
        <w:t xml:space="preserve"> 12</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153-155.</w:t>
      </w:r>
    </w:p>
    <w:p w14:paraId="7FE24E32" w14:textId="1C5DAB4F"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Barcikowski W.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Nobel P.S. (1984)</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Water relations of cacti during desiccation: Distribution of water in tissues. </w:t>
      </w:r>
      <w:r w:rsidRPr="00864114">
        <w:rPr>
          <w:rFonts w:asciiTheme="minorHAnsi" w:hAnsiTheme="minorHAnsi" w:cstheme="minorHAnsi"/>
          <w:i/>
          <w:noProof/>
          <w:color w:val="000000"/>
          <w:sz w:val="20"/>
          <w:szCs w:val="20"/>
          <w:lang w:eastAsia="en-AU"/>
        </w:rPr>
        <w:t>Botanical Gazette</w:t>
      </w:r>
      <w:r w:rsidRPr="00864114">
        <w:rPr>
          <w:rFonts w:asciiTheme="minorHAnsi" w:hAnsiTheme="minorHAnsi" w:cstheme="minorHAnsi"/>
          <w:noProof/>
          <w:color w:val="000000"/>
          <w:sz w:val="20"/>
          <w:szCs w:val="20"/>
          <w:lang w:eastAsia="en-AU"/>
        </w:rPr>
        <w:t xml:space="preserve"> 145</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110-115.</w:t>
      </w:r>
    </w:p>
    <w:p w14:paraId="27DEDA96" w14:textId="41E2B859"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Diaz-Barrabas M.C., Zunzuneugui M., Tirado R., Ain-Lhout F.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Garcia Novo F. (1999)</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Plant functional types and ecosystem function in Mediterranean shrubland. J</w:t>
      </w:r>
      <w:r w:rsidRPr="00864114">
        <w:rPr>
          <w:rFonts w:asciiTheme="minorHAnsi" w:hAnsiTheme="minorHAnsi" w:cstheme="minorHAnsi"/>
          <w:i/>
          <w:noProof/>
          <w:color w:val="000000"/>
          <w:sz w:val="20"/>
          <w:szCs w:val="20"/>
          <w:lang w:eastAsia="en-AU"/>
        </w:rPr>
        <w:t>ournal of Vegetation Science</w:t>
      </w:r>
      <w:r w:rsidRPr="00864114">
        <w:rPr>
          <w:rFonts w:asciiTheme="minorHAnsi" w:hAnsiTheme="minorHAnsi" w:cstheme="minorHAnsi"/>
          <w:noProof/>
          <w:color w:val="000000"/>
          <w:sz w:val="20"/>
          <w:szCs w:val="20"/>
          <w:lang w:eastAsia="en-AU"/>
        </w:rPr>
        <w:t xml:space="preserve"> 10</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709-716.</w:t>
      </w:r>
    </w:p>
    <w:p w14:paraId="2B74813D" w14:textId="5A264E82"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Barron O., Froend R.H., Hodgson G., Ali R., Dawes W., Davies P.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McFarlane D. (2014a)</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Projected risks to groundwater-dependent terrestrial vegetation caused by changing climate and groundwater abstraction in the Central Perth Basin, Western Australia. </w:t>
      </w:r>
      <w:r w:rsidRPr="00864114">
        <w:rPr>
          <w:rFonts w:asciiTheme="minorHAnsi" w:hAnsiTheme="minorHAnsi" w:cstheme="minorHAnsi"/>
          <w:i/>
          <w:iCs/>
          <w:noProof/>
          <w:color w:val="000000"/>
          <w:sz w:val="20"/>
          <w:szCs w:val="20"/>
          <w:lang w:eastAsia="en-AU"/>
        </w:rPr>
        <w:t>Hydrological Processes</w:t>
      </w:r>
      <w:r w:rsidRPr="00864114">
        <w:rPr>
          <w:rFonts w:asciiTheme="minorHAnsi" w:hAnsiTheme="minorHAnsi" w:cstheme="minorHAnsi"/>
          <w:noProof/>
          <w:color w:val="000000"/>
          <w:sz w:val="20"/>
          <w:szCs w:val="20"/>
          <w:lang w:eastAsia="en-AU"/>
        </w:rPr>
        <w:t xml:space="preserve"> 28</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5513-5529.</w:t>
      </w:r>
    </w:p>
    <w:p w14:paraId="2F8EC559" w14:textId="05183136"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Barron O.V., Emelyanova I., Van Niel T.G., Pollock D.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Hodgson G. (2014b)</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Mapping groundwater-dependent ecosystems using remote sensing measures of vegetation and moisture dynamics. </w:t>
      </w:r>
      <w:r w:rsidRPr="00864114">
        <w:rPr>
          <w:rFonts w:asciiTheme="minorHAnsi" w:hAnsiTheme="minorHAnsi" w:cstheme="minorHAnsi"/>
          <w:i/>
          <w:noProof/>
          <w:color w:val="000000"/>
          <w:sz w:val="20"/>
          <w:szCs w:val="20"/>
          <w:lang w:eastAsia="en-AU"/>
        </w:rPr>
        <w:t>Hydrological Processes</w:t>
      </w:r>
      <w:r w:rsidRPr="00864114">
        <w:rPr>
          <w:rFonts w:asciiTheme="minorHAnsi" w:hAnsiTheme="minorHAnsi" w:cstheme="minorHAnsi"/>
          <w:noProof/>
          <w:color w:val="000000"/>
          <w:sz w:val="20"/>
          <w:szCs w:val="20"/>
          <w:lang w:eastAsia="en-AU"/>
        </w:rPr>
        <w:t xml:space="preserve"> 28</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372-385. </w:t>
      </w:r>
    </w:p>
    <w:p w14:paraId="1335A60D" w14:textId="1C8BDA7E"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Barron O.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Emelyanova I. (2015)</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Chapter 6: Groundwater-dependent ecosystems. In: McFarlane DJ (ed.) (2015) A report to the Government of Western Australia and industry partners from the CSIRO Pilbara Water Resource Assessment. CSIRO Land and Water, Australia, Available at </w:t>
      </w:r>
      <w:hyperlink r:id="rId76" w:history="1">
        <w:r w:rsidR="000A29BB" w:rsidRPr="00A31EBD">
          <w:rPr>
            <w:rStyle w:val="Hyperlink"/>
            <w:rFonts w:asciiTheme="minorHAnsi" w:hAnsiTheme="minorHAnsi" w:cstheme="minorHAnsi"/>
            <w:noProof/>
            <w:sz w:val="20"/>
            <w:szCs w:val="20"/>
            <w:lang w:eastAsia="en-AU"/>
          </w:rPr>
          <w:t>https://publications.csiro.au/rpr/download?pid=csiro:EP157771&amp;dsid=DS2</w:t>
        </w:r>
      </w:hyperlink>
      <w:r w:rsidRPr="00864114">
        <w:rPr>
          <w:rFonts w:asciiTheme="minorHAnsi" w:hAnsiTheme="minorHAnsi" w:cstheme="minorHAnsi"/>
          <w:noProof/>
          <w:color w:val="000000"/>
          <w:sz w:val="20"/>
          <w:szCs w:val="20"/>
          <w:lang w:eastAsia="en-AU"/>
        </w:rPr>
        <w:t>.</w:t>
      </w:r>
    </w:p>
    <w:p w14:paraId="0C2FF57A" w14:textId="5172FAC0"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Bedford B.L.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Godwin K.S. (2003)</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Fens of the United States: distribution, characteristics, and scientific connection versus legal isolation. </w:t>
      </w:r>
      <w:r w:rsidRPr="00864114">
        <w:rPr>
          <w:rFonts w:asciiTheme="minorHAnsi" w:hAnsiTheme="minorHAnsi" w:cstheme="minorHAnsi"/>
          <w:i/>
          <w:noProof/>
          <w:color w:val="000000"/>
          <w:sz w:val="20"/>
          <w:szCs w:val="20"/>
          <w:lang w:eastAsia="en-AU"/>
        </w:rPr>
        <w:t>Wetlands</w:t>
      </w:r>
      <w:r w:rsidRPr="00864114">
        <w:rPr>
          <w:rFonts w:asciiTheme="minorHAnsi" w:hAnsiTheme="minorHAnsi" w:cstheme="minorHAnsi"/>
          <w:noProof/>
          <w:color w:val="000000"/>
          <w:sz w:val="20"/>
          <w:szCs w:val="20"/>
          <w:lang w:eastAsia="en-AU"/>
        </w:rPr>
        <w:t xml:space="preserve"> 23</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608-629.</w:t>
      </w:r>
    </w:p>
    <w:p w14:paraId="26E8F801" w14:textId="064F3604"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Benstead J.P., March J.G., Fry B., Ewel K.C.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Pringle C.M. (2006)</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Testing IsoSource: stable isotope analysis of a tropical fishery with diverse organic matter sources. </w:t>
      </w:r>
      <w:r w:rsidRPr="00864114">
        <w:rPr>
          <w:rFonts w:asciiTheme="minorHAnsi" w:hAnsiTheme="minorHAnsi" w:cstheme="minorHAnsi"/>
          <w:i/>
          <w:noProof/>
          <w:color w:val="000000"/>
          <w:sz w:val="20"/>
          <w:szCs w:val="20"/>
          <w:lang w:eastAsia="en-AU"/>
        </w:rPr>
        <w:t>Ecology</w:t>
      </w:r>
      <w:r w:rsidRPr="00864114">
        <w:rPr>
          <w:rFonts w:asciiTheme="minorHAnsi" w:hAnsiTheme="minorHAnsi" w:cstheme="minorHAnsi"/>
          <w:noProof/>
          <w:color w:val="000000"/>
          <w:sz w:val="20"/>
          <w:szCs w:val="20"/>
          <w:lang w:eastAsia="en-AU"/>
        </w:rPr>
        <w:t xml:space="preserve"> 87</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326–333.</w:t>
      </w:r>
    </w:p>
    <w:p w14:paraId="527EF80F" w14:textId="2444FCA4"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Bond W.J.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Keeley J.E. (2005)</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Fire as a global herbivore: the ecology and evolution of flammable ecosystems. </w:t>
      </w:r>
      <w:r w:rsidRPr="00864114">
        <w:rPr>
          <w:rFonts w:asciiTheme="minorHAnsi" w:hAnsiTheme="minorHAnsi" w:cstheme="minorHAnsi"/>
          <w:i/>
          <w:noProof/>
          <w:color w:val="000000"/>
          <w:sz w:val="20"/>
          <w:szCs w:val="20"/>
          <w:lang w:eastAsia="en-AU"/>
        </w:rPr>
        <w:t>Trends in Ecology and Evolution</w:t>
      </w:r>
      <w:r w:rsidRPr="00864114">
        <w:rPr>
          <w:rFonts w:asciiTheme="minorHAnsi" w:hAnsiTheme="minorHAnsi" w:cstheme="minorHAnsi"/>
          <w:noProof/>
          <w:color w:val="000000"/>
          <w:sz w:val="20"/>
          <w:szCs w:val="20"/>
          <w:lang w:eastAsia="en-AU"/>
        </w:rPr>
        <w:t xml:space="preserve"> 20</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387-394.</w:t>
      </w:r>
    </w:p>
    <w:p w14:paraId="6BFF2C0A" w14:textId="2C00EC43"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Boutin C.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Keddy P.A. (1993)</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A functional classification of wetland plants. </w:t>
      </w:r>
      <w:r w:rsidRPr="00864114">
        <w:rPr>
          <w:rFonts w:asciiTheme="minorHAnsi" w:hAnsiTheme="minorHAnsi" w:cstheme="minorHAnsi"/>
          <w:i/>
          <w:noProof/>
          <w:color w:val="000000"/>
          <w:sz w:val="20"/>
          <w:szCs w:val="20"/>
          <w:lang w:eastAsia="en-AU"/>
        </w:rPr>
        <w:t>Journal of Vegetation Science</w:t>
      </w:r>
      <w:r w:rsidR="008E54D5">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4</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591-600.</w:t>
      </w:r>
    </w:p>
    <w:p w14:paraId="37497E9C" w14:textId="7C0ADFC5"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Brock M.A. (1994)</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Aquatic vegetation of inland wetlands. In ‘Australian vegetation’. 2nd edn. (Ed. RH Groves) pp. 437–466. Cambridge University Press, Cambridge, UK.</w:t>
      </w:r>
    </w:p>
    <w:p w14:paraId="198AEDA2" w14:textId="56FEC302"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Brock M.A.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Casanova M.T. (1997)</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Plant life at the edges of wetlands: ecological responses to wetting and drying patterns. In: Frontiers in Ecology: building the links (Eds N Klomp &amp; I Lunt), pp181-192. Elsevier, Oxford, UK.</w:t>
      </w:r>
    </w:p>
    <w:p w14:paraId="01CB13DB" w14:textId="228EABCC"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Bruelheide H., Vonlanthen B., Jandt U., Thomas F.M., Foetzki A., Gries D., Wang G., Zhang X.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Runge M. (2010)</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Life on the edge – to which degree does phreatic water sustain vegetation in the periphery of the Taklamakan Desert? </w:t>
      </w:r>
      <w:r w:rsidRPr="00864114">
        <w:rPr>
          <w:rFonts w:asciiTheme="minorHAnsi" w:hAnsiTheme="minorHAnsi" w:cstheme="minorHAnsi"/>
          <w:i/>
          <w:noProof/>
          <w:color w:val="000000"/>
          <w:sz w:val="20"/>
          <w:szCs w:val="20"/>
          <w:lang w:eastAsia="en-AU"/>
        </w:rPr>
        <w:t>Applied Vegetation Science</w:t>
      </w:r>
      <w:r w:rsidRPr="00864114">
        <w:rPr>
          <w:rFonts w:asciiTheme="minorHAnsi" w:hAnsiTheme="minorHAnsi" w:cstheme="minorHAnsi"/>
          <w:noProof/>
          <w:color w:val="000000"/>
          <w:sz w:val="20"/>
          <w:szCs w:val="20"/>
          <w:lang w:eastAsia="en-AU"/>
        </w:rPr>
        <w:t xml:space="preserve"> 13</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56-71. </w:t>
      </w:r>
    </w:p>
    <w:p w14:paraId="66C56E48" w14:textId="7364E8C1"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Canadell J., Jackson R.B., Ehleringer J.R., Mooney H.A., Sala O.E.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Schulze E.D. (1996)</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Maximum rooting depth of vegetation types at the global scale. </w:t>
      </w:r>
      <w:r w:rsidRPr="00864114">
        <w:rPr>
          <w:rFonts w:asciiTheme="minorHAnsi" w:hAnsiTheme="minorHAnsi" w:cstheme="minorHAnsi"/>
          <w:i/>
          <w:noProof/>
          <w:color w:val="000000"/>
          <w:sz w:val="20"/>
          <w:szCs w:val="20"/>
          <w:lang w:eastAsia="en-AU"/>
        </w:rPr>
        <w:t>Oecologia</w:t>
      </w:r>
      <w:r w:rsidRPr="00864114">
        <w:rPr>
          <w:rFonts w:asciiTheme="minorHAnsi" w:hAnsiTheme="minorHAnsi" w:cstheme="minorHAnsi"/>
          <w:noProof/>
          <w:color w:val="000000"/>
          <w:sz w:val="20"/>
          <w:szCs w:val="20"/>
          <w:lang w:eastAsia="en-AU"/>
        </w:rPr>
        <w:t xml:space="preserve"> 108</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583-595.</w:t>
      </w:r>
    </w:p>
    <w:p w14:paraId="3F24A310" w14:textId="5C3DBE5E"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Canham C.A., Froend R.H.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Stock W.D. (2012)</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Dynamics of phreatophyte root growth relative to a seasonally fluctuating water table in a Mediterranean-type environment. </w:t>
      </w:r>
      <w:r w:rsidRPr="00864114">
        <w:rPr>
          <w:rFonts w:asciiTheme="minorHAnsi" w:hAnsiTheme="minorHAnsi" w:cstheme="minorHAnsi"/>
          <w:i/>
          <w:iCs/>
          <w:noProof/>
          <w:color w:val="000000"/>
          <w:sz w:val="20"/>
          <w:szCs w:val="20"/>
          <w:lang w:eastAsia="en-AU"/>
        </w:rPr>
        <w:t xml:space="preserve">Oecologia </w:t>
      </w:r>
      <w:r w:rsidRPr="00864114">
        <w:rPr>
          <w:rFonts w:asciiTheme="minorHAnsi" w:hAnsiTheme="minorHAnsi" w:cstheme="minorHAnsi"/>
          <w:noProof/>
          <w:color w:val="000000"/>
          <w:sz w:val="20"/>
          <w:szCs w:val="20"/>
          <w:lang w:eastAsia="en-AU"/>
        </w:rPr>
        <w:t>170: 909-916.</w:t>
      </w:r>
    </w:p>
    <w:p w14:paraId="7B9084A9" w14:textId="61401761"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Casanova M. (2011)</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Using water plant functional groups to investigate environmental water requirements. </w:t>
      </w:r>
      <w:r w:rsidRPr="00864114">
        <w:rPr>
          <w:rFonts w:asciiTheme="minorHAnsi" w:hAnsiTheme="minorHAnsi" w:cstheme="minorHAnsi"/>
          <w:i/>
          <w:noProof/>
          <w:color w:val="000000"/>
          <w:sz w:val="20"/>
          <w:szCs w:val="20"/>
          <w:lang w:eastAsia="en-AU"/>
        </w:rPr>
        <w:t>Freshwater Biology</w:t>
      </w:r>
      <w:r w:rsidRPr="00864114">
        <w:rPr>
          <w:rFonts w:asciiTheme="minorHAnsi" w:hAnsiTheme="minorHAnsi" w:cstheme="minorHAnsi"/>
          <w:noProof/>
          <w:color w:val="000000"/>
          <w:sz w:val="20"/>
          <w:szCs w:val="20"/>
          <w:lang w:eastAsia="en-AU"/>
        </w:rPr>
        <w:t xml:space="preserve"> 56</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2637-2652.</w:t>
      </w:r>
    </w:p>
    <w:p w14:paraId="723E3E27" w14:textId="241EAAFC"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Chapin F.S. III (1993)</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Functional role of growth forms in ecosystem and global processes. Scaling Physiological Processes: Leaf to Globe (eds J.R. Ehleringer &amp; C.B. Field), pp. 287–312. Academic Press, San Diego, CA, USA.</w:t>
      </w:r>
    </w:p>
    <w:p w14:paraId="58E35A9F" w14:textId="5C32692E"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Chen Y., Li W., Xu C., Ye Z.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Chen Y. (2015)</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Desert riparian vegetation and groundwater in the lower reaches of the Tarim River basin. </w:t>
      </w:r>
      <w:r w:rsidRPr="00864114">
        <w:rPr>
          <w:rFonts w:asciiTheme="minorHAnsi" w:hAnsiTheme="minorHAnsi" w:cstheme="minorHAnsi"/>
          <w:i/>
          <w:noProof/>
          <w:color w:val="000000"/>
          <w:sz w:val="20"/>
          <w:szCs w:val="20"/>
          <w:lang w:eastAsia="en-AU"/>
        </w:rPr>
        <w:t>Environment and Earth Science</w:t>
      </w:r>
      <w:r w:rsidRPr="00864114">
        <w:rPr>
          <w:rFonts w:asciiTheme="minorHAnsi" w:hAnsiTheme="minorHAnsi" w:cstheme="minorHAnsi"/>
          <w:noProof/>
          <w:color w:val="000000"/>
          <w:sz w:val="20"/>
          <w:szCs w:val="20"/>
          <w:lang w:eastAsia="en-AU"/>
        </w:rPr>
        <w:t xml:space="preserve"> 73</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547-558.</w:t>
      </w:r>
    </w:p>
    <w:p w14:paraId="25187ABA" w14:textId="5669B28B"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Chen Y.N., Zilliacus H., Li W.H., Zhang H.F.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Chen Y.P. (2006)</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Groundwater level affects plant species diversity along the lower reaches of the Tarim River. </w:t>
      </w:r>
      <w:r w:rsidRPr="00864114">
        <w:rPr>
          <w:rFonts w:asciiTheme="minorHAnsi" w:hAnsiTheme="minorHAnsi" w:cstheme="minorHAnsi"/>
          <w:i/>
          <w:noProof/>
          <w:color w:val="000000"/>
          <w:sz w:val="20"/>
          <w:szCs w:val="20"/>
          <w:lang w:eastAsia="en-AU"/>
        </w:rPr>
        <w:t>Journal of Arid Environments</w:t>
      </w:r>
      <w:r w:rsidRPr="00864114">
        <w:rPr>
          <w:rFonts w:asciiTheme="minorHAnsi" w:hAnsiTheme="minorHAnsi" w:cstheme="minorHAnsi"/>
          <w:noProof/>
          <w:color w:val="000000"/>
          <w:sz w:val="20"/>
          <w:szCs w:val="20"/>
          <w:lang w:eastAsia="en-AU"/>
        </w:rPr>
        <w:t xml:space="preserve"> 66</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231–246.</w:t>
      </w:r>
    </w:p>
    <w:p w14:paraId="3728F9CD" w14:textId="7A06EDB8"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Clarke K.R.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Gorley R.N. (2006)</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PRIMER v6: User Manual/Tutorial. Primer-E, Plymouth, UK.</w:t>
      </w:r>
    </w:p>
    <w:p w14:paraId="3A040B35" w14:textId="3AA8C0E8"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Cowling R.M., Richardson D.M.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 xml:space="preserve">Pierce S.M. (eds) </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1997</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Vegetation of southern Africa. Cambridge Univ. Press, Cambridge. </w:t>
      </w:r>
    </w:p>
    <w:p w14:paraId="482ED302" w14:textId="0ACBDB50"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lastRenderedPageBreak/>
        <w:t>Dansereau P. (1959)</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Vascular aquatic plant communities of southern Quebec. A preliminary analysis. Transactions of the Northeast Wildlife conference vol. 10, pp27-54 Quebec, Canada. </w:t>
      </w:r>
    </w:p>
    <w:p w14:paraId="4761DD00" w14:textId="4FECE1BE"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David T.S., Pinto C.A., Nadezhdina N., Kurz-Besson C., Henriques M.O., Quilho T., Cermak J., Chaves M.M., Pereira J.S.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David J.S. (2013)</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Root functioning, tree water use and hydraulic redistribution in Quercus suber trees: A modeling approach based on sap flow.  </w:t>
      </w:r>
      <w:r w:rsidRPr="00864114">
        <w:rPr>
          <w:rFonts w:asciiTheme="minorHAnsi" w:hAnsiTheme="minorHAnsi" w:cstheme="minorHAnsi"/>
          <w:i/>
          <w:noProof/>
          <w:color w:val="000000"/>
          <w:sz w:val="20"/>
          <w:szCs w:val="20"/>
          <w:lang w:eastAsia="en-AU"/>
        </w:rPr>
        <w:t>Forest Ecology and Management</w:t>
      </w:r>
      <w:r w:rsidRPr="00864114">
        <w:rPr>
          <w:rFonts w:asciiTheme="minorHAnsi" w:hAnsiTheme="minorHAnsi" w:cstheme="minorHAnsi"/>
          <w:noProof/>
          <w:color w:val="000000"/>
          <w:sz w:val="20"/>
          <w:szCs w:val="20"/>
          <w:lang w:eastAsia="en-AU"/>
        </w:rPr>
        <w:t xml:space="preserve"> 307</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136-146.</w:t>
      </w:r>
    </w:p>
    <w:p w14:paraId="10682AB6" w14:textId="1C0F1320"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Dawson T.E.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Ehleringer J.R. (1991)</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Streamside trees that do not use stream water. </w:t>
      </w:r>
      <w:r w:rsidRPr="00864114">
        <w:rPr>
          <w:rFonts w:asciiTheme="minorHAnsi" w:hAnsiTheme="minorHAnsi" w:cstheme="minorHAnsi"/>
          <w:i/>
          <w:noProof/>
          <w:color w:val="000000"/>
          <w:sz w:val="20"/>
          <w:szCs w:val="20"/>
          <w:lang w:eastAsia="en-AU"/>
        </w:rPr>
        <w:t>Nature</w:t>
      </w:r>
      <w:r w:rsidRPr="00864114">
        <w:rPr>
          <w:rFonts w:asciiTheme="minorHAnsi" w:hAnsiTheme="minorHAnsi" w:cstheme="minorHAnsi"/>
          <w:noProof/>
          <w:color w:val="000000"/>
          <w:sz w:val="20"/>
          <w:szCs w:val="20"/>
          <w:lang w:eastAsia="en-AU"/>
        </w:rPr>
        <w:t xml:space="preserve"> 350</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335–337.</w:t>
      </w:r>
    </w:p>
    <w:p w14:paraId="073B3634" w14:textId="61870992"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Dawson T.E.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Pate J.S. (1996)</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Seasonal water uptake and movement in root systems of Australian phraeatophytic plants of dimorphic root morphology: a stable isotope investigation. </w:t>
      </w:r>
      <w:r w:rsidRPr="00864114">
        <w:rPr>
          <w:rFonts w:asciiTheme="minorHAnsi" w:hAnsiTheme="minorHAnsi" w:cstheme="minorHAnsi"/>
          <w:i/>
          <w:noProof/>
          <w:color w:val="000000"/>
          <w:sz w:val="20"/>
          <w:szCs w:val="20"/>
          <w:lang w:eastAsia="en-AU"/>
        </w:rPr>
        <w:t>Oecologia</w:t>
      </w:r>
      <w:r w:rsidRPr="00864114">
        <w:rPr>
          <w:rFonts w:asciiTheme="minorHAnsi" w:hAnsiTheme="minorHAnsi" w:cstheme="minorHAnsi"/>
          <w:noProof/>
          <w:color w:val="000000"/>
          <w:sz w:val="20"/>
          <w:szCs w:val="20"/>
          <w:lang w:eastAsia="en-AU"/>
        </w:rPr>
        <w:t xml:space="preserve"> 107</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13–20</w:t>
      </w:r>
    </w:p>
    <w:p w14:paraId="059B1135" w14:textId="1F221805"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den Hartog C.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van der Velde G. (1988). Structural aspects of aquatic plant communities. In: Symoens, J.J. (Ed.), Vegetation of Inland Waters. Handbook of Vegetation Science, Vol. 15/1. Kluwer Academic Publishers, Dordrecht.</w:t>
      </w:r>
    </w:p>
    <w:p w14:paraId="28EFC717" w14:textId="1DBC5186"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Diaz Barradas M.C., Zunzunegui M., Tirado R., Ain-Lhout F.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Garcia Novo F. (1999)</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Plant functional types and ecosystem function in Mediterranean shrubland. </w:t>
      </w:r>
      <w:r w:rsidRPr="00864114">
        <w:rPr>
          <w:rFonts w:asciiTheme="minorHAnsi" w:hAnsiTheme="minorHAnsi" w:cstheme="minorHAnsi"/>
          <w:i/>
          <w:noProof/>
          <w:color w:val="000000"/>
          <w:sz w:val="20"/>
          <w:szCs w:val="20"/>
          <w:lang w:eastAsia="en-AU"/>
        </w:rPr>
        <w:t>Journal of Vegetation Science</w:t>
      </w:r>
      <w:r w:rsidRPr="00864114">
        <w:rPr>
          <w:rFonts w:asciiTheme="minorHAnsi" w:hAnsiTheme="minorHAnsi" w:cstheme="minorHAnsi"/>
          <w:noProof/>
          <w:color w:val="000000"/>
          <w:sz w:val="20"/>
          <w:szCs w:val="20"/>
          <w:lang w:eastAsia="en-AU"/>
        </w:rPr>
        <w:t xml:space="preserve"> 10</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709-716.</w:t>
      </w:r>
    </w:p>
    <w:p w14:paraId="11B596F9" w14:textId="24AD01B0"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Díaz S.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 xml:space="preserve">Cabido M. (1997). Plant functional types and ecosystem function in relation to global change: a multiscale approach. </w:t>
      </w:r>
      <w:r w:rsidRPr="00864114">
        <w:rPr>
          <w:rFonts w:asciiTheme="minorHAnsi" w:hAnsiTheme="minorHAnsi" w:cstheme="minorHAnsi"/>
          <w:i/>
          <w:noProof/>
          <w:color w:val="000000"/>
          <w:sz w:val="20"/>
          <w:szCs w:val="20"/>
          <w:lang w:eastAsia="en-AU"/>
        </w:rPr>
        <w:t>Journal of Vegetation Science</w:t>
      </w:r>
      <w:r w:rsidRPr="00864114">
        <w:rPr>
          <w:rFonts w:asciiTheme="minorHAnsi" w:hAnsiTheme="minorHAnsi" w:cstheme="minorHAnsi"/>
          <w:noProof/>
          <w:color w:val="000000"/>
          <w:sz w:val="20"/>
          <w:szCs w:val="20"/>
          <w:lang w:eastAsia="en-AU"/>
        </w:rPr>
        <w:t xml:space="preserve"> 8</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463-474.</w:t>
      </w:r>
    </w:p>
    <w:p w14:paraId="7E6D8B38" w14:textId="0A431DB8"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Díaz S., Lavorel S., De Bello F., Quetier F., Grigulis K.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Robson T.M. (2007)</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Incorporating plant functional diversity effects in ecosystem service assessments. </w:t>
      </w:r>
      <w:r w:rsidRPr="00864114">
        <w:rPr>
          <w:rFonts w:asciiTheme="minorHAnsi" w:hAnsiTheme="minorHAnsi" w:cstheme="minorHAnsi"/>
          <w:i/>
          <w:noProof/>
          <w:color w:val="000000"/>
          <w:sz w:val="20"/>
          <w:szCs w:val="20"/>
          <w:lang w:eastAsia="en-AU"/>
        </w:rPr>
        <w:t>Proceedings of the National Academy of Sciences</w:t>
      </w:r>
      <w:r w:rsidRPr="00864114">
        <w:rPr>
          <w:rFonts w:asciiTheme="minorHAnsi" w:hAnsiTheme="minorHAnsi" w:cstheme="minorHAnsi"/>
          <w:noProof/>
          <w:color w:val="000000"/>
          <w:sz w:val="20"/>
          <w:szCs w:val="20"/>
          <w:lang w:eastAsia="en-AU"/>
        </w:rPr>
        <w:t>, 104</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20684–20689.</w:t>
      </w:r>
    </w:p>
    <w:p w14:paraId="4B82EF76" w14:textId="109ACBB1"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Durazo J.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Farvolden R.N. (1989)</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The groundwater regime of the valley of Mexico from historic evidence and field observations. </w:t>
      </w:r>
      <w:r w:rsidRPr="00864114">
        <w:rPr>
          <w:rFonts w:asciiTheme="minorHAnsi" w:hAnsiTheme="minorHAnsi" w:cstheme="minorHAnsi"/>
          <w:i/>
          <w:noProof/>
          <w:color w:val="000000"/>
          <w:sz w:val="20"/>
          <w:szCs w:val="20"/>
          <w:lang w:eastAsia="en-AU"/>
        </w:rPr>
        <w:t>Journal of Hydrology</w:t>
      </w:r>
      <w:r w:rsidRPr="00864114">
        <w:rPr>
          <w:rFonts w:asciiTheme="minorHAnsi" w:hAnsiTheme="minorHAnsi" w:cstheme="minorHAnsi"/>
          <w:noProof/>
          <w:color w:val="000000"/>
          <w:sz w:val="20"/>
          <w:szCs w:val="20"/>
          <w:lang w:eastAsia="en-AU"/>
        </w:rPr>
        <w:t xml:space="preserve"> 112</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171-190.</w:t>
      </w:r>
    </w:p>
    <w:p w14:paraId="79294F1D" w14:textId="1009AA53"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Eamus D., Froend R., Loomes R., Hose G.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Murray B. (2006)</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A functional methodology for determining the groundwater regime needed to maintain the health of groundwater-dependent vegetation. </w:t>
      </w:r>
      <w:r w:rsidRPr="00864114">
        <w:rPr>
          <w:rFonts w:asciiTheme="minorHAnsi" w:hAnsiTheme="minorHAnsi" w:cstheme="minorHAnsi"/>
          <w:i/>
          <w:noProof/>
          <w:color w:val="000000"/>
          <w:sz w:val="20"/>
          <w:szCs w:val="20"/>
          <w:lang w:eastAsia="en-AU"/>
        </w:rPr>
        <w:t>Australian Journal of Botany</w:t>
      </w:r>
      <w:r w:rsidRPr="00864114">
        <w:rPr>
          <w:rFonts w:asciiTheme="minorHAnsi" w:hAnsiTheme="minorHAnsi" w:cstheme="minorHAnsi"/>
          <w:noProof/>
          <w:color w:val="000000"/>
          <w:sz w:val="20"/>
          <w:szCs w:val="20"/>
          <w:lang w:eastAsia="en-AU"/>
        </w:rPr>
        <w:t xml:space="preserve"> 54</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97–114.</w:t>
      </w:r>
    </w:p>
    <w:p w14:paraId="40CD1627" w14:textId="3E0FC8FB"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Eamus D., Zolfaghar S., Villalobos-Vega R., Cleverly J.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Huete A. (2015)</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Groundwater-dependent ecosystems: recent insights from satellite and field-based studies. </w:t>
      </w:r>
      <w:r w:rsidRPr="00864114">
        <w:rPr>
          <w:rFonts w:asciiTheme="minorHAnsi" w:hAnsiTheme="minorHAnsi" w:cstheme="minorHAnsi"/>
          <w:i/>
          <w:noProof/>
          <w:color w:val="000000"/>
          <w:sz w:val="20"/>
          <w:szCs w:val="20"/>
          <w:lang w:eastAsia="en-AU"/>
        </w:rPr>
        <w:t>Hydrology and Earth System Sciences</w:t>
      </w:r>
      <w:r w:rsidRPr="00864114">
        <w:rPr>
          <w:rFonts w:asciiTheme="minorHAnsi" w:hAnsiTheme="minorHAnsi" w:cstheme="minorHAnsi"/>
          <w:noProof/>
          <w:color w:val="000000"/>
          <w:sz w:val="20"/>
          <w:szCs w:val="20"/>
          <w:lang w:eastAsia="en-AU"/>
        </w:rPr>
        <w:t xml:space="preserve"> 19</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4229-4256.</w:t>
      </w:r>
    </w:p>
    <w:p w14:paraId="16D7B182" w14:textId="36A5CFE8"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Ehleringer J.R. (1985)</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Annuals and perennials of warm deserts. In Physiological ecology of North American plant communities. Ed. Chabot BE &amp; Mooney HA, pp162-180. Chapman and Hall, NY, USA.</w:t>
      </w:r>
    </w:p>
    <w:p w14:paraId="6BC18BCF" w14:textId="121366A0"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Ehleringer J.R., Phillips S.L., Schuster W.F.S.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Sandquist D.R. (1991)</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Differential utilization of summer rains by desert plants. </w:t>
      </w:r>
      <w:r w:rsidRPr="00864114">
        <w:rPr>
          <w:rFonts w:asciiTheme="minorHAnsi" w:hAnsiTheme="minorHAnsi" w:cstheme="minorHAnsi"/>
          <w:i/>
          <w:noProof/>
          <w:color w:val="000000"/>
          <w:sz w:val="20"/>
          <w:szCs w:val="20"/>
          <w:lang w:eastAsia="en-AU"/>
        </w:rPr>
        <w:t>Oecologia</w:t>
      </w:r>
      <w:r w:rsidRPr="00864114">
        <w:rPr>
          <w:rFonts w:asciiTheme="minorHAnsi" w:hAnsiTheme="minorHAnsi" w:cstheme="minorHAnsi"/>
          <w:noProof/>
          <w:color w:val="000000"/>
          <w:sz w:val="20"/>
          <w:szCs w:val="20"/>
          <w:lang w:eastAsia="en-AU"/>
        </w:rPr>
        <w:t xml:space="preserve"> 88</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430-434.</w:t>
      </w:r>
    </w:p>
    <w:p w14:paraId="7B1D7E41" w14:textId="2ED77925"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Fensham R.J., Fairfax R.J.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Sharpe P.R. (2004)</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Spring wetlands in seasonally arid Queensland. Floristics, environmental relations, classification and conservation values. </w:t>
      </w:r>
      <w:r w:rsidRPr="00864114">
        <w:rPr>
          <w:rFonts w:asciiTheme="minorHAnsi" w:hAnsiTheme="minorHAnsi" w:cstheme="minorHAnsi"/>
          <w:i/>
          <w:noProof/>
          <w:color w:val="000000"/>
          <w:sz w:val="20"/>
          <w:szCs w:val="20"/>
          <w:lang w:eastAsia="en-AU"/>
        </w:rPr>
        <w:t>Australian Journal of Botany</w:t>
      </w:r>
      <w:r w:rsidRPr="00864114">
        <w:rPr>
          <w:rFonts w:asciiTheme="minorHAnsi" w:hAnsiTheme="minorHAnsi" w:cstheme="minorHAnsi"/>
          <w:noProof/>
          <w:color w:val="000000"/>
          <w:sz w:val="20"/>
          <w:szCs w:val="20"/>
          <w:lang w:eastAsia="en-AU"/>
        </w:rPr>
        <w:t xml:space="preserve"> 52</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583-595.</w:t>
      </w:r>
    </w:p>
    <w:p w14:paraId="35817FC5" w14:textId="4ECE67C0"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Froend R.H.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Sommer B. (2010)</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Phreatophytic vegetation response to climatic and abstraction-induced groundwater drawdown: Examples of long-term spatial and temporal variability in community exposure. </w:t>
      </w:r>
      <w:r w:rsidRPr="00864114">
        <w:rPr>
          <w:rFonts w:asciiTheme="minorHAnsi" w:hAnsiTheme="minorHAnsi" w:cstheme="minorHAnsi"/>
          <w:i/>
          <w:noProof/>
          <w:color w:val="000000"/>
          <w:sz w:val="20"/>
          <w:szCs w:val="20"/>
          <w:lang w:eastAsia="en-AU"/>
        </w:rPr>
        <w:t>Ecological Engineering</w:t>
      </w:r>
      <w:r w:rsidRPr="00864114">
        <w:rPr>
          <w:rFonts w:asciiTheme="minorHAnsi" w:hAnsiTheme="minorHAnsi" w:cstheme="minorHAnsi"/>
          <w:noProof/>
          <w:color w:val="000000"/>
          <w:sz w:val="20"/>
          <w:szCs w:val="20"/>
          <w:lang w:eastAsia="en-AU"/>
        </w:rPr>
        <w:t xml:space="preserve"> 36</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1191-1200.</w:t>
      </w:r>
    </w:p>
    <w:p w14:paraId="440F81A8" w14:textId="3024A08A"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bookmarkStart w:id="88" w:name="_ENREF_8"/>
      <w:r w:rsidRPr="00864114">
        <w:rPr>
          <w:rFonts w:asciiTheme="minorHAnsi" w:hAnsiTheme="minorHAnsi" w:cstheme="minorHAnsi"/>
          <w:noProof/>
          <w:color w:val="000000"/>
          <w:sz w:val="20"/>
          <w:szCs w:val="20"/>
          <w:lang w:eastAsia="en-AU"/>
        </w:rPr>
        <w:t>Gao B.C. (1996)</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NDWI - A normalized difference water index for remote sensing of vegetation liquid water from space. Remote Sensing of Environment 58</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257-266.</w:t>
      </w:r>
      <w:bookmarkEnd w:id="88"/>
    </w:p>
    <w:p w14:paraId="21EDE2C0" w14:textId="23357C35" w:rsidR="003D3694" w:rsidRPr="00864114" w:rsidRDefault="003D3694" w:rsidP="00A64AF8">
      <w:pPr>
        <w:autoSpaceDE/>
        <w:autoSpaceDN/>
        <w:spacing w:after="0"/>
        <w:ind w:left="284" w:hanging="284"/>
        <w:rPr>
          <w:rFonts w:asciiTheme="minorHAnsi" w:hAnsiTheme="minorHAnsi" w:cstheme="minorHAnsi"/>
          <w:i/>
          <w:noProof/>
          <w:color w:val="000000"/>
          <w:sz w:val="20"/>
          <w:szCs w:val="20"/>
          <w:lang w:eastAsia="en-AU"/>
        </w:rPr>
      </w:pPr>
      <w:r w:rsidRPr="00864114">
        <w:rPr>
          <w:rFonts w:asciiTheme="minorHAnsi" w:hAnsiTheme="minorHAnsi" w:cstheme="minorHAnsi"/>
          <w:noProof/>
          <w:color w:val="000000"/>
          <w:sz w:val="20"/>
          <w:szCs w:val="20"/>
          <w:lang w:eastAsia="en-AU"/>
        </w:rPr>
        <w:t xml:space="preserve">Gibson A., Bachelard E.P.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Hubick K.T. (1994)</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Growth strategies of </w:t>
      </w:r>
      <w:r w:rsidRPr="00864114">
        <w:rPr>
          <w:rFonts w:asciiTheme="minorHAnsi" w:hAnsiTheme="minorHAnsi" w:cstheme="minorHAnsi"/>
          <w:i/>
          <w:noProof/>
          <w:color w:val="000000"/>
          <w:sz w:val="20"/>
          <w:szCs w:val="20"/>
          <w:lang w:eastAsia="en-AU"/>
        </w:rPr>
        <w:t>Eucalyptus camaldulensis</w:t>
      </w:r>
      <w:r w:rsidRPr="00864114">
        <w:rPr>
          <w:rFonts w:asciiTheme="minorHAnsi" w:hAnsiTheme="minorHAnsi" w:cstheme="minorHAnsi"/>
          <w:noProof/>
          <w:color w:val="000000"/>
          <w:sz w:val="20"/>
          <w:szCs w:val="20"/>
          <w:lang w:eastAsia="en-AU"/>
        </w:rPr>
        <w:t xml:space="preserve"> Dehnh at three sites in northern Australia. </w:t>
      </w:r>
      <w:r w:rsidRPr="00864114">
        <w:rPr>
          <w:rFonts w:asciiTheme="minorHAnsi" w:hAnsiTheme="minorHAnsi" w:cstheme="minorHAnsi"/>
          <w:i/>
          <w:noProof/>
          <w:color w:val="000000"/>
          <w:sz w:val="20"/>
          <w:szCs w:val="20"/>
          <w:lang w:eastAsia="en-AU"/>
        </w:rPr>
        <w:t xml:space="preserve">Australian Journal of Plant Physiology </w:t>
      </w:r>
      <w:r w:rsidRPr="00864114">
        <w:rPr>
          <w:rFonts w:asciiTheme="minorHAnsi" w:hAnsiTheme="minorHAnsi" w:cstheme="minorHAnsi"/>
          <w:noProof/>
          <w:color w:val="000000"/>
          <w:sz w:val="20"/>
          <w:szCs w:val="20"/>
          <w:lang w:eastAsia="en-AU"/>
        </w:rPr>
        <w:t>212</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653-662</w:t>
      </w:r>
      <w:r w:rsidRPr="00864114">
        <w:rPr>
          <w:rFonts w:asciiTheme="minorHAnsi" w:hAnsiTheme="minorHAnsi" w:cstheme="minorHAnsi"/>
          <w:i/>
          <w:noProof/>
          <w:color w:val="000000"/>
          <w:sz w:val="20"/>
          <w:szCs w:val="20"/>
          <w:lang w:eastAsia="en-AU"/>
        </w:rPr>
        <w:t>.</w:t>
      </w:r>
    </w:p>
    <w:p w14:paraId="3E2095A0" w14:textId="5FD08757"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bookmarkStart w:id="89" w:name="_ENREF_9"/>
      <w:r w:rsidRPr="00864114">
        <w:rPr>
          <w:rFonts w:asciiTheme="minorHAnsi" w:hAnsiTheme="minorHAnsi" w:cstheme="minorHAnsi"/>
          <w:noProof/>
          <w:color w:val="000000"/>
          <w:sz w:val="20"/>
          <w:szCs w:val="20"/>
          <w:lang w:eastAsia="en-AU"/>
        </w:rPr>
        <w:t xml:space="preserve">Glenn E.P., Huete A.R., Nagler P.L.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Nelson S.G. (2008)</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Relationship between remotely-sensed vegetation indices, canopy attributes and plant physiological processes: What vegetation indices can and cannot tell us about the landscape. </w:t>
      </w:r>
      <w:r w:rsidRPr="00864114">
        <w:rPr>
          <w:rFonts w:asciiTheme="minorHAnsi" w:hAnsiTheme="minorHAnsi" w:cstheme="minorHAnsi"/>
          <w:i/>
          <w:noProof/>
          <w:color w:val="000000"/>
          <w:sz w:val="20"/>
          <w:szCs w:val="20"/>
          <w:lang w:eastAsia="en-AU"/>
        </w:rPr>
        <w:t>Sensors</w:t>
      </w:r>
      <w:r w:rsidRPr="00864114">
        <w:rPr>
          <w:rFonts w:asciiTheme="minorHAnsi" w:hAnsiTheme="minorHAnsi" w:cstheme="minorHAnsi"/>
          <w:noProof/>
          <w:color w:val="000000"/>
          <w:sz w:val="20"/>
          <w:szCs w:val="20"/>
          <w:lang w:eastAsia="en-AU"/>
        </w:rPr>
        <w:t xml:space="preserve"> 8</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2136-2160.</w:t>
      </w:r>
      <w:bookmarkEnd w:id="89"/>
    </w:p>
    <w:p w14:paraId="0318E59C" w14:textId="200B7436"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Gries D., Zeng F., Foetzki A., Arndt S.K., Bruelheide H., Thomas F.M., Zhang X.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Runge M. (2003)</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Growth and water relations of Tamarix ramosissima and Populus euphratica on Taklamakan desert dunes in relation to depth to a permanent water table. </w:t>
      </w:r>
      <w:r w:rsidRPr="00864114">
        <w:rPr>
          <w:rFonts w:asciiTheme="minorHAnsi" w:hAnsiTheme="minorHAnsi" w:cstheme="minorHAnsi"/>
          <w:i/>
          <w:noProof/>
          <w:color w:val="000000"/>
          <w:sz w:val="20"/>
          <w:szCs w:val="20"/>
          <w:lang w:eastAsia="en-AU"/>
        </w:rPr>
        <w:t>Plant Cell and the Environment</w:t>
      </w:r>
      <w:r w:rsidRPr="00864114">
        <w:rPr>
          <w:rFonts w:asciiTheme="minorHAnsi" w:hAnsiTheme="minorHAnsi" w:cstheme="minorHAnsi"/>
          <w:noProof/>
          <w:color w:val="000000"/>
          <w:sz w:val="20"/>
          <w:szCs w:val="20"/>
          <w:lang w:eastAsia="en-AU"/>
        </w:rPr>
        <w:t xml:space="preserve"> 26</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725–736</w:t>
      </w:r>
      <w:r w:rsidR="008E54D5">
        <w:rPr>
          <w:rFonts w:asciiTheme="minorHAnsi" w:hAnsiTheme="minorHAnsi" w:cstheme="minorHAnsi"/>
          <w:noProof/>
          <w:color w:val="000000"/>
          <w:sz w:val="20"/>
          <w:szCs w:val="20"/>
          <w:lang w:eastAsia="en-AU"/>
        </w:rPr>
        <w:t>.</w:t>
      </w:r>
    </w:p>
    <w:p w14:paraId="6D2D33E9" w14:textId="6B284672"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Guevara A., Giordano C.V., Aranibar J., Quiroga M.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 xml:space="preserve">Villagra P.E. (2010). Phenotypic plasticity of the coarse root system of </w:t>
      </w:r>
      <w:r w:rsidRPr="00864114">
        <w:rPr>
          <w:rFonts w:asciiTheme="minorHAnsi" w:hAnsiTheme="minorHAnsi" w:cstheme="minorHAnsi"/>
          <w:i/>
          <w:noProof/>
          <w:color w:val="000000"/>
          <w:sz w:val="20"/>
          <w:szCs w:val="20"/>
          <w:lang w:eastAsia="en-AU"/>
        </w:rPr>
        <w:t>Prosopis flexuosa</w:t>
      </w:r>
      <w:r w:rsidRPr="00864114">
        <w:rPr>
          <w:rFonts w:asciiTheme="minorHAnsi" w:hAnsiTheme="minorHAnsi" w:cstheme="minorHAnsi"/>
          <w:noProof/>
          <w:color w:val="000000"/>
          <w:sz w:val="20"/>
          <w:szCs w:val="20"/>
          <w:lang w:eastAsia="en-AU"/>
        </w:rPr>
        <w:t xml:space="preserve">, a phreatophyte tree, in the Monte Desert (Argentina). </w:t>
      </w:r>
      <w:r w:rsidRPr="00864114">
        <w:rPr>
          <w:rFonts w:asciiTheme="minorHAnsi" w:hAnsiTheme="minorHAnsi" w:cstheme="minorHAnsi"/>
          <w:i/>
          <w:noProof/>
          <w:color w:val="000000"/>
          <w:sz w:val="20"/>
          <w:szCs w:val="20"/>
          <w:lang w:eastAsia="en-AU"/>
        </w:rPr>
        <w:t>Plant and Soil</w:t>
      </w:r>
      <w:r w:rsidRPr="00864114">
        <w:rPr>
          <w:rFonts w:asciiTheme="minorHAnsi" w:hAnsiTheme="minorHAnsi" w:cstheme="minorHAnsi"/>
          <w:noProof/>
          <w:color w:val="000000"/>
          <w:sz w:val="20"/>
          <w:szCs w:val="20"/>
          <w:lang w:eastAsia="en-AU"/>
        </w:rPr>
        <w:t xml:space="preserve"> 330</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447-464.</w:t>
      </w:r>
    </w:p>
    <w:p w14:paraId="7A2D7238" w14:textId="03D37DB4"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Howard J.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Merrifield M. (2010)</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Mapping groundwater dependent ecosystems in California. </w:t>
      </w:r>
      <w:r w:rsidRPr="00864114">
        <w:rPr>
          <w:rFonts w:asciiTheme="minorHAnsi" w:hAnsiTheme="minorHAnsi" w:cstheme="minorHAnsi"/>
          <w:i/>
          <w:noProof/>
          <w:color w:val="000000"/>
          <w:sz w:val="20"/>
          <w:szCs w:val="20"/>
          <w:lang w:eastAsia="en-AU"/>
        </w:rPr>
        <w:t>PlosOne</w:t>
      </w:r>
      <w:r w:rsidRPr="00864114">
        <w:rPr>
          <w:rFonts w:asciiTheme="minorHAnsi" w:hAnsiTheme="minorHAnsi" w:cstheme="minorHAnsi"/>
          <w:noProof/>
          <w:color w:val="000000"/>
          <w:sz w:val="20"/>
          <w:szCs w:val="20"/>
          <w:lang w:eastAsia="en-AU"/>
        </w:rPr>
        <w:t xml:space="preserve"> 5(6)</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e11249.</w:t>
      </w:r>
    </w:p>
    <w:p w14:paraId="3C83D9F0" w14:textId="7CFFAF93"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Hutchinson G.E. (1975)</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A treatise on limnology. Volume 3. Limnological Botany, John Wiley, New York, USA.</w:t>
      </w:r>
    </w:p>
    <w:p w14:paraId="294C8EF3" w14:textId="77FF9030"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Jolliffe I.T. (2002)</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Principal Component Analysis. Springer, New York, USA.</w:t>
      </w:r>
    </w:p>
    <w:p w14:paraId="7914D40B" w14:textId="224B6FF5"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Keddy P.A. (2000)</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Wetland Ecology: Principles and Conservation. Cambridge University Press, Cambridge,U.K.</w:t>
      </w:r>
    </w:p>
    <w:p w14:paraId="2F17AD0C" w14:textId="0967CE35"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Lamontagne S., Cook P.G., O’Grady A.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Eamus D. (2005)</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Groundwater use by vegetation in a tropical savannah riparian zone (Daly River, Australia). </w:t>
      </w:r>
      <w:r w:rsidRPr="00864114">
        <w:rPr>
          <w:rFonts w:asciiTheme="minorHAnsi" w:hAnsiTheme="minorHAnsi" w:cstheme="minorHAnsi"/>
          <w:i/>
          <w:noProof/>
          <w:color w:val="000000"/>
          <w:sz w:val="20"/>
          <w:szCs w:val="20"/>
          <w:lang w:eastAsia="en-AU"/>
        </w:rPr>
        <w:t>Journal of Hydrology</w:t>
      </w:r>
      <w:r w:rsidRPr="00864114">
        <w:rPr>
          <w:rFonts w:asciiTheme="minorHAnsi" w:hAnsiTheme="minorHAnsi" w:cstheme="minorHAnsi"/>
          <w:noProof/>
          <w:color w:val="000000"/>
          <w:sz w:val="20"/>
          <w:szCs w:val="20"/>
          <w:lang w:eastAsia="en-AU"/>
        </w:rPr>
        <w:t xml:space="preserve"> 310</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280-293.</w:t>
      </w:r>
    </w:p>
    <w:p w14:paraId="3A56735C" w14:textId="02AC6E44"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Lavorel S., Grigulis K., Lamarque P., Colace M., Garden D., Girel J., Pellet G.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Douzet R. (2011)</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Using plant traits to understand the landscape distribution of multiple ecosystem services. </w:t>
      </w:r>
      <w:r w:rsidRPr="00864114">
        <w:rPr>
          <w:rFonts w:asciiTheme="minorHAnsi" w:hAnsiTheme="minorHAnsi" w:cstheme="minorHAnsi"/>
          <w:i/>
          <w:noProof/>
          <w:color w:val="000000"/>
          <w:sz w:val="20"/>
          <w:szCs w:val="20"/>
          <w:lang w:eastAsia="en-AU"/>
        </w:rPr>
        <w:t>Journal of Ecology</w:t>
      </w:r>
      <w:r w:rsidRPr="00864114">
        <w:rPr>
          <w:rFonts w:asciiTheme="minorHAnsi" w:hAnsiTheme="minorHAnsi" w:cstheme="minorHAnsi"/>
          <w:noProof/>
          <w:color w:val="000000"/>
          <w:sz w:val="20"/>
          <w:szCs w:val="20"/>
          <w:lang w:eastAsia="en-AU"/>
        </w:rPr>
        <w:t xml:space="preserve"> 99</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135-147.</w:t>
      </w:r>
    </w:p>
    <w:p w14:paraId="21946DA3" w14:textId="52DD30FA"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lastRenderedPageBreak/>
        <w:t xml:space="preserve">Lite S.J.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 xml:space="preserve">Stromberg J.C. (2005). Surface water and ground-water thresholds for maintaining Populus - Salix forests, San Pedro River, Arizona. </w:t>
      </w:r>
      <w:r w:rsidRPr="00864114">
        <w:rPr>
          <w:rFonts w:asciiTheme="minorHAnsi" w:hAnsiTheme="minorHAnsi" w:cstheme="minorHAnsi"/>
          <w:i/>
          <w:noProof/>
          <w:color w:val="000000"/>
          <w:sz w:val="20"/>
          <w:szCs w:val="20"/>
          <w:lang w:eastAsia="en-AU"/>
        </w:rPr>
        <w:t>Biological Conservation</w:t>
      </w:r>
      <w:r w:rsidRPr="00864114">
        <w:rPr>
          <w:rFonts w:asciiTheme="minorHAnsi" w:hAnsiTheme="minorHAnsi" w:cstheme="minorHAnsi"/>
          <w:noProof/>
          <w:color w:val="000000"/>
          <w:sz w:val="20"/>
          <w:szCs w:val="20"/>
          <w:lang w:eastAsia="en-AU"/>
        </w:rPr>
        <w:t xml:space="preserve"> 125</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153-167.</w:t>
      </w:r>
    </w:p>
    <w:p w14:paraId="563EB831" w14:textId="74F45719"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bookmarkStart w:id="90" w:name="_ENREF_12"/>
      <w:r w:rsidRPr="00864114">
        <w:rPr>
          <w:rFonts w:asciiTheme="minorHAnsi" w:hAnsiTheme="minorHAnsi" w:cstheme="minorHAnsi"/>
          <w:noProof/>
          <w:color w:val="000000"/>
          <w:sz w:val="20"/>
          <w:szCs w:val="20"/>
          <w:lang w:eastAsia="en-AU"/>
        </w:rPr>
        <w:t xml:space="preserve">Lunetta R.S.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Elvidge C.D. (1998)</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Remote Sensing Change Detection. Chelsea, MI: Ann Arbor Press, Chicago USA.</w:t>
      </w:r>
      <w:bookmarkEnd w:id="90"/>
    </w:p>
    <w:p w14:paraId="3F2D0F8F" w14:textId="4EA7E6B5"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McFarlane D.J. (ed.) (2015)</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Pilbara Water Resource Assessment. A report to the Government of Western Australia and industry partners from the CSIRO Pilbara Water Resource Assessment. CSIRO Land and Water, Australia, Available at </w:t>
      </w:r>
      <w:hyperlink r:id="rId77" w:history="1">
        <w:r w:rsidRPr="00864114">
          <w:rPr>
            <w:rFonts w:asciiTheme="minorHAnsi" w:hAnsiTheme="minorHAnsi" w:cstheme="minorHAnsi"/>
            <w:noProof/>
            <w:color w:val="0000FF"/>
            <w:sz w:val="20"/>
            <w:szCs w:val="20"/>
            <w:u w:val="single"/>
            <w:lang w:eastAsia="en-AU"/>
          </w:rPr>
          <w:t>https://publications.csiro.au/rpr/download?pid=csiro:EP157751&amp;dsid=DS2</w:t>
        </w:r>
      </w:hyperlink>
    </w:p>
    <w:p w14:paraId="3EBAC009" w14:textId="213C9B80"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MacFarlane C.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Ogden G.N. (2012)</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Automated estimation of foliage cover in forest understorey from digital nadir images. </w:t>
      </w:r>
      <w:r w:rsidRPr="00864114">
        <w:rPr>
          <w:rFonts w:asciiTheme="minorHAnsi" w:hAnsiTheme="minorHAnsi" w:cstheme="minorHAnsi"/>
          <w:i/>
          <w:noProof/>
          <w:color w:val="000000"/>
          <w:sz w:val="20"/>
          <w:szCs w:val="20"/>
          <w:lang w:eastAsia="en-AU"/>
        </w:rPr>
        <w:t>Methods in Ecology and Evolution</w:t>
      </w:r>
      <w:r w:rsidRPr="00864114">
        <w:rPr>
          <w:rFonts w:asciiTheme="minorHAnsi" w:hAnsiTheme="minorHAnsi" w:cstheme="minorHAnsi"/>
          <w:noProof/>
          <w:color w:val="000000"/>
          <w:sz w:val="20"/>
          <w:szCs w:val="20"/>
          <w:lang w:eastAsia="en-AU"/>
        </w:rPr>
        <w:t xml:space="preserve"> 3</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405-415.</w:t>
      </w:r>
    </w:p>
    <w:p w14:paraId="1D65E001" w14:textId="6B07B42D"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bookmarkStart w:id="91" w:name="_ENREF_13"/>
      <w:r w:rsidRPr="00864114">
        <w:rPr>
          <w:rFonts w:asciiTheme="minorHAnsi" w:hAnsiTheme="minorHAnsi" w:cstheme="minorHAnsi"/>
          <w:noProof/>
          <w:color w:val="000000"/>
          <w:sz w:val="20"/>
          <w:szCs w:val="20"/>
          <w:lang w:eastAsia="en-AU"/>
        </w:rPr>
        <w:t xml:space="preserve">Masek J.G., Vermote E.F., Saleous N.E., Wolfe R., Hall F.G., Huemmrich K.F., Gao F., Kutler J.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Lim T.K. (2006)</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A Landsat surface reflectance dataset for North America, 1990-2000. </w:t>
      </w:r>
      <w:r w:rsidRPr="00864114">
        <w:rPr>
          <w:rFonts w:asciiTheme="minorHAnsi" w:hAnsiTheme="minorHAnsi" w:cstheme="minorHAnsi"/>
          <w:i/>
          <w:noProof/>
          <w:color w:val="000000"/>
          <w:sz w:val="20"/>
          <w:szCs w:val="20"/>
          <w:lang w:eastAsia="en-AU"/>
        </w:rPr>
        <w:t>IEEE Geoscience and Remote Sensing Letters</w:t>
      </w:r>
      <w:r w:rsidRPr="00864114">
        <w:rPr>
          <w:rFonts w:asciiTheme="minorHAnsi" w:hAnsiTheme="minorHAnsi" w:cstheme="minorHAnsi"/>
          <w:noProof/>
          <w:color w:val="000000"/>
          <w:sz w:val="20"/>
          <w:szCs w:val="20"/>
          <w:lang w:eastAsia="en-AU"/>
        </w:rPr>
        <w:t xml:space="preserve"> 3</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68-72. </w:t>
      </w:r>
      <w:bookmarkEnd w:id="91"/>
    </w:p>
    <w:p w14:paraId="684F4BD2" w14:textId="55C4C229"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Meinzer O.E. (1927)</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Plants as indicators of ground water. Water Supply Paper 577, U.S. Geological Survey and Department of Interior, Washington USA.</w:t>
      </w:r>
    </w:p>
    <w:p w14:paraId="451C9FBD" w14:textId="3B6E9A1E"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Merritt D.M., Scott M.L., Poff N.L., Auble G.T.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Lytle D.A. (2010)</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Theory, methods and tools for determining environmental flows for riparian vegetation: riparian vegetation- flow response guilds. </w:t>
      </w:r>
      <w:r w:rsidRPr="00864114">
        <w:rPr>
          <w:rFonts w:asciiTheme="minorHAnsi" w:hAnsiTheme="minorHAnsi" w:cstheme="minorHAnsi"/>
          <w:i/>
          <w:noProof/>
          <w:color w:val="000000"/>
          <w:sz w:val="20"/>
          <w:szCs w:val="20"/>
          <w:lang w:eastAsia="en-AU"/>
        </w:rPr>
        <w:t>Freshwater Biology</w:t>
      </w:r>
      <w:r w:rsidRPr="00864114">
        <w:rPr>
          <w:rFonts w:asciiTheme="minorHAnsi" w:hAnsiTheme="minorHAnsi" w:cstheme="minorHAnsi"/>
          <w:noProof/>
          <w:color w:val="000000"/>
          <w:sz w:val="20"/>
          <w:szCs w:val="20"/>
          <w:lang w:eastAsia="en-AU"/>
        </w:rPr>
        <w:t xml:space="preserve"> 55</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206–225</w:t>
      </w:r>
      <w:r w:rsidR="008E54D5">
        <w:rPr>
          <w:rFonts w:asciiTheme="minorHAnsi" w:hAnsiTheme="minorHAnsi" w:cstheme="minorHAnsi"/>
          <w:noProof/>
          <w:color w:val="000000"/>
          <w:sz w:val="20"/>
          <w:szCs w:val="20"/>
          <w:lang w:eastAsia="en-AU"/>
        </w:rPr>
        <w:t>.</w:t>
      </w:r>
    </w:p>
    <w:p w14:paraId="7628F770" w14:textId="3ADB48A9"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Neilson R.P.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Wullstein L.H. (1985)</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Comparative drought physiology and biogeography of Quercus gambelii and Quercus turbinella. </w:t>
      </w:r>
      <w:r w:rsidRPr="00864114">
        <w:rPr>
          <w:rFonts w:asciiTheme="minorHAnsi" w:hAnsiTheme="minorHAnsi" w:cstheme="minorHAnsi"/>
          <w:i/>
          <w:noProof/>
          <w:color w:val="000000"/>
          <w:sz w:val="20"/>
          <w:szCs w:val="20"/>
          <w:lang w:eastAsia="en-AU"/>
        </w:rPr>
        <w:t>American Midland Naturalist</w:t>
      </w:r>
      <w:r w:rsidRPr="00864114">
        <w:rPr>
          <w:rFonts w:asciiTheme="minorHAnsi" w:hAnsiTheme="minorHAnsi" w:cstheme="minorHAnsi"/>
          <w:noProof/>
          <w:color w:val="000000"/>
          <w:sz w:val="20"/>
          <w:szCs w:val="20"/>
          <w:lang w:eastAsia="en-AU"/>
        </w:rPr>
        <w:t xml:space="preserve"> 114</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259-271.</w:t>
      </w:r>
    </w:p>
    <w:p w14:paraId="1CA98577" w14:textId="7482B5A4"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O'Grady A.P., Eamus D., Cook P.G.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Lamontagne S. (2006)</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Comparative water use by the riparian trees </w:t>
      </w:r>
      <w:r w:rsidRPr="00864114">
        <w:rPr>
          <w:rFonts w:asciiTheme="minorHAnsi" w:hAnsiTheme="minorHAnsi" w:cstheme="minorHAnsi"/>
          <w:i/>
          <w:noProof/>
          <w:color w:val="000000"/>
          <w:sz w:val="20"/>
          <w:szCs w:val="20"/>
          <w:lang w:eastAsia="en-AU"/>
        </w:rPr>
        <w:t>Melaleuca argentea</w:t>
      </w:r>
      <w:r w:rsidRPr="00864114">
        <w:rPr>
          <w:rFonts w:asciiTheme="minorHAnsi" w:hAnsiTheme="minorHAnsi" w:cstheme="minorHAnsi"/>
          <w:noProof/>
          <w:color w:val="000000"/>
          <w:sz w:val="20"/>
          <w:szCs w:val="20"/>
          <w:lang w:eastAsia="en-AU"/>
        </w:rPr>
        <w:t xml:space="preserve"> and </w:t>
      </w:r>
      <w:r w:rsidRPr="00864114">
        <w:rPr>
          <w:rFonts w:asciiTheme="minorHAnsi" w:hAnsiTheme="minorHAnsi" w:cstheme="minorHAnsi"/>
          <w:i/>
          <w:noProof/>
          <w:color w:val="000000"/>
          <w:sz w:val="20"/>
          <w:szCs w:val="20"/>
          <w:lang w:eastAsia="en-AU"/>
        </w:rPr>
        <w:t>Corymbia bella</w:t>
      </w:r>
      <w:r w:rsidRPr="00864114">
        <w:rPr>
          <w:rFonts w:asciiTheme="minorHAnsi" w:hAnsiTheme="minorHAnsi" w:cstheme="minorHAnsi"/>
          <w:noProof/>
          <w:color w:val="000000"/>
          <w:sz w:val="20"/>
          <w:szCs w:val="20"/>
          <w:lang w:eastAsia="en-AU"/>
        </w:rPr>
        <w:t xml:space="preserve"> in the wet-dry tropics of northern Australia. </w:t>
      </w:r>
      <w:r w:rsidRPr="00864114">
        <w:rPr>
          <w:rFonts w:asciiTheme="minorHAnsi" w:hAnsiTheme="minorHAnsi" w:cstheme="minorHAnsi"/>
          <w:i/>
          <w:noProof/>
          <w:color w:val="000000"/>
          <w:sz w:val="20"/>
          <w:szCs w:val="20"/>
          <w:lang w:eastAsia="en-AU"/>
        </w:rPr>
        <w:t>Tree Physiology</w:t>
      </w:r>
      <w:r w:rsidRPr="00864114">
        <w:rPr>
          <w:rFonts w:asciiTheme="minorHAnsi" w:hAnsiTheme="minorHAnsi" w:cstheme="minorHAnsi"/>
          <w:noProof/>
          <w:color w:val="000000"/>
          <w:sz w:val="20"/>
          <w:szCs w:val="20"/>
          <w:lang w:eastAsia="en-AU"/>
        </w:rPr>
        <w:t xml:space="preserve"> 26</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219-228.</w:t>
      </w:r>
    </w:p>
    <w:p w14:paraId="2E71F0C9" w14:textId="0CC83DBD"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O’Grady A.P., Cook P.G., Eamus D., Duguid A., Wischusen J.D.H., Fass T.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Worldege D. (2009)</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Convergence of tree water use within an arid-zone woodland. </w:t>
      </w:r>
      <w:r w:rsidRPr="00864114">
        <w:rPr>
          <w:rFonts w:asciiTheme="minorHAnsi" w:hAnsiTheme="minorHAnsi" w:cstheme="minorHAnsi"/>
          <w:i/>
          <w:noProof/>
          <w:color w:val="000000"/>
          <w:sz w:val="20"/>
          <w:szCs w:val="20"/>
          <w:lang w:eastAsia="en-AU"/>
        </w:rPr>
        <w:t>Oecologia</w:t>
      </w:r>
      <w:r w:rsidRPr="00864114">
        <w:rPr>
          <w:rFonts w:asciiTheme="minorHAnsi" w:hAnsiTheme="minorHAnsi" w:cstheme="minorHAnsi"/>
          <w:noProof/>
          <w:color w:val="000000"/>
          <w:sz w:val="20"/>
          <w:szCs w:val="20"/>
          <w:lang w:eastAsia="en-AU"/>
        </w:rPr>
        <w:t xml:space="preserve"> 160</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643-655.</w:t>
      </w:r>
    </w:p>
    <w:p w14:paraId="642F1E97" w14:textId="1F173EF5"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Parnell A.C., Inger R., Bearhop S.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 xml:space="preserve">Jackson A.L. (2010). Source partitioning using stable isotopes: coping with too much variation. </w:t>
      </w:r>
      <w:r w:rsidRPr="00864114">
        <w:rPr>
          <w:rFonts w:asciiTheme="minorHAnsi" w:hAnsiTheme="minorHAnsi" w:cstheme="minorHAnsi"/>
          <w:i/>
          <w:noProof/>
          <w:color w:val="000000"/>
          <w:sz w:val="20"/>
          <w:szCs w:val="20"/>
          <w:lang w:eastAsia="en-AU"/>
        </w:rPr>
        <w:t>PLoS ONE</w:t>
      </w:r>
      <w:r w:rsidRPr="00864114">
        <w:rPr>
          <w:rFonts w:asciiTheme="minorHAnsi" w:hAnsiTheme="minorHAnsi" w:cstheme="minorHAnsi"/>
          <w:noProof/>
          <w:color w:val="000000"/>
          <w:sz w:val="20"/>
          <w:szCs w:val="20"/>
          <w:lang w:eastAsia="en-AU"/>
        </w:rPr>
        <w:t xml:space="preserve"> 5, e9672.</w:t>
      </w:r>
    </w:p>
    <w:p w14:paraId="7EB5834F" w14:textId="73E9E32F"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Pfautsch S., Dodson W., Madden S.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Adams M. (2015)</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Assessing the impact of large-scale water table modifications on riparian trees: a case study from Australia. </w:t>
      </w:r>
      <w:r w:rsidRPr="00864114">
        <w:rPr>
          <w:rFonts w:asciiTheme="minorHAnsi" w:hAnsiTheme="minorHAnsi" w:cstheme="minorHAnsi"/>
          <w:i/>
          <w:noProof/>
          <w:color w:val="000000"/>
          <w:sz w:val="20"/>
          <w:szCs w:val="20"/>
          <w:lang w:eastAsia="en-AU"/>
        </w:rPr>
        <w:t>Ecohydrology</w:t>
      </w:r>
      <w:r w:rsidRPr="00864114">
        <w:rPr>
          <w:rFonts w:asciiTheme="minorHAnsi" w:hAnsiTheme="minorHAnsi" w:cstheme="minorHAnsi"/>
          <w:noProof/>
          <w:color w:val="000000"/>
          <w:sz w:val="20"/>
          <w:szCs w:val="20"/>
          <w:lang w:eastAsia="en-AU"/>
        </w:rPr>
        <w:t xml:space="preserve"> 8</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642-651.</w:t>
      </w:r>
    </w:p>
    <w:p w14:paraId="147B6297" w14:textId="72E061B7"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Phillips D.L.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Gregg W.J. (2003)</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Source partitioning using stable isotopes: coping with too many sources. </w:t>
      </w:r>
      <w:r w:rsidRPr="00864114">
        <w:rPr>
          <w:rFonts w:asciiTheme="minorHAnsi" w:hAnsiTheme="minorHAnsi" w:cstheme="minorHAnsi"/>
          <w:i/>
          <w:noProof/>
          <w:color w:val="000000"/>
          <w:sz w:val="20"/>
          <w:szCs w:val="20"/>
          <w:lang w:eastAsia="en-AU"/>
        </w:rPr>
        <w:t>Oecologia</w:t>
      </w:r>
      <w:r w:rsidRPr="00864114">
        <w:rPr>
          <w:rFonts w:asciiTheme="minorHAnsi" w:hAnsiTheme="minorHAnsi" w:cstheme="minorHAnsi"/>
          <w:noProof/>
          <w:color w:val="000000"/>
          <w:sz w:val="20"/>
          <w:szCs w:val="20"/>
          <w:lang w:eastAsia="en-AU"/>
        </w:rPr>
        <w:t xml:space="preserve"> 136</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261–269.</w:t>
      </w:r>
    </w:p>
    <w:p w14:paraId="5C81FC1E" w14:textId="42A56A75"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Piedade M.T.F., Junk W.J.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Long S.P. (1991)</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The productivity of the C4 grass </w:t>
      </w:r>
      <w:r w:rsidRPr="00864114">
        <w:rPr>
          <w:rFonts w:asciiTheme="minorHAnsi" w:hAnsiTheme="minorHAnsi" w:cstheme="minorHAnsi"/>
          <w:i/>
          <w:noProof/>
          <w:color w:val="000000"/>
          <w:sz w:val="20"/>
          <w:szCs w:val="20"/>
          <w:lang w:eastAsia="en-AU"/>
        </w:rPr>
        <w:t>Echinochloa polystachya</w:t>
      </w:r>
      <w:r w:rsidRPr="00864114">
        <w:rPr>
          <w:rFonts w:asciiTheme="minorHAnsi" w:hAnsiTheme="minorHAnsi" w:cstheme="minorHAnsi"/>
          <w:noProof/>
          <w:color w:val="000000"/>
          <w:sz w:val="20"/>
          <w:szCs w:val="20"/>
          <w:lang w:eastAsia="en-AU"/>
        </w:rPr>
        <w:t xml:space="preserve"> on the Amazon floodplain. </w:t>
      </w:r>
      <w:r w:rsidRPr="00864114">
        <w:rPr>
          <w:rFonts w:asciiTheme="minorHAnsi" w:hAnsiTheme="minorHAnsi" w:cstheme="minorHAnsi"/>
          <w:i/>
          <w:noProof/>
          <w:color w:val="000000"/>
          <w:sz w:val="20"/>
          <w:szCs w:val="20"/>
          <w:lang w:eastAsia="en-AU"/>
        </w:rPr>
        <w:t>Ecology</w:t>
      </w:r>
      <w:r w:rsidRPr="00864114">
        <w:rPr>
          <w:rFonts w:asciiTheme="minorHAnsi" w:hAnsiTheme="minorHAnsi" w:cstheme="minorHAnsi"/>
          <w:noProof/>
          <w:color w:val="000000"/>
          <w:sz w:val="20"/>
          <w:szCs w:val="20"/>
          <w:lang w:eastAsia="en-AU"/>
        </w:rPr>
        <w:t xml:space="preserve"> 72</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1456–1463.</w:t>
      </w:r>
    </w:p>
    <w:p w14:paraId="01B1ECC2" w14:textId="73898A7E"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Pinto C.A., Nadezhdina N., David J.S., Kurz-Besson C., Caldeira M.C., Henriques M.O., Monteiro F.G., Pereira J.S.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David T.S. (2014)</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Transpiration in Quercus suber trees under shallow water table conditions: the role of soil and groundwater. </w:t>
      </w:r>
      <w:r w:rsidRPr="00864114">
        <w:rPr>
          <w:rFonts w:asciiTheme="minorHAnsi" w:hAnsiTheme="minorHAnsi" w:cstheme="minorHAnsi"/>
          <w:i/>
          <w:noProof/>
          <w:color w:val="000000"/>
          <w:sz w:val="20"/>
          <w:szCs w:val="20"/>
          <w:lang w:eastAsia="en-AU"/>
        </w:rPr>
        <w:t>Hydrological Processes</w:t>
      </w:r>
      <w:r w:rsidRPr="00864114">
        <w:rPr>
          <w:rFonts w:asciiTheme="minorHAnsi" w:hAnsiTheme="minorHAnsi" w:cstheme="minorHAnsi"/>
          <w:noProof/>
          <w:color w:val="000000"/>
          <w:sz w:val="20"/>
          <w:szCs w:val="20"/>
          <w:lang w:eastAsia="en-AU"/>
        </w:rPr>
        <w:t xml:space="preserve"> 28</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6067-6079. </w:t>
      </w:r>
    </w:p>
    <w:p w14:paraId="21D48A7F" w14:textId="68B063B4"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Pressland A.J. (1973)</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Rainfall portioning by an arid woodland (</w:t>
      </w:r>
      <w:r w:rsidRPr="00864114">
        <w:rPr>
          <w:rFonts w:asciiTheme="minorHAnsi" w:hAnsiTheme="minorHAnsi" w:cstheme="minorHAnsi"/>
          <w:i/>
          <w:noProof/>
          <w:color w:val="000000"/>
          <w:sz w:val="20"/>
          <w:szCs w:val="20"/>
          <w:lang w:eastAsia="en-AU"/>
        </w:rPr>
        <w:t>Acacia aneura</w:t>
      </w:r>
      <w:r w:rsidRPr="00864114">
        <w:rPr>
          <w:rFonts w:asciiTheme="minorHAnsi" w:hAnsiTheme="minorHAnsi" w:cstheme="minorHAnsi"/>
          <w:noProof/>
          <w:color w:val="000000"/>
          <w:sz w:val="20"/>
          <w:szCs w:val="20"/>
          <w:lang w:eastAsia="en-AU"/>
        </w:rPr>
        <w:t xml:space="preserve">) in south-western Queensland. Australian </w:t>
      </w:r>
      <w:r w:rsidRPr="00864114">
        <w:rPr>
          <w:rFonts w:asciiTheme="minorHAnsi" w:hAnsiTheme="minorHAnsi" w:cstheme="minorHAnsi"/>
          <w:i/>
          <w:noProof/>
          <w:color w:val="000000"/>
          <w:sz w:val="20"/>
          <w:szCs w:val="20"/>
          <w:lang w:eastAsia="en-AU"/>
        </w:rPr>
        <w:t>Journal of Botany</w:t>
      </w:r>
      <w:r w:rsidRPr="00864114">
        <w:rPr>
          <w:rFonts w:asciiTheme="minorHAnsi" w:hAnsiTheme="minorHAnsi" w:cstheme="minorHAnsi"/>
          <w:noProof/>
          <w:color w:val="000000"/>
          <w:sz w:val="20"/>
          <w:szCs w:val="20"/>
          <w:lang w:eastAsia="en-AU"/>
        </w:rPr>
        <w:t xml:space="preserve"> 21</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235-245.</w:t>
      </w:r>
    </w:p>
    <w:p w14:paraId="71D1F092" w14:textId="49A6EE1F"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Raunkiaer C. (1934)</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The Life Forms of Plants and Statistical Plant Geography. The Clarendon Press, Oxford.</w:t>
      </w:r>
    </w:p>
    <w:p w14:paraId="1E06F7FE" w14:textId="2409EBBD"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bookmarkStart w:id="92" w:name="_ENREF_15"/>
      <w:r w:rsidRPr="00864114">
        <w:rPr>
          <w:rFonts w:asciiTheme="minorHAnsi" w:hAnsiTheme="minorHAnsi" w:cstheme="minorHAnsi"/>
          <w:noProof/>
          <w:color w:val="000000"/>
          <w:sz w:val="20"/>
          <w:szCs w:val="20"/>
          <w:lang w:eastAsia="en-AU"/>
        </w:rPr>
        <w:t>Richards A. (1993)</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Remote Sensing Digital Image Analysis: An Introduction. Springer-Verlag, Berlin.</w:t>
      </w:r>
      <w:bookmarkEnd w:id="92"/>
      <w:r w:rsidRPr="00864114">
        <w:rPr>
          <w:rFonts w:asciiTheme="minorHAnsi" w:hAnsiTheme="minorHAnsi" w:cstheme="minorHAnsi"/>
          <w:noProof/>
          <w:color w:val="000000"/>
          <w:sz w:val="20"/>
          <w:szCs w:val="20"/>
          <w:lang w:eastAsia="en-AU"/>
        </w:rPr>
        <w:t xml:space="preserve"> </w:t>
      </w:r>
    </w:p>
    <w:p w14:paraId="0C6494EE" w14:textId="71C6E2A0"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Richardson S., Irvine E., Froend R.H., Boon P., Barber S.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Bonneville B. (2011)</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Australian groundwater-dependent ecosystems toolbox part 1: Assessment framework. Waterlines Report Series 69, National Water Commission, Canberra. </w:t>
      </w:r>
    </w:p>
    <w:p w14:paraId="09B23725" w14:textId="2DF4E2C2"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Ridolfi L., D’Odorico P.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 xml:space="preserve">Laio F. (2007). Vegetation dynamics induced by phreatophyte–aquifer interactions. </w:t>
      </w:r>
      <w:r w:rsidRPr="00864114">
        <w:rPr>
          <w:rFonts w:asciiTheme="minorHAnsi" w:hAnsiTheme="minorHAnsi" w:cstheme="minorHAnsi"/>
          <w:i/>
          <w:noProof/>
          <w:color w:val="000000"/>
          <w:sz w:val="20"/>
          <w:szCs w:val="20"/>
          <w:lang w:eastAsia="en-AU"/>
        </w:rPr>
        <w:t>Journal of Theoretical Biology</w:t>
      </w:r>
      <w:r w:rsidRPr="00864114">
        <w:rPr>
          <w:rFonts w:asciiTheme="minorHAnsi" w:hAnsiTheme="minorHAnsi" w:cstheme="minorHAnsi"/>
          <w:noProof/>
          <w:color w:val="000000"/>
          <w:sz w:val="20"/>
          <w:szCs w:val="20"/>
          <w:lang w:eastAsia="en-AU"/>
        </w:rPr>
        <w:t xml:space="preserve"> 248</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301-310. </w:t>
      </w:r>
    </w:p>
    <w:p w14:paraId="14FA4143" w14:textId="03CFC531"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Robinson T. W. (1952)</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Water thieves. </w:t>
      </w:r>
      <w:r w:rsidRPr="000A29BB">
        <w:rPr>
          <w:rFonts w:asciiTheme="minorHAnsi" w:hAnsiTheme="minorHAnsi" w:cstheme="minorHAnsi"/>
          <w:i/>
          <w:noProof/>
          <w:color w:val="000000"/>
          <w:sz w:val="20"/>
          <w:szCs w:val="20"/>
          <w:lang w:eastAsia="en-AU"/>
        </w:rPr>
        <w:t>Chemurgic Digest</w:t>
      </w:r>
      <w:r w:rsidRPr="00864114">
        <w:rPr>
          <w:rFonts w:asciiTheme="minorHAnsi" w:hAnsiTheme="minorHAnsi" w:cstheme="minorHAnsi"/>
          <w:noProof/>
          <w:color w:val="000000"/>
          <w:sz w:val="20"/>
          <w:szCs w:val="20"/>
          <w:lang w:eastAsia="en-AU"/>
        </w:rPr>
        <w:t xml:space="preserve"> 11</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12-15.</w:t>
      </w:r>
    </w:p>
    <w:p w14:paraId="5FA6715E" w14:textId="73EDC78E"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Rood S.B., Bigelow S.G.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Hall A.A. (2011)</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Root architecture of riparian trees: river cut-banks provide natural hydraulic excavation, revealing that cottonwoods are facultative phreatophytes. </w:t>
      </w:r>
      <w:r w:rsidRPr="00864114">
        <w:rPr>
          <w:rFonts w:asciiTheme="minorHAnsi" w:hAnsiTheme="minorHAnsi" w:cstheme="minorHAnsi"/>
          <w:i/>
          <w:noProof/>
          <w:color w:val="000000"/>
          <w:sz w:val="20"/>
          <w:szCs w:val="20"/>
          <w:lang w:eastAsia="en-AU"/>
        </w:rPr>
        <w:t>Trees</w:t>
      </w:r>
      <w:r w:rsidRPr="00864114">
        <w:rPr>
          <w:rFonts w:asciiTheme="minorHAnsi" w:hAnsiTheme="minorHAnsi" w:cstheme="minorHAnsi"/>
          <w:noProof/>
          <w:color w:val="000000"/>
          <w:sz w:val="20"/>
          <w:szCs w:val="20"/>
          <w:lang w:eastAsia="en-AU"/>
        </w:rPr>
        <w:t xml:space="preserve"> 25</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907–917.</w:t>
      </w:r>
    </w:p>
    <w:p w14:paraId="0F580EAD" w14:textId="28BFF59F"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Rutherford S., Griffith S.J.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Warwick N.W.M. (2013)</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Water relations of selected wallum species in dry sclerophyll woodland on the lower north coast of New South Wales, Australia. </w:t>
      </w:r>
      <w:r w:rsidRPr="00864114">
        <w:rPr>
          <w:rFonts w:asciiTheme="minorHAnsi" w:hAnsiTheme="minorHAnsi" w:cstheme="minorHAnsi"/>
          <w:i/>
          <w:noProof/>
          <w:color w:val="000000"/>
          <w:sz w:val="20"/>
          <w:szCs w:val="20"/>
          <w:lang w:eastAsia="en-AU"/>
        </w:rPr>
        <w:t>Australian Journal of Botany</w:t>
      </w:r>
      <w:r w:rsidR="008E54D5">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61</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254-265.</w:t>
      </w:r>
    </w:p>
    <w:p w14:paraId="4037A910" w14:textId="0B17CF32"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Shafroth P.B., Stromberg J.C.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 xml:space="preserve">Patten D.T. (2002). Riparian vegetation response to altered disturbance and stress regimes. </w:t>
      </w:r>
      <w:r w:rsidRPr="00864114">
        <w:rPr>
          <w:rFonts w:asciiTheme="minorHAnsi" w:hAnsiTheme="minorHAnsi" w:cstheme="minorHAnsi"/>
          <w:i/>
          <w:noProof/>
          <w:color w:val="000000"/>
          <w:sz w:val="20"/>
          <w:szCs w:val="20"/>
          <w:lang w:eastAsia="en-AU"/>
        </w:rPr>
        <w:t>Ecological Applications</w:t>
      </w:r>
      <w:r w:rsidRPr="00864114">
        <w:rPr>
          <w:rFonts w:asciiTheme="minorHAnsi" w:hAnsiTheme="minorHAnsi" w:cstheme="minorHAnsi"/>
          <w:noProof/>
          <w:color w:val="000000"/>
          <w:sz w:val="20"/>
          <w:szCs w:val="20"/>
          <w:lang w:eastAsia="en-AU"/>
        </w:rPr>
        <w:t xml:space="preserve"> 12</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107-123. </w:t>
      </w:r>
    </w:p>
    <w:p w14:paraId="325D96B7" w14:textId="2A48C4A2"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Silvertown J., Araya Y.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Gowing D. (2015)</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Hydrological niches in terrestrial plant communities: a review.  </w:t>
      </w:r>
      <w:r w:rsidRPr="00864114">
        <w:rPr>
          <w:rFonts w:asciiTheme="minorHAnsi" w:hAnsiTheme="minorHAnsi" w:cstheme="minorHAnsi"/>
          <w:i/>
          <w:noProof/>
          <w:color w:val="000000"/>
          <w:sz w:val="20"/>
          <w:szCs w:val="20"/>
          <w:lang w:eastAsia="en-AU"/>
        </w:rPr>
        <w:t>Journal of Ecology</w:t>
      </w:r>
      <w:r w:rsidRPr="00864114">
        <w:rPr>
          <w:rFonts w:asciiTheme="minorHAnsi" w:hAnsiTheme="minorHAnsi" w:cstheme="minorHAnsi"/>
          <w:noProof/>
          <w:color w:val="000000"/>
          <w:sz w:val="20"/>
          <w:szCs w:val="20"/>
          <w:lang w:eastAsia="en-AU"/>
        </w:rPr>
        <w:t xml:space="preserve"> 103</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93-108.</w:t>
      </w:r>
    </w:p>
    <w:p w14:paraId="4B6BC465" w14:textId="1F03C0F6"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Smith S.D., Devitt D.A., Sala A., Cleverly J.R.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Busch D.E. (1998)</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Water relations of riparian plants from warm desert regions. </w:t>
      </w:r>
      <w:r w:rsidRPr="00864114">
        <w:rPr>
          <w:rFonts w:asciiTheme="minorHAnsi" w:hAnsiTheme="minorHAnsi" w:cstheme="minorHAnsi"/>
          <w:i/>
          <w:noProof/>
          <w:color w:val="000000"/>
          <w:sz w:val="20"/>
          <w:szCs w:val="20"/>
          <w:lang w:eastAsia="en-AU"/>
        </w:rPr>
        <w:t>Wetlands</w:t>
      </w:r>
      <w:r w:rsidRPr="00864114">
        <w:rPr>
          <w:rFonts w:asciiTheme="minorHAnsi" w:hAnsiTheme="minorHAnsi" w:cstheme="minorHAnsi"/>
          <w:noProof/>
          <w:color w:val="000000"/>
          <w:sz w:val="20"/>
          <w:szCs w:val="20"/>
          <w:lang w:eastAsia="en-AU"/>
        </w:rPr>
        <w:t xml:space="preserve"> 18</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687–696.</w:t>
      </w:r>
    </w:p>
    <w:p w14:paraId="005A2F56" w14:textId="6EB7EF2C"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lastRenderedPageBreak/>
        <w:t xml:space="preserve">Smith S.D., Monson R.K.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Anderson J.E. (1997)</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Phreatophytes. In Physiological Ecology of North American Desert plants pp 165-177. Springer, Berlin, Germany.</w:t>
      </w:r>
    </w:p>
    <w:p w14:paraId="1ED6A526" w14:textId="3A569111"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Snyder K.A.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 xml:space="preserve">Williams D.G. (2000). Water sources used by riparian trees varies among stream types on the San Pedro River, Arizona. </w:t>
      </w:r>
      <w:r w:rsidRPr="00864114">
        <w:rPr>
          <w:rFonts w:asciiTheme="minorHAnsi" w:hAnsiTheme="minorHAnsi" w:cstheme="minorHAnsi"/>
          <w:i/>
          <w:noProof/>
          <w:color w:val="000000"/>
          <w:sz w:val="20"/>
          <w:szCs w:val="20"/>
          <w:lang w:eastAsia="en-AU"/>
        </w:rPr>
        <w:t>Journal of Agricultural and Forest Meteorology</w:t>
      </w:r>
      <w:r w:rsidRPr="00864114">
        <w:rPr>
          <w:rFonts w:asciiTheme="minorHAnsi" w:hAnsiTheme="minorHAnsi" w:cstheme="minorHAnsi"/>
          <w:noProof/>
          <w:color w:val="000000"/>
          <w:sz w:val="20"/>
          <w:szCs w:val="20"/>
          <w:lang w:eastAsia="en-AU"/>
        </w:rPr>
        <w:t xml:space="preserve"> 105</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227-240.</w:t>
      </w:r>
    </w:p>
    <w:p w14:paraId="2B8A7168" w14:textId="6D3BD542"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Sommer B.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Froend R. (2011)</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Resilience of phreatophytic vegetation to groundwater drawdown: Is recovery possible under a drying climate?. </w:t>
      </w:r>
      <w:r w:rsidR="008E54D5">
        <w:rPr>
          <w:rFonts w:asciiTheme="minorHAnsi" w:hAnsiTheme="minorHAnsi" w:cstheme="minorHAnsi"/>
          <w:i/>
          <w:noProof/>
          <w:color w:val="000000"/>
          <w:sz w:val="20"/>
          <w:szCs w:val="20"/>
          <w:lang w:eastAsia="en-AU"/>
        </w:rPr>
        <w:t xml:space="preserve">Ecohydrology </w:t>
      </w:r>
      <w:r w:rsidRPr="00864114">
        <w:rPr>
          <w:rFonts w:asciiTheme="minorHAnsi" w:hAnsiTheme="minorHAnsi" w:cstheme="minorHAnsi"/>
          <w:noProof/>
          <w:color w:val="000000"/>
          <w:sz w:val="20"/>
          <w:szCs w:val="20"/>
          <w:lang w:eastAsia="en-AU"/>
        </w:rPr>
        <w:t>4</w:t>
      </w:r>
      <w:r w:rsidR="008E54D5">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67-82.</w:t>
      </w:r>
    </w:p>
    <w:p w14:paraId="792D7965" w14:textId="631A5E25"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Sommer B.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Froend R. (2014)</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Phreatophytic vegetation responses to groundwater depth in a drying mediterranean-type climate. </w:t>
      </w:r>
      <w:r w:rsidRPr="00864114">
        <w:rPr>
          <w:rFonts w:asciiTheme="minorHAnsi" w:hAnsiTheme="minorHAnsi" w:cstheme="minorHAnsi"/>
          <w:i/>
          <w:noProof/>
          <w:color w:val="000000"/>
          <w:sz w:val="20"/>
          <w:szCs w:val="20"/>
          <w:lang w:eastAsia="en-AU"/>
        </w:rPr>
        <w:t>Journal of Vegetation Science</w:t>
      </w:r>
      <w:r w:rsidR="008E54D5">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25</w:t>
      </w:r>
      <w:r w:rsidR="008E54D5">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 xml:space="preserve">1045-1055. </w:t>
      </w:r>
    </w:p>
    <w:p w14:paraId="609716FE" w14:textId="1A58DBB8"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Stoneman G.L. (1994)</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Ecology and physiology of establishment of eucalyptus seedlings from seed: A review. </w:t>
      </w:r>
      <w:r w:rsidRPr="00864114">
        <w:rPr>
          <w:rFonts w:asciiTheme="minorHAnsi" w:hAnsiTheme="minorHAnsi" w:cstheme="minorHAnsi"/>
          <w:i/>
          <w:noProof/>
          <w:color w:val="000000"/>
          <w:sz w:val="20"/>
          <w:szCs w:val="20"/>
          <w:lang w:eastAsia="en-AU"/>
        </w:rPr>
        <w:t>Australian Forestry</w:t>
      </w:r>
      <w:r w:rsidRPr="00864114">
        <w:rPr>
          <w:rFonts w:asciiTheme="minorHAnsi" w:hAnsiTheme="minorHAnsi" w:cstheme="minorHAnsi"/>
          <w:noProof/>
          <w:color w:val="000000"/>
          <w:sz w:val="20"/>
          <w:szCs w:val="20"/>
          <w:lang w:eastAsia="en-AU"/>
        </w:rPr>
        <w:t xml:space="preserve"> 57</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11-29.</w:t>
      </w:r>
    </w:p>
    <w:p w14:paraId="1F59FF7E" w14:textId="5124888C"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Stromberg J.C.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Merritt D.M. (2016)</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Riparian plant guilds of ephemeral, intermittent and perennial rivers. </w:t>
      </w:r>
      <w:r w:rsidRPr="00864114">
        <w:rPr>
          <w:rFonts w:asciiTheme="minorHAnsi" w:hAnsiTheme="minorHAnsi" w:cstheme="minorHAnsi"/>
          <w:i/>
          <w:noProof/>
          <w:color w:val="000000"/>
          <w:sz w:val="20"/>
          <w:szCs w:val="20"/>
          <w:lang w:eastAsia="en-AU"/>
        </w:rPr>
        <w:t>Freshwater Biology</w:t>
      </w:r>
      <w:r w:rsidRPr="00864114">
        <w:rPr>
          <w:rFonts w:asciiTheme="minorHAnsi" w:hAnsiTheme="minorHAnsi" w:cstheme="minorHAnsi"/>
          <w:noProof/>
          <w:color w:val="000000"/>
          <w:sz w:val="20"/>
          <w:szCs w:val="20"/>
          <w:lang w:eastAsia="en-AU"/>
        </w:rPr>
        <w:t xml:space="preserve"> 61</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1259-1275. </w:t>
      </w:r>
    </w:p>
    <w:p w14:paraId="5AAB49DB" w14:textId="250B6DA7"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Stromberg J.C., Tiller R.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Richter B. (1996)</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Effects of groundwater decline on riparian vegetation of semiarid regions: The San Pedro, Arizona. </w:t>
      </w:r>
      <w:r w:rsidRPr="00864114">
        <w:rPr>
          <w:rFonts w:asciiTheme="minorHAnsi" w:hAnsiTheme="minorHAnsi" w:cstheme="minorHAnsi"/>
          <w:i/>
          <w:noProof/>
          <w:color w:val="000000"/>
          <w:sz w:val="20"/>
          <w:szCs w:val="20"/>
          <w:lang w:eastAsia="en-AU"/>
        </w:rPr>
        <w:t>Ecological Applications</w:t>
      </w:r>
      <w:r w:rsidRPr="00864114">
        <w:rPr>
          <w:rFonts w:asciiTheme="minorHAnsi" w:hAnsiTheme="minorHAnsi" w:cstheme="minorHAnsi"/>
          <w:noProof/>
          <w:color w:val="000000"/>
          <w:sz w:val="20"/>
          <w:szCs w:val="20"/>
          <w:lang w:eastAsia="en-AU"/>
        </w:rPr>
        <w:t xml:space="preserve"> 6</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113-131.</w:t>
      </w:r>
    </w:p>
    <w:p w14:paraId="783D4287" w14:textId="4D40432B"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Stromberg J.C.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Merritt D.M. (2016)</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Riparian plant guilds of ephemeral, intermittent and perennial rivers. </w:t>
      </w:r>
      <w:r w:rsidRPr="00864114">
        <w:rPr>
          <w:rFonts w:asciiTheme="minorHAnsi" w:hAnsiTheme="minorHAnsi" w:cstheme="minorHAnsi"/>
          <w:i/>
          <w:noProof/>
          <w:color w:val="000000"/>
          <w:sz w:val="20"/>
          <w:szCs w:val="20"/>
          <w:lang w:eastAsia="en-AU"/>
        </w:rPr>
        <w:t>Freshwater Biology</w:t>
      </w:r>
      <w:r w:rsidRPr="00864114">
        <w:rPr>
          <w:rFonts w:asciiTheme="minorHAnsi" w:hAnsiTheme="minorHAnsi" w:cstheme="minorHAnsi"/>
          <w:noProof/>
          <w:color w:val="000000"/>
          <w:sz w:val="20"/>
          <w:szCs w:val="20"/>
          <w:lang w:eastAsia="en-AU"/>
        </w:rPr>
        <w:t xml:space="preserve"> doi:10.1111/fwb.12686</w:t>
      </w:r>
    </w:p>
    <w:p w14:paraId="612E2B6E" w14:textId="0F8C4503"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Thomas F.M (2014). Ecology of Phreatophytes. pp.335-375 In </w:t>
      </w:r>
      <w:r w:rsidRPr="00864114">
        <w:rPr>
          <w:rFonts w:asciiTheme="minorHAnsi" w:hAnsiTheme="minorHAnsi" w:cstheme="minorHAnsi"/>
          <w:i/>
          <w:noProof/>
          <w:color w:val="000000"/>
          <w:sz w:val="20"/>
          <w:szCs w:val="20"/>
          <w:lang w:eastAsia="en-AU"/>
        </w:rPr>
        <w:t>Progress in Botany</w:t>
      </w:r>
      <w:r w:rsidRPr="00864114">
        <w:rPr>
          <w:rFonts w:asciiTheme="minorHAnsi" w:hAnsiTheme="minorHAnsi" w:cstheme="minorHAnsi"/>
          <w:noProof/>
          <w:color w:val="000000"/>
          <w:sz w:val="20"/>
          <w:szCs w:val="20"/>
          <w:lang w:eastAsia="en-AU"/>
        </w:rPr>
        <w:t xml:space="preserve"> (Eds Lüttge U., Beyschlag W., Cushman J). S</w:t>
      </w:r>
      <w:r w:rsidR="000A29BB">
        <w:rPr>
          <w:rFonts w:asciiTheme="minorHAnsi" w:hAnsiTheme="minorHAnsi" w:cstheme="minorHAnsi"/>
          <w:noProof/>
          <w:color w:val="000000"/>
          <w:sz w:val="20"/>
          <w:szCs w:val="20"/>
          <w:lang w:eastAsia="en-AU"/>
        </w:rPr>
        <w:t>pringer-Verlag, Berlin, Germany</w:t>
      </w:r>
      <w:r w:rsidRPr="00864114">
        <w:rPr>
          <w:rFonts w:asciiTheme="minorHAnsi" w:hAnsiTheme="minorHAnsi" w:cstheme="minorHAnsi"/>
          <w:noProof/>
          <w:color w:val="000000"/>
          <w:sz w:val="20"/>
          <w:szCs w:val="20"/>
          <w:lang w:eastAsia="en-AU"/>
        </w:rPr>
        <w:t>.</w:t>
      </w:r>
    </w:p>
    <w:p w14:paraId="4344F480" w14:textId="6EDF358B"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Thorburn P.J.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 xml:space="preserve">Walker G.R. (1994). Variations in stream water uptake by Eucalyptus camaldulensis with differing access to stream water. </w:t>
      </w:r>
      <w:r w:rsidRPr="00864114">
        <w:rPr>
          <w:rFonts w:asciiTheme="minorHAnsi" w:hAnsiTheme="minorHAnsi" w:cstheme="minorHAnsi"/>
          <w:i/>
          <w:noProof/>
          <w:color w:val="000000"/>
          <w:sz w:val="20"/>
          <w:szCs w:val="20"/>
          <w:lang w:eastAsia="en-AU"/>
        </w:rPr>
        <w:t>Oecologia</w:t>
      </w:r>
      <w:r w:rsidRPr="00864114">
        <w:rPr>
          <w:rFonts w:asciiTheme="minorHAnsi" w:hAnsiTheme="minorHAnsi" w:cstheme="minorHAnsi"/>
          <w:noProof/>
          <w:color w:val="000000"/>
          <w:sz w:val="20"/>
          <w:szCs w:val="20"/>
          <w:lang w:eastAsia="en-AU"/>
        </w:rPr>
        <w:t xml:space="preserve"> 100</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293–301.</w:t>
      </w:r>
    </w:p>
    <w:p w14:paraId="4764AEA9" w14:textId="3205BCD1"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Townshend JRG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Justice CO (1986)</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Analysis of the dynamics of African vegetation using the normalized difference vegetation index. </w:t>
      </w:r>
      <w:r w:rsidRPr="00864114">
        <w:rPr>
          <w:rFonts w:asciiTheme="minorHAnsi" w:hAnsiTheme="minorHAnsi" w:cstheme="minorHAnsi"/>
          <w:i/>
          <w:noProof/>
          <w:color w:val="000000"/>
          <w:sz w:val="20"/>
          <w:szCs w:val="20"/>
          <w:lang w:eastAsia="en-AU"/>
        </w:rPr>
        <w:t>International Journal of Remote Sensing</w:t>
      </w:r>
      <w:r w:rsidRPr="00864114">
        <w:rPr>
          <w:rFonts w:asciiTheme="minorHAnsi" w:hAnsiTheme="minorHAnsi" w:cstheme="minorHAnsi"/>
          <w:noProof/>
          <w:color w:val="000000"/>
          <w:sz w:val="20"/>
          <w:szCs w:val="20"/>
          <w:lang w:eastAsia="en-AU"/>
        </w:rPr>
        <w:t xml:space="preserve"> 7</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1435-1445.</w:t>
      </w:r>
    </w:p>
    <w:p w14:paraId="7C8D7344" w14:textId="513D0EE9"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bookmarkStart w:id="93" w:name="_ENREF_17"/>
      <w:r w:rsidRPr="00864114">
        <w:rPr>
          <w:rFonts w:asciiTheme="minorHAnsi" w:hAnsiTheme="minorHAnsi" w:cstheme="minorHAnsi"/>
          <w:noProof/>
          <w:color w:val="000000"/>
          <w:sz w:val="20"/>
          <w:szCs w:val="20"/>
          <w:lang w:eastAsia="en-AU"/>
        </w:rPr>
        <w:t>Tucker C.J. (1986)</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Maximum normalized difference vegetation index images for sub-Saharan Africa for 1983–1985. </w:t>
      </w:r>
      <w:r w:rsidRPr="00864114">
        <w:rPr>
          <w:rFonts w:asciiTheme="minorHAnsi" w:hAnsiTheme="minorHAnsi" w:cstheme="minorHAnsi"/>
          <w:i/>
          <w:noProof/>
          <w:color w:val="000000"/>
          <w:sz w:val="20"/>
          <w:szCs w:val="20"/>
          <w:lang w:eastAsia="en-AU"/>
        </w:rPr>
        <w:t>International Journal of Remote Sensing</w:t>
      </w:r>
      <w:r w:rsidRPr="00864114">
        <w:rPr>
          <w:rFonts w:asciiTheme="minorHAnsi" w:hAnsiTheme="minorHAnsi" w:cstheme="minorHAnsi"/>
          <w:noProof/>
          <w:color w:val="000000"/>
          <w:sz w:val="20"/>
          <w:szCs w:val="20"/>
          <w:lang w:eastAsia="en-AU"/>
        </w:rPr>
        <w:t xml:space="preserve"> 7</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1383-1384.</w:t>
      </w:r>
      <w:bookmarkEnd w:id="93"/>
    </w:p>
    <w:p w14:paraId="598BEACB" w14:textId="15A726A9"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Turner J.V., Farrington P.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Gailitis V. (2001)</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Extraction and analysis of plant water for deuterium isotope measurement and application to field experiments. In (Eds M. Unkovich et al.) Stable isotope techniques in the study of biological processes and functioning of ecosystems. Chp 3, pp37-55, Kluwer Academic Publishers, Netherlands.</w:t>
      </w:r>
    </w:p>
    <w:p w14:paraId="67BB4795" w14:textId="60929BD2"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Vonlanthen B., Zhang X.M.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 xml:space="preserve">Bruelheide H. (2011). Establishment and early survival of five phreatophytes of the Taklamakan Desert. </w:t>
      </w:r>
      <w:r w:rsidRPr="00864114">
        <w:rPr>
          <w:rFonts w:asciiTheme="minorHAnsi" w:hAnsiTheme="minorHAnsi" w:cstheme="minorHAnsi"/>
          <w:i/>
          <w:iCs/>
          <w:noProof/>
          <w:color w:val="000000"/>
          <w:sz w:val="20"/>
          <w:szCs w:val="20"/>
          <w:lang w:eastAsia="en-AU"/>
        </w:rPr>
        <w:t>Flora</w:t>
      </w:r>
      <w:r w:rsidRPr="00864114">
        <w:rPr>
          <w:rFonts w:asciiTheme="minorHAnsi" w:hAnsiTheme="minorHAnsi" w:cstheme="minorHAnsi"/>
          <w:noProof/>
          <w:color w:val="000000"/>
          <w:sz w:val="20"/>
          <w:szCs w:val="20"/>
          <w:lang w:eastAsia="en-AU"/>
        </w:rPr>
        <w:t xml:space="preserve"> 206</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100–106.</w:t>
      </w:r>
    </w:p>
    <w:p w14:paraId="16B6172B" w14:textId="4448E1AC"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Zencich S.J. Froend R.H. Turner J.V.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Gailitis V. (2002)</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Influence of groundwater depth on the seasonal sources of water accessed by Banksia tree species on a shallow sandy coastal aquifer. </w:t>
      </w:r>
      <w:r w:rsidRPr="00864114">
        <w:rPr>
          <w:rFonts w:asciiTheme="minorHAnsi" w:hAnsiTheme="minorHAnsi" w:cstheme="minorHAnsi"/>
          <w:i/>
          <w:noProof/>
          <w:color w:val="000000"/>
          <w:sz w:val="20"/>
          <w:szCs w:val="20"/>
          <w:lang w:eastAsia="en-AU"/>
        </w:rPr>
        <w:t>Oecologia</w:t>
      </w:r>
      <w:r w:rsidRPr="00864114">
        <w:rPr>
          <w:rFonts w:asciiTheme="minorHAnsi" w:hAnsiTheme="minorHAnsi" w:cstheme="minorHAnsi"/>
          <w:noProof/>
          <w:color w:val="000000"/>
          <w:sz w:val="20"/>
          <w:szCs w:val="20"/>
          <w:lang w:eastAsia="en-AU"/>
        </w:rPr>
        <w:t xml:space="preserve"> 131: 9–19.</w:t>
      </w:r>
    </w:p>
    <w:p w14:paraId="62A37FA5" w14:textId="4623DB28" w:rsidR="003D3694" w:rsidRPr="00864114" w:rsidRDefault="003D3694" w:rsidP="00A64AF8">
      <w:pPr>
        <w:autoSpaceDE/>
        <w:autoSpaceDN/>
        <w:spacing w:after="0"/>
        <w:ind w:left="284" w:hanging="284"/>
        <w:rPr>
          <w:rFonts w:asciiTheme="minorHAnsi" w:hAnsiTheme="minorHAnsi" w:cstheme="minorHAnsi"/>
          <w:noProof/>
          <w:color w:val="000000"/>
          <w:sz w:val="20"/>
          <w:szCs w:val="20"/>
          <w:lang w:eastAsia="en-AU"/>
        </w:rPr>
      </w:pPr>
      <w:r w:rsidRPr="00864114">
        <w:rPr>
          <w:rFonts w:asciiTheme="minorHAnsi" w:hAnsiTheme="minorHAnsi" w:cstheme="minorHAnsi"/>
          <w:noProof/>
          <w:color w:val="000000"/>
          <w:sz w:val="20"/>
          <w:szCs w:val="20"/>
          <w:lang w:eastAsia="en-AU"/>
        </w:rPr>
        <w:t xml:space="preserve">Zolfaghar S., Villalobos-Vega R., Cleverly J., Zeppel M., Rumman R. </w:t>
      </w:r>
      <w:r w:rsidR="000A29BB">
        <w:rPr>
          <w:rFonts w:asciiTheme="minorHAnsi" w:hAnsiTheme="minorHAnsi" w:cstheme="minorHAnsi"/>
          <w:noProof/>
          <w:color w:val="000000"/>
          <w:sz w:val="20"/>
          <w:szCs w:val="20"/>
          <w:lang w:eastAsia="en-AU"/>
        </w:rPr>
        <w:t>&amp;</w:t>
      </w:r>
      <w:r w:rsidR="000A29BB" w:rsidRPr="00864114">
        <w:rPr>
          <w:rFonts w:asciiTheme="minorHAnsi" w:hAnsiTheme="minorHAnsi" w:cstheme="minorHAnsi"/>
          <w:noProof/>
          <w:color w:val="000000"/>
          <w:sz w:val="20"/>
          <w:szCs w:val="20"/>
          <w:lang w:eastAsia="en-AU"/>
        </w:rPr>
        <w:t xml:space="preserve"> </w:t>
      </w:r>
      <w:r w:rsidRPr="00864114">
        <w:rPr>
          <w:rFonts w:asciiTheme="minorHAnsi" w:hAnsiTheme="minorHAnsi" w:cstheme="minorHAnsi"/>
          <w:noProof/>
          <w:color w:val="000000"/>
          <w:sz w:val="20"/>
          <w:szCs w:val="20"/>
          <w:lang w:eastAsia="en-AU"/>
        </w:rPr>
        <w:t>Eamus D. (2014)</w:t>
      </w:r>
      <w:r w:rsidR="000A29BB">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The influence of depth to groundwater on structure and productivity of Eucalyptus woodlands. </w:t>
      </w:r>
      <w:r w:rsidRPr="00864114">
        <w:rPr>
          <w:rFonts w:asciiTheme="minorHAnsi" w:hAnsiTheme="minorHAnsi" w:cstheme="minorHAnsi"/>
          <w:i/>
          <w:noProof/>
          <w:color w:val="000000"/>
          <w:sz w:val="20"/>
          <w:szCs w:val="20"/>
          <w:lang w:eastAsia="en-AU"/>
        </w:rPr>
        <w:t>Australian Journal of Botany</w:t>
      </w:r>
      <w:r w:rsidRPr="00864114">
        <w:rPr>
          <w:rFonts w:asciiTheme="minorHAnsi" w:hAnsiTheme="minorHAnsi" w:cstheme="minorHAnsi"/>
          <w:noProof/>
          <w:color w:val="000000"/>
          <w:sz w:val="20"/>
          <w:szCs w:val="20"/>
          <w:lang w:eastAsia="en-AU"/>
        </w:rPr>
        <w:t xml:space="preserve"> 62</w:t>
      </w:r>
      <w:r w:rsidR="008E54D5">
        <w:rPr>
          <w:rFonts w:asciiTheme="minorHAnsi" w:hAnsiTheme="minorHAnsi" w:cstheme="minorHAnsi"/>
          <w:noProof/>
          <w:color w:val="000000"/>
          <w:sz w:val="20"/>
          <w:szCs w:val="20"/>
          <w:lang w:eastAsia="en-AU"/>
        </w:rPr>
        <w:t>:</w:t>
      </w:r>
      <w:r w:rsidRPr="00864114">
        <w:rPr>
          <w:rFonts w:asciiTheme="minorHAnsi" w:hAnsiTheme="minorHAnsi" w:cstheme="minorHAnsi"/>
          <w:noProof/>
          <w:color w:val="000000"/>
          <w:sz w:val="20"/>
          <w:szCs w:val="20"/>
          <w:lang w:eastAsia="en-AU"/>
        </w:rPr>
        <w:t xml:space="preserve"> 428-437.</w:t>
      </w:r>
    </w:p>
    <w:p w14:paraId="3564D188" w14:textId="77777777" w:rsidR="003D3694" w:rsidRPr="00747E35" w:rsidRDefault="003D3694" w:rsidP="003D3694">
      <w:pPr>
        <w:rPr>
          <w:rFonts w:asciiTheme="minorHAnsi" w:hAnsiTheme="minorHAnsi" w:cstheme="minorHAnsi"/>
        </w:rPr>
      </w:pPr>
    </w:p>
    <w:p w14:paraId="77C71A28" w14:textId="77777777" w:rsidR="003D3694" w:rsidRPr="00747E35" w:rsidRDefault="003D3694" w:rsidP="003D3694">
      <w:pPr>
        <w:rPr>
          <w:rFonts w:asciiTheme="minorHAnsi" w:hAnsiTheme="minorHAnsi" w:cstheme="minorHAnsi"/>
        </w:rPr>
        <w:sectPr w:rsidR="003D3694" w:rsidRPr="00747E35" w:rsidSect="0096743A">
          <w:footerReference w:type="even" r:id="rId78"/>
          <w:footerReference w:type="default" r:id="rId79"/>
          <w:pgSz w:w="11906" w:h="16838"/>
          <w:pgMar w:top="1440" w:right="1440" w:bottom="1440" w:left="1440" w:header="567" w:footer="397" w:gutter="0"/>
          <w:cols w:space="708"/>
          <w:docGrid w:linePitch="360"/>
        </w:sectPr>
      </w:pPr>
      <w:r w:rsidRPr="00747E35">
        <w:rPr>
          <w:rFonts w:asciiTheme="minorHAnsi" w:hAnsiTheme="minorHAnsi" w:cstheme="minorHAnsi"/>
        </w:rPr>
        <w:br w:type="page"/>
      </w:r>
    </w:p>
    <w:p w14:paraId="2C4362E0" w14:textId="15233F19" w:rsidR="003D3694" w:rsidRPr="00747E35" w:rsidRDefault="003D3694" w:rsidP="003D3694">
      <w:pPr>
        <w:pStyle w:val="Heading1"/>
        <w:rPr>
          <w:rFonts w:asciiTheme="minorHAnsi" w:hAnsiTheme="minorHAnsi" w:cstheme="minorHAnsi"/>
        </w:rPr>
      </w:pPr>
      <w:bookmarkStart w:id="94" w:name="_Toc466450330"/>
      <w:bookmarkStart w:id="95" w:name="_Toc470004832"/>
      <w:r w:rsidRPr="00747E35">
        <w:rPr>
          <w:rFonts w:asciiTheme="minorHAnsi" w:hAnsiTheme="minorHAnsi" w:cstheme="minorHAnsi"/>
        </w:rPr>
        <w:lastRenderedPageBreak/>
        <w:t xml:space="preserve">Component 2 – </w:t>
      </w:r>
      <w:bookmarkEnd w:id="94"/>
      <w:r w:rsidRPr="00747E35">
        <w:rPr>
          <w:rFonts w:asciiTheme="minorHAnsi" w:hAnsiTheme="minorHAnsi" w:cstheme="minorHAnsi"/>
        </w:rPr>
        <w:t>Ecological values of baseflow and surface water-groundwater connectivity regimes in non-perennial streams. (Short title: Baseflows).</w:t>
      </w:r>
      <w:bookmarkEnd w:id="95"/>
    </w:p>
    <w:p w14:paraId="3034E60C" w14:textId="77777777" w:rsidR="003D3694" w:rsidRPr="00747E35" w:rsidRDefault="003D3694" w:rsidP="003D3694">
      <w:pPr>
        <w:rPr>
          <w:rFonts w:asciiTheme="minorHAnsi" w:hAnsiTheme="minorHAnsi" w:cstheme="minorHAnsi"/>
        </w:rPr>
      </w:pPr>
    </w:p>
    <w:p w14:paraId="786A1673"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Dr Ryan Burrows</w:t>
      </w:r>
      <w:r w:rsidRPr="00747E35">
        <w:rPr>
          <w:rFonts w:asciiTheme="minorHAnsi" w:hAnsiTheme="minorHAnsi" w:cstheme="minorHAnsi"/>
          <w:vertAlign w:val="superscript"/>
        </w:rPr>
        <w:t>1,</w:t>
      </w:r>
      <w:r w:rsidRPr="00747E35">
        <w:rPr>
          <w:rFonts w:asciiTheme="minorHAnsi" w:hAnsiTheme="minorHAnsi" w:cstheme="minorHAnsi"/>
        </w:rPr>
        <w:t>, Prof Nick Bond</w:t>
      </w:r>
      <w:r w:rsidRPr="00747E35">
        <w:rPr>
          <w:rFonts w:asciiTheme="minorHAnsi" w:hAnsiTheme="minorHAnsi" w:cstheme="minorHAnsi"/>
          <w:vertAlign w:val="superscript"/>
        </w:rPr>
        <w:t>2</w:t>
      </w:r>
      <w:r w:rsidRPr="00747E35">
        <w:rPr>
          <w:rFonts w:asciiTheme="minorHAnsi" w:hAnsiTheme="minorHAnsi" w:cstheme="minorHAnsi"/>
        </w:rPr>
        <w:t>, A/Prof Mark Kennard</w:t>
      </w:r>
      <w:r w:rsidRPr="00747E35">
        <w:rPr>
          <w:rFonts w:asciiTheme="minorHAnsi" w:hAnsiTheme="minorHAnsi" w:cstheme="minorHAnsi"/>
          <w:vertAlign w:val="superscript"/>
        </w:rPr>
        <w:t>1</w:t>
      </w:r>
      <w:r w:rsidRPr="00747E35">
        <w:rPr>
          <w:rFonts w:asciiTheme="minorHAnsi" w:hAnsiTheme="minorHAnsi" w:cstheme="minorHAnsi"/>
        </w:rPr>
        <w:t>, and Mr Dominic Valdez</w:t>
      </w:r>
      <w:r w:rsidRPr="00747E35">
        <w:rPr>
          <w:rFonts w:asciiTheme="minorHAnsi" w:hAnsiTheme="minorHAnsi" w:cstheme="minorHAnsi"/>
          <w:vertAlign w:val="superscript"/>
        </w:rPr>
        <w:t>1</w:t>
      </w:r>
    </w:p>
    <w:p w14:paraId="18EC2D8B" w14:textId="77777777" w:rsidR="003D3694" w:rsidRPr="00747E35" w:rsidRDefault="003D3694" w:rsidP="003D3694">
      <w:pPr>
        <w:rPr>
          <w:rFonts w:asciiTheme="minorHAnsi" w:hAnsiTheme="minorHAnsi" w:cstheme="minorHAnsi"/>
        </w:rPr>
      </w:pPr>
      <w:r w:rsidRPr="00747E35">
        <w:rPr>
          <w:rFonts w:asciiTheme="minorHAnsi" w:hAnsiTheme="minorHAnsi" w:cstheme="minorHAnsi"/>
          <w:vertAlign w:val="superscript"/>
        </w:rPr>
        <w:t>1</w:t>
      </w:r>
      <w:r w:rsidRPr="00747E35">
        <w:rPr>
          <w:rFonts w:asciiTheme="minorHAnsi" w:hAnsiTheme="minorHAnsi" w:cstheme="minorHAnsi"/>
        </w:rPr>
        <w:t>Australian Rivers Institute, Griffith University</w:t>
      </w:r>
    </w:p>
    <w:p w14:paraId="379BF966" w14:textId="77777777" w:rsidR="003D3694" w:rsidRPr="00747E35" w:rsidRDefault="003D3694" w:rsidP="003D3694">
      <w:pPr>
        <w:rPr>
          <w:rFonts w:asciiTheme="minorHAnsi" w:hAnsiTheme="minorHAnsi" w:cstheme="minorHAnsi"/>
        </w:rPr>
      </w:pPr>
      <w:r w:rsidRPr="00747E35">
        <w:rPr>
          <w:rFonts w:asciiTheme="minorHAnsi" w:hAnsiTheme="minorHAnsi" w:cstheme="minorHAnsi"/>
          <w:vertAlign w:val="superscript"/>
        </w:rPr>
        <w:t>2</w:t>
      </w:r>
      <w:r w:rsidRPr="00747E35">
        <w:rPr>
          <w:rFonts w:asciiTheme="minorHAnsi" w:hAnsiTheme="minorHAnsi" w:cstheme="minorHAnsi"/>
        </w:rPr>
        <w:t>Murray-Darling Freshwater Research Centre, La Trobe University</w:t>
      </w:r>
    </w:p>
    <w:p w14:paraId="75BB97F7" w14:textId="77777777" w:rsidR="003D3694" w:rsidRPr="00747E35" w:rsidRDefault="003D3694" w:rsidP="003D3694">
      <w:pPr>
        <w:rPr>
          <w:rFonts w:asciiTheme="minorHAnsi" w:hAnsiTheme="minorHAnsi" w:cstheme="minorHAnsi"/>
        </w:rPr>
      </w:pPr>
    </w:p>
    <w:p w14:paraId="38C1DDBC" w14:textId="6C29A024" w:rsidR="003D3694" w:rsidRPr="00747E35" w:rsidRDefault="003D3694" w:rsidP="003D3694">
      <w:pPr>
        <w:pStyle w:val="Heading2"/>
        <w:rPr>
          <w:rFonts w:asciiTheme="minorHAnsi" w:hAnsiTheme="minorHAnsi" w:cstheme="minorHAnsi"/>
        </w:rPr>
      </w:pPr>
      <w:bookmarkStart w:id="96" w:name="_Toc466450353"/>
      <w:bookmarkStart w:id="97" w:name="_Toc470004833"/>
      <w:r w:rsidRPr="00747E35">
        <w:rPr>
          <w:rFonts w:asciiTheme="minorHAnsi" w:hAnsiTheme="minorHAnsi" w:cstheme="minorHAnsi"/>
        </w:rPr>
        <w:t>Acknowledgments</w:t>
      </w:r>
      <w:bookmarkEnd w:id="96"/>
      <w:bookmarkEnd w:id="97"/>
    </w:p>
    <w:p w14:paraId="00644AA5"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We appreciate constructive comments for the food web and isotope study from Professor Brian Fry and Juan Tao. Thanks to Luke Carpenter-Bundhoo, Clément Nicoud, Helena Vogler, and Songyan Yu for your field and laboratory assistance.</w:t>
      </w:r>
    </w:p>
    <w:p w14:paraId="22904B26" w14:textId="3A3CB7AB" w:rsidR="003D3694" w:rsidRPr="00747E35" w:rsidRDefault="003D3694" w:rsidP="003D3694">
      <w:pPr>
        <w:pStyle w:val="Heading2"/>
        <w:rPr>
          <w:rFonts w:asciiTheme="minorHAnsi" w:hAnsiTheme="minorHAnsi" w:cstheme="minorHAnsi"/>
        </w:rPr>
      </w:pPr>
      <w:bookmarkStart w:id="98" w:name="_Toc466450331"/>
      <w:bookmarkStart w:id="99" w:name="_Toc470004834"/>
      <w:r w:rsidRPr="00747E35">
        <w:rPr>
          <w:rFonts w:asciiTheme="minorHAnsi" w:hAnsiTheme="minorHAnsi" w:cstheme="minorHAnsi"/>
        </w:rPr>
        <w:t>General introduction</w:t>
      </w:r>
      <w:bookmarkEnd w:id="98"/>
      <w:bookmarkEnd w:id="99"/>
    </w:p>
    <w:p w14:paraId="149FB4EB" w14:textId="4FABE77F" w:rsidR="003D3694" w:rsidRPr="00747E35" w:rsidRDefault="003D3694" w:rsidP="003D3694">
      <w:pPr>
        <w:pStyle w:val="Heading3"/>
        <w:rPr>
          <w:rFonts w:asciiTheme="minorHAnsi" w:hAnsiTheme="minorHAnsi" w:cstheme="minorHAnsi"/>
        </w:rPr>
      </w:pPr>
      <w:bookmarkStart w:id="100" w:name="_Toc466450332"/>
      <w:bookmarkStart w:id="101" w:name="_Toc470004835"/>
      <w:r w:rsidRPr="00747E35">
        <w:rPr>
          <w:rFonts w:asciiTheme="minorHAnsi" w:hAnsiTheme="minorHAnsi" w:cstheme="minorHAnsi"/>
        </w:rPr>
        <w:t>Purpose of study</w:t>
      </w:r>
      <w:bookmarkEnd w:id="100"/>
      <w:bookmarkEnd w:id="101"/>
    </w:p>
    <w:p w14:paraId="4DEC6181"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This research component aims to understand how reductions in baseflow affect the structure and function of surface and hyporheic environments in intermittent and perennial streams. We examine the effects of reduced baseflow permanence on organic carbon cycling (litter and cellulose processing), the composition of benthic invertebrate and fish assemblages, and cycling of carbon and nitrogen through food-webs (using stable isotopes). The effect of reduced baseflow permanence is investigated by sampling in wet and dry periods and among streams of varying degrees of intermittency. The work was conducted in two field locations (upper Bremer River and Maules Creek catchments).</w:t>
      </w:r>
    </w:p>
    <w:p w14:paraId="00656C4E" w14:textId="40C94B17" w:rsidR="003D3694" w:rsidRPr="00747E35" w:rsidRDefault="003D3694" w:rsidP="003D3694">
      <w:pPr>
        <w:pStyle w:val="Heading3"/>
        <w:rPr>
          <w:rFonts w:asciiTheme="minorHAnsi" w:hAnsiTheme="minorHAnsi" w:cstheme="minorHAnsi"/>
        </w:rPr>
      </w:pPr>
      <w:bookmarkStart w:id="102" w:name="_Toc466450333"/>
      <w:bookmarkStart w:id="103" w:name="_Toc470004836"/>
      <w:r w:rsidRPr="00747E35">
        <w:rPr>
          <w:rFonts w:asciiTheme="minorHAnsi" w:hAnsiTheme="minorHAnsi" w:cstheme="minorHAnsi"/>
        </w:rPr>
        <w:t>Background</w:t>
      </w:r>
      <w:bookmarkEnd w:id="102"/>
      <w:bookmarkEnd w:id="103"/>
    </w:p>
    <w:p w14:paraId="4DF8A907" w14:textId="1340DAEE"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Baseflow is the component of total stream and river flow that is derived from </w:t>
      </w:r>
      <w:r w:rsidR="006B2C7A">
        <w:rPr>
          <w:rFonts w:asciiTheme="minorHAnsi" w:hAnsiTheme="minorHAnsi" w:cstheme="minorHAnsi"/>
        </w:rPr>
        <w:t>subsurface</w:t>
      </w:r>
      <w:r w:rsidRPr="00747E35">
        <w:rPr>
          <w:rFonts w:asciiTheme="minorHAnsi" w:hAnsiTheme="minorHAnsi" w:cstheme="minorHAnsi"/>
        </w:rPr>
        <w:t xml:space="preserve"> sources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&lt;EndNote&gt;&lt;Cite&gt;&lt;Author&gt;Boulton&lt;/Author&gt;&lt;Year&gt;2006&lt;/Year&gt;&lt;RecNum&gt;1350&lt;/RecNum&gt;&lt;DisplayText&gt;(Boulton and Hancock, 2006)&lt;/DisplayText&gt;&lt;record&gt;&lt;rec-number&gt;1350&lt;/rec-number&gt;&lt;foreign-keys&gt;&lt;key app="EN" db-id="f09zwdf26xeasaevvsjxv00h9rx2v9xarfsw" timestamp="1478127319"&gt;1350&lt;/key&gt;&lt;/foreign-keys&gt;&lt;ref-type name="Journal Article"&gt;17&lt;/ref-type&gt;&lt;contributors&gt;&lt;authors&gt;&lt;author&gt;Boulton, A. J.&lt;/author&gt;&lt;author&gt;Hancock, P. J.&lt;/author&gt;&lt;/authors&gt;&lt;/contributors&gt;&lt;titles&gt;&lt;title&gt;Rivers as groundwater-dependent ecosystems: a review of degrees of dependency, riverine processes and management implications&lt;/title&gt;&lt;secondary-title&gt;Australian Journal of Botany&lt;/secondary-title&gt;&lt;/titles&gt;&lt;periodical&gt;&lt;full-title&gt;Australian Journal of Botany&lt;/full-title&gt;&lt;/periodical&gt;&lt;pages&gt;133-144&lt;/pages&gt;&lt;volume&gt;54&lt;/volume&gt;&lt;number&gt;2&lt;/number&gt;&lt;dates&gt;&lt;year&gt;2006&lt;/year&gt;&lt;/dates&gt;&lt;urls&gt;&lt;related-urls&gt;&lt;url&gt;http://www.publish.csiro.au/paper/BT05074&lt;/url&gt;&lt;/related-urls&gt;&lt;/urls&gt;&lt;electronic-resource-num&gt;http://dx.doi.org/10.1071/BT05074&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(Boulton and Hancock, 2006)</w:t>
      </w:r>
      <w:r w:rsidRPr="00747E35">
        <w:rPr>
          <w:rFonts w:asciiTheme="minorHAnsi" w:hAnsiTheme="minorHAnsi" w:cstheme="minorHAnsi"/>
        </w:rPr>
        <w:fldChar w:fldCharType="end"/>
      </w:r>
      <w:r w:rsidRPr="00747E35">
        <w:rPr>
          <w:rFonts w:asciiTheme="minorHAnsi" w:hAnsiTheme="minorHAnsi" w:cstheme="minorHAnsi"/>
        </w:rPr>
        <w:t xml:space="preserve">, and thus is most apparent during periods of reduced surface runoff. Baseflow sources include groundwater, bank-storage and unsaturated lateral inflows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&lt;EndNote&gt;&lt;Cite&gt;&lt;Author&gt;Hatton&lt;/Author&gt;&lt;Year&gt;1998&lt;/Year&gt;&lt;RecNum&gt;1357&lt;/RecNum&gt;&lt;DisplayText&gt;(Hatton and Evans, 1998)&lt;/DisplayText&gt;&lt;record&gt;&lt;rec-number&gt;1357&lt;/rec-number&gt;&lt;foreign-keys&gt;&lt;key app="EN" db-id="f09zwdf26xeasaevvsjxv00h9rx2v9xarfsw" timestamp="1478229762"&gt;1357&lt;/key&gt;&lt;/foreign-keys&gt;&lt;ref-type name="Report"&gt;27&lt;/ref-type&gt;&lt;contributors&gt;&lt;authors&gt;&lt;author&gt;Hatton, T.&lt;/author&gt;&lt;author&gt;Evans, R.&lt;/author&gt;&lt;/authors&gt;&lt;tertiary-authors&gt;&lt;author&gt;Land and Water Resources Research and Development Corporation, CSIRO Australia&lt;/author&gt;&lt;/tertiary-authors&gt;&lt;/contributors&gt;&lt;titles&gt;&lt;title&gt;Dependence of ecosystems on groundwater and its significance to Australia&lt;/title&gt;&lt;secondary-title&gt;Occasional Paper No. 12/98&lt;/secondary-title&gt;&lt;/titles&gt;&lt;dates&gt;&lt;year&gt;1998&lt;/year&gt;&lt;/dates&gt;&lt;publisher&gt;Land and Water Resources Research and Development Corporation, CSIRO Australia&lt;/publisher&gt;&lt;urls&gt;&lt;/urls&gt;&lt;/record&gt;&lt;/Cite&gt;&lt;/EndNote&gt;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(Hatton and Evans, 1998)</w:t>
      </w:r>
      <w:r w:rsidRPr="00747E35">
        <w:rPr>
          <w:rFonts w:asciiTheme="minorHAnsi" w:hAnsiTheme="minorHAnsi" w:cstheme="minorHAnsi"/>
        </w:rPr>
        <w:fldChar w:fldCharType="end"/>
      </w:r>
      <w:r w:rsidRPr="00747E35">
        <w:rPr>
          <w:rFonts w:asciiTheme="minorHAnsi" w:hAnsiTheme="minorHAnsi" w:cstheme="minorHAnsi"/>
        </w:rPr>
        <w:t xml:space="preserve">, but baseflow is generally dominated by groundwater. Baseflow contributions to rivers can strongly influence their hydrologic characteristics, by either helping to maintain permanent flow and/or decreasing the duration of cease-to-flow periods between rainfall events, on a regular basis or during extreme droughts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&lt;EndNote&gt;&lt;Cite&gt;&lt;Author&gt;Hall&lt;/Author&gt;&lt;Year&gt;1968&lt;/Year&gt;&lt;RecNum&gt;1358&lt;/RecNum&gt;&lt;DisplayText&gt;(Hall, 1968; Tallaksen, 1995)&lt;/DisplayText&gt;&lt;record&gt;&lt;rec-number&gt;1358&lt;/rec-number&gt;&lt;foreign-keys&gt;&lt;key app="EN" db-id="f09zwdf26xeasaevvsjxv00h9rx2v9xarfsw" timestamp="1478230330"&gt;1358&lt;/key&gt;&lt;/foreign-keys&gt;&lt;ref-type name="Journal Article"&gt;17&lt;/ref-type&gt;&lt;contributors&gt;&lt;authors&gt;&lt;author&gt;Hall, Francis R.&lt;/author&gt;&lt;/authors&gt;&lt;/contributors&gt;&lt;titles&gt;&lt;title&gt;Base-Flow Recessions—A Review&lt;/title&gt;&lt;secondary-title&gt;Water Resources Research&lt;/secondary-title&gt;&lt;/titles&gt;&lt;periodical&gt;&lt;full-title&gt;Water Resources Research&lt;/full-title&gt;&lt;/periodical&gt;&lt;pages&gt;973-983&lt;/pages&gt;&lt;volume&gt;4&lt;/volume&gt;&lt;number&gt;5&lt;/number&gt;&lt;keywords&gt;&lt;keyword&gt;Base flow&lt;/keyword&gt;&lt;keyword&gt;drainage basin characteristics&lt;/keyword&gt;&lt;/keywords&gt;&lt;dates&gt;&lt;year&gt;1968&lt;/year&gt;&lt;/dates&gt;&lt;isbn&gt;1944-7973&lt;/isbn&gt;&lt;urls&gt;&lt;related-urls&gt;&lt;url&gt;http://dx.doi.org/10.1029/WR004i005p00973&lt;/url&gt;&lt;/related-urls&gt;&lt;/urls&gt;&lt;electronic-resource-num&gt;10.1029/WR004i005p00973&lt;/electronic-resource-num&gt;&lt;/record&gt;&lt;/Cite&gt;&lt;Cite&gt;&lt;Author&gt;Tallaksen&lt;/Author&gt;&lt;Year&gt;1995&lt;/Year&gt;&lt;RecNum&gt;1359&lt;/RecNum&gt;&lt;record&gt;&lt;rec-number&gt;1359&lt;/rec-number&gt;&lt;foreign-keys&gt;&lt;key app="EN" db-id="f09zwdf26xeasaevvsjxv00h9rx2v9xarfsw" timestamp="1478230544"&gt;1359&lt;/key&gt;&lt;/foreign-keys&gt;&lt;ref-type name="Journal Article"&gt;17&lt;/ref-type&gt;&lt;contributors&gt;&lt;authors&gt;&lt;author&gt;Tallaksen, L. M.&lt;/author&gt;&lt;/authors&gt;&lt;/contributors&gt;&lt;titles&gt;&lt;title&gt;A review of baseflow recession analysis&lt;/title&gt;&lt;secondary-title&gt;Journal of Hydrology&lt;/secondary-title&gt;&lt;/titles&gt;&lt;periodical&gt;&lt;full-title&gt;Journal of Hydrology&lt;/full-title&gt;&lt;/periodical&gt;&lt;pages&gt;349-370&lt;/pages&gt;&lt;volume&gt;165&lt;/volume&gt;&lt;number&gt;1&lt;/number&gt;&lt;dates&gt;&lt;year&gt;1995&lt;/year&gt;&lt;pub-dates&gt;&lt;date&gt;1995/02/01&lt;/date&gt;&lt;/pub-dates&gt;&lt;/dates&gt;&lt;isbn&gt;0022-1694&lt;/isbn&gt;&lt;urls&gt;&lt;related-urls&gt;&lt;url&gt;http://www.sciencedirect.com/science/article/pii/002216949402540R&lt;/url&gt;&lt;/related-urls&gt;&lt;/urls&gt;&lt;electronic-resource-num&gt;http://dx.doi.org/10.1016/0022-1694(94)02540-R&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(Hall, 1968; Tallaksen, 1995)</w:t>
      </w:r>
      <w:r w:rsidRPr="00747E35">
        <w:rPr>
          <w:rFonts w:asciiTheme="minorHAnsi" w:hAnsiTheme="minorHAnsi" w:cstheme="minorHAnsi"/>
        </w:rPr>
        <w:fldChar w:fldCharType="end"/>
      </w:r>
      <w:r w:rsidRPr="00747E35">
        <w:rPr>
          <w:rFonts w:asciiTheme="minorHAnsi" w:hAnsiTheme="minorHAnsi" w:cstheme="minorHAnsi"/>
        </w:rPr>
        <w:t xml:space="preserve">. Baseflows play a pivotal role in maintaining river ecosystems during dry periods, and while it is not only rivers with a high baseflow contribution that may be considered groundwater dependent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&lt;EndNote&gt;&lt;Cite&gt;&lt;Author&gt;Boulton&lt;/Author&gt;&lt;Year&gt;2006&lt;/Year&gt;&lt;RecNum&gt;1350&lt;/RecNum&gt;&lt;DisplayText&gt;(Boulton and Hancock, 2006)&lt;/DisplayText&gt;&lt;record&gt;&lt;rec-number&gt;1350&lt;/rec-number&gt;&lt;foreign-keys&gt;&lt;key app="EN" db-id="f09zwdf26xeasaevvsjxv00h9rx2v9xarfsw" timestamp="1478127319"&gt;1350&lt;/key&gt;&lt;/foreign-keys&gt;&lt;ref-type name="Journal Article"&gt;17&lt;/ref-type&gt;&lt;contributors&gt;&lt;authors&gt;&lt;author&gt;Boulton, A. J.&lt;/author&gt;&lt;author&gt;Hancock, P. J.&lt;/author&gt;&lt;/authors&gt;&lt;/contributors&gt;&lt;titles&gt;&lt;title&gt;Rivers as groundwater-dependent ecosystems: a review of degrees of dependency, riverine processes and management implications&lt;/title&gt;&lt;secondary-title&gt;Australian Journal of Botany&lt;/secondary-title&gt;&lt;/titles&gt;&lt;periodical&gt;&lt;full-title&gt;Australian Journal of Botany&lt;/full-title&gt;&lt;/periodical&gt;&lt;pages&gt;133-144&lt;/pages&gt;&lt;volume&gt;54&lt;/volume&gt;&lt;number&gt;2&lt;/number&gt;&lt;dates&gt;&lt;year&gt;2006&lt;/year&gt;&lt;/dates&gt;&lt;urls&gt;&lt;related-urls&gt;&lt;url&gt;http://www.publish.csiro.au/paper/BT05074&lt;/url&gt;&lt;/related-urls&gt;&lt;/urls&gt;&lt;electronic-resource-num&gt;http://dx.doi.org/10.1071/BT05074&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(Boulton and Hancock, 2006)</w:t>
      </w:r>
      <w:r w:rsidRPr="00747E35">
        <w:rPr>
          <w:rFonts w:asciiTheme="minorHAnsi" w:hAnsiTheme="minorHAnsi" w:cstheme="minorHAnsi"/>
        </w:rPr>
        <w:fldChar w:fldCharType="end"/>
      </w:r>
      <w:r w:rsidRPr="00747E35">
        <w:rPr>
          <w:rFonts w:asciiTheme="minorHAnsi" w:hAnsiTheme="minorHAnsi" w:cstheme="minorHAnsi"/>
        </w:rPr>
        <w:t xml:space="preserve">, the ecological reliance on baseflows may also provide a rough indicator of groundwater dependency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&lt;EndNote&gt;&lt;Cite&gt;&lt;Author&gt;Hatton&lt;/Author&gt;&lt;Year&gt;1998&lt;/Year&gt;&lt;RecNum&gt;1357&lt;/RecNum&gt;&lt;DisplayText&gt;(Hatton and Evans, 1998)&lt;/DisplayText&gt;&lt;record&gt;&lt;rec-number&gt;1357&lt;/rec-number&gt;&lt;foreign-keys&gt;&lt;key app="EN" db-id="f09zwdf26xeasaevvsjxv00h9rx2v9xarfsw" timestamp="1478229762"&gt;1357&lt;/key&gt;&lt;/foreign-keys&gt;&lt;ref-type name="Report"&gt;27&lt;/ref-type&gt;&lt;contributors&gt;&lt;authors&gt;&lt;author&gt;Hatton, T.&lt;/author&gt;&lt;author&gt;Evans, R.&lt;/author&gt;&lt;/authors&gt;&lt;tertiary-authors&gt;&lt;author&gt;Land and Water Resources Research and Development Corporation, CSIRO Australia&lt;/author&gt;&lt;/tertiary-authors&gt;&lt;/contributors&gt;&lt;titles&gt;&lt;title&gt;Dependence of ecosystems on groundwater and its significance to Australia&lt;/title&gt;&lt;secondary-title&gt;Occasional Paper No. 12/98&lt;/secondary-title&gt;&lt;/titles&gt;&lt;dates&gt;&lt;year&gt;1998&lt;/year&gt;&lt;/dates&gt;&lt;publisher&gt;Land and Water Resources Research and Development Corporation, CSIRO Australia&lt;/publisher&gt;&lt;urls&gt;&lt;/urls&gt;&lt;/record&gt;&lt;/Cite&gt;&lt;/EndNote&gt;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(Hatton and Evans, 1998)</w:t>
      </w:r>
      <w:r w:rsidRPr="00747E35">
        <w:rPr>
          <w:rFonts w:asciiTheme="minorHAnsi" w:hAnsiTheme="minorHAnsi" w:cstheme="minorHAnsi"/>
        </w:rPr>
        <w:fldChar w:fldCharType="end"/>
      </w:r>
      <w:r w:rsidRPr="00747E35">
        <w:rPr>
          <w:rFonts w:asciiTheme="minorHAnsi" w:hAnsiTheme="minorHAnsi" w:cstheme="minorHAnsi"/>
        </w:rPr>
        <w:t xml:space="preserve">. </w:t>
      </w:r>
    </w:p>
    <w:p w14:paraId="57795054" w14:textId="32DB2B91" w:rsidR="003D3694" w:rsidRPr="00747E35" w:rsidRDefault="003D3694" w:rsidP="003D3694">
      <w:pPr>
        <w:rPr>
          <w:rFonts w:asciiTheme="minorHAnsi" w:hAnsiTheme="minorHAnsi" w:cstheme="minorHAnsi"/>
        </w:rPr>
      </w:pPr>
      <w:r w:rsidRPr="00747E35">
        <w:rPr>
          <w:rFonts w:asciiTheme="minorHAnsi" w:hAnsiTheme="minorHAnsi" w:cstheme="minorHAnsi"/>
        </w:rPr>
        <w:lastRenderedPageBreak/>
        <w:t xml:space="preserve">Low-flow periods are ecologically important components of the hydrological cycle of all river systems </w:t>
      </w:r>
      <w:r w:rsidRPr="00747E35">
        <w:rPr>
          <w:rFonts w:asciiTheme="minorHAnsi" w:hAnsiTheme="minorHAnsi" w:cstheme="minorHAnsi"/>
        </w:rPr>
        <w:fldChar w:fldCharType="begin">
          <w:fldData xml:space="preserve">PEVuZE5vdGU+PENpdGU+PEF1dGhvcj5LaW5nPC9BdXRob3I+PFllYXI+MjAxNTwvWWVhcj48UmVj
TnVtPjEzNzY8L1JlY051bT48RGlzcGxheVRleHQ+KFBvZmY8c3R5bGUgZmFjZT0iaXRhbGljIj4g
ZXQgYWwuPC9zdHlsZT4sIDE5OTc7IEJ1bm4gYW5kIEFydGhpbmd0b24sIDIwMDI7IFJvbGxzPHN0
eWxlIGZhY2U9Iml0YWxpYyI+IGV0IGFsLjwvc3R5bGU+LCAyMDEyOyBLaW5nPHN0eWxlIGZhY2U9
Iml0YWxpYyI+IGV0IGFsLjwvc3R5bGU+LCAyMDE1KTwvRGlzcGxheVRleHQ+PHJlY29yZD48cmVj
LW51bWJlcj4xMzc2PC9yZWMtbnVtYmVyPjxmb3JlaWduLWtleXM+PGtleSBhcHA9IkVOIiBkYi1p
ZD0iZjA5endkZjI2eGVhc2FldnZzanh2MDBoOXJ4MnY5eGFyZnN3IiB0aW1lc3RhbXA9IjE0Nzgy
MzI2NDYiPjEzNzY8L2tleT48L2ZvcmVpZ24ta2V5cz48cmVmLXR5cGUgbmFtZT0iSm91cm5hbCBB
cnRpY2xlIj4xNzwvcmVmLXR5cGU+PGNvbnRyaWJ1dG9ycz48YXV0aG9ycz48YXV0aG9yPktpbmcs
IEEuIEouPC9hdXRob3I+PGF1dGhvcj5Ub3duc2VuZCwgUy4gQS48L2F1dGhvcj48YXV0aG9yPkRv
dWdsYXMsIE0uIE0uPC9hdXRob3I+PGF1dGhvcj5LZW5uYXJkLCBNLiBKLjwvYXV0aG9yPjwvYXV0
aG9ycz48L2NvbnRyaWJ1dG9ycz48dGl0bGVzPjx0aXRsZT5JbXBsaWNhdGlvbnMgb2Ygd2F0ZXIg
ZXh0cmFjdGlvbiBvbiB0aGUgbG93LWZsb3cgaHlkcm9sb2d5IGFuZCBlY29sb2d5IG9mIHRyb3Bp
Y2FsIHNhdmFubmFoIHJpdmVyczogQW4gYXBwcmFpc2FsIGZvciBub3J0aGVybiBBdXN0cmFsaWE8
L3RpdGxlPjxzZWNvbmRhcnktdGl0bGU+RnJlc2h3YXRlciBTY2llbmNlPC9zZWNvbmRhcnktdGl0
bGU+PC90aXRsZXM+PHBlcmlvZGljYWw+PGZ1bGwtdGl0bGU+RnJlc2h3YXRlciBTY2llbmNlPC9m
dWxsLXRpdGxlPjwvcGVyaW9kaWNhbD48cGFnZXM+NzQxLTc1ODwvcGFnZXM+PHZvbHVtZT4zNDwv
dm9sdW1lPjxudW1iZXI+MjwvbnVtYmVyPjxkYXRlcz48eWVhcj4yMDE1PC95ZWFyPjwvZGF0ZXM+
PHdvcmstdHlwZT5BcnRpY2xlPC93b3JrLXR5cGU+PHVybHM+PHJlbGF0ZWQtdXJscz48dXJsPmh0
dHBzOi8vd3d3LnNjb3B1cy5jb20vaW53YXJkL3JlY29yZC51cmk/ZWlkPTItczIuMC04NDk1Mzcx
MDE2OSZhbXA7cGFydG5lcklEPTQwJmFtcDttZDU9ZDc4Yjg0ZGU1YTYxMGZhZjhlNjJlYmRiMDli
MzQzYzk8L3VybD48L3JlbGF0ZWQtdXJscz48L3VybHM+PGVsZWN0cm9uaWMtcmVzb3VyY2UtbnVt
PjEwLjEwODYvNjgxMzAyPC9lbGVjdHJvbmljLXJlc291cmNlLW51bT48cmVtb3RlLWRhdGFiYXNl
LW5hbWU+U2NvcHVzPC9yZW1vdGUtZGF0YWJhc2UtbmFtZT48L3JlY29yZD48L0NpdGU+PENpdGU+
PEF1dGhvcj5Qb2ZmPC9BdXRob3I+PFllYXI+MTk5NzwvWWVhcj48UmVjTnVtPjEzNjE8L1JlY051
bT48cmVjb3JkPjxyZWMtbnVtYmVyPjEzNjE8L3JlYy1udW1iZXI+PGZvcmVpZ24ta2V5cz48a2V5
IGFwcD0iRU4iIGRiLWlkPSJmMDl6d2RmMjZ4ZWFzYWV2dnNqeHYwMGg5cngydjl4YXJmc3ciIHRp
bWVzdGFtcD0iMTQ3ODIzMTAzMSI+MTM2MTwva2V5PjwvZm9yZWlnbi1rZXlzPjxyZWYtdHlwZSBu
YW1lPSJKb3VybmFsIEFydGljbGUiPjE3PC9yZWYtdHlwZT48Y29udHJpYnV0b3JzPjxhdXRob3Jz
PjxhdXRob3I+UG9mZiwgTi4gTC48L2F1dGhvcj48YXV0aG9yPkFsbGFuLCBKLiBELjwvYXV0aG9y
PjxhdXRob3I+QmFpbiwgTS4gQi48L2F1dGhvcj48YXV0aG9yPkthcnIsIEouIFIuPC9hdXRob3I+
PGF1dGhvcj5QcmVzdGVnYWFyZCwgSy4gTC48L2F1dGhvcj48YXV0aG9yPlJpY2h0ZXIsIEIuIEQu
PC9hdXRob3I+PGF1dGhvcj5TcGFya3MsIFIuIEUuPC9hdXRob3I+PGF1dGhvcj5TdHJvbWJlcmcs
IEouIEMuPC9hdXRob3I+PC9hdXRob3JzPjwvY29udHJpYnV0b3JzPjx0aXRsZXM+PHRpdGxlPlRo
ZSBuYXR1cmFsIGZsb3cgcmVnaW1lOiBBIHBhcmFkaWdtIGZvciByaXZlciBjb25zZXJ2YXRpb24g
YW5kIHJlc3RvcmF0aW9uPC90aXRsZT48c2Vjb25kYXJ5LXRpdGxlPkJpb1NjaWVuY2U8L3NlY29u
ZGFyeS10aXRsZT48L3RpdGxlcz48cGVyaW9kaWNhbD48ZnVsbC10aXRsZT5CaW9TY2llbmNlPC9m
dWxsLXRpdGxlPjwvcGVyaW9kaWNhbD48cGFnZXM+NzY5LTc4NDwvcGFnZXM+PHZvbHVtZT40Nzwv
dm9sdW1lPjxudW1iZXI+MTE8L251bWJlcj48ZGF0ZXM+PHllYXI+MTk5NzwveWVhcj48L2RhdGVz
Pjx3b3JrLXR5cGU+QXJ0aWNsZTwvd29yay10eXBlPjx1cmxzPjxyZWxhdGVkLXVybHM+PHVybD5o
dHRwczovL3d3dy5zY29wdXMuY29tL2lud2FyZC9yZWNvcmQudXJpP2VpZD0yLXMyLjAtMDAzMDgw
NjY0NCZhbXA7cGFydG5lcklEPTQwJmFtcDttZDU9MGFlYzU4YzU2ZWM0MmM0YTc3Yzc5ZTVlZmY2
MTk0ZTc8L3VybD48L3JlbGF0ZWQtdXJscz48L3VybHM+PHJlbW90ZS1kYXRhYmFzZS1uYW1lPlNj
b3B1czwvcmVtb3RlLWRhdGFiYXNlLW5hbWU+PC9yZWNvcmQ+PC9DaXRlPjxDaXRlPjxBdXRob3I+
QnVubjwvQXV0aG9yPjxZZWFyPjIwMDI8L1llYXI+PFJlY051bT4xMzYwPC9SZWNOdW0+PHJlY29y
ZD48cmVjLW51bWJlcj4xMzYwPC9yZWMtbnVtYmVyPjxmb3JlaWduLWtleXM+PGtleSBhcHA9IkVO
IiBkYi1pZD0iZjA5endkZjI2eGVhc2FldnZzanh2MDBoOXJ4MnY5eGFyZnN3IiB0aW1lc3RhbXA9
IjE0NzgyMzA4NjQiPjEzNjA8L2tleT48L2ZvcmVpZ24ta2V5cz48cmVmLXR5cGUgbmFtZT0iSm91
cm5hbCBBcnRpY2xlIj4xNzwvcmVmLXR5cGU+PGNvbnRyaWJ1dG9ycz48YXV0aG9ycz48YXV0aG9y
PkJ1bm4sIFN0dWFydCBFLjwvYXV0aG9yPjxhdXRob3I+QXJ0aGluZ3RvbiwgQW5nZWxhIEguPC9h
dXRob3I+PC9hdXRob3JzPjwvY29udHJpYnV0b3JzPjx0aXRsZXM+PHRpdGxlPkJhc2ljIHByaW5j
aXBsZXMgYW5kIGVjb2xvZ2ljYWwgY29uc2VxdWVuY2VzIG9mIGFsdGVyZWQgZmxvdyByZWdpbWVz
IGZvciBhcXVhdGljIGJpb2RpdmVyc2l0eTwvdGl0bGU+PHNlY29uZGFyeS10aXRsZT5FbnZpcm9u
bWVudGFsIE1hbmFnZW1lbnQ8L3NlY29uZGFyeS10aXRsZT48L3RpdGxlcz48cGVyaW9kaWNhbD48
ZnVsbC10aXRsZT5FbnZpcm9ubWVudGFsIE1hbmFnZW1lbnQ8L2Z1bGwtdGl0bGU+PC9wZXJpb2Rp
Y2FsPjxwYWdlcz40OTItNTA3PC9wYWdlcz48dm9sdW1lPjMwPC92b2x1bWU+PG51bWJlcj40PC9u
dW1iZXI+PGRhdGVzPjx5ZWFyPjIwMDI8L3llYXI+PC9kYXRlcz48aXNibj4xNDMyLTEwMDk8L2lz
Ym4+PGxhYmVsPkJVTk4yMDAyPC9sYWJlbD48d29yay10eXBlPmpvdXJuYWwgYXJ0aWNsZTwvd29y
ay10eXBlPjx1cmxzPjxyZWxhdGVkLXVybHM+PHVybD5odHRwOi8vZHguZG9pLm9yZy8xMC4xMDA3
L3MwMDI2Ny0wMDItMjczNy0wPC91cmw+PC9yZWxhdGVkLXVybHM+PC91cmxzPjxlbGVjdHJvbmlj
LXJlc291cmNlLW51bT4xMC4xMDA3L3MwMDI2Ny0wMDItMjczNy0wPC9lbGVjdHJvbmljLXJlc291
cmNlLW51bT48L3JlY29yZD48L0NpdGU+PENpdGU+PEF1dGhvcj5Sb2xsczwvQXV0aG9yPjxZZWFy
PjIwMTI8L1llYXI+PFJlY051bT4xMzEwPC9SZWNOdW0+PHJlY29yZD48cmVjLW51bWJlcj4xMzEw
PC9yZWMtbnVtYmVyPjxmb3JlaWduLWtleXM+PGtleSBhcHA9IkVOIiBkYi1pZD0iZjA5endkZjI2
eGVhc2FldnZzanh2MDBoOXJ4MnY5eGFyZnN3IiB0aW1lc3RhbXA9IjE0NzY5MjA5NjgiPjEzMTA8
L2tleT48L2ZvcmVpZ24ta2V5cz48cmVmLXR5cGUgbmFtZT0iSm91cm5hbCBBcnRpY2xlIj4xNzwv
cmVmLXR5cGU+PGNvbnRyaWJ1dG9ycz48YXV0aG9ycz48YXV0aG9yPlJvYmVydCBKLiBSb2xsczwv
YXV0aG9yPjxhdXRob3I+Q2F0aGVyaW5lIExlaWdoPC9hdXRob3I+PGF1dGhvcj5GcmFuIFNoZWxk
b248L2F1dGhvcj48L2F1dGhvcnM+PC9jb250cmlidXRvcnM+PHRpdGxlcz48dGl0bGU+TWVjaGFu
aXN0aWMgZWZmZWN0cyBvZiBsb3ctZmxvdyBoeWRyb2xvZ3kgb24gcml2ZXJpbmUgZWNvc3lzdGVt
czogZWNvbG9naWNhbCBwcmluY2lwbGVzIGFuZCBjb25zZXF1ZW5jZXMgb2YgYWx0ZXJhdGlvbjwv
dGl0bGU+PHNlY29uZGFyeS10aXRsZT5GcmVzaHdhdGVyIFNjaWVuY2U8L3NlY29uZGFyeS10aXRs
ZT48L3RpdGxlcz48cGVyaW9kaWNhbD48ZnVsbC10aXRsZT5GcmVzaHdhdGVyIFNjaWVuY2U8L2Z1
bGwtdGl0bGU+PC9wZXJpb2RpY2FsPjxwYWdlcz4xMTYzLTExODY8L3BhZ2VzPjx2b2x1bWU+MzE8
L3ZvbHVtZT48bnVtYmVyPjQ8L251bWJlcj48a2V5d29yZHM+PGtleXdvcmQ+ZmxvdyByZWdpbWUs
bG93IGZsb3csZHJvdWdodCxoYWJpdGF0LGZvb2Qgd2ViLGNhcnJ5aW5nIGNhcGFjaXR5LGNvbm5l
Y3Rpdml0eSxtZXRhcG9wdWxhdGlvbixyZWZ1Z2lhLGJpb2RpdmVyc2l0eSx0cm9waGljIGNhc2Nh
ZGVzLGJpb2xvZ2ljYWwgdHJhaXRzPC9rZXl3b3JkPjwva2V5d29yZHM+PGRhdGVzPjx5ZWFyPjIw
MTI8L3llYXI+PC9kYXRlcz48dXJscz48cmVsYXRlZC11cmxzPjx1cmw+aHR0cDovL3d3dy5qb3Vy
bmFscy51Y2hpY2Fnby5lZHUvZG9pL2Ficy8xMC4xODk5LzEyLTAwMi4xPC91cmw+PC9yZWxhdGVk
LXVybHM+PC91cmxzPjxlbGVjdHJvbmljLXJlc291cmNlLW51bT5kb2k6MTAuMTg5OS8xMi0wMDIu
MTwvZWxlY3Ryb25pYy1yZXNvdXJjZS1udW0+PC9yZWNvcmQ+PC9DaXRlPjwvRW5kTm90ZT5=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PEVuZE5vdGU+PENpdGU+PEF1dGhvcj5LaW5nPC9BdXRob3I+PFllYXI+MjAxNTwvWWVhcj48UmVj
TnVtPjEzNzY8L1JlY051bT48RGlzcGxheVRleHQ+KFBvZmY8c3R5bGUgZmFjZT0iaXRhbGljIj4g
ZXQgYWwuPC9zdHlsZT4sIDE5OTc7IEJ1bm4gYW5kIEFydGhpbmd0b24sIDIwMDI7IFJvbGxzPHN0
eWxlIGZhY2U9Iml0YWxpYyI+IGV0IGFsLjwvc3R5bGU+LCAyMDEyOyBLaW5nPHN0eWxlIGZhY2U9
Iml0YWxpYyI+IGV0IGFsLjwvc3R5bGU+LCAyMDE1KTwvRGlzcGxheVRleHQ+PHJlY29yZD48cmVj
LW51bWJlcj4xMzc2PC9yZWMtbnVtYmVyPjxmb3JlaWduLWtleXM+PGtleSBhcHA9IkVOIiBkYi1p
ZD0iZjA5endkZjI2eGVhc2FldnZzanh2MDBoOXJ4MnY5eGFyZnN3IiB0aW1lc3RhbXA9IjE0Nzgy
MzI2NDYiPjEzNzY8L2tleT48L2ZvcmVpZ24ta2V5cz48cmVmLXR5cGUgbmFtZT0iSm91cm5hbCBB
cnRpY2xlIj4xNzwvcmVmLXR5cGU+PGNvbnRyaWJ1dG9ycz48YXV0aG9ycz48YXV0aG9yPktpbmcs
IEEuIEouPC9hdXRob3I+PGF1dGhvcj5Ub3duc2VuZCwgUy4gQS48L2F1dGhvcj48YXV0aG9yPkRv
dWdsYXMsIE0uIE0uPC9hdXRob3I+PGF1dGhvcj5LZW5uYXJkLCBNLiBKLjwvYXV0aG9yPjwvYXV0
aG9ycz48L2NvbnRyaWJ1dG9ycz48dGl0bGVzPjx0aXRsZT5JbXBsaWNhdGlvbnMgb2Ygd2F0ZXIg
ZXh0cmFjdGlvbiBvbiB0aGUgbG93LWZsb3cgaHlkcm9sb2d5IGFuZCBlY29sb2d5IG9mIHRyb3Bp
Y2FsIHNhdmFubmFoIHJpdmVyczogQW4gYXBwcmFpc2FsIGZvciBub3J0aGVybiBBdXN0cmFsaWE8
L3RpdGxlPjxzZWNvbmRhcnktdGl0bGU+RnJlc2h3YXRlciBTY2llbmNlPC9zZWNvbmRhcnktdGl0
bGU+PC90aXRsZXM+PHBlcmlvZGljYWw+PGZ1bGwtdGl0bGU+RnJlc2h3YXRlciBTY2llbmNlPC9m
dWxsLXRpdGxlPjwvcGVyaW9kaWNhbD48cGFnZXM+NzQxLTc1ODwvcGFnZXM+PHZvbHVtZT4zNDwv
dm9sdW1lPjxudW1iZXI+MjwvbnVtYmVyPjxkYXRlcz48eWVhcj4yMDE1PC95ZWFyPjwvZGF0ZXM+
PHdvcmstdHlwZT5BcnRpY2xlPC93b3JrLXR5cGU+PHVybHM+PHJlbGF0ZWQtdXJscz48dXJsPmh0
dHBzOi8vd3d3LnNjb3B1cy5jb20vaW53YXJkL3JlY29yZC51cmk/ZWlkPTItczIuMC04NDk1Mzcx
MDE2OSZhbXA7cGFydG5lcklEPTQwJmFtcDttZDU9ZDc4Yjg0ZGU1YTYxMGZhZjhlNjJlYmRiMDli
MzQzYzk8L3VybD48L3JlbGF0ZWQtdXJscz48L3VybHM+PGVsZWN0cm9uaWMtcmVzb3VyY2UtbnVt
PjEwLjEwODYvNjgxMzAyPC9lbGVjdHJvbmljLXJlc291cmNlLW51bT48cmVtb3RlLWRhdGFiYXNl
LW5hbWU+U2NvcHVzPC9yZW1vdGUtZGF0YWJhc2UtbmFtZT48L3JlY29yZD48L0NpdGU+PENpdGU+
PEF1dGhvcj5Qb2ZmPC9BdXRob3I+PFllYXI+MTk5NzwvWWVhcj48UmVjTnVtPjEzNjE8L1JlY051
bT48cmVjb3JkPjxyZWMtbnVtYmVyPjEzNjE8L3JlYy1udW1iZXI+PGZvcmVpZ24ta2V5cz48a2V5
IGFwcD0iRU4iIGRiLWlkPSJmMDl6d2RmMjZ4ZWFzYWV2dnNqeHYwMGg5cngydjl4YXJmc3ciIHRp
bWVzdGFtcD0iMTQ3ODIzMTAzMSI+MTM2MTwva2V5PjwvZm9yZWlnbi1rZXlzPjxyZWYtdHlwZSBu
YW1lPSJKb3VybmFsIEFydGljbGUiPjE3PC9yZWYtdHlwZT48Y29udHJpYnV0b3JzPjxhdXRob3Jz
PjxhdXRob3I+UG9mZiwgTi4gTC48L2F1dGhvcj48YXV0aG9yPkFsbGFuLCBKLiBELjwvYXV0aG9y
PjxhdXRob3I+QmFpbiwgTS4gQi48L2F1dGhvcj48YXV0aG9yPkthcnIsIEouIFIuPC9hdXRob3I+
PGF1dGhvcj5QcmVzdGVnYWFyZCwgSy4gTC48L2F1dGhvcj48YXV0aG9yPlJpY2h0ZXIsIEIuIEQu
PC9hdXRob3I+PGF1dGhvcj5TcGFya3MsIFIuIEUuPC9hdXRob3I+PGF1dGhvcj5TdHJvbWJlcmcs
IEouIEMuPC9hdXRob3I+PC9hdXRob3JzPjwvY29udHJpYnV0b3JzPjx0aXRsZXM+PHRpdGxlPlRo
ZSBuYXR1cmFsIGZsb3cgcmVnaW1lOiBBIHBhcmFkaWdtIGZvciByaXZlciBjb25zZXJ2YXRpb24g
YW5kIHJlc3RvcmF0aW9uPC90aXRsZT48c2Vjb25kYXJ5LXRpdGxlPkJpb1NjaWVuY2U8L3NlY29u
ZGFyeS10aXRsZT48L3RpdGxlcz48cGVyaW9kaWNhbD48ZnVsbC10aXRsZT5CaW9TY2llbmNlPC9m
dWxsLXRpdGxlPjwvcGVyaW9kaWNhbD48cGFnZXM+NzY5LTc4NDwvcGFnZXM+PHZvbHVtZT40Nzwv
dm9sdW1lPjxudW1iZXI+MTE8L251bWJlcj48ZGF0ZXM+PHllYXI+MTk5NzwveWVhcj48L2RhdGVz
Pjx3b3JrLXR5cGU+QXJ0aWNsZTwvd29yay10eXBlPjx1cmxzPjxyZWxhdGVkLXVybHM+PHVybD5o
dHRwczovL3d3dy5zY29wdXMuY29tL2lud2FyZC9yZWNvcmQudXJpP2VpZD0yLXMyLjAtMDAzMDgw
NjY0NCZhbXA7cGFydG5lcklEPTQwJmFtcDttZDU9MGFlYzU4YzU2ZWM0MmM0YTc3Yzc5ZTVlZmY2
MTk0ZTc8L3VybD48L3JlbGF0ZWQtdXJscz48L3VybHM+PHJlbW90ZS1kYXRhYmFzZS1uYW1lPlNj
b3B1czwvcmVtb3RlLWRhdGFiYXNlLW5hbWU+PC9yZWNvcmQ+PC9DaXRlPjxDaXRlPjxBdXRob3I+
QnVubjwvQXV0aG9yPjxZZWFyPjIwMDI8L1llYXI+PFJlY051bT4xMzYwPC9SZWNOdW0+PHJlY29y
ZD48cmVjLW51bWJlcj4xMzYwPC9yZWMtbnVtYmVyPjxmb3JlaWduLWtleXM+PGtleSBhcHA9IkVO
IiBkYi1pZD0iZjA5endkZjI2eGVhc2FldnZzanh2MDBoOXJ4MnY5eGFyZnN3IiB0aW1lc3RhbXA9
IjE0NzgyMzA4NjQiPjEzNjA8L2tleT48L2ZvcmVpZ24ta2V5cz48cmVmLXR5cGUgbmFtZT0iSm91
cm5hbCBBcnRpY2xlIj4xNzwvcmVmLXR5cGU+PGNvbnRyaWJ1dG9ycz48YXV0aG9ycz48YXV0aG9y
PkJ1bm4sIFN0dWFydCBFLjwvYXV0aG9yPjxhdXRob3I+QXJ0aGluZ3RvbiwgQW5nZWxhIEguPC9h
dXRob3I+PC9hdXRob3JzPjwvY29udHJpYnV0b3JzPjx0aXRsZXM+PHRpdGxlPkJhc2ljIHByaW5j
aXBsZXMgYW5kIGVjb2xvZ2ljYWwgY29uc2VxdWVuY2VzIG9mIGFsdGVyZWQgZmxvdyByZWdpbWVz
IGZvciBhcXVhdGljIGJpb2RpdmVyc2l0eTwvdGl0bGU+PHNlY29uZGFyeS10aXRsZT5FbnZpcm9u
bWVudGFsIE1hbmFnZW1lbnQ8L3NlY29uZGFyeS10aXRsZT48L3RpdGxlcz48cGVyaW9kaWNhbD48
ZnVsbC10aXRsZT5FbnZpcm9ubWVudGFsIE1hbmFnZW1lbnQ8L2Z1bGwtdGl0bGU+PC9wZXJpb2Rp
Y2FsPjxwYWdlcz40OTItNTA3PC9wYWdlcz48dm9sdW1lPjMwPC92b2x1bWU+PG51bWJlcj40PC9u
dW1iZXI+PGRhdGVzPjx5ZWFyPjIwMDI8L3llYXI+PC9kYXRlcz48aXNibj4xNDMyLTEwMDk8L2lz
Ym4+PGxhYmVsPkJVTk4yMDAyPC9sYWJlbD48d29yay10eXBlPmpvdXJuYWwgYXJ0aWNsZTwvd29y
ay10eXBlPjx1cmxzPjxyZWxhdGVkLXVybHM+PHVybD5odHRwOi8vZHguZG9pLm9yZy8xMC4xMDA3
L3MwMDI2Ny0wMDItMjczNy0wPC91cmw+PC9yZWxhdGVkLXVybHM+PC91cmxzPjxlbGVjdHJvbmlj
LXJlc291cmNlLW51bT4xMC4xMDA3L3MwMDI2Ny0wMDItMjczNy0wPC9lbGVjdHJvbmljLXJlc291
cmNlLW51bT48L3JlY29yZD48L0NpdGU+PENpdGU+PEF1dGhvcj5Sb2xsczwvQXV0aG9yPjxZZWFy
PjIwMTI8L1llYXI+PFJlY051bT4xMzEwPC9SZWNOdW0+PHJlY29yZD48cmVjLW51bWJlcj4xMzEw
PC9yZWMtbnVtYmVyPjxmb3JlaWduLWtleXM+PGtleSBhcHA9IkVOIiBkYi1pZD0iZjA5endkZjI2
eGVhc2FldnZzanh2MDBoOXJ4MnY5eGFyZnN3IiB0aW1lc3RhbXA9IjE0NzY5MjA5NjgiPjEzMTA8
L2tleT48L2ZvcmVpZ24ta2V5cz48cmVmLXR5cGUgbmFtZT0iSm91cm5hbCBBcnRpY2xlIj4xNzwv
cmVmLXR5cGU+PGNvbnRyaWJ1dG9ycz48YXV0aG9ycz48YXV0aG9yPlJvYmVydCBKLiBSb2xsczwv
YXV0aG9yPjxhdXRob3I+Q2F0aGVyaW5lIExlaWdoPC9hdXRob3I+PGF1dGhvcj5GcmFuIFNoZWxk
b248L2F1dGhvcj48L2F1dGhvcnM+PC9jb250cmlidXRvcnM+PHRpdGxlcz48dGl0bGU+TWVjaGFu
aXN0aWMgZWZmZWN0cyBvZiBsb3ctZmxvdyBoeWRyb2xvZ3kgb24gcml2ZXJpbmUgZWNvc3lzdGVt
czogZWNvbG9naWNhbCBwcmluY2lwbGVzIGFuZCBjb25zZXF1ZW5jZXMgb2YgYWx0ZXJhdGlvbjwv
dGl0bGU+PHNlY29uZGFyeS10aXRsZT5GcmVzaHdhdGVyIFNjaWVuY2U8L3NlY29uZGFyeS10aXRs
ZT48L3RpdGxlcz48cGVyaW9kaWNhbD48ZnVsbC10aXRsZT5GcmVzaHdhdGVyIFNjaWVuY2U8L2Z1
bGwtdGl0bGU+PC9wZXJpb2RpY2FsPjxwYWdlcz4xMTYzLTExODY8L3BhZ2VzPjx2b2x1bWU+MzE8
L3ZvbHVtZT48bnVtYmVyPjQ8L251bWJlcj48a2V5d29yZHM+PGtleXdvcmQ+ZmxvdyByZWdpbWUs
bG93IGZsb3csZHJvdWdodCxoYWJpdGF0LGZvb2Qgd2ViLGNhcnJ5aW5nIGNhcGFjaXR5LGNvbm5l
Y3Rpdml0eSxtZXRhcG9wdWxhdGlvbixyZWZ1Z2lhLGJpb2RpdmVyc2l0eSx0cm9waGljIGNhc2Nh
ZGVzLGJpb2xvZ2ljYWwgdHJhaXRzPC9rZXl3b3JkPjwva2V5d29yZHM+PGRhdGVzPjx5ZWFyPjIw
MTI8L3llYXI+PC9kYXRlcz48dXJscz48cmVsYXRlZC11cmxzPjx1cmw+aHR0cDovL3d3dy5qb3Vy
bmFscy51Y2hpY2Fnby5lZHUvZG9pL2Ficy8xMC4xODk5LzEyLTAwMi4xPC91cmw+PC9yZWxhdGVk
LXVybHM+PC91cmxzPjxlbGVjdHJvbmljLXJlc291cmNlLW51bT5kb2k6MTAuMTg5OS8xMi0wMDIu
MTwvZWxlY3Ryb25pYy1yZXNvdXJjZS1udW0+PC9yZWNvcmQ+PC9DaXRlPjwvRW5kTm90ZT5=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(Poff</w:t>
      </w:r>
      <w:r w:rsidRPr="00747E35">
        <w:rPr>
          <w:rFonts w:asciiTheme="minorHAnsi" w:hAnsiTheme="minorHAnsi" w:cstheme="minorHAnsi"/>
          <w:i/>
          <w:noProof/>
        </w:rPr>
        <w:t xml:space="preserve"> et al.</w:t>
      </w:r>
      <w:r w:rsidRPr="00747E35">
        <w:rPr>
          <w:rFonts w:asciiTheme="minorHAnsi" w:hAnsiTheme="minorHAnsi" w:cstheme="minorHAnsi"/>
          <w:noProof/>
        </w:rPr>
        <w:t>, 1997; Bunn and Arthington, 2002; Rolls</w:t>
      </w:r>
      <w:r w:rsidRPr="00747E35">
        <w:rPr>
          <w:rFonts w:asciiTheme="minorHAnsi" w:hAnsiTheme="minorHAnsi" w:cstheme="minorHAnsi"/>
          <w:i/>
          <w:noProof/>
        </w:rPr>
        <w:t xml:space="preserve"> et al.</w:t>
      </w:r>
      <w:r w:rsidRPr="00747E35">
        <w:rPr>
          <w:rFonts w:asciiTheme="minorHAnsi" w:hAnsiTheme="minorHAnsi" w:cstheme="minorHAnsi"/>
          <w:noProof/>
        </w:rPr>
        <w:t>, 2012; King</w:t>
      </w:r>
      <w:r w:rsidRPr="00747E35">
        <w:rPr>
          <w:rFonts w:asciiTheme="minorHAnsi" w:hAnsiTheme="minorHAnsi" w:cstheme="minorHAnsi"/>
          <w:i/>
          <w:noProof/>
        </w:rPr>
        <w:t xml:space="preserve"> et al.</w:t>
      </w:r>
      <w:r w:rsidRPr="00747E35">
        <w:rPr>
          <w:rFonts w:asciiTheme="minorHAnsi" w:hAnsiTheme="minorHAnsi" w:cstheme="minorHAnsi"/>
          <w:noProof/>
        </w:rPr>
        <w:t>, 2015)</w:t>
      </w:r>
      <w:r w:rsidRPr="00747E35">
        <w:rPr>
          <w:rFonts w:asciiTheme="minorHAnsi" w:hAnsiTheme="minorHAnsi" w:cstheme="minorHAnsi"/>
        </w:rPr>
        <w:fldChar w:fldCharType="end"/>
      </w:r>
      <w:r w:rsidRPr="00747E35">
        <w:rPr>
          <w:rFonts w:asciiTheme="minorHAnsi" w:hAnsiTheme="minorHAnsi" w:cstheme="minorHAnsi"/>
        </w:rPr>
        <w:t>. Rolls et al</w:t>
      </w:r>
      <w:r w:rsidR="005E04D7">
        <w:rPr>
          <w:rFonts w:asciiTheme="minorHAnsi" w:hAnsiTheme="minorHAnsi" w:cstheme="minorHAnsi"/>
        </w:rPr>
        <w:t>.</w:t>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ADDIN PAPERS2_CITATIONS &lt;citation&gt;&lt;uuid&gt;83FB77E7-6F32-4C65-AF4A-8AF98F7D8A73&lt;/uuid&gt;&lt;priority&gt;0&lt;/priority&gt;&lt;publications&gt;&lt;publication&gt;&lt;volume&gt;31&lt;/volume&gt;&lt;number&gt;4&lt;/number&gt;&lt;doi&gt;10.1899/12-002.1?ref=no-x-route:9380551e4fbc92f17ad79cf2eb68eefe&lt;/doi&gt;&lt;startpage&gt;1163&lt;/startpage&gt;&lt;title&gt;Mechanistic effects of low-flow hydrology on riverine ecosystems: ecological principles and consequences of alteration&lt;/title&gt;&lt;uuid&gt;3D01585A-89F5-4237-BFA0-735077B5E626&lt;/uuid&gt;&lt;subtype&gt;400&lt;/subtype&gt;&lt;publisher&gt;Society for Freshwater Science&lt;/publisher&gt;&lt;type&gt;400&lt;/type&gt;&lt;endpage&gt;1186&lt;/endpage&gt;&lt;publication_date&gt;99201210091200000000222000&lt;/publication_date&gt;&lt;bundle&gt;&lt;publication&gt;&lt;publisher&gt;Society for Freshwater Science&lt;/publisher&gt;&lt;title&gt;Freshwater Science&lt;/title&gt;&lt;type&gt;-100&lt;/type&gt;&lt;subtype&gt;-100&lt;/subtype&gt;&lt;uuid&gt;49631A9D-3559-4ECE-AB4A-D9FC564D062A&lt;/uuid&gt;&lt;/publication&gt;&lt;/bundle&gt;&lt;authors&gt;&lt;author&gt;&lt;firstName&gt;Robert&lt;/firstName&gt;&lt;middleNames&gt;J&lt;/middleNames&gt;&lt;lastName&gt;Rolls&lt;/lastName&gt;&lt;/author&gt;&lt;author&gt;&lt;firstName&gt;Catherine&lt;/firstName&gt;&lt;lastName&gt;Leigh&lt;/lastName&gt;&lt;/author&gt;&lt;author&gt;&lt;firstName&gt;Fran&lt;/firstName&gt;&lt;lastName&gt;Sheldon&lt;/lastName&gt;&lt;/author&gt;&lt;/authors&gt;&lt;/publication&gt;&lt;/publications&gt;&lt;cites&gt;&lt;cite&gt;&lt;suppress&gt;A&lt;/suppress&gt;&lt;/cite&gt;&lt;/cites&gt;&lt;/citation&gt;</w:instrText>
      </w:r>
      <w:r w:rsidRPr="00747E35">
        <w:rPr>
          <w:rFonts w:asciiTheme="minorHAnsi" w:hAnsiTheme="minorHAnsi" w:cstheme="minorHAnsi"/>
        </w:rPr>
        <w:fldChar w:fldCharType="separate"/>
      </w:r>
      <w:r w:rsidRPr="00747E35">
        <w:rPr>
          <w:rFonts w:asciiTheme="minorHAnsi" w:hAnsiTheme="minorHAnsi" w:cstheme="minorHAnsi"/>
        </w:rPr>
        <w:t>(2012)</w:t>
      </w:r>
      <w:r w:rsidRPr="00747E35">
        <w:rPr>
          <w:rFonts w:asciiTheme="minorHAnsi" w:hAnsiTheme="minorHAnsi" w:cstheme="minorHAnsi"/>
        </w:rPr>
        <w:fldChar w:fldCharType="end"/>
      </w:r>
      <w:r w:rsidRPr="00747E35">
        <w:rPr>
          <w:rFonts w:asciiTheme="minorHAnsi" w:hAnsiTheme="minorHAnsi" w:cstheme="minorHAnsi"/>
        </w:rPr>
        <w:t xml:space="preserve">, building on earlier work (e.g., </w:t>
      </w:r>
      <w:r w:rsidRPr="00747E35">
        <w:rPr>
          <w:rFonts w:asciiTheme="minorHAnsi" w:hAnsiTheme="minorHAnsi" w:cstheme="minorHAnsi"/>
          <w:noProof/>
        </w:rPr>
        <w:t>McMahon and Finlayson</w:t>
      </w:r>
      <w:r w:rsidRPr="00747E35">
        <w:rPr>
          <w:rFonts w:asciiTheme="minorHAnsi" w:hAnsiTheme="minorHAnsi" w:cstheme="minorHAnsi"/>
          <w:noProof/>
        </w:rPr>
        <w:fldChar w:fldCharType="begin"/>
      </w:r>
      <w:r w:rsidRPr="00747E35">
        <w:rPr>
          <w:rFonts w:asciiTheme="minorHAnsi" w:hAnsiTheme="minorHAnsi" w:cstheme="minorHAnsi"/>
          <w:noProof/>
        </w:rPr>
        <w:instrText xml:space="preserve"> ADDIN EN.CITE &lt;EndNote&gt;&lt;Cite ExcludeAuth="1" ExcludeYear="1" Hidden="1"&gt;&lt;Author&gt;McMahon&lt;/Author&gt;&lt;Year&gt;2003&lt;/Year&gt;&lt;RecNum&gt;1362&lt;/RecNum&gt;&lt;record&gt;&lt;rec-number&gt;1362&lt;/rec-number&gt;&lt;foreign-keys&gt;&lt;key app="EN" db-id="f09zwdf26xeasaevvsjxv00h9rx2v9xarfsw" timestamp="1478231148"&gt;1362&lt;/key&gt;&lt;/foreign-keys&gt;&lt;ref-type name="Journal Article"&gt;17&lt;/ref-type&gt;&lt;contributors&gt;&lt;authors&gt;&lt;author&gt;McMahon, T. A.&lt;/author&gt;&lt;author&gt;Finlayson, B. L.&lt;/author&gt;&lt;/authors&gt;&lt;/contributors&gt;&lt;titles&gt;&lt;title&gt;Droughts and anti-droughts: the low flow hydrology of Australian rivers&lt;/title&gt;&lt;secondary-title&gt;Freshwater Biology&lt;/secondary-title&gt;&lt;/titles&gt;&lt;periodical&gt;&lt;full-title&gt;Freshwater Biology&lt;/full-title&gt;&lt;/periodical&gt;&lt;pages&gt;1147-1160&lt;/pages&gt;&lt;volume&gt;48&lt;/volume&gt;&lt;number&gt;7&lt;/number&gt;&lt;keywords&gt;&lt;keyword&gt;anti-drought&lt;/keyword&gt;&lt;keyword&gt;Australian rivers&lt;/keyword&gt;&lt;keyword&gt;drought&lt;/keyword&gt;&lt;keyword&gt;low flows&lt;/keyword&gt;&lt;keyword&gt;regulated rivers&lt;/keyword&gt;&lt;/keywords&gt;&lt;dates&gt;&lt;year&gt;2003&lt;/year&gt;&lt;/dates&gt;&lt;publisher&gt;Blackwell Science Ltd&lt;/publisher&gt;&lt;isbn&gt;1365-2427&lt;/isbn&gt;&lt;urls&gt;&lt;related-urls&gt;&lt;url&gt;http://dx.doi.org/10.1046/j.1365-2427.2003.01098.x&lt;/url&gt;&lt;/related-urls&gt;&lt;/urls&gt;&lt;electronic-resource-num&gt;10.1046/j.1365-2427.2003.01098.x&lt;/electronic-resource-num&gt;&lt;/record&gt;&lt;/Cite&gt;&lt;/EndNote&gt;</w:instrText>
      </w:r>
      <w:r w:rsidRPr="00747E35">
        <w:rPr>
          <w:rFonts w:asciiTheme="minorHAnsi" w:hAnsiTheme="minorHAnsi" w:cstheme="minorHAnsi"/>
          <w:noProof/>
        </w:rPr>
        <w:fldChar w:fldCharType="end"/>
      </w:r>
      <w:r w:rsidRPr="00747E35">
        <w:rPr>
          <w:rFonts w:asciiTheme="minorHAnsi" w:hAnsiTheme="minorHAnsi" w:cstheme="minorHAnsi"/>
          <w:noProof/>
        </w:rPr>
        <w:t xml:space="preserve"> 2003, Boulton and Hancock 2006</w:t>
      </w:r>
      <w:r w:rsidRPr="00747E35">
        <w:rPr>
          <w:rFonts w:asciiTheme="minorHAnsi" w:hAnsiTheme="minorHAnsi" w:cstheme="minorHAnsi"/>
        </w:rPr>
        <w:t xml:space="preserve">), characterised low-flow ecological patterns and processes as including: (i) the physical extent of aquatic habitats; (ii) the physical and chemical conditions within those habitats; (iii) the sources of and processing of materials and energy occurring within different habitats; and (iv) the diversity, and degrees of connectivity among habitat patches. Further, King et al. (2015) conceptualised and reviewed the hydro-ecological consequences of changes to low flow regimes due to surface- and groundwater extraction. They predicted changes to aquatic habitat connectivity and availability, reductions in dry-season persistence of in-channel refugia, reductions in water quality during dry–wet and wet–dry transition periods, decoupling of wet- and dry-season flows, and the cumulative negative effects on groundwater-dependent species and whole ecosystems. Research on the ecological roles of low flows, has tended to focus on perennial streams; however, more recent research is beginning to highlight the ubiquity and ecological importance of intermittent streams and our relatively poor understanding of their low-flow ecology and responses to anthropogenic flow reductions </w:t>
      </w:r>
      <w:r w:rsidRPr="00747E35">
        <w:rPr>
          <w:rFonts w:asciiTheme="minorHAnsi" w:hAnsiTheme="minorHAnsi" w:cstheme="minorHAnsi"/>
        </w:rPr>
        <w:fldChar w:fldCharType="begin">
          <w:fldData xml:space="preserve">PEVuZE5vdGU+PENpdGU+PEF1dGhvcj5EYXRyeTwvQXV0aG9yPjxZZWFyPjIwMTQ8L1llYXI+PFJl
Y051bT4xMTg5PC9SZWNOdW0+PERpc3BsYXlUZXh0PihEYXRyeTxzdHlsZSBmYWNlPSJpdGFsaWMi
PiBldCBhbC48L3N0eWxlPiwgMjAxNDsgTGVpZ2g8c3R5bGUgZmFjZT0iaXRhbGljIj4gZXQgYWwu
PC9zdHlsZT4sIDIwMTY7IExlaWdoIGFuZCBEYXRyeSwgMjAxNik8L0Rpc3BsYXlUZXh0PjxyZWNv
cmQ+PHJlYy1udW1iZXI+MTE4OTwvcmVjLW51bWJlcj48Zm9yZWlnbi1rZXlzPjxrZXkgYXBwPSJF
TiIgZGItaWQ9ImYwOXp3ZGYyNnhlYXNhZXZ2c2p4djAwaDlyeDJ2OXhhcmZzdyIgdGltZXN0YW1w
PSIxNDQzMDU3OTU0Ij4xMTg5PC9rZXk+PC9mb3JlaWduLWtleXM+PHJlZi10eXBlIG5hbWU9Ikpv
dXJuYWwgQXJ0aWNsZSI+MTc8L3JlZi10eXBlPjxjb250cmlidXRvcnM+PGF1dGhvcnM+PGF1dGhv
cj5EYXRyeSwgVC48L2F1dGhvcj48YXV0aG9yPkxhcm5lZCwgUy4gVC48L2F1dGhvcj48YXV0aG9y
PlRvY2tuZXIsIEsuPC9hdXRob3I+PC9hdXRob3JzPjwvY29udHJpYnV0b3JzPjx0aXRsZXM+PHRp
dGxlPkludGVybWl0dGVudCByaXZlcnM6IEEgY2hhbGxlbmdlIGZvciBmcmVzaHdhdGVyIGVjb2xv
Z3k8L3RpdGxlPjxzZWNvbmRhcnktdGl0bGU+QmlvU2NpZW5jZTwvc2Vjb25kYXJ5LXRpdGxlPjwv
dGl0bGVzPjxwZXJpb2RpY2FsPjxmdWxsLXRpdGxlPkJpb1NjaWVuY2U8L2Z1bGwtdGl0bGU+PC9w
ZXJpb2RpY2FsPjxwYWdlcz4yMjktMjM1PC9wYWdlcz48dm9sdW1lPjY0PC92b2x1bWU+PG51bWJl
cj4zPC9udW1iZXI+PGRhdGVzPjx5ZWFyPjIwMTQ8L3llYXI+PC9kYXRlcz48dXJscz48cmVsYXRl
ZC11cmxzPjx1cmw+aHR0cDovL3d3dy5zY29wdXMuY29tL2lud2FyZC9yZWNvcmQudXJsP2VpZD0y
LXMyLjAtODQ4OTg5MzAzMzEmYW1wO3BhcnRuZXJJRD00MCZhbXA7bWQ1PTg3ZWRkZDMxN2MzNWFk
Njg5NWM3NDA1ZDRkNzQwYjJiPC91cmw+PC9yZWxhdGVkLXVybHM+PC91cmxzPjxlbGVjdHJvbmlj
LXJlc291cmNlLW51bT4xMC4xMDkzL2Jpb3NjaS9iaXQwMjc8L2VsZWN0cm9uaWMtcmVzb3VyY2Ut
bnVtPjxyZW1vdGUtZGF0YWJhc2UtbmFtZT5TY29wdXM8L3JlbW90ZS1kYXRhYmFzZS1uYW1lPjwv
cmVjb3JkPjwvQ2l0ZT48Q2l0ZT48QXV0aG9yPkxlaWdoPC9BdXRob3I+PFllYXI+MjAxNjwvWWVh
cj48UmVjTnVtPjEzODI8L1JlY051bT48cmVjb3JkPjxyZWMtbnVtYmVyPjEzODI8L3JlYy1udW1i
ZXI+PGZvcmVpZ24ta2V5cz48a2V5IGFwcD0iRU4iIGRiLWlkPSJmMDl6d2RmMjZ4ZWFzYWV2dnNq
eHYwMGg5cngydjl4YXJmc3ciIHRpbWVzdGFtcD0iMTQ3OTEwNjcxOSI+MTM4Mjwva2V5PjwvZm9y
ZWlnbi1rZXlzPjxyZWYtdHlwZSBuYW1lPSJKb3VybmFsIEFydGljbGUiPjE3PC9yZWYtdHlwZT48
Y29udHJpYnV0b3JzPjxhdXRob3JzPjxhdXRob3I+TGVpZ2gsIENhdGhlcmluZTwvYXV0aG9yPjxh
dXRob3I+RGF0cnksIFRoaWJhdWx0PC9hdXRob3I+PC9hdXRob3JzPjwvY29udHJpYnV0b3JzPjx0
aXRsZXM+PHRpdGxlPkRyeWluZyBhcyBhIHByaW1hcnkgaHlkcm9sb2dpY2FsIGRldGVybWluYW50
IG9mIGJpb2RpdmVyc2l0eSBpbiByaXZlciBzeXN0ZW1zOiBhIGJyb2FkLXNjYWxlIGFuYWx5c2lz
PC90aXRsZT48c2Vjb25kYXJ5LXRpdGxlPkVjb2dyYXBoeTwvc2Vjb25kYXJ5LXRpdGxlPjwvdGl0
bGVzPjxwZXJpb2RpY2FsPjxmdWxsLXRpdGxlPkVjb2dyYXBoeTwvZnVsbC10aXRsZT48L3Blcmlv
ZGljYWw+PHBhZ2VzPjAwMeKAkzAxMzwvcGFnZXM+PGRhdGVzPjx5ZWFyPjIwMTY8L3llYXI+PC9k
YXRlcz48cHVibGlzaGVyPkJsYWNrd2VsbCBQdWJsaXNoaW5nIEx0ZDwvcHVibGlzaGVyPjxpc2Ju
PjE2MDAtMDU4NzwvaXNibj48dXJscz48cmVsYXRlZC11cmxzPjx1cmw+aHR0cDovL2R4LmRvaS5v
cmcvMTAuMTExMS9lY29nLjAyMjMwPC91cmw+PC9yZWxhdGVkLXVybHM+PC91cmxzPjxlbGVjdHJv
bmljLXJlc291cmNlLW51bT4xMC4xMTExL2Vjb2cuMDIyMzA8L2VsZWN0cm9uaWMtcmVzb3VyY2Ut
bnVtPjwvcmVjb3JkPjwvQ2l0ZT48Q2l0ZT48QXV0aG9yPkxlaWdoPC9BdXRob3I+PFllYXI+MjAx
NjwvWWVhcj48UmVjTnVtPjEzODM8L1JlY051bT48cmVjb3JkPjxyZWMtbnVtYmVyPjEzODM8L3Jl
Yy1udW1iZXI+PGZvcmVpZ24ta2V5cz48a2V5IGFwcD0iRU4iIGRiLWlkPSJmMDl6d2RmMjZ4ZWFz
YWV2dnNqeHYwMGg5cngydjl4YXJmc3ciIHRpbWVzdGFtcD0iMTQ3OTEwNjg4MSI+MTM4Mzwva2V5
PjwvZm9yZWlnbi1rZXlzPjxyZWYtdHlwZSBuYW1lPSJKb3VybmFsIEFydGljbGUiPjE3PC9yZWYt
dHlwZT48Y29udHJpYnV0b3JzPjxhdXRob3JzPjxhdXRob3I+TGVpZ2gsIENhdGhlcmluZTwvYXV0
aG9yPjxhdXRob3I+Qm91bHRvbiwgQW5kcmV3IEouPC9hdXRob3I+PGF1dGhvcj5Db3VydHdyaWdo
dCwgSmVubmlmZXIgTC48L2F1dGhvcj48YXV0aG9yPkZyaXR6LCBLZW48L2F1dGhvcj48YXV0aG9y
Pk1heSwgQ2hyaXN0aW5lIEwuPC9hdXRob3I+PGF1dGhvcj5XYWxrZXIsIFJpY2hhcmQgSC48L2F1
dGhvcj48YXV0aG9yPkRhdHJ5LCBUaGliYXVsdDwvYXV0aG9yPjwvYXV0aG9ycz48L2NvbnRyaWJ1
dG9ycz48dGl0bGVzPjx0aXRsZT5FY29sb2dpY2FsIHJlc2VhcmNoIGFuZCBtYW5hZ2VtZW50IG9m
IGludGVybWl0dGVudCByaXZlcnM6IGFuIGhpc3RvcmljYWwgcmV2aWV3IGFuZCBmdXR1cmUgZGly
ZWN0aW9uczwvdGl0bGU+PHNlY29uZGFyeS10aXRsZT5GcmVzaHdhdGVyIEJpb2xvZ3k8L3NlY29u
ZGFyeS10aXRsZT48L3RpdGxlcz48cGVyaW9kaWNhbD48ZnVsbC10aXRsZT5GcmVzaHdhdGVyIEJp
b2xvZ3k8L2Z1bGwtdGl0bGU+PC9wZXJpb2RpY2FsPjxwYWdlcz4xMTgxLTExOTk8L3BhZ2VzPjx2
b2x1bWU+NjE8L3ZvbHVtZT48bnVtYmVyPjg8L251bWJlcj48a2V5d29yZHM+PGtleXdvcmQ+Ymlv
Z2VvY2hlbWlzdHJ5PC9rZXl3b3JkPjxrZXl3b3JkPmVwaGVtZXJhbCBzdHJlYW08L2tleXdvcmQ+
PGtleXdvcmQ+ZmlzaDwva2V5d29yZD48a2V5d29yZD5pbnZlcnRlYnJhdGU8L2tleXdvcmQ+PGtl
eXdvcmQ+dGVtcG9yYXJ5IHJpdmVyPC9rZXl3b3JkPjwva2V5d29yZHM+PGRhdGVzPjx5ZWFyPjIw
MTY8L3llYXI+PC9kYXRlcz48aXNibj4xMzY1LTI0Mjc8L2lzYm4+PHVybHM+PHJlbGF0ZWQtdXJs
cz48dXJsPmh0dHA6Ly9keC5kb2kub3JnLzEwLjExMTEvZndiLjEyNjQ2PC91cmw+PC9yZWxhdGVk
LXVybHM+PC91cmxzPjxlbGVjdHJvbmljLXJlc291cmNlLW51bT4xMC4xMTExL2Z3Yi4xMjY0Njwv
ZWxlY3Ryb25pYy1yZXNvdXJjZS1udW0+PC9yZWNvcmQ+PC9DaXRlPjwvRW5kTm90ZT5=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PEVuZE5vdGU+PENpdGU+PEF1dGhvcj5EYXRyeTwvQXV0aG9yPjxZZWFyPjIwMTQ8L1llYXI+PFJl
Y051bT4xMTg5PC9SZWNOdW0+PERpc3BsYXlUZXh0PihEYXRyeTxzdHlsZSBmYWNlPSJpdGFsaWMi
PiBldCBhbC48L3N0eWxlPiwgMjAxNDsgTGVpZ2g8c3R5bGUgZmFjZT0iaXRhbGljIj4gZXQgYWwu
PC9zdHlsZT4sIDIwMTY7IExlaWdoIGFuZCBEYXRyeSwgMjAxNik8L0Rpc3BsYXlUZXh0PjxyZWNv
cmQ+PHJlYy1udW1iZXI+MTE4OTwvcmVjLW51bWJlcj48Zm9yZWlnbi1rZXlzPjxrZXkgYXBwPSJF
TiIgZGItaWQ9ImYwOXp3ZGYyNnhlYXNhZXZ2c2p4djAwaDlyeDJ2OXhhcmZzdyIgdGltZXN0YW1w
PSIxNDQzMDU3OTU0Ij4xMTg5PC9rZXk+PC9mb3JlaWduLWtleXM+PHJlZi10eXBlIG5hbWU9Ikpv
dXJuYWwgQXJ0aWNsZSI+MTc8L3JlZi10eXBlPjxjb250cmlidXRvcnM+PGF1dGhvcnM+PGF1dGhv
cj5EYXRyeSwgVC48L2F1dGhvcj48YXV0aG9yPkxhcm5lZCwgUy4gVC48L2F1dGhvcj48YXV0aG9y
PlRvY2tuZXIsIEsuPC9hdXRob3I+PC9hdXRob3JzPjwvY29udHJpYnV0b3JzPjx0aXRsZXM+PHRp
dGxlPkludGVybWl0dGVudCByaXZlcnM6IEEgY2hhbGxlbmdlIGZvciBmcmVzaHdhdGVyIGVjb2xv
Z3k8L3RpdGxlPjxzZWNvbmRhcnktdGl0bGU+QmlvU2NpZW5jZTwvc2Vjb25kYXJ5LXRpdGxlPjwv
dGl0bGVzPjxwZXJpb2RpY2FsPjxmdWxsLXRpdGxlPkJpb1NjaWVuY2U8L2Z1bGwtdGl0bGU+PC9w
ZXJpb2RpY2FsPjxwYWdlcz4yMjktMjM1PC9wYWdlcz48dm9sdW1lPjY0PC92b2x1bWU+PG51bWJl
cj4zPC9udW1iZXI+PGRhdGVzPjx5ZWFyPjIwMTQ8L3llYXI+PC9kYXRlcz48dXJscz48cmVsYXRl
ZC11cmxzPjx1cmw+aHR0cDovL3d3dy5zY29wdXMuY29tL2lud2FyZC9yZWNvcmQudXJsP2VpZD0y
LXMyLjAtODQ4OTg5MzAzMzEmYW1wO3BhcnRuZXJJRD00MCZhbXA7bWQ1PTg3ZWRkZDMxN2MzNWFk
Njg5NWM3NDA1ZDRkNzQwYjJiPC91cmw+PC9yZWxhdGVkLXVybHM+PC91cmxzPjxlbGVjdHJvbmlj
LXJlc291cmNlLW51bT4xMC4xMDkzL2Jpb3NjaS9iaXQwMjc8L2VsZWN0cm9uaWMtcmVzb3VyY2Ut
bnVtPjxyZW1vdGUtZGF0YWJhc2UtbmFtZT5TY29wdXM8L3JlbW90ZS1kYXRhYmFzZS1uYW1lPjwv
cmVjb3JkPjwvQ2l0ZT48Q2l0ZT48QXV0aG9yPkxlaWdoPC9BdXRob3I+PFllYXI+MjAxNjwvWWVh
cj48UmVjTnVtPjEzODI8L1JlY051bT48cmVjb3JkPjxyZWMtbnVtYmVyPjEzODI8L3JlYy1udW1i
ZXI+PGZvcmVpZ24ta2V5cz48a2V5IGFwcD0iRU4iIGRiLWlkPSJmMDl6d2RmMjZ4ZWFzYWV2dnNq
eHYwMGg5cngydjl4YXJmc3ciIHRpbWVzdGFtcD0iMTQ3OTEwNjcxOSI+MTM4Mjwva2V5PjwvZm9y
ZWlnbi1rZXlzPjxyZWYtdHlwZSBuYW1lPSJKb3VybmFsIEFydGljbGUiPjE3PC9yZWYtdHlwZT48
Y29udHJpYnV0b3JzPjxhdXRob3JzPjxhdXRob3I+TGVpZ2gsIENhdGhlcmluZTwvYXV0aG9yPjxh
dXRob3I+RGF0cnksIFRoaWJhdWx0PC9hdXRob3I+PC9hdXRob3JzPjwvY29udHJpYnV0b3JzPjx0
aXRsZXM+PHRpdGxlPkRyeWluZyBhcyBhIHByaW1hcnkgaHlkcm9sb2dpY2FsIGRldGVybWluYW50
IG9mIGJpb2RpdmVyc2l0eSBpbiByaXZlciBzeXN0ZW1zOiBhIGJyb2FkLXNjYWxlIGFuYWx5c2lz
PC90aXRsZT48c2Vjb25kYXJ5LXRpdGxlPkVjb2dyYXBoeTwvc2Vjb25kYXJ5LXRpdGxlPjwvdGl0
bGVzPjxwZXJpb2RpY2FsPjxmdWxsLXRpdGxlPkVjb2dyYXBoeTwvZnVsbC10aXRsZT48L3Blcmlv
ZGljYWw+PHBhZ2VzPjAwMeKAkzAxMzwvcGFnZXM+PGRhdGVzPjx5ZWFyPjIwMTY8L3llYXI+PC9k
YXRlcz48cHVibGlzaGVyPkJsYWNrd2VsbCBQdWJsaXNoaW5nIEx0ZDwvcHVibGlzaGVyPjxpc2Ju
PjE2MDAtMDU4NzwvaXNibj48dXJscz48cmVsYXRlZC11cmxzPjx1cmw+aHR0cDovL2R4LmRvaS5v
cmcvMTAuMTExMS9lY29nLjAyMjMwPC91cmw+PC9yZWxhdGVkLXVybHM+PC91cmxzPjxlbGVjdHJv
bmljLXJlc291cmNlLW51bT4xMC4xMTExL2Vjb2cuMDIyMzA8L2VsZWN0cm9uaWMtcmVzb3VyY2Ut
bnVtPjwvcmVjb3JkPjwvQ2l0ZT48Q2l0ZT48QXV0aG9yPkxlaWdoPC9BdXRob3I+PFllYXI+MjAx
NjwvWWVhcj48UmVjTnVtPjEzODM8L1JlY051bT48cmVjb3JkPjxyZWMtbnVtYmVyPjEzODM8L3Jl
Yy1udW1iZXI+PGZvcmVpZ24ta2V5cz48a2V5IGFwcD0iRU4iIGRiLWlkPSJmMDl6d2RmMjZ4ZWFz
YWV2dnNqeHYwMGg5cngydjl4YXJmc3ciIHRpbWVzdGFtcD0iMTQ3OTEwNjg4MSI+MTM4Mzwva2V5
PjwvZm9yZWlnbi1rZXlzPjxyZWYtdHlwZSBuYW1lPSJKb3VybmFsIEFydGljbGUiPjE3PC9yZWYt
dHlwZT48Y29udHJpYnV0b3JzPjxhdXRob3JzPjxhdXRob3I+TGVpZ2gsIENhdGhlcmluZTwvYXV0
aG9yPjxhdXRob3I+Qm91bHRvbiwgQW5kcmV3IEouPC9hdXRob3I+PGF1dGhvcj5Db3VydHdyaWdo
dCwgSmVubmlmZXIgTC48L2F1dGhvcj48YXV0aG9yPkZyaXR6LCBLZW48L2F1dGhvcj48YXV0aG9y
Pk1heSwgQ2hyaXN0aW5lIEwuPC9hdXRob3I+PGF1dGhvcj5XYWxrZXIsIFJpY2hhcmQgSC48L2F1
dGhvcj48YXV0aG9yPkRhdHJ5LCBUaGliYXVsdDwvYXV0aG9yPjwvYXV0aG9ycz48L2NvbnRyaWJ1
dG9ycz48dGl0bGVzPjx0aXRsZT5FY29sb2dpY2FsIHJlc2VhcmNoIGFuZCBtYW5hZ2VtZW50IG9m
IGludGVybWl0dGVudCByaXZlcnM6IGFuIGhpc3RvcmljYWwgcmV2aWV3IGFuZCBmdXR1cmUgZGly
ZWN0aW9uczwvdGl0bGU+PHNlY29uZGFyeS10aXRsZT5GcmVzaHdhdGVyIEJpb2xvZ3k8L3NlY29u
ZGFyeS10aXRsZT48L3RpdGxlcz48cGVyaW9kaWNhbD48ZnVsbC10aXRsZT5GcmVzaHdhdGVyIEJp
b2xvZ3k8L2Z1bGwtdGl0bGU+PC9wZXJpb2RpY2FsPjxwYWdlcz4xMTgxLTExOTk8L3BhZ2VzPjx2
b2x1bWU+NjE8L3ZvbHVtZT48bnVtYmVyPjg8L251bWJlcj48a2V5d29yZHM+PGtleXdvcmQ+Ymlv
Z2VvY2hlbWlzdHJ5PC9rZXl3b3JkPjxrZXl3b3JkPmVwaGVtZXJhbCBzdHJlYW08L2tleXdvcmQ+
PGtleXdvcmQ+ZmlzaDwva2V5d29yZD48a2V5d29yZD5pbnZlcnRlYnJhdGU8L2tleXdvcmQ+PGtl
eXdvcmQ+dGVtcG9yYXJ5IHJpdmVyPC9rZXl3b3JkPjwva2V5d29yZHM+PGRhdGVzPjx5ZWFyPjIw
MTY8L3llYXI+PC9kYXRlcz48aXNibj4xMzY1LTI0Mjc8L2lzYm4+PHVybHM+PHJlbGF0ZWQtdXJs
cz48dXJsPmh0dHA6Ly9keC5kb2kub3JnLzEwLjExMTEvZndiLjEyNjQ2PC91cmw+PC9yZWxhdGVk
LXVybHM+PC91cmxzPjxlbGVjdHJvbmljLXJlc291cmNlLW51bT4xMC4xMTExL2Z3Yi4xMjY0Njwv
ZWxlY3Ryb25pYy1yZXNvdXJjZS1udW0+PC9yZWNvcmQ+PC9DaXRlPjwvRW5kTm90ZT5=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(Datry</w:t>
      </w:r>
      <w:r w:rsidRPr="00747E35">
        <w:rPr>
          <w:rFonts w:asciiTheme="minorHAnsi" w:hAnsiTheme="minorHAnsi" w:cstheme="minorHAnsi"/>
          <w:i/>
          <w:noProof/>
        </w:rPr>
        <w:t xml:space="preserve"> et al.</w:t>
      </w:r>
      <w:r w:rsidRPr="00747E35">
        <w:rPr>
          <w:rFonts w:asciiTheme="minorHAnsi" w:hAnsiTheme="minorHAnsi" w:cstheme="minorHAnsi"/>
          <w:noProof/>
        </w:rPr>
        <w:t>, 2014; Leigh</w:t>
      </w:r>
      <w:r w:rsidRPr="00747E35">
        <w:rPr>
          <w:rFonts w:asciiTheme="minorHAnsi" w:hAnsiTheme="minorHAnsi" w:cstheme="minorHAnsi"/>
          <w:i/>
          <w:noProof/>
        </w:rPr>
        <w:t xml:space="preserve"> et al.</w:t>
      </w:r>
      <w:r w:rsidRPr="00747E35">
        <w:rPr>
          <w:rFonts w:asciiTheme="minorHAnsi" w:hAnsiTheme="minorHAnsi" w:cstheme="minorHAnsi"/>
          <w:noProof/>
        </w:rPr>
        <w:t>, 2016; Leigh and Datry, 2016)</w:t>
      </w:r>
      <w:r w:rsidRPr="00747E35">
        <w:rPr>
          <w:rFonts w:asciiTheme="minorHAnsi" w:hAnsiTheme="minorHAnsi" w:cstheme="minorHAnsi"/>
        </w:rPr>
        <w:fldChar w:fldCharType="end"/>
      </w:r>
      <w:r w:rsidRPr="00747E35">
        <w:rPr>
          <w:rFonts w:asciiTheme="minorHAnsi" w:hAnsiTheme="minorHAnsi" w:cstheme="minorHAnsi"/>
        </w:rPr>
        <w:t>.</w:t>
      </w:r>
    </w:p>
    <w:p w14:paraId="640B861F"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effects of reductions in surface flow on the availability and quality of aquatic habitats through space and time are relevant in both perennial and intermittent streams. For example, in perennial streams the low-flow magnitude will determine the minimum area of riffle habitats that is maintained during dry spells, and which are prone to drying. These habitats support diverse invertebrate assemblages, with many (rheophilous) taxa dependent on flowing water. Such taxa respond to reductions in riffle area by concentrating their distribution within the remaining flowing areas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&lt;EndNote&gt;&lt;Cite&gt;&lt;Author&gt;Dewson&lt;/Author&gt;&lt;Year&gt;2007&lt;/Year&gt;&lt;RecNum&gt;1363&lt;/RecNum&gt;&lt;DisplayText&gt;(Dewson&lt;style face="italic"&gt; et al.&lt;/style&gt;, 2007b)&lt;/DisplayText&gt;&lt;record&gt;&lt;rec-number&gt;1363&lt;/rec-number&gt;&lt;foreign-keys&gt;&lt;key app="EN" db-id="f09zwdf26xeasaevvsjxv00h9rx2v9xarfsw" timestamp="1478231251"&gt;1363&lt;/key&gt;&lt;/foreign-keys&gt;&lt;ref-type name="Journal Article"&gt;17&lt;/ref-type&gt;&lt;contributors&gt;&lt;authors&gt;&lt;author&gt;Dewson, Z. S.&lt;/author&gt;&lt;author&gt;James, A. B. W.&lt;/author&gt;&lt;author&gt;Death, R. G.&lt;/author&gt;&lt;/authors&gt;&lt;/contributors&gt;&lt;titles&gt;&lt;title&gt;Invertebrate community responses to experimentally reduced discharge in small streams of different water quality&lt;/title&gt;&lt;secondary-title&gt;Journal of the North American Benthological Society&lt;/secondary-title&gt;&lt;/titles&gt;&lt;periodical&gt;&lt;full-title&gt;Journal of the North American Benthological Society&lt;/full-title&gt;&lt;/periodical&gt;&lt;pages&gt;754-766&lt;/pages&gt;&lt;volume&gt;26&lt;/volume&gt;&lt;number&gt;4&lt;/number&gt;&lt;keywords&gt;&lt;keyword&gt;water abstraction,,flow reduction,,permanent streams,,New Zealand.&lt;/keyword&gt;&lt;/keywords&gt;&lt;dates&gt;&lt;year&gt;2007&lt;/year&gt;&lt;/dates&gt;&lt;urls&gt;&lt;related-urls&gt;&lt;url&gt;http://www.journals.uchicago.edu/doi/abs/10.1899/07-003R.1&lt;/url&gt;&lt;/related-urls&gt;&lt;/urls&gt;&lt;electronic-resource-num&gt;doi:10.1899/07-003R.1&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(Dewson</w:t>
      </w:r>
      <w:r w:rsidRPr="00747E35">
        <w:rPr>
          <w:rFonts w:asciiTheme="minorHAnsi" w:hAnsiTheme="minorHAnsi" w:cstheme="minorHAnsi"/>
          <w:i/>
          <w:noProof/>
        </w:rPr>
        <w:t xml:space="preserve"> et al.</w:t>
      </w:r>
      <w:r w:rsidRPr="00747E35">
        <w:rPr>
          <w:rFonts w:asciiTheme="minorHAnsi" w:hAnsiTheme="minorHAnsi" w:cstheme="minorHAnsi"/>
          <w:noProof/>
        </w:rPr>
        <w:t>, 2007b)</w:t>
      </w:r>
      <w:r w:rsidRPr="00747E35">
        <w:rPr>
          <w:rFonts w:asciiTheme="minorHAnsi" w:hAnsiTheme="minorHAnsi" w:cstheme="minorHAnsi"/>
        </w:rPr>
        <w:fldChar w:fldCharType="end"/>
      </w:r>
      <w:r w:rsidRPr="00747E35">
        <w:rPr>
          <w:rFonts w:asciiTheme="minorHAnsi" w:hAnsiTheme="minorHAnsi" w:cstheme="minorHAnsi"/>
        </w:rPr>
        <w:t xml:space="preserve">, although over time diversity may be reduced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&lt;EndNote&gt;&lt;Cite&gt;&lt;Author&gt;McKay&lt;/Author&gt;&lt;Year&gt;2006&lt;/Year&gt;&lt;RecNum&gt;1364&lt;/RecNum&gt;&lt;DisplayText&gt;(McKay and King, 2006)&lt;/DisplayText&gt;&lt;record&gt;&lt;rec-number&gt;1364&lt;/rec-number&gt;&lt;foreign-keys&gt;&lt;key app="EN" db-id="f09zwdf26xeasaevvsjxv00h9rx2v9xarfsw" timestamp="1478231342"&gt;1364&lt;/key&gt;&lt;/foreign-keys&gt;&lt;ref-type name="Journal Article"&gt;17&lt;/ref-type&gt;&lt;contributors&gt;&lt;authors&gt;&lt;author&gt;McKay, S. F.&lt;/author&gt;&lt;author&gt;King, A. J.&lt;/author&gt;&lt;/authors&gt;&lt;/contributors&gt;&lt;titles&gt;&lt;title&gt;Potential ecological effects of water extraction in small, unregulated streams&lt;/title&gt;&lt;secondary-title&gt;River Research and Applications&lt;/secondary-title&gt;&lt;/titles&gt;&lt;periodical&gt;&lt;full-title&gt;River Research and Applications&lt;/full-title&gt;&lt;/periodical&gt;&lt;pages&gt;1023-1037&lt;/pages&gt;&lt;volume&gt;22&lt;/volume&gt;&lt;number&gt;9&lt;/number&gt;&lt;keywords&gt;&lt;keyword&gt;macroinvertebrates&lt;/keyword&gt;&lt;keyword&gt;biofilm&lt;/keyword&gt;&lt;keyword&gt;available habitat&lt;/keyword&gt;&lt;keyword&gt;water diversions&lt;/keyword&gt;&lt;keyword&gt;low flow periods&lt;/keyword&gt;&lt;keyword&gt;drought&lt;/keyword&gt;&lt;/keywords&gt;&lt;dates&gt;&lt;year&gt;2006&lt;/year&gt;&lt;/dates&gt;&lt;publisher&gt;John Wiley &amp;amp; Sons, Ltd.&lt;/publisher&gt;&lt;isbn&gt;1535-1467&lt;/isbn&gt;&lt;urls&gt;&lt;related-urls&gt;&lt;url&gt;http://dx.doi.org/10.1002/rra.958&lt;/url&gt;&lt;/related-urls&gt;&lt;/urls&gt;&lt;electronic-resource-num&gt;10.1002/rra.958&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(McKay and King, 2006)</w:t>
      </w:r>
      <w:r w:rsidRPr="00747E35">
        <w:rPr>
          <w:rFonts w:asciiTheme="minorHAnsi" w:hAnsiTheme="minorHAnsi" w:cstheme="minorHAnsi"/>
        </w:rPr>
        <w:fldChar w:fldCharType="end"/>
      </w:r>
      <w:r w:rsidRPr="00747E35">
        <w:rPr>
          <w:rFonts w:asciiTheme="minorHAnsi" w:hAnsiTheme="minorHAnsi" w:cstheme="minorHAnsi"/>
        </w:rPr>
        <w:t xml:space="preserve">. Some riffle fauna may also exploit local hyporheic refuges during drying, or recolonise from such areas if subsurface flows persist in the absence of surface water </w:t>
      </w:r>
      <w:r w:rsidRPr="00747E35">
        <w:rPr>
          <w:rFonts w:asciiTheme="minorHAnsi" w:hAnsiTheme="minorHAnsi" w:cstheme="minorHAnsi"/>
        </w:rPr>
        <w:fldChar w:fldCharType="begin">
          <w:fldData xml:space="preserve">PEVuZE5vdGU+PENpdGU+PEF1dGhvcj5Cb3VsdG9uPC9BdXRob3I+PFllYXI+MjAwMzwvWWVhcj48
UmVjTnVtPjEzNjU8L1JlY051bT48RGlzcGxheVRleHQ+KEJvdWx0b24sIDIwMDM7IEphbWVzPHN0
eWxlIGZhY2U9Iml0YWxpYyI+IGV0IGFsLjwvc3R5bGU+LCAyMDA4KTwvRGlzcGxheVRleHQ+PHJl
Y29yZD48cmVjLW51bWJlcj4xMzY1PC9yZWMtbnVtYmVyPjxmb3JlaWduLWtleXM+PGtleSBhcHA9
IkVOIiBkYi1pZD0iZjA5endkZjI2eGVhc2FldnZzanh2MDBoOXJ4MnY5eGFyZnN3IiB0aW1lc3Rh
bXA9IjE0NzgyMzE0NDUiPjEzNjU8L2tleT48L2ZvcmVpZ24ta2V5cz48cmVmLXR5cGUgbmFtZT0i
Sm91cm5hbCBBcnRpY2xlIj4xNzwvcmVmLXR5cGU+PGNvbnRyaWJ1dG9ycz48YXV0aG9ycz48YXV0
aG9yPkJvdWx0b24sIEFuZHJldyBKLjwvYXV0aG9yPjwvYXV0aG9ycz48L2NvbnRyaWJ1dG9ycz48
dGl0bGVzPjx0aXRsZT5QYXJhbGxlbHMgYW5kIGNvbnRyYXN0cyBpbiB0aGUgZWZmZWN0cyBvZiBk
cm91Z2h0IG9uIHN0cmVhbSBtYWNyb2ludmVydGVicmF0ZSBhc3NlbWJsYWdlczwvdGl0bGU+PHNl
Y29uZGFyeS10aXRsZT5GcmVzaHdhdGVyIEJpb2xvZ3k8L3NlY29uZGFyeS10aXRsZT48L3RpdGxl
cz48cGVyaW9kaWNhbD48ZnVsbC10aXRsZT5GcmVzaHdhdGVyIEJpb2xvZ3k8L2Z1bGwtdGl0bGU+
PC9wZXJpb2RpY2FsPjxwYWdlcz4xMTczLTExODU8L3BhZ2VzPjx2b2x1bWU+NDg8L3ZvbHVtZT48
bnVtYmVyPjc8L251bWJlcj48a2V5d29yZHM+PGtleXdvcmQ+Y2hhbGsgc3RyZWFtczwva2V5d29y
ZD48a2V5d29yZD5kaXN0dXJiYW5jZTwva2V5d29yZD48a2V5d29yZD5kcm91Z2h0PC9rZXl3b3Jk
PjxrZXl3b3JkPmludGVybWl0dGVudCBzdHJlYW1zPC9rZXl3b3JkPjxrZXl3b3JkPm1hY3JvaW52
ZXJ0ZWJyYXRlczwva2V5d29yZD48a2V5d29yZD5zZWRpbWVudGF0aW9uPC9rZXl3b3JkPjwva2V5
d29yZHM+PGRhdGVzPjx5ZWFyPjIwMDM8L3llYXI+PC9kYXRlcz48cHVibGlzaGVyPkJsYWNrd2Vs
bCBTY2llbmNlIEx0ZDwvcHVibGlzaGVyPjxpc2JuPjEzNjUtMjQyNzwvaXNibj48dXJscz48cmVs
YXRlZC11cmxzPjx1cmw+aHR0cDovL2R4LmRvaS5vcmcvMTAuMTA0Ni9qLjEzNjUtMjQyNy4yMDAz
LjAxMDg0Lng8L3VybD48L3JlbGF0ZWQtdXJscz48L3VybHM+PGVsZWN0cm9uaWMtcmVzb3VyY2Ut
bnVtPjEwLjEwNDYvai4xMzY1LTI0MjcuMjAwMy4wMTA4NC54PC9lbGVjdHJvbmljLXJlc291cmNl
LW51bT48L3JlY29yZD48L0NpdGU+PENpdGU+PEF1dGhvcj5KYW1lczwvQXV0aG9yPjxZZWFyPjIw
MDg8L1llYXI+PFJlY051bT4xMzY2PC9SZWNOdW0+PHJlY29yZD48cmVjLW51bWJlcj4xMzY2PC9y
ZWMtbnVtYmVyPjxmb3JlaWduLWtleXM+PGtleSBhcHA9IkVOIiBkYi1pZD0iZjA5endkZjI2eGVh
c2FldnZzanh2MDBoOXJ4MnY5eGFyZnN3IiB0aW1lc3RhbXA9IjE0NzgyMzE1MTAiPjEzNjY8L2tl
eT48L2ZvcmVpZ24ta2V5cz48cmVmLXR5cGUgbmFtZT0iSm91cm5hbCBBcnRpY2xlIj4xNzwvcmVm
LXR5cGU+PGNvbnRyaWJ1dG9ycz48YXV0aG9ycz48YXV0aG9yPkphbWVzLCBBbGV4YW5kZXIgQi4g
Vy48L2F1dGhvcj48YXV0aG9yPkRld3NvbiwgWm/DiyBTLjwvYXV0aG9yPjxhdXRob3I+RGVhdGgs
IFJ1c3NlbGwgRy48L2F1dGhvcj48L2F1dGhvcnM+PC9jb250cmlidXRvcnM+PHRpdGxlcz48dGl0
bGU+RG8gc3RyZWFtIG1hY3JvaW52ZXJ0ZWJyYXRlcyB1c2UgaW5zdHJlYW0gcmVmdWdpYSBpbiBy
ZXNwb25zZSB0byBzZXZlcmUgc2hvcnQtdGVybSBmbG93IHJlZHVjdGlvbiBpbiBOZXcgWmVhbGFu
ZCBzdHJlYW1zPzwvdGl0bGU+PHNlY29uZGFyeS10aXRsZT5GcmVzaHdhdGVyIEJpb2xvZ3k8L3Nl
Y29uZGFyeS10aXRsZT48L3RpdGxlcz48cGVyaW9kaWNhbD48ZnVsbC10aXRsZT5GcmVzaHdhdGVy
IEJpb2xvZ3k8L2Z1bGwtdGl0bGU+PC9wZXJpb2RpY2FsPjxwYWdlcz4xMzE2LTEzMzQ8L3BhZ2Vz
Pjx2b2x1bWU+NTM8L3ZvbHVtZT48bnVtYmVyPjc8L251bWJlcj48a2V5d29yZHM+PGtleXdvcmQ+
YXF1YXRpYyBpbnNlY3RzPC9rZXl3b3JkPjxrZXl3b3JkPmh5cG9yaGVpYyB6b25lPC9rZXl3b3Jk
PjxrZXl3b3JkPmxvdyBmbG93PC9rZXl3b3JkPjxrZXl3b3JkPnBvb2xzPC9rZXl3b3JkPjxrZXl3
b3JkPnJlZHVjZWQgZmxvdzwva2V5d29yZD48L2tleXdvcmRzPjxkYXRlcz48eWVhcj4yMDA4PC95
ZWFyPjwvZGF0ZXM+PHB1Ymxpc2hlcj5CbGFja3dlbGwgUHVibGlzaGluZyBMdGQ8L3B1Ymxpc2hl
cj48aXNibj4xMzY1LTI0Mjc8L2lzYm4+PHVybHM+PHJlbGF0ZWQtdXJscz48dXJsPmh0dHA6Ly9k
eC5kb2kub3JnLzEwLjExMTEvai4xMzY1LTI0MjcuMjAwOC4wMTk2OS54PC91cmw+PC9yZWxhdGVk
LXVybHM+PC91cmxzPjxlbGVjdHJvbmljLXJlc291cmNlLW51bT4xMC4xMTExL2ouMTM2NS0yNDI3
LjIwMDguMDE5NjkueDwvZWxlY3Ryb25pYy1yZXNvdXJjZS1udW0+PC9yZWNvcmQ+PC9DaXRlPjwv
RW5kTm90ZT5=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PEVuZE5vdGU+PENpdGU+PEF1dGhvcj5Cb3VsdG9uPC9BdXRob3I+PFllYXI+MjAwMzwvWWVhcj48
UmVjTnVtPjEzNjU8L1JlY051bT48RGlzcGxheVRleHQ+KEJvdWx0b24sIDIwMDM7IEphbWVzPHN0
eWxlIGZhY2U9Iml0YWxpYyI+IGV0IGFsLjwvc3R5bGU+LCAyMDA4KTwvRGlzcGxheVRleHQ+PHJl
Y29yZD48cmVjLW51bWJlcj4xMzY1PC9yZWMtbnVtYmVyPjxmb3JlaWduLWtleXM+PGtleSBhcHA9
IkVOIiBkYi1pZD0iZjA5endkZjI2eGVhc2FldnZzanh2MDBoOXJ4MnY5eGFyZnN3IiB0aW1lc3Rh
bXA9IjE0NzgyMzE0NDUiPjEzNjU8L2tleT48L2ZvcmVpZ24ta2V5cz48cmVmLXR5cGUgbmFtZT0i
Sm91cm5hbCBBcnRpY2xlIj4xNzwvcmVmLXR5cGU+PGNvbnRyaWJ1dG9ycz48YXV0aG9ycz48YXV0
aG9yPkJvdWx0b24sIEFuZHJldyBKLjwvYXV0aG9yPjwvYXV0aG9ycz48L2NvbnRyaWJ1dG9ycz48
dGl0bGVzPjx0aXRsZT5QYXJhbGxlbHMgYW5kIGNvbnRyYXN0cyBpbiB0aGUgZWZmZWN0cyBvZiBk
cm91Z2h0IG9uIHN0cmVhbSBtYWNyb2ludmVydGVicmF0ZSBhc3NlbWJsYWdlczwvdGl0bGU+PHNl
Y29uZGFyeS10aXRsZT5GcmVzaHdhdGVyIEJpb2xvZ3k8L3NlY29uZGFyeS10aXRsZT48L3RpdGxl
cz48cGVyaW9kaWNhbD48ZnVsbC10aXRsZT5GcmVzaHdhdGVyIEJpb2xvZ3k8L2Z1bGwtdGl0bGU+
PC9wZXJpb2RpY2FsPjxwYWdlcz4xMTczLTExODU8L3BhZ2VzPjx2b2x1bWU+NDg8L3ZvbHVtZT48
bnVtYmVyPjc8L251bWJlcj48a2V5d29yZHM+PGtleXdvcmQ+Y2hhbGsgc3RyZWFtczwva2V5d29y
ZD48a2V5d29yZD5kaXN0dXJiYW5jZTwva2V5d29yZD48a2V5d29yZD5kcm91Z2h0PC9rZXl3b3Jk
PjxrZXl3b3JkPmludGVybWl0dGVudCBzdHJlYW1zPC9rZXl3b3JkPjxrZXl3b3JkPm1hY3JvaW52
ZXJ0ZWJyYXRlczwva2V5d29yZD48a2V5d29yZD5zZWRpbWVudGF0aW9uPC9rZXl3b3JkPjwva2V5
d29yZHM+PGRhdGVzPjx5ZWFyPjIwMDM8L3llYXI+PC9kYXRlcz48cHVibGlzaGVyPkJsYWNrd2Vs
bCBTY2llbmNlIEx0ZDwvcHVibGlzaGVyPjxpc2JuPjEzNjUtMjQyNzwvaXNibj48dXJscz48cmVs
YXRlZC11cmxzPjx1cmw+aHR0cDovL2R4LmRvaS5vcmcvMTAuMTA0Ni9qLjEzNjUtMjQyNy4yMDAz
LjAxMDg0Lng8L3VybD48L3JlbGF0ZWQtdXJscz48L3VybHM+PGVsZWN0cm9uaWMtcmVzb3VyY2Ut
bnVtPjEwLjEwNDYvai4xMzY1LTI0MjcuMjAwMy4wMTA4NC54PC9lbGVjdHJvbmljLXJlc291cmNl
LW51bT48L3JlY29yZD48L0NpdGU+PENpdGU+PEF1dGhvcj5KYW1lczwvQXV0aG9yPjxZZWFyPjIw
MDg8L1llYXI+PFJlY051bT4xMzY2PC9SZWNOdW0+PHJlY29yZD48cmVjLW51bWJlcj4xMzY2PC9y
ZWMtbnVtYmVyPjxmb3JlaWduLWtleXM+PGtleSBhcHA9IkVOIiBkYi1pZD0iZjA5endkZjI2eGVh
c2FldnZzanh2MDBoOXJ4MnY5eGFyZnN3IiB0aW1lc3RhbXA9IjE0NzgyMzE1MTAiPjEzNjY8L2tl
eT48L2ZvcmVpZ24ta2V5cz48cmVmLXR5cGUgbmFtZT0iSm91cm5hbCBBcnRpY2xlIj4xNzwvcmVm
LXR5cGU+PGNvbnRyaWJ1dG9ycz48YXV0aG9ycz48YXV0aG9yPkphbWVzLCBBbGV4YW5kZXIgQi4g
Vy48L2F1dGhvcj48YXV0aG9yPkRld3NvbiwgWm/DiyBTLjwvYXV0aG9yPjxhdXRob3I+RGVhdGgs
IFJ1c3NlbGwgRy48L2F1dGhvcj48L2F1dGhvcnM+PC9jb250cmlidXRvcnM+PHRpdGxlcz48dGl0
bGU+RG8gc3RyZWFtIG1hY3JvaW52ZXJ0ZWJyYXRlcyB1c2UgaW5zdHJlYW0gcmVmdWdpYSBpbiBy
ZXNwb25zZSB0byBzZXZlcmUgc2hvcnQtdGVybSBmbG93IHJlZHVjdGlvbiBpbiBOZXcgWmVhbGFu
ZCBzdHJlYW1zPzwvdGl0bGU+PHNlY29uZGFyeS10aXRsZT5GcmVzaHdhdGVyIEJpb2xvZ3k8L3Nl
Y29uZGFyeS10aXRsZT48L3RpdGxlcz48cGVyaW9kaWNhbD48ZnVsbC10aXRsZT5GcmVzaHdhdGVy
IEJpb2xvZ3k8L2Z1bGwtdGl0bGU+PC9wZXJpb2RpY2FsPjxwYWdlcz4xMzE2LTEzMzQ8L3BhZ2Vz
Pjx2b2x1bWU+NTM8L3ZvbHVtZT48bnVtYmVyPjc8L251bWJlcj48a2V5d29yZHM+PGtleXdvcmQ+
YXF1YXRpYyBpbnNlY3RzPC9rZXl3b3JkPjxrZXl3b3JkPmh5cG9yaGVpYyB6b25lPC9rZXl3b3Jk
PjxrZXl3b3JkPmxvdyBmbG93PC9rZXl3b3JkPjxrZXl3b3JkPnBvb2xzPC9rZXl3b3JkPjxrZXl3
b3JkPnJlZHVjZWQgZmxvdzwva2V5d29yZD48L2tleXdvcmRzPjxkYXRlcz48eWVhcj4yMDA4PC95
ZWFyPjwvZGF0ZXM+PHB1Ymxpc2hlcj5CbGFja3dlbGwgUHVibGlzaGluZyBMdGQ8L3B1Ymxpc2hl
cj48aXNibj4xMzY1LTI0Mjc8L2lzYm4+PHVybHM+PHJlbGF0ZWQtdXJscz48dXJsPmh0dHA6Ly9k
eC5kb2kub3JnLzEwLjExMTEvai4xMzY1LTI0MjcuMjAwOC4wMTk2OS54PC91cmw+PC9yZWxhdGVk
LXVybHM+PC91cmxzPjxlbGVjdHJvbmljLXJlc291cmNlLW51bT4xMC4xMTExL2ouMTM2NS0yNDI3
LjIwMDguMDE5NjkueDwvZWxlY3Ryb25pYy1yZXNvdXJjZS1udW0+PC9yZWNvcmQ+PC9DaXRlPjwv
RW5kTm90ZT5=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(Boulton, 2003; James</w:t>
      </w:r>
      <w:r w:rsidRPr="00747E35">
        <w:rPr>
          <w:rFonts w:asciiTheme="minorHAnsi" w:hAnsiTheme="minorHAnsi" w:cstheme="minorHAnsi"/>
          <w:i/>
          <w:noProof/>
        </w:rPr>
        <w:t xml:space="preserve"> et al.</w:t>
      </w:r>
      <w:r w:rsidRPr="00747E35">
        <w:rPr>
          <w:rFonts w:asciiTheme="minorHAnsi" w:hAnsiTheme="minorHAnsi" w:cstheme="minorHAnsi"/>
          <w:noProof/>
        </w:rPr>
        <w:t>, 2008)</w:t>
      </w:r>
      <w:r w:rsidRPr="00747E35">
        <w:rPr>
          <w:rFonts w:asciiTheme="minorHAnsi" w:hAnsiTheme="minorHAnsi" w:cstheme="minorHAnsi"/>
        </w:rPr>
        <w:fldChar w:fldCharType="end"/>
      </w:r>
      <w:r w:rsidRPr="00747E35">
        <w:rPr>
          <w:rFonts w:asciiTheme="minorHAnsi" w:hAnsiTheme="minorHAnsi" w:cstheme="minorHAnsi"/>
        </w:rPr>
        <w:t xml:space="preserve">. Continuous surface flow (i.e. baseflow derived from groundwater) can also buffer temperature extremes relative to the surrounding air </w:t>
      </w:r>
      <w:r w:rsidRPr="00747E35">
        <w:rPr>
          <w:rFonts w:asciiTheme="minorHAnsi" w:hAnsiTheme="minorHAnsi" w:cstheme="minorHAnsi"/>
        </w:rPr>
        <w:fldChar w:fldCharType="begin"/>
      </w:r>
      <w:r w:rsidRPr="00747E35">
        <w:rPr>
          <w:rFonts w:asciiTheme="minorHAnsi" w:hAnsiTheme="minorHAnsi" w:cstheme="minorHAnsi"/>
        </w:rPr>
        <w:instrText xml:space="preserve"> ADDIN PAPERS2_CITATIONS &lt;citation&gt;&lt;uuid&gt;B5A334C3-834C-4A44-B73D-652FF1E872CB&lt;/uuid&gt;&lt;priority&gt;0&lt;/priority&gt;&lt;publications&gt;&lt;publication&gt;&lt;publication_date&gt;99201412011200000000222000&lt;/publication_date&gt;&lt;startpage&gt;n/a&lt;/startpage&gt;&lt;doi&gt;10.1111/fwb.12515&lt;/doi&gt;&lt;title&gt;Ecological effects of extreme climatic events on riverine ecosystems: insights from Australia&lt;/title&gt;&lt;uuid&gt;78226F6C-9983-4B52-8C6E-B6E54B22C21E&lt;/uuid&gt;&lt;subtype&gt;400&lt;/subtype&gt;&lt;endpage&gt;n/a&lt;/endpage&gt;&lt;type&gt;400&lt;/type&gt;&lt;url&gt;http://onlinelibrary.wiley.com.libraryproxy.griffith.edu.au/doi/10.1111/fwb.12515/full&lt;/url&gt;&lt;bundle&gt;&lt;publication&gt;&lt;publisher&gt;Wiley Online Library&lt;/publisher&gt;&lt;url&gt;http://onlinelibrary.wiley.com&lt;/url&gt;&lt;title&gt;Freshwater Biology&lt;/title&gt;&lt;type&gt;-100&lt;/type&gt;&lt;subtype&gt;-100&lt;/subtype&gt;&lt;uuid&gt;0067BDEE-665B-4F92-A434-0AFD87812E86&lt;/uuid&gt;&lt;/publication&gt;&lt;/bundle&gt;&lt;authors&gt;&lt;author&gt;&lt;firstName&gt;Catherine&lt;/firstName&gt;&lt;lastName&gt;Leigh&lt;/lastName&gt;&lt;/author&gt;&lt;author&gt;&lt;firstName&gt;Alex&lt;/firstName&gt;&lt;lastName&gt;Bush&lt;/lastName&gt;&lt;/author&gt;&lt;author&gt;&lt;firstName&gt;Evan&lt;/firstName&gt;&lt;middleNames&gt;T&lt;/middleNames&gt;&lt;lastName&gt;Harrison&lt;/lastName&gt;&lt;/author&gt;&lt;author&gt;&lt;firstName&gt;Susie&lt;/firstName&gt;&lt;middleNames&gt;S&lt;/middleNames&gt;&lt;lastName&gt;Ho&lt;/lastName&gt;&lt;/author&gt;&lt;author&gt;&lt;firstName&gt;Laurisse&lt;/firstName&gt;&lt;lastName&gt;Luke&lt;/lastName&gt;&lt;/author&gt;&lt;author&gt;&lt;firstName&gt;Robert&lt;/firstName&gt;&lt;middleNames&gt;J&lt;/middleNames&gt;&lt;lastName&gt;Rolls&lt;/lastName&gt;&lt;/author&gt;&lt;author&gt;&lt;firstName&gt;Mark&lt;/firstName&gt;&lt;middleNames&gt;E&lt;/middleNames&gt;&lt;lastName&gt;Ledger&lt;/lastName&gt;&lt;/author&gt;&lt;/authors&gt;&lt;/publication&gt;&lt;/publications&gt;&lt;cites&gt;&lt;/cites&gt;&lt;/citation&gt;</w:instrText>
      </w:r>
      <w:r w:rsidRPr="00747E35">
        <w:rPr>
          <w:rFonts w:asciiTheme="minorHAnsi" w:hAnsiTheme="minorHAnsi" w:cstheme="minorHAnsi"/>
        </w:rPr>
        <w:fldChar w:fldCharType="end"/>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&lt;EndNote&gt;&lt;Cite&gt;&lt;Author&gt;Leigh&lt;/Author&gt;&lt;Year&gt;2015&lt;/Year&gt;&lt;RecNum&gt;1212&lt;/RecNum&gt;&lt;DisplayText&gt;(Leigh&lt;style face="italic"&gt; et al.&lt;/style&gt;, 2015)&lt;/DisplayText&gt;&lt;record&gt;&lt;rec-number&gt;1212&lt;/rec-number&gt;&lt;foreign-keys&gt;&lt;key app="EN" db-id="f09zwdf26xeasaevvsjxv00h9rx2v9xarfsw" timestamp="1447811954"&gt;1212&lt;/key&gt;&lt;/foreign-keys&gt;&lt;ref-type name="Journal Article"&gt;17&lt;/ref-type&gt;&lt;contributors&gt;&lt;authors&gt;&lt;author&gt;Leigh, C.&lt;/author&gt;&lt;author&gt;Bush, A.&lt;/author&gt;&lt;author&gt;Harrison, E. T.&lt;/author&gt;&lt;author&gt;Ho, S. S.&lt;/author&gt;&lt;author&gt;Luke, L.&lt;/author&gt;&lt;author&gt;Rolls, R. J.&lt;/author&gt;&lt;author&gt;Ledger, M. E.&lt;/author&gt;&lt;/authors&gt;&lt;/contributors&gt;&lt;titles&gt;&lt;title&gt;Ecological effects of extreme climatic events on riverine ecosystems: Insights from Australia&lt;/title&gt;&lt;secondary-title&gt;Freshwater Biology&lt;/secondary-title&gt;&lt;/titles&gt;&lt;periodical&gt;&lt;full-title&gt;Freshwater Biology&lt;/full-title&gt;&lt;/periodical&gt;&lt;pages&gt;2620-2638&lt;/pages&gt;&lt;volume&gt;60&lt;/volume&gt;&lt;number&gt;12&lt;/number&gt;&lt;dates&gt;&lt;year&gt;2015&lt;/year&gt;&lt;/dates&gt;&lt;urls&gt;&lt;related-urls&gt;&lt;url&gt;http://www.scopus.com/inward/record.url?eid=2-s2.0-84946478505&amp;amp;partnerID=40&amp;amp;md5=fa4b0e74074df10ebc3bc7426dfad739&lt;/url&gt;&lt;/related-urls&gt;&lt;/urls&gt;&lt;electronic-resource-num&gt;10.1111/fwb.12515&lt;/electronic-resource-num&gt;&lt;remote-database-name&gt;Scopus&lt;/remote-database-name&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(Leigh</w:t>
      </w:r>
      <w:r w:rsidRPr="00747E35">
        <w:rPr>
          <w:rFonts w:asciiTheme="minorHAnsi" w:hAnsiTheme="minorHAnsi" w:cstheme="minorHAnsi"/>
          <w:i/>
          <w:noProof/>
        </w:rPr>
        <w:t xml:space="preserve"> et al.</w:t>
      </w:r>
      <w:r w:rsidRPr="00747E35">
        <w:rPr>
          <w:rFonts w:asciiTheme="minorHAnsi" w:hAnsiTheme="minorHAnsi" w:cstheme="minorHAnsi"/>
          <w:noProof/>
        </w:rPr>
        <w:t>, 2015)</w:t>
      </w:r>
      <w:r w:rsidRPr="00747E35">
        <w:rPr>
          <w:rFonts w:asciiTheme="minorHAnsi" w:hAnsiTheme="minorHAnsi" w:cstheme="minorHAnsi"/>
        </w:rPr>
        <w:fldChar w:fldCharType="end"/>
      </w:r>
      <w:r w:rsidRPr="00747E35">
        <w:rPr>
          <w:rFonts w:asciiTheme="minorHAnsi" w:hAnsiTheme="minorHAnsi" w:cstheme="minorHAnsi"/>
        </w:rPr>
        <w:t xml:space="preserve"> and help maintain higher dissolved oxygen concentrations and lower salinities, both of which can be critical to the survival of numerous vertebrate and invertebrate taxa in wetted habitats. Areas of groundwater and hyporheic upwelling within pools can also provide critical thermal refuges for fish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&lt;EndNote&gt;&lt;Cite&gt;&lt;Author&gt;Ebersole&lt;/Author&gt;&lt;Year&gt;2001&lt;/Year&gt;&lt;RecNum&gt;1368&lt;/RecNum&gt;&lt;DisplayText&gt;(Ebersole&lt;style face="italic"&gt; et al.&lt;/style&gt;, 2001)&lt;/DisplayText&gt;&lt;record&gt;&lt;rec-number&gt;1368&lt;/rec-number&gt;&lt;foreign-keys&gt;&lt;key app="EN" db-id="f09zwdf26xeasaevvsjxv00h9rx2v9xarfsw" timestamp="1478231661"&gt;1368&lt;/key&gt;&lt;/foreign-keys&gt;&lt;ref-type name="Journal Article"&gt;17&lt;/ref-type&gt;&lt;contributors&gt;&lt;authors&gt;&lt;author&gt;Ebersole, J. L.&lt;/author&gt;&lt;author&gt;Liss, W. J.&lt;/author&gt;&lt;author&gt;Frissell, C. A.&lt;/author&gt;&lt;/authors&gt;&lt;/contributors&gt;&lt;titles&gt;&lt;title&gt;Relationship between stream temperature, thermal refugia and rainbow trout Oncorhynchus mykiss abundance in arid-land streams in the northwestern United States&lt;/title&gt;&lt;secondary-title&gt;Ecology of Freshwater Fish&lt;/secondary-title&gt;&lt;/titles&gt;&lt;periodical&gt;&lt;full-title&gt;Ecology of Freshwater Fish&lt;/full-title&gt;&lt;/periodical&gt;&lt;pages&gt;1-10&lt;/pages&gt;&lt;volume&gt;10&lt;/volume&gt;&lt;number&gt;1&lt;/number&gt;&lt;keywords&gt;&lt;keyword&gt;stream temperature&lt;/keyword&gt;&lt;keyword&gt;refugia&lt;/keyword&gt;&lt;keyword&gt;rainbow trout&lt;/keyword&gt;&lt;/keywords&gt;&lt;dates&gt;&lt;year&gt;2001&lt;/year&gt;&lt;/dates&gt;&lt;publisher&gt;Blackwell Publishing Ltd&lt;/publisher&gt;&lt;isbn&gt;1600-0633&lt;/isbn&gt;&lt;urls&gt;&lt;related-urls&gt;&lt;url&gt;http://dx.doi.org/10.1034/j.1600-0633.2001.100101.x&lt;/url&gt;&lt;/related-urls&gt;&lt;/urls&gt;&lt;electronic-resource-num&gt;10.1034/j.1600-0633.2001.100101.x&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(Ebersole</w:t>
      </w:r>
      <w:r w:rsidRPr="00747E35">
        <w:rPr>
          <w:rFonts w:asciiTheme="minorHAnsi" w:hAnsiTheme="minorHAnsi" w:cstheme="minorHAnsi"/>
          <w:i/>
          <w:noProof/>
        </w:rPr>
        <w:t xml:space="preserve"> et al.</w:t>
      </w:r>
      <w:r w:rsidRPr="00747E35">
        <w:rPr>
          <w:rFonts w:asciiTheme="minorHAnsi" w:hAnsiTheme="minorHAnsi" w:cstheme="minorHAnsi"/>
          <w:noProof/>
        </w:rPr>
        <w:t>, 2001)</w:t>
      </w:r>
      <w:r w:rsidRPr="00747E35">
        <w:rPr>
          <w:rFonts w:asciiTheme="minorHAnsi" w:hAnsiTheme="minorHAnsi" w:cstheme="minorHAnsi"/>
        </w:rPr>
        <w:fldChar w:fldCharType="end"/>
      </w:r>
      <w:r w:rsidRPr="00747E35">
        <w:rPr>
          <w:rFonts w:asciiTheme="minorHAnsi" w:hAnsiTheme="minorHAnsi" w:cstheme="minorHAnsi"/>
        </w:rPr>
        <w:t xml:space="preserve">. </w:t>
      </w:r>
    </w:p>
    <w:p w14:paraId="29254AC6"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In naturally intermittent streams, baseflows can play an important role in maintaining aquatic habitats and has consequences for biological structure. For example, groundwater contributions can maintain pool habitats long after surface flows have ceased, either through sustained subsurface flows within the stream channel itself, from localised upwelling of groundwater as springs, or via deep pools intercepting the regional water table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&lt;EndNote&gt;&lt;Cite&gt;&lt;Author&gt;Davis&lt;/Author&gt;&lt;Year&gt;2013&lt;/Year&gt;&lt;RecNum&gt;1369&lt;/RecNum&gt;&lt;DisplayText&gt;(Davis&lt;style face="italic"&gt; et al.&lt;/style&gt;, 2013a)&lt;/DisplayText&gt;&lt;record&gt;&lt;rec-number&gt;1369&lt;/rec-number&gt;&lt;foreign-keys&gt;&lt;key app="EN" db-id="f09zwdf26xeasaevvsjxv00h9rx2v9xarfsw" timestamp="1478231795"&gt;1369&lt;/key&gt;&lt;/foreign-keys&gt;&lt;ref-type name="Journal Article"&gt;17&lt;/ref-type&gt;&lt;contributors&gt;&lt;authors&gt;&lt;author&gt;Davis, J.&lt;/author&gt;&lt;author&gt;Pavlova, A.&lt;/author&gt;&lt;author&gt;Thompson, R.&lt;/author&gt;&lt;author&gt;Sunnucks, P.&lt;/author&gt;&lt;/authors&gt;&lt;/contributors&gt;&lt;titles&gt;&lt;title&gt;Evolutionary refugia and ecological refuges: Key concepts for conserving Australian arid zone freshwater biodiversity under climate change&lt;/title&gt;&lt;secondary-title&gt;Global Change Biology&lt;/secondary-title&gt;&lt;/titles&gt;&lt;periodical&gt;&lt;full-title&gt;Global Change Biology&lt;/full-title&gt;&lt;/periodical&gt;&lt;pages&gt;1970-1984&lt;/pages&gt;&lt;volume&gt;19&lt;/volume&gt;&lt;number&gt;7&lt;/number&gt;&lt;dates&gt;&lt;year&gt;2013&lt;/year&gt;&lt;/dates&gt;&lt;work-type&gt;Review&lt;/work-type&gt;&lt;urls&gt;&lt;related-urls&gt;&lt;url&gt;https://www.scopus.com/inward/record.uri?eid=2-s2.0-84878645561&amp;amp;partnerID=40&amp;amp;md5=cf5a09a8953c24d36e226cf4cf358191&lt;/url&gt;&lt;/related-urls&gt;&lt;/urls&gt;&lt;electronic-resource-num&gt;10.1111/gcb.12203&lt;/electronic-resource-num&gt;&lt;remote-database-name&gt;Scopus&lt;/remote-database-name&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(Davis</w:t>
      </w:r>
      <w:r w:rsidRPr="00747E35">
        <w:rPr>
          <w:rFonts w:asciiTheme="minorHAnsi" w:hAnsiTheme="minorHAnsi" w:cstheme="minorHAnsi"/>
          <w:i/>
          <w:noProof/>
        </w:rPr>
        <w:t xml:space="preserve"> et al.</w:t>
      </w:r>
      <w:r w:rsidRPr="00747E35">
        <w:rPr>
          <w:rFonts w:asciiTheme="minorHAnsi" w:hAnsiTheme="minorHAnsi" w:cstheme="minorHAnsi"/>
          <w:noProof/>
        </w:rPr>
        <w:t>, 2013a)</w:t>
      </w:r>
      <w:r w:rsidRPr="00747E35">
        <w:rPr>
          <w:rFonts w:asciiTheme="minorHAnsi" w:hAnsiTheme="minorHAnsi" w:cstheme="minorHAnsi"/>
        </w:rPr>
        <w:fldChar w:fldCharType="end"/>
      </w:r>
      <w:r w:rsidRPr="00747E35">
        <w:rPr>
          <w:rFonts w:asciiTheme="minorHAnsi" w:hAnsiTheme="minorHAnsi" w:cstheme="minorHAnsi"/>
        </w:rPr>
        <w:t xml:space="preserve">. The relative contribution of these different mechanisms will vary with climate, geology, and channel morphology and substrate type. Even in rivers with no subsurface flow or groundwater connections, variation in the duration of cease-to-flow spells caused by longer-term climate cycles can greatly influence the amount of surface habitat that persists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&lt;EndNote&gt;&lt;Cite&gt;&lt;Author&gt;Perry&lt;/Author&gt;&lt;Year&gt;2009&lt;/Year&gt;&lt;RecNum&gt;1370&lt;/RecNum&gt;&lt;DisplayText&gt;(Perry and Bond, 2009)&lt;/DisplayText&gt;&lt;record&gt;&lt;rec-number&gt;1370&lt;/rec-number&gt;&lt;foreign-keys&gt;&lt;key app="EN" db-id="f09zwdf26xeasaevvsjxv00h9rx2v9xarfsw" timestamp="1478231859"&gt;1370&lt;/key&gt;&lt;/foreign-keys&gt;&lt;ref-type name="Journal Article"&gt;17&lt;/ref-type&gt;&lt;contributors&gt;&lt;authors&gt;&lt;author&gt;Perry, George L. W.&lt;/author&gt;&lt;author&gt;Bond, Nicholas R.&lt;/author&gt;&lt;/authors&gt;&lt;/contributors&gt;&lt;titles&gt;&lt;title&gt;Spatially explicit modeling of habitat dynamics and fish population persistence in an intermittent lowland stream&lt;/title&gt;&lt;secondary-title&gt;Ecological Applications&lt;/secondary-title&gt;&lt;/titles&gt;&lt;periodical&gt;&lt;full-title&gt;Ecological Applications&lt;/full-title&gt;&lt;/periodical&gt;&lt;pages&gt;731-746&lt;/pages&gt;&lt;volume&gt;19&lt;/volume&gt;&lt;number&gt;3&lt;/number&gt;&lt;keywords&gt;&lt;keyword&gt;carp gudgeon&lt;/keyword&gt;&lt;keyword&gt;drought&lt;/keyword&gt;&lt;keyword&gt;extinction&lt;/keyword&gt;&lt;keyword&gt;fish population dynamics&lt;/keyword&gt;&lt;keyword&gt;Hypseleotris spp.&lt;/keyword&gt;&lt;keyword&gt;intermittent flow&lt;/keyword&gt;&lt;keyword&gt;refugia&lt;/keyword&gt;&lt;keyword&gt;spatially explicit individual-based model (SEIBM)&lt;/keyword&gt;&lt;keyword&gt;Victoria&lt;/keyword&gt;&lt;keyword&gt;southeastern Australia&lt;/keyword&gt;&lt;/keywords&gt;&lt;dates&gt;&lt;year&gt;2009&lt;/year&gt;&lt;/dates&gt;&lt;publisher&gt;Ecological Society of America&lt;/publisher&gt;&lt;isbn&gt;1939-5582&lt;/isbn&gt;&lt;urls&gt;&lt;related-urls&gt;&lt;url&gt;http://dx.doi.org/10.1890/08-0651.1&lt;/url&gt;&lt;/related-urls&gt;&lt;/urls&gt;&lt;electronic-resource-num&gt;10.1890/08-0651.1&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(Perry and Bond, 2009)</w:t>
      </w:r>
      <w:r w:rsidRPr="00747E35">
        <w:rPr>
          <w:rFonts w:asciiTheme="minorHAnsi" w:hAnsiTheme="minorHAnsi" w:cstheme="minorHAnsi"/>
        </w:rPr>
        <w:fldChar w:fldCharType="end"/>
      </w:r>
      <w:r w:rsidRPr="00747E35">
        <w:rPr>
          <w:rFonts w:asciiTheme="minorHAnsi" w:hAnsiTheme="minorHAnsi" w:cstheme="minorHAnsi"/>
        </w:rPr>
        <w:t xml:space="preserve">. Numerous studies have also demonstrated the negative effects of decreasing flow permanence and pool persistence on fish diversity and abundance </w:t>
      </w:r>
      <w:r w:rsidRPr="00747E35">
        <w:rPr>
          <w:rFonts w:asciiTheme="minorHAnsi" w:hAnsiTheme="minorHAnsi" w:cstheme="minorHAnsi"/>
        </w:rPr>
        <w:fldChar w:fldCharType="begin">
          <w:fldData xml:space="preserve">PEVuZE5vdGU+PENpdGU+PEF1dGhvcj5GcmVlbWFuPC9BdXRob3I+PFllYXI+MjAxMzwvWWVhcj48
UmVjTnVtPjEzNzE8L1JlY051bT48RGlzcGxheVRleHQ+KExhYmJlIGFuZCBGYXVzY2gsIDIwMDA7
IEZyZWVtYW48c3R5bGUgZmFjZT0iaXRhbGljIj4gZXQgYWwuPC9zdHlsZT4sIDIwMTMpPC9EaXNw
bGF5VGV4dD48cmVjb3JkPjxyZWMtbnVtYmVyPjEzNzE8L3JlYy1udW1iZXI+PGZvcmVpZ24ta2V5
cz48a2V5IGFwcD0iRU4iIGRiLWlkPSJmMDl6d2RmMjZ4ZWFzYWV2dnNqeHYwMGg5cngydjl4YXJm
c3ciIHRpbWVzdGFtcD0iMTQ3ODIzMTkzMyI+MTM3MTwva2V5PjwvZm9yZWlnbi1rZXlzPjxyZWYt
dHlwZSBuYW1lPSJKb3VybmFsIEFydGljbGUiPjE3PC9yZWYtdHlwZT48Y29udHJpYnV0b3JzPjxh
dXRob3JzPjxhdXRob3I+RnJlZW1hbiwgTS4gQy48L2F1dGhvcj48YXV0aG9yPkJ1ZWxsLCBHLiBS
LjwvYXV0aG9yPjxhdXRob3I+SGF5LCBMLiBFLjwvYXV0aG9yPjxhdXRob3I+SHVnaGVzLCBXLiBC
LjwvYXV0aG9yPjxhdXRob3I+SmFjb2Jzb24sIFIuIEIuPC9hdXRob3I+PGF1dGhvcj5Kb25lcywg
Si4gVy48L2F1dGhvcj48YXV0aG9yPkpvbmVzLCBTLiBBLjwvYXV0aG9yPjxhdXRob3I+TGFmb250
YWluZSwgSi4gSC48L2F1dGhvcj48YXV0aG9yPk9kb20sIEsuIFIuPC9hdXRob3I+PGF1dGhvcj5Q
ZXRlcnNvbiwgSi4gVC48L2F1dGhvcj48YXV0aG9yPlJpbGV5LCBKLiBXLjwvYXV0aG9yPjxhdXRo
b3I+U2NoaW5kbGVyLCBKLiBTLjwvYXV0aG9yPjxhdXRob3I+U2hlYSwgQy48L2F1dGhvcj48YXV0
aG9yPldlYXZlciwgSi4gRC48L2F1dGhvcj48L2F1dGhvcnM+PC9jb250cmlidXRvcnM+PHRpdGxl
cz48dGl0bGU+TGlua2luZyByaXZlciBtYW5hZ2VtZW50IHRvIHNwZWNpZXMgY29uc2VydmF0aW9u
IHVzaW5nIGR5bmFtaWMgbGFuZHNjYXBlLXNjYWxlIG1vZGVsczwvdGl0bGU+PHNlY29uZGFyeS10
aXRsZT5SaXZlciBSZXNlYXJjaCBhbmQgQXBwbGljYXRpb25zPC9zZWNvbmRhcnktdGl0bGU+PC90
aXRsZXM+PHBlcmlvZGljYWw+PGZ1bGwtdGl0bGU+Uml2ZXIgUmVzZWFyY2ggYW5kIEFwcGxpY2F0
aW9uczwvZnVsbC10aXRsZT48L3BlcmlvZGljYWw+PHBhZ2VzPjkwNi05MTg8L3BhZ2VzPjx2b2x1
bWU+Mjk8L3ZvbHVtZT48bnVtYmVyPjc8L251bWJlcj48a2V5d29yZHM+PGtleXdvcmQ+YXF1YXRp
YyBiaW9kaXZlcnNpdHk8L2tleXdvcmQ+PGtleXdvcmQ+ZnJlc2h3YXRlciBmaXNoZXM8L2tleXdv
cmQ+PGtleXdvcmQ+aHlkcm9sb2dpYyBtb2RlbHM8L2tleXdvcmQ+PGtleXdvcmQ+Zmx1dmlhbCBn
ZW9tb3JwaG9sb2d5PC9rZXl3b3JkPjxrZXl3b3JkPm1ldGFwb3B1bGF0aW9uIGR5bmFtaWNzPC9r
ZXl3b3JkPjwva2V5d29yZHM+PGRhdGVzPjx5ZWFyPjIwMTM8L3llYXI+PC9kYXRlcz48aXNibj4x
NTM1LTE0Njc8L2lzYm4+PHVybHM+PHJlbGF0ZWQtdXJscz48dXJsPmh0dHA6Ly9keC5kb2kub3Jn
LzEwLjEwMDIvcnJhLjI1NzU8L3VybD48L3JlbGF0ZWQtdXJscz48L3VybHM+PGVsZWN0cm9uaWMt
cmVzb3VyY2UtbnVtPjEwLjEwMDIvcnJhLjI1NzU8L2VsZWN0cm9uaWMtcmVzb3VyY2UtbnVtPjwv
cmVjb3JkPjwvQ2l0ZT48Q2l0ZT48QXV0aG9yPkxhYmJlPC9BdXRob3I+PFllYXI+MjAwMDwvWWVh
cj48UmVjTnVtPjEzNTY8L1JlY051bT48cmVjb3JkPjxyZWMtbnVtYmVyPjEzNTY8L3JlYy1udW1i
ZXI+PGZvcmVpZ24ta2V5cz48a2V5IGFwcD0iRU4iIGRiLWlkPSJmMDl6d2RmMjZ4ZWFzYWV2dnNq
eHYwMGg5cngydjl4YXJmc3ciIHRpbWVzdGFtcD0iMTQ3ODIyMTAyNCI+MTM1Njwva2V5PjwvZm9y
ZWlnbi1rZXlzPjxyZWYtdHlwZSBuYW1lPSJKb3VybmFsIEFydGljbGUiPjE3PC9yZWYtdHlwZT48
Y29udHJpYnV0b3JzPjxhdXRob3JzPjxhdXRob3I+TGFiYmUsIFRoZW9kb3JlIFIuPC9hdXRob3I+
PGF1dGhvcj5GYXVzY2gsIEt1cnQgRC48L2F1dGhvcj48L2F1dGhvcnM+PC9jb250cmlidXRvcnM+
PHRpdGxlcz48dGl0bGU+RHluYW1pY3Mgb2YgaW50ZXJtaXR0ZW50IHN0cmVhbSBoYWJpdGF0IHJl
Z3VsYXRlIHBlcnNpc3RlbmNlIG9mIGEgdGhyZWF0ZW5lZCBmaXNoIGF0IG11bHRpcGxlIHNjYWxl
czwvdGl0bGU+PHNlY29uZGFyeS10aXRsZT5FY29sb2dpY2FsIEFwcGxpY2F0aW9uczwvc2Vjb25k
YXJ5LXRpdGxlPjwvdGl0bGVzPjxwZXJpb2RpY2FsPjxmdWxsLXRpdGxlPkVjb2xvZ2ljYWwgQXBw
bGljYXRpb25zPC9mdWxsLXRpdGxlPjwvcGVyaW9kaWNhbD48cGFnZXM+MTc3NC0xNzkxPC9wYWdl
cz48dm9sdW1lPjEwPC92b2x1bWU+PG51bWJlcj42PC9udW1iZXI+PGtleXdvcmRzPjxrZXl3b3Jk
PmRpc3BlcnNhbDwva2V5d29yZD48a2V5d29yZD5FdGhlb3N0b21hIGNyYWdpbmk8L2tleXdvcmQ+
PGtleXdvcmQ+Zmxvb2RzPC9rZXl3b3JkPjxrZXl3b3JkPmhhYml0YXQtc3BlY2lmaWMgZGVtb2dy
YXBoeTwva2V5d29yZD48a2V5d29yZD5pbnRlcm1pdHRlbnQgc3RyZWFtczwva2V5d29yZD48a2V5
d29yZD5pbnRyb2R1Y2VkIHByZWRhdG9yPC9rZXl3b3JkPjxrZXl3b3JkPnBvcHVsYXRpb24gcGVy
c2lzdGVuY2U8L2tleXdvcmQ+PGtleXdvcmQ+c2NhbGU8L2tleXdvcmQ+PGtleXdvcmQ+c291cmNl
LXNpbmsgZHluYW1pY3M8L2tleXdvcmQ+PGtleXdvcmQ+c3RyZWFtIGZpc2g8L2tleXdvcmQ+PC9r
ZXl3b3Jkcz48ZGF0ZXM+PHllYXI+MjAwMDwveWVhcj48L2RhdGVzPjxwdWJsaXNoZXI+RWNvbG9n
aWNhbCBTb2NpZXR5IG9mIEFtZXJpY2E8L3B1Ymxpc2hlcj48aXNibj4xOTM5LTU1ODI8L2lzYm4+
PHVybHM+PHJlbGF0ZWQtdXJscz48dXJsPmh0dHA6Ly9keC5kb2kub3JnLzEwLjE4OTAvMTA1MS0w
NzYxKDIwMDApMDEwWzE3NzQ6RE9JU0hSXTIuMC5DTzsyPC91cmw+PC9yZWxhdGVkLXVybHM+PC91
cmxzPjxlbGVjdHJvbmljLXJlc291cmNlLW51bT4xMC4xODkwLzEwNTEtMDc2MSgyMDAwKTAxMFsx
Nzc0OkRPSVNIUl0yLjAuQ087MjwvZWxlY3Ryb25pYy1yZXNvdXJjZS1udW0+PC9yZWNvcmQ+PC9D
aXRlPjwvRW5kTm90ZT4A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PEVuZE5vdGU+PENpdGU+PEF1dGhvcj5GcmVlbWFuPC9BdXRob3I+PFllYXI+MjAxMzwvWWVhcj48
UmVjTnVtPjEzNzE8L1JlY051bT48RGlzcGxheVRleHQ+KExhYmJlIGFuZCBGYXVzY2gsIDIwMDA7
IEZyZWVtYW48c3R5bGUgZmFjZT0iaXRhbGljIj4gZXQgYWwuPC9zdHlsZT4sIDIwMTMpPC9EaXNw
bGF5VGV4dD48cmVjb3JkPjxyZWMtbnVtYmVyPjEzNzE8L3JlYy1udW1iZXI+PGZvcmVpZ24ta2V5
cz48a2V5IGFwcD0iRU4iIGRiLWlkPSJmMDl6d2RmMjZ4ZWFzYWV2dnNqeHYwMGg5cngydjl4YXJm
c3ciIHRpbWVzdGFtcD0iMTQ3ODIzMTkzMyI+MTM3MTwva2V5PjwvZm9yZWlnbi1rZXlzPjxyZWYt
dHlwZSBuYW1lPSJKb3VybmFsIEFydGljbGUiPjE3PC9yZWYtdHlwZT48Y29udHJpYnV0b3JzPjxh
dXRob3JzPjxhdXRob3I+RnJlZW1hbiwgTS4gQy48L2F1dGhvcj48YXV0aG9yPkJ1ZWxsLCBHLiBS
LjwvYXV0aG9yPjxhdXRob3I+SGF5LCBMLiBFLjwvYXV0aG9yPjxhdXRob3I+SHVnaGVzLCBXLiBC
LjwvYXV0aG9yPjxhdXRob3I+SmFjb2Jzb24sIFIuIEIuPC9hdXRob3I+PGF1dGhvcj5Kb25lcywg
Si4gVy48L2F1dGhvcj48YXV0aG9yPkpvbmVzLCBTLiBBLjwvYXV0aG9yPjxhdXRob3I+TGFmb250
YWluZSwgSi4gSC48L2F1dGhvcj48YXV0aG9yPk9kb20sIEsuIFIuPC9hdXRob3I+PGF1dGhvcj5Q
ZXRlcnNvbiwgSi4gVC48L2F1dGhvcj48YXV0aG9yPlJpbGV5LCBKLiBXLjwvYXV0aG9yPjxhdXRo
b3I+U2NoaW5kbGVyLCBKLiBTLjwvYXV0aG9yPjxhdXRob3I+U2hlYSwgQy48L2F1dGhvcj48YXV0
aG9yPldlYXZlciwgSi4gRC48L2F1dGhvcj48L2F1dGhvcnM+PC9jb250cmlidXRvcnM+PHRpdGxl
cz48dGl0bGU+TGlua2luZyByaXZlciBtYW5hZ2VtZW50IHRvIHNwZWNpZXMgY29uc2VydmF0aW9u
IHVzaW5nIGR5bmFtaWMgbGFuZHNjYXBlLXNjYWxlIG1vZGVsczwvdGl0bGU+PHNlY29uZGFyeS10
aXRsZT5SaXZlciBSZXNlYXJjaCBhbmQgQXBwbGljYXRpb25zPC9zZWNvbmRhcnktdGl0bGU+PC90
aXRsZXM+PHBlcmlvZGljYWw+PGZ1bGwtdGl0bGU+Uml2ZXIgUmVzZWFyY2ggYW5kIEFwcGxpY2F0
aW9uczwvZnVsbC10aXRsZT48L3BlcmlvZGljYWw+PHBhZ2VzPjkwNi05MTg8L3BhZ2VzPjx2b2x1
bWU+Mjk8L3ZvbHVtZT48bnVtYmVyPjc8L251bWJlcj48a2V5d29yZHM+PGtleXdvcmQ+YXF1YXRp
YyBiaW9kaXZlcnNpdHk8L2tleXdvcmQ+PGtleXdvcmQ+ZnJlc2h3YXRlciBmaXNoZXM8L2tleXdv
cmQ+PGtleXdvcmQ+aHlkcm9sb2dpYyBtb2RlbHM8L2tleXdvcmQ+PGtleXdvcmQ+Zmx1dmlhbCBn
ZW9tb3JwaG9sb2d5PC9rZXl3b3JkPjxrZXl3b3JkPm1ldGFwb3B1bGF0aW9uIGR5bmFtaWNzPC9r
ZXl3b3JkPjwva2V5d29yZHM+PGRhdGVzPjx5ZWFyPjIwMTM8L3llYXI+PC9kYXRlcz48aXNibj4x
NTM1LTE0Njc8L2lzYm4+PHVybHM+PHJlbGF0ZWQtdXJscz48dXJsPmh0dHA6Ly9keC5kb2kub3Jn
LzEwLjEwMDIvcnJhLjI1NzU8L3VybD48L3JlbGF0ZWQtdXJscz48L3VybHM+PGVsZWN0cm9uaWMt
cmVzb3VyY2UtbnVtPjEwLjEwMDIvcnJhLjI1NzU8L2VsZWN0cm9uaWMtcmVzb3VyY2UtbnVtPjwv
cmVjb3JkPjwvQ2l0ZT48Q2l0ZT48QXV0aG9yPkxhYmJlPC9BdXRob3I+PFllYXI+MjAwMDwvWWVh
cj48UmVjTnVtPjEzNTY8L1JlY051bT48cmVjb3JkPjxyZWMtbnVtYmVyPjEzNTY8L3JlYy1udW1i
ZXI+PGZvcmVpZ24ta2V5cz48a2V5IGFwcD0iRU4iIGRiLWlkPSJmMDl6d2RmMjZ4ZWFzYWV2dnNq
eHYwMGg5cngydjl4YXJmc3ciIHRpbWVzdGFtcD0iMTQ3ODIyMTAyNCI+MTM1Njwva2V5PjwvZm9y
ZWlnbi1rZXlzPjxyZWYtdHlwZSBuYW1lPSJKb3VybmFsIEFydGljbGUiPjE3PC9yZWYtdHlwZT48
Y29udHJpYnV0b3JzPjxhdXRob3JzPjxhdXRob3I+TGFiYmUsIFRoZW9kb3JlIFIuPC9hdXRob3I+
PGF1dGhvcj5GYXVzY2gsIEt1cnQgRC48L2F1dGhvcj48L2F1dGhvcnM+PC9jb250cmlidXRvcnM+
PHRpdGxlcz48dGl0bGU+RHluYW1pY3Mgb2YgaW50ZXJtaXR0ZW50IHN0cmVhbSBoYWJpdGF0IHJl
Z3VsYXRlIHBlcnNpc3RlbmNlIG9mIGEgdGhyZWF0ZW5lZCBmaXNoIGF0IG11bHRpcGxlIHNjYWxl
czwvdGl0bGU+PHNlY29uZGFyeS10aXRsZT5FY29sb2dpY2FsIEFwcGxpY2F0aW9uczwvc2Vjb25k
YXJ5LXRpdGxlPjwvdGl0bGVzPjxwZXJpb2RpY2FsPjxmdWxsLXRpdGxlPkVjb2xvZ2ljYWwgQXBw
bGljYXRpb25zPC9mdWxsLXRpdGxlPjwvcGVyaW9kaWNhbD48cGFnZXM+MTc3NC0xNzkxPC9wYWdl
cz48dm9sdW1lPjEwPC92b2x1bWU+PG51bWJlcj42PC9udW1iZXI+PGtleXdvcmRzPjxrZXl3b3Jk
PmRpc3BlcnNhbDwva2V5d29yZD48a2V5d29yZD5FdGhlb3N0b21hIGNyYWdpbmk8L2tleXdvcmQ+
PGtleXdvcmQ+Zmxvb2RzPC9rZXl3b3JkPjxrZXl3b3JkPmhhYml0YXQtc3BlY2lmaWMgZGVtb2dy
YXBoeTwva2V5d29yZD48a2V5d29yZD5pbnRlcm1pdHRlbnQgc3RyZWFtczwva2V5d29yZD48a2V5
d29yZD5pbnRyb2R1Y2VkIHByZWRhdG9yPC9rZXl3b3JkPjxrZXl3b3JkPnBvcHVsYXRpb24gcGVy
c2lzdGVuY2U8L2tleXdvcmQ+PGtleXdvcmQ+c2NhbGU8L2tleXdvcmQ+PGtleXdvcmQ+c291cmNl
LXNpbmsgZHluYW1pY3M8L2tleXdvcmQ+PGtleXdvcmQ+c3RyZWFtIGZpc2g8L2tleXdvcmQ+PC9r
ZXl3b3Jkcz48ZGF0ZXM+PHllYXI+MjAwMDwveWVhcj48L2RhdGVzPjxwdWJsaXNoZXI+RWNvbG9n
aWNhbCBTb2NpZXR5IG9mIEFtZXJpY2E8L3B1Ymxpc2hlcj48aXNibj4xOTM5LTU1ODI8L2lzYm4+
PHVybHM+PHJlbGF0ZWQtdXJscz48dXJsPmh0dHA6Ly9keC5kb2kub3JnLzEwLjE4OTAvMTA1MS0w
NzYxKDIwMDApMDEwWzE3NzQ6RE9JU0hSXTIuMC5DTzsyPC91cmw+PC9yZWxhdGVkLXVybHM+PC91
cmxzPjxlbGVjdHJvbmljLXJlc291cmNlLW51bT4xMC4xODkwLzEwNTEtMDc2MSgyMDAwKTAxMFsx
Nzc0OkRPSVNIUl0yLjAuQ087MjwvZWxlY3Ryb25pYy1yZXNvdXJjZS1udW0+PC9yZWNvcmQ+PC9D
aXRlPjwvRW5kTm90ZT4A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(Labbe and Fausch, 2000; Freeman</w:t>
      </w:r>
      <w:r w:rsidRPr="00747E35">
        <w:rPr>
          <w:rFonts w:asciiTheme="minorHAnsi" w:hAnsiTheme="minorHAnsi" w:cstheme="minorHAnsi"/>
          <w:i/>
          <w:noProof/>
        </w:rPr>
        <w:t xml:space="preserve"> et al.</w:t>
      </w:r>
      <w:r w:rsidRPr="00747E35">
        <w:rPr>
          <w:rFonts w:asciiTheme="minorHAnsi" w:hAnsiTheme="minorHAnsi" w:cstheme="minorHAnsi"/>
          <w:noProof/>
        </w:rPr>
        <w:t>, 2013)</w:t>
      </w:r>
      <w:r w:rsidRPr="00747E35">
        <w:rPr>
          <w:rFonts w:asciiTheme="minorHAnsi" w:hAnsiTheme="minorHAnsi" w:cstheme="minorHAnsi"/>
        </w:rPr>
        <w:fldChar w:fldCharType="end"/>
      </w:r>
      <w:r w:rsidRPr="00747E35">
        <w:rPr>
          <w:rFonts w:asciiTheme="minorHAnsi" w:hAnsiTheme="minorHAnsi" w:cstheme="minorHAnsi"/>
        </w:rPr>
        <w:t xml:space="preserve">. Reductions in pool area also increase densities of aquatic biota, leading to crowding and increased likelihood of negative density-dependent effects. For example fish may decline in condition from intra- and inter-specific competition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&lt;EndNote&gt;&lt;Cite&gt;&lt;Author&gt;Magoulick&lt;/Author&gt;&lt;Year&gt;2003&lt;/Year&gt;&lt;RecNum&gt;1346&lt;/RecNum&gt;&lt;DisplayText&gt;(Magoulick and Kobza, 2003)&lt;/DisplayText&gt;&lt;record&gt;&lt;rec-number&gt;1346&lt;/rec-number&gt;&lt;foreign-keys&gt;&lt;key app="EN" db-id="f09zwdf26xeasaevvsjxv00h9rx2v9xarfsw" timestamp="1478069084"&gt;1346&lt;/key&gt;&lt;/foreign-keys&gt;&lt;ref-type name="Journal Article"&gt;17&lt;/ref-type&gt;&lt;contributors&gt;&lt;authors&gt;&lt;author&gt;Magoulick, Daniel D.&lt;/author&gt;&lt;author&gt;Kobza, Robert M.&lt;/author&gt;&lt;/authors&gt;&lt;/contributors&gt;&lt;titles&gt;&lt;title&gt;The role of refugia for fishes during drought: a review and synthesis&lt;/title&gt;&lt;secondary-title&gt;Freshwater Biology&lt;/secondary-title&gt;&lt;/titles&gt;&lt;periodical&gt;&lt;full-title&gt;Freshwater Biology&lt;/full-title&gt;&lt;/periodical&gt;&lt;pages&gt;1186-1198&lt;/pages&gt;&lt;volume&gt;48&lt;/volume&gt;&lt;number&gt;7&lt;/number&gt;&lt;keywords&gt;&lt;keyword&gt;disturbance&lt;/keyword&gt;&lt;keyword&gt;drying&lt;/keyword&gt;&lt;keyword&gt;fish movement&lt;/keyword&gt;&lt;keyword&gt;patch dynamics&lt;/keyword&gt;&lt;keyword&gt;refuge habitats&lt;/keyword&gt;&lt;keyword&gt;scale&lt;/keyword&gt;&lt;/keywords&gt;&lt;dates&gt;&lt;year&gt;2003&lt;/year&gt;&lt;/dates&gt;&lt;publisher&gt;Blackwell Science Ltd&lt;/publisher&gt;&lt;isbn&gt;1365-2427&lt;/isbn&gt;&lt;urls&gt;&lt;related-urls&gt;&lt;url&gt;http://dx.doi.org/10.1046/j.1365-2427.2003.01089.x&lt;/url&gt;&lt;/related-urls&gt;&lt;/urls&gt;&lt;electronic-resource-num&gt;10.1046/j.1365-2427.2003.01089.x&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(Magoulick and Kobza, 2003)</w:t>
      </w:r>
      <w:r w:rsidRPr="00747E35">
        <w:rPr>
          <w:rFonts w:asciiTheme="minorHAnsi" w:hAnsiTheme="minorHAnsi" w:cstheme="minorHAnsi"/>
        </w:rPr>
        <w:fldChar w:fldCharType="end"/>
      </w:r>
      <w:r w:rsidRPr="00747E35">
        <w:rPr>
          <w:rFonts w:asciiTheme="minorHAnsi" w:hAnsiTheme="minorHAnsi" w:cstheme="minorHAnsi"/>
        </w:rPr>
        <w:t xml:space="preserve">, and be exposed to increased rates of predation and parasitism </w:t>
      </w:r>
      <w:r w:rsidRPr="00747E35">
        <w:rPr>
          <w:rFonts w:asciiTheme="minorHAnsi" w:hAnsiTheme="minorHAnsi" w:cstheme="minorHAnsi"/>
        </w:rPr>
        <w:fldChar w:fldCharType="begin">
          <w:fldData xml:space="preserve">PEVuZE5vdGU+PENpdGU+PEF1dGhvcj5NZWRlaXJvczwvQXV0aG9yPjxZZWFyPjE5OTk8L1llYXI+
PFJlY051bT4xMzcyPC9SZWNOdW0+PERpc3BsYXlUZXh0PihNZWRlaXJvcyBhbmQgTWFsdGNoaWss
IDE5OTk7IEJvbmQsIDIwMDQ7IE1hY2VkYS1WZWlnYTxzdHlsZSBmYWNlPSJpdGFsaWMiPiBldCBh
bC48L3N0eWxlPiwgMjAwOSk8L0Rpc3BsYXlUZXh0PjxyZWNvcmQ+PHJlYy1udW1iZXI+MTM3Mjwv
cmVjLW51bWJlcj48Zm9yZWlnbi1rZXlzPjxrZXkgYXBwPSJFTiIgZGItaWQ9ImYwOXp3ZGYyNnhl
YXNhZXZ2c2p4djAwaDlyeDJ2OXhhcmZzdyIgdGltZXN0YW1wPSIxNDc4MjMyMDY5Ij4xMzcyPC9r
ZXk+PC9mb3JlaWduLWtleXM+PHJlZi10eXBlIG5hbWU9IkpvdXJuYWwgQXJ0aWNsZSI+MTc8L3Jl
Zi10eXBlPjxjb250cmlidXRvcnM+PGF1dGhvcnM+PGF1dGhvcj5NZWRlaXJvcywgRWx2aW8gUy4g
Ri48L2F1dGhvcj48YXV0aG9yPk1hbHRjaGlrLCBMZW9uYXJkbzwvYXV0aG9yPjwvYXV0aG9ycz48
L2NvbnRyaWJ1dG9ycz48dGl0bGVzPjx0aXRsZT5UaGUgZWZmZWN0cyBvZiBoeWRyb2xvZ2ljYWwg
ZGlzdHVyYmFuY2Ugb24gdGhlIGludGVuc2l0eSBvZiBpbmZlc3RhdGlvbiBvZiBMZXJuYWVhIGN5
cHJpbmFjZWEgaW4gYW4gaW50ZXJtaXR0ZW50IHN0cmVhbSBmaXNoIGNvbW11bml0eTwvdGl0bGU+
PHNlY29uZGFyeS10aXRsZT5Kb3VybmFsIG9mIEFyaWQgRW52aXJvbm1lbnRzPC9zZWNvbmRhcnkt
dGl0bGU+PC90aXRsZXM+PHBlcmlvZGljYWw+PGZ1bGwtdGl0bGU+Sm91cm5hbCBvZiBBcmlkIEVu
dmlyb25tZW50czwvZnVsbC10aXRsZT48L3BlcmlvZGljYWw+PHBhZ2VzPjM1MS0zNTY8L3BhZ2Vz
Pjx2b2x1bWU+NDM8L3ZvbHVtZT48bnVtYmVyPjM8L251bWJlcj48a2V5d29yZHM+PGtleXdvcmQ+
ZmlzaGVzPC9rZXl3b3JkPjxrZXl3b3JkPmh5ZHJvbG9naWNhbCBkaXN0dXJiYW5jZTwva2V5d29y
ZD48a2V5d29yZD5mbG9vZDwva2V5d29yZD48a2V5d29yZD5kcm91Z2h0PC9rZXl3b3JkPjxrZXl3
b3JkPmludGVybWl0dGVudCBzdHJlYW08L2tleXdvcmQ+PGtleXdvcmQ+c2VtaS1hcmlkPC9rZXl3
b3JkPjwva2V5d29yZHM+PGRhdGVzPjx5ZWFyPjE5OTk8L3llYXI+PHB1Yi1kYXRlcz48ZGF0ZT4x
OTk5LzExLzAxPC9kYXRlPjwvcHViLWRhdGVzPjwvZGF0ZXM+PGlzYm4+MDE0MC0xOTYzPC9pc2Ju
Pjx1cmxzPjxyZWxhdGVkLXVybHM+PHVybD5odHRwOi8vd3d3LnNjaWVuY2VkaXJlY3QuY29tL3Nj
aWVuY2UvYXJ0aWNsZS9waWkvUzAxNDAxOTYzOTk5MDU0NTE8L3VybD48L3JlbGF0ZWQtdXJscz48
L3VybHM+PGVsZWN0cm9uaWMtcmVzb3VyY2UtbnVtPmh0dHA6Ly9keC5kb2kub3JnLzEwLjEwMDYv
amFyZS4xOTk5LjA1NDU8L2VsZWN0cm9uaWMtcmVzb3VyY2UtbnVtPjwvcmVjb3JkPjwvQ2l0ZT48
Q2l0ZT48QXV0aG9yPk1hY2VkYS1WZWlnYTwvQXV0aG9yPjxZZWFyPjIwMDk8L1llYXI+PFJlY051
bT4xMzczPC9SZWNOdW0+PHJlY29yZD48cmVjLW51bWJlcj4xMzczPC9yZWMtbnVtYmVyPjxmb3Jl
aWduLWtleXM+PGtleSBhcHA9IkVOIiBkYi1pZD0iZjA5endkZjI2eGVhc2FldnZzanh2MDBoOXJ4
MnY5eGFyZnN3IiB0aW1lc3RhbXA9IjE0NzgyMzIxNzAiPjEzNzM8L2tleT48L2ZvcmVpZ24ta2V5
cz48cmVmLXR5cGUgbmFtZT0iSm91cm5hbCBBcnRpY2xlIj4xNzwvcmVmLXR5cGU+PGNvbnRyaWJ1
dG9ycz48YXV0aG9ycz48YXV0aG9yPk1hY2VkYS1WZWlnYSwgQS48L2F1dGhvcj48YXV0aG9yPlNh
bHZhZMOzLCBILjwvYXV0aG9yPjxhdXRob3I+VmlueW9sZXMsIEQuPC9hdXRob3I+PGF1dGhvcj5k
ZSBTb3N0b2EsIEEuPC9hdXRob3I+PC9hdXRob3JzPjwvY29udHJpYnV0b3JzPjx0aXRsZXM+PHRp
dGxlPk91dGJyZWFrcyBvZiBJY2h0aHlvcGh0aGlyaXVzIG11bHRpZmlsaWlzIGluIHJlZHRhaWwg
YmFyYnMgQmFyYnVzIGhhYXNpIGluIGEgbWVkaXRlcnJhbmVhbiBzdHJlYW0gZHVyaW5nIGRyb3Vn
aHQ8L3RpdGxlPjxzZWNvbmRhcnktdGl0bGU+Sm91cm5hbCBvZiBBcXVhdGljIEFuaW1hbCBIZWFs
dGg8L3NlY29uZGFyeS10aXRsZT48L3RpdGxlcz48cGVyaW9kaWNhbD48ZnVsbC10aXRsZT5Kb3Vy
bmFsIG9mIEFxdWF0aWMgQW5pbWFsIEhlYWx0aDwvZnVsbC10aXRsZT48L3BlcmlvZGljYWw+PHBh
Z2VzPjE4OS0xOTQ8L3BhZ2VzPjx2b2x1bWU+MjE8L3ZvbHVtZT48bnVtYmVyPjM8L251bWJlcj48
ZGF0ZXM+PHllYXI+MjAwOTwveWVhcj48L2RhdGVzPjx3b3JrLXR5cGU+QXJ0aWNsZTwvd29yay10
eXBlPjx1cmxzPjxyZWxhdGVkLXVybHM+PHVybD5odHRwczovL3d3dy5zY29wdXMuY29tL2lud2Fy
ZC9yZWNvcmQudXJpP2VpZD0yLXMyLjAtNzQ5NDkxMjMxMzcmYW1wO3BhcnRuZXJJRD00MCZhbXA7
bWQ1PTMzNGUwMjBjODE1MDZmZWYzNGM2N2FhOWM0NWExOTA4PC91cmw+PC9yZWxhdGVkLXVybHM+
PC91cmxzPjxlbGVjdHJvbmljLXJlc291cmNlLW51bT4xMC4xNTc3L0gwOC0wNTQuMTwvZWxlY3Ry
b25pYy1yZXNvdXJjZS1udW0+PHJlbW90ZS1kYXRhYmFzZS1uYW1lPlNjb3B1czwvcmVtb3RlLWRh
dGFiYXNlLW5hbWU+PC9yZWNvcmQ+PC9DaXRlPjxDaXRlPjxBdXRob3I+Qm9uZDwvQXV0aG9yPjxZ
ZWFyPjIwMDQ8L1llYXI+PFJlY051bT4xMzc0PC9SZWNOdW0+PHJlY29yZD48cmVjLW51bWJlcj4x
Mzc0PC9yZWMtbnVtYmVyPjxmb3JlaWduLWtleXM+PGtleSBhcHA9IkVOIiBkYi1pZD0iZjA5endk
ZjI2eGVhc2FldnZzanh2MDBoOXJ4MnY5eGFyZnN3IiB0aW1lc3RhbXA9IjE0NzgyMzIyNjAiPjEz
NzQ8L2tleT48L2ZvcmVpZ24ta2V5cz48cmVmLXR5cGUgbmFtZT0iSm91cm5hbCBBcnRpY2xlIj4x
NzwvcmVmLXR5cGU+PGNvbnRyaWJ1dG9ycz48YXV0aG9ycz48YXV0aG9yPkJvbmQsIE4uIFIuPC9h
dXRob3I+PC9hdXRob3JzPjwvY29udHJpYnV0b3JzPjx0aXRsZXM+PHRpdGxlPjxzdHlsZSBmYWNl
PSJub3JtYWwiIGZvbnQ9ImRlZmF1bHQiIHNpemU9IjEwMCUiPk9ic2VydmF0aW9ucyBvbiB0aGUg
ZWZmZWN0cyBvZiB0aGUgaW50cm9kdWNlZCBwYXJhc2l0ZSBMZXJuYWVhIGN5cHJpbmFjZWEgb24g
YSBsb3dsYW5kIHBvcHVsYXRpb24gb2YgYSBzbWFsbCBuYXRpdmUgQXVzdHJhbGlhbiBmaXNoLCBt
b3VudGFpbiBnYWxheGlhcyA8L3N0eWxlPjxzdHlsZSBmYWNlPSJpdGFsaWMiIGZvbnQ9ImRlZmF1
bHQiIHNpemU9IjEwMCUiPkdhbGF4aWFzIG9saWR1czwvc3R5bGU+PC90aXRsZT48c2Vjb25kYXJ5
LXRpdGxlPlZpY3RvcmlhbiBOYXR1cmFsaXN0PC9zZWNvbmRhcnktdGl0bGU+PC90aXRsZXM+PHBl
cmlvZGljYWw+PGZ1bGwtdGl0bGU+VmljdG9yaWFuIE5hdHVyYWxpc3Q8L2Z1bGwtdGl0bGU+PC9w
ZXJpb2RpY2FsPjxwYWdlcz4xOTTigJMxOTg8L3BhZ2VzPjx2b2x1bWU+MTIxPC92b2x1bWU+PG51
bWJlcj41PC9udW1iZXI+PGRhdGVzPjx5ZWFyPjIwMDQ8L3llYXI+PC9kYXRlcz48dXJscz48L3Vy
bHM+PC9yZWNvcmQ+PC9DaXRlPjwvRW5kTm90ZT5=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PEVuZE5vdGU+PENpdGU+PEF1dGhvcj5NZWRlaXJvczwvQXV0aG9yPjxZZWFyPjE5OTk8L1llYXI+
PFJlY051bT4xMzcyPC9SZWNOdW0+PERpc3BsYXlUZXh0PihNZWRlaXJvcyBhbmQgTWFsdGNoaWss
IDE5OTk7IEJvbmQsIDIwMDQ7IE1hY2VkYS1WZWlnYTxzdHlsZSBmYWNlPSJpdGFsaWMiPiBldCBh
bC48L3N0eWxlPiwgMjAwOSk8L0Rpc3BsYXlUZXh0PjxyZWNvcmQ+PHJlYy1udW1iZXI+MTM3Mjwv
cmVjLW51bWJlcj48Zm9yZWlnbi1rZXlzPjxrZXkgYXBwPSJFTiIgZGItaWQ9ImYwOXp3ZGYyNnhl
YXNhZXZ2c2p4djAwaDlyeDJ2OXhhcmZzdyIgdGltZXN0YW1wPSIxNDc4MjMyMDY5Ij4xMzcyPC9r
ZXk+PC9mb3JlaWduLWtleXM+PHJlZi10eXBlIG5hbWU9IkpvdXJuYWwgQXJ0aWNsZSI+MTc8L3Jl
Zi10eXBlPjxjb250cmlidXRvcnM+PGF1dGhvcnM+PGF1dGhvcj5NZWRlaXJvcywgRWx2aW8gUy4g
Ri48L2F1dGhvcj48YXV0aG9yPk1hbHRjaGlrLCBMZW9uYXJkbzwvYXV0aG9yPjwvYXV0aG9ycz48
L2NvbnRyaWJ1dG9ycz48dGl0bGVzPjx0aXRsZT5UaGUgZWZmZWN0cyBvZiBoeWRyb2xvZ2ljYWwg
ZGlzdHVyYmFuY2Ugb24gdGhlIGludGVuc2l0eSBvZiBpbmZlc3RhdGlvbiBvZiBMZXJuYWVhIGN5
cHJpbmFjZWEgaW4gYW4gaW50ZXJtaXR0ZW50IHN0cmVhbSBmaXNoIGNvbW11bml0eTwvdGl0bGU+
PHNlY29uZGFyeS10aXRsZT5Kb3VybmFsIG9mIEFyaWQgRW52aXJvbm1lbnRzPC9zZWNvbmRhcnkt
dGl0bGU+PC90aXRsZXM+PHBlcmlvZGljYWw+PGZ1bGwtdGl0bGU+Sm91cm5hbCBvZiBBcmlkIEVu
dmlyb25tZW50czwvZnVsbC10aXRsZT48L3BlcmlvZGljYWw+PHBhZ2VzPjM1MS0zNTY8L3BhZ2Vz
Pjx2b2x1bWU+NDM8L3ZvbHVtZT48bnVtYmVyPjM8L251bWJlcj48a2V5d29yZHM+PGtleXdvcmQ+
ZmlzaGVzPC9rZXl3b3JkPjxrZXl3b3JkPmh5ZHJvbG9naWNhbCBkaXN0dXJiYW5jZTwva2V5d29y
ZD48a2V5d29yZD5mbG9vZDwva2V5d29yZD48a2V5d29yZD5kcm91Z2h0PC9rZXl3b3JkPjxrZXl3
b3JkPmludGVybWl0dGVudCBzdHJlYW08L2tleXdvcmQ+PGtleXdvcmQ+c2VtaS1hcmlkPC9rZXl3
b3JkPjwva2V5d29yZHM+PGRhdGVzPjx5ZWFyPjE5OTk8L3llYXI+PHB1Yi1kYXRlcz48ZGF0ZT4x
OTk5LzExLzAxPC9kYXRlPjwvcHViLWRhdGVzPjwvZGF0ZXM+PGlzYm4+MDE0MC0xOTYzPC9pc2Ju
Pjx1cmxzPjxyZWxhdGVkLXVybHM+PHVybD5odHRwOi8vd3d3LnNjaWVuY2VkaXJlY3QuY29tL3Nj
aWVuY2UvYXJ0aWNsZS9waWkvUzAxNDAxOTYzOTk5MDU0NTE8L3VybD48L3JlbGF0ZWQtdXJscz48
L3VybHM+PGVsZWN0cm9uaWMtcmVzb3VyY2UtbnVtPmh0dHA6Ly9keC5kb2kub3JnLzEwLjEwMDYv
amFyZS4xOTk5LjA1NDU8L2VsZWN0cm9uaWMtcmVzb3VyY2UtbnVtPjwvcmVjb3JkPjwvQ2l0ZT48
Q2l0ZT48QXV0aG9yPk1hY2VkYS1WZWlnYTwvQXV0aG9yPjxZZWFyPjIwMDk8L1llYXI+PFJlY051
bT4xMzczPC9SZWNOdW0+PHJlY29yZD48cmVjLW51bWJlcj4xMzczPC9yZWMtbnVtYmVyPjxmb3Jl
aWduLWtleXM+PGtleSBhcHA9IkVOIiBkYi1pZD0iZjA5endkZjI2eGVhc2FldnZzanh2MDBoOXJ4
MnY5eGFyZnN3IiB0aW1lc3RhbXA9IjE0NzgyMzIxNzAiPjEzNzM8L2tleT48L2ZvcmVpZ24ta2V5
cz48cmVmLXR5cGUgbmFtZT0iSm91cm5hbCBBcnRpY2xlIj4xNzwvcmVmLXR5cGU+PGNvbnRyaWJ1
dG9ycz48YXV0aG9ycz48YXV0aG9yPk1hY2VkYS1WZWlnYSwgQS48L2F1dGhvcj48YXV0aG9yPlNh
bHZhZMOzLCBILjwvYXV0aG9yPjxhdXRob3I+VmlueW9sZXMsIEQuPC9hdXRob3I+PGF1dGhvcj5k
ZSBTb3N0b2EsIEEuPC9hdXRob3I+PC9hdXRob3JzPjwvY29udHJpYnV0b3JzPjx0aXRsZXM+PHRp
dGxlPk91dGJyZWFrcyBvZiBJY2h0aHlvcGh0aGlyaXVzIG11bHRpZmlsaWlzIGluIHJlZHRhaWwg
YmFyYnMgQmFyYnVzIGhhYXNpIGluIGEgbWVkaXRlcnJhbmVhbiBzdHJlYW0gZHVyaW5nIGRyb3Vn
aHQ8L3RpdGxlPjxzZWNvbmRhcnktdGl0bGU+Sm91cm5hbCBvZiBBcXVhdGljIEFuaW1hbCBIZWFs
dGg8L3NlY29uZGFyeS10aXRsZT48L3RpdGxlcz48cGVyaW9kaWNhbD48ZnVsbC10aXRsZT5Kb3Vy
bmFsIG9mIEFxdWF0aWMgQW5pbWFsIEhlYWx0aDwvZnVsbC10aXRsZT48L3BlcmlvZGljYWw+PHBh
Z2VzPjE4OS0xOTQ8L3BhZ2VzPjx2b2x1bWU+MjE8L3ZvbHVtZT48bnVtYmVyPjM8L251bWJlcj48
ZGF0ZXM+PHllYXI+MjAwOTwveWVhcj48L2RhdGVzPjx3b3JrLXR5cGU+QXJ0aWNsZTwvd29yay10
eXBlPjx1cmxzPjxyZWxhdGVkLXVybHM+PHVybD5odHRwczovL3d3dy5zY29wdXMuY29tL2lud2Fy
ZC9yZWNvcmQudXJpP2VpZD0yLXMyLjAtNzQ5NDkxMjMxMzcmYW1wO3BhcnRuZXJJRD00MCZhbXA7
bWQ1PTMzNGUwMjBjODE1MDZmZWYzNGM2N2FhOWM0NWExOTA4PC91cmw+PC9yZWxhdGVkLXVybHM+
PC91cmxzPjxlbGVjdHJvbmljLXJlc291cmNlLW51bT4xMC4xNTc3L0gwOC0wNTQuMTwvZWxlY3Ry
b25pYy1yZXNvdXJjZS1udW0+PHJlbW90ZS1kYXRhYmFzZS1uYW1lPlNjb3B1czwvcmVtb3RlLWRh
dGFiYXNlLW5hbWU+PC9yZWNvcmQ+PC9DaXRlPjxDaXRlPjxBdXRob3I+Qm9uZDwvQXV0aG9yPjxZ
ZWFyPjIwMDQ8L1llYXI+PFJlY051bT4xMzc0PC9SZWNOdW0+PHJlY29yZD48cmVjLW51bWJlcj4x
Mzc0PC9yZWMtbnVtYmVyPjxmb3JlaWduLWtleXM+PGtleSBhcHA9IkVOIiBkYi1pZD0iZjA5endk
ZjI2eGVhc2FldnZzanh2MDBoOXJ4MnY5eGFyZnN3IiB0aW1lc3RhbXA9IjE0NzgyMzIyNjAiPjEz
NzQ8L2tleT48L2ZvcmVpZ24ta2V5cz48cmVmLXR5cGUgbmFtZT0iSm91cm5hbCBBcnRpY2xlIj4x
NzwvcmVmLXR5cGU+PGNvbnRyaWJ1dG9ycz48YXV0aG9ycz48YXV0aG9yPkJvbmQsIE4uIFIuPC9h
dXRob3I+PC9hdXRob3JzPjwvY29udHJpYnV0b3JzPjx0aXRsZXM+PHRpdGxlPjxzdHlsZSBmYWNl
PSJub3JtYWwiIGZvbnQ9ImRlZmF1bHQiIHNpemU9IjEwMCUiPk9ic2VydmF0aW9ucyBvbiB0aGUg
ZWZmZWN0cyBvZiB0aGUgaW50cm9kdWNlZCBwYXJhc2l0ZSBMZXJuYWVhIGN5cHJpbmFjZWEgb24g
YSBsb3dsYW5kIHBvcHVsYXRpb24gb2YgYSBzbWFsbCBuYXRpdmUgQXVzdHJhbGlhbiBmaXNoLCBt
b3VudGFpbiBnYWxheGlhcyA8L3N0eWxlPjxzdHlsZSBmYWNlPSJpdGFsaWMiIGZvbnQ9ImRlZmF1
bHQiIHNpemU9IjEwMCUiPkdhbGF4aWFzIG9saWR1czwvc3R5bGU+PC90aXRsZT48c2Vjb25kYXJ5
LXRpdGxlPlZpY3RvcmlhbiBOYXR1cmFsaXN0PC9zZWNvbmRhcnktdGl0bGU+PC90aXRsZXM+PHBl
cmlvZGljYWw+PGZ1bGwtdGl0bGU+VmljdG9yaWFuIE5hdHVyYWxpc3Q8L2Z1bGwtdGl0bGU+PC9w
ZXJpb2RpY2FsPjxwYWdlcz4xOTTigJMxOTg8L3BhZ2VzPjx2b2x1bWU+MTIxPC92b2x1bWU+PG51
bWJlcj41PC9udW1iZXI+PGRhdGVzPjx5ZWFyPjIwMDQ8L3llYXI+PC9kYXRlcz48dXJscz48L3Vy
bHM+PC9yZWNvcmQ+PC9DaXRlPjwvRW5kTm90ZT5=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(Medeiros and Maltchik, 1999; Bond, 2004; Maceda-Veiga</w:t>
      </w:r>
      <w:r w:rsidRPr="00747E35">
        <w:rPr>
          <w:rFonts w:asciiTheme="minorHAnsi" w:hAnsiTheme="minorHAnsi" w:cstheme="minorHAnsi"/>
          <w:i/>
          <w:noProof/>
        </w:rPr>
        <w:t xml:space="preserve"> et al.</w:t>
      </w:r>
      <w:r w:rsidRPr="00747E35">
        <w:rPr>
          <w:rFonts w:asciiTheme="minorHAnsi" w:hAnsiTheme="minorHAnsi" w:cstheme="minorHAnsi"/>
          <w:noProof/>
        </w:rPr>
        <w:t>, 2009)</w:t>
      </w:r>
      <w:r w:rsidRPr="00747E35">
        <w:rPr>
          <w:rFonts w:asciiTheme="minorHAnsi" w:hAnsiTheme="minorHAnsi" w:cstheme="minorHAnsi"/>
        </w:rPr>
        <w:fldChar w:fldCharType="end"/>
      </w:r>
      <w:r w:rsidRPr="00747E35">
        <w:rPr>
          <w:rFonts w:asciiTheme="minorHAnsi" w:hAnsiTheme="minorHAnsi" w:cstheme="minorHAnsi"/>
        </w:rPr>
        <w:t>.</w:t>
      </w:r>
    </w:p>
    <w:p w14:paraId="16B25CE8"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Variation in baseflow and periods of low-flow also have consequences for stream and sediment biogeochemical characteristics and the rates of important ecosystem processes. For instance, baseflow variability determines the vertical exchange rates and fluxes of water, materials (sediment, inorganic and organic nutrients), dissolved oxygen (DO), and energy (dissolved and particulate </w:t>
      </w:r>
      <w:r w:rsidRPr="00747E35">
        <w:rPr>
          <w:rFonts w:asciiTheme="minorHAnsi" w:hAnsiTheme="minorHAnsi" w:cstheme="minorHAnsi"/>
        </w:rPr>
        <w:lastRenderedPageBreak/>
        <w:t xml:space="preserve">organic carbon) along surface and subsurface flow-paths (see Component 3). Where surface flow enters subsurface flow paths via downwelling zones, gradients in DO and dissolved organic carbon (DOC) can influence both habitat suitability for hyporheic fauna, as well as patterns of nutrient transformations, such that subsequent upwelling of zones contribute to altered surface-water chemistry and changes in microbial and algal activity. These characteristics may also have flow on effects for surface-dwelling fauna, especially for species that require flowing, oxygenated water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&lt;EndNote&gt;&lt;Cite&gt;&lt;Author&gt;Boulton&lt;/Author&gt;&lt;Year&gt;2006&lt;/Year&gt;&lt;RecNum&gt;1350&lt;/RecNum&gt;&lt;DisplayText&gt;(Boulton and Hancock, 2006)&lt;/DisplayText&gt;&lt;record&gt;&lt;rec-number&gt;1350&lt;/rec-number&gt;&lt;foreign-keys&gt;&lt;key app="EN" db-id="f09zwdf26xeasaevvsjxv00h9rx2v9xarfsw" timestamp="1478127319"&gt;1350&lt;/key&gt;&lt;/foreign-keys&gt;&lt;ref-type name="Journal Article"&gt;17&lt;/ref-type&gt;&lt;contributors&gt;&lt;authors&gt;&lt;author&gt;Boulton, A. J.&lt;/author&gt;&lt;author&gt;Hancock, P. J.&lt;/author&gt;&lt;/authors&gt;&lt;/contributors&gt;&lt;titles&gt;&lt;title&gt;Rivers as groundwater-dependent ecosystems: a review of degrees of dependency, riverine processes and management implications&lt;/title&gt;&lt;secondary-title&gt;Australian Journal of Botany&lt;/secondary-title&gt;&lt;/titles&gt;&lt;periodical&gt;&lt;full-title&gt;Australian Journal of Botany&lt;/full-title&gt;&lt;/periodical&gt;&lt;pages&gt;133-144&lt;/pages&gt;&lt;volume&gt;54&lt;/volume&gt;&lt;number&gt;2&lt;/number&gt;&lt;dates&gt;&lt;year&gt;2006&lt;/year&gt;&lt;/dates&gt;&lt;urls&gt;&lt;related-urls&gt;&lt;url&gt;http://www.publish.csiro.au/paper/BT05074&lt;/url&gt;&lt;/related-urls&gt;&lt;/urls&gt;&lt;electronic-resource-num&gt;http://dx.doi.org/10.1071/BT05074&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(Boulton and Hancock, 2006)</w:t>
      </w:r>
      <w:r w:rsidRPr="00747E35">
        <w:rPr>
          <w:rFonts w:asciiTheme="minorHAnsi" w:hAnsiTheme="minorHAnsi" w:cstheme="minorHAnsi"/>
        </w:rPr>
        <w:fldChar w:fldCharType="end"/>
      </w:r>
      <w:r w:rsidRPr="00747E35">
        <w:rPr>
          <w:rFonts w:asciiTheme="minorHAnsi" w:hAnsiTheme="minorHAnsi" w:cstheme="minorHAnsi"/>
        </w:rPr>
        <w:t xml:space="preserve">. Intermittent flow can also lead to pre-conditioning of allochthonous leaf litter, via irradiation and anoxic conditions, altering subsequent breakdown rates and contributions of carbon to the aquatic food-web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&lt;EndNote&gt;&lt;Cite&gt;&lt;Author&gt;Dieter&lt;/Author&gt;&lt;Year&gt;2011&lt;/Year&gt;&lt;RecNum&gt;1257&lt;/RecNum&gt;&lt;DisplayText&gt;(Dieter&lt;style face="italic"&gt; et al.&lt;/style&gt;, 2011)&lt;/DisplayText&gt;&lt;record&gt;&lt;rec-number&gt;1257&lt;/rec-number&gt;&lt;foreign-keys&gt;&lt;key app="EN" db-id="f09zwdf26xeasaevvsjxv00h9rx2v9xarfsw" timestamp="1461888565"&gt;1257&lt;/key&gt;&lt;/foreign-keys&gt;&lt;ref-type name="Journal Article"&gt;17&lt;/ref-type&gt;&lt;contributors&gt;&lt;authors&gt;&lt;author&gt;Dieter, D.&lt;/author&gt;&lt;author&gt;von Schiller, D.&lt;/author&gt;&lt;author&gt;García-Roger, E. M.&lt;/author&gt;&lt;author&gt;Sánchez-Montoya, M. M.&lt;/author&gt;&lt;author&gt;Gómez, R.&lt;/author&gt;&lt;author&gt;Mora-Gómez, J.&lt;/author&gt;&lt;author&gt;Sangiorgio, F.&lt;/author&gt;&lt;author&gt;Gelbrecht, J.&lt;/author&gt;&lt;author&gt;Tockner, K.&lt;/author&gt;&lt;/authors&gt;&lt;/contributors&gt;&lt;titles&gt;&lt;title&gt;Preconditioning effects of intermittent stream flow on leaf litter decomposition&lt;/title&gt;&lt;secondary-title&gt;Aquatic Sciences&lt;/secondary-title&gt;&lt;/titles&gt;&lt;periodical&gt;&lt;full-title&gt;Aquatic Sciences&lt;/full-title&gt;&lt;/periodical&gt;&lt;pages&gt;599-609&lt;/pages&gt;&lt;volume&gt;73&lt;/volume&gt;&lt;number&gt;4&lt;/number&gt;&lt;dates&gt;&lt;year&gt;2011&lt;/year&gt;&lt;/dates&gt;&lt;isbn&gt;1420-9055&lt;/isbn&gt;&lt;label&gt;Dieter2011&lt;/label&gt;&lt;work-type&gt;journal article&lt;/work-type&gt;&lt;urls&gt;&lt;related-urls&gt;&lt;url&gt;http://dx.doi.org/10.1007/s00027-011-0231-6&lt;/url&gt;&lt;/related-urls&gt;&lt;/urls&gt;&lt;electronic-resource-num&gt;10.1007/s00027-011-0231-6&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(Dieter</w:t>
      </w:r>
      <w:r w:rsidRPr="00747E35">
        <w:rPr>
          <w:rFonts w:asciiTheme="minorHAnsi" w:hAnsiTheme="minorHAnsi" w:cstheme="minorHAnsi"/>
          <w:i/>
          <w:noProof/>
        </w:rPr>
        <w:t xml:space="preserve"> et al.</w:t>
      </w:r>
      <w:r w:rsidRPr="00747E35">
        <w:rPr>
          <w:rFonts w:asciiTheme="minorHAnsi" w:hAnsiTheme="minorHAnsi" w:cstheme="minorHAnsi"/>
          <w:noProof/>
        </w:rPr>
        <w:t>, 2011)</w:t>
      </w:r>
      <w:r w:rsidRPr="00747E35">
        <w:rPr>
          <w:rFonts w:asciiTheme="minorHAnsi" w:hAnsiTheme="minorHAnsi" w:cstheme="minorHAnsi"/>
        </w:rPr>
        <w:fldChar w:fldCharType="end"/>
      </w:r>
      <w:r w:rsidRPr="00747E35">
        <w:rPr>
          <w:rFonts w:asciiTheme="minorHAnsi" w:hAnsiTheme="minorHAnsi" w:cstheme="minorHAnsi"/>
        </w:rPr>
        <w:t xml:space="preserve">. While the majority of studies examining the ecological effects of flow permanency on aquatic biota focus on patterns of distribution and abundance, Sabo et al. </w:t>
      </w:r>
      <w:r w:rsidRPr="00747E35">
        <w:rPr>
          <w:rFonts w:asciiTheme="minorHAnsi" w:hAnsiTheme="minorHAnsi" w:cstheme="minorHAnsi"/>
        </w:rPr>
        <w:fldChar w:fldCharType="begin"/>
      </w:r>
      <w:r w:rsidRPr="00747E35">
        <w:rPr>
          <w:rFonts w:asciiTheme="minorHAnsi" w:hAnsiTheme="minorHAnsi" w:cstheme="minorHAnsi"/>
        </w:rPr>
        <w:instrText xml:space="preserve"> ADDIN PAPERS2_CITATIONS &lt;citation&gt;&lt;uuid&gt;C36FE942-7B13-4115-91DD-B4EA308263B5&lt;/uuid&gt;&lt;priority&gt;11&lt;/priority&gt;&lt;publications&gt;&lt;publication&gt;&lt;volume&gt;330&lt;/volume&gt;&lt;publication_date&gt;99201011111200000000222000&lt;/publication_date&gt;&lt;number&gt;6006&lt;/number&gt;&lt;doi&gt;10.1126/science.1196005&lt;/doi&gt;&lt;startpage&gt;965&lt;/startpage&gt;&lt;title&gt;The Role of Discharge Variation in Scaling of Drainage Area and Food Chain Length in Rivers&lt;/title&gt;&lt;uuid&gt;D7A35CA3-2532-4889-A934-1089BF8E02B8&lt;/uuid&gt;&lt;subtype&gt;400&lt;/subtype&gt;&lt;endpage&gt;967&lt;/endpage&gt;&lt;type&gt;400&lt;/type&gt;&lt;url&gt;http://www.sciencemag.org/cgi/doi/10.1126/science.1196005&lt;/url&gt;&lt;bundle&gt;&lt;publication&gt;&lt;url&gt;http://www.sciencemag.org&lt;/url&gt;&lt;title&gt;Science&lt;/title&gt;&lt;type&gt;-100&lt;/type&gt;&lt;subtype&gt;-100&lt;/subtype&gt;&lt;uuid&gt;B8BAAD49-665F-4119-ADC7-29FAE9650BA7&lt;/uuid&gt;&lt;/publication&gt;&lt;/bundle&gt;&lt;authors&gt;&lt;author&gt;&lt;firstName&gt;J&lt;/firstName&gt;&lt;middleNames&gt;L&lt;/middleNames&gt;&lt;lastName&gt;Sabo&lt;/lastName&gt;&lt;/author&gt;&lt;author&gt;&lt;firstName&gt;J&lt;/firstName&gt;&lt;middleNames&gt;C&lt;/middleNames&gt;&lt;lastName&gt;Finlay&lt;/lastName&gt;&lt;/author&gt;&lt;author&gt;&lt;firstName&gt;T&lt;/firstName&gt;&lt;lastName&gt;Kennedy&lt;/lastName&gt;&lt;/author&gt;&lt;author&gt;&lt;firstName&gt;D&lt;/firstName&gt;&lt;middleNames&gt;M&lt;/middleNames&gt;&lt;lastName&gt;Post&lt;/lastName&gt;&lt;/author&gt;&lt;/authors&gt;&lt;/publication&gt;&lt;/publications&gt;&lt;cites&gt;&lt;cite&gt;&lt;suppress&gt;A&lt;/suppress&gt;&lt;/cite&gt;&lt;/cites&gt;&lt;/citation&gt;</w:instrText>
      </w:r>
      <w:r w:rsidRPr="00747E35">
        <w:rPr>
          <w:rFonts w:asciiTheme="minorHAnsi" w:hAnsiTheme="minorHAnsi" w:cstheme="minorHAnsi"/>
        </w:rPr>
        <w:fldChar w:fldCharType="separate"/>
      </w:r>
      <w:r w:rsidRPr="00747E35">
        <w:rPr>
          <w:rFonts w:asciiTheme="minorHAnsi" w:hAnsiTheme="minorHAnsi" w:cstheme="minorHAnsi"/>
        </w:rPr>
        <w:t>(2010)</w:t>
      </w:r>
      <w:r w:rsidRPr="00747E35">
        <w:rPr>
          <w:rFonts w:asciiTheme="minorHAnsi" w:hAnsiTheme="minorHAnsi" w:cstheme="minorHAnsi"/>
        </w:rPr>
        <w:fldChar w:fldCharType="end"/>
      </w:r>
      <w:r w:rsidRPr="00747E35">
        <w:rPr>
          <w:rFonts w:asciiTheme="minorHAnsi" w:hAnsiTheme="minorHAnsi" w:cstheme="minorHAnsi"/>
        </w:rPr>
        <w:t xml:space="preserve"> found that food chain length increased in streams with greater baseflow and lower flow variability, suggesting that flow intermittency has a destabilising effect on food webs, and reduces food-chain length through the elimination of top predators. In addition, Jardine et al.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 ExcludeAuth="1"&gt;&lt;Author&gt;Jardine&lt;/Author&gt;&lt;Year&gt;2012&lt;/Year&gt;&lt;RecNum&gt;1268&lt;/RecNum&gt;&lt;DisplayText&gt;(2012)&lt;/DisplayText&gt;&lt;record&gt;&lt;rec-number&gt;1268&lt;/rec-number&gt;&lt;foreign-keys&gt;&lt;key app="EN" db-id="f09zwdf26xeasaevvsjxv00h9rx2v9xarfsw" timestamp="1465274261"&gt;1268&lt;/key&gt;&lt;/foreign-keys&gt;&lt;ref-type name="Journal Article"&gt;17&lt;/ref-type&gt;&lt;contributors&gt;&lt;authors&gt;&lt;author&gt;Jardine, Timothy D&lt;/author&gt;&lt;author&gt;Pettit, Neil E&lt;/author&gt;&lt;author&gt;Warfe, Danielle M&lt;/author&gt;&lt;author&gt;Pusey, Bradley J&lt;/author&gt;&lt;author&gt;Ward, Doug P&lt;/author&gt;&lt;author&gt;Douglas, Michael M&lt;/author&gt;&lt;author&gt;Davies, Peter M&lt;/author&gt;&lt;author&gt;Bunn, Stuart E&lt;/author&gt;&lt;/authors&gt;&lt;/contributors&gt;&lt;titles&gt;&lt;title&gt;Consumer–resource coupling in wet–dry tropical rivers&lt;/title&gt;&lt;secondary-title&gt;Journal of Animal Ecology&lt;/secondary-title&gt;&lt;/titles&gt;&lt;periodical&gt;&lt;full-title&gt;Journal of Animal Ecology&lt;/full-title&gt;&lt;/periodical&gt;&lt;pages&gt;310-322&lt;/pages&gt;&lt;volume&gt;81&lt;/volume&gt;&lt;number&gt;2&lt;/number&gt;&lt;dates&gt;&lt;year&gt;2012&lt;/year&gt;&lt;/dates&gt;&lt;isbn&gt;1365-2656&lt;/isbn&gt;&lt;urls&gt;&lt;/urls&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(2012)</w:t>
      </w:r>
      <w:r w:rsidRPr="00747E35">
        <w:rPr>
          <w:rFonts w:asciiTheme="minorHAnsi" w:hAnsiTheme="minorHAnsi" w:cstheme="minorHAnsi"/>
        </w:rPr>
        <w:fldChar w:fldCharType="end"/>
      </w:r>
      <w:r w:rsidRPr="00747E35">
        <w:rPr>
          <w:rFonts w:asciiTheme="minorHAnsi" w:hAnsiTheme="minorHAnsi" w:cstheme="minorHAnsi"/>
        </w:rPr>
        <w:t xml:space="preserve"> found that flow regime intermittency and connectivity were major determinants of consumer-resource coupling in riverine ecosystems. Consumer-resource coupling assesses the energetic contribution of primary producers (autochthonous C source) and/or terrestrial organic matter (allochthonous C source)  to organisms in a food web, and understanding how this varies in periods of different flow conditions can help evaluate the potential effects of reduced baseflow for aquatic food webs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&lt;EndNote&gt;&lt;Cite&gt;&lt;Author&gt;Bunn&lt;/Author&gt;&lt;Year&gt;2003&lt;/Year&gt;&lt;RecNum&gt;5338&lt;/RecNum&gt;&lt;DisplayText&gt;(Bunn&lt;style face="italic"&gt; et al.&lt;/style&gt;, 2003)&lt;/DisplayText&gt;&lt;record&gt;&lt;rec-number&gt;5338&lt;/rec-number&gt;&lt;foreign-keys&gt;&lt;key app="EN" db-id="v5vt5t95g2far6evspavvw010zs0a2zwxzsd" timestamp="1476994751"&gt;5338&lt;/key&gt;&lt;/foreign-keys&gt;&lt;ref-type name="Journal Article"&gt;17&lt;/ref-type&gt;&lt;contributors&gt;&lt;authors&gt;&lt;author&gt;Bunn, Stuart E&lt;/author&gt;&lt;author&gt;Davies, Peter M&lt;/author&gt;&lt;author&gt;Winning, Michelle&lt;/author&gt;&lt;/authors&gt;&lt;/contributors&gt;&lt;auth-address&gt;Griffith Univ, Fac Environm Sci, Ctr Catchment &amp;amp;amp;amp; In Stream Res, Cooperat Res Ctr Freshwater Ecol, Nathan, Qld 4111, Australia. Univ Western Australia, Ctr Excellence Nat Resource Management, Albany, Australia.Bunn, SE, Griffith Univ, Fac Environm Sci, Ctr Catchment &amp;amp;amp;amp; In Stream Res, Cooperat Res Ctr Freshwater Ecol, Nathan, Qld 4111, Australia.&lt;/auth-address&gt;&lt;titles&gt;&lt;title&gt;Sources of organic carbon supporting the food web of an arid zone floodplain river&lt;/title&gt;&lt;secondary-title&gt;Freshwater Biology&lt;/secondary-title&gt;&lt;short-title&gt;Freshwater Biology&lt;/short-title&gt;&lt;/titles&gt;&lt;periodical&gt;&lt;full-title&gt;Freshwater Biology&lt;/full-title&gt;&lt;/periodical&gt;&lt;pages&gt;619-635&lt;/pages&gt;&lt;volume&gt;48&lt;/volume&gt;&lt;number&gt;4&lt;/number&gt;&lt;dates&gt;&lt;year&gt;2003&lt;/year&gt;&lt;pub-dates&gt;&lt;date&gt;Apr&lt;/date&gt;&lt;/pub-dates&gt;&lt;/dates&gt;&lt;accession-num&gt;10167255487169130104related:eG5bRf9YGY0J&lt;/accession-num&gt;&lt;label&gt;r09714&lt;/label&gt;&lt;urls&gt;&lt;related-urls&gt;&lt;url&gt;http://doi.wiley.com/10.1046/j.1365-2427.2003.01031.x&lt;/url&gt;&lt;/related-urls&gt;&lt;pdf-urls&gt;&lt;url&gt;file://localhost/Users/nickbond/Dropbox/Papers%20Library/Library.papers3/Files/36/365D2D74-2C90-4280-B37B-656D534A9E7D.pdf&lt;/url&gt;&lt;/pdf-urls&gt;&lt;/urls&gt;&lt;custom3&gt;papers3://publication/uuid/E3A99C85-C9F1-44E3-986E-9025B241D2E9&lt;/custom3&gt;&lt;electronic-resource-num&gt;10.1046/j.1365-2427.2003.01031.x&lt;/electronic-resource-num&gt;&lt;language&gt;English&lt;/language&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(Bunn</w:t>
      </w:r>
      <w:r w:rsidRPr="00747E35">
        <w:rPr>
          <w:rFonts w:asciiTheme="minorHAnsi" w:hAnsiTheme="minorHAnsi" w:cstheme="minorHAnsi"/>
          <w:i/>
          <w:noProof/>
        </w:rPr>
        <w:t xml:space="preserve"> et al.</w:t>
      </w:r>
      <w:r w:rsidRPr="00747E35">
        <w:rPr>
          <w:rFonts w:asciiTheme="minorHAnsi" w:hAnsiTheme="minorHAnsi" w:cstheme="minorHAnsi"/>
          <w:noProof/>
        </w:rPr>
        <w:t>, 2003)</w:t>
      </w:r>
      <w:r w:rsidRPr="00747E35">
        <w:rPr>
          <w:rFonts w:asciiTheme="minorHAnsi" w:hAnsiTheme="minorHAnsi" w:cstheme="minorHAnsi"/>
        </w:rPr>
        <w:fldChar w:fldCharType="end"/>
      </w:r>
      <w:r w:rsidRPr="00747E35">
        <w:rPr>
          <w:rFonts w:asciiTheme="minorHAnsi" w:hAnsiTheme="minorHAnsi" w:cstheme="minorHAnsi"/>
        </w:rPr>
        <w:t>.</w:t>
      </w:r>
    </w:p>
    <w:p w14:paraId="53A2F4FD" w14:textId="1D23244F" w:rsidR="003D3694" w:rsidRPr="00747E35" w:rsidRDefault="003D3694" w:rsidP="003D3694">
      <w:pPr>
        <w:rPr>
          <w:rFonts w:asciiTheme="minorHAnsi" w:hAnsiTheme="minorHAnsi" w:cstheme="minorHAnsi"/>
        </w:rPr>
      </w:pPr>
      <w:r w:rsidRPr="00747E35">
        <w:rPr>
          <w:rFonts w:asciiTheme="minorHAnsi" w:hAnsiTheme="minorHAnsi" w:cstheme="minorHAnsi"/>
        </w:rPr>
        <w:t>While the overall importance of baseflows to surface water ecosystems is well established, much of our current understanding is drawn from work in normally perennial systems, where periods of intermittent flow are uncommon. In fact, some recent reviews, (e.g. Dewson et al</w:t>
      </w:r>
      <w:r w:rsidR="005E04D7">
        <w:rPr>
          <w:rFonts w:asciiTheme="minorHAnsi" w:hAnsiTheme="minorHAnsi" w:cstheme="minorHAnsi"/>
        </w:rPr>
        <w:t>.</w:t>
      </w:r>
      <w:r w:rsidRPr="00747E35">
        <w:rPr>
          <w:rFonts w:asciiTheme="minorHAnsi" w:hAnsiTheme="minorHAnsi" w:cstheme="minorHAnsi"/>
        </w:rPr>
        <w:t xml:space="preserve"> 2007b</w:t>
      </w:r>
      <w:r w:rsidRPr="00747E35">
        <w:rPr>
          <w:rFonts w:asciiTheme="minorHAnsi" w:hAnsiTheme="minorHAnsi" w:cstheme="minorHAnsi"/>
        </w:rPr>
        <w:fldChar w:fldCharType="begin">
          <w:fldData xml:space="preserve">PEVuZE5vdGU+PENpdGUgRXhjbHVkZUF1dGg9IjEiIEV4Y2x1ZGVZZWFyPSIxIiBIaWRkZW49IjEi
PjxBdXRob3I+RGV3c29uPC9BdXRob3I+PFllYXI+MjAwNzwvWWVhcj48UmVjTnVtPjEzNzU8L1Jl
Y051bT48cmVjb3JkPjxyZWMtbnVtYmVyPjEzNzU8L3JlYy1udW1iZXI+PGZvcmVpZ24ta2V5cz48
a2V5IGFwcD0iRU4iIGRiLWlkPSJmMDl6d2RmMjZ4ZWFzYWV2dnNqeHYwMGg5cngydjl4YXJmc3ci
IHRpbWVzdGFtcD0iMTQ3ODIzMjQ1OSI+MTM3NTwva2V5PjwvZm9yZWlnbi1rZXlzPjxyZWYtdHlw
ZSBuYW1lPSJKb3VybmFsIEFydGljbGUiPjE3PC9yZWYtdHlwZT48Y29udHJpYnV0b3JzPjxhdXRo
b3JzPjxhdXRob3I+RGV3c29uLCBab8OrIFMuPC9hdXRob3I+PGF1dGhvcj5KYW1lcywgQWxleGFu
ZGVyIEIuIFcuPC9hdXRob3I+PGF1dGhvcj5EZWF0aCwgUnVzc2VsbCBHLjwvYXV0aG9yPjwvYXV0
aG9ycz48L2NvbnRyaWJ1dG9ycz48dGl0bGVzPjx0aXRsZT5BIHJldmlldyBvZiB0aGUgY29uc2Vx
dWVuY2VzIG9mIGRlY3JlYXNlZCBmbG93IGZvciBpbnN0cmVhbSBoYWJpdGF0IGFuZCBtYWNyb2lu
dmVydGVicmF0ZXM8L3RpdGxlPjxzZWNvbmRhcnktdGl0bGU+Sm91cm5hbCBvZiB0aGUgTm9ydGgg
QW1lcmljYW4gQmVudGhvbG9naWNhbCBTb2NpZXR5PC9zZWNvbmRhcnktdGl0bGU+PC90aXRsZXM+
PHBlcmlvZGljYWw+PGZ1bGwtdGl0bGU+Sm91cm5hbCBvZiB0aGUgTm9ydGggQW1lcmljYW4gQmVu
dGhvbG9naWNhbCBTb2NpZXR5PC9mdWxsLXRpdGxlPjwvcGVyaW9kaWNhbD48cGFnZXM+NDAxLTQx
NTwvcGFnZXM+PHZvbHVtZT4yNjwvdm9sdW1lPjxudW1iZXI+MzwvbnVtYmVyPjxkYXRlcz48eWVh
cj4yMDA3PC95ZWFyPjxwdWItZGF0ZXM+PGRhdGU+MjAwNy8wOS8wMTwvZGF0ZT48L3B1Yi1kYXRl
cz48L2RhdGVzPjxwdWJsaXNoZXI+VGhlIFNvY2lldHkgZm9yIEZyZXNod2F0ZXIgU2NpZW5jZTwv
cHVibGlzaGVyPjxpc2JuPjA4ODctMzU5MzwvaXNibj48dXJscz48cmVsYXRlZC11cmxzPjx1cmw+
aHR0cDovL2R4LmRvaS5vcmcvMTAuMTg5OS8wNi0xMTAuMTwvdXJsPjwvcmVsYXRlZC11cmxzPjwv
dXJscz48ZWxlY3Ryb25pYy1yZXNvdXJjZS1udW0+MTAuMTg5OS8wNi0xMTAuMTwvZWxlY3Ryb25p
Yy1yZXNvdXJjZS1udW0+PGFjY2Vzcy1kYXRlPjIwMTYvMTEvMDM8L2FjY2Vzcy1kYXRlPjwvcmVj
b3JkPjwvQ2l0ZT48Q2l0ZSBFeGNsdWRlQXV0aD0iMSIgRXhjbHVkZVllYXI9IjEiIEhpZGRlbj0i
MSI+PEF1dGhvcj5EZXdzb248L0F1dGhvcj48WWVhcj4yMDA3PC9ZZWFyPjxSZWNOdW0+MTM3NTwv
UmVjTnVtPjxyZWNvcmQ+PHJlYy1udW1iZXI+MTM3NTwvcmVjLW51bWJlcj48Zm9yZWlnbi1rZXlz
PjxrZXkgYXBwPSJFTiIgZGItaWQ9ImYwOXp3ZGYyNnhlYXNhZXZ2c2p4djAwaDlyeDJ2OXhhcmZz
dyIgdGltZXN0YW1wPSIxNDc4MjMyNDU5Ij4xMzc1PC9rZXk+PC9mb3JlaWduLWtleXM+PHJlZi10
eXBlIG5hbWU9IkpvdXJuYWwgQXJ0aWNsZSI+MTc8L3JlZi10eXBlPjxjb250cmlidXRvcnM+PGF1
dGhvcnM+PGF1dGhvcj5EZXdzb24sIFpvw6sgUy48L2F1dGhvcj48YXV0aG9yPkphbWVzLCBBbGV4
YW5kZXIgQi4gVy48L2F1dGhvcj48YXV0aG9yPkRlYXRoLCBSdXNzZWxsIEcuPC9hdXRob3I+PC9h
dXRob3JzPjwvY29udHJpYnV0b3JzPjx0aXRsZXM+PHRpdGxlPkEgcmV2aWV3IG9mIHRoZSBjb25z
ZXF1ZW5jZXMgb2YgZGVjcmVhc2VkIGZsb3cgZm9yIGluc3RyZWFtIGhhYml0YXQgYW5kIG1hY3Jv
aW52ZXJ0ZWJyYXRlczwvdGl0bGU+PHNlY29uZGFyeS10aXRsZT5Kb3VybmFsIG9mIHRoZSBOb3J0
aCBBbWVyaWNhbiBCZW50aG9sb2dpY2FsIFNvY2lldHk8L3NlY29uZGFyeS10aXRsZT48L3RpdGxl
cz48cGVyaW9kaWNhbD48ZnVsbC10aXRsZT5Kb3VybmFsIG9mIHRoZSBOb3J0aCBBbWVyaWNhbiBC
ZW50aG9sb2dpY2FsIFNvY2lldHk8L2Z1bGwtdGl0bGU+PC9wZXJpb2RpY2FsPjxwYWdlcz40MDEt
NDE1PC9wYWdlcz48dm9sdW1lPjI2PC92b2x1bWU+PG51bWJlcj4zPC9udW1iZXI+PGRhdGVzPjx5
ZWFyPjIwMDc8L3llYXI+PHB1Yi1kYXRlcz48ZGF0ZT4yMDA3LzA5LzAxPC9kYXRlPjwvcHViLWRh
dGVzPjwvZGF0ZXM+PHB1Ymxpc2hlcj5UaGUgU29jaWV0eSBmb3IgRnJlc2h3YXRlciBTY2llbmNl
PC9wdWJsaXNoZXI+PGlzYm4+MDg4Ny0zNTkzPC9pc2JuPjx1cmxzPjxyZWxhdGVkLXVybHM+PHVy
bD5odHRwOi8vZHguZG9pLm9yZy8xMC4xODk5LzA2LTExMC4xPC91cmw+PC9yZWxhdGVkLXVybHM+
PC91cmxzPjxlbGVjdHJvbmljLXJlc291cmNlLW51bT4xMC4xODk5LzA2LTExMC4xPC9lbGVjdHJv
bmljLXJlc291cmNlLW51bT48YWNjZXNzLWRhdGU+MjAxNi8xMS8wMzwvYWNjZXNzLWRhdGU+PC9y
ZWNvcmQ+PC9DaXRlPjwvRW5kTm90ZT4A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PEVuZE5vdGU+PENpdGUgRXhjbHVkZUF1dGg9IjEiIEV4Y2x1ZGVZZWFyPSIxIiBIaWRkZW49IjEi
PjxBdXRob3I+RGV3c29uPC9BdXRob3I+PFllYXI+MjAwNzwvWWVhcj48UmVjTnVtPjEzNzU8L1Jl
Y051bT48cmVjb3JkPjxyZWMtbnVtYmVyPjEzNzU8L3JlYy1udW1iZXI+PGZvcmVpZ24ta2V5cz48
a2V5IGFwcD0iRU4iIGRiLWlkPSJmMDl6d2RmMjZ4ZWFzYWV2dnNqeHYwMGg5cngydjl4YXJmc3ci
IHRpbWVzdGFtcD0iMTQ3ODIzMjQ1OSI+MTM3NTwva2V5PjwvZm9yZWlnbi1rZXlzPjxyZWYtdHlw
ZSBuYW1lPSJKb3VybmFsIEFydGljbGUiPjE3PC9yZWYtdHlwZT48Y29udHJpYnV0b3JzPjxhdXRo
b3JzPjxhdXRob3I+RGV3c29uLCBab8OrIFMuPC9hdXRob3I+PGF1dGhvcj5KYW1lcywgQWxleGFu
ZGVyIEIuIFcuPC9hdXRob3I+PGF1dGhvcj5EZWF0aCwgUnVzc2VsbCBHLjwvYXV0aG9yPjwvYXV0
aG9ycz48L2NvbnRyaWJ1dG9ycz48dGl0bGVzPjx0aXRsZT5BIHJldmlldyBvZiB0aGUgY29uc2Vx
dWVuY2VzIG9mIGRlY3JlYXNlZCBmbG93IGZvciBpbnN0cmVhbSBoYWJpdGF0IGFuZCBtYWNyb2lu
dmVydGVicmF0ZXM8L3RpdGxlPjxzZWNvbmRhcnktdGl0bGU+Sm91cm5hbCBvZiB0aGUgTm9ydGgg
QW1lcmljYW4gQmVudGhvbG9naWNhbCBTb2NpZXR5PC9zZWNvbmRhcnktdGl0bGU+PC90aXRsZXM+
PHBlcmlvZGljYWw+PGZ1bGwtdGl0bGU+Sm91cm5hbCBvZiB0aGUgTm9ydGggQW1lcmljYW4gQmVu
dGhvbG9naWNhbCBTb2NpZXR5PC9mdWxsLXRpdGxlPjwvcGVyaW9kaWNhbD48cGFnZXM+NDAxLTQx
NTwvcGFnZXM+PHZvbHVtZT4yNjwvdm9sdW1lPjxudW1iZXI+MzwvbnVtYmVyPjxkYXRlcz48eWVh
cj4yMDA3PC95ZWFyPjxwdWItZGF0ZXM+PGRhdGU+MjAwNy8wOS8wMTwvZGF0ZT48L3B1Yi1kYXRl
cz48L2RhdGVzPjxwdWJsaXNoZXI+VGhlIFNvY2lldHkgZm9yIEZyZXNod2F0ZXIgU2NpZW5jZTwv
cHVibGlzaGVyPjxpc2JuPjA4ODctMzU5MzwvaXNibj48dXJscz48cmVsYXRlZC11cmxzPjx1cmw+
aHR0cDovL2R4LmRvaS5vcmcvMTAuMTg5OS8wNi0xMTAuMTwvdXJsPjwvcmVsYXRlZC11cmxzPjwv
dXJscz48ZWxlY3Ryb25pYy1yZXNvdXJjZS1udW0+MTAuMTg5OS8wNi0xMTAuMTwvZWxlY3Ryb25p
Yy1yZXNvdXJjZS1udW0+PGFjY2Vzcy1kYXRlPjIwMTYvMTEvMDM8L2FjY2Vzcy1kYXRlPjwvcmVj
b3JkPjwvQ2l0ZT48Q2l0ZSBFeGNsdWRlQXV0aD0iMSIgRXhjbHVkZVllYXI9IjEiIEhpZGRlbj0i
MSI+PEF1dGhvcj5EZXdzb248L0F1dGhvcj48WWVhcj4yMDA3PC9ZZWFyPjxSZWNOdW0+MTM3NTwv
UmVjTnVtPjxyZWNvcmQ+PHJlYy1udW1iZXI+MTM3NTwvcmVjLW51bWJlcj48Zm9yZWlnbi1rZXlz
PjxrZXkgYXBwPSJFTiIgZGItaWQ9ImYwOXp3ZGYyNnhlYXNhZXZ2c2p4djAwaDlyeDJ2OXhhcmZz
dyIgdGltZXN0YW1wPSIxNDc4MjMyNDU5Ij4xMzc1PC9rZXk+PC9mb3JlaWduLWtleXM+PHJlZi10
eXBlIG5hbWU9IkpvdXJuYWwgQXJ0aWNsZSI+MTc8L3JlZi10eXBlPjxjb250cmlidXRvcnM+PGF1
dGhvcnM+PGF1dGhvcj5EZXdzb24sIFpvw6sgUy48L2F1dGhvcj48YXV0aG9yPkphbWVzLCBBbGV4
YW5kZXIgQi4gVy48L2F1dGhvcj48YXV0aG9yPkRlYXRoLCBSdXNzZWxsIEcuPC9hdXRob3I+PC9h
dXRob3JzPjwvY29udHJpYnV0b3JzPjx0aXRsZXM+PHRpdGxlPkEgcmV2aWV3IG9mIHRoZSBjb25z
ZXF1ZW5jZXMgb2YgZGVjcmVhc2VkIGZsb3cgZm9yIGluc3RyZWFtIGhhYml0YXQgYW5kIG1hY3Jv
aW52ZXJ0ZWJyYXRlczwvdGl0bGU+PHNlY29uZGFyeS10aXRsZT5Kb3VybmFsIG9mIHRoZSBOb3J0
aCBBbWVyaWNhbiBCZW50aG9sb2dpY2FsIFNvY2lldHk8L3NlY29uZGFyeS10aXRsZT48L3RpdGxl
cz48cGVyaW9kaWNhbD48ZnVsbC10aXRsZT5Kb3VybmFsIG9mIHRoZSBOb3J0aCBBbWVyaWNhbiBC
ZW50aG9sb2dpY2FsIFNvY2lldHk8L2Z1bGwtdGl0bGU+PC9wZXJpb2RpY2FsPjxwYWdlcz40MDEt
NDE1PC9wYWdlcz48dm9sdW1lPjI2PC92b2x1bWU+PG51bWJlcj4zPC9udW1iZXI+PGRhdGVzPjx5
ZWFyPjIwMDc8L3llYXI+PHB1Yi1kYXRlcz48ZGF0ZT4yMDA3LzA5LzAxPC9kYXRlPjwvcHViLWRh
dGVzPjwvZGF0ZXM+PHB1Ymxpc2hlcj5UaGUgU29jaWV0eSBmb3IgRnJlc2h3YXRlciBTY2llbmNl
PC9wdWJsaXNoZXI+PGlzYm4+MDg4Ny0zNTkzPC9pc2JuPjx1cmxzPjxyZWxhdGVkLXVybHM+PHVy
bD5odHRwOi8vZHguZG9pLm9yZy8xMC4xODk5LzA2LTExMC4xPC91cmw+PC9yZWxhdGVkLXVybHM+
PC91cmxzPjxlbGVjdHJvbmljLXJlc291cmNlLW51bT4xMC4xODk5LzA2LTExMC4xPC9lbGVjdHJv
bmljLXJlc291cmNlLW51bT48YWNjZXNzLWRhdGU+MjAxNi8xMS8wMzwvYWNjZXNzLWRhdGU+PC9y
ZWNvcmQ+PC9DaXRlPjwvRW5kTm90ZT4A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fldChar w:fldCharType="begin">
          <w:fldData xml:space="preserve">PEVuZE5vdGU+PENpdGUgRXhjbHVkZUF1dGg9IjEiIEV4Y2x1ZGVZZWFyPSIxIiBIaWRkZW49IjEi
PjxBdXRob3I+RGV3c29uPC9BdXRob3I+PFllYXI+MjAwNzwvWWVhcj48UmVjTnVtPjEzNzU8L1Jl
Y051bT48cmVjb3JkPjxyZWMtbnVtYmVyPjEzNzU8L3JlYy1udW1iZXI+PGZvcmVpZ24ta2V5cz48
a2V5IGFwcD0iRU4iIGRiLWlkPSJmMDl6d2RmMjZ4ZWFzYWV2dnNqeHYwMGg5cngydjl4YXJmc3ci
IHRpbWVzdGFtcD0iMTQ3ODIzMjQ1OSI+MTM3NTwva2V5PjwvZm9yZWlnbi1rZXlzPjxyZWYtdHlw
ZSBuYW1lPSJKb3VybmFsIEFydGljbGUiPjE3PC9yZWYtdHlwZT48Y29udHJpYnV0b3JzPjxhdXRo
b3JzPjxhdXRob3I+RGV3c29uLCBab8OrIFMuPC9hdXRob3I+PGF1dGhvcj5KYW1lcywgQWxleGFu
ZGVyIEIuIFcuPC9hdXRob3I+PGF1dGhvcj5EZWF0aCwgUnVzc2VsbCBHLjwvYXV0aG9yPjwvYXV0
aG9ycz48L2NvbnRyaWJ1dG9ycz48dGl0bGVzPjx0aXRsZT5BIHJldmlldyBvZiB0aGUgY29uc2Vx
dWVuY2VzIG9mIGRlY3JlYXNlZCBmbG93IGZvciBpbnN0cmVhbSBoYWJpdGF0IGFuZCBtYWNyb2lu
dmVydGVicmF0ZXM8L3RpdGxlPjxzZWNvbmRhcnktdGl0bGU+Sm91cm5hbCBvZiB0aGUgTm9ydGgg
QW1lcmljYW4gQmVudGhvbG9naWNhbCBTb2NpZXR5PC9zZWNvbmRhcnktdGl0bGU+PC90aXRsZXM+
PHBlcmlvZGljYWw+PGZ1bGwtdGl0bGU+Sm91cm5hbCBvZiB0aGUgTm9ydGggQW1lcmljYW4gQmVu
dGhvbG9naWNhbCBTb2NpZXR5PC9mdWxsLXRpdGxlPjwvcGVyaW9kaWNhbD48cGFnZXM+NDAxLTQx
NTwvcGFnZXM+PHZvbHVtZT4yNjwvdm9sdW1lPjxudW1iZXI+MzwvbnVtYmVyPjxkYXRlcz48eWVh
cj4yMDA3PC95ZWFyPjxwdWItZGF0ZXM+PGRhdGU+MjAwNy8wOS8wMTwvZGF0ZT48L3B1Yi1kYXRl
cz48L2RhdGVzPjxwdWJsaXNoZXI+VGhlIFNvY2lldHkgZm9yIEZyZXNod2F0ZXIgU2NpZW5jZTwv
cHVibGlzaGVyPjxpc2JuPjA4ODctMzU5MzwvaXNibj48dXJscz48cmVsYXRlZC11cmxzPjx1cmw+
aHR0cDovL2R4LmRvaS5vcmcvMTAuMTg5OS8wNi0xMTAuMTwvdXJsPjwvcmVsYXRlZC11cmxzPjwv
dXJscz48ZWxlY3Ryb25pYy1yZXNvdXJjZS1udW0+MTAuMTg5OS8wNi0xMTAuMTwvZWxlY3Ryb25p
Yy1yZXNvdXJjZS1udW0+PGFjY2Vzcy1kYXRlPjIwMTYvMTEvMDM8L2FjY2Vzcy1kYXRlPjwvcmVj
b3JkPjwvQ2l0ZT48Q2l0ZSBFeGNsdWRlQXV0aD0iMSIgRXhjbHVkZVllYXI9IjEiIEhpZGRlbj0i
MSI+PEF1dGhvcj5EZXdzb248L0F1dGhvcj48WWVhcj4yMDA3PC9ZZWFyPjxSZWNOdW0+MTM3NTwv
UmVjTnVtPjxyZWNvcmQ+PHJlYy1udW1iZXI+MTM3NTwvcmVjLW51bWJlcj48Zm9yZWlnbi1rZXlz
PjxrZXkgYXBwPSJFTiIgZGItaWQ9ImYwOXp3ZGYyNnhlYXNhZXZ2c2p4djAwaDlyeDJ2OXhhcmZz
dyIgdGltZXN0YW1wPSIxNDc4MjMyNDU5Ij4xMzc1PC9rZXk+PC9mb3JlaWduLWtleXM+PHJlZi10
eXBlIG5hbWU9IkpvdXJuYWwgQXJ0aWNsZSI+MTc8L3JlZi10eXBlPjxjb250cmlidXRvcnM+PGF1
dGhvcnM+PGF1dGhvcj5EZXdzb24sIFpvw6sgUy48L2F1dGhvcj48YXV0aG9yPkphbWVzLCBBbGV4
YW5kZXIgQi4gVy48L2F1dGhvcj48YXV0aG9yPkRlYXRoLCBSdXNzZWxsIEcuPC9hdXRob3I+PC9h
dXRob3JzPjwvY29udHJpYnV0b3JzPjx0aXRsZXM+PHRpdGxlPkEgcmV2aWV3IG9mIHRoZSBjb25z
ZXF1ZW5jZXMgb2YgZGVjcmVhc2VkIGZsb3cgZm9yIGluc3RyZWFtIGhhYml0YXQgYW5kIG1hY3Jv
aW52ZXJ0ZWJyYXRlczwvdGl0bGU+PHNlY29uZGFyeS10aXRsZT5Kb3VybmFsIG9mIHRoZSBOb3J0
aCBBbWVyaWNhbiBCZW50aG9sb2dpY2FsIFNvY2lldHk8L3NlY29uZGFyeS10aXRsZT48L3RpdGxl
cz48cGVyaW9kaWNhbD48ZnVsbC10aXRsZT5Kb3VybmFsIG9mIHRoZSBOb3J0aCBBbWVyaWNhbiBC
ZW50aG9sb2dpY2FsIFNvY2lldHk8L2Z1bGwtdGl0bGU+PC9wZXJpb2RpY2FsPjxwYWdlcz40MDEt
NDE1PC9wYWdlcz48dm9sdW1lPjI2PC92b2x1bWU+PG51bWJlcj4zPC9udW1iZXI+PGRhdGVzPjx5
ZWFyPjIwMDc8L3llYXI+PHB1Yi1kYXRlcz48ZGF0ZT4yMDA3LzA5LzAxPC9kYXRlPjwvcHViLWRh
dGVzPjwvZGF0ZXM+PHB1Ymxpc2hlcj5UaGUgU29jaWV0eSBmb3IgRnJlc2h3YXRlciBTY2llbmNl
PC9wdWJsaXNoZXI+PGlzYm4+MDg4Ny0zNTkzPC9pc2JuPjx1cmxzPjxyZWxhdGVkLXVybHM+PHVy
bD5odHRwOi8vZHguZG9pLm9yZy8xMC4xODk5LzA2LTExMC4xPC91cmw+PC9yZWxhdGVkLXVybHM+
PC91cmxzPjxlbGVjdHJvbmljLXJlc291cmNlLW51bT4xMC4xODk5LzA2LTExMC4xPC9lbGVjdHJv
bmljLXJlc291cmNlLW51bT48YWNjZXNzLWRhdGU+MjAxNi8xMS8wMzwvYWNjZXNzLWRhdGU+PC9y
ZWNvcmQ+PC9DaXRlPjwvRW5kTm90ZT4A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PEVuZE5vdGU+PENpdGUgRXhjbHVkZUF1dGg9IjEiIEV4Y2x1ZGVZZWFyPSIxIiBIaWRkZW49IjEi
PjxBdXRob3I+RGV3c29uPC9BdXRob3I+PFllYXI+MjAwNzwvWWVhcj48UmVjTnVtPjEzNzU8L1Jl
Y051bT48cmVjb3JkPjxyZWMtbnVtYmVyPjEzNzU8L3JlYy1udW1iZXI+PGZvcmVpZ24ta2V5cz48
a2V5IGFwcD0iRU4iIGRiLWlkPSJmMDl6d2RmMjZ4ZWFzYWV2dnNqeHYwMGg5cngydjl4YXJmc3ci
IHRpbWVzdGFtcD0iMTQ3ODIzMjQ1OSI+MTM3NTwva2V5PjwvZm9yZWlnbi1rZXlzPjxyZWYtdHlw
ZSBuYW1lPSJKb3VybmFsIEFydGljbGUiPjE3PC9yZWYtdHlwZT48Y29udHJpYnV0b3JzPjxhdXRo
b3JzPjxhdXRob3I+RGV3c29uLCBab8OrIFMuPC9hdXRob3I+PGF1dGhvcj5KYW1lcywgQWxleGFu
ZGVyIEIuIFcuPC9hdXRob3I+PGF1dGhvcj5EZWF0aCwgUnVzc2VsbCBHLjwvYXV0aG9yPjwvYXV0
aG9ycz48L2NvbnRyaWJ1dG9ycz48dGl0bGVzPjx0aXRsZT5BIHJldmlldyBvZiB0aGUgY29uc2Vx
dWVuY2VzIG9mIGRlY3JlYXNlZCBmbG93IGZvciBpbnN0cmVhbSBoYWJpdGF0IGFuZCBtYWNyb2lu
dmVydGVicmF0ZXM8L3RpdGxlPjxzZWNvbmRhcnktdGl0bGU+Sm91cm5hbCBvZiB0aGUgTm9ydGgg
QW1lcmljYW4gQmVudGhvbG9naWNhbCBTb2NpZXR5PC9zZWNvbmRhcnktdGl0bGU+PC90aXRsZXM+
PHBlcmlvZGljYWw+PGZ1bGwtdGl0bGU+Sm91cm5hbCBvZiB0aGUgTm9ydGggQW1lcmljYW4gQmVu
dGhvbG9naWNhbCBTb2NpZXR5PC9mdWxsLXRpdGxlPjwvcGVyaW9kaWNhbD48cGFnZXM+NDAxLTQx
NTwvcGFnZXM+PHZvbHVtZT4yNjwvdm9sdW1lPjxudW1iZXI+MzwvbnVtYmVyPjxkYXRlcz48eWVh
cj4yMDA3PC95ZWFyPjxwdWItZGF0ZXM+PGRhdGU+MjAwNy8wOS8wMTwvZGF0ZT48L3B1Yi1kYXRl
cz48L2RhdGVzPjxwdWJsaXNoZXI+VGhlIFNvY2lldHkgZm9yIEZyZXNod2F0ZXIgU2NpZW5jZTwv
cHVibGlzaGVyPjxpc2JuPjA4ODctMzU5MzwvaXNibj48dXJscz48cmVsYXRlZC11cmxzPjx1cmw+
aHR0cDovL2R4LmRvaS5vcmcvMTAuMTg5OS8wNi0xMTAuMTwvdXJsPjwvcmVsYXRlZC11cmxzPjwv
dXJscz48ZWxlY3Ryb25pYy1yZXNvdXJjZS1udW0+MTAuMTg5OS8wNi0xMTAuMTwvZWxlY3Ryb25p
Yy1yZXNvdXJjZS1udW0+PGFjY2Vzcy1kYXRlPjIwMTYvMTEvMDM8L2FjY2Vzcy1kYXRlPjwvcmVj
b3JkPjwvQ2l0ZT48Q2l0ZSBFeGNsdWRlQXV0aD0iMSIgRXhjbHVkZVllYXI9IjEiIEhpZGRlbj0i
MSI+PEF1dGhvcj5EZXdzb248L0F1dGhvcj48WWVhcj4yMDA3PC9ZZWFyPjxSZWNOdW0+MTM3NTwv
UmVjTnVtPjxyZWNvcmQ+PHJlYy1udW1iZXI+MTM3NTwvcmVjLW51bWJlcj48Zm9yZWlnbi1rZXlz
PjxrZXkgYXBwPSJFTiIgZGItaWQ9ImYwOXp3ZGYyNnhlYXNhZXZ2c2p4djAwaDlyeDJ2OXhhcmZz
dyIgdGltZXN0YW1wPSIxNDc4MjMyNDU5Ij4xMzc1PC9rZXk+PC9mb3JlaWduLWtleXM+PHJlZi10
eXBlIG5hbWU9IkpvdXJuYWwgQXJ0aWNsZSI+MTc8L3JlZi10eXBlPjxjb250cmlidXRvcnM+PGF1
dGhvcnM+PGF1dGhvcj5EZXdzb24sIFpvw6sgUy48L2F1dGhvcj48YXV0aG9yPkphbWVzLCBBbGV4
YW5kZXIgQi4gVy48L2F1dGhvcj48YXV0aG9yPkRlYXRoLCBSdXNzZWxsIEcuPC9hdXRob3I+PC9h
dXRob3JzPjwvY29udHJpYnV0b3JzPjx0aXRsZXM+PHRpdGxlPkEgcmV2aWV3IG9mIHRoZSBjb25z
ZXF1ZW5jZXMgb2YgZGVjcmVhc2VkIGZsb3cgZm9yIGluc3RyZWFtIGhhYml0YXQgYW5kIG1hY3Jv
aW52ZXJ0ZWJyYXRlczwvdGl0bGU+PHNlY29uZGFyeS10aXRsZT5Kb3VybmFsIG9mIHRoZSBOb3J0
aCBBbWVyaWNhbiBCZW50aG9sb2dpY2FsIFNvY2lldHk8L3NlY29uZGFyeS10aXRsZT48L3RpdGxl
cz48cGVyaW9kaWNhbD48ZnVsbC10aXRsZT5Kb3VybmFsIG9mIHRoZSBOb3J0aCBBbWVyaWNhbiBC
ZW50aG9sb2dpY2FsIFNvY2lldHk8L2Z1bGwtdGl0bGU+PC9wZXJpb2RpY2FsPjxwYWdlcz40MDEt
NDE1PC9wYWdlcz48dm9sdW1lPjI2PC92b2x1bWU+PG51bWJlcj4zPC9udW1iZXI+PGRhdGVzPjx5
ZWFyPjIwMDc8L3llYXI+PHB1Yi1kYXRlcz48ZGF0ZT4yMDA3LzA5LzAxPC9kYXRlPjwvcHViLWRh
dGVzPjwvZGF0ZXM+PHB1Ymxpc2hlcj5UaGUgU29jaWV0eSBmb3IgRnJlc2h3YXRlciBTY2llbmNl
PC9wdWJsaXNoZXI+PGlzYm4+MDg4Ny0zNTkzPC9pc2JuPjx1cmxzPjxyZWxhdGVkLXVybHM+PHVy
bD5odHRwOi8vZHguZG9pLm9yZy8xMC4xODk5LzA2LTExMC4xPC91cmw+PC9yZWxhdGVkLXVybHM+
PC91cmxzPjxlbGVjdHJvbmljLXJlc291cmNlLW51bT4xMC4xODk5LzA2LTExMC4xPC9lbGVjdHJv
bmljLXJlc291cmNlLW51bT48YWNjZXNzLWRhdGU+MjAxNi8xMS8wMzwvYWNjZXNzLWRhdGU+PC9y
ZWNvcmQ+PC9DaXRlPjwvRW5kTm90ZT4A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 ExcludeAuth="1" ExcludeYear="1" Hidden="1"&gt;&lt;Author&gt;Dewson&lt;/Author&gt;&lt;Year&gt;2007&lt;/Year&gt;&lt;RecNum&gt;1375&lt;/RecNum&gt;&lt;record&gt;&lt;rec-number&gt;1375&lt;/rec-number&gt;&lt;foreign-keys&gt;&lt;key app="EN" db-id="f09zwdf26xeasaevvsjxv00h9rx2v9xarfsw" timestamp="1478232459"&gt;1375&lt;/key&gt;&lt;/foreign-keys&gt;&lt;ref-type name="Journal Article"&gt;17&lt;/ref-type&gt;&lt;contributors&gt;&lt;authors&gt;&lt;author&gt;Dewson, Zoë S.&lt;/author&gt;&lt;author&gt;James, Alexander B. W.&lt;/author&gt;&lt;author&gt;Death, Russell G.&lt;/author&gt;&lt;/authors&gt;&lt;/contributors&gt;&lt;titles&gt;&lt;title&gt;A review of the consequences of decreased flow for instream habitat and macroinvertebrates&lt;/title&gt;&lt;secondary-title&gt;Journal of the North American Benthological Society&lt;/secondary-title&gt;&lt;/titles&gt;&lt;periodical&gt;&lt;full-title&gt;Journal of the North American Benthological Society&lt;/full-title&gt;&lt;/periodical&gt;&lt;pages&gt;401-415&lt;/pages&gt;&lt;volume&gt;26&lt;/volume&gt;&lt;number&gt;3&lt;/number&gt;&lt;dates&gt;&lt;year&gt;2007&lt;/year&gt;&lt;pub-dates&gt;&lt;date&gt;2007/09/01&lt;/date&gt;&lt;/pub-dates&gt;&lt;/dates&gt;&lt;publisher&gt;The Society for Freshwater Science&lt;/publisher&gt;&lt;isbn&gt;0887-3593&lt;/isbn&gt;&lt;urls&gt;&lt;related-urls&gt;&lt;url&gt;http://dx.doi.org/10.1899/06-110.1&lt;/url&gt;&lt;/related-urls&gt;&lt;/urls&gt;&lt;electronic-resource-num&gt;10.1899/06-110.1&lt;/electronic-resource-num&gt;&lt;access-date&gt;2016/11/03&lt;/access-date&gt;&lt;/record&gt;&lt;/Cite&gt;&lt;/EndNote&gt;</w:instrText>
      </w:r>
      <w:r w:rsidRPr="00747E35">
        <w:rPr>
          <w:rFonts w:asciiTheme="minorHAnsi" w:hAnsiTheme="minorHAnsi" w:cstheme="minorHAnsi"/>
        </w:rPr>
        <w:fldChar w:fldCharType="end"/>
      </w:r>
      <w:r w:rsidRPr="00747E35">
        <w:rPr>
          <w:rFonts w:asciiTheme="minorHAnsi" w:hAnsiTheme="minorHAnsi" w:cstheme="minorHAnsi"/>
        </w:rPr>
        <w:t xml:space="preserve">intentionally omit naturally intermittent rivers due to the perceived additional complexities in interpreting ecosystem responses to baseflow reductions. Yet, a number of studies have pointed to the sensitivity of intermittent systems to the loss of baseflows </w:t>
      </w:r>
      <w:r w:rsidRPr="00747E35">
        <w:rPr>
          <w:rFonts w:asciiTheme="minorHAnsi" w:hAnsiTheme="minorHAnsi" w:cstheme="minorHAnsi"/>
        </w:rPr>
        <w:fldChar w:fldCharType="begin">
          <w:fldData xml:space="preserve">PEVuZE5vdGU+PENpdGU+PEF1dGhvcj5Cb3VsdG9uPC9BdXRob3I+PFllYXI+MjAwNjwvWWVhcj48
UmVjTnVtPjEzNTA8L1JlY051bT48RGlzcGxheVRleHQ+KEJvdWx0b24gYW5kIEhhbmNvY2ssIDIw
MDY7IEtpbmc8c3R5bGUgZmFjZT0iaXRhbGljIj4gZXQgYWwuPC9zdHlsZT4sIDIwMTUpPC9EaXNw
bGF5VGV4dD48cmVjb3JkPjxyZWMtbnVtYmVyPjEzNTA8L3JlYy1udW1iZXI+PGZvcmVpZ24ta2V5
cz48a2V5IGFwcD0iRU4iIGRiLWlkPSJmMDl6d2RmMjZ4ZWFzYWV2dnNqeHYwMGg5cngydjl4YXJm
c3ciIHRpbWVzdGFtcD0iMTQ3ODEyNzMxOSI+MTM1MDwva2V5PjwvZm9yZWlnbi1rZXlzPjxyZWYt
dHlwZSBuYW1lPSJKb3VybmFsIEFydGljbGUiPjE3PC9yZWYtdHlwZT48Y29udHJpYnV0b3JzPjxh
dXRob3JzPjxhdXRob3I+Qm91bHRvbiwgQS4gSi48L2F1dGhvcj48YXV0aG9yPkhhbmNvY2ssIFAu
IEouPC9hdXRob3I+PC9hdXRob3JzPjwvY29udHJpYnV0b3JzPjx0aXRsZXM+PHRpdGxlPlJpdmVy
cyBhcyBncm91bmR3YXRlci1kZXBlbmRlbnQgZWNvc3lzdGVtczogYSByZXZpZXcgb2YgZGVncmVl
cyBvZiBkZXBlbmRlbmN5LCByaXZlcmluZSBwcm9jZXNzZXMgYW5kIG1hbmFnZW1lbnQgaW1wbGlj
YXRpb25zPC90aXRsZT48c2Vjb25kYXJ5LXRpdGxlPkF1c3RyYWxpYW4gSm91cm5hbCBvZiBCb3Rh
bnk8L3NlY29uZGFyeS10aXRsZT48L3RpdGxlcz48cGVyaW9kaWNhbD48ZnVsbC10aXRsZT5BdXN0
cmFsaWFuIEpvdXJuYWwgb2YgQm90YW55PC9mdWxsLXRpdGxlPjwvcGVyaW9kaWNhbD48cGFnZXM+
MTMzLTE0NDwvcGFnZXM+PHZvbHVtZT41NDwvdm9sdW1lPjxudW1iZXI+MjwvbnVtYmVyPjxkYXRl
cz48eWVhcj4yMDA2PC95ZWFyPjwvZGF0ZXM+PHVybHM+PHJlbGF0ZWQtdXJscz48dXJsPmh0dHA6
Ly93d3cucHVibGlzaC5jc2lyby5hdS9wYXBlci9CVDA1MDc0PC91cmw+PC9yZWxhdGVkLXVybHM+
PC91cmxzPjxlbGVjdHJvbmljLXJlc291cmNlLW51bT5odHRwOi8vZHguZG9pLm9yZy8xMC4xMDcx
L0JUMDUwNzQ8L2VsZWN0cm9uaWMtcmVzb3VyY2UtbnVtPjwvcmVjb3JkPjwvQ2l0ZT48Q2l0ZT48
QXV0aG9yPktpbmc8L0F1dGhvcj48WWVhcj4yMDE1PC9ZZWFyPjxSZWNOdW0+MTM3NjwvUmVjTnVt
PjxyZWNvcmQ+PHJlYy1udW1iZXI+MTM3NjwvcmVjLW51bWJlcj48Zm9yZWlnbi1rZXlzPjxrZXkg
YXBwPSJFTiIgZGItaWQ9ImYwOXp3ZGYyNnhlYXNhZXZ2c2p4djAwaDlyeDJ2OXhhcmZzdyIgdGlt
ZXN0YW1wPSIxNDc4MjMyNjQ2Ij4xMzc2PC9rZXk+PC9mb3JlaWduLWtleXM+PHJlZi10eXBlIG5h
bWU9IkpvdXJuYWwgQXJ0aWNsZSI+MTc8L3JlZi10eXBlPjxjb250cmlidXRvcnM+PGF1dGhvcnM+
PGF1dGhvcj5LaW5nLCBBLiBKLjwvYXV0aG9yPjxhdXRob3I+VG93bnNlbmQsIFMuIEEuPC9hdXRo
b3I+PGF1dGhvcj5Eb3VnbGFzLCBNLiBNLjwvYXV0aG9yPjxhdXRob3I+S2VubmFyZCwgTS4gSi48
L2F1dGhvcj48L2F1dGhvcnM+PC9jb250cmlidXRvcnM+PHRpdGxlcz48dGl0bGU+SW1wbGljYXRp
b25zIG9mIHdhdGVyIGV4dHJhY3Rpb24gb24gdGhlIGxvdy1mbG93IGh5ZHJvbG9neSBhbmQgZWNv
bG9neSBvZiB0cm9waWNhbCBzYXZhbm5haCByaXZlcnM6IEFuIGFwcHJhaXNhbCBmb3Igbm9ydGhl
cm4gQXVzdHJhbGlhPC90aXRsZT48c2Vjb25kYXJ5LXRpdGxlPkZyZXNod2F0ZXIgU2NpZW5jZTwv
c2Vjb25kYXJ5LXRpdGxlPjwvdGl0bGVzPjxwZXJpb2RpY2FsPjxmdWxsLXRpdGxlPkZyZXNod2F0
ZXIgU2NpZW5jZTwvZnVsbC10aXRsZT48L3BlcmlvZGljYWw+PHBhZ2VzPjc0MS03NTg8L3BhZ2Vz
Pjx2b2x1bWU+MzQ8L3ZvbHVtZT48bnVtYmVyPjI8L251bWJlcj48ZGF0ZXM+PHllYXI+MjAxNTwv
eWVhcj48L2RhdGVzPjx3b3JrLXR5cGU+QXJ0aWNsZTwvd29yay10eXBlPjx1cmxzPjxyZWxhdGVk
LXVybHM+PHVybD5odHRwczovL3d3dy5zY29wdXMuY29tL2lud2FyZC9yZWNvcmQudXJpP2VpZD0y
LXMyLjAtODQ5NTM3MTAxNjkmYW1wO3BhcnRuZXJJRD00MCZhbXA7bWQ1PWQ3OGI4NGRlNWE2MTBm
YWY4ZTYyZWJkYjA5YjM0M2M5PC91cmw+PC9yZWxhdGVkLXVybHM+PC91cmxzPjxlbGVjdHJvbmlj
LXJlc291cmNlLW51bT4xMC4xMDg2LzY4MTMwMjwvZWxlY3Ryb25pYy1yZXNvdXJjZS1udW0+PHJl
bW90ZS1kYXRhYmFzZS1uYW1lPlNjb3B1czwvcmVtb3RlLWRhdGFiYXNlLW5hbWU+PC9yZWNvcmQ+
PC9DaXRlPjwvRW5kTm90ZT5=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PEVuZE5vdGU+PENpdGU+PEF1dGhvcj5Cb3VsdG9uPC9BdXRob3I+PFllYXI+MjAwNjwvWWVhcj48
UmVjTnVtPjEzNTA8L1JlY051bT48RGlzcGxheVRleHQ+KEJvdWx0b24gYW5kIEhhbmNvY2ssIDIw
MDY7IEtpbmc8c3R5bGUgZmFjZT0iaXRhbGljIj4gZXQgYWwuPC9zdHlsZT4sIDIwMTUpPC9EaXNw
bGF5VGV4dD48cmVjb3JkPjxyZWMtbnVtYmVyPjEzNTA8L3JlYy1udW1iZXI+PGZvcmVpZ24ta2V5
cz48a2V5IGFwcD0iRU4iIGRiLWlkPSJmMDl6d2RmMjZ4ZWFzYWV2dnNqeHYwMGg5cngydjl4YXJm
c3ciIHRpbWVzdGFtcD0iMTQ3ODEyNzMxOSI+MTM1MDwva2V5PjwvZm9yZWlnbi1rZXlzPjxyZWYt
dHlwZSBuYW1lPSJKb3VybmFsIEFydGljbGUiPjE3PC9yZWYtdHlwZT48Y29udHJpYnV0b3JzPjxh
dXRob3JzPjxhdXRob3I+Qm91bHRvbiwgQS4gSi48L2F1dGhvcj48YXV0aG9yPkhhbmNvY2ssIFAu
IEouPC9hdXRob3I+PC9hdXRob3JzPjwvY29udHJpYnV0b3JzPjx0aXRsZXM+PHRpdGxlPlJpdmVy
cyBhcyBncm91bmR3YXRlci1kZXBlbmRlbnQgZWNvc3lzdGVtczogYSByZXZpZXcgb2YgZGVncmVl
cyBvZiBkZXBlbmRlbmN5LCByaXZlcmluZSBwcm9jZXNzZXMgYW5kIG1hbmFnZW1lbnQgaW1wbGlj
YXRpb25zPC90aXRsZT48c2Vjb25kYXJ5LXRpdGxlPkF1c3RyYWxpYW4gSm91cm5hbCBvZiBCb3Rh
bnk8L3NlY29uZGFyeS10aXRsZT48L3RpdGxlcz48cGVyaW9kaWNhbD48ZnVsbC10aXRsZT5BdXN0
cmFsaWFuIEpvdXJuYWwgb2YgQm90YW55PC9mdWxsLXRpdGxlPjwvcGVyaW9kaWNhbD48cGFnZXM+
MTMzLTE0NDwvcGFnZXM+PHZvbHVtZT41NDwvdm9sdW1lPjxudW1iZXI+MjwvbnVtYmVyPjxkYXRl
cz48eWVhcj4yMDA2PC95ZWFyPjwvZGF0ZXM+PHVybHM+PHJlbGF0ZWQtdXJscz48dXJsPmh0dHA6
Ly93d3cucHVibGlzaC5jc2lyby5hdS9wYXBlci9CVDA1MDc0PC91cmw+PC9yZWxhdGVkLXVybHM+
PC91cmxzPjxlbGVjdHJvbmljLXJlc291cmNlLW51bT5odHRwOi8vZHguZG9pLm9yZy8xMC4xMDcx
L0JUMDUwNzQ8L2VsZWN0cm9uaWMtcmVzb3VyY2UtbnVtPjwvcmVjb3JkPjwvQ2l0ZT48Q2l0ZT48
QXV0aG9yPktpbmc8L0F1dGhvcj48WWVhcj4yMDE1PC9ZZWFyPjxSZWNOdW0+MTM3NjwvUmVjTnVt
PjxyZWNvcmQ+PHJlYy1udW1iZXI+MTM3NjwvcmVjLW51bWJlcj48Zm9yZWlnbi1rZXlzPjxrZXkg
YXBwPSJFTiIgZGItaWQ9ImYwOXp3ZGYyNnhlYXNhZXZ2c2p4djAwaDlyeDJ2OXhhcmZzdyIgdGlt
ZXN0YW1wPSIxNDc4MjMyNjQ2Ij4xMzc2PC9rZXk+PC9mb3JlaWduLWtleXM+PHJlZi10eXBlIG5h
bWU9IkpvdXJuYWwgQXJ0aWNsZSI+MTc8L3JlZi10eXBlPjxjb250cmlidXRvcnM+PGF1dGhvcnM+
PGF1dGhvcj5LaW5nLCBBLiBKLjwvYXV0aG9yPjxhdXRob3I+VG93bnNlbmQsIFMuIEEuPC9hdXRo
b3I+PGF1dGhvcj5Eb3VnbGFzLCBNLiBNLjwvYXV0aG9yPjxhdXRob3I+S2VubmFyZCwgTS4gSi48
L2F1dGhvcj48L2F1dGhvcnM+PC9jb250cmlidXRvcnM+PHRpdGxlcz48dGl0bGU+SW1wbGljYXRp
b25zIG9mIHdhdGVyIGV4dHJhY3Rpb24gb24gdGhlIGxvdy1mbG93IGh5ZHJvbG9neSBhbmQgZWNv
bG9neSBvZiB0cm9waWNhbCBzYXZhbm5haCByaXZlcnM6IEFuIGFwcHJhaXNhbCBmb3Igbm9ydGhl
cm4gQXVzdHJhbGlhPC90aXRsZT48c2Vjb25kYXJ5LXRpdGxlPkZyZXNod2F0ZXIgU2NpZW5jZTwv
c2Vjb25kYXJ5LXRpdGxlPjwvdGl0bGVzPjxwZXJpb2RpY2FsPjxmdWxsLXRpdGxlPkZyZXNod2F0
ZXIgU2NpZW5jZTwvZnVsbC10aXRsZT48L3BlcmlvZGljYWw+PHBhZ2VzPjc0MS03NTg8L3BhZ2Vz
Pjx2b2x1bWU+MzQ8L3ZvbHVtZT48bnVtYmVyPjI8L251bWJlcj48ZGF0ZXM+PHllYXI+MjAxNTwv
eWVhcj48L2RhdGVzPjx3b3JrLXR5cGU+QXJ0aWNsZTwvd29yay10eXBlPjx1cmxzPjxyZWxhdGVk
LXVybHM+PHVybD5odHRwczovL3d3dy5zY29wdXMuY29tL2lud2FyZC9yZWNvcmQudXJpP2VpZD0y
LXMyLjAtODQ5NTM3MTAxNjkmYW1wO3BhcnRuZXJJRD00MCZhbXA7bWQ1PWQ3OGI4NGRlNWE2MTBm
YWY4ZTYyZWJkYjA5YjM0M2M5PC91cmw+PC9yZWxhdGVkLXVybHM+PC91cmxzPjxlbGVjdHJvbmlj
LXJlc291cmNlLW51bT4xMC4xMDg2LzY4MTMwMjwvZWxlY3Ryb25pYy1yZXNvdXJjZS1udW0+PHJl
bW90ZS1kYXRhYmFzZS1uYW1lPlNjb3B1czwvcmVtb3RlLWRhdGFiYXNlLW5hbWU+PC9yZWNvcmQ+
PC9DaXRlPjwvRW5kTm90ZT5=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(Boulton and Hancock, 2006; King</w:t>
      </w:r>
      <w:r w:rsidRPr="00747E35">
        <w:rPr>
          <w:rFonts w:asciiTheme="minorHAnsi" w:hAnsiTheme="minorHAnsi" w:cstheme="minorHAnsi"/>
          <w:i/>
          <w:noProof/>
        </w:rPr>
        <w:t xml:space="preserve"> et al.</w:t>
      </w:r>
      <w:r w:rsidRPr="00747E35">
        <w:rPr>
          <w:rFonts w:asciiTheme="minorHAnsi" w:hAnsiTheme="minorHAnsi" w:cstheme="minorHAnsi"/>
          <w:noProof/>
        </w:rPr>
        <w:t>, 2015)</w:t>
      </w:r>
      <w:r w:rsidRPr="00747E35">
        <w:rPr>
          <w:rFonts w:asciiTheme="minorHAnsi" w:hAnsiTheme="minorHAnsi" w:cstheme="minorHAnsi"/>
        </w:rPr>
        <w:fldChar w:fldCharType="end"/>
      </w:r>
      <w:r w:rsidRPr="00747E35">
        <w:rPr>
          <w:rFonts w:asciiTheme="minorHAnsi" w:hAnsiTheme="minorHAnsi" w:cstheme="minorHAnsi"/>
        </w:rPr>
        <w:t xml:space="preserve">. Given that the majority of Australian rivers are intermittent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&lt;EndNote&gt;&lt;Cite&gt;&lt;Author&gt;Kennard&lt;/Author&gt;&lt;Year&gt;2010&lt;/Year&gt;&lt;RecNum&gt;1197&lt;/RecNum&gt;&lt;DisplayText&gt;(Kennard&lt;style face="italic"&gt; et al.&lt;/style&gt;, 2010)&lt;/DisplayText&gt;&lt;record&gt;&lt;rec-number&gt;1197&lt;/rec-number&gt;&lt;foreign-keys&gt;&lt;key app="EN" db-id="f09zwdf26xeasaevvsjxv00h9rx2v9xarfsw" timestamp="1443654553"&gt;1197&lt;/key&gt;&lt;/foreign-keys&gt;&lt;ref-type name="Journal Article"&gt;17&lt;/ref-type&gt;&lt;contributors&gt;&lt;authors&gt;&lt;author&gt;Kennard, M. J.&lt;/author&gt;&lt;author&gt;Pusey, B. J.&lt;/author&gt;&lt;author&gt;Olden, J. D.&lt;/author&gt;&lt;author&gt;MacKay, S. J.&lt;/author&gt;&lt;author&gt;Stein, J. L.&lt;/author&gt;&lt;author&gt;Marsh, N.&lt;/author&gt;&lt;/authors&gt;&lt;/contributors&gt;&lt;titles&gt;&lt;title&gt;Classification of natural flow regimes in Australia to support environmental flow management&lt;/title&gt;&lt;secondary-title&gt;Freshwater Biology&lt;/secondary-title&gt;&lt;/titles&gt;&lt;periodical&gt;&lt;full-title&gt;Freshwater Biology&lt;/full-title&gt;&lt;/periodical&gt;&lt;pages&gt;171-193&lt;/pages&gt;&lt;volume&gt;55&lt;/volume&gt;&lt;number&gt;1&lt;/number&gt;&lt;dates&gt;&lt;year&gt;2010&lt;/year&gt;&lt;/dates&gt;&lt;urls&gt;&lt;related-urls&gt;&lt;url&gt;http://www.scopus.com/inward/record.url?eid=2-s2.0-72849136768&amp;amp;partnerID=40&amp;amp;md5=8fea7b6f1c24b7db72b1ca6712db654e&lt;/url&gt;&lt;/related-urls&gt;&lt;/urls&gt;&lt;electronic-resource-num&gt;10.1111/j.1365-2427.2009.02307.x&lt;/electronic-resource-num&gt;&lt;remote-database-name&gt;Scopus&lt;/remote-database-name&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(Kennard</w:t>
      </w:r>
      <w:r w:rsidRPr="00747E35">
        <w:rPr>
          <w:rFonts w:asciiTheme="minorHAnsi" w:hAnsiTheme="minorHAnsi" w:cstheme="minorHAnsi"/>
          <w:i/>
          <w:noProof/>
        </w:rPr>
        <w:t xml:space="preserve"> et al.</w:t>
      </w:r>
      <w:r w:rsidRPr="00747E35">
        <w:rPr>
          <w:rFonts w:asciiTheme="minorHAnsi" w:hAnsiTheme="minorHAnsi" w:cstheme="minorHAnsi"/>
          <w:noProof/>
        </w:rPr>
        <w:t>, 2010)</w:t>
      </w:r>
      <w:r w:rsidRPr="00747E35">
        <w:rPr>
          <w:rFonts w:asciiTheme="minorHAnsi" w:hAnsiTheme="minorHAnsi" w:cstheme="minorHAnsi"/>
        </w:rPr>
        <w:fldChar w:fldCharType="end"/>
      </w:r>
      <w:r w:rsidRPr="00747E35">
        <w:rPr>
          <w:rFonts w:asciiTheme="minorHAnsi" w:hAnsiTheme="minorHAnsi" w:cstheme="minorHAnsi"/>
        </w:rPr>
        <w:t>, there is arguably a pressing need to better understand the role of baseflows in supporting ecosystem patterns and processes within intermittent as well as perennial streams, especially within areas subjected to potential groundwater drawdowns. This topic is the focus for the Component 2 work plan. As will become obvious below, we note that many of our hypotheses regarding the impacts of baseflow reductions in intermittent streams parallel those from perennial stream systems.</w:t>
      </w:r>
    </w:p>
    <w:p w14:paraId="2D9D7D68" w14:textId="2EB30FE8" w:rsidR="003D3694" w:rsidRPr="00747E35" w:rsidRDefault="003D3694" w:rsidP="003D3694">
      <w:pPr>
        <w:pStyle w:val="Heading2"/>
        <w:rPr>
          <w:rFonts w:asciiTheme="minorHAnsi" w:hAnsiTheme="minorHAnsi" w:cstheme="minorHAnsi"/>
        </w:rPr>
      </w:pPr>
      <w:bookmarkStart w:id="104" w:name="_Toc416422663"/>
      <w:bookmarkStart w:id="105" w:name="_Toc416450117"/>
      <w:bookmarkStart w:id="106" w:name="_Toc466450334"/>
      <w:bookmarkStart w:id="107" w:name="_Toc470004837"/>
      <w:r w:rsidRPr="00747E35">
        <w:rPr>
          <w:rFonts w:asciiTheme="minorHAnsi" w:hAnsiTheme="minorHAnsi" w:cstheme="minorHAnsi"/>
        </w:rPr>
        <w:t xml:space="preserve">Hypothesised responses to </w:t>
      </w:r>
      <w:bookmarkEnd w:id="104"/>
      <w:bookmarkEnd w:id="105"/>
      <w:bookmarkEnd w:id="106"/>
      <w:r w:rsidRPr="00747E35">
        <w:rPr>
          <w:rFonts w:asciiTheme="minorHAnsi" w:hAnsiTheme="minorHAnsi" w:cstheme="minorHAnsi"/>
        </w:rPr>
        <w:t>reduced baseflow</w:t>
      </w:r>
      <w:bookmarkEnd w:id="107"/>
    </w:p>
    <w:p w14:paraId="0DE0BD0D"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The expected impacts of groundwater drawdown will vary depending on both the natural hydrologic regime (e.g. perennial versus intermittent), the degree to which baseflow contributions from groundwater contribute to that regime (e.g. low versus high baseflow contribution), and the magnitude of groundwater drawdown occurring (e.g. 0-5 m versus &gt;5 m reduction). For the purposes of this project, we focus on potential effects of relatively low levels of drawdown (&lt;5 m) in small to mid-sized intermittent to perennial streams with varying degrees of baseflow contributions to surface flow. In all cases, the hydrologic impact of baseflow reductions will be an increase in periods without surface flow.</w:t>
      </w:r>
    </w:p>
    <w:p w14:paraId="01C14D08"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Our hypotheses focus on four ecological responses relating to biotic community structure and ecosystem processes:</w:t>
      </w:r>
    </w:p>
    <w:p w14:paraId="6FB4CCF2" w14:textId="77777777" w:rsidR="003D3694" w:rsidRPr="00747E35" w:rsidRDefault="003D3694" w:rsidP="0083624F">
      <w:pPr>
        <w:pStyle w:val="ListParagraph"/>
        <w:numPr>
          <w:ilvl w:val="0"/>
          <w:numId w:val="13"/>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organic matter decomposition</w:t>
      </w:r>
    </w:p>
    <w:p w14:paraId="06276418" w14:textId="77777777" w:rsidR="003D3694" w:rsidRPr="00747E35" w:rsidRDefault="003D3694" w:rsidP="0083624F">
      <w:pPr>
        <w:pStyle w:val="ListParagraph"/>
        <w:numPr>
          <w:ilvl w:val="0"/>
          <w:numId w:val="13"/>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basal resource use and food-web structure (including surface-subsurface fauna)</w:t>
      </w:r>
    </w:p>
    <w:p w14:paraId="3037A0CC" w14:textId="77777777" w:rsidR="003D3694" w:rsidRPr="00747E35" w:rsidRDefault="003D3694" w:rsidP="0083624F">
      <w:pPr>
        <w:pStyle w:val="ListParagraph"/>
        <w:numPr>
          <w:ilvl w:val="0"/>
          <w:numId w:val="13"/>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fish assemblage composition and abundance</w:t>
      </w:r>
    </w:p>
    <w:p w14:paraId="61206ECD" w14:textId="77777777" w:rsidR="003D3694" w:rsidRPr="00747E35" w:rsidRDefault="003D3694" w:rsidP="0083624F">
      <w:pPr>
        <w:pStyle w:val="ListParagraph"/>
        <w:numPr>
          <w:ilvl w:val="0"/>
          <w:numId w:val="13"/>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lastRenderedPageBreak/>
        <w:t xml:space="preserve">invertebrate </w:t>
      </w:r>
      <w:r w:rsidRPr="00747E35">
        <w:rPr>
          <w:rFonts w:asciiTheme="minorHAnsi" w:hAnsiTheme="minorHAnsi" w:cstheme="minorHAnsi"/>
          <w:color w:val="000000" w:themeColor="text1"/>
        </w:rPr>
        <w:t xml:space="preserve">assemblage composition </w:t>
      </w:r>
      <w:r w:rsidRPr="00747E35">
        <w:rPr>
          <w:rFonts w:asciiTheme="minorHAnsi" w:hAnsiTheme="minorHAnsi" w:cstheme="minorHAnsi"/>
        </w:rPr>
        <w:t>and abundance</w:t>
      </w:r>
    </w:p>
    <w:p w14:paraId="34478D42"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Based on our earlier review of the literature, we predict the following ecological responses:</w:t>
      </w:r>
    </w:p>
    <w:p w14:paraId="3802EE33" w14:textId="77777777" w:rsidR="003D3694" w:rsidRPr="00747E35" w:rsidRDefault="003D3694" w:rsidP="0083624F">
      <w:pPr>
        <w:pStyle w:val="ListParagraph"/>
        <w:numPr>
          <w:ilvl w:val="0"/>
          <w:numId w:val="15"/>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variation in stream flow regime and the degree of substrate saturation will influence organic matter processing in surface and hyporheic environments, with greater decomposition in wetter experimental periods and areas.</w:t>
      </w:r>
    </w:p>
    <w:p w14:paraId="6378F078" w14:textId="77777777" w:rsidR="003D3694" w:rsidRPr="00747E35" w:rsidRDefault="003D3694" w:rsidP="0083624F">
      <w:pPr>
        <w:pStyle w:val="ListParagraph"/>
        <w:numPr>
          <w:ilvl w:val="0"/>
          <w:numId w:val="15"/>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reductions in the availability and quality of autochthonous and allochthonous carbon sources in low-flow periods will alter basal resource use and food-web structure in surface and hyporheic environments.</w:t>
      </w:r>
    </w:p>
    <w:p w14:paraId="31AE128C" w14:textId="77777777" w:rsidR="003D3694" w:rsidRPr="00747E35" w:rsidRDefault="003D3694" w:rsidP="0083624F">
      <w:pPr>
        <w:pStyle w:val="ListParagraph"/>
        <w:numPr>
          <w:ilvl w:val="0"/>
          <w:numId w:val="15"/>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variation in surface flow, and changes in longitudinal connectivity and pool persistence over time, will influence fish assemblage composition and abundances.</w:t>
      </w:r>
    </w:p>
    <w:p w14:paraId="7E0A4E5C" w14:textId="77777777" w:rsidR="003D3694" w:rsidRPr="00747E35" w:rsidRDefault="003D3694" w:rsidP="0083624F">
      <w:pPr>
        <w:pStyle w:val="ListParagraph"/>
        <w:numPr>
          <w:ilvl w:val="0"/>
          <w:numId w:val="15"/>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variation in surface flow, and associated changes in aquatic habitat persistence over time, will influence macroinvertebrate richness and abundances.</w:t>
      </w:r>
    </w:p>
    <w:p w14:paraId="6C6D26E4" w14:textId="4912BF04" w:rsidR="003D3694" w:rsidRPr="00747E35" w:rsidRDefault="003D3694" w:rsidP="003D3694">
      <w:pPr>
        <w:pStyle w:val="Heading2"/>
        <w:rPr>
          <w:rFonts w:asciiTheme="minorHAnsi" w:hAnsiTheme="minorHAnsi" w:cstheme="minorHAnsi"/>
        </w:rPr>
      </w:pPr>
      <w:bookmarkStart w:id="108" w:name="_Toc466450335"/>
      <w:bookmarkStart w:id="109" w:name="_Toc470004838"/>
      <w:r w:rsidRPr="00747E35">
        <w:rPr>
          <w:rFonts w:asciiTheme="minorHAnsi" w:hAnsiTheme="minorHAnsi" w:cstheme="minorHAnsi"/>
        </w:rPr>
        <w:t>Study site characteristics</w:t>
      </w:r>
      <w:bookmarkEnd w:id="108"/>
      <w:r w:rsidRPr="00747E35">
        <w:rPr>
          <w:rFonts w:asciiTheme="minorHAnsi" w:hAnsiTheme="minorHAnsi" w:cstheme="minorHAnsi"/>
        </w:rPr>
        <w:t xml:space="preserve"> in the upper Bremer River catchment</w:t>
      </w:r>
      <w:bookmarkEnd w:id="109"/>
    </w:p>
    <w:p w14:paraId="3279E241" w14:textId="2DFB749F" w:rsidR="003D3694" w:rsidRPr="00747E35" w:rsidRDefault="003D3694" w:rsidP="003D3694">
      <w:pPr>
        <w:pStyle w:val="Heading3"/>
        <w:rPr>
          <w:rFonts w:asciiTheme="minorHAnsi" w:hAnsiTheme="minorHAnsi" w:cstheme="minorHAnsi"/>
        </w:rPr>
      </w:pPr>
      <w:bookmarkStart w:id="110" w:name="_Toc466450336"/>
      <w:bookmarkStart w:id="111" w:name="_Toc470004839"/>
      <w:r w:rsidRPr="00747E35">
        <w:rPr>
          <w:rFonts w:asciiTheme="minorHAnsi" w:hAnsiTheme="minorHAnsi" w:cstheme="minorHAnsi"/>
        </w:rPr>
        <w:t>Study region and sites</w:t>
      </w:r>
      <w:bookmarkEnd w:id="110"/>
      <w:bookmarkEnd w:id="111"/>
    </w:p>
    <w:p w14:paraId="08E9A0F9" w14:textId="7CB45141" w:rsidR="003D3694" w:rsidRPr="00747E35" w:rsidRDefault="003D3694" w:rsidP="003D3694">
      <w:pPr>
        <w:autoSpaceDE/>
        <w:autoSpaceDN/>
        <w:spacing w:line="276" w:lineRule="auto"/>
        <w:rPr>
          <w:rFonts w:asciiTheme="minorHAnsi" w:hAnsiTheme="minorHAnsi" w:cstheme="minorHAnsi"/>
        </w:rPr>
      </w:pPr>
      <w:r w:rsidRPr="00747E35">
        <w:rPr>
          <w:rFonts w:asciiTheme="minorHAnsi" w:hAnsiTheme="minorHAnsi" w:cstheme="minorHAnsi"/>
        </w:rPr>
        <w:t>Five intermittent streams where chosen in south-east Queensland (SEQ) as study sites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_Ref466023554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36</w:t>
      </w:r>
      <w:r w:rsidRPr="00747E35">
        <w:rPr>
          <w:rFonts w:asciiTheme="minorHAnsi" w:hAnsiTheme="minorHAnsi" w:cstheme="minorHAnsi"/>
          <w:highlight w:val="yellow"/>
        </w:rPr>
        <w:fldChar w:fldCharType="end"/>
      </w:r>
      <w:r w:rsidRPr="00747E35">
        <w:rPr>
          <w:rFonts w:asciiTheme="minorHAnsi" w:hAnsiTheme="minorHAnsi" w:cstheme="minorHAnsi"/>
        </w:rPr>
        <w:t>). All study streams occur within the headwaters of the Bremer River catchment (region referred to as ‘upper Bremer River catchment’ from this point forward). This region has a sub-tropical climate with annual average rainfall ranging from 944 to 1028 mm in our study area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_Ref466023460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11</w:t>
      </w:r>
      <w:r w:rsidRPr="00747E35">
        <w:rPr>
          <w:rFonts w:asciiTheme="minorHAnsi" w:hAnsiTheme="minorHAnsi" w:cstheme="minorHAnsi"/>
          <w:highlight w:val="yellow"/>
        </w:rPr>
        <w:fldChar w:fldCharType="end"/>
      </w:r>
      <w:r w:rsidRPr="00747E35">
        <w:rPr>
          <w:rFonts w:asciiTheme="minorHAnsi" w:hAnsiTheme="minorHAnsi" w:cstheme="minorHAnsi"/>
        </w:rPr>
        <w:t>). Catchment areas of study streams ranged from 5.97 to 45.3 km</w:t>
      </w:r>
      <w:r w:rsidRPr="00747E35">
        <w:rPr>
          <w:rFonts w:asciiTheme="minorHAnsi" w:hAnsiTheme="minorHAnsi" w:cstheme="minorHAnsi"/>
          <w:vertAlign w:val="superscript"/>
        </w:rPr>
        <w:t>2</w:t>
      </w:r>
      <w:r w:rsidRPr="00747E35">
        <w:rPr>
          <w:rFonts w:asciiTheme="minorHAnsi" w:hAnsiTheme="minorHAnsi" w:cstheme="minorHAnsi"/>
        </w:rPr>
        <w:t xml:space="preserve"> and modelled mean annual flow ranged from 504 to 3429 ML (</w:t>
      </w:r>
      <w:r w:rsidRPr="00747E35">
        <w:rPr>
          <w:rFonts w:asciiTheme="minorHAnsi" w:hAnsiTheme="minorHAnsi" w:cstheme="minorHAnsi"/>
        </w:rPr>
        <w:fldChar w:fldCharType="begin"/>
      </w:r>
      <w:r w:rsidRPr="00747E35">
        <w:rPr>
          <w:rFonts w:asciiTheme="minorHAnsi" w:hAnsiTheme="minorHAnsi" w:cstheme="minorHAnsi"/>
        </w:rPr>
        <w:instrText xml:space="preserve"> REF _Ref466023460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11</w:t>
      </w:r>
      <w:r w:rsidRPr="00747E35">
        <w:rPr>
          <w:rFonts w:asciiTheme="minorHAnsi" w:hAnsiTheme="minorHAnsi" w:cstheme="minorHAnsi"/>
        </w:rPr>
        <w:fldChar w:fldCharType="end"/>
      </w:r>
      <w:r w:rsidRPr="00747E35">
        <w:rPr>
          <w:rFonts w:asciiTheme="minorHAnsi" w:hAnsiTheme="minorHAnsi" w:cstheme="minorHAnsi"/>
        </w:rPr>
        <w:t xml:space="preserve">). Sites were minimally disturbed by human activities (river disturbances scores </w:t>
      </w:r>
      <w:r w:rsidRPr="00747E35">
        <w:rPr>
          <w:rFonts w:asciiTheme="minorHAnsi" w:hAnsiTheme="minorHAnsi" w:cstheme="minorHAnsi"/>
          <w:u w:val="single"/>
        </w:rPr>
        <w:t>&lt;</w:t>
      </w:r>
      <w:r w:rsidRPr="00747E35">
        <w:rPr>
          <w:rFonts w:asciiTheme="minorHAnsi" w:hAnsiTheme="minorHAnsi" w:cstheme="minorHAnsi"/>
        </w:rPr>
        <w:t xml:space="preserve"> 0.1), although some catchment clearing has occurred in all five sub-catchments (particularly in Wild Cattle Creek and Reynolds Creek; </w:t>
      </w:r>
      <w:r w:rsidRPr="00747E35">
        <w:rPr>
          <w:rFonts w:asciiTheme="minorHAnsi" w:hAnsiTheme="minorHAnsi" w:cstheme="minorHAnsi"/>
        </w:rPr>
        <w:fldChar w:fldCharType="begin"/>
      </w:r>
      <w:r w:rsidRPr="00747E35">
        <w:rPr>
          <w:rFonts w:asciiTheme="minorHAnsi" w:hAnsiTheme="minorHAnsi" w:cstheme="minorHAnsi"/>
        </w:rPr>
        <w:instrText xml:space="preserve"> REF _Ref466023460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11</w:t>
      </w:r>
      <w:r w:rsidRPr="00747E35">
        <w:rPr>
          <w:rFonts w:asciiTheme="minorHAnsi" w:hAnsiTheme="minorHAnsi" w:cstheme="minorHAnsi"/>
        </w:rPr>
        <w:fldChar w:fldCharType="end"/>
      </w:r>
      <w:r w:rsidRPr="00747E35">
        <w:rPr>
          <w:rFonts w:asciiTheme="minorHAnsi" w:hAnsiTheme="minorHAnsi" w:cstheme="minorHAnsi"/>
        </w:rPr>
        <w:t>) and evidence of cattle disturbance (trampling and cow pats) was apparent at all sites. All sites were well shaded by high riparian vegetation cover. Modelled monthly flow data from January 1900 to September 2016 indicate that our study streams have a flow regime typical of SEQ, with discharge lowest from late winter to early spring (August to November) and peaking in late summer to early autumn (</w:t>
      </w:r>
      <w:r w:rsidRPr="00747E35">
        <w:rPr>
          <w:rFonts w:asciiTheme="minorHAnsi" w:hAnsiTheme="minorHAnsi" w:cstheme="minorHAnsi"/>
        </w:rPr>
        <w:fldChar w:fldCharType="begin"/>
      </w:r>
      <w:r w:rsidRPr="00747E35">
        <w:rPr>
          <w:rFonts w:asciiTheme="minorHAnsi" w:hAnsiTheme="minorHAnsi" w:cstheme="minorHAnsi"/>
        </w:rPr>
        <w:instrText xml:space="preserve"> REF _Ref466023609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37</w:t>
      </w:r>
      <w:r w:rsidRPr="00747E35">
        <w:rPr>
          <w:rFonts w:asciiTheme="minorHAnsi" w:hAnsiTheme="minorHAnsi" w:cstheme="minorHAnsi"/>
        </w:rPr>
        <w:fldChar w:fldCharType="end"/>
      </w:r>
      <w:r w:rsidRPr="00747E35">
        <w:rPr>
          <w:rFonts w:asciiTheme="minorHAnsi" w:hAnsiTheme="minorHAnsi" w:cstheme="minorHAnsi"/>
        </w:rPr>
        <w:t xml:space="preserve">). Despite these seasonal patterns, there can be substantial year-to-year variation in the timing of high and low flows due to the varying influence of tropical and temperate weather systems </w:t>
      </w:r>
      <w:r w:rsidRPr="00747E35">
        <w:rPr>
          <w:rFonts w:asciiTheme="minorHAnsi" w:hAnsiTheme="minorHAnsi" w:cstheme="minorHAnsi"/>
        </w:rPr>
        <w:fldChar w:fldCharType="begin">
          <w:fldData xml:space="preserve">PEVuZE5vdGU+PENpdGU+PEF1dGhvcj5NYWNrYXk8L0F1dGhvcj48UmVjTnVtPjEzMzM8L1JlY051
bT48RGlzcGxheVRleHQ+KEtlbm5hcmQ8c3R5bGUgZmFjZT0iaXRhbGljIj4gZXQgYWwuPC9zdHls
ZT4sIDIwMTA7IE1hY2theTxzdHlsZSBmYWNlPSJpdGFsaWMiPiBldCBhbC48L3N0eWxlPiwgMjAx
NCk8L0Rpc3BsYXlUZXh0PjxyZWNvcmQ+PHJlYy1udW1iZXI+MTMzMzwvcmVjLW51bWJlcj48Zm9y
ZWlnbi1rZXlzPjxrZXkgYXBwPSJFTiIgZGItaWQ9ImYwOXp3ZGYyNnhlYXNhZXZ2c2p4djAwaDly
eDJ2OXhhcmZzdyIgdGltZXN0YW1wPSIxNDc3NTQwMDA4Ij4xMzMzPC9rZXk+PC9mb3JlaWduLWtl
eXM+PHJlZi10eXBlIG5hbWU9IkpvdXJuYWwgQXJ0aWNsZSI+MTc8L3JlZi10eXBlPjxjb250cmli
dXRvcnM+PGF1dGhvcnM+PGF1dGhvcj5NYWNrYXksIFMuIEouPC9hdXRob3I+PGF1dGhvcj5BcnRo
aW5ndG9uLCBBLiBILjwvYXV0aG9yPjxhdXRob3I+SmFtZXMsIEMuIFMuPC9hdXRob3I+PC9hdXRo
b3JzPjwvY29udHJpYnV0b3JzPjx0aXRsZXM+PHRpdGxlPkNsYXNzaWZpY2F0aW9uIGFuZCBjb21w
YXJpc29uIG9mIG5hdHVyYWwgYW5kIGFsdGVyZWQgZmxvdyByZWdpbWVzIHRvIHN1cHBvcnQgYW4g
QXVzdHJhbGlhbiB0cmlhbCBvZiB0aGUgRWNvbG9naWNhbCBMaW1pdHMgb2YgSHlkcm9sb2dpYyBB
bHRlcmF0aW9uIGZyYW1ld29yazwvdGl0bGU+PHNlY29uZGFyeS10aXRsZT5FY29oeWRyb2xvZ3k8
L3NlY29uZGFyeS10aXRsZT48L3RpdGxlcz48cGVyaW9kaWNhbD48ZnVsbC10aXRsZT5FY29oeWRy
b2xvZ3k8L2Z1bGwtdGl0bGU+PC9wZXJpb2RpY2FsPjxwYWdlcz4xNDg1LTE1MDc8L3BhZ2VzPjx2
b2x1bWU+Nzwvdm9sdW1lPjxudW1iZXI+NjwvbnVtYmVyPjxkYXRlcz48eWVhcj4yMDE0PC95ZWFy
PjwvZGF0ZXM+PHdvcmstdHlwZT5BcnRpY2xlPC93b3JrLXR5cGU+PHVybHM+PHJlbGF0ZWQtdXJs
cz48dXJsPmh0dHBzOi8vd3d3LnNjb3B1cy5jb20vaW53YXJkL3JlY29yZC51cmk/ZWlkPTItczIu
MC04NDkxOTQwMjcyNCZhbXA7cGFydG5lcklEPTQwJmFtcDttZDU9MjZhYmE3YWYwNTI0MTY4OGI3
YzgyZTQwODgxYWZhNzA8L3VybD48L3JlbGF0ZWQtdXJscz48L3VybHM+PGVsZWN0cm9uaWMtcmVz
b3VyY2UtbnVtPjEwLjEwMDIvZWNvLjE0NzM8L2VsZWN0cm9uaWMtcmVzb3VyY2UtbnVtPjxyZW1v
dGUtZGF0YWJhc2UtbmFtZT5TY29wdXM8L3JlbW90ZS1kYXRhYmFzZS1uYW1lPjwvcmVjb3JkPjwv
Q2l0ZT48Q2l0ZT48QXV0aG9yPktlbm5hcmQ8L0F1dGhvcj48WWVhcj4yMDEwPC9ZZWFyPjxSZWNO
dW0+MTE5NzwvUmVjTnVtPjxyZWNvcmQ+PHJlYy1udW1iZXI+MTE5NzwvcmVjLW51bWJlcj48Zm9y
ZWlnbi1rZXlzPjxrZXkgYXBwPSJFTiIgZGItaWQ9ImYwOXp3ZGYyNnhlYXNhZXZ2c2p4djAwaDly
eDJ2OXhhcmZzdyIgdGltZXN0YW1wPSIxNDQzNjU0NTUzIj4xMTk3PC9rZXk+PC9mb3JlaWduLWtl
eXM+PHJlZi10eXBlIG5hbWU9IkpvdXJuYWwgQXJ0aWNsZSI+MTc8L3JlZi10eXBlPjxjb250cmli
dXRvcnM+PGF1dGhvcnM+PGF1dGhvcj5LZW5uYXJkLCBNLiBKLjwvYXV0aG9yPjxhdXRob3I+UHVz
ZXksIEIuIEouPC9hdXRob3I+PGF1dGhvcj5PbGRlbiwgSi4gRC48L2F1dGhvcj48YXV0aG9yPk1h
Y0theSwgUy4gSi48L2F1dGhvcj48YXV0aG9yPlN0ZWluLCBKLiBMLjwvYXV0aG9yPjxhdXRob3I+
TWFyc2gsIE4uPC9hdXRob3I+PC9hdXRob3JzPjwvY29udHJpYnV0b3JzPjx0aXRsZXM+PHRpdGxl
PkNsYXNzaWZpY2F0aW9uIG9mIG5hdHVyYWwgZmxvdyByZWdpbWVzIGluIEF1c3RyYWxpYSB0byBz
dXBwb3J0IGVudmlyb25tZW50YWwgZmxvdyBtYW5hZ2VtZW50PC90aXRsZT48c2Vjb25kYXJ5LXRp
dGxlPkZyZXNod2F0ZXIgQmlvbG9neTwvc2Vjb25kYXJ5LXRpdGxlPjwvdGl0bGVzPjxwZXJpb2Rp
Y2FsPjxmdWxsLXRpdGxlPkZyZXNod2F0ZXIgQmlvbG9neTwvZnVsbC10aXRsZT48L3BlcmlvZGlj
YWw+PHBhZ2VzPjE3MS0xOTM8L3BhZ2VzPjx2b2x1bWU+NTU8L3ZvbHVtZT48bnVtYmVyPjE8L251
bWJlcj48ZGF0ZXM+PHllYXI+MjAxMDwveWVhcj48L2RhdGVzPjx1cmxzPjxyZWxhdGVkLXVybHM+
PHVybD5odHRwOi8vd3d3LnNjb3B1cy5jb20vaW53YXJkL3JlY29yZC51cmw/ZWlkPTItczIuMC03
Mjg0OTEzNjc2OCZhbXA7cGFydG5lcklEPTQwJmFtcDttZDU9OGZlYTdiNmYxYzI0YjdkYjcyYjFj
YTY3MTJkYjY1NGU8L3VybD48L3JlbGF0ZWQtdXJscz48L3VybHM+PGVsZWN0cm9uaWMtcmVzb3Vy
Y2UtbnVtPjEwLjExMTEvai4xMzY1LTI0MjcuMjAwOS4wMjMwNy54PC9lbGVjdHJvbmljLXJlc291
cmNlLW51bT48cmVtb3RlLWRhdGFiYXNlLW5hbWU+U2NvcHVzPC9yZW1vdGUtZGF0YWJhc2UtbmFt
ZT48L3JlY29yZD48L0NpdGU+PC9FbmROb3RlPn==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PEVuZE5vdGU+PENpdGU+PEF1dGhvcj5NYWNrYXk8L0F1dGhvcj48UmVjTnVtPjEzMzM8L1JlY051
bT48RGlzcGxheVRleHQ+KEtlbm5hcmQ8c3R5bGUgZmFjZT0iaXRhbGljIj4gZXQgYWwuPC9zdHls
ZT4sIDIwMTA7IE1hY2theTxzdHlsZSBmYWNlPSJpdGFsaWMiPiBldCBhbC48L3N0eWxlPiwgMjAx
NCk8L0Rpc3BsYXlUZXh0PjxyZWNvcmQ+PHJlYy1udW1iZXI+MTMzMzwvcmVjLW51bWJlcj48Zm9y
ZWlnbi1rZXlzPjxrZXkgYXBwPSJFTiIgZGItaWQ9ImYwOXp3ZGYyNnhlYXNhZXZ2c2p4djAwaDly
eDJ2OXhhcmZzdyIgdGltZXN0YW1wPSIxNDc3NTQwMDA4Ij4xMzMzPC9rZXk+PC9mb3JlaWduLWtl
eXM+PHJlZi10eXBlIG5hbWU9IkpvdXJuYWwgQXJ0aWNsZSI+MTc8L3JlZi10eXBlPjxjb250cmli
dXRvcnM+PGF1dGhvcnM+PGF1dGhvcj5NYWNrYXksIFMuIEouPC9hdXRob3I+PGF1dGhvcj5BcnRo
aW5ndG9uLCBBLiBILjwvYXV0aG9yPjxhdXRob3I+SmFtZXMsIEMuIFMuPC9hdXRob3I+PC9hdXRo
b3JzPjwvY29udHJpYnV0b3JzPjx0aXRsZXM+PHRpdGxlPkNsYXNzaWZpY2F0aW9uIGFuZCBjb21w
YXJpc29uIG9mIG5hdHVyYWwgYW5kIGFsdGVyZWQgZmxvdyByZWdpbWVzIHRvIHN1cHBvcnQgYW4g
QXVzdHJhbGlhbiB0cmlhbCBvZiB0aGUgRWNvbG9naWNhbCBMaW1pdHMgb2YgSHlkcm9sb2dpYyBB
bHRlcmF0aW9uIGZyYW1ld29yazwvdGl0bGU+PHNlY29uZGFyeS10aXRsZT5FY29oeWRyb2xvZ3k8
L3NlY29uZGFyeS10aXRsZT48L3RpdGxlcz48cGVyaW9kaWNhbD48ZnVsbC10aXRsZT5FY29oeWRy
b2xvZ3k8L2Z1bGwtdGl0bGU+PC9wZXJpb2RpY2FsPjxwYWdlcz4xNDg1LTE1MDc8L3BhZ2VzPjx2
b2x1bWU+Nzwvdm9sdW1lPjxudW1iZXI+NjwvbnVtYmVyPjxkYXRlcz48eWVhcj4yMDE0PC95ZWFy
PjwvZGF0ZXM+PHdvcmstdHlwZT5BcnRpY2xlPC93b3JrLXR5cGU+PHVybHM+PHJlbGF0ZWQtdXJs
cz48dXJsPmh0dHBzOi8vd3d3LnNjb3B1cy5jb20vaW53YXJkL3JlY29yZC51cmk/ZWlkPTItczIu
MC04NDkxOTQwMjcyNCZhbXA7cGFydG5lcklEPTQwJmFtcDttZDU9MjZhYmE3YWYwNTI0MTY4OGI3
YzgyZTQwODgxYWZhNzA8L3VybD48L3JlbGF0ZWQtdXJscz48L3VybHM+PGVsZWN0cm9uaWMtcmVz
b3VyY2UtbnVtPjEwLjEwMDIvZWNvLjE0NzM8L2VsZWN0cm9uaWMtcmVzb3VyY2UtbnVtPjxyZW1v
dGUtZGF0YWJhc2UtbmFtZT5TY29wdXM8L3JlbW90ZS1kYXRhYmFzZS1uYW1lPjwvcmVjb3JkPjwv
Q2l0ZT48Q2l0ZT48QXV0aG9yPktlbm5hcmQ8L0F1dGhvcj48WWVhcj4yMDEwPC9ZZWFyPjxSZWNO
dW0+MTE5NzwvUmVjTnVtPjxyZWNvcmQ+PHJlYy1udW1iZXI+MTE5NzwvcmVjLW51bWJlcj48Zm9y
ZWlnbi1rZXlzPjxrZXkgYXBwPSJFTiIgZGItaWQ9ImYwOXp3ZGYyNnhlYXNhZXZ2c2p4djAwaDly
eDJ2OXhhcmZzdyIgdGltZXN0YW1wPSIxNDQzNjU0NTUzIj4xMTk3PC9rZXk+PC9mb3JlaWduLWtl
eXM+PHJlZi10eXBlIG5hbWU9IkpvdXJuYWwgQXJ0aWNsZSI+MTc8L3JlZi10eXBlPjxjb250cmli
dXRvcnM+PGF1dGhvcnM+PGF1dGhvcj5LZW5uYXJkLCBNLiBKLjwvYXV0aG9yPjxhdXRob3I+UHVz
ZXksIEIuIEouPC9hdXRob3I+PGF1dGhvcj5PbGRlbiwgSi4gRC48L2F1dGhvcj48YXV0aG9yPk1h
Y0theSwgUy4gSi48L2F1dGhvcj48YXV0aG9yPlN0ZWluLCBKLiBMLjwvYXV0aG9yPjxhdXRob3I+
TWFyc2gsIE4uPC9hdXRob3I+PC9hdXRob3JzPjwvY29udHJpYnV0b3JzPjx0aXRsZXM+PHRpdGxl
PkNsYXNzaWZpY2F0aW9uIG9mIG5hdHVyYWwgZmxvdyByZWdpbWVzIGluIEF1c3RyYWxpYSB0byBz
dXBwb3J0IGVudmlyb25tZW50YWwgZmxvdyBtYW5hZ2VtZW50PC90aXRsZT48c2Vjb25kYXJ5LXRp
dGxlPkZyZXNod2F0ZXIgQmlvbG9neTwvc2Vjb25kYXJ5LXRpdGxlPjwvdGl0bGVzPjxwZXJpb2Rp
Y2FsPjxmdWxsLXRpdGxlPkZyZXNod2F0ZXIgQmlvbG9neTwvZnVsbC10aXRsZT48L3BlcmlvZGlj
YWw+PHBhZ2VzPjE3MS0xOTM8L3BhZ2VzPjx2b2x1bWU+NTU8L3ZvbHVtZT48bnVtYmVyPjE8L251
bWJlcj48ZGF0ZXM+PHllYXI+MjAxMDwveWVhcj48L2RhdGVzPjx1cmxzPjxyZWxhdGVkLXVybHM+
PHVybD5odHRwOi8vd3d3LnNjb3B1cy5jb20vaW53YXJkL3JlY29yZC51cmw/ZWlkPTItczIuMC03
Mjg0OTEzNjc2OCZhbXA7cGFydG5lcklEPTQwJmFtcDttZDU9OGZlYTdiNmYxYzI0YjdkYjcyYjFj
YTY3MTJkYjY1NGU8L3VybD48L3JlbGF0ZWQtdXJscz48L3VybHM+PGVsZWN0cm9uaWMtcmVzb3Vy
Y2UtbnVtPjEwLjExMTEvai4xMzY1LTI0MjcuMjAwOS4wMjMwNy54PC9lbGVjdHJvbmljLXJlc291
cmNlLW51bT48cmVtb3RlLWRhdGFiYXNlLW5hbWU+U2NvcHVzPC9yZW1vdGUtZGF0YWJhc2UtbmFt
ZT48L3JlY29yZD48L0NpdGU+PC9FbmROb3RlPn==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(Kennard</w:t>
      </w:r>
      <w:r w:rsidRPr="00747E35">
        <w:rPr>
          <w:rFonts w:asciiTheme="minorHAnsi" w:hAnsiTheme="minorHAnsi" w:cstheme="minorHAnsi"/>
          <w:i/>
          <w:noProof/>
        </w:rPr>
        <w:t xml:space="preserve"> et al.</w:t>
      </w:r>
      <w:r w:rsidRPr="00747E35">
        <w:rPr>
          <w:rFonts w:asciiTheme="minorHAnsi" w:hAnsiTheme="minorHAnsi" w:cstheme="minorHAnsi"/>
          <w:noProof/>
        </w:rPr>
        <w:t>, 2010; Mackay</w:t>
      </w:r>
      <w:r w:rsidRPr="00747E35">
        <w:rPr>
          <w:rFonts w:asciiTheme="minorHAnsi" w:hAnsiTheme="minorHAnsi" w:cstheme="minorHAnsi"/>
          <w:i/>
          <w:noProof/>
        </w:rPr>
        <w:t xml:space="preserve"> et al.</w:t>
      </w:r>
      <w:r w:rsidRPr="00747E35">
        <w:rPr>
          <w:rFonts w:asciiTheme="minorHAnsi" w:hAnsiTheme="minorHAnsi" w:cstheme="minorHAnsi"/>
          <w:noProof/>
        </w:rPr>
        <w:t>, 2014)</w:t>
      </w:r>
      <w:r w:rsidRPr="00747E35">
        <w:rPr>
          <w:rFonts w:asciiTheme="minorHAnsi" w:hAnsiTheme="minorHAnsi" w:cstheme="minorHAnsi"/>
        </w:rPr>
        <w:fldChar w:fldCharType="end"/>
      </w:r>
      <w:r w:rsidRPr="00747E35">
        <w:rPr>
          <w:rFonts w:asciiTheme="minorHAnsi" w:hAnsiTheme="minorHAnsi" w:cstheme="minorHAnsi"/>
        </w:rPr>
        <w:t>. The study period (2015-2016) typified this strong inter-annual variation (</w:t>
      </w:r>
      <w:r w:rsidRPr="00747E35">
        <w:rPr>
          <w:rFonts w:asciiTheme="minorHAnsi" w:hAnsiTheme="minorHAnsi" w:cstheme="minorHAnsi"/>
        </w:rPr>
        <w:fldChar w:fldCharType="begin"/>
      </w:r>
      <w:r w:rsidRPr="00747E35">
        <w:rPr>
          <w:rFonts w:asciiTheme="minorHAnsi" w:hAnsiTheme="minorHAnsi" w:cstheme="minorHAnsi"/>
        </w:rPr>
        <w:instrText xml:space="preserve"> REF _Ref466023609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37</w:t>
      </w:r>
      <w:r w:rsidRPr="00747E35">
        <w:rPr>
          <w:rFonts w:asciiTheme="minorHAnsi" w:hAnsiTheme="minorHAnsi" w:cstheme="minorHAnsi"/>
        </w:rPr>
        <w:fldChar w:fldCharType="end"/>
      </w:r>
      <w:r w:rsidRPr="00747E35">
        <w:rPr>
          <w:rFonts w:asciiTheme="minorHAnsi" w:hAnsiTheme="minorHAnsi" w:cstheme="minorHAnsi"/>
        </w:rPr>
        <w:t xml:space="preserve">), with major differences in the monthly timing of high and low flows each year, but all within the range of long-term monthly variation. </w:t>
      </w:r>
    </w:p>
    <w:p w14:paraId="05D11D45"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Three study sites were also chosen in the Maules Creek catchment in northern New South Wales. These sites are the main focus of Component 3; however, chlorophyll </w:t>
      </w:r>
      <w:r w:rsidRPr="00747E35">
        <w:rPr>
          <w:rFonts w:asciiTheme="minorHAnsi" w:hAnsiTheme="minorHAnsi" w:cstheme="minorHAnsi"/>
          <w:i/>
        </w:rPr>
        <w:t>a</w:t>
      </w:r>
      <w:r w:rsidRPr="00747E35">
        <w:rPr>
          <w:rFonts w:asciiTheme="minorHAnsi" w:hAnsiTheme="minorHAnsi" w:cstheme="minorHAnsi"/>
        </w:rPr>
        <w:t xml:space="preserve"> and food web characteristics were assessed and included in Component 2. In the Maules Creek catchment, sites were selected to represent a losing intermittent section (Middle Creek), a perennial gaining section (Horsearm Creek), and a perennial losing section (Maules Creek). Details of study sites within the Maules Creek catchment are described in Component 3.</w:t>
      </w:r>
    </w:p>
    <w:p w14:paraId="425C8502" w14:textId="77777777" w:rsidR="003D3694" w:rsidRPr="00747E35" w:rsidRDefault="003D3694" w:rsidP="003D3694">
      <w:pPr>
        <w:autoSpaceDE/>
        <w:autoSpaceDN/>
        <w:spacing w:line="276" w:lineRule="auto"/>
        <w:rPr>
          <w:rFonts w:asciiTheme="minorHAnsi" w:hAnsiTheme="minorHAnsi" w:cstheme="minorHAnsi"/>
        </w:rPr>
      </w:pPr>
      <w:r w:rsidRPr="00747E35">
        <w:rPr>
          <w:rFonts w:asciiTheme="minorHAnsi" w:hAnsiTheme="minorHAnsi" w:cstheme="minorHAnsi"/>
        </w:rPr>
        <w:br w:type="page"/>
      </w:r>
    </w:p>
    <w:p w14:paraId="72676641" w14:textId="77777777" w:rsidR="003D3694" w:rsidRPr="00747E35" w:rsidRDefault="003D3694" w:rsidP="00566456">
      <w:pPr>
        <w:pStyle w:val="Caption"/>
        <w:numPr>
          <w:ilvl w:val="0"/>
          <w:numId w:val="0"/>
        </w:numPr>
        <w:rPr>
          <w:rFonts w:cstheme="minorHAnsi"/>
        </w:rPr>
      </w:pPr>
      <w:bookmarkStart w:id="112" w:name="_Ref466023460"/>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11</w:t>
      </w:r>
      <w:r w:rsidR="009D6600" w:rsidRPr="00747E35">
        <w:rPr>
          <w:rFonts w:cstheme="minorHAnsi"/>
          <w:noProof/>
        </w:rPr>
        <w:fldChar w:fldCharType="end"/>
      </w:r>
      <w:bookmarkEnd w:id="112"/>
      <w:r w:rsidRPr="00747E35">
        <w:rPr>
          <w:rFonts w:cstheme="minorHAnsi"/>
        </w:rPr>
        <w:t xml:space="preserve">. Stream reach and catchment information for the five study streams in the upper Bremer River catchment (source: Stein et al. </w:t>
      </w:r>
      <w:r w:rsidRPr="00747E35">
        <w:rPr>
          <w:rFonts w:cstheme="minorHAnsi"/>
        </w:rPr>
        <w:fldChar w:fldCharType="begin"/>
      </w:r>
      <w:r w:rsidRPr="00747E35">
        <w:rPr>
          <w:rFonts w:cstheme="minorHAnsi"/>
        </w:rPr>
        <w:instrText xml:space="preserve"> ADDIN EN.CITE &lt;EndNote&gt;&lt;Cite ExcludeAuth="1"&gt;&lt;Author&gt;Stein&lt;/Author&gt;&lt;Year&gt;2014&lt;/Year&gt;&lt;RecNum&gt;1340&lt;/RecNum&gt;&lt;DisplayText&gt;(2014)&lt;/DisplayText&gt;&lt;record&gt;&lt;rec-number&gt;1340&lt;/rec-number&gt;&lt;foreign-keys&gt;&lt;key app="EN" db-id="f09zwdf26xeasaevvsjxv00h9rx2v9xarfsw" timestamp="1477955924"&gt;1340&lt;/key&gt;&lt;/foreign-keys&gt;&lt;ref-type name="Journal Article"&gt;17&lt;/ref-type&gt;&lt;contributors&gt;&lt;authors&gt;&lt;author&gt;Stein, J. L.&lt;/author&gt;&lt;author&gt;Hutchinson, M. F.&lt;/author&gt;&lt;author&gt;Stein, J. A.&lt;/author&gt;&lt;/authors&gt;&lt;/contributors&gt;&lt;titles&gt;&lt;title&gt;A new stream and nested catchment framework for Australia&lt;/title&gt;&lt;secondary-title&gt;Hydrology and Earth System Sciences&lt;/secondary-title&gt;&lt;/titles&gt;&lt;periodical&gt;&lt;full-title&gt;Hydrology and Earth System Sciences&lt;/full-title&gt;&lt;/periodical&gt;&lt;pages&gt;1917-1933&lt;/pages&gt;&lt;volume&gt;18&lt;/volume&gt;&lt;number&gt;5&lt;/number&gt;&lt;dates&gt;&lt;year&gt;2014&lt;/year&gt;&lt;/dates&gt;&lt;publisher&gt;Copernicus Publications&lt;/publisher&gt;&lt;isbn&gt;1607-7938&lt;/isbn&gt;&lt;urls&gt;&lt;related-urls&gt;&lt;url&gt;http://www.hydrol-earth-syst-sci.net/18/1917/2014/&lt;/url&gt;&lt;/related-urls&gt;&lt;pdf-urls&gt;&lt;url&gt;http://www.hydrol-earth-syst-sci.net/18/1917/2014/hess-18-1917-2014.pdf&lt;/url&gt;&lt;/pdf-urls&gt;&lt;/urls&gt;&lt;electronic-resource-num&gt;10.5194/hess-18-1917-2014&lt;/electronic-resource-num&gt;&lt;/record&gt;&lt;/Cite&gt;&lt;/EndNote&gt;</w:instrText>
      </w:r>
      <w:r w:rsidRPr="00747E35">
        <w:rPr>
          <w:rFonts w:cstheme="minorHAnsi"/>
        </w:rPr>
        <w:fldChar w:fldCharType="separate"/>
      </w:r>
      <w:r w:rsidRPr="00747E35">
        <w:rPr>
          <w:rFonts w:cstheme="minorHAnsi"/>
          <w:noProof/>
        </w:rPr>
        <w:t>(2014)</w:t>
      </w:r>
      <w:r w:rsidRPr="00747E35">
        <w:rPr>
          <w:rFonts w:cstheme="minorHAnsi"/>
        </w:rPr>
        <w:fldChar w:fldCharType="end"/>
      </w:r>
      <w:r w:rsidRPr="00747E35">
        <w:rPr>
          <w:rFonts w:cstheme="minorHAnsi"/>
        </w:rPr>
        <w:t>. The River Disturbance Index (RDI – Stein et al. 2002</w:t>
      </w:r>
      <w:r w:rsidRPr="00747E35">
        <w:rPr>
          <w:rFonts w:cstheme="minorHAnsi"/>
        </w:rPr>
        <w:fldChar w:fldCharType="begin"/>
      </w:r>
      <w:r w:rsidRPr="00747E35">
        <w:rPr>
          <w:rFonts w:cstheme="minorHAnsi"/>
        </w:rPr>
        <w:instrText xml:space="preserve"> ADDIN EN.CITE &lt;EndNote&gt;&lt;Cite ExcludeAuth="1" ExcludeYear="1" Hidden="1"&gt;&lt;Author&gt;Stein&lt;/Author&gt;&lt;Year&gt;2002&lt;/Year&gt;&lt;RecNum&gt;1385&lt;/RecNum&gt;&lt;record&gt;&lt;rec-number&gt;1385&lt;/rec-number&gt;&lt;foreign-keys&gt;&lt;key app="EN" db-id="f09zwdf26xeasaevvsjxv00h9rx2v9xarfsw" timestamp="1479107786"&gt;1385&lt;/key&gt;&lt;/foreign-keys&gt;&lt;ref-type name="Journal Article"&gt;17&lt;/ref-type&gt;&lt;contributors&gt;&lt;authors&gt;&lt;author&gt;Stein, J. L.&lt;/author&gt;&lt;author&gt;Stein, J. A.&lt;/author&gt;&lt;author&gt;Nix, H. A.&lt;/author&gt;&lt;/authors&gt;&lt;/contributors&gt;&lt;titles&gt;&lt;title&gt;Spatial analysis of anthropogenic river disturbance at regional and continental scales: identifying the wild rivers of Australia&lt;/title&gt;&lt;secondary-title&gt;Landscape and Urban Planning&lt;/secondary-title&gt;&lt;/titles&gt;&lt;periodical&gt;&lt;full-title&gt;Landscape and Urban Planning&lt;/full-title&gt;&lt;/periodical&gt;&lt;pages&gt;1-25&lt;/pages&gt;&lt;volume&gt;60&lt;/volume&gt;&lt;number&gt;1&lt;/number&gt;&lt;keywords&gt;&lt;keyword&gt;Wild rivers&lt;/keyword&gt;&lt;keyword&gt;River disturbance&lt;/keyword&gt;&lt;keyword&gt;GIS&lt;/keyword&gt;&lt;keyword&gt;Australia&lt;/keyword&gt;&lt;keyword&gt;DEM&lt;/keyword&gt;&lt;/keywords&gt;&lt;dates&gt;&lt;year&gt;2002&lt;/year&gt;&lt;pub-dates&gt;&lt;date&gt;6/15/&lt;/date&gt;&lt;/pub-dates&gt;&lt;/dates&gt;&lt;isbn&gt;0169-2046&lt;/isbn&gt;&lt;urls&gt;&lt;related-urls&gt;&lt;url&gt;http://www.sciencedirect.com/science/article/pii/S0169204602000488&lt;/url&gt;&lt;/related-urls&gt;&lt;/urls&gt;&lt;electronic-resource-num&gt;http://dx.doi.org/10.1016/S0169-2046(02)00048-8&lt;/electronic-resource-num&gt;&lt;/record&gt;&lt;/Cite&gt;&lt;/EndNote&gt;</w:instrText>
      </w:r>
      <w:r w:rsidRPr="00747E35">
        <w:rPr>
          <w:rFonts w:cstheme="minorHAnsi"/>
        </w:rPr>
        <w:fldChar w:fldCharType="end"/>
      </w:r>
      <w:r w:rsidRPr="00747E35">
        <w:rPr>
          <w:rFonts w:cstheme="minorHAnsi"/>
        </w:rPr>
        <w:t xml:space="preserve">) synthesises the spatial extent and potential magnitude of impact from multiple human disturbances indicators (including land uses and flow alteration) and ranges from 0 to 1 (least to most disturbed, respectively). </w:t>
      </w:r>
      <w:r w:rsidRPr="00747E35">
        <w:rPr>
          <w:rFonts w:cstheme="minorHAnsi"/>
          <w:vertAlign w:val="superscript"/>
        </w:rPr>
        <w:t>222</w:t>
      </w:r>
      <w:r w:rsidRPr="00747E35">
        <w:rPr>
          <w:rFonts w:cstheme="minorHAnsi"/>
        </w:rPr>
        <w:t>Rn, mean radon-222 gas concentration (n=3; Bq m</w:t>
      </w:r>
      <w:r w:rsidRPr="00747E35">
        <w:rPr>
          <w:rFonts w:cstheme="minorHAnsi"/>
          <w:vertAlign w:val="superscript"/>
        </w:rPr>
        <w:t>-3</w:t>
      </w:r>
      <w:r w:rsidRPr="00747E35">
        <w:rPr>
          <w:rFonts w:cstheme="minorHAnsi"/>
        </w:rPr>
        <w:t>) measured once in July 2015.</w:t>
      </w:r>
    </w:p>
    <w:tbl>
      <w:tblPr>
        <w:tblStyle w:val="TableGrid"/>
        <w:tblW w:w="919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
        <w:gridCol w:w="1011"/>
        <w:gridCol w:w="1155"/>
        <w:gridCol w:w="1082"/>
        <w:gridCol w:w="774"/>
        <w:gridCol w:w="813"/>
        <w:gridCol w:w="477"/>
        <w:gridCol w:w="1187"/>
        <w:gridCol w:w="1187"/>
        <w:gridCol w:w="614"/>
      </w:tblGrid>
      <w:tr w:rsidR="003D3694" w:rsidRPr="00747E35" w14:paraId="15EE32CF" w14:textId="77777777" w:rsidTr="00BB5645">
        <w:trPr>
          <w:trHeight w:val="423"/>
          <w:tblHeader/>
        </w:trPr>
        <w:tc>
          <w:tcPr>
            <w:tcW w:w="892" w:type="dxa"/>
            <w:tcBorders>
              <w:top w:val="single" w:sz="4" w:space="0" w:color="auto"/>
              <w:bottom w:val="single" w:sz="4" w:space="0" w:color="auto"/>
            </w:tcBorders>
            <w:shd w:val="clear" w:color="auto" w:fill="DEEAF6" w:themeFill="accent1" w:themeFillTint="33"/>
            <w:tcMar>
              <w:left w:w="57" w:type="dxa"/>
              <w:right w:w="57" w:type="dxa"/>
            </w:tcMar>
            <w:vAlign w:val="center"/>
          </w:tcPr>
          <w:p w14:paraId="03CAC53A" w14:textId="77777777" w:rsidR="003D3694" w:rsidRPr="00747E35" w:rsidRDefault="003D3694" w:rsidP="0096743A">
            <w:pPr>
              <w:pStyle w:val="TableHead"/>
              <w:spacing w:before="0" w:after="0"/>
              <w:rPr>
                <w:rFonts w:asciiTheme="minorHAnsi" w:hAnsiTheme="minorHAnsi" w:cstheme="minorHAnsi"/>
                <w:sz w:val="16"/>
              </w:rPr>
            </w:pPr>
            <w:r w:rsidRPr="00747E35">
              <w:rPr>
                <w:rFonts w:asciiTheme="minorHAnsi" w:hAnsiTheme="minorHAnsi" w:cstheme="minorHAnsi"/>
                <w:sz w:val="16"/>
              </w:rPr>
              <w:t>Site</w:t>
            </w:r>
          </w:p>
          <w:p w14:paraId="14FCEE0E" w14:textId="77777777" w:rsidR="003D3694" w:rsidRPr="00747E35" w:rsidRDefault="003D3694" w:rsidP="0096743A">
            <w:pPr>
              <w:pStyle w:val="TableHead"/>
              <w:spacing w:before="0" w:after="0"/>
              <w:rPr>
                <w:rFonts w:asciiTheme="minorHAnsi" w:hAnsiTheme="minorHAnsi" w:cstheme="minorHAnsi"/>
                <w:sz w:val="16"/>
              </w:rPr>
            </w:pPr>
          </w:p>
          <w:p w14:paraId="46455A77" w14:textId="77777777" w:rsidR="003D3694" w:rsidRPr="00747E35" w:rsidRDefault="003D3694" w:rsidP="0096743A">
            <w:pPr>
              <w:pStyle w:val="TableHead"/>
              <w:spacing w:before="0" w:after="0"/>
              <w:rPr>
                <w:rFonts w:asciiTheme="minorHAnsi" w:hAnsiTheme="minorHAnsi" w:cstheme="minorHAnsi"/>
                <w:sz w:val="16"/>
              </w:rPr>
            </w:pPr>
          </w:p>
        </w:tc>
        <w:tc>
          <w:tcPr>
            <w:tcW w:w="1011" w:type="dxa"/>
            <w:tcBorders>
              <w:top w:val="single" w:sz="4" w:space="0" w:color="auto"/>
              <w:bottom w:val="single" w:sz="4" w:space="0" w:color="auto"/>
            </w:tcBorders>
            <w:shd w:val="clear" w:color="auto" w:fill="DEEAF6" w:themeFill="accent1" w:themeFillTint="33"/>
            <w:tcMar>
              <w:left w:w="57" w:type="dxa"/>
              <w:right w:w="57" w:type="dxa"/>
            </w:tcMar>
            <w:vAlign w:val="center"/>
          </w:tcPr>
          <w:p w14:paraId="6DAC56BA" w14:textId="77777777" w:rsidR="003D3694" w:rsidRPr="00747E35" w:rsidRDefault="003D3694" w:rsidP="0096743A">
            <w:pPr>
              <w:pStyle w:val="TableHead"/>
              <w:spacing w:before="0" w:after="0"/>
              <w:rPr>
                <w:rFonts w:asciiTheme="minorHAnsi" w:hAnsiTheme="minorHAnsi" w:cstheme="minorHAnsi"/>
                <w:sz w:val="16"/>
              </w:rPr>
            </w:pPr>
            <w:r w:rsidRPr="00747E35">
              <w:rPr>
                <w:rFonts w:asciiTheme="minorHAnsi" w:hAnsiTheme="minorHAnsi" w:cstheme="minorHAnsi"/>
                <w:sz w:val="16"/>
              </w:rPr>
              <w:t>Catchment area (Km</w:t>
            </w:r>
            <w:r w:rsidRPr="00747E35">
              <w:rPr>
                <w:rFonts w:asciiTheme="minorHAnsi" w:hAnsiTheme="minorHAnsi" w:cstheme="minorHAnsi"/>
                <w:sz w:val="16"/>
                <w:vertAlign w:val="superscript"/>
              </w:rPr>
              <w:t>2</w:t>
            </w:r>
            <w:r w:rsidRPr="00747E35">
              <w:rPr>
                <w:rFonts w:asciiTheme="minorHAnsi" w:hAnsiTheme="minorHAnsi" w:cstheme="minorHAnsi"/>
                <w:sz w:val="16"/>
              </w:rPr>
              <w:t>)</w:t>
            </w:r>
          </w:p>
        </w:tc>
        <w:tc>
          <w:tcPr>
            <w:tcW w:w="1155" w:type="dxa"/>
            <w:tcBorders>
              <w:top w:val="single" w:sz="4" w:space="0" w:color="auto"/>
              <w:bottom w:val="single" w:sz="4" w:space="0" w:color="auto"/>
            </w:tcBorders>
            <w:shd w:val="clear" w:color="auto" w:fill="DEEAF6" w:themeFill="accent1" w:themeFillTint="33"/>
            <w:tcMar>
              <w:left w:w="57" w:type="dxa"/>
              <w:right w:w="57" w:type="dxa"/>
            </w:tcMar>
            <w:vAlign w:val="center"/>
          </w:tcPr>
          <w:p w14:paraId="07881310" w14:textId="77777777" w:rsidR="003D3694" w:rsidRPr="00747E35" w:rsidRDefault="003D3694" w:rsidP="0096743A">
            <w:pPr>
              <w:pStyle w:val="TableHead"/>
              <w:spacing w:before="0" w:after="0"/>
              <w:rPr>
                <w:rFonts w:asciiTheme="minorHAnsi" w:hAnsiTheme="minorHAnsi" w:cstheme="minorHAnsi"/>
                <w:sz w:val="16"/>
              </w:rPr>
            </w:pPr>
            <w:r w:rsidRPr="00747E35">
              <w:rPr>
                <w:rFonts w:asciiTheme="minorHAnsi" w:hAnsiTheme="minorHAnsi" w:cstheme="minorHAnsi"/>
                <w:sz w:val="16"/>
              </w:rPr>
              <w:t xml:space="preserve">Reach Elevation </w:t>
            </w:r>
          </w:p>
          <w:p w14:paraId="0A4FF919" w14:textId="77777777" w:rsidR="003D3694" w:rsidRPr="00747E35" w:rsidRDefault="003D3694" w:rsidP="0096743A">
            <w:pPr>
              <w:pStyle w:val="TableHead"/>
              <w:spacing w:before="0" w:after="0"/>
              <w:rPr>
                <w:rFonts w:asciiTheme="minorHAnsi" w:hAnsiTheme="minorHAnsi" w:cstheme="minorHAnsi"/>
                <w:sz w:val="16"/>
              </w:rPr>
            </w:pPr>
            <w:r w:rsidRPr="00747E35">
              <w:rPr>
                <w:rFonts w:asciiTheme="minorHAnsi" w:hAnsiTheme="minorHAnsi" w:cstheme="minorHAnsi"/>
                <w:sz w:val="16"/>
              </w:rPr>
              <w:t>(m asl)</w:t>
            </w:r>
          </w:p>
        </w:tc>
        <w:tc>
          <w:tcPr>
            <w:tcW w:w="1082" w:type="dxa"/>
            <w:tcBorders>
              <w:top w:val="single" w:sz="4" w:space="0" w:color="auto"/>
              <w:bottom w:val="single" w:sz="4" w:space="0" w:color="auto"/>
            </w:tcBorders>
            <w:shd w:val="clear" w:color="auto" w:fill="DEEAF6" w:themeFill="accent1" w:themeFillTint="33"/>
            <w:tcMar>
              <w:left w:w="57" w:type="dxa"/>
              <w:right w:w="57" w:type="dxa"/>
            </w:tcMar>
            <w:vAlign w:val="center"/>
          </w:tcPr>
          <w:p w14:paraId="3913F4F8" w14:textId="77777777" w:rsidR="003D3694" w:rsidRPr="00747E35" w:rsidRDefault="003D3694" w:rsidP="0096743A">
            <w:pPr>
              <w:pStyle w:val="TableHead"/>
              <w:spacing w:before="0" w:after="0"/>
              <w:rPr>
                <w:rFonts w:asciiTheme="minorHAnsi" w:hAnsiTheme="minorHAnsi" w:cstheme="minorHAnsi"/>
                <w:sz w:val="16"/>
              </w:rPr>
            </w:pPr>
            <w:r w:rsidRPr="00747E35">
              <w:rPr>
                <w:rFonts w:asciiTheme="minorHAnsi" w:hAnsiTheme="minorHAnsi" w:cstheme="minorHAnsi"/>
                <w:sz w:val="16"/>
              </w:rPr>
              <w:t>Mean annual temperature (</w:t>
            </w:r>
            <w:r w:rsidRPr="00747E35">
              <w:rPr>
                <w:rFonts w:asciiTheme="minorHAnsi" w:hAnsiTheme="minorHAnsi" w:cstheme="minorHAnsi"/>
                <w:sz w:val="16"/>
                <w:vertAlign w:val="superscript"/>
              </w:rPr>
              <w:t>o</w:t>
            </w:r>
            <w:r w:rsidRPr="00747E35">
              <w:rPr>
                <w:rFonts w:asciiTheme="minorHAnsi" w:hAnsiTheme="minorHAnsi" w:cstheme="minorHAnsi"/>
                <w:sz w:val="16"/>
              </w:rPr>
              <w:t>C)</w:t>
            </w:r>
          </w:p>
        </w:tc>
        <w:tc>
          <w:tcPr>
            <w:tcW w:w="774" w:type="dxa"/>
            <w:tcBorders>
              <w:top w:val="single" w:sz="4" w:space="0" w:color="auto"/>
              <w:bottom w:val="single" w:sz="4" w:space="0" w:color="auto"/>
            </w:tcBorders>
            <w:shd w:val="clear" w:color="auto" w:fill="DEEAF6" w:themeFill="accent1" w:themeFillTint="33"/>
            <w:tcMar>
              <w:left w:w="57" w:type="dxa"/>
              <w:right w:w="57" w:type="dxa"/>
            </w:tcMar>
            <w:vAlign w:val="center"/>
          </w:tcPr>
          <w:p w14:paraId="4DA9B379" w14:textId="77777777" w:rsidR="003D3694" w:rsidRPr="00747E35" w:rsidRDefault="003D3694" w:rsidP="0096743A">
            <w:pPr>
              <w:pStyle w:val="TableHead"/>
              <w:spacing w:before="0" w:after="0"/>
              <w:rPr>
                <w:rFonts w:asciiTheme="minorHAnsi" w:hAnsiTheme="minorHAnsi" w:cstheme="minorHAnsi"/>
                <w:sz w:val="16"/>
              </w:rPr>
            </w:pPr>
            <w:r w:rsidRPr="00747E35">
              <w:rPr>
                <w:rFonts w:asciiTheme="minorHAnsi" w:hAnsiTheme="minorHAnsi" w:cstheme="minorHAnsi"/>
                <w:sz w:val="16"/>
              </w:rPr>
              <w:t>Annual rainfall (mm)</w:t>
            </w:r>
          </w:p>
        </w:tc>
        <w:tc>
          <w:tcPr>
            <w:tcW w:w="813" w:type="dxa"/>
            <w:tcBorders>
              <w:top w:val="single" w:sz="4" w:space="0" w:color="auto"/>
              <w:bottom w:val="single" w:sz="4" w:space="0" w:color="auto"/>
            </w:tcBorders>
            <w:shd w:val="clear" w:color="auto" w:fill="DEEAF6" w:themeFill="accent1" w:themeFillTint="33"/>
            <w:tcMar>
              <w:left w:w="57" w:type="dxa"/>
              <w:right w:w="57" w:type="dxa"/>
            </w:tcMar>
            <w:vAlign w:val="center"/>
          </w:tcPr>
          <w:p w14:paraId="0256F995" w14:textId="77777777" w:rsidR="003D3694" w:rsidRPr="00747E35" w:rsidRDefault="003D3694" w:rsidP="0096743A">
            <w:pPr>
              <w:pStyle w:val="TableHead"/>
              <w:spacing w:before="0" w:after="0"/>
              <w:rPr>
                <w:rFonts w:asciiTheme="minorHAnsi" w:hAnsiTheme="minorHAnsi" w:cstheme="minorHAnsi"/>
                <w:sz w:val="16"/>
              </w:rPr>
            </w:pPr>
            <w:r w:rsidRPr="00747E35">
              <w:rPr>
                <w:rFonts w:asciiTheme="minorHAnsi" w:hAnsiTheme="minorHAnsi" w:cstheme="minorHAnsi"/>
                <w:sz w:val="16"/>
              </w:rPr>
              <w:t>Mean annual discharge (ML)</w:t>
            </w:r>
          </w:p>
        </w:tc>
        <w:tc>
          <w:tcPr>
            <w:tcW w:w="477" w:type="dxa"/>
            <w:tcBorders>
              <w:top w:val="single" w:sz="4" w:space="0" w:color="auto"/>
              <w:bottom w:val="single" w:sz="4" w:space="0" w:color="auto"/>
            </w:tcBorders>
            <w:shd w:val="clear" w:color="auto" w:fill="DEEAF6" w:themeFill="accent1" w:themeFillTint="33"/>
            <w:tcMar>
              <w:left w:w="57" w:type="dxa"/>
              <w:right w:w="57" w:type="dxa"/>
            </w:tcMar>
            <w:vAlign w:val="center"/>
          </w:tcPr>
          <w:p w14:paraId="5DB18DB0" w14:textId="77777777" w:rsidR="003D3694" w:rsidRPr="00747E35" w:rsidRDefault="003D3694" w:rsidP="0096743A">
            <w:pPr>
              <w:pStyle w:val="TableHead"/>
              <w:spacing w:before="0" w:after="0"/>
              <w:rPr>
                <w:rFonts w:asciiTheme="minorHAnsi" w:hAnsiTheme="minorHAnsi" w:cstheme="minorHAnsi"/>
                <w:sz w:val="16"/>
              </w:rPr>
            </w:pPr>
            <w:r w:rsidRPr="00747E35">
              <w:rPr>
                <w:rFonts w:asciiTheme="minorHAnsi" w:hAnsiTheme="minorHAnsi" w:cstheme="minorHAnsi"/>
                <w:sz w:val="16"/>
              </w:rPr>
              <w:t>RDI</w:t>
            </w:r>
          </w:p>
        </w:tc>
        <w:tc>
          <w:tcPr>
            <w:tcW w:w="1187" w:type="dxa"/>
            <w:tcBorders>
              <w:top w:val="single" w:sz="4" w:space="0" w:color="auto"/>
              <w:bottom w:val="single" w:sz="4" w:space="0" w:color="auto"/>
            </w:tcBorders>
            <w:shd w:val="clear" w:color="auto" w:fill="DEEAF6" w:themeFill="accent1" w:themeFillTint="33"/>
            <w:tcMar>
              <w:left w:w="57" w:type="dxa"/>
              <w:right w:w="57" w:type="dxa"/>
            </w:tcMar>
            <w:vAlign w:val="center"/>
          </w:tcPr>
          <w:p w14:paraId="7F957A7E" w14:textId="77777777" w:rsidR="003D3694" w:rsidRPr="00747E35" w:rsidRDefault="003D3694" w:rsidP="0096743A">
            <w:pPr>
              <w:pStyle w:val="TableHead"/>
              <w:spacing w:before="0" w:after="0"/>
              <w:rPr>
                <w:rFonts w:asciiTheme="minorHAnsi" w:hAnsiTheme="minorHAnsi" w:cstheme="minorHAnsi"/>
                <w:sz w:val="16"/>
              </w:rPr>
            </w:pPr>
            <w:r w:rsidRPr="00747E35">
              <w:rPr>
                <w:rFonts w:asciiTheme="minorHAnsi" w:hAnsiTheme="minorHAnsi" w:cstheme="minorHAnsi"/>
                <w:sz w:val="16"/>
              </w:rPr>
              <w:t>Historical catchment natural forest cover (%)</w:t>
            </w:r>
          </w:p>
        </w:tc>
        <w:tc>
          <w:tcPr>
            <w:tcW w:w="1187" w:type="dxa"/>
            <w:tcBorders>
              <w:top w:val="single" w:sz="4" w:space="0" w:color="auto"/>
              <w:bottom w:val="single" w:sz="4" w:space="0" w:color="auto"/>
            </w:tcBorders>
            <w:shd w:val="clear" w:color="auto" w:fill="DEEAF6" w:themeFill="accent1" w:themeFillTint="33"/>
            <w:tcMar>
              <w:left w:w="57" w:type="dxa"/>
              <w:right w:w="57" w:type="dxa"/>
            </w:tcMar>
            <w:vAlign w:val="center"/>
          </w:tcPr>
          <w:p w14:paraId="248937A6" w14:textId="77777777" w:rsidR="003D3694" w:rsidRPr="00747E35" w:rsidRDefault="003D3694" w:rsidP="0096743A">
            <w:pPr>
              <w:pStyle w:val="TableHead"/>
              <w:spacing w:before="0" w:after="0"/>
              <w:rPr>
                <w:rFonts w:asciiTheme="minorHAnsi" w:hAnsiTheme="minorHAnsi" w:cstheme="minorHAnsi"/>
                <w:sz w:val="16"/>
              </w:rPr>
            </w:pPr>
            <w:r w:rsidRPr="00747E35">
              <w:rPr>
                <w:rFonts w:asciiTheme="minorHAnsi" w:hAnsiTheme="minorHAnsi" w:cstheme="minorHAnsi"/>
                <w:sz w:val="16"/>
              </w:rPr>
              <w:t>Existing catchment natural forest cover (%)</w:t>
            </w:r>
          </w:p>
        </w:tc>
        <w:tc>
          <w:tcPr>
            <w:tcW w:w="614" w:type="dxa"/>
            <w:tcBorders>
              <w:top w:val="single" w:sz="4" w:space="0" w:color="auto"/>
              <w:bottom w:val="single" w:sz="4" w:space="0" w:color="auto"/>
            </w:tcBorders>
            <w:shd w:val="clear" w:color="auto" w:fill="DEEAF6" w:themeFill="accent1" w:themeFillTint="33"/>
            <w:tcMar>
              <w:left w:w="57" w:type="dxa"/>
              <w:right w:w="57" w:type="dxa"/>
            </w:tcMar>
            <w:vAlign w:val="center"/>
          </w:tcPr>
          <w:p w14:paraId="3F28A928" w14:textId="77777777" w:rsidR="003D3694" w:rsidRPr="00747E35" w:rsidRDefault="003D3694" w:rsidP="0096743A">
            <w:pPr>
              <w:pStyle w:val="TableHead"/>
              <w:spacing w:before="0" w:after="0"/>
              <w:rPr>
                <w:rFonts w:asciiTheme="minorHAnsi" w:hAnsiTheme="minorHAnsi" w:cstheme="minorHAnsi"/>
                <w:sz w:val="16"/>
              </w:rPr>
            </w:pPr>
            <w:r w:rsidRPr="00747E35">
              <w:rPr>
                <w:rFonts w:asciiTheme="minorHAnsi" w:hAnsiTheme="minorHAnsi" w:cstheme="minorHAnsi"/>
                <w:sz w:val="16"/>
              </w:rPr>
              <w:t>Mean</w:t>
            </w:r>
            <w:r w:rsidRPr="00747E35">
              <w:rPr>
                <w:rFonts w:asciiTheme="minorHAnsi" w:hAnsiTheme="minorHAnsi" w:cstheme="minorHAnsi"/>
                <w:sz w:val="16"/>
                <w:vertAlign w:val="superscript"/>
              </w:rPr>
              <w:t xml:space="preserve"> 222</w:t>
            </w:r>
            <w:r w:rsidRPr="00747E35">
              <w:rPr>
                <w:rFonts w:asciiTheme="minorHAnsi" w:hAnsiTheme="minorHAnsi" w:cstheme="minorHAnsi"/>
                <w:sz w:val="16"/>
              </w:rPr>
              <w:t>Rn</w:t>
            </w:r>
          </w:p>
        </w:tc>
      </w:tr>
      <w:tr w:rsidR="003D3694" w:rsidRPr="00747E35" w14:paraId="1E0D0855" w14:textId="77777777" w:rsidTr="0096743A">
        <w:trPr>
          <w:trHeight w:val="225"/>
        </w:trPr>
        <w:tc>
          <w:tcPr>
            <w:tcW w:w="892" w:type="dxa"/>
            <w:tcBorders>
              <w:top w:val="single" w:sz="4" w:space="0" w:color="auto"/>
              <w:bottom w:val="dashed" w:sz="4" w:space="0" w:color="auto"/>
            </w:tcBorders>
            <w:tcMar>
              <w:left w:w="57" w:type="dxa"/>
              <w:right w:w="57" w:type="dxa"/>
            </w:tcMar>
            <w:vAlign w:val="center"/>
          </w:tcPr>
          <w:p w14:paraId="6E1FE96B" w14:textId="77777777" w:rsidR="003D3694" w:rsidRPr="00747E35" w:rsidRDefault="003D3694" w:rsidP="0096743A">
            <w:pPr>
              <w:pStyle w:val="Tabletext"/>
              <w:spacing w:before="0" w:after="0"/>
              <w:rPr>
                <w:rFonts w:cstheme="minorHAnsi"/>
                <w:sz w:val="16"/>
              </w:rPr>
            </w:pPr>
            <w:r w:rsidRPr="00747E35">
              <w:rPr>
                <w:rFonts w:cstheme="minorHAnsi"/>
                <w:sz w:val="16"/>
              </w:rPr>
              <w:t>Bremer River</w:t>
            </w:r>
          </w:p>
        </w:tc>
        <w:tc>
          <w:tcPr>
            <w:tcW w:w="1011" w:type="dxa"/>
            <w:tcBorders>
              <w:top w:val="single" w:sz="4" w:space="0" w:color="auto"/>
              <w:bottom w:val="dashed" w:sz="4" w:space="0" w:color="auto"/>
            </w:tcBorders>
            <w:tcMar>
              <w:left w:w="57" w:type="dxa"/>
              <w:right w:w="57" w:type="dxa"/>
            </w:tcMar>
            <w:vAlign w:val="center"/>
          </w:tcPr>
          <w:p w14:paraId="594A8CE1" w14:textId="77777777" w:rsidR="003D3694" w:rsidRPr="00747E35" w:rsidRDefault="003D3694" w:rsidP="0096743A">
            <w:pPr>
              <w:pStyle w:val="Tabletext"/>
              <w:spacing w:before="0" w:after="0"/>
              <w:rPr>
                <w:rFonts w:cstheme="minorHAnsi"/>
                <w:sz w:val="16"/>
              </w:rPr>
            </w:pPr>
            <w:r w:rsidRPr="00747E35">
              <w:rPr>
                <w:rFonts w:cstheme="minorHAnsi"/>
                <w:sz w:val="16"/>
              </w:rPr>
              <w:t>5.97</w:t>
            </w:r>
          </w:p>
        </w:tc>
        <w:tc>
          <w:tcPr>
            <w:tcW w:w="1155" w:type="dxa"/>
            <w:tcBorders>
              <w:top w:val="single" w:sz="4" w:space="0" w:color="auto"/>
              <w:bottom w:val="dashed" w:sz="4" w:space="0" w:color="auto"/>
            </w:tcBorders>
            <w:tcMar>
              <w:left w:w="57" w:type="dxa"/>
              <w:right w:w="57" w:type="dxa"/>
            </w:tcMar>
            <w:vAlign w:val="center"/>
          </w:tcPr>
          <w:p w14:paraId="1C0B79DE" w14:textId="77777777" w:rsidR="003D3694" w:rsidRPr="00747E35" w:rsidRDefault="003D3694" w:rsidP="0096743A">
            <w:pPr>
              <w:pStyle w:val="Tabletext"/>
              <w:spacing w:before="0" w:after="0"/>
              <w:rPr>
                <w:rFonts w:cstheme="minorHAnsi"/>
                <w:sz w:val="16"/>
              </w:rPr>
            </w:pPr>
            <w:r w:rsidRPr="00747E35">
              <w:rPr>
                <w:rFonts w:cstheme="minorHAnsi"/>
                <w:sz w:val="16"/>
              </w:rPr>
              <w:t>284</w:t>
            </w:r>
          </w:p>
        </w:tc>
        <w:tc>
          <w:tcPr>
            <w:tcW w:w="1082" w:type="dxa"/>
            <w:tcBorders>
              <w:top w:val="single" w:sz="4" w:space="0" w:color="auto"/>
              <w:bottom w:val="dashed" w:sz="4" w:space="0" w:color="auto"/>
            </w:tcBorders>
            <w:tcMar>
              <w:left w:w="57" w:type="dxa"/>
              <w:right w:w="57" w:type="dxa"/>
            </w:tcMar>
            <w:vAlign w:val="center"/>
          </w:tcPr>
          <w:p w14:paraId="7F4F0339" w14:textId="77777777" w:rsidR="003D3694" w:rsidRPr="00747E35" w:rsidRDefault="003D3694" w:rsidP="0096743A">
            <w:pPr>
              <w:pStyle w:val="Tabletext"/>
              <w:spacing w:before="0" w:after="0"/>
              <w:rPr>
                <w:rFonts w:cstheme="minorHAnsi"/>
                <w:sz w:val="16"/>
              </w:rPr>
            </w:pPr>
            <w:r w:rsidRPr="00747E35">
              <w:rPr>
                <w:rFonts w:cstheme="minorHAnsi"/>
                <w:sz w:val="16"/>
              </w:rPr>
              <w:t>17.8</w:t>
            </w:r>
          </w:p>
        </w:tc>
        <w:tc>
          <w:tcPr>
            <w:tcW w:w="774" w:type="dxa"/>
            <w:tcBorders>
              <w:top w:val="single" w:sz="4" w:space="0" w:color="auto"/>
              <w:bottom w:val="dashed" w:sz="4" w:space="0" w:color="auto"/>
            </w:tcBorders>
            <w:tcMar>
              <w:left w:w="57" w:type="dxa"/>
              <w:right w:w="57" w:type="dxa"/>
            </w:tcMar>
            <w:vAlign w:val="center"/>
          </w:tcPr>
          <w:p w14:paraId="153BB026" w14:textId="77777777" w:rsidR="003D3694" w:rsidRPr="00747E35" w:rsidRDefault="003D3694" w:rsidP="0096743A">
            <w:pPr>
              <w:pStyle w:val="Tabletext"/>
              <w:spacing w:before="0" w:after="0"/>
              <w:rPr>
                <w:rFonts w:cstheme="minorHAnsi"/>
                <w:sz w:val="16"/>
              </w:rPr>
            </w:pPr>
            <w:r w:rsidRPr="00747E35">
              <w:rPr>
                <w:rFonts w:cstheme="minorHAnsi"/>
                <w:sz w:val="16"/>
              </w:rPr>
              <w:t>954</w:t>
            </w:r>
          </w:p>
        </w:tc>
        <w:tc>
          <w:tcPr>
            <w:tcW w:w="813" w:type="dxa"/>
            <w:tcBorders>
              <w:top w:val="single" w:sz="4" w:space="0" w:color="auto"/>
              <w:bottom w:val="dashed" w:sz="4" w:space="0" w:color="auto"/>
            </w:tcBorders>
            <w:tcMar>
              <w:left w:w="57" w:type="dxa"/>
              <w:right w:w="57" w:type="dxa"/>
            </w:tcMar>
            <w:vAlign w:val="center"/>
          </w:tcPr>
          <w:p w14:paraId="2DE160D2" w14:textId="77777777" w:rsidR="003D3694" w:rsidRPr="00747E35" w:rsidRDefault="003D3694" w:rsidP="0096743A">
            <w:pPr>
              <w:pStyle w:val="Tabletext"/>
              <w:spacing w:before="0" w:after="0"/>
              <w:rPr>
                <w:rFonts w:cstheme="minorHAnsi"/>
                <w:sz w:val="16"/>
              </w:rPr>
            </w:pPr>
            <w:r w:rsidRPr="00747E35">
              <w:rPr>
                <w:rFonts w:cstheme="minorHAnsi"/>
                <w:sz w:val="16"/>
              </w:rPr>
              <w:t>504</w:t>
            </w:r>
          </w:p>
        </w:tc>
        <w:tc>
          <w:tcPr>
            <w:tcW w:w="477" w:type="dxa"/>
            <w:tcBorders>
              <w:top w:val="single" w:sz="4" w:space="0" w:color="auto"/>
              <w:bottom w:val="dashed" w:sz="4" w:space="0" w:color="auto"/>
            </w:tcBorders>
            <w:tcMar>
              <w:left w:w="57" w:type="dxa"/>
              <w:right w:w="57" w:type="dxa"/>
            </w:tcMar>
            <w:vAlign w:val="center"/>
          </w:tcPr>
          <w:p w14:paraId="3A4C28EA" w14:textId="77777777" w:rsidR="003D3694" w:rsidRPr="00747E35" w:rsidRDefault="003D3694" w:rsidP="0096743A">
            <w:pPr>
              <w:pStyle w:val="Tabletext"/>
              <w:spacing w:before="0" w:after="0"/>
              <w:rPr>
                <w:rFonts w:cstheme="minorHAnsi"/>
                <w:sz w:val="16"/>
              </w:rPr>
            </w:pPr>
            <w:r w:rsidRPr="00747E35">
              <w:rPr>
                <w:rFonts w:cstheme="minorHAnsi"/>
                <w:sz w:val="16"/>
              </w:rPr>
              <w:t>0.10</w:t>
            </w:r>
          </w:p>
        </w:tc>
        <w:tc>
          <w:tcPr>
            <w:tcW w:w="1187" w:type="dxa"/>
            <w:tcBorders>
              <w:top w:val="single" w:sz="4" w:space="0" w:color="auto"/>
              <w:bottom w:val="dashed" w:sz="4" w:space="0" w:color="auto"/>
            </w:tcBorders>
            <w:tcMar>
              <w:left w:w="57" w:type="dxa"/>
              <w:right w:w="57" w:type="dxa"/>
            </w:tcMar>
            <w:vAlign w:val="center"/>
          </w:tcPr>
          <w:p w14:paraId="16CA5D92" w14:textId="77777777" w:rsidR="003D3694" w:rsidRPr="00747E35" w:rsidRDefault="003D3694" w:rsidP="0096743A">
            <w:pPr>
              <w:pStyle w:val="Tabletext"/>
              <w:spacing w:before="0" w:after="0"/>
              <w:rPr>
                <w:rFonts w:cstheme="minorHAnsi"/>
                <w:sz w:val="16"/>
              </w:rPr>
            </w:pPr>
            <w:r w:rsidRPr="00747E35">
              <w:rPr>
                <w:rFonts w:cstheme="minorHAnsi"/>
                <w:sz w:val="16"/>
              </w:rPr>
              <w:t>6</w:t>
            </w:r>
          </w:p>
        </w:tc>
        <w:tc>
          <w:tcPr>
            <w:tcW w:w="1187" w:type="dxa"/>
            <w:tcBorders>
              <w:top w:val="single" w:sz="4" w:space="0" w:color="auto"/>
              <w:bottom w:val="dashed" w:sz="4" w:space="0" w:color="auto"/>
            </w:tcBorders>
            <w:tcMar>
              <w:left w:w="57" w:type="dxa"/>
              <w:right w:w="57" w:type="dxa"/>
            </w:tcMar>
            <w:vAlign w:val="center"/>
          </w:tcPr>
          <w:p w14:paraId="6C74653B" w14:textId="77777777" w:rsidR="003D3694" w:rsidRPr="00747E35" w:rsidRDefault="003D3694" w:rsidP="0096743A">
            <w:pPr>
              <w:pStyle w:val="Tabletext"/>
              <w:spacing w:before="0" w:after="0"/>
              <w:rPr>
                <w:rFonts w:cstheme="minorHAnsi"/>
                <w:sz w:val="16"/>
              </w:rPr>
            </w:pPr>
            <w:r w:rsidRPr="00747E35">
              <w:rPr>
                <w:rFonts w:cstheme="minorHAnsi"/>
                <w:sz w:val="16"/>
              </w:rPr>
              <w:t>4.86</w:t>
            </w:r>
          </w:p>
        </w:tc>
        <w:tc>
          <w:tcPr>
            <w:tcW w:w="614" w:type="dxa"/>
            <w:tcBorders>
              <w:top w:val="single" w:sz="4" w:space="0" w:color="auto"/>
              <w:bottom w:val="dashed" w:sz="4" w:space="0" w:color="auto"/>
            </w:tcBorders>
            <w:tcMar>
              <w:left w:w="57" w:type="dxa"/>
              <w:right w:w="57" w:type="dxa"/>
            </w:tcMar>
            <w:vAlign w:val="center"/>
          </w:tcPr>
          <w:p w14:paraId="485C754E" w14:textId="77777777" w:rsidR="003D3694" w:rsidRPr="00747E35" w:rsidRDefault="003D3694" w:rsidP="0096743A">
            <w:pPr>
              <w:pStyle w:val="Tabletext"/>
              <w:spacing w:before="0" w:after="0"/>
              <w:rPr>
                <w:rFonts w:cstheme="minorHAnsi"/>
                <w:sz w:val="16"/>
              </w:rPr>
            </w:pPr>
            <w:r w:rsidRPr="00747E35">
              <w:rPr>
                <w:rFonts w:cstheme="minorHAnsi"/>
                <w:sz w:val="16"/>
              </w:rPr>
              <w:t>2863</w:t>
            </w:r>
          </w:p>
        </w:tc>
      </w:tr>
      <w:tr w:rsidR="003D3694" w:rsidRPr="00747E35" w14:paraId="04AD7AA6" w14:textId="77777777" w:rsidTr="0096743A">
        <w:trPr>
          <w:trHeight w:val="140"/>
        </w:trPr>
        <w:tc>
          <w:tcPr>
            <w:tcW w:w="892" w:type="dxa"/>
            <w:tcBorders>
              <w:top w:val="dashed" w:sz="4" w:space="0" w:color="auto"/>
              <w:bottom w:val="dashed" w:sz="4" w:space="0" w:color="auto"/>
            </w:tcBorders>
            <w:tcMar>
              <w:left w:w="57" w:type="dxa"/>
              <w:right w:w="57" w:type="dxa"/>
            </w:tcMar>
            <w:vAlign w:val="center"/>
          </w:tcPr>
          <w:p w14:paraId="750553EE" w14:textId="77777777" w:rsidR="003D3694" w:rsidRPr="00747E35" w:rsidRDefault="003D3694" w:rsidP="0096743A">
            <w:pPr>
              <w:pStyle w:val="Tabletext"/>
              <w:spacing w:before="0" w:after="0"/>
              <w:rPr>
                <w:rFonts w:cstheme="minorHAnsi"/>
                <w:sz w:val="16"/>
              </w:rPr>
            </w:pPr>
            <w:r w:rsidRPr="00747E35">
              <w:rPr>
                <w:rFonts w:cstheme="minorHAnsi"/>
                <w:sz w:val="16"/>
              </w:rPr>
              <w:t>Warrill Creek</w:t>
            </w:r>
          </w:p>
        </w:tc>
        <w:tc>
          <w:tcPr>
            <w:tcW w:w="1011" w:type="dxa"/>
            <w:tcBorders>
              <w:top w:val="dashed" w:sz="4" w:space="0" w:color="auto"/>
              <w:bottom w:val="dashed" w:sz="4" w:space="0" w:color="auto"/>
            </w:tcBorders>
            <w:tcMar>
              <w:left w:w="57" w:type="dxa"/>
              <w:right w:w="57" w:type="dxa"/>
            </w:tcMar>
            <w:vAlign w:val="center"/>
          </w:tcPr>
          <w:p w14:paraId="6871D45C" w14:textId="77777777" w:rsidR="003D3694" w:rsidRPr="00747E35" w:rsidRDefault="003D3694" w:rsidP="0096743A">
            <w:pPr>
              <w:pStyle w:val="Tabletext"/>
              <w:spacing w:before="0" w:after="0"/>
              <w:rPr>
                <w:rFonts w:cstheme="minorHAnsi"/>
                <w:sz w:val="16"/>
              </w:rPr>
            </w:pPr>
            <w:r w:rsidRPr="00747E35">
              <w:rPr>
                <w:rFonts w:cstheme="minorHAnsi"/>
                <w:sz w:val="16"/>
              </w:rPr>
              <w:t>19.9</w:t>
            </w:r>
          </w:p>
        </w:tc>
        <w:tc>
          <w:tcPr>
            <w:tcW w:w="1155" w:type="dxa"/>
            <w:tcBorders>
              <w:top w:val="dashed" w:sz="4" w:space="0" w:color="auto"/>
              <w:bottom w:val="dashed" w:sz="4" w:space="0" w:color="auto"/>
            </w:tcBorders>
            <w:tcMar>
              <w:left w:w="57" w:type="dxa"/>
              <w:right w:w="57" w:type="dxa"/>
            </w:tcMar>
            <w:vAlign w:val="center"/>
          </w:tcPr>
          <w:p w14:paraId="71ECB3D9" w14:textId="77777777" w:rsidR="003D3694" w:rsidRPr="00747E35" w:rsidRDefault="003D3694" w:rsidP="0096743A">
            <w:pPr>
              <w:pStyle w:val="Tabletext"/>
              <w:spacing w:before="0" w:after="0"/>
              <w:rPr>
                <w:rFonts w:cstheme="minorHAnsi"/>
                <w:sz w:val="16"/>
              </w:rPr>
            </w:pPr>
            <w:r w:rsidRPr="00747E35">
              <w:rPr>
                <w:rFonts w:cstheme="minorHAnsi"/>
                <w:sz w:val="16"/>
              </w:rPr>
              <w:t>202</w:t>
            </w:r>
          </w:p>
        </w:tc>
        <w:tc>
          <w:tcPr>
            <w:tcW w:w="1082" w:type="dxa"/>
            <w:tcBorders>
              <w:top w:val="dashed" w:sz="4" w:space="0" w:color="auto"/>
              <w:bottom w:val="dashed" w:sz="4" w:space="0" w:color="auto"/>
            </w:tcBorders>
            <w:tcMar>
              <w:left w:w="57" w:type="dxa"/>
              <w:right w:w="57" w:type="dxa"/>
            </w:tcMar>
            <w:vAlign w:val="center"/>
          </w:tcPr>
          <w:p w14:paraId="20BC714A" w14:textId="77777777" w:rsidR="003D3694" w:rsidRPr="00747E35" w:rsidRDefault="003D3694" w:rsidP="0096743A">
            <w:pPr>
              <w:pStyle w:val="Tabletext"/>
              <w:spacing w:before="0" w:after="0"/>
              <w:rPr>
                <w:rFonts w:cstheme="minorHAnsi"/>
                <w:sz w:val="16"/>
              </w:rPr>
            </w:pPr>
            <w:r w:rsidRPr="00747E35">
              <w:rPr>
                <w:rFonts w:cstheme="minorHAnsi"/>
                <w:sz w:val="16"/>
              </w:rPr>
              <w:t>18.2</w:t>
            </w:r>
          </w:p>
        </w:tc>
        <w:tc>
          <w:tcPr>
            <w:tcW w:w="774" w:type="dxa"/>
            <w:tcBorders>
              <w:top w:val="dashed" w:sz="4" w:space="0" w:color="auto"/>
              <w:bottom w:val="dashed" w:sz="4" w:space="0" w:color="auto"/>
            </w:tcBorders>
            <w:tcMar>
              <w:left w:w="57" w:type="dxa"/>
              <w:right w:w="57" w:type="dxa"/>
            </w:tcMar>
            <w:vAlign w:val="center"/>
          </w:tcPr>
          <w:p w14:paraId="7852D542" w14:textId="77777777" w:rsidR="003D3694" w:rsidRPr="00747E35" w:rsidRDefault="003D3694" w:rsidP="0096743A">
            <w:pPr>
              <w:pStyle w:val="Tabletext"/>
              <w:spacing w:before="0" w:after="0"/>
              <w:rPr>
                <w:rFonts w:cstheme="minorHAnsi"/>
                <w:sz w:val="16"/>
              </w:rPr>
            </w:pPr>
            <w:r w:rsidRPr="00747E35">
              <w:rPr>
                <w:rFonts w:cstheme="minorHAnsi"/>
                <w:sz w:val="16"/>
              </w:rPr>
              <w:t>944</w:t>
            </w:r>
          </w:p>
        </w:tc>
        <w:tc>
          <w:tcPr>
            <w:tcW w:w="813" w:type="dxa"/>
            <w:tcBorders>
              <w:top w:val="dashed" w:sz="4" w:space="0" w:color="auto"/>
              <w:bottom w:val="dashed" w:sz="4" w:space="0" w:color="auto"/>
            </w:tcBorders>
            <w:tcMar>
              <w:left w:w="57" w:type="dxa"/>
              <w:right w:w="57" w:type="dxa"/>
            </w:tcMar>
            <w:vAlign w:val="center"/>
          </w:tcPr>
          <w:p w14:paraId="1CCC39B8" w14:textId="77777777" w:rsidR="003D3694" w:rsidRPr="00747E35" w:rsidRDefault="003D3694" w:rsidP="0096743A">
            <w:pPr>
              <w:pStyle w:val="Tabletext"/>
              <w:spacing w:before="0" w:after="0"/>
              <w:rPr>
                <w:rFonts w:cstheme="minorHAnsi"/>
                <w:sz w:val="16"/>
              </w:rPr>
            </w:pPr>
            <w:r w:rsidRPr="00747E35">
              <w:rPr>
                <w:rFonts w:cstheme="minorHAnsi"/>
                <w:sz w:val="16"/>
              </w:rPr>
              <w:t>1406</w:t>
            </w:r>
          </w:p>
        </w:tc>
        <w:tc>
          <w:tcPr>
            <w:tcW w:w="477" w:type="dxa"/>
            <w:tcBorders>
              <w:top w:val="dashed" w:sz="4" w:space="0" w:color="auto"/>
              <w:bottom w:val="dashed" w:sz="4" w:space="0" w:color="auto"/>
            </w:tcBorders>
            <w:tcMar>
              <w:left w:w="57" w:type="dxa"/>
              <w:right w:w="57" w:type="dxa"/>
            </w:tcMar>
            <w:vAlign w:val="center"/>
          </w:tcPr>
          <w:p w14:paraId="61CEFB51" w14:textId="77777777" w:rsidR="003D3694" w:rsidRPr="00747E35" w:rsidRDefault="003D3694" w:rsidP="0096743A">
            <w:pPr>
              <w:pStyle w:val="Tabletext"/>
              <w:spacing w:before="0" w:after="0"/>
              <w:rPr>
                <w:rFonts w:cstheme="minorHAnsi"/>
                <w:sz w:val="16"/>
              </w:rPr>
            </w:pPr>
            <w:r w:rsidRPr="00747E35">
              <w:rPr>
                <w:rFonts w:cstheme="minorHAnsi"/>
                <w:sz w:val="16"/>
              </w:rPr>
              <w:t>0.08</w:t>
            </w:r>
          </w:p>
        </w:tc>
        <w:tc>
          <w:tcPr>
            <w:tcW w:w="1187" w:type="dxa"/>
            <w:tcBorders>
              <w:top w:val="dashed" w:sz="4" w:space="0" w:color="auto"/>
              <w:bottom w:val="dashed" w:sz="4" w:space="0" w:color="auto"/>
            </w:tcBorders>
            <w:tcMar>
              <w:left w:w="57" w:type="dxa"/>
              <w:right w:w="57" w:type="dxa"/>
            </w:tcMar>
            <w:vAlign w:val="center"/>
          </w:tcPr>
          <w:p w14:paraId="5C8C4A76" w14:textId="77777777" w:rsidR="003D3694" w:rsidRPr="00747E35" w:rsidRDefault="003D3694" w:rsidP="0096743A">
            <w:pPr>
              <w:pStyle w:val="Tabletext"/>
              <w:spacing w:before="0" w:after="0"/>
              <w:rPr>
                <w:rFonts w:cstheme="minorHAnsi"/>
                <w:sz w:val="16"/>
              </w:rPr>
            </w:pPr>
            <w:r w:rsidRPr="00747E35">
              <w:rPr>
                <w:rFonts w:cstheme="minorHAnsi"/>
                <w:sz w:val="16"/>
              </w:rPr>
              <w:t>52.7</w:t>
            </w:r>
          </w:p>
        </w:tc>
        <w:tc>
          <w:tcPr>
            <w:tcW w:w="1187" w:type="dxa"/>
            <w:tcBorders>
              <w:top w:val="dashed" w:sz="4" w:space="0" w:color="auto"/>
              <w:bottom w:val="dashed" w:sz="4" w:space="0" w:color="auto"/>
            </w:tcBorders>
            <w:tcMar>
              <w:left w:w="57" w:type="dxa"/>
              <w:right w:w="57" w:type="dxa"/>
            </w:tcMar>
            <w:vAlign w:val="center"/>
          </w:tcPr>
          <w:p w14:paraId="0D116A43" w14:textId="77777777" w:rsidR="003D3694" w:rsidRPr="00747E35" w:rsidRDefault="003D3694" w:rsidP="0096743A">
            <w:pPr>
              <w:pStyle w:val="Tabletext"/>
              <w:spacing w:before="0" w:after="0"/>
              <w:rPr>
                <w:rFonts w:cstheme="minorHAnsi"/>
                <w:sz w:val="16"/>
              </w:rPr>
            </w:pPr>
            <w:r w:rsidRPr="00747E35">
              <w:rPr>
                <w:rFonts w:cstheme="minorHAnsi"/>
                <w:sz w:val="16"/>
              </w:rPr>
              <w:t>39.5</w:t>
            </w:r>
          </w:p>
        </w:tc>
        <w:tc>
          <w:tcPr>
            <w:tcW w:w="614" w:type="dxa"/>
            <w:tcBorders>
              <w:top w:val="dashed" w:sz="4" w:space="0" w:color="auto"/>
              <w:bottom w:val="dashed" w:sz="4" w:space="0" w:color="auto"/>
            </w:tcBorders>
            <w:tcMar>
              <w:left w:w="57" w:type="dxa"/>
              <w:right w:w="57" w:type="dxa"/>
            </w:tcMar>
            <w:vAlign w:val="center"/>
          </w:tcPr>
          <w:p w14:paraId="70263433" w14:textId="77777777" w:rsidR="003D3694" w:rsidRPr="00747E35" w:rsidRDefault="003D3694" w:rsidP="0096743A">
            <w:pPr>
              <w:pStyle w:val="Tabletext"/>
              <w:spacing w:before="0" w:after="0"/>
              <w:rPr>
                <w:rFonts w:cstheme="minorHAnsi"/>
                <w:sz w:val="16"/>
              </w:rPr>
            </w:pPr>
            <w:r w:rsidRPr="00747E35">
              <w:rPr>
                <w:rFonts w:cstheme="minorHAnsi"/>
                <w:sz w:val="16"/>
              </w:rPr>
              <w:t>1980</w:t>
            </w:r>
          </w:p>
        </w:tc>
      </w:tr>
      <w:tr w:rsidR="003D3694" w:rsidRPr="00747E35" w14:paraId="3DAC68BD" w14:textId="77777777" w:rsidTr="0096743A">
        <w:trPr>
          <w:trHeight w:val="140"/>
        </w:trPr>
        <w:tc>
          <w:tcPr>
            <w:tcW w:w="892" w:type="dxa"/>
            <w:tcBorders>
              <w:top w:val="dashed" w:sz="4" w:space="0" w:color="auto"/>
              <w:bottom w:val="dashed" w:sz="4" w:space="0" w:color="auto"/>
            </w:tcBorders>
            <w:tcMar>
              <w:left w:w="57" w:type="dxa"/>
              <w:right w:w="57" w:type="dxa"/>
            </w:tcMar>
            <w:vAlign w:val="center"/>
          </w:tcPr>
          <w:p w14:paraId="0E46D7FF" w14:textId="77777777" w:rsidR="003D3694" w:rsidRPr="00747E35" w:rsidRDefault="003D3694" w:rsidP="0096743A">
            <w:pPr>
              <w:pStyle w:val="Tabletext"/>
              <w:spacing w:before="0" w:after="0"/>
              <w:rPr>
                <w:rFonts w:cstheme="minorHAnsi"/>
                <w:sz w:val="16"/>
              </w:rPr>
            </w:pPr>
            <w:r w:rsidRPr="00747E35">
              <w:rPr>
                <w:rFonts w:cstheme="minorHAnsi"/>
                <w:sz w:val="16"/>
              </w:rPr>
              <w:t>Coulson Creek</w:t>
            </w:r>
          </w:p>
        </w:tc>
        <w:tc>
          <w:tcPr>
            <w:tcW w:w="1011" w:type="dxa"/>
            <w:tcBorders>
              <w:top w:val="dashed" w:sz="4" w:space="0" w:color="auto"/>
              <w:bottom w:val="dashed" w:sz="4" w:space="0" w:color="auto"/>
            </w:tcBorders>
            <w:tcMar>
              <w:left w:w="57" w:type="dxa"/>
              <w:right w:w="57" w:type="dxa"/>
            </w:tcMar>
            <w:vAlign w:val="center"/>
          </w:tcPr>
          <w:p w14:paraId="4ED91320" w14:textId="77777777" w:rsidR="003D3694" w:rsidRPr="00747E35" w:rsidRDefault="003D3694" w:rsidP="0096743A">
            <w:pPr>
              <w:pStyle w:val="Tabletext"/>
              <w:spacing w:before="0" w:after="0"/>
              <w:rPr>
                <w:rFonts w:cstheme="minorHAnsi"/>
                <w:sz w:val="16"/>
              </w:rPr>
            </w:pPr>
            <w:r w:rsidRPr="00747E35">
              <w:rPr>
                <w:rFonts w:cstheme="minorHAnsi"/>
                <w:sz w:val="16"/>
              </w:rPr>
              <w:t>15.6</w:t>
            </w:r>
          </w:p>
        </w:tc>
        <w:tc>
          <w:tcPr>
            <w:tcW w:w="1155" w:type="dxa"/>
            <w:tcBorders>
              <w:top w:val="dashed" w:sz="4" w:space="0" w:color="auto"/>
              <w:bottom w:val="dashed" w:sz="4" w:space="0" w:color="auto"/>
            </w:tcBorders>
            <w:tcMar>
              <w:left w:w="57" w:type="dxa"/>
              <w:right w:w="57" w:type="dxa"/>
            </w:tcMar>
            <w:vAlign w:val="center"/>
          </w:tcPr>
          <w:p w14:paraId="78BF8305" w14:textId="77777777" w:rsidR="003D3694" w:rsidRPr="00747E35" w:rsidRDefault="003D3694" w:rsidP="0096743A">
            <w:pPr>
              <w:pStyle w:val="Tabletext"/>
              <w:spacing w:before="0" w:after="0"/>
              <w:rPr>
                <w:rFonts w:cstheme="minorHAnsi"/>
                <w:sz w:val="16"/>
              </w:rPr>
            </w:pPr>
            <w:r w:rsidRPr="00747E35">
              <w:rPr>
                <w:rFonts w:cstheme="minorHAnsi"/>
                <w:sz w:val="16"/>
              </w:rPr>
              <w:t>240</w:t>
            </w:r>
          </w:p>
        </w:tc>
        <w:tc>
          <w:tcPr>
            <w:tcW w:w="1082" w:type="dxa"/>
            <w:tcBorders>
              <w:top w:val="dashed" w:sz="4" w:space="0" w:color="auto"/>
              <w:bottom w:val="dashed" w:sz="4" w:space="0" w:color="auto"/>
            </w:tcBorders>
            <w:tcMar>
              <w:left w:w="57" w:type="dxa"/>
              <w:right w:w="57" w:type="dxa"/>
            </w:tcMar>
            <w:vAlign w:val="center"/>
          </w:tcPr>
          <w:p w14:paraId="66125332" w14:textId="77777777" w:rsidR="003D3694" w:rsidRPr="00747E35" w:rsidRDefault="003D3694" w:rsidP="0096743A">
            <w:pPr>
              <w:pStyle w:val="Tabletext"/>
              <w:spacing w:before="0" w:after="0"/>
              <w:rPr>
                <w:rFonts w:cstheme="minorHAnsi"/>
                <w:sz w:val="16"/>
              </w:rPr>
            </w:pPr>
            <w:r w:rsidRPr="00747E35">
              <w:rPr>
                <w:rFonts w:cstheme="minorHAnsi"/>
                <w:sz w:val="16"/>
              </w:rPr>
              <w:t>18.0</w:t>
            </w:r>
          </w:p>
        </w:tc>
        <w:tc>
          <w:tcPr>
            <w:tcW w:w="774" w:type="dxa"/>
            <w:tcBorders>
              <w:top w:val="dashed" w:sz="4" w:space="0" w:color="auto"/>
              <w:bottom w:val="dashed" w:sz="4" w:space="0" w:color="auto"/>
            </w:tcBorders>
            <w:tcMar>
              <w:left w:w="57" w:type="dxa"/>
              <w:right w:w="57" w:type="dxa"/>
            </w:tcMar>
            <w:vAlign w:val="center"/>
          </w:tcPr>
          <w:p w14:paraId="680E9315" w14:textId="77777777" w:rsidR="003D3694" w:rsidRPr="00747E35" w:rsidRDefault="003D3694" w:rsidP="0096743A">
            <w:pPr>
              <w:pStyle w:val="Tabletext"/>
              <w:spacing w:before="0" w:after="0"/>
              <w:rPr>
                <w:rFonts w:cstheme="minorHAnsi"/>
                <w:sz w:val="16"/>
              </w:rPr>
            </w:pPr>
            <w:r w:rsidRPr="00747E35">
              <w:rPr>
                <w:rFonts w:cstheme="minorHAnsi"/>
                <w:sz w:val="16"/>
              </w:rPr>
              <w:t>995</w:t>
            </w:r>
          </w:p>
        </w:tc>
        <w:tc>
          <w:tcPr>
            <w:tcW w:w="813" w:type="dxa"/>
            <w:tcBorders>
              <w:top w:val="dashed" w:sz="4" w:space="0" w:color="auto"/>
              <w:bottom w:val="dashed" w:sz="4" w:space="0" w:color="auto"/>
            </w:tcBorders>
            <w:tcMar>
              <w:left w:w="57" w:type="dxa"/>
              <w:right w:w="57" w:type="dxa"/>
            </w:tcMar>
            <w:vAlign w:val="center"/>
          </w:tcPr>
          <w:p w14:paraId="122D7861" w14:textId="77777777" w:rsidR="003D3694" w:rsidRPr="00747E35" w:rsidRDefault="003D3694" w:rsidP="0096743A">
            <w:pPr>
              <w:pStyle w:val="Tabletext"/>
              <w:spacing w:before="0" w:after="0"/>
              <w:rPr>
                <w:rFonts w:cstheme="minorHAnsi"/>
                <w:sz w:val="16"/>
              </w:rPr>
            </w:pPr>
            <w:r w:rsidRPr="00747E35">
              <w:rPr>
                <w:rFonts w:cstheme="minorHAnsi"/>
                <w:sz w:val="16"/>
              </w:rPr>
              <w:t>1561</w:t>
            </w:r>
          </w:p>
        </w:tc>
        <w:tc>
          <w:tcPr>
            <w:tcW w:w="477" w:type="dxa"/>
            <w:tcBorders>
              <w:top w:val="dashed" w:sz="4" w:space="0" w:color="auto"/>
              <w:bottom w:val="dashed" w:sz="4" w:space="0" w:color="auto"/>
            </w:tcBorders>
            <w:tcMar>
              <w:left w:w="57" w:type="dxa"/>
              <w:right w:w="57" w:type="dxa"/>
            </w:tcMar>
            <w:vAlign w:val="center"/>
          </w:tcPr>
          <w:p w14:paraId="756FDC5B" w14:textId="77777777" w:rsidR="003D3694" w:rsidRPr="00747E35" w:rsidRDefault="003D3694" w:rsidP="0096743A">
            <w:pPr>
              <w:pStyle w:val="Tabletext"/>
              <w:spacing w:before="0" w:after="0"/>
              <w:rPr>
                <w:rFonts w:cstheme="minorHAnsi"/>
                <w:sz w:val="16"/>
              </w:rPr>
            </w:pPr>
            <w:r w:rsidRPr="00747E35">
              <w:rPr>
                <w:rFonts w:cstheme="minorHAnsi"/>
                <w:sz w:val="16"/>
              </w:rPr>
              <w:t>0.05</w:t>
            </w:r>
          </w:p>
        </w:tc>
        <w:tc>
          <w:tcPr>
            <w:tcW w:w="1187" w:type="dxa"/>
            <w:tcBorders>
              <w:top w:val="dashed" w:sz="4" w:space="0" w:color="auto"/>
              <w:bottom w:val="dashed" w:sz="4" w:space="0" w:color="auto"/>
            </w:tcBorders>
            <w:tcMar>
              <w:left w:w="57" w:type="dxa"/>
              <w:right w:w="57" w:type="dxa"/>
            </w:tcMar>
            <w:vAlign w:val="center"/>
          </w:tcPr>
          <w:p w14:paraId="5F6574F6" w14:textId="77777777" w:rsidR="003D3694" w:rsidRPr="00747E35" w:rsidRDefault="003D3694" w:rsidP="0096743A">
            <w:pPr>
              <w:pStyle w:val="Tabletext"/>
              <w:spacing w:before="0" w:after="0"/>
              <w:rPr>
                <w:rFonts w:cstheme="minorHAnsi"/>
                <w:sz w:val="16"/>
              </w:rPr>
            </w:pPr>
            <w:r w:rsidRPr="00747E35">
              <w:rPr>
                <w:rFonts w:cstheme="minorHAnsi"/>
                <w:sz w:val="16"/>
              </w:rPr>
              <w:t>77.8</w:t>
            </w:r>
          </w:p>
        </w:tc>
        <w:tc>
          <w:tcPr>
            <w:tcW w:w="1187" w:type="dxa"/>
            <w:tcBorders>
              <w:top w:val="dashed" w:sz="4" w:space="0" w:color="auto"/>
              <w:bottom w:val="dashed" w:sz="4" w:space="0" w:color="auto"/>
            </w:tcBorders>
            <w:tcMar>
              <w:left w:w="57" w:type="dxa"/>
              <w:right w:w="57" w:type="dxa"/>
            </w:tcMar>
            <w:vAlign w:val="center"/>
          </w:tcPr>
          <w:p w14:paraId="5244DC67" w14:textId="77777777" w:rsidR="003D3694" w:rsidRPr="00747E35" w:rsidRDefault="003D3694" w:rsidP="0096743A">
            <w:pPr>
              <w:pStyle w:val="Tabletext"/>
              <w:spacing w:before="0" w:after="0"/>
              <w:rPr>
                <w:rFonts w:cstheme="minorHAnsi"/>
                <w:sz w:val="16"/>
              </w:rPr>
            </w:pPr>
            <w:r w:rsidRPr="00747E35">
              <w:rPr>
                <w:rFonts w:cstheme="minorHAnsi"/>
                <w:sz w:val="16"/>
              </w:rPr>
              <w:t>57.4</w:t>
            </w:r>
          </w:p>
        </w:tc>
        <w:tc>
          <w:tcPr>
            <w:tcW w:w="614" w:type="dxa"/>
            <w:tcBorders>
              <w:top w:val="dashed" w:sz="4" w:space="0" w:color="auto"/>
              <w:bottom w:val="dashed" w:sz="4" w:space="0" w:color="auto"/>
            </w:tcBorders>
            <w:tcMar>
              <w:left w:w="57" w:type="dxa"/>
              <w:right w:w="57" w:type="dxa"/>
            </w:tcMar>
            <w:vAlign w:val="center"/>
          </w:tcPr>
          <w:p w14:paraId="36C84FDB" w14:textId="77777777" w:rsidR="003D3694" w:rsidRPr="00747E35" w:rsidRDefault="003D3694" w:rsidP="0096743A">
            <w:pPr>
              <w:pStyle w:val="Tabletext"/>
              <w:spacing w:before="0" w:after="0"/>
              <w:rPr>
                <w:rFonts w:cstheme="minorHAnsi"/>
                <w:sz w:val="16"/>
              </w:rPr>
            </w:pPr>
            <w:r w:rsidRPr="00747E35">
              <w:rPr>
                <w:rFonts w:cstheme="minorHAnsi"/>
                <w:sz w:val="16"/>
              </w:rPr>
              <w:t>3247</w:t>
            </w:r>
          </w:p>
        </w:tc>
      </w:tr>
      <w:tr w:rsidR="003D3694" w:rsidRPr="00747E35" w14:paraId="44DBFFE0" w14:textId="77777777" w:rsidTr="0096743A">
        <w:trPr>
          <w:trHeight w:val="140"/>
        </w:trPr>
        <w:tc>
          <w:tcPr>
            <w:tcW w:w="892" w:type="dxa"/>
            <w:tcBorders>
              <w:top w:val="dashed" w:sz="4" w:space="0" w:color="auto"/>
              <w:bottom w:val="dashed" w:sz="4" w:space="0" w:color="auto"/>
            </w:tcBorders>
            <w:tcMar>
              <w:left w:w="57" w:type="dxa"/>
              <w:right w:w="57" w:type="dxa"/>
            </w:tcMar>
            <w:vAlign w:val="center"/>
          </w:tcPr>
          <w:p w14:paraId="1A3AEEE2" w14:textId="77777777" w:rsidR="003D3694" w:rsidRPr="00747E35" w:rsidRDefault="003D3694" w:rsidP="0096743A">
            <w:pPr>
              <w:pStyle w:val="Tabletext"/>
              <w:spacing w:before="0" w:after="0"/>
              <w:rPr>
                <w:rFonts w:cstheme="minorHAnsi"/>
                <w:sz w:val="16"/>
              </w:rPr>
            </w:pPr>
            <w:r w:rsidRPr="00747E35">
              <w:rPr>
                <w:rFonts w:cstheme="minorHAnsi"/>
                <w:sz w:val="16"/>
              </w:rPr>
              <w:t>Wild Cattle Creek</w:t>
            </w:r>
          </w:p>
        </w:tc>
        <w:tc>
          <w:tcPr>
            <w:tcW w:w="1011" w:type="dxa"/>
            <w:tcBorders>
              <w:top w:val="dashed" w:sz="4" w:space="0" w:color="auto"/>
              <w:bottom w:val="dashed" w:sz="4" w:space="0" w:color="auto"/>
            </w:tcBorders>
            <w:tcMar>
              <w:left w:w="57" w:type="dxa"/>
              <w:right w:w="57" w:type="dxa"/>
            </w:tcMar>
            <w:vAlign w:val="center"/>
          </w:tcPr>
          <w:p w14:paraId="61EB0DDF" w14:textId="77777777" w:rsidR="003D3694" w:rsidRPr="00747E35" w:rsidRDefault="003D3694" w:rsidP="0096743A">
            <w:pPr>
              <w:pStyle w:val="Tabletext"/>
              <w:spacing w:before="0" w:after="0"/>
              <w:rPr>
                <w:rFonts w:cstheme="minorHAnsi"/>
                <w:sz w:val="16"/>
              </w:rPr>
            </w:pPr>
            <w:r w:rsidRPr="00747E35">
              <w:rPr>
                <w:rFonts w:cstheme="minorHAnsi"/>
                <w:sz w:val="16"/>
              </w:rPr>
              <w:t>45.3</w:t>
            </w:r>
          </w:p>
        </w:tc>
        <w:tc>
          <w:tcPr>
            <w:tcW w:w="1155" w:type="dxa"/>
            <w:tcBorders>
              <w:top w:val="dashed" w:sz="4" w:space="0" w:color="auto"/>
              <w:bottom w:val="dashed" w:sz="4" w:space="0" w:color="auto"/>
            </w:tcBorders>
            <w:tcMar>
              <w:left w:w="57" w:type="dxa"/>
              <w:right w:w="57" w:type="dxa"/>
            </w:tcMar>
            <w:vAlign w:val="center"/>
          </w:tcPr>
          <w:p w14:paraId="117FFF94" w14:textId="77777777" w:rsidR="003D3694" w:rsidRPr="00747E35" w:rsidRDefault="003D3694" w:rsidP="0096743A">
            <w:pPr>
              <w:pStyle w:val="Tabletext"/>
              <w:spacing w:before="0" w:after="0"/>
              <w:rPr>
                <w:rFonts w:cstheme="minorHAnsi"/>
                <w:sz w:val="16"/>
              </w:rPr>
            </w:pPr>
            <w:r w:rsidRPr="00747E35">
              <w:rPr>
                <w:rFonts w:cstheme="minorHAnsi"/>
                <w:sz w:val="16"/>
              </w:rPr>
              <w:t>165</w:t>
            </w:r>
          </w:p>
        </w:tc>
        <w:tc>
          <w:tcPr>
            <w:tcW w:w="1082" w:type="dxa"/>
            <w:tcBorders>
              <w:top w:val="dashed" w:sz="4" w:space="0" w:color="auto"/>
              <w:bottom w:val="dashed" w:sz="4" w:space="0" w:color="auto"/>
            </w:tcBorders>
            <w:tcMar>
              <w:left w:w="57" w:type="dxa"/>
              <w:right w:w="57" w:type="dxa"/>
            </w:tcMar>
            <w:vAlign w:val="center"/>
          </w:tcPr>
          <w:p w14:paraId="767C82E4" w14:textId="77777777" w:rsidR="003D3694" w:rsidRPr="00747E35" w:rsidRDefault="003D3694" w:rsidP="0096743A">
            <w:pPr>
              <w:pStyle w:val="Tabletext"/>
              <w:spacing w:before="0" w:after="0"/>
              <w:rPr>
                <w:rFonts w:cstheme="minorHAnsi"/>
                <w:sz w:val="16"/>
              </w:rPr>
            </w:pPr>
            <w:r w:rsidRPr="00747E35">
              <w:rPr>
                <w:rFonts w:cstheme="minorHAnsi"/>
                <w:sz w:val="16"/>
              </w:rPr>
              <w:t>18.3</w:t>
            </w:r>
          </w:p>
        </w:tc>
        <w:tc>
          <w:tcPr>
            <w:tcW w:w="774" w:type="dxa"/>
            <w:tcBorders>
              <w:top w:val="dashed" w:sz="4" w:space="0" w:color="auto"/>
              <w:bottom w:val="dashed" w:sz="4" w:space="0" w:color="auto"/>
            </w:tcBorders>
            <w:tcMar>
              <w:left w:w="57" w:type="dxa"/>
              <w:right w:w="57" w:type="dxa"/>
            </w:tcMar>
            <w:vAlign w:val="center"/>
          </w:tcPr>
          <w:p w14:paraId="21B65286" w14:textId="77777777" w:rsidR="003D3694" w:rsidRPr="00747E35" w:rsidRDefault="003D3694" w:rsidP="0096743A">
            <w:pPr>
              <w:pStyle w:val="Tabletext"/>
              <w:spacing w:before="0" w:after="0"/>
              <w:rPr>
                <w:rFonts w:cstheme="minorHAnsi"/>
                <w:sz w:val="16"/>
              </w:rPr>
            </w:pPr>
            <w:r w:rsidRPr="00747E35">
              <w:rPr>
                <w:rFonts w:cstheme="minorHAnsi"/>
                <w:sz w:val="16"/>
              </w:rPr>
              <w:t>1023</w:t>
            </w:r>
          </w:p>
        </w:tc>
        <w:tc>
          <w:tcPr>
            <w:tcW w:w="813" w:type="dxa"/>
            <w:tcBorders>
              <w:top w:val="dashed" w:sz="4" w:space="0" w:color="auto"/>
              <w:bottom w:val="dashed" w:sz="4" w:space="0" w:color="auto"/>
            </w:tcBorders>
            <w:tcMar>
              <w:left w:w="57" w:type="dxa"/>
              <w:right w:w="57" w:type="dxa"/>
            </w:tcMar>
            <w:vAlign w:val="center"/>
          </w:tcPr>
          <w:p w14:paraId="6A88B585" w14:textId="77777777" w:rsidR="003D3694" w:rsidRPr="00747E35" w:rsidRDefault="003D3694" w:rsidP="0096743A">
            <w:pPr>
              <w:pStyle w:val="Tabletext"/>
              <w:spacing w:before="0" w:after="0"/>
              <w:rPr>
                <w:rFonts w:cstheme="minorHAnsi"/>
                <w:sz w:val="16"/>
              </w:rPr>
            </w:pPr>
            <w:r w:rsidRPr="00747E35">
              <w:rPr>
                <w:rFonts w:cstheme="minorHAnsi"/>
                <w:sz w:val="16"/>
              </w:rPr>
              <w:t>3707</w:t>
            </w:r>
          </w:p>
        </w:tc>
        <w:tc>
          <w:tcPr>
            <w:tcW w:w="477" w:type="dxa"/>
            <w:tcBorders>
              <w:top w:val="dashed" w:sz="4" w:space="0" w:color="auto"/>
              <w:bottom w:val="dashed" w:sz="4" w:space="0" w:color="auto"/>
            </w:tcBorders>
            <w:tcMar>
              <w:left w:w="57" w:type="dxa"/>
              <w:right w:w="57" w:type="dxa"/>
            </w:tcMar>
            <w:vAlign w:val="center"/>
          </w:tcPr>
          <w:p w14:paraId="19A89D2A" w14:textId="77777777" w:rsidR="003D3694" w:rsidRPr="00747E35" w:rsidRDefault="003D3694" w:rsidP="0096743A">
            <w:pPr>
              <w:pStyle w:val="Tabletext"/>
              <w:spacing w:before="0" w:after="0"/>
              <w:rPr>
                <w:rFonts w:cstheme="minorHAnsi"/>
                <w:sz w:val="16"/>
              </w:rPr>
            </w:pPr>
            <w:r w:rsidRPr="00747E35">
              <w:rPr>
                <w:rFonts w:cstheme="minorHAnsi"/>
                <w:sz w:val="16"/>
              </w:rPr>
              <w:t>0.07</w:t>
            </w:r>
          </w:p>
        </w:tc>
        <w:tc>
          <w:tcPr>
            <w:tcW w:w="1187" w:type="dxa"/>
            <w:tcBorders>
              <w:top w:val="dashed" w:sz="4" w:space="0" w:color="auto"/>
              <w:bottom w:val="dashed" w:sz="4" w:space="0" w:color="auto"/>
            </w:tcBorders>
            <w:tcMar>
              <w:left w:w="57" w:type="dxa"/>
              <w:right w:w="57" w:type="dxa"/>
            </w:tcMar>
            <w:vAlign w:val="center"/>
          </w:tcPr>
          <w:p w14:paraId="74A212AC" w14:textId="77777777" w:rsidR="003D3694" w:rsidRPr="00747E35" w:rsidRDefault="003D3694" w:rsidP="0096743A">
            <w:pPr>
              <w:pStyle w:val="Tabletext"/>
              <w:spacing w:before="0" w:after="0"/>
              <w:rPr>
                <w:rFonts w:cstheme="minorHAnsi"/>
                <w:sz w:val="16"/>
              </w:rPr>
            </w:pPr>
            <w:r w:rsidRPr="00747E35">
              <w:rPr>
                <w:rFonts w:cstheme="minorHAnsi"/>
                <w:sz w:val="16"/>
              </w:rPr>
              <w:t>57.0</w:t>
            </w:r>
          </w:p>
        </w:tc>
        <w:tc>
          <w:tcPr>
            <w:tcW w:w="1187" w:type="dxa"/>
            <w:tcBorders>
              <w:top w:val="dashed" w:sz="4" w:space="0" w:color="auto"/>
              <w:bottom w:val="dashed" w:sz="4" w:space="0" w:color="auto"/>
            </w:tcBorders>
            <w:tcMar>
              <w:left w:w="57" w:type="dxa"/>
              <w:right w:w="57" w:type="dxa"/>
            </w:tcMar>
            <w:vAlign w:val="center"/>
          </w:tcPr>
          <w:p w14:paraId="08B33617" w14:textId="77777777" w:rsidR="003D3694" w:rsidRPr="00747E35" w:rsidRDefault="003D3694" w:rsidP="0096743A">
            <w:pPr>
              <w:pStyle w:val="Tabletext"/>
              <w:spacing w:before="0" w:after="0"/>
              <w:rPr>
                <w:rFonts w:cstheme="minorHAnsi"/>
                <w:sz w:val="16"/>
              </w:rPr>
            </w:pPr>
            <w:r w:rsidRPr="00747E35">
              <w:rPr>
                <w:rFonts w:cstheme="minorHAnsi"/>
                <w:sz w:val="16"/>
              </w:rPr>
              <w:t>28.6</w:t>
            </w:r>
          </w:p>
        </w:tc>
        <w:tc>
          <w:tcPr>
            <w:tcW w:w="614" w:type="dxa"/>
            <w:tcBorders>
              <w:top w:val="dashed" w:sz="4" w:space="0" w:color="auto"/>
              <w:bottom w:val="dashed" w:sz="4" w:space="0" w:color="auto"/>
            </w:tcBorders>
            <w:tcMar>
              <w:left w:w="57" w:type="dxa"/>
              <w:right w:w="57" w:type="dxa"/>
            </w:tcMar>
            <w:vAlign w:val="center"/>
          </w:tcPr>
          <w:p w14:paraId="5E2ECF85" w14:textId="77777777" w:rsidR="003D3694" w:rsidRPr="00747E35" w:rsidRDefault="003D3694" w:rsidP="0096743A">
            <w:pPr>
              <w:pStyle w:val="Tabletext"/>
              <w:spacing w:before="0" w:after="0"/>
              <w:rPr>
                <w:rFonts w:cstheme="minorHAnsi"/>
                <w:sz w:val="16"/>
              </w:rPr>
            </w:pPr>
            <w:r w:rsidRPr="00747E35">
              <w:rPr>
                <w:rFonts w:cstheme="minorHAnsi"/>
                <w:sz w:val="16"/>
              </w:rPr>
              <w:t>2343</w:t>
            </w:r>
          </w:p>
        </w:tc>
      </w:tr>
      <w:tr w:rsidR="003D3694" w:rsidRPr="00747E35" w14:paraId="738E68C1" w14:textId="77777777" w:rsidTr="0096743A">
        <w:trPr>
          <w:trHeight w:val="140"/>
        </w:trPr>
        <w:tc>
          <w:tcPr>
            <w:tcW w:w="892" w:type="dxa"/>
            <w:tcBorders>
              <w:top w:val="dashed" w:sz="4" w:space="0" w:color="auto"/>
              <w:bottom w:val="single" w:sz="4" w:space="0" w:color="auto"/>
            </w:tcBorders>
            <w:tcMar>
              <w:left w:w="57" w:type="dxa"/>
              <w:right w:w="57" w:type="dxa"/>
            </w:tcMar>
            <w:vAlign w:val="center"/>
          </w:tcPr>
          <w:p w14:paraId="46F4170E" w14:textId="77777777" w:rsidR="003D3694" w:rsidRPr="00747E35" w:rsidRDefault="003D3694" w:rsidP="0096743A">
            <w:pPr>
              <w:pStyle w:val="Tabletext"/>
              <w:spacing w:before="0" w:after="0"/>
              <w:rPr>
                <w:rFonts w:cstheme="minorHAnsi"/>
                <w:sz w:val="16"/>
              </w:rPr>
            </w:pPr>
            <w:r w:rsidRPr="00747E35">
              <w:rPr>
                <w:rFonts w:cstheme="minorHAnsi"/>
                <w:sz w:val="16"/>
              </w:rPr>
              <w:t>Reynolds Creek</w:t>
            </w:r>
          </w:p>
        </w:tc>
        <w:tc>
          <w:tcPr>
            <w:tcW w:w="1011" w:type="dxa"/>
            <w:tcBorders>
              <w:top w:val="dashed" w:sz="4" w:space="0" w:color="auto"/>
              <w:bottom w:val="single" w:sz="4" w:space="0" w:color="auto"/>
            </w:tcBorders>
            <w:tcMar>
              <w:left w:w="57" w:type="dxa"/>
              <w:right w:w="57" w:type="dxa"/>
            </w:tcMar>
            <w:vAlign w:val="center"/>
          </w:tcPr>
          <w:p w14:paraId="1D255665" w14:textId="77777777" w:rsidR="003D3694" w:rsidRPr="00747E35" w:rsidRDefault="003D3694" w:rsidP="0096743A">
            <w:pPr>
              <w:pStyle w:val="Tabletext"/>
              <w:spacing w:before="0" w:after="0"/>
              <w:rPr>
                <w:rFonts w:cstheme="minorHAnsi"/>
                <w:sz w:val="16"/>
              </w:rPr>
            </w:pPr>
            <w:r w:rsidRPr="00747E35">
              <w:rPr>
                <w:rFonts w:cstheme="minorHAnsi"/>
                <w:sz w:val="16"/>
              </w:rPr>
              <w:t>38.2</w:t>
            </w:r>
          </w:p>
        </w:tc>
        <w:tc>
          <w:tcPr>
            <w:tcW w:w="1155" w:type="dxa"/>
            <w:tcBorders>
              <w:top w:val="dashed" w:sz="4" w:space="0" w:color="auto"/>
              <w:bottom w:val="single" w:sz="4" w:space="0" w:color="auto"/>
            </w:tcBorders>
            <w:tcMar>
              <w:left w:w="57" w:type="dxa"/>
              <w:right w:w="57" w:type="dxa"/>
            </w:tcMar>
            <w:vAlign w:val="center"/>
          </w:tcPr>
          <w:p w14:paraId="3C702028" w14:textId="77777777" w:rsidR="003D3694" w:rsidRPr="00747E35" w:rsidRDefault="003D3694" w:rsidP="0096743A">
            <w:pPr>
              <w:pStyle w:val="Tabletext"/>
              <w:spacing w:before="0" w:after="0"/>
              <w:rPr>
                <w:rFonts w:cstheme="minorHAnsi"/>
                <w:sz w:val="16"/>
              </w:rPr>
            </w:pPr>
            <w:r w:rsidRPr="00747E35">
              <w:rPr>
                <w:rFonts w:cstheme="minorHAnsi"/>
                <w:sz w:val="16"/>
              </w:rPr>
              <w:t>172</w:t>
            </w:r>
          </w:p>
        </w:tc>
        <w:tc>
          <w:tcPr>
            <w:tcW w:w="1082" w:type="dxa"/>
            <w:tcBorders>
              <w:top w:val="dashed" w:sz="4" w:space="0" w:color="auto"/>
              <w:bottom w:val="single" w:sz="4" w:space="0" w:color="auto"/>
            </w:tcBorders>
            <w:tcMar>
              <w:left w:w="57" w:type="dxa"/>
              <w:right w:w="57" w:type="dxa"/>
            </w:tcMar>
            <w:vAlign w:val="center"/>
          </w:tcPr>
          <w:p w14:paraId="348E729A" w14:textId="77777777" w:rsidR="003D3694" w:rsidRPr="00747E35" w:rsidRDefault="003D3694" w:rsidP="0096743A">
            <w:pPr>
              <w:pStyle w:val="Tabletext"/>
              <w:spacing w:before="0" w:after="0"/>
              <w:rPr>
                <w:rFonts w:cstheme="minorHAnsi"/>
                <w:sz w:val="16"/>
              </w:rPr>
            </w:pPr>
            <w:r w:rsidRPr="00747E35">
              <w:rPr>
                <w:rFonts w:cstheme="minorHAnsi"/>
                <w:sz w:val="16"/>
              </w:rPr>
              <w:t>18.3</w:t>
            </w:r>
          </w:p>
        </w:tc>
        <w:tc>
          <w:tcPr>
            <w:tcW w:w="774" w:type="dxa"/>
            <w:tcBorders>
              <w:top w:val="dashed" w:sz="4" w:space="0" w:color="auto"/>
              <w:bottom w:val="single" w:sz="4" w:space="0" w:color="auto"/>
            </w:tcBorders>
            <w:tcMar>
              <w:left w:w="57" w:type="dxa"/>
              <w:right w:w="57" w:type="dxa"/>
            </w:tcMar>
            <w:vAlign w:val="center"/>
          </w:tcPr>
          <w:p w14:paraId="57CF5024" w14:textId="77777777" w:rsidR="003D3694" w:rsidRPr="00747E35" w:rsidRDefault="003D3694" w:rsidP="0096743A">
            <w:pPr>
              <w:pStyle w:val="Tabletext"/>
              <w:spacing w:before="0" w:after="0"/>
              <w:rPr>
                <w:rFonts w:cstheme="minorHAnsi"/>
                <w:sz w:val="16"/>
              </w:rPr>
            </w:pPr>
            <w:r w:rsidRPr="00747E35">
              <w:rPr>
                <w:rFonts w:cstheme="minorHAnsi"/>
                <w:sz w:val="16"/>
              </w:rPr>
              <w:t>1028</w:t>
            </w:r>
          </w:p>
        </w:tc>
        <w:tc>
          <w:tcPr>
            <w:tcW w:w="813" w:type="dxa"/>
            <w:tcBorders>
              <w:top w:val="dashed" w:sz="4" w:space="0" w:color="auto"/>
              <w:bottom w:val="single" w:sz="4" w:space="0" w:color="auto"/>
            </w:tcBorders>
            <w:tcMar>
              <w:left w:w="57" w:type="dxa"/>
              <w:right w:w="57" w:type="dxa"/>
            </w:tcMar>
            <w:vAlign w:val="center"/>
          </w:tcPr>
          <w:p w14:paraId="474258E2" w14:textId="77777777" w:rsidR="003D3694" w:rsidRPr="00747E35" w:rsidRDefault="003D3694" w:rsidP="0096743A">
            <w:pPr>
              <w:pStyle w:val="Tabletext"/>
              <w:spacing w:before="0" w:after="0"/>
              <w:rPr>
                <w:rFonts w:cstheme="minorHAnsi"/>
                <w:sz w:val="16"/>
              </w:rPr>
            </w:pPr>
            <w:r w:rsidRPr="00747E35">
              <w:rPr>
                <w:rFonts w:cstheme="minorHAnsi"/>
                <w:sz w:val="16"/>
              </w:rPr>
              <w:t>3429</w:t>
            </w:r>
          </w:p>
        </w:tc>
        <w:tc>
          <w:tcPr>
            <w:tcW w:w="477" w:type="dxa"/>
            <w:tcBorders>
              <w:top w:val="dashed" w:sz="4" w:space="0" w:color="auto"/>
              <w:bottom w:val="single" w:sz="4" w:space="0" w:color="auto"/>
            </w:tcBorders>
            <w:tcMar>
              <w:left w:w="57" w:type="dxa"/>
              <w:right w:w="57" w:type="dxa"/>
            </w:tcMar>
            <w:vAlign w:val="center"/>
          </w:tcPr>
          <w:p w14:paraId="5758ADD7" w14:textId="77777777" w:rsidR="003D3694" w:rsidRPr="00747E35" w:rsidRDefault="003D3694" w:rsidP="0096743A">
            <w:pPr>
              <w:pStyle w:val="Tabletext"/>
              <w:spacing w:before="0" w:after="0"/>
              <w:rPr>
                <w:rFonts w:cstheme="minorHAnsi"/>
                <w:sz w:val="16"/>
              </w:rPr>
            </w:pPr>
            <w:r w:rsidRPr="00747E35">
              <w:rPr>
                <w:rFonts w:cstheme="minorHAnsi"/>
                <w:sz w:val="16"/>
              </w:rPr>
              <w:t>0.09</w:t>
            </w:r>
          </w:p>
        </w:tc>
        <w:tc>
          <w:tcPr>
            <w:tcW w:w="1187" w:type="dxa"/>
            <w:tcBorders>
              <w:top w:val="dashed" w:sz="4" w:space="0" w:color="auto"/>
              <w:bottom w:val="single" w:sz="4" w:space="0" w:color="auto"/>
            </w:tcBorders>
            <w:tcMar>
              <w:left w:w="57" w:type="dxa"/>
              <w:right w:w="57" w:type="dxa"/>
            </w:tcMar>
            <w:vAlign w:val="center"/>
          </w:tcPr>
          <w:p w14:paraId="001205D9" w14:textId="77777777" w:rsidR="003D3694" w:rsidRPr="00747E35" w:rsidRDefault="003D3694" w:rsidP="0096743A">
            <w:pPr>
              <w:pStyle w:val="Tabletext"/>
              <w:spacing w:before="0" w:after="0"/>
              <w:rPr>
                <w:rFonts w:cstheme="minorHAnsi"/>
                <w:sz w:val="16"/>
              </w:rPr>
            </w:pPr>
            <w:r w:rsidRPr="00747E35">
              <w:rPr>
                <w:rFonts w:cstheme="minorHAnsi"/>
                <w:sz w:val="16"/>
              </w:rPr>
              <w:t>73.8</w:t>
            </w:r>
          </w:p>
        </w:tc>
        <w:tc>
          <w:tcPr>
            <w:tcW w:w="1187" w:type="dxa"/>
            <w:tcBorders>
              <w:top w:val="dashed" w:sz="4" w:space="0" w:color="auto"/>
              <w:bottom w:val="single" w:sz="4" w:space="0" w:color="auto"/>
            </w:tcBorders>
            <w:tcMar>
              <w:left w:w="57" w:type="dxa"/>
              <w:right w:w="57" w:type="dxa"/>
            </w:tcMar>
            <w:vAlign w:val="center"/>
          </w:tcPr>
          <w:p w14:paraId="4E770928" w14:textId="77777777" w:rsidR="003D3694" w:rsidRPr="00747E35" w:rsidRDefault="003D3694" w:rsidP="0096743A">
            <w:pPr>
              <w:pStyle w:val="Tabletext"/>
              <w:spacing w:before="0" w:after="0"/>
              <w:rPr>
                <w:rFonts w:cstheme="minorHAnsi"/>
                <w:sz w:val="16"/>
              </w:rPr>
            </w:pPr>
            <w:r w:rsidRPr="00747E35">
              <w:rPr>
                <w:rFonts w:cstheme="minorHAnsi"/>
                <w:sz w:val="16"/>
              </w:rPr>
              <w:t>19.1</w:t>
            </w:r>
          </w:p>
        </w:tc>
        <w:tc>
          <w:tcPr>
            <w:tcW w:w="614" w:type="dxa"/>
            <w:tcBorders>
              <w:top w:val="dashed" w:sz="4" w:space="0" w:color="auto"/>
              <w:bottom w:val="single" w:sz="4" w:space="0" w:color="auto"/>
            </w:tcBorders>
            <w:tcMar>
              <w:left w:w="57" w:type="dxa"/>
              <w:right w:w="57" w:type="dxa"/>
            </w:tcMar>
            <w:vAlign w:val="center"/>
          </w:tcPr>
          <w:p w14:paraId="47A72DA2" w14:textId="77777777" w:rsidR="003D3694" w:rsidRPr="00747E35" w:rsidRDefault="003D3694" w:rsidP="0096743A">
            <w:pPr>
              <w:pStyle w:val="Tabletext"/>
              <w:spacing w:before="0" w:after="0"/>
              <w:rPr>
                <w:rFonts w:cstheme="minorHAnsi"/>
                <w:sz w:val="16"/>
              </w:rPr>
            </w:pPr>
            <w:r w:rsidRPr="00747E35">
              <w:rPr>
                <w:rFonts w:cstheme="minorHAnsi"/>
                <w:sz w:val="16"/>
              </w:rPr>
              <w:t>2963</w:t>
            </w:r>
          </w:p>
        </w:tc>
      </w:tr>
    </w:tbl>
    <w:p w14:paraId="3955AA33" w14:textId="77777777" w:rsidR="003D3694" w:rsidRPr="00747E35" w:rsidRDefault="003D3694" w:rsidP="003D3694">
      <w:pPr>
        <w:rPr>
          <w:rFonts w:asciiTheme="minorHAnsi" w:hAnsiTheme="minorHAnsi" w:cstheme="minorHAnsi"/>
        </w:rPr>
      </w:pPr>
    </w:p>
    <w:p w14:paraId="266F4A8F"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7E1889A8" wp14:editId="42959E46">
            <wp:extent cx="5486400" cy="7751201"/>
            <wp:effectExtent l="0" t="0" r="0" b="0"/>
            <wp:docPr id="7188" name="Picture 7188" descr="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WS_SEQ_Site_map.png"/>
                    <pic:cNvPicPr/>
                  </pic:nvPicPr>
                  <pic:blipFill>
                    <a:blip r:embed="rId80">
                      <a:extLst>
                        <a:ext uri="{28A0092B-C50C-407E-A947-70E740481C1C}">
                          <a14:useLocalDpi xmlns:a14="http://schemas.microsoft.com/office/drawing/2010/main"/>
                        </a:ext>
                      </a:extLst>
                    </a:blip>
                    <a:stretch>
                      <a:fillRect/>
                    </a:stretch>
                  </pic:blipFill>
                  <pic:spPr>
                    <a:xfrm>
                      <a:off x="0" y="0"/>
                      <a:ext cx="5507911" cy="7781592"/>
                    </a:xfrm>
                    <a:prstGeom prst="rect">
                      <a:avLst/>
                    </a:prstGeom>
                  </pic:spPr>
                </pic:pic>
              </a:graphicData>
            </a:graphic>
          </wp:inline>
        </w:drawing>
      </w:r>
    </w:p>
    <w:p w14:paraId="168C163C" w14:textId="77777777" w:rsidR="003D3694" w:rsidRPr="00747E35" w:rsidRDefault="003D3694" w:rsidP="00566456">
      <w:pPr>
        <w:pStyle w:val="Caption"/>
        <w:numPr>
          <w:ilvl w:val="0"/>
          <w:numId w:val="0"/>
        </w:numPr>
        <w:rPr>
          <w:rFonts w:cstheme="minorHAnsi"/>
        </w:rPr>
      </w:pPr>
      <w:bookmarkStart w:id="113" w:name="_Ref466023554"/>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36</w:t>
      </w:r>
      <w:r w:rsidR="009D6600" w:rsidRPr="00747E35">
        <w:rPr>
          <w:rFonts w:cstheme="minorHAnsi"/>
          <w:noProof/>
        </w:rPr>
        <w:fldChar w:fldCharType="end"/>
      </w:r>
      <w:bookmarkEnd w:id="113"/>
      <w:r w:rsidRPr="00747E35">
        <w:rPr>
          <w:rFonts w:cstheme="minorHAnsi"/>
        </w:rPr>
        <w:t>. Location of the five upper Bremer River catchment study sites in south-east Queensland.</w:t>
      </w:r>
    </w:p>
    <w:p w14:paraId="173DBDD0" w14:textId="77777777" w:rsidR="003D3694" w:rsidRPr="00747E35" w:rsidRDefault="003D3694" w:rsidP="003D3694">
      <w:pPr>
        <w:rPr>
          <w:rFonts w:asciiTheme="minorHAnsi" w:hAnsiTheme="minorHAnsi" w:cstheme="minorHAnsi"/>
        </w:rPr>
      </w:pPr>
    </w:p>
    <w:p w14:paraId="36A78903"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76784BA5" wp14:editId="45871E66">
            <wp:extent cx="5731510" cy="5373370"/>
            <wp:effectExtent l="0" t="0" r="2540" b="0"/>
            <wp:docPr id="7190" name="Picture 7190" descr="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mer_runoff2.tif"/>
                    <pic:cNvPicPr/>
                  </pic:nvPicPr>
                  <pic:blipFill>
                    <a:blip r:embed="rId81" cstate="screen">
                      <a:extLst>
                        <a:ext uri="{28A0092B-C50C-407E-A947-70E740481C1C}">
                          <a14:useLocalDpi xmlns:a14="http://schemas.microsoft.com/office/drawing/2010/main"/>
                        </a:ext>
                      </a:extLst>
                    </a:blip>
                    <a:stretch>
                      <a:fillRect/>
                    </a:stretch>
                  </pic:blipFill>
                  <pic:spPr>
                    <a:xfrm>
                      <a:off x="0" y="0"/>
                      <a:ext cx="5731510" cy="5373370"/>
                    </a:xfrm>
                    <a:prstGeom prst="rect">
                      <a:avLst/>
                    </a:prstGeom>
                  </pic:spPr>
                </pic:pic>
              </a:graphicData>
            </a:graphic>
          </wp:inline>
        </w:drawing>
      </w:r>
    </w:p>
    <w:p w14:paraId="5440179F" w14:textId="77777777" w:rsidR="003D3694" w:rsidRPr="00747E35" w:rsidRDefault="003D3694" w:rsidP="00566456">
      <w:pPr>
        <w:pStyle w:val="Caption"/>
        <w:numPr>
          <w:ilvl w:val="0"/>
          <w:numId w:val="0"/>
        </w:numPr>
        <w:rPr>
          <w:rFonts w:cstheme="minorHAnsi"/>
        </w:rPr>
      </w:pPr>
      <w:bookmarkStart w:id="114" w:name="_Ref466023609"/>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37</w:t>
      </w:r>
      <w:r w:rsidR="009D6600" w:rsidRPr="00747E35">
        <w:rPr>
          <w:rFonts w:cstheme="minorHAnsi"/>
          <w:noProof/>
        </w:rPr>
        <w:fldChar w:fldCharType="end"/>
      </w:r>
      <w:bookmarkEnd w:id="114"/>
      <w:r w:rsidRPr="00747E35">
        <w:rPr>
          <w:rFonts w:cstheme="minorHAnsi"/>
        </w:rPr>
        <w:t xml:space="preserve">. The modelled mean monthly discharge (mega litres; ML) from January 1900 to September 2016 for the five study streams. The monthly discharge data for the study period (June 2015 – May 2016) is overlain in blue. Data sourced from a national monthly water balance model developed through the Australian Water Availability Project </w:t>
      </w:r>
      <w:r w:rsidRPr="00747E35">
        <w:rPr>
          <w:rFonts w:cstheme="minorHAnsi"/>
        </w:rPr>
        <w:fldChar w:fldCharType="begin"/>
      </w:r>
      <w:r w:rsidRPr="00747E35">
        <w:rPr>
          <w:rFonts w:cstheme="minorHAnsi"/>
        </w:rPr>
        <w:instrText xml:space="preserve"> ADDIN EN.CITE &lt;EndNote&gt;&lt;Cite&gt;&lt;Author&gt;Raupach&lt;/Author&gt;&lt;Year&gt;2008&lt;/Year&gt;&lt;RecNum&gt;1384&lt;/RecNum&gt;&lt;DisplayText&gt;(Raupach&lt;style face="italic"&gt; et al.&lt;/style&gt;, 2008)&lt;/DisplayText&gt;&lt;record&gt;&lt;rec-number&gt;1384&lt;/rec-number&gt;&lt;foreign-keys&gt;&lt;key app="EN" db-id="f09zwdf26xeasaevvsjxv00h9rx2v9xarfsw" timestamp="1479107313"&gt;1384&lt;/key&gt;&lt;/foreign-keys&gt;&lt;ref-type name="Dataset"&gt;59&lt;/ref-type&gt;&lt;contributors&gt;&lt;authors&gt;&lt;author&gt;Raupach, M. R.&lt;/author&gt;&lt;author&gt;Briggs, P. R.&lt;/author&gt;&lt;author&gt;Haverd, V.&lt;/author&gt;&lt;author&gt;King, E. A.&lt;/author&gt;&lt;author&gt;Paget, M.&lt;/author&gt;&lt;author&gt;Trudinger, C. M.&lt;/author&gt;&lt;/authors&gt;&lt;/contributors&gt;&lt;titles&gt;&lt;title&gt;Australian Water Availability Project&lt;/title&gt;&lt;/titles&gt;&lt;dates&gt;&lt;year&gt;2008&lt;/year&gt;&lt;/dates&gt;&lt;publisher&gt;CSIRO Marine and Atmospheric Research, Canberra, Australia. Available at: www.csiro.au/awap&lt;/publisher&gt;&lt;urls&gt;&lt;/urls&gt;&lt;/record&gt;&lt;/Cite&gt;&lt;/EndNote&gt;</w:instrText>
      </w:r>
      <w:r w:rsidRPr="00747E35">
        <w:rPr>
          <w:rFonts w:cstheme="minorHAnsi"/>
        </w:rPr>
        <w:fldChar w:fldCharType="separate"/>
      </w:r>
      <w:r w:rsidRPr="00747E35">
        <w:rPr>
          <w:rFonts w:cstheme="minorHAnsi"/>
          <w:noProof/>
        </w:rPr>
        <w:t>(Raupach et al., 2008)</w:t>
      </w:r>
      <w:r w:rsidRPr="00747E35">
        <w:rPr>
          <w:rFonts w:cstheme="minorHAnsi"/>
        </w:rPr>
        <w:fldChar w:fldCharType="end"/>
      </w:r>
      <w:r w:rsidRPr="00747E35">
        <w:rPr>
          <w:rFonts w:cstheme="minorHAnsi"/>
        </w:rPr>
        <w:t>.</w:t>
      </w:r>
    </w:p>
    <w:p w14:paraId="39D71F4E" w14:textId="77777777" w:rsidR="003D3694" w:rsidRPr="00747E35" w:rsidRDefault="003D3694" w:rsidP="003D3694">
      <w:pPr>
        <w:rPr>
          <w:rFonts w:asciiTheme="minorHAnsi" w:hAnsiTheme="minorHAnsi" w:cstheme="minorHAnsi"/>
        </w:rPr>
      </w:pPr>
    </w:p>
    <w:p w14:paraId="0CD8C66F" w14:textId="1F24C818" w:rsidR="003D3694" w:rsidRPr="00747E35" w:rsidRDefault="003D3694" w:rsidP="003D3694">
      <w:pPr>
        <w:pStyle w:val="Heading3"/>
        <w:rPr>
          <w:rFonts w:asciiTheme="minorHAnsi" w:hAnsiTheme="minorHAnsi" w:cstheme="minorHAnsi"/>
        </w:rPr>
      </w:pPr>
      <w:bookmarkStart w:id="115" w:name="_Toc466450337"/>
      <w:bookmarkStart w:id="116" w:name="_Toc470004840"/>
      <w:r w:rsidRPr="00747E35">
        <w:rPr>
          <w:rFonts w:asciiTheme="minorHAnsi" w:hAnsiTheme="minorHAnsi" w:cstheme="minorHAnsi"/>
        </w:rPr>
        <w:t>Estimating temporal variation in flow</w:t>
      </w:r>
      <w:bookmarkEnd w:id="115"/>
      <w:bookmarkEnd w:id="116"/>
    </w:p>
    <w:p w14:paraId="734154A8" w14:textId="50480685"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Because our study sites were ungauged and modelled monthly discharge is insufficient to examine fine-scale and short-term temporal variation in stream discharge, we monitored variation in pool water height at each site using water Level TROLL 400 Data Loggers (In-Situ, Fort Collins, USA), and used this as a proxy for discharge. A higher pool water height was assumed to be positively related with channel inundation. Traditional methods for monitoring flow, such as v-notch weirs, are not suitable for many intermittent streams and rivers due to their braided morphology and often substantial volume of </w:t>
      </w:r>
      <w:r w:rsidR="006B2C7A">
        <w:rPr>
          <w:rFonts w:asciiTheme="minorHAnsi" w:hAnsiTheme="minorHAnsi" w:cstheme="minorHAnsi"/>
        </w:rPr>
        <w:t>subsurface</w:t>
      </w:r>
      <w:r w:rsidRPr="00747E35">
        <w:rPr>
          <w:rFonts w:asciiTheme="minorHAnsi" w:hAnsiTheme="minorHAnsi" w:cstheme="minorHAnsi"/>
        </w:rPr>
        <w:t xml:space="preserve"> flow. Pool water height data revealed that temporal patterns in flow varied substantially among sites, although the timing of high-flow events was generally similar (</w:t>
      </w:r>
      <w:r w:rsidRPr="00747E35">
        <w:rPr>
          <w:rFonts w:asciiTheme="minorHAnsi" w:hAnsiTheme="minorHAnsi" w:cstheme="minorHAnsi"/>
          <w:highlight w:val="yellow"/>
        </w:rPr>
        <w:fldChar w:fldCharType="begin"/>
      </w:r>
      <w:r w:rsidRPr="00747E35">
        <w:rPr>
          <w:rFonts w:asciiTheme="minorHAnsi" w:hAnsiTheme="minorHAnsi" w:cstheme="minorHAnsi"/>
          <w:highlight w:val="yellow"/>
        </w:rPr>
        <w:instrText xml:space="preserve"> REF _Ref466023652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38</w:t>
      </w:r>
      <w:r w:rsidRPr="00747E35">
        <w:rPr>
          <w:rFonts w:asciiTheme="minorHAnsi" w:hAnsiTheme="minorHAnsi" w:cstheme="minorHAnsi"/>
          <w:highlight w:val="yellow"/>
        </w:rPr>
        <w:fldChar w:fldCharType="end"/>
      </w:r>
      <w:r w:rsidRPr="00747E35">
        <w:rPr>
          <w:rFonts w:asciiTheme="minorHAnsi" w:hAnsiTheme="minorHAnsi" w:cstheme="minorHAnsi"/>
        </w:rPr>
        <w:t xml:space="preserve">). The average pool water height during each experiment or survey period is summarised in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_Ref466023678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39</w:t>
      </w:r>
      <w:r w:rsidRPr="00747E35">
        <w:rPr>
          <w:rFonts w:asciiTheme="minorHAnsi" w:hAnsiTheme="minorHAnsi" w:cstheme="minorHAnsi"/>
          <w:highlight w:val="yellow"/>
        </w:rPr>
        <w:fldChar w:fldCharType="end"/>
      </w:r>
      <w:r w:rsidRPr="00747E35">
        <w:rPr>
          <w:rFonts w:asciiTheme="minorHAnsi" w:hAnsiTheme="minorHAnsi" w:cstheme="minorHAnsi"/>
        </w:rPr>
        <w:t>. Although conducted in September (i.e. traditionally the dry season), the first food-web sampling trip was characterised by a high pool water height, whereas the second sampling trip in March 2016 was characterised by dry conditions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_Ref466023678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39</w:t>
      </w:r>
      <w:r w:rsidRPr="00747E35">
        <w:rPr>
          <w:rFonts w:asciiTheme="minorHAnsi" w:hAnsiTheme="minorHAnsi" w:cstheme="minorHAnsi"/>
          <w:highlight w:val="yellow"/>
        </w:rPr>
        <w:fldChar w:fldCharType="end"/>
      </w:r>
      <w:r w:rsidRPr="00747E35">
        <w:rPr>
          <w:rFonts w:asciiTheme="minorHAnsi" w:hAnsiTheme="minorHAnsi" w:cstheme="minorHAnsi"/>
        </w:rPr>
        <w:t xml:space="preserve">). Consequently, we treated the food web </w:t>
      </w:r>
      <w:r w:rsidRPr="00747E35">
        <w:rPr>
          <w:rFonts w:asciiTheme="minorHAnsi" w:hAnsiTheme="minorHAnsi" w:cstheme="minorHAnsi"/>
        </w:rPr>
        <w:lastRenderedPageBreak/>
        <w:t>sampling trip in early September 2015 as the wetter period and the March 2016 sampling trip as the drier period.</w:t>
      </w:r>
    </w:p>
    <w:p w14:paraId="2C59A40C" w14:textId="77777777" w:rsidR="003D3694" w:rsidRPr="00747E35" w:rsidRDefault="003D3694" w:rsidP="003D3694">
      <w:pPr>
        <w:jc w:val="center"/>
        <w:rPr>
          <w:rFonts w:asciiTheme="minorHAnsi" w:hAnsiTheme="minorHAnsi" w:cstheme="minorHAnsi"/>
          <w:lang w:eastAsia="en-AU"/>
        </w:rPr>
      </w:pPr>
      <w:r w:rsidRPr="00747E35">
        <w:rPr>
          <w:rFonts w:asciiTheme="minorHAnsi" w:hAnsiTheme="minorHAnsi" w:cstheme="minorHAnsi"/>
          <w:noProof/>
          <w:lang w:val="en-AU" w:eastAsia="en-AU"/>
        </w:rPr>
        <w:drawing>
          <wp:inline distT="0" distB="0" distL="0" distR="0" wp14:anchorId="5B68646D" wp14:editId="50288ED4">
            <wp:extent cx="5117519" cy="5848350"/>
            <wp:effectExtent l="0" t="0" r="6985" b="0"/>
            <wp:docPr id="7191" name="Picture 7191" descr="Time series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olHeightPlot_Stage3.tif"/>
                    <pic:cNvPicPr/>
                  </pic:nvPicPr>
                  <pic:blipFill>
                    <a:blip r:embed="rId82" cstate="screen">
                      <a:extLst>
                        <a:ext uri="{28A0092B-C50C-407E-A947-70E740481C1C}">
                          <a14:useLocalDpi xmlns:a14="http://schemas.microsoft.com/office/drawing/2010/main"/>
                        </a:ext>
                      </a:extLst>
                    </a:blip>
                    <a:stretch>
                      <a:fillRect/>
                    </a:stretch>
                  </pic:blipFill>
                  <pic:spPr>
                    <a:xfrm>
                      <a:off x="0" y="0"/>
                      <a:ext cx="5120001" cy="5851186"/>
                    </a:xfrm>
                    <a:prstGeom prst="rect">
                      <a:avLst/>
                    </a:prstGeom>
                  </pic:spPr>
                </pic:pic>
              </a:graphicData>
            </a:graphic>
          </wp:inline>
        </w:drawing>
      </w:r>
    </w:p>
    <w:p w14:paraId="05F7334F" w14:textId="77777777" w:rsidR="003D3694" w:rsidRPr="00747E35" w:rsidRDefault="003D3694" w:rsidP="00566456">
      <w:pPr>
        <w:pStyle w:val="Caption"/>
        <w:numPr>
          <w:ilvl w:val="0"/>
          <w:numId w:val="0"/>
        </w:numPr>
        <w:rPr>
          <w:rFonts w:cstheme="minorHAnsi"/>
        </w:rPr>
      </w:pPr>
      <w:bookmarkStart w:id="117" w:name="_Ref46602365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38</w:t>
      </w:r>
      <w:r w:rsidR="009D6600" w:rsidRPr="00747E35">
        <w:rPr>
          <w:rFonts w:cstheme="minorHAnsi"/>
          <w:noProof/>
        </w:rPr>
        <w:fldChar w:fldCharType="end"/>
      </w:r>
      <w:bookmarkEnd w:id="117"/>
      <w:r w:rsidRPr="00747E35">
        <w:rPr>
          <w:rFonts w:cstheme="minorHAnsi"/>
          <w:lang w:eastAsia="en-AU"/>
        </w:rPr>
        <w:t>. The pool water height, recorded every 15 minutes, at each study stream in the upper Bremer River catchment over the study period. The bottom of each pool is indicated by a dashed line at depth zero. Negative values occur because the base of each water height logger was lower than the pool bottom.</w:t>
      </w:r>
    </w:p>
    <w:p w14:paraId="77781418" w14:textId="77777777" w:rsidR="003D3694" w:rsidRPr="00747E35" w:rsidRDefault="003D3694" w:rsidP="003D3694">
      <w:pPr>
        <w:rPr>
          <w:rFonts w:asciiTheme="minorHAnsi" w:hAnsiTheme="minorHAnsi" w:cstheme="minorHAnsi"/>
        </w:rPr>
      </w:pPr>
    </w:p>
    <w:p w14:paraId="54A7D7FA" w14:textId="77777777" w:rsidR="003D3694" w:rsidRPr="00747E35" w:rsidRDefault="003D3694" w:rsidP="003D3694">
      <w:pPr>
        <w:jc w:val="center"/>
        <w:rPr>
          <w:rFonts w:asciiTheme="minorHAnsi" w:hAnsiTheme="minorHAnsi" w:cstheme="minorHAnsi"/>
          <w:lang w:eastAsia="en-AU"/>
        </w:rPr>
      </w:pPr>
      <w:r w:rsidRPr="00747E35">
        <w:rPr>
          <w:rFonts w:asciiTheme="minorHAnsi" w:hAnsiTheme="minorHAnsi" w:cstheme="minorHAnsi"/>
          <w:noProof/>
          <w:lang w:val="en-AU" w:eastAsia="en-AU"/>
        </w:rPr>
        <w:lastRenderedPageBreak/>
        <w:drawing>
          <wp:inline distT="0" distB="0" distL="0" distR="0" wp14:anchorId="3BAD3AAC" wp14:editId="51DB00F6">
            <wp:extent cx="5731510" cy="3343275"/>
            <wp:effectExtent l="0" t="0" r="2540" b="9525"/>
            <wp:docPr id="7195" name="Picture 7195" descr="Box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mer_pooldepth.tif"/>
                    <pic:cNvPicPr/>
                  </pic:nvPicPr>
                  <pic:blipFill>
                    <a:blip r:embed="rId83" cstate="screen">
                      <a:extLst>
                        <a:ext uri="{28A0092B-C50C-407E-A947-70E740481C1C}">
                          <a14:useLocalDpi xmlns:a14="http://schemas.microsoft.com/office/drawing/2010/main"/>
                        </a:ext>
                      </a:extLst>
                    </a:blip>
                    <a:stretch>
                      <a:fillRect/>
                    </a:stretch>
                  </pic:blipFill>
                  <pic:spPr>
                    <a:xfrm>
                      <a:off x="0" y="0"/>
                      <a:ext cx="5731510" cy="3343275"/>
                    </a:xfrm>
                    <a:prstGeom prst="rect">
                      <a:avLst/>
                    </a:prstGeom>
                  </pic:spPr>
                </pic:pic>
              </a:graphicData>
            </a:graphic>
          </wp:inline>
        </w:drawing>
      </w:r>
    </w:p>
    <w:p w14:paraId="46156404" w14:textId="77777777" w:rsidR="003D3694" w:rsidRPr="00747E35" w:rsidRDefault="003D3694" w:rsidP="00566456">
      <w:pPr>
        <w:pStyle w:val="Caption"/>
        <w:numPr>
          <w:ilvl w:val="0"/>
          <w:numId w:val="0"/>
        </w:numPr>
        <w:rPr>
          <w:rFonts w:cstheme="minorHAnsi"/>
          <w:lang w:eastAsia="en-AU"/>
        </w:rPr>
      </w:pPr>
      <w:bookmarkStart w:id="118" w:name="_Ref466023678"/>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39</w:t>
      </w:r>
      <w:r w:rsidR="009D6600" w:rsidRPr="00747E35">
        <w:rPr>
          <w:rFonts w:cstheme="minorHAnsi"/>
          <w:noProof/>
        </w:rPr>
        <w:fldChar w:fldCharType="end"/>
      </w:r>
      <w:bookmarkEnd w:id="118"/>
      <w:r w:rsidRPr="00747E35">
        <w:rPr>
          <w:rFonts w:cstheme="minorHAnsi"/>
          <w:lang w:eastAsia="en-AU"/>
        </w:rPr>
        <w:t xml:space="preserve">. Box-whisker plots </w:t>
      </w:r>
      <w:r w:rsidRPr="00747E35">
        <w:rPr>
          <w:rFonts w:cstheme="minorHAnsi"/>
        </w:rPr>
        <w:t xml:space="preserve">displaying the median, lower and upper quartiles (25% and 75%), and minimum and maximum values excluding outliers (dots) </w:t>
      </w:r>
      <w:r w:rsidRPr="00747E35">
        <w:rPr>
          <w:rFonts w:cstheme="minorHAnsi"/>
          <w:lang w:eastAsia="en-AU"/>
        </w:rPr>
        <w:t>of the average pool depth at the five study streams in the upper Bremer River catchment (n=5 per box-whisker) during the cotton strip incubations (Cotton), leaf litter incubations (Leaf), food web sampling (Food web), fish surveys (Fish), and macroinvertebrate surveys (Macroinvertebrate) at the five study streams in the upper Bremer River catchment.</w:t>
      </w:r>
    </w:p>
    <w:p w14:paraId="3DAAD142" w14:textId="77777777" w:rsidR="003D3694" w:rsidRPr="00747E35" w:rsidRDefault="003D3694" w:rsidP="003D3694">
      <w:pPr>
        <w:rPr>
          <w:rFonts w:asciiTheme="minorHAnsi" w:hAnsiTheme="minorHAnsi" w:cstheme="minorHAnsi"/>
          <w:lang w:eastAsia="en-AU"/>
        </w:rPr>
      </w:pPr>
    </w:p>
    <w:p w14:paraId="5D2AA8B7" w14:textId="5EA49294" w:rsidR="003D3694" w:rsidRPr="00747E35" w:rsidRDefault="003D3694" w:rsidP="003D3694">
      <w:pPr>
        <w:pStyle w:val="Heading3"/>
        <w:rPr>
          <w:rFonts w:asciiTheme="minorHAnsi" w:hAnsiTheme="minorHAnsi" w:cstheme="minorHAnsi"/>
        </w:rPr>
      </w:pPr>
      <w:bookmarkStart w:id="119" w:name="_Toc466450338"/>
      <w:bookmarkStart w:id="120" w:name="_Toc470004841"/>
      <w:r w:rsidRPr="00747E35">
        <w:rPr>
          <w:rFonts w:asciiTheme="minorHAnsi" w:hAnsiTheme="minorHAnsi" w:cstheme="minorHAnsi"/>
        </w:rPr>
        <w:t>Groundwater contributions to flow</w:t>
      </w:r>
      <w:bookmarkEnd w:id="119"/>
      <w:bookmarkEnd w:id="120"/>
    </w:p>
    <w:p w14:paraId="48976938" w14:textId="042A3CC0"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 xml:space="preserve">Interactions between groundwater and surface water play a fundamental role in the functioning of river ecosystems. In particular, groundwater discharge to rivers can make up a major component of baseflow that maintains surface and </w:t>
      </w:r>
      <w:r w:rsidR="006B2C7A">
        <w:rPr>
          <w:rFonts w:asciiTheme="minorHAnsi" w:hAnsiTheme="minorHAnsi" w:cstheme="minorHAnsi"/>
          <w:lang w:eastAsia="en-AU"/>
        </w:rPr>
        <w:t>subsurface</w:t>
      </w:r>
      <w:r w:rsidRPr="00747E35">
        <w:rPr>
          <w:rFonts w:asciiTheme="minorHAnsi" w:hAnsiTheme="minorHAnsi" w:cstheme="minorHAnsi"/>
          <w:lang w:eastAsia="en-AU"/>
        </w:rPr>
        <w:t xml:space="preserve"> aquatic habitats during dry periods. We used concentrations of radon-222 (</w:t>
      </w:r>
      <w:r w:rsidRPr="00747E35">
        <w:rPr>
          <w:rFonts w:asciiTheme="minorHAnsi" w:hAnsiTheme="minorHAnsi" w:cstheme="minorHAnsi"/>
          <w:vertAlign w:val="superscript"/>
          <w:lang w:eastAsia="en-AU"/>
        </w:rPr>
        <w:t>222</w:t>
      </w:r>
      <w:r w:rsidRPr="00747E35">
        <w:rPr>
          <w:rFonts w:asciiTheme="minorHAnsi" w:hAnsiTheme="minorHAnsi" w:cstheme="minorHAnsi"/>
          <w:lang w:eastAsia="en-AU"/>
        </w:rPr>
        <w:t xml:space="preserve">Rn) to determine whether groundwater was contributing to stream flow among our study sites. </w:t>
      </w:r>
      <w:r w:rsidRPr="00747E35">
        <w:rPr>
          <w:rFonts w:asciiTheme="minorHAnsi" w:hAnsiTheme="minorHAnsi" w:cstheme="minorHAnsi"/>
          <w:vertAlign w:val="superscript"/>
          <w:lang w:eastAsia="en-AU"/>
        </w:rPr>
        <w:t>222</w:t>
      </w:r>
      <w:r w:rsidRPr="00747E35">
        <w:rPr>
          <w:rFonts w:asciiTheme="minorHAnsi" w:hAnsiTheme="minorHAnsi" w:cstheme="minorHAnsi"/>
          <w:lang w:eastAsia="en-AU"/>
        </w:rPr>
        <w:t xml:space="preserve">Rn is produced in the subsurface by the radioactive decay of uranium-series isotopes, is the most stable isotope of radon gas, and has a short half-life of 3.82 days (period after which the initial radioactivity of radon is halved). After groundwater containing </w:t>
      </w:r>
      <w:r w:rsidRPr="00747E35">
        <w:rPr>
          <w:rFonts w:asciiTheme="minorHAnsi" w:hAnsiTheme="minorHAnsi" w:cstheme="minorHAnsi"/>
          <w:vertAlign w:val="superscript"/>
          <w:lang w:eastAsia="en-AU"/>
        </w:rPr>
        <w:t>222</w:t>
      </w:r>
      <w:r w:rsidRPr="00747E35">
        <w:rPr>
          <w:rFonts w:asciiTheme="minorHAnsi" w:hAnsiTheme="minorHAnsi" w:cstheme="minorHAnsi"/>
          <w:lang w:eastAsia="en-AU"/>
        </w:rPr>
        <w:t xml:space="preserve">Rn discharges to surface waters, </w:t>
      </w:r>
      <w:r w:rsidRPr="00747E35">
        <w:rPr>
          <w:rFonts w:asciiTheme="minorHAnsi" w:hAnsiTheme="minorHAnsi" w:cstheme="minorHAnsi"/>
          <w:vertAlign w:val="superscript"/>
          <w:lang w:eastAsia="en-AU"/>
        </w:rPr>
        <w:t>222</w:t>
      </w:r>
      <w:r w:rsidRPr="00747E35">
        <w:rPr>
          <w:rFonts w:asciiTheme="minorHAnsi" w:hAnsiTheme="minorHAnsi" w:cstheme="minorHAnsi"/>
          <w:lang w:eastAsia="en-AU"/>
        </w:rPr>
        <w:t xml:space="preserve">Rn concentrations decrease due to gas exchange with the atmosphere and its short half-life. High </w:t>
      </w:r>
      <w:r w:rsidRPr="00747E35">
        <w:rPr>
          <w:rFonts w:asciiTheme="minorHAnsi" w:hAnsiTheme="minorHAnsi" w:cstheme="minorHAnsi"/>
          <w:vertAlign w:val="superscript"/>
          <w:lang w:eastAsia="en-AU"/>
        </w:rPr>
        <w:t>222</w:t>
      </w:r>
      <w:r w:rsidRPr="00747E35">
        <w:rPr>
          <w:rFonts w:asciiTheme="minorHAnsi" w:hAnsiTheme="minorHAnsi" w:cstheme="minorHAnsi"/>
          <w:lang w:eastAsia="en-AU"/>
        </w:rPr>
        <w:t xml:space="preserve">Rn concentrations are thus observed only in surface waters characterised by high groundwater inflows, and </w:t>
      </w:r>
      <w:r w:rsidRPr="00747E35">
        <w:rPr>
          <w:rFonts w:asciiTheme="minorHAnsi" w:hAnsiTheme="minorHAnsi" w:cstheme="minorHAnsi"/>
          <w:vertAlign w:val="superscript"/>
          <w:lang w:eastAsia="en-AU"/>
        </w:rPr>
        <w:t>222</w:t>
      </w:r>
      <w:r w:rsidRPr="00747E35">
        <w:rPr>
          <w:rFonts w:asciiTheme="minorHAnsi" w:hAnsiTheme="minorHAnsi" w:cstheme="minorHAnsi"/>
          <w:lang w:eastAsia="en-AU"/>
        </w:rPr>
        <w:t xml:space="preserve">Rn is commonly used to detect groundwater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ADDIN EN.CITE &lt;EndNote&gt;&lt;Cite&gt;&lt;Author&gt;Cook&lt;/Author&gt;&lt;Year&gt;2003&lt;/Year&gt;&lt;RecNum&gt;1334&lt;/RecNum&gt;&lt;DisplayText&gt;(Cook&lt;style face="italic"&gt; et al.&lt;/style&gt;, 2003)&lt;/DisplayText&gt;&lt;record&gt;&lt;rec-number&gt;1334&lt;/rec-number&gt;&lt;foreign-keys&gt;&lt;key app="EN" db-id="f09zwdf26xeasaevvsjxv00h9rx2v9xarfsw" timestamp="1477548420"&gt;1334&lt;/key&gt;&lt;/foreign-keys&gt;&lt;ref-type name="Journal Article"&gt;17&lt;/ref-type&gt;&lt;contributors&gt;&lt;authors&gt;&lt;author&gt;Cook, P. G.&lt;/author&gt;&lt;author&gt;Favreau, G.&lt;/author&gt;&lt;author&gt;Dighton, J. C.&lt;/author&gt;&lt;author&gt;Tickell, S.&lt;/author&gt;&lt;/authors&gt;&lt;/contributors&gt;&lt;titles&gt;&lt;title&gt;Determining natural groundwater influx to a tropical river using radon, chlorofluorocarbons and ionic environmental tracers&lt;/title&gt;&lt;secondary-title&gt;Journal of Hydrology&lt;/secondary-title&gt;&lt;/titles&gt;&lt;periodical&gt;&lt;full-title&gt;Journal of Hydrology&lt;/full-title&gt;&lt;/periodical&gt;&lt;pages&gt;74-88&lt;/pages&gt;&lt;volume&gt;277&lt;/volume&gt;&lt;number&gt;1–2&lt;/number&gt;&lt;keywords&gt;&lt;keyword&gt;Groundwater&lt;/keyword&gt;&lt;keyword&gt;Surface–groundwater interaction&lt;/keyword&gt;&lt;keyword&gt;Gas exchange&lt;/keyword&gt;&lt;keyword&gt;Radon&lt;/keyword&gt;&lt;keyword&gt;tracers&lt;/keyword&gt;&lt;/keywords&gt;&lt;dates&gt;&lt;year&gt;2003&lt;/year&gt;&lt;pub-dates&gt;&lt;date&gt;6/1/&lt;/date&gt;&lt;/pub-dates&gt;&lt;/dates&gt;&lt;isbn&gt;0022-1694&lt;/isbn&gt;&lt;urls&gt;&lt;related-urls&gt;&lt;url&gt;http://www.sciencedirect.com/science/article/pii/S0022169403000878&lt;/url&gt;&lt;/related-urls&gt;&lt;/urls&gt;&lt;electronic-resource-num&gt;http://dx.doi.org/10.1016/S0022-1694(03)00087-8&lt;/electronic-resource-num&gt;&lt;/record&gt;&lt;/Cite&gt;&lt;/EndNote&gt;</w:instrText>
      </w:r>
      <w:r w:rsidRPr="00747E35">
        <w:rPr>
          <w:rFonts w:asciiTheme="minorHAnsi" w:hAnsiTheme="minorHAnsi" w:cstheme="minorHAnsi"/>
          <w:lang w:eastAsia="en-AU"/>
        </w:rPr>
        <w:fldChar w:fldCharType="separate"/>
      </w:r>
      <w:r w:rsidRPr="00747E35">
        <w:rPr>
          <w:rFonts w:asciiTheme="minorHAnsi" w:hAnsiTheme="minorHAnsi" w:cstheme="minorHAnsi"/>
          <w:noProof/>
          <w:lang w:eastAsia="en-AU"/>
        </w:rPr>
        <w:t>(Cook</w:t>
      </w:r>
      <w:r w:rsidRPr="00747E35">
        <w:rPr>
          <w:rFonts w:asciiTheme="minorHAnsi" w:hAnsiTheme="minorHAnsi" w:cstheme="minorHAnsi"/>
          <w:i/>
          <w:noProof/>
          <w:lang w:eastAsia="en-AU"/>
        </w:rPr>
        <w:t xml:space="preserve"> et al.</w:t>
      </w:r>
      <w:r w:rsidRPr="00747E35">
        <w:rPr>
          <w:rFonts w:asciiTheme="minorHAnsi" w:hAnsiTheme="minorHAnsi" w:cstheme="minorHAnsi"/>
          <w:noProof/>
          <w:lang w:eastAsia="en-AU"/>
        </w:rPr>
        <w:t>, 2003)</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High concentrations of </w:t>
      </w:r>
      <w:r w:rsidRPr="00747E35">
        <w:rPr>
          <w:rFonts w:asciiTheme="minorHAnsi" w:hAnsiTheme="minorHAnsi" w:cstheme="minorHAnsi"/>
          <w:vertAlign w:val="superscript"/>
          <w:lang w:eastAsia="en-AU"/>
        </w:rPr>
        <w:t>222</w:t>
      </w:r>
      <w:r w:rsidRPr="00747E35">
        <w:rPr>
          <w:rFonts w:asciiTheme="minorHAnsi" w:hAnsiTheme="minorHAnsi" w:cstheme="minorHAnsi"/>
          <w:lang w:eastAsia="en-AU"/>
        </w:rPr>
        <w:t>Rn were observed at all study sites in the Bremer River catchment, indicating that all sites have substantial groundwater contributions to flow (</w:t>
      </w:r>
      <w:r w:rsidRPr="00747E35">
        <w:rPr>
          <w:rFonts w:asciiTheme="minorHAnsi" w:hAnsiTheme="minorHAnsi" w:cstheme="minorHAnsi"/>
          <w:highlight w:val="yellow"/>
          <w:lang w:eastAsia="en-AU"/>
        </w:rPr>
        <w:fldChar w:fldCharType="begin"/>
      </w:r>
      <w:r w:rsidRPr="00747E35">
        <w:rPr>
          <w:rFonts w:asciiTheme="minorHAnsi" w:hAnsiTheme="minorHAnsi" w:cstheme="minorHAnsi"/>
          <w:lang w:eastAsia="en-AU"/>
        </w:rPr>
        <w:instrText xml:space="preserve"> REF _Ref466023460 \h </w:instrText>
      </w:r>
      <w:r w:rsidR="00925BFC" w:rsidRPr="00747E35">
        <w:rPr>
          <w:rFonts w:asciiTheme="minorHAnsi" w:hAnsiTheme="minorHAnsi" w:cstheme="minorHAnsi"/>
          <w:highlight w:val="yellow"/>
          <w:lang w:eastAsia="en-AU"/>
        </w:rPr>
        <w:instrText xml:space="preserve"> \* MERGEFORMAT </w:instrText>
      </w:r>
      <w:r w:rsidRPr="00747E35">
        <w:rPr>
          <w:rFonts w:asciiTheme="minorHAnsi" w:hAnsiTheme="minorHAnsi" w:cstheme="minorHAnsi"/>
          <w:highlight w:val="yellow"/>
          <w:lang w:eastAsia="en-AU"/>
        </w:rPr>
      </w:r>
      <w:r w:rsidRPr="00747E35">
        <w:rPr>
          <w:rFonts w:asciiTheme="minorHAnsi" w:hAnsiTheme="minorHAnsi" w:cstheme="minorHAnsi"/>
          <w:highlight w:val="yellow"/>
          <w:lang w:eastAsia="en-AU"/>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11</w:t>
      </w:r>
      <w:r w:rsidRPr="00747E35">
        <w:rPr>
          <w:rFonts w:asciiTheme="minorHAnsi" w:hAnsiTheme="minorHAnsi" w:cstheme="minorHAnsi"/>
          <w:highlight w:val="yellow"/>
          <w:lang w:eastAsia="en-AU"/>
        </w:rPr>
        <w:fldChar w:fldCharType="end"/>
      </w:r>
      <w:r w:rsidRPr="00747E35">
        <w:rPr>
          <w:rFonts w:asciiTheme="minorHAnsi" w:hAnsiTheme="minorHAnsi" w:cstheme="minorHAnsi"/>
          <w:lang w:eastAsia="en-AU"/>
        </w:rPr>
        <w:t>).</w:t>
      </w:r>
    </w:p>
    <w:p w14:paraId="73AC6308" w14:textId="624C03E6" w:rsidR="003D3694" w:rsidRPr="00747E35" w:rsidRDefault="003D3694" w:rsidP="003D3694">
      <w:pPr>
        <w:pStyle w:val="Heading3"/>
        <w:rPr>
          <w:rFonts w:asciiTheme="minorHAnsi" w:hAnsiTheme="minorHAnsi" w:cstheme="minorHAnsi"/>
        </w:rPr>
      </w:pPr>
      <w:bookmarkStart w:id="121" w:name="_Toc466450339"/>
      <w:bookmarkStart w:id="122" w:name="_Toc470004842"/>
      <w:r w:rsidRPr="00747E35">
        <w:rPr>
          <w:rFonts w:asciiTheme="minorHAnsi" w:hAnsiTheme="minorHAnsi" w:cstheme="minorHAnsi"/>
        </w:rPr>
        <w:t>Water quality and chlorophyll</w:t>
      </w:r>
      <w:bookmarkEnd w:id="121"/>
      <w:bookmarkEnd w:id="122"/>
    </w:p>
    <w:p w14:paraId="37601401"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Water samples for physical and chemical analysis were collected during each sampling period at each study stream. A ProDSS multiparameter sampling instrument (YSI Incorporated, Yellow Springs, USA) was used to measure pH, water temperature (</w:t>
      </w:r>
      <w:r w:rsidRPr="00747E35">
        <w:rPr>
          <w:rFonts w:asciiTheme="minorHAnsi" w:hAnsiTheme="minorHAnsi" w:cstheme="minorHAnsi"/>
          <w:vertAlign w:val="superscript"/>
          <w:lang w:eastAsia="en-AU"/>
        </w:rPr>
        <w:t>o</w:t>
      </w:r>
      <w:r w:rsidRPr="00747E35">
        <w:rPr>
          <w:rFonts w:asciiTheme="minorHAnsi" w:hAnsiTheme="minorHAnsi" w:cstheme="minorHAnsi"/>
          <w:lang w:eastAsia="en-AU"/>
        </w:rPr>
        <w:t>C), dissolved oxygen (mg L</w:t>
      </w:r>
      <w:r w:rsidRPr="00747E35">
        <w:rPr>
          <w:rFonts w:asciiTheme="minorHAnsi" w:hAnsiTheme="minorHAnsi" w:cstheme="minorHAnsi"/>
          <w:vertAlign w:val="superscript"/>
          <w:lang w:eastAsia="en-AU"/>
        </w:rPr>
        <w:t>-1</w:t>
      </w:r>
      <w:r w:rsidRPr="00747E35">
        <w:rPr>
          <w:rFonts w:asciiTheme="minorHAnsi" w:hAnsiTheme="minorHAnsi" w:cstheme="minorHAnsi"/>
          <w:lang w:eastAsia="en-AU"/>
        </w:rPr>
        <w:t>), turbidity (NTU), and conductivity (µS cm</w:t>
      </w:r>
      <w:r w:rsidRPr="00747E35">
        <w:rPr>
          <w:rFonts w:asciiTheme="minorHAnsi" w:hAnsiTheme="minorHAnsi" w:cstheme="minorHAnsi"/>
          <w:vertAlign w:val="superscript"/>
          <w:lang w:eastAsia="en-AU"/>
        </w:rPr>
        <w:t>-1</w:t>
      </w:r>
      <w:r w:rsidRPr="00747E35">
        <w:rPr>
          <w:rFonts w:asciiTheme="minorHAnsi" w:hAnsiTheme="minorHAnsi" w:cstheme="minorHAnsi"/>
          <w:lang w:eastAsia="en-AU"/>
        </w:rPr>
        <w:t>). The ProDSS multiparameter was calibrated every 6 months. We collected water samples to measure ambient concentrations of dissolved organic carbon (DOC), dissolved organic N (DON), nitrate (NO</w:t>
      </w:r>
      <w:r w:rsidRPr="00747E35">
        <w:rPr>
          <w:rFonts w:asciiTheme="minorHAnsi" w:hAnsiTheme="minorHAnsi" w:cstheme="minorHAnsi"/>
          <w:vertAlign w:val="subscript"/>
          <w:lang w:eastAsia="en-AU"/>
        </w:rPr>
        <w:t>3</w:t>
      </w:r>
      <w:r w:rsidRPr="00747E35">
        <w:rPr>
          <w:rFonts w:asciiTheme="minorHAnsi" w:hAnsiTheme="minorHAnsi" w:cstheme="minorHAnsi"/>
          <w:vertAlign w:val="superscript"/>
          <w:lang w:eastAsia="en-AU"/>
        </w:rPr>
        <w:t>-</w:t>
      </w:r>
      <w:r w:rsidRPr="00747E35">
        <w:rPr>
          <w:rFonts w:asciiTheme="minorHAnsi" w:hAnsiTheme="minorHAnsi" w:cstheme="minorHAnsi"/>
          <w:lang w:eastAsia="en-AU"/>
        </w:rPr>
        <w:t>), ammonium (NH</w:t>
      </w:r>
      <w:r w:rsidRPr="00747E35">
        <w:rPr>
          <w:rFonts w:asciiTheme="minorHAnsi" w:hAnsiTheme="minorHAnsi" w:cstheme="minorHAnsi"/>
          <w:vertAlign w:val="subscript"/>
          <w:lang w:eastAsia="en-AU"/>
        </w:rPr>
        <w:t>4</w:t>
      </w:r>
      <w:r w:rsidRPr="00747E35">
        <w:rPr>
          <w:rFonts w:asciiTheme="minorHAnsi" w:hAnsiTheme="minorHAnsi" w:cstheme="minorHAnsi"/>
          <w:vertAlign w:val="superscript"/>
          <w:lang w:eastAsia="en-AU"/>
        </w:rPr>
        <w:t>+</w:t>
      </w:r>
      <w:r w:rsidRPr="00747E35">
        <w:rPr>
          <w:rFonts w:asciiTheme="minorHAnsi" w:hAnsiTheme="minorHAnsi" w:cstheme="minorHAnsi"/>
          <w:lang w:eastAsia="en-AU"/>
        </w:rPr>
        <w:t xml:space="preserve">), total dissolved N (TDN), and soluble reactive </w:t>
      </w:r>
      <w:r w:rsidRPr="00747E35">
        <w:rPr>
          <w:rFonts w:asciiTheme="minorHAnsi" w:hAnsiTheme="minorHAnsi" w:cstheme="minorHAnsi"/>
          <w:lang w:eastAsia="en-AU"/>
        </w:rPr>
        <w:lastRenderedPageBreak/>
        <w:t xml:space="preserve">phosphorus (SRP). Water samples were filtered in the field (0.45 µm nylon membrane filters; Sarstedt) and transferred to a freezer within 6 hours. </w:t>
      </w:r>
    </w:p>
    <w:p w14:paraId="7BEC4BFE"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 xml:space="preserve">For sites in the upper Bremer River catchment and the Maules Creek catchment, we assessed the ambient variation of chlorophyll </w:t>
      </w:r>
      <w:r w:rsidRPr="00747E35">
        <w:rPr>
          <w:rFonts w:asciiTheme="minorHAnsi" w:hAnsiTheme="minorHAnsi" w:cstheme="minorHAnsi"/>
          <w:i/>
          <w:lang w:eastAsia="en-AU"/>
        </w:rPr>
        <w:t>a</w:t>
      </w:r>
      <w:r w:rsidRPr="00747E35">
        <w:rPr>
          <w:rFonts w:asciiTheme="minorHAnsi" w:hAnsiTheme="minorHAnsi" w:cstheme="minorHAnsi"/>
          <w:lang w:eastAsia="en-AU"/>
        </w:rPr>
        <w:t xml:space="preserve"> of seston (organisms and non-living matter swimming or floating in a water body) and periphyton (attached to rocks and woody debris). To measure seston chlorophyll </w:t>
      </w:r>
      <w:r w:rsidRPr="00747E35">
        <w:rPr>
          <w:rFonts w:asciiTheme="minorHAnsi" w:hAnsiTheme="minorHAnsi" w:cstheme="minorHAnsi"/>
          <w:i/>
          <w:lang w:eastAsia="en-AU"/>
        </w:rPr>
        <w:t>a</w:t>
      </w:r>
      <w:r w:rsidRPr="00747E35">
        <w:rPr>
          <w:rFonts w:asciiTheme="minorHAnsi" w:hAnsiTheme="minorHAnsi" w:cstheme="minorHAnsi"/>
          <w:lang w:eastAsia="en-AU"/>
        </w:rPr>
        <w:t xml:space="preserve">, triplicate samples of known volumes of surface water were filtered on 0.45-mm glass-fibre filters. For the chlorophyll </w:t>
      </w:r>
      <w:r w:rsidRPr="00747E35">
        <w:rPr>
          <w:rFonts w:asciiTheme="minorHAnsi" w:hAnsiTheme="minorHAnsi" w:cstheme="minorHAnsi"/>
          <w:i/>
          <w:lang w:eastAsia="en-AU"/>
        </w:rPr>
        <w:t>a</w:t>
      </w:r>
      <w:r w:rsidRPr="00747E35">
        <w:rPr>
          <w:rFonts w:asciiTheme="minorHAnsi" w:hAnsiTheme="minorHAnsi" w:cstheme="minorHAnsi"/>
          <w:lang w:eastAsia="en-AU"/>
        </w:rPr>
        <w:t xml:space="preserve"> of periphyton, triplicate samples of known areas of submerged rocks and woody debris were scrubbed and the sample rinsed into small plastic zip-lock bags. The samples were then filtered on 0.45-mm glass-fibre filters. Glass-fibre filters were then frozen immediately for analysis for chlorophyll </w:t>
      </w:r>
      <w:r w:rsidRPr="00747E35">
        <w:rPr>
          <w:rFonts w:asciiTheme="minorHAnsi" w:hAnsiTheme="minorHAnsi" w:cstheme="minorHAnsi"/>
          <w:i/>
          <w:lang w:eastAsia="en-AU"/>
        </w:rPr>
        <w:t>a</w:t>
      </w:r>
      <w:r w:rsidRPr="00747E35">
        <w:rPr>
          <w:rFonts w:asciiTheme="minorHAnsi" w:hAnsiTheme="minorHAnsi" w:cstheme="minorHAnsi"/>
          <w:lang w:eastAsia="en-AU"/>
        </w:rPr>
        <w:t xml:space="preserve"> in the laboratory.</w:t>
      </w:r>
    </w:p>
    <w:p w14:paraId="332C431D"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 xml:space="preserve">Analysis of nutrients and chlorophyll </w:t>
      </w:r>
      <w:r w:rsidRPr="00747E35">
        <w:rPr>
          <w:rFonts w:asciiTheme="minorHAnsi" w:hAnsiTheme="minorHAnsi" w:cstheme="minorHAnsi"/>
          <w:i/>
          <w:lang w:eastAsia="en-AU"/>
        </w:rPr>
        <w:t>a</w:t>
      </w:r>
      <w:r w:rsidRPr="00747E35">
        <w:rPr>
          <w:rFonts w:asciiTheme="minorHAnsi" w:hAnsiTheme="minorHAnsi" w:cstheme="minorHAnsi"/>
          <w:lang w:eastAsia="en-AU"/>
        </w:rPr>
        <w:t xml:space="preserve"> by a NATA-accredited laboratory followed standard analytical procedures. Dissolved organic carbon (DOC) was analysed with the combustion catalytic oxidation method (method APHA 5310D). Total nitrogen (TN) and total phosphorus (TP) were analysed via the persulphate digestion (APHA 4500), and NO</w:t>
      </w:r>
      <w:r w:rsidRPr="00747E35">
        <w:rPr>
          <w:rFonts w:asciiTheme="minorHAnsi" w:hAnsiTheme="minorHAnsi" w:cstheme="minorHAnsi"/>
          <w:vertAlign w:val="subscript"/>
          <w:lang w:eastAsia="en-AU"/>
        </w:rPr>
        <w:t>3</w:t>
      </w:r>
      <w:r w:rsidRPr="00747E35">
        <w:rPr>
          <w:rFonts w:asciiTheme="minorHAnsi" w:hAnsiTheme="minorHAnsi" w:cstheme="minorHAnsi"/>
          <w:vertAlign w:val="superscript"/>
          <w:lang w:eastAsia="en-AU"/>
        </w:rPr>
        <w:t>-</w:t>
      </w:r>
      <w:r w:rsidRPr="00747E35">
        <w:rPr>
          <w:rFonts w:asciiTheme="minorHAnsi" w:hAnsiTheme="minorHAnsi" w:cstheme="minorHAnsi"/>
          <w:lang w:eastAsia="en-AU"/>
        </w:rPr>
        <w:t>, NH</w:t>
      </w:r>
      <w:r w:rsidRPr="00747E35">
        <w:rPr>
          <w:rFonts w:asciiTheme="minorHAnsi" w:hAnsiTheme="minorHAnsi" w:cstheme="minorHAnsi"/>
          <w:vertAlign w:val="subscript"/>
          <w:lang w:eastAsia="en-AU"/>
        </w:rPr>
        <w:t>4</w:t>
      </w:r>
      <w:r w:rsidRPr="00747E35">
        <w:rPr>
          <w:rFonts w:asciiTheme="minorHAnsi" w:hAnsiTheme="minorHAnsi" w:cstheme="minorHAnsi"/>
          <w:vertAlign w:val="superscript"/>
          <w:lang w:eastAsia="en-AU"/>
        </w:rPr>
        <w:t>+</w:t>
      </w:r>
      <w:r w:rsidRPr="00747E35">
        <w:rPr>
          <w:rFonts w:asciiTheme="minorHAnsi" w:hAnsiTheme="minorHAnsi" w:cstheme="minorHAnsi"/>
          <w:lang w:eastAsia="en-AU"/>
        </w:rPr>
        <w:t>, and SRP were analysed with a SEAL Analytical AutoAnalyzer 3 (Porvair Sciences, Wrexham, UK). DON was calculated by subtracting DIN (NO</w:t>
      </w:r>
      <w:r w:rsidRPr="00747E35">
        <w:rPr>
          <w:rFonts w:asciiTheme="minorHAnsi" w:hAnsiTheme="minorHAnsi" w:cstheme="minorHAnsi"/>
          <w:vertAlign w:val="subscript"/>
          <w:lang w:eastAsia="en-AU"/>
        </w:rPr>
        <w:t>3</w:t>
      </w:r>
      <w:r w:rsidRPr="00747E35">
        <w:rPr>
          <w:rFonts w:asciiTheme="minorHAnsi" w:hAnsiTheme="minorHAnsi" w:cstheme="minorHAnsi"/>
          <w:vertAlign w:val="superscript"/>
          <w:lang w:eastAsia="en-AU"/>
        </w:rPr>
        <w:t>-</w:t>
      </w:r>
      <w:r w:rsidRPr="00747E35">
        <w:rPr>
          <w:rFonts w:asciiTheme="minorHAnsi" w:hAnsiTheme="minorHAnsi" w:cstheme="minorHAnsi"/>
          <w:lang w:eastAsia="en-AU"/>
        </w:rPr>
        <w:t xml:space="preserve"> + NH</w:t>
      </w:r>
      <w:r w:rsidRPr="00747E35">
        <w:rPr>
          <w:rFonts w:asciiTheme="minorHAnsi" w:hAnsiTheme="minorHAnsi" w:cstheme="minorHAnsi"/>
          <w:vertAlign w:val="subscript"/>
          <w:lang w:eastAsia="en-AU"/>
        </w:rPr>
        <w:t>4</w:t>
      </w:r>
      <w:r w:rsidRPr="00747E35">
        <w:rPr>
          <w:rFonts w:asciiTheme="minorHAnsi" w:hAnsiTheme="minorHAnsi" w:cstheme="minorHAnsi"/>
          <w:vertAlign w:val="superscript"/>
          <w:lang w:eastAsia="en-AU"/>
        </w:rPr>
        <w:t>+</w:t>
      </w:r>
      <w:r w:rsidRPr="00747E35">
        <w:rPr>
          <w:rFonts w:asciiTheme="minorHAnsi" w:hAnsiTheme="minorHAnsi" w:cstheme="minorHAnsi"/>
          <w:lang w:eastAsia="en-AU"/>
        </w:rPr>
        <w:t xml:space="preserve">) from TN. Chlorophyll </w:t>
      </w:r>
      <w:r w:rsidRPr="00747E35">
        <w:rPr>
          <w:rFonts w:asciiTheme="minorHAnsi" w:hAnsiTheme="minorHAnsi" w:cstheme="minorHAnsi"/>
          <w:i/>
          <w:lang w:eastAsia="en-AU"/>
        </w:rPr>
        <w:t>a</w:t>
      </w:r>
      <w:r w:rsidRPr="00747E35">
        <w:rPr>
          <w:rFonts w:asciiTheme="minorHAnsi" w:hAnsiTheme="minorHAnsi" w:cstheme="minorHAnsi"/>
          <w:lang w:eastAsia="en-AU"/>
        </w:rPr>
        <w:t xml:space="preserve"> was extracted in 100% ethanol and measured spectrophotometrically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ADDIN EN.CITE &lt;EndNote&gt;&lt;Cite&gt;&lt;Author&gt;Steinman&lt;/Author&gt;&lt;Year&gt;2006&lt;/Year&gt;&lt;RecNum&gt;833&lt;/RecNum&gt;&lt;DisplayText&gt;(Steinman&lt;style face="italic"&gt; et al.&lt;/style&gt;, 2006)&lt;/DisplayText&gt;&lt;record&gt;&lt;rec-number&gt;833&lt;/rec-number&gt;&lt;foreign-keys&gt;&lt;key app="EN" db-id="f09zwdf26xeasaevvsjxv00h9rx2v9xarfsw" timestamp="1399199503"&gt;833&lt;/key&gt;&lt;/foreign-keys&gt;&lt;ref-type name="Book Section"&gt;5&lt;/ref-type&gt;&lt;contributors&gt;&lt;authors&gt;&lt;author&gt;Steinman, A. D.&lt;/author&gt;&lt;author&gt;Lamberti, G. A.&lt;/author&gt;&lt;author&gt;Leavitt, P. R.&lt;/author&gt;&lt;/authors&gt;&lt;secondary-authors&gt;&lt;author&gt;Hauer, F. R.&lt;/author&gt;&lt;author&gt;Lamberti, G. A.&lt;/author&gt;&lt;/secondary-authors&gt;&lt;/contributors&gt;&lt;titles&gt;&lt;title&gt;Biomass and Pigments of Benthic Algae&lt;/title&gt;&lt;secondary-title&gt;Methods in Stream Ecology&lt;/secondary-title&gt;&lt;/titles&gt;&lt;pages&gt;357-379&lt;/pages&gt;&lt;edition&gt;2&lt;/edition&gt;&lt;section&gt;17&lt;/section&gt;&lt;dates&gt;&lt;year&gt;2006&lt;/year&gt;&lt;/dates&gt;&lt;publisher&gt;Academic Press&lt;/publisher&gt;&lt;urls&gt;&lt;/urls&gt;&lt;/record&gt;&lt;/Cite&gt;&lt;/EndNote&gt;</w:instrText>
      </w:r>
      <w:r w:rsidRPr="00747E35">
        <w:rPr>
          <w:rFonts w:asciiTheme="minorHAnsi" w:hAnsiTheme="minorHAnsi" w:cstheme="minorHAnsi"/>
          <w:lang w:eastAsia="en-AU"/>
        </w:rPr>
        <w:fldChar w:fldCharType="separate"/>
      </w:r>
      <w:r w:rsidRPr="00747E35">
        <w:rPr>
          <w:rFonts w:asciiTheme="minorHAnsi" w:hAnsiTheme="minorHAnsi" w:cstheme="minorHAnsi"/>
          <w:noProof/>
          <w:lang w:eastAsia="en-AU"/>
        </w:rPr>
        <w:t>(Steinman</w:t>
      </w:r>
      <w:r w:rsidRPr="00747E35">
        <w:rPr>
          <w:rFonts w:asciiTheme="minorHAnsi" w:hAnsiTheme="minorHAnsi" w:cstheme="minorHAnsi"/>
          <w:i/>
          <w:noProof/>
          <w:lang w:eastAsia="en-AU"/>
        </w:rPr>
        <w:t xml:space="preserve"> et al.</w:t>
      </w:r>
      <w:r w:rsidRPr="00747E35">
        <w:rPr>
          <w:rFonts w:asciiTheme="minorHAnsi" w:hAnsiTheme="minorHAnsi" w:cstheme="minorHAnsi"/>
          <w:noProof/>
          <w:lang w:eastAsia="en-AU"/>
        </w:rPr>
        <w:t>, 2006)</w:t>
      </w:r>
      <w:r w:rsidRPr="00747E35">
        <w:rPr>
          <w:rFonts w:asciiTheme="minorHAnsi" w:hAnsiTheme="minorHAnsi" w:cstheme="minorHAnsi"/>
          <w:lang w:eastAsia="en-AU"/>
        </w:rPr>
        <w:fldChar w:fldCharType="end"/>
      </w:r>
      <w:r w:rsidRPr="00747E35">
        <w:rPr>
          <w:rFonts w:asciiTheme="minorHAnsi" w:hAnsiTheme="minorHAnsi" w:cstheme="minorHAnsi"/>
          <w:lang w:eastAsia="en-AU"/>
        </w:rPr>
        <w:t>.</w:t>
      </w:r>
    </w:p>
    <w:p w14:paraId="4417827B" w14:textId="77777777" w:rsidR="003D3694" w:rsidRPr="00747E35" w:rsidRDefault="003D3694" w:rsidP="003D3694">
      <w:pPr>
        <w:pStyle w:val="Heading4"/>
        <w:rPr>
          <w:rFonts w:asciiTheme="minorHAnsi" w:hAnsiTheme="minorHAnsi" w:cstheme="minorHAnsi"/>
          <w:lang w:eastAsia="en-AU"/>
        </w:rPr>
      </w:pPr>
      <w:r w:rsidRPr="00747E35">
        <w:rPr>
          <w:rFonts w:asciiTheme="minorHAnsi" w:hAnsiTheme="minorHAnsi" w:cstheme="minorHAnsi"/>
          <w:lang w:eastAsia="en-AU"/>
        </w:rPr>
        <w:t>Water physicochemical and nutrient characteristics</w:t>
      </w:r>
    </w:p>
    <w:p w14:paraId="54F58572" w14:textId="1EA703D1"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Substantial spatial and temporal variation was evident in the physical and chemical variables of the upper Bremer River catchment study sites (</w:t>
      </w:r>
      <w:r w:rsidRPr="00747E35">
        <w:rPr>
          <w:rFonts w:asciiTheme="minorHAnsi" w:hAnsiTheme="minorHAnsi" w:cstheme="minorHAnsi"/>
          <w:highlight w:val="yellow"/>
          <w:lang w:eastAsia="en-AU"/>
        </w:rPr>
        <w:fldChar w:fldCharType="begin"/>
      </w:r>
      <w:r w:rsidRPr="00747E35">
        <w:rPr>
          <w:rFonts w:asciiTheme="minorHAnsi" w:hAnsiTheme="minorHAnsi" w:cstheme="minorHAnsi"/>
          <w:lang w:eastAsia="en-AU"/>
        </w:rPr>
        <w:instrText xml:space="preserve"> REF _Ref466023745 \h </w:instrText>
      </w:r>
      <w:r w:rsidR="00925BFC" w:rsidRPr="00747E35">
        <w:rPr>
          <w:rFonts w:asciiTheme="minorHAnsi" w:hAnsiTheme="minorHAnsi" w:cstheme="minorHAnsi"/>
          <w:highlight w:val="yellow"/>
          <w:lang w:eastAsia="en-AU"/>
        </w:rPr>
        <w:instrText xml:space="preserve"> \* MERGEFORMAT </w:instrText>
      </w:r>
      <w:r w:rsidRPr="00747E35">
        <w:rPr>
          <w:rFonts w:asciiTheme="minorHAnsi" w:hAnsiTheme="minorHAnsi" w:cstheme="minorHAnsi"/>
          <w:highlight w:val="yellow"/>
          <w:lang w:eastAsia="en-AU"/>
        </w:rPr>
      </w:r>
      <w:r w:rsidRPr="00747E35">
        <w:rPr>
          <w:rFonts w:asciiTheme="minorHAnsi" w:hAnsiTheme="minorHAnsi" w:cstheme="minorHAnsi"/>
          <w:highlight w:val="yellow"/>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40</w:t>
      </w:r>
      <w:r w:rsidRPr="00747E35">
        <w:rPr>
          <w:rFonts w:asciiTheme="minorHAnsi" w:hAnsiTheme="minorHAnsi" w:cstheme="minorHAnsi"/>
          <w:highlight w:val="yellow"/>
          <w:lang w:eastAsia="en-AU"/>
        </w:rPr>
        <w:fldChar w:fldCharType="end"/>
      </w:r>
      <w:r w:rsidRPr="00747E35">
        <w:rPr>
          <w:rFonts w:asciiTheme="minorHAnsi" w:hAnsiTheme="minorHAnsi" w:cstheme="minorHAnsi"/>
          <w:lang w:eastAsia="en-AU"/>
        </w:rPr>
        <w:t>a, b). In particular, turbidity and pH were high in all sampling sites during July 2015 relative to other sampling times (</w:t>
      </w:r>
      <w:r w:rsidRPr="00747E35">
        <w:rPr>
          <w:rFonts w:asciiTheme="minorHAnsi" w:hAnsiTheme="minorHAnsi" w:cstheme="minorHAnsi"/>
          <w:highlight w:val="yellow"/>
          <w:lang w:eastAsia="en-AU"/>
        </w:rPr>
        <w:fldChar w:fldCharType="begin"/>
      </w:r>
      <w:r w:rsidRPr="00747E35">
        <w:rPr>
          <w:rFonts w:asciiTheme="minorHAnsi" w:hAnsiTheme="minorHAnsi" w:cstheme="minorHAnsi"/>
          <w:lang w:eastAsia="en-AU"/>
        </w:rPr>
        <w:instrText xml:space="preserve"> REF _Ref466023745 \h </w:instrText>
      </w:r>
      <w:r w:rsidR="00925BFC" w:rsidRPr="00747E35">
        <w:rPr>
          <w:rFonts w:asciiTheme="minorHAnsi" w:hAnsiTheme="minorHAnsi" w:cstheme="minorHAnsi"/>
          <w:highlight w:val="yellow"/>
          <w:lang w:eastAsia="en-AU"/>
        </w:rPr>
        <w:instrText xml:space="preserve"> \* MERGEFORMAT </w:instrText>
      </w:r>
      <w:r w:rsidRPr="00747E35">
        <w:rPr>
          <w:rFonts w:asciiTheme="minorHAnsi" w:hAnsiTheme="minorHAnsi" w:cstheme="minorHAnsi"/>
          <w:highlight w:val="yellow"/>
          <w:lang w:eastAsia="en-AU"/>
        </w:rPr>
      </w:r>
      <w:r w:rsidRPr="00747E35">
        <w:rPr>
          <w:rFonts w:asciiTheme="minorHAnsi" w:hAnsiTheme="minorHAnsi" w:cstheme="minorHAnsi"/>
          <w:highlight w:val="yellow"/>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40</w:t>
      </w:r>
      <w:r w:rsidRPr="00747E35">
        <w:rPr>
          <w:rFonts w:asciiTheme="minorHAnsi" w:hAnsiTheme="minorHAnsi" w:cstheme="minorHAnsi"/>
          <w:highlight w:val="yellow"/>
          <w:lang w:eastAsia="en-AU"/>
        </w:rPr>
        <w:fldChar w:fldCharType="end"/>
      </w:r>
      <w:r w:rsidRPr="00747E35">
        <w:rPr>
          <w:rFonts w:asciiTheme="minorHAnsi" w:hAnsiTheme="minorHAnsi" w:cstheme="minorHAnsi"/>
          <w:lang w:eastAsia="en-AU"/>
        </w:rPr>
        <w:t xml:space="preserve">a, b). Concentrations of </w:t>
      </w:r>
      <w:r w:rsidRPr="00747E35">
        <w:rPr>
          <w:rFonts w:asciiTheme="minorHAnsi" w:hAnsiTheme="minorHAnsi" w:cstheme="minorHAnsi"/>
          <w:caps/>
          <w:lang w:eastAsia="en-AU"/>
        </w:rPr>
        <w:t>DOC</w:t>
      </w:r>
      <w:r w:rsidRPr="00747E35">
        <w:rPr>
          <w:rFonts w:asciiTheme="minorHAnsi" w:hAnsiTheme="minorHAnsi" w:cstheme="minorHAnsi"/>
          <w:lang w:eastAsia="en-AU"/>
        </w:rPr>
        <w:t xml:space="preserve"> were generally low throughout the study streams, varying from 0.9 to 3.7 mg L</w:t>
      </w:r>
      <w:r w:rsidRPr="00747E35">
        <w:rPr>
          <w:rFonts w:asciiTheme="minorHAnsi" w:hAnsiTheme="minorHAnsi" w:cstheme="minorHAnsi"/>
          <w:vertAlign w:val="superscript"/>
          <w:lang w:eastAsia="en-AU"/>
        </w:rPr>
        <w:t>-1</w:t>
      </w:r>
      <w:r w:rsidRPr="00747E35">
        <w:rPr>
          <w:rFonts w:asciiTheme="minorHAnsi" w:hAnsiTheme="minorHAnsi" w:cstheme="minorHAnsi"/>
          <w:lang w:eastAsia="en-AU"/>
        </w:rPr>
        <w:t>. DIN concentrations were also generally low (mean = 19.8 µg L</w:t>
      </w:r>
      <w:r w:rsidRPr="00747E35">
        <w:rPr>
          <w:rFonts w:asciiTheme="minorHAnsi" w:hAnsiTheme="minorHAnsi" w:cstheme="minorHAnsi"/>
          <w:vertAlign w:val="superscript"/>
          <w:lang w:eastAsia="en-AU"/>
        </w:rPr>
        <w:t>-1</w:t>
      </w:r>
      <w:r w:rsidRPr="00747E35">
        <w:rPr>
          <w:rFonts w:asciiTheme="minorHAnsi" w:hAnsiTheme="minorHAnsi" w:cstheme="minorHAnsi"/>
          <w:lang w:eastAsia="en-AU"/>
        </w:rPr>
        <w:t>), varying from 1.9 to 75 µg L</w:t>
      </w:r>
      <w:r w:rsidRPr="00747E35">
        <w:rPr>
          <w:rFonts w:asciiTheme="minorHAnsi" w:hAnsiTheme="minorHAnsi" w:cstheme="minorHAnsi"/>
          <w:vertAlign w:val="superscript"/>
          <w:lang w:eastAsia="en-AU"/>
        </w:rPr>
        <w:t>-1</w:t>
      </w:r>
      <w:r w:rsidRPr="00747E35">
        <w:rPr>
          <w:rFonts w:asciiTheme="minorHAnsi" w:hAnsiTheme="minorHAnsi" w:cstheme="minorHAnsi"/>
          <w:lang w:eastAsia="en-AU"/>
        </w:rPr>
        <w:t>. SRP concentrations varied from 9 to 79 µg L</w:t>
      </w:r>
      <w:r w:rsidRPr="00747E35">
        <w:rPr>
          <w:rFonts w:asciiTheme="minorHAnsi" w:hAnsiTheme="minorHAnsi" w:cstheme="minorHAnsi"/>
          <w:vertAlign w:val="superscript"/>
          <w:lang w:eastAsia="en-AU"/>
        </w:rPr>
        <w:t>-1</w:t>
      </w:r>
      <w:r w:rsidRPr="00747E35">
        <w:rPr>
          <w:rFonts w:asciiTheme="minorHAnsi" w:hAnsiTheme="minorHAnsi" w:cstheme="minorHAnsi"/>
          <w:lang w:eastAsia="en-AU"/>
        </w:rPr>
        <w:t>, with an average value of 28 µg L</w:t>
      </w:r>
      <w:r w:rsidRPr="00747E35">
        <w:rPr>
          <w:rFonts w:asciiTheme="minorHAnsi" w:hAnsiTheme="minorHAnsi" w:cstheme="minorHAnsi"/>
          <w:vertAlign w:val="superscript"/>
          <w:lang w:eastAsia="en-AU"/>
        </w:rPr>
        <w:t>-1</w:t>
      </w:r>
      <w:r w:rsidRPr="00747E35">
        <w:rPr>
          <w:rFonts w:asciiTheme="minorHAnsi" w:hAnsiTheme="minorHAnsi" w:cstheme="minorHAnsi"/>
          <w:lang w:eastAsia="en-AU"/>
        </w:rPr>
        <w:t xml:space="preserve"> across streams and sampling dates. </w:t>
      </w:r>
    </w:p>
    <w:p w14:paraId="6A0D3B4E" w14:textId="77777777" w:rsidR="003D3694" w:rsidRPr="00747E35" w:rsidRDefault="003D3694" w:rsidP="003D3694">
      <w:pPr>
        <w:jc w:val="center"/>
        <w:rPr>
          <w:rFonts w:asciiTheme="minorHAnsi" w:hAnsiTheme="minorHAnsi" w:cstheme="minorHAnsi"/>
          <w:lang w:eastAsia="en-AU"/>
        </w:rPr>
      </w:pPr>
      <w:r w:rsidRPr="00747E35">
        <w:rPr>
          <w:rFonts w:asciiTheme="minorHAnsi" w:hAnsiTheme="minorHAnsi" w:cstheme="minorHAnsi"/>
          <w:noProof/>
          <w:lang w:val="en-AU" w:eastAsia="en-AU"/>
        </w:rPr>
        <w:lastRenderedPageBreak/>
        <w:drawing>
          <wp:inline distT="0" distB="0" distL="0" distR="0" wp14:anchorId="371DBE30" wp14:editId="73634606">
            <wp:extent cx="5731510" cy="7218045"/>
            <wp:effectExtent l="0" t="0" r="2540" b="1905"/>
            <wp:docPr id="7202" name="Picture 7202" descr="Bi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plot_doy.tif"/>
                    <pic:cNvPicPr/>
                  </pic:nvPicPr>
                  <pic:blipFill>
                    <a:blip r:embed="rId84" cstate="screen">
                      <a:extLst>
                        <a:ext uri="{28A0092B-C50C-407E-A947-70E740481C1C}">
                          <a14:useLocalDpi xmlns:a14="http://schemas.microsoft.com/office/drawing/2010/main"/>
                        </a:ext>
                      </a:extLst>
                    </a:blip>
                    <a:stretch>
                      <a:fillRect/>
                    </a:stretch>
                  </pic:blipFill>
                  <pic:spPr>
                    <a:xfrm>
                      <a:off x="0" y="0"/>
                      <a:ext cx="5731510" cy="7218045"/>
                    </a:xfrm>
                    <a:prstGeom prst="rect">
                      <a:avLst/>
                    </a:prstGeom>
                  </pic:spPr>
                </pic:pic>
              </a:graphicData>
            </a:graphic>
          </wp:inline>
        </w:drawing>
      </w:r>
    </w:p>
    <w:p w14:paraId="18A917D3" w14:textId="77777777" w:rsidR="003D3694" w:rsidRPr="00747E35" w:rsidRDefault="003D3694" w:rsidP="00566456">
      <w:pPr>
        <w:pStyle w:val="Caption"/>
        <w:numPr>
          <w:ilvl w:val="0"/>
          <w:numId w:val="0"/>
        </w:numPr>
        <w:rPr>
          <w:rFonts w:cstheme="minorHAnsi"/>
          <w:lang w:eastAsia="en-AU"/>
        </w:rPr>
      </w:pPr>
      <w:bookmarkStart w:id="123" w:name="_Ref466023745"/>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40</w:t>
      </w:r>
      <w:r w:rsidR="009D6600" w:rsidRPr="00747E35">
        <w:rPr>
          <w:rFonts w:cstheme="minorHAnsi"/>
          <w:noProof/>
        </w:rPr>
        <w:fldChar w:fldCharType="end"/>
      </w:r>
      <w:bookmarkEnd w:id="123"/>
      <w:r w:rsidRPr="00747E35">
        <w:rPr>
          <w:rFonts w:cstheme="minorHAnsi"/>
          <w:lang w:eastAsia="en-AU"/>
        </w:rPr>
        <w:t>. Plots of the first two principal components from two separate principal components analyses (PCA) of the a) physical and chemical, and b) nutrient variables measured at each date (from July/Oct 2015 until April 2016) in study streams in the upper Bremer River catchment. For the physical and chemical PCA, PC1 and PC2 accounted for 51% and 28%, respectively, of the spatio-temporal variation. For the nutrient PCA, PC1 and PC2 accounted for 38% and 25%, respectively, of the spatio-temporal variation. DO, dissolved oxygen; Cond., electrical conductivity; temp., water temperature. DOC, dissolved organic carbon; DIN, dissolved organic nitrogen; SRP, soluble reactive phosphorus; DON, dissolved organic nitrogen; TN, total nitrogen; TP, total phosphorus; NO</w:t>
      </w:r>
      <w:r w:rsidRPr="00747E35">
        <w:rPr>
          <w:rFonts w:cstheme="minorHAnsi"/>
          <w:vertAlign w:val="subscript"/>
          <w:lang w:eastAsia="en-AU"/>
        </w:rPr>
        <w:t>3</w:t>
      </w:r>
      <w:r w:rsidRPr="00747E35">
        <w:rPr>
          <w:rFonts w:cstheme="minorHAnsi"/>
          <w:lang w:eastAsia="en-AU"/>
        </w:rPr>
        <w:t>, nitrate; NH</w:t>
      </w:r>
      <w:r w:rsidRPr="00747E35">
        <w:rPr>
          <w:rFonts w:cstheme="minorHAnsi"/>
          <w:vertAlign w:val="subscript"/>
          <w:lang w:eastAsia="en-AU"/>
        </w:rPr>
        <w:t>4</w:t>
      </w:r>
      <w:r w:rsidRPr="00747E35">
        <w:rPr>
          <w:rFonts w:cstheme="minorHAnsi"/>
          <w:lang w:eastAsia="en-AU"/>
        </w:rPr>
        <w:t>, ammonium.</w:t>
      </w:r>
    </w:p>
    <w:p w14:paraId="2A03B020" w14:textId="77777777" w:rsidR="003D3694" w:rsidRPr="00747E35" w:rsidRDefault="003D3694" w:rsidP="003D3694">
      <w:pPr>
        <w:rPr>
          <w:rFonts w:asciiTheme="minorHAnsi" w:hAnsiTheme="minorHAnsi" w:cstheme="minorHAnsi"/>
          <w:lang w:eastAsia="en-AU"/>
        </w:rPr>
      </w:pPr>
    </w:p>
    <w:p w14:paraId="6A88977C" w14:textId="77777777" w:rsidR="003D3694" w:rsidRPr="00747E35" w:rsidRDefault="003D3694" w:rsidP="003D3694">
      <w:pPr>
        <w:pStyle w:val="Heading4"/>
        <w:rPr>
          <w:rFonts w:asciiTheme="minorHAnsi" w:hAnsiTheme="minorHAnsi" w:cstheme="minorHAnsi"/>
          <w:lang w:eastAsia="en-AU"/>
        </w:rPr>
      </w:pPr>
      <w:r w:rsidRPr="00747E35">
        <w:rPr>
          <w:rFonts w:asciiTheme="minorHAnsi" w:hAnsiTheme="minorHAnsi" w:cstheme="minorHAnsi"/>
          <w:lang w:eastAsia="en-AU"/>
        </w:rPr>
        <w:lastRenderedPageBreak/>
        <w:t xml:space="preserve">Chlorophyll </w:t>
      </w:r>
      <w:r w:rsidRPr="00747E35">
        <w:rPr>
          <w:rFonts w:asciiTheme="minorHAnsi" w:hAnsiTheme="minorHAnsi" w:cstheme="minorHAnsi"/>
          <w:i/>
          <w:lang w:eastAsia="en-AU"/>
        </w:rPr>
        <w:t>a</w:t>
      </w:r>
      <w:r w:rsidRPr="00747E35">
        <w:rPr>
          <w:rFonts w:asciiTheme="minorHAnsi" w:hAnsiTheme="minorHAnsi" w:cstheme="minorHAnsi"/>
          <w:lang w:eastAsia="en-AU"/>
        </w:rPr>
        <w:t xml:space="preserve"> characteristics</w:t>
      </w:r>
    </w:p>
    <w:p w14:paraId="1528646A" w14:textId="1662DFD6"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Overall, there were no consistent patterns in chlorophyll </w:t>
      </w:r>
      <w:r w:rsidRPr="00747E35">
        <w:rPr>
          <w:rFonts w:asciiTheme="minorHAnsi" w:hAnsiTheme="minorHAnsi" w:cstheme="minorHAnsi"/>
          <w:i/>
        </w:rPr>
        <w:t>a</w:t>
      </w:r>
      <w:r w:rsidRPr="00747E35">
        <w:rPr>
          <w:rFonts w:asciiTheme="minorHAnsi" w:hAnsiTheme="minorHAnsi" w:cstheme="minorHAnsi"/>
        </w:rPr>
        <w:t xml:space="preserve"> concentrations of seston or periphyton between wet and dry sampling periods. This finding may suggest that algal dynamics are highly site-dependent, with variability related to the patchiness of residual wetted habitats, frequency and duration of drying, and local biogeochemical conditions. It is also unclear the extent to which our limited sampling frequency reflects temporal variation in algal production over shorter and longer time frames. In the upper Bremer River catchment, seasonal differences in the chlorophyll </w:t>
      </w:r>
      <w:r w:rsidRPr="00747E35">
        <w:rPr>
          <w:rFonts w:asciiTheme="minorHAnsi" w:hAnsiTheme="minorHAnsi" w:cstheme="minorHAnsi"/>
          <w:i/>
        </w:rPr>
        <w:t>a</w:t>
      </w:r>
      <w:r w:rsidRPr="00747E35">
        <w:rPr>
          <w:rFonts w:asciiTheme="minorHAnsi" w:hAnsiTheme="minorHAnsi" w:cstheme="minorHAnsi"/>
        </w:rPr>
        <w:t xml:space="preserve"> concentrations from periphyton samples were site-dependent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_Ref466023788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41</w:t>
      </w:r>
      <w:r w:rsidRPr="00747E35">
        <w:rPr>
          <w:rFonts w:asciiTheme="minorHAnsi" w:hAnsiTheme="minorHAnsi" w:cstheme="minorHAnsi"/>
          <w:highlight w:val="yellow"/>
        </w:rPr>
        <w:fldChar w:fldCharType="end"/>
      </w:r>
      <w:r w:rsidRPr="00747E35">
        <w:rPr>
          <w:rFonts w:asciiTheme="minorHAnsi" w:hAnsiTheme="minorHAnsi" w:cstheme="minorHAnsi"/>
        </w:rPr>
        <w:t xml:space="preserve">a; one-way ANOVA for each site), with periphyton chlorophyll </w:t>
      </w:r>
      <w:r w:rsidRPr="00747E35">
        <w:rPr>
          <w:rFonts w:asciiTheme="minorHAnsi" w:hAnsiTheme="minorHAnsi" w:cstheme="minorHAnsi"/>
          <w:i/>
        </w:rPr>
        <w:t>a</w:t>
      </w:r>
      <w:r w:rsidRPr="00747E35">
        <w:rPr>
          <w:rFonts w:asciiTheme="minorHAnsi" w:hAnsiTheme="minorHAnsi" w:cstheme="minorHAnsi"/>
        </w:rPr>
        <w:t xml:space="preserve"> greatest in the wet sampling period for Reynolds Creek (</w:t>
      </w:r>
      <w:r w:rsidRPr="00747E35">
        <w:rPr>
          <w:rFonts w:asciiTheme="minorHAnsi" w:hAnsiTheme="minorHAnsi" w:cstheme="minorHAnsi"/>
          <w:i/>
        </w:rPr>
        <w:t xml:space="preserve">F </w:t>
      </w:r>
      <w:r w:rsidRPr="00747E35">
        <w:rPr>
          <w:rFonts w:asciiTheme="minorHAnsi" w:hAnsiTheme="minorHAnsi" w:cstheme="minorHAnsi"/>
        </w:rPr>
        <w:t xml:space="preserve">= 51.9, </w:t>
      </w:r>
      <w:r w:rsidRPr="00747E35">
        <w:rPr>
          <w:rFonts w:asciiTheme="minorHAnsi" w:hAnsiTheme="minorHAnsi" w:cstheme="minorHAnsi"/>
          <w:i/>
        </w:rPr>
        <w:t xml:space="preserve">p </w:t>
      </w:r>
      <w:r w:rsidRPr="00747E35">
        <w:rPr>
          <w:rFonts w:asciiTheme="minorHAnsi" w:hAnsiTheme="minorHAnsi" w:cstheme="minorHAnsi"/>
        </w:rPr>
        <w:t>= 0.002) and during the dry sampling period for Warrill Creek (</w:t>
      </w:r>
      <w:r w:rsidRPr="00747E35">
        <w:rPr>
          <w:rFonts w:asciiTheme="minorHAnsi" w:hAnsiTheme="minorHAnsi" w:cstheme="minorHAnsi"/>
          <w:i/>
        </w:rPr>
        <w:t xml:space="preserve">F </w:t>
      </w:r>
      <w:r w:rsidRPr="00747E35">
        <w:rPr>
          <w:rFonts w:asciiTheme="minorHAnsi" w:hAnsiTheme="minorHAnsi" w:cstheme="minorHAnsi"/>
        </w:rPr>
        <w:t xml:space="preserve">= 14.2, </w:t>
      </w:r>
      <w:r w:rsidRPr="00747E35">
        <w:rPr>
          <w:rFonts w:asciiTheme="minorHAnsi" w:hAnsiTheme="minorHAnsi" w:cstheme="minorHAnsi"/>
          <w:i/>
        </w:rPr>
        <w:t xml:space="preserve">p </w:t>
      </w:r>
      <w:r w:rsidRPr="00747E35">
        <w:rPr>
          <w:rFonts w:asciiTheme="minorHAnsi" w:hAnsiTheme="minorHAnsi" w:cstheme="minorHAnsi"/>
        </w:rPr>
        <w:t xml:space="preserve">= 0.02). There were no seasonal differences in periphyton chlorophyll </w:t>
      </w:r>
      <w:r w:rsidRPr="00747E35">
        <w:rPr>
          <w:rFonts w:asciiTheme="minorHAnsi" w:hAnsiTheme="minorHAnsi" w:cstheme="minorHAnsi"/>
          <w:i/>
        </w:rPr>
        <w:t>a</w:t>
      </w:r>
      <w:r w:rsidRPr="00747E35">
        <w:rPr>
          <w:rFonts w:asciiTheme="minorHAnsi" w:hAnsiTheme="minorHAnsi" w:cstheme="minorHAnsi"/>
        </w:rPr>
        <w:t xml:space="preserve"> for Wild Cattle Creek (</w:t>
      </w:r>
      <w:r w:rsidRPr="00747E35">
        <w:rPr>
          <w:rFonts w:asciiTheme="minorHAnsi" w:hAnsiTheme="minorHAnsi" w:cstheme="minorHAnsi"/>
          <w:i/>
        </w:rPr>
        <w:t xml:space="preserve">F </w:t>
      </w:r>
      <w:r w:rsidRPr="00747E35">
        <w:rPr>
          <w:rFonts w:asciiTheme="minorHAnsi" w:hAnsiTheme="minorHAnsi" w:cstheme="minorHAnsi"/>
        </w:rPr>
        <w:t xml:space="preserve">= 8, </w:t>
      </w:r>
      <w:r w:rsidRPr="00747E35">
        <w:rPr>
          <w:rFonts w:asciiTheme="minorHAnsi" w:hAnsiTheme="minorHAnsi" w:cstheme="minorHAnsi"/>
          <w:i/>
        </w:rPr>
        <w:t xml:space="preserve">p </w:t>
      </w:r>
      <w:r w:rsidRPr="00747E35">
        <w:rPr>
          <w:rFonts w:asciiTheme="minorHAnsi" w:hAnsiTheme="minorHAnsi" w:cstheme="minorHAnsi"/>
        </w:rPr>
        <w:t>= 0.2), Bremer River (</w:t>
      </w:r>
      <w:r w:rsidRPr="00747E35">
        <w:rPr>
          <w:rFonts w:asciiTheme="minorHAnsi" w:hAnsiTheme="minorHAnsi" w:cstheme="minorHAnsi"/>
          <w:i/>
        </w:rPr>
        <w:t xml:space="preserve">F </w:t>
      </w:r>
      <w:r w:rsidRPr="00747E35">
        <w:rPr>
          <w:rFonts w:asciiTheme="minorHAnsi" w:hAnsiTheme="minorHAnsi" w:cstheme="minorHAnsi"/>
        </w:rPr>
        <w:t xml:space="preserve">= 0.4, </w:t>
      </w:r>
      <w:r w:rsidRPr="00747E35">
        <w:rPr>
          <w:rFonts w:asciiTheme="minorHAnsi" w:hAnsiTheme="minorHAnsi" w:cstheme="minorHAnsi"/>
          <w:i/>
        </w:rPr>
        <w:t xml:space="preserve">p </w:t>
      </w:r>
      <w:r w:rsidRPr="00747E35">
        <w:rPr>
          <w:rFonts w:asciiTheme="minorHAnsi" w:hAnsiTheme="minorHAnsi" w:cstheme="minorHAnsi"/>
        </w:rPr>
        <w:t>= 0.6), and Coulson Creek (</w:t>
      </w:r>
      <w:r w:rsidRPr="00747E35">
        <w:rPr>
          <w:rFonts w:asciiTheme="minorHAnsi" w:hAnsiTheme="minorHAnsi" w:cstheme="minorHAnsi"/>
          <w:i/>
        </w:rPr>
        <w:t xml:space="preserve">F </w:t>
      </w:r>
      <w:r w:rsidRPr="00747E35">
        <w:rPr>
          <w:rFonts w:asciiTheme="minorHAnsi" w:hAnsiTheme="minorHAnsi" w:cstheme="minorHAnsi"/>
        </w:rPr>
        <w:t xml:space="preserve">= 0.3, </w:t>
      </w:r>
      <w:r w:rsidRPr="00747E35">
        <w:rPr>
          <w:rFonts w:asciiTheme="minorHAnsi" w:hAnsiTheme="minorHAnsi" w:cstheme="minorHAnsi"/>
          <w:i/>
        </w:rPr>
        <w:t xml:space="preserve">p </w:t>
      </w:r>
      <w:r w:rsidRPr="00747E35">
        <w:rPr>
          <w:rFonts w:asciiTheme="minorHAnsi" w:hAnsiTheme="minorHAnsi" w:cstheme="minorHAnsi"/>
        </w:rPr>
        <w:t>= 0.6)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_Ref466023861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42</w:t>
      </w:r>
      <w:r w:rsidRPr="00747E35">
        <w:rPr>
          <w:rFonts w:asciiTheme="minorHAnsi" w:hAnsiTheme="minorHAnsi" w:cstheme="minorHAnsi"/>
          <w:highlight w:val="yellow"/>
        </w:rPr>
        <w:fldChar w:fldCharType="end"/>
      </w:r>
      <w:r w:rsidRPr="00747E35">
        <w:rPr>
          <w:rFonts w:asciiTheme="minorHAnsi" w:hAnsiTheme="minorHAnsi" w:cstheme="minorHAnsi"/>
        </w:rPr>
        <w:t xml:space="preserve">a). At the Maules Creek catchment study sites, chlorophyll </w:t>
      </w:r>
      <w:r w:rsidRPr="00747E35">
        <w:rPr>
          <w:rFonts w:asciiTheme="minorHAnsi" w:hAnsiTheme="minorHAnsi" w:cstheme="minorHAnsi"/>
          <w:i/>
        </w:rPr>
        <w:t>a</w:t>
      </w:r>
      <w:r w:rsidRPr="00747E35">
        <w:rPr>
          <w:rFonts w:asciiTheme="minorHAnsi" w:hAnsiTheme="minorHAnsi" w:cstheme="minorHAnsi"/>
        </w:rPr>
        <w:t xml:space="preserve"> concentrations from periphyton samples were similar among wet and dry sampling periods in those sites where water was present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_Ref466023788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41</w:t>
      </w:r>
      <w:r w:rsidRPr="00747E35">
        <w:rPr>
          <w:rFonts w:asciiTheme="minorHAnsi" w:hAnsiTheme="minorHAnsi" w:cstheme="minorHAnsi"/>
          <w:highlight w:val="yellow"/>
        </w:rPr>
        <w:fldChar w:fldCharType="end"/>
      </w:r>
      <w:r w:rsidRPr="00747E35">
        <w:rPr>
          <w:rFonts w:asciiTheme="minorHAnsi" w:hAnsiTheme="minorHAnsi" w:cstheme="minorHAnsi"/>
        </w:rPr>
        <w:t xml:space="preserve">b; </w:t>
      </w:r>
      <w:r w:rsidRPr="00747E35">
        <w:rPr>
          <w:rFonts w:asciiTheme="minorHAnsi" w:hAnsiTheme="minorHAnsi" w:cstheme="minorHAnsi"/>
          <w:i/>
        </w:rPr>
        <w:t xml:space="preserve">p </w:t>
      </w:r>
      <w:r w:rsidRPr="00747E35">
        <w:rPr>
          <w:rFonts w:asciiTheme="minorHAnsi" w:hAnsiTheme="minorHAnsi" w:cstheme="minorHAnsi"/>
        </w:rPr>
        <w:t xml:space="preserve">&gt; 0.05, two-way ANOVA). At Maules Creek, there were no significant differences in average chlorophyll </w:t>
      </w:r>
      <w:r w:rsidRPr="00747E35">
        <w:rPr>
          <w:rFonts w:asciiTheme="minorHAnsi" w:hAnsiTheme="minorHAnsi" w:cstheme="minorHAnsi"/>
          <w:i/>
        </w:rPr>
        <w:t>a</w:t>
      </w:r>
      <w:r w:rsidRPr="00747E35">
        <w:rPr>
          <w:rFonts w:asciiTheme="minorHAnsi" w:hAnsiTheme="minorHAnsi" w:cstheme="minorHAnsi"/>
        </w:rPr>
        <w:t xml:space="preserve"> concentrations from periphyton samples among study sites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_Ref466023788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41</w:t>
      </w:r>
      <w:r w:rsidRPr="00747E35">
        <w:rPr>
          <w:rFonts w:asciiTheme="minorHAnsi" w:hAnsiTheme="minorHAnsi" w:cstheme="minorHAnsi"/>
          <w:highlight w:val="yellow"/>
        </w:rPr>
        <w:fldChar w:fldCharType="end"/>
      </w:r>
      <w:r w:rsidRPr="00747E35">
        <w:rPr>
          <w:rFonts w:asciiTheme="minorHAnsi" w:hAnsiTheme="minorHAnsi" w:cstheme="minorHAnsi"/>
        </w:rPr>
        <w:t xml:space="preserve">b; </w:t>
      </w:r>
      <w:r w:rsidRPr="00747E35">
        <w:rPr>
          <w:rFonts w:asciiTheme="minorHAnsi" w:hAnsiTheme="minorHAnsi" w:cstheme="minorHAnsi"/>
          <w:i/>
        </w:rPr>
        <w:t xml:space="preserve">p </w:t>
      </w:r>
      <w:r w:rsidRPr="00747E35">
        <w:rPr>
          <w:rFonts w:asciiTheme="minorHAnsi" w:hAnsiTheme="minorHAnsi" w:cstheme="minorHAnsi"/>
        </w:rPr>
        <w:t xml:space="preserve">&gt; 0.05, two-way ANOVA). Algae were not present in both habitats at Middle Creek, and within the riffle habitat at Maules Creek, during the dry sampling due to cessation of flow. Lower chlorophyll </w:t>
      </w:r>
      <w:r w:rsidRPr="00747E35">
        <w:rPr>
          <w:rFonts w:asciiTheme="minorHAnsi" w:hAnsiTheme="minorHAnsi" w:cstheme="minorHAnsi"/>
          <w:i/>
        </w:rPr>
        <w:t>a</w:t>
      </w:r>
      <w:r w:rsidRPr="00747E35">
        <w:rPr>
          <w:rFonts w:asciiTheme="minorHAnsi" w:hAnsiTheme="minorHAnsi" w:cstheme="minorHAnsi"/>
        </w:rPr>
        <w:t xml:space="preserve"> concentrations of periphyton were evident in riffle than in pool habitats at Maules Creek (</w:t>
      </w:r>
      <w:r w:rsidRPr="00747E35">
        <w:rPr>
          <w:rFonts w:asciiTheme="minorHAnsi" w:hAnsiTheme="minorHAnsi" w:cstheme="minorHAnsi"/>
          <w:i/>
        </w:rPr>
        <w:t xml:space="preserve">p </w:t>
      </w:r>
      <w:r w:rsidRPr="00747E35">
        <w:rPr>
          <w:rFonts w:asciiTheme="minorHAnsi" w:hAnsiTheme="minorHAnsi" w:cstheme="minorHAnsi"/>
        </w:rPr>
        <w:t xml:space="preserve">= 0.03). Seston chlorophyll </w:t>
      </w:r>
      <w:r w:rsidRPr="00747E35">
        <w:rPr>
          <w:rFonts w:asciiTheme="minorHAnsi" w:hAnsiTheme="minorHAnsi" w:cstheme="minorHAnsi"/>
          <w:i/>
        </w:rPr>
        <w:t>a</w:t>
      </w:r>
      <w:r w:rsidRPr="00747E35">
        <w:rPr>
          <w:rFonts w:asciiTheme="minorHAnsi" w:hAnsiTheme="minorHAnsi" w:cstheme="minorHAnsi"/>
        </w:rPr>
        <w:t xml:space="preserve"> was highest at Maules Creek (i.e. perennial losing site) and lowest at Warrill Creek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_Ref466023861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42</w:t>
      </w:r>
      <w:r w:rsidRPr="00747E35">
        <w:rPr>
          <w:rFonts w:asciiTheme="minorHAnsi" w:hAnsiTheme="minorHAnsi" w:cstheme="minorHAnsi"/>
          <w:highlight w:val="yellow"/>
        </w:rPr>
        <w:fldChar w:fldCharType="end"/>
      </w:r>
      <w:r w:rsidRPr="00747E35">
        <w:rPr>
          <w:rFonts w:asciiTheme="minorHAnsi" w:hAnsiTheme="minorHAnsi" w:cstheme="minorHAnsi"/>
        </w:rPr>
        <w:t>).</w:t>
      </w:r>
    </w:p>
    <w:p w14:paraId="49A0ED5B"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6A06126D" wp14:editId="02A58486">
            <wp:extent cx="5731510" cy="3700780"/>
            <wp:effectExtent l="0" t="0" r="2540" b="0"/>
            <wp:docPr id="7203" name="Picture 7203" descr="Bar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laEpipelon.tif"/>
                    <pic:cNvPicPr/>
                  </pic:nvPicPr>
                  <pic:blipFill>
                    <a:blip r:embed="rId85" cstate="screen">
                      <a:extLst>
                        <a:ext uri="{28A0092B-C50C-407E-A947-70E740481C1C}">
                          <a14:useLocalDpi xmlns:a14="http://schemas.microsoft.com/office/drawing/2010/main"/>
                        </a:ext>
                      </a:extLst>
                    </a:blip>
                    <a:stretch>
                      <a:fillRect/>
                    </a:stretch>
                  </pic:blipFill>
                  <pic:spPr>
                    <a:xfrm>
                      <a:off x="0" y="0"/>
                      <a:ext cx="5731510" cy="3700780"/>
                    </a:xfrm>
                    <a:prstGeom prst="rect">
                      <a:avLst/>
                    </a:prstGeom>
                  </pic:spPr>
                </pic:pic>
              </a:graphicData>
            </a:graphic>
          </wp:inline>
        </w:drawing>
      </w:r>
    </w:p>
    <w:p w14:paraId="3DBE9466" w14:textId="77777777" w:rsidR="003D3694" w:rsidRPr="00747E35" w:rsidRDefault="003D3694" w:rsidP="00566456">
      <w:pPr>
        <w:pStyle w:val="Caption"/>
        <w:numPr>
          <w:ilvl w:val="0"/>
          <w:numId w:val="0"/>
        </w:numPr>
        <w:rPr>
          <w:rFonts w:cstheme="minorHAnsi"/>
        </w:rPr>
      </w:pPr>
      <w:bookmarkStart w:id="124" w:name="_Ref466023788"/>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41</w:t>
      </w:r>
      <w:r w:rsidR="009D6600" w:rsidRPr="00747E35">
        <w:rPr>
          <w:rFonts w:cstheme="minorHAnsi"/>
          <w:noProof/>
        </w:rPr>
        <w:fldChar w:fldCharType="end"/>
      </w:r>
      <w:bookmarkEnd w:id="124"/>
      <w:r w:rsidRPr="00747E35">
        <w:rPr>
          <w:rFonts w:cstheme="minorHAnsi"/>
        </w:rPr>
        <w:t>. The average (± standard error) chlorophyll a concentration of periphyton in each habitat and season of the study sites in a) the upper Bremer River catchment, and b) the Maules Creek catchment. Dry conditions prevented dry-season sampling at Middle Creek and the riffle at Maules Creek. An asterisk indicates significant differences among a) seasons for each upper Bremer River catchment study site (one-way ANOVA) b) seasons and/or habitats for each Maules Creek catchment study site (one-way or two-way ANOVA).</w:t>
      </w:r>
    </w:p>
    <w:p w14:paraId="534FECD0" w14:textId="77777777" w:rsidR="003D3694" w:rsidRPr="00747E35" w:rsidRDefault="003D3694" w:rsidP="003D3694">
      <w:pPr>
        <w:rPr>
          <w:rFonts w:asciiTheme="minorHAnsi" w:hAnsiTheme="minorHAnsi" w:cstheme="minorHAnsi"/>
        </w:rPr>
      </w:pPr>
    </w:p>
    <w:p w14:paraId="3C3CC6A6"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7596E320" wp14:editId="77338D43">
            <wp:extent cx="5731510" cy="4298950"/>
            <wp:effectExtent l="0" t="0" r="2540" b="6350"/>
            <wp:docPr id="7204" name="Picture 7204" descr="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laSeston.tif"/>
                    <pic:cNvPicPr/>
                  </pic:nvPicPr>
                  <pic:blipFill>
                    <a:blip r:embed="rId86" cstate="screen">
                      <a:extLst>
                        <a:ext uri="{28A0092B-C50C-407E-A947-70E740481C1C}">
                          <a14:useLocalDpi xmlns:a14="http://schemas.microsoft.com/office/drawing/2010/main"/>
                        </a:ext>
                      </a:extLst>
                    </a:blip>
                    <a:stretch>
                      <a:fillRect/>
                    </a:stretch>
                  </pic:blipFill>
                  <pic:spPr>
                    <a:xfrm>
                      <a:off x="0" y="0"/>
                      <a:ext cx="5731510" cy="4298950"/>
                    </a:xfrm>
                    <a:prstGeom prst="rect">
                      <a:avLst/>
                    </a:prstGeom>
                  </pic:spPr>
                </pic:pic>
              </a:graphicData>
            </a:graphic>
          </wp:inline>
        </w:drawing>
      </w:r>
    </w:p>
    <w:p w14:paraId="029D950B" w14:textId="77777777" w:rsidR="003D3694" w:rsidRPr="00747E35" w:rsidRDefault="003D3694" w:rsidP="00566456">
      <w:pPr>
        <w:pStyle w:val="Caption"/>
        <w:numPr>
          <w:ilvl w:val="0"/>
          <w:numId w:val="0"/>
        </w:numPr>
        <w:rPr>
          <w:rFonts w:cstheme="minorHAnsi"/>
        </w:rPr>
      </w:pPr>
      <w:bookmarkStart w:id="125" w:name="_Ref466023861"/>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42</w:t>
      </w:r>
      <w:r w:rsidR="009D6600" w:rsidRPr="00747E35">
        <w:rPr>
          <w:rFonts w:cstheme="minorHAnsi"/>
          <w:noProof/>
        </w:rPr>
        <w:fldChar w:fldCharType="end"/>
      </w:r>
      <w:bookmarkEnd w:id="125"/>
      <w:r w:rsidRPr="00747E35">
        <w:rPr>
          <w:rFonts w:cstheme="minorHAnsi"/>
        </w:rPr>
        <w:t>. The average (± standard deviation) chlorophyll a concentration of seston (suspended in the water column) collected at each study site in the upper Bremer River catchment (Wild Cattle Creek, Reynolds Creek, Coulson Creek, Bremer River, Warrill Creek) and the Maules Creek catchment (Maules Creek, Horsearm Creek) during the drier season. Only dry-season sampling was undertaken for seston. Riffle and pool habitats were sampled only at Horsearm Creek.</w:t>
      </w:r>
    </w:p>
    <w:p w14:paraId="726B6617" w14:textId="77777777" w:rsidR="003D3694" w:rsidRPr="00747E35" w:rsidRDefault="003D3694" w:rsidP="003D3694">
      <w:pPr>
        <w:rPr>
          <w:rFonts w:asciiTheme="minorHAnsi" w:hAnsiTheme="minorHAnsi" w:cstheme="minorHAnsi"/>
        </w:rPr>
      </w:pPr>
    </w:p>
    <w:p w14:paraId="1D3868CF" w14:textId="2E0527A7" w:rsidR="003D3694" w:rsidRPr="00747E35" w:rsidRDefault="003D3694" w:rsidP="003D3694">
      <w:pPr>
        <w:pStyle w:val="Heading2"/>
        <w:rPr>
          <w:rFonts w:asciiTheme="minorHAnsi" w:hAnsiTheme="minorHAnsi" w:cstheme="minorHAnsi"/>
        </w:rPr>
      </w:pPr>
      <w:bookmarkStart w:id="126" w:name="_Toc466450340"/>
      <w:bookmarkStart w:id="127" w:name="_Toc470004843"/>
      <w:r w:rsidRPr="00747E35">
        <w:rPr>
          <w:rFonts w:asciiTheme="minorHAnsi" w:hAnsiTheme="minorHAnsi" w:cstheme="minorHAnsi"/>
        </w:rPr>
        <w:t>Organic matter processing</w:t>
      </w:r>
      <w:bookmarkEnd w:id="126"/>
      <w:bookmarkEnd w:id="127"/>
    </w:p>
    <w:p w14:paraId="18199FB3" w14:textId="32DE7D2B" w:rsidR="003D3694" w:rsidRPr="00747E35" w:rsidRDefault="003D3694" w:rsidP="003D3694">
      <w:pPr>
        <w:pStyle w:val="Heading3"/>
        <w:rPr>
          <w:rFonts w:asciiTheme="minorHAnsi" w:hAnsiTheme="minorHAnsi" w:cstheme="minorHAnsi"/>
        </w:rPr>
      </w:pPr>
      <w:bookmarkStart w:id="128" w:name="_Toc466450341"/>
      <w:bookmarkStart w:id="129" w:name="_Toc470004844"/>
      <w:r w:rsidRPr="00747E35">
        <w:rPr>
          <w:rFonts w:asciiTheme="minorHAnsi" w:hAnsiTheme="minorHAnsi" w:cstheme="minorHAnsi"/>
        </w:rPr>
        <w:t>Introduction</w:t>
      </w:r>
      <w:bookmarkEnd w:id="128"/>
      <w:bookmarkEnd w:id="129"/>
    </w:p>
    <w:p w14:paraId="2A1048FB"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decomposition of coarse particulate organic matter (e.g. leaves and bark) by physical and biological processes is a key ecosystem process in aquatic ecosystems because it forms the energetic base of many food webs. This is particularly the case in small, forested streams which receive proportionally more terrestrially-derived organic matter than larger, downstream reaches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&lt;EndNote&gt;&lt;Cite&gt;&lt;Author&gt;Vannote&lt;/Author&gt;&lt;Year&gt;1980&lt;/Year&gt;&lt;RecNum&gt;899&lt;/RecNum&gt;&lt;DisplayText&gt;(Vannote&lt;style face="italic"&gt; et al.&lt;/style&gt;, 1980)&lt;/DisplayText&gt;&lt;record&gt;&lt;rec-number&gt;899&lt;/rec-number&gt;&lt;foreign-keys&gt;&lt;key app="EN" db-id="f09zwdf26xeasaevvsjxv00h9rx2v9xarfsw" timestamp="1399199503"&gt;899&lt;/key&gt;&lt;/foreign-keys&gt;&lt;ref-type name="Journal Article"&gt;17&lt;/ref-type&gt;&lt;contributors&gt;&lt;authors&gt;&lt;author&gt;Vannote, R. L.&lt;/author&gt;&lt;author&gt;Minshall, G. W.&lt;/author&gt;&lt;author&gt;Cummins, K. W.&lt;/author&gt;&lt;author&gt;Sedell, J. R.&lt;/author&gt;&lt;author&gt;Cushing, C. E.&lt;/author&gt;&lt;/authors&gt;&lt;/contributors&gt;&lt;titles&gt;&lt;title&gt;The river continuum concept&lt;/title&gt;&lt;secondary-title&gt;Canadian Journal of Fisheries and Aquatic Sciences&lt;/secondary-title&gt;&lt;/titles&gt;&lt;periodical&gt;&lt;full-title&gt;Canadian Journal of Fisheries and Aquatic Sciences&lt;/full-title&gt;&lt;/periodical&gt;&lt;pages&gt;130-137&lt;/pages&gt;&lt;volume&gt;37&lt;/volume&gt;&lt;number&gt;1&lt;/number&gt;&lt;dates&gt;&lt;year&gt;1980&lt;/year&gt;&lt;/dates&gt;&lt;isbn&gt;0706652X (ISSN)&lt;/isbn&gt;&lt;urls&gt;&lt;related-urls&gt;&lt;url&gt;http://www.scopus.com/inward/record.url?eid=2-s2.0-0018924158&amp;amp;partnerID=40&amp;amp;md5=2f438bfa3af73a27da4b693970e01771&lt;/url&gt;&lt;/related-urls&gt;&lt;/urls&gt;&lt;/record&gt;&lt;/Cite&gt;&lt;/EndNote&gt;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(Vannote</w:t>
      </w:r>
      <w:r w:rsidRPr="00747E35">
        <w:rPr>
          <w:rFonts w:asciiTheme="minorHAnsi" w:hAnsiTheme="minorHAnsi" w:cstheme="minorHAnsi"/>
          <w:i/>
          <w:noProof/>
        </w:rPr>
        <w:t xml:space="preserve"> et al.</w:t>
      </w:r>
      <w:r w:rsidRPr="00747E35">
        <w:rPr>
          <w:rFonts w:asciiTheme="minorHAnsi" w:hAnsiTheme="minorHAnsi" w:cstheme="minorHAnsi"/>
          <w:noProof/>
        </w:rPr>
        <w:t>, 1980)</w:t>
      </w:r>
      <w:r w:rsidRPr="00747E35">
        <w:rPr>
          <w:rFonts w:asciiTheme="minorHAnsi" w:hAnsiTheme="minorHAnsi" w:cstheme="minorHAnsi"/>
        </w:rPr>
        <w:fldChar w:fldCharType="end"/>
      </w:r>
      <w:r w:rsidRPr="00747E35">
        <w:rPr>
          <w:rFonts w:asciiTheme="minorHAnsi" w:hAnsiTheme="minorHAnsi" w:cstheme="minorHAnsi"/>
        </w:rPr>
        <w:t xml:space="preserve">. Microorganisms (fungi, bacteria, algae) first colonise fallen litter in the form of microbial biofilms, and these biofilms subsequently consume this terrestrially-derived organic matter </w:t>
      </w:r>
      <w:r w:rsidRPr="00747E35">
        <w:rPr>
          <w:rFonts w:asciiTheme="minorHAnsi" w:hAnsiTheme="minorHAnsi" w:cstheme="minorHAnsi"/>
        </w:rPr>
        <w:fldChar w:fldCharType="begin">
          <w:fldData xml:space="preserve">PEVuZE5vdGU+PENpdGU+PEF1dGhvcj5TdWJlcmtyb3BwPC9BdXRob3I+PFllYXI+MTk3NjwvWWVh
cj48UmVjTnVtPjEyNzQ8L1JlY051bT48RGlzcGxheVRleHQ+KFN1YmVya3JvcHAgYW5kIEtsdWcs
IDE5NzY7IEd1bGlzIGFuZCBTdWJlcmtyb3BwLCAyMDAzKTwvRGlzcGxheVRleHQ+PHJlY29yZD48
cmVjLW51bWJlcj4xMjc0PC9yZWMtbnVtYmVyPjxmb3JlaWduLWtleXM+PGtleSBhcHA9IkVOIiBk
Yi1pZD0iZjA5endkZjI2eGVhc2FldnZzanh2MDBoOXJ4MnY5eGFyZnN3IiB0aW1lc3RhbXA9IjE0
NjU0MzU0MzIiPjEyNzQ8L2tleT48L2ZvcmVpZ24ta2V5cz48cmVmLXR5cGUgbmFtZT0iSm91cm5h
bCBBcnRpY2xlIj4xNzwvcmVmLXR5cGU+PGNvbnRyaWJ1dG9ycz48YXV0aG9ycz48YXV0aG9yPlN1
YmVya3JvcHAsIEsuPC9hdXRob3I+PGF1dGhvcj5LbHVnLCBNLiBKLjwvYXV0aG9yPjwvYXV0aG9y
cz48L2NvbnRyaWJ1dG9ycz48dGl0bGVzPjx0aXRsZT5GdW5naSBhbmQgYmFjdGVyaWEgYXNzb2Np
YXRlZCB3aXRoIGxlYXZlcyBkdXJpbmcgcHJvY2Vzc2luZyBpbiBhIHdvb2RsYW5kIHN0cmVhbTwv
dGl0bGU+PHNlY29uZGFyeS10aXRsZT5FY29sb2d5PC9zZWNvbmRhcnktdGl0bGU+PC90aXRsZXM+
PHBlcmlvZGljYWw+PGZ1bGwtdGl0bGU+RWNvbG9neTwvZnVsbC10aXRsZT48L3BlcmlvZGljYWw+
PHBhZ2VzPjcwNy03MTk8L3BhZ2VzPjx2b2x1bWU+NTc8L3ZvbHVtZT48bnVtYmVyPjQ8L251bWJl
cj48ZGF0ZXM+PHllYXI+MTk3NjwveWVhcj48L2RhdGVzPjxwdWJsaXNoZXI+RWNvbG9naWNhbCBT
b2NpZXR5IG9mIEFtZXJpY2E8L3B1Ymxpc2hlcj48aXNibj4wMDEyOTY1OCwgMTkzOTkxNzA8L2lz
Ym4+PHVybHM+PHJlbGF0ZWQtdXJscz48dXJsPmh0dHA6Ly93d3cuanN0b3Iub3JnL3N0YWJsZS8x
OTM2MTg0PC91cmw+PC9yZWxhdGVkLXVybHM+PC91cmxzPjxjdXN0b20xPkZ1bGwgcHVibGljYXRp
b24gZGF0ZTogSnVsLiwgMTk3NjwvY3VzdG9tMT48ZWxlY3Ryb25pYy1yZXNvdXJjZS1udW0+MTAu
MjMwNy8xOTM2MTg0PC9lbGVjdHJvbmljLXJlc291cmNlLW51bT48L3JlY29yZD48L0NpdGU+PENp
dGU+PEF1dGhvcj5HdWxpczwvQXV0aG9yPjxZZWFyPjIwMDM8L1llYXI+PFJlY051bT4zNzM8L1Jl
Y051bT48cmVjb3JkPjxyZWMtbnVtYmVyPjM3MzwvcmVjLW51bWJlcj48Zm9yZWlnbi1rZXlzPjxr
ZXkgYXBwPSJFTiIgZGItaWQ9ImYwOXp3ZGYyNnhlYXNhZXZ2c2p4djAwaDlyeDJ2OXhhcmZzdyIg
dGltZXN0YW1wPSIxMzk5MTk5NTAyIj4zNzM8L2tleT48L2ZvcmVpZ24ta2V5cz48cmVmLXR5cGUg
bmFtZT0iSm91cm5hbCBBcnRpY2xlIj4xNzwvcmVmLXR5cGU+PGNvbnRyaWJ1dG9ycz48YXV0aG9y
cz48YXV0aG9yPkd1bGlzLCBWLjwvYXV0aG9yPjxhdXRob3I+U3ViZXJrcm9wcCwgSy48L2F1dGhv
cj48L2F1dGhvcnM+PC9jb250cmlidXRvcnM+PGF1dGgtYWRkcmVzcz5EZXBhcnRtZW50IG9mIEJp
b2xvZ2ljYWwgU2NpZW5jZXMsIFVuaXZlcnNpdHkgb2YgQWxhYmFtYSwgVHVzY2Fsb29zYSwgQUwg
MzU0ODcsIFVuaXRlZCBTdGF0ZXMmI3hEO0RlcC4gZGUgWm9vbG9naWEsIFVuaXZlcnNpZGFkZSBk
ZSBDb2ltYnJhLCAzMDA0LTUxNyBDb2ltYnJhLCBQb3J0dWdhbDwvYXV0aC1hZGRyZXNzPjx0aXRs
ZXM+PHRpdGxlPkVmZmVjdCBvZiBpbm9yZ2FuaWMgbnV0cmllbnRzIG9uIHJlbGF0aXZlIGNvbnRy
aWJ1dGlvbnMgb2YgZnVuZ2kgYW5kIGJhY3RlcmlhIHRvIGNhcmJvbiBmbG93IGZyb20gc3VibWVy
Z2VkIGRlY29tcG9zaW5nIGxlYWYgbGl0dGVyPC90aXRsZT48c2Vjb25kYXJ5LXRpdGxlPk1pY3Jv
YmlhbCBFY29sb2d5PC9zZWNvbmRhcnktdGl0bGU+PC90aXRsZXM+PHBlcmlvZGljYWw+PGZ1bGwt
dGl0bGU+TWljcm9iaWFsIEVjb2xvZ3k8L2Z1bGwtdGl0bGU+PC9wZXJpb2RpY2FsPjxwYWdlcz4x
MS0xOTwvcGFnZXM+PHZvbHVtZT40NTwvdm9sdW1lPjxudW1iZXI+MTwvbnVtYmVyPjxrZXl3b3Jk
cz48a2V5d29yZD5iYWN0ZXJpdW08L2tleXdvcmQ+PGtleXdvcmQ+YmlvbWFzczwva2V5d29yZD48
a2V5d29yZD5jYXJib248L2tleXdvcmQ+PGtleXdvcmQ+Y2FyYm9uIGJ1ZGdldDwva2V5d29yZD48
a2V5d29yZD5mdW5ndXM8L2tleXdvcmQ+PGtleXdvcmQ+bGVhZiBsaXR0ZXI8L2tleXdvcmQ+PGtl
eXdvcmQ+cHJvZHVjdGl2aXR5PC9rZXl3b3JkPjxrZXl3b3JkPkFjZXIgcnVicnVtPC9rZXl3b3Jk
PjxrZXl3b3JkPkJhY3RlcmlhIChtaWNyb29yZ2FuaXNtcyk8L2tleXdvcmQ+PGtleXdvcmQ+RnVu
Z2k8L2tleXdvcmQ+PGtleXdvcmQ+bml0cm9nZW48L2tleXdvcmQ+PGtleXdvcmQ+cGhvc3Bob3J1
czwva2V5d29yZD48a2V5d29yZD5hcnRpY2xlPC9rZXl3b3JkPjxrZXl3b3JkPmJpb3JlbWVkaWF0
aW9uPC9rZXl3b3JkPjxrZXl3b3JkPm1ldGFib2xpc208L2tleXdvcmQ+PGtleXdvcmQ+bWljcm9i
aW9sb2d5PC9rZXl3b3JkPjxrZXl3b3JkPnBsYW50IGxlYWY8L2tleXdvcmQ+PGtleXdvcmQ+cG9w
dWxhdGlvbiBkeW5hbWljczwva2V5d29yZD48a2V5d29yZD5CYWN0ZXJpYTwva2V5d29yZD48a2V5
d29yZD5CaW9kZWdyYWRhdGlvbiwgRW52aXJvbm1lbnRhbDwva2V5d29yZD48a2V5d29yZD5QbGFu
dCBMZWF2ZXM8L2tleXdvcmQ+PGtleXdvcmQ+U29pbCBNaWNyb2Jpb2xvZ3k8L2tleXdvcmQ+PC9r
ZXl3b3Jkcz48ZGF0ZXM+PHllYXI+MjAwMzwveWVhcj48L2RhdGVzPjxpc2JuPjAwOTUzNjI4IChJ
U1NOKTwvaXNibj48dXJscz48cmVsYXRlZC11cmxzPjx1cmw+aHR0cDovL3d3dy5zY29wdXMuY29t
L2lud2FyZC9yZWNvcmQudXJsP2VpZD0yLXMyLjAtMDAzNzI2MzgyNSZhbXA7cGFydG5lcklEPTQw
JmFtcDttZDU9ZGM5OGE2ZDIyNDk3MjdlMjNjNjA0ODIyMjdmZTgxN2Y8L3VybD48L3JlbGF0ZWQt
dXJscz48L3VybHM+PGVsZWN0cm9uaWMtcmVzb3VyY2UtbnVtPjEwLjEwMDcvczAwMjQ4LTAwMi0x
MDMyLTE8L2VsZWN0cm9uaWMtcmVzb3VyY2UtbnVtPjwvcmVjb3JkPjwvQ2l0ZT48L0VuZE5vdGU+
AG==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PEVuZE5vdGU+PENpdGU+PEF1dGhvcj5TdWJlcmtyb3BwPC9BdXRob3I+PFllYXI+MTk3NjwvWWVh
cj48UmVjTnVtPjEyNzQ8L1JlY051bT48RGlzcGxheVRleHQ+KFN1YmVya3JvcHAgYW5kIEtsdWcs
IDE5NzY7IEd1bGlzIGFuZCBTdWJlcmtyb3BwLCAyMDAzKTwvRGlzcGxheVRleHQ+PHJlY29yZD48
cmVjLW51bWJlcj4xMjc0PC9yZWMtbnVtYmVyPjxmb3JlaWduLWtleXM+PGtleSBhcHA9IkVOIiBk
Yi1pZD0iZjA5endkZjI2eGVhc2FldnZzanh2MDBoOXJ4MnY5eGFyZnN3IiB0aW1lc3RhbXA9IjE0
NjU0MzU0MzIiPjEyNzQ8L2tleT48L2ZvcmVpZ24ta2V5cz48cmVmLXR5cGUgbmFtZT0iSm91cm5h
bCBBcnRpY2xlIj4xNzwvcmVmLXR5cGU+PGNvbnRyaWJ1dG9ycz48YXV0aG9ycz48YXV0aG9yPlN1
YmVya3JvcHAsIEsuPC9hdXRob3I+PGF1dGhvcj5LbHVnLCBNLiBKLjwvYXV0aG9yPjwvYXV0aG9y
cz48L2NvbnRyaWJ1dG9ycz48dGl0bGVzPjx0aXRsZT5GdW5naSBhbmQgYmFjdGVyaWEgYXNzb2Np
YXRlZCB3aXRoIGxlYXZlcyBkdXJpbmcgcHJvY2Vzc2luZyBpbiBhIHdvb2RsYW5kIHN0cmVhbTwv
dGl0bGU+PHNlY29uZGFyeS10aXRsZT5FY29sb2d5PC9zZWNvbmRhcnktdGl0bGU+PC90aXRsZXM+
PHBlcmlvZGljYWw+PGZ1bGwtdGl0bGU+RWNvbG9neTwvZnVsbC10aXRsZT48L3BlcmlvZGljYWw+
PHBhZ2VzPjcwNy03MTk8L3BhZ2VzPjx2b2x1bWU+NTc8L3ZvbHVtZT48bnVtYmVyPjQ8L251bWJl
cj48ZGF0ZXM+PHllYXI+MTk3NjwveWVhcj48L2RhdGVzPjxwdWJsaXNoZXI+RWNvbG9naWNhbCBT
b2NpZXR5IG9mIEFtZXJpY2E8L3B1Ymxpc2hlcj48aXNibj4wMDEyOTY1OCwgMTkzOTkxNzA8L2lz
Ym4+PHVybHM+PHJlbGF0ZWQtdXJscz48dXJsPmh0dHA6Ly93d3cuanN0b3Iub3JnL3N0YWJsZS8x
OTM2MTg0PC91cmw+PC9yZWxhdGVkLXVybHM+PC91cmxzPjxjdXN0b20xPkZ1bGwgcHVibGljYXRp
b24gZGF0ZTogSnVsLiwgMTk3NjwvY3VzdG9tMT48ZWxlY3Ryb25pYy1yZXNvdXJjZS1udW0+MTAu
MjMwNy8xOTM2MTg0PC9lbGVjdHJvbmljLXJlc291cmNlLW51bT48L3JlY29yZD48L0NpdGU+PENp
dGU+PEF1dGhvcj5HdWxpczwvQXV0aG9yPjxZZWFyPjIwMDM8L1llYXI+PFJlY051bT4zNzM8L1Jl
Y051bT48cmVjb3JkPjxyZWMtbnVtYmVyPjM3MzwvcmVjLW51bWJlcj48Zm9yZWlnbi1rZXlzPjxr
ZXkgYXBwPSJFTiIgZGItaWQ9ImYwOXp3ZGYyNnhlYXNhZXZ2c2p4djAwaDlyeDJ2OXhhcmZzdyIg
dGltZXN0YW1wPSIxMzk5MTk5NTAyIj4zNzM8L2tleT48L2ZvcmVpZ24ta2V5cz48cmVmLXR5cGUg
bmFtZT0iSm91cm5hbCBBcnRpY2xlIj4xNzwvcmVmLXR5cGU+PGNvbnRyaWJ1dG9ycz48YXV0aG9y
cz48YXV0aG9yPkd1bGlzLCBWLjwvYXV0aG9yPjxhdXRob3I+U3ViZXJrcm9wcCwgSy48L2F1dGhv
cj48L2F1dGhvcnM+PC9jb250cmlidXRvcnM+PGF1dGgtYWRkcmVzcz5EZXBhcnRtZW50IG9mIEJp
b2xvZ2ljYWwgU2NpZW5jZXMsIFVuaXZlcnNpdHkgb2YgQWxhYmFtYSwgVHVzY2Fsb29zYSwgQUwg
MzU0ODcsIFVuaXRlZCBTdGF0ZXMmI3hEO0RlcC4gZGUgWm9vbG9naWEsIFVuaXZlcnNpZGFkZSBk
ZSBDb2ltYnJhLCAzMDA0LTUxNyBDb2ltYnJhLCBQb3J0dWdhbDwvYXV0aC1hZGRyZXNzPjx0aXRs
ZXM+PHRpdGxlPkVmZmVjdCBvZiBpbm9yZ2FuaWMgbnV0cmllbnRzIG9uIHJlbGF0aXZlIGNvbnRy
aWJ1dGlvbnMgb2YgZnVuZ2kgYW5kIGJhY3RlcmlhIHRvIGNhcmJvbiBmbG93IGZyb20gc3VibWVy
Z2VkIGRlY29tcG9zaW5nIGxlYWYgbGl0dGVyPC90aXRsZT48c2Vjb25kYXJ5LXRpdGxlPk1pY3Jv
YmlhbCBFY29sb2d5PC9zZWNvbmRhcnktdGl0bGU+PC90aXRsZXM+PHBlcmlvZGljYWw+PGZ1bGwt
dGl0bGU+TWljcm9iaWFsIEVjb2xvZ3k8L2Z1bGwtdGl0bGU+PC9wZXJpb2RpY2FsPjxwYWdlcz4x
MS0xOTwvcGFnZXM+PHZvbHVtZT40NTwvdm9sdW1lPjxudW1iZXI+MTwvbnVtYmVyPjxrZXl3b3Jk
cz48a2V5d29yZD5iYWN0ZXJpdW08L2tleXdvcmQ+PGtleXdvcmQ+YmlvbWFzczwva2V5d29yZD48
a2V5d29yZD5jYXJib248L2tleXdvcmQ+PGtleXdvcmQ+Y2FyYm9uIGJ1ZGdldDwva2V5d29yZD48
a2V5d29yZD5mdW5ndXM8L2tleXdvcmQ+PGtleXdvcmQ+bGVhZiBsaXR0ZXI8L2tleXdvcmQ+PGtl
eXdvcmQ+cHJvZHVjdGl2aXR5PC9rZXl3b3JkPjxrZXl3b3JkPkFjZXIgcnVicnVtPC9rZXl3b3Jk
PjxrZXl3b3JkPkJhY3RlcmlhIChtaWNyb29yZ2FuaXNtcyk8L2tleXdvcmQ+PGtleXdvcmQ+RnVu
Z2k8L2tleXdvcmQ+PGtleXdvcmQ+bml0cm9nZW48L2tleXdvcmQ+PGtleXdvcmQ+cGhvc3Bob3J1
czwva2V5d29yZD48a2V5d29yZD5hcnRpY2xlPC9rZXl3b3JkPjxrZXl3b3JkPmJpb3JlbWVkaWF0
aW9uPC9rZXl3b3JkPjxrZXl3b3JkPm1ldGFib2xpc208L2tleXdvcmQ+PGtleXdvcmQ+bWljcm9i
aW9sb2d5PC9rZXl3b3JkPjxrZXl3b3JkPnBsYW50IGxlYWY8L2tleXdvcmQ+PGtleXdvcmQ+cG9w
dWxhdGlvbiBkeW5hbWljczwva2V5d29yZD48a2V5d29yZD5CYWN0ZXJpYTwva2V5d29yZD48a2V5
d29yZD5CaW9kZWdyYWRhdGlvbiwgRW52aXJvbm1lbnRhbDwva2V5d29yZD48a2V5d29yZD5QbGFu
dCBMZWF2ZXM8L2tleXdvcmQ+PGtleXdvcmQ+U29pbCBNaWNyb2Jpb2xvZ3k8L2tleXdvcmQ+PC9r
ZXl3b3Jkcz48ZGF0ZXM+PHllYXI+MjAwMzwveWVhcj48L2RhdGVzPjxpc2JuPjAwOTUzNjI4IChJ
U1NOKTwvaXNibj48dXJscz48cmVsYXRlZC11cmxzPjx1cmw+aHR0cDovL3d3dy5zY29wdXMuY29t
L2lud2FyZC9yZWNvcmQudXJsP2VpZD0yLXMyLjAtMDAzNzI2MzgyNSZhbXA7cGFydG5lcklEPTQw
JmFtcDttZDU9ZGM5OGE2ZDIyNDk3MjdlMjNjNjA0ODIyMjdmZTgxN2Y8L3VybD48L3JlbGF0ZWQt
dXJscz48L3VybHM+PGVsZWN0cm9uaWMtcmVzb3VyY2UtbnVtPjEwLjEwMDcvczAwMjQ4LTAwMi0x
MDMyLTE8L2VsZWN0cm9uaWMtcmVzb3VyY2UtbnVtPjwvcmVjb3JkPjwvQ2l0ZT48L0VuZE5vdGU+
AG==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(Suberkropp and Klug, 1976; Gulis and Suberkropp, 2003)</w:t>
      </w:r>
      <w:r w:rsidRPr="00747E35">
        <w:rPr>
          <w:rFonts w:asciiTheme="minorHAnsi" w:hAnsiTheme="minorHAnsi" w:cstheme="minorHAnsi"/>
        </w:rPr>
        <w:fldChar w:fldCharType="end"/>
      </w:r>
      <w:r w:rsidRPr="00747E35">
        <w:rPr>
          <w:rFonts w:asciiTheme="minorHAnsi" w:hAnsiTheme="minorHAnsi" w:cstheme="minorHAnsi"/>
        </w:rPr>
        <w:t xml:space="preserve">. These microorganisms in turn become a food source for other bacteria (the microbial loop) and for grazing macroinvertebrates. </w:t>
      </w:r>
      <w:r w:rsidRPr="00747E35">
        <w:rPr>
          <w:rFonts w:asciiTheme="minorHAnsi" w:hAnsiTheme="minorHAnsi" w:cstheme="minorHAnsi"/>
          <w:color w:val="000000" w:themeColor="text1"/>
        </w:rPr>
        <w:t xml:space="preserve">Microbial colonisation and activity </w:t>
      </w:r>
      <w:r w:rsidRPr="00747E35">
        <w:rPr>
          <w:rFonts w:asciiTheme="minorHAnsi" w:hAnsiTheme="minorHAnsi" w:cstheme="minorHAnsi"/>
          <w:color w:val="000000" w:themeColor="text1"/>
        </w:rPr>
        <w:fldChar w:fldCharType="begin"/>
      </w:r>
      <w:r w:rsidRPr="00747E35">
        <w:rPr>
          <w:rFonts w:asciiTheme="minorHAnsi" w:hAnsiTheme="minorHAnsi" w:cstheme="minorHAnsi"/>
          <w:color w:val="000000" w:themeColor="text1"/>
        </w:rPr>
        <w:instrText xml:space="preserve"> ADDIN EN.CITE &lt;EndNote&gt;&lt;Cite&gt;&lt;Author&gt;Graça&lt;/Author&gt;&lt;Year&gt;2001&lt;/Year&gt;&lt;RecNum&gt;1352&lt;/RecNum&gt;&lt;DisplayText&gt;(Graça, 2001)&lt;/DisplayText&gt;&lt;record&gt;&lt;rec-number&gt;1352&lt;/rec-number&gt;&lt;foreign-keys&gt;&lt;key app="EN" db-id="f09zwdf26xeasaevvsjxv00h9rx2v9xarfsw" timestamp="1478150286"&gt;1352&lt;/key&gt;&lt;/foreign-keys&gt;&lt;ref-type name="Journal Article"&gt;17&lt;/ref-type&gt;&lt;contributors&gt;&lt;authors&gt;&lt;author&gt;Graça, Manuel A. S.&lt;/author&gt;&lt;/authors&gt;&lt;/contributors&gt;&lt;titles&gt;&lt;title&gt;The role of invertebrates on leaf litter decomposition in streams – a review&lt;/title&gt;&lt;secondary-title&gt;International Review of Hydrobiology&lt;/secondary-title&gt;&lt;/titles&gt;&lt;periodical&gt;&lt;full-title&gt;International Review of Hydrobiology&lt;/full-title&gt;&lt;/periodical&gt;&lt;pages&gt;383-393&lt;/pages&gt;&lt;volume&gt;86&lt;/volume&gt;&lt;number&gt;4-5&lt;/number&gt;&lt;keywords&gt;&lt;keyword&gt;decomposition&lt;/keyword&gt;&lt;keyword&gt;shredders&lt;/keyword&gt;&lt;keyword&gt;aquatic fungi&lt;/keyword&gt;&lt;keyword&gt;streams&lt;/keyword&gt;&lt;keyword&gt;detritus&lt;/keyword&gt;&lt;/keywords&gt;&lt;dates&gt;&lt;year&gt;2001&lt;/year&gt;&lt;/dates&gt;&lt;publisher&gt;WILEY-VCH Verlag Berlin GmbH&lt;/publisher&gt;&lt;isbn&gt;1522-2632&lt;/isbn&gt;&lt;urls&gt;&lt;related-urls&gt;&lt;url&gt;http://dx.doi.org/10.1002/1522-2632(200107)86:4/5&amp;lt;383::AID-IROH383&amp;gt;3.0.CO;2-D&lt;/url&gt;&lt;/related-urls&gt;&lt;/urls&gt;&lt;electronic-resource-num&gt;10.1002/1522-2632(200107)86:4/5&amp;lt;383::AID-IROH383&amp;gt;3.0.CO;2-D&lt;/electronic-resource-num&gt;&lt;/record&gt;&lt;/Cite&gt;&lt;/EndNote&gt;</w:instrText>
      </w:r>
      <w:r w:rsidRPr="00747E35">
        <w:rPr>
          <w:rFonts w:asciiTheme="minorHAnsi" w:hAnsiTheme="minorHAnsi" w:cstheme="minorHAnsi"/>
          <w:color w:val="000000" w:themeColor="text1"/>
        </w:rPr>
        <w:fldChar w:fldCharType="separate"/>
      </w:r>
      <w:r w:rsidRPr="00747E35">
        <w:rPr>
          <w:rFonts w:asciiTheme="minorHAnsi" w:hAnsiTheme="minorHAnsi" w:cstheme="minorHAnsi"/>
          <w:noProof/>
          <w:color w:val="000000" w:themeColor="text1"/>
        </w:rPr>
        <w:t>(Graça, 2001)</w:t>
      </w:r>
      <w:r w:rsidRPr="00747E35">
        <w:rPr>
          <w:rFonts w:asciiTheme="minorHAnsi" w:hAnsiTheme="minorHAnsi" w:cstheme="minorHAnsi"/>
          <w:color w:val="000000" w:themeColor="text1"/>
        </w:rPr>
        <w:fldChar w:fldCharType="end"/>
      </w:r>
      <w:r w:rsidRPr="00747E35">
        <w:rPr>
          <w:rFonts w:asciiTheme="minorHAnsi" w:hAnsiTheme="minorHAnsi" w:cstheme="minorHAnsi"/>
          <w:color w:val="000000" w:themeColor="text1"/>
        </w:rPr>
        <w:t xml:space="preserve"> as well as consumption of organic matter by invertebrate detritivores </w:t>
      </w:r>
      <w:r w:rsidRPr="00747E35">
        <w:rPr>
          <w:rFonts w:asciiTheme="minorHAnsi" w:hAnsiTheme="minorHAnsi" w:cstheme="minorHAnsi"/>
          <w:color w:val="000000" w:themeColor="text1"/>
        </w:rPr>
        <w:fldChar w:fldCharType="begin"/>
      </w:r>
      <w:r w:rsidRPr="00747E35">
        <w:rPr>
          <w:rFonts w:asciiTheme="minorHAnsi" w:hAnsiTheme="minorHAnsi" w:cstheme="minorHAnsi"/>
          <w:color w:val="000000" w:themeColor="text1"/>
        </w:rPr>
        <w:instrText xml:space="preserve"> ADDIN EN.CITE &lt;EndNote&gt;&lt;Cite&gt;&lt;Author&gt;Arsuffi&lt;/Author&gt;&lt;Year&gt;1989&lt;/Year&gt;&lt;RecNum&gt;1353&lt;/RecNum&gt;&lt;DisplayText&gt;(Arsuffi and Suberkropp, 1989)&lt;/DisplayText&gt;&lt;record&gt;&lt;rec-number&gt;1353&lt;/rec-number&gt;&lt;foreign-keys&gt;&lt;key app="EN" db-id="f09zwdf26xeasaevvsjxv00h9rx2v9xarfsw" timestamp="1478150465"&gt;1353&lt;/key&gt;&lt;/foreign-keys&gt;&lt;ref-type name="Journal Article"&gt;17&lt;/ref-type&gt;&lt;contributors&gt;&lt;authors&gt;&lt;author&gt;Arsuffi, T. L.&lt;/author&gt;&lt;author&gt;Suberkropp, K.&lt;/author&gt;&lt;/authors&gt;&lt;/contributors&gt;&lt;titles&gt;&lt;title&gt;Selective feeding by shredders on leaf-colonizing stream fungi: comparison of macroinvertebrate taxa&lt;/title&gt;&lt;secondary-title&gt;Oecologia&lt;/secondary-title&gt;&lt;/titles&gt;&lt;periodical&gt;&lt;full-title&gt;Oecologia&lt;/full-title&gt;&lt;/periodical&gt;&lt;pages&gt;30-37&lt;/pages&gt;&lt;volume&gt;79&lt;/volume&gt;&lt;number&gt;1&lt;/number&gt;&lt;dates&gt;&lt;year&gt;1989&lt;/year&gt;&lt;/dates&gt;&lt;isbn&gt;1432-1939&lt;/isbn&gt;&lt;label&gt;Arsuffi1989&lt;/label&gt;&lt;work-type&gt;journal article&lt;/work-type&gt;&lt;urls&gt;&lt;related-urls&gt;&lt;url&gt;http://dx.doi.org/10.1007/BF00378236&lt;/url&gt;&lt;/related-urls&gt;&lt;/urls&gt;&lt;electronic-resource-num&gt;10.1007/bf00378236&lt;/electronic-resource-num&gt;&lt;/record&gt;&lt;/Cite&gt;&lt;/EndNote&gt;</w:instrText>
      </w:r>
      <w:r w:rsidRPr="00747E35">
        <w:rPr>
          <w:rFonts w:asciiTheme="minorHAnsi" w:hAnsiTheme="minorHAnsi" w:cstheme="minorHAnsi"/>
          <w:color w:val="000000" w:themeColor="text1"/>
        </w:rPr>
        <w:fldChar w:fldCharType="separate"/>
      </w:r>
      <w:r w:rsidRPr="00747E35">
        <w:rPr>
          <w:rFonts w:asciiTheme="minorHAnsi" w:hAnsiTheme="minorHAnsi" w:cstheme="minorHAnsi"/>
          <w:noProof/>
          <w:color w:val="000000" w:themeColor="text1"/>
        </w:rPr>
        <w:t>(Arsuffi and Suberkropp, 1989)</w:t>
      </w:r>
      <w:r w:rsidRPr="00747E35">
        <w:rPr>
          <w:rFonts w:asciiTheme="minorHAnsi" w:hAnsiTheme="minorHAnsi" w:cstheme="minorHAnsi"/>
          <w:color w:val="000000" w:themeColor="text1"/>
        </w:rPr>
        <w:fldChar w:fldCharType="end"/>
      </w:r>
      <w:r w:rsidRPr="00747E35">
        <w:rPr>
          <w:rFonts w:asciiTheme="minorHAnsi" w:hAnsiTheme="minorHAnsi" w:cstheme="minorHAnsi"/>
          <w:color w:val="000000" w:themeColor="text1"/>
        </w:rPr>
        <w:t xml:space="preserve"> are also influenced by the chemical composition of the organic matter, such as the carbon-to-nitrogen (C:N) ratio and concentrations of secondary compounds (e.g. tannins, phenolics). Such differences alter both palatability and nutritional ‘quality’ of different organic matter sources. The partial decomposition by microorganisms can make terrestrial organic matter more palatable </w:t>
      </w:r>
      <w:r w:rsidRPr="00747E35">
        <w:rPr>
          <w:rFonts w:asciiTheme="minorHAnsi" w:hAnsiTheme="minorHAnsi" w:cstheme="minorHAnsi"/>
        </w:rPr>
        <w:t xml:space="preserve">for detritivores which, together with grazing macroinvertebrates, are then consumed by animals from higher trophic levels such as </w:t>
      </w:r>
      <w:r w:rsidRPr="00747E35">
        <w:rPr>
          <w:rFonts w:asciiTheme="minorHAnsi" w:hAnsiTheme="minorHAnsi" w:cstheme="minorHAnsi"/>
        </w:rPr>
        <w:lastRenderedPageBreak/>
        <w:t xml:space="preserve">fish. Additionally, microorganisms that colonise terrestrial organic matter mediate many important biogeochemical processes (e.g. mineralisation and immobilisation) that control the uptake and export of dissolved and particulate carbon and nutrients to downstream aquatic and riparian ecosystems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&lt;EndNote&gt;&lt;Cite&gt;&lt;Author&gt;Battin&lt;/Author&gt;&lt;Year&gt;2008&lt;/Year&gt;&lt;RecNum&gt;62&lt;/RecNum&gt;&lt;DisplayText&gt;(Battin&lt;style face="italic"&gt; et al.&lt;/style&gt;, 2008)&lt;/DisplayText&gt;&lt;record&gt;&lt;rec-number&gt;62&lt;/rec-number&gt;&lt;foreign-keys&gt;&lt;key app="EN" db-id="f09zwdf26xeasaevvsjxv00h9rx2v9xarfsw" timestamp="1399199501"&gt;62&lt;/key&gt;&lt;/foreign-keys&gt;&lt;ref-type name="Journal Article"&gt;17&lt;/ref-type&gt;&lt;contributors&gt;&lt;authors&gt;&lt;author&gt;Battin, T. J.&lt;/author&gt;&lt;author&gt;Kaplan, L. A.&lt;/author&gt;&lt;author&gt;Findlay, S.&lt;/author&gt;&lt;author&gt;Hopkinson, C. S.&lt;/author&gt;&lt;author&gt;Marti, E.&lt;/author&gt;&lt;author&gt;Packman, A. I.&lt;/author&gt;&lt;author&gt;Newbold, J. D.&lt;/author&gt;&lt;author&gt;Sabater, F.&lt;/author&gt;&lt;/authors&gt;&lt;/contributors&gt;&lt;titles&gt;&lt;title&gt;Biophysical controls on organic carbon fluxes in fluvial networks&lt;/title&gt;&lt;secondary-title&gt;Nature Geoscience&lt;/secondary-title&gt;&lt;/titles&gt;&lt;periodical&gt;&lt;full-title&gt;Nature Geoscience&lt;/full-title&gt;&lt;/periodical&gt;&lt;pages&gt;95-100&lt;/pages&gt;&lt;volume&gt;1&lt;/volume&gt;&lt;number&gt;2&lt;/number&gt;&lt;dates&gt;&lt;year&gt;2008&lt;/year&gt;&lt;/dates&gt;&lt;urls&gt;&lt;related-urls&gt;&lt;url&gt;http://www.scopus.com/inward/record.url?eid=2-s2.0-51249119056&amp;amp;partnerID=40&amp;amp;md5=81acd25a8dac4026118c632c6d961eb6&lt;/url&gt;&lt;/related-urls&gt;&lt;/urls&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(Battin</w:t>
      </w:r>
      <w:r w:rsidRPr="00747E35">
        <w:rPr>
          <w:rFonts w:asciiTheme="minorHAnsi" w:hAnsiTheme="minorHAnsi" w:cstheme="minorHAnsi"/>
          <w:i/>
          <w:noProof/>
        </w:rPr>
        <w:t xml:space="preserve"> et al.</w:t>
      </w:r>
      <w:r w:rsidRPr="00747E35">
        <w:rPr>
          <w:rFonts w:asciiTheme="minorHAnsi" w:hAnsiTheme="minorHAnsi" w:cstheme="minorHAnsi"/>
          <w:noProof/>
        </w:rPr>
        <w:t>, 2008)</w:t>
      </w:r>
      <w:r w:rsidRPr="00747E35">
        <w:rPr>
          <w:rFonts w:asciiTheme="minorHAnsi" w:hAnsiTheme="minorHAnsi" w:cstheme="minorHAnsi"/>
        </w:rPr>
        <w:fldChar w:fldCharType="end"/>
      </w:r>
      <w:r w:rsidRPr="00747E35">
        <w:rPr>
          <w:rFonts w:asciiTheme="minorHAnsi" w:hAnsiTheme="minorHAnsi" w:cstheme="minorHAnsi"/>
        </w:rPr>
        <w:t xml:space="preserve">. Physical processes, such as abrasion and leaching, can also break down coarse particulate organic matter into finer fragments that can be biologically consumed or exported downstream. Collectively, the decomposition of organic matter is an important process in streams that can contribute significantly to local and regional carbon cycling </w:t>
      </w:r>
      <w:r w:rsidRPr="00747E35">
        <w:rPr>
          <w:rFonts w:asciiTheme="minorHAnsi" w:hAnsiTheme="minorHAnsi" w:cstheme="minorHAnsi"/>
        </w:rPr>
        <w:fldChar w:fldCharType="begin">
          <w:fldData xml:space="preserve">PEVuZE5vdGU+PENpdGU+PEF1dGhvcj5XYWxsYWNlPC9BdXRob3I+PFllYXI+MTk5NzwvWWVhcj48
UmVjTnVtPjkxOTwvUmVjTnVtPjxEaXNwbGF5VGV4dD4oV2FsbGFjZTxzdHlsZSBmYWNlPSJpdGFs
aWMiPiBldCBhbC48L3N0eWxlPiwgMTk5NzsgUm9zZW1vbmQ8c3R5bGUgZmFjZT0iaXRhbGljIj4g
ZXQgYWwuPC9zdHlsZT4sIDIwMTUpPC9EaXNwbGF5VGV4dD48cmVjb3JkPjxyZWMtbnVtYmVyPjkx
OTwvcmVjLW51bWJlcj48Zm9yZWlnbi1rZXlzPjxrZXkgYXBwPSJFTiIgZGItaWQ9ImYwOXp3ZGYy
NnhlYXNhZXZ2c2p4djAwaDlyeDJ2OXhhcmZzdyIgdGltZXN0YW1wPSIxMzk5MTk5NTAzIj45MTk8
L2tleT48L2ZvcmVpZ24ta2V5cz48cmVmLXR5cGUgbmFtZT0iSm91cm5hbCBBcnRpY2xlIj4xNzwv
cmVmLXR5cGU+PGNvbnRyaWJ1dG9ycz48YXV0aG9ycz48YXV0aG9yPldhbGxhY2UsIEouIEIuPC9h
dXRob3I+PGF1dGhvcj5FZ2dlcnQsIFMuIEwuPC9hdXRob3I+PGF1dGhvcj5NZXllciwgSi4gTC48
L2F1dGhvcj48YXV0aG9yPldlYnN0ZXIsIEouIFIuPC9hdXRob3I+PC9hdXRob3JzPjwvY29udHJp
YnV0b3JzPjxhdXRoLWFkZHJlc3M+RGVwYXJ0bWVudCBvZiBFbnRvbW9sb2d5LCBJbnN0aXR1dGUg
b2YgRWNvbG9neSwgVW5pdmVyc2l0eSBvZiBHZW9yZ2lhLCBBdGhlbnMsIEdBIDMwNjAyLCBVbml0
ZWQgU3RhdGVzJiN4RDtEZXBhcnRtZW50IG9mIEVudG9tb2xvZ3ksIFVuaXZlcnNpdHkgb2YgR2Vv
cmdpYSwgQXRoZW5zLCBHQSAzMDYwMiwgVW5pdGVkIFN0YXRlcyYjeEQ7SW5zdGl0dXRlIG9mIEVj
b2xvZ3ksIFVuaXZlcnNpdHkgb2YgR2VvcmdpYSwgQXRoZW5zLCBHQSAzMDYwMiwgVW5pdGVkIFN0
YXRlcyYjeEQ7RGVwYXJ0bWVudCBvZiBCaW9sb2d5LCBWaXJnaW5pYSBQb2x5dGVjaG5pYyBJbnN0
aXR1dGUsIFN0YXRlIFVuaXZlcnNpdHksIEJsYWNrc2J1cmcsIFZBIDI0MDYxLCBVbml0ZWQgU3Rh
dGVzPC9hdXRoLWFkZHJlc3M+PHRpdGxlcz48dGl0bGU+TXVsdGlwbGUgdHJvcGhpYyBsZXZlbHMg
b2YgYSBmb3Jlc3Qgc3RyZWFtIGxpbmtlZCB0byB0ZXJyZXN0cmlhbCBsaXR0ZXIgaW5wdXRzPC90
aXRsZT48c2Vjb25kYXJ5LXRpdGxlPlNjaWVuY2U8L3NlY29uZGFyeS10aXRsZT48L3RpdGxlcz48
cGVyaW9kaWNhbD48ZnVsbC10aXRsZT5TY2llbmNlPC9mdWxsLXRpdGxlPjwvcGVyaW9kaWNhbD48
cGFnZXM+MTAyLTEwNDwvcGFnZXM+PHZvbHVtZT4yNzc8L3ZvbHVtZT48bnVtYmVyPjUzMjI8L251
bWJlcj48a2V5d29yZHM+PGtleXdvcmQ+b3JnYW5pYyBtYXR0ZXI8L2tleXdvcmQ+PGtleXdvcmQ+
d2F0ZXI8L2tleXdvcmQ+PGtleXdvcmQ+ZGV0cml0dXM8L2tleXdvcmQ+PGtleXdvcmQ+Zm9vZCB3
ZWI8L2tleXdvcmQ+PGtleXdvcmQ+Zm9yZXN0IHN0cmVhbTwva2V5d29yZD48a2V5d29yZD5sZWFm
IGxpdHRlcjwva2V5d29yZD48a2V5d29yZD50cm9waGljIGludGVyYWN0aW9uPC9rZXl3b3JkPjxr
ZXl3b3JkPmFxdWF0aWMgZmF1bmE8L2tleXdvcmQ+PGtleXdvcmQ+YXJ0aWNsZTwva2V5d29yZD48
a2V5d29yZD5iZW50aG9zPC9rZXl3b3JkPjxrZXl3b3JkPmJpb21hc3M8L2tleXdvcmQ+PGtleXdv
cmQ+ZWNvc3lzdGVtPC9rZXl3b3JkPjxrZXl3b3JkPmZvcmVzdDwva2V5d29yZD48a2V5d29yZD5w
cmlvcml0eSBqb3VybmFsPC9rZXl3b3JkPjwva2V5d29yZHM+PGRhdGVzPjx5ZWFyPjE5OTc8L3ll
YXI+PC9kYXRlcz48aXNibj4wMDM2ODA3NSAoSVNTTik8L2lzYm4+PHVybHM+PC91cmxzPjxlbGVj
dHJvbmljLXJlc291cmNlLW51bT4xMC4xMTI2L3NjaWVuY2UuMjc3LjUzMjIuMTAyPC9lbGVjdHJv
bmljLXJlc291cmNlLW51bT48L3JlY29yZD48L0NpdGU+PENpdGU+PEF1dGhvcj5Sb3NlbW9uZDwv
QXV0aG9yPjxZZWFyPjIwMTU8L1llYXI+PFJlY051bT4xMTU4PC9SZWNOdW0+PHJlY29yZD48cmVj
LW51bWJlcj4xMTU4PC9yZWMtbnVtYmVyPjxmb3JlaWduLWtleXM+PGtleSBhcHA9IkVOIiBkYi1p
ZD0iZjA5endkZjI2eGVhc2FldnZzanh2MDBoOXJ4MnY5eGFyZnN3IiB0aW1lc3RhbXA9IjE0MzY0
ODcwNjkiPjExNTg8L2tleT48L2ZvcmVpZ24ta2V5cz48cmVmLXR5cGUgbmFtZT0iSm91cm5hbCBB
cnRpY2xlIj4xNzwvcmVmLXR5cGU+PGNvbnRyaWJ1dG9ycz48YXV0aG9ycz48YXV0aG9yPlJvc2Vt
b25kLCBBLiBELjwvYXV0aG9yPjxhdXRob3I+QmVuc3RlYWQsIEouIFAuPC9hdXRob3I+PGF1dGhv
cj5CdW1wZXJzLCBQLiBNLjwvYXV0aG9yPjxhdXRob3I+R3VsaXMsIFYuPC9hdXRob3I+PGF1dGhv
cj5Lb21pbm9za2ksIEouIFMuPC9hdXRob3I+PGF1dGhvcj5NYW5uaW5nLCBELiBXLiBQLjwvYXV0
aG9yPjxhdXRob3I+U3ViZXJrcm9wcCwgSy48L2F1dGhvcj48YXV0aG9yPldhbGxhY2UsIEouIEIu
PC9hdXRob3I+PC9hdXRob3JzPjwvY29udHJpYnV0b3JzPjx0aXRsZXM+PHRpdGxlPkV4cGVyaW1l
bnRhbCBudXRyaWVudCBhZGRpdGlvbnMgYWNjZWxlcmF0ZSB0ZXJyZXN0cmlhbCBjYXJib24gbG9z
cyBmcm9tIHN0cmVhbSBlY29zeXN0ZW1zPC90aXRsZT48c2Vjb25kYXJ5LXRpdGxlPlNjaWVuY2U8
L3NlY29uZGFyeS10aXRsZT48L3RpdGxlcz48cGVyaW9kaWNhbD48ZnVsbC10aXRsZT5TY2llbmNl
PC9mdWxsLXRpdGxlPjwvcGVyaW9kaWNhbD48cGFnZXM+MTE0Mi0xMTQ1PC9wYWdlcz48dm9sdW1l
PjM0Nzwvdm9sdW1lPjxudW1iZXI+NjIyNjwvbnVtYmVyPjxkYXRlcz48eWVhcj4yMDE1PC95ZWFy
PjxwdWItZGF0ZXM+PGRhdGU+TWFyY2ggNiwgMjAxNTwvZGF0ZT48L3B1Yi1kYXRlcz48L2RhdGVz
Pjx1cmxzPjxyZWxhdGVkLXVybHM+PHVybD5odHRwOi8vd3d3LnNjaWVuY2VtYWcub3JnL2NvbnRl
bnQvMzQ3LzYyMjYvMTE0Mi5hYnN0cmFjdDwvdXJsPjwvcmVsYXRlZC11cmxzPjwvdXJscz48ZWxl
Y3Ryb25pYy1yZXNvdXJjZS1udW0+MTAuMTEyNi9zY2llbmNlLmFhYTE5NTg8L2VsZWN0cm9uaWMt
cmVzb3VyY2UtbnVtPjwvcmVjb3JkPjwvQ2l0ZT48L0VuZE5vdGU+AG==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PEVuZE5vdGU+PENpdGU+PEF1dGhvcj5XYWxsYWNlPC9BdXRob3I+PFllYXI+MTk5NzwvWWVhcj48
UmVjTnVtPjkxOTwvUmVjTnVtPjxEaXNwbGF5VGV4dD4oV2FsbGFjZTxzdHlsZSBmYWNlPSJpdGFs
aWMiPiBldCBhbC48L3N0eWxlPiwgMTk5NzsgUm9zZW1vbmQ8c3R5bGUgZmFjZT0iaXRhbGljIj4g
ZXQgYWwuPC9zdHlsZT4sIDIwMTUpPC9EaXNwbGF5VGV4dD48cmVjb3JkPjxyZWMtbnVtYmVyPjkx
OTwvcmVjLW51bWJlcj48Zm9yZWlnbi1rZXlzPjxrZXkgYXBwPSJFTiIgZGItaWQ9ImYwOXp3ZGYy
NnhlYXNhZXZ2c2p4djAwaDlyeDJ2OXhhcmZzdyIgdGltZXN0YW1wPSIxMzk5MTk5NTAzIj45MTk8
L2tleT48L2ZvcmVpZ24ta2V5cz48cmVmLXR5cGUgbmFtZT0iSm91cm5hbCBBcnRpY2xlIj4xNzwv
cmVmLXR5cGU+PGNvbnRyaWJ1dG9ycz48YXV0aG9ycz48YXV0aG9yPldhbGxhY2UsIEouIEIuPC9h
dXRob3I+PGF1dGhvcj5FZ2dlcnQsIFMuIEwuPC9hdXRob3I+PGF1dGhvcj5NZXllciwgSi4gTC48
L2F1dGhvcj48YXV0aG9yPldlYnN0ZXIsIEouIFIuPC9hdXRob3I+PC9hdXRob3JzPjwvY29udHJp
YnV0b3JzPjxhdXRoLWFkZHJlc3M+RGVwYXJ0bWVudCBvZiBFbnRvbW9sb2d5LCBJbnN0aXR1dGUg
b2YgRWNvbG9neSwgVW5pdmVyc2l0eSBvZiBHZW9yZ2lhLCBBdGhlbnMsIEdBIDMwNjAyLCBVbml0
ZWQgU3RhdGVzJiN4RDtEZXBhcnRtZW50IG9mIEVudG9tb2xvZ3ksIFVuaXZlcnNpdHkgb2YgR2Vv
cmdpYSwgQXRoZW5zLCBHQSAzMDYwMiwgVW5pdGVkIFN0YXRlcyYjeEQ7SW5zdGl0dXRlIG9mIEVj
b2xvZ3ksIFVuaXZlcnNpdHkgb2YgR2VvcmdpYSwgQXRoZW5zLCBHQSAzMDYwMiwgVW5pdGVkIFN0
YXRlcyYjeEQ7RGVwYXJ0bWVudCBvZiBCaW9sb2d5LCBWaXJnaW5pYSBQb2x5dGVjaG5pYyBJbnN0
aXR1dGUsIFN0YXRlIFVuaXZlcnNpdHksIEJsYWNrc2J1cmcsIFZBIDI0MDYxLCBVbml0ZWQgU3Rh
dGVzPC9hdXRoLWFkZHJlc3M+PHRpdGxlcz48dGl0bGU+TXVsdGlwbGUgdHJvcGhpYyBsZXZlbHMg
b2YgYSBmb3Jlc3Qgc3RyZWFtIGxpbmtlZCB0byB0ZXJyZXN0cmlhbCBsaXR0ZXIgaW5wdXRzPC90
aXRsZT48c2Vjb25kYXJ5LXRpdGxlPlNjaWVuY2U8L3NlY29uZGFyeS10aXRsZT48L3RpdGxlcz48
cGVyaW9kaWNhbD48ZnVsbC10aXRsZT5TY2llbmNlPC9mdWxsLXRpdGxlPjwvcGVyaW9kaWNhbD48
cGFnZXM+MTAyLTEwNDwvcGFnZXM+PHZvbHVtZT4yNzc8L3ZvbHVtZT48bnVtYmVyPjUzMjI8L251
bWJlcj48a2V5d29yZHM+PGtleXdvcmQ+b3JnYW5pYyBtYXR0ZXI8L2tleXdvcmQ+PGtleXdvcmQ+
d2F0ZXI8L2tleXdvcmQ+PGtleXdvcmQ+ZGV0cml0dXM8L2tleXdvcmQ+PGtleXdvcmQ+Zm9vZCB3
ZWI8L2tleXdvcmQ+PGtleXdvcmQ+Zm9yZXN0IHN0cmVhbTwva2V5d29yZD48a2V5d29yZD5sZWFm
IGxpdHRlcjwva2V5d29yZD48a2V5d29yZD50cm9waGljIGludGVyYWN0aW9uPC9rZXl3b3JkPjxr
ZXl3b3JkPmFxdWF0aWMgZmF1bmE8L2tleXdvcmQ+PGtleXdvcmQ+YXJ0aWNsZTwva2V5d29yZD48
a2V5d29yZD5iZW50aG9zPC9rZXl3b3JkPjxrZXl3b3JkPmJpb21hc3M8L2tleXdvcmQ+PGtleXdv
cmQ+ZWNvc3lzdGVtPC9rZXl3b3JkPjxrZXl3b3JkPmZvcmVzdDwva2V5d29yZD48a2V5d29yZD5w
cmlvcml0eSBqb3VybmFsPC9rZXl3b3JkPjwva2V5d29yZHM+PGRhdGVzPjx5ZWFyPjE5OTc8L3ll
YXI+PC9kYXRlcz48aXNibj4wMDM2ODA3NSAoSVNTTik8L2lzYm4+PHVybHM+PC91cmxzPjxlbGVj
dHJvbmljLXJlc291cmNlLW51bT4xMC4xMTI2L3NjaWVuY2UuMjc3LjUzMjIuMTAyPC9lbGVjdHJv
bmljLXJlc291cmNlLW51bT48L3JlY29yZD48L0NpdGU+PENpdGU+PEF1dGhvcj5Sb3NlbW9uZDwv
QXV0aG9yPjxZZWFyPjIwMTU8L1llYXI+PFJlY051bT4xMTU4PC9SZWNOdW0+PHJlY29yZD48cmVj
LW51bWJlcj4xMTU4PC9yZWMtbnVtYmVyPjxmb3JlaWduLWtleXM+PGtleSBhcHA9IkVOIiBkYi1p
ZD0iZjA5endkZjI2eGVhc2FldnZzanh2MDBoOXJ4MnY5eGFyZnN3IiB0aW1lc3RhbXA9IjE0MzY0
ODcwNjkiPjExNTg8L2tleT48L2ZvcmVpZ24ta2V5cz48cmVmLXR5cGUgbmFtZT0iSm91cm5hbCBB
cnRpY2xlIj4xNzwvcmVmLXR5cGU+PGNvbnRyaWJ1dG9ycz48YXV0aG9ycz48YXV0aG9yPlJvc2Vt
b25kLCBBLiBELjwvYXV0aG9yPjxhdXRob3I+QmVuc3RlYWQsIEouIFAuPC9hdXRob3I+PGF1dGhv
cj5CdW1wZXJzLCBQLiBNLjwvYXV0aG9yPjxhdXRob3I+R3VsaXMsIFYuPC9hdXRob3I+PGF1dGhv
cj5Lb21pbm9za2ksIEouIFMuPC9hdXRob3I+PGF1dGhvcj5NYW5uaW5nLCBELiBXLiBQLjwvYXV0
aG9yPjxhdXRob3I+U3ViZXJrcm9wcCwgSy48L2F1dGhvcj48YXV0aG9yPldhbGxhY2UsIEouIEIu
PC9hdXRob3I+PC9hdXRob3JzPjwvY29udHJpYnV0b3JzPjx0aXRsZXM+PHRpdGxlPkV4cGVyaW1l
bnRhbCBudXRyaWVudCBhZGRpdGlvbnMgYWNjZWxlcmF0ZSB0ZXJyZXN0cmlhbCBjYXJib24gbG9z
cyBmcm9tIHN0cmVhbSBlY29zeXN0ZW1zPC90aXRsZT48c2Vjb25kYXJ5LXRpdGxlPlNjaWVuY2U8
L3NlY29uZGFyeS10aXRsZT48L3RpdGxlcz48cGVyaW9kaWNhbD48ZnVsbC10aXRsZT5TY2llbmNl
PC9mdWxsLXRpdGxlPjwvcGVyaW9kaWNhbD48cGFnZXM+MTE0Mi0xMTQ1PC9wYWdlcz48dm9sdW1l
PjM0Nzwvdm9sdW1lPjxudW1iZXI+NjIyNjwvbnVtYmVyPjxkYXRlcz48eWVhcj4yMDE1PC95ZWFy
PjxwdWItZGF0ZXM+PGRhdGU+TWFyY2ggNiwgMjAxNTwvZGF0ZT48L3B1Yi1kYXRlcz48L2RhdGVz
Pjx1cmxzPjxyZWxhdGVkLXVybHM+PHVybD5odHRwOi8vd3d3LnNjaWVuY2VtYWcub3JnL2NvbnRl
bnQvMzQ3LzYyMjYvMTE0Mi5hYnN0cmFjdDwvdXJsPjwvcmVsYXRlZC11cmxzPjwvdXJscz48ZWxl
Y3Ryb25pYy1yZXNvdXJjZS1udW0+MTAuMTEyNi9zY2llbmNlLmFhYTE5NTg8L2VsZWN0cm9uaWMt
cmVzb3VyY2UtbnVtPjwvcmVjb3JkPjwvQ2l0ZT48L0VuZE5vdGU+AG==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(Wallace</w:t>
      </w:r>
      <w:r w:rsidRPr="00747E35">
        <w:rPr>
          <w:rFonts w:asciiTheme="minorHAnsi" w:hAnsiTheme="minorHAnsi" w:cstheme="minorHAnsi"/>
          <w:i/>
          <w:noProof/>
        </w:rPr>
        <w:t xml:space="preserve"> et al.</w:t>
      </w:r>
      <w:r w:rsidRPr="00747E35">
        <w:rPr>
          <w:rFonts w:asciiTheme="minorHAnsi" w:hAnsiTheme="minorHAnsi" w:cstheme="minorHAnsi"/>
          <w:noProof/>
        </w:rPr>
        <w:t>, 1997; Rosemond</w:t>
      </w:r>
      <w:r w:rsidRPr="00747E35">
        <w:rPr>
          <w:rFonts w:asciiTheme="minorHAnsi" w:hAnsiTheme="minorHAnsi" w:cstheme="minorHAnsi"/>
          <w:i/>
          <w:noProof/>
        </w:rPr>
        <w:t xml:space="preserve"> et al.</w:t>
      </w:r>
      <w:r w:rsidRPr="00747E35">
        <w:rPr>
          <w:rFonts w:asciiTheme="minorHAnsi" w:hAnsiTheme="minorHAnsi" w:cstheme="minorHAnsi"/>
          <w:noProof/>
        </w:rPr>
        <w:t>, 2015)</w:t>
      </w:r>
      <w:r w:rsidRPr="00747E35">
        <w:rPr>
          <w:rFonts w:asciiTheme="minorHAnsi" w:hAnsiTheme="minorHAnsi" w:cstheme="minorHAnsi"/>
        </w:rPr>
        <w:fldChar w:fldCharType="end"/>
      </w:r>
      <w:r w:rsidRPr="00747E35">
        <w:rPr>
          <w:rFonts w:asciiTheme="minorHAnsi" w:hAnsiTheme="minorHAnsi" w:cstheme="minorHAnsi"/>
        </w:rPr>
        <w:t xml:space="preserve">. </w:t>
      </w:r>
    </w:p>
    <w:p w14:paraId="4DCC8C71"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Given the important ecological role of detrital processes in aquatic ecosystems, measurements of organic matter processing can provide important information on the functional integrity of streams, rivers, and the entire fluvial network </w:t>
      </w:r>
      <w:r w:rsidRPr="00747E35">
        <w:rPr>
          <w:rFonts w:asciiTheme="minorHAnsi" w:hAnsiTheme="minorHAnsi" w:cstheme="minorHAnsi"/>
        </w:rPr>
        <w:fldChar w:fldCharType="begin">
          <w:fldData xml:space="preserve">PEVuZE5vdGU+PENpdGU+PEF1dGhvcj5XaXBmbGk8L0F1dGhvcj48WWVhcj4yMDA3PC9ZZWFyPjxS
ZWNOdW0+OTYzPC9SZWNOdW0+PERpc3BsYXlUZXh0PihXaXBmbGk8c3R5bGUgZmFjZT0iaXRhbGlj
Ij4gZXQgYWwuPC9zdHlsZT4sIDIwMDc7IFlvdW5nPHN0eWxlIGZhY2U9Iml0YWxpYyI+IGV0IGFs
Ljwvc3R5bGU+LCAyMDA4KTwvRGlzcGxheVRleHQ+PHJlY29yZD48cmVjLW51bWJlcj45NjM8L3Jl
Yy1udW1iZXI+PGZvcmVpZ24ta2V5cz48a2V5IGFwcD0iRU4iIGRiLWlkPSJmMDl6d2RmMjZ4ZWFz
YWV2dnNqeHYwMGg5cngydjl4YXJmc3ciIHRpbWVzdGFtcD0iMTM5OTE5OTUwMyI+OTYzPC9rZXk+
PC9mb3JlaWduLWtleXM+PHJlZi10eXBlIG5hbWU9IkpvdXJuYWwgQXJ0aWNsZSI+MTc8L3JlZi10
eXBlPjxjb250cmlidXRvcnM+PGF1dGhvcnM+PGF1dGhvcj5XaXBmbGksIE0uIFMuPC9hdXRob3I+
PGF1dGhvcj5SaWNoYXJkc29uLCBKLiBTLjwvYXV0aG9yPjxhdXRob3I+TmFpbWFuLCBSLiBKLjwv
YXV0aG9yPjwvYXV0aG9ycz48L2NvbnRyaWJ1dG9ycz48YXV0aC1hZGRyZXNzPlVTR1MgQWxhc2th
IENvb3BlcmF0aXZlIEZpc2ggYW5kIFdpbGRsaWZlIFJlc2VhcmNoIFVuaXQsIEluc3RpdHV0ZSBv
ZiBBcmN0aWMgQmlvbG9neSwgVW5pdmVyc2l0eSBvZiBBbGFza2EgRmFpcmJhbmtzLCBGYWlyYmFu
a3MsIEFLIDk5Nzc1LCBVbml0ZWQgU3RhdGVzJiN4RDtEZXBhcnRtZW50IG9mIEZvcmVzdCBTY2ll
bmNlcywgVW5pdmVyc2l0eSBvZiBCcml0aXNoIENvbHVtYmlhLCAzMDQxIC0gMjQyNCBNYWluIE1h
bGwsIFZhbmNvdXZlciwgQkMgVjZUIDFaNCwgQ2FuYWRhJiN4RDtTY2hvb2wgb2YgQXF1YXRpYyBh
bmQgRmlzaGVyeSBTY2llbmNlcywgVW5pdmVyc2l0eSBvZiBXYXNoaW5ndG9uLCBCb3ggMzU1MDIw
LCBTZWF0dGxlLCBXQSA5ODE5NSwgVW5pdGVkIFN0YXRlczwvYXV0aC1hZGRyZXNzPjx0aXRsZXM+
PHRpdGxlPkVjb2xvZ2ljYWwgbGlua2FnZXMgYmV0d2VlbiBoZWFkd2F0ZXJzIGFuZCBkb3duc3Ry
ZWFtIGVjb3N5c3RlbXM6IHRyYW5zcG9ydCBvZiBvcmdhbmljIG1hdHRlciwgaW52ZXJ0ZWJyYXRl
cywgYW5kIHdvb2QgZG93biBoZWFkd2F0ZXIgY2hhbm5lbHM8L3RpdGxlPjxzZWNvbmRhcnktdGl0
bGU+Sm91cm5hbCBvZiB0aGUgQW1lcmljYW4gV2F0ZXIgUmVzb3VyY2VzIEFzc29jaWF0aW9uPC9z
ZWNvbmRhcnktdGl0bGU+PC90aXRsZXM+PHBlcmlvZGljYWw+PGZ1bGwtdGl0bGU+Sm91cm5hbCBv
ZiB0aGUgQW1lcmljYW4gV2F0ZXIgUmVzb3VyY2VzIEFzc29jaWF0aW9uPC9mdWxsLXRpdGxlPjwv
cGVyaW9kaWNhbD48cGFnZXM+NzItODU8L3BhZ2VzPjx2b2x1bWU+NDM8L3ZvbHVtZT48bnVtYmVy
PjE8L251bWJlcj48a2V5d29yZHM+PGtleXdvcmQ+RWNvc3lzdGVtIHNlcnZpY2VzPC9rZXl3b3Jk
PjxrZXl3b3JkPkhlYWR3YXRlciBzdHJlYW1zPC9rZXl3b3JkPjxrZXl3b3JkPkludmVydGVicmF0
ZXM8L2tleXdvcmQ+PGtleXdvcmQ+T3JnYW5pYyBtYXR0ZXI8L2tleXdvcmQ+PGtleXdvcmQ+U3Vi
c2lkeTwva2V5d29yZD48a2V5d29yZD5UcmFuc3BvcnQ8L2tleXdvcmQ+PGtleXdvcmQ+V29vZDwv
a2V5d29yZD48a2V5d29yZD5CaW9kaXZlcnNpdHk8L2tleXdvcmQ+PGtleXdvcmQ+QmlvZmlsbXM8
L2tleXdvcmQ+PGtleXdvcmQ+RGVjb21wb3NpdGlvbjwva2V5d29yZD48a2V5d29yZD5XYXRlciBy
ZXNvdXJjZXM8L2tleXdvcmQ+PGtleXdvcmQ+RWNvbG9neTwva2V5d29yZD48a2V5d29yZD5hcXVh
dGljIGNvbW11bml0eTwva2V5d29yZD48a2V5d29yZD5iaW9hY3Rpdml0eTwva2V5d29yZD48a2V5
d29yZD5iaW9maWxtPC9rZXl3b3JkPjxrZXl3b3JkPmNvbm5lY3Rpdml0eTwva2V5d29yZD48a2V5
d29yZD5kaXNzb2x2ZWQgb3JnYW5pYyBtYXR0ZXI8L2tleXdvcmQ+PGtleXdvcmQ+ZWNvbG9naWNh
bCBtb2RlbGluZzwva2V5d29yZD48a2V5d29yZD5lY29zeXN0ZW0gc2VydmljZTwva2V5d29yZD48
a2V5d29yZD5lbmVyZ3kgZmx1eDwva2V5d29yZD48a2V5d29yZD5oZWFkd2F0ZXI8L2tleXdvcmQ+
PGtleXdvcmQ+aW52ZXJ0ZWJyYXRlPC9rZXl3b3JkPjxrZXl3b3JkPmxhbmQgdXNlPC9rZXl3b3Jk
PjxrZXl3b3JkPnJpcGFyaWFuIGZvcmVzdDwva2V5d29yZD48a2V5d29yZD5yaXZlciB3YXRlcjwv
a2V5d29yZD48a2V5d29yZD5zdXJmYWNlIHdhdGVyPC9rZXl3b3JkPjxrZXl3b3JkPkludmVydGVi
cmF0YTwva2V5d29yZD48L2tleXdvcmRzPjxkYXRlcz48eWVhcj4yMDA3PC95ZWFyPjwvZGF0ZXM+
PGlzYm4+MTA5MzQ3NFggKElTU04pPC9pc2JuPjx1cmxzPjxyZWxhdGVkLXVybHM+PHVybD5odHRw
Oi8vd3d3LnNjb3B1cy5jb20vc2NvcHVzL2lud2FyZC9yZWNvcmQudXJsP2VpZD0yLXMyLjAtMzM4
NDcyMjg3NzMmYW1wO3BhcnRuZXJJRD00MDwvdXJsPjwvcmVsYXRlZC11cmxzPjwvdXJscz48L3Jl
Y29yZD48L0NpdGU+PENpdGU+PEF1dGhvcj5Zb3VuZzwvQXV0aG9yPjxZZWFyPjIwMDg8L1llYXI+
PFJlY051bT45Nzk8L1JlY051bT48cmVjb3JkPjxyZWMtbnVtYmVyPjk3OTwvcmVjLW51bWJlcj48
Zm9yZWlnbi1rZXlzPjxrZXkgYXBwPSJFTiIgZGItaWQ9ImYwOXp3ZGYyNnhlYXNhZXZ2c2p4djAw
aDlyeDJ2OXhhcmZzdyIgdGltZXN0YW1wPSIxMzk5MTk5NTAzIj45Nzk8L2tleT48L2ZvcmVpZ24t
a2V5cz48cmVmLXR5cGUgbmFtZT0iSm91cm5hbCBBcnRpY2xlIj4xNzwvcmVmLXR5cGU+PGNvbnRy
aWJ1dG9ycz48YXV0aG9ycz48YXV0aG9yPllvdW5nLCBSLiBHLjwvYXV0aG9yPjxhdXRob3I+TWF0
dGhhZWksIEMuIEQuPC9hdXRob3I+PGF1dGhvcj5Ub3duc2VuZCwgQy4gUi48L2F1dGhvcj48L2F1
dGhvcnM+PC9jb250cmlidXRvcnM+PGF1dGgtYWRkcmVzcz5DYXd0aHJvbiBJbnN0aXR1dGUsIFBy
aXZhdGUgQmFnIDIsIE5lbHNvbiwgTmV3IFplYWxhbmQmI3hEO0RlcGFydG1lbnQgb2YgWm9vbG9n
eSwgVW5pdmVyc2l0eSBvZiBPdGFnbywgUC5PLiBCb3ggNTYsIER1bmVkaW4sIE5ldyBaZWFsYW5k
PC9hdXRoLWFkZHJlc3M+PHRpdGxlcz48dGl0bGU+T3JnYW5pYyBtYXR0ZXIgYnJlYWtkb3duIGFu
ZCBlY29zeXN0ZW0gbWV0YWJvbGlzbTogRnVuY3Rpb25hbCBpbmRpY2F0b3JzIGZvciBhc3Nlc3Np
bmcgcml2ZXIgZWNvc3lzdGVtIGhlYWx0aDwvdGl0bGU+PHNlY29uZGFyeS10aXRsZT5Kb3VybmFs
IG9mIHRoZSBOb3J0aCBBbWVyaWNhbiBCZW50aG9sb2dpY2FsIFNvY2lldHk8L3NlY29uZGFyeS10
aXRsZT48L3RpdGxlcz48cGVyaW9kaWNhbD48ZnVsbC10aXRsZT5Kb3VybmFsIG9mIHRoZSBOb3J0
aCBBbWVyaWNhbiBCZW50aG9sb2dpY2FsIFNvY2lldHk8L2Z1bGwtdGl0bGU+PC9wZXJpb2RpY2Fs
PjxwYWdlcz42MDUtNjI1PC9wYWdlcz48dm9sdW1lPjI3PC92b2x1bWU+PG51bWJlcj4zPC9udW1i
ZXI+PGtleXdvcmRzPjxrZXl3b3JkPkVjb2xvZ2ljYWwgaW50ZWdyaXR5PC9rZXl3b3JkPjxrZXl3
b3JkPkVjb3N5c3RlbSBmdW5jdGlvbjwva2V5d29yZD48a2V5d29yZD5FY29zeXN0ZW0gbWV0YWJv
bGlzbTwva2V5d29yZD48a2V5d29yZD5FbnZpcm9ubWVudGFsIG1vbml0b3Jpbmc8L2tleXdvcmQ+
PGtleXdvcmQ+R3Jvc3MgcHJpbWFyeSBwcm9kdWN0aW9uPC9rZXl3b3JkPjxrZXl3b3JkPkxlYWYg
bGl0dGVyPC9rZXl3b3JkPjxrZXl3b3JkPk9yZ2FuaWMgbWF0dGVyIGRlY29tcG9zaXRpb248L2tl
eXdvcmQ+PGtleXdvcmQ+UmVzcGlyYXRpb248L2tleXdvcmQ+PGtleXdvcmQ+Uml2ZXIgaGVhbHRo
PC9rZXl3b3JkPjxrZXl3b3JkPmFxdWF0aWMgb3JnYW5pc208L2tleXdvcmQ+PGtleXdvcmQ+Ymlv
bW9uaXRvcmluZzwva2V5d29yZD48a2V5d29yZD5lY29sb2dpY2FsIG1vZGVsaW5nPC9rZXl3b3Jk
PjxrZXl3b3JkPmVjb3N5c3RlbSBoZWFsdGg8L2tleXdvcmQ+PGtleXdvcmQ+ZW52aXJvbm1lbnRh
bCBmYWN0b3I8L2tleXdvcmQ+PGtleXdvcmQ+ZnJlc2h3YXRlciBlY29zeXN0ZW08L2tleXdvcmQ+
PGtleXdvcmQ+aGVhbHRoIG1vbml0b3Jpbmc8L2tleXdvcmQ+PGtleXdvcmQ+aHVtYW4gYWN0aXZp
dHk8L2tleXdvcmQ+PGtleXdvcmQ+bWV0YWJvbGlzbTwva2V5d29yZD48a2V5d29yZD5taWNyb29y
Z2FuaXNtPC9rZXl3b3JkPjxrZXl3b3JkPm9yZ2FuaWMgbWF0dGVyPC9rZXl3b3JkPjxrZXl3b3Jk
PnByaW1hcnkgcHJvZHVjdGlvbjwva2V5d29yZD48a2V5d29yZD53YXRlciBxdWFsaXR5PC9rZXl3
b3JkPjxrZXl3b3JkPkludmVydGVicmF0YTwva2V5d29yZD48L2tleXdvcmRzPjxkYXRlcz48eWVh
cj4yMDA4PC95ZWFyPjwvZGF0ZXM+PGlzYm4+MDg4NzM1OTMgKElTU04pPC9pc2JuPjx1cmxzPjxy
ZWxhdGVkLXVybHM+PHVybD5odHRwOi8vd3d3LnNjb3B1cy5jb20vaW53YXJkL3JlY29yZC51cmw/
ZWlkPTItczIuMC01MTU0OTA5Mzk1NCZhbXA7cGFydG5lcklEPTQwJmFtcDttZDU9YmEwN2MwM2Jm
YTEwOTkxODg0YmRkZjZjZmUxNjRlZWU8L3VybD48L3JlbGF0ZWQtdXJscz48L3VybHM+PC9yZWNv
cmQ+PC9DaXRlPjwvRW5kTm90ZT4A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PEVuZE5vdGU+PENpdGU+PEF1dGhvcj5XaXBmbGk8L0F1dGhvcj48WWVhcj4yMDA3PC9ZZWFyPjxS
ZWNOdW0+OTYzPC9SZWNOdW0+PERpc3BsYXlUZXh0PihXaXBmbGk8c3R5bGUgZmFjZT0iaXRhbGlj
Ij4gZXQgYWwuPC9zdHlsZT4sIDIwMDc7IFlvdW5nPHN0eWxlIGZhY2U9Iml0YWxpYyI+IGV0IGFs
Ljwvc3R5bGU+LCAyMDA4KTwvRGlzcGxheVRleHQ+PHJlY29yZD48cmVjLW51bWJlcj45NjM8L3Jl
Yy1udW1iZXI+PGZvcmVpZ24ta2V5cz48a2V5IGFwcD0iRU4iIGRiLWlkPSJmMDl6d2RmMjZ4ZWFz
YWV2dnNqeHYwMGg5cngydjl4YXJmc3ciIHRpbWVzdGFtcD0iMTM5OTE5OTUwMyI+OTYzPC9rZXk+
PC9mb3JlaWduLWtleXM+PHJlZi10eXBlIG5hbWU9IkpvdXJuYWwgQXJ0aWNsZSI+MTc8L3JlZi10
eXBlPjxjb250cmlidXRvcnM+PGF1dGhvcnM+PGF1dGhvcj5XaXBmbGksIE0uIFMuPC9hdXRob3I+
PGF1dGhvcj5SaWNoYXJkc29uLCBKLiBTLjwvYXV0aG9yPjxhdXRob3I+TmFpbWFuLCBSLiBKLjwv
YXV0aG9yPjwvYXV0aG9ycz48L2NvbnRyaWJ1dG9ycz48YXV0aC1hZGRyZXNzPlVTR1MgQWxhc2th
IENvb3BlcmF0aXZlIEZpc2ggYW5kIFdpbGRsaWZlIFJlc2VhcmNoIFVuaXQsIEluc3RpdHV0ZSBv
ZiBBcmN0aWMgQmlvbG9neSwgVW5pdmVyc2l0eSBvZiBBbGFza2EgRmFpcmJhbmtzLCBGYWlyYmFu
a3MsIEFLIDk5Nzc1LCBVbml0ZWQgU3RhdGVzJiN4RDtEZXBhcnRtZW50IG9mIEZvcmVzdCBTY2ll
bmNlcywgVW5pdmVyc2l0eSBvZiBCcml0aXNoIENvbHVtYmlhLCAzMDQxIC0gMjQyNCBNYWluIE1h
bGwsIFZhbmNvdXZlciwgQkMgVjZUIDFaNCwgQ2FuYWRhJiN4RDtTY2hvb2wgb2YgQXF1YXRpYyBh
bmQgRmlzaGVyeSBTY2llbmNlcywgVW5pdmVyc2l0eSBvZiBXYXNoaW5ndG9uLCBCb3ggMzU1MDIw
LCBTZWF0dGxlLCBXQSA5ODE5NSwgVW5pdGVkIFN0YXRlczwvYXV0aC1hZGRyZXNzPjx0aXRsZXM+
PHRpdGxlPkVjb2xvZ2ljYWwgbGlua2FnZXMgYmV0d2VlbiBoZWFkd2F0ZXJzIGFuZCBkb3duc3Ry
ZWFtIGVjb3N5c3RlbXM6IHRyYW5zcG9ydCBvZiBvcmdhbmljIG1hdHRlciwgaW52ZXJ0ZWJyYXRl
cywgYW5kIHdvb2QgZG93biBoZWFkd2F0ZXIgY2hhbm5lbHM8L3RpdGxlPjxzZWNvbmRhcnktdGl0
bGU+Sm91cm5hbCBvZiB0aGUgQW1lcmljYW4gV2F0ZXIgUmVzb3VyY2VzIEFzc29jaWF0aW9uPC9z
ZWNvbmRhcnktdGl0bGU+PC90aXRsZXM+PHBlcmlvZGljYWw+PGZ1bGwtdGl0bGU+Sm91cm5hbCBv
ZiB0aGUgQW1lcmljYW4gV2F0ZXIgUmVzb3VyY2VzIEFzc29jaWF0aW9uPC9mdWxsLXRpdGxlPjwv
cGVyaW9kaWNhbD48cGFnZXM+NzItODU8L3BhZ2VzPjx2b2x1bWU+NDM8L3ZvbHVtZT48bnVtYmVy
PjE8L251bWJlcj48a2V5d29yZHM+PGtleXdvcmQ+RWNvc3lzdGVtIHNlcnZpY2VzPC9rZXl3b3Jk
PjxrZXl3b3JkPkhlYWR3YXRlciBzdHJlYW1zPC9rZXl3b3JkPjxrZXl3b3JkPkludmVydGVicmF0
ZXM8L2tleXdvcmQ+PGtleXdvcmQ+T3JnYW5pYyBtYXR0ZXI8L2tleXdvcmQ+PGtleXdvcmQ+U3Vi
c2lkeTwva2V5d29yZD48a2V5d29yZD5UcmFuc3BvcnQ8L2tleXdvcmQ+PGtleXdvcmQ+V29vZDwv
a2V5d29yZD48a2V5d29yZD5CaW9kaXZlcnNpdHk8L2tleXdvcmQ+PGtleXdvcmQ+QmlvZmlsbXM8
L2tleXdvcmQ+PGtleXdvcmQ+RGVjb21wb3NpdGlvbjwva2V5d29yZD48a2V5d29yZD5XYXRlciBy
ZXNvdXJjZXM8L2tleXdvcmQ+PGtleXdvcmQ+RWNvbG9neTwva2V5d29yZD48a2V5d29yZD5hcXVh
dGljIGNvbW11bml0eTwva2V5d29yZD48a2V5d29yZD5iaW9hY3Rpdml0eTwva2V5d29yZD48a2V5
d29yZD5iaW9maWxtPC9rZXl3b3JkPjxrZXl3b3JkPmNvbm5lY3Rpdml0eTwva2V5d29yZD48a2V5
d29yZD5kaXNzb2x2ZWQgb3JnYW5pYyBtYXR0ZXI8L2tleXdvcmQ+PGtleXdvcmQ+ZWNvbG9naWNh
bCBtb2RlbGluZzwva2V5d29yZD48a2V5d29yZD5lY29zeXN0ZW0gc2VydmljZTwva2V5d29yZD48
a2V5d29yZD5lbmVyZ3kgZmx1eDwva2V5d29yZD48a2V5d29yZD5oZWFkd2F0ZXI8L2tleXdvcmQ+
PGtleXdvcmQ+aW52ZXJ0ZWJyYXRlPC9rZXl3b3JkPjxrZXl3b3JkPmxhbmQgdXNlPC9rZXl3b3Jk
PjxrZXl3b3JkPnJpcGFyaWFuIGZvcmVzdDwva2V5d29yZD48a2V5d29yZD5yaXZlciB3YXRlcjwv
a2V5d29yZD48a2V5d29yZD5zdXJmYWNlIHdhdGVyPC9rZXl3b3JkPjxrZXl3b3JkPkludmVydGVi
cmF0YTwva2V5d29yZD48L2tleXdvcmRzPjxkYXRlcz48eWVhcj4yMDA3PC95ZWFyPjwvZGF0ZXM+
PGlzYm4+MTA5MzQ3NFggKElTU04pPC9pc2JuPjx1cmxzPjxyZWxhdGVkLXVybHM+PHVybD5odHRw
Oi8vd3d3LnNjb3B1cy5jb20vc2NvcHVzL2lud2FyZC9yZWNvcmQudXJsP2VpZD0yLXMyLjAtMzM4
NDcyMjg3NzMmYW1wO3BhcnRuZXJJRD00MDwvdXJsPjwvcmVsYXRlZC11cmxzPjwvdXJscz48L3Jl
Y29yZD48L0NpdGU+PENpdGU+PEF1dGhvcj5Zb3VuZzwvQXV0aG9yPjxZZWFyPjIwMDg8L1llYXI+
PFJlY051bT45Nzk8L1JlY051bT48cmVjb3JkPjxyZWMtbnVtYmVyPjk3OTwvcmVjLW51bWJlcj48
Zm9yZWlnbi1rZXlzPjxrZXkgYXBwPSJFTiIgZGItaWQ9ImYwOXp3ZGYyNnhlYXNhZXZ2c2p4djAw
aDlyeDJ2OXhhcmZzdyIgdGltZXN0YW1wPSIxMzk5MTk5NTAzIj45Nzk8L2tleT48L2ZvcmVpZ24t
a2V5cz48cmVmLXR5cGUgbmFtZT0iSm91cm5hbCBBcnRpY2xlIj4xNzwvcmVmLXR5cGU+PGNvbnRy
aWJ1dG9ycz48YXV0aG9ycz48YXV0aG9yPllvdW5nLCBSLiBHLjwvYXV0aG9yPjxhdXRob3I+TWF0
dGhhZWksIEMuIEQuPC9hdXRob3I+PGF1dGhvcj5Ub3duc2VuZCwgQy4gUi48L2F1dGhvcj48L2F1
dGhvcnM+PC9jb250cmlidXRvcnM+PGF1dGgtYWRkcmVzcz5DYXd0aHJvbiBJbnN0aXR1dGUsIFBy
aXZhdGUgQmFnIDIsIE5lbHNvbiwgTmV3IFplYWxhbmQmI3hEO0RlcGFydG1lbnQgb2YgWm9vbG9n
eSwgVW5pdmVyc2l0eSBvZiBPdGFnbywgUC5PLiBCb3ggNTYsIER1bmVkaW4sIE5ldyBaZWFsYW5k
PC9hdXRoLWFkZHJlc3M+PHRpdGxlcz48dGl0bGU+T3JnYW5pYyBtYXR0ZXIgYnJlYWtkb3duIGFu
ZCBlY29zeXN0ZW0gbWV0YWJvbGlzbTogRnVuY3Rpb25hbCBpbmRpY2F0b3JzIGZvciBhc3Nlc3Np
bmcgcml2ZXIgZWNvc3lzdGVtIGhlYWx0aDwvdGl0bGU+PHNlY29uZGFyeS10aXRsZT5Kb3VybmFs
IG9mIHRoZSBOb3J0aCBBbWVyaWNhbiBCZW50aG9sb2dpY2FsIFNvY2lldHk8L3NlY29uZGFyeS10
aXRsZT48L3RpdGxlcz48cGVyaW9kaWNhbD48ZnVsbC10aXRsZT5Kb3VybmFsIG9mIHRoZSBOb3J0
aCBBbWVyaWNhbiBCZW50aG9sb2dpY2FsIFNvY2lldHk8L2Z1bGwtdGl0bGU+PC9wZXJpb2RpY2Fs
PjxwYWdlcz42MDUtNjI1PC9wYWdlcz48dm9sdW1lPjI3PC92b2x1bWU+PG51bWJlcj4zPC9udW1i
ZXI+PGtleXdvcmRzPjxrZXl3b3JkPkVjb2xvZ2ljYWwgaW50ZWdyaXR5PC9rZXl3b3JkPjxrZXl3
b3JkPkVjb3N5c3RlbSBmdW5jdGlvbjwva2V5d29yZD48a2V5d29yZD5FY29zeXN0ZW0gbWV0YWJv
bGlzbTwva2V5d29yZD48a2V5d29yZD5FbnZpcm9ubWVudGFsIG1vbml0b3Jpbmc8L2tleXdvcmQ+
PGtleXdvcmQ+R3Jvc3MgcHJpbWFyeSBwcm9kdWN0aW9uPC9rZXl3b3JkPjxrZXl3b3JkPkxlYWYg
bGl0dGVyPC9rZXl3b3JkPjxrZXl3b3JkPk9yZ2FuaWMgbWF0dGVyIGRlY29tcG9zaXRpb248L2tl
eXdvcmQ+PGtleXdvcmQ+UmVzcGlyYXRpb248L2tleXdvcmQ+PGtleXdvcmQ+Uml2ZXIgaGVhbHRo
PC9rZXl3b3JkPjxrZXl3b3JkPmFxdWF0aWMgb3JnYW5pc208L2tleXdvcmQ+PGtleXdvcmQ+Ymlv
bW9uaXRvcmluZzwva2V5d29yZD48a2V5d29yZD5lY29sb2dpY2FsIG1vZGVsaW5nPC9rZXl3b3Jk
PjxrZXl3b3JkPmVjb3N5c3RlbSBoZWFsdGg8L2tleXdvcmQ+PGtleXdvcmQ+ZW52aXJvbm1lbnRh
bCBmYWN0b3I8L2tleXdvcmQ+PGtleXdvcmQ+ZnJlc2h3YXRlciBlY29zeXN0ZW08L2tleXdvcmQ+
PGtleXdvcmQ+aGVhbHRoIG1vbml0b3Jpbmc8L2tleXdvcmQ+PGtleXdvcmQ+aHVtYW4gYWN0aXZp
dHk8L2tleXdvcmQ+PGtleXdvcmQ+bWV0YWJvbGlzbTwva2V5d29yZD48a2V5d29yZD5taWNyb29y
Z2FuaXNtPC9rZXl3b3JkPjxrZXl3b3JkPm9yZ2FuaWMgbWF0dGVyPC9rZXl3b3JkPjxrZXl3b3Jk
PnByaW1hcnkgcHJvZHVjdGlvbjwva2V5d29yZD48a2V5d29yZD53YXRlciBxdWFsaXR5PC9rZXl3
b3JkPjxrZXl3b3JkPkludmVydGVicmF0YTwva2V5d29yZD48L2tleXdvcmRzPjxkYXRlcz48eWVh
cj4yMDA4PC95ZWFyPjwvZGF0ZXM+PGlzYm4+MDg4NzM1OTMgKElTU04pPC9pc2JuPjx1cmxzPjxy
ZWxhdGVkLXVybHM+PHVybD5odHRwOi8vd3d3LnNjb3B1cy5jb20vaW53YXJkL3JlY29yZC51cmw/
ZWlkPTItczIuMC01MTU0OTA5Mzk1NCZhbXA7cGFydG5lcklEPTQwJmFtcDttZDU9YmEwN2MwM2Jm
YTEwOTkxODg0YmRkZjZjZmUxNjRlZWU8L3VybD48L3JlbGF0ZWQtdXJscz48L3VybHM+PC9yZWNv
cmQ+PC9DaXRlPjwvRW5kTm90ZT4A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(Wipfli</w:t>
      </w:r>
      <w:r w:rsidRPr="00747E35">
        <w:rPr>
          <w:rFonts w:asciiTheme="minorHAnsi" w:hAnsiTheme="minorHAnsi" w:cstheme="minorHAnsi"/>
          <w:i/>
          <w:noProof/>
        </w:rPr>
        <w:t xml:space="preserve"> et al.</w:t>
      </w:r>
      <w:r w:rsidRPr="00747E35">
        <w:rPr>
          <w:rFonts w:asciiTheme="minorHAnsi" w:hAnsiTheme="minorHAnsi" w:cstheme="minorHAnsi"/>
          <w:noProof/>
        </w:rPr>
        <w:t>, 2007; Young</w:t>
      </w:r>
      <w:r w:rsidRPr="00747E35">
        <w:rPr>
          <w:rFonts w:asciiTheme="minorHAnsi" w:hAnsiTheme="minorHAnsi" w:cstheme="minorHAnsi"/>
          <w:i/>
          <w:noProof/>
        </w:rPr>
        <w:t xml:space="preserve"> et al.</w:t>
      </w:r>
      <w:r w:rsidRPr="00747E35">
        <w:rPr>
          <w:rFonts w:asciiTheme="minorHAnsi" w:hAnsiTheme="minorHAnsi" w:cstheme="minorHAnsi"/>
          <w:noProof/>
        </w:rPr>
        <w:t>, 2008)</w:t>
      </w:r>
      <w:r w:rsidRPr="00747E35">
        <w:rPr>
          <w:rFonts w:asciiTheme="minorHAnsi" w:hAnsiTheme="minorHAnsi" w:cstheme="minorHAnsi"/>
        </w:rPr>
        <w:fldChar w:fldCharType="end"/>
      </w:r>
      <w:r w:rsidRPr="00747E35">
        <w:rPr>
          <w:rFonts w:asciiTheme="minorHAnsi" w:hAnsiTheme="minorHAnsi" w:cstheme="minorHAnsi"/>
        </w:rPr>
        <w:t xml:space="preserve">. It is increasingly recognised that functional assays, such as organic matter processing, often detect variation in, and controls on, specific ecosystem processes that cannot be inferred from physical (e.g. water quality, spatial extent of habitat) and structural (e.g. plant and animal community composition and abundance) data. Functional assays are particularly relevant for detecting human impacts in intermittent aquatic habitats where: a) the often harsh environmental conditions during the dry phase mean that the fauna is dominated by those same types of taxa that can also cope with the physio-chemical changes due to human impacts; and, b) high temporal variability means that defining an appropriate reference condition can be extremely difficult. </w:t>
      </w:r>
    </w:p>
    <w:p w14:paraId="3B349AED"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Cycles of wetting and drying govern variation in rates of organic matter breakdown in intermittent rivers. This is because those physical and biological processes mediating detrital processes, such as the presence of invertebrate detritivores, are largely dependent on the presence of water. Not surprisingly, comparative studies find that decomposition is generally slower in more intermittent than in perennial streams </w:t>
      </w:r>
      <w:r w:rsidRPr="00747E35">
        <w:rPr>
          <w:rFonts w:asciiTheme="minorHAnsi" w:hAnsiTheme="minorHAnsi" w:cstheme="minorHAnsi"/>
        </w:rPr>
        <w:fldChar w:fldCharType="begin">
          <w:fldData xml:space="preserve">PEVuZE5vdGU+PENpdGU+PEF1dGhvcj5EYXRyeTwvQXV0aG9yPjxZZWFyPjIwMTE8L1llYXI+PFJl
Y051bT4xMjU5PC9SZWNOdW0+PERpc3BsYXlUZXh0PihIZXJic3QgYW5kIFJlaWNlLCAxOTgyOyBQ
aW5uYSBhbmQgQmFzc2V0LCAyMDA0OyBEYXRyeTxzdHlsZSBmYWNlPSJpdGFsaWMiPiBldCBhbC48
L3N0eWxlPiwgMjAxMSk8L0Rpc3BsYXlUZXh0PjxyZWNvcmQ+PHJlYy1udW1iZXI+MTI1OTwvcmVj
LW51bWJlcj48Zm9yZWlnbi1rZXlzPjxrZXkgYXBwPSJFTiIgZGItaWQ9ImYwOXp3ZGYyNnhlYXNh
ZXZ2c2p4djAwaDlyeDJ2OXhhcmZzdyIgdGltZXN0YW1wPSIxNDYzMTA1MTgwIj4xMjU5PC9rZXk+
PC9mb3JlaWduLWtleXM+PHJlZi10eXBlIG5hbWU9IkpvdXJuYWwgQXJ0aWNsZSI+MTc8L3JlZi10
eXBlPjxjb250cmlidXRvcnM+PGF1dGhvcnM+PGF1dGhvcj5EYXRyeSwgVGhpYmF1bHQ8L2F1dGhv
cj48YXV0aG9yPkNvcnRpLCBSLjwvYXV0aG9yPjxhdXRob3I+Q2xhcmV0LCBDLjwvYXV0aG9yPjxh
dXRob3I+UGhpbGlwcGUsIE0uPC9hdXRob3I+PC9hdXRob3JzPjwvY29udHJpYnV0b3JzPjx0aXRs
ZXM+PHRpdGxlPkZsb3cgaW50ZXJtaXR0ZW5jZSBjb250cm9scyBsZWFmIGxpdHRlciBicmVha2Rv
d24gaW4gYSBGcmVuY2ggdGVtcG9yYXJ5IGFsbHV2aWFsIHJpdmVyOiB0aGUg4oCcZHJ5aW5nIG1l
bW9yeeKAnTwvdGl0bGU+PHNlY29uZGFyeS10aXRsZT5BcXVhdGljIFNjaWVuY2VzPC9zZWNvbmRh
cnktdGl0bGU+PC90aXRsZXM+PHBlcmlvZGljYWw+PGZ1bGwtdGl0bGU+QXF1YXRpYyBTY2llbmNl
czwvZnVsbC10aXRsZT48L3BlcmlvZGljYWw+PHBhZ2VzPjQ3MS00ODM8L3BhZ2VzPjx2b2x1bWU+
NzM8L3ZvbHVtZT48bnVtYmVyPjQ8L251bWJlcj48ZGF0ZXM+PHllYXI+MjAxMTwveWVhcj48L2Rh
dGVzPjxpc2JuPjE0MjAtOTA1NTwvaXNibj48bGFiZWw+RGF0cnkyMDExPC9sYWJlbD48d29yay10
eXBlPmpvdXJuYWwgYXJ0aWNsZTwvd29yay10eXBlPjx1cmxzPjxyZWxhdGVkLXVybHM+PHVybD5o
dHRwOi8vZHguZG9pLm9yZy8xMC4xMDA3L3MwMDAyNy0wMTEtMDE5My04PC91cmw+PC9yZWxhdGVk
LXVybHM+PC91cmxzPjxlbGVjdHJvbmljLXJlc291cmNlLW51bT4xMC4xMDA3L3MwMDAyNy0wMTEt
MDE5My04PC9lbGVjdHJvbmljLXJlc291cmNlLW51bT48L3JlY29yZD48L0NpdGU+PENpdGU+PEF1
dGhvcj5IZXJic3Q8L0F1dGhvcj48WWVhcj4xOTgyPC9ZZWFyPjxSZWNOdW0+MTMyODwvUmVjTnVt
PjxyZWNvcmQ+PHJlYy1udW1iZXI+MTMyODwvcmVjLW51bWJlcj48Zm9yZWlnbi1rZXlzPjxrZXkg
YXBwPSJFTiIgZGItaWQ9ImYwOXp3ZGYyNnhlYXNhZXZ2c2p4djAwaDlyeDJ2OXhhcmZzdyIgdGlt
ZXN0YW1wPSIxNDc3NDU0OTE0Ij4xMzI4PC9rZXk+PC9mb3JlaWduLWtleXM+PHJlZi10eXBlIG5h
bWU9IkpvdXJuYWwgQXJ0aWNsZSI+MTc8L3JlZi10eXBlPjxjb250cmlidXRvcnM+PGF1dGhvcnM+
PGF1dGhvcj5IZXJic3QsIEcuPC9hdXRob3I+PGF1dGhvcj5SZWljZSwgUy4gUi48L2F1dGhvcj48
L2F1dGhvcnM+PC9jb250cmlidXRvcnM+PHRpdGxlcz48dGl0bGU+Q29tcGFyYXRpdmUgbGVhZiBs
aXR0ZXIgZGVjb21wb3NpdGlvbiBpbiB0ZW1wb3JhcnkgYW5kIHBlcm1hbmVudCBzdHJlYW1zIGlu
IHNlbWktYXJpZCByZWdpb25zIG9mIElzcmFlbDwvdGl0bGU+PHNlY29uZGFyeS10aXRsZT5Kb3Vy
bmFsIG9mIEFyaWQgRW52aXJvbm1lbnRzPC9zZWNvbmRhcnktdGl0bGU+PC90aXRsZXM+PHBlcmlv
ZGljYWw+PGZ1bGwtdGl0bGU+Sm91cm5hbCBvZiBBcmlkIEVudmlyb25tZW50czwvZnVsbC10aXRs
ZT48L3BlcmlvZGljYWw+PHBhZ2VzPjMwNS0zMTg8L3BhZ2VzPjx2b2x1bWU+NTwvdm9sdW1lPjxu
dW1iZXI+NDwvbnVtYmVyPjxkYXRlcz48eWVhcj4xOTgyPC95ZWFyPjwvZGF0ZXM+PHVybHM+PHJl
bGF0ZWQtdXJscz48dXJsPmh0dHBzOi8vd3d3LnNjb3B1cy5jb20vaW53YXJkL3JlY29yZC51cmk/
ZWlkPTItczIuMC0wMDIwNDExMTA3JmFtcDtwYXJ0bmVySUQ9NDAmYW1wO21kNT0wOWM1NmMyODVi
MTJjMDIxY2VmODhiNGEzMzBlMjViNDwvdXJsPjwvcmVsYXRlZC11cmxzPjwvdXJscz48cmVtb3Rl
LWRhdGFiYXNlLW5hbWU+U2NvcHVzPC9yZW1vdGUtZGF0YWJhc2UtbmFtZT48L3JlY29yZD48L0Np
dGU+PENpdGU+PEF1dGhvcj5QaW5uYTwvQXV0aG9yPjxZZWFyPjIwMDQ8L1llYXI+PFJlY051bT4x
MzE5PC9SZWNOdW0+PHJlY29yZD48cmVjLW51bWJlcj4xMzE5PC9yZWMtbnVtYmVyPjxmb3JlaWdu
LWtleXM+PGtleSBhcHA9IkVOIiBkYi1pZD0iZjA5endkZjI2eGVhc2FldnZzanh2MDBoOXJ4MnY5
eGFyZnN3IiB0aW1lc3RhbXA9IjE0NzcyNzI4NzYiPjEzMTk8L2tleT48L2ZvcmVpZ24ta2V5cz48
cmVmLXR5cGUgbmFtZT0iSm91cm5hbCBBcnRpY2xlIj4xNzwvcmVmLXR5cGU+PGNvbnRyaWJ1dG9y
cz48YXV0aG9ycz48YXV0aG9yPlBpbm5hLCBNYXVyaXppbzwvYXV0aG9yPjxhdXRob3I+QmFzc2V0
LCBBbGJlcnRvPC9hdXRob3I+PC9hdXRob3JzPjwvY29udHJpYnV0b3JzPjx0aXRsZXM+PHRpdGxl
PlN1bW1lciBkcm91Z2h0IGRpc3R1cmJhbmNlIG9uIHBsYW50IGRldHJpdHVzIGRlY29tcG9zaXRp
b24gcHJvY2Vzc2VzIGluIHRocmVlIFJpdmVyIFRpcnNvIChTYXJkaW5pYSwgSXRhbHkpIHN1Yi1i
YXNpbnM8L3RpdGxlPjxzZWNvbmRhcnktdGl0bGU+SHlkcm9iaW9sb2dpYTwvc2Vjb25kYXJ5LXRp
dGxlPjwvdGl0bGVzPjxwZXJpb2RpY2FsPjxmdWxsLXRpdGxlPkh5ZHJvYmlvbG9naWE8L2Z1bGwt
dGl0bGU+PC9wZXJpb2RpY2FsPjxwYWdlcz4zMTEtMzE5PC9wYWdlcz48dm9sdW1lPjUyMjwvdm9s
dW1lPjxudW1iZXI+MTwvbnVtYmVyPjxkYXRlcz48eWVhcj4yMDA0PC95ZWFyPjwvZGF0ZXM+PGlz
Ym4+MTU3My01MTE3PC9pc2JuPjxsYWJlbD5QaW5uYTIwMDQ8L2xhYmVsPjx3b3JrLXR5cGU+am91
cm5hbCBhcnRpY2xlPC93b3JrLXR5cGU+PHVybHM+PHJlbGF0ZWQtdXJscz48dXJsPmh0dHA6Ly9k
eC5kb2kub3JnLzEwLjEwMjMvQjpIWURSLjAwMDAwMjk5ODQuOTM0NzEuYjU8L3VybD48L3JlbGF0
ZWQtdXJscz48L3VybHM+PGVsZWN0cm9uaWMtcmVzb3VyY2UtbnVtPjEwLjEwMjMvQjpIWURSLjAw
MDAwMjk5ODQuOTM0NzEuYjU8L2VsZWN0cm9uaWMtcmVzb3VyY2UtbnVtPjwvcmVjb3JkPjwvQ2l0
ZT48L0VuZE5vdGU+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PEVuZE5vdGU+PENpdGU+PEF1dGhvcj5EYXRyeTwvQXV0aG9yPjxZZWFyPjIwMTE8L1llYXI+PFJl
Y051bT4xMjU5PC9SZWNOdW0+PERpc3BsYXlUZXh0PihIZXJic3QgYW5kIFJlaWNlLCAxOTgyOyBQ
aW5uYSBhbmQgQmFzc2V0LCAyMDA0OyBEYXRyeTxzdHlsZSBmYWNlPSJpdGFsaWMiPiBldCBhbC48
L3N0eWxlPiwgMjAxMSk8L0Rpc3BsYXlUZXh0PjxyZWNvcmQ+PHJlYy1udW1iZXI+MTI1OTwvcmVj
LW51bWJlcj48Zm9yZWlnbi1rZXlzPjxrZXkgYXBwPSJFTiIgZGItaWQ9ImYwOXp3ZGYyNnhlYXNh
ZXZ2c2p4djAwaDlyeDJ2OXhhcmZzdyIgdGltZXN0YW1wPSIxNDYzMTA1MTgwIj4xMjU5PC9rZXk+
PC9mb3JlaWduLWtleXM+PHJlZi10eXBlIG5hbWU9IkpvdXJuYWwgQXJ0aWNsZSI+MTc8L3JlZi10
eXBlPjxjb250cmlidXRvcnM+PGF1dGhvcnM+PGF1dGhvcj5EYXRyeSwgVGhpYmF1bHQ8L2F1dGhv
cj48YXV0aG9yPkNvcnRpLCBSLjwvYXV0aG9yPjxhdXRob3I+Q2xhcmV0LCBDLjwvYXV0aG9yPjxh
dXRob3I+UGhpbGlwcGUsIE0uPC9hdXRob3I+PC9hdXRob3JzPjwvY29udHJpYnV0b3JzPjx0aXRs
ZXM+PHRpdGxlPkZsb3cgaW50ZXJtaXR0ZW5jZSBjb250cm9scyBsZWFmIGxpdHRlciBicmVha2Rv
d24gaW4gYSBGcmVuY2ggdGVtcG9yYXJ5IGFsbHV2aWFsIHJpdmVyOiB0aGUg4oCcZHJ5aW5nIG1l
bW9yeeKAnTwvdGl0bGU+PHNlY29uZGFyeS10aXRsZT5BcXVhdGljIFNjaWVuY2VzPC9zZWNvbmRh
cnktdGl0bGU+PC90aXRsZXM+PHBlcmlvZGljYWw+PGZ1bGwtdGl0bGU+QXF1YXRpYyBTY2llbmNl
czwvZnVsbC10aXRsZT48L3BlcmlvZGljYWw+PHBhZ2VzPjQ3MS00ODM8L3BhZ2VzPjx2b2x1bWU+
NzM8L3ZvbHVtZT48bnVtYmVyPjQ8L251bWJlcj48ZGF0ZXM+PHllYXI+MjAxMTwveWVhcj48L2Rh
dGVzPjxpc2JuPjE0MjAtOTA1NTwvaXNibj48bGFiZWw+RGF0cnkyMDExPC9sYWJlbD48d29yay10
eXBlPmpvdXJuYWwgYXJ0aWNsZTwvd29yay10eXBlPjx1cmxzPjxyZWxhdGVkLXVybHM+PHVybD5o
dHRwOi8vZHguZG9pLm9yZy8xMC4xMDA3L3MwMDAyNy0wMTEtMDE5My04PC91cmw+PC9yZWxhdGVk
LXVybHM+PC91cmxzPjxlbGVjdHJvbmljLXJlc291cmNlLW51bT4xMC4xMDA3L3MwMDAyNy0wMTEt
MDE5My04PC9lbGVjdHJvbmljLXJlc291cmNlLW51bT48L3JlY29yZD48L0NpdGU+PENpdGU+PEF1
dGhvcj5IZXJic3Q8L0F1dGhvcj48WWVhcj4xOTgyPC9ZZWFyPjxSZWNOdW0+MTMyODwvUmVjTnVt
PjxyZWNvcmQ+PHJlYy1udW1iZXI+MTMyODwvcmVjLW51bWJlcj48Zm9yZWlnbi1rZXlzPjxrZXkg
YXBwPSJFTiIgZGItaWQ9ImYwOXp3ZGYyNnhlYXNhZXZ2c2p4djAwaDlyeDJ2OXhhcmZzdyIgdGlt
ZXN0YW1wPSIxNDc3NDU0OTE0Ij4xMzI4PC9rZXk+PC9mb3JlaWduLWtleXM+PHJlZi10eXBlIG5h
bWU9IkpvdXJuYWwgQXJ0aWNsZSI+MTc8L3JlZi10eXBlPjxjb250cmlidXRvcnM+PGF1dGhvcnM+
PGF1dGhvcj5IZXJic3QsIEcuPC9hdXRob3I+PGF1dGhvcj5SZWljZSwgUy4gUi48L2F1dGhvcj48
L2F1dGhvcnM+PC9jb250cmlidXRvcnM+PHRpdGxlcz48dGl0bGU+Q29tcGFyYXRpdmUgbGVhZiBs
aXR0ZXIgZGVjb21wb3NpdGlvbiBpbiB0ZW1wb3JhcnkgYW5kIHBlcm1hbmVudCBzdHJlYW1zIGlu
IHNlbWktYXJpZCByZWdpb25zIG9mIElzcmFlbDwvdGl0bGU+PHNlY29uZGFyeS10aXRsZT5Kb3Vy
bmFsIG9mIEFyaWQgRW52aXJvbm1lbnRzPC9zZWNvbmRhcnktdGl0bGU+PC90aXRsZXM+PHBlcmlv
ZGljYWw+PGZ1bGwtdGl0bGU+Sm91cm5hbCBvZiBBcmlkIEVudmlyb25tZW50czwvZnVsbC10aXRs
ZT48L3BlcmlvZGljYWw+PHBhZ2VzPjMwNS0zMTg8L3BhZ2VzPjx2b2x1bWU+NTwvdm9sdW1lPjxu
dW1iZXI+NDwvbnVtYmVyPjxkYXRlcz48eWVhcj4xOTgyPC95ZWFyPjwvZGF0ZXM+PHVybHM+PHJl
bGF0ZWQtdXJscz48dXJsPmh0dHBzOi8vd3d3LnNjb3B1cy5jb20vaW53YXJkL3JlY29yZC51cmk/
ZWlkPTItczIuMC0wMDIwNDExMTA3JmFtcDtwYXJ0bmVySUQ9NDAmYW1wO21kNT0wOWM1NmMyODVi
MTJjMDIxY2VmODhiNGEzMzBlMjViNDwvdXJsPjwvcmVsYXRlZC11cmxzPjwvdXJscz48cmVtb3Rl
LWRhdGFiYXNlLW5hbWU+U2NvcHVzPC9yZW1vdGUtZGF0YWJhc2UtbmFtZT48L3JlY29yZD48L0Np
dGU+PENpdGU+PEF1dGhvcj5QaW5uYTwvQXV0aG9yPjxZZWFyPjIwMDQ8L1llYXI+PFJlY051bT4x
MzE5PC9SZWNOdW0+PHJlY29yZD48cmVjLW51bWJlcj4xMzE5PC9yZWMtbnVtYmVyPjxmb3JlaWdu
LWtleXM+PGtleSBhcHA9IkVOIiBkYi1pZD0iZjA5endkZjI2eGVhc2FldnZzanh2MDBoOXJ4MnY5
eGFyZnN3IiB0aW1lc3RhbXA9IjE0NzcyNzI4NzYiPjEzMTk8L2tleT48L2ZvcmVpZ24ta2V5cz48
cmVmLXR5cGUgbmFtZT0iSm91cm5hbCBBcnRpY2xlIj4xNzwvcmVmLXR5cGU+PGNvbnRyaWJ1dG9y
cz48YXV0aG9ycz48YXV0aG9yPlBpbm5hLCBNYXVyaXppbzwvYXV0aG9yPjxhdXRob3I+QmFzc2V0
LCBBbGJlcnRvPC9hdXRob3I+PC9hdXRob3JzPjwvY29udHJpYnV0b3JzPjx0aXRsZXM+PHRpdGxl
PlN1bW1lciBkcm91Z2h0IGRpc3R1cmJhbmNlIG9uIHBsYW50IGRldHJpdHVzIGRlY29tcG9zaXRp
b24gcHJvY2Vzc2VzIGluIHRocmVlIFJpdmVyIFRpcnNvIChTYXJkaW5pYSwgSXRhbHkpIHN1Yi1i
YXNpbnM8L3RpdGxlPjxzZWNvbmRhcnktdGl0bGU+SHlkcm9iaW9sb2dpYTwvc2Vjb25kYXJ5LXRp
dGxlPjwvdGl0bGVzPjxwZXJpb2RpY2FsPjxmdWxsLXRpdGxlPkh5ZHJvYmlvbG9naWE8L2Z1bGwt
dGl0bGU+PC9wZXJpb2RpY2FsPjxwYWdlcz4zMTEtMzE5PC9wYWdlcz48dm9sdW1lPjUyMjwvdm9s
dW1lPjxudW1iZXI+MTwvbnVtYmVyPjxkYXRlcz48eWVhcj4yMDA0PC95ZWFyPjwvZGF0ZXM+PGlz
Ym4+MTU3My01MTE3PC9pc2JuPjxsYWJlbD5QaW5uYTIwMDQ8L2xhYmVsPjx3b3JrLXR5cGU+am91
cm5hbCBhcnRpY2xlPC93b3JrLXR5cGU+PHVybHM+PHJlbGF0ZWQtdXJscz48dXJsPmh0dHA6Ly9k
eC5kb2kub3JnLzEwLjEwMjMvQjpIWURSLjAwMDAwMjk5ODQuOTM0NzEuYjU8L3VybD48L3JlbGF0
ZWQtdXJscz48L3VybHM+PGVsZWN0cm9uaWMtcmVzb3VyY2UtbnVtPjEwLjEwMjMvQjpIWURSLjAw
MDAwMjk5ODQuOTM0NzEuYjU8L2VsZWN0cm9uaWMtcmVzb3VyY2UtbnVtPjwvcmVjb3JkPjwvQ2l0
ZT48L0VuZE5vdGU+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(Herbst and Reice, 1982; Pinna and Basset, 2004; Datry</w:t>
      </w:r>
      <w:r w:rsidRPr="00747E35">
        <w:rPr>
          <w:rFonts w:asciiTheme="minorHAnsi" w:hAnsiTheme="minorHAnsi" w:cstheme="minorHAnsi"/>
          <w:i/>
          <w:noProof/>
        </w:rPr>
        <w:t xml:space="preserve"> et al.</w:t>
      </w:r>
      <w:r w:rsidRPr="00747E35">
        <w:rPr>
          <w:rFonts w:asciiTheme="minorHAnsi" w:hAnsiTheme="minorHAnsi" w:cstheme="minorHAnsi"/>
          <w:noProof/>
        </w:rPr>
        <w:t>, 2011)</w:t>
      </w:r>
      <w:r w:rsidRPr="00747E35">
        <w:rPr>
          <w:rFonts w:asciiTheme="minorHAnsi" w:hAnsiTheme="minorHAnsi" w:cstheme="minorHAnsi"/>
        </w:rPr>
        <w:fldChar w:fldCharType="end"/>
      </w:r>
      <w:r w:rsidRPr="00747E35">
        <w:rPr>
          <w:rFonts w:asciiTheme="minorHAnsi" w:hAnsiTheme="minorHAnsi" w:cstheme="minorHAnsi"/>
        </w:rPr>
        <w:t xml:space="preserve">. Antecedent hydrological conditions can also influence detrital processes, with reduced processing efficiency once flow resumes for leaves subject to preconditioning during dry periods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&lt;EndNote&gt;&lt;Cite&gt;&lt;Author&gt;Dieter&lt;/Author&gt;&lt;Year&gt;2011&lt;/Year&gt;&lt;RecNum&gt;1257&lt;/RecNum&gt;&lt;DisplayText&gt;(Dieter&lt;style face="italic"&gt; et al.&lt;/style&gt;, 2011)&lt;/DisplayText&gt;&lt;record&gt;&lt;rec-number&gt;1257&lt;/rec-number&gt;&lt;foreign-keys&gt;&lt;key app="EN" db-id="f09zwdf26xeasaevvsjxv00h9rx2v9xarfsw" timestamp="1461888565"&gt;1257&lt;/key&gt;&lt;/foreign-keys&gt;&lt;ref-type name="Journal Article"&gt;17&lt;/ref-type&gt;&lt;contributors&gt;&lt;authors&gt;&lt;author&gt;Dieter, D.&lt;/author&gt;&lt;author&gt;von Schiller, D.&lt;/author&gt;&lt;author&gt;García-Roger, E. M.&lt;/author&gt;&lt;author&gt;Sánchez-Montoya, M. M.&lt;/author&gt;&lt;author&gt;Gómez, R.&lt;/author&gt;&lt;author&gt;Mora-Gómez, J.&lt;/author&gt;&lt;author&gt;Sangiorgio, F.&lt;/author&gt;&lt;author&gt;Gelbrecht, J.&lt;/author&gt;&lt;author&gt;Tockner, K.&lt;/author&gt;&lt;/authors&gt;&lt;/contributors&gt;&lt;titles&gt;&lt;title&gt;Preconditioning effects of intermittent stream flow on leaf litter decomposition&lt;/title&gt;&lt;secondary-title&gt;Aquatic Sciences&lt;/secondary-title&gt;&lt;/titles&gt;&lt;periodical&gt;&lt;full-title&gt;Aquatic Sciences&lt;/full-title&gt;&lt;/periodical&gt;&lt;pages&gt;599-609&lt;/pages&gt;&lt;volume&gt;73&lt;/volume&gt;&lt;number&gt;4&lt;/number&gt;&lt;dates&gt;&lt;year&gt;2011&lt;/year&gt;&lt;/dates&gt;&lt;isbn&gt;1420-9055&lt;/isbn&gt;&lt;label&gt;Dieter2011&lt;/label&gt;&lt;work-type&gt;journal article&lt;/work-type&gt;&lt;urls&gt;&lt;related-urls&gt;&lt;url&gt;http://dx.doi.org/10.1007/s00027-011-0231-6&lt;/url&gt;&lt;/related-urls&gt;&lt;/urls&gt;&lt;electronic-resource-num&gt;10.1007/s00027-011-0231-6&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(Dieter</w:t>
      </w:r>
      <w:r w:rsidRPr="00747E35">
        <w:rPr>
          <w:rFonts w:asciiTheme="minorHAnsi" w:hAnsiTheme="minorHAnsi" w:cstheme="minorHAnsi"/>
          <w:i/>
          <w:noProof/>
        </w:rPr>
        <w:t xml:space="preserve"> et al.</w:t>
      </w:r>
      <w:r w:rsidRPr="00747E35">
        <w:rPr>
          <w:rFonts w:asciiTheme="minorHAnsi" w:hAnsiTheme="minorHAnsi" w:cstheme="minorHAnsi"/>
          <w:noProof/>
        </w:rPr>
        <w:t>, 2011)</w:t>
      </w:r>
      <w:r w:rsidRPr="00747E35">
        <w:rPr>
          <w:rFonts w:asciiTheme="minorHAnsi" w:hAnsiTheme="minorHAnsi" w:cstheme="minorHAnsi"/>
        </w:rPr>
        <w:fldChar w:fldCharType="end"/>
      </w:r>
      <w:r w:rsidRPr="00747E35">
        <w:rPr>
          <w:rFonts w:asciiTheme="minorHAnsi" w:hAnsiTheme="minorHAnsi" w:cstheme="minorHAnsi"/>
        </w:rPr>
        <w:t xml:space="preserve">. The processing of organic matter may also be lower in refuge aquatic habitats, with stagnant water associated with more acidic and oxygen-depleted conditions, reducing the abundance and activity of decomposers </w:t>
      </w:r>
      <w:r w:rsidRPr="00747E35">
        <w:rPr>
          <w:rFonts w:asciiTheme="minorHAnsi" w:hAnsiTheme="minorHAnsi" w:cstheme="minorHAnsi"/>
        </w:rPr>
        <w:fldChar w:fldCharType="begin">
          <w:fldData xml:space="preserve">PEVuZE5vdGU+PENpdGU+PEF1dGhvcj5MYWtlPC9BdXRob3I+PFllYXI+MjAwMzwvWWVhcj48UmVj
TnVtPjEzMzA8L1JlY051bT48RGlzcGxheVRleHQ+KExha2UsIDIwMDM7IENhbmhvdG8gYW5kIExh
cmFuamVpcmEsIDIwMDcpPC9EaXNwbGF5VGV4dD48cmVjb3JkPjxyZWMtbnVtYmVyPjEzMzA8L3Jl
Yy1udW1iZXI+PGZvcmVpZ24ta2V5cz48a2V5IGFwcD0iRU4iIGRiLWlkPSJmMDl6d2RmMjZ4ZWFz
YWV2dnNqeHYwMGg5cngydjl4YXJmc3ciIHRpbWVzdGFtcD0iMTQ3NzQ1NTMxMiI+MTMzMDwva2V5
PjwvZm9yZWlnbi1rZXlzPjxyZWYtdHlwZSBuYW1lPSJKb3VybmFsIEFydGljbGUiPjE3PC9yZWYt
dHlwZT48Y29udHJpYnV0b3JzPjxhdXRob3JzPjxhdXRob3I+TGFrZSwgUC4gUy48L2F1dGhvcj48
L2F1dGhvcnM+PC9jb250cmlidXRvcnM+PHRpdGxlcz48dGl0bGU+RWNvbG9naWNhbCBlZmZlY3Rz
IG9mIHBlcnR1cmJhdGlvbiBieSBkcm91Z2h0IGluIGZsb3dpbmcgd2F0ZXJzPC90aXRsZT48c2Vj
b25kYXJ5LXRpdGxlPkZyZXNod2F0ZXIgQmlvbG9neTwvc2Vjb25kYXJ5LXRpdGxlPjwvdGl0bGVz
PjxwZXJpb2RpY2FsPjxmdWxsLXRpdGxlPkZyZXNod2F0ZXIgQmlvbG9neTwvZnVsbC10aXRsZT48
L3BlcmlvZGljYWw+PHBhZ2VzPjExNjEtMTE3MjwvcGFnZXM+PHZvbHVtZT40ODwvdm9sdW1lPjxu
dW1iZXI+NzwvbnVtYmVyPjxrZXl3b3Jkcz48a2V5d29yZD5kcm91Z2h0PC9rZXl3b3JkPjxrZXl3
b3JkPmltcGFjdHM8L2tleXdvcmQ+PGtleXdvcmQ+cGVydHVyYmF0aW9uPC9rZXl3b3JkPjxrZXl3
b3JkPnJlY292ZXJ5PC9rZXl3b3JkPjxrZXl3b3JkPnN0cmVhbXM8L2tleXdvcmQ+PC9rZXl3b3Jk
cz48ZGF0ZXM+PHllYXI+MjAwMzwveWVhcj48L2RhdGVzPjxwdWJsaXNoZXI+QmxhY2t3ZWxsIFNj
aWVuY2UgTHRkPC9wdWJsaXNoZXI+PGlzYm4+MTM2NS0yNDI3PC9pc2JuPjx1cmxzPjxyZWxhdGVk
LXVybHM+PHVybD5odHRwOi8vZHguZG9pLm9yZy8xMC4xMDQ2L2ouMTM2NS0yNDI3LjIwMDMuMDEw
ODYueDwvdXJsPjwvcmVsYXRlZC11cmxzPjwvdXJscz48ZWxlY3Ryb25pYy1yZXNvdXJjZS1udW0+
MTAuMTA0Ni9qLjEzNjUtMjQyNy4yMDAzLjAxMDg2Lng8L2VsZWN0cm9uaWMtcmVzb3VyY2UtbnVt
PjwvcmVjb3JkPjwvQ2l0ZT48Q2l0ZT48QXV0aG9yPkNhbmhvdG88L0F1dGhvcj48WWVhcj4yMDA3
PC9ZZWFyPjxSZWNOdW0+MTMzMTwvUmVjTnVtPjxyZWNvcmQ+PHJlYy1udW1iZXI+MTMzMTwvcmVj
LW51bWJlcj48Zm9yZWlnbi1rZXlzPjxrZXkgYXBwPSJFTiIgZGItaWQ9ImYwOXp3ZGYyNnhlYXNh
ZXZ2c2p4djAwaDlyeDJ2OXhhcmZzdyIgdGltZXN0YW1wPSIxNDc3NDU1MzkwIj4xMzMxPC9rZXk+
PC9mb3JlaWduLWtleXM+PHJlZi10eXBlIG5hbWU9IkpvdXJuYWwgQXJ0aWNsZSI+MTc8L3JlZi10
eXBlPjxjb250cmlidXRvcnM+PGF1dGhvcnM+PGF1dGhvcj5DYW5ob3RvLCBDLjwvYXV0aG9yPjxh
dXRob3I+TGFyYW5qZWlyYSwgQy48L2F1dGhvcj48L2F1dGhvcnM+PC9jb250cmlidXRvcnM+PHRp
dGxlcz48dGl0bGU+TGVhY2hhdGVzIG9mIEV1Y2FseXB0dXMgZ2xvYnVsdXMgaW4gaW50ZXJtaXR0
ZW50IHN0cmVhbXMgYWZmZWN0IHdhdGVyIHBhcmFtZXRlcnMgYW5kIGludmVydGVicmF0ZXM8L3Rp
dGxlPjxzZWNvbmRhcnktdGl0bGU+SW50ZXJuYXRpb25hbCBSZXZpZXcgb2YgSHlkcm9iaW9sb2d5
PC9zZWNvbmRhcnktdGl0bGU+PC90aXRsZXM+PHBlcmlvZGljYWw+PGZ1bGwtdGl0bGU+SW50ZXJu
YXRpb25hbCBSZXZpZXcgb2YgSHlkcm9iaW9sb2d5PC9mdWxsLXRpdGxlPjwvcGVyaW9kaWNhbD48
cGFnZXM+MTczLTE4MjwvcGFnZXM+PHZvbHVtZT45Mjwvdm9sdW1lPjxudW1iZXI+MjwvbnVtYmVy
PjxkYXRlcz48eWVhcj4yMDA3PC95ZWFyPjwvZGF0ZXM+PHdvcmstdHlwZT5Db25mZXJlbmNlIFBh
cGVyPC93b3JrLXR5cGU+PHVybHM+PHJlbGF0ZWQtdXJscz48dXJsPmh0dHBzOi8vd3d3LnNjb3B1
cy5jb20vaW53YXJkL3JlY29yZC51cmk/ZWlkPTItczIuMC0zNDI1MDczMTY0NSZhbXA7cGFydG5l
cklEPTQwJmFtcDttZDU9NTQwMjM1NGI3NzMzZThkZWYwMTk1YmViYmY3NzRiZTM8L3VybD48L3Jl
bGF0ZWQtdXJscz48L3VybHM+PGVsZWN0cm9uaWMtcmVzb3VyY2UtbnVtPjEwLjEwMDIvaXJvaC4y
MDA1MTA5NTY8L2VsZWN0cm9uaWMtcmVzb3VyY2UtbnVtPjxyZW1vdGUtZGF0YWJhc2UtbmFtZT5T
Y29wdXM8L3JlbW90ZS1kYXRhYmFzZS1uYW1lPjwvcmVjb3JkPjwvQ2l0ZT48L0VuZE5vdGU+AG==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PEVuZE5vdGU+PENpdGU+PEF1dGhvcj5MYWtlPC9BdXRob3I+PFllYXI+MjAwMzwvWWVhcj48UmVj
TnVtPjEzMzA8L1JlY051bT48RGlzcGxheVRleHQ+KExha2UsIDIwMDM7IENhbmhvdG8gYW5kIExh
cmFuamVpcmEsIDIwMDcpPC9EaXNwbGF5VGV4dD48cmVjb3JkPjxyZWMtbnVtYmVyPjEzMzA8L3Jl
Yy1udW1iZXI+PGZvcmVpZ24ta2V5cz48a2V5IGFwcD0iRU4iIGRiLWlkPSJmMDl6d2RmMjZ4ZWFz
YWV2dnNqeHYwMGg5cngydjl4YXJmc3ciIHRpbWVzdGFtcD0iMTQ3NzQ1NTMxMiI+MTMzMDwva2V5
PjwvZm9yZWlnbi1rZXlzPjxyZWYtdHlwZSBuYW1lPSJKb3VybmFsIEFydGljbGUiPjE3PC9yZWYt
dHlwZT48Y29udHJpYnV0b3JzPjxhdXRob3JzPjxhdXRob3I+TGFrZSwgUC4gUy48L2F1dGhvcj48
L2F1dGhvcnM+PC9jb250cmlidXRvcnM+PHRpdGxlcz48dGl0bGU+RWNvbG9naWNhbCBlZmZlY3Rz
IG9mIHBlcnR1cmJhdGlvbiBieSBkcm91Z2h0IGluIGZsb3dpbmcgd2F0ZXJzPC90aXRsZT48c2Vj
b25kYXJ5LXRpdGxlPkZyZXNod2F0ZXIgQmlvbG9neTwvc2Vjb25kYXJ5LXRpdGxlPjwvdGl0bGVz
PjxwZXJpb2RpY2FsPjxmdWxsLXRpdGxlPkZyZXNod2F0ZXIgQmlvbG9neTwvZnVsbC10aXRsZT48
L3BlcmlvZGljYWw+PHBhZ2VzPjExNjEtMTE3MjwvcGFnZXM+PHZvbHVtZT40ODwvdm9sdW1lPjxu
dW1iZXI+NzwvbnVtYmVyPjxrZXl3b3Jkcz48a2V5d29yZD5kcm91Z2h0PC9rZXl3b3JkPjxrZXl3
b3JkPmltcGFjdHM8L2tleXdvcmQ+PGtleXdvcmQ+cGVydHVyYmF0aW9uPC9rZXl3b3JkPjxrZXl3
b3JkPnJlY292ZXJ5PC9rZXl3b3JkPjxrZXl3b3JkPnN0cmVhbXM8L2tleXdvcmQ+PC9rZXl3b3Jk
cz48ZGF0ZXM+PHllYXI+MjAwMzwveWVhcj48L2RhdGVzPjxwdWJsaXNoZXI+QmxhY2t3ZWxsIFNj
aWVuY2UgTHRkPC9wdWJsaXNoZXI+PGlzYm4+MTM2NS0yNDI3PC9pc2JuPjx1cmxzPjxyZWxhdGVk
LXVybHM+PHVybD5odHRwOi8vZHguZG9pLm9yZy8xMC4xMDQ2L2ouMTM2NS0yNDI3LjIwMDMuMDEw
ODYueDwvdXJsPjwvcmVsYXRlZC11cmxzPjwvdXJscz48ZWxlY3Ryb25pYy1yZXNvdXJjZS1udW0+
MTAuMTA0Ni9qLjEzNjUtMjQyNy4yMDAzLjAxMDg2Lng8L2VsZWN0cm9uaWMtcmVzb3VyY2UtbnVt
PjwvcmVjb3JkPjwvQ2l0ZT48Q2l0ZT48QXV0aG9yPkNhbmhvdG88L0F1dGhvcj48WWVhcj4yMDA3
PC9ZZWFyPjxSZWNOdW0+MTMzMTwvUmVjTnVtPjxyZWNvcmQ+PHJlYy1udW1iZXI+MTMzMTwvcmVj
LW51bWJlcj48Zm9yZWlnbi1rZXlzPjxrZXkgYXBwPSJFTiIgZGItaWQ9ImYwOXp3ZGYyNnhlYXNh
ZXZ2c2p4djAwaDlyeDJ2OXhhcmZzdyIgdGltZXN0YW1wPSIxNDc3NDU1MzkwIj4xMzMxPC9rZXk+
PC9mb3JlaWduLWtleXM+PHJlZi10eXBlIG5hbWU9IkpvdXJuYWwgQXJ0aWNsZSI+MTc8L3JlZi10
eXBlPjxjb250cmlidXRvcnM+PGF1dGhvcnM+PGF1dGhvcj5DYW5ob3RvLCBDLjwvYXV0aG9yPjxh
dXRob3I+TGFyYW5qZWlyYSwgQy48L2F1dGhvcj48L2F1dGhvcnM+PC9jb250cmlidXRvcnM+PHRp
dGxlcz48dGl0bGU+TGVhY2hhdGVzIG9mIEV1Y2FseXB0dXMgZ2xvYnVsdXMgaW4gaW50ZXJtaXR0
ZW50IHN0cmVhbXMgYWZmZWN0IHdhdGVyIHBhcmFtZXRlcnMgYW5kIGludmVydGVicmF0ZXM8L3Rp
dGxlPjxzZWNvbmRhcnktdGl0bGU+SW50ZXJuYXRpb25hbCBSZXZpZXcgb2YgSHlkcm9iaW9sb2d5
PC9zZWNvbmRhcnktdGl0bGU+PC90aXRsZXM+PHBlcmlvZGljYWw+PGZ1bGwtdGl0bGU+SW50ZXJu
YXRpb25hbCBSZXZpZXcgb2YgSHlkcm9iaW9sb2d5PC9mdWxsLXRpdGxlPjwvcGVyaW9kaWNhbD48
cGFnZXM+MTczLTE4MjwvcGFnZXM+PHZvbHVtZT45Mjwvdm9sdW1lPjxudW1iZXI+MjwvbnVtYmVy
PjxkYXRlcz48eWVhcj4yMDA3PC95ZWFyPjwvZGF0ZXM+PHdvcmstdHlwZT5Db25mZXJlbmNlIFBh
cGVyPC93b3JrLXR5cGU+PHVybHM+PHJlbGF0ZWQtdXJscz48dXJsPmh0dHBzOi8vd3d3LnNjb3B1
cy5jb20vaW53YXJkL3JlY29yZC51cmk/ZWlkPTItczIuMC0zNDI1MDczMTY0NSZhbXA7cGFydG5l
cklEPTQwJmFtcDttZDU9NTQwMjM1NGI3NzMzZThkZWYwMTk1YmViYmY3NzRiZTM8L3VybD48L3Jl
bGF0ZWQtdXJscz48L3VybHM+PGVsZWN0cm9uaWMtcmVzb3VyY2UtbnVtPjEwLjEwMDIvaXJvaC4y
MDA1MTA5NTY8L2VsZWN0cm9uaWMtcmVzb3VyY2UtbnVtPjxyZW1vdGUtZGF0YWJhc2UtbmFtZT5T
Y29wdXM8L3JlbW90ZS1kYXRhYmFzZS1uYW1lPjwvcmVjb3JkPjwvQ2l0ZT48L0VuZE5vdGU+AG==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(Lake, 2003; Canhoto and Laranjeira, 2007)</w:t>
      </w:r>
      <w:r w:rsidRPr="00747E35">
        <w:rPr>
          <w:rFonts w:asciiTheme="minorHAnsi" w:hAnsiTheme="minorHAnsi" w:cstheme="minorHAnsi"/>
        </w:rPr>
        <w:fldChar w:fldCharType="end"/>
      </w:r>
      <w:r w:rsidRPr="00747E35">
        <w:rPr>
          <w:rFonts w:asciiTheme="minorHAnsi" w:hAnsiTheme="minorHAnsi" w:cstheme="minorHAnsi"/>
        </w:rPr>
        <w:t>.</w:t>
      </w:r>
    </w:p>
    <w:p w14:paraId="6C2841B3" w14:textId="6C04D09B"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Despite the pervasive role that surface hydrological conditions have in organic matter processing, little is known about the spatial and temporal patterns of detrital processing in hyporheic habitats of intermittent rivers. While reductions in rainfall may cause surface flowpaths to cease, saturated bank inflows and groundwater inputs often sustain </w:t>
      </w:r>
      <w:r w:rsidR="006B2C7A">
        <w:rPr>
          <w:rFonts w:asciiTheme="minorHAnsi" w:hAnsiTheme="minorHAnsi" w:cstheme="minorHAnsi"/>
        </w:rPr>
        <w:t>subsurface</w:t>
      </w:r>
      <w:r w:rsidRPr="00747E35">
        <w:rPr>
          <w:rFonts w:asciiTheme="minorHAnsi" w:hAnsiTheme="minorHAnsi" w:cstheme="minorHAnsi"/>
        </w:rPr>
        <w:t xml:space="preserve"> flow in intermittent rivers. This groundwater-derived baseflow may play an important role in sustaining detrital processes in the hyporheic zone. It may therefore be expected that reductions in groundwater inputs, due to human activities, will lead to an increase in the spatial and temporal extent of drying which may impact on detrital processes in both surface and </w:t>
      </w:r>
      <w:r w:rsidR="006B2C7A">
        <w:rPr>
          <w:rFonts w:asciiTheme="minorHAnsi" w:hAnsiTheme="minorHAnsi" w:cstheme="minorHAnsi"/>
        </w:rPr>
        <w:t>subsurface</w:t>
      </w:r>
      <w:r w:rsidRPr="00747E35">
        <w:rPr>
          <w:rFonts w:asciiTheme="minorHAnsi" w:hAnsiTheme="minorHAnsi" w:cstheme="minorHAnsi"/>
        </w:rPr>
        <w:t xml:space="preserve"> environments. This study investigates the patterns and controls of organic matter decomposition in surface and hyporheic habitats of groundwater-influenced intermittent rivers. Ultimately, understanding the rates of and controls on the decomposition of coarse particulate organic matter in small streams and rivers will allow us to understand how potential changes in intermittency and baseflow can affect the broader biogeochemistry and biological functioning of rivers systems.</w:t>
      </w:r>
    </w:p>
    <w:p w14:paraId="5F6D546E" w14:textId="7B7B1047" w:rsidR="003D3694" w:rsidRPr="00747E35" w:rsidRDefault="003D3694" w:rsidP="003D3694">
      <w:pPr>
        <w:pStyle w:val="Heading3"/>
        <w:rPr>
          <w:rFonts w:asciiTheme="minorHAnsi" w:hAnsiTheme="minorHAnsi" w:cstheme="minorHAnsi"/>
        </w:rPr>
      </w:pPr>
      <w:bookmarkStart w:id="130" w:name="_Toc466450342"/>
      <w:bookmarkStart w:id="131" w:name="_Toc470004845"/>
      <w:r w:rsidRPr="00747E35">
        <w:rPr>
          <w:rFonts w:asciiTheme="minorHAnsi" w:hAnsiTheme="minorHAnsi" w:cstheme="minorHAnsi"/>
        </w:rPr>
        <w:t>Methods</w:t>
      </w:r>
      <w:bookmarkEnd w:id="130"/>
      <w:bookmarkEnd w:id="131"/>
    </w:p>
    <w:p w14:paraId="004CE917"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t>Study design</w:t>
      </w:r>
    </w:p>
    <w:p w14:paraId="2196C4C4" w14:textId="6A31C13F" w:rsidR="003D3694" w:rsidRPr="00747E35" w:rsidRDefault="003D3694" w:rsidP="003D3694">
      <w:pPr>
        <w:rPr>
          <w:rFonts w:asciiTheme="minorHAnsi" w:hAnsiTheme="minorHAnsi" w:cstheme="minorHAnsi"/>
        </w:rPr>
      </w:pPr>
      <w:r w:rsidRPr="00747E35">
        <w:rPr>
          <w:rFonts w:asciiTheme="minorHAnsi" w:hAnsiTheme="minorHAnsi" w:cstheme="minorHAnsi"/>
        </w:rPr>
        <w:t>Surface and hyporheic deployments of replicate cotton strips (for determining cellulose decomposition potential) and fine- and coarse-mesh leaf litter bags (</w:t>
      </w:r>
      <w:r w:rsidRPr="00747E35">
        <w:rPr>
          <w:rFonts w:asciiTheme="minorHAnsi" w:hAnsiTheme="minorHAnsi" w:cstheme="minorHAnsi"/>
          <w:highlight w:val="green"/>
        </w:rPr>
        <w:fldChar w:fldCharType="begin"/>
      </w:r>
      <w:r w:rsidRPr="00747E35">
        <w:rPr>
          <w:rFonts w:asciiTheme="minorHAnsi" w:hAnsiTheme="minorHAnsi" w:cstheme="minorHAnsi"/>
        </w:rPr>
        <w:instrText xml:space="preserve"> REF _Ref466907859 \h </w:instrText>
      </w:r>
      <w:r w:rsidR="00925BFC" w:rsidRPr="00747E35">
        <w:rPr>
          <w:rFonts w:asciiTheme="minorHAnsi" w:hAnsiTheme="minorHAnsi" w:cstheme="minorHAnsi"/>
          <w:highlight w:val="green"/>
        </w:rPr>
        <w:instrText xml:space="preserve"> \* MERGEFORMAT </w:instrText>
      </w:r>
      <w:r w:rsidRPr="00747E35">
        <w:rPr>
          <w:rFonts w:asciiTheme="minorHAnsi" w:hAnsiTheme="minorHAnsi" w:cstheme="minorHAnsi"/>
          <w:highlight w:val="green"/>
        </w:rPr>
      </w:r>
      <w:r w:rsidRPr="00747E35">
        <w:rPr>
          <w:rFonts w:asciiTheme="minorHAnsi" w:hAnsiTheme="minorHAnsi" w:cstheme="minorHAnsi"/>
          <w:highlight w:val="green"/>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43</w:t>
      </w:r>
      <w:r w:rsidRPr="00747E35">
        <w:rPr>
          <w:rFonts w:asciiTheme="minorHAnsi" w:hAnsiTheme="minorHAnsi" w:cstheme="minorHAnsi"/>
          <w:highlight w:val="green"/>
        </w:rPr>
        <w:fldChar w:fldCharType="end"/>
      </w:r>
      <w:r w:rsidRPr="00747E35">
        <w:rPr>
          <w:rFonts w:asciiTheme="minorHAnsi" w:hAnsiTheme="minorHAnsi" w:cstheme="minorHAnsi"/>
        </w:rPr>
        <w:t xml:space="preserve">) were undertaken in pool, riffle, and dry-gravel bar habitats at the upper Bremer River catchment (and Maules Creek </w:t>
      </w:r>
      <w:r w:rsidRPr="00747E35">
        <w:rPr>
          <w:rFonts w:asciiTheme="minorHAnsi" w:hAnsiTheme="minorHAnsi" w:cstheme="minorHAnsi"/>
        </w:rPr>
        <w:lastRenderedPageBreak/>
        <w:t xml:space="preserve">catchment sites – See Component 3) sites spanning seasonal changes in stream flow. Pool, riffle, and dry-gravel bar habitats were investigated as they are dominant in-stream habitats and represent a decreasing likelihood of hydrological permanency. Leaf litter bags were deployed twice (September to November 2015 and February to April 2016) and cotton strips four times (November 2015, January/February 2016, February/March 2016, and April/May 2016). Investigating how rates of organic matter processing differ with seasonal changes in flow, as well as among wetter and drier habitats, allows us to test the influence of flow variability on detrital processes at multiple scales. </w:t>
      </w:r>
    </w:p>
    <w:p w14:paraId="30074987" w14:textId="55190F19"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study design for organic matter processing experiments is summarised in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_Ref466023883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44</w:t>
      </w:r>
      <w:r w:rsidRPr="00747E35">
        <w:rPr>
          <w:rFonts w:asciiTheme="minorHAnsi" w:hAnsiTheme="minorHAnsi" w:cstheme="minorHAnsi"/>
          <w:highlight w:val="yellow"/>
        </w:rPr>
        <w:fldChar w:fldCharType="end"/>
      </w:r>
      <w:r w:rsidRPr="00747E35">
        <w:rPr>
          <w:rFonts w:asciiTheme="minorHAnsi" w:hAnsiTheme="minorHAnsi" w:cstheme="minorHAnsi"/>
        </w:rPr>
        <w:t>. In each stream, five replicate patches of each surface habitat type were randomly chosen (using a random number table based on habitat dimensions) and used for the placement of all subsequent organic matter processing experiments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_Ref466023883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44</w:t>
      </w:r>
      <w:r w:rsidRPr="00747E35">
        <w:rPr>
          <w:rFonts w:asciiTheme="minorHAnsi" w:hAnsiTheme="minorHAnsi" w:cstheme="minorHAnsi"/>
          <w:highlight w:val="yellow"/>
        </w:rPr>
        <w:fldChar w:fldCharType="end"/>
      </w:r>
      <w:r w:rsidRPr="00747E35">
        <w:rPr>
          <w:rFonts w:asciiTheme="minorHAnsi" w:hAnsiTheme="minorHAnsi" w:cstheme="minorHAnsi"/>
        </w:rPr>
        <w:t>). At each patch, a steel bar was hammered into the substrate to attach both leaf litter bags and cotton strips with cable ties during experimental incubations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_Ref466023883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44</w:t>
      </w:r>
      <w:r w:rsidRPr="00747E35">
        <w:rPr>
          <w:rFonts w:asciiTheme="minorHAnsi" w:hAnsiTheme="minorHAnsi" w:cstheme="minorHAnsi"/>
          <w:highlight w:val="yellow"/>
        </w:rPr>
        <w:fldChar w:fldCharType="end"/>
      </w:r>
      <w:r w:rsidRPr="00747E35">
        <w:rPr>
          <w:rFonts w:asciiTheme="minorHAnsi" w:hAnsiTheme="minorHAnsi" w:cstheme="minorHAnsi"/>
        </w:rPr>
        <w:t>). In order to explore differences in organic matter decomposition among surface and hyporheic environments, paired surface and hyporheic deployments of cotton strips and leaf-litter bags were undertaken in riffle habitats at all sites, and in all habitats (gravel bar, pool, riffle) within one site, Warrill Creek. Each hyporheic deployment occurred approximately 1m downstream of the paired surface habitat patch at a depth of 30 ± 5cm below the surface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_Ref466023883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44</w:t>
      </w:r>
      <w:r w:rsidRPr="00747E35">
        <w:rPr>
          <w:rFonts w:asciiTheme="minorHAnsi" w:hAnsiTheme="minorHAnsi" w:cstheme="minorHAnsi"/>
          <w:highlight w:val="yellow"/>
        </w:rPr>
        <w:fldChar w:fldCharType="end"/>
      </w:r>
      <w:r w:rsidRPr="00747E35">
        <w:rPr>
          <w:rFonts w:asciiTheme="minorHAnsi" w:hAnsiTheme="minorHAnsi" w:cstheme="minorHAnsi"/>
        </w:rPr>
        <w:t xml:space="preserve">). Leaf-litter bags and cotton strips were buried following the procedure of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 AuthorYear="1"&gt;&lt;Author&gt;Boulton&lt;/Author&gt;&lt;Year&gt;1998&lt;/Year&gt;&lt;RecNum&gt;1156&lt;/RecNum&gt;&lt;DisplayText&gt;Boulton and Foster (1998)&lt;/DisplayText&gt;&lt;record&gt;&lt;rec-number&gt;1156&lt;/rec-number&gt;&lt;foreign-keys&gt;&lt;key app="EN" db-id="f09zwdf26xeasaevvsjxv00h9rx2v9xarfsw" timestamp="1436414419"&gt;1156&lt;/key&gt;&lt;/foreign-keys&gt;&lt;ref-type name="Journal Article"&gt;17&lt;/ref-type&gt;&lt;contributors&gt;&lt;authors&gt;&lt;author&gt;Boulton, A. J.&lt;/author&gt;&lt;author&gt;Foster, J. G.&lt;/author&gt;&lt;/authors&gt;&lt;/contributors&gt;&lt;titles&gt;&lt;title&gt;Effects of buried leaf litter and vertical hydrologic exchange on hyporheic water chemistry and fauna in a gravel-bed river in northern New South Wales, Australia&lt;/title&gt;&lt;secondary-title&gt;Freshwater Biology&lt;/secondary-title&gt;&lt;/titles&gt;&lt;periodical&gt;&lt;full-title&gt;Freshwater Biology&lt;/full-title&gt;&lt;/periodical&gt;&lt;pages&gt;229-243&lt;/pages&gt;&lt;volume&gt;40&lt;/volume&gt;&lt;number&gt;2&lt;/number&gt;&lt;dates&gt;&lt;year&gt;1998&lt;/year&gt;&lt;/dates&gt;&lt;publisher&gt;Blackwell Science Ltd&lt;/publisher&gt;&lt;isbn&gt;1365-2427&lt;/isbn&gt;&lt;urls&gt;&lt;related-urls&gt;&lt;url&gt;http://dx.doi.org/10.1046/j.1365-2427.1998.00345.x&lt;/url&gt;&lt;/related-urls&gt;&lt;/urls&gt;&lt;electronic-resource-num&gt;10.1046/j.1365-2427.1998.00345.x&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Boulton and Foster (1998)</w:t>
      </w:r>
      <w:r w:rsidRPr="00747E35">
        <w:rPr>
          <w:rFonts w:asciiTheme="minorHAnsi" w:hAnsiTheme="minorHAnsi" w:cstheme="minorHAnsi"/>
        </w:rPr>
        <w:fldChar w:fldCharType="end"/>
      </w:r>
      <w:r w:rsidRPr="00747E35">
        <w:rPr>
          <w:rFonts w:asciiTheme="minorHAnsi" w:hAnsiTheme="minorHAnsi" w:cstheme="minorHAnsi"/>
        </w:rPr>
        <w:t>.</w:t>
      </w:r>
    </w:p>
    <w:p w14:paraId="229C9C5B"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2C448036" wp14:editId="21AC275F">
            <wp:extent cx="5632643" cy="4229100"/>
            <wp:effectExtent l="0" t="0" r="6350" b="0"/>
            <wp:docPr id="7205" name="Picture 7205" descr="Photograph of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decomp.tif"/>
                    <pic:cNvPicPr/>
                  </pic:nvPicPr>
                  <pic:blipFill>
                    <a:blip r:embed="rId87" cstate="screen">
                      <a:extLst>
                        <a:ext uri="{28A0092B-C50C-407E-A947-70E740481C1C}">
                          <a14:useLocalDpi xmlns:a14="http://schemas.microsoft.com/office/drawing/2010/main"/>
                        </a:ext>
                      </a:extLst>
                    </a:blip>
                    <a:stretch>
                      <a:fillRect/>
                    </a:stretch>
                  </pic:blipFill>
                  <pic:spPr>
                    <a:xfrm>
                      <a:off x="0" y="0"/>
                      <a:ext cx="5647072" cy="4239934"/>
                    </a:xfrm>
                    <a:prstGeom prst="rect">
                      <a:avLst/>
                    </a:prstGeom>
                  </pic:spPr>
                </pic:pic>
              </a:graphicData>
            </a:graphic>
          </wp:inline>
        </w:drawing>
      </w:r>
    </w:p>
    <w:p w14:paraId="6D272081" w14:textId="77777777" w:rsidR="003D3694" w:rsidRPr="00747E35" w:rsidRDefault="003D3694" w:rsidP="00566456">
      <w:pPr>
        <w:pStyle w:val="Caption"/>
        <w:numPr>
          <w:ilvl w:val="0"/>
          <w:numId w:val="0"/>
        </w:numPr>
        <w:rPr>
          <w:rFonts w:cstheme="minorHAnsi"/>
        </w:rPr>
      </w:pPr>
      <w:bookmarkStart w:id="132" w:name="_Ref466907859"/>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43</w:t>
      </w:r>
      <w:r w:rsidR="009D6600" w:rsidRPr="00747E35">
        <w:rPr>
          <w:rFonts w:cstheme="minorHAnsi"/>
          <w:noProof/>
        </w:rPr>
        <w:fldChar w:fldCharType="end"/>
      </w:r>
      <w:bookmarkEnd w:id="132"/>
      <w:r w:rsidRPr="00747E35">
        <w:rPr>
          <w:rFonts w:cstheme="minorHAnsi"/>
        </w:rPr>
        <w:t>. An example of a) replicate cotton strips used for cotton strip assays, b) coarse-mesh leaf litter bag, and c) fine-mesh leaf litter bag.</w:t>
      </w:r>
    </w:p>
    <w:p w14:paraId="1116DFB7" w14:textId="77777777" w:rsidR="003D3694" w:rsidRPr="00747E35" w:rsidRDefault="003D3694" w:rsidP="003D3694">
      <w:pPr>
        <w:rPr>
          <w:rFonts w:asciiTheme="minorHAnsi" w:hAnsiTheme="minorHAnsi" w:cstheme="minorHAnsi"/>
        </w:rPr>
      </w:pPr>
    </w:p>
    <w:p w14:paraId="359123DB"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5E72AD96" wp14:editId="5539D925">
            <wp:extent cx="5731510" cy="4298950"/>
            <wp:effectExtent l="0" t="0" r="2540" b="6350"/>
            <wp:docPr id="7206" name="Picture 7206"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icMatterStudyDesign.tif"/>
                    <pic:cNvPicPr/>
                  </pic:nvPicPr>
                  <pic:blipFill>
                    <a:blip r:embed="rId88" cstate="screen">
                      <a:extLst>
                        <a:ext uri="{28A0092B-C50C-407E-A947-70E740481C1C}">
                          <a14:useLocalDpi xmlns:a14="http://schemas.microsoft.com/office/drawing/2010/main"/>
                        </a:ext>
                      </a:extLst>
                    </a:blip>
                    <a:stretch>
                      <a:fillRect/>
                    </a:stretch>
                  </pic:blipFill>
                  <pic:spPr>
                    <a:xfrm>
                      <a:off x="0" y="0"/>
                      <a:ext cx="5731510" cy="4298950"/>
                    </a:xfrm>
                    <a:prstGeom prst="rect">
                      <a:avLst/>
                    </a:prstGeom>
                  </pic:spPr>
                </pic:pic>
              </a:graphicData>
            </a:graphic>
          </wp:inline>
        </w:drawing>
      </w:r>
    </w:p>
    <w:p w14:paraId="1C196120" w14:textId="045F266F" w:rsidR="003D3694" w:rsidRPr="00747E35" w:rsidRDefault="003D3694" w:rsidP="00566456">
      <w:pPr>
        <w:pStyle w:val="Caption"/>
        <w:numPr>
          <w:ilvl w:val="0"/>
          <w:numId w:val="0"/>
        </w:numPr>
        <w:rPr>
          <w:rFonts w:cstheme="minorHAnsi"/>
        </w:rPr>
      </w:pPr>
      <w:bookmarkStart w:id="133" w:name="_Ref466023883"/>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44</w:t>
      </w:r>
      <w:r w:rsidR="009D6600" w:rsidRPr="00747E35">
        <w:rPr>
          <w:rFonts w:cstheme="minorHAnsi"/>
          <w:noProof/>
        </w:rPr>
        <w:fldChar w:fldCharType="end"/>
      </w:r>
      <w:bookmarkEnd w:id="133"/>
      <w:r w:rsidRPr="00747E35">
        <w:rPr>
          <w:rFonts w:cstheme="minorHAnsi"/>
        </w:rPr>
        <w:t xml:space="preserve">. A schematic representation of the experimental study design for leaf litter (fine and coarse-mesh bags) and cotton strip assays. Inset plot shows longitudinal view of </w:t>
      </w:r>
      <w:r w:rsidR="000E6336">
        <w:rPr>
          <w:rFonts w:cstheme="minorHAnsi"/>
        </w:rPr>
        <w:t>streambed</w:t>
      </w:r>
      <w:r w:rsidRPr="00747E35">
        <w:rPr>
          <w:rFonts w:cstheme="minorHAnsi"/>
        </w:rPr>
        <w:t xml:space="preserve"> with positioning of surface and hyporheic samples.</w:t>
      </w:r>
    </w:p>
    <w:p w14:paraId="14AFD6EE" w14:textId="77777777" w:rsidR="003D3694" w:rsidRPr="00747E35" w:rsidRDefault="003D3694" w:rsidP="003D3694">
      <w:pPr>
        <w:rPr>
          <w:rFonts w:asciiTheme="minorHAnsi" w:hAnsiTheme="minorHAnsi" w:cstheme="minorHAnsi"/>
        </w:rPr>
      </w:pPr>
    </w:p>
    <w:p w14:paraId="38D514D2"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t>Cellulose decomposition potential</w:t>
      </w:r>
    </w:p>
    <w:p w14:paraId="618C8425" w14:textId="5556EC2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Cellulose decomposition potential of sediment was assessed with cotton strip assays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&lt;EndNote&gt;&lt;Cite&gt;&lt;Author&gt;Boulton&lt;/Author&gt;&lt;Year&gt;2000&lt;/Year&gt;&lt;RecNum&gt;121&lt;/RecNum&gt;&lt;DisplayText&gt;(Boulton and Quinn, 2000)&lt;/DisplayText&gt;&lt;record&gt;&lt;rec-number&gt;121&lt;/rec-number&gt;&lt;foreign-keys&gt;&lt;key app="EN" db-id="f09zwdf26xeasaevvsjxv00h9rx2v9xarfsw" timestamp="1399199501"&gt;121&lt;/key&gt;&lt;/foreign-keys&gt;&lt;ref-type name="Journal Article"&gt;17&lt;/ref-type&gt;&lt;contributors&gt;&lt;authors&gt;&lt;author&gt;Boulton, A. J.&lt;/author&gt;&lt;author&gt;Quinn, J. M.&lt;/author&gt;&lt;/authors&gt;&lt;/contributors&gt;&lt;auth-address&gt;Division of Ecosystem Management, University of New England, Armidale, NSW 2350, Australia&lt;/auth-address&gt;&lt;titles&gt;&lt;title&gt;A simple and versatile technique for assessing cellulose decomposition potential in floodplain and riverine sediments&lt;/title&gt;&lt;secondary-title&gt;Archiv fur Hydrobiologie&lt;/secondary-title&gt;&lt;/titles&gt;&lt;periodical&gt;&lt;full-title&gt;Archiv fur Hydrobiologie&lt;/full-title&gt;&lt;/periodical&gt;&lt;pages&gt;133-151&lt;/pages&gt;&lt;volume&gt;150&lt;/volume&gt;&lt;number&gt;1&lt;/number&gt;&lt;keywords&gt;&lt;keyword&gt;Cotton-strip assay technique&lt;/keyword&gt;&lt;keyword&gt;River ecology&lt;/keyword&gt;&lt;keyword&gt;cellulose&lt;/keyword&gt;&lt;keyword&gt;decomposition&lt;/keyword&gt;&lt;keyword&gt;freshwater sediment&lt;/keyword&gt;&lt;keyword&gt;Australia&lt;/keyword&gt;&lt;keyword&gt;France&lt;/keyword&gt;&lt;keyword&gt;New Zealand&lt;/keyword&gt;&lt;/keywords&gt;&lt;dates&gt;&lt;year&gt;2000&lt;/year&gt;&lt;/dates&gt;&lt;isbn&gt;00039136 (ISSN)&lt;/isbn&gt;&lt;urls&gt;&lt;related-urls&gt;&lt;url&gt;http://www.scopus.com/inward/record.url?eid=2-s2.0-0034516721&amp;amp;partnerID=40&amp;amp;md5=67af586649973893fc6af971d3eb0c7f&lt;/url&gt;&lt;/related-urls&gt;&lt;/urls&gt;&lt;/record&gt;&lt;/Cite&gt;&lt;/EndNote&gt;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(Boulton and Quinn, 2000)</w:t>
      </w:r>
      <w:r w:rsidRPr="00747E35">
        <w:rPr>
          <w:rFonts w:asciiTheme="minorHAnsi" w:hAnsiTheme="minorHAnsi" w:cstheme="minorHAnsi"/>
        </w:rPr>
        <w:fldChar w:fldCharType="end"/>
      </w:r>
      <w:r w:rsidRPr="00747E35">
        <w:rPr>
          <w:rFonts w:asciiTheme="minorHAnsi" w:hAnsiTheme="minorHAnsi" w:cstheme="minorHAnsi"/>
        </w:rPr>
        <w:t xml:space="preserve">. Cotton strip assays provide a standardised measure of organic matter processing because breakdown rates are not </w:t>
      </w:r>
      <w:r w:rsidR="00D747F8">
        <w:rPr>
          <w:rFonts w:asciiTheme="minorHAnsi" w:hAnsiTheme="minorHAnsi" w:cstheme="minorHAnsi"/>
        </w:rPr>
        <w:t>affected</w:t>
      </w:r>
      <w:r w:rsidRPr="00747E35">
        <w:rPr>
          <w:rFonts w:asciiTheme="minorHAnsi" w:hAnsiTheme="minorHAnsi" w:cstheme="minorHAnsi"/>
        </w:rPr>
        <w:t xml:space="preserve"> by variation in chemical composition, as can be the case when assessing decomposition with leaves whose chemical composition can vary widely within and among species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&lt;EndNote&gt;&lt;Cite&gt;&lt;Author&gt;Boulton&lt;/Author&gt;&lt;Year&gt;2000&lt;/Year&gt;&lt;RecNum&gt;121&lt;/RecNum&gt;&lt;DisplayText&gt;(Boulton and Quinn, 2000)&lt;/DisplayText&gt;&lt;record&gt;&lt;rec-number&gt;121&lt;/rec-number&gt;&lt;foreign-keys&gt;&lt;key app="EN" db-id="f09zwdf26xeasaevvsjxv00h9rx2v9xarfsw" timestamp="1399199501"&gt;121&lt;/key&gt;&lt;/foreign-keys&gt;&lt;ref-type name="Journal Article"&gt;17&lt;/ref-type&gt;&lt;contributors&gt;&lt;authors&gt;&lt;author&gt;Boulton, A. J.&lt;/author&gt;&lt;author&gt;Quinn, J. M.&lt;/author&gt;&lt;/authors&gt;&lt;/contributors&gt;&lt;auth-address&gt;Division of Ecosystem Management, University of New England, Armidale, NSW 2350, Australia&lt;/auth-address&gt;&lt;titles&gt;&lt;title&gt;A simple and versatile technique for assessing cellulose decomposition potential in floodplain and riverine sediments&lt;/title&gt;&lt;secondary-title&gt;Archiv fur Hydrobiologie&lt;/secondary-title&gt;&lt;/titles&gt;&lt;periodical&gt;&lt;full-title&gt;Archiv fur Hydrobiologie&lt;/full-title&gt;&lt;/periodical&gt;&lt;pages&gt;133-151&lt;/pages&gt;&lt;volume&gt;150&lt;/volume&gt;&lt;number&gt;1&lt;/number&gt;&lt;keywords&gt;&lt;keyword&gt;Cotton-strip assay technique&lt;/keyword&gt;&lt;keyword&gt;River ecology&lt;/keyword&gt;&lt;keyword&gt;cellulose&lt;/keyword&gt;&lt;keyword&gt;decomposition&lt;/keyword&gt;&lt;keyword&gt;freshwater sediment&lt;/keyword&gt;&lt;keyword&gt;Australia&lt;/keyword&gt;&lt;keyword&gt;France&lt;/keyword&gt;&lt;keyword&gt;New Zealand&lt;/keyword&gt;&lt;/keywords&gt;&lt;dates&gt;&lt;year&gt;2000&lt;/year&gt;&lt;/dates&gt;&lt;isbn&gt;00039136 (ISSN)&lt;/isbn&gt;&lt;urls&gt;&lt;related-urls&gt;&lt;url&gt;http://www.scopus.com/inward/record.url?eid=2-s2.0-0034516721&amp;amp;partnerID=40&amp;amp;md5=67af586649973893fc6af971d3eb0c7f&lt;/url&gt;&lt;/related-urls&gt;&lt;/urls&gt;&lt;/record&gt;&lt;/Cite&gt;&lt;/EndNote&gt;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(Boulton and Quinn, 2000)</w:t>
      </w:r>
      <w:r w:rsidRPr="00747E35">
        <w:rPr>
          <w:rFonts w:asciiTheme="minorHAnsi" w:hAnsiTheme="minorHAnsi" w:cstheme="minorHAnsi"/>
        </w:rPr>
        <w:fldChar w:fldCharType="end"/>
      </w:r>
      <w:r w:rsidRPr="00747E35">
        <w:rPr>
          <w:rFonts w:asciiTheme="minorHAnsi" w:hAnsiTheme="minorHAnsi" w:cstheme="minorHAnsi"/>
        </w:rPr>
        <w:t>. Unbleached and unprimed cotton fabric was used for assays in all streams. Ten replicate cotton strips (35mm by 60mm), affixed to rulers in pairs (i.e. 5 rulers in total) with rubber bands and cable ties, were placed cotton side up on the bottom of each surface or excavated hyporheic location at the beginning of each incubation period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_Ref466023883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44</w:t>
      </w:r>
      <w:r w:rsidRPr="00747E35">
        <w:rPr>
          <w:rFonts w:asciiTheme="minorHAnsi" w:hAnsiTheme="minorHAnsi" w:cstheme="minorHAnsi"/>
          <w:highlight w:val="yellow"/>
        </w:rPr>
        <w:fldChar w:fldCharType="end"/>
      </w:r>
      <w:r w:rsidRPr="00747E35">
        <w:rPr>
          <w:rFonts w:asciiTheme="minorHAnsi" w:hAnsiTheme="minorHAnsi" w:cstheme="minorHAnsi"/>
        </w:rPr>
        <w:t xml:space="preserve">). Rulers were secured in place by being attached with cable ties to steel bars hammered into the stream. After approximately 28 days the rulers and strips were collected and rinsed, if necessary, to remove deposited sediment. Within 5 hours of collection the cotton strips were removed from the rulers and placed on paper to air-dry. </w:t>
      </w:r>
    </w:p>
    <w:p w14:paraId="66B660B2" w14:textId="47B0F28C" w:rsidR="003D3694" w:rsidRPr="00747E35" w:rsidRDefault="003D3694" w:rsidP="003D3694">
      <w:pPr>
        <w:rPr>
          <w:rFonts w:asciiTheme="minorHAnsi" w:hAnsiTheme="minorHAnsi" w:cstheme="minorHAnsi"/>
        </w:rPr>
      </w:pPr>
      <w:r w:rsidRPr="00747E35">
        <w:rPr>
          <w:rFonts w:asciiTheme="minorHAnsi" w:hAnsiTheme="minorHAnsi" w:cstheme="minorHAnsi"/>
        </w:rPr>
        <w:t>Once strips were dry, the tensile strength of each was measured with a Digital Force Gauges Series 7 tensiometer (Mark-101, New York, U.S.A.) at the Water Research Laboratory, University of New South Wales. Cotton tensile strength (kg) was recorded as the initial breaking point of each strip. The data w</w:t>
      </w:r>
      <w:r w:rsidR="00424FDD">
        <w:rPr>
          <w:rFonts w:asciiTheme="minorHAnsi" w:hAnsiTheme="minorHAnsi" w:cstheme="minorHAnsi"/>
        </w:rPr>
        <w:t>ere</w:t>
      </w:r>
      <w:r w:rsidRPr="00747E35">
        <w:rPr>
          <w:rFonts w:asciiTheme="minorHAnsi" w:hAnsiTheme="minorHAnsi" w:cstheme="minorHAnsi"/>
        </w:rPr>
        <w:t xml:space="preserve"> represented as the cotton tensile force ratio (CTFR) by dividing the cotton tensile strength of incubated strips with that of procedural controls as done previously in Burrows et al.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 ExcludeAuth="1"&gt;&lt;Author&gt;Burrows&lt;/Author&gt;&lt;Year&gt;2014&lt;/Year&gt;&lt;RecNum&gt;1324&lt;/RecNum&gt;&lt;DisplayText&gt;(2014)&lt;/DisplayText&gt;&lt;record&gt;&lt;rec-number&gt;1324&lt;/rec-number&gt;&lt;foreign-keys&gt;&lt;key app="EN" db-id="f09zwdf26xeasaevvsjxv00h9rx2v9xarfsw" timestamp="1477357825"&gt;1324&lt;/key&gt;&lt;/foreign-keys&gt;&lt;ref-type name="Journal Article"&gt;17&lt;/ref-type&gt;&lt;contributors&gt;&lt;authors&gt;&lt;author&gt;Burrows, Ryan M.&lt;/author&gt;&lt;author&gt;Magierowski, Regina H.&lt;/author&gt;&lt;author&gt;Fellman, Jason B.&lt;/author&gt;&lt;author&gt;Clapcott, Joanne E.&lt;/author&gt;&lt;author&gt;Munks, Sarah A.&lt;/author&gt;&lt;author&gt;Roberts, Sandra&lt;/author&gt;&lt;author&gt;Davies, Peter E.&lt;/author&gt;&lt;author&gt;Barmuta, Leon A.&lt;/author&gt;&lt;/authors&gt;&lt;/contributors&gt;&lt;titles&gt;&lt;title&gt;Variation in stream organic matter processing among years and benthic habitats in response to forest clearfelling&lt;/title&gt;&lt;secondary-title&gt;Forest Ecology and Management&lt;/secondary-title&gt;&lt;/titles&gt;&lt;periodical&gt;&lt;full-title&gt;Forest Ecology and Management&lt;/full-title&gt;&lt;/periodical&gt;&lt;pages&gt;136-147&lt;/pages&gt;&lt;volume&gt;327&lt;/volume&gt;&lt;keywords&gt;&lt;keyword&gt;Disturbance&lt;/keyword&gt;&lt;keyword&gt;Forestry&lt;/keyword&gt;&lt;keyword&gt;Staircase design&lt;/keyword&gt;&lt;keyword&gt;Microbial decomposition&lt;/keyword&gt;&lt;keyword&gt;Organic matter&lt;/keyword&gt;&lt;keyword&gt;Headwater stream&lt;/keyword&gt;&lt;/keywords&gt;&lt;dates&gt;&lt;year&gt;2014&lt;/year&gt;&lt;pub-dates&gt;&lt;date&gt;9/1/&lt;/date&gt;&lt;/pub-dates&gt;&lt;/dates&gt;&lt;isbn&gt;0378-1127&lt;/isbn&gt;&lt;urls&gt;&lt;related-urls&gt;&lt;url&gt;http://www.sciencedirect.com/science/article/pii/S0378112714002813&lt;/url&gt;&lt;/related-urls&gt;&lt;/urls&gt;&lt;electronic-resource-num&gt;http://dx.doi.org/10.1016/j.foreco.2014.04.041&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(2014)</w:t>
      </w:r>
      <w:r w:rsidRPr="00747E35">
        <w:rPr>
          <w:rFonts w:asciiTheme="minorHAnsi" w:hAnsiTheme="minorHAnsi" w:cstheme="minorHAnsi"/>
        </w:rPr>
        <w:fldChar w:fldCharType="end"/>
      </w:r>
      <w:r w:rsidRPr="00747E35">
        <w:rPr>
          <w:rFonts w:asciiTheme="minorHAnsi" w:hAnsiTheme="minorHAnsi" w:cstheme="minorHAnsi"/>
        </w:rPr>
        <w:t xml:space="preserve"> and </w:t>
      </w:r>
      <w:r w:rsidRPr="00747E35">
        <w:rPr>
          <w:rFonts w:asciiTheme="minorHAnsi" w:hAnsiTheme="minorHAnsi" w:cstheme="minorHAnsi"/>
        </w:rPr>
        <w:lastRenderedPageBreak/>
        <w:t xml:space="preserve">Clapcott and Barmuta </w:t>
      </w:r>
      <w:r w:rsidRPr="00747E35">
        <w:rPr>
          <w:rFonts w:asciiTheme="minorHAnsi" w:hAnsiTheme="minorHAnsi" w:cstheme="minorHAnsi"/>
        </w:rPr>
        <w:fldChar w:fldCharType="begin">
          <w:fldData xml:space="preserve">PEVuZE5vdGU+PENpdGUgRXhjbHVkZUF1dGg9IjEiPjxBdXRob3I+Q2xhcGNvdHQ8L0F1dGhvcj48
WWVhcj4yMDEwPC9ZZWFyPjxSZWNOdW0+MTc4PC9SZWNOdW0+PERpc3BsYXlUZXh0PigyMDEwYiwg
MjAxMGEpPC9EaXNwbGF5VGV4dD48cmVjb3JkPjxyZWMtbnVtYmVyPjE3ODwvcmVjLW51bWJlcj48
Zm9yZWlnbi1rZXlzPjxrZXkgYXBwPSJFTiIgZGItaWQ9ImYwOXp3ZGYyNnhlYXNhZXZ2c2p4djAw
aDlyeDJ2OXhhcmZzdyIgdGltZXN0YW1wPSIxMzk5MTk5NTAxIj4xNzg8L2tleT48L2ZvcmVpZ24t
a2V5cz48cmVmLXR5cGUgbmFtZT0iSm91cm5hbCBBcnRpY2xlIj4xNzwvcmVmLXR5cGU+PGNvbnRy
aWJ1dG9ycz48YXV0aG9ycz48YXV0aG9yPkNsYXBjb3R0LCBKLiBFLjwvYXV0aG9yPjxhdXRob3I+
QmFybXV0YSwgTC4gQS48L2F1dGhvcj48L2F1dGhvcnM+PC9jb250cmlidXRvcnM+PGF1dGgtYWRk
cmVzcz5TY2hvb2wgb2YgWm9vbG9neSBhbmQgVEFGSSwgVW5pdmVyc2l0eSBvZiBUYXNtYW5pYSwg
SG9iYXJ0LCBUYXMuLCBBdXN0cmFsaWE7IENhd3Rocm9uIEluc3RpdHV0ZSwgTmVsc29uLCBOZXcg
WmVhbGFuZDwvYXV0aC1hZGRyZXNzPjx0aXRsZXM+PHRpdGxlPk1ldGFib2xpYyBwYXRjaCBkeW5h
bWljcyBpbiBzbWFsbCBoZWFkd2F0ZXIgc3RyZWFtczogZXhwbG9yaW5nIHNwYXRpYWwgYW5kIHRl
bXBvcmFsIHZhcmlhYmlsaXR5IGluIGJlbnRoaWMgcHJvY2Vzc2VzPC90aXRsZT48c2Vjb25kYXJ5
LXRpdGxlPkZyZXNod2F0ZXIgQmlvbG9neTwvc2Vjb25kYXJ5LXRpdGxlPjwvdGl0bGVzPjxwZXJp
b2RpY2FsPjxmdWxsLXRpdGxlPkZyZXNod2F0ZXIgQmlvbG9neTwvZnVsbC10aXRsZT48L3Blcmlv
ZGljYWw+PHBhZ2VzPjgwNi04MjQ8L3BhZ2VzPjx2b2x1bWU+NTU8L3ZvbHVtZT48bnVtYmVyPjQ8
L251bWJlcj48ZGF0ZXM+PHllYXI+MjAxMDwveWVhcj48L2RhdGVzPjxpc2JuPjEzNjUtMjQyNzwv
aXNibj48dXJscz48cmVsYXRlZC11cmxzPjx1cmw+aHR0cDovL2R4LmRvaS5vcmcvMTAuMTExMS9q
LjEzNjUtMjQyNy4yMDA5LjAyMzI0Lng8L3VybD48L3JlbGF0ZWQtdXJscz48L3VybHM+PC9yZWNv
cmQ+PC9DaXRlPjxDaXRlIEV4Y2x1ZGVBdXRoPSIxIj48QXV0aG9yPkNsYXBjb3R0PC9BdXRob3I+
PFllYXI+MjAxMDwvWWVhcj48UmVjTnVtPjE3OTwvUmVjTnVtPjxyZWNvcmQ+PHJlYy1udW1iZXI+
MTc5PC9yZWMtbnVtYmVyPjxmb3JlaWduLWtleXM+PGtleSBhcHA9IkVOIiBkYi1pZD0iZjA5endk
ZjI2eGVhc2FldnZzanh2MDBoOXJ4MnY5eGFyZnN3IiB0aW1lc3RhbXA9IjEzOTkxOTk1MDEiPjE3
OTwva2V5PjwvZm9yZWlnbi1rZXlzPjxyZWYtdHlwZSBuYW1lPSJKb3VybmFsIEFydGljbGUiPjE3
PC9yZWYtdHlwZT48Y29udHJpYnV0b3JzPjxhdXRob3JzPjxhdXRob3I+Q2xhcGNvdHQsIEouIEUu
PC9hdXRob3I+PGF1dGhvcj5CYXJtdXRhLCBMLiBBLjwvYXV0aG9yPjwvYXV0aG9ycz48L2NvbnRy
aWJ1dG9ycz48YXV0aC1hZGRyZXNzPlVuaXYgVGFzbWFuaWEsIERlcHQgWm9vbCwgSG9iYXJ0LCBU
YXMgNzAwMSwgQXVzdHJhbGlhLiBVbml2IFRhc21hbmlhLCBUQUZJLCBIb2JhcnQsIFRhcyA3MDAx
LCBBdXN0cmFsaWEuJiN4RDtDbGFwY290dCwgSkUgKHJlcHJpbnQgYXV0aG9yKSwgQ2F3dGhyb24g
SW5zdCwgUHJpdmF0ZSBCYWcgMiwgTmVsc29uLCBOZXcgWmVhbGFuZCYjeEQ7am9hbm5lLmNsYXBj
b3R0QGNhd3Rocm9uLm9yZy5uejwvYXV0aC1hZGRyZXNzPjx0aXRsZXM+PHRpdGxlPkZvcmVzdCBj
bGVhcmFuY2UgaW5jcmVhc2VzIG1ldGFib2xpc20gYW5kIG9yZ2FuaWMgbWF0dGVyIHByb2Nlc3Nl
cyBpbiBzbWFsbCBoZWFkd2F0ZXIgc3RyZWFtczwvdGl0bGU+PHNlY29uZGFyeS10aXRsZT5Kb3Vy
bmFsIG9mIHRoZSBOb3J0aCBBbWVyaWNhbiBCZW50aG9sb2dpY2FsIFNvY2lldHk8L3NlY29uZGFy
eS10aXRsZT48YWx0LXRpdGxlPkouIE4uIEFtLiBCZW50aG9sLiBTb2MuPC9hbHQtdGl0bGU+PC90
aXRsZXM+PHBlcmlvZGljYWw+PGZ1bGwtdGl0bGU+Sm91cm5hbCBvZiB0aGUgTm9ydGggQW1lcmlj
YW4gQmVudGhvbG9naWNhbCBTb2NpZXR5PC9mdWxsLXRpdGxlPjwvcGVyaW9kaWNhbD48YWx0LXBl
cmlvZGljYWw+PGZ1bGwtdGl0bGU+Sm91cm5hbCBvZiB0aGUgTm9ydGggQW1lcmljYW4gQmVudGhv
bG9naWNhbCBTb2NpZXR5PC9mdWxsLXRpdGxlPjxhYmJyLTE+Si4gTi4gQW0uIEJlbnRob2wuIFNv
Yy48L2FiYnItMT48L2FsdC1wZXJpb2RpY2FsPjxwYWdlcz41NDYtNTYxPC9wYWdlcz48dm9sdW1l
PjI5PC92b2x1bWU+PG51bWJlcj4yPC9udW1iZXI+PGtleXdvcmRzPjxrZXl3b3JkPmJlbnRoaWMg
bWV0YWJvbGlzbTwva2V5d29yZD48a2V5d29yZD5zZWRpbWVudCByZXNwaXJhdGlvbjwva2V5d29y
ZD48a2V5d29yZD5jZWxsdWxvc2UgZGVjb21wb3NpdGlvbjwva2V5d29yZD48a2V5d29yZD5wb3Rl
bnRpYWw8L2tleXdvcmQ+PGtleXdvcmQ+Y2hsb3JvcGh5bGwgYTwva2V5d29yZD48a2V5d29yZD5y
b2J1c3QgbWVhbnM8L2tleXdvcmQ+PGtleXdvcmQ+ZGlzcGVyc2lvbjwva2V5d29yZD48a2V5d29y
ZD5kaXN0dXJiYW5jZTwva2V5d29yZD48a2V5d29yZD5zY2FsZTwva2V5d29yZD48a2V5d29yZD5i
ZW50aGljIGNvbW11bml0eSBtZXRhYm9saXNtPC9rZXl3b3JkPjxrZXl3b3JkPmVjb3N5c3RlbSBo
ZWFsdGg8L2tleXdvcmQ+PGtleXdvcmQ+cmlwYXJpYW4gdmVnZXRhdGlvbjwva2V5d29yZD48a2V5
d29yZD5udXRyaWVudCByZXRlbnRpb248L2tleXdvcmQ+PGtleXdvcmQ+cGFjaWZpYy1ub3J0aHdl
c3Q8L2tleXdvcmQ+PGtleXdvcmQ+aHlwb3JoZWljIHpvbmU8L2tleXdvcmQ+PGtleXdvcmQ+d2F0
ZXItcXVhbGl0eTwva2V5d29yZD48a2V5d29yZD5sYW5kLXVzZTwva2V5d29yZD48a2V5d29yZD5k
aXN0dXJiYW5jZTwva2V5d29yZD48a2V5d29yZD5yaXZlcjwva2V5d29yZD48L2tleXdvcmRzPjxk
YXRlcz48eWVhcj4yMDEwPC95ZWFyPjxwdWItZGF0ZXM+PGRhdGU+SnVuPC9kYXRlPjwvcHViLWRh
dGVzPjwvZGF0ZXM+PGlzYm4+MDg4Ny0zNTkzPC9pc2JuPjxhY2Nlc3Npb24tbnVtPldPUzowMDAy
Nzc0NzIzMDAwMTM8L2FjY2Vzc2lvbi1udW0+PHdvcmstdHlwZT5BcnRpY2xlPC93b3JrLXR5cGU+
PHVybHM+PHJlbGF0ZWQtdXJscz48dXJsPiZsdDtHbyB0byBJU0kmZ3Q7Oi8vV09TOjAwMDI3NzQ3
MjMwMDAxMzwvdXJsPjwvcmVsYXRlZC11cmxzPjwvdXJscz48ZWxlY3Ryb25pYy1yZXNvdXJjZS1u
dW0+MTAuMTg5OS8wOS0wNDAuMTwvZWxlY3Ryb25pYy1yZXNvdXJjZS1udW0+PC9yZWNvcmQ+PC9D
aXRlPjwvRW5kTm90ZT5=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PEVuZE5vdGU+PENpdGUgRXhjbHVkZUF1dGg9IjEiPjxBdXRob3I+Q2xhcGNvdHQ8L0F1dGhvcj48
WWVhcj4yMDEwPC9ZZWFyPjxSZWNOdW0+MTc4PC9SZWNOdW0+PERpc3BsYXlUZXh0PigyMDEwYiwg
MjAxMGEpPC9EaXNwbGF5VGV4dD48cmVjb3JkPjxyZWMtbnVtYmVyPjE3ODwvcmVjLW51bWJlcj48
Zm9yZWlnbi1rZXlzPjxrZXkgYXBwPSJFTiIgZGItaWQ9ImYwOXp3ZGYyNnhlYXNhZXZ2c2p4djAw
aDlyeDJ2OXhhcmZzdyIgdGltZXN0YW1wPSIxMzk5MTk5NTAxIj4xNzg8L2tleT48L2ZvcmVpZ24t
a2V5cz48cmVmLXR5cGUgbmFtZT0iSm91cm5hbCBBcnRpY2xlIj4xNzwvcmVmLXR5cGU+PGNvbnRy
aWJ1dG9ycz48YXV0aG9ycz48YXV0aG9yPkNsYXBjb3R0LCBKLiBFLjwvYXV0aG9yPjxhdXRob3I+
QmFybXV0YSwgTC4gQS48L2F1dGhvcj48L2F1dGhvcnM+PC9jb250cmlidXRvcnM+PGF1dGgtYWRk
cmVzcz5TY2hvb2wgb2YgWm9vbG9neSBhbmQgVEFGSSwgVW5pdmVyc2l0eSBvZiBUYXNtYW5pYSwg
SG9iYXJ0LCBUYXMuLCBBdXN0cmFsaWE7IENhd3Rocm9uIEluc3RpdHV0ZSwgTmVsc29uLCBOZXcg
WmVhbGFuZDwvYXV0aC1hZGRyZXNzPjx0aXRsZXM+PHRpdGxlPk1ldGFib2xpYyBwYXRjaCBkeW5h
bWljcyBpbiBzbWFsbCBoZWFkd2F0ZXIgc3RyZWFtczogZXhwbG9yaW5nIHNwYXRpYWwgYW5kIHRl
bXBvcmFsIHZhcmlhYmlsaXR5IGluIGJlbnRoaWMgcHJvY2Vzc2VzPC90aXRsZT48c2Vjb25kYXJ5
LXRpdGxlPkZyZXNod2F0ZXIgQmlvbG9neTwvc2Vjb25kYXJ5LXRpdGxlPjwvdGl0bGVzPjxwZXJp
b2RpY2FsPjxmdWxsLXRpdGxlPkZyZXNod2F0ZXIgQmlvbG9neTwvZnVsbC10aXRsZT48L3Blcmlv
ZGljYWw+PHBhZ2VzPjgwNi04MjQ8L3BhZ2VzPjx2b2x1bWU+NTU8L3ZvbHVtZT48bnVtYmVyPjQ8
L251bWJlcj48ZGF0ZXM+PHllYXI+MjAxMDwveWVhcj48L2RhdGVzPjxpc2JuPjEzNjUtMjQyNzwv
aXNibj48dXJscz48cmVsYXRlZC11cmxzPjx1cmw+aHR0cDovL2R4LmRvaS5vcmcvMTAuMTExMS9q
LjEzNjUtMjQyNy4yMDA5LjAyMzI0Lng8L3VybD48L3JlbGF0ZWQtdXJscz48L3VybHM+PC9yZWNv
cmQ+PC9DaXRlPjxDaXRlIEV4Y2x1ZGVBdXRoPSIxIj48QXV0aG9yPkNsYXBjb3R0PC9BdXRob3I+
PFllYXI+MjAxMDwvWWVhcj48UmVjTnVtPjE3OTwvUmVjTnVtPjxyZWNvcmQ+PHJlYy1udW1iZXI+
MTc5PC9yZWMtbnVtYmVyPjxmb3JlaWduLWtleXM+PGtleSBhcHA9IkVOIiBkYi1pZD0iZjA5endk
ZjI2eGVhc2FldnZzanh2MDBoOXJ4MnY5eGFyZnN3IiB0aW1lc3RhbXA9IjEzOTkxOTk1MDEiPjE3
OTwva2V5PjwvZm9yZWlnbi1rZXlzPjxyZWYtdHlwZSBuYW1lPSJKb3VybmFsIEFydGljbGUiPjE3
PC9yZWYtdHlwZT48Y29udHJpYnV0b3JzPjxhdXRob3JzPjxhdXRob3I+Q2xhcGNvdHQsIEouIEUu
PC9hdXRob3I+PGF1dGhvcj5CYXJtdXRhLCBMLiBBLjwvYXV0aG9yPjwvYXV0aG9ycz48L2NvbnRy
aWJ1dG9ycz48YXV0aC1hZGRyZXNzPlVuaXYgVGFzbWFuaWEsIERlcHQgWm9vbCwgSG9iYXJ0LCBU
YXMgNzAwMSwgQXVzdHJhbGlhLiBVbml2IFRhc21hbmlhLCBUQUZJLCBIb2JhcnQsIFRhcyA3MDAx
LCBBdXN0cmFsaWEuJiN4RDtDbGFwY290dCwgSkUgKHJlcHJpbnQgYXV0aG9yKSwgQ2F3dGhyb24g
SW5zdCwgUHJpdmF0ZSBCYWcgMiwgTmVsc29uLCBOZXcgWmVhbGFuZCYjeEQ7am9hbm5lLmNsYXBj
b3R0QGNhd3Rocm9uLm9yZy5uejwvYXV0aC1hZGRyZXNzPjx0aXRsZXM+PHRpdGxlPkZvcmVzdCBj
bGVhcmFuY2UgaW5jcmVhc2VzIG1ldGFib2xpc20gYW5kIG9yZ2FuaWMgbWF0dGVyIHByb2Nlc3Nl
cyBpbiBzbWFsbCBoZWFkd2F0ZXIgc3RyZWFtczwvdGl0bGU+PHNlY29uZGFyeS10aXRsZT5Kb3Vy
bmFsIG9mIHRoZSBOb3J0aCBBbWVyaWNhbiBCZW50aG9sb2dpY2FsIFNvY2lldHk8L3NlY29uZGFy
eS10aXRsZT48YWx0LXRpdGxlPkouIE4uIEFtLiBCZW50aG9sLiBTb2MuPC9hbHQtdGl0bGU+PC90
aXRsZXM+PHBlcmlvZGljYWw+PGZ1bGwtdGl0bGU+Sm91cm5hbCBvZiB0aGUgTm9ydGggQW1lcmlj
YW4gQmVudGhvbG9naWNhbCBTb2NpZXR5PC9mdWxsLXRpdGxlPjwvcGVyaW9kaWNhbD48YWx0LXBl
cmlvZGljYWw+PGZ1bGwtdGl0bGU+Sm91cm5hbCBvZiB0aGUgTm9ydGggQW1lcmljYW4gQmVudGhv
bG9naWNhbCBTb2NpZXR5PC9mdWxsLXRpdGxlPjxhYmJyLTE+Si4gTi4gQW0uIEJlbnRob2wuIFNv
Yy48L2FiYnItMT48L2FsdC1wZXJpb2RpY2FsPjxwYWdlcz41NDYtNTYxPC9wYWdlcz48dm9sdW1l
PjI5PC92b2x1bWU+PG51bWJlcj4yPC9udW1iZXI+PGtleXdvcmRzPjxrZXl3b3JkPmJlbnRoaWMg
bWV0YWJvbGlzbTwva2V5d29yZD48a2V5d29yZD5zZWRpbWVudCByZXNwaXJhdGlvbjwva2V5d29y
ZD48a2V5d29yZD5jZWxsdWxvc2UgZGVjb21wb3NpdGlvbjwva2V5d29yZD48a2V5d29yZD5wb3Rl
bnRpYWw8L2tleXdvcmQ+PGtleXdvcmQ+Y2hsb3JvcGh5bGwgYTwva2V5d29yZD48a2V5d29yZD5y
b2J1c3QgbWVhbnM8L2tleXdvcmQ+PGtleXdvcmQ+ZGlzcGVyc2lvbjwva2V5d29yZD48a2V5d29y
ZD5kaXN0dXJiYW5jZTwva2V5d29yZD48a2V5d29yZD5zY2FsZTwva2V5d29yZD48a2V5d29yZD5i
ZW50aGljIGNvbW11bml0eSBtZXRhYm9saXNtPC9rZXl3b3JkPjxrZXl3b3JkPmVjb3N5c3RlbSBo
ZWFsdGg8L2tleXdvcmQ+PGtleXdvcmQ+cmlwYXJpYW4gdmVnZXRhdGlvbjwva2V5d29yZD48a2V5
d29yZD5udXRyaWVudCByZXRlbnRpb248L2tleXdvcmQ+PGtleXdvcmQ+cGFjaWZpYy1ub3J0aHdl
c3Q8L2tleXdvcmQ+PGtleXdvcmQ+aHlwb3JoZWljIHpvbmU8L2tleXdvcmQ+PGtleXdvcmQ+d2F0
ZXItcXVhbGl0eTwva2V5d29yZD48a2V5d29yZD5sYW5kLXVzZTwva2V5d29yZD48a2V5d29yZD5k
aXN0dXJiYW5jZTwva2V5d29yZD48a2V5d29yZD5yaXZlcjwva2V5d29yZD48L2tleXdvcmRzPjxk
YXRlcz48eWVhcj4yMDEwPC95ZWFyPjxwdWItZGF0ZXM+PGRhdGU+SnVuPC9kYXRlPjwvcHViLWRh
dGVzPjwvZGF0ZXM+PGlzYm4+MDg4Ny0zNTkzPC9pc2JuPjxhY2Nlc3Npb24tbnVtPldPUzowMDAy
Nzc0NzIzMDAwMTM8L2FjY2Vzc2lvbi1udW0+PHdvcmstdHlwZT5BcnRpY2xlPC93b3JrLXR5cGU+
PHVybHM+PHJlbGF0ZWQtdXJscz48dXJsPiZsdDtHbyB0byBJU0kmZ3Q7Oi8vV09TOjAwMDI3NzQ3
MjMwMDAxMzwvdXJsPjwvcmVsYXRlZC11cmxzPjwvdXJscz48ZWxlY3Ryb25pYy1yZXNvdXJjZS1u
dW0+MTAuMTg5OS8wOS0wNDAuMTwvZWxlY3Ryb25pYy1yZXNvdXJjZS1udW0+PC9yZWNvcmQ+PC9D
aXRlPjwvRW5kTm90ZT5=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(2010a, 2010b)</w:t>
      </w:r>
      <w:r w:rsidRPr="00747E35">
        <w:rPr>
          <w:rFonts w:asciiTheme="minorHAnsi" w:hAnsiTheme="minorHAnsi" w:cstheme="minorHAnsi"/>
        </w:rPr>
        <w:fldChar w:fldCharType="end"/>
      </w:r>
      <w:r w:rsidRPr="00747E35">
        <w:rPr>
          <w:rFonts w:asciiTheme="minorHAnsi" w:hAnsiTheme="minorHAnsi" w:cstheme="minorHAnsi"/>
        </w:rPr>
        <w:t>. Force ratio values closer to one represent less cellulose decomposition than values closer to zero.</w:t>
      </w:r>
    </w:p>
    <w:p w14:paraId="7DA88405"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t>Leaf litter processing</w:t>
      </w:r>
    </w:p>
    <w:p w14:paraId="44DDC195" w14:textId="6BEB4759"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Freshly-senesced </w:t>
      </w:r>
      <w:r w:rsidRPr="00747E35">
        <w:rPr>
          <w:rFonts w:asciiTheme="minorHAnsi" w:hAnsiTheme="minorHAnsi" w:cstheme="minorHAnsi"/>
          <w:i/>
        </w:rPr>
        <w:t>Eucalyptus tereticornis</w:t>
      </w:r>
      <w:r w:rsidRPr="00747E35">
        <w:rPr>
          <w:rFonts w:asciiTheme="minorHAnsi" w:hAnsiTheme="minorHAnsi" w:cstheme="minorHAnsi"/>
        </w:rPr>
        <w:t xml:space="preserve"> leaves with minimal evidence of disease or blemishes were collected from riparian zones within the five study sites in the upper Bremer River catchment. </w:t>
      </w:r>
      <w:r w:rsidRPr="00747E35">
        <w:rPr>
          <w:rFonts w:asciiTheme="minorHAnsi" w:hAnsiTheme="minorHAnsi" w:cstheme="minorHAnsi"/>
          <w:i/>
        </w:rPr>
        <w:t>E. tereticornis</w:t>
      </w:r>
      <w:r w:rsidRPr="00747E35">
        <w:rPr>
          <w:rFonts w:asciiTheme="minorHAnsi" w:hAnsiTheme="minorHAnsi" w:cstheme="minorHAnsi"/>
        </w:rPr>
        <w:t xml:space="preserve"> is the dominant eucalypt species in the study region and extends over much of eastern Australia. Leaves were transported to the laboratory in cotton fabric bags and dried at 60°C for 48 hours. Approximately 3g (±0.05) of leaves with stalks removed were placed into fine-mesh (0.5mm diameter, width=15cm, length=15cm) and coarse-mesh (5mm diameter, width=12cm, length=17cm) bags (</w:t>
      </w:r>
      <w:r w:rsidRPr="00747E35">
        <w:rPr>
          <w:rFonts w:asciiTheme="minorHAnsi" w:hAnsiTheme="minorHAnsi" w:cstheme="minorHAnsi"/>
        </w:rPr>
        <w:fldChar w:fldCharType="begin"/>
      </w:r>
      <w:r w:rsidRPr="00747E35">
        <w:rPr>
          <w:rFonts w:asciiTheme="minorHAnsi" w:hAnsiTheme="minorHAnsi" w:cstheme="minorHAnsi"/>
        </w:rPr>
        <w:instrText xml:space="preserve"> REF _Ref466907859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43</w:t>
      </w:r>
      <w:r w:rsidRPr="00747E35">
        <w:rPr>
          <w:rFonts w:asciiTheme="minorHAnsi" w:hAnsiTheme="minorHAnsi" w:cstheme="minorHAnsi"/>
        </w:rPr>
        <w:fldChar w:fldCharType="end"/>
      </w:r>
      <w:r w:rsidRPr="00747E35">
        <w:rPr>
          <w:rFonts w:asciiTheme="minorHAnsi" w:hAnsiTheme="minorHAnsi" w:cstheme="minorHAnsi"/>
        </w:rPr>
        <w:t>). Variation in leaf litter processing between fine- and coarse-mesh bags is commonly used to differentiate microbial (bacteria and fungi) leaf decomposition from macroinvertebrate leaf consumption because fine-mesh bags exclude macroinvertebrates. Leaf packs were deployed in surface habitats and the hyporheic zone for approximately 60 days. Upon collection samples were placed into labelled sealed bags and frozen within 24 hours. In the laboratory, samples were defrosted, rinsed, and dried at 60°C for 48 hours. The dry weight was recorded and samples were then combusted at 550°C for 40 minutes to obtain ash weight. The remaining litter ash-free dry mass (AFDM) was then calculated as the difference between dry and ashed weight remaining. Similarly, control leaves (dried, stored in the laboratory) and leaves leached for 24 hours (to account for mass loss due to leaching) were processed as above. The control leaves were used to calculate the initial litter AFDM by subtracting the initial dry weight from initial ashed weight.</w:t>
      </w:r>
    </w:p>
    <w:p w14:paraId="0A583E15"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The percent leaf mass remaining was calculated by the following equation:</w:t>
      </w:r>
    </w:p>
    <w:p w14:paraId="76527402" w14:textId="77777777" w:rsidR="003D3694" w:rsidRPr="00747E35" w:rsidRDefault="006E6498" w:rsidP="003D3694">
      <w:pPr>
        <w:rPr>
          <w:rFonts w:asciiTheme="minorHAnsi" w:hAnsiTheme="minorHAnsi" w:cstheme="minorHAnsi"/>
        </w:rPr>
      </w:pPr>
      <m:oMath>
        <m:sSub>
          <m:sSubPr>
            <m:ctrlPr>
              <w:rPr>
                <w:rFonts w:ascii="Cambria Math" w:hAnsi="Cambria Math" w:cstheme="minorHAnsi"/>
              </w:rPr>
            </m:ctrlPr>
          </m:sSubPr>
          <m:e>
            <m:r>
              <m:rPr>
                <m:sty m:val="p"/>
              </m:rPr>
              <w:rPr>
                <w:rFonts w:ascii="Cambria Math" w:hAnsi="Cambria Math" w:cstheme="minorHAnsi"/>
              </w:rPr>
              <m:t xml:space="preserve">% </m:t>
            </m:r>
            <m:r>
              <w:rPr>
                <w:rFonts w:ascii="Cambria Math" w:hAnsi="Cambria Math" w:cstheme="minorHAnsi"/>
              </w:rPr>
              <m:t>Mass</m:t>
            </m:r>
          </m:e>
          <m:sub>
            <m:r>
              <w:rPr>
                <w:rFonts w:ascii="Cambria Math" w:hAnsi="Cambria Math" w:cstheme="minorHAnsi"/>
              </w:rPr>
              <m:t>remaining</m:t>
            </m:r>
          </m:sub>
        </m:sSub>
        <m:r>
          <m:rPr>
            <m:sty m:val="p"/>
          </m:rPr>
          <w:rPr>
            <w:rFonts w:ascii="Cambria Math" w:hAnsi="Cambria Math" w:cstheme="minorHAnsi"/>
          </w:rPr>
          <m:t xml:space="preserve">= </m:t>
        </m:r>
        <m:sSub>
          <m:sSubPr>
            <m:ctrlPr>
              <w:rPr>
                <w:rFonts w:ascii="Cambria Math" w:hAnsi="Cambria Math" w:cstheme="minorHAnsi"/>
              </w:rPr>
            </m:ctrlPr>
          </m:sSubPr>
          <m:e>
            <m:r>
              <w:rPr>
                <w:rFonts w:ascii="Cambria Math" w:hAnsi="Cambria Math" w:cstheme="minorHAnsi"/>
              </w:rPr>
              <m:t>AFDM</m:t>
            </m:r>
          </m:e>
          <m:sub>
            <m:r>
              <w:rPr>
                <w:rFonts w:ascii="Cambria Math" w:hAnsi="Cambria Math" w:cstheme="minorHAnsi"/>
              </w:rPr>
              <m:t>remaining</m:t>
            </m:r>
          </m:sub>
        </m:sSub>
        <m:r>
          <m:rPr>
            <m:sty m:val="p"/>
          </m:rPr>
          <w:rPr>
            <w:rFonts w:ascii="Cambria Math" w:hAnsi="Cambria Math" w:cstheme="minorHAnsi"/>
          </w:rPr>
          <m:t xml:space="preserve">/ </m:t>
        </m:r>
        <m:r>
          <w:rPr>
            <w:rFonts w:ascii="Cambria Math" w:hAnsi="Cambria Math" w:cstheme="minorHAnsi"/>
          </w:rPr>
          <m:t>A</m:t>
        </m:r>
        <m:sSub>
          <m:sSubPr>
            <m:ctrlPr>
              <w:rPr>
                <w:rFonts w:ascii="Cambria Math" w:hAnsi="Cambria Math" w:cstheme="minorHAnsi"/>
              </w:rPr>
            </m:ctrlPr>
          </m:sSubPr>
          <m:e>
            <m:r>
              <w:rPr>
                <w:rFonts w:ascii="Cambria Math" w:hAnsi="Cambria Math" w:cstheme="minorHAnsi"/>
              </w:rPr>
              <m:t>FDM</m:t>
            </m:r>
          </m:e>
          <m:sub>
            <m:r>
              <w:rPr>
                <w:rFonts w:ascii="Cambria Math" w:hAnsi="Cambria Math" w:cstheme="minorHAnsi"/>
              </w:rPr>
              <m:t>initial</m:t>
            </m:r>
          </m:sub>
        </m:sSub>
        <m:r>
          <m:rPr>
            <m:sty m:val="p"/>
          </m:rPr>
          <w:rPr>
            <w:rFonts w:ascii="Cambria Math" w:hAnsi="Cambria Math" w:cstheme="minorHAnsi"/>
          </w:rPr>
          <m:t>×100</m:t>
        </m:r>
      </m:oMath>
      <w:r w:rsidR="003D3694" w:rsidRPr="00747E35">
        <w:rPr>
          <w:rFonts w:asciiTheme="minorHAnsi" w:hAnsiTheme="minorHAnsi" w:cstheme="minorHAnsi"/>
        </w:rPr>
        <w:t xml:space="preserve"> </w:t>
      </w:r>
    </w:p>
    <w:p w14:paraId="54395C66"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Decay rates (</w:t>
      </w:r>
      <w:r w:rsidRPr="00747E35">
        <w:rPr>
          <w:rFonts w:asciiTheme="minorHAnsi" w:hAnsiTheme="minorHAnsi" w:cstheme="minorHAnsi"/>
          <w:i/>
        </w:rPr>
        <w:t>k</w:t>
      </w:r>
      <w:r w:rsidRPr="00747E35">
        <w:rPr>
          <w:rFonts w:asciiTheme="minorHAnsi" w:hAnsiTheme="minorHAnsi" w:cstheme="minorHAnsi"/>
        </w:rPr>
        <w:t xml:space="preserve"> coefficients) were calculated with a negative exponential decay model:</w:t>
      </w:r>
    </w:p>
    <w:p w14:paraId="379A8FA5" w14:textId="77777777" w:rsidR="003D3694" w:rsidRPr="00747E35" w:rsidRDefault="003D3694" w:rsidP="003D3694">
      <w:pPr>
        <w:rPr>
          <w:rFonts w:asciiTheme="minorHAnsi" w:hAnsiTheme="minorHAnsi" w:cstheme="minorHAnsi"/>
        </w:rPr>
      </w:pPr>
      <m:oMathPara>
        <m:oMath>
          <m:r>
            <w:rPr>
              <w:rFonts w:ascii="Cambria Math" w:hAnsi="Cambria Math" w:cstheme="minorHAnsi"/>
            </w:rPr>
            <m:t>k</m:t>
          </m:r>
          <m:r>
            <m:rPr>
              <m:sty m:val="p"/>
            </m:rPr>
            <w:rPr>
              <w:rFonts w:ascii="Cambria Math" w:hAnsi="Cambria Math" w:cstheme="minorHAnsi"/>
            </w:rPr>
            <m:t>=</m:t>
          </m:r>
          <m:r>
            <w:rPr>
              <w:rFonts w:ascii="Cambria Math" w:hAnsi="Cambria Math" w:cstheme="minorHAnsi"/>
            </w:rPr>
            <m:t>ln</m:t>
          </m:r>
          <m:d>
            <m:dPr>
              <m:ctrlPr>
                <w:rPr>
                  <w:rFonts w:ascii="Cambria Math" w:hAnsi="Cambria Math" w:cstheme="minorHAnsi"/>
                </w:rPr>
              </m:ctrlPr>
            </m:dPr>
            <m:e>
              <m:f>
                <m:fPr>
                  <m:ctrlPr>
                    <w:rPr>
                      <w:rFonts w:ascii="Cambria Math" w:hAnsi="Cambria Math" w:cstheme="minorHAnsi"/>
                    </w:rPr>
                  </m:ctrlPr>
                </m:fPr>
                <m:num>
                  <m:sSub>
                    <m:sSubPr>
                      <m:ctrlPr>
                        <w:rPr>
                          <w:rFonts w:ascii="Cambria Math" w:hAnsi="Cambria Math" w:cstheme="minorHAnsi"/>
                        </w:rPr>
                      </m:ctrlPr>
                    </m:sSubPr>
                    <m:e>
                      <m:r>
                        <w:rPr>
                          <w:rFonts w:ascii="Cambria Math" w:hAnsi="Cambria Math" w:cstheme="minorHAnsi"/>
                        </w:rPr>
                        <m:t>M</m:t>
                      </m:r>
                    </m:e>
                    <m:sub>
                      <m:r>
                        <w:rPr>
                          <w:rFonts w:ascii="Cambria Math" w:hAnsi="Cambria Math" w:cstheme="minorHAnsi"/>
                        </w:rPr>
                        <m:t>t</m:t>
                      </m:r>
                    </m:sub>
                  </m:sSub>
                </m:num>
                <m:den>
                  <m:sSub>
                    <m:sSubPr>
                      <m:ctrlPr>
                        <w:rPr>
                          <w:rFonts w:ascii="Cambria Math" w:hAnsi="Cambria Math" w:cstheme="minorHAnsi"/>
                        </w:rPr>
                      </m:ctrlPr>
                    </m:sSubPr>
                    <m:e>
                      <m:r>
                        <w:rPr>
                          <w:rFonts w:ascii="Cambria Math" w:hAnsi="Cambria Math" w:cstheme="minorHAnsi"/>
                        </w:rPr>
                        <m:t>M</m:t>
                      </m:r>
                    </m:e>
                    <m:sub>
                      <m:r>
                        <w:rPr>
                          <w:rFonts w:ascii="Cambria Math" w:hAnsi="Cambria Math" w:cstheme="minorHAnsi"/>
                        </w:rPr>
                        <m:t>o</m:t>
                      </m:r>
                    </m:sub>
                  </m:sSub>
                </m:den>
              </m:f>
            </m:e>
          </m:d>
          <m:r>
            <m:rPr>
              <m:sty m:val="p"/>
            </m:rPr>
            <w:rPr>
              <w:rFonts w:ascii="Cambria Math" w:hAnsi="Cambria Math" w:cstheme="minorHAnsi"/>
            </w:rPr>
            <m:t>÷</m:t>
          </m:r>
          <m:r>
            <w:rPr>
              <w:rFonts w:ascii="Cambria Math" w:hAnsi="Cambria Math" w:cstheme="minorHAnsi"/>
            </w:rPr>
            <m:t>t</m:t>
          </m:r>
        </m:oMath>
      </m:oMathPara>
    </w:p>
    <w:p w14:paraId="3F857792"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where </w:t>
      </w:r>
      <w:r w:rsidRPr="00747E35">
        <w:rPr>
          <w:rFonts w:asciiTheme="minorHAnsi" w:hAnsiTheme="minorHAnsi" w:cstheme="minorHAnsi"/>
          <w:i/>
        </w:rPr>
        <w:t>M</w:t>
      </w:r>
      <w:r w:rsidRPr="00747E35">
        <w:rPr>
          <w:rFonts w:asciiTheme="minorHAnsi" w:hAnsiTheme="minorHAnsi" w:cstheme="minorHAnsi"/>
          <w:i/>
          <w:vertAlign w:val="subscript"/>
        </w:rPr>
        <w:t>t</w:t>
      </w:r>
      <w:r w:rsidRPr="00747E35">
        <w:rPr>
          <w:rFonts w:asciiTheme="minorHAnsi" w:hAnsiTheme="minorHAnsi" w:cstheme="minorHAnsi"/>
        </w:rPr>
        <w:t xml:space="preserve"> is the AFDM at time </w:t>
      </w:r>
      <w:r w:rsidRPr="00747E35">
        <w:rPr>
          <w:rFonts w:asciiTheme="minorHAnsi" w:hAnsiTheme="minorHAnsi" w:cstheme="minorHAnsi"/>
          <w:i/>
        </w:rPr>
        <w:t>t</w:t>
      </w:r>
      <w:r w:rsidRPr="00747E35">
        <w:rPr>
          <w:rFonts w:asciiTheme="minorHAnsi" w:hAnsiTheme="minorHAnsi" w:cstheme="minorHAnsi"/>
        </w:rPr>
        <w:t xml:space="preserve"> (i.e. AFDM remaining) and </w:t>
      </w:r>
      <w:r w:rsidRPr="00747E35">
        <w:rPr>
          <w:rFonts w:asciiTheme="minorHAnsi" w:hAnsiTheme="minorHAnsi" w:cstheme="minorHAnsi"/>
          <w:i/>
        </w:rPr>
        <w:t>M</w:t>
      </w:r>
      <w:r w:rsidRPr="00747E35">
        <w:rPr>
          <w:rFonts w:asciiTheme="minorHAnsi" w:hAnsiTheme="minorHAnsi" w:cstheme="minorHAnsi"/>
          <w:i/>
          <w:vertAlign w:val="subscript"/>
        </w:rPr>
        <w:t>o</w:t>
      </w:r>
      <w:r w:rsidRPr="00747E35">
        <w:rPr>
          <w:rFonts w:asciiTheme="minorHAnsi" w:hAnsiTheme="minorHAnsi" w:cstheme="minorHAnsi"/>
        </w:rPr>
        <w:t xml:space="preserve"> is the initial AFDM. This equation assumes that the mass loss rates follow an exponential pattern.</w:t>
      </w:r>
    </w:p>
    <w:p w14:paraId="7E48F294"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t>Explanatory environmental variables</w:t>
      </w:r>
    </w:p>
    <w:p w14:paraId="4F8F101A"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A categorical measure of substrate moisture status (dry, moist, or saturated) was visually estimated for each replicate surface and hyporheic habitat patch during the deployment and collection of leaf-litter bags and cotton strips. A numerical variable was constructed with combinations of the deployment-collection categorical measures to give a simple, but representative, measure of the relative degree of substrate saturation over the entire incubation period. Patches with higher values were assumed to be saturated for a longer period than those with lower values: Dry-Dry = 1, Dry-Moist = 2, Moist-Dry = 2, Dry-Saturated = 3, Saturated-Dry = 3, Moist-Moist = 4, Moist-Saturated = 5, Saturated-Moist = 5, and Saturated-Saturated = 6.</w:t>
      </w:r>
    </w:p>
    <w:p w14:paraId="3E69847F"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Mean daily pool water height over each leaf litter and cotton incubation period was calculated from 15 minute measurements and used as a proxy for variation in stream discharge among study sites and dates. Mean daily pool water temperature was also calculated from a temperature logger contained within the water height logger.</w:t>
      </w:r>
    </w:p>
    <w:p w14:paraId="710CC7D0"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lastRenderedPageBreak/>
        <w:t>Statistical analyses</w:t>
      </w:r>
    </w:p>
    <w:p w14:paraId="125A61F0"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We assessed differences in the % leaf litter mass remaining among fine- and coarse-mesh bags, using linear mixed-effects models (LMMs). Separate LMMs were performed for each experiment (one or two) and depth (surface or hyporheic), and mesh size and habitat were treated as a fixed factors, with habitat nested within each study site (random variable). LMMs were also used to assess differences in the % leaf litter mass remaining and cellulose decomposition potential (i.e. cotton tensile force ratio) among substrate moisture status categories, with site considered a random variable in separate models for each experimental period. Variation in the % leaf litter mass remaining and cellulose decomposition potential among paired surface and hyporheic pool and dry-gravel bar habitats was assessed with two-factor analysis of variance, with experimental period and depth treatment as fixed factors. Because we conducted paired surface and hyporheic experiments in riffle habitats at all sites, we investigated variation in riffle habitat % leaf litter mass remaining and cellulose decomposition with LMMs: experimental period and depth treatment were fixed factors and site was a random variable. If interactions among factors were significant, we identified those factor levels responsible for this difference using Tukey's honest significance difference (HSD) test. We considered results significant if </w:t>
      </w:r>
      <w:r w:rsidRPr="00747E35">
        <w:rPr>
          <w:rFonts w:asciiTheme="minorHAnsi" w:hAnsiTheme="minorHAnsi" w:cstheme="minorHAnsi"/>
          <w:i/>
        </w:rPr>
        <w:t>p</w:t>
      </w:r>
      <w:r w:rsidRPr="00747E35">
        <w:rPr>
          <w:rFonts w:asciiTheme="minorHAnsi" w:hAnsiTheme="minorHAnsi" w:cstheme="minorHAnsi"/>
        </w:rPr>
        <w:t>≤0.05. LMMs were performed with the “lme4” R package and were, along with all other analyses, conducted in R (R Development Core Team 2011).</w:t>
      </w:r>
    </w:p>
    <w:p w14:paraId="306BF2E7" w14:textId="24A98BDE" w:rsidR="003D3694" w:rsidRPr="00747E35" w:rsidRDefault="003D3694" w:rsidP="003D3694">
      <w:pPr>
        <w:pStyle w:val="Heading3"/>
        <w:rPr>
          <w:rFonts w:asciiTheme="minorHAnsi" w:hAnsiTheme="minorHAnsi" w:cstheme="minorHAnsi"/>
        </w:rPr>
      </w:pPr>
      <w:bookmarkStart w:id="134" w:name="_Toc466450343"/>
      <w:bookmarkStart w:id="135" w:name="_Toc470004846"/>
      <w:r w:rsidRPr="00747E35">
        <w:rPr>
          <w:rFonts w:asciiTheme="minorHAnsi" w:hAnsiTheme="minorHAnsi" w:cstheme="minorHAnsi"/>
        </w:rPr>
        <w:t>Results</w:t>
      </w:r>
      <w:bookmarkEnd w:id="134"/>
      <w:bookmarkEnd w:id="135"/>
    </w:p>
    <w:p w14:paraId="38526308"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t>Leaf litter decay rates</w:t>
      </w:r>
    </w:p>
    <w:p w14:paraId="4BADFEF3" w14:textId="42017485" w:rsidR="003D3694" w:rsidRPr="00747E35" w:rsidRDefault="003D3694" w:rsidP="003D3694">
      <w:pPr>
        <w:rPr>
          <w:rFonts w:asciiTheme="minorHAnsi" w:hAnsiTheme="minorHAnsi" w:cstheme="minorHAnsi"/>
        </w:rPr>
      </w:pPr>
      <w:r w:rsidRPr="00747E35">
        <w:rPr>
          <w:rFonts w:asciiTheme="minorHAnsi" w:hAnsiTheme="minorHAnsi" w:cstheme="minorHAnsi"/>
        </w:rPr>
        <w:t>Leaf litter decay rates at the upper Bremer River catchment sites were, on average, much higher than comparative leaf litter studies in both surface and hyporheic habitats of perennial and intermittent streams in Australia and elsewhere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_Ref466023938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12</w:t>
      </w:r>
      <w:r w:rsidRPr="00747E35">
        <w:rPr>
          <w:rFonts w:asciiTheme="minorHAnsi" w:hAnsiTheme="minorHAnsi" w:cstheme="minorHAnsi"/>
          <w:highlight w:val="yellow"/>
        </w:rPr>
        <w:fldChar w:fldCharType="end"/>
      </w:r>
      <w:r w:rsidRPr="00747E35">
        <w:rPr>
          <w:rFonts w:asciiTheme="minorHAnsi" w:hAnsiTheme="minorHAnsi" w:cstheme="minorHAnsi"/>
        </w:rPr>
        <w:t>). Decay rates were consistently greater in the hyporheic zone than in all surface habitats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_Ref466023938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12</w:t>
      </w:r>
      <w:r w:rsidRPr="00747E35">
        <w:rPr>
          <w:rFonts w:asciiTheme="minorHAnsi" w:hAnsiTheme="minorHAnsi" w:cstheme="minorHAnsi"/>
          <w:highlight w:val="yellow"/>
        </w:rPr>
        <w:fldChar w:fldCharType="end"/>
      </w:r>
      <w:r w:rsidRPr="00747E35">
        <w:rPr>
          <w:rFonts w:asciiTheme="minorHAnsi" w:hAnsiTheme="minorHAnsi" w:cstheme="minorHAnsi"/>
        </w:rPr>
        <w:t>). Furthermore, decay rates were less variable in the hyporheic zone (coefficient of variation: CV = 4.9) than in gravel bars (CV = 15.2), riffles (CV = 19.5), and pools (CV = 8.3).</w:t>
      </w:r>
    </w:p>
    <w:p w14:paraId="6D1A9055"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t>Microbial versus macroinvertebrate and/or physical litter processing</w:t>
      </w:r>
    </w:p>
    <w:p w14:paraId="2F2007D6" w14:textId="6706D1E9" w:rsidR="003D3694" w:rsidRPr="00747E35" w:rsidRDefault="003D3694" w:rsidP="003D3694">
      <w:pPr>
        <w:rPr>
          <w:rFonts w:asciiTheme="minorHAnsi" w:hAnsiTheme="minorHAnsi" w:cstheme="minorHAnsi"/>
        </w:rPr>
      </w:pPr>
      <w:r w:rsidRPr="00747E35">
        <w:rPr>
          <w:rFonts w:asciiTheme="minorHAnsi" w:hAnsiTheme="minorHAnsi" w:cstheme="minorHAnsi"/>
        </w:rPr>
        <w:t>Leaf litter processing was predominantly mediated by microbial organisms in surface habitats, with the percent mass remaining of leaf litter generally similar in both fine (excludes macroinvertebrates) and coarse-mesh litter-bag treatments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_Ref466023883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44</w:t>
      </w:r>
      <w:r w:rsidRPr="00747E35">
        <w:rPr>
          <w:rFonts w:asciiTheme="minorHAnsi" w:hAnsiTheme="minorHAnsi" w:cstheme="minorHAnsi"/>
          <w:highlight w:val="yellow"/>
        </w:rPr>
        <w:fldChar w:fldCharType="end"/>
      </w:r>
      <w:r w:rsidRPr="00747E35">
        <w:rPr>
          <w:rFonts w:asciiTheme="minorHAnsi" w:hAnsiTheme="minorHAnsi" w:cstheme="minorHAnsi"/>
        </w:rPr>
        <w:t>). However, leaf litter decomposition was 8% greater (by mass) in coarse-mesh compared to fine-mesh litter bags within pool habitats in the second (wetter and warmer) sampling period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_Ref467123566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45</w:t>
      </w:r>
      <w:r w:rsidRPr="00747E35">
        <w:rPr>
          <w:rFonts w:asciiTheme="minorHAnsi" w:hAnsiTheme="minorHAnsi" w:cstheme="minorHAnsi"/>
          <w:highlight w:val="yellow"/>
        </w:rPr>
        <w:fldChar w:fldCharType="end"/>
      </w:r>
      <w:r w:rsidRPr="00747E35">
        <w:rPr>
          <w:rFonts w:asciiTheme="minorHAnsi" w:hAnsiTheme="minorHAnsi" w:cstheme="minorHAnsi"/>
        </w:rPr>
        <w:t>b; test=LMM), indicating that macroinvertebrate feeding may play a role in accelerating decomposition rates in certain circumstances. In the hyporheic zone, leaf litter decomposition was similar in fine-mesh compared to coarse-mesh litter bags during the first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_Ref467123566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45</w:t>
      </w:r>
      <w:r w:rsidRPr="00747E35">
        <w:rPr>
          <w:rFonts w:asciiTheme="minorHAnsi" w:hAnsiTheme="minorHAnsi" w:cstheme="minorHAnsi"/>
          <w:highlight w:val="yellow"/>
        </w:rPr>
        <w:fldChar w:fldCharType="end"/>
      </w:r>
      <w:r w:rsidRPr="00747E35">
        <w:rPr>
          <w:rFonts w:asciiTheme="minorHAnsi" w:hAnsiTheme="minorHAnsi" w:cstheme="minorHAnsi"/>
        </w:rPr>
        <w:t xml:space="preserve">c; LMM output, t = -1.7, </w:t>
      </w:r>
      <w:r w:rsidRPr="00747E35">
        <w:rPr>
          <w:rFonts w:asciiTheme="minorHAnsi" w:hAnsiTheme="minorHAnsi" w:cstheme="minorHAnsi"/>
          <w:i/>
        </w:rPr>
        <w:t xml:space="preserve">p </w:t>
      </w:r>
      <w:r w:rsidRPr="00747E35">
        <w:rPr>
          <w:rFonts w:asciiTheme="minorHAnsi" w:hAnsiTheme="minorHAnsi" w:cstheme="minorHAnsi"/>
        </w:rPr>
        <w:t>= 0.09) and second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_Ref467123566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45</w:t>
      </w:r>
      <w:r w:rsidRPr="00747E35">
        <w:rPr>
          <w:rFonts w:asciiTheme="minorHAnsi" w:hAnsiTheme="minorHAnsi" w:cstheme="minorHAnsi"/>
          <w:highlight w:val="yellow"/>
        </w:rPr>
        <w:fldChar w:fldCharType="end"/>
      </w:r>
      <w:r w:rsidRPr="00747E35">
        <w:rPr>
          <w:rFonts w:asciiTheme="minorHAnsi" w:hAnsiTheme="minorHAnsi" w:cstheme="minorHAnsi"/>
        </w:rPr>
        <w:t xml:space="preserve">d; LMM output, t = -0.3, </w:t>
      </w:r>
      <w:r w:rsidRPr="00747E35">
        <w:rPr>
          <w:rFonts w:asciiTheme="minorHAnsi" w:hAnsiTheme="minorHAnsi" w:cstheme="minorHAnsi"/>
          <w:i/>
        </w:rPr>
        <w:t xml:space="preserve">p </w:t>
      </w:r>
      <w:r w:rsidRPr="00747E35">
        <w:rPr>
          <w:rFonts w:asciiTheme="minorHAnsi" w:hAnsiTheme="minorHAnsi" w:cstheme="minorHAnsi"/>
        </w:rPr>
        <w:t>= 0.8) sampling period.</w:t>
      </w:r>
    </w:p>
    <w:p w14:paraId="7AD9796D"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t>Influence of flow regime and substrate saturation in surface habitats</w:t>
      </w:r>
    </w:p>
    <w:p w14:paraId="04143EE4" w14:textId="060FA414" w:rsidR="003D3694" w:rsidRPr="00747E35" w:rsidRDefault="003D3694" w:rsidP="003D3694">
      <w:pPr>
        <w:rPr>
          <w:rFonts w:asciiTheme="minorHAnsi" w:hAnsiTheme="minorHAnsi" w:cstheme="minorHAnsi"/>
        </w:rPr>
      </w:pPr>
      <w:r w:rsidRPr="00747E35">
        <w:rPr>
          <w:rFonts w:asciiTheme="minorHAnsi" w:hAnsiTheme="minorHAnsi" w:cstheme="minorHAnsi"/>
        </w:rPr>
        <w:t>Leaf litter and cotton strip processing was greatest in surface habitats subject to more saturated conditions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_Ref467123566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45</w:t>
      </w:r>
      <w:r w:rsidRPr="00747E35">
        <w:rPr>
          <w:rFonts w:asciiTheme="minorHAnsi" w:hAnsiTheme="minorHAnsi" w:cstheme="minorHAnsi"/>
          <w:highlight w:val="yellow"/>
        </w:rPr>
        <w:fldChar w:fldCharType="end"/>
      </w:r>
      <w:r w:rsidRPr="00747E35">
        <w:rPr>
          <w:rFonts w:asciiTheme="minorHAnsi" w:hAnsiTheme="minorHAnsi" w:cstheme="minorHAnsi"/>
        </w:rPr>
        <w:t xml:space="preserve">,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_Ref466024284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46</w:t>
      </w:r>
      <w:r w:rsidRPr="00747E35">
        <w:rPr>
          <w:rFonts w:asciiTheme="minorHAnsi" w:hAnsiTheme="minorHAnsi" w:cstheme="minorHAnsi"/>
          <w:highlight w:val="yellow"/>
        </w:rPr>
        <w:fldChar w:fldCharType="end"/>
      </w:r>
      <w:r w:rsidRPr="00747E35">
        <w:rPr>
          <w:rFonts w:asciiTheme="minorHAnsi" w:hAnsiTheme="minorHAnsi" w:cstheme="minorHAnsi"/>
        </w:rPr>
        <w:t xml:space="preserve">,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_Ref466024288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47</w:t>
      </w:r>
      <w:r w:rsidRPr="00747E35">
        <w:rPr>
          <w:rFonts w:asciiTheme="minorHAnsi" w:hAnsiTheme="minorHAnsi" w:cstheme="minorHAnsi"/>
          <w:highlight w:val="yellow"/>
        </w:rPr>
        <w:fldChar w:fldCharType="end"/>
      </w:r>
      <w:r w:rsidRPr="00747E35">
        <w:rPr>
          <w:rFonts w:asciiTheme="minorHAnsi" w:hAnsiTheme="minorHAnsi" w:cstheme="minorHAnsi"/>
        </w:rPr>
        <w:t xml:space="preserve">). Compared to dry-gravel bar habitat, 18% more leaf mass was consumed in pool habitats (LMM output: </w:t>
      </w:r>
      <w:r w:rsidRPr="00747E35">
        <w:rPr>
          <w:rFonts w:asciiTheme="minorHAnsi" w:hAnsiTheme="minorHAnsi" w:cstheme="minorHAnsi"/>
          <w:i/>
        </w:rPr>
        <w:t>t</w:t>
      </w:r>
      <w:r w:rsidRPr="00747E35">
        <w:rPr>
          <w:rFonts w:asciiTheme="minorHAnsi" w:hAnsiTheme="minorHAnsi" w:cstheme="minorHAnsi"/>
        </w:rPr>
        <w:t xml:space="preserve"> = -14.9, </w:t>
      </w:r>
      <w:r w:rsidRPr="00747E35">
        <w:rPr>
          <w:rFonts w:asciiTheme="minorHAnsi" w:hAnsiTheme="minorHAnsi" w:cstheme="minorHAnsi"/>
          <w:i/>
        </w:rPr>
        <w:t>p</w:t>
      </w:r>
      <w:r w:rsidRPr="00747E35">
        <w:rPr>
          <w:rFonts w:asciiTheme="minorHAnsi" w:hAnsiTheme="minorHAnsi" w:cstheme="minorHAnsi"/>
        </w:rPr>
        <w:t xml:space="preserve"> &lt;0.0001) and 10% more consumed in riffle habitats (LMM output: </w:t>
      </w:r>
      <w:r w:rsidRPr="00747E35">
        <w:rPr>
          <w:rFonts w:asciiTheme="minorHAnsi" w:hAnsiTheme="minorHAnsi" w:cstheme="minorHAnsi"/>
          <w:i/>
        </w:rPr>
        <w:t>t</w:t>
      </w:r>
      <w:r w:rsidRPr="00747E35">
        <w:rPr>
          <w:rFonts w:asciiTheme="minorHAnsi" w:hAnsiTheme="minorHAnsi" w:cstheme="minorHAnsi"/>
        </w:rPr>
        <w:t xml:space="preserve"> = -7.69, </w:t>
      </w:r>
      <w:r w:rsidRPr="00747E35">
        <w:rPr>
          <w:rFonts w:asciiTheme="minorHAnsi" w:hAnsiTheme="minorHAnsi" w:cstheme="minorHAnsi"/>
          <w:i/>
        </w:rPr>
        <w:t>p</w:t>
      </w:r>
      <w:r w:rsidRPr="00747E35">
        <w:rPr>
          <w:rFonts w:asciiTheme="minorHAnsi" w:hAnsiTheme="minorHAnsi" w:cstheme="minorHAnsi"/>
        </w:rPr>
        <w:t xml:space="preserve"> &lt;0.0001), pooling mesh-size treatments. Similarly, cotton tensile force ratio (CTFR) was 30% lower (i.e. greater tensile strength lost) in pool habitats (LMM output: </w:t>
      </w:r>
      <w:r w:rsidRPr="00747E35">
        <w:rPr>
          <w:rFonts w:asciiTheme="minorHAnsi" w:hAnsiTheme="minorHAnsi" w:cstheme="minorHAnsi"/>
          <w:i/>
        </w:rPr>
        <w:t>t</w:t>
      </w:r>
      <w:r w:rsidRPr="00747E35">
        <w:rPr>
          <w:rFonts w:asciiTheme="minorHAnsi" w:hAnsiTheme="minorHAnsi" w:cstheme="minorHAnsi"/>
        </w:rPr>
        <w:t xml:space="preserve"> = -9.83, </w:t>
      </w:r>
      <w:r w:rsidRPr="00747E35">
        <w:rPr>
          <w:rFonts w:asciiTheme="minorHAnsi" w:hAnsiTheme="minorHAnsi" w:cstheme="minorHAnsi"/>
          <w:i/>
        </w:rPr>
        <w:t>p</w:t>
      </w:r>
      <w:r w:rsidRPr="00747E35">
        <w:rPr>
          <w:rFonts w:asciiTheme="minorHAnsi" w:hAnsiTheme="minorHAnsi" w:cstheme="minorHAnsi"/>
        </w:rPr>
        <w:t xml:space="preserve"> &lt;0.0001) and 25% lower in riffle habitats (LMM output: </w:t>
      </w:r>
      <w:r w:rsidRPr="00747E35">
        <w:rPr>
          <w:rFonts w:asciiTheme="minorHAnsi" w:hAnsiTheme="minorHAnsi" w:cstheme="minorHAnsi"/>
          <w:i/>
        </w:rPr>
        <w:t>t</w:t>
      </w:r>
      <w:r w:rsidRPr="00747E35">
        <w:rPr>
          <w:rFonts w:asciiTheme="minorHAnsi" w:hAnsiTheme="minorHAnsi" w:cstheme="minorHAnsi"/>
        </w:rPr>
        <w:t xml:space="preserve"> = -8.40, </w:t>
      </w:r>
      <w:r w:rsidRPr="00747E35">
        <w:rPr>
          <w:rFonts w:asciiTheme="minorHAnsi" w:hAnsiTheme="minorHAnsi" w:cstheme="minorHAnsi"/>
          <w:i/>
        </w:rPr>
        <w:t>p</w:t>
      </w:r>
      <w:r w:rsidRPr="00747E35">
        <w:rPr>
          <w:rFonts w:asciiTheme="minorHAnsi" w:hAnsiTheme="minorHAnsi" w:cstheme="minorHAnsi"/>
        </w:rPr>
        <w:t xml:space="preserve"> &lt;0.0001) than in dry gravel bars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_Ref466024288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47</w:t>
      </w:r>
      <w:r w:rsidRPr="00747E35">
        <w:rPr>
          <w:rFonts w:asciiTheme="minorHAnsi" w:hAnsiTheme="minorHAnsi" w:cstheme="minorHAnsi"/>
          <w:highlight w:val="yellow"/>
        </w:rPr>
        <w:fldChar w:fldCharType="end"/>
      </w:r>
      <w:r w:rsidRPr="00747E35">
        <w:rPr>
          <w:rFonts w:asciiTheme="minorHAnsi" w:hAnsiTheme="minorHAnsi" w:cstheme="minorHAnsi"/>
        </w:rPr>
        <w:t>).</w:t>
      </w:r>
    </w:p>
    <w:p w14:paraId="17BD60B6" w14:textId="63328E92" w:rsidR="003D3694" w:rsidRPr="00747E35" w:rsidRDefault="003D3694" w:rsidP="003D3694">
      <w:pPr>
        <w:rPr>
          <w:rFonts w:asciiTheme="minorHAnsi" w:hAnsiTheme="minorHAnsi" w:cstheme="minorHAnsi"/>
        </w:rPr>
      </w:pPr>
      <w:r w:rsidRPr="00747E35">
        <w:rPr>
          <w:rFonts w:asciiTheme="minorHAnsi" w:hAnsiTheme="minorHAnsi" w:cstheme="minorHAnsi"/>
        </w:rPr>
        <w:lastRenderedPageBreak/>
        <w:t xml:space="preserve">T;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_Ref466024335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48</w:t>
      </w:r>
      <w:r w:rsidRPr="00747E35">
        <w:rPr>
          <w:rFonts w:asciiTheme="minorHAnsi" w:hAnsiTheme="minorHAnsi" w:cstheme="minorHAnsi"/>
          <w:highlight w:val="yellow"/>
        </w:rPr>
        <w:fldChar w:fldCharType="end"/>
      </w:r>
      <w:r w:rsidRPr="00747E35">
        <w:rPr>
          <w:rFonts w:asciiTheme="minorHAnsi" w:hAnsiTheme="minorHAnsi" w:cstheme="minorHAnsi"/>
        </w:rPr>
        <w:t>). Cotton degradation did not vary with pool water height (proxy for stream flow) in dry gravel bar habitat (LMM output,</w:t>
      </w:r>
      <w:r w:rsidRPr="00747E35">
        <w:rPr>
          <w:rFonts w:asciiTheme="minorHAnsi" w:hAnsiTheme="minorHAnsi" w:cstheme="minorHAnsi"/>
          <w:i/>
        </w:rPr>
        <w:t xml:space="preserve"> t </w:t>
      </w:r>
      <w:r w:rsidRPr="00747E35">
        <w:rPr>
          <w:rFonts w:asciiTheme="minorHAnsi" w:hAnsiTheme="minorHAnsi" w:cstheme="minorHAnsi"/>
        </w:rPr>
        <w:t xml:space="preserve">= -0.2, </w:t>
      </w:r>
      <w:r w:rsidRPr="00747E35">
        <w:rPr>
          <w:rFonts w:asciiTheme="minorHAnsi" w:hAnsiTheme="minorHAnsi" w:cstheme="minorHAnsi"/>
          <w:i/>
        </w:rPr>
        <w:t xml:space="preserve">p </w:t>
      </w:r>
      <w:r w:rsidRPr="00747E35">
        <w:rPr>
          <w:rFonts w:asciiTheme="minorHAnsi" w:hAnsiTheme="minorHAnsi" w:cstheme="minorHAnsi"/>
        </w:rPr>
        <w:t xml:space="preserve">= 0.8; </w:t>
      </w:r>
      <w:r w:rsidRPr="00747E35">
        <w:rPr>
          <w:rFonts w:asciiTheme="minorHAnsi" w:hAnsiTheme="minorHAnsi" w:cstheme="minorHAnsi"/>
        </w:rPr>
        <w:fldChar w:fldCharType="begin"/>
      </w:r>
      <w:r w:rsidRPr="00747E35">
        <w:rPr>
          <w:rFonts w:asciiTheme="minorHAnsi" w:hAnsiTheme="minorHAnsi" w:cstheme="minorHAnsi"/>
        </w:rPr>
        <w:instrText xml:space="preserve"> REF _Ref466024335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48</w:t>
      </w:r>
      <w:r w:rsidRPr="00747E35">
        <w:rPr>
          <w:rFonts w:asciiTheme="minorHAnsi" w:hAnsiTheme="minorHAnsi" w:cstheme="minorHAnsi"/>
        </w:rPr>
        <w:fldChar w:fldCharType="end"/>
      </w:r>
      <w:r w:rsidRPr="00747E35">
        <w:rPr>
          <w:rFonts w:asciiTheme="minorHAnsi" w:hAnsiTheme="minorHAnsi" w:cstheme="minorHAnsi"/>
        </w:rPr>
        <w:t xml:space="preserve">). Average leaf litter decomposition in all habitats was also greater (lower % mass remaining) in the incubation period (experiment two) characterised by higher mean pool water height (LMM output, </w:t>
      </w:r>
      <w:r w:rsidRPr="00747E35">
        <w:rPr>
          <w:rFonts w:asciiTheme="minorHAnsi" w:hAnsiTheme="minorHAnsi" w:cstheme="minorHAnsi"/>
          <w:i/>
        </w:rPr>
        <w:t xml:space="preserve">t </w:t>
      </w:r>
      <w:r w:rsidRPr="00747E35">
        <w:rPr>
          <w:rFonts w:asciiTheme="minorHAnsi" w:hAnsiTheme="minorHAnsi" w:cstheme="minorHAnsi"/>
        </w:rPr>
        <w:t xml:space="preserve">= 9.4, </w:t>
      </w:r>
      <w:r w:rsidRPr="00747E35">
        <w:rPr>
          <w:rFonts w:asciiTheme="minorHAnsi" w:hAnsiTheme="minorHAnsi" w:cstheme="minorHAnsi"/>
          <w:i/>
        </w:rPr>
        <w:t xml:space="preserve">p </w:t>
      </w:r>
      <w:r w:rsidRPr="00747E35">
        <w:rPr>
          <w:rFonts w:asciiTheme="minorHAnsi" w:hAnsiTheme="minorHAnsi" w:cstheme="minorHAnsi"/>
        </w:rPr>
        <w:t xml:space="preserve">&lt;0.001) and this difference was greater for riffle habitat (LMM output, </w:t>
      </w:r>
      <w:r w:rsidRPr="00747E35">
        <w:rPr>
          <w:rFonts w:asciiTheme="minorHAnsi" w:hAnsiTheme="minorHAnsi" w:cstheme="minorHAnsi"/>
          <w:i/>
        </w:rPr>
        <w:t>t</w:t>
      </w:r>
      <w:r w:rsidRPr="00747E35">
        <w:rPr>
          <w:rFonts w:asciiTheme="minorHAnsi" w:hAnsiTheme="minorHAnsi" w:cstheme="minorHAnsi"/>
        </w:rPr>
        <w:t xml:space="preserve">=-4.2, </w:t>
      </w:r>
      <w:r w:rsidRPr="00747E35">
        <w:rPr>
          <w:rFonts w:asciiTheme="minorHAnsi" w:hAnsiTheme="minorHAnsi" w:cstheme="minorHAnsi"/>
          <w:i/>
        </w:rPr>
        <w:t xml:space="preserve">p </w:t>
      </w:r>
      <w:r w:rsidRPr="00747E35">
        <w:rPr>
          <w:rFonts w:asciiTheme="minorHAnsi" w:hAnsiTheme="minorHAnsi" w:cstheme="minorHAnsi"/>
        </w:rPr>
        <w:t xml:space="preserve">&lt;0.001;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_Ref466024284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46</w:t>
      </w:r>
      <w:r w:rsidRPr="00747E35">
        <w:rPr>
          <w:rFonts w:asciiTheme="minorHAnsi" w:hAnsiTheme="minorHAnsi" w:cstheme="minorHAnsi"/>
          <w:highlight w:val="yellow"/>
        </w:rPr>
        <w:fldChar w:fldCharType="end"/>
      </w:r>
      <w:r w:rsidRPr="00747E35">
        <w:rPr>
          <w:rFonts w:asciiTheme="minorHAnsi" w:hAnsiTheme="minorHAnsi" w:cstheme="minorHAnsi"/>
        </w:rPr>
        <w:t>) – average water temperature was, however, also greater in the second incubation period than in the first (mean increase across study sites = 3.3°C).</w:t>
      </w:r>
    </w:p>
    <w:p w14:paraId="5733DC37" w14:textId="6293AFA9" w:rsidR="003D3694" w:rsidRPr="00747E35" w:rsidRDefault="003D3694" w:rsidP="003D3694">
      <w:pPr>
        <w:rPr>
          <w:rFonts w:asciiTheme="minorHAnsi" w:hAnsiTheme="minorHAnsi" w:cstheme="minorHAnsi"/>
        </w:rPr>
      </w:pPr>
      <w:r w:rsidRPr="00747E35">
        <w:rPr>
          <w:rFonts w:asciiTheme="minorHAnsi" w:hAnsiTheme="minorHAnsi" w:cstheme="minorHAnsi"/>
        </w:rPr>
        <w:t>Organic matter processing was positively related with patch-scale assessments of substrate moisture status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_Ref466024399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49</w:t>
      </w:r>
      <w:r w:rsidRPr="00747E35">
        <w:rPr>
          <w:rFonts w:asciiTheme="minorHAnsi" w:hAnsiTheme="minorHAnsi" w:cstheme="minorHAnsi"/>
          <w:highlight w:val="yellow"/>
        </w:rPr>
        <w:fldChar w:fldCharType="end"/>
      </w:r>
      <w:r w:rsidRPr="00747E35">
        <w:rPr>
          <w:rFonts w:asciiTheme="minorHAnsi" w:hAnsiTheme="minorHAnsi" w:cstheme="minorHAnsi"/>
        </w:rPr>
        <w:t xml:space="preserve">,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_Ref466024403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50</w:t>
      </w:r>
      <w:r w:rsidRPr="00747E35">
        <w:rPr>
          <w:rFonts w:asciiTheme="minorHAnsi" w:hAnsiTheme="minorHAnsi" w:cstheme="minorHAnsi"/>
          <w:highlight w:val="yellow"/>
        </w:rPr>
        <w:fldChar w:fldCharType="end"/>
      </w:r>
      <w:r w:rsidRPr="00747E35">
        <w:rPr>
          <w:rFonts w:asciiTheme="minorHAnsi" w:hAnsiTheme="minorHAnsi" w:cstheme="minorHAnsi"/>
        </w:rPr>
        <w:t>). For cotton strips, CTFR generally decreased (i.e. greater cellulose decomposition) along a gradient of substrate moisture status (LMM output,</w:t>
      </w:r>
      <w:r w:rsidRPr="00747E35">
        <w:rPr>
          <w:rFonts w:asciiTheme="minorHAnsi" w:hAnsiTheme="minorHAnsi" w:cstheme="minorHAnsi"/>
          <w:i/>
        </w:rPr>
        <w:t xml:space="preserve"> </w:t>
      </w:r>
      <w:r w:rsidRPr="00747E35">
        <w:rPr>
          <w:rFonts w:asciiTheme="minorHAnsi" w:hAnsiTheme="minorHAnsi" w:cstheme="minorHAnsi"/>
          <w:i/>
          <w:color w:val="000000" w:themeColor="text1"/>
        </w:rPr>
        <w:t xml:space="preserve">t </w:t>
      </w:r>
      <w:r w:rsidRPr="00747E35">
        <w:rPr>
          <w:rFonts w:asciiTheme="minorHAnsi" w:hAnsiTheme="minorHAnsi" w:cstheme="minorHAnsi"/>
          <w:color w:val="000000" w:themeColor="text1"/>
        </w:rPr>
        <w:t xml:space="preserve">= -9.7, </w:t>
      </w:r>
      <w:r w:rsidRPr="00747E35">
        <w:rPr>
          <w:rFonts w:asciiTheme="minorHAnsi" w:hAnsiTheme="minorHAnsi" w:cstheme="minorHAnsi"/>
          <w:i/>
          <w:color w:val="000000" w:themeColor="text1"/>
        </w:rPr>
        <w:t xml:space="preserve">p </w:t>
      </w:r>
      <w:r w:rsidRPr="00747E35">
        <w:rPr>
          <w:rFonts w:asciiTheme="minorHAnsi" w:hAnsiTheme="minorHAnsi" w:cstheme="minorHAnsi"/>
          <w:color w:val="000000" w:themeColor="text1"/>
        </w:rPr>
        <w:t>&lt;0.001)</w:t>
      </w:r>
      <w:r w:rsidRPr="00747E35">
        <w:rPr>
          <w:rFonts w:asciiTheme="minorHAnsi" w:hAnsiTheme="minorHAnsi" w:cstheme="minorHAnsi"/>
        </w:rPr>
        <w:t>, with 40% more cotton decomposition, on average among sites, in the wettest moisture category (category 6) than in the driest moisture category (category 1). Similarly, the % mass remaining of leaf litter was generally lower in the wetter substrate moisture categories in both incubation periods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_Ref466024403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50</w:t>
      </w:r>
      <w:r w:rsidRPr="00747E35">
        <w:rPr>
          <w:rFonts w:asciiTheme="minorHAnsi" w:hAnsiTheme="minorHAnsi" w:cstheme="minorHAnsi"/>
          <w:highlight w:val="yellow"/>
        </w:rPr>
        <w:fldChar w:fldCharType="end"/>
      </w:r>
      <w:r w:rsidRPr="00747E35">
        <w:rPr>
          <w:rFonts w:asciiTheme="minorHAnsi" w:hAnsiTheme="minorHAnsi" w:cstheme="minorHAnsi"/>
        </w:rPr>
        <w:t xml:space="preserve">). In the first incubation period, the % mass remaining of leaf litter was only significantly lower in the wettest (category 6) substrate moisture category (LMM output, </w:t>
      </w:r>
      <w:r w:rsidRPr="00747E35">
        <w:rPr>
          <w:rFonts w:asciiTheme="minorHAnsi" w:hAnsiTheme="minorHAnsi" w:cstheme="minorHAnsi"/>
          <w:i/>
          <w:color w:val="000000" w:themeColor="text1"/>
        </w:rPr>
        <w:t xml:space="preserve">t </w:t>
      </w:r>
      <w:r w:rsidRPr="00747E35">
        <w:rPr>
          <w:rFonts w:asciiTheme="minorHAnsi" w:hAnsiTheme="minorHAnsi" w:cstheme="minorHAnsi"/>
          <w:color w:val="000000" w:themeColor="text1"/>
        </w:rPr>
        <w:t xml:space="preserve">= -15.5, </w:t>
      </w:r>
      <w:r w:rsidRPr="00747E35">
        <w:rPr>
          <w:rFonts w:asciiTheme="minorHAnsi" w:hAnsiTheme="minorHAnsi" w:cstheme="minorHAnsi"/>
          <w:i/>
          <w:color w:val="000000" w:themeColor="text1"/>
        </w:rPr>
        <w:t xml:space="preserve">p </w:t>
      </w:r>
      <w:r w:rsidRPr="00747E35">
        <w:rPr>
          <w:rFonts w:asciiTheme="minorHAnsi" w:hAnsiTheme="minorHAnsi" w:cstheme="minorHAnsi"/>
          <w:color w:val="000000" w:themeColor="text1"/>
        </w:rPr>
        <w:t>&lt;0.001)</w:t>
      </w:r>
      <w:r w:rsidRPr="00747E35">
        <w:rPr>
          <w:rFonts w:asciiTheme="minorHAnsi" w:hAnsiTheme="minorHAnsi" w:cstheme="minorHAnsi"/>
        </w:rPr>
        <w:t xml:space="preserve">. However, in both incubation periods, the percent mass remaining of leaf litter was 18% lower, on average, in the wettest substrate moisture category (category 6) than in completely dry substrate (LMM output, </w:t>
      </w:r>
      <w:r w:rsidRPr="00747E35">
        <w:rPr>
          <w:rFonts w:asciiTheme="minorHAnsi" w:hAnsiTheme="minorHAnsi" w:cstheme="minorHAnsi"/>
          <w:i/>
          <w:color w:val="000000" w:themeColor="text1"/>
        </w:rPr>
        <w:t xml:space="preserve">t </w:t>
      </w:r>
      <w:r w:rsidRPr="00747E35">
        <w:rPr>
          <w:rFonts w:asciiTheme="minorHAnsi" w:hAnsiTheme="minorHAnsi" w:cstheme="minorHAnsi"/>
          <w:color w:val="000000" w:themeColor="text1"/>
        </w:rPr>
        <w:t xml:space="preserve">= -15.5, </w:t>
      </w:r>
      <w:r w:rsidRPr="00747E35">
        <w:rPr>
          <w:rFonts w:asciiTheme="minorHAnsi" w:hAnsiTheme="minorHAnsi" w:cstheme="minorHAnsi"/>
          <w:i/>
          <w:color w:val="000000" w:themeColor="text1"/>
        </w:rPr>
        <w:t xml:space="preserve">p </w:t>
      </w:r>
      <w:r w:rsidRPr="00747E35">
        <w:rPr>
          <w:rFonts w:asciiTheme="minorHAnsi" w:hAnsiTheme="minorHAnsi" w:cstheme="minorHAnsi"/>
          <w:color w:val="000000" w:themeColor="text1"/>
        </w:rPr>
        <w:t>&lt;0.001)</w:t>
      </w:r>
      <w:r w:rsidRPr="00747E35">
        <w:rPr>
          <w:rFonts w:asciiTheme="minorHAnsi" w:hAnsiTheme="minorHAnsi" w:cstheme="minorHAnsi"/>
        </w:rPr>
        <w:t>.</w:t>
      </w:r>
    </w:p>
    <w:p w14:paraId="7B94095C" w14:textId="77777777" w:rsidR="003D3694" w:rsidRPr="00747E35" w:rsidRDefault="003D3694" w:rsidP="003D3694">
      <w:pPr>
        <w:pStyle w:val="Heading5"/>
        <w:rPr>
          <w:rFonts w:asciiTheme="minorHAnsi" w:hAnsiTheme="minorHAnsi" w:cstheme="minorHAnsi"/>
        </w:rPr>
      </w:pPr>
      <w:r w:rsidRPr="00747E35">
        <w:rPr>
          <w:rFonts w:asciiTheme="minorHAnsi" w:hAnsiTheme="minorHAnsi" w:cstheme="minorHAnsi"/>
        </w:rPr>
        <w:t>Surface versus hyporheic organic matter processing</w:t>
      </w:r>
    </w:p>
    <w:p w14:paraId="79381763" w14:textId="6682C545" w:rsidR="003D3694" w:rsidRPr="00747E35" w:rsidRDefault="003D3694" w:rsidP="003D3694">
      <w:pPr>
        <w:rPr>
          <w:rFonts w:asciiTheme="minorHAnsi" w:hAnsiTheme="minorHAnsi" w:cstheme="minorHAnsi"/>
        </w:rPr>
      </w:pPr>
      <w:r w:rsidRPr="00747E35">
        <w:rPr>
          <w:rFonts w:asciiTheme="minorHAnsi" w:hAnsiTheme="minorHAnsi" w:cstheme="minorHAnsi"/>
        </w:rPr>
        <w:t>Leaf litter and cotton strip processing was greater in hyporheic than in surface environments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_Ref466024284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46</w:t>
      </w:r>
      <w:r w:rsidRPr="00747E35">
        <w:rPr>
          <w:rFonts w:asciiTheme="minorHAnsi" w:hAnsiTheme="minorHAnsi" w:cstheme="minorHAnsi"/>
          <w:highlight w:val="yellow"/>
        </w:rPr>
        <w:fldChar w:fldCharType="end"/>
      </w:r>
      <w:r w:rsidRPr="00747E35">
        <w:rPr>
          <w:rFonts w:asciiTheme="minorHAnsi" w:hAnsiTheme="minorHAnsi" w:cstheme="minorHAnsi"/>
        </w:rPr>
        <w:t xml:space="preserve"> and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_Ref466024288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47</w:t>
      </w:r>
      <w:r w:rsidRPr="00747E35">
        <w:rPr>
          <w:rFonts w:asciiTheme="minorHAnsi" w:hAnsiTheme="minorHAnsi" w:cstheme="minorHAnsi"/>
          <w:highlight w:val="yellow"/>
        </w:rPr>
        <w:fldChar w:fldCharType="end"/>
      </w:r>
      <w:r w:rsidRPr="00747E35">
        <w:rPr>
          <w:rFonts w:asciiTheme="minorHAnsi" w:hAnsiTheme="minorHAnsi" w:cstheme="minorHAnsi"/>
        </w:rPr>
        <w:t xml:space="preserve">; Appendix 3), with variation in this pattern, particularly for surface habitats, consistent with changes in hydrological conditions. For instance, hyporheic organic matter processing in pool and riffle habitats was significantly greater than in the corresponding surface deployments only during the driest experimental periods (experiment one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_Ref466024284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46</w:t>
      </w:r>
      <w:r w:rsidRPr="00747E35">
        <w:rPr>
          <w:rFonts w:asciiTheme="minorHAnsi" w:hAnsiTheme="minorHAnsi" w:cstheme="minorHAnsi"/>
        </w:rPr>
        <w:fldChar w:fldCharType="end"/>
      </w:r>
      <w:r w:rsidRPr="00747E35">
        <w:rPr>
          <w:rFonts w:asciiTheme="minorHAnsi" w:hAnsiTheme="minorHAnsi" w:cstheme="minorHAnsi"/>
        </w:rPr>
        <w:t xml:space="preserve"> and experiment four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_Ref466024288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47</w:t>
      </w:r>
      <w:r w:rsidRPr="00747E35">
        <w:rPr>
          <w:rFonts w:asciiTheme="minorHAnsi" w:hAnsiTheme="minorHAnsi" w:cstheme="minorHAnsi"/>
        </w:rPr>
        <w:fldChar w:fldCharType="end"/>
      </w:r>
      <w:r w:rsidRPr="00747E35">
        <w:rPr>
          <w:rFonts w:asciiTheme="minorHAnsi" w:hAnsiTheme="minorHAnsi" w:cstheme="minorHAnsi"/>
        </w:rPr>
        <w:t>). On all sampling occasions, organic matter processing in gravel bar habitat was greater (lower % leaf mass remaining and CTFR) in the hyporheic zone than at the surface (</w:t>
      </w:r>
      <w:r w:rsidRPr="00747E35">
        <w:rPr>
          <w:rFonts w:asciiTheme="minorHAnsi" w:hAnsiTheme="minorHAnsi" w:cstheme="minorHAnsi"/>
        </w:rPr>
        <w:fldChar w:fldCharType="begin"/>
      </w:r>
      <w:r w:rsidRPr="00747E35">
        <w:rPr>
          <w:rFonts w:asciiTheme="minorHAnsi" w:hAnsiTheme="minorHAnsi" w:cstheme="minorHAnsi"/>
        </w:rPr>
        <w:instrText xml:space="preserve"> REF _Ref467123566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45</w:t>
      </w:r>
      <w:r w:rsidRPr="00747E35">
        <w:rPr>
          <w:rFonts w:asciiTheme="minorHAnsi" w:hAnsiTheme="minorHAnsi" w:cstheme="minorHAnsi"/>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_Ref466024284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46</w:t>
      </w:r>
      <w:r w:rsidRPr="00747E35">
        <w:rPr>
          <w:rFonts w:asciiTheme="minorHAnsi" w:hAnsiTheme="minorHAnsi" w:cstheme="minorHAnsi"/>
        </w:rPr>
        <w:fldChar w:fldCharType="end"/>
      </w:r>
      <w:r w:rsidRPr="00747E35">
        <w:rPr>
          <w:rFonts w:asciiTheme="minorHAnsi" w:hAnsiTheme="minorHAnsi" w:cstheme="minorHAnsi"/>
        </w:rPr>
        <w:t xml:space="preserve">,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_Ref466024288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47</w:t>
      </w:r>
      <w:r w:rsidRPr="00747E35">
        <w:rPr>
          <w:rFonts w:asciiTheme="minorHAnsi" w:hAnsiTheme="minorHAnsi" w:cstheme="minorHAnsi"/>
          <w:highlight w:val="yellow"/>
        </w:rPr>
        <w:fldChar w:fldCharType="end"/>
      </w:r>
      <w:r w:rsidRPr="00747E35">
        <w:rPr>
          <w:rFonts w:asciiTheme="minorHAnsi" w:hAnsiTheme="minorHAnsi" w:cstheme="minorHAnsi"/>
        </w:rPr>
        <w:t>). Not surprisingly, the substrate moisture status of gravel bar habitats was significantly greater in hyporheic (mean ranking = 2.25) than in surface (mean ranking = 3.9) deployments (</w:t>
      </w:r>
      <w:r w:rsidRPr="00747E35">
        <w:rPr>
          <w:rFonts w:asciiTheme="minorHAnsi" w:hAnsiTheme="minorHAnsi" w:cstheme="minorHAnsi"/>
          <w:i/>
        </w:rPr>
        <w:t>p</w:t>
      </w:r>
      <w:r w:rsidRPr="00747E35">
        <w:rPr>
          <w:rFonts w:asciiTheme="minorHAnsi" w:hAnsiTheme="minorHAnsi" w:cstheme="minorHAnsi"/>
        </w:rPr>
        <w:t xml:space="preserve"> &lt;0.0001).</w:t>
      </w:r>
    </w:p>
    <w:p w14:paraId="77E632AA" w14:textId="77777777" w:rsidR="003D3694" w:rsidRPr="00747E35" w:rsidRDefault="003D3694" w:rsidP="003D3694">
      <w:pPr>
        <w:rPr>
          <w:rFonts w:asciiTheme="minorHAnsi" w:hAnsiTheme="minorHAnsi" w:cstheme="minorHAnsi"/>
        </w:rPr>
      </w:pPr>
    </w:p>
    <w:p w14:paraId="55328DC8"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198BCEAB" wp14:editId="681AD80B">
            <wp:extent cx="5746681" cy="5199321"/>
            <wp:effectExtent l="0" t="0" r="6985" b="1905"/>
            <wp:docPr id="7207" name="Picture 7207" descr="Box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erPerMassLoss_MeshSize_surfaceHyporheic.tif"/>
                    <pic:cNvPicPr/>
                  </pic:nvPicPr>
                  <pic:blipFill>
                    <a:blip r:embed="rId89" cstate="screen">
                      <a:extLst>
                        <a:ext uri="{28A0092B-C50C-407E-A947-70E740481C1C}">
                          <a14:useLocalDpi xmlns:a14="http://schemas.microsoft.com/office/drawing/2010/main"/>
                        </a:ext>
                      </a:extLst>
                    </a:blip>
                    <a:stretch>
                      <a:fillRect/>
                    </a:stretch>
                  </pic:blipFill>
                  <pic:spPr>
                    <a:xfrm>
                      <a:off x="0" y="0"/>
                      <a:ext cx="5760391" cy="5211725"/>
                    </a:xfrm>
                    <a:prstGeom prst="rect">
                      <a:avLst/>
                    </a:prstGeom>
                  </pic:spPr>
                </pic:pic>
              </a:graphicData>
            </a:graphic>
          </wp:inline>
        </w:drawing>
      </w:r>
    </w:p>
    <w:p w14:paraId="0F760C66" w14:textId="77777777" w:rsidR="003D3694" w:rsidRPr="00747E35" w:rsidRDefault="003D3694" w:rsidP="00566456">
      <w:pPr>
        <w:pStyle w:val="Caption"/>
        <w:numPr>
          <w:ilvl w:val="0"/>
          <w:numId w:val="0"/>
        </w:numPr>
        <w:rPr>
          <w:rFonts w:cstheme="minorHAnsi"/>
        </w:rPr>
        <w:sectPr w:rsidR="003D3694" w:rsidRPr="00747E35">
          <w:footerReference w:type="even" r:id="rId90"/>
          <w:pgSz w:w="11906" w:h="16838"/>
          <w:pgMar w:top="1440" w:right="1440" w:bottom="1440" w:left="1440" w:header="708" w:footer="708" w:gutter="0"/>
          <w:cols w:space="708"/>
          <w:docGrid w:linePitch="360"/>
        </w:sectPr>
      </w:pPr>
      <w:bookmarkStart w:id="136" w:name="_Ref467123566"/>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45</w:t>
      </w:r>
      <w:r w:rsidR="009D6600" w:rsidRPr="00747E35">
        <w:rPr>
          <w:rFonts w:cstheme="minorHAnsi"/>
          <w:noProof/>
        </w:rPr>
        <w:fldChar w:fldCharType="end"/>
      </w:r>
      <w:bookmarkEnd w:id="136"/>
      <w:r w:rsidRPr="00747E35">
        <w:rPr>
          <w:rFonts w:cstheme="minorHAnsi"/>
        </w:rPr>
        <w:t>. Box-whisker plots displaying the median, lower and upper quartiles (25% and 75%), and minimum and maximum values excluding outliers (dots) of the percent mass remaining of leaf litter in fine- and coarse-mesh litter bags that were deployed in the upper Bremer River catchment study sites in gravel bar, pool, and riffle habitat in surface (ab) and hyporheic (cd) environments during two experimental incubation periods (experiment one = 1</w:t>
      </w:r>
      <w:r w:rsidRPr="00747E35">
        <w:rPr>
          <w:rFonts w:cstheme="minorHAnsi"/>
          <w:vertAlign w:val="superscript"/>
        </w:rPr>
        <w:t>st</w:t>
      </w:r>
      <w:r w:rsidRPr="00747E35">
        <w:rPr>
          <w:rFonts w:cstheme="minorHAnsi"/>
        </w:rPr>
        <w:t>-4</w:t>
      </w:r>
      <w:r w:rsidRPr="00747E35">
        <w:rPr>
          <w:rFonts w:cstheme="minorHAnsi"/>
          <w:vertAlign w:val="superscript"/>
        </w:rPr>
        <w:t>th</w:t>
      </w:r>
      <w:r w:rsidRPr="00747E35">
        <w:rPr>
          <w:rFonts w:cstheme="minorHAnsi"/>
        </w:rPr>
        <w:t xml:space="preserve"> September 2015 – 2</w:t>
      </w:r>
      <w:r w:rsidRPr="00747E35">
        <w:rPr>
          <w:rFonts w:cstheme="minorHAnsi"/>
          <w:vertAlign w:val="superscript"/>
        </w:rPr>
        <w:t>nd</w:t>
      </w:r>
      <w:r w:rsidRPr="00747E35">
        <w:rPr>
          <w:rFonts w:cstheme="minorHAnsi"/>
        </w:rPr>
        <w:t>-4</w:t>
      </w:r>
      <w:r w:rsidRPr="00747E35">
        <w:rPr>
          <w:rFonts w:cstheme="minorHAnsi"/>
          <w:vertAlign w:val="superscript"/>
        </w:rPr>
        <w:t>th</w:t>
      </w:r>
      <w:r w:rsidRPr="00747E35">
        <w:rPr>
          <w:rFonts w:cstheme="minorHAnsi"/>
        </w:rPr>
        <w:t xml:space="preserve"> November; experiment two = 8</w:t>
      </w:r>
      <w:r w:rsidRPr="00747E35">
        <w:rPr>
          <w:rFonts w:cstheme="minorHAnsi"/>
          <w:vertAlign w:val="superscript"/>
        </w:rPr>
        <w:t>th</w:t>
      </w:r>
      <w:r w:rsidRPr="00747E35">
        <w:rPr>
          <w:rFonts w:cstheme="minorHAnsi"/>
        </w:rPr>
        <w:t>-11</w:t>
      </w:r>
      <w:r w:rsidRPr="00747E35">
        <w:rPr>
          <w:rFonts w:cstheme="minorHAnsi"/>
          <w:vertAlign w:val="superscript"/>
        </w:rPr>
        <w:t>th</w:t>
      </w:r>
      <w:r w:rsidRPr="00747E35">
        <w:rPr>
          <w:rFonts w:cstheme="minorHAnsi"/>
        </w:rPr>
        <w:t xml:space="preserve"> February 2016 – 11</w:t>
      </w:r>
      <w:r w:rsidRPr="00747E35">
        <w:rPr>
          <w:rFonts w:cstheme="minorHAnsi"/>
          <w:vertAlign w:val="superscript"/>
        </w:rPr>
        <w:t>th</w:t>
      </w:r>
      <w:r w:rsidRPr="00747E35">
        <w:rPr>
          <w:rFonts w:cstheme="minorHAnsi"/>
        </w:rPr>
        <w:t>-12</w:t>
      </w:r>
      <w:r w:rsidRPr="00747E35">
        <w:rPr>
          <w:rFonts w:cstheme="minorHAnsi"/>
          <w:vertAlign w:val="superscript"/>
        </w:rPr>
        <w:t>th</w:t>
      </w:r>
      <w:r w:rsidRPr="00747E35">
        <w:rPr>
          <w:rFonts w:cstheme="minorHAnsi"/>
        </w:rPr>
        <w:t xml:space="preserve"> April). An asterisk indicates significant differences among mesh-size treatments in each habitat, depth, and experiment combination. Less leaf mass remains (i.e. greater decomposition) in hyporheic than surface treatments, and there is generally no difference in leaf decomposition between fine- and coarse-mesh leaf litter bags.</w:t>
      </w:r>
    </w:p>
    <w:p w14:paraId="3EC65742" w14:textId="5D49740E" w:rsidR="003D3694" w:rsidRPr="00747E35" w:rsidRDefault="003D3694" w:rsidP="00566456">
      <w:pPr>
        <w:pStyle w:val="Caption"/>
        <w:numPr>
          <w:ilvl w:val="0"/>
          <w:numId w:val="0"/>
        </w:numPr>
        <w:rPr>
          <w:rFonts w:cstheme="minorHAnsi"/>
        </w:rPr>
      </w:pPr>
      <w:bookmarkStart w:id="137" w:name="_Ref466023938"/>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12</w:t>
      </w:r>
      <w:r w:rsidR="009D6600" w:rsidRPr="00747E35">
        <w:rPr>
          <w:rFonts w:cstheme="minorHAnsi"/>
          <w:noProof/>
        </w:rPr>
        <w:fldChar w:fldCharType="end"/>
      </w:r>
      <w:bookmarkEnd w:id="137"/>
      <w:r w:rsidRPr="00747E35">
        <w:rPr>
          <w:rFonts w:cstheme="minorHAnsi"/>
        </w:rPr>
        <w:t>. The mean (± standard deviation, where available) and range (minimum – maximum) in leaf litter decay rates (k) from this study (upper Bremer River catchment sites) and other comparative studies investigating leaf litter decay rates in intermittent and perennial stream habitats. Information on flow regime, climate, dominant habitat, mesh size of litter bags, and the species of leaf are also listed for each study. Rates of litter decay are generally greater in our study, especially in the hyporheic zone, compared to other invest</w:t>
      </w:r>
      <w:r w:rsidR="00847A55">
        <w:rPr>
          <w:rFonts w:cstheme="minorHAnsi"/>
        </w:rPr>
        <w:t>i</w:t>
      </w:r>
      <w:r w:rsidRPr="00747E35">
        <w:rPr>
          <w:rFonts w:cstheme="minorHAnsi"/>
        </w:rPr>
        <w:t>gations.</w:t>
      </w:r>
    </w:p>
    <w:tbl>
      <w:tblPr>
        <w:tblStyle w:val="TableGrid"/>
        <w:tblW w:w="13404" w:type="dxa"/>
        <w:tblLayout w:type="fixed"/>
        <w:tblLook w:val="0420" w:firstRow="1" w:lastRow="0" w:firstColumn="0" w:lastColumn="0" w:noHBand="0" w:noVBand="1"/>
      </w:tblPr>
      <w:tblGrid>
        <w:gridCol w:w="1904"/>
        <w:gridCol w:w="1339"/>
        <w:gridCol w:w="1767"/>
        <w:gridCol w:w="1600"/>
        <w:gridCol w:w="1622"/>
        <w:gridCol w:w="2152"/>
        <w:gridCol w:w="1510"/>
        <w:gridCol w:w="1510"/>
      </w:tblGrid>
      <w:tr w:rsidR="003D3694" w:rsidRPr="00747E35" w14:paraId="7C2DFDE7" w14:textId="77777777" w:rsidTr="00BB5645">
        <w:trPr>
          <w:trHeight w:val="76"/>
          <w:tblHeader/>
        </w:trPr>
        <w:tc>
          <w:tcPr>
            <w:tcW w:w="1904" w:type="dxa"/>
            <w:shd w:val="clear" w:color="auto" w:fill="DEEAF6" w:themeFill="accent1" w:themeFillTint="33"/>
          </w:tcPr>
          <w:p w14:paraId="5A0E4D46"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rPr>
              <w:t>Study</w:t>
            </w:r>
          </w:p>
        </w:tc>
        <w:tc>
          <w:tcPr>
            <w:tcW w:w="1339" w:type="dxa"/>
            <w:shd w:val="clear" w:color="auto" w:fill="DEEAF6" w:themeFill="accent1" w:themeFillTint="33"/>
          </w:tcPr>
          <w:p w14:paraId="71B76F83"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rPr>
              <w:t>Flow regime</w:t>
            </w:r>
          </w:p>
        </w:tc>
        <w:tc>
          <w:tcPr>
            <w:tcW w:w="1767" w:type="dxa"/>
            <w:shd w:val="clear" w:color="auto" w:fill="DEEAF6" w:themeFill="accent1" w:themeFillTint="33"/>
          </w:tcPr>
          <w:p w14:paraId="253DE2D0"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rPr>
              <w:t>Climate</w:t>
            </w:r>
          </w:p>
        </w:tc>
        <w:tc>
          <w:tcPr>
            <w:tcW w:w="1600" w:type="dxa"/>
            <w:shd w:val="clear" w:color="auto" w:fill="DEEAF6" w:themeFill="accent1" w:themeFillTint="33"/>
          </w:tcPr>
          <w:p w14:paraId="52330088"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rPr>
              <w:t>Habitat</w:t>
            </w:r>
          </w:p>
        </w:tc>
        <w:tc>
          <w:tcPr>
            <w:tcW w:w="1622" w:type="dxa"/>
            <w:shd w:val="clear" w:color="auto" w:fill="DEEAF6" w:themeFill="accent1" w:themeFillTint="33"/>
          </w:tcPr>
          <w:p w14:paraId="09A83960"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rPr>
              <w:t>Mesh size</w:t>
            </w:r>
          </w:p>
        </w:tc>
        <w:tc>
          <w:tcPr>
            <w:tcW w:w="2152" w:type="dxa"/>
            <w:shd w:val="clear" w:color="auto" w:fill="DEEAF6" w:themeFill="accent1" w:themeFillTint="33"/>
          </w:tcPr>
          <w:p w14:paraId="15ADD4CB"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rPr>
              <w:t>Species</w:t>
            </w:r>
          </w:p>
        </w:tc>
        <w:tc>
          <w:tcPr>
            <w:tcW w:w="1510" w:type="dxa"/>
            <w:shd w:val="clear" w:color="auto" w:fill="DEEAF6" w:themeFill="accent1" w:themeFillTint="33"/>
          </w:tcPr>
          <w:p w14:paraId="48C93D12"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i/>
              </w:rPr>
              <w:t>k</w:t>
            </w:r>
            <w:r w:rsidRPr="00747E35">
              <w:rPr>
                <w:rFonts w:asciiTheme="minorHAnsi" w:hAnsiTheme="minorHAnsi" w:cstheme="minorHAnsi"/>
              </w:rPr>
              <w:t xml:space="preserve"> - mean (±sd)</w:t>
            </w:r>
          </w:p>
        </w:tc>
        <w:tc>
          <w:tcPr>
            <w:tcW w:w="1510" w:type="dxa"/>
            <w:shd w:val="clear" w:color="auto" w:fill="DEEAF6" w:themeFill="accent1" w:themeFillTint="33"/>
          </w:tcPr>
          <w:p w14:paraId="6B38C6C2"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i/>
              </w:rPr>
              <w:t xml:space="preserve">k - </w:t>
            </w:r>
            <w:r w:rsidRPr="00747E35">
              <w:rPr>
                <w:rFonts w:asciiTheme="minorHAnsi" w:hAnsiTheme="minorHAnsi" w:cstheme="minorHAnsi"/>
              </w:rPr>
              <w:t>range</w:t>
            </w:r>
          </w:p>
        </w:tc>
      </w:tr>
      <w:tr w:rsidR="003D3694" w:rsidRPr="00747E35" w14:paraId="3600A44F" w14:textId="77777777" w:rsidTr="0096743A">
        <w:trPr>
          <w:trHeight w:val="76"/>
        </w:trPr>
        <w:tc>
          <w:tcPr>
            <w:tcW w:w="1904" w:type="dxa"/>
          </w:tcPr>
          <w:p w14:paraId="0B7289D2" w14:textId="77777777" w:rsidR="003D3694" w:rsidRPr="00747E35" w:rsidRDefault="003D3694" w:rsidP="0096743A">
            <w:pPr>
              <w:pStyle w:val="Tabletext"/>
              <w:spacing w:before="0" w:after="0"/>
              <w:rPr>
                <w:rFonts w:cstheme="minorHAnsi"/>
              </w:rPr>
            </w:pPr>
            <w:r w:rsidRPr="00747E35">
              <w:rPr>
                <w:rFonts w:cstheme="minorHAnsi"/>
              </w:rPr>
              <w:t>Present</w:t>
            </w:r>
          </w:p>
        </w:tc>
        <w:tc>
          <w:tcPr>
            <w:tcW w:w="1339" w:type="dxa"/>
          </w:tcPr>
          <w:p w14:paraId="441DFD5A"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767" w:type="dxa"/>
          </w:tcPr>
          <w:p w14:paraId="4D8D4B26" w14:textId="77777777" w:rsidR="003D3694" w:rsidRPr="00747E35" w:rsidRDefault="003D3694" w:rsidP="0096743A">
            <w:pPr>
              <w:pStyle w:val="Tabletext"/>
              <w:spacing w:before="0" w:after="0"/>
              <w:rPr>
                <w:rFonts w:cstheme="minorHAnsi"/>
              </w:rPr>
            </w:pPr>
            <w:r w:rsidRPr="00747E35">
              <w:rPr>
                <w:rFonts w:cstheme="minorHAnsi"/>
              </w:rPr>
              <w:t>Sub-tropical</w:t>
            </w:r>
          </w:p>
        </w:tc>
        <w:tc>
          <w:tcPr>
            <w:tcW w:w="1600" w:type="dxa"/>
          </w:tcPr>
          <w:p w14:paraId="4088C865" w14:textId="77777777" w:rsidR="003D3694" w:rsidRPr="00747E35" w:rsidRDefault="003D3694" w:rsidP="0096743A">
            <w:pPr>
              <w:pStyle w:val="Tabletext"/>
              <w:spacing w:before="0" w:after="0"/>
              <w:rPr>
                <w:rFonts w:cstheme="minorHAnsi"/>
              </w:rPr>
            </w:pPr>
            <w:r w:rsidRPr="00747E35">
              <w:rPr>
                <w:rFonts w:cstheme="minorHAnsi"/>
              </w:rPr>
              <w:t>Gravel bar</w:t>
            </w:r>
          </w:p>
        </w:tc>
        <w:tc>
          <w:tcPr>
            <w:tcW w:w="1622" w:type="dxa"/>
          </w:tcPr>
          <w:p w14:paraId="5A7CB17E" w14:textId="77777777" w:rsidR="003D3694" w:rsidRPr="00747E35" w:rsidRDefault="003D3694" w:rsidP="0096743A">
            <w:pPr>
              <w:pStyle w:val="Tabletext"/>
              <w:spacing w:before="0" w:after="0"/>
              <w:rPr>
                <w:rFonts w:cstheme="minorHAnsi"/>
              </w:rPr>
            </w:pPr>
            <w:r w:rsidRPr="00747E35">
              <w:rPr>
                <w:rFonts w:cstheme="minorHAnsi"/>
              </w:rPr>
              <w:t>Fine and coarse</w:t>
            </w:r>
          </w:p>
        </w:tc>
        <w:tc>
          <w:tcPr>
            <w:tcW w:w="2152" w:type="dxa"/>
          </w:tcPr>
          <w:p w14:paraId="7CB210B4" w14:textId="77777777" w:rsidR="003D3694" w:rsidRPr="00847A55" w:rsidRDefault="003D3694" w:rsidP="0096743A">
            <w:pPr>
              <w:pStyle w:val="Tabletext"/>
              <w:spacing w:before="0" w:after="0"/>
              <w:rPr>
                <w:rFonts w:cstheme="minorHAnsi"/>
                <w:i/>
              </w:rPr>
            </w:pPr>
            <w:r w:rsidRPr="00847A55">
              <w:rPr>
                <w:rFonts w:cstheme="minorHAnsi"/>
                <w:i/>
              </w:rPr>
              <w:t>Eucalyptus tereticornis</w:t>
            </w:r>
          </w:p>
        </w:tc>
        <w:tc>
          <w:tcPr>
            <w:tcW w:w="1510" w:type="dxa"/>
          </w:tcPr>
          <w:p w14:paraId="5637B2BD" w14:textId="77777777" w:rsidR="003D3694" w:rsidRPr="00747E35" w:rsidRDefault="003D3694" w:rsidP="0096743A">
            <w:pPr>
              <w:pStyle w:val="Tabletext"/>
              <w:spacing w:before="0" w:after="0"/>
              <w:rPr>
                <w:rFonts w:cstheme="minorHAnsi"/>
              </w:rPr>
            </w:pPr>
            <w:r w:rsidRPr="00747E35">
              <w:rPr>
                <w:rFonts w:cstheme="minorHAnsi"/>
              </w:rPr>
              <w:t>0.048 (0.007)</w:t>
            </w:r>
          </w:p>
        </w:tc>
        <w:tc>
          <w:tcPr>
            <w:tcW w:w="1510" w:type="dxa"/>
          </w:tcPr>
          <w:p w14:paraId="31D0E57C" w14:textId="77777777" w:rsidR="003D3694" w:rsidRPr="00747E35" w:rsidRDefault="003D3694" w:rsidP="0096743A">
            <w:pPr>
              <w:pStyle w:val="Tabletext"/>
              <w:spacing w:before="0" w:after="0"/>
              <w:rPr>
                <w:rFonts w:cstheme="minorHAnsi"/>
              </w:rPr>
            </w:pPr>
            <w:r w:rsidRPr="00747E35">
              <w:rPr>
                <w:rFonts w:cstheme="minorHAnsi"/>
              </w:rPr>
              <w:t>0.029-0.061</w:t>
            </w:r>
          </w:p>
        </w:tc>
      </w:tr>
      <w:tr w:rsidR="003D3694" w:rsidRPr="00747E35" w14:paraId="03044E92" w14:textId="77777777" w:rsidTr="0096743A">
        <w:trPr>
          <w:trHeight w:val="76"/>
        </w:trPr>
        <w:tc>
          <w:tcPr>
            <w:tcW w:w="1904" w:type="dxa"/>
          </w:tcPr>
          <w:p w14:paraId="51AC3181" w14:textId="77777777" w:rsidR="003D3694" w:rsidRPr="00747E35" w:rsidRDefault="003D3694" w:rsidP="0096743A">
            <w:pPr>
              <w:pStyle w:val="Tabletext"/>
              <w:spacing w:before="0" w:after="0"/>
              <w:rPr>
                <w:rFonts w:cstheme="minorHAnsi"/>
              </w:rPr>
            </w:pPr>
            <w:r w:rsidRPr="00747E35">
              <w:rPr>
                <w:rFonts w:cstheme="minorHAnsi"/>
              </w:rPr>
              <w:t>Present</w:t>
            </w:r>
          </w:p>
        </w:tc>
        <w:tc>
          <w:tcPr>
            <w:tcW w:w="1339" w:type="dxa"/>
          </w:tcPr>
          <w:p w14:paraId="55F414A7"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767" w:type="dxa"/>
          </w:tcPr>
          <w:p w14:paraId="0FC92F00" w14:textId="77777777" w:rsidR="003D3694" w:rsidRPr="00747E35" w:rsidRDefault="003D3694" w:rsidP="0096743A">
            <w:pPr>
              <w:pStyle w:val="Tabletext"/>
              <w:spacing w:before="0" w:after="0"/>
              <w:rPr>
                <w:rFonts w:cstheme="minorHAnsi"/>
              </w:rPr>
            </w:pPr>
            <w:r w:rsidRPr="00747E35">
              <w:rPr>
                <w:rFonts w:cstheme="minorHAnsi"/>
              </w:rPr>
              <w:t>Sub-tropical</w:t>
            </w:r>
          </w:p>
        </w:tc>
        <w:tc>
          <w:tcPr>
            <w:tcW w:w="1600" w:type="dxa"/>
          </w:tcPr>
          <w:p w14:paraId="341CCECB" w14:textId="77777777" w:rsidR="003D3694" w:rsidRPr="00747E35" w:rsidRDefault="003D3694" w:rsidP="0096743A">
            <w:pPr>
              <w:pStyle w:val="Tabletext"/>
              <w:spacing w:before="0" w:after="0"/>
              <w:rPr>
                <w:rFonts w:cstheme="minorHAnsi"/>
              </w:rPr>
            </w:pPr>
            <w:r w:rsidRPr="00747E35">
              <w:rPr>
                <w:rFonts w:cstheme="minorHAnsi"/>
              </w:rPr>
              <w:t>Riffle</w:t>
            </w:r>
          </w:p>
        </w:tc>
        <w:tc>
          <w:tcPr>
            <w:tcW w:w="1622" w:type="dxa"/>
          </w:tcPr>
          <w:p w14:paraId="503619A3" w14:textId="77777777" w:rsidR="003D3694" w:rsidRPr="00747E35" w:rsidRDefault="003D3694" w:rsidP="0096743A">
            <w:pPr>
              <w:pStyle w:val="Tabletext"/>
              <w:spacing w:before="0" w:after="0"/>
              <w:rPr>
                <w:rFonts w:cstheme="minorHAnsi"/>
              </w:rPr>
            </w:pPr>
            <w:r w:rsidRPr="00747E35">
              <w:rPr>
                <w:rFonts w:cstheme="minorHAnsi"/>
              </w:rPr>
              <w:t>Fine and coarse</w:t>
            </w:r>
          </w:p>
        </w:tc>
        <w:tc>
          <w:tcPr>
            <w:tcW w:w="2152" w:type="dxa"/>
          </w:tcPr>
          <w:p w14:paraId="46825E87" w14:textId="77777777" w:rsidR="003D3694" w:rsidRPr="00847A55" w:rsidRDefault="003D3694" w:rsidP="0096743A">
            <w:pPr>
              <w:pStyle w:val="Tabletext"/>
              <w:spacing w:before="0" w:after="0"/>
              <w:rPr>
                <w:rFonts w:cstheme="minorHAnsi"/>
                <w:i/>
              </w:rPr>
            </w:pPr>
            <w:r w:rsidRPr="00847A55">
              <w:rPr>
                <w:rFonts w:cstheme="minorHAnsi"/>
                <w:i/>
              </w:rPr>
              <w:t>Eucalyptus tereticornis</w:t>
            </w:r>
          </w:p>
        </w:tc>
        <w:tc>
          <w:tcPr>
            <w:tcW w:w="1510" w:type="dxa"/>
          </w:tcPr>
          <w:p w14:paraId="1271327E" w14:textId="77777777" w:rsidR="003D3694" w:rsidRPr="00747E35" w:rsidRDefault="003D3694" w:rsidP="0096743A">
            <w:pPr>
              <w:pStyle w:val="Tabletext"/>
              <w:spacing w:before="0" w:after="0"/>
              <w:rPr>
                <w:rFonts w:cstheme="minorHAnsi"/>
              </w:rPr>
            </w:pPr>
            <w:r w:rsidRPr="00747E35">
              <w:rPr>
                <w:rFonts w:cstheme="minorHAnsi"/>
              </w:rPr>
              <w:t>0.053 (0.01)</w:t>
            </w:r>
          </w:p>
        </w:tc>
        <w:tc>
          <w:tcPr>
            <w:tcW w:w="1510" w:type="dxa"/>
          </w:tcPr>
          <w:p w14:paraId="1BAAD043" w14:textId="77777777" w:rsidR="003D3694" w:rsidRPr="00747E35" w:rsidRDefault="003D3694" w:rsidP="0096743A">
            <w:pPr>
              <w:pStyle w:val="Tabletext"/>
              <w:spacing w:before="0" w:after="0"/>
              <w:rPr>
                <w:rFonts w:cstheme="minorHAnsi"/>
              </w:rPr>
            </w:pPr>
            <w:r w:rsidRPr="00747E35">
              <w:rPr>
                <w:rFonts w:cstheme="minorHAnsi"/>
              </w:rPr>
              <w:t>0.018-0.07</w:t>
            </w:r>
          </w:p>
        </w:tc>
      </w:tr>
      <w:tr w:rsidR="003D3694" w:rsidRPr="00747E35" w14:paraId="739FD7E5" w14:textId="77777777" w:rsidTr="0096743A">
        <w:trPr>
          <w:trHeight w:val="76"/>
        </w:trPr>
        <w:tc>
          <w:tcPr>
            <w:tcW w:w="1904" w:type="dxa"/>
          </w:tcPr>
          <w:p w14:paraId="5746DB4E" w14:textId="77777777" w:rsidR="003D3694" w:rsidRPr="00747E35" w:rsidRDefault="003D3694" w:rsidP="0096743A">
            <w:pPr>
              <w:pStyle w:val="Tabletext"/>
              <w:spacing w:before="0" w:after="0"/>
              <w:rPr>
                <w:rFonts w:cstheme="minorHAnsi"/>
              </w:rPr>
            </w:pPr>
            <w:r w:rsidRPr="00747E35">
              <w:rPr>
                <w:rFonts w:cstheme="minorHAnsi"/>
              </w:rPr>
              <w:t>Present</w:t>
            </w:r>
          </w:p>
        </w:tc>
        <w:tc>
          <w:tcPr>
            <w:tcW w:w="1339" w:type="dxa"/>
          </w:tcPr>
          <w:p w14:paraId="545815E1"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767" w:type="dxa"/>
          </w:tcPr>
          <w:p w14:paraId="524C41B6" w14:textId="77777777" w:rsidR="003D3694" w:rsidRPr="00747E35" w:rsidRDefault="003D3694" w:rsidP="0096743A">
            <w:pPr>
              <w:pStyle w:val="Tabletext"/>
              <w:spacing w:before="0" w:after="0"/>
              <w:rPr>
                <w:rFonts w:cstheme="minorHAnsi"/>
              </w:rPr>
            </w:pPr>
            <w:r w:rsidRPr="00747E35">
              <w:rPr>
                <w:rFonts w:cstheme="minorHAnsi"/>
              </w:rPr>
              <w:t>Sub-tropical</w:t>
            </w:r>
          </w:p>
        </w:tc>
        <w:tc>
          <w:tcPr>
            <w:tcW w:w="1600" w:type="dxa"/>
          </w:tcPr>
          <w:p w14:paraId="5281CF50" w14:textId="77777777" w:rsidR="003D3694" w:rsidRPr="00747E35" w:rsidRDefault="003D3694" w:rsidP="0096743A">
            <w:pPr>
              <w:pStyle w:val="Tabletext"/>
              <w:spacing w:before="0" w:after="0"/>
              <w:rPr>
                <w:rFonts w:cstheme="minorHAnsi"/>
              </w:rPr>
            </w:pPr>
            <w:r w:rsidRPr="00747E35">
              <w:rPr>
                <w:rFonts w:cstheme="minorHAnsi"/>
              </w:rPr>
              <w:t>Pool</w:t>
            </w:r>
          </w:p>
        </w:tc>
        <w:tc>
          <w:tcPr>
            <w:tcW w:w="1622" w:type="dxa"/>
          </w:tcPr>
          <w:p w14:paraId="58FB14FD" w14:textId="77777777" w:rsidR="003D3694" w:rsidRPr="00747E35" w:rsidRDefault="003D3694" w:rsidP="0096743A">
            <w:pPr>
              <w:pStyle w:val="Tabletext"/>
              <w:spacing w:before="0" w:after="0"/>
              <w:rPr>
                <w:rFonts w:cstheme="minorHAnsi"/>
              </w:rPr>
            </w:pPr>
            <w:r w:rsidRPr="00747E35">
              <w:rPr>
                <w:rFonts w:cstheme="minorHAnsi"/>
              </w:rPr>
              <w:t>Fine and coarse</w:t>
            </w:r>
          </w:p>
        </w:tc>
        <w:tc>
          <w:tcPr>
            <w:tcW w:w="2152" w:type="dxa"/>
          </w:tcPr>
          <w:p w14:paraId="33612173" w14:textId="77777777" w:rsidR="003D3694" w:rsidRPr="00847A55" w:rsidRDefault="003D3694" w:rsidP="0096743A">
            <w:pPr>
              <w:pStyle w:val="Tabletext"/>
              <w:spacing w:before="0" w:after="0"/>
              <w:rPr>
                <w:rFonts w:cstheme="minorHAnsi"/>
                <w:i/>
              </w:rPr>
            </w:pPr>
            <w:r w:rsidRPr="00847A55">
              <w:rPr>
                <w:rFonts w:cstheme="minorHAnsi"/>
                <w:i/>
              </w:rPr>
              <w:t>Eucalyptus tereticornis</w:t>
            </w:r>
          </w:p>
        </w:tc>
        <w:tc>
          <w:tcPr>
            <w:tcW w:w="1510" w:type="dxa"/>
          </w:tcPr>
          <w:p w14:paraId="304D1610" w14:textId="77777777" w:rsidR="003D3694" w:rsidRPr="00747E35" w:rsidRDefault="003D3694" w:rsidP="0096743A">
            <w:pPr>
              <w:pStyle w:val="Tabletext"/>
              <w:spacing w:before="0" w:after="0"/>
              <w:rPr>
                <w:rFonts w:cstheme="minorHAnsi"/>
              </w:rPr>
            </w:pPr>
            <w:r w:rsidRPr="00747E35">
              <w:rPr>
                <w:rFonts w:cstheme="minorHAnsi"/>
              </w:rPr>
              <w:t>0.059 (0.005)</w:t>
            </w:r>
          </w:p>
        </w:tc>
        <w:tc>
          <w:tcPr>
            <w:tcW w:w="1510" w:type="dxa"/>
          </w:tcPr>
          <w:p w14:paraId="18544320" w14:textId="77777777" w:rsidR="003D3694" w:rsidRPr="00747E35" w:rsidRDefault="003D3694" w:rsidP="0096743A">
            <w:pPr>
              <w:pStyle w:val="Tabletext"/>
              <w:spacing w:before="0" w:after="0"/>
              <w:rPr>
                <w:rFonts w:cstheme="minorHAnsi"/>
              </w:rPr>
            </w:pPr>
            <w:r w:rsidRPr="00747E35">
              <w:rPr>
                <w:rFonts w:cstheme="minorHAnsi"/>
              </w:rPr>
              <w:t>0.046-0.07</w:t>
            </w:r>
          </w:p>
        </w:tc>
      </w:tr>
      <w:tr w:rsidR="003D3694" w:rsidRPr="00747E35" w14:paraId="1442AC00" w14:textId="77777777" w:rsidTr="0096743A">
        <w:trPr>
          <w:trHeight w:val="76"/>
        </w:trPr>
        <w:tc>
          <w:tcPr>
            <w:tcW w:w="1904" w:type="dxa"/>
          </w:tcPr>
          <w:p w14:paraId="562A7203" w14:textId="77777777" w:rsidR="003D3694" w:rsidRPr="00747E35" w:rsidRDefault="003D3694" w:rsidP="0096743A">
            <w:pPr>
              <w:pStyle w:val="Tabletext"/>
              <w:spacing w:before="0" w:after="0"/>
              <w:rPr>
                <w:rFonts w:cstheme="minorHAnsi"/>
              </w:rPr>
            </w:pPr>
            <w:r w:rsidRPr="00747E35">
              <w:rPr>
                <w:rFonts w:cstheme="minorHAnsi"/>
              </w:rPr>
              <w:t>Present</w:t>
            </w:r>
          </w:p>
        </w:tc>
        <w:tc>
          <w:tcPr>
            <w:tcW w:w="1339" w:type="dxa"/>
          </w:tcPr>
          <w:p w14:paraId="3564C6D1"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767" w:type="dxa"/>
          </w:tcPr>
          <w:p w14:paraId="762BFEB6" w14:textId="77777777" w:rsidR="003D3694" w:rsidRPr="00747E35" w:rsidRDefault="003D3694" w:rsidP="0096743A">
            <w:pPr>
              <w:pStyle w:val="Tabletext"/>
              <w:spacing w:before="0" w:after="0"/>
              <w:rPr>
                <w:rFonts w:cstheme="minorHAnsi"/>
              </w:rPr>
            </w:pPr>
            <w:r w:rsidRPr="00747E35">
              <w:rPr>
                <w:rFonts w:cstheme="minorHAnsi"/>
              </w:rPr>
              <w:t>Sub-tropical</w:t>
            </w:r>
          </w:p>
        </w:tc>
        <w:tc>
          <w:tcPr>
            <w:tcW w:w="1600" w:type="dxa"/>
          </w:tcPr>
          <w:p w14:paraId="10D79491" w14:textId="77777777" w:rsidR="003D3694" w:rsidRPr="00747E35" w:rsidRDefault="003D3694" w:rsidP="0096743A">
            <w:pPr>
              <w:pStyle w:val="Tabletext"/>
              <w:spacing w:before="0" w:after="0"/>
              <w:rPr>
                <w:rFonts w:cstheme="minorHAnsi"/>
              </w:rPr>
            </w:pPr>
            <w:r w:rsidRPr="00747E35">
              <w:rPr>
                <w:rFonts w:cstheme="minorHAnsi"/>
              </w:rPr>
              <w:t>Hyporheic</w:t>
            </w:r>
          </w:p>
        </w:tc>
        <w:tc>
          <w:tcPr>
            <w:tcW w:w="1622" w:type="dxa"/>
          </w:tcPr>
          <w:p w14:paraId="396B2950" w14:textId="77777777" w:rsidR="003D3694" w:rsidRPr="00747E35" w:rsidRDefault="003D3694" w:rsidP="0096743A">
            <w:pPr>
              <w:pStyle w:val="Tabletext"/>
              <w:spacing w:before="0" w:after="0"/>
              <w:rPr>
                <w:rFonts w:cstheme="minorHAnsi"/>
              </w:rPr>
            </w:pPr>
            <w:r w:rsidRPr="00747E35">
              <w:rPr>
                <w:rFonts w:cstheme="minorHAnsi"/>
              </w:rPr>
              <w:t>Fine and coarse</w:t>
            </w:r>
          </w:p>
        </w:tc>
        <w:tc>
          <w:tcPr>
            <w:tcW w:w="2152" w:type="dxa"/>
          </w:tcPr>
          <w:p w14:paraId="5F1CA319" w14:textId="77777777" w:rsidR="003D3694" w:rsidRPr="00847A55" w:rsidRDefault="003D3694" w:rsidP="0096743A">
            <w:pPr>
              <w:pStyle w:val="Tabletext"/>
              <w:spacing w:before="0" w:after="0"/>
              <w:rPr>
                <w:rFonts w:cstheme="minorHAnsi"/>
                <w:i/>
              </w:rPr>
            </w:pPr>
            <w:r w:rsidRPr="00847A55">
              <w:rPr>
                <w:rFonts w:cstheme="minorHAnsi"/>
                <w:i/>
              </w:rPr>
              <w:t>Eucalyptus tereticornis</w:t>
            </w:r>
          </w:p>
        </w:tc>
        <w:tc>
          <w:tcPr>
            <w:tcW w:w="1510" w:type="dxa"/>
          </w:tcPr>
          <w:p w14:paraId="68A9E965" w14:textId="77777777" w:rsidR="003D3694" w:rsidRPr="00747E35" w:rsidRDefault="003D3694" w:rsidP="0096743A">
            <w:pPr>
              <w:pStyle w:val="Tabletext"/>
              <w:spacing w:before="0" w:after="0"/>
              <w:rPr>
                <w:rFonts w:cstheme="minorHAnsi"/>
              </w:rPr>
            </w:pPr>
            <w:r w:rsidRPr="00747E35">
              <w:rPr>
                <w:rFonts w:cstheme="minorHAnsi"/>
              </w:rPr>
              <w:t>0.060 (0.003)</w:t>
            </w:r>
          </w:p>
        </w:tc>
        <w:tc>
          <w:tcPr>
            <w:tcW w:w="1510" w:type="dxa"/>
          </w:tcPr>
          <w:p w14:paraId="596BB66F" w14:textId="77777777" w:rsidR="003D3694" w:rsidRPr="00747E35" w:rsidRDefault="003D3694" w:rsidP="0096743A">
            <w:pPr>
              <w:pStyle w:val="Tabletext"/>
              <w:spacing w:before="0" w:after="0"/>
              <w:rPr>
                <w:rFonts w:cstheme="minorHAnsi"/>
              </w:rPr>
            </w:pPr>
            <w:r w:rsidRPr="00747E35">
              <w:rPr>
                <w:rFonts w:cstheme="minorHAnsi"/>
              </w:rPr>
              <w:t>0.051-0.067</w:t>
            </w:r>
          </w:p>
        </w:tc>
      </w:tr>
      <w:tr w:rsidR="003D3694" w:rsidRPr="00747E35" w14:paraId="0DD2A456" w14:textId="77777777" w:rsidTr="0096743A">
        <w:trPr>
          <w:trHeight w:val="227"/>
        </w:trPr>
        <w:tc>
          <w:tcPr>
            <w:tcW w:w="1904" w:type="dxa"/>
          </w:tcPr>
          <w:p w14:paraId="5CCD3026" w14:textId="77777777" w:rsidR="003D3694" w:rsidRPr="00747E35" w:rsidRDefault="003D3694" w:rsidP="0096743A">
            <w:pPr>
              <w:pStyle w:val="Tabletext"/>
              <w:spacing w:before="0" w:after="0"/>
              <w:rPr>
                <w:rFonts w:cstheme="minorHAnsi"/>
              </w:rPr>
            </w:pPr>
            <w:r w:rsidRPr="00747E35">
              <w:rPr>
                <w:rFonts w:cstheme="minorHAnsi"/>
              </w:rPr>
              <w:t>Datry et al.</w:t>
            </w:r>
            <w:r w:rsidRPr="00747E35">
              <w:rPr>
                <w:rFonts w:cstheme="minorHAnsi"/>
              </w:rPr>
              <w:fldChar w:fldCharType="begin"/>
            </w:r>
            <w:r w:rsidRPr="00747E35">
              <w:rPr>
                <w:rFonts w:cstheme="minorHAnsi"/>
              </w:rPr>
              <w:instrText xml:space="preserve"> ADDIN EN.CITE &lt;EndNote&gt;&lt;Cite ExcludeAuth="1"&gt;&lt;Author&gt;Datry&lt;/Author&gt;&lt;Year&gt;2011&lt;/Year&gt;&lt;RecNum&gt;1259&lt;/RecNum&gt;&lt;DisplayText&gt;(2011)&lt;/DisplayText&gt;&lt;record&gt;&lt;rec-number&gt;1259&lt;/rec-number&gt;&lt;foreign-keys&gt;&lt;key app="EN" db-id="f09zwdf26xeasaevvsjxv00h9rx2v9xarfsw" timestamp="1463105180"&gt;1259&lt;/key&gt;&lt;/foreign-keys&gt;&lt;ref-type name="Journal Article"&gt;17&lt;/ref-type&gt;&lt;contributors&gt;&lt;authors&gt;&lt;author&gt;Datry, Thibault&lt;/author&gt;&lt;author&gt;Corti, R.&lt;/author&gt;&lt;author&gt;Claret, C.&lt;/author&gt;&lt;author&gt;Philippe, M.&lt;/author&gt;&lt;/authors&gt;&lt;/contributors&gt;&lt;titles&gt;&lt;title&gt;Flow intermittence controls leaf litter breakdown in a French temporary alluvial river: the “drying memory”&lt;/title&gt;&lt;secondary-title&gt;Aquatic Sciences&lt;/secondary-title&gt;&lt;/titles&gt;&lt;periodical&gt;&lt;full-title&gt;Aquatic Sciences&lt;/full-title&gt;&lt;/periodical&gt;&lt;pages&gt;471-483&lt;/pages&gt;&lt;volume&gt;73&lt;/volume&gt;&lt;number&gt;4&lt;/number&gt;&lt;dates&gt;&lt;year&gt;2011&lt;/year&gt;&lt;/dates&gt;&lt;isbn&gt;1420-9055&lt;/isbn&gt;&lt;label&gt;Datry2011&lt;/label&gt;&lt;work-type&gt;journal article&lt;/work-type&gt;&lt;urls&gt;&lt;related-urls&gt;&lt;url&gt;http://dx.doi.org/10.1007/s00027-011-0193-8&lt;/url&gt;&lt;/related-urls&gt;&lt;/urls&gt;&lt;electronic-resource-num&gt;10.1007/s00027-011-0193-8&lt;/electronic-resource-num&gt;&lt;/record&gt;&lt;/Cite&gt;&lt;/EndNote&gt;</w:instrText>
            </w:r>
            <w:r w:rsidRPr="00747E35">
              <w:rPr>
                <w:rFonts w:cstheme="minorHAnsi"/>
              </w:rPr>
              <w:fldChar w:fldCharType="separate"/>
            </w:r>
            <w:r w:rsidRPr="00747E35">
              <w:rPr>
                <w:rFonts w:cstheme="minorHAnsi"/>
                <w:noProof/>
              </w:rPr>
              <w:t>(2011)</w:t>
            </w:r>
            <w:r w:rsidRPr="00747E35">
              <w:rPr>
                <w:rFonts w:cstheme="minorHAnsi"/>
              </w:rPr>
              <w:fldChar w:fldCharType="end"/>
            </w:r>
            <w:r w:rsidRPr="00747E35">
              <w:rPr>
                <w:rFonts w:cstheme="minorHAnsi"/>
              </w:rPr>
              <w:t xml:space="preserve"> </w:t>
            </w:r>
            <w:r w:rsidRPr="00747E35">
              <w:rPr>
                <w:rFonts w:cstheme="minorHAnsi"/>
              </w:rPr>
              <w:fldChar w:fldCharType="begin">
                <w:fldData xml:space="preserve">PEVuZE5vdGU+PENpdGUgRXhjbHVkZUF1dGg9IjEiIEV4Y2x1ZGVZZWFyPSIxIiBIaWRkZW49IjEi
PjxBdXRob3I+RGF0cnk8L0F1dGhvcj48WWVhcj4yMDExPC9ZZWFyPjxSZWNOdW0+MTI1OTwvUmVj
TnVtPjxyZWNvcmQ+PHJlYy1udW1iZXI+MTI1OTwvcmVjLW51bWJlcj48Zm9yZWlnbi1rZXlzPjxr
ZXkgYXBwPSJFTiIgZGItaWQ9ImYwOXp3ZGYyNnhlYXNhZXZ2c2p4djAwaDlyeDJ2OXhhcmZzdyIg
dGltZXN0YW1wPSIxNDYzMTA1MTgwIj4xMjU5PC9rZXk+PC9mb3JlaWduLWtleXM+PHJlZi10eXBl
IG5hbWU9IkpvdXJuYWwgQXJ0aWNsZSI+MTc8L3JlZi10eXBlPjxjb250cmlidXRvcnM+PGF1dGhv
cnM+PGF1dGhvcj5EYXRyeSwgVGhpYmF1bHQ8L2F1dGhvcj48YXV0aG9yPkNvcnRpLCBSLjwvYXV0
aG9yPjxhdXRob3I+Q2xhcmV0LCBDLjwvYXV0aG9yPjxhdXRob3I+UGhpbGlwcGUsIE0uPC9hdXRo
b3I+PC9hdXRob3JzPjwvY29udHJpYnV0b3JzPjx0aXRsZXM+PHRpdGxlPkZsb3cgaW50ZXJtaXR0
ZW5jZSBjb250cm9scyBsZWFmIGxpdHRlciBicmVha2Rvd24gaW4gYSBGcmVuY2ggdGVtcG9yYXJ5
IGFsbHV2aWFsIHJpdmVyOiB0aGUg4oCcZHJ5aW5nIG1lbW9yeeKAnTwvdGl0bGU+PHNlY29uZGFy
eS10aXRsZT5BcXVhdGljIFNjaWVuY2VzPC9zZWNvbmRhcnktdGl0bGU+PC90aXRsZXM+PHBlcmlv
ZGljYWw+PGZ1bGwtdGl0bGU+QXF1YXRpYyBTY2llbmNlczwvZnVsbC10aXRsZT48L3BlcmlvZGlj
YWw+PHBhZ2VzPjQ3MS00ODM8L3BhZ2VzPjx2b2x1bWU+NzM8L3ZvbHVtZT48bnVtYmVyPjQ8L251
bWJlcj48ZGF0ZXM+PHllYXI+MjAxMTwveWVhcj48L2RhdGVzPjxpc2JuPjE0MjAtOTA1NTwvaXNi
bj48bGFiZWw+RGF0cnkyMDExPC9sYWJlbD48d29yay10eXBlPmpvdXJuYWwgYXJ0aWNsZTwvd29y
ay10eXBlPjx1cmxzPjxyZWxhdGVkLXVybHM+PHVybD5odHRwOi8vZHguZG9pLm9yZy8xMC4xMDA3
L3MwMDAyNy0wMTEtMDE5My04PC91cmw+PC9yZWxhdGVkLXVybHM+PC91cmxzPjxlbGVjdHJvbmlj
LXJlc291cmNlLW51bT4xMC4xMDA3L3MwMDAyNy0wMTEtMDE5My04PC9lbGVjdHJvbmljLXJlc291
cmNlLW51bT48L3JlY29yZD48L0NpdGU+PENpdGUgRXhjbHVkZUF1dGg9IjEiPjxBdXRob3I+RGF0
cnk8L0F1dGhvcj48WWVhcj4yMDExPC9ZZWFyPjxSZWNOdW0+MTI1OTwvUmVjTnVtPjxyZWNvcmQ+
PHJlYy1udW1iZXI+MTI1OTwvcmVjLW51bWJlcj48Zm9yZWlnbi1rZXlzPjxrZXkgYXBwPSJFTiIg
ZGItaWQ9ImYwOXp3ZGYyNnhlYXNhZXZ2c2p4djAwaDlyeDJ2OXhhcmZzdyIgdGltZXN0YW1wPSIx
NDYzMTA1MTgwIj4xMjU5PC9rZXk+PC9mb3JlaWduLWtleXM+PHJlZi10eXBlIG5hbWU9IkpvdXJu
YWwgQXJ0aWNsZSI+MTc8L3JlZi10eXBlPjxjb250cmlidXRvcnM+PGF1dGhvcnM+PGF1dGhvcj5E
YXRyeSwgVGhpYmF1bHQ8L2F1dGhvcj48YXV0aG9yPkNvcnRpLCBSLjwvYXV0aG9yPjxhdXRob3I+
Q2xhcmV0LCBDLjwvYXV0aG9yPjxhdXRob3I+UGhpbGlwcGUsIE0uPC9hdXRob3I+PC9hdXRob3Jz
PjwvY29udHJpYnV0b3JzPjx0aXRsZXM+PHRpdGxlPkZsb3cgaW50ZXJtaXR0ZW5jZSBjb250cm9s
cyBsZWFmIGxpdHRlciBicmVha2Rvd24gaW4gYSBGcmVuY2ggdGVtcG9yYXJ5IGFsbHV2aWFsIHJp
dmVyOiB0aGUg4oCcZHJ5aW5nIG1lbW9yeeKAnTwvdGl0bGU+PHNlY29uZGFyeS10aXRsZT5BcXVh
dGljIFNjaWVuY2VzPC9zZWNvbmRhcnktdGl0bGU+PC90aXRsZXM+PHBlcmlvZGljYWw+PGZ1bGwt
dGl0bGU+QXF1YXRpYyBTY2llbmNlczwvZnVsbC10aXRsZT48L3BlcmlvZGljYWw+PHBhZ2VzPjQ3
MS00ODM8L3BhZ2VzPjx2b2x1bWU+NzM8L3ZvbHVtZT48bnVtYmVyPjQ8L251bWJlcj48ZGF0ZXM+
PHllYXI+MjAxMTwveWVhcj48L2RhdGVzPjxpc2JuPjE0MjAtOTA1NTwvaXNibj48bGFiZWw+RGF0
cnkyMDExPC9sYWJlbD48d29yay10eXBlPmpvdXJuYWwgYXJ0aWNsZTwvd29yay10eXBlPjx1cmxz
PjxyZWxhdGVkLXVybHM+PHVybD5odHRwOi8vZHguZG9pLm9yZy8xMC4xMDA3L3MwMDAyNy0wMTEt
MDE5My04PC91cmw+PC9yZWxhdGVkLXVybHM+PC91cmxzPjxlbGVjdHJvbmljLXJlc291cmNlLW51
bT4xMC4xMDA3L3MwMDAyNy0wMTEtMDE5My04PC9lbGVjdHJvbmljLXJlc291cmNlLW51bT48L3Jl
Y29yZD48L0NpdGU+PC9FbmROb3RlPn==
</w:fldData>
              </w:fldChar>
            </w:r>
            <w:r w:rsidRPr="00747E35">
              <w:rPr>
                <w:rFonts w:cstheme="minorHAnsi"/>
              </w:rPr>
              <w:instrText xml:space="preserve"> ADDIN EN.CITE </w:instrText>
            </w:r>
            <w:r w:rsidRPr="00747E35">
              <w:rPr>
                <w:rFonts w:cstheme="minorHAnsi"/>
              </w:rPr>
              <w:fldChar w:fldCharType="begin">
                <w:fldData xml:space="preserve">PEVuZE5vdGU+PENpdGUgRXhjbHVkZUF1dGg9IjEiIEV4Y2x1ZGVZZWFyPSIxIiBIaWRkZW49IjEi
PjxBdXRob3I+RGF0cnk8L0F1dGhvcj48WWVhcj4yMDExPC9ZZWFyPjxSZWNOdW0+MTI1OTwvUmVj
TnVtPjxyZWNvcmQ+PHJlYy1udW1iZXI+MTI1OTwvcmVjLW51bWJlcj48Zm9yZWlnbi1rZXlzPjxr
ZXkgYXBwPSJFTiIgZGItaWQ9ImYwOXp3ZGYyNnhlYXNhZXZ2c2p4djAwaDlyeDJ2OXhhcmZzdyIg
dGltZXN0YW1wPSIxNDYzMTA1MTgwIj4xMjU5PC9rZXk+PC9mb3JlaWduLWtleXM+PHJlZi10eXBl
IG5hbWU9IkpvdXJuYWwgQXJ0aWNsZSI+MTc8L3JlZi10eXBlPjxjb250cmlidXRvcnM+PGF1dGhv
cnM+PGF1dGhvcj5EYXRyeSwgVGhpYmF1bHQ8L2F1dGhvcj48YXV0aG9yPkNvcnRpLCBSLjwvYXV0
aG9yPjxhdXRob3I+Q2xhcmV0LCBDLjwvYXV0aG9yPjxhdXRob3I+UGhpbGlwcGUsIE0uPC9hdXRo
b3I+PC9hdXRob3JzPjwvY29udHJpYnV0b3JzPjx0aXRsZXM+PHRpdGxlPkZsb3cgaW50ZXJtaXR0
ZW5jZSBjb250cm9scyBsZWFmIGxpdHRlciBicmVha2Rvd24gaW4gYSBGcmVuY2ggdGVtcG9yYXJ5
IGFsbHV2aWFsIHJpdmVyOiB0aGUg4oCcZHJ5aW5nIG1lbW9yeeKAnTwvdGl0bGU+PHNlY29uZGFy
eS10aXRsZT5BcXVhdGljIFNjaWVuY2VzPC9zZWNvbmRhcnktdGl0bGU+PC90aXRsZXM+PHBlcmlv
ZGljYWw+PGZ1bGwtdGl0bGU+QXF1YXRpYyBTY2llbmNlczwvZnVsbC10aXRsZT48L3BlcmlvZGlj
YWw+PHBhZ2VzPjQ3MS00ODM8L3BhZ2VzPjx2b2x1bWU+NzM8L3ZvbHVtZT48bnVtYmVyPjQ8L251
bWJlcj48ZGF0ZXM+PHllYXI+MjAxMTwveWVhcj48L2RhdGVzPjxpc2JuPjE0MjAtOTA1NTwvaXNi
bj48bGFiZWw+RGF0cnkyMDExPC9sYWJlbD48d29yay10eXBlPmpvdXJuYWwgYXJ0aWNsZTwvd29y
ay10eXBlPjx1cmxzPjxyZWxhdGVkLXVybHM+PHVybD5odHRwOi8vZHguZG9pLm9yZy8xMC4xMDA3
L3MwMDAyNy0wMTEtMDE5My04PC91cmw+PC9yZWxhdGVkLXVybHM+PC91cmxzPjxlbGVjdHJvbmlj
LXJlc291cmNlLW51bT4xMC4xMDA3L3MwMDAyNy0wMTEtMDE5My04PC9lbGVjdHJvbmljLXJlc291
cmNlLW51bT48L3JlY29yZD48L0NpdGU+PENpdGUgRXhjbHVkZUF1dGg9IjEiPjxBdXRob3I+RGF0
cnk8L0F1dGhvcj48WWVhcj4yMDExPC9ZZWFyPjxSZWNOdW0+MTI1OTwvUmVjTnVtPjxyZWNvcmQ+
PHJlYy1udW1iZXI+MTI1OTwvcmVjLW51bWJlcj48Zm9yZWlnbi1rZXlzPjxrZXkgYXBwPSJFTiIg
ZGItaWQ9ImYwOXp3ZGYyNnhlYXNhZXZ2c2p4djAwaDlyeDJ2OXhhcmZzdyIgdGltZXN0YW1wPSIx
NDYzMTA1MTgwIj4xMjU5PC9rZXk+PC9mb3JlaWduLWtleXM+PHJlZi10eXBlIG5hbWU9IkpvdXJu
YWwgQXJ0aWNsZSI+MTc8L3JlZi10eXBlPjxjb250cmlidXRvcnM+PGF1dGhvcnM+PGF1dGhvcj5E
YXRyeSwgVGhpYmF1bHQ8L2F1dGhvcj48YXV0aG9yPkNvcnRpLCBSLjwvYXV0aG9yPjxhdXRob3I+
Q2xhcmV0LCBDLjwvYXV0aG9yPjxhdXRob3I+UGhpbGlwcGUsIE0uPC9hdXRob3I+PC9hdXRob3Jz
PjwvY29udHJpYnV0b3JzPjx0aXRsZXM+PHRpdGxlPkZsb3cgaW50ZXJtaXR0ZW5jZSBjb250cm9s
cyBsZWFmIGxpdHRlciBicmVha2Rvd24gaW4gYSBGcmVuY2ggdGVtcG9yYXJ5IGFsbHV2aWFsIHJp
dmVyOiB0aGUg4oCcZHJ5aW5nIG1lbW9yeeKAnTwvdGl0bGU+PHNlY29uZGFyeS10aXRsZT5BcXVh
dGljIFNjaWVuY2VzPC9zZWNvbmRhcnktdGl0bGU+PC90aXRsZXM+PHBlcmlvZGljYWw+PGZ1bGwt
dGl0bGU+QXF1YXRpYyBTY2llbmNlczwvZnVsbC10aXRsZT48L3BlcmlvZGljYWw+PHBhZ2VzPjQ3
MS00ODM8L3BhZ2VzPjx2b2x1bWU+NzM8L3ZvbHVtZT48bnVtYmVyPjQ8L251bWJlcj48ZGF0ZXM+
PHllYXI+MjAxMTwveWVhcj48L2RhdGVzPjxpc2JuPjE0MjAtOTA1NTwvaXNibj48bGFiZWw+RGF0
cnkyMDExPC9sYWJlbD48d29yay10eXBlPmpvdXJuYWwgYXJ0aWNsZTwvd29yay10eXBlPjx1cmxz
PjxyZWxhdGVkLXVybHM+PHVybD5odHRwOi8vZHguZG9pLm9yZy8xMC4xMDA3L3MwMDAyNy0wMTEt
MDE5My04PC91cmw+PC9yZWxhdGVkLXVybHM+PC91cmxzPjxlbGVjdHJvbmljLXJlc291cmNlLW51
bT4xMC4xMDA3L3MwMDAyNy0wMTEtMDE5My04PC9lbGVjdHJvbmljLXJlc291cmNlLW51bT48L3Jl
Y29yZD48L0NpdGU+PC9FbmROb3RlPn==
</w:fldData>
              </w:fldChar>
            </w:r>
            <w:r w:rsidRPr="00747E35">
              <w:rPr>
                <w:rFonts w:cstheme="minorHAnsi"/>
              </w:rPr>
              <w:instrText xml:space="preserve"> ADDIN EN.CITE.DATA </w:instrText>
            </w:r>
            <w:r w:rsidRPr="00747E35">
              <w:rPr>
                <w:rFonts w:cstheme="minorHAnsi"/>
              </w:rPr>
            </w:r>
            <w:r w:rsidRPr="00747E35">
              <w:rPr>
                <w:rFonts w:cstheme="minorHAnsi"/>
              </w:rPr>
              <w:fldChar w:fldCharType="end"/>
            </w:r>
            <w:r w:rsidRPr="00747E35">
              <w:rPr>
                <w:rFonts w:cstheme="minorHAnsi"/>
              </w:rPr>
            </w:r>
            <w:r w:rsidRPr="00747E35">
              <w:rPr>
                <w:rFonts w:cstheme="minorHAnsi"/>
              </w:rPr>
              <w:fldChar w:fldCharType="end"/>
            </w:r>
          </w:p>
        </w:tc>
        <w:tc>
          <w:tcPr>
            <w:tcW w:w="1339" w:type="dxa"/>
          </w:tcPr>
          <w:p w14:paraId="46BD0BD4"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767" w:type="dxa"/>
          </w:tcPr>
          <w:p w14:paraId="5D7B9EAD" w14:textId="77777777" w:rsidR="003D3694" w:rsidRPr="00747E35" w:rsidRDefault="003D3694" w:rsidP="0096743A">
            <w:pPr>
              <w:pStyle w:val="Tabletext"/>
              <w:spacing w:before="0" w:after="0"/>
              <w:rPr>
                <w:rFonts w:cstheme="minorHAnsi"/>
              </w:rPr>
            </w:pPr>
            <w:r w:rsidRPr="00747E35">
              <w:rPr>
                <w:rFonts w:cstheme="minorHAnsi"/>
              </w:rPr>
              <w:t>Temperate</w:t>
            </w:r>
          </w:p>
        </w:tc>
        <w:tc>
          <w:tcPr>
            <w:tcW w:w="1600" w:type="dxa"/>
          </w:tcPr>
          <w:p w14:paraId="6A834ACE" w14:textId="77777777" w:rsidR="003D3694" w:rsidRPr="00747E35" w:rsidRDefault="003D3694" w:rsidP="0096743A">
            <w:pPr>
              <w:pStyle w:val="Tabletext"/>
              <w:spacing w:before="0" w:after="0"/>
              <w:rPr>
                <w:rFonts w:cstheme="minorHAnsi"/>
              </w:rPr>
            </w:pPr>
            <w:r w:rsidRPr="00747E35">
              <w:rPr>
                <w:rFonts w:cstheme="minorHAnsi"/>
              </w:rPr>
              <w:t>Riffle</w:t>
            </w:r>
          </w:p>
        </w:tc>
        <w:tc>
          <w:tcPr>
            <w:tcW w:w="1622" w:type="dxa"/>
          </w:tcPr>
          <w:p w14:paraId="49D9B99F" w14:textId="77777777" w:rsidR="003D3694" w:rsidRPr="00747E35" w:rsidRDefault="003D3694" w:rsidP="0096743A">
            <w:pPr>
              <w:pStyle w:val="Tabletext"/>
              <w:spacing w:before="0" w:after="0"/>
              <w:rPr>
                <w:rFonts w:cstheme="minorHAnsi"/>
              </w:rPr>
            </w:pPr>
            <w:r w:rsidRPr="00747E35">
              <w:rPr>
                <w:rFonts w:cstheme="minorHAnsi"/>
              </w:rPr>
              <w:t>Coarse (6mm)</w:t>
            </w:r>
          </w:p>
        </w:tc>
        <w:tc>
          <w:tcPr>
            <w:tcW w:w="2152" w:type="dxa"/>
          </w:tcPr>
          <w:p w14:paraId="40B2DB1C" w14:textId="77777777" w:rsidR="003D3694" w:rsidRPr="00847A55" w:rsidRDefault="003D3694" w:rsidP="0096743A">
            <w:pPr>
              <w:pStyle w:val="Tabletext"/>
              <w:spacing w:before="0" w:after="0"/>
              <w:rPr>
                <w:rFonts w:cstheme="minorHAnsi"/>
                <w:i/>
              </w:rPr>
            </w:pPr>
            <w:r w:rsidRPr="00847A55">
              <w:rPr>
                <w:rFonts w:cstheme="minorHAnsi"/>
                <w:i/>
              </w:rPr>
              <w:t>Alnus glutinosa</w:t>
            </w:r>
          </w:p>
        </w:tc>
        <w:tc>
          <w:tcPr>
            <w:tcW w:w="1510" w:type="dxa"/>
          </w:tcPr>
          <w:p w14:paraId="288C8C8D" w14:textId="77777777" w:rsidR="003D3694" w:rsidRPr="00747E35" w:rsidRDefault="003D3694" w:rsidP="0096743A">
            <w:pPr>
              <w:pStyle w:val="Tabletext"/>
              <w:spacing w:before="0" w:after="0"/>
              <w:rPr>
                <w:rFonts w:cstheme="minorHAnsi"/>
              </w:rPr>
            </w:pPr>
            <w:r w:rsidRPr="00747E35">
              <w:rPr>
                <w:rFonts w:cstheme="minorHAnsi"/>
              </w:rPr>
              <w:t>0.0036 (0.004)</w:t>
            </w:r>
          </w:p>
        </w:tc>
        <w:tc>
          <w:tcPr>
            <w:tcW w:w="1510" w:type="dxa"/>
          </w:tcPr>
          <w:p w14:paraId="32F8CCB9" w14:textId="77777777" w:rsidR="003D3694" w:rsidRPr="00747E35" w:rsidRDefault="003D3694" w:rsidP="0096743A">
            <w:pPr>
              <w:pStyle w:val="Tabletext"/>
              <w:spacing w:before="0" w:after="0"/>
              <w:rPr>
                <w:rFonts w:cstheme="minorHAnsi"/>
              </w:rPr>
            </w:pPr>
            <w:r w:rsidRPr="00747E35">
              <w:rPr>
                <w:rFonts w:cstheme="minorHAnsi"/>
              </w:rPr>
              <w:t>0.0005-0.0115</w:t>
            </w:r>
          </w:p>
        </w:tc>
      </w:tr>
      <w:tr w:rsidR="003D3694" w:rsidRPr="00747E35" w14:paraId="05B21584" w14:textId="77777777" w:rsidTr="0096743A">
        <w:trPr>
          <w:trHeight w:val="76"/>
        </w:trPr>
        <w:tc>
          <w:tcPr>
            <w:tcW w:w="1904" w:type="dxa"/>
          </w:tcPr>
          <w:p w14:paraId="64F72386" w14:textId="77777777" w:rsidR="003D3694" w:rsidRPr="00747E35" w:rsidRDefault="003D3694" w:rsidP="0096743A">
            <w:pPr>
              <w:pStyle w:val="Tabletext"/>
              <w:spacing w:before="0" w:after="0"/>
              <w:rPr>
                <w:rFonts w:cstheme="minorHAnsi"/>
              </w:rPr>
            </w:pPr>
            <w:r w:rsidRPr="00747E35">
              <w:rPr>
                <w:rFonts w:cstheme="minorHAnsi"/>
              </w:rPr>
              <w:t xml:space="preserve">Abril </w:t>
            </w:r>
            <w:r w:rsidRPr="00747E35">
              <w:rPr>
                <w:rFonts w:cstheme="minorHAnsi"/>
                <w:i/>
              </w:rPr>
              <w:t>et al.</w:t>
            </w:r>
            <w:r w:rsidRPr="00747E35">
              <w:rPr>
                <w:rFonts w:cstheme="minorHAnsi"/>
              </w:rPr>
              <w:t xml:space="preserve"> </w:t>
            </w:r>
            <w:r w:rsidRPr="00747E35">
              <w:rPr>
                <w:rFonts w:cstheme="minorHAnsi"/>
              </w:rPr>
              <w:fldChar w:fldCharType="begin"/>
            </w:r>
            <w:r w:rsidRPr="00747E35">
              <w:rPr>
                <w:rFonts w:cstheme="minorHAnsi"/>
              </w:rPr>
              <w:instrText xml:space="preserve"> ADDIN EN.CITE &lt;EndNote&gt;&lt;Cite ExcludeAuth="1"&gt;&lt;Author&gt;Abril&lt;/Author&gt;&lt;Year&gt;2016&lt;/Year&gt;&lt;RecNum&gt;1354&lt;/RecNum&gt;&lt;DisplayText&gt;(2016)&lt;/DisplayText&gt;&lt;record&gt;&lt;rec-number&gt;1354&lt;/rec-number&gt;&lt;foreign-keys&gt;&lt;key app="EN" db-id="f09zwdf26xeasaevvsjxv00h9rx2v9xarfsw" timestamp="1478151212"&gt;1354&lt;/key&gt;&lt;/foreign-keys&gt;&lt;ref-type name="Journal Article"&gt;17&lt;/ref-type&gt;&lt;contributors&gt;&lt;authors&gt;&lt;author&gt;Abril, M.&lt;/author&gt;&lt;author&gt;Muñoz, I.&lt;/author&gt;&lt;author&gt;Menéndez, M.&lt;/author&gt;&lt;/authors&gt;&lt;/contributors&gt;&lt;titles&gt;&lt;title&gt;Heterogeneity in leaf litter decomposition in a temporary Mediterranean stream during flow fragmentation&lt;/title&gt;&lt;secondary-title&gt;Science of the Total Environment&lt;/secondary-title&gt;&lt;/titles&gt;&lt;periodical&gt;&lt;full-title&gt;Science of the Total Environment&lt;/full-title&gt;&lt;/periodical&gt;&lt;pages&gt;330-339&lt;/pages&gt;&lt;volume&gt;553&lt;/volume&gt;&lt;dates&gt;&lt;year&gt;2016&lt;/year&gt;&lt;/dates&gt;&lt;work-type&gt;Article&lt;/work-type&gt;&lt;urls&gt;&lt;related-urls&gt;&lt;url&gt;https://www.scopus.com/inward/record.uri?eid=2-s2.0-84959150823&amp;amp;partnerID=40&amp;amp;md5=d42cc3c702058dea9ddace9f65b16724&lt;/url&gt;&lt;/related-urls&gt;&lt;/urls&gt;&lt;electronic-resource-num&gt;10.1016/j.scitotenv.2016.02.082&lt;/electronic-resource-num&gt;&lt;remote-database-name&gt;Scopus&lt;/remote-database-name&gt;&lt;/record&gt;&lt;/Cite&gt;&lt;/EndNote&gt;</w:instrText>
            </w:r>
            <w:r w:rsidRPr="00747E35">
              <w:rPr>
                <w:rFonts w:cstheme="minorHAnsi"/>
              </w:rPr>
              <w:fldChar w:fldCharType="separate"/>
            </w:r>
            <w:r w:rsidRPr="00747E35">
              <w:rPr>
                <w:rFonts w:cstheme="minorHAnsi"/>
                <w:noProof/>
              </w:rPr>
              <w:t>(2016)</w:t>
            </w:r>
            <w:r w:rsidRPr="00747E35">
              <w:rPr>
                <w:rFonts w:cstheme="minorHAnsi"/>
              </w:rPr>
              <w:fldChar w:fldCharType="end"/>
            </w:r>
          </w:p>
        </w:tc>
        <w:tc>
          <w:tcPr>
            <w:tcW w:w="1339" w:type="dxa"/>
          </w:tcPr>
          <w:p w14:paraId="781AB2EE"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767" w:type="dxa"/>
          </w:tcPr>
          <w:p w14:paraId="334F39D7" w14:textId="77777777" w:rsidR="003D3694" w:rsidRPr="00747E35" w:rsidRDefault="003D3694" w:rsidP="0096743A">
            <w:pPr>
              <w:pStyle w:val="Tabletext"/>
              <w:spacing w:before="0" w:after="0"/>
              <w:rPr>
                <w:rFonts w:cstheme="minorHAnsi"/>
              </w:rPr>
            </w:pPr>
            <w:r w:rsidRPr="00747E35">
              <w:rPr>
                <w:rFonts w:cstheme="minorHAnsi"/>
              </w:rPr>
              <w:t>Mediterranean</w:t>
            </w:r>
          </w:p>
        </w:tc>
        <w:tc>
          <w:tcPr>
            <w:tcW w:w="1600" w:type="dxa"/>
          </w:tcPr>
          <w:p w14:paraId="016ABDCF" w14:textId="77777777" w:rsidR="003D3694" w:rsidRPr="00747E35" w:rsidRDefault="003D3694" w:rsidP="0096743A">
            <w:pPr>
              <w:pStyle w:val="Tabletext"/>
              <w:spacing w:before="0" w:after="0"/>
              <w:rPr>
                <w:rFonts w:cstheme="minorHAnsi"/>
              </w:rPr>
            </w:pPr>
            <w:r w:rsidRPr="00747E35">
              <w:rPr>
                <w:rFonts w:cstheme="minorHAnsi"/>
              </w:rPr>
              <w:t>Isolated pools</w:t>
            </w:r>
          </w:p>
        </w:tc>
        <w:tc>
          <w:tcPr>
            <w:tcW w:w="1622" w:type="dxa"/>
          </w:tcPr>
          <w:p w14:paraId="7700535C" w14:textId="77777777" w:rsidR="003D3694" w:rsidRPr="00747E35" w:rsidRDefault="003D3694" w:rsidP="0096743A">
            <w:pPr>
              <w:pStyle w:val="Tabletext"/>
              <w:spacing w:before="0" w:after="0"/>
              <w:rPr>
                <w:rFonts w:cstheme="minorHAnsi"/>
              </w:rPr>
            </w:pPr>
            <w:r w:rsidRPr="00747E35">
              <w:rPr>
                <w:rFonts w:cstheme="minorHAnsi"/>
              </w:rPr>
              <w:t>Coarse (5mm)</w:t>
            </w:r>
          </w:p>
        </w:tc>
        <w:tc>
          <w:tcPr>
            <w:tcW w:w="2152" w:type="dxa"/>
          </w:tcPr>
          <w:p w14:paraId="628AF438" w14:textId="77777777" w:rsidR="003D3694" w:rsidRPr="00847A55" w:rsidRDefault="003D3694" w:rsidP="0096743A">
            <w:pPr>
              <w:pStyle w:val="Tabletext"/>
              <w:spacing w:before="0" w:after="0"/>
              <w:rPr>
                <w:rFonts w:cstheme="minorHAnsi"/>
                <w:i/>
              </w:rPr>
            </w:pPr>
            <w:r w:rsidRPr="00847A55">
              <w:rPr>
                <w:rFonts w:cstheme="minorHAnsi"/>
                <w:i/>
              </w:rPr>
              <w:t>Populus nigra</w:t>
            </w:r>
          </w:p>
        </w:tc>
        <w:tc>
          <w:tcPr>
            <w:tcW w:w="1510" w:type="dxa"/>
          </w:tcPr>
          <w:p w14:paraId="07C80135" w14:textId="77777777" w:rsidR="003D3694" w:rsidRPr="00747E35" w:rsidRDefault="003D3694" w:rsidP="0096743A">
            <w:pPr>
              <w:pStyle w:val="Tabletext"/>
              <w:spacing w:before="0" w:after="0"/>
              <w:rPr>
                <w:rFonts w:cstheme="minorHAnsi"/>
              </w:rPr>
            </w:pPr>
            <w:r w:rsidRPr="00747E35">
              <w:rPr>
                <w:rFonts w:cstheme="minorHAnsi"/>
              </w:rPr>
              <w:t>0.044 (0.005)</w:t>
            </w:r>
          </w:p>
        </w:tc>
        <w:tc>
          <w:tcPr>
            <w:tcW w:w="1510" w:type="dxa"/>
          </w:tcPr>
          <w:p w14:paraId="1EE30135" w14:textId="77777777" w:rsidR="003D3694" w:rsidRPr="00747E35" w:rsidRDefault="003D3694" w:rsidP="0096743A">
            <w:pPr>
              <w:pStyle w:val="Tabletext"/>
              <w:spacing w:before="0" w:after="0"/>
              <w:rPr>
                <w:rFonts w:cstheme="minorHAnsi"/>
              </w:rPr>
            </w:pPr>
            <w:r w:rsidRPr="00747E35">
              <w:rPr>
                <w:rFonts w:cstheme="minorHAnsi"/>
              </w:rPr>
              <w:t>NA</w:t>
            </w:r>
          </w:p>
        </w:tc>
      </w:tr>
      <w:tr w:rsidR="003D3694" w:rsidRPr="00747E35" w14:paraId="24041292" w14:textId="77777777" w:rsidTr="0096743A">
        <w:trPr>
          <w:trHeight w:val="76"/>
        </w:trPr>
        <w:tc>
          <w:tcPr>
            <w:tcW w:w="1904" w:type="dxa"/>
          </w:tcPr>
          <w:p w14:paraId="1BF01277" w14:textId="77777777" w:rsidR="003D3694" w:rsidRPr="00747E35" w:rsidRDefault="003D3694" w:rsidP="0096743A">
            <w:pPr>
              <w:pStyle w:val="Tabletext"/>
              <w:spacing w:before="0" w:after="0"/>
              <w:rPr>
                <w:rFonts w:cstheme="minorHAnsi"/>
              </w:rPr>
            </w:pPr>
            <w:r w:rsidRPr="00747E35">
              <w:rPr>
                <w:rFonts w:cstheme="minorHAnsi"/>
              </w:rPr>
              <w:t xml:space="preserve">Abril </w:t>
            </w:r>
            <w:r w:rsidRPr="00747E35">
              <w:rPr>
                <w:rFonts w:cstheme="minorHAnsi"/>
                <w:i/>
              </w:rPr>
              <w:t>et al.</w:t>
            </w:r>
            <w:r w:rsidRPr="00747E35">
              <w:rPr>
                <w:rFonts w:cstheme="minorHAnsi"/>
              </w:rPr>
              <w:t xml:space="preserve"> </w:t>
            </w:r>
            <w:r w:rsidRPr="00747E35">
              <w:rPr>
                <w:rFonts w:cstheme="minorHAnsi"/>
              </w:rPr>
              <w:fldChar w:fldCharType="begin"/>
            </w:r>
            <w:r w:rsidRPr="00747E35">
              <w:rPr>
                <w:rFonts w:cstheme="minorHAnsi"/>
              </w:rPr>
              <w:instrText xml:space="preserve"> ADDIN EN.CITE &lt;EndNote&gt;&lt;Cite ExcludeAuth="1"&gt;&lt;Author&gt;Abril&lt;/Author&gt;&lt;Year&gt;2016&lt;/Year&gt;&lt;RecNum&gt;1354&lt;/RecNum&gt;&lt;DisplayText&gt;(2016)&lt;/DisplayText&gt;&lt;record&gt;&lt;rec-number&gt;1354&lt;/rec-number&gt;&lt;foreign-keys&gt;&lt;key app="EN" db-id="f09zwdf26xeasaevvsjxv00h9rx2v9xarfsw" timestamp="1478151212"&gt;1354&lt;/key&gt;&lt;/foreign-keys&gt;&lt;ref-type name="Journal Article"&gt;17&lt;/ref-type&gt;&lt;contributors&gt;&lt;authors&gt;&lt;author&gt;Abril, M.&lt;/author&gt;&lt;author&gt;Muñoz, I.&lt;/author&gt;&lt;author&gt;Menéndez, M.&lt;/author&gt;&lt;/authors&gt;&lt;/contributors&gt;&lt;titles&gt;&lt;title&gt;Heterogeneity in leaf litter decomposition in a temporary Mediterranean stream during flow fragmentation&lt;/title&gt;&lt;secondary-title&gt;Science of the Total Environment&lt;/secondary-title&gt;&lt;/titles&gt;&lt;periodical&gt;&lt;full-title&gt;Science of the Total Environment&lt;/full-title&gt;&lt;/periodical&gt;&lt;pages&gt;330-339&lt;/pages&gt;&lt;volume&gt;553&lt;/volume&gt;&lt;dates&gt;&lt;year&gt;2016&lt;/year&gt;&lt;/dates&gt;&lt;work-type&gt;Article&lt;/work-type&gt;&lt;urls&gt;&lt;related-urls&gt;&lt;url&gt;https://www.scopus.com/inward/record.uri?eid=2-s2.0-84959150823&amp;amp;partnerID=40&amp;amp;md5=d42cc3c702058dea9ddace9f65b16724&lt;/url&gt;&lt;/related-urls&gt;&lt;/urls&gt;&lt;electronic-resource-num&gt;10.1016/j.scitotenv.2016.02.082&lt;/electronic-resource-num&gt;&lt;remote-database-name&gt;Scopus&lt;/remote-database-name&gt;&lt;/record&gt;&lt;/Cite&gt;&lt;/EndNote&gt;</w:instrText>
            </w:r>
            <w:r w:rsidRPr="00747E35">
              <w:rPr>
                <w:rFonts w:cstheme="minorHAnsi"/>
              </w:rPr>
              <w:fldChar w:fldCharType="separate"/>
            </w:r>
            <w:r w:rsidRPr="00747E35">
              <w:rPr>
                <w:rFonts w:cstheme="minorHAnsi"/>
                <w:noProof/>
              </w:rPr>
              <w:t>(2016)</w:t>
            </w:r>
            <w:r w:rsidRPr="00747E35">
              <w:rPr>
                <w:rFonts w:cstheme="minorHAnsi"/>
              </w:rPr>
              <w:fldChar w:fldCharType="end"/>
            </w:r>
          </w:p>
        </w:tc>
        <w:tc>
          <w:tcPr>
            <w:tcW w:w="1339" w:type="dxa"/>
          </w:tcPr>
          <w:p w14:paraId="64012AD5"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767" w:type="dxa"/>
          </w:tcPr>
          <w:p w14:paraId="1BD511C9" w14:textId="77777777" w:rsidR="003D3694" w:rsidRPr="00747E35" w:rsidRDefault="003D3694" w:rsidP="0096743A">
            <w:pPr>
              <w:pStyle w:val="Tabletext"/>
              <w:spacing w:before="0" w:after="0"/>
              <w:rPr>
                <w:rFonts w:cstheme="minorHAnsi"/>
              </w:rPr>
            </w:pPr>
            <w:r w:rsidRPr="00747E35">
              <w:rPr>
                <w:rFonts w:cstheme="minorHAnsi"/>
              </w:rPr>
              <w:t>Mediterranean</w:t>
            </w:r>
          </w:p>
        </w:tc>
        <w:tc>
          <w:tcPr>
            <w:tcW w:w="1600" w:type="dxa"/>
          </w:tcPr>
          <w:p w14:paraId="58180EC8" w14:textId="77777777" w:rsidR="003D3694" w:rsidRPr="00747E35" w:rsidRDefault="003D3694" w:rsidP="0096743A">
            <w:pPr>
              <w:pStyle w:val="Tabletext"/>
              <w:spacing w:before="0" w:after="0"/>
              <w:rPr>
                <w:rFonts w:cstheme="minorHAnsi"/>
              </w:rPr>
            </w:pPr>
            <w:r w:rsidRPr="00747E35">
              <w:rPr>
                <w:rFonts w:cstheme="minorHAnsi"/>
              </w:rPr>
              <w:t>Moist sediment</w:t>
            </w:r>
          </w:p>
        </w:tc>
        <w:tc>
          <w:tcPr>
            <w:tcW w:w="1622" w:type="dxa"/>
          </w:tcPr>
          <w:p w14:paraId="2DFBE26D" w14:textId="77777777" w:rsidR="003D3694" w:rsidRPr="00747E35" w:rsidRDefault="003D3694" w:rsidP="0096743A">
            <w:pPr>
              <w:pStyle w:val="Tabletext"/>
              <w:spacing w:before="0" w:after="0"/>
              <w:rPr>
                <w:rFonts w:cstheme="minorHAnsi"/>
              </w:rPr>
            </w:pPr>
            <w:r w:rsidRPr="00747E35">
              <w:rPr>
                <w:rFonts w:cstheme="minorHAnsi"/>
              </w:rPr>
              <w:t>Coarse (5mm)</w:t>
            </w:r>
          </w:p>
        </w:tc>
        <w:tc>
          <w:tcPr>
            <w:tcW w:w="2152" w:type="dxa"/>
          </w:tcPr>
          <w:p w14:paraId="332A4C49" w14:textId="77777777" w:rsidR="003D3694" w:rsidRPr="00847A55" w:rsidRDefault="003D3694" w:rsidP="0096743A">
            <w:pPr>
              <w:pStyle w:val="Tabletext"/>
              <w:spacing w:before="0" w:after="0"/>
              <w:rPr>
                <w:rFonts w:cstheme="minorHAnsi"/>
                <w:i/>
              </w:rPr>
            </w:pPr>
            <w:r w:rsidRPr="00847A55">
              <w:rPr>
                <w:rFonts w:cstheme="minorHAnsi"/>
                <w:i/>
              </w:rPr>
              <w:t>Populus nigra</w:t>
            </w:r>
          </w:p>
        </w:tc>
        <w:tc>
          <w:tcPr>
            <w:tcW w:w="1510" w:type="dxa"/>
          </w:tcPr>
          <w:p w14:paraId="78BD5A71" w14:textId="77777777" w:rsidR="003D3694" w:rsidRPr="00747E35" w:rsidRDefault="003D3694" w:rsidP="0096743A">
            <w:pPr>
              <w:pStyle w:val="Tabletext"/>
              <w:spacing w:before="0" w:after="0"/>
              <w:rPr>
                <w:rFonts w:cstheme="minorHAnsi"/>
              </w:rPr>
            </w:pPr>
            <w:r w:rsidRPr="00747E35">
              <w:rPr>
                <w:rFonts w:cstheme="minorHAnsi"/>
              </w:rPr>
              <w:t>0.013 (0.001)</w:t>
            </w:r>
          </w:p>
        </w:tc>
        <w:tc>
          <w:tcPr>
            <w:tcW w:w="1510" w:type="dxa"/>
          </w:tcPr>
          <w:p w14:paraId="13439DA9" w14:textId="77777777" w:rsidR="003D3694" w:rsidRPr="00747E35" w:rsidRDefault="003D3694" w:rsidP="0096743A">
            <w:pPr>
              <w:pStyle w:val="Tabletext"/>
              <w:spacing w:before="0" w:after="0"/>
              <w:rPr>
                <w:rFonts w:cstheme="minorHAnsi"/>
              </w:rPr>
            </w:pPr>
            <w:r w:rsidRPr="00747E35">
              <w:rPr>
                <w:rFonts w:cstheme="minorHAnsi"/>
              </w:rPr>
              <w:t>NA</w:t>
            </w:r>
          </w:p>
        </w:tc>
      </w:tr>
      <w:tr w:rsidR="003D3694" w:rsidRPr="00747E35" w14:paraId="7BDCDE14" w14:textId="77777777" w:rsidTr="0096743A">
        <w:trPr>
          <w:trHeight w:val="76"/>
        </w:trPr>
        <w:tc>
          <w:tcPr>
            <w:tcW w:w="1904" w:type="dxa"/>
          </w:tcPr>
          <w:p w14:paraId="4B492B07" w14:textId="77777777" w:rsidR="003D3694" w:rsidRPr="00747E35" w:rsidRDefault="003D3694" w:rsidP="0096743A">
            <w:pPr>
              <w:pStyle w:val="Tabletext"/>
              <w:spacing w:before="0" w:after="0"/>
              <w:rPr>
                <w:rFonts w:cstheme="minorHAnsi"/>
              </w:rPr>
            </w:pPr>
            <w:r w:rsidRPr="00747E35">
              <w:rPr>
                <w:rFonts w:cstheme="minorHAnsi"/>
              </w:rPr>
              <w:t xml:space="preserve">Abril </w:t>
            </w:r>
            <w:r w:rsidRPr="00747E35">
              <w:rPr>
                <w:rFonts w:cstheme="minorHAnsi"/>
                <w:i/>
              </w:rPr>
              <w:t>et al.</w:t>
            </w:r>
            <w:r w:rsidRPr="00747E35">
              <w:rPr>
                <w:rFonts w:cstheme="minorHAnsi"/>
              </w:rPr>
              <w:t xml:space="preserve"> </w:t>
            </w:r>
            <w:r w:rsidRPr="00747E35">
              <w:rPr>
                <w:rFonts w:cstheme="minorHAnsi"/>
              </w:rPr>
              <w:fldChar w:fldCharType="begin"/>
            </w:r>
            <w:r w:rsidRPr="00747E35">
              <w:rPr>
                <w:rFonts w:cstheme="minorHAnsi"/>
              </w:rPr>
              <w:instrText xml:space="preserve"> ADDIN EN.CITE &lt;EndNote&gt;&lt;Cite ExcludeAuth="1"&gt;&lt;Author&gt;Abril&lt;/Author&gt;&lt;Year&gt;2016&lt;/Year&gt;&lt;RecNum&gt;1354&lt;/RecNum&gt;&lt;DisplayText&gt;(2016)&lt;/DisplayText&gt;&lt;record&gt;&lt;rec-number&gt;1354&lt;/rec-number&gt;&lt;foreign-keys&gt;&lt;key app="EN" db-id="f09zwdf26xeasaevvsjxv00h9rx2v9xarfsw" timestamp="1478151212"&gt;1354&lt;/key&gt;&lt;/foreign-keys&gt;&lt;ref-type name="Journal Article"&gt;17&lt;/ref-type&gt;&lt;contributors&gt;&lt;authors&gt;&lt;author&gt;Abril, M.&lt;/author&gt;&lt;author&gt;Muñoz, I.&lt;/author&gt;&lt;author&gt;Menéndez, M.&lt;/author&gt;&lt;/authors&gt;&lt;/contributors&gt;&lt;titles&gt;&lt;title&gt;Heterogeneity in leaf litter decomposition in a temporary Mediterranean stream during flow fragmentation&lt;/title&gt;&lt;secondary-title&gt;Science of the Total Environment&lt;/secondary-title&gt;&lt;/titles&gt;&lt;periodical&gt;&lt;full-title&gt;Science of the Total Environment&lt;/full-title&gt;&lt;/periodical&gt;&lt;pages&gt;330-339&lt;/pages&gt;&lt;volume&gt;553&lt;/volume&gt;&lt;dates&gt;&lt;year&gt;2016&lt;/year&gt;&lt;/dates&gt;&lt;work-type&gt;Article&lt;/work-type&gt;&lt;urls&gt;&lt;related-urls&gt;&lt;url&gt;https://www.scopus.com/inward/record.uri?eid=2-s2.0-84959150823&amp;amp;partnerID=40&amp;amp;md5=d42cc3c702058dea9ddace9f65b16724&lt;/url&gt;&lt;/related-urls&gt;&lt;/urls&gt;&lt;electronic-resource-num&gt;10.1016/j.scitotenv.2016.02.082&lt;/electronic-resource-num&gt;&lt;remote-database-name&gt;Scopus&lt;/remote-database-name&gt;&lt;/record&gt;&lt;/Cite&gt;&lt;/EndNote&gt;</w:instrText>
            </w:r>
            <w:r w:rsidRPr="00747E35">
              <w:rPr>
                <w:rFonts w:cstheme="minorHAnsi"/>
              </w:rPr>
              <w:fldChar w:fldCharType="separate"/>
            </w:r>
            <w:r w:rsidRPr="00747E35">
              <w:rPr>
                <w:rFonts w:cstheme="minorHAnsi"/>
                <w:noProof/>
              </w:rPr>
              <w:t>(2016)</w:t>
            </w:r>
            <w:r w:rsidRPr="00747E35">
              <w:rPr>
                <w:rFonts w:cstheme="minorHAnsi"/>
              </w:rPr>
              <w:fldChar w:fldCharType="end"/>
            </w:r>
          </w:p>
        </w:tc>
        <w:tc>
          <w:tcPr>
            <w:tcW w:w="1339" w:type="dxa"/>
          </w:tcPr>
          <w:p w14:paraId="51048A07"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767" w:type="dxa"/>
          </w:tcPr>
          <w:p w14:paraId="36300A42" w14:textId="77777777" w:rsidR="003D3694" w:rsidRPr="00747E35" w:rsidRDefault="003D3694" w:rsidP="0096743A">
            <w:pPr>
              <w:pStyle w:val="Tabletext"/>
              <w:spacing w:before="0" w:after="0"/>
              <w:rPr>
                <w:rFonts w:cstheme="minorHAnsi"/>
              </w:rPr>
            </w:pPr>
            <w:r w:rsidRPr="00747E35">
              <w:rPr>
                <w:rFonts w:cstheme="minorHAnsi"/>
              </w:rPr>
              <w:t>Mediterranean</w:t>
            </w:r>
          </w:p>
        </w:tc>
        <w:tc>
          <w:tcPr>
            <w:tcW w:w="1600" w:type="dxa"/>
          </w:tcPr>
          <w:p w14:paraId="6C06460A" w14:textId="77777777" w:rsidR="003D3694" w:rsidRPr="00747E35" w:rsidRDefault="003D3694" w:rsidP="0096743A">
            <w:pPr>
              <w:pStyle w:val="Tabletext"/>
              <w:spacing w:before="0" w:after="0"/>
              <w:rPr>
                <w:rFonts w:cstheme="minorHAnsi"/>
              </w:rPr>
            </w:pPr>
            <w:r w:rsidRPr="00747E35">
              <w:rPr>
                <w:rFonts w:cstheme="minorHAnsi"/>
              </w:rPr>
              <w:t>Dry sediment</w:t>
            </w:r>
          </w:p>
        </w:tc>
        <w:tc>
          <w:tcPr>
            <w:tcW w:w="1622" w:type="dxa"/>
          </w:tcPr>
          <w:p w14:paraId="47B9D316" w14:textId="77777777" w:rsidR="003D3694" w:rsidRPr="00747E35" w:rsidRDefault="003D3694" w:rsidP="0096743A">
            <w:pPr>
              <w:pStyle w:val="Tabletext"/>
              <w:spacing w:before="0" w:after="0"/>
              <w:rPr>
                <w:rFonts w:cstheme="minorHAnsi"/>
              </w:rPr>
            </w:pPr>
            <w:r w:rsidRPr="00747E35">
              <w:rPr>
                <w:rFonts w:cstheme="minorHAnsi"/>
              </w:rPr>
              <w:t>Coarse (5mm)</w:t>
            </w:r>
          </w:p>
        </w:tc>
        <w:tc>
          <w:tcPr>
            <w:tcW w:w="2152" w:type="dxa"/>
          </w:tcPr>
          <w:p w14:paraId="3EE3CABC" w14:textId="77777777" w:rsidR="003D3694" w:rsidRPr="00847A55" w:rsidRDefault="003D3694" w:rsidP="0096743A">
            <w:pPr>
              <w:pStyle w:val="Tabletext"/>
              <w:spacing w:before="0" w:after="0"/>
              <w:rPr>
                <w:rFonts w:cstheme="minorHAnsi"/>
                <w:i/>
              </w:rPr>
            </w:pPr>
            <w:r w:rsidRPr="00847A55">
              <w:rPr>
                <w:rFonts w:cstheme="minorHAnsi"/>
                <w:i/>
              </w:rPr>
              <w:t>Populus nigra</w:t>
            </w:r>
          </w:p>
        </w:tc>
        <w:tc>
          <w:tcPr>
            <w:tcW w:w="1510" w:type="dxa"/>
          </w:tcPr>
          <w:p w14:paraId="43E55CAC" w14:textId="77777777" w:rsidR="003D3694" w:rsidRPr="00747E35" w:rsidRDefault="003D3694" w:rsidP="0096743A">
            <w:pPr>
              <w:pStyle w:val="Tabletext"/>
              <w:spacing w:before="0" w:after="0"/>
              <w:rPr>
                <w:rFonts w:cstheme="minorHAnsi"/>
              </w:rPr>
            </w:pPr>
            <w:r w:rsidRPr="00747E35">
              <w:rPr>
                <w:rFonts w:cstheme="minorHAnsi"/>
              </w:rPr>
              <w:t>0.009 (0.002)</w:t>
            </w:r>
          </w:p>
        </w:tc>
        <w:tc>
          <w:tcPr>
            <w:tcW w:w="1510" w:type="dxa"/>
          </w:tcPr>
          <w:p w14:paraId="51210C2C" w14:textId="77777777" w:rsidR="003D3694" w:rsidRPr="00747E35" w:rsidRDefault="003D3694" w:rsidP="0096743A">
            <w:pPr>
              <w:pStyle w:val="Tabletext"/>
              <w:spacing w:before="0" w:after="0"/>
              <w:rPr>
                <w:rFonts w:cstheme="minorHAnsi"/>
              </w:rPr>
            </w:pPr>
            <w:r w:rsidRPr="00747E35">
              <w:rPr>
                <w:rFonts w:cstheme="minorHAnsi"/>
              </w:rPr>
              <w:t>NA</w:t>
            </w:r>
          </w:p>
        </w:tc>
      </w:tr>
      <w:tr w:rsidR="003D3694" w:rsidRPr="00747E35" w14:paraId="24D51CCB" w14:textId="77777777" w:rsidTr="0096743A">
        <w:trPr>
          <w:trHeight w:val="76"/>
        </w:trPr>
        <w:tc>
          <w:tcPr>
            <w:tcW w:w="1904" w:type="dxa"/>
          </w:tcPr>
          <w:p w14:paraId="6340AD42" w14:textId="77777777" w:rsidR="003D3694" w:rsidRPr="00747E35" w:rsidRDefault="003D3694" w:rsidP="0096743A">
            <w:pPr>
              <w:pStyle w:val="Tabletext"/>
              <w:spacing w:before="0" w:after="0"/>
              <w:rPr>
                <w:rFonts w:cstheme="minorHAnsi"/>
              </w:rPr>
            </w:pPr>
            <w:r w:rsidRPr="00747E35">
              <w:rPr>
                <w:rFonts w:cstheme="minorHAnsi"/>
              </w:rPr>
              <w:t xml:space="preserve">Abril </w:t>
            </w:r>
            <w:r w:rsidRPr="00747E35">
              <w:rPr>
                <w:rFonts w:cstheme="minorHAnsi"/>
                <w:i/>
              </w:rPr>
              <w:t>et al.</w:t>
            </w:r>
            <w:r w:rsidRPr="00747E35">
              <w:rPr>
                <w:rFonts w:cstheme="minorHAnsi"/>
              </w:rPr>
              <w:t xml:space="preserve"> </w:t>
            </w:r>
            <w:r w:rsidRPr="00747E35">
              <w:rPr>
                <w:rFonts w:cstheme="minorHAnsi"/>
              </w:rPr>
              <w:fldChar w:fldCharType="begin"/>
            </w:r>
            <w:r w:rsidRPr="00747E35">
              <w:rPr>
                <w:rFonts w:cstheme="minorHAnsi"/>
              </w:rPr>
              <w:instrText xml:space="preserve"> ADDIN EN.CITE &lt;EndNote&gt;&lt;Cite ExcludeAuth="1"&gt;&lt;Author&gt;Abril&lt;/Author&gt;&lt;Year&gt;2016&lt;/Year&gt;&lt;RecNum&gt;1354&lt;/RecNum&gt;&lt;DisplayText&gt;(2016)&lt;/DisplayText&gt;&lt;record&gt;&lt;rec-number&gt;1354&lt;/rec-number&gt;&lt;foreign-keys&gt;&lt;key app="EN" db-id="f09zwdf26xeasaevvsjxv00h9rx2v9xarfsw" timestamp="1478151212"&gt;1354&lt;/key&gt;&lt;/foreign-keys&gt;&lt;ref-type name="Journal Article"&gt;17&lt;/ref-type&gt;&lt;contributors&gt;&lt;authors&gt;&lt;author&gt;Abril, M.&lt;/author&gt;&lt;author&gt;Muñoz, I.&lt;/author&gt;&lt;author&gt;Menéndez, M.&lt;/author&gt;&lt;/authors&gt;&lt;/contributors&gt;&lt;titles&gt;&lt;title&gt;Heterogeneity in leaf litter decomposition in a temporary Mediterranean stream during flow fragmentation&lt;/title&gt;&lt;secondary-title&gt;Science of the Total Environment&lt;/secondary-title&gt;&lt;/titles&gt;&lt;periodical&gt;&lt;full-title&gt;Science of the Total Environment&lt;/full-title&gt;&lt;/periodical&gt;&lt;pages&gt;330-339&lt;/pages&gt;&lt;volume&gt;553&lt;/volume&gt;&lt;dates&gt;&lt;year&gt;2016&lt;/year&gt;&lt;/dates&gt;&lt;work-type&gt;Article&lt;/work-type&gt;&lt;urls&gt;&lt;related-urls&gt;&lt;url&gt;https://www.scopus.com/inward/record.uri?eid=2-s2.0-84959150823&amp;amp;partnerID=40&amp;amp;md5=d42cc3c702058dea9ddace9f65b16724&lt;/url&gt;&lt;/related-urls&gt;&lt;/urls&gt;&lt;electronic-resource-num&gt;10.1016/j.scitotenv.2016.02.082&lt;/electronic-resource-num&gt;&lt;remote-database-name&gt;Scopus&lt;/remote-database-name&gt;&lt;/record&gt;&lt;/Cite&gt;&lt;/EndNote&gt;</w:instrText>
            </w:r>
            <w:r w:rsidRPr="00747E35">
              <w:rPr>
                <w:rFonts w:cstheme="minorHAnsi"/>
              </w:rPr>
              <w:fldChar w:fldCharType="separate"/>
            </w:r>
            <w:r w:rsidRPr="00747E35">
              <w:rPr>
                <w:rFonts w:cstheme="minorHAnsi"/>
                <w:noProof/>
              </w:rPr>
              <w:t>(2016)</w:t>
            </w:r>
            <w:r w:rsidRPr="00747E35">
              <w:rPr>
                <w:rFonts w:cstheme="minorHAnsi"/>
              </w:rPr>
              <w:fldChar w:fldCharType="end"/>
            </w:r>
          </w:p>
        </w:tc>
        <w:tc>
          <w:tcPr>
            <w:tcW w:w="1339" w:type="dxa"/>
          </w:tcPr>
          <w:p w14:paraId="4343B0E4" w14:textId="77777777" w:rsidR="003D3694" w:rsidRPr="00747E35" w:rsidRDefault="003D3694" w:rsidP="0096743A">
            <w:pPr>
              <w:pStyle w:val="Tabletext"/>
              <w:spacing w:before="0" w:after="0"/>
              <w:rPr>
                <w:rFonts w:cstheme="minorHAnsi"/>
              </w:rPr>
            </w:pPr>
            <w:r w:rsidRPr="00747E35">
              <w:rPr>
                <w:rFonts w:cstheme="minorHAnsi"/>
              </w:rPr>
              <w:t>Perennial</w:t>
            </w:r>
          </w:p>
        </w:tc>
        <w:tc>
          <w:tcPr>
            <w:tcW w:w="1767" w:type="dxa"/>
          </w:tcPr>
          <w:p w14:paraId="16E5F498" w14:textId="77777777" w:rsidR="003D3694" w:rsidRPr="00747E35" w:rsidRDefault="003D3694" w:rsidP="0096743A">
            <w:pPr>
              <w:pStyle w:val="Tabletext"/>
              <w:spacing w:before="0" w:after="0"/>
              <w:rPr>
                <w:rFonts w:cstheme="minorHAnsi"/>
              </w:rPr>
            </w:pPr>
            <w:r w:rsidRPr="00747E35">
              <w:rPr>
                <w:rFonts w:cstheme="minorHAnsi"/>
              </w:rPr>
              <w:t>Mediterranean</w:t>
            </w:r>
          </w:p>
        </w:tc>
        <w:tc>
          <w:tcPr>
            <w:tcW w:w="1600" w:type="dxa"/>
          </w:tcPr>
          <w:p w14:paraId="0EE535ED" w14:textId="77777777" w:rsidR="003D3694" w:rsidRPr="00747E35" w:rsidRDefault="003D3694" w:rsidP="0096743A">
            <w:pPr>
              <w:pStyle w:val="Tabletext"/>
              <w:spacing w:before="0" w:after="0"/>
              <w:rPr>
                <w:rFonts w:cstheme="minorHAnsi"/>
              </w:rPr>
            </w:pPr>
            <w:r w:rsidRPr="00747E35">
              <w:rPr>
                <w:rFonts w:cstheme="minorHAnsi"/>
              </w:rPr>
              <w:t>Running water</w:t>
            </w:r>
          </w:p>
        </w:tc>
        <w:tc>
          <w:tcPr>
            <w:tcW w:w="1622" w:type="dxa"/>
          </w:tcPr>
          <w:p w14:paraId="0A527C40" w14:textId="77777777" w:rsidR="003D3694" w:rsidRPr="00747E35" w:rsidRDefault="003D3694" w:rsidP="0096743A">
            <w:pPr>
              <w:pStyle w:val="Tabletext"/>
              <w:spacing w:before="0" w:after="0"/>
              <w:rPr>
                <w:rFonts w:cstheme="minorHAnsi"/>
              </w:rPr>
            </w:pPr>
            <w:r w:rsidRPr="00747E35">
              <w:rPr>
                <w:rFonts w:cstheme="minorHAnsi"/>
              </w:rPr>
              <w:t>Coarse (5mm)</w:t>
            </w:r>
          </w:p>
        </w:tc>
        <w:tc>
          <w:tcPr>
            <w:tcW w:w="2152" w:type="dxa"/>
          </w:tcPr>
          <w:p w14:paraId="19754ABD" w14:textId="77777777" w:rsidR="003D3694" w:rsidRPr="00847A55" w:rsidRDefault="003D3694" w:rsidP="0096743A">
            <w:pPr>
              <w:pStyle w:val="Tabletext"/>
              <w:spacing w:before="0" w:after="0"/>
              <w:rPr>
                <w:rFonts w:cstheme="minorHAnsi"/>
                <w:i/>
              </w:rPr>
            </w:pPr>
            <w:r w:rsidRPr="00847A55">
              <w:rPr>
                <w:rFonts w:cstheme="minorHAnsi"/>
                <w:i/>
              </w:rPr>
              <w:t>Populus nigra</w:t>
            </w:r>
          </w:p>
        </w:tc>
        <w:tc>
          <w:tcPr>
            <w:tcW w:w="1510" w:type="dxa"/>
          </w:tcPr>
          <w:p w14:paraId="43C103EF" w14:textId="77777777" w:rsidR="003D3694" w:rsidRPr="00747E35" w:rsidRDefault="003D3694" w:rsidP="0096743A">
            <w:pPr>
              <w:pStyle w:val="Tabletext"/>
              <w:spacing w:before="0" w:after="0"/>
              <w:rPr>
                <w:rFonts w:cstheme="minorHAnsi"/>
              </w:rPr>
            </w:pPr>
            <w:r w:rsidRPr="00747E35">
              <w:rPr>
                <w:rFonts w:cstheme="minorHAnsi"/>
              </w:rPr>
              <w:t>0.053 (0.003)</w:t>
            </w:r>
          </w:p>
        </w:tc>
        <w:tc>
          <w:tcPr>
            <w:tcW w:w="1510" w:type="dxa"/>
          </w:tcPr>
          <w:p w14:paraId="5EC0C868" w14:textId="77777777" w:rsidR="003D3694" w:rsidRPr="00747E35" w:rsidRDefault="003D3694" w:rsidP="0096743A">
            <w:pPr>
              <w:pStyle w:val="Tabletext"/>
              <w:spacing w:before="0" w:after="0"/>
              <w:rPr>
                <w:rFonts w:cstheme="minorHAnsi"/>
              </w:rPr>
            </w:pPr>
            <w:r w:rsidRPr="00747E35">
              <w:rPr>
                <w:rFonts w:cstheme="minorHAnsi"/>
              </w:rPr>
              <w:t>NA</w:t>
            </w:r>
          </w:p>
        </w:tc>
      </w:tr>
      <w:tr w:rsidR="003D3694" w:rsidRPr="00747E35" w14:paraId="7C84621D" w14:textId="77777777" w:rsidTr="0096743A">
        <w:trPr>
          <w:trHeight w:val="76"/>
        </w:trPr>
        <w:tc>
          <w:tcPr>
            <w:tcW w:w="1904" w:type="dxa"/>
          </w:tcPr>
          <w:p w14:paraId="1EBE5783" w14:textId="77777777" w:rsidR="003D3694" w:rsidRPr="00747E35" w:rsidRDefault="003D3694" w:rsidP="0096743A">
            <w:pPr>
              <w:pStyle w:val="Tabletext"/>
              <w:spacing w:before="0" w:after="0"/>
              <w:rPr>
                <w:rFonts w:cstheme="minorHAnsi"/>
              </w:rPr>
            </w:pPr>
            <w:r w:rsidRPr="00747E35">
              <w:rPr>
                <w:rFonts w:cstheme="minorHAnsi"/>
              </w:rPr>
              <w:t xml:space="preserve">Bunn </w:t>
            </w:r>
            <w:r w:rsidRPr="00747E35">
              <w:rPr>
                <w:rFonts w:cstheme="minorHAnsi"/>
              </w:rPr>
              <w:fldChar w:fldCharType="begin"/>
            </w:r>
            <w:r w:rsidRPr="00747E35">
              <w:rPr>
                <w:rFonts w:cstheme="minorHAnsi"/>
              </w:rPr>
              <w:instrText xml:space="preserve"> ADDIN EN.CITE &lt;EndNote&gt;&lt;Cite ExcludeAuth="1"&gt;&lt;Author&gt;Bunn&lt;/Author&gt;&lt;Year&gt;1988&lt;/Year&gt;&lt;RecNum&gt;142&lt;/RecNum&gt;&lt;DisplayText&gt;(1988)&lt;/DisplayText&gt;&lt;record&gt;&lt;rec-number&gt;142&lt;/rec-number&gt;&lt;foreign-keys&gt;&lt;key app="EN" db-id="f09zwdf26xeasaevvsjxv00h9rx2v9xarfsw" timestamp="1399199501"&gt;142&lt;/key&gt;&lt;/foreign-keys&gt;&lt;ref-type name="Journal Article"&gt;17&lt;/ref-type&gt;&lt;contributors&gt;&lt;authors&gt;&lt;author&gt;Bunn, S. E.&lt;/author&gt;&lt;/authors&gt;&lt;/contributors&gt;&lt;auth-address&gt;Department of Zoology, University of Western Australia, Nedlands, 6009, Western Australia, Australia&lt;/auth-address&gt;&lt;titles&gt;&lt;title&gt;Processing of leaf litter in a northern jarrah forest stream, Western Australia: I. Seasonal differences&lt;/title&gt;&lt;secondary-title&gt;Hydrobiologia&lt;/secondary-title&gt;&lt;/titles&gt;&lt;periodical&gt;&lt;full-title&gt;Hydrobiologia&lt;/full-title&gt;&lt;/periodical&gt;&lt;pages&gt;201-210&lt;/pages&gt;&lt;volume&gt;162&lt;/volume&gt;&lt;number&gt;3&lt;/number&gt;&lt;keywords&gt;&lt;keyword&gt;decomposition&lt;/keyword&gt;&lt;keyword&gt;Eucalyptus marginata&lt;/keyword&gt;&lt;keyword&gt;leaf litter&lt;/keyword&gt;&lt;keyword&gt;seasonality&lt;/keyword&gt;&lt;keyword&gt;streams&lt;/keyword&gt;&lt;/keywords&gt;&lt;dates&gt;&lt;year&gt;1988&lt;/year&gt;&lt;/dates&gt;&lt;publisher&gt;Kluwer Academic Publishers&lt;/publisher&gt;&lt;isbn&gt;00188158 (ISSN)&lt;/isbn&gt;&lt;urls&gt;&lt;related-urls&gt;&lt;url&gt;http://www.scopus.com/inward/record.url?eid=2-s2.0-0001574147&amp;amp;partnerID=40&amp;amp;md5=73290950205625e56664da2e0df36879&lt;/url&gt;&lt;/related-urls&gt;&lt;/urls&gt;&lt;electronic-resource-num&gt;10.1007/bf00016668&lt;/electronic-resource-num&gt;&lt;/record&gt;&lt;/Cite&gt;&lt;/EndNote&gt;</w:instrText>
            </w:r>
            <w:r w:rsidRPr="00747E35">
              <w:rPr>
                <w:rFonts w:cstheme="minorHAnsi"/>
              </w:rPr>
              <w:fldChar w:fldCharType="separate"/>
            </w:r>
            <w:r w:rsidRPr="00747E35">
              <w:rPr>
                <w:rFonts w:cstheme="minorHAnsi"/>
                <w:noProof/>
              </w:rPr>
              <w:t>(1988)</w:t>
            </w:r>
            <w:r w:rsidRPr="00747E35">
              <w:rPr>
                <w:rFonts w:cstheme="minorHAnsi"/>
              </w:rPr>
              <w:fldChar w:fldCharType="end"/>
            </w:r>
          </w:p>
        </w:tc>
        <w:tc>
          <w:tcPr>
            <w:tcW w:w="1339" w:type="dxa"/>
          </w:tcPr>
          <w:p w14:paraId="0730062C" w14:textId="77777777" w:rsidR="003D3694" w:rsidRPr="00747E35" w:rsidRDefault="003D3694" w:rsidP="0096743A">
            <w:pPr>
              <w:pStyle w:val="Tabletext"/>
              <w:spacing w:before="0" w:after="0"/>
              <w:rPr>
                <w:rFonts w:cstheme="minorHAnsi"/>
              </w:rPr>
            </w:pPr>
            <w:r w:rsidRPr="00747E35">
              <w:rPr>
                <w:rFonts w:cstheme="minorHAnsi"/>
              </w:rPr>
              <w:t>Perennial</w:t>
            </w:r>
          </w:p>
        </w:tc>
        <w:tc>
          <w:tcPr>
            <w:tcW w:w="1767" w:type="dxa"/>
          </w:tcPr>
          <w:p w14:paraId="586987B2" w14:textId="77777777" w:rsidR="003D3694" w:rsidRPr="00747E35" w:rsidRDefault="003D3694" w:rsidP="0096743A">
            <w:pPr>
              <w:pStyle w:val="Tabletext"/>
              <w:spacing w:before="0" w:after="0"/>
              <w:rPr>
                <w:rFonts w:cstheme="minorHAnsi"/>
              </w:rPr>
            </w:pPr>
            <w:r w:rsidRPr="00747E35">
              <w:rPr>
                <w:rFonts w:cstheme="minorHAnsi"/>
              </w:rPr>
              <w:t>Mediterranean</w:t>
            </w:r>
          </w:p>
        </w:tc>
        <w:tc>
          <w:tcPr>
            <w:tcW w:w="1600" w:type="dxa"/>
          </w:tcPr>
          <w:p w14:paraId="63879CF7" w14:textId="77777777" w:rsidR="003D3694" w:rsidRPr="00747E35" w:rsidRDefault="003D3694" w:rsidP="0096743A">
            <w:pPr>
              <w:pStyle w:val="Tabletext"/>
              <w:spacing w:before="0" w:after="0"/>
              <w:rPr>
                <w:rFonts w:cstheme="minorHAnsi"/>
              </w:rPr>
            </w:pPr>
            <w:r w:rsidRPr="00747E35">
              <w:rPr>
                <w:rFonts w:cstheme="minorHAnsi"/>
              </w:rPr>
              <w:t>Running water</w:t>
            </w:r>
          </w:p>
        </w:tc>
        <w:tc>
          <w:tcPr>
            <w:tcW w:w="1622" w:type="dxa"/>
          </w:tcPr>
          <w:p w14:paraId="649D9FBF" w14:textId="77777777" w:rsidR="003D3694" w:rsidRPr="00747E35" w:rsidRDefault="003D3694" w:rsidP="0096743A">
            <w:pPr>
              <w:pStyle w:val="Tabletext"/>
              <w:spacing w:before="0" w:after="0"/>
              <w:rPr>
                <w:rFonts w:cstheme="minorHAnsi"/>
              </w:rPr>
            </w:pPr>
            <w:r w:rsidRPr="00747E35">
              <w:rPr>
                <w:rFonts w:cstheme="minorHAnsi"/>
              </w:rPr>
              <w:t>Fine (0.01mm)</w:t>
            </w:r>
          </w:p>
        </w:tc>
        <w:tc>
          <w:tcPr>
            <w:tcW w:w="2152" w:type="dxa"/>
          </w:tcPr>
          <w:p w14:paraId="0E06516F" w14:textId="77777777" w:rsidR="003D3694" w:rsidRPr="00847A55" w:rsidRDefault="003D3694" w:rsidP="0096743A">
            <w:pPr>
              <w:pStyle w:val="Tabletext"/>
              <w:spacing w:before="0" w:after="0"/>
              <w:rPr>
                <w:rFonts w:cstheme="minorHAnsi"/>
                <w:i/>
              </w:rPr>
            </w:pPr>
            <w:r w:rsidRPr="00847A55">
              <w:rPr>
                <w:rFonts w:cstheme="minorHAnsi"/>
                <w:i/>
              </w:rPr>
              <w:t>Eucalyptus marginata</w:t>
            </w:r>
          </w:p>
        </w:tc>
        <w:tc>
          <w:tcPr>
            <w:tcW w:w="1510" w:type="dxa"/>
          </w:tcPr>
          <w:p w14:paraId="236ECA25" w14:textId="77777777" w:rsidR="003D3694" w:rsidRPr="00747E35" w:rsidRDefault="003D3694" w:rsidP="0096743A">
            <w:pPr>
              <w:pStyle w:val="Tabletext"/>
              <w:spacing w:before="0" w:after="0"/>
              <w:rPr>
                <w:rFonts w:cstheme="minorHAnsi"/>
              </w:rPr>
            </w:pPr>
            <w:r w:rsidRPr="00747E35">
              <w:rPr>
                <w:rFonts w:cstheme="minorHAnsi"/>
              </w:rPr>
              <w:t>0.0012-0.0015</w:t>
            </w:r>
          </w:p>
        </w:tc>
        <w:tc>
          <w:tcPr>
            <w:tcW w:w="1510" w:type="dxa"/>
          </w:tcPr>
          <w:p w14:paraId="6C4DB778" w14:textId="77777777" w:rsidR="003D3694" w:rsidRPr="00747E35" w:rsidRDefault="003D3694" w:rsidP="0096743A">
            <w:pPr>
              <w:pStyle w:val="Tabletext"/>
              <w:spacing w:before="0" w:after="0"/>
              <w:rPr>
                <w:rFonts w:cstheme="minorHAnsi"/>
              </w:rPr>
            </w:pPr>
            <w:r w:rsidRPr="00747E35">
              <w:rPr>
                <w:rFonts w:cstheme="minorHAnsi"/>
              </w:rPr>
              <w:t>NA</w:t>
            </w:r>
          </w:p>
        </w:tc>
      </w:tr>
      <w:tr w:rsidR="003D3694" w:rsidRPr="00747E35" w14:paraId="76A255F2" w14:textId="77777777" w:rsidTr="0096743A">
        <w:trPr>
          <w:trHeight w:val="76"/>
        </w:trPr>
        <w:tc>
          <w:tcPr>
            <w:tcW w:w="1904" w:type="dxa"/>
          </w:tcPr>
          <w:p w14:paraId="7DB4E58C" w14:textId="77777777" w:rsidR="003D3694" w:rsidRPr="00747E35" w:rsidRDefault="003D3694" w:rsidP="0096743A">
            <w:pPr>
              <w:pStyle w:val="Tabletext"/>
              <w:spacing w:before="0" w:after="0"/>
              <w:rPr>
                <w:rFonts w:cstheme="minorHAnsi"/>
              </w:rPr>
            </w:pPr>
            <w:r w:rsidRPr="00747E35">
              <w:rPr>
                <w:rFonts w:cstheme="minorHAnsi"/>
              </w:rPr>
              <w:t xml:space="preserve">Bunn </w:t>
            </w:r>
            <w:r w:rsidRPr="00747E35">
              <w:rPr>
                <w:rFonts w:cstheme="minorHAnsi"/>
              </w:rPr>
              <w:fldChar w:fldCharType="begin"/>
            </w:r>
            <w:r w:rsidRPr="00747E35">
              <w:rPr>
                <w:rFonts w:cstheme="minorHAnsi"/>
              </w:rPr>
              <w:instrText xml:space="preserve"> ADDIN EN.CITE &lt;EndNote&gt;&lt;Cite ExcludeAuth="1"&gt;&lt;Author&gt;Bunn&lt;/Author&gt;&lt;Year&gt;1988&lt;/Year&gt;&lt;RecNum&gt;142&lt;/RecNum&gt;&lt;DisplayText&gt;(1988)&lt;/DisplayText&gt;&lt;record&gt;&lt;rec-number&gt;142&lt;/rec-number&gt;&lt;foreign-keys&gt;&lt;key app="EN" db-id="f09zwdf26xeasaevvsjxv00h9rx2v9xarfsw" timestamp="1399199501"&gt;142&lt;/key&gt;&lt;/foreign-keys&gt;&lt;ref-type name="Journal Article"&gt;17&lt;/ref-type&gt;&lt;contributors&gt;&lt;authors&gt;&lt;author&gt;Bunn, S. E.&lt;/author&gt;&lt;/authors&gt;&lt;/contributors&gt;&lt;auth-address&gt;Department of Zoology, University of Western Australia, Nedlands, 6009, Western Australia, Australia&lt;/auth-address&gt;&lt;titles&gt;&lt;title&gt;Processing of leaf litter in a northern jarrah forest stream, Western Australia: I. Seasonal differences&lt;/title&gt;&lt;secondary-title&gt;Hydrobiologia&lt;/secondary-title&gt;&lt;/titles&gt;&lt;periodical&gt;&lt;full-title&gt;Hydrobiologia&lt;/full-title&gt;&lt;/periodical&gt;&lt;pages&gt;201-210&lt;/pages&gt;&lt;volume&gt;162&lt;/volume&gt;&lt;number&gt;3&lt;/number&gt;&lt;keywords&gt;&lt;keyword&gt;decomposition&lt;/keyword&gt;&lt;keyword&gt;Eucalyptus marginata&lt;/keyword&gt;&lt;keyword&gt;leaf litter&lt;/keyword&gt;&lt;keyword&gt;seasonality&lt;/keyword&gt;&lt;keyword&gt;streams&lt;/keyword&gt;&lt;/keywords&gt;&lt;dates&gt;&lt;year&gt;1988&lt;/year&gt;&lt;/dates&gt;&lt;publisher&gt;Kluwer Academic Publishers&lt;/publisher&gt;&lt;isbn&gt;00188158 (ISSN)&lt;/isbn&gt;&lt;urls&gt;&lt;related-urls&gt;&lt;url&gt;http://www.scopus.com/inward/record.url?eid=2-s2.0-0001574147&amp;amp;partnerID=40&amp;amp;md5=73290950205625e56664da2e0df36879&lt;/url&gt;&lt;/related-urls&gt;&lt;/urls&gt;&lt;electronic-resource-num&gt;10.1007/bf00016668&lt;/electronic-resource-num&gt;&lt;/record&gt;&lt;/Cite&gt;&lt;/EndNote&gt;</w:instrText>
            </w:r>
            <w:r w:rsidRPr="00747E35">
              <w:rPr>
                <w:rFonts w:cstheme="minorHAnsi"/>
              </w:rPr>
              <w:fldChar w:fldCharType="separate"/>
            </w:r>
            <w:r w:rsidRPr="00747E35">
              <w:rPr>
                <w:rFonts w:cstheme="minorHAnsi"/>
                <w:noProof/>
              </w:rPr>
              <w:t>(1988)</w:t>
            </w:r>
            <w:r w:rsidRPr="00747E35">
              <w:rPr>
                <w:rFonts w:cstheme="minorHAnsi"/>
              </w:rPr>
              <w:fldChar w:fldCharType="end"/>
            </w:r>
          </w:p>
        </w:tc>
        <w:tc>
          <w:tcPr>
            <w:tcW w:w="1339" w:type="dxa"/>
          </w:tcPr>
          <w:p w14:paraId="1FD7252C" w14:textId="77777777" w:rsidR="003D3694" w:rsidRPr="00747E35" w:rsidRDefault="003D3694" w:rsidP="0096743A">
            <w:pPr>
              <w:pStyle w:val="Tabletext"/>
              <w:spacing w:before="0" w:after="0"/>
              <w:rPr>
                <w:rFonts w:cstheme="minorHAnsi"/>
              </w:rPr>
            </w:pPr>
            <w:r w:rsidRPr="00747E35">
              <w:rPr>
                <w:rFonts w:cstheme="minorHAnsi"/>
              </w:rPr>
              <w:t>Perennial</w:t>
            </w:r>
          </w:p>
        </w:tc>
        <w:tc>
          <w:tcPr>
            <w:tcW w:w="1767" w:type="dxa"/>
          </w:tcPr>
          <w:p w14:paraId="1BB9BF76" w14:textId="77777777" w:rsidR="003D3694" w:rsidRPr="00747E35" w:rsidRDefault="003D3694" w:rsidP="0096743A">
            <w:pPr>
              <w:pStyle w:val="Tabletext"/>
              <w:spacing w:before="0" w:after="0"/>
              <w:rPr>
                <w:rFonts w:cstheme="minorHAnsi"/>
              </w:rPr>
            </w:pPr>
            <w:r w:rsidRPr="00747E35">
              <w:rPr>
                <w:rFonts w:cstheme="minorHAnsi"/>
              </w:rPr>
              <w:t>Mediterranean</w:t>
            </w:r>
          </w:p>
        </w:tc>
        <w:tc>
          <w:tcPr>
            <w:tcW w:w="1600" w:type="dxa"/>
          </w:tcPr>
          <w:p w14:paraId="3FF2C75E" w14:textId="77777777" w:rsidR="003D3694" w:rsidRPr="00747E35" w:rsidRDefault="003D3694" w:rsidP="0096743A">
            <w:pPr>
              <w:pStyle w:val="Tabletext"/>
              <w:spacing w:before="0" w:after="0"/>
              <w:rPr>
                <w:rFonts w:cstheme="minorHAnsi"/>
              </w:rPr>
            </w:pPr>
            <w:r w:rsidRPr="00747E35">
              <w:rPr>
                <w:rFonts w:cstheme="minorHAnsi"/>
              </w:rPr>
              <w:t>Running water</w:t>
            </w:r>
          </w:p>
        </w:tc>
        <w:tc>
          <w:tcPr>
            <w:tcW w:w="1622" w:type="dxa"/>
          </w:tcPr>
          <w:p w14:paraId="5FD72F26" w14:textId="77777777" w:rsidR="003D3694" w:rsidRPr="00747E35" w:rsidRDefault="003D3694" w:rsidP="0096743A">
            <w:pPr>
              <w:pStyle w:val="Tabletext"/>
              <w:spacing w:before="0" w:after="0"/>
              <w:rPr>
                <w:rFonts w:cstheme="minorHAnsi"/>
              </w:rPr>
            </w:pPr>
            <w:r w:rsidRPr="00747E35">
              <w:rPr>
                <w:rFonts w:cstheme="minorHAnsi"/>
              </w:rPr>
              <w:t>Coarse (3.4mm)</w:t>
            </w:r>
          </w:p>
        </w:tc>
        <w:tc>
          <w:tcPr>
            <w:tcW w:w="2152" w:type="dxa"/>
          </w:tcPr>
          <w:p w14:paraId="5D38A204" w14:textId="77777777" w:rsidR="003D3694" w:rsidRPr="00847A55" w:rsidRDefault="003D3694" w:rsidP="0096743A">
            <w:pPr>
              <w:pStyle w:val="Tabletext"/>
              <w:spacing w:before="0" w:after="0"/>
              <w:rPr>
                <w:rFonts w:cstheme="minorHAnsi"/>
                <w:i/>
              </w:rPr>
            </w:pPr>
            <w:r w:rsidRPr="00847A55">
              <w:rPr>
                <w:rFonts w:cstheme="minorHAnsi"/>
                <w:i/>
              </w:rPr>
              <w:t>Eucalyptus marginata</w:t>
            </w:r>
          </w:p>
        </w:tc>
        <w:tc>
          <w:tcPr>
            <w:tcW w:w="1510" w:type="dxa"/>
          </w:tcPr>
          <w:p w14:paraId="60AC4BCB" w14:textId="77777777" w:rsidR="003D3694" w:rsidRPr="00747E35" w:rsidRDefault="003D3694" w:rsidP="0096743A">
            <w:pPr>
              <w:pStyle w:val="Tabletext"/>
              <w:spacing w:before="0" w:after="0"/>
              <w:rPr>
                <w:rFonts w:cstheme="minorHAnsi"/>
              </w:rPr>
            </w:pPr>
            <w:r w:rsidRPr="00747E35">
              <w:rPr>
                <w:rFonts w:cstheme="minorHAnsi"/>
              </w:rPr>
              <w:t>0.0014-0.0020</w:t>
            </w:r>
          </w:p>
        </w:tc>
        <w:tc>
          <w:tcPr>
            <w:tcW w:w="1510" w:type="dxa"/>
          </w:tcPr>
          <w:p w14:paraId="4CE48A81" w14:textId="77777777" w:rsidR="003D3694" w:rsidRPr="00747E35" w:rsidRDefault="003D3694" w:rsidP="0096743A">
            <w:pPr>
              <w:pStyle w:val="Tabletext"/>
              <w:spacing w:before="0" w:after="0"/>
              <w:rPr>
                <w:rFonts w:cstheme="minorHAnsi"/>
              </w:rPr>
            </w:pPr>
            <w:r w:rsidRPr="00747E35">
              <w:rPr>
                <w:rFonts w:cstheme="minorHAnsi"/>
              </w:rPr>
              <w:t>NA</w:t>
            </w:r>
          </w:p>
        </w:tc>
      </w:tr>
      <w:tr w:rsidR="003D3694" w:rsidRPr="00747E35" w14:paraId="5C2085D8" w14:textId="77777777" w:rsidTr="0096743A">
        <w:trPr>
          <w:trHeight w:val="76"/>
        </w:trPr>
        <w:tc>
          <w:tcPr>
            <w:tcW w:w="1904" w:type="dxa"/>
          </w:tcPr>
          <w:p w14:paraId="4CC81202" w14:textId="77777777" w:rsidR="003D3694" w:rsidRPr="00747E35" w:rsidRDefault="003D3694" w:rsidP="0096743A">
            <w:pPr>
              <w:pStyle w:val="Tabletext"/>
              <w:spacing w:before="0" w:after="0"/>
              <w:rPr>
                <w:rFonts w:cstheme="minorHAnsi"/>
              </w:rPr>
            </w:pPr>
            <w:r w:rsidRPr="00747E35">
              <w:rPr>
                <w:rFonts w:cstheme="minorHAnsi"/>
              </w:rPr>
              <w:t xml:space="preserve">Cornut </w:t>
            </w:r>
            <w:r w:rsidRPr="00747E35">
              <w:rPr>
                <w:rFonts w:cstheme="minorHAnsi"/>
                <w:i/>
              </w:rPr>
              <w:t>et al.</w:t>
            </w:r>
            <w:r w:rsidRPr="00747E35">
              <w:rPr>
                <w:rFonts w:cstheme="minorHAnsi"/>
              </w:rPr>
              <w:t xml:space="preserve"> </w:t>
            </w:r>
            <w:r w:rsidRPr="00747E35">
              <w:rPr>
                <w:rFonts w:cstheme="minorHAnsi"/>
              </w:rPr>
              <w:fldChar w:fldCharType="begin"/>
            </w:r>
            <w:r w:rsidRPr="00747E35">
              <w:rPr>
                <w:rFonts w:cstheme="minorHAnsi"/>
              </w:rPr>
              <w:instrText xml:space="preserve"> ADDIN EN.CITE &lt;EndNote&gt;&lt;Cite ExcludeAuth="1"&gt;&lt;Author&gt;Cornut&lt;/Author&gt;&lt;Year&gt;2010&lt;/Year&gt;&lt;RecNum&gt;1316&lt;/RecNum&gt;&lt;DisplayText&gt;(2010)&lt;/DisplayText&gt;&lt;record&gt;&lt;rec-number&gt;1316&lt;/rec-number&gt;&lt;foreign-keys&gt;&lt;key app="EN" db-id="f09zwdf26xeasaevvsjxv00h9rx2v9xarfsw" timestamp="1477112579"&gt;1316&lt;/key&gt;&lt;/foreign-keys&gt;&lt;ref-type name="Journal Article"&gt;17&lt;/ref-type&gt;&lt;contributors&gt;&lt;authors&gt;&lt;author&gt;Cornut, Julien&lt;/author&gt;&lt;author&gt;Elger, Arnaud&lt;/author&gt;&lt;author&gt;Lambrigot, Didier&lt;/author&gt;&lt;author&gt;Marmonier, Pierre&lt;/author&gt;&lt;author&gt;Chauvet, Eric&lt;/author&gt;&lt;/authors&gt;&lt;/contributors&gt;&lt;titles&gt;&lt;title&gt;Early stages of leaf decomposition are mediated by aquatic fungi in the hyporheic zone of woodland streams&lt;/title&gt;&lt;secondary-title&gt;Freshwater Biology&lt;/secondary-title&gt;&lt;/titles&gt;&lt;periodical&gt;&lt;full-title&gt;Freshwater Biology&lt;/full-title&gt;&lt;/periodical&gt;&lt;pages&gt;2541-2556&lt;/pages&gt;&lt;volume&gt;55&lt;/volume&gt;&lt;number&gt;12&lt;/number&gt;&lt;keywords&gt;&lt;keyword&gt;aquatic hyphomycetes&lt;/keyword&gt;&lt;keyword&gt;litter breakdown&lt;/keyword&gt;&lt;keyword&gt;organic matter&lt;/keyword&gt;&lt;keyword&gt;river sediment&lt;/keyword&gt;&lt;keyword&gt;shredders&lt;/keyword&gt;&lt;/keywords&gt;&lt;dates&gt;&lt;year&gt;2010&lt;/year&gt;&lt;/dates&gt;&lt;publisher&gt;Blackwell Publishing Ltd&lt;/publisher&gt;&lt;isbn&gt;1365-2427&lt;/isbn&gt;&lt;urls&gt;&lt;related-urls&gt;&lt;url&gt;http://dx.doi.org/10.1111/j.1365-2427.2010.02483.x&lt;/url&gt;&lt;/related-urls&gt;&lt;/urls&gt;&lt;electronic-resource-num&gt;10.1111/j.1365-2427.2010.02483.x&lt;/electronic-resource-num&gt;&lt;/record&gt;&lt;/Cite&gt;&lt;/EndNote&gt;</w:instrText>
            </w:r>
            <w:r w:rsidRPr="00747E35">
              <w:rPr>
                <w:rFonts w:cstheme="minorHAnsi"/>
              </w:rPr>
              <w:fldChar w:fldCharType="separate"/>
            </w:r>
            <w:r w:rsidRPr="00747E35">
              <w:rPr>
                <w:rFonts w:cstheme="minorHAnsi"/>
                <w:noProof/>
              </w:rPr>
              <w:t>(2010)</w:t>
            </w:r>
            <w:r w:rsidRPr="00747E35">
              <w:rPr>
                <w:rFonts w:cstheme="minorHAnsi"/>
              </w:rPr>
              <w:fldChar w:fldCharType="end"/>
            </w:r>
          </w:p>
        </w:tc>
        <w:tc>
          <w:tcPr>
            <w:tcW w:w="1339" w:type="dxa"/>
          </w:tcPr>
          <w:p w14:paraId="3267C28D" w14:textId="77777777" w:rsidR="003D3694" w:rsidRPr="00747E35" w:rsidRDefault="003D3694" w:rsidP="0096743A">
            <w:pPr>
              <w:pStyle w:val="Tabletext"/>
              <w:spacing w:before="0" w:after="0"/>
              <w:rPr>
                <w:rFonts w:cstheme="minorHAnsi"/>
              </w:rPr>
            </w:pPr>
            <w:r w:rsidRPr="00747E35">
              <w:rPr>
                <w:rFonts w:cstheme="minorHAnsi"/>
              </w:rPr>
              <w:t>Perennial</w:t>
            </w:r>
          </w:p>
        </w:tc>
        <w:tc>
          <w:tcPr>
            <w:tcW w:w="1767" w:type="dxa"/>
          </w:tcPr>
          <w:p w14:paraId="519F5D4F" w14:textId="77777777" w:rsidR="003D3694" w:rsidRPr="00747E35" w:rsidRDefault="003D3694" w:rsidP="0096743A">
            <w:pPr>
              <w:pStyle w:val="Tabletext"/>
              <w:spacing w:before="0" w:after="0"/>
              <w:rPr>
                <w:rFonts w:cstheme="minorHAnsi"/>
              </w:rPr>
            </w:pPr>
            <w:r w:rsidRPr="00747E35">
              <w:rPr>
                <w:rFonts w:cstheme="minorHAnsi"/>
              </w:rPr>
              <w:t>Mountain climate</w:t>
            </w:r>
          </w:p>
        </w:tc>
        <w:tc>
          <w:tcPr>
            <w:tcW w:w="1600" w:type="dxa"/>
          </w:tcPr>
          <w:p w14:paraId="69CB817A" w14:textId="77777777" w:rsidR="003D3694" w:rsidRPr="00747E35" w:rsidRDefault="003D3694" w:rsidP="0096743A">
            <w:pPr>
              <w:pStyle w:val="Tabletext"/>
              <w:spacing w:before="0" w:after="0"/>
              <w:rPr>
                <w:rFonts w:cstheme="minorHAnsi"/>
              </w:rPr>
            </w:pPr>
            <w:r w:rsidRPr="00747E35">
              <w:rPr>
                <w:rFonts w:cstheme="minorHAnsi"/>
              </w:rPr>
              <w:t>Riffle</w:t>
            </w:r>
          </w:p>
        </w:tc>
        <w:tc>
          <w:tcPr>
            <w:tcW w:w="1622" w:type="dxa"/>
          </w:tcPr>
          <w:p w14:paraId="3F332719" w14:textId="77777777" w:rsidR="003D3694" w:rsidRPr="00747E35" w:rsidRDefault="003D3694" w:rsidP="0096743A">
            <w:pPr>
              <w:pStyle w:val="Tabletext"/>
              <w:spacing w:before="0" w:after="0"/>
              <w:rPr>
                <w:rFonts w:cstheme="minorHAnsi"/>
              </w:rPr>
            </w:pPr>
            <w:r w:rsidRPr="00747E35">
              <w:rPr>
                <w:rFonts w:cstheme="minorHAnsi"/>
              </w:rPr>
              <w:t>Coarse (5mm)</w:t>
            </w:r>
          </w:p>
        </w:tc>
        <w:tc>
          <w:tcPr>
            <w:tcW w:w="2152" w:type="dxa"/>
          </w:tcPr>
          <w:p w14:paraId="286FB4A3" w14:textId="77777777" w:rsidR="003D3694" w:rsidRPr="00847A55" w:rsidRDefault="003D3694" w:rsidP="0096743A">
            <w:pPr>
              <w:pStyle w:val="Tabletext"/>
              <w:spacing w:before="0" w:after="0"/>
              <w:rPr>
                <w:rFonts w:cstheme="minorHAnsi"/>
                <w:i/>
              </w:rPr>
            </w:pPr>
            <w:r w:rsidRPr="00847A55">
              <w:rPr>
                <w:rFonts w:cstheme="minorHAnsi"/>
                <w:i/>
              </w:rPr>
              <w:t>Alnus glutinosa</w:t>
            </w:r>
          </w:p>
        </w:tc>
        <w:tc>
          <w:tcPr>
            <w:tcW w:w="1510" w:type="dxa"/>
          </w:tcPr>
          <w:p w14:paraId="6071A0C9" w14:textId="77777777" w:rsidR="003D3694" w:rsidRPr="00747E35" w:rsidRDefault="003D3694" w:rsidP="0096743A">
            <w:pPr>
              <w:pStyle w:val="Tabletext"/>
              <w:spacing w:before="0" w:after="0"/>
              <w:rPr>
                <w:rFonts w:cstheme="minorHAnsi"/>
              </w:rPr>
            </w:pPr>
            <w:r w:rsidRPr="00747E35">
              <w:rPr>
                <w:rFonts w:cstheme="minorHAnsi"/>
              </w:rPr>
              <w:t>0.0292</w:t>
            </w:r>
          </w:p>
        </w:tc>
        <w:tc>
          <w:tcPr>
            <w:tcW w:w="1510" w:type="dxa"/>
          </w:tcPr>
          <w:p w14:paraId="02323B7B" w14:textId="77777777" w:rsidR="003D3694" w:rsidRPr="00747E35" w:rsidRDefault="003D3694" w:rsidP="0096743A">
            <w:pPr>
              <w:pStyle w:val="Tabletext"/>
              <w:spacing w:before="0" w:after="0"/>
              <w:rPr>
                <w:rFonts w:cstheme="minorHAnsi"/>
              </w:rPr>
            </w:pPr>
            <w:r w:rsidRPr="00747E35">
              <w:rPr>
                <w:rFonts w:cstheme="minorHAnsi"/>
              </w:rPr>
              <w:t>NA</w:t>
            </w:r>
          </w:p>
        </w:tc>
      </w:tr>
      <w:tr w:rsidR="003D3694" w:rsidRPr="00747E35" w14:paraId="19DF514E" w14:textId="77777777" w:rsidTr="0096743A">
        <w:trPr>
          <w:trHeight w:val="76"/>
        </w:trPr>
        <w:tc>
          <w:tcPr>
            <w:tcW w:w="1904" w:type="dxa"/>
          </w:tcPr>
          <w:p w14:paraId="66BB9718" w14:textId="77777777" w:rsidR="003D3694" w:rsidRPr="00747E35" w:rsidRDefault="003D3694" w:rsidP="0096743A">
            <w:pPr>
              <w:pStyle w:val="Tabletext"/>
              <w:spacing w:before="0" w:after="0"/>
              <w:rPr>
                <w:rFonts w:cstheme="minorHAnsi"/>
              </w:rPr>
            </w:pPr>
            <w:r w:rsidRPr="00747E35">
              <w:rPr>
                <w:rFonts w:cstheme="minorHAnsi"/>
              </w:rPr>
              <w:t xml:space="preserve">Cornut </w:t>
            </w:r>
            <w:r w:rsidRPr="00747E35">
              <w:rPr>
                <w:rFonts w:cstheme="minorHAnsi"/>
                <w:i/>
              </w:rPr>
              <w:t>et al.</w:t>
            </w:r>
            <w:r w:rsidRPr="00747E35">
              <w:rPr>
                <w:rFonts w:cstheme="minorHAnsi"/>
              </w:rPr>
              <w:t xml:space="preserve"> </w:t>
            </w:r>
            <w:r w:rsidRPr="00747E35">
              <w:rPr>
                <w:rFonts w:cstheme="minorHAnsi"/>
              </w:rPr>
              <w:fldChar w:fldCharType="begin"/>
            </w:r>
            <w:r w:rsidRPr="00747E35">
              <w:rPr>
                <w:rFonts w:cstheme="minorHAnsi"/>
              </w:rPr>
              <w:instrText xml:space="preserve"> ADDIN EN.CITE &lt;EndNote&gt;&lt;Cite ExcludeAuth="1"&gt;&lt;Author&gt;Cornut&lt;/Author&gt;&lt;Year&gt;2010&lt;/Year&gt;&lt;RecNum&gt;1316&lt;/RecNum&gt;&lt;DisplayText&gt;(2010)&lt;/DisplayText&gt;&lt;record&gt;&lt;rec-number&gt;1316&lt;/rec-number&gt;&lt;foreign-keys&gt;&lt;key app="EN" db-id="f09zwdf26xeasaevvsjxv00h9rx2v9xarfsw" timestamp="1477112579"&gt;1316&lt;/key&gt;&lt;/foreign-keys&gt;&lt;ref-type name="Journal Article"&gt;17&lt;/ref-type&gt;&lt;contributors&gt;&lt;authors&gt;&lt;author&gt;Cornut, Julien&lt;/author&gt;&lt;author&gt;Elger, Arnaud&lt;/author&gt;&lt;author&gt;Lambrigot, Didier&lt;/author&gt;&lt;author&gt;Marmonier, Pierre&lt;/author&gt;&lt;author&gt;Chauvet, Eric&lt;/author&gt;&lt;/authors&gt;&lt;/contributors&gt;&lt;titles&gt;&lt;title&gt;Early stages of leaf decomposition are mediated by aquatic fungi in the hyporheic zone of woodland streams&lt;/title&gt;&lt;secondary-title&gt;Freshwater Biology&lt;/secondary-title&gt;&lt;/titles&gt;&lt;periodical&gt;&lt;full-title&gt;Freshwater Biology&lt;/full-title&gt;&lt;/periodical&gt;&lt;pages&gt;2541-2556&lt;/pages&gt;&lt;volume&gt;55&lt;/volume&gt;&lt;number&gt;12&lt;/number&gt;&lt;keywords&gt;&lt;keyword&gt;aquatic hyphomycetes&lt;/keyword&gt;&lt;keyword&gt;litter breakdown&lt;/keyword&gt;&lt;keyword&gt;organic matter&lt;/keyword&gt;&lt;keyword&gt;river sediment&lt;/keyword&gt;&lt;keyword&gt;shredders&lt;/keyword&gt;&lt;/keywords&gt;&lt;dates&gt;&lt;year&gt;2010&lt;/year&gt;&lt;/dates&gt;&lt;publisher&gt;Blackwell Publishing Ltd&lt;/publisher&gt;&lt;isbn&gt;1365-2427&lt;/isbn&gt;&lt;urls&gt;&lt;related-urls&gt;&lt;url&gt;http://dx.doi.org/10.1111/j.1365-2427.2010.02483.x&lt;/url&gt;&lt;/related-urls&gt;&lt;/urls&gt;&lt;electronic-resource-num&gt;10.1111/j.1365-2427.2010.02483.x&lt;/electronic-resource-num&gt;&lt;/record&gt;&lt;/Cite&gt;&lt;/EndNote&gt;</w:instrText>
            </w:r>
            <w:r w:rsidRPr="00747E35">
              <w:rPr>
                <w:rFonts w:cstheme="minorHAnsi"/>
              </w:rPr>
              <w:fldChar w:fldCharType="separate"/>
            </w:r>
            <w:r w:rsidRPr="00747E35">
              <w:rPr>
                <w:rFonts w:cstheme="minorHAnsi"/>
                <w:noProof/>
              </w:rPr>
              <w:t>(2010)</w:t>
            </w:r>
            <w:r w:rsidRPr="00747E35">
              <w:rPr>
                <w:rFonts w:cstheme="minorHAnsi"/>
              </w:rPr>
              <w:fldChar w:fldCharType="end"/>
            </w:r>
          </w:p>
        </w:tc>
        <w:tc>
          <w:tcPr>
            <w:tcW w:w="1339" w:type="dxa"/>
          </w:tcPr>
          <w:p w14:paraId="45A06C94" w14:textId="77777777" w:rsidR="003D3694" w:rsidRPr="00747E35" w:rsidRDefault="003D3694" w:rsidP="0096743A">
            <w:pPr>
              <w:pStyle w:val="Tabletext"/>
              <w:spacing w:before="0" w:after="0"/>
              <w:rPr>
                <w:rFonts w:cstheme="minorHAnsi"/>
              </w:rPr>
            </w:pPr>
            <w:r w:rsidRPr="00747E35">
              <w:rPr>
                <w:rFonts w:cstheme="minorHAnsi"/>
              </w:rPr>
              <w:t>Perennial</w:t>
            </w:r>
          </w:p>
        </w:tc>
        <w:tc>
          <w:tcPr>
            <w:tcW w:w="1767" w:type="dxa"/>
          </w:tcPr>
          <w:p w14:paraId="36724315" w14:textId="77777777" w:rsidR="003D3694" w:rsidRPr="00747E35" w:rsidRDefault="003D3694" w:rsidP="0096743A">
            <w:pPr>
              <w:pStyle w:val="Tabletext"/>
              <w:spacing w:before="0" w:after="0"/>
              <w:rPr>
                <w:rFonts w:cstheme="minorHAnsi"/>
              </w:rPr>
            </w:pPr>
            <w:r w:rsidRPr="00747E35">
              <w:rPr>
                <w:rFonts w:cstheme="minorHAnsi"/>
              </w:rPr>
              <w:t>Mountain climate</w:t>
            </w:r>
          </w:p>
        </w:tc>
        <w:tc>
          <w:tcPr>
            <w:tcW w:w="1600" w:type="dxa"/>
          </w:tcPr>
          <w:p w14:paraId="588443E2" w14:textId="77777777" w:rsidR="003D3694" w:rsidRPr="00747E35" w:rsidRDefault="003D3694" w:rsidP="0096743A">
            <w:pPr>
              <w:pStyle w:val="Tabletext"/>
              <w:spacing w:before="0" w:after="0"/>
              <w:rPr>
                <w:rFonts w:cstheme="minorHAnsi"/>
              </w:rPr>
            </w:pPr>
            <w:r w:rsidRPr="00747E35">
              <w:rPr>
                <w:rFonts w:cstheme="minorHAnsi"/>
              </w:rPr>
              <w:t>Hyporheic</w:t>
            </w:r>
          </w:p>
        </w:tc>
        <w:tc>
          <w:tcPr>
            <w:tcW w:w="1622" w:type="dxa"/>
          </w:tcPr>
          <w:p w14:paraId="652D2B56" w14:textId="77777777" w:rsidR="003D3694" w:rsidRPr="00747E35" w:rsidRDefault="003D3694" w:rsidP="0096743A">
            <w:pPr>
              <w:pStyle w:val="Tabletext"/>
              <w:spacing w:before="0" w:after="0"/>
              <w:rPr>
                <w:rFonts w:cstheme="minorHAnsi"/>
              </w:rPr>
            </w:pPr>
            <w:r w:rsidRPr="00747E35">
              <w:rPr>
                <w:rFonts w:cstheme="minorHAnsi"/>
              </w:rPr>
              <w:t>Coarse (5mm)</w:t>
            </w:r>
          </w:p>
        </w:tc>
        <w:tc>
          <w:tcPr>
            <w:tcW w:w="2152" w:type="dxa"/>
          </w:tcPr>
          <w:p w14:paraId="10E47436" w14:textId="77777777" w:rsidR="003D3694" w:rsidRPr="00847A55" w:rsidRDefault="003D3694" w:rsidP="0096743A">
            <w:pPr>
              <w:pStyle w:val="Tabletext"/>
              <w:spacing w:before="0" w:after="0"/>
              <w:rPr>
                <w:rFonts w:cstheme="minorHAnsi"/>
                <w:i/>
              </w:rPr>
            </w:pPr>
            <w:r w:rsidRPr="00847A55">
              <w:rPr>
                <w:rFonts w:cstheme="minorHAnsi"/>
                <w:i/>
              </w:rPr>
              <w:t>Alnus glutinosa</w:t>
            </w:r>
          </w:p>
        </w:tc>
        <w:tc>
          <w:tcPr>
            <w:tcW w:w="1510" w:type="dxa"/>
          </w:tcPr>
          <w:p w14:paraId="274AF9A9" w14:textId="77777777" w:rsidR="003D3694" w:rsidRPr="00747E35" w:rsidRDefault="003D3694" w:rsidP="0096743A">
            <w:pPr>
              <w:pStyle w:val="Tabletext"/>
              <w:spacing w:before="0" w:after="0"/>
              <w:rPr>
                <w:rFonts w:cstheme="minorHAnsi"/>
              </w:rPr>
            </w:pPr>
            <w:r w:rsidRPr="00747E35">
              <w:rPr>
                <w:rFonts w:cstheme="minorHAnsi"/>
              </w:rPr>
              <w:t>0.0103</w:t>
            </w:r>
          </w:p>
        </w:tc>
        <w:tc>
          <w:tcPr>
            <w:tcW w:w="1510" w:type="dxa"/>
          </w:tcPr>
          <w:p w14:paraId="02588B29" w14:textId="77777777" w:rsidR="003D3694" w:rsidRPr="00747E35" w:rsidRDefault="003D3694" w:rsidP="0096743A">
            <w:pPr>
              <w:pStyle w:val="Tabletext"/>
              <w:spacing w:before="0" w:after="0"/>
              <w:rPr>
                <w:rFonts w:cstheme="minorHAnsi"/>
              </w:rPr>
            </w:pPr>
            <w:r w:rsidRPr="00747E35">
              <w:rPr>
                <w:rFonts w:cstheme="minorHAnsi"/>
              </w:rPr>
              <w:t>NA</w:t>
            </w:r>
          </w:p>
        </w:tc>
      </w:tr>
    </w:tbl>
    <w:p w14:paraId="273ED3AA" w14:textId="77777777" w:rsidR="003D3694" w:rsidRPr="00747E35" w:rsidRDefault="003D3694" w:rsidP="003D3694">
      <w:pPr>
        <w:pStyle w:val="Caption"/>
        <w:rPr>
          <w:rFonts w:cstheme="minorHAnsi"/>
        </w:rPr>
        <w:sectPr w:rsidR="003D3694" w:rsidRPr="00747E35" w:rsidSect="0096743A">
          <w:pgSz w:w="16838" w:h="11906" w:orient="landscape"/>
          <w:pgMar w:top="1440" w:right="1440" w:bottom="1440" w:left="1440" w:header="709" w:footer="709" w:gutter="0"/>
          <w:cols w:space="708"/>
          <w:docGrid w:linePitch="360"/>
        </w:sectPr>
      </w:pPr>
    </w:p>
    <w:p w14:paraId="304ADF53"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1FA72AFB" wp14:editId="55B387A9">
            <wp:extent cx="4333762" cy="3274828"/>
            <wp:effectExtent l="0" t="0" r="0" b="1905"/>
            <wp:docPr id="7208" name="Picture 7208" descr="Box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erPerMassLoss_LeafSurfHyp.tif"/>
                    <pic:cNvPicPr/>
                  </pic:nvPicPr>
                  <pic:blipFill>
                    <a:blip r:embed="rId91" cstate="screen">
                      <a:extLst>
                        <a:ext uri="{28A0092B-C50C-407E-A947-70E740481C1C}">
                          <a14:useLocalDpi xmlns:a14="http://schemas.microsoft.com/office/drawing/2010/main"/>
                        </a:ext>
                      </a:extLst>
                    </a:blip>
                    <a:stretch>
                      <a:fillRect/>
                    </a:stretch>
                  </pic:blipFill>
                  <pic:spPr>
                    <a:xfrm>
                      <a:off x="0" y="0"/>
                      <a:ext cx="4343037" cy="3281837"/>
                    </a:xfrm>
                    <a:prstGeom prst="rect">
                      <a:avLst/>
                    </a:prstGeom>
                  </pic:spPr>
                </pic:pic>
              </a:graphicData>
            </a:graphic>
          </wp:inline>
        </w:drawing>
      </w:r>
    </w:p>
    <w:p w14:paraId="43664054" w14:textId="29249731" w:rsidR="003D3694" w:rsidRPr="00747E35" w:rsidRDefault="003D3694" w:rsidP="00566456">
      <w:pPr>
        <w:pStyle w:val="Caption"/>
        <w:numPr>
          <w:ilvl w:val="0"/>
          <w:numId w:val="0"/>
        </w:numPr>
        <w:rPr>
          <w:rFonts w:cstheme="minorHAnsi"/>
        </w:rPr>
      </w:pPr>
      <w:bookmarkStart w:id="138" w:name="_Ref466024284"/>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46</w:t>
      </w:r>
      <w:r w:rsidR="009D6600" w:rsidRPr="00747E35">
        <w:rPr>
          <w:rFonts w:cstheme="minorHAnsi"/>
          <w:noProof/>
        </w:rPr>
        <w:fldChar w:fldCharType="end"/>
      </w:r>
      <w:bookmarkEnd w:id="138"/>
      <w:r w:rsidRPr="00747E35">
        <w:rPr>
          <w:rFonts w:cstheme="minorHAnsi"/>
        </w:rPr>
        <w:t>. Box-whisker plots displaying the median, lower and upper quartiles (25% and 75%), and minimum and maximum values excluding outliers (dots) of the percent mass remaining of leaf litter bags (pooling fine- and coarse-mesh litter bags) that were deployed in the upper Bremer River catchment study sites in a) gravel bar, b) pool, and c) riffle habitat in surface and hyporheic environments during two experimental incubation periods (experiment one = 1</w:t>
      </w:r>
      <w:r w:rsidRPr="00747E35">
        <w:rPr>
          <w:rFonts w:cstheme="minorHAnsi"/>
          <w:vertAlign w:val="superscript"/>
        </w:rPr>
        <w:t>st</w:t>
      </w:r>
      <w:r w:rsidRPr="00747E35">
        <w:rPr>
          <w:rFonts w:cstheme="minorHAnsi"/>
        </w:rPr>
        <w:t>-4</w:t>
      </w:r>
      <w:r w:rsidRPr="00747E35">
        <w:rPr>
          <w:rFonts w:cstheme="minorHAnsi"/>
          <w:vertAlign w:val="superscript"/>
        </w:rPr>
        <w:t>th</w:t>
      </w:r>
      <w:r w:rsidRPr="00747E35">
        <w:rPr>
          <w:rFonts w:cstheme="minorHAnsi"/>
        </w:rPr>
        <w:t xml:space="preserve"> September 2015 – 2</w:t>
      </w:r>
      <w:r w:rsidRPr="00747E35">
        <w:rPr>
          <w:rFonts w:cstheme="minorHAnsi"/>
          <w:vertAlign w:val="superscript"/>
        </w:rPr>
        <w:t>nd</w:t>
      </w:r>
      <w:r w:rsidRPr="00747E35">
        <w:rPr>
          <w:rFonts w:cstheme="minorHAnsi"/>
        </w:rPr>
        <w:t>-4</w:t>
      </w:r>
      <w:r w:rsidRPr="00747E35">
        <w:rPr>
          <w:rFonts w:cstheme="minorHAnsi"/>
          <w:vertAlign w:val="superscript"/>
        </w:rPr>
        <w:t>th</w:t>
      </w:r>
      <w:r w:rsidRPr="00747E35">
        <w:rPr>
          <w:rFonts w:cstheme="minorHAnsi"/>
        </w:rPr>
        <w:t xml:space="preserve"> November; experiment two = 8</w:t>
      </w:r>
      <w:r w:rsidRPr="00747E35">
        <w:rPr>
          <w:rFonts w:cstheme="minorHAnsi"/>
          <w:vertAlign w:val="superscript"/>
        </w:rPr>
        <w:t>th</w:t>
      </w:r>
      <w:r w:rsidRPr="00747E35">
        <w:rPr>
          <w:rFonts w:cstheme="minorHAnsi"/>
        </w:rPr>
        <w:t>-11</w:t>
      </w:r>
      <w:r w:rsidRPr="00747E35">
        <w:rPr>
          <w:rFonts w:cstheme="minorHAnsi"/>
          <w:vertAlign w:val="superscript"/>
        </w:rPr>
        <w:t>th</w:t>
      </w:r>
      <w:r w:rsidRPr="00747E35">
        <w:rPr>
          <w:rFonts w:cstheme="minorHAnsi"/>
        </w:rPr>
        <w:t xml:space="preserve"> February 2016 – 11</w:t>
      </w:r>
      <w:r w:rsidRPr="00747E35">
        <w:rPr>
          <w:rFonts w:cstheme="minorHAnsi"/>
          <w:vertAlign w:val="superscript"/>
        </w:rPr>
        <w:t>th</w:t>
      </w:r>
      <w:r w:rsidRPr="00747E35">
        <w:rPr>
          <w:rFonts w:cstheme="minorHAnsi"/>
        </w:rPr>
        <w:t>-12</w:t>
      </w:r>
      <w:r w:rsidRPr="00747E35">
        <w:rPr>
          <w:rFonts w:cstheme="minorHAnsi"/>
          <w:vertAlign w:val="superscript"/>
        </w:rPr>
        <w:t>th</w:t>
      </w:r>
      <w:r w:rsidRPr="00747E35">
        <w:rPr>
          <w:rFonts w:cstheme="minorHAnsi"/>
        </w:rPr>
        <w:t xml:space="preserve"> April). An asterisk indicates significant differences among depth treatments in each habitat and experiment combination from pairwise comparisons. Less leaf mass remains in the hyporheic zone than in paired surface environment; however, this difference is less pronounced in wetter surface envir</w:t>
      </w:r>
      <w:r w:rsidR="00847A55">
        <w:rPr>
          <w:rFonts w:cstheme="minorHAnsi"/>
        </w:rPr>
        <w:t>o</w:t>
      </w:r>
      <w:r w:rsidRPr="00747E35">
        <w:rPr>
          <w:rFonts w:cstheme="minorHAnsi"/>
        </w:rPr>
        <w:t>nments (i.e. pools and riffles).</w:t>
      </w:r>
    </w:p>
    <w:p w14:paraId="44BEB3CD"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11DC490C" wp14:editId="77A32BC4">
            <wp:extent cx="5714392" cy="2700670"/>
            <wp:effectExtent l="0" t="0" r="635" b="4445"/>
            <wp:docPr id="7209" name="Picture 7209" descr="Box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tton_depth_habitat_experiment.tif"/>
                    <pic:cNvPicPr/>
                  </pic:nvPicPr>
                  <pic:blipFill>
                    <a:blip r:embed="rId92" cstate="screen">
                      <a:extLst>
                        <a:ext uri="{28A0092B-C50C-407E-A947-70E740481C1C}">
                          <a14:useLocalDpi xmlns:a14="http://schemas.microsoft.com/office/drawing/2010/main"/>
                        </a:ext>
                      </a:extLst>
                    </a:blip>
                    <a:stretch>
                      <a:fillRect/>
                    </a:stretch>
                  </pic:blipFill>
                  <pic:spPr>
                    <a:xfrm>
                      <a:off x="0" y="0"/>
                      <a:ext cx="5730765" cy="2708408"/>
                    </a:xfrm>
                    <a:prstGeom prst="rect">
                      <a:avLst/>
                    </a:prstGeom>
                  </pic:spPr>
                </pic:pic>
              </a:graphicData>
            </a:graphic>
          </wp:inline>
        </w:drawing>
      </w:r>
    </w:p>
    <w:p w14:paraId="63049EC8" w14:textId="7BC8F316" w:rsidR="003D3694" w:rsidRPr="00747E35" w:rsidRDefault="003D3694" w:rsidP="00566456">
      <w:pPr>
        <w:pStyle w:val="Caption"/>
        <w:numPr>
          <w:ilvl w:val="0"/>
          <w:numId w:val="0"/>
        </w:numPr>
        <w:rPr>
          <w:rFonts w:cstheme="minorHAnsi"/>
        </w:rPr>
      </w:pPr>
      <w:bookmarkStart w:id="139" w:name="_Ref466024288"/>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47</w:t>
      </w:r>
      <w:r w:rsidR="009D6600" w:rsidRPr="00747E35">
        <w:rPr>
          <w:rFonts w:cstheme="minorHAnsi"/>
          <w:noProof/>
        </w:rPr>
        <w:fldChar w:fldCharType="end"/>
      </w:r>
      <w:bookmarkEnd w:id="139"/>
      <w:r w:rsidRPr="00747E35">
        <w:rPr>
          <w:rFonts w:cstheme="minorHAnsi"/>
        </w:rPr>
        <w:t>. Box-whisker plots displaying the median, lower and upper quartiles (25% and 75%), and minimum and maximum values excluding outliers (dots) of the cotton tensile force ratio of cotton strips that were deployed in the upper Bremer River catchment study sites in a) gravel bar, b) riffle, and c) pool habitat in surface and hyporheic environments during four experimental incubation periods (experiment one, 3</w:t>
      </w:r>
      <w:r w:rsidRPr="00747E35">
        <w:rPr>
          <w:rFonts w:cstheme="minorHAnsi"/>
          <w:vertAlign w:val="superscript"/>
        </w:rPr>
        <w:t>rd</w:t>
      </w:r>
      <w:r w:rsidRPr="00747E35">
        <w:rPr>
          <w:rFonts w:cstheme="minorHAnsi"/>
        </w:rPr>
        <w:t>-4</w:t>
      </w:r>
      <w:r w:rsidRPr="00747E35">
        <w:rPr>
          <w:rFonts w:cstheme="minorHAnsi"/>
          <w:vertAlign w:val="superscript"/>
        </w:rPr>
        <w:t>th</w:t>
      </w:r>
      <w:r w:rsidRPr="00747E35">
        <w:rPr>
          <w:rFonts w:cstheme="minorHAnsi"/>
        </w:rPr>
        <w:t xml:space="preserve"> November 2015 – 2</w:t>
      </w:r>
      <w:r w:rsidRPr="00747E35">
        <w:rPr>
          <w:rFonts w:cstheme="minorHAnsi"/>
          <w:vertAlign w:val="superscript"/>
        </w:rPr>
        <w:t>nd</w:t>
      </w:r>
      <w:r w:rsidRPr="00747E35">
        <w:rPr>
          <w:rFonts w:cstheme="minorHAnsi"/>
        </w:rPr>
        <w:t>-4</w:t>
      </w:r>
      <w:r w:rsidRPr="00747E35">
        <w:rPr>
          <w:rFonts w:cstheme="minorHAnsi"/>
          <w:vertAlign w:val="superscript"/>
        </w:rPr>
        <w:t>th</w:t>
      </w:r>
      <w:r w:rsidRPr="00747E35">
        <w:rPr>
          <w:rFonts w:cstheme="minorHAnsi"/>
        </w:rPr>
        <w:t xml:space="preserve"> December; experiment two, 12</w:t>
      </w:r>
      <w:r w:rsidRPr="00747E35">
        <w:rPr>
          <w:rFonts w:cstheme="minorHAnsi"/>
          <w:vertAlign w:val="superscript"/>
        </w:rPr>
        <w:t>th</w:t>
      </w:r>
      <w:r w:rsidRPr="00747E35">
        <w:rPr>
          <w:rFonts w:cstheme="minorHAnsi"/>
        </w:rPr>
        <w:t>-14</w:t>
      </w:r>
      <w:r w:rsidRPr="00747E35">
        <w:rPr>
          <w:rFonts w:cstheme="minorHAnsi"/>
          <w:vertAlign w:val="superscript"/>
        </w:rPr>
        <w:t>th</w:t>
      </w:r>
      <w:r w:rsidRPr="00747E35">
        <w:rPr>
          <w:rFonts w:cstheme="minorHAnsi"/>
        </w:rPr>
        <w:t xml:space="preserve"> January 2016 – 8</w:t>
      </w:r>
      <w:r w:rsidRPr="00747E35">
        <w:rPr>
          <w:rFonts w:cstheme="minorHAnsi"/>
          <w:vertAlign w:val="superscript"/>
        </w:rPr>
        <w:t>th</w:t>
      </w:r>
      <w:r w:rsidRPr="00747E35">
        <w:rPr>
          <w:rFonts w:cstheme="minorHAnsi"/>
        </w:rPr>
        <w:t>-11</w:t>
      </w:r>
      <w:r w:rsidRPr="00747E35">
        <w:rPr>
          <w:rFonts w:cstheme="minorHAnsi"/>
          <w:vertAlign w:val="superscript"/>
        </w:rPr>
        <w:t>th</w:t>
      </w:r>
      <w:r w:rsidRPr="00747E35">
        <w:rPr>
          <w:rFonts w:cstheme="minorHAnsi"/>
        </w:rPr>
        <w:t xml:space="preserve"> February; experiment three, 8</w:t>
      </w:r>
      <w:r w:rsidRPr="00747E35">
        <w:rPr>
          <w:rFonts w:cstheme="minorHAnsi"/>
          <w:vertAlign w:val="superscript"/>
        </w:rPr>
        <w:t>th</w:t>
      </w:r>
      <w:r w:rsidRPr="00747E35">
        <w:rPr>
          <w:rFonts w:cstheme="minorHAnsi"/>
        </w:rPr>
        <w:t>-11</w:t>
      </w:r>
      <w:r w:rsidRPr="00747E35">
        <w:rPr>
          <w:rFonts w:cstheme="minorHAnsi"/>
          <w:vertAlign w:val="superscript"/>
        </w:rPr>
        <w:t>th</w:t>
      </w:r>
      <w:r w:rsidRPr="00747E35">
        <w:rPr>
          <w:rFonts w:cstheme="minorHAnsi"/>
        </w:rPr>
        <w:t xml:space="preserve"> February – 7</w:t>
      </w:r>
      <w:r w:rsidRPr="00747E35">
        <w:rPr>
          <w:rFonts w:cstheme="minorHAnsi"/>
          <w:vertAlign w:val="superscript"/>
        </w:rPr>
        <w:t>th</w:t>
      </w:r>
      <w:r w:rsidRPr="00747E35">
        <w:rPr>
          <w:rFonts w:cstheme="minorHAnsi"/>
        </w:rPr>
        <w:t>-10</w:t>
      </w:r>
      <w:r w:rsidRPr="00747E35">
        <w:rPr>
          <w:rFonts w:cstheme="minorHAnsi"/>
          <w:vertAlign w:val="superscript"/>
        </w:rPr>
        <w:t>th</w:t>
      </w:r>
      <w:r w:rsidRPr="00747E35">
        <w:rPr>
          <w:rFonts w:cstheme="minorHAnsi"/>
        </w:rPr>
        <w:t xml:space="preserve"> March 2016; experiment four, 11</w:t>
      </w:r>
      <w:r w:rsidRPr="00747E35">
        <w:rPr>
          <w:rFonts w:cstheme="minorHAnsi"/>
          <w:vertAlign w:val="superscript"/>
        </w:rPr>
        <w:t>th</w:t>
      </w:r>
      <w:r w:rsidRPr="00747E35">
        <w:rPr>
          <w:rFonts w:cstheme="minorHAnsi"/>
        </w:rPr>
        <w:t>-12</w:t>
      </w:r>
      <w:r w:rsidRPr="00747E35">
        <w:rPr>
          <w:rFonts w:cstheme="minorHAnsi"/>
          <w:vertAlign w:val="superscript"/>
        </w:rPr>
        <w:t>th</w:t>
      </w:r>
      <w:r w:rsidRPr="00747E35">
        <w:rPr>
          <w:rFonts w:cstheme="minorHAnsi"/>
        </w:rPr>
        <w:t xml:space="preserve"> April – 9</w:t>
      </w:r>
      <w:r w:rsidRPr="00747E35">
        <w:rPr>
          <w:rFonts w:cstheme="minorHAnsi"/>
          <w:vertAlign w:val="superscript"/>
        </w:rPr>
        <w:t>th</w:t>
      </w:r>
      <w:r w:rsidRPr="00747E35">
        <w:rPr>
          <w:rFonts w:cstheme="minorHAnsi"/>
        </w:rPr>
        <w:t>-12</w:t>
      </w:r>
      <w:r w:rsidRPr="00747E35">
        <w:rPr>
          <w:rFonts w:cstheme="minorHAnsi"/>
          <w:vertAlign w:val="superscript"/>
        </w:rPr>
        <w:t>th</w:t>
      </w:r>
      <w:r w:rsidRPr="00747E35">
        <w:rPr>
          <w:rFonts w:cstheme="minorHAnsi"/>
        </w:rPr>
        <w:t xml:space="preserve"> May 2016). Force ratio values closer to one represent less cellulose decomposition than values closer to zero. An asterisk indicates significant differences among depth treatments in each habitat and experiment combination from pairwise comparisons. There is more cellulose decomposition (i.e. lower cotton tensile force ratio) in the hyporheic zone compared to paired surface environment; however, this difference is less pronounced in wetter surface envir</w:t>
      </w:r>
      <w:r w:rsidR="00847A55">
        <w:rPr>
          <w:rFonts w:cstheme="minorHAnsi"/>
        </w:rPr>
        <w:t>o</w:t>
      </w:r>
      <w:r w:rsidRPr="00747E35">
        <w:rPr>
          <w:rFonts w:cstheme="minorHAnsi"/>
        </w:rPr>
        <w:t>nments (i.e. pools and riffles).</w:t>
      </w:r>
    </w:p>
    <w:p w14:paraId="434C3A4B" w14:textId="77777777" w:rsidR="003D3694" w:rsidRPr="00747E35" w:rsidRDefault="003D3694" w:rsidP="003D3694">
      <w:pPr>
        <w:rPr>
          <w:rFonts w:asciiTheme="minorHAnsi" w:hAnsiTheme="minorHAnsi" w:cstheme="minorHAnsi"/>
        </w:rPr>
      </w:pPr>
    </w:p>
    <w:p w14:paraId="5E652EB4"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377B3C84" wp14:editId="670218DC">
            <wp:extent cx="5600590" cy="3359888"/>
            <wp:effectExtent l="0" t="0" r="635" b="0"/>
            <wp:docPr id="7210" name="Picture 7210" descr="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FR_depth.tif"/>
                    <pic:cNvPicPr/>
                  </pic:nvPicPr>
                  <pic:blipFill>
                    <a:blip r:embed="rId93" cstate="screen">
                      <a:extLst>
                        <a:ext uri="{28A0092B-C50C-407E-A947-70E740481C1C}">
                          <a14:useLocalDpi xmlns:a14="http://schemas.microsoft.com/office/drawing/2010/main"/>
                        </a:ext>
                      </a:extLst>
                    </a:blip>
                    <a:stretch>
                      <a:fillRect/>
                    </a:stretch>
                  </pic:blipFill>
                  <pic:spPr>
                    <a:xfrm>
                      <a:off x="0" y="0"/>
                      <a:ext cx="5606708" cy="3363558"/>
                    </a:xfrm>
                    <a:prstGeom prst="rect">
                      <a:avLst/>
                    </a:prstGeom>
                  </pic:spPr>
                </pic:pic>
              </a:graphicData>
            </a:graphic>
          </wp:inline>
        </w:drawing>
      </w:r>
    </w:p>
    <w:p w14:paraId="6ABD98F6" w14:textId="77777777" w:rsidR="003D3694" w:rsidRPr="00747E35" w:rsidRDefault="003D3694" w:rsidP="00566456">
      <w:pPr>
        <w:pStyle w:val="Caption"/>
        <w:numPr>
          <w:ilvl w:val="0"/>
          <w:numId w:val="0"/>
        </w:numPr>
        <w:rPr>
          <w:rFonts w:cstheme="minorHAnsi"/>
        </w:rPr>
      </w:pPr>
      <w:bookmarkStart w:id="140" w:name="_Ref466024335"/>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48</w:t>
      </w:r>
      <w:r w:rsidR="009D6600" w:rsidRPr="00747E35">
        <w:rPr>
          <w:rFonts w:cstheme="minorHAnsi"/>
          <w:noProof/>
        </w:rPr>
        <w:fldChar w:fldCharType="end"/>
      </w:r>
      <w:bookmarkEnd w:id="140"/>
      <w:r w:rsidRPr="00747E35">
        <w:rPr>
          <w:rFonts w:cstheme="minorHAnsi"/>
        </w:rPr>
        <w:t>. The mean cotton tensile force ratio of replicate cotton strips in each habitat and site plotted against mean pool depth at each site.</w:t>
      </w:r>
      <w:r w:rsidRPr="00747E35">
        <w:rPr>
          <w:rFonts w:cstheme="minorHAnsi"/>
          <w:lang w:eastAsia="en-AU"/>
        </w:rPr>
        <w:t xml:space="preserve"> Negative depths occur because the base of each water height logger was lower than the pool bottom. </w:t>
      </w:r>
      <w:r w:rsidRPr="00747E35">
        <w:rPr>
          <w:rFonts w:cstheme="minorHAnsi"/>
        </w:rPr>
        <w:t>Cellulose decomposition is greater (i.e. lower cotton tensile force ratio) when mean pool depth at each site is greater.</w:t>
      </w:r>
    </w:p>
    <w:p w14:paraId="12BDB83E"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1AEEADF5" wp14:editId="5FEA703F">
            <wp:extent cx="4990416" cy="3678866"/>
            <wp:effectExtent l="0" t="0" r="1270" b="0"/>
            <wp:docPr id="7211" name="Picture 7211" descr="Box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FR_WaterStatusRank.tif"/>
                    <pic:cNvPicPr/>
                  </pic:nvPicPr>
                  <pic:blipFill>
                    <a:blip r:embed="rId94" cstate="screen">
                      <a:extLst>
                        <a:ext uri="{28A0092B-C50C-407E-A947-70E740481C1C}">
                          <a14:useLocalDpi xmlns:a14="http://schemas.microsoft.com/office/drawing/2010/main"/>
                        </a:ext>
                      </a:extLst>
                    </a:blip>
                    <a:stretch>
                      <a:fillRect/>
                    </a:stretch>
                  </pic:blipFill>
                  <pic:spPr>
                    <a:xfrm>
                      <a:off x="0" y="0"/>
                      <a:ext cx="5014463" cy="3696593"/>
                    </a:xfrm>
                    <a:prstGeom prst="rect">
                      <a:avLst/>
                    </a:prstGeom>
                  </pic:spPr>
                </pic:pic>
              </a:graphicData>
            </a:graphic>
          </wp:inline>
        </w:drawing>
      </w:r>
    </w:p>
    <w:p w14:paraId="1351CC56" w14:textId="77777777" w:rsidR="003D3694" w:rsidRPr="00747E35" w:rsidRDefault="003D3694" w:rsidP="00566456">
      <w:pPr>
        <w:pStyle w:val="Caption"/>
        <w:numPr>
          <w:ilvl w:val="0"/>
          <w:numId w:val="0"/>
        </w:numPr>
        <w:rPr>
          <w:rFonts w:cstheme="minorHAnsi"/>
        </w:rPr>
      </w:pPr>
      <w:bookmarkStart w:id="141" w:name="_Ref466024399"/>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49</w:t>
      </w:r>
      <w:r w:rsidR="009D6600" w:rsidRPr="00747E35">
        <w:rPr>
          <w:rFonts w:cstheme="minorHAnsi"/>
          <w:noProof/>
        </w:rPr>
        <w:fldChar w:fldCharType="end"/>
      </w:r>
      <w:bookmarkEnd w:id="141"/>
      <w:r w:rsidRPr="00747E35">
        <w:rPr>
          <w:rFonts w:cstheme="minorHAnsi"/>
        </w:rPr>
        <w:t>. Box-whisker plots displaying the median, lower and upper quartiles (25% and 75%), and minimum and maximum values excluding outliers (dots) of the cotton tensile force ratio of cotton strips in six categories of substrate moisture status. Moisture status categories: dry-dry = 1; dry-moist = 2; moist-dry = 2; dry-saturated = 3; saturated-dry = 3; moist-moist = 4; moist-wet =5; wet-moist = 5; wet-wet = 6. Letters denote significant differences among moisture status categories (i.e. bars with the same letter are not significantly different). Force ratio values closer to one represent less cellulose decomposition than values closer to zero. Cellulose decomposition is greater (i.e. lower cotton tensile force ratio) when the substrate is wetter over the incubation period.</w:t>
      </w:r>
    </w:p>
    <w:p w14:paraId="4418C05B" w14:textId="77777777" w:rsidR="003D3694" w:rsidRPr="00747E35" w:rsidRDefault="003D3694" w:rsidP="003D3694">
      <w:pPr>
        <w:rPr>
          <w:rFonts w:asciiTheme="minorHAnsi" w:hAnsiTheme="minorHAnsi" w:cstheme="minorHAnsi"/>
        </w:rPr>
      </w:pPr>
    </w:p>
    <w:p w14:paraId="049836FB"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4306F3A9" wp14:editId="50F47719">
            <wp:extent cx="6120130" cy="4437380"/>
            <wp:effectExtent l="0" t="0" r="0" b="1270"/>
            <wp:docPr id="7212" name="Picture 7212" descr="Box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erPerMassRemain_WaterStatusRank.tif"/>
                    <pic:cNvPicPr/>
                  </pic:nvPicPr>
                  <pic:blipFill>
                    <a:blip r:embed="rId95" cstate="screen">
                      <a:extLst>
                        <a:ext uri="{28A0092B-C50C-407E-A947-70E740481C1C}">
                          <a14:useLocalDpi xmlns:a14="http://schemas.microsoft.com/office/drawing/2010/main"/>
                        </a:ext>
                      </a:extLst>
                    </a:blip>
                    <a:stretch>
                      <a:fillRect/>
                    </a:stretch>
                  </pic:blipFill>
                  <pic:spPr>
                    <a:xfrm>
                      <a:off x="0" y="0"/>
                      <a:ext cx="6120130" cy="4437380"/>
                    </a:xfrm>
                    <a:prstGeom prst="rect">
                      <a:avLst/>
                    </a:prstGeom>
                  </pic:spPr>
                </pic:pic>
              </a:graphicData>
            </a:graphic>
          </wp:inline>
        </w:drawing>
      </w:r>
    </w:p>
    <w:p w14:paraId="5E81FF71" w14:textId="77777777" w:rsidR="003D3694" w:rsidRPr="00747E35" w:rsidRDefault="003D3694" w:rsidP="00566456">
      <w:pPr>
        <w:pStyle w:val="Caption"/>
        <w:numPr>
          <w:ilvl w:val="0"/>
          <w:numId w:val="0"/>
        </w:numPr>
        <w:rPr>
          <w:rFonts w:cstheme="minorHAnsi"/>
        </w:rPr>
      </w:pPr>
      <w:bookmarkStart w:id="142" w:name="_Ref466024403"/>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50</w:t>
      </w:r>
      <w:r w:rsidR="009D6600" w:rsidRPr="00747E35">
        <w:rPr>
          <w:rFonts w:cstheme="minorHAnsi"/>
          <w:noProof/>
        </w:rPr>
        <w:fldChar w:fldCharType="end"/>
      </w:r>
      <w:bookmarkEnd w:id="142"/>
      <w:r w:rsidRPr="00747E35">
        <w:rPr>
          <w:rFonts w:cstheme="minorHAnsi"/>
        </w:rPr>
        <w:t>. Box-whisker plots displaying the median, lower and upper quartiles (25% and 75%), and minimum and maximum values excluding outliers (dots) of the % leaf mass remaining in fine- and coarse-mesh litter bags (pooled for analysis) in six categories of substrate moisture status and in two experimental periods. Moisture status categories: dry-dry = 1; dry-moist = 2; moist-dry = 2; dry-saturated = 3; saturated-dry = 3; moist-moist = 4; moist-wet =5; wet-moist = 5; wet-wet = 6. Letters denote significant differences among moisture status categories. Leaf decomposition is greater (i.e. lower % leaf mass remaining) when the substrate is wetter over the incubation period.</w:t>
      </w:r>
    </w:p>
    <w:p w14:paraId="3C317E19" w14:textId="77777777" w:rsidR="003D3694" w:rsidRPr="00747E35" w:rsidRDefault="003D3694" w:rsidP="003D3694">
      <w:pPr>
        <w:rPr>
          <w:rFonts w:asciiTheme="minorHAnsi" w:hAnsiTheme="minorHAnsi" w:cstheme="minorHAnsi"/>
        </w:rPr>
      </w:pPr>
    </w:p>
    <w:p w14:paraId="51BF5C13" w14:textId="0A5D94BC" w:rsidR="003D3694" w:rsidRPr="00747E35" w:rsidRDefault="003D3694" w:rsidP="003D3694">
      <w:pPr>
        <w:pStyle w:val="Heading3"/>
        <w:rPr>
          <w:rFonts w:asciiTheme="minorHAnsi" w:hAnsiTheme="minorHAnsi" w:cstheme="minorHAnsi"/>
        </w:rPr>
      </w:pPr>
      <w:bookmarkStart w:id="143" w:name="_Toc466450344"/>
      <w:bookmarkStart w:id="144" w:name="_Toc470004847"/>
      <w:r w:rsidRPr="00747E35">
        <w:rPr>
          <w:rFonts w:asciiTheme="minorHAnsi" w:hAnsiTheme="minorHAnsi" w:cstheme="minorHAnsi"/>
        </w:rPr>
        <w:t>Discussion</w:t>
      </w:r>
      <w:bookmarkEnd w:id="143"/>
      <w:bookmarkEnd w:id="144"/>
    </w:p>
    <w:p w14:paraId="353C1A52" w14:textId="41D6CE92" w:rsidR="003D3694" w:rsidRPr="00747E35" w:rsidRDefault="003D3694" w:rsidP="003D3694">
      <w:pPr>
        <w:rPr>
          <w:rFonts w:asciiTheme="minorHAnsi" w:hAnsiTheme="minorHAnsi" w:cstheme="minorHAnsi"/>
        </w:rPr>
      </w:pPr>
      <w:r w:rsidRPr="00747E35">
        <w:rPr>
          <w:rFonts w:asciiTheme="minorHAnsi" w:hAnsiTheme="minorHAnsi" w:cstheme="minorHAnsi"/>
        </w:rPr>
        <w:t>The breakdown of particulate organic matter is a fundamental ecosystem process in streams and rivers and its measurement can provide important information on the functional integrity of aquatic ecosystems. Despite the high intermittency of our study streams, rates of leaf litter processing were sometimes an order of magnitude greater than in studies elsewhere that assessed breakdown rates in both perennial and intermittent streams (</w:t>
      </w:r>
      <w:r w:rsidRPr="00747E35">
        <w:rPr>
          <w:rFonts w:asciiTheme="minorHAnsi" w:hAnsiTheme="minorHAnsi" w:cstheme="minorHAnsi"/>
          <w:color w:val="000000" w:themeColor="text1"/>
          <w:highlight w:val="yellow"/>
        </w:rPr>
        <w:fldChar w:fldCharType="begin"/>
      </w:r>
      <w:r w:rsidRPr="00747E35">
        <w:rPr>
          <w:rFonts w:asciiTheme="minorHAnsi" w:hAnsiTheme="minorHAnsi" w:cstheme="minorHAnsi"/>
          <w:color w:val="000000" w:themeColor="text1"/>
        </w:rPr>
        <w:instrText xml:space="preserve"> REF _Ref466023938 \h </w:instrText>
      </w:r>
      <w:r w:rsidR="00925BFC" w:rsidRPr="00747E35">
        <w:rPr>
          <w:rFonts w:asciiTheme="minorHAnsi" w:hAnsiTheme="minorHAnsi" w:cstheme="minorHAnsi"/>
          <w:color w:val="000000" w:themeColor="text1"/>
          <w:highlight w:val="yellow"/>
        </w:rPr>
        <w:instrText xml:space="preserve"> \* MERGEFORMAT </w:instrText>
      </w:r>
      <w:r w:rsidRPr="00747E35">
        <w:rPr>
          <w:rFonts w:asciiTheme="minorHAnsi" w:hAnsiTheme="minorHAnsi" w:cstheme="minorHAnsi"/>
          <w:color w:val="000000" w:themeColor="text1"/>
          <w:highlight w:val="yellow"/>
        </w:rPr>
      </w:r>
      <w:r w:rsidRPr="00747E35">
        <w:rPr>
          <w:rFonts w:asciiTheme="minorHAnsi" w:hAnsiTheme="minorHAnsi" w:cstheme="minorHAnsi"/>
          <w:color w:val="000000" w:themeColor="text1"/>
          <w:highlight w:val="yellow"/>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12</w:t>
      </w:r>
      <w:r w:rsidRPr="00747E35">
        <w:rPr>
          <w:rFonts w:asciiTheme="minorHAnsi" w:hAnsiTheme="minorHAnsi" w:cstheme="minorHAnsi"/>
          <w:color w:val="000000" w:themeColor="text1"/>
          <w:highlight w:val="yellow"/>
        </w:rPr>
        <w:fldChar w:fldCharType="end"/>
      </w:r>
      <w:r w:rsidRPr="00747E35">
        <w:rPr>
          <w:rFonts w:asciiTheme="minorHAnsi" w:hAnsiTheme="minorHAnsi" w:cstheme="minorHAnsi"/>
          <w:color w:val="000000" w:themeColor="text1"/>
        </w:rPr>
        <w:t>)</w:t>
      </w:r>
      <w:r w:rsidRPr="00747E35">
        <w:rPr>
          <w:rFonts w:asciiTheme="minorHAnsi" w:hAnsiTheme="minorHAnsi" w:cstheme="minorHAnsi"/>
        </w:rPr>
        <w:t>. Using two complementary measures of organic matter processing (leaf litter breakdown and cotton degradation), measured at multiple scales, we showed that detrital processes are largely driven by the degree of substrate saturation. Furthermore, both leaf litter processing and cotton degradation were greater in the hyporheic zone than in wetted and dry surface habitats. Overall, our results highlight that intermittent river systems are important locations for detrital processes and that the hyporheic zone sustains critical ecosystem processes even when surface habitats cease to flow.</w:t>
      </w:r>
    </w:p>
    <w:p w14:paraId="5DCA9853"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t>Leaf litter decay</w:t>
      </w:r>
    </w:p>
    <w:p w14:paraId="40428E81" w14:textId="636B2A49" w:rsidR="003D3694" w:rsidRPr="00747E35" w:rsidRDefault="003D3694" w:rsidP="003D3694">
      <w:pPr>
        <w:rPr>
          <w:rFonts w:asciiTheme="minorHAnsi" w:hAnsiTheme="minorHAnsi" w:cstheme="minorHAnsi"/>
        </w:rPr>
      </w:pPr>
      <w:r w:rsidRPr="00747E35">
        <w:rPr>
          <w:rFonts w:asciiTheme="minorHAnsi" w:hAnsiTheme="minorHAnsi" w:cstheme="minorHAnsi"/>
        </w:rPr>
        <w:t>Leaf litter decay rates were, on average, much higher than in comparable leaf litter studies in both surface and hyporheic habitats of perennial and intermittent streams (</w:t>
      </w:r>
      <w:r w:rsidRPr="00747E35">
        <w:rPr>
          <w:rFonts w:asciiTheme="minorHAnsi" w:hAnsiTheme="minorHAnsi" w:cstheme="minorHAnsi"/>
          <w:color w:val="000000" w:themeColor="text1"/>
          <w:highlight w:val="yellow"/>
        </w:rPr>
        <w:fldChar w:fldCharType="begin"/>
      </w:r>
      <w:r w:rsidRPr="00747E35">
        <w:rPr>
          <w:rFonts w:asciiTheme="minorHAnsi" w:hAnsiTheme="minorHAnsi" w:cstheme="minorHAnsi"/>
          <w:color w:val="000000" w:themeColor="text1"/>
        </w:rPr>
        <w:instrText xml:space="preserve"> REF _Ref466023938 \h </w:instrText>
      </w:r>
      <w:r w:rsidR="00925BFC" w:rsidRPr="00747E35">
        <w:rPr>
          <w:rFonts w:asciiTheme="minorHAnsi" w:hAnsiTheme="minorHAnsi" w:cstheme="minorHAnsi"/>
          <w:color w:val="000000" w:themeColor="text1"/>
          <w:highlight w:val="yellow"/>
        </w:rPr>
        <w:instrText xml:space="preserve"> \* MERGEFORMAT </w:instrText>
      </w:r>
      <w:r w:rsidRPr="00747E35">
        <w:rPr>
          <w:rFonts w:asciiTheme="minorHAnsi" w:hAnsiTheme="minorHAnsi" w:cstheme="minorHAnsi"/>
          <w:color w:val="000000" w:themeColor="text1"/>
          <w:highlight w:val="yellow"/>
        </w:rPr>
      </w:r>
      <w:r w:rsidRPr="00747E35">
        <w:rPr>
          <w:rFonts w:asciiTheme="minorHAnsi" w:hAnsiTheme="minorHAnsi" w:cstheme="minorHAnsi"/>
          <w:color w:val="000000" w:themeColor="text1"/>
          <w:highlight w:val="yellow"/>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12</w:t>
      </w:r>
      <w:r w:rsidRPr="00747E35">
        <w:rPr>
          <w:rFonts w:asciiTheme="minorHAnsi" w:hAnsiTheme="minorHAnsi" w:cstheme="minorHAnsi"/>
          <w:color w:val="000000" w:themeColor="text1"/>
          <w:highlight w:val="yellow"/>
        </w:rPr>
        <w:fldChar w:fldCharType="end"/>
      </w:r>
      <w:r w:rsidRPr="00747E35">
        <w:rPr>
          <w:rFonts w:asciiTheme="minorHAnsi" w:hAnsiTheme="minorHAnsi" w:cstheme="minorHAnsi"/>
          <w:color w:val="000000" w:themeColor="text1"/>
        </w:rPr>
        <w:t>)</w:t>
      </w:r>
      <w:r w:rsidRPr="00747E35">
        <w:rPr>
          <w:rFonts w:asciiTheme="minorHAnsi" w:hAnsiTheme="minorHAnsi" w:cstheme="minorHAnsi"/>
        </w:rPr>
        <w:t xml:space="preserve">. This finding was somewhat unexpected given that eucalypt leaves are generally considered to be a poor-quality food resource due to their high carbon-to-nitrogen ratio and high concentrations of polyphenols </w:t>
      </w:r>
      <w:r w:rsidRPr="00747E35">
        <w:rPr>
          <w:rFonts w:asciiTheme="minorHAnsi" w:hAnsiTheme="minorHAnsi" w:cstheme="minorHAnsi"/>
        </w:rPr>
        <w:fldChar w:fldCharType="begin">
          <w:fldData xml:space="preserve">PEVuZE5vdGU+PENpdGU+PEF1dGhvcj5Cb3VsdG9uPC9BdXRob3I+PFllYXI+MTk5MTwvWWVhcj48
UmVjTnVtPjEyMDwvUmVjTnVtPjxEaXNwbGF5VGV4dD4oQnVubiwgMTk4ODsgQm91bHRvbiwgMTk5
MTsgUG96bzxzdHlsZSBmYWNlPSJpdGFsaWMiPiBldCBhbC48L3N0eWxlPiwgMTk5OCk8L0Rpc3Bs
YXlUZXh0PjxyZWNvcmQ+PHJlYy1udW1iZXI+MTIwPC9yZWMtbnVtYmVyPjxmb3JlaWduLWtleXM+
PGtleSBhcHA9IkVOIiBkYi1pZD0iZjA5endkZjI2eGVhc2FldnZzanh2MDBoOXJ4MnY5eGFyZnN3
IiB0aW1lc3RhbXA9IjEzOTkxOTk1MDEiPjEyMDwva2V5PjwvZm9yZWlnbi1rZXlzPjxyZWYtdHlw
ZSBuYW1lPSJKb3VybmFsIEFydGljbGUiPjE3PC9yZWYtdHlwZT48Y29udHJpYnV0b3JzPjxhdXRo
b3JzPjxhdXRob3I+Qm91bHRvbiwgQS4gSi48L2F1dGhvcj48L2F1dGhvcnM+PC9jb250cmlidXRv
cnM+PGF1dGgtYWRkcmVzcz5EZXBhcnRtZW50IG9mIFpvb2xvZ3ksIFVuaXZlcnNpdHkgb2YgQWRl
bGFpZGUsIEcuUC5PLiBCb3ggNDk4LCBBZGVsYWlkZSwgNTAwMSwgU291dGggQXVzdHJhbGlhLCBB
dXN0cmFsaWE8L2F1dGgtYWRkcmVzcz48dGl0bGVzPjx0aXRsZT5FdWNhbHlwdCBsZWFmIGRlY29t
cG9zaXRpb24gaW4gYW4gaW50ZXJtaXR0ZW50IHN0cmVhbSBpbiBzb3V0aC1lYXN0ZXJuIEF1c3Ry
YWxpYTwvdGl0bGU+PHNlY29uZGFyeS10aXRsZT5IeWRyb2Jpb2xvZ2lhPC9zZWNvbmRhcnktdGl0
bGU+PC90aXRsZXM+PHBlcmlvZGljYWw+PGZ1bGwtdGl0bGU+SHlkcm9iaW9sb2dpYTwvZnVsbC10
aXRsZT48L3BlcmlvZGljYWw+PHBhZ2VzPjEyMy0xMzY8L3BhZ2VzPjx2b2x1bWU+MjExPC92b2x1
bWU+PG51bWJlcj4yPC9udW1iZXI+PGtleXdvcmRzPjxrZXl3b3JkPkF1c3RyYWxpYTwva2V5d29y
ZD48a2V5d29yZD5mdW5jdGlvbmFsIGZlZWRpbmcgZ3JvdXBzPC9rZXl3b3JkPjxrZXl3b3JkPmlu
dGVybWl0dGVudCBzdHJlYW08L2tleXdvcmQ+PGtleXdvcmQ+TGVhZiBkZWNvbXBvc2l0aW9uPC9r
ZXl3b3JkPjxrZXl3b3JkPm1pY3JvYmlhbCBjb25kaXRpb25pbmc8L2tleXdvcmQ+PGtleXdvcmQ+
ZGVjb21wb3NpdGlvbjwva2V5d29yZD48a2V5d29yZD5ldWNhbHlwdDwva2V5d29yZD48a2V5d29y
ZD5sZWFmPC9rZXl3b3JkPjxrZXl3b3JkPnN0cmVhbTwva2V5d29yZD48a2V5d29yZD5FdWNhbHlw
dHVzPC9rZXl3b3JkPjwva2V5d29yZHM+PGRhdGVzPjx5ZWFyPjE5OTE8L3llYXI+PC9kYXRlcz48
cHVibGlzaGVyPktsdXdlciBBY2FkZW1pYyBQdWJsaXNoZXJzPC9wdWJsaXNoZXI+PGlzYm4+MDAx
ODgxNTggKElTU04pPC9pc2JuPjx1cmxzPjxyZWxhdGVkLXVybHM+PHVybD5odHRwOi8vd3d3LnNj
b3B1cy5jb20vaW53YXJkL3JlY29yZC51cmw/ZWlkPTItczIuMC0wMDI2MzEyNTY4JmFtcDtwYXJ0
bmVySUQ9NDAmYW1wO21kNT1jYzRkZDI3YTNkNzZiMzM1MzQwNjllMDc1ZTVmNDJiYTwvdXJsPjwv
cmVsYXRlZC11cmxzPjwvdXJscz48ZWxlY3Ryb25pYy1yZXNvdXJjZS1udW0+MTAuMTAwNy9iZjAw
MDM3MzY4PC9lbGVjdHJvbmljLXJlc291cmNlLW51bT48L3JlY29yZD48L0NpdGU+PENpdGU+PEF1
dGhvcj5CdW5uPC9BdXRob3I+PFllYXI+MTk4ODwvWWVhcj48UmVjTnVtPjE0MjwvUmVjTnVtPjxy
ZWNvcmQ+PHJlYy1udW1iZXI+MTQyPC9yZWMtbnVtYmVyPjxmb3JlaWduLWtleXM+PGtleSBhcHA9
IkVOIiBkYi1pZD0iZjA5endkZjI2eGVhc2FldnZzanh2MDBoOXJ4MnY5eGFyZnN3IiB0aW1lc3Rh
bXA9IjEzOTkxOTk1MDEiPjE0Mjwva2V5PjwvZm9yZWlnbi1rZXlzPjxyZWYtdHlwZSBuYW1lPSJK
b3VybmFsIEFydGljbGUiPjE3PC9yZWYtdHlwZT48Y29udHJpYnV0b3JzPjxhdXRob3JzPjxhdXRo
b3I+QnVubiwgUy4gRS48L2F1dGhvcj48L2F1dGhvcnM+PC9jb250cmlidXRvcnM+PGF1dGgtYWRk
cmVzcz5EZXBhcnRtZW50IG9mIFpvb2xvZ3ksIFVuaXZlcnNpdHkgb2YgV2VzdGVybiBBdXN0cmFs
aWEsIE5lZGxhbmRzLCA2MDA5LCBXZXN0ZXJuIEF1c3RyYWxpYSwgQXVzdHJhbGlhPC9hdXRoLWFk
ZHJlc3M+PHRpdGxlcz48dGl0bGU+UHJvY2Vzc2luZyBvZiBsZWFmIGxpdHRlciBpbiBhIG5vcnRo
ZXJuIGphcnJhaCBmb3Jlc3Qgc3RyZWFtLCBXZXN0ZXJuIEF1c3RyYWxpYTogSS4gU2Vhc29uYWwg
ZGlmZmVyZW5jZXM8L3RpdGxlPjxzZWNvbmRhcnktdGl0bGU+SHlkcm9iaW9sb2dpYTwvc2Vjb25k
YXJ5LXRpdGxlPjwvdGl0bGVzPjxwZXJpb2RpY2FsPjxmdWxsLXRpdGxlPkh5ZHJvYmlvbG9naWE8
L2Z1bGwtdGl0bGU+PC9wZXJpb2RpY2FsPjxwYWdlcz4yMDEtMjEwPC9wYWdlcz48dm9sdW1lPjE2
Mjwvdm9sdW1lPjxudW1iZXI+MzwvbnVtYmVyPjxrZXl3b3Jkcz48a2V5d29yZD5kZWNvbXBvc2l0
aW9uPC9rZXl3b3JkPjxrZXl3b3JkPkV1Y2FseXB0dXMgbWFyZ2luYXRhPC9rZXl3b3JkPjxrZXl3
b3JkPmxlYWYgbGl0dGVyPC9rZXl3b3JkPjxrZXl3b3JkPnNlYXNvbmFsaXR5PC9rZXl3b3JkPjxr
ZXl3b3JkPnN0cmVhbXM8L2tleXdvcmQ+PC9rZXl3b3Jkcz48ZGF0ZXM+PHllYXI+MTk4ODwveWVh
cj48L2RhdGVzPjxwdWJsaXNoZXI+S2x1d2VyIEFjYWRlbWljIFB1Ymxpc2hlcnM8L3B1Ymxpc2hl
cj48aXNibj4wMDE4ODE1OCAoSVNTTik8L2lzYm4+PHVybHM+PHJlbGF0ZWQtdXJscz48dXJsPmh0
dHA6Ly93d3cuc2NvcHVzLmNvbS9pbndhcmQvcmVjb3JkLnVybD9laWQ9Mi1zMi4wLTAwMDE1NzQx
NDcmYW1wO3BhcnRuZXJJRD00MCZhbXA7bWQ1PTczMjkwOTUwMjA1NjI1ZTU2NjY0ZGEyZTBkZjM2
ODc5PC91cmw+PC9yZWxhdGVkLXVybHM+PC91cmxzPjxlbGVjdHJvbmljLXJlc291cmNlLW51bT4x
MC4xMDA3L2JmMDAwMTY2Njg8L2VsZWN0cm9uaWMtcmVzb3VyY2UtbnVtPjwvcmVjb3JkPjwvQ2l0
ZT48Q2l0ZT48QXV0aG9yPlBvem88L0F1dGhvcj48WWVhcj4xOTk4PC9ZZWFyPjxSZWNOdW0+NzE2
PC9SZWNOdW0+PHJlY29yZD48cmVjLW51bWJlcj43MTY8L3JlYy1udW1iZXI+PGZvcmVpZ24ta2V5
cz48a2V5IGFwcD0iRU4iIGRiLWlkPSJmMDl6d2RmMjZ4ZWFzYWV2dnNqeHYwMGg5cngydjl4YXJm
c3ciIHRpbWVzdGFtcD0iMTM5OTE5OTUwMiI+NzE2PC9rZXk+PC9mb3JlaWduLWtleXM+PHJlZi10
eXBlIG5hbWU9IkpvdXJuYWwgQXJ0aWNsZSI+MTc8L3JlZi10eXBlPjxjb250cmlidXRvcnM+PGF1
dGhvcnM+PGF1dGhvcj5Qb3pvLCBKLjwvYXV0aG9yPjxhdXRob3I+QmFzYWd1cmVuLCBBLjwvYXV0
aG9yPjxhdXRob3I+RWzDs3NlZ3VpLCBBLjwvYXV0aG9yPjxhdXRob3I+TW9saW5lcm8sIEouPC9h
dXRob3I+PGF1dGhvcj5GYWJyZSwgRS48L2F1dGhvcj48YXV0aG9yPkNoYXV2ZXQsIEUuPC9hdXRo
b3I+PC9hdXRob3JzPjwvY29udHJpYnV0b3JzPjxhdXRoLWFkZHJlc3M+TGFiLiBFY29sb2fDrWEs
IEZhYy4gQ2llbmNpYXMsIFVuaXYuIFBhaXMgVmF4Y28vRXVza2FsIEhlcnJpa28gVS4sIEFwZG8u
IDY0NCwgNDgwODAgQmlsYmFvLCBTcGFpbiYjeEQ7Q3RyLiBkJmFwb3M7RWNvbG9naWUgU3lzdC4g
QXF1YXRpcXVlcyBDLiwgMjksIHJ1ZSBKZWFubmUgTWFydmlnLCAzMTA1NSBUb3Vsb3VzZSBDZWRl
eCAwNCwgRnJhbmNlPC9hdXRoLWFkZHJlc3M+PHRpdGxlcz48dGl0bGU+PHN0eWxlIGZhY2U9Im5v
cm1hbCIgZm9udD0iZGVmYXVsdCIgc2l6ZT0iMTAwJSI+QWZmb3Jlc3RhdGlvbiB3aXRoIDwvc3R5
bGU+PHN0eWxlIGZhY2U9Iml0YWxpYyIgZm9udD0iZGVmYXVsdCIgc2l6ZT0iMTAwJSI+RXVjYWx5
cHR1cyBnbG9idWx1czwvc3R5bGU+PHN0eWxlIGZhY2U9Im5vcm1hbCIgZm9udD0iZGVmYXVsdCIg
c2l6ZT0iMTAwJSI+IGFuZCBsZWFmIGxpdHRlciBkZWNvbXBvc2l0aW9uIGluIHN0cmVhbXMgb2Yg
bm9ydGhlcm4gU3BhaW48L3N0eWxlPjwvdGl0bGU+PHNlY29uZGFyeS10aXRsZT5IeWRyb2Jpb2xv
Z2lhPC9zZWNvbmRhcnktdGl0bGU+PC90aXRsZXM+PHBlcmlvZGljYWw+PGZ1bGwtdGl0bGU+SHlk
cm9iaW9sb2dpYTwvZnVsbC10aXRsZT48L3BlcmlvZGljYWw+PHBhZ2VzPjEwMS0xMDk8L3BhZ2Vz
Pjx2b2x1bWU+MzczLTM3NDwvdm9sdW1lPjxrZXl3b3Jkcz48a2V5d29yZD5BZmZvcmVzdGF0aW9u
PC9rZXl3b3JkPjxrZXl3b3JkPkV1Y2FseXB0dXM8L2tleXdvcmQ+PGtleXdvcmQ+RnVuZ2k8L2tl
eXdvcmQ+PGtleXdvcmQ+TGl0dGVyIGJyZWFrZG93bjwva2V5d29yZD48a2V5d29yZD5NYWNyb2lu
dmVydGVicmF0ZXM8L2tleXdvcmQ+PGtleXdvcmQ+TnV0cmllbnRzPC9rZXl3b3JkPjxrZXl3b3Jk
PlN0cmVhbTwva2V5d29yZD48a2V5d29yZD5kZWNvbXBvc2l0aW9uPC9rZXl3b3JkPjxrZXl3b3Jk
PmxlYWYgbGl0dGVyPC9rZXl3b3JkPjxrZXl3b3JkPlNwYWluPC9rZXl3b3JkPjwva2V5d29yZHM+
PGRhdGVzPjx5ZWFyPjE5OTg8L3llYXI+PC9kYXRlcz48aXNibj4wMDE4ODE1OCAoSVNTTik8L2lz
Ym4+PHVybHM+PHJlbGF0ZWQtdXJscz48dXJsPmh0dHA6Ly93d3cuc2NvcHVzLmNvbS9pbndhcmQv
cmVjb3JkLnVybD9laWQ9Mi1zMi4wLTc4NDQyNDE5MTImYW1wO3BhcnRuZXJJRD00MCZhbXA7bWQ1
PTM2ZjAxYjgyY2U4YzgxZmI1NTUxODQ4ZmZmN2IyYjIxPC91cmw+PC9yZWxhdGVkLXVybHM+PC91
cmxzPjwvcmVjb3JkPjwvQ2l0ZT48L0VuZE5vdGU+AG==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PEVuZE5vdGU+PENpdGU+PEF1dGhvcj5Cb3VsdG9uPC9BdXRob3I+PFllYXI+MTk5MTwvWWVhcj48
UmVjTnVtPjEyMDwvUmVjTnVtPjxEaXNwbGF5VGV4dD4oQnVubiwgMTk4ODsgQm91bHRvbiwgMTk5
MTsgUG96bzxzdHlsZSBmYWNlPSJpdGFsaWMiPiBldCBhbC48L3N0eWxlPiwgMTk5OCk8L0Rpc3Bs
YXlUZXh0PjxyZWNvcmQ+PHJlYy1udW1iZXI+MTIwPC9yZWMtbnVtYmVyPjxmb3JlaWduLWtleXM+
PGtleSBhcHA9IkVOIiBkYi1pZD0iZjA5endkZjI2eGVhc2FldnZzanh2MDBoOXJ4MnY5eGFyZnN3
IiB0aW1lc3RhbXA9IjEzOTkxOTk1MDEiPjEyMDwva2V5PjwvZm9yZWlnbi1rZXlzPjxyZWYtdHlw
ZSBuYW1lPSJKb3VybmFsIEFydGljbGUiPjE3PC9yZWYtdHlwZT48Y29udHJpYnV0b3JzPjxhdXRo
b3JzPjxhdXRob3I+Qm91bHRvbiwgQS4gSi48L2F1dGhvcj48L2F1dGhvcnM+PC9jb250cmlidXRv
cnM+PGF1dGgtYWRkcmVzcz5EZXBhcnRtZW50IG9mIFpvb2xvZ3ksIFVuaXZlcnNpdHkgb2YgQWRl
bGFpZGUsIEcuUC5PLiBCb3ggNDk4LCBBZGVsYWlkZSwgNTAwMSwgU291dGggQXVzdHJhbGlhLCBB
dXN0cmFsaWE8L2F1dGgtYWRkcmVzcz48dGl0bGVzPjx0aXRsZT5FdWNhbHlwdCBsZWFmIGRlY29t
cG9zaXRpb24gaW4gYW4gaW50ZXJtaXR0ZW50IHN0cmVhbSBpbiBzb3V0aC1lYXN0ZXJuIEF1c3Ry
YWxpYTwvdGl0bGU+PHNlY29uZGFyeS10aXRsZT5IeWRyb2Jpb2xvZ2lhPC9zZWNvbmRhcnktdGl0
bGU+PC90aXRsZXM+PHBlcmlvZGljYWw+PGZ1bGwtdGl0bGU+SHlkcm9iaW9sb2dpYTwvZnVsbC10
aXRsZT48L3BlcmlvZGljYWw+PHBhZ2VzPjEyMy0xMzY8L3BhZ2VzPjx2b2x1bWU+MjExPC92b2x1
bWU+PG51bWJlcj4yPC9udW1iZXI+PGtleXdvcmRzPjxrZXl3b3JkPkF1c3RyYWxpYTwva2V5d29y
ZD48a2V5d29yZD5mdW5jdGlvbmFsIGZlZWRpbmcgZ3JvdXBzPC9rZXl3b3JkPjxrZXl3b3JkPmlu
dGVybWl0dGVudCBzdHJlYW08L2tleXdvcmQ+PGtleXdvcmQ+TGVhZiBkZWNvbXBvc2l0aW9uPC9r
ZXl3b3JkPjxrZXl3b3JkPm1pY3JvYmlhbCBjb25kaXRpb25pbmc8L2tleXdvcmQ+PGtleXdvcmQ+
ZGVjb21wb3NpdGlvbjwva2V5d29yZD48a2V5d29yZD5ldWNhbHlwdDwva2V5d29yZD48a2V5d29y
ZD5sZWFmPC9rZXl3b3JkPjxrZXl3b3JkPnN0cmVhbTwva2V5d29yZD48a2V5d29yZD5FdWNhbHlw
dHVzPC9rZXl3b3JkPjwva2V5d29yZHM+PGRhdGVzPjx5ZWFyPjE5OTE8L3llYXI+PC9kYXRlcz48
cHVibGlzaGVyPktsdXdlciBBY2FkZW1pYyBQdWJsaXNoZXJzPC9wdWJsaXNoZXI+PGlzYm4+MDAx
ODgxNTggKElTU04pPC9pc2JuPjx1cmxzPjxyZWxhdGVkLXVybHM+PHVybD5odHRwOi8vd3d3LnNj
b3B1cy5jb20vaW53YXJkL3JlY29yZC51cmw/ZWlkPTItczIuMC0wMDI2MzEyNTY4JmFtcDtwYXJ0
bmVySUQ9NDAmYW1wO21kNT1jYzRkZDI3YTNkNzZiMzM1MzQwNjllMDc1ZTVmNDJiYTwvdXJsPjwv
cmVsYXRlZC11cmxzPjwvdXJscz48ZWxlY3Ryb25pYy1yZXNvdXJjZS1udW0+MTAuMTAwNy9iZjAw
MDM3MzY4PC9lbGVjdHJvbmljLXJlc291cmNlLW51bT48L3JlY29yZD48L0NpdGU+PENpdGU+PEF1
dGhvcj5CdW5uPC9BdXRob3I+PFllYXI+MTk4ODwvWWVhcj48UmVjTnVtPjE0MjwvUmVjTnVtPjxy
ZWNvcmQ+PHJlYy1udW1iZXI+MTQyPC9yZWMtbnVtYmVyPjxmb3JlaWduLWtleXM+PGtleSBhcHA9
IkVOIiBkYi1pZD0iZjA5endkZjI2eGVhc2FldnZzanh2MDBoOXJ4MnY5eGFyZnN3IiB0aW1lc3Rh
bXA9IjEzOTkxOTk1MDEiPjE0Mjwva2V5PjwvZm9yZWlnbi1rZXlzPjxyZWYtdHlwZSBuYW1lPSJK
b3VybmFsIEFydGljbGUiPjE3PC9yZWYtdHlwZT48Y29udHJpYnV0b3JzPjxhdXRob3JzPjxhdXRo
b3I+QnVubiwgUy4gRS48L2F1dGhvcj48L2F1dGhvcnM+PC9jb250cmlidXRvcnM+PGF1dGgtYWRk
cmVzcz5EZXBhcnRtZW50IG9mIFpvb2xvZ3ksIFVuaXZlcnNpdHkgb2YgV2VzdGVybiBBdXN0cmFs
aWEsIE5lZGxhbmRzLCA2MDA5LCBXZXN0ZXJuIEF1c3RyYWxpYSwgQXVzdHJhbGlhPC9hdXRoLWFk
ZHJlc3M+PHRpdGxlcz48dGl0bGU+UHJvY2Vzc2luZyBvZiBsZWFmIGxpdHRlciBpbiBhIG5vcnRo
ZXJuIGphcnJhaCBmb3Jlc3Qgc3RyZWFtLCBXZXN0ZXJuIEF1c3RyYWxpYTogSS4gU2Vhc29uYWwg
ZGlmZmVyZW5jZXM8L3RpdGxlPjxzZWNvbmRhcnktdGl0bGU+SHlkcm9iaW9sb2dpYTwvc2Vjb25k
YXJ5LXRpdGxlPjwvdGl0bGVzPjxwZXJpb2RpY2FsPjxmdWxsLXRpdGxlPkh5ZHJvYmlvbG9naWE8
L2Z1bGwtdGl0bGU+PC9wZXJpb2RpY2FsPjxwYWdlcz4yMDEtMjEwPC9wYWdlcz48dm9sdW1lPjE2
Mjwvdm9sdW1lPjxudW1iZXI+MzwvbnVtYmVyPjxrZXl3b3Jkcz48a2V5d29yZD5kZWNvbXBvc2l0
aW9uPC9rZXl3b3JkPjxrZXl3b3JkPkV1Y2FseXB0dXMgbWFyZ2luYXRhPC9rZXl3b3JkPjxrZXl3
b3JkPmxlYWYgbGl0dGVyPC9rZXl3b3JkPjxrZXl3b3JkPnNlYXNvbmFsaXR5PC9rZXl3b3JkPjxr
ZXl3b3JkPnN0cmVhbXM8L2tleXdvcmQ+PC9rZXl3b3Jkcz48ZGF0ZXM+PHllYXI+MTk4ODwveWVh
cj48L2RhdGVzPjxwdWJsaXNoZXI+S2x1d2VyIEFjYWRlbWljIFB1Ymxpc2hlcnM8L3B1Ymxpc2hl
cj48aXNibj4wMDE4ODE1OCAoSVNTTik8L2lzYm4+PHVybHM+PHJlbGF0ZWQtdXJscz48dXJsPmh0
dHA6Ly93d3cuc2NvcHVzLmNvbS9pbndhcmQvcmVjb3JkLnVybD9laWQ9Mi1zMi4wLTAwMDE1NzQx
NDcmYW1wO3BhcnRuZXJJRD00MCZhbXA7bWQ1PTczMjkwOTUwMjA1NjI1ZTU2NjY0ZGEyZTBkZjM2
ODc5PC91cmw+PC9yZWxhdGVkLXVybHM+PC91cmxzPjxlbGVjdHJvbmljLXJlc291cmNlLW51bT4x
MC4xMDA3L2JmMDAwMTY2Njg8L2VsZWN0cm9uaWMtcmVzb3VyY2UtbnVtPjwvcmVjb3JkPjwvQ2l0
ZT48Q2l0ZT48QXV0aG9yPlBvem88L0F1dGhvcj48WWVhcj4xOTk4PC9ZZWFyPjxSZWNOdW0+NzE2
PC9SZWNOdW0+PHJlY29yZD48cmVjLW51bWJlcj43MTY8L3JlYy1udW1iZXI+PGZvcmVpZ24ta2V5
cz48a2V5IGFwcD0iRU4iIGRiLWlkPSJmMDl6d2RmMjZ4ZWFzYWV2dnNqeHYwMGg5cngydjl4YXJm
c3ciIHRpbWVzdGFtcD0iMTM5OTE5OTUwMiI+NzE2PC9rZXk+PC9mb3JlaWduLWtleXM+PHJlZi10
eXBlIG5hbWU9IkpvdXJuYWwgQXJ0aWNsZSI+MTc8L3JlZi10eXBlPjxjb250cmlidXRvcnM+PGF1
dGhvcnM+PGF1dGhvcj5Qb3pvLCBKLjwvYXV0aG9yPjxhdXRob3I+QmFzYWd1cmVuLCBBLjwvYXV0
aG9yPjxhdXRob3I+RWzDs3NlZ3VpLCBBLjwvYXV0aG9yPjxhdXRob3I+TW9saW5lcm8sIEouPC9h
dXRob3I+PGF1dGhvcj5GYWJyZSwgRS48L2F1dGhvcj48YXV0aG9yPkNoYXV2ZXQsIEUuPC9hdXRo
b3I+PC9hdXRob3JzPjwvY29udHJpYnV0b3JzPjxhdXRoLWFkZHJlc3M+TGFiLiBFY29sb2fDrWEs
IEZhYy4gQ2llbmNpYXMsIFVuaXYuIFBhaXMgVmF4Y28vRXVza2FsIEhlcnJpa28gVS4sIEFwZG8u
IDY0NCwgNDgwODAgQmlsYmFvLCBTcGFpbiYjeEQ7Q3RyLiBkJmFwb3M7RWNvbG9naWUgU3lzdC4g
QXF1YXRpcXVlcyBDLiwgMjksIHJ1ZSBKZWFubmUgTWFydmlnLCAzMTA1NSBUb3Vsb3VzZSBDZWRl
eCAwNCwgRnJhbmNlPC9hdXRoLWFkZHJlc3M+PHRpdGxlcz48dGl0bGU+PHN0eWxlIGZhY2U9Im5v
cm1hbCIgZm9udD0iZGVmYXVsdCIgc2l6ZT0iMTAwJSI+QWZmb3Jlc3RhdGlvbiB3aXRoIDwvc3R5
bGU+PHN0eWxlIGZhY2U9Iml0YWxpYyIgZm9udD0iZGVmYXVsdCIgc2l6ZT0iMTAwJSI+RXVjYWx5
cHR1cyBnbG9idWx1czwvc3R5bGU+PHN0eWxlIGZhY2U9Im5vcm1hbCIgZm9udD0iZGVmYXVsdCIg
c2l6ZT0iMTAwJSI+IGFuZCBsZWFmIGxpdHRlciBkZWNvbXBvc2l0aW9uIGluIHN0cmVhbXMgb2Yg
bm9ydGhlcm4gU3BhaW48L3N0eWxlPjwvdGl0bGU+PHNlY29uZGFyeS10aXRsZT5IeWRyb2Jpb2xv
Z2lhPC9zZWNvbmRhcnktdGl0bGU+PC90aXRsZXM+PHBlcmlvZGljYWw+PGZ1bGwtdGl0bGU+SHlk
cm9iaW9sb2dpYTwvZnVsbC10aXRsZT48L3BlcmlvZGljYWw+PHBhZ2VzPjEwMS0xMDk8L3BhZ2Vz
Pjx2b2x1bWU+MzczLTM3NDwvdm9sdW1lPjxrZXl3b3Jkcz48a2V5d29yZD5BZmZvcmVzdGF0aW9u
PC9rZXl3b3JkPjxrZXl3b3JkPkV1Y2FseXB0dXM8L2tleXdvcmQ+PGtleXdvcmQ+RnVuZ2k8L2tl
eXdvcmQ+PGtleXdvcmQ+TGl0dGVyIGJyZWFrZG93bjwva2V5d29yZD48a2V5d29yZD5NYWNyb2lu
dmVydGVicmF0ZXM8L2tleXdvcmQ+PGtleXdvcmQ+TnV0cmllbnRzPC9rZXl3b3JkPjxrZXl3b3Jk
PlN0cmVhbTwva2V5d29yZD48a2V5d29yZD5kZWNvbXBvc2l0aW9uPC9rZXl3b3JkPjxrZXl3b3Jk
PmxlYWYgbGl0dGVyPC9rZXl3b3JkPjxrZXl3b3JkPlNwYWluPC9rZXl3b3JkPjwva2V5d29yZHM+
PGRhdGVzPjx5ZWFyPjE5OTg8L3llYXI+PC9kYXRlcz48aXNibj4wMDE4ODE1OCAoSVNTTik8L2lz
Ym4+PHVybHM+PHJlbGF0ZWQtdXJscz48dXJsPmh0dHA6Ly93d3cuc2NvcHVzLmNvbS9pbndhcmQv
cmVjb3JkLnVybD9laWQ9Mi1zMi4wLTc4NDQyNDE5MTImYW1wO3BhcnRuZXJJRD00MCZhbXA7bWQ1
PTM2ZjAxYjgyY2U4YzgxZmI1NTUxODQ4ZmZmN2IyYjIxPC91cmw+PC9yZWxhdGVkLXVybHM+PC91
cmxzPjwvcmVjb3JkPjwvQ2l0ZT48L0VuZE5vdGU+AG==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(Bunn, 1988; Boulton, 1991; Pozo</w:t>
      </w:r>
      <w:r w:rsidRPr="00747E35">
        <w:rPr>
          <w:rFonts w:asciiTheme="minorHAnsi" w:hAnsiTheme="minorHAnsi" w:cstheme="minorHAnsi"/>
          <w:i/>
          <w:noProof/>
        </w:rPr>
        <w:t xml:space="preserve"> et al.</w:t>
      </w:r>
      <w:r w:rsidRPr="00747E35">
        <w:rPr>
          <w:rFonts w:asciiTheme="minorHAnsi" w:hAnsiTheme="minorHAnsi" w:cstheme="minorHAnsi"/>
          <w:noProof/>
        </w:rPr>
        <w:t>, 1998)</w:t>
      </w:r>
      <w:r w:rsidRPr="00747E35">
        <w:rPr>
          <w:rFonts w:asciiTheme="minorHAnsi" w:hAnsiTheme="minorHAnsi" w:cstheme="minorHAnsi"/>
        </w:rPr>
        <w:fldChar w:fldCharType="end"/>
      </w:r>
      <w:r w:rsidRPr="00747E35">
        <w:rPr>
          <w:rFonts w:asciiTheme="minorHAnsi" w:hAnsiTheme="minorHAnsi" w:cstheme="minorHAnsi"/>
        </w:rPr>
        <w:t xml:space="preserve">. We hypothesise that sustained </w:t>
      </w:r>
      <w:r w:rsidR="006B2C7A">
        <w:rPr>
          <w:rFonts w:asciiTheme="minorHAnsi" w:hAnsiTheme="minorHAnsi" w:cstheme="minorHAnsi"/>
        </w:rPr>
        <w:t>subsurface</w:t>
      </w:r>
      <w:r w:rsidRPr="00747E35">
        <w:rPr>
          <w:rFonts w:asciiTheme="minorHAnsi" w:hAnsiTheme="minorHAnsi" w:cstheme="minorHAnsi"/>
        </w:rPr>
        <w:t xml:space="preserve"> baseflow during drier periods, due to </w:t>
      </w:r>
      <w:r w:rsidRPr="00747E35">
        <w:rPr>
          <w:rFonts w:asciiTheme="minorHAnsi" w:hAnsiTheme="minorHAnsi" w:cstheme="minorHAnsi"/>
        </w:rPr>
        <w:lastRenderedPageBreak/>
        <w:t xml:space="preserve">groundwater input and/or saturated bank seepage, may have prevented the deterioration of physicochemical conditions that are usually associated with residual wetted habitats during dry conditions </w:t>
      </w:r>
      <w:r w:rsidRPr="00747E35">
        <w:rPr>
          <w:rFonts w:asciiTheme="minorHAnsi" w:hAnsiTheme="minorHAnsi" w:cstheme="minorHAnsi"/>
        </w:rPr>
        <w:fldChar w:fldCharType="begin">
          <w:fldData xml:space="preserve">PEVuZE5vdGU+PENpdGU+PEF1dGhvcj5NY0h1Z2g8L0F1dGhvcj48WWVhcj4yMDE1PC9ZZWFyPjxS
ZWNOdW0+MTI5NzwvUmVjTnVtPjxEaXNwbGF5VGV4dD4oQm91bHRvbiBhbmQgTGFrZSwgMTk5MDsg
TWNIdWdoPHN0eWxlIGZhY2U9Iml0YWxpYyI+IGV0IGFsLjwvc3R5bGU+LCAyMDE1KTwvRGlzcGxh
eVRleHQ+PHJlY29yZD48cmVjLW51bWJlcj4xMjk3PC9yZWMtbnVtYmVyPjxmb3JlaWduLWtleXM+
PGtleSBhcHA9IkVOIiBkYi1pZD0iZjA5endkZjI2eGVhc2FldnZzanh2MDBoOXJ4MnY5eGFyZnN3
IiB0aW1lc3RhbXA9IjE0NzM2NTYwNDkiPjEyOTc8L2tleT48L2ZvcmVpZ24ta2V5cz48cmVmLXR5
cGUgbmFtZT0iSm91cm5hbCBBcnRpY2xlIj4xNzwvcmVmLXR5cGU+PGNvbnRyaWJ1dG9ycz48YXV0
aG9ycz48YXV0aG9yPk1jSHVnaCwgUC4gQS48L2F1dGhvcj48YXV0aG9yPlRob21wc29uLCBSLiBN
LjwvYXV0aG9yPjxhdXRob3I+R3JlaWcsIEguIFMuPC9hdXRob3I+PGF1dGhvcj5XYXJidXJ0b24s
IEguIEouPC9hdXRob3I+PGF1dGhvcj5NY0ludG9zaCwgQS4gUi48L2F1dGhvcj48L2F1dGhvcnM+
PC9jb250cmlidXRvcnM+PHRpdGxlcz48dGl0bGU+SGFiaXRhdCBzaXplIGluZmx1ZW5jZXMgZm9v
ZCB3ZWIgc3RydWN0dXJlIGluIGRyeWluZyBzdHJlYW1zPC90aXRsZT48c2Vjb25kYXJ5LXRpdGxl
PkVjb2dyYXBoeTwvc2Vjb25kYXJ5LXRpdGxlPjwvdGl0bGVzPjxwZXJpb2RpY2FsPjxmdWxsLXRp
dGxlPkVjb2dyYXBoeTwvZnVsbC10aXRsZT48L3BlcmlvZGljYWw+PHBhZ2VzPjcwMC03MTI8L3Bh
Z2VzPjx2b2x1bWU+Mzg8L3ZvbHVtZT48bnVtYmVyPjc8L251bWJlcj48ZGF0ZXM+PHllYXI+MjAx
NTwveWVhcj48L2RhdGVzPjx3b3JrLXR5cGU+QXJ0aWNsZTwvd29yay10eXBlPjx1cmxzPjxyZWxh
dGVkLXVybHM+PHVybD5odHRwczovL3d3dy5zY29wdXMuY29tL2lud2FyZC9yZWNvcmQudXJpP2Vp
ZD0yLXMyLjAtODQ5MzM1MzEyNTUmYW1wO3BhcnRuZXJJRD00MCZhbXA7bWQ1PTI0Yjc5N2UwZGVk
NzFiNTU3OGRkMzgwZThhZDUxOWY0PC91cmw+PC9yZWxhdGVkLXVybHM+PC91cmxzPjxlbGVjdHJv
bmljLXJlc291cmNlLW51bT4xMC4xMTExL2Vjb2cuMDExOTM8L2VsZWN0cm9uaWMtcmVzb3VyY2Ut
bnVtPjxyZW1vdGUtZGF0YWJhc2UtbmFtZT5TY29wdXM8L3JlbW90ZS1kYXRhYmFzZS1uYW1lPjwv
cmVjb3JkPjwvQ2l0ZT48Q2l0ZT48QXV0aG9yPkJvdWx0b248L0F1dGhvcj48WWVhcj4xOTkwPC9Z
ZWFyPjxSZWNOdW0+MTMyMzwvUmVjTnVtPjxyZWNvcmQ+PHJlYy1udW1iZXI+MTMyMzwvcmVjLW51
bWJlcj48Zm9yZWlnbi1rZXlzPjxrZXkgYXBwPSJFTiIgZGItaWQ9ImYwOXp3ZGYyNnhlYXNhZXZ2
c2p4djAwaDlyeDJ2OXhhcmZzdyIgdGltZXN0YW1wPSIxNDc3MzUzMDMzIj4xMzIzPC9rZXk+PC9m
b3JlaWduLWtleXM+PHJlZi10eXBlIG5hbWU9IkpvdXJuYWwgQXJ0aWNsZSI+MTc8L3JlZi10eXBl
Pjxjb250cmlidXRvcnM+PGF1dGhvcnM+PGF1dGhvcj5Cb3VsdG9uLCBBLiBKLjwvYXV0aG9yPjxh
dXRob3I+TGFrZSwgUC4gUy48L2F1dGhvcj48L2F1dGhvcnM+PC9jb250cmlidXRvcnM+PHRpdGxl
cz48dGl0bGU+VGhlIGVjb2xvZ3kgb2YgdHdvIGludGVybWl0dGVudCBzdHJlYW1zIGluIFZpY3Rv
cmlhLCBBdXN0cmFsaWEuIEkuIE11bHRpdmFyaWF0ZSBhbmFseXNlcyBvZiBwaHlzaWNvY2hlbWlj
YWwgZmVhdHVyZXM8L3RpdGxlPjxzZWNvbmRhcnktdGl0bGU+RnJlc2h3YXRlciBCaW9sb2d5PC9z
ZWNvbmRhcnktdGl0bGU+PC90aXRsZXM+PHBlcmlvZGljYWw+PGZ1bGwtdGl0bGU+RnJlc2h3YXRl
ciBCaW9sb2d5PC9mdWxsLXRpdGxlPjwvcGVyaW9kaWNhbD48cGFnZXM+MTIzLTE0MTwvcGFnZXM+
PHZvbHVtZT4yNDwvdm9sdW1lPjxudW1iZXI+MTwvbnVtYmVyPjxkYXRlcz48eWVhcj4xOTkwPC95
ZWFyPjwvZGF0ZXM+PHdvcmstdHlwZT5BcnRpY2xlPC93b3JrLXR5cGU+PHVybHM+PHJlbGF0ZWQt
dXJscz48dXJsPmh0dHBzOi8vd3d3LnNjb3B1cy5jb20vaW53YXJkL3JlY29yZC51cmk/ZWlkPTIt
czIuMC0wMDI1NTkyNzkwJmFtcDtwYXJ0bmVySUQ9NDAmYW1wO21kNT05MTI4M2U4YWJiZWY3MjE4
ZDM5MzI5YTkxZTdmOGNjOTwvdXJsPjwvcmVsYXRlZC11cmxzPjwvdXJscz48ZWxlY3Ryb25pYy1y
ZXNvdXJjZS1udW0+MTAuMTExMS9qLjEzNjUtMjQyNy4xOTkwLnRiMDAzMTMueDwvZWxlY3Ryb25p
Yy1yZXNvdXJjZS1udW0+PHJlbW90ZS1kYXRhYmFzZS1uYW1lPlNjb3B1czwvcmVtb3RlLWRhdGFi
YXNlLW5hbWU+PC9yZWNvcmQ+PC9DaXRlPjwvRW5kTm90ZT4A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PEVuZE5vdGU+PENpdGU+PEF1dGhvcj5NY0h1Z2g8L0F1dGhvcj48WWVhcj4yMDE1PC9ZZWFyPjxS
ZWNOdW0+MTI5NzwvUmVjTnVtPjxEaXNwbGF5VGV4dD4oQm91bHRvbiBhbmQgTGFrZSwgMTk5MDsg
TWNIdWdoPHN0eWxlIGZhY2U9Iml0YWxpYyI+IGV0IGFsLjwvc3R5bGU+LCAyMDE1KTwvRGlzcGxh
eVRleHQ+PHJlY29yZD48cmVjLW51bWJlcj4xMjk3PC9yZWMtbnVtYmVyPjxmb3JlaWduLWtleXM+
PGtleSBhcHA9IkVOIiBkYi1pZD0iZjA5endkZjI2eGVhc2FldnZzanh2MDBoOXJ4MnY5eGFyZnN3
IiB0aW1lc3RhbXA9IjE0NzM2NTYwNDkiPjEyOTc8L2tleT48L2ZvcmVpZ24ta2V5cz48cmVmLXR5
cGUgbmFtZT0iSm91cm5hbCBBcnRpY2xlIj4xNzwvcmVmLXR5cGU+PGNvbnRyaWJ1dG9ycz48YXV0
aG9ycz48YXV0aG9yPk1jSHVnaCwgUC4gQS48L2F1dGhvcj48YXV0aG9yPlRob21wc29uLCBSLiBN
LjwvYXV0aG9yPjxhdXRob3I+R3JlaWcsIEguIFMuPC9hdXRob3I+PGF1dGhvcj5XYXJidXJ0b24s
IEguIEouPC9hdXRob3I+PGF1dGhvcj5NY0ludG9zaCwgQS4gUi48L2F1dGhvcj48L2F1dGhvcnM+
PC9jb250cmlidXRvcnM+PHRpdGxlcz48dGl0bGU+SGFiaXRhdCBzaXplIGluZmx1ZW5jZXMgZm9v
ZCB3ZWIgc3RydWN0dXJlIGluIGRyeWluZyBzdHJlYW1zPC90aXRsZT48c2Vjb25kYXJ5LXRpdGxl
PkVjb2dyYXBoeTwvc2Vjb25kYXJ5LXRpdGxlPjwvdGl0bGVzPjxwZXJpb2RpY2FsPjxmdWxsLXRp
dGxlPkVjb2dyYXBoeTwvZnVsbC10aXRsZT48L3BlcmlvZGljYWw+PHBhZ2VzPjcwMC03MTI8L3Bh
Z2VzPjx2b2x1bWU+Mzg8L3ZvbHVtZT48bnVtYmVyPjc8L251bWJlcj48ZGF0ZXM+PHllYXI+MjAx
NTwveWVhcj48L2RhdGVzPjx3b3JrLXR5cGU+QXJ0aWNsZTwvd29yay10eXBlPjx1cmxzPjxyZWxh
dGVkLXVybHM+PHVybD5odHRwczovL3d3dy5zY29wdXMuY29tL2lud2FyZC9yZWNvcmQudXJpP2Vp
ZD0yLXMyLjAtODQ5MzM1MzEyNTUmYW1wO3BhcnRuZXJJRD00MCZhbXA7bWQ1PTI0Yjc5N2UwZGVk
NzFiNTU3OGRkMzgwZThhZDUxOWY0PC91cmw+PC9yZWxhdGVkLXVybHM+PC91cmxzPjxlbGVjdHJv
bmljLXJlc291cmNlLW51bT4xMC4xMTExL2Vjb2cuMDExOTM8L2VsZWN0cm9uaWMtcmVzb3VyY2Ut
bnVtPjxyZW1vdGUtZGF0YWJhc2UtbmFtZT5TY29wdXM8L3JlbW90ZS1kYXRhYmFzZS1uYW1lPjwv
cmVjb3JkPjwvQ2l0ZT48Q2l0ZT48QXV0aG9yPkJvdWx0b248L0F1dGhvcj48WWVhcj4xOTkwPC9Z
ZWFyPjxSZWNOdW0+MTMyMzwvUmVjTnVtPjxyZWNvcmQ+PHJlYy1udW1iZXI+MTMyMzwvcmVjLW51
bWJlcj48Zm9yZWlnbi1rZXlzPjxrZXkgYXBwPSJFTiIgZGItaWQ9ImYwOXp3ZGYyNnhlYXNhZXZ2
c2p4djAwaDlyeDJ2OXhhcmZzdyIgdGltZXN0YW1wPSIxNDc3MzUzMDMzIj4xMzIzPC9rZXk+PC9m
b3JlaWduLWtleXM+PHJlZi10eXBlIG5hbWU9IkpvdXJuYWwgQXJ0aWNsZSI+MTc8L3JlZi10eXBl
Pjxjb250cmlidXRvcnM+PGF1dGhvcnM+PGF1dGhvcj5Cb3VsdG9uLCBBLiBKLjwvYXV0aG9yPjxh
dXRob3I+TGFrZSwgUC4gUy48L2F1dGhvcj48L2F1dGhvcnM+PC9jb250cmlidXRvcnM+PHRpdGxl
cz48dGl0bGU+VGhlIGVjb2xvZ3kgb2YgdHdvIGludGVybWl0dGVudCBzdHJlYW1zIGluIFZpY3Rv
cmlhLCBBdXN0cmFsaWEuIEkuIE11bHRpdmFyaWF0ZSBhbmFseXNlcyBvZiBwaHlzaWNvY2hlbWlj
YWwgZmVhdHVyZXM8L3RpdGxlPjxzZWNvbmRhcnktdGl0bGU+RnJlc2h3YXRlciBCaW9sb2d5PC9z
ZWNvbmRhcnktdGl0bGU+PC90aXRsZXM+PHBlcmlvZGljYWw+PGZ1bGwtdGl0bGU+RnJlc2h3YXRl
ciBCaW9sb2d5PC9mdWxsLXRpdGxlPjwvcGVyaW9kaWNhbD48cGFnZXM+MTIzLTE0MTwvcGFnZXM+
PHZvbHVtZT4yNDwvdm9sdW1lPjxudW1iZXI+MTwvbnVtYmVyPjxkYXRlcz48eWVhcj4xOTkwPC95
ZWFyPjwvZGF0ZXM+PHdvcmstdHlwZT5BcnRpY2xlPC93b3JrLXR5cGU+PHVybHM+PHJlbGF0ZWQt
dXJscz48dXJsPmh0dHBzOi8vd3d3LnNjb3B1cy5jb20vaW53YXJkL3JlY29yZC51cmk/ZWlkPTIt
czIuMC0wMDI1NTkyNzkwJmFtcDtwYXJ0bmVySUQ9NDAmYW1wO21kNT05MTI4M2U4YWJiZWY3MjE4
ZDM5MzI5YTkxZTdmOGNjOTwvdXJsPjwvcmVsYXRlZC11cmxzPjwvdXJscz48ZWxlY3Ryb25pYy1y
ZXNvdXJjZS1udW0+MTAuMTExMS9qLjEzNjUtMjQyNy4xOTkwLnRiMDAzMTMueDwvZWxlY3Ryb25p
Yy1yZXNvdXJjZS1udW0+PHJlbW90ZS1kYXRhYmFzZS1uYW1lPlNjb3B1czwvcmVtb3RlLWRhdGFi
YXNlLW5hbWU+PC9yZWNvcmQ+PC9DaXRlPjwvRW5kTm90ZT4A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(Boulton and Lake, 1990; McHugh</w:t>
      </w:r>
      <w:r w:rsidRPr="00747E35">
        <w:rPr>
          <w:rFonts w:asciiTheme="minorHAnsi" w:hAnsiTheme="minorHAnsi" w:cstheme="minorHAnsi"/>
          <w:i/>
          <w:noProof/>
        </w:rPr>
        <w:t xml:space="preserve"> et al.</w:t>
      </w:r>
      <w:r w:rsidRPr="00747E35">
        <w:rPr>
          <w:rFonts w:asciiTheme="minorHAnsi" w:hAnsiTheme="minorHAnsi" w:cstheme="minorHAnsi"/>
          <w:noProof/>
        </w:rPr>
        <w:t>, 2015)</w:t>
      </w:r>
      <w:r w:rsidRPr="00747E35">
        <w:rPr>
          <w:rFonts w:asciiTheme="minorHAnsi" w:hAnsiTheme="minorHAnsi" w:cstheme="minorHAnsi"/>
        </w:rPr>
        <w:fldChar w:fldCharType="end"/>
      </w:r>
      <w:r w:rsidRPr="00747E35">
        <w:rPr>
          <w:rFonts w:asciiTheme="minorHAnsi" w:hAnsiTheme="minorHAnsi" w:cstheme="minorHAnsi"/>
        </w:rPr>
        <w:t>. Consequently, microbial activity and rates of organic matter breakdown in the hyporheic zone were not affected by surface drying.</w:t>
      </w:r>
    </w:p>
    <w:p w14:paraId="5461C959"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t>Role of substrate saturation in driving surface detrital processes</w:t>
      </w:r>
    </w:p>
    <w:p w14:paraId="4676370B"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Surface detrital processing was primarily controlled by water availability, with both measures of organic matter processing strongly related to spatial (habitat- and patch-scale) and temporal (reach-scale) patterns of streambed saturation. In particular, cellulose decomposition was 40% greater in the wettest substrate moisture category compared to the driest moisture category, and an 18cm increase in mean pool water height (proxy for reach-scale hydrological variability) was associated with a 40% increase in mean leaf litter decomposition, pooling all sites and habitats. The degree of immersion has previously been documented to be a major factor controlling detrital processes in intermittent river habitats </w:t>
      </w:r>
      <w:r w:rsidRPr="00747E35">
        <w:rPr>
          <w:rFonts w:asciiTheme="minorHAnsi" w:hAnsiTheme="minorHAnsi" w:cstheme="minorHAnsi"/>
        </w:rPr>
        <w:fldChar w:fldCharType="begin">
          <w:fldData xml:space="preserve">PEVuZE5vdGU+PENpdGU+PEF1dGhvcj5QaW5uYTwvQXV0aG9yPjxZZWFyPjIwMDQ8L1llYXI+PFJl
Y051bT4xMzE5PC9SZWNOdW0+PERpc3BsYXlUZXh0PihCb3VsdG9uLCAxOTkxOyBNYWFtcmk8c3R5
bGUgZmFjZT0iaXRhbGljIj4gZXQgYWwuPC9zdHlsZT4sIDE5OTc7IFBpbm5hIGFuZCBCYXNzZXQs
IDIwMDQpPC9EaXNwbGF5VGV4dD48cmVjb3JkPjxyZWMtbnVtYmVyPjEzMTk8L3JlYy1udW1iZXI+
PGZvcmVpZ24ta2V5cz48a2V5IGFwcD0iRU4iIGRiLWlkPSJmMDl6d2RmMjZ4ZWFzYWV2dnNqeHYw
MGg5cngydjl4YXJmc3ciIHRpbWVzdGFtcD0iMTQ3NzI3Mjg3NiI+MTMxOTwva2V5PjwvZm9yZWln
bi1rZXlzPjxyZWYtdHlwZSBuYW1lPSJKb3VybmFsIEFydGljbGUiPjE3PC9yZWYtdHlwZT48Y29u
dHJpYnV0b3JzPjxhdXRob3JzPjxhdXRob3I+UGlubmEsIE1hdXJpemlvPC9hdXRob3I+PGF1dGhv
cj5CYXNzZXQsIEFsYmVydG88L2F1dGhvcj48L2F1dGhvcnM+PC9jb250cmlidXRvcnM+PHRpdGxl
cz48dGl0bGU+U3VtbWVyIGRyb3VnaHQgZGlzdHVyYmFuY2Ugb24gcGxhbnQgZGV0cml0dXMgZGVj
b21wb3NpdGlvbiBwcm9jZXNzZXMgaW4gdGhyZWUgUml2ZXIgVGlyc28gKFNhcmRpbmlhLCBJdGFs
eSkgc3ViLWJhc2luczwvdGl0bGU+PHNlY29uZGFyeS10aXRsZT5IeWRyb2Jpb2xvZ2lhPC9zZWNv
bmRhcnktdGl0bGU+PC90aXRsZXM+PHBlcmlvZGljYWw+PGZ1bGwtdGl0bGU+SHlkcm9iaW9sb2dp
YTwvZnVsbC10aXRsZT48L3BlcmlvZGljYWw+PHBhZ2VzPjMxMS0zMTk8L3BhZ2VzPjx2b2x1bWU+
NTIyPC92b2x1bWU+PG51bWJlcj4xPC9udW1iZXI+PGRhdGVzPjx5ZWFyPjIwMDQ8L3llYXI+PC9k
YXRlcz48aXNibj4xNTczLTUxMTc8L2lzYm4+PGxhYmVsPlBpbm5hMjAwNDwvbGFiZWw+PHdvcmst
dHlwZT5qb3VybmFsIGFydGljbGU8L3dvcmstdHlwZT48dXJscz48cmVsYXRlZC11cmxzPjx1cmw+
aHR0cDovL2R4LmRvaS5vcmcvMTAuMTAyMy9COkhZRFIuMDAwMDAyOTk4NC45MzQ3MS5iNTwvdXJs
PjwvcmVsYXRlZC11cmxzPjwvdXJscz48ZWxlY3Ryb25pYy1yZXNvdXJjZS1udW0+MTAuMTAyMy9C
OkhZRFIuMDAwMDAyOTk4NC45MzQ3MS5iNTwvZWxlY3Ryb25pYy1yZXNvdXJjZS1udW0+PC9yZWNv
cmQ+PC9DaXRlPjxDaXRlPjxBdXRob3I+Qm91bHRvbjwvQXV0aG9yPjxZZWFyPjE5OTE8L1llYXI+
PFJlY051bT4xMjA8L1JlY051bT48cmVjb3JkPjxyZWMtbnVtYmVyPjEyMDwvcmVjLW51bWJlcj48
Zm9yZWlnbi1rZXlzPjxrZXkgYXBwPSJFTiIgZGItaWQ9ImYwOXp3ZGYyNnhlYXNhZXZ2c2p4djAw
aDlyeDJ2OXhhcmZzdyIgdGltZXN0YW1wPSIxMzk5MTk5NTAxIj4xMjA8L2tleT48L2ZvcmVpZ24t
a2V5cz48cmVmLXR5cGUgbmFtZT0iSm91cm5hbCBBcnRpY2xlIj4xNzwvcmVmLXR5cGU+PGNvbnRy
aWJ1dG9ycz48YXV0aG9ycz48YXV0aG9yPkJvdWx0b24sIEEuIEouPC9hdXRob3I+PC9hdXRob3Jz
PjwvY29udHJpYnV0b3JzPjxhdXRoLWFkZHJlc3M+RGVwYXJ0bWVudCBvZiBab29sb2d5LCBVbml2
ZXJzaXR5IG9mIEFkZWxhaWRlLCBHLlAuTy4gQm94IDQ5OCwgQWRlbGFpZGUsIDUwMDEsIFNvdXRo
IEF1c3RyYWxpYSwgQXVzdHJhbGlhPC9hdXRoLWFkZHJlc3M+PHRpdGxlcz48dGl0bGU+RXVjYWx5
cHQgbGVhZiBkZWNvbXBvc2l0aW9uIGluIGFuIGludGVybWl0dGVudCBzdHJlYW0gaW4gc291dGgt
ZWFzdGVybiBBdXN0cmFsaWE8L3RpdGxlPjxzZWNvbmRhcnktdGl0bGU+SHlkcm9iaW9sb2dpYTwv
c2Vjb25kYXJ5LXRpdGxlPjwvdGl0bGVzPjxwZXJpb2RpY2FsPjxmdWxsLXRpdGxlPkh5ZHJvYmlv
bG9naWE8L2Z1bGwtdGl0bGU+PC9wZXJpb2RpY2FsPjxwYWdlcz4xMjMtMTM2PC9wYWdlcz48dm9s
dW1lPjIxMTwvdm9sdW1lPjxudW1iZXI+MjwvbnVtYmVyPjxrZXl3b3Jkcz48a2V5d29yZD5BdXN0
cmFsaWE8L2tleXdvcmQ+PGtleXdvcmQ+ZnVuY3Rpb25hbCBmZWVkaW5nIGdyb3Vwczwva2V5d29y
ZD48a2V5d29yZD5pbnRlcm1pdHRlbnQgc3RyZWFtPC9rZXl3b3JkPjxrZXl3b3JkPkxlYWYgZGVj
b21wb3NpdGlvbjwva2V5d29yZD48a2V5d29yZD5taWNyb2JpYWwgY29uZGl0aW9uaW5nPC9rZXl3
b3JkPjxrZXl3b3JkPmRlY29tcG9zaXRpb248L2tleXdvcmQ+PGtleXdvcmQ+ZXVjYWx5cHQ8L2tl
eXdvcmQ+PGtleXdvcmQ+bGVhZjwva2V5d29yZD48a2V5d29yZD5zdHJlYW08L2tleXdvcmQ+PGtl
eXdvcmQ+RXVjYWx5cHR1czwva2V5d29yZD48L2tleXdvcmRzPjxkYXRlcz48eWVhcj4xOTkxPC95
ZWFyPjwvZGF0ZXM+PHB1Ymxpc2hlcj5LbHV3ZXIgQWNhZGVtaWMgUHVibGlzaGVyczwvcHVibGlz
aGVyPjxpc2JuPjAwMTg4MTU4IChJU1NOKTwvaXNibj48dXJscz48cmVsYXRlZC11cmxzPjx1cmw+
aHR0cDovL3d3dy5zY29wdXMuY29tL2lud2FyZC9yZWNvcmQudXJsP2VpZD0yLXMyLjAtMDAyNjMx
MjU2OCZhbXA7cGFydG5lcklEPTQwJmFtcDttZDU9Y2M0ZGQyN2EzZDc2YjMzNTM0MDY5ZTA3NWU1
ZjQyYmE8L3VybD48L3JlbGF0ZWQtdXJscz48L3VybHM+PGVsZWN0cm9uaWMtcmVzb3VyY2UtbnVt
PjEwLjEwMDcvYmYwMDAzNzM2ODwvZWxlY3Ryb25pYy1yZXNvdXJjZS1udW0+PC9yZWNvcmQ+PC9D
aXRlPjxDaXRlPjxBdXRob3I+TWFhbXJpPC9BdXRob3I+PFllYXI+MTk5NzwvWWVhcj48UmVjTnVt
PjEzMjA8L1JlY051bT48cmVjb3JkPjxyZWMtbnVtYmVyPjEzMjA8L3JlYy1udW1iZXI+PGZvcmVp
Z24ta2V5cz48a2V5IGFwcD0iRU4iIGRiLWlkPSJmMDl6d2RmMjZ4ZWFzYWV2dnNqeHYwMGg5cngy
djl4YXJmc3ciIHRpbWVzdGFtcD0iMTQ3NzI3MzM2NyI+MTMyMDwva2V5PjwvZm9yZWlnbi1rZXlz
PjxyZWYtdHlwZSBuYW1lPSJKb3VybmFsIEFydGljbGUiPjE3PC9yZWYtdHlwZT48Y29udHJpYnV0
b3JzPjxhdXRob3JzPjxhdXRob3I+TWFhbXJpLCBBLjwvYXV0aG9yPjxhdXRob3I+Q2hlcmd1aSwg
SC48L2F1dGhvcj48YXV0aG9yPlBhdHRlZSwgRS48L2F1dGhvcj48L2F1dGhvcnM+PC9jb250cmli
dXRvcnM+PHRpdGxlcz48dGl0bGU+TGVhZiBsaXR0ZXIgcHJvY2Vzc2luZyBpbiBhIHRlbXBvcmFy
eSBub3J0aGVhc3Rlcm4gTW9yb2NjYW4gcml2ZXI8L3RpdGxlPjxzZWNvbmRhcnktdGl0bGU+QXJj
aGl2IGZ1ciBIeWRyb2Jpb2xvZ2llPC9zZWNvbmRhcnktdGl0bGU+PC90aXRsZXM+PHBlcmlvZGlj
YWw+PGZ1bGwtdGl0bGU+QXJjaGl2IGZ1ciBIeWRyb2Jpb2xvZ2llPC9mdWxsLXRpdGxlPjwvcGVy
aW9kaWNhbD48cGFnZXM+NTEzLTUzMTwvcGFnZXM+PHZvbHVtZT4xNDA8L3ZvbHVtZT48bnVtYmVy
PjQ8L251bWJlcj48ZGF0ZXM+PHllYXI+MTk5NzwveWVhcj48L2RhdGVzPjx3b3JrLXR5cGU+QXJ0
aWNsZTwvd29yay10eXBlPjx1cmxzPjxyZWxhdGVkLXVybHM+PHVybD5odHRwczovL3d3dy5zY29w
dXMuY29tL2lud2FyZC9yZWNvcmQudXJpP2VpZD0yLXMyLjAtMDAzMTQ3MDg4MSZhbXA7cGFydG5l
cklEPTQwJmFtcDttZDU9ZDNjYmQ3MTAxM2MxM2UxZmYzZjZiOTUxMmYzMGU5MjU8L3VybD48L3Jl
bGF0ZWQtdXJscz48L3VybHM+PHJlbW90ZS1kYXRhYmFzZS1uYW1lPlNjb3B1czwvcmVtb3RlLWRh
dGFiYXNlLW5hbWU+PC9yZWNvcmQ+PC9DaXRlPjwvRW5kTm90ZT4A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PEVuZE5vdGU+PENpdGU+PEF1dGhvcj5QaW5uYTwvQXV0aG9yPjxZZWFyPjIwMDQ8L1llYXI+PFJl
Y051bT4xMzE5PC9SZWNOdW0+PERpc3BsYXlUZXh0PihCb3VsdG9uLCAxOTkxOyBNYWFtcmk8c3R5
bGUgZmFjZT0iaXRhbGljIj4gZXQgYWwuPC9zdHlsZT4sIDE5OTc7IFBpbm5hIGFuZCBCYXNzZXQs
IDIwMDQpPC9EaXNwbGF5VGV4dD48cmVjb3JkPjxyZWMtbnVtYmVyPjEzMTk8L3JlYy1udW1iZXI+
PGZvcmVpZ24ta2V5cz48a2V5IGFwcD0iRU4iIGRiLWlkPSJmMDl6d2RmMjZ4ZWFzYWV2dnNqeHYw
MGg5cngydjl4YXJmc3ciIHRpbWVzdGFtcD0iMTQ3NzI3Mjg3NiI+MTMxOTwva2V5PjwvZm9yZWln
bi1rZXlzPjxyZWYtdHlwZSBuYW1lPSJKb3VybmFsIEFydGljbGUiPjE3PC9yZWYtdHlwZT48Y29u
dHJpYnV0b3JzPjxhdXRob3JzPjxhdXRob3I+UGlubmEsIE1hdXJpemlvPC9hdXRob3I+PGF1dGhv
cj5CYXNzZXQsIEFsYmVydG88L2F1dGhvcj48L2F1dGhvcnM+PC9jb250cmlidXRvcnM+PHRpdGxl
cz48dGl0bGU+U3VtbWVyIGRyb3VnaHQgZGlzdHVyYmFuY2Ugb24gcGxhbnQgZGV0cml0dXMgZGVj
b21wb3NpdGlvbiBwcm9jZXNzZXMgaW4gdGhyZWUgUml2ZXIgVGlyc28gKFNhcmRpbmlhLCBJdGFs
eSkgc3ViLWJhc2luczwvdGl0bGU+PHNlY29uZGFyeS10aXRsZT5IeWRyb2Jpb2xvZ2lhPC9zZWNv
bmRhcnktdGl0bGU+PC90aXRsZXM+PHBlcmlvZGljYWw+PGZ1bGwtdGl0bGU+SHlkcm9iaW9sb2dp
YTwvZnVsbC10aXRsZT48L3BlcmlvZGljYWw+PHBhZ2VzPjMxMS0zMTk8L3BhZ2VzPjx2b2x1bWU+
NTIyPC92b2x1bWU+PG51bWJlcj4xPC9udW1iZXI+PGRhdGVzPjx5ZWFyPjIwMDQ8L3llYXI+PC9k
YXRlcz48aXNibj4xNTczLTUxMTc8L2lzYm4+PGxhYmVsPlBpbm5hMjAwNDwvbGFiZWw+PHdvcmst
dHlwZT5qb3VybmFsIGFydGljbGU8L3dvcmstdHlwZT48dXJscz48cmVsYXRlZC11cmxzPjx1cmw+
aHR0cDovL2R4LmRvaS5vcmcvMTAuMTAyMy9COkhZRFIuMDAwMDAyOTk4NC45MzQ3MS5iNTwvdXJs
PjwvcmVsYXRlZC11cmxzPjwvdXJscz48ZWxlY3Ryb25pYy1yZXNvdXJjZS1udW0+MTAuMTAyMy9C
OkhZRFIuMDAwMDAyOTk4NC45MzQ3MS5iNTwvZWxlY3Ryb25pYy1yZXNvdXJjZS1udW0+PC9yZWNv
cmQ+PC9DaXRlPjxDaXRlPjxBdXRob3I+Qm91bHRvbjwvQXV0aG9yPjxZZWFyPjE5OTE8L1llYXI+
PFJlY051bT4xMjA8L1JlY051bT48cmVjb3JkPjxyZWMtbnVtYmVyPjEyMDwvcmVjLW51bWJlcj48
Zm9yZWlnbi1rZXlzPjxrZXkgYXBwPSJFTiIgZGItaWQ9ImYwOXp3ZGYyNnhlYXNhZXZ2c2p4djAw
aDlyeDJ2OXhhcmZzdyIgdGltZXN0YW1wPSIxMzk5MTk5NTAxIj4xMjA8L2tleT48L2ZvcmVpZ24t
a2V5cz48cmVmLXR5cGUgbmFtZT0iSm91cm5hbCBBcnRpY2xlIj4xNzwvcmVmLXR5cGU+PGNvbnRy
aWJ1dG9ycz48YXV0aG9ycz48YXV0aG9yPkJvdWx0b24sIEEuIEouPC9hdXRob3I+PC9hdXRob3Jz
PjwvY29udHJpYnV0b3JzPjxhdXRoLWFkZHJlc3M+RGVwYXJ0bWVudCBvZiBab29sb2d5LCBVbml2
ZXJzaXR5IG9mIEFkZWxhaWRlLCBHLlAuTy4gQm94IDQ5OCwgQWRlbGFpZGUsIDUwMDEsIFNvdXRo
IEF1c3RyYWxpYSwgQXVzdHJhbGlhPC9hdXRoLWFkZHJlc3M+PHRpdGxlcz48dGl0bGU+RXVjYWx5
cHQgbGVhZiBkZWNvbXBvc2l0aW9uIGluIGFuIGludGVybWl0dGVudCBzdHJlYW0gaW4gc291dGgt
ZWFzdGVybiBBdXN0cmFsaWE8L3RpdGxlPjxzZWNvbmRhcnktdGl0bGU+SHlkcm9iaW9sb2dpYTwv
c2Vjb25kYXJ5LXRpdGxlPjwvdGl0bGVzPjxwZXJpb2RpY2FsPjxmdWxsLXRpdGxlPkh5ZHJvYmlv
bG9naWE8L2Z1bGwtdGl0bGU+PC9wZXJpb2RpY2FsPjxwYWdlcz4xMjMtMTM2PC9wYWdlcz48dm9s
dW1lPjIxMTwvdm9sdW1lPjxudW1iZXI+MjwvbnVtYmVyPjxrZXl3b3Jkcz48a2V5d29yZD5BdXN0
cmFsaWE8L2tleXdvcmQ+PGtleXdvcmQ+ZnVuY3Rpb25hbCBmZWVkaW5nIGdyb3Vwczwva2V5d29y
ZD48a2V5d29yZD5pbnRlcm1pdHRlbnQgc3RyZWFtPC9rZXl3b3JkPjxrZXl3b3JkPkxlYWYgZGVj
b21wb3NpdGlvbjwva2V5d29yZD48a2V5d29yZD5taWNyb2JpYWwgY29uZGl0aW9uaW5nPC9rZXl3
b3JkPjxrZXl3b3JkPmRlY29tcG9zaXRpb248L2tleXdvcmQ+PGtleXdvcmQ+ZXVjYWx5cHQ8L2tl
eXdvcmQ+PGtleXdvcmQ+bGVhZjwva2V5d29yZD48a2V5d29yZD5zdHJlYW08L2tleXdvcmQ+PGtl
eXdvcmQ+RXVjYWx5cHR1czwva2V5d29yZD48L2tleXdvcmRzPjxkYXRlcz48eWVhcj4xOTkxPC95
ZWFyPjwvZGF0ZXM+PHB1Ymxpc2hlcj5LbHV3ZXIgQWNhZGVtaWMgUHVibGlzaGVyczwvcHVibGlz
aGVyPjxpc2JuPjAwMTg4MTU4IChJU1NOKTwvaXNibj48dXJscz48cmVsYXRlZC11cmxzPjx1cmw+
aHR0cDovL3d3dy5zY29wdXMuY29tL2lud2FyZC9yZWNvcmQudXJsP2VpZD0yLXMyLjAtMDAyNjMx
MjU2OCZhbXA7cGFydG5lcklEPTQwJmFtcDttZDU9Y2M0ZGQyN2EzZDc2YjMzNTM0MDY5ZTA3NWU1
ZjQyYmE8L3VybD48L3JlbGF0ZWQtdXJscz48L3VybHM+PGVsZWN0cm9uaWMtcmVzb3VyY2UtbnVt
PjEwLjEwMDcvYmYwMDAzNzM2ODwvZWxlY3Ryb25pYy1yZXNvdXJjZS1udW0+PC9yZWNvcmQ+PC9D
aXRlPjxDaXRlPjxBdXRob3I+TWFhbXJpPC9BdXRob3I+PFllYXI+MTk5NzwvWWVhcj48UmVjTnVt
PjEzMjA8L1JlY051bT48cmVjb3JkPjxyZWMtbnVtYmVyPjEzMjA8L3JlYy1udW1iZXI+PGZvcmVp
Z24ta2V5cz48a2V5IGFwcD0iRU4iIGRiLWlkPSJmMDl6d2RmMjZ4ZWFzYWV2dnNqeHYwMGg5cngy
djl4YXJmc3ciIHRpbWVzdGFtcD0iMTQ3NzI3MzM2NyI+MTMyMDwva2V5PjwvZm9yZWlnbi1rZXlz
PjxyZWYtdHlwZSBuYW1lPSJKb3VybmFsIEFydGljbGUiPjE3PC9yZWYtdHlwZT48Y29udHJpYnV0
b3JzPjxhdXRob3JzPjxhdXRob3I+TWFhbXJpLCBBLjwvYXV0aG9yPjxhdXRob3I+Q2hlcmd1aSwg
SC48L2F1dGhvcj48YXV0aG9yPlBhdHRlZSwgRS48L2F1dGhvcj48L2F1dGhvcnM+PC9jb250cmli
dXRvcnM+PHRpdGxlcz48dGl0bGU+TGVhZiBsaXR0ZXIgcHJvY2Vzc2luZyBpbiBhIHRlbXBvcmFy
eSBub3J0aGVhc3Rlcm4gTW9yb2NjYW4gcml2ZXI8L3RpdGxlPjxzZWNvbmRhcnktdGl0bGU+QXJj
aGl2IGZ1ciBIeWRyb2Jpb2xvZ2llPC9zZWNvbmRhcnktdGl0bGU+PC90aXRsZXM+PHBlcmlvZGlj
YWw+PGZ1bGwtdGl0bGU+QXJjaGl2IGZ1ciBIeWRyb2Jpb2xvZ2llPC9mdWxsLXRpdGxlPjwvcGVy
aW9kaWNhbD48cGFnZXM+NTEzLTUzMTwvcGFnZXM+PHZvbHVtZT4xNDA8L3ZvbHVtZT48bnVtYmVy
PjQ8L251bWJlcj48ZGF0ZXM+PHllYXI+MTk5NzwveWVhcj48L2RhdGVzPjx3b3JrLXR5cGU+QXJ0
aWNsZTwvd29yay10eXBlPjx1cmxzPjxyZWxhdGVkLXVybHM+PHVybD5odHRwczovL3d3dy5zY29w
dXMuY29tL2lud2FyZC9yZWNvcmQudXJpP2VpZD0yLXMyLjAtMDAzMTQ3MDg4MSZhbXA7cGFydG5l
cklEPTQwJmFtcDttZDU9ZDNjYmQ3MTAxM2MxM2UxZmYzZjZiOTUxMmYzMGU5MjU8L3VybD48L3Jl
bGF0ZWQtdXJscz48L3VybHM+PHJlbW90ZS1kYXRhYmFzZS1uYW1lPlNjb3B1czwvcmVtb3RlLWRh
dGFiYXNlLW5hbWU+PC9yZWNvcmQ+PC9DaXRlPjwvRW5kTm90ZT4A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(Boulton, 1991; Maamri</w:t>
      </w:r>
      <w:r w:rsidRPr="00747E35">
        <w:rPr>
          <w:rFonts w:asciiTheme="minorHAnsi" w:hAnsiTheme="minorHAnsi" w:cstheme="minorHAnsi"/>
          <w:i/>
          <w:noProof/>
        </w:rPr>
        <w:t xml:space="preserve"> et al.</w:t>
      </w:r>
      <w:r w:rsidRPr="00747E35">
        <w:rPr>
          <w:rFonts w:asciiTheme="minorHAnsi" w:hAnsiTheme="minorHAnsi" w:cstheme="minorHAnsi"/>
          <w:noProof/>
        </w:rPr>
        <w:t>, 1997; Pinna and Basset, 2004)</w:t>
      </w:r>
      <w:r w:rsidRPr="00747E35">
        <w:rPr>
          <w:rFonts w:asciiTheme="minorHAnsi" w:hAnsiTheme="minorHAnsi" w:cstheme="minorHAnsi"/>
        </w:rPr>
        <w:fldChar w:fldCharType="end"/>
      </w:r>
      <w:r w:rsidRPr="00747E35">
        <w:rPr>
          <w:rFonts w:asciiTheme="minorHAnsi" w:hAnsiTheme="minorHAnsi" w:cstheme="minorHAnsi"/>
        </w:rPr>
        <w:t xml:space="preserve">. For example, a decrease in flow permanence from 100 to 85% led to a four-fold decrease in leaf litter breakdown in a temporary stream in south-west France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&lt;EndNote&gt;&lt;Cite&gt;&lt;Author&gt;Datry&lt;/Author&gt;&lt;Year&gt;2011&lt;/Year&gt;&lt;RecNum&gt;1259&lt;/RecNum&gt;&lt;DisplayText&gt;(Datry&lt;style face="italic"&gt; et al.&lt;/style&gt;, 2011)&lt;/DisplayText&gt;&lt;record&gt;&lt;rec-number&gt;1259&lt;/rec-number&gt;&lt;foreign-keys&gt;&lt;key app="EN" db-id="f09zwdf26xeasaevvsjxv00h9rx2v9xarfsw" timestamp="1463105180"&gt;1259&lt;/key&gt;&lt;/foreign-keys&gt;&lt;ref-type name="Journal Article"&gt;17&lt;/ref-type&gt;&lt;contributors&gt;&lt;authors&gt;&lt;author&gt;Datry, Thibault&lt;/author&gt;&lt;author&gt;Corti, R.&lt;/author&gt;&lt;author&gt;Claret, C.&lt;/author&gt;&lt;author&gt;Philippe, M.&lt;/author&gt;&lt;/authors&gt;&lt;/contributors&gt;&lt;titles&gt;&lt;title&gt;Flow intermittence controls leaf litter breakdown in a French temporary alluvial river: the “drying memory”&lt;/title&gt;&lt;secondary-title&gt;Aquatic Sciences&lt;/secondary-title&gt;&lt;/titles&gt;&lt;periodical&gt;&lt;full-title&gt;Aquatic Sciences&lt;/full-title&gt;&lt;/periodical&gt;&lt;pages&gt;471-483&lt;/pages&gt;&lt;volume&gt;73&lt;/volume&gt;&lt;number&gt;4&lt;/number&gt;&lt;dates&gt;&lt;year&gt;2011&lt;/year&gt;&lt;/dates&gt;&lt;isbn&gt;1420-9055&lt;/isbn&gt;&lt;label&gt;Datry2011&lt;/label&gt;&lt;work-type&gt;journal article&lt;/work-type&gt;&lt;urls&gt;&lt;related-urls&gt;&lt;url&gt;http://dx.doi.org/10.1007/s00027-011-0193-8&lt;/url&gt;&lt;/related-urls&gt;&lt;/urls&gt;&lt;electronic-resource-num&gt;10.1007/s00027-011-0193-8&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(Datry</w:t>
      </w:r>
      <w:r w:rsidRPr="00747E35">
        <w:rPr>
          <w:rFonts w:asciiTheme="minorHAnsi" w:hAnsiTheme="minorHAnsi" w:cstheme="minorHAnsi"/>
          <w:i/>
          <w:noProof/>
        </w:rPr>
        <w:t xml:space="preserve"> et al.</w:t>
      </w:r>
      <w:r w:rsidRPr="00747E35">
        <w:rPr>
          <w:rFonts w:asciiTheme="minorHAnsi" w:hAnsiTheme="minorHAnsi" w:cstheme="minorHAnsi"/>
          <w:noProof/>
        </w:rPr>
        <w:t>, 2011)</w:t>
      </w:r>
      <w:r w:rsidRPr="00747E35">
        <w:rPr>
          <w:rFonts w:asciiTheme="minorHAnsi" w:hAnsiTheme="minorHAnsi" w:cstheme="minorHAnsi"/>
        </w:rPr>
        <w:fldChar w:fldCharType="end"/>
      </w:r>
      <w:r w:rsidRPr="00747E35">
        <w:rPr>
          <w:rFonts w:asciiTheme="minorHAnsi" w:hAnsiTheme="minorHAnsi" w:cstheme="minorHAnsi"/>
        </w:rPr>
        <w:t xml:space="preserve">. Additionally, Corti et al.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 ExcludeAuth="1"&gt;&lt;Author&gt;Corti&lt;/Author&gt;&lt;Year&gt;2011&lt;/Year&gt;&lt;RecNum&gt;1190&lt;/RecNum&gt;&lt;DisplayText&gt;(2011)&lt;/DisplayText&gt;&lt;record&gt;&lt;rec-number&gt;1190&lt;/rec-number&gt;&lt;foreign-keys&gt;&lt;key app="EN" db-id="f09zwdf26xeasaevvsjxv00h9rx2v9xarfsw" timestamp="1443058120"&gt;1190&lt;/key&gt;&lt;/foreign-keys&gt;&lt;ref-type name="Journal Article"&gt;17&lt;/ref-type&gt;&lt;contributors&gt;&lt;authors&gt;&lt;author&gt;Corti, R.&lt;/author&gt;&lt;author&gt;Datry, T.&lt;/author&gt;&lt;author&gt;Drummond, L.&lt;/author&gt;&lt;author&gt;Larned, S. T.&lt;/author&gt;&lt;/authors&gt;&lt;/contributors&gt;&lt;titles&gt;&lt;title&gt;Natural variation in immersion and emersion affects breakdown and invertebrate colonization of leaf litter in a temporary river&lt;/title&gt;&lt;secondary-title&gt;Aquatic Sciences&lt;/secondary-title&gt;&lt;/titles&gt;&lt;periodical&gt;&lt;full-title&gt;Aquatic Sciences&lt;/full-title&gt;&lt;/periodical&gt;&lt;pages&gt;537-550&lt;/pages&gt;&lt;volume&gt;73&lt;/volume&gt;&lt;number&gt;4&lt;/number&gt;&lt;dates&gt;&lt;year&gt;2011&lt;/year&gt;&lt;/dates&gt;&lt;urls&gt;&lt;related-urls&gt;&lt;url&gt;http://www.scopus.com/inward/record.url?eid=2-s2.0-80054701104&amp;amp;partnerID=40&amp;amp;md5=de19dbf84b2f5ed5f0f88fec27d0be74&lt;/url&gt;&lt;/related-urls&gt;&lt;/urls&gt;&lt;electronic-resource-num&gt;10.1007/s00027-011-0216-5&lt;/electronic-resource-num&gt;&lt;remote-database-name&gt;Scopus&lt;/remote-database-name&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(2011)</w:t>
      </w:r>
      <w:r w:rsidRPr="00747E35">
        <w:rPr>
          <w:rFonts w:asciiTheme="minorHAnsi" w:hAnsiTheme="minorHAnsi" w:cstheme="minorHAnsi"/>
        </w:rPr>
        <w:fldChar w:fldCharType="end"/>
      </w:r>
      <w:r w:rsidRPr="00747E35">
        <w:rPr>
          <w:rFonts w:asciiTheme="minorHAnsi" w:hAnsiTheme="minorHAnsi" w:cstheme="minorHAnsi"/>
        </w:rPr>
        <w:t xml:space="preserve"> found that leaf (</w:t>
      </w:r>
      <w:r w:rsidRPr="00747E35">
        <w:rPr>
          <w:rFonts w:asciiTheme="minorHAnsi" w:hAnsiTheme="minorHAnsi" w:cstheme="minorHAnsi"/>
          <w:i/>
        </w:rPr>
        <w:t>Populus</w:t>
      </w:r>
      <w:r w:rsidRPr="00747E35">
        <w:rPr>
          <w:rFonts w:asciiTheme="minorHAnsi" w:hAnsiTheme="minorHAnsi" w:cstheme="minorHAnsi"/>
        </w:rPr>
        <w:t xml:space="preserve"> sp.) breakdown rates decreased with increasing cumulative emersed duration (i.e. total number of day of emersion during the experiment). Our findings, and the previous research, indicate that small reductions in flow permanence may have large impacts on detrital processes in surface habitats. While variation in the degree of substrate saturation among experimental incubations is likely the primary factor mediating organic matter decomposition, with several lines of evidence supporting this notion, we cannot rule out the co-influence of temperature: pool water height was often highest during the summer experimental incubations, making it difficult to investigate the influences of pool height and temperature separately.</w:t>
      </w:r>
    </w:p>
    <w:p w14:paraId="402A876C"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t>Role of microbes for detrital processes</w:t>
      </w:r>
    </w:p>
    <w:p w14:paraId="3A9A1FB0" w14:textId="152EFB8E" w:rsidR="003D3694" w:rsidRPr="00747E35" w:rsidRDefault="003D3694" w:rsidP="003D3694">
      <w:pPr>
        <w:rPr>
          <w:rFonts w:asciiTheme="minorHAnsi" w:hAnsiTheme="minorHAnsi" w:cstheme="minorHAnsi"/>
        </w:rPr>
      </w:pPr>
      <w:r w:rsidRPr="00747E35">
        <w:rPr>
          <w:rFonts w:asciiTheme="minorHAnsi" w:hAnsiTheme="minorHAnsi" w:cstheme="minorHAnsi"/>
        </w:rPr>
        <w:t>The processing of leaf litter (</w:t>
      </w:r>
      <w:r w:rsidRPr="00747E35">
        <w:rPr>
          <w:rFonts w:asciiTheme="minorHAnsi" w:hAnsiTheme="minorHAnsi" w:cstheme="minorHAnsi"/>
          <w:i/>
        </w:rPr>
        <w:t>E. tereticornis</w:t>
      </w:r>
      <w:r w:rsidRPr="00747E35">
        <w:rPr>
          <w:rFonts w:asciiTheme="minorHAnsi" w:hAnsiTheme="minorHAnsi" w:cstheme="minorHAnsi"/>
        </w:rPr>
        <w:t xml:space="preserve">) was dominated by microbial decomposition in both surface and hyporheic environments, with very little evidence of macroinvertebrate consumption or mass loss due to physical processes (i.e. fragmentation;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_Ref467123566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45</w:t>
      </w:r>
      <w:r w:rsidRPr="00747E35">
        <w:rPr>
          <w:rFonts w:asciiTheme="minorHAnsi" w:hAnsiTheme="minorHAnsi" w:cstheme="minorHAnsi"/>
          <w:highlight w:val="yellow"/>
        </w:rPr>
        <w:fldChar w:fldCharType="end"/>
      </w:r>
      <w:r w:rsidRPr="00747E35">
        <w:rPr>
          <w:rFonts w:asciiTheme="minorHAnsi" w:hAnsiTheme="minorHAnsi" w:cstheme="minorHAnsi"/>
        </w:rPr>
        <w:t xml:space="preserve">). While microbial decomposition dominated overall leaf litter processing, 8% more leaf processing was evident in the presence of macroinvertebrates in pool habitats during the wetter incubation period. Pool habitats act as a biological refuge in intermittent streams due to their lower geomorphic position and greater hydrological permanency than other surface habitats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&lt;EndNote&gt;&lt;Cite&gt;&lt;Author&gt;Labbe&lt;/Author&gt;&lt;Year&gt;2000&lt;/Year&gt;&lt;RecNum&gt;1356&lt;/RecNum&gt;&lt;DisplayText&gt;(Labbe and Fausch, 2000)&lt;/DisplayText&gt;&lt;record&gt;&lt;rec-number&gt;1356&lt;/rec-number&gt;&lt;foreign-keys&gt;&lt;key app="EN" db-id="f09zwdf26xeasaevvsjxv00h9rx2v9xarfsw" timestamp="1478221024"&gt;1356&lt;/key&gt;&lt;/foreign-keys&gt;&lt;ref-type name="Journal Article"&gt;17&lt;/ref-type&gt;&lt;contributors&gt;&lt;authors&gt;&lt;author&gt;Labbe, Theodore R.&lt;/author&gt;&lt;author&gt;Fausch, Kurt D.&lt;/author&gt;&lt;/authors&gt;&lt;/contributors&gt;&lt;titles&gt;&lt;title&gt;Dynamics of intermittent stream habitat regulate persistence of a threatened fish at multiple scales&lt;/title&gt;&lt;secondary-title&gt;Ecological Applications&lt;/secondary-title&gt;&lt;/titles&gt;&lt;periodical&gt;&lt;full-title&gt;Ecological Applications&lt;/full-title&gt;&lt;/periodical&gt;&lt;pages&gt;1774-1791&lt;/pages&gt;&lt;volume&gt;10&lt;/volume&gt;&lt;number&gt;6&lt;/number&gt;&lt;keywords&gt;&lt;keyword&gt;dispersal&lt;/keyword&gt;&lt;keyword&gt;Etheostoma cragini&lt;/keyword&gt;&lt;keyword&gt;floods&lt;/keyword&gt;&lt;keyword&gt;habitat-specific demography&lt;/keyword&gt;&lt;keyword&gt;intermittent streams&lt;/keyword&gt;&lt;keyword&gt;introduced predator&lt;/keyword&gt;&lt;keyword&gt;population persistence&lt;/keyword&gt;&lt;keyword&gt;scale&lt;/keyword&gt;&lt;keyword&gt;source-sink dynamics&lt;/keyword&gt;&lt;keyword&gt;stream fish&lt;/keyword&gt;&lt;/keywords&gt;&lt;dates&gt;&lt;year&gt;2000&lt;/year&gt;&lt;/dates&gt;&lt;publisher&gt;Ecological Society of America&lt;/publisher&gt;&lt;isbn&gt;1939-5582&lt;/isbn&gt;&lt;urls&gt;&lt;related-urls&gt;&lt;url&gt;http://dx.doi.org/10.1890/1051-0761(2000)010[1774:DOISHR]2.0.CO;2&lt;/url&gt;&lt;/related-urls&gt;&lt;/urls&gt;&lt;electronic-resource-num&gt;10.1890/1051-0761(2000)010[1774:DOISHR]2.0.CO;2&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(Labbe and Fausch, 2000)</w:t>
      </w:r>
      <w:r w:rsidRPr="00747E35">
        <w:rPr>
          <w:rFonts w:asciiTheme="minorHAnsi" w:hAnsiTheme="minorHAnsi" w:cstheme="minorHAnsi"/>
        </w:rPr>
        <w:fldChar w:fldCharType="end"/>
      </w:r>
      <w:r w:rsidRPr="00747E35">
        <w:rPr>
          <w:rFonts w:asciiTheme="minorHAnsi" w:hAnsiTheme="minorHAnsi" w:cstheme="minorHAnsi"/>
        </w:rPr>
        <w:t xml:space="preserve">. This hydrological permanency likely leads to greater leaf palatability via greater leaching and pre-conditioning by microbes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&lt;EndNote&gt;&lt;Cite&gt;&lt;Author&gt;Bunn&lt;/Author&gt;&lt;Year&gt;1988&lt;/Year&gt;&lt;RecNum&gt;142&lt;/RecNum&gt;&lt;DisplayText&gt;(Bunn, 1988)&lt;/DisplayText&gt;&lt;record&gt;&lt;rec-number&gt;142&lt;/rec-number&gt;&lt;foreign-keys&gt;&lt;key app="EN" db-id="f09zwdf26xeasaevvsjxv00h9rx2v9xarfsw" timestamp="1399199501"&gt;142&lt;/key&gt;&lt;/foreign-keys&gt;&lt;ref-type name="Journal Article"&gt;17&lt;/ref-type&gt;&lt;contributors&gt;&lt;authors&gt;&lt;author&gt;Bunn, S. E.&lt;/author&gt;&lt;/authors&gt;&lt;/contributors&gt;&lt;auth-address&gt;Department of Zoology, University of Western Australia, Nedlands, 6009, Western Australia, Australia&lt;/auth-address&gt;&lt;titles&gt;&lt;title&gt;Processing of leaf litter in a northern jarrah forest stream, Western Australia: I. Seasonal differences&lt;/title&gt;&lt;secondary-title&gt;Hydrobiologia&lt;/secondary-title&gt;&lt;/titles&gt;&lt;periodical&gt;&lt;full-title&gt;Hydrobiologia&lt;/full-title&gt;&lt;/periodical&gt;&lt;pages&gt;201-210&lt;/pages&gt;&lt;volume&gt;162&lt;/volume&gt;&lt;number&gt;3&lt;/number&gt;&lt;keywords&gt;&lt;keyword&gt;decomposition&lt;/keyword&gt;&lt;keyword&gt;Eucalyptus marginata&lt;/keyword&gt;&lt;keyword&gt;leaf litter&lt;/keyword&gt;&lt;keyword&gt;seasonality&lt;/keyword&gt;&lt;keyword&gt;streams&lt;/keyword&gt;&lt;/keywords&gt;&lt;dates&gt;&lt;year&gt;1988&lt;/year&gt;&lt;/dates&gt;&lt;publisher&gt;Kluwer Academic Publishers&lt;/publisher&gt;&lt;isbn&gt;00188158 (ISSN)&lt;/isbn&gt;&lt;urls&gt;&lt;related-urls&gt;&lt;url&gt;http://www.scopus.com/inward/record.url?eid=2-s2.0-0001574147&amp;amp;partnerID=40&amp;amp;md5=73290950205625e56664da2e0df36879&lt;/url&gt;&lt;/related-urls&gt;&lt;/urls&gt;&lt;electronic-resource-num&gt;10.1007/bf00016668&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(Bunn, 1988)</w:t>
      </w:r>
      <w:r w:rsidRPr="00747E35">
        <w:rPr>
          <w:rFonts w:asciiTheme="minorHAnsi" w:hAnsiTheme="minorHAnsi" w:cstheme="minorHAnsi"/>
        </w:rPr>
        <w:fldChar w:fldCharType="end"/>
      </w:r>
      <w:r w:rsidRPr="00747E35">
        <w:rPr>
          <w:rFonts w:asciiTheme="minorHAnsi" w:hAnsiTheme="minorHAnsi" w:cstheme="minorHAnsi"/>
        </w:rPr>
        <w:t xml:space="preserve"> and, together with greater abundances of shredding macroinvertebrates, may increase the consumption of leaf material. Although macroinvertebrates appear to play an important role in mediating detrital processes in more saturated habitats during wetter periods, microbial decomposition was still the most important driver of detrital processes in our intermittent study steams.</w:t>
      </w:r>
    </w:p>
    <w:p w14:paraId="45BE7A87"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t>Important role of the hyporheic zone</w:t>
      </w:r>
    </w:p>
    <w:p w14:paraId="376F73D8"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hyporheic zone emerged as an important location of detrital processes in our intermittent study streams, with rates of leaf litter processing and cellulose breakdown consistently greater in hyporheic than in paired surface habitats. The strong patterns revealed in this study contrast with most previous research that found lower leaf decomposition in buried than in surface treatments </w:t>
      </w:r>
      <w:r w:rsidRPr="00747E35">
        <w:rPr>
          <w:rFonts w:asciiTheme="minorHAnsi" w:hAnsiTheme="minorHAnsi" w:cstheme="minorHAnsi"/>
        </w:rPr>
        <w:fldChar w:fldCharType="begin">
          <w:fldData xml:space="preserve">PEVuZE5vdGU+PENpdGU+PEF1dGhvcj5Db3JudXQ8L0F1dGhvcj48WWVhcj4yMDEwPC9ZZWFyPjxS
ZWNOdW0+MTMxNjwvUmVjTnVtPjxEaXNwbGF5VGV4dD4oTWV0emxlciBhbmQgU21vY2ssIDE5OTA7
IE5hYW1hbmU8c3R5bGUgZmFjZT0iaXRhbGljIj4gZXQgYWwuPC9zdHlsZT4sIDE5OTk7IENvcm51
dDxzdHlsZSBmYWNlPSJpdGFsaWMiPiBldCBhbC48L3N0eWxlPiwgMjAxMCk8L0Rpc3BsYXlUZXh0
PjxyZWNvcmQ+PHJlYy1udW1iZXI+MTMxNjwvcmVjLW51bWJlcj48Zm9yZWlnbi1rZXlzPjxrZXkg
YXBwPSJFTiIgZGItaWQ9ImYwOXp3ZGYyNnhlYXNhZXZ2c2p4djAwaDlyeDJ2OXhhcmZzdyIgdGlt
ZXN0YW1wPSIxNDc3MTEyNTc5Ij4xMzE2PC9rZXk+PC9mb3JlaWduLWtleXM+PHJlZi10eXBlIG5h
bWU9IkpvdXJuYWwgQXJ0aWNsZSI+MTc8L3JlZi10eXBlPjxjb250cmlidXRvcnM+PGF1dGhvcnM+
PGF1dGhvcj5Db3JudXQsIEp1bGllbjwvYXV0aG9yPjxhdXRob3I+RWxnZXIsIEFybmF1ZDwvYXV0
aG9yPjxhdXRob3I+TGFtYnJpZ290LCBEaWRpZXI8L2F1dGhvcj48YXV0aG9yPk1hcm1vbmllciwg
UGllcnJlPC9hdXRob3I+PGF1dGhvcj5DaGF1dmV0LCBFcmljPC9hdXRob3I+PC9hdXRob3JzPjwv
Y29udHJpYnV0b3JzPjx0aXRsZXM+PHRpdGxlPkVhcmx5IHN0YWdlcyBvZiBsZWFmIGRlY29tcG9z
aXRpb24gYXJlIG1lZGlhdGVkIGJ5IGFxdWF0aWMgZnVuZ2kgaW4gdGhlIGh5cG9yaGVpYyB6b25l
IG9mIHdvb2RsYW5kIHN0cmVhbXM8L3RpdGxlPjxzZWNvbmRhcnktdGl0bGU+RnJlc2h3YXRlciBC
aW9sb2d5PC9zZWNvbmRhcnktdGl0bGU+PC90aXRsZXM+PHBlcmlvZGljYWw+PGZ1bGwtdGl0bGU+
RnJlc2h3YXRlciBCaW9sb2d5PC9mdWxsLXRpdGxlPjwvcGVyaW9kaWNhbD48cGFnZXM+MjU0MS0y
NTU2PC9wYWdlcz48dm9sdW1lPjU1PC92b2x1bWU+PG51bWJlcj4xMjwvbnVtYmVyPjxrZXl3b3Jk
cz48a2V5d29yZD5hcXVhdGljIGh5cGhvbXljZXRlczwva2V5d29yZD48a2V5d29yZD5saXR0ZXIg
YnJlYWtkb3duPC9rZXl3b3JkPjxrZXl3b3JkPm9yZ2FuaWMgbWF0dGVyPC9rZXl3b3JkPjxrZXl3
b3JkPnJpdmVyIHNlZGltZW50PC9rZXl3b3JkPjxrZXl3b3JkPnNocmVkZGVyczwva2V5d29yZD48
L2tleXdvcmRzPjxkYXRlcz48eWVhcj4yMDEwPC95ZWFyPjwvZGF0ZXM+PHB1Ymxpc2hlcj5CbGFj
a3dlbGwgUHVibGlzaGluZyBMdGQ8L3B1Ymxpc2hlcj48aXNibj4xMzY1LTI0Mjc8L2lzYm4+PHVy
bHM+PHJlbGF0ZWQtdXJscz48dXJsPmh0dHA6Ly9keC5kb2kub3JnLzEwLjExMTEvai4xMzY1LTI0
MjcuMjAxMC4wMjQ4My54PC91cmw+PC9yZWxhdGVkLXVybHM+PC91cmxzPjxlbGVjdHJvbmljLXJl
c291cmNlLW51bT4xMC4xMTExL2ouMTM2NS0yNDI3LjIwMTAuMDI0ODMueDwvZWxlY3Ryb25pYy1y
ZXNvdXJjZS1udW0+PC9yZWNvcmQ+PC9DaXRlPjxDaXRlPjxBdXRob3I+TmFhbWFuZTwvQXV0aG9y
PjxZZWFyPjE5OTk8L1llYXI+PFJlY051bT4xMzIxPC9SZWNOdW0+PHJlY29yZD48cmVjLW51bWJl
cj4xMzIxPC9yZWMtbnVtYmVyPjxmb3JlaWduLWtleXM+PGtleSBhcHA9IkVOIiBkYi1pZD0iZjA5
endkZjI2eGVhc2FldnZzanh2MDBoOXJ4MnY5eGFyZnN3IiB0aW1lc3RhbXA9IjE0NzcyNzUzMzYi
PjEzMjE8L2tleT48L2ZvcmVpZ24ta2V5cz48cmVmLXR5cGUgbmFtZT0iSm91cm5hbCBBcnRpY2xl
Ij4xNzwvcmVmLXR5cGU+PGNvbnRyaWJ1dG9ycz48YXV0aG9ycz48YXV0aG9yPk5hYW1hbmUsIEIu
PC9hdXRob3I+PGF1dGhvcj5DaGVyZ3VpLCBILjwvYXV0aG9yPjxhdXRob3I+UGF0dGVlLCBFLjwv
YXV0aG9yPjwvYXV0aG9ycz48L2NvbnRyaWJ1dG9ycz48dGl0bGVzPjx0aXRsZT5UaGUgYnJlYWtk
b3duIG9mIGxlYXZlcyBvZiBwb3BsYXIgYW5kIGhvbG0gb2FrIGluIHRocmVlIE1vcm9jY2FuIHN0
cmVhbXM6IEVmZmVjdCBvZiBidXJpYWwgaW4gdGhlIHNlZGltZW50PC90aXRsZT48c2Vjb25kYXJ5
LXRpdGxlPkFubmFsZXMgZGUgTGltbm9sb2dpZTwvc2Vjb25kYXJ5LXRpdGxlPjwvdGl0bGVzPjxw
ZXJpb2RpY2FsPjxmdWxsLXRpdGxlPkFubmFsZXMgZGUgTGltbm9sb2dpZTwvZnVsbC10aXRsZT48
L3BlcmlvZGljYWw+PHBhZ2VzPjI2My0yNzU8L3BhZ2VzPjx2b2x1bWU+MzU8L3ZvbHVtZT48bnVt
YmVyPjQ8L251bWJlcj48ZGF0ZXM+PHllYXI+MTk5OTwveWVhcj48L2RhdGVzPjx3b3JrLXR5cGU+
QXJ0aWNsZTwvd29yay10eXBlPjx1cmxzPjxyZWxhdGVkLXVybHM+PHVybD5odHRwczovL3d3dy5z
Y29wdXMuY29tL2lud2FyZC9yZWNvcmQudXJpP2VpZD0yLXMyLjAtMDAzMzM3NDI5MSZhbXA7cGFy
dG5lcklEPTQwJmFtcDttZDU9YjU2OGRkMDdlNWFlYTY5NzY1ZmIxYzJjMDJmYWJmYTc8L3VybD48
L3JlbGF0ZWQtdXJscz48L3VybHM+PHJlbW90ZS1kYXRhYmFzZS1uYW1lPlNjb3B1czwvcmVtb3Rl
LWRhdGFiYXNlLW5hbWU+PC9yZWNvcmQ+PC9DaXRlPjxDaXRlPjxBdXRob3I+TWV0emxlcjwvQXV0
aG9yPjxZZWFyPjE5OTA8L1llYXI+PFJlY051bT4xMzIyPC9SZWNOdW0+PHJlY29yZD48cmVjLW51
bWJlcj4xMzIyPC9yZWMtbnVtYmVyPjxmb3JlaWduLWtleXM+PGtleSBhcHA9IkVOIiBkYi1pZD0i
ZjA5endkZjI2eGVhc2FldnZzanh2MDBoOXJ4MnY5eGFyZnN3IiB0aW1lc3RhbXA9IjE0NzcyNzU0
NjUiPjEzMjI8L2tleT48L2ZvcmVpZ24ta2V5cz48cmVmLXR5cGUgbmFtZT0iSm91cm5hbCBBcnRp
Y2xlIj4xNzwvcmVmLXR5cGU+PGNvbnRyaWJ1dG9ycz48YXV0aG9ycz48YXV0aG9yPk1ldHpsZXIs
IEdsZW5uIE0uPC9hdXRob3I+PGF1dGhvcj5TbW9jaywgTGVvbmFyZCBBLjwvYXV0aG9yPjwvYXV0
aG9ycz48L2NvbnRyaWJ1dG9ycz48dGl0bGVzPjx0aXRsZT5TdG9yYWdlIGFuZCBEeW5hbWljcyBv
ZiBTdWJzdXJmYWNlIERldHJpdHVzIGluIGEgU2FuZC1Cb3R0b21lZCBTdHJlYW08L3RpdGxlPjxz
ZWNvbmRhcnktdGl0bGU+Q2FuYWRpYW4gSm91cm5hbCBvZiBGaXNoZXJpZXMgYW5kIEFxdWF0aWMg
U2NpZW5jZXM8L3NlY29uZGFyeS10aXRsZT48L3RpdGxlcz48cGVyaW9kaWNhbD48ZnVsbC10aXRs
ZT5DYW5hZGlhbiBKb3VybmFsIG9mIEZpc2hlcmllcyBhbmQgQXF1YXRpYyBTY2llbmNlczwvZnVs
bC10aXRsZT48L3BlcmlvZGljYWw+PHBhZ2VzPjU4OC01OTQ8L3BhZ2VzPjx2b2x1bWU+NDc8L3Zv
bHVtZT48bnVtYmVyPjM8L251bWJlcj48ZGF0ZXM+PHllYXI+MTk5MDwveWVhcj48cHViLWRhdGVz
PjxkYXRlPjE5OTAvMDMvMDE8L2RhdGU+PC9wdWItZGF0ZXM+PC9kYXRlcz48cHVibGlzaGVyPk5S
QyBSZXNlYXJjaCBQcmVzczwvcHVibGlzaGVyPjxpc2JuPjA3MDYtNjUyWDwvaXNibj48dXJscz48
cmVsYXRlZC11cmxzPjx1cmw+aHR0cDovL2R4LmRvaS5vcmcvMTAuMTEzOS9mOTAtMDY3PC91cmw+
PC9yZWxhdGVkLXVybHM+PC91cmxzPjxlbGVjdHJvbmljLXJlc291cmNlLW51bT4xMC4xMTM5L2Y5
MC0wNjc8L2VsZWN0cm9uaWMtcmVzb3VyY2UtbnVtPjxhY2Nlc3MtZGF0ZT4yMDE2LzEwLzIzPC9h
Y2Nlc3MtZGF0ZT48L3JlY29yZD48L0NpdGU+PC9FbmROb3RlPgB=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PEVuZE5vdGU+PENpdGU+PEF1dGhvcj5Db3JudXQ8L0F1dGhvcj48WWVhcj4yMDEwPC9ZZWFyPjxS
ZWNOdW0+MTMxNjwvUmVjTnVtPjxEaXNwbGF5VGV4dD4oTWV0emxlciBhbmQgU21vY2ssIDE5OTA7
IE5hYW1hbmU8c3R5bGUgZmFjZT0iaXRhbGljIj4gZXQgYWwuPC9zdHlsZT4sIDE5OTk7IENvcm51
dDxzdHlsZSBmYWNlPSJpdGFsaWMiPiBldCBhbC48L3N0eWxlPiwgMjAxMCk8L0Rpc3BsYXlUZXh0
PjxyZWNvcmQ+PHJlYy1udW1iZXI+MTMxNjwvcmVjLW51bWJlcj48Zm9yZWlnbi1rZXlzPjxrZXkg
YXBwPSJFTiIgZGItaWQ9ImYwOXp3ZGYyNnhlYXNhZXZ2c2p4djAwaDlyeDJ2OXhhcmZzdyIgdGlt
ZXN0YW1wPSIxNDc3MTEyNTc5Ij4xMzE2PC9rZXk+PC9mb3JlaWduLWtleXM+PHJlZi10eXBlIG5h
bWU9IkpvdXJuYWwgQXJ0aWNsZSI+MTc8L3JlZi10eXBlPjxjb250cmlidXRvcnM+PGF1dGhvcnM+
PGF1dGhvcj5Db3JudXQsIEp1bGllbjwvYXV0aG9yPjxhdXRob3I+RWxnZXIsIEFybmF1ZDwvYXV0
aG9yPjxhdXRob3I+TGFtYnJpZ290LCBEaWRpZXI8L2F1dGhvcj48YXV0aG9yPk1hcm1vbmllciwg
UGllcnJlPC9hdXRob3I+PGF1dGhvcj5DaGF1dmV0LCBFcmljPC9hdXRob3I+PC9hdXRob3JzPjwv
Y29udHJpYnV0b3JzPjx0aXRsZXM+PHRpdGxlPkVhcmx5IHN0YWdlcyBvZiBsZWFmIGRlY29tcG9z
aXRpb24gYXJlIG1lZGlhdGVkIGJ5IGFxdWF0aWMgZnVuZ2kgaW4gdGhlIGh5cG9yaGVpYyB6b25l
IG9mIHdvb2RsYW5kIHN0cmVhbXM8L3RpdGxlPjxzZWNvbmRhcnktdGl0bGU+RnJlc2h3YXRlciBC
aW9sb2d5PC9zZWNvbmRhcnktdGl0bGU+PC90aXRsZXM+PHBlcmlvZGljYWw+PGZ1bGwtdGl0bGU+
RnJlc2h3YXRlciBCaW9sb2d5PC9mdWxsLXRpdGxlPjwvcGVyaW9kaWNhbD48cGFnZXM+MjU0MS0y
NTU2PC9wYWdlcz48dm9sdW1lPjU1PC92b2x1bWU+PG51bWJlcj4xMjwvbnVtYmVyPjxrZXl3b3Jk
cz48a2V5d29yZD5hcXVhdGljIGh5cGhvbXljZXRlczwva2V5d29yZD48a2V5d29yZD5saXR0ZXIg
YnJlYWtkb3duPC9rZXl3b3JkPjxrZXl3b3JkPm9yZ2FuaWMgbWF0dGVyPC9rZXl3b3JkPjxrZXl3
b3JkPnJpdmVyIHNlZGltZW50PC9rZXl3b3JkPjxrZXl3b3JkPnNocmVkZGVyczwva2V5d29yZD48
L2tleXdvcmRzPjxkYXRlcz48eWVhcj4yMDEwPC95ZWFyPjwvZGF0ZXM+PHB1Ymxpc2hlcj5CbGFj
a3dlbGwgUHVibGlzaGluZyBMdGQ8L3B1Ymxpc2hlcj48aXNibj4xMzY1LTI0Mjc8L2lzYm4+PHVy
bHM+PHJlbGF0ZWQtdXJscz48dXJsPmh0dHA6Ly9keC5kb2kub3JnLzEwLjExMTEvai4xMzY1LTI0
MjcuMjAxMC4wMjQ4My54PC91cmw+PC9yZWxhdGVkLXVybHM+PC91cmxzPjxlbGVjdHJvbmljLXJl
c291cmNlLW51bT4xMC4xMTExL2ouMTM2NS0yNDI3LjIwMTAuMDI0ODMueDwvZWxlY3Ryb25pYy1y
ZXNvdXJjZS1udW0+PC9yZWNvcmQ+PC9DaXRlPjxDaXRlPjxBdXRob3I+TmFhbWFuZTwvQXV0aG9y
PjxZZWFyPjE5OTk8L1llYXI+PFJlY051bT4xMzIxPC9SZWNOdW0+PHJlY29yZD48cmVjLW51bWJl
cj4xMzIxPC9yZWMtbnVtYmVyPjxmb3JlaWduLWtleXM+PGtleSBhcHA9IkVOIiBkYi1pZD0iZjA5
endkZjI2eGVhc2FldnZzanh2MDBoOXJ4MnY5eGFyZnN3IiB0aW1lc3RhbXA9IjE0NzcyNzUzMzYi
PjEzMjE8L2tleT48L2ZvcmVpZ24ta2V5cz48cmVmLXR5cGUgbmFtZT0iSm91cm5hbCBBcnRpY2xl
Ij4xNzwvcmVmLXR5cGU+PGNvbnRyaWJ1dG9ycz48YXV0aG9ycz48YXV0aG9yPk5hYW1hbmUsIEIu
PC9hdXRob3I+PGF1dGhvcj5DaGVyZ3VpLCBILjwvYXV0aG9yPjxhdXRob3I+UGF0dGVlLCBFLjwv
YXV0aG9yPjwvYXV0aG9ycz48L2NvbnRyaWJ1dG9ycz48dGl0bGVzPjx0aXRsZT5UaGUgYnJlYWtk
b3duIG9mIGxlYXZlcyBvZiBwb3BsYXIgYW5kIGhvbG0gb2FrIGluIHRocmVlIE1vcm9jY2FuIHN0
cmVhbXM6IEVmZmVjdCBvZiBidXJpYWwgaW4gdGhlIHNlZGltZW50PC90aXRsZT48c2Vjb25kYXJ5
LXRpdGxlPkFubmFsZXMgZGUgTGltbm9sb2dpZTwvc2Vjb25kYXJ5LXRpdGxlPjwvdGl0bGVzPjxw
ZXJpb2RpY2FsPjxmdWxsLXRpdGxlPkFubmFsZXMgZGUgTGltbm9sb2dpZTwvZnVsbC10aXRsZT48
L3BlcmlvZGljYWw+PHBhZ2VzPjI2My0yNzU8L3BhZ2VzPjx2b2x1bWU+MzU8L3ZvbHVtZT48bnVt
YmVyPjQ8L251bWJlcj48ZGF0ZXM+PHllYXI+MTk5OTwveWVhcj48L2RhdGVzPjx3b3JrLXR5cGU+
QXJ0aWNsZTwvd29yay10eXBlPjx1cmxzPjxyZWxhdGVkLXVybHM+PHVybD5odHRwczovL3d3dy5z
Y29wdXMuY29tL2lud2FyZC9yZWNvcmQudXJpP2VpZD0yLXMyLjAtMDAzMzM3NDI5MSZhbXA7cGFy
dG5lcklEPTQwJmFtcDttZDU9YjU2OGRkMDdlNWFlYTY5NzY1ZmIxYzJjMDJmYWJmYTc8L3VybD48
L3JlbGF0ZWQtdXJscz48L3VybHM+PHJlbW90ZS1kYXRhYmFzZS1uYW1lPlNjb3B1czwvcmVtb3Rl
LWRhdGFiYXNlLW5hbWU+PC9yZWNvcmQ+PC9DaXRlPjxDaXRlPjxBdXRob3I+TWV0emxlcjwvQXV0
aG9yPjxZZWFyPjE5OTA8L1llYXI+PFJlY051bT4xMzIyPC9SZWNOdW0+PHJlY29yZD48cmVjLW51
bWJlcj4xMzIyPC9yZWMtbnVtYmVyPjxmb3JlaWduLWtleXM+PGtleSBhcHA9IkVOIiBkYi1pZD0i
ZjA5endkZjI2eGVhc2FldnZzanh2MDBoOXJ4MnY5eGFyZnN3IiB0aW1lc3RhbXA9IjE0NzcyNzU0
NjUiPjEzMjI8L2tleT48L2ZvcmVpZ24ta2V5cz48cmVmLXR5cGUgbmFtZT0iSm91cm5hbCBBcnRp
Y2xlIj4xNzwvcmVmLXR5cGU+PGNvbnRyaWJ1dG9ycz48YXV0aG9ycz48YXV0aG9yPk1ldHpsZXIs
IEdsZW5uIE0uPC9hdXRob3I+PGF1dGhvcj5TbW9jaywgTGVvbmFyZCBBLjwvYXV0aG9yPjwvYXV0
aG9ycz48L2NvbnRyaWJ1dG9ycz48dGl0bGVzPjx0aXRsZT5TdG9yYWdlIGFuZCBEeW5hbWljcyBv
ZiBTdWJzdXJmYWNlIERldHJpdHVzIGluIGEgU2FuZC1Cb3R0b21lZCBTdHJlYW08L3RpdGxlPjxz
ZWNvbmRhcnktdGl0bGU+Q2FuYWRpYW4gSm91cm5hbCBvZiBGaXNoZXJpZXMgYW5kIEFxdWF0aWMg
U2NpZW5jZXM8L3NlY29uZGFyeS10aXRsZT48L3RpdGxlcz48cGVyaW9kaWNhbD48ZnVsbC10aXRs
ZT5DYW5hZGlhbiBKb3VybmFsIG9mIEZpc2hlcmllcyBhbmQgQXF1YXRpYyBTY2llbmNlczwvZnVs
bC10aXRsZT48L3BlcmlvZGljYWw+PHBhZ2VzPjU4OC01OTQ8L3BhZ2VzPjx2b2x1bWU+NDc8L3Zv
bHVtZT48bnVtYmVyPjM8L251bWJlcj48ZGF0ZXM+PHllYXI+MTk5MDwveWVhcj48cHViLWRhdGVz
PjxkYXRlPjE5OTAvMDMvMDE8L2RhdGU+PC9wdWItZGF0ZXM+PC9kYXRlcz48cHVibGlzaGVyPk5S
QyBSZXNlYXJjaCBQcmVzczwvcHVibGlzaGVyPjxpc2JuPjA3MDYtNjUyWDwvaXNibj48dXJscz48
cmVsYXRlZC11cmxzPjx1cmw+aHR0cDovL2R4LmRvaS5vcmcvMTAuMTEzOS9mOTAtMDY3PC91cmw+
PC9yZWxhdGVkLXVybHM+PC91cmxzPjxlbGVjdHJvbmljLXJlc291cmNlLW51bT4xMC4xMTM5L2Y5
MC0wNjc8L2VsZWN0cm9uaWMtcmVzb3VyY2UtbnVtPjxhY2Nlc3MtZGF0ZT4yMDE2LzEwLzIzPC9h
Y2Nlc3MtZGF0ZT48L3JlY29yZD48L0NpdGU+PC9FbmROb3RlPgB=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(Metzler and Smock, 1990; Naamane</w:t>
      </w:r>
      <w:r w:rsidRPr="00747E35">
        <w:rPr>
          <w:rFonts w:asciiTheme="minorHAnsi" w:hAnsiTheme="minorHAnsi" w:cstheme="minorHAnsi"/>
          <w:i/>
          <w:noProof/>
        </w:rPr>
        <w:t xml:space="preserve"> et al.</w:t>
      </w:r>
      <w:r w:rsidRPr="00747E35">
        <w:rPr>
          <w:rFonts w:asciiTheme="minorHAnsi" w:hAnsiTheme="minorHAnsi" w:cstheme="minorHAnsi"/>
          <w:noProof/>
        </w:rPr>
        <w:t>, 1999; Cornut</w:t>
      </w:r>
      <w:r w:rsidRPr="00747E35">
        <w:rPr>
          <w:rFonts w:asciiTheme="minorHAnsi" w:hAnsiTheme="minorHAnsi" w:cstheme="minorHAnsi"/>
          <w:i/>
          <w:noProof/>
        </w:rPr>
        <w:t xml:space="preserve"> et al.</w:t>
      </w:r>
      <w:r w:rsidRPr="00747E35">
        <w:rPr>
          <w:rFonts w:asciiTheme="minorHAnsi" w:hAnsiTheme="minorHAnsi" w:cstheme="minorHAnsi"/>
          <w:noProof/>
        </w:rPr>
        <w:t>, 2010)</w:t>
      </w:r>
      <w:r w:rsidRPr="00747E35">
        <w:rPr>
          <w:rFonts w:asciiTheme="minorHAnsi" w:hAnsiTheme="minorHAnsi" w:cstheme="minorHAnsi"/>
        </w:rPr>
        <w:fldChar w:fldCharType="end"/>
      </w:r>
      <w:r w:rsidRPr="00747E35">
        <w:rPr>
          <w:rFonts w:asciiTheme="minorHAnsi" w:hAnsiTheme="minorHAnsi" w:cstheme="minorHAnsi"/>
        </w:rPr>
        <w:t>. Although we can only speculate as to what mechanisms lead to greater organic matter processing in the hyporheic zone, we know that: a) the hyporheic zone was always as wet as, or wetter than, corresponding surface habitat; and, b) differences between surface and hyporheic treatments were only significant during dry incubation periods and in drier habitats (i.e. gravel bar). Together, these results indicate that substrate moisture status was a key driver of the greater hyporheic organic matter processing. Other reasons may include a greater surface area of leaf and cotton in contact with sediment microorganisms, and more stable habitat conditions, in the hyporheic habitats in our study than in others due to the prevalence of groundwater contributions to baseflow.</w:t>
      </w:r>
    </w:p>
    <w:p w14:paraId="49BC0766"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lastRenderedPageBreak/>
        <w:t>Summary</w:t>
      </w:r>
    </w:p>
    <w:p w14:paraId="4D74BD67"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Overall, our two complementary measures of organic matter processing indicate that rates of organic matter processing are principally linked to the degree of substrate saturation at multiple scales. At the patch scale, organic matter processing in surface habitats was greater when the benthic substrate was more saturated. At the habitat scale, organic matter processing was greater in those habitats that remain saturated for longer (pool &gt; riffle &gt; dry gravel bar). At the reach scale, organic matter processing within pool and riffle habitats was greater in incubation periods with greater hydrological connection. Overall, this study indicates that a reduction in baseflow, via groundwater extraction, will lead to a greater proportion of dry streambed, greater duration of flow intermittency, and may ultimately lower rates of particulate organic matter processing in surface habitats. Therefore our results support the hypothesised response of organic matter processing to a reduction in baseflow for surface habitats. A phenomenon common to all study streams was the greater rates of organic matter processing in the hyporheic zone compared to surface habitats. Hence, the</w:t>
      </w:r>
      <w:bookmarkStart w:id="145" w:name="_Ref452274412"/>
      <w:r w:rsidRPr="00747E35">
        <w:rPr>
          <w:rFonts w:asciiTheme="minorHAnsi" w:hAnsiTheme="minorHAnsi" w:cstheme="minorHAnsi"/>
        </w:rPr>
        <w:t xml:space="preserve"> hyporheic zone sustains critical ecosystem processes even when surface habitats cease to flow.</w:t>
      </w:r>
    </w:p>
    <w:p w14:paraId="12930119" w14:textId="1D9639E3" w:rsidR="003D3694" w:rsidRPr="00747E35" w:rsidRDefault="003D3694" w:rsidP="003D3694">
      <w:pPr>
        <w:pStyle w:val="Heading2"/>
        <w:rPr>
          <w:rFonts w:asciiTheme="minorHAnsi" w:hAnsiTheme="minorHAnsi" w:cstheme="minorHAnsi"/>
        </w:rPr>
      </w:pPr>
      <w:bookmarkStart w:id="146" w:name="_Toc466450345"/>
      <w:bookmarkStart w:id="147" w:name="_Toc470004848"/>
      <w:bookmarkEnd w:id="145"/>
      <w:r w:rsidRPr="00747E35">
        <w:rPr>
          <w:rFonts w:asciiTheme="minorHAnsi" w:hAnsiTheme="minorHAnsi" w:cstheme="minorHAnsi"/>
        </w:rPr>
        <w:t>Basal resource use and food web dynamics</w:t>
      </w:r>
      <w:bookmarkEnd w:id="146"/>
      <w:bookmarkEnd w:id="147"/>
    </w:p>
    <w:p w14:paraId="2C9DC60B" w14:textId="6A48BDC4" w:rsidR="003D3694" w:rsidRPr="00747E35" w:rsidRDefault="003D3694" w:rsidP="003D3694">
      <w:pPr>
        <w:pStyle w:val="Heading3"/>
        <w:rPr>
          <w:rFonts w:asciiTheme="minorHAnsi" w:hAnsiTheme="minorHAnsi" w:cstheme="minorHAnsi"/>
        </w:rPr>
      </w:pPr>
      <w:bookmarkStart w:id="148" w:name="_Toc470004849"/>
      <w:r w:rsidRPr="00747E35">
        <w:rPr>
          <w:rFonts w:asciiTheme="minorHAnsi" w:hAnsiTheme="minorHAnsi" w:cstheme="minorHAnsi"/>
        </w:rPr>
        <w:t>Introduction</w:t>
      </w:r>
      <w:bookmarkEnd w:id="148"/>
    </w:p>
    <w:p w14:paraId="3BC3630C"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Streamflow reductions are often associated with declines in the availability and quality of aquatic habitats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&lt;EndNote&gt;&lt;Cite&gt;&lt;Author&gt;Rolls&lt;/Author&gt;&lt;Year&gt;2012&lt;/Year&gt;&lt;RecNum&gt;1310&lt;/RecNum&gt;&lt;DisplayText&gt;(Rolls&lt;style face="italic"&gt; et al.&lt;/style&gt;, 2012)&lt;/DisplayText&gt;&lt;record&gt;&lt;rec-number&gt;1310&lt;/rec-number&gt;&lt;foreign-keys&gt;&lt;key app="EN" db-id="f09zwdf26xeasaevvsjxv00h9rx2v9xarfsw" timestamp="1476920968"&gt;1310&lt;/key&gt;&lt;/foreign-keys&gt;&lt;ref-type name="Journal Article"&gt;17&lt;/ref-type&gt;&lt;contributors&gt;&lt;authors&gt;&lt;author&gt;Robert J. Rolls&lt;/author&gt;&lt;author&gt;Catherine Leigh&lt;/author&gt;&lt;author&gt;Fran Sheldon&lt;/author&gt;&lt;/authors&gt;&lt;/contributors&gt;&lt;titles&gt;&lt;title&gt;Mechanistic effects of low-flow hydrology on riverine ecosystems: ecological principles and consequences of alteration&lt;/title&gt;&lt;secondary-title&gt;Freshwater Science&lt;/secondary-title&gt;&lt;/titles&gt;&lt;periodical&gt;&lt;full-title&gt;Freshwater Science&lt;/full-title&gt;&lt;/periodical&gt;&lt;pages&gt;1163-1186&lt;/pages&gt;&lt;volume&gt;31&lt;/volume&gt;&lt;number&gt;4&lt;/number&gt;&lt;keywords&gt;&lt;keyword&gt;flow regime,low flow,drought,habitat,food web,carrying capacity,connectivity,metapopulation,refugia,biodiversity,trophic cascades,biological traits&lt;/keyword&gt;&lt;/keywords&gt;&lt;dates&gt;&lt;year&gt;2012&lt;/year&gt;&lt;/dates&gt;&lt;urls&gt;&lt;related-urls&gt;&lt;url&gt;http://www.journals.uchicago.edu/doi/abs/10.1899/12-002.1&lt;/url&gt;&lt;/related-urls&gt;&lt;/urls&gt;&lt;electronic-resource-num&gt;doi:10.1899/12-002.1&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(Rolls</w:t>
      </w:r>
      <w:r w:rsidRPr="00747E35">
        <w:rPr>
          <w:rFonts w:asciiTheme="minorHAnsi" w:hAnsiTheme="minorHAnsi" w:cstheme="minorHAnsi"/>
          <w:i/>
          <w:noProof/>
        </w:rPr>
        <w:t xml:space="preserve"> et al.</w:t>
      </w:r>
      <w:r w:rsidRPr="00747E35">
        <w:rPr>
          <w:rFonts w:asciiTheme="minorHAnsi" w:hAnsiTheme="minorHAnsi" w:cstheme="minorHAnsi"/>
          <w:noProof/>
        </w:rPr>
        <w:t>, 2012)</w:t>
      </w:r>
      <w:r w:rsidRPr="00747E35">
        <w:rPr>
          <w:rFonts w:asciiTheme="minorHAnsi" w:hAnsiTheme="minorHAnsi" w:cstheme="minorHAnsi"/>
        </w:rPr>
        <w:fldChar w:fldCharType="end"/>
      </w:r>
      <w:r w:rsidRPr="00747E35">
        <w:rPr>
          <w:rFonts w:asciiTheme="minorHAnsi" w:hAnsiTheme="minorHAnsi" w:cstheme="minorHAnsi"/>
        </w:rPr>
        <w:t xml:space="preserve">, and may also lead to changes in the composition and size structure of aquatic assemblages and as well as interactions among species. Food webs reflect connections between organisms and basal resources (primary producers and terrestrial organic matter inputs) and are thus a powerful way of evaluating the ecological effects of altered stream flow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&lt;EndNote&gt;&lt;Cite&gt;&lt;Author&gt;Thompson&lt;/Author&gt;&lt;Year&gt;2012&lt;/Year&gt;&lt;RecNum&gt;1311&lt;/RecNum&gt;&lt;DisplayText&gt;(Thompson&lt;style face="italic"&gt; et al.&lt;/style&gt;, 2012)&lt;/DisplayText&gt;&lt;record&gt;&lt;rec-number&gt;1311&lt;/rec-number&gt;&lt;foreign-keys&gt;&lt;key app="EN" db-id="f09zwdf26xeasaevvsjxv00h9rx2v9xarfsw" timestamp="1476921315"&gt;1311&lt;/key&gt;&lt;/foreign-keys&gt;&lt;ref-type name="Journal Article"&gt;17&lt;/ref-type&gt;&lt;contributors&gt;&lt;authors&gt;&lt;author&gt;Thompson, Ross M.&lt;/author&gt;&lt;author&gt;Brose, Ulrich&lt;/author&gt;&lt;author&gt;Dunne, Jennifer A.&lt;/author&gt;&lt;author&gt;Hall Jr, Robert O.&lt;/author&gt;&lt;author&gt;Hladyz, Sally&lt;/author&gt;&lt;author&gt;Kitching, Roger L.&lt;/author&gt;&lt;author&gt;Martinez, Neo D.&lt;/author&gt;&lt;author&gt;Rantala, Heidi&lt;/author&gt;&lt;author&gt;Romanuk, Tamara N.&lt;/author&gt;&lt;author&gt;Stouffer, Daniel B.&lt;/author&gt;&lt;author&gt;Tylianakis, Jason M.&lt;/author&gt;&lt;/authors&gt;&lt;/contributors&gt;&lt;titles&gt;&lt;title&gt;Food webs: reconciling the structure and function of biodiversity&lt;/title&gt;&lt;secondary-title&gt;Trends in Ecology &amp;amp; Evolution&lt;/secondary-title&gt;&lt;/titles&gt;&lt;periodical&gt;&lt;full-title&gt;Trends in Ecology &amp;amp; Evolution&lt;/full-title&gt;&lt;/periodical&gt;&lt;pages&gt;689-697&lt;/pages&gt;&lt;volume&gt;27&lt;/volume&gt;&lt;number&gt;12&lt;/number&gt;&lt;dates&gt;&lt;year&gt;2012&lt;/year&gt;&lt;pub-dates&gt;&lt;date&gt;12//&lt;/date&gt;&lt;/pub-dates&gt;&lt;/dates&gt;&lt;isbn&gt;0169-5347&lt;/isbn&gt;&lt;urls&gt;&lt;related-urls&gt;&lt;url&gt;http://www.sciencedirect.com/science/article/pii/S0169534712002005&lt;/url&gt;&lt;/related-urls&gt;&lt;/urls&gt;&lt;electronic-resource-num&gt;http://dx.doi.org/10.1016/j.tree.2012.08.005&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(Thompson</w:t>
      </w:r>
      <w:r w:rsidRPr="00747E35">
        <w:rPr>
          <w:rFonts w:asciiTheme="minorHAnsi" w:hAnsiTheme="minorHAnsi" w:cstheme="minorHAnsi"/>
          <w:i/>
          <w:noProof/>
        </w:rPr>
        <w:t xml:space="preserve"> et al.</w:t>
      </w:r>
      <w:r w:rsidRPr="00747E35">
        <w:rPr>
          <w:rFonts w:asciiTheme="minorHAnsi" w:hAnsiTheme="minorHAnsi" w:cstheme="minorHAnsi"/>
          <w:noProof/>
        </w:rPr>
        <w:t>, 2012)</w:t>
      </w:r>
      <w:r w:rsidRPr="00747E35">
        <w:rPr>
          <w:rFonts w:asciiTheme="minorHAnsi" w:hAnsiTheme="minorHAnsi" w:cstheme="minorHAnsi"/>
        </w:rPr>
        <w:fldChar w:fldCharType="end"/>
      </w:r>
      <w:r w:rsidRPr="00747E35">
        <w:rPr>
          <w:rFonts w:asciiTheme="minorHAnsi" w:hAnsiTheme="minorHAnsi" w:cstheme="minorHAnsi"/>
        </w:rPr>
        <w:t>. We used food webs and trophic interactions in this study to assess how reductions in stream flow may affect intermittent river ecosystems.</w:t>
      </w:r>
    </w:p>
    <w:p w14:paraId="51BB8F09"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Understanding the extent of spatio-temporal variation in, and controls on, the contribution of terrestrial energy sources (i.e. allochthonous) versus photosynthetically-fixed sources (i.e. autochthonous) to food webs is fundamental when assessing ecological patterns and processes in streams and rivers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&lt;EndNote&gt;&lt;Cite&gt;&lt;Author&gt;Hall&lt;/Author&gt;&lt;Year&gt;1998&lt;/Year&gt;&lt;RecNum&gt;1051&lt;/RecNum&gt;&lt;DisplayText&gt;(Hall and Meyer, 1998)&lt;/DisplayText&gt;&lt;record&gt;&lt;rec-number&gt;1051&lt;/rec-number&gt;&lt;foreign-keys&gt;&lt;key app="EN" db-id="f09zwdf26xeasaevvsjxv00h9rx2v9xarfsw" timestamp="1410178394"&gt;1051&lt;/key&gt;&lt;/foreign-keys&gt;&lt;ref-type name="Journal Article"&gt;17&lt;/ref-type&gt;&lt;contributors&gt;&lt;authors&gt;&lt;author&gt;Hall, R. O.&lt;/author&gt;&lt;author&gt;Meyer, J. L.&lt;/author&gt;&lt;/authors&gt;&lt;/contributors&gt;&lt;titles&gt;&lt;title&gt;The trophic significance of bacteria in a detritus-based stream food web&lt;/title&gt;&lt;secondary-title&gt;Ecology&lt;/secondary-title&gt;&lt;/titles&gt;&lt;periodical&gt;&lt;full-title&gt;Ecology&lt;/full-title&gt;&lt;/periodical&gt;&lt;pages&gt;1995-2012&lt;/pages&gt;&lt;volume&gt;79&lt;/volume&gt;&lt;number&gt;6&lt;/number&gt;&lt;dates&gt;&lt;year&gt;1998&lt;/year&gt;&lt;/dates&gt;&lt;urls&gt;&lt;related-urls&gt;&lt;url&gt;http://www.scopus.com/inward/record.url?eid=2-s2.0-3543088473&amp;amp;partnerID=40&amp;amp;md5=2c024fa8f98b10fa3d7ee7f86bbf57c9&lt;/url&gt;&lt;/related-urls&gt;&lt;/urls&gt;&lt;remote-database-name&gt;Scopus&lt;/remote-database-name&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(Hall and Meyer, 1998)</w:t>
      </w:r>
      <w:r w:rsidRPr="00747E35">
        <w:rPr>
          <w:rFonts w:asciiTheme="minorHAnsi" w:hAnsiTheme="minorHAnsi" w:cstheme="minorHAnsi"/>
        </w:rPr>
        <w:fldChar w:fldCharType="end"/>
      </w:r>
      <w:r w:rsidRPr="00747E35">
        <w:rPr>
          <w:rFonts w:asciiTheme="minorHAnsi" w:hAnsiTheme="minorHAnsi" w:cstheme="minorHAnsi"/>
        </w:rPr>
        <w:t xml:space="preserve">. Although terrestrial organic matter has long been recognised as an important basal energy source for higher consumers </w:t>
      </w:r>
      <w:r w:rsidRPr="00747E35">
        <w:rPr>
          <w:rFonts w:asciiTheme="minorHAnsi" w:hAnsiTheme="minorHAnsi" w:cstheme="minorHAnsi"/>
        </w:rPr>
        <w:fldChar w:fldCharType="begin">
          <w:fldData xml:space="preserve">PEVuZE5vdGU+PENpdGU+PEF1dGhvcj5IYWxsPC9BdXRob3I+PFllYXI+MjAwMDwvWWVhcj48UmVj
TnVtPjEzMTI8L1JlY051bT48RGlzcGxheVRleHQ+KEhhbGw8c3R5bGUgZmFjZT0iaXRhbGljIj4g
ZXQgYWwuPC9zdHlsZT4sIDIwMDA7IFJlaWQ8c3R5bGUgZmFjZT0iaXRhbGljIj4gZXQgYWwuPC9z
dHlsZT4sIDIwMDgpPC9EaXNwbGF5VGV4dD48cmVjb3JkPjxyZWMtbnVtYmVyPjEzMTI8L3JlYy1u
dW1iZXI+PGZvcmVpZ24ta2V5cz48a2V5IGFwcD0iRU4iIGRiLWlkPSJmMDl6d2RmMjZ4ZWFzYWV2
dnNqeHYwMGg5cngydjl4YXJmc3ciIHRpbWVzdGFtcD0iMTQ3NjkyNTE4OCI+MTMxMjwva2V5Pjwv
Zm9yZWlnbi1rZXlzPjxyZWYtdHlwZSBuYW1lPSJKb3VybmFsIEFydGljbGUiPjE3PC9yZWYtdHlw
ZT48Y29udHJpYnV0b3JzPjxhdXRob3JzPjxhdXRob3I+SGFsbCwgUm9iZXJ0IE8uPC9hdXRob3I+
PGF1dGhvcj5XYWxsYWNlLCBKLiBCcnVjZTwvYXV0aG9yPjxhdXRob3I+RWdnZXJ0LCBTdXNhbiBM
LjwvYXV0aG9yPjwvYXV0aG9ycz48L2NvbnRyaWJ1dG9ycz48dGl0bGVzPjx0aXRsZT5Pcmdhbmlj
IG1hdHRlciBmbG93IGluIHN0cmVhbSBmb29kIHdlYnMgd2l0aCByZWR1Y2VkIGRldHJpdGFsIHJl
c291cmNlIGJhc2U8L3RpdGxlPjxzZWNvbmRhcnktdGl0bGU+RWNvbG9neTwvc2Vjb25kYXJ5LXRp
dGxlPjwvdGl0bGVzPjxwZXJpb2RpY2FsPjxmdWxsLXRpdGxlPkVjb2xvZ3k8L2Z1bGwtdGl0bGU+
PC9wZXJpb2RpY2FsPjxwYWdlcz4zNDQ1LTM0NjM8L3BhZ2VzPjx2b2x1bWU+ODE8L3ZvbHVtZT48
bnVtYmVyPjEyPC9udW1iZXI+PGtleXdvcmRzPjxrZXl3b3JkPmJhY3RlcmlhPC9rZXl3b3JkPjxr
ZXl3b3JkPkNvd2VldGEgSHlkcm9sb2dpYyBMYWJvcmF0b3J5LCBOb3J0aCBDYXJvbGluYTwva2V5
d29yZD48a2V5d29yZD5kZXRyaXR1czwva2V5d29yZD48a2V5d29yZD5kZXRyaXRpdm9yeTwva2V5
d29yZD48a2V5d29yZD5mb29kIHdlYnM8L2tleXdvcmQ+PGtleXdvcmQ+bWFjcm9pbnZlcnRlYnJh
dGVzPC9rZXl3b3JkPjxrZXl3b3JkPm9yZ2FuaWMgbWF0dGVyIGZsb3c8L2tleXdvcmQ+PGtleXdv
cmQ+cHJlZGF0aW9uPC9rZXl3b3JkPjxrZXl3b3JkPnJlc291cmNlIHJlZHVjdGlvbjwva2V5d29y
ZD48a2V5d29yZD5zdHJlYW1zPC9rZXl3b3JkPjwva2V5d29yZHM+PGRhdGVzPjx5ZWFyPjIwMDA8
L3llYXI+PC9kYXRlcz48cHVibGlzaGVyPkVjb2xvZ2ljYWwgU29jaWV0eSBvZiBBbWVyaWNhPC9w
dWJsaXNoZXI+PGlzYm4+MTkzOS05MTcwPC9pc2JuPjx1cmxzPjxyZWxhdGVkLXVybHM+PHVybD5o
dHRwOi8vZHguZG9pLm9yZy8xMC4xODkwLzAwMTItOTY1OCgyMDAwKTA4MVszNDQ1Ok9NRklTRl0y
LjAuQ087MjwvdXJsPjwvcmVsYXRlZC11cmxzPjwvdXJscz48ZWxlY3Ryb25pYy1yZXNvdXJjZS1u
dW0+MTAuMTg5MC8wMDEyLTk2NTgoMjAwMCkwODFbMzQ0NTpPTUZJU0ZdMi4wLkNPOzI8L2VsZWN0
cm9uaWMtcmVzb3VyY2UtbnVtPjwvcmVjb3JkPjwvQ2l0ZT48Q2l0ZT48QXV0aG9yPlJlaWQ8L0F1
dGhvcj48WWVhcj4yMDA4PC9ZZWFyPjxSZWNOdW0+MTMxMzwvUmVjTnVtPjxyZWNvcmQ+PHJlYy1u
dW1iZXI+MTMxMzwvcmVjLW51bWJlcj48Zm9yZWlnbi1rZXlzPjxrZXkgYXBwPSJFTiIgZGItaWQ9
ImYwOXp3ZGYyNnhlYXNhZXZ2c2p4djAwaDlyeDJ2OXhhcmZzdyIgdGltZXN0YW1wPSIxNDc2OTI1
ODQyIj4xMzEzPC9rZXk+PC9mb3JlaWduLWtleXM+PHJlZi10eXBlIG5hbWU9IkpvdXJuYWwgQXJ0
aWNsZSI+MTc8L3JlZi10eXBlPjxjb250cmlidXRvcnM+PGF1dGhvcnM+PGF1dGhvcj5SZWlkLCBE
YXZpZCBKLjwvYXV0aG9yPjxhdXRob3I+UXVpbm4sIEdlcnJ5IFAuPC9hdXRob3I+PGF1dGhvcj5M
YWtlLCBQLiBTLjwvYXV0aG9yPjxhdXRob3I+UmVpY2gsIFBhdWw8L2F1dGhvcj48L2F1dGhvcnM+
PC9jb250cmlidXRvcnM+PHRpdGxlcz48dGl0bGU+VGVycmVzdHJpYWwgZGV0cml0dXMgc3VwcG9y
dHMgdGhlIGZvb2Qgd2VicyBpbiBsb3dsYW5kIGludGVybWl0dGVudCBzdHJlYW1zIG9mIHNvdXRo
LWVhc3Rlcm4gQXVzdHJhbGlhOiBhIHN0YWJsZSBpc290b3BlIHN0dWR5PC90aXRsZT48c2Vjb25k
YXJ5LXRpdGxlPkZyZXNod2F0ZXIgQmlvbG9neTwvc2Vjb25kYXJ5LXRpdGxlPjwvdGl0bGVzPjxw
ZXJpb2RpY2FsPjxmdWxsLXRpdGxlPkZyZXNod2F0ZXIgQmlvbG9neTwvZnVsbC10aXRsZT48L3Bl
cmlvZGljYWw+PHBhZ2VzPjIwMzYtMjA1MDwvcGFnZXM+PHZvbHVtZT41Mzwvdm9sdW1lPjxudW1i
ZXI+MTA8L251bWJlcj48a2V5d29yZHM+PGtleXdvcmQ+YWxnYWU8L2tleXdvcmQ+PGtleXdvcmQ+
YWxsb2NodGhvbm91czwva2V5d29yZD48a2V5d29yZD5FdWNhbHlwdHVzIGNhbWFsZHVsZW5zaXM8
L2tleXdvcmQ+PGtleXdvcmQ+Z2VuZXJhbGlzdDwva2V5d29yZD48a2V5d29yZD5tYWNyb2ludmVy
dGVicmF0ZTwva2V5d29yZD48L2tleXdvcmRzPjxkYXRlcz48eWVhcj4yMDA4PC95ZWFyPjwvZGF0
ZXM+PHB1Ymxpc2hlcj5CbGFja3dlbGwgUHVibGlzaGluZyBMdGQ8L3B1Ymxpc2hlcj48aXNibj4x
MzY1LTI0Mjc8L2lzYm4+PHVybHM+PHJlbGF0ZWQtdXJscz48dXJsPmh0dHA6Ly9keC5kb2kub3Jn
LzEwLjExMTEvai4xMzY1LTI0MjcuMjAwOC4wMjAyNS54PC91cmw+PC9yZWxhdGVkLXVybHM+PC91
cmxzPjxlbGVjdHJvbmljLXJlc291cmNlLW51bT4xMC4xMTExL2ouMTM2NS0yNDI3LjIwMDguMDIw
MjUueDwvZWxlY3Ryb25pYy1yZXNvdXJjZS1udW0+PC9yZWNvcmQ+PC9DaXRlPjwvRW5kTm90ZT5=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PEVuZE5vdGU+PENpdGU+PEF1dGhvcj5IYWxsPC9BdXRob3I+PFllYXI+MjAwMDwvWWVhcj48UmVj
TnVtPjEzMTI8L1JlY051bT48RGlzcGxheVRleHQ+KEhhbGw8c3R5bGUgZmFjZT0iaXRhbGljIj4g
ZXQgYWwuPC9zdHlsZT4sIDIwMDA7IFJlaWQ8c3R5bGUgZmFjZT0iaXRhbGljIj4gZXQgYWwuPC9z
dHlsZT4sIDIwMDgpPC9EaXNwbGF5VGV4dD48cmVjb3JkPjxyZWMtbnVtYmVyPjEzMTI8L3JlYy1u
dW1iZXI+PGZvcmVpZ24ta2V5cz48a2V5IGFwcD0iRU4iIGRiLWlkPSJmMDl6d2RmMjZ4ZWFzYWV2
dnNqeHYwMGg5cngydjl4YXJmc3ciIHRpbWVzdGFtcD0iMTQ3NjkyNTE4OCI+MTMxMjwva2V5Pjwv
Zm9yZWlnbi1rZXlzPjxyZWYtdHlwZSBuYW1lPSJKb3VybmFsIEFydGljbGUiPjE3PC9yZWYtdHlw
ZT48Y29udHJpYnV0b3JzPjxhdXRob3JzPjxhdXRob3I+SGFsbCwgUm9iZXJ0IE8uPC9hdXRob3I+
PGF1dGhvcj5XYWxsYWNlLCBKLiBCcnVjZTwvYXV0aG9yPjxhdXRob3I+RWdnZXJ0LCBTdXNhbiBM
LjwvYXV0aG9yPjwvYXV0aG9ycz48L2NvbnRyaWJ1dG9ycz48dGl0bGVzPjx0aXRsZT5Pcmdhbmlj
IG1hdHRlciBmbG93IGluIHN0cmVhbSBmb29kIHdlYnMgd2l0aCByZWR1Y2VkIGRldHJpdGFsIHJl
c291cmNlIGJhc2U8L3RpdGxlPjxzZWNvbmRhcnktdGl0bGU+RWNvbG9neTwvc2Vjb25kYXJ5LXRp
dGxlPjwvdGl0bGVzPjxwZXJpb2RpY2FsPjxmdWxsLXRpdGxlPkVjb2xvZ3k8L2Z1bGwtdGl0bGU+
PC9wZXJpb2RpY2FsPjxwYWdlcz4zNDQ1LTM0NjM8L3BhZ2VzPjx2b2x1bWU+ODE8L3ZvbHVtZT48
bnVtYmVyPjEyPC9udW1iZXI+PGtleXdvcmRzPjxrZXl3b3JkPmJhY3RlcmlhPC9rZXl3b3JkPjxr
ZXl3b3JkPkNvd2VldGEgSHlkcm9sb2dpYyBMYWJvcmF0b3J5LCBOb3J0aCBDYXJvbGluYTwva2V5
d29yZD48a2V5d29yZD5kZXRyaXR1czwva2V5d29yZD48a2V5d29yZD5kZXRyaXRpdm9yeTwva2V5
d29yZD48a2V5d29yZD5mb29kIHdlYnM8L2tleXdvcmQ+PGtleXdvcmQ+bWFjcm9pbnZlcnRlYnJh
dGVzPC9rZXl3b3JkPjxrZXl3b3JkPm9yZ2FuaWMgbWF0dGVyIGZsb3c8L2tleXdvcmQ+PGtleXdv
cmQ+cHJlZGF0aW9uPC9rZXl3b3JkPjxrZXl3b3JkPnJlc291cmNlIHJlZHVjdGlvbjwva2V5d29y
ZD48a2V5d29yZD5zdHJlYW1zPC9rZXl3b3JkPjwva2V5d29yZHM+PGRhdGVzPjx5ZWFyPjIwMDA8
L3llYXI+PC9kYXRlcz48cHVibGlzaGVyPkVjb2xvZ2ljYWwgU29jaWV0eSBvZiBBbWVyaWNhPC9w
dWJsaXNoZXI+PGlzYm4+MTkzOS05MTcwPC9pc2JuPjx1cmxzPjxyZWxhdGVkLXVybHM+PHVybD5o
dHRwOi8vZHguZG9pLm9yZy8xMC4xODkwLzAwMTItOTY1OCgyMDAwKTA4MVszNDQ1Ok9NRklTRl0y
LjAuQ087MjwvdXJsPjwvcmVsYXRlZC11cmxzPjwvdXJscz48ZWxlY3Ryb25pYy1yZXNvdXJjZS1u
dW0+MTAuMTg5MC8wMDEyLTk2NTgoMjAwMCkwODFbMzQ0NTpPTUZJU0ZdMi4wLkNPOzI8L2VsZWN0
cm9uaWMtcmVzb3VyY2UtbnVtPjwvcmVjb3JkPjwvQ2l0ZT48Q2l0ZT48QXV0aG9yPlJlaWQ8L0F1
dGhvcj48WWVhcj4yMDA4PC9ZZWFyPjxSZWNOdW0+MTMxMzwvUmVjTnVtPjxyZWNvcmQ+PHJlYy1u
dW1iZXI+MTMxMzwvcmVjLW51bWJlcj48Zm9yZWlnbi1rZXlzPjxrZXkgYXBwPSJFTiIgZGItaWQ9
ImYwOXp3ZGYyNnhlYXNhZXZ2c2p4djAwaDlyeDJ2OXhhcmZzdyIgdGltZXN0YW1wPSIxNDc2OTI1
ODQyIj4xMzEzPC9rZXk+PC9mb3JlaWduLWtleXM+PHJlZi10eXBlIG5hbWU9IkpvdXJuYWwgQXJ0
aWNsZSI+MTc8L3JlZi10eXBlPjxjb250cmlidXRvcnM+PGF1dGhvcnM+PGF1dGhvcj5SZWlkLCBE
YXZpZCBKLjwvYXV0aG9yPjxhdXRob3I+UXVpbm4sIEdlcnJ5IFAuPC9hdXRob3I+PGF1dGhvcj5M
YWtlLCBQLiBTLjwvYXV0aG9yPjxhdXRob3I+UmVpY2gsIFBhdWw8L2F1dGhvcj48L2F1dGhvcnM+
PC9jb250cmlidXRvcnM+PHRpdGxlcz48dGl0bGU+VGVycmVzdHJpYWwgZGV0cml0dXMgc3VwcG9y
dHMgdGhlIGZvb2Qgd2VicyBpbiBsb3dsYW5kIGludGVybWl0dGVudCBzdHJlYW1zIG9mIHNvdXRo
LWVhc3Rlcm4gQXVzdHJhbGlhOiBhIHN0YWJsZSBpc290b3BlIHN0dWR5PC90aXRsZT48c2Vjb25k
YXJ5LXRpdGxlPkZyZXNod2F0ZXIgQmlvbG9neTwvc2Vjb25kYXJ5LXRpdGxlPjwvdGl0bGVzPjxw
ZXJpb2RpY2FsPjxmdWxsLXRpdGxlPkZyZXNod2F0ZXIgQmlvbG9neTwvZnVsbC10aXRsZT48L3Bl
cmlvZGljYWw+PHBhZ2VzPjIwMzYtMjA1MDwvcGFnZXM+PHZvbHVtZT41Mzwvdm9sdW1lPjxudW1i
ZXI+MTA8L251bWJlcj48a2V5d29yZHM+PGtleXdvcmQ+YWxnYWU8L2tleXdvcmQ+PGtleXdvcmQ+
YWxsb2NodGhvbm91czwva2V5d29yZD48a2V5d29yZD5FdWNhbHlwdHVzIGNhbWFsZHVsZW5zaXM8
L2tleXdvcmQ+PGtleXdvcmQ+Z2VuZXJhbGlzdDwva2V5d29yZD48a2V5d29yZD5tYWNyb2ludmVy
dGVicmF0ZTwva2V5d29yZD48L2tleXdvcmRzPjxkYXRlcz48eWVhcj4yMDA4PC95ZWFyPjwvZGF0
ZXM+PHB1Ymxpc2hlcj5CbGFja3dlbGwgUHVibGlzaGluZyBMdGQ8L3B1Ymxpc2hlcj48aXNibj4x
MzY1LTI0Mjc8L2lzYm4+PHVybHM+PHJlbGF0ZWQtdXJscz48dXJsPmh0dHA6Ly9keC5kb2kub3Jn
LzEwLjExMTEvai4xMzY1LTI0MjcuMjAwOC4wMjAyNS54PC91cmw+PC9yZWxhdGVkLXVybHM+PC91
cmxzPjxlbGVjdHJvbmljLXJlc291cmNlLW51bT4xMC4xMTExL2ouMTM2NS0yNDI3LjIwMDguMDIw
MjUueDwvZWxlY3Ryb25pYy1yZXNvdXJjZS1udW0+PC9yZWNvcmQ+PC9DaXRlPjwvRW5kTm90ZT5=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(Hall</w:t>
      </w:r>
      <w:r w:rsidRPr="00747E35">
        <w:rPr>
          <w:rFonts w:asciiTheme="minorHAnsi" w:hAnsiTheme="minorHAnsi" w:cstheme="minorHAnsi"/>
          <w:i/>
          <w:noProof/>
        </w:rPr>
        <w:t xml:space="preserve"> et al.</w:t>
      </w:r>
      <w:r w:rsidRPr="00747E35">
        <w:rPr>
          <w:rFonts w:asciiTheme="minorHAnsi" w:hAnsiTheme="minorHAnsi" w:cstheme="minorHAnsi"/>
          <w:noProof/>
        </w:rPr>
        <w:t>, 2000; Reid</w:t>
      </w:r>
      <w:r w:rsidRPr="00747E35">
        <w:rPr>
          <w:rFonts w:asciiTheme="minorHAnsi" w:hAnsiTheme="minorHAnsi" w:cstheme="minorHAnsi"/>
          <w:i/>
          <w:noProof/>
        </w:rPr>
        <w:t xml:space="preserve"> et al.</w:t>
      </w:r>
      <w:r w:rsidRPr="00747E35">
        <w:rPr>
          <w:rFonts w:asciiTheme="minorHAnsi" w:hAnsiTheme="minorHAnsi" w:cstheme="minorHAnsi"/>
          <w:noProof/>
        </w:rPr>
        <w:t>, 2008)</w:t>
      </w:r>
      <w:r w:rsidRPr="00747E35">
        <w:rPr>
          <w:rFonts w:asciiTheme="minorHAnsi" w:hAnsiTheme="minorHAnsi" w:cstheme="minorHAnsi"/>
        </w:rPr>
        <w:fldChar w:fldCharType="end"/>
      </w:r>
      <w:r w:rsidRPr="00747E35">
        <w:rPr>
          <w:rFonts w:asciiTheme="minorHAnsi" w:hAnsiTheme="minorHAnsi" w:cstheme="minorHAnsi"/>
        </w:rPr>
        <w:t xml:space="preserve">, research from more arid and semi-arid systems points to the prevalence of food webs dependent on algal production </w:t>
      </w:r>
      <w:r w:rsidRPr="00747E35">
        <w:rPr>
          <w:rFonts w:asciiTheme="minorHAnsi" w:hAnsiTheme="minorHAnsi" w:cstheme="minorHAnsi"/>
        </w:rPr>
        <w:fldChar w:fldCharType="begin">
          <w:fldData xml:space="preserve">PEVuZE5vdGU+PENpdGU+PEF1dGhvcj5CYWxjb21iZTwvQXV0aG9yPjxZZWFyPjIwMDU8L1llYXI+
PFJlY051bT4xMzE0PC9SZWNOdW0+PERpc3BsYXlUZXh0PihCYWxjb21iZTxzdHlsZSBmYWNlPSJp
dGFsaWMiPiBldCBhbC48L3N0eWxlPiwgMjAwNTsgQnVubjxzdHlsZSBmYWNlPSJpdGFsaWMiPiBl
dCBhbC48L3N0eWxlPiwgMjAwNjsgSGFkd2VuPHN0eWxlIGZhY2U9Iml0YWxpYyI+IGV0IGFsLjwv
c3R5bGU+LCAyMDEwKTwvRGlzcGxheVRleHQ+PHJlY29yZD48cmVjLW51bWJlcj4xMzE0PC9yZWMt
bnVtYmVyPjxmb3JlaWduLWtleXM+PGtleSBhcHA9IkVOIiBkYi1pZD0iZjA5endkZjI2eGVhc2Fl
dnZzanh2MDBoOXJ4MnY5eGFyZnN3IiB0aW1lc3RhbXA9IjE0NzY5MjY0NzgiPjEzMTQ8L2tleT48
L2ZvcmVpZ24ta2V5cz48cmVmLXR5cGUgbmFtZT0iSm91cm5hbCBBcnRpY2xlIj4xNzwvcmVmLXR5
cGU+PGNvbnRyaWJ1dG9ycz48YXV0aG9ycz48YXV0aG9yPkJhbGNvbWJlLCBTLiBSLjwvYXV0aG9y
PjxhdXRob3I+QnVubiwgUy4gRS48L2F1dGhvcj48YXV0aG9yPk1jS2VuemllLVNtaXRoLCBGLiBK
LjwvYXV0aG9yPjxhdXRob3I+RGF2aWVzLCBQLiBNLjwvYXV0aG9yPjwvYXV0aG9ycz48L2NvbnRy
aWJ1dG9ycz48dGl0bGVzPjx0aXRsZT5WYXJpYWJpbGl0eSBvZiBmaXNoIGRpZXRzIGJldHdlZW4g
ZHJ5IGFuZCBmbG9vZCBwZXJpb2RzIGluIGFuIGFyaWQgem9uZSBmbG9vZHBsYWluIHJpdmVyPC90
aXRsZT48c2Vjb25kYXJ5LXRpdGxlPkpvdXJuYWwgb2YgRmlzaCBCaW9sb2d5PC9zZWNvbmRhcnkt
dGl0bGU+PC90aXRsZXM+PHBlcmlvZGljYWw+PGZ1bGwtdGl0bGU+Sm91cm5hbCBvZiBGaXNoIEJp
b2xvZ3k8L2Z1bGwtdGl0bGU+PC9wZXJpb2RpY2FsPjxwYWdlcz4xNTUyLTE1Njc8L3BhZ2VzPjx2
b2x1bWU+Njc8L3ZvbHVtZT48bnVtYmVyPjY8L251bWJlcj48a2V5d29yZHM+PGtleXdvcmQ+YXJp
ZCB6b25lPC9rZXl3b3JkPjxrZXl3b3JkPmJlbnRoaWMgYWxnYWU8L2tleXdvcmQ+PGtleXdvcmQ+
Y2FyYm9uIHNvdXJjZXM8L2tleXdvcmQ+PGtleXdvcmQ+ZmlzaCBkaWV0PC9rZXl3b3JkPjxrZXl3
b3JkPmZsb29kczwva2V5d29yZD48a2V5d29yZD50ZXJyZXN0cmlhbCBpbnB1dHM8L2tleXdvcmQ+
PC9rZXl3b3Jkcz48ZGF0ZXM+PHllYXI+MjAwNTwveWVhcj48L2RhdGVzPjxwdWJsaXNoZXI+Qmxh
Y2t3ZWxsIFB1Ymxpc2hpbmcgTHRkL0luYy48L3B1Ymxpc2hlcj48aXNibj4xMDk1LTg2NDk8L2lz
Ym4+PHVybHM+PHJlbGF0ZWQtdXJscz48dXJsPmh0dHA6Ly9keC5kb2kub3JnLzEwLjExMTEvai4x
MDk1LTg2NDkuMjAwNS4wMDg1OC54PC91cmw+PC9yZWxhdGVkLXVybHM+PC91cmxzPjxlbGVjdHJv
bmljLXJlc291cmNlLW51bT4xMC4xMTExL2ouMTA5NS04NjQ5LjIwMDUuMDA4NTgueDwvZWxlY3Ry
b25pYy1yZXNvdXJjZS1udW0+PC9yZWNvcmQ+PC9DaXRlPjxDaXRlPjxBdXRob3I+QnVubjwvQXV0
aG9yPjxZZWFyPjIwMDY8L1llYXI+PFJlY051bT4xMjYxPC9SZWNOdW0+PHJlY29yZD48cmVjLW51
bWJlcj4xMjYxPC9yZWMtbnVtYmVyPjxmb3JlaWduLWtleXM+PGtleSBhcHA9IkVOIiBkYi1pZD0i
ZjA5endkZjI2eGVhc2FldnZzanh2MDBoOXJ4MnY5eGFyZnN3IiB0aW1lc3RhbXA9IjE0NjUyNzQy
NjEiPjEyNjE8L2tleT48L2ZvcmVpZ24ta2V5cz48cmVmLXR5cGUgbmFtZT0iSm91cm5hbCBBcnRp
Y2xlIj4xNzwvcmVmLXR5cGU+PGNvbnRyaWJ1dG9ycz48YXV0aG9ycz48YXV0aG9yPkJ1bm4sIFN0
dWFydCBFPC9hdXRob3I+PGF1dGhvcj5CYWxjb21iZSwgU3RlcGhlbiBSPC9hdXRob3I+PGF1dGhv
cj5EYXZpZXMsIFBldGVyIE08L2F1dGhvcj48YXV0aG9yPkZlbGxvd3MsIENocmlzdGluZSBTPC9h
dXRob3I+PGF1dGhvcj5NY0tlbnppZS1TbWl0aCwgRmlvbmEgSjwvYXV0aG9yPjwvYXV0aG9ycz48
L2NvbnRyaWJ1dG9ycz48dGl0bGVzPjx0aXRsZT5BcXVhdGljIHByb2R1Y3Rpdml0eSBhbmQgZm9v
ZCB3ZWJzIG9mIGRlc2VydCByaXZlciBlY29zeXN0ZW1zPC90aXRsZT48c2Vjb25kYXJ5LXRpdGxl
PkVjb2xvZ3kgb2YgZGVzZXJ0IHJpdmVyczwvc2Vjb25kYXJ5LXRpdGxlPjwvdGl0bGVzPjxwZXJp
b2RpY2FsPjxmdWxsLXRpdGxlPkVjb2xvZ3kgb2YgZGVzZXJ0IHJpdmVyczwvZnVsbC10aXRsZT48
L3BlcmlvZGljYWw+PHBhZ2VzPjc2LTk5PC9wYWdlcz48ZGF0ZXM+PHllYXI+MjAwNjwveWVhcj48
L2RhdGVzPjx1cmxzPjwvdXJscz48L3JlY29yZD48L0NpdGU+PENpdGU+PEF1dGhvcj5IYWR3ZW48
L0F1dGhvcj48WWVhcj4yMDEwPC9ZZWFyPjxSZWNOdW0+MTM4NjwvUmVjTnVtPjxyZWNvcmQ+PHJl
Yy1udW1iZXI+MTM4NjwvcmVjLW51bWJlcj48Zm9yZWlnbi1rZXlzPjxrZXkgYXBwPSJFTiIgZGIt
aWQ9ImYwOXp3ZGYyNnhlYXNhZXZ2c2p4djAwaDlyeDJ2OXhhcmZzdyIgdGltZXN0YW1wPSIxNDc5
MTcyMTg4Ij4xMzg2PC9rZXk+PC9mb3JlaWduLWtleXM+PHJlZi10eXBlIG5hbWU9IkpvdXJuYWwg
QXJ0aWNsZSI+MTc8L3JlZi10eXBlPjxjb250cmlidXRvcnM+PGF1dGhvcnM+PGF1dGhvcj5IYWR3
ZW4sIFdhZGUgTC48L2F1dGhvcj48YXV0aG9yPlNwZWFycywgTWFyazwvYXV0aG9yPjxhdXRob3I+
S2VubmFyZCwgTWFyayBKLjwvYXV0aG9yPjwvYXV0aG9ycz48L2NvbnRyaWJ1dG9ycz48dGl0bGVz
Pjx0aXRsZT5UZW1wb3JhbCB2YXJpYWJpbGl0eSBvZiBiZW50aGljIGFsZ2FsIM60MTNDIHNpZ25h
dHVyZXMgaW5mbHVlbmNlcyBhc3Nlc3NtZW50cyBvZiBjYXJib24gZmxvd3MgaW4gc3RyZWFtIGZv
b2Qgd2ViczwvdGl0bGU+PHNlY29uZGFyeS10aXRsZT5IeWRyb2Jpb2xvZ2lhPC9zZWNvbmRhcnkt
dGl0bGU+PC90aXRsZXM+PHBlcmlvZGljYWw+PGZ1bGwtdGl0bGU+SHlkcm9iaW9sb2dpYTwvZnVs
bC10aXRsZT48L3BlcmlvZGljYWw+PHBhZ2VzPjIzOS0yNTE8L3BhZ2VzPjx2b2x1bWU+NjUxPC92
b2x1bWU+PG51bWJlcj4xPC9udW1iZXI+PGRhdGVzPjx5ZWFyPjIwMTA8L3llYXI+PC9kYXRlcz48
aXNibj4xNTczLTUxMTc8L2lzYm4+PGxhYmVsPkhhZHdlbjIwMTA8L2xhYmVsPjx3b3JrLXR5cGU+
am91cm5hbCBhcnRpY2xlPC93b3JrLXR5cGU+PHVybHM+PHJlbGF0ZWQtdXJscz48dXJsPmh0dHA6
Ly9keC5kb2kub3JnLzEwLjEwMDcvczEwNzUwLTAxMC0wMzAzLXk8L3VybD48L3JlbGF0ZWQtdXJs
cz48L3VybHM+PGVsZWN0cm9uaWMtcmVzb3VyY2UtbnVtPjEwLjEwMDcvczEwNzUwLTAxMC0wMzAz
LXk8L2VsZWN0cm9uaWMtcmVzb3VyY2UtbnVtPjwvcmVjb3JkPjwvQ2l0ZT48L0VuZE5vdGU+AG==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PEVuZE5vdGU+PENpdGU+PEF1dGhvcj5CYWxjb21iZTwvQXV0aG9yPjxZZWFyPjIwMDU8L1llYXI+
PFJlY051bT4xMzE0PC9SZWNOdW0+PERpc3BsYXlUZXh0PihCYWxjb21iZTxzdHlsZSBmYWNlPSJp
dGFsaWMiPiBldCBhbC48L3N0eWxlPiwgMjAwNTsgQnVubjxzdHlsZSBmYWNlPSJpdGFsaWMiPiBl
dCBhbC48L3N0eWxlPiwgMjAwNjsgSGFkd2VuPHN0eWxlIGZhY2U9Iml0YWxpYyI+IGV0IGFsLjwv
c3R5bGU+LCAyMDEwKTwvRGlzcGxheVRleHQ+PHJlY29yZD48cmVjLW51bWJlcj4xMzE0PC9yZWMt
bnVtYmVyPjxmb3JlaWduLWtleXM+PGtleSBhcHA9IkVOIiBkYi1pZD0iZjA5endkZjI2eGVhc2Fl
dnZzanh2MDBoOXJ4MnY5eGFyZnN3IiB0aW1lc3RhbXA9IjE0NzY5MjY0NzgiPjEzMTQ8L2tleT48
L2ZvcmVpZ24ta2V5cz48cmVmLXR5cGUgbmFtZT0iSm91cm5hbCBBcnRpY2xlIj4xNzwvcmVmLXR5
cGU+PGNvbnRyaWJ1dG9ycz48YXV0aG9ycz48YXV0aG9yPkJhbGNvbWJlLCBTLiBSLjwvYXV0aG9y
PjxhdXRob3I+QnVubiwgUy4gRS48L2F1dGhvcj48YXV0aG9yPk1jS2VuemllLVNtaXRoLCBGLiBK
LjwvYXV0aG9yPjxhdXRob3I+RGF2aWVzLCBQLiBNLjwvYXV0aG9yPjwvYXV0aG9ycz48L2NvbnRy
aWJ1dG9ycz48dGl0bGVzPjx0aXRsZT5WYXJpYWJpbGl0eSBvZiBmaXNoIGRpZXRzIGJldHdlZW4g
ZHJ5IGFuZCBmbG9vZCBwZXJpb2RzIGluIGFuIGFyaWQgem9uZSBmbG9vZHBsYWluIHJpdmVyPC90
aXRsZT48c2Vjb25kYXJ5LXRpdGxlPkpvdXJuYWwgb2YgRmlzaCBCaW9sb2d5PC9zZWNvbmRhcnkt
dGl0bGU+PC90aXRsZXM+PHBlcmlvZGljYWw+PGZ1bGwtdGl0bGU+Sm91cm5hbCBvZiBGaXNoIEJp
b2xvZ3k8L2Z1bGwtdGl0bGU+PC9wZXJpb2RpY2FsPjxwYWdlcz4xNTUyLTE1Njc8L3BhZ2VzPjx2
b2x1bWU+Njc8L3ZvbHVtZT48bnVtYmVyPjY8L251bWJlcj48a2V5d29yZHM+PGtleXdvcmQ+YXJp
ZCB6b25lPC9rZXl3b3JkPjxrZXl3b3JkPmJlbnRoaWMgYWxnYWU8L2tleXdvcmQ+PGtleXdvcmQ+
Y2FyYm9uIHNvdXJjZXM8L2tleXdvcmQ+PGtleXdvcmQ+ZmlzaCBkaWV0PC9rZXl3b3JkPjxrZXl3
b3JkPmZsb29kczwva2V5d29yZD48a2V5d29yZD50ZXJyZXN0cmlhbCBpbnB1dHM8L2tleXdvcmQ+
PC9rZXl3b3Jkcz48ZGF0ZXM+PHllYXI+MjAwNTwveWVhcj48L2RhdGVzPjxwdWJsaXNoZXI+Qmxh
Y2t3ZWxsIFB1Ymxpc2hpbmcgTHRkL0luYy48L3B1Ymxpc2hlcj48aXNibj4xMDk1LTg2NDk8L2lz
Ym4+PHVybHM+PHJlbGF0ZWQtdXJscz48dXJsPmh0dHA6Ly9keC5kb2kub3JnLzEwLjExMTEvai4x
MDk1LTg2NDkuMjAwNS4wMDg1OC54PC91cmw+PC9yZWxhdGVkLXVybHM+PC91cmxzPjxlbGVjdHJv
bmljLXJlc291cmNlLW51bT4xMC4xMTExL2ouMTA5NS04NjQ5LjIwMDUuMDA4NTgueDwvZWxlY3Ry
b25pYy1yZXNvdXJjZS1udW0+PC9yZWNvcmQ+PC9DaXRlPjxDaXRlPjxBdXRob3I+QnVubjwvQXV0
aG9yPjxZZWFyPjIwMDY8L1llYXI+PFJlY051bT4xMjYxPC9SZWNOdW0+PHJlY29yZD48cmVjLW51
bWJlcj4xMjYxPC9yZWMtbnVtYmVyPjxmb3JlaWduLWtleXM+PGtleSBhcHA9IkVOIiBkYi1pZD0i
ZjA5endkZjI2eGVhc2FldnZzanh2MDBoOXJ4MnY5eGFyZnN3IiB0aW1lc3RhbXA9IjE0NjUyNzQy
NjEiPjEyNjE8L2tleT48L2ZvcmVpZ24ta2V5cz48cmVmLXR5cGUgbmFtZT0iSm91cm5hbCBBcnRp
Y2xlIj4xNzwvcmVmLXR5cGU+PGNvbnRyaWJ1dG9ycz48YXV0aG9ycz48YXV0aG9yPkJ1bm4sIFN0
dWFydCBFPC9hdXRob3I+PGF1dGhvcj5CYWxjb21iZSwgU3RlcGhlbiBSPC9hdXRob3I+PGF1dGhv
cj5EYXZpZXMsIFBldGVyIE08L2F1dGhvcj48YXV0aG9yPkZlbGxvd3MsIENocmlzdGluZSBTPC9h
dXRob3I+PGF1dGhvcj5NY0tlbnppZS1TbWl0aCwgRmlvbmEgSjwvYXV0aG9yPjwvYXV0aG9ycz48
L2NvbnRyaWJ1dG9ycz48dGl0bGVzPjx0aXRsZT5BcXVhdGljIHByb2R1Y3Rpdml0eSBhbmQgZm9v
ZCB3ZWJzIG9mIGRlc2VydCByaXZlciBlY29zeXN0ZW1zPC90aXRsZT48c2Vjb25kYXJ5LXRpdGxl
PkVjb2xvZ3kgb2YgZGVzZXJ0IHJpdmVyczwvc2Vjb25kYXJ5LXRpdGxlPjwvdGl0bGVzPjxwZXJp
b2RpY2FsPjxmdWxsLXRpdGxlPkVjb2xvZ3kgb2YgZGVzZXJ0IHJpdmVyczwvZnVsbC10aXRsZT48
L3BlcmlvZGljYWw+PHBhZ2VzPjc2LTk5PC9wYWdlcz48ZGF0ZXM+PHllYXI+MjAwNjwveWVhcj48
L2RhdGVzPjx1cmxzPjwvdXJscz48L3JlY29yZD48L0NpdGU+PENpdGU+PEF1dGhvcj5IYWR3ZW48
L0F1dGhvcj48WWVhcj4yMDEwPC9ZZWFyPjxSZWNOdW0+MTM4NjwvUmVjTnVtPjxyZWNvcmQ+PHJl
Yy1udW1iZXI+MTM4NjwvcmVjLW51bWJlcj48Zm9yZWlnbi1rZXlzPjxrZXkgYXBwPSJFTiIgZGIt
aWQ9ImYwOXp3ZGYyNnhlYXNhZXZ2c2p4djAwaDlyeDJ2OXhhcmZzdyIgdGltZXN0YW1wPSIxNDc5
MTcyMTg4Ij4xMzg2PC9rZXk+PC9mb3JlaWduLWtleXM+PHJlZi10eXBlIG5hbWU9IkpvdXJuYWwg
QXJ0aWNsZSI+MTc8L3JlZi10eXBlPjxjb250cmlidXRvcnM+PGF1dGhvcnM+PGF1dGhvcj5IYWR3
ZW4sIFdhZGUgTC48L2F1dGhvcj48YXV0aG9yPlNwZWFycywgTWFyazwvYXV0aG9yPjxhdXRob3I+
S2VubmFyZCwgTWFyayBKLjwvYXV0aG9yPjwvYXV0aG9ycz48L2NvbnRyaWJ1dG9ycz48dGl0bGVz
Pjx0aXRsZT5UZW1wb3JhbCB2YXJpYWJpbGl0eSBvZiBiZW50aGljIGFsZ2FsIM60MTNDIHNpZ25h
dHVyZXMgaW5mbHVlbmNlcyBhc3Nlc3NtZW50cyBvZiBjYXJib24gZmxvd3MgaW4gc3RyZWFtIGZv
b2Qgd2ViczwvdGl0bGU+PHNlY29uZGFyeS10aXRsZT5IeWRyb2Jpb2xvZ2lhPC9zZWNvbmRhcnkt
dGl0bGU+PC90aXRsZXM+PHBlcmlvZGljYWw+PGZ1bGwtdGl0bGU+SHlkcm9iaW9sb2dpYTwvZnVs
bC10aXRsZT48L3BlcmlvZGljYWw+PHBhZ2VzPjIzOS0yNTE8L3BhZ2VzPjx2b2x1bWU+NjUxPC92
b2x1bWU+PG51bWJlcj4xPC9udW1iZXI+PGRhdGVzPjx5ZWFyPjIwMTA8L3llYXI+PC9kYXRlcz48
aXNibj4xNTczLTUxMTc8L2lzYm4+PGxhYmVsPkhhZHdlbjIwMTA8L2xhYmVsPjx3b3JrLXR5cGU+
am91cm5hbCBhcnRpY2xlPC93b3JrLXR5cGU+PHVybHM+PHJlbGF0ZWQtdXJscz48dXJsPmh0dHA6
Ly9keC5kb2kub3JnLzEwLjEwMDcvczEwNzUwLTAxMC0wMzAzLXk8L3VybD48L3JlbGF0ZWQtdXJs
cz48L3VybHM+PGVsZWN0cm9uaWMtcmVzb3VyY2UtbnVtPjEwLjEwMDcvczEwNzUwLTAxMC0wMzAz
LXk8L2VsZWN0cm9uaWMtcmVzb3VyY2UtbnVtPjwvcmVjb3JkPjwvQ2l0ZT48L0VuZE5vdGU+AG==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(Balcombe</w:t>
      </w:r>
      <w:r w:rsidRPr="00747E35">
        <w:rPr>
          <w:rFonts w:asciiTheme="minorHAnsi" w:hAnsiTheme="minorHAnsi" w:cstheme="minorHAnsi"/>
          <w:i/>
          <w:noProof/>
        </w:rPr>
        <w:t xml:space="preserve"> et al.</w:t>
      </w:r>
      <w:r w:rsidRPr="00747E35">
        <w:rPr>
          <w:rFonts w:asciiTheme="minorHAnsi" w:hAnsiTheme="minorHAnsi" w:cstheme="minorHAnsi"/>
          <w:noProof/>
        </w:rPr>
        <w:t>, 2005; Bunn</w:t>
      </w:r>
      <w:r w:rsidRPr="00747E35">
        <w:rPr>
          <w:rFonts w:asciiTheme="minorHAnsi" w:hAnsiTheme="minorHAnsi" w:cstheme="minorHAnsi"/>
          <w:i/>
          <w:noProof/>
        </w:rPr>
        <w:t xml:space="preserve"> et al.</w:t>
      </w:r>
      <w:r w:rsidRPr="00747E35">
        <w:rPr>
          <w:rFonts w:asciiTheme="minorHAnsi" w:hAnsiTheme="minorHAnsi" w:cstheme="minorHAnsi"/>
          <w:noProof/>
        </w:rPr>
        <w:t>, 2006; Hadwen</w:t>
      </w:r>
      <w:r w:rsidRPr="00747E35">
        <w:rPr>
          <w:rFonts w:asciiTheme="minorHAnsi" w:hAnsiTheme="minorHAnsi" w:cstheme="minorHAnsi"/>
          <w:i/>
          <w:noProof/>
        </w:rPr>
        <w:t xml:space="preserve"> et al.</w:t>
      </w:r>
      <w:r w:rsidRPr="00747E35">
        <w:rPr>
          <w:rFonts w:asciiTheme="minorHAnsi" w:hAnsiTheme="minorHAnsi" w:cstheme="minorHAnsi"/>
          <w:noProof/>
        </w:rPr>
        <w:t>, 2010)</w:t>
      </w:r>
      <w:r w:rsidRPr="00747E35">
        <w:rPr>
          <w:rFonts w:asciiTheme="minorHAnsi" w:hAnsiTheme="minorHAnsi" w:cstheme="minorHAnsi"/>
        </w:rPr>
        <w:fldChar w:fldCharType="end"/>
      </w:r>
      <w:r w:rsidRPr="00747E35">
        <w:rPr>
          <w:rFonts w:asciiTheme="minorHAnsi" w:hAnsiTheme="minorHAnsi" w:cstheme="minorHAnsi"/>
        </w:rPr>
        <w:t xml:space="preserve">. Importantly, shifts between autotrophy and heterotrophy in some regions appear to be related to seasonal changes in hydrology, with autotrophy becoming an important basal resource during periods of low flow or hydrological disconnection </w:t>
      </w:r>
      <w:r w:rsidRPr="00747E35">
        <w:rPr>
          <w:rFonts w:asciiTheme="minorHAnsi" w:hAnsiTheme="minorHAnsi" w:cstheme="minorHAnsi"/>
        </w:rPr>
        <w:fldChar w:fldCharType="begin">
          <w:fldData xml:space="preserve">PEVuZE5vdGU+PENpdGU+PEF1dGhvcj5CdW5uPC9BdXRob3I+PFllYXI+MjAwMzwvWWVhcj48UmVj
TnVtPjUzMzg8L1JlY051bT48RGlzcGxheVRleHQ+KEZpbmxheTxzdHlsZSBmYWNlPSJpdGFsaWMi
PiBldCBhbC48L3N0eWxlPiwgMjAwMjsgQnVubjxzdHlsZSBmYWNlPSJpdGFsaWMiPiBldCBhbC48
L3N0eWxlPiwgMjAwMyk8L0Rpc3BsYXlUZXh0PjxyZWNvcmQ+PHJlYy1udW1iZXI+NTMzODwvcmVj
LW51bWJlcj48Zm9yZWlnbi1rZXlzPjxrZXkgYXBwPSJFTiIgZGItaWQ9InY1dnQ1dDk1ZzJmYXI2
ZXZzcGF2dncwMTB6czBhMnp3eHpzZCIgdGltZXN0YW1wPSIxNDc2OTk0NzUxIj41MzM4PC9rZXk+
PC9mb3JlaWduLWtleXM+PHJlZi10eXBlIG5hbWU9IkpvdXJuYWwgQXJ0aWNsZSI+MTc8L3JlZi10
eXBlPjxjb250cmlidXRvcnM+PGF1dGhvcnM+PGF1dGhvcj5CdW5uLCBTdHVhcnQgRTwvYXV0aG9y
PjxhdXRob3I+RGF2aWVzLCBQZXRlciBNPC9hdXRob3I+PGF1dGhvcj5XaW5uaW5nLCBNaWNoZWxs
ZTwvYXV0aG9yPjwvYXV0aG9ycz48L2NvbnRyaWJ1dG9ycz48YXV0aC1hZGRyZXNzPkdyaWZmaXRo
IFVuaXYsIEZhYyBFbnZpcm9ubSBTY2ksIEN0ciBDYXRjaG1lbnQgJmFtcDthbXA7YW1wOyBJbiBT
dHJlYW0gUmVzLCBDb29wZXJhdCBSZXMgQ3RyIEZyZXNod2F0ZXIgRWNvbCwgTmF0aGFuLCBRbGQg
NDExMSwgQXVzdHJhbGlhLiBVbml2IFdlc3Rlcm4gQXVzdHJhbGlhLCBDdHIgRXhjZWxsZW5jZSBO
YXQgUmVzb3VyY2UgTWFuYWdlbWVudCwgQWxiYW55LCBBdXN0cmFsaWEuQnVubiwgU0UsIEdyaWZm
aXRoIFVuaXYsIEZhYyBFbnZpcm9ubSBTY2ksIEN0ciBDYXRjaG1lbnQgJmFtcDthbXA7YW1wOyBJ
biBTdHJlYW0gUmVzLCBDb29wZXJhdCBSZXMgQ3RyIEZyZXNod2F0ZXIgRWNvbCwgTmF0aGFuLCBR
bGQgNDExMSwgQXVzdHJhbGlhLjwvYXV0aC1hZGRyZXNzPjx0aXRsZXM+PHRpdGxlPlNvdXJjZXMg
b2Ygb3JnYW5pYyBjYXJib24gc3VwcG9ydGluZyB0aGUgZm9vZCB3ZWIgb2YgYW4gYXJpZCB6b25l
IGZsb29kcGxhaW4gcml2ZXI8L3RpdGxlPjxzZWNvbmRhcnktdGl0bGU+RnJlc2h3YXRlciBCaW9s
b2d5PC9zZWNvbmRhcnktdGl0bGU+PHNob3J0LXRpdGxlPkZyZXNod2F0ZXIgQmlvbG9neTwvc2hv
cnQtdGl0bGU+PC90aXRsZXM+PHBlcmlvZGljYWw+PGZ1bGwtdGl0bGU+RnJlc2h3YXRlciBCaW9s
b2d5PC9mdWxsLXRpdGxlPjwvcGVyaW9kaWNhbD48cGFnZXM+NjE5LTYzNTwvcGFnZXM+PHZvbHVt
ZT40ODwvdm9sdW1lPjxudW1iZXI+NDwvbnVtYmVyPjxkYXRlcz48eWVhcj4yMDAzPC95ZWFyPjxw
dWItZGF0ZXM+PGRhdGU+QXByPC9kYXRlPjwvcHViLWRhdGVzPjwvZGF0ZXM+PGFjY2Vzc2lvbi1u
dW0+MTAxNjcyNTU0ODcxNjkxMzAxMDRyZWxhdGVkOmVHNWJSZjlZR1kwSjwvYWNjZXNzaW9uLW51
bT48bGFiZWw+cjA5NzE0PC9sYWJlbD48dXJscz48cmVsYXRlZC11cmxzPjx1cmw+aHR0cDovL2Rv
aS53aWxleS5jb20vMTAuMTA0Ni9qLjEzNjUtMjQyNy4yMDAzLjAxMDMxLng8L3VybD48L3JlbGF0
ZWQtdXJscz48cGRmLXVybHM+PHVybD5maWxlOi8vbG9jYWxob3N0L1VzZXJzL25pY2tib25kL0Ry
b3Bib3gvUGFwZXJzJTIwTGlicmFyeS9MaWJyYXJ5LnBhcGVyczMvRmlsZXMvMzYvMzY1RDJENzQt
MkM5MC00MjgwLUIzN0ItNjU2RDUzNEE5RTdELnBkZjwvdXJsPjwvcGRmLXVybHM+PC91cmxzPjxj
dXN0b20zPnBhcGVyczM6Ly9wdWJsaWNhdGlvbi91dWlkL0UzQTk5Qzg1LUM5RjEtNDRFMy05ODZF
LTkwMjVCMjQxRDJFOTwvY3VzdG9tMz48ZWxlY3Ryb25pYy1yZXNvdXJjZS1udW0+MTAuMTA0Ni9q
LjEzNjUtMjQyNy4yMDAzLjAxMDMxLng8L2VsZWN0cm9uaWMtcmVzb3VyY2UtbnVtPjxsYW5ndWFn
ZT5FbmdsaXNoPC9sYW5ndWFnZT48L3JlY29yZD48L0NpdGU+PENpdGU+PEF1dGhvcj5GaW5sYXk8
L0F1dGhvcj48WWVhcj4yMDAyPC9ZZWFyPjxSZWNOdW0+MTI2NjwvUmVjTnVtPjxyZWNvcmQ+PHJl
Yy1udW1iZXI+MTI2NjwvcmVjLW51bWJlcj48Zm9yZWlnbi1rZXlzPjxrZXkgYXBwPSJFTiIgZGIt
aWQ9ImYwOXp3ZGYyNnhlYXNhZXZ2c2p4djAwaDlyeDJ2OXhhcmZzdyIgdGltZXN0YW1wPSIxNDY1
Mjc0MjYxIj4xMjY2PC9rZXk+PC9mb3JlaWduLWtleXM+PHJlZi10eXBlIG5hbWU9IkpvdXJuYWwg
QXJ0aWNsZSI+MTc8L3JlZi10eXBlPjxjb250cmlidXRvcnM+PGF1dGhvcnM+PGF1dGhvcj5GaW5s
YXksIEphY3F1ZXMgQzwvYXV0aG9yPjxhdXRob3I+S2hhbmR3YWxhLCBTYXBuYTwvYXV0aG9yPjxh
dXRob3I+UG93ZXIsIE1hcnkgRTwvYXV0aG9yPjwvYXV0aG9ycz48L2NvbnRyaWJ1dG9ycz48dGl0
bGVzPjx0aXRsZT5TcGF0aWFsIHNjYWxlcyBvZiBjYXJib24gZmxvdyBpbiBhIHJpdmVyIGZvb2Qg
d2ViPC90aXRsZT48c2Vjb25kYXJ5LXRpdGxlPkVjb2xvZ3k8L3NlY29uZGFyeS10aXRsZT48L3Rp
dGxlcz48cGVyaW9kaWNhbD48ZnVsbC10aXRsZT5FY29sb2d5PC9mdWxsLXRpdGxlPjwvcGVyaW9k
aWNhbD48cGFnZXM+MTg0NS0xODU5PC9wYWdlcz48dm9sdW1lPjgzPC92b2x1bWU+PG51bWJlcj43
PC9udW1iZXI+PGRhdGVzPjx5ZWFyPjIwMDI8L3llYXI+PC9kYXRlcz48aXNibj4wMDEyLTk2NTg8
L2lzYm4+PHVybHM+PC91cmxzPjwvcmVjb3JkPjwvQ2l0ZT48L0VuZE5vdGU+AG==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PEVuZE5vdGU+PENpdGU+PEF1dGhvcj5CdW5uPC9BdXRob3I+PFllYXI+MjAwMzwvWWVhcj48UmVj
TnVtPjUzMzg8L1JlY051bT48RGlzcGxheVRleHQ+KEZpbmxheTxzdHlsZSBmYWNlPSJpdGFsaWMi
PiBldCBhbC48L3N0eWxlPiwgMjAwMjsgQnVubjxzdHlsZSBmYWNlPSJpdGFsaWMiPiBldCBhbC48
L3N0eWxlPiwgMjAwMyk8L0Rpc3BsYXlUZXh0PjxyZWNvcmQ+PHJlYy1udW1iZXI+NTMzODwvcmVj
LW51bWJlcj48Zm9yZWlnbi1rZXlzPjxrZXkgYXBwPSJFTiIgZGItaWQ9InY1dnQ1dDk1ZzJmYXI2
ZXZzcGF2dncwMTB6czBhMnp3eHpzZCIgdGltZXN0YW1wPSIxNDc2OTk0NzUxIj41MzM4PC9rZXk+
PC9mb3JlaWduLWtleXM+PHJlZi10eXBlIG5hbWU9IkpvdXJuYWwgQXJ0aWNsZSI+MTc8L3JlZi10
eXBlPjxjb250cmlidXRvcnM+PGF1dGhvcnM+PGF1dGhvcj5CdW5uLCBTdHVhcnQgRTwvYXV0aG9y
PjxhdXRob3I+RGF2aWVzLCBQZXRlciBNPC9hdXRob3I+PGF1dGhvcj5XaW5uaW5nLCBNaWNoZWxs
ZTwvYXV0aG9yPjwvYXV0aG9ycz48L2NvbnRyaWJ1dG9ycz48YXV0aC1hZGRyZXNzPkdyaWZmaXRo
IFVuaXYsIEZhYyBFbnZpcm9ubSBTY2ksIEN0ciBDYXRjaG1lbnQgJmFtcDthbXA7YW1wOyBJbiBT
dHJlYW0gUmVzLCBDb29wZXJhdCBSZXMgQ3RyIEZyZXNod2F0ZXIgRWNvbCwgTmF0aGFuLCBRbGQg
NDExMSwgQXVzdHJhbGlhLiBVbml2IFdlc3Rlcm4gQXVzdHJhbGlhLCBDdHIgRXhjZWxsZW5jZSBO
YXQgUmVzb3VyY2UgTWFuYWdlbWVudCwgQWxiYW55LCBBdXN0cmFsaWEuQnVubiwgU0UsIEdyaWZm
aXRoIFVuaXYsIEZhYyBFbnZpcm9ubSBTY2ksIEN0ciBDYXRjaG1lbnQgJmFtcDthbXA7YW1wOyBJ
biBTdHJlYW0gUmVzLCBDb29wZXJhdCBSZXMgQ3RyIEZyZXNod2F0ZXIgRWNvbCwgTmF0aGFuLCBR
bGQgNDExMSwgQXVzdHJhbGlhLjwvYXV0aC1hZGRyZXNzPjx0aXRsZXM+PHRpdGxlPlNvdXJjZXMg
b2Ygb3JnYW5pYyBjYXJib24gc3VwcG9ydGluZyB0aGUgZm9vZCB3ZWIgb2YgYW4gYXJpZCB6b25l
IGZsb29kcGxhaW4gcml2ZXI8L3RpdGxlPjxzZWNvbmRhcnktdGl0bGU+RnJlc2h3YXRlciBCaW9s
b2d5PC9zZWNvbmRhcnktdGl0bGU+PHNob3J0LXRpdGxlPkZyZXNod2F0ZXIgQmlvbG9neTwvc2hv
cnQtdGl0bGU+PC90aXRsZXM+PHBlcmlvZGljYWw+PGZ1bGwtdGl0bGU+RnJlc2h3YXRlciBCaW9s
b2d5PC9mdWxsLXRpdGxlPjwvcGVyaW9kaWNhbD48cGFnZXM+NjE5LTYzNTwvcGFnZXM+PHZvbHVt
ZT40ODwvdm9sdW1lPjxudW1iZXI+NDwvbnVtYmVyPjxkYXRlcz48eWVhcj4yMDAzPC95ZWFyPjxw
dWItZGF0ZXM+PGRhdGU+QXByPC9kYXRlPjwvcHViLWRhdGVzPjwvZGF0ZXM+PGFjY2Vzc2lvbi1u
dW0+MTAxNjcyNTU0ODcxNjkxMzAxMDRyZWxhdGVkOmVHNWJSZjlZR1kwSjwvYWNjZXNzaW9uLW51
bT48bGFiZWw+cjA5NzE0PC9sYWJlbD48dXJscz48cmVsYXRlZC11cmxzPjx1cmw+aHR0cDovL2Rv
aS53aWxleS5jb20vMTAuMTA0Ni9qLjEzNjUtMjQyNy4yMDAzLjAxMDMxLng8L3VybD48L3JlbGF0
ZWQtdXJscz48cGRmLXVybHM+PHVybD5maWxlOi8vbG9jYWxob3N0L1VzZXJzL25pY2tib25kL0Ry
b3Bib3gvUGFwZXJzJTIwTGlicmFyeS9MaWJyYXJ5LnBhcGVyczMvRmlsZXMvMzYvMzY1RDJENzQt
MkM5MC00MjgwLUIzN0ItNjU2RDUzNEE5RTdELnBkZjwvdXJsPjwvcGRmLXVybHM+PC91cmxzPjxj
dXN0b20zPnBhcGVyczM6Ly9wdWJsaWNhdGlvbi91dWlkL0UzQTk5Qzg1LUM5RjEtNDRFMy05ODZF
LTkwMjVCMjQxRDJFOTwvY3VzdG9tMz48ZWxlY3Ryb25pYy1yZXNvdXJjZS1udW0+MTAuMTA0Ni9q
LjEzNjUtMjQyNy4yMDAzLjAxMDMxLng8L2VsZWN0cm9uaWMtcmVzb3VyY2UtbnVtPjxsYW5ndWFn
ZT5FbmdsaXNoPC9sYW5ndWFnZT48L3JlY29yZD48L0NpdGU+PENpdGU+PEF1dGhvcj5GaW5sYXk8
L0F1dGhvcj48WWVhcj4yMDAyPC9ZZWFyPjxSZWNOdW0+MTI2NjwvUmVjTnVtPjxyZWNvcmQ+PHJl
Yy1udW1iZXI+MTI2NjwvcmVjLW51bWJlcj48Zm9yZWlnbi1rZXlzPjxrZXkgYXBwPSJFTiIgZGIt
aWQ9ImYwOXp3ZGYyNnhlYXNhZXZ2c2p4djAwaDlyeDJ2OXhhcmZzdyIgdGltZXN0YW1wPSIxNDY1
Mjc0MjYxIj4xMjY2PC9rZXk+PC9mb3JlaWduLWtleXM+PHJlZi10eXBlIG5hbWU9IkpvdXJuYWwg
QXJ0aWNsZSI+MTc8L3JlZi10eXBlPjxjb250cmlidXRvcnM+PGF1dGhvcnM+PGF1dGhvcj5GaW5s
YXksIEphY3F1ZXMgQzwvYXV0aG9yPjxhdXRob3I+S2hhbmR3YWxhLCBTYXBuYTwvYXV0aG9yPjxh
dXRob3I+UG93ZXIsIE1hcnkgRTwvYXV0aG9yPjwvYXV0aG9ycz48L2NvbnRyaWJ1dG9ycz48dGl0
bGVzPjx0aXRsZT5TcGF0aWFsIHNjYWxlcyBvZiBjYXJib24gZmxvdyBpbiBhIHJpdmVyIGZvb2Qg
d2ViPC90aXRsZT48c2Vjb25kYXJ5LXRpdGxlPkVjb2xvZ3k8L3NlY29uZGFyeS10aXRsZT48L3Rp
dGxlcz48cGVyaW9kaWNhbD48ZnVsbC10aXRsZT5FY29sb2d5PC9mdWxsLXRpdGxlPjwvcGVyaW9k
aWNhbD48cGFnZXM+MTg0NS0xODU5PC9wYWdlcz48dm9sdW1lPjgzPC92b2x1bWU+PG51bWJlcj43
PC9udW1iZXI+PGRhdGVzPjx5ZWFyPjIwMDI8L3llYXI+PC9kYXRlcz48aXNibj4wMDEyLTk2NTg8
L2lzYm4+PHVybHM+PC91cmxzPjwvcmVjb3JkPjwvQ2l0ZT48L0VuZE5vdGU+AG==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(Finlay</w:t>
      </w:r>
      <w:r w:rsidRPr="00747E35">
        <w:rPr>
          <w:rFonts w:asciiTheme="minorHAnsi" w:hAnsiTheme="minorHAnsi" w:cstheme="minorHAnsi"/>
          <w:i/>
          <w:noProof/>
        </w:rPr>
        <w:t xml:space="preserve"> et al.</w:t>
      </w:r>
      <w:r w:rsidRPr="00747E35">
        <w:rPr>
          <w:rFonts w:asciiTheme="minorHAnsi" w:hAnsiTheme="minorHAnsi" w:cstheme="minorHAnsi"/>
          <w:noProof/>
        </w:rPr>
        <w:t>, 2002; Bunn</w:t>
      </w:r>
      <w:r w:rsidRPr="00747E35">
        <w:rPr>
          <w:rFonts w:asciiTheme="minorHAnsi" w:hAnsiTheme="minorHAnsi" w:cstheme="minorHAnsi"/>
          <w:i/>
          <w:noProof/>
        </w:rPr>
        <w:t xml:space="preserve"> et al.</w:t>
      </w:r>
      <w:r w:rsidRPr="00747E35">
        <w:rPr>
          <w:rFonts w:asciiTheme="minorHAnsi" w:hAnsiTheme="minorHAnsi" w:cstheme="minorHAnsi"/>
          <w:noProof/>
        </w:rPr>
        <w:t>, 2003)</w:t>
      </w:r>
      <w:r w:rsidRPr="00747E35">
        <w:rPr>
          <w:rFonts w:asciiTheme="minorHAnsi" w:hAnsiTheme="minorHAnsi" w:cstheme="minorHAnsi"/>
        </w:rPr>
        <w:fldChar w:fldCharType="end"/>
      </w:r>
      <w:r w:rsidRPr="00747E35">
        <w:rPr>
          <w:rFonts w:asciiTheme="minorHAnsi" w:hAnsiTheme="minorHAnsi" w:cstheme="minorHAnsi"/>
        </w:rPr>
        <w:t xml:space="preserve">. Quantifying the availability of basal resources, and relative energetic contribution to consumers, in periods of varying flow conditions can help evaluate the potential effects of reduced baseflow for aquatic food webs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&lt;EndNote&gt;&lt;Cite&gt;&lt;Author&gt;Bunn&lt;/Author&gt;&lt;Year&gt;2003&lt;/Year&gt;&lt;RecNum&gt;5338&lt;/RecNum&gt;&lt;DisplayText&gt;(Bunn&lt;style face="italic"&gt; et al.&lt;/style&gt;, 2003)&lt;/DisplayText&gt;&lt;record&gt;&lt;rec-number&gt;5338&lt;/rec-number&gt;&lt;foreign-keys&gt;&lt;key app="EN" db-id="v5vt5t95g2far6evspavvw010zs0a2zwxzsd" timestamp="1476994751"&gt;5338&lt;/key&gt;&lt;/foreign-keys&gt;&lt;ref-type name="Journal Article"&gt;17&lt;/ref-type&gt;&lt;contributors&gt;&lt;authors&gt;&lt;author&gt;Bunn, Stuart E&lt;/author&gt;&lt;author&gt;Davies, Peter M&lt;/author&gt;&lt;author&gt;Winning, Michelle&lt;/author&gt;&lt;/authors&gt;&lt;/contributors&gt;&lt;auth-address&gt;Griffith Univ, Fac Environm Sci, Ctr Catchment &amp;amp;amp;amp; In Stream Res, Cooperat Res Ctr Freshwater Ecol, Nathan, Qld 4111, Australia. Univ Western Australia, Ctr Excellence Nat Resource Management, Albany, Australia.Bunn, SE, Griffith Univ, Fac Environm Sci, Ctr Catchment &amp;amp;amp;amp; In Stream Res, Cooperat Res Ctr Freshwater Ecol, Nathan, Qld 4111, Australia.&lt;/auth-address&gt;&lt;titles&gt;&lt;title&gt;Sources of organic carbon supporting the food web of an arid zone floodplain river&lt;/title&gt;&lt;secondary-title&gt;Freshwater Biology&lt;/secondary-title&gt;&lt;short-title&gt;Freshwater Biology&lt;/short-title&gt;&lt;/titles&gt;&lt;periodical&gt;&lt;full-title&gt;Freshwater Biology&lt;/full-title&gt;&lt;/periodical&gt;&lt;pages&gt;619-635&lt;/pages&gt;&lt;volume&gt;48&lt;/volume&gt;&lt;number&gt;4&lt;/number&gt;&lt;dates&gt;&lt;year&gt;2003&lt;/year&gt;&lt;pub-dates&gt;&lt;date&gt;Apr&lt;/date&gt;&lt;/pub-dates&gt;&lt;/dates&gt;&lt;accession-num&gt;10167255487169130104related:eG5bRf9YGY0J&lt;/accession-num&gt;&lt;label&gt;r09714&lt;/label&gt;&lt;urls&gt;&lt;related-urls&gt;&lt;url&gt;http://doi.wiley.com/10.1046/j.1365-2427.2003.01031.x&lt;/url&gt;&lt;/related-urls&gt;&lt;pdf-urls&gt;&lt;url&gt;file://localhost/Users/nickbond/Dropbox/Papers%20Library/Library.papers3/Files/36/365D2D74-2C90-4280-B37B-656D534A9E7D.pdf&lt;/url&gt;&lt;/pdf-urls&gt;&lt;/urls&gt;&lt;custom3&gt;papers3://publication/uuid/E3A99C85-C9F1-44E3-986E-9025B241D2E9&lt;/custom3&gt;&lt;electronic-resource-num&gt;10.1046/j.1365-2427.2003.01031.x&lt;/electronic-resource-num&gt;&lt;language&gt;English&lt;/language&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(Bunn</w:t>
      </w:r>
      <w:r w:rsidRPr="00747E35">
        <w:rPr>
          <w:rFonts w:asciiTheme="minorHAnsi" w:hAnsiTheme="minorHAnsi" w:cstheme="minorHAnsi"/>
          <w:i/>
          <w:noProof/>
        </w:rPr>
        <w:t xml:space="preserve"> et al.</w:t>
      </w:r>
      <w:r w:rsidRPr="00747E35">
        <w:rPr>
          <w:rFonts w:asciiTheme="minorHAnsi" w:hAnsiTheme="minorHAnsi" w:cstheme="minorHAnsi"/>
          <w:noProof/>
        </w:rPr>
        <w:t>, 2003)</w:t>
      </w:r>
      <w:r w:rsidRPr="00747E35">
        <w:rPr>
          <w:rFonts w:asciiTheme="minorHAnsi" w:hAnsiTheme="minorHAnsi" w:cstheme="minorHAnsi"/>
        </w:rPr>
        <w:fldChar w:fldCharType="end"/>
      </w:r>
      <w:r w:rsidRPr="00747E35">
        <w:rPr>
          <w:rFonts w:asciiTheme="minorHAnsi" w:hAnsiTheme="minorHAnsi" w:cstheme="minorHAnsi"/>
        </w:rPr>
        <w:t>.</w:t>
      </w:r>
    </w:p>
    <w:p w14:paraId="236B37A5"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Along with shifts in the basal energy sources, drying can also affect the overall food web structure as well as interactions among organisms higher in the food web. For example, Sabo </w:t>
      </w:r>
      <w:r w:rsidRPr="00747E35">
        <w:rPr>
          <w:rFonts w:asciiTheme="minorHAnsi" w:hAnsiTheme="minorHAnsi" w:cstheme="minorHAnsi"/>
          <w:i/>
        </w:rPr>
        <w:t>et al.</w:t>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 ExcludeAuth="1"&gt;&lt;Author&gt;Sabo&lt;/Author&gt;&lt;Year&gt;2010&lt;/Year&gt;&lt;RecNum&gt;1337&lt;/RecNum&gt;&lt;DisplayText&gt;(2010)&lt;/DisplayText&gt;&lt;record&gt;&lt;rec-number&gt;1337&lt;/rec-number&gt;&lt;foreign-keys&gt;&lt;key app="EN" db-id="f09zwdf26xeasaevvsjxv00h9rx2v9xarfsw" timestamp="1477620107"&gt;1337&lt;/key&gt;&lt;/foreign-keys&gt;&lt;ref-type name="Journal Article"&gt;17&lt;/ref-type&gt;&lt;contributors&gt;&lt;authors&gt;&lt;author&gt;Sabo, John L.&lt;/author&gt;&lt;author&gt;Finlay, Jacques C.&lt;/author&gt;&lt;author&gt;Kennedy, Theodore&lt;/author&gt;&lt;author&gt;Post, David M.&lt;/author&gt;&lt;/authors&gt;&lt;/contributors&gt;&lt;titles&gt;&lt;title&gt;The role of discharge variation in scaling of drainage area and food chain length in rivers&lt;/title&gt;&lt;secondary-title&gt;Science&lt;/secondary-title&gt;&lt;/titles&gt;&lt;periodical&gt;&lt;full-title&gt;Science&lt;/full-title&gt;&lt;/periodical&gt;&lt;pages&gt;965-967&lt;/pages&gt;&lt;volume&gt;330&lt;/volume&gt;&lt;number&gt;6006&lt;/number&gt;&lt;dates&gt;&lt;year&gt;2010&lt;/year&gt;&lt;/dates&gt;&lt;urls&gt;&lt;/urls&gt;&lt;electronic-resource-num&gt;10.1126/science.1196005&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(2010)</w:t>
      </w:r>
      <w:r w:rsidRPr="00747E35">
        <w:rPr>
          <w:rFonts w:asciiTheme="minorHAnsi" w:hAnsiTheme="minorHAnsi" w:cstheme="minorHAnsi"/>
        </w:rPr>
        <w:fldChar w:fldCharType="end"/>
      </w:r>
      <w:r w:rsidRPr="00747E35">
        <w:rPr>
          <w:rFonts w:asciiTheme="minorHAnsi" w:hAnsiTheme="minorHAnsi" w:cstheme="minorHAnsi"/>
        </w:rPr>
        <w:t xml:space="preserve"> found that food chain length increased in streams with higher baseflow and lower flow variability, suggesting that flow intermittency had a destabilising effect on food webs, primarily by reducing food-chain length through the elimination of top predators. Similarly, recent research of drying streams in New Zealand found that food webs became smaller and shorter along a gradient from larger to smaller wetted habitats, with habitat size negatively associated with flow intermittency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&lt;EndNote&gt;&lt;Cite&gt;&lt;Author&gt;McHugh&lt;/Author&gt;&lt;Year&gt;2015&lt;/Year&gt;&lt;RecNum&gt;1297&lt;/RecNum&gt;&lt;DisplayText&gt;(McHugh&lt;style face="italic"&gt; et al.&lt;/style&gt;, 2015)&lt;/DisplayText&gt;&lt;record&gt;&lt;rec-number&gt;1297&lt;/rec-number&gt;&lt;foreign-keys&gt;&lt;key app="EN" db-id="f09zwdf26xeasaevvsjxv00h9rx2v9xarfsw" timestamp="1473656049"&gt;1297&lt;/key&gt;&lt;/foreign-keys&gt;&lt;ref-type name="Journal Article"&gt;17&lt;/ref-type&gt;&lt;contributors&gt;&lt;authors&gt;&lt;author&gt;McHugh, P. A.&lt;/author&gt;&lt;author&gt;Thompson, R. M.&lt;/author&gt;&lt;author&gt;Greig, H. S.&lt;/author&gt;&lt;author&gt;Warburton, H. J.&lt;/author&gt;&lt;author&gt;McIntosh, A. R.&lt;/author&gt;&lt;/authors&gt;&lt;/contributors&gt;&lt;titles&gt;&lt;title&gt;Habitat size influences food web structure in drying streams&lt;/title&gt;&lt;secondary-title&gt;Ecography&lt;/secondary-title&gt;&lt;/titles&gt;&lt;periodical&gt;&lt;full-title&gt;Ecography&lt;/full-title&gt;&lt;/periodical&gt;&lt;pages&gt;700-712&lt;/pages&gt;&lt;volume&gt;38&lt;/volume&gt;&lt;number&gt;7&lt;/number&gt;&lt;dates&gt;&lt;year&gt;2015&lt;/year&gt;&lt;/dates&gt;&lt;work-type&gt;Article&lt;/work-type&gt;&lt;urls&gt;&lt;related-urls&gt;&lt;url&gt;https://www.scopus.com/inward/record.uri?eid=2-s2.0-84933531255&amp;amp;partnerID=40&amp;amp;md5=24b797e0ded71b5578dd380e8ad519f4&lt;/url&gt;&lt;/related-urls&gt;&lt;/urls&gt;&lt;electronic-resource-num&gt;10.1111/ecog.01193&lt;/electronic-resource-num&gt;&lt;remote-database-name&gt;Scopus&lt;/remote-database-name&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(McHugh</w:t>
      </w:r>
      <w:r w:rsidRPr="00747E35">
        <w:rPr>
          <w:rFonts w:asciiTheme="minorHAnsi" w:hAnsiTheme="minorHAnsi" w:cstheme="minorHAnsi"/>
          <w:i/>
          <w:noProof/>
        </w:rPr>
        <w:t xml:space="preserve"> et al.</w:t>
      </w:r>
      <w:r w:rsidRPr="00747E35">
        <w:rPr>
          <w:rFonts w:asciiTheme="minorHAnsi" w:hAnsiTheme="minorHAnsi" w:cstheme="minorHAnsi"/>
          <w:noProof/>
        </w:rPr>
        <w:t>, 2015)</w:t>
      </w:r>
      <w:r w:rsidRPr="00747E35">
        <w:rPr>
          <w:rFonts w:asciiTheme="minorHAnsi" w:hAnsiTheme="minorHAnsi" w:cstheme="minorHAnsi"/>
        </w:rPr>
        <w:fldChar w:fldCharType="end"/>
      </w:r>
      <w:r w:rsidRPr="00747E35">
        <w:rPr>
          <w:rFonts w:asciiTheme="minorHAnsi" w:hAnsiTheme="minorHAnsi" w:cstheme="minorHAnsi"/>
        </w:rPr>
        <w:t xml:space="preserve">. </w:t>
      </w:r>
    </w:p>
    <w:p w14:paraId="63427394"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In this study, we ask how a reduction in stream flow affects basal resource use and food-web structure in intermittent rivers. We answer this question by sampling basal resources and the tissue of consumers to examine the ratio of stable isotopes of carbon (</w:t>
      </w:r>
      <w:r w:rsidRPr="00747E35">
        <w:rPr>
          <w:rFonts w:asciiTheme="minorHAnsi" w:hAnsiTheme="minorHAnsi" w:cstheme="minorHAnsi"/>
          <w:vertAlign w:val="superscript"/>
        </w:rPr>
        <w:t>13</w:t>
      </w:r>
      <w:r w:rsidRPr="00747E35">
        <w:rPr>
          <w:rFonts w:asciiTheme="minorHAnsi" w:hAnsiTheme="minorHAnsi" w:cstheme="minorHAnsi"/>
        </w:rPr>
        <w:t>C/</w:t>
      </w:r>
      <w:r w:rsidRPr="00747E35">
        <w:rPr>
          <w:rFonts w:asciiTheme="minorHAnsi" w:hAnsiTheme="minorHAnsi" w:cstheme="minorHAnsi"/>
          <w:vertAlign w:val="superscript"/>
        </w:rPr>
        <w:t>12</w:t>
      </w:r>
      <w:r w:rsidRPr="00747E35">
        <w:rPr>
          <w:rFonts w:asciiTheme="minorHAnsi" w:hAnsiTheme="minorHAnsi" w:cstheme="minorHAnsi"/>
        </w:rPr>
        <w:t>C) and nitrogen (</w:t>
      </w:r>
      <w:r w:rsidRPr="00747E35">
        <w:rPr>
          <w:rFonts w:asciiTheme="minorHAnsi" w:hAnsiTheme="minorHAnsi" w:cstheme="minorHAnsi"/>
          <w:vertAlign w:val="superscript"/>
        </w:rPr>
        <w:t>15</w:t>
      </w:r>
      <w:r w:rsidRPr="00747E35">
        <w:rPr>
          <w:rFonts w:asciiTheme="minorHAnsi" w:hAnsiTheme="minorHAnsi" w:cstheme="minorHAnsi"/>
        </w:rPr>
        <w:t>N/</w:t>
      </w:r>
      <w:r w:rsidRPr="00747E35">
        <w:rPr>
          <w:rFonts w:asciiTheme="minorHAnsi" w:hAnsiTheme="minorHAnsi" w:cstheme="minorHAnsi"/>
          <w:vertAlign w:val="superscript"/>
        </w:rPr>
        <w:t>14</w:t>
      </w:r>
      <w:r w:rsidRPr="00747E35">
        <w:rPr>
          <w:rFonts w:asciiTheme="minorHAnsi" w:hAnsiTheme="minorHAnsi" w:cstheme="minorHAnsi"/>
        </w:rPr>
        <w:t>N). We collected samples from intermittent river catchments in two regions of eastern Australia. In addition, we sought to determine whether changes in surface-water food webs due to flow reduction would be reflected by similar changes in stable isotope values of hyporheic basal resources and consumers.</w:t>
      </w:r>
    </w:p>
    <w:p w14:paraId="0758EF47" w14:textId="71F832B3" w:rsidR="003D3694" w:rsidRPr="00747E35" w:rsidRDefault="003D3694" w:rsidP="003D3694">
      <w:pPr>
        <w:pStyle w:val="Heading3"/>
        <w:rPr>
          <w:rFonts w:asciiTheme="minorHAnsi" w:hAnsiTheme="minorHAnsi" w:cstheme="minorHAnsi"/>
        </w:rPr>
      </w:pPr>
      <w:bookmarkStart w:id="149" w:name="_Toc470004850"/>
      <w:r w:rsidRPr="00747E35">
        <w:rPr>
          <w:rFonts w:asciiTheme="minorHAnsi" w:hAnsiTheme="minorHAnsi" w:cstheme="minorHAnsi"/>
        </w:rPr>
        <w:lastRenderedPageBreak/>
        <w:t>Methods</w:t>
      </w:r>
      <w:bookmarkEnd w:id="149"/>
    </w:p>
    <w:p w14:paraId="79E02997"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t>Collection of basal sources and consumers</w:t>
      </w:r>
    </w:p>
    <w:p w14:paraId="27A88BE7" w14:textId="6EDF7EBA" w:rsidR="003D3694" w:rsidRPr="00747E35" w:rsidRDefault="003D3694" w:rsidP="003D3694">
      <w:pPr>
        <w:rPr>
          <w:rFonts w:asciiTheme="minorHAnsi" w:hAnsiTheme="minorHAnsi" w:cstheme="minorHAnsi"/>
        </w:rPr>
      </w:pPr>
      <w:r w:rsidRPr="00747E35">
        <w:rPr>
          <w:rFonts w:asciiTheme="minorHAnsi" w:hAnsiTheme="minorHAnsi" w:cstheme="minorHAnsi"/>
        </w:rPr>
        <w:t>Triplicate samples of basal food sources and consumers were collected from each study site in the upper Bremer River catchment and Maules Creek catchment for stable isotope analysis of carbon (δ</w:t>
      </w:r>
      <w:r w:rsidRPr="00747E35">
        <w:rPr>
          <w:rFonts w:asciiTheme="minorHAnsi" w:hAnsiTheme="minorHAnsi" w:cstheme="minorHAnsi"/>
          <w:vertAlign w:val="superscript"/>
        </w:rPr>
        <w:t>13</w:t>
      </w:r>
      <w:r w:rsidRPr="00747E35">
        <w:rPr>
          <w:rFonts w:asciiTheme="minorHAnsi" w:hAnsiTheme="minorHAnsi" w:cstheme="minorHAnsi"/>
        </w:rPr>
        <w:t>C) and nitrogen (δ</w:t>
      </w:r>
      <w:r w:rsidRPr="00747E35">
        <w:rPr>
          <w:rFonts w:asciiTheme="minorHAnsi" w:hAnsiTheme="minorHAnsi" w:cstheme="minorHAnsi"/>
          <w:vertAlign w:val="superscript"/>
        </w:rPr>
        <w:t>15</w:t>
      </w:r>
      <w:r w:rsidRPr="00747E35">
        <w:rPr>
          <w:rFonts w:asciiTheme="minorHAnsi" w:hAnsiTheme="minorHAnsi" w:cstheme="minorHAnsi"/>
        </w:rPr>
        <w:t>N). δ</w:t>
      </w:r>
      <w:r w:rsidRPr="00747E35">
        <w:rPr>
          <w:rFonts w:asciiTheme="minorHAnsi" w:hAnsiTheme="minorHAnsi" w:cstheme="minorHAnsi"/>
          <w:vertAlign w:val="superscript"/>
        </w:rPr>
        <w:t>15</w:t>
      </w:r>
      <w:r w:rsidRPr="00747E35">
        <w:rPr>
          <w:rFonts w:asciiTheme="minorHAnsi" w:hAnsiTheme="minorHAnsi" w:cstheme="minorHAnsi"/>
        </w:rPr>
        <w:t>N values are traditionally used to estimate trophic position and δ</w:t>
      </w:r>
      <w:r w:rsidRPr="00747E35">
        <w:rPr>
          <w:rFonts w:asciiTheme="minorHAnsi" w:hAnsiTheme="minorHAnsi" w:cstheme="minorHAnsi"/>
          <w:vertAlign w:val="superscript"/>
        </w:rPr>
        <w:t>13</w:t>
      </w:r>
      <w:r w:rsidRPr="00747E35">
        <w:rPr>
          <w:rFonts w:asciiTheme="minorHAnsi" w:hAnsiTheme="minorHAnsi" w:cstheme="minorHAnsi"/>
        </w:rPr>
        <w:t>C is useful for determining food source pathways of higher consumers (i.e. resource coupling). In the upper Bremer River catchment sampling was conducted on 3-7</w:t>
      </w:r>
      <w:r w:rsidRPr="00747E35">
        <w:rPr>
          <w:rFonts w:asciiTheme="minorHAnsi" w:hAnsiTheme="minorHAnsi" w:cstheme="minorHAnsi"/>
          <w:vertAlign w:val="superscript"/>
        </w:rPr>
        <w:t>th</w:t>
      </w:r>
      <w:r w:rsidRPr="00747E35">
        <w:rPr>
          <w:rFonts w:asciiTheme="minorHAnsi" w:hAnsiTheme="minorHAnsi" w:cstheme="minorHAnsi"/>
        </w:rPr>
        <w:t xml:space="preserve"> September 2015 (dry season sampling) and 7-10</w:t>
      </w:r>
      <w:r w:rsidRPr="00747E35">
        <w:rPr>
          <w:rFonts w:asciiTheme="minorHAnsi" w:hAnsiTheme="minorHAnsi" w:cstheme="minorHAnsi"/>
          <w:vertAlign w:val="superscript"/>
        </w:rPr>
        <w:t>th</w:t>
      </w:r>
      <w:r w:rsidRPr="00747E35">
        <w:rPr>
          <w:rFonts w:asciiTheme="minorHAnsi" w:hAnsiTheme="minorHAnsi" w:cstheme="minorHAnsi"/>
        </w:rPr>
        <w:t xml:space="preserve"> March 2016 (wet season sampling). In the Maules Creek catchment sampling was conducted on 21</w:t>
      </w:r>
      <w:r w:rsidRPr="00747E35">
        <w:rPr>
          <w:rFonts w:asciiTheme="minorHAnsi" w:hAnsiTheme="minorHAnsi" w:cstheme="minorHAnsi"/>
          <w:vertAlign w:val="superscript"/>
        </w:rPr>
        <w:t>st</w:t>
      </w:r>
      <w:r w:rsidRPr="00747E35">
        <w:rPr>
          <w:rFonts w:asciiTheme="minorHAnsi" w:hAnsiTheme="minorHAnsi" w:cstheme="minorHAnsi"/>
        </w:rPr>
        <w:t>-23</w:t>
      </w:r>
      <w:r w:rsidRPr="00747E35">
        <w:rPr>
          <w:rFonts w:asciiTheme="minorHAnsi" w:hAnsiTheme="minorHAnsi" w:cstheme="minorHAnsi"/>
          <w:vertAlign w:val="superscript"/>
        </w:rPr>
        <w:t xml:space="preserve">rd </w:t>
      </w:r>
      <w:r w:rsidRPr="00747E35">
        <w:rPr>
          <w:rFonts w:asciiTheme="minorHAnsi" w:hAnsiTheme="minorHAnsi" w:cstheme="minorHAnsi"/>
        </w:rPr>
        <w:t>July 2015 (wet season sampling) and 5-6</w:t>
      </w:r>
      <w:r w:rsidRPr="00747E35">
        <w:rPr>
          <w:rFonts w:asciiTheme="minorHAnsi" w:hAnsiTheme="minorHAnsi" w:cstheme="minorHAnsi"/>
          <w:vertAlign w:val="superscript"/>
        </w:rPr>
        <w:t>th</w:t>
      </w:r>
      <w:r w:rsidRPr="00747E35">
        <w:rPr>
          <w:rFonts w:asciiTheme="minorHAnsi" w:hAnsiTheme="minorHAnsi" w:cstheme="minorHAnsi"/>
        </w:rPr>
        <w:t xml:space="preserve"> April 2016 (dry season sampling). Sources included riparian grasses, riparian tree leaves, fine-particulate organic matter (hyporheic zone only), coarse-particulate organic matter, submerged and emergent macrophytes, suspended particulate organic matter (seston), and periphyton attached to rocks (epilithon), woody debris (epixylon), and large macrophytes. Isotope values for coarse-particulate organic matter and riparian tree leaves were combined and called ‘plants’ for statistics and figures because values were very similar. Additional sampling was undertaken on two separate occasions in sites within the upper Bremer River catchment to assess epilithon growing on the underside of rocks (referred to as ‘epilithon bottom’). This sampling occurred on the 12</w:t>
      </w:r>
      <w:r w:rsidRPr="00747E35">
        <w:rPr>
          <w:rFonts w:asciiTheme="minorHAnsi" w:hAnsiTheme="minorHAnsi" w:cstheme="minorHAnsi"/>
          <w:vertAlign w:val="superscript"/>
        </w:rPr>
        <w:t>th</w:t>
      </w:r>
      <w:r w:rsidRPr="00747E35">
        <w:rPr>
          <w:rFonts w:asciiTheme="minorHAnsi" w:hAnsiTheme="minorHAnsi" w:cstheme="minorHAnsi"/>
        </w:rPr>
        <w:t xml:space="preserve"> May 2016 (wet period) and 13</w:t>
      </w:r>
      <w:r w:rsidRPr="00747E35">
        <w:rPr>
          <w:rFonts w:asciiTheme="minorHAnsi" w:hAnsiTheme="minorHAnsi" w:cstheme="minorHAnsi"/>
          <w:vertAlign w:val="superscript"/>
        </w:rPr>
        <w:t>th</w:t>
      </w:r>
      <w:r w:rsidRPr="00747E35">
        <w:rPr>
          <w:rFonts w:asciiTheme="minorHAnsi" w:hAnsiTheme="minorHAnsi" w:cstheme="minorHAnsi"/>
        </w:rPr>
        <w:t xml:space="preserve"> July 2016 (dry period). Detailed methods for how these sources were sampled are available in Jardine et al.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 ExcludeAuth="1"&gt;&lt;Author&gt;Jardine&lt;/Author&gt;&lt;Year&gt;2013&lt;/Year&gt;&lt;RecNum&gt;1335&lt;/RecNum&gt;&lt;DisplayText&gt;(2013)&lt;/DisplayText&gt;&lt;record&gt;&lt;rec-number&gt;1335&lt;/rec-number&gt;&lt;foreign-keys&gt;&lt;key app="EN" db-id="f09zwdf26xeasaevvsjxv00h9rx2v9xarfsw" timestamp="1477612530"&gt;1335&lt;/key&gt;&lt;/foreign-keys&gt;&lt;ref-type name="Journal Article"&gt;17&lt;/ref-type&gt;&lt;contributors&gt;&lt;authors&gt;&lt;author&gt;Jardine, T. D.&lt;/author&gt;&lt;author&gt;Hunt, R. J.&lt;/author&gt;&lt;author&gt;Faggotter, S. J.&lt;/author&gt;&lt;author&gt;Valdez, D.&lt;/author&gt;&lt;author&gt;Burford, M. A.&lt;/author&gt;&lt;author&gt;Bunn, S. E.&lt;/author&gt;&lt;/authors&gt;&lt;/contributors&gt;&lt;titles&gt;&lt;title&gt;Carbon from periphyton supports fish biomass in waterholes of a wet–dry tropical river&lt;/title&gt;&lt;secondary-title&gt;River Research and Applications&lt;/secondary-title&gt;&lt;/titles&gt;&lt;periodical&gt;&lt;full-title&gt;River Research and Applications&lt;/full-title&gt;&lt;/periodical&gt;&lt;pages&gt;560-573&lt;/pages&gt;&lt;volume&gt;29&lt;/volume&gt;&lt;number&gt;5&lt;/number&gt;&lt;keywords&gt;&lt;keyword&gt;benthic algae&lt;/keyword&gt;&lt;keyword&gt;tropics&lt;/keyword&gt;&lt;keyword&gt;detritus&lt;/keyword&gt;&lt;keyword&gt;phytoplankton&lt;/keyword&gt;&lt;keyword&gt;stable isotopes&lt;/keyword&gt;&lt;/keywords&gt;&lt;dates&gt;&lt;year&gt;2013&lt;/year&gt;&lt;/dates&gt;&lt;isbn&gt;1535-1467&lt;/isbn&gt;&lt;urls&gt;&lt;related-urls&gt;&lt;url&gt;http://dx.doi.org/10.1002/rra.2554&lt;/url&gt;&lt;/related-urls&gt;&lt;/urls&gt;&lt;electronic-resource-num&gt;10.1002/rra.2554&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(2013)</w:t>
      </w:r>
      <w:r w:rsidRPr="00747E35">
        <w:rPr>
          <w:rFonts w:asciiTheme="minorHAnsi" w:hAnsiTheme="minorHAnsi" w:cstheme="minorHAnsi"/>
        </w:rPr>
        <w:fldChar w:fldCharType="end"/>
      </w:r>
      <w:r w:rsidRPr="00747E35">
        <w:rPr>
          <w:rFonts w:asciiTheme="minorHAnsi" w:hAnsiTheme="minorHAnsi" w:cstheme="minorHAnsi"/>
        </w:rPr>
        <w:t xml:space="preserve">. Benthic macroinvertebrates including gastropods and decapods were collected from a combination of hand picking and 1-2 m dip net sweeps of benthic surfaces and areas of littoral vegetation. Fish were occasionally sampled in the dip net sweeps but were also sampled using an electro-fisher in the Bremer River catchment. For each fish (maximum of five individuals per species per site and sampling occasion), a non-lethal fin clip was taken for stable isotope analysis, which is a reliable surrogate for muscle tissue in Australian freshwater fishes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&lt;EndNote&gt;&lt;Cite&gt;&lt;Author&gt;Jardine&lt;/Author&gt;&lt;Year&gt;2011&lt;/Year&gt;&lt;RecNum&gt;1336&lt;/RecNum&gt;&lt;DisplayText&gt;(Jardine&lt;style face="italic"&gt; et al.&lt;/style&gt;, 2011)&lt;/DisplayText&gt;&lt;record&gt;&lt;rec-number&gt;1336&lt;/rec-number&gt;&lt;foreign-keys&gt;&lt;key app="EN" db-id="f09zwdf26xeasaevvsjxv00h9rx2v9xarfsw" timestamp="1477613224"&gt;1336&lt;/key&gt;&lt;/foreign-keys&gt;&lt;ref-type name="Journal Article"&gt;17&lt;/ref-type&gt;&lt;contributors&gt;&lt;authors&gt;&lt;author&gt;Jardine, Timothy D.&lt;/author&gt;&lt;author&gt;Hunt, Richard J.&lt;/author&gt;&lt;author&gt;Pusey, Bradley J.&lt;/author&gt;&lt;author&gt;Bunn, Stuart E.&lt;/author&gt;&lt;/authors&gt;&lt;/contributors&gt;&lt;titles&gt;&lt;title&gt;A non-lethal sampling method for stable carbon and nitrogen isotope studies of tropical fishes&lt;/title&gt;&lt;secondary-title&gt;Marine and Freshwater Research&lt;/secondary-title&gt;&lt;/titles&gt;&lt;periodical&gt;&lt;full-title&gt;Marine and Freshwater Research&lt;/full-title&gt;&lt;/periodical&gt;&lt;pages&gt;83-90&lt;/pages&gt;&lt;volume&gt;62&lt;/volume&gt;&lt;number&gt;1&lt;/number&gt;&lt;keywords&gt;&lt;keyword&gt;δ13C, δ15N, fin tissue, fractionation, muscle tissue, size, turnover.&lt;/keyword&gt;&lt;/keywords&gt;&lt;dates&gt;&lt;year&gt;2011&lt;/year&gt;&lt;/dates&gt;&lt;urls&gt;&lt;related-urls&gt;&lt;url&gt;http://www.publish.csiro.au/paper/MF10211&lt;/url&gt;&lt;/related-urls&gt;&lt;/urls&gt;&lt;electronic-resource-num&gt;http://dx.doi.org/10.1071/MF10211&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(Jardine</w:t>
      </w:r>
      <w:r w:rsidRPr="00747E35">
        <w:rPr>
          <w:rFonts w:asciiTheme="minorHAnsi" w:hAnsiTheme="minorHAnsi" w:cstheme="minorHAnsi"/>
          <w:i/>
          <w:noProof/>
        </w:rPr>
        <w:t xml:space="preserve"> et al.</w:t>
      </w:r>
      <w:r w:rsidRPr="00747E35">
        <w:rPr>
          <w:rFonts w:asciiTheme="minorHAnsi" w:hAnsiTheme="minorHAnsi" w:cstheme="minorHAnsi"/>
          <w:noProof/>
        </w:rPr>
        <w:t>, 2011)</w:t>
      </w:r>
      <w:r w:rsidRPr="00747E35">
        <w:rPr>
          <w:rFonts w:asciiTheme="minorHAnsi" w:hAnsiTheme="minorHAnsi" w:cstheme="minorHAnsi"/>
        </w:rPr>
        <w:fldChar w:fldCharType="end"/>
      </w:r>
      <w:r w:rsidRPr="00747E35">
        <w:rPr>
          <w:rFonts w:asciiTheme="minorHAnsi" w:hAnsiTheme="minorHAnsi" w:cstheme="minorHAnsi"/>
        </w:rPr>
        <w:t>. Fish were not sampled in the Maules Creek catchment. Primary consumers included Ephemeroptera (Baetidae, Caenidae, and Leptophlebiidae) and Trichoptera (Calamoceratidae, Hydropsychidae, and Leptoceridae). Secondary consumers or predatory macroinvertebrates included Ameletopsidae, Belostomatidae, Coenagrionidae, Corydalidae, Dytiscidae, Ecnomidae, Gelastocoridae, Gerridae, Gomphidae, Gyrinidae, Hydrometridae, Isostictidae, Libellulidae, Megapodagrionidae, Notonectidae, Osmylidae, Pleidae, and Velidae.</w:t>
      </w:r>
    </w:p>
    <w:p w14:paraId="080BF51D"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t>Laboratory sample preparation and analysis</w:t>
      </w:r>
    </w:p>
    <w:p w14:paraId="4DC704FE"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All submerged plants and invertebrate collections were rinsed with distilled water and any residual organic matter was removed under a dissecting microscope. All specimens were classified to family, genus, or species where possible. Muscle tissue was extracted from decapods and fish using a scalpel. Samples were then dried at 60°C for 24 hours and then ground and homogenised in a ball mill grinder. Plant samples were weighed to approximately 5 mg and animal tissue samples to 2 mg and then combusted in an EA 3000 elemental analyser (Eurovector, Milan, Italy). Sample gases were delivered to a Sercon isotope mass spectrometer (Sercon Limited, Crewe, UK) for isotope analysis of C and N. Working standards were liquids calibrated against IAEA CH6, CH7, N1 and N2 and had elemental composition that matched the samples (44% C and 11% N for animal tissues, 41% C and 2% N for plant tissues).</w:t>
      </w:r>
    </w:p>
    <w:p w14:paraId="67176B99" w14:textId="64DA2B8F" w:rsidR="003D3694" w:rsidRPr="00747E35" w:rsidRDefault="003D3694" w:rsidP="003D3694">
      <w:pPr>
        <w:pStyle w:val="Heading3"/>
        <w:rPr>
          <w:rFonts w:asciiTheme="minorHAnsi" w:hAnsiTheme="minorHAnsi" w:cstheme="minorHAnsi"/>
        </w:rPr>
      </w:pPr>
      <w:bookmarkStart w:id="150" w:name="_Toc470004851"/>
      <w:r w:rsidRPr="00747E35">
        <w:rPr>
          <w:rFonts w:asciiTheme="minorHAnsi" w:hAnsiTheme="minorHAnsi" w:cstheme="minorHAnsi"/>
        </w:rPr>
        <w:t>Data analysis</w:t>
      </w:r>
      <w:bookmarkEnd w:id="150"/>
    </w:p>
    <w:p w14:paraId="0887B8EF" w14:textId="01AD641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A gradient approach was used to assess the strength of consumer-resource coupling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&lt;EndNote&gt;&lt;Cite&gt;&lt;Author&gt;Jardine&lt;/Author&gt;&lt;Year&gt;2012&lt;/Year&gt;&lt;RecNum&gt;1268&lt;/RecNum&gt;&lt;DisplayText&gt;(Rasmussen, 2010; Jardine&lt;style face="italic"&gt; et al.&lt;/style&gt;, 2012)&lt;/DisplayText&gt;&lt;record&gt;&lt;rec-number&gt;1268&lt;/rec-number&gt;&lt;foreign-keys&gt;&lt;key app="EN" db-id="f09zwdf26xeasaevvsjxv00h9rx2v9xarfsw" timestamp="1465274261"&gt;1268&lt;/key&gt;&lt;/foreign-keys&gt;&lt;ref-type name="Journal Article"&gt;17&lt;/ref-type&gt;&lt;contributors&gt;&lt;authors&gt;&lt;author&gt;Jardine, Timothy D&lt;/author&gt;&lt;author&gt;Pettit, Neil E&lt;/author&gt;&lt;author&gt;Warfe, Danielle M&lt;/author&gt;&lt;author&gt;Pusey, Bradley J&lt;/author&gt;&lt;author&gt;Ward, Doug P&lt;/author&gt;&lt;author&gt;Douglas, Michael M&lt;/author&gt;&lt;author&gt;Davies, Peter M&lt;/author&gt;&lt;author&gt;Bunn, Stuart E&lt;/author&gt;&lt;/authors&gt;&lt;/contributors&gt;&lt;titles&gt;&lt;title&gt;Consumer–resource coupling in wet–dry tropical rivers&lt;/title&gt;&lt;secondary-title&gt;Journal of Animal Ecology&lt;/secondary-title&gt;&lt;/titles&gt;&lt;periodical&gt;&lt;full-title&gt;Journal of Animal Ecology&lt;/full-title&gt;&lt;/periodical&gt;&lt;pages&gt;310-322&lt;/pages&gt;&lt;volume&gt;81&lt;/volume&gt;&lt;number&gt;2&lt;/number&gt;&lt;dates&gt;&lt;year&gt;2012&lt;/year&gt;&lt;/dates&gt;&lt;isbn&gt;1365-2656&lt;/isbn&gt;&lt;urls&gt;&lt;/urls&gt;&lt;/record&gt;&lt;/Cite&gt;&lt;Cite&gt;&lt;Author&gt;Rasmussen&lt;/Author&gt;&lt;Year&gt;2010&lt;/Year&gt;&lt;RecNum&gt;1270&lt;/RecNum&gt;&lt;record&gt;&lt;rec-number&gt;1270&lt;/rec-number&gt;&lt;foreign-keys&gt;&lt;key app="EN" db-id="f09zwdf26xeasaevvsjxv00h9rx2v9xarfsw" timestamp="1465274261"&gt;1270&lt;/key&gt;&lt;/foreign-keys&gt;&lt;ref-type name="Journal Article"&gt;17&lt;/ref-type&gt;&lt;contributors&gt;&lt;authors&gt;&lt;author&gt;Rasmussen, Joseph B&lt;/author&gt;&lt;/authors&gt;&lt;/contributors&gt;&lt;titles&gt;&lt;title&gt;Estimating terrestrial contribution to stream invertebrates and periphyton using a gradient‐based mixing model for δ13C&lt;/title&gt;&lt;secondary-title&gt;Journal of Animal Ecology&lt;/secondary-title&gt;&lt;/titles&gt;&lt;periodical&gt;&lt;full-title&gt;Journal of Animal Ecology&lt;/full-title&gt;&lt;/periodical&gt;&lt;pages&gt;393-402&lt;/pages&gt;&lt;volume&gt;79&lt;/volume&gt;&lt;number&gt;2&lt;/number&gt;&lt;dates&gt;&lt;year&gt;2010&lt;/year&gt;&lt;/dates&gt;&lt;isbn&gt;1365-2656&lt;/isbn&gt;&lt;urls&gt;&lt;/urls&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(Rasmussen, 2010; Jardine</w:t>
      </w:r>
      <w:r w:rsidRPr="00747E35">
        <w:rPr>
          <w:rFonts w:asciiTheme="minorHAnsi" w:hAnsiTheme="minorHAnsi" w:cstheme="minorHAnsi"/>
          <w:i/>
          <w:noProof/>
        </w:rPr>
        <w:t xml:space="preserve"> et al.</w:t>
      </w:r>
      <w:r w:rsidRPr="00747E35">
        <w:rPr>
          <w:rFonts w:asciiTheme="minorHAnsi" w:hAnsiTheme="minorHAnsi" w:cstheme="minorHAnsi"/>
          <w:noProof/>
        </w:rPr>
        <w:t>, 2012)</w:t>
      </w:r>
      <w:r w:rsidRPr="00747E35">
        <w:rPr>
          <w:rFonts w:asciiTheme="minorHAnsi" w:hAnsiTheme="minorHAnsi" w:cstheme="minorHAnsi"/>
        </w:rPr>
        <w:fldChar w:fldCharType="end"/>
      </w:r>
      <w:r w:rsidRPr="00747E35">
        <w:rPr>
          <w:rFonts w:asciiTheme="minorHAnsi" w:hAnsiTheme="minorHAnsi" w:cstheme="minorHAnsi"/>
        </w:rPr>
        <w:t xml:space="preserve"> among sites in the Bremer River catchment in the wetter and drier sampling trips. Consumer-resource coupling could not be assessed statistically at sites within the Maules Creek catchment due to the very distinct flow regimes at each site and a lack of site replication. In this approach, the slope of the regression of consumer δ</w:t>
      </w:r>
      <w:r w:rsidRPr="00747E35">
        <w:rPr>
          <w:rFonts w:asciiTheme="minorHAnsi" w:hAnsiTheme="minorHAnsi" w:cstheme="minorHAnsi"/>
          <w:vertAlign w:val="superscript"/>
        </w:rPr>
        <w:t>13</w:t>
      </w:r>
      <w:r w:rsidRPr="00747E35">
        <w:rPr>
          <w:rFonts w:asciiTheme="minorHAnsi" w:hAnsiTheme="minorHAnsi" w:cstheme="minorHAnsi"/>
        </w:rPr>
        <w:t>C versus source δ</w:t>
      </w:r>
      <w:r w:rsidRPr="00747E35">
        <w:rPr>
          <w:rFonts w:asciiTheme="minorHAnsi" w:hAnsiTheme="minorHAnsi" w:cstheme="minorHAnsi"/>
          <w:vertAlign w:val="superscript"/>
        </w:rPr>
        <w:t>13</w:t>
      </w:r>
      <w:r w:rsidRPr="00747E35">
        <w:rPr>
          <w:rFonts w:asciiTheme="minorHAnsi" w:hAnsiTheme="minorHAnsi" w:cstheme="minorHAnsi"/>
        </w:rPr>
        <w:t xml:space="preserve">C is used as an indicator of the reliance of consumers to particular resources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&lt;EndNote&gt;&lt;Cite&gt;&lt;Author&gt;Rasmussen&lt;/Author&gt;&lt;Year&gt;2010&lt;/Year&gt;&lt;RecNum&gt;1270&lt;/RecNum&gt;&lt;DisplayText&gt;(Rasmussen, 2010)&lt;/DisplayText&gt;&lt;record&gt;&lt;rec-number&gt;1270&lt;/rec-number&gt;&lt;foreign-keys&gt;&lt;key app="EN" db-id="f09zwdf26xeasaevvsjxv00h9rx2v9xarfsw" timestamp="1465274261"&gt;1270&lt;/key&gt;&lt;/foreign-keys&gt;&lt;ref-type name="Journal Article"&gt;17&lt;/ref-type&gt;&lt;contributors&gt;&lt;authors&gt;&lt;author&gt;Rasmussen, Joseph B&lt;/author&gt;&lt;/authors&gt;&lt;/contributors&gt;&lt;titles&gt;&lt;title&gt;Estimating terrestrial contribution to stream invertebrates and periphyton using a gradient‐based mixing model for δ13C&lt;/title&gt;&lt;secondary-title&gt;Journal of Animal Ecology&lt;/secondary-title&gt;&lt;/titles&gt;&lt;periodical&gt;&lt;full-title&gt;Journal of Animal Ecology&lt;/full-title&gt;&lt;/periodical&gt;&lt;pages&gt;393-402&lt;/pages&gt;&lt;volume&gt;79&lt;/volume&gt;&lt;number&gt;2&lt;/number&gt;&lt;dates&gt;&lt;year&gt;2010&lt;/year&gt;&lt;/dates&gt;&lt;isbn&gt;1365-2656&lt;/isbn&gt;&lt;urls&gt;&lt;/urls&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(Rasmussen, 2010)</w:t>
      </w:r>
      <w:r w:rsidRPr="00747E35">
        <w:rPr>
          <w:rFonts w:asciiTheme="minorHAnsi" w:hAnsiTheme="minorHAnsi" w:cstheme="minorHAnsi"/>
        </w:rPr>
        <w:fldChar w:fldCharType="end"/>
      </w:r>
      <w:r w:rsidRPr="00747E35">
        <w:rPr>
          <w:rFonts w:asciiTheme="minorHAnsi" w:hAnsiTheme="minorHAnsi" w:cstheme="minorHAnsi"/>
        </w:rPr>
        <w:t>. This approach is particularly useful for determining consumer reliance on particular algal C sources because the δ</w:t>
      </w:r>
      <w:r w:rsidRPr="00747E35">
        <w:rPr>
          <w:rFonts w:asciiTheme="minorHAnsi" w:hAnsiTheme="minorHAnsi" w:cstheme="minorHAnsi"/>
          <w:vertAlign w:val="superscript"/>
        </w:rPr>
        <w:t>13</w:t>
      </w:r>
      <w:r w:rsidRPr="00747E35">
        <w:rPr>
          <w:rFonts w:asciiTheme="minorHAnsi" w:hAnsiTheme="minorHAnsi" w:cstheme="minorHAnsi"/>
        </w:rPr>
        <w:t xml:space="preserve">C value of algae varies considerably due to environmental factors such as flow, water quality, riparian cover, and productivity </w:t>
      </w:r>
      <w:r w:rsidRPr="00747E35">
        <w:rPr>
          <w:rFonts w:asciiTheme="minorHAnsi" w:hAnsiTheme="minorHAnsi" w:cstheme="minorHAnsi"/>
        </w:rPr>
        <w:fldChar w:fldCharType="begin">
          <w:fldData xml:space="preserve">PEVuZE5vdGU+PENpdGU+PEF1dGhvcj5KYXJkaW5lPC9BdXRob3I+PFllYXI+MjAxNDwvWWVhcj48
UmVjTnVtPjEyNjc8L1JlY051bT48RGlzcGxheVRleHQ+KEhhZHdlbjxzdHlsZSBmYWNlPSJpdGFs
aWMiPiBldCBhbC48L3N0eWxlPiwgMjAxMDsgSmFyZGluZTxzdHlsZSBmYWNlPSJpdGFsaWMiPiBl
dCBhbC48L3N0eWxlPiwgMjAxNCk8L0Rpc3BsYXlUZXh0PjxyZWNvcmQ+PHJlYy1udW1iZXI+MTI2
NzwvcmVjLW51bWJlcj48Zm9yZWlnbi1rZXlzPjxrZXkgYXBwPSJFTiIgZGItaWQ9ImYwOXp3ZGYy
NnhlYXNhZXZ2c2p4djAwaDlyeDJ2OXhhcmZzdyIgdGltZXN0YW1wPSIxNDY1Mjc0MjYxIj4xMjY3
PC9rZXk+PC9mb3JlaWduLWtleXM+PHJlZi10eXBlIG5hbWU9IkpvdXJuYWwgQXJ0aWNsZSI+MTc8
L3JlZi10eXBlPjxjb250cmlidXRvcnM+PGF1dGhvcnM+PGF1dGhvcj5KYXJkaW5lLCBUaW1vdGh5
IEQ8L2F1dGhvcj48YXV0aG9yPkhhZHdlbiwgV2FkZSBMeW50b248L2F1dGhvcj48YXV0aG9yPkhh
bWlsdG9uLCBTdGVwaGVuIEs8L2F1dGhvcj48YXV0aG9yPkhsYWR5eiwgU2FsbHk8L2F1dGhvcj48
YXV0aG9yPk1pdHJvdmljLCBTaW1vbiBNPC9hdXRob3I+PGF1dGhvcj5LaWRkLCBLYXJlbiBBPC9h
dXRob3I+PGF1dGhvcj5Uc29pLCBXaW5nIFlpbmc8L2F1dGhvcj48YXV0aG9yPlNwZWFycywgTWFy
azwvYXV0aG9yPjxhdXRob3I+V2VzdGhvcnBlLCBEb3VnbGFzIFA8L2F1dGhvcj48YXV0aG9yPkZy
eSwgVmFuZXNzYSBNYXJpYTwvYXV0aG9yPjwvYXV0aG9ycz48L2NvbnRyaWJ1dG9ycz48dGl0bGVz
Pjx0aXRsZT5VbmRlcnN0YW5kaW5nIGFuZCBvdmVyY29taW5nIGJhc2VsaW5lIGlzb3RvcGljIHZh
cmlhYmlsaXR5IGluIHJ1bm5pbmcgd2F0ZXJzPC90aXRsZT48c2Vjb25kYXJ5LXRpdGxlPlJpdmVy
IFJlc2VhcmNoIGFuZCBBcHBsaWNhdGlvbnM8L3NlY29uZGFyeS10aXRsZT48L3RpdGxlcz48cGVy
aW9kaWNhbD48ZnVsbC10aXRsZT5SaXZlciBSZXNlYXJjaCBhbmQgQXBwbGljYXRpb25zPC9mdWxs
LXRpdGxlPjwvcGVyaW9kaWNhbD48cGFnZXM+MTU1LTE2NTwvcGFnZXM+PHZvbHVtZT4zMDwvdm9s
dW1lPjxudW1iZXI+MjwvbnVtYmVyPjxkYXRlcz48eWVhcj4yMDE0PC95ZWFyPjwvZGF0ZXM+PGlz
Ym4+MTUzNS0xNDY3PC9pc2JuPjx1cmxzPjwvdXJscz48L3JlY29yZD48L0NpdGU+PENpdGU+PEF1
dGhvcj5IYWR3ZW48L0F1dGhvcj48WWVhcj4yMDEwPC9ZZWFyPjxSZWNOdW0+MTM4NjwvUmVjTnVt
PjxyZWNvcmQ+PHJlYy1udW1iZXI+MTM4NjwvcmVjLW51bWJlcj48Zm9yZWlnbi1rZXlzPjxrZXkg
YXBwPSJFTiIgZGItaWQ9ImYwOXp3ZGYyNnhlYXNhZXZ2c2p4djAwaDlyeDJ2OXhhcmZzdyIgdGlt
ZXN0YW1wPSIxNDc5MTcyMTg4Ij4xMzg2PC9rZXk+PC9mb3JlaWduLWtleXM+PHJlZi10eXBlIG5h
bWU9IkpvdXJuYWwgQXJ0aWNsZSI+MTc8L3JlZi10eXBlPjxjb250cmlidXRvcnM+PGF1dGhvcnM+
PGF1dGhvcj5IYWR3ZW4sIFdhZGUgTC48L2F1dGhvcj48YXV0aG9yPlNwZWFycywgTWFyazwvYXV0
aG9yPjxhdXRob3I+S2VubmFyZCwgTWFyayBKLjwvYXV0aG9yPjwvYXV0aG9ycz48L2NvbnRyaWJ1
dG9ycz48dGl0bGVzPjx0aXRsZT5UZW1wb3JhbCB2YXJpYWJpbGl0eSBvZiBiZW50aGljIGFsZ2Fs
IM60MTNDIHNpZ25hdHVyZXMgaW5mbHVlbmNlcyBhc3Nlc3NtZW50cyBvZiBjYXJib24gZmxvd3Mg
aW4gc3RyZWFtIGZvb2Qgd2ViczwvdGl0bGU+PHNlY29uZGFyeS10aXRsZT5IeWRyb2Jpb2xvZ2lh
PC9zZWNvbmRhcnktdGl0bGU+PC90aXRsZXM+PHBlcmlvZGljYWw+PGZ1bGwtdGl0bGU+SHlkcm9i
aW9sb2dpYTwvZnVsbC10aXRsZT48L3BlcmlvZGljYWw+PHBhZ2VzPjIzOS0yNTE8L3BhZ2VzPjx2
b2x1bWU+NjUxPC92b2x1bWU+PG51bWJlcj4xPC9udW1iZXI+PGRhdGVzPjx5ZWFyPjIwMTA8L3ll
YXI+PC9kYXRlcz48aXNibj4xNTczLTUxMTc8L2lzYm4+PGxhYmVsPkhhZHdlbjIwMTA8L2xhYmVs
Pjx3b3JrLXR5cGU+am91cm5hbCBhcnRpY2xlPC93b3JrLXR5cGU+PHVybHM+PHJlbGF0ZWQtdXJs
cz48dXJsPmh0dHA6Ly9keC5kb2kub3JnLzEwLjEwMDcvczEwNzUwLTAxMC0wMzAzLXk8L3VybD48
L3JlbGF0ZWQtdXJscz48L3VybHM+PGVsZWN0cm9uaWMtcmVzb3VyY2UtbnVtPjEwLjEwMDcvczEw
NzUwLTAxMC0wMzAzLXk8L2VsZWN0cm9uaWMtcmVzb3VyY2UtbnVtPjwvcmVjb3JkPjwvQ2l0ZT48
L0VuZE5vdGU+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PEVuZE5vdGU+PENpdGU+PEF1dGhvcj5KYXJkaW5lPC9BdXRob3I+PFllYXI+MjAxNDwvWWVhcj48
UmVjTnVtPjEyNjc8L1JlY051bT48RGlzcGxheVRleHQ+KEhhZHdlbjxzdHlsZSBmYWNlPSJpdGFs
aWMiPiBldCBhbC48L3N0eWxlPiwgMjAxMDsgSmFyZGluZTxzdHlsZSBmYWNlPSJpdGFsaWMiPiBl
dCBhbC48L3N0eWxlPiwgMjAxNCk8L0Rpc3BsYXlUZXh0PjxyZWNvcmQ+PHJlYy1udW1iZXI+MTI2
NzwvcmVjLW51bWJlcj48Zm9yZWlnbi1rZXlzPjxrZXkgYXBwPSJFTiIgZGItaWQ9ImYwOXp3ZGYy
NnhlYXNhZXZ2c2p4djAwaDlyeDJ2OXhhcmZzdyIgdGltZXN0YW1wPSIxNDY1Mjc0MjYxIj4xMjY3
PC9rZXk+PC9mb3JlaWduLWtleXM+PHJlZi10eXBlIG5hbWU9IkpvdXJuYWwgQXJ0aWNsZSI+MTc8
L3JlZi10eXBlPjxjb250cmlidXRvcnM+PGF1dGhvcnM+PGF1dGhvcj5KYXJkaW5lLCBUaW1vdGh5
IEQ8L2F1dGhvcj48YXV0aG9yPkhhZHdlbiwgV2FkZSBMeW50b248L2F1dGhvcj48YXV0aG9yPkhh
bWlsdG9uLCBTdGVwaGVuIEs8L2F1dGhvcj48YXV0aG9yPkhsYWR5eiwgU2FsbHk8L2F1dGhvcj48
YXV0aG9yPk1pdHJvdmljLCBTaW1vbiBNPC9hdXRob3I+PGF1dGhvcj5LaWRkLCBLYXJlbiBBPC9h
dXRob3I+PGF1dGhvcj5Uc29pLCBXaW5nIFlpbmc8L2F1dGhvcj48YXV0aG9yPlNwZWFycywgTWFy
azwvYXV0aG9yPjxhdXRob3I+V2VzdGhvcnBlLCBEb3VnbGFzIFA8L2F1dGhvcj48YXV0aG9yPkZy
eSwgVmFuZXNzYSBNYXJpYTwvYXV0aG9yPjwvYXV0aG9ycz48L2NvbnRyaWJ1dG9ycz48dGl0bGVz
Pjx0aXRsZT5VbmRlcnN0YW5kaW5nIGFuZCBvdmVyY29taW5nIGJhc2VsaW5lIGlzb3RvcGljIHZh
cmlhYmlsaXR5IGluIHJ1bm5pbmcgd2F0ZXJzPC90aXRsZT48c2Vjb25kYXJ5LXRpdGxlPlJpdmVy
IFJlc2VhcmNoIGFuZCBBcHBsaWNhdGlvbnM8L3NlY29uZGFyeS10aXRsZT48L3RpdGxlcz48cGVy
aW9kaWNhbD48ZnVsbC10aXRsZT5SaXZlciBSZXNlYXJjaCBhbmQgQXBwbGljYXRpb25zPC9mdWxs
LXRpdGxlPjwvcGVyaW9kaWNhbD48cGFnZXM+MTU1LTE2NTwvcGFnZXM+PHZvbHVtZT4zMDwvdm9s
dW1lPjxudW1iZXI+MjwvbnVtYmVyPjxkYXRlcz48eWVhcj4yMDE0PC95ZWFyPjwvZGF0ZXM+PGlz
Ym4+MTUzNS0xNDY3PC9pc2JuPjx1cmxzPjwvdXJscz48L3JlY29yZD48L0NpdGU+PENpdGU+PEF1
dGhvcj5IYWR3ZW48L0F1dGhvcj48WWVhcj4yMDEwPC9ZZWFyPjxSZWNOdW0+MTM4NjwvUmVjTnVt
PjxyZWNvcmQ+PHJlYy1udW1iZXI+MTM4NjwvcmVjLW51bWJlcj48Zm9yZWlnbi1rZXlzPjxrZXkg
YXBwPSJFTiIgZGItaWQ9ImYwOXp3ZGYyNnhlYXNhZXZ2c2p4djAwaDlyeDJ2OXhhcmZzdyIgdGlt
ZXN0YW1wPSIxNDc5MTcyMTg4Ij4xMzg2PC9rZXk+PC9mb3JlaWduLWtleXM+PHJlZi10eXBlIG5h
bWU9IkpvdXJuYWwgQXJ0aWNsZSI+MTc8L3JlZi10eXBlPjxjb250cmlidXRvcnM+PGF1dGhvcnM+
PGF1dGhvcj5IYWR3ZW4sIFdhZGUgTC48L2F1dGhvcj48YXV0aG9yPlNwZWFycywgTWFyazwvYXV0
aG9yPjxhdXRob3I+S2VubmFyZCwgTWFyayBKLjwvYXV0aG9yPjwvYXV0aG9ycz48L2NvbnRyaWJ1
dG9ycz48dGl0bGVzPjx0aXRsZT5UZW1wb3JhbCB2YXJpYWJpbGl0eSBvZiBiZW50aGljIGFsZ2Fs
IM60MTNDIHNpZ25hdHVyZXMgaW5mbHVlbmNlcyBhc3Nlc3NtZW50cyBvZiBjYXJib24gZmxvd3Mg
aW4gc3RyZWFtIGZvb2Qgd2ViczwvdGl0bGU+PHNlY29uZGFyeS10aXRsZT5IeWRyb2Jpb2xvZ2lh
PC9zZWNvbmRhcnktdGl0bGU+PC90aXRsZXM+PHBlcmlvZGljYWw+PGZ1bGwtdGl0bGU+SHlkcm9i
aW9sb2dpYTwvZnVsbC10aXRsZT48L3BlcmlvZGljYWw+PHBhZ2VzPjIzOS0yNTE8L3BhZ2VzPjx2
b2x1bWU+NjUxPC92b2x1bWU+PG51bWJlcj4xPC9udW1iZXI+PGRhdGVzPjx5ZWFyPjIwMTA8L3ll
YXI+PC9kYXRlcz48aXNibj4xNTczLTUxMTc8L2lzYm4+PGxhYmVsPkhhZHdlbjIwMTA8L2xhYmVs
Pjx3b3JrLXR5cGU+am91cm5hbCBhcnRpY2xlPC93b3JrLXR5cGU+PHVybHM+PHJlbGF0ZWQtdXJs
cz48dXJsPmh0dHA6Ly9keC5kb2kub3JnLzEwLjEwMDcvczEwNzUwLTAxMC0wMzAzLXk8L3VybD48
L3JlbGF0ZWQtdXJscz48L3VybHM+PGVsZWN0cm9uaWMtcmVzb3VyY2UtbnVtPjEwLjEwMDcvczEw
NzUwLTAxMC0wMzAzLXk8L2VsZWN0cm9uaWMtcmVzb3VyY2UtbnVtPjwvcmVjb3JkPjwvQ2l0ZT48
L0VuZE5vdGU+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(Hadwen</w:t>
      </w:r>
      <w:r w:rsidRPr="00747E35">
        <w:rPr>
          <w:rFonts w:asciiTheme="minorHAnsi" w:hAnsiTheme="minorHAnsi" w:cstheme="minorHAnsi"/>
          <w:i/>
          <w:noProof/>
        </w:rPr>
        <w:t xml:space="preserve"> et al.</w:t>
      </w:r>
      <w:r w:rsidRPr="00747E35">
        <w:rPr>
          <w:rFonts w:asciiTheme="minorHAnsi" w:hAnsiTheme="minorHAnsi" w:cstheme="minorHAnsi"/>
          <w:noProof/>
        </w:rPr>
        <w:t>, 2010; Jardine</w:t>
      </w:r>
      <w:r w:rsidRPr="00747E35">
        <w:rPr>
          <w:rFonts w:asciiTheme="minorHAnsi" w:hAnsiTheme="minorHAnsi" w:cstheme="minorHAnsi"/>
          <w:i/>
          <w:noProof/>
        </w:rPr>
        <w:t xml:space="preserve"> et al.</w:t>
      </w:r>
      <w:r w:rsidRPr="00747E35">
        <w:rPr>
          <w:rFonts w:asciiTheme="minorHAnsi" w:hAnsiTheme="minorHAnsi" w:cstheme="minorHAnsi"/>
          <w:noProof/>
        </w:rPr>
        <w:t>, 2014)</w:t>
      </w:r>
      <w:r w:rsidRPr="00747E35">
        <w:rPr>
          <w:rFonts w:asciiTheme="minorHAnsi" w:hAnsiTheme="minorHAnsi" w:cstheme="minorHAnsi"/>
        </w:rPr>
        <w:fldChar w:fldCharType="end"/>
      </w:r>
      <w:r w:rsidRPr="00747E35">
        <w:rPr>
          <w:rFonts w:asciiTheme="minorHAnsi" w:hAnsiTheme="minorHAnsi" w:cstheme="minorHAnsi"/>
        </w:rPr>
        <w:t xml:space="preserve">. For each regression of a consumer versus a source, the 95% confidence intervals of regression slopes are determined to see whether they differ from zero or one (significant if </w:t>
      </w:r>
      <w:r w:rsidRPr="00747E35">
        <w:rPr>
          <w:rFonts w:asciiTheme="minorHAnsi" w:hAnsiTheme="minorHAnsi" w:cstheme="minorHAnsi"/>
          <w:i/>
        </w:rPr>
        <w:t>p</w:t>
      </w:r>
      <w:r w:rsidRPr="00747E35">
        <w:rPr>
          <w:rFonts w:asciiTheme="minorHAnsi" w:hAnsiTheme="minorHAnsi" w:cstheme="minorHAnsi"/>
        </w:rPr>
        <w:t xml:space="preserve">≤0.05). Four </w:t>
      </w:r>
      <w:r w:rsidRPr="00747E35">
        <w:rPr>
          <w:rFonts w:asciiTheme="minorHAnsi" w:hAnsiTheme="minorHAnsi" w:cstheme="minorHAnsi"/>
        </w:rPr>
        <w:lastRenderedPageBreak/>
        <w:t>different consumer-resource coupling scenarios may result: local source dominant, slope different from zero but not from one; mixed source, slope different from one and zero; alternative source, slope different from one but not zero; unresolved source, slope similar to one and zero. In instances where a key basal resource was not sampled, we estimated a region on the δ</w:t>
      </w:r>
      <w:r w:rsidRPr="00747E35">
        <w:rPr>
          <w:rFonts w:asciiTheme="minorHAnsi" w:hAnsiTheme="minorHAnsi" w:cstheme="minorHAnsi"/>
          <w:vertAlign w:val="superscript"/>
        </w:rPr>
        <w:t>13</w:t>
      </w:r>
      <w:r w:rsidRPr="00747E35">
        <w:rPr>
          <w:rFonts w:asciiTheme="minorHAnsi" w:hAnsiTheme="minorHAnsi" w:cstheme="minorHAnsi"/>
        </w:rPr>
        <w:t>C and δ</w:t>
      </w:r>
      <w:r w:rsidRPr="00747E35">
        <w:rPr>
          <w:rFonts w:asciiTheme="minorHAnsi" w:hAnsiTheme="minorHAnsi" w:cstheme="minorHAnsi"/>
          <w:vertAlign w:val="superscript"/>
        </w:rPr>
        <w:t>15</w:t>
      </w:r>
      <w:r w:rsidRPr="00747E35">
        <w:rPr>
          <w:rFonts w:asciiTheme="minorHAnsi" w:hAnsiTheme="minorHAnsi" w:cstheme="minorHAnsi"/>
        </w:rPr>
        <w:t>N biplots where this basal resource should be by ‘back applying’ the known trophic enrichment gradient of δ</w:t>
      </w:r>
      <w:r w:rsidRPr="00747E35">
        <w:rPr>
          <w:rFonts w:asciiTheme="minorHAnsi" w:hAnsiTheme="minorHAnsi" w:cstheme="minorHAnsi"/>
          <w:vertAlign w:val="superscript"/>
        </w:rPr>
        <w:t>13</w:t>
      </w:r>
      <w:r w:rsidRPr="00747E35">
        <w:rPr>
          <w:rFonts w:asciiTheme="minorHAnsi" w:hAnsiTheme="minorHAnsi" w:cstheme="minorHAnsi"/>
        </w:rPr>
        <w:t>C and δ</w:t>
      </w:r>
      <w:r w:rsidRPr="00747E35">
        <w:rPr>
          <w:rFonts w:asciiTheme="minorHAnsi" w:hAnsiTheme="minorHAnsi" w:cstheme="minorHAnsi"/>
          <w:vertAlign w:val="superscript"/>
        </w:rPr>
        <w:t>15</w:t>
      </w:r>
      <w:r w:rsidRPr="00747E35">
        <w:rPr>
          <w:rFonts w:asciiTheme="minorHAnsi" w:hAnsiTheme="minorHAnsi" w:cstheme="minorHAnsi"/>
        </w:rPr>
        <w:t>N values. This approach is possible because increases in trophic levels (plant to grazer or g</w:t>
      </w:r>
      <w:r w:rsidR="001C05E2">
        <w:rPr>
          <w:rFonts w:asciiTheme="minorHAnsi" w:hAnsiTheme="minorHAnsi" w:cstheme="minorHAnsi"/>
        </w:rPr>
        <w:t>r</w:t>
      </w:r>
      <w:r w:rsidRPr="00747E35">
        <w:rPr>
          <w:rFonts w:asciiTheme="minorHAnsi" w:hAnsiTheme="minorHAnsi" w:cstheme="minorHAnsi"/>
        </w:rPr>
        <w:t>azer to predator) involve predictable increases in δ</w:t>
      </w:r>
      <w:r w:rsidRPr="00747E35">
        <w:rPr>
          <w:rFonts w:asciiTheme="minorHAnsi" w:hAnsiTheme="minorHAnsi" w:cstheme="minorHAnsi"/>
          <w:vertAlign w:val="superscript"/>
        </w:rPr>
        <w:t>13</w:t>
      </w:r>
      <w:r w:rsidRPr="00747E35">
        <w:rPr>
          <w:rFonts w:asciiTheme="minorHAnsi" w:hAnsiTheme="minorHAnsi" w:cstheme="minorHAnsi"/>
        </w:rPr>
        <w:t>C (0.5 to 1‰) and δ</w:t>
      </w:r>
      <w:r w:rsidRPr="00747E35">
        <w:rPr>
          <w:rFonts w:asciiTheme="minorHAnsi" w:hAnsiTheme="minorHAnsi" w:cstheme="minorHAnsi"/>
          <w:vertAlign w:val="superscript"/>
        </w:rPr>
        <w:t>15</w:t>
      </w:r>
      <w:r w:rsidRPr="00747E35">
        <w:rPr>
          <w:rFonts w:asciiTheme="minorHAnsi" w:hAnsiTheme="minorHAnsi" w:cstheme="minorHAnsi"/>
        </w:rPr>
        <w:t xml:space="preserve">N (2.2 to 2.4‰) values in the consumer versus its diet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&lt;EndNote&gt;&lt;Cite&gt;&lt;Author&gt;Fry&lt;/Author&gt;&lt;Year&gt;2006&lt;/Year&gt;&lt;RecNum&gt;1332&lt;/RecNum&gt;&lt;DisplayText&gt;(Fry, 2006)&lt;/DisplayText&gt;&lt;record&gt;&lt;rec-number&gt;1332&lt;/rec-number&gt;&lt;foreign-keys&gt;&lt;key app="EN" db-id="f09zwdf26xeasaevvsjxv00h9rx2v9xarfsw" timestamp="1477528804"&gt;1332&lt;/key&gt;&lt;/foreign-keys&gt;&lt;ref-type name="Book"&gt;6&lt;/ref-type&gt;&lt;contributors&gt;&lt;authors&gt;&lt;author&gt;Fry, B.&lt;/author&gt;&lt;/authors&gt;&lt;/contributors&gt;&lt;titles&gt;&lt;title&gt;Stable isotope ecology&lt;/title&gt;&lt;secondary-title&gt;Stable Isotope Ecology&lt;/secondary-title&gt;&lt;/titles&gt;&lt;pages&gt;1-308&lt;/pages&gt;&lt;dates&gt;&lt;year&gt;2006&lt;/year&gt;&lt;/dates&gt;&lt;work-type&gt;Book&lt;/work-type&gt;&lt;urls&gt;&lt;related-urls&gt;&lt;url&gt;https://www.scopus.com/inward/record.uri?eid=2-s2.0-84900876067&amp;amp;partnerID=40&amp;amp;md5=a9a7c4c3c5f951f82befa489f780ad4b&lt;/url&gt;&lt;/related-urls&gt;&lt;/urls&gt;&lt;electronic-resource-num&gt;10.1007-0-387-33745-8&lt;/electronic-resource-num&gt;&lt;remote-database-name&gt;Scopus&lt;/remote-database-name&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(Fry, 2006)</w:t>
      </w:r>
      <w:r w:rsidRPr="00747E35">
        <w:rPr>
          <w:rFonts w:asciiTheme="minorHAnsi" w:hAnsiTheme="minorHAnsi" w:cstheme="minorHAnsi"/>
        </w:rPr>
        <w:fldChar w:fldCharType="end"/>
      </w:r>
      <w:r w:rsidRPr="00747E35">
        <w:rPr>
          <w:rFonts w:asciiTheme="minorHAnsi" w:hAnsiTheme="minorHAnsi" w:cstheme="minorHAnsi"/>
        </w:rPr>
        <w:t>.</w:t>
      </w:r>
    </w:p>
    <w:p w14:paraId="59CE4EF6"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The difference in δ</w:t>
      </w:r>
      <w:r w:rsidRPr="00747E35">
        <w:rPr>
          <w:rFonts w:asciiTheme="minorHAnsi" w:hAnsiTheme="minorHAnsi" w:cstheme="minorHAnsi"/>
          <w:vertAlign w:val="superscript"/>
        </w:rPr>
        <w:t>13</w:t>
      </w:r>
      <w:r w:rsidRPr="00747E35">
        <w:rPr>
          <w:rFonts w:asciiTheme="minorHAnsi" w:hAnsiTheme="minorHAnsi" w:cstheme="minorHAnsi"/>
        </w:rPr>
        <w:t>C values of dominant sources and consumers among the wetter (2015) and drier (2016) sampling trips in the Bremer River catchments were plotted in order to visualise changes in δ</w:t>
      </w:r>
      <w:r w:rsidRPr="00747E35">
        <w:rPr>
          <w:rFonts w:asciiTheme="minorHAnsi" w:hAnsiTheme="minorHAnsi" w:cstheme="minorHAnsi"/>
          <w:vertAlign w:val="superscript"/>
        </w:rPr>
        <w:t>13</w:t>
      </w:r>
      <w:r w:rsidRPr="00747E35">
        <w:rPr>
          <w:rFonts w:asciiTheme="minorHAnsi" w:hAnsiTheme="minorHAnsi" w:cstheme="minorHAnsi"/>
        </w:rPr>
        <w:t>C due to reductions in stream flow. In this plot, lower δ</w:t>
      </w:r>
      <w:r w:rsidRPr="00747E35">
        <w:rPr>
          <w:rFonts w:asciiTheme="minorHAnsi" w:hAnsiTheme="minorHAnsi" w:cstheme="minorHAnsi"/>
          <w:vertAlign w:val="superscript"/>
        </w:rPr>
        <w:t>13</w:t>
      </w:r>
      <w:r w:rsidRPr="00747E35">
        <w:rPr>
          <w:rFonts w:asciiTheme="minorHAnsi" w:hAnsiTheme="minorHAnsi" w:cstheme="minorHAnsi"/>
        </w:rPr>
        <w:t xml:space="preserve">C values indicate samples that are relatively more enriched in </w:t>
      </w:r>
      <w:r w:rsidRPr="00747E35">
        <w:rPr>
          <w:rFonts w:asciiTheme="minorHAnsi" w:hAnsiTheme="minorHAnsi" w:cstheme="minorHAnsi"/>
          <w:vertAlign w:val="superscript"/>
        </w:rPr>
        <w:t>13</w:t>
      </w:r>
      <w:r w:rsidRPr="00747E35">
        <w:rPr>
          <w:rFonts w:asciiTheme="minorHAnsi" w:hAnsiTheme="minorHAnsi" w:cstheme="minorHAnsi"/>
        </w:rPr>
        <w:t>C, and higher δ</w:t>
      </w:r>
      <w:r w:rsidRPr="00747E35">
        <w:rPr>
          <w:rFonts w:asciiTheme="minorHAnsi" w:hAnsiTheme="minorHAnsi" w:cstheme="minorHAnsi"/>
          <w:vertAlign w:val="superscript"/>
        </w:rPr>
        <w:t>13</w:t>
      </w:r>
      <w:r w:rsidRPr="00747E35">
        <w:rPr>
          <w:rFonts w:asciiTheme="minorHAnsi" w:hAnsiTheme="minorHAnsi" w:cstheme="minorHAnsi"/>
        </w:rPr>
        <w:t xml:space="preserve">C values indicate samples more depleted in </w:t>
      </w:r>
      <w:r w:rsidRPr="00747E35">
        <w:rPr>
          <w:rFonts w:asciiTheme="minorHAnsi" w:hAnsiTheme="minorHAnsi" w:cstheme="minorHAnsi"/>
          <w:vertAlign w:val="superscript"/>
        </w:rPr>
        <w:t>13</w:t>
      </w:r>
      <w:r w:rsidRPr="00747E35">
        <w:rPr>
          <w:rFonts w:asciiTheme="minorHAnsi" w:hAnsiTheme="minorHAnsi" w:cstheme="minorHAnsi"/>
        </w:rPr>
        <w:t xml:space="preserve">C, in the drier than wetter sampling period. Differences in the C:N ratio of sources and consumers were assessed using one-way analysis of variance (ANOVA). All analyses were conducted in R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&lt;EndNote&gt;&lt;Cite&gt;&lt;Author&gt;R Development Core Team&lt;/Author&gt;&lt;Year&gt;2011&lt;/Year&gt;&lt;RecNum&gt;723&lt;/RecNum&gt;&lt;DisplayText&gt;(R Development Core Team, 2011)&lt;/DisplayText&gt;&lt;record&gt;&lt;rec-number&gt;723&lt;/rec-number&gt;&lt;foreign-keys&gt;&lt;key app="EN" db-id="f09zwdf26xeasaevvsjxv00h9rx2v9xarfsw" timestamp="1399199502"&gt;723&lt;/key&gt;&lt;/foreign-keys&gt;&lt;ref-type name="Computer Program"&gt;9&lt;/ref-type&gt;&lt;contributors&gt;&lt;authors&gt;&lt;author&gt;R Development Core Team,&lt;/author&gt;&lt;/authors&gt;&lt;/contributors&gt;&lt;titles&gt;&lt;title&gt;R: A langauge and environment for statistical computing&lt;/title&gt;&lt;/titles&gt;&lt;edition&gt;2.12.2&lt;/edition&gt;&lt;dates&gt;&lt;year&gt;2011&lt;/year&gt;&lt;/dates&gt;&lt;pub-location&gt;Vienna, Austria&lt;/pub-location&gt;&lt;publisher&gt;R Development Core Team&lt;/publisher&gt;&lt;urls&gt;&lt;/urls&gt;&lt;/record&gt;&lt;/Cite&gt;&lt;/EndNote&gt;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(R Development Core Team, 2011)</w:t>
      </w:r>
      <w:r w:rsidRPr="00747E35">
        <w:rPr>
          <w:rFonts w:asciiTheme="minorHAnsi" w:hAnsiTheme="minorHAnsi" w:cstheme="minorHAnsi"/>
        </w:rPr>
        <w:fldChar w:fldCharType="end"/>
      </w:r>
      <w:r w:rsidRPr="00747E35">
        <w:rPr>
          <w:rFonts w:asciiTheme="minorHAnsi" w:hAnsiTheme="minorHAnsi" w:cstheme="minorHAnsi"/>
        </w:rPr>
        <w:t xml:space="preserve">. </w:t>
      </w:r>
    </w:p>
    <w:p w14:paraId="5AB81EAA" w14:textId="2795324C" w:rsidR="003D3694" w:rsidRPr="00747E35" w:rsidRDefault="003D3694" w:rsidP="003D3694">
      <w:pPr>
        <w:pStyle w:val="Heading3"/>
        <w:rPr>
          <w:rFonts w:asciiTheme="minorHAnsi" w:hAnsiTheme="minorHAnsi" w:cstheme="minorHAnsi"/>
        </w:rPr>
      </w:pPr>
      <w:bookmarkStart w:id="151" w:name="_Toc470004852"/>
      <w:r w:rsidRPr="00747E35">
        <w:rPr>
          <w:rFonts w:asciiTheme="minorHAnsi" w:hAnsiTheme="minorHAnsi" w:cstheme="minorHAnsi"/>
        </w:rPr>
        <w:t>Results</w:t>
      </w:r>
      <w:bookmarkEnd w:id="151"/>
    </w:p>
    <w:p w14:paraId="647D3DCA" w14:textId="00B436ED" w:rsidR="003D3694" w:rsidRPr="00747E35" w:rsidRDefault="003D3694" w:rsidP="003D3694">
      <w:pPr>
        <w:rPr>
          <w:rFonts w:asciiTheme="minorHAnsi" w:hAnsiTheme="minorHAnsi" w:cstheme="minorHAnsi"/>
        </w:rPr>
      </w:pPr>
      <w:r w:rsidRPr="00747E35">
        <w:rPr>
          <w:rFonts w:asciiTheme="minorHAnsi" w:hAnsiTheme="minorHAnsi" w:cstheme="minorHAnsi"/>
        </w:rPr>
        <w:t>A strong food web resolution (distinct δ</w:t>
      </w:r>
      <w:r w:rsidRPr="00747E35">
        <w:rPr>
          <w:rFonts w:asciiTheme="minorHAnsi" w:hAnsiTheme="minorHAnsi" w:cstheme="minorHAnsi"/>
          <w:vertAlign w:val="superscript"/>
        </w:rPr>
        <w:t>13</w:t>
      </w:r>
      <w:r w:rsidRPr="00747E35">
        <w:rPr>
          <w:rFonts w:asciiTheme="minorHAnsi" w:hAnsiTheme="minorHAnsi" w:cstheme="minorHAnsi"/>
        </w:rPr>
        <w:t>C and δ</w:t>
      </w:r>
      <w:r w:rsidRPr="00747E35">
        <w:rPr>
          <w:rFonts w:asciiTheme="minorHAnsi" w:hAnsiTheme="minorHAnsi" w:cstheme="minorHAnsi"/>
          <w:vertAlign w:val="superscript"/>
        </w:rPr>
        <w:t>15</w:t>
      </w:r>
      <w:r w:rsidRPr="00747E35">
        <w:rPr>
          <w:rFonts w:asciiTheme="minorHAnsi" w:hAnsiTheme="minorHAnsi" w:cstheme="minorHAnsi"/>
        </w:rPr>
        <w:t>N values) was observed for sources and consumers within study sites in the upper Bremer River and Maules Creek catchments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_Ref466024885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51</w:t>
      </w:r>
      <w:r w:rsidRPr="00747E35">
        <w:rPr>
          <w:rFonts w:asciiTheme="minorHAnsi" w:hAnsiTheme="minorHAnsi" w:cstheme="minorHAnsi"/>
          <w:highlight w:val="yellow"/>
        </w:rPr>
        <w:fldChar w:fldCharType="end"/>
      </w:r>
      <w:r w:rsidRPr="00747E35">
        <w:rPr>
          <w:rFonts w:asciiTheme="minorHAnsi" w:hAnsiTheme="minorHAnsi" w:cstheme="minorHAnsi"/>
        </w:rPr>
        <w:t xml:space="preserve"> &amp;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_Ref466024903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52</w:t>
      </w:r>
      <w:r w:rsidRPr="00747E35">
        <w:rPr>
          <w:rFonts w:asciiTheme="minorHAnsi" w:hAnsiTheme="minorHAnsi" w:cstheme="minorHAnsi"/>
          <w:highlight w:val="yellow"/>
        </w:rPr>
        <w:fldChar w:fldCharType="end"/>
      </w:r>
      <w:r w:rsidRPr="00747E35">
        <w:rPr>
          <w:rFonts w:asciiTheme="minorHAnsi" w:hAnsiTheme="minorHAnsi" w:cstheme="minorHAnsi"/>
        </w:rPr>
        <w:t>). The sources in both catchments were isotopically distinct, with a large separation of algal sources visible in the δ</w:t>
      </w:r>
      <w:r w:rsidRPr="00747E35">
        <w:rPr>
          <w:rFonts w:asciiTheme="minorHAnsi" w:hAnsiTheme="minorHAnsi" w:cstheme="minorHAnsi"/>
          <w:vertAlign w:val="superscript"/>
        </w:rPr>
        <w:t>15</w:t>
      </w:r>
      <w:r w:rsidRPr="00747E35">
        <w:rPr>
          <w:rFonts w:asciiTheme="minorHAnsi" w:hAnsiTheme="minorHAnsi" w:cstheme="minorHAnsi"/>
        </w:rPr>
        <w:t>N - δ</w:t>
      </w:r>
      <w:r w:rsidRPr="00747E35">
        <w:rPr>
          <w:rFonts w:asciiTheme="minorHAnsi" w:hAnsiTheme="minorHAnsi" w:cstheme="minorHAnsi"/>
          <w:vertAlign w:val="superscript"/>
        </w:rPr>
        <w:t>13</w:t>
      </w:r>
      <w:r w:rsidRPr="00747E35">
        <w:rPr>
          <w:rFonts w:asciiTheme="minorHAnsi" w:hAnsiTheme="minorHAnsi" w:cstheme="minorHAnsi"/>
        </w:rPr>
        <w:t>C bi-plots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_Ref466024885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51</w:t>
      </w:r>
      <w:r w:rsidRPr="00747E35">
        <w:rPr>
          <w:rFonts w:asciiTheme="minorHAnsi" w:hAnsiTheme="minorHAnsi" w:cstheme="minorHAnsi"/>
          <w:highlight w:val="yellow"/>
        </w:rPr>
        <w:fldChar w:fldCharType="end"/>
      </w:r>
      <w:r w:rsidRPr="00747E35">
        <w:rPr>
          <w:rFonts w:asciiTheme="minorHAnsi" w:hAnsiTheme="minorHAnsi" w:cstheme="minorHAnsi"/>
        </w:rPr>
        <w:t xml:space="preserve"> &amp;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_Ref466024903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52</w:t>
      </w:r>
      <w:r w:rsidRPr="00747E35">
        <w:rPr>
          <w:rFonts w:asciiTheme="minorHAnsi" w:hAnsiTheme="minorHAnsi" w:cstheme="minorHAnsi"/>
          <w:highlight w:val="yellow"/>
        </w:rPr>
        <w:fldChar w:fldCharType="end"/>
      </w:r>
      <w:r w:rsidRPr="00747E35">
        <w:rPr>
          <w:rFonts w:asciiTheme="minorHAnsi" w:hAnsiTheme="minorHAnsi" w:cstheme="minorHAnsi"/>
        </w:rPr>
        <w:t>) Consumers generally had more enriched δ</w:t>
      </w:r>
      <w:r w:rsidRPr="00747E35">
        <w:rPr>
          <w:rFonts w:asciiTheme="minorHAnsi" w:hAnsiTheme="minorHAnsi" w:cstheme="minorHAnsi"/>
          <w:vertAlign w:val="superscript"/>
        </w:rPr>
        <w:t>15</w:t>
      </w:r>
      <w:r w:rsidRPr="00747E35">
        <w:rPr>
          <w:rFonts w:asciiTheme="minorHAnsi" w:hAnsiTheme="minorHAnsi" w:cstheme="minorHAnsi"/>
        </w:rPr>
        <w:t>N values than sources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_Ref466024885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51</w:t>
      </w:r>
      <w:r w:rsidRPr="00747E35">
        <w:rPr>
          <w:rFonts w:asciiTheme="minorHAnsi" w:hAnsiTheme="minorHAnsi" w:cstheme="minorHAnsi"/>
          <w:highlight w:val="yellow"/>
        </w:rPr>
        <w:fldChar w:fldCharType="end"/>
      </w:r>
      <w:r w:rsidRPr="00747E35">
        <w:rPr>
          <w:rFonts w:asciiTheme="minorHAnsi" w:hAnsiTheme="minorHAnsi" w:cstheme="minorHAnsi"/>
        </w:rPr>
        <w:t xml:space="preserve"> &amp;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_Ref466024903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52</w:t>
      </w:r>
      <w:r w:rsidRPr="00747E35">
        <w:rPr>
          <w:rFonts w:asciiTheme="minorHAnsi" w:hAnsiTheme="minorHAnsi" w:cstheme="minorHAnsi"/>
          <w:highlight w:val="yellow"/>
        </w:rPr>
        <w:fldChar w:fldCharType="end"/>
      </w:r>
      <w:r w:rsidRPr="00747E35">
        <w:rPr>
          <w:rFonts w:asciiTheme="minorHAnsi" w:hAnsiTheme="minorHAnsi" w:cstheme="minorHAnsi"/>
        </w:rPr>
        <w:t>), with fish and decapods (shrimps, prawns and crayfish) having the most enriched values. In the Bremer catchment, mean source δ</w:t>
      </w:r>
      <w:r w:rsidRPr="00747E35">
        <w:rPr>
          <w:rFonts w:asciiTheme="minorHAnsi" w:hAnsiTheme="minorHAnsi" w:cstheme="minorHAnsi"/>
          <w:vertAlign w:val="superscript"/>
        </w:rPr>
        <w:t>15</w:t>
      </w:r>
      <w:r w:rsidRPr="00747E35">
        <w:rPr>
          <w:rFonts w:asciiTheme="minorHAnsi" w:hAnsiTheme="minorHAnsi" w:cstheme="minorHAnsi"/>
        </w:rPr>
        <w:t>N values varied from -6.3 to 5.4‰ and consumer δ</w:t>
      </w:r>
      <w:r w:rsidRPr="00747E35">
        <w:rPr>
          <w:rFonts w:asciiTheme="minorHAnsi" w:hAnsiTheme="minorHAnsi" w:cstheme="minorHAnsi"/>
          <w:vertAlign w:val="superscript"/>
        </w:rPr>
        <w:t>15</w:t>
      </w:r>
      <w:r w:rsidRPr="00747E35">
        <w:rPr>
          <w:rFonts w:asciiTheme="minorHAnsi" w:hAnsiTheme="minorHAnsi" w:cstheme="minorHAnsi"/>
        </w:rPr>
        <w:t>N values from -1.8 to 7.4‰. Mean source (varying from -1.2 to 11.1‰) and consumer (varying from 1.5 to 10.2‰) δ</w:t>
      </w:r>
      <w:r w:rsidRPr="00747E35">
        <w:rPr>
          <w:rFonts w:asciiTheme="minorHAnsi" w:hAnsiTheme="minorHAnsi" w:cstheme="minorHAnsi"/>
          <w:vertAlign w:val="superscript"/>
        </w:rPr>
        <w:t>15</w:t>
      </w:r>
      <w:r w:rsidRPr="00747E35">
        <w:rPr>
          <w:rFonts w:asciiTheme="minorHAnsi" w:hAnsiTheme="minorHAnsi" w:cstheme="minorHAnsi"/>
        </w:rPr>
        <w:t>N values were enriched in the Maules catchment compared to the Bremer study sites. Neither catchment displayed the classic isotopic enrichment gradient for freshwater food webs, with δ</w:t>
      </w:r>
      <w:r w:rsidRPr="00747E35">
        <w:rPr>
          <w:rFonts w:asciiTheme="minorHAnsi" w:hAnsiTheme="minorHAnsi" w:cstheme="minorHAnsi"/>
          <w:vertAlign w:val="superscript"/>
        </w:rPr>
        <w:t>13</w:t>
      </w:r>
      <w:r w:rsidRPr="00747E35">
        <w:rPr>
          <w:rFonts w:asciiTheme="minorHAnsi" w:hAnsiTheme="minorHAnsi" w:cstheme="minorHAnsi"/>
        </w:rPr>
        <w:t xml:space="preserve">C values for sources and consumers much more depleted than expected (typical algal enrichment gradient represented with a dashed line;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_Ref466024885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51</w:t>
      </w:r>
      <w:r w:rsidRPr="00747E35">
        <w:rPr>
          <w:rFonts w:asciiTheme="minorHAnsi" w:hAnsiTheme="minorHAnsi" w:cstheme="minorHAnsi"/>
          <w:highlight w:val="yellow"/>
        </w:rPr>
        <w:fldChar w:fldCharType="end"/>
      </w:r>
      <w:r w:rsidRPr="00747E35">
        <w:rPr>
          <w:rFonts w:asciiTheme="minorHAnsi" w:hAnsiTheme="minorHAnsi" w:cstheme="minorHAnsi"/>
        </w:rPr>
        <w:t xml:space="preserve"> &amp;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_Ref466024903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52</w:t>
      </w:r>
      <w:r w:rsidRPr="00747E35">
        <w:rPr>
          <w:rFonts w:asciiTheme="minorHAnsi" w:hAnsiTheme="minorHAnsi" w:cstheme="minorHAnsi"/>
          <w:highlight w:val="yellow"/>
        </w:rPr>
        <w:fldChar w:fldCharType="end"/>
      </w:r>
      <w:r w:rsidRPr="00747E35">
        <w:rPr>
          <w:rFonts w:asciiTheme="minorHAnsi" w:hAnsiTheme="minorHAnsi" w:cstheme="minorHAnsi"/>
        </w:rPr>
        <w:t>).</w:t>
      </w:r>
    </w:p>
    <w:p w14:paraId="33B86D03"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t>Autochthonous versus allochthonous carbon-sources</w:t>
      </w:r>
    </w:p>
    <w:p w14:paraId="453AE4E1" w14:textId="77777777" w:rsidR="003D3694" w:rsidRPr="00747E35" w:rsidRDefault="003D3694" w:rsidP="003D3694">
      <w:pPr>
        <w:pStyle w:val="Heading6"/>
        <w:rPr>
          <w:rFonts w:asciiTheme="minorHAnsi" w:hAnsiTheme="minorHAnsi" w:cstheme="minorHAnsi"/>
        </w:rPr>
      </w:pPr>
      <w:r w:rsidRPr="00747E35">
        <w:rPr>
          <w:rFonts w:asciiTheme="minorHAnsi" w:hAnsiTheme="minorHAnsi" w:cstheme="minorHAnsi"/>
        </w:rPr>
        <w:t>Bremer River catchment</w:t>
      </w:r>
    </w:p>
    <w:p w14:paraId="7F6B6EF1"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Primary, secondary, and higher-order consumers in the Bremer River catchment relied on algal-based carbon sources during the wetter season, with variation among sites in δ</w:t>
      </w:r>
      <w:r w:rsidRPr="00747E35">
        <w:rPr>
          <w:rFonts w:asciiTheme="minorHAnsi" w:hAnsiTheme="minorHAnsi" w:cstheme="minorHAnsi"/>
          <w:vertAlign w:val="superscript"/>
        </w:rPr>
        <w:t>13</w:t>
      </w:r>
      <w:r w:rsidRPr="00747E35">
        <w:rPr>
          <w:rFonts w:asciiTheme="minorHAnsi" w:hAnsiTheme="minorHAnsi" w:cstheme="minorHAnsi"/>
        </w:rPr>
        <w:t>C values of autochthonous basal resources (i.e. periphyton) significantly related to variation in the δ</w:t>
      </w:r>
      <w:r w:rsidRPr="00747E35">
        <w:rPr>
          <w:rFonts w:asciiTheme="minorHAnsi" w:hAnsiTheme="minorHAnsi" w:cstheme="minorHAnsi"/>
          <w:vertAlign w:val="superscript"/>
        </w:rPr>
        <w:t>13</w:t>
      </w:r>
      <w:r w:rsidRPr="00747E35">
        <w:rPr>
          <w:rFonts w:asciiTheme="minorHAnsi" w:hAnsiTheme="minorHAnsi" w:cstheme="minorHAnsi"/>
        </w:rPr>
        <w:t>C values of grazing macroinvertebrates (Ephemeroptera, but only partially), predatory macroinvertebrates, and decapods (</w:t>
      </w:r>
      <w:r w:rsidRPr="00747E35">
        <w:rPr>
          <w:rFonts w:asciiTheme="minorHAnsi" w:hAnsiTheme="minorHAnsi" w:cstheme="minorHAnsi"/>
        </w:rPr>
        <w:fldChar w:fldCharType="begin"/>
      </w:r>
      <w:r w:rsidRPr="00747E35">
        <w:rPr>
          <w:rFonts w:asciiTheme="minorHAnsi" w:hAnsiTheme="minorHAnsi" w:cstheme="minorHAnsi"/>
        </w:rPr>
        <w:instrText xml:space="preserve"> REF _Ref467239757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13</w:t>
      </w:r>
      <w:r w:rsidRPr="00747E35">
        <w:rPr>
          <w:rFonts w:asciiTheme="minorHAnsi" w:hAnsiTheme="minorHAnsi" w:cstheme="minorHAnsi"/>
        </w:rPr>
        <w:fldChar w:fldCharType="end"/>
      </w:r>
      <w:r w:rsidRPr="00747E35">
        <w:rPr>
          <w:rFonts w:asciiTheme="minorHAnsi" w:hAnsiTheme="minorHAnsi" w:cstheme="minorHAnsi"/>
        </w:rPr>
        <w:t>). Although we could not resolve the contribution of periphyton to fish diets (possibly due to an omnivorous feeding strategy), variation in the δ</w:t>
      </w:r>
      <w:r w:rsidRPr="00747E35">
        <w:rPr>
          <w:rFonts w:asciiTheme="minorHAnsi" w:hAnsiTheme="minorHAnsi" w:cstheme="minorHAnsi"/>
          <w:vertAlign w:val="superscript"/>
        </w:rPr>
        <w:t>13</w:t>
      </w:r>
      <w:r w:rsidRPr="00747E35">
        <w:rPr>
          <w:rFonts w:asciiTheme="minorHAnsi" w:hAnsiTheme="minorHAnsi" w:cstheme="minorHAnsi"/>
        </w:rPr>
        <w:t>C values of fish during the wetter season was correlated with that of decapods, which were in turn reliant on periphyton. This reliance on algal-based C was, however, not evident in the drier sampling period, with unresolved energy source(s) for consumers (</w:t>
      </w:r>
      <w:r w:rsidRPr="00747E35">
        <w:rPr>
          <w:rFonts w:asciiTheme="minorHAnsi" w:hAnsiTheme="minorHAnsi" w:cstheme="minorHAnsi"/>
        </w:rPr>
        <w:fldChar w:fldCharType="begin"/>
      </w:r>
      <w:r w:rsidRPr="00747E35">
        <w:rPr>
          <w:rFonts w:asciiTheme="minorHAnsi" w:hAnsiTheme="minorHAnsi" w:cstheme="minorHAnsi"/>
        </w:rPr>
        <w:instrText xml:space="preserve"> REF _Ref467239757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13</w:t>
      </w:r>
      <w:r w:rsidRPr="00747E35">
        <w:rPr>
          <w:rFonts w:asciiTheme="minorHAnsi" w:hAnsiTheme="minorHAnsi" w:cstheme="minorHAnsi"/>
        </w:rPr>
        <w:fldChar w:fldCharType="end"/>
      </w:r>
      <w:r w:rsidRPr="00747E35">
        <w:rPr>
          <w:rFonts w:asciiTheme="minorHAnsi" w:hAnsiTheme="minorHAnsi" w:cstheme="minorHAnsi"/>
        </w:rPr>
        <w:t xml:space="preserve">). </w:t>
      </w:r>
    </w:p>
    <w:p w14:paraId="578C0045"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While the mean δ</w:t>
      </w:r>
      <w:r w:rsidRPr="00747E35">
        <w:rPr>
          <w:rFonts w:asciiTheme="minorHAnsi" w:hAnsiTheme="minorHAnsi" w:cstheme="minorHAnsi"/>
          <w:vertAlign w:val="superscript"/>
        </w:rPr>
        <w:t>13</w:t>
      </w:r>
      <w:r w:rsidRPr="00747E35">
        <w:rPr>
          <w:rFonts w:asciiTheme="minorHAnsi" w:hAnsiTheme="minorHAnsi" w:cstheme="minorHAnsi"/>
        </w:rPr>
        <w:t>C values for Ephemeroptera were significantly related to those of periphyton, the slope of this relationship was significantly different from 1, indicating that this taxon is also reliant on one or more other C sources. Although collected outside the two sampling occasions (i.e. wet and dry period), δ</w:t>
      </w:r>
      <w:r w:rsidRPr="00747E35">
        <w:rPr>
          <w:rFonts w:asciiTheme="minorHAnsi" w:hAnsiTheme="minorHAnsi" w:cstheme="minorHAnsi"/>
          <w:vertAlign w:val="superscript"/>
        </w:rPr>
        <w:t>13</w:t>
      </w:r>
      <w:r w:rsidRPr="00747E35">
        <w:rPr>
          <w:rFonts w:asciiTheme="minorHAnsi" w:hAnsiTheme="minorHAnsi" w:cstheme="minorHAnsi"/>
        </w:rPr>
        <w:t>C values for epilithon growing on the underside of rocks (labelled ‘Epilithon bottom’ in figures) were close to average δ</w:t>
      </w:r>
      <w:r w:rsidRPr="00747E35">
        <w:rPr>
          <w:rFonts w:asciiTheme="minorHAnsi" w:hAnsiTheme="minorHAnsi" w:cstheme="minorHAnsi"/>
          <w:vertAlign w:val="superscript"/>
        </w:rPr>
        <w:t>13</w:t>
      </w:r>
      <w:r w:rsidRPr="00747E35">
        <w:rPr>
          <w:rFonts w:asciiTheme="minorHAnsi" w:hAnsiTheme="minorHAnsi" w:cstheme="minorHAnsi"/>
        </w:rPr>
        <w:t>C values for Ephemeroptera (an algivore) – indicating that there may be an alternative food source.</w:t>
      </w:r>
    </w:p>
    <w:p w14:paraId="30F3467C" w14:textId="5B7F56CA" w:rsidR="003D3694" w:rsidRPr="00747E35" w:rsidRDefault="003D3694" w:rsidP="003D3694">
      <w:pPr>
        <w:rPr>
          <w:rFonts w:asciiTheme="minorHAnsi" w:hAnsiTheme="minorHAnsi" w:cstheme="minorHAnsi"/>
        </w:rPr>
      </w:pPr>
      <w:r w:rsidRPr="00747E35">
        <w:rPr>
          <w:rFonts w:asciiTheme="minorHAnsi" w:hAnsiTheme="minorHAnsi" w:cstheme="minorHAnsi"/>
        </w:rPr>
        <w:t>Differences in δ</w:t>
      </w:r>
      <w:r w:rsidRPr="00747E35">
        <w:rPr>
          <w:rFonts w:asciiTheme="minorHAnsi" w:hAnsiTheme="minorHAnsi" w:cstheme="minorHAnsi"/>
          <w:vertAlign w:val="superscript"/>
        </w:rPr>
        <w:t>13</w:t>
      </w:r>
      <w:r w:rsidRPr="00747E35">
        <w:rPr>
          <w:rFonts w:asciiTheme="minorHAnsi" w:hAnsiTheme="minorHAnsi" w:cstheme="minorHAnsi"/>
        </w:rPr>
        <w:t xml:space="preserve">C values between the wet and dry sampling periods were greatest for periphyton, with more depleted </w:t>
      </w:r>
      <w:r w:rsidRPr="00747E35">
        <w:rPr>
          <w:rFonts w:asciiTheme="minorHAnsi" w:hAnsiTheme="minorHAnsi" w:cstheme="minorHAnsi"/>
          <w:vertAlign w:val="superscript"/>
        </w:rPr>
        <w:t>13</w:t>
      </w:r>
      <w:r w:rsidRPr="00747E35">
        <w:rPr>
          <w:rFonts w:asciiTheme="minorHAnsi" w:hAnsiTheme="minorHAnsi" w:cstheme="minorHAnsi"/>
        </w:rPr>
        <w:t>C values in the drier season compared to the wetter season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_Ref466024993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53</w:t>
      </w:r>
      <w:r w:rsidRPr="00747E35">
        <w:rPr>
          <w:rFonts w:asciiTheme="minorHAnsi" w:hAnsiTheme="minorHAnsi" w:cstheme="minorHAnsi"/>
          <w:highlight w:val="yellow"/>
        </w:rPr>
        <w:fldChar w:fldCharType="end"/>
      </w:r>
      <w:r w:rsidRPr="00747E35">
        <w:rPr>
          <w:rFonts w:asciiTheme="minorHAnsi" w:hAnsiTheme="minorHAnsi" w:cstheme="minorHAnsi"/>
        </w:rPr>
        <w:t>). Alongside changes in δ</w:t>
      </w:r>
      <w:r w:rsidRPr="00747E35">
        <w:rPr>
          <w:rFonts w:asciiTheme="minorHAnsi" w:hAnsiTheme="minorHAnsi" w:cstheme="minorHAnsi"/>
          <w:vertAlign w:val="superscript"/>
        </w:rPr>
        <w:t>13</w:t>
      </w:r>
      <w:r w:rsidRPr="00747E35">
        <w:rPr>
          <w:rFonts w:asciiTheme="minorHAnsi" w:hAnsiTheme="minorHAnsi" w:cstheme="minorHAnsi"/>
        </w:rPr>
        <w:t xml:space="preserve">C values, periphyton was more nutritious (i.e. lower C:N ratio) in the wetter (9.8 ±0.7) sampling period than the drier (11.6 ±1.0) period (one-way ANOVA; </w:t>
      </w:r>
      <w:r w:rsidRPr="00747E35">
        <w:rPr>
          <w:rFonts w:asciiTheme="minorHAnsi" w:hAnsiTheme="minorHAnsi" w:cstheme="minorHAnsi"/>
          <w:i/>
        </w:rPr>
        <w:t xml:space="preserve">f </w:t>
      </w:r>
      <w:r w:rsidRPr="00747E35">
        <w:rPr>
          <w:rFonts w:asciiTheme="minorHAnsi" w:hAnsiTheme="minorHAnsi" w:cstheme="minorHAnsi"/>
        </w:rPr>
        <w:t xml:space="preserve">= 4.9, </w:t>
      </w:r>
      <w:r w:rsidRPr="00747E35">
        <w:rPr>
          <w:rFonts w:asciiTheme="minorHAnsi" w:hAnsiTheme="minorHAnsi" w:cstheme="minorHAnsi"/>
          <w:i/>
        </w:rPr>
        <w:t xml:space="preserve">p </w:t>
      </w:r>
      <w:r w:rsidRPr="00747E35">
        <w:rPr>
          <w:rFonts w:asciiTheme="minorHAnsi" w:hAnsiTheme="minorHAnsi" w:cstheme="minorHAnsi"/>
        </w:rPr>
        <w:t xml:space="preserve">= 0.04). Periphyton was an important energy source for many consumer groups and the </w:t>
      </w:r>
      <w:r w:rsidRPr="00747E35">
        <w:rPr>
          <w:rFonts w:asciiTheme="minorHAnsi" w:hAnsiTheme="minorHAnsi" w:cstheme="minorHAnsi"/>
          <w:vertAlign w:val="superscript"/>
        </w:rPr>
        <w:t>13</w:t>
      </w:r>
      <w:r w:rsidRPr="00747E35">
        <w:rPr>
          <w:rFonts w:asciiTheme="minorHAnsi" w:hAnsiTheme="minorHAnsi" w:cstheme="minorHAnsi"/>
        </w:rPr>
        <w:t>C values of these consumer groups were also more depleted in the drier season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_Ref466024993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53</w:t>
      </w:r>
      <w:r w:rsidRPr="00747E35">
        <w:rPr>
          <w:rFonts w:asciiTheme="minorHAnsi" w:hAnsiTheme="minorHAnsi" w:cstheme="minorHAnsi"/>
          <w:highlight w:val="yellow"/>
        </w:rPr>
        <w:fldChar w:fldCharType="end"/>
      </w:r>
      <w:r w:rsidRPr="00747E35">
        <w:rPr>
          <w:rFonts w:asciiTheme="minorHAnsi" w:hAnsiTheme="minorHAnsi" w:cstheme="minorHAnsi"/>
        </w:rPr>
        <w:t>). Plants, seston, macrophytes, and fish δ</w:t>
      </w:r>
      <w:r w:rsidRPr="00747E35">
        <w:rPr>
          <w:rFonts w:asciiTheme="minorHAnsi" w:hAnsiTheme="minorHAnsi" w:cstheme="minorHAnsi"/>
          <w:vertAlign w:val="superscript"/>
        </w:rPr>
        <w:t>13</w:t>
      </w:r>
      <w:r w:rsidRPr="00747E35">
        <w:rPr>
          <w:rFonts w:asciiTheme="minorHAnsi" w:hAnsiTheme="minorHAnsi" w:cstheme="minorHAnsi"/>
        </w:rPr>
        <w:t>C values were relatively similar between the two sampling periods. δ</w:t>
      </w:r>
      <w:r w:rsidRPr="00747E35">
        <w:rPr>
          <w:rFonts w:asciiTheme="minorHAnsi" w:hAnsiTheme="minorHAnsi" w:cstheme="minorHAnsi"/>
          <w:vertAlign w:val="superscript"/>
        </w:rPr>
        <w:t>13</w:t>
      </w:r>
      <w:r w:rsidRPr="00747E35">
        <w:rPr>
          <w:rFonts w:asciiTheme="minorHAnsi" w:hAnsiTheme="minorHAnsi" w:cstheme="minorHAnsi"/>
        </w:rPr>
        <w:t xml:space="preserve">C values of epilithon collected from the underside of rocks showed </w:t>
      </w:r>
      <w:r w:rsidRPr="00747E35">
        <w:rPr>
          <w:rFonts w:asciiTheme="minorHAnsi" w:hAnsiTheme="minorHAnsi" w:cstheme="minorHAnsi"/>
        </w:rPr>
        <w:lastRenderedPageBreak/>
        <w:t>the opposite pattern to periphyton, with enriched δ</w:t>
      </w:r>
      <w:r w:rsidRPr="00747E35">
        <w:rPr>
          <w:rFonts w:asciiTheme="minorHAnsi" w:hAnsiTheme="minorHAnsi" w:cstheme="minorHAnsi"/>
          <w:vertAlign w:val="superscript"/>
        </w:rPr>
        <w:t>13</w:t>
      </w:r>
      <w:r w:rsidRPr="00747E35">
        <w:rPr>
          <w:rFonts w:asciiTheme="minorHAnsi" w:hAnsiTheme="minorHAnsi" w:cstheme="minorHAnsi"/>
        </w:rPr>
        <w:t>C values in the drier compared to the wetter sampling period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_Ref466024993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53</w:t>
      </w:r>
      <w:r w:rsidRPr="00747E35">
        <w:rPr>
          <w:rFonts w:asciiTheme="minorHAnsi" w:hAnsiTheme="minorHAnsi" w:cstheme="minorHAnsi"/>
          <w:highlight w:val="yellow"/>
        </w:rPr>
        <w:fldChar w:fldCharType="end"/>
      </w:r>
      <w:r w:rsidRPr="00747E35">
        <w:rPr>
          <w:rFonts w:asciiTheme="minorHAnsi" w:hAnsiTheme="minorHAnsi" w:cstheme="minorHAnsi"/>
        </w:rPr>
        <w:t>).</w:t>
      </w:r>
    </w:p>
    <w:p w14:paraId="7FE3E0B4" w14:textId="77777777" w:rsidR="003D3694" w:rsidRPr="00747E35" w:rsidRDefault="003D3694" w:rsidP="003D3694">
      <w:pPr>
        <w:pStyle w:val="Heading6"/>
        <w:rPr>
          <w:rFonts w:asciiTheme="minorHAnsi" w:hAnsiTheme="minorHAnsi" w:cstheme="minorHAnsi"/>
        </w:rPr>
      </w:pPr>
      <w:r w:rsidRPr="00747E35">
        <w:rPr>
          <w:rFonts w:asciiTheme="minorHAnsi" w:hAnsiTheme="minorHAnsi" w:cstheme="minorHAnsi"/>
        </w:rPr>
        <w:t>Maules Creek catchment</w:t>
      </w:r>
    </w:p>
    <w:p w14:paraId="64305B8A" w14:textId="0141DF33" w:rsidR="003D3694" w:rsidRPr="00747E35" w:rsidRDefault="003D3694" w:rsidP="003D3694">
      <w:pPr>
        <w:rPr>
          <w:rFonts w:asciiTheme="minorHAnsi" w:hAnsiTheme="minorHAnsi" w:cstheme="minorHAnsi"/>
        </w:rPr>
      </w:pPr>
      <w:r w:rsidRPr="00747E35">
        <w:rPr>
          <w:rFonts w:asciiTheme="minorHAnsi" w:hAnsiTheme="minorHAnsi" w:cstheme="minorHAnsi"/>
        </w:rPr>
        <w:t>Higher order consumers (decapods) were absent from the intermittent study site but present within the perennial gaining and losing study sites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_Ref466024903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52</w:t>
      </w:r>
      <w:r w:rsidRPr="00747E35">
        <w:rPr>
          <w:rFonts w:asciiTheme="minorHAnsi" w:hAnsiTheme="minorHAnsi" w:cstheme="minorHAnsi"/>
          <w:highlight w:val="yellow"/>
        </w:rPr>
        <w:fldChar w:fldCharType="end"/>
      </w:r>
      <w:r w:rsidRPr="00747E35">
        <w:rPr>
          <w:rFonts w:asciiTheme="minorHAnsi" w:hAnsiTheme="minorHAnsi" w:cstheme="minorHAnsi"/>
        </w:rPr>
        <w:t>); fish, however, were not sampled. Due to the study design (three distinct flow regimes across the three sites), a gradient approach comparing the primary producer source contribution to consumers could not be applied to the study sites at Maules Creek. However, ‘back applying’ a typical trophic enrichment gradient to the dominant algivore at the perennial gaining and losing study sites (Ephemeroptera) indicates that a key algal source, with a δ</w:t>
      </w:r>
      <w:r w:rsidRPr="00747E35">
        <w:rPr>
          <w:rFonts w:asciiTheme="minorHAnsi" w:hAnsiTheme="minorHAnsi" w:cstheme="minorHAnsi"/>
          <w:vertAlign w:val="superscript"/>
        </w:rPr>
        <w:t>13</w:t>
      </w:r>
      <w:r w:rsidRPr="00747E35">
        <w:rPr>
          <w:rFonts w:asciiTheme="minorHAnsi" w:hAnsiTheme="minorHAnsi" w:cstheme="minorHAnsi"/>
        </w:rPr>
        <w:t>C value between -35 and -40, was not collected.</w:t>
      </w:r>
    </w:p>
    <w:p w14:paraId="2E34AA9B"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t>Hyporheic food web</w:t>
      </w:r>
    </w:p>
    <w:p w14:paraId="3581BE3F" w14:textId="571C5E73" w:rsidR="003D3694" w:rsidRPr="00747E35" w:rsidRDefault="003D3694" w:rsidP="003D3694">
      <w:pPr>
        <w:rPr>
          <w:rFonts w:asciiTheme="minorHAnsi" w:hAnsiTheme="minorHAnsi" w:cstheme="minorHAnsi"/>
        </w:rPr>
      </w:pPr>
      <w:r w:rsidRPr="00747E35">
        <w:rPr>
          <w:rFonts w:asciiTheme="minorHAnsi" w:hAnsiTheme="minorHAnsi" w:cstheme="minorHAnsi"/>
        </w:rPr>
        <w:t>Analysis of the hyporheic food web was made difficult by the fact that only a small number of animals were collected in sufficient abundance to enable isotopic ratios to be determined. Nonetheless there was a diversity of taxa (see Component 3 for taxa collected), a number of which may be dependent on fine particulate organic matter (soil, small fragments of leaf litter, decomposing algae and faeces among other sources) due to their position above FPOM in the isotope biplots (</w:t>
      </w:r>
      <w:r w:rsidRPr="00747E35">
        <w:rPr>
          <w:rFonts w:asciiTheme="minorHAnsi" w:hAnsiTheme="minorHAnsi" w:cstheme="minorHAnsi"/>
        </w:rPr>
        <w:fldChar w:fldCharType="begin"/>
      </w:r>
      <w:r w:rsidRPr="00747E35">
        <w:rPr>
          <w:rFonts w:asciiTheme="minorHAnsi" w:hAnsiTheme="minorHAnsi" w:cstheme="minorHAnsi"/>
        </w:rPr>
        <w:instrText xml:space="preserve"> REF _Ref466025066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54</w:t>
      </w:r>
      <w:r w:rsidRPr="00747E35">
        <w:rPr>
          <w:rFonts w:asciiTheme="minorHAnsi" w:hAnsiTheme="minorHAnsi" w:cstheme="minorHAnsi"/>
        </w:rPr>
        <w:fldChar w:fldCharType="end"/>
      </w:r>
      <w:r w:rsidRPr="00747E35">
        <w:rPr>
          <w:rFonts w:asciiTheme="minorHAnsi" w:hAnsiTheme="minorHAnsi" w:cstheme="minorHAnsi"/>
        </w:rPr>
        <w:t>). These patterns were broadly similar across both regions, and both sites, with enriched δ</w:t>
      </w:r>
      <w:r w:rsidRPr="00747E35">
        <w:rPr>
          <w:rFonts w:asciiTheme="minorHAnsi" w:hAnsiTheme="minorHAnsi" w:cstheme="minorHAnsi"/>
          <w:vertAlign w:val="superscript"/>
        </w:rPr>
        <w:t>13</w:t>
      </w:r>
      <w:r w:rsidRPr="00747E35">
        <w:rPr>
          <w:rFonts w:asciiTheme="minorHAnsi" w:hAnsiTheme="minorHAnsi" w:cstheme="minorHAnsi"/>
        </w:rPr>
        <w:t xml:space="preserve">C values compared to values </w:t>
      </w:r>
      <w:r w:rsidR="00847A55">
        <w:rPr>
          <w:rFonts w:asciiTheme="minorHAnsi" w:hAnsiTheme="minorHAnsi" w:cstheme="minorHAnsi"/>
        </w:rPr>
        <w:t xml:space="preserve">for </w:t>
      </w:r>
      <w:r w:rsidRPr="00747E35">
        <w:rPr>
          <w:rFonts w:asciiTheme="minorHAnsi" w:hAnsiTheme="minorHAnsi" w:cstheme="minorHAnsi"/>
        </w:rPr>
        <w:t>surface habitats (</w:t>
      </w:r>
      <w:r w:rsidRPr="00747E35">
        <w:rPr>
          <w:rFonts w:asciiTheme="minorHAnsi" w:hAnsiTheme="minorHAnsi" w:cstheme="minorHAnsi"/>
        </w:rPr>
        <w:fldChar w:fldCharType="begin"/>
      </w:r>
      <w:r w:rsidRPr="00747E35">
        <w:rPr>
          <w:rFonts w:asciiTheme="minorHAnsi" w:hAnsiTheme="minorHAnsi" w:cstheme="minorHAnsi"/>
        </w:rPr>
        <w:instrText xml:space="preserve"> REF _Ref466025066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54</w:t>
      </w:r>
      <w:r w:rsidRPr="00747E35">
        <w:rPr>
          <w:rFonts w:asciiTheme="minorHAnsi" w:hAnsiTheme="minorHAnsi" w:cstheme="minorHAnsi"/>
        </w:rPr>
        <w:fldChar w:fldCharType="end"/>
      </w:r>
      <w:r w:rsidRPr="00747E35">
        <w:rPr>
          <w:rFonts w:asciiTheme="minorHAnsi" w:hAnsiTheme="minorHAnsi" w:cstheme="minorHAnsi"/>
        </w:rPr>
        <w:t>).</w:t>
      </w:r>
    </w:p>
    <w:p w14:paraId="4D6C4ABB" w14:textId="77777777" w:rsidR="003D3694" w:rsidRPr="00747E35" w:rsidRDefault="003D3694" w:rsidP="003D3694">
      <w:pPr>
        <w:rPr>
          <w:rFonts w:asciiTheme="minorHAnsi" w:hAnsiTheme="minorHAnsi" w:cstheme="minorHAnsi"/>
        </w:rPr>
      </w:pPr>
    </w:p>
    <w:p w14:paraId="4E7BCB96"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33721CF8" wp14:editId="5680AF4D">
            <wp:extent cx="3854196" cy="6166714"/>
            <wp:effectExtent l="0" t="0" r="0" b="5715"/>
            <wp:docPr id="7213" name="Picture 7213" descr="Bi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merCatchment_Stage3.tif"/>
                    <pic:cNvPicPr/>
                  </pic:nvPicPr>
                  <pic:blipFill>
                    <a:blip r:embed="rId96" cstate="screen">
                      <a:extLst>
                        <a:ext uri="{28A0092B-C50C-407E-A947-70E740481C1C}">
                          <a14:useLocalDpi xmlns:a14="http://schemas.microsoft.com/office/drawing/2010/main"/>
                        </a:ext>
                      </a:extLst>
                    </a:blip>
                    <a:stretch>
                      <a:fillRect/>
                    </a:stretch>
                  </pic:blipFill>
                  <pic:spPr>
                    <a:xfrm>
                      <a:off x="0" y="0"/>
                      <a:ext cx="3854196" cy="6166714"/>
                    </a:xfrm>
                    <a:prstGeom prst="rect">
                      <a:avLst/>
                    </a:prstGeom>
                  </pic:spPr>
                </pic:pic>
              </a:graphicData>
            </a:graphic>
          </wp:inline>
        </w:drawing>
      </w:r>
    </w:p>
    <w:p w14:paraId="7E3E29A8" w14:textId="77777777" w:rsidR="003D3694" w:rsidRPr="00747E35" w:rsidRDefault="003D3694" w:rsidP="00566456">
      <w:pPr>
        <w:pStyle w:val="Caption"/>
        <w:numPr>
          <w:ilvl w:val="0"/>
          <w:numId w:val="0"/>
        </w:numPr>
        <w:rPr>
          <w:rFonts w:cstheme="minorHAnsi"/>
        </w:rPr>
      </w:pPr>
      <w:bookmarkStart w:id="152" w:name="_Ref466024885"/>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51</w:t>
      </w:r>
      <w:r w:rsidR="009D6600" w:rsidRPr="00747E35">
        <w:rPr>
          <w:rFonts w:cstheme="minorHAnsi"/>
          <w:noProof/>
        </w:rPr>
        <w:fldChar w:fldCharType="end"/>
      </w:r>
      <w:bookmarkEnd w:id="152"/>
      <w:r w:rsidRPr="00747E35">
        <w:rPr>
          <w:rFonts w:cstheme="minorHAnsi"/>
        </w:rPr>
        <w:t>. The mean ± standard deviation of the δ</w:t>
      </w:r>
      <w:r w:rsidRPr="00747E35">
        <w:rPr>
          <w:rFonts w:cstheme="minorHAnsi"/>
          <w:vertAlign w:val="superscript"/>
        </w:rPr>
        <w:t>13</w:t>
      </w:r>
      <w:r w:rsidRPr="00747E35">
        <w:rPr>
          <w:rFonts w:cstheme="minorHAnsi"/>
        </w:rPr>
        <w:t>C and δ</w:t>
      </w:r>
      <w:r w:rsidRPr="00747E35">
        <w:rPr>
          <w:rFonts w:cstheme="minorHAnsi"/>
          <w:vertAlign w:val="superscript"/>
        </w:rPr>
        <w:t>15</w:t>
      </w:r>
      <w:r w:rsidRPr="00747E35">
        <w:rPr>
          <w:rFonts w:cstheme="minorHAnsi"/>
        </w:rPr>
        <w:t>N values for sources and consumers of the five sites within the upper Bremer River catchment during the wet and dry sampling periods. The dashed line represents the intercept and gradient associated with a typical algal-dependent food web. Plant represents the combined isotope values for riparian vegetation and coarse-particulate organic matter. All food web components, including higher order consumers, were present in both the wet and dry sampling periods.</w:t>
      </w:r>
    </w:p>
    <w:p w14:paraId="31D10F03" w14:textId="77777777" w:rsidR="003D3694" w:rsidRPr="00747E35" w:rsidRDefault="003D3694" w:rsidP="003D3694">
      <w:pPr>
        <w:rPr>
          <w:rFonts w:asciiTheme="minorHAnsi" w:hAnsiTheme="minorHAnsi" w:cstheme="minorHAnsi"/>
        </w:rPr>
      </w:pPr>
    </w:p>
    <w:p w14:paraId="3C39BF08"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6C06E40D" wp14:editId="34F67A0F">
            <wp:extent cx="4907830" cy="3817088"/>
            <wp:effectExtent l="0" t="0" r="7620" b="0"/>
            <wp:docPr id="7214" name="Picture 7214" descr="Bi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ulesCatchment_Stage3_indi sitesb.tif"/>
                    <pic:cNvPicPr/>
                  </pic:nvPicPr>
                  <pic:blipFill>
                    <a:blip r:embed="rId97" cstate="screen">
                      <a:extLst>
                        <a:ext uri="{28A0092B-C50C-407E-A947-70E740481C1C}">
                          <a14:useLocalDpi xmlns:a14="http://schemas.microsoft.com/office/drawing/2010/main"/>
                        </a:ext>
                      </a:extLst>
                    </a:blip>
                    <a:stretch>
                      <a:fillRect/>
                    </a:stretch>
                  </pic:blipFill>
                  <pic:spPr>
                    <a:xfrm>
                      <a:off x="0" y="0"/>
                      <a:ext cx="4921294" cy="3827559"/>
                    </a:xfrm>
                    <a:prstGeom prst="rect">
                      <a:avLst/>
                    </a:prstGeom>
                  </pic:spPr>
                </pic:pic>
              </a:graphicData>
            </a:graphic>
          </wp:inline>
        </w:drawing>
      </w:r>
    </w:p>
    <w:p w14:paraId="0E6260B0" w14:textId="77777777" w:rsidR="003D3694" w:rsidRPr="00747E35" w:rsidRDefault="003D3694" w:rsidP="00566456">
      <w:pPr>
        <w:pStyle w:val="Caption"/>
        <w:numPr>
          <w:ilvl w:val="0"/>
          <w:numId w:val="0"/>
        </w:numPr>
        <w:rPr>
          <w:rFonts w:cstheme="minorHAnsi"/>
        </w:rPr>
      </w:pPr>
      <w:bookmarkStart w:id="153" w:name="_Ref466024903"/>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52</w:t>
      </w:r>
      <w:r w:rsidR="009D6600" w:rsidRPr="00747E35">
        <w:rPr>
          <w:rFonts w:cstheme="minorHAnsi"/>
          <w:noProof/>
        </w:rPr>
        <w:fldChar w:fldCharType="end"/>
      </w:r>
      <w:bookmarkEnd w:id="153"/>
      <w:r w:rsidRPr="00747E35">
        <w:rPr>
          <w:rFonts w:cstheme="minorHAnsi"/>
        </w:rPr>
        <w:t>. The mean ± standard deviation of the δ</w:t>
      </w:r>
      <w:r w:rsidRPr="00747E35">
        <w:rPr>
          <w:rFonts w:cstheme="minorHAnsi"/>
          <w:vertAlign w:val="superscript"/>
        </w:rPr>
        <w:t>13</w:t>
      </w:r>
      <w:r w:rsidRPr="00747E35">
        <w:rPr>
          <w:rFonts w:cstheme="minorHAnsi"/>
        </w:rPr>
        <w:t>C and δ</w:t>
      </w:r>
      <w:r w:rsidRPr="00747E35">
        <w:rPr>
          <w:rFonts w:cstheme="minorHAnsi"/>
          <w:vertAlign w:val="superscript"/>
        </w:rPr>
        <w:t>15</w:t>
      </w:r>
      <w:r w:rsidRPr="00747E35">
        <w:rPr>
          <w:rFonts w:cstheme="minorHAnsi"/>
        </w:rPr>
        <w:t>N values for sources and consumers in surface habitats of three study sites at Maules Creek catchment during the wet and dry sampling period. Perennial gaining, Horsearm Creek; Perennial losing, Maules Creek; Intermittent losing, Middle Creek. Plant represents the combined isotope values for riparian vegetation and coarse-particulate organic matter.</w:t>
      </w:r>
    </w:p>
    <w:p w14:paraId="6F23FE0D"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29531A59" wp14:editId="5366A8F0">
            <wp:extent cx="4196954" cy="3264196"/>
            <wp:effectExtent l="0" t="0" r="0" b="0"/>
            <wp:docPr id="7215" name="Picture 7215" descr="Box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aRatioBremer.tif"/>
                    <pic:cNvPicPr/>
                  </pic:nvPicPr>
                  <pic:blipFill>
                    <a:blip r:embed="rId98" cstate="screen">
                      <a:extLst>
                        <a:ext uri="{28A0092B-C50C-407E-A947-70E740481C1C}">
                          <a14:useLocalDpi xmlns:a14="http://schemas.microsoft.com/office/drawing/2010/main"/>
                        </a:ext>
                      </a:extLst>
                    </a:blip>
                    <a:stretch>
                      <a:fillRect/>
                    </a:stretch>
                  </pic:blipFill>
                  <pic:spPr>
                    <a:xfrm>
                      <a:off x="0" y="0"/>
                      <a:ext cx="4210377" cy="3274636"/>
                    </a:xfrm>
                    <a:prstGeom prst="rect">
                      <a:avLst/>
                    </a:prstGeom>
                  </pic:spPr>
                </pic:pic>
              </a:graphicData>
            </a:graphic>
          </wp:inline>
        </w:drawing>
      </w:r>
    </w:p>
    <w:p w14:paraId="52D628D1" w14:textId="77777777" w:rsidR="003D3694" w:rsidRPr="00747E35" w:rsidRDefault="003D3694" w:rsidP="00566456">
      <w:pPr>
        <w:pStyle w:val="Caption"/>
        <w:numPr>
          <w:ilvl w:val="0"/>
          <w:numId w:val="0"/>
        </w:numPr>
        <w:rPr>
          <w:rFonts w:cstheme="minorHAnsi"/>
        </w:rPr>
      </w:pPr>
      <w:bookmarkStart w:id="154" w:name="_Ref466024993"/>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53</w:t>
      </w:r>
      <w:r w:rsidR="009D6600" w:rsidRPr="00747E35">
        <w:rPr>
          <w:rFonts w:cstheme="minorHAnsi"/>
          <w:noProof/>
        </w:rPr>
        <w:fldChar w:fldCharType="end"/>
      </w:r>
      <w:bookmarkEnd w:id="154"/>
      <w:r w:rsidRPr="00747E35">
        <w:rPr>
          <w:rFonts w:cstheme="minorHAnsi"/>
        </w:rPr>
        <w:t>. Boxplots of the differences in δ</w:t>
      </w:r>
      <w:r w:rsidRPr="00747E35">
        <w:rPr>
          <w:rFonts w:cstheme="minorHAnsi"/>
          <w:vertAlign w:val="superscript"/>
        </w:rPr>
        <w:t>13</w:t>
      </w:r>
      <w:r w:rsidRPr="00747E35">
        <w:rPr>
          <w:rFonts w:cstheme="minorHAnsi"/>
        </w:rPr>
        <w:t>C values between dry and wet sampling periods for basal resources and consumers in the upper Bremer River catchment study sites. δ</w:t>
      </w:r>
      <w:r w:rsidRPr="00747E35">
        <w:rPr>
          <w:rFonts w:cstheme="minorHAnsi"/>
          <w:vertAlign w:val="superscript"/>
        </w:rPr>
        <w:t>13</w:t>
      </w:r>
      <w:r w:rsidRPr="00747E35">
        <w:rPr>
          <w:rFonts w:cstheme="minorHAnsi"/>
        </w:rPr>
        <w:t>C values below 0 indicate a depleted δ</w:t>
      </w:r>
      <w:r w:rsidRPr="00747E35">
        <w:rPr>
          <w:rFonts w:cstheme="minorHAnsi"/>
          <w:vertAlign w:val="superscript"/>
        </w:rPr>
        <w:t>13</w:t>
      </w:r>
      <w:r w:rsidRPr="00747E35">
        <w:rPr>
          <w:rFonts w:cstheme="minorHAnsi"/>
        </w:rPr>
        <w:t>C value in the dry season compared to the wet. Basal resources were grouped into plants, macrophytes, seston, periphyton, and epilithon bottom (sampled from underside of rocks). Consumers were grouped into Ephemeroptera, Trichoptera, predatory macroinvertebrate consumers (abbreviated to ‘Pred. macro.’), Decapoda, and fish. Plant represents the combined isotope values for riparian vegetation and coarse-particulate organic matter.</w:t>
      </w:r>
      <w:bookmarkStart w:id="155" w:name="_Ref466024958"/>
      <w:r w:rsidRPr="00747E35">
        <w:rPr>
          <w:rFonts w:cstheme="minorHAnsi"/>
        </w:rPr>
        <w:t xml:space="preserve"> The δ</w:t>
      </w:r>
      <w:r w:rsidRPr="00747E35">
        <w:rPr>
          <w:rFonts w:cstheme="minorHAnsi"/>
          <w:vertAlign w:val="superscript"/>
        </w:rPr>
        <w:t>13</w:t>
      </w:r>
      <w:r w:rsidRPr="00747E35">
        <w:rPr>
          <w:rFonts w:cstheme="minorHAnsi"/>
        </w:rPr>
        <w:t>C values of periphyton (including epilithon on the bottom of rocks) are more variable between seasons than other food web components.</w:t>
      </w:r>
    </w:p>
    <w:p w14:paraId="7CE8A992" w14:textId="77777777" w:rsidR="003D3694" w:rsidRPr="00747E35" w:rsidRDefault="003D3694" w:rsidP="003D3694">
      <w:pPr>
        <w:autoSpaceDE/>
        <w:autoSpaceDN/>
        <w:spacing w:line="276" w:lineRule="auto"/>
        <w:rPr>
          <w:rFonts w:asciiTheme="minorHAnsi" w:hAnsiTheme="minorHAnsi" w:cstheme="minorHAnsi"/>
        </w:rPr>
      </w:pPr>
      <w:r w:rsidRPr="00747E35">
        <w:rPr>
          <w:rFonts w:asciiTheme="minorHAnsi" w:hAnsiTheme="minorHAnsi" w:cstheme="minorHAnsi"/>
        </w:rPr>
        <w:br w:type="page"/>
      </w:r>
    </w:p>
    <w:p w14:paraId="04BE4978" w14:textId="77777777" w:rsidR="003D3694" w:rsidRPr="00747E35" w:rsidRDefault="003D3694" w:rsidP="00566456">
      <w:pPr>
        <w:pStyle w:val="Caption"/>
        <w:numPr>
          <w:ilvl w:val="0"/>
          <w:numId w:val="0"/>
        </w:numPr>
        <w:rPr>
          <w:rFonts w:cstheme="minorHAnsi"/>
        </w:rPr>
      </w:pPr>
      <w:bookmarkStart w:id="156" w:name="_Ref467239757"/>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13</w:t>
      </w:r>
      <w:r w:rsidR="009D6600" w:rsidRPr="00747E35">
        <w:rPr>
          <w:rFonts w:cstheme="minorHAnsi"/>
          <w:noProof/>
        </w:rPr>
        <w:fldChar w:fldCharType="end"/>
      </w:r>
      <w:bookmarkEnd w:id="155"/>
      <w:bookmarkEnd w:id="156"/>
      <w:r w:rsidRPr="00747E35">
        <w:rPr>
          <w:rFonts w:cstheme="minorHAnsi"/>
        </w:rPr>
        <w:t>. The consumer and source assessed, season, slope, R</w:t>
      </w:r>
      <w:r w:rsidRPr="00747E35">
        <w:rPr>
          <w:rFonts w:cstheme="minorHAnsi"/>
          <w:vertAlign w:val="superscript"/>
        </w:rPr>
        <w:t>2</w:t>
      </w:r>
      <w:r w:rsidRPr="00747E35">
        <w:rPr>
          <w:rFonts w:cstheme="minorHAnsi"/>
        </w:rPr>
        <w:t>, p-value for testing confidence interval slopes that include 0 and 1, and the interpretation of each regression for consumer-resource coupling. All regression outputs are given for periphyton as a source, and only significant regression outputs are given for other consumer-resource relationships (i.e. fish and decapoda). Many consumers in the wetter sampling period show some reliance on periphyton as a carbon (i.e. energy) source.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1718"/>
        <w:gridCol w:w="1024"/>
        <w:gridCol w:w="809"/>
        <w:gridCol w:w="781"/>
        <w:gridCol w:w="676"/>
        <w:gridCol w:w="877"/>
        <w:gridCol w:w="877"/>
        <w:gridCol w:w="2866"/>
      </w:tblGrid>
      <w:tr w:rsidR="003D3694" w:rsidRPr="00747E35" w14:paraId="5C87CEF7" w14:textId="77777777" w:rsidTr="00BB5645">
        <w:trPr>
          <w:trHeight w:val="224"/>
          <w:tblHeader/>
        </w:trPr>
        <w:tc>
          <w:tcPr>
            <w:tcW w:w="1718" w:type="dxa"/>
            <w:tcBorders>
              <w:top w:val="single" w:sz="4" w:space="0" w:color="auto"/>
              <w:bottom w:val="single" w:sz="4" w:space="0" w:color="auto"/>
            </w:tcBorders>
            <w:shd w:val="clear" w:color="auto" w:fill="DEEAF6" w:themeFill="accent1" w:themeFillTint="33"/>
          </w:tcPr>
          <w:p w14:paraId="131524CA"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rPr>
              <w:t>Consumer</w:t>
            </w:r>
          </w:p>
        </w:tc>
        <w:tc>
          <w:tcPr>
            <w:tcW w:w="700" w:type="dxa"/>
            <w:tcBorders>
              <w:top w:val="single" w:sz="4" w:space="0" w:color="auto"/>
              <w:bottom w:val="single" w:sz="4" w:space="0" w:color="auto"/>
            </w:tcBorders>
            <w:shd w:val="clear" w:color="auto" w:fill="DEEAF6" w:themeFill="accent1" w:themeFillTint="33"/>
          </w:tcPr>
          <w:p w14:paraId="2D310298"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rPr>
              <w:t>Source</w:t>
            </w:r>
          </w:p>
        </w:tc>
        <w:tc>
          <w:tcPr>
            <w:tcW w:w="809" w:type="dxa"/>
            <w:tcBorders>
              <w:top w:val="single" w:sz="4" w:space="0" w:color="auto"/>
              <w:bottom w:val="single" w:sz="4" w:space="0" w:color="auto"/>
            </w:tcBorders>
            <w:shd w:val="clear" w:color="auto" w:fill="DEEAF6" w:themeFill="accent1" w:themeFillTint="33"/>
          </w:tcPr>
          <w:p w14:paraId="4C3D5750"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rPr>
              <w:t>Season</w:t>
            </w:r>
          </w:p>
        </w:tc>
        <w:tc>
          <w:tcPr>
            <w:tcW w:w="784" w:type="dxa"/>
            <w:tcBorders>
              <w:top w:val="single" w:sz="4" w:space="0" w:color="auto"/>
              <w:bottom w:val="single" w:sz="4" w:space="0" w:color="auto"/>
            </w:tcBorders>
            <w:shd w:val="clear" w:color="auto" w:fill="DEEAF6" w:themeFill="accent1" w:themeFillTint="33"/>
          </w:tcPr>
          <w:p w14:paraId="684B6696"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rPr>
              <w:t>Slope</w:t>
            </w:r>
          </w:p>
        </w:tc>
        <w:tc>
          <w:tcPr>
            <w:tcW w:w="677" w:type="dxa"/>
            <w:tcBorders>
              <w:top w:val="single" w:sz="4" w:space="0" w:color="auto"/>
              <w:bottom w:val="single" w:sz="4" w:space="0" w:color="auto"/>
            </w:tcBorders>
            <w:shd w:val="clear" w:color="auto" w:fill="DEEAF6" w:themeFill="accent1" w:themeFillTint="33"/>
          </w:tcPr>
          <w:p w14:paraId="2FAB701F"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i/>
              </w:rPr>
              <w:t>R</w:t>
            </w:r>
            <w:r w:rsidRPr="00747E35">
              <w:rPr>
                <w:rFonts w:asciiTheme="minorHAnsi" w:hAnsiTheme="minorHAnsi" w:cstheme="minorHAnsi"/>
                <w:vertAlign w:val="superscript"/>
              </w:rPr>
              <w:t>2</w:t>
            </w:r>
          </w:p>
        </w:tc>
        <w:tc>
          <w:tcPr>
            <w:tcW w:w="824" w:type="dxa"/>
            <w:tcBorders>
              <w:top w:val="single" w:sz="4" w:space="0" w:color="auto"/>
              <w:bottom w:val="single" w:sz="4" w:space="0" w:color="auto"/>
            </w:tcBorders>
            <w:shd w:val="clear" w:color="auto" w:fill="DEEAF6" w:themeFill="accent1" w:themeFillTint="33"/>
          </w:tcPr>
          <w:p w14:paraId="5EF910C1"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rPr>
              <w:t>Slope=1</w:t>
            </w:r>
          </w:p>
          <w:p w14:paraId="14049E7F"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i/>
              </w:rPr>
              <w:t>p</w:t>
            </w:r>
            <w:r w:rsidRPr="00747E35">
              <w:rPr>
                <w:rFonts w:asciiTheme="minorHAnsi" w:hAnsiTheme="minorHAnsi" w:cstheme="minorHAnsi"/>
              </w:rPr>
              <w:t>-value</w:t>
            </w:r>
          </w:p>
        </w:tc>
        <w:tc>
          <w:tcPr>
            <w:tcW w:w="823" w:type="dxa"/>
            <w:tcBorders>
              <w:top w:val="single" w:sz="4" w:space="0" w:color="auto"/>
              <w:bottom w:val="single" w:sz="4" w:space="0" w:color="auto"/>
            </w:tcBorders>
            <w:shd w:val="clear" w:color="auto" w:fill="DEEAF6" w:themeFill="accent1" w:themeFillTint="33"/>
          </w:tcPr>
          <w:p w14:paraId="10413493"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rPr>
              <w:t>Slope=0</w:t>
            </w:r>
          </w:p>
          <w:p w14:paraId="308A94FD"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i/>
              </w:rPr>
              <w:t>p</w:t>
            </w:r>
            <w:r w:rsidRPr="00747E35">
              <w:rPr>
                <w:rFonts w:asciiTheme="minorHAnsi" w:hAnsiTheme="minorHAnsi" w:cstheme="minorHAnsi"/>
              </w:rPr>
              <w:t>-value</w:t>
            </w:r>
          </w:p>
        </w:tc>
        <w:tc>
          <w:tcPr>
            <w:tcW w:w="2907" w:type="dxa"/>
            <w:tcBorders>
              <w:top w:val="single" w:sz="4" w:space="0" w:color="auto"/>
              <w:bottom w:val="single" w:sz="4" w:space="0" w:color="auto"/>
            </w:tcBorders>
            <w:shd w:val="clear" w:color="auto" w:fill="DEEAF6" w:themeFill="accent1" w:themeFillTint="33"/>
          </w:tcPr>
          <w:p w14:paraId="4F82807B"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rPr>
              <w:t>Interpretation</w:t>
            </w:r>
          </w:p>
        </w:tc>
      </w:tr>
      <w:tr w:rsidR="003D3694" w:rsidRPr="00747E35" w14:paraId="55B43672" w14:textId="77777777" w:rsidTr="0096743A">
        <w:trPr>
          <w:trHeight w:val="117"/>
        </w:trPr>
        <w:tc>
          <w:tcPr>
            <w:tcW w:w="1718" w:type="dxa"/>
            <w:tcBorders>
              <w:top w:val="single" w:sz="4" w:space="0" w:color="auto"/>
              <w:bottom w:val="dashed" w:sz="4" w:space="0" w:color="auto"/>
            </w:tcBorders>
          </w:tcPr>
          <w:p w14:paraId="611BC33A" w14:textId="77777777" w:rsidR="003D3694" w:rsidRPr="00747E35" w:rsidRDefault="003D3694" w:rsidP="0096743A">
            <w:pPr>
              <w:pStyle w:val="Tabletext"/>
              <w:spacing w:before="0" w:after="0"/>
              <w:rPr>
                <w:rFonts w:cstheme="minorHAnsi"/>
              </w:rPr>
            </w:pPr>
            <w:r w:rsidRPr="00747E35">
              <w:rPr>
                <w:rFonts w:cstheme="minorHAnsi"/>
              </w:rPr>
              <w:t>Primary consumer (Ephemeroptera)</w:t>
            </w:r>
          </w:p>
        </w:tc>
        <w:tc>
          <w:tcPr>
            <w:tcW w:w="700" w:type="dxa"/>
            <w:tcBorders>
              <w:top w:val="single" w:sz="4" w:space="0" w:color="auto"/>
              <w:bottom w:val="dashed" w:sz="4" w:space="0" w:color="auto"/>
            </w:tcBorders>
          </w:tcPr>
          <w:p w14:paraId="011D7EB0" w14:textId="77777777" w:rsidR="003D3694" w:rsidRPr="00747E35" w:rsidRDefault="003D3694" w:rsidP="0096743A">
            <w:pPr>
              <w:pStyle w:val="Tabletext"/>
              <w:spacing w:before="0" w:after="0"/>
              <w:rPr>
                <w:rFonts w:cstheme="minorHAnsi"/>
              </w:rPr>
            </w:pPr>
            <w:r w:rsidRPr="00747E35">
              <w:rPr>
                <w:rFonts w:cstheme="minorHAnsi"/>
              </w:rPr>
              <w:t>Periphyton</w:t>
            </w:r>
          </w:p>
        </w:tc>
        <w:tc>
          <w:tcPr>
            <w:tcW w:w="809" w:type="dxa"/>
            <w:tcBorders>
              <w:top w:val="single" w:sz="4" w:space="0" w:color="auto"/>
              <w:bottom w:val="dashed" w:sz="4" w:space="0" w:color="auto"/>
            </w:tcBorders>
          </w:tcPr>
          <w:p w14:paraId="6391C7A7" w14:textId="77777777" w:rsidR="003D3694" w:rsidRPr="00747E35" w:rsidRDefault="003D3694" w:rsidP="0096743A">
            <w:pPr>
              <w:pStyle w:val="Tabletext"/>
              <w:spacing w:before="0" w:after="0"/>
              <w:rPr>
                <w:rFonts w:cstheme="minorHAnsi"/>
              </w:rPr>
            </w:pPr>
            <w:r w:rsidRPr="00747E35">
              <w:rPr>
                <w:rFonts w:cstheme="minorHAnsi"/>
              </w:rPr>
              <w:t>Wet</w:t>
            </w:r>
          </w:p>
        </w:tc>
        <w:tc>
          <w:tcPr>
            <w:tcW w:w="784" w:type="dxa"/>
            <w:tcBorders>
              <w:top w:val="single" w:sz="4" w:space="0" w:color="auto"/>
              <w:bottom w:val="dashed" w:sz="4" w:space="0" w:color="auto"/>
            </w:tcBorders>
          </w:tcPr>
          <w:p w14:paraId="6AA547D4" w14:textId="77777777" w:rsidR="003D3694" w:rsidRPr="00747E35" w:rsidRDefault="003D3694" w:rsidP="0096743A">
            <w:pPr>
              <w:pStyle w:val="Tabletext"/>
              <w:spacing w:before="0" w:after="0"/>
              <w:rPr>
                <w:rFonts w:cstheme="minorHAnsi"/>
              </w:rPr>
            </w:pPr>
            <w:r w:rsidRPr="00747E35">
              <w:rPr>
                <w:rFonts w:cstheme="minorHAnsi"/>
              </w:rPr>
              <w:t>0.64</w:t>
            </w:r>
          </w:p>
        </w:tc>
        <w:tc>
          <w:tcPr>
            <w:tcW w:w="677" w:type="dxa"/>
            <w:tcBorders>
              <w:top w:val="single" w:sz="4" w:space="0" w:color="auto"/>
              <w:bottom w:val="dashed" w:sz="4" w:space="0" w:color="auto"/>
            </w:tcBorders>
          </w:tcPr>
          <w:p w14:paraId="61C1867A" w14:textId="77777777" w:rsidR="003D3694" w:rsidRPr="00747E35" w:rsidRDefault="003D3694" w:rsidP="0096743A">
            <w:pPr>
              <w:pStyle w:val="Tabletext"/>
              <w:spacing w:before="0" w:after="0"/>
              <w:rPr>
                <w:rFonts w:cstheme="minorHAnsi"/>
              </w:rPr>
            </w:pPr>
            <w:r w:rsidRPr="00747E35">
              <w:rPr>
                <w:rFonts w:cstheme="minorHAnsi"/>
              </w:rPr>
              <w:t>0.95</w:t>
            </w:r>
          </w:p>
        </w:tc>
        <w:tc>
          <w:tcPr>
            <w:tcW w:w="824" w:type="dxa"/>
            <w:tcBorders>
              <w:top w:val="single" w:sz="4" w:space="0" w:color="auto"/>
              <w:bottom w:val="dashed" w:sz="4" w:space="0" w:color="auto"/>
            </w:tcBorders>
          </w:tcPr>
          <w:p w14:paraId="5850D6D4" w14:textId="77777777" w:rsidR="003D3694" w:rsidRPr="00747E35" w:rsidRDefault="003D3694" w:rsidP="0096743A">
            <w:pPr>
              <w:pStyle w:val="Tabletext"/>
              <w:spacing w:before="0" w:after="0"/>
              <w:rPr>
                <w:rFonts w:cstheme="minorHAnsi"/>
              </w:rPr>
            </w:pPr>
            <w:r w:rsidRPr="00747E35">
              <w:rPr>
                <w:rFonts w:cstheme="minorHAnsi"/>
              </w:rPr>
              <w:t>0.03</w:t>
            </w:r>
          </w:p>
        </w:tc>
        <w:tc>
          <w:tcPr>
            <w:tcW w:w="823" w:type="dxa"/>
            <w:tcBorders>
              <w:top w:val="single" w:sz="4" w:space="0" w:color="auto"/>
              <w:bottom w:val="dashed" w:sz="4" w:space="0" w:color="auto"/>
            </w:tcBorders>
          </w:tcPr>
          <w:p w14:paraId="304E5B0F" w14:textId="77777777" w:rsidR="003D3694" w:rsidRPr="00747E35" w:rsidRDefault="003D3694" w:rsidP="0096743A">
            <w:pPr>
              <w:pStyle w:val="Tabletext"/>
              <w:spacing w:before="0" w:after="0"/>
              <w:rPr>
                <w:rFonts w:cstheme="minorHAnsi"/>
              </w:rPr>
            </w:pPr>
            <w:r w:rsidRPr="00747E35">
              <w:rPr>
                <w:rFonts w:cstheme="minorHAnsi"/>
              </w:rPr>
              <w:t>0.006</w:t>
            </w:r>
          </w:p>
        </w:tc>
        <w:tc>
          <w:tcPr>
            <w:tcW w:w="2907" w:type="dxa"/>
            <w:tcBorders>
              <w:top w:val="single" w:sz="4" w:space="0" w:color="auto"/>
              <w:bottom w:val="dashed" w:sz="4" w:space="0" w:color="auto"/>
            </w:tcBorders>
          </w:tcPr>
          <w:p w14:paraId="49081256" w14:textId="77777777" w:rsidR="003D3694" w:rsidRPr="00747E35" w:rsidRDefault="003D3694" w:rsidP="0096743A">
            <w:pPr>
              <w:pStyle w:val="Tabletext"/>
              <w:spacing w:before="0" w:after="0"/>
              <w:rPr>
                <w:rFonts w:cstheme="minorHAnsi"/>
              </w:rPr>
            </w:pPr>
            <w:r w:rsidRPr="00747E35">
              <w:rPr>
                <w:rFonts w:cstheme="minorHAnsi"/>
              </w:rPr>
              <w:t>Reliance on periphyton, but other sources also contribute</w:t>
            </w:r>
          </w:p>
        </w:tc>
      </w:tr>
      <w:tr w:rsidR="003D3694" w:rsidRPr="00747E35" w14:paraId="7E7CD069" w14:textId="77777777" w:rsidTr="0096743A">
        <w:trPr>
          <w:trHeight w:val="117"/>
        </w:trPr>
        <w:tc>
          <w:tcPr>
            <w:tcW w:w="1718" w:type="dxa"/>
            <w:tcBorders>
              <w:top w:val="dashed" w:sz="4" w:space="0" w:color="auto"/>
              <w:bottom w:val="dashed" w:sz="4" w:space="0" w:color="auto"/>
            </w:tcBorders>
          </w:tcPr>
          <w:p w14:paraId="7D999F02" w14:textId="77777777" w:rsidR="003D3694" w:rsidRPr="00747E35" w:rsidRDefault="003D3694" w:rsidP="0096743A">
            <w:pPr>
              <w:pStyle w:val="Tabletext"/>
              <w:spacing w:before="0" w:after="0"/>
              <w:rPr>
                <w:rFonts w:cstheme="minorHAnsi"/>
              </w:rPr>
            </w:pPr>
            <w:r w:rsidRPr="00747E35">
              <w:rPr>
                <w:rFonts w:cstheme="minorHAnsi"/>
              </w:rPr>
              <w:t>Primary consumer  (Trichoptera)</w:t>
            </w:r>
          </w:p>
        </w:tc>
        <w:tc>
          <w:tcPr>
            <w:tcW w:w="700" w:type="dxa"/>
            <w:tcBorders>
              <w:top w:val="dashed" w:sz="4" w:space="0" w:color="auto"/>
              <w:bottom w:val="dashed" w:sz="4" w:space="0" w:color="auto"/>
            </w:tcBorders>
          </w:tcPr>
          <w:p w14:paraId="097609A3" w14:textId="77777777" w:rsidR="003D3694" w:rsidRPr="00747E35" w:rsidRDefault="003D3694" w:rsidP="0096743A">
            <w:pPr>
              <w:pStyle w:val="Tabletext"/>
              <w:spacing w:before="0" w:after="0"/>
              <w:rPr>
                <w:rFonts w:cstheme="minorHAnsi"/>
              </w:rPr>
            </w:pPr>
            <w:r w:rsidRPr="00747E35">
              <w:rPr>
                <w:rFonts w:cstheme="minorHAnsi"/>
              </w:rPr>
              <w:t>Periphyton</w:t>
            </w:r>
          </w:p>
        </w:tc>
        <w:tc>
          <w:tcPr>
            <w:tcW w:w="809" w:type="dxa"/>
            <w:tcBorders>
              <w:top w:val="dashed" w:sz="4" w:space="0" w:color="auto"/>
              <w:bottom w:val="dashed" w:sz="4" w:space="0" w:color="auto"/>
            </w:tcBorders>
          </w:tcPr>
          <w:p w14:paraId="105C7A13" w14:textId="77777777" w:rsidR="003D3694" w:rsidRPr="00747E35" w:rsidRDefault="003D3694" w:rsidP="0096743A">
            <w:pPr>
              <w:pStyle w:val="Tabletext"/>
              <w:spacing w:before="0" w:after="0"/>
              <w:rPr>
                <w:rFonts w:cstheme="minorHAnsi"/>
              </w:rPr>
            </w:pPr>
            <w:r w:rsidRPr="00747E35">
              <w:rPr>
                <w:rFonts w:cstheme="minorHAnsi"/>
              </w:rPr>
              <w:t>Wet</w:t>
            </w:r>
          </w:p>
        </w:tc>
        <w:tc>
          <w:tcPr>
            <w:tcW w:w="784" w:type="dxa"/>
            <w:tcBorders>
              <w:top w:val="dashed" w:sz="4" w:space="0" w:color="auto"/>
              <w:bottom w:val="dashed" w:sz="4" w:space="0" w:color="auto"/>
            </w:tcBorders>
          </w:tcPr>
          <w:p w14:paraId="46C3E5CC" w14:textId="77777777" w:rsidR="003D3694" w:rsidRPr="00747E35" w:rsidRDefault="003D3694" w:rsidP="0096743A">
            <w:pPr>
              <w:pStyle w:val="Tabletext"/>
              <w:spacing w:before="0" w:after="0"/>
              <w:rPr>
                <w:rFonts w:cstheme="minorHAnsi"/>
              </w:rPr>
            </w:pPr>
            <w:r w:rsidRPr="00747E35">
              <w:rPr>
                <w:rFonts w:cstheme="minorHAnsi"/>
              </w:rPr>
              <w:t>0.29</w:t>
            </w:r>
          </w:p>
        </w:tc>
        <w:tc>
          <w:tcPr>
            <w:tcW w:w="677" w:type="dxa"/>
            <w:tcBorders>
              <w:top w:val="dashed" w:sz="4" w:space="0" w:color="auto"/>
              <w:bottom w:val="dashed" w:sz="4" w:space="0" w:color="auto"/>
            </w:tcBorders>
          </w:tcPr>
          <w:p w14:paraId="6453941B" w14:textId="77777777" w:rsidR="003D3694" w:rsidRPr="00747E35" w:rsidRDefault="003D3694" w:rsidP="0096743A">
            <w:pPr>
              <w:pStyle w:val="Tabletext"/>
              <w:spacing w:before="0" w:after="0"/>
              <w:rPr>
                <w:rFonts w:cstheme="minorHAnsi"/>
              </w:rPr>
            </w:pPr>
            <w:r w:rsidRPr="00747E35">
              <w:rPr>
                <w:rFonts w:cstheme="minorHAnsi"/>
              </w:rPr>
              <w:t>0.07</w:t>
            </w:r>
          </w:p>
        </w:tc>
        <w:tc>
          <w:tcPr>
            <w:tcW w:w="824" w:type="dxa"/>
            <w:tcBorders>
              <w:top w:val="dashed" w:sz="4" w:space="0" w:color="auto"/>
              <w:bottom w:val="dashed" w:sz="4" w:space="0" w:color="auto"/>
            </w:tcBorders>
          </w:tcPr>
          <w:p w14:paraId="7565B735" w14:textId="77777777" w:rsidR="003D3694" w:rsidRPr="00747E35" w:rsidRDefault="003D3694" w:rsidP="0096743A">
            <w:pPr>
              <w:pStyle w:val="Tabletext"/>
              <w:spacing w:before="0" w:after="0"/>
              <w:rPr>
                <w:rFonts w:cstheme="minorHAnsi"/>
              </w:rPr>
            </w:pPr>
            <w:r w:rsidRPr="00747E35">
              <w:rPr>
                <w:rFonts w:cstheme="minorHAnsi"/>
              </w:rPr>
              <w:t>NA</w:t>
            </w:r>
          </w:p>
        </w:tc>
        <w:tc>
          <w:tcPr>
            <w:tcW w:w="823" w:type="dxa"/>
            <w:tcBorders>
              <w:top w:val="dashed" w:sz="4" w:space="0" w:color="auto"/>
              <w:bottom w:val="dashed" w:sz="4" w:space="0" w:color="auto"/>
            </w:tcBorders>
          </w:tcPr>
          <w:p w14:paraId="5A325F91" w14:textId="77777777" w:rsidR="003D3694" w:rsidRPr="00747E35" w:rsidRDefault="003D3694" w:rsidP="0096743A">
            <w:pPr>
              <w:pStyle w:val="Tabletext"/>
              <w:spacing w:before="0" w:after="0"/>
              <w:rPr>
                <w:rFonts w:cstheme="minorHAnsi"/>
              </w:rPr>
            </w:pPr>
            <w:r w:rsidRPr="00747E35">
              <w:rPr>
                <w:rFonts w:cstheme="minorHAnsi"/>
              </w:rPr>
              <w:t>NA</w:t>
            </w:r>
          </w:p>
        </w:tc>
        <w:tc>
          <w:tcPr>
            <w:tcW w:w="2907" w:type="dxa"/>
            <w:tcBorders>
              <w:top w:val="dashed" w:sz="4" w:space="0" w:color="auto"/>
              <w:bottom w:val="dashed" w:sz="4" w:space="0" w:color="auto"/>
            </w:tcBorders>
          </w:tcPr>
          <w:p w14:paraId="59892C7E" w14:textId="77777777" w:rsidR="003D3694" w:rsidRPr="00747E35" w:rsidRDefault="003D3694" w:rsidP="0096743A">
            <w:pPr>
              <w:pStyle w:val="Tabletext"/>
              <w:spacing w:before="0" w:after="0"/>
              <w:rPr>
                <w:rFonts w:cstheme="minorHAnsi"/>
              </w:rPr>
            </w:pPr>
            <w:r w:rsidRPr="00747E35">
              <w:rPr>
                <w:rFonts w:cstheme="minorHAnsi"/>
              </w:rPr>
              <w:t>Unresolved</w:t>
            </w:r>
          </w:p>
        </w:tc>
      </w:tr>
      <w:tr w:rsidR="003D3694" w:rsidRPr="00747E35" w14:paraId="34C942B2" w14:textId="77777777" w:rsidTr="0096743A">
        <w:trPr>
          <w:trHeight w:val="120"/>
        </w:trPr>
        <w:tc>
          <w:tcPr>
            <w:tcW w:w="1718" w:type="dxa"/>
            <w:tcBorders>
              <w:top w:val="dashed" w:sz="4" w:space="0" w:color="auto"/>
              <w:bottom w:val="dashed" w:sz="4" w:space="0" w:color="auto"/>
            </w:tcBorders>
          </w:tcPr>
          <w:p w14:paraId="155448E7" w14:textId="77777777" w:rsidR="003D3694" w:rsidRPr="00747E35" w:rsidRDefault="003D3694" w:rsidP="0096743A">
            <w:pPr>
              <w:pStyle w:val="Tabletext"/>
              <w:spacing w:before="0" w:after="0"/>
              <w:rPr>
                <w:rFonts w:cstheme="minorHAnsi"/>
              </w:rPr>
            </w:pPr>
            <w:r w:rsidRPr="00747E35">
              <w:rPr>
                <w:rFonts w:cstheme="minorHAnsi"/>
              </w:rPr>
              <w:t>Secondary consumer (Predatory macroinvertebrates)</w:t>
            </w:r>
          </w:p>
        </w:tc>
        <w:tc>
          <w:tcPr>
            <w:tcW w:w="700" w:type="dxa"/>
            <w:tcBorders>
              <w:top w:val="dashed" w:sz="4" w:space="0" w:color="auto"/>
              <w:bottom w:val="dashed" w:sz="4" w:space="0" w:color="auto"/>
            </w:tcBorders>
          </w:tcPr>
          <w:p w14:paraId="5D7D8A07" w14:textId="77777777" w:rsidR="003D3694" w:rsidRPr="00747E35" w:rsidRDefault="003D3694" w:rsidP="0096743A">
            <w:pPr>
              <w:pStyle w:val="Tabletext"/>
              <w:spacing w:before="0" w:after="0"/>
              <w:rPr>
                <w:rFonts w:cstheme="minorHAnsi"/>
              </w:rPr>
            </w:pPr>
            <w:r w:rsidRPr="00747E35">
              <w:rPr>
                <w:rFonts w:cstheme="minorHAnsi"/>
              </w:rPr>
              <w:t>Periphyton</w:t>
            </w:r>
          </w:p>
        </w:tc>
        <w:tc>
          <w:tcPr>
            <w:tcW w:w="809" w:type="dxa"/>
            <w:tcBorders>
              <w:top w:val="dashed" w:sz="4" w:space="0" w:color="auto"/>
              <w:bottom w:val="dashed" w:sz="4" w:space="0" w:color="auto"/>
            </w:tcBorders>
          </w:tcPr>
          <w:p w14:paraId="34250CA7" w14:textId="77777777" w:rsidR="003D3694" w:rsidRPr="00747E35" w:rsidRDefault="003D3694" w:rsidP="0096743A">
            <w:pPr>
              <w:pStyle w:val="Tabletext"/>
              <w:spacing w:before="0" w:after="0"/>
              <w:rPr>
                <w:rFonts w:cstheme="minorHAnsi"/>
              </w:rPr>
            </w:pPr>
            <w:r w:rsidRPr="00747E35">
              <w:rPr>
                <w:rFonts w:cstheme="minorHAnsi"/>
              </w:rPr>
              <w:t>Wet</w:t>
            </w:r>
          </w:p>
        </w:tc>
        <w:tc>
          <w:tcPr>
            <w:tcW w:w="784" w:type="dxa"/>
            <w:tcBorders>
              <w:top w:val="dashed" w:sz="4" w:space="0" w:color="auto"/>
              <w:bottom w:val="dashed" w:sz="4" w:space="0" w:color="auto"/>
            </w:tcBorders>
          </w:tcPr>
          <w:p w14:paraId="0C6341E8" w14:textId="77777777" w:rsidR="003D3694" w:rsidRPr="00747E35" w:rsidRDefault="003D3694" w:rsidP="0096743A">
            <w:pPr>
              <w:pStyle w:val="Tabletext"/>
              <w:spacing w:before="0" w:after="0"/>
              <w:rPr>
                <w:rFonts w:cstheme="minorHAnsi"/>
              </w:rPr>
            </w:pPr>
            <w:r w:rsidRPr="00747E35">
              <w:rPr>
                <w:rFonts w:cstheme="minorHAnsi"/>
              </w:rPr>
              <w:t>0.72</w:t>
            </w:r>
          </w:p>
        </w:tc>
        <w:tc>
          <w:tcPr>
            <w:tcW w:w="677" w:type="dxa"/>
            <w:tcBorders>
              <w:top w:val="dashed" w:sz="4" w:space="0" w:color="auto"/>
              <w:bottom w:val="dashed" w:sz="4" w:space="0" w:color="auto"/>
            </w:tcBorders>
          </w:tcPr>
          <w:p w14:paraId="56E40F96" w14:textId="77777777" w:rsidR="003D3694" w:rsidRPr="00747E35" w:rsidRDefault="003D3694" w:rsidP="0096743A">
            <w:pPr>
              <w:pStyle w:val="Tabletext"/>
              <w:spacing w:before="0" w:after="0"/>
              <w:rPr>
                <w:rFonts w:cstheme="minorHAnsi"/>
              </w:rPr>
            </w:pPr>
            <w:r w:rsidRPr="00747E35">
              <w:rPr>
                <w:rFonts w:cstheme="minorHAnsi"/>
              </w:rPr>
              <w:t>0.83</w:t>
            </w:r>
          </w:p>
        </w:tc>
        <w:tc>
          <w:tcPr>
            <w:tcW w:w="824" w:type="dxa"/>
            <w:tcBorders>
              <w:top w:val="dashed" w:sz="4" w:space="0" w:color="auto"/>
              <w:bottom w:val="dashed" w:sz="4" w:space="0" w:color="auto"/>
            </w:tcBorders>
          </w:tcPr>
          <w:p w14:paraId="0636D113" w14:textId="77777777" w:rsidR="003D3694" w:rsidRPr="00747E35" w:rsidRDefault="003D3694" w:rsidP="0096743A">
            <w:pPr>
              <w:pStyle w:val="Tabletext"/>
              <w:spacing w:before="0" w:after="0"/>
              <w:rPr>
                <w:rFonts w:cstheme="minorHAnsi"/>
              </w:rPr>
            </w:pPr>
            <w:r w:rsidRPr="00747E35">
              <w:rPr>
                <w:rFonts w:cstheme="minorHAnsi"/>
              </w:rPr>
              <w:t>0.2</w:t>
            </w:r>
          </w:p>
        </w:tc>
        <w:tc>
          <w:tcPr>
            <w:tcW w:w="823" w:type="dxa"/>
            <w:tcBorders>
              <w:top w:val="dashed" w:sz="4" w:space="0" w:color="auto"/>
              <w:bottom w:val="dashed" w:sz="4" w:space="0" w:color="auto"/>
            </w:tcBorders>
          </w:tcPr>
          <w:p w14:paraId="7FFF88BC" w14:textId="77777777" w:rsidR="003D3694" w:rsidRPr="00747E35" w:rsidRDefault="003D3694" w:rsidP="0096743A">
            <w:pPr>
              <w:pStyle w:val="Tabletext"/>
              <w:spacing w:before="0" w:after="0"/>
              <w:rPr>
                <w:rFonts w:cstheme="minorHAnsi"/>
              </w:rPr>
            </w:pPr>
            <w:r w:rsidRPr="00747E35">
              <w:rPr>
                <w:rFonts w:cstheme="minorHAnsi"/>
              </w:rPr>
              <w:t>0.03</w:t>
            </w:r>
          </w:p>
        </w:tc>
        <w:tc>
          <w:tcPr>
            <w:tcW w:w="2907" w:type="dxa"/>
            <w:tcBorders>
              <w:top w:val="dashed" w:sz="4" w:space="0" w:color="auto"/>
              <w:bottom w:val="dashed" w:sz="4" w:space="0" w:color="auto"/>
            </w:tcBorders>
          </w:tcPr>
          <w:p w14:paraId="092D9567" w14:textId="77777777" w:rsidR="003D3694" w:rsidRPr="00747E35" w:rsidRDefault="003D3694" w:rsidP="0096743A">
            <w:pPr>
              <w:pStyle w:val="Tabletext"/>
              <w:spacing w:before="0" w:after="0"/>
              <w:rPr>
                <w:rFonts w:cstheme="minorHAnsi"/>
              </w:rPr>
            </w:pPr>
            <w:r w:rsidRPr="00747E35">
              <w:rPr>
                <w:rFonts w:cstheme="minorHAnsi"/>
              </w:rPr>
              <w:t>Strong reliance on periphyton</w:t>
            </w:r>
          </w:p>
        </w:tc>
      </w:tr>
      <w:tr w:rsidR="003D3694" w:rsidRPr="00747E35" w14:paraId="0A8EABE4" w14:textId="77777777" w:rsidTr="0096743A">
        <w:trPr>
          <w:trHeight w:val="117"/>
        </w:trPr>
        <w:tc>
          <w:tcPr>
            <w:tcW w:w="1718" w:type="dxa"/>
            <w:tcBorders>
              <w:top w:val="dashed" w:sz="4" w:space="0" w:color="auto"/>
              <w:bottom w:val="dashed" w:sz="4" w:space="0" w:color="auto"/>
            </w:tcBorders>
          </w:tcPr>
          <w:p w14:paraId="28107BEF" w14:textId="77777777" w:rsidR="003D3694" w:rsidRPr="00747E35" w:rsidRDefault="003D3694" w:rsidP="0096743A">
            <w:pPr>
              <w:pStyle w:val="Tabletext"/>
              <w:spacing w:before="0" w:after="0"/>
              <w:rPr>
                <w:rFonts w:cstheme="minorHAnsi"/>
              </w:rPr>
            </w:pPr>
            <w:r w:rsidRPr="00747E35">
              <w:rPr>
                <w:rFonts w:cstheme="minorHAnsi"/>
              </w:rPr>
              <w:t>Decapoda</w:t>
            </w:r>
          </w:p>
        </w:tc>
        <w:tc>
          <w:tcPr>
            <w:tcW w:w="700" w:type="dxa"/>
            <w:tcBorders>
              <w:top w:val="dashed" w:sz="4" w:space="0" w:color="auto"/>
              <w:bottom w:val="dashed" w:sz="4" w:space="0" w:color="auto"/>
            </w:tcBorders>
          </w:tcPr>
          <w:p w14:paraId="1B6F4E6D" w14:textId="77777777" w:rsidR="003D3694" w:rsidRPr="00747E35" w:rsidRDefault="003D3694" w:rsidP="0096743A">
            <w:pPr>
              <w:pStyle w:val="Tabletext"/>
              <w:spacing w:before="0" w:after="0"/>
              <w:rPr>
                <w:rFonts w:cstheme="minorHAnsi"/>
              </w:rPr>
            </w:pPr>
            <w:r w:rsidRPr="00747E35">
              <w:rPr>
                <w:rFonts w:cstheme="minorHAnsi"/>
              </w:rPr>
              <w:t>Periphyton</w:t>
            </w:r>
          </w:p>
        </w:tc>
        <w:tc>
          <w:tcPr>
            <w:tcW w:w="809" w:type="dxa"/>
            <w:tcBorders>
              <w:top w:val="dashed" w:sz="4" w:space="0" w:color="auto"/>
              <w:bottom w:val="dashed" w:sz="4" w:space="0" w:color="auto"/>
            </w:tcBorders>
          </w:tcPr>
          <w:p w14:paraId="182073D5" w14:textId="77777777" w:rsidR="003D3694" w:rsidRPr="00747E35" w:rsidRDefault="003D3694" w:rsidP="0096743A">
            <w:pPr>
              <w:pStyle w:val="Tabletext"/>
              <w:spacing w:before="0" w:after="0"/>
              <w:rPr>
                <w:rFonts w:cstheme="minorHAnsi"/>
              </w:rPr>
            </w:pPr>
            <w:r w:rsidRPr="00747E35">
              <w:rPr>
                <w:rFonts w:cstheme="minorHAnsi"/>
              </w:rPr>
              <w:t>Wet</w:t>
            </w:r>
          </w:p>
        </w:tc>
        <w:tc>
          <w:tcPr>
            <w:tcW w:w="784" w:type="dxa"/>
            <w:tcBorders>
              <w:top w:val="dashed" w:sz="4" w:space="0" w:color="auto"/>
              <w:bottom w:val="dashed" w:sz="4" w:space="0" w:color="auto"/>
            </w:tcBorders>
          </w:tcPr>
          <w:p w14:paraId="300869C1" w14:textId="77777777" w:rsidR="003D3694" w:rsidRPr="00747E35" w:rsidRDefault="003D3694" w:rsidP="0096743A">
            <w:pPr>
              <w:pStyle w:val="Tabletext"/>
              <w:spacing w:before="0" w:after="0"/>
              <w:rPr>
                <w:rFonts w:cstheme="minorHAnsi"/>
              </w:rPr>
            </w:pPr>
            <w:r w:rsidRPr="00747E35">
              <w:rPr>
                <w:rFonts w:cstheme="minorHAnsi"/>
              </w:rPr>
              <w:t>0.40</w:t>
            </w:r>
          </w:p>
        </w:tc>
        <w:tc>
          <w:tcPr>
            <w:tcW w:w="677" w:type="dxa"/>
            <w:tcBorders>
              <w:top w:val="dashed" w:sz="4" w:space="0" w:color="auto"/>
              <w:bottom w:val="dashed" w:sz="4" w:space="0" w:color="auto"/>
            </w:tcBorders>
          </w:tcPr>
          <w:p w14:paraId="4DCDCD81" w14:textId="77777777" w:rsidR="003D3694" w:rsidRPr="00747E35" w:rsidRDefault="003D3694" w:rsidP="0096743A">
            <w:pPr>
              <w:pStyle w:val="Tabletext"/>
              <w:spacing w:before="0" w:after="0"/>
              <w:rPr>
                <w:rFonts w:cstheme="minorHAnsi"/>
              </w:rPr>
            </w:pPr>
            <w:r w:rsidRPr="00747E35">
              <w:rPr>
                <w:rFonts w:cstheme="minorHAnsi"/>
              </w:rPr>
              <w:t>0.91</w:t>
            </w:r>
          </w:p>
        </w:tc>
        <w:tc>
          <w:tcPr>
            <w:tcW w:w="824" w:type="dxa"/>
            <w:tcBorders>
              <w:top w:val="dashed" w:sz="4" w:space="0" w:color="auto"/>
              <w:bottom w:val="dashed" w:sz="4" w:space="0" w:color="auto"/>
            </w:tcBorders>
          </w:tcPr>
          <w:p w14:paraId="6B51B723" w14:textId="77777777" w:rsidR="003D3694" w:rsidRPr="00747E35" w:rsidRDefault="003D3694" w:rsidP="0096743A">
            <w:pPr>
              <w:pStyle w:val="Tabletext"/>
              <w:spacing w:before="0" w:after="0"/>
              <w:rPr>
                <w:rFonts w:cstheme="minorHAnsi"/>
              </w:rPr>
            </w:pPr>
            <w:r w:rsidRPr="00747E35">
              <w:rPr>
                <w:rFonts w:cstheme="minorHAnsi"/>
              </w:rPr>
              <w:t>0.4</w:t>
            </w:r>
          </w:p>
        </w:tc>
        <w:tc>
          <w:tcPr>
            <w:tcW w:w="823" w:type="dxa"/>
            <w:tcBorders>
              <w:top w:val="dashed" w:sz="4" w:space="0" w:color="auto"/>
              <w:bottom w:val="dashed" w:sz="4" w:space="0" w:color="auto"/>
            </w:tcBorders>
          </w:tcPr>
          <w:p w14:paraId="38EB9B6C" w14:textId="77777777" w:rsidR="003D3694" w:rsidRPr="00747E35" w:rsidRDefault="003D3694" w:rsidP="0096743A">
            <w:pPr>
              <w:pStyle w:val="Tabletext"/>
              <w:spacing w:before="0" w:after="0"/>
              <w:rPr>
                <w:rFonts w:cstheme="minorHAnsi"/>
              </w:rPr>
            </w:pPr>
            <w:r w:rsidRPr="00747E35">
              <w:rPr>
                <w:rFonts w:cstheme="minorHAnsi"/>
              </w:rPr>
              <w:t>0.03</w:t>
            </w:r>
          </w:p>
        </w:tc>
        <w:tc>
          <w:tcPr>
            <w:tcW w:w="2907" w:type="dxa"/>
            <w:tcBorders>
              <w:top w:val="dashed" w:sz="4" w:space="0" w:color="auto"/>
              <w:bottom w:val="dashed" w:sz="4" w:space="0" w:color="auto"/>
            </w:tcBorders>
          </w:tcPr>
          <w:p w14:paraId="41B652AE" w14:textId="77777777" w:rsidR="003D3694" w:rsidRPr="00747E35" w:rsidRDefault="003D3694" w:rsidP="0096743A">
            <w:pPr>
              <w:pStyle w:val="Tabletext"/>
              <w:spacing w:before="0" w:after="0"/>
              <w:rPr>
                <w:rFonts w:cstheme="minorHAnsi"/>
              </w:rPr>
            </w:pPr>
            <w:r w:rsidRPr="00747E35">
              <w:rPr>
                <w:rFonts w:cstheme="minorHAnsi"/>
              </w:rPr>
              <w:t>Strong reliance on periphyton</w:t>
            </w:r>
          </w:p>
        </w:tc>
      </w:tr>
      <w:tr w:rsidR="003D3694" w:rsidRPr="00747E35" w14:paraId="432ABB64" w14:textId="77777777" w:rsidTr="0096743A">
        <w:trPr>
          <w:trHeight w:val="117"/>
        </w:trPr>
        <w:tc>
          <w:tcPr>
            <w:tcW w:w="1718" w:type="dxa"/>
            <w:tcBorders>
              <w:top w:val="dashed" w:sz="4" w:space="0" w:color="auto"/>
              <w:bottom w:val="dashed" w:sz="4" w:space="0" w:color="auto"/>
            </w:tcBorders>
          </w:tcPr>
          <w:p w14:paraId="1E64F2AB" w14:textId="77777777" w:rsidR="003D3694" w:rsidRPr="00747E35" w:rsidRDefault="003D3694" w:rsidP="0096743A">
            <w:pPr>
              <w:pStyle w:val="Tabletext"/>
              <w:spacing w:before="0" w:after="0"/>
              <w:rPr>
                <w:rFonts w:cstheme="minorHAnsi"/>
              </w:rPr>
            </w:pPr>
            <w:r w:rsidRPr="00747E35">
              <w:rPr>
                <w:rFonts w:cstheme="minorHAnsi"/>
              </w:rPr>
              <w:t>Fish</w:t>
            </w:r>
          </w:p>
        </w:tc>
        <w:tc>
          <w:tcPr>
            <w:tcW w:w="700" w:type="dxa"/>
            <w:tcBorders>
              <w:top w:val="dashed" w:sz="4" w:space="0" w:color="auto"/>
              <w:bottom w:val="dashed" w:sz="4" w:space="0" w:color="auto"/>
            </w:tcBorders>
          </w:tcPr>
          <w:p w14:paraId="21BE3D60" w14:textId="77777777" w:rsidR="003D3694" w:rsidRPr="00747E35" w:rsidRDefault="003D3694" w:rsidP="0096743A">
            <w:pPr>
              <w:pStyle w:val="Tabletext"/>
              <w:spacing w:before="0" w:after="0"/>
              <w:rPr>
                <w:rFonts w:cstheme="minorHAnsi"/>
              </w:rPr>
            </w:pPr>
            <w:r w:rsidRPr="00747E35">
              <w:rPr>
                <w:rFonts w:cstheme="minorHAnsi"/>
              </w:rPr>
              <w:t>Periphyton</w:t>
            </w:r>
          </w:p>
        </w:tc>
        <w:tc>
          <w:tcPr>
            <w:tcW w:w="809" w:type="dxa"/>
            <w:tcBorders>
              <w:top w:val="dashed" w:sz="4" w:space="0" w:color="auto"/>
              <w:bottom w:val="dashed" w:sz="4" w:space="0" w:color="auto"/>
            </w:tcBorders>
          </w:tcPr>
          <w:p w14:paraId="1A4548A5" w14:textId="77777777" w:rsidR="003D3694" w:rsidRPr="00747E35" w:rsidRDefault="003D3694" w:rsidP="0096743A">
            <w:pPr>
              <w:pStyle w:val="Tabletext"/>
              <w:spacing w:before="0" w:after="0"/>
              <w:rPr>
                <w:rFonts w:cstheme="minorHAnsi"/>
              </w:rPr>
            </w:pPr>
            <w:r w:rsidRPr="00747E35">
              <w:rPr>
                <w:rFonts w:cstheme="minorHAnsi"/>
              </w:rPr>
              <w:t>Wet</w:t>
            </w:r>
          </w:p>
        </w:tc>
        <w:tc>
          <w:tcPr>
            <w:tcW w:w="784" w:type="dxa"/>
            <w:tcBorders>
              <w:top w:val="dashed" w:sz="4" w:space="0" w:color="auto"/>
              <w:bottom w:val="dashed" w:sz="4" w:space="0" w:color="auto"/>
            </w:tcBorders>
          </w:tcPr>
          <w:p w14:paraId="6F00A154" w14:textId="77777777" w:rsidR="003D3694" w:rsidRPr="00747E35" w:rsidRDefault="003D3694" w:rsidP="0096743A">
            <w:pPr>
              <w:pStyle w:val="Tabletext"/>
              <w:spacing w:before="0" w:after="0"/>
              <w:rPr>
                <w:rFonts w:cstheme="minorHAnsi"/>
              </w:rPr>
            </w:pPr>
            <w:r w:rsidRPr="00747E35">
              <w:rPr>
                <w:rFonts w:cstheme="minorHAnsi"/>
              </w:rPr>
              <w:t>0.54</w:t>
            </w:r>
          </w:p>
        </w:tc>
        <w:tc>
          <w:tcPr>
            <w:tcW w:w="677" w:type="dxa"/>
            <w:tcBorders>
              <w:top w:val="dashed" w:sz="4" w:space="0" w:color="auto"/>
              <w:bottom w:val="dashed" w:sz="4" w:space="0" w:color="auto"/>
            </w:tcBorders>
          </w:tcPr>
          <w:p w14:paraId="063A06FC" w14:textId="77777777" w:rsidR="003D3694" w:rsidRPr="00747E35" w:rsidRDefault="003D3694" w:rsidP="0096743A">
            <w:pPr>
              <w:pStyle w:val="Tabletext"/>
              <w:spacing w:before="0" w:after="0"/>
              <w:rPr>
                <w:rFonts w:cstheme="minorHAnsi"/>
              </w:rPr>
            </w:pPr>
            <w:r w:rsidRPr="00747E35">
              <w:rPr>
                <w:rFonts w:cstheme="minorHAnsi"/>
              </w:rPr>
              <w:t>0.69</w:t>
            </w:r>
          </w:p>
        </w:tc>
        <w:tc>
          <w:tcPr>
            <w:tcW w:w="824" w:type="dxa"/>
            <w:tcBorders>
              <w:top w:val="dashed" w:sz="4" w:space="0" w:color="auto"/>
              <w:bottom w:val="dashed" w:sz="4" w:space="0" w:color="auto"/>
            </w:tcBorders>
          </w:tcPr>
          <w:p w14:paraId="7B2AA193" w14:textId="77777777" w:rsidR="003D3694" w:rsidRPr="00747E35" w:rsidRDefault="003D3694" w:rsidP="0096743A">
            <w:pPr>
              <w:pStyle w:val="Tabletext"/>
              <w:spacing w:before="0" w:after="0"/>
              <w:rPr>
                <w:rFonts w:cstheme="minorHAnsi"/>
              </w:rPr>
            </w:pPr>
            <w:r w:rsidRPr="00747E35">
              <w:rPr>
                <w:rFonts w:cstheme="minorHAnsi"/>
              </w:rPr>
              <w:t>0.1</w:t>
            </w:r>
          </w:p>
        </w:tc>
        <w:tc>
          <w:tcPr>
            <w:tcW w:w="823" w:type="dxa"/>
            <w:tcBorders>
              <w:top w:val="dashed" w:sz="4" w:space="0" w:color="auto"/>
              <w:bottom w:val="dashed" w:sz="4" w:space="0" w:color="auto"/>
            </w:tcBorders>
          </w:tcPr>
          <w:p w14:paraId="2D856ECD" w14:textId="77777777" w:rsidR="003D3694" w:rsidRPr="00747E35" w:rsidRDefault="003D3694" w:rsidP="0096743A">
            <w:pPr>
              <w:pStyle w:val="Tabletext"/>
              <w:spacing w:before="0" w:after="0"/>
              <w:rPr>
                <w:rFonts w:cstheme="minorHAnsi"/>
              </w:rPr>
            </w:pPr>
            <w:r w:rsidRPr="00747E35">
              <w:rPr>
                <w:rFonts w:cstheme="minorHAnsi"/>
              </w:rPr>
              <w:t>0.08</w:t>
            </w:r>
          </w:p>
        </w:tc>
        <w:tc>
          <w:tcPr>
            <w:tcW w:w="2907" w:type="dxa"/>
            <w:tcBorders>
              <w:top w:val="dashed" w:sz="4" w:space="0" w:color="auto"/>
              <w:bottom w:val="dashed" w:sz="4" w:space="0" w:color="auto"/>
            </w:tcBorders>
          </w:tcPr>
          <w:p w14:paraId="72F8859D" w14:textId="77777777" w:rsidR="003D3694" w:rsidRPr="00747E35" w:rsidRDefault="003D3694" w:rsidP="0096743A">
            <w:pPr>
              <w:pStyle w:val="Tabletext"/>
              <w:spacing w:before="0" w:after="0"/>
              <w:rPr>
                <w:rFonts w:cstheme="minorHAnsi"/>
              </w:rPr>
            </w:pPr>
            <w:r w:rsidRPr="00747E35">
              <w:rPr>
                <w:rFonts w:cstheme="minorHAnsi"/>
              </w:rPr>
              <w:t>Unresolved</w:t>
            </w:r>
          </w:p>
        </w:tc>
      </w:tr>
      <w:tr w:rsidR="003D3694" w:rsidRPr="00747E35" w14:paraId="3AFB4AE5" w14:textId="77777777" w:rsidTr="0096743A">
        <w:trPr>
          <w:trHeight w:val="117"/>
        </w:trPr>
        <w:tc>
          <w:tcPr>
            <w:tcW w:w="1718" w:type="dxa"/>
            <w:tcBorders>
              <w:top w:val="dashed" w:sz="4" w:space="0" w:color="auto"/>
              <w:bottom w:val="dashed" w:sz="4" w:space="0" w:color="auto"/>
            </w:tcBorders>
          </w:tcPr>
          <w:p w14:paraId="5963BFC5" w14:textId="77777777" w:rsidR="003D3694" w:rsidRPr="00747E35" w:rsidRDefault="003D3694" w:rsidP="0096743A">
            <w:pPr>
              <w:pStyle w:val="Tabletext"/>
              <w:spacing w:before="0" w:after="0"/>
              <w:rPr>
                <w:rFonts w:cstheme="minorHAnsi"/>
              </w:rPr>
            </w:pPr>
            <w:r w:rsidRPr="00747E35">
              <w:rPr>
                <w:rFonts w:cstheme="minorHAnsi"/>
              </w:rPr>
              <w:t>Fish</w:t>
            </w:r>
          </w:p>
        </w:tc>
        <w:tc>
          <w:tcPr>
            <w:tcW w:w="700" w:type="dxa"/>
            <w:tcBorders>
              <w:top w:val="dashed" w:sz="4" w:space="0" w:color="auto"/>
              <w:bottom w:val="dashed" w:sz="4" w:space="0" w:color="auto"/>
            </w:tcBorders>
          </w:tcPr>
          <w:p w14:paraId="62C0DD9A" w14:textId="77777777" w:rsidR="003D3694" w:rsidRPr="00747E35" w:rsidRDefault="003D3694" w:rsidP="0096743A">
            <w:pPr>
              <w:pStyle w:val="Tabletext"/>
              <w:spacing w:before="0" w:after="0"/>
              <w:rPr>
                <w:rFonts w:cstheme="minorHAnsi"/>
              </w:rPr>
            </w:pPr>
            <w:r w:rsidRPr="00747E35">
              <w:rPr>
                <w:rFonts w:cstheme="minorHAnsi"/>
              </w:rPr>
              <w:t>Decapoda</w:t>
            </w:r>
          </w:p>
        </w:tc>
        <w:tc>
          <w:tcPr>
            <w:tcW w:w="809" w:type="dxa"/>
            <w:tcBorders>
              <w:top w:val="dashed" w:sz="4" w:space="0" w:color="auto"/>
              <w:bottom w:val="dashed" w:sz="4" w:space="0" w:color="auto"/>
            </w:tcBorders>
          </w:tcPr>
          <w:p w14:paraId="1C025283" w14:textId="77777777" w:rsidR="003D3694" w:rsidRPr="00747E35" w:rsidRDefault="003D3694" w:rsidP="0096743A">
            <w:pPr>
              <w:pStyle w:val="Tabletext"/>
              <w:spacing w:before="0" w:after="0"/>
              <w:rPr>
                <w:rFonts w:cstheme="minorHAnsi"/>
              </w:rPr>
            </w:pPr>
            <w:r w:rsidRPr="00747E35">
              <w:rPr>
                <w:rFonts w:cstheme="minorHAnsi"/>
              </w:rPr>
              <w:t>Wet</w:t>
            </w:r>
          </w:p>
        </w:tc>
        <w:tc>
          <w:tcPr>
            <w:tcW w:w="784" w:type="dxa"/>
            <w:tcBorders>
              <w:top w:val="dashed" w:sz="4" w:space="0" w:color="auto"/>
              <w:bottom w:val="dashed" w:sz="4" w:space="0" w:color="auto"/>
            </w:tcBorders>
          </w:tcPr>
          <w:p w14:paraId="20241ED8" w14:textId="77777777" w:rsidR="003D3694" w:rsidRPr="00747E35" w:rsidRDefault="003D3694" w:rsidP="0096743A">
            <w:pPr>
              <w:pStyle w:val="Tabletext"/>
              <w:spacing w:before="0" w:after="0"/>
              <w:rPr>
                <w:rFonts w:cstheme="minorHAnsi"/>
              </w:rPr>
            </w:pPr>
            <w:r w:rsidRPr="00747E35">
              <w:rPr>
                <w:rFonts w:cstheme="minorHAnsi"/>
              </w:rPr>
              <w:t>1.4</w:t>
            </w:r>
          </w:p>
        </w:tc>
        <w:tc>
          <w:tcPr>
            <w:tcW w:w="677" w:type="dxa"/>
            <w:tcBorders>
              <w:top w:val="dashed" w:sz="4" w:space="0" w:color="auto"/>
              <w:bottom w:val="dashed" w:sz="4" w:space="0" w:color="auto"/>
            </w:tcBorders>
          </w:tcPr>
          <w:p w14:paraId="24C0013D" w14:textId="77777777" w:rsidR="003D3694" w:rsidRPr="00747E35" w:rsidRDefault="003D3694" w:rsidP="0096743A">
            <w:pPr>
              <w:pStyle w:val="Tabletext"/>
              <w:spacing w:before="0" w:after="0"/>
              <w:rPr>
                <w:rFonts w:cstheme="minorHAnsi"/>
              </w:rPr>
            </w:pPr>
            <w:r w:rsidRPr="00747E35">
              <w:rPr>
                <w:rFonts w:cstheme="minorHAnsi"/>
              </w:rPr>
              <w:t>0.82</w:t>
            </w:r>
          </w:p>
        </w:tc>
        <w:tc>
          <w:tcPr>
            <w:tcW w:w="824" w:type="dxa"/>
            <w:tcBorders>
              <w:top w:val="dashed" w:sz="4" w:space="0" w:color="auto"/>
              <w:bottom w:val="dashed" w:sz="4" w:space="0" w:color="auto"/>
            </w:tcBorders>
          </w:tcPr>
          <w:p w14:paraId="74FC408C" w14:textId="77777777" w:rsidR="003D3694" w:rsidRPr="00747E35" w:rsidRDefault="003D3694" w:rsidP="0096743A">
            <w:pPr>
              <w:pStyle w:val="Tabletext"/>
              <w:spacing w:before="0" w:after="0"/>
              <w:rPr>
                <w:rFonts w:cstheme="minorHAnsi"/>
              </w:rPr>
            </w:pPr>
            <w:r w:rsidRPr="00747E35">
              <w:rPr>
                <w:rFonts w:cstheme="minorHAnsi"/>
              </w:rPr>
              <w:t>0.4</w:t>
            </w:r>
          </w:p>
        </w:tc>
        <w:tc>
          <w:tcPr>
            <w:tcW w:w="823" w:type="dxa"/>
            <w:tcBorders>
              <w:top w:val="dashed" w:sz="4" w:space="0" w:color="auto"/>
              <w:bottom w:val="dashed" w:sz="4" w:space="0" w:color="auto"/>
            </w:tcBorders>
          </w:tcPr>
          <w:p w14:paraId="0C452E54" w14:textId="77777777" w:rsidR="003D3694" w:rsidRPr="00747E35" w:rsidRDefault="003D3694" w:rsidP="0096743A">
            <w:pPr>
              <w:pStyle w:val="Tabletext"/>
              <w:spacing w:before="0" w:after="0"/>
              <w:rPr>
                <w:rFonts w:cstheme="minorHAnsi"/>
              </w:rPr>
            </w:pPr>
            <w:r w:rsidRPr="00747E35">
              <w:rPr>
                <w:rFonts w:cstheme="minorHAnsi"/>
              </w:rPr>
              <w:t>0.03</w:t>
            </w:r>
          </w:p>
        </w:tc>
        <w:tc>
          <w:tcPr>
            <w:tcW w:w="2907" w:type="dxa"/>
            <w:tcBorders>
              <w:top w:val="dashed" w:sz="4" w:space="0" w:color="auto"/>
              <w:bottom w:val="dashed" w:sz="4" w:space="0" w:color="auto"/>
            </w:tcBorders>
          </w:tcPr>
          <w:p w14:paraId="550EFC8B" w14:textId="77777777" w:rsidR="003D3694" w:rsidRPr="00747E35" w:rsidRDefault="003D3694" w:rsidP="0096743A">
            <w:pPr>
              <w:pStyle w:val="Tabletext"/>
              <w:spacing w:before="0" w:after="0"/>
              <w:rPr>
                <w:rFonts w:cstheme="minorHAnsi"/>
              </w:rPr>
            </w:pPr>
            <w:r w:rsidRPr="00747E35">
              <w:rPr>
                <w:rFonts w:cstheme="minorHAnsi"/>
              </w:rPr>
              <w:t>Strong reliance on decapods</w:t>
            </w:r>
          </w:p>
        </w:tc>
      </w:tr>
      <w:tr w:rsidR="003D3694" w:rsidRPr="00747E35" w14:paraId="5EEB39AA" w14:textId="77777777" w:rsidTr="0096743A">
        <w:trPr>
          <w:trHeight w:val="117"/>
        </w:trPr>
        <w:tc>
          <w:tcPr>
            <w:tcW w:w="1718" w:type="dxa"/>
            <w:tcBorders>
              <w:top w:val="dashed" w:sz="4" w:space="0" w:color="auto"/>
              <w:bottom w:val="dashed" w:sz="4" w:space="0" w:color="auto"/>
            </w:tcBorders>
          </w:tcPr>
          <w:p w14:paraId="55750A55" w14:textId="77777777" w:rsidR="003D3694" w:rsidRPr="00747E35" w:rsidRDefault="003D3694" w:rsidP="0096743A">
            <w:pPr>
              <w:pStyle w:val="Tabletext"/>
              <w:spacing w:before="0" w:after="0"/>
              <w:rPr>
                <w:rFonts w:cstheme="minorHAnsi"/>
              </w:rPr>
            </w:pPr>
            <w:r w:rsidRPr="00747E35">
              <w:rPr>
                <w:rFonts w:cstheme="minorHAnsi"/>
              </w:rPr>
              <w:t>Primary consumer  (Ephemeroptera)</w:t>
            </w:r>
          </w:p>
        </w:tc>
        <w:tc>
          <w:tcPr>
            <w:tcW w:w="700" w:type="dxa"/>
            <w:tcBorders>
              <w:top w:val="dashed" w:sz="4" w:space="0" w:color="auto"/>
              <w:bottom w:val="dashed" w:sz="4" w:space="0" w:color="auto"/>
            </w:tcBorders>
          </w:tcPr>
          <w:p w14:paraId="061A423D" w14:textId="77777777" w:rsidR="003D3694" w:rsidRPr="00747E35" w:rsidRDefault="003D3694" w:rsidP="0096743A">
            <w:pPr>
              <w:pStyle w:val="Tabletext"/>
              <w:spacing w:before="0" w:after="0"/>
              <w:rPr>
                <w:rFonts w:cstheme="minorHAnsi"/>
              </w:rPr>
            </w:pPr>
            <w:r w:rsidRPr="00747E35">
              <w:rPr>
                <w:rFonts w:cstheme="minorHAnsi"/>
              </w:rPr>
              <w:t>Periphyton</w:t>
            </w:r>
          </w:p>
        </w:tc>
        <w:tc>
          <w:tcPr>
            <w:tcW w:w="809" w:type="dxa"/>
            <w:tcBorders>
              <w:top w:val="dashed" w:sz="4" w:space="0" w:color="auto"/>
              <w:bottom w:val="dashed" w:sz="4" w:space="0" w:color="auto"/>
            </w:tcBorders>
          </w:tcPr>
          <w:p w14:paraId="386BCC18" w14:textId="77777777" w:rsidR="003D3694" w:rsidRPr="00747E35" w:rsidRDefault="003D3694" w:rsidP="0096743A">
            <w:pPr>
              <w:pStyle w:val="Tabletext"/>
              <w:spacing w:before="0" w:after="0"/>
              <w:rPr>
                <w:rFonts w:cstheme="minorHAnsi"/>
              </w:rPr>
            </w:pPr>
            <w:r w:rsidRPr="00747E35">
              <w:rPr>
                <w:rFonts w:cstheme="minorHAnsi"/>
              </w:rPr>
              <w:t>Dry</w:t>
            </w:r>
          </w:p>
        </w:tc>
        <w:tc>
          <w:tcPr>
            <w:tcW w:w="784" w:type="dxa"/>
            <w:tcBorders>
              <w:top w:val="dashed" w:sz="4" w:space="0" w:color="auto"/>
              <w:bottom w:val="dashed" w:sz="4" w:space="0" w:color="auto"/>
            </w:tcBorders>
          </w:tcPr>
          <w:p w14:paraId="1A817576" w14:textId="77777777" w:rsidR="003D3694" w:rsidRPr="00747E35" w:rsidRDefault="003D3694" w:rsidP="0096743A">
            <w:pPr>
              <w:pStyle w:val="Tabletext"/>
              <w:spacing w:before="0" w:after="0"/>
              <w:rPr>
                <w:rFonts w:cstheme="minorHAnsi"/>
              </w:rPr>
            </w:pPr>
            <w:r w:rsidRPr="00747E35">
              <w:rPr>
                <w:rFonts w:cstheme="minorHAnsi"/>
              </w:rPr>
              <w:t>0.05</w:t>
            </w:r>
          </w:p>
        </w:tc>
        <w:tc>
          <w:tcPr>
            <w:tcW w:w="677" w:type="dxa"/>
            <w:tcBorders>
              <w:top w:val="dashed" w:sz="4" w:space="0" w:color="auto"/>
              <w:bottom w:val="dashed" w:sz="4" w:space="0" w:color="auto"/>
            </w:tcBorders>
          </w:tcPr>
          <w:p w14:paraId="7383E0F1" w14:textId="77777777" w:rsidR="003D3694" w:rsidRPr="00747E35" w:rsidRDefault="003D3694" w:rsidP="0096743A">
            <w:pPr>
              <w:pStyle w:val="Tabletext"/>
              <w:spacing w:before="0" w:after="0"/>
              <w:rPr>
                <w:rFonts w:cstheme="minorHAnsi"/>
              </w:rPr>
            </w:pPr>
            <w:r w:rsidRPr="00747E35">
              <w:rPr>
                <w:rFonts w:cstheme="minorHAnsi"/>
              </w:rPr>
              <w:t>0.002</w:t>
            </w:r>
          </w:p>
        </w:tc>
        <w:tc>
          <w:tcPr>
            <w:tcW w:w="824" w:type="dxa"/>
            <w:tcBorders>
              <w:top w:val="dashed" w:sz="4" w:space="0" w:color="auto"/>
              <w:bottom w:val="dashed" w:sz="4" w:space="0" w:color="auto"/>
            </w:tcBorders>
          </w:tcPr>
          <w:p w14:paraId="25597CC8" w14:textId="77777777" w:rsidR="003D3694" w:rsidRPr="00747E35" w:rsidRDefault="003D3694" w:rsidP="0096743A">
            <w:pPr>
              <w:pStyle w:val="Tabletext"/>
              <w:spacing w:before="0" w:after="0"/>
              <w:rPr>
                <w:rFonts w:cstheme="minorHAnsi"/>
              </w:rPr>
            </w:pPr>
            <w:r w:rsidRPr="00747E35">
              <w:rPr>
                <w:rFonts w:cstheme="minorHAnsi"/>
              </w:rPr>
              <w:t>NA</w:t>
            </w:r>
          </w:p>
        </w:tc>
        <w:tc>
          <w:tcPr>
            <w:tcW w:w="823" w:type="dxa"/>
            <w:tcBorders>
              <w:top w:val="dashed" w:sz="4" w:space="0" w:color="auto"/>
              <w:bottom w:val="dashed" w:sz="4" w:space="0" w:color="auto"/>
            </w:tcBorders>
          </w:tcPr>
          <w:p w14:paraId="7514C89D" w14:textId="77777777" w:rsidR="003D3694" w:rsidRPr="00747E35" w:rsidRDefault="003D3694" w:rsidP="0096743A">
            <w:pPr>
              <w:pStyle w:val="Tabletext"/>
              <w:spacing w:before="0" w:after="0"/>
              <w:rPr>
                <w:rFonts w:cstheme="minorHAnsi"/>
              </w:rPr>
            </w:pPr>
            <w:r w:rsidRPr="00747E35">
              <w:rPr>
                <w:rFonts w:cstheme="minorHAnsi"/>
              </w:rPr>
              <w:t>NA</w:t>
            </w:r>
          </w:p>
        </w:tc>
        <w:tc>
          <w:tcPr>
            <w:tcW w:w="2907" w:type="dxa"/>
            <w:tcBorders>
              <w:top w:val="dashed" w:sz="4" w:space="0" w:color="auto"/>
              <w:bottom w:val="dashed" w:sz="4" w:space="0" w:color="auto"/>
            </w:tcBorders>
          </w:tcPr>
          <w:p w14:paraId="39612593" w14:textId="77777777" w:rsidR="003D3694" w:rsidRPr="00747E35" w:rsidRDefault="003D3694" w:rsidP="0096743A">
            <w:pPr>
              <w:pStyle w:val="Tabletext"/>
              <w:spacing w:before="0" w:after="0"/>
              <w:rPr>
                <w:rFonts w:cstheme="minorHAnsi"/>
              </w:rPr>
            </w:pPr>
            <w:r w:rsidRPr="00747E35">
              <w:rPr>
                <w:rFonts w:cstheme="minorHAnsi"/>
              </w:rPr>
              <w:t>Unresolved</w:t>
            </w:r>
          </w:p>
        </w:tc>
      </w:tr>
      <w:tr w:rsidR="003D3694" w:rsidRPr="00747E35" w14:paraId="77AA3DAE" w14:textId="77777777" w:rsidTr="0096743A">
        <w:trPr>
          <w:trHeight w:val="117"/>
        </w:trPr>
        <w:tc>
          <w:tcPr>
            <w:tcW w:w="1718" w:type="dxa"/>
            <w:tcBorders>
              <w:top w:val="dashed" w:sz="4" w:space="0" w:color="auto"/>
              <w:bottom w:val="dashed" w:sz="4" w:space="0" w:color="auto"/>
            </w:tcBorders>
          </w:tcPr>
          <w:p w14:paraId="0110109E" w14:textId="77777777" w:rsidR="003D3694" w:rsidRPr="00747E35" w:rsidRDefault="003D3694" w:rsidP="0096743A">
            <w:pPr>
              <w:pStyle w:val="Tabletext"/>
              <w:spacing w:before="0" w:after="0"/>
              <w:rPr>
                <w:rFonts w:cstheme="minorHAnsi"/>
              </w:rPr>
            </w:pPr>
            <w:r w:rsidRPr="00747E35">
              <w:rPr>
                <w:rFonts w:cstheme="minorHAnsi"/>
              </w:rPr>
              <w:t>Primary consumer  (Trichoptera)</w:t>
            </w:r>
          </w:p>
        </w:tc>
        <w:tc>
          <w:tcPr>
            <w:tcW w:w="700" w:type="dxa"/>
            <w:tcBorders>
              <w:top w:val="dashed" w:sz="4" w:space="0" w:color="auto"/>
              <w:bottom w:val="dashed" w:sz="4" w:space="0" w:color="auto"/>
            </w:tcBorders>
          </w:tcPr>
          <w:p w14:paraId="605A396A" w14:textId="77777777" w:rsidR="003D3694" w:rsidRPr="00747E35" w:rsidRDefault="003D3694" w:rsidP="0096743A">
            <w:pPr>
              <w:pStyle w:val="Tabletext"/>
              <w:spacing w:before="0" w:after="0"/>
              <w:rPr>
                <w:rFonts w:cstheme="minorHAnsi"/>
              </w:rPr>
            </w:pPr>
            <w:r w:rsidRPr="00747E35">
              <w:rPr>
                <w:rFonts w:cstheme="minorHAnsi"/>
              </w:rPr>
              <w:t>Periphyton</w:t>
            </w:r>
          </w:p>
        </w:tc>
        <w:tc>
          <w:tcPr>
            <w:tcW w:w="809" w:type="dxa"/>
            <w:tcBorders>
              <w:top w:val="dashed" w:sz="4" w:space="0" w:color="auto"/>
              <w:bottom w:val="dashed" w:sz="4" w:space="0" w:color="auto"/>
            </w:tcBorders>
          </w:tcPr>
          <w:p w14:paraId="0059844F" w14:textId="77777777" w:rsidR="003D3694" w:rsidRPr="00747E35" w:rsidRDefault="003D3694" w:rsidP="0096743A">
            <w:pPr>
              <w:pStyle w:val="Tabletext"/>
              <w:spacing w:before="0" w:after="0"/>
              <w:rPr>
                <w:rFonts w:cstheme="minorHAnsi"/>
              </w:rPr>
            </w:pPr>
            <w:r w:rsidRPr="00747E35">
              <w:rPr>
                <w:rFonts w:cstheme="minorHAnsi"/>
              </w:rPr>
              <w:t>Dry</w:t>
            </w:r>
          </w:p>
        </w:tc>
        <w:tc>
          <w:tcPr>
            <w:tcW w:w="784" w:type="dxa"/>
            <w:tcBorders>
              <w:top w:val="dashed" w:sz="4" w:space="0" w:color="auto"/>
              <w:bottom w:val="dashed" w:sz="4" w:space="0" w:color="auto"/>
            </w:tcBorders>
          </w:tcPr>
          <w:p w14:paraId="05357FC1" w14:textId="77777777" w:rsidR="003D3694" w:rsidRPr="00747E35" w:rsidRDefault="003D3694" w:rsidP="0096743A">
            <w:pPr>
              <w:pStyle w:val="Tabletext"/>
              <w:spacing w:before="0" w:after="0"/>
              <w:rPr>
                <w:rFonts w:cstheme="minorHAnsi"/>
              </w:rPr>
            </w:pPr>
            <w:r w:rsidRPr="00747E35">
              <w:rPr>
                <w:rFonts w:cstheme="minorHAnsi"/>
              </w:rPr>
              <w:t>1.0</w:t>
            </w:r>
          </w:p>
        </w:tc>
        <w:tc>
          <w:tcPr>
            <w:tcW w:w="677" w:type="dxa"/>
            <w:tcBorders>
              <w:top w:val="dashed" w:sz="4" w:space="0" w:color="auto"/>
              <w:bottom w:val="dashed" w:sz="4" w:space="0" w:color="auto"/>
            </w:tcBorders>
          </w:tcPr>
          <w:p w14:paraId="7072B34D" w14:textId="77777777" w:rsidR="003D3694" w:rsidRPr="00747E35" w:rsidRDefault="003D3694" w:rsidP="0096743A">
            <w:pPr>
              <w:pStyle w:val="Tabletext"/>
              <w:spacing w:before="0" w:after="0"/>
              <w:rPr>
                <w:rFonts w:cstheme="minorHAnsi"/>
              </w:rPr>
            </w:pPr>
            <w:r w:rsidRPr="00747E35">
              <w:rPr>
                <w:rFonts w:cstheme="minorHAnsi"/>
              </w:rPr>
              <w:t>0.72</w:t>
            </w:r>
          </w:p>
        </w:tc>
        <w:tc>
          <w:tcPr>
            <w:tcW w:w="824" w:type="dxa"/>
            <w:tcBorders>
              <w:top w:val="dashed" w:sz="4" w:space="0" w:color="auto"/>
              <w:bottom w:val="dashed" w:sz="4" w:space="0" w:color="auto"/>
            </w:tcBorders>
          </w:tcPr>
          <w:p w14:paraId="7B559547" w14:textId="77777777" w:rsidR="003D3694" w:rsidRPr="00747E35" w:rsidRDefault="003D3694" w:rsidP="0096743A">
            <w:pPr>
              <w:pStyle w:val="Tabletext"/>
              <w:spacing w:before="0" w:after="0"/>
              <w:rPr>
                <w:rFonts w:cstheme="minorHAnsi"/>
              </w:rPr>
            </w:pPr>
            <w:r w:rsidRPr="00747E35">
              <w:rPr>
                <w:rFonts w:cstheme="minorHAnsi"/>
              </w:rPr>
              <w:t>NA</w:t>
            </w:r>
          </w:p>
        </w:tc>
        <w:tc>
          <w:tcPr>
            <w:tcW w:w="823" w:type="dxa"/>
            <w:tcBorders>
              <w:top w:val="dashed" w:sz="4" w:space="0" w:color="auto"/>
              <w:bottom w:val="dashed" w:sz="4" w:space="0" w:color="auto"/>
            </w:tcBorders>
          </w:tcPr>
          <w:p w14:paraId="1D4CCC0A" w14:textId="77777777" w:rsidR="003D3694" w:rsidRPr="00747E35" w:rsidRDefault="003D3694" w:rsidP="0096743A">
            <w:pPr>
              <w:pStyle w:val="Tabletext"/>
              <w:spacing w:before="0" w:after="0"/>
              <w:rPr>
                <w:rFonts w:cstheme="minorHAnsi"/>
              </w:rPr>
            </w:pPr>
            <w:r w:rsidRPr="00747E35">
              <w:rPr>
                <w:rFonts w:cstheme="minorHAnsi"/>
              </w:rPr>
              <w:t>NA</w:t>
            </w:r>
          </w:p>
        </w:tc>
        <w:tc>
          <w:tcPr>
            <w:tcW w:w="2907" w:type="dxa"/>
            <w:tcBorders>
              <w:top w:val="dashed" w:sz="4" w:space="0" w:color="auto"/>
              <w:bottom w:val="dashed" w:sz="4" w:space="0" w:color="auto"/>
            </w:tcBorders>
          </w:tcPr>
          <w:p w14:paraId="263C703B" w14:textId="77777777" w:rsidR="003D3694" w:rsidRPr="00747E35" w:rsidRDefault="003D3694" w:rsidP="0096743A">
            <w:pPr>
              <w:pStyle w:val="Tabletext"/>
              <w:spacing w:before="0" w:after="0"/>
              <w:rPr>
                <w:rFonts w:cstheme="minorHAnsi"/>
              </w:rPr>
            </w:pPr>
            <w:r w:rsidRPr="00747E35">
              <w:rPr>
                <w:rFonts w:cstheme="minorHAnsi"/>
              </w:rPr>
              <w:t>Unresolved</w:t>
            </w:r>
          </w:p>
        </w:tc>
      </w:tr>
      <w:tr w:rsidR="003D3694" w:rsidRPr="00747E35" w14:paraId="40CEAAF5" w14:textId="77777777" w:rsidTr="0096743A">
        <w:trPr>
          <w:trHeight w:val="117"/>
        </w:trPr>
        <w:tc>
          <w:tcPr>
            <w:tcW w:w="1718" w:type="dxa"/>
            <w:tcBorders>
              <w:top w:val="dashed" w:sz="4" w:space="0" w:color="auto"/>
              <w:bottom w:val="dashed" w:sz="4" w:space="0" w:color="auto"/>
            </w:tcBorders>
          </w:tcPr>
          <w:p w14:paraId="590D2988" w14:textId="77777777" w:rsidR="003D3694" w:rsidRPr="00747E35" w:rsidRDefault="003D3694" w:rsidP="0096743A">
            <w:pPr>
              <w:pStyle w:val="Tabletext"/>
              <w:spacing w:before="0" w:after="0"/>
              <w:rPr>
                <w:rFonts w:cstheme="minorHAnsi"/>
              </w:rPr>
            </w:pPr>
            <w:r w:rsidRPr="00747E35">
              <w:rPr>
                <w:rFonts w:cstheme="minorHAnsi"/>
              </w:rPr>
              <w:t>Secondary consumer (Predatory macroinvertebrates)</w:t>
            </w:r>
          </w:p>
        </w:tc>
        <w:tc>
          <w:tcPr>
            <w:tcW w:w="700" w:type="dxa"/>
            <w:tcBorders>
              <w:top w:val="dashed" w:sz="4" w:space="0" w:color="auto"/>
              <w:bottom w:val="dashed" w:sz="4" w:space="0" w:color="auto"/>
            </w:tcBorders>
          </w:tcPr>
          <w:p w14:paraId="68FF20D8" w14:textId="77777777" w:rsidR="003D3694" w:rsidRPr="00747E35" w:rsidRDefault="003D3694" w:rsidP="0096743A">
            <w:pPr>
              <w:pStyle w:val="Tabletext"/>
              <w:spacing w:before="0" w:after="0"/>
              <w:rPr>
                <w:rFonts w:cstheme="minorHAnsi"/>
              </w:rPr>
            </w:pPr>
            <w:r w:rsidRPr="00747E35">
              <w:rPr>
                <w:rFonts w:cstheme="minorHAnsi"/>
              </w:rPr>
              <w:t>Periphyton</w:t>
            </w:r>
          </w:p>
        </w:tc>
        <w:tc>
          <w:tcPr>
            <w:tcW w:w="809" w:type="dxa"/>
            <w:tcBorders>
              <w:top w:val="dashed" w:sz="4" w:space="0" w:color="auto"/>
              <w:bottom w:val="dashed" w:sz="4" w:space="0" w:color="auto"/>
            </w:tcBorders>
          </w:tcPr>
          <w:p w14:paraId="1E9BE187" w14:textId="77777777" w:rsidR="003D3694" w:rsidRPr="00747E35" w:rsidRDefault="003D3694" w:rsidP="0096743A">
            <w:pPr>
              <w:pStyle w:val="Tabletext"/>
              <w:spacing w:before="0" w:after="0"/>
              <w:rPr>
                <w:rFonts w:cstheme="minorHAnsi"/>
              </w:rPr>
            </w:pPr>
            <w:r w:rsidRPr="00747E35">
              <w:rPr>
                <w:rFonts w:cstheme="minorHAnsi"/>
              </w:rPr>
              <w:t>Dry</w:t>
            </w:r>
          </w:p>
        </w:tc>
        <w:tc>
          <w:tcPr>
            <w:tcW w:w="784" w:type="dxa"/>
            <w:tcBorders>
              <w:top w:val="dashed" w:sz="4" w:space="0" w:color="auto"/>
              <w:bottom w:val="dashed" w:sz="4" w:space="0" w:color="auto"/>
            </w:tcBorders>
          </w:tcPr>
          <w:p w14:paraId="5D27B076" w14:textId="77777777" w:rsidR="003D3694" w:rsidRPr="00747E35" w:rsidRDefault="003D3694" w:rsidP="0096743A">
            <w:pPr>
              <w:pStyle w:val="Tabletext"/>
              <w:spacing w:before="0" w:after="0"/>
              <w:rPr>
                <w:rFonts w:cstheme="minorHAnsi"/>
              </w:rPr>
            </w:pPr>
            <w:r w:rsidRPr="00747E35">
              <w:rPr>
                <w:rFonts w:cstheme="minorHAnsi"/>
              </w:rPr>
              <w:t>0.19</w:t>
            </w:r>
          </w:p>
        </w:tc>
        <w:tc>
          <w:tcPr>
            <w:tcW w:w="677" w:type="dxa"/>
            <w:tcBorders>
              <w:top w:val="dashed" w:sz="4" w:space="0" w:color="auto"/>
              <w:bottom w:val="dashed" w:sz="4" w:space="0" w:color="auto"/>
            </w:tcBorders>
          </w:tcPr>
          <w:p w14:paraId="56A99674" w14:textId="77777777" w:rsidR="003D3694" w:rsidRPr="00747E35" w:rsidRDefault="003D3694" w:rsidP="0096743A">
            <w:pPr>
              <w:pStyle w:val="Tabletext"/>
              <w:spacing w:before="0" w:after="0"/>
              <w:rPr>
                <w:rFonts w:cstheme="minorHAnsi"/>
              </w:rPr>
            </w:pPr>
            <w:r w:rsidRPr="00747E35">
              <w:rPr>
                <w:rFonts w:cstheme="minorHAnsi"/>
              </w:rPr>
              <w:t>0.07</w:t>
            </w:r>
          </w:p>
        </w:tc>
        <w:tc>
          <w:tcPr>
            <w:tcW w:w="824" w:type="dxa"/>
            <w:tcBorders>
              <w:top w:val="dashed" w:sz="4" w:space="0" w:color="auto"/>
              <w:bottom w:val="dashed" w:sz="4" w:space="0" w:color="auto"/>
            </w:tcBorders>
          </w:tcPr>
          <w:p w14:paraId="42FDB615" w14:textId="77777777" w:rsidR="003D3694" w:rsidRPr="00747E35" w:rsidRDefault="003D3694" w:rsidP="0096743A">
            <w:pPr>
              <w:pStyle w:val="Tabletext"/>
              <w:spacing w:before="0" w:after="0"/>
              <w:rPr>
                <w:rFonts w:cstheme="minorHAnsi"/>
              </w:rPr>
            </w:pPr>
            <w:r w:rsidRPr="00747E35">
              <w:rPr>
                <w:rFonts w:cstheme="minorHAnsi"/>
              </w:rPr>
              <w:t>NA</w:t>
            </w:r>
          </w:p>
        </w:tc>
        <w:tc>
          <w:tcPr>
            <w:tcW w:w="823" w:type="dxa"/>
            <w:tcBorders>
              <w:top w:val="dashed" w:sz="4" w:space="0" w:color="auto"/>
              <w:bottom w:val="dashed" w:sz="4" w:space="0" w:color="auto"/>
            </w:tcBorders>
          </w:tcPr>
          <w:p w14:paraId="1A3F2A95" w14:textId="77777777" w:rsidR="003D3694" w:rsidRPr="00747E35" w:rsidRDefault="003D3694" w:rsidP="0096743A">
            <w:pPr>
              <w:pStyle w:val="Tabletext"/>
              <w:spacing w:before="0" w:after="0"/>
              <w:rPr>
                <w:rFonts w:cstheme="minorHAnsi"/>
              </w:rPr>
            </w:pPr>
            <w:r w:rsidRPr="00747E35">
              <w:rPr>
                <w:rFonts w:cstheme="minorHAnsi"/>
              </w:rPr>
              <w:t>NA</w:t>
            </w:r>
          </w:p>
        </w:tc>
        <w:tc>
          <w:tcPr>
            <w:tcW w:w="2907" w:type="dxa"/>
            <w:tcBorders>
              <w:top w:val="dashed" w:sz="4" w:space="0" w:color="auto"/>
              <w:bottom w:val="dashed" w:sz="4" w:space="0" w:color="auto"/>
            </w:tcBorders>
          </w:tcPr>
          <w:p w14:paraId="04515FA3" w14:textId="77777777" w:rsidR="003D3694" w:rsidRPr="00747E35" w:rsidRDefault="003D3694" w:rsidP="0096743A">
            <w:pPr>
              <w:pStyle w:val="Tabletext"/>
              <w:spacing w:before="0" w:after="0"/>
              <w:rPr>
                <w:rFonts w:cstheme="minorHAnsi"/>
              </w:rPr>
            </w:pPr>
            <w:r w:rsidRPr="00747E35">
              <w:rPr>
                <w:rFonts w:cstheme="minorHAnsi"/>
              </w:rPr>
              <w:t>Unresolved</w:t>
            </w:r>
          </w:p>
        </w:tc>
      </w:tr>
      <w:tr w:rsidR="003D3694" w:rsidRPr="00747E35" w14:paraId="53F7B665" w14:textId="77777777" w:rsidTr="0096743A">
        <w:trPr>
          <w:trHeight w:val="117"/>
        </w:trPr>
        <w:tc>
          <w:tcPr>
            <w:tcW w:w="1718" w:type="dxa"/>
            <w:tcBorders>
              <w:top w:val="dashed" w:sz="4" w:space="0" w:color="auto"/>
              <w:bottom w:val="dashed" w:sz="4" w:space="0" w:color="auto"/>
            </w:tcBorders>
          </w:tcPr>
          <w:p w14:paraId="5381626D" w14:textId="77777777" w:rsidR="003D3694" w:rsidRPr="00747E35" w:rsidRDefault="003D3694" w:rsidP="0096743A">
            <w:pPr>
              <w:pStyle w:val="Tabletext"/>
              <w:spacing w:before="0" w:after="0"/>
              <w:rPr>
                <w:rFonts w:cstheme="minorHAnsi"/>
              </w:rPr>
            </w:pPr>
            <w:r w:rsidRPr="00747E35">
              <w:rPr>
                <w:rFonts w:cstheme="minorHAnsi"/>
              </w:rPr>
              <w:t>Decapoda</w:t>
            </w:r>
          </w:p>
        </w:tc>
        <w:tc>
          <w:tcPr>
            <w:tcW w:w="700" w:type="dxa"/>
            <w:tcBorders>
              <w:top w:val="dashed" w:sz="4" w:space="0" w:color="auto"/>
              <w:bottom w:val="dashed" w:sz="4" w:space="0" w:color="auto"/>
            </w:tcBorders>
          </w:tcPr>
          <w:p w14:paraId="25A9DF3E" w14:textId="77777777" w:rsidR="003D3694" w:rsidRPr="00747E35" w:rsidRDefault="003D3694" w:rsidP="0096743A">
            <w:pPr>
              <w:pStyle w:val="Tabletext"/>
              <w:spacing w:before="0" w:after="0"/>
              <w:rPr>
                <w:rFonts w:cstheme="minorHAnsi"/>
              </w:rPr>
            </w:pPr>
            <w:r w:rsidRPr="00747E35">
              <w:rPr>
                <w:rFonts w:cstheme="minorHAnsi"/>
              </w:rPr>
              <w:t>Periphyton</w:t>
            </w:r>
          </w:p>
        </w:tc>
        <w:tc>
          <w:tcPr>
            <w:tcW w:w="809" w:type="dxa"/>
            <w:tcBorders>
              <w:top w:val="dashed" w:sz="4" w:space="0" w:color="auto"/>
              <w:bottom w:val="dashed" w:sz="4" w:space="0" w:color="auto"/>
            </w:tcBorders>
          </w:tcPr>
          <w:p w14:paraId="00E619BB" w14:textId="77777777" w:rsidR="003D3694" w:rsidRPr="00747E35" w:rsidRDefault="003D3694" w:rsidP="0096743A">
            <w:pPr>
              <w:pStyle w:val="Tabletext"/>
              <w:spacing w:before="0" w:after="0"/>
              <w:rPr>
                <w:rFonts w:cstheme="minorHAnsi"/>
              </w:rPr>
            </w:pPr>
            <w:r w:rsidRPr="00747E35">
              <w:rPr>
                <w:rFonts w:cstheme="minorHAnsi"/>
              </w:rPr>
              <w:t>Dry</w:t>
            </w:r>
          </w:p>
        </w:tc>
        <w:tc>
          <w:tcPr>
            <w:tcW w:w="784" w:type="dxa"/>
            <w:tcBorders>
              <w:top w:val="dashed" w:sz="4" w:space="0" w:color="auto"/>
              <w:bottom w:val="dashed" w:sz="4" w:space="0" w:color="auto"/>
            </w:tcBorders>
          </w:tcPr>
          <w:p w14:paraId="1675C3FF" w14:textId="77777777" w:rsidR="003D3694" w:rsidRPr="00747E35" w:rsidRDefault="003D3694" w:rsidP="0096743A">
            <w:pPr>
              <w:pStyle w:val="Tabletext"/>
              <w:spacing w:before="0" w:after="0"/>
              <w:rPr>
                <w:rFonts w:cstheme="minorHAnsi"/>
              </w:rPr>
            </w:pPr>
            <w:r w:rsidRPr="00747E35">
              <w:rPr>
                <w:rFonts w:cstheme="minorHAnsi"/>
              </w:rPr>
              <w:t>0.04</w:t>
            </w:r>
          </w:p>
        </w:tc>
        <w:tc>
          <w:tcPr>
            <w:tcW w:w="677" w:type="dxa"/>
            <w:tcBorders>
              <w:top w:val="dashed" w:sz="4" w:space="0" w:color="auto"/>
              <w:bottom w:val="dashed" w:sz="4" w:space="0" w:color="auto"/>
            </w:tcBorders>
          </w:tcPr>
          <w:p w14:paraId="3EECD5CB" w14:textId="77777777" w:rsidR="003D3694" w:rsidRPr="00747E35" w:rsidRDefault="003D3694" w:rsidP="0096743A">
            <w:pPr>
              <w:pStyle w:val="Tabletext"/>
              <w:spacing w:before="0" w:after="0"/>
              <w:rPr>
                <w:rFonts w:cstheme="minorHAnsi"/>
              </w:rPr>
            </w:pPr>
            <w:r w:rsidRPr="00747E35">
              <w:rPr>
                <w:rFonts w:cstheme="minorHAnsi"/>
              </w:rPr>
              <w:t>0.004</w:t>
            </w:r>
          </w:p>
        </w:tc>
        <w:tc>
          <w:tcPr>
            <w:tcW w:w="824" w:type="dxa"/>
            <w:tcBorders>
              <w:top w:val="dashed" w:sz="4" w:space="0" w:color="auto"/>
              <w:bottom w:val="dashed" w:sz="4" w:space="0" w:color="auto"/>
            </w:tcBorders>
          </w:tcPr>
          <w:p w14:paraId="1ED2AF04" w14:textId="77777777" w:rsidR="003D3694" w:rsidRPr="00747E35" w:rsidRDefault="003D3694" w:rsidP="0096743A">
            <w:pPr>
              <w:pStyle w:val="Tabletext"/>
              <w:spacing w:before="0" w:after="0"/>
              <w:rPr>
                <w:rFonts w:cstheme="minorHAnsi"/>
              </w:rPr>
            </w:pPr>
            <w:r w:rsidRPr="00747E35">
              <w:rPr>
                <w:rFonts w:cstheme="minorHAnsi"/>
              </w:rPr>
              <w:t>NA</w:t>
            </w:r>
          </w:p>
        </w:tc>
        <w:tc>
          <w:tcPr>
            <w:tcW w:w="823" w:type="dxa"/>
            <w:tcBorders>
              <w:top w:val="dashed" w:sz="4" w:space="0" w:color="auto"/>
              <w:bottom w:val="dashed" w:sz="4" w:space="0" w:color="auto"/>
            </w:tcBorders>
          </w:tcPr>
          <w:p w14:paraId="1390FB95" w14:textId="77777777" w:rsidR="003D3694" w:rsidRPr="00747E35" w:rsidRDefault="003D3694" w:rsidP="0096743A">
            <w:pPr>
              <w:pStyle w:val="Tabletext"/>
              <w:spacing w:before="0" w:after="0"/>
              <w:rPr>
                <w:rFonts w:cstheme="minorHAnsi"/>
              </w:rPr>
            </w:pPr>
            <w:r w:rsidRPr="00747E35">
              <w:rPr>
                <w:rFonts w:cstheme="minorHAnsi"/>
              </w:rPr>
              <w:t>NA</w:t>
            </w:r>
          </w:p>
        </w:tc>
        <w:tc>
          <w:tcPr>
            <w:tcW w:w="2907" w:type="dxa"/>
            <w:tcBorders>
              <w:top w:val="dashed" w:sz="4" w:space="0" w:color="auto"/>
              <w:bottom w:val="dashed" w:sz="4" w:space="0" w:color="auto"/>
            </w:tcBorders>
          </w:tcPr>
          <w:p w14:paraId="3C102F69" w14:textId="77777777" w:rsidR="003D3694" w:rsidRPr="00747E35" w:rsidRDefault="003D3694" w:rsidP="0096743A">
            <w:pPr>
              <w:pStyle w:val="Tabletext"/>
              <w:spacing w:before="0" w:after="0"/>
              <w:rPr>
                <w:rFonts w:cstheme="minorHAnsi"/>
              </w:rPr>
            </w:pPr>
            <w:r w:rsidRPr="00747E35">
              <w:rPr>
                <w:rFonts w:cstheme="minorHAnsi"/>
              </w:rPr>
              <w:t>Unresolved</w:t>
            </w:r>
          </w:p>
        </w:tc>
      </w:tr>
      <w:tr w:rsidR="003D3694" w:rsidRPr="00747E35" w14:paraId="68E570D2" w14:textId="77777777" w:rsidTr="0096743A">
        <w:trPr>
          <w:trHeight w:val="117"/>
        </w:trPr>
        <w:tc>
          <w:tcPr>
            <w:tcW w:w="1718" w:type="dxa"/>
            <w:tcBorders>
              <w:top w:val="dashed" w:sz="4" w:space="0" w:color="auto"/>
              <w:bottom w:val="single" w:sz="4" w:space="0" w:color="auto"/>
            </w:tcBorders>
          </w:tcPr>
          <w:p w14:paraId="611D2611" w14:textId="77777777" w:rsidR="003D3694" w:rsidRPr="00747E35" w:rsidRDefault="003D3694" w:rsidP="0096743A">
            <w:pPr>
              <w:pStyle w:val="Tabletext"/>
              <w:spacing w:before="0" w:after="0"/>
              <w:rPr>
                <w:rFonts w:cstheme="minorHAnsi"/>
              </w:rPr>
            </w:pPr>
            <w:r w:rsidRPr="00747E35">
              <w:rPr>
                <w:rFonts w:cstheme="minorHAnsi"/>
              </w:rPr>
              <w:t>Fish</w:t>
            </w:r>
          </w:p>
        </w:tc>
        <w:tc>
          <w:tcPr>
            <w:tcW w:w="700" w:type="dxa"/>
            <w:tcBorders>
              <w:top w:val="dashed" w:sz="4" w:space="0" w:color="auto"/>
              <w:bottom w:val="single" w:sz="4" w:space="0" w:color="auto"/>
            </w:tcBorders>
          </w:tcPr>
          <w:p w14:paraId="364A512A" w14:textId="77777777" w:rsidR="003D3694" w:rsidRPr="00747E35" w:rsidRDefault="003D3694" w:rsidP="0096743A">
            <w:pPr>
              <w:pStyle w:val="Tabletext"/>
              <w:spacing w:before="0" w:after="0"/>
              <w:rPr>
                <w:rFonts w:cstheme="minorHAnsi"/>
              </w:rPr>
            </w:pPr>
            <w:r w:rsidRPr="00747E35">
              <w:rPr>
                <w:rFonts w:cstheme="minorHAnsi"/>
              </w:rPr>
              <w:t>Periphyton</w:t>
            </w:r>
          </w:p>
        </w:tc>
        <w:tc>
          <w:tcPr>
            <w:tcW w:w="809" w:type="dxa"/>
            <w:tcBorders>
              <w:top w:val="dashed" w:sz="4" w:space="0" w:color="auto"/>
              <w:bottom w:val="single" w:sz="4" w:space="0" w:color="auto"/>
            </w:tcBorders>
          </w:tcPr>
          <w:p w14:paraId="5C187CD1" w14:textId="77777777" w:rsidR="003D3694" w:rsidRPr="00747E35" w:rsidRDefault="003D3694" w:rsidP="0096743A">
            <w:pPr>
              <w:pStyle w:val="Tabletext"/>
              <w:spacing w:before="0" w:after="0"/>
              <w:rPr>
                <w:rFonts w:cstheme="minorHAnsi"/>
              </w:rPr>
            </w:pPr>
            <w:r w:rsidRPr="00747E35">
              <w:rPr>
                <w:rFonts w:cstheme="minorHAnsi"/>
              </w:rPr>
              <w:t>Dry</w:t>
            </w:r>
          </w:p>
        </w:tc>
        <w:tc>
          <w:tcPr>
            <w:tcW w:w="784" w:type="dxa"/>
            <w:tcBorders>
              <w:top w:val="dashed" w:sz="4" w:space="0" w:color="auto"/>
              <w:bottom w:val="single" w:sz="4" w:space="0" w:color="auto"/>
            </w:tcBorders>
          </w:tcPr>
          <w:p w14:paraId="32793F7C" w14:textId="77777777" w:rsidR="003D3694" w:rsidRPr="00747E35" w:rsidRDefault="003D3694" w:rsidP="0096743A">
            <w:pPr>
              <w:pStyle w:val="Tabletext"/>
              <w:spacing w:before="0" w:after="0"/>
              <w:rPr>
                <w:rFonts w:cstheme="minorHAnsi"/>
              </w:rPr>
            </w:pPr>
            <w:r w:rsidRPr="00747E35">
              <w:rPr>
                <w:rFonts w:cstheme="minorHAnsi"/>
              </w:rPr>
              <w:t>0.06</w:t>
            </w:r>
          </w:p>
        </w:tc>
        <w:tc>
          <w:tcPr>
            <w:tcW w:w="677" w:type="dxa"/>
            <w:tcBorders>
              <w:top w:val="dashed" w:sz="4" w:space="0" w:color="auto"/>
              <w:bottom w:val="single" w:sz="4" w:space="0" w:color="auto"/>
            </w:tcBorders>
          </w:tcPr>
          <w:p w14:paraId="70853E8D" w14:textId="77777777" w:rsidR="003D3694" w:rsidRPr="00747E35" w:rsidRDefault="003D3694" w:rsidP="0096743A">
            <w:pPr>
              <w:pStyle w:val="Tabletext"/>
              <w:spacing w:before="0" w:after="0"/>
              <w:rPr>
                <w:rFonts w:cstheme="minorHAnsi"/>
              </w:rPr>
            </w:pPr>
            <w:r w:rsidRPr="00747E35">
              <w:rPr>
                <w:rFonts w:cstheme="minorHAnsi"/>
              </w:rPr>
              <w:t>0.01</w:t>
            </w:r>
          </w:p>
        </w:tc>
        <w:tc>
          <w:tcPr>
            <w:tcW w:w="824" w:type="dxa"/>
            <w:tcBorders>
              <w:top w:val="dashed" w:sz="4" w:space="0" w:color="auto"/>
              <w:bottom w:val="single" w:sz="4" w:space="0" w:color="auto"/>
            </w:tcBorders>
          </w:tcPr>
          <w:p w14:paraId="42BDA481" w14:textId="77777777" w:rsidR="003D3694" w:rsidRPr="00747E35" w:rsidRDefault="003D3694" w:rsidP="0096743A">
            <w:pPr>
              <w:pStyle w:val="Tabletext"/>
              <w:spacing w:before="0" w:after="0"/>
              <w:rPr>
                <w:rFonts w:cstheme="minorHAnsi"/>
              </w:rPr>
            </w:pPr>
            <w:r w:rsidRPr="00747E35">
              <w:rPr>
                <w:rFonts w:cstheme="minorHAnsi"/>
              </w:rPr>
              <w:t>NA</w:t>
            </w:r>
          </w:p>
        </w:tc>
        <w:tc>
          <w:tcPr>
            <w:tcW w:w="823" w:type="dxa"/>
            <w:tcBorders>
              <w:top w:val="dashed" w:sz="4" w:space="0" w:color="auto"/>
              <w:bottom w:val="single" w:sz="4" w:space="0" w:color="auto"/>
            </w:tcBorders>
          </w:tcPr>
          <w:p w14:paraId="005CB751" w14:textId="77777777" w:rsidR="003D3694" w:rsidRPr="00747E35" w:rsidRDefault="003D3694" w:rsidP="0096743A">
            <w:pPr>
              <w:pStyle w:val="Tabletext"/>
              <w:spacing w:before="0" w:after="0"/>
              <w:rPr>
                <w:rFonts w:cstheme="minorHAnsi"/>
              </w:rPr>
            </w:pPr>
            <w:r w:rsidRPr="00747E35">
              <w:rPr>
                <w:rFonts w:cstheme="minorHAnsi"/>
              </w:rPr>
              <w:t>NA</w:t>
            </w:r>
          </w:p>
        </w:tc>
        <w:tc>
          <w:tcPr>
            <w:tcW w:w="2907" w:type="dxa"/>
            <w:tcBorders>
              <w:top w:val="dashed" w:sz="4" w:space="0" w:color="auto"/>
              <w:bottom w:val="single" w:sz="4" w:space="0" w:color="auto"/>
            </w:tcBorders>
          </w:tcPr>
          <w:p w14:paraId="7FF158B7" w14:textId="77777777" w:rsidR="003D3694" w:rsidRPr="00747E35" w:rsidRDefault="003D3694" w:rsidP="0096743A">
            <w:pPr>
              <w:pStyle w:val="Tabletext"/>
              <w:spacing w:before="0" w:after="0"/>
              <w:rPr>
                <w:rFonts w:cstheme="minorHAnsi"/>
              </w:rPr>
            </w:pPr>
            <w:r w:rsidRPr="00747E35">
              <w:rPr>
                <w:rFonts w:cstheme="minorHAnsi"/>
              </w:rPr>
              <w:t>Unresolved</w:t>
            </w:r>
          </w:p>
        </w:tc>
      </w:tr>
    </w:tbl>
    <w:p w14:paraId="452618C2" w14:textId="77777777" w:rsidR="003D3694" w:rsidRPr="00747E35" w:rsidRDefault="003D3694" w:rsidP="003D3694">
      <w:pPr>
        <w:rPr>
          <w:rFonts w:asciiTheme="minorHAnsi" w:hAnsiTheme="minorHAnsi" w:cstheme="minorHAnsi"/>
        </w:rPr>
      </w:pPr>
    </w:p>
    <w:p w14:paraId="6190969A" w14:textId="77777777" w:rsidR="003D3694" w:rsidRPr="00747E35" w:rsidRDefault="003D3694" w:rsidP="003D3694">
      <w:pPr>
        <w:rPr>
          <w:rFonts w:asciiTheme="minorHAnsi" w:hAnsiTheme="minorHAnsi" w:cstheme="minorHAnsi"/>
        </w:rPr>
      </w:pPr>
    </w:p>
    <w:p w14:paraId="02EE80C5" w14:textId="77777777" w:rsidR="003D3694" w:rsidRPr="00747E35" w:rsidRDefault="003D3694" w:rsidP="003D3694">
      <w:pPr>
        <w:rPr>
          <w:rFonts w:asciiTheme="minorHAnsi" w:hAnsiTheme="minorHAnsi" w:cstheme="minorHAnsi"/>
        </w:rPr>
      </w:pPr>
    </w:p>
    <w:p w14:paraId="12CEAB7C"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085C2CD8" wp14:editId="166239FF">
            <wp:extent cx="5691454" cy="5831983"/>
            <wp:effectExtent l="0" t="0" r="5080" b="0"/>
            <wp:docPr id="7216" name="Picture 7216" descr="Bi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aHyporheic.tif"/>
                    <pic:cNvPicPr/>
                  </pic:nvPicPr>
                  <pic:blipFill rotWithShape="1">
                    <a:blip r:embed="rId99" cstate="screen">
                      <a:extLst>
                        <a:ext uri="{28A0092B-C50C-407E-A947-70E740481C1C}">
                          <a14:useLocalDpi xmlns:a14="http://schemas.microsoft.com/office/drawing/2010/main"/>
                        </a:ext>
                      </a:extLst>
                    </a:blip>
                    <a:srcRect/>
                    <a:stretch/>
                  </pic:blipFill>
                  <pic:spPr bwMode="auto">
                    <a:xfrm>
                      <a:off x="0" y="0"/>
                      <a:ext cx="5720133" cy="5861370"/>
                    </a:xfrm>
                    <a:prstGeom prst="rect">
                      <a:avLst/>
                    </a:prstGeom>
                    <a:ln>
                      <a:noFill/>
                    </a:ln>
                    <a:extLst>
                      <a:ext uri="{53640926-AAD7-44D8-BBD7-CCE9431645EC}">
                        <a14:shadowObscured xmlns:a14="http://schemas.microsoft.com/office/drawing/2010/main"/>
                      </a:ext>
                    </a:extLst>
                  </pic:spPr>
                </pic:pic>
              </a:graphicData>
            </a:graphic>
          </wp:inline>
        </w:drawing>
      </w:r>
    </w:p>
    <w:p w14:paraId="1D956415" w14:textId="77777777" w:rsidR="003D3694" w:rsidRPr="00747E35" w:rsidRDefault="003D3694" w:rsidP="00566456">
      <w:pPr>
        <w:pStyle w:val="Caption"/>
        <w:numPr>
          <w:ilvl w:val="0"/>
          <w:numId w:val="0"/>
        </w:numPr>
        <w:rPr>
          <w:rFonts w:cstheme="minorHAnsi"/>
        </w:rPr>
      </w:pPr>
      <w:bookmarkStart w:id="157" w:name="_Ref466025066"/>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54</w:t>
      </w:r>
      <w:r w:rsidR="009D6600" w:rsidRPr="00747E35">
        <w:rPr>
          <w:rFonts w:cstheme="minorHAnsi"/>
          <w:noProof/>
        </w:rPr>
        <w:fldChar w:fldCharType="end"/>
      </w:r>
      <w:bookmarkEnd w:id="157"/>
      <w:r w:rsidRPr="00747E35">
        <w:rPr>
          <w:rFonts w:cstheme="minorHAnsi"/>
        </w:rPr>
        <w:t>. The mean ± standard deviation of the δ</w:t>
      </w:r>
      <w:r w:rsidRPr="00747E35">
        <w:rPr>
          <w:rFonts w:cstheme="minorHAnsi"/>
          <w:vertAlign w:val="superscript"/>
        </w:rPr>
        <w:t>13</w:t>
      </w:r>
      <w:r w:rsidRPr="00747E35">
        <w:rPr>
          <w:rFonts w:cstheme="minorHAnsi"/>
        </w:rPr>
        <w:t>C and δ</w:t>
      </w:r>
      <w:r w:rsidRPr="00747E35">
        <w:rPr>
          <w:rFonts w:cstheme="minorHAnsi"/>
          <w:vertAlign w:val="superscript"/>
        </w:rPr>
        <w:t>15</w:t>
      </w:r>
      <w:r w:rsidRPr="00747E35">
        <w:rPr>
          <w:rFonts w:cstheme="minorHAnsi"/>
        </w:rPr>
        <w:t>N values for sources and consumers (labelled by a-priori assigned functional feeding group) in the hyporheic zone at all sites in the upper Bremer River catchment and the Maules Creek catchment during the wet and dry sampling periods. The mean ± standard deviation of the δ</w:t>
      </w:r>
      <w:r w:rsidRPr="00747E35">
        <w:rPr>
          <w:rFonts w:cstheme="minorHAnsi"/>
          <w:vertAlign w:val="superscript"/>
        </w:rPr>
        <w:t>13</w:t>
      </w:r>
      <w:r w:rsidRPr="00747E35">
        <w:rPr>
          <w:rFonts w:cstheme="minorHAnsi"/>
        </w:rPr>
        <w:t>C and δ</w:t>
      </w:r>
      <w:r w:rsidRPr="00747E35">
        <w:rPr>
          <w:rFonts w:cstheme="minorHAnsi"/>
          <w:vertAlign w:val="superscript"/>
        </w:rPr>
        <w:t>15</w:t>
      </w:r>
      <w:r w:rsidRPr="00747E35">
        <w:rPr>
          <w:rFonts w:cstheme="minorHAnsi"/>
        </w:rPr>
        <w:t>N values for sources and consumers in surface habitats are also displayed in the background.</w:t>
      </w:r>
    </w:p>
    <w:p w14:paraId="072D2E4F" w14:textId="77777777" w:rsidR="003D3694" w:rsidRPr="00747E35" w:rsidRDefault="003D3694" w:rsidP="003D3694">
      <w:pPr>
        <w:rPr>
          <w:rFonts w:asciiTheme="minorHAnsi" w:hAnsiTheme="minorHAnsi" w:cstheme="minorHAnsi"/>
        </w:rPr>
      </w:pPr>
    </w:p>
    <w:p w14:paraId="6B563469" w14:textId="78E4110D" w:rsidR="003D3694" w:rsidRPr="00747E35" w:rsidRDefault="003D3694" w:rsidP="003D3694">
      <w:pPr>
        <w:pStyle w:val="Heading3"/>
        <w:rPr>
          <w:rFonts w:asciiTheme="minorHAnsi" w:hAnsiTheme="minorHAnsi" w:cstheme="minorHAnsi"/>
        </w:rPr>
      </w:pPr>
      <w:bookmarkStart w:id="158" w:name="_Toc470004853"/>
      <w:r w:rsidRPr="00747E35">
        <w:rPr>
          <w:rFonts w:asciiTheme="minorHAnsi" w:hAnsiTheme="minorHAnsi" w:cstheme="minorHAnsi"/>
        </w:rPr>
        <w:t>Discussion</w:t>
      </w:r>
      <w:bookmarkEnd w:id="158"/>
    </w:p>
    <w:p w14:paraId="65258452"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Spatio-temporal patterns of stable isotope values in both study regions indicate that reductions in stream flow may affect the isotopic values and use of basal resources by consumers, as well as food-web structure in intermittent rivers. In the upper Bremer River catchment study sites, autochthonous C sources were important in the wetter sampling period, with no evidence of reliance on sampled basal resources in the drier period (see below for possible reasons for this result). Despite changes in the isotopic values of autochthonous C sources, and evidence of variation in its consumption by consumers, there were no changes in the food web structure of streams within the upper Bremer River catchment. Furthermore, there was a large variation in algal C sources among wet and dry sampling periods. At Maules Creek, the most ephemeral study site lacked higher order consumers (decapods), although it is possible that our sampling couldn’t detect them. Together, these findings indicate that although flow variation can alter the isotopic values of important basal resources (algae), and possibly the consumption of these resources by </w:t>
      </w:r>
      <w:r w:rsidRPr="00747E35">
        <w:rPr>
          <w:rFonts w:asciiTheme="minorHAnsi" w:hAnsiTheme="minorHAnsi" w:cstheme="minorHAnsi"/>
        </w:rPr>
        <w:lastRenderedPageBreak/>
        <w:t>consumers, the food web structure can remain unaffected. The persistence of residual wetted habitats due to baseflow is likely a major factor maintaining the food web structure through wet and dry periods.</w:t>
      </w:r>
    </w:p>
    <w:p w14:paraId="6B523872"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t>Basal energy sources and food-web structure</w:t>
      </w:r>
    </w:p>
    <w:p w14:paraId="4C4C5484"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A gradient approach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&lt;EndNote&gt;&lt;Cite&gt;&lt;Author&gt;Jardine&lt;/Author&gt;&lt;Year&gt;2012&lt;/Year&gt;&lt;RecNum&gt;1268&lt;/RecNum&gt;&lt;DisplayText&gt;(Rasmussen, 2010; Jardine&lt;style face="italic"&gt; et al.&lt;/style&gt;, 2012)&lt;/DisplayText&gt;&lt;record&gt;&lt;rec-number&gt;1268&lt;/rec-number&gt;&lt;foreign-keys&gt;&lt;key app="EN" db-id="f09zwdf26xeasaevvsjxv00h9rx2v9xarfsw" timestamp="1465274261"&gt;1268&lt;/key&gt;&lt;/foreign-keys&gt;&lt;ref-type name="Journal Article"&gt;17&lt;/ref-type&gt;&lt;contributors&gt;&lt;authors&gt;&lt;author&gt;Jardine, Timothy D&lt;/author&gt;&lt;author&gt;Pettit, Neil E&lt;/author&gt;&lt;author&gt;Warfe, Danielle M&lt;/author&gt;&lt;author&gt;Pusey, Bradley J&lt;/author&gt;&lt;author&gt;Ward, Doug P&lt;/author&gt;&lt;author&gt;Douglas, Michael M&lt;/author&gt;&lt;author&gt;Davies, Peter M&lt;/author&gt;&lt;author&gt;Bunn, Stuart E&lt;/author&gt;&lt;/authors&gt;&lt;/contributors&gt;&lt;titles&gt;&lt;title&gt;Consumer–resource coupling in wet–dry tropical rivers&lt;/title&gt;&lt;secondary-title&gt;Journal of Animal Ecology&lt;/secondary-title&gt;&lt;/titles&gt;&lt;periodical&gt;&lt;full-title&gt;Journal of Animal Ecology&lt;/full-title&gt;&lt;/periodical&gt;&lt;pages&gt;310-322&lt;/pages&gt;&lt;volume&gt;81&lt;/volume&gt;&lt;number&gt;2&lt;/number&gt;&lt;dates&gt;&lt;year&gt;2012&lt;/year&gt;&lt;/dates&gt;&lt;isbn&gt;1365-2656&lt;/isbn&gt;&lt;urls&gt;&lt;/urls&gt;&lt;/record&gt;&lt;/Cite&gt;&lt;Cite&gt;&lt;Author&gt;Rasmussen&lt;/Author&gt;&lt;Year&gt;2010&lt;/Year&gt;&lt;RecNum&gt;1270&lt;/RecNum&gt;&lt;record&gt;&lt;rec-number&gt;1270&lt;/rec-number&gt;&lt;foreign-keys&gt;&lt;key app="EN" db-id="f09zwdf26xeasaevvsjxv00h9rx2v9xarfsw" timestamp="1465274261"&gt;1270&lt;/key&gt;&lt;/foreign-keys&gt;&lt;ref-type name="Journal Article"&gt;17&lt;/ref-type&gt;&lt;contributors&gt;&lt;authors&gt;&lt;author&gt;Rasmussen, Joseph B&lt;/author&gt;&lt;/authors&gt;&lt;/contributors&gt;&lt;titles&gt;&lt;title&gt;Estimating terrestrial contribution to stream invertebrates and periphyton using a gradient‐based mixing model for δ13C&lt;/title&gt;&lt;secondary-title&gt;Journal of Animal Ecology&lt;/secondary-title&gt;&lt;/titles&gt;&lt;periodical&gt;&lt;full-title&gt;Journal of Animal Ecology&lt;/full-title&gt;&lt;/periodical&gt;&lt;pages&gt;393-402&lt;/pages&gt;&lt;volume&gt;79&lt;/volume&gt;&lt;number&gt;2&lt;/number&gt;&lt;dates&gt;&lt;year&gt;2010&lt;/year&gt;&lt;/dates&gt;&lt;isbn&gt;1365-2656&lt;/isbn&gt;&lt;urls&gt;&lt;/urls&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(Rasmussen, 2010; Jardine</w:t>
      </w:r>
      <w:r w:rsidRPr="00747E35">
        <w:rPr>
          <w:rFonts w:asciiTheme="minorHAnsi" w:hAnsiTheme="minorHAnsi" w:cstheme="minorHAnsi"/>
          <w:i/>
          <w:noProof/>
        </w:rPr>
        <w:t xml:space="preserve"> et al.</w:t>
      </w:r>
      <w:r w:rsidRPr="00747E35">
        <w:rPr>
          <w:rFonts w:asciiTheme="minorHAnsi" w:hAnsiTheme="minorHAnsi" w:cstheme="minorHAnsi"/>
          <w:noProof/>
        </w:rPr>
        <w:t>, 2012)</w:t>
      </w:r>
      <w:r w:rsidRPr="00747E35">
        <w:rPr>
          <w:rFonts w:asciiTheme="minorHAnsi" w:hAnsiTheme="minorHAnsi" w:cstheme="minorHAnsi"/>
        </w:rPr>
        <w:fldChar w:fldCharType="end"/>
      </w:r>
      <w:r w:rsidRPr="00747E35">
        <w:rPr>
          <w:rFonts w:asciiTheme="minorHAnsi" w:hAnsiTheme="minorHAnsi" w:cstheme="minorHAnsi"/>
        </w:rPr>
        <w:t xml:space="preserve"> comparing the primary producer source contributions to consumers revealed that, for the upper Bremer River catchment study sites, many consumers relied on autotrophy (reliance on autotrophic organisms) rather than allochthony (reliance on terrestrial organic matter). This reliance on autochthonous C was, however, evident only in the wetter sampling period, with no definitive C source during the drier sampling period. This trend contradicts previous research that indicates the dominance of allochthony during wet periods, with autotrophy becoming more important during drying as reduced terrestrial-aquatic hydrological connections transport less organic matter into recipient habitats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&lt;EndNote&gt;&lt;Cite&gt;&lt;Author&gt;Reid&lt;/Author&gt;&lt;Year&gt;2008&lt;/Year&gt;&lt;RecNum&gt;1313&lt;/RecNum&gt;&lt;DisplayText&gt;(Reid&lt;style face="italic"&gt; et al.&lt;/style&gt;, 2008)&lt;/DisplayText&gt;&lt;record&gt;&lt;rec-number&gt;1313&lt;/rec-number&gt;&lt;foreign-keys&gt;&lt;key app="EN" db-id="f09zwdf26xeasaevvsjxv00h9rx2v9xarfsw" timestamp="1476925842"&gt;1313&lt;/key&gt;&lt;/foreign-keys&gt;&lt;ref-type name="Journal Article"&gt;17&lt;/ref-type&gt;&lt;contributors&gt;&lt;authors&gt;&lt;author&gt;Reid, David J.&lt;/author&gt;&lt;author&gt;Quinn, Gerry P.&lt;/author&gt;&lt;author&gt;Lake, P. S.&lt;/author&gt;&lt;author&gt;Reich, Paul&lt;/author&gt;&lt;/authors&gt;&lt;/contributors&gt;&lt;titles&gt;&lt;title&gt;Terrestrial detritus supports the food webs in lowland intermittent streams of south-eastern Australia: a stable isotope study&lt;/title&gt;&lt;secondary-title&gt;Freshwater Biology&lt;/secondary-title&gt;&lt;/titles&gt;&lt;periodical&gt;&lt;full-title&gt;Freshwater Biology&lt;/full-title&gt;&lt;/periodical&gt;&lt;pages&gt;2036-2050&lt;/pages&gt;&lt;volume&gt;53&lt;/volume&gt;&lt;number&gt;10&lt;/number&gt;&lt;keywords&gt;&lt;keyword&gt;algae&lt;/keyword&gt;&lt;keyword&gt;allochthonous&lt;/keyword&gt;&lt;keyword&gt;Eucalyptus camaldulensis&lt;/keyword&gt;&lt;keyword&gt;generalist&lt;/keyword&gt;&lt;keyword&gt;macroinvertebrate&lt;/keyword&gt;&lt;/keywords&gt;&lt;dates&gt;&lt;year&gt;2008&lt;/year&gt;&lt;/dates&gt;&lt;publisher&gt;Blackwell Publishing Ltd&lt;/publisher&gt;&lt;isbn&gt;1365-2427&lt;/isbn&gt;&lt;urls&gt;&lt;related-urls&gt;&lt;url&gt;http://dx.doi.org/10.1111/j.1365-2427.2008.02025.x&lt;/url&gt;&lt;/related-urls&gt;&lt;/urls&gt;&lt;electronic-resource-num&gt;10.1111/j.1365-2427.2008.02025.x&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(Reid</w:t>
      </w:r>
      <w:r w:rsidRPr="00747E35">
        <w:rPr>
          <w:rFonts w:asciiTheme="minorHAnsi" w:hAnsiTheme="minorHAnsi" w:cstheme="minorHAnsi"/>
          <w:i/>
          <w:noProof/>
        </w:rPr>
        <w:t xml:space="preserve"> et al.</w:t>
      </w:r>
      <w:r w:rsidRPr="00747E35">
        <w:rPr>
          <w:rFonts w:asciiTheme="minorHAnsi" w:hAnsiTheme="minorHAnsi" w:cstheme="minorHAnsi"/>
          <w:noProof/>
        </w:rPr>
        <w:t>, 2008)</w:t>
      </w:r>
      <w:r w:rsidRPr="00747E35">
        <w:rPr>
          <w:rFonts w:asciiTheme="minorHAnsi" w:hAnsiTheme="minorHAnsi" w:cstheme="minorHAnsi"/>
        </w:rPr>
        <w:fldChar w:fldCharType="end"/>
      </w:r>
      <w:r w:rsidRPr="00747E35">
        <w:rPr>
          <w:rFonts w:asciiTheme="minorHAnsi" w:hAnsiTheme="minorHAnsi" w:cstheme="minorHAnsi"/>
        </w:rPr>
        <w:t xml:space="preserve">. However, research in sub-tropical and arid ecosystems has found that even with large terrestrial organic matter subsidies, algae can still be the major C source for aquatic food webs </w:t>
      </w:r>
      <w:r w:rsidRPr="00747E35">
        <w:rPr>
          <w:rFonts w:asciiTheme="minorHAnsi" w:hAnsiTheme="minorHAnsi" w:cstheme="minorHAnsi"/>
        </w:rPr>
        <w:fldChar w:fldCharType="begin">
          <w:fldData xml:space="preserve">PEVuZE5vdGU+PENpdGU+PEF1dGhvcj5CdW5uPC9BdXRob3I+PFllYXI+MjAwMzwvWWVhcj48UmVj
TnVtPjEzMjc8L1JlY051bT48RGlzcGxheVRleHQ+KEJ1bm48c3R5bGUgZmFjZT0iaXRhbGljIj4g
ZXQgYWwuPC9zdHlsZT4sIDIwMDM7IEhhZHdlbjxzdHlsZSBmYWNlPSJpdGFsaWMiPiBldCBhbC48
L3N0eWxlPiwgMjAxMCk8L0Rpc3BsYXlUZXh0PjxyZWNvcmQ+PHJlYy1udW1iZXI+MTMyNzwvcmVj
LW51bWJlcj48Zm9yZWlnbi1rZXlzPjxrZXkgYXBwPSJFTiIgZGItaWQ9ImYwOXp3ZGYyNnhlYXNh
ZXZ2c2p4djAwaDlyeDJ2OXhhcmZzdyIgdGltZXN0YW1wPSIxNDc3NDQxNjc1Ij4xMzI3PC9rZXk+
PC9mb3JlaWduLWtleXM+PHJlZi10eXBlIG5hbWU9IkpvdXJuYWwgQXJ0aWNsZSI+MTc8L3JlZi10
eXBlPjxjb250cmlidXRvcnM+PGF1dGhvcnM+PGF1dGhvcj5CdW5uLCBTdHVhcnQgRS48L2F1dGhv
cj48YXV0aG9yPkRhdmllcywgUGV0ZXIgTS48L2F1dGhvcj48YXV0aG9yPldpbm5pbmcsIE1pY2hl
bGxlPC9hdXRob3I+PC9hdXRob3JzPjwvY29udHJpYnV0b3JzPjx0aXRsZXM+PHRpdGxlPlNvdXJj
ZXMgb2Ygb3JnYW5pYyBjYXJib24gc3VwcG9ydGluZyB0aGUgZm9vZCB3ZWIgb2YgYW4gYXJpZCB6
b25lIGZsb29kcGxhaW4gcml2ZXI8L3RpdGxlPjxzZWNvbmRhcnktdGl0bGU+RnJlc2h3YXRlciBC
aW9sb2d5PC9zZWNvbmRhcnktdGl0bGU+PC90aXRsZXM+PHBlcmlvZGljYWw+PGZ1bGwtdGl0bGU+
RnJlc2h3YXRlciBCaW9sb2d5PC9mdWxsLXRpdGxlPjwvcGVyaW9kaWNhbD48cGFnZXM+NjE5LTYz
NTwvcGFnZXM+PHZvbHVtZT40ODwvdm9sdW1lPjxudW1iZXI+NDwvbnVtYmVyPjxrZXl3b3Jkcz48
a2V5d29yZD5jeWFub2JhY3RlcmlhPC9rZXl3b3JkPjxrZXl3b3JkPmRyeWxhbmQgcml2ZXJzPC9r
ZXl3b3JkPjxrZXl3b3JkPnBoeXRvcGxhbmt0b248L2tleXdvcmQ+PGtleXdvcmQ+cHJpbWFyeSBw
cm9kdWN0aW9uPC9rZXl3b3JkPjxrZXl3b3JkPnN0YWJsZSBpc290b3BlIGFuYWx5c2lzPC9rZXl3
b3JkPjxrZXl3b3JkPndhdGVyaG9sZXM8L2tleXdvcmQ+PC9rZXl3b3Jkcz48ZGF0ZXM+PHllYXI+
MjAwMzwveWVhcj48L2RhdGVzPjxwdWJsaXNoZXI+QmxhY2t3ZWxsIFNjaWVuY2UgTHRkPC9wdWJs
aXNoZXI+PGlzYm4+MTM2NS0yNDI3PC9pc2JuPjx1cmxzPjxyZWxhdGVkLXVybHM+PHVybD5odHRw
Oi8vZHguZG9pLm9yZy8xMC4xMDQ2L2ouMTM2NS0yNDI3LjIwMDMuMDEwMzEueDwvdXJsPjwvcmVs
YXRlZC11cmxzPjwvdXJscz48ZWxlY3Ryb25pYy1yZXNvdXJjZS1udW0+MTAuMTA0Ni9qLjEzNjUt
MjQyNy4yMDAzLjAxMDMxLng8L2VsZWN0cm9uaWMtcmVzb3VyY2UtbnVtPjwvcmVjb3JkPjwvQ2l0
ZT48Q2l0ZT48QXV0aG9yPkhhZHdlbjwvQXV0aG9yPjxZZWFyPjIwMTA8L1llYXI+PFJlY051bT4x
Mzg2PC9SZWNOdW0+PHJlY29yZD48cmVjLW51bWJlcj4xMzg2PC9yZWMtbnVtYmVyPjxmb3JlaWdu
LWtleXM+PGtleSBhcHA9IkVOIiBkYi1pZD0iZjA5endkZjI2eGVhc2FldnZzanh2MDBoOXJ4MnY5
eGFyZnN3IiB0aW1lc3RhbXA9IjE0NzkxNzIxODgiPjEzODY8L2tleT48L2ZvcmVpZ24ta2V5cz48
cmVmLXR5cGUgbmFtZT0iSm91cm5hbCBBcnRpY2xlIj4xNzwvcmVmLXR5cGU+PGNvbnRyaWJ1dG9y
cz48YXV0aG9ycz48YXV0aG9yPkhhZHdlbiwgV2FkZSBMLjwvYXV0aG9yPjxhdXRob3I+U3BlYXJz
LCBNYXJrPC9hdXRob3I+PGF1dGhvcj5LZW5uYXJkLCBNYXJrIEouPC9hdXRob3I+PC9hdXRob3Jz
PjwvY29udHJpYnV0b3JzPjx0aXRsZXM+PHRpdGxlPlRlbXBvcmFsIHZhcmlhYmlsaXR5IG9mIGJl
bnRoaWMgYWxnYWwgzrQxM0Mgc2lnbmF0dXJlcyBpbmZsdWVuY2VzIGFzc2Vzc21lbnRzIG9mIGNh
cmJvbiBmbG93cyBpbiBzdHJlYW0gZm9vZCB3ZWJzPC90aXRsZT48c2Vjb25kYXJ5LXRpdGxlPkh5
ZHJvYmlvbG9naWE8L3NlY29uZGFyeS10aXRsZT48L3RpdGxlcz48cGVyaW9kaWNhbD48ZnVsbC10
aXRsZT5IeWRyb2Jpb2xvZ2lhPC9mdWxsLXRpdGxlPjwvcGVyaW9kaWNhbD48cGFnZXM+MjM5LTI1
MTwvcGFnZXM+PHZvbHVtZT42NTE8L3ZvbHVtZT48bnVtYmVyPjE8L251bWJlcj48ZGF0ZXM+PHll
YXI+MjAxMDwveWVhcj48L2RhdGVzPjxpc2JuPjE1NzMtNTExNzwvaXNibj48bGFiZWw+SGFkd2Vu
MjAxMDwvbGFiZWw+PHdvcmstdHlwZT5qb3VybmFsIGFydGljbGU8L3dvcmstdHlwZT48dXJscz48
cmVsYXRlZC11cmxzPjx1cmw+aHR0cDovL2R4LmRvaS5vcmcvMTAuMTAwNy9zMTA3NTAtMDEwLTAz
MDMteTwvdXJsPjwvcmVsYXRlZC11cmxzPjwvdXJscz48ZWxlY3Ryb25pYy1yZXNvdXJjZS1udW0+
MTAuMTAwNy9zMTA3NTAtMDEwLTAzMDMteTwvZWxlY3Ryb25pYy1yZXNvdXJjZS1udW0+PC9yZWNv
cmQ+PC9DaXRlPjwvRW5kTm90ZT5=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PEVuZE5vdGU+PENpdGU+PEF1dGhvcj5CdW5uPC9BdXRob3I+PFllYXI+MjAwMzwvWWVhcj48UmVj
TnVtPjEzMjc8L1JlY051bT48RGlzcGxheVRleHQ+KEJ1bm48c3R5bGUgZmFjZT0iaXRhbGljIj4g
ZXQgYWwuPC9zdHlsZT4sIDIwMDM7IEhhZHdlbjxzdHlsZSBmYWNlPSJpdGFsaWMiPiBldCBhbC48
L3N0eWxlPiwgMjAxMCk8L0Rpc3BsYXlUZXh0PjxyZWNvcmQ+PHJlYy1udW1iZXI+MTMyNzwvcmVj
LW51bWJlcj48Zm9yZWlnbi1rZXlzPjxrZXkgYXBwPSJFTiIgZGItaWQ9ImYwOXp3ZGYyNnhlYXNh
ZXZ2c2p4djAwaDlyeDJ2OXhhcmZzdyIgdGltZXN0YW1wPSIxNDc3NDQxNjc1Ij4xMzI3PC9rZXk+
PC9mb3JlaWduLWtleXM+PHJlZi10eXBlIG5hbWU9IkpvdXJuYWwgQXJ0aWNsZSI+MTc8L3JlZi10
eXBlPjxjb250cmlidXRvcnM+PGF1dGhvcnM+PGF1dGhvcj5CdW5uLCBTdHVhcnQgRS48L2F1dGhv
cj48YXV0aG9yPkRhdmllcywgUGV0ZXIgTS48L2F1dGhvcj48YXV0aG9yPldpbm5pbmcsIE1pY2hl
bGxlPC9hdXRob3I+PC9hdXRob3JzPjwvY29udHJpYnV0b3JzPjx0aXRsZXM+PHRpdGxlPlNvdXJj
ZXMgb2Ygb3JnYW5pYyBjYXJib24gc3VwcG9ydGluZyB0aGUgZm9vZCB3ZWIgb2YgYW4gYXJpZCB6
b25lIGZsb29kcGxhaW4gcml2ZXI8L3RpdGxlPjxzZWNvbmRhcnktdGl0bGU+RnJlc2h3YXRlciBC
aW9sb2d5PC9zZWNvbmRhcnktdGl0bGU+PC90aXRsZXM+PHBlcmlvZGljYWw+PGZ1bGwtdGl0bGU+
RnJlc2h3YXRlciBCaW9sb2d5PC9mdWxsLXRpdGxlPjwvcGVyaW9kaWNhbD48cGFnZXM+NjE5LTYz
NTwvcGFnZXM+PHZvbHVtZT40ODwvdm9sdW1lPjxudW1iZXI+NDwvbnVtYmVyPjxrZXl3b3Jkcz48
a2V5d29yZD5jeWFub2JhY3RlcmlhPC9rZXl3b3JkPjxrZXl3b3JkPmRyeWxhbmQgcml2ZXJzPC9r
ZXl3b3JkPjxrZXl3b3JkPnBoeXRvcGxhbmt0b248L2tleXdvcmQ+PGtleXdvcmQ+cHJpbWFyeSBw
cm9kdWN0aW9uPC9rZXl3b3JkPjxrZXl3b3JkPnN0YWJsZSBpc290b3BlIGFuYWx5c2lzPC9rZXl3
b3JkPjxrZXl3b3JkPndhdGVyaG9sZXM8L2tleXdvcmQ+PC9rZXl3b3Jkcz48ZGF0ZXM+PHllYXI+
MjAwMzwveWVhcj48L2RhdGVzPjxwdWJsaXNoZXI+QmxhY2t3ZWxsIFNjaWVuY2UgTHRkPC9wdWJs
aXNoZXI+PGlzYm4+MTM2NS0yNDI3PC9pc2JuPjx1cmxzPjxyZWxhdGVkLXVybHM+PHVybD5odHRw
Oi8vZHguZG9pLm9yZy8xMC4xMDQ2L2ouMTM2NS0yNDI3LjIwMDMuMDEwMzEueDwvdXJsPjwvcmVs
YXRlZC11cmxzPjwvdXJscz48ZWxlY3Ryb25pYy1yZXNvdXJjZS1udW0+MTAuMTA0Ni9qLjEzNjUt
MjQyNy4yMDAzLjAxMDMxLng8L2VsZWN0cm9uaWMtcmVzb3VyY2UtbnVtPjwvcmVjb3JkPjwvQ2l0
ZT48Q2l0ZT48QXV0aG9yPkhhZHdlbjwvQXV0aG9yPjxZZWFyPjIwMTA8L1llYXI+PFJlY051bT4x
Mzg2PC9SZWNOdW0+PHJlY29yZD48cmVjLW51bWJlcj4xMzg2PC9yZWMtbnVtYmVyPjxmb3JlaWdu
LWtleXM+PGtleSBhcHA9IkVOIiBkYi1pZD0iZjA5endkZjI2eGVhc2FldnZzanh2MDBoOXJ4MnY5
eGFyZnN3IiB0aW1lc3RhbXA9IjE0NzkxNzIxODgiPjEzODY8L2tleT48L2ZvcmVpZ24ta2V5cz48
cmVmLXR5cGUgbmFtZT0iSm91cm5hbCBBcnRpY2xlIj4xNzwvcmVmLXR5cGU+PGNvbnRyaWJ1dG9y
cz48YXV0aG9ycz48YXV0aG9yPkhhZHdlbiwgV2FkZSBMLjwvYXV0aG9yPjxhdXRob3I+U3BlYXJz
LCBNYXJrPC9hdXRob3I+PGF1dGhvcj5LZW5uYXJkLCBNYXJrIEouPC9hdXRob3I+PC9hdXRob3Jz
PjwvY29udHJpYnV0b3JzPjx0aXRsZXM+PHRpdGxlPlRlbXBvcmFsIHZhcmlhYmlsaXR5IG9mIGJl
bnRoaWMgYWxnYWwgzrQxM0Mgc2lnbmF0dXJlcyBpbmZsdWVuY2VzIGFzc2Vzc21lbnRzIG9mIGNh
cmJvbiBmbG93cyBpbiBzdHJlYW0gZm9vZCB3ZWJzPC90aXRsZT48c2Vjb25kYXJ5LXRpdGxlPkh5
ZHJvYmlvbG9naWE8L3NlY29uZGFyeS10aXRsZT48L3RpdGxlcz48cGVyaW9kaWNhbD48ZnVsbC10
aXRsZT5IeWRyb2Jpb2xvZ2lhPC9mdWxsLXRpdGxlPjwvcGVyaW9kaWNhbD48cGFnZXM+MjM5LTI1
MTwvcGFnZXM+PHZvbHVtZT42NTE8L3ZvbHVtZT48bnVtYmVyPjE8L251bWJlcj48ZGF0ZXM+PHll
YXI+MjAxMDwveWVhcj48L2RhdGVzPjxpc2JuPjE1NzMtNTExNzwvaXNibj48bGFiZWw+SGFkd2Vu
MjAxMDwvbGFiZWw+PHdvcmstdHlwZT5qb3VybmFsIGFydGljbGU8L3dvcmstdHlwZT48dXJscz48
cmVsYXRlZC11cmxzPjx1cmw+aHR0cDovL2R4LmRvaS5vcmcvMTAuMTAwNy9zMTA3NTAtMDEwLTAz
MDMteTwvdXJsPjwvcmVsYXRlZC11cmxzPjwvdXJscz48ZWxlY3Ryb25pYy1yZXNvdXJjZS1udW0+
MTAuMTAwNy9zMTA3NTAtMDEwLTAzMDMteTwvZWxlY3Ryb25pYy1yZXNvdXJjZS1udW0+PC9yZWNv
cmQ+PC9DaXRlPjwvRW5kTm90ZT5=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(Bunn</w:t>
      </w:r>
      <w:r w:rsidRPr="00747E35">
        <w:rPr>
          <w:rFonts w:asciiTheme="minorHAnsi" w:hAnsiTheme="minorHAnsi" w:cstheme="minorHAnsi"/>
          <w:i/>
          <w:noProof/>
        </w:rPr>
        <w:t xml:space="preserve"> et al.</w:t>
      </w:r>
      <w:r w:rsidRPr="00747E35">
        <w:rPr>
          <w:rFonts w:asciiTheme="minorHAnsi" w:hAnsiTheme="minorHAnsi" w:cstheme="minorHAnsi"/>
          <w:noProof/>
        </w:rPr>
        <w:t>, 2003; Hadwen</w:t>
      </w:r>
      <w:r w:rsidRPr="00747E35">
        <w:rPr>
          <w:rFonts w:asciiTheme="minorHAnsi" w:hAnsiTheme="minorHAnsi" w:cstheme="minorHAnsi"/>
          <w:i/>
          <w:noProof/>
        </w:rPr>
        <w:t xml:space="preserve"> et al.</w:t>
      </w:r>
      <w:r w:rsidRPr="00747E35">
        <w:rPr>
          <w:rFonts w:asciiTheme="minorHAnsi" w:hAnsiTheme="minorHAnsi" w:cstheme="minorHAnsi"/>
          <w:noProof/>
        </w:rPr>
        <w:t>, 2010)</w:t>
      </w:r>
      <w:r w:rsidRPr="00747E35">
        <w:rPr>
          <w:rFonts w:asciiTheme="minorHAnsi" w:hAnsiTheme="minorHAnsi" w:cstheme="minorHAnsi"/>
        </w:rPr>
        <w:fldChar w:fldCharType="end"/>
      </w:r>
      <w:r w:rsidRPr="00747E35">
        <w:rPr>
          <w:rFonts w:asciiTheme="minorHAnsi" w:hAnsiTheme="minorHAnsi" w:cstheme="minorHAnsi"/>
        </w:rPr>
        <w:t xml:space="preserve">. The relatively unimportant role of terrestrial organic matter as a C source for food webs aligns with the findings from organic matter processing experiments (see ‘Organic matter processing’ section), which found virtually no detritivore-mediated consumption of terrestrial leaf litter (eucalypt leaves). Despite this finding, we cannot rule out contributions from allochthonous C resources to food webs. The primary energy source fuelling food webs at Maules Creek could not be assessed due to the lack of replicates in each flow regime category. </w:t>
      </w:r>
    </w:p>
    <w:p w14:paraId="27532365"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The exact reasons for the inability to resolve the important basal resource in the upper Bremer River catchment study sites during the dry season remain unknown, but may be related to the seasonal starvation of consumers, selective or omnivorous feeding, large temporal variability in algal δ</w:t>
      </w:r>
      <w:r w:rsidRPr="00747E35">
        <w:rPr>
          <w:rFonts w:asciiTheme="minorHAnsi" w:hAnsiTheme="minorHAnsi" w:cstheme="minorHAnsi"/>
          <w:vertAlign w:val="superscript"/>
        </w:rPr>
        <w:t>13</w:t>
      </w:r>
      <w:r w:rsidRPr="00747E35">
        <w:rPr>
          <w:rFonts w:asciiTheme="minorHAnsi" w:hAnsiTheme="minorHAnsi" w:cstheme="minorHAnsi"/>
        </w:rPr>
        <w:t xml:space="preserve">C values (see Hadwen </w:t>
      </w:r>
      <w:r w:rsidRPr="00747E35">
        <w:rPr>
          <w:rFonts w:asciiTheme="minorHAnsi" w:hAnsiTheme="minorHAnsi" w:cstheme="minorHAnsi"/>
          <w:i/>
        </w:rPr>
        <w:t>et al.</w:t>
      </w:r>
      <w:r w:rsidRPr="00747E35">
        <w:rPr>
          <w:rFonts w:asciiTheme="minorHAnsi" w:hAnsiTheme="minorHAnsi" w:cstheme="minorHAnsi"/>
        </w:rPr>
        <w:t xml:space="preserve">, 2010), and our inability to sample the important basal C source (see section below). Higher consumers may face periods of starvation during drier periods because their prey, such as macroinvertebrates and decapods, can avoid predation by taking refuge in the hyporheic zone during unfavourable surface conditions </w:t>
      </w:r>
      <w:r w:rsidRPr="00747E35">
        <w:rPr>
          <w:rFonts w:asciiTheme="minorHAnsi" w:hAnsiTheme="minorHAnsi" w:cstheme="minorHAnsi"/>
        </w:rPr>
        <w:fldChar w:fldCharType="begin"/>
      </w:r>
      <w:r w:rsidRPr="00747E35">
        <w:rPr>
          <w:rFonts w:asciiTheme="minorHAnsi" w:hAnsiTheme="minorHAnsi" w:cstheme="minorHAnsi"/>
        </w:rPr>
        <w:instrText xml:space="preserve"> ADDIN PAPERS2_CITATIONS &lt;citation&gt;&lt;uuid&gt;B768C8F7-1761-4D13-98DE-958FB88A1FCA&lt;/uuid&gt;&lt;priority&gt;17&lt;/priority&gt;&lt;publications&gt;&lt;publication&gt;&lt;uuid&gt;CF134A6B-1888-4B9E-96C0-C0100295A705&lt;/uuid&gt;&lt;volume&gt;53&lt;/volume&gt;&lt;doi&gt;10.1111/j.1365-2427.2008.01969.x&lt;/doi&gt;&lt;startpage&gt;1316&lt;/startpage&gt;&lt;publication_date&gt;99200807011200000000222000&lt;/publication_date&gt;&lt;url&gt;http://onlinelibrary.wiley.com.libraryproxy.griffith.edu.au/doi/10.1111/j.1365-2427.2008.01969.x/full&lt;/url&gt;&lt;citekey&gt;James:2008bo&lt;/citekey&gt;&lt;type&gt;400&lt;/type&gt;&lt;title&gt;Do stream macroinvertebrates use instream refugia in response to severe short‐term flow reduction in New Zealand streams?&lt;/title&gt;&lt;publisher&gt;Blackwell Publishing Ltd&lt;/publisher&gt;&lt;number&gt;7&lt;/number&gt;&lt;subtype&gt;400&lt;/subtype&gt;&lt;endpage&gt;1334&lt;/endpage&gt;&lt;bundle&gt;&lt;publication&gt;&lt;publisher&gt;Wiley Online Library&lt;/publisher&gt;&lt;url&gt;http://onlinelibrary.wiley.com&lt;/url&gt;&lt;title&gt;Freshwater Biology&lt;/title&gt;&lt;type&gt;-100&lt;/type&gt;&lt;subtype&gt;-100&lt;/subtype&gt;&lt;uuid&gt;0067BDEE-665B-4F92-A434-0AFD87812E86&lt;/uuid&gt;&lt;/publication&gt;&lt;/bundle&gt;&lt;authors&gt;&lt;author&gt;&lt;firstName&gt;Alexander&lt;/firstName&gt;&lt;middleNames&gt;B W&lt;/middleNames&gt;&lt;lastName&gt;James&lt;/lastName&gt;&lt;/author&gt;&lt;author&gt;&lt;firstName&gt;Zoë&lt;/firstName&gt;&lt;middleNames&gt;S&lt;/middleNames&gt;&lt;lastName&gt;Dewson&lt;/lastName&gt;&lt;/author&gt;&lt;author&gt;&lt;firstName&gt;Russel&lt;/firstName&gt;&lt;middleNames&gt;G&lt;/middleNames&gt;&lt;lastName&gt;Death&lt;/lastName&gt;&lt;/author&gt;&lt;/authors&gt;&lt;/publication&gt;&lt;publication&gt;&lt;type&gt;400&lt;/type&gt;&lt;publication_date&gt;99200300001200000000200000&lt;/publication_date&gt;&lt;title&gt;Parallels and contrasts in the effects of drought on stream macroinvertebrate assemblages&lt;/title&gt;&lt;url&gt;http://www.google.com/search?client=safari&amp;amp;rls=10_7_4&amp;amp;q=Parallels+and+contrasts+in+the+effects+of+drought+on+stream+macroinvertebrate+assemblages&amp;amp;ie=UTF-8&amp;amp;oe=UTF-8&lt;/url&gt;&lt;subtype&gt;400&lt;/subtype&gt;&lt;uuid&gt;B96684F0-DF38-4FA6-BA25-8747A60D0B49&lt;/uuid&gt;&lt;bundle&gt;&lt;publication&gt;&lt;publisher&gt;Wiley Online Library&lt;/publisher&gt;&lt;url&gt;http://onlinelibrary.wiley.com&lt;/url&gt;&lt;title&gt;Freshwater Biology&lt;/title&gt;&lt;type&gt;-100&lt;/type&gt;&lt;subtype&gt;-100&lt;/subtype&gt;&lt;uuid&gt;0067BDEE-665B-4F92-A434-0AFD87812E86&lt;/uuid&gt;&lt;/publication&gt;&lt;/bundle&gt;&lt;authors&gt;&lt;author&gt;&lt;firstName&gt;A&lt;/firstName&gt;&lt;middleNames&gt;J&lt;/middleNames&gt;&lt;lastName&gt;Boulton&lt;/lastName&gt;&lt;/author&gt;&lt;/authors&gt;&lt;/publication&gt;&lt;/publications&gt;&lt;cites&gt;&lt;/cites&gt;&lt;/citation&gt;</w:instrText>
      </w:r>
      <w:r w:rsidRPr="00747E35">
        <w:rPr>
          <w:rFonts w:asciiTheme="minorHAnsi" w:hAnsiTheme="minorHAnsi" w:cstheme="minorHAnsi"/>
        </w:rPr>
        <w:fldChar w:fldCharType="separate"/>
      </w:r>
      <w:r w:rsidRPr="00747E35">
        <w:rPr>
          <w:rFonts w:asciiTheme="minorHAnsi" w:hAnsiTheme="minorHAnsi" w:cstheme="minorHAnsi"/>
        </w:rPr>
        <w:t>(Boulton, 2003; James, Dewson, &amp; Death, 2008)</w:t>
      </w:r>
      <w:r w:rsidRPr="00747E35">
        <w:rPr>
          <w:rFonts w:asciiTheme="minorHAnsi" w:hAnsiTheme="minorHAnsi" w:cstheme="minorHAnsi"/>
        </w:rPr>
        <w:fldChar w:fldCharType="end"/>
      </w:r>
      <w:r w:rsidRPr="00747E35">
        <w:rPr>
          <w:rFonts w:asciiTheme="minorHAnsi" w:hAnsiTheme="minorHAnsi" w:cstheme="minorHAnsi"/>
        </w:rPr>
        <w:t>. Furthermore, given the decline in periphyton quality (C:N ratio) we observed in the drier sampling period, the change in their δ</w:t>
      </w:r>
      <w:r w:rsidRPr="00747E35">
        <w:rPr>
          <w:rFonts w:asciiTheme="minorHAnsi" w:hAnsiTheme="minorHAnsi" w:cstheme="minorHAnsi"/>
          <w:vertAlign w:val="superscript"/>
        </w:rPr>
        <w:t>13</w:t>
      </w:r>
      <w:r w:rsidRPr="00747E35">
        <w:rPr>
          <w:rFonts w:asciiTheme="minorHAnsi" w:hAnsiTheme="minorHAnsi" w:cstheme="minorHAnsi"/>
        </w:rPr>
        <w:t>C values, and the large differences in δ</w:t>
      </w:r>
      <w:r w:rsidRPr="00747E35">
        <w:rPr>
          <w:rFonts w:asciiTheme="minorHAnsi" w:hAnsiTheme="minorHAnsi" w:cstheme="minorHAnsi"/>
          <w:vertAlign w:val="superscript"/>
        </w:rPr>
        <w:t>13</w:t>
      </w:r>
      <w:r w:rsidRPr="00747E35">
        <w:rPr>
          <w:rFonts w:asciiTheme="minorHAnsi" w:hAnsiTheme="minorHAnsi" w:cstheme="minorHAnsi"/>
        </w:rPr>
        <w:t xml:space="preserve">C values of the different periphyton we sampled (i.e. epilithon underneath rocks), it is likely that primary consumers are selectively feeding on higher-quality algal sources in the drier period </w:t>
      </w:r>
      <w:r w:rsidRPr="00747E35">
        <w:rPr>
          <w:rFonts w:asciiTheme="minorHAnsi" w:hAnsiTheme="minorHAnsi" w:cstheme="minorHAnsi"/>
        </w:rPr>
        <w:fldChar w:fldCharType="begin">
          <w:fldData xml:space="preserve">PEVuZE5vdGU+PENpdGU+PEF1dGhvcj5DcnV6LVJpdmVyYTwvQXV0aG9yPjxZZWFyPjIwMDA8L1ll
YXI+PFJlY051bT4xMzQyPC9SZWNOdW0+PERpc3BsYXlUZXh0PihDcnV6LVJpdmVyYSBhbmQgSGF5
LCAyMDAwOyBUYWxsPHN0eWxlIGZhY2U9Iml0YWxpYyI+IGV0IGFsLjwvc3R5bGU+LCAyMDA2KTwv
RGlzcGxheVRleHQ+PHJlY29yZD48cmVjLW51bWJlcj4xMzQyPC9yZWMtbnVtYmVyPjxmb3JlaWdu
LWtleXM+PGtleSBhcHA9IkVOIiBkYi1pZD0iZjA5endkZjI2eGVhc2FldnZzanh2MDBoOXJ4MnY5
eGFyZnN3IiB0aW1lc3RhbXA9IjE0NzgwNjM0ODciPjEzNDI8L2tleT48L2ZvcmVpZ24ta2V5cz48
cmVmLXR5cGUgbmFtZT0iSm91cm5hbCBBcnRpY2xlIj4xNzwvcmVmLXR5cGU+PGNvbnRyaWJ1dG9y
cz48YXV0aG9ycz48YXV0aG9yPkNydXotUml2ZXJhLCBFZHdpbjwvYXV0aG9yPjxhdXRob3I+SGF5
LCBNYXJrIEUuPC9hdXRob3I+PC9hdXRob3JzPjwvY29udHJpYnV0b3JzPjx0aXRsZXM+PHRpdGxl
PkNhbiBxdWFudGl0eSByZXBsYWNlIHF1YWxpdHk/IEZvb2QgY2hvaWNlLCBjb21wZW5zYXRvcnkg
ZmVlZGluZywgYW5kIGZpdG5lc3Mgb2YgbWFyaW5lIG1lc29ncmF6ZXJzPC90aXRsZT48c2Vjb25k
YXJ5LXRpdGxlPkVjb2xvZ3k8L3NlY29uZGFyeS10aXRsZT48L3RpdGxlcz48cGVyaW9kaWNhbD48
ZnVsbC10aXRsZT5FY29sb2d5PC9mdWxsLXRpdGxlPjwvcGVyaW9kaWNhbD48cGFnZXM+MjAxLTIx
OTwvcGFnZXM+PHZvbHVtZT44MTwvdm9sdW1lPjxudW1iZXI+MTwvbnVtYmVyPjxrZXl3b3Jkcz48
a2V5d29yZD5hbXBoaXBvZHM8L2tleXdvcmQ+PGtleXdvcmQ+QW1waXRob2UgbG9uZ2ltYW5hPC9r
ZXl3b3JkPjxrZXl3b3JkPmNvbXBlbnNhdG9yeSBmZWVkaW5nPC9rZXl3b3JkPjxrZXl3b3JkPmRp
ZXQgYW5kIGZpdG5lc3M8L2tleXdvcmQ+PGtleXdvcmQ+RWxhc21vcHVzIGxldmlzPC9rZXl3b3Jk
PjxrZXl3b3JkPmZvb2QgY2hvaWNlIGFuZCBmaXRuZXNzIG9mIG1hcmluZSBhbXBoaXBvZHM8L2tl
eXdvcmQ+PGtleXdvcmQ+R2FtbWFydXMgbXVjcm9uYXR1czwva2V5d29yZD48a2V5d29yZD5tYXJp
bmUgbWVzb2dyYXplcnM8L2tleXdvcmQ+PGtleXdvcmQ+cmVsYXRpdmUgbW9iaWxpdHkgYW5kIHBy
ZWRhdGlvbiByaXNrPC9rZXl3b3JkPjxrZXl3b3JkPm51dHJpdGlvbjwva2V5d29yZD48L2tleXdv
cmRzPjxkYXRlcz48eWVhcj4yMDAwPC95ZWFyPjwvZGF0ZXM+PHB1Ymxpc2hlcj5FY29sb2dpY2Fs
IFNvY2lldHkgb2YgQW1lcmljYTwvcHVibGlzaGVyPjxpc2JuPjE5MzktOTE3MDwvaXNibj48dXJs
cz48cmVsYXRlZC11cmxzPjx1cmw+aHR0cDovL2R4LmRvaS5vcmcvMTAuMTg5MC8wMDEyLTk2NTgo
MjAwMCkwODFbMDIwMTpDUVJRRkNdMi4wLkNPOzI8L3VybD48L3JlbGF0ZWQtdXJscz48L3VybHM+
PGVsZWN0cm9uaWMtcmVzb3VyY2UtbnVtPjEwLjE4OTAvMDAxMi05NjU4KDIwMDApMDgxWzAyMDE6
Q1FSUUZDXTIuMC5DTzsyPC9lbGVjdHJvbmljLXJlc291cmNlLW51bT48L3JlY29yZD48L0NpdGU+
PENpdGU+PEF1dGhvcj5UYWxsPC9BdXRob3I+PFllYXI+MjAwNjwvWWVhcj48UmVjTnVtPjEzNDM8
L1JlY051bT48cmVjb3JkPjxyZWMtbnVtYmVyPjEzNDM8L3JlYy1udW1iZXI+PGZvcmVpZ24ta2V5
cz48a2V5IGFwcD0iRU4iIGRiLWlkPSJmMDl6d2RmMjZ4ZWFzYWV2dnNqeHYwMGg5cngydjl4YXJm
c3ciIHRpbWVzdGFtcD0iMTQ3ODA2Mzc5MyI+MTM0Mzwva2V5PjwvZm9yZWlnbi1rZXlzPjxyZWYt
dHlwZSBuYW1lPSJKb3VybmFsIEFydGljbGUiPjE3PC9yZWYtdHlwZT48Y29udHJpYnV0b3JzPjxh
dXRob3JzPjxhdXRob3I+VGFsbCwgTC48L2F1dGhvcj48YXV0aG9yPkNhdHRhbmVvLCBBLjwvYXV0
aG9yPjxhdXRob3I+Q2xvdXRpZXIsIEwuPC9hdXRob3I+PGF1dGhvcj5EcmF5LCBTLjwvYXV0aG9y
PjxhdXRob3I+TGVnZW5kcmUsIFAuPC9hdXRob3I+PC9hdXRob3JzPjwvY29udHJpYnV0b3JzPjx0
aXRsZXM+PHRpdGxlPlJlc291cmNlIHBhcnRpdGlvbmluZyBpbiBhIGdyYXplciBndWlsZCBmZWVk
aW5nIG9uIGEgbXVsdGlsYXllciBkaWF0b20gbWF0PC90aXRsZT48c2Vjb25kYXJ5LXRpdGxlPkpv
dXJuYWwgb2YgdGhlIE5vcnRoIEFtZXJpY2FuIEJlbnRob2xvZ2ljYWwgU29jaWV0eTwvc2Vjb25k
YXJ5LXRpdGxlPjwvdGl0bGVzPjxwZXJpb2RpY2FsPjxmdWxsLXRpdGxlPkpvdXJuYWwgb2YgdGhl
IE5vcnRoIEFtZXJpY2FuIEJlbnRob2xvZ2ljYWwgU29jaWV0eTwvZnVsbC10aXRsZT48L3Blcmlv
ZGljYWw+PHBhZ2VzPjgwMC04MTA8L3BhZ2VzPjx2b2x1bWU+MjU8L3ZvbHVtZT48bnVtYmVyPjQ8
L251bWJlcj48a2V5d29yZHM+PGtleXdvcmQ+ZGlhdG9tcyxncmF6aW5nLG11bHRpdmFyaWF0ZSBh
bmFseXNpcyxyZXNvdXJjZSBwYXJ0aXRpb25pbmcsc3RyZWFtIGludmVydGVicmF0ZXM8L2tleXdv
cmQ+PC9rZXl3b3Jkcz48ZGF0ZXM+PHllYXI+MjAwNjwveWVhcj48L2RhdGVzPjx1cmxzPjxyZWxh
dGVkLXVybHM+PHVybD5odHRwOi8vd3d3LmpvdXJuYWxzLnVjaGljYWdvLmVkdS9kb2kvYWJzLzEw
LjE4OTkvMDg4Ny0zNTkzJTI4MjAwNiUyOTAyNSU1QjA4MDAlM0FSUElBR0clNUQyLjAuQ08lM0Iy
PC91cmw+PC9yZWxhdGVkLXVybHM+PC91cmxzPjxlbGVjdHJvbmljLXJlc291cmNlLW51bT5kb2k6
MTAuMTg5OS8wODg3LTM1OTMoMjAwNikwMjVbMDgwMDpSUElBR0ddMi4wLkNPOzI8L2VsZWN0cm9u
aWMtcmVzb3VyY2UtbnVtPjwvcmVjb3JkPjwvQ2l0ZT48L0VuZE5vdGU+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PEVuZE5vdGU+PENpdGU+PEF1dGhvcj5DcnV6LVJpdmVyYTwvQXV0aG9yPjxZZWFyPjIwMDA8L1ll
YXI+PFJlY051bT4xMzQyPC9SZWNOdW0+PERpc3BsYXlUZXh0PihDcnV6LVJpdmVyYSBhbmQgSGF5
LCAyMDAwOyBUYWxsPHN0eWxlIGZhY2U9Iml0YWxpYyI+IGV0IGFsLjwvc3R5bGU+LCAyMDA2KTwv
RGlzcGxheVRleHQ+PHJlY29yZD48cmVjLW51bWJlcj4xMzQyPC9yZWMtbnVtYmVyPjxmb3JlaWdu
LWtleXM+PGtleSBhcHA9IkVOIiBkYi1pZD0iZjA5endkZjI2eGVhc2FldnZzanh2MDBoOXJ4MnY5
eGFyZnN3IiB0aW1lc3RhbXA9IjE0NzgwNjM0ODciPjEzNDI8L2tleT48L2ZvcmVpZ24ta2V5cz48
cmVmLXR5cGUgbmFtZT0iSm91cm5hbCBBcnRpY2xlIj4xNzwvcmVmLXR5cGU+PGNvbnRyaWJ1dG9y
cz48YXV0aG9ycz48YXV0aG9yPkNydXotUml2ZXJhLCBFZHdpbjwvYXV0aG9yPjxhdXRob3I+SGF5
LCBNYXJrIEUuPC9hdXRob3I+PC9hdXRob3JzPjwvY29udHJpYnV0b3JzPjx0aXRsZXM+PHRpdGxl
PkNhbiBxdWFudGl0eSByZXBsYWNlIHF1YWxpdHk/IEZvb2QgY2hvaWNlLCBjb21wZW5zYXRvcnkg
ZmVlZGluZywgYW5kIGZpdG5lc3Mgb2YgbWFyaW5lIG1lc29ncmF6ZXJzPC90aXRsZT48c2Vjb25k
YXJ5LXRpdGxlPkVjb2xvZ3k8L3NlY29uZGFyeS10aXRsZT48L3RpdGxlcz48cGVyaW9kaWNhbD48
ZnVsbC10aXRsZT5FY29sb2d5PC9mdWxsLXRpdGxlPjwvcGVyaW9kaWNhbD48cGFnZXM+MjAxLTIx
OTwvcGFnZXM+PHZvbHVtZT44MTwvdm9sdW1lPjxudW1iZXI+MTwvbnVtYmVyPjxrZXl3b3Jkcz48
a2V5d29yZD5hbXBoaXBvZHM8L2tleXdvcmQ+PGtleXdvcmQ+QW1waXRob2UgbG9uZ2ltYW5hPC9r
ZXl3b3JkPjxrZXl3b3JkPmNvbXBlbnNhdG9yeSBmZWVkaW5nPC9rZXl3b3JkPjxrZXl3b3JkPmRp
ZXQgYW5kIGZpdG5lc3M8L2tleXdvcmQ+PGtleXdvcmQ+RWxhc21vcHVzIGxldmlzPC9rZXl3b3Jk
PjxrZXl3b3JkPmZvb2QgY2hvaWNlIGFuZCBmaXRuZXNzIG9mIG1hcmluZSBhbXBoaXBvZHM8L2tl
eXdvcmQ+PGtleXdvcmQ+R2FtbWFydXMgbXVjcm9uYXR1czwva2V5d29yZD48a2V5d29yZD5tYXJp
bmUgbWVzb2dyYXplcnM8L2tleXdvcmQ+PGtleXdvcmQ+cmVsYXRpdmUgbW9iaWxpdHkgYW5kIHBy
ZWRhdGlvbiByaXNrPC9rZXl3b3JkPjxrZXl3b3JkPm51dHJpdGlvbjwva2V5d29yZD48L2tleXdv
cmRzPjxkYXRlcz48eWVhcj4yMDAwPC95ZWFyPjwvZGF0ZXM+PHB1Ymxpc2hlcj5FY29sb2dpY2Fs
IFNvY2lldHkgb2YgQW1lcmljYTwvcHVibGlzaGVyPjxpc2JuPjE5MzktOTE3MDwvaXNibj48dXJs
cz48cmVsYXRlZC11cmxzPjx1cmw+aHR0cDovL2R4LmRvaS5vcmcvMTAuMTg5MC8wMDEyLTk2NTgo
MjAwMCkwODFbMDIwMTpDUVJRRkNdMi4wLkNPOzI8L3VybD48L3JlbGF0ZWQtdXJscz48L3VybHM+
PGVsZWN0cm9uaWMtcmVzb3VyY2UtbnVtPjEwLjE4OTAvMDAxMi05NjU4KDIwMDApMDgxWzAyMDE6
Q1FSUUZDXTIuMC5DTzsyPC9lbGVjdHJvbmljLXJlc291cmNlLW51bT48L3JlY29yZD48L0NpdGU+
PENpdGU+PEF1dGhvcj5UYWxsPC9BdXRob3I+PFllYXI+MjAwNjwvWWVhcj48UmVjTnVtPjEzNDM8
L1JlY051bT48cmVjb3JkPjxyZWMtbnVtYmVyPjEzNDM8L3JlYy1udW1iZXI+PGZvcmVpZ24ta2V5
cz48a2V5IGFwcD0iRU4iIGRiLWlkPSJmMDl6d2RmMjZ4ZWFzYWV2dnNqeHYwMGg5cngydjl4YXJm
c3ciIHRpbWVzdGFtcD0iMTQ3ODA2Mzc5MyI+MTM0Mzwva2V5PjwvZm9yZWlnbi1rZXlzPjxyZWYt
dHlwZSBuYW1lPSJKb3VybmFsIEFydGljbGUiPjE3PC9yZWYtdHlwZT48Y29udHJpYnV0b3JzPjxh
dXRob3JzPjxhdXRob3I+VGFsbCwgTC48L2F1dGhvcj48YXV0aG9yPkNhdHRhbmVvLCBBLjwvYXV0
aG9yPjxhdXRob3I+Q2xvdXRpZXIsIEwuPC9hdXRob3I+PGF1dGhvcj5EcmF5LCBTLjwvYXV0aG9y
PjxhdXRob3I+TGVnZW5kcmUsIFAuPC9hdXRob3I+PC9hdXRob3JzPjwvY29udHJpYnV0b3JzPjx0
aXRsZXM+PHRpdGxlPlJlc291cmNlIHBhcnRpdGlvbmluZyBpbiBhIGdyYXplciBndWlsZCBmZWVk
aW5nIG9uIGEgbXVsdGlsYXllciBkaWF0b20gbWF0PC90aXRsZT48c2Vjb25kYXJ5LXRpdGxlPkpv
dXJuYWwgb2YgdGhlIE5vcnRoIEFtZXJpY2FuIEJlbnRob2xvZ2ljYWwgU29jaWV0eTwvc2Vjb25k
YXJ5LXRpdGxlPjwvdGl0bGVzPjxwZXJpb2RpY2FsPjxmdWxsLXRpdGxlPkpvdXJuYWwgb2YgdGhl
IE5vcnRoIEFtZXJpY2FuIEJlbnRob2xvZ2ljYWwgU29jaWV0eTwvZnVsbC10aXRsZT48L3Blcmlv
ZGljYWw+PHBhZ2VzPjgwMC04MTA8L3BhZ2VzPjx2b2x1bWU+MjU8L3ZvbHVtZT48bnVtYmVyPjQ8
L251bWJlcj48a2V5d29yZHM+PGtleXdvcmQ+ZGlhdG9tcyxncmF6aW5nLG11bHRpdmFyaWF0ZSBh
bmFseXNpcyxyZXNvdXJjZSBwYXJ0aXRpb25pbmcsc3RyZWFtIGludmVydGVicmF0ZXM8L2tleXdv
cmQ+PC9rZXl3b3Jkcz48ZGF0ZXM+PHllYXI+MjAwNjwveWVhcj48L2RhdGVzPjx1cmxzPjxyZWxh
dGVkLXVybHM+PHVybD5odHRwOi8vd3d3LmpvdXJuYWxzLnVjaGljYWdvLmVkdS9kb2kvYWJzLzEw
LjE4OTkvMDg4Ny0zNTkzJTI4MjAwNiUyOTAyNSU1QjA4MDAlM0FSUElBR0clNUQyLjAuQ08lM0Iy
PC91cmw+PC9yZWxhdGVkLXVybHM+PC91cmxzPjxlbGVjdHJvbmljLXJlc291cmNlLW51bT5kb2k6
MTAuMTg5OS8wODg3LTM1OTMoMjAwNikwMjVbMDgwMDpSUElBR0ddMi4wLkNPOzI8L2VsZWN0cm9u
aWMtcmVzb3VyY2UtbnVtPjwvcmVjb3JkPjwvQ2l0ZT48L0VuZE5vdGU+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(Cruz-Rivera and Hay, 2000; Tall</w:t>
      </w:r>
      <w:r w:rsidRPr="00747E35">
        <w:rPr>
          <w:rFonts w:asciiTheme="minorHAnsi" w:hAnsiTheme="minorHAnsi" w:cstheme="minorHAnsi"/>
          <w:i/>
          <w:noProof/>
        </w:rPr>
        <w:t xml:space="preserve"> et al.</w:t>
      </w:r>
      <w:r w:rsidRPr="00747E35">
        <w:rPr>
          <w:rFonts w:asciiTheme="minorHAnsi" w:hAnsiTheme="minorHAnsi" w:cstheme="minorHAnsi"/>
          <w:noProof/>
        </w:rPr>
        <w:t>, 2006)</w:t>
      </w:r>
      <w:r w:rsidRPr="00747E35">
        <w:rPr>
          <w:rFonts w:asciiTheme="minorHAnsi" w:hAnsiTheme="minorHAnsi" w:cstheme="minorHAnsi"/>
        </w:rPr>
        <w:fldChar w:fldCharType="end"/>
      </w:r>
      <w:r w:rsidRPr="00747E35">
        <w:rPr>
          <w:rFonts w:asciiTheme="minorHAnsi" w:hAnsiTheme="minorHAnsi" w:cstheme="minorHAnsi"/>
        </w:rPr>
        <w:t>.</w:t>
      </w:r>
    </w:p>
    <w:p w14:paraId="3B81B28F" w14:textId="58150029" w:rsidR="003D3694" w:rsidRPr="00747E35" w:rsidRDefault="003D3694" w:rsidP="003D3694">
      <w:pPr>
        <w:autoSpaceDE/>
        <w:autoSpaceDN/>
        <w:spacing w:line="276" w:lineRule="auto"/>
        <w:rPr>
          <w:rFonts w:asciiTheme="minorHAnsi" w:hAnsiTheme="minorHAnsi" w:cstheme="minorHAnsi"/>
        </w:rPr>
      </w:pPr>
      <w:r w:rsidRPr="00747E35">
        <w:rPr>
          <w:rFonts w:asciiTheme="minorHAnsi" w:hAnsiTheme="minorHAnsi" w:cstheme="minorHAnsi"/>
        </w:rPr>
        <w:t>Despite this potential change in dominant basal resources between seasons, there was no concurrent change in the overall food web structure in the upper Bremer River catchment study sites, with higher order consumers present in both the wet and dry sampling periods. Groundwater contributed to baseflow at these sites (</w:t>
      </w:r>
      <w:r w:rsidRPr="00747E35">
        <w:rPr>
          <w:rFonts w:asciiTheme="minorHAnsi" w:hAnsiTheme="minorHAnsi" w:cstheme="minorHAnsi"/>
        </w:rPr>
        <w:fldChar w:fldCharType="begin"/>
      </w:r>
      <w:r w:rsidRPr="00747E35">
        <w:rPr>
          <w:rFonts w:asciiTheme="minorHAnsi" w:hAnsiTheme="minorHAnsi" w:cstheme="minorHAnsi"/>
        </w:rPr>
        <w:instrText xml:space="preserve"> REF _Ref466023460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11</w:t>
      </w:r>
      <w:r w:rsidRPr="00747E35">
        <w:rPr>
          <w:rFonts w:asciiTheme="minorHAnsi" w:hAnsiTheme="minorHAnsi" w:cstheme="minorHAnsi"/>
        </w:rPr>
        <w:fldChar w:fldCharType="end"/>
      </w:r>
      <w:r w:rsidRPr="00747E35">
        <w:rPr>
          <w:rFonts w:asciiTheme="minorHAnsi" w:hAnsiTheme="minorHAnsi" w:cstheme="minorHAnsi"/>
        </w:rPr>
        <w:t xml:space="preserve">), which likely sustains residual aquatic habitats (i.e. pools) for longer periods of time than in non-groundwater influenced intermittent rivers. We therefore hypothesise that groundwater has a stabilising influence on food web structure within intermittent rivers by reducing periods when the streambed is completely dry, and thus enabling higher order consumers to persist in refuge habitats. In contrast, the intermittent study site at Maules Creek (Middle Creek) can cease to flow for long periods of time (see Component 3: Results – Physical Hydrology) and residual pools can dry, as was observed during dry-season sampling. The lack of residual aquatic habitats during dry periods may likely be a major factor explaining the lack of higher order consumers at this site. Increased flow intermittency has been demonstrated to decrease food-chain length and eliminate top predators </w:t>
      </w:r>
      <w:r w:rsidRPr="00747E35">
        <w:rPr>
          <w:rFonts w:asciiTheme="minorHAnsi" w:hAnsiTheme="minorHAnsi" w:cstheme="minorHAnsi"/>
        </w:rPr>
        <w:fldChar w:fldCharType="begin">
          <w:fldData xml:space="preserve">PEVuZE5vdGU+PENpdGU+PEF1dGhvcj5NY0h1Z2g8L0F1dGhvcj48WWVhcj4yMDE1PC9ZZWFyPjxS
ZWNOdW0+MTI5NzwvUmVjTnVtPjxEaXNwbGF5VGV4dD4oU2FibzxzdHlsZSBmYWNlPSJpdGFsaWMi
PiBldCBhbC48L3N0eWxlPiwgMjAxMDsgTWNIdWdoPHN0eWxlIGZhY2U9Iml0YWxpYyI+IGV0IGFs
Ljwvc3R5bGU+LCAyMDE1KTwvRGlzcGxheVRleHQ+PHJlY29yZD48cmVjLW51bWJlcj4xMjk3PC9y
ZWMtbnVtYmVyPjxmb3JlaWduLWtleXM+PGtleSBhcHA9IkVOIiBkYi1pZD0iZjA5endkZjI2eGVh
c2FldnZzanh2MDBoOXJ4MnY5eGFyZnN3IiB0aW1lc3RhbXA9IjE0NzM2NTYwNDkiPjEyOTc8L2tl
eT48L2ZvcmVpZ24ta2V5cz48cmVmLXR5cGUgbmFtZT0iSm91cm5hbCBBcnRpY2xlIj4xNzwvcmVm
LXR5cGU+PGNvbnRyaWJ1dG9ycz48YXV0aG9ycz48YXV0aG9yPk1jSHVnaCwgUC4gQS48L2F1dGhv
cj48YXV0aG9yPlRob21wc29uLCBSLiBNLjwvYXV0aG9yPjxhdXRob3I+R3JlaWcsIEguIFMuPC9h
dXRob3I+PGF1dGhvcj5XYXJidXJ0b24sIEguIEouPC9hdXRob3I+PGF1dGhvcj5NY0ludG9zaCwg
QS4gUi48L2F1dGhvcj48L2F1dGhvcnM+PC9jb250cmlidXRvcnM+PHRpdGxlcz48dGl0bGU+SGFi
aXRhdCBzaXplIGluZmx1ZW5jZXMgZm9vZCB3ZWIgc3RydWN0dXJlIGluIGRyeWluZyBzdHJlYW1z
PC90aXRsZT48c2Vjb25kYXJ5LXRpdGxlPkVjb2dyYXBoeTwvc2Vjb25kYXJ5LXRpdGxlPjwvdGl0
bGVzPjxwZXJpb2RpY2FsPjxmdWxsLXRpdGxlPkVjb2dyYXBoeTwvZnVsbC10aXRsZT48L3Blcmlv
ZGljYWw+PHBhZ2VzPjcwMC03MTI8L3BhZ2VzPjx2b2x1bWU+Mzg8L3ZvbHVtZT48bnVtYmVyPjc8
L251bWJlcj48ZGF0ZXM+PHllYXI+MjAxNTwveWVhcj48L2RhdGVzPjx3b3JrLXR5cGU+QXJ0aWNs
ZTwvd29yay10eXBlPjx1cmxzPjxyZWxhdGVkLXVybHM+PHVybD5odHRwczovL3d3dy5zY29wdXMu
Y29tL2lud2FyZC9yZWNvcmQudXJpP2VpZD0yLXMyLjAtODQ5MzM1MzEyNTUmYW1wO3BhcnRuZXJJ
RD00MCZhbXA7bWQ1PTI0Yjc5N2UwZGVkNzFiNTU3OGRkMzgwZThhZDUxOWY0PC91cmw+PC9yZWxh
dGVkLXVybHM+PC91cmxzPjxlbGVjdHJvbmljLXJlc291cmNlLW51bT4xMC4xMTExL2Vjb2cuMDEx
OTM8L2VsZWN0cm9uaWMtcmVzb3VyY2UtbnVtPjxyZW1vdGUtZGF0YWJhc2UtbmFtZT5TY29wdXM8
L3JlbW90ZS1kYXRhYmFzZS1uYW1lPjwvcmVjb3JkPjwvQ2l0ZT48Q2l0ZT48QXV0aG9yPlNhYm88
L0F1dGhvcj48WWVhcj4yMDEwPC9ZZWFyPjxSZWNOdW0+MTMzNzwvUmVjTnVtPjxyZWNvcmQ+PHJl
Yy1udW1iZXI+MTMzNzwvcmVjLW51bWJlcj48Zm9yZWlnbi1rZXlzPjxrZXkgYXBwPSJFTiIgZGIt
aWQ9ImYwOXp3ZGYyNnhlYXNhZXZ2c2p4djAwaDlyeDJ2OXhhcmZzdyIgdGltZXN0YW1wPSIxNDc3
NjIwMTA3Ij4xMzM3PC9rZXk+PC9mb3JlaWduLWtleXM+PHJlZi10eXBlIG5hbWU9IkpvdXJuYWwg
QXJ0aWNsZSI+MTc8L3JlZi10eXBlPjxjb250cmlidXRvcnM+PGF1dGhvcnM+PGF1dGhvcj5TYWJv
LCBKb2huIEwuPC9hdXRob3I+PGF1dGhvcj5GaW5sYXksIEphY3F1ZXMgQy48L2F1dGhvcj48YXV0
aG9yPktlbm5lZHksIFRoZW9kb3JlPC9hdXRob3I+PGF1dGhvcj5Qb3N0LCBEYXZpZCBNLjwvYXV0
aG9yPjwvYXV0aG9ycz48L2NvbnRyaWJ1dG9ycz48dGl0bGVzPjx0aXRsZT5UaGUgcm9sZSBvZiBk
aXNjaGFyZ2UgdmFyaWF0aW9uIGluIHNjYWxpbmcgb2YgZHJhaW5hZ2UgYXJlYSBhbmQgZm9vZCBj
aGFpbiBsZW5ndGggaW4gcml2ZXJzPC90aXRsZT48c2Vjb25kYXJ5LXRpdGxlPlNjaWVuY2U8L3Nl
Y29uZGFyeS10aXRsZT48L3RpdGxlcz48cGVyaW9kaWNhbD48ZnVsbC10aXRsZT5TY2llbmNlPC9m
dWxsLXRpdGxlPjwvcGVyaW9kaWNhbD48cGFnZXM+OTY1LTk2NzwvcGFnZXM+PHZvbHVtZT4zMzA8
L3ZvbHVtZT48bnVtYmVyPjYwMDY8L251bWJlcj48ZGF0ZXM+PHllYXI+MjAxMDwveWVhcj48L2Rh
dGVzPjx1cmxzPjwvdXJscz48ZWxlY3Ryb25pYy1yZXNvdXJjZS1udW0+MTAuMTEyNi9zY2llbmNl
LjExOTYwMDU8L2VsZWN0cm9uaWMtcmVzb3VyY2UtbnVtPjwvcmVjb3JkPjwvQ2l0ZT48L0VuZE5v
dGU+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PEVuZE5vdGU+PENpdGU+PEF1dGhvcj5NY0h1Z2g8L0F1dGhvcj48WWVhcj4yMDE1PC9ZZWFyPjxS
ZWNOdW0+MTI5NzwvUmVjTnVtPjxEaXNwbGF5VGV4dD4oU2FibzxzdHlsZSBmYWNlPSJpdGFsaWMi
PiBldCBhbC48L3N0eWxlPiwgMjAxMDsgTWNIdWdoPHN0eWxlIGZhY2U9Iml0YWxpYyI+IGV0IGFs
Ljwvc3R5bGU+LCAyMDE1KTwvRGlzcGxheVRleHQ+PHJlY29yZD48cmVjLW51bWJlcj4xMjk3PC9y
ZWMtbnVtYmVyPjxmb3JlaWduLWtleXM+PGtleSBhcHA9IkVOIiBkYi1pZD0iZjA5endkZjI2eGVh
c2FldnZzanh2MDBoOXJ4MnY5eGFyZnN3IiB0aW1lc3RhbXA9IjE0NzM2NTYwNDkiPjEyOTc8L2tl
eT48L2ZvcmVpZ24ta2V5cz48cmVmLXR5cGUgbmFtZT0iSm91cm5hbCBBcnRpY2xlIj4xNzwvcmVm
LXR5cGU+PGNvbnRyaWJ1dG9ycz48YXV0aG9ycz48YXV0aG9yPk1jSHVnaCwgUC4gQS48L2F1dGhv
cj48YXV0aG9yPlRob21wc29uLCBSLiBNLjwvYXV0aG9yPjxhdXRob3I+R3JlaWcsIEguIFMuPC9h
dXRob3I+PGF1dGhvcj5XYXJidXJ0b24sIEguIEouPC9hdXRob3I+PGF1dGhvcj5NY0ludG9zaCwg
QS4gUi48L2F1dGhvcj48L2F1dGhvcnM+PC9jb250cmlidXRvcnM+PHRpdGxlcz48dGl0bGU+SGFi
aXRhdCBzaXplIGluZmx1ZW5jZXMgZm9vZCB3ZWIgc3RydWN0dXJlIGluIGRyeWluZyBzdHJlYW1z
PC90aXRsZT48c2Vjb25kYXJ5LXRpdGxlPkVjb2dyYXBoeTwvc2Vjb25kYXJ5LXRpdGxlPjwvdGl0
bGVzPjxwZXJpb2RpY2FsPjxmdWxsLXRpdGxlPkVjb2dyYXBoeTwvZnVsbC10aXRsZT48L3Blcmlv
ZGljYWw+PHBhZ2VzPjcwMC03MTI8L3BhZ2VzPjx2b2x1bWU+Mzg8L3ZvbHVtZT48bnVtYmVyPjc8
L251bWJlcj48ZGF0ZXM+PHllYXI+MjAxNTwveWVhcj48L2RhdGVzPjx3b3JrLXR5cGU+QXJ0aWNs
ZTwvd29yay10eXBlPjx1cmxzPjxyZWxhdGVkLXVybHM+PHVybD5odHRwczovL3d3dy5zY29wdXMu
Y29tL2lud2FyZC9yZWNvcmQudXJpP2VpZD0yLXMyLjAtODQ5MzM1MzEyNTUmYW1wO3BhcnRuZXJJ
RD00MCZhbXA7bWQ1PTI0Yjc5N2UwZGVkNzFiNTU3OGRkMzgwZThhZDUxOWY0PC91cmw+PC9yZWxh
dGVkLXVybHM+PC91cmxzPjxlbGVjdHJvbmljLXJlc291cmNlLW51bT4xMC4xMTExL2Vjb2cuMDEx
OTM8L2VsZWN0cm9uaWMtcmVzb3VyY2UtbnVtPjxyZW1vdGUtZGF0YWJhc2UtbmFtZT5TY29wdXM8
L3JlbW90ZS1kYXRhYmFzZS1uYW1lPjwvcmVjb3JkPjwvQ2l0ZT48Q2l0ZT48QXV0aG9yPlNhYm88
L0F1dGhvcj48WWVhcj4yMDEwPC9ZZWFyPjxSZWNOdW0+MTMzNzwvUmVjTnVtPjxyZWNvcmQ+PHJl
Yy1udW1iZXI+MTMzNzwvcmVjLW51bWJlcj48Zm9yZWlnbi1rZXlzPjxrZXkgYXBwPSJFTiIgZGIt
aWQ9ImYwOXp3ZGYyNnhlYXNhZXZ2c2p4djAwaDlyeDJ2OXhhcmZzdyIgdGltZXN0YW1wPSIxNDc3
NjIwMTA3Ij4xMzM3PC9rZXk+PC9mb3JlaWduLWtleXM+PHJlZi10eXBlIG5hbWU9IkpvdXJuYWwg
QXJ0aWNsZSI+MTc8L3JlZi10eXBlPjxjb250cmlidXRvcnM+PGF1dGhvcnM+PGF1dGhvcj5TYWJv
LCBKb2huIEwuPC9hdXRob3I+PGF1dGhvcj5GaW5sYXksIEphY3F1ZXMgQy48L2F1dGhvcj48YXV0
aG9yPktlbm5lZHksIFRoZW9kb3JlPC9hdXRob3I+PGF1dGhvcj5Qb3N0LCBEYXZpZCBNLjwvYXV0
aG9yPjwvYXV0aG9ycz48L2NvbnRyaWJ1dG9ycz48dGl0bGVzPjx0aXRsZT5UaGUgcm9sZSBvZiBk
aXNjaGFyZ2UgdmFyaWF0aW9uIGluIHNjYWxpbmcgb2YgZHJhaW5hZ2UgYXJlYSBhbmQgZm9vZCBj
aGFpbiBsZW5ndGggaW4gcml2ZXJzPC90aXRsZT48c2Vjb25kYXJ5LXRpdGxlPlNjaWVuY2U8L3Nl
Y29uZGFyeS10aXRsZT48L3RpdGxlcz48cGVyaW9kaWNhbD48ZnVsbC10aXRsZT5TY2llbmNlPC9m
dWxsLXRpdGxlPjwvcGVyaW9kaWNhbD48cGFnZXM+OTY1LTk2NzwvcGFnZXM+PHZvbHVtZT4zMzA8
L3ZvbHVtZT48bnVtYmVyPjYwMDY8L251bWJlcj48ZGF0ZXM+PHllYXI+MjAxMDwveWVhcj48L2Rh
dGVzPjx1cmxzPjwvdXJscz48ZWxlY3Ryb25pYy1yZXNvdXJjZS1udW0+MTAuMTEyNi9zY2llbmNl
LjExOTYwMDU8L2VsZWN0cm9uaWMtcmVzb3VyY2UtbnVtPjwvcmVjb3JkPjwvQ2l0ZT48L0VuZE5v
dGU+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(Sabo</w:t>
      </w:r>
      <w:r w:rsidRPr="00747E35">
        <w:rPr>
          <w:rFonts w:asciiTheme="minorHAnsi" w:hAnsiTheme="minorHAnsi" w:cstheme="minorHAnsi"/>
          <w:i/>
          <w:noProof/>
        </w:rPr>
        <w:t xml:space="preserve"> et al.</w:t>
      </w:r>
      <w:r w:rsidRPr="00747E35">
        <w:rPr>
          <w:rFonts w:asciiTheme="minorHAnsi" w:hAnsiTheme="minorHAnsi" w:cstheme="minorHAnsi"/>
          <w:noProof/>
        </w:rPr>
        <w:t>, 2010; McHugh</w:t>
      </w:r>
      <w:r w:rsidRPr="00747E35">
        <w:rPr>
          <w:rFonts w:asciiTheme="minorHAnsi" w:hAnsiTheme="minorHAnsi" w:cstheme="minorHAnsi"/>
          <w:i/>
          <w:noProof/>
        </w:rPr>
        <w:t xml:space="preserve"> et al.</w:t>
      </w:r>
      <w:r w:rsidRPr="00747E35">
        <w:rPr>
          <w:rFonts w:asciiTheme="minorHAnsi" w:hAnsiTheme="minorHAnsi" w:cstheme="minorHAnsi"/>
          <w:noProof/>
        </w:rPr>
        <w:t>, 2015)</w:t>
      </w:r>
      <w:r w:rsidRPr="00747E35">
        <w:rPr>
          <w:rFonts w:asciiTheme="minorHAnsi" w:hAnsiTheme="minorHAnsi" w:cstheme="minorHAnsi"/>
        </w:rPr>
        <w:fldChar w:fldCharType="end"/>
      </w:r>
      <w:r w:rsidRPr="00747E35">
        <w:rPr>
          <w:rFonts w:asciiTheme="minorHAnsi" w:hAnsiTheme="minorHAnsi" w:cstheme="minorHAnsi"/>
        </w:rPr>
        <w:t>. Therefore, variation in the food web structure among sites in the upper Bremer River catchment and Maules Creek catchment offer</w:t>
      </w:r>
      <w:r w:rsidR="00847A55">
        <w:rPr>
          <w:rFonts w:asciiTheme="minorHAnsi" w:hAnsiTheme="minorHAnsi" w:cstheme="minorHAnsi"/>
        </w:rPr>
        <w:t>s</w:t>
      </w:r>
      <w:r w:rsidRPr="00747E35">
        <w:rPr>
          <w:rFonts w:asciiTheme="minorHAnsi" w:hAnsiTheme="minorHAnsi" w:cstheme="minorHAnsi"/>
        </w:rPr>
        <w:t xml:space="preserve"> a glimpse as to the effect of increased flow intermittency and/or reduced groundwater contributions to flow.</w:t>
      </w:r>
    </w:p>
    <w:p w14:paraId="79ABDBC2"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t>The δ</w:t>
      </w:r>
      <w:r w:rsidRPr="00747E35">
        <w:rPr>
          <w:rFonts w:asciiTheme="minorHAnsi" w:hAnsiTheme="minorHAnsi" w:cstheme="minorHAnsi"/>
          <w:vertAlign w:val="superscript"/>
        </w:rPr>
        <w:t>13</w:t>
      </w:r>
      <w:r w:rsidRPr="00747E35">
        <w:rPr>
          <w:rFonts w:asciiTheme="minorHAnsi" w:hAnsiTheme="minorHAnsi" w:cstheme="minorHAnsi"/>
        </w:rPr>
        <w:t>C – depleted nature of food webs</w:t>
      </w:r>
    </w:p>
    <w:p w14:paraId="511A8A13"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Food webs in both regions were much more depleted in δ</w:t>
      </w:r>
      <w:r w:rsidRPr="00747E35">
        <w:rPr>
          <w:rFonts w:asciiTheme="minorHAnsi" w:hAnsiTheme="minorHAnsi" w:cstheme="minorHAnsi"/>
          <w:vertAlign w:val="superscript"/>
        </w:rPr>
        <w:t>13</w:t>
      </w:r>
      <w:r w:rsidRPr="00747E35">
        <w:rPr>
          <w:rFonts w:asciiTheme="minorHAnsi" w:hAnsiTheme="minorHAnsi" w:cstheme="minorHAnsi"/>
        </w:rPr>
        <w:t>C than is normally expected from algal- and detrital-based food webs, which typically cluster around -30 to -28‰ for δ</w:t>
      </w:r>
      <w:r w:rsidRPr="00747E35">
        <w:rPr>
          <w:rFonts w:asciiTheme="minorHAnsi" w:hAnsiTheme="minorHAnsi" w:cstheme="minorHAnsi"/>
          <w:vertAlign w:val="superscript"/>
        </w:rPr>
        <w:t>13</w:t>
      </w:r>
      <w:r w:rsidRPr="00747E35">
        <w:rPr>
          <w:rFonts w:asciiTheme="minorHAnsi" w:hAnsiTheme="minorHAnsi" w:cstheme="minorHAnsi"/>
        </w:rPr>
        <w:t xml:space="preserve">C </w:t>
      </w:r>
      <w:r w:rsidRPr="00747E35">
        <w:rPr>
          <w:rFonts w:asciiTheme="minorHAnsi" w:hAnsiTheme="minorHAnsi" w:cstheme="minorHAnsi"/>
        </w:rPr>
        <w:fldChar w:fldCharType="begin">
          <w:fldData xml:space="preserve">PEVuZE5vdGU+PENpdGU+PEF1dGhvcj5SZWlkPC9BdXRob3I+PFllYXI+MjAwODwvWWVhcj48UmVj
TnVtPjEzMTM8L1JlY051bT48RGlzcGxheVRleHQ+KFJlaWQ8c3R5bGUgZmFjZT0iaXRhbGljIj4g
ZXQgYWwuPC9zdHlsZT4sIDIwMDg7IFBldHRpdDxzdHlsZSBmYWNlPSJpdGFsaWMiPiBldCBhbC48
L3N0eWxlPiwgMjAxNik8L0Rpc3BsYXlUZXh0PjxyZWNvcmQ+PHJlYy1udW1iZXI+MTMxMzwvcmVj
LW51bWJlcj48Zm9yZWlnbi1rZXlzPjxrZXkgYXBwPSJFTiIgZGItaWQ9ImYwOXp3ZGYyNnhlYXNh
ZXZ2c2p4djAwaDlyeDJ2OXhhcmZzdyIgdGltZXN0YW1wPSIxNDc2OTI1ODQyIj4xMzEzPC9rZXk+
PC9mb3JlaWduLWtleXM+PHJlZi10eXBlIG5hbWU9IkpvdXJuYWwgQXJ0aWNsZSI+MTc8L3JlZi10
eXBlPjxjb250cmlidXRvcnM+PGF1dGhvcnM+PGF1dGhvcj5SZWlkLCBEYXZpZCBKLjwvYXV0aG9y
PjxhdXRob3I+UXVpbm4sIEdlcnJ5IFAuPC9hdXRob3I+PGF1dGhvcj5MYWtlLCBQLiBTLjwvYXV0
aG9yPjxhdXRob3I+UmVpY2gsIFBhdWw8L2F1dGhvcj48L2F1dGhvcnM+PC9jb250cmlidXRvcnM+
PHRpdGxlcz48dGl0bGU+VGVycmVzdHJpYWwgZGV0cml0dXMgc3VwcG9ydHMgdGhlIGZvb2Qgd2Vi
cyBpbiBsb3dsYW5kIGludGVybWl0dGVudCBzdHJlYW1zIG9mIHNvdXRoLWVhc3Rlcm4gQXVzdHJh
bGlhOiBhIHN0YWJsZSBpc290b3BlIHN0dWR5PC90aXRsZT48c2Vjb25kYXJ5LXRpdGxlPkZyZXNo
d2F0ZXIgQmlvbG9neTwvc2Vjb25kYXJ5LXRpdGxlPjwvdGl0bGVzPjxwZXJpb2RpY2FsPjxmdWxs
LXRpdGxlPkZyZXNod2F0ZXIgQmlvbG9neTwvZnVsbC10aXRsZT48L3BlcmlvZGljYWw+PHBhZ2Vz
PjIwMzYtMjA1MDwvcGFnZXM+PHZvbHVtZT41Mzwvdm9sdW1lPjxudW1iZXI+MTA8L251bWJlcj48
a2V5d29yZHM+PGtleXdvcmQ+YWxnYWU8L2tleXdvcmQ+PGtleXdvcmQ+YWxsb2NodGhvbm91czwv
a2V5d29yZD48a2V5d29yZD5FdWNhbHlwdHVzIGNhbWFsZHVsZW5zaXM8L2tleXdvcmQ+PGtleXdv
cmQ+Z2VuZXJhbGlzdDwva2V5d29yZD48a2V5d29yZD5tYWNyb2ludmVydGVicmF0ZTwva2V5d29y
ZD48L2tleXdvcmRzPjxkYXRlcz48eWVhcj4yMDA4PC95ZWFyPjwvZGF0ZXM+PHB1Ymxpc2hlcj5C
bGFja3dlbGwgUHVibGlzaGluZyBMdGQ8L3B1Ymxpc2hlcj48aXNibj4xMzY1LTI0Mjc8L2lzYm4+
PHVybHM+PHJlbGF0ZWQtdXJscz48dXJsPmh0dHA6Ly9keC5kb2kub3JnLzEwLjExMTEvai4xMzY1
LTI0MjcuMjAwOC4wMjAyNS54PC91cmw+PC9yZWxhdGVkLXVybHM+PC91cmxzPjxlbGVjdHJvbmlj
LXJlc291cmNlLW51bT4xMC4xMTExL2ouMTM2NS0yNDI3LjIwMDguMDIwMjUueDwvZWxlY3Ryb25p
Yy1yZXNvdXJjZS1udW0+PC9yZWNvcmQ+PC9DaXRlPjxDaXRlPjxBdXRob3I+UGV0dGl0PC9BdXRo
b3I+PFllYXI+MjAxNjwvWWVhcj48UmVjTnVtPjEyNjk8L1JlY051bT48cmVjb3JkPjxyZWMtbnVt
YmVyPjEyNjk8L3JlYy1udW1iZXI+PGZvcmVpZ24ta2V5cz48a2V5IGFwcD0iRU4iIGRiLWlkPSJm
MDl6d2RmMjZ4ZWFzYWV2dnNqeHYwMGg5cngydjl4YXJmc3ciIHRpbWVzdGFtcD0iMTQ2NTI3NDI2
MSI+MTI2OTwva2V5PjwvZm9yZWlnbi1rZXlzPjxyZWYtdHlwZSBuYW1lPSJKb3VybmFsIEFydGlj
bGUiPjE3PC9yZWYtdHlwZT48Y29udHJpYnV0b3JzPjxhdXRob3JzPjxhdXRob3I+UGV0dGl0LCBO
RTwvYXV0aG9yPjxhdXRob3I+V2FyZmUsIERNPC9hdXRob3I+PGF1dGhvcj5DbG9zZSwgUEc8L2F1
dGhvcj48YXV0aG9yPlB1c2V5LCBCSjwvYXV0aG9yPjxhdXRob3I+RG9iYnMsIFI8L2F1dGhvcj48
YXV0aG9yPkRhdmllcywgQzwvYXV0aG9yPjxhdXRob3I+VmFsZGV6LCBEPC9hdXRob3I+PGF1dGhv
cj5EYXZpZXMsIFBNPC9hdXRob3I+PC9hdXRob3JzPjwvY29udHJpYnV0b3JzPjx0aXRsZXM+PHRp
dGxlPkNhcmJvbiBzb3VyY2VzIGZvciBhcXVhdGljIGZvb2Qgd2VicyBvZiByaXZlcmluZSBhbmQg
bGFjdXN0cmluZSB0cm9waWNhbCB3YXRlcmhvbGVzIHdpdGggdmFyaWFibGUgZ3JvdW5kd2F0ZXIg
aW5mbHVlbmNlPC90aXRsZT48c2Vjb25kYXJ5LXRpdGxlPk1hcmluZSBhbmQgRnJlc2h3YXRlciBS
ZXNlYXJjaDwvc2Vjb25kYXJ5LXRpdGxlPjwvdGl0bGVzPjxwZXJpb2RpY2FsPjxmdWxsLXRpdGxl
Pk1hcmluZSBhbmQgRnJlc2h3YXRlciBSZXNlYXJjaDwvZnVsbC10aXRsZT48L3BlcmlvZGljYWw+
PGRhdGVzPjx5ZWFyPjIwMTY8L3llYXI+PC9kYXRlcz48aXNibj4xNDQ4LTYwNTk8L2lzYm4+PHVy
bHM+PC91cmxzPjwvcmVjb3JkPjwvQ2l0ZT48L0VuZE5vdGU+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PEVuZE5vdGU+PENpdGU+PEF1dGhvcj5SZWlkPC9BdXRob3I+PFllYXI+MjAwODwvWWVhcj48UmVj
TnVtPjEzMTM8L1JlY051bT48RGlzcGxheVRleHQ+KFJlaWQ8c3R5bGUgZmFjZT0iaXRhbGljIj4g
ZXQgYWwuPC9zdHlsZT4sIDIwMDg7IFBldHRpdDxzdHlsZSBmYWNlPSJpdGFsaWMiPiBldCBhbC48
L3N0eWxlPiwgMjAxNik8L0Rpc3BsYXlUZXh0PjxyZWNvcmQ+PHJlYy1udW1iZXI+MTMxMzwvcmVj
LW51bWJlcj48Zm9yZWlnbi1rZXlzPjxrZXkgYXBwPSJFTiIgZGItaWQ9ImYwOXp3ZGYyNnhlYXNh
ZXZ2c2p4djAwaDlyeDJ2OXhhcmZzdyIgdGltZXN0YW1wPSIxNDc2OTI1ODQyIj4xMzEzPC9rZXk+
PC9mb3JlaWduLWtleXM+PHJlZi10eXBlIG5hbWU9IkpvdXJuYWwgQXJ0aWNsZSI+MTc8L3JlZi10
eXBlPjxjb250cmlidXRvcnM+PGF1dGhvcnM+PGF1dGhvcj5SZWlkLCBEYXZpZCBKLjwvYXV0aG9y
PjxhdXRob3I+UXVpbm4sIEdlcnJ5IFAuPC9hdXRob3I+PGF1dGhvcj5MYWtlLCBQLiBTLjwvYXV0
aG9yPjxhdXRob3I+UmVpY2gsIFBhdWw8L2F1dGhvcj48L2F1dGhvcnM+PC9jb250cmlidXRvcnM+
PHRpdGxlcz48dGl0bGU+VGVycmVzdHJpYWwgZGV0cml0dXMgc3VwcG9ydHMgdGhlIGZvb2Qgd2Vi
cyBpbiBsb3dsYW5kIGludGVybWl0dGVudCBzdHJlYW1zIG9mIHNvdXRoLWVhc3Rlcm4gQXVzdHJh
bGlhOiBhIHN0YWJsZSBpc290b3BlIHN0dWR5PC90aXRsZT48c2Vjb25kYXJ5LXRpdGxlPkZyZXNo
d2F0ZXIgQmlvbG9neTwvc2Vjb25kYXJ5LXRpdGxlPjwvdGl0bGVzPjxwZXJpb2RpY2FsPjxmdWxs
LXRpdGxlPkZyZXNod2F0ZXIgQmlvbG9neTwvZnVsbC10aXRsZT48L3BlcmlvZGljYWw+PHBhZ2Vz
PjIwMzYtMjA1MDwvcGFnZXM+PHZvbHVtZT41Mzwvdm9sdW1lPjxudW1iZXI+MTA8L251bWJlcj48
a2V5d29yZHM+PGtleXdvcmQ+YWxnYWU8L2tleXdvcmQ+PGtleXdvcmQ+YWxsb2NodGhvbm91czwv
a2V5d29yZD48a2V5d29yZD5FdWNhbHlwdHVzIGNhbWFsZHVsZW5zaXM8L2tleXdvcmQ+PGtleXdv
cmQ+Z2VuZXJhbGlzdDwva2V5d29yZD48a2V5d29yZD5tYWNyb2ludmVydGVicmF0ZTwva2V5d29y
ZD48L2tleXdvcmRzPjxkYXRlcz48eWVhcj4yMDA4PC95ZWFyPjwvZGF0ZXM+PHB1Ymxpc2hlcj5C
bGFja3dlbGwgUHVibGlzaGluZyBMdGQ8L3B1Ymxpc2hlcj48aXNibj4xMzY1LTI0Mjc8L2lzYm4+
PHVybHM+PHJlbGF0ZWQtdXJscz48dXJsPmh0dHA6Ly9keC5kb2kub3JnLzEwLjExMTEvai4xMzY1
LTI0MjcuMjAwOC4wMjAyNS54PC91cmw+PC9yZWxhdGVkLXVybHM+PC91cmxzPjxlbGVjdHJvbmlj
LXJlc291cmNlLW51bT4xMC4xMTExL2ouMTM2NS0yNDI3LjIwMDguMDIwMjUueDwvZWxlY3Ryb25p
Yy1yZXNvdXJjZS1udW0+PC9yZWNvcmQ+PC9DaXRlPjxDaXRlPjxBdXRob3I+UGV0dGl0PC9BdXRo
b3I+PFllYXI+MjAxNjwvWWVhcj48UmVjTnVtPjEyNjk8L1JlY051bT48cmVjb3JkPjxyZWMtbnVt
YmVyPjEyNjk8L3JlYy1udW1iZXI+PGZvcmVpZ24ta2V5cz48a2V5IGFwcD0iRU4iIGRiLWlkPSJm
MDl6d2RmMjZ4ZWFzYWV2dnNqeHYwMGg5cngydjl4YXJmc3ciIHRpbWVzdGFtcD0iMTQ2NTI3NDI2
MSI+MTI2OTwva2V5PjwvZm9yZWlnbi1rZXlzPjxyZWYtdHlwZSBuYW1lPSJKb3VybmFsIEFydGlj
bGUiPjE3PC9yZWYtdHlwZT48Y29udHJpYnV0b3JzPjxhdXRob3JzPjxhdXRob3I+UGV0dGl0LCBO
RTwvYXV0aG9yPjxhdXRob3I+V2FyZmUsIERNPC9hdXRob3I+PGF1dGhvcj5DbG9zZSwgUEc8L2F1
dGhvcj48YXV0aG9yPlB1c2V5LCBCSjwvYXV0aG9yPjxhdXRob3I+RG9iYnMsIFI8L2F1dGhvcj48
YXV0aG9yPkRhdmllcywgQzwvYXV0aG9yPjxhdXRob3I+VmFsZGV6LCBEPC9hdXRob3I+PGF1dGhv
cj5EYXZpZXMsIFBNPC9hdXRob3I+PC9hdXRob3JzPjwvY29udHJpYnV0b3JzPjx0aXRsZXM+PHRp
dGxlPkNhcmJvbiBzb3VyY2VzIGZvciBhcXVhdGljIGZvb2Qgd2VicyBvZiByaXZlcmluZSBhbmQg
bGFjdXN0cmluZSB0cm9waWNhbCB3YXRlcmhvbGVzIHdpdGggdmFyaWFibGUgZ3JvdW5kd2F0ZXIg
aW5mbHVlbmNlPC90aXRsZT48c2Vjb25kYXJ5LXRpdGxlPk1hcmluZSBhbmQgRnJlc2h3YXRlciBS
ZXNlYXJjaDwvc2Vjb25kYXJ5LXRpdGxlPjwvdGl0bGVzPjxwZXJpb2RpY2FsPjxmdWxsLXRpdGxl
Pk1hcmluZSBhbmQgRnJlc2h3YXRlciBSZXNlYXJjaDwvZnVsbC10aXRsZT48L3BlcmlvZGljYWw+
PGRhdGVzPjx5ZWFyPjIwMTY8L3llYXI+PC9kYXRlcz48aXNibj4xNDQ4LTYwNTk8L2lzYm4+PHVy
bHM+PC91cmxzPjwvcmVjb3JkPjwvQ2l0ZT48L0VuZE5vdGU+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(Reid</w:t>
      </w:r>
      <w:r w:rsidRPr="00747E35">
        <w:rPr>
          <w:rFonts w:asciiTheme="minorHAnsi" w:hAnsiTheme="minorHAnsi" w:cstheme="minorHAnsi"/>
          <w:i/>
          <w:noProof/>
        </w:rPr>
        <w:t xml:space="preserve"> et al.</w:t>
      </w:r>
      <w:r w:rsidRPr="00747E35">
        <w:rPr>
          <w:rFonts w:asciiTheme="minorHAnsi" w:hAnsiTheme="minorHAnsi" w:cstheme="minorHAnsi"/>
          <w:noProof/>
        </w:rPr>
        <w:t>, 2008; Pettit</w:t>
      </w:r>
      <w:r w:rsidRPr="00747E35">
        <w:rPr>
          <w:rFonts w:asciiTheme="minorHAnsi" w:hAnsiTheme="minorHAnsi" w:cstheme="minorHAnsi"/>
          <w:i/>
          <w:noProof/>
        </w:rPr>
        <w:t xml:space="preserve"> et al.</w:t>
      </w:r>
      <w:r w:rsidRPr="00747E35">
        <w:rPr>
          <w:rFonts w:asciiTheme="minorHAnsi" w:hAnsiTheme="minorHAnsi" w:cstheme="minorHAnsi"/>
          <w:noProof/>
        </w:rPr>
        <w:t xml:space="preserve">, </w:t>
      </w:r>
      <w:r w:rsidRPr="00747E35">
        <w:rPr>
          <w:rFonts w:asciiTheme="minorHAnsi" w:hAnsiTheme="minorHAnsi" w:cstheme="minorHAnsi"/>
          <w:noProof/>
        </w:rPr>
        <w:lastRenderedPageBreak/>
        <w:t>2016)</w:t>
      </w:r>
      <w:r w:rsidRPr="00747E35">
        <w:rPr>
          <w:rFonts w:asciiTheme="minorHAnsi" w:hAnsiTheme="minorHAnsi" w:cstheme="minorHAnsi"/>
        </w:rPr>
        <w:fldChar w:fldCharType="end"/>
      </w:r>
      <w:r w:rsidRPr="00747E35">
        <w:rPr>
          <w:rFonts w:asciiTheme="minorHAnsi" w:hAnsiTheme="minorHAnsi" w:cstheme="minorHAnsi"/>
        </w:rPr>
        <w:t xml:space="preserve">. We hypothesise that this is the result of substantial incorporation by algae of </w:t>
      </w:r>
      <w:r w:rsidRPr="00747E35">
        <w:rPr>
          <w:rFonts w:asciiTheme="minorHAnsi" w:hAnsiTheme="minorHAnsi" w:cstheme="minorHAnsi"/>
          <w:vertAlign w:val="superscript"/>
        </w:rPr>
        <w:t>13</w:t>
      </w:r>
      <w:r w:rsidRPr="00747E35">
        <w:rPr>
          <w:rFonts w:asciiTheme="minorHAnsi" w:hAnsiTheme="minorHAnsi" w:cstheme="minorHAnsi"/>
        </w:rPr>
        <w:t>C-depleted carbon dioxide (CO</w:t>
      </w:r>
      <w:r w:rsidRPr="00747E35">
        <w:rPr>
          <w:rFonts w:asciiTheme="minorHAnsi" w:hAnsiTheme="minorHAnsi" w:cstheme="minorHAnsi"/>
          <w:vertAlign w:val="subscript"/>
        </w:rPr>
        <w:t>2</w:t>
      </w:r>
      <w:r w:rsidRPr="00747E35">
        <w:rPr>
          <w:rFonts w:asciiTheme="minorHAnsi" w:hAnsiTheme="minorHAnsi" w:cstheme="minorHAnsi"/>
        </w:rPr>
        <w:t xml:space="preserve">) arising from either soil microbial respiration or microbial respiration in groundwater. Highly </w:t>
      </w:r>
      <w:r w:rsidRPr="00747E35">
        <w:rPr>
          <w:rFonts w:asciiTheme="minorHAnsi" w:hAnsiTheme="minorHAnsi" w:cstheme="minorHAnsi"/>
          <w:vertAlign w:val="superscript"/>
        </w:rPr>
        <w:t>13</w:t>
      </w:r>
      <w:r w:rsidRPr="00747E35">
        <w:rPr>
          <w:rFonts w:asciiTheme="minorHAnsi" w:hAnsiTheme="minorHAnsi" w:cstheme="minorHAnsi"/>
        </w:rPr>
        <w:t xml:space="preserve">C-depleted values of algae (-46.3‰) in a New Zealand mountain spring were also attributed to the incorporation of </w:t>
      </w:r>
      <w:r w:rsidRPr="00747E35">
        <w:rPr>
          <w:rFonts w:asciiTheme="minorHAnsi" w:hAnsiTheme="minorHAnsi" w:cstheme="minorHAnsi"/>
          <w:vertAlign w:val="superscript"/>
        </w:rPr>
        <w:t>13</w:t>
      </w:r>
      <w:r w:rsidRPr="00747E35">
        <w:rPr>
          <w:rFonts w:asciiTheme="minorHAnsi" w:hAnsiTheme="minorHAnsi" w:cstheme="minorHAnsi"/>
        </w:rPr>
        <w:t>C-depleted CO</w:t>
      </w:r>
      <w:r w:rsidRPr="00747E35">
        <w:rPr>
          <w:rFonts w:asciiTheme="minorHAnsi" w:hAnsiTheme="minorHAnsi" w:cstheme="minorHAnsi"/>
          <w:vertAlign w:val="subscript"/>
        </w:rPr>
        <w:t>2</w:t>
      </w:r>
      <w:r w:rsidRPr="00747E35">
        <w:rPr>
          <w:rFonts w:asciiTheme="minorHAnsi" w:hAnsiTheme="minorHAnsi" w:cstheme="minorHAnsi"/>
        </w:rPr>
        <w:t xml:space="preserve"> arising from soil community respiration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&lt;EndNote&gt;&lt;Cite&gt;&lt;Author&gt;Rounick&lt;/Author&gt;&lt;Year&gt;1984&lt;/Year&gt;&lt;RecNum&gt;1344&lt;/RecNum&gt;&lt;DisplayText&gt;(Rounick and James, 1984)&lt;/DisplayText&gt;&lt;record&gt;&lt;rec-number&gt;1344&lt;/rec-number&gt;&lt;foreign-keys&gt;&lt;key app="EN" db-id="f09zwdf26xeasaevvsjxv00h9rx2v9xarfsw" timestamp="1478065675"&gt;1344&lt;/key&gt;&lt;/foreign-keys&gt;&lt;ref-type name="Journal Article"&gt;17&lt;/ref-type&gt;&lt;contributors&gt;&lt;authors&gt;&lt;author&gt;Rounick, J. S.&lt;/author&gt;&lt;author&gt;James, M. R.&lt;/author&gt;&lt;/authors&gt;&lt;/contributors&gt;&lt;titles&gt;&lt;title&gt;Geothermal and cold springs faunas: Inorganic carbon sources affect isotope values&lt;/title&gt;&lt;secondary-title&gt;Limnology and Oceanography&lt;/secondary-title&gt;&lt;/titles&gt;&lt;periodical&gt;&lt;full-title&gt;Limnology and Oceanography&lt;/full-title&gt;&lt;/periodical&gt;&lt;pages&gt;386-389&lt;/pages&gt;&lt;volume&gt;29&lt;/volume&gt;&lt;number&gt;2&lt;/number&gt;&lt;dates&gt;&lt;year&gt;1984&lt;/year&gt;&lt;/dates&gt;&lt;isbn&gt;1939-5590&lt;/isbn&gt;&lt;urls&gt;&lt;related-urls&gt;&lt;url&gt;http://dx.doi.org/10.4319/lo.1984.29.2.0386&lt;/url&gt;&lt;/related-urls&gt;&lt;/urls&gt;&lt;electronic-resource-num&gt;10.4319/lo.1984.29.2.0386&lt;/electronic-resource-num&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(Rounick and James, 1984)</w:t>
      </w:r>
      <w:r w:rsidRPr="00747E35">
        <w:rPr>
          <w:rFonts w:asciiTheme="minorHAnsi" w:hAnsiTheme="minorHAnsi" w:cstheme="minorHAnsi"/>
        </w:rPr>
        <w:fldChar w:fldCharType="end"/>
      </w:r>
      <w:r w:rsidRPr="00747E35">
        <w:rPr>
          <w:rFonts w:asciiTheme="minorHAnsi" w:hAnsiTheme="minorHAnsi" w:cstheme="minorHAnsi"/>
        </w:rPr>
        <w:t>. The δ</w:t>
      </w:r>
      <w:r w:rsidRPr="00747E35">
        <w:rPr>
          <w:rFonts w:asciiTheme="minorHAnsi" w:hAnsiTheme="minorHAnsi" w:cstheme="minorHAnsi"/>
          <w:vertAlign w:val="superscript"/>
        </w:rPr>
        <w:t>13</w:t>
      </w:r>
      <w:r w:rsidRPr="00747E35">
        <w:rPr>
          <w:rFonts w:asciiTheme="minorHAnsi" w:hAnsiTheme="minorHAnsi" w:cstheme="minorHAnsi"/>
        </w:rPr>
        <w:t>C of dissolved inorganic carbon (DIC) in freshwaters ranges from -26 to 0‰ and fractionation due to photosynthesis depletes δ</w:t>
      </w:r>
      <w:r w:rsidRPr="00747E35">
        <w:rPr>
          <w:rFonts w:asciiTheme="minorHAnsi" w:hAnsiTheme="minorHAnsi" w:cstheme="minorHAnsi"/>
          <w:vertAlign w:val="superscript"/>
        </w:rPr>
        <w:t>13</w:t>
      </w:r>
      <w:r w:rsidRPr="00747E35">
        <w:rPr>
          <w:rFonts w:asciiTheme="minorHAnsi" w:hAnsiTheme="minorHAnsi" w:cstheme="minorHAnsi"/>
        </w:rPr>
        <w:t xml:space="preserve">C by 20‰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&lt;EndNote&gt;&lt;Cite&gt;&lt;Author&gt;Fry&lt;/Author&gt;&lt;Year&gt;2006&lt;/Year&gt;&lt;RecNum&gt;1332&lt;/RecNum&gt;&lt;DisplayText&gt;(Fry, 2006)&lt;/DisplayText&gt;&lt;record&gt;&lt;rec-number&gt;1332&lt;/rec-number&gt;&lt;foreign-keys&gt;&lt;key app="EN" db-id="f09zwdf26xeasaevvsjxv00h9rx2v9xarfsw" timestamp="1477528804"&gt;1332&lt;/key&gt;&lt;/foreign-keys&gt;&lt;ref-type name="Book"&gt;6&lt;/ref-type&gt;&lt;contributors&gt;&lt;authors&gt;&lt;author&gt;Fry, B.&lt;/author&gt;&lt;/authors&gt;&lt;/contributors&gt;&lt;titles&gt;&lt;title&gt;Stable isotope ecology&lt;/title&gt;&lt;secondary-title&gt;Stable Isotope Ecology&lt;/secondary-title&gt;&lt;/titles&gt;&lt;pages&gt;1-308&lt;/pages&gt;&lt;dates&gt;&lt;year&gt;2006&lt;/year&gt;&lt;/dates&gt;&lt;work-type&gt;Book&lt;/work-type&gt;&lt;urls&gt;&lt;related-urls&gt;&lt;url&gt;https://www.scopus.com/inward/record.uri?eid=2-s2.0-84900876067&amp;amp;partnerID=40&amp;amp;md5=a9a7c4c3c5f951f82befa489f780ad4b&lt;/url&gt;&lt;/related-urls&gt;&lt;/urls&gt;&lt;electronic-resource-num&gt;10.1007-0-387-33745-8&lt;/electronic-resource-num&gt;&lt;remote-database-name&gt;Scopus&lt;/remote-database-name&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(Fry, 2006)</w:t>
      </w:r>
      <w:r w:rsidRPr="00747E35">
        <w:rPr>
          <w:rFonts w:asciiTheme="minorHAnsi" w:hAnsiTheme="minorHAnsi" w:cstheme="minorHAnsi"/>
        </w:rPr>
        <w:fldChar w:fldCharType="end"/>
      </w:r>
      <w:r w:rsidRPr="00747E35">
        <w:rPr>
          <w:rFonts w:asciiTheme="minorHAnsi" w:hAnsiTheme="minorHAnsi" w:cstheme="minorHAnsi"/>
        </w:rPr>
        <w:t>. Therefore, an unmeasured algal food source, with a δ</w:t>
      </w:r>
      <w:r w:rsidRPr="00747E35">
        <w:rPr>
          <w:rFonts w:asciiTheme="minorHAnsi" w:hAnsiTheme="minorHAnsi" w:cstheme="minorHAnsi"/>
          <w:vertAlign w:val="superscript"/>
        </w:rPr>
        <w:t>13</w:t>
      </w:r>
      <w:r w:rsidRPr="00747E35">
        <w:rPr>
          <w:rFonts w:asciiTheme="minorHAnsi" w:hAnsiTheme="minorHAnsi" w:cstheme="minorHAnsi"/>
        </w:rPr>
        <w:t xml:space="preserve">C ranging from 40 to -38‰, is likely contributing to food webs in both regions. Water samples from surface, hyporheic, and groundwater habitats will need to be analysed for </w:t>
      </w:r>
      <w:r w:rsidRPr="00747E35">
        <w:rPr>
          <w:rFonts w:asciiTheme="minorHAnsi" w:hAnsiTheme="minorHAnsi" w:cstheme="minorHAnsi"/>
          <w:vertAlign w:val="superscript"/>
        </w:rPr>
        <w:t>13</w:t>
      </w:r>
      <w:r w:rsidRPr="00747E35">
        <w:rPr>
          <w:rFonts w:asciiTheme="minorHAnsi" w:hAnsiTheme="minorHAnsi" w:cstheme="minorHAnsi"/>
        </w:rPr>
        <w:t xml:space="preserve">C values of DIC and dissolved organic C in order to resolve this issue (this sampling is occurring). Regardless, the highly </w:t>
      </w:r>
      <w:r w:rsidRPr="00747E35">
        <w:rPr>
          <w:rFonts w:asciiTheme="minorHAnsi" w:hAnsiTheme="minorHAnsi" w:cstheme="minorHAnsi"/>
          <w:vertAlign w:val="superscript"/>
        </w:rPr>
        <w:t>13</w:t>
      </w:r>
      <w:r w:rsidRPr="00747E35">
        <w:rPr>
          <w:rFonts w:asciiTheme="minorHAnsi" w:hAnsiTheme="minorHAnsi" w:cstheme="minorHAnsi"/>
        </w:rPr>
        <w:t>C-depleted values of consumers indicate that food webs in both catchments obtain a large contribution of energy from autochthonous sources.</w:t>
      </w:r>
    </w:p>
    <w:p w14:paraId="022FEAA0"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Aquatic food webs can also be depleted if methane-oxidising bacteria (MOB) form an important energy source for consumers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&lt;EndNote&gt;&lt;Cite&gt;&lt;Author&gt;Grey&lt;/Author&gt;&lt;Year&gt;2016&lt;/Year&gt;&lt;RecNum&gt;1280&lt;/RecNum&gt;&lt;DisplayText&gt;(Grey, 2016)&lt;/DisplayText&gt;&lt;record&gt;&lt;rec-number&gt;1280&lt;/rec-number&gt;&lt;foreign-keys&gt;&lt;key app="EN" db-id="f09zwdf26xeasaevvsjxv00h9rx2v9xarfsw" timestamp="1467254017"&gt;1280&lt;/key&gt;&lt;/foreign-keys&gt;&lt;ref-type name="Journal Article"&gt;17&lt;/ref-type&gt;&lt;contributors&gt;&lt;authors&gt;&lt;author&gt;Grey,Jonathan&lt;/author&gt;&lt;/authors&gt;&lt;/contributors&gt;&lt;auth-address&gt;(Prof Jonathan Grey,Lancaster University,Lancaster Environment Centre,Lancaster,LA1 4YQ,United Kingdom,j.grey@lancaster.ac.uk)&lt;/auth-address&gt;&lt;titles&gt;&lt;title&gt;The incredible lightness of being methane-fuelled: stable isotopes reveal alternative energy pathways in aquatic ecosystems and beyond&lt;/title&gt;&lt;secondary-title&gt;Frontiers in Ecology and Evolution&lt;/secondary-title&gt;&lt;short-title&gt;Identifying and tracking methane in food webs&lt;/short-title&gt;&lt;/titles&gt;&lt;periodical&gt;&lt;full-title&gt;Frontiers in Ecology and Evolution&lt;/full-title&gt;&lt;/periodical&gt;&lt;volume&gt;4&lt;/volume&gt;&lt;keywords&gt;&lt;keyword&gt;Carbon,Chironomidae,Fatty Acids,Hydrogen,Zooplankton,greenhouse gas,methanotrophy,biogeochemical cycles,trophic transfer,food web analysis&lt;/keyword&gt;&lt;/keywords&gt;&lt;dates&gt;&lt;year&gt;2016&lt;/year&gt;&lt;pub-dates&gt;&lt;date&gt;2016-February-11&lt;/date&gt;&lt;/pub-dates&gt;&lt;/dates&gt;&lt;isbn&gt;2296-701X&lt;/isbn&gt;&lt;work-type&gt;Review&lt;/work-type&gt;&lt;urls&gt;&lt;related-urls&gt;&lt;url&gt;http://www.frontiersin.org/Journal/Abstract.aspx?s=1504&amp;amp;name=population_dynamics&amp;amp;ART_DOI=10.3389/fevo.2016.00008&lt;/url&gt;&lt;/related-urls&gt;&lt;/urls&gt;&lt;electronic-resource-num&gt;10.3389/fevo.2016.00008&lt;/electronic-resource-num&gt;&lt;language&gt;English&lt;/language&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(Grey, 2016)</w:t>
      </w:r>
      <w:r w:rsidRPr="00747E35">
        <w:rPr>
          <w:rFonts w:asciiTheme="minorHAnsi" w:hAnsiTheme="minorHAnsi" w:cstheme="minorHAnsi"/>
        </w:rPr>
        <w:fldChar w:fldCharType="end"/>
      </w:r>
      <w:r w:rsidRPr="00747E35">
        <w:rPr>
          <w:rFonts w:asciiTheme="minorHAnsi" w:hAnsiTheme="minorHAnsi" w:cstheme="minorHAnsi"/>
        </w:rPr>
        <w:t>. MOB can convert substantial amounts of biogenic or thermogenic methane into microbial biomass. If this forms an important energy source for consumers, the entire food web may become depleted in δ</w:t>
      </w:r>
      <w:r w:rsidRPr="00747E35">
        <w:rPr>
          <w:rFonts w:asciiTheme="minorHAnsi" w:hAnsiTheme="minorHAnsi" w:cstheme="minorHAnsi"/>
          <w:vertAlign w:val="superscript"/>
        </w:rPr>
        <w:t>13</w:t>
      </w:r>
      <w:r w:rsidRPr="00747E35">
        <w:rPr>
          <w:rFonts w:asciiTheme="minorHAnsi" w:hAnsiTheme="minorHAnsi" w:cstheme="minorHAnsi"/>
        </w:rPr>
        <w:t xml:space="preserve">C values because methane-derived carbon can be as low as −110 to −50‰ depending on formation pathways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&lt;EndNote&gt;&lt;Cite&gt;&lt;Author&gt;Grey&lt;/Author&gt;&lt;Year&gt;2016&lt;/Year&gt;&lt;RecNum&gt;1280&lt;/RecNum&gt;&lt;DisplayText&gt;(Grey, 2016)&lt;/DisplayText&gt;&lt;record&gt;&lt;rec-number&gt;1280&lt;/rec-number&gt;&lt;foreign-keys&gt;&lt;key app="EN" db-id="f09zwdf26xeasaevvsjxv00h9rx2v9xarfsw" timestamp="1467254017"&gt;1280&lt;/key&gt;&lt;/foreign-keys&gt;&lt;ref-type name="Journal Article"&gt;17&lt;/ref-type&gt;&lt;contributors&gt;&lt;authors&gt;&lt;author&gt;Grey,Jonathan&lt;/author&gt;&lt;/authors&gt;&lt;/contributors&gt;&lt;auth-address&gt;(Prof Jonathan Grey,Lancaster University,Lancaster Environment Centre,Lancaster,LA1 4YQ,United Kingdom,j.grey@lancaster.ac.uk)&lt;/auth-address&gt;&lt;titles&gt;&lt;title&gt;The incredible lightness of being methane-fuelled: stable isotopes reveal alternative energy pathways in aquatic ecosystems and beyond&lt;/title&gt;&lt;secondary-title&gt;Frontiers in Ecology and Evolution&lt;/secondary-title&gt;&lt;short-title&gt;Identifying and tracking methane in food webs&lt;/short-title&gt;&lt;/titles&gt;&lt;periodical&gt;&lt;full-title&gt;Frontiers in Ecology and Evolution&lt;/full-title&gt;&lt;/periodical&gt;&lt;volume&gt;4&lt;/volume&gt;&lt;keywords&gt;&lt;keyword&gt;Carbon,Chironomidae,Fatty Acids,Hydrogen,Zooplankton,greenhouse gas,methanotrophy,biogeochemical cycles,trophic transfer,food web analysis&lt;/keyword&gt;&lt;/keywords&gt;&lt;dates&gt;&lt;year&gt;2016&lt;/year&gt;&lt;pub-dates&gt;&lt;date&gt;2016-February-11&lt;/date&gt;&lt;/pub-dates&gt;&lt;/dates&gt;&lt;isbn&gt;2296-701X&lt;/isbn&gt;&lt;work-type&gt;Review&lt;/work-type&gt;&lt;urls&gt;&lt;related-urls&gt;&lt;url&gt;http://www.frontiersin.org/Journal/Abstract.aspx?s=1504&amp;amp;name=population_dynamics&amp;amp;ART_DOI=10.3389/fevo.2016.00008&lt;/url&gt;&lt;/related-urls&gt;&lt;/urls&gt;&lt;electronic-resource-num&gt;10.3389/fevo.2016.00008&lt;/electronic-resource-num&gt;&lt;language&gt;English&lt;/language&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(Grey, 2016)</w:t>
      </w:r>
      <w:r w:rsidRPr="00747E35">
        <w:rPr>
          <w:rFonts w:asciiTheme="minorHAnsi" w:hAnsiTheme="minorHAnsi" w:cstheme="minorHAnsi"/>
        </w:rPr>
        <w:fldChar w:fldCharType="end"/>
      </w:r>
      <w:r w:rsidRPr="00747E35">
        <w:rPr>
          <w:rFonts w:asciiTheme="minorHAnsi" w:hAnsiTheme="minorHAnsi" w:cstheme="minorHAnsi"/>
        </w:rPr>
        <w:t>. Research on energy reliance on methane-oxidising bacteria, however, reports δ</w:t>
      </w:r>
      <w:r w:rsidRPr="00747E35">
        <w:rPr>
          <w:rFonts w:asciiTheme="minorHAnsi" w:hAnsiTheme="minorHAnsi" w:cstheme="minorHAnsi"/>
          <w:vertAlign w:val="superscript"/>
        </w:rPr>
        <w:t>13</w:t>
      </w:r>
      <w:r w:rsidRPr="00747E35">
        <w:rPr>
          <w:rFonts w:asciiTheme="minorHAnsi" w:hAnsiTheme="minorHAnsi" w:cstheme="minorHAnsi"/>
        </w:rPr>
        <w:t xml:space="preserve">C values for consumers less than -40‰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&lt;EndNote&gt;&lt;Cite&gt;&lt;Author&gt;Grey&lt;/Author&gt;&lt;Year&gt;2016&lt;/Year&gt;&lt;RecNum&gt;1280&lt;/RecNum&gt;&lt;DisplayText&gt;(Grey, 2016)&lt;/DisplayText&gt;&lt;record&gt;&lt;rec-number&gt;1280&lt;/rec-number&gt;&lt;foreign-keys&gt;&lt;key app="EN" db-id="f09zwdf26xeasaevvsjxv00h9rx2v9xarfsw" timestamp="1467254017"&gt;1280&lt;/key&gt;&lt;/foreign-keys&gt;&lt;ref-type name="Journal Article"&gt;17&lt;/ref-type&gt;&lt;contributors&gt;&lt;authors&gt;&lt;author&gt;Grey,Jonathan&lt;/author&gt;&lt;/authors&gt;&lt;/contributors&gt;&lt;auth-address&gt;(Prof Jonathan Grey,Lancaster University,Lancaster Environment Centre,Lancaster,LA1 4YQ,United Kingdom,j.grey@lancaster.ac.uk)&lt;/auth-address&gt;&lt;titles&gt;&lt;title&gt;The incredible lightness of being methane-fuelled: stable isotopes reveal alternative energy pathways in aquatic ecosystems and beyond&lt;/title&gt;&lt;secondary-title&gt;Frontiers in Ecology and Evolution&lt;/secondary-title&gt;&lt;short-title&gt;Identifying and tracking methane in food webs&lt;/short-title&gt;&lt;/titles&gt;&lt;periodical&gt;&lt;full-title&gt;Frontiers in Ecology and Evolution&lt;/full-title&gt;&lt;/periodical&gt;&lt;volume&gt;4&lt;/volume&gt;&lt;keywords&gt;&lt;keyword&gt;Carbon,Chironomidae,Fatty Acids,Hydrogen,Zooplankton,greenhouse gas,methanotrophy,biogeochemical cycles,trophic transfer,food web analysis&lt;/keyword&gt;&lt;/keywords&gt;&lt;dates&gt;&lt;year&gt;2016&lt;/year&gt;&lt;pub-dates&gt;&lt;date&gt;2016-February-11&lt;/date&gt;&lt;/pub-dates&gt;&lt;/dates&gt;&lt;isbn&gt;2296-701X&lt;/isbn&gt;&lt;work-type&gt;Review&lt;/work-type&gt;&lt;urls&gt;&lt;related-urls&gt;&lt;url&gt;http://www.frontiersin.org/Journal/Abstract.aspx?s=1504&amp;amp;name=population_dynamics&amp;amp;ART_DOI=10.3389/fevo.2016.00008&lt;/url&gt;&lt;/related-urls&gt;&lt;/urls&gt;&lt;electronic-resource-num&gt;10.3389/fevo.2016.00008&lt;/electronic-resource-num&gt;&lt;language&gt;English&lt;/language&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(Grey, 2016)</w:t>
      </w:r>
      <w:r w:rsidRPr="00747E35">
        <w:rPr>
          <w:rFonts w:asciiTheme="minorHAnsi" w:hAnsiTheme="minorHAnsi" w:cstheme="minorHAnsi"/>
        </w:rPr>
        <w:fldChar w:fldCharType="end"/>
      </w:r>
      <w:r w:rsidRPr="00747E35">
        <w:rPr>
          <w:rFonts w:asciiTheme="minorHAnsi" w:hAnsiTheme="minorHAnsi" w:cstheme="minorHAnsi"/>
        </w:rPr>
        <w:t>. Since no surface consumers in our study had values this deleted, it is unlikely that MOB are responsible for the depleted δ</w:t>
      </w:r>
      <w:r w:rsidRPr="00747E35">
        <w:rPr>
          <w:rFonts w:asciiTheme="minorHAnsi" w:hAnsiTheme="minorHAnsi" w:cstheme="minorHAnsi"/>
          <w:vertAlign w:val="superscript"/>
        </w:rPr>
        <w:t>13</w:t>
      </w:r>
      <w:r w:rsidRPr="00747E35">
        <w:rPr>
          <w:rFonts w:asciiTheme="minorHAnsi" w:hAnsiTheme="minorHAnsi" w:cstheme="minorHAnsi"/>
        </w:rPr>
        <w:t>C food web values in this study.</w:t>
      </w:r>
    </w:p>
    <w:p w14:paraId="0348A8F0" w14:textId="77777777" w:rsidR="003D3694" w:rsidRPr="00747E35" w:rsidRDefault="003D3694" w:rsidP="003D3694">
      <w:pPr>
        <w:pStyle w:val="Heading4"/>
        <w:rPr>
          <w:rFonts w:asciiTheme="minorHAnsi" w:hAnsiTheme="minorHAnsi" w:cstheme="minorHAnsi"/>
        </w:rPr>
      </w:pPr>
      <w:r w:rsidRPr="00747E35">
        <w:rPr>
          <w:rFonts w:asciiTheme="minorHAnsi" w:hAnsiTheme="minorHAnsi" w:cstheme="minorHAnsi"/>
        </w:rPr>
        <w:t>Hyporheic food webs</w:t>
      </w:r>
    </w:p>
    <w:p w14:paraId="1585A422" w14:textId="012B3135" w:rsidR="003D3694" w:rsidRPr="00747E35" w:rsidRDefault="003D3694" w:rsidP="003D3694">
      <w:pPr>
        <w:rPr>
          <w:rFonts w:asciiTheme="minorHAnsi" w:hAnsiTheme="minorHAnsi" w:cstheme="minorHAnsi"/>
        </w:rPr>
      </w:pPr>
      <w:r w:rsidRPr="00747E35">
        <w:rPr>
          <w:rFonts w:asciiTheme="minorHAnsi" w:hAnsiTheme="minorHAnsi" w:cstheme="minorHAnsi"/>
        </w:rPr>
        <w:t>Despite the difficulty in collecting enough specimens of hyporheic fauna for stable isotope analysis, several trends are evident among the two study regions. First, hyporheic fauna generally had more enriched δ</w:t>
      </w:r>
      <w:r w:rsidRPr="00747E35">
        <w:rPr>
          <w:rFonts w:asciiTheme="minorHAnsi" w:hAnsiTheme="minorHAnsi" w:cstheme="minorHAnsi"/>
          <w:vertAlign w:val="superscript"/>
        </w:rPr>
        <w:t>13</w:t>
      </w:r>
      <w:r w:rsidRPr="00747E35">
        <w:rPr>
          <w:rFonts w:asciiTheme="minorHAnsi" w:hAnsiTheme="minorHAnsi" w:cstheme="minorHAnsi"/>
        </w:rPr>
        <w:t xml:space="preserve">C values than that of surface habitats, suggesting reliance on a different basal energy source. Given the lack of autotrophic activity in </w:t>
      </w:r>
      <w:r w:rsidR="006B2C7A">
        <w:rPr>
          <w:rFonts w:asciiTheme="minorHAnsi" w:hAnsiTheme="minorHAnsi" w:cstheme="minorHAnsi"/>
        </w:rPr>
        <w:t>subsurface</w:t>
      </w:r>
      <w:r w:rsidRPr="00747E35">
        <w:rPr>
          <w:rFonts w:asciiTheme="minorHAnsi" w:hAnsiTheme="minorHAnsi" w:cstheme="minorHAnsi"/>
        </w:rPr>
        <w:t xml:space="preserve"> environments, this energy source is likely to be dissolved organic carbon (DOC), fine-particulate organic matter (FPOM), and/or coarse-particulate organic matter (CPOM) that has accumulated in the hyporheic zone, or heterotrophic microbes (bacteria) that have previously assimilated one of these carbon sources. Second, values for both omnivorous taxa and FPOM were similar among catchments and sampling periods, indicating that the hyporheic zone may represent a stable environment, at least compared to surface habitats. Lastly, the relatively δ</w:t>
      </w:r>
      <w:r w:rsidRPr="00747E35">
        <w:rPr>
          <w:rFonts w:asciiTheme="minorHAnsi" w:hAnsiTheme="minorHAnsi" w:cstheme="minorHAnsi"/>
          <w:vertAlign w:val="superscript"/>
        </w:rPr>
        <w:t>13</w:t>
      </w:r>
      <w:r w:rsidRPr="00747E35">
        <w:rPr>
          <w:rFonts w:asciiTheme="minorHAnsi" w:hAnsiTheme="minorHAnsi" w:cstheme="minorHAnsi"/>
        </w:rPr>
        <w:t>C depleted omnivore collected in the Maules Creek catchment may suggest that despite this comparatively stable environment (relative to surface habitats), there may be spatially or temporally patchy influences of multiple energetic pathways and/or basal resources contributing to the maintenance of higher order food webs.</w:t>
      </w:r>
    </w:p>
    <w:p w14:paraId="42F66584" w14:textId="77777777" w:rsidR="003D3694" w:rsidRPr="00747E35" w:rsidRDefault="003D3694" w:rsidP="003D3694">
      <w:pPr>
        <w:rPr>
          <w:rFonts w:asciiTheme="minorHAnsi" w:hAnsiTheme="minorHAnsi" w:cstheme="minorHAnsi"/>
        </w:rPr>
      </w:pPr>
    </w:p>
    <w:p w14:paraId="01A161E0" w14:textId="0E75953F" w:rsidR="003D3694" w:rsidRPr="00747E35" w:rsidRDefault="003D3694" w:rsidP="003D3694">
      <w:pPr>
        <w:pStyle w:val="Heading2"/>
        <w:rPr>
          <w:rFonts w:asciiTheme="minorHAnsi" w:hAnsiTheme="minorHAnsi" w:cstheme="minorHAnsi"/>
        </w:rPr>
      </w:pPr>
      <w:bookmarkStart w:id="159" w:name="_Toc466450346"/>
      <w:bookmarkStart w:id="160" w:name="_Toc470004854"/>
      <w:r w:rsidRPr="00747E35">
        <w:rPr>
          <w:rFonts w:asciiTheme="minorHAnsi" w:hAnsiTheme="minorHAnsi" w:cstheme="minorHAnsi"/>
        </w:rPr>
        <w:t>Fish and macroinvertebrate diversity and abundance</w:t>
      </w:r>
      <w:bookmarkEnd w:id="159"/>
      <w:bookmarkEnd w:id="160"/>
    </w:p>
    <w:p w14:paraId="27348560" w14:textId="54342C24" w:rsidR="003D3694" w:rsidRPr="00747E35" w:rsidRDefault="003D3694" w:rsidP="003D3694">
      <w:pPr>
        <w:pStyle w:val="Heading3"/>
        <w:rPr>
          <w:rFonts w:asciiTheme="minorHAnsi" w:hAnsiTheme="minorHAnsi" w:cstheme="minorHAnsi"/>
        </w:rPr>
      </w:pPr>
      <w:bookmarkStart w:id="161" w:name="_Toc466450347"/>
      <w:bookmarkStart w:id="162" w:name="_Toc470004855"/>
      <w:r w:rsidRPr="00747E35">
        <w:rPr>
          <w:rFonts w:asciiTheme="minorHAnsi" w:hAnsiTheme="minorHAnsi" w:cstheme="minorHAnsi"/>
        </w:rPr>
        <w:t>Introduction</w:t>
      </w:r>
      <w:bookmarkEnd w:id="161"/>
      <w:bookmarkEnd w:id="162"/>
    </w:p>
    <w:p w14:paraId="24ED73CB"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 xml:space="preserve">Both fish and benthic macroinvertebrate communities can be strongly influenced by flow intermittency and they can therefore be useful indicators of hydrologic changes that cause a loss of perennial flow or relative increases in the frequency and duration of cease-to-flow spells </w:t>
      </w:r>
      <w:r w:rsidRPr="00747E35">
        <w:rPr>
          <w:rFonts w:asciiTheme="minorHAnsi" w:hAnsiTheme="minorHAnsi" w:cstheme="minorHAnsi"/>
          <w:lang w:eastAsia="en-AU"/>
        </w:rPr>
        <w:fldChar w:fldCharType="begin">
          <w:fldData xml:space="preserve">PEVuZE5vdGU+PENpdGU+PEF1dGhvcj5Cb25kPC9BdXRob3I+PFllYXI+MjAxMDwvWWVhcj48UmVj
TnVtPjg8L1JlY051bT48RGlzcGxheVRleHQ+KEJvbmQ8c3R5bGUgZmFjZT0iaXRhbGljIj4gZXQg
YWwuPC9zdHlsZT4sIDIwMDg7IEJvbmQ8c3R5bGUgZmFjZT0iaXRhbGljIj4gZXQgYWwuPC9zdHls
ZT4sIDIwMTA7IENsYXJrZTxzdHlsZSBmYWNlPSJpdGFsaWMiPiBldCBhbC48L3N0eWxlPiwgMjAx
MCk8L0Rpc3BsYXlUZXh0PjxyZWNvcmQ+PHJlYy1udW1iZXI+ODwvcmVjLW51bWJlcj48Zm9yZWln
bi1rZXlzPjxrZXkgYXBwPSJFTiIgZGItaWQ9InY1dnQ1dDk1ZzJmYXI2ZXZzcGF2dncwMTB6czBh
Mnp3eHpzZCIgdGltZXN0YW1wPSIxNDc2OTM1MTk2Ij44PC9rZXk+PC9mb3JlaWduLWtleXM+PHJl
Zi10eXBlIG5hbWU9IkpvdXJuYWwgQXJ0aWNsZSI+MTc8L3JlZi10eXBlPjxjb250cmlidXRvcnM+
PGF1dGhvcnM+PGF1dGhvcj5Cb25kLCBOLlIuPC9hdXRob3I+PGF1dGhvcj5NY01hc3RlciwgRC48
L2F1dGhvcj48YXV0aG9yPlJlaWNoLCBQLjwvYXV0aG9yPjxhdXRob3I+VGhvbXNvbiwgSi5SLjwv
YXV0aG9yPjxhdXRob3I+TGFrZSwgUC5TLjwvYXV0aG9yPjwvYXV0aG9ycz48L2NvbnRyaWJ1dG9y
cz48dGl0bGVzPjx0aXRsZT5Nb2RlbGxpbmcgdGhlIGltcGFjdHMgb2YgZmxvdyByZWd1bGF0aW9u
IG9uIGZpc2ggZGlzdHJpYnV0aW9ucyBpbiBuYXR1cmFsbHkgaW50ZXJtaXR0ZW50IGxvd2xhbmQg
c3RyZWFtczogYW4gYXBwcm9hY2ggZm9yIHByZWRpY3RpbmcgcmVzdG9yYXRpb24gcmVzcG9uc2Vz
PC90aXRsZT48c2Vjb25kYXJ5LXRpdGxlPkZyZXNod2F0ZXIgQmlvbG9neTwvc2Vjb25kYXJ5LXRp
dGxlPjwvdGl0bGVzPjxwZXJpb2RpY2FsPjxmdWxsLXRpdGxlPkZyZXNod2F0ZXIgQmlvbG9neTwv
ZnVsbC10aXRsZT48L3BlcmlvZGljYWw+PHBhZ2VzPjE5OTctMjAxMDwvcGFnZXM+PHZvbHVtZT41
NTwvdm9sdW1lPjxudW1iZXI+OTwvbnVtYmVyPjxkYXRlcz48eWVhcj4yMDEwPC95ZWFyPjxwdWIt
ZGF0ZXM+PGRhdGU+MjAxMDwvZGF0ZT48L3B1Yi1kYXRlcz48L2RhdGVzPjxhY2Nlc3Npb24tbnVt
PldPUzowMDAyODA5OTczMDAwMTU8L2FjY2Vzc2lvbi1udW0+PHVybHM+PHJlbGF0ZWQtdXJscz48
dXJsPmh0dHA6Ly93d3cuc2NvcHVzLmNvbS9pbndhcmQvcmVjb3JkLnVybD9laWQ9Mi1zMi4wLTc3
OTU1NzU4OTUzJmFtcDtwYXJ0bmVySUQ9TU44VE9BUlM8L3VybD48L3JlbGF0ZWQtdXJscz48L3Vy
bHM+PGVsZWN0cm9uaWMtcmVzb3VyY2UtbnVtPjEwLjExMTEvai4xMzY1LTI0MjcuMjAxMC4wMjQy
MS54PC9lbGVjdHJvbmljLXJlc291cmNlLW51bT48L3JlY29yZD48L0NpdGU+PENpdGU+PEF1dGhv
cj5DbGFya2U8L0F1dGhvcj48WWVhcj4yMDEwPC9ZZWFyPjxSZWNOdW0+MTA8L1JlY051bT48cmVj
b3JkPjxyZWMtbnVtYmVyPjEwPC9yZWMtbnVtYmVyPjxmb3JlaWduLWtleXM+PGtleSBhcHA9IkVO
IiBkYi1pZD0idjV2dDV0OTVnMmZhcjZldnNwYXZ2dzAxMHpzMGEyend4enNkIiB0aW1lc3RhbXA9
IjE0NzY5MzUxOTYiPjEwPC9rZXk+PC9mb3JlaWduLWtleXM+PHJlZi10eXBlIG5hbWU9IkpvdXJu
YWwgQXJ0aWNsZSI+MTc8L3JlZi10eXBlPjxjb250cmlidXRvcnM+PGF1dGhvcnM+PGF1dGhvcj5D
bGFya2UsIEEuPC9hdXRob3I+PGF1dGhvcj5NYWMgTmFsbHksIFIuPC9hdXRob3I+PGF1dGhvcj5C
b25kLCBOLjwvYXV0aG9yPjxhdXRob3I+TGFrZSwgUC5TLjwvYXV0aG9yPjwvYXV0aG9ycz48L2Nv
bnRyaWJ1dG9ycz48dGl0bGVzPjx0aXRsZT5GbG93IHBlcm1hbmVuY2UgYWZmZWN0cyBhcXVhdGlj
IG1hY3JvaW52ZXJ0ZWJyYXRlIGRpdmVyc2l0eSBhbmQgY29tbXVuaXR5IHN0cnVjdHVyZSBpbiB0
aHJlZSBoZWFkd2F0ZXIgc3RyZWFtcyBpbiBhIGZvcmVzdGVkIGNhdGNobWVudDwvdGl0bGU+PHNl
Y29uZGFyeS10aXRsZT5DYW5hZGlhbiBKb3VybmFsIG9mIEZpc2hlcmllcyBhbmQgQXF1YXRpYyBT
Y2llbmNlczwvc2Vjb25kYXJ5LXRpdGxlPjwvdGl0bGVzPjxwZXJpb2RpY2FsPjxmdWxsLXRpdGxl
PkNhbmFkaWFuIEpvdXJuYWwgb2YgRmlzaGVyaWVzIGFuZCBBcXVhdGljIFNjaWVuY2VzPC9mdWxs
LXRpdGxlPjwvcGVyaW9kaWNhbD48cGFnZXM+MTY0OS0xNjU3PC9wYWdlcz48dm9sdW1lPjY3PC92
b2x1bWU+PG51bWJlcj4xMDwvbnVtYmVyPjxkYXRlcz48eWVhcj4yMDEwPC95ZWFyPjxwdWItZGF0
ZXM+PGRhdGU+MjAxMDwvZGF0ZT48L3B1Yi1kYXRlcz48L2RhdGVzPjxhY2Nlc3Npb24tbnVtPldP
UzowMDAyODI1ODkyMDAwMDg8L2FjY2Vzc2lvbi1udW0+PHVybHM+PHJlbGF0ZWQtdXJscz48dXJs
Pmh0dHA6Ly93d3cuc2NvcHVzLmNvbS9pbndhcmQvcmVjb3JkLnVybD9laWQ9Mi1zMi4wLTc3OTU4
MDQ3NzA5JmFtcDtwYXJ0bmVySUQ9TU44VE9BUlM8L3VybD48L3JlbGF0ZWQtdXJscz48L3VybHM+
PGVsZWN0cm9uaWMtcmVzb3VyY2UtbnVtPjEwLjExMzkvRjEwLTA4NzwvZWxlY3Ryb25pYy1yZXNv
dXJjZS1udW0+PC9yZWNvcmQ+PC9DaXRlPjxDaXRlPjxBdXRob3I+Qm9uZDwvQXV0aG9yPjxZZWFy
PjIwMDg8L1llYXI+PFJlY051bT4xMzg3PC9SZWNOdW0+PHJlY29yZD48cmVjLW51bWJlcj4xMzg3
PC9yZWMtbnVtYmVyPjxmb3JlaWduLWtleXM+PGtleSBhcHA9IkVOIiBkYi1pZD0iZjA5endkZjI2
eGVhc2FldnZzanh2MDBoOXJ4MnY5eGFyZnN3IiB0aW1lc3RhbXA9IjE0NzkyNTExMjQiPjEzODc8
L2tleT48L2ZvcmVpZ24ta2V5cz48cmVmLXR5cGUgbmFtZT0iSm91cm5hbCBBcnRpY2xlIj4xNzwv
cmVmLXR5cGU+PGNvbnRyaWJ1dG9ycz48YXV0aG9ycz48YXV0aG9yPkJvbmQsIE4uIFIuPC9hdXRo
b3I+PGF1dGhvcj5MYWtlLCBQLiBTLjwvYXV0aG9yPjxhdXRob3I+QXJ0aGluZ3RvbiwgQS4gSC48
L2F1dGhvcj48L2F1dGhvcnM+PC9jb250cmlidXRvcnM+PHRpdGxlcz48dGl0bGU+VGhlIGltcGFj
dHMgb2YgZHJvdWdodCBvbiBmcmVzaHdhdGVyIGVjb3N5c3RlbXM6IEFuIEF1c3RyYWxpYW4gcGVy
c3BlY3RpdmU8L3RpdGxlPjxzZWNvbmRhcnktdGl0bGU+SHlkcm9iaW9sb2dpYTwvc2Vjb25kYXJ5
LXRpdGxlPjwvdGl0bGVzPjxwZXJpb2RpY2FsPjxmdWxsLXRpdGxlPkh5ZHJvYmlvbG9naWE8L2Z1
bGwtdGl0bGU+PC9wZXJpb2RpY2FsPjxwYWdlcz4xLTE0PC9wYWdlcz48dm9sdW1lPjYwMDwvdm9s
dW1lPjxudW1iZXI+MTwvbnVtYmVyPjxkYXRlcz48eWVhcj4yMDA4PC95ZWFyPjwvZGF0ZXM+PHdv
cmstdHlwZT5SZXZpZXc8L3dvcmstdHlwZT48dXJscz48cmVsYXRlZC11cmxzPjx1cmw+aHR0cHM6
Ly93d3cuc2NvcHVzLmNvbS9pbndhcmQvcmVjb3JkLnVyaT9laWQ9Mi1zMi4wLTQwOTQ5MTY2MTkz
JmFtcDtwYXJ0bmVySUQ9NDAmYW1wO21kNT0yMTVlZjJkZjcyYjcyZDlhZjY3OWNlMDk5NGNiNTg5
NjwvdXJsPjwvcmVsYXRlZC11cmxzPjwvdXJscz48ZWxlY3Ryb25pYy1yZXNvdXJjZS1udW0+MTAu
MTAwNy9zMTA3NTAtMDA4LTkzMjYtejwvZWxlY3Ryb25pYy1yZXNvdXJjZS1udW0+PHJlbW90ZS1k
YXRhYmFzZS1uYW1lPlNjb3B1czwvcmVtb3RlLWRhdGFiYXNlLW5hbWU+PC9yZWNvcmQ+PC9DaXRl
PjwvRW5kTm90ZT5=
</w:fldData>
        </w:fldChar>
      </w:r>
      <w:r w:rsidRPr="00747E35">
        <w:rPr>
          <w:rFonts w:asciiTheme="minorHAnsi" w:hAnsiTheme="minorHAnsi" w:cstheme="minorHAnsi"/>
          <w:lang w:eastAsia="en-AU"/>
        </w:rPr>
        <w:instrText xml:space="preserve"> ADDIN EN.CITE </w:instrText>
      </w:r>
      <w:r w:rsidRPr="00747E35">
        <w:rPr>
          <w:rFonts w:asciiTheme="minorHAnsi" w:hAnsiTheme="minorHAnsi" w:cstheme="minorHAnsi"/>
          <w:lang w:eastAsia="en-AU"/>
        </w:rPr>
        <w:fldChar w:fldCharType="begin">
          <w:fldData xml:space="preserve">PEVuZE5vdGU+PENpdGU+PEF1dGhvcj5Cb25kPC9BdXRob3I+PFllYXI+MjAxMDwvWWVhcj48UmVj
TnVtPjg8L1JlY051bT48RGlzcGxheVRleHQ+KEJvbmQ8c3R5bGUgZmFjZT0iaXRhbGljIj4gZXQg
YWwuPC9zdHlsZT4sIDIwMDg7IEJvbmQ8c3R5bGUgZmFjZT0iaXRhbGljIj4gZXQgYWwuPC9zdHls
ZT4sIDIwMTA7IENsYXJrZTxzdHlsZSBmYWNlPSJpdGFsaWMiPiBldCBhbC48L3N0eWxlPiwgMjAx
MCk8L0Rpc3BsYXlUZXh0PjxyZWNvcmQ+PHJlYy1udW1iZXI+ODwvcmVjLW51bWJlcj48Zm9yZWln
bi1rZXlzPjxrZXkgYXBwPSJFTiIgZGItaWQ9InY1dnQ1dDk1ZzJmYXI2ZXZzcGF2dncwMTB6czBh
Mnp3eHpzZCIgdGltZXN0YW1wPSIxNDc2OTM1MTk2Ij44PC9rZXk+PC9mb3JlaWduLWtleXM+PHJl
Zi10eXBlIG5hbWU9IkpvdXJuYWwgQXJ0aWNsZSI+MTc8L3JlZi10eXBlPjxjb250cmlidXRvcnM+
PGF1dGhvcnM+PGF1dGhvcj5Cb25kLCBOLlIuPC9hdXRob3I+PGF1dGhvcj5NY01hc3RlciwgRC48
L2F1dGhvcj48YXV0aG9yPlJlaWNoLCBQLjwvYXV0aG9yPjxhdXRob3I+VGhvbXNvbiwgSi5SLjwv
YXV0aG9yPjxhdXRob3I+TGFrZSwgUC5TLjwvYXV0aG9yPjwvYXV0aG9ycz48L2NvbnRyaWJ1dG9y
cz48dGl0bGVzPjx0aXRsZT5Nb2RlbGxpbmcgdGhlIGltcGFjdHMgb2YgZmxvdyByZWd1bGF0aW9u
IG9uIGZpc2ggZGlzdHJpYnV0aW9ucyBpbiBuYXR1cmFsbHkgaW50ZXJtaXR0ZW50IGxvd2xhbmQg
c3RyZWFtczogYW4gYXBwcm9hY2ggZm9yIHByZWRpY3RpbmcgcmVzdG9yYXRpb24gcmVzcG9uc2Vz
PC90aXRsZT48c2Vjb25kYXJ5LXRpdGxlPkZyZXNod2F0ZXIgQmlvbG9neTwvc2Vjb25kYXJ5LXRp
dGxlPjwvdGl0bGVzPjxwZXJpb2RpY2FsPjxmdWxsLXRpdGxlPkZyZXNod2F0ZXIgQmlvbG9neTwv
ZnVsbC10aXRsZT48L3BlcmlvZGljYWw+PHBhZ2VzPjE5OTctMjAxMDwvcGFnZXM+PHZvbHVtZT41
NTwvdm9sdW1lPjxudW1iZXI+OTwvbnVtYmVyPjxkYXRlcz48eWVhcj4yMDEwPC95ZWFyPjxwdWIt
ZGF0ZXM+PGRhdGU+MjAxMDwvZGF0ZT48L3B1Yi1kYXRlcz48L2RhdGVzPjxhY2Nlc3Npb24tbnVt
PldPUzowMDAyODA5OTczMDAwMTU8L2FjY2Vzc2lvbi1udW0+PHVybHM+PHJlbGF0ZWQtdXJscz48
dXJsPmh0dHA6Ly93d3cuc2NvcHVzLmNvbS9pbndhcmQvcmVjb3JkLnVybD9laWQ9Mi1zMi4wLTc3
OTU1NzU4OTUzJmFtcDtwYXJ0bmVySUQ9TU44VE9BUlM8L3VybD48L3JlbGF0ZWQtdXJscz48L3Vy
bHM+PGVsZWN0cm9uaWMtcmVzb3VyY2UtbnVtPjEwLjExMTEvai4xMzY1LTI0MjcuMjAxMC4wMjQy
MS54PC9lbGVjdHJvbmljLXJlc291cmNlLW51bT48L3JlY29yZD48L0NpdGU+PENpdGU+PEF1dGhv
cj5DbGFya2U8L0F1dGhvcj48WWVhcj4yMDEwPC9ZZWFyPjxSZWNOdW0+MTA8L1JlY051bT48cmVj
b3JkPjxyZWMtbnVtYmVyPjEwPC9yZWMtbnVtYmVyPjxmb3JlaWduLWtleXM+PGtleSBhcHA9IkVO
IiBkYi1pZD0idjV2dDV0OTVnMmZhcjZldnNwYXZ2dzAxMHpzMGEyend4enNkIiB0aW1lc3RhbXA9
IjE0NzY5MzUxOTYiPjEwPC9rZXk+PC9mb3JlaWduLWtleXM+PHJlZi10eXBlIG5hbWU9IkpvdXJu
YWwgQXJ0aWNsZSI+MTc8L3JlZi10eXBlPjxjb250cmlidXRvcnM+PGF1dGhvcnM+PGF1dGhvcj5D
bGFya2UsIEEuPC9hdXRob3I+PGF1dGhvcj5NYWMgTmFsbHksIFIuPC9hdXRob3I+PGF1dGhvcj5C
b25kLCBOLjwvYXV0aG9yPjxhdXRob3I+TGFrZSwgUC5TLjwvYXV0aG9yPjwvYXV0aG9ycz48L2Nv
bnRyaWJ1dG9ycz48dGl0bGVzPjx0aXRsZT5GbG93IHBlcm1hbmVuY2UgYWZmZWN0cyBhcXVhdGlj
IG1hY3JvaW52ZXJ0ZWJyYXRlIGRpdmVyc2l0eSBhbmQgY29tbXVuaXR5IHN0cnVjdHVyZSBpbiB0
aHJlZSBoZWFkd2F0ZXIgc3RyZWFtcyBpbiBhIGZvcmVzdGVkIGNhdGNobWVudDwvdGl0bGU+PHNl
Y29uZGFyeS10aXRsZT5DYW5hZGlhbiBKb3VybmFsIG9mIEZpc2hlcmllcyBhbmQgQXF1YXRpYyBT
Y2llbmNlczwvc2Vjb25kYXJ5LXRpdGxlPjwvdGl0bGVzPjxwZXJpb2RpY2FsPjxmdWxsLXRpdGxl
PkNhbmFkaWFuIEpvdXJuYWwgb2YgRmlzaGVyaWVzIGFuZCBBcXVhdGljIFNjaWVuY2VzPC9mdWxs
LXRpdGxlPjwvcGVyaW9kaWNhbD48cGFnZXM+MTY0OS0xNjU3PC9wYWdlcz48dm9sdW1lPjY3PC92
b2x1bWU+PG51bWJlcj4xMDwvbnVtYmVyPjxkYXRlcz48eWVhcj4yMDEwPC95ZWFyPjxwdWItZGF0
ZXM+PGRhdGU+MjAxMDwvZGF0ZT48L3B1Yi1kYXRlcz48L2RhdGVzPjxhY2Nlc3Npb24tbnVtPldP
UzowMDAyODI1ODkyMDAwMDg8L2FjY2Vzc2lvbi1udW0+PHVybHM+PHJlbGF0ZWQtdXJscz48dXJs
Pmh0dHA6Ly93d3cuc2NvcHVzLmNvbS9pbndhcmQvcmVjb3JkLnVybD9laWQ9Mi1zMi4wLTc3OTU4
MDQ3NzA5JmFtcDtwYXJ0bmVySUQ9TU44VE9BUlM8L3VybD48L3JlbGF0ZWQtdXJscz48L3VybHM+
PGVsZWN0cm9uaWMtcmVzb3VyY2UtbnVtPjEwLjExMzkvRjEwLTA4NzwvZWxlY3Ryb25pYy1yZXNv
dXJjZS1udW0+PC9yZWNvcmQ+PC9DaXRlPjxDaXRlPjxBdXRob3I+Qm9uZDwvQXV0aG9yPjxZZWFy
PjIwMDg8L1llYXI+PFJlY051bT4xMzg3PC9SZWNOdW0+PHJlY29yZD48cmVjLW51bWJlcj4xMzg3
PC9yZWMtbnVtYmVyPjxmb3JlaWduLWtleXM+PGtleSBhcHA9IkVOIiBkYi1pZD0iZjA5endkZjI2
eGVhc2FldnZzanh2MDBoOXJ4MnY5eGFyZnN3IiB0aW1lc3RhbXA9IjE0NzkyNTExMjQiPjEzODc8
L2tleT48L2ZvcmVpZ24ta2V5cz48cmVmLXR5cGUgbmFtZT0iSm91cm5hbCBBcnRpY2xlIj4xNzwv
cmVmLXR5cGU+PGNvbnRyaWJ1dG9ycz48YXV0aG9ycz48YXV0aG9yPkJvbmQsIE4uIFIuPC9hdXRo
b3I+PGF1dGhvcj5MYWtlLCBQLiBTLjwvYXV0aG9yPjxhdXRob3I+QXJ0aGluZ3RvbiwgQS4gSC48
L2F1dGhvcj48L2F1dGhvcnM+PC9jb250cmlidXRvcnM+PHRpdGxlcz48dGl0bGU+VGhlIGltcGFj
dHMgb2YgZHJvdWdodCBvbiBmcmVzaHdhdGVyIGVjb3N5c3RlbXM6IEFuIEF1c3RyYWxpYW4gcGVy
c3BlY3RpdmU8L3RpdGxlPjxzZWNvbmRhcnktdGl0bGU+SHlkcm9iaW9sb2dpYTwvc2Vjb25kYXJ5
LXRpdGxlPjwvdGl0bGVzPjxwZXJpb2RpY2FsPjxmdWxsLXRpdGxlPkh5ZHJvYmlvbG9naWE8L2Z1
bGwtdGl0bGU+PC9wZXJpb2RpY2FsPjxwYWdlcz4xLTE0PC9wYWdlcz48dm9sdW1lPjYwMDwvdm9s
dW1lPjxudW1iZXI+MTwvbnVtYmVyPjxkYXRlcz48eWVhcj4yMDA4PC95ZWFyPjwvZGF0ZXM+PHdv
cmstdHlwZT5SZXZpZXc8L3dvcmstdHlwZT48dXJscz48cmVsYXRlZC11cmxzPjx1cmw+aHR0cHM6
Ly93d3cuc2NvcHVzLmNvbS9pbndhcmQvcmVjb3JkLnVyaT9laWQ9Mi1zMi4wLTQwOTQ5MTY2MTkz
JmFtcDtwYXJ0bmVySUQ9NDAmYW1wO21kNT0yMTVlZjJkZjcyYjcyZDlhZjY3OWNlMDk5NGNiNTg5
NjwvdXJsPjwvcmVsYXRlZC11cmxzPjwvdXJscz48ZWxlY3Ryb25pYy1yZXNvdXJjZS1udW0+MTAu
MTAwNy9zMTA3NTAtMDA4LTkzMjYtejwvZWxlY3Ryb25pYy1yZXNvdXJjZS1udW0+PHJlbW90ZS1k
YXRhYmFzZS1uYW1lPlNjb3B1czwvcmVtb3RlLWRhdGFiYXNlLW5hbWU+PC9yZWNvcmQ+PC9DaXRl
PjwvRW5kTm90ZT5=
</w:fldData>
        </w:fldChar>
      </w:r>
      <w:r w:rsidRPr="00747E35">
        <w:rPr>
          <w:rFonts w:asciiTheme="minorHAnsi" w:hAnsiTheme="minorHAnsi" w:cstheme="minorHAnsi"/>
          <w:lang w:eastAsia="en-AU"/>
        </w:rPr>
        <w:instrText xml:space="preserve"> ADDIN EN.CITE.DATA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end"/>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r w:rsidRPr="00747E35">
        <w:rPr>
          <w:rFonts w:asciiTheme="minorHAnsi" w:hAnsiTheme="minorHAnsi" w:cstheme="minorHAnsi"/>
          <w:noProof/>
          <w:lang w:eastAsia="en-AU"/>
        </w:rPr>
        <w:t>(Bond</w:t>
      </w:r>
      <w:r w:rsidRPr="00747E35">
        <w:rPr>
          <w:rFonts w:asciiTheme="minorHAnsi" w:hAnsiTheme="minorHAnsi" w:cstheme="minorHAnsi"/>
          <w:i/>
          <w:noProof/>
          <w:lang w:eastAsia="en-AU"/>
        </w:rPr>
        <w:t xml:space="preserve"> et al.</w:t>
      </w:r>
      <w:r w:rsidRPr="00747E35">
        <w:rPr>
          <w:rFonts w:asciiTheme="minorHAnsi" w:hAnsiTheme="minorHAnsi" w:cstheme="minorHAnsi"/>
          <w:noProof/>
          <w:lang w:eastAsia="en-AU"/>
        </w:rPr>
        <w:t>, 2008; Bond</w:t>
      </w:r>
      <w:r w:rsidRPr="00747E35">
        <w:rPr>
          <w:rFonts w:asciiTheme="minorHAnsi" w:hAnsiTheme="minorHAnsi" w:cstheme="minorHAnsi"/>
          <w:i/>
          <w:noProof/>
          <w:lang w:eastAsia="en-AU"/>
        </w:rPr>
        <w:t xml:space="preserve"> et al.</w:t>
      </w:r>
      <w:r w:rsidRPr="00747E35">
        <w:rPr>
          <w:rFonts w:asciiTheme="minorHAnsi" w:hAnsiTheme="minorHAnsi" w:cstheme="minorHAnsi"/>
          <w:noProof/>
          <w:lang w:eastAsia="en-AU"/>
        </w:rPr>
        <w:t>, 2010; Clarke</w:t>
      </w:r>
      <w:r w:rsidRPr="00747E35">
        <w:rPr>
          <w:rFonts w:asciiTheme="minorHAnsi" w:hAnsiTheme="minorHAnsi" w:cstheme="minorHAnsi"/>
          <w:i/>
          <w:noProof/>
          <w:lang w:eastAsia="en-AU"/>
        </w:rPr>
        <w:t xml:space="preserve"> et al.</w:t>
      </w:r>
      <w:r w:rsidRPr="00747E35">
        <w:rPr>
          <w:rFonts w:asciiTheme="minorHAnsi" w:hAnsiTheme="minorHAnsi" w:cstheme="minorHAnsi"/>
          <w:noProof/>
          <w:lang w:eastAsia="en-AU"/>
        </w:rPr>
        <w:t>, 2010)</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However, in naturally </w:t>
      </w:r>
      <w:r w:rsidRPr="00747E35">
        <w:rPr>
          <w:rFonts w:asciiTheme="minorHAnsi" w:hAnsiTheme="minorHAnsi" w:cstheme="minorHAnsi"/>
        </w:rPr>
        <w:t xml:space="preserve">intermittent and ephemeral streams the use of fish and invertebrates as indicators of human impacts has proven challenging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&lt;EndNote&gt;&lt;Cite&gt;&lt;Author&gt;Sheldon&lt;/Author&gt;&lt;Year&gt;2005&lt;/Year&gt;&lt;RecNum&gt;3321&lt;/RecNum&gt;&lt;DisplayText&gt;(Sheldon, 2005)&lt;/DisplayText&gt;&lt;record&gt;&lt;rec-number&gt;3321&lt;/rec-number&gt;&lt;foreign-keys&gt;&lt;key app="EN" db-id="v5vt5t95g2far6evspavvw010zs0a2zwxzsd" timestamp="1476994727"&gt;3321&lt;/key&gt;&lt;/foreign-keys&gt;&lt;ref-type name="Journal Article"&gt;17&lt;/ref-type&gt;&lt;contributors&gt;&lt;authors&gt;&lt;author&gt;Sheldon, Fran&lt;/author&gt;&lt;/authors&gt;&lt;/contributors&gt;&lt;titles&gt;&lt;title&gt;Incorporating Natural Variability into the Assessment of Ecological Health in Australian Dryland Rivers&lt;/title&gt;&lt;secondary-title&gt;Hydrobiologia&lt;/secondary-title&gt;&lt;short-title&gt;Hydrobiologia&lt;/short-title&gt;&lt;/titles&gt;&lt;periodical&gt;&lt;full-title&gt;Hydrobiologia&lt;/full-title&gt;&lt;/periodical&gt;&lt;pages&gt;45-56&lt;/pages&gt;&lt;volume&gt;552&lt;/volume&gt;&lt;number&gt;1&lt;/number&gt;&lt;dates&gt;&lt;year&gt;2005&lt;/year&gt;&lt;/dates&gt;&lt;accession-num&gt;11262476491681132935related:h3HXsbJaTJwJ&lt;/accession-num&gt;&lt;label&gt;r01915&lt;/label&gt;&lt;urls&gt;&lt;related-urls&gt;&lt;url&gt;http://www.springerlink.com/index/10.1007/s10750-005-1504-7&lt;/url&gt;&lt;/related-urls&gt;&lt;pdf-urls&gt;&lt;url&gt;file://localhost/Users/nickbond/Dropbox/Papers%20Library/Library.papers3/Files/F4/F4980174-CAEC-4E7D-93B1-267FD639017A.pdf&lt;/url&gt;&lt;/pdf-urls&gt;&lt;/urls&gt;&lt;custom3&gt;papers3://publication/uuid/8474F072-28CD-420D-BCD8-46EB280E4E76&lt;/custom3&gt;&lt;electronic-resource-num&gt;10.1007/s10750-005-1504-7&lt;/electronic-resource-num&gt;&lt;language&gt;English&lt;/language&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(Sheldon, 2005)</w:t>
      </w:r>
      <w:r w:rsidRPr="00747E35">
        <w:rPr>
          <w:rFonts w:asciiTheme="minorHAnsi" w:hAnsiTheme="minorHAnsi" w:cstheme="minorHAnsi"/>
        </w:rPr>
        <w:fldChar w:fldCharType="end"/>
      </w:r>
      <w:r w:rsidRPr="00747E35">
        <w:rPr>
          <w:rFonts w:asciiTheme="minorHAnsi" w:hAnsiTheme="minorHAnsi" w:cstheme="minorHAnsi"/>
        </w:rPr>
        <w:t xml:space="preserve">. The principal issues are that: a) the often harsh environmental conditions during the dry phase in intermittent streams can mean that the fauna is typically dominated by those same types of taxa that can also cope with the physio-chemical changes often caused by human impacts; and, b) the high temporal variability of intermittent and ephemeral streams means that defining an appropriate reference condition can be extremely difficult. </w:t>
      </w:r>
    </w:p>
    <w:p w14:paraId="447FEF67"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A number of studies have evaluated the ability of standard invertebrate biomonitoring approaches applied to intermittent streams, and found them to be inadequate to differentiate impaired sites </w:t>
      </w:r>
      <w:r w:rsidRPr="00747E35">
        <w:rPr>
          <w:rFonts w:asciiTheme="minorHAnsi" w:hAnsiTheme="minorHAnsi" w:cstheme="minorHAnsi"/>
        </w:rPr>
        <w:fldChar w:fldCharType="begin">
          <w:fldData xml:space="preserve">PEVuZE5vdGU+PENpdGU+PEF1dGhvcj5DaGVzc21hbjwvQXV0aG9yPjxZZWFyPjIwMDY8L1llYXI+
PFJlY051bT4xODA1PC9SZWNOdW0+PFByZWZpeD5lLmcuIDwvUHJlZml4PjxEaXNwbGF5VGV4dD4o
ZS5nLiBDaGVzc21hbjxzdHlsZSBmYWNlPSJpdGFsaWMiPiBldCBhbC48L3N0eWxlPiwgMjAwNjsg
Q2hlc3NtYW48c3R5bGUgZmFjZT0iaXRhbGljIj4gZXQgYWwuPC9zdHlsZT4sIDIwMTApPC9EaXNw
bGF5VGV4dD48cmVjb3JkPjxyZWMtbnVtYmVyPjE4MDU8L3JlYy1udW1iZXI+PGZvcmVpZ24ta2V5
cz48a2V5IGFwcD0iRU4iIGRiLWlkPSJ2NXZ0NXQ5NWcyZmFyNmV2c3BhdnZ3MDEwenMwYTJ6d3h6
c2QiIHRpbWVzdGFtcD0iMTQ3Njk5NDcxNSI+MTgwNTwva2V5PjwvZm9yZWlnbi1rZXlzPjxyZWYt
dHlwZSBuYW1lPSJKb3VybmFsIEFydGljbGUiPjE3PC9yZWYtdHlwZT48Y29udHJpYnV0b3JzPjxh
dXRob3JzPjxhdXRob3I+Q2hlc3NtYW4sIEJydWNlIEM8L2F1dGhvcj48YXV0aG9yPlRodXJ0ZWxs
LCBMaXNhIEE8L2F1dGhvcj48YXV0aG9yPlJveWFsLCBNZXJlZGl0aCBKPC9hdXRob3I+PC9hdXRo
b3JzPjwvY29udHJpYnV0b3JzPjx0aXRsZXM+PHRpdGxlPkJpb2Fzc2Vzc21lbnQgaW4gQSBIYXJz
aCBFbnZpcm9ubWVudDogQSBDb21wYXJpc29uIG9mIE1hY3JvaW52ZXJ0ZWJyYXRlIEFzc2VtYmxh
Z2VzIGF0IFJlZmVyZW5jZSBhbmQgQXNzZXNzbWVudCBTaXRlcyBpbiBBbiBBdXN0cmFsaWFuIElu
bGFuZCBSaXZlciBTeXN0ZW08L3RpdGxlPjxzZWNvbmRhcnktdGl0bGU+RW52aXJvbm1lbnRhbCBN
b2RlbGluZyBhbmQgQXNzZXNzbWVudDwvc2Vjb25kYXJ5LXRpdGxlPjxzaG9ydC10aXRsZT5FbnZp
cm9ubWVudGFsIE1vbml0b3JpbmcgYW5kIEFzc2Vzc21lbnQ8L3Nob3J0LXRpdGxlPjwvdGl0bGVz
PjxwZXJpb2RpY2FsPjxmdWxsLXRpdGxlPkVudmlyb25tZW50YWwgTW9kZWxpbmcgYW5kIEFzc2Vz
c21lbnQ8L2Z1bGwtdGl0bGU+PC9wZXJpb2RpY2FsPjxwYWdlcz4zMDMtMzMwPC9wYWdlcz48dm9s
dW1lPjExOTwvdm9sdW1lPjxudW1iZXI+MS0zPC9udW1iZXI+PGRhdGVzPjx5ZWFyPjIwMDY8L3ll
YXI+PHB1Yi1kYXRlcz48ZGF0ZT5KdW4gMDI8L2RhdGU+PC9wdWItZGF0ZXM+PC9kYXRlcz48bGFi
ZWw+cjA2NjgxPC9sYWJlbD48dXJscz48cmVsYXRlZC11cmxzPjx1cmw+aHR0cDovL3d3dy5zcHJp
bmdlcmxpbmsuY29tL2luZGV4LzEwLjEwMDcvczEwNjYxLTAwNS05MDI3LTI8L3VybD48dXJsPmh0
dHA6Ly9saW5rLnNwcmluZ2VyLmNvbS9hcnRpY2xlLzEwLjEwMDclMkZzMTA2NjEtMDA1LTkwMjct
MjwvdXJsPjwvcmVsYXRlZC11cmxzPjxwZGYtdXJscz48dXJsPmZpbGU6Ly9sb2NhbGhvc3QobnVs
bCk8L3VybD48L3BkZi11cmxzPjwvdXJscz48Y3VzdG9tMz5wYXBlcnMzOi8vcHVibGljYXRpb24v
dXVpZC85NDVCRjI5OS05MTY3LTRFODQtOEM0OC04RUExMTY1NzUzMUM8L2N1c3RvbTM+PGVsZWN0
cm9uaWMtcmVzb3VyY2UtbnVtPjEwLjEwMDcvczEwNjYxLTAwNS05MDI3LTI8L2VsZWN0cm9uaWMt
cmVzb3VyY2UtbnVtPjxsYW5ndWFnZT5FbmdsaXNoPC9sYW5ndWFnZT48L3JlY29yZD48L0NpdGU+
PENpdGU+PEF1dGhvcj5DaGVzc21hbjwvQXV0aG9yPjxZZWFyPjIwMTA8L1llYXI+PFJlY051bT45
NjM8L1JlY051bT48cmVjb3JkPjxyZWMtbnVtYmVyPjk2MzwvcmVjLW51bWJlcj48Zm9yZWlnbi1r
ZXlzPjxrZXkgYXBwPSJFTiIgZGItaWQ9InY1dnQ1dDk1ZzJmYXI2ZXZzcGF2dncwMTB6czBhMnp3
eHpzZCIgdGltZXN0YW1wPSIxNDc2OTk0NzExIj45NjM8L2tleT48L2ZvcmVpZ24ta2V5cz48cmVm
LXR5cGUgbmFtZT0iSm91cm5hbCBBcnRpY2xlIj4xNzwvcmVmLXR5cGU+PGNvbnRyaWJ1dG9ycz48
YXV0aG9ycz48YXV0aG9yPkNoZXNzbWFuLCBCcnVjZSBDPC9hdXRob3I+PGF1dGhvcj5Kb25lcywg
SHVnaCBBPC9hdXRob3I+PGF1dGhvcj5TZWFybGUsIE5pcnZhbmEgSzwvYXV0aG9yPjxhdXRob3I+
R3Jvd25zLCBJdm9yIE88L2F1dGhvcj48YXV0aG9yPlBlYXJzb24sIE1hcml0YSBSPC9hdXRob3I+
PC9hdXRob3JzPjwvY29udHJpYnV0b3JzPjx0aXRsZXM+PHRpdGxlPkFzc2Vzc2luZyBlZmZlY3Rz
IG9mIGZsb3cgYWx0ZXJhdGlvbiBvbiBtYWNyb2ludmVydGVicmF0ZSBhc3NlbWJsYWdlcyBpbiBB
dXN0cmFsaWFuIGRyeWxhbmQgcml2ZXJzPC90aXRsZT48c2Vjb25kYXJ5LXRpdGxlPkZyZXNod2F0
ZXIgQmlvbG9neTwvc2Vjb25kYXJ5LXRpdGxlPjxzaG9ydC10aXRsZT5GcmVzaHdhdGVyIEJpb2xv
Z3k8L3Nob3J0LXRpdGxlPjwvdGl0bGVzPjxwZXJpb2RpY2FsPjxmdWxsLXRpdGxlPkZyZXNod2F0
ZXIgQmlvbG9neTwvZnVsbC10aXRsZT48L3BlcmlvZGljYWw+PHBhZ2VzPjE3ODAtMTgwMDwvcGFn
ZXM+PHZvbHVtZT41NTwvdm9sdW1lPjxudW1iZXI+ODwvbnVtYmVyPjxkYXRlcz48eWVhcj4yMDEw
PC95ZWFyPjxwdWItZGF0ZXM+PGRhdGU+QXVnIDAxPC9kYXRlPjwvcHViLWRhdGVzPjwvZGF0ZXM+
PHB1Ymxpc2hlcj5CbGFja3dlbGwgUHVibGlzaGluZyBMdGQ8L3B1Ymxpc2hlcj48YWNjZXNzaW9u
LW51bT4xMC4xMTExL2ouMTM2NS0yNDI3LjIwMTAuMDI0MDMueDwvYWNjZXNzaW9uLW51bT48bGFi
ZWw+cjAyNTUyPC9sYWJlbD48dXJscz48cmVsYXRlZC11cmxzPjx1cmw+aHR0cDovL29ubGluZWxp
YnJhcnkud2lsZXkuY29tLmxpYnJhcnlwcm94eS5ncmlmZml0aC5lZHUuYXUvZG9pLzEwLjExMTEv
ai4xMzY1LTI0MjcuMjAxMC4wMjQwMy54L2Z1bGw8L3VybD48L3JlbGF0ZWQtdXJscz48cGRmLXVy
bHM+PHVybD5maWxlOi8vbG9jYWxob3N0L1VzZXJzL25pY2tib25kL0Ryb3Bib3gvUGFwZXJzJTIw
TGlicmFyeS9MaWJyYXJ5LnBhcGVyczMvRmlsZXMvRTcvRTdFRTdCOTktMTg5My00Qjk4LTg1RTMt
MjU2RTc3NkNCM0FELnBkZjwvdXJsPjwvcGRmLXVybHM+PC91cmxzPjxjdXN0b20zPnBhcGVyczM6
Ly9wdWJsaWNhdGlvbi91dWlkL0ZGNzk4MzhELUFEOEItNEI3QS1BQUM3LUZGMDg2RjM2OTQ5NDwv
Y3VzdG9tMz48ZWxlY3Ryb25pYy1yZXNvdXJjZS1udW0+MTAuMTExMS9qLjEzNjUtMjQyNy4yMDEw
LjAyNDAzLng8L2VsZWN0cm9uaWMtcmVzb3VyY2UtbnVtPjxsYW5ndWFnZT5FbmdsaXNoPC9sYW5n
dWFnZT48L3JlY29yZD48L0NpdGU+PC9FbmROb3RlPn==
</w:fldData>
        </w:fldChar>
      </w:r>
      <w:r w:rsidRPr="00747E35">
        <w:rPr>
          <w:rFonts w:asciiTheme="minorHAnsi" w:hAnsiTheme="minorHAnsi" w:cstheme="minorHAnsi"/>
        </w:rPr>
        <w:instrText xml:space="preserve"> ADDIN EN.CITE </w:instrText>
      </w:r>
      <w:r w:rsidRPr="00747E35">
        <w:rPr>
          <w:rFonts w:asciiTheme="minorHAnsi" w:hAnsiTheme="minorHAnsi" w:cstheme="minorHAnsi"/>
        </w:rPr>
        <w:fldChar w:fldCharType="begin">
          <w:fldData xml:space="preserve">PEVuZE5vdGU+PENpdGU+PEF1dGhvcj5DaGVzc21hbjwvQXV0aG9yPjxZZWFyPjIwMDY8L1llYXI+
PFJlY051bT4xODA1PC9SZWNOdW0+PFByZWZpeD5lLmcuIDwvUHJlZml4PjxEaXNwbGF5VGV4dD4o
ZS5nLiBDaGVzc21hbjxzdHlsZSBmYWNlPSJpdGFsaWMiPiBldCBhbC48L3N0eWxlPiwgMjAwNjsg
Q2hlc3NtYW48c3R5bGUgZmFjZT0iaXRhbGljIj4gZXQgYWwuPC9zdHlsZT4sIDIwMTApPC9EaXNw
bGF5VGV4dD48cmVjb3JkPjxyZWMtbnVtYmVyPjE4MDU8L3JlYy1udW1iZXI+PGZvcmVpZ24ta2V5
cz48a2V5IGFwcD0iRU4iIGRiLWlkPSJ2NXZ0NXQ5NWcyZmFyNmV2c3BhdnZ3MDEwenMwYTJ6d3h6
c2QiIHRpbWVzdGFtcD0iMTQ3Njk5NDcxNSI+MTgwNTwva2V5PjwvZm9yZWlnbi1rZXlzPjxyZWYt
dHlwZSBuYW1lPSJKb3VybmFsIEFydGljbGUiPjE3PC9yZWYtdHlwZT48Y29udHJpYnV0b3JzPjxh
dXRob3JzPjxhdXRob3I+Q2hlc3NtYW4sIEJydWNlIEM8L2F1dGhvcj48YXV0aG9yPlRodXJ0ZWxs
LCBMaXNhIEE8L2F1dGhvcj48YXV0aG9yPlJveWFsLCBNZXJlZGl0aCBKPC9hdXRob3I+PC9hdXRo
b3JzPjwvY29udHJpYnV0b3JzPjx0aXRsZXM+PHRpdGxlPkJpb2Fzc2Vzc21lbnQgaW4gQSBIYXJz
aCBFbnZpcm9ubWVudDogQSBDb21wYXJpc29uIG9mIE1hY3JvaW52ZXJ0ZWJyYXRlIEFzc2VtYmxh
Z2VzIGF0IFJlZmVyZW5jZSBhbmQgQXNzZXNzbWVudCBTaXRlcyBpbiBBbiBBdXN0cmFsaWFuIElu
bGFuZCBSaXZlciBTeXN0ZW08L3RpdGxlPjxzZWNvbmRhcnktdGl0bGU+RW52aXJvbm1lbnRhbCBN
b2RlbGluZyBhbmQgQXNzZXNzbWVudDwvc2Vjb25kYXJ5LXRpdGxlPjxzaG9ydC10aXRsZT5FbnZp
cm9ubWVudGFsIE1vbml0b3JpbmcgYW5kIEFzc2Vzc21lbnQ8L3Nob3J0LXRpdGxlPjwvdGl0bGVz
PjxwZXJpb2RpY2FsPjxmdWxsLXRpdGxlPkVudmlyb25tZW50YWwgTW9kZWxpbmcgYW5kIEFzc2Vz
c21lbnQ8L2Z1bGwtdGl0bGU+PC9wZXJpb2RpY2FsPjxwYWdlcz4zMDMtMzMwPC9wYWdlcz48dm9s
dW1lPjExOTwvdm9sdW1lPjxudW1iZXI+MS0zPC9udW1iZXI+PGRhdGVzPjx5ZWFyPjIwMDY8L3ll
YXI+PHB1Yi1kYXRlcz48ZGF0ZT5KdW4gMDI8L2RhdGU+PC9wdWItZGF0ZXM+PC9kYXRlcz48bGFi
ZWw+cjA2NjgxPC9sYWJlbD48dXJscz48cmVsYXRlZC11cmxzPjx1cmw+aHR0cDovL3d3dy5zcHJp
bmdlcmxpbmsuY29tL2luZGV4LzEwLjEwMDcvczEwNjYxLTAwNS05MDI3LTI8L3VybD48dXJsPmh0
dHA6Ly9saW5rLnNwcmluZ2VyLmNvbS9hcnRpY2xlLzEwLjEwMDclMkZzMTA2NjEtMDA1LTkwMjct
MjwvdXJsPjwvcmVsYXRlZC11cmxzPjxwZGYtdXJscz48dXJsPmZpbGU6Ly9sb2NhbGhvc3QobnVs
bCk8L3VybD48L3BkZi11cmxzPjwvdXJscz48Y3VzdG9tMz5wYXBlcnMzOi8vcHVibGljYXRpb24v
dXVpZC85NDVCRjI5OS05MTY3LTRFODQtOEM0OC04RUExMTY1NzUzMUM8L2N1c3RvbTM+PGVsZWN0
cm9uaWMtcmVzb3VyY2UtbnVtPjEwLjEwMDcvczEwNjYxLTAwNS05MDI3LTI8L2VsZWN0cm9uaWMt
cmVzb3VyY2UtbnVtPjxsYW5ndWFnZT5FbmdsaXNoPC9sYW5ndWFnZT48L3JlY29yZD48L0NpdGU+
PENpdGU+PEF1dGhvcj5DaGVzc21hbjwvQXV0aG9yPjxZZWFyPjIwMTA8L1llYXI+PFJlY051bT45
NjM8L1JlY051bT48cmVjb3JkPjxyZWMtbnVtYmVyPjk2MzwvcmVjLW51bWJlcj48Zm9yZWlnbi1r
ZXlzPjxrZXkgYXBwPSJFTiIgZGItaWQ9InY1dnQ1dDk1ZzJmYXI2ZXZzcGF2dncwMTB6czBhMnp3
eHpzZCIgdGltZXN0YW1wPSIxNDc2OTk0NzExIj45NjM8L2tleT48L2ZvcmVpZ24ta2V5cz48cmVm
LXR5cGUgbmFtZT0iSm91cm5hbCBBcnRpY2xlIj4xNzwvcmVmLXR5cGU+PGNvbnRyaWJ1dG9ycz48
YXV0aG9ycz48YXV0aG9yPkNoZXNzbWFuLCBCcnVjZSBDPC9hdXRob3I+PGF1dGhvcj5Kb25lcywg
SHVnaCBBPC9hdXRob3I+PGF1dGhvcj5TZWFybGUsIE5pcnZhbmEgSzwvYXV0aG9yPjxhdXRob3I+
R3Jvd25zLCBJdm9yIE88L2F1dGhvcj48YXV0aG9yPlBlYXJzb24sIE1hcml0YSBSPC9hdXRob3I+
PC9hdXRob3JzPjwvY29udHJpYnV0b3JzPjx0aXRsZXM+PHRpdGxlPkFzc2Vzc2luZyBlZmZlY3Rz
IG9mIGZsb3cgYWx0ZXJhdGlvbiBvbiBtYWNyb2ludmVydGVicmF0ZSBhc3NlbWJsYWdlcyBpbiBB
dXN0cmFsaWFuIGRyeWxhbmQgcml2ZXJzPC90aXRsZT48c2Vjb25kYXJ5LXRpdGxlPkZyZXNod2F0
ZXIgQmlvbG9neTwvc2Vjb25kYXJ5LXRpdGxlPjxzaG9ydC10aXRsZT5GcmVzaHdhdGVyIEJpb2xv
Z3k8L3Nob3J0LXRpdGxlPjwvdGl0bGVzPjxwZXJpb2RpY2FsPjxmdWxsLXRpdGxlPkZyZXNod2F0
ZXIgQmlvbG9neTwvZnVsbC10aXRsZT48L3BlcmlvZGljYWw+PHBhZ2VzPjE3ODAtMTgwMDwvcGFn
ZXM+PHZvbHVtZT41NTwvdm9sdW1lPjxudW1iZXI+ODwvbnVtYmVyPjxkYXRlcz48eWVhcj4yMDEw
PC95ZWFyPjxwdWItZGF0ZXM+PGRhdGU+QXVnIDAxPC9kYXRlPjwvcHViLWRhdGVzPjwvZGF0ZXM+
PHB1Ymxpc2hlcj5CbGFja3dlbGwgUHVibGlzaGluZyBMdGQ8L3B1Ymxpc2hlcj48YWNjZXNzaW9u
LW51bT4xMC4xMTExL2ouMTM2NS0yNDI3LjIwMTAuMDI0MDMueDwvYWNjZXNzaW9uLW51bT48bGFi
ZWw+cjAyNTUyPC9sYWJlbD48dXJscz48cmVsYXRlZC11cmxzPjx1cmw+aHR0cDovL29ubGluZWxp
YnJhcnkud2lsZXkuY29tLmxpYnJhcnlwcm94eS5ncmlmZml0aC5lZHUuYXUvZG9pLzEwLjExMTEv
ai4xMzY1LTI0MjcuMjAxMC4wMjQwMy54L2Z1bGw8L3VybD48L3JlbGF0ZWQtdXJscz48cGRmLXVy
bHM+PHVybD5maWxlOi8vbG9jYWxob3N0L1VzZXJzL25pY2tib25kL0Ryb3Bib3gvUGFwZXJzJTIw
TGlicmFyeS9MaWJyYXJ5LnBhcGVyczMvRmlsZXMvRTcvRTdFRTdCOTktMTg5My00Qjk4LTg1RTMt
MjU2RTc3NkNCM0FELnBkZjwvdXJsPjwvcGRmLXVybHM+PC91cmxzPjxjdXN0b20zPnBhcGVyczM6
Ly9wdWJsaWNhdGlvbi91dWlkL0ZGNzk4MzhELUFEOEItNEI3QS1BQUM3LUZGMDg2RjM2OTQ5NDwv
Y3VzdG9tMz48ZWxlY3Ryb25pYy1yZXNvdXJjZS1udW0+MTAuMTExMS9qLjEzNjUtMjQyNy4yMDEw
LjAyNDAzLng8L2VsZWN0cm9uaWMtcmVzb3VyY2UtbnVtPjxsYW5ndWFnZT5FbmdsaXNoPC9sYW5n
dWFnZT48L3JlY29yZD48L0NpdGU+PC9FbmROb3RlPn==
</w:fldData>
        </w:fldChar>
      </w:r>
      <w:r w:rsidRPr="00747E35">
        <w:rPr>
          <w:rFonts w:asciiTheme="minorHAnsi" w:hAnsiTheme="minorHAnsi" w:cstheme="minorHAnsi"/>
        </w:rPr>
        <w:instrText xml:space="preserve"> ADDIN EN.CITE.DATA </w:instrText>
      </w:r>
      <w:r w:rsidRPr="00747E35">
        <w:rPr>
          <w:rFonts w:asciiTheme="minorHAnsi" w:hAnsiTheme="minorHAnsi" w:cstheme="minorHAnsi"/>
        </w:rPr>
      </w:r>
      <w:r w:rsidRPr="00747E35">
        <w:rPr>
          <w:rFonts w:asciiTheme="minorHAnsi" w:hAnsiTheme="minorHAnsi" w:cstheme="minorHAnsi"/>
        </w:rPr>
        <w:fldChar w:fldCharType="end"/>
      </w:r>
      <w:r w:rsidRPr="00747E35">
        <w:rPr>
          <w:rFonts w:asciiTheme="minorHAnsi" w:hAnsiTheme="minorHAnsi" w:cstheme="minorHAnsi"/>
        </w:rPr>
      </w:r>
      <w:r w:rsidRPr="00747E35">
        <w:rPr>
          <w:rFonts w:asciiTheme="minorHAnsi" w:hAnsiTheme="minorHAnsi" w:cstheme="minorHAnsi"/>
        </w:rPr>
        <w:fldChar w:fldCharType="separate"/>
      </w:r>
      <w:r w:rsidRPr="00747E35">
        <w:rPr>
          <w:rFonts w:asciiTheme="minorHAnsi" w:hAnsiTheme="minorHAnsi" w:cstheme="minorHAnsi"/>
          <w:noProof/>
        </w:rPr>
        <w:t>(e.g. Chessman</w:t>
      </w:r>
      <w:r w:rsidRPr="00747E35">
        <w:rPr>
          <w:rFonts w:asciiTheme="minorHAnsi" w:hAnsiTheme="minorHAnsi" w:cstheme="minorHAnsi"/>
          <w:i/>
          <w:noProof/>
        </w:rPr>
        <w:t xml:space="preserve"> et al.</w:t>
      </w:r>
      <w:r w:rsidRPr="00747E35">
        <w:rPr>
          <w:rFonts w:asciiTheme="minorHAnsi" w:hAnsiTheme="minorHAnsi" w:cstheme="minorHAnsi"/>
          <w:noProof/>
        </w:rPr>
        <w:t>, 2006; Chessman</w:t>
      </w:r>
      <w:r w:rsidRPr="00747E35">
        <w:rPr>
          <w:rFonts w:asciiTheme="minorHAnsi" w:hAnsiTheme="minorHAnsi" w:cstheme="minorHAnsi"/>
          <w:i/>
          <w:noProof/>
        </w:rPr>
        <w:t xml:space="preserve"> et al.</w:t>
      </w:r>
      <w:r w:rsidRPr="00747E35">
        <w:rPr>
          <w:rFonts w:asciiTheme="minorHAnsi" w:hAnsiTheme="minorHAnsi" w:cstheme="minorHAnsi"/>
          <w:noProof/>
        </w:rPr>
        <w:t>, 2010)</w:t>
      </w:r>
      <w:r w:rsidRPr="00747E35">
        <w:rPr>
          <w:rFonts w:asciiTheme="minorHAnsi" w:hAnsiTheme="minorHAnsi" w:cstheme="minorHAnsi"/>
        </w:rPr>
        <w:fldChar w:fldCharType="end"/>
      </w:r>
      <w:r w:rsidRPr="00747E35">
        <w:rPr>
          <w:rFonts w:asciiTheme="minorHAnsi" w:hAnsiTheme="minorHAnsi" w:cstheme="minorHAnsi"/>
        </w:rPr>
        <w:t xml:space="preserve">. Nevertheless, the aim of this component of the current study was to </w:t>
      </w:r>
      <w:r w:rsidRPr="00747E35">
        <w:rPr>
          <w:rFonts w:asciiTheme="minorHAnsi" w:hAnsiTheme="minorHAnsi" w:cstheme="minorHAnsi"/>
        </w:rPr>
        <w:lastRenderedPageBreak/>
        <w:t>compare patterns of species richness and abundance (and other indicators) based on fish and invertebrate surveys across the range of sites being sampled as part of the broader project. The objective is to provide further advice as to the relevance and/or utility of fish and invertebrate sampling to provide relevant data for assessing CMCSG impacts in intermittent streams based on traditional biomonitoring sampling approaches.</w:t>
      </w:r>
    </w:p>
    <w:p w14:paraId="7B100A88" w14:textId="258C98BD" w:rsidR="003D3694" w:rsidRPr="00747E35" w:rsidRDefault="003D3694" w:rsidP="003D3694">
      <w:pPr>
        <w:pStyle w:val="Heading3"/>
        <w:rPr>
          <w:rFonts w:asciiTheme="minorHAnsi" w:hAnsiTheme="minorHAnsi" w:cstheme="minorHAnsi"/>
        </w:rPr>
      </w:pPr>
      <w:bookmarkStart w:id="163" w:name="_Toc466450348"/>
      <w:bookmarkStart w:id="164" w:name="_Toc470004856"/>
      <w:r w:rsidRPr="00747E35">
        <w:rPr>
          <w:rFonts w:asciiTheme="minorHAnsi" w:hAnsiTheme="minorHAnsi" w:cstheme="minorHAnsi"/>
        </w:rPr>
        <w:t>Methods</w:t>
      </w:r>
      <w:bookmarkEnd w:id="163"/>
      <w:bookmarkEnd w:id="164"/>
    </w:p>
    <w:p w14:paraId="31711046" w14:textId="77777777" w:rsidR="003D3694" w:rsidRPr="00747E35" w:rsidRDefault="003D3694" w:rsidP="003D3694">
      <w:pPr>
        <w:pStyle w:val="Heading4"/>
        <w:rPr>
          <w:rFonts w:asciiTheme="minorHAnsi" w:hAnsiTheme="minorHAnsi" w:cstheme="minorHAnsi"/>
          <w:lang w:eastAsia="en-AU"/>
        </w:rPr>
      </w:pPr>
      <w:r w:rsidRPr="00747E35">
        <w:rPr>
          <w:rFonts w:asciiTheme="minorHAnsi" w:hAnsiTheme="minorHAnsi" w:cstheme="minorHAnsi"/>
          <w:lang w:eastAsia="en-AU"/>
        </w:rPr>
        <w:t>Fish surveys and macroinvertebrate collections</w:t>
      </w:r>
    </w:p>
    <w:p w14:paraId="598A137D" w14:textId="68349AE0"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Fish surveys were conducted twice at each site in the Bremer River catchment, incorporating a dry and wet period of flow. A 100m reach was selected at each site that incorporated three main mesohabitat units: riffle, pools, and runs. We avoided sampling after high flows. Fish assemblages were intensively sampled by multiple-pass electrofishing with a Smith-Root model 12B Backpack Electrofisher (Smith-Root Incorporated, Vancouver, Canada). A complete description and evaluation of the sampling protocol can be obtained from Kennard et al</w:t>
      </w:r>
      <w:r w:rsidR="005E04D7">
        <w:rPr>
          <w:rFonts w:asciiTheme="minorHAnsi" w:hAnsiTheme="minorHAnsi" w:cstheme="minorHAnsi"/>
          <w:lang w:eastAsia="en-AU"/>
        </w:rPr>
        <w:t>.</w:t>
      </w:r>
      <w:r w:rsidRPr="00747E35">
        <w:rPr>
          <w:rFonts w:asciiTheme="minorHAnsi" w:hAnsiTheme="minorHAnsi" w:cstheme="minorHAnsi"/>
          <w:lang w:eastAsia="en-AU"/>
        </w:rPr>
        <w:t xml:space="preserve">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ADDIN EN.CITE &lt;EndNote&gt;&lt;Cite ExcludeAuth="1"&gt;&lt;Author&gt;Kennard&lt;/Author&gt;&lt;Year&gt;2011&lt;/Year&gt;&lt;RecNum&gt;1380&lt;/RecNum&gt;&lt;DisplayText&gt;(2011)&lt;/DisplayText&gt;&lt;record&gt;&lt;rec-number&gt;1380&lt;/rec-number&gt;&lt;foreign-keys&gt;&lt;key app="EN" db-id="f09zwdf26xeasaevvsjxv00h9rx2v9xarfsw" timestamp="1479089315"&gt;1380&lt;/key&gt;&lt;/foreign-keys&gt;&lt;ref-type name="Report"&gt;27&lt;/ref-type&gt;&lt;contributors&gt;&lt;authors&gt;&lt;author&gt;Kennard, M. J.&lt;/author&gt;&lt;author&gt;Pusey, B. J.&lt;/author&gt;&lt;author&gt;Allsop, Q.&lt;/author&gt;&lt;author&gt;Perna, C. &lt;/author&gt;&lt;author&gt;Burrows, D. &lt;/author&gt;&lt;author&gt;Douglas, M. M. &lt;/author&gt;&lt;/authors&gt;&lt;tertiary-authors&gt;&lt;author&gt;Tropical Rivers and Coastal Knowledge, Charles Darwin University. Available at: http://www.track.org.au/publications/registry/track973&lt;/author&gt;&lt;/tertiary-authors&gt;&lt;/contributors&gt;&lt;titles&gt;&lt;title&gt;Field Manual - Including protocols for quantitative sampling of fish assemblages, habitat, water quality and sample preservation&lt;/title&gt;&lt;/titles&gt;&lt;dates&gt;&lt;year&gt;2011&lt;/year&gt;&lt;/dates&gt;&lt;publisher&gt;Tropical Rivers and Coastal Knowledge, Charles Darwin University. Available at: http://www.track.org.au/publications/registry/track973&lt;/publisher&gt;&lt;urls&gt;&lt;related-urls&gt;&lt;url&gt;http://www.track.org.au/publications/registry/track973 &lt;/url&gt;&lt;/related-urls&gt;&lt;/urls&gt;&lt;/record&gt;&lt;/Cite&gt;&lt;/EndNote&gt;</w:instrText>
      </w:r>
      <w:r w:rsidRPr="00747E35">
        <w:rPr>
          <w:rFonts w:asciiTheme="minorHAnsi" w:hAnsiTheme="minorHAnsi" w:cstheme="minorHAnsi"/>
          <w:lang w:eastAsia="en-AU"/>
        </w:rPr>
        <w:fldChar w:fldCharType="separate"/>
      </w:r>
      <w:r w:rsidRPr="00747E35">
        <w:rPr>
          <w:rFonts w:asciiTheme="minorHAnsi" w:hAnsiTheme="minorHAnsi" w:cstheme="minorHAnsi"/>
          <w:noProof/>
          <w:lang w:eastAsia="en-AU"/>
        </w:rPr>
        <w:t>(2011)</w:t>
      </w:r>
      <w:r w:rsidRPr="00747E35">
        <w:rPr>
          <w:rFonts w:asciiTheme="minorHAnsi" w:hAnsiTheme="minorHAnsi" w:cstheme="minorHAnsi"/>
          <w:lang w:eastAsia="en-AU"/>
        </w:rPr>
        <w:fldChar w:fldCharType="end"/>
      </w:r>
      <w:r w:rsidRPr="00747E35">
        <w:rPr>
          <w:rFonts w:asciiTheme="minorHAnsi" w:hAnsiTheme="minorHAnsi" w:cstheme="minorHAnsi"/>
          <w:lang w:eastAsia="en-AU"/>
        </w:rPr>
        <w:t>. Briefly, up to 9 (depending on the extent of surface water habitat) electrofishing non-linear transects or ‘shots’ were conducted within each study reach. All collected fish were identified to species and counted. From the fish data, we calculated total abundance of each species, species richness, and the catch per unit effort for each species (total number of fish per electro-shot) in each survey. The average wetted width, depth, and velocity were calculated from five random point measurements within each shot. The percent mesohabitat type (e.g. riffle, run, pool), percent substrate coverage (e.g. mud, sand, fine gravel, cobble), and percent microhabitat type (e.g. aquatic macrophytes, leaf litter, emergent vegetation) were also estimated within each shot. Reach and catchment scale environmental variables (e.g. catchment area, mean annual runoff, pool water height, and catchment vegetation cover) were extracted from various sources, including geographical information systems and rainfall records, and used as predictor variables in subsequent data analyses.</w:t>
      </w:r>
    </w:p>
    <w:p w14:paraId="211A75E2"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 xml:space="preserve">Macroinvertebrate surveys were conducted twice at each site in the Bremer and Maules Creek catchments. Not all sites had surface water present during both surveys and no samples were collected from dry sites. Kick samples were collected following standard protocols consistent with those employed as part of the AusRivAS river health assessment program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ADDIN EN.CITE &lt;EndNote&gt;&lt;Cite&gt;&lt;Author&gt;Conrick&lt;/Author&gt;&lt;Year&gt;2001&lt;/Year&gt;&lt;RecNum&gt;9222&lt;/RecNum&gt;&lt;DisplayText&gt;(Conrick and Cockayne, 2001)&lt;/DisplayText&gt;&lt;record&gt;&lt;rec-number&gt;9222&lt;/rec-number&gt;&lt;foreign-keys&gt;&lt;key app="EN" db-id="v5vt5t95g2far6evspavvw010zs0a2zwxzsd" timestamp="1478405252"&gt;9222&lt;/key&gt;&lt;key app="ENWeb" db-id=""&gt;0&lt;/key&gt;&lt;/foreign-keys&gt;&lt;ref-type name="Report"&gt;27&lt;/ref-type&gt;&lt;contributors&gt;&lt;authors&gt;&lt;author&gt;Conrick, D&lt;/author&gt;&lt;author&gt;Cockayne, B&lt;/author&gt;&lt;/authors&gt;&lt;/contributors&gt;&lt;titles&gt;&lt;title&gt;Queensland Australian River Assessment System (AusRivAS) Sampling Processing Manual&lt;/title&gt;&lt;/titles&gt;&lt;dates&gt;&lt;year&gt;2001&lt;/year&gt;&lt;/dates&gt;&lt;pub-location&gt;Rocklea, Qld&lt;/pub-location&gt;&lt;publisher&gt;Department of Natural Resources and Mines&lt;/publisher&gt;&lt;urls&gt;&lt;/urls&gt;&lt;/record&gt;&lt;/Cite&gt;&lt;/EndNote&gt;</w:instrText>
      </w:r>
      <w:r w:rsidRPr="00747E35">
        <w:rPr>
          <w:rFonts w:asciiTheme="minorHAnsi" w:hAnsiTheme="minorHAnsi" w:cstheme="minorHAnsi"/>
          <w:lang w:eastAsia="en-AU"/>
        </w:rPr>
        <w:fldChar w:fldCharType="separate"/>
      </w:r>
      <w:r w:rsidRPr="00747E35">
        <w:rPr>
          <w:rFonts w:asciiTheme="minorHAnsi" w:hAnsiTheme="minorHAnsi" w:cstheme="minorHAnsi"/>
          <w:noProof/>
          <w:lang w:eastAsia="en-AU"/>
        </w:rPr>
        <w:t>(Conrick and Cockayne, 2001)</w:t>
      </w:r>
      <w:r w:rsidRPr="00747E35">
        <w:rPr>
          <w:rFonts w:asciiTheme="minorHAnsi" w:hAnsiTheme="minorHAnsi" w:cstheme="minorHAnsi"/>
          <w:lang w:eastAsia="en-AU"/>
        </w:rPr>
        <w:fldChar w:fldCharType="end"/>
      </w:r>
      <w:r w:rsidRPr="00747E35">
        <w:rPr>
          <w:rFonts w:asciiTheme="minorHAnsi" w:hAnsiTheme="minorHAnsi" w:cstheme="minorHAnsi"/>
          <w:lang w:eastAsia="en-AU"/>
        </w:rPr>
        <w:t>. Briefly, a D-shaped 250</w:t>
      </w:r>
      <w:r w:rsidRPr="00747E35">
        <w:rPr>
          <w:rFonts w:asciiTheme="minorHAnsi" w:hAnsiTheme="minorHAnsi" w:cstheme="minorHAnsi"/>
          <w:lang w:eastAsia="en-AU"/>
        </w:rPr>
        <w:sym w:font="Symbol" w:char="F06D"/>
      </w:r>
      <w:r w:rsidRPr="00747E35">
        <w:rPr>
          <w:rFonts w:asciiTheme="minorHAnsi" w:hAnsiTheme="minorHAnsi" w:cstheme="minorHAnsi"/>
          <w:lang w:eastAsia="en-AU"/>
        </w:rPr>
        <w:t>m mesh net held downstream of the operator was used to collect material disturbed from the bed using a kicking motion (kick-samples). Three replicate samples were collected from pool and riffle habitats respectively, but were combined in the field to reduce processing time in the laboratory. Samples were preserved using 70% ethanol and returned to the laboratory where animals were enumerated and identified to genera, or where this was not possible, to the lowest recognisable taxonomic unit.</w:t>
      </w:r>
    </w:p>
    <w:p w14:paraId="0F291FEB" w14:textId="77777777" w:rsidR="003D3694" w:rsidRPr="00747E35" w:rsidRDefault="003D3694" w:rsidP="003D3694">
      <w:pPr>
        <w:pStyle w:val="Heading4"/>
        <w:rPr>
          <w:rFonts w:asciiTheme="minorHAnsi" w:hAnsiTheme="minorHAnsi" w:cstheme="minorHAnsi"/>
          <w:lang w:eastAsia="en-AU"/>
        </w:rPr>
      </w:pPr>
      <w:r w:rsidRPr="00747E35">
        <w:rPr>
          <w:rFonts w:asciiTheme="minorHAnsi" w:hAnsiTheme="minorHAnsi" w:cstheme="minorHAnsi"/>
          <w:lang w:eastAsia="en-AU"/>
        </w:rPr>
        <w:t>Data analysis</w:t>
      </w:r>
    </w:p>
    <w:p w14:paraId="37BA326B" w14:textId="1A7734A8"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In the case of the fish surveys, differences in assemblage structure, total richness, and total abundance among sites and sampling periods were assessed using permutational multivariate analysis of variance (PERMANOVA) using a nested design (Crossed fixed factors = Site and Season; Random factor = shot number nested within Site). Tests were performed on the resemblance matrix based on Euclidean distance (for abundance and richness) or Bray-Curtis similarity (for assemblage composition) of transformed (</w:t>
      </w:r>
      <w:r w:rsidRPr="00747E35">
        <w:rPr>
          <w:rFonts w:asciiTheme="minorHAnsi" w:hAnsiTheme="minorHAnsi" w:cstheme="minorHAnsi"/>
          <w:i/>
          <w:lang w:eastAsia="en-AU"/>
        </w:rPr>
        <w:t>ln(</w:t>
      </w:r>
      <w:r w:rsidRPr="00747E35">
        <w:rPr>
          <w:rFonts w:asciiTheme="minorHAnsi" w:hAnsiTheme="minorHAnsi" w:cstheme="minorHAnsi"/>
          <w:lang w:eastAsia="en-AU"/>
        </w:rPr>
        <w:t xml:space="preserve">x+1)) data. Pair-wise tests were undertaken to identify levels of factors contributing to any significant differences in PERMANOVAs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ADDIN EN.CITE &lt;EndNote&gt;&lt;Cite&gt;&lt;Author&gt;Anderson&lt;/Author&gt;&lt;Year&gt;2006&lt;/Year&gt;&lt;RecNum&gt;1381&lt;/RecNum&gt;&lt;DisplayText&gt;(Anderson, 2006)&lt;/DisplayText&gt;&lt;record&gt;&lt;rec-number&gt;1381&lt;/rec-number&gt;&lt;foreign-keys&gt;&lt;key app="EN" db-id="f09zwdf26xeasaevvsjxv00h9rx2v9xarfsw" timestamp="1479089663"&gt;1381&lt;/key&gt;&lt;/foreign-keys&gt;&lt;ref-type name="Journal Article"&gt;17&lt;/ref-type&gt;&lt;contributors&gt;&lt;authors&gt;&lt;author&gt;Anderson, M. J.&lt;/author&gt;&lt;/authors&gt;&lt;/contributors&gt;&lt;titles&gt;&lt;title&gt;Distance-based tests for homogeneity of multivariate dispersions&lt;/title&gt;&lt;secondary-title&gt;Biometrics&lt;/secondary-title&gt;&lt;/titles&gt;&lt;periodical&gt;&lt;full-title&gt;Biometrics&lt;/full-title&gt;&lt;/periodical&gt;&lt;pages&gt;245-253&lt;/pages&gt;&lt;volume&gt;62&lt;/volume&gt;&lt;number&gt;1&lt;/number&gt;&lt;dates&gt;&lt;year&gt;2006&lt;/year&gt;&lt;/dates&gt;&lt;work-type&gt;Article&lt;/work-type&gt;&lt;urls&gt;&lt;related-urls&gt;&lt;url&gt;https://www.scopus.com/inward/record.uri?eid=2-s2.0-33645053483&amp;amp;partnerID=40&amp;amp;md5=a9c3c16d63d857f7790cbead82f751b8&lt;/url&gt;&lt;/related-urls&gt;&lt;/urls&gt;&lt;electronic-resource-num&gt;10.1111/j.1541-0420.2005.00440.x&lt;/electronic-resource-num&gt;&lt;remote-database-name&gt;Scopus&lt;/remote-database-name&gt;&lt;/record&gt;&lt;/Cite&gt;&lt;/EndNote&gt;</w:instrText>
      </w:r>
      <w:r w:rsidRPr="00747E35">
        <w:rPr>
          <w:rFonts w:asciiTheme="minorHAnsi" w:hAnsiTheme="minorHAnsi" w:cstheme="minorHAnsi"/>
          <w:lang w:eastAsia="en-AU"/>
        </w:rPr>
        <w:fldChar w:fldCharType="separate"/>
      </w:r>
      <w:r w:rsidRPr="00747E35">
        <w:rPr>
          <w:rFonts w:asciiTheme="minorHAnsi" w:hAnsiTheme="minorHAnsi" w:cstheme="minorHAnsi"/>
          <w:noProof/>
          <w:lang w:eastAsia="en-AU"/>
        </w:rPr>
        <w:t>(Anderson, 2006)</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Following the PERMANOVA, a permutational analysis of multivariate dispersions (PERMDISP) was conducted on the resemblance matrix to determine whether any separation between sites and seasons could be accounted for by differences in multivariate dispersions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ADDIN EN.CITE &lt;EndNote&gt;&lt;Cite&gt;&lt;Author&gt;Anderson&lt;/Author&gt;&lt;Year&gt;2006&lt;/Year&gt;&lt;RecNum&gt;1381&lt;/RecNum&gt;&lt;DisplayText&gt;(Anderson, 2006)&lt;/DisplayText&gt;&lt;record&gt;&lt;rec-number&gt;1381&lt;/rec-number&gt;&lt;foreign-keys&gt;&lt;key app="EN" db-id="f09zwdf26xeasaevvsjxv00h9rx2v9xarfsw" timestamp="1479089663"&gt;1381&lt;/key&gt;&lt;/foreign-keys&gt;&lt;ref-type name="Journal Article"&gt;17&lt;/ref-type&gt;&lt;contributors&gt;&lt;authors&gt;&lt;author&gt;Anderson, M. J.&lt;/author&gt;&lt;/authors&gt;&lt;/contributors&gt;&lt;titles&gt;&lt;title&gt;Distance-based tests for homogeneity of multivariate dispersions&lt;/title&gt;&lt;secondary-title&gt;Biometrics&lt;/secondary-title&gt;&lt;/titles&gt;&lt;periodical&gt;&lt;full-title&gt;Biometrics&lt;/full-title&gt;&lt;/periodical&gt;&lt;pages&gt;245-253&lt;/pages&gt;&lt;volume&gt;62&lt;/volume&gt;&lt;number&gt;1&lt;/number&gt;&lt;dates&gt;&lt;year&gt;2006&lt;/year&gt;&lt;/dates&gt;&lt;work-type&gt;Article&lt;/work-type&gt;&lt;urls&gt;&lt;related-urls&gt;&lt;url&gt;https://www.scopus.com/inward/record.uri?eid=2-s2.0-33645053483&amp;amp;partnerID=40&amp;amp;md5=a9c3c16d63d857f7790cbead82f751b8&lt;/url&gt;&lt;/related-urls&gt;&lt;/urls&gt;&lt;electronic-resource-num&gt;10.1111/j.1541-0420.2005.00440.x&lt;/electronic-resource-num&gt;&lt;remote-database-name&gt;Scopus&lt;/remote-database-name&gt;&lt;/record&gt;&lt;/Cite&gt;&lt;/EndNote&gt;</w:instrText>
      </w:r>
      <w:r w:rsidRPr="00747E35">
        <w:rPr>
          <w:rFonts w:asciiTheme="minorHAnsi" w:hAnsiTheme="minorHAnsi" w:cstheme="minorHAnsi"/>
          <w:lang w:eastAsia="en-AU"/>
        </w:rPr>
        <w:fldChar w:fldCharType="separate"/>
      </w:r>
      <w:r w:rsidRPr="00747E35">
        <w:rPr>
          <w:rFonts w:asciiTheme="minorHAnsi" w:hAnsiTheme="minorHAnsi" w:cstheme="minorHAnsi"/>
          <w:noProof/>
          <w:lang w:eastAsia="en-AU"/>
        </w:rPr>
        <w:t>(Anderson, 2006)</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The differences in fish assemblage structure between sites and seasons were visualised using a non-metric multidimensional scaling (nMDS) ordination, and the fish species and environmental variables contributing to any differences in multivariate space were explored with Pearson correlation (considered influential if </w:t>
      </w:r>
      <w:r w:rsidRPr="00747E35">
        <w:rPr>
          <w:rFonts w:asciiTheme="minorHAnsi" w:hAnsiTheme="minorHAnsi" w:cstheme="minorHAnsi"/>
          <w:i/>
          <w:lang w:eastAsia="en-AU"/>
        </w:rPr>
        <w:t>r</w:t>
      </w:r>
      <w:r w:rsidRPr="00747E35">
        <w:rPr>
          <w:rFonts w:asciiTheme="minorHAnsi" w:hAnsiTheme="minorHAnsi" w:cstheme="minorHAnsi"/>
          <w:i/>
          <w:vertAlign w:val="subscript"/>
          <w:lang w:eastAsia="en-AU"/>
        </w:rPr>
        <w:t>p</w:t>
      </w:r>
      <w:r w:rsidRPr="00747E35">
        <w:rPr>
          <w:rFonts w:asciiTheme="minorHAnsi" w:hAnsiTheme="minorHAnsi" w:cstheme="minorHAnsi"/>
          <w:lang w:eastAsia="en-AU"/>
        </w:rPr>
        <w:t>&gt;0.4). The correlation of environmental variables with fish assemblage structure</w:t>
      </w:r>
      <w:r w:rsidR="008F1EA6">
        <w:rPr>
          <w:rFonts w:asciiTheme="minorHAnsi" w:hAnsiTheme="minorHAnsi" w:cstheme="minorHAnsi"/>
          <w:lang w:eastAsia="en-AU"/>
        </w:rPr>
        <w:t>,</w:t>
      </w:r>
      <w:r w:rsidRPr="00747E35">
        <w:rPr>
          <w:rFonts w:asciiTheme="minorHAnsi" w:hAnsiTheme="minorHAnsi" w:cstheme="minorHAnsi"/>
          <w:lang w:eastAsia="en-AU"/>
        </w:rPr>
        <w:t xml:space="preserve"> and the average dissimilarity of fish diversity and abundance between sites and sampling periods</w:t>
      </w:r>
      <w:r w:rsidR="008F1EA6">
        <w:rPr>
          <w:rFonts w:asciiTheme="minorHAnsi" w:hAnsiTheme="minorHAnsi" w:cstheme="minorHAnsi"/>
          <w:lang w:eastAsia="en-AU"/>
        </w:rPr>
        <w:t>,</w:t>
      </w:r>
      <w:r w:rsidRPr="00747E35">
        <w:rPr>
          <w:rFonts w:asciiTheme="minorHAnsi" w:hAnsiTheme="minorHAnsi" w:cstheme="minorHAnsi"/>
          <w:lang w:eastAsia="en-AU"/>
        </w:rPr>
        <w:t xml:space="preserve"> were similar – we therefore chose to report only data for fish assemblage structure. Similar multivariate approaches (e.g. nMDS) were used to examine relationships between macroinvertebrate samples and </w:t>
      </w:r>
      <w:r w:rsidRPr="00747E35">
        <w:rPr>
          <w:rFonts w:asciiTheme="minorHAnsi" w:hAnsiTheme="minorHAnsi" w:cstheme="minorHAnsi"/>
          <w:lang w:eastAsia="en-AU"/>
        </w:rPr>
        <w:lastRenderedPageBreak/>
        <w:t xml:space="preserve">environmental variables, but PERMANOVA was not conducted due to small sample sizes (this was a function of the decision to pool samples in the field, which itself reflected budget constraints). Univariate plots of commonly used indicators (e.g. species richness, abundance, EPT Richness and SIGNAL Score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ADDIN EN.CITE &lt;EndNote&gt;&lt;Cite&gt;&lt;Author&gt;Chessman&lt;/Author&gt;&lt;Year&gt;2003&lt;/Year&gt;&lt;RecNum&gt;9217&lt;/RecNum&gt;&lt;DisplayText&gt;(Chessman, 2003)&lt;/DisplayText&gt;&lt;record&gt;&lt;rec-number&gt;9217&lt;/rec-number&gt;&lt;foreign-keys&gt;&lt;key app="EN" db-id="v5vt5t95g2far6evspavvw010zs0a2zwxzsd" timestamp="1477697245"&gt;9217&lt;/key&gt;&lt;key app="ENWeb" db-id=""&gt;0&lt;/key&gt;&lt;/foreign-keys&gt;&lt;ref-type name="Report"&gt;27&lt;/ref-type&gt;&lt;contributors&gt;&lt;authors&gt;&lt;author&gt;Chessman, Bruce C&lt;/author&gt;&lt;/authors&gt;&lt;tertiary-authors&gt;&lt;author&gt;Commonwealth of Australia&lt;/author&gt;&lt;/tertiary-authors&gt;&lt;/contributors&gt;&lt;titles&gt;&lt;title&gt;SIGNAL 2 – A Scoring System for Macro-invertebrate (‘Water Bugs’) in Australian Rivers&lt;/title&gt;&lt;secondary-title&gt;Monitoring River Heath Initiative Technical Report no 31&lt;/secondary-title&gt;&lt;/titles&gt;&lt;dates&gt;&lt;year&gt;2003&lt;/year&gt;&lt;/dates&gt;&lt;pub-location&gt;Canberra&lt;/pub-location&gt;&lt;urls&gt;&lt;/urls&gt;&lt;/record&gt;&lt;/Cite&gt;&lt;/EndNote&gt;</w:instrText>
      </w:r>
      <w:r w:rsidRPr="00747E35">
        <w:rPr>
          <w:rFonts w:asciiTheme="minorHAnsi" w:hAnsiTheme="minorHAnsi" w:cstheme="minorHAnsi"/>
          <w:lang w:eastAsia="en-AU"/>
        </w:rPr>
        <w:fldChar w:fldCharType="separate"/>
      </w:r>
      <w:r w:rsidRPr="00747E35">
        <w:rPr>
          <w:rFonts w:asciiTheme="minorHAnsi" w:hAnsiTheme="minorHAnsi" w:cstheme="minorHAnsi"/>
          <w:noProof/>
          <w:lang w:eastAsia="en-AU"/>
        </w:rPr>
        <w:t>(Chessman, 2003)</w:t>
      </w:r>
      <w:r w:rsidRPr="00747E35">
        <w:rPr>
          <w:rFonts w:asciiTheme="minorHAnsi" w:hAnsiTheme="minorHAnsi" w:cstheme="minorHAnsi"/>
          <w:lang w:eastAsia="en-AU"/>
        </w:rPr>
        <w:fldChar w:fldCharType="end"/>
      </w:r>
      <w:r w:rsidRPr="00747E35">
        <w:rPr>
          <w:rFonts w:asciiTheme="minorHAnsi" w:hAnsiTheme="minorHAnsi" w:cstheme="minorHAnsi"/>
          <w:lang w:eastAsia="en-AU"/>
        </w:rPr>
        <w:t>) were also used to provide a visual comparison of differences among sites.</w:t>
      </w:r>
    </w:p>
    <w:p w14:paraId="7D2D079D" w14:textId="5CA92585" w:rsidR="003D3694" w:rsidRPr="00747E35" w:rsidRDefault="003D3694" w:rsidP="003D3694">
      <w:pPr>
        <w:pStyle w:val="Heading3"/>
        <w:rPr>
          <w:rFonts w:asciiTheme="minorHAnsi" w:hAnsiTheme="minorHAnsi" w:cstheme="minorHAnsi"/>
        </w:rPr>
      </w:pPr>
      <w:bookmarkStart w:id="165" w:name="_Toc466450349"/>
      <w:bookmarkStart w:id="166" w:name="_Toc470004857"/>
      <w:r w:rsidRPr="00747E35">
        <w:rPr>
          <w:rFonts w:asciiTheme="minorHAnsi" w:hAnsiTheme="minorHAnsi" w:cstheme="minorHAnsi"/>
        </w:rPr>
        <w:t>Results</w:t>
      </w:r>
      <w:bookmarkEnd w:id="165"/>
      <w:bookmarkEnd w:id="166"/>
    </w:p>
    <w:p w14:paraId="4389FC95" w14:textId="77777777" w:rsidR="003D3694" w:rsidRPr="00747E35" w:rsidRDefault="003D3694" w:rsidP="003D3694">
      <w:pPr>
        <w:pStyle w:val="Heading4"/>
        <w:rPr>
          <w:rFonts w:asciiTheme="minorHAnsi" w:hAnsiTheme="minorHAnsi" w:cstheme="minorHAnsi"/>
          <w:lang w:eastAsia="en-AU"/>
        </w:rPr>
      </w:pPr>
      <w:r w:rsidRPr="00747E35">
        <w:rPr>
          <w:rFonts w:asciiTheme="minorHAnsi" w:hAnsiTheme="minorHAnsi" w:cstheme="minorHAnsi"/>
          <w:lang w:eastAsia="en-AU"/>
        </w:rPr>
        <w:t>Fish assemblages</w:t>
      </w:r>
    </w:p>
    <w:p w14:paraId="1FABC55C" w14:textId="7225D544"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In total, 998 fish from 9 Australian native species were collected. Represented as catch per unit effort, over 2 times more fish were collected in the wet than in the dry sampling period (</w:t>
      </w:r>
      <w:r w:rsidRPr="00747E35">
        <w:rPr>
          <w:rFonts w:asciiTheme="minorHAnsi" w:hAnsiTheme="minorHAnsi" w:cstheme="minorHAnsi"/>
          <w:highlight w:val="yellow"/>
          <w:lang w:eastAsia="en-AU"/>
        </w:rPr>
        <w:fldChar w:fldCharType="begin"/>
      </w:r>
      <w:r w:rsidRPr="00747E35">
        <w:rPr>
          <w:rFonts w:asciiTheme="minorHAnsi" w:hAnsiTheme="minorHAnsi" w:cstheme="minorHAnsi"/>
          <w:lang w:eastAsia="en-AU"/>
        </w:rPr>
        <w:instrText xml:space="preserve"> REF _Ref466028312 \h </w:instrText>
      </w:r>
      <w:r w:rsidR="00925BFC" w:rsidRPr="00747E35">
        <w:rPr>
          <w:rFonts w:asciiTheme="minorHAnsi" w:hAnsiTheme="minorHAnsi" w:cstheme="minorHAnsi"/>
          <w:highlight w:val="yellow"/>
          <w:lang w:eastAsia="en-AU"/>
        </w:rPr>
        <w:instrText xml:space="preserve"> \* MERGEFORMAT </w:instrText>
      </w:r>
      <w:r w:rsidRPr="00747E35">
        <w:rPr>
          <w:rFonts w:asciiTheme="minorHAnsi" w:hAnsiTheme="minorHAnsi" w:cstheme="minorHAnsi"/>
          <w:highlight w:val="yellow"/>
          <w:lang w:eastAsia="en-AU"/>
        </w:rPr>
      </w:r>
      <w:r w:rsidRPr="00747E35">
        <w:rPr>
          <w:rFonts w:asciiTheme="minorHAnsi" w:hAnsiTheme="minorHAnsi" w:cstheme="minorHAnsi"/>
          <w:highlight w:val="yellow"/>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55</w:t>
      </w:r>
      <w:r w:rsidRPr="00747E35">
        <w:rPr>
          <w:rFonts w:asciiTheme="minorHAnsi" w:hAnsiTheme="minorHAnsi" w:cstheme="minorHAnsi"/>
          <w:highlight w:val="yellow"/>
          <w:lang w:eastAsia="en-AU"/>
        </w:rPr>
        <w:fldChar w:fldCharType="end"/>
      </w:r>
      <w:r w:rsidRPr="00747E35">
        <w:rPr>
          <w:rFonts w:asciiTheme="minorHAnsi" w:hAnsiTheme="minorHAnsi" w:cstheme="minorHAnsi"/>
          <w:lang w:eastAsia="en-AU"/>
        </w:rPr>
        <w:t xml:space="preserve">). The collections were numerically dominated by two species: </w:t>
      </w:r>
      <w:r w:rsidRPr="00747E35">
        <w:rPr>
          <w:rFonts w:asciiTheme="minorHAnsi" w:hAnsiTheme="minorHAnsi" w:cstheme="minorHAnsi"/>
          <w:i/>
          <w:lang w:eastAsia="en-AU"/>
        </w:rPr>
        <w:t>Mogurnda adspersa</w:t>
      </w:r>
      <w:r w:rsidRPr="00747E35">
        <w:rPr>
          <w:rFonts w:asciiTheme="minorHAnsi" w:hAnsiTheme="minorHAnsi" w:cstheme="minorHAnsi"/>
          <w:lang w:eastAsia="en-AU"/>
        </w:rPr>
        <w:t xml:space="preserve"> and </w:t>
      </w:r>
      <w:r w:rsidRPr="00747E35">
        <w:rPr>
          <w:rFonts w:asciiTheme="minorHAnsi" w:hAnsiTheme="minorHAnsi" w:cstheme="minorHAnsi"/>
          <w:i/>
          <w:lang w:eastAsia="en-AU"/>
        </w:rPr>
        <w:t>Melanotaenia duboulayi</w:t>
      </w:r>
      <w:r w:rsidRPr="00747E35">
        <w:rPr>
          <w:rFonts w:asciiTheme="minorHAnsi" w:hAnsiTheme="minorHAnsi" w:cstheme="minorHAnsi"/>
          <w:lang w:eastAsia="en-AU"/>
        </w:rPr>
        <w:t xml:space="preserve"> represented over 91% of the total number of fish collected (</w:t>
      </w:r>
      <w:r w:rsidRPr="00747E35">
        <w:rPr>
          <w:rFonts w:asciiTheme="minorHAnsi" w:hAnsiTheme="minorHAnsi" w:cstheme="minorHAnsi"/>
          <w:highlight w:val="yellow"/>
          <w:lang w:eastAsia="en-AU"/>
        </w:rPr>
        <w:fldChar w:fldCharType="begin"/>
      </w:r>
      <w:r w:rsidRPr="00747E35">
        <w:rPr>
          <w:rFonts w:asciiTheme="minorHAnsi" w:hAnsiTheme="minorHAnsi" w:cstheme="minorHAnsi"/>
          <w:lang w:eastAsia="en-AU"/>
        </w:rPr>
        <w:instrText xml:space="preserve"> REF _Ref466028312 \h </w:instrText>
      </w:r>
      <w:r w:rsidR="00925BFC" w:rsidRPr="00747E35">
        <w:rPr>
          <w:rFonts w:asciiTheme="minorHAnsi" w:hAnsiTheme="minorHAnsi" w:cstheme="minorHAnsi"/>
          <w:highlight w:val="yellow"/>
          <w:lang w:eastAsia="en-AU"/>
        </w:rPr>
        <w:instrText xml:space="preserve"> \* MERGEFORMAT </w:instrText>
      </w:r>
      <w:r w:rsidRPr="00747E35">
        <w:rPr>
          <w:rFonts w:asciiTheme="minorHAnsi" w:hAnsiTheme="minorHAnsi" w:cstheme="minorHAnsi"/>
          <w:highlight w:val="yellow"/>
          <w:lang w:eastAsia="en-AU"/>
        </w:rPr>
      </w:r>
      <w:r w:rsidRPr="00747E35">
        <w:rPr>
          <w:rFonts w:asciiTheme="minorHAnsi" w:hAnsiTheme="minorHAnsi" w:cstheme="minorHAnsi"/>
          <w:highlight w:val="yellow"/>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55</w:t>
      </w:r>
      <w:r w:rsidRPr="00747E35">
        <w:rPr>
          <w:rFonts w:asciiTheme="minorHAnsi" w:hAnsiTheme="minorHAnsi" w:cstheme="minorHAnsi"/>
          <w:highlight w:val="yellow"/>
          <w:lang w:eastAsia="en-AU"/>
        </w:rPr>
        <w:fldChar w:fldCharType="end"/>
      </w:r>
      <w:r w:rsidRPr="00747E35">
        <w:rPr>
          <w:rFonts w:asciiTheme="minorHAnsi" w:hAnsiTheme="minorHAnsi" w:cstheme="minorHAnsi"/>
          <w:lang w:eastAsia="en-AU"/>
        </w:rPr>
        <w:t xml:space="preserve">). The next most abundant fish was </w:t>
      </w:r>
      <w:r w:rsidRPr="00747E35">
        <w:rPr>
          <w:rFonts w:asciiTheme="minorHAnsi" w:hAnsiTheme="minorHAnsi" w:cstheme="minorHAnsi"/>
          <w:i/>
          <w:lang w:eastAsia="en-AU"/>
        </w:rPr>
        <w:t>Hypseleotris galii</w:t>
      </w:r>
      <w:r w:rsidRPr="00747E35">
        <w:rPr>
          <w:rFonts w:asciiTheme="minorHAnsi" w:hAnsiTheme="minorHAnsi" w:cstheme="minorHAnsi"/>
          <w:lang w:eastAsia="en-AU"/>
        </w:rPr>
        <w:t>, which represented 3% of the total fish collected (</w:t>
      </w:r>
      <w:r w:rsidRPr="00747E35">
        <w:rPr>
          <w:rFonts w:asciiTheme="minorHAnsi" w:hAnsiTheme="minorHAnsi" w:cstheme="minorHAnsi"/>
          <w:highlight w:val="yellow"/>
          <w:lang w:eastAsia="en-AU"/>
        </w:rPr>
        <w:fldChar w:fldCharType="begin"/>
      </w:r>
      <w:r w:rsidRPr="00747E35">
        <w:rPr>
          <w:rFonts w:asciiTheme="minorHAnsi" w:hAnsiTheme="minorHAnsi" w:cstheme="minorHAnsi"/>
          <w:lang w:eastAsia="en-AU"/>
        </w:rPr>
        <w:instrText xml:space="preserve"> REF _Ref466028312 \h </w:instrText>
      </w:r>
      <w:r w:rsidR="00925BFC" w:rsidRPr="00747E35">
        <w:rPr>
          <w:rFonts w:asciiTheme="minorHAnsi" w:hAnsiTheme="minorHAnsi" w:cstheme="minorHAnsi"/>
          <w:highlight w:val="yellow"/>
          <w:lang w:eastAsia="en-AU"/>
        </w:rPr>
        <w:instrText xml:space="preserve"> \* MERGEFORMAT </w:instrText>
      </w:r>
      <w:r w:rsidRPr="00747E35">
        <w:rPr>
          <w:rFonts w:asciiTheme="minorHAnsi" w:hAnsiTheme="minorHAnsi" w:cstheme="minorHAnsi"/>
          <w:highlight w:val="yellow"/>
          <w:lang w:eastAsia="en-AU"/>
        </w:rPr>
      </w:r>
      <w:r w:rsidRPr="00747E35">
        <w:rPr>
          <w:rFonts w:asciiTheme="minorHAnsi" w:hAnsiTheme="minorHAnsi" w:cstheme="minorHAnsi"/>
          <w:highlight w:val="yellow"/>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55</w:t>
      </w:r>
      <w:r w:rsidRPr="00747E35">
        <w:rPr>
          <w:rFonts w:asciiTheme="minorHAnsi" w:hAnsiTheme="minorHAnsi" w:cstheme="minorHAnsi"/>
          <w:highlight w:val="yellow"/>
          <w:lang w:eastAsia="en-AU"/>
        </w:rPr>
        <w:fldChar w:fldCharType="end"/>
      </w:r>
      <w:r w:rsidRPr="00747E35">
        <w:rPr>
          <w:rFonts w:asciiTheme="minorHAnsi" w:hAnsiTheme="minorHAnsi" w:cstheme="minorHAnsi"/>
          <w:lang w:eastAsia="en-AU"/>
        </w:rPr>
        <w:t>).</w:t>
      </w:r>
    </w:p>
    <w:p w14:paraId="1BBF1D1C" w14:textId="0876CBE8"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 xml:space="preserve">Fish assemblage structure varied significantly among the two sampling times, but this seasonal effect was site-dependent (significant PERMANOVA interaction term, </w:t>
      </w:r>
      <w:r w:rsidRPr="00747E35">
        <w:rPr>
          <w:rFonts w:asciiTheme="minorHAnsi" w:hAnsiTheme="minorHAnsi" w:cstheme="minorHAnsi"/>
          <w:highlight w:val="yellow"/>
          <w:lang w:eastAsia="en-AU"/>
        </w:rPr>
        <w:fldChar w:fldCharType="begin"/>
      </w:r>
      <w:r w:rsidRPr="00747E35">
        <w:rPr>
          <w:rFonts w:asciiTheme="minorHAnsi" w:hAnsiTheme="minorHAnsi" w:cstheme="minorHAnsi"/>
          <w:lang w:eastAsia="en-AU"/>
        </w:rPr>
        <w:instrText xml:space="preserve"> REF _Ref466028382 \h </w:instrText>
      </w:r>
      <w:r w:rsidR="00925BFC" w:rsidRPr="00747E35">
        <w:rPr>
          <w:rFonts w:asciiTheme="minorHAnsi" w:hAnsiTheme="minorHAnsi" w:cstheme="minorHAnsi"/>
          <w:highlight w:val="yellow"/>
          <w:lang w:eastAsia="en-AU"/>
        </w:rPr>
        <w:instrText xml:space="preserve"> \* MERGEFORMAT </w:instrText>
      </w:r>
      <w:r w:rsidRPr="00747E35">
        <w:rPr>
          <w:rFonts w:asciiTheme="minorHAnsi" w:hAnsiTheme="minorHAnsi" w:cstheme="minorHAnsi"/>
          <w:highlight w:val="yellow"/>
          <w:lang w:eastAsia="en-AU"/>
        </w:rPr>
      </w:r>
      <w:r w:rsidRPr="00747E35">
        <w:rPr>
          <w:rFonts w:asciiTheme="minorHAnsi" w:hAnsiTheme="minorHAnsi" w:cstheme="minorHAnsi"/>
          <w:highlight w:val="yellow"/>
          <w:lang w:eastAsia="en-AU"/>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14</w:t>
      </w:r>
      <w:r w:rsidRPr="00747E35">
        <w:rPr>
          <w:rFonts w:asciiTheme="minorHAnsi" w:hAnsiTheme="minorHAnsi" w:cstheme="minorHAnsi"/>
          <w:highlight w:val="yellow"/>
          <w:lang w:eastAsia="en-AU"/>
        </w:rPr>
        <w:fldChar w:fldCharType="end"/>
      </w:r>
      <w:r w:rsidRPr="00747E35">
        <w:rPr>
          <w:rFonts w:asciiTheme="minorHAnsi" w:hAnsiTheme="minorHAnsi" w:cstheme="minorHAnsi"/>
          <w:lang w:eastAsia="en-AU"/>
        </w:rPr>
        <w:t xml:space="preserve">; </w:t>
      </w:r>
      <w:r w:rsidRPr="00747E35">
        <w:rPr>
          <w:rFonts w:asciiTheme="minorHAnsi" w:hAnsiTheme="minorHAnsi" w:cstheme="minorHAnsi"/>
          <w:highlight w:val="yellow"/>
          <w:lang w:eastAsia="en-AU"/>
        </w:rPr>
        <w:fldChar w:fldCharType="begin"/>
      </w:r>
      <w:r w:rsidRPr="00747E35">
        <w:rPr>
          <w:rFonts w:asciiTheme="minorHAnsi" w:hAnsiTheme="minorHAnsi" w:cstheme="minorHAnsi"/>
          <w:lang w:eastAsia="en-AU"/>
        </w:rPr>
        <w:instrText xml:space="preserve"> REF _Ref466028395 \h </w:instrText>
      </w:r>
      <w:r w:rsidR="00925BFC" w:rsidRPr="00747E35">
        <w:rPr>
          <w:rFonts w:asciiTheme="minorHAnsi" w:hAnsiTheme="minorHAnsi" w:cstheme="minorHAnsi"/>
          <w:highlight w:val="yellow"/>
          <w:lang w:eastAsia="en-AU"/>
        </w:rPr>
        <w:instrText xml:space="preserve"> \* MERGEFORMAT </w:instrText>
      </w:r>
      <w:r w:rsidRPr="00747E35">
        <w:rPr>
          <w:rFonts w:asciiTheme="minorHAnsi" w:hAnsiTheme="minorHAnsi" w:cstheme="minorHAnsi"/>
          <w:highlight w:val="yellow"/>
          <w:lang w:eastAsia="en-AU"/>
        </w:rPr>
      </w:r>
      <w:r w:rsidRPr="00747E35">
        <w:rPr>
          <w:rFonts w:asciiTheme="minorHAnsi" w:hAnsiTheme="minorHAnsi" w:cstheme="minorHAnsi"/>
          <w:highlight w:val="yellow"/>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56</w:t>
      </w:r>
      <w:r w:rsidRPr="00747E35">
        <w:rPr>
          <w:rFonts w:asciiTheme="minorHAnsi" w:hAnsiTheme="minorHAnsi" w:cstheme="minorHAnsi"/>
          <w:highlight w:val="yellow"/>
          <w:lang w:eastAsia="en-AU"/>
        </w:rPr>
        <w:fldChar w:fldCharType="end"/>
      </w:r>
      <w:r w:rsidRPr="00747E35">
        <w:rPr>
          <w:rFonts w:asciiTheme="minorHAnsi" w:hAnsiTheme="minorHAnsi" w:cstheme="minorHAnsi"/>
          <w:lang w:eastAsia="en-AU"/>
        </w:rPr>
        <w:t>). Pairwise tests showed that fish assemblage structure was significantly different among sampling periods for Bremer River (</w:t>
      </w:r>
      <w:r w:rsidRPr="00747E35">
        <w:rPr>
          <w:rFonts w:asciiTheme="minorHAnsi" w:hAnsiTheme="minorHAnsi" w:cstheme="minorHAnsi"/>
          <w:i/>
          <w:lang w:eastAsia="en-AU"/>
        </w:rPr>
        <w:t>t</w:t>
      </w:r>
      <w:r w:rsidRPr="00747E35">
        <w:rPr>
          <w:rFonts w:asciiTheme="minorHAnsi" w:hAnsiTheme="minorHAnsi" w:cstheme="minorHAnsi"/>
          <w:lang w:eastAsia="en-AU"/>
        </w:rPr>
        <w:t xml:space="preserve"> = 1.8, </w:t>
      </w:r>
      <w:r w:rsidRPr="00747E35">
        <w:rPr>
          <w:rFonts w:asciiTheme="minorHAnsi" w:hAnsiTheme="minorHAnsi" w:cstheme="minorHAnsi"/>
          <w:i/>
          <w:lang w:eastAsia="en-AU"/>
        </w:rPr>
        <w:t>p</w:t>
      </w:r>
      <w:r w:rsidRPr="00747E35">
        <w:rPr>
          <w:rFonts w:asciiTheme="minorHAnsi" w:hAnsiTheme="minorHAnsi" w:cstheme="minorHAnsi"/>
          <w:lang w:eastAsia="en-AU"/>
        </w:rPr>
        <w:t xml:space="preserve"> = 0.04), Reynolds Creek (</w:t>
      </w:r>
      <w:r w:rsidRPr="00747E35">
        <w:rPr>
          <w:rFonts w:asciiTheme="minorHAnsi" w:hAnsiTheme="minorHAnsi" w:cstheme="minorHAnsi"/>
          <w:i/>
          <w:lang w:eastAsia="en-AU"/>
        </w:rPr>
        <w:t>t</w:t>
      </w:r>
      <w:r w:rsidRPr="00747E35">
        <w:rPr>
          <w:rFonts w:asciiTheme="minorHAnsi" w:hAnsiTheme="minorHAnsi" w:cstheme="minorHAnsi"/>
          <w:lang w:eastAsia="en-AU"/>
        </w:rPr>
        <w:t xml:space="preserve"> = 2.4, </w:t>
      </w:r>
      <w:r w:rsidRPr="00747E35">
        <w:rPr>
          <w:rFonts w:asciiTheme="minorHAnsi" w:hAnsiTheme="minorHAnsi" w:cstheme="minorHAnsi"/>
          <w:i/>
          <w:lang w:eastAsia="en-AU"/>
        </w:rPr>
        <w:t>p</w:t>
      </w:r>
      <w:r w:rsidRPr="00747E35">
        <w:rPr>
          <w:rFonts w:asciiTheme="minorHAnsi" w:hAnsiTheme="minorHAnsi" w:cstheme="minorHAnsi"/>
          <w:lang w:eastAsia="en-AU"/>
        </w:rPr>
        <w:t xml:space="preserve"> = 0.03), and Wild Cattle Creek (</w:t>
      </w:r>
      <w:r w:rsidRPr="00747E35">
        <w:rPr>
          <w:rFonts w:asciiTheme="minorHAnsi" w:hAnsiTheme="minorHAnsi" w:cstheme="minorHAnsi"/>
          <w:i/>
          <w:lang w:eastAsia="en-AU"/>
        </w:rPr>
        <w:t>t</w:t>
      </w:r>
      <w:r w:rsidRPr="00747E35">
        <w:rPr>
          <w:rFonts w:asciiTheme="minorHAnsi" w:hAnsiTheme="minorHAnsi" w:cstheme="minorHAnsi"/>
          <w:lang w:eastAsia="en-AU"/>
        </w:rPr>
        <w:t xml:space="preserve"> = 4.7, </w:t>
      </w:r>
      <w:r w:rsidRPr="00747E35">
        <w:rPr>
          <w:rFonts w:asciiTheme="minorHAnsi" w:hAnsiTheme="minorHAnsi" w:cstheme="minorHAnsi"/>
          <w:i/>
          <w:lang w:eastAsia="en-AU"/>
        </w:rPr>
        <w:t>p</w:t>
      </w:r>
      <w:r w:rsidRPr="00747E35">
        <w:rPr>
          <w:rFonts w:asciiTheme="minorHAnsi" w:hAnsiTheme="minorHAnsi" w:cstheme="minorHAnsi"/>
          <w:lang w:eastAsia="en-AU"/>
        </w:rPr>
        <w:t xml:space="preserve"> = 0.001), but not for Coulson Creek (</w:t>
      </w:r>
      <w:r w:rsidRPr="00747E35">
        <w:rPr>
          <w:rFonts w:asciiTheme="minorHAnsi" w:hAnsiTheme="minorHAnsi" w:cstheme="minorHAnsi"/>
          <w:i/>
          <w:lang w:eastAsia="en-AU"/>
        </w:rPr>
        <w:t>t</w:t>
      </w:r>
      <w:r w:rsidRPr="00747E35">
        <w:rPr>
          <w:rFonts w:asciiTheme="minorHAnsi" w:hAnsiTheme="minorHAnsi" w:cstheme="minorHAnsi"/>
          <w:lang w:eastAsia="en-AU"/>
        </w:rPr>
        <w:t xml:space="preserve"> = 2.5, </w:t>
      </w:r>
      <w:r w:rsidRPr="00747E35">
        <w:rPr>
          <w:rFonts w:asciiTheme="minorHAnsi" w:hAnsiTheme="minorHAnsi" w:cstheme="minorHAnsi"/>
          <w:i/>
          <w:lang w:eastAsia="en-AU"/>
        </w:rPr>
        <w:t>p</w:t>
      </w:r>
      <w:r w:rsidRPr="00747E35">
        <w:rPr>
          <w:rFonts w:asciiTheme="minorHAnsi" w:hAnsiTheme="minorHAnsi" w:cstheme="minorHAnsi"/>
          <w:lang w:eastAsia="en-AU"/>
        </w:rPr>
        <w:t xml:space="preserve"> = 0.11) and Warrill Creek (</w:t>
      </w:r>
      <w:r w:rsidRPr="00747E35">
        <w:rPr>
          <w:rFonts w:asciiTheme="minorHAnsi" w:hAnsiTheme="minorHAnsi" w:cstheme="minorHAnsi"/>
          <w:i/>
          <w:lang w:eastAsia="en-AU"/>
        </w:rPr>
        <w:t>t</w:t>
      </w:r>
      <w:r w:rsidRPr="00747E35">
        <w:rPr>
          <w:rFonts w:asciiTheme="minorHAnsi" w:hAnsiTheme="minorHAnsi" w:cstheme="minorHAnsi"/>
          <w:lang w:eastAsia="en-AU"/>
        </w:rPr>
        <w:t xml:space="preserve"> = 1.5, </w:t>
      </w:r>
      <w:r w:rsidRPr="00747E35">
        <w:rPr>
          <w:rFonts w:asciiTheme="minorHAnsi" w:hAnsiTheme="minorHAnsi" w:cstheme="minorHAnsi"/>
          <w:i/>
          <w:lang w:eastAsia="en-AU"/>
        </w:rPr>
        <w:t>p</w:t>
      </w:r>
      <w:r w:rsidRPr="00747E35">
        <w:rPr>
          <w:rFonts w:asciiTheme="minorHAnsi" w:hAnsiTheme="minorHAnsi" w:cstheme="minorHAnsi"/>
          <w:lang w:eastAsia="en-AU"/>
        </w:rPr>
        <w:t xml:space="preserve"> = 0.18). Despite the significance of sampling period for some sites, we cannot rule out that differences in multivariate dispersions are driving this finding (PERMDISP</w:t>
      </w:r>
      <w:r w:rsidRPr="00747E35">
        <w:rPr>
          <w:rFonts w:asciiTheme="minorHAnsi" w:hAnsiTheme="minorHAnsi" w:cstheme="minorHAnsi"/>
          <w:vertAlign w:val="subscript"/>
          <w:lang w:eastAsia="en-AU"/>
        </w:rPr>
        <w:t>Sampling trip</w:t>
      </w:r>
      <w:r w:rsidRPr="00747E35">
        <w:rPr>
          <w:rFonts w:asciiTheme="minorHAnsi" w:hAnsiTheme="minorHAnsi" w:cstheme="minorHAnsi"/>
          <w:lang w:eastAsia="en-AU"/>
        </w:rPr>
        <w:t xml:space="preserve">; </w:t>
      </w:r>
      <w:r w:rsidRPr="00747E35">
        <w:rPr>
          <w:rFonts w:asciiTheme="minorHAnsi" w:hAnsiTheme="minorHAnsi" w:cstheme="minorHAnsi"/>
          <w:i/>
          <w:lang w:eastAsia="en-AU"/>
        </w:rPr>
        <w:t xml:space="preserve">F </w:t>
      </w:r>
      <w:r w:rsidRPr="00747E35">
        <w:rPr>
          <w:rFonts w:asciiTheme="minorHAnsi" w:hAnsiTheme="minorHAnsi" w:cstheme="minorHAnsi"/>
          <w:lang w:eastAsia="en-AU"/>
        </w:rPr>
        <w:t xml:space="preserve">= 11.8, </w:t>
      </w:r>
      <w:r w:rsidRPr="00747E35">
        <w:rPr>
          <w:rFonts w:asciiTheme="minorHAnsi" w:hAnsiTheme="minorHAnsi" w:cstheme="minorHAnsi"/>
          <w:i/>
          <w:lang w:eastAsia="en-AU"/>
        </w:rPr>
        <w:t>p</w:t>
      </w:r>
      <w:r w:rsidRPr="00747E35">
        <w:rPr>
          <w:rFonts w:asciiTheme="minorHAnsi" w:hAnsiTheme="minorHAnsi" w:cstheme="minorHAnsi"/>
          <w:lang w:eastAsia="en-AU"/>
        </w:rPr>
        <w:t xml:space="preserve"> = 0.01). </w:t>
      </w:r>
      <w:r w:rsidRPr="00747E35">
        <w:rPr>
          <w:rFonts w:asciiTheme="minorHAnsi" w:hAnsiTheme="minorHAnsi" w:cstheme="minorHAnsi"/>
          <w:i/>
          <w:lang w:eastAsia="en-AU"/>
        </w:rPr>
        <w:t>Mogurnda adspersa</w:t>
      </w:r>
      <w:r w:rsidRPr="00747E35">
        <w:rPr>
          <w:rFonts w:asciiTheme="minorHAnsi" w:hAnsiTheme="minorHAnsi" w:cstheme="minorHAnsi"/>
          <w:lang w:eastAsia="en-AU"/>
        </w:rPr>
        <w:t xml:space="preserve"> was the only species recorded at Coulson Creek, and Warrill Creek had the lowest catch per unit effort on both sampling occasions (</w:t>
      </w:r>
      <w:r w:rsidRPr="00747E35">
        <w:rPr>
          <w:rFonts w:asciiTheme="minorHAnsi" w:hAnsiTheme="minorHAnsi" w:cstheme="minorHAnsi"/>
          <w:highlight w:val="yellow"/>
          <w:lang w:eastAsia="en-AU"/>
        </w:rPr>
        <w:fldChar w:fldCharType="begin"/>
      </w:r>
      <w:r w:rsidRPr="00747E35">
        <w:rPr>
          <w:rFonts w:asciiTheme="minorHAnsi" w:hAnsiTheme="minorHAnsi" w:cstheme="minorHAnsi"/>
          <w:lang w:eastAsia="en-AU"/>
        </w:rPr>
        <w:instrText xml:space="preserve"> REF _Ref466028395 \h </w:instrText>
      </w:r>
      <w:r w:rsidR="00925BFC" w:rsidRPr="00747E35">
        <w:rPr>
          <w:rFonts w:asciiTheme="minorHAnsi" w:hAnsiTheme="minorHAnsi" w:cstheme="minorHAnsi"/>
          <w:highlight w:val="yellow"/>
          <w:lang w:eastAsia="en-AU"/>
        </w:rPr>
        <w:instrText xml:space="preserve"> \* MERGEFORMAT </w:instrText>
      </w:r>
      <w:r w:rsidRPr="00747E35">
        <w:rPr>
          <w:rFonts w:asciiTheme="minorHAnsi" w:hAnsiTheme="minorHAnsi" w:cstheme="minorHAnsi"/>
          <w:highlight w:val="yellow"/>
          <w:lang w:eastAsia="en-AU"/>
        </w:rPr>
      </w:r>
      <w:r w:rsidRPr="00747E35">
        <w:rPr>
          <w:rFonts w:asciiTheme="minorHAnsi" w:hAnsiTheme="minorHAnsi" w:cstheme="minorHAnsi"/>
          <w:highlight w:val="yellow"/>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56</w:t>
      </w:r>
      <w:r w:rsidRPr="00747E35">
        <w:rPr>
          <w:rFonts w:asciiTheme="minorHAnsi" w:hAnsiTheme="minorHAnsi" w:cstheme="minorHAnsi"/>
          <w:highlight w:val="yellow"/>
          <w:lang w:eastAsia="en-AU"/>
        </w:rPr>
        <w:fldChar w:fldCharType="end"/>
      </w:r>
      <w:r w:rsidRPr="00747E35">
        <w:rPr>
          <w:rFonts w:asciiTheme="minorHAnsi" w:hAnsiTheme="minorHAnsi" w:cstheme="minorHAnsi"/>
          <w:lang w:eastAsia="en-AU"/>
        </w:rPr>
        <w:t>). The presence of relatively rare (</w:t>
      </w:r>
      <w:r w:rsidRPr="00747E35">
        <w:rPr>
          <w:rFonts w:asciiTheme="minorHAnsi" w:hAnsiTheme="minorHAnsi" w:cstheme="minorHAnsi"/>
          <w:i/>
          <w:lang w:eastAsia="en-AU"/>
        </w:rPr>
        <w:t>Craterocephalus marjoriae</w:t>
      </w:r>
      <w:r w:rsidRPr="00747E35">
        <w:rPr>
          <w:rFonts w:asciiTheme="minorHAnsi" w:hAnsiTheme="minorHAnsi" w:cstheme="minorHAnsi"/>
          <w:lang w:eastAsia="en-AU"/>
        </w:rPr>
        <w:t xml:space="preserve"> and </w:t>
      </w:r>
      <w:r w:rsidRPr="00747E35">
        <w:rPr>
          <w:rFonts w:asciiTheme="minorHAnsi" w:hAnsiTheme="minorHAnsi" w:cstheme="minorHAnsi"/>
          <w:i/>
          <w:lang w:eastAsia="en-AU"/>
        </w:rPr>
        <w:t>H. galii</w:t>
      </w:r>
      <w:r w:rsidRPr="00747E35">
        <w:rPr>
          <w:rFonts w:asciiTheme="minorHAnsi" w:hAnsiTheme="minorHAnsi" w:cstheme="minorHAnsi"/>
          <w:lang w:eastAsia="en-AU"/>
        </w:rPr>
        <w:t>) and abundant species (</w:t>
      </w:r>
      <w:r w:rsidRPr="00747E35">
        <w:rPr>
          <w:rFonts w:asciiTheme="minorHAnsi" w:hAnsiTheme="minorHAnsi" w:cstheme="minorHAnsi"/>
          <w:i/>
          <w:lang w:eastAsia="en-AU"/>
        </w:rPr>
        <w:t>M. adspersa</w:t>
      </w:r>
      <w:r w:rsidRPr="00747E35">
        <w:rPr>
          <w:rFonts w:asciiTheme="minorHAnsi" w:hAnsiTheme="minorHAnsi" w:cstheme="minorHAnsi"/>
          <w:lang w:eastAsia="en-AU"/>
        </w:rPr>
        <w:t>) contributed to the average dissimilarity among sites and sampling periods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_Ref466028466 \h </w:instrText>
      </w:r>
      <w:r w:rsidR="00925BFC" w:rsidRPr="00747E35">
        <w:rPr>
          <w:rFonts w:asciiTheme="minorHAnsi" w:hAnsiTheme="minorHAnsi" w:cstheme="minorHAnsi"/>
          <w:lang w:eastAsia="en-AU"/>
        </w:rPr>
        <w:instrText xml:space="preserve"> \* MERGEFORMAT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57</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In particular, </w:t>
      </w:r>
      <w:r w:rsidRPr="00747E35">
        <w:rPr>
          <w:rFonts w:asciiTheme="minorHAnsi" w:hAnsiTheme="minorHAnsi" w:cstheme="minorHAnsi"/>
          <w:i/>
          <w:lang w:eastAsia="en-AU"/>
        </w:rPr>
        <w:t xml:space="preserve">M. adspersa </w:t>
      </w:r>
      <w:r w:rsidRPr="00747E35">
        <w:rPr>
          <w:rFonts w:asciiTheme="minorHAnsi" w:hAnsiTheme="minorHAnsi" w:cstheme="minorHAnsi"/>
          <w:lang w:eastAsia="en-AU"/>
        </w:rPr>
        <w:t>was responsible for much of the dissimilarity among sites, with only one recorded specimen at Warrill Creek in the second sampling period and greater abundances at Reynolds Creek, Wild Cattle Creek, and Coulson Creek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_Ref466028466 \h </w:instrText>
      </w:r>
      <w:r w:rsidR="00925BFC" w:rsidRPr="00747E35">
        <w:rPr>
          <w:rFonts w:asciiTheme="minorHAnsi" w:hAnsiTheme="minorHAnsi" w:cstheme="minorHAnsi"/>
          <w:lang w:eastAsia="en-AU"/>
        </w:rPr>
        <w:instrText xml:space="preserve"> \* MERGEFORMAT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57</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Sampling sites and occasions with more </w:t>
      </w:r>
      <w:r w:rsidRPr="00747E35">
        <w:rPr>
          <w:rFonts w:asciiTheme="minorHAnsi" w:hAnsiTheme="minorHAnsi" w:cstheme="minorHAnsi"/>
          <w:i/>
          <w:lang w:eastAsia="en-AU"/>
        </w:rPr>
        <w:t>M. adspersa</w:t>
      </w:r>
      <w:r w:rsidRPr="00747E35">
        <w:rPr>
          <w:rFonts w:asciiTheme="minorHAnsi" w:hAnsiTheme="minorHAnsi" w:cstheme="minorHAnsi"/>
          <w:lang w:eastAsia="en-AU"/>
        </w:rPr>
        <w:t xml:space="preserve"> were also associated with greater mean annual discharge, more filamentous algae, higher pool water temperatures, lower concentrations of total and soluble reactive phosphorus, and lower coverages of fine gravel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_Ref466028466 \h </w:instrText>
      </w:r>
      <w:r w:rsidR="00925BFC" w:rsidRPr="00747E35">
        <w:rPr>
          <w:rFonts w:asciiTheme="minorHAnsi" w:hAnsiTheme="minorHAnsi" w:cstheme="minorHAnsi"/>
          <w:lang w:eastAsia="en-AU"/>
        </w:rPr>
        <w:instrText xml:space="preserve"> \* MERGEFORMAT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57</w:t>
      </w:r>
      <w:r w:rsidRPr="00747E35">
        <w:rPr>
          <w:rFonts w:asciiTheme="minorHAnsi" w:hAnsiTheme="minorHAnsi" w:cstheme="minorHAnsi"/>
          <w:lang w:eastAsia="en-AU"/>
        </w:rPr>
        <w:fldChar w:fldCharType="end"/>
      </w:r>
      <w:r w:rsidRPr="00747E35">
        <w:rPr>
          <w:rFonts w:asciiTheme="minorHAnsi" w:hAnsiTheme="minorHAnsi" w:cstheme="minorHAnsi"/>
          <w:lang w:eastAsia="en-AU"/>
        </w:rPr>
        <w:t>). Conversely, sampling sites and occasions characterised by</w:t>
      </w:r>
      <w:r w:rsidRPr="00747E35">
        <w:rPr>
          <w:rFonts w:asciiTheme="minorHAnsi" w:hAnsiTheme="minorHAnsi" w:cstheme="minorHAnsi"/>
          <w:i/>
          <w:lang w:eastAsia="en-AU"/>
        </w:rPr>
        <w:t xml:space="preserve"> </w:t>
      </w:r>
      <w:r w:rsidRPr="00747E35">
        <w:rPr>
          <w:rFonts w:asciiTheme="minorHAnsi" w:hAnsiTheme="minorHAnsi" w:cstheme="minorHAnsi"/>
          <w:lang w:eastAsia="en-AU"/>
        </w:rPr>
        <w:t xml:space="preserve">fine-grained substrates and high phosphorus concentrations contained relatively high abundances of </w:t>
      </w:r>
      <w:r w:rsidRPr="00747E35">
        <w:rPr>
          <w:rFonts w:asciiTheme="minorHAnsi" w:hAnsiTheme="minorHAnsi" w:cstheme="minorHAnsi"/>
          <w:i/>
          <w:lang w:eastAsia="en-AU"/>
        </w:rPr>
        <w:t>C. marjoriae</w:t>
      </w:r>
      <w:r w:rsidRPr="00747E35">
        <w:rPr>
          <w:rFonts w:asciiTheme="minorHAnsi" w:hAnsiTheme="minorHAnsi" w:cstheme="minorHAnsi"/>
          <w:lang w:eastAsia="en-AU"/>
        </w:rPr>
        <w:t xml:space="preserve"> and </w:t>
      </w:r>
      <w:r w:rsidRPr="00747E35">
        <w:rPr>
          <w:rFonts w:asciiTheme="minorHAnsi" w:hAnsiTheme="minorHAnsi" w:cstheme="minorHAnsi"/>
          <w:i/>
          <w:lang w:eastAsia="en-AU"/>
        </w:rPr>
        <w:t xml:space="preserve">H. galii, </w:t>
      </w:r>
      <w:r w:rsidRPr="00747E35">
        <w:rPr>
          <w:rFonts w:asciiTheme="minorHAnsi" w:hAnsiTheme="minorHAnsi" w:cstheme="minorHAnsi"/>
          <w:lang w:eastAsia="en-AU"/>
        </w:rPr>
        <w:t>and</w:t>
      </w:r>
      <w:r w:rsidRPr="00747E35">
        <w:rPr>
          <w:rFonts w:asciiTheme="minorHAnsi" w:hAnsiTheme="minorHAnsi" w:cstheme="minorHAnsi"/>
          <w:i/>
          <w:lang w:eastAsia="en-AU"/>
        </w:rPr>
        <w:t xml:space="preserve"> Mel. duboulayi</w:t>
      </w:r>
      <w:r w:rsidRPr="00747E35">
        <w:rPr>
          <w:rFonts w:asciiTheme="minorHAnsi" w:hAnsiTheme="minorHAnsi" w:cstheme="minorHAnsi"/>
          <w:lang w:eastAsia="en-AU"/>
        </w:rPr>
        <w:t xml:space="preserve"> was more common in deeper sites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_Ref466028466 \h </w:instrText>
      </w:r>
      <w:r w:rsidR="00925BFC" w:rsidRPr="00747E35">
        <w:rPr>
          <w:rFonts w:asciiTheme="minorHAnsi" w:hAnsiTheme="minorHAnsi" w:cstheme="minorHAnsi"/>
          <w:lang w:eastAsia="en-AU"/>
        </w:rPr>
        <w:instrText xml:space="preserve"> \* MERGEFORMAT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57</w:t>
      </w:r>
      <w:r w:rsidRPr="00747E35">
        <w:rPr>
          <w:rFonts w:asciiTheme="minorHAnsi" w:hAnsiTheme="minorHAnsi" w:cstheme="minorHAnsi"/>
          <w:lang w:eastAsia="en-AU"/>
        </w:rPr>
        <w:fldChar w:fldCharType="end"/>
      </w:r>
      <w:r w:rsidRPr="00747E35">
        <w:rPr>
          <w:rFonts w:asciiTheme="minorHAnsi" w:hAnsiTheme="minorHAnsi" w:cstheme="minorHAnsi"/>
          <w:lang w:eastAsia="en-AU"/>
        </w:rPr>
        <w:t>). The various parameters characterising flow at, or near, the time of sampling (daily and antecedent pool water height, monthly discharge, and wetted area) were not correlated with the dissimilarity in fish assemblage structure among sites and seasons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_Ref466028382 \h </w:instrText>
      </w:r>
      <w:r w:rsidR="00925BFC" w:rsidRPr="00747E35">
        <w:rPr>
          <w:rFonts w:asciiTheme="minorHAnsi" w:hAnsiTheme="minorHAnsi" w:cstheme="minorHAnsi"/>
          <w:lang w:eastAsia="en-AU"/>
        </w:rPr>
        <w:instrText xml:space="preserve"> \* MERGEFORMAT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14</w:t>
      </w:r>
      <w:r w:rsidRPr="00747E35">
        <w:rPr>
          <w:rFonts w:asciiTheme="minorHAnsi" w:hAnsiTheme="minorHAnsi" w:cstheme="minorHAnsi"/>
          <w:lang w:eastAsia="en-AU"/>
        </w:rPr>
        <w:fldChar w:fldCharType="end"/>
      </w:r>
      <w:r w:rsidRPr="00747E35">
        <w:rPr>
          <w:rFonts w:asciiTheme="minorHAnsi" w:hAnsiTheme="minorHAnsi" w:cstheme="minorHAnsi"/>
          <w:lang w:eastAsia="en-AU"/>
        </w:rPr>
        <w:t>).</w:t>
      </w:r>
    </w:p>
    <w:p w14:paraId="0DCC87FA" w14:textId="53F77081"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Total fish abundance per electro-shot did significantly vary among the two sampling times (</w:t>
      </w:r>
      <w:r w:rsidRPr="00747E35">
        <w:rPr>
          <w:rFonts w:asciiTheme="minorHAnsi" w:hAnsiTheme="minorHAnsi" w:cstheme="minorHAnsi"/>
          <w:highlight w:val="yellow"/>
          <w:lang w:eastAsia="en-AU"/>
        </w:rPr>
        <w:fldChar w:fldCharType="begin"/>
      </w:r>
      <w:r w:rsidRPr="00747E35">
        <w:rPr>
          <w:rFonts w:asciiTheme="minorHAnsi" w:hAnsiTheme="minorHAnsi" w:cstheme="minorHAnsi"/>
          <w:lang w:eastAsia="en-AU"/>
        </w:rPr>
        <w:instrText xml:space="preserve"> REF _Ref466028382 \h </w:instrText>
      </w:r>
      <w:r w:rsidR="00925BFC" w:rsidRPr="00747E35">
        <w:rPr>
          <w:rFonts w:asciiTheme="minorHAnsi" w:hAnsiTheme="minorHAnsi" w:cstheme="minorHAnsi"/>
          <w:highlight w:val="yellow"/>
          <w:lang w:eastAsia="en-AU"/>
        </w:rPr>
        <w:instrText xml:space="preserve"> \* MERGEFORMAT </w:instrText>
      </w:r>
      <w:r w:rsidRPr="00747E35">
        <w:rPr>
          <w:rFonts w:asciiTheme="minorHAnsi" w:hAnsiTheme="minorHAnsi" w:cstheme="minorHAnsi"/>
          <w:highlight w:val="yellow"/>
          <w:lang w:eastAsia="en-AU"/>
        </w:rPr>
      </w:r>
      <w:r w:rsidRPr="00747E35">
        <w:rPr>
          <w:rFonts w:asciiTheme="minorHAnsi" w:hAnsiTheme="minorHAnsi" w:cstheme="minorHAnsi"/>
          <w:highlight w:val="yellow"/>
          <w:lang w:eastAsia="en-AU"/>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14</w:t>
      </w:r>
      <w:r w:rsidRPr="00747E35">
        <w:rPr>
          <w:rFonts w:asciiTheme="minorHAnsi" w:hAnsiTheme="minorHAnsi" w:cstheme="minorHAnsi"/>
          <w:highlight w:val="yellow"/>
          <w:lang w:eastAsia="en-AU"/>
        </w:rPr>
        <w:fldChar w:fldCharType="end"/>
      </w:r>
      <w:r w:rsidRPr="00747E35">
        <w:rPr>
          <w:rFonts w:asciiTheme="minorHAnsi" w:hAnsiTheme="minorHAnsi" w:cstheme="minorHAnsi"/>
          <w:lang w:eastAsia="en-AU"/>
        </w:rPr>
        <w:t>), but pairwise tests revealed that this seasonal effect was only evident at Wild Cattle Creek (</w:t>
      </w:r>
      <w:r w:rsidRPr="00747E35">
        <w:rPr>
          <w:rFonts w:asciiTheme="minorHAnsi" w:hAnsiTheme="minorHAnsi" w:cstheme="minorHAnsi"/>
          <w:i/>
          <w:lang w:eastAsia="en-AU"/>
        </w:rPr>
        <w:t>t</w:t>
      </w:r>
      <w:r w:rsidRPr="00747E35">
        <w:rPr>
          <w:rFonts w:asciiTheme="minorHAnsi" w:hAnsiTheme="minorHAnsi" w:cstheme="minorHAnsi"/>
          <w:lang w:eastAsia="en-AU"/>
        </w:rPr>
        <w:t xml:space="preserve"> = 9.2, </w:t>
      </w:r>
      <w:r w:rsidRPr="00747E35">
        <w:rPr>
          <w:rFonts w:asciiTheme="minorHAnsi" w:hAnsiTheme="minorHAnsi" w:cstheme="minorHAnsi"/>
          <w:i/>
          <w:lang w:eastAsia="en-AU"/>
        </w:rPr>
        <w:t>p</w:t>
      </w:r>
      <w:r w:rsidRPr="00747E35">
        <w:rPr>
          <w:rFonts w:asciiTheme="minorHAnsi" w:hAnsiTheme="minorHAnsi" w:cstheme="minorHAnsi"/>
          <w:lang w:eastAsia="en-AU"/>
        </w:rPr>
        <w:t> = 0.001). Furthermore, we cannot rule out that differences in multivariate dispersions among the two sampling periods are driving this finding (PERMDISP</w:t>
      </w:r>
      <w:r w:rsidRPr="00747E35">
        <w:rPr>
          <w:rFonts w:asciiTheme="minorHAnsi" w:hAnsiTheme="minorHAnsi" w:cstheme="minorHAnsi"/>
          <w:vertAlign w:val="subscript"/>
          <w:lang w:eastAsia="en-AU"/>
        </w:rPr>
        <w:t>Sampling trip</w:t>
      </w:r>
      <w:r w:rsidRPr="00747E35">
        <w:rPr>
          <w:rFonts w:asciiTheme="minorHAnsi" w:hAnsiTheme="minorHAnsi" w:cstheme="minorHAnsi"/>
          <w:lang w:eastAsia="en-AU"/>
        </w:rPr>
        <w:t xml:space="preserve">; </w:t>
      </w:r>
      <w:r w:rsidRPr="00747E35">
        <w:rPr>
          <w:rFonts w:asciiTheme="minorHAnsi" w:hAnsiTheme="minorHAnsi" w:cstheme="minorHAnsi"/>
          <w:i/>
          <w:lang w:eastAsia="en-AU"/>
        </w:rPr>
        <w:t xml:space="preserve">F </w:t>
      </w:r>
      <w:r w:rsidRPr="00747E35">
        <w:rPr>
          <w:rFonts w:asciiTheme="minorHAnsi" w:hAnsiTheme="minorHAnsi" w:cstheme="minorHAnsi"/>
          <w:lang w:eastAsia="en-AU"/>
        </w:rPr>
        <w:t xml:space="preserve">= 6.6, </w:t>
      </w:r>
      <w:r w:rsidRPr="00747E35">
        <w:rPr>
          <w:rFonts w:asciiTheme="minorHAnsi" w:hAnsiTheme="minorHAnsi" w:cstheme="minorHAnsi"/>
          <w:i/>
          <w:lang w:eastAsia="en-AU"/>
        </w:rPr>
        <w:t>p</w:t>
      </w:r>
      <w:r w:rsidRPr="00747E35">
        <w:rPr>
          <w:rFonts w:asciiTheme="minorHAnsi" w:hAnsiTheme="minorHAnsi" w:cstheme="minorHAnsi"/>
          <w:lang w:eastAsia="en-AU"/>
        </w:rPr>
        <w:t xml:space="preserve"> = 0.02). At Wild Cattle Creek, 35 individuals were collected in the dry season sampling and 289 individuals in the wet season sampling. Fish total richness varied among study sites but did not vary among seasons (</w:t>
      </w:r>
      <w:r w:rsidRPr="00747E35">
        <w:rPr>
          <w:rFonts w:asciiTheme="minorHAnsi" w:hAnsiTheme="minorHAnsi" w:cstheme="minorHAnsi"/>
          <w:highlight w:val="yellow"/>
          <w:lang w:eastAsia="en-AU"/>
        </w:rPr>
        <w:fldChar w:fldCharType="begin"/>
      </w:r>
      <w:r w:rsidRPr="00747E35">
        <w:rPr>
          <w:rFonts w:asciiTheme="minorHAnsi" w:hAnsiTheme="minorHAnsi" w:cstheme="minorHAnsi"/>
          <w:lang w:eastAsia="en-AU"/>
        </w:rPr>
        <w:instrText xml:space="preserve"> REF _Ref466028382 \h </w:instrText>
      </w:r>
      <w:r w:rsidR="00925BFC" w:rsidRPr="00747E35">
        <w:rPr>
          <w:rFonts w:asciiTheme="minorHAnsi" w:hAnsiTheme="minorHAnsi" w:cstheme="minorHAnsi"/>
          <w:highlight w:val="yellow"/>
          <w:lang w:eastAsia="en-AU"/>
        </w:rPr>
        <w:instrText xml:space="preserve"> \* MERGEFORMAT </w:instrText>
      </w:r>
      <w:r w:rsidRPr="00747E35">
        <w:rPr>
          <w:rFonts w:asciiTheme="minorHAnsi" w:hAnsiTheme="minorHAnsi" w:cstheme="minorHAnsi"/>
          <w:highlight w:val="yellow"/>
          <w:lang w:eastAsia="en-AU"/>
        </w:rPr>
      </w:r>
      <w:r w:rsidRPr="00747E35">
        <w:rPr>
          <w:rFonts w:asciiTheme="minorHAnsi" w:hAnsiTheme="minorHAnsi" w:cstheme="minorHAnsi"/>
          <w:highlight w:val="yellow"/>
          <w:lang w:eastAsia="en-AU"/>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14</w:t>
      </w:r>
      <w:r w:rsidRPr="00747E35">
        <w:rPr>
          <w:rFonts w:asciiTheme="minorHAnsi" w:hAnsiTheme="minorHAnsi" w:cstheme="minorHAnsi"/>
          <w:highlight w:val="yellow"/>
          <w:lang w:eastAsia="en-AU"/>
        </w:rPr>
        <w:fldChar w:fldCharType="end"/>
      </w:r>
      <w:r w:rsidRPr="00747E35">
        <w:rPr>
          <w:rFonts w:asciiTheme="minorHAnsi" w:hAnsiTheme="minorHAnsi" w:cstheme="minorHAnsi"/>
          <w:lang w:eastAsia="en-AU"/>
        </w:rPr>
        <w:t>). Differences in total abundance PERMDISP</w:t>
      </w:r>
      <w:r w:rsidRPr="00747E35">
        <w:rPr>
          <w:rFonts w:asciiTheme="minorHAnsi" w:hAnsiTheme="minorHAnsi" w:cstheme="minorHAnsi"/>
          <w:vertAlign w:val="subscript"/>
          <w:lang w:eastAsia="en-AU"/>
        </w:rPr>
        <w:t>Sampling trip</w:t>
      </w:r>
      <w:r w:rsidRPr="00747E35">
        <w:rPr>
          <w:rFonts w:asciiTheme="minorHAnsi" w:hAnsiTheme="minorHAnsi" w:cstheme="minorHAnsi"/>
          <w:lang w:eastAsia="en-AU"/>
        </w:rPr>
        <w:t xml:space="preserve">; </w:t>
      </w:r>
      <w:r w:rsidRPr="00747E35">
        <w:rPr>
          <w:rFonts w:asciiTheme="minorHAnsi" w:hAnsiTheme="minorHAnsi" w:cstheme="minorHAnsi"/>
          <w:i/>
          <w:lang w:eastAsia="en-AU"/>
        </w:rPr>
        <w:t xml:space="preserve">F </w:t>
      </w:r>
      <w:r w:rsidRPr="00747E35">
        <w:rPr>
          <w:rFonts w:asciiTheme="minorHAnsi" w:hAnsiTheme="minorHAnsi" w:cstheme="minorHAnsi"/>
          <w:lang w:eastAsia="en-AU"/>
        </w:rPr>
        <w:t xml:space="preserve">= 4.5, </w:t>
      </w:r>
      <w:r w:rsidRPr="00747E35">
        <w:rPr>
          <w:rFonts w:asciiTheme="minorHAnsi" w:hAnsiTheme="minorHAnsi" w:cstheme="minorHAnsi"/>
          <w:i/>
          <w:lang w:eastAsia="en-AU"/>
        </w:rPr>
        <w:t>p</w:t>
      </w:r>
      <w:r w:rsidRPr="00747E35">
        <w:rPr>
          <w:rFonts w:asciiTheme="minorHAnsi" w:hAnsiTheme="minorHAnsi" w:cstheme="minorHAnsi"/>
          <w:lang w:eastAsia="en-AU"/>
        </w:rPr>
        <w:t xml:space="preserve"> = 0.01) and richness PERMDISP</w:t>
      </w:r>
      <w:r w:rsidRPr="00747E35">
        <w:rPr>
          <w:rFonts w:asciiTheme="minorHAnsi" w:hAnsiTheme="minorHAnsi" w:cstheme="minorHAnsi"/>
          <w:vertAlign w:val="subscript"/>
          <w:lang w:eastAsia="en-AU"/>
        </w:rPr>
        <w:t>Sampling trip</w:t>
      </w:r>
      <w:r w:rsidRPr="00747E35">
        <w:rPr>
          <w:rFonts w:asciiTheme="minorHAnsi" w:hAnsiTheme="minorHAnsi" w:cstheme="minorHAnsi"/>
          <w:lang w:eastAsia="en-AU"/>
        </w:rPr>
        <w:t xml:space="preserve">; </w:t>
      </w:r>
      <w:r w:rsidRPr="00747E35">
        <w:rPr>
          <w:rFonts w:asciiTheme="minorHAnsi" w:hAnsiTheme="minorHAnsi" w:cstheme="minorHAnsi"/>
          <w:i/>
          <w:lang w:eastAsia="en-AU"/>
        </w:rPr>
        <w:t xml:space="preserve">F </w:t>
      </w:r>
      <w:r w:rsidRPr="00747E35">
        <w:rPr>
          <w:rFonts w:asciiTheme="minorHAnsi" w:hAnsiTheme="minorHAnsi" w:cstheme="minorHAnsi"/>
          <w:lang w:eastAsia="en-AU"/>
        </w:rPr>
        <w:t xml:space="preserve">= 3.4, </w:t>
      </w:r>
      <w:r w:rsidRPr="00747E35">
        <w:rPr>
          <w:rFonts w:asciiTheme="minorHAnsi" w:hAnsiTheme="minorHAnsi" w:cstheme="minorHAnsi"/>
          <w:i/>
          <w:lang w:eastAsia="en-AU"/>
        </w:rPr>
        <w:t>p</w:t>
      </w:r>
      <w:r w:rsidRPr="00747E35">
        <w:rPr>
          <w:rFonts w:asciiTheme="minorHAnsi" w:hAnsiTheme="minorHAnsi" w:cstheme="minorHAnsi"/>
          <w:lang w:eastAsia="en-AU"/>
        </w:rPr>
        <w:t xml:space="preserve"> = 0.02) among sites could have been due to differences in multivariate dispersions.</w:t>
      </w:r>
    </w:p>
    <w:p w14:paraId="7A893C43" w14:textId="77777777" w:rsidR="003D3694" w:rsidRPr="00747E35" w:rsidRDefault="003D3694" w:rsidP="003D3694">
      <w:pPr>
        <w:jc w:val="center"/>
        <w:rPr>
          <w:rFonts w:asciiTheme="minorHAnsi" w:hAnsiTheme="minorHAnsi" w:cstheme="minorHAnsi"/>
          <w:lang w:eastAsia="en-AU"/>
        </w:rPr>
      </w:pPr>
      <w:r w:rsidRPr="00747E35">
        <w:rPr>
          <w:rFonts w:asciiTheme="minorHAnsi" w:hAnsiTheme="minorHAnsi" w:cstheme="minorHAnsi"/>
          <w:noProof/>
          <w:lang w:val="en-AU" w:eastAsia="en-AU"/>
        </w:rPr>
        <w:lastRenderedPageBreak/>
        <w:drawing>
          <wp:inline distT="0" distB="0" distL="0" distR="0" wp14:anchorId="19BD67F0" wp14:editId="495413E8">
            <wp:extent cx="5486400" cy="3464437"/>
            <wp:effectExtent l="0" t="0" r="0" b="3175"/>
            <wp:docPr id="7217" name="Picture 7217" descr="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tif"/>
                    <pic:cNvPicPr/>
                  </pic:nvPicPr>
                  <pic:blipFill>
                    <a:blip r:embed="rId100" cstate="screen">
                      <a:extLst>
                        <a:ext uri="{28A0092B-C50C-407E-A947-70E740481C1C}">
                          <a14:useLocalDpi xmlns:a14="http://schemas.microsoft.com/office/drawing/2010/main"/>
                        </a:ext>
                      </a:extLst>
                    </a:blip>
                    <a:stretch>
                      <a:fillRect/>
                    </a:stretch>
                  </pic:blipFill>
                  <pic:spPr>
                    <a:xfrm>
                      <a:off x="0" y="0"/>
                      <a:ext cx="5515068" cy="3482540"/>
                    </a:xfrm>
                    <a:prstGeom prst="rect">
                      <a:avLst/>
                    </a:prstGeom>
                  </pic:spPr>
                </pic:pic>
              </a:graphicData>
            </a:graphic>
          </wp:inline>
        </w:drawing>
      </w:r>
    </w:p>
    <w:p w14:paraId="7DD9CA40" w14:textId="77777777" w:rsidR="003D3694" w:rsidRPr="00747E35" w:rsidRDefault="003D3694" w:rsidP="00566456">
      <w:pPr>
        <w:pStyle w:val="Caption"/>
        <w:numPr>
          <w:ilvl w:val="0"/>
          <w:numId w:val="0"/>
        </w:numPr>
        <w:rPr>
          <w:rFonts w:cstheme="minorHAnsi"/>
          <w:lang w:eastAsia="en-AU"/>
        </w:rPr>
      </w:pPr>
      <w:bookmarkStart w:id="167" w:name="_Ref46602831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55</w:t>
      </w:r>
      <w:r w:rsidR="009D6600" w:rsidRPr="00747E35">
        <w:rPr>
          <w:rFonts w:cstheme="minorHAnsi"/>
          <w:noProof/>
        </w:rPr>
        <w:fldChar w:fldCharType="end"/>
      </w:r>
      <w:bookmarkEnd w:id="167"/>
      <w:r w:rsidRPr="00747E35">
        <w:rPr>
          <w:rFonts w:cstheme="minorHAnsi"/>
          <w:lang w:eastAsia="en-AU"/>
        </w:rPr>
        <w:t>. Fish catch per unit effort (total number of fish per electro-shot) of wetted surface habitat in the two sampling periods at sites within the upper Bremer River catchment. The y-axis has been square-root transformed. Mog ads, Mogurnda adspersa; Hyp gal, Hypseleotris galii; Tan tan, Tandanus tandanus; Ang rei, Anguilla reinhardtii; Ang aus, A. australis; Mel dub, Melanotaenia duboulayi; Lei uni, Leiopotherapon unicolor; Car mar, Craterocephalus marjoriae; Hyp klu, Hypseleotris klunzingeri. Mogurnda adspersa was the most abundant fish species.</w:t>
      </w:r>
    </w:p>
    <w:p w14:paraId="2730F974" w14:textId="77777777" w:rsidR="003D3694" w:rsidRPr="00747E35" w:rsidRDefault="003D3694" w:rsidP="003D3694">
      <w:pPr>
        <w:jc w:val="center"/>
        <w:rPr>
          <w:rFonts w:asciiTheme="minorHAnsi" w:hAnsiTheme="minorHAnsi" w:cstheme="minorHAnsi"/>
          <w:lang w:eastAsia="en-AU"/>
        </w:rPr>
      </w:pPr>
      <w:r w:rsidRPr="00747E35">
        <w:rPr>
          <w:rFonts w:asciiTheme="minorHAnsi" w:hAnsiTheme="minorHAnsi" w:cstheme="minorHAnsi"/>
          <w:noProof/>
          <w:lang w:val="en-AU" w:eastAsia="en-AU"/>
        </w:rPr>
        <w:drawing>
          <wp:inline distT="0" distB="0" distL="0" distR="0" wp14:anchorId="19102996" wp14:editId="16FEFC75">
            <wp:extent cx="5308979" cy="3352170"/>
            <wp:effectExtent l="0" t="0" r="6350" b="635"/>
            <wp:docPr id="7218" name="Picture 7218" descr="Stacked bar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3.tif"/>
                    <pic:cNvPicPr/>
                  </pic:nvPicPr>
                  <pic:blipFill>
                    <a:blip r:embed="rId101" cstate="screen">
                      <a:extLst>
                        <a:ext uri="{28A0092B-C50C-407E-A947-70E740481C1C}">
                          <a14:useLocalDpi xmlns:a14="http://schemas.microsoft.com/office/drawing/2010/main"/>
                        </a:ext>
                      </a:extLst>
                    </a:blip>
                    <a:stretch>
                      <a:fillRect/>
                    </a:stretch>
                  </pic:blipFill>
                  <pic:spPr>
                    <a:xfrm>
                      <a:off x="0" y="0"/>
                      <a:ext cx="5314131" cy="3355423"/>
                    </a:xfrm>
                    <a:prstGeom prst="rect">
                      <a:avLst/>
                    </a:prstGeom>
                  </pic:spPr>
                </pic:pic>
              </a:graphicData>
            </a:graphic>
          </wp:inline>
        </w:drawing>
      </w:r>
    </w:p>
    <w:p w14:paraId="1CDEA8E4" w14:textId="77777777" w:rsidR="003D3694" w:rsidRPr="00747E35" w:rsidRDefault="003D3694" w:rsidP="00566456">
      <w:pPr>
        <w:pStyle w:val="Caption"/>
        <w:numPr>
          <w:ilvl w:val="0"/>
          <w:numId w:val="0"/>
        </w:numPr>
        <w:rPr>
          <w:rFonts w:cstheme="minorHAnsi"/>
          <w:lang w:eastAsia="en-AU"/>
        </w:rPr>
      </w:pPr>
      <w:bookmarkStart w:id="168" w:name="_Ref466028395"/>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56</w:t>
      </w:r>
      <w:r w:rsidR="009D6600" w:rsidRPr="00747E35">
        <w:rPr>
          <w:rFonts w:cstheme="minorHAnsi"/>
          <w:noProof/>
        </w:rPr>
        <w:fldChar w:fldCharType="end"/>
      </w:r>
      <w:bookmarkEnd w:id="168"/>
      <w:r w:rsidRPr="00747E35">
        <w:rPr>
          <w:rFonts w:cstheme="minorHAnsi"/>
          <w:lang w:eastAsia="en-AU"/>
        </w:rPr>
        <w:t>. Fish catch per unit effort (total number of fish per electro-shot) of wetted surface habitat in the two sampling periods of each study site in the upper Bremer River catchment. The y-axis has been square-root transformed. Mog ads, Mogurnda adspersa; Hyp gal, Hypseleotris galii; Tan tan, Tandanus tandanus; Ang rei, Anguilla reinhardtii; Ang aus, A. australis; Mel dub, Melanotaenia duboulayi; Lei uni, Leiopotherapon unicolor; Car mar, Craterocephalus marjoriae; Hyp klu, Hypseleotris klunzingeri.</w:t>
      </w:r>
    </w:p>
    <w:p w14:paraId="2501ECD3" w14:textId="77777777" w:rsidR="003D3694" w:rsidRPr="00747E35" w:rsidRDefault="003D3694" w:rsidP="003D3694">
      <w:pPr>
        <w:rPr>
          <w:rFonts w:asciiTheme="minorHAnsi" w:hAnsiTheme="minorHAnsi" w:cstheme="minorHAnsi"/>
          <w:lang w:eastAsia="en-AU"/>
        </w:rPr>
      </w:pPr>
    </w:p>
    <w:p w14:paraId="55E724C1" w14:textId="77777777" w:rsidR="003D3694" w:rsidRPr="00747E35" w:rsidRDefault="003D3694" w:rsidP="00566456">
      <w:pPr>
        <w:pStyle w:val="Caption"/>
        <w:numPr>
          <w:ilvl w:val="0"/>
          <w:numId w:val="0"/>
        </w:numPr>
        <w:rPr>
          <w:rFonts w:cstheme="minorHAnsi"/>
          <w:lang w:eastAsia="en-AU"/>
        </w:rPr>
      </w:pPr>
      <w:bookmarkStart w:id="169" w:name="_Ref466028382"/>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14</w:t>
      </w:r>
      <w:r w:rsidR="009D6600" w:rsidRPr="00747E35">
        <w:rPr>
          <w:rFonts w:cstheme="minorHAnsi"/>
          <w:noProof/>
        </w:rPr>
        <w:fldChar w:fldCharType="end"/>
      </w:r>
      <w:bookmarkEnd w:id="169"/>
      <w:r w:rsidRPr="00747E35">
        <w:rPr>
          <w:rFonts w:cstheme="minorHAnsi"/>
          <w:lang w:eastAsia="en-AU"/>
        </w:rPr>
        <w:t>. Output of three permutational multivariate analysis of variance (PERMANOVA) tests performed on fish total richness, total abundance, and assemblage structure.</w:t>
      </w:r>
    </w:p>
    <w:tbl>
      <w:tblPr>
        <w:tblStyle w:val="TableGrid"/>
        <w:tblW w:w="8472" w:type="dxa"/>
        <w:jc w:val="center"/>
        <w:tblLook w:val="04A0" w:firstRow="1" w:lastRow="0" w:firstColumn="1" w:lastColumn="0" w:noHBand="0" w:noVBand="1"/>
      </w:tblPr>
      <w:tblGrid>
        <w:gridCol w:w="2037"/>
        <w:gridCol w:w="519"/>
        <w:gridCol w:w="1096"/>
        <w:gridCol w:w="851"/>
        <w:gridCol w:w="992"/>
        <w:gridCol w:w="850"/>
        <w:gridCol w:w="1276"/>
        <w:gridCol w:w="851"/>
      </w:tblGrid>
      <w:tr w:rsidR="003D3694" w:rsidRPr="00747E35" w14:paraId="207DE81E" w14:textId="77777777" w:rsidTr="00BB5645">
        <w:trPr>
          <w:trHeight w:val="300"/>
          <w:tblHeader/>
          <w:jc w:val="center"/>
        </w:trPr>
        <w:tc>
          <w:tcPr>
            <w:tcW w:w="2037" w:type="dxa"/>
            <w:shd w:val="clear" w:color="auto" w:fill="DEEAF6" w:themeFill="accent1" w:themeFillTint="33"/>
            <w:noWrap/>
            <w:hideMark/>
          </w:tcPr>
          <w:p w14:paraId="1F79F29B"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rPr>
              <w:t>PERMANOVA results</w:t>
            </w:r>
          </w:p>
        </w:tc>
        <w:tc>
          <w:tcPr>
            <w:tcW w:w="519" w:type="dxa"/>
            <w:shd w:val="clear" w:color="auto" w:fill="DEEAF6" w:themeFill="accent1" w:themeFillTint="33"/>
            <w:noWrap/>
            <w:hideMark/>
          </w:tcPr>
          <w:p w14:paraId="245CECC4"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rPr>
              <w:t xml:space="preserve">  </w:t>
            </w:r>
          </w:p>
        </w:tc>
        <w:tc>
          <w:tcPr>
            <w:tcW w:w="1947" w:type="dxa"/>
            <w:gridSpan w:val="2"/>
            <w:shd w:val="clear" w:color="auto" w:fill="DEEAF6" w:themeFill="accent1" w:themeFillTint="33"/>
            <w:noWrap/>
            <w:hideMark/>
          </w:tcPr>
          <w:p w14:paraId="1BF3E77C"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rPr>
              <w:t>Total richness</w:t>
            </w:r>
          </w:p>
        </w:tc>
        <w:tc>
          <w:tcPr>
            <w:tcW w:w="1842" w:type="dxa"/>
            <w:gridSpan w:val="2"/>
            <w:shd w:val="clear" w:color="auto" w:fill="DEEAF6" w:themeFill="accent1" w:themeFillTint="33"/>
            <w:noWrap/>
            <w:hideMark/>
          </w:tcPr>
          <w:p w14:paraId="77043013"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rPr>
              <w:t>Total abundance</w:t>
            </w:r>
          </w:p>
        </w:tc>
        <w:tc>
          <w:tcPr>
            <w:tcW w:w="2127" w:type="dxa"/>
            <w:gridSpan w:val="2"/>
            <w:shd w:val="clear" w:color="auto" w:fill="DEEAF6" w:themeFill="accent1" w:themeFillTint="33"/>
            <w:noWrap/>
            <w:hideMark/>
          </w:tcPr>
          <w:p w14:paraId="76B5334C"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rPr>
              <w:t>Assemblage structure</w:t>
            </w:r>
          </w:p>
        </w:tc>
      </w:tr>
      <w:tr w:rsidR="003D3694" w:rsidRPr="00747E35" w14:paraId="5F69A0EB" w14:textId="77777777" w:rsidTr="0096743A">
        <w:trPr>
          <w:trHeight w:val="300"/>
          <w:jc w:val="center"/>
        </w:trPr>
        <w:tc>
          <w:tcPr>
            <w:tcW w:w="2037" w:type="dxa"/>
            <w:noWrap/>
            <w:hideMark/>
          </w:tcPr>
          <w:p w14:paraId="193E83F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Source</w:t>
            </w:r>
          </w:p>
        </w:tc>
        <w:tc>
          <w:tcPr>
            <w:tcW w:w="519" w:type="dxa"/>
            <w:noWrap/>
            <w:hideMark/>
          </w:tcPr>
          <w:p w14:paraId="0E5975F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df</w:t>
            </w:r>
          </w:p>
        </w:tc>
        <w:tc>
          <w:tcPr>
            <w:tcW w:w="1096" w:type="dxa"/>
            <w:noWrap/>
            <w:hideMark/>
          </w:tcPr>
          <w:p w14:paraId="1910744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Pseudo-F</w:t>
            </w:r>
          </w:p>
        </w:tc>
        <w:tc>
          <w:tcPr>
            <w:tcW w:w="851" w:type="dxa"/>
            <w:noWrap/>
            <w:hideMark/>
          </w:tcPr>
          <w:p w14:paraId="2748B96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P(MC)</w:t>
            </w:r>
          </w:p>
        </w:tc>
        <w:tc>
          <w:tcPr>
            <w:tcW w:w="992" w:type="dxa"/>
            <w:noWrap/>
            <w:hideMark/>
          </w:tcPr>
          <w:p w14:paraId="2BFE864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Pseudo-F</w:t>
            </w:r>
          </w:p>
        </w:tc>
        <w:tc>
          <w:tcPr>
            <w:tcW w:w="850" w:type="dxa"/>
            <w:noWrap/>
            <w:hideMark/>
          </w:tcPr>
          <w:p w14:paraId="5E7333E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P(MC)</w:t>
            </w:r>
          </w:p>
        </w:tc>
        <w:tc>
          <w:tcPr>
            <w:tcW w:w="1276" w:type="dxa"/>
            <w:noWrap/>
            <w:hideMark/>
          </w:tcPr>
          <w:p w14:paraId="049B0F6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Pseudo-F</w:t>
            </w:r>
          </w:p>
        </w:tc>
        <w:tc>
          <w:tcPr>
            <w:tcW w:w="851" w:type="dxa"/>
          </w:tcPr>
          <w:p w14:paraId="4BAA4D7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P(MC)</w:t>
            </w:r>
          </w:p>
        </w:tc>
      </w:tr>
      <w:tr w:rsidR="003D3694" w:rsidRPr="00747E35" w14:paraId="6CFAAFFA" w14:textId="77777777" w:rsidTr="0096743A">
        <w:trPr>
          <w:trHeight w:val="300"/>
          <w:jc w:val="center"/>
        </w:trPr>
        <w:tc>
          <w:tcPr>
            <w:tcW w:w="2037" w:type="dxa"/>
            <w:noWrap/>
            <w:hideMark/>
          </w:tcPr>
          <w:p w14:paraId="724F526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Site</w:t>
            </w:r>
          </w:p>
        </w:tc>
        <w:tc>
          <w:tcPr>
            <w:tcW w:w="519" w:type="dxa"/>
            <w:noWrap/>
            <w:hideMark/>
          </w:tcPr>
          <w:p w14:paraId="68191CF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4</w:t>
            </w:r>
          </w:p>
        </w:tc>
        <w:tc>
          <w:tcPr>
            <w:tcW w:w="1096" w:type="dxa"/>
            <w:noWrap/>
            <w:hideMark/>
          </w:tcPr>
          <w:p w14:paraId="267A4BE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5.4</w:t>
            </w:r>
          </w:p>
        </w:tc>
        <w:tc>
          <w:tcPr>
            <w:tcW w:w="851" w:type="dxa"/>
            <w:noWrap/>
            <w:hideMark/>
          </w:tcPr>
          <w:p w14:paraId="3CBF0B5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0.002</w:t>
            </w:r>
          </w:p>
        </w:tc>
        <w:tc>
          <w:tcPr>
            <w:tcW w:w="992" w:type="dxa"/>
            <w:noWrap/>
            <w:hideMark/>
          </w:tcPr>
          <w:p w14:paraId="0823502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8.0</w:t>
            </w:r>
          </w:p>
        </w:tc>
        <w:tc>
          <w:tcPr>
            <w:tcW w:w="850" w:type="dxa"/>
            <w:noWrap/>
            <w:hideMark/>
          </w:tcPr>
          <w:p w14:paraId="4DC643C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0.001</w:t>
            </w:r>
          </w:p>
        </w:tc>
        <w:tc>
          <w:tcPr>
            <w:tcW w:w="1276" w:type="dxa"/>
            <w:noWrap/>
            <w:hideMark/>
          </w:tcPr>
          <w:p w14:paraId="4A22125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9.0</w:t>
            </w:r>
          </w:p>
        </w:tc>
        <w:tc>
          <w:tcPr>
            <w:tcW w:w="851" w:type="dxa"/>
          </w:tcPr>
          <w:p w14:paraId="182560A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0.001</w:t>
            </w:r>
          </w:p>
        </w:tc>
      </w:tr>
      <w:tr w:rsidR="003D3694" w:rsidRPr="00747E35" w14:paraId="09A65D28" w14:textId="77777777" w:rsidTr="0096743A">
        <w:trPr>
          <w:trHeight w:val="300"/>
          <w:jc w:val="center"/>
        </w:trPr>
        <w:tc>
          <w:tcPr>
            <w:tcW w:w="2037" w:type="dxa"/>
            <w:noWrap/>
            <w:hideMark/>
          </w:tcPr>
          <w:p w14:paraId="683DEF9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Season</w:t>
            </w:r>
          </w:p>
        </w:tc>
        <w:tc>
          <w:tcPr>
            <w:tcW w:w="519" w:type="dxa"/>
            <w:noWrap/>
            <w:hideMark/>
          </w:tcPr>
          <w:p w14:paraId="2B1CA7A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w:t>
            </w:r>
          </w:p>
        </w:tc>
        <w:tc>
          <w:tcPr>
            <w:tcW w:w="1096" w:type="dxa"/>
            <w:noWrap/>
            <w:hideMark/>
          </w:tcPr>
          <w:p w14:paraId="055895E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3.1</w:t>
            </w:r>
          </w:p>
        </w:tc>
        <w:tc>
          <w:tcPr>
            <w:tcW w:w="851" w:type="dxa"/>
            <w:noWrap/>
            <w:hideMark/>
          </w:tcPr>
          <w:p w14:paraId="327C59E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0.1</w:t>
            </w:r>
          </w:p>
        </w:tc>
        <w:tc>
          <w:tcPr>
            <w:tcW w:w="992" w:type="dxa"/>
            <w:noWrap/>
            <w:hideMark/>
          </w:tcPr>
          <w:p w14:paraId="67928EB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0.1</w:t>
            </w:r>
          </w:p>
        </w:tc>
        <w:tc>
          <w:tcPr>
            <w:tcW w:w="850" w:type="dxa"/>
            <w:noWrap/>
            <w:hideMark/>
          </w:tcPr>
          <w:p w14:paraId="7C7B115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0.68</w:t>
            </w:r>
          </w:p>
        </w:tc>
        <w:tc>
          <w:tcPr>
            <w:tcW w:w="1276" w:type="dxa"/>
            <w:noWrap/>
            <w:hideMark/>
          </w:tcPr>
          <w:p w14:paraId="1854722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8.7</w:t>
            </w:r>
          </w:p>
        </w:tc>
        <w:tc>
          <w:tcPr>
            <w:tcW w:w="851" w:type="dxa"/>
          </w:tcPr>
          <w:p w14:paraId="7AAAE88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0.002</w:t>
            </w:r>
          </w:p>
        </w:tc>
      </w:tr>
      <w:tr w:rsidR="003D3694" w:rsidRPr="00747E35" w14:paraId="24F5DAF5" w14:textId="77777777" w:rsidTr="0096743A">
        <w:trPr>
          <w:trHeight w:val="300"/>
          <w:jc w:val="center"/>
        </w:trPr>
        <w:tc>
          <w:tcPr>
            <w:tcW w:w="2037" w:type="dxa"/>
            <w:noWrap/>
            <w:hideMark/>
          </w:tcPr>
          <w:p w14:paraId="4E50755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Shot (Site)</w:t>
            </w:r>
          </w:p>
        </w:tc>
        <w:tc>
          <w:tcPr>
            <w:tcW w:w="519" w:type="dxa"/>
            <w:noWrap/>
            <w:hideMark/>
          </w:tcPr>
          <w:p w14:paraId="7FB1573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29</w:t>
            </w:r>
          </w:p>
        </w:tc>
        <w:tc>
          <w:tcPr>
            <w:tcW w:w="1096" w:type="dxa"/>
            <w:noWrap/>
            <w:hideMark/>
          </w:tcPr>
          <w:p w14:paraId="516C2BC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1.1</w:t>
            </w:r>
          </w:p>
        </w:tc>
        <w:tc>
          <w:tcPr>
            <w:tcW w:w="851" w:type="dxa"/>
            <w:noWrap/>
            <w:hideMark/>
          </w:tcPr>
          <w:p w14:paraId="3DD7634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0.4</w:t>
            </w:r>
          </w:p>
        </w:tc>
        <w:tc>
          <w:tcPr>
            <w:tcW w:w="992" w:type="dxa"/>
            <w:noWrap/>
            <w:hideMark/>
          </w:tcPr>
          <w:p w14:paraId="0B09792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2.7</w:t>
            </w:r>
          </w:p>
        </w:tc>
        <w:tc>
          <w:tcPr>
            <w:tcW w:w="850" w:type="dxa"/>
            <w:noWrap/>
            <w:hideMark/>
          </w:tcPr>
          <w:p w14:paraId="0579DAD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0.006</w:t>
            </w:r>
          </w:p>
        </w:tc>
        <w:tc>
          <w:tcPr>
            <w:tcW w:w="1276" w:type="dxa"/>
            <w:noWrap/>
            <w:hideMark/>
          </w:tcPr>
          <w:p w14:paraId="2ECDEFE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1.8</w:t>
            </w:r>
          </w:p>
        </w:tc>
        <w:tc>
          <w:tcPr>
            <w:tcW w:w="851" w:type="dxa"/>
          </w:tcPr>
          <w:p w14:paraId="2D7963C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0.013</w:t>
            </w:r>
          </w:p>
        </w:tc>
      </w:tr>
      <w:tr w:rsidR="003D3694" w:rsidRPr="00747E35" w14:paraId="23ED7D5E" w14:textId="77777777" w:rsidTr="0096743A">
        <w:trPr>
          <w:trHeight w:val="300"/>
          <w:jc w:val="center"/>
        </w:trPr>
        <w:tc>
          <w:tcPr>
            <w:tcW w:w="2037" w:type="dxa"/>
            <w:noWrap/>
            <w:hideMark/>
          </w:tcPr>
          <w:p w14:paraId="06DDA0A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Site x Season</w:t>
            </w:r>
          </w:p>
        </w:tc>
        <w:tc>
          <w:tcPr>
            <w:tcW w:w="519" w:type="dxa"/>
            <w:noWrap/>
            <w:hideMark/>
          </w:tcPr>
          <w:p w14:paraId="7F69E51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4</w:t>
            </w:r>
          </w:p>
        </w:tc>
        <w:tc>
          <w:tcPr>
            <w:tcW w:w="1096" w:type="dxa"/>
            <w:noWrap/>
            <w:hideMark/>
          </w:tcPr>
          <w:p w14:paraId="1C87625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1.1</w:t>
            </w:r>
          </w:p>
        </w:tc>
        <w:tc>
          <w:tcPr>
            <w:tcW w:w="851" w:type="dxa"/>
            <w:noWrap/>
            <w:hideMark/>
          </w:tcPr>
          <w:p w14:paraId="10D3ED6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0.4</w:t>
            </w:r>
          </w:p>
        </w:tc>
        <w:tc>
          <w:tcPr>
            <w:tcW w:w="992" w:type="dxa"/>
            <w:noWrap/>
            <w:hideMark/>
          </w:tcPr>
          <w:p w14:paraId="2D4888A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10.0</w:t>
            </w:r>
          </w:p>
        </w:tc>
        <w:tc>
          <w:tcPr>
            <w:tcW w:w="850" w:type="dxa"/>
            <w:noWrap/>
            <w:hideMark/>
          </w:tcPr>
          <w:p w14:paraId="52AF338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0.001</w:t>
            </w:r>
          </w:p>
        </w:tc>
        <w:tc>
          <w:tcPr>
            <w:tcW w:w="1276" w:type="dxa"/>
            <w:noWrap/>
            <w:hideMark/>
          </w:tcPr>
          <w:p w14:paraId="2658991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4.8</w:t>
            </w:r>
          </w:p>
        </w:tc>
        <w:tc>
          <w:tcPr>
            <w:tcW w:w="851" w:type="dxa"/>
          </w:tcPr>
          <w:p w14:paraId="2FF6A38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0.001</w:t>
            </w:r>
          </w:p>
        </w:tc>
      </w:tr>
      <w:tr w:rsidR="003D3694" w:rsidRPr="00747E35" w14:paraId="173B0047" w14:textId="77777777" w:rsidTr="0096743A">
        <w:trPr>
          <w:trHeight w:val="300"/>
          <w:jc w:val="center"/>
        </w:trPr>
        <w:tc>
          <w:tcPr>
            <w:tcW w:w="2037" w:type="dxa"/>
            <w:noWrap/>
            <w:hideMark/>
          </w:tcPr>
          <w:p w14:paraId="68EF3F8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Residual</w:t>
            </w:r>
          </w:p>
        </w:tc>
        <w:tc>
          <w:tcPr>
            <w:tcW w:w="519" w:type="dxa"/>
            <w:noWrap/>
            <w:hideMark/>
          </w:tcPr>
          <w:p w14:paraId="3D645F8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23</w:t>
            </w:r>
          </w:p>
        </w:tc>
        <w:tc>
          <w:tcPr>
            <w:tcW w:w="1096" w:type="dxa"/>
            <w:noWrap/>
            <w:hideMark/>
          </w:tcPr>
          <w:p w14:paraId="4EB291B1" w14:textId="77777777" w:rsidR="003D3694" w:rsidRPr="00747E35" w:rsidRDefault="003D3694" w:rsidP="0096743A">
            <w:pPr>
              <w:pStyle w:val="Tabletext"/>
              <w:spacing w:before="0" w:after="0"/>
              <w:rPr>
                <w:rFonts w:cstheme="minorHAnsi"/>
                <w:lang w:eastAsia="en-AU"/>
              </w:rPr>
            </w:pPr>
          </w:p>
        </w:tc>
        <w:tc>
          <w:tcPr>
            <w:tcW w:w="851" w:type="dxa"/>
            <w:noWrap/>
            <w:hideMark/>
          </w:tcPr>
          <w:p w14:paraId="338C1B9A" w14:textId="77777777" w:rsidR="003D3694" w:rsidRPr="00747E35" w:rsidRDefault="003D3694" w:rsidP="0096743A">
            <w:pPr>
              <w:pStyle w:val="Tabletext"/>
              <w:spacing w:before="0" w:after="0"/>
              <w:rPr>
                <w:rFonts w:cstheme="minorHAnsi"/>
                <w:lang w:eastAsia="en-AU"/>
              </w:rPr>
            </w:pPr>
          </w:p>
        </w:tc>
        <w:tc>
          <w:tcPr>
            <w:tcW w:w="992" w:type="dxa"/>
            <w:noWrap/>
            <w:hideMark/>
          </w:tcPr>
          <w:p w14:paraId="210BB6CB" w14:textId="77777777" w:rsidR="003D3694" w:rsidRPr="00747E35" w:rsidRDefault="003D3694" w:rsidP="0096743A">
            <w:pPr>
              <w:pStyle w:val="Tabletext"/>
              <w:spacing w:before="0" w:after="0"/>
              <w:rPr>
                <w:rFonts w:cstheme="minorHAnsi"/>
                <w:lang w:eastAsia="en-AU"/>
              </w:rPr>
            </w:pPr>
          </w:p>
        </w:tc>
        <w:tc>
          <w:tcPr>
            <w:tcW w:w="850" w:type="dxa"/>
            <w:noWrap/>
            <w:hideMark/>
          </w:tcPr>
          <w:p w14:paraId="59704709" w14:textId="77777777" w:rsidR="003D3694" w:rsidRPr="00747E35" w:rsidRDefault="003D3694" w:rsidP="0096743A">
            <w:pPr>
              <w:pStyle w:val="Tabletext"/>
              <w:spacing w:before="0" w:after="0"/>
              <w:rPr>
                <w:rFonts w:cstheme="minorHAnsi"/>
                <w:lang w:eastAsia="en-AU"/>
              </w:rPr>
            </w:pPr>
          </w:p>
        </w:tc>
        <w:tc>
          <w:tcPr>
            <w:tcW w:w="1276" w:type="dxa"/>
            <w:noWrap/>
            <w:hideMark/>
          </w:tcPr>
          <w:p w14:paraId="4362147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        </w:t>
            </w:r>
          </w:p>
        </w:tc>
        <w:tc>
          <w:tcPr>
            <w:tcW w:w="851" w:type="dxa"/>
          </w:tcPr>
          <w:p w14:paraId="24B6E34E" w14:textId="77777777" w:rsidR="003D3694" w:rsidRPr="00747E35" w:rsidRDefault="003D3694" w:rsidP="0096743A">
            <w:pPr>
              <w:pStyle w:val="Tabletext"/>
              <w:spacing w:before="0" w:after="0"/>
              <w:rPr>
                <w:rFonts w:cstheme="minorHAnsi"/>
                <w:lang w:eastAsia="en-AU"/>
              </w:rPr>
            </w:pPr>
          </w:p>
        </w:tc>
      </w:tr>
      <w:tr w:rsidR="003D3694" w:rsidRPr="00747E35" w14:paraId="5A9AAA59" w14:textId="77777777" w:rsidTr="0096743A">
        <w:trPr>
          <w:trHeight w:val="300"/>
          <w:jc w:val="center"/>
        </w:trPr>
        <w:tc>
          <w:tcPr>
            <w:tcW w:w="2037" w:type="dxa"/>
            <w:noWrap/>
            <w:hideMark/>
          </w:tcPr>
          <w:p w14:paraId="4D866E9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Total</w:t>
            </w:r>
          </w:p>
        </w:tc>
        <w:tc>
          <w:tcPr>
            <w:tcW w:w="519" w:type="dxa"/>
            <w:noWrap/>
            <w:hideMark/>
          </w:tcPr>
          <w:p w14:paraId="394CBB8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61</w:t>
            </w:r>
          </w:p>
        </w:tc>
        <w:tc>
          <w:tcPr>
            <w:tcW w:w="1096" w:type="dxa"/>
            <w:noWrap/>
            <w:hideMark/>
          </w:tcPr>
          <w:p w14:paraId="4FC2A70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        </w:t>
            </w:r>
          </w:p>
        </w:tc>
        <w:tc>
          <w:tcPr>
            <w:tcW w:w="851" w:type="dxa"/>
            <w:noWrap/>
            <w:hideMark/>
          </w:tcPr>
          <w:p w14:paraId="798F4701" w14:textId="77777777" w:rsidR="003D3694" w:rsidRPr="00747E35" w:rsidRDefault="003D3694" w:rsidP="0096743A">
            <w:pPr>
              <w:pStyle w:val="Tabletext"/>
              <w:spacing w:before="0" w:after="0"/>
              <w:rPr>
                <w:rFonts w:cstheme="minorHAnsi"/>
                <w:lang w:eastAsia="en-AU"/>
              </w:rPr>
            </w:pPr>
          </w:p>
        </w:tc>
        <w:tc>
          <w:tcPr>
            <w:tcW w:w="992" w:type="dxa"/>
            <w:noWrap/>
            <w:hideMark/>
          </w:tcPr>
          <w:p w14:paraId="08A3F4CB" w14:textId="77777777" w:rsidR="003D3694" w:rsidRPr="00747E35" w:rsidRDefault="003D3694" w:rsidP="0096743A">
            <w:pPr>
              <w:pStyle w:val="Tabletext"/>
              <w:spacing w:before="0" w:after="0"/>
              <w:rPr>
                <w:rFonts w:cstheme="minorHAnsi"/>
                <w:lang w:eastAsia="en-AU"/>
              </w:rPr>
            </w:pPr>
          </w:p>
        </w:tc>
        <w:tc>
          <w:tcPr>
            <w:tcW w:w="850" w:type="dxa"/>
            <w:noWrap/>
            <w:hideMark/>
          </w:tcPr>
          <w:p w14:paraId="14F2B3F0" w14:textId="77777777" w:rsidR="003D3694" w:rsidRPr="00747E35" w:rsidRDefault="003D3694" w:rsidP="0096743A">
            <w:pPr>
              <w:pStyle w:val="Tabletext"/>
              <w:spacing w:before="0" w:after="0"/>
              <w:rPr>
                <w:rFonts w:cstheme="minorHAnsi"/>
                <w:lang w:eastAsia="en-AU"/>
              </w:rPr>
            </w:pPr>
          </w:p>
        </w:tc>
        <w:tc>
          <w:tcPr>
            <w:tcW w:w="1276" w:type="dxa"/>
            <w:noWrap/>
            <w:hideMark/>
          </w:tcPr>
          <w:p w14:paraId="3DEDCDC3" w14:textId="77777777" w:rsidR="003D3694" w:rsidRPr="00747E35" w:rsidRDefault="003D3694" w:rsidP="0096743A">
            <w:pPr>
              <w:pStyle w:val="Tabletext"/>
              <w:spacing w:before="0" w:after="0"/>
              <w:rPr>
                <w:rFonts w:cstheme="minorHAnsi"/>
                <w:lang w:eastAsia="en-AU"/>
              </w:rPr>
            </w:pPr>
          </w:p>
        </w:tc>
        <w:tc>
          <w:tcPr>
            <w:tcW w:w="851" w:type="dxa"/>
          </w:tcPr>
          <w:p w14:paraId="66FB87EE" w14:textId="77777777" w:rsidR="003D3694" w:rsidRPr="00747E35" w:rsidRDefault="003D3694" w:rsidP="0096743A">
            <w:pPr>
              <w:pStyle w:val="Tabletext"/>
              <w:spacing w:before="0" w:after="0"/>
              <w:rPr>
                <w:rFonts w:cstheme="minorHAnsi"/>
                <w:lang w:eastAsia="en-AU"/>
              </w:rPr>
            </w:pPr>
          </w:p>
        </w:tc>
      </w:tr>
    </w:tbl>
    <w:p w14:paraId="7A85FFF4" w14:textId="77777777" w:rsidR="003D3694" w:rsidRPr="00747E35" w:rsidRDefault="003D3694" w:rsidP="003D3694">
      <w:pPr>
        <w:jc w:val="center"/>
        <w:rPr>
          <w:rFonts w:asciiTheme="minorHAnsi" w:hAnsiTheme="minorHAnsi" w:cstheme="minorHAnsi"/>
          <w:lang w:eastAsia="en-AU"/>
        </w:rPr>
      </w:pPr>
      <w:r w:rsidRPr="00747E35">
        <w:rPr>
          <w:rFonts w:asciiTheme="minorHAnsi" w:hAnsiTheme="minorHAnsi" w:cstheme="minorHAnsi"/>
          <w:noProof/>
          <w:lang w:val="en-AU" w:eastAsia="en-AU"/>
        </w:rPr>
        <w:lastRenderedPageBreak/>
        <w:drawing>
          <wp:inline distT="0" distB="0" distL="0" distR="0" wp14:anchorId="66345C61" wp14:editId="12758B13">
            <wp:extent cx="5582974" cy="7442421"/>
            <wp:effectExtent l="0" t="0" r="0" b="6350"/>
            <wp:docPr id="7219" name="Picture 7219" descr="Bi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nmds2.tif"/>
                    <pic:cNvPicPr/>
                  </pic:nvPicPr>
                  <pic:blipFill>
                    <a:blip r:embed="rId102" cstate="screen">
                      <a:extLst>
                        <a:ext uri="{28A0092B-C50C-407E-A947-70E740481C1C}">
                          <a14:useLocalDpi xmlns:a14="http://schemas.microsoft.com/office/drawing/2010/main"/>
                        </a:ext>
                      </a:extLst>
                    </a:blip>
                    <a:stretch>
                      <a:fillRect/>
                    </a:stretch>
                  </pic:blipFill>
                  <pic:spPr>
                    <a:xfrm>
                      <a:off x="0" y="0"/>
                      <a:ext cx="5583276" cy="7442824"/>
                    </a:xfrm>
                    <a:prstGeom prst="rect">
                      <a:avLst/>
                    </a:prstGeom>
                  </pic:spPr>
                </pic:pic>
              </a:graphicData>
            </a:graphic>
          </wp:inline>
        </w:drawing>
      </w:r>
    </w:p>
    <w:p w14:paraId="01B93BDD" w14:textId="73E56E5D" w:rsidR="003D3694" w:rsidRPr="00747E35" w:rsidRDefault="003D3694" w:rsidP="00566456">
      <w:pPr>
        <w:pStyle w:val="Caption"/>
        <w:numPr>
          <w:ilvl w:val="0"/>
          <w:numId w:val="0"/>
        </w:numPr>
        <w:rPr>
          <w:rFonts w:cstheme="minorHAnsi"/>
          <w:lang w:eastAsia="en-AU"/>
        </w:rPr>
      </w:pPr>
      <w:bookmarkStart w:id="170" w:name="_Ref466028466"/>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57</w:t>
      </w:r>
      <w:r w:rsidR="009D6600" w:rsidRPr="00747E35">
        <w:rPr>
          <w:rFonts w:cstheme="minorHAnsi"/>
          <w:noProof/>
        </w:rPr>
        <w:fldChar w:fldCharType="end"/>
      </w:r>
      <w:bookmarkEnd w:id="170"/>
      <w:r w:rsidRPr="00747E35">
        <w:rPr>
          <w:rFonts w:cstheme="minorHAnsi"/>
          <w:lang w:eastAsia="en-AU"/>
        </w:rPr>
        <w:t>. A non-metric multidimensional scaling (nMDS) representing the Bray Curtis similarity among fish assemblage structure of five streams in the upper Bremer River catchment and two sampling periods based on a resemblance matrix. The a) fish species and b) environmental variables that correlated (r</w:t>
      </w:r>
      <w:r w:rsidRPr="00747E35">
        <w:rPr>
          <w:rFonts w:cstheme="minorHAnsi"/>
          <w:vertAlign w:val="subscript"/>
          <w:lang w:eastAsia="en-AU"/>
        </w:rPr>
        <w:t>p</w:t>
      </w:r>
      <w:r w:rsidRPr="00747E35">
        <w:rPr>
          <w:rFonts w:cstheme="minorHAnsi"/>
          <w:lang w:eastAsia="en-AU"/>
        </w:rPr>
        <w:t xml:space="preserve">&gt;0.4) most to the average dissimilarity between sites and seasons in multidimensional space are overlain. MAD, mean annual discharge; DO, dissolved oxygen; SRP, soluble reactive phosphorus; TP, total phosphorus. The abundance of </w:t>
      </w:r>
      <w:r w:rsidRPr="001C05E2">
        <w:rPr>
          <w:rFonts w:cstheme="minorHAnsi"/>
          <w:i w:val="0"/>
          <w:lang w:eastAsia="en-AU"/>
        </w:rPr>
        <w:t>Mogurnda adspersa</w:t>
      </w:r>
      <w:r w:rsidRPr="00747E35">
        <w:rPr>
          <w:rFonts w:cstheme="minorHAnsi"/>
          <w:lang w:eastAsia="en-AU"/>
        </w:rPr>
        <w:t xml:space="preserve"> is posi</w:t>
      </w:r>
      <w:r w:rsidR="001C05E2">
        <w:rPr>
          <w:rFonts w:cstheme="minorHAnsi"/>
          <w:lang w:eastAsia="en-AU"/>
        </w:rPr>
        <w:t>ti</w:t>
      </w:r>
      <w:r w:rsidRPr="00747E35">
        <w:rPr>
          <w:rFonts w:cstheme="minorHAnsi"/>
          <w:lang w:eastAsia="en-AU"/>
        </w:rPr>
        <w:t>vely related to mean annual discharge, filamentous algae, and mean pool temperature.</w:t>
      </w:r>
    </w:p>
    <w:p w14:paraId="3A3A4974" w14:textId="77777777" w:rsidR="003D3694" w:rsidRPr="00747E35" w:rsidRDefault="003D3694" w:rsidP="003D3694">
      <w:pPr>
        <w:rPr>
          <w:rFonts w:asciiTheme="minorHAnsi" w:hAnsiTheme="minorHAnsi" w:cstheme="minorHAnsi"/>
          <w:lang w:eastAsia="en-AU"/>
        </w:rPr>
      </w:pPr>
    </w:p>
    <w:p w14:paraId="6920BB83" w14:textId="77777777" w:rsidR="003D3694" w:rsidRPr="00747E35" w:rsidRDefault="003D3694" w:rsidP="003D3694">
      <w:pPr>
        <w:pStyle w:val="Heading4"/>
        <w:rPr>
          <w:rFonts w:asciiTheme="minorHAnsi" w:hAnsiTheme="minorHAnsi" w:cstheme="minorHAnsi"/>
          <w:lang w:eastAsia="en-AU"/>
        </w:rPr>
      </w:pPr>
      <w:r w:rsidRPr="00747E35">
        <w:rPr>
          <w:rFonts w:asciiTheme="minorHAnsi" w:hAnsiTheme="minorHAnsi" w:cstheme="minorHAnsi"/>
          <w:lang w:eastAsia="en-AU"/>
        </w:rPr>
        <w:lastRenderedPageBreak/>
        <w:t>Macroinvertebrates</w:t>
      </w:r>
    </w:p>
    <w:p w14:paraId="27C66F4D" w14:textId="21D4AF20"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 xml:space="preserve">In total, 50,720 individual macroinvertebrates were collected from 57 distinct taxa (including 39 identifiable genera from 47 distinct families; </w:t>
      </w:r>
      <w:r w:rsidRPr="00747E35">
        <w:rPr>
          <w:rFonts w:asciiTheme="minorHAnsi" w:hAnsiTheme="minorHAnsi" w:cstheme="minorHAnsi"/>
          <w:highlight w:val="yellow"/>
          <w:lang w:eastAsia="en-AU"/>
        </w:rPr>
        <w:fldChar w:fldCharType="begin"/>
      </w:r>
      <w:r w:rsidRPr="00747E35">
        <w:rPr>
          <w:rFonts w:asciiTheme="minorHAnsi" w:hAnsiTheme="minorHAnsi" w:cstheme="minorHAnsi"/>
          <w:lang w:eastAsia="en-AU"/>
        </w:rPr>
        <w:instrText xml:space="preserve"> REF _Ref466214964 \h </w:instrText>
      </w:r>
      <w:r w:rsidR="00925BFC" w:rsidRPr="00747E35">
        <w:rPr>
          <w:rFonts w:asciiTheme="minorHAnsi" w:hAnsiTheme="minorHAnsi" w:cstheme="minorHAnsi"/>
          <w:highlight w:val="yellow"/>
          <w:lang w:eastAsia="en-AU"/>
        </w:rPr>
        <w:instrText xml:space="preserve"> \* MERGEFORMAT </w:instrText>
      </w:r>
      <w:r w:rsidRPr="00747E35">
        <w:rPr>
          <w:rFonts w:asciiTheme="minorHAnsi" w:hAnsiTheme="minorHAnsi" w:cstheme="minorHAnsi"/>
          <w:highlight w:val="yellow"/>
          <w:lang w:eastAsia="en-AU"/>
        </w:rPr>
      </w:r>
      <w:r w:rsidRPr="00747E35">
        <w:rPr>
          <w:rFonts w:asciiTheme="minorHAnsi" w:hAnsiTheme="minorHAnsi" w:cstheme="minorHAnsi"/>
          <w:highlight w:val="yellow"/>
          <w:lang w:eastAsia="en-AU"/>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15</w:t>
      </w:r>
      <w:r w:rsidRPr="00747E35">
        <w:rPr>
          <w:rFonts w:asciiTheme="minorHAnsi" w:hAnsiTheme="minorHAnsi" w:cstheme="minorHAnsi"/>
          <w:highlight w:val="yellow"/>
          <w:lang w:eastAsia="en-AU"/>
        </w:rPr>
        <w:fldChar w:fldCharType="end"/>
      </w:r>
      <w:r w:rsidRPr="00747E35">
        <w:rPr>
          <w:rFonts w:asciiTheme="minorHAnsi" w:hAnsiTheme="minorHAnsi" w:cstheme="minorHAnsi"/>
          <w:lang w:eastAsia="en-AU"/>
        </w:rPr>
        <w:t>). More taxa were collected at sites in the Bremer catchment than in the Maules Creek catchment (45 vs 36, respectively), but total abundances were similar (21,600 vs 29,120, respectively). At both sites, taxa typically associated with non-flowing habitats were common, including Chironominae, Podocopida and Cyclopoida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_Ref466214964 </w:instrText>
      </w:r>
      <w:r w:rsidR="00925BFC" w:rsidRPr="00747E35">
        <w:rPr>
          <w:rFonts w:asciiTheme="minorHAnsi" w:hAnsiTheme="minorHAnsi" w:cstheme="minorHAnsi"/>
          <w:lang w:eastAsia="en-AU"/>
        </w:rPr>
        <w:instrText xml:space="preserve"> \* MERGEFORMAT </w:instrText>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15</w:t>
      </w:r>
      <w:r w:rsidRPr="00747E35">
        <w:rPr>
          <w:rFonts w:asciiTheme="minorHAnsi" w:hAnsiTheme="minorHAnsi" w:cstheme="minorHAnsi"/>
          <w:lang w:eastAsia="en-AU"/>
        </w:rPr>
        <w:fldChar w:fldCharType="end"/>
      </w:r>
      <w:r w:rsidRPr="00747E35">
        <w:rPr>
          <w:rFonts w:asciiTheme="minorHAnsi" w:hAnsiTheme="minorHAnsi" w:cstheme="minorHAnsi"/>
          <w:lang w:eastAsia="en-AU"/>
        </w:rPr>
        <w:t>). A few taxa normally associated with flowing water were abundant in the upper Bremer River catchment (e.g. Baetidae, Elmidae), even during periods without surface flow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_Ref466214964 </w:instrText>
      </w:r>
      <w:r w:rsidR="00925BFC" w:rsidRPr="00747E35">
        <w:rPr>
          <w:rFonts w:asciiTheme="minorHAnsi" w:hAnsiTheme="minorHAnsi" w:cstheme="minorHAnsi"/>
          <w:lang w:eastAsia="en-AU"/>
        </w:rPr>
        <w:instrText xml:space="preserve"> \* MERGEFORMAT </w:instrText>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15</w:t>
      </w:r>
      <w:r w:rsidRPr="00747E35">
        <w:rPr>
          <w:rFonts w:asciiTheme="minorHAnsi" w:hAnsiTheme="minorHAnsi" w:cstheme="minorHAnsi"/>
          <w:lang w:eastAsia="en-AU"/>
        </w:rPr>
        <w:fldChar w:fldCharType="end"/>
      </w:r>
      <w:r w:rsidRPr="00747E35">
        <w:rPr>
          <w:rFonts w:asciiTheme="minorHAnsi" w:hAnsiTheme="minorHAnsi" w:cstheme="minorHAnsi"/>
          <w:lang w:eastAsia="en-AU"/>
        </w:rPr>
        <w:t>).</w:t>
      </w:r>
    </w:p>
    <w:p w14:paraId="02A8A73B" w14:textId="30F1B00C"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There were large differences between sites and trips in most of the univariate indices that were examined. In the Bremer catchment the most notable pattern between surveys was a much lower richness of invertebrates on the second sampling trip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_Ref466216184 </w:instrText>
      </w:r>
      <w:r w:rsidR="00925BFC" w:rsidRPr="00747E35">
        <w:rPr>
          <w:rFonts w:asciiTheme="minorHAnsi" w:hAnsiTheme="minorHAnsi" w:cstheme="minorHAnsi"/>
          <w:lang w:eastAsia="en-AU"/>
        </w:rPr>
        <w:instrText xml:space="preserve"> \* MERGEFORMAT </w:instrText>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58</w:t>
      </w:r>
      <w:r w:rsidRPr="00747E35">
        <w:rPr>
          <w:rFonts w:asciiTheme="minorHAnsi" w:hAnsiTheme="minorHAnsi" w:cstheme="minorHAnsi"/>
          <w:lang w:eastAsia="en-AU"/>
        </w:rPr>
        <w:fldChar w:fldCharType="end"/>
      </w:r>
      <w:r w:rsidRPr="00747E35">
        <w:rPr>
          <w:rFonts w:asciiTheme="minorHAnsi" w:hAnsiTheme="minorHAnsi" w:cstheme="minorHAnsi"/>
          <w:lang w:eastAsia="en-AU"/>
        </w:rPr>
        <w:t>). Most sites had similar richness and abundance patterns with the exception of Coulson Creek and Wild Cattle Creek, which had lower numbers of taxa, including those from the Orders Ephemeroptera, Plecoptera and Trichoptera (EPT taxa) which are known to be sensitive to water quality. SIGNAL scores ranged between 2 and 4, which if adopted as a measure of condition would indicate sites were in poor to moderate condition (SIGNAL ranges over 1-10). At the Maules Creek sites, only the perennial gaining reach (Horse Arm) could be sampled on both trips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_Ref466216790 </w:instrText>
      </w:r>
      <w:r w:rsidR="00925BFC" w:rsidRPr="00747E35">
        <w:rPr>
          <w:rFonts w:asciiTheme="minorHAnsi" w:hAnsiTheme="minorHAnsi" w:cstheme="minorHAnsi"/>
          <w:lang w:eastAsia="en-AU"/>
        </w:rPr>
        <w:instrText xml:space="preserve"> \* MERGEFORMAT </w:instrText>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59</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Although there were differences between reaches in terms of abundance, richness patterns and SIGNAL score, the differences are difficult to interpret given the limited temporal replication and lack of spatial replication. </w:t>
      </w:r>
    </w:p>
    <w:p w14:paraId="1B243623" w14:textId="47AA009D"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Multivariate analysis of the macroinvertebrate data failed to reveal any particularly strong spatial and/or temporal patterns for the upper Bremer River catchment sites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_Ref466216869 </w:instrText>
      </w:r>
      <w:r w:rsidR="00925BFC" w:rsidRPr="00747E35">
        <w:rPr>
          <w:rFonts w:asciiTheme="minorHAnsi" w:hAnsiTheme="minorHAnsi" w:cstheme="minorHAnsi"/>
          <w:lang w:eastAsia="en-AU"/>
        </w:rPr>
        <w:instrText xml:space="preserve"> \* MERGEFORMAT </w:instrText>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60</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and there was only one variable, soluble reactive phosphorus (SRP) that was correlated with patterns in the community ordination (see bottom panel of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_Ref466216869 </w:instrText>
      </w:r>
      <w:r w:rsidR="00925BFC" w:rsidRPr="00747E35">
        <w:rPr>
          <w:rFonts w:asciiTheme="minorHAnsi" w:hAnsiTheme="minorHAnsi" w:cstheme="minorHAnsi"/>
          <w:lang w:eastAsia="en-AU"/>
        </w:rPr>
        <w:instrText xml:space="preserve"> \* MERGEFORMAT </w:instrText>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60</w:t>
      </w:r>
      <w:r w:rsidRPr="00747E35">
        <w:rPr>
          <w:rFonts w:asciiTheme="minorHAnsi" w:hAnsiTheme="minorHAnsi" w:cstheme="minorHAnsi"/>
          <w:lang w:eastAsia="en-AU"/>
        </w:rPr>
        <w:fldChar w:fldCharType="end"/>
      </w:r>
      <w:r w:rsidRPr="00747E35">
        <w:rPr>
          <w:rFonts w:asciiTheme="minorHAnsi" w:hAnsiTheme="minorHAnsi" w:cstheme="minorHAnsi"/>
          <w:lang w:eastAsia="en-AU"/>
        </w:rPr>
        <w:t>). Similarly, for the Maules Creek catchment sites, there were few significant correlations between the ordination space and either taxonomic or physio-chemical variation (in the latter case there were no correlated variables).</w:t>
      </w:r>
    </w:p>
    <w:p w14:paraId="573D9CEE" w14:textId="77777777" w:rsidR="003D3694" w:rsidRPr="00747E35" w:rsidRDefault="003D3694" w:rsidP="003D3694">
      <w:pPr>
        <w:autoSpaceDE/>
        <w:autoSpaceDN/>
        <w:spacing w:line="276" w:lineRule="auto"/>
        <w:rPr>
          <w:rFonts w:asciiTheme="minorHAnsi" w:hAnsiTheme="minorHAnsi" w:cstheme="minorHAnsi"/>
          <w:lang w:eastAsia="en-AU"/>
        </w:rPr>
      </w:pPr>
      <w:r w:rsidRPr="00747E35">
        <w:rPr>
          <w:rFonts w:asciiTheme="minorHAnsi" w:hAnsiTheme="minorHAnsi" w:cstheme="minorHAnsi"/>
          <w:lang w:eastAsia="en-AU"/>
        </w:rPr>
        <w:br w:type="page"/>
      </w:r>
    </w:p>
    <w:p w14:paraId="71BA3A7D" w14:textId="77777777" w:rsidR="003D3694" w:rsidRPr="00747E35" w:rsidRDefault="003D3694" w:rsidP="00566456">
      <w:pPr>
        <w:pStyle w:val="Caption"/>
        <w:numPr>
          <w:ilvl w:val="0"/>
          <w:numId w:val="0"/>
        </w:numPr>
        <w:rPr>
          <w:rFonts w:cstheme="minorHAnsi"/>
        </w:rPr>
      </w:pPr>
      <w:bookmarkStart w:id="171" w:name="_Ref466214964"/>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15</w:t>
      </w:r>
      <w:r w:rsidR="009D6600" w:rsidRPr="00747E35">
        <w:rPr>
          <w:rFonts w:cstheme="minorHAnsi"/>
          <w:noProof/>
        </w:rPr>
        <w:fldChar w:fldCharType="end"/>
      </w:r>
      <w:bookmarkEnd w:id="171"/>
      <w:r w:rsidRPr="00747E35">
        <w:rPr>
          <w:rFonts w:cstheme="minorHAnsi"/>
        </w:rPr>
        <w:t>. Summary table showing the five most abundant invertebrate taxa collected on each sampling trip in the upper Bremer River and Maules Creek catchments.</w:t>
      </w:r>
    </w:p>
    <w:tbl>
      <w:tblPr>
        <w:tblW w:w="8505" w:type="dxa"/>
        <w:jc w:val="center"/>
        <w:tblLook w:val="04A0" w:firstRow="1" w:lastRow="0" w:firstColumn="1" w:lastColumn="0" w:noHBand="0" w:noVBand="1"/>
      </w:tblPr>
      <w:tblGrid>
        <w:gridCol w:w="2518"/>
        <w:gridCol w:w="1950"/>
        <w:gridCol w:w="1793"/>
        <w:gridCol w:w="2244"/>
      </w:tblGrid>
      <w:tr w:rsidR="003D3694" w:rsidRPr="00747E35" w14:paraId="407563F9" w14:textId="77777777" w:rsidTr="0096743A">
        <w:trPr>
          <w:trHeight w:val="20"/>
          <w:jc w:val="center"/>
        </w:trPr>
        <w:tc>
          <w:tcPr>
            <w:tcW w:w="2518" w:type="dxa"/>
            <w:tcBorders>
              <w:top w:val="single" w:sz="12" w:space="0" w:color="6D6D6D"/>
              <w:left w:val="nil"/>
              <w:bottom w:val="single" w:sz="8" w:space="0" w:color="6D6D6D"/>
              <w:right w:val="nil"/>
            </w:tcBorders>
            <w:shd w:val="clear" w:color="auto" w:fill="DEEAF6" w:themeFill="accent1" w:themeFillTint="33"/>
            <w:vAlign w:val="center"/>
            <w:hideMark/>
          </w:tcPr>
          <w:p w14:paraId="1062BA0F" w14:textId="77777777" w:rsidR="003D3694" w:rsidRPr="00747E35" w:rsidRDefault="003D3694" w:rsidP="0096743A">
            <w:pPr>
              <w:pStyle w:val="TableHead"/>
              <w:spacing w:before="0" w:after="0"/>
              <w:rPr>
                <w:rFonts w:asciiTheme="minorHAnsi" w:hAnsiTheme="minorHAnsi" w:cstheme="minorHAnsi"/>
                <w:lang w:val="en-GB"/>
              </w:rPr>
            </w:pPr>
            <w:r w:rsidRPr="00747E35">
              <w:rPr>
                <w:rFonts w:asciiTheme="minorHAnsi" w:hAnsiTheme="minorHAnsi" w:cstheme="minorHAnsi"/>
              </w:rPr>
              <w:t>Catchment</w:t>
            </w:r>
          </w:p>
        </w:tc>
        <w:tc>
          <w:tcPr>
            <w:tcW w:w="1950" w:type="dxa"/>
            <w:tcBorders>
              <w:top w:val="single" w:sz="12" w:space="0" w:color="6D6D6D"/>
              <w:left w:val="nil"/>
              <w:bottom w:val="single" w:sz="8" w:space="0" w:color="6D6D6D"/>
              <w:right w:val="nil"/>
            </w:tcBorders>
            <w:shd w:val="clear" w:color="auto" w:fill="DEEAF6" w:themeFill="accent1" w:themeFillTint="33"/>
            <w:vAlign w:val="center"/>
            <w:hideMark/>
          </w:tcPr>
          <w:p w14:paraId="3688939D" w14:textId="77777777" w:rsidR="003D3694" w:rsidRPr="00747E35" w:rsidRDefault="003D3694" w:rsidP="0096743A">
            <w:pPr>
              <w:pStyle w:val="TableHead"/>
              <w:spacing w:before="0" w:after="0"/>
              <w:rPr>
                <w:rFonts w:asciiTheme="minorHAnsi" w:hAnsiTheme="minorHAnsi" w:cstheme="minorHAnsi"/>
                <w:lang w:val="en-GB"/>
              </w:rPr>
            </w:pPr>
            <w:r w:rsidRPr="00747E35">
              <w:rPr>
                <w:rFonts w:asciiTheme="minorHAnsi" w:hAnsiTheme="minorHAnsi" w:cstheme="minorHAnsi"/>
              </w:rPr>
              <w:t>Year</w:t>
            </w:r>
          </w:p>
        </w:tc>
        <w:tc>
          <w:tcPr>
            <w:tcW w:w="1793" w:type="dxa"/>
            <w:tcBorders>
              <w:top w:val="single" w:sz="12" w:space="0" w:color="6D6D6D"/>
              <w:left w:val="nil"/>
              <w:bottom w:val="single" w:sz="8" w:space="0" w:color="6D6D6D"/>
              <w:right w:val="nil"/>
            </w:tcBorders>
            <w:shd w:val="clear" w:color="auto" w:fill="DEEAF6" w:themeFill="accent1" w:themeFillTint="33"/>
            <w:vAlign w:val="center"/>
            <w:hideMark/>
          </w:tcPr>
          <w:p w14:paraId="3093B06C" w14:textId="77777777" w:rsidR="003D3694" w:rsidRPr="00747E35" w:rsidRDefault="003D3694" w:rsidP="0096743A">
            <w:pPr>
              <w:pStyle w:val="TableHead"/>
              <w:spacing w:before="0" w:after="0"/>
              <w:rPr>
                <w:rFonts w:asciiTheme="minorHAnsi" w:hAnsiTheme="minorHAnsi" w:cstheme="minorHAnsi"/>
                <w:lang w:val="en-GB"/>
              </w:rPr>
            </w:pPr>
            <w:r w:rsidRPr="00747E35">
              <w:rPr>
                <w:rFonts w:asciiTheme="minorHAnsi" w:hAnsiTheme="minorHAnsi" w:cstheme="minorHAnsi"/>
              </w:rPr>
              <w:t>Taxa</w:t>
            </w:r>
          </w:p>
        </w:tc>
        <w:tc>
          <w:tcPr>
            <w:tcW w:w="2244" w:type="dxa"/>
            <w:tcBorders>
              <w:top w:val="single" w:sz="12" w:space="0" w:color="6D6D6D"/>
              <w:left w:val="nil"/>
              <w:bottom w:val="single" w:sz="8" w:space="0" w:color="6D6D6D"/>
              <w:right w:val="nil"/>
            </w:tcBorders>
            <w:shd w:val="clear" w:color="auto" w:fill="DEEAF6" w:themeFill="accent1" w:themeFillTint="33"/>
            <w:vAlign w:val="center"/>
            <w:hideMark/>
          </w:tcPr>
          <w:p w14:paraId="2CE3F687" w14:textId="77777777" w:rsidR="003D3694" w:rsidRPr="00747E35" w:rsidRDefault="003D3694" w:rsidP="0096743A">
            <w:pPr>
              <w:pStyle w:val="TableHead"/>
              <w:spacing w:before="0" w:after="0"/>
              <w:rPr>
                <w:rFonts w:asciiTheme="minorHAnsi" w:hAnsiTheme="minorHAnsi" w:cstheme="minorHAnsi"/>
                <w:lang w:val="en-GB"/>
              </w:rPr>
            </w:pPr>
            <w:r w:rsidRPr="00747E35">
              <w:rPr>
                <w:rFonts w:asciiTheme="minorHAnsi" w:hAnsiTheme="minorHAnsi" w:cstheme="minorHAnsi"/>
              </w:rPr>
              <w:t>Total Abundance</w:t>
            </w:r>
          </w:p>
        </w:tc>
      </w:tr>
      <w:tr w:rsidR="003D3694" w:rsidRPr="00747E35" w14:paraId="572019A1" w14:textId="77777777" w:rsidTr="0096743A">
        <w:trPr>
          <w:trHeight w:val="20"/>
          <w:jc w:val="center"/>
        </w:trPr>
        <w:tc>
          <w:tcPr>
            <w:tcW w:w="2518" w:type="dxa"/>
            <w:tcBorders>
              <w:top w:val="nil"/>
              <w:left w:val="nil"/>
              <w:bottom w:val="nil"/>
              <w:right w:val="nil"/>
            </w:tcBorders>
            <w:shd w:val="clear" w:color="auto" w:fill="auto"/>
            <w:vAlign w:val="center"/>
            <w:hideMark/>
          </w:tcPr>
          <w:p w14:paraId="72891382"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Bremer River catchment</w:t>
            </w:r>
          </w:p>
        </w:tc>
        <w:tc>
          <w:tcPr>
            <w:tcW w:w="1950" w:type="dxa"/>
            <w:tcBorders>
              <w:top w:val="nil"/>
              <w:left w:val="nil"/>
              <w:bottom w:val="nil"/>
              <w:right w:val="nil"/>
            </w:tcBorders>
            <w:shd w:val="clear" w:color="auto" w:fill="auto"/>
            <w:vAlign w:val="center"/>
            <w:hideMark/>
          </w:tcPr>
          <w:p w14:paraId="0FBE4A15"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2015</w:t>
            </w:r>
          </w:p>
        </w:tc>
        <w:tc>
          <w:tcPr>
            <w:tcW w:w="1793" w:type="dxa"/>
            <w:tcBorders>
              <w:top w:val="nil"/>
              <w:left w:val="nil"/>
              <w:bottom w:val="nil"/>
              <w:right w:val="nil"/>
            </w:tcBorders>
            <w:shd w:val="clear" w:color="auto" w:fill="auto"/>
            <w:vAlign w:val="center"/>
            <w:hideMark/>
          </w:tcPr>
          <w:p w14:paraId="122CB1D1"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Cyclopoida</w:t>
            </w:r>
          </w:p>
        </w:tc>
        <w:tc>
          <w:tcPr>
            <w:tcW w:w="2244" w:type="dxa"/>
            <w:tcBorders>
              <w:top w:val="nil"/>
              <w:left w:val="nil"/>
              <w:bottom w:val="nil"/>
              <w:right w:val="nil"/>
            </w:tcBorders>
            <w:shd w:val="clear" w:color="auto" w:fill="auto"/>
            <w:vAlign w:val="center"/>
            <w:hideMark/>
          </w:tcPr>
          <w:p w14:paraId="57AE5C84"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2360</w:t>
            </w:r>
          </w:p>
        </w:tc>
      </w:tr>
      <w:tr w:rsidR="003D3694" w:rsidRPr="00747E35" w14:paraId="2A41193C" w14:textId="77777777" w:rsidTr="0096743A">
        <w:trPr>
          <w:trHeight w:val="20"/>
          <w:jc w:val="center"/>
        </w:trPr>
        <w:tc>
          <w:tcPr>
            <w:tcW w:w="2518" w:type="dxa"/>
            <w:tcBorders>
              <w:top w:val="nil"/>
              <w:left w:val="nil"/>
              <w:bottom w:val="nil"/>
              <w:right w:val="nil"/>
            </w:tcBorders>
            <w:shd w:val="clear" w:color="auto" w:fill="auto"/>
            <w:vAlign w:val="center"/>
            <w:hideMark/>
          </w:tcPr>
          <w:p w14:paraId="058421FD" w14:textId="77777777" w:rsidR="003D3694" w:rsidRPr="00747E35" w:rsidRDefault="003D3694" w:rsidP="0096743A">
            <w:pPr>
              <w:pStyle w:val="Tabletext"/>
              <w:spacing w:before="0" w:after="0"/>
              <w:rPr>
                <w:rFonts w:cstheme="minorHAnsi"/>
                <w:lang w:eastAsia="en-GB"/>
              </w:rPr>
            </w:pPr>
          </w:p>
        </w:tc>
        <w:tc>
          <w:tcPr>
            <w:tcW w:w="1950" w:type="dxa"/>
            <w:tcBorders>
              <w:top w:val="nil"/>
              <w:left w:val="nil"/>
              <w:bottom w:val="nil"/>
              <w:right w:val="nil"/>
            </w:tcBorders>
            <w:shd w:val="clear" w:color="auto" w:fill="auto"/>
            <w:vAlign w:val="center"/>
            <w:hideMark/>
          </w:tcPr>
          <w:p w14:paraId="39189AFC" w14:textId="77777777" w:rsidR="003D3694" w:rsidRPr="00747E35" w:rsidRDefault="003D3694" w:rsidP="0096743A">
            <w:pPr>
              <w:pStyle w:val="Tabletext"/>
              <w:spacing w:before="0" w:after="0"/>
              <w:rPr>
                <w:rFonts w:cstheme="minorHAnsi"/>
                <w:lang w:eastAsia="en-GB"/>
              </w:rPr>
            </w:pPr>
          </w:p>
        </w:tc>
        <w:tc>
          <w:tcPr>
            <w:tcW w:w="1793" w:type="dxa"/>
            <w:tcBorders>
              <w:top w:val="nil"/>
              <w:left w:val="nil"/>
              <w:bottom w:val="nil"/>
              <w:right w:val="nil"/>
            </w:tcBorders>
            <w:shd w:val="clear" w:color="auto" w:fill="auto"/>
            <w:vAlign w:val="center"/>
            <w:hideMark/>
          </w:tcPr>
          <w:p w14:paraId="7FFE9899"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Chironominae</w:t>
            </w:r>
          </w:p>
        </w:tc>
        <w:tc>
          <w:tcPr>
            <w:tcW w:w="2244" w:type="dxa"/>
            <w:tcBorders>
              <w:top w:val="nil"/>
              <w:left w:val="nil"/>
              <w:bottom w:val="nil"/>
              <w:right w:val="nil"/>
            </w:tcBorders>
            <w:shd w:val="clear" w:color="auto" w:fill="auto"/>
            <w:vAlign w:val="center"/>
            <w:hideMark/>
          </w:tcPr>
          <w:p w14:paraId="65312ABA"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2210</w:t>
            </w:r>
          </w:p>
        </w:tc>
      </w:tr>
      <w:tr w:rsidR="003D3694" w:rsidRPr="00747E35" w14:paraId="4D7FD5F9" w14:textId="77777777" w:rsidTr="0096743A">
        <w:trPr>
          <w:trHeight w:val="20"/>
          <w:jc w:val="center"/>
        </w:trPr>
        <w:tc>
          <w:tcPr>
            <w:tcW w:w="2518" w:type="dxa"/>
            <w:tcBorders>
              <w:top w:val="nil"/>
              <w:left w:val="nil"/>
              <w:bottom w:val="nil"/>
              <w:right w:val="nil"/>
            </w:tcBorders>
            <w:shd w:val="clear" w:color="auto" w:fill="auto"/>
            <w:vAlign w:val="center"/>
            <w:hideMark/>
          </w:tcPr>
          <w:p w14:paraId="1E71C959" w14:textId="77777777" w:rsidR="003D3694" w:rsidRPr="00747E35" w:rsidRDefault="003D3694" w:rsidP="0096743A">
            <w:pPr>
              <w:pStyle w:val="Tabletext"/>
              <w:spacing w:before="0" w:after="0"/>
              <w:rPr>
                <w:rFonts w:cstheme="minorHAnsi"/>
                <w:lang w:eastAsia="en-GB"/>
              </w:rPr>
            </w:pPr>
          </w:p>
        </w:tc>
        <w:tc>
          <w:tcPr>
            <w:tcW w:w="1950" w:type="dxa"/>
            <w:tcBorders>
              <w:top w:val="nil"/>
              <w:left w:val="nil"/>
              <w:bottom w:val="nil"/>
              <w:right w:val="nil"/>
            </w:tcBorders>
            <w:shd w:val="clear" w:color="auto" w:fill="auto"/>
            <w:vAlign w:val="center"/>
            <w:hideMark/>
          </w:tcPr>
          <w:p w14:paraId="0E4617CD" w14:textId="77777777" w:rsidR="003D3694" w:rsidRPr="00747E35" w:rsidRDefault="003D3694" w:rsidP="0096743A">
            <w:pPr>
              <w:pStyle w:val="Tabletext"/>
              <w:spacing w:before="0" w:after="0"/>
              <w:rPr>
                <w:rFonts w:cstheme="minorHAnsi"/>
                <w:lang w:eastAsia="en-GB"/>
              </w:rPr>
            </w:pPr>
          </w:p>
        </w:tc>
        <w:tc>
          <w:tcPr>
            <w:tcW w:w="1793" w:type="dxa"/>
            <w:tcBorders>
              <w:top w:val="nil"/>
              <w:left w:val="nil"/>
              <w:bottom w:val="nil"/>
              <w:right w:val="nil"/>
            </w:tcBorders>
            <w:shd w:val="clear" w:color="auto" w:fill="auto"/>
            <w:vAlign w:val="center"/>
            <w:hideMark/>
          </w:tcPr>
          <w:p w14:paraId="320BDD5A"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Caenidae</w:t>
            </w:r>
          </w:p>
        </w:tc>
        <w:tc>
          <w:tcPr>
            <w:tcW w:w="2244" w:type="dxa"/>
            <w:tcBorders>
              <w:top w:val="nil"/>
              <w:left w:val="nil"/>
              <w:bottom w:val="nil"/>
              <w:right w:val="nil"/>
            </w:tcBorders>
            <w:shd w:val="clear" w:color="auto" w:fill="auto"/>
            <w:vAlign w:val="center"/>
            <w:hideMark/>
          </w:tcPr>
          <w:p w14:paraId="0C37A349"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1970</w:t>
            </w:r>
          </w:p>
        </w:tc>
      </w:tr>
      <w:tr w:rsidR="003D3694" w:rsidRPr="00747E35" w14:paraId="271B7459" w14:textId="77777777" w:rsidTr="0096743A">
        <w:trPr>
          <w:trHeight w:val="20"/>
          <w:jc w:val="center"/>
        </w:trPr>
        <w:tc>
          <w:tcPr>
            <w:tcW w:w="2518" w:type="dxa"/>
            <w:tcBorders>
              <w:top w:val="nil"/>
              <w:left w:val="nil"/>
              <w:bottom w:val="nil"/>
              <w:right w:val="nil"/>
            </w:tcBorders>
            <w:shd w:val="clear" w:color="auto" w:fill="auto"/>
            <w:vAlign w:val="center"/>
            <w:hideMark/>
          </w:tcPr>
          <w:p w14:paraId="3C40A2F9" w14:textId="77777777" w:rsidR="003D3694" w:rsidRPr="00747E35" w:rsidRDefault="003D3694" w:rsidP="0096743A">
            <w:pPr>
              <w:pStyle w:val="Tabletext"/>
              <w:spacing w:before="0" w:after="0"/>
              <w:rPr>
                <w:rFonts w:cstheme="minorHAnsi"/>
                <w:lang w:eastAsia="en-GB"/>
              </w:rPr>
            </w:pPr>
          </w:p>
        </w:tc>
        <w:tc>
          <w:tcPr>
            <w:tcW w:w="1950" w:type="dxa"/>
            <w:tcBorders>
              <w:top w:val="nil"/>
              <w:left w:val="nil"/>
              <w:bottom w:val="nil"/>
              <w:right w:val="nil"/>
            </w:tcBorders>
            <w:shd w:val="clear" w:color="auto" w:fill="auto"/>
            <w:vAlign w:val="center"/>
            <w:hideMark/>
          </w:tcPr>
          <w:p w14:paraId="16B90B6B" w14:textId="77777777" w:rsidR="003D3694" w:rsidRPr="00747E35" w:rsidRDefault="003D3694" w:rsidP="0096743A">
            <w:pPr>
              <w:pStyle w:val="Tabletext"/>
              <w:spacing w:before="0" w:after="0"/>
              <w:rPr>
                <w:rFonts w:cstheme="minorHAnsi"/>
                <w:lang w:eastAsia="en-GB"/>
              </w:rPr>
            </w:pPr>
          </w:p>
        </w:tc>
        <w:tc>
          <w:tcPr>
            <w:tcW w:w="1793" w:type="dxa"/>
            <w:tcBorders>
              <w:top w:val="nil"/>
              <w:left w:val="nil"/>
              <w:bottom w:val="nil"/>
              <w:right w:val="nil"/>
            </w:tcBorders>
            <w:shd w:val="clear" w:color="auto" w:fill="auto"/>
            <w:vAlign w:val="center"/>
            <w:hideMark/>
          </w:tcPr>
          <w:p w14:paraId="53F7BCFF"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Chydoridae</w:t>
            </w:r>
          </w:p>
        </w:tc>
        <w:tc>
          <w:tcPr>
            <w:tcW w:w="2244" w:type="dxa"/>
            <w:tcBorders>
              <w:top w:val="nil"/>
              <w:left w:val="nil"/>
              <w:bottom w:val="nil"/>
              <w:right w:val="nil"/>
            </w:tcBorders>
            <w:shd w:val="clear" w:color="auto" w:fill="auto"/>
            <w:vAlign w:val="center"/>
            <w:hideMark/>
          </w:tcPr>
          <w:p w14:paraId="621A5428"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1710</w:t>
            </w:r>
          </w:p>
        </w:tc>
      </w:tr>
      <w:tr w:rsidR="003D3694" w:rsidRPr="00747E35" w14:paraId="10EBDF05" w14:textId="77777777" w:rsidTr="0096743A">
        <w:trPr>
          <w:trHeight w:val="20"/>
          <w:jc w:val="center"/>
        </w:trPr>
        <w:tc>
          <w:tcPr>
            <w:tcW w:w="2518" w:type="dxa"/>
            <w:tcBorders>
              <w:top w:val="nil"/>
              <w:left w:val="nil"/>
              <w:bottom w:val="nil"/>
              <w:right w:val="nil"/>
            </w:tcBorders>
            <w:shd w:val="clear" w:color="auto" w:fill="auto"/>
            <w:vAlign w:val="center"/>
            <w:hideMark/>
          </w:tcPr>
          <w:p w14:paraId="634B50CC" w14:textId="77777777" w:rsidR="003D3694" w:rsidRPr="00747E35" w:rsidRDefault="003D3694" w:rsidP="0096743A">
            <w:pPr>
              <w:pStyle w:val="Tabletext"/>
              <w:spacing w:before="0" w:after="0"/>
              <w:rPr>
                <w:rFonts w:cstheme="minorHAnsi"/>
                <w:lang w:eastAsia="en-GB"/>
              </w:rPr>
            </w:pPr>
          </w:p>
        </w:tc>
        <w:tc>
          <w:tcPr>
            <w:tcW w:w="1950" w:type="dxa"/>
            <w:tcBorders>
              <w:top w:val="nil"/>
              <w:left w:val="nil"/>
              <w:bottom w:val="nil"/>
              <w:right w:val="nil"/>
            </w:tcBorders>
            <w:shd w:val="clear" w:color="auto" w:fill="auto"/>
            <w:vAlign w:val="center"/>
            <w:hideMark/>
          </w:tcPr>
          <w:p w14:paraId="5B679379" w14:textId="77777777" w:rsidR="003D3694" w:rsidRPr="00747E35" w:rsidRDefault="003D3694" w:rsidP="0096743A">
            <w:pPr>
              <w:pStyle w:val="Tabletext"/>
              <w:spacing w:before="0" w:after="0"/>
              <w:rPr>
                <w:rFonts w:cstheme="minorHAnsi"/>
                <w:lang w:eastAsia="en-GB"/>
              </w:rPr>
            </w:pPr>
          </w:p>
        </w:tc>
        <w:tc>
          <w:tcPr>
            <w:tcW w:w="1793" w:type="dxa"/>
            <w:tcBorders>
              <w:top w:val="nil"/>
              <w:left w:val="nil"/>
              <w:bottom w:val="nil"/>
              <w:right w:val="nil"/>
            </w:tcBorders>
            <w:shd w:val="clear" w:color="auto" w:fill="auto"/>
            <w:vAlign w:val="center"/>
            <w:hideMark/>
          </w:tcPr>
          <w:p w14:paraId="2F918258"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Leptophlebiidae</w:t>
            </w:r>
          </w:p>
        </w:tc>
        <w:tc>
          <w:tcPr>
            <w:tcW w:w="2244" w:type="dxa"/>
            <w:tcBorders>
              <w:top w:val="nil"/>
              <w:left w:val="nil"/>
              <w:bottom w:val="nil"/>
              <w:right w:val="nil"/>
            </w:tcBorders>
            <w:shd w:val="clear" w:color="auto" w:fill="auto"/>
            <w:vAlign w:val="center"/>
            <w:hideMark/>
          </w:tcPr>
          <w:p w14:paraId="7C422755"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1320</w:t>
            </w:r>
          </w:p>
        </w:tc>
      </w:tr>
      <w:tr w:rsidR="003D3694" w:rsidRPr="00747E35" w14:paraId="2E634B82" w14:textId="77777777" w:rsidTr="0096743A">
        <w:trPr>
          <w:trHeight w:val="20"/>
          <w:jc w:val="center"/>
        </w:trPr>
        <w:tc>
          <w:tcPr>
            <w:tcW w:w="2518" w:type="dxa"/>
            <w:tcBorders>
              <w:top w:val="nil"/>
              <w:left w:val="nil"/>
              <w:bottom w:val="nil"/>
              <w:right w:val="nil"/>
            </w:tcBorders>
            <w:shd w:val="clear" w:color="auto" w:fill="auto"/>
            <w:vAlign w:val="center"/>
            <w:hideMark/>
          </w:tcPr>
          <w:p w14:paraId="43D76F19" w14:textId="77777777" w:rsidR="003D3694" w:rsidRPr="00747E35" w:rsidRDefault="003D3694" w:rsidP="0096743A">
            <w:pPr>
              <w:pStyle w:val="Tabletext"/>
              <w:spacing w:before="0" w:after="0"/>
              <w:rPr>
                <w:rFonts w:cstheme="minorHAnsi"/>
                <w:lang w:eastAsia="en-GB"/>
              </w:rPr>
            </w:pPr>
          </w:p>
        </w:tc>
        <w:tc>
          <w:tcPr>
            <w:tcW w:w="1950" w:type="dxa"/>
            <w:tcBorders>
              <w:top w:val="nil"/>
              <w:left w:val="nil"/>
              <w:bottom w:val="nil"/>
              <w:right w:val="nil"/>
            </w:tcBorders>
            <w:shd w:val="clear" w:color="auto" w:fill="auto"/>
            <w:vAlign w:val="center"/>
            <w:hideMark/>
          </w:tcPr>
          <w:p w14:paraId="3ACDF955"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2016</w:t>
            </w:r>
          </w:p>
        </w:tc>
        <w:tc>
          <w:tcPr>
            <w:tcW w:w="1793" w:type="dxa"/>
            <w:tcBorders>
              <w:top w:val="nil"/>
              <w:left w:val="nil"/>
              <w:bottom w:val="nil"/>
              <w:right w:val="nil"/>
            </w:tcBorders>
            <w:shd w:val="clear" w:color="auto" w:fill="auto"/>
            <w:vAlign w:val="center"/>
            <w:hideMark/>
          </w:tcPr>
          <w:p w14:paraId="0AE31743"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Elmidae</w:t>
            </w:r>
          </w:p>
        </w:tc>
        <w:tc>
          <w:tcPr>
            <w:tcW w:w="2244" w:type="dxa"/>
            <w:tcBorders>
              <w:top w:val="nil"/>
              <w:left w:val="nil"/>
              <w:bottom w:val="nil"/>
              <w:right w:val="nil"/>
            </w:tcBorders>
            <w:shd w:val="clear" w:color="auto" w:fill="auto"/>
            <w:vAlign w:val="center"/>
            <w:hideMark/>
          </w:tcPr>
          <w:p w14:paraId="45000F99"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1950</w:t>
            </w:r>
          </w:p>
        </w:tc>
      </w:tr>
      <w:tr w:rsidR="003D3694" w:rsidRPr="00747E35" w14:paraId="4A9BF1A8" w14:textId="77777777" w:rsidTr="0096743A">
        <w:trPr>
          <w:trHeight w:val="20"/>
          <w:jc w:val="center"/>
        </w:trPr>
        <w:tc>
          <w:tcPr>
            <w:tcW w:w="2518" w:type="dxa"/>
            <w:tcBorders>
              <w:top w:val="nil"/>
              <w:left w:val="nil"/>
              <w:bottom w:val="nil"/>
              <w:right w:val="nil"/>
            </w:tcBorders>
            <w:shd w:val="clear" w:color="auto" w:fill="auto"/>
            <w:vAlign w:val="center"/>
            <w:hideMark/>
          </w:tcPr>
          <w:p w14:paraId="3254756C" w14:textId="77777777" w:rsidR="003D3694" w:rsidRPr="00747E35" w:rsidRDefault="003D3694" w:rsidP="0096743A">
            <w:pPr>
              <w:pStyle w:val="Tabletext"/>
              <w:spacing w:before="0" w:after="0"/>
              <w:rPr>
                <w:rFonts w:cstheme="minorHAnsi"/>
                <w:lang w:eastAsia="en-GB"/>
              </w:rPr>
            </w:pPr>
          </w:p>
        </w:tc>
        <w:tc>
          <w:tcPr>
            <w:tcW w:w="1950" w:type="dxa"/>
            <w:tcBorders>
              <w:top w:val="nil"/>
              <w:left w:val="nil"/>
              <w:bottom w:val="nil"/>
              <w:right w:val="nil"/>
            </w:tcBorders>
            <w:shd w:val="clear" w:color="auto" w:fill="auto"/>
            <w:vAlign w:val="center"/>
            <w:hideMark/>
          </w:tcPr>
          <w:p w14:paraId="6D2976BD" w14:textId="77777777" w:rsidR="003D3694" w:rsidRPr="00747E35" w:rsidRDefault="003D3694" w:rsidP="0096743A">
            <w:pPr>
              <w:pStyle w:val="Tabletext"/>
              <w:spacing w:before="0" w:after="0"/>
              <w:rPr>
                <w:rFonts w:cstheme="minorHAnsi"/>
                <w:lang w:eastAsia="en-GB"/>
              </w:rPr>
            </w:pPr>
          </w:p>
        </w:tc>
        <w:tc>
          <w:tcPr>
            <w:tcW w:w="1793" w:type="dxa"/>
            <w:tcBorders>
              <w:top w:val="nil"/>
              <w:left w:val="nil"/>
              <w:bottom w:val="nil"/>
              <w:right w:val="nil"/>
            </w:tcBorders>
            <w:shd w:val="clear" w:color="auto" w:fill="auto"/>
            <w:vAlign w:val="center"/>
            <w:hideMark/>
          </w:tcPr>
          <w:p w14:paraId="6ABD2DF0"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Chironominae</w:t>
            </w:r>
          </w:p>
        </w:tc>
        <w:tc>
          <w:tcPr>
            <w:tcW w:w="2244" w:type="dxa"/>
            <w:tcBorders>
              <w:top w:val="nil"/>
              <w:left w:val="nil"/>
              <w:bottom w:val="nil"/>
              <w:right w:val="nil"/>
            </w:tcBorders>
            <w:shd w:val="clear" w:color="auto" w:fill="auto"/>
            <w:vAlign w:val="center"/>
            <w:hideMark/>
          </w:tcPr>
          <w:p w14:paraId="769844FF"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1350</w:t>
            </w:r>
          </w:p>
        </w:tc>
      </w:tr>
      <w:tr w:rsidR="003D3694" w:rsidRPr="00747E35" w14:paraId="6EE7B945" w14:textId="77777777" w:rsidTr="0096743A">
        <w:trPr>
          <w:trHeight w:val="20"/>
          <w:jc w:val="center"/>
        </w:trPr>
        <w:tc>
          <w:tcPr>
            <w:tcW w:w="2518" w:type="dxa"/>
            <w:tcBorders>
              <w:top w:val="nil"/>
              <w:left w:val="nil"/>
              <w:bottom w:val="nil"/>
              <w:right w:val="nil"/>
            </w:tcBorders>
            <w:shd w:val="clear" w:color="auto" w:fill="auto"/>
            <w:vAlign w:val="center"/>
            <w:hideMark/>
          </w:tcPr>
          <w:p w14:paraId="5B92A028" w14:textId="77777777" w:rsidR="003D3694" w:rsidRPr="00747E35" w:rsidRDefault="003D3694" w:rsidP="0096743A">
            <w:pPr>
              <w:pStyle w:val="Tabletext"/>
              <w:spacing w:before="0" w:after="0"/>
              <w:rPr>
                <w:rFonts w:cstheme="minorHAnsi"/>
                <w:lang w:eastAsia="en-GB"/>
              </w:rPr>
            </w:pPr>
          </w:p>
        </w:tc>
        <w:tc>
          <w:tcPr>
            <w:tcW w:w="1950" w:type="dxa"/>
            <w:tcBorders>
              <w:top w:val="nil"/>
              <w:left w:val="nil"/>
              <w:bottom w:val="nil"/>
              <w:right w:val="nil"/>
            </w:tcBorders>
            <w:shd w:val="clear" w:color="auto" w:fill="auto"/>
            <w:vAlign w:val="center"/>
            <w:hideMark/>
          </w:tcPr>
          <w:p w14:paraId="23170E7A" w14:textId="77777777" w:rsidR="003D3694" w:rsidRPr="00747E35" w:rsidRDefault="003D3694" w:rsidP="0096743A">
            <w:pPr>
              <w:pStyle w:val="Tabletext"/>
              <w:spacing w:before="0" w:after="0"/>
              <w:rPr>
                <w:rFonts w:cstheme="minorHAnsi"/>
                <w:lang w:eastAsia="en-GB"/>
              </w:rPr>
            </w:pPr>
          </w:p>
        </w:tc>
        <w:tc>
          <w:tcPr>
            <w:tcW w:w="1793" w:type="dxa"/>
            <w:tcBorders>
              <w:top w:val="nil"/>
              <w:left w:val="nil"/>
              <w:bottom w:val="nil"/>
              <w:right w:val="nil"/>
            </w:tcBorders>
            <w:shd w:val="clear" w:color="auto" w:fill="auto"/>
            <w:vAlign w:val="center"/>
            <w:hideMark/>
          </w:tcPr>
          <w:p w14:paraId="46932008"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Leptophlebiidae</w:t>
            </w:r>
          </w:p>
        </w:tc>
        <w:tc>
          <w:tcPr>
            <w:tcW w:w="2244" w:type="dxa"/>
            <w:tcBorders>
              <w:top w:val="nil"/>
              <w:left w:val="nil"/>
              <w:bottom w:val="nil"/>
              <w:right w:val="nil"/>
            </w:tcBorders>
            <w:shd w:val="clear" w:color="auto" w:fill="auto"/>
            <w:vAlign w:val="center"/>
            <w:hideMark/>
          </w:tcPr>
          <w:p w14:paraId="1540B836"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1260</w:t>
            </w:r>
          </w:p>
        </w:tc>
      </w:tr>
      <w:tr w:rsidR="003D3694" w:rsidRPr="00747E35" w14:paraId="54B98EEF" w14:textId="77777777" w:rsidTr="0096743A">
        <w:trPr>
          <w:trHeight w:val="20"/>
          <w:jc w:val="center"/>
        </w:trPr>
        <w:tc>
          <w:tcPr>
            <w:tcW w:w="2518" w:type="dxa"/>
            <w:tcBorders>
              <w:top w:val="nil"/>
              <w:left w:val="nil"/>
              <w:bottom w:val="nil"/>
              <w:right w:val="nil"/>
            </w:tcBorders>
            <w:shd w:val="clear" w:color="auto" w:fill="auto"/>
            <w:vAlign w:val="center"/>
            <w:hideMark/>
          </w:tcPr>
          <w:p w14:paraId="4ABB7B1C" w14:textId="77777777" w:rsidR="003D3694" w:rsidRPr="00747E35" w:rsidRDefault="003D3694" w:rsidP="0096743A">
            <w:pPr>
              <w:pStyle w:val="Tabletext"/>
              <w:spacing w:before="0" w:after="0"/>
              <w:rPr>
                <w:rFonts w:cstheme="minorHAnsi"/>
                <w:lang w:eastAsia="en-GB"/>
              </w:rPr>
            </w:pPr>
          </w:p>
        </w:tc>
        <w:tc>
          <w:tcPr>
            <w:tcW w:w="1950" w:type="dxa"/>
            <w:tcBorders>
              <w:top w:val="nil"/>
              <w:left w:val="nil"/>
              <w:bottom w:val="nil"/>
              <w:right w:val="nil"/>
            </w:tcBorders>
            <w:shd w:val="clear" w:color="auto" w:fill="auto"/>
            <w:vAlign w:val="center"/>
            <w:hideMark/>
          </w:tcPr>
          <w:p w14:paraId="156EC282" w14:textId="77777777" w:rsidR="003D3694" w:rsidRPr="00747E35" w:rsidRDefault="003D3694" w:rsidP="0096743A">
            <w:pPr>
              <w:pStyle w:val="Tabletext"/>
              <w:spacing w:before="0" w:after="0"/>
              <w:rPr>
                <w:rFonts w:cstheme="minorHAnsi"/>
                <w:lang w:eastAsia="en-GB"/>
              </w:rPr>
            </w:pPr>
          </w:p>
        </w:tc>
        <w:tc>
          <w:tcPr>
            <w:tcW w:w="1793" w:type="dxa"/>
            <w:tcBorders>
              <w:top w:val="nil"/>
              <w:left w:val="nil"/>
              <w:bottom w:val="nil"/>
              <w:right w:val="nil"/>
            </w:tcBorders>
            <w:shd w:val="clear" w:color="auto" w:fill="auto"/>
            <w:vAlign w:val="center"/>
            <w:hideMark/>
          </w:tcPr>
          <w:p w14:paraId="5528A6D4"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Baetidae</w:t>
            </w:r>
          </w:p>
        </w:tc>
        <w:tc>
          <w:tcPr>
            <w:tcW w:w="2244" w:type="dxa"/>
            <w:tcBorders>
              <w:top w:val="nil"/>
              <w:left w:val="nil"/>
              <w:bottom w:val="nil"/>
              <w:right w:val="nil"/>
            </w:tcBorders>
            <w:shd w:val="clear" w:color="auto" w:fill="auto"/>
            <w:vAlign w:val="center"/>
            <w:hideMark/>
          </w:tcPr>
          <w:p w14:paraId="1394F64C"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960</w:t>
            </w:r>
          </w:p>
        </w:tc>
      </w:tr>
      <w:tr w:rsidR="003D3694" w:rsidRPr="00747E35" w14:paraId="185A80E1" w14:textId="77777777" w:rsidTr="0096743A">
        <w:trPr>
          <w:trHeight w:val="20"/>
          <w:jc w:val="center"/>
        </w:trPr>
        <w:tc>
          <w:tcPr>
            <w:tcW w:w="2518" w:type="dxa"/>
            <w:tcBorders>
              <w:top w:val="nil"/>
              <w:left w:val="nil"/>
              <w:bottom w:val="nil"/>
              <w:right w:val="nil"/>
            </w:tcBorders>
            <w:shd w:val="clear" w:color="auto" w:fill="auto"/>
            <w:vAlign w:val="center"/>
            <w:hideMark/>
          </w:tcPr>
          <w:p w14:paraId="6DAD520B" w14:textId="77777777" w:rsidR="003D3694" w:rsidRPr="00747E35" w:rsidRDefault="003D3694" w:rsidP="0096743A">
            <w:pPr>
              <w:pStyle w:val="Tabletext"/>
              <w:spacing w:before="0" w:after="0"/>
              <w:rPr>
                <w:rFonts w:cstheme="minorHAnsi"/>
                <w:lang w:eastAsia="en-GB"/>
              </w:rPr>
            </w:pPr>
          </w:p>
        </w:tc>
        <w:tc>
          <w:tcPr>
            <w:tcW w:w="1950" w:type="dxa"/>
            <w:tcBorders>
              <w:top w:val="nil"/>
              <w:left w:val="nil"/>
              <w:bottom w:val="nil"/>
              <w:right w:val="nil"/>
            </w:tcBorders>
            <w:shd w:val="clear" w:color="auto" w:fill="auto"/>
            <w:vAlign w:val="center"/>
            <w:hideMark/>
          </w:tcPr>
          <w:p w14:paraId="2D316D6D" w14:textId="77777777" w:rsidR="003D3694" w:rsidRPr="00747E35" w:rsidRDefault="003D3694" w:rsidP="0096743A">
            <w:pPr>
              <w:pStyle w:val="Tabletext"/>
              <w:spacing w:before="0" w:after="0"/>
              <w:rPr>
                <w:rFonts w:cstheme="minorHAnsi"/>
                <w:lang w:eastAsia="en-GB"/>
              </w:rPr>
            </w:pPr>
          </w:p>
        </w:tc>
        <w:tc>
          <w:tcPr>
            <w:tcW w:w="1793" w:type="dxa"/>
            <w:tcBorders>
              <w:top w:val="nil"/>
              <w:left w:val="nil"/>
              <w:bottom w:val="nil"/>
              <w:right w:val="nil"/>
            </w:tcBorders>
            <w:shd w:val="clear" w:color="auto" w:fill="auto"/>
            <w:vAlign w:val="center"/>
            <w:hideMark/>
          </w:tcPr>
          <w:p w14:paraId="5C3FCB22"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Cyclopoida</w:t>
            </w:r>
          </w:p>
        </w:tc>
        <w:tc>
          <w:tcPr>
            <w:tcW w:w="2244" w:type="dxa"/>
            <w:tcBorders>
              <w:top w:val="nil"/>
              <w:left w:val="nil"/>
              <w:bottom w:val="nil"/>
              <w:right w:val="nil"/>
            </w:tcBorders>
            <w:shd w:val="clear" w:color="auto" w:fill="auto"/>
            <w:vAlign w:val="center"/>
            <w:hideMark/>
          </w:tcPr>
          <w:p w14:paraId="1660BDB5"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740</w:t>
            </w:r>
          </w:p>
        </w:tc>
      </w:tr>
      <w:tr w:rsidR="003D3694" w:rsidRPr="00747E35" w14:paraId="503A7FE6" w14:textId="77777777" w:rsidTr="0096743A">
        <w:trPr>
          <w:trHeight w:val="20"/>
          <w:jc w:val="center"/>
        </w:trPr>
        <w:tc>
          <w:tcPr>
            <w:tcW w:w="2518" w:type="dxa"/>
            <w:tcBorders>
              <w:top w:val="nil"/>
              <w:left w:val="nil"/>
              <w:bottom w:val="nil"/>
              <w:right w:val="nil"/>
            </w:tcBorders>
            <w:shd w:val="clear" w:color="auto" w:fill="auto"/>
            <w:vAlign w:val="center"/>
            <w:hideMark/>
          </w:tcPr>
          <w:p w14:paraId="630EED16"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Maules Creek catchment</w:t>
            </w:r>
          </w:p>
        </w:tc>
        <w:tc>
          <w:tcPr>
            <w:tcW w:w="1950" w:type="dxa"/>
            <w:tcBorders>
              <w:top w:val="nil"/>
              <w:left w:val="nil"/>
              <w:bottom w:val="nil"/>
              <w:right w:val="nil"/>
            </w:tcBorders>
            <w:shd w:val="clear" w:color="auto" w:fill="auto"/>
            <w:vAlign w:val="center"/>
            <w:hideMark/>
          </w:tcPr>
          <w:p w14:paraId="4EAA4B6B"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2015</w:t>
            </w:r>
          </w:p>
        </w:tc>
        <w:tc>
          <w:tcPr>
            <w:tcW w:w="1793" w:type="dxa"/>
            <w:tcBorders>
              <w:top w:val="nil"/>
              <w:left w:val="nil"/>
              <w:bottom w:val="nil"/>
              <w:right w:val="nil"/>
            </w:tcBorders>
            <w:shd w:val="clear" w:color="auto" w:fill="auto"/>
            <w:vAlign w:val="center"/>
            <w:hideMark/>
          </w:tcPr>
          <w:p w14:paraId="761C2D52"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Chironominae</w:t>
            </w:r>
          </w:p>
        </w:tc>
        <w:tc>
          <w:tcPr>
            <w:tcW w:w="2244" w:type="dxa"/>
            <w:tcBorders>
              <w:top w:val="nil"/>
              <w:left w:val="nil"/>
              <w:bottom w:val="nil"/>
              <w:right w:val="nil"/>
            </w:tcBorders>
            <w:shd w:val="clear" w:color="auto" w:fill="auto"/>
            <w:vAlign w:val="center"/>
            <w:hideMark/>
          </w:tcPr>
          <w:p w14:paraId="3203A0BF"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9350</w:t>
            </w:r>
          </w:p>
        </w:tc>
      </w:tr>
      <w:tr w:rsidR="003D3694" w:rsidRPr="00747E35" w14:paraId="62D35B15" w14:textId="77777777" w:rsidTr="0096743A">
        <w:trPr>
          <w:trHeight w:val="20"/>
          <w:jc w:val="center"/>
        </w:trPr>
        <w:tc>
          <w:tcPr>
            <w:tcW w:w="2518" w:type="dxa"/>
            <w:tcBorders>
              <w:top w:val="nil"/>
              <w:left w:val="nil"/>
              <w:bottom w:val="nil"/>
              <w:right w:val="nil"/>
            </w:tcBorders>
            <w:shd w:val="clear" w:color="auto" w:fill="auto"/>
            <w:vAlign w:val="center"/>
            <w:hideMark/>
          </w:tcPr>
          <w:p w14:paraId="6F498374" w14:textId="77777777" w:rsidR="003D3694" w:rsidRPr="00747E35" w:rsidRDefault="003D3694" w:rsidP="0096743A">
            <w:pPr>
              <w:pStyle w:val="Tabletext"/>
              <w:spacing w:before="0" w:after="0"/>
              <w:rPr>
                <w:rFonts w:cstheme="minorHAnsi"/>
                <w:lang w:eastAsia="en-GB"/>
              </w:rPr>
            </w:pPr>
          </w:p>
        </w:tc>
        <w:tc>
          <w:tcPr>
            <w:tcW w:w="1950" w:type="dxa"/>
            <w:tcBorders>
              <w:top w:val="nil"/>
              <w:left w:val="nil"/>
              <w:bottom w:val="nil"/>
              <w:right w:val="nil"/>
            </w:tcBorders>
            <w:shd w:val="clear" w:color="auto" w:fill="auto"/>
            <w:vAlign w:val="center"/>
            <w:hideMark/>
          </w:tcPr>
          <w:p w14:paraId="7244DE5E" w14:textId="77777777" w:rsidR="003D3694" w:rsidRPr="00747E35" w:rsidRDefault="003D3694" w:rsidP="0096743A">
            <w:pPr>
              <w:pStyle w:val="Tabletext"/>
              <w:spacing w:before="0" w:after="0"/>
              <w:rPr>
                <w:rFonts w:cstheme="minorHAnsi"/>
                <w:lang w:eastAsia="en-GB"/>
              </w:rPr>
            </w:pPr>
          </w:p>
        </w:tc>
        <w:tc>
          <w:tcPr>
            <w:tcW w:w="1793" w:type="dxa"/>
            <w:tcBorders>
              <w:top w:val="nil"/>
              <w:left w:val="nil"/>
              <w:bottom w:val="nil"/>
              <w:right w:val="nil"/>
            </w:tcBorders>
            <w:shd w:val="clear" w:color="auto" w:fill="auto"/>
            <w:vAlign w:val="center"/>
            <w:hideMark/>
          </w:tcPr>
          <w:p w14:paraId="5713A546"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Podocopida</w:t>
            </w:r>
          </w:p>
        </w:tc>
        <w:tc>
          <w:tcPr>
            <w:tcW w:w="2244" w:type="dxa"/>
            <w:tcBorders>
              <w:top w:val="nil"/>
              <w:left w:val="nil"/>
              <w:bottom w:val="nil"/>
              <w:right w:val="nil"/>
            </w:tcBorders>
            <w:shd w:val="clear" w:color="auto" w:fill="auto"/>
            <w:vAlign w:val="center"/>
            <w:hideMark/>
          </w:tcPr>
          <w:p w14:paraId="27B84247"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6160</w:t>
            </w:r>
          </w:p>
        </w:tc>
      </w:tr>
      <w:tr w:rsidR="003D3694" w:rsidRPr="00747E35" w14:paraId="58E71AA0" w14:textId="77777777" w:rsidTr="0096743A">
        <w:trPr>
          <w:trHeight w:val="20"/>
          <w:jc w:val="center"/>
        </w:trPr>
        <w:tc>
          <w:tcPr>
            <w:tcW w:w="2518" w:type="dxa"/>
            <w:tcBorders>
              <w:top w:val="nil"/>
              <w:left w:val="nil"/>
              <w:bottom w:val="nil"/>
              <w:right w:val="nil"/>
            </w:tcBorders>
            <w:shd w:val="clear" w:color="auto" w:fill="auto"/>
            <w:vAlign w:val="center"/>
            <w:hideMark/>
          </w:tcPr>
          <w:p w14:paraId="615A24CB" w14:textId="77777777" w:rsidR="003D3694" w:rsidRPr="00747E35" w:rsidRDefault="003D3694" w:rsidP="0096743A">
            <w:pPr>
              <w:pStyle w:val="Tabletext"/>
              <w:spacing w:before="0" w:after="0"/>
              <w:rPr>
                <w:rFonts w:cstheme="minorHAnsi"/>
                <w:lang w:eastAsia="en-GB"/>
              </w:rPr>
            </w:pPr>
          </w:p>
        </w:tc>
        <w:tc>
          <w:tcPr>
            <w:tcW w:w="1950" w:type="dxa"/>
            <w:tcBorders>
              <w:top w:val="nil"/>
              <w:left w:val="nil"/>
              <w:bottom w:val="nil"/>
              <w:right w:val="nil"/>
            </w:tcBorders>
            <w:shd w:val="clear" w:color="auto" w:fill="auto"/>
            <w:vAlign w:val="center"/>
            <w:hideMark/>
          </w:tcPr>
          <w:p w14:paraId="5A427CBA" w14:textId="77777777" w:rsidR="003D3694" w:rsidRPr="00747E35" w:rsidRDefault="003D3694" w:rsidP="0096743A">
            <w:pPr>
              <w:pStyle w:val="Tabletext"/>
              <w:spacing w:before="0" w:after="0"/>
              <w:rPr>
                <w:rFonts w:cstheme="minorHAnsi"/>
                <w:lang w:eastAsia="en-GB"/>
              </w:rPr>
            </w:pPr>
          </w:p>
        </w:tc>
        <w:tc>
          <w:tcPr>
            <w:tcW w:w="1793" w:type="dxa"/>
            <w:tcBorders>
              <w:top w:val="nil"/>
              <w:left w:val="nil"/>
              <w:bottom w:val="nil"/>
              <w:right w:val="nil"/>
            </w:tcBorders>
            <w:shd w:val="clear" w:color="auto" w:fill="auto"/>
            <w:vAlign w:val="center"/>
            <w:hideMark/>
          </w:tcPr>
          <w:p w14:paraId="43B7C483"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Oligochaeta</w:t>
            </w:r>
          </w:p>
        </w:tc>
        <w:tc>
          <w:tcPr>
            <w:tcW w:w="2244" w:type="dxa"/>
            <w:tcBorders>
              <w:top w:val="nil"/>
              <w:left w:val="nil"/>
              <w:bottom w:val="nil"/>
              <w:right w:val="nil"/>
            </w:tcBorders>
            <w:shd w:val="clear" w:color="auto" w:fill="auto"/>
            <w:vAlign w:val="center"/>
            <w:hideMark/>
          </w:tcPr>
          <w:p w14:paraId="7BFAA05D"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4220</w:t>
            </w:r>
          </w:p>
        </w:tc>
      </w:tr>
      <w:tr w:rsidR="003D3694" w:rsidRPr="00747E35" w14:paraId="25538250" w14:textId="77777777" w:rsidTr="0096743A">
        <w:trPr>
          <w:trHeight w:val="20"/>
          <w:jc w:val="center"/>
        </w:trPr>
        <w:tc>
          <w:tcPr>
            <w:tcW w:w="2518" w:type="dxa"/>
            <w:tcBorders>
              <w:top w:val="nil"/>
              <w:left w:val="nil"/>
              <w:bottom w:val="nil"/>
              <w:right w:val="nil"/>
            </w:tcBorders>
            <w:shd w:val="clear" w:color="auto" w:fill="auto"/>
            <w:vAlign w:val="center"/>
            <w:hideMark/>
          </w:tcPr>
          <w:p w14:paraId="34F55C4B" w14:textId="77777777" w:rsidR="003D3694" w:rsidRPr="00747E35" w:rsidRDefault="003D3694" w:rsidP="0096743A">
            <w:pPr>
              <w:pStyle w:val="Tabletext"/>
              <w:spacing w:before="0" w:after="0"/>
              <w:rPr>
                <w:rFonts w:cstheme="minorHAnsi"/>
                <w:lang w:eastAsia="en-GB"/>
              </w:rPr>
            </w:pPr>
          </w:p>
        </w:tc>
        <w:tc>
          <w:tcPr>
            <w:tcW w:w="1950" w:type="dxa"/>
            <w:tcBorders>
              <w:top w:val="nil"/>
              <w:left w:val="nil"/>
              <w:bottom w:val="nil"/>
              <w:right w:val="nil"/>
            </w:tcBorders>
            <w:shd w:val="clear" w:color="auto" w:fill="auto"/>
            <w:vAlign w:val="center"/>
            <w:hideMark/>
          </w:tcPr>
          <w:p w14:paraId="43E27FDD" w14:textId="77777777" w:rsidR="003D3694" w:rsidRPr="00747E35" w:rsidRDefault="003D3694" w:rsidP="0096743A">
            <w:pPr>
              <w:pStyle w:val="Tabletext"/>
              <w:spacing w:before="0" w:after="0"/>
              <w:rPr>
                <w:rFonts w:cstheme="minorHAnsi"/>
                <w:lang w:eastAsia="en-GB"/>
              </w:rPr>
            </w:pPr>
          </w:p>
        </w:tc>
        <w:tc>
          <w:tcPr>
            <w:tcW w:w="1793" w:type="dxa"/>
            <w:tcBorders>
              <w:top w:val="nil"/>
              <w:left w:val="nil"/>
              <w:bottom w:val="nil"/>
              <w:right w:val="nil"/>
            </w:tcBorders>
            <w:shd w:val="clear" w:color="auto" w:fill="auto"/>
            <w:vAlign w:val="center"/>
            <w:hideMark/>
          </w:tcPr>
          <w:p w14:paraId="63501A39"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Caenidae</w:t>
            </w:r>
          </w:p>
        </w:tc>
        <w:tc>
          <w:tcPr>
            <w:tcW w:w="2244" w:type="dxa"/>
            <w:tcBorders>
              <w:top w:val="nil"/>
              <w:left w:val="nil"/>
              <w:bottom w:val="nil"/>
              <w:right w:val="nil"/>
            </w:tcBorders>
            <w:shd w:val="clear" w:color="auto" w:fill="auto"/>
            <w:vAlign w:val="center"/>
            <w:hideMark/>
          </w:tcPr>
          <w:p w14:paraId="130AEDDA"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2730</w:t>
            </w:r>
          </w:p>
        </w:tc>
      </w:tr>
      <w:tr w:rsidR="003D3694" w:rsidRPr="00747E35" w14:paraId="63252BF4" w14:textId="77777777" w:rsidTr="0096743A">
        <w:trPr>
          <w:trHeight w:val="20"/>
          <w:jc w:val="center"/>
        </w:trPr>
        <w:tc>
          <w:tcPr>
            <w:tcW w:w="2518" w:type="dxa"/>
            <w:tcBorders>
              <w:top w:val="nil"/>
              <w:left w:val="nil"/>
              <w:bottom w:val="nil"/>
              <w:right w:val="nil"/>
            </w:tcBorders>
            <w:shd w:val="clear" w:color="auto" w:fill="auto"/>
            <w:vAlign w:val="center"/>
            <w:hideMark/>
          </w:tcPr>
          <w:p w14:paraId="0FBB00CC" w14:textId="77777777" w:rsidR="003D3694" w:rsidRPr="00747E35" w:rsidRDefault="003D3694" w:rsidP="0096743A">
            <w:pPr>
              <w:pStyle w:val="Tabletext"/>
              <w:spacing w:before="0" w:after="0"/>
              <w:rPr>
                <w:rFonts w:cstheme="minorHAnsi"/>
                <w:lang w:eastAsia="en-GB"/>
              </w:rPr>
            </w:pPr>
          </w:p>
        </w:tc>
        <w:tc>
          <w:tcPr>
            <w:tcW w:w="1950" w:type="dxa"/>
            <w:tcBorders>
              <w:top w:val="nil"/>
              <w:left w:val="nil"/>
              <w:bottom w:val="nil"/>
              <w:right w:val="nil"/>
            </w:tcBorders>
            <w:shd w:val="clear" w:color="auto" w:fill="auto"/>
            <w:vAlign w:val="center"/>
            <w:hideMark/>
          </w:tcPr>
          <w:p w14:paraId="141A3B66" w14:textId="77777777" w:rsidR="003D3694" w:rsidRPr="00747E35" w:rsidRDefault="003D3694" w:rsidP="0096743A">
            <w:pPr>
              <w:pStyle w:val="Tabletext"/>
              <w:spacing w:before="0" w:after="0"/>
              <w:rPr>
                <w:rFonts w:cstheme="minorHAnsi"/>
                <w:lang w:eastAsia="en-GB"/>
              </w:rPr>
            </w:pPr>
          </w:p>
        </w:tc>
        <w:tc>
          <w:tcPr>
            <w:tcW w:w="1793" w:type="dxa"/>
            <w:tcBorders>
              <w:top w:val="nil"/>
              <w:left w:val="nil"/>
              <w:bottom w:val="nil"/>
              <w:right w:val="nil"/>
            </w:tcBorders>
            <w:shd w:val="clear" w:color="auto" w:fill="auto"/>
            <w:vAlign w:val="center"/>
            <w:hideMark/>
          </w:tcPr>
          <w:p w14:paraId="4D656EC0"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Cyclopoida</w:t>
            </w:r>
          </w:p>
        </w:tc>
        <w:tc>
          <w:tcPr>
            <w:tcW w:w="2244" w:type="dxa"/>
            <w:tcBorders>
              <w:top w:val="nil"/>
              <w:left w:val="nil"/>
              <w:bottom w:val="nil"/>
              <w:right w:val="nil"/>
            </w:tcBorders>
            <w:shd w:val="clear" w:color="auto" w:fill="auto"/>
            <w:vAlign w:val="center"/>
            <w:hideMark/>
          </w:tcPr>
          <w:p w14:paraId="4756AC84"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1090</w:t>
            </w:r>
          </w:p>
        </w:tc>
      </w:tr>
      <w:tr w:rsidR="003D3694" w:rsidRPr="00747E35" w14:paraId="27130342" w14:textId="77777777" w:rsidTr="0096743A">
        <w:trPr>
          <w:trHeight w:val="20"/>
          <w:jc w:val="center"/>
        </w:trPr>
        <w:tc>
          <w:tcPr>
            <w:tcW w:w="2518" w:type="dxa"/>
            <w:tcBorders>
              <w:top w:val="nil"/>
              <w:left w:val="nil"/>
              <w:bottom w:val="nil"/>
              <w:right w:val="nil"/>
            </w:tcBorders>
            <w:shd w:val="clear" w:color="auto" w:fill="auto"/>
            <w:vAlign w:val="center"/>
            <w:hideMark/>
          </w:tcPr>
          <w:p w14:paraId="24140DFA" w14:textId="77777777" w:rsidR="003D3694" w:rsidRPr="00747E35" w:rsidRDefault="003D3694" w:rsidP="0096743A">
            <w:pPr>
              <w:pStyle w:val="Tabletext"/>
              <w:spacing w:before="0" w:after="0"/>
              <w:rPr>
                <w:rFonts w:cstheme="minorHAnsi"/>
                <w:lang w:eastAsia="en-GB"/>
              </w:rPr>
            </w:pPr>
          </w:p>
        </w:tc>
        <w:tc>
          <w:tcPr>
            <w:tcW w:w="1950" w:type="dxa"/>
            <w:tcBorders>
              <w:top w:val="nil"/>
              <w:left w:val="nil"/>
              <w:bottom w:val="nil"/>
              <w:right w:val="nil"/>
            </w:tcBorders>
            <w:shd w:val="clear" w:color="auto" w:fill="auto"/>
            <w:vAlign w:val="center"/>
            <w:hideMark/>
          </w:tcPr>
          <w:p w14:paraId="3068FD99"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2016</w:t>
            </w:r>
          </w:p>
        </w:tc>
        <w:tc>
          <w:tcPr>
            <w:tcW w:w="1793" w:type="dxa"/>
            <w:tcBorders>
              <w:top w:val="nil"/>
              <w:left w:val="nil"/>
              <w:bottom w:val="nil"/>
              <w:right w:val="nil"/>
            </w:tcBorders>
            <w:shd w:val="clear" w:color="auto" w:fill="auto"/>
            <w:vAlign w:val="center"/>
            <w:hideMark/>
          </w:tcPr>
          <w:p w14:paraId="46D59EE3"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Chironominae</w:t>
            </w:r>
          </w:p>
        </w:tc>
        <w:tc>
          <w:tcPr>
            <w:tcW w:w="2244" w:type="dxa"/>
            <w:tcBorders>
              <w:top w:val="nil"/>
              <w:left w:val="nil"/>
              <w:bottom w:val="nil"/>
              <w:right w:val="nil"/>
            </w:tcBorders>
            <w:shd w:val="clear" w:color="auto" w:fill="auto"/>
            <w:vAlign w:val="center"/>
            <w:hideMark/>
          </w:tcPr>
          <w:p w14:paraId="0C3D4F2C"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1030</w:t>
            </w:r>
          </w:p>
        </w:tc>
      </w:tr>
      <w:tr w:rsidR="003D3694" w:rsidRPr="00747E35" w14:paraId="0094EA43" w14:textId="77777777" w:rsidTr="0096743A">
        <w:trPr>
          <w:trHeight w:val="20"/>
          <w:jc w:val="center"/>
        </w:trPr>
        <w:tc>
          <w:tcPr>
            <w:tcW w:w="2518" w:type="dxa"/>
            <w:tcBorders>
              <w:top w:val="nil"/>
              <w:left w:val="nil"/>
              <w:bottom w:val="nil"/>
              <w:right w:val="nil"/>
            </w:tcBorders>
            <w:shd w:val="clear" w:color="auto" w:fill="auto"/>
            <w:vAlign w:val="center"/>
            <w:hideMark/>
          </w:tcPr>
          <w:p w14:paraId="1F70BE44" w14:textId="77777777" w:rsidR="003D3694" w:rsidRPr="00747E35" w:rsidRDefault="003D3694" w:rsidP="0096743A">
            <w:pPr>
              <w:pStyle w:val="Tabletext"/>
              <w:spacing w:before="0" w:after="0"/>
              <w:rPr>
                <w:rFonts w:cstheme="minorHAnsi"/>
                <w:lang w:eastAsia="en-GB"/>
              </w:rPr>
            </w:pPr>
          </w:p>
        </w:tc>
        <w:tc>
          <w:tcPr>
            <w:tcW w:w="1950" w:type="dxa"/>
            <w:tcBorders>
              <w:top w:val="nil"/>
              <w:left w:val="nil"/>
              <w:bottom w:val="nil"/>
              <w:right w:val="nil"/>
            </w:tcBorders>
            <w:shd w:val="clear" w:color="auto" w:fill="auto"/>
            <w:vAlign w:val="center"/>
            <w:hideMark/>
          </w:tcPr>
          <w:p w14:paraId="433FEE86" w14:textId="77777777" w:rsidR="003D3694" w:rsidRPr="00747E35" w:rsidRDefault="003D3694" w:rsidP="0096743A">
            <w:pPr>
              <w:pStyle w:val="Tabletext"/>
              <w:spacing w:before="0" w:after="0"/>
              <w:rPr>
                <w:rFonts w:cstheme="minorHAnsi"/>
                <w:lang w:eastAsia="en-GB"/>
              </w:rPr>
            </w:pPr>
          </w:p>
        </w:tc>
        <w:tc>
          <w:tcPr>
            <w:tcW w:w="1793" w:type="dxa"/>
            <w:tcBorders>
              <w:top w:val="nil"/>
              <w:left w:val="nil"/>
              <w:bottom w:val="nil"/>
              <w:right w:val="nil"/>
            </w:tcBorders>
            <w:shd w:val="clear" w:color="auto" w:fill="auto"/>
            <w:vAlign w:val="center"/>
            <w:hideMark/>
          </w:tcPr>
          <w:p w14:paraId="06AE70E3"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Podocopida</w:t>
            </w:r>
          </w:p>
        </w:tc>
        <w:tc>
          <w:tcPr>
            <w:tcW w:w="2244" w:type="dxa"/>
            <w:tcBorders>
              <w:top w:val="nil"/>
              <w:left w:val="nil"/>
              <w:bottom w:val="nil"/>
              <w:right w:val="nil"/>
            </w:tcBorders>
            <w:shd w:val="clear" w:color="auto" w:fill="auto"/>
            <w:vAlign w:val="center"/>
            <w:hideMark/>
          </w:tcPr>
          <w:p w14:paraId="6D2D5EA6"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440</w:t>
            </w:r>
          </w:p>
        </w:tc>
      </w:tr>
      <w:tr w:rsidR="003D3694" w:rsidRPr="00747E35" w14:paraId="0B7B4D88" w14:textId="77777777" w:rsidTr="0096743A">
        <w:trPr>
          <w:trHeight w:val="20"/>
          <w:jc w:val="center"/>
        </w:trPr>
        <w:tc>
          <w:tcPr>
            <w:tcW w:w="2518" w:type="dxa"/>
            <w:tcBorders>
              <w:top w:val="nil"/>
              <w:left w:val="nil"/>
              <w:bottom w:val="nil"/>
              <w:right w:val="nil"/>
            </w:tcBorders>
            <w:shd w:val="clear" w:color="auto" w:fill="auto"/>
            <w:vAlign w:val="center"/>
            <w:hideMark/>
          </w:tcPr>
          <w:p w14:paraId="6BEBCBCD" w14:textId="77777777" w:rsidR="003D3694" w:rsidRPr="00747E35" w:rsidRDefault="003D3694" w:rsidP="0096743A">
            <w:pPr>
              <w:pStyle w:val="Tabletext"/>
              <w:spacing w:before="0" w:after="0"/>
              <w:rPr>
                <w:rFonts w:cstheme="minorHAnsi"/>
                <w:lang w:eastAsia="en-GB"/>
              </w:rPr>
            </w:pPr>
          </w:p>
        </w:tc>
        <w:tc>
          <w:tcPr>
            <w:tcW w:w="1950" w:type="dxa"/>
            <w:tcBorders>
              <w:top w:val="nil"/>
              <w:left w:val="nil"/>
              <w:bottom w:val="nil"/>
              <w:right w:val="nil"/>
            </w:tcBorders>
            <w:shd w:val="clear" w:color="auto" w:fill="auto"/>
            <w:vAlign w:val="center"/>
            <w:hideMark/>
          </w:tcPr>
          <w:p w14:paraId="4FF671E8" w14:textId="77777777" w:rsidR="003D3694" w:rsidRPr="00747E35" w:rsidRDefault="003D3694" w:rsidP="0096743A">
            <w:pPr>
              <w:pStyle w:val="Tabletext"/>
              <w:spacing w:before="0" w:after="0"/>
              <w:rPr>
                <w:rFonts w:cstheme="minorHAnsi"/>
                <w:lang w:eastAsia="en-GB"/>
              </w:rPr>
            </w:pPr>
          </w:p>
        </w:tc>
        <w:tc>
          <w:tcPr>
            <w:tcW w:w="1793" w:type="dxa"/>
            <w:tcBorders>
              <w:top w:val="nil"/>
              <w:left w:val="nil"/>
              <w:bottom w:val="nil"/>
              <w:right w:val="nil"/>
            </w:tcBorders>
            <w:shd w:val="clear" w:color="auto" w:fill="auto"/>
            <w:vAlign w:val="center"/>
            <w:hideMark/>
          </w:tcPr>
          <w:p w14:paraId="3C7CAF04"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Caenidae</w:t>
            </w:r>
          </w:p>
        </w:tc>
        <w:tc>
          <w:tcPr>
            <w:tcW w:w="2244" w:type="dxa"/>
            <w:tcBorders>
              <w:top w:val="nil"/>
              <w:left w:val="nil"/>
              <w:bottom w:val="nil"/>
              <w:right w:val="nil"/>
            </w:tcBorders>
            <w:shd w:val="clear" w:color="auto" w:fill="auto"/>
            <w:vAlign w:val="center"/>
            <w:hideMark/>
          </w:tcPr>
          <w:p w14:paraId="16530F36"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160</w:t>
            </w:r>
          </w:p>
        </w:tc>
      </w:tr>
      <w:tr w:rsidR="003D3694" w:rsidRPr="00747E35" w14:paraId="0EA7E7F4" w14:textId="77777777" w:rsidTr="0096743A">
        <w:trPr>
          <w:trHeight w:val="20"/>
          <w:jc w:val="center"/>
        </w:trPr>
        <w:tc>
          <w:tcPr>
            <w:tcW w:w="2518" w:type="dxa"/>
            <w:tcBorders>
              <w:top w:val="nil"/>
              <w:left w:val="nil"/>
              <w:bottom w:val="nil"/>
              <w:right w:val="nil"/>
            </w:tcBorders>
            <w:shd w:val="clear" w:color="auto" w:fill="auto"/>
            <w:vAlign w:val="center"/>
            <w:hideMark/>
          </w:tcPr>
          <w:p w14:paraId="145A15C1" w14:textId="77777777" w:rsidR="003D3694" w:rsidRPr="00747E35" w:rsidRDefault="003D3694" w:rsidP="0096743A">
            <w:pPr>
              <w:pStyle w:val="Tabletext"/>
              <w:spacing w:before="0" w:after="0"/>
              <w:rPr>
                <w:rFonts w:cstheme="minorHAnsi"/>
                <w:lang w:eastAsia="en-GB"/>
              </w:rPr>
            </w:pPr>
          </w:p>
        </w:tc>
        <w:tc>
          <w:tcPr>
            <w:tcW w:w="1950" w:type="dxa"/>
            <w:tcBorders>
              <w:top w:val="nil"/>
              <w:left w:val="nil"/>
              <w:bottom w:val="nil"/>
              <w:right w:val="nil"/>
            </w:tcBorders>
            <w:shd w:val="clear" w:color="auto" w:fill="auto"/>
            <w:vAlign w:val="center"/>
            <w:hideMark/>
          </w:tcPr>
          <w:p w14:paraId="5F013B31" w14:textId="77777777" w:rsidR="003D3694" w:rsidRPr="00747E35" w:rsidRDefault="003D3694" w:rsidP="0096743A">
            <w:pPr>
              <w:pStyle w:val="Tabletext"/>
              <w:spacing w:before="0" w:after="0"/>
              <w:rPr>
                <w:rFonts w:cstheme="minorHAnsi"/>
                <w:lang w:eastAsia="en-GB"/>
              </w:rPr>
            </w:pPr>
          </w:p>
        </w:tc>
        <w:tc>
          <w:tcPr>
            <w:tcW w:w="1793" w:type="dxa"/>
            <w:tcBorders>
              <w:top w:val="nil"/>
              <w:left w:val="nil"/>
              <w:bottom w:val="nil"/>
              <w:right w:val="nil"/>
            </w:tcBorders>
            <w:shd w:val="clear" w:color="auto" w:fill="auto"/>
            <w:vAlign w:val="center"/>
            <w:hideMark/>
          </w:tcPr>
          <w:p w14:paraId="4D48BBD7"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Cyclopoida</w:t>
            </w:r>
          </w:p>
        </w:tc>
        <w:tc>
          <w:tcPr>
            <w:tcW w:w="2244" w:type="dxa"/>
            <w:tcBorders>
              <w:top w:val="nil"/>
              <w:left w:val="nil"/>
              <w:bottom w:val="nil"/>
              <w:right w:val="nil"/>
            </w:tcBorders>
            <w:shd w:val="clear" w:color="auto" w:fill="auto"/>
            <w:vAlign w:val="center"/>
            <w:hideMark/>
          </w:tcPr>
          <w:p w14:paraId="7A5AF64D"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150</w:t>
            </w:r>
          </w:p>
        </w:tc>
      </w:tr>
      <w:tr w:rsidR="003D3694" w:rsidRPr="00747E35" w14:paraId="1FB229F3" w14:textId="77777777" w:rsidTr="0096743A">
        <w:trPr>
          <w:trHeight w:val="20"/>
          <w:jc w:val="center"/>
        </w:trPr>
        <w:tc>
          <w:tcPr>
            <w:tcW w:w="2518" w:type="dxa"/>
            <w:tcBorders>
              <w:top w:val="nil"/>
              <w:left w:val="nil"/>
              <w:bottom w:val="single" w:sz="12" w:space="0" w:color="6D6D6D"/>
              <w:right w:val="nil"/>
            </w:tcBorders>
            <w:shd w:val="clear" w:color="auto" w:fill="auto"/>
            <w:vAlign w:val="center"/>
            <w:hideMark/>
          </w:tcPr>
          <w:p w14:paraId="5A7A3868"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 </w:t>
            </w:r>
          </w:p>
        </w:tc>
        <w:tc>
          <w:tcPr>
            <w:tcW w:w="1950" w:type="dxa"/>
            <w:tcBorders>
              <w:top w:val="nil"/>
              <w:left w:val="nil"/>
              <w:bottom w:val="single" w:sz="12" w:space="0" w:color="6D6D6D"/>
              <w:right w:val="nil"/>
            </w:tcBorders>
            <w:shd w:val="clear" w:color="auto" w:fill="auto"/>
            <w:vAlign w:val="center"/>
            <w:hideMark/>
          </w:tcPr>
          <w:p w14:paraId="1DD2D389"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 </w:t>
            </w:r>
          </w:p>
        </w:tc>
        <w:tc>
          <w:tcPr>
            <w:tcW w:w="1793" w:type="dxa"/>
            <w:tcBorders>
              <w:top w:val="nil"/>
              <w:left w:val="nil"/>
              <w:bottom w:val="single" w:sz="12" w:space="0" w:color="6D6D6D"/>
              <w:right w:val="nil"/>
            </w:tcBorders>
            <w:shd w:val="clear" w:color="auto" w:fill="auto"/>
            <w:vAlign w:val="center"/>
            <w:hideMark/>
          </w:tcPr>
          <w:p w14:paraId="3C09FBDF"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Corixidae</w:t>
            </w:r>
          </w:p>
        </w:tc>
        <w:tc>
          <w:tcPr>
            <w:tcW w:w="2244" w:type="dxa"/>
            <w:tcBorders>
              <w:top w:val="nil"/>
              <w:left w:val="nil"/>
              <w:bottom w:val="single" w:sz="12" w:space="0" w:color="6D6D6D"/>
              <w:right w:val="nil"/>
            </w:tcBorders>
            <w:shd w:val="clear" w:color="auto" w:fill="auto"/>
            <w:vAlign w:val="center"/>
            <w:hideMark/>
          </w:tcPr>
          <w:p w14:paraId="66107054" w14:textId="77777777" w:rsidR="003D3694" w:rsidRPr="00747E35" w:rsidRDefault="003D3694" w:rsidP="0096743A">
            <w:pPr>
              <w:pStyle w:val="Tabletext"/>
              <w:spacing w:before="0" w:after="0"/>
              <w:rPr>
                <w:rFonts w:cstheme="minorHAnsi"/>
                <w:lang w:val="en-GB" w:eastAsia="en-GB"/>
              </w:rPr>
            </w:pPr>
            <w:r w:rsidRPr="00747E35">
              <w:rPr>
                <w:rFonts w:cstheme="minorHAnsi"/>
                <w:lang w:eastAsia="en-GB"/>
              </w:rPr>
              <w:t>100</w:t>
            </w:r>
          </w:p>
        </w:tc>
      </w:tr>
    </w:tbl>
    <w:p w14:paraId="1100042E" w14:textId="77777777" w:rsidR="003D3694" w:rsidRPr="00747E35" w:rsidRDefault="003D3694" w:rsidP="003D3694">
      <w:pPr>
        <w:rPr>
          <w:rFonts w:asciiTheme="minorHAnsi" w:hAnsiTheme="minorHAnsi" w:cstheme="minorHAnsi"/>
        </w:rPr>
      </w:pPr>
    </w:p>
    <w:p w14:paraId="48AD1554"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13439B55" wp14:editId="49C99419">
            <wp:extent cx="4901609" cy="4901609"/>
            <wp:effectExtent l="0" t="0" r="0" b="0"/>
            <wp:docPr id="7220" name="Picture 7220" descr="Bar charts for total abundance, species richness, EPT richness, and sign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onent%202/Inverts/brem_invert_plots.png"/>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4912555" cy="4912555"/>
                    </a:xfrm>
                    <a:prstGeom prst="rect">
                      <a:avLst/>
                    </a:prstGeom>
                    <a:noFill/>
                    <a:ln>
                      <a:noFill/>
                    </a:ln>
                  </pic:spPr>
                </pic:pic>
              </a:graphicData>
            </a:graphic>
          </wp:inline>
        </w:drawing>
      </w:r>
    </w:p>
    <w:p w14:paraId="33180F55" w14:textId="77777777" w:rsidR="003D3694" w:rsidRPr="00747E35" w:rsidRDefault="003D3694" w:rsidP="00D84CF8">
      <w:pPr>
        <w:pStyle w:val="Caption"/>
        <w:numPr>
          <w:ilvl w:val="0"/>
          <w:numId w:val="0"/>
        </w:numPr>
        <w:rPr>
          <w:rFonts w:cstheme="minorHAnsi"/>
        </w:rPr>
      </w:pPr>
      <w:bookmarkStart w:id="172" w:name="_Ref466216184"/>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58</w:t>
      </w:r>
      <w:r w:rsidR="009D6600" w:rsidRPr="00747E35">
        <w:rPr>
          <w:rFonts w:cstheme="minorHAnsi"/>
          <w:noProof/>
        </w:rPr>
        <w:fldChar w:fldCharType="end"/>
      </w:r>
      <w:bookmarkEnd w:id="172"/>
      <w:r w:rsidRPr="00747E35">
        <w:rPr>
          <w:rFonts w:cstheme="minorHAnsi"/>
        </w:rPr>
        <w:t>. Plots showing macroinvertebrate assemblage characteristics at sites within the upper Bremer River catchment.</w:t>
      </w:r>
    </w:p>
    <w:p w14:paraId="3D110539" w14:textId="77777777" w:rsidR="003D3694" w:rsidRPr="00747E35" w:rsidRDefault="003D3694" w:rsidP="003D3694">
      <w:pPr>
        <w:rPr>
          <w:rFonts w:asciiTheme="minorHAnsi" w:hAnsiTheme="minorHAnsi" w:cstheme="minorHAnsi"/>
        </w:rPr>
      </w:pPr>
    </w:p>
    <w:p w14:paraId="51023146" w14:textId="77777777" w:rsidR="003D3694" w:rsidRPr="00747E35" w:rsidRDefault="003D3694" w:rsidP="003D3694">
      <w:pPr>
        <w:rPr>
          <w:rFonts w:asciiTheme="minorHAnsi" w:hAnsiTheme="minorHAnsi" w:cstheme="minorHAnsi"/>
        </w:rPr>
      </w:pPr>
    </w:p>
    <w:p w14:paraId="5C2934E7"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69F75DA9" wp14:editId="0657E10B">
            <wp:extent cx="6106160" cy="6106160"/>
            <wp:effectExtent l="0" t="0" r="8890" b="8890"/>
            <wp:docPr id="7221" name="Picture 7221" descr="Bar charts for total abundance, species richness, EPT richness, and sign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ponent%202/Inverts/maules_invert_plots.png"/>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6106160" cy="6106160"/>
                    </a:xfrm>
                    <a:prstGeom prst="rect">
                      <a:avLst/>
                    </a:prstGeom>
                    <a:noFill/>
                    <a:ln>
                      <a:noFill/>
                    </a:ln>
                  </pic:spPr>
                </pic:pic>
              </a:graphicData>
            </a:graphic>
          </wp:inline>
        </w:drawing>
      </w:r>
    </w:p>
    <w:p w14:paraId="33DF6007" w14:textId="77777777" w:rsidR="003D3694" w:rsidRPr="00747E35" w:rsidRDefault="003D3694" w:rsidP="00566456">
      <w:pPr>
        <w:pStyle w:val="Caption"/>
        <w:numPr>
          <w:ilvl w:val="0"/>
          <w:numId w:val="0"/>
        </w:numPr>
        <w:rPr>
          <w:rFonts w:cstheme="minorHAnsi"/>
          <w:lang w:eastAsia="en-AU"/>
        </w:rPr>
      </w:pPr>
      <w:bookmarkStart w:id="173" w:name="_Ref466216790"/>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59</w:t>
      </w:r>
      <w:r w:rsidR="009D6600" w:rsidRPr="00747E35">
        <w:rPr>
          <w:rFonts w:cstheme="minorHAnsi"/>
          <w:noProof/>
        </w:rPr>
        <w:fldChar w:fldCharType="end"/>
      </w:r>
      <w:bookmarkEnd w:id="173"/>
      <w:r w:rsidRPr="00747E35">
        <w:rPr>
          <w:rFonts w:cstheme="minorHAnsi"/>
        </w:rPr>
        <w:t>. Plots showing macroinvertebrate assemblage characteristics at sites within the Maules Creek catchment.</w:t>
      </w:r>
    </w:p>
    <w:p w14:paraId="1B73CBC8" w14:textId="77777777" w:rsidR="003D3694" w:rsidRPr="00747E35" w:rsidRDefault="003D3694" w:rsidP="003D3694">
      <w:pPr>
        <w:rPr>
          <w:rFonts w:asciiTheme="minorHAnsi" w:hAnsiTheme="minorHAnsi" w:cstheme="minorHAnsi"/>
          <w:lang w:eastAsia="en-AU"/>
        </w:rPr>
      </w:pPr>
    </w:p>
    <w:p w14:paraId="445D65F6"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5BCD6793" wp14:editId="3012B655">
            <wp:extent cx="5810681" cy="7810500"/>
            <wp:effectExtent l="0" t="0" r="0" b="0"/>
            <wp:docPr id="7222" name="Picture 7222" descr="Bi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gMDS1.tif"/>
                    <pic:cNvPicPr/>
                  </pic:nvPicPr>
                  <pic:blipFill>
                    <a:blip r:embed="rId105" cstate="screen">
                      <a:extLst>
                        <a:ext uri="{28A0092B-C50C-407E-A947-70E740481C1C}">
                          <a14:useLocalDpi xmlns:a14="http://schemas.microsoft.com/office/drawing/2010/main"/>
                        </a:ext>
                      </a:extLst>
                    </a:blip>
                    <a:stretch>
                      <a:fillRect/>
                    </a:stretch>
                  </pic:blipFill>
                  <pic:spPr>
                    <a:xfrm>
                      <a:off x="0" y="0"/>
                      <a:ext cx="5811778" cy="7811975"/>
                    </a:xfrm>
                    <a:prstGeom prst="rect">
                      <a:avLst/>
                    </a:prstGeom>
                  </pic:spPr>
                </pic:pic>
              </a:graphicData>
            </a:graphic>
          </wp:inline>
        </w:drawing>
      </w:r>
    </w:p>
    <w:p w14:paraId="4E1D71F2" w14:textId="77777777" w:rsidR="003D3694" w:rsidRPr="00747E35" w:rsidRDefault="003D3694" w:rsidP="00566456">
      <w:pPr>
        <w:pStyle w:val="Caption"/>
        <w:numPr>
          <w:ilvl w:val="0"/>
          <w:numId w:val="0"/>
        </w:numPr>
        <w:rPr>
          <w:rFonts w:cstheme="minorHAnsi"/>
          <w:lang w:eastAsia="en-AU"/>
        </w:rPr>
      </w:pPr>
      <w:bookmarkStart w:id="174" w:name="_Ref466216869"/>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60</w:t>
      </w:r>
      <w:r w:rsidR="009D6600" w:rsidRPr="00747E35">
        <w:rPr>
          <w:rFonts w:cstheme="minorHAnsi"/>
          <w:noProof/>
        </w:rPr>
        <w:fldChar w:fldCharType="end"/>
      </w:r>
      <w:bookmarkEnd w:id="174"/>
      <w:r w:rsidRPr="00747E35">
        <w:rPr>
          <w:rFonts w:cstheme="minorHAnsi"/>
        </w:rPr>
        <w:t>. Plots showing results from non-metric multidimensional scaling applied to invertebrate data within the upper Bremer River catchment. The two plots show the same sites with arrows indicating taxa (top plot) and enviro</w:t>
      </w:r>
      <w:r w:rsidRPr="00747E35">
        <w:rPr>
          <w:rFonts w:cstheme="minorHAnsi"/>
          <w:noProof/>
        </w:rPr>
        <w:t>nmental variables (bottom plot) discriminating among sites. Variables with a correlation &gt;0.3 are shown. SRP (soluble reactive phosphorus).</w:t>
      </w:r>
    </w:p>
    <w:p w14:paraId="5AA93A1D" w14:textId="77777777" w:rsidR="003D3694" w:rsidRPr="00747E35" w:rsidRDefault="003D3694" w:rsidP="003D3694">
      <w:pPr>
        <w:rPr>
          <w:rFonts w:asciiTheme="minorHAnsi" w:hAnsiTheme="minorHAnsi" w:cstheme="minorHAnsi"/>
          <w:lang w:eastAsia="en-AU"/>
        </w:rPr>
      </w:pPr>
    </w:p>
    <w:p w14:paraId="29274546" w14:textId="77777777" w:rsidR="003D3694" w:rsidRPr="00747E35" w:rsidRDefault="003D3694" w:rsidP="003D3694">
      <w:pPr>
        <w:rPr>
          <w:rFonts w:asciiTheme="minorHAnsi" w:hAnsiTheme="minorHAnsi" w:cstheme="minorHAnsi"/>
          <w:lang w:eastAsia="en-AU"/>
        </w:rPr>
      </w:pPr>
    </w:p>
    <w:p w14:paraId="629966FE"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396CB62F" wp14:editId="158D0431">
            <wp:extent cx="5576357" cy="4152900"/>
            <wp:effectExtent l="0" t="0" r="5715" b="0"/>
            <wp:docPr id="7223" name="Picture 7223" descr="Bi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gMDS2.tif"/>
                    <pic:cNvPicPr/>
                  </pic:nvPicPr>
                  <pic:blipFill>
                    <a:blip r:embed="rId106" cstate="screen">
                      <a:extLst>
                        <a:ext uri="{28A0092B-C50C-407E-A947-70E740481C1C}">
                          <a14:useLocalDpi xmlns:a14="http://schemas.microsoft.com/office/drawing/2010/main"/>
                        </a:ext>
                      </a:extLst>
                    </a:blip>
                    <a:stretch>
                      <a:fillRect/>
                    </a:stretch>
                  </pic:blipFill>
                  <pic:spPr>
                    <a:xfrm>
                      <a:off x="0" y="0"/>
                      <a:ext cx="5581544" cy="4156763"/>
                    </a:xfrm>
                    <a:prstGeom prst="rect">
                      <a:avLst/>
                    </a:prstGeom>
                  </pic:spPr>
                </pic:pic>
              </a:graphicData>
            </a:graphic>
          </wp:inline>
        </w:drawing>
      </w:r>
    </w:p>
    <w:p w14:paraId="321112F0" w14:textId="77777777" w:rsidR="003D3694" w:rsidRPr="00747E35" w:rsidRDefault="003D3694" w:rsidP="00566456">
      <w:pPr>
        <w:pStyle w:val="Caption"/>
        <w:numPr>
          <w:ilvl w:val="0"/>
          <w:numId w:val="0"/>
        </w:numPr>
        <w:rPr>
          <w:rFonts w:cstheme="minorHAnsi"/>
          <w:lang w:eastAsia="en-AU"/>
        </w:rPr>
      </w:pPr>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61</w:t>
      </w:r>
      <w:r w:rsidR="009D6600" w:rsidRPr="00747E35">
        <w:rPr>
          <w:rFonts w:cstheme="minorHAnsi"/>
          <w:noProof/>
        </w:rPr>
        <w:fldChar w:fldCharType="end"/>
      </w:r>
      <w:r w:rsidRPr="00747E35">
        <w:rPr>
          <w:rFonts w:cstheme="minorHAnsi"/>
        </w:rPr>
        <w:t>. Plots showing results from non-metric multidimensional scaling applied to invertebrate data within the Maules Creek catchment. No physical variables showed strong discriminating power (r&gt;0.3) so only the plot showing the single (snail) family (Planorbidae) significantly correlated with trends in ordination space is shown.</w:t>
      </w:r>
    </w:p>
    <w:p w14:paraId="541053E8" w14:textId="77777777" w:rsidR="003D3694" w:rsidRPr="00747E35" w:rsidRDefault="003D3694" w:rsidP="003D3694">
      <w:pPr>
        <w:rPr>
          <w:rFonts w:asciiTheme="minorHAnsi" w:hAnsiTheme="minorHAnsi" w:cstheme="minorHAnsi"/>
          <w:lang w:eastAsia="en-AU"/>
        </w:rPr>
      </w:pPr>
    </w:p>
    <w:p w14:paraId="116FD981" w14:textId="5107BE61" w:rsidR="003D3694" w:rsidRPr="00747E35" w:rsidRDefault="003D3694" w:rsidP="003D3694">
      <w:pPr>
        <w:pStyle w:val="Heading3"/>
        <w:rPr>
          <w:rFonts w:asciiTheme="minorHAnsi" w:hAnsiTheme="minorHAnsi" w:cstheme="minorHAnsi"/>
        </w:rPr>
      </w:pPr>
      <w:bookmarkStart w:id="175" w:name="_Toc466450350"/>
      <w:bookmarkStart w:id="176" w:name="_Toc470004858"/>
      <w:r w:rsidRPr="00747E35">
        <w:rPr>
          <w:rFonts w:asciiTheme="minorHAnsi" w:hAnsiTheme="minorHAnsi" w:cstheme="minorHAnsi"/>
        </w:rPr>
        <w:t>Discussion</w:t>
      </w:r>
      <w:bookmarkEnd w:id="175"/>
      <w:bookmarkEnd w:id="176"/>
    </w:p>
    <w:p w14:paraId="0AF7E4C3" w14:textId="77777777" w:rsidR="003D3694" w:rsidRPr="00747E35" w:rsidRDefault="003D3694" w:rsidP="003D3694">
      <w:pPr>
        <w:pStyle w:val="Heading4"/>
        <w:rPr>
          <w:rFonts w:asciiTheme="minorHAnsi" w:hAnsiTheme="minorHAnsi" w:cstheme="minorHAnsi"/>
          <w:lang w:eastAsia="en-AU"/>
        </w:rPr>
      </w:pPr>
      <w:r w:rsidRPr="00747E35">
        <w:rPr>
          <w:rFonts w:asciiTheme="minorHAnsi" w:hAnsiTheme="minorHAnsi" w:cstheme="minorHAnsi"/>
          <w:lang w:eastAsia="en-AU"/>
        </w:rPr>
        <w:t>Fish assemblages</w:t>
      </w:r>
    </w:p>
    <w:p w14:paraId="630FB779" w14:textId="22296C60" w:rsidR="003D3694" w:rsidRPr="00747E35" w:rsidRDefault="003D3694" w:rsidP="003D3694">
      <w:pPr>
        <w:rPr>
          <w:rFonts w:asciiTheme="minorHAnsi" w:hAnsiTheme="minorHAnsi" w:cstheme="minorHAnsi"/>
          <w:lang w:eastAsia="en-AU"/>
        </w:rPr>
      </w:pPr>
      <w:r w:rsidRPr="00747E35">
        <w:rPr>
          <w:rFonts w:asciiTheme="minorHAnsi" w:hAnsiTheme="minorHAnsi" w:cstheme="minorHAnsi"/>
        </w:rPr>
        <w:t>Total fish species richness did not differ among the wet and dry sampling periods, and the total abundance was significantly greater in the dry sampling period at only one study site (Wild Cattle Creek). Therefore, it is difficult to support or reject the hypothesised response of changes in fish assemblage composition and abundances in response to flow variability. F</w:t>
      </w:r>
      <w:r w:rsidRPr="00747E35">
        <w:rPr>
          <w:rFonts w:asciiTheme="minorHAnsi" w:hAnsiTheme="minorHAnsi" w:cstheme="minorHAnsi"/>
          <w:lang w:eastAsia="en-AU"/>
        </w:rPr>
        <w:t xml:space="preserve">ish assemblage structure was significantly different among </w:t>
      </w:r>
      <w:r w:rsidRPr="00747E35">
        <w:rPr>
          <w:rFonts w:asciiTheme="minorHAnsi" w:hAnsiTheme="minorHAnsi" w:cstheme="minorHAnsi"/>
        </w:rPr>
        <w:t xml:space="preserve">wet and dry sampling periods in some sites, and these differences were, in part, correlated with long-term flow-regime characteristics (mean annual discharge). This variable was </w:t>
      </w:r>
      <w:r w:rsidRPr="00747E35">
        <w:rPr>
          <w:rFonts w:asciiTheme="minorHAnsi" w:hAnsiTheme="minorHAnsi" w:cstheme="minorHAnsi"/>
          <w:lang w:eastAsia="en-AU"/>
        </w:rPr>
        <w:t xml:space="preserve">the only hydrological variable correlated with differences in fish assemblages among sites and sampling times. Driving this relationship was the fact that </w:t>
      </w:r>
      <w:r w:rsidRPr="00747E35">
        <w:rPr>
          <w:rFonts w:asciiTheme="minorHAnsi" w:hAnsiTheme="minorHAnsi" w:cstheme="minorHAnsi"/>
          <w:i/>
          <w:lang w:eastAsia="en-AU"/>
        </w:rPr>
        <w:t>M. adspersa</w:t>
      </w:r>
      <w:r w:rsidRPr="00747E35">
        <w:rPr>
          <w:rFonts w:asciiTheme="minorHAnsi" w:hAnsiTheme="minorHAnsi" w:cstheme="minorHAnsi"/>
          <w:lang w:eastAsia="en-AU"/>
        </w:rPr>
        <w:t xml:space="preserve"> was more abundant in streams with a greater mean annual discharge. Local-scale spatial and temporal hydrological variables were not related to patterns in fish assemblages. Therefore, in our study sites</w:t>
      </w:r>
      <w:r w:rsidR="008F1EA6">
        <w:rPr>
          <w:rFonts w:asciiTheme="minorHAnsi" w:hAnsiTheme="minorHAnsi" w:cstheme="minorHAnsi"/>
          <w:lang w:eastAsia="en-AU"/>
        </w:rPr>
        <w:t>,</w:t>
      </w:r>
      <w:r w:rsidRPr="00747E35">
        <w:rPr>
          <w:rFonts w:asciiTheme="minorHAnsi" w:hAnsiTheme="minorHAnsi" w:cstheme="minorHAnsi"/>
          <w:lang w:eastAsia="en-AU"/>
        </w:rPr>
        <w:t xml:space="preserve"> the characteristics of the long-term flow regime may be an important predictor of fish </w:t>
      </w:r>
      <w:r w:rsidR="008F1EA6">
        <w:rPr>
          <w:rFonts w:asciiTheme="minorHAnsi" w:hAnsiTheme="minorHAnsi" w:cstheme="minorHAnsi"/>
          <w:lang w:eastAsia="en-AU"/>
        </w:rPr>
        <w:t xml:space="preserve">species composition and </w:t>
      </w:r>
      <w:r w:rsidRPr="00747E35">
        <w:rPr>
          <w:rFonts w:asciiTheme="minorHAnsi" w:hAnsiTheme="minorHAnsi" w:cstheme="minorHAnsi"/>
          <w:lang w:eastAsia="en-AU"/>
        </w:rPr>
        <w:t xml:space="preserve">assemblage structure. While we had a small sample size (five sites in two seasons), our findings support recent ecological theory on temporal hierarchy in rivers that proposes an overarching influence of longer-term temporal patterns in flow variability on ecosystem structure and function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ADDIN EN.CITE &lt;EndNote&gt;&lt;Cite&gt;&lt;Author&gt;Biggs&lt;/Author&gt;&lt;Year&gt;2005&lt;/Year&gt;&lt;RecNum&gt;1349&lt;/RecNum&gt;&lt;DisplayText&gt;(Biggs&lt;style face="italic"&gt; et al.&lt;/style&gt;, 2005)&lt;/DisplayText&gt;&lt;record&gt;&lt;rec-number&gt;1349&lt;/rec-number&gt;&lt;foreign-keys&gt;&lt;key app="EN" db-id="f09zwdf26xeasaevvsjxv00h9rx2v9xarfsw" timestamp="1478126029"&gt;1349&lt;/key&gt;&lt;/foreign-keys&gt;&lt;ref-type name="Journal Article"&gt;17&lt;/ref-type&gt;&lt;contributors&gt;&lt;authors&gt;&lt;author&gt;Biggs, Barry J. F.&lt;/author&gt;&lt;author&gt;Nikora, Vladimir I.&lt;/author&gt;&lt;author&gt;Snelder, Ton H.&lt;/author&gt;&lt;/authors&gt;&lt;/contributors&gt;&lt;titles&gt;&lt;title&gt;Linking scales of flow variability to lotic ecosystem structure and function&lt;/title&gt;&lt;secondary-title&gt;River Research and Applications&lt;/secondary-title&gt;&lt;/titles&gt;&lt;periodical&gt;&lt;full-title&gt;River Research and Applications&lt;/full-title&gt;&lt;/periodical&gt;&lt;pages&gt;283-298&lt;/pages&gt;&lt;volume&gt;21&lt;/volume&gt;&lt;number&gt;2-3&lt;/number&gt;&lt;keywords&gt;&lt;keyword&gt;disturbance&lt;/keyword&gt;&lt;keyword&gt;river ecosystems&lt;/keyword&gt;&lt;keyword&gt;trophic interactions&lt;/keyword&gt;&lt;keyword&gt;ecohydrology&lt;/keyword&gt;&lt;keyword&gt;scaling&lt;/keyword&gt;&lt;keyword&gt;benthic invertebrates&lt;/keyword&gt;&lt;/keywords&gt;&lt;dates&gt;&lt;year&gt;2005&lt;/year&gt;&lt;/dates&gt;&lt;publisher&gt;John Wiley &amp;amp; Sons, Ltd.&lt;/publisher&gt;&lt;isbn&gt;1535-1467&lt;/isbn&gt;&lt;urls&gt;&lt;related-urls&gt;&lt;url&gt;http://dx.doi.org/10.1002/rra.847&lt;/url&gt;&lt;/related-urls&gt;&lt;/urls&gt;&lt;electronic-resource-num&gt;10.1002/rra.847&lt;/electronic-resource-num&gt;&lt;/record&gt;&lt;/Cite&gt;&lt;/EndNote&gt;</w:instrText>
      </w:r>
      <w:r w:rsidRPr="00747E35">
        <w:rPr>
          <w:rFonts w:asciiTheme="minorHAnsi" w:hAnsiTheme="minorHAnsi" w:cstheme="minorHAnsi"/>
          <w:lang w:eastAsia="en-AU"/>
        </w:rPr>
        <w:fldChar w:fldCharType="separate"/>
      </w:r>
      <w:r w:rsidRPr="00747E35">
        <w:rPr>
          <w:rFonts w:asciiTheme="minorHAnsi" w:hAnsiTheme="minorHAnsi" w:cstheme="minorHAnsi"/>
          <w:noProof/>
          <w:lang w:eastAsia="en-AU"/>
        </w:rPr>
        <w:t>(Biggs</w:t>
      </w:r>
      <w:r w:rsidRPr="00747E35">
        <w:rPr>
          <w:rFonts w:asciiTheme="minorHAnsi" w:hAnsiTheme="minorHAnsi" w:cstheme="minorHAnsi"/>
          <w:i/>
          <w:noProof/>
          <w:lang w:eastAsia="en-AU"/>
        </w:rPr>
        <w:t xml:space="preserve"> et al.</w:t>
      </w:r>
      <w:r w:rsidRPr="00747E35">
        <w:rPr>
          <w:rFonts w:asciiTheme="minorHAnsi" w:hAnsiTheme="minorHAnsi" w:cstheme="minorHAnsi"/>
          <w:noProof/>
          <w:lang w:eastAsia="en-AU"/>
        </w:rPr>
        <w:t>, 2005)</w:t>
      </w:r>
      <w:r w:rsidRPr="00747E35">
        <w:rPr>
          <w:rFonts w:asciiTheme="minorHAnsi" w:hAnsiTheme="minorHAnsi" w:cstheme="minorHAnsi"/>
          <w:lang w:eastAsia="en-AU"/>
        </w:rPr>
        <w:fldChar w:fldCharType="end"/>
      </w:r>
      <w:r w:rsidRPr="00747E35">
        <w:rPr>
          <w:rFonts w:asciiTheme="minorHAnsi" w:hAnsiTheme="minorHAnsi" w:cstheme="minorHAnsi"/>
          <w:lang w:eastAsia="en-AU"/>
        </w:rPr>
        <w:t>.</w:t>
      </w:r>
    </w:p>
    <w:p w14:paraId="6CFE845B" w14:textId="45267BB6"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Kennard et al</w:t>
      </w:r>
      <w:r w:rsidR="005E04D7">
        <w:rPr>
          <w:rFonts w:asciiTheme="minorHAnsi" w:hAnsiTheme="minorHAnsi" w:cstheme="minorHAnsi"/>
          <w:lang w:eastAsia="en-AU"/>
        </w:rPr>
        <w:t>.</w:t>
      </w:r>
      <w:r w:rsidRPr="00747E35">
        <w:rPr>
          <w:rFonts w:asciiTheme="minorHAnsi" w:hAnsiTheme="minorHAnsi" w:cstheme="minorHAnsi"/>
          <w:lang w:eastAsia="en-AU"/>
        </w:rPr>
        <w:t xml:space="preserve">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ADDIN EN.CITE &lt;EndNote&gt;&lt;Cite ExcludeAuth="1"&gt;&lt;Author&gt;Kennard&lt;/Author&gt;&lt;Year&gt;2007&lt;/Year&gt;&lt;RecNum&gt;1345&lt;/RecNum&gt;&lt;DisplayText&gt;(2007)&lt;/DisplayText&gt;&lt;record&gt;&lt;rec-number&gt;1345&lt;/rec-number&gt;&lt;foreign-keys&gt;&lt;key app="EN" db-id="f09zwdf26xeasaevvsjxv00h9rx2v9xarfsw" timestamp="1478068683"&gt;1345&lt;/key&gt;&lt;/foreign-keys&gt;&lt;ref-type name="Journal Article"&gt;17&lt;/ref-type&gt;&lt;contributors&gt;&lt;authors&gt;&lt;author&gt;Kennard, Mark J.&lt;/author&gt;&lt;author&gt;Olden, Julian D.&lt;/author&gt;&lt;author&gt;Arthington, Angela H.&lt;/author&gt;&lt;author&gt;Pusey, Bradley J.&lt;/author&gt;&lt;author&gt;Poff, N. LeRoy&lt;/author&gt;&lt;/authors&gt;&lt;/contributors&gt;&lt;titles&gt;&lt;title&gt;Multiscale effects of flow regime and habitat and their interaction on fish assemblage structure in eastern Australia&lt;/title&gt;&lt;secondary-title&gt;Canadian Journal of Fisheries and Aquatic Sciences&lt;/secondary-title&gt;&lt;/titles&gt;&lt;periodical&gt;&lt;full-title&gt;Canadian Journal of Fisheries and Aquatic Sciences&lt;/full-title&gt;&lt;/periodical&gt;&lt;pages&gt;1346-1359&lt;/pages&gt;&lt;volume&gt;64&lt;/volume&gt;&lt;number&gt;10&lt;/number&gt;&lt;dates&gt;&lt;year&gt;2007&lt;/year&gt;&lt;pub-dates&gt;&lt;date&gt;2007/10/01&lt;/date&gt;&lt;/pub-dates&gt;&lt;/dates&gt;&lt;publisher&gt;NRC Research Press&lt;/publisher&gt;&lt;isbn&gt;0706-652X&lt;/isbn&gt;&lt;urls&gt;&lt;related-urls&gt;&lt;url&gt;http://dx.doi.org/10.1139/f07-108&lt;/url&gt;&lt;/related-urls&gt;&lt;/urls&gt;&lt;electronic-resource-num&gt;10.1139/f07-108&lt;/electronic-resource-num&gt;&lt;access-date&gt;2016/11/01&lt;/access-date&gt;&lt;/record&gt;&lt;/Cite&gt;&lt;/EndNote&gt;</w:instrText>
      </w:r>
      <w:r w:rsidRPr="00747E35">
        <w:rPr>
          <w:rFonts w:asciiTheme="minorHAnsi" w:hAnsiTheme="minorHAnsi" w:cstheme="minorHAnsi"/>
          <w:lang w:eastAsia="en-AU"/>
        </w:rPr>
        <w:fldChar w:fldCharType="separate"/>
      </w:r>
      <w:r w:rsidRPr="00747E35">
        <w:rPr>
          <w:rFonts w:asciiTheme="minorHAnsi" w:hAnsiTheme="minorHAnsi" w:cstheme="minorHAnsi"/>
          <w:noProof/>
          <w:lang w:eastAsia="en-AU"/>
        </w:rPr>
        <w:t>(2007)</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also found that long-term flow regime was an important predictor of fish assemblage structure. Those authors argue that this was because long-term flow regime governs the spatial and temporal availability and longitudinal connectivity of suitable habitat for fish species, which in turn influences local colonisation and extinction events </w:t>
      </w:r>
      <w:r w:rsidRPr="00747E35">
        <w:rPr>
          <w:rFonts w:asciiTheme="minorHAnsi" w:hAnsiTheme="minorHAnsi" w:cstheme="minorHAnsi"/>
          <w:lang w:eastAsia="en-AU"/>
        </w:rPr>
        <w:fldChar w:fldCharType="begin">
          <w:fldData xml:space="preserve">PEVuZE5vdGU+PENpdGU+PEF1dGhvcj5NYWdvdWxpY2s8L0F1dGhvcj48WWVhcj4yMDAzPC9ZZWFy
PjxSZWNOdW0+MTM0NjwvUmVjTnVtPjxEaXNwbGF5VGV4dD4oTWFnb3VsaWNrIGFuZCBLb2J6YSwg
MjAwMzsgTWF0dGhld3MgYW5kIE1hcnNoLU1hdHRoZXdzLCAyMDAzKTwvRGlzcGxheVRleHQ+PHJl
Y29yZD48cmVjLW51bWJlcj4xMzQ2PC9yZWMtbnVtYmVyPjxmb3JlaWduLWtleXM+PGtleSBhcHA9
IkVOIiBkYi1pZD0iZjA5endkZjI2eGVhc2FldnZzanh2MDBoOXJ4MnY5eGFyZnN3IiB0aW1lc3Rh
bXA9IjE0NzgwNjkwODQiPjEzNDY8L2tleT48L2ZvcmVpZ24ta2V5cz48cmVmLXR5cGUgbmFtZT0i
Sm91cm5hbCBBcnRpY2xlIj4xNzwvcmVmLXR5cGU+PGNvbnRyaWJ1dG9ycz48YXV0aG9ycz48YXV0
aG9yPk1hZ291bGljaywgRGFuaWVsIEQuPC9hdXRob3I+PGF1dGhvcj5Lb2J6YSwgUm9iZXJ0IE0u
PC9hdXRob3I+PC9hdXRob3JzPjwvY29udHJpYnV0b3JzPjx0aXRsZXM+PHRpdGxlPlRoZSByb2xl
IG9mIHJlZnVnaWEgZm9yIGZpc2hlcyBkdXJpbmcgZHJvdWdodDogYSByZXZpZXcgYW5kIHN5bnRo
ZXNpczwvdGl0bGU+PHNlY29uZGFyeS10aXRsZT5GcmVzaHdhdGVyIEJpb2xvZ3k8L3NlY29uZGFy
eS10aXRsZT48L3RpdGxlcz48cGVyaW9kaWNhbD48ZnVsbC10aXRsZT5GcmVzaHdhdGVyIEJpb2xv
Z3k8L2Z1bGwtdGl0bGU+PC9wZXJpb2RpY2FsPjxwYWdlcz4xMTg2LTExOTg8L3BhZ2VzPjx2b2x1
bWU+NDg8L3ZvbHVtZT48bnVtYmVyPjc8L251bWJlcj48a2V5d29yZHM+PGtleXdvcmQ+ZGlzdHVy
YmFuY2U8L2tleXdvcmQ+PGtleXdvcmQ+ZHJ5aW5nPC9rZXl3b3JkPjxrZXl3b3JkPmZpc2ggbW92
ZW1lbnQ8L2tleXdvcmQ+PGtleXdvcmQ+cGF0Y2ggZHluYW1pY3M8L2tleXdvcmQ+PGtleXdvcmQ+
cmVmdWdlIGhhYml0YXRzPC9rZXl3b3JkPjxrZXl3b3JkPnNjYWxlPC9rZXl3b3JkPjwva2V5d29y
ZHM+PGRhdGVzPjx5ZWFyPjIwMDM8L3llYXI+PC9kYXRlcz48cHVibGlzaGVyPkJsYWNrd2VsbCBT
Y2llbmNlIEx0ZDwvcHVibGlzaGVyPjxpc2JuPjEzNjUtMjQyNzwvaXNibj48dXJscz48cmVsYXRl
ZC11cmxzPjx1cmw+aHR0cDovL2R4LmRvaS5vcmcvMTAuMTA0Ni9qLjEzNjUtMjQyNy4yMDAzLjAx
MDg5Lng8L3VybD48L3JlbGF0ZWQtdXJscz48L3VybHM+PGVsZWN0cm9uaWMtcmVzb3VyY2UtbnVt
PjEwLjEwNDYvai4xMzY1LTI0MjcuMjAwMy4wMTA4OS54PC9lbGVjdHJvbmljLXJlc291cmNlLW51
bT48L3JlY29yZD48L0NpdGU+PENpdGU+PEF1dGhvcj5NYXR0aGV3czwvQXV0aG9yPjxZZWFyPjIw
MDM8L1llYXI+PFJlY051bT4xMzQ3PC9SZWNOdW0+PHJlY29yZD48cmVjLW51bWJlcj4xMzQ3PC9y
ZWMtbnVtYmVyPjxmb3JlaWduLWtleXM+PGtleSBhcHA9IkVOIiBkYi1pZD0iZjA5endkZjI2eGVh
c2FldnZzanh2MDBoOXJ4MnY5eGFyZnN3IiB0aW1lc3RhbXA9IjE0NzgwNjkxNzMiPjEzNDc8L2tl
eT48L2ZvcmVpZ24ta2V5cz48cmVmLXR5cGUgbmFtZT0iSm91cm5hbCBBcnRpY2xlIj4xNzwvcmVm
LXR5cGU+PGNvbnRyaWJ1dG9ycz48YXV0aG9ycz48YXV0aG9yPk1hdHRoZXdzLCBXaWxsaWFtIEou
PC9hdXRob3I+PGF1dGhvcj5NYXJzaC1NYXR0aGV3cywgRWRpZTwvYXV0aG9yPjwvYXV0aG9ycz48
L2NvbnRyaWJ1dG9ycz48dGl0bGVzPjx0aXRsZT5FZmZlY3RzIG9mIGRyb3VnaHQgb24gZmlzaCBh
Y3Jvc3MgYXhlcyBvZiBzcGFjZSwgdGltZSBhbmQgZWNvbG9naWNhbCBjb21wbGV4aXR5PC90aXRs
ZT48c2Vjb25kYXJ5LXRpdGxlPkZyZXNod2F0ZXIgQmlvbG9neTwvc2Vjb25kYXJ5LXRpdGxlPjwv
dGl0bGVzPjxwZXJpb2RpY2FsPjxmdWxsLXRpdGxlPkZyZXNod2F0ZXIgQmlvbG9neTwvZnVsbC10
aXRsZT48L3BlcmlvZGljYWw+PHBhZ2VzPjEyMzItMTI1MzwvcGFnZXM+PHZvbHVtZT40ODwvdm9s
dW1lPjxudW1iZXI+NzwvbnVtYmVyPjxrZXl3b3Jkcz48a2V5d29yZD5jb21tdW5pdHkgY2hhbmdl
PC9rZXl3b3JkPjxrZXl3b3JkPmRyb3VnaHQ8L2tleXdvcmQ+PGtleXdvcmQ+ZmlzaCBldm9sdXRp
b248L2tleXdvcmQ+PGtleXdvcmQ+ZnJlc2h3YXRlciBmaXNoPC9rZXl3b3JkPjxrZXl3b3JkPk9r
bGFob21hPC9rZXl3b3JkPjxrZXl3b3JkPnNjYWxlPC9rZXl3b3JkPjwva2V5d29yZHM+PGRhdGVz
Pjx5ZWFyPjIwMDM8L3llYXI+PC9kYXRlcz48cHVibGlzaGVyPkJsYWNrd2VsbCBTY2llbmNlIEx0
ZDwvcHVibGlzaGVyPjxpc2JuPjEzNjUtMjQyNzwvaXNibj48dXJscz48cmVsYXRlZC11cmxzPjx1
cmw+aHR0cDovL2R4LmRvaS5vcmcvMTAuMTA0Ni9qLjEzNjUtMjQyNy4yMDAzLjAxMDg3Lng8L3Vy
bD48L3JlbGF0ZWQtdXJscz48L3VybHM+PGVsZWN0cm9uaWMtcmVzb3VyY2UtbnVtPjEwLjEwNDYv
ai4xMzY1LTI0MjcuMjAwMy4wMTA4Ny54PC9lbGVjdHJvbmljLXJlc291cmNlLW51bT48L3JlY29y
ZD48L0NpdGU+PC9FbmROb3RlPn==
</w:fldData>
        </w:fldChar>
      </w:r>
      <w:r w:rsidRPr="00747E35">
        <w:rPr>
          <w:rFonts w:asciiTheme="minorHAnsi" w:hAnsiTheme="minorHAnsi" w:cstheme="minorHAnsi"/>
          <w:lang w:eastAsia="en-AU"/>
        </w:rPr>
        <w:instrText xml:space="preserve"> ADDIN EN.CITE </w:instrText>
      </w:r>
      <w:r w:rsidRPr="00747E35">
        <w:rPr>
          <w:rFonts w:asciiTheme="minorHAnsi" w:hAnsiTheme="minorHAnsi" w:cstheme="minorHAnsi"/>
          <w:lang w:eastAsia="en-AU"/>
        </w:rPr>
        <w:fldChar w:fldCharType="begin">
          <w:fldData xml:space="preserve">PEVuZE5vdGU+PENpdGU+PEF1dGhvcj5NYWdvdWxpY2s8L0F1dGhvcj48WWVhcj4yMDAzPC9ZZWFy
PjxSZWNOdW0+MTM0NjwvUmVjTnVtPjxEaXNwbGF5VGV4dD4oTWFnb3VsaWNrIGFuZCBLb2J6YSwg
MjAwMzsgTWF0dGhld3MgYW5kIE1hcnNoLU1hdHRoZXdzLCAyMDAzKTwvRGlzcGxheVRleHQ+PHJl
Y29yZD48cmVjLW51bWJlcj4xMzQ2PC9yZWMtbnVtYmVyPjxmb3JlaWduLWtleXM+PGtleSBhcHA9
IkVOIiBkYi1pZD0iZjA5endkZjI2eGVhc2FldnZzanh2MDBoOXJ4MnY5eGFyZnN3IiB0aW1lc3Rh
bXA9IjE0NzgwNjkwODQiPjEzNDY8L2tleT48L2ZvcmVpZ24ta2V5cz48cmVmLXR5cGUgbmFtZT0i
Sm91cm5hbCBBcnRpY2xlIj4xNzwvcmVmLXR5cGU+PGNvbnRyaWJ1dG9ycz48YXV0aG9ycz48YXV0
aG9yPk1hZ291bGljaywgRGFuaWVsIEQuPC9hdXRob3I+PGF1dGhvcj5Lb2J6YSwgUm9iZXJ0IE0u
PC9hdXRob3I+PC9hdXRob3JzPjwvY29udHJpYnV0b3JzPjx0aXRsZXM+PHRpdGxlPlRoZSByb2xl
IG9mIHJlZnVnaWEgZm9yIGZpc2hlcyBkdXJpbmcgZHJvdWdodDogYSByZXZpZXcgYW5kIHN5bnRo
ZXNpczwvdGl0bGU+PHNlY29uZGFyeS10aXRsZT5GcmVzaHdhdGVyIEJpb2xvZ3k8L3NlY29uZGFy
eS10aXRsZT48L3RpdGxlcz48cGVyaW9kaWNhbD48ZnVsbC10aXRsZT5GcmVzaHdhdGVyIEJpb2xv
Z3k8L2Z1bGwtdGl0bGU+PC9wZXJpb2RpY2FsPjxwYWdlcz4xMTg2LTExOTg8L3BhZ2VzPjx2b2x1
bWU+NDg8L3ZvbHVtZT48bnVtYmVyPjc8L251bWJlcj48a2V5d29yZHM+PGtleXdvcmQ+ZGlzdHVy
YmFuY2U8L2tleXdvcmQ+PGtleXdvcmQ+ZHJ5aW5nPC9rZXl3b3JkPjxrZXl3b3JkPmZpc2ggbW92
ZW1lbnQ8L2tleXdvcmQ+PGtleXdvcmQ+cGF0Y2ggZHluYW1pY3M8L2tleXdvcmQ+PGtleXdvcmQ+
cmVmdWdlIGhhYml0YXRzPC9rZXl3b3JkPjxrZXl3b3JkPnNjYWxlPC9rZXl3b3JkPjwva2V5d29y
ZHM+PGRhdGVzPjx5ZWFyPjIwMDM8L3llYXI+PC9kYXRlcz48cHVibGlzaGVyPkJsYWNrd2VsbCBT
Y2llbmNlIEx0ZDwvcHVibGlzaGVyPjxpc2JuPjEzNjUtMjQyNzwvaXNibj48dXJscz48cmVsYXRl
ZC11cmxzPjx1cmw+aHR0cDovL2R4LmRvaS5vcmcvMTAuMTA0Ni9qLjEzNjUtMjQyNy4yMDAzLjAx
MDg5Lng8L3VybD48L3JlbGF0ZWQtdXJscz48L3VybHM+PGVsZWN0cm9uaWMtcmVzb3VyY2UtbnVt
PjEwLjEwNDYvai4xMzY1LTI0MjcuMjAwMy4wMTA4OS54PC9lbGVjdHJvbmljLXJlc291cmNlLW51
bT48L3JlY29yZD48L0NpdGU+PENpdGU+PEF1dGhvcj5NYXR0aGV3czwvQXV0aG9yPjxZZWFyPjIw
MDM8L1llYXI+PFJlY051bT4xMzQ3PC9SZWNOdW0+PHJlY29yZD48cmVjLW51bWJlcj4xMzQ3PC9y
ZWMtbnVtYmVyPjxmb3JlaWduLWtleXM+PGtleSBhcHA9IkVOIiBkYi1pZD0iZjA5endkZjI2eGVh
c2FldnZzanh2MDBoOXJ4MnY5eGFyZnN3IiB0aW1lc3RhbXA9IjE0NzgwNjkxNzMiPjEzNDc8L2tl
eT48L2ZvcmVpZ24ta2V5cz48cmVmLXR5cGUgbmFtZT0iSm91cm5hbCBBcnRpY2xlIj4xNzwvcmVm
LXR5cGU+PGNvbnRyaWJ1dG9ycz48YXV0aG9ycz48YXV0aG9yPk1hdHRoZXdzLCBXaWxsaWFtIEou
PC9hdXRob3I+PGF1dGhvcj5NYXJzaC1NYXR0aGV3cywgRWRpZTwvYXV0aG9yPjwvYXV0aG9ycz48
L2NvbnRyaWJ1dG9ycz48dGl0bGVzPjx0aXRsZT5FZmZlY3RzIG9mIGRyb3VnaHQgb24gZmlzaCBh
Y3Jvc3MgYXhlcyBvZiBzcGFjZSwgdGltZSBhbmQgZWNvbG9naWNhbCBjb21wbGV4aXR5PC90aXRs
ZT48c2Vjb25kYXJ5LXRpdGxlPkZyZXNod2F0ZXIgQmlvbG9neTwvc2Vjb25kYXJ5LXRpdGxlPjwv
dGl0bGVzPjxwZXJpb2RpY2FsPjxmdWxsLXRpdGxlPkZyZXNod2F0ZXIgQmlvbG9neTwvZnVsbC10
aXRsZT48L3BlcmlvZGljYWw+PHBhZ2VzPjEyMzItMTI1MzwvcGFnZXM+PHZvbHVtZT40ODwvdm9s
dW1lPjxudW1iZXI+NzwvbnVtYmVyPjxrZXl3b3Jkcz48a2V5d29yZD5jb21tdW5pdHkgY2hhbmdl
PC9rZXl3b3JkPjxrZXl3b3JkPmRyb3VnaHQ8L2tleXdvcmQ+PGtleXdvcmQ+ZmlzaCBldm9sdXRp
b248L2tleXdvcmQ+PGtleXdvcmQ+ZnJlc2h3YXRlciBmaXNoPC9rZXl3b3JkPjxrZXl3b3JkPk9r
bGFob21hPC9rZXl3b3JkPjxrZXl3b3JkPnNjYWxlPC9rZXl3b3JkPjwva2V5d29yZHM+PGRhdGVz
Pjx5ZWFyPjIwMDM8L3llYXI+PC9kYXRlcz48cHVibGlzaGVyPkJsYWNrd2VsbCBTY2llbmNlIEx0
ZDwvcHVibGlzaGVyPjxpc2JuPjEzNjUtMjQyNzwvaXNibj48dXJscz48cmVsYXRlZC11cmxzPjx1
cmw+aHR0cDovL2R4LmRvaS5vcmcvMTAuMTA0Ni9qLjEzNjUtMjQyNy4yMDAzLjAxMDg3Lng8L3Vy
bD48L3JlbGF0ZWQtdXJscz48L3VybHM+PGVsZWN0cm9uaWMtcmVzb3VyY2UtbnVtPjEwLjEwNDYv
ai4xMzY1LTI0MjcuMjAwMy4wMTA4Ny54PC9lbGVjdHJvbmljLXJlc291cmNlLW51bT48L3JlY29y
ZD48L0NpdGU+PC9FbmROb3RlPn==
</w:fldData>
        </w:fldChar>
      </w:r>
      <w:r w:rsidRPr="00747E35">
        <w:rPr>
          <w:rFonts w:asciiTheme="minorHAnsi" w:hAnsiTheme="minorHAnsi" w:cstheme="minorHAnsi"/>
          <w:lang w:eastAsia="en-AU"/>
        </w:rPr>
        <w:instrText xml:space="preserve"> ADDIN EN.CITE.DATA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end"/>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r w:rsidRPr="00747E35">
        <w:rPr>
          <w:rFonts w:asciiTheme="minorHAnsi" w:hAnsiTheme="minorHAnsi" w:cstheme="minorHAnsi"/>
          <w:noProof/>
          <w:lang w:eastAsia="en-AU"/>
        </w:rPr>
        <w:t>(Magoulick and Kobza, 2003; Matthews and Marsh-Matthews, 2003)</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Supporting this notion is the fact that the two streams (Warrill and Coulson Creek) which </w:t>
      </w:r>
      <w:r w:rsidRPr="00747E35">
        <w:rPr>
          <w:rFonts w:asciiTheme="minorHAnsi" w:hAnsiTheme="minorHAnsi" w:cstheme="minorHAnsi"/>
          <w:lang w:eastAsia="en-AU"/>
        </w:rPr>
        <w:lastRenderedPageBreak/>
        <w:t xml:space="preserve">had the lowest fish abundance and diversity, and for which fish assemblage structure did not change among wet and dry periods, are more intermittent than the Bremer River and Reynolds Creek sites (personal observation). Although Wild Cattle Creek is also classified as intermittent, deep residual clay-lined pools at this site (personal observation) may buffer against the negative effects associated with regular flow cessation. These deep residual clay-lined pools allowed the accumulation of filamentous algae, which was positively associated with the abundance of </w:t>
      </w:r>
      <w:r w:rsidRPr="00747E35">
        <w:rPr>
          <w:rFonts w:asciiTheme="minorHAnsi" w:hAnsiTheme="minorHAnsi" w:cstheme="minorHAnsi"/>
          <w:i/>
          <w:lang w:eastAsia="en-AU"/>
        </w:rPr>
        <w:t>M. adspersa</w:t>
      </w:r>
      <w:r w:rsidRPr="00747E35">
        <w:rPr>
          <w:rFonts w:asciiTheme="minorHAnsi" w:hAnsiTheme="minorHAnsi" w:cstheme="minorHAnsi"/>
          <w:lang w:eastAsia="en-AU"/>
        </w:rPr>
        <w:t xml:space="preserve"> and mean annual runoff (</w:t>
      </w:r>
      <w:r w:rsidRPr="00747E35">
        <w:rPr>
          <w:rFonts w:asciiTheme="minorHAnsi" w:hAnsiTheme="minorHAnsi" w:cstheme="minorHAnsi"/>
          <w:highlight w:val="yellow"/>
          <w:lang w:eastAsia="en-AU"/>
        </w:rPr>
        <w:fldChar w:fldCharType="begin"/>
      </w:r>
      <w:r w:rsidRPr="00747E35">
        <w:rPr>
          <w:rFonts w:asciiTheme="minorHAnsi" w:hAnsiTheme="minorHAnsi" w:cstheme="minorHAnsi"/>
          <w:lang w:eastAsia="en-AU"/>
        </w:rPr>
        <w:instrText xml:space="preserve"> REF _Ref466028466 \h </w:instrText>
      </w:r>
      <w:r w:rsidR="00925BFC" w:rsidRPr="00747E35">
        <w:rPr>
          <w:rFonts w:asciiTheme="minorHAnsi" w:hAnsiTheme="minorHAnsi" w:cstheme="minorHAnsi"/>
          <w:highlight w:val="yellow"/>
          <w:lang w:eastAsia="en-AU"/>
        </w:rPr>
        <w:instrText xml:space="preserve"> \* MERGEFORMAT </w:instrText>
      </w:r>
      <w:r w:rsidRPr="00747E35">
        <w:rPr>
          <w:rFonts w:asciiTheme="minorHAnsi" w:hAnsiTheme="minorHAnsi" w:cstheme="minorHAnsi"/>
          <w:highlight w:val="yellow"/>
          <w:lang w:eastAsia="en-AU"/>
        </w:rPr>
      </w:r>
      <w:r w:rsidRPr="00747E35">
        <w:rPr>
          <w:rFonts w:asciiTheme="minorHAnsi" w:hAnsiTheme="minorHAnsi" w:cstheme="minorHAnsi"/>
          <w:highlight w:val="yellow"/>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57</w:t>
      </w:r>
      <w:r w:rsidRPr="00747E35">
        <w:rPr>
          <w:rFonts w:asciiTheme="minorHAnsi" w:hAnsiTheme="minorHAnsi" w:cstheme="minorHAnsi"/>
          <w:highlight w:val="yellow"/>
          <w:lang w:eastAsia="en-AU"/>
        </w:rPr>
        <w:fldChar w:fldCharType="end"/>
      </w:r>
      <w:r w:rsidRPr="00747E35">
        <w:rPr>
          <w:rFonts w:asciiTheme="minorHAnsi" w:hAnsiTheme="minorHAnsi" w:cstheme="minorHAnsi"/>
          <w:lang w:eastAsia="en-AU"/>
        </w:rPr>
        <w:t>). The high intermittency at Wild Cattle Creek likely contributed to the dry-season crowding observed, with the lack of longitudinal flow connectivity hampering the ability of fish to disperse to more perennial stream reaches.</w:t>
      </w:r>
    </w:p>
    <w:p w14:paraId="7B288A5F"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 xml:space="preserve">Ultimately, streams with a lower mean annual discharge will likely be more intermittent, and have low wetted habitat persistence and longitudinal connectivity, which may act as a broad-scale filter in determining fish assemblage structure. Groundwater contributions to baseflow may also play an important role in sustaining fish populations by buffering against periods of flow cessation by maintaining residual wetted habitats. </w:t>
      </w:r>
    </w:p>
    <w:p w14:paraId="5D514D54" w14:textId="77777777" w:rsidR="003D3694" w:rsidRPr="00747E35" w:rsidRDefault="003D3694" w:rsidP="003D3694">
      <w:pPr>
        <w:pStyle w:val="Heading4"/>
        <w:rPr>
          <w:rFonts w:asciiTheme="minorHAnsi" w:hAnsiTheme="minorHAnsi" w:cstheme="minorHAnsi"/>
          <w:lang w:eastAsia="en-AU"/>
        </w:rPr>
      </w:pPr>
      <w:r w:rsidRPr="00747E35">
        <w:rPr>
          <w:rFonts w:asciiTheme="minorHAnsi" w:hAnsiTheme="minorHAnsi" w:cstheme="minorHAnsi"/>
          <w:lang w:eastAsia="en-AU"/>
        </w:rPr>
        <w:t>Macroinvertebrates</w:t>
      </w:r>
    </w:p>
    <w:p w14:paraId="1310823C" w14:textId="5C4B24CF"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 xml:space="preserve">Overall the patterns of variation in the invertebrate assemblages were difficult to relate convincingly to spatial and/or temporal variation in hydrology or other environmental gradients. This finding clearly, in part, relates to the very limited replication. However, even with more replicates in space, experience suggests that many of the summary variables derived here would show considerable random variation associated with explanatory variables not explicitly considered in the study, or have shown values that could be (mis)-construed as being indicative of sites in poor condition. As noted by Chessman </w:t>
      </w:r>
      <w:r w:rsidRPr="00747E35">
        <w:rPr>
          <w:rFonts w:asciiTheme="minorHAnsi" w:hAnsiTheme="minorHAnsi" w:cstheme="minorHAnsi"/>
          <w:lang w:eastAsia="en-AU"/>
        </w:rPr>
        <w:fldChar w:fldCharType="begin">
          <w:fldData xml:space="preserve">PEVuZE5vdGU+PENpdGUgRXhjbHVkZUF1dGg9IjEiPjxBdXRob3I+Q2hlc3NtYW48L0F1dGhvcj48
WWVhcj4yMDA2PC9ZZWFyPjxSZWNOdW0+MTgwNTwvUmVjTnVtPjxEaXNwbGF5VGV4dD4oMjAwNjsg
MjAxMCk8L0Rpc3BsYXlUZXh0PjxyZWNvcmQ+PHJlYy1udW1iZXI+MTgwNTwvcmVjLW51bWJlcj48
Zm9yZWlnbi1rZXlzPjxrZXkgYXBwPSJFTiIgZGItaWQ9InY1dnQ1dDk1ZzJmYXI2ZXZzcGF2dncw
MTB6czBhMnp3eHpzZCIgdGltZXN0YW1wPSIxNDc2OTk0NzE1Ij4xODA1PC9rZXk+PC9mb3JlaWdu
LWtleXM+PHJlZi10eXBlIG5hbWU9IkpvdXJuYWwgQXJ0aWNsZSI+MTc8L3JlZi10eXBlPjxjb250
cmlidXRvcnM+PGF1dGhvcnM+PGF1dGhvcj5DaGVzc21hbiwgQnJ1Y2UgQzwvYXV0aG9yPjxhdXRo
b3I+VGh1cnRlbGwsIExpc2EgQTwvYXV0aG9yPjxhdXRob3I+Um95YWwsIE1lcmVkaXRoIEo8L2F1
dGhvcj48L2F1dGhvcnM+PC9jb250cmlidXRvcnM+PHRpdGxlcz48dGl0bGU+QmlvYXNzZXNzbWVu
dCBpbiBBIEhhcnNoIEVudmlyb25tZW50OiBBIENvbXBhcmlzb24gb2YgTWFjcm9pbnZlcnRlYnJh
dGUgQXNzZW1ibGFnZXMgYXQgUmVmZXJlbmNlIGFuZCBBc3Nlc3NtZW50IFNpdGVzIGluIEFuIEF1
c3RyYWxpYW4gSW5sYW5kIFJpdmVyIFN5c3RlbTwvdGl0bGU+PHNlY29uZGFyeS10aXRsZT5FbnZp
cm9ubWVudGFsIE1vZGVsaW5nIGFuZCBBc3Nlc3NtZW50PC9zZWNvbmRhcnktdGl0bGU+PHNob3J0
LXRpdGxlPkVudmlyb25tZW50YWwgTW9uaXRvcmluZyBhbmQgQXNzZXNzbWVudDwvc2hvcnQtdGl0
bGU+PC90aXRsZXM+PHBlcmlvZGljYWw+PGZ1bGwtdGl0bGU+RW52aXJvbm1lbnRhbCBNb2RlbGlu
ZyBhbmQgQXNzZXNzbWVudDwvZnVsbC10aXRsZT48L3BlcmlvZGljYWw+PHBhZ2VzPjMwMy0zMzA8
L3BhZ2VzPjx2b2x1bWU+MTE5PC92b2x1bWU+PG51bWJlcj4xLTM8L251bWJlcj48ZGF0ZXM+PHll
YXI+MjAwNjwveWVhcj48cHViLWRhdGVzPjxkYXRlPkp1biAwMjwvZGF0ZT48L3B1Yi1kYXRlcz48
L2RhdGVzPjxsYWJlbD5yMDY2ODE8L2xhYmVsPjx1cmxzPjxyZWxhdGVkLXVybHM+PHVybD5odHRw
Oi8vd3d3LnNwcmluZ2VybGluay5jb20vaW5kZXgvMTAuMTAwNy9zMTA2NjEtMDA1LTkwMjctMjwv
dXJsPjx1cmw+aHR0cDovL2xpbmsuc3ByaW5nZXIuY29tL2FydGljbGUvMTAuMTAwNyUyRnMxMDY2
MS0wMDUtOTAyNy0yPC91cmw+PC9yZWxhdGVkLXVybHM+PHBkZi11cmxzPjx1cmw+ZmlsZTovL2xv
Y2FsaG9zdChudWxsKTwvdXJsPjwvcGRmLXVybHM+PC91cmxzPjxjdXN0b20zPnBhcGVyczM6Ly9w
dWJsaWNhdGlvbi91dWlkLzk0NUJGMjk5LTkxNjctNEU4NC04QzQ4LThFQTExNjU3NTMxQzwvY3Vz
dG9tMz48ZWxlY3Ryb25pYy1yZXNvdXJjZS1udW0+MTAuMTAwNy9zMTA2NjEtMDA1LTkwMjctMjwv
ZWxlY3Ryb25pYy1yZXNvdXJjZS1udW0+PGxhbmd1YWdlPkVuZ2xpc2g8L2xhbmd1YWdlPjwvcmVj
b3JkPjwvQ2l0ZT48Q2l0ZSBFeGNsdWRlQXV0aD0iMSI+PEF1dGhvcj5DaGVzc21hbjwvQXV0aG9y
PjxZZWFyPjIwMTA8L1llYXI+PFJlY051bT45NjM8L1JlY051bT48cmVjb3JkPjxyZWMtbnVtYmVy
Pjk2MzwvcmVjLW51bWJlcj48Zm9yZWlnbi1rZXlzPjxrZXkgYXBwPSJFTiIgZGItaWQ9InY1dnQ1
dDk1ZzJmYXI2ZXZzcGF2dncwMTB6czBhMnp3eHpzZCIgdGltZXN0YW1wPSIxNDc2OTk0NzExIj45
NjM8L2tleT48L2ZvcmVpZ24ta2V5cz48cmVmLXR5cGUgbmFtZT0iSm91cm5hbCBBcnRpY2xlIj4x
NzwvcmVmLXR5cGU+PGNvbnRyaWJ1dG9ycz48YXV0aG9ycz48YXV0aG9yPkNoZXNzbWFuLCBCcnVj
ZSBDPC9hdXRob3I+PGF1dGhvcj5Kb25lcywgSHVnaCBBPC9hdXRob3I+PGF1dGhvcj5TZWFybGUs
IE5pcnZhbmEgSzwvYXV0aG9yPjxhdXRob3I+R3Jvd25zLCBJdm9yIE88L2F1dGhvcj48YXV0aG9y
PlBlYXJzb24sIE1hcml0YSBSPC9hdXRob3I+PC9hdXRob3JzPjwvY29udHJpYnV0b3JzPjx0aXRs
ZXM+PHRpdGxlPkFzc2Vzc2luZyBlZmZlY3RzIG9mIGZsb3cgYWx0ZXJhdGlvbiBvbiBtYWNyb2lu
dmVydGVicmF0ZSBhc3NlbWJsYWdlcyBpbiBBdXN0cmFsaWFuIGRyeWxhbmQgcml2ZXJzPC90aXRs
ZT48c2Vjb25kYXJ5LXRpdGxlPkZyZXNod2F0ZXIgQmlvbG9neTwvc2Vjb25kYXJ5LXRpdGxlPjxz
aG9ydC10aXRsZT5GcmVzaHdhdGVyIEJpb2xvZ3k8L3Nob3J0LXRpdGxlPjwvdGl0bGVzPjxwZXJp
b2RpY2FsPjxmdWxsLXRpdGxlPkZyZXNod2F0ZXIgQmlvbG9neTwvZnVsbC10aXRsZT48L3Blcmlv
ZGljYWw+PHBhZ2VzPjE3ODAtMTgwMDwvcGFnZXM+PHZvbHVtZT41NTwvdm9sdW1lPjxudW1iZXI+
ODwvbnVtYmVyPjxkYXRlcz48eWVhcj4yMDEwPC95ZWFyPjxwdWItZGF0ZXM+PGRhdGU+QXVnIDAx
PC9kYXRlPjwvcHViLWRhdGVzPjwvZGF0ZXM+PHB1Ymxpc2hlcj5CbGFja3dlbGwgUHVibGlzaGlu
ZyBMdGQ8L3B1Ymxpc2hlcj48YWNjZXNzaW9uLW51bT4xMC4xMTExL2ouMTM2NS0yNDI3LjIwMTAu
MDI0MDMueDwvYWNjZXNzaW9uLW51bT48bGFiZWw+cjAyNTUyPC9sYWJlbD48dXJscz48cmVsYXRl
ZC11cmxzPjx1cmw+aHR0cDovL29ubGluZWxpYnJhcnkud2lsZXkuY29tLmxpYnJhcnlwcm94eS5n
cmlmZml0aC5lZHUuYXUvZG9pLzEwLjExMTEvai4xMzY1LTI0MjcuMjAxMC4wMjQwMy54L2Z1bGw8
L3VybD48L3JlbGF0ZWQtdXJscz48cGRmLXVybHM+PHVybD5maWxlOi8vbG9jYWxob3N0L1VzZXJz
L25pY2tib25kL0Ryb3Bib3gvUGFwZXJzJTIwTGlicmFyeS9MaWJyYXJ5LnBhcGVyczMvRmlsZXMv
RTcvRTdFRTdCOTktMTg5My00Qjk4LTg1RTMtMjU2RTc3NkNCM0FELnBkZjwvdXJsPjwvcGRmLXVy
bHM+PC91cmxzPjxjdXN0b20zPnBhcGVyczM6Ly9wdWJsaWNhdGlvbi91dWlkL0ZGNzk4MzhELUFE
OEItNEI3QS1BQUM3LUZGMDg2RjM2OTQ5NDwvY3VzdG9tMz48ZWxlY3Ryb25pYy1yZXNvdXJjZS1u
dW0+MTAuMTExMS9qLjEzNjUtMjQyNy4yMDEwLjAyNDAzLng8L2VsZWN0cm9uaWMtcmVzb3VyY2Ut
bnVtPjxsYW5ndWFnZT5FbmdsaXNoPC9sYW5ndWFnZT48L3JlY29yZD48L0NpdGU+PC9FbmROb3Rl
PgB=
</w:fldData>
        </w:fldChar>
      </w:r>
      <w:r w:rsidRPr="00747E35">
        <w:rPr>
          <w:rFonts w:asciiTheme="minorHAnsi" w:hAnsiTheme="minorHAnsi" w:cstheme="minorHAnsi"/>
          <w:lang w:eastAsia="en-AU"/>
        </w:rPr>
        <w:instrText xml:space="preserve"> ADDIN EN.CITE </w:instrText>
      </w:r>
      <w:r w:rsidRPr="00747E35">
        <w:rPr>
          <w:rFonts w:asciiTheme="minorHAnsi" w:hAnsiTheme="minorHAnsi" w:cstheme="minorHAnsi"/>
          <w:lang w:eastAsia="en-AU"/>
        </w:rPr>
        <w:fldChar w:fldCharType="begin">
          <w:fldData xml:space="preserve">PEVuZE5vdGU+PENpdGUgRXhjbHVkZUF1dGg9IjEiPjxBdXRob3I+Q2hlc3NtYW48L0F1dGhvcj48
WWVhcj4yMDA2PC9ZZWFyPjxSZWNOdW0+MTgwNTwvUmVjTnVtPjxEaXNwbGF5VGV4dD4oMjAwNjsg
MjAxMCk8L0Rpc3BsYXlUZXh0PjxyZWNvcmQ+PHJlYy1udW1iZXI+MTgwNTwvcmVjLW51bWJlcj48
Zm9yZWlnbi1rZXlzPjxrZXkgYXBwPSJFTiIgZGItaWQ9InY1dnQ1dDk1ZzJmYXI2ZXZzcGF2dncw
MTB6czBhMnp3eHpzZCIgdGltZXN0YW1wPSIxNDc2OTk0NzE1Ij4xODA1PC9rZXk+PC9mb3JlaWdu
LWtleXM+PHJlZi10eXBlIG5hbWU9IkpvdXJuYWwgQXJ0aWNsZSI+MTc8L3JlZi10eXBlPjxjb250
cmlidXRvcnM+PGF1dGhvcnM+PGF1dGhvcj5DaGVzc21hbiwgQnJ1Y2UgQzwvYXV0aG9yPjxhdXRo
b3I+VGh1cnRlbGwsIExpc2EgQTwvYXV0aG9yPjxhdXRob3I+Um95YWwsIE1lcmVkaXRoIEo8L2F1
dGhvcj48L2F1dGhvcnM+PC9jb250cmlidXRvcnM+PHRpdGxlcz48dGl0bGU+QmlvYXNzZXNzbWVu
dCBpbiBBIEhhcnNoIEVudmlyb25tZW50OiBBIENvbXBhcmlzb24gb2YgTWFjcm9pbnZlcnRlYnJh
dGUgQXNzZW1ibGFnZXMgYXQgUmVmZXJlbmNlIGFuZCBBc3Nlc3NtZW50IFNpdGVzIGluIEFuIEF1
c3RyYWxpYW4gSW5sYW5kIFJpdmVyIFN5c3RlbTwvdGl0bGU+PHNlY29uZGFyeS10aXRsZT5FbnZp
cm9ubWVudGFsIE1vZGVsaW5nIGFuZCBBc3Nlc3NtZW50PC9zZWNvbmRhcnktdGl0bGU+PHNob3J0
LXRpdGxlPkVudmlyb25tZW50YWwgTW9uaXRvcmluZyBhbmQgQXNzZXNzbWVudDwvc2hvcnQtdGl0
bGU+PC90aXRsZXM+PHBlcmlvZGljYWw+PGZ1bGwtdGl0bGU+RW52aXJvbm1lbnRhbCBNb2RlbGlu
ZyBhbmQgQXNzZXNzbWVudDwvZnVsbC10aXRsZT48L3BlcmlvZGljYWw+PHBhZ2VzPjMwMy0zMzA8
L3BhZ2VzPjx2b2x1bWU+MTE5PC92b2x1bWU+PG51bWJlcj4xLTM8L251bWJlcj48ZGF0ZXM+PHll
YXI+MjAwNjwveWVhcj48cHViLWRhdGVzPjxkYXRlPkp1biAwMjwvZGF0ZT48L3B1Yi1kYXRlcz48
L2RhdGVzPjxsYWJlbD5yMDY2ODE8L2xhYmVsPjx1cmxzPjxyZWxhdGVkLXVybHM+PHVybD5odHRw
Oi8vd3d3LnNwcmluZ2VybGluay5jb20vaW5kZXgvMTAuMTAwNy9zMTA2NjEtMDA1LTkwMjctMjwv
dXJsPjx1cmw+aHR0cDovL2xpbmsuc3ByaW5nZXIuY29tL2FydGljbGUvMTAuMTAwNyUyRnMxMDY2
MS0wMDUtOTAyNy0yPC91cmw+PC9yZWxhdGVkLXVybHM+PHBkZi11cmxzPjx1cmw+ZmlsZTovL2xv
Y2FsaG9zdChudWxsKTwvdXJsPjwvcGRmLXVybHM+PC91cmxzPjxjdXN0b20zPnBhcGVyczM6Ly9w
dWJsaWNhdGlvbi91dWlkLzk0NUJGMjk5LTkxNjctNEU4NC04QzQ4LThFQTExNjU3NTMxQzwvY3Vz
dG9tMz48ZWxlY3Ryb25pYy1yZXNvdXJjZS1udW0+MTAuMTAwNy9zMTA2NjEtMDA1LTkwMjctMjwv
ZWxlY3Ryb25pYy1yZXNvdXJjZS1udW0+PGxhbmd1YWdlPkVuZ2xpc2g8L2xhbmd1YWdlPjwvcmVj
b3JkPjwvQ2l0ZT48Q2l0ZSBFeGNsdWRlQXV0aD0iMSI+PEF1dGhvcj5DaGVzc21hbjwvQXV0aG9y
PjxZZWFyPjIwMTA8L1llYXI+PFJlY051bT45NjM8L1JlY051bT48cmVjb3JkPjxyZWMtbnVtYmVy
Pjk2MzwvcmVjLW51bWJlcj48Zm9yZWlnbi1rZXlzPjxrZXkgYXBwPSJFTiIgZGItaWQ9InY1dnQ1
dDk1ZzJmYXI2ZXZzcGF2dncwMTB6czBhMnp3eHpzZCIgdGltZXN0YW1wPSIxNDc2OTk0NzExIj45
NjM8L2tleT48L2ZvcmVpZ24ta2V5cz48cmVmLXR5cGUgbmFtZT0iSm91cm5hbCBBcnRpY2xlIj4x
NzwvcmVmLXR5cGU+PGNvbnRyaWJ1dG9ycz48YXV0aG9ycz48YXV0aG9yPkNoZXNzbWFuLCBCcnVj
ZSBDPC9hdXRob3I+PGF1dGhvcj5Kb25lcywgSHVnaCBBPC9hdXRob3I+PGF1dGhvcj5TZWFybGUs
IE5pcnZhbmEgSzwvYXV0aG9yPjxhdXRob3I+R3Jvd25zLCBJdm9yIE88L2F1dGhvcj48YXV0aG9y
PlBlYXJzb24sIE1hcml0YSBSPC9hdXRob3I+PC9hdXRob3JzPjwvY29udHJpYnV0b3JzPjx0aXRs
ZXM+PHRpdGxlPkFzc2Vzc2luZyBlZmZlY3RzIG9mIGZsb3cgYWx0ZXJhdGlvbiBvbiBtYWNyb2lu
dmVydGVicmF0ZSBhc3NlbWJsYWdlcyBpbiBBdXN0cmFsaWFuIGRyeWxhbmQgcml2ZXJzPC90aXRs
ZT48c2Vjb25kYXJ5LXRpdGxlPkZyZXNod2F0ZXIgQmlvbG9neTwvc2Vjb25kYXJ5LXRpdGxlPjxz
aG9ydC10aXRsZT5GcmVzaHdhdGVyIEJpb2xvZ3k8L3Nob3J0LXRpdGxlPjwvdGl0bGVzPjxwZXJp
b2RpY2FsPjxmdWxsLXRpdGxlPkZyZXNod2F0ZXIgQmlvbG9neTwvZnVsbC10aXRsZT48L3Blcmlv
ZGljYWw+PHBhZ2VzPjE3ODAtMTgwMDwvcGFnZXM+PHZvbHVtZT41NTwvdm9sdW1lPjxudW1iZXI+
ODwvbnVtYmVyPjxkYXRlcz48eWVhcj4yMDEwPC95ZWFyPjxwdWItZGF0ZXM+PGRhdGU+QXVnIDAx
PC9kYXRlPjwvcHViLWRhdGVzPjwvZGF0ZXM+PHB1Ymxpc2hlcj5CbGFja3dlbGwgUHVibGlzaGlu
ZyBMdGQ8L3B1Ymxpc2hlcj48YWNjZXNzaW9uLW51bT4xMC4xMTExL2ouMTM2NS0yNDI3LjIwMTAu
MDI0MDMueDwvYWNjZXNzaW9uLW51bT48bGFiZWw+cjAyNTUyPC9sYWJlbD48dXJscz48cmVsYXRl
ZC11cmxzPjx1cmw+aHR0cDovL29ubGluZWxpYnJhcnkud2lsZXkuY29tLmxpYnJhcnlwcm94eS5n
cmlmZml0aC5lZHUuYXUvZG9pLzEwLjExMTEvai4xMzY1LTI0MjcuMjAxMC4wMjQwMy54L2Z1bGw8
L3VybD48L3JlbGF0ZWQtdXJscz48cGRmLXVybHM+PHVybD5maWxlOi8vbG9jYWxob3N0L1VzZXJz
L25pY2tib25kL0Ryb3Bib3gvUGFwZXJzJTIwTGlicmFyeS9MaWJyYXJ5LnBhcGVyczMvRmlsZXMv
RTcvRTdFRTdCOTktMTg5My00Qjk4LTg1RTMtMjU2RTc3NkNCM0FELnBkZjwvdXJsPjwvcGRmLXVy
bHM+PC91cmxzPjxjdXN0b20zPnBhcGVyczM6Ly9wdWJsaWNhdGlvbi91dWlkL0ZGNzk4MzhELUFE
OEItNEI3QS1BQUM3LUZGMDg2RjM2OTQ5NDwvY3VzdG9tMz48ZWxlY3Ryb25pYy1yZXNvdXJjZS1u
dW0+MTAuMTExMS9qLjEzNjUtMjQyNy4yMDEwLjAyNDAzLng8L2VsZWN0cm9uaWMtcmVzb3VyY2Ut
bnVtPjxsYW5ndWFnZT5FbmdsaXNoPC9sYW5ndWFnZT48L3JlY29yZD48L0NpdGU+PC9FbmROb3Rl
PgB=
</w:fldData>
        </w:fldChar>
      </w:r>
      <w:r w:rsidRPr="00747E35">
        <w:rPr>
          <w:rFonts w:asciiTheme="minorHAnsi" w:hAnsiTheme="minorHAnsi" w:cstheme="minorHAnsi"/>
          <w:lang w:eastAsia="en-AU"/>
        </w:rPr>
        <w:instrText xml:space="preserve"> ADDIN EN.CITE.DATA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end"/>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r w:rsidRPr="00747E35">
        <w:rPr>
          <w:rFonts w:asciiTheme="minorHAnsi" w:hAnsiTheme="minorHAnsi" w:cstheme="minorHAnsi"/>
          <w:noProof/>
          <w:lang w:eastAsia="en-AU"/>
        </w:rPr>
        <w:t>(2006; 2010)</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and others indicators such as SIGNAL typically show values indicative of impairment when calculated for intermittent streams. One of the more surprising findings was the relative abundance of a number of taxa such as Leptophlebiidae, which are typically associated with well oxygenated flowing habitats, at times when there was a lack of continuous surface flow. This finding likely reflects the presence of subsurface flows contributing sufficient water movement to maintain oxygen concentrations in the water column that would be less likely to occur in the complete absence of flow. Another challenge in interpreting the macroinvertebrate data was the incomplete picture of the recent flow history for each site. While sites are often classified on either the flow conditions at the time of sampling or the long-term hydrologic regime, it is conditions in the weeks and months prior to sampling that may have a very strong bearing on the presence/absence patterns of aquatic invertebrates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ADDIN EN.CITE &lt;EndNote&gt;&lt;Cite&gt;&lt;Author&gt;Bond&lt;/Author&gt;&lt;Year&gt;2012&lt;/Year&gt;&lt;RecNum&gt;8&lt;/RecNum&gt;&lt;DisplayText&gt;(Bond&lt;style face="italic"&gt; et al.&lt;/style&gt;, 2012)&lt;/DisplayText&gt;&lt;record&gt;&lt;rec-number&gt;8&lt;/rec-number&gt;&lt;foreign-keys&gt;&lt;key app="EN" db-id="e0xesfr96raap0e9et6pfdst9szrdsz2r5a2" timestamp="1479251201"&gt;8&lt;/key&gt;&lt;/foreign-keys&gt;&lt;ref-type name="Report"&gt;27&lt;/ref-type&gt;&lt;contributors&gt;&lt;authors&gt;&lt;author&gt;Bond, Nick R&lt;/author&gt;&lt;author&gt;Thomson, J M&lt;/author&gt;&lt;author&gt;Reich, Paul&lt;/author&gt;&lt;/authors&gt;&lt;/contributors&gt;&lt;titles&gt;&lt;title&gt;Macroinvertebrate responses to antecedent flow, long-term flow regime characteristics and landscape context in Victorian rivers&lt;/title&gt;&lt;/titles&gt;&lt;dates&gt;&lt;year&gt;2012&lt;/year&gt;&lt;/dates&gt;&lt;pub-location&gt;Canberra&lt;/pub-location&gt;&lt;publisher&gt;National Water Commission&lt;/publisher&gt;&lt;urls&gt;&lt;/urls&gt;&lt;/record&gt;&lt;/Cite&gt;&lt;/EndNote&gt;</w:instrText>
      </w:r>
      <w:r w:rsidRPr="00747E35">
        <w:rPr>
          <w:rFonts w:asciiTheme="minorHAnsi" w:hAnsiTheme="minorHAnsi" w:cstheme="minorHAnsi"/>
          <w:lang w:eastAsia="en-AU"/>
        </w:rPr>
        <w:fldChar w:fldCharType="separate"/>
      </w:r>
      <w:r w:rsidRPr="00747E35">
        <w:rPr>
          <w:rFonts w:asciiTheme="minorHAnsi" w:hAnsiTheme="minorHAnsi" w:cstheme="minorHAnsi"/>
          <w:noProof/>
          <w:lang w:eastAsia="en-AU"/>
        </w:rPr>
        <w:t>(Bond</w:t>
      </w:r>
      <w:r w:rsidRPr="00747E35">
        <w:rPr>
          <w:rFonts w:asciiTheme="minorHAnsi" w:hAnsiTheme="minorHAnsi" w:cstheme="minorHAnsi"/>
          <w:i/>
          <w:noProof/>
          <w:lang w:eastAsia="en-AU"/>
        </w:rPr>
        <w:t xml:space="preserve"> et al.</w:t>
      </w:r>
      <w:r w:rsidRPr="00747E35">
        <w:rPr>
          <w:rFonts w:asciiTheme="minorHAnsi" w:hAnsiTheme="minorHAnsi" w:cstheme="minorHAnsi"/>
          <w:noProof/>
          <w:lang w:eastAsia="en-AU"/>
        </w:rPr>
        <w:t>, 2012)</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One of the observations that was made during this study is that the often complex patterns of surface and </w:t>
      </w:r>
      <w:r w:rsidR="006B2C7A">
        <w:rPr>
          <w:rFonts w:asciiTheme="minorHAnsi" w:hAnsiTheme="minorHAnsi" w:cstheme="minorHAnsi"/>
          <w:lang w:eastAsia="en-AU"/>
        </w:rPr>
        <w:t>subsurface</w:t>
      </w:r>
      <w:r w:rsidRPr="00747E35">
        <w:rPr>
          <w:rFonts w:asciiTheme="minorHAnsi" w:hAnsiTheme="minorHAnsi" w:cstheme="minorHAnsi"/>
          <w:lang w:eastAsia="en-AU"/>
        </w:rPr>
        <w:t xml:space="preserve"> flow within each site made it difficult to characterise surface hydrology even with depth loggers installed at each site. Further work is being done to try to calibrate these data to provide a clearer picture of antecedent pool depth, but this step in the analysis has proven difficult. Nonetheless, while antecedent 28-day pool depth (DEPTH) was not an influential variable in the analysis of invertebrate assemblage patterns, it was in the case of fish assemblages. Whether this is because fish are more sensitive to depth changes per se (rather than just the presence or absence of surface flow) remains to be explored further. A final comment on the invertebrate sampling is that the cost of sample collection is relatively low, but the costs of sample processing can be high. This was particularly the case for sites with large amounts of filamentous algae as the sorting time for such samples is greatly increased. </w:t>
      </w:r>
    </w:p>
    <w:p w14:paraId="7B60EECA"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 xml:space="preserve">Given some of the prior observations about how invertebrates respond to hydrologic change when examined in terms of presence-absence patterns across large numbers of sites, an alternative approach to using them in assessment of impacts would be as a planning tool. For example, the patterns of presence and absence of both fish and invertebrates tend to show often clear trends in relation to the degree of flow permanence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ADDIN EN.CITE &lt;EndNote&gt;&lt;Cite&gt;&lt;Author&gt;Bond&lt;/Author&gt;&lt;Year&gt;2011&lt;/Year&gt;&lt;RecNum&gt;33&lt;/RecNum&gt;&lt;DisplayText&gt;(Bond&lt;style face="italic"&gt; et al.&lt;/style&gt;, 2011; Bond&lt;style face="italic"&gt; et al.&lt;/style&gt;, 2012)&lt;/DisplayText&gt;&lt;record&gt;&lt;rec-number&gt;33&lt;/rec-number&gt;&lt;foreign-keys&gt;&lt;key app="EN" db-id="v5vt5t95g2far6evspavvw010zs0a2zwxzsd" timestamp="1476935196"&gt;33&lt;/key&gt;&lt;/foreign-keys&gt;&lt;ref-type name="Journal Article"&gt;17&lt;/ref-type&gt;&lt;contributors&gt;&lt;authors&gt;&lt;author&gt;Bond, N.R.&lt;/author&gt;&lt;author&gt;Thomson, J.&lt;/author&gt;&lt;author&gt;Reich, P.&lt;/author&gt;&lt;author&gt;Stein, J.&lt;/author&gt;&lt;/authors&gt;&lt;/contributors&gt;&lt;titles&gt;&lt;title&gt;Using species distribution models to infer potential climate change-induced range shifts of freshwater fish in south-eastern Australia&lt;/title&gt;&lt;secondary-title&gt;Marine and Freshwater Research&lt;/secondary-title&gt;&lt;/titles&gt;&lt;periodical&gt;&lt;full-title&gt;Marine and Freshwater Research&lt;/full-title&gt;&lt;/periodical&gt;&lt;pages&gt;1043-1061&lt;/pages&gt;&lt;volume&gt;62&lt;/volume&gt;&lt;number&gt;9&lt;/number&gt;&lt;dates&gt;&lt;year&gt;2011&lt;/year&gt;&lt;pub-dates&gt;&lt;date&gt;2011&lt;/date&gt;&lt;/pub-dates&gt;&lt;/dates&gt;&lt;accession-num&gt;WOS:000295083900006&lt;/accession-num&gt;&lt;urls&gt;&lt;related-urls&gt;&lt;url&gt;http://www.scopus.com/inward/record.url?eid=2-s2.0-80053103001&amp;amp;partnerID=MN8TOARS&lt;/url&gt;&lt;/related-urls&gt;&lt;/urls&gt;&lt;electronic-resource-num&gt;10.1071/MF10286&lt;/electronic-resource-num&gt;&lt;/record&gt;&lt;/Cite&gt;&lt;Cite&gt;&lt;Author&gt;Bond&lt;/Author&gt;&lt;Year&gt;2012&lt;/Year&gt;&lt;RecNum&gt;8&lt;/RecNum&gt;&lt;record&gt;&lt;rec-number&gt;8&lt;/rec-number&gt;&lt;foreign-keys&gt;&lt;key app="EN" db-id="e0xesfr96raap0e9et6pfdst9szrdsz2r5a2" timestamp="1479251201"&gt;8&lt;/key&gt;&lt;/foreign-keys&gt;&lt;ref-type name="Report"&gt;27&lt;/ref-type&gt;&lt;contributors&gt;&lt;authors&gt;&lt;author&gt;Bond, Nick R&lt;/author&gt;&lt;author&gt;Thomson, J M&lt;/author&gt;&lt;author&gt;Reich, Paul&lt;/author&gt;&lt;/authors&gt;&lt;/contributors&gt;&lt;titles&gt;&lt;title&gt;Macroinvertebrate responses to antecedent flow, long-term flow regime characteristics and landscape context in Victorian rivers&lt;/title&gt;&lt;/titles&gt;&lt;dates&gt;&lt;year&gt;2012&lt;/year&gt;&lt;/dates&gt;&lt;pub-location&gt;Canberra&lt;/pub-location&gt;&lt;publisher&gt;National Water Commission&lt;/publisher&gt;&lt;urls&gt;&lt;/urls&gt;&lt;/record&gt;&lt;/Cite&gt;&lt;/EndNote&gt;</w:instrText>
      </w:r>
      <w:r w:rsidRPr="00747E35">
        <w:rPr>
          <w:rFonts w:asciiTheme="minorHAnsi" w:hAnsiTheme="minorHAnsi" w:cstheme="minorHAnsi"/>
          <w:lang w:eastAsia="en-AU"/>
        </w:rPr>
        <w:fldChar w:fldCharType="separate"/>
      </w:r>
      <w:r w:rsidRPr="00747E35">
        <w:rPr>
          <w:rFonts w:asciiTheme="minorHAnsi" w:hAnsiTheme="minorHAnsi" w:cstheme="minorHAnsi"/>
          <w:noProof/>
          <w:lang w:eastAsia="en-AU"/>
        </w:rPr>
        <w:t>(Bond</w:t>
      </w:r>
      <w:r w:rsidRPr="00747E35">
        <w:rPr>
          <w:rFonts w:asciiTheme="minorHAnsi" w:hAnsiTheme="minorHAnsi" w:cstheme="minorHAnsi"/>
          <w:i/>
          <w:noProof/>
          <w:lang w:eastAsia="en-AU"/>
        </w:rPr>
        <w:t xml:space="preserve"> et al.</w:t>
      </w:r>
      <w:r w:rsidRPr="00747E35">
        <w:rPr>
          <w:rFonts w:asciiTheme="minorHAnsi" w:hAnsiTheme="minorHAnsi" w:cstheme="minorHAnsi"/>
          <w:noProof/>
          <w:lang w:eastAsia="en-AU"/>
        </w:rPr>
        <w:t>, 2011; Bond</w:t>
      </w:r>
      <w:r w:rsidRPr="00747E35">
        <w:rPr>
          <w:rFonts w:asciiTheme="minorHAnsi" w:hAnsiTheme="minorHAnsi" w:cstheme="minorHAnsi"/>
          <w:i/>
          <w:noProof/>
          <w:lang w:eastAsia="en-AU"/>
        </w:rPr>
        <w:t xml:space="preserve"> et al.</w:t>
      </w:r>
      <w:r w:rsidRPr="00747E35">
        <w:rPr>
          <w:rFonts w:asciiTheme="minorHAnsi" w:hAnsiTheme="minorHAnsi" w:cstheme="minorHAnsi"/>
          <w:noProof/>
          <w:lang w:eastAsia="en-AU"/>
        </w:rPr>
        <w:t>, 2012)</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Rather than seeking to test for impacts from altered hydrology, an alternative approach would be to use models built using existing large-scale datasets to set limits to hydrologic alteration, and to focus investment on monitoring and modelling efforts to better understand the likely hydrologic impacts that may arise from CMCSG extraction. Such approaches have been advocated for setting environmental flow targets for regulated rivers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ADDIN EN.CITE &lt;EndNote&gt;&lt;Cite&gt;&lt;Author&gt;Poff&lt;/Author&gt;&lt;Year&gt;2010&lt;/Year&gt;&lt;RecNum&gt;1114&lt;/RecNum&gt;&lt;Prefix&gt;e.g. &lt;/Prefix&gt;&lt;DisplayText&gt;(e.g. Poff&lt;style face="italic"&gt; et al.&lt;/style&gt;, 2010)&lt;/DisplayText&gt;&lt;record&gt;&lt;rec-number&gt;1114&lt;/rec-number&gt;&lt;foreign-keys&gt;&lt;key app="EN" db-id="v5vt5t95g2far6evspavvw010zs0a2zwxzsd" timestamp="1476994711"&gt;1114&lt;/key&gt;&lt;/foreign-keys&gt;&lt;ref-type name="Journal Article"&gt;17&lt;/ref-type&gt;&lt;contributors&gt;&lt;authors&gt;&lt;author&gt;Poff, Nathan LeRoy&lt;/author&gt;&lt;author&gt;Richter, Brian D&lt;/author&gt;&lt;author&gt;Arthington, Angela H&lt;/author&gt;&lt;author&gt;Bunn, Stuart E&lt;/author&gt;&lt;/authors&gt;&lt;/contributors&gt;&lt;titles&gt;&lt;title&gt;The ecological limits of hydrologic alteration (ELOHA): a new framework for developing regional environmental flow standards&lt;/title&gt;&lt;secondary-title&gt;Freshwater Biology&lt;/secondary-title&gt;&lt;short-title&gt;Ecological limits of hydrologic alteration&lt;/short-title&gt;&lt;/titles&gt;&lt;periodical&gt;&lt;full-title&gt;Freshwater Biology&lt;/full-title&gt;&lt;/periodical&gt;&lt;pages&gt;147-170&lt;/pages&gt;&lt;volume&gt;55&lt;/volume&gt;&lt;number&gt;1&lt;/number&gt;&lt;dates&gt;&lt;year&gt;2010&lt;/year&gt;&lt;/dates&gt;&lt;accession-num&gt;10.1111/j.1365-2427.2009.02204.x&lt;/accession-num&gt;&lt;label&gt;r00599&lt;/label&gt;&lt;urls&gt;&lt;related-urls&gt;&lt;url&gt;http://doi.wiley.com/10.1111/j.1365-2427.2009.02204.x&lt;/url&gt;&lt;/related-urls&gt;&lt;pdf-urls&gt;&lt;url&gt;file://localhost/Users/nickbond/Dropbox/Papers%20Library/Library.papers3/Files/B6/B600D4BD-FA52-4941-BA02-FDD343B2E061.pdf&lt;/url&gt;&lt;/pdf-urls&gt;&lt;/urls&gt;&lt;custom3&gt;papers3://publication/uuid/E92C1628-F4CE-493F-9907-0DFC79B7CEA3&lt;/custom3&gt;&lt;electronic-resource-num&gt;10.1111/j.1365-2427.2009.02204.x&lt;/electronic-resource-num&gt;&lt;language&gt;English&lt;/language&gt;&lt;/record&gt;&lt;/Cite&gt;&lt;/EndNote&gt;</w:instrText>
      </w:r>
      <w:r w:rsidRPr="00747E35">
        <w:rPr>
          <w:rFonts w:asciiTheme="minorHAnsi" w:hAnsiTheme="minorHAnsi" w:cstheme="minorHAnsi"/>
          <w:lang w:eastAsia="en-AU"/>
        </w:rPr>
        <w:fldChar w:fldCharType="separate"/>
      </w:r>
      <w:r w:rsidRPr="00747E35">
        <w:rPr>
          <w:rFonts w:asciiTheme="minorHAnsi" w:hAnsiTheme="minorHAnsi" w:cstheme="minorHAnsi"/>
          <w:noProof/>
          <w:lang w:eastAsia="en-AU"/>
        </w:rPr>
        <w:t>(e.g. Poff</w:t>
      </w:r>
      <w:r w:rsidRPr="00747E35">
        <w:rPr>
          <w:rFonts w:asciiTheme="minorHAnsi" w:hAnsiTheme="minorHAnsi" w:cstheme="minorHAnsi"/>
          <w:i/>
          <w:noProof/>
          <w:lang w:eastAsia="en-AU"/>
        </w:rPr>
        <w:t xml:space="preserve"> et al.</w:t>
      </w:r>
      <w:r w:rsidRPr="00747E35">
        <w:rPr>
          <w:rFonts w:asciiTheme="minorHAnsi" w:hAnsiTheme="minorHAnsi" w:cstheme="minorHAnsi"/>
          <w:noProof/>
          <w:lang w:eastAsia="en-AU"/>
        </w:rPr>
        <w:t>, 2010)</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but in fact may be more appropriate for unregulated rivers subjected to broad-scale water withdrawals where the </w:t>
      </w:r>
      <w:r w:rsidRPr="00747E35">
        <w:rPr>
          <w:rFonts w:asciiTheme="minorHAnsi" w:hAnsiTheme="minorHAnsi" w:cstheme="minorHAnsi"/>
          <w:lang w:eastAsia="en-AU"/>
        </w:rPr>
        <w:lastRenderedPageBreak/>
        <w:t>patterns of flow change may be far less complex than in regulated systems where flows can be manipulated via reservoir releases.</w:t>
      </w:r>
    </w:p>
    <w:p w14:paraId="50B5C806" w14:textId="77777777" w:rsidR="003D3694" w:rsidRPr="00747E35" w:rsidRDefault="003D3694" w:rsidP="003D3694">
      <w:pPr>
        <w:rPr>
          <w:rFonts w:asciiTheme="minorHAnsi" w:hAnsiTheme="minorHAnsi" w:cstheme="minorHAnsi"/>
          <w:lang w:eastAsia="en-AU"/>
        </w:rPr>
      </w:pPr>
    </w:p>
    <w:p w14:paraId="68C765C5" w14:textId="5AF07288" w:rsidR="003D3694" w:rsidRPr="00747E35" w:rsidRDefault="003D3694" w:rsidP="003D3694">
      <w:pPr>
        <w:pStyle w:val="Heading2"/>
        <w:rPr>
          <w:rFonts w:asciiTheme="minorHAnsi" w:hAnsiTheme="minorHAnsi" w:cstheme="minorHAnsi"/>
        </w:rPr>
      </w:pPr>
      <w:bookmarkStart w:id="177" w:name="_Toc466450351"/>
      <w:bookmarkStart w:id="178" w:name="_Toc470004859"/>
      <w:r w:rsidRPr="00747E35">
        <w:rPr>
          <w:rFonts w:asciiTheme="minorHAnsi" w:hAnsiTheme="minorHAnsi" w:cstheme="minorHAnsi"/>
        </w:rPr>
        <w:t>Conclusions</w:t>
      </w:r>
      <w:bookmarkEnd w:id="177"/>
      <w:r w:rsidRPr="00747E35">
        <w:rPr>
          <w:rFonts w:asciiTheme="minorHAnsi" w:hAnsiTheme="minorHAnsi" w:cstheme="minorHAnsi"/>
        </w:rPr>
        <w:t xml:space="preserve"> and key findings</w:t>
      </w:r>
      <w:bookmarkEnd w:id="178"/>
    </w:p>
    <w:p w14:paraId="44981D5E"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This research investigated the ecology of intermittent rivers in eastern Australia with the aim of identifying the ecological consequences of reduced baseflows. The majority of Australian rivers are intermittent </w:t>
      </w:r>
      <w:r w:rsidRPr="00747E35">
        <w:rPr>
          <w:rFonts w:asciiTheme="minorHAnsi" w:hAnsiTheme="minorHAnsi" w:cstheme="minorHAnsi"/>
        </w:rPr>
        <w:fldChar w:fldCharType="begin"/>
      </w:r>
      <w:r w:rsidRPr="00747E35">
        <w:rPr>
          <w:rFonts w:asciiTheme="minorHAnsi" w:hAnsiTheme="minorHAnsi" w:cstheme="minorHAnsi"/>
        </w:rPr>
        <w:instrText xml:space="preserve"> ADDIN PAPERS2_CITATIONS &lt;citation&gt;&lt;uuid&gt;5B5B870C-6BE8-4464-A4F5-7DC72E549B0B&lt;/uuid&gt;&lt;priority&gt;0&lt;/priority&gt;&lt;publications&gt;&lt;publication&gt;&lt;volume&gt;55&lt;/volume&gt;&lt;publication_date&gt;99201000001200000000200000&lt;/publication_date&gt;&lt;number&gt;1&lt;/number&gt;&lt;startpage&gt;171&lt;/startpage&gt;&lt;title&gt;Classification of natural flow regimes in Australia to support environmental flow management&lt;/title&gt;&lt;uuid&gt;118172C3-970D-4DE6-A437-23C2AF990BE6&lt;/uuid&gt;&lt;subtype&gt;400&lt;/subtype&gt;&lt;publisher&gt;Wiley Online Library&lt;/publisher&gt;&lt;type&gt;400&lt;/type&gt;&lt;endpage&gt;193&lt;/endpage&gt;&lt;url&gt;http://www.google.com.au/search?client=safari&amp;amp;rls=en-us&amp;amp;q=Classification+of+natural+flow+regimes+in+Australia+to+support+environmental+flow+management&amp;amp;ie=UTF-8&amp;amp;oe=UTF-8&amp;amp;redir_esc=&amp;amp;ei=uSnDTvzaL8LxmAXixoX4Cg&lt;/url&gt;&lt;bundle&gt;&lt;publication&gt;&lt;publisher&gt;Wiley Online Library&lt;/publisher&gt;&lt;url&gt;http://onlinelibrary.wiley.com&lt;/url&gt;&lt;title&gt;Freshwater Biology&lt;/title&gt;&lt;type&gt;-100&lt;/type&gt;&lt;subtype&gt;-100&lt;/subtype&gt;&lt;uuid&gt;0067BDEE-665B-4F92-A434-0AFD87812E86&lt;/uuid&gt;&lt;/publication&gt;&lt;/bundle&gt;&lt;authors&gt;&lt;author&gt;&lt;firstName&gt;M&lt;/firstName&gt;&lt;middleNames&gt;J&lt;/middleNames&gt;&lt;lastName&gt;Kennard&lt;/lastName&gt;&lt;/author&gt;&lt;author&gt;&lt;firstName&gt;B&lt;/firstName&gt;&lt;middleNames&gt;J&lt;/middleNames&gt;&lt;lastName&gt;Pusey&lt;/lastName&gt;&lt;/author&gt;&lt;author&gt;&lt;firstName&gt;J&lt;/firstName&gt;&lt;middleNames&gt;D&lt;/middleNames&gt;&lt;lastName&gt;Olden&lt;/lastName&gt;&lt;/author&gt;&lt;author&gt;&lt;firstName&gt;S.J.&lt;/firstName&gt;&lt;lastName&gt;Mackay&lt;/lastName&gt;&lt;/author&gt;&lt;author&gt;&lt;firstName&gt;J L&lt;/firstName&gt;&lt;lastName&gt;Stein&lt;/lastName&gt;&lt;/author&gt;&lt;author&gt;&lt;firstName&gt;N&lt;/firstName&gt;&lt;lastName&gt;Marsh&lt;/lastName&gt;&lt;/author&gt;&lt;/authors&gt;&lt;/publication&gt;&lt;/publications&gt;&lt;cites&gt;&lt;/cites&gt;&lt;/citation&gt;</w:instrText>
      </w:r>
      <w:r w:rsidRPr="00747E35">
        <w:rPr>
          <w:rFonts w:asciiTheme="minorHAnsi" w:hAnsiTheme="minorHAnsi" w:cstheme="minorHAnsi"/>
        </w:rPr>
        <w:fldChar w:fldCharType="separate"/>
      </w:r>
      <w:r w:rsidRPr="00747E35">
        <w:rPr>
          <w:rFonts w:asciiTheme="minorHAnsi" w:hAnsiTheme="minorHAnsi" w:cstheme="minorHAnsi"/>
        </w:rPr>
        <w:t>(Kennard et al., 2010)</w:t>
      </w:r>
      <w:r w:rsidRPr="00747E35">
        <w:rPr>
          <w:rFonts w:asciiTheme="minorHAnsi" w:hAnsiTheme="minorHAnsi" w:cstheme="minorHAnsi"/>
        </w:rPr>
        <w:fldChar w:fldCharType="end"/>
      </w:r>
      <w:r w:rsidRPr="00747E35">
        <w:rPr>
          <w:rFonts w:asciiTheme="minorHAnsi" w:hAnsiTheme="minorHAnsi" w:cstheme="minorHAnsi"/>
        </w:rPr>
        <w:t>, and there is a pressing need to better understand the role of baseflows in supporting ecosystem patterns and processes within intermittent as well as perennial systems, especially within areas subjected to potential groundwater drawdowns.</w:t>
      </w:r>
    </w:p>
    <w:p w14:paraId="1AAB8115"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Detrital processes were principally linked to the degree of substrate saturation at multiple scales, with drier conditions leading to reduced rates of organic matter processing in surface habitats. Detrital processing is a key ecosystem function in aquatic ecosystems because it forms the energetic base of many food webs. A reduction in baseflow will lead to a greater proportion of dry streambed, greater duration of flow intermittency, and will ultimately lower rates of particulate organic matter processing in surface habitats. Despite the negative impact on surface detrital processes, it’s important to note that organic matter processing in the hyporheic zone was largely unaffected by reductions in flow. Both leaf litter processing and cotton degradation were greater in the hyporheic zone than in corresponding wet and dry surface areas. Overall, our results highlight that intermittent river channels are important locations for detrital processes and that the hyporheic zone sustains critical ecosystem processes even when surface flow-paths cease.</w:t>
      </w:r>
    </w:p>
    <w:p w14:paraId="4083C59D"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Short-term and long-term reductions in flow may affect the sources of energy for food webs and the persistence of higher order consumers. Autochthonous C sources (algae) were important energy sources for aquatic consumers in wetter flow periods, with no evidence of reliance on sampled basal sources in drier periods. Given the algae require wetted habitats, extended periods of reduced flow (and cease-to-flow events) may reduce the availability of preferred energy sources for consumers, leading to less productive food webs.</w:t>
      </w:r>
    </w:p>
    <w:p w14:paraId="1A4100B6" w14:textId="49E515B8" w:rsidR="003D3694" w:rsidRPr="00747E35" w:rsidRDefault="003D3694" w:rsidP="003D3694">
      <w:pPr>
        <w:rPr>
          <w:rFonts w:asciiTheme="minorHAnsi" w:hAnsiTheme="minorHAnsi" w:cstheme="minorHAnsi"/>
        </w:rPr>
      </w:pPr>
      <w:r w:rsidRPr="00747E35">
        <w:rPr>
          <w:rFonts w:asciiTheme="minorHAnsi" w:hAnsiTheme="minorHAnsi" w:cstheme="minorHAnsi"/>
          <w:lang w:eastAsia="en-AU"/>
        </w:rPr>
        <w:t xml:space="preserve">The intermittent streams studied contained a diverse biotic assemblage, challenging the commonly held assumption that intermittent rivers and ephemeral streams do not contribute to local and regional aquatic biodiversity. Furthermore, </w:t>
      </w:r>
      <w:r w:rsidRPr="00747E35">
        <w:rPr>
          <w:rFonts w:asciiTheme="minorHAnsi" w:hAnsiTheme="minorHAnsi" w:cstheme="minorHAnsi"/>
        </w:rPr>
        <w:t xml:space="preserve">macroinvertebrate </w:t>
      </w:r>
      <w:r w:rsidRPr="00747E35">
        <w:rPr>
          <w:rFonts w:asciiTheme="minorHAnsi" w:hAnsiTheme="minorHAnsi" w:cstheme="minorHAnsi"/>
          <w:lang w:eastAsia="en-AU"/>
        </w:rPr>
        <w:t xml:space="preserve">taxa typically associated with well oxygenated, flowing habitats (i.e. mayflies) were present at times when surface flow had ceased. This observation likely reflects the importance of </w:t>
      </w:r>
      <w:r w:rsidR="006B2C7A">
        <w:rPr>
          <w:rFonts w:asciiTheme="minorHAnsi" w:hAnsiTheme="minorHAnsi" w:cstheme="minorHAnsi"/>
          <w:lang w:eastAsia="en-AU"/>
        </w:rPr>
        <w:t>subsurface</w:t>
      </w:r>
      <w:r w:rsidRPr="00747E35">
        <w:rPr>
          <w:rFonts w:asciiTheme="minorHAnsi" w:hAnsiTheme="minorHAnsi" w:cstheme="minorHAnsi"/>
          <w:lang w:eastAsia="en-AU"/>
        </w:rPr>
        <w:t xml:space="preserve"> flow for maintaining oxygen concentrations in residual aquatic habitats at levels that would be less likely to occur in the complete absence of flow. </w:t>
      </w:r>
      <w:r w:rsidRPr="00747E35">
        <w:rPr>
          <w:rFonts w:asciiTheme="minorHAnsi" w:hAnsiTheme="minorHAnsi" w:cstheme="minorHAnsi"/>
        </w:rPr>
        <w:t xml:space="preserve">Clearly, extended periods of reduced flow (and cease to flow events) will impact directly on fish and macroinvertebrates if habitats dry out completely, but the presence of refuge habitats, which may be associated with surface pools maintained by hyporheic flow, can alter the patterns that might otherwise be expected. Channel heterogeneity within individual streams will strongly influence the role that local refuges may play in sustaining waterbody-dependent biota </w:t>
      </w:r>
      <w:r w:rsidRPr="00747E35">
        <w:rPr>
          <w:rFonts w:asciiTheme="minorHAnsi" w:hAnsiTheme="minorHAnsi" w:cstheme="minorHAnsi"/>
        </w:rPr>
        <w:fldChar w:fldCharType="begin"/>
      </w:r>
      <w:r w:rsidRPr="00747E35">
        <w:rPr>
          <w:rFonts w:asciiTheme="minorHAnsi" w:hAnsiTheme="minorHAnsi" w:cstheme="minorHAnsi"/>
        </w:rPr>
        <w:instrText xml:space="preserve"> ADDIN EN.CITE &lt;EndNote&gt;&lt;Cite&gt;&lt;Author&gt;Davis&lt;/Author&gt;&lt;Year&gt;2013&lt;/Year&gt;&lt;RecNum&gt;460&lt;/RecNum&gt;&lt;DisplayText&gt;(Davis&lt;style face="italic"&gt; et al.&lt;/style&gt;, 2013b)&lt;/DisplayText&gt;&lt;record&gt;&lt;rec-number&gt;460&lt;/rec-number&gt;&lt;foreign-keys&gt;&lt;key app="EN" db-id="v5vt5t95g2far6evspavvw010zs0a2zwxzsd" timestamp="1476994709"&gt;460&lt;/key&gt;&lt;/foreign-keys&gt;&lt;ref-type name="Journal Article"&gt;17&lt;/ref-type&gt;&lt;contributors&gt;&lt;authors&gt;&lt;author&gt;Davis, J&lt;/author&gt;&lt;author&gt;Pavlova, A&lt;/author&gt;&lt;author&gt;Thompson, Ross M&lt;/author&gt;&lt;/authors&gt;&lt;/contributors&gt;&lt;titles&gt;&lt;title&gt;Evolutionary refugia and ecological refuges: key concepts for conserving Australian arid zone freshwater biodiversity under climate change - Davis - 2013 - Global Change Biology - Wiley Online Library&lt;/title&gt;&lt;secondary-title&gt;Global Change Biology&lt;/secondary-title&gt;&lt;short-title&gt;Global Change …&lt;/short-title&gt;&lt;/titles&gt;&lt;periodical&gt;&lt;full-title&gt;Global Change Biology&lt;/full-title&gt;&lt;/periodical&gt;&lt;dates&gt;&lt;year&gt;2013&lt;/year&gt;&lt;/dates&gt;&lt;accession-num&gt;838B7819-8AB0-4B3D-B581-2EEDCEFEF944&lt;/accession-num&gt;&lt;label&gt;r10068&lt;/label&gt;&lt;urls&gt;&lt;related-urls&gt;&lt;url&gt;http://onlinelibrary.wiley.com/doi/10.1111/gcb.12203/full&lt;/url&gt;&lt;/related-urls&gt;&lt;pdf-urls&gt;&lt;url&gt;file://localhost/Users/nickbond/Dropbox/Papers%20Library/Library.papers3/Files/B7/B7772384-864F-4A87-AAB6-131A52774DB9.pdf&lt;/url&gt;&lt;/pdf-urls&gt;&lt;/urls&gt;&lt;custom3&gt;papers3://publication/uuid/5B22DAF9-493B-4E5D-B781-861F721A54C2&lt;/custom3&gt;&lt;/record&gt;&lt;/Cite&gt;&lt;/EndNote&gt;</w:instrText>
      </w:r>
      <w:r w:rsidRPr="00747E35">
        <w:rPr>
          <w:rFonts w:asciiTheme="minorHAnsi" w:hAnsiTheme="minorHAnsi" w:cstheme="minorHAnsi"/>
        </w:rPr>
        <w:fldChar w:fldCharType="separate"/>
      </w:r>
      <w:r w:rsidRPr="00747E35">
        <w:rPr>
          <w:rFonts w:asciiTheme="minorHAnsi" w:hAnsiTheme="minorHAnsi" w:cstheme="minorHAnsi"/>
          <w:noProof/>
        </w:rPr>
        <w:t>(Davis</w:t>
      </w:r>
      <w:r w:rsidRPr="00747E35">
        <w:rPr>
          <w:rFonts w:asciiTheme="minorHAnsi" w:hAnsiTheme="minorHAnsi" w:cstheme="minorHAnsi"/>
          <w:i/>
          <w:noProof/>
        </w:rPr>
        <w:t xml:space="preserve"> et al.</w:t>
      </w:r>
      <w:r w:rsidRPr="00747E35">
        <w:rPr>
          <w:rFonts w:asciiTheme="minorHAnsi" w:hAnsiTheme="minorHAnsi" w:cstheme="minorHAnsi"/>
          <w:noProof/>
        </w:rPr>
        <w:t>, 2013b)</w:t>
      </w:r>
      <w:r w:rsidRPr="00747E35">
        <w:rPr>
          <w:rFonts w:asciiTheme="minorHAnsi" w:hAnsiTheme="minorHAnsi" w:cstheme="minorHAnsi"/>
        </w:rPr>
        <w:fldChar w:fldCharType="end"/>
      </w:r>
      <w:r w:rsidRPr="00747E35">
        <w:rPr>
          <w:rFonts w:asciiTheme="minorHAnsi" w:hAnsiTheme="minorHAnsi" w:cstheme="minorHAnsi"/>
        </w:rPr>
        <w:t>, but may also add additional challenges when trying to generalise the effects of flow reductions.</w:t>
      </w:r>
    </w:p>
    <w:p w14:paraId="4AC51671"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Overall, our key findings are listed below:</w:t>
      </w:r>
    </w:p>
    <w:p w14:paraId="05FABC1B" w14:textId="77777777" w:rsidR="003D3694" w:rsidRPr="00747E35" w:rsidRDefault="003D3694" w:rsidP="0083624F">
      <w:pPr>
        <w:pStyle w:val="ListParagraph"/>
        <w:numPr>
          <w:ilvl w:val="0"/>
          <w:numId w:val="21"/>
        </w:numPr>
        <w:adjustRightInd w:val="0"/>
        <w:spacing w:before="60" w:after="240" w:line="240" w:lineRule="auto"/>
        <w:contextualSpacing w:val="0"/>
        <w:jc w:val="both"/>
        <w:rPr>
          <w:rFonts w:asciiTheme="minorHAnsi" w:hAnsiTheme="minorHAnsi" w:cstheme="minorHAnsi"/>
          <w:lang w:eastAsia="en-AU"/>
        </w:rPr>
      </w:pPr>
      <w:r w:rsidRPr="00747E35">
        <w:rPr>
          <w:rFonts w:asciiTheme="minorHAnsi" w:hAnsiTheme="minorHAnsi" w:cstheme="minorHAnsi"/>
          <w:lang w:eastAsia="en-AU"/>
        </w:rPr>
        <w:t>Intermittent river systems are important locations for detrital processes and the hyporheic zone sustains critical ecosystem processes even when surface flow-paths cease.</w:t>
      </w:r>
    </w:p>
    <w:p w14:paraId="7F0EFD1F" w14:textId="77777777" w:rsidR="003D3694" w:rsidRPr="00747E35" w:rsidRDefault="003D3694" w:rsidP="0083624F">
      <w:pPr>
        <w:pStyle w:val="ListParagraph"/>
        <w:numPr>
          <w:ilvl w:val="0"/>
          <w:numId w:val="21"/>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Short-term and long-term reductions in flow may affect the availability and nutritional quality of important sources of energy for aquatic food webs. Given that algae require wetted habitats, extended periods of reduced flow (and cease-to-flow events) may reduce the availability of preferred energy sources for consumers, leading to less productive food webs.</w:t>
      </w:r>
    </w:p>
    <w:p w14:paraId="7D1179A1" w14:textId="48510EDA" w:rsidR="003D3694" w:rsidRPr="00747E35" w:rsidRDefault="003D3694" w:rsidP="0083624F">
      <w:pPr>
        <w:pStyle w:val="ListParagraph"/>
        <w:numPr>
          <w:ilvl w:val="0"/>
          <w:numId w:val="21"/>
        </w:numPr>
        <w:adjustRightInd w:val="0"/>
        <w:spacing w:before="60" w:after="240" w:line="240" w:lineRule="auto"/>
        <w:contextualSpacing w:val="0"/>
        <w:jc w:val="both"/>
        <w:rPr>
          <w:rFonts w:asciiTheme="minorHAnsi" w:hAnsiTheme="minorHAnsi" w:cstheme="minorHAnsi"/>
          <w:lang w:eastAsia="en-AU"/>
        </w:rPr>
      </w:pPr>
      <w:r w:rsidRPr="00747E35">
        <w:rPr>
          <w:rFonts w:asciiTheme="minorHAnsi" w:hAnsiTheme="minorHAnsi" w:cstheme="minorHAnsi"/>
          <w:lang w:eastAsia="en-AU"/>
        </w:rPr>
        <w:lastRenderedPageBreak/>
        <w:t xml:space="preserve">The intermittent streams studied contained a diverse biotic assemblage, and continual </w:t>
      </w:r>
      <w:r w:rsidR="006B2C7A">
        <w:rPr>
          <w:rFonts w:asciiTheme="minorHAnsi" w:hAnsiTheme="minorHAnsi" w:cstheme="minorHAnsi"/>
          <w:lang w:eastAsia="en-AU"/>
        </w:rPr>
        <w:t>subsurface</w:t>
      </w:r>
      <w:r w:rsidRPr="00747E35">
        <w:rPr>
          <w:rFonts w:asciiTheme="minorHAnsi" w:hAnsiTheme="minorHAnsi" w:cstheme="minorHAnsi"/>
          <w:lang w:eastAsia="en-AU"/>
        </w:rPr>
        <w:t xml:space="preserve"> baseflow appears to be instrumental in sustaining these assemblages.</w:t>
      </w:r>
      <w:r w:rsidRPr="00747E35">
        <w:rPr>
          <w:rFonts w:asciiTheme="minorHAnsi" w:hAnsiTheme="minorHAnsi" w:cstheme="minorHAnsi"/>
        </w:rPr>
        <w:t xml:space="preserve"> </w:t>
      </w:r>
      <w:r w:rsidRPr="00747E35">
        <w:rPr>
          <w:rFonts w:asciiTheme="minorHAnsi" w:hAnsiTheme="minorHAnsi" w:cstheme="minorHAnsi"/>
          <w:lang w:eastAsia="en-AU"/>
        </w:rPr>
        <w:t>This finding challenges the commonly held assumption that intermittent rivers and ephemeral streams do not contribute to local and regional aquatic biodiversity.</w:t>
      </w:r>
    </w:p>
    <w:p w14:paraId="227420EF" w14:textId="5CBFBE0F" w:rsidR="003D3694" w:rsidRPr="00747E35" w:rsidRDefault="003D3694" w:rsidP="0083624F">
      <w:pPr>
        <w:pStyle w:val="ListParagraph"/>
        <w:numPr>
          <w:ilvl w:val="0"/>
          <w:numId w:val="21"/>
        </w:numPr>
        <w:adjustRightInd w:val="0"/>
        <w:spacing w:before="60" w:after="240" w:line="240" w:lineRule="auto"/>
        <w:contextualSpacing w:val="0"/>
        <w:jc w:val="both"/>
        <w:rPr>
          <w:rFonts w:asciiTheme="minorHAnsi" w:hAnsiTheme="minorHAnsi" w:cstheme="minorHAnsi"/>
          <w:lang w:eastAsia="en-AU"/>
        </w:rPr>
      </w:pPr>
      <w:r w:rsidRPr="00747E35">
        <w:rPr>
          <w:rFonts w:asciiTheme="minorHAnsi" w:hAnsiTheme="minorHAnsi" w:cstheme="minorHAnsi"/>
          <w:lang w:eastAsia="en-AU"/>
        </w:rPr>
        <w:t xml:space="preserve">Longer-term patterns in flow variability are an important predictor of fish </w:t>
      </w:r>
      <w:r w:rsidR="008F1EA6">
        <w:rPr>
          <w:rFonts w:asciiTheme="minorHAnsi" w:hAnsiTheme="minorHAnsi" w:cstheme="minorHAnsi"/>
          <w:lang w:eastAsia="en-AU"/>
        </w:rPr>
        <w:t xml:space="preserve">species composition and </w:t>
      </w:r>
      <w:r w:rsidRPr="00747E35">
        <w:rPr>
          <w:rFonts w:asciiTheme="minorHAnsi" w:hAnsiTheme="minorHAnsi" w:cstheme="minorHAnsi"/>
          <w:lang w:eastAsia="en-AU"/>
        </w:rPr>
        <w:t>assemblage structure. Streams with a lower discharge will likely be more intermittent and have low wetted habitat persistence and longitudinal connectivity, which may act as a broad-scale filter in determining fish assemblage</w:t>
      </w:r>
      <w:r w:rsidR="008F1EA6">
        <w:rPr>
          <w:rFonts w:asciiTheme="minorHAnsi" w:hAnsiTheme="minorHAnsi" w:cstheme="minorHAnsi"/>
          <w:lang w:eastAsia="en-AU"/>
        </w:rPr>
        <w:t>s</w:t>
      </w:r>
      <w:r w:rsidRPr="00747E35">
        <w:rPr>
          <w:rFonts w:asciiTheme="minorHAnsi" w:hAnsiTheme="minorHAnsi" w:cstheme="minorHAnsi"/>
          <w:lang w:eastAsia="en-AU"/>
        </w:rPr>
        <w:t>. However, groundwater contributions to baseflow may play an important role in sustaining fish populations by buffering against periods of flow cessation by maintaining residual wetted habitats.</w:t>
      </w:r>
    </w:p>
    <w:p w14:paraId="5C2025A6" w14:textId="77777777" w:rsidR="003D3694" w:rsidRPr="00747E35" w:rsidRDefault="003D3694" w:rsidP="003D3694">
      <w:pPr>
        <w:ind w:left="360"/>
        <w:rPr>
          <w:rFonts w:asciiTheme="minorHAnsi" w:hAnsiTheme="minorHAnsi" w:cstheme="minorHAnsi"/>
          <w:lang w:eastAsia="en-AU"/>
        </w:rPr>
      </w:pPr>
    </w:p>
    <w:p w14:paraId="58512D51" w14:textId="068DA2C4" w:rsidR="003D3694" w:rsidRPr="00747E35" w:rsidRDefault="003D3694" w:rsidP="003D3694">
      <w:pPr>
        <w:pStyle w:val="Heading2"/>
        <w:rPr>
          <w:rFonts w:asciiTheme="minorHAnsi" w:hAnsiTheme="minorHAnsi" w:cstheme="minorHAnsi"/>
        </w:rPr>
      </w:pPr>
      <w:bookmarkStart w:id="179" w:name="_Toc466450352"/>
      <w:bookmarkStart w:id="180" w:name="_Toc470004860"/>
      <w:r w:rsidRPr="00747E35">
        <w:rPr>
          <w:rFonts w:asciiTheme="minorHAnsi" w:hAnsiTheme="minorHAnsi" w:cstheme="minorHAnsi"/>
        </w:rPr>
        <w:t>Evaluation of hypotheses</w:t>
      </w:r>
      <w:bookmarkEnd w:id="179"/>
      <w:bookmarkEnd w:id="180"/>
    </w:p>
    <w:p w14:paraId="3D44585D" w14:textId="77777777" w:rsidR="003D3694" w:rsidRPr="00747E35" w:rsidRDefault="003D3694" w:rsidP="0083624F">
      <w:pPr>
        <w:pStyle w:val="ListParagraph"/>
        <w:numPr>
          <w:ilvl w:val="0"/>
          <w:numId w:val="14"/>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Variation in stream flow regime and the degree of substrate saturation will influence organic matter processing in surface and hyporheic environments, with greater decomposition in wetter experimental periods and areas.</w:t>
      </w:r>
    </w:p>
    <w:p w14:paraId="01FEBCC2" w14:textId="77777777" w:rsidR="003D3694" w:rsidRPr="00747E35" w:rsidRDefault="003D3694" w:rsidP="0083624F">
      <w:pPr>
        <w:pStyle w:val="ListParagraph"/>
        <w:numPr>
          <w:ilvl w:val="1"/>
          <w:numId w:val="14"/>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 xml:space="preserve">Organic matter decomposition was lower in drier surface habitats and principally related to the degree of substrate saturation. Consequently, our findings support the notion that a loss of in-stream wetted area will slow organic matter decomposition in surface habitats. However, rates of organic matter decomposition were consistently greater in the hyporheic zone than in surface habitats, and were largely unaffected by surface drying. </w:t>
      </w:r>
    </w:p>
    <w:p w14:paraId="249C1134" w14:textId="77777777" w:rsidR="003D3694" w:rsidRPr="00747E35" w:rsidRDefault="003D3694" w:rsidP="0083624F">
      <w:pPr>
        <w:pStyle w:val="ListParagraph"/>
        <w:numPr>
          <w:ilvl w:val="0"/>
          <w:numId w:val="14"/>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Reductions in the availability and quality of autochthonous and allochthonous carbon sources in low flow periods will alter basal resource use and food web structure in surface and hyporheic environments.</w:t>
      </w:r>
    </w:p>
    <w:p w14:paraId="124CD09C" w14:textId="77777777" w:rsidR="003D3694" w:rsidRPr="00747E35" w:rsidRDefault="003D3694" w:rsidP="0083624F">
      <w:pPr>
        <w:pStyle w:val="ListParagraph"/>
        <w:numPr>
          <w:ilvl w:val="1"/>
          <w:numId w:val="14"/>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We found evidence of altered basal resource use and isotopic values among wet and dry periods in surface environments in the upper Bremer River sites, partly supporting our hypothesis. However, we did not find any evidence that food web structure was affected in these sites. We could not identify patterns in basal resource signatures or food web structure at sites within the Maules Creek catchment.</w:t>
      </w:r>
    </w:p>
    <w:p w14:paraId="27EBBD8D" w14:textId="77777777" w:rsidR="003D3694" w:rsidRPr="00747E35" w:rsidRDefault="003D3694" w:rsidP="0083624F">
      <w:pPr>
        <w:pStyle w:val="ListParagraph"/>
        <w:numPr>
          <w:ilvl w:val="0"/>
          <w:numId w:val="14"/>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Variation in surface flow, and changes in longitudinal connectivity and pool persistence over time, will influence fish assemblage composition and abundances.</w:t>
      </w:r>
    </w:p>
    <w:p w14:paraId="19D38BA3" w14:textId="77777777" w:rsidR="003D3694" w:rsidRPr="00747E35" w:rsidRDefault="003D3694" w:rsidP="0083624F">
      <w:pPr>
        <w:pStyle w:val="ListParagraph"/>
        <w:numPr>
          <w:ilvl w:val="1"/>
          <w:numId w:val="14"/>
        </w:numPr>
        <w:adjustRightInd w:val="0"/>
        <w:spacing w:before="60" w:after="240" w:line="240" w:lineRule="auto"/>
        <w:contextualSpacing w:val="0"/>
        <w:jc w:val="both"/>
        <w:rPr>
          <w:rFonts w:asciiTheme="minorHAnsi" w:hAnsiTheme="minorHAnsi" w:cstheme="minorHAnsi"/>
          <w:b/>
        </w:rPr>
      </w:pPr>
      <w:r w:rsidRPr="00747E35">
        <w:rPr>
          <w:rFonts w:asciiTheme="minorHAnsi" w:hAnsiTheme="minorHAnsi" w:cstheme="minorHAnsi"/>
        </w:rPr>
        <w:t xml:space="preserve">We found only limited evidence for short-term effects of flow variation on fish diversity and abundance. However, we found evidence that longer-term flow characteristics affect fish assemblage structure, partially supporting our hypothesis. </w:t>
      </w:r>
    </w:p>
    <w:p w14:paraId="63A0B5A5" w14:textId="77777777" w:rsidR="003D3694" w:rsidRPr="00747E35" w:rsidRDefault="003D3694" w:rsidP="0083624F">
      <w:pPr>
        <w:pStyle w:val="ListParagraph"/>
        <w:numPr>
          <w:ilvl w:val="0"/>
          <w:numId w:val="14"/>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Variation in surface flow, and associated changes in wetted-area persistence over time, will influence macroinvertebrate richness and abundances.</w:t>
      </w:r>
    </w:p>
    <w:p w14:paraId="27655515" w14:textId="77777777" w:rsidR="003D3694" w:rsidRPr="00747E35" w:rsidRDefault="003D3694" w:rsidP="0083624F">
      <w:pPr>
        <w:pStyle w:val="ListParagraph"/>
        <w:numPr>
          <w:ilvl w:val="1"/>
          <w:numId w:val="14"/>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Overall, macroinvertebrate richness and abundance showed ambiguous patterns across sampling trips and sites ranging from perennial to ephemeral. We could not support or reject the hypothesis. Clearly more information regarding recent flow history (e.g. time since flows commenced or ceased) is necessary. This has important implications for longer-term monitoring programs.</w:t>
      </w:r>
    </w:p>
    <w:p w14:paraId="757DCDCF" w14:textId="77777777" w:rsidR="003D3694" w:rsidRPr="00747E35" w:rsidRDefault="003D3694" w:rsidP="003D3694">
      <w:pPr>
        <w:pStyle w:val="ListParagraph"/>
        <w:rPr>
          <w:rFonts w:asciiTheme="minorHAnsi" w:hAnsiTheme="minorHAnsi" w:cstheme="minorHAnsi"/>
        </w:rPr>
      </w:pPr>
    </w:p>
    <w:p w14:paraId="764D6D77" w14:textId="5681EB53" w:rsidR="004C011D" w:rsidRDefault="004C011D">
      <w:pPr>
        <w:autoSpaceDE/>
        <w:autoSpaceDN/>
        <w:spacing w:after="160" w:line="259" w:lineRule="auto"/>
        <w:rPr>
          <w:rFonts w:asciiTheme="minorHAnsi" w:hAnsiTheme="minorHAnsi" w:cstheme="minorHAnsi"/>
        </w:rPr>
      </w:pPr>
      <w:r>
        <w:rPr>
          <w:rFonts w:asciiTheme="minorHAnsi" w:hAnsiTheme="minorHAnsi" w:cstheme="minorHAnsi"/>
        </w:rPr>
        <w:br w:type="page"/>
      </w:r>
    </w:p>
    <w:p w14:paraId="136D6465" w14:textId="5133C1A8" w:rsidR="003D3694" w:rsidRPr="00747E35" w:rsidRDefault="003D3694" w:rsidP="003D3694">
      <w:pPr>
        <w:pStyle w:val="Heading2"/>
        <w:rPr>
          <w:rFonts w:asciiTheme="minorHAnsi" w:hAnsiTheme="minorHAnsi" w:cstheme="minorHAnsi"/>
        </w:rPr>
      </w:pPr>
      <w:bookmarkStart w:id="181" w:name="_Toc466450355"/>
      <w:bookmarkStart w:id="182" w:name="_Toc470004861"/>
      <w:r w:rsidRPr="00747E35">
        <w:rPr>
          <w:rFonts w:asciiTheme="minorHAnsi" w:hAnsiTheme="minorHAnsi" w:cstheme="minorHAnsi"/>
        </w:rPr>
        <w:lastRenderedPageBreak/>
        <w:t>References – Component 2</w:t>
      </w:r>
      <w:bookmarkEnd w:id="181"/>
      <w:bookmarkEnd w:id="182"/>
    </w:p>
    <w:p w14:paraId="66B13B66" w14:textId="16AD7B83"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fldChar w:fldCharType="begin"/>
      </w:r>
      <w:r w:rsidRPr="00A64AF8">
        <w:rPr>
          <w:rFonts w:asciiTheme="minorHAnsi" w:hAnsiTheme="minorHAnsi" w:cstheme="minorHAnsi"/>
        </w:rPr>
        <w:instrText xml:space="preserve"> ADDIN EN.REFLIST </w:instrText>
      </w:r>
      <w:r w:rsidRPr="00A64AF8">
        <w:rPr>
          <w:rFonts w:asciiTheme="minorHAnsi" w:hAnsiTheme="minorHAnsi" w:cstheme="minorHAnsi"/>
        </w:rPr>
        <w:fldChar w:fldCharType="separate"/>
      </w:r>
      <w:r w:rsidRPr="00A64AF8">
        <w:rPr>
          <w:rFonts w:asciiTheme="minorHAnsi" w:hAnsiTheme="minorHAnsi" w:cstheme="minorHAnsi"/>
        </w:rPr>
        <w:t>Abril M., Muñoz I.</w:t>
      </w:r>
      <w:r w:rsidR="00A37049" w:rsidRPr="00A64AF8">
        <w:rPr>
          <w:rFonts w:asciiTheme="minorHAnsi" w:hAnsiTheme="minorHAnsi" w:cstheme="minorHAnsi"/>
        </w:rPr>
        <w:t xml:space="preserve"> &amp;</w:t>
      </w:r>
      <w:r w:rsidRPr="00A64AF8">
        <w:rPr>
          <w:rFonts w:asciiTheme="minorHAnsi" w:hAnsiTheme="minorHAnsi" w:cstheme="minorHAnsi"/>
        </w:rPr>
        <w:t xml:space="preserve"> Menéndez M. </w:t>
      </w:r>
      <w:r w:rsidR="00A37049" w:rsidRPr="00A64AF8">
        <w:rPr>
          <w:rFonts w:asciiTheme="minorHAnsi" w:hAnsiTheme="minorHAnsi" w:cstheme="minorHAnsi"/>
        </w:rPr>
        <w:t>(</w:t>
      </w:r>
      <w:r w:rsidRPr="00A64AF8">
        <w:rPr>
          <w:rFonts w:asciiTheme="minorHAnsi" w:hAnsiTheme="minorHAnsi" w:cstheme="minorHAnsi"/>
        </w:rPr>
        <w:t>2016</w:t>
      </w:r>
      <w:r w:rsidR="00A37049" w:rsidRPr="00A64AF8">
        <w:rPr>
          <w:rFonts w:asciiTheme="minorHAnsi" w:hAnsiTheme="minorHAnsi" w:cstheme="minorHAnsi"/>
        </w:rPr>
        <w:t>)</w:t>
      </w:r>
      <w:r w:rsidRPr="00A64AF8">
        <w:rPr>
          <w:rFonts w:asciiTheme="minorHAnsi" w:hAnsiTheme="minorHAnsi" w:cstheme="minorHAnsi"/>
        </w:rPr>
        <w:t xml:space="preserve">. Heterogeneity in leaf litter decomposition in a temporary Mediterranean stream during flow fragmentation. </w:t>
      </w:r>
      <w:r w:rsidRPr="00A64AF8">
        <w:rPr>
          <w:rFonts w:asciiTheme="minorHAnsi" w:hAnsiTheme="minorHAnsi" w:cstheme="minorHAnsi"/>
          <w:i/>
        </w:rPr>
        <w:t>Science of the Total Environment</w:t>
      </w:r>
      <w:r w:rsidRPr="00A64AF8">
        <w:rPr>
          <w:rFonts w:asciiTheme="minorHAnsi" w:hAnsiTheme="minorHAnsi" w:cstheme="minorHAnsi"/>
        </w:rPr>
        <w:t xml:space="preserve"> 553</w:t>
      </w:r>
      <w:r w:rsidR="00E17A34" w:rsidRPr="00A64AF8">
        <w:rPr>
          <w:rFonts w:asciiTheme="minorHAnsi" w:hAnsiTheme="minorHAnsi" w:cstheme="minorHAnsi"/>
        </w:rPr>
        <w:t>:</w:t>
      </w:r>
      <w:r w:rsidRPr="00A64AF8">
        <w:rPr>
          <w:rFonts w:asciiTheme="minorHAnsi" w:hAnsiTheme="minorHAnsi" w:cstheme="minorHAnsi"/>
        </w:rPr>
        <w:t xml:space="preserve"> 330-339. </w:t>
      </w:r>
    </w:p>
    <w:p w14:paraId="3840A78C" w14:textId="18681A3F" w:rsidR="003D3694" w:rsidRPr="00A64AF8" w:rsidRDefault="00ED65C7" w:rsidP="00A64AF8">
      <w:pPr>
        <w:pStyle w:val="References"/>
        <w:ind w:left="284" w:hanging="284"/>
        <w:rPr>
          <w:rFonts w:asciiTheme="minorHAnsi" w:hAnsiTheme="minorHAnsi" w:cstheme="minorHAnsi"/>
        </w:rPr>
      </w:pPr>
      <w:r w:rsidRPr="00A64AF8">
        <w:rPr>
          <w:rFonts w:asciiTheme="minorHAnsi" w:hAnsiTheme="minorHAnsi" w:cstheme="minorHAnsi"/>
        </w:rPr>
        <w:t>Anderson M.J.</w:t>
      </w:r>
      <w:r w:rsidR="003D3694" w:rsidRPr="00A64AF8">
        <w:rPr>
          <w:rFonts w:asciiTheme="minorHAnsi" w:hAnsiTheme="minorHAnsi" w:cstheme="minorHAnsi"/>
        </w:rPr>
        <w:t xml:space="preserve"> </w:t>
      </w:r>
      <w:r w:rsidR="00A37049" w:rsidRPr="00A64AF8">
        <w:rPr>
          <w:rFonts w:asciiTheme="minorHAnsi" w:hAnsiTheme="minorHAnsi" w:cstheme="minorHAnsi"/>
        </w:rPr>
        <w:t>(</w:t>
      </w:r>
      <w:r w:rsidR="003D3694" w:rsidRPr="00A64AF8">
        <w:rPr>
          <w:rFonts w:asciiTheme="minorHAnsi" w:hAnsiTheme="minorHAnsi" w:cstheme="minorHAnsi"/>
        </w:rPr>
        <w:t>2006</w:t>
      </w:r>
      <w:r w:rsidR="00A37049" w:rsidRPr="00A64AF8">
        <w:rPr>
          <w:rFonts w:asciiTheme="minorHAnsi" w:hAnsiTheme="minorHAnsi" w:cstheme="minorHAnsi"/>
        </w:rPr>
        <w:t>)</w:t>
      </w:r>
      <w:r w:rsidR="003D3694" w:rsidRPr="00A64AF8">
        <w:rPr>
          <w:rFonts w:asciiTheme="minorHAnsi" w:hAnsiTheme="minorHAnsi" w:cstheme="minorHAnsi"/>
        </w:rPr>
        <w:t xml:space="preserve">. Distance-based tests for homogeneity of multivariate dispersions. </w:t>
      </w:r>
      <w:r w:rsidR="003D3694" w:rsidRPr="00A64AF8">
        <w:rPr>
          <w:rFonts w:asciiTheme="minorHAnsi" w:hAnsiTheme="minorHAnsi" w:cstheme="minorHAnsi"/>
          <w:i/>
        </w:rPr>
        <w:t>Biometrics</w:t>
      </w:r>
      <w:r w:rsidR="003D3694" w:rsidRPr="00A64AF8">
        <w:rPr>
          <w:rFonts w:asciiTheme="minorHAnsi" w:hAnsiTheme="minorHAnsi" w:cstheme="minorHAnsi"/>
        </w:rPr>
        <w:t xml:space="preserve"> 62</w:t>
      </w:r>
      <w:r w:rsidR="00E17A34" w:rsidRPr="00A64AF8">
        <w:rPr>
          <w:rFonts w:asciiTheme="minorHAnsi" w:hAnsiTheme="minorHAnsi" w:cstheme="minorHAnsi"/>
        </w:rPr>
        <w:t>:</w:t>
      </w:r>
      <w:r w:rsidR="003D3694" w:rsidRPr="00A64AF8">
        <w:rPr>
          <w:rFonts w:asciiTheme="minorHAnsi" w:hAnsiTheme="minorHAnsi" w:cstheme="minorHAnsi"/>
        </w:rPr>
        <w:t xml:space="preserve"> 245-253.</w:t>
      </w:r>
    </w:p>
    <w:p w14:paraId="23688A7D" w14:textId="2999BADC"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Arsuffi T.L.</w:t>
      </w:r>
      <w:r w:rsidR="00A37049" w:rsidRPr="00A64AF8">
        <w:rPr>
          <w:rFonts w:asciiTheme="minorHAnsi" w:hAnsiTheme="minorHAnsi" w:cstheme="minorHAnsi"/>
        </w:rPr>
        <w:t xml:space="preserve"> &amp;</w:t>
      </w:r>
      <w:r w:rsidR="00ED65C7" w:rsidRPr="00A64AF8">
        <w:rPr>
          <w:rFonts w:asciiTheme="minorHAnsi" w:hAnsiTheme="minorHAnsi" w:cstheme="minorHAnsi"/>
        </w:rPr>
        <w:t xml:space="preserve"> Suberkropp K.</w:t>
      </w:r>
      <w:r w:rsidRPr="00A64AF8">
        <w:rPr>
          <w:rFonts w:asciiTheme="minorHAnsi" w:hAnsiTheme="minorHAnsi" w:cstheme="minorHAnsi"/>
        </w:rPr>
        <w:t xml:space="preserve"> </w:t>
      </w:r>
      <w:r w:rsidR="00A37049" w:rsidRPr="00A64AF8">
        <w:rPr>
          <w:rFonts w:asciiTheme="minorHAnsi" w:hAnsiTheme="minorHAnsi" w:cstheme="minorHAnsi"/>
        </w:rPr>
        <w:t>(</w:t>
      </w:r>
      <w:r w:rsidRPr="00A64AF8">
        <w:rPr>
          <w:rFonts w:asciiTheme="minorHAnsi" w:hAnsiTheme="minorHAnsi" w:cstheme="minorHAnsi"/>
        </w:rPr>
        <w:t>1989</w:t>
      </w:r>
      <w:r w:rsidR="00A37049" w:rsidRPr="00A64AF8">
        <w:rPr>
          <w:rFonts w:asciiTheme="minorHAnsi" w:hAnsiTheme="minorHAnsi" w:cstheme="minorHAnsi"/>
        </w:rPr>
        <w:t>)</w:t>
      </w:r>
      <w:r w:rsidRPr="00A64AF8">
        <w:rPr>
          <w:rFonts w:asciiTheme="minorHAnsi" w:hAnsiTheme="minorHAnsi" w:cstheme="minorHAnsi"/>
        </w:rPr>
        <w:t xml:space="preserve">. Selective feeding by shredders on leaf-colonizing stream fungi: comparison of macroinvertebrate taxa. </w:t>
      </w:r>
      <w:r w:rsidRPr="00A64AF8">
        <w:rPr>
          <w:rFonts w:asciiTheme="minorHAnsi" w:hAnsiTheme="minorHAnsi" w:cstheme="minorHAnsi"/>
          <w:i/>
        </w:rPr>
        <w:t>Oecologia</w:t>
      </w:r>
      <w:r w:rsidR="00E17A34" w:rsidRPr="00A64AF8">
        <w:rPr>
          <w:rFonts w:asciiTheme="minorHAnsi" w:hAnsiTheme="minorHAnsi" w:cstheme="minorHAnsi"/>
        </w:rPr>
        <w:t xml:space="preserve"> </w:t>
      </w:r>
      <w:r w:rsidRPr="00A64AF8">
        <w:rPr>
          <w:rFonts w:asciiTheme="minorHAnsi" w:hAnsiTheme="minorHAnsi" w:cstheme="minorHAnsi"/>
        </w:rPr>
        <w:t>79</w:t>
      </w:r>
      <w:r w:rsidR="00E17A34" w:rsidRPr="00A64AF8">
        <w:rPr>
          <w:rFonts w:asciiTheme="minorHAnsi" w:hAnsiTheme="minorHAnsi" w:cstheme="minorHAnsi"/>
        </w:rPr>
        <w:t>:</w:t>
      </w:r>
      <w:r w:rsidRPr="00A64AF8">
        <w:rPr>
          <w:rFonts w:asciiTheme="minorHAnsi" w:hAnsiTheme="minorHAnsi" w:cstheme="minorHAnsi"/>
        </w:rPr>
        <w:t xml:space="preserve"> 30-37. </w:t>
      </w:r>
    </w:p>
    <w:p w14:paraId="7C95B513" w14:textId="0D68BBD5"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Balcombe S.R., Bunn S.E., McKenzie-Smith F.J.</w:t>
      </w:r>
      <w:r w:rsidR="00A37049" w:rsidRPr="00A64AF8">
        <w:rPr>
          <w:rFonts w:asciiTheme="minorHAnsi" w:hAnsiTheme="minorHAnsi" w:cstheme="minorHAnsi"/>
        </w:rPr>
        <w:t xml:space="preserve"> &amp;</w:t>
      </w:r>
      <w:r w:rsidR="00ED65C7" w:rsidRPr="00A64AF8">
        <w:rPr>
          <w:rFonts w:asciiTheme="minorHAnsi" w:hAnsiTheme="minorHAnsi" w:cstheme="minorHAnsi"/>
        </w:rPr>
        <w:t xml:space="preserve"> Davies P.M.</w:t>
      </w:r>
      <w:r w:rsidRPr="00A64AF8">
        <w:rPr>
          <w:rFonts w:asciiTheme="minorHAnsi" w:hAnsiTheme="minorHAnsi" w:cstheme="minorHAnsi"/>
        </w:rPr>
        <w:t xml:space="preserve"> </w:t>
      </w:r>
      <w:r w:rsidR="00A37049" w:rsidRPr="00A64AF8">
        <w:rPr>
          <w:rFonts w:asciiTheme="minorHAnsi" w:hAnsiTheme="minorHAnsi" w:cstheme="minorHAnsi"/>
        </w:rPr>
        <w:t>(</w:t>
      </w:r>
      <w:r w:rsidRPr="00A64AF8">
        <w:rPr>
          <w:rFonts w:asciiTheme="minorHAnsi" w:hAnsiTheme="minorHAnsi" w:cstheme="minorHAnsi"/>
        </w:rPr>
        <w:t>2005</w:t>
      </w:r>
      <w:r w:rsidR="00A37049" w:rsidRPr="00A64AF8">
        <w:rPr>
          <w:rFonts w:asciiTheme="minorHAnsi" w:hAnsiTheme="minorHAnsi" w:cstheme="minorHAnsi"/>
        </w:rPr>
        <w:t>)</w:t>
      </w:r>
      <w:r w:rsidRPr="00A64AF8">
        <w:rPr>
          <w:rFonts w:asciiTheme="minorHAnsi" w:hAnsiTheme="minorHAnsi" w:cstheme="minorHAnsi"/>
        </w:rPr>
        <w:t xml:space="preserve">. Variability of fish diets between dry and flood periods in an arid zone floodplain river. </w:t>
      </w:r>
      <w:r w:rsidRPr="00A64AF8">
        <w:rPr>
          <w:rFonts w:asciiTheme="minorHAnsi" w:hAnsiTheme="minorHAnsi" w:cstheme="minorHAnsi"/>
          <w:i/>
        </w:rPr>
        <w:t>Journal of Fish Biology</w:t>
      </w:r>
      <w:r w:rsidRPr="00A64AF8">
        <w:rPr>
          <w:rFonts w:asciiTheme="minorHAnsi" w:hAnsiTheme="minorHAnsi" w:cstheme="minorHAnsi"/>
        </w:rPr>
        <w:t xml:space="preserve"> 67</w:t>
      </w:r>
      <w:r w:rsidR="00E17A34" w:rsidRPr="00A64AF8">
        <w:rPr>
          <w:rFonts w:asciiTheme="minorHAnsi" w:hAnsiTheme="minorHAnsi" w:cstheme="minorHAnsi"/>
        </w:rPr>
        <w:t>:</w:t>
      </w:r>
      <w:r w:rsidRPr="00A64AF8">
        <w:rPr>
          <w:rFonts w:asciiTheme="minorHAnsi" w:hAnsiTheme="minorHAnsi" w:cstheme="minorHAnsi"/>
        </w:rPr>
        <w:t xml:space="preserve"> 1552-1567. </w:t>
      </w:r>
    </w:p>
    <w:p w14:paraId="165087AD" w14:textId="33942A47"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Battin T.J., Kaplan L.A., Findlay S., Hopkinson C.S., Marti E., Packman A.I., Newbold J.D.</w:t>
      </w:r>
      <w:r w:rsidR="00A37049" w:rsidRPr="00A64AF8">
        <w:rPr>
          <w:rFonts w:asciiTheme="minorHAnsi" w:hAnsiTheme="minorHAnsi" w:cstheme="minorHAnsi"/>
        </w:rPr>
        <w:t xml:space="preserve"> &amp;</w:t>
      </w:r>
      <w:r w:rsidR="00ED65C7" w:rsidRPr="00A64AF8">
        <w:rPr>
          <w:rFonts w:asciiTheme="minorHAnsi" w:hAnsiTheme="minorHAnsi" w:cstheme="minorHAnsi"/>
        </w:rPr>
        <w:t xml:space="preserve"> Sabater F.</w:t>
      </w:r>
      <w:r w:rsidRPr="00A64AF8">
        <w:rPr>
          <w:rFonts w:asciiTheme="minorHAnsi" w:hAnsiTheme="minorHAnsi" w:cstheme="minorHAnsi"/>
        </w:rPr>
        <w:t xml:space="preserve"> </w:t>
      </w:r>
      <w:r w:rsidR="00A37049" w:rsidRPr="00A64AF8">
        <w:rPr>
          <w:rFonts w:asciiTheme="minorHAnsi" w:hAnsiTheme="minorHAnsi" w:cstheme="minorHAnsi"/>
        </w:rPr>
        <w:t>(</w:t>
      </w:r>
      <w:r w:rsidRPr="00A64AF8">
        <w:rPr>
          <w:rFonts w:asciiTheme="minorHAnsi" w:hAnsiTheme="minorHAnsi" w:cstheme="minorHAnsi"/>
        </w:rPr>
        <w:t>2008</w:t>
      </w:r>
      <w:r w:rsidR="00A37049" w:rsidRPr="00A64AF8">
        <w:rPr>
          <w:rFonts w:asciiTheme="minorHAnsi" w:hAnsiTheme="minorHAnsi" w:cstheme="minorHAnsi"/>
        </w:rPr>
        <w:t>)</w:t>
      </w:r>
      <w:r w:rsidRPr="00A64AF8">
        <w:rPr>
          <w:rFonts w:asciiTheme="minorHAnsi" w:hAnsiTheme="minorHAnsi" w:cstheme="minorHAnsi"/>
        </w:rPr>
        <w:t xml:space="preserve">. Biophysical controls on organic carbon fluxes in fluvial networks. </w:t>
      </w:r>
      <w:r w:rsidRPr="00A64AF8">
        <w:rPr>
          <w:rFonts w:asciiTheme="minorHAnsi" w:hAnsiTheme="minorHAnsi" w:cstheme="minorHAnsi"/>
          <w:i/>
        </w:rPr>
        <w:t>Nature Geoscience</w:t>
      </w:r>
      <w:r w:rsidRPr="00A64AF8">
        <w:rPr>
          <w:rFonts w:asciiTheme="minorHAnsi" w:hAnsiTheme="minorHAnsi" w:cstheme="minorHAnsi"/>
        </w:rPr>
        <w:t xml:space="preserve"> 1</w:t>
      </w:r>
      <w:r w:rsidR="00E17A34" w:rsidRPr="00A64AF8">
        <w:rPr>
          <w:rFonts w:asciiTheme="minorHAnsi" w:hAnsiTheme="minorHAnsi" w:cstheme="minorHAnsi"/>
        </w:rPr>
        <w:t>:</w:t>
      </w:r>
      <w:r w:rsidRPr="00A64AF8">
        <w:rPr>
          <w:rFonts w:asciiTheme="minorHAnsi" w:hAnsiTheme="minorHAnsi" w:cstheme="minorHAnsi"/>
        </w:rPr>
        <w:t xml:space="preserve"> 95-100. </w:t>
      </w:r>
    </w:p>
    <w:p w14:paraId="2A71AF5F" w14:textId="1A327332"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Biggs B.J.F., Nikora V.I.</w:t>
      </w:r>
      <w:r w:rsidR="00A37049" w:rsidRPr="00A64AF8">
        <w:rPr>
          <w:rFonts w:asciiTheme="minorHAnsi" w:hAnsiTheme="minorHAnsi" w:cstheme="minorHAnsi"/>
        </w:rPr>
        <w:t xml:space="preserve"> &amp;</w:t>
      </w:r>
      <w:r w:rsidRPr="00A64AF8">
        <w:rPr>
          <w:rFonts w:asciiTheme="minorHAnsi" w:hAnsiTheme="minorHAnsi" w:cstheme="minorHAnsi"/>
        </w:rPr>
        <w:t xml:space="preserve"> Snelder T.H. </w:t>
      </w:r>
      <w:r w:rsidR="00A37049" w:rsidRPr="00A64AF8">
        <w:rPr>
          <w:rFonts w:asciiTheme="minorHAnsi" w:hAnsiTheme="minorHAnsi" w:cstheme="minorHAnsi"/>
        </w:rPr>
        <w:t>(</w:t>
      </w:r>
      <w:r w:rsidRPr="00A64AF8">
        <w:rPr>
          <w:rFonts w:asciiTheme="minorHAnsi" w:hAnsiTheme="minorHAnsi" w:cstheme="minorHAnsi"/>
        </w:rPr>
        <w:t>2005</w:t>
      </w:r>
      <w:r w:rsidR="00A37049" w:rsidRPr="00A64AF8">
        <w:rPr>
          <w:rFonts w:asciiTheme="minorHAnsi" w:hAnsiTheme="minorHAnsi" w:cstheme="minorHAnsi"/>
        </w:rPr>
        <w:t>)</w:t>
      </w:r>
      <w:r w:rsidRPr="00A64AF8">
        <w:rPr>
          <w:rFonts w:asciiTheme="minorHAnsi" w:hAnsiTheme="minorHAnsi" w:cstheme="minorHAnsi"/>
        </w:rPr>
        <w:t xml:space="preserve">. Linking scales of flow variability to lotic ecosystem structure and function. </w:t>
      </w:r>
      <w:r w:rsidRPr="00A64AF8">
        <w:rPr>
          <w:rFonts w:asciiTheme="minorHAnsi" w:hAnsiTheme="minorHAnsi" w:cstheme="minorHAnsi"/>
          <w:i/>
        </w:rPr>
        <w:t>River Research and Applications</w:t>
      </w:r>
      <w:r w:rsidRPr="00A64AF8">
        <w:rPr>
          <w:rFonts w:asciiTheme="minorHAnsi" w:hAnsiTheme="minorHAnsi" w:cstheme="minorHAnsi"/>
        </w:rPr>
        <w:t xml:space="preserve"> 21</w:t>
      </w:r>
      <w:r w:rsidR="00E17A34" w:rsidRPr="00A64AF8">
        <w:rPr>
          <w:rFonts w:asciiTheme="minorHAnsi" w:hAnsiTheme="minorHAnsi" w:cstheme="minorHAnsi"/>
        </w:rPr>
        <w:t>:</w:t>
      </w:r>
      <w:r w:rsidRPr="00A64AF8">
        <w:rPr>
          <w:rFonts w:asciiTheme="minorHAnsi" w:hAnsiTheme="minorHAnsi" w:cstheme="minorHAnsi"/>
        </w:rPr>
        <w:t xml:space="preserve"> 283-298. </w:t>
      </w:r>
    </w:p>
    <w:p w14:paraId="666199D7" w14:textId="1C79FE69"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 xml:space="preserve">Bond N.R. </w:t>
      </w:r>
      <w:r w:rsidR="00A37049" w:rsidRPr="00A64AF8">
        <w:rPr>
          <w:rFonts w:asciiTheme="minorHAnsi" w:hAnsiTheme="minorHAnsi" w:cstheme="minorHAnsi"/>
        </w:rPr>
        <w:t>(</w:t>
      </w:r>
      <w:r w:rsidRPr="00A64AF8">
        <w:rPr>
          <w:rFonts w:asciiTheme="minorHAnsi" w:hAnsiTheme="minorHAnsi" w:cstheme="minorHAnsi"/>
        </w:rPr>
        <w:t>2004</w:t>
      </w:r>
      <w:r w:rsidR="00A37049" w:rsidRPr="00A64AF8">
        <w:rPr>
          <w:rFonts w:asciiTheme="minorHAnsi" w:hAnsiTheme="minorHAnsi" w:cstheme="minorHAnsi"/>
        </w:rPr>
        <w:t>)</w:t>
      </w:r>
      <w:r w:rsidRPr="00A64AF8">
        <w:rPr>
          <w:rFonts w:asciiTheme="minorHAnsi" w:hAnsiTheme="minorHAnsi" w:cstheme="minorHAnsi"/>
        </w:rPr>
        <w:t xml:space="preserve">. Observations on the effects of the introduced parasite Lernaea cyprinacea on a lowland population of a small native Australian fish, mountain galaxias </w:t>
      </w:r>
      <w:r w:rsidRPr="00A64AF8">
        <w:rPr>
          <w:rFonts w:asciiTheme="minorHAnsi" w:hAnsiTheme="minorHAnsi" w:cstheme="minorHAnsi"/>
          <w:i/>
        </w:rPr>
        <w:t>Galaxias olidus</w:t>
      </w:r>
      <w:r w:rsidRPr="00A64AF8">
        <w:rPr>
          <w:rFonts w:asciiTheme="minorHAnsi" w:hAnsiTheme="minorHAnsi" w:cstheme="minorHAnsi"/>
        </w:rPr>
        <w:t xml:space="preserve">. </w:t>
      </w:r>
      <w:r w:rsidRPr="00A64AF8">
        <w:rPr>
          <w:rFonts w:asciiTheme="minorHAnsi" w:hAnsiTheme="minorHAnsi" w:cstheme="minorHAnsi"/>
          <w:i/>
        </w:rPr>
        <w:t>Victorian Naturalist</w:t>
      </w:r>
      <w:r w:rsidRPr="00A64AF8">
        <w:rPr>
          <w:rFonts w:asciiTheme="minorHAnsi" w:hAnsiTheme="minorHAnsi" w:cstheme="minorHAnsi"/>
        </w:rPr>
        <w:t xml:space="preserve"> 121</w:t>
      </w:r>
      <w:r w:rsidR="00E17A34" w:rsidRPr="00A64AF8">
        <w:rPr>
          <w:rFonts w:asciiTheme="minorHAnsi" w:hAnsiTheme="minorHAnsi" w:cstheme="minorHAnsi"/>
        </w:rPr>
        <w:t>:</w:t>
      </w:r>
      <w:r w:rsidRPr="00A64AF8">
        <w:rPr>
          <w:rFonts w:asciiTheme="minorHAnsi" w:hAnsiTheme="minorHAnsi" w:cstheme="minorHAnsi"/>
        </w:rPr>
        <w:t xml:space="preserve"> 194–198. </w:t>
      </w:r>
    </w:p>
    <w:p w14:paraId="4957AE23" w14:textId="4BEF566A"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Bond N.R., Lake P.S.</w:t>
      </w:r>
      <w:r w:rsidR="00A37049" w:rsidRPr="00A64AF8">
        <w:rPr>
          <w:rFonts w:asciiTheme="minorHAnsi" w:hAnsiTheme="minorHAnsi" w:cstheme="minorHAnsi"/>
        </w:rPr>
        <w:t xml:space="preserve"> &amp;</w:t>
      </w:r>
      <w:r w:rsidRPr="00A64AF8">
        <w:rPr>
          <w:rFonts w:asciiTheme="minorHAnsi" w:hAnsiTheme="minorHAnsi" w:cstheme="minorHAnsi"/>
        </w:rPr>
        <w:t xml:space="preserve"> Arthington A.H.</w:t>
      </w:r>
      <w:r w:rsidR="00A37049" w:rsidRPr="00A64AF8">
        <w:rPr>
          <w:rFonts w:asciiTheme="minorHAnsi" w:hAnsiTheme="minorHAnsi" w:cstheme="minorHAnsi"/>
        </w:rPr>
        <w:t xml:space="preserve"> (</w:t>
      </w:r>
      <w:r w:rsidRPr="00A64AF8">
        <w:rPr>
          <w:rFonts w:asciiTheme="minorHAnsi" w:hAnsiTheme="minorHAnsi" w:cstheme="minorHAnsi"/>
        </w:rPr>
        <w:t>2008</w:t>
      </w:r>
      <w:r w:rsidR="00A37049" w:rsidRPr="00A64AF8">
        <w:rPr>
          <w:rFonts w:asciiTheme="minorHAnsi" w:hAnsiTheme="minorHAnsi" w:cstheme="minorHAnsi"/>
        </w:rPr>
        <w:t>)</w:t>
      </w:r>
      <w:r w:rsidRPr="00A64AF8">
        <w:rPr>
          <w:rFonts w:asciiTheme="minorHAnsi" w:hAnsiTheme="minorHAnsi" w:cstheme="minorHAnsi"/>
        </w:rPr>
        <w:t xml:space="preserve">. The impacts of drought on freshwater ecosystems: An Australian perspective. </w:t>
      </w:r>
      <w:r w:rsidRPr="00A64AF8">
        <w:rPr>
          <w:rFonts w:asciiTheme="minorHAnsi" w:hAnsiTheme="minorHAnsi" w:cstheme="minorHAnsi"/>
          <w:i/>
        </w:rPr>
        <w:t>Hydrobiologia</w:t>
      </w:r>
      <w:r w:rsidR="008E54D5" w:rsidRPr="00A64AF8">
        <w:rPr>
          <w:rFonts w:asciiTheme="minorHAnsi" w:hAnsiTheme="minorHAnsi" w:cstheme="minorHAnsi"/>
        </w:rPr>
        <w:t xml:space="preserve"> 600</w:t>
      </w:r>
      <w:r w:rsidR="00E17A34" w:rsidRPr="00A64AF8">
        <w:rPr>
          <w:rFonts w:asciiTheme="minorHAnsi" w:hAnsiTheme="minorHAnsi" w:cstheme="minorHAnsi"/>
        </w:rPr>
        <w:t>:</w:t>
      </w:r>
      <w:r w:rsidR="008E54D5" w:rsidRPr="00A64AF8">
        <w:rPr>
          <w:rFonts w:asciiTheme="minorHAnsi" w:hAnsiTheme="minorHAnsi" w:cstheme="minorHAnsi"/>
        </w:rPr>
        <w:t xml:space="preserve"> 1-14. </w:t>
      </w:r>
    </w:p>
    <w:p w14:paraId="43C0572C" w14:textId="617FA212"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Bond N.R., McMaster D., Reich P., Thomson J.R.</w:t>
      </w:r>
      <w:r w:rsidR="00A37049" w:rsidRPr="00A64AF8">
        <w:rPr>
          <w:rFonts w:asciiTheme="minorHAnsi" w:hAnsiTheme="minorHAnsi" w:cstheme="minorHAnsi"/>
        </w:rPr>
        <w:t xml:space="preserve"> &amp;</w:t>
      </w:r>
      <w:r w:rsidRPr="00A64AF8">
        <w:rPr>
          <w:rFonts w:asciiTheme="minorHAnsi" w:hAnsiTheme="minorHAnsi" w:cstheme="minorHAnsi"/>
        </w:rPr>
        <w:t xml:space="preserve"> Lake P.S. </w:t>
      </w:r>
      <w:r w:rsidR="00A37049" w:rsidRPr="00A64AF8">
        <w:rPr>
          <w:rFonts w:asciiTheme="minorHAnsi" w:hAnsiTheme="minorHAnsi" w:cstheme="minorHAnsi"/>
        </w:rPr>
        <w:t>(</w:t>
      </w:r>
      <w:r w:rsidRPr="00A64AF8">
        <w:rPr>
          <w:rFonts w:asciiTheme="minorHAnsi" w:hAnsiTheme="minorHAnsi" w:cstheme="minorHAnsi"/>
        </w:rPr>
        <w:t>2010</w:t>
      </w:r>
      <w:r w:rsidR="00A37049" w:rsidRPr="00A64AF8">
        <w:rPr>
          <w:rFonts w:asciiTheme="minorHAnsi" w:hAnsiTheme="minorHAnsi" w:cstheme="minorHAnsi"/>
        </w:rPr>
        <w:t>)</w:t>
      </w:r>
      <w:r w:rsidRPr="00A64AF8">
        <w:rPr>
          <w:rFonts w:asciiTheme="minorHAnsi" w:hAnsiTheme="minorHAnsi" w:cstheme="minorHAnsi"/>
        </w:rPr>
        <w:t xml:space="preserve">. Modelling the impacts of flow regulation on fish distributions in naturally intermittent lowland streams: an approach for predicting restoration responses. </w:t>
      </w:r>
      <w:r w:rsidRPr="00A64AF8">
        <w:rPr>
          <w:rFonts w:asciiTheme="minorHAnsi" w:hAnsiTheme="minorHAnsi" w:cstheme="minorHAnsi"/>
          <w:i/>
        </w:rPr>
        <w:t>Freshwater Biology</w:t>
      </w:r>
      <w:r w:rsidRPr="00A64AF8">
        <w:rPr>
          <w:rFonts w:asciiTheme="minorHAnsi" w:hAnsiTheme="minorHAnsi" w:cstheme="minorHAnsi"/>
        </w:rPr>
        <w:t xml:space="preserve"> 55</w:t>
      </w:r>
      <w:r w:rsidR="00E17A34" w:rsidRPr="00A64AF8">
        <w:rPr>
          <w:rFonts w:asciiTheme="minorHAnsi" w:hAnsiTheme="minorHAnsi" w:cstheme="minorHAnsi"/>
        </w:rPr>
        <w:t>:</w:t>
      </w:r>
      <w:r w:rsidRPr="00A64AF8">
        <w:rPr>
          <w:rFonts w:asciiTheme="minorHAnsi" w:hAnsiTheme="minorHAnsi" w:cstheme="minorHAnsi"/>
        </w:rPr>
        <w:t xml:space="preserve"> 1997-2010. </w:t>
      </w:r>
    </w:p>
    <w:p w14:paraId="44DD0063" w14:textId="67B2E18A"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Bond N.R., Thomson J., Reich P.</w:t>
      </w:r>
      <w:r w:rsidR="00A37049" w:rsidRPr="00A64AF8">
        <w:rPr>
          <w:rFonts w:asciiTheme="minorHAnsi" w:hAnsiTheme="minorHAnsi" w:cstheme="minorHAnsi"/>
        </w:rPr>
        <w:t xml:space="preserve"> &amp;</w:t>
      </w:r>
      <w:r w:rsidRPr="00A64AF8">
        <w:rPr>
          <w:rFonts w:asciiTheme="minorHAnsi" w:hAnsiTheme="minorHAnsi" w:cstheme="minorHAnsi"/>
        </w:rPr>
        <w:t xml:space="preserve"> Stein J. </w:t>
      </w:r>
      <w:r w:rsidR="00A37049" w:rsidRPr="00A64AF8">
        <w:rPr>
          <w:rFonts w:asciiTheme="minorHAnsi" w:hAnsiTheme="minorHAnsi" w:cstheme="minorHAnsi"/>
        </w:rPr>
        <w:t>(</w:t>
      </w:r>
      <w:r w:rsidRPr="00A64AF8">
        <w:rPr>
          <w:rFonts w:asciiTheme="minorHAnsi" w:hAnsiTheme="minorHAnsi" w:cstheme="minorHAnsi"/>
        </w:rPr>
        <w:t>2011</w:t>
      </w:r>
      <w:r w:rsidR="00A37049" w:rsidRPr="00A64AF8">
        <w:rPr>
          <w:rFonts w:asciiTheme="minorHAnsi" w:hAnsiTheme="minorHAnsi" w:cstheme="minorHAnsi"/>
        </w:rPr>
        <w:t>)</w:t>
      </w:r>
      <w:r w:rsidRPr="00A64AF8">
        <w:rPr>
          <w:rFonts w:asciiTheme="minorHAnsi" w:hAnsiTheme="minorHAnsi" w:cstheme="minorHAnsi"/>
        </w:rPr>
        <w:t xml:space="preserve">. Using species distribution models to infer potential climate change-induced range shifts of freshwater fish in south-eastern Australia. </w:t>
      </w:r>
      <w:r w:rsidRPr="00A64AF8">
        <w:rPr>
          <w:rFonts w:asciiTheme="minorHAnsi" w:hAnsiTheme="minorHAnsi" w:cstheme="minorHAnsi"/>
          <w:i/>
        </w:rPr>
        <w:t>Marine and Freshwater Research</w:t>
      </w:r>
      <w:r w:rsidR="00E17A34" w:rsidRPr="00A64AF8">
        <w:rPr>
          <w:rFonts w:asciiTheme="minorHAnsi" w:hAnsiTheme="minorHAnsi" w:cstheme="minorHAnsi"/>
        </w:rPr>
        <w:t xml:space="preserve"> 62:</w:t>
      </w:r>
      <w:r w:rsidRPr="00A64AF8">
        <w:rPr>
          <w:rFonts w:asciiTheme="minorHAnsi" w:hAnsiTheme="minorHAnsi" w:cstheme="minorHAnsi"/>
        </w:rPr>
        <w:t xml:space="preserve"> 1043-1061. </w:t>
      </w:r>
    </w:p>
    <w:p w14:paraId="6D64A1CA" w14:textId="2E0F86FC"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Bond N.R., Thomson J.M.</w:t>
      </w:r>
      <w:r w:rsidR="00A37049" w:rsidRPr="00A64AF8">
        <w:rPr>
          <w:rFonts w:asciiTheme="minorHAnsi" w:hAnsiTheme="minorHAnsi" w:cstheme="minorHAnsi"/>
        </w:rPr>
        <w:t xml:space="preserve"> &amp;</w:t>
      </w:r>
      <w:r w:rsidRPr="00A64AF8">
        <w:rPr>
          <w:rFonts w:asciiTheme="minorHAnsi" w:hAnsiTheme="minorHAnsi" w:cstheme="minorHAnsi"/>
        </w:rPr>
        <w:t xml:space="preserve"> Reich P. </w:t>
      </w:r>
      <w:r w:rsidR="00A37049" w:rsidRPr="00A64AF8">
        <w:rPr>
          <w:rFonts w:asciiTheme="minorHAnsi" w:hAnsiTheme="minorHAnsi" w:cstheme="minorHAnsi"/>
        </w:rPr>
        <w:t>(</w:t>
      </w:r>
      <w:r w:rsidRPr="00A64AF8">
        <w:rPr>
          <w:rFonts w:asciiTheme="minorHAnsi" w:hAnsiTheme="minorHAnsi" w:cstheme="minorHAnsi"/>
        </w:rPr>
        <w:t>2012</w:t>
      </w:r>
      <w:r w:rsidR="00A37049" w:rsidRPr="00A64AF8">
        <w:rPr>
          <w:rFonts w:asciiTheme="minorHAnsi" w:hAnsiTheme="minorHAnsi" w:cstheme="minorHAnsi"/>
        </w:rPr>
        <w:t>)</w:t>
      </w:r>
      <w:r w:rsidRPr="00A64AF8">
        <w:rPr>
          <w:rFonts w:asciiTheme="minorHAnsi" w:hAnsiTheme="minorHAnsi" w:cstheme="minorHAnsi"/>
        </w:rPr>
        <w:t>. Macroinvertebrate responses to antecedent flow, long-term flow regime characteristics and landscape context in Victorian rivers. National Water Commission, Canberra.</w:t>
      </w:r>
    </w:p>
    <w:p w14:paraId="489FBBB1" w14:textId="1689AD91"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Boulton A.J.</w:t>
      </w:r>
      <w:r w:rsidR="00A37049" w:rsidRPr="00A64AF8">
        <w:rPr>
          <w:rFonts w:asciiTheme="minorHAnsi" w:hAnsiTheme="minorHAnsi" w:cstheme="minorHAnsi"/>
        </w:rPr>
        <w:t xml:space="preserve"> &amp;</w:t>
      </w:r>
      <w:r w:rsidRPr="00A64AF8">
        <w:rPr>
          <w:rFonts w:asciiTheme="minorHAnsi" w:hAnsiTheme="minorHAnsi" w:cstheme="minorHAnsi"/>
        </w:rPr>
        <w:t xml:space="preserve"> Lake P.S. </w:t>
      </w:r>
      <w:r w:rsidR="00A37049" w:rsidRPr="00A64AF8">
        <w:rPr>
          <w:rFonts w:asciiTheme="minorHAnsi" w:hAnsiTheme="minorHAnsi" w:cstheme="minorHAnsi"/>
        </w:rPr>
        <w:t>(</w:t>
      </w:r>
      <w:r w:rsidRPr="00A64AF8">
        <w:rPr>
          <w:rFonts w:asciiTheme="minorHAnsi" w:hAnsiTheme="minorHAnsi" w:cstheme="minorHAnsi"/>
        </w:rPr>
        <w:t>1990</w:t>
      </w:r>
      <w:r w:rsidR="00A37049" w:rsidRPr="00A64AF8">
        <w:rPr>
          <w:rFonts w:asciiTheme="minorHAnsi" w:hAnsiTheme="minorHAnsi" w:cstheme="minorHAnsi"/>
        </w:rPr>
        <w:t>)</w:t>
      </w:r>
      <w:r w:rsidRPr="00A64AF8">
        <w:rPr>
          <w:rFonts w:asciiTheme="minorHAnsi" w:hAnsiTheme="minorHAnsi" w:cstheme="minorHAnsi"/>
        </w:rPr>
        <w:t xml:space="preserve">. The ecology of two intermittent streams in Victoria, Australia. I. Multivariate analyses of physicochemical features. </w:t>
      </w:r>
      <w:r w:rsidRPr="00A64AF8">
        <w:rPr>
          <w:rFonts w:asciiTheme="minorHAnsi" w:hAnsiTheme="minorHAnsi" w:cstheme="minorHAnsi"/>
          <w:i/>
        </w:rPr>
        <w:t>Freshwater Biology</w:t>
      </w:r>
      <w:r w:rsidRPr="00A64AF8">
        <w:rPr>
          <w:rFonts w:asciiTheme="minorHAnsi" w:hAnsiTheme="minorHAnsi" w:cstheme="minorHAnsi"/>
        </w:rPr>
        <w:t xml:space="preserve"> 24</w:t>
      </w:r>
      <w:r w:rsidR="00E17A34" w:rsidRPr="00A64AF8">
        <w:rPr>
          <w:rFonts w:asciiTheme="minorHAnsi" w:hAnsiTheme="minorHAnsi" w:cstheme="minorHAnsi"/>
        </w:rPr>
        <w:t>:</w:t>
      </w:r>
      <w:r w:rsidRPr="00A64AF8">
        <w:rPr>
          <w:rFonts w:asciiTheme="minorHAnsi" w:hAnsiTheme="minorHAnsi" w:cstheme="minorHAnsi"/>
        </w:rPr>
        <w:t xml:space="preserve"> 123-141. </w:t>
      </w:r>
    </w:p>
    <w:p w14:paraId="32F05223" w14:textId="3AD45384"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 xml:space="preserve">Boulton A.J. </w:t>
      </w:r>
      <w:r w:rsidR="00A37049" w:rsidRPr="00A64AF8">
        <w:rPr>
          <w:rFonts w:asciiTheme="minorHAnsi" w:hAnsiTheme="minorHAnsi" w:cstheme="minorHAnsi"/>
        </w:rPr>
        <w:t>(</w:t>
      </w:r>
      <w:r w:rsidRPr="00A64AF8">
        <w:rPr>
          <w:rFonts w:asciiTheme="minorHAnsi" w:hAnsiTheme="minorHAnsi" w:cstheme="minorHAnsi"/>
        </w:rPr>
        <w:t>1991</w:t>
      </w:r>
      <w:r w:rsidR="00A37049" w:rsidRPr="00A64AF8">
        <w:rPr>
          <w:rFonts w:asciiTheme="minorHAnsi" w:hAnsiTheme="minorHAnsi" w:cstheme="minorHAnsi"/>
        </w:rPr>
        <w:t>)</w:t>
      </w:r>
      <w:r w:rsidRPr="00A64AF8">
        <w:rPr>
          <w:rFonts w:asciiTheme="minorHAnsi" w:hAnsiTheme="minorHAnsi" w:cstheme="minorHAnsi"/>
        </w:rPr>
        <w:t xml:space="preserve">. Eucalypt leaf decomposition in an intermittent stream in south-eastern Australia. </w:t>
      </w:r>
      <w:r w:rsidRPr="00A64AF8">
        <w:rPr>
          <w:rFonts w:asciiTheme="minorHAnsi" w:hAnsiTheme="minorHAnsi" w:cstheme="minorHAnsi"/>
          <w:i/>
        </w:rPr>
        <w:t>Hydrobiologia</w:t>
      </w:r>
      <w:r w:rsidR="00E17A34" w:rsidRPr="00A64AF8">
        <w:rPr>
          <w:rFonts w:asciiTheme="minorHAnsi" w:hAnsiTheme="minorHAnsi" w:cstheme="minorHAnsi"/>
        </w:rPr>
        <w:t xml:space="preserve"> 211:</w:t>
      </w:r>
      <w:r w:rsidRPr="00A64AF8">
        <w:rPr>
          <w:rFonts w:asciiTheme="minorHAnsi" w:hAnsiTheme="minorHAnsi" w:cstheme="minorHAnsi"/>
        </w:rPr>
        <w:t xml:space="preserve"> 123-136. </w:t>
      </w:r>
    </w:p>
    <w:p w14:paraId="488BE494" w14:textId="2B837575"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Boulton A.J.</w:t>
      </w:r>
      <w:r w:rsidR="00A37049" w:rsidRPr="00A64AF8">
        <w:rPr>
          <w:rFonts w:asciiTheme="minorHAnsi" w:hAnsiTheme="minorHAnsi" w:cstheme="minorHAnsi"/>
        </w:rPr>
        <w:t xml:space="preserve"> &amp;</w:t>
      </w:r>
      <w:r w:rsidRPr="00A64AF8">
        <w:rPr>
          <w:rFonts w:asciiTheme="minorHAnsi" w:hAnsiTheme="minorHAnsi" w:cstheme="minorHAnsi"/>
        </w:rPr>
        <w:t xml:space="preserve"> Foster J.G. </w:t>
      </w:r>
      <w:r w:rsidR="00A37049" w:rsidRPr="00A64AF8">
        <w:rPr>
          <w:rFonts w:asciiTheme="minorHAnsi" w:hAnsiTheme="minorHAnsi" w:cstheme="minorHAnsi"/>
        </w:rPr>
        <w:t>(</w:t>
      </w:r>
      <w:r w:rsidRPr="00A64AF8">
        <w:rPr>
          <w:rFonts w:asciiTheme="minorHAnsi" w:hAnsiTheme="minorHAnsi" w:cstheme="minorHAnsi"/>
        </w:rPr>
        <w:t>1998</w:t>
      </w:r>
      <w:r w:rsidR="00A37049" w:rsidRPr="00A64AF8">
        <w:rPr>
          <w:rFonts w:asciiTheme="minorHAnsi" w:hAnsiTheme="minorHAnsi" w:cstheme="minorHAnsi"/>
        </w:rPr>
        <w:t>)</w:t>
      </w:r>
      <w:r w:rsidRPr="00A64AF8">
        <w:rPr>
          <w:rFonts w:asciiTheme="minorHAnsi" w:hAnsiTheme="minorHAnsi" w:cstheme="minorHAnsi"/>
        </w:rPr>
        <w:t xml:space="preserve">. Effects of buried leaf litter and vertical hydrologic exchange on hyporheic water chemistry and fauna in a gravel-bed river in northern New South Wales, Australia. </w:t>
      </w:r>
      <w:r w:rsidRPr="00A64AF8">
        <w:rPr>
          <w:rFonts w:asciiTheme="minorHAnsi" w:hAnsiTheme="minorHAnsi" w:cstheme="minorHAnsi"/>
          <w:i/>
        </w:rPr>
        <w:t>Freshwater Biology</w:t>
      </w:r>
      <w:r w:rsidR="00E17A34" w:rsidRPr="00A64AF8">
        <w:rPr>
          <w:rFonts w:asciiTheme="minorHAnsi" w:hAnsiTheme="minorHAnsi" w:cstheme="minorHAnsi"/>
        </w:rPr>
        <w:t xml:space="preserve"> </w:t>
      </w:r>
      <w:r w:rsidRPr="00A64AF8">
        <w:rPr>
          <w:rFonts w:asciiTheme="minorHAnsi" w:hAnsiTheme="minorHAnsi" w:cstheme="minorHAnsi"/>
        </w:rPr>
        <w:t>40</w:t>
      </w:r>
      <w:r w:rsidR="00E17A34" w:rsidRPr="00A64AF8">
        <w:rPr>
          <w:rFonts w:asciiTheme="minorHAnsi" w:hAnsiTheme="minorHAnsi" w:cstheme="minorHAnsi"/>
        </w:rPr>
        <w:t>:</w:t>
      </w:r>
      <w:r w:rsidRPr="00A64AF8">
        <w:rPr>
          <w:rFonts w:asciiTheme="minorHAnsi" w:hAnsiTheme="minorHAnsi" w:cstheme="minorHAnsi"/>
        </w:rPr>
        <w:t xml:space="preserve"> 229-243. </w:t>
      </w:r>
    </w:p>
    <w:p w14:paraId="39CCCFC4" w14:textId="7653A629"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Boulton A.J.</w:t>
      </w:r>
      <w:r w:rsidR="00A37049" w:rsidRPr="00A64AF8">
        <w:rPr>
          <w:rFonts w:asciiTheme="minorHAnsi" w:hAnsiTheme="minorHAnsi" w:cstheme="minorHAnsi"/>
        </w:rPr>
        <w:t xml:space="preserve"> &amp;</w:t>
      </w:r>
      <w:r w:rsidR="00ED65C7" w:rsidRPr="00A64AF8">
        <w:rPr>
          <w:rFonts w:asciiTheme="minorHAnsi" w:hAnsiTheme="minorHAnsi" w:cstheme="minorHAnsi"/>
        </w:rPr>
        <w:t xml:space="preserve"> Quinn J.M.</w:t>
      </w:r>
      <w:r w:rsidRPr="00A64AF8">
        <w:rPr>
          <w:rFonts w:asciiTheme="minorHAnsi" w:hAnsiTheme="minorHAnsi" w:cstheme="minorHAnsi"/>
        </w:rPr>
        <w:t xml:space="preserve"> </w:t>
      </w:r>
      <w:r w:rsidR="00A37049" w:rsidRPr="00A64AF8">
        <w:rPr>
          <w:rFonts w:asciiTheme="minorHAnsi" w:hAnsiTheme="minorHAnsi" w:cstheme="minorHAnsi"/>
        </w:rPr>
        <w:t>(</w:t>
      </w:r>
      <w:r w:rsidRPr="00A64AF8">
        <w:rPr>
          <w:rFonts w:asciiTheme="minorHAnsi" w:hAnsiTheme="minorHAnsi" w:cstheme="minorHAnsi"/>
        </w:rPr>
        <w:t>2000</w:t>
      </w:r>
      <w:r w:rsidR="00A37049" w:rsidRPr="00A64AF8">
        <w:rPr>
          <w:rFonts w:asciiTheme="minorHAnsi" w:hAnsiTheme="minorHAnsi" w:cstheme="minorHAnsi"/>
        </w:rPr>
        <w:t>)</w:t>
      </w:r>
      <w:r w:rsidRPr="00A64AF8">
        <w:rPr>
          <w:rFonts w:asciiTheme="minorHAnsi" w:hAnsiTheme="minorHAnsi" w:cstheme="minorHAnsi"/>
        </w:rPr>
        <w:t xml:space="preserve">. A simple and versatile technique for assessing cellulose decomposition potential in floodplain and riverine sediments. </w:t>
      </w:r>
      <w:r w:rsidRPr="00A64AF8">
        <w:rPr>
          <w:rFonts w:asciiTheme="minorHAnsi" w:hAnsiTheme="minorHAnsi" w:cstheme="minorHAnsi"/>
          <w:i/>
        </w:rPr>
        <w:t>Archiv fur Hydrobiologie</w:t>
      </w:r>
      <w:r w:rsidR="00E17A34" w:rsidRPr="00A64AF8">
        <w:rPr>
          <w:rFonts w:asciiTheme="minorHAnsi" w:hAnsiTheme="minorHAnsi" w:cstheme="minorHAnsi"/>
          <w:i/>
        </w:rPr>
        <w:t xml:space="preserve"> </w:t>
      </w:r>
      <w:r w:rsidRPr="00A64AF8">
        <w:rPr>
          <w:rFonts w:asciiTheme="minorHAnsi" w:hAnsiTheme="minorHAnsi" w:cstheme="minorHAnsi"/>
        </w:rPr>
        <w:t>150</w:t>
      </w:r>
      <w:r w:rsidR="00E17A34" w:rsidRPr="00A64AF8">
        <w:rPr>
          <w:rFonts w:asciiTheme="minorHAnsi" w:hAnsiTheme="minorHAnsi" w:cstheme="minorHAnsi"/>
        </w:rPr>
        <w:t>:</w:t>
      </w:r>
      <w:r w:rsidRPr="00A64AF8">
        <w:rPr>
          <w:rFonts w:asciiTheme="minorHAnsi" w:hAnsiTheme="minorHAnsi" w:cstheme="minorHAnsi"/>
        </w:rPr>
        <w:t xml:space="preserve"> 133-151. </w:t>
      </w:r>
    </w:p>
    <w:p w14:paraId="014B6F6B" w14:textId="021A6B9C"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 xml:space="preserve">Boulton A.J. </w:t>
      </w:r>
      <w:r w:rsidR="00A37049" w:rsidRPr="00A64AF8">
        <w:rPr>
          <w:rFonts w:asciiTheme="minorHAnsi" w:hAnsiTheme="minorHAnsi" w:cstheme="minorHAnsi"/>
        </w:rPr>
        <w:t>(</w:t>
      </w:r>
      <w:r w:rsidRPr="00A64AF8">
        <w:rPr>
          <w:rFonts w:asciiTheme="minorHAnsi" w:hAnsiTheme="minorHAnsi" w:cstheme="minorHAnsi"/>
        </w:rPr>
        <w:t>2003</w:t>
      </w:r>
      <w:r w:rsidR="00A37049" w:rsidRPr="00A64AF8">
        <w:rPr>
          <w:rFonts w:asciiTheme="minorHAnsi" w:hAnsiTheme="minorHAnsi" w:cstheme="minorHAnsi"/>
        </w:rPr>
        <w:t>)</w:t>
      </w:r>
      <w:r w:rsidRPr="00A64AF8">
        <w:rPr>
          <w:rFonts w:asciiTheme="minorHAnsi" w:hAnsiTheme="minorHAnsi" w:cstheme="minorHAnsi"/>
        </w:rPr>
        <w:t xml:space="preserve">. Parallels and contrasts in the effects of drought on stream macroinvertebrate assemblages. </w:t>
      </w:r>
      <w:r w:rsidRPr="00A64AF8">
        <w:rPr>
          <w:rFonts w:asciiTheme="minorHAnsi" w:hAnsiTheme="minorHAnsi" w:cstheme="minorHAnsi"/>
          <w:i/>
        </w:rPr>
        <w:t>Freshwater Biology</w:t>
      </w:r>
      <w:r w:rsidRPr="00A64AF8">
        <w:rPr>
          <w:rFonts w:asciiTheme="minorHAnsi" w:hAnsiTheme="minorHAnsi" w:cstheme="minorHAnsi"/>
        </w:rPr>
        <w:t xml:space="preserve"> 48</w:t>
      </w:r>
      <w:r w:rsidR="00E17A34" w:rsidRPr="00A64AF8">
        <w:rPr>
          <w:rFonts w:asciiTheme="minorHAnsi" w:hAnsiTheme="minorHAnsi" w:cstheme="minorHAnsi"/>
        </w:rPr>
        <w:t>:</w:t>
      </w:r>
      <w:r w:rsidRPr="00A64AF8">
        <w:rPr>
          <w:rFonts w:asciiTheme="minorHAnsi" w:hAnsiTheme="minorHAnsi" w:cstheme="minorHAnsi"/>
        </w:rPr>
        <w:t xml:space="preserve"> 1173-1185. </w:t>
      </w:r>
    </w:p>
    <w:p w14:paraId="45FE0DD9" w14:textId="4CBAE34F"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Boulton A.J.</w:t>
      </w:r>
      <w:r w:rsidR="00A37049" w:rsidRPr="00A64AF8">
        <w:rPr>
          <w:rFonts w:asciiTheme="minorHAnsi" w:hAnsiTheme="minorHAnsi" w:cstheme="minorHAnsi"/>
        </w:rPr>
        <w:t xml:space="preserve"> &amp;</w:t>
      </w:r>
      <w:r w:rsidRPr="00A64AF8">
        <w:rPr>
          <w:rFonts w:asciiTheme="minorHAnsi" w:hAnsiTheme="minorHAnsi" w:cstheme="minorHAnsi"/>
        </w:rPr>
        <w:t xml:space="preserve"> Hancock P.J. </w:t>
      </w:r>
      <w:r w:rsidR="00A37049" w:rsidRPr="00A64AF8">
        <w:rPr>
          <w:rFonts w:asciiTheme="minorHAnsi" w:hAnsiTheme="minorHAnsi" w:cstheme="minorHAnsi"/>
        </w:rPr>
        <w:t>(</w:t>
      </w:r>
      <w:r w:rsidRPr="00A64AF8">
        <w:rPr>
          <w:rFonts w:asciiTheme="minorHAnsi" w:hAnsiTheme="minorHAnsi" w:cstheme="minorHAnsi"/>
        </w:rPr>
        <w:t>2006</w:t>
      </w:r>
      <w:r w:rsidR="00A37049" w:rsidRPr="00A64AF8">
        <w:rPr>
          <w:rFonts w:asciiTheme="minorHAnsi" w:hAnsiTheme="minorHAnsi" w:cstheme="minorHAnsi"/>
        </w:rPr>
        <w:t>)</w:t>
      </w:r>
      <w:r w:rsidRPr="00A64AF8">
        <w:rPr>
          <w:rFonts w:asciiTheme="minorHAnsi" w:hAnsiTheme="minorHAnsi" w:cstheme="minorHAnsi"/>
        </w:rPr>
        <w:t xml:space="preserve">. Rivers as groundwater-dependent ecosystems: a review of degrees of dependency, riverine processes and management implications. </w:t>
      </w:r>
      <w:r w:rsidRPr="00A64AF8">
        <w:rPr>
          <w:rFonts w:asciiTheme="minorHAnsi" w:hAnsiTheme="minorHAnsi" w:cstheme="minorHAnsi"/>
          <w:i/>
        </w:rPr>
        <w:t>Australian Journal of Botany</w:t>
      </w:r>
      <w:r w:rsidRPr="00A64AF8">
        <w:rPr>
          <w:rFonts w:asciiTheme="minorHAnsi" w:hAnsiTheme="minorHAnsi" w:cstheme="minorHAnsi"/>
        </w:rPr>
        <w:t xml:space="preserve"> 54</w:t>
      </w:r>
      <w:r w:rsidR="00E17A34" w:rsidRPr="00A64AF8">
        <w:rPr>
          <w:rFonts w:asciiTheme="minorHAnsi" w:hAnsiTheme="minorHAnsi" w:cstheme="minorHAnsi"/>
        </w:rPr>
        <w:t>:</w:t>
      </w:r>
      <w:r w:rsidRPr="00A64AF8">
        <w:rPr>
          <w:rFonts w:asciiTheme="minorHAnsi" w:hAnsiTheme="minorHAnsi" w:cstheme="minorHAnsi"/>
        </w:rPr>
        <w:t xml:space="preserve"> 133-144. </w:t>
      </w:r>
    </w:p>
    <w:p w14:paraId="3E661D98" w14:textId="38AF2FB5"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 xml:space="preserve">Bunn S.E. </w:t>
      </w:r>
      <w:r w:rsidR="00A37049" w:rsidRPr="00A64AF8">
        <w:rPr>
          <w:rFonts w:asciiTheme="minorHAnsi" w:hAnsiTheme="minorHAnsi" w:cstheme="minorHAnsi"/>
        </w:rPr>
        <w:t>(</w:t>
      </w:r>
      <w:r w:rsidRPr="00A64AF8">
        <w:rPr>
          <w:rFonts w:asciiTheme="minorHAnsi" w:hAnsiTheme="minorHAnsi" w:cstheme="minorHAnsi"/>
        </w:rPr>
        <w:t>1988</w:t>
      </w:r>
      <w:r w:rsidR="00A37049" w:rsidRPr="00A64AF8">
        <w:rPr>
          <w:rFonts w:asciiTheme="minorHAnsi" w:hAnsiTheme="minorHAnsi" w:cstheme="minorHAnsi"/>
        </w:rPr>
        <w:t>)</w:t>
      </w:r>
      <w:r w:rsidRPr="00A64AF8">
        <w:rPr>
          <w:rFonts w:asciiTheme="minorHAnsi" w:hAnsiTheme="minorHAnsi" w:cstheme="minorHAnsi"/>
        </w:rPr>
        <w:t xml:space="preserve">. Processing of leaf litter in a northern jarrah forest stream, Western Australia: I. Seasonal differences. </w:t>
      </w:r>
      <w:r w:rsidRPr="00A64AF8">
        <w:rPr>
          <w:rFonts w:asciiTheme="minorHAnsi" w:hAnsiTheme="minorHAnsi" w:cstheme="minorHAnsi"/>
          <w:i/>
        </w:rPr>
        <w:t>Hydrobiologia</w:t>
      </w:r>
      <w:r w:rsidR="00E17A34" w:rsidRPr="00A64AF8">
        <w:rPr>
          <w:rFonts w:asciiTheme="minorHAnsi" w:hAnsiTheme="minorHAnsi" w:cstheme="minorHAnsi"/>
        </w:rPr>
        <w:t xml:space="preserve"> </w:t>
      </w:r>
      <w:r w:rsidRPr="00A64AF8">
        <w:rPr>
          <w:rFonts w:asciiTheme="minorHAnsi" w:hAnsiTheme="minorHAnsi" w:cstheme="minorHAnsi"/>
        </w:rPr>
        <w:t>162</w:t>
      </w:r>
      <w:r w:rsidR="00E17A34" w:rsidRPr="00A64AF8">
        <w:rPr>
          <w:rFonts w:asciiTheme="minorHAnsi" w:hAnsiTheme="minorHAnsi" w:cstheme="minorHAnsi"/>
        </w:rPr>
        <w:t>:</w:t>
      </w:r>
      <w:r w:rsidRPr="00A64AF8">
        <w:rPr>
          <w:rFonts w:asciiTheme="minorHAnsi" w:hAnsiTheme="minorHAnsi" w:cstheme="minorHAnsi"/>
        </w:rPr>
        <w:t xml:space="preserve"> 201-210. </w:t>
      </w:r>
    </w:p>
    <w:p w14:paraId="6E8A1467" w14:textId="4D7C904F"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Bunn S.E.</w:t>
      </w:r>
      <w:r w:rsidR="00A37049" w:rsidRPr="00A64AF8">
        <w:rPr>
          <w:rFonts w:asciiTheme="minorHAnsi" w:hAnsiTheme="minorHAnsi" w:cstheme="minorHAnsi"/>
        </w:rPr>
        <w:t xml:space="preserve"> &amp;</w:t>
      </w:r>
      <w:r w:rsidRPr="00A64AF8">
        <w:rPr>
          <w:rFonts w:asciiTheme="minorHAnsi" w:hAnsiTheme="minorHAnsi" w:cstheme="minorHAnsi"/>
        </w:rPr>
        <w:t xml:space="preserve"> Arthington A.H. </w:t>
      </w:r>
      <w:r w:rsidR="00A37049" w:rsidRPr="00A64AF8">
        <w:rPr>
          <w:rFonts w:asciiTheme="minorHAnsi" w:hAnsiTheme="minorHAnsi" w:cstheme="minorHAnsi"/>
        </w:rPr>
        <w:t>(</w:t>
      </w:r>
      <w:r w:rsidRPr="00A64AF8">
        <w:rPr>
          <w:rFonts w:asciiTheme="minorHAnsi" w:hAnsiTheme="minorHAnsi" w:cstheme="minorHAnsi"/>
        </w:rPr>
        <w:t>2002</w:t>
      </w:r>
      <w:r w:rsidR="00A37049" w:rsidRPr="00A64AF8">
        <w:rPr>
          <w:rFonts w:asciiTheme="minorHAnsi" w:hAnsiTheme="minorHAnsi" w:cstheme="minorHAnsi"/>
        </w:rPr>
        <w:t>)</w:t>
      </w:r>
      <w:r w:rsidRPr="00A64AF8">
        <w:rPr>
          <w:rFonts w:asciiTheme="minorHAnsi" w:hAnsiTheme="minorHAnsi" w:cstheme="minorHAnsi"/>
        </w:rPr>
        <w:t xml:space="preserve">. Basic principles and ecological consequences of altered flow regimes for aquatic biodiversity. </w:t>
      </w:r>
      <w:r w:rsidRPr="00A64AF8">
        <w:rPr>
          <w:rFonts w:asciiTheme="minorHAnsi" w:hAnsiTheme="minorHAnsi" w:cstheme="minorHAnsi"/>
          <w:i/>
        </w:rPr>
        <w:t>Environmental Management</w:t>
      </w:r>
      <w:r w:rsidRPr="00A64AF8">
        <w:rPr>
          <w:rFonts w:asciiTheme="minorHAnsi" w:hAnsiTheme="minorHAnsi" w:cstheme="minorHAnsi"/>
        </w:rPr>
        <w:t xml:space="preserve"> 30</w:t>
      </w:r>
      <w:r w:rsidR="00E17A34" w:rsidRPr="00A64AF8">
        <w:rPr>
          <w:rFonts w:asciiTheme="minorHAnsi" w:hAnsiTheme="minorHAnsi" w:cstheme="minorHAnsi"/>
        </w:rPr>
        <w:t>:</w:t>
      </w:r>
      <w:r w:rsidRPr="00A64AF8">
        <w:rPr>
          <w:rFonts w:asciiTheme="minorHAnsi" w:hAnsiTheme="minorHAnsi" w:cstheme="minorHAnsi"/>
        </w:rPr>
        <w:t xml:space="preserve"> 492-507. </w:t>
      </w:r>
    </w:p>
    <w:p w14:paraId="423D987F" w14:textId="35E36491"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Bunn S.E., Davies P.M.</w:t>
      </w:r>
      <w:r w:rsidR="00A37049" w:rsidRPr="00A64AF8">
        <w:rPr>
          <w:rFonts w:asciiTheme="minorHAnsi" w:hAnsiTheme="minorHAnsi" w:cstheme="minorHAnsi"/>
        </w:rPr>
        <w:t xml:space="preserve"> &amp;</w:t>
      </w:r>
      <w:r w:rsidRPr="00A64AF8">
        <w:rPr>
          <w:rFonts w:asciiTheme="minorHAnsi" w:hAnsiTheme="minorHAnsi" w:cstheme="minorHAnsi"/>
        </w:rPr>
        <w:t xml:space="preserve"> Winning M. </w:t>
      </w:r>
      <w:r w:rsidR="00A37049" w:rsidRPr="00A64AF8">
        <w:rPr>
          <w:rFonts w:asciiTheme="minorHAnsi" w:hAnsiTheme="minorHAnsi" w:cstheme="minorHAnsi"/>
        </w:rPr>
        <w:t>(</w:t>
      </w:r>
      <w:r w:rsidRPr="00A64AF8">
        <w:rPr>
          <w:rFonts w:asciiTheme="minorHAnsi" w:hAnsiTheme="minorHAnsi" w:cstheme="minorHAnsi"/>
        </w:rPr>
        <w:t>2003</w:t>
      </w:r>
      <w:r w:rsidR="00A37049" w:rsidRPr="00A64AF8">
        <w:rPr>
          <w:rFonts w:asciiTheme="minorHAnsi" w:hAnsiTheme="minorHAnsi" w:cstheme="minorHAnsi"/>
        </w:rPr>
        <w:t>)</w:t>
      </w:r>
      <w:r w:rsidRPr="00A64AF8">
        <w:rPr>
          <w:rFonts w:asciiTheme="minorHAnsi" w:hAnsiTheme="minorHAnsi" w:cstheme="minorHAnsi"/>
        </w:rPr>
        <w:t xml:space="preserve">. Sources of organic carbon supporting the food web of an arid zone floodplain river. </w:t>
      </w:r>
      <w:r w:rsidRPr="00A64AF8">
        <w:rPr>
          <w:rFonts w:asciiTheme="minorHAnsi" w:hAnsiTheme="minorHAnsi" w:cstheme="minorHAnsi"/>
          <w:i/>
        </w:rPr>
        <w:t>Freshwater Biology</w:t>
      </w:r>
      <w:r w:rsidRPr="00A64AF8">
        <w:rPr>
          <w:rFonts w:asciiTheme="minorHAnsi" w:hAnsiTheme="minorHAnsi" w:cstheme="minorHAnsi"/>
        </w:rPr>
        <w:t xml:space="preserve"> 48</w:t>
      </w:r>
      <w:r w:rsidR="00E17A34" w:rsidRPr="00A64AF8">
        <w:rPr>
          <w:rFonts w:asciiTheme="minorHAnsi" w:hAnsiTheme="minorHAnsi" w:cstheme="minorHAnsi"/>
        </w:rPr>
        <w:t>:</w:t>
      </w:r>
      <w:r w:rsidRPr="00A64AF8">
        <w:rPr>
          <w:rFonts w:asciiTheme="minorHAnsi" w:hAnsiTheme="minorHAnsi" w:cstheme="minorHAnsi"/>
        </w:rPr>
        <w:t xml:space="preserve"> 619-635. </w:t>
      </w:r>
    </w:p>
    <w:p w14:paraId="50101B53" w14:textId="50AB04BE"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Bunn S.E., Balcombe S.R., Davies P.M., Fellows C.S.</w:t>
      </w:r>
      <w:r w:rsidR="00A37049" w:rsidRPr="00A64AF8">
        <w:rPr>
          <w:rFonts w:asciiTheme="minorHAnsi" w:hAnsiTheme="minorHAnsi" w:cstheme="minorHAnsi"/>
        </w:rPr>
        <w:t xml:space="preserve"> &amp;</w:t>
      </w:r>
      <w:r w:rsidRPr="00A64AF8">
        <w:rPr>
          <w:rFonts w:asciiTheme="minorHAnsi" w:hAnsiTheme="minorHAnsi" w:cstheme="minorHAnsi"/>
        </w:rPr>
        <w:t xml:space="preserve"> McKenzie-Smith F.J. </w:t>
      </w:r>
      <w:r w:rsidR="00A37049" w:rsidRPr="00A64AF8">
        <w:rPr>
          <w:rFonts w:asciiTheme="minorHAnsi" w:hAnsiTheme="minorHAnsi" w:cstheme="minorHAnsi"/>
        </w:rPr>
        <w:t>(</w:t>
      </w:r>
      <w:r w:rsidRPr="00A64AF8">
        <w:rPr>
          <w:rFonts w:asciiTheme="minorHAnsi" w:hAnsiTheme="minorHAnsi" w:cstheme="minorHAnsi"/>
        </w:rPr>
        <w:t>2006</w:t>
      </w:r>
      <w:r w:rsidR="00A37049" w:rsidRPr="00A64AF8">
        <w:rPr>
          <w:rFonts w:asciiTheme="minorHAnsi" w:hAnsiTheme="minorHAnsi" w:cstheme="minorHAnsi"/>
        </w:rPr>
        <w:t>)</w:t>
      </w:r>
      <w:r w:rsidRPr="00A64AF8">
        <w:rPr>
          <w:rFonts w:asciiTheme="minorHAnsi" w:hAnsiTheme="minorHAnsi" w:cstheme="minorHAnsi"/>
        </w:rPr>
        <w:t xml:space="preserve">. Aquatic productivity and food webs of desert river ecosystems. </w:t>
      </w:r>
      <w:r w:rsidR="00E17A34" w:rsidRPr="00A64AF8">
        <w:rPr>
          <w:rFonts w:asciiTheme="minorHAnsi" w:hAnsiTheme="minorHAnsi" w:cstheme="minorHAnsi"/>
          <w:i/>
        </w:rPr>
        <w:t>Ecology of Desert R</w:t>
      </w:r>
      <w:r w:rsidRPr="00A64AF8">
        <w:rPr>
          <w:rFonts w:asciiTheme="minorHAnsi" w:hAnsiTheme="minorHAnsi" w:cstheme="minorHAnsi"/>
          <w:i/>
        </w:rPr>
        <w:t>ivers</w:t>
      </w:r>
      <w:r w:rsidRPr="00A64AF8">
        <w:rPr>
          <w:rFonts w:asciiTheme="minorHAnsi" w:hAnsiTheme="minorHAnsi" w:cstheme="minorHAnsi"/>
        </w:rPr>
        <w:t xml:space="preserve">, 76-99. </w:t>
      </w:r>
    </w:p>
    <w:p w14:paraId="14F51B2B" w14:textId="1D2BA774"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Burrows R.M., Magierowski R.H., Fellman J.B., Clapcott J.E., Munks S.A., Roberts S., Davies P.E.</w:t>
      </w:r>
      <w:r w:rsidR="00ED65C7" w:rsidRPr="00A64AF8">
        <w:rPr>
          <w:rFonts w:asciiTheme="minorHAnsi" w:hAnsiTheme="minorHAnsi" w:cstheme="minorHAnsi"/>
        </w:rPr>
        <w:t xml:space="preserve"> &amp;</w:t>
      </w:r>
      <w:r w:rsidRPr="00A64AF8">
        <w:rPr>
          <w:rFonts w:asciiTheme="minorHAnsi" w:hAnsiTheme="minorHAnsi" w:cstheme="minorHAnsi"/>
        </w:rPr>
        <w:t xml:space="preserve"> Barmuta L.A. </w:t>
      </w:r>
      <w:r w:rsidR="00A37049" w:rsidRPr="00A64AF8">
        <w:rPr>
          <w:rFonts w:asciiTheme="minorHAnsi" w:hAnsiTheme="minorHAnsi" w:cstheme="minorHAnsi"/>
        </w:rPr>
        <w:t>(</w:t>
      </w:r>
      <w:r w:rsidRPr="00A64AF8">
        <w:rPr>
          <w:rFonts w:asciiTheme="minorHAnsi" w:hAnsiTheme="minorHAnsi" w:cstheme="minorHAnsi"/>
        </w:rPr>
        <w:t>2014</w:t>
      </w:r>
      <w:r w:rsidR="00A37049" w:rsidRPr="00A64AF8">
        <w:rPr>
          <w:rFonts w:asciiTheme="minorHAnsi" w:hAnsiTheme="minorHAnsi" w:cstheme="minorHAnsi"/>
        </w:rPr>
        <w:t>)</w:t>
      </w:r>
      <w:r w:rsidRPr="00A64AF8">
        <w:rPr>
          <w:rFonts w:asciiTheme="minorHAnsi" w:hAnsiTheme="minorHAnsi" w:cstheme="minorHAnsi"/>
        </w:rPr>
        <w:t xml:space="preserve">. Variation in stream organic matter processing among years and benthic habitats in response to forest clearfelling. </w:t>
      </w:r>
      <w:r w:rsidRPr="00A64AF8">
        <w:rPr>
          <w:rFonts w:asciiTheme="minorHAnsi" w:hAnsiTheme="minorHAnsi" w:cstheme="minorHAnsi"/>
          <w:i/>
        </w:rPr>
        <w:t>Forest Ecology and Management</w:t>
      </w:r>
      <w:r w:rsidRPr="00A64AF8">
        <w:rPr>
          <w:rFonts w:asciiTheme="minorHAnsi" w:hAnsiTheme="minorHAnsi" w:cstheme="minorHAnsi"/>
        </w:rPr>
        <w:t xml:space="preserve"> 327</w:t>
      </w:r>
      <w:r w:rsidR="00E17A34" w:rsidRPr="00A64AF8">
        <w:rPr>
          <w:rFonts w:asciiTheme="minorHAnsi" w:hAnsiTheme="minorHAnsi" w:cstheme="minorHAnsi"/>
        </w:rPr>
        <w:t>:</w:t>
      </w:r>
      <w:r w:rsidRPr="00A64AF8">
        <w:rPr>
          <w:rFonts w:asciiTheme="minorHAnsi" w:hAnsiTheme="minorHAnsi" w:cstheme="minorHAnsi"/>
        </w:rPr>
        <w:t xml:space="preserve"> 136-147. </w:t>
      </w:r>
    </w:p>
    <w:p w14:paraId="1A1FF633" w14:textId="29258387"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Canhoto C.</w:t>
      </w:r>
      <w:r w:rsidR="00ED65C7" w:rsidRPr="00A64AF8">
        <w:rPr>
          <w:rFonts w:asciiTheme="minorHAnsi" w:hAnsiTheme="minorHAnsi" w:cstheme="minorHAnsi"/>
        </w:rPr>
        <w:t xml:space="preserve"> &amp;</w:t>
      </w:r>
      <w:r w:rsidRPr="00A64AF8">
        <w:rPr>
          <w:rFonts w:asciiTheme="minorHAnsi" w:hAnsiTheme="minorHAnsi" w:cstheme="minorHAnsi"/>
        </w:rPr>
        <w:t xml:space="preserve"> Laranjeira C. </w:t>
      </w:r>
      <w:r w:rsidR="00A37049" w:rsidRPr="00A64AF8">
        <w:rPr>
          <w:rFonts w:asciiTheme="minorHAnsi" w:hAnsiTheme="minorHAnsi" w:cstheme="minorHAnsi"/>
        </w:rPr>
        <w:t>(</w:t>
      </w:r>
      <w:r w:rsidRPr="00A64AF8">
        <w:rPr>
          <w:rFonts w:asciiTheme="minorHAnsi" w:hAnsiTheme="minorHAnsi" w:cstheme="minorHAnsi"/>
        </w:rPr>
        <w:t>2007</w:t>
      </w:r>
      <w:r w:rsidR="00A37049" w:rsidRPr="00A64AF8">
        <w:rPr>
          <w:rFonts w:asciiTheme="minorHAnsi" w:hAnsiTheme="minorHAnsi" w:cstheme="minorHAnsi"/>
        </w:rPr>
        <w:t>)</w:t>
      </w:r>
      <w:r w:rsidRPr="00A64AF8">
        <w:rPr>
          <w:rFonts w:asciiTheme="minorHAnsi" w:hAnsiTheme="minorHAnsi" w:cstheme="minorHAnsi"/>
        </w:rPr>
        <w:t xml:space="preserve">. Leachates of </w:t>
      </w:r>
      <w:r w:rsidRPr="00A64AF8">
        <w:rPr>
          <w:rFonts w:asciiTheme="minorHAnsi" w:hAnsiTheme="minorHAnsi" w:cstheme="minorHAnsi"/>
          <w:i/>
        </w:rPr>
        <w:t>Eucalyptus globulus</w:t>
      </w:r>
      <w:r w:rsidRPr="00A64AF8">
        <w:rPr>
          <w:rFonts w:asciiTheme="minorHAnsi" w:hAnsiTheme="minorHAnsi" w:cstheme="minorHAnsi"/>
        </w:rPr>
        <w:t xml:space="preserve"> in intermittent streams affect water parameters and invertebrates. </w:t>
      </w:r>
      <w:r w:rsidRPr="00A64AF8">
        <w:rPr>
          <w:rFonts w:asciiTheme="minorHAnsi" w:hAnsiTheme="minorHAnsi" w:cstheme="minorHAnsi"/>
          <w:i/>
        </w:rPr>
        <w:t>International Review of Hydrobiology</w:t>
      </w:r>
      <w:r w:rsidRPr="00A64AF8">
        <w:rPr>
          <w:rFonts w:asciiTheme="minorHAnsi" w:hAnsiTheme="minorHAnsi" w:cstheme="minorHAnsi"/>
        </w:rPr>
        <w:t xml:space="preserve"> 92</w:t>
      </w:r>
      <w:r w:rsidR="00E17A34" w:rsidRPr="00A64AF8">
        <w:rPr>
          <w:rFonts w:asciiTheme="minorHAnsi" w:hAnsiTheme="minorHAnsi" w:cstheme="minorHAnsi"/>
        </w:rPr>
        <w:t>:</w:t>
      </w:r>
      <w:r w:rsidRPr="00A64AF8">
        <w:rPr>
          <w:rFonts w:asciiTheme="minorHAnsi" w:hAnsiTheme="minorHAnsi" w:cstheme="minorHAnsi"/>
        </w:rPr>
        <w:t xml:space="preserve"> 173-182. </w:t>
      </w:r>
    </w:p>
    <w:p w14:paraId="5734B122" w14:textId="1F3389A4"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 xml:space="preserve">Chessman B.C. </w:t>
      </w:r>
      <w:r w:rsidR="00A37049" w:rsidRPr="00A64AF8">
        <w:rPr>
          <w:rFonts w:asciiTheme="minorHAnsi" w:hAnsiTheme="minorHAnsi" w:cstheme="minorHAnsi"/>
        </w:rPr>
        <w:t>(</w:t>
      </w:r>
      <w:r w:rsidRPr="00A64AF8">
        <w:rPr>
          <w:rFonts w:asciiTheme="minorHAnsi" w:hAnsiTheme="minorHAnsi" w:cstheme="minorHAnsi"/>
        </w:rPr>
        <w:t>2003</w:t>
      </w:r>
      <w:r w:rsidR="00A37049" w:rsidRPr="00A64AF8">
        <w:rPr>
          <w:rFonts w:asciiTheme="minorHAnsi" w:hAnsiTheme="minorHAnsi" w:cstheme="minorHAnsi"/>
        </w:rPr>
        <w:t>)</w:t>
      </w:r>
      <w:r w:rsidRPr="00A64AF8">
        <w:rPr>
          <w:rFonts w:asciiTheme="minorHAnsi" w:hAnsiTheme="minorHAnsi" w:cstheme="minorHAnsi"/>
        </w:rPr>
        <w:t>. SIGNAL 2 – A Scoring System for Macro-invertebrate (‘Water Bugs’) in Australian Rivers, Canberra.</w:t>
      </w:r>
    </w:p>
    <w:p w14:paraId="1B7C3E72" w14:textId="3082FA5A"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Chessman B.C., Thurtell L.A.</w:t>
      </w:r>
      <w:r w:rsidR="00ED65C7" w:rsidRPr="00A64AF8">
        <w:rPr>
          <w:rFonts w:asciiTheme="minorHAnsi" w:hAnsiTheme="minorHAnsi" w:cstheme="minorHAnsi"/>
        </w:rPr>
        <w:t xml:space="preserve"> &amp;</w:t>
      </w:r>
      <w:r w:rsidRPr="00A64AF8">
        <w:rPr>
          <w:rFonts w:asciiTheme="minorHAnsi" w:hAnsiTheme="minorHAnsi" w:cstheme="minorHAnsi"/>
        </w:rPr>
        <w:t xml:space="preserve"> Royal M.J. </w:t>
      </w:r>
      <w:r w:rsidR="00A37049" w:rsidRPr="00A64AF8">
        <w:rPr>
          <w:rFonts w:asciiTheme="minorHAnsi" w:hAnsiTheme="minorHAnsi" w:cstheme="minorHAnsi"/>
        </w:rPr>
        <w:t>(</w:t>
      </w:r>
      <w:r w:rsidRPr="00A64AF8">
        <w:rPr>
          <w:rFonts w:asciiTheme="minorHAnsi" w:hAnsiTheme="minorHAnsi" w:cstheme="minorHAnsi"/>
        </w:rPr>
        <w:t>2006</w:t>
      </w:r>
      <w:r w:rsidR="00A37049" w:rsidRPr="00A64AF8">
        <w:rPr>
          <w:rFonts w:asciiTheme="minorHAnsi" w:hAnsiTheme="minorHAnsi" w:cstheme="minorHAnsi"/>
        </w:rPr>
        <w:t>)</w:t>
      </w:r>
      <w:r w:rsidRPr="00A64AF8">
        <w:rPr>
          <w:rFonts w:asciiTheme="minorHAnsi" w:hAnsiTheme="minorHAnsi" w:cstheme="minorHAnsi"/>
        </w:rPr>
        <w:t xml:space="preserve">. Bioassessment in A Harsh Environment: A Comparison of Macroinvertebrate Assemblages at Reference and Assessment Sites in An Australian Inland River System. </w:t>
      </w:r>
      <w:r w:rsidRPr="00A64AF8">
        <w:rPr>
          <w:rFonts w:asciiTheme="minorHAnsi" w:hAnsiTheme="minorHAnsi" w:cstheme="minorHAnsi"/>
          <w:i/>
        </w:rPr>
        <w:t>Environmental Modeling and Assessment</w:t>
      </w:r>
      <w:r w:rsidRPr="00A64AF8">
        <w:rPr>
          <w:rFonts w:asciiTheme="minorHAnsi" w:hAnsiTheme="minorHAnsi" w:cstheme="minorHAnsi"/>
        </w:rPr>
        <w:t xml:space="preserve"> 119</w:t>
      </w:r>
      <w:r w:rsidR="00E17A34" w:rsidRPr="00A64AF8">
        <w:rPr>
          <w:rFonts w:asciiTheme="minorHAnsi" w:hAnsiTheme="minorHAnsi" w:cstheme="minorHAnsi"/>
        </w:rPr>
        <w:t>:</w:t>
      </w:r>
      <w:r w:rsidRPr="00A64AF8">
        <w:rPr>
          <w:rFonts w:asciiTheme="minorHAnsi" w:hAnsiTheme="minorHAnsi" w:cstheme="minorHAnsi"/>
        </w:rPr>
        <w:t xml:space="preserve"> 303-330. </w:t>
      </w:r>
    </w:p>
    <w:p w14:paraId="08744DC5" w14:textId="484C53F3"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Chessman B.C., Jones H.A., Searle N.K., Growns I.O.</w:t>
      </w:r>
      <w:r w:rsidR="00ED65C7" w:rsidRPr="00A64AF8">
        <w:rPr>
          <w:rFonts w:asciiTheme="minorHAnsi" w:hAnsiTheme="minorHAnsi" w:cstheme="minorHAnsi"/>
        </w:rPr>
        <w:t xml:space="preserve"> &amp;</w:t>
      </w:r>
      <w:r w:rsidRPr="00A64AF8">
        <w:rPr>
          <w:rFonts w:asciiTheme="minorHAnsi" w:hAnsiTheme="minorHAnsi" w:cstheme="minorHAnsi"/>
        </w:rPr>
        <w:t xml:space="preserve"> Pearson M.R. </w:t>
      </w:r>
      <w:r w:rsidR="00A37049" w:rsidRPr="00A64AF8">
        <w:rPr>
          <w:rFonts w:asciiTheme="minorHAnsi" w:hAnsiTheme="minorHAnsi" w:cstheme="minorHAnsi"/>
        </w:rPr>
        <w:t>(</w:t>
      </w:r>
      <w:r w:rsidRPr="00A64AF8">
        <w:rPr>
          <w:rFonts w:asciiTheme="minorHAnsi" w:hAnsiTheme="minorHAnsi" w:cstheme="minorHAnsi"/>
        </w:rPr>
        <w:t>2010</w:t>
      </w:r>
      <w:r w:rsidR="00A37049" w:rsidRPr="00A64AF8">
        <w:rPr>
          <w:rFonts w:asciiTheme="minorHAnsi" w:hAnsiTheme="minorHAnsi" w:cstheme="minorHAnsi"/>
        </w:rPr>
        <w:t>)</w:t>
      </w:r>
      <w:r w:rsidRPr="00A64AF8">
        <w:rPr>
          <w:rFonts w:asciiTheme="minorHAnsi" w:hAnsiTheme="minorHAnsi" w:cstheme="minorHAnsi"/>
        </w:rPr>
        <w:t xml:space="preserve">. Assessing effects of flow alteration on macroinvertebrate assemblages in Australian dryland rivers. </w:t>
      </w:r>
      <w:r w:rsidRPr="00A64AF8">
        <w:rPr>
          <w:rFonts w:asciiTheme="minorHAnsi" w:hAnsiTheme="minorHAnsi" w:cstheme="minorHAnsi"/>
          <w:i/>
        </w:rPr>
        <w:t>Freshwater Biology</w:t>
      </w:r>
      <w:r w:rsidRPr="00A64AF8">
        <w:rPr>
          <w:rFonts w:asciiTheme="minorHAnsi" w:hAnsiTheme="minorHAnsi" w:cstheme="minorHAnsi"/>
        </w:rPr>
        <w:t xml:space="preserve"> 55</w:t>
      </w:r>
      <w:r w:rsidR="00E17A34" w:rsidRPr="00A64AF8">
        <w:rPr>
          <w:rFonts w:asciiTheme="minorHAnsi" w:hAnsiTheme="minorHAnsi" w:cstheme="minorHAnsi"/>
        </w:rPr>
        <w:t>:</w:t>
      </w:r>
      <w:r w:rsidRPr="00A64AF8">
        <w:rPr>
          <w:rFonts w:asciiTheme="minorHAnsi" w:hAnsiTheme="minorHAnsi" w:cstheme="minorHAnsi"/>
        </w:rPr>
        <w:t xml:space="preserve"> 1780-1800. </w:t>
      </w:r>
    </w:p>
    <w:p w14:paraId="70D83470" w14:textId="56882C77"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Clapcott J.E.</w:t>
      </w:r>
      <w:r w:rsidR="00ED65C7" w:rsidRPr="00A64AF8">
        <w:rPr>
          <w:rFonts w:asciiTheme="minorHAnsi" w:hAnsiTheme="minorHAnsi" w:cstheme="minorHAnsi"/>
        </w:rPr>
        <w:t xml:space="preserve"> &amp;</w:t>
      </w:r>
      <w:r w:rsidRPr="00A64AF8">
        <w:rPr>
          <w:rFonts w:asciiTheme="minorHAnsi" w:hAnsiTheme="minorHAnsi" w:cstheme="minorHAnsi"/>
        </w:rPr>
        <w:t xml:space="preserve"> Barmuta L.A. </w:t>
      </w:r>
      <w:r w:rsidR="00A37049" w:rsidRPr="00A64AF8">
        <w:rPr>
          <w:rFonts w:asciiTheme="minorHAnsi" w:hAnsiTheme="minorHAnsi" w:cstheme="minorHAnsi"/>
        </w:rPr>
        <w:t>(</w:t>
      </w:r>
      <w:r w:rsidRPr="00A64AF8">
        <w:rPr>
          <w:rFonts w:asciiTheme="minorHAnsi" w:hAnsiTheme="minorHAnsi" w:cstheme="minorHAnsi"/>
        </w:rPr>
        <w:t>2010a</w:t>
      </w:r>
      <w:r w:rsidR="00A37049" w:rsidRPr="00A64AF8">
        <w:rPr>
          <w:rFonts w:asciiTheme="minorHAnsi" w:hAnsiTheme="minorHAnsi" w:cstheme="minorHAnsi"/>
        </w:rPr>
        <w:t>)</w:t>
      </w:r>
      <w:r w:rsidRPr="00A64AF8">
        <w:rPr>
          <w:rFonts w:asciiTheme="minorHAnsi" w:hAnsiTheme="minorHAnsi" w:cstheme="minorHAnsi"/>
        </w:rPr>
        <w:t xml:space="preserve">. Forest clearance increases metabolism and organic matter processes in small headwater streams. </w:t>
      </w:r>
      <w:r w:rsidRPr="00A64AF8">
        <w:rPr>
          <w:rFonts w:asciiTheme="minorHAnsi" w:hAnsiTheme="minorHAnsi" w:cstheme="minorHAnsi"/>
          <w:i/>
        </w:rPr>
        <w:t>Journal of the North American Benthological Society</w:t>
      </w:r>
      <w:r w:rsidR="00E17A34" w:rsidRPr="00A64AF8">
        <w:rPr>
          <w:rFonts w:asciiTheme="minorHAnsi" w:hAnsiTheme="minorHAnsi" w:cstheme="minorHAnsi"/>
        </w:rPr>
        <w:t xml:space="preserve"> </w:t>
      </w:r>
      <w:r w:rsidRPr="00A64AF8">
        <w:rPr>
          <w:rFonts w:asciiTheme="minorHAnsi" w:hAnsiTheme="minorHAnsi" w:cstheme="minorHAnsi"/>
        </w:rPr>
        <w:t>29</w:t>
      </w:r>
      <w:r w:rsidR="00E17A34" w:rsidRPr="00A64AF8">
        <w:rPr>
          <w:rFonts w:asciiTheme="minorHAnsi" w:hAnsiTheme="minorHAnsi" w:cstheme="minorHAnsi"/>
        </w:rPr>
        <w:t>:</w:t>
      </w:r>
      <w:r w:rsidRPr="00A64AF8">
        <w:rPr>
          <w:rFonts w:asciiTheme="minorHAnsi" w:hAnsiTheme="minorHAnsi" w:cstheme="minorHAnsi"/>
        </w:rPr>
        <w:t xml:space="preserve"> 546-561. </w:t>
      </w:r>
    </w:p>
    <w:p w14:paraId="31609D88" w14:textId="52F1480D"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lastRenderedPageBreak/>
        <w:t>Clapcott J.E.</w:t>
      </w:r>
      <w:r w:rsidR="00ED65C7" w:rsidRPr="00A64AF8">
        <w:rPr>
          <w:rFonts w:asciiTheme="minorHAnsi" w:hAnsiTheme="minorHAnsi" w:cstheme="minorHAnsi"/>
        </w:rPr>
        <w:t xml:space="preserve"> &amp;</w:t>
      </w:r>
      <w:r w:rsidRPr="00A64AF8">
        <w:rPr>
          <w:rFonts w:asciiTheme="minorHAnsi" w:hAnsiTheme="minorHAnsi" w:cstheme="minorHAnsi"/>
        </w:rPr>
        <w:t xml:space="preserve"> Barmuta L.A. </w:t>
      </w:r>
      <w:r w:rsidR="00A37049" w:rsidRPr="00A64AF8">
        <w:rPr>
          <w:rFonts w:asciiTheme="minorHAnsi" w:hAnsiTheme="minorHAnsi" w:cstheme="minorHAnsi"/>
        </w:rPr>
        <w:t>(</w:t>
      </w:r>
      <w:r w:rsidRPr="00A64AF8">
        <w:rPr>
          <w:rFonts w:asciiTheme="minorHAnsi" w:hAnsiTheme="minorHAnsi" w:cstheme="minorHAnsi"/>
        </w:rPr>
        <w:t>2010b</w:t>
      </w:r>
      <w:r w:rsidR="00A37049" w:rsidRPr="00A64AF8">
        <w:rPr>
          <w:rFonts w:asciiTheme="minorHAnsi" w:hAnsiTheme="minorHAnsi" w:cstheme="minorHAnsi"/>
        </w:rPr>
        <w:t>)</w:t>
      </w:r>
      <w:r w:rsidRPr="00A64AF8">
        <w:rPr>
          <w:rFonts w:asciiTheme="minorHAnsi" w:hAnsiTheme="minorHAnsi" w:cstheme="minorHAnsi"/>
        </w:rPr>
        <w:t xml:space="preserve">. Metabolic patch dynamics in small headwater streams: exploring spatial and temporal variability in benthic processes. </w:t>
      </w:r>
      <w:r w:rsidRPr="00A64AF8">
        <w:rPr>
          <w:rFonts w:asciiTheme="minorHAnsi" w:hAnsiTheme="minorHAnsi" w:cstheme="minorHAnsi"/>
          <w:i/>
        </w:rPr>
        <w:t>Freshwater Biology</w:t>
      </w:r>
      <w:r w:rsidRPr="00A64AF8">
        <w:rPr>
          <w:rFonts w:asciiTheme="minorHAnsi" w:hAnsiTheme="minorHAnsi" w:cstheme="minorHAnsi"/>
        </w:rPr>
        <w:t xml:space="preserve"> 55</w:t>
      </w:r>
      <w:r w:rsidR="00E17A34" w:rsidRPr="00A64AF8">
        <w:rPr>
          <w:rFonts w:asciiTheme="minorHAnsi" w:hAnsiTheme="minorHAnsi" w:cstheme="minorHAnsi"/>
        </w:rPr>
        <w:t>:</w:t>
      </w:r>
      <w:r w:rsidRPr="00A64AF8">
        <w:rPr>
          <w:rFonts w:asciiTheme="minorHAnsi" w:hAnsiTheme="minorHAnsi" w:cstheme="minorHAnsi"/>
        </w:rPr>
        <w:t xml:space="preserve"> 806-824. </w:t>
      </w:r>
    </w:p>
    <w:p w14:paraId="62883329" w14:textId="68806F05"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Clarke A., Mac Nally R., Bond N.</w:t>
      </w:r>
      <w:r w:rsidR="00ED65C7" w:rsidRPr="00A64AF8">
        <w:rPr>
          <w:rFonts w:asciiTheme="minorHAnsi" w:hAnsiTheme="minorHAnsi" w:cstheme="minorHAnsi"/>
        </w:rPr>
        <w:t xml:space="preserve"> &amp;</w:t>
      </w:r>
      <w:r w:rsidRPr="00A64AF8">
        <w:rPr>
          <w:rFonts w:asciiTheme="minorHAnsi" w:hAnsiTheme="minorHAnsi" w:cstheme="minorHAnsi"/>
        </w:rPr>
        <w:t xml:space="preserve"> Lake P.S. </w:t>
      </w:r>
      <w:r w:rsidR="00A37049" w:rsidRPr="00A64AF8">
        <w:rPr>
          <w:rFonts w:asciiTheme="minorHAnsi" w:hAnsiTheme="minorHAnsi" w:cstheme="minorHAnsi"/>
        </w:rPr>
        <w:t>(</w:t>
      </w:r>
      <w:r w:rsidRPr="00A64AF8">
        <w:rPr>
          <w:rFonts w:asciiTheme="minorHAnsi" w:hAnsiTheme="minorHAnsi" w:cstheme="minorHAnsi"/>
        </w:rPr>
        <w:t>2010</w:t>
      </w:r>
      <w:r w:rsidR="00A37049" w:rsidRPr="00A64AF8">
        <w:rPr>
          <w:rFonts w:asciiTheme="minorHAnsi" w:hAnsiTheme="minorHAnsi" w:cstheme="minorHAnsi"/>
        </w:rPr>
        <w:t>)</w:t>
      </w:r>
      <w:r w:rsidRPr="00A64AF8">
        <w:rPr>
          <w:rFonts w:asciiTheme="minorHAnsi" w:hAnsiTheme="minorHAnsi" w:cstheme="minorHAnsi"/>
        </w:rPr>
        <w:t xml:space="preserve">. Flow permanence affects aquatic macroinvertebrate diversity and community structure in three headwater streams in a forested catchment. </w:t>
      </w:r>
      <w:r w:rsidRPr="00A64AF8">
        <w:rPr>
          <w:rFonts w:asciiTheme="minorHAnsi" w:hAnsiTheme="minorHAnsi" w:cstheme="minorHAnsi"/>
          <w:i/>
        </w:rPr>
        <w:t>Canadian Journal of Fisheries and Aquatic Sciences</w:t>
      </w:r>
      <w:r w:rsidRPr="00A64AF8">
        <w:rPr>
          <w:rFonts w:asciiTheme="minorHAnsi" w:hAnsiTheme="minorHAnsi" w:cstheme="minorHAnsi"/>
        </w:rPr>
        <w:t xml:space="preserve"> 67</w:t>
      </w:r>
      <w:r w:rsidR="00E17A34" w:rsidRPr="00A64AF8">
        <w:rPr>
          <w:rFonts w:asciiTheme="minorHAnsi" w:hAnsiTheme="minorHAnsi" w:cstheme="minorHAnsi"/>
        </w:rPr>
        <w:t>:</w:t>
      </w:r>
      <w:r w:rsidRPr="00A64AF8">
        <w:rPr>
          <w:rFonts w:asciiTheme="minorHAnsi" w:hAnsiTheme="minorHAnsi" w:cstheme="minorHAnsi"/>
        </w:rPr>
        <w:t xml:space="preserve"> 1649-1657. </w:t>
      </w:r>
    </w:p>
    <w:p w14:paraId="1E1F940C" w14:textId="261A9DBC"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Conrick D.</w:t>
      </w:r>
      <w:r w:rsidR="00ED65C7" w:rsidRPr="00A64AF8">
        <w:rPr>
          <w:rFonts w:asciiTheme="minorHAnsi" w:hAnsiTheme="minorHAnsi" w:cstheme="minorHAnsi"/>
        </w:rPr>
        <w:t xml:space="preserve"> &amp;</w:t>
      </w:r>
      <w:r w:rsidRPr="00A64AF8">
        <w:rPr>
          <w:rFonts w:asciiTheme="minorHAnsi" w:hAnsiTheme="minorHAnsi" w:cstheme="minorHAnsi"/>
        </w:rPr>
        <w:t xml:space="preserve"> Cockayne B. </w:t>
      </w:r>
      <w:r w:rsidR="00A37049" w:rsidRPr="00A64AF8">
        <w:rPr>
          <w:rFonts w:asciiTheme="minorHAnsi" w:hAnsiTheme="minorHAnsi" w:cstheme="minorHAnsi"/>
        </w:rPr>
        <w:t>(</w:t>
      </w:r>
      <w:r w:rsidRPr="00A64AF8">
        <w:rPr>
          <w:rFonts w:asciiTheme="minorHAnsi" w:hAnsiTheme="minorHAnsi" w:cstheme="minorHAnsi"/>
        </w:rPr>
        <w:t>2001</w:t>
      </w:r>
      <w:r w:rsidR="00A37049" w:rsidRPr="00A64AF8">
        <w:rPr>
          <w:rFonts w:asciiTheme="minorHAnsi" w:hAnsiTheme="minorHAnsi" w:cstheme="minorHAnsi"/>
        </w:rPr>
        <w:t>)</w:t>
      </w:r>
      <w:r w:rsidRPr="00A64AF8">
        <w:rPr>
          <w:rFonts w:asciiTheme="minorHAnsi" w:hAnsiTheme="minorHAnsi" w:cstheme="minorHAnsi"/>
        </w:rPr>
        <w:t>. Queensland Australian River Assessment System (AusRivAS) Sampling Processing Manual. Department of Natural Resources and Mines, Rocklea, Qld.</w:t>
      </w:r>
    </w:p>
    <w:p w14:paraId="3C7F5645" w14:textId="112FF795"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Cook P.G., Favreau G., Dighton J.C.</w:t>
      </w:r>
      <w:r w:rsidR="00ED65C7" w:rsidRPr="00A64AF8">
        <w:rPr>
          <w:rFonts w:asciiTheme="minorHAnsi" w:hAnsiTheme="minorHAnsi" w:cstheme="minorHAnsi"/>
        </w:rPr>
        <w:t xml:space="preserve"> &amp;</w:t>
      </w:r>
      <w:r w:rsidRPr="00A64AF8">
        <w:rPr>
          <w:rFonts w:asciiTheme="minorHAnsi" w:hAnsiTheme="minorHAnsi" w:cstheme="minorHAnsi"/>
        </w:rPr>
        <w:t xml:space="preserve"> Tickell S. </w:t>
      </w:r>
      <w:r w:rsidR="00A37049" w:rsidRPr="00A64AF8">
        <w:rPr>
          <w:rFonts w:asciiTheme="minorHAnsi" w:hAnsiTheme="minorHAnsi" w:cstheme="minorHAnsi"/>
        </w:rPr>
        <w:t>(</w:t>
      </w:r>
      <w:r w:rsidRPr="00A64AF8">
        <w:rPr>
          <w:rFonts w:asciiTheme="minorHAnsi" w:hAnsiTheme="minorHAnsi" w:cstheme="minorHAnsi"/>
        </w:rPr>
        <w:t>2003</w:t>
      </w:r>
      <w:r w:rsidR="00A37049" w:rsidRPr="00A64AF8">
        <w:rPr>
          <w:rFonts w:asciiTheme="minorHAnsi" w:hAnsiTheme="minorHAnsi" w:cstheme="minorHAnsi"/>
        </w:rPr>
        <w:t>)</w:t>
      </w:r>
      <w:r w:rsidRPr="00A64AF8">
        <w:rPr>
          <w:rFonts w:asciiTheme="minorHAnsi" w:hAnsiTheme="minorHAnsi" w:cstheme="minorHAnsi"/>
        </w:rPr>
        <w:t xml:space="preserve">. Determining natural groundwater influx to a tropical river using radon, chlorofluorocarbons and ionic environmental tracers. </w:t>
      </w:r>
      <w:r w:rsidRPr="00A64AF8">
        <w:rPr>
          <w:rFonts w:asciiTheme="minorHAnsi" w:hAnsiTheme="minorHAnsi" w:cstheme="minorHAnsi"/>
          <w:i/>
        </w:rPr>
        <w:t>Journal of Hydrology</w:t>
      </w:r>
      <w:r w:rsidRPr="00A64AF8">
        <w:rPr>
          <w:rFonts w:asciiTheme="minorHAnsi" w:hAnsiTheme="minorHAnsi" w:cstheme="minorHAnsi"/>
        </w:rPr>
        <w:t xml:space="preserve"> 277</w:t>
      </w:r>
      <w:r w:rsidR="00E17A34" w:rsidRPr="00A64AF8">
        <w:rPr>
          <w:rFonts w:asciiTheme="minorHAnsi" w:hAnsiTheme="minorHAnsi" w:cstheme="minorHAnsi"/>
        </w:rPr>
        <w:t>:</w:t>
      </w:r>
      <w:r w:rsidRPr="00A64AF8">
        <w:rPr>
          <w:rFonts w:asciiTheme="minorHAnsi" w:hAnsiTheme="minorHAnsi" w:cstheme="minorHAnsi"/>
        </w:rPr>
        <w:t xml:space="preserve"> 74-88. </w:t>
      </w:r>
    </w:p>
    <w:p w14:paraId="7C1D5A99" w14:textId="489CB51E"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Cornut J., Elger A., Lambrigot D., Marmonier P.</w:t>
      </w:r>
      <w:r w:rsidR="00ED65C7" w:rsidRPr="00A64AF8">
        <w:rPr>
          <w:rFonts w:asciiTheme="minorHAnsi" w:hAnsiTheme="minorHAnsi" w:cstheme="minorHAnsi"/>
        </w:rPr>
        <w:t xml:space="preserve"> &amp;</w:t>
      </w:r>
      <w:r w:rsidRPr="00A64AF8">
        <w:rPr>
          <w:rFonts w:asciiTheme="minorHAnsi" w:hAnsiTheme="minorHAnsi" w:cstheme="minorHAnsi"/>
        </w:rPr>
        <w:t xml:space="preserve"> Chauvet E. </w:t>
      </w:r>
      <w:r w:rsidR="00A37049" w:rsidRPr="00A64AF8">
        <w:rPr>
          <w:rFonts w:asciiTheme="minorHAnsi" w:hAnsiTheme="minorHAnsi" w:cstheme="minorHAnsi"/>
        </w:rPr>
        <w:t>(</w:t>
      </w:r>
      <w:r w:rsidRPr="00A64AF8">
        <w:rPr>
          <w:rFonts w:asciiTheme="minorHAnsi" w:hAnsiTheme="minorHAnsi" w:cstheme="minorHAnsi"/>
        </w:rPr>
        <w:t>2010</w:t>
      </w:r>
      <w:r w:rsidR="00A37049" w:rsidRPr="00A64AF8">
        <w:rPr>
          <w:rFonts w:asciiTheme="minorHAnsi" w:hAnsiTheme="minorHAnsi" w:cstheme="minorHAnsi"/>
        </w:rPr>
        <w:t>)</w:t>
      </w:r>
      <w:r w:rsidRPr="00A64AF8">
        <w:rPr>
          <w:rFonts w:asciiTheme="minorHAnsi" w:hAnsiTheme="minorHAnsi" w:cstheme="minorHAnsi"/>
        </w:rPr>
        <w:t xml:space="preserve">. Early stages of leaf decomposition are mediated by aquatic fungi in the hyporheic zone of woodland streams. </w:t>
      </w:r>
      <w:r w:rsidRPr="00A64AF8">
        <w:rPr>
          <w:rFonts w:asciiTheme="minorHAnsi" w:hAnsiTheme="minorHAnsi" w:cstheme="minorHAnsi"/>
          <w:i/>
        </w:rPr>
        <w:t>Freshwater Biology</w:t>
      </w:r>
      <w:r w:rsidRPr="00A64AF8">
        <w:rPr>
          <w:rFonts w:asciiTheme="minorHAnsi" w:hAnsiTheme="minorHAnsi" w:cstheme="minorHAnsi"/>
        </w:rPr>
        <w:t xml:space="preserve"> 55</w:t>
      </w:r>
      <w:r w:rsidR="00E17A34" w:rsidRPr="00A64AF8">
        <w:rPr>
          <w:rFonts w:asciiTheme="minorHAnsi" w:hAnsiTheme="minorHAnsi" w:cstheme="minorHAnsi"/>
        </w:rPr>
        <w:t>:</w:t>
      </w:r>
      <w:r w:rsidRPr="00A64AF8">
        <w:rPr>
          <w:rFonts w:asciiTheme="minorHAnsi" w:hAnsiTheme="minorHAnsi" w:cstheme="minorHAnsi"/>
        </w:rPr>
        <w:t xml:space="preserve"> 2541-2556. </w:t>
      </w:r>
    </w:p>
    <w:p w14:paraId="0D298F01" w14:textId="19F3975F"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Corti R., Datry T., Drummond L.</w:t>
      </w:r>
      <w:r w:rsidR="00ED65C7" w:rsidRPr="00A64AF8">
        <w:rPr>
          <w:rFonts w:asciiTheme="minorHAnsi" w:hAnsiTheme="minorHAnsi" w:cstheme="minorHAnsi"/>
        </w:rPr>
        <w:t xml:space="preserve"> &amp;</w:t>
      </w:r>
      <w:r w:rsidRPr="00A64AF8">
        <w:rPr>
          <w:rFonts w:asciiTheme="minorHAnsi" w:hAnsiTheme="minorHAnsi" w:cstheme="minorHAnsi"/>
        </w:rPr>
        <w:t xml:space="preserve"> Larned S.T. </w:t>
      </w:r>
      <w:r w:rsidR="00A37049" w:rsidRPr="00A64AF8">
        <w:rPr>
          <w:rFonts w:asciiTheme="minorHAnsi" w:hAnsiTheme="minorHAnsi" w:cstheme="minorHAnsi"/>
        </w:rPr>
        <w:t>(</w:t>
      </w:r>
      <w:r w:rsidRPr="00A64AF8">
        <w:rPr>
          <w:rFonts w:asciiTheme="minorHAnsi" w:hAnsiTheme="minorHAnsi" w:cstheme="minorHAnsi"/>
        </w:rPr>
        <w:t>2011</w:t>
      </w:r>
      <w:r w:rsidR="00A37049" w:rsidRPr="00A64AF8">
        <w:rPr>
          <w:rFonts w:asciiTheme="minorHAnsi" w:hAnsiTheme="minorHAnsi" w:cstheme="minorHAnsi"/>
        </w:rPr>
        <w:t>)</w:t>
      </w:r>
      <w:r w:rsidRPr="00A64AF8">
        <w:rPr>
          <w:rFonts w:asciiTheme="minorHAnsi" w:hAnsiTheme="minorHAnsi" w:cstheme="minorHAnsi"/>
        </w:rPr>
        <w:t xml:space="preserve">. Natural variation in immersion and emersion affects breakdown and invertebrate colonization of leaf litter in a temporary river. </w:t>
      </w:r>
      <w:r w:rsidRPr="00A64AF8">
        <w:rPr>
          <w:rFonts w:asciiTheme="minorHAnsi" w:hAnsiTheme="minorHAnsi" w:cstheme="minorHAnsi"/>
          <w:i/>
        </w:rPr>
        <w:t>Aquatic Sciences</w:t>
      </w:r>
      <w:r w:rsidRPr="00A64AF8">
        <w:rPr>
          <w:rFonts w:asciiTheme="minorHAnsi" w:hAnsiTheme="minorHAnsi" w:cstheme="minorHAnsi"/>
        </w:rPr>
        <w:t xml:space="preserve"> 73</w:t>
      </w:r>
      <w:r w:rsidR="00E17A34" w:rsidRPr="00A64AF8">
        <w:rPr>
          <w:rFonts w:asciiTheme="minorHAnsi" w:hAnsiTheme="minorHAnsi" w:cstheme="minorHAnsi"/>
        </w:rPr>
        <w:t>:</w:t>
      </w:r>
      <w:r w:rsidRPr="00A64AF8">
        <w:rPr>
          <w:rFonts w:asciiTheme="minorHAnsi" w:hAnsiTheme="minorHAnsi" w:cstheme="minorHAnsi"/>
        </w:rPr>
        <w:t xml:space="preserve"> 537-550. </w:t>
      </w:r>
    </w:p>
    <w:p w14:paraId="0E5FD0BD" w14:textId="5784CBCA"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Cruz-Rivera E.</w:t>
      </w:r>
      <w:r w:rsidR="00ED65C7" w:rsidRPr="00A64AF8">
        <w:rPr>
          <w:rFonts w:asciiTheme="minorHAnsi" w:hAnsiTheme="minorHAnsi" w:cstheme="minorHAnsi"/>
        </w:rPr>
        <w:t xml:space="preserve"> &amp;</w:t>
      </w:r>
      <w:r w:rsidRPr="00A64AF8">
        <w:rPr>
          <w:rFonts w:asciiTheme="minorHAnsi" w:hAnsiTheme="minorHAnsi" w:cstheme="minorHAnsi"/>
        </w:rPr>
        <w:t xml:space="preserve"> Hay M.E. </w:t>
      </w:r>
      <w:r w:rsidR="00A37049" w:rsidRPr="00A64AF8">
        <w:rPr>
          <w:rFonts w:asciiTheme="minorHAnsi" w:hAnsiTheme="minorHAnsi" w:cstheme="minorHAnsi"/>
        </w:rPr>
        <w:t>(</w:t>
      </w:r>
      <w:r w:rsidRPr="00A64AF8">
        <w:rPr>
          <w:rFonts w:asciiTheme="minorHAnsi" w:hAnsiTheme="minorHAnsi" w:cstheme="minorHAnsi"/>
        </w:rPr>
        <w:t>2000</w:t>
      </w:r>
      <w:r w:rsidR="00A37049" w:rsidRPr="00A64AF8">
        <w:rPr>
          <w:rFonts w:asciiTheme="minorHAnsi" w:hAnsiTheme="minorHAnsi" w:cstheme="minorHAnsi"/>
        </w:rPr>
        <w:t>)</w:t>
      </w:r>
      <w:r w:rsidRPr="00A64AF8">
        <w:rPr>
          <w:rFonts w:asciiTheme="minorHAnsi" w:hAnsiTheme="minorHAnsi" w:cstheme="minorHAnsi"/>
        </w:rPr>
        <w:t xml:space="preserve">. Can quantity replace quality? Food choice, compensatory feeding, and fitness of marine mesograzers. </w:t>
      </w:r>
      <w:r w:rsidRPr="00A64AF8">
        <w:rPr>
          <w:rFonts w:asciiTheme="minorHAnsi" w:hAnsiTheme="minorHAnsi" w:cstheme="minorHAnsi"/>
          <w:i/>
        </w:rPr>
        <w:t>Ecology</w:t>
      </w:r>
      <w:r w:rsidRPr="00A64AF8">
        <w:rPr>
          <w:rFonts w:asciiTheme="minorHAnsi" w:hAnsiTheme="minorHAnsi" w:cstheme="minorHAnsi"/>
        </w:rPr>
        <w:t xml:space="preserve"> 81</w:t>
      </w:r>
      <w:r w:rsidR="00E17A34" w:rsidRPr="00A64AF8">
        <w:rPr>
          <w:rFonts w:asciiTheme="minorHAnsi" w:hAnsiTheme="minorHAnsi" w:cstheme="minorHAnsi"/>
        </w:rPr>
        <w:t>:</w:t>
      </w:r>
      <w:r w:rsidRPr="00A64AF8">
        <w:rPr>
          <w:rFonts w:asciiTheme="minorHAnsi" w:hAnsiTheme="minorHAnsi" w:cstheme="minorHAnsi"/>
        </w:rPr>
        <w:t xml:space="preserve"> 201-219. </w:t>
      </w:r>
    </w:p>
    <w:p w14:paraId="0CD79F0E" w14:textId="60C44C35"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Datry T., Corti R., Claret C.</w:t>
      </w:r>
      <w:r w:rsidR="00ED65C7" w:rsidRPr="00A64AF8">
        <w:rPr>
          <w:rFonts w:asciiTheme="minorHAnsi" w:hAnsiTheme="minorHAnsi" w:cstheme="minorHAnsi"/>
        </w:rPr>
        <w:t xml:space="preserve"> &amp;</w:t>
      </w:r>
      <w:r w:rsidRPr="00A64AF8">
        <w:rPr>
          <w:rFonts w:asciiTheme="minorHAnsi" w:hAnsiTheme="minorHAnsi" w:cstheme="minorHAnsi"/>
        </w:rPr>
        <w:t xml:space="preserve"> Philippe M. </w:t>
      </w:r>
      <w:r w:rsidR="00A37049" w:rsidRPr="00A64AF8">
        <w:rPr>
          <w:rFonts w:asciiTheme="minorHAnsi" w:hAnsiTheme="minorHAnsi" w:cstheme="minorHAnsi"/>
        </w:rPr>
        <w:t>(</w:t>
      </w:r>
      <w:r w:rsidRPr="00A64AF8">
        <w:rPr>
          <w:rFonts w:asciiTheme="minorHAnsi" w:hAnsiTheme="minorHAnsi" w:cstheme="minorHAnsi"/>
        </w:rPr>
        <w:t>2011</w:t>
      </w:r>
      <w:r w:rsidR="00A37049" w:rsidRPr="00A64AF8">
        <w:rPr>
          <w:rFonts w:asciiTheme="minorHAnsi" w:hAnsiTheme="minorHAnsi" w:cstheme="minorHAnsi"/>
        </w:rPr>
        <w:t>)</w:t>
      </w:r>
      <w:r w:rsidRPr="00A64AF8">
        <w:rPr>
          <w:rFonts w:asciiTheme="minorHAnsi" w:hAnsiTheme="minorHAnsi" w:cstheme="minorHAnsi"/>
        </w:rPr>
        <w:t xml:space="preserve">. Flow intermittence controls leaf litter breakdown in a French temporary alluvial river: the “drying memory”. </w:t>
      </w:r>
      <w:r w:rsidRPr="00A64AF8">
        <w:rPr>
          <w:rFonts w:asciiTheme="minorHAnsi" w:hAnsiTheme="minorHAnsi" w:cstheme="minorHAnsi"/>
          <w:i/>
        </w:rPr>
        <w:t>Aquatic Sciences</w:t>
      </w:r>
      <w:r w:rsidR="00E17A34" w:rsidRPr="00A64AF8">
        <w:rPr>
          <w:rFonts w:asciiTheme="minorHAnsi" w:hAnsiTheme="minorHAnsi" w:cstheme="minorHAnsi"/>
        </w:rPr>
        <w:t xml:space="preserve"> </w:t>
      </w:r>
      <w:r w:rsidRPr="00A64AF8">
        <w:rPr>
          <w:rFonts w:asciiTheme="minorHAnsi" w:hAnsiTheme="minorHAnsi" w:cstheme="minorHAnsi"/>
        </w:rPr>
        <w:t>73</w:t>
      </w:r>
      <w:r w:rsidR="00E17A34" w:rsidRPr="00A64AF8">
        <w:rPr>
          <w:rFonts w:asciiTheme="minorHAnsi" w:hAnsiTheme="minorHAnsi" w:cstheme="minorHAnsi"/>
        </w:rPr>
        <w:t>:</w:t>
      </w:r>
      <w:r w:rsidRPr="00A64AF8">
        <w:rPr>
          <w:rFonts w:asciiTheme="minorHAnsi" w:hAnsiTheme="minorHAnsi" w:cstheme="minorHAnsi"/>
        </w:rPr>
        <w:t xml:space="preserve"> 471-483. </w:t>
      </w:r>
    </w:p>
    <w:p w14:paraId="46FD9EFF" w14:textId="74BC7DB3"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Datry T., Larned S.T.</w:t>
      </w:r>
      <w:r w:rsidR="00ED65C7" w:rsidRPr="00A64AF8">
        <w:rPr>
          <w:rFonts w:asciiTheme="minorHAnsi" w:hAnsiTheme="minorHAnsi" w:cstheme="minorHAnsi"/>
        </w:rPr>
        <w:t xml:space="preserve"> &amp;</w:t>
      </w:r>
      <w:r w:rsidRPr="00A64AF8">
        <w:rPr>
          <w:rFonts w:asciiTheme="minorHAnsi" w:hAnsiTheme="minorHAnsi" w:cstheme="minorHAnsi"/>
        </w:rPr>
        <w:t xml:space="preserve"> Tockner K. </w:t>
      </w:r>
      <w:r w:rsidR="00A37049" w:rsidRPr="00A64AF8">
        <w:rPr>
          <w:rFonts w:asciiTheme="minorHAnsi" w:hAnsiTheme="minorHAnsi" w:cstheme="minorHAnsi"/>
        </w:rPr>
        <w:t>(</w:t>
      </w:r>
      <w:r w:rsidRPr="00A64AF8">
        <w:rPr>
          <w:rFonts w:asciiTheme="minorHAnsi" w:hAnsiTheme="minorHAnsi" w:cstheme="minorHAnsi"/>
        </w:rPr>
        <w:t>2014</w:t>
      </w:r>
      <w:r w:rsidR="00A37049" w:rsidRPr="00A64AF8">
        <w:rPr>
          <w:rFonts w:asciiTheme="minorHAnsi" w:hAnsiTheme="minorHAnsi" w:cstheme="minorHAnsi"/>
        </w:rPr>
        <w:t>)</w:t>
      </w:r>
      <w:r w:rsidRPr="00A64AF8">
        <w:rPr>
          <w:rFonts w:asciiTheme="minorHAnsi" w:hAnsiTheme="minorHAnsi" w:cstheme="minorHAnsi"/>
        </w:rPr>
        <w:t xml:space="preserve">. Intermittent rivers: A challenge for freshwater ecology. </w:t>
      </w:r>
      <w:r w:rsidRPr="00A64AF8">
        <w:rPr>
          <w:rFonts w:asciiTheme="minorHAnsi" w:hAnsiTheme="minorHAnsi" w:cstheme="minorHAnsi"/>
          <w:i/>
        </w:rPr>
        <w:t>BioScience</w:t>
      </w:r>
      <w:r w:rsidRPr="00A64AF8">
        <w:rPr>
          <w:rFonts w:asciiTheme="minorHAnsi" w:hAnsiTheme="minorHAnsi" w:cstheme="minorHAnsi"/>
        </w:rPr>
        <w:t xml:space="preserve"> 64</w:t>
      </w:r>
      <w:r w:rsidR="00E17A34" w:rsidRPr="00A64AF8">
        <w:rPr>
          <w:rFonts w:asciiTheme="minorHAnsi" w:hAnsiTheme="minorHAnsi" w:cstheme="minorHAnsi"/>
        </w:rPr>
        <w:t>:</w:t>
      </w:r>
      <w:r w:rsidRPr="00A64AF8">
        <w:rPr>
          <w:rFonts w:asciiTheme="minorHAnsi" w:hAnsiTheme="minorHAnsi" w:cstheme="minorHAnsi"/>
        </w:rPr>
        <w:t xml:space="preserve"> 229-235. </w:t>
      </w:r>
    </w:p>
    <w:p w14:paraId="7CB550F5" w14:textId="422A7649" w:rsidR="008E54D5" w:rsidRPr="00A64AF8" w:rsidRDefault="008E54D5" w:rsidP="00A64AF8">
      <w:pPr>
        <w:pStyle w:val="References"/>
        <w:ind w:left="284" w:hanging="284"/>
        <w:rPr>
          <w:rFonts w:asciiTheme="minorHAnsi" w:hAnsiTheme="minorHAnsi"/>
        </w:rPr>
      </w:pPr>
      <w:r w:rsidRPr="00A64AF8">
        <w:rPr>
          <w:rFonts w:asciiTheme="minorHAnsi" w:hAnsiTheme="minorHAnsi"/>
        </w:rPr>
        <w:t xml:space="preserve">Davis D., Pavlova A., Thompson R. &amp; Sunnucks P. (2013). Evolutionary refugia and ecological refuges: key concepts for conserving Australian arid zone freshwater biodiversity under climate change. </w:t>
      </w:r>
      <w:r w:rsidRPr="00A64AF8">
        <w:rPr>
          <w:rFonts w:asciiTheme="minorHAnsi" w:hAnsiTheme="minorHAnsi"/>
          <w:i/>
        </w:rPr>
        <w:t>Global Change Biology</w:t>
      </w:r>
      <w:r w:rsidRPr="00A64AF8">
        <w:rPr>
          <w:rFonts w:asciiTheme="minorHAnsi" w:hAnsiTheme="minorHAnsi"/>
        </w:rPr>
        <w:t xml:space="preserve"> 19: 1970–1984.</w:t>
      </w:r>
    </w:p>
    <w:p w14:paraId="0C621330" w14:textId="38678C03"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Dewson Z.S., James A.B.W.</w:t>
      </w:r>
      <w:r w:rsidR="00ED65C7" w:rsidRPr="00A64AF8">
        <w:rPr>
          <w:rFonts w:asciiTheme="minorHAnsi" w:hAnsiTheme="minorHAnsi" w:cstheme="minorHAnsi"/>
        </w:rPr>
        <w:t xml:space="preserve"> &amp;</w:t>
      </w:r>
      <w:r w:rsidRPr="00A64AF8">
        <w:rPr>
          <w:rFonts w:asciiTheme="minorHAnsi" w:hAnsiTheme="minorHAnsi" w:cstheme="minorHAnsi"/>
        </w:rPr>
        <w:t xml:space="preserve"> Death R.G. </w:t>
      </w:r>
      <w:r w:rsidR="00A37049" w:rsidRPr="00A64AF8">
        <w:rPr>
          <w:rFonts w:asciiTheme="minorHAnsi" w:hAnsiTheme="minorHAnsi" w:cstheme="minorHAnsi"/>
        </w:rPr>
        <w:t>(</w:t>
      </w:r>
      <w:r w:rsidRPr="00A64AF8">
        <w:rPr>
          <w:rFonts w:asciiTheme="minorHAnsi" w:hAnsiTheme="minorHAnsi" w:cstheme="minorHAnsi"/>
        </w:rPr>
        <w:t>2007a</w:t>
      </w:r>
      <w:r w:rsidR="00A37049" w:rsidRPr="00A64AF8">
        <w:rPr>
          <w:rFonts w:asciiTheme="minorHAnsi" w:hAnsiTheme="minorHAnsi" w:cstheme="minorHAnsi"/>
        </w:rPr>
        <w:t>)</w:t>
      </w:r>
      <w:r w:rsidRPr="00A64AF8">
        <w:rPr>
          <w:rFonts w:asciiTheme="minorHAnsi" w:hAnsiTheme="minorHAnsi" w:cstheme="minorHAnsi"/>
        </w:rPr>
        <w:t xml:space="preserve">. A review of the consequences of decreased flow for instream habitat and macroinvertebrates. </w:t>
      </w:r>
      <w:r w:rsidRPr="00A64AF8">
        <w:rPr>
          <w:rFonts w:asciiTheme="minorHAnsi" w:hAnsiTheme="minorHAnsi" w:cstheme="minorHAnsi"/>
          <w:i/>
        </w:rPr>
        <w:t>Journal of the North American Benthological Society</w:t>
      </w:r>
      <w:r w:rsidRPr="00A64AF8">
        <w:rPr>
          <w:rFonts w:asciiTheme="minorHAnsi" w:hAnsiTheme="minorHAnsi" w:cstheme="minorHAnsi"/>
        </w:rPr>
        <w:t xml:space="preserve"> 26</w:t>
      </w:r>
      <w:r w:rsidR="00E17A34" w:rsidRPr="00A64AF8">
        <w:rPr>
          <w:rFonts w:asciiTheme="minorHAnsi" w:hAnsiTheme="minorHAnsi" w:cstheme="minorHAnsi"/>
        </w:rPr>
        <w:t>:</w:t>
      </w:r>
      <w:r w:rsidRPr="00A64AF8">
        <w:rPr>
          <w:rFonts w:asciiTheme="minorHAnsi" w:hAnsiTheme="minorHAnsi" w:cstheme="minorHAnsi"/>
        </w:rPr>
        <w:t xml:space="preserve"> 401-415. </w:t>
      </w:r>
    </w:p>
    <w:p w14:paraId="2986C16D" w14:textId="5A4FE8D6"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Dewson Z.S., James A.B.W.</w:t>
      </w:r>
      <w:r w:rsidR="00ED65C7" w:rsidRPr="00A64AF8">
        <w:rPr>
          <w:rFonts w:asciiTheme="minorHAnsi" w:hAnsiTheme="minorHAnsi" w:cstheme="minorHAnsi"/>
        </w:rPr>
        <w:t xml:space="preserve"> &amp;</w:t>
      </w:r>
      <w:r w:rsidR="00283A3B" w:rsidRPr="00A64AF8">
        <w:rPr>
          <w:rFonts w:asciiTheme="minorHAnsi" w:hAnsiTheme="minorHAnsi" w:cstheme="minorHAnsi"/>
        </w:rPr>
        <w:t xml:space="preserve"> Death </w:t>
      </w:r>
      <w:r w:rsidRPr="00A64AF8">
        <w:rPr>
          <w:rFonts w:asciiTheme="minorHAnsi" w:hAnsiTheme="minorHAnsi" w:cstheme="minorHAnsi"/>
        </w:rPr>
        <w:t xml:space="preserve">R.G. </w:t>
      </w:r>
      <w:r w:rsidR="00A37049" w:rsidRPr="00A64AF8">
        <w:rPr>
          <w:rFonts w:asciiTheme="minorHAnsi" w:hAnsiTheme="minorHAnsi" w:cstheme="minorHAnsi"/>
        </w:rPr>
        <w:t>(</w:t>
      </w:r>
      <w:r w:rsidRPr="00A64AF8">
        <w:rPr>
          <w:rFonts w:asciiTheme="minorHAnsi" w:hAnsiTheme="minorHAnsi" w:cstheme="minorHAnsi"/>
        </w:rPr>
        <w:t>2007b</w:t>
      </w:r>
      <w:r w:rsidR="00A37049" w:rsidRPr="00A64AF8">
        <w:rPr>
          <w:rFonts w:asciiTheme="minorHAnsi" w:hAnsiTheme="minorHAnsi" w:cstheme="minorHAnsi"/>
        </w:rPr>
        <w:t>)</w:t>
      </w:r>
      <w:r w:rsidRPr="00A64AF8">
        <w:rPr>
          <w:rFonts w:asciiTheme="minorHAnsi" w:hAnsiTheme="minorHAnsi" w:cstheme="minorHAnsi"/>
        </w:rPr>
        <w:t xml:space="preserve">. Invertebrate community responses to experimentally reduced discharge in small streams of different water quality. </w:t>
      </w:r>
      <w:r w:rsidRPr="00A64AF8">
        <w:rPr>
          <w:rFonts w:asciiTheme="minorHAnsi" w:hAnsiTheme="minorHAnsi" w:cstheme="minorHAnsi"/>
          <w:i/>
        </w:rPr>
        <w:t>Journal of the North American Benthological Society</w:t>
      </w:r>
      <w:r w:rsidRPr="00A64AF8">
        <w:rPr>
          <w:rFonts w:asciiTheme="minorHAnsi" w:hAnsiTheme="minorHAnsi" w:cstheme="minorHAnsi"/>
        </w:rPr>
        <w:t xml:space="preserve"> 26</w:t>
      </w:r>
      <w:r w:rsidR="00E17A34" w:rsidRPr="00A64AF8">
        <w:rPr>
          <w:rFonts w:asciiTheme="minorHAnsi" w:hAnsiTheme="minorHAnsi" w:cstheme="minorHAnsi"/>
        </w:rPr>
        <w:t>:</w:t>
      </w:r>
      <w:r w:rsidRPr="00A64AF8">
        <w:rPr>
          <w:rFonts w:asciiTheme="minorHAnsi" w:hAnsiTheme="minorHAnsi" w:cstheme="minorHAnsi"/>
        </w:rPr>
        <w:t xml:space="preserve"> 754-766. </w:t>
      </w:r>
    </w:p>
    <w:p w14:paraId="31B733C9" w14:textId="660F23A6"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Dieter D., von Schiller D., García-Roger E.M., Sánchez-Montoya M.M., Gómez R., Mora-Gómez J., Sangiorgio F., Gelbrecht J.</w:t>
      </w:r>
      <w:r w:rsidR="00ED65C7" w:rsidRPr="00A64AF8">
        <w:rPr>
          <w:rFonts w:asciiTheme="minorHAnsi" w:hAnsiTheme="minorHAnsi" w:cstheme="minorHAnsi"/>
        </w:rPr>
        <w:t xml:space="preserve"> &amp;</w:t>
      </w:r>
      <w:r w:rsidRPr="00A64AF8">
        <w:rPr>
          <w:rFonts w:asciiTheme="minorHAnsi" w:hAnsiTheme="minorHAnsi" w:cstheme="minorHAnsi"/>
        </w:rPr>
        <w:t xml:space="preserve"> Tockner K. </w:t>
      </w:r>
      <w:r w:rsidR="00A37049" w:rsidRPr="00A64AF8">
        <w:rPr>
          <w:rFonts w:asciiTheme="minorHAnsi" w:hAnsiTheme="minorHAnsi" w:cstheme="minorHAnsi"/>
        </w:rPr>
        <w:t>(</w:t>
      </w:r>
      <w:r w:rsidRPr="00A64AF8">
        <w:rPr>
          <w:rFonts w:asciiTheme="minorHAnsi" w:hAnsiTheme="minorHAnsi" w:cstheme="minorHAnsi"/>
        </w:rPr>
        <w:t>2011</w:t>
      </w:r>
      <w:r w:rsidR="00A37049" w:rsidRPr="00A64AF8">
        <w:rPr>
          <w:rFonts w:asciiTheme="minorHAnsi" w:hAnsiTheme="minorHAnsi" w:cstheme="minorHAnsi"/>
        </w:rPr>
        <w:t>)</w:t>
      </w:r>
      <w:r w:rsidRPr="00A64AF8">
        <w:rPr>
          <w:rFonts w:asciiTheme="minorHAnsi" w:hAnsiTheme="minorHAnsi" w:cstheme="minorHAnsi"/>
        </w:rPr>
        <w:t xml:space="preserve">. Preconditioning effects of intermittent stream flow on leaf litter decomposition. </w:t>
      </w:r>
      <w:r w:rsidRPr="00A64AF8">
        <w:rPr>
          <w:rFonts w:asciiTheme="minorHAnsi" w:hAnsiTheme="minorHAnsi" w:cstheme="minorHAnsi"/>
          <w:i/>
        </w:rPr>
        <w:t>Aquatic Sciences</w:t>
      </w:r>
      <w:r w:rsidRPr="00A64AF8">
        <w:rPr>
          <w:rFonts w:asciiTheme="minorHAnsi" w:hAnsiTheme="minorHAnsi" w:cstheme="minorHAnsi"/>
        </w:rPr>
        <w:t xml:space="preserve"> 73</w:t>
      </w:r>
      <w:r w:rsidR="00E17A34" w:rsidRPr="00A64AF8">
        <w:rPr>
          <w:rFonts w:asciiTheme="minorHAnsi" w:hAnsiTheme="minorHAnsi" w:cstheme="minorHAnsi"/>
        </w:rPr>
        <w:t>:</w:t>
      </w:r>
      <w:r w:rsidRPr="00A64AF8">
        <w:rPr>
          <w:rFonts w:asciiTheme="minorHAnsi" w:hAnsiTheme="minorHAnsi" w:cstheme="minorHAnsi"/>
        </w:rPr>
        <w:t xml:space="preserve"> 599-609. </w:t>
      </w:r>
    </w:p>
    <w:p w14:paraId="5C4A80E8" w14:textId="497107C6"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Ebersole J.L., Liss W.J.</w:t>
      </w:r>
      <w:r w:rsidR="00ED65C7" w:rsidRPr="00A64AF8">
        <w:rPr>
          <w:rFonts w:asciiTheme="minorHAnsi" w:hAnsiTheme="minorHAnsi" w:cstheme="minorHAnsi"/>
        </w:rPr>
        <w:t xml:space="preserve"> &amp; Frissell C.A.</w:t>
      </w:r>
      <w:r w:rsidRPr="00A64AF8">
        <w:rPr>
          <w:rFonts w:asciiTheme="minorHAnsi" w:hAnsiTheme="minorHAnsi" w:cstheme="minorHAnsi"/>
        </w:rPr>
        <w:t xml:space="preserve"> </w:t>
      </w:r>
      <w:r w:rsidR="00A37049" w:rsidRPr="00A64AF8">
        <w:rPr>
          <w:rFonts w:asciiTheme="minorHAnsi" w:hAnsiTheme="minorHAnsi" w:cstheme="minorHAnsi"/>
        </w:rPr>
        <w:t>(</w:t>
      </w:r>
      <w:r w:rsidRPr="00A64AF8">
        <w:rPr>
          <w:rFonts w:asciiTheme="minorHAnsi" w:hAnsiTheme="minorHAnsi" w:cstheme="minorHAnsi"/>
        </w:rPr>
        <w:t>2001</w:t>
      </w:r>
      <w:r w:rsidR="00A37049" w:rsidRPr="00A64AF8">
        <w:rPr>
          <w:rFonts w:asciiTheme="minorHAnsi" w:hAnsiTheme="minorHAnsi" w:cstheme="minorHAnsi"/>
        </w:rPr>
        <w:t>)</w:t>
      </w:r>
      <w:r w:rsidRPr="00A64AF8">
        <w:rPr>
          <w:rFonts w:asciiTheme="minorHAnsi" w:hAnsiTheme="minorHAnsi" w:cstheme="minorHAnsi"/>
        </w:rPr>
        <w:t xml:space="preserve">. Relationship between stream temperature, thermal refugia and rainbow trout </w:t>
      </w:r>
      <w:r w:rsidRPr="00A64AF8">
        <w:rPr>
          <w:rFonts w:asciiTheme="minorHAnsi" w:hAnsiTheme="minorHAnsi" w:cstheme="minorHAnsi"/>
          <w:i/>
        </w:rPr>
        <w:t>Oncorhynchus mykiss</w:t>
      </w:r>
      <w:r w:rsidRPr="00A64AF8">
        <w:rPr>
          <w:rFonts w:asciiTheme="minorHAnsi" w:hAnsiTheme="minorHAnsi" w:cstheme="minorHAnsi"/>
        </w:rPr>
        <w:t xml:space="preserve"> abundance in arid-land streams in the northwestern United States. </w:t>
      </w:r>
      <w:r w:rsidRPr="00A64AF8">
        <w:rPr>
          <w:rFonts w:asciiTheme="minorHAnsi" w:hAnsiTheme="minorHAnsi" w:cstheme="minorHAnsi"/>
          <w:i/>
        </w:rPr>
        <w:t>Ecology of Freshwater Fish</w:t>
      </w:r>
      <w:r w:rsidRPr="00A64AF8">
        <w:rPr>
          <w:rFonts w:asciiTheme="minorHAnsi" w:hAnsiTheme="minorHAnsi" w:cstheme="minorHAnsi"/>
        </w:rPr>
        <w:t xml:space="preserve"> 10</w:t>
      </w:r>
      <w:r w:rsidR="00E17A34" w:rsidRPr="00A64AF8">
        <w:rPr>
          <w:rFonts w:asciiTheme="minorHAnsi" w:hAnsiTheme="minorHAnsi" w:cstheme="minorHAnsi"/>
        </w:rPr>
        <w:t>:</w:t>
      </w:r>
      <w:r w:rsidRPr="00A64AF8">
        <w:rPr>
          <w:rFonts w:asciiTheme="minorHAnsi" w:hAnsiTheme="minorHAnsi" w:cstheme="minorHAnsi"/>
        </w:rPr>
        <w:t xml:space="preserve"> 1-10. </w:t>
      </w:r>
    </w:p>
    <w:p w14:paraId="31402AC9" w14:textId="7DFC11D0"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Finlay J.C., Khandwala S.</w:t>
      </w:r>
      <w:r w:rsidR="00ED65C7" w:rsidRPr="00A64AF8">
        <w:rPr>
          <w:rFonts w:asciiTheme="minorHAnsi" w:hAnsiTheme="minorHAnsi" w:cstheme="minorHAnsi"/>
        </w:rPr>
        <w:t xml:space="preserve"> &amp;</w:t>
      </w:r>
      <w:r w:rsidRPr="00A64AF8">
        <w:rPr>
          <w:rFonts w:asciiTheme="minorHAnsi" w:hAnsiTheme="minorHAnsi" w:cstheme="minorHAnsi"/>
        </w:rPr>
        <w:t xml:space="preserve"> Power M.E. </w:t>
      </w:r>
      <w:r w:rsidR="00A37049" w:rsidRPr="00A64AF8">
        <w:rPr>
          <w:rFonts w:asciiTheme="minorHAnsi" w:hAnsiTheme="minorHAnsi" w:cstheme="minorHAnsi"/>
        </w:rPr>
        <w:t>(</w:t>
      </w:r>
      <w:r w:rsidRPr="00A64AF8">
        <w:rPr>
          <w:rFonts w:asciiTheme="minorHAnsi" w:hAnsiTheme="minorHAnsi" w:cstheme="minorHAnsi"/>
        </w:rPr>
        <w:t>2002</w:t>
      </w:r>
      <w:r w:rsidR="00A37049" w:rsidRPr="00A64AF8">
        <w:rPr>
          <w:rFonts w:asciiTheme="minorHAnsi" w:hAnsiTheme="minorHAnsi" w:cstheme="minorHAnsi"/>
        </w:rPr>
        <w:t>)</w:t>
      </w:r>
      <w:r w:rsidRPr="00A64AF8">
        <w:rPr>
          <w:rFonts w:asciiTheme="minorHAnsi" w:hAnsiTheme="minorHAnsi" w:cstheme="minorHAnsi"/>
        </w:rPr>
        <w:t xml:space="preserve">. Spatial scales of carbon flow in a river food web. </w:t>
      </w:r>
      <w:r w:rsidRPr="00A64AF8">
        <w:rPr>
          <w:rFonts w:asciiTheme="minorHAnsi" w:hAnsiTheme="minorHAnsi" w:cstheme="minorHAnsi"/>
          <w:i/>
        </w:rPr>
        <w:t>Ecology</w:t>
      </w:r>
      <w:r w:rsidRPr="00A64AF8">
        <w:rPr>
          <w:rFonts w:asciiTheme="minorHAnsi" w:hAnsiTheme="minorHAnsi" w:cstheme="minorHAnsi"/>
        </w:rPr>
        <w:t xml:space="preserve"> 83</w:t>
      </w:r>
      <w:r w:rsidR="00E17A34" w:rsidRPr="00A64AF8">
        <w:rPr>
          <w:rFonts w:asciiTheme="minorHAnsi" w:hAnsiTheme="minorHAnsi" w:cstheme="minorHAnsi"/>
        </w:rPr>
        <w:t>:</w:t>
      </w:r>
      <w:r w:rsidRPr="00A64AF8">
        <w:rPr>
          <w:rFonts w:asciiTheme="minorHAnsi" w:hAnsiTheme="minorHAnsi" w:cstheme="minorHAnsi"/>
        </w:rPr>
        <w:t xml:space="preserve"> 1845-1859. </w:t>
      </w:r>
    </w:p>
    <w:p w14:paraId="05B62715" w14:textId="543FB10D"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Freeman M.C., Buell G.R., Hay L.E., Hughes W.B., Jacobson R.B., Jones J.W., Jones S.A., Lafontaine J.H., Odom K.R., Peterson J.T., Riley J.W., Schindler J.S., Shea C.</w:t>
      </w:r>
      <w:r w:rsidR="00ED65C7" w:rsidRPr="00A64AF8">
        <w:rPr>
          <w:rFonts w:asciiTheme="minorHAnsi" w:hAnsiTheme="minorHAnsi" w:cstheme="minorHAnsi"/>
        </w:rPr>
        <w:t xml:space="preserve"> &amp;</w:t>
      </w:r>
      <w:r w:rsidRPr="00A64AF8">
        <w:rPr>
          <w:rFonts w:asciiTheme="minorHAnsi" w:hAnsiTheme="minorHAnsi" w:cstheme="minorHAnsi"/>
        </w:rPr>
        <w:t xml:space="preserve"> Weave, J.D. </w:t>
      </w:r>
      <w:r w:rsidR="00A37049" w:rsidRPr="00A64AF8">
        <w:rPr>
          <w:rFonts w:asciiTheme="minorHAnsi" w:hAnsiTheme="minorHAnsi" w:cstheme="minorHAnsi"/>
        </w:rPr>
        <w:t>(</w:t>
      </w:r>
      <w:r w:rsidRPr="00A64AF8">
        <w:rPr>
          <w:rFonts w:asciiTheme="minorHAnsi" w:hAnsiTheme="minorHAnsi" w:cstheme="minorHAnsi"/>
        </w:rPr>
        <w:t>2013</w:t>
      </w:r>
      <w:r w:rsidR="00A37049" w:rsidRPr="00A64AF8">
        <w:rPr>
          <w:rFonts w:asciiTheme="minorHAnsi" w:hAnsiTheme="minorHAnsi" w:cstheme="minorHAnsi"/>
        </w:rPr>
        <w:t>)</w:t>
      </w:r>
      <w:r w:rsidRPr="00A64AF8">
        <w:rPr>
          <w:rFonts w:asciiTheme="minorHAnsi" w:hAnsiTheme="minorHAnsi" w:cstheme="minorHAnsi"/>
        </w:rPr>
        <w:t xml:space="preserve">. Linking river management to species conservation using dynamic landscape-scale models. </w:t>
      </w:r>
      <w:r w:rsidRPr="00A64AF8">
        <w:rPr>
          <w:rFonts w:asciiTheme="minorHAnsi" w:hAnsiTheme="minorHAnsi" w:cstheme="minorHAnsi"/>
          <w:i/>
        </w:rPr>
        <w:t>River Research and Applications</w:t>
      </w:r>
      <w:r w:rsidRPr="00A64AF8">
        <w:rPr>
          <w:rFonts w:asciiTheme="minorHAnsi" w:hAnsiTheme="minorHAnsi" w:cstheme="minorHAnsi"/>
        </w:rPr>
        <w:t xml:space="preserve"> 29</w:t>
      </w:r>
      <w:r w:rsidR="00E17A34" w:rsidRPr="00A64AF8">
        <w:rPr>
          <w:rFonts w:asciiTheme="minorHAnsi" w:hAnsiTheme="minorHAnsi" w:cstheme="minorHAnsi"/>
        </w:rPr>
        <w:t>:</w:t>
      </w:r>
      <w:r w:rsidRPr="00A64AF8">
        <w:rPr>
          <w:rFonts w:asciiTheme="minorHAnsi" w:hAnsiTheme="minorHAnsi" w:cstheme="minorHAnsi"/>
        </w:rPr>
        <w:t xml:space="preserve"> 906-918. </w:t>
      </w:r>
    </w:p>
    <w:p w14:paraId="3805FDBD" w14:textId="2A782B06" w:rsidR="003D3694" w:rsidRPr="00A64AF8" w:rsidRDefault="00ED65C7" w:rsidP="00A64AF8">
      <w:pPr>
        <w:pStyle w:val="References"/>
        <w:ind w:left="284" w:hanging="284"/>
        <w:rPr>
          <w:rFonts w:asciiTheme="minorHAnsi" w:hAnsiTheme="minorHAnsi" w:cstheme="minorHAnsi"/>
        </w:rPr>
      </w:pPr>
      <w:r w:rsidRPr="00A64AF8">
        <w:rPr>
          <w:rFonts w:asciiTheme="minorHAnsi" w:hAnsiTheme="minorHAnsi" w:cstheme="minorHAnsi"/>
        </w:rPr>
        <w:t>Fry B.</w:t>
      </w:r>
      <w:r w:rsidR="003D3694" w:rsidRPr="00A64AF8">
        <w:rPr>
          <w:rFonts w:asciiTheme="minorHAnsi" w:hAnsiTheme="minorHAnsi" w:cstheme="minorHAnsi"/>
        </w:rPr>
        <w:t xml:space="preserve"> </w:t>
      </w:r>
      <w:r w:rsidR="00A37049" w:rsidRPr="00A64AF8">
        <w:rPr>
          <w:rFonts w:asciiTheme="minorHAnsi" w:hAnsiTheme="minorHAnsi" w:cstheme="minorHAnsi"/>
        </w:rPr>
        <w:t>(</w:t>
      </w:r>
      <w:r w:rsidR="003D3694" w:rsidRPr="00A64AF8">
        <w:rPr>
          <w:rFonts w:asciiTheme="minorHAnsi" w:hAnsiTheme="minorHAnsi" w:cstheme="minorHAnsi"/>
        </w:rPr>
        <w:t>2006</w:t>
      </w:r>
      <w:r w:rsidRPr="00A64AF8">
        <w:rPr>
          <w:rFonts w:asciiTheme="minorHAnsi" w:hAnsiTheme="minorHAnsi" w:cstheme="minorHAnsi"/>
        </w:rPr>
        <w:t>)</w:t>
      </w:r>
      <w:r w:rsidR="003D3694" w:rsidRPr="00A64AF8">
        <w:rPr>
          <w:rFonts w:asciiTheme="minorHAnsi" w:hAnsiTheme="minorHAnsi" w:cstheme="minorHAnsi"/>
        </w:rPr>
        <w:t>. Stable isotope ecology.</w:t>
      </w:r>
      <w:r w:rsidR="00C766C8" w:rsidRPr="00A64AF8">
        <w:rPr>
          <w:rFonts w:asciiTheme="minorHAnsi" w:hAnsiTheme="minorHAnsi" w:cstheme="minorHAnsi"/>
        </w:rPr>
        <w:t xml:space="preserve"> Springer, New York</w:t>
      </w:r>
    </w:p>
    <w:p w14:paraId="58E3FC79" w14:textId="5F173CDA"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 xml:space="preserve">Graça M.A.S. </w:t>
      </w:r>
      <w:r w:rsidR="00A37049" w:rsidRPr="00A64AF8">
        <w:rPr>
          <w:rFonts w:asciiTheme="minorHAnsi" w:hAnsiTheme="minorHAnsi" w:cstheme="minorHAnsi"/>
        </w:rPr>
        <w:t>(</w:t>
      </w:r>
      <w:r w:rsidRPr="00A64AF8">
        <w:rPr>
          <w:rFonts w:asciiTheme="minorHAnsi" w:hAnsiTheme="minorHAnsi" w:cstheme="minorHAnsi"/>
        </w:rPr>
        <w:t>2001</w:t>
      </w:r>
      <w:r w:rsidR="00A37049" w:rsidRPr="00A64AF8">
        <w:rPr>
          <w:rFonts w:asciiTheme="minorHAnsi" w:hAnsiTheme="minorHAnsi" w:cstheme="minorHAnsi"/>
        </w:rPr>
        <w:t>)</w:t>
      </w:r>
      <w:r w:rsidRPr="00A64AF8">
        <w:rPr>
          <w:rFonts w:asciiTheme="minorHAnsi" w:hAnsiTheme="minorHAnsi" w:cstheme="minorHAnsi"/>
        </w:rPr>
        <w:t xml:space="preserve">. The role of invertebrates on leaf litter decomposition in streams – a review. </w:t>
      </w:r>
      <w:r w:rsidRPr="00A64AF8">
        <w:rPr>
          <w:rFonts w:asciiTheme="minorHAnsi" w:hAnsiTheme="minorHAnsi" w:cstheme="minorHAnsi"/>
          <w:i/>
        </w:rPr>
        <w:t>International Review of Hydrobiology</w:t>
      </w:r>
      <w:r w:rsidRPr="00A64AF8">
        <w:rPr>
          <w:rFonts w:asciiTheme="minorHAnsi" w:hAnsiTheme="minorHAnsi" w:cstheme="minorHAnsi"/>
        </w:rPr>
        <w:t xml:space="preserve"> 86</w:t>
      </w:r>
      <w:r w:rsidR="00E17A34" w:rsidRPr="00A64AF8">
        <w:rPr>
          <w:rFonts w:asciiTheme="minorHAnsi" w:hAnsiTheme="minorHAnsi" w:cstheme="minorHAnsi"/>
        </w:rPr>
        <w:t>:</w:t>
      </w:r>
      <w:r w:rsidRPr="00A64AF8">
        <w:rPr>
          <w:rFonts w:asciiTheme="minorHAnsi" w:hAnsiTheme="minorHAnsi" w:cstheme="minorHAnsi"/>
        </w:rPr>
        <w:t xml:space="preserve"> 383-393. </w:t>
      </w:r>
    </w:p>
    <w:p w14:paraId="3D598C5E" w14:textId="19864F77"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 xml:space="preserve">Grey J. </w:t>
      </w:r>
      <w:r w:rsidR="00A37049" w:rsidRPr="00A64AF8">
        <w:rPr>
          <w:rFonts w:asciiTheme="minorHAnsi" w:hAnsiTheme="minorHAnsi" w:cstheme="minorHAnsi"/>
        </w:rPr>
        <w:t>(</w:t>
      </w:r>
      <w:r w:rsidRPr="00A64AF8">
        <w:rPr>
          <w:rFonts w:asciiTheme="minorHAnsi" w:hAnsiTheme="minorHAnsi" w:cstheme="minorHAnsi"/>
        </w:rPr>
        <w:t>2016</w:t>
      </w:r>
      <w:r w:rsidR="00A37049" w:rsidRPr="00A64AF8">
        <w:rPr>
          <w:rFonts w:asciiTheme="minorHAnsi" w:hAnsiTheme="minorHAnsi" w:cstheme="minorHAnsi"/>
        </w:rPr>
        <w:t>)</w:t>
      </w:r>
      <w:r w:rsidRPr="00A64AF8">
        <w:rPr>
          <w:rFonts w:asciiTheme="minorHAnsi" w:hAnsiTheme="minorHAnsi" w:cstheme="minorHAnsi"/>
        </w:rPr>
        <w:t xml:space="preserve">. The incredible lightness of being methane-fuelled: stable isotopes reveal alternative energy pathways in aquatic ecosystems and beyond. </w:t>
      </w:r>
      <w:r w:rsidRPr="00A64AF8">
        <w:rPr>
          <w:rFonts w:asciiTheme="minorHAnsi" w:hAnsiTheme="minorHAnsi" w:cstheme="minorHAnsi"/>
          <w:i/>
        </w:rPr>
        <w:t>Frontiers in Ecology and Evolution</w:t>
      </w:r>
      <w:r w:rsidR="00E17A34" w:rsidRPr="00A64AF8">
        <w:rPr>
          <w:rFonts w:asciiTheme="minorHAnsi" w:hAnsiTheme="minorHAnsi" w:cstheme="minorHAnsi"/>
        </w:rPr>
        <w:t xml:space="preserve"> </w:t>
      </w:r>
      <w:r w:rsidRPr="00A64AF8">
        <w:rPr>
          <w:rFonts w:asciiTheme="minorHAnsi" w:hAnsiTheme="minorHAnsi" w:cstheme="minorHAnsi"/>
        </w:rPr>
        <w:t xml:space="preserve">4. </w:t>
      </w:r>
    </w:p>
    <w:p w14:paraId="2F6AC6E5" w14:textId="36444485"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Gulis V.</w:t>
      </w:r>
      <w:r w:rsidR="00ED65C7" w:rsidRPr="00A64AF8">
        <w:rPr>
          <w:rFonts w:asciiTheme="minorHAnsi" w:hAnsiTheme="minorHAnsi" w:cstheme="minorHAnsi"/>
        </w:rPr>
        <w:t xml:space="preserve"> &amp;</w:t>
      </w:r>
      <w:r w:rsidR="00283A3B" w:rsidRPr="00A64AF8">
        <w:rPr>
          <w:rFonts w:asciiTheme="minorHAnsi" w:hAnsiTheme="minorHAnsi" w:cstheme="minorHAnsi"/>
        </w:rPr>
        <w:t xml:space="preserve"> Suberkropp</w:t>
      </w:r>
      <w:r w:rsidRPr="00A64AF8">
        <w:rPr>
          <w:rFonts w:asciiTheme="minorHAnsi" w:hAnsiTheme="minorHAnsi" w:cstheme="minorHAnsi"/>
        </w:rPr>
        <w:t xml:space="preserve"> K. </w:t>
      </w:r>
      <w:r w:rsidR="00A37049" w:rsidRPr="00A64AF8">
        <w:rPr>
          <w:rFonts w:asciiTheme="minorHAnsi" w:hAnsiTheme="minorHAnsi" w:cstheme="minorHAnsi"/>
        </w:rPr>
        <w:t>(</w:t>
      </w:r>
      <w:r w:rsidRPr="00A64AF8">
        <w:rPr>
          <w:rFonts w:asciiTheme="minorHAnsi" w:hAnsiTheme="minorHAnsi" w:cstheme="minorHAnsi"/>
        </w:rPr>
        <w:t>2003</w:t>
      </w:r>
      <w:r w:rsidR="00A37049" w:rsidRPr="00A64AF8">
        <w:rPr>
          <w:rFonts w:asciiTheme="minorHAnsi" w:hAnsiTheme="minorHAnsi" w:cstheme="minorHAnsi"/>
        </w:rPr>
        <w:t>)</w:t>
      </w:r>
      <w:r w:rsidRPr="00A64AF8">
        <w:rPr>
          <w:rFonts w:asciiTheme="minorHAnsi" w:hAnsiTheme="minorHAnsi" w:cstheme="minorHAnsi"/>
        </w:rPr>
        <w:t xml:space="preserve">. Effect of inorganic nutrients on relative contributions of fungi and bacteria to carbon flow from submerged decomposing leaf litter. </w:t>
      </w:r>
      <w:r w:rsidRPr="00A64AF8">
        <w:rPr>
          <w:rFonts w:asciiTheme="minorHAnsi" w:hAnsiTheme="minorHAnsi" w:cstheme="minorHAnsi"/>
          <w:i/>
        </w:rPr>
        <w:t>Microbial Ecology</w:t>
      </w:r>
      <w:r w:rsidR="00E17A34" w:rsidRPr="00A64AF8">
        <w:rPr>
          <w:rFonts w:asciiTheme="minorHAnsi" w:hAnsiTheme="minorHAnsi" w:cstheme="minorHAnsi"/>
        </w:rPr>
        <w:t xml:space="preserve"> </w:t>
      </w:r>
      <w:r w:rsidRPr="00A64AF8">
        <w:rPr>
          <w:rFonts w:asciiTheme="minorHAnsi" w:hAnsiTheme="minorHAnsi" w:cstheme="minorHAnsi"/>
        </w:rPr>
        <w:t>45</w:t>
      </w:r>
      <w:r w:rsidR="00E17A34" w:rsidRPr="00A64AF8">
        <w:rPr>
          <w:rFonts w:asciiTheme="minorHAnsi" w:hAnsiTheme="minorHAnsi" w:cstheme="minorHAnsi"/>
        </w:rPr>
        <w:t>:</w:t>
      </w:r>
      <w:r w:rsidRPr="00A64AF8">
        <w:rPr>
          <w:rFonts w:asciiTheme="minorHAnsi" w:hAnsiTheme="minorHAnsi" w:cstheme="minorHAnsi"/>
        </w:rPr>
        <w:t xml:space="preserve"> 11-19. </w:t>
      </w:r>
    </w:p>
    <w:p w14:paraId="2E5D0361" w14:textId="78C17EF4"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Hadwen W.L., Spears M.</w:t>
      </w:r>
      <w:r w:rsidR="00ED65C7" w:rsidRPr="00A64AF8">
        <w:rPr>
          <w:rFonts w:asciiTheme="minorHAnsi" w:hAnsiTheme="minorHAnsi" w:cstheme="minorHAnsi"/>
        </w:rPr>
        <w:t xml:space="preserve"> &amp;</w:t>
      </w:r>
      <w:r w:rsidRPr="00A64AF8">
        <w:rPr>
          <w:rFonts w:asciiTheme="minorHAnsi" w:hAnsiTheme="minorHAnsi" w:cstheme="minorHAnsi"/>
        </w:rPr>
        <w:t xml:space="preserve"> Kennard M.J. </w:t>
      </w:r>
      <w:r w:rsidR="00A37049" w:rsidRPr="00A64AF8">
        <w:rPr>
          <w:rFonts w:asciiTheme="minorHAnsi" w:hAnsiTheme="minorHAnsi" w:cstheme="minorHAnsi"/>
        </w:rPr>
        <w:t>(</w:t>
      </w:r>
      <w:r w:rsidRPr="00A64AF8">
        <w:rPr>
          <w:rFonts w:asciiTheme="minorHAnsi" w:hAnsiTheme="minorHAnsi" w:cstheme="minorHAnsi"/>
        </w:rPr>
        <w:t>2010</w:t>
      </w:r>
      <w:r w:rsidR="00A37049" w:rsidRPr="00A64AF8">
        <w:rPr>
          <w:rFonts w:asciiTheme="minorHAnsi" w:hAnsiTheme="minorHAnsi" w:cstheme="minorHAnsi"/>
        </w:rPr>
        <w:t>)</w:t>
      </w:r>
      <w:r w:rsidRPr="00A64AF8">
        <w:rPr>
          <w:rFonts w:asciiTheme="minorHAnsi" w:hAnsiTheme="minorHAnsi" w:cstheme="minorHAnsi"/>
        </w:rPr>
        <w:t xml:space="preserve">. Temporal variability of benthic algal δ13C signatures influences assessments of carbon flows in stream food webs. </w:t>
      </w:r>
      <w:r w:rsidRPr="00A64AF8">
        <w:rPr>
          <w:rFonts w:asciiTheme="minorHAnsi" w:hAnsiTheme="minorHAnsi" w:cstheme="minorHAnsi"/>
          <w:i/>
        </w:rPr>
        <w:t>Hydrobiologia</w:t>
      </w:r>
      <w:r w:rsidRPr="00A64AF8">
        <w:rPr>
          <w:rFonts w:asciiTheme="minorHAnsi" w:hAnsiTheme="minorHAnsi" w:cstheme="minorHAnsi"/>
        </w:rPr>
        <w:t xml:space="preserve"> 651</w:t>
      </w:r>
      <w:r w:rsidR="00E17A34" w:rsidRPr="00A64AF8">
        <w:rPr>
          <w:rFonts w:asciiTheme="minorHAnsi" w:hAnsiTheme="minorHAnsi" w:cstheme="minorHAnsi"/>
        </w:rPr>
        <w:t>:</w:t>
      </w:r>
      <w:r w:rsidRPr="00A64AF8">
        <w:rPr>
          <w:rFonts w:asciiTheme="minorHAnsi" w:hAnsiTheme="minorHAnsi" w:cstheme="minorHAnsi"/>
        </w:rPr>
        <w:t xml:space="preserve"> 239-251. </w:t>
      </w:r>
    </w:p>
    <w:p w14:paraId="41575EF4" w14:textId="32304AA1"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 xml:space="preserve">Hall F.R. </w:t>
      </w:r>
      <w:r w:rsidR="00A37049" w:rsidRPr="00A64AF8">
        <w:rPr>
          <w:rFonts w:asciiTheme="minorHAnsi" w:hAnsiTheme="minorHAnsi" w:cstheme="minorHAnsi"/>
        </w:rPr>
        <w:t>(</w:t>
      </w:r>
      <w:r w:rsidRPr="00A64AF8">
        <w:rPr>
          <w:rFonts w:asciiTheme="minorHAnsi" w:hAnsiTheme="minorHAnsi" w:cstheme="minorHAnsi"/>
        </w:rPr>
        <w:t>1968</w:t>
      </w:r>
      <w:r w:rsidR="00A37049" w:rsidRPr="00A64AF8">
        <w:rPr>
          <w:rFonts w:asciiTheme="minorHAnsi" w:hAnsiTheme="minorHAnsi" w:cstheme="minorHAnsi"/>
        </w:rPr>
        <w:t>)</w:t>
      </w:r>
      <w:r w:rsidRPr="00A64AF8">
        <w:rPr>
          <w:rFonts w:asciiTheme="minorHAnsi" w:hAnsiTheme="minorHAnsi" w:cstheme="minorHAnsi"/>
        </w:rPr>
        <w:t xml:space="preserve">. Base-Flow Recessions—A Review. </w:t>
      </w:r>
      <w:r w:rsidRPr="00A64AF8">
        <w:rPr>
          <w:rFonts w:asciiTheme="minorHAnsi" w:hAnsiTheme="minorHAnsi" w:cstheme="minorHAnsi"/>
          <w:i/>
        </w:rPr>
        <w:t>Water Resources Research</w:t>
      </w:r>
      <w:r w:rsidRPr="00A64AF8">
        <w:rPr>
          <w:rFonts w:asciiTheme="minorHAnsi" w:hAnsiTheme="minorHAnsi" w:cstheme="minorHAnsi"/>
        </w:rPr>
        <w:t xml:space="preserve"> 4</w:t>
      </w:r>
      <w:r w:rsidR="00E17A34" w:rsidRPr="00A64AF8">
        <w:rPr>
          <w:rFonts w:asciiTheme="minorHAnsi" w:hAnsiTheme="minorHAnsi" w:cstheme="minorHAnsi"/>
        </w:rPr>
        <w:t>:</w:t>
      </w:r>
      <w:r w:rsidRPr="00A64AF8">
        <w:rPr>
          <w:rFonts w:asciiTheme="minorHAnsi" w:hAnsiTheme="minorHAnsi" w:cstheme="minorHAnsi"/>
        </w:rPr>
        <w:t xml:space="preserve"> 973-983. </w:t>
      </w:r>
    </w:p>
    <w:p w14:paraId="4FE291C1" w14:textId="3A38C84A"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Hall R.O.</w:t>
      </w:r>
      <w:r w:rsidR="00ED65C7" w:rsidRPr="00A64AF8">
        <w:rPr>
          <w:rFonts w:asciiTheme="minorHAnsi" w:hAnsiTheme="minorHAnsi" w:cstheme="minorHAnsi"/>
        </w:rPr>
        <w:t xml:space="preserve"> &amp;</w:t>
      </w:r>
      <w:r w:rsidRPr="00A64AF8">
        <w:rPr>
          <w:rFonts w:asciiTheme="minorHAnsi" w:hAnsiTheme="minorHAnsi" w:cstheme="minorHAnsi"/>
        </w:rPr>
        <w:t xml:space="preserve"> Meyer J.L. </w:t>
      </w:r>
      <w:r w:rsidR="00A37049" w:rsidRPr="00A64AF8">
        <w:rPr>
          <w:rFonts w:asciiTheme="minorHAnsi" w:hAnsiTheme="minorHAnsi" w:cstheme="minorHAnsi"/>
        </w:rPr>
        <w:t>(</w:t>
      </w:r>
      <w:r w:rsidRPr="00A64AF8">
        <w:rPr>
          <w:rFonts w:asciiTheme="minorHAnsi" w:hAnsiTheme="minorHAnsi" w:cstheme="minorHAnsi"/>
        </w:rPr>
        <w:t>1998</w:t>
      </w:r>
      <w:r w:rsidR="00A37049" w:rsidRPr="00A64AF8">
        <w:rPr>
          <w:rFonts w:asciiTheme="minorHAnsi" w:hAnsiTheme="minorHAnsi" w:cstheme="minorHAnsi"/>
        </w:rPr>
        <w:t>)</w:t>
      </w:r>
      <w:r w:rsidRPr="00A64AF8">
        <w:rPr>
          <w:rFonts w:asciiTheme="minorHAnsi" w:hAnsiTheme="minorHAnsi" w:cstheme="minorHAnsi"/>
        </w:rPr>
        <w:t xml:space="preserve">. The trophic significance of bacteria in a detritus-based stream food web. </w:t>
      </w:r>
      <w:r w:rsidRPr="00A64AF8">
        <w:rPr>
          <w:rFonts w:asciiTheme="minorHAnsi" w:hAnsiTheme="minorHAnsi" w:cstheme="minorHAnsi"/>
          <w:i/>
        </w:rPr>
        <w:t>Ecology</w:t>
      </w:r>
      <w:r w:rsidRPr="00A64AF8">
        <w:rPr>
          <w:rFonts w:asciiTheme="minorHAnsi" w:hAnsiTheme="minorHAnsi" w:cstheme="minorHAnsi"/>
        </w:rPr>
        <w:t xml:space="preserve"> 79</w:t>
      </w:r>
      <w:r w:rsidR="00E17A34" w:rsidRPr="00A64AF8">
        <w:rPr>
          <w:rFonts w:asciiTheme="minorHAnsi" w:hAnsiTheme="minorHAnsi" w:cstheme="minorHAnsi"/>
        </w:rPr>
        <w:t>:</w:t>
      </w:r>
      <w:r w:rsidRPr="00A64AF8">
        <w:rPr>
          <w:rFonts w:asciiTheme="minorHAnsi" w:hAnsiTheme="minorHAnsi" w:cstheme="minorHAnsi"/>
        </w:rPr>
        <w:t xml:space="preserve"> 1995-2012. </w:t>
      </w:r>
    </w:p>
    <w:p w14:paraId="41FE6E28" w14:textId="2F689CC6"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Hall R.O., Wallace, J.B.</w:t>
      </w:r>
      <w:r w:rsidR="00ED65C7" w:rsidRPr="00A64AF8">
        <w:rPr>
          <w:rFonts w:asciiTheme="minorHAnsi" w:hAnsiTheme="minorHAnsi" w:cstheme="minorHAnsi"/>
        </w:rPr>
        <w:t xml:space="preserve"> &amp;</w:t>
      </w:r>
      <w:r w:rsidRPr="00A64AF8">
        <w:rPr>
          <w:rFonts w:asciiTheme="minorHAnsi" w:hAnsiTheme="minorHAnsi" w:cstheme="minorHAnsi"/>
        </w:rPr>
        <w:t xml:space="preserve"> Eggert, S.L. </w:t>
      </w:r>
      <w:r w:rsidR="00A37049" w:rsidRPr="00A64AF8">
        <w:rPr>
          <w:rFonts w:asciiTheme="minorHAnsi" w:hAnsiTheme="minorHAnsi" w:cstheme="minorHAnsi"/>
        </w:rPr>
        <w:t>(</w:t>
      </w:r>
      <w:r w:rsidRPr="00A64AF8">
        <w:rPr>
          <w:rFonts w:asciiTheme="minorHAnsi" w:hAnsiTheme="minorHAnsi" w:cstheme="minorHAnsi"/>
        </w:rPr>
        <w:t>2000</w:t>
      </w:r>
      <w:r w:rsidR="00A37049" w:rsidRPr="00A64AF8">
        <w:rPr>
          <w:rFonts w:asciiTheme="minorHAnsi" w:hAnsiTheme="minorHAnsi" w:cstheme="minorHAnsi"/>
        </w:rPr>
        <w:t>)</w:t>
      </w:r>
      <w:r w:rsidRPr="00A64AF8">
        <w:rPr>
          <w:rFonts w:asciiTheme="minorHAnsi" w:hAnsiTheme="minorHAnsi" w:cstheme="minorHAnsi"/>
        </w:rPr>
        <w:t xml:space="preserve">. Organic matter flow in stream food webs with reduced detrital resource base. </w:t>
      </w:r>
      <w:r w:rsidRPr="00A64AF8">
        <w:rPr>
          <w:rFonts w:asciiTheme="minorHAnsi" w:hAnsiTheme="minorHAnsi" w:cstheme="minorHAnsi"/>
          <w:i/>
        </w:rPr>
        <w:t>Ecology</w:t>
      </w:r>
      <w:r w:rsidR="00E17A34" w:rsidRPr="00A64AF8">
        <w:rPr>
          <w:rFonts w:asciiTheme="minorHAnsi" w:hAnsiTheme="minorHAnsi" w:cstheme="minorHAnsi"/>
        </w:rPr>
        <w:t xml:space="preserve"> </w:t>
      </w:r>
      <w:r w:rsidRPr="00A64AF8">
        <w:rPr>
          <w:rFonts w:asciiTheme="minorHAnsi" w:hAnsiTheme="minorHAnsi" w:cstheme="minorHAnsi"/>
        </w:rPr>
        <w:t>81</w:t>
      </w:r>
      <w:r w:rsidR="00E17A34" w:rsidRPr="00A64AF8">
        <w:rPr>
          <w:rFonts w:asciiTheme="minorHAnsi" w:hAnsiTheme="minorHAnsi" w:cstheme="minorHAnsi"/>
        </w:rPr>
        <w:t>:</w:t>
      </w:r>
      <w:r w:rsidRPr="00A64AF8">
        <w:rPr>
          <w:rFonts w:asciiTheme="minorHAnsi" w:hAnsiTheme="minorHAnsi" w:cstheme="minorHAnsi"/>
        </w:rPr>
        <w:t xml:space="preserve"> 3445-3463. </w:t>
      </w:r>
    </w:p>
    <w:p w14:paraId="58D4D497" w14:textId="1D08D986"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Hatton T.</w:t>
      </w:r>
      <w:r w:rsidR="00ED65C7" w:rsidRPr="00A64AF8">
        <w:rPr>
          <w:rFonts w:asciiTheme="minorHAnsi" w:hAnsiTheme="minorHAnsi" w:cstheme="minorHAnsi"/>
        </w:rPr>
        <w:t xml:space="preserve"> &amp;</w:t>
      </w:r>
      <w:r w:rsidRPr="00A64AF8">
        <w:rPr>
          <w:rFonts w:asciiTheme="minorHAnsi" w:hAnsiTheme="minorHAnsi" w:cstheme="minorHAnsi"/>
        </w:rPr>
        <w:t xml:space="preserve"> Evans R. </w:t>
      </w:r>
      <w:r w:rsidR="00A37049" w:rsidRPr="00A64AF8">
        <w:rPr>
          <w:rFonts w:asciiTheme="minorHAnsi" w:hAnsiTheme="minorHAnsi" w:cstheme="minorHAnsi"/>
        </w:rPr>
        <w:t>(</w:t>
      </w:r>
      <w:r w:rsidRPr="00A64AF8">
        <w:rPr>
          <w:rFonts w:asciiTheme="minorHAnsi" w:hAnsiTheme="minorHAnsi" w:cstheme="minorHAnsi"/>
        </w:rPr>
        <w:t>1998</w:t>
      </w:r>
      <w:r w:rsidR="00A37049" w:rsidRPr="00A64AF8">
        <w:rPr>
          <w:rFonts w:asciiTheme="minorHAnsi" w:hAnsiTheme="minorHAnsi" w:cstheme="minorHAnsi"/>
        </w:rPr>
        <w:t>)</w:t>
      </w:r>
      <w:r w:rsidRPr="00A64AF8">
        <w:rPr>
          <w:rFonts w:asciiTheme="minorHAnsi" w:hAnsiTheme="minorHAnsi" w:cstheme="minorHAnsi"/>
        </w:rPr>
        <w:t>. Dependence of ecosystems on groundwater and its significance to Australia. Land and Water Resources Research and Development Corporation, CSIRO Australia.</w:t>
      </w:r>
    </w:p>
    <w:p w14:paraId="77EC7972" w14:textId="103D08E9"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Herbst G.</w:t>
      </w:r>
      <w:r w:rsidR="00ED65C7" w:rsidRPr="00A64AF8">
        <w:rPr>
          <w:rFonts w:asciiTheme="minorHAnsi" w:hAnsiTheme="minorHAnsi" w:cstheme="minorHAnsi"/>
        </w:rPr>
        <w:t xml:space="preserve"> &amp;</w:t>
      </w:r>
      <w:r w:rsidRPr="00A64AF8">
        <w:rPr>
          <w:rFonts w:asciiTheme="minorHAnsi" w:hAnsiTheme="minorHAnsi" w:cstheme="minorHAnsi"/>
        </w:rPr>
        <w:t xml:space="preserve"> Reice S.R. </w:t>
      </w:r>
      <w:r w:rsidR="00A37049" w:rsidRPr="00A64AF8">
        <w:rPr>
          <w:rFonts w:asciiTheme="minorHAnsi" w:hAnsiTheme="minorHAnsi" w:cstheme="minorHAnsi"/>
        </w:rPr>
        <w:t>(</w:t>
      </w:r>
      <w:r w:rsidRPr="00A64AF8">
        <w:rPr>
          <w:rFonts w:asciiTheme="minorHAnsi" w:hAnsiTheme="minorHAnsi" w:cstheme="minorHAnsi"/>
        </w:rPr>
        <w:t>1982</w:t>
      </w:r>
      <w:r w:rsidR="00A37049" w:rsidRPr="00A64AF8">
        <w:rPr>
          <w:rFonts w:asciiTheme="minorHAnsi" w:hAnsiTheme="minorHAnsi" w:cstheme="minorHAnsi"/>
        </w:rPr>
        <w:t>)</w:t>
      </w:r>
      <w:r w:rsidRPr="00A64AF8">
        <w:rPr>
          <w:rFonts w:asciiTheme="minorHAnsi" w:hAnsiTheme="minorHAnsi" w:cstheme="minorHAnsi"/>
        </w:rPr>
        <w:t xml:space="preserve">. Comparative leaf litter decomposition in temporary and permanent streams in semi-arid regions of Israel. </w:t>
      </w:r>
      <w:r w:rsidRPr="00A64AF8">
        <w:rPr>
          <w:rFonts w:asciiTheme="minorHAnsi" w:hAnsiTheme="minorHAnsi" w:cstheme="minorHAnsi"/>
          <w:i/>
        </w:rPr>
        <w:t>Journal of Arid Environments</w:t>
      </w:r>
      <w:r w:rsidR="00E17A34" w:rsidRPr="00A64AF8">
        <w:rPr>
          <w:rFonts w:asciiTheme="minorHAnsi" w:hAnsiTheme="minorHAnsi" w:cstheme="minorHAnsi"/>
        </w:rPr>
        <w:t xml:space="preserve"> </w:t>
      </w:r>
      <w:r w:rsidRPr="00A64AF8">
        <w:rPr>
          <w:rFonts w:asciiTheme="minorHAnsi" w:hAnsiTheme="minorHAnsi" w:cstheme="minorHAnsi"/>
        </w:rPr>
        <w:t>5</w:t>
      </w:r>
      <w:r w:rsidR="00E17A34" w:rsidRPr="00A64AF8">
        <w:rPr>
          <w:rFonts w:asciiTheme="minorHAnsi" w:hAnsiTheme="minorHAnsi" w:cstheme="minorHAnsi"/>
        </w:rPr>
        <w:t>:</w:t>
      </w:r>
      <w:r w:rsidRPr="00A64AF8">
        <w:rPr>
          <w:rFonts w:asciiTheme="minorHAnsi" w:hAnsiTheme="minorHAnsi" w:cstheme="minorHAnsi"/>
        </w:rPr>
        <w:t xml:space="preserve"> 305-318. </w:t>
      </w:r>
    </w:p>
    <w:p w14:paraId="45FC0D64" w14:textId="0256749E"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James A.B.W.</w:t>
      </w:r>
      <w:r w:rsidR="00283A3B" w:rsidRPr="00A64AF8">
        <w:rPr>
          <w:rFonts w:asciiTheme="minorHAnsi" w:hAnsiTheme="minorHAnsi" w:cstheme="minorHAnsi"/>
        </w:rPr>
        <w:t>,</w:t>
      </w:r>
      <w:r w:rsidRPr="00A64AF8">
        <w:rPr>
          <w:rFonts w:asciiTheme="minorHAnsi" w:hAnsiTheme="minorHAnsi" w:cstheme="minorHAnsi"/>
        </w:rPr>
        <w:t xml:space="preserve"> Dewson Z.S.</w:t>
      </w:r>
      <w:r w:rsidR="00ED65C7" w:rsidRPr="00A64AF8">
        <w:rPr>
          <w:rFonts w:asciiTheme="minorHAnsi" w:hAnsiTheme="minorHAnsi" w:cstheme="minorHAnsi"/>
        </w:rPr>
        <w:t xml:space="preserve"> &amp;</w:t>
      </w:r>
      <w:r w:rsidRPr="00A64AF8">
        <w:rPr>
          <w:rFonts w:asciiTheme="minorHAnsi" w:hAnsiTheme="minorHAnsi" w:cstheme="minorHAnsi"/>
        </w:rPr>
        <w:t xml:space="preserve"> Death R.G. </w:t>
      </w:r>
      <w:r w:rsidR="00A37049" w:rsidRPr="00A64AF8">
        <w:rPr>
          <w:rFonts w:asciiTheme="minorHAnsi" w:hAnsiTheme="minorHAnsi" w:cstheme="minorHAnsi"/>
        </w:rPr>
        <w:t>(</w:t>
      </w:r>
      <w:r w:rsidRPr="00A64AF8">
        <w:rPr>
          <w:rFonts w:asciiTheme="minorHAnsi" w:hAnsiTheme="minorHAnsi" w:cstheme="minorHAnsi"/>
        </w:rPr>
        <w:t>2008</w:t>
      </w:r>
      <w:r w:rsidR="00A37049" w:rsidRPr="00A64AF8">
        <w:rPr>
          <w:rFonts w:asciiTheme="minorHAnsi" w:hAnsiTheme="minorHAnsi" w:cstheme="minorHAnsi"/>
        </w:rPr>
        <w:t>)</w:t>
      </w:r>
      <w:r w:rsidRPr="00A64AF8">
        <w:rPr>
          <w:rFonts w:asciiTheme="minorHAnsi" w:hAnsiTheme="minorHAnsi" w:cstheme="minorHAnsi"/>
        </w:rPr>
        <w:t xml:space="preserve">. Do stream macroinvertebrates use instream refugia in response to severe short-term flow reduction in New Zealand streams? </w:t>
      </w:r>
      <w:r w:rsidRPr="00A64AF8">
        <w:rPr>
          <w:rFonts w:asciiTheme="minorHAnsi" w:hAnsiTheme="minorHAnsi" w:cstheme="minorHAnsi"/>
          <w:i/>
        </w:rPr>
        <w:t>Freshwater Biology</w:t>
      </w:r>
      <w:r w:rsidRPr="00A64AF8">
        <w:rPr>
          <w:rFonts w:asciiTheme="minorHAnsi" w:hAnsiTheme="minorHAnsi" w:cstheme="minorHAnsi"/>
        </w:rPr>
        <w:t xml:space="preserve"> 53</w:t>
      </w:r>
      <w:r w:rsidR="00E17A34" w:rsidRPr="00A64AF8">
        <w:rPr>
          <w:rFonts w:asciiTheme="minorHAnsi" w:hAnsiTheme="minorHAnsi" w:cstheme="minorHAnsi"/>
        </w:rPr>
        <w:t>:</w:t>
      </w:r>
      <w:r w:rsidRPr="00A64AF8">
        <w:rPr>
          <w:rFonts w:asciiTheme="minorHAnsi" w:hAnsiTheme="minorHAnsi" w:cstheme="minorHAnsi"/>
        </w:rPr>
        <w:t xml:space="preserve"> 1316-1334. </w:t>
      </w:r>
    </w:p>
    <w:p w14:paraId="719A7C48" w14:textId="085DFF51"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lastRenderedPageBreak/>
        <w:t>Jardine T.D., Hunt R.J., Pusey B.J.</w:t>
      </w:r>
      <w:r w:rsidR="00ED65C7" w:rsidRPr="00A64AF8">
        <w:rPr>
          <w:rFonts w:asciiTheme="minorHAnsi" w:hAnsiTheme="minorHAnsi" w:cstheme="minorHAnsi"/>
        </w:rPr>
        <w:t xml:space="preserve"> &amp;</w:t>
      </w:r>
      <w:r w:rsidRPr="00A64AF8">
        <w:rPr>
          <w:rFonts w:asciiTheme="minorHAnsi" w:hAnsiTheme="minorHAnsi" w:cstheme="minorHAnsi"/>
        </w:rPr>
        <w:t xml:space="preserve"> Bunn S.E. </w:t>
      </w:r>
      <w:r w:rsidR="00A37049" w:rsidRPr="00A64AF8">
        <w:rPr>
          <w:rFonts w:asciiTheme="minorHAnsi" w:hAnsiTheme="minorHAnsi" w:cstheme="minorHAnsi"/>
        </w:rPr>
        <w:t>(</w:t>
      </w:r>
      <w:r w:rsidRPr="00A64AF8">
        <w:rPr>
          <w:rFonts w:asciiTheme="minorHAnsi" w:hAnsiTheme="minorHAnsi" w:cstheme="minorHAnsi"/>
        </w:rPr>
        <w:t>2011</w:t>
      </w:r>
      <w:r w:rsidR="00A37049" w:rsidRPr="00A64AF8">
        <w:rPr>
          <w:rFonts w:asciiTheme="minorHAnsi" w:hAnsiTheme="minorHAnsi" w:cstheme="minorHAnsi"/>
        </w:rPr>
        <w:t>)</w:t>
      </w:r>
      <w:r w:rsidRPr="00A64AF8">
        <w:rPr>
          <w:rFonts w:asciiTheme="minorHAnsi" w:hAnsiTheme="minorHAnsi" w:cstheme="minorHAnsi"/>
        </w:rPr>
        <w:t xml:space="preserve">. A non-lethal sampling method for stable carbon and nitrogen isotope studies of tropical fishes. </w:t>
      </w:r>
      <w:r w:rsidRPr="00A64AF8">
        <w:rPr>
          <w:rFonts w:asciiTheme="minorHAnsi" w:hAnsiTheme="minorHAnsi" w:cstheme="minorHAnsi"/>
          <w:i/>
        </w:rPr>
        <w:t>Marine and Freshwater Research</w:t>
      </w:r>
      <w:r w:rsidR="00E17A34" w:rsidRPr="00A64AF8">
        <w:rPr>
          <w:rFonts w:asciiTheme="minorHAnsi" w:hAnsiTheme="minorHAnsi" w:cstheme="minorHAnsi"/>
        </w:rPr>
        <w:t xml:space="preserve"> </w:t>
      </w:r>
      <w:r w:rsidRPr="00A64AF8">
        <w:rPr>
          <w:rFonts w:asciiTheme="minorHAnsi" w:hAnsiTheme="minorHAnsi" w:cstheme="minorHAnsi"/>
        </w:rPr>
        <w:t>62</w:t>
      </w:r>
      <w:r w:rsidR="00E17A34" w:rsidRPr="00A64AF8">
        <w:rPr>
          <w:rFonts w:asciiTheme="minorHAnsi" w:hAnsiTheme="minorHAnsi" w:cstheme="minorHAnsi"/>
        </w:rPr>
        <w:t>:</w:t>
      </w:r>
      <w:r w:rsidRPr="00A64AF8">
        <w:rPr>
          <w:rFonts w:asciiTheme="minorHAnsi" w:hAnsiTheme="minorHAnsi" w:cstheme="minorHAnsi"/>
        </w:rPr>
        <w:t xml:space="preserve"> 83-90. </w:t>
      </w:r>
    </w:p>
    <w:p w14:paraId="4E9ED6E2" w14:textId="0BC26170"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Jardine T.D., Pettit N.E., Warfe D.M., Pusey B.J., Ward D.P., Douglas M.M., Davies P.M.</w:t>
      </w:r>
      <w:r w:rsidR="00ED65C7" w:rsidRPr="00A64AF8">
        <w:rPr>
          <w:rFonts w:asciiTheme="minorHAnsi" w:hAnsiTheme="minorHAnsi" w:cstheme="minorHAnsi"/>
        </w:rPr>
        <w:t xml:space="preserve"> &amp;</w:t>
      </w:r>
      <w:r w:rsidRPr="00A64AF8">
        <w:rPr>
          <w:rFonts w:asciiTheme="minorHAnsi" w:hAnsiTheme="minorHAnsi" w:cstheme="minorHAnsi"/>
        </w:rPr>
        <w:t xml:space="preserve"> Bunn S.E. </w:t>
      </w:r>
      <w:r w:rsidR="00A37049" w:rsidRPr="00A64AF8">
        <w:rPr>
          <w:rFonts w:asciiTheme="minorHAnsi" w:hAnsiTheme="minorHAnsi" w:cstheme="minorHAnsi"/>
        </w:rPr>
        <w:t>(</w:t>
      </w:r>
      <w:r w:rsidRPr="00A64AF8">
        <w:rPr>
          <w:rFonts w:asciiTheme="minorHAnsi" w:hAnsiTheme="minorHAnsi" w:cstheme="minorHAnsi"/>
        </w:rPr>
        <w:t>2012</w:t>
      </w:r>
      <w:r w:rsidR="00A37049" w:rsidRPr="00A64AF8">
        <w:rPr>
          <w:rFonts w:asciiTheme="minorHAnsi" w:hAnsiTheme="minorHAnsi" w:cstheme="minorHAnsi"/>
        </w:rPr>
        <w:t>)</w:t>
      </w:r>
      <w:r w:rsidRPr="00A64AF8">
        <w:rPr>
          <w:rFonts w:asciiTheme="minorHAnsi" w:hAnsiTheme="minorHAnsi" w:cstheme="minorHAnsi"/>
        </w:rPr>
        <w:t xml:space="preserve">. Consumer–resource coupling in wet–dry tropical rivers. </w:t>
      </w:r>
      <w:r w:rsidRPr="00A64AF8">
        <w:rPr>
          <w:rFonts w:asciiTheme="minorHAnsi" w:hAnsiTheme="minorHAnsi" w:cstheme="minorHAnsi"/>
          <w:i/>
        </w:rPr>
        <w:t>Journal of Animal Ecology</w:t>
      </w:r>
      <w:r w:rsidR="00E17A34" w:rsidRPr="00A64AF8">
        <w:rPr>
          <w:rFonts w:asciiTheme="minorHAnsi" w:hAnsiTheme="minorHAnsi" w:cstheme="minorHAnsi"/>
        </w:rPr>
        <w:t xml:space="preserve"> </w:t>
      </w:r>
      <w:r w:rsidRPr="00A64AF8">
        <w:rPr>
          <w:rFonts w:asciiTheme="minorHAnsi" w:hAnsiTheme="minorHAnsi" w:cstheme="minorHAnsi"/>
        </w:rPr>
        <w:t>81</w:t>
      </w:r>
      <w:r w:rsidR="00E17A34" w:rsidRPr="00A64AF8">
        <w:rPr>
          <w:rFonts w:asciiTheme="minorHAnsi" w:hAnsiTheme="minorHAnsi" w:cstheme="minorHAnsi"/>
        </w:rPr>
        <w:t>:</w:t>
      </w:r>
      <w:r w:rsidRPr="00A64AF8">
        <w:rPr>
          <w:rFonts w:asciiTheme="minorHAnsi" w:hAnsiTheme="minorHAnsi" w:cstheme="minorHAnsi"/>
        </w:rPr>
        <w:t xml:space="preserve"> 310-322. </w:t>
      </w:r>
    </w:p>
    <w:p w14:paraId="3EA67857" w14:textId="34814AC5"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Jardine T.D., Hunt R.J., Faggotter S.J., Valdez D., Burford M.A.</w:t>
      </w:r>
      <w:r w:rsidR="00ED65C7" w:rsidRPr="00A64AF8">
        <w:rPr>
          <w:rFonts w:asciiTheme="minorHAnsi" w:hAnsiTheme="minorHAnsi" w:cstheme="minorHAnsi"/>
        </w:rPr>
        <w:t xml:space="preserve"> &amp;</w:t>
      </w:r>
      <w:r w:rsidRPr="00A64AF8">
        <w:rPr>
          <w:rFonts w:asciiTheme="minorHAnsi" w:hAnsiTheme="minorHAnsi" w:cstheme="minorHAnsi"/>
        </w:rPr>
        <w:t xml:space="preserve"> Bunn S.E. </w:t>
      </w:r>
      <w:r w:rsidR="00A37049" w:rsidRPr="00A64AF8">
        <w:rPr>
          <w:rFonts w:asciiTheme="minorHAnsi" w:hAnsiTheme="minorHAnsi" w:cstheme="minorHAnsi"/>
        </w:rPr>
        <w:t>(</w:t>
      </w:r>
      <w:r w:rsidRPr="00A64AF8">
        <w:rPr>
          <w:rFonts w:asciiTheme="minorHAnsi" w:hAnsiTheme="minorHAnsi" w:cstheme="minorHAnsi"/>
        </w:rPr>
        <w:t>2013</w:t>
      </w:r>
      <w:r w:rsidR="00A37049" w:rsidRPr="00A64AF8">
        <w:rPr>
          <w:rFonts w:asciiTheme="minorHAnsi" w:hAnsiTheme="minorHAnsi" w:cstheme="minorHAnsi"/>
        </w:rPr>
        <w:t>)</w:t>
      </w:r>
      <w:r w:rsidRPr="00A64AF8">
        <w:rPr>
          <w:rFonts w:asciiTheme="minorHAnsi" w:hAnsiTheme="minorHAnsi" w:cstheme="minorHAnsi"/>
        </w:rPr>
        <w:t xml:space="preserve">. Carbon from periphyton supports fish biomass in waterholes of a wet–dry tropical river. </w:t>
      </w:r>
      <w:r w:rsidRPr="00A64AF8">
        <w:rPr>
          <w:rFonts w:asciiTheme="minorHAnsi" w:hAnsiTheme="minorHAnsi" w:cstheme="minorHAnsi"/>
          <w:i/>
        </w:rPr>
        <w:t>River Research and Applications</w:t>
      </w:r>
      <w:r w:rsidR="00E17A34" w:rsidRPr="00A64AF8">
        <w:rPr>
          <w:rFonts w:asciiTheme="minorHAnsi" w:hAnsiTheme="minorHAnsi" w:cstheme="minorHAnsi"/>
        </w:rPr>
        <w:t xml:space="preserve"> </w:t>
      </w:r>
      <w:r w:rsidRPr="00A64AF8">
        <w:rPr>
          <w:rFonts w:asciiTheme="minorHAnsi" w:hAnsiTheme="minorHAnsi" w:cstheme="minorHAnsi"/>
        </w:rPr>
        <w:t>29</w:t>
      </w:r>
      <w:r w:rsidR="00E17A34" w:rsidRPr="00A64AF8">
        <w:rPr>
          <w:rFonts w:asciiTheme="minorHAnsi" w:hAnsiTheme="minorHAnsi" w:cstheme="minorHAnsi"/>
        </w:rPr>
        <w:t>:</w:t>
      </w:r>
      <w:r w:rsidRPr="00A64AF8">
        <w:rPr>
          <w:rFonts w:asciiTheme="minorHAnsi" w:hAnsiTheme="minorHAnsi" w:cstheme="minorHAnsi"/>
        </w:rPr>
        <w:t xml:space="preserve"> 560-573. </w:t>
      </w:r>
    </w:p>
    <w:p w14:paraId="13636C16" w14:textId="35CD83F2"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Jardine T.D., Hadwen W.L., Hamilton S.K., Hladyz</w:t>
      </w:r>
      <w:r w:rsidR="00283A3B" w:rsidRPr="00A64AF8">
        <w:rPr>
          <w:rFonts w:asciiTheme="minorHAnsi" w:hAnsiTheme="minorHAnsi" w:cstheme="minorHAnsi"/>
        </w:rPr>
        <w:t xml:space="preserve"> S., Mitrovic </w:t>
      </w:r>
      <w:r w:rsidRPr="00A64AF8">
        <w:rPr>
          <w:rFonts w:asciiTheme="minorHAnsi" w:hAnsiTheme="minorHAnsi" w:cstheme="minorHAnsi"/>
        </w:rPr>
        <w:t>S.M., Kidd K.A., Tsoi W.Y., Spears M., Westhorpe D.P.</w:t>
      </w:r>
      <w:r w:rsidR="00ED65C7" w:rsidRPr="00A64AF8">
        <w:rPr>
          <w:rFonts w:asciiTheme="minorHAnsi" w:hAnsiTheme="minorHAnsi" w:cstheme="minorHAnsi"/>
        </w:rPr>
        <w:t xml:space="preserve"> &amp;</w:t>
      </w:r>
      <w:r w:rsidRPr="00A64AF8">
        <w:rPr>
          <w:rFonts w:asciiTheme="minorHAnsi" w:hAnsiTheme="minorHAnsi" w:cstheme="minorHAnsi"/>
        </w:rPr>
        <w:t xml:space="preserve"> Fry V.M. </w:t>
      </w:r>
      <w:r w:rsidR="00A37049" w:rsidRPr="00A64AF8">
        <w:rPr>
          <w:rFonts w:asciiTheme="minorHAnsi" w:hAnsiTheme="minorHAnsi" w:cstheme="minorHAnsi"/>
        </w:rPr>
        <w:t>(</w:t>
      </w:r>
      <w:r w:rsidRPr="00A64AF8">
        <w:rPr>
          <w:rFonts w:asciiTheme="minorHAnsi" w:hAnsiTheme="minorHAnsi" w:cstheme="minorHAnsi"/>
        </w:rPr>
        <w:t>2014</w:t>
      </w:r>
      <w:r w:rsidR="00A37049" w:rsidRPr="00A64AF8">
        <w:rPr>
          <w:rFonts w:asciiTheme="minorHAnsi" w:hAnsiTheme="minorHAnsi" w:cstheme="minorHAnsi"/>
        </w:rPr>
        <w:t>)</w:t>
      </w:r>
      <w:r w:rsidRPr="00A64AF8">
        <w:rPr>
          <w:rFonts w:asciiTheme="minorHAnsi" w:hAnsiTheme="minorHAnsi" w:cstheme="minorHAnsi"/>
        </w:rPr>
        <w:t xml:space="preserve">. Understanding and overcoming baseline isotopic variability in running waters. </w:t>
      </w:r>
      <w:r w:rsidRPr="00A64AF8">
        <w:rPr>
          <w:rFonts w:asciiTheme="minorHAnsi" w:hAnsiTheme="minorHAnsi" w:cstheme="minorHAnsi"/>
          <w:i/>
        </w:rPr>
        <w:t>River Research and Applications</w:t>
      </w:r>
      <w:r w:rsidRPr="00A64AF8">
        <w:rPr>
          <w:rFonts w:asciiTheme="minorHAnsi" w:hAnsiTheme="minorHAnsi" w:cstheme="minorHAnsi"/>
        </w:rPr>
        <w:t xml:space="preserve"> 30</w:t>
      </w:r>
      <w:r w:rsidR="00E17A34" w:rsidRPr="00A64AF8">
        <w:rPr>
          <w:rFonts w:asciiTheme="minorHAnsi" w:hAnsiTheme="minorHAnsi" w:cstheme="minorHAnsi"/>
        </w:rPr>
        <w:t>:</w:t>
      </w:r>
      <w:r w:rsidRPr="00A64AF8">
        <w:rPr>
          <w:rFonts w:asciiTheme="minorHAnsi" w:hAnsiTheme="minorHAnsi" w:cstheme="minorHAnsi"/>
        </w:rPr>
        <w:t xml:space="preserve"> 155-165. </w:t>
      </w:r>
    </w:p>
    <w:p w14:paraId="68365098" w14:textId="79CB4E36"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Kennard M.J., Olden J.D., Arthington A.H., Pusey B.J.</w:t>
      </w:r>
      <w:r w:rsidR="00ED65C7" w:rsidRPr="00A64AF8">
        <w:rPr>
          <w:rFonts w:asciiTheme="minorHAnsi" w:hAnsiTheme="minorHAnsi" w:cstheme="minorHAnsi"/>
        </w:rPr>
        <w:t xml:space="preserve"> &amp;</w:t>
      </w:r>
      <w:r w:rsidRPr="00A64AF8">
        <w:rPr>
          <w:rFonts w:asciiTheme="minorHAnsi" w:hAnsiTheme="minorHAnsi" w:cstheme="minorHAnsi"/>
        </w:rPr>
        <w:t xml:space="preserve"> Poff N.L. </w:t>
      </w:r>
      <w:r w:rsidR="00A37049" w:rsidRPr="00A64AF8">
        <w:rPr>
          <w:rFonts w:asciiTheme="minorHAnsi" w:hAnsiTheme="minorHAnsi" w:cstheme="minorHAnsi"/>
        </w:rPr>
        <w:t>(</w:t>
      </w:r>
      <w:r w:rsidRPr="00A64AF8">
        <w:rPr>
          <w:rFonts w:asciiTheme="minorHAnsi" w:hAnsiTheme="minorHAnsi" w:cstheme="minorHAnsi"/>
        </w:rPr>
        <w:t>2007</w:t>
      </w:r>
      <w:r w:rsidR="00A37049" w:rsidRPr="00A64AF8">
        <w:rPr>
          <w:rFonts w:asciiTheme="minorHAnsi" w:hAnsiTheme="minorHAnsi" w:cstheme="minorHAnsi"/>
        </w:rPr>
        <w:t>)</w:t>
      </w:r>
      <w:r w:rsidRPr="00A64AF8">
        <w:rPr>
          <w:rFonts w:asciiTheme="minorHAnsi" w:hAnsiTheme="minorHAnsi" w:cstheme="minorHAnsi"/>
        </w:rPr>
        <w:t xml:space="preserve">. Multiscale effects of flow regime and habitat and their interaction on fish assemblage structure in eastern Australia. </w:t>
      </w:r>
      <w:r w:rsidRPr="00A64AF8">
        <w:rPr>
          <w:rFonts w:asciiTheme="minorHAnsi" w:hAnsiTheme="minorHAnsi" w:cstheme="minorHAnsi"/>
          <w:i/>
        </w:rPr>
        <w:t>Canadian Journal of Fisheries and Aquatic Sciences</w:t>
      </w:r>
      <w:r w:rsidRPr="00A64AF8">
        <w:rPr>
          <w:rFonts w:asciiTheme="minorHAnsi" w:hAnsiTheme="minorHAnsi" w:cstheme="minorHAnsi"/>
        </w:rPr>
        <w:t xml:space="preserve"> 64</w:t>
      </w:r>
      <w:r w:rsidR="00E17A34" w:rsidRPr="00A64AF8">
        <w:rPr>
          <w:rFonts w:asciiTheme="minorHAnsi" w:hAnsiTheme="minorHAnsi" w:cstheme="minorHAnsi"/>
        </w:rPr>
        <w:t>:</w:t>
      </w:r>
      <w:r w:rsidRPr="00A64AF8">
        <w:rPr>
          <w:rFonts w:asciiTheme="minorHAnsi" w:hAnsiTheme="minorHAnsi" w:cstheme="minorHAnsi"/>
        </w:rPr>
        <w:t xml:space="preserve"> 1346-1359. </w:t>
      </w:r>
    </w:p>
    <w:p w14:paraId="06BED7CD" w14:textId="39DE2A98"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Kennard M.J., Pusey B.J., Olden J.D., MacKay S.J., Stein J.L.</w:t>
      </w:r>
      <w:r w:rsidR="00ED65C7" w:rsidRPr="00A64AF8">
        <w:rPr>
          <w:rFonts w:asciiTheme="minorHAnsi" w:hAnsiTheme="minorHAnsi" w:cstheme="minorHAnsi"/>
        </w:rPr>
        <w:t xml:space="preserve"> &amp;</w:t>
      </w:r>
      <w:r w:rsidRPr="00A64AF8">
        <w:rPr>
          <w:rFonts w:asciiTheme="minorHAnsi" w:hAnsiTheme="minorHAnsi" w:cstheme="minorHAnsi"/>
        </w:rPr>
        <w:t xml:space="preserve"> Marsh N. </w:t>
      </w:r>
      <w:r w:rsidR="00A37049" w:rsidRPr="00A64AF8">
        <w:rPr>
          <w:rFonts w:asciiTheme="minorHAnsi" w:hAnsiTheme="minorHAnsi" w:cstheme="minorHAnsi"/>
        </w:rPr>
        <w:t>(</w:t>
      </w:r>
      <w:r w:rsidRPr="00A64AF8">
        <w:rPr>
          <w:rFonts w:asciiTheme="minorHAnsi" w:hAnsiTheme="minorHAnsi" w:cstheme="minorHAnsi"/>
        </w:rPr>
        <w:t>2010</w:t>
      </w:r>
      <w:r w:rsidR="00A37049" w:rsidRPr="00A64AF8">
        <w:rPr>
          <w:rFonts w:asciiTheme="minorHAnsi" w:hAnsiTheme="minorHAnsi" w:cstheme="minorHAnsi"/>
        </w:rPr>
        <w:t>)</w:t>
      </w:r>
      <w:r w:rsidRPr="00A64AF8">
        <w:rPr>
          <w:rFonts w:asciiTheme="minorHAnsi" w:hAnsiTheme="minorHAnsi" w:cstheme="minorHAnsi"/>
        </w:rPr>
        <w:t xml:space="preserve">. Classification of natural flow regimes in Australia to support environmental flow management. </w:t>
      </w:r>
      <w:r w:rsidRPr="00A64AF8">
        <w:rPr>
          <w:rFonts w:asciiTheme="minorHAnsi" w:hAnsiTheme="minorHAnsi" w:cstheme="minorHAnsi"/>
          <w:i/>
        </w:rPr>
        <w:t>Freshwater Biology</w:t>
      </w:r>
      <w:r w:rsidRPr="00A64AF8">
        <w:rPr>
          <w:rFonts w:asciiTheme="minorHAnsi" w:hAnsiTheme="minorHAnsi" w:cstheme="minorHAnsi"/>
        </w:rPr>
        <w:t xml:space="preserve"> 55</w:t>
      </w:r>
      <w:r w:rsidR="00E17A34" w:rsidRPr="00A64AF8">
        <w:rPr>
          <w:rFonts w:asciiTheme="minorHAnsi" w:hAnsiTheme="minorHAnsi" w:cstheme="minorHAnsi"/>
        </w:rPr>
        <w:t>:</w:t>
      </w:r>
      <w:r w:rsidRPr="00A64AF8">
        <w:rPr>
          <w:rFonts w:asciiTheme="minorHAnsi" w:hAnsiTheme="minorHAnsi" w:cstheme="minorHAnsi"/>
        </w:rPr>
        <w:t xml:space="preserve"> 171-193. </w:t>
      </w:r>
    </w:p>
    <w:p w14:paraId="62697B42" w14:textId="3639F78B"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Kennard M.J., Pusey B.J., Allsop Q., Perna C., Burrows D.</w:t>
      </w:r>
      <w:r w:rsidR="00ED65C7" w:rsidRPr="00A64AF8">
        <w:rPr>
          <w:rFonts w:asciiTheme="minorHAnsi" w:hAnsiTheme="minorHAnsi" w:cstheme="minorHAnsi"/>
        </w:rPr>
        <w:t xml:space="preserve"> &amp;</w:t>
      </w:r>
      <w:r w:rsidRPr="00A64AF8">
        <w:rPr>
          <w:rFonts w:asciiTheme="minorHAnsi" w:hAnsiTheme="minorHAnsi" w:cstheme="minorHAnsi"/>
        </w:rPr>
        <w:t xml:space="preserve"> Douglas M.M. </w:t>
      </w:r>
      <w:r w:rsidR="00A37049" w:rsidRPr="00A64AF8">
        <w:rPr>
          <w:rFonts w:asciiTheme="minorHAnsi" w:hAnsiTheme="minorHAnsi" w:cstheme="minorHAnsi"/>
        </w:rPr>
        <w:t>(</w:t>
      </w:r>
      <w:r w:rsidRPr="00A64AF8">
        <w:rPr>
          <w:rFonts w:asciiTheme="minorHAnsi" w:hAnsiTheme="minorHAnsi" w:cstheme="minorHAnsi"/>
        </w:rPr>
        <w:t>2011</w:t>
      </w:r>
      <w:r w:rsidR="00A37049" w:rsidRPr="00A64AF8">
        <w:rPr>
          <w:rFonts w:asciiTheme="minorHAnsi" w:hAnsiTheme="minorHAnsi" w:cstheme="minorHAnsi"/>
        </w:rPr>
        <w:t>)</w:t>
      </w:r>
      <w:r w:rsidRPr="00A64AF8">
        <w:rPr>
          <w:rFonts w:asciiTheme="minorHAnsi" w:hAnsiTheme="minorHAnsi" w:cstheme="minorHAnsi"/>
        </w:rPr>
        <w:t xml:space="preserve">. Field Manual - Including protocols for quantitative sampling of fish assemblages, habitat, water quality and sample preservation. Tropical Rivers and Coastal Knowledge, Charles Darwin University. Available at: </w:t>
      </w:r>
      <w:hyperlink r:id="rId107" w:history="1">
        <w:r w:rsidRPr="00A64AF8">
          <w:rPr>
            <w:rStyle w:val="Hyperlink"/>
            <w:rFonts w:asciiTheme="minorHAnsi" w:hAnsiTheme="minorHAnsi" w:cstheme="minorHAnsi"/>
          </w:rPr>
          <w:t>http://www.track.org.au/publications/registry/track973</w:t>
        </w:r>
      </w:hyperlink>
      <w:r w:rsidRPr="00A64AF8">
        <w:rPr>
          <w:rFonts w:asciiTheme="minorHAnsi" w:hAnsiTheme="minorHAnsi" w:cstheme="minorHAnsi"/>
        </w:rPr>
        <w:t>.</w:t>
      </w:r>
    </w:p>
    <w:p w14:paraId="03AA7E21" w14:textId="52ADA949"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King A.J., Townsend S.A., Douglas M.M.</w:t>
      </w:r>
      <w:r w:rsidR="00ED65C7" w:rsidRPr="00A64AF8">
        <w:rPr>
          <w:rFonts w:asciiTheme="minorHAnsi" w:hAnsiTheme="minorHAnsi" w:cstheme="minorHAnsi"/>
        </w:rPr>
        <w:t xml:space="preserve"> &amp;</w:t>
      </w:r>
      <w:r w:rsidRPr="00A64AF8">
        <w:rPr>
          <w:rFonts w:asciiTheme="minorHAnsi" w:hAnsiTheme="minorHAnsi" w:cstheme="minorHAnsi"/>
        </w:rPr>
        <w:t xml:space="preserve"> Kennard M.J. </w:t>
      </w:r>
      <w:r w:rsidR="00ED65C7" w:rsidRPr="00A64AF8">
        <w:rPr>
          <w:rFonts w:asciiTheme="minorHAnsi" w:hAnsiTheme="minorHAnsi" w:cstheme="minorHAnsi"/>
        </w:rPr>
        <w:t>(</w:t>
      </w:r>
      <w:r w:rsidRPr="00A64AF8">
        <w:rPr>
          <w:rFonts w:asciiTheme="minorHAnsi" w:hAnsiTheme="minorHAnsi" w:cstheme="minorHAnsi"/>
        </w:rPr>
        <w:t>2015</w:t>
      </w:r>
      <w:r w:rsidR="00A37049" w:rsidRPr="00A64AF8">
        <w:rPr>
          <w:rFonts w:asciiTheme="minorHAnsi" w:hAnsiTheme="minorHAnsi" w:cstheme="minorHAnsi"/>
        </w:rPr>
        <w:t>)</w:t>
      </w:r>
      <w:r w:rsidRPr="00A64AF8">
        <w:rPr>
          <w:rFonts w:asciiTheme="minorHAnsi" w:hAnsiTheme="minorHAnsi" w:cstheme="minorHAnsi"/>
        </w:rPr>
        <w:t xml:space="preserve">. Implications of water extraction on the low-flow hydrology and ecology of tropical savannah rivers: An appraisal for northern Australia. </w:t>
      </w:r>
      <w:r w:rsidRPr="00A64AF8">
        <w:rPr>
          <w:rFonts w:asciiTheme="minorHAnsi" w:hAnsiTheme="minorHAnsi" w:cstheme="minorHAnsi"/>
          <w:i/>
        </w:rPr>
        <w:t>Freshwater Science</w:t>
      </w:r>
      <w:r w:rsidR="00E17A34" w:rsidRPr="00A64AF8">
        <w:rPr>
          <w:rFonts w:asciiTheme="minorHAnsi" w:hAnsiTheme="minorHAnsi" w:cstheme="minorHAnsi"/>
        </w:rPr>
        <w:t xml:space="preserve"> 34: </w:t>
      </w:r>
      <w:r w:rsidRPr="00A64AF8">
        <w:rPr>
          <w:rFonts w:asciiTheme="minorHAnsi" w:hAnsiTheme="minorHAnsi" w:cstheme="minorHAnsi"/>
        </w:rPr>
        <w:t xml:space="preserve">741-758. </w:t>
      </w:r>
    </w:p>
    <w:p w14:paraId="3EB561B9" w14:textId="30EDF8B3"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Labbe T.R.</w:t>
      </w:r>
      <w:r w:rsidR="00ED65C7" w:rsidRPr="00A64AF8">
        <w:rPr>
          <w:rFonts w:asciiTheme="minorHAnsi" w:hAnsiTheme="minorHAnsi" w:cstheme="minorHAnsi"/>
        </w:rPr>
        <w:t xml:space="preserve"> &amp;</w:t>
      </w:r>
      <w:r w:rsidRPr="00A64AF8">
        <w:rPr>
          <w:rFonts w:asciiTheme="minorHAnsi" w:hAnsiTheme="minorHAnsi" w:cstheme="minorHAnsi"/>
        </w:rPr>
        <w:t xml:space="preserve"> Fausch K.D. </w:t>
      </w:r>
      <w:r w:rsidR="00A37049" w:rsidRPr="00A64AF8">
        <w:rPr>
          <w:rFonts w:asciiTheme="minorHAnsi" w:hAnsiTheme="minorHAnsi" w:cstheme="minorHAnsi"/>
        </w:rPr>
        <w:t>(</w:t>
      </w:r>
      <w:r w:rsidRPr="00A64AF8">
        <w:rPr>
          <w:rFonts w:asciiTheme="minorHAnsi" w:hAnsiTheme="minorHAnsi" w:cstheme="minorHAnsi"/>
        </w:rPr>
        <w:t>2000</w:t>
      </w:r>
      <w:r w:rsidR="00A37049" w:rsidRPr="00A64AF8">
        <w:rPr>
          <w:rFonts w:asciiTheme="minorHAnsi" w:hAnsiTheme="minorHAnsi" w:cstheme="minorHAnsi"/>
        </w:rPr>
        <w:t>)</w:t>
      </w:r>
      <w:r w:rsidRPr="00A64AF8">
        <w:rPr>
          <w:rFonts w:asciiTheme="minorHAnsi" w:hAnsiTheme="minorHAnsi" w:cstheme="minorHAnsi"/>
        </w:rPr>
        <w:t xml:space="preserve">. Dynamics of intermittent stream habitat regulate persistence of a threatened fish at multiple scales. </w:t>
      </w:r>
      <w:r w:rsidRPr="00A64AF8">
        <w:rPr>
          <w:rFonts w:asciiTheme="minorHAnsi" w:hAnsiTheme="minorHAnsi" w:cstheme="minorHAnsi"/>
          <w:i/>
        </w:rPr>
        <w:t>Ecological Applications</w:t>
      </w:r>
      <w:r w:rsidRPr="00A64AF8">
        <w:rPr>
          <w:rFonts w:asciiTheme="minorHAnsi" w:hAnsiTheme="minorHAnsi" w:cstheme="minorHAnsi"/>
        </w:rPr>
        <w:t xml:space="preserve"> 10</w:t>
      </w:r>
      <w:r w:rsidR="00E17A34" w:rsidRPr="00A64AF8">
        <w:rPr>
          <w:rFonts w:asciiTheme="minorHAnsi" w:hAnsiTheme="minorHAnsi" w:cstheme="minorHAnsi"/>
        </w:rPr>
        <w:t>:</w:t>
      </w:r>
      <w:r w:rsidRPr="00A64AF8">
        <w:rPr>
          <w:rFonts w:asciiTheme="minorHAnsi" w:hAnsiTheme="minorHAnsi" w:cstheme="minorHAnsi"/>
        </w:rPr>
        <w:t xml:space="preserve"> 1774-1791. </w:t>
      </w:r>
    </w:p>
    <w:p w14:paraId="4F72D6B7" w14:textId="346ABD13"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 xml:space="preserve">Lake P.S. </w:t>
      </w:r>
      <w:r w:rsidR="00A37049" w:rsidRPr="00A64AF8">
        <w:rPr>
          <w:rFonts w:asciiTheme="minorHAnsi" w:hAnsiTheme="minorHAnsi" w:cstheme="minorHAnsi"/>
        </w:rPr>
        <w:t>(</w:t>
      </w:r>
      <w:r w:rsidRPr="00A64AF8">
        <w:rPr>
          <w:rFonts w:asciiTheme="minorHAnsi" w:hAnsiTheme="minorHAnsi" w:cstheme="minorHAnsi"/>
        </w:rPr>
        <w:t>2003</w:t>
      </w:r>
      <w:r w:rsidR="00A37049" w:rsidRPr="00A64AF8">
        <w:rPr>
          <w:rFonts w:asciiTheme="minorHAnsi" w:hAnsiTheme="minorHAnsi" w:cstheme="minorHAnsi"/>
        </w:rPr>
        <w:t>)</w:t>
      </w:r>
      <w:r w:rsidRPr="00A64AF8">
        <w:rPr>
          <w:rFonts w:asciiTheme="minorHAnsi" w:hAnsiTheme="minorHAnsi" w:cstheme="minorHAnsi"/>
        </w:rPr>
        <w:t xml:space="preserve">. Ecological effects of perturbation by drought in flowing waters. </w:t>
      </w:r>
      <w:r w:rsidRPr="00A64AF8">
        <w:rPr>
          <w:rFonts w:asciiTheme="minorHAnsi" w:hAnsiTheme="minorHAnsi" w:cstheme="minorHAnsi"/>
          <w:i/>
        </w:rPr>
        <w:t>Freshwater Biology</w:t>
      </w:r>
      <w:r w:rsidRPr="00A64AF8">
        <w:rPr>
          <w:rFonts w:asciiTheme="minorHAnsi" w:hAnsiTheme="minorHAnsi" w:cstheme="minorHAnsi"/>
        </w:rPr>
        <w:t xml:space="preserve"> 48</w:t>
      </w:r>
      <w:r w:rsidR="00E17A34" w:rsidRPr="00A64AF8">
        <w:rPr>
          <w:rFonts w:asciiTheme="minorHAnsi" w:hAnsiTheme="minorHAnsi" w:cstheme="minorHAnsi"/>
        </w:rPr>
        <w:t>:</w:t>
      </w:r>
      <w:r w:rsidRPr="00A64AF8">
        <w:rPr>
          <w:rFonts w:asciiTheme="minorHAnsi" w:hAnsiTheme="minorHAnsi" w:cstheme="minorHAnsi"/>
        </w:rPr>
        <w:t xml:space="preserve"> 1161-1172. </w:t>
      </w:r>
    </w:p>
    <w:p w14:paraId="03A40286" w14:textId="1EB56D23"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Leigh C., Bush A., Harrison E.T., Ho S.S., Luke L., Rolls R.J.</w:t>
      </w:r>
      <w:r w:rsidR="00ED65C7" w:rsidRPr="00A64AF8">
        <w:rPr>
          <w:rFonts w:asciiTheme="minorHAnsi" w:hAnsiTheme="minorHAnsi" w:cstheme="minorHAnsi"/>
        </w:rPr>
        <w:t xml:space="preserve"> &amp;</w:t>
      </w:r>
      <w:r w:rsidRPr="00A64AF8">
        <w:rPr>
          <w:rFonts w:asciiTheme="minorHAnsi" w:hAnsiTheme="minorHAnsi" w:cstheme="minorHAnsi"/>
        </w:rPr>
        <w:t xml:space="preserve"> Ledger M.E. </w:t>
      </w:r>
      <w:r w:rsidR="00A37049" w:rsidRPr="00A64AF8">
        <w:rPr>
          <w:rFonts w:asciiTheme="minorHAnsi" w:hAnsiTheme="minorHAnsi" w:cstheme="minorHAnsi"/>
        </w:rPr>
        <w:t>(</w:t>
      </w:r>
      <w:r w:rsidRPr="00A64AF8">
        <w:rPr>
          <w:rFonts w:asciiTheme="minorHAnsi" w:hAnsiTheme="minorHAnsi" w:cstheme="minorHAnsi"/>
        </w:rPr>
        <w:t>2015</w:t>
      </w:r>
      <w:r w:rsidR="00A37049" w:rsidRPr="00A64AF8">
        <w:rPr>
          <w:rFonts w:asciiTheme="minorHAnsi" w:hAnsiTheme="minorHAnsi" w:cstheme="minorHAnsi"/>
        </w:rPr>
        <w:t>)</w:t>
      </w:r>
      <w:r w:rsidRPr="00A64AF8">
        <w:rPr>
          <w:rFonts w:asciiTheme="minorHAnsi" w:hAnsiTheme="minorHAnsi" w:cstheme="minorHAnsi"/>
        </w:rPr>
        <w:t xml:space="preserve">. Ecological effects of extreme climatic events on riverine ecosystems: Insights from Australia. </w:t>
      </w:r>
      <w:r w:rsidRPr="00A64AF8">
        <w:rPr>
          <w:rFonts w:asciiTheme="minorHAnsi" w:hAnsiTheme="minorHAnsi" w:cstheme="minorHAnsi"/>
          <w:i/>
        </w:rPr>
        <w:t>Freshwater Biology</w:t>
      </w:r>
      <w:r w:rsidR="00E17A34" w:rsidRPr="00A64AF8">
        <w:rPr>
          <w:rFonts w:asciiTheme="minorHAnsi" w:hAnsiTheme="minorHAnsi" w:cstheme="minorHAnsi"/>
        </w:rPr>
        <w:t xml:space="preserve"> </w:t>
      </w:r>
      <w:r w:rsidRPr="00A64AF8">
        <w:rPr>
          <w:rFonts w:asciiTheme="minorHAnsi" w:hAnsiTheme="minorHAnsi" w:cstheme="minorHAnsi"/>
        </w:rPr>
        <w:t>60</w:t>
      </w:r>
      <w:r w:rsidR="00E17A34" w:rsidRPr="00A64AF8">
        <w:rPr>
          <w:rFonts w:asciiTheme="minorHAnsi" w:hAnsiTheme="minorHAnsi" w:cstheme="minorHAnsi"/>
        </w:rPr>
        <w:t>:</w:t>
      </w:r>
      <w:r w:rsidRPr="00A64AF8">
        <w:rPr>
          <w:rFonts w:asciiTheme="minorHAnsi" w:hAnsiTheme="minorHAnsi" w:cstheme="minorHAnsi"/>
        </w:rPr>
        <w:t xml:space="preserve"> 2620-2638. </w:t>
      </w:r>
    </w:p>
    <w:p w14:paraId="46019291" w14:textId="23E6B11D"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Leigh C., Boulton A.J., Courtwright J.L., Fritz K., May C.L., Walker R.H.</w:t>
      </w:r>
      <w:r w:rsidR="00ED65C7" w:rsidRPr="00A64AF8">
        <w:rPr>
          <w:rFonts w:asciiTheme="minorHAnsi" w:hAnsiTheme="minorHAnsi" w:cstheme="minorHAnsi"/>
        </w:rPr>
        <w:t xml:space="preserve"> &amp;</w:t>
      </w:r>
      <w:r w:rsidRPr="00A64AF8">
        <w:rPr>
          <w:rFonts w:asciiTheme="minorHAnsi" w:hAnsiTheme="minorHAnsi" w:cstheme="minorHAnsi"/>
        </w:rPr>
        <w:t xml:space="preserve"> Datry T. </w:t>
      </w:r>
      <w:r w:rsidR="00A37049" w:rsidRPr="00A64AF8">
        <w:rPr>
          <w:rFonts w:asciiTheme="minorHAnsi" w:hAnsiTheme="minorHAnsi" w:cstheme="minorHAnsi"/>
        </w:rPr>
        <w:t>(</w:t>
      </w:r>
      <w:r w:rsidRPr="00A64AF8">
        <w:rPr>
          <w:rFonts w:asciiTheme="minorHAnsi" w:hAnsiTheme="minorHAnsi" w:cstheme="minorHAnsi"/>
        </w:rPr>
        <w:t>2016</w:t>
      </w:r>
      <w:r w:rsidR="00A37049" w:rsidRPr="00A64AF8">
        <w:rPr>
          <w:rFonts w:asciiTheme="minorHAnsi" w:hAnsiTheme="minorHAnsi" w:cstheme="minorHAnsi"/>
        </w:rPr>
        <w:t>)</w:t>
      </w:r>
      <w:r w:rsidRPr="00A64AF8">
        <w:rPr>
          <w:rFonts w:asciiTheme="minorHAnsi" w:hAnsiTheme="minorHAnsi" w:cstheme="minorHAnsi"/>
        </w:rPr>
        <w:t xml:space="preserve">. Ecological research and management of intermittent rivers: an historical review and future directions. </w:t>
      </w:r>
      <w:r w:rsidRPr="00A64AF8">
        <w:rPr>
          <w:rFonts w:asciiTheme="minorHAnsi" w:hAnsiTheme="minorHAnsi" w:cstheme="minorHAnsi"/>
          <w:i/>
        </w:rPr>
        <w:t>Freshwater Biology</w:t>
      </w:r>
      <w:r w:rsidRPr="00A64AF8">
        <w:rPr>
          <w:rFonts w:asciiTheme="minorHAnsi" w:hAnsiTheme="minorHAnsi" w:cstheme="minorHAnsi"/>
        </w:rPr>
        <w:t xml:space="preserve"> 61</w:t>
      </w:r>
      <w:r w:rsidR="00E17A34" w:rsidRPr="00A64AF8">
        <w:rPr>
          <w:rFonts w:asciiTheme="minorHAnsi" w:hAnsiTheme="minorHAnsi" w:cstheme="minorHAnsi"/>
        </w:rPr>
        <w:t>:</w:t>
      </w:r>
      <w:r w:rsidRPr="00A64AF8">
        <w:rPr>
          <w:rFonts w:asciiTheme="minorHAnsi" w:hAnsiTheme="minorHAnsi" w:cstheme="minorHAnsi"/>
        </w:rPr>
        <w:t xml:space="preserve"> 1181-1199. </w:t>
      </w:r>
    </w:p>
    <w:p w14:paraId="45608DE1" w14:textId="0B8EEED4"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Leigh C.</w:t>
      </w:r>
      <w:r w:rsidR="00ED65C7" w:rsidRPr="00A64AF8">
        <w:rPr>
          <w:rFonts w:asciiTheme="minorHAnsi" w:hAnsiTheme="minorHAnsi" w:cstheme="minorHAnsi"/>
        </w:rPr>
        <w:t xml:space="preserve"> &amp;</w:t>
      </w:r>
      <w:r w:rsidRPr="00A64AF8">
        <w:rPr>
          <w:rFonts w:asciiTheme="minorHAnsi" w:hAnsiTheme="minorHAnsi" w:cstheme="minorHAnsi"/>
        </w:rPr>
        <w:t xml:space="preserve"> Datry T. </w:t>
      </w:r>
      <w:r w:rsidR="00A37049" w:rsidRPr="00A64AF8">
        <w:rPr>
          <w:rFonts w:asciiTheme="minorHAnsi" w:hAnsiTheme="minorHAnsi" w:cstheme="minorHAnsi"/>
        </w:rPr>
        <w:t>(</w:t>
      </w:r>
      <w:r w:rsidRPr="00A64AF8">
        <w:rPr>
          <w:rFonts w:asciiTheme="minorHAnsi" w:hAnsiTheme="minorHAnsi" w:cstheme="minorHAnsi"/>
        </w:rPr>
        <w:t>2016</w:t>
      </w:r>
      <w:r w:rsidR="00A37049" w:rsidRPr="00A64AF8">
        <w:rPr>
          <w:rFonts w:asciiTheme="minorHAnsi" w:hAnsiTheme="minorHAnsi" w:cstheme="minorHAnsi"/>
        </w:rPr>
        <w:t>)</w:t>
      </w:r>
      <w:r w:rsidRPr="00A64AF8">
        <w:rPr>
          <w:rFonts w:asciiTheme="minorHAnsi" w:hAnsiTheme="minorHAnsi" w:cstheme="minorHAnsi"/>
        </w:rPr>
        <w:t xml:space="preserve">. Drying as a primary hydrological determinant of biodiversity in river systems: a broad-scale analysis. </w:t>
      </w:r>
      <w:r w:rsidRPr="00A64AF8">
        <w:rPr>
          <w:rFonts w:asciiTheme="minorHAnsi" w:hAnsiTheme="minorHAnsi" w:cstheme="minorHAnsi"/>
          <w:i/>
        </w:rPr>
        <w:t>Ecography</w:t>
      </w:r>
      <w:r w:rsidRPr="00A64AF8">
        <w:rPr>
          <w:rFonts w:asciiTheme="minorHAnsi" w:hAnsiTheme="minorHAnsi" w:cstheme="minorHAnsi"/>
        </w:rPr>
        <w:t xml:space="preserve"> 001–013. </w:t>
      </w:r>
    </w:p>
    <w:p w14:paraId="242FDC56" w14:textId="6C197DA7"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Maamri A., Chergui H.</w:t>
      </w:r>
      <w:r w:rsidR="00ED65C7" w:rsidRPr="00A64AF8">
        <w:rPr>
          <w:rFonts w:asciiTheme="minorHAnsi" w:hAnsiTheme="minorHAnsi" w:cstheme="minorHAnsi"/>
        </w:rPr>
        <w:t xml:space="preserve"> &amp;</w:t>
      </w:r>
      <w:r w:rsidRPr="00A64AF8">
        <w:rPr>
          <w:rFonts w:asciiTheme="minorHAnsi" w:hAnsiTheme="minorHAnsi" w:cstheme="minorHAnsi"/>
        </w:rPr>
        <w:t xml:space="preserve"> Pattee E. </w:t>
      </w:r>
      <w:r w:rsidR="00A37049" w:rsidRPr="00A64AF8">
        <w:rPr>
          <w:rFonts w:asciiTheme="minorHAnsi" w:hAnsiTheme="minorHAnsi" w:cstheme="minorHAnsi"/>
        </w:rPr>
        <w:t>(</w:t>
      </w:r>
      <w:r w:rsidRPr="00A64AF8">
        <w:rPr>
          <w:rFonts w:asciiTheme="minorHAnsi" w:hAnsiTheme="minorHAnsi" w:cstheme="minorHAnsi"/>
        </w:rPr>
        <w:t>1997</w:t>
      </w:r>
      <w:r w:rsidR="00A37049" w:rsidRPr="00A64AF8">
        <w:rPr>
          <w:rFonts w:asciiTheme="minorHAnsi" w:hAnsiTheme="minorHAnsi" w:cstheme="minorHAnsi"/>
        </w:rPr>
        <w:t>)</w:t>
      </w:r>
      <w:r w:rsidRPr="00A64AF8">
        <w:rPr>
          <w:rFonts w:asciiTheme="minorHAnsi" w:hAnsiTheme="minorHAnsi" w:cstheme="minorHAnsi"/>
        </w:rPr>
        <w:t xml:space="preserve">. Leaf litter processing in a temporary northeastern Moroccan river. </w:t>
      </w:r>
      <w:r w:rsidRPr="00A64AF8">
        <w:rPr>
          <w:rFonts w:asciiTheme="minorHAnsi" w:hAnsiTheme="minorHAnsi" w:cstheme="minorHAnsi"/>
          <w:i/>
        </w:rPr>
        <w:t>Archiv fur Hydrobiologie</w:t>
      </w:r>
      <w:r w:rsidRPr="00A64AF8">
        <w:rPr>
          <w:rFonts w:asciiTheme="minorHAnsi" w:hAnsiTheme="minorHAnsi" w:cstheme="minorHAnsi"/>
        </w:rPr>
        <w:t xml:space="preserve"> 140</w:t>
      </w:r>
      <w:r w:rsidR="00E17A34" w:rsidRPr="00A64AF8">
        <w:rPr>
          <w:rFonts w:asciiTheme="minorHAnsi" w:hAnsiTheme="minorHAnsi" w:cstheme="minorHAnsi"/>
        </w:rPr>
        <w:t>:</w:t>
      </w:r>
      <w:r w:rsidRPr="00A64AF8">
        <w:rPr>
          <w:rFonts w:asciiTheme="minorHAnsi" w:hAnsiTheme="minorHAnsi" w:cstheme="minorHAnsi"/>
        </w:rPr>
        <w:t xml:space="preserve"> 513-531. </w:t>
      </w:r>
    </w:p>
    <w:p w14:paraId="5B24A2C9" w14:textId="30B41FF9"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Maceda-Veiga A., Salvadó H., Vinyoles D.</w:t>
      </w:r>
      <w:r w:rsidR="00ED65C7" w:rsidRPr="00A64AF8">
        <w:rPr>
          <w:rFonts w:asciiTheme="minorHAnsi" w:hAnsiTheme="minorHAnsi" w:cstheme="minorHAnsi"/>
        </w:rPr>
        <w:t xml:space="preserve"> &amp;</w:t>
      </w:r>
      <w:r w:rsidRPr="00A64AF8">
        <w:rPr>
          <w:rFonts w:asciiTheme="minorHAnsi" w:hAnsiTheme="minorHAnsi" w:cstheme="minorHAnsi"/>
        </w:rPr>
        <w:t xml:space="preserve"> de Sostoa A. </w:t>
      </w:r>
      <w:r w:rsidR="00A37049" w:rsidRPr="00A64AF8">
        <w:rPr>
          <w:rFonts w:asciiTheme="minorHAnsi" w:hAnsiTheme="minorHAnsi" w:cstheme="minorHAnsi"/>
        </w:rPr>
        <w:t>(</w:t>
      </w:r>
      <w:r w:rsidRPr="00A64AF8">
        <w:rPr>
          <w:rFonts w:asciiTheme="minorHAnsi" w:hAnsiTheme="minorHAnsi" w:cstheme="minorHAnsi"/>
        </w:rPr>
        <w:t>2009</w:t>
      </w:r>
      <w:r w:rsidR="00A37049" w:rsidRPr="00A64AF8">
        <w:rPr>
          <w:rFonts w:asciiTheme="minorHAnsi" w:hAnsiTheme="minorHAnsi" w:cstheme="minorHAnsi"/>
        </w:rPr>
        <w:t>)</w:t>
      </w:r>
      <w:r w:rsidRPr="00A64AF8">
        <w:rPr>
          <w:rFonts w:asciiTheme="minorHAnsi" w:hAnsiTheme="minorHAnsi" w:cstheme="minorHAnsi"/>
        </w:rPr>
        <w:t xml:space="preserve">. Outbreaks of </w:t>
      </w:r>
      <w:r w:rsidRPr="00A64AF8">
        <w:rPr>
          <w:rFonts w:asciiTheme="minorHAnsi" w:hAnsiTheme="minorHAnsi" w:cstheme="minorHAnsi"/>
          <w:i/>
        </w:rPr>
        <w:t>Ichthyophthirius multifiliis</w:t>
      </w:r>
      <w:r w:rsidRPr="00A64AF8">
        <w:rPr>
          <w:rFonts w:asciiTheme="minorHAnsi" w:hAnsiTheme="minorHAnsi" w:cstheme="minorHAnsi"/>
        </w:rPr>
        <w:t xml:space="preserve"> in redtail barbs </w:t>
      </w:r>
      <w:r w:rsidRPr="00A64AF8">
        <w:rPr>
          <w:rFonts w:asciiTheme="minorHAnsi" w:hAnsiTheme="minorHAnsi" w:cstheme="minorHAnsi"/>
          <w:i/>
        </w:rPr>
        <w:t>Barbus haasi</w:t>
      </w:r>
      <w:r w:rsidRPr="00A64AF8">
        <w:rPr>
          <w:rFonts w:asciiTheme="minorHAnsi" w:hAnsiTheme="minorHAnsi" w:cstheme="minorHAnsi"/>
        </w:rPr>
        <w:t xml:space="preserve"> in a mediterranean stream during drought. </w:t>
      </w:r>
      <w:r w:rsidRPr="00A64AF8">
        <w:rPr>
          <w:rFonts w:asciiTheme="minorHAnsi" w:hAnsiTheme="minorHAnsi" w:cstheme="minorHAnsi"/>
          <w:i/>
        </w:rPr>
        <w:t>Journal of Aquatic Animal Health</w:t>
      </w:r>
      <w:r w:rsidRPr="00A64AF8">
        <w:rPr>
          <w:rFonts w:asciiTheme="minorHAnsi" w:hAnsiTheme="minorHAnsi" w:cstheme="minorHAnsi"/>
        </w:rPr>
        <w:t xml:space="preserve"> 21</w:t>
      </w:r>
      <w:r w:rsidR="00E17A34" w:rsidRPr="00A64AF8">
        <w:rPr>
          <w:rFonts w:asciiTheme="minorHAnsi" w:hAnsiTheme="minorHAnsi" w:cstheme="minorHAnsi"/>
        </w:rPr>
        <w:t>:</w:t>
      </w:r>
      <w:r w:rsidRPr="00A64AF8">
        <w:rPr>
          <w:rFonts w:asciiTheme="minorHAnsi" w:hAnsiTheme="minorHAnsi" w:cstheme="minorHAnsi"/>
        </w:rPr>
        <w:t xml:space="preserve"> 189-194. </w:t>
      </w:r>
    </w:p>
    <w:p w14:paraId="2785E72A" w14:textId="6D6D1ED2"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Mackay S.J., Arthington A.H.</w:t>
      </w:r>
      <w:r w:rsidR="00ED65C7" w:rsidRPr="00A64AF8">
        <w:rPr>
          <w:rFonts w:asciiTheme="minorHAnsi" w:hAnsiTheme="minorHAnsi" w:cstheme="minorHAnsi"/>
        </w:rPr>
        <w:t xml:space="preserve"> &amp;</w:t>
      </w:r>
      <w:r w:rsidRPr="00A64AF8">
        <w:rPr>
          <w:rFonts w:asciiTheme="minorHAnsi" w:hAnsiTheme="minorHAnsi" w:cstheme="minorHAnsi"/>
        </w:rPr>
        <w:t xml:space="preserve"> James C.S. </w:t>
      </w:r>
      <w:r w:rsidR="00A37049" w:rsidRPr="00A64AF8">
        <w:rPr>
          <w:rFonts w:asciiTheme="minorHAnsi" w:hAnsiTheme="minorHAnsi" w:cstheme="minorHAnsi"/>
        </w:rPr>
        <w:t>(</w:t>
      </w:r>
      <w:r w:rsidRPr="00A64AF8">
        <w:rPr>
          <w:rFonts w:asciiTheme="minorHAnsi" w:hAnsiTheme="minorHAnsi" w:cstheme="minorHAnsi"/>
        </w:rPr>
        <w:t>2014</w:t>
      </w:r>
      <w:r w:rsidR="00A37049" w:rsidRPr="00A64AF8">
        <w:rPr>
          <w:rFonts w:asciiTheme="minorHAnsi" w:hAnsiTheme="minorHAnsi" w:cstheme="minorHAnsi"/>
        </w:rPr>
        <w:t>)</w:t>
      </w:r>
      <w:r w:rsidRPr="00A64AF8">
        <w:rPr>
          <w:rFonts w:asciiTheme="minorHAnsi" w:hAnsiTheme="minorHAnsi" w:cstheme="minorHAnsi"/>
        </w:rPr>
        <w:t xml:space="preserve">. Classification and comparison of natural and altered flow regimes to support an Australian trial of the Ecological Limits of Hydrologic Alteration framework. </w:t>
      </w:r>
      <w:r w:rsidRPr="00A64AF8">
        <w:rPr>
          <w:rFonts w:asciiTheme="minorHAnsi" w:hAnsiTheme="minorHAnsi" w:cstheme="minorHAnsi"/>
          <w:i/>
        </w:rPr>
        <w:t>Ecohydrology</w:t>
      </w:r>
      <w:r w:rsidRPr="00A64AF8">
        <w:rPr>
          <w:rFonts w:asciiTheme="minorHAnsi" w:hAnsiTheme="minorHAnsi" w:cstheme="minorHAnsi"/>
        </w:rPr>
        <w:t xml:space="preserve"> 7</w:t>
      </w:r>
      <w:r w:rsidR="00E17A34" w:rsidRPr="00A64AF8">
        <w:rPr>
          <w:rFonts w:asciiTheme="minorHAnsi" w:hAnsiTheme="minorHAnsi" w:cstheme="minorHAnsi"/>
        </w:rPr>
        <w:t>:</w:t>
      </w:r>
      <w:r w:rsidRPr="00A64AF8">
        <w:rPr>
          <w:rFonts w:asciiTheme="minorHAnsi" w:hAnsiTheme="minorHAnsi" w:cstheme="minorHAnsi"/>
        </w:rPr>
        <w:t xml:space="preserve"> 1485-1507. </w:t>
      </w:r>
    </w:p>
    <w:p w14:paraId="5702108C" w14:textId="6B0D3197"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Magoulick D.D.</w:t>
      </w:r>
      <w:r w:rsidR="00ED65C7" w:rsidRPr="00A64AF8">
        <w:rPr>
          <w:rFonts w:asciiTheme="minorHAnsi" w:hAnsiTheme="minorHAnsi" w:cstheme="minorHAnsi"/>
        </w:rPr>
        <w:t xml:space="preserve"> &amp;</w:t>
      </w:r>
      <w:r w:rsidRPr="00A64AF8">
        <w:rPr>
          <w:rFonts w:asciiTheme="minorHAnsi" w:hAnsiTheme="minorHAnsi" w:cstheme="minorHAnsi"/>
        </w:rPr>
        <w:t xml:space="preserve"> Kobza R.M. </w:t>
      </w:r>
      <w:r w:rsidR="00A37049" w:rsidRPr="00A64AF8">
        <w:rPr>
          <w:rFonts w:asciiTheme="minorHAnsi" w:hAnsiTheme="minorHAnsi" w:cstheme="minorHAnsi"/>
        </w:rPr>
        <w:t>(</w:t>
      </w:r>
      <w:r w:rsidRPr="00A64AF8">
        <w:rPr>
          <w:rFonts w:asciiTheme="minorHAnsi" w:hAnsiTheme="minorHAnsi" w:cstheme="minorHAnsi"/>
        </w:rPr>
        <w:t>2003</w:t>
      </w:r>
      <w:r w:rsidR="00A37049" w:rsidRPr="00A64AF8">
        <w:rPr>
          <w:rFonts w:asciiTheme="minorHAnsi" w:hAnsiTheme="minorHAnsi" w:cstheme="minorHAnsi"/>
        </w:rPr>
        <w:t>)</w:t>
      </w:r>
      <w:r w:rsidRPr="00A64AF8">
        <w:rPr>
          <w:rFonts w:asciiTheme="minorHAnsi" w:hAnsiTheme="minorHAnsi" w:cstheme="minorHAnsi"/>
        </w:rPr>
        <w:t xml:space="preserve">. The role of refugia for fishes during drought: a review and synthesis. </w:t>
      </w:r>
      <w:r w:rsidRPr="00A64AF8">
        <w:rPr>
          <w:rFonts w:asciiTheme="minorHAnsi" w:hAnsiTheme="minorHAnsi" w:cstheme="minorHAnsi"/>
          <w:i/>
        </w:rPr>
        <w:t>Freshwater Biology</w:t>
      </w:r>
      <w:r w:rsidRPr="00A64AF8">
        <w:rPr>
          <w:rFonts w:asciiTheme="minorHAnsi" w:hAnsiTheme="minorHAnsi" w:cstheme="minorHAnsi"/>
        </w:rPr>
        <w:t xml:space="preserve"> 48</w:t>
      </w:r>
      <w:r w:rsidR="00E17A34" w:rsidRPr="00A64AF8">
        <w:rPr>
          <w:rFonts w:asciiTheme="minorHAnsi" w:hAnsiTheme="minorHAnsi" w:cstheme="minorHAnsi"/>
        </w:rPr>
        <w:t>:</w:t>
      </w:r>
      <w:r w:rsidRPr="00A64AF8">
        <w:rPr>
          <w:rFonts w:asciiTheme="minorHAnsi" w:hAnsiTheme="minorHAnsi" w:cstheme="minorHAnsi"/>
        </w:rPr>
        <w:t xml:space="preserve"> 1186-1198. </w:t>
      </w:r>
    </w:p>
    <w:p w14:paraId="05419FFB" w14:textId="19A8B032"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Matthews W.J.</w:t>
      </w:r>
      <w:r w:rsidR="00ED65C7" w:rsidRPr="00A64AF8">
        <w:rPr>
          <w:rFonts w:asciiTheme="minorHAnsi" w:hAnsiTheme="minorHAnsi" w:cstheme="minorHAnsi"/>
        </w:rPr>
        <w:t xml:space="preserve"> &amp; Marsh-Matthews E.</w:t>
      </w:r>
      <w:r w:rsidRPr="00A64AF8">
        <w:rPr>
          <w:rFonts w:asciiTheme="minorHAnsi" w:hAnsiTheme="minorHAnsi" w:cstheme="minorHAnsi"/>
        </w:rPr>
        <w:t xml:space="preserve"> </w:t>
      </w:r>
      <w:r w:rsidR="00A37049" w:rsidRPr="00A64AF8">
        <w:rPr>
          <w:rFonts w:asciiTheme="minorHAnsi" w:hAnsiTheme="minorHAnsi" w:cstheme="minorHAnsi"/>
        </w:rPr>
        <w:t>(</w:t>
      </w:r>
      <w:r w:rsidRPr="00A64AF8">
        <w:rPr>
          <w:rFonts w:asciiTheme="minorHAnsi" w:hAnsiTheme="minorHAnsi" w:cstheme="minorHAnsi"/>
        </w:rPr>
        <w:t>2003</w:t>
      </w:r>
      <w:r w:rsidR="00A37049" w:rsidRPr="00A64AF8">
        <w:rPr>
          <w:rFonts w:asciiTheme="minorHAnsi" w:hAnsiTheme="minorHAnsi" w:cstheme="minorHAnsi"/>
        </w:rPr>
        <w:t>)</w:t>
      </w:r>
      <w:r w:rsidRPr="00A64AF8">
        <w:rPr>
          <w:rFonts w:asciiTheme="minorHAnsi" w:hAnsiTheme="minorHAnsi" w:cstheme="minorHAnsi"/>
        </w:rPr>
        <w:t xml:space="preserve">. Effects of drought on fish across axes of space, time and ecological complexity. </w:t>
      </w:r>
      <w:r w:rsidRPr="00A64AF8">
        <w:rPr>
          <w:rFonts w:asciiTheme="minorHAnsi" w:hAnsiTheme="minorHAnsi" w:cstheme="minorHAnsi"/>
          <w:i/>
        </w:rPr>
        <w:t>Freshwater Biology</w:t>
      </w:r>
      <w:r w:rsidRPr="00A64AF8">
        <w:rPr>
          <w:rFonts w:asciiTheme="minorHAnsi" w:hAnsiTheme="minorHAnsi" w:cstheme="minorHAnsi"/>
        </w:rPr>
        <w:t xml:space="preserve"> 48</w:t>
      </w:r>
      <w:r w:rsidR="00E17A34" w:rsidRPr="00A64AF8">
        <w:rPr>
          <w:rFonts w:asciiTheme="minorHAnsi" w:hAnsiTheme="minorHAnsi" w:cstheme="minorHAnsi"/>
        </w:rPr>
        <w:t>:</w:t>
      </w:r>
      <w:r w:rsidRPr="00A64AF8">
        <w:rPr>
          <w:rFonts w:asciiTheme="minorHAnsi" w:hAnsiTheme="minorHAnsi" w:cstheme="minorHAnsi"/>
        </w:rPr>
        <w:t xml:space="preserve"> 1232-1253. </w:t>
      </w:r>
    </w:p>
    <w:p w14:paraId="41A320D9" w14:textId="078E3DF7"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McHugh P.A., Thompson R.M., Greig H.S., Warburton H.J.</w:t>
      </w:r>
      <w:r w:rsidR="00ED65C7" w:rsidRPr="00A64AF8">
        <w:rPr>
          <w:rFonts w:asciiTheme="minorHAnsi" w:hAnsiTheme="minorHAnsi" w:cstheme="minorHAnsi"/>
        </w:rPr>
        <w:t xml:space="preserve"> &amp;</w:t>
      </w:r>
      <w:r w:rsidRPr="00A64AF8">
        <w:rPr>
          <w:rFonts w:asciiTheme="minorHAnsi" w:hAnsiTheme="minorHAnsi" w:cstheme="minorHAnsi"/>
        </w:rPr>
        <w:t xml:space="preserve"> McIntosh A.R. </w:t>
      </w:r>
      <w:r w:rsidR="00A37049" w:rsidRPr="00A64AF8">
        <w:rPr>
          <w:rFonts w:asciiTheme="minorHAnsi" w:hAnsiTheme="minorHAnsi" w:cstheme="minorHAnsi"/>
        </w:rPr>
        <w:t>(</w:t>
      </w:r>
      <w:r w:rsidRPr="00A64AF8">
        <w:rPr>
          <w:rFonts w:asciiTheme="minorHAnsi" w:hAnsiTheme="minorHAnsi" w:cstheme="minorHAnsi"/>
        </w:rPr>
        <w:t>2015</w:t>
      </w:r>
      <w:r w:rsidR="00A37049" w:rsidRPr="00A64AF8">
        <w:rPr>
          <w:rFonts w:asciiTheme="minorHAnsi" w:hAnsiTheme="minorHAnsi" w:cstheme="minorHAnsi"/>
        </w:rPr>
        <w:t>)</w:t>
      </w:r>
      <w:r w:rsidRPr="00A64AF8">
        <w:rPr>
          <w:rFonts w:asciiTheme="minorHAnsi" w:hAnsiTheme="minorHAnsi" w:cstheme="minorHAnsi"/>
        </w:rPr>
        <w:t xml:space="preserve">. Habitat size influences food web structure in drying streams. </w:t>
      </w:r>
      <w:r w:rsidRPr="00A64AF8">
        <w:rPr>
          <w:rFonts w:asciiTheme="minorHAnsi" w:hAnsiTheme="minorHAnsi" w:cstheme="minorHAnsi"/>
          <w:i/>
        </w:rPr>
        <w:t>Ecography</w:t>
      </w:r>
      <w:r w:rsidRPr="00A64AF8">
        <w:rPr>
          <w:rFonts w:asciiTheme="minorHAnsi" w:hAnsiTheme="minorHAnsi" w:cstheme="minorHAnsi"/>
        </w:rPr>
        <w:t xml:space="preserve"> 38</w:t>
      </w:r>
      <w:r w:rsidR="00E17A34" w:rsidRPr="00A64AF8">
        <w:rPr>
          <w:rFonts w:asciiTheme="minorHAnsi" w:hAnsiTheme="minorHAnsi" w:cstheme="minorHAnsi"/>
        </w:rPr>
        <w:t>:</w:t>
      </w:r>
      <w:r w:rsidRPr="00A64AF8">
        <w:rPr>
          <w:rFonts w:asciiTheme="minorHAnsi" w:hAnsiTheme="minorHAnsi" w:cstheme="minorHAnsi"/>
        </w:rPr>
        <w:t xml:space="preserve"> 700-712. </w:t>
      </w:r>
    </w:p>
    <w:p w14:paraId="2A2FF54F" w14:textId="531636A4"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McKay S.F.</w:t>
      </w:r>
      <w:r w:rsidR="00ED65C7" w:rsidRPr="00A64AF8">
        <w:rPr>
          <w:rFonts w:asciiTheme="minorHAnsi" w:hAnsiTheme="minorHAnsi" w:cstheme="minorHAnsi"/>
        </w:rPr>
        <w:t xml:space="preserve"> &amp;</w:t>
      </w:r>
      <w:r w:rsidRPr="00A64AF8">
        <w:rPr>
          <w:rFonts w:asciiTheme="minorHAnsi" w:hAnsiTheme="minorHAnsi" w:cstheme="minorHAnsi"/>
        </w:rPr>
        <w:t xml:space="preserve"> King A.J. </w:t>
      </w:r>
      <w:r w:rsidR="00A37049" w:rsidRPr="00A64AF8">
        <w:rPr>
          <w:rFonts w:asciiTheme="minorHAnsi" w:hAnsiTheme="minorHAnsi" w:cstheme="minorHAnsi"/>
        </w:rPr>
        <w:t>(</w:t>
      </w:r>
      <w:r w:rsidRPr="00A64AF8">
        <w:rPr>
          <w:rFonts w:asciiTheme="minorHAnsi" w:hAnsiTheme="minorHAnsi" w:cstheme="minorHAnsi"/>
        </w:rPr>
        <w:t>2006</w:t>
      </w:r>
      <w:r w:rsidR="00A37049" w:rsidRPr="00A64AF8">
        <w:rPr>
          <w:rFonts w:asciiTheme="minorHAnsi" w:hAnsiTheme="minorHAnsi" w:cstheme="minorHAnsi"/>
        </w:rPr>
        <w:t>)</w:t>
      </w:r>
      <w:r w:rsidRPr="00A64AF8">
        <w:rPr>
          <w:rFonts w:asciiTheme="minorHAnsi" w:hAnsiTheme="minorHAnsi" w:cstheme="minorHAnsi"/>
        </w:rPr>
        <w:t xml:space="preserve">. Potential ecological effects of water extraction in small, unregulated streams. </w:t>
      </w:r>
      <w:r w:rsidRPr="00A64AF8">
        <w:rPr>
          <w:rFonts w:asciiTheme="minorHAnsi" w:hAnsiTheme="minorHAnsi" w:cstheme="minorHAnsi"/>
          <w:i/>
        </w:rPr>
        <w:t>River Research and Applications</w:t>
      </w:r>
      <w:r w:rsidR="00E17A34" w:rsidRPr="00A64AF8">
        <w:rPr>
          <w:rFonts w:asciiTheme="minorHAnsi" w:hAnsiTheme="minorHAnsi" w:cstheme="minorHAnsi"/>
        </w:rPr>
        <w:t xml:space="preserve"> </w:t>
      </w:r>
      <w:r w:rsidRPr="00A64AF8">
        <w:rPr>
          <w:rFonts w:asciiTheme="minorHAnsi" w:hAnsiTheme="minorHAnsi" w:cstheme="minorHAnsi"/>
        </w:rPr>
        <w:t>22</w:t>
      </w:r>
      <w:r w:rsidR="00E17A34" w:rsidRPr="00A64AF8">
        <w:rPr>
          <w:rFonts w:asciiTheme="minorHAnsi" w:hAnsiTheme="minorHAnsi" w:cstheme="minorHAnsi"/>
        </w:rPr>
        <w:t>:</w:t>
      </w:r>
      <w:r w:rsidRPr="00A64AF8">
        <w:rPr>
          <w:rFonts w:asciiTheme="minorHAnsi" w:hAnsiTheme="minorHAnsi" w:cstheme="minorHAnsi"/>
        </w:rPr>
        <w:t xml:space="preserve"> 1023-1037. </w:t>
      </w:r>
    </w:p>
    <w:p w14:paraId="0CE28E53" w14:textId="70F5A7C4"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McMahon T.A.</w:t>
      </w:r>
      <w:r w:rsidR="00ED65C7" w:rsidRPr="00A64AF8">
        <w:rPr>
          <w:rFonts w:asciiTheme="minorHAnsi" w:hAnsiTheme="minorHAnsi" w:cstheme="minorHAnsi"/>
        </w:rPr>
        <w:t xml:space="preserve"> &amp;</w:t>
      </w:r>
      <w:r w:rsidRPr="00A64AF8">
        <w:rPr>
          <w:rFonts w:asciiTheme="minorHAnsi" w:hAnsiTheme="minorHAnsi" w:cstheme="minorHAnsi"/>
        </w:rPr>
        <w:t xml:space="preserve"> Finlayson B.L. </w:t>
      </w:r>
      <w:r w:rsidR="00A37049" w:rsidRPr="00A64AF8">
        <w:rPr>
          <w:rFonts w:asciiTheme="minorHAnsi" w:hAnsiTheme="minorHAnsi" w:cstheme="minorHAnsi"/>
        </w:rPr>
        <w:t>(</w:t>
      </w:r>
      <w:r w:rsidRPr="00A64AF8">
        <w:rPr>
          <w:rFonts w:asciiTheme="minorHAnsi" w:hAnsiTheme="minorHAnsi" w:cstheme="minorHAnsi"/>
        </w:rPr>
        <w:t>2003</w:t>
      </w:r>
      <w:r w:rsidR="00A37049" w:rsidRPr="00A64AF8">
        <w:rPr>
          <w:rFonts w:asciiTheme="minorHAnsi" w:hAnsiTheme="minorHAnsi" w:cstheme="minorHAnsi"/>
        </w:rPr>
        <w:t>)</w:t>
      </w:r>
      <w:r w:rsidRPr="00A64AF8">
        <w:rPr>
          <w:rFonts w:asciiTheme="minorHAnsi" w:hAnsiTheme="minorHAnsi" w:cstheme="minorHAnsi"/>
        </w:rPr>
        <w:t xml:space="preserve">. Droughts and anti-droughts: the low flow hydrology of Australian rivers. </w:t>
      </w:r>
      <w:r w:rsidRPr="00A64AF8">
        <w:rPr>
          <w:rFonts w:asciiTheme="minorHAnsi" w:hAnsiTheme="minorHAnsi" w:cstheme="minorHAnsi"/>
          <w:i/>
        </w:rPr>
        <w:t>Freshwater Biology</w:t>
      </w:r>
      <w:r w:rsidRPr="00A64AF8">
        <w:rPr>
          <w:rFonts w:asciiTheme="minorHAnsi" w:hAnsiTheme="minorHAnsi" w:cstheme="minorHAnsi"/>
        </w:rPr>
        <w:t xml:space="preserve"> 48</w:t>
      </w:r>
      <w:r w:rsidR="00E17A34" w:rsidRPr="00A64AF8">
        <w:rPr>
          <w:rFonts w:asciiTheme="minorHAnsi" w:hAnsiTheme="minorHAnsi" w:cstheme="minorHAnsi"/>
        </w:rPr>
        <w:t>:</w:t>
      </w:r>
      <w:r w:rsidRPr="00A64AF8">
        <w:rPr>
          <w:rFonts w:asciiTheme="minorHAnsi" w:hAnsiTheme="minorHAnsi" w:cstheme="minorHAnsi"/>
        </w:rPr>
        <w:t xml:space="preserve"> 1147-1160. </w:t>
      </w:r>
    </w:p>
    <w:p w14:paraId="6A7AC996" w14:textId="68A69675"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Medeiros E.S.F.</w:t>
      </w:r>
      <w:r w:rsidR="00ED65C7" w:rsidRPr="00A64AF8">
        <w:rPr>
          <w:rFonts w:asciiTheme="minorHAnsi" w:hAnsiTheme="minorHAnsi" w:cstheme="minorHAnsi"/>
        </w:rPr>
        <w:t xml:space="preserve"> &amp;</w:t>
      </w:r>
      <w:r w:rsidRPr="00A64AF8">
        <w:rPr>
          <w:rFonts w:asciiTheme="minorHAnsi" w:hAnsiTheme="minorHAnsi" w:cstheme="minorHAnsi"/>
        </w:rPr>
        <w:t xml:space="preserve"> Maltchik L. </w:t>
      </w:r>
      <w:r w:rsidR="00A37049" w:rsidRPr="00A64AF8">
        <w:rPr>
          <w:rFonts w:asciiTheme="minorHAnsi" w:hAnsiTheme="minorHAnsi" w:cstheme="minorHAnsi"/>
        </w:rPr>
        <w:t>(</w:t>
      </w:r>
      <w:r w:rsidRPr="00A64AF8">
        <w:rPr>
          <w:rFonts w:asciiTheme="minorHAnsi" w:hAnsiTheme="minorHAnsi" w:cstheme="minorHAnsi"/>
        </w:rPr>
        <w:t>1999</w:t>
      </w:r>
      <w:r w:rsidR="00A37049" w:rsidRPr="00A64AF8">
        <w:rPr>
          <w:rFonts w:asciiTheme="minorHAnsi" w:hAnsiTheme="minorHAnsi" w:cstheme="minorHAnsi"/>
        </w:rPr>
        <w:t>)</w:t>
      </w:r>
      <w:r w:rsidRPr="00A64AF8">
        <w:rPr>
          <w:rFonts w:asciiTheme="minorHAnsi" w:hAnsiTheme="minorHAnsi" w:cstheme="minorHAnsi"/>
        </w:rPr>
        <w:t xml:space="preserve">. The effects of hydrological disturbance on the intensity of infestation of Lernaea cyprinacea in an intermittent stream fish community. </w:t>
      </w:r>
      <w:r w:rsidRPr="00A64AF8">
        <w:rPr>
          <w:rFonts w:asciiTheme="minorHAnsi" w:hAnsiTheme="minorHAnsi" w:cstheme="minorHAnsi"/>
          <w:i/>
        </w:rPr>
        <w:t>Journal of Arid Environments</w:t>
      </w:r>
      <w:r w:rsidRPr="00A64AF8">
        <w:rPr>
          <w:rFonts w:asciiTheme="minorHAnsi" w:hAnsiTheme="minorHAnsi" w:cstheme="minorHAnsi"/>
        </w:rPr>
        <w:t xml:space="preserve"> 43</w:t>
      </w:r>
      <w:r w:rsidR="00E17A34" w:rsidRPr="00A64AF8">
        <w:rPr>
          <w:rFonts w:asciiTheme="minorHAnsi" w:hAnsiTheme="minorHAnsi" w:cstheme="minorHAnsi"/>
        </w:rPr>
        <w:t>:</w:t>
      </w:r>
      <w:r w:rsidRPr="00A64AF8">
        <w:rPr>
          <w:rFonts w:asciiTheme="minorHAnsi" w:hAnsiTheme="minorHAnsi" w:cstheme="minorHAnsi"/>
        </w:rPr>
        <w:t xml:space="preserve"> 351-356. </w:t>
      </w:r>
    </w:p>
    <w:p w14:paraId="03946B9E" w14:textId="0E77C540"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Metzler G.M.</w:t>
      </w:r>
      <w:r w:rsidR="00ED65C7" w:rsidRPr="00A64AF8">
        <w:rPr>
          <w:rFonts w:asciiTheme="minorHAnsi" w:hAnsiTheme="minorHAnsi" w:cstheme="minorHAnsi"/>
        </w:rPr>
        <w:t xml:space="preserve"> &amp;</w:t>
      </w:r>
      <w:r w:rsidRPr="00A64AF8">
        <w:rPr>
          <w:rFonts w:asciiTheme="minorHAnsi" w:hAnsiTheme="minorHAnsi" w:cstheme="minorHAnsi"/>
        </w:rPr>
        <w:t xml:space="preserve"> Smock L.A. </w:t>
      </w:r>
      <w:r w:rsidR="00A37049" w:rsidRPr="00A64AF8">
        <w:rPr>
          <w:rFonts w:asciiTheme="minorHAnsi" w:hAnsiTheme="minorHAnsi" w:cstheme="minorHAnsi"/>
        </w:rPr>
        <w:t>(</w:t>
      </w:r>
      <w:r w:rsidRPr="00A64AF8">
        <w:rPr>
          <w:rFonts w:asciiTheme="minorHAnsi" w:hAnsiTheme="minorHAnsi" w:cstheme="minorHAnsi"/>
        </w:rPr>
        <w:t>1990</w:t>
      </w:r>
      <w:r w:rsidR="00A37049" w:rsidRPr="00A64AF8">
        <w:rPr>
          <w:rFonts w:asciiTheme="minorHAnsi" w:hAnsiTheme="minorHAnsi" w:cstheme="minorHAnsi"/>
        </w:rPr>
        <w:t>)</w:t>
      </w:r>
      <w:r w:rsidRPr="00A64AF8">
        <w:rPr>
          <w:rFonts w:asciiTheme="minorHAnsi" w:hAnsiTheme="minorHAnsi" w:cstheme="minorHAnsi"/>
        </w:rPr>
        <w:t xml:space="preserve">. Storage and Dynamics of Subsurface Detritus in a Sand-Bottomed Stream. </w:t>
      </w:r>
      <w:r w:rsidRPr="00A64AF8">
        <w:rPr>
          <w:rFonts w:asciiTheme="minorHAnsi" w:hAnsiTheme="minorHAnsi" w:cstheme="minorHAnsi"/>
          <w:i/>
        </w:rPr>
        <w:t>Canadian Journal of Fisheries and Aquatic Sciences</w:t>
      </w:r>
      <w:r w:rsidRPr="00A64AF8">
        <w:rPr>
          <w:rFonts w:asciiTheme="minorHAnsi" w:hAnsiTheme="minorHAnsi" w:cstheme="minorHAnsi"/>
        </w:rPr>
        <w:t xml:space="preserve"> 47</w:t>
      </w:r>
      <w:r w:rsidR="00E17A34" w:rsidRPr="00A64AF8">
        <w:rPr>
          <w:rFonts w:asciiTheme="minorHAnsi" w:hAnsiTheme="minorHAnsi" w:cstheme="minorHAnsi"/>
        </w:rPr>
        <w:t>:</w:t>
      </w:r>
      <w:r w:rsidRPr="00A64AF8">
        <w:rPr>
          <w:rFonts w:asciiTheme="minorHAnsi" w:hAnsiTheme="minorHAnsi" w:cstheme="minorHAnsi"/>
        </w:rPr>
        <w:t xml:space="preserve"> 588-594. </w:t>
      </w:r>
    </w:p>
    <w:p w14:paraId="6FF143FE" w14:textId="787DBFDC"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Naaman, B., Chergui H.</w:t>
      </w:r>
      <w:r w:rsidR="00ED65C7" w:rsidRPr="00A64AF8">
        <w:rPr>
          <w:rFonts w:asciiTheme="minorHAnsi" w:hAnsiTheme="minorHAnsi" w:cstheme="minorHAnsi"/>
        </w:rPr>
        <w:t xml:space="preserve"> &amp;</w:t>
      </w:r>
      <w:r w:rsidRPr="00A64AF8">
        <w:rPr>
          <w:rFonts w:asciiTheme="minorHAnsi" w:hAnsiTheme="minorHAnsi" w:cstheme="minorHAnsi"/>
        </w:rPr>
        <w:t xml:space="preserve"> Pattee E. </w:t>
      </w:r>
      <w:r w:rsidR="00A37049" w:rsidRPr="00A64AF8">
        <w:rPr>
          <w:rFonts w:asciiTheme="minorHAnsi" w:hAnsiTheme="minorHAnsi" w:cstheme="minorHAnsi"/>
        </w:rPr>
        <w:t>(</w:t>
      </w:r>
      <w:r w:rsidRPr="00A64AF8">
        <w:rPr>
          <w:rFonts w:asciiTheme="minorHAnsi" w:hAnsiTheme="minorHAnsi" w:cstheme="minorHAnsi"/>
        </w:rPr>
        <w:t>1999</w:t>
      </w:r>
      <w:r w:rsidR="00A37049" w:rsidRPr="00A64AF8">
        <w:rPr>
          <w:rFonts w:asciiTheme="minorHAnsi" w:hAnsiTheme="minorHAnsi" w:cstheme="minorHAnsi"/>
        </w:rPr>
        <w:t>)</w:t>
      </w:r>
      <w:r w:rsidRPr="00A64AF8">
        <w:rPr>
          <w:rFonts w:asciiTheme="minorHAnsi" w:hAnsiTheme="minorHAnsi" w:cstheme="minorHAnsi"/>
        </w:rPr>
        <w:t xml:space="preserve">. The breakdown of leaves of poplar and holm oak in three Moroccan streams: Effect of burial in the sediment. </w:t>
      </w:r>
      <w:r w:rsidRPr="00A64AF8">
        <w:rPr>
          <w:rFonts w:asciiTheme="minorHAnsi" w:hAnsiTheme="minorHAnsi" w:cstheme="minorHAnsi"/>
          <w:i/>
        </w:rPr>
        <w:t>Annales de Limnologie</w:t>
      </w:r>
      <w:r w:rsidR="00E17A34" w:rsidRPr="00A64AF8">
        <w:rPr>
          <w:rFonts w:asciiTheme="minorHAnsi" w:hAnsiTheme="minorHAnsi" w:cstheme="minorHAnsi"/>
        </w:rPr>
        <w:t xml:space="preserve"> </w:t>
      </w:r>
      <w:r w:rsidRPr="00A64AF8">
        <w:rPr>
          <w:rFonts w:asciiTheme="minorHAnsi" w:hAnsiTheme="minorHAnsi" w:cstheme="minorHAnsi"/>
        </w:rPr>
        <w:t>35</w:t>
      </w:r>
      <w:r w:rsidR="00E17A34" w:rsidRPr="00A64AF8">
        <w:rPr>
          <w:rFonts w:asciiTheme="minorHAnsi" w:hAnsiTheme="minorHAnsi" w:cstheme="minorHAnsi"/>
        </w:rPr>
        <w:t>:</w:t>
      </w:r>
      <w:r w:rsidRPr="00A64AF8">
        <w:rPr>
          <w:rFonts w:asciiTheme="minorHAnsi" w:hAnsiTheme="minorHAnsi" w:cstheme="minorHAnsi"/>
        </w:rPr>
        <w:t xml:space="preserve"> 263-275. </w:t>
      </w:r>
    </w:p>
    <w:p w14:paraId="15CA5EF0" w14:textId="3E38F90C"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Perry G.L.W.</w:t>
      </w:r>
      <w:r w:rsidR="00ED65C7" w:rsidRPr="00A64AF8">
        <w:rPr>
          <w:rFonts w:asciiTheme="minorHAnsi" w:hAnsiTheme="minorHAnsi" w:cstheme="minorHAnsi"/>
        </w:rPr>
        <w:t xml:space="preserve"> &amp;</w:t>
      </w:r>
      <w:r w:rsidRPr="00A64AF8">
        <w:rPr>
          <w:rFonts w:asciiTheme="minorHAnsi" w:hAnsiTheme="minorHAnsi" w:cstheme="minorHAnsi"/>
        </w:rPr>
        <w:t xml:space="preserve"> Bond N.R. </w:t>
      </w:r>
      <w:r w:rsidR="00A37049" w:rsidRPr="00A64AF8">
        <w:rPr>
          <w:rFonts w:asciiTheme="minorHAnsi" w:hAnsiTheme="minorHAnsi" w:cstheme="minorHAnsi"/>
        </w:rPr>
        <w:t>(</w:t>
      </w:r>
      <w:r w:rsidRPr="00A64AF8">
        <w:rPr>
          <w:rFonts w:asciiTheme="minorHAnsi" w:hAnsiTheme="minorHAnsi" w:cstheme="minorHAnsi"/>
        </w:rPr>
        <w:t>2009</w:t>
      </w:r>
      <w:r w:rsidR="00A37049" w:rsidRPr="00A64AF8">
        <w:rPr>
          <w:rFonts w:asciiTheme="minorHAnsi" w:hAnsiTheme="minorHAnsi" w:cstheme="minorHAnsi"/>
        </w:rPr>
        <w:t>)</w:t>
      </w:r>
      <w:r w:rsidRPr="00A64AF8">
        <w:rPr>
          <w:rFonts w:asciiTheme="minorHAnsi" w:hAnsiTheme="minorHAnsi" w:cstheme="minorHAnsi"/>
        </w:rPr>
        <w:t xml:space="preserve">. Spatially explicit modeling of habitat dynamics and fish population persistence in an intermittent lowland stream. </w:t>
      </w:r>
      <w:r w:rsidRPr="00A64AF8">
        <w:rPr>
          <w:rFonts w:asciiTheme="minorHAnsi" w:hAnsiTheme="minorHAnsi" w:cstheme="minorHAnsi"/>
          <w:i/>
        </w:rPr>
        <w:t>Ecological Applications</w:t>
      </w:r>
      <w:r w:rsidRPr="00A64AF8">
        <w:rPr>
          <w:rFonts w:asciiTheme="minorHAnsi" w:hAnsiTheme="minorHAnsi" w:cstheme="minorHAnsi"/>
        </w:rPr>
        <w:t xml:space="preserve"> 19</w:t>
      </w:r>
      <w:r w:rsidR="00E17A34" w:rsidRPr="00A64AF8">
        <w:rPr>
          <w:rFonts w:asciiTheme="minorHAnsi" w:hAnsiTheme="minorHAnsi" w:cstheme="minorHAnsi"/>
        </w:rPr>
        <w:t>:</w:t>
      </w:r>
      <w:r w:rsidRPr="00A64AF8">
        <w:rPr>
          <w:rFonts w:asciiTheme="minorHAnsi" w:hAnsiTheme="minorHAnsi" w:cstheme="minorHAnsi"/>
        </w:rPr>
        <w:t xml:space="preserve"> 731-746. </w:t>
      </w:r>
    </w:p>
    <w:p w14:paraId="0FA8D3D0" w14:textId="2E5F5275"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Pettit N., Warfe D., Close P., Pusey B., Dobbs R., Davies C., Valdez D.</w:t>
      </w:r>
      <w:r w:rsidR="00ED65C7" w:rsidRPr="00A64AF8">
        <w:rPr>
          <w:rFonts w:asciiTheme="minorHAnsi" w:hAnsiTheme="minorHAnsi" w:cstheme="minorHAnsi"/>
        </w:rPr>
        <w:t xml:space="preserve"> &amp;</w:t>
      </w:r>
      <w:r w:rsidRPr="00A64AF8">
        <w:rPr>
          <w:rFonts w:asciiTheme="minorHAnsi" w:hAnsiTheme="minorHAnsi" w:cstheme="minorHAnsi"/>
        </w:rPr>
        <w:t xml:space="preserve"> Davies P. </w:t>
      </w:r>
      <w:r w:rsidR="00A37049" w:rsidRPr="00A64AF8">
        <w:rPr>
          <w:rFonts w:asciiTheme="minorHAnsi" w:hAnsiTheme="minorHAnsi" w:cstheme="minorHAnsi"/>
        </w:rPr>
        <w:t>(</w:t>
      </w:r>
      <w:r w:rsidRPr="00A64AF8">
        <w:rPr>
          <w:rFonts w:asciiTheme="minorHAnsi" w:hAnsiTheme="minorHAnsi" w:cstheme="minorHAnsi"/>
        </w:rPr>
        <w:t>2016</w:t>
      </w:r>
      <w:r w:rsidR="00A37049" w:rsidRPr="00A64AF8">
        <w:rPr>
          <w:rFonts w:asciiTheme="minorHAnsi" w:hAnsiTheme="minorHAnsi" w:cstheme="minorHAnsi"/>
        </w:rPr>
        <w:t>)</w:t>
      </w:r>
      <w:r w:rsidRPr="00A64AF8">
        <w:rPr>
          <w:rFonts w:asciiTheme="minorHAnsi" w:hAnsiTheme="minorHAnsi" w:cstheme="minorHAnsi"/>
        </w:rPr>
        <w:t xml:space="preserve">. Carbon sources for aquatic food webs of riverine and lacustrine tropical waterholes with variable groundwater influence. </w:t>
      </w:r>
      <w:r w:rsidRPr="00A64AF8">
        <w:rPr>
          <w:rFonts w:asciiTheme="minorHAnsi" w:hAnsiTheme="minorHAnsi" w:cstheme="minorHAnsi"/>
          <w:i/>
        </w:rPr>
        <w:t>Marine and Freshwater Research</w:t>
      </w:r>
      <w:r w:rsidRPr="00A64AF8">
        <w:rPr>
          <w:rFonts w:asciiTheme="minorHAnsi" w:hAnsiTheme="minorHAnsi" w:cstheme="minorHAnsi"/>
        </w:rPr>
        <w:t xml:space="preserve">. </w:t>
      </w:r>
    </w:p>
    <w:p w14:paraId="5AD295FF" w14:textId="699BD0FB"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Pinna M.</w:t>
      </w:r>
      <w:r w:rsidR="00ED65C7" w:rsidRPr="00A64AF8">
        <w:rPr>
          <w:rFonts w:asciiTheme="minorHAnsi" w:hAnsiTheme="minorHAnsi" w:cstheme="minorHAnsi"/>
        </w:rPr>
        <w:t xml:space="preserve"> &amp;</w:t>
      </w:r>
      <w:r w:rsidRPr="00A64AF8">
        <w:rPr>
          <w:rFonts w:asciiTheme="minorHAnsi" w:hAnsiTheme="minorHAnsi" w:cstheme="minorHAnsi"/>
        </w:rPr>
        <w:t xml:space="preserve"> Basset A. </w:t>
      </w:r>
      <w:r w:rsidR="00A37049" w:rsidRPr="00A64AF8">
        <w:rPr>
          <w:rFonts w:asciiTheme="minorHAnsi" w:hAnsiTheme="minorHAnsi" w:cstheme="minorHAnsi"/>
        </w:rPr>
        <w:t>(</w:t>
      </w:r>
      <w:r w:rsidRPr="00A64AF8">
        <w:rPr>
          <w:rFonts w:asciiTheme="minorHAnsi" w:hAnsiTheme="minorHAnsi" w:cstheme="minorHAnsi"/>
        </w:rPr>
        <w:t>2004</w:t>
      </w:r>
      <w:r w:rsidR="00A37049" w:rsidRPr="00A64AF8">
        <w:rPr>
          <w:rFonts w:asciiTheme="minorHAnsi" w:hAnsiTheme="minorHAnsi" w:cstheme="minorHAnsi"/>
        </w:rPr>
        <w:t>)</w:t>
      </w:r>
      <w:r w:rsidRPr="00A64AF8">
        <w:rPr>
          <w:rFonts w:asciiTheme="minorHAnsi" w:hAnsiTheme="minorHAnsi" w:cstheme="minorHAnsi"/>
        </w:rPr>
        <w:t xml:space="preserve">. Summer drought disturbance on plant detritus decomposition processes in three River Tirso (Sardinia, Italy) sub-basins. </w:t>
      </w:r>
      <w:r w:rsidRPr="00A64AF8">
        <w:rPr>
          <w:rFonts w:asciiTheme="minorHAnsi" w:hAnsiTheme="minorHAnsi" w:cstheme="minorHAnsi"/>
          <w:i/>
        </w:rPr>
        <w:t>Hydrobiologia</w:t>
      </w:r>
      <w:r w:rsidR="00E17A34" w:rsidRPr="00A64AF8">
        <w:rPr>
          <w:rFonts w:asciiTheme="minorHAnsi" w:hAnsiTheme="minorHAnsi" w:cstheme="minorHAnsi"/>
        </w:rPr>
        <w:t xml:space="preserve"> </w:t>
      </w:r>
      <w:r w:rsidRPr="00A64AF8">
        <w:rPr>
          <w:rFonts w:asciiTheme="minorHAnsi" w:hAnsiTheme="minorHAnsi" w:cstheme="minorHAnsi"/>
        </w:rPr>
        <w:t>522</w:t>
      </w:r>
      <w:r w:rsidR="00E17A34" w:rsidRPr="00A64AF8">
        <w:rPr>
          <w:rFonts w:asciiTheme="minorHAnsi" w:hAnsiTheme="minorHAnsi" w:cstheme="minorHAnsi"/>
        </w:rPr>
        <w:t>:</w:t>
      </w:r>
      <w:r w:rsidRPr="00A64AF8">
        <w:rPr>
          <w:rFonts w:asciiTheme="minorHAnsi" w:hAnsiTheme="minorHAnsi" w:cstheme="minorHAnsi"/>
        </w:rPr>
        <w:t xml:space="preserve"> 311-319. </w:t>
      </w:r>
    </w:p>
    <w:p w14:paraId="5BD143C2" w14:textId="1E3322E9"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lastRenderedPageBreak/>
        <w:t>Poff N.L., Allan J.D., Bain M.B., Karr J.R., Prestegaard K.L., Richter B.D., Sparks R.E.</w:t>
      </w:r>
      <w:r w:rsidR="00ED65C7" w:rsidRPr="00A64AF8">
        <w:rPr>
          <w:rFonts w:asciiTheme="minorHAnsi" w:hAnsiTheme="minorHAnsi" w:cstheme="minorHAnsi"/>
        </w:rPr>
        <w:t xml:space="preserve"> &amp;</w:t>
      </w:r>
      <w:r w:rsidRPr="00A64AF8">
        <w:rPr>
          <w:rFonts w:asciiTheme="minorHAnsi" w:hAnsiTheme="minorHAnsi" w:cstheme="minorHAnsi"/>
        </w:rPr>
        <w:t xml:space="preserve"> Stromberg J.C. </w:t>
      </w:r>
      <w:r w:rsidR="00A37049" w:rsidRPr="00A64AF8">
        <w:rPr>
          <w:rFonts w:asciiTheme="minorHAnsi" w:hAnsiTheme="minorHAnsi" w:cstheme="minorHAnsi"/>
        </w:rPr>
        <w:t>(</w:t>
      </w:r>
      <w:r w:rsidRPr="00A64AF8">
        <w:rPr>
          <w:rFonts w:asciiTheme="minorHAnsi" w:hAnsiTheme="minorHAnsi" w:cstheme="minorHAnsi"/>
        </w:rPr>
        <w:t>1997</w:t>
      </w:r>
      <w:r w:rsidR="00A37049" w:rsidRPr="00A64AF8">
        <w:rPr>
          <w:rFonts w:asciiTheme="minorHAnsi" w:hAnsiTheme="minorHAnsi" w:cstheme="minorHAnsi"/>
        </w:rPr>
        <w:t>)</w:t>
      </w:r>
      <w:r w:rsidRPr="00A64AF8">
        <w:rPr>
          <w:rFonts w:asciiTheme="minorHAnsi" w:hAnsiTheme="minorHAnsi" w:cstheme="minorHAnsi"/>
        </w:rPr>
        <w:t xml:space="preserve">. The natural flow regime: A paradigm for river conservation and restoration. </w:t>
      </w:r>
      <w:r w:rsidRPr="00A64AF8">
        <w:rPr>
          <w:rFonts w:asciiTheme="minorHAnsi" w:hAnsiTheme="minorHAnsi" w:cstheme="minorHAnsi"/>
          <w:i/>
        </w:rPr>
        <w:t>BioScience</w:t>
      </w:r>
      <w:r w:rsidRPr="00A64AF8">
        <w:rPr>
          <w:rFonts w:asciiTheme="minorHAnsi" w:hAnsiTheme="minorHAnsi" w:cstheme="minorHAnsi"/>
        </w:rPr>
        <w:t xml:space="preserve"> 47</w:t>
      </w:r>
      <w:r w:rsidR="00E17A34" w:rsidRPr="00A64AF8">
        <w:rPr>
          <w:rFonts w:asciiTheme="minorHAnsi" w:hAnsiTheme="minorHAnsi" w:cstheme="minorHAnsi"/>
        </w:rPr>
        <w:t>:</w:t>
      </w:r>
      <w:r w:rsidRPr="00A64AF8">
        <w:rPr>
          <w:rFonts w:asciiTheme="minorHAnsi" w:hAnsiTheme="minorHAnsi" w:cstheme="minorHAnsi"/>
        </w:rPr>
        <w:t xml:space="preserve"> 769-784. </w:t>
      </w:r>
    </w:p>
    <w:p w14:paraId="06214771" w14:textId="6B53B588"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Poff N.L., Richter B.D., Arthington A.H.</w:t>
      </w:r>
      <w:r w:rsidR="00ED65C7" w:rsidRPr="00A64AF8">
        <w:rPr>
          <w:rFonts w:asciiTheme="minorHAnsi" w:hAnsiTheme="minorHAnsi" w:cstheme="minorHAnsi"/>
        </w:rPr>
        <w:t xml:space="preserve"> &amp;</w:t>
      </w:r>
      <w:r w:rsidRPr="00A64AF8">
        <w:rPr>
          <w:rFonts w:asciiTheme="minorHAnsi" w:hAnsiTheme="minorHAnsi" w:cstheme="minorHAnsi"/>
        </w:rPr>
        <w:t xml:space="preserve"> Bunn S.E. </w:t>
      </w:r>
      <w:r w:rsidR="00A37049" w:rsidRPr="00A64AF8">
        <w:rPr>
          <w:rFonts w:asciiTheme="minorHAnsi" w:hAnsiTheme="minorHAnsi" w:cstheme="minorHAnsi"/>
        </w:rPr>
        <w:t>(</w:t>
      </w:r>
      <w:r w:rsidRPr="00A64AF8">
        <w:rPr>
          <w:rFonts w:asciiTheme="minorHAnsi" w:hAnsiTheme="minorHAnsi" w:cstheme="minorHAnsi"/>
        </w:rPr>
        <w:t>2010</w:t>
      </w:r>
      <w:r w:rsidR="00A37049" w:rsidRPr="00A64AF8">
        <w:rPr>
          <w:rFonts w:asciiTheme="minorHAnsi" w:hAnsiTheme="minorHAnsi" w:cstheme="minorHAnsi"/>
        </w:rPr>
        <w:t>)</w:t>
      </w:r>
      <w:r w:rsidRPr="00A64AF8">
        <w:rPr>
          <w:rFonts w:asciiTheme="minorHAnsi" w:hAnsiTheme="minorHAnsi" w:cstheme="minorHAnsi"/>
        </w:rPr>
        <w:t xml:space="preserve">. The ecological limits of hydrologic alteration (ELOHA): a new framework for developing regional environmental flow standards. </w:t>
      </w:r>
      <w:r w:rsidRPr="00A64AF8">
        <w:rPr>
          <w:rFonts w:asciiTheme="minorHAnsi" w:hAnsiTheme="minorHAnsi" w:cstheme="minorHAnsi"/>
          <w:i/>
        </w:rPr>
        <w:t>Freshwater Biology</w:t>
      </w:r>
      <w:r w:rsidRPr="00A64AF8">
        <w:rPr>
          <w:rFonts w:asciiTheme="minorHAnsi" w:hAnsiTheme="minorHAnsi" w:cstheme="minorHAnsi"/>
        </w:rPr>
        <w:t xml:space="preserve"> 55</w:t>
      </w:r>
      <w:r w:rsidR="00E17A34" w:rsidRPr="00A64AF8">
        <w:rPr>
          <w:rFonts w:asciiTheme="minorHAnsi" w:hAnsiTheme="minorHAnsi" w:cstheme="minorHAnsi"/>
        </w:rPr>
        <w:t>:</w:t>
      </w:r>
      <w:r w:rsidRPr="00A64AF8">
        <w:rPr>
          <w:rFonts w:asciiTheme="minorHAnsi" w:hAnsiTheme="minorHAnsi" w:cstheme="minorHAnsi"/>
        </w:rPr>
        <w:t xml:space="preserve"> 147-170. </w:t>
      </w:r>
    </w:p>
    <w:p w14:paraId="45BE64FC" w14:textId="1834790E"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Pozo J., Basaguren A., Elósegui A., Molinero J., Fabre E.</w:t>
      </w:r>
      <w:r w:rsidR="00ED65C7" w:rsidRPr="00A64AF8">
        <w:rPr>
          <w:rFonts w:asciiTheme="minorHAnsi" w:hAnsiTheme="minorHAnsi" w:cstheme="minorHAnsi"/>
        </w:rPr>
        <w:t xml:space="preserve"> &amp;</w:t>
      </w:r>
      <w:r w:rsidRPr="00A64AF8">
        <w:rPr>
          <w:rFonts w:asciiTheme="minorHAnsi" w:hAnsiTheme="minorHAnsi" w:cstheme="minorHAnsi"/>
        </w:rPr>
        <w:t xml:space="preserve"> Chauvet E. </w:t>
      </w:r>
      <w:r w:rsidR="00A37049" w:rsidRPr="00A64AF8">
        <w:rPr>
          <w:rFonts w:asciiTheme="minorHAnsi" w:hAnsiTheme="minorHAnsi" w:cstheme="minorHAnsi"/>
        </w:rPr>
        <w:t>(</w:t>
      </w:r>
      <w:r w:rsidRPr="00A64AF8">
        <w:rPr>
          <w:rFonts w:asciiTheme="minorHAnsi" w:hAnsiTheme="minorHAnsi" w:cstheme="minorHAnsi"/>
        </w:rPr>
        <w:t>1998</w:t>
      </w:r>
      <w:r w:rsidR="00A37049" w:rsidRPr="00A64AF8">
        <w:rPr>
          <w:rFonts w:asciiTheme="minorHAnsi" w:hAnsiTheme="minorHAnsi" w:cstheme="minorHAnsi"/>
        </w:rPr>
        <w:t>)</w:t>
      </w:r>
      <w:r w:rsidRPr="00A64AF8">
        <w:rPr>
          <w:rFonts w:asciiTheme="minorHAnsi" w:hAnsiTheme="minorHAnsi" w:cstheme="minorHAnsi"/>
        </w:rPr>
        <w:t xml:space="preserve">. Afforestation with </w:t>
      </w:r>
      <w:r w:rsidRPr="00A64AF8">
        <w:rPr>
          <w:rFonts w:asciiTheme="minorHAnsi" w:hAnsiTheme="minorHAnsi" w:cstheme="minorHAnsi"/>
          <w:i/>
        </w:rPr>
        <w:t>Eucalyptus globulus</w:t>
      </w:r>
      <w:r w:rsidRPr="00A64AF8">
        <w:rPr>
          <w:rFonts w:asciiTheme="minorHAnsi" w:hAnsiTheme="minorHAnsi" w:cstheme="minorHAnsi"/>
        </w:rPr>
        <w:t xml:space="preserve"> and leaf litter decomposition in streams of northern Spain. </w:t>
      </w:r>
      <w:r w:rsidRPr="00A64AF8">
        <w:rPr>
          <w:rFonts w:asciiTheme="minorHAnsi" w:hAnsiTheme="minorHAnsi" w:cstheme="minorHAnsi"/>
          <w:i/>
        </w:rPr>
        <w:t>Hydrobiologia</w:t>
      </w:r>
      <w:r w:rsidRPr="00A64AF8">
        <w:rPr>
          <w:rFonts w:asciiTheme="minorHAnsi" w:hAnsiTheme="minorHAnsi" w:cstheme="minorHAnsi"/>
        </w:rPr>
        <w:t xml:space="preserve"> 373-374</w:t>
      </w:r>
      <w:r w:rsidR="00E17A34" w:rsidRPr="00A64AF8">
        <w:rPr>
          <w:rFonts w:asciiTheme="minorHAnsi" w:hAnsiTheme="minorHAnsi" w:cstheme="minorHAnsi"/>
        </w:rPr>
        <w:t>:</w:t>
      </w:r>
      <w:r w:rsidRPr="00A64AF8">
        <w:rPr>
          <w:rFonts w:asciiTheme="minorHAnsi" w:hAnsiTheme="minorHAnsi" w:cstheme="minorHAnsi"/>
        </w:rPr>
        <w:t xml:space="preserve"> 101-109. </w:t>
      </w:r>
    </w:p>
    <w:p w14:paraId="3434F476" w14:textId="21CE2E52"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R Development Core Team</w:t>
      </w:r>
      <w:r w:rsidR="00ED65C7" w:rsidRPr="00A64AF8">
        <w:rPr>
          <w:rFonts w:asciiTheme="minorHAnsi" w:hAnsiTheme="minorHAnsi" w:cstheme="minorHAnsi"/>
        </w:rPr>
        <w:t>.</w:t>
      </w:r>
      <w:r w:rsidRPr="00A64AF8">
        <w:rPr>
          <w:rFonts w:asciiTheme="minorHAnsi" w:hAnsiTheme="minorHAnsi" w:cstheme="minorHAnsi"/>
        </w:rPr>
        <w:t xml:space="preserve"> </w:t>
      </w:r>
      <w:r w:rsidR="00A37049" w:rsidRPr="00A64AF8">
        <w:rPr>
          <w:rFonts w:asciiTheme="minorHAnsi" w:hAnsiTheme="minorHAnsi" w:cstheme="minorHAnsi"/>
        </w:rPr>
        <w:t>(</w:t>
      </w:r>
      <w:r w:rsidRPr="00A64AF8">
        <w:rPr>
          <w:rFonts w:asciiTheme="minorHAnsi" w:hAnsiTheme="minorHAnsi" w:cstheme="minorHAnsi"/>
        </w:rPr>
        <w:t>2011</w:t>
      </w:r>
      <w:r w:rsidR="00A37049" w:rsidRPr="00A64AF8">
        <w:rPr>
          <w:rFonts w:asciiTheme="minorHAnsi" w:hAnsiTheme="minorHAnsi" w:cstheme="minorHAnsi"/>
        </w:rPr>
        <w:t>)</w:t>
      </w:r>
      <w:r w:rsidRPr="00A64AF8">
        <w:rPr>
          <w:rFonts w:asciiTheme="minorHAnsi" w:hAnsiTheme="minorHAnsi" w:cstheme="minorHAnsi"/>
        </w:rPr>
        <w:t>. R: A langauge and environment for statistical computing. In. R Development Core Team, Vienna, Austria.</w:t>
      </w:r>
    </w:p>
    <w:p w14:paraId="6E930F55" w14:textId="3014BDBE"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 xml:space="preserve">Rasmussen J.B. </w:t>
      </w:r>
      <w:r w:rsidR="00A37049" w:rsidRPr="00A64AF8">
        <w:rPr>
          <w:rFonts w:asciiTheme="minorHAnsi" w:hAnsiTheme="minorHAnsi" w:cstheme="minorHAnsi"/>
        </w:rPr>
        <w:t>(</w:t>
      </w:r>
      <w:r w:rsidRPr="00A64AF8">
        <w:rPr>
          <w:rFonts w:asciiTheme="minorHAnsi" w:hAnsiTheme="minorHAnsi" w:cstheme="minorHAnsi"/>
        </w:rPr>
        <w:t>2010</w:t>
      </w:r>
      <w:r w:rsidR="00A37049" w:rsidRPr="00A64AF8">
        <w:rPr>
          <w:rFonts w:asciiTheme="minorHAnsi" w:hAnsiTheme="minorHAnsi" w:cstheme="minorHAnsi"/>
        </w:rPr>
        <w:t>)</w:t>
      </w:r>
      <w:r w:rsidRPr="00A64AF8">
        <w:rPr>
          <w:rFonts w:asciiTheme="minorHAnsi" w:hAnsiTheme="minorHAnsi" w:cstheme="minorHAnsi"/>
        </w:rPr>
        <w:t xml:space="preserve">. Estimating terrestrial contribution to stream invertebrates and periphyton using a gradient‐based mixing model for δ13C. </w:t>
      </w:r>
      <w:r w:rsidRPr="00A64AF8">
        <w:rPr>
          <w:rFonts w:asciiTheme="minorHAnsi" w:hAnsiTheme="minorHAnsi" w:cstheme="minorHAnsi"/>
          <w:i/>
        </w:rPr>
        <w:t>Journal of Animal Ecology</w:t>
      </w:r>
      <w:r w:rsidRPr="00A64AF8">
        <w:rPr>
          <w:rFonts w:asciiTheme="minorHAnsi" w:hAnsiTheme="minorHAnsi" w:cstheme="minorHAnsi"/>
        </w:rPr>
        <w:t xml:space="preserve"> 79</w:t>
      </w:r>
      <w:r w:rsidR="00ED65C7" w:rsidRPr="00A64AF8">
        <w:rPr>
          <w:rFonts w:asciiTheme="minorHAnsi" w:hAnsiTheme="minorHAnsi" w:cstheme="minorHAnsi"/>
        </w:rPr>
        <w:t>:</w:t>
      </w:r>
      <w:r w:rsidRPr="00A64AF8">
        <w:rPr>
          <w:rFonts w:asciiTheme="minorHAnsi" w:hAnsiTheme="minorHAnsi" w:cstheme="minorHAnsi"/>
        </w:rPr>
        <w:t xml:space="preserve"> 393-402. </w:t>
      </w:r>
    </w:p>
    <w:p w14:paraId="1AC02020" w14:textId="05CCA76F"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Raupach M.R., Briggs P.R., Haverd V., King E.A., Paget M.</w:t>
      </w:r>
      <w:r w:rsidR="00ED65C7" w:rsidRPr="00A64AF8">
        <w:rPr>
          <w:rFonts w:asciiTheme="minorHAnsi" w:hAnsiTheme="minorHAnsi" w:cstheme="minorHAnsi"/>
        </w:rPr>
        <w:t xml:space="preserve"> &amp; Trudinger C.M.</w:t>
      </w:r>
      <w:r w:rsidRPr="00A64AF8">
        <w:rPr>
          <w:rFonts w:asciiTheme="minorHAnsi" w:hAnsiTheme="minorHAnsi" w:cstheme="minorHAnsi"/>
        </w:rPr>
        <w:t xml:space="preserve"> </w:t>
      </w:r>
      <w:r w:rsidR="00A37049" w:rsidRPr="00A64AF8">
        <w:rPr>
          <w:rFonts w:asciiTheme="minorHAnsi" w:hAnsiTheme="minorHAnsi" w:cstheme="minorHAnsi"/>
        </w:rPr>
        <w:t>(</w:t>
      </w:r>
      <w:r w:rsidRPr="00A64AF8">
        <w:rPr>
          <w:rFonts w:asciiTheme="minorHAnsi" w:hAnsiTheme="minorHAnsi" w:cstheme="minorHAnsi"/>
        </w:rPr>
        <w:t>2008</w:t>
      </w:r>
      <w:r w:rsidR="00A37049" w:rsidRPr="00A64AF8">
        <w:rPr>
          <w:rFonts w:asciiTheme="minorHAnsi" w:hAnsiTheme="minorHAnsi" w:cstheme="minorHAnsi"/>
        </w:rPr>
        <w:t>)</w:t>
      </w:r>
      <w:r w:rsidRPr="00A64AF8">
        <w:rPr>
          <w:rFonts w:asciiTheme="minorHAnsi" w:hAnsiTheme="minorHAnsi" w:cstheme="minorHAnsi"/>
        </w:rPr>
        <w:t xml:space="preserve">. Australian Water Availability Project. CSIRO Marine and Atmospheric Research, Canberra, Australia. Available at: </w:t>
      </w:r>
      <w:hyperlink r:id="rId108" w:history="1">
        <w:r w:rsidRPr="00A64AF8">
          <w:rPr>
            <w:rStyle w:val="Hyperlink"/>
            <w:rFonts w:asciiTheme="minorHAnsi" w:hAnsiTheme="minorHAnsi" w:cstheme="minorHAnsi"/>
          </w:rPr>
          <w:t>www.csiro.au/awap</w:t>
        </w:r>
      </w:hyperlink>
    </w:p>
    <w:p w14:paraId="579D22FF" w14:textId="510AA5D3"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Reid D.J., Quinn G.P., Lake P.S.</w:t>
      </w:r>
      <w:r w:rsidR="00ED65C7" w:rsidRPr="00A64AF8">
        <w:rPr>
          <w:rFonts w:asciiTheme="minorHAnsi" w:hAnsiTheme="minorHAnsi" w:cstheme="minorHAnsi"/>
        </w:rPr>
        <w:t xml:space="preserve"> &amp;</w:t>
      </w:r>
      <w:r w:rsidRPr="00A64AF8">
        <w:rPr>
          <w:rFonts w:asciiTheme="minorHAnsi" w:hAnsiTheme="minorHAnsi" w:cstheme="minorHAnsi"/>
        </w:rPr>
        <w:t xml:space="preserve"> Reich P. </w:t>
      </w:r>
      <w:r w:rsidR="00A37049" w:rsidRPr="00A64AF8">
        <w:rPr>
          <w:rFonts w:asciiTheme="minorHAnsi" w:hAnsiTheme="minorHAnsi" w:cstheme="minorHAnsi"/>
        </w:rPr>
        <w:t>(</w:t>
      </w:r>
      <w:r w:rsidRPr="00A64AF8">
        <w:rPr>
          <w:rFonts w:asciiTheme="minorHAnsi" w:hAnsiTheme="minorHAnsi" w:cstheme="minorHAnsi"/>
        </w:rPr>
        <w:t>2008</w:t>
      </w:r>
      <w:r w:rsidR="00A37049" w:rsidRPr="00A64AF8">
        <w:rPr>
          <w:rFonts w:asciiTheme="minorHAnsi" w:hAnsiTheme="minorHAnsi" w:cstheme="minorHAnsi"/>
        </w:rPr>
        <w:t>)</w:t>
      </w:r>
      <w:r w:rsidRPr="00A64AF8">
        <w:rPr>
          <w:rFonts w:asciiTheme="minorHAnsi" w:hAnsiTheme="minorHAnsi" w:cstheme="minorHAnsi"/>
        </w:rPr>
        <w:t xml:space="preserve">. Terrestrial detritus supports the food webs in lowland intermittent streams of south-eastern Australia: a stable isotope study. </w:t>
      </w:r>
      <w:r w:rsidRPr="00A64AF8">
        <w:rPr>
          <w:rFonts w:asciiTheme="minorHAnsi" w:hAnsiTheme="minorHAnsi" w:cstheme="minorHAnsi"/>
          <w:i/>
        </w:rPr>
        <w:t>Freshwater Biology</w:t>
      </w:r>
      <w:r w:rsidRPr="00A64AF8">
        <w:rPr>
          <w:rFonts w:asciiTheme="minorHAnsi" w:hAnsiTheme="minorHAnsi" w:cstheme="minorHAnsi"/>
        </w:rPr>
        <w:t xml:space="preserve"> 53</w:t>
      </w:r>
      <w:r w:rsidR="00ED65C7" w:rsidRPr="00A64AF8">
        <w:rPr>
          <w:rFonts w:asciiTheme="minorHAnsi" w:hAnsiTheme="minorHAnsi" w:cstheme="minorHAnsi"/>
        </w:rPr>
        <w:t>:</w:t>
      </w:r>
      <w:r w:rsidRPr="00A64AF8">
        <w:rPr>
          <w:rFonts w:asciiTheme="minorHAnsi" w:hAnsiTheme="minorHAnsi" w:cstheme="minorHAnsi"/>
        </w:rPr>
        <w:t xml:space="preserve"> 2036-2050. </w:t>
      </w:r>
    </w:p>
    <w:p w14:paraId="42547364" w14:textId="55D1384C"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Rolls R.J., Leigh C.</w:t>
      </w:r>
      <w:r w:rsidR="00ED65C7" w:rsidRPr="00A64AF8">
        <w:rPr>
          <w:rFonts w:asciiTheme="minorHAnsi" w:hAnsiTheme="minorHAnsi" w:cstheme="minorHAnsi"/>
        </w:rPr>
        <w:t xml:space="preserve"> &amp;</w:t>
      </w:r>
      <w:r w:rsidRPr="00A64AF8">
        <w:rPr>
          <w:rFonts w:asciiTheme="minorHAnsi" w:hAnsiTheme="minorHAnsi" w:cstheme="minorHAnsi"/>
        </w:rPr>
        <w:t xml:space="preserve"> Sheldon F. </w:t>
      </w:r>
      <w:r w:rsidR="00A37049" w:rsidRPr="00A64AF8">
        <w:rPr>
          <w:rFonts w:asciiTheme="minorHAnsi" w:hAnsiTheme="minorHAnsi" w:cstheme="minorHAnsi"/>
        </w:rPr>
        <w:t>(</w:t>
      </w:r>
      <w:r w:rsidRPr="00A64AF8">
        <w:rPr>
          <w:rFonts w:asciiTheme="minorHAnsi" w:hAnsiTheme="minorHAnsi" w:cstheme="minorHAnsi"/>
        </w:rPr>
        <w:t>2012</w:t>
      </w:r>
      <w:r w:rsidR="00A37049" w:rsidRPr="00A64AF8">
        <w:rPr>
          <w:rFonts w:asciiTheme="minorHAnsi" w:hAnsiTheme="minorHAnsi" w:cstheme="minorHAnsi"/>
        </w:rPr>
        <w:t>)</w:t>
      </w:r>
      <w:r w:rsidRPr="00A64AF8">
        <w:rPr>
          <w:rFonts w:asciiTheme="minorHAnsi" w:hAnsiTheme="minorHAnsi" w:cstheme="minorHAnsi"/>
        </w:rPr>
        <w:t xml:space="preserve">. Mechanistic effects of low-flow hydrology on riverine ecosystems: ecological principles and consequences of alteration. </w:t>
      </w:r>
      <w:r w:rsidRPr="00A64AF8">
        <w:rPr>
          <w:rFonts w:asciiTheme="minorHAnsi" w:hAnsiTheme="minorHAnsi" w:cstheme="minorHAnsi"/>
          <w:i/>
        </w:rPr>
        <w:t>Freshwater Science</w:t>
      </w:r>
      <w:r w:rsidRPr="00A64AF8">
        <w:rPr>
          <w:rFonts w:asciiTheme="minorHAnsi" w:hAnsiTheme="minorHAnsi" w:cstheme="minorHAnsi"/>
        </w:rPr>
        <w:t xml:space="preserve"> 31</w:t>
      </w:r>
      <w:r w:rsidR="00ED65C7" w:rsidRPr="00A64AF8">
        <w:rPr>
          <w:rFonts w:asciiTheme="minorHAnsi" w:hAnsiTheme="minorHAnsi" w:cstheme="minorHAnsi"/>
        </w:rPr>
        <w:t>:</w:t>
      </w:r>
      <w:r w:rsidRPr="00A64AF8">
        <w:rPr>
          <w:rFonts w:asciiTheme="minorHAnsi" w:hAnsiTheme="minorHAnsi" w:cstheme="minorHAnsi"/>
        </w:rPr>
        <w:t xml:space="preserve"> 1163-1186. </w:t>
      </w:r>
    </w:p>
    <w:p w14:paraId="3CDBAC9A" w14:textId="65718888"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Rosemond A.D., Benstead J.P., Bumpers P.M., Gulis V., Kominoski J.S., Manning D.W.P., Suberkropp K.</w:t>
      </w:r>
      <w:r w:rsidR="00ED65C7" w:rsidRPr="00A64AF8">
        <w:rPr>
          <w:rFonts w:asciiTheme="minorHAnsi" w:hAnsiTheme="minorHAnsi" w:cstheme="minorHAnsi"/>
        </w:rPr>
        <w:t xml:space="preserve"> &amp;</w:t>
      </w:r>
      <w:r w:rsidRPr="00A64AF8">
        <w:rPr>
          <w:rFonts w:asciiTheme="minorHAnsi" w:hAnsiTheme="minorHAnsi" w:cstheme="minorHAnsi"/>
        </w:rPr>
        <w:t xml:space="preserve"> Wallace J.B. </w:t>
      </w:r>
      <w:r w:rsidR="00A37049" w:rsidRPr="00A64AF8">
        <w:rPr>
          <w:rFonts w:asciiTheme="minorHAnsi" w:hAnsiTheme="minorHAnsi" w:cstheme="minorHAnsi"/>
        </w:rPr>
        <w:t>(</w:t>
      </w:r>
      <w:r w:rsidRPr="00A64AF8">
        <w:rPr>
          <w:rFonts w:asciiTheme="minorHAnsi" w:hAnsiTheme="minorHAnsi" w:cstheme="minorHAnsi"/>
        </w:rPr>
        <w:t>2015</w:t>
      </w:r>
      <w:r w:rsidR="00A37049" w:rsidRPr="00A64AF8">
        <w:rPr>
          <w:rFonts w:asciiTheme="minorHAnsi" w:hAnsiTheme="minorHAnsi" w:cstheme="minorHAnsi"/>
        </w:rPr>
        <w:t>)</w:t>
      </w:r>
      <w:r w:rsidRPr="00A64AF8">
        <w:rPr>
          <w:rFonts w:asciiTheme="minorHAnsi" w:hAnsiTheme="minorHAnsi" w:cstheme="minorHAnsi"/>
        </w:rPr>
        <w:t xml:space="preserve">. Experimental nutrient additions accelerate terrestrial carbon loss from stream ecosystems. </w:t>
      </w:r>
      <w:r w:rsidRPr="00A64AF8">
        <w:rPr>
          <w:rFonts w:asciiTheme="minorHAnsi" w:hAnsiTheme="minorHAnsi" w:cstheme="minorHAnsi"/>
          <w:i/>
        </w:rPr>
        <w:t>Science</w:t>
      </w:r>
      <w:r w:rsidR="00ED65C7" w:rsidRPr="00A64AF8">
        <w:rPr>
          <w:rFonts w:asciiTheme="minorHAnsi" w:hAnsiTheme="minorHAnsi" w:cstheme="minorHAnsi"/>
        </w:rPr>
        <w:t xml:space="preserve"> 347:</w:t>
      </w:r>
      <w:r w:rsidRPr="00A64AF8">
        <w:rPr>
          <w:rFonts w:asciiTheme="minorHAnsi" w:hAnsiTheme="minorHAnsi" w:cstheme="minorHAnsi"/>
        </w:rPr>
        <w:t xml:space="preserve"> 1142-1145. </w:t>
      </w:r>
    </w:p>
    <w:p w14:paraId="527971A7" w14:textId="57D7B2A1"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Rounick J.S.</w:t>
      </w:r>
      <w:r w:rsidR="00ED65C7" w:rsidRPr="00A64AF8">
        <w:rPr>
          <w:rFonts w:asciiTheme="minorHAnsi" w:hAnsiTheme="minorHAnsi" w:cstheme="minorHAnsi"/>
        </w:rPr>
        <w:t xml:space="preserve"> &amp;</w:t>
      </w:r>
      <w:r w:rsidRPr="00A64AF8">
        <w:rPr>
          <w:rFonts w:asciiTheme="minorHAnsi" w:hAnsiTheme="minorHAnsi" w:cstheme="minorHAnsi"/>
        </w:rPr>
        <w:t xml:space="preserve"> James M.R. </w:t>
      </w:r>
      <w:r w:rsidR="00A37049" w:rsidRPr="00A64AF8">
        <w:rPr>
          <w:rFonts w:asciiTheme="minorHAnsi" w:hAnsiTheme="minorHAnsi" w:cstheme="minorHAnsi"/>
        </w:rPr>
        <w:t>(</w:t>
      </w:r>
      <w:r w:rsidRPr="00A64AF8">
        <w:rPr>
          <w:rFonts w:asciiTheme="minorHAnsi" w:hAnsiTheme="minorHAnsi" w:cstheme="minorHAnsi"/>
        </w:rPr>
        <w:t>1984</w:t>
      </w:r>
      <w:r w:rsidR="00A37049" w:rsidRPr="00A64AF8">
        <w:rPr>
          <w:rFonts w:asciiTheme="minorHAnsi" w:hAnsiTheme="minorHAnsi" w:cstheme="minorHAnsi"/>
        </w:rPr>
        <w:t>)</w:t>
      </w:r>
      <w:r w:rsidRPr="00A64AF8">
        <w:rPr>
          <w:rFonts w:asciiTheme="minorHAnsi" w:hAnsiTheme="minorHAnsi" w:cstheme="minorHAnsi"/>
        </w:rPr>
        <w:t xml:space="preserve">. Geothermal and cold springs faunas: Inorganic carbon sources affect isotope values. </w:t>
      </w:r>
      <w:r w:rsidRPr="00A64AF8">
        <w:rPr>
          <w:rFonts w:asciiTheme="minorHAnsi" w:hAnsiTheme="minorHAnsi" w:cstheme="minorHAnsi"/>
          <w:i/>
        </w:rPr>
        <w:t>Limnology and Oceanography</w:t>
      </w:r>
      <w:r w:rsidRPr="00A64AF8">
        <w:rPr>
          <w:rFonts w:asciiTheme="minorHAnsi" w:hAnsiTheme="minorHAnsi" w:cstheme="minorHAnsi"/>
        </w:rPr>
        <w:t xml:space="preserve"> 29</w:t>
      </w:r>
      <w:r w:rsidR="00ED65C7" w:rsidRPr="00A64AF8">
        <w:rPr>
          <w:rFonts w:asciiTheme="minorHAnsi" w:hAnsiTheme="minorHAnsi" w:cstheme="minorHAnsi"/>
        </w:rPr>
        <w:t>:</w:t>
      </w:r>
      <w:r w:rsidRPr="00A64AF8">
        <w:rPr>
          <w:rFonts w:asciiTheme="minorHAnsi" w:hAnsiTheme="minorHAnsi" w:cstheme="minorHAnsi"/>
        </w:rPr>
        <w:t xml:space="preserve"> 386-389. </w:t>
      </w:r>
    </w:p>
    <w:p w14:paraId="1809E81D" w14:textId="1547052C"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Sabo J.L., Finlay J.C., Kennedy T.</w:t>
      </w:r>
      <w:r w:rsidR="00ED65C7" w:rsidRPr="00A64AF8">
        <w:rPr>
          <w:rFonts w:asciiTheme="minorHAnsi" w:hAnsiTheme="minorHAnsi" w:cstheme="minorHAnsi"/>
        </w:rPr>
        <w:t xml:space="preserve"> &amp;</w:t>
      </w:r>
      <w:r w:rsidRPr="00A64AF8">
        <w:rPr>
          <w:rFonts w:asciiTheme="minorHAnsi" w:hAnsiTheme="minorHAnsi" w:cstheme="minorHAnsi"/>
        </w:rPr>
        <w:t xml:space="preserve"> Post D.M. </w:t>
      </w:r>
      <w:r w:rsidR="00A37049" w:rsidRPr="00A64AF8">
        <w:rPr>
          <w:rFonts w:asciiTheme="minorHAnsi" w:hAnsiTheme="minorHAnsi" w:cstheme="minorHAnsi"/>
        </w:rPr>
        <w:t>(</w:t>
      </w:r>
      <w:r w:rsidRPr="00A64AF8">
        <w:rPr>
          <w:rFonts w:asciiTheme="minorHAnsi" w:hAnsiTheme="minorHAnsi" w:cstheme="minorHAnsi"/>
        </w:rPr>
        <w:t>2010</w:t>
      </w:r>
      <w:r w:rsidR="00A37049" w:rsidRPr="00A64AF8">
        <w:rPr>
          <w:rFonts w:asciiTheme="minorHAnsi" w:hAnsiTheme="minorHAnsi" w:cstheme="minorHAnsi"/>
        </w:rPr>
        <w:t>)</w:t>
      </w:r>
      <w:r w:rsidRPr="00A64AF8">
        <w:rPr>
          <w:rFonts w:asciiTheme="minorHAnsi" w:hAnsiTheme="minorHAnsi" w:cstheme="minorHAnsi"/>
        </w:rPr>
        <w:t xml:space="preserve">. The role of discharge variation in scaling of drainage area and food chain length in rivers. </w:t>
      </w:r>
      <w:r w:rsidRPr="00A64AF8">
        <w:rPr>
          <w:rFonts w:asciiTheme="minorHAnsi" w:hAnsiTheme="minorHAnsi" w:cstheme="minorHAnsi"/>
          <w:i/>
        </w:rPr>
        <w:t>Science</w:t>
      </w:r>
      <w:r w:rsidRPr="00A64AF8">
        <w:rPr>
          <w:rFonts w:asciiTheme="minorHAnsi" w:hAnsiTheme="minorHAnsi" w:cstheme="minorHAnsi"/>
        </w:rPr>
        <w:t xml:space="preserve"> 330</w:t>
      </w:r>
      <w:r w:rsidR="00ED65C7" w:rsidRPr="00A64AF8">
        <w:rPr>
          <w:rFonts w:asciiTheme="minorHAnsi" w:hAnsiTheme="minorHAnsi" w:cstheme="minorHAnsi"/>
        </w:rPr>
        <w:t>:</w:t>
      </w:r>
      <w:r w:rsidRPr="00A64AF8">
        <w:rPr>
          <w:rFonts w:asciiTheme="minorHAnsi" w:hAnsiTheme="minorHAnsi" w:cstheme="minorHAnsi"/>
        </w:rPr>
        <w:t xml:space="preserve"> 965-967. </w:t>
      </w:r>
    </w:p>
    <w:p w14:paraId="4F1A6F36" w14:textId="609E17E3"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Sheldon F</w:t>
      </w:r>
      <w:r w:rsidR="00ED65C7" w:rsidRPr="00A64AF8">
        <w:rPr>
          <w:rFonts w:asciiTheme="minorHAnsi" w:hAnsiTheme="minorHAnsi" w:cstheme="minorHAnsi"/>
        </w:rPr>
        <w:t>.</w:t>
      </w:r>
      <w:r w:rsidRPr="00A64AF8">
        <w:rPr>
          <w:rFonts w:asciiTheme="minorHAnsi" w:hAnsiTheme="minorHAnsi" w:cstheme="minorHAnsi"/>
        </w:rPr>
        <w:t xml:space="preserve"> </w:t>
      </w:r>
      <w:r w:rsidR="00A37049" w:rsidRPr="00A64AF8">
        <w:rPr>
          <w:rFonts w:asciiTheme="minorHAnsi" w:hAnsiTheme="minorHAnsi" w:cstheme="minorHAnsi"/>
        </w:rPr>
        <w:t>(2</w:t>
      </w:r>
      <w:r w:rsidRPr="00A64AF8">
        <w:rPr>
          <w:rFonts w:asciiTheme="minorHAnsi" w:hAnsiTheme="minorHAnsi" w:cstheme="minorHAnsi"/>
        </w:rPr>
        <w:t>005</w:t>
      </w:r>
      <w:r w:rsidR="00A37049" w:rsidRPr="00A64AF8">
        <w:rPr>
          <w:rFonts w:asciiTheme="minorHAnsi" w:hAnsiTheme="minorHAnsi" w:cstheme="minorHAnsi"/>
        </w:rPr>
        <w:t>)</w:t>
      </w:r>
      <w:r w:rsidRPr="00A64AF8">
        <w:rPr>
          <w:rFonts w:asciiTheme="minorHAnsi" w:hAnsiTheme="minorHAnsi" w:cstheme="minorHAnsi"/>
        </w:rPr>
        <w:t xml:space="preserve">. Incorporating Natural Variability into the Assessment of Ecological Health in Australian Dryland Rivers. </w:t>
      </w:r>
      <w:r w:rsidRPr="00A64AF8">
        <w:rPr>
          <w:rFonts w:asciiTheme="minorHAnsi" w:hAnsiTheme="minorHAnsi" w:cstheme="minorHAnsi"/>
          <w:i/>
        </w:rPr>
        <w:t>Hydrobiologia</w:t>
      </w:r>
      <w:r w:rsidRPr="00A64AF8">
        <w:rPr>
          <w:rFonts w:asciiTheme="minorHAnsi" w:hAnsiTheme="minorHAnsi" w:cstheme="minorHAnsi"/>
        </w:rPr>
        <w:t xml:space="preserve"> 552</w:t>
      </w:r>
      <w:r w:rsidR="00ED65C7" w:rsidRPr="00A64AF8">
        <w:rPr>
          <w:rFonts w:asciiTheme="minorHAnsi" w:hAnsiTheme="minorHAnsi" w:cstheme="minorHAnsi"/>
        </w:rPr>
        <w:t>:</w:t>
      </w:r>
      <w:r w:rsidRPr="00A64AF8">
        <w:rPr>
          <w:rFonts w:asciiTheme="minorHAnsi" w:hAnsiTheme="minorHAnsi" w:cstheme="minorHAnsi"/>
        </w:rPr>
        <w:t xml:space="preserve"> 45-56. </w:t>
      </w:r>
    </w:p>
    <w:p w14:paraId="442939D1" w14:textId="7392DD89"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Stein J.L., Stein J.A.</w:t>
      </w:r>
      <w:r w:rsidR="00ED65C7" w:rsidRPr="00A64AF8">
        <w:rPr>
          <w:rFonts w:asciiTheme="minorHAnsi" w:hAnsiTheme="minorHAnsi" w:cstheme="minorHAnsi"/>
        </w:rPr>
        <w:t xml:space="preserve"> &amp;</w:t>
      </w:r>
      <w:r w:rsidRPr="00A64AF8">
        <w:rPr>
          <w:rFonts w:asciiTheme="minorHAnsi" w:hAnsiTheme="minorHAnsi" w:cstheme="minorHAnsi"/>
        </w:rPr>
        <w:t xml:space="preserve"> Nix H.A. </w:t>
      </w:r>
      <w:r w:rsidR="00A37049" w:rsidRPr="00A64AF8">
        <w:rPr>
          <w:rFonts w:asciiTheme="minorHAnsi" w:hAnsiTheme="minorHAnsi" w:cstheme="minorHAnsi"/>
        </w:rPr>
        <w:t>(</w:t>
      </w:r>
      <w:r w:rsidRPr="00A64AF8">
        <w:rPr>
          <w:rFonts w:asciiTheme="minorHAnsi" w:hAnsiTheme="minorHAnsi" w:cstheme="minorHAnsi"/>
        </w:rPr>
        <w:t>2002</w:t>
      </w:r>
      <w:r w:rsidR="00A37049" w:rsidRPr="00A64AF8">
        <w:rPr>
          <w:rFonts w:asciiTheme="minorHAnsi" w:hAnsiTheme="minorHAnsi" w:cstheme="minorHAnsi"/>
        </w:rPr>
        <w:t>)</w:t>
      </w:r>
      <w:r w:rsidRPr="00A64AF8">
        <w:rPr>
          <w:rFonts w:asciiTheme="minorHAnsi" w:hAnsiTheme="minorHAnsi" w:cstheme="minorHAnsi"/>
        </w:rPr>
        <w:t xml:space="preserve">. Spatial analysis of anthropogenic river disturbance at regional and continental scales: identifying the wild rivers of Australia. </w:t>
      </w:r>
      <w:r w:rsidRPr="00A64AF8">
        <w:rPr>
          <w:rFonts w:asciiTheme="minorHAnsi" w:hAnsiTheme="minorHAnsi" w:cstheme="minorHAnsi"/>
          <w:i/>
        </w:rPr>
        <w:t>Landscape and Urban Planning</w:t>
      </w:r>
      <w:r w:rsidRPr="00A64AF8">
        <w:rPr>
          <w:rFonts w:asciiTheme="minorHAnsi" w:hAnsiTheme="minorHAnsi" w:cstheme="minorHAnsi"/>
        </w:rPr>
        <w:t xml:space="preserve"> 60</w:t>
      </w:r>
      <w:r w:rsidR="00ED65C7" w:rsidRPr="00A64AF8">
        <w:rPr>
          <w:rFonts w:asciiTheme="minorHAnsi" w:hAnsiTheme="minorHAnsi" w:cstheme="minorHAnsi"/>
        </w:rPr>
        <w:t>:</w:t>
      </w:r>
      <w:r w:rsidRPr="00A64AF8">
        <w:rPr>
          <w:rFonts w:asciiTheme="minorHAnsi" w:hAnsiTheme="minorHAnsi" w:cstheme="minorHAnsi"/>
        </w:rPr>
        <w:t xml:space="preserve"> 1-25. </w:t>
      </w:r>
    </w:p>
    <w:p w14:paraId="7C9BE089" w14:textId="0FC5A617"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Stein J.L., Hutchinson M.F.</w:t>
      </w:r>
      <w:r w:rsidR="00ED65C7" w:rsidRPr="00A64AF8">
        <w:rPr>
          <w:rFonts w:asciiTheme="minorHAnsi" w:hAnsiTheme="minorHAnsi" w:cstheme="minorHAnsi"/>
        </w:rPr>
        <w:t xml:space="preserve"> &amp;</w:t>
      </w:r>
      <w:r w:rsidRPr="00A64AF8">
        <w:rPr>
          <w:rFonts w:asciiTheme="minorHAnsi" w:hAnsiTheme="minorHAnsi" w:cstheme="minorHAnsi"/>
        </w:rPr>
        <w:t xml:space="preserve"> Stein J.A. </w:t>
      </w:r>
      <w:r w:rsidR="00A37049" w:rsidRPr="00A64AF8">
        <w:rPr>
          <w:rFonts w:asciiTheme="minorHAnsi" w:hAnsiTheme="minorHAnsi" w:cstheme="minorHAnsi"/>
        </w:rPr>
        <w:t>(</w:t>
      </w:r>
      <w:r w:rsidRPr="00A64AF8">
        <w:rPr>
          <w:rFonts w:asciiTheme="minorHAnsi" w:hAnsiTheme="minorHAnsi" w:cstheme="minorHAnsi"/>
        </w:rPr>
        <w:t>2014</w:t>
      </w:r>
      <w:r w:rsidR="00A37049" w:rsidRPr="00A64AF8">
        <w:rPr>
          <w:rFonts w:asciiTheme="minorHAnsi" w:hAnsiTheme="minorHAnsi" w:cstheme="minorHAnsi"/>
        </w:rPr>
        <w:t>)</w:t>
      </w:r>
      <w:r w:rsidRPr="00A64AF8">
        <w:rPr>
          <w:rFonts w:asciiTheme="minorHAnsi" w:hAnsiTheme="minorHAnsi" w:cstheme="minorHAnsi"/>
        </w:rPr>
        <w:t xml:space="preserve">. A new stream and nested catchment framework for Australia. </w:t>
      </w:r>
      <w:r w:rsidRPr="00A64AF8">
        <w:rPr>
          <w:rFonts w:asciiTheme="minorHAnsi" w:hAnsiTheme="minorHAnsi" w:cstheme="minorHAnsi"/>
          <w:i/>
        </w:rPr>
        <w:t>Hydrology and Earth System Sciences</w:t>
      </w:r>
      <w:r w:rsidRPr="00A64AF8">
        <w:rPr>
          <w:rFonts w:asciiTheme="minorHAnsi" w:hAnsiTheme="minorHAnsi" w:cstheme="minorHAnsi"/>
        </w:rPr>
        <w:t xml:space="preserve"> 18</w:t>
      </w:r>
      <w:r w:rsidR="00ED65C7" w:rsidRPr="00A64AF8">
        <w:rPr>
          <w:rFonts w:asciiTheme="minorHAnsi" w:hAnsiTheme="minorHAnsi" w:cstheme="minorHAnsi"/>
        </w:rPr>
        <w:t>:</w:t>
      </w:r>
      <w:r w:rsidRPr="00A64AF8">
        <w:rPr>
          <w:rFonts w:asciiTheme="minorHAnsi" w:hAnsiTheme="minorHAnsi" w:cstheme="minorHAnsi"/>
        </w:rPr>
        <w:t xml:space="preserve"> 1917-1933. </w:t>
      </w:r>
    </w:p>
    <w:p w14:paraId="0301F144" w14:textId="723913CF"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Steinman A.D., Lamberti G.A.</w:t>
      </w:r>
      <w:r w:rsidR="00ED65C7" w:rsidRPr="00A64AF8">
        <w:rPr>
          <w:rFonts w:asciiTheme="minorHAnsi" w:hAnsiTheme="minorHAnsi" w:cstheme="minorHAnsi"/>
        </w:rPr>
        <w:t xml:space="preserve"> &amp;</w:t>
      </w:r>
      <w:r w:rsidRPr="00A64AF8">
        <w:rPr>
          <w:rFonts w:asciiTheme="minorHAnsi" w:hAnsiTheme="minorHAnsi" w:cstheme="minorHAnsi"/>
        </w:rPr>
        <w:t xml:space="preserve"> Leavitt P.R. </w:t>
      </w:r>
      <w:r w:rsidR="00A37049" w:rsidRPr="00A64AF8">
        <w:rPr>
          <w:rFonts w:asciiTheme="minorHAnsi" w:hAnsiTheme="minorHAnsi" w:cstheme="minorHAnsi"/>
        </w:rPr>
        <w:t>(</w:t>
      </w:r>
      <w:r w:rsidRPr="00A64AF8">
        <w:rPr>
          <w:rFonts w:asciiTheme="minorHAnsi" w:hAnsiTheme="minorHAnsi" w:cstheme="minorHAnsi"/>
        </w:rPr>
        <w:t>2006</w:t>
      </w:r>
      <w:r w:rsidR="00A37049" w:rsidRPr="00A64AF8">
        <w:rPr>
          <w:rFonts w:asciiTheme="minorHAnsi" w:hAnsiTheme="minorHAnsi" w:cstheme="minorHAnsi"/>
        </w:rPr>
        <w:t>)</w:t>
      </w:r>
      <w:r w:rsidRPr="00A64AF8">
        <w:rPr>
          <w:rFonts w:asciiTheme="minorHAnsi" w:hAnsiTheme="minorHAnsi" w:cstheme="minorHAnsi"/>
        </w:rPr>
        <w:t>. Biomass and Pigments of Benthic Algae. In: Hauer, F.R., Lamberti, G.A. (Eds.), Methods in Stream Ecology. Academic Press, pp. 357-379.</w:t>
      </w:r>
    </w:p>
    <w:p w14:paraId="7C917D2A" w14:textId="0155ECA4"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Suberkropp K.</w:t>
      </w:r>
      <w:r w:rsidR="00ED65C7" w:rsidRPr="00A64AF8">
        <w:rPr>
          <w:rFonts w:asciiTheme="minorHAnsi" w:hAnsiTheme="minorHAnsi" w:cstheme="minorHAnsi"/>
        </w:rPr>
        <w:t xml:space="preserve"> &amp;</w:t>
      </w:r>
      <w:r w:rsidRPr="00A64AF8">
        <w:rPr>
          <w:rFonts w:asciiTheme="minorHAnsi" w:hAnsiTheme="minorHAnsi" w:cstheme="minorHAnsi"/>
        </w:rPr>
        <w:t xml:space="preserve"> Klug M.J. </w:t>
      </w:r>
      <w:r w:rsidR="00A37049" w:rsidRPr="00A64AF8">
        <w:rPr>
          <w:rFonts w:asciiTheme="minorHAnsi" w:hAnsiTheme="minorHAnsi" w:cstheme="minorHAnsi"/>
        </w:rPr>
        <w:t>(</w:t>
      </w:r>
      <w:r w:rsidRPr="00A64AF8">
        <w:rPr>
          <w:rFonts w:asciiTheme="minorHAnsi" w:hAnsiTheme="minorHAnsi" w:cstheme="minorHAnsi"/>
        </w:rPr>
        <w:t>1976</w:t>
      </w:r>
      <w:r w:rsidR="00A37049" w:rsidRPr="00A64AF8">
        <w:rPr>
          <w:rFonts w:asciiTheme="minorHAnsi" w:hAnsiTheme="minorHAnsi" w:cstheme="minorHAnsi"/>
        </w:rPr>
        <w:t>)</w:t>
      </w:r>
      <w:r w:rsidRPr="00A64AF8">
        <w:rPr>
          <w:rFonts w:asciiTheme="minorHAnsi" w:hAnsiTheme="minorHAnsi" w:cstheme="minorHAnsi"/>
        </w:rPr>
        <w:t xml:space="preserve">. Fungi and bacteria associated with leaves during processing in a woodland stream. </w:t>
      </w:r>
      <w:r w:rsidRPr="00A64AF8">
        <w:rPr>
          <w:rFonts w:asciiTheme="minorHAnsi" w:hAnsiTheme="minorHAnsi" w:cstheme="minorHAnsi"/>
          <w:i/>
        </w:rPr>
        <w:t>Ecology</w:t>
      </w:r>
      <w:r w:rsidRPr="00A64AF8">
        <w:rPr>
          <w:rFonts w:asciiTheme="minorHAnsi" w:hAnsiTheme="minorHAnsi" w:cstheme="minorHAnsi"/>
        </w:rPr>
        <w:t xml:space="preserve"> 57</w:t>
      </w:r>
      <w:r w:rsidR="00ED65C7" w:rsidRPr="00A64AF8">
        <w:rPr>
          <w:rFonts w:asciiTheme="minorHAnsi" w:hAnsiTheme="minorHAnsi" w:cstheme="minorHAnsi"/>
        </w:rPr>
        <w:t>:</w:t>
      </w:r>
      <w:r w:rsidRPr="00A64AF8">
        <w:rPr>
          <w:rFonts w:asciiTheme="minorHAnsi" w:hAnsiTheme="minorHAnsi" w:cstheme="minorHAnsi"/>
        </w:rPr>
        <w:t xml:space="preserve"> 707-719. </w:t>
      </w:r>
    </w:p>
    <w:p w14:paraId="747BAEB1" w14:textId="03A81262"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Tall L., Cattaneo A., Cloutier L., Dray S.</w:t>
      </w:r>
      <w:r w:rsidR="00ED65C7" w:rsidRPr="00A64AF8">
        <w:rPr>
          <w:rFonts w:asciiTheme="minorHAnsi" w:hAnsiTheme="minorHAnsi" w:cstheme="minorHAnsi"/>
        </w:rPr>
        <w:t xml:space="preserve"> &amp;</w:t>
      </w:r>
      <w:r w:rsidRPr="00A64AF8">
        <w:rPr>
          <w:rFonts w:asciiTheme="minorHAnsi" w:hAnsiTheme="minorHAnsi" w:cstheme="minorHAnsi"/>
        </w:rPr>
        <w:t xml:space="preserve"> Legendre P. </w:t>
      </w:r>
      <w:r w:rsidR="00A37049" w:rsidRPr="00A64AF8">
        <w:rPr>
          <w:rFonts w:asciiTheme="minorHAnsi" w:hAnsiTheme="minorHAnsi" w:cstheme="minorHAnsi"/>
        </w:rPr>
        <w:t>(</w:t>
      </w:r>
      <w:r w:rsidRPr="00A64AF8">
        <w:rPr>
          <w:rFonts w:asciiTheme="minorHAnsi" w:hAnsiTheme="minorHAnsi" w:cstheme="minorHAnsi"/>
        </w:rPr>
        <w:t>2006</w:t>
      </w:r>
      <w:r w:rsidR="00A37049" w:rsidRPr="00A64AF8">
        <w:rPr>
          <w:rFonts w:asciiTheme="minorHAnsi" w:hAnsiTheme="minorHAnsi" w:cstheme="minorHAnsi"/>
        </w:rPr>
        <w:t>)</w:t>
      </w:r>
      <w:r w:rsidRPr="00A64AF8">
        <w:rPr>
          <w:rFonts w:asciiTheme="minorHAnsi" w:hAnsiTheme="minorHAnsi" w:cstheme="minorHAnsi"/>
        </w:rPr>
        <w:t xml:space="preserve">. Resource partitioning in a grazer guild feeding on a multilayer diatom mat. </w:t>
      </w:r>
      <w:r w:rsidRPr="00A64AF8">
        <w:rPr>
          <w:rFonts w:asciiTheme="minorHAnsi" w:hAnsiTheme="minorHAnsi" w:cstheme="minorHAnsi"/>
          <w:i/>
        </w:rPr>
        <w:t>Journal of the North American Benthological Society</w:t>
      </w:r>
      <w:r w:rsidRPr="00A64AF8">
        <w:rPr>
          <w:rFonts w:asciiTheme="minorHAnsi" w:hAnsiTheme="minorHAnsi" w:cstheme="minorHAnsi"/>
        </w:rPr>
        <w:t xml:space="preserve"> 25</w:t>
      </w:r>
      <w:r w:rsidR="00ED65C7" w:rsidRPr="00A64AF8">
        <w:rPr>
          <w:rFonts w:asciiTheme="minorHAnsi" w:hAnsiTheme="minorHAnsi" w:cstheme="minorHAnsi"/>
        </w:rPr>
        <w:t>:</w:t>
      </w:r>
      <w:r w:rsidRPr="00A64AF8">
        <w:rPr>
          <w:rFonts w:asciiTheme="minorHAnsi" w:hAnsiTheme="minorHAnsi" w:cstheme="minorHAnsi"/>
        </w:rPr>
        <w:t xml:space="preserve"> 800-810. </w:t>
      </w:r>
    </w:p>
    <w:p w14:paraId="47E9A593" w14:textId="61D5F10C"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 xml:space="preserve">Tallaksen L.M. </w:t>
      </w:r>
      <w:r w:rsidR="00A37049" w:rsidRPr="00A64AF8">
        <w:rPr>
          <w:rFonts w:asciiTheme="minorHAnsi" w:hAnsiTheme="minorHAnsi" w:cstheme="minorHAnsi"/>
        </w:rPr>
        <w:t>(</w:t>
      </w:r>
      <w:r w:rsidRPr="00A64AF8">
        <w:rPr>
          <w:rFonts w:asciiTheme="minorHAnsi" w:hAnsiTheme="minorHAnsi" w:cstheme="minorHAnsi"/>
        </w:rPr>
        <w:t>1995</w:t>
      </w:r>
      <w:r w:rsidR="00A37049" w:rsidRPr="00A64AF8">
        <w:rPr>
          <w:rFonts w:asciiTheme="minorHAnsi" w:hAnsiTheme="minorHAnsi" w:cstheme="minorHAnsi"/>
        </w:rPr>
        <w:t>)</w:t>
      </w:r>
      <w:r w:rsidRPr="00A64AF8">
        <w:rPr>
          <w:rFonts w:asciiTheme="minorHAnsi" w:hAnsiTheme="minorHAnsi" w:cstheme="minorHAnsi"/>
        </w:rPr>
        <w:t xml:space="preserve">. A review of baseflow recession analysis. </w:t>
      </w:r>
      <w:r w:rsidRPr="00A64AF8">
        <w:rPr>
          <w:rFonts w:asciiTheme="minorHAnsi" w:hAnsiTheme="minorHAnsi" w:cstheme="minorHAnsi"/>
          <w:i/>
        </w:rPr>
        <w:t>Journal of Hydrology</w:t>
      </w:r>
      <w:r w:rsidRPr="00A64AF8">
        <w:rPr>
          <w:rFonts w:asciiTheme="minorHAnsi" w:hAnsiTheme="minorHAnsi" w:cstheme="minorHAnsi"/>
        </w:rPr>
        <w:t xml:space="preserve"> 165</w:t>
      </w:r>
      <w:r w:rsidR="00ED65C7" w:rsidRPr="00A64AF8">
        <w:rPr>
          <w:rFonts w:asciiTheme="minorHAnsi" w:hAnsiTheme="minorHAnsi" w:cstheme="minorHAnsi"/>
        </w:rPr>
        <w:t>:</w:t>
      </w:r>
      <w:r w:rsidRPr="00A64AF8">
        <w:rPr>
          <w:rFonts w:asciiTheme="minorHAnsi" w:hAnsiTheme="minorHAnsi" w:cstheme="minorHAnsi"/>
        </w:rPr>
        <w:t xml:space="preserve"> 349-370. </w:t>
      </w:r>
    </w:p>
    <w:p w14:paraId="6981DA2E" w14:textId="775AABF6"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Thompson R.M., Brose U., Dunne J.A., Hall Jr R.O., Hladyz S., Kitching R.L., Martinez N.D., Rantala H., Romanuk T.N., Stouffer D.B.</w:t>
      </w:r>
      <w:r w:rsidR="00ED65C7" w:rsidRPr="00A64AF8">
        <w:rPr>
          <w:rFonts w:asciiTheme="minorHAnsi" w:hAnsiTheme="minorHAnsi" w:cstheme="minorHAnsi"/>
        </w:rPr>
        <w:t xml:space="preserve"> &amp;</w:t>
      </w:r>
      <w:r w:rsidRPr="00A64AF8">
        <w:rPr>
          <w:rFonts w:asciiTheme="minorHAnsi" w:hAnsiTheme="minorHAnsi" w:cstheme="minorHAnsi"/>
        </w:rPr>
        <w:t xml:space="preserve"> Tylianakis J.M. </w:t>
      </w:r>
      <w:r w:rsidR="00A37049" w:rsidRPr="00A64AF8">
        <w:rPr>
          <w:rFonts w:asciiTheme="minorHAnsi" w:hAnsiTheme="minorHAnsi" w:cstheme="minorHAnsi"/>
        </w:rPr>
        <w:t>(</w:t>
      </w:r>
      <w:r w:rsidRPr="00A64AF8">
        <w:rPr>
          <w:rFonts w:asciiTheme="minorHAnsi" w:hAnsiTheme="minorHAnsi" w:cstheme="minorHAnsi"/>
        </w:rPr>
        <w:t>2012</w:t>
      </w:r>
      <w:r w:rsidR="00A37049" w:rsidRPr="00A64AF8">
        <w:rPr>
          <w:rFonts w:asciiTheme="minorHAnsi" w:hAnsiTheme="minorHAnsi" w:cstheme="minorHAnsi"/>
        </w:rPr>
        <w:t>)</w:t>
      </w:r>
      <w:r w:rsidRPr="00A64AF8">
        <w:rPr>
          <w:rFonts w:asciiTheme="minorHAnsi" w:hAnsiTheme="minorHAnsi" w:cstheme="minorHAnsi"/>
        </w:rPr>
        <w:t xml:space="preserve">. Food webs: reconciling the structure and function of biodiversity. </w:t>
      </w:r>
      <w:r w:rsidRPr="00A64AF8">
        <w:rPr>
          <w:rFonts w:asciiTheme="minorHAnsi" w:hAnsiTheme="minorHAnsi" w:cstheme="minorHAnsi"/>
          <w:i/>
        </w:rPr>
        <w:t>Trends in Ecology &amp; Evolution</w:t>
      </w:r>
      <w:r w:rsidR="00ED65C7" w:rsidRPr="00A64AF8">
        <w:rPr>
          <w:rFonts w:asciiTheme="minorHAnsi" w:hAnsiTheme="minorHAnsi" w:cstheme="minorHAnsi"/>
        </w:rPr>
        <w:t xml:space="preserve"> 27:</w:t>
      </w:r>
      <w:r w:rsidRPr="00A64AF8">
        <w:rPr>
          <w:rFonts w:asciiTheme="minorHAnsi" w:hAnsiTheme="minorHAnsi" w:cstheme="minorHAnsi"/>
        </w:rPr>
        <w:t xml:space="preserve"> 689-697. </w:t>
      </w:r>
    </w:p>
    <w:p w14:paraId="359C187D" w14:textId="70F80536"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Vannote R.L., Minshall G.W., Cummins K.W., Sedell J.R.</w:t>
      </w:r>
      <w:r w:rsidR="00ED65C7" w:rsidRPr="00A64AF8">
        <w:rPr>
          <w:rFonts w:asciiTheme="minorHAnsi" w:hAnsiTheme="minorHAnsi" w:cstheme="minorHAnsi"/>
        </w:rPr>
        <w:t xml:space="preserve"> &amp;</w:t>
      </w:r>
      <w:r w:rsidRPr="00A64AF8">
        <w:rPr>
          <w:rFonts w:asciiTheme="minorHAnsi" w:hAnsiTheme="minorHAnsi" w:cstheme="minorHAnsi"/>
        </w:rPr>
        <w:t xml:space="preserve"> Cushing C.E. </w:t>
      </w:r>
      <w:r w:rsidR="00A37049" w:rsidRPr="00A64AF8">
        <w:rPr>
          <w:rFonts w:asciiTheme="minorHAnsi" w:hAnsiTheme="minorHAnsi" w:cstheme="minorHAnsi"/>
        </w:rPr>
        <w:t>(</w:t>
      </w:r>
      <w:r w:rsidRPr="00A64AF8">
        <w:rPr>
          <w:rFonts w:asciiTheme="minorHAnsi" w:hAnsiTheme="minorHAnsi" w:cstheme="minorHAnsi"/>
        </w:rPr>
        <w:t>1980</w:t>
      </w:r>
      <w:r w:rsidR="00A37049" w:rsidRPr="00A64AF8">
        <w:rPr>
          <w:rFonts w:asciiTheme="minorHAnsi" w:hAnsiTheme="minorHAnsi" w:cstheme="minorHAnsi"/>
        </w:rPr>
        <w:t>)</w:t>
      </w:r>
      <w:r w:rsidRPr="00A64AF8">
        <w:rPr>
          <w:rFonts w:asciiTheme="minorHAnsi" w:hAnsiTheme="minorHAnsi" w:cstheme="minorHAnsi"/>
        </w:rPr>
        <w:t xml:space="preserve">. The river continuum concept. </w:t>
      </w:r>
      <w:r w:rsidRPr="00A64AF8">
        <w:rPr>
          <w:rFonts w:asciiTheme="minorHAnsi" w:hAnsiTheme="minorHAnsi" w:cstheme="minorHAnsi"/>
          <w:i/>
        </w:rPr>
        <w:t>Canadian Journal of Fisheries and Aquatic Sciences</w:t>
      </w:r>
      <w:r w:rsidR="00ED65C7" w:rsidRPr="00A64AF8">
        <w:rPr>
          <w:rFonts w:asciiTheme="minorHAnsi" w:hAnsiTheme="minorHAnsi" w:cstheme="minorHAnsi"/>
        </w:rPr>
        <w:t xml:space="preserve"> 37:</w:t>
      </w:r>
      <w:r w:rsidRPr="00A64AF8">
        <w:rPr>
          <w:rFonts w:asciiTheme="minorHAnsi" w:hAnsiTheme="minorHAnsi" w:cstheme="minorHAnsi"/>
        </w:rPr>
        <w:t xml:space="preserve"> 130-137. </w:t>
      </w:r>
    </w:p>
    <w:p w14:paraId="40643DF7" w14:textId="40591AB5"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Wallace J.B., Eggert S.L., Meyer J.L.</w:t>
      </w:r>
      <w:r w:rsidR="00ED65C7" w:rsidRPr="00A64AF8">
        <w:rPr>
          <w:rFonts w:asciiTheme="minorHAnsi" w:hAnsiTheme="minorHAnsi" w:cstheme="minorHAnsi"/>
        </w:rPr>
        <w:t xml:space="preserve"> &amp;</w:t>
      </w:r>
      <w:r w:rsidRPr="00A64AF8">
        <w:rPr>
          <w:rFonts w:asciiTheme="minorHAnsi" w:hAnsiTheme="minorHAnsi" w:cstheme="minorHAnsi"/>
        </w:rPr>
        <w:t xml:space="preserve"> Webster J.R. </w:t>
      </w:r>
      <w:r w:rsidR="00A37049" w:rsidRPr="00A64AF8">
        <w:rPr>
          <w:rFonts w:asciiTheme="minorHAnsi" w:hAnsiTheme="minorHAnsi" w:cstheme="minorHAnsi"/>
        </w:rPr>
        <w:t>(</w:t>
      </w:r>
      <w:r w:rsidRPr="00A64AF8">
        <w:rPr>
          <w:rFonts w:asciiTheme="minorHAnsi" w:hAnsiTheme="minorHAnsi" w:cstheme="minorHAnsi"/>
        </w:rPr>
        <w:t>1997</w:t>
      </w:r>
      <w:r w:rsidR="00A37049" w:rsidRPr="00A64AF8">
        <w:rPr>
          <w:rFonts w:asciiTheme="minorHAnsi" w:hAnsiTheme="minorHAnsi" w:cstheme="minorHAnsi"/>
        </w:rPr>
        <w:t>)</w:t>
      </w:r>
      <w:r w:rsidRPr="00A64AF8">
        <w:rPr>
          <w:rFonts w:asciiTheme="minorHAnsi" w:hAnsiTheme="minorHAnsi" w:cstheme="minorHAnsi"/>
        </w:rPr>
        <w:t xml:space="preserve">. Multiple trophic levels of a forest stream linked to terrestrial litter inputs. </w:t>
      </w:r>
      <w:r w:rsidRPr="00A64AF8">
        <w:rPr>
          <w:rFonts w:asciiTheme="minorHAnsi" w:hAnsiTheme="minorHAnsi" w:cstheme="minorHAnsi"/>
          <w:i/>
        </w:rPr>
        <w:t>Science</w:t>
      </w:r>
      <w:r w:rsidRPr="00A64AF8">
        <w:rPr>
          <w:rFonts w:asciiTheme="minorHAnsi" w:hAnsiTheme="minorHAnsi" w:cstheme="minorHAnsi"/>
        </w:rPr>
        <w:t xml:space="preserve"> 277</w:t>
      </w:r>
      <w:r w:rsidR="00E17A34" w:rsidRPr="00A64AF8">
        <w:rPr>
          <w:rFonts w:asciiTheme="minorHAnsi" w:hAnsiTheme="minorHAnsi" w:cstheme="minorHAnsi"/>
        </w:rPr>
        <w:t>:</w:t>
      </w:r>
      <w:r w:rsidRPr="00A64AF8">
        <w:rPr>
          <w:rFonts w:asciiTheme="minorHAnsi" w:hAnsiTheme="minorHAnsi" w:cstheme="minorHAnsi"/>
        </w:rPr>
        <w:t xml:space="preserve"> 102-104. </w:t>
      </w:r>
    </w:p>
    <w:p w14:paraId="60A9FC4D" w14:textId="299AE912"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Wipfli M.S., Richardson J.S.</w:t>
      </w:r>
      <w:r w:rsidR="00ED65C7" w:rsidRPr="00A64AF8">
        <w:rPr>
          <w:rFonts w:asciiTheme="minorHAnsi" w:hAnsiTheme="minorHAnsi" w:cstheme="minorHAnsi"/>
        </w:rPr>
        <w:t xml:space="preserve"> &amp;</w:t>
      </w:r>
      <w:r w:rsidRPr="00A64AF8">
        <w:rPr>
          <w:rFonts w:asciiTheme="minorHAnsi" w:hAnsiTheme="minorHAnsi" w:cstheme="minorHAnsi"/>
        </w:rPr>
        <w:t xml:space="preserve"> Naiman R.J. </w:t>
      </w:r>
      <w:r w:rsidR="00A37049" w:rsidRPr="00A64AF8">
        <w:rPr>
          <w:rFonts w:asciiTheme="minorHAnsi" w:hAnsiTheme="minorHAnsi" w:cstheme="minorHAnsi"/>
        </w:rPr>
        <w:t>(</w:t>
      </w:r>
      <w:r w:rsidRPr="00A64AF8">
        <w:rPr>
          <w:rFonts w:asciiTheme="minorHAnsi" w:hAnsiTheme="minorHAnsi" w:cstheme="minorHAnsi"/>
        </w:rPr>
        <w:t>2007</w:t>
      </w:r>
      <w:r w:rsidR="00A37049" w:rsidRPr="00A64AF8">
        <w:rPr>
          <w:rFonts w:asciiTheme="minorHAnsi" w:hAnsiTheme="minorHAnsi" w:cstheme="minorHAnsi"/>
        </w:rPr>
        <w:t>)</w:t>
      </w:r>
      <w:r w:rsidRPr="00A64AF8">
        <w:rPr>
          <w:rFonts w:asciiTheme="minorHAnsi" w:hAnsiTheme="minorHAnsi" w:cstheme="minorHAnsi"/>
        </w:rPr>
        <w:t xml:space="preserve">. Ecological linkages between headwaters and downstream ecosystems: transport of organic matter, invertebrates, and wood down headwater channels. </w:t>
      </w:r>
      <w:r w:rsidRPr="00A64AF8">
        <w:rPr>
          <w:rFonts w:asciiTheme="minorHAnsi" w:hAnsiTheme="minorHAnsi" w:cstheme="minorHAnsi"/>
          <w:i/>
        </w:rPr>
        <w:t>Journal of the American Water Resources Association</w:t>
      </w:r>
      <w:r w:rsidRPr="00A64AF8">
        <w:rPr>
          <w:rFonts w:asciiTheme="minorHAnsi" w:hAnsiTheme="minorHAnsi" w:cstheme="minorHAnsi"/>
        </w:rPr>
        <w:t xml:space="preserve"> 43</w:t>
      </w:r>
      <w:r w:rsidR="00ED65C7" w:rsidRPr="00A64AF8">
        <w:rPr>
          <w:rFonts w:asciiTheme="minorHAnsi" w:hAnsiTheme="minorHAnsi" w:cstheme="minorHAnsi"/>
        </w:rPr>
        <w:t>:</w:t>
      </w:r>
      <w:r w:rsidRPr="00A64AF8">
        <w:rPr>
          <w:rFonts w:asciiTheme="minorHAnsi" w:hAnsiTheme="minorHAnsi" w:cstheme="minorHAnsi"/>
        </w:rPr>
        <w:t xml:space="preserve"> 72-85. </w:t>
      </w:r>
    </w:p>
    <w:p w14:paraId="7441126D" w14:textId="3C1C9331" w:rsidR="003D3694" w:rsidRPr="00A64AF8" w:rsidRDefault="003D3694" w:rsidP="00A64AF8">
      <w:pPr>
        <w:pStyle w:val="References"/>
        <w:ind w:left="284" w:hanging="284"/>
        <w:rPr>
          <w:rFonts w:asciiTheme="minorHAnsi" w:hAnsiTheme="minorHAnsi" w:cstheme="minorHAnsi"/>
        </w:rPr>
      </w:pPr>
      <w:r w:rsidRPr="00A64AF8">
        <w:rPr>
          <w:rFonts w:asciiTheme="minorHAnsi" w:hAnsiTheme="minorHAnsi" w:cstheme="minorHAnsi"/>
        </w:rPr>
        <w:t>Young R.G., Matthaei C.D.</w:t>
      </w:r>
      <w:r w:rsidR="00ED65C7" w:rsidRPr="00A64AF8">
        <w:rPr>
          <w:rFonts w:asciiTheme="minorHAnsi" w:hAnsiTheme="minorHAnsi" w:cstheme="minorHAnsi"/>
        </w:rPr>
        <w:t xml:space="preserve"> &amp;</w:t>
      </w:r>
      <w:r w:rsidRPr="00A64AF8">
        <w:rPr>
          <w:rFonts w:asciiTheme="minorHAnsi" w:hAnsiTheme="minorHAnsi" w:cstheme="minorHAnsi"/>
        </w:rPr>
        <w:t xml:space="preserve"> Townsend C.R. </w:t>
      </w:r>
      <w:r w:rsidR="00A37049" w:rsidRPr="00A64AF8">
        <w:rPr>
          <w:rFonts w:asciiTheme="minorHAnsi" w:hAnsiTheme="minorHAnsi" w:cstheme="minorHAnsi"/>
        </w:rPr>
        <w:t>(</w:t>
      </w:r>
      <w:r w:rsidRPr="00A64AF8">
        <w:rPr>
          <w:rFonts w:asciiTheme="minorHAnsi" w:hAnsiTheme="minorHAnsi" w:cstheme="minorHAnsi"/>
        </w:rPr>
        <w:t>2008</w:t>
      </w:r>
      <w:r w:rsidR="00A37049" w:rsidRPr="00A64AF8">
        <w:rPr>
          <w:rFonts w:asciiTheme="minorHAnsi" w:hAnsiTheme="minorHAnsi" w:cstheme="minorHAnsi"/>
        </w:rPr>
        <w:t>)</w:t>
      </w:r>
      <w:r w:rsidRPr="00A64AF8">
        <w:rPr>
          <w:rFonts w:asciiTheme="minorHAnsi" w:hAnsiTheme="minorHAnsi" w:cstheme="minorHAnsi"/>
        </w:rPr>
        <w:t xml:space="preserve">. Organic matter breakdown and ecosystem metabolism: Functional indicators for assessing river ecosystem health. </w:t>
      </w:r>
      <w:r w:rsidRPr="00A64AF8">
        <w:rPr>
          <w:rFonts w:asciiTheme="minorHAnsi" w:hAnsiTheme="minorHAnsi" w:cstheme="minorHAnsi"/>
          <w:i/>
        </w:rPr>
        <w:t>Journal of the North American Benthological Society</w:t>
      </w:r>
      <w:r w:rsidR="00ED65C7" w:rsidRPr="00A64AF8">
        <w:rPr>
          <w:rFonts w:asciiTheme="minorHAnsi" w:hAnsiTheme="minorHAnsi" w:cstheme="minorHAnsi"/>
        </w:rPr>
        <w:t xml:space="preserve"> 27:</w:t>
      </w:r>
      <w:r w:rsidRPr="00A64AF8">
        <w:rPr>
          <w:rFonts w:asciiTheme="minorHAnsi" w:hAnsiTheme="minorHAnsi" w:cstheme="minorHAnsi"/>
        </w:rPr>
        <w:t xml:space="preserve"> 605-625. </w:t>
      </w:r>
    </w:p>
    <w:p w14:paraId="7F6CD47B" w14:textId="77777777" w:rsidR="003D3694" w:rsidRPr="00747E35" w:rsidRDefault="003D3694" w:rsidP="00A64AF8">
      <w:pPr>
        <w:spacing w:after="0"/>
        <w:ind w:left="284" w:hanging="284"/>
        <w:rPr>
          <w:rFonts w:asciiTheme="minorHAnsi" w:hAnsiTheme="minorHAnsi" w:cstheme="minorHAnsi"/>
        </w:rPr>
      </w:pPr>
      <w:r w:rsidRPr="00A64AF8">
        <w:rPr>
          <w:rFonts w:asciiTheme="minorHAnsi" w:hAnsiTheme="minorHAnsi" w:cstheme="minorHAnsi"/>
          <w:sz w:val="20"/>
          <w:szCs w:val="20"/>
        </w:rPr>
        <w:fldChar w:fldCharType="end"/>
      </w:r>
      <w:r w:rsidRPr="00747E35">
        <w:rPr>
          <w:rFonts w:asciiTheme="minorHAnsi" w:hAnsiTheme="minorHAnsi" w:cstheme="minorHAnsi"/>
        </w:rPr>
        <w:br w:type="page"/>
      </w:r>
    </w:p>
    <w:p w14:paraId="0D2080AD" w14:textId="3DE38502" w:rsidR="003D3694" w:rsidRPr="00747E35" w:rsidRDefault="003D3694" w:rsidP="003D3694">
      <w:pPr>
        <w:pStyle w:val="Heading1"/>
        <w:rPr>
          <w:rFonts w:asciiTheme="minorHAnsi" w:hAnsiTheme="minorHAnsi" w:cstheme="minorHAnsi"/>
        </w:rPr>
      </w:pPr>
      <w:bookmarkStart w:id="183" w:name="_Toc466450356"/>
      <w:bookmarkStart w:id="184" w:name="_Toc470004862"/>
      <w:r w:rsidRPr="00747E35">
        <w:rPr>
          <w:rFonts w:asciiTheme="minorHAnsi" w:hAnsiTheme="minorHAnsi" w:cstheme="minorHAnsi"/>
        </w:rPr>
        <w:lastRenderedPageBreak/>
        <w:t xml:space="preserve">Component 3 – </w:t>
      </w:r>
      <w:bookmarkEnd w:id="183"/>
      <w:r w:rsidRPr="00747E35">
        <w:rPr>
          <w:rFonts w:asciiTheme="minorHAnsi" w:hAnsiTheme="minorHAnsi" w:cstheme="minorHAnsi"/>
        </w:rPr>
        <w:t>Hydrogeochemistry, biogeochemical processes and the hyporheos / stygofauna (Short title: Subsurface ecology)</w:t>
      </w:r>
      <w:bookmarkEnd w:id="184"/>
    </w:p>
    <w:p w14:paraId="32F5286B" w14:textId="77777777" w:rsidR="003D3694" w:rsidRPr="00747E35" w:rsidRDefault="003D3694" w:rsidP="003D3694">
      <w:pPr>
        <w:rPr>
          <w:rFonts w:asciiTheme="minorHAnsi" w:hAnsiTheme="minorHAnsi" w:cstheme="minorHAnsi"/>
        </w:rPr>
      </w:pPr>
    </w:p>
    <w:p w14:paraId="021C53DC"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Dr Stefan Eberhard </w:t>
      </w:r>
      <w:r w:rsidRPr="00747E35">
        <w:rPr>
          <w:rFonts w:asciiTheme="minorHAnsi" w:hAnsiTheme="minorHAnsi" w:cstheme="minorHAnsi"/>
          <w:vertAlign w:val="superscript"/>
        </w:rPr>
        <w:t>1,2</w:t>
      </w:r>
      <w:r w:rsidRPr="00747E35">
        <w:rPr>
          <w:rFonts w:asciiTheme="minorHAnsi" w:hAnsiTheme="minorHAnsi" w:cstheme="minorHAnsi"/>
        </w:rPr>
        <w:t>, Dr Helen Rutlidge</w:t>
      </w:r>
      <w:r w:rsidRPr="00747E35">
        <w:rPr>
          <w:rFonts w:asciiTheme="minorHAnsi" w:hAnsiTheme="minorHAnsi" w:cstheme="minorHAnsi"/>
          <w:vertAlign w:val="superscript"/>
        </w:rPr>
        <w:t>2,3</w:t>
      </w:r>
      <w:r w:rsidRPr="00747E35">
        <w:rPr>
          <w:rFonts w:asciiTheme="minorHAnsi" w:hAnsiTheme="minorHAnsi" w:cstheme="minorHAnsi"/>
        </w:rPr>
        <w:t>, and</w:t>
      </w:r>
      <w:r w:rsidRPr="00747E35">
        <w:rPr>
          <w:rFonts w:asciiTheme="minorHAnsi" w:hAnsiTheme="minorHAnsi" w:cstheme="minorHAnsi"/>
          <w:vertAlign w:val="superscript"/>
        </w:rPr>
        <w:t xml:space="preserve"> </w:t>
      </w:r>
      <w:r w:rsidRPr="00747E35">
        <w:rPr>
          <w:rFonts w:asciiTheme="minorHAnsi" w:hAnsiTheme="minorHAnsi" w:cstheme="minorHAnsi"/>
        </w:rPr>
        <w:t xml:space="preserve">Dr Martin Andersen </w:t>
      </w:r>
      <w:r w:rsidRPr="00747E35">
        <w:rPr>
          <w:rFonts w:asciiTheme="minorHAnsi" w:hAnsiTheme="minorHAnsi" w:cstheme="minorHAnsi"/>
          <w:vertAlign w:val="superscript"/>
        </w:rPr>
        <w:t>2,3</w:t>
      </w:r>
      <w:r w:rsidRPr="00747E35">
        <w:rPr>
          <w:rFonts w:asciiTheme="minorHAnsi" w:hAnsiTheme="minorHAnsi" w:cstheme="minorHAnsi"/>
        </w:rPr>
        <w:t xml:space="preserve"> </w:t>
      </w:r>
    </w:p>
    <w:p w14:paraId="13C9E13D" w14:textId="77777777" w:rsidR="003D3694" w:rsidRPr="00747E35" w:rsidRDefault="003D3694" w:rsidP="003D3694">
      <w:pPr>
        <w:rPr>
          <w:rFonts w:asciiTheme="minorHAnsi" w:hAnsiTheme="minorHAnsi" w:cstheme="minorHAnsi"/>
        </w:rPr>
      </w:pPr>
      <w:r w:rsidRPr="00747E35">
        <w:rPr>
          <w:rFonts w:asciiTheme="minorHAnsi" w:hAnsiTheme="minorHAnsi" w:cstheme="minorHAnsi"/>
          <w:sz w:val="16"/>
          <w:szCs w:val="16"/>
          <w:bdr w:val="none" w:sz="0" w:space="0" w:color="auto" w:frame="1"/>
          <w:shd w:val="clear" w:color="auto" w:fill="FFFFFF"/>
          <w:vertAlign w:val="superscript"/>
        </w:rPr>
        <w:t>1</w:t>
      </w:r>
      <w:r w:rsidRPr="00747E35">
        <w:rPr>
          <w:rFonts w:asciiTheme="minorHAnsi" w:hAnsiTheme="minorHAnsi" w:cstheme="minorHAnsi"/>
          <w:shd w:val="clear" w:color="auto" w:fill="FFFFFF"/>
        </w:rPr>
        <w:t>Subterranean Ecology Pty Ltd, Hobart, Australia</w:t>
      </w:r>
    </w:p>
    <w:p w14:paraId="42D28B1F" w14:textId="77777777" w:rsidR="003D3694" w:rsidRPr="00747E35" w:rsidRDefault="003D3694" w:rsidP="003D3694">
      <w:pPr>
        <w:rPr>
          <w:rFonts w:asciiTheme="minorHAnsi" w:hAnsiTheme="minorHAnsi" w:cstheme="minorHAnsi"/>
          <w:shd w:val="clear" w:color="auto" w:fill="FFFFFF"/>
        </w:rPr>
      </w:pPr>
      <w:r w:rsidRPr="00747E35">
        <w:rPr>
          <w:rFonts w:asciiTheme="minorHAnsi" w:hAnsiTheme="minorHAnsi" w:cstheme="minorHAnsi"/>
          <w:sz w:val="16"/>
          <w:szCs w:val="16"/>
          <w:bdr w:val="none" w:sz="0" w:space="0" w:color="auto" w:frame="1"/>
          <w:shd w:val="clear" w:color="auto" w:fill="FFFFFF"/>
          <w:vertAlign w:val="superscript"/>
        </w:rPr>
        <w:t>2</w:t>
      </w:r>
      <w:r w:rsidRPr="00747E35">
        <w:rPr>
          <w:rFonts w:asciiTheme="minorHAnsi" w:hAnsiTheme="minorHAnsi" w:cstheme="minorHAnsi"/>
          <w:shd w:val="clear" w:color="auto" w:fill="FFFFFF"/>
        </w:rPr>
        <w:t xml:space="preserve">UNSW Australia, Connected Waters Initiative Research Centre, Sydney, Australia, </w:t>
      </w:r>
    </w:p>
    <w:p w14:paraId="22300A51" w14:textId="77777777" w:rsidR="003D3694" w:rsidRPr="00747E35" w:rsidRDefault="003D3694" w:rsidP="003D3694">
      <w:pPr>
        <w:rPr>
          <w:rFonts w:asciiTheme="minorHAnsi" w:hAnsiTheme="minorHAnsi" w:cstheme="minorHAnsi"/>
          <w:shd w:val="clear" w:color="auto" w:fill="FFFFFF"/>
        </w:rPr>
      </w:pPr>
      <w:r w:rsidRPr="00747E35">
        <w:rPr>
          <w:rFonts w:asciiTheme="minorHAnsi" w:hAnsiTheme="minorHAnsi" w:cstheme="minorHAnsi"/>
          <w:sz w:val="16"/>
          <w:szCs w:val="16"/>
          <w:bdr w:val="none" w:sz="0" w:space="0" w:color="auto" w:frame="1"/>
          <w:shd w:val="clear" w:color="auto" w:fill="FFFFFF"/>
          <w:vertAlign w:val="superscript"/>
        </w:rPr>
        <w:t>3</w:t>
      </w:r>
      <w:r w:rsidRPr="00747E35">
        <w:rPr>
          <w:rFonts w:asciiTheme="minorHAnsi" w:hAnsiTheme="minorHAnsi" w:cstheme="minorHAnsi"/>
          <w:shd w:val="clear" w:color="auto" w:fill="FFFFFF"/>
        </w:rPr>
        <w:t>UNSW Australia, School of Civil and Environmental Engineering, Sydney, Australia</w:t>
      </w:r>
    </w:p>
    <w:p w14:paraId="2808880A" w14:textId="77777777" w:rsidR="003D3694" w:rsidRPr="00747E35" w:rsidRDefault="003D3694" w:rsidP="003D3694">
      <w:pPr>
        <w:rPr>
          <w:rFonts w:asciiTheme="minorHAnsi" w:hAnsiTheme="minorHAnsi" w:cstheme="minorHAnsi"/>
        </w:rPr>
      </w:pPr>
    </w:p>
    <w:p w14:paraId="6A57AD77" w14:textId="136B6DCF" w:rsidR="003D3694" w:rsidRPr="00747E35" w:rsidRDefault="003D3694" w:rsidP="003D3694">
      <w:pPr>
        <w:pStyle w:val="Heading2"/>
        <w:rPr>
          <w:rFonts w:asciiTheme="minorHAnsi" w:hAnsiTheme="minorHAnsi" w:cstheme="minorHAnsi"/>
        </w:rPr>
      </w:pPr>
      <w:bookmarkStart w:id="185" w:name="_Toc466449969"/>
      <w:bookmarkStart w:id="186" w:name="_Toc466450370"/>
      <w:bookmarkStart w:id="187" w:name="_Toc470004863"/>
      <w:r w:rsidRPr="00747E35">
        <w:rPr>
          <w:rFonts w:asciiTheme="minorHAnsi" w:hAnsiTheme="minorHAnsi" w:cstheme="minorHAnsi"/>
        </w:rPr>
        <w:t>Acknowledgements</w:t>
      </w:r>
      <w:bookmarkEnd w:id="185"/>
      <w:bookmarkEnd w:id="186"/>
      <w:bookmarkEnd w:id="187"/>
    </w:p>
    <w:p w14:paraId="40A69329"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bore sampling was undertaken with the collaboration and support of Drs Kathryn Korbel and Grant Hose (Macquarie University).  Dr Mark Kennard assisted with multivariate statistical advice. Dr Leon Barmuta (School of Biological Sciences, University of Tasmania) contributed statistical advice and some of the invertebrate analyses.  Drs Kevin Bonham and Stephen Mallick undertook the sorting and identification of hyporheic invertebrates. Dr Andrew Boulton contributed invaluable advice and field training especially in the early stages of the project. Dr Gabriel Rau created the Maules Creek catchment maps and processed the streambed arrays. Invaluable field assistance was contributed by Alexandra Auhl, Cecil Moll, Junsong Chen, Afrida Salma, Cassandra Murphy, Zhangyong Wang, Landon Halloran, Wills Brassil and Yumi Hong. </w:t>
      </w:r>
    </w:p>
    <w:p w14:paraId="51685912"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Cotton Research Development Corporation, National Water Institute, Australian Research Council and National Collaborative Research Infrastructure Strategy supported the installation and maintance of the bores in the Maules Creek catchment. </w:t>
      </w:r>
    </w:p>
    <w:p w14:paraId="2B2DE4D4" w14:textId="77777777" w:rsidR="003D3694" w:rsidRPr="00747E35" w:rsidRDefault="003D3694" w:rsidP="003D3694">
      <w:pPr>
        <w:rPr>
          <w:rFonts w:asciiTheme="minorHAnsi" w:hAnsiTheme="minorHAnsi" w:cstheme="minorHAnsi"/>
        </w:rPr>
      </w:pPr>
    </w:p>
    <w:p w14:paraId="1AB051F7" w14:textId="70E56DD9" w:rsidR="003D3694" w:rsidRPr="00747E35" w:rsidRDefault="003D3694" w:rsidP="003D3694">
      <w:pPr>
        <w:pStyle w:val="Heading2"/>
        <w:rPr>
          <w:rFonts w:asciiTheme="minorHAnsi" w:hAnsiTheme="minorHAnsi" w:cstheme="minorHAnsi"/>
        </w:rPr>
      </w:pPr>
      <w:bookmarkStart w:id="188" w:name="_Toc466449935"/>
      <w:bookmarkStart w:id="189" w:name="_Toc466450357"/>
      <w:bookmarkStart w:id="190" w:name="_Toc467211712"/>
      <w:bookmarkStart w:id="191" w:name="_Toc470004864"/>
      <w:r w:rsidRPr="00747E35">
        <w:rPr>
          <w:rFonts w:asciiTheme="minorHAnsi" w:hAnsiTheme="minorHAnsi" w:cstheme="minorHAnsi"/>
        </w:rPr>
        <w:t>Introduction</w:t>
      </w:r>
      <w:bookmarkEnd w:id="188"/>
      <w:bookmarkEnd w:id="189"/>
      <w:bookmarkEnd w:id="190"/>
      <w:bookmarkEnd w:id="191"/>
    </w:p>
    <w:p w14:paraId="79452600" w14:textId="77777777" w:rsidR="003D3694" w:rsidRPr="00747E35" w:rsidRDefault="003D3694" w:rsidP="00085C15">
      <w:pPr>
        <w:pStyle w:val="Heading3"/>
        <w:rPr>
          <w:rFonts w:asciiTheme="minorHAnsi" w:hAnsiTheme="minorHAnsi" w:cstheme="minorHAnsi"/>
        </w:rPr>
      </w:pPr>
      <w:bookmarkStart w:id="192" w:name="_Toc467211713"/>
      <w:bookmarkStart w:id="193" w:name="_Toc470004865"/>
      <w:bookmarkStart w:id="194" w:name="_Toc466449936"/>
      <w:bookmarkStart w:id="195" w:name="_Toc466450358"/>
      <w:r w:rsidRPr="00747E35">
        <w:rPr>
          <w:rFonts w:asciiTheme="minorHAnsi" w:hAnsiTheme="minorHAnsi" w:cstheme="minorHAnsi"/>
        </w:rPr>
        <w:t>Aims and purpose</w:t>
      </w:r>
      <w:bookmarkEnd w:id="192"/>
      <w:bookmarkEnd w:id="193"/>
    </w:p>
    <w:p w14:paraId="6CCFD3D2" w14:textId="5FCB0CF1" w:rsidR="003D3694" w:rsidRDefault="003D3694" w:rsidP="003D3694">
      <w:pPr>
        <w:rPr>
          <w:rFonts w:asciiTheme="minorHAnsi" w:hAnsiTheme="minorHAnsi" w:cstheme="minorHAnsi"/>
        </w:rPr>
      </w:pPr>
      <w:r w:rsidRPr="00747E35">
        <w:rPr>
          <w:rFonts w:asciiTheme="minorHAnsi" w:hAnsiTheme="minorHAnsi" w:cstheme="minorHAnsi"/>
        </w:rPr>
        <w:t xml:space="preserve">The aims of research Component 3 were to understand how reductions in surface flow and groundwater </w:t>
      </w:r>
      <w:r w:rsidR="006B2C7A">
        <w:rPr>
          <w:rFonts w:asciiTheme="minorHAnsi" w:hAnsiTheme="minorHAnsi" w:cstheme="minorHAnsi"/>
        </w:rPr>
        <w:t>baseflow</w:t>
      </w:r>
      <w:r w:rsidRPr="00747E35">
        <w:rPr>
          <w:rFonts w:asciiTheme="minorHAnsi" w:hAnsiTheme="minorHAnsi" w:cstheme="minorHAnsi"/>
        </w:rPr>
        <w:t xml:space="preserve"> affect the ecological structure, processes and function of the hyporheic zone in intermittent and perennial streams. The ecological values and processes studied were the biogeochemical processing of nutrients and organic carbon, and the diversity of hyporheic invertebrates (hyporheos) including stygofauna. We examined the effects of reduced surface and baseflow permanence by sampling in wet and dry periods and among streams of varying degrees of intermittency and perenniality. Multidisciplinary suites of methods were employed spanning hydrology, hydrochemistry, stream and groundwater ecology. A main objective was to integrate and synthesize the multidisciplinary findings into conceptual models to aid understanding of ecological responses to groundwater drawdown in streams due to coal seam gas extraction and coal mining. The work was conducted in two field locations (upper Bremer River and Maules Creek catchments).</w:t>
      </w:r>
    </w:p>
    <w:p w14:paraId="2BF0F367" w14:textId="77777777" w:rsidR="009A08A3" w:rsidRPr="00747E35" w:rsidRDefault="009A08A3" w:rsidP="003D3694">
      <w:pPr>
        <w:rPr>
          <w:rFonts w:asciiTheme="minorHAnsi" w:hAnsiTheme="minorHAnsi" w:cstheme="minorHAnsi"/>
        </w:rPr>
      </w:pPr>
    </w:p>
    <w:p w14:paraId="7BFE0902" w14:textId="77777777" w:rsidR="003D3694" w:rsidRPr="00747E35" w:rsidRDefault="003D3694" w:rsidP="00085C15">
      <w:pPr>
        <w:pStyle w:val="Heading3"/>
        <w:rPr>
          <w:rFonts w:asciiTheme="minorHAnsi" w:hAnsiTheme="minorHAnsi" w:cstheme="minorHAnsi"/>
        </w:rPr>
      </w:pPr>
      <w:bookmarkStart w:id="196" w:name="_Toc467211714"/>
      <w:bookmarkStart w:id="197" w:name="_Toc470004866"/>
      <w:r w:rsidRPr="00747E35">
        <w:rPr>
          <w:rFonts w:asciiTheme="minorHAnsi" w:hAnsiTheme="minorHAnsi" w:cstheme="minorHAnsi"/>
        </w:rPr>
        <w:lastRenderedPageBreak/>
        <w:t>Background</w:t>
      </w:r>
      <w:bookmarkEnd w:id="196"/>
      <w:bookmarkEnd w:id="197"/>
    </w:p>
    <w:p w14:paraId="5BAC9D51" w14:textId="20AABE8F" w:rsidR="003D3694" w:rsidRPr="00747E35" w:rsidRDefault="003D3694" w:rsidP="003D3694">
      <w:pPr>
        <w:rPr>
          <w:rFonts w:asciiTheme="minorHAnsi" w:hAnsiTheme="minorHAnsi" w:cstheme="minorHAnsi"/>
        </w:rPr>
      </w:pPr>
      <w:r w:rsidRPr="00747E35">
        <w:rPr>
          <w:rFonts w:asciiTheme="minorHAnsi" w:hAnsiTheme="minorHAnsi" w:cstheme="minorHAnsi"/>
        </w:rPr>
        <w:t>Hydrologic exchange flows (HEFs) are broadly defined to include the lateral and vertical exchanges of flow between the main stream channel and off-channel riparian and floodplain areas including surface and subsurface (Harvey 2016). Key defining characteristics of HEFs are the bidirectional exchange of flow that originates from and returns to the stream with no net water loss or gain to the stream. HEFs are distinct from watershed and groundwater flows that discharge only once across the surface-subsurface interface and generally lead to net losses or gains to the stream or aquifer (</w:t>
      </w:r>
      <w:r w:rsidRPr="00747E35">
        <w:rPr>
          <w:rFonts w:asciiTheme="minorHAnsi" w:hAnsiTheme="minorHAnsi" w:cstheme="minorHAnsi"/>
        </w:rPr>
        <w:fldChar w:fldCharType="begin"/>
      </w:r>
      <w:r w:rsidRPr="00747E35">
        <w:rPr>
          <w:rFonts w:asciiTheme="minorHAnsi" w:hAnsiTheme="minorHAnsi" w:cstheme="minorHAnsi"/>
        </w:rPr>
        <w:instrText xml:space="preserve"> REF _Ref467120655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62</w:t>
      </w:r>
      <w:r w:rsidRPr="00747E35">
        <w:rPr>
          <w:rFonts w:asciiTheme="minorHAnsi" w:hAnsiTheme="minorHAnsi" w:cstheme="minorHAnsi"/>
        </w:rPr>
        <w:fldChar w:fldCharType="end"/>
      </w:r>
      <w:r w:rsidRPr="00747E35">
        <w:rPr>
          <w:rFonts w:asciiTheme="minorHAnsi" w:hAnsiTheme="minorHAnsi" w:cstheme="minorHAnsi"/>
        </w:rPr>
        <w:t xml:space="preserve">). Hyporheic exchange flows are a type of subsurface HEF that occur beneath and alongside stream channels and are driven by hydraulic gradients caused by variability in the stream geometry, streambed topography and permeability (Harvey and Bencala, 1993). It may be difficult to determine whether losing or gaining stream conditions are due to localized hyporheic upwelling or </w:t>
      </w:r>
      <w:r w:rsidR="006B2C7A">
        <w:rPr>
          <w:rFonts w:asciiTheme="minorHAnsi" w:hAnsiTheme="minorHAnsi" w:cstheme="minorHAnsi"/>
        </w:rPr>
        <w:t>downwelling</w:t>
      </w:r>
      <w:r w:rsidRPr="00747E35">
        <w:rPr>
          <w:rFonts w:asciiTheme="minorHAnsi" w:hAnsiTheme="minorHAnsi" w:cstheme="minorHAnsi"/>
        </w:rPr>
        <w:t>, or larger scale exchanges of regional groundwater, or a combination of both.</w:t>
      </w:r>
    </w:p>
    <w:p w14:paraId="081C158E"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06796E03" wp14:editId="6A58EC05">
            <wp:extent cx="6113201" cy="1717705"/>
            <wp:effectExtent l="0" t="0" r="1905" b="0"/>
            <wp:docPr id="4148" name="Picture 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09" cstate="print">
                      <a:extLst>
                        <a:ext uri="{28A0092B-C50C-407E-A947-70E740481C1C}">
                          <a14:useLocalDpi xmlns:a14="http://schemas.microsoft.com/office/drawing/2010/main"/>
                        </a:ext>
                      </a:extLst>
                    </a:blip>
                    <a:srcRect/>
                    <a:stretch/>
                  </pic:blipFill>
                  <pic:spPr bwMode="auto">
                    <a:xfrm>
                      <a:off x="0" y="0"/>
                      <a:ext cx="6126481" cy="1721436"/>
                    </a:xfrm>
                    <a:prstGeom prst="rect">
                      <a:avLst/>
                    </a:prstGeom>
                    <a:noFill/>
                    <a:ln>
                      <a:noFill/>
                    </a:ln>
                    <a:effectLst/>
                    <a:extLst/>
                  </pic:spPr>
                </pic:pic>
              </a:graphicData>
            </a:graphic>
          </wp:inline>
        </w:drawing>
      </w:r>
    </w:p>
    <w:p w14:paraId="387395FE" w14:textId="7F08E365" w:rsidR="003D3694" w:rsidRPr="00747E35" w:rsidRDefault="003D3694" w:rsidP="00566456">
      <w:pPr>
        <w:pStyle w:val="Caption"/>
        <w:numPr>
          <w:ilvl w:val="0"/>
          <w:numId w:val="0"/>
        </w:numPr>
        <w:rPr>
          <w:rFonts w:cstheme="minorHAnsi"/>
        </w:rPr>
      </w:pPr>
      <w:bookmarkStart w:id="198" w:name="_Ref467120655"/>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62</w:t>
      </w:r>
      <w:r w:rsidR="009D6600" w:rsidRPr="00747E35">
        <w:rPr>
          <w:rFonts w:cstheme="minorHAnsi"/>
          <w:noProof/>
        </w:rPr>
        <w:fldChar w:fldCharType="end"/>
      </w:r>
      <w:bookmarkEnd w:id="198"/>
      <w:r w:rsidRPr="00747E35">
        <w:rPr>
          <w:rFonts w:cstheme="minorHAnsi"/>
        </w:rPr>
        <w:t xml:space="preserve">: Schematic diagram showing hydrological relationships between streams, groundwater and hyporheic exchange flows.  Hyporheic exchange flows are a type of subsurface hydrologic exchange flow (HEF) that are driven by hydraulic gradients caused by variability in the stream geometry, streambed topography and permeability. It may be difficult to determine whether losing or gaining stream conditions are due to localized hyporheic upwelling or </w:t>
      </w:r>
      <w:r w:rsidR="006B2C7A">
        <w:rPr>
          <w:rFonts w:cstheme="minorHAnsi"/>
        </w:rPr>
        <w:t>downwelling</w:t>
      </w:r>
      <w:r w:rsidRPr="00747E35">
        <w:rPr>
          <w:rFonts w:cstheme="minorHAnsi"/>
        </w:rPr>
        <w:t>, or larger scale exchanges of regional groundwater, or a combination of both.</w:t>
      </w:r>
    </w:p>
    <w:p w14:paraId="454E0DF6" w14:textId="77777777" w:rsidR="003D3694" w:rsidRPr="00747E35" w:rsidRDefault="003D3694" w:rsidP="003D3694">
      <w:pPr>
        <w:rPr>
          <w:rFonts w:asciiTheme="minorHAnsi" w:hAnsiTheme="minorHAnsi" w:cstheme="minorHAnsi"/>
        </w:rPr>
      </w:pPr>
    </w:p>
    <w:p w14:paraId="5E7A644B" w14:textId="49EB300C"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A defining characteristic of hyporheic exchange flows is reduced flow velocity and increased contact time between water, sediments and organic matter (such as wood and leaves), thus facilitating many microbially mediated chemical reactions involving organic carbon, nutrients, metals and organics (Lautz and Fanelli 2008). Hyporheic zones tend to be focal areas for degradation of organic matter (Grimm and Fisher 1984: Mullholland et al. 1997) and they enhance the capacity of streams to retain and process carbon and nutrients (Boano et al. 2014). Upwelling flows tend to be enriched in nutrients that stimulate primary production by algae and aquatic macrophytes (Valett et al. 1994). Conversely, </w:t>
      </w:r>
      <w:r w:rsidR="006B2C7A">
        <w:rPr>
          <w:rFonts w:asciiTheme="minorHAnsi" w:hAnsiTheme="minorHAnsi" w:cstheme="minorHAnsi"/>
        </w:rPr>
        <w:t>downwelling</w:t>
      </w:r>
      <w:r w:rsidRPr="00747E35">
        <w:rPr>
          <w:rFonts w:asciiTheme="minorHAnsi" w:hAnsiTheme="minorHAnsi" w:cstheme="minorHAnsi"/>
        </w:rPr>
        <w:t xml:space="preserve"> surface water supplies organic matter and dissolved oxygen (DO) to microorganisms and invertebrates (Boulton et al. 2010). Hyporheic zones provide habitat and other environmental requirements for rich assemblages of invertebrates, and in turn, their movement, feeding and excretion potentially stimulate microbial activity, enhance filtration and water quality and overall stream (and aquifer) ecosystem functioning (Fenwick et al</w:t>
      </w:r>
      <w:r w:rsidR="005E04D7">
        <w:rPr>
          <w:rFonts w:asciiTheme="minorHAnsi" w:hAnsiTheme="minorHAnsi" w:cstheme="minorHAnsi"/>
        </w:rPr>
        <w:t>.</w:t>
      </w:r>
      <w:r w:rsidRPr="00747E35">
        <w:rPr>
          <w:rFonts w:asciiTheme="minorHAnsi" w:hAnsiTheme="minorHAnsi" w:cstheme="minorHAnsi"/>
        </w:rPr>
        <w:t xml:space="preserve"> 2004; Boulton et al. 2008; Griebler et al. 2014). The hyporheic zone is a spatially and temporally dynamic ecotone where specialized obligate groundwater species (stygobites) interact with less-specialized species (stygophiles and stygoxenes) that occur in both surface water and groundwater (Gibert et al. 1994). The habitat may be thought of as a heterogenous three-dimensional mosaic of sediment sizes (e.g. cobbles, gravel, sand, silt) with buried patches of coarse particulate organic matter (wood and leaves) resulting in variable permeability and fluxes of water, dissolved oxygen, nutrients, DOC and fine particulate organic matter (FPOM) (Malard et al. 2002). </w:t>
      </w:r>
    </w:p>
    <w:p w14:paraId="1866677E" w14:textId="34B7AFE9"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Hyporheic invertebrate assemblages (hyporheos) and aquifer invertebrate assemblages (stygofauna) comprise a mixture of taxa with varying ecological and evolutionary affinities to surface (epigean) and groundwater (h</w:t>
      </w:r>
      <w:r w:rsidR="009A3D4A" w:rsidRPr="00747E35">
        <w:rPr>
          <w:rFonts w:asciiTheme="minorHAnsi" w:hAnsiTheme="minorHAnsi" w:cstheme="minorHAnsi"/>
          <w:lang w:eastAsia="en-AU"/>
        </w:rPr>
        <w:t>ypogean) habitats respectively (</w:t>
      </w:r>
      <w:r w:rsidR="009A3D4A" w:rsidRPr="00747E35">
        <w:rPr>
          <w:rFonts w:asciiTheme="minorHAnsi" w:hAnsiTheme="minorHAnsi" w:cstheme="minorHAnsi"/>
          <w:lang w:eastAsia="en-AU"/>
        </w:rPr>
        <w:fldChar w:fldCharType="begin"/>
      </w:r>
      <w:r w:rsidR="009A3D4A" w:rsidRPr="00747E35">
        <w:rPr>
          <w:rFonts w:asciiTheme="minorHAnsi" w:hAnsiTheme="minorHAnsi" w:cstheme="minorHAnsi"/>
          <w:lang w:eastAsia="en-AU"/>
        </w:rPr>
        <w:instrText xml:space="preserve"> REF _Ref469043228 \h </w:instrText>
      </w:r>
      <w:r w:rsidR="00925BFC" w:rsidRPr="00747E35">
        <w:rPr>
          <w:rFonts w:asciiTheme="minorHAnsi" w:hAnsiTheme="minorHAnsi" w:cstheme="minorHAnsi"/>
          <w:lang w:eastAsia="en-AU"/>
        </w:rPr>
        <w:instrText xml:space="preserve"> \* MERGEFORMAT </w:instrText>
      </w:r>
      <w:r w:rsidR="009A3D4A" w:rsidRPr="00747E35">
        <w:rPr>
          <w:rFonts w:asciiTheme="minorHAnsi" w:hAnsiTheme="minorHAnsi" w:cstheme="minorHAnsi"/>
          <w:lang w:eastAsia="en-AU"/>
        </w:rPr>
      </w:r>
      <w:r w:rsidR="009A3D4A"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63</w:t>
      </w:r>
      <w:r w:rsidR="009A3D4A" w:rsidRPr="00747E35">
        <w:rPr>
          <w:rFonts w:asciiTheme="minorHAnsi" w:hAnsiTheme="minorHAnsi" w:cstheme="minorHAnsi"/>
          <w:lang w:eastAsia="en-AU"/>
        </w:rPr>
        <w:fldChar w:fldCharType="end"/>
      </w:r>
      <w:r w:rsidR="009A3D4A" w:rsidRPr="00747E35">
        <w:rPr>
          <w:rFonts w:asciiTheme="minorHAnsi" w:hAnsiTheme="minorHAnsi" w:cstheme="minorHAnsi"/>
          <w:lang w:eastAsia="en-AU"/>
        </w:rPr>
        <w:t>)</w:t>
      </w:r>
      <w:r w:rsidRPr="00747E35">
        <w:rPr>
          <w:rFonts w:asciiTheme="minorHAnsi" w:hAnsiTheme="minorHAnsi" w:cstheme="minorHAnsi"/>
          <w:lang w:eastAsia="en-AU"/>
        </w:rPr>
        <w:t xml:space="preserve">. Specialised stygofauna (stygophiles and stygobites) are taxa that, respectively, have an obligate, or facultative, dependence on groundwater. They </w:t>
      </w:r>
      <w:r w:rsidRPr="00747E35">
        <w:rPr>
          <w:rFonts w:asciiTheme="minorHAnsi" w:hAnsiTheme="minorHAnsi" w:cstheme="minorHAnsi"/>
          <w:lang w:eastAsia="en-AU"/>
        </w:rPr>
        <w:lastRenderedPageBreak/>
        <w:t>are universally characterized by the possession of conservative and convergent morphological characters which are adaptive for subterranean life (termed stygomorphic characters), such as reduced pigment and eyes, and elongation of appendages. Stygoxenes are taxa that have specializations for life in surface waters, and they are typically pigmented and have functional eyes. Changes in conditions in subsurface habitats (e.g. through groundwater extraction, sedimentation) can alter the proportions of these categories, providing a potential indicator of subsurface community dynamics (Claret et al. 1999). While local and regional taxonomic differences limit comparisons of subsurface assemblages at generic or species level, classifications based on habitat affinities provide a ‘common currency’ that facilitates understanding of parallels and contrasts between different locations, as well as spatio-temporal changes within locations (Claret et al. 1999).</w:t>
      </w:r>
    </w:p>
    <w:p w14:paraId="2B9D02E0" w14:textId="77777777" w:rsidR="003D3694" w:rsidRPr="00747E35" w:rsidRDefault="003D3694" w:rsidP="003D3694">
      <w:pPr>
        <w:rPr>
          <w:rFonts w:asciiTheme="minorHAnsi" w:hAnsiTheme="minorHAnsi" w:cstheme="minorHAnsi"/>
        </w:rPr>
      </w:pPr>
    </w:p>
    <w:p w14:paraId="41840465"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324E1F00" wp14:editId="26B1F79E">
            <wp:extent cx="6075361" cy="3640509"/>
            <wp:effectExtent l="19050" t="19050" r="20955" b="17145"/>
            <wp:docPr id="4147" name="Picture 414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0" cstate="screen">
                      <a:extLst>
                        <a:ext uri="{28A0092B-C50C-407E-A947-70E740481C1C}">
                          <a14:useLocalDpi xmlns:a14="http://schemas.microsoft.com/office/drawing/2010/main"/>
                        </a:ext>
                      </a:extLst>
                    </a:blip>
                    <a:srcRect/>
                    <a:stretch/>
                  </pic:blipFill>
                  <pic:spPr bwMode="auto">
                    <a:xfrm>
                      <a:off x="0" y="0"/>
                      <a:ext cx="6086888" cy="364741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0A9794D" w14:textId="77777777" w:rsidR="003D3694" w:rsidRPr="00747E35" w:rsidRDefault="003D3694" w:rsidP="00566456">
      <w:pPr>
        <w:pStyle w:val="Caption"/>
        <w:numPr>
          <w:ilvl w:val="0"/>
          <w:numId w:val="0"/>
        </w:numPr>
        <w:rPr>
          <w:rFonts w:cstheme="minorHAnsi"/>
        </w:rPr>
      </w:pPr>
      <w:bookmarkStart w:id="199" w:name="_Ref469043228"/>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63</w:t>
      </w:r>
      <w:r w:rsidR="009D6600" w:rsidRPr="00747E35">
        <w:rPr>
          <w:rFonts w:cstheme="minorHAnsi"/>
          <w:noProof/>
        </w:rPr>
        <w:fldChar w:fldCharType="end"/>
      </w:r>
      <w:bookmarkEnd w:id="199"/>
      <w:r w:rsidRPr="00747E35">
        <w:rPr>
          <w:rFonts w:cstheme="minorHAnsi"/>
        </w:rPr>
        <w:t xml:space="preserve">: </w:t>
      </w:r>
      <w:r w:rsidRPr="00747E35">
        <w:rPr>
          <w:rFonts w:cstheme="minorHAnsi"/>
          <w:lang w:eastAsia="en-AU"/>
        </w:rPr>
        <w:t xml:space="preserve">Classification of invertebrates found in hyporheic and aquifer habitats based on their ecological and evolutionary affinities to surface water and groundwater respectively. Specialised stygofauna (stygophiles and stygobites) are taxa that, respectively, have an obligate, or facultative, dependence on groundwater. Stygoxenes are taxa that predominantly live in surface waters and occur in groundwater incidentally or ‘accidentally’, although some populations or individuals may inhabit the subsurface during part of their life cycle, such as larval chironomids. Adapted and modified from Boulton et al. 2014. </w:t>
      </w:r>
    </w:p>
    <w:p w14:paraId="009F33F3" w14:textId="77777777" w:rsidR="003D3694" w:rsidRPr="00747E35" w:rsidRDefault="003D3694" w:rsidP="003D3694">
      <w:pPr>
        <w:rPr>
          <w:rFonts w:asciiTheme="minorHAnsi" w:hAnsiTheme="minorHAnsi" w:cstheme="minorHAnsi"/>
        </w:rPr>
      </w:pPr>
    </w:p>
    <w:p w14:paraId="7698B4DC"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While the taxonomic richness and functional diversity of hyporheic and aquifer ecosystems is globally well known (Gibert et al. 1994), and in the last two decades Australia has been revealed as a global hotspot of subterranean diversity (Humphreys 2008; Guzik et al. 2010), the functional aspects and ecosystem services contributed by this remarkable hidden biodiversity are poorly understood. Many studies have shown that a reduction in biodiversity has a negative effect on ecosystem function. 'Ecosystem function' is defined as the biological, geochemical and physical processes, and their rates, that take place or occur within an ecosystem. </w:t>
      </w:r>
      <w:r w:rsidRPr="00747E35">
        <w:rPr>
          <w:rFonts w:asciiTheme="minorHAnsi" w:hAnsiTheme="minorHAnsi" w:cstheme="minorHAnsi"/>
          <w:i/>
          <w:iCs/>
          <w:color w:val="000000"/>
        </w:rPr>
        <w:t>‘</w:t>
      </w:r>
      <w:r w:rsidRPr="00747E35">
        <w:rPr>
          <w:rFonts w:asciiTheme="minorHAnsi" w:hAnsiTheme="minorHAnsi" w:cstheme="minorHAnsi"/>
          <w:iCs/>
          <w:color w:val="000000"/>
        </w:rPr>
        <w:t>Ecosystem services’</w:t>
      </w:r>
      <w:r w:rsidRPr="00747E35">
        <w:rPr>
          <w:rFonts w:asciiTheme="minorHAnsi" w:hAnsiTheme="minorHAnsi" w:cstheme="minorHAnsi"/>
          <w:color w:val="000000"/>
        </w:rPr>
        <w:t xml:space="preserve"> are the ‘services’ provided by natural (and semi-natural) ecosystems - ‘ecosystem service providers‘ (ESPs) - that benefit, sustain and support the well-being of people.</w:t>
      </w:r>
      <w:r w:rsidRPr="00747E35">
        <w:rPr>
          <w:rFonts w:asciiTheme="minorHAnsi" w:hAnsiTheme="minorHAnsi" w:cstheme="minorHAnsi"/>
        </w:rPr>
        <w:t xml:space="preserve"> The links among biodiversity, ecosystem function, and ecosystem services in groundwater remain poorly known compared to links in surface ecosystems (Tomlinson and Boulton 2010).</w:t>
      </w:r>
    </w:p>
    <w:p w14:paraId="5B5F617A"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lastRenderedPageBreak/>
        <w:t>While subterranean communities are characterized by many ancient lineages that have persisted over millennia and evidently have inherent resistance and resilience to environmental change, there is laboratory and field evidence that demonstrates they are sensitive and vulnerable to environmental stressors including changes in water quality (e.g. Sinton 1984) and water regime including drawdown (Eberhard 2004; Stump and Hose 2013). While stygofauna in aquifers are considered in current EIS policy and regulations in some Australian states (WA, NSW, Qld), hyporheic ecosystems have to date been ignored.  In view of the intrinsic biodiversity conservation values and ecosystem services capacity of hyporheic ecosystems, there exists a strong case for improved understanding and integration of this largely ‘invisible’ ecological asset.</w:t>
      </w:r>
    </w:p>
    <w:p w14:paraId="752B7915" w14:textId="77777777" w:rsidR="003D3694" w:rsidRPr="00747E35" w:rsidRDefault="003D3694" w:rsidP="003D3694">
      <w:pPr>
        <w:rPr>
          <w:rFonts w:asciiTheme="minorHAnsi" w:hAnsiTheme="minorHAnsi" w:cstheme="minorHAnsi"/>
        </w:rPr>
      </w:pPr>
    </w:p>
    <w:p w14:paraId="1FD10CD2" w14:textId="77777777" w:rsidR="003D3694" w:rsidRPr="00747E35" w:rsidRDefault="003D3694" w:rsidP="00085C15">
      <w:pPr>
        <w:pStyle w:val="Heading3"/>
        <w:rPr>
          <w:rFonts w:asciiTheme="minorHAnsi" w:hAnsiTheme="minorHAnsi" w:cstheme="minorHAnsi"/>
        </w:rPr>
      </w:pPr>
      <w:bookmarkStart w:id="200" w:name="_Toc467211715"/>
      <w:bookmarkStart w:id="201" w:name="_Toc470004867"/>
      <w:r w:rsidRPr="00747E35">
        <w:rPr>
          <w:rFonts w:asciiTheme="minorHAnsi" w:hAnsiTheme="minorHAnsi" w:cstheme="minorHAnsi"/>
        </w:rPr>
        <w:t>Hypothesised responses to lowering groundwater</w:t>
      </w:r>
      <w:bookmarkEnd w:id="200"/>
      <w:bookmarkEnd w:id="201"/>
      <w:r w:rsidRPr="00747E35">
        <w:rPr>
          <w:rFonts w:asciiTheme="minorHAnsi" w:hAnsiTheme="minorHAnsi" w:cstheme="minorHAnsi"/>
        </w:rPr>
        <w:t xml:space="preserve"> </w:t>
      </w:r>
    </w:p>
    <w:p w14:paraId="31E5A73C"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abstraction of groundwater is a global phenomenon that directly threatens groundwater ecosystems, but despite the global significance of this issue, the impact of groundwater abstraction and the lowering of groundwater tables on subsurface biota is poorly known (Stump and Hose 2013). Tomlinson and Boulton (2010) suggested that prolonged desiccation of sediments due to water table decline likely alters the balance between aerobic and anaerobic processes, changes the composition of microbial populations, and reduces the rate of anaerobic metabolism or switches it off altogether. Tomlinson and Boulton (2010) also hypothesised that disturbance of the groundwater regime such as lowering of the water table may change the rate and nature of subsurface ecological processes resulting in reduced availability of carbon, nitrogen and phosphorus which is likely to have flow-on effects for biodiversity and ecosystem services not only within the subsurface, but also in connected surface ecosystems such as rivers, riparian zones and estuaries. </w:t>
      </w:r>
    </w:p>
    <w:p w14:paraId="524D858F" w14:textId="2AC802A3" w:rsidR="003D3694" w:rsidRPr="00747E35" w:rsidRDefault="003D3694" w:rsidP="003D3694">
      <w:pPr>
        <w:keepNext/>
        <w:keepLines/>
        <w:rPr>
          <w:rFonts w:asciiTheme="minorHAnsi" w:hAnsiTheme="minorHAnsi" w:cstheme="minorHAnsi"/>
        </w:rPr>
      </w:pPr>
      <w:r w:rsidRPr="00747E35">
        <w:rPr>
          <w:rFonts w:asciiTheme="minorHAnsi" w:hAnsiTheme="minorHAnsi" w:cstheme="minorHAnsi"/>
        </w:rPr>
        <w:t>Hyporheic exchange processes</w:t>
      </w:r>
      <w:r w:rsidRPr="00747E35" w:rsidDel="00EF3762">
        <w:rPr>
          <w:rFonts w:asciiTheme="minorHAnsi" w:hAnsiTheme="minorHAnsi" w:cstheme="minorHAnsi"/>
        </w:rPr>
        <w:t xml:space="preserve"> </w:t>
      </w:r>
      <w:r w:rsidRPr="00747E35">
        <w:rPr>
          <w:rFonts w:asciiTheme="minorHAnsi" w:hAnsiTheme="minorHAnsi" w:cstheme="minorHAnsi"/>
        </w:rPr>
        <w:t>are important because aerobic metazoan aquatic invertebrates such as hyporheos and stygofauna require both dissolved oxygen (DO) and organic carbon (OC) for their respiration. Low OC fluxes could lead to a food-limited habitat, whereas high fluxes of reactive OC could deplete the DO content at relatively shallow depth in the streambed sediments and result in a DO-limited habitat. The balance and interplay between OC and DO is mediated by hyporheic exchange flows. Typically, an excess of labile OC over DO will lead to a sequence of reduction-oxidation (redox) reactions along hyporheic flow paths. Microbial communities performing denitrification, iron- and manganese-oxide reduction, sulphate reduction and methanogenesis will degrade OM along flow paths and cause a sequential change in water quality (Appelo and Postma, 2005). In the context of hyporheos and stygofauna these water quality changes can be described by the redox status of the pore water or groundwater. Importantly, whether the pore water is oxic (DO &gt; 0.5 mg/L), suboxic (DO &lt; 0.5 mg/L) or hypoxic – anoxic (DO &lt; 0.1 mg/L), exerts a strong influence on groundwater invertebrates (Malard and Hervant 1999; Hahn 2006). We also postulate that the presence of reduced ionic species such as ferrous iron and managanese, which are among the products of the redox sequence as DO is consumed, may also influence, or at least indicative of, the habitat conditions for invertebrates. Changes in hyporheic flow paths and flow rates as a result of lowered groundwater levels may change the fluxes of DO and OM which can alter the redox status in parts of the streambed and increase or reduce the habitable zone for invertebrates. In hyporheic patches where the pore water becomes anoxic, we expect invertebr</w:t>
      </w:r>
      <w:r w:rsidR="00847A55">
        <w:rPr>
          <w:rFonts w:asciiTheme="minorHAnsi" w:hAnsiTheme="minorHAnsi" w:cstheme="minorHAnsi"/>
        </w:rPr>
        <w:t>a</w:t>
      </w:r>
      <w:r w:rsidRPr="00747E35">
        <w:rPr>
          <w:rFonts w:asciiTheme="minorHAnsi" w:hAnsiTheme="minorHAnsi" w:cstheme="minorHAnsi"/>
        </w:rPr>
        <w:t xml:space="preserve">tes will be absent and the patch will be dominated by anaerobic microbial activity. </w:t>
      </w:r>
    </w:p>
    <w:p w14:paraId="030993D9" w14:textId="18938F29"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Malard et al. (2002) synthesized previous work on how the arrangement, length and sediment characteristics of gravel bars affect hyporheic exchange, biogeochemical processes and invertebrate assemblages. Spatial variations in bed topography and sediment permeability result in a mosaic of patch types (e.g. gravel versus sandy patches) that differ in their hydrological exchange rate with the surface stream. Biogeochemical processes and invertebrate assemblages vary among patch types as a function of the flux of advected channel water that determines the supply of organic matter and terminal electron acceptors. Malard et al. (2002) concluded that the overall effect of surface–subsurface hydrological exchanges on nutrient cycling and biodiversity in streams depends not only on the proportion of the different patch types, but also on the frequency distribution of patch size and shape. Malard et al. (2002) </w:t>
      </w:r>
      <w:r w:rsidRPr="00747E35">
        <w:rPr>
          <w:rFonts w:asciiTheme="minorHAnsi" w:hAnsiTheme="minorHAnsi" w:cstheme="minorHAnsi"/>
        </w:rPr>
        <w:lastRenderedPageBreak/>
        <w:t xml:space="preserve">predicted that because nutrients are essentially produced or depleted at the </w:t>
      </w:r>
      <w:r w:rsidR="006B2C7A">
        <w:rPr>
          <w:rFonts w:asciiTheme="minorHAnsi" w:hAnsiTheme="minorHAnsi" w:cstheme="minorHAnsi"/>
        </w:rPr>
        <w:t>downwelling</w:t>
      </w:r>
      <w:r w:rsidRPr="00747E35">
        <w:rPr>
          <w:rFonts w:asciiTheme="minorHAnsi" w:hAnsiTheme="minorHAnsi" w:cstheme="minorHAnsi"/>
        </w:rPr>
        <w:t xml:space="preserve"> end of hyporheic flow paths, reach-scale processing rates of nutrients should be greater in stretches with many small patches (e.g. short compact gravel bars) than in stretches with only a few large patches (e.g. large gravel bars).  From our literature review we have adopted Boulton et al.’s (2014) conceptual model of the hydrochemical changes along a hyporheic flow path, and modified it to include our hypothesised responses in relation to reduced iron (Fe</w:t>
      </w:r>
      <w:r w:rsidRPr="00747E35">
        <w:rPr>
          <w:rFonts w:asciiTheme="minorHAnsi" w:hAnsiTheme="minorHAnsi" w:cstheme="minorHAnsi"/>
          <w:vertAlign w:val="superscript"/>
        </w:rPr>
        <w:t>2+</w:t>
      </w:r>
      <w:r w:rsidRPr="00747E35">
        <w:rPr>
          <w:rFonts w:asciiTheme="minorHAnsi" w:hAnsiTheme="minorHAnsi" w:cstheme="minorHAnsi"/>
        </w:rPr>
        <w:t>) and hyporheic invertebrates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_Ref467208920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64</w:t>
      </w:r>
      <w:r w:rsidRPr="00747E35">
        <w:rPr>
          <w:rFonts w:asciiTheme="minorHAnsi" w:hAnsiTheme="minorHAnsi" w:cstheme="minorHAnsi"/>
          <w:highlight w:val="yellow"/>
        </w:rPr>
        <w:fldChar w:fldCharType="end"/>
      </w:r>
      <w:r w:rsidRPr="00747E35">
        <w:rPr>
          <w:rFonts w:asciiTheme="minorHAnsi" w:hAnsiTheme="minorHAnsi" w:cstheme="minorHAnsi"/>
        </w:rPr>
        <w:t xml:space="preserve">). </w:t>
      </w:r>
    </w:p>
    <w:p w14:paraId="21799798" w14:textId="77777777" w:rsidR="003D3694" w:rsidRPr="00747E35" w:rsidRDefault="003D3694" w:rsidP="003D3694">
      <w:pPr>
        <w:keepNext/>
        <w:keepLines/>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23EB39EB" wp14:editId="64521343">
            <wp:extent cx="5770880" cy="4439920"/>
            <wp:effectExtent l="19050" t="19050" r="20320" b="17780"/>
            <wp:docPr id="2248" name="Picture 2248"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rotWithShape="1">
                    <a:blip r:embed="rId111" cstate="print">
                      <a:extLst>
                        <a:ext uri="{28A0092B-C50C-407E-A947-70E740481C1C}">
                          <a14:useLocalDpi xmlns:a14="http://schemas.microsoft.com/office/drawing/2010/main"/>
                        </a:ext>
                      </a:extLst>
                    </a:blip>
                    <a:srcRect/>
                    <a:stretch/>
                  </pic:blipFill>
                  <pic:spPr bwMode="auto">
                    <a:xfrm>
                      <a:off x="0" y="0"/>
                      <a:ext cx="5768486" cy="443807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0B958B1" w14:textId="77777777" w:rsidR="003D3694" w:rsidRPr="00747E35" w:rsidRDefault="003D3694" w:rsidP="00566456">
      <w:pPr>
        <w:pStyle w:val="Caption"/>
        <w:numPr>
          <w:ilvl w:val="0"/>
          <w:numId w:val="0"/>
        </w:numPr>
        <w:rPr>
          <w:rFonts w:cstheme="minorHAnsi"/>
        </w:rPr>
      </w:pPr>
      <w:bookmarkStart w:id="202" w:name="_Ref467208920"/>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64</w:t>
      </w:r>
      <w:r w:rsidR="009D6600" w:rsidRPr="00747E35">
        <w:rPr>
          <w:rFonts w:cstheme="minorHAnsi"/>
          <w:noProof/>
        </w:rPr>
        <w:fldChar w:fldCharType="end"/>
      </w:r>
      <w:bookmarkEnd w:id="202"/>
      <w:r w:rsidRPr="00747E35">
        <w:rPr>
          <w:rFonts w:cstheme="minorHAnsi"/>
        </w:rPr>
        <w:t>: Conceptual schematic plan view of a gravel bar separating two pools (without surface flow between them) showing the relative gradients in biogeochemical processing that occur along the hyporheic flow path, and hypothetical responses  of invertebrates assemblages in terms of the overall diversity (richness / abundance) of taxa with predominantly epigean affinities (stygoxenes) and taxa with strong hypogean habitat (groundwater) affinities (stygophiles and stygobites).  Note that aerobic / anaerobic microbial processes have not been included here. Modified and expanded from Boulton et al. 2014.</w:t>
      </w:r>
    </w:p>
    <w:p w14:paraId="718C712A" w14:textId="77777777" w:rsidR="003D3694" w:rsidRPr="00747E35" w:rsidRDefault="003D3694" w:rsidP="003D3694">
      <w:pPr>
        <w:keepNext/>
        <w:keepLines/>
        <w:rPr>
          <w:rFonts w:asciiTheme="minorHAnsi" w:hAnsiTheme="minorHAnsi" w:cstheme="minorHAnsi"/>
        </w:rPr>
      </w:pPr>
    </w:p>
    <w:p w14:paraId="33DE438E"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Our hypotheses focus on three ecosystem responses:</w:t>
      </w:r>
    </w:p>
    <w:p w14:paraId="70D27C9E" w14:textId="77777777" w:rsidR="003D3694" w:rsidRPr="00747E35" w:rsidRDefault="003D3694" w:rsidP="0083624F">
      <w:pPr>
        <w:pStyle w:val="ListParagraph"/>
        <w:numPr>
          <w:ilvl w:val="0"/>
          <w:numId w:val="22"/>
        </w:numPr>
        <w:rPr>
          <w:rFonts w:asciiTheme="minorHAnsi" w:hAnsiTheme="minorHAnsi" w:cstheme="minorHAnsi"/>
        </w:rPr>
      </w:pPr>
      <w:r w:rsidRPr="00747E35">
        <w:rPr>
          <w:rFonts w:asciiTheme="minorHAnsi" w:hAnsiTheme="minorHAnsi" w:cstheme="minorHAnsi"/>
        </w:rPr>
        <w:t xml:space="preserve">Biogeochemical processing of nutrients and organic carbon </w:t>
      </w:r>
    </w:p>
    <w:p w14:paraId="5603B807" w14:textId="77777777" w:rsidR="003D3694" w:rsidRPr="00747E35" w:rsidRDefault="003D3694" w:rsidP="0083624F">
      <w:pPr>
        <w:pStyle w:val="ListParagraph"/>
        <w:numPr>
          <w:ilvl w:val="0"/>
          <w:numId w:val="22"/>
        </w:numPr>
        <w:rPr>
          <w:rFonts w:asciiTheme="minorHAnsi" w:hAnsiTheme="minorHAnsi" w:cstheme="minorHAnsi"/>
        </w:rPr>
      </w:pPr>
      <w:r w:rsidRPr="00747E35">
        <w:rPr>
          <w:rFonts w:asciiTheme="minorHAnsi" w:hAnsiTheme="minorHAnsi" w:cstheme="minorHAnsi"/>
        </w:rPr>
        <w:t>Organic matter decomposition rates</w:t>
      </w:r>
    </w:p>
    <w:p w14:paraId="67B7BD7B" w14:textId="77777777" w:rsidR="003D3694" w:rsidRPr="00747E35" w:rsidRDefault="003D3694" w:rsidP="0083624F">
      <w:pPr>
        <w:pStyle w:val="ListParagraph"/>
        <w:numPr>
          <w:ilvl w:val="0"/>
          <w:numId w:val="22"/>
        </w:numPr>
        <w:rPr>
          <w:rFonts w:asciiTheme="minorHAnsi" w:hAnsiTheme="minorHAnsi" w:cstheme="minorHAnsi"/>
        </w:rPr>
      </w:pPr>
      <w:r w:rsidRPr="00747E35">
        <w:rPr>
          <w:rFonts w:asciiTheme="minorHAnsi" w:hAnsiTheme="minorHAnsi" w:cstheme="minorHAnsi"/>
        </w:rPr>
        <w:t>Diversity of hyporheic invertebrates (hyporheos) including stygofauna</w:t>
      </w:r>
    </w:p>
    <w:p w14:paraId="0EED08D4" w14:textId="56A66928" w:rsidR="003D3694" w:rsidRPr="00747E35" w:rsidRDefault="003D3694" w:rsidP="003D3694">
      <w:pPr>
        <w:rPr>
          <w:rFonts w:asciiTheme="minorHAnsi" w:hAnsiTheme="minorHAnsi" w:cstheme="minorHAnsi"/>
        </w:rPr>
      </w:pPr>
      <w:bookmarkStart w:id="203" w:name="_Toc466449938"/>
      <w:bookmarkStart w:id="204" w:name="_Toc466450360"/>
      <w:bookmarkEnd w:id="194"/>
      <w:bookmarkEnd w:id="195"/>
      <w:r w:rsidRPr="00747E35">
        <w:rPr>
          <w:rFonts w:asciiTheme="minorHAnsi" w:hAnsiTheme="minorHAnsi" w:cstheme="minorHAnsi"/>
        </w:rPr>
        <w:t xml:space="preserve">Based on published literature and our preliminary conceptual models we anticipate the following responses to lowering stream and groundwater </w:t>
      </w:r>
      <w:r w:rsidR="006B2C7A">
        <w:rPr>
          <w:rFonts w:asciiTheme="minorHAnsi" w:hAnsiTheme="minorHAnsi" w:cstheme="minorHAnsi"/>
        </w:rPr>
        <w:t>baseflow</w:t>
      </w:r>
      <w:r w:rsidRPr="00747E35">
        <w:rPr>
          <w:rFonts w:asciiTheme="minorHAnsi" w:hAnsiTheme="minorHAnsi" w:cstheme="minorHAnsi"/>
        </w:rPr>
        <w:t xml:space="preserve"> levels:</w:t>
      </w:r>
    </w:p>
    <w:p w14:paraId="36786B22" w14:textId="77777777" w:rsidR="003D3694" w:rsidRPr="00747E35" w:rsidRDefault="003D3694" w:rsidP="0083624F">
      <w:pPr>
        <w:pStyle w:val="ListParagraph"/>
        <w:numPr>
          <w:ilvl w:val="0"/>
          <w:numId w:val="15"/>
        </w:numPr>
        <w:adjustRightInd w:val="0"/>
        <w:spacing w:before="60" w:after="120" w:line="240" w:lineRule="auto"/>
        <w:contextualSpacing w:val="0"/>
        <w:jc w:val="both"/>
        <w:rPr>
          <w:rFonts w:asciiTheme="minorHAnsi" w:hAnsiTheme="minorHAnsi" w:cstheme="minorHAnsi"/>
          <w:color w:val="000000" w:themeColor="text1"/>
        </w:rPr>
      </w:pPr>
      <w:r w:rsidRPr="00747E35">
        <w:rPr>
          <w:rFonts w:asciiTheme="minorHAnsi" w:hAnsiTheme="minorHAnsi" w:cstheme="minorHAnsi"/>
          <w:color w:val="000000" w:themeColor="text1"/>
        </w:rPr>
        <w:t>variation in stream flow regime and the degree of substrate saturation will influence organic matter processing in surface and hyporheic environments, with greater decomposition in wetter experimental periods and areas (as per Component 2).</w:t>
      </w:r>
    </w:p>
    <w:p w14:paraId="44B2C115" w14:textId="2E312093" w:rsidR="003D3694" w:rsidRPr="00747E35" w:rsidRDefault="003D3694" w:rsidP="0083624F">
      <w:pPr>
        <w:pStyle w:val="ListParagraph"/>
        <w:numPr>
          <w:ilvl w:val="0"/>
          <w:numId w:val="15"/>
        </w:numPr>
        <w:adjustRightInd w:val="0"/>
        <w:spacing w:before="60" w:after="120" w:line="240" w:lineRule="auto"/>
        <w:contextualSpacing w:val="0"/>
        <w:jc w:val="both"/>
        <w:rPr>
          <w:rFonts w:asciiTheme="minorHAnsi" w:hAnsiTheme="minorHAnsi" w:cstheme="minorHAnsi"/>
          <w:color w:val="000000" w:themeColor="text1"/>
        </w:rPr>
      </w:pPr>
      <w:r w:rsidRPr="00747E35">
        <w:rPr>
          <w:rFonts w:asciiTheme="minorHAnsi" w:hAnsiTheme="minorHAnsi" w:cstheme="minorHAnsi"/>
          <w:color w:val="000000" w:themeColor="text1"/>
        </w:rPr>
        <w:lastRenderedPageBreak/>
        <w:t xml:space="preserve">variation in groundwater discharge (stream flow regime gaining or losing) and hyporheic exchange flow direction (upwelling vs. </w:t>
      </w:r>
      <w:r w:rsidR="006B2C7A">
        <w:rPr>
          <w:rFonts w:asciiTheme="minorHAnsi" w:hAnsiTheme="minorHAnsi" w:cstheme="minorHAnsi"/>
          <w:color w:val="000000" w:themeColor="text1"/>
        </w:rPr>
        <w:t>downwelling</w:t>
      </w:r>
      <w:r w:rsidRPr="00747E35">
        <w:rPr>
          <w:rFonts w:asciiTheme="minorHAnsi" w:hAnsiTheme="minorHAnsi" w:cstheme="minorHAnsi"/>
          <w:color w:val="000000" w:themeColor="text1"/>
        </w:rPr>
        <w:t>) and flow path length, will influence the biogeochemical processing of nutrients and organic carbon (OC), dissolved oxygen (DO) and redox hydrochemistry.</w:t>
      </w:r>
    </w:p>
    <w:p w14:paraId="18A61248" w14:textId="77777777" w:rsidR="003D3694" w:rsidRPr="00747E35" w:rsidRDefault="003D3694" w:rsidP="0083624F">
      <w:pPr>
        <w:pStyle w:val="ListParagraph"/>
        <w:numPr>
          <w:ilvl w:val="0"/>
          <w:numId w:val="15"/>
        </w:numPr>
        <w:adjustRightInd w:val="0"/>
        <w:spacing w:before="60" w:after="240" w:line="240" w:lineRule="auto"/>
        <w:contextualSpacing w:val="0"/>
        <w:jc w:val="both"/>
        <w:rPr>
          <w:rFonts w:asciiTheme="minorHAnsi" w:hAnsiTheme="minorHAnsi" w:cstheme="minorHAnsi"/>
          <w:color w:val="000000" w:themeColor="text1"/>
        </w:rPr>
      </w:pPr>
      <w:r w:rsidRPr="00747E35">
        <w:rPr>
          <w:rFonts w:asciiTheme="minorHAnsi" w:hAnsiTheme="minorHAnsi" w:cstheme="minorHAnsi"/>
          <w:color w:val="000000" w:themeColor="text1"/>
        </w:rPr>
        <w:t>variation in stream flow regime, hyporheic exchange flows, organic carbon (OC), dissolved oxygen (DO) and redox hydrochemistry will influence the richness, abundance and functional composition of hyporheic invertebrate assemblages.</w:t>
      </w:r>
    </w:p>
    <w:p w14:paraId="36180ADB" w14:textId="77777777" w:rsidR="003D3694" w:rsidRPr="00747E35" w:rsidRDefault="003D3694" w:rsidP="0083624F">
      <w:pPr>
        <w:pStyle w:val="ListParagraph"/>
        <w:numPr>
          <w:ilvl w:val="0"/>
          <w:numId w:val="15"/>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color w:val="000000" w:themeColor="text1"/>
        </w:rPr>
        <w:t xml:space="preserve">variation in stream baseflow - groundwater connectivity will influence the capacity of hyporheic ecosystems to withstand environmental changes that result in lowering groundwater levels, and also their capacity to recover when groundwater levels are restored. </w:t>
      </w:r>
    </w:p>
    <w:p w14:paraId="53653DF6" w14:textId="77777777" w:rsidR="003D3694" w:rsidRPr="00747E35" w:rsidRDefault="003D3694" w:rsidP="003D3694">
      <w:pPr>
        <w:rPr>
          <w:rFonts w:asciiTheme="minorHAnsi" w:hAnsiTheme="minorHAnsi" w:cstheme="minorHAnsi"/>
        </w:rPr>
      </w:pPr>
    </w:p>
    <w:p w14:paraId="6E06EE5D" w14:textId="77777777" w:rsidR="003D3694" w:rsidRPr="00747E35" w:rsidRDefault="003D3694" w:rsidP="003D3694">
      <w:pPr>
        <w:pStyle w:val="Heading2"/>
        <w:rPr>
          <w:rFonts w:asciiTheme="minorHAnsi" w:hAnsiTheme="minorHAnsi" w:cstheme="minorHAnsi"/>
          <w:noProof/>
        </w:rPr>
      </w:pPr>
      <w:bookmarkStart w:id="205" w:name="_Toc467211716"/>
      <w:bookmarkStart w:id="206" w:name="_Toc470004868"/>
      <w:r w:rsidRPr="00747E35">
        <w:rPr>
          <w:rFonts w:asciiTheme="minorHAnsi" w:hAnsiTheme="minorHAnsi" w:cstheme="minorHAnsi"/>
          <w:noProof/>
        </w:rPr>
        <w:t>Study sites</w:t>
      </w:r>
      <w:bookmarkEnd w:id="205"/>
      <w:bookmarkEnd w:id="206"/>
    </w:p>
    <w:bookmarkEnd w:id="203"/>
    <w:bookmarkEnd w:id="204"/>
    <w:p w14:paraId="1AF36A7C" w14:textId="16E415E9" w:rsidR="003D3694" w:rsidRPr="00747E35" w:rsidRDefault="003D3694" w:rsidP="003D3694">
      <w:pPr>
        <w:keepNext/>
        <w:keepLines/>
        <w:rPr>
          <w:rFonts w:asciiTheme="minorHAnsi" w:hAnsiTheme="minorHAnsi" w:cstheme="minorHAnsi"/>
        </w:rPr>
      </w:pP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_Ref466373802 \h </w:instrText>
      </w:r>
      <w:r w:rsidR="00925BFC" w:rsidRPr="00747E35">
        <w:rPr>
          <w:rFonts w:asciiTheme="minorHAnsi" w:hAnsiTheme="minorHAnsi" w:cstheme="minorHAnsi"/>
          <w:lang w:eastAsia="en-AU"/>
        </w:rPr>
        <w:instrText xml:space="preserve"> \* MERGEFORMAT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65</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shows the Maules Creek catchment study sites, which are also depicted in a conceptual hydrogeological cross section aligned with the drainage of Maules, Horsearm and Middle </w:t>
      </w:r>
      <w:r w:rsidRPr="003C6665">
        <w:rPr>
          <w:rFonts w:ascii="Calibri" w:hAnsi="Calibri" w:cstheme="minorHAnsi"/>
          <w:lang w:eastAsia="en-AU"/>
        </w:rPr>
        <w:t xml:space="preserve">Creeks </w:t>
      </w:r>
      <w:r w:rsidRPr="003C6665">
        <w:rPr>
          <w:rFonts w:ascii="Calibri" w:hAnsi="Calibri" w:cstheme="minorHAnsi"/>
        </w:rPr>
        <w:t>(</w:t>
      </w:r>
      <w:r w:rsidRPr="003C6665">
        <w:rPr>
          <w:rFonts w:ascii="Calibri" w:hAnsi="Calibri" w:cstheme="minorHAnsi"/>
        </w:rPr>
        <w:fldChar w:fldCharType="begin"/>
      </w:r>
      <w:r w:rsidRPr="003C6665">
        <w:rPr>
          <w:rFonts w:ascii="Calibri" w:hAnsi="Calibri" w:cstheme="minorHAnsi"/>
        </w:rPr>
        <w:instrText xml:space="preserve"> REF _Ref466373837 \h  \* MERGEFORMAT </w:instrText>
      </w:r>
      <w:r w:rsidRPr="003C6665">
        <w:rPr>
          <w:rFonts w:ascii="Calibri" w:hAnsi="Calibri" w:cstheme="minorHAnsi"/>
        </w:rPr>
      </w:r>
      <w:r w:rsidRPr="003C6665">
        <w:rPr>
          <w:rFonts w:ascii="Calibri" w:hAnsi="Calibri" w:cstheme="minorHAnsi"/>
        </w:rPr>
        <w:fldChar w:fldCharType="separate"/>
      </w:r>
      <w:r w:rsidR="00D023DD" w:rsidRPr="00D023DD">
        <w:rPr>
          <w:rFonts w:ascii="Calibri" w:hAnsi="Calibri"/>
        </w:rPr>
        <w:t>Figure 66</w:t>
      </w:r>
      <w:r w:rsidRPr="003C6665">
        <w:rPr>
          <w:rFonts w:ascii="Calibri" w:hAnsi="Calibri" w:cstheme="minorHAnsi"/>
        </w:rPr>
        <w:fldChar w:fldCharType="end"/>
      </w:r>
      <w:r w:rsidRPr="003C6665">
        <w:rPr>
          <w:rFonts w:ascii="Calibri" w:hAnsi="Calibri" w:cstheme="minorHAnsi"/>
        </w:rPr>
        <w:t>), extending from the upstream intermittent site on Middle Creek via the perennial section</w:t>
      </w:r>
      <w:r w:rsidRPr="003C6665">
        <w:rPr>
          <w:rFonts w:ascii="Calibri" w:hAnsi="Calibri" w:cstheme="minorHAnsi"/>
          <w:lang w:eastAsia="en-AU"/>
        </w:rPr>
        <w:t xml:space="preserve"> of</w:t>
      </w:r>
      <w:r w:rsidRPr="00747E35">
        <w:rPr>
          <w:rFonts w:asciiTheme="minorHAnsi" w:hAnsiTheme="minorHAnsi" w:cstheme="minorHAnsi"/>
          <w:lang w:eastAsia="en-AU"/>
        </w:rPr>
        <w:t xml:space="preserve"> Horsearm Creek to the perennial losing downstream section of Maules </w:t>
      </w:r>
      <w:r w:rsidRPr="00747E35">
        <w:rPr>
          <w:rFonts w:asciiTheme="minorHAnsi" w:hAnsiTheme="minorHAnsi" w:cstheme="minorHAnsi"/>
        </w:rPr>
        <w:t xml:space="preserve">Creek. Detailed </w:t>
      </w:r>
      <w:r w:rsidRPr="00747E35">
        <w:rPr>
          <w:rFonts w:asciiTheme="minorHAnsi" w:hAnsiTheme="minorHAnsi" w:cstheme="minorHAnsi"/>
          <w:lang w:eastAsia="en-AU"/>
        </w:rPr>
        <w:t xml:space="preserve">maps of each study site are in the Appendix 3. Photographs of the Maules catchment study sites are shown in </w:t>
      </w:r>
      <w:r w:rsidR="009A3D4A" w:rsidRPr="00747E35">
        <w:rPr>
          <w:rFonts w:asciiTheme="minorHAnsi" w:hAnsiTheme="minorHAnsi" w:cstheme="minorHAnsi"/>
          <w:i/>
          <w:color w:val="5B9BD5" w:themeColor="accent1"/>
          <w:sz w:val="20"/>
          <w:szCs w:val="20"/>
          <w:highlight w:val="yellow"/>
        </w:rPr>
        <w:fldChar w:fldCharType="begin"/>
      </w:r>
      <w:r w:rsidR="009A3D4A" w:rsidRPr="00747E35">
        <w:rPr>
          <w:rFonts w:asciiTheme="minorHAnsi" w:hAnsiTheme="minorHAnsi" w:cstheme="minorHAnsi"/>
        </w:rPr>
        <w:instrText xml:space="preserve"> REF _Ref469043342 \h </w:instrText>
      </w:r>
      <w:r w:rsidR="00925BFC" w:rsidRPr="00747E35">
        <w:rPr>
          <w:rFonts w:asciiTheme="minorHAnsi" w:hAnsiTheme="minorHAnsi" w:cstheme="minorHAnsi"/>
          <w:i/>
          <w:color w:val="5B9BD5" w:themeColor="accent1"/>
          <w:sz w:val="20"/>
          <w:szCs w:val="20"/>
          <w:highlight w:val="yellow"/>
        </w:rPr>
        <w:instrText xml:space="preserve"> \* MERGEFORMAT </w:instrText>
      </w:r>
      <w:r w:rsidR="009A3D4A" w:rsidRPr="00747E35">
        <w:rPr>
          <w:rFonts w:asciiTheme="minorHAnsi" w:hAnsiTheme="minorHAnsi" w:cstheme="minorHAnsi"/>
          <w:i/>
          <w:color w:val="5B9BD5" w:themeColor="accent1"/>
          <w:sz w:val="20"/>
          <w:szCs w:val="20"/>
          <w:highlight w:val="yellow"/>
        </w:rPr>
      </w:r>
      <w:r w:rsidR="009A3D4A" w:rsidRPr="00747E35">
        <w:rPr>
          <w:rFonts w:asciiTheme="minorHAnsi" w:hAnsiTheme="minorHAnsi" w:cstheme="minorHAnsi"/>
          <w:i/>
          <w:color w:val="5B9BD5" w:themeColor="accent1"/>
          <w:sz w:val="20"/>
          <w:szCs w:val="20"/>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67</w:t>
      </w:r>
      <w:r w:rsidR="009A3D4A" w:rsidRPr="00747E35">
        <w:rPr>
          <w:rFonts w:asciiTheme="minorHAnsi" w:hAnsiTheme="minorHAnsi" w:cstheme="minorHAnsi"/>
          <w:i/>
          <w:color w:val="5B9BD5" w:themeColor="accent1"/>
          <w:sz w:val="20"/>
          <w:szCs w:val="20"/>
          <w:highlight w:val="yellow"/>
        </w:rPr>
        <w:fldChar w:fldCharType="end"/>
      </w:r>
      <w:r w:rsidRPr="00747E35">
        <w:rPr>
          <w:rFonts w:asciiTheme="minorHAnsi" w:hAnsiTheme="minorHAnsi" w:cstheme="minorHAnsi"/>
        </w:rPr>
        <w:t>, and</w:t>
      </w:r>
      <w:r w:rsidRPr="00747E35">
        <w:rPr>
          <w:rFonts w:asciiTheme="minorHAnsi" w:hAnsiTheme="minorHAnsi" w:cstheme="minorHAnsi"/>
          <w:i/>
          <w:color w:val="5B9BD5" w:themeColor="accent1"/>
          <w:sz w:val="20"/>
          <w:szCs w:val="20"/>
        </w:rPr>
        <w:t xml:space="preserve"> </w:t>
      </w:r>
      <w:r w:rsidRPr="00747E35">
        <w:rPr>
          <w:rFonts w:asciiTheme="minorHAnsi" w:hAnsiTheme="minorHAnsi" w:cstheme="minorHAnsi"/>
          <w:lang w:eastAsia="en-AU"/>
        </w:rPr>
        <w:t xml:space="preserve">Bremer catchment in </w:t>
      </w:r>
      <w:r w:rsidR="009A3D4A" w:rsidRPr="00747E35">
        <w:rPr>
          <w:rFonts w:asciiTheme="minorHAnsi" w:hAnsiTheme="minorHAnsi" w:cstheme="minorHAnsi"/>
          <w:i/>
          <w:color w:val="5B9BD5" w:themeColor="accent1"/>
          <w:sz w:val="20"/>
          <w:szCs w:val="20"/>
          <w:highlight w:val="yellow"/>
        </w:rPr>
        <w:fldChar w:fldCharType="begin"/>
      </w:r>
      <w:r w:rsidR="009A3D4A" w:rsidRPr="00747E35">
        <w:rPr>
          <w:rFonts w:asciiTheme="minorHAnsi" w:hAnsiTheme="minorHAnsi" w:cstheme="minorHAnsi"/>
        </w:rPr>
        <w:instrText xml:space="preserve"> REF _Ref469043352 \h </w:instrText>
      </w:r>
      <w:r w:rsidR="00925BFC" w:rsidRPr="00747E35">
        <w:rPr>
          <w:rFonts w:asciiTheme="minorHAnsi" w:hAnsiTheme="minorHAnsi" w:cstheme="minorHAnsi"/>
          <w:i/>
          <w:color w:val="5B9BD5" w:themeColor="accent1"/>
          <w:sz w:val="20"/>
          <w:szCs w:val="20"/>
          <w:highlight w:val="yellow"/>
        </w:rPr>
        <w:instrText xml:space="preserve"> \* MERGEFORMAT </w:instrText>
      </w:r>
      <w:r w:rsidR="009A3D4A" w:rsidRPr="00747E35">
        <w:rPr>
          <w:rFonts w:asciiTheme="minorHAnsi" w:hAnsiTheme="minorHAnsi" w:cstheme="minorHAnsi"/>
          <w:i/>
          <w:color w:val="5B9BD5" w:themeColor="accent1"/>
          <w:sz w:val="20"/>
          <w:szCs w:val="20"/>
          <w:highlight w:val="yellow"/>
        </w:rPr>
      </w:r>
      <w:r w:rsidR="009A3D4A" w:rsidRPr="00747E35">
        <w:rPr>
          <w:rFonts w:asciiTheme="minorHAnsi" w:hAnsiTheme="minorHAnsi" w:cstheme="minorHAnsi"/>
          <w:i/>
          <w:color w:val="5B9BD5" w:themeColor="accent1"/>
          <w:sz w:val="20"/>
          <w:szCs w:val="20"/>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68</w:t>
      </w:r>
      <w:r w:rsidR="009A3D4A" w:rsidRPr="00747E35">
        <w:rPr>
          <w:rFonts w:asciiTheme="minorHAnsi" w:hAnsiTheme="minorHAnsi" w:cstheme="minorHAnsi"/>
          <w:i/>
          <w:color w:val="5B9BD5" w:themeColor="accent1"/>
          <w:sz w:val="20"/>
          <w:szCs w:val="20"/>
          <w:highlight w:val="yellow"/>
        </w:rPr>
        <w:fldChar w:fldCharType="end"/>
      </w:r>
      <w:r w:rsidRPr="00747E35">
        <w:rPr>
          <w:rFonts w:asciiTheme="minorHAnsi" w:hAnsiTheme="minorHAnsi" w:cstheme="minorHAnsi"/>
          <w:i/>
          <w:color w:val="5B9BD5" w:themeColor="accent1"/>
          <w:sz w:val="20"/>
          <w:szCs w:val="20"/>
        </w:rPr>
        <w:t xml:space="preserve">. </w:t>
      </w:r>
      <w:r w:rsidRPr="00747E35">
        <w:rPr>
          <w:rFonts w:asciiTheme="minorHAnsi" w:hAnsiTheme="minorHAnsi" w:cstheme="minorHAnsi"/>
        </w:rPr>
        <w:t>Refer to component 2 section of this report for further details on the hydrology of the Bremer catchment study sites.</w:t>
      </w:r>
      <w:r w:rsidRPr="00747E35" w:rsidDel="008546EC">
        <w:rPr>
          <w:rFonts w:asciiTheme="minorHAnsi" w:hAnsiTheme="minorHAnsi" w:cstheme="minorHAnsi"/>
        </w:rPr>
        <w:t xml:space="preserve"> </w:t>
      </w:r>
    </w:p>
    <w:p w14:paraId="0748E4E7" w14:textId="77777777" w:rsidR="003D3694" w:rsidRPr="00747E35" w:rsidRDefault="003D3694" w:rsidP="003D3694">
      <w:pPr>
        <w:keepNext/>
        <w:keepLines/>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7E8E7D0C" wp14:editId="3B6B5E28">
            <wp:extent cx="6140933" cy="4276725"/>
            <wp:effectExtent l="0" t="0" r="0" b="0"/>
            <wp:docPr id="2079" name="Picture 2079" descr="Aerial/satellite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ulesCatchment_Labels16Nov2016_flat.jpg"/>
                    <pic:cNvPicPr/>
                  </pic:nvPicPr>
                  <pic:blipFill rotWithShape="1">
                    <a:blip r:embed="rId112" cstate="screen">
                      <a:extLst>
                        <a:ext uri="{28A0092B-C50C-407E-A947-70E740481C1C}">
                          <a14:useLocalDpi xmlns:a14="http://schemas.microsoft.com/office/drawing/2010/main"/>
                        </a:ext>
                      </a:extLst>
                    </a:blip>
                    <a:srcRect/>
                    <a:stretch/>
                  </pic:blipFill>
                  <pic:spPr bwMode="auto">
                    <a:xfrm>
                      <a:off x="0" y="0"/>
                      <a:ext cx="6146034" cy="4280277"/>
                    </a:xfrm>
                    <a:prstGeom prst="rect">
                      <a:avLst/>
                    </a:prstGeom>
                    <a:ln>
                      <a:noFill/>
                    </a:ln>
                    <a:extLst>
                      <a:ext uri="{53640926-AAD7-44D8-BBD7-CCE9431645EC}">
                        <a14:shadowObscured xmlns:a14="http://schemas.microsoft.com/office/drawing/2010/main"/>
                      </a:ext>
                    </a:extLst>
                  </pic:spPr>
                </pic:pic>
              </a:graphicData>
            </a:graphic>
          </wp:inline>
        </w:drawing>
      </w:r>
    </w:p>
    <w:p w14:paraId="12821AD5" w14:textId="77777777" w:rsidR="003D3694" w:rsidRPr="00747E35" w:rsidRDefault="003D3694" w:rsidP="00085C15">
      <w:pPr>
        <w:pStyle w:val="Caption"/>
        <w:numPr>
          <w:ilvl w:val="0"/>
          <w:numId w:val="0"/>
        </w:numPr>
        <w:rPr>
          <w:rFonts w:cstheme="minorHAnsi"/>
        </w:rPr>
      </w:pPr>
      <w:bookmarkStart w:id="207" w:name="_Ref46637380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65</w:t>
      </w:r>
      <w:r w:rsidR="009D6600" w:rsidRPr="00747E35">
        <w:rPr>
          <w:rFonts w:cstheme="minorHAnsi"/>
          <w:noProof/>
        </w:rPr>
        <w:fldChar w:fldCharType="end"/>
      </w:r>
      <w:bookmarkEnd w:id="207"/>
      <w:r w:rsidRPr="00747E35">
        <w:rPr>
          <w:rFonts w:cstheme="minorHAnsi"/>
        </w:rPr>
        <w:t>: Maules Creek catchment study area indicating base-flow regimes in Maules Creek, Horsearm Creek and Middle Creek, and showing bore infrastructure.</w:t>
      </w:r>
    </w:p>
    <w:p w14:paraId="244C179A" w14:textId="77777777" w:rsidR="003D3694" w:rsidRPr="00747E35" w:rsidRDefault="003D3694" w:rsidP="003D3694">
      <w:pPr>
        <w:rPr>
          <w:rFonts w:asciiTheme="minorHAnsi" w:hAnsiTheme="minorHAnsi" w:cstheme="minorHAnsi"/>
        </w:rPr>
        <w:sectPr w:rsidR="003D3694" w:rsidRPr="00747E35" w:rsidSect="0096743A">
          <w:footerReference w:type="even" r:id="rId113"/>
          <w:pgSz w:w="11906" w:h="16838"/>
          <w:pgMar w:top="1134" w:right="1134" w:bottom="1134" w:left="1134" w:header="709" w:footer="709" w:gutter="0"/>
          <w:cols w:space="708"/>
          <w:docGrid w:linePitch="360"/>
        </w:sectPr>
      </w:pPr>
    </w:p>
    <w:p w14:paraId="16322798" w14:textId="77777777" w:rsidR="003D3694" w:rsidRPr="00747E35" w:rsidRDefault="003D3694" w:rsidP="003D3694">
      <w:pPr>
        <w:rPr>
          <w:rFonts w:asciiTheme="minorHAnsi" w:hAnsiTheme="minorHAnsi" w:cstheme="minorHAnsi"/>
        </w:rPr>
      </w:pPr>
    </w:p>
    <w:p w14:paraId="1D25B1FC"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76FECF85" wp14:editId="44BB9ECC">
            <wp:extent cx="7124700" cy="4257675"/>
            <wp:effectExtent l="0" t="0" r="0" b="9525"/>
            <wp:docPr id="34" name="Picture 34"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7124700" cy="4257675"/>
                    </a:xfrm>
                    <a:prstGeom prst="rect">
                      <a:avLst/>
                    </a:prstGeom>
                    <a:noFill/>
                    <a:ln>
                      <a:noFill/>
                    </a:ln>
                  </pic:spPr>
                </pic:pic>
              </a:graphicData>
            </a:graphic>
          </wp:inline>
        </w:drawing>
      </w:r>
    </w:p>
    <w:p w14:paraId="4A29DA20" w14:textId="77777777" w:rsidR="003D3694" w:rsidRPr="00747E35" w:rsidRDefault="003D3694" w:rsidP="003D3694">
      <w:pPr>
        <w:rPr>
          <w:rFonts w:asciiTheme="minorHAnsi" w:hAnsiTheme="minorHAnsi" w:cstheme="minorHAnsi"/>
        </w:rPr>
        <w:sectPr w:rsidR="003D3694" w:rsidRPr="00747E35" w:rsidSect="0096743A">
          <w:pgSz w:w="16838" w:h="11906" w:orient="landscape"/>
          <w:pgMar w:top="1134" w:right="1134" w:bottom="1134" w:left="1134" w:header="709" w:footer="709" w:gutter="0"/>
          <w:cols w:space="708"/>
          <w:docGrid w:linePitch="360"/>
        </w:sectPr>
      </w:pPr>
      <w:bookmarkStart w:id="208" w:name="_Ref466373837"/>
      <w:r w:rsidRPr="00747E35">
        <w:rPr>
          <w:rStyle w:val="CaptionChar"/>
          <w:rFonts w:asciiTheme="minorHAnsi" w:hAnsiTheme="minorHAnsi" w:cstheme="minorHAnsi"/>
        </w:rPr>
        <w:t xml:space="preserve">Figure </w:t>
      </w:r>
      <w:r w:rsidRPr="00747E35">
        <w:rPr>
          <w:rStyle w:val="CaptionChar"/>
          <w:rFonts w:asciiTheme="minorHAnsi" w:hAnsiTheme="minorHAnsi" w:cstheme="minorHAnsi"/>
        </w:rPr>
        <w:fldChar w:fldCharType="begin"/>
      </w:r>
      <w:r w:rsidRPr="00747E35">
        <w:rPr>
          <w:rStyle w:val="CaptionChar"/>
          <w:rFonts w:asciiTheme="minorHAnsi" w:hAnsiTheme="minorHAnsi" w:cstheme="minorHAnsi"/>
        </w:rPr>
        <w:instrText xml:space="preserve"> SEQ Figure \* ARABIC </w:instrText>
      </w:r>
      <w:r w:rsidRPr="00747E35">
        <w:rPr>
          <w:rStyle w:val="CaptionChar"/>
          <w:rFonts w:asciiTheme="minorHAnsi" w:hAnsiTheme="minorHAnsi" w:cstheme="minorHAnsi"/>
        </w:rPr>
        <w:fldChar w:fldCharType="separate"/>
      </w:r>
      <w:r w:rsidR="00D023DD">
        <w:rPr>
          <w:rStyle w:val="CaptionChar"/>
          <w:rFonts w:asciiTheme="minorHAnsi" w:hAnsiTheme="minorHAnsi" w:cstheme="minorHAnsi"/>
          <w:noProof/>
        </w:rPr>
        <w:t>66</w:t>
      </w:r>
      <w:r w:rsidRPr="00747E35">
        <w:rPr>
          <w:rStyle w:val="CaptionChar"/>
          <w:rFonts w:asciiTheme="minorHAnsi" w:hAnsiTheme="minorHAnsi" w:cstheme="minorHAnsi"/>
        </w:rPr>
        <w:fldChar w:fldCharType="end"/>
      </w:r>
      <w:bookmarkEnd w:id="208"/>
      <w:r w:rsidRPr="00747E35">
        <w:rPr>
          <w:rStyle w:val="CaptionChar"/>
          <w:rFonts w:asciiTheme="minorHAnsi" w:hAnsiTheme="minorHAnsi" w:cstheme="minorHAnsi"/>
        </w:rPr>
        <w:t xml:space="preserve">: </w:t>
      </w:r>
      <w:r w:rsidRPr="00747E35">
        <w:rPr>
          <w:rFonts w:asciiTheme="minorHAnsi" w:hAnsiTheme="minorHAnsi" w:cstheme="minorHAnsi"/>
          <w:i/>
          <w:color w:val="5B9BD5" w:themeColor="accent1"/>
          <w:sz w:val="20"/>
          <w:szCs w:val="20"/>
        </w:rPr>
        <w:t>Conceptual longitudinal section from Middle Creek to Maules Creek showing the three hydrologic flow regimes with studied pools and riffles/bars numbered. Middle Creek is shown with losing conditions, however, it goes through 3 stages: (i) initial losing conditions during initial surface flow; (ii) a relatively long period of gaining conditions (or baseflow or return flow from bank storage); (iii) recession where the system becomes losing again. Note that not all pools and riffles are numbered and that the longitudinal distance is not to scale.</w:t>
      </w:r>
      <w:r w:rsidRPr="00747E35">
        <w:rPr>
          <w:rStyle w:val="CaptionChar"/>
          <w:rFonts w:asciiTheme="minorHAnsi" w:hAnsiTheme="minorHAnsi" w:cstheme="minorHAnsi"/>
        </w:rPr>
        <w:t xml:space="preserve"> </w:t>
      </w:r>
    </w:p>
    <w:p w14:paraId="42A1E5B3" w14:textId="77777777" w:rsidR="003D3694" w:rsidRPr="00747E35" w:rsidRDefault="003D3694" w:rsidP="009A3D4A">
      <w:pPr>
        <w:rPr>
          <w:rFonts w:asciiTheme="minorHAnsi" w:hAnsiTheme="minorHAnsi" w:cstheme="minorHAnsi"/>
        </w:rPr>
      </w:pPr>
      <w:bookmarkStart w:id="209" w:name="_Toc467211717"/>
      <w:r w:rsidRPr="00747E35">
        <w:rPr>
          <w:rFonts w:asciiTheme="minorHAnsi" w:hAnsiTheme="minorHAnsi" w:cstheme="minorHAnsi"/>
          <w:noProof/>
          <w:lang w:val="en-AU" w:eastAsia="en-AU"/>
        </w:rPr>
        <w:lastRenderedPageBreak/>
        <w:drawing>
          <wp:inline distT="0" distB="0" distL="0" distR="0" wp14:anchorId="551E3635" wp14:editId="5CBBCAE9">
            <wp:extent cx="5782402" cy="4495800"/>
            <wp:effectExtent l="0" t="0" r="8890" b="0"/>
            <wp:docPr id="4156" name="Picture 4156" descr="Grid of photo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5" cstate="screen">
                      <a:extLst>
                        <a:ext uri="{28A0092B-C50C-407E-A947-70E740481C1C}">
                          <a14:useLocalDpi xmlns:a14="http://schemas.microsoft.com/office/drawing/2010/main"/>
                        </a:ext>
                      </a:extLst>
                    </a:blip>
                    <a:srcRect/>
                    <a:stretch/>
                  </pic:blipFill>
                  <pic:spPr bwMode="auto">
                    <a:xfrm>
                      <a:off x="0" y="0"/>
                      <a:ext cx="5784433" cy="4497379"/>
                    </a:xfrm>
                    <a:prstGeom prst="rect">
                      <a:avLst/>
                    </a:prstGeom>
                    <a:noFill/>
                    <a:ln>
                      <a:noFill/>
                    </a:ln>
                    <a:extLst>
                      <a:ext uri="{53640926-AAD7-44D8-BBD7-CCE9431645EC}">
                        <a14:shadowObscured xmlns:a14="http://schemas.microsoft.com/office/drawing/2010/main"/>
                      </a:ext>
                    </a:extLst>
                  </pic:spPr>
                </pic:pic>
              </a:graphicData>
            </a:graphic>
          </wp:inline>
        </w:drawing>
      </w:r>
    </w:p>
    <w:p w14:paraId="57F5E954" w14:textId="108943D9" w:rsidR="003D3694" w:rsidRPr="00747E35" w:rsidRDefault="009A3D4A" w:rsidP="00085C15">
      <w:pPr>
        <w:pStyle w:val="Caption"/>
        <w:numPr>
          <w:ilvl w:val="0"/>
          <w:numId w:val="0"/>
        </w:numPr>
        <w:rPr>
          <w:rFonts w:cstheme="minorHAnsi"/>
          <w:i w:val="0"/>
        </w:rPr>
      </w:pPr>
      <w:bookmarkStart w:id="210" w:name="_Ref46904334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67</w:t>
      </w:r>
      <w:r w:rsidR="009D6600" w:rsidRPr="00747E35">
        <w:rPr>
          <w:rFonts w:cstheme="minorHAnsi"/>
          <w:noProof/>
        </w:rPr>
        <w:fldChar w:fldCharType="end"/>
      </w:r>
      <w:bookmarkEnd w:id="210"/>
      <w:r w:rsidRPr="00747E35">
        <w:rPr>
          <w:rFonts w:cstheme="minorHAnsi"/>
        </w:rPr>
        <w:t xml:space="preserve">: </w:t>
      </w:r>
      <w:r w:rsidR="003D3694" w:rsidRPr="00747E35">
        <w:rPr>
          <w:rFonts w:cstheme="minorHAnsi"/>
          <w:i w:val="0"/>
        </w:rPr>
        <w:t xml:space="preserve">Maules catchment study sites: Middle Creek intermittent section, September 2015 (A), November 2015 (B), February 2016 (C); Horsearm Creek perennial gaining disconnected pools section, February 2015 (D), perennial gaining connected pools and riffle section (E); Maules Creek just upstream of Elfin Crossing (F); Maules Creek losing section, Riffle 11 July 2015 (G), October 2015 (H), Pool 39, February 2016 (I). </w:t>
      </w:r>
    </w:p>
    <w:p w14:paraId="7CFC9719" w14:textId="77777777" w:rsidR="009A3D4A" w:rsidRPr="00747E35" w:rsidRDefault="009A3D4A" w:rsidP="009A3D4A">
      <w:pPr>
        <w:rPr>
          <w:rFonts w:asciiTheme="minorHAnsi" w:hAnsiTheme="minorHAnsi" w:cstheme="minorHAnsi"/>
          <w:lang w:val="en-AU" w:eastAsia="en-US"/>
        </w:rPr>
      </w:pPr>
    </w:p>
    <w:p w14:paraId="10052B89" w14:textId="77777777" w:rsidR="003D3694" w:rsidRPr="00747E35" w:rsidRDefault="003D3694" w:rsidP="003D3694">
      <w:pPr>
        <w:rPr>
          <w:rFonts w:asciiTheme="minorHAnsi" w:hAnsiTheme="minorHAnsi" w:cstheme="minorHAnsi"/>
          <w:noProof/>
        </w:rPr>
      </w:pPr>
      <w:r w:rsidRPr="00747E35">
        <w:rPr>
          <w:rFonts w:asciiTheme="minorHAnsi" w:hAnsiTheme="minorHAnsi" w:cstheme="minorHAnsi"/>
          <w:noProof/>
          <w:lang w:val="en-AU" w:eastAsia="en-AU"/>
        </w:rPr>
        <w:drawing>
          <wp:inline distT="0" distB="0" distL="0" distR="0" wp14:anchorId="73F7B3A8" wp14:editId="12B26CA9">
            <wp:extent cx="5782310" cy="3055131"/>
            <wp:effectExtent l="0" t="0" r="8890" b="0"/>
            <wp:docPr id="4157" name="Picture 4157" descr="Grid of photo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6" cstate="screen">
                      <a:extLst>
                        <a:ext uri="{28A0092B-C50C-407E-A947-70E740481C1C}">
                          <a14:useLocalDpi xmlns:a14="http://schemas.microsoft.com/office/drawing/2010/main"/>
                        </a:ext>
                      </a:extLst>
                    </a:blip>
                    <a:srcRect/>
                    <a:stretch/>
                  </pic:blipFill>
                  <pic:spPr bwMode="auto">
                    <a:xfrm>
                      <a:off x="0" y="0"/>
                      <a:ext cx="5789629" cy="3058998"/>
                    </a:xfrm>
                    <a:prstGeom prst="rect">
                      <a:avLst/>
                    </a:prstGeom>
                    <a:noFill/>
                    <a:ln>
                      <a:noFill/>
                    </a:ln>
                    <a:extLst>
                      <a:ext uri="{53640926-AAD7-44D8-BBD7-CCE9431645EC}">
                        <a14:shadowObscured xmlns:a14="http://schemas.microsoft.com/office/drawing/2010/main"/>
                      </a:ext>
                    </a:extLst>
                  </pic:spPr>
                </pic:pic>
              </a:graphicData>
            </a:graphic>
          </wp:inline>
        </w:drawing>
      </w:r>
    </w:p>
    <w:p w14:paraId="3163EF74" w14:textId="5B5BD6DF" w:rsidR="003D3694" w:rsidRPr="00747E35" w:rsidRDefault="009A3D4A" w:rsidP="00085C15">
      <w:pPr>
        <w:pStyle w:val="Caption"/>
        <w:numPr>
          <w:ilvl w:val="0"/>
          <w:numId w:val="0"/>
        </w:numPr>
        <w:rPr>
          <w:rFonts w:cstheme="minorHAnsi"/>
          <w:i w:val="0"/>
        </w:rPr>
      </w:pPr>
      <w:bookmarkStart w:id="211" w:name="_Ref46904335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68</w:t>
      </w:r>
      <w:r w:rsidR="009D6600" w:rsidRPr="00747E35">
        <w:rPr>
          <w:rFonts w:cstheme="minorHAnsi"/>
          <w:noProof/>
        </w:rPr>
        <w:fldChar w:fldCharType="end"/>
      </w:r>
      <w:bookmarkEnd w:id="211"/>
      <w:r w:rsidRPr="00747E35">
        <w:rPr>
          <w:rFonts w:cstheme="minorHAnsi"/>
        </w:rPr>
        <w:t>:</w:t>
      </w:r>
      <w:r w:rsidR="003D3694" w:rsidRPr="00747E35">
        <w:rPr>
          <w:rFonts w:cstheme="minorHAnsi"/>
          <w:i w:val="0"/>
        </w:rPr>
        <w:t xml:space="preserve"> Bremer catchment study sites: Warrill Creek (A); Reynolds Creek (B); Bremer Creek (C); Coulson Creek (D); Wild Cattle Creek (E). </w:t>
      </w:r>
    </w:p>
    <w:p w14:paraId="61E5EFF5" w14:textId="77777777" w:rsidR="003D3694" w:rsidRPr="00747E35" w:rsidRDefault="003D3694" w:rsidP="003D3694">
      <w:pPr>
        <w:rPr>
          <w:rFonts w:asciiTheme="minorHAnsi" w:hAnsiTheme="minorHAnsi" w:cstheme="minorHAnsi"/>
        </w:rPr>
      </w:pPr>
    </w:p>
    <w:p w14:paraId="4D337A65" w14:textId="5EDAD5B5" w:rsidR="003D3694" w:rsidRPr="00747E35" w:rsidRDefault="003D3694" w:rsidP="003D3694">
      <w:pPr>
        <w:pStyle w:val="Heading2"/>
        <w:rPr>
          <w:rFonts w:asciiTheme="minorHAnsi" w:hAnsiTheme="minorHAnsi" w:cstheme="minorHAnsi"/>
          <w:noProof/>
        </w:rPr>
      </w:pPr>
      <w:bookmarkStart w:id="212" w:name="_Toc470004869"/>
      <w:r w:rsidRPr="00747E35">
        <w:rPr>
          <w:rFonts w:asciiTheme="minorHAnsi" w:hAnsiTheme="minorHAnsi" w:cstheme="minorHAnsi"/>
          <w:noProof/>
        </w:rPr>
        <w:lastRenderedPageBreak/>
        <w:t>Methods</w:t>
      </w:r>
      <w:bookmarkEnd w:id="209"/>
      <w:bookmarkEnd w:id="212"/>
    </w:p>
    <w:p w14:paraId="4AEB6037" w14:textId="35255E43" w:rsidR="003D3694" w:rsidRPr="00747E35" w:rsidRDefault="003D3694" w:rsidP="00085C15">
      <w:pPr>
        <w:pStyle w:val="Heading3"/>
        <w:rPr>
          <w:rFonts w:asciiTheme="minorHAnsi" w:hAnsiTheme="minorHAnsi" w:cstheme="minorHAnsi"/>
        </w:rPr>
      </w:pPr>
      <w:bookmarkStart w:id="213" w:name="_Toc470004870"/>
      <w:r w:rsidRPr="00747E35">
        <w:rPr>
          <w:rFonts w:asciiTheme="minorHAnsi" w:hAnsiTheme="minorHAnsi" w:cstheme="minorHAnsi"/>
        </w:rPr>
        <w:t>Hyporheic zone field campaigns</w:t>
      </w:r>
      <w:bookmarkEnd w:id="213"/>
    </w:p>
    <w:p w14:paraId="42D6EA8F"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main comparative sampling effort in the upper Bremer River catchment and Maules Creek catchment was undertaken in October 2015 (Round 1) and February 2016 (Round 2). These periods spanned the wet/dry seasons at Bremer, and the cool/hot seasons at Maules. The seasonal sampling campaigns were synchronised and occurred within the same two-week period at both locations. At the upper Bremer River catchment, five streams with intermittent flow regimes were sampled and at the Maules Creek catchment, three sites with intermittent losing, perennial gaining, and perennial losing regimes respectively. At Maules Creek catchment, additional sampling was undertaken at different sites and times to more fully characterise the spatial and temporal variability in each flow regime class and contrasting conditions of hyporheic exchange. </w:t>
      </w:r>
    </w:p>
    <w:p w14:paraId="49F13BDA" w14:textId="19F931A9"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overall survey effort at Maules Creek catchment comprised 159 samples of hyporheic fauna, most with concurrent field water quality measurements and comprehensive hydrochemical analysis (excluding the initial pilot study). These samples were spread across fourteen sub-sites (Appendix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_Ref467009979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155</w:t>
      </w:r>
      <w:r w:rsidRPr="00747E35">
        <w:rPr>
          <w:rFonts w:asciiTheme="minorHAnsi" w:hAnsiTheme="minorHAnsi" w:cstheme="minorHAnsi"/>
          <w:highlight w:val="yellow"/>
        </w:rPr>
        <w:fldChar w:fldCharType="end"/>
      </w:r>
      <w:r w:rsidRPr="00747E35">
        <w:rPr>
          <w:rFonts w:asciiTheme="minorHAnsi" w:hAnsiTheme="minorHAnsi" w:cstheme="minorHAnsi"/>
        </w:rPr>
        <w:t>-</w:t>
      </w:r>
      <w:r w:rsidRPr="00747E35">
        <w:rPr>
          <w:rFonts w:asciiTheme="minorHAnsi" w:hAnsiTheme="minorHAnsi" w:cstheme="minorHAnsi"/>
        </w:rPr>
        <w:fldChar w:fldCharType="begin"/>
      </w:r>
      <w:r w:rsidRPr="00747E35">
        <w:rPr>
          <w:rFonts w:asciiTheme="minorHAnsi" w:hAnsiTheme="minorHAnsi" w:cstheme="minorHAnsi"/>
        </w:rPr>
        <w:instrText xml:space="preserve"> REF _Ref467010021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157</w:t>
      </w:r>
      <w:r w:rsidRPr="00747E35">
        <w:rPr>
          <w:rFonts w:asciiTheme="minorHAnsi" w:hAnsiTheme="minorHAnsi" w:cstheme="minorHAnsi"/>
        </w:rPr>
        <w:fldChar w:fldCharType="end"/>
      </w:r>
      <w:r w:rsidRPr="00747E35">
        <w:rPr>
          <w:rFonts w:asciiTheme="minorHAnsi" w:hAnsiTheme="minorHAnsi" w:cstheme="minorHAnsi"/>
        </w:rPr>
        <w:t>) of which seven sub-sites were sampled on two occasions. The survey effort in the upper Bremer River catchment comprised 57 samples from five sub-sites, also with concurrent hydrochemistry sampling. The total field survey effort for Component 3 involved ten field trips undertaken between February 2015 and June 2016. Details of the survey effort for hyporheic invertebrates and matching hydrochemistry are available in the Appendix (</w:t>
      </w:r>
      <w:r w:rsidRPr="00747E35">
        <w:rPr>
          <w:rFonts w:asciiTheme="minorHAnsi" w:hAnsiTheme="minorHAnsi" w:cstheme="minorHAnsi"/>
        </w:rPr>
        <w:fldChar w:fldCharType="begin"/>
      </w:r>
      <w:r w:rsidRPr="00747E35">
        <w:rPr>
          <w:rFonts w:asciiTheme="minorHAnsi" w:hAnsiTheme="minorHAnsi" w:cstheme="minorHAnsi"/>
        </w:rPr>
        <w:instrText xml:space="preserve"> REF _Ref467011006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47</w:t>
      </w:r>
      <w:r w:rsidRPr="00747E35">
        <w:rPr>
          <w:rFonts w:asciiTheme="minorHAnsi" w:hAnsiTheme="minorHAnsi" w:cstheme="minorHAnsi"/>
        </w:rPr>
        <w:fldChar w:fldCharType="end"/>
      </w:r>
      <w:r w:rsidRPr="00747E35">
        <w:rPr>
          <w:rFonts w:asciiTheme="minorHAnsi" w:hAnsiTheme="minorHAnsi" w:cstheme="minorHAnsi"/>
        </w:rPr>
        <w:t xml:space="preserve"> - </w:t>
      </w:r>
      <w:r w:rsidRPr="00747E35">
        <w:rPr>
          <w:rFonts w:asciiTheme="minorHAnsi" w:hAnsiTheme="minorHAnsi" w:cstheme="minorHAnsi"/>
        </w:rPr>
        <w:fldChar w:fldCharType="begin"/>
      </w:r>
      <w:r w:rsidRPr="00747E35">
        <w:rPr>
          <w:rFonts w:asciiTheme="minorHAnsi" w:hAnsiTheme="minorHAnsi" w:cstheme="minorHAnsi"/>
        </w:rPr>
        <w:instrText xml:space="preserve"> REF _Ref467011023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48</w:t>
      </w:r>
      <w:r w:rsidRPr="00747E35">
        <w:rPr>
          <w:rFonts w:asciiTheme="minorHAnsi" w:hAnsiTheme="minorHAnsi" w:cstheme="minorHAnsi"/>
        </w:rPr>
        <w:fldChar w:fldCharType="end"/>
      </w:r>
      <w:r w:rsidRPr="00747E35">
        <w:rPr>
          <w:rFonts w:asciiTheme="minorHAnsi" w:hAnsiTheme="minorHAnsi" w:cstheme="minorHAnsi"/>
        </w:rPr>
        <w:t>).</w:t>
      </w:r>
    </w:p>
    <w:p w14:paraId="4691F41C" w14:textId="6A8D2AB1" w:rsidR="003D3694" w:rsidRPr="00747E35" w:rsidRDefault="003D3694" w:rsidP="00085C15">
      <w:pPr>
        <w:pStyle w:val="Heading3"/>
        <w:rPr>
          <w:rFonts w:asciiTheme="minorHAnsi" w:hAnsiTheme="minorHAnsi" w:cstheme="minorHAnsi"/>
        </w:rPr>
      </w:pPr>
      <w:bookmarkStart w:id="214" w:name="_Toc470004871"/>
      <w:r w:rsidRPr="00747E35">
        <w:rPr>
          <w:rFonts w:asciiTheme="minorHAnsi" w:hAnsiTheme="minorHAnsi" w:cstheme="minorHAnsi"/>
        </w:rPr>
        <w:t>Aquifer sampling field campaigns</w:t>
      </w:r>
      <w:bookmarkEnd w:id="214"/>
    </w:p>
    <w:p w14:paraId="684EAECF" w14:textId="0B51F132" w:rsidR="003D3694" w:rsidRPr="00747E35" w:rsidRDefault="003D3694" w:rsidP="003D3694">
      <w:pPr>
        <w:keepNext/>
        <w:keepLines/>
        <w:rPr>
          <w:rFonts w:asciiTheme="minorHAnsi" w:hAnsiTheme="minorHAnsi" w:cstheme="minorHAnsi"/>
        </w:rPr>
      </w:pPr>
      <w:r w:rsidRPr="00747E35">
        <w:rPr>
          <w:rFonts w:asciiTheme="minorHAnsi" w:hAnsiTheme="minorHAnsi" w:cstheme="minorHAnsi"/>
        </w:rPr>
        <w:t>In September 2015 and February 2016, fifteen existing groundwater bores were sampled at five locations alongside Middle Creek, Horsearm Creek, and Maules Creek. Most bores take in water from the superficial alluvial aquifer (hereafter referred to as the shallow aquifer) which comprises sands, silts and gravels. This aquifer is believed to be of Quaternary age. The bores are predominantly located adjacent to creeks covering all three hydrologic regimes encountered in the Maules Creek catchment from intermittent to perennial losing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_Ref466444906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16</w:t>
      </w:r>
      <w:r w:rsidRPr="00747E35">
        <w:rPr>
          <w:rFonts w:asciiTheme="minorHAnsi" w:hAnsiTheme="minorHAnsi" w:cstheme="minorHAnsi"/>
          <w:noProof/>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_Ref466373802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65</w:t>
      </w:r>
      <w:r w:rsidRPr="00747E35">
        <w:rPr>
          <w:rFonts w:asciiTheme="minorHAnsi" w:hAnsiTheme="minorHAnsi" w:cstheme="minorHAnsi"/>
          <w:noProof/>
        </w:rPr>
        <w:fldChar w:fldCharType="end"/>
      </w:r>
      <w:r w:rsidRPr="00747E35">
        <w:rPr>
          <w:rFonts w:asciiTheme="minorHAnsi" w:hAnsiTheme="minorHAnsi" w:cstheme="minorHAnsi"/>
        </w:rPr>
        <w:t>). Three locations have multiple bores close to the creeks (5 m to 70 m). The bores have their bore- screens at different depths, and at different distances away from the creek bank, enabling a degree of horizontal and vertical stratification in sampling the aquifer. The screened interval was approximately one metre. At least two bores (BH12-4 and BH20-4) were screened in the deeper Maules Creek Formation (MCF), which is a Permian aged fractured-rock aquifer consisting of variable layers of claystone, siltstone, sandstone, conglomerate and coal. At Elfin Crossing (BH12-4) the MCF sits below a clay aquitard at approximately 25 m. At one bore (BH19-2) the age of the aquifer intersected at the screened depth of 23 m is unknown.</w:t>
      </w:r>
    </w:p>
    <w:p w14:paraId="2D9536D5" w14:textId="77777777" w:rsidR="003D3694" w:rsidRPr="00747E35" w:rsidRDefault="003D3694" w:rsidP="003D3694">
      <w:pPr>
        <w:keepNext/>
        <w:keepLines/>
        <w:rPr>
          <w:rFonts w:asciiTheme="minorHAnsi" w:hAnsiTheme="minorHAnsi" w:cstheme="minorHAnsi"/>
        </w:rPr>
      </w:pPr>
      <w:r w:rsidRPr="00747E35">
        <w:rPr>
          <w:rFonts w:asciiTheme="minorHAnsi" w:hAnsiTheme="minorHAnsi" w:cstheme="minorHAnsi"/>
        </w:rPr>
        <w:t xml:space="preserve">A qualitative estimation of the similarity between the water chemistry in bore and creek waters (sampled in May 2014 and Sept 2015) was made based on electrical conductivity (EC), alkalinity, Na and Cl. A high similarity was interpreted as high connectivity (i.e. where the creek is recharging the groundwater); however, dissimilarity does not necessarily mean a lack of connectivity (e.g. slow groundwater discharge to the creek could still have high connectivity). Aquifer permeability was qualitatively assessed during pump sampling and also from previous permeability tests undertaken by </w:t>
      </w:r>
      <w:bookmarkStart w:id="215" w:name="_Ref452278997"/>
      <w:r w:rsidRPr="00747E35">
        <w:rPr>
          <w:rFonts w:asciiTheme="minorHAnsi" w:hAnsiTheme="minorHAnsi" w:cstheme="minorHAnsi"/>
        </w:rPr>
        <w:t>UNSW (unpublished data).</w:t>
      </w:r>
    </w:p>
    <w:p w14:paraId="506557FA" w14:textId="77777777" w:rsidR="003D3694" w:rsidRPr="00747E35" w:rsidRDefault="003D3694" w:rsidP="003D3694">
      <w:pPr>
        <w:keepNext/>
        <w:keepLines/>
        <w:rPr>
          <w:rFonts w:asciiTheme="minorHAnsi" w:hAnsiTheme="minorHAnsi" w:cstheme="minorHAnsi"/>
        </w:rPr>
        <w:sectPr w:rsidR="003D3694" w:rsidRPr="00747E35" w:rsidSect="0096743A">
          <w:footerReference w:type="even" r:id="rId117"/>
          <w:type w:val="continuous"/>
          <w:pgSz w:w="11906" w:h="16838"/>
          <w:pgMar w:top="1134" w:right="1134" w:bottom="1134" w:left="1134" w:header="709" w:footer="709" w:gutter="0"/>
          <w:cols w:space="708"/>
          <w:docGrid w:linePitch="360"/>
        </w:sectPr>
      </w:pPr>
    </w:p>
    <w:p w14:paraId="5AED006A" w14:textId="77777777" w:rsidR="003D3694" w:rsidRPr="00747E35" w:rsidRDefault="003D3694" w:rsidP="00085C15">
      <w:pPr>
        <w:pStyle w:val="Caption"/>
        <w:numPr>
          <w:ilvl w:val="0"/>
          <w:numId w:val="0"/>
        </w:numPr>
        <w:rPr>
          <w:rFonts w:cstheme="minorHAnsi"/>
        </w:rPr>
      </w:pPr>
      <w:bookmarkStart w:id="216" w:name="_Ref466444906"/>
      <w:bookmarkEnd w:id="215"/>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16</w:t>
      </w:r>
      <w:r w:rsidR="009D6600" w:rsidRPr="00747E35">
        <w:rPr>
          <w:rFonts w:cstheme="minorHAnsi"/>
          <w:noProof/>
        </w:rPr>
        <w:fldChar w:fldCharType="end"/>
      </w:r>
      <w:bookmarkEnd w:id="216"/>
      <w:r w:rsidRPr="00747E35">
        <w:rPr>
          <w:rFonts w:cstheme="minorHAnsi"/>
        </w:rPr>
        <w:t>: Bore details including location, depth, aquifer, permeability, bore distance from creek, inferred aquifer-creek geochemical connectivity, creek flow regime, and sampled volumes in September 2016 and February 2016. Geochemical similarity to creek surface water (inferred connectivity) Similarity: +++ high; ++ intermediate; + low; - No similarity</w:t>
      </w:r>
    </w:p>
    <w:tbl>
      <w:tblPr>
        <w:tblStyle w:val="TableGrid"/>
        <w:tblW w:w="0" w:type="auto"/>
        <w:tblLook w:val="04A0" w:firstRow="1" w:lastRow="0" w:firstColumn="1" w:lastColumn="0" w:noHBand="0" w:noVBand="1"/>
      </w:tblPr>
      <w:tblGrid>
        <w:gridCol w:w="2938"/>
        <w:gridCol w:w="759"/>
        <w:gridCol w:w="881"/>
        <w:gridCol w:w="901"/>
        <w:gridCol w:w="742"/>
        <w:gridCol w:w="928"/>
        <w:gridCol w:w="1170"/>
        <w:gridCol w:w="1350"/>
        <w:gridCol w:w="869"/>
        <w:gridCol w:w="1701"/>
        <w:gridCol w:w="1404"/>
        <w:gridCol w:w="917"/>
      </w:tblGrid>
      <w:tr w:rsidR="003D3694" w:rsidRPr="00747E35" w14:paraId="39F43084" w14:textId="77777777" w:rsidTr="00BB5645">
        <w:trPr>
          <w:trHeight w:val="20"/>
          <w:tblHeader/>
        </w:trPr>
        <w:tc>
          <w:tcPr>
            <w:tcW w:w="0" w:type="auto"/>
            <w:shd w:val="clear" w:color="auto" w:fill="DEEAF6" w:themeFill="accent1" w:themeFillTint="33"/>
            <w:hideMark/>
          </w:tcPr>
          <w:p w14:paraId="5135C03E" w14:textId="77777777" w:rsidR="003D3694" w:rsidRPr="00747E35" w:rsidRDefault="003D3694" w:rsidP="0096743A">
            <w:pPr>
              <w:pStyle w:val="Tabletext"/>
              <w:spacing w:before="0" w:after="0"/>
              <w:rPr>
                <w:rFonts w:cstheme="minorHAnsi"/>
                <w:b/>
              </w:rPr>
            </w:pPr>
            <w:r w:rsidRPr="00747E35">
              <w:rPr>
                <w:rFonts w:cstheme="minorHAnsi"/>
                <w:b/>
              </w:rPr>
              <w:t>Section</w:t>
            </w:r>
          </w:p>
        </w:tc>
        <w:tc>
          <w:tcPr>
            <w:tcW w:w="0" w:type="auto"/>
            <w:shd w:val="clear" w:color="auto" w:fill="DEEAF6" w:themeFill="accent1" w:themeFillTint="33"/>
            <w:hideMark/>
          </w:tcPr>
          <w:p w14:paraId="161CED48" w14:textId="77777777" w:rsidR="003D3694" w:rsidRPr="00747E35" w:rsidRDefault="003D3694" w:rsidP="0096743A">
            <w:pPr>
              <w:pStyle w:val="Tabletext"/>
              <w:spacing w:before="0" w:after="0"/>
              <w:rPr>
                <w:rFonts w:cstheme="minorHAnsi"/>
                <w:b/>
              </w:rPr>
            </w:pPr>
            <w:r w:rsidRPr="00747E35">
              <w:rPr>
                <w:rFonts w:cstheme="minorHAnsi"/>
                <w:b/>
              </w:rPr>
              <w:t>Bore No.</w:t>
            </w:r>
          </w:p>
        </w:tc>
        <w:tc>
          <w:tcPr>
            <w:tcW w:w="0" w:type="auto"/>
            <w:shd w:val="clear" w:color="auto" w:fill="DEEAF6" w:themeFill="accent1" w:themeFillTint="33"/>
            <w:hideMark/>
          </w:tcPr>
          <w:p w14:paraId="6EC7A611" w14:textId="77777777" w:rsidR="003D3694" w:rsidRPr="00747E35" w:rsidRDefault="003D3694" w:rsidP="0096743A">
            <w:pPr>
              <w:pStyle w:val="Tabletext"/>
              <w:spacing w:before="0" w:after="0"/>
              <w:rPr>
                <w:rFonts w:cstheme="minorHAnsi"/>
                <w:b/>
              </w:rPr>
            </w:pPr>
            <w:r w:rsidRPr="00747E35">
              <w:rPr>
                <w:rFonts w:cstheme="minorHAnsi"/>
                <w:b/>
              </w:rPr>
              <w:t>Northing</w:t>
            </w:r>
          </w:p>
          <w:p w14:paraId="7C3ABBE1" w14:textId="77777777" w:rsidR="003D3694" w:rsidRPr="00747E35" w:rsidRDefault="003D3694" w:rsidP="0096743A">
            <w:pPr>
              <w:pStyle w:val="Tabletext"/>
              <w:spacing w:before="0" w:after="0"/>
              <w:rPr>
                <w:rFonts w:cstheme="minorHAnsi"/>
                <w:b/>
              </w:rPr>
            </w:pPr>
            <w:r w:rsidRPr="00747E35">
              <w:rPr>
                <w:rFonts w:cstheme="minorHAnsi"/>
                <w:b/>
              </w:rPr>
              <w:t>(GDA 94)</w:t>
            </w:r>
          </w:p>
        </w:tc>
        <w:tc>
          <w:tcPr>
            <w:tcW w:w="0" w:type="auto"/>
            <w:shd w:val="clear" w:color="auto" w:fill="DEEAF6" w:themeFill="accent1" w:themeFillTint="33"/>
            <w:hideMark/>
          </w:tcPr>
          <w:p w14:paraId="7446A18B" w14:textId="77777777" w:rsidR="003D3694" w:rsidRPr="00747E35" w:rsidRDefault="003D3694" w:rsidP="0096743A">
            <w:pPr>
              <w:pStyle w:val="Tabletext"/>
              <w:spacing w:before="0" w:after="0"/>
              <w:rPr>
                <w:rFonts w:cstheme="minorHAnsi"/>
                <w:b/>
              </w:rPr>
            </w:pPr>
            <w:r w:rsidRPr="00747E35">
              <w:rPr>
                <w:rFonts w:cstheme="minorHAnsi"/>
                <w:b/>
              </w:rPr>
              <w:t>Easting</w:t>
            </w:r>
          </w:p>
          <w:p w14:paraId="54B0469C" w14:textId="77777777" w:rsidR="003D3694" w:rsidRPr="00747E35" w:rsidRDefault="003D3694" w:rsidP="0096743A">
            <w:pPr>
              <w:pStyle w:val="Tabletext"/>
              <w:spacing w:before="0" w:after="0"/>
              <w:rPr>
                <w:rFonts w:cstheme="minorHAnsi"/>
                <w:b/>
              </w:rPr>
            </w:pPr>
            <w:r w:rsidRPr="00747E35">
              <w:rPr>
                <w:rFonts w:cstheme="minorHAnsi"/>
                <w:b/>
              </w:rPr>
              <w:t>(GDA 94)</w:t>
            </w:r>
          </w:p>
        </w:tc>
        <w:tc>
          <w:tcPr>
            <w:tcW w:w="0" w:type="auto"/>
            <w:shd w:val="clear" w:color="auto" w:fill="DEEAF6" w:themeFill="accent1" w:themeFillTint="33"/>
            <w:hideMark/>
          </w:tcPr>
          <w:p w14:paraId="0991A4EB" w14:textId="77777777" w:rsidR="003D3694" w:rsidRPr="00747E35" w:rsidRDefault="003D3694" w:rsidP="0096743A">
            <w:pPr>
              <w:pStyle w:val="Tabletext"/>
              <w:spacing w:before="0" w:after="0"/>
              <w:rPr>
                <w:rFonts w:cstheme="minorHAnsi"/>
                <w:b/>
              </w:rPr>
            </w:pPr>
            <w:r w:rsidRPr="00747E35">
              <w:rPr>
                <w:rFonts w:cstheme="minorHAnsi"/>
                <w:b/>
              </w:rPr>
              <w:t>Mid-screen depth (m)</w:t>
            </w:r>
          </w:p>
        </w:tc>
        <w:tc>
          <w:tcPr>
            <w:tcW w:w="0" w:type="auto"/>
            <w:shd w:val="clear" w:color="auto" w:fill="DEEAF6" w:themeFill="accent1" w:themeFillTint="33"/>
          </w:tcPr>
          <w:p w14:paraId="33708178" w14:textId="77777777" w:rsidR="003D3694" w:rsidRPr="00747E35" w:rsidRDefault="003D3694" w:rsidP="0096743A">
            <w:pPr>
              <w:pStyle w:val="Tabletext"/>
              <w:spacing w:before="0" w:after="0"/>
              <w:rPr>
                <w:rFonts w:cstheme="minorHAnsi"/>
                <w:b/>
              </w:rPr>
            </w:pPr>
            <w:r w:rsidRPr="00747E35">
              <w:rPr>
                <w:rFonts w:cstheme="minorHAnsi"/>
                <w:b/>
              </w:rPr>
              <w:t>Aquifer</w:t>
            </w:r>
          </w:p>
        </w:tc>
        <w:tc>
          <w:tcPr>
            <w:tcW w:w="1142" w:type="dxa"/>
            <w:shd w:val="clear" w:color="auto" w:fill="DEEAF6" w:themeFill="accent1" w:themeFillTint="33"/>
          </w:tcPr>
          <w:p w14:paraId="7E23B7F9" w14:textId="77777777" w:rsidR="003D3694" w:rsidRPr="00747E35" w:rsidRDefault="003D3694" w:rsidP="0096743A">
            <w:pPr>
              <w:pStyle w:val="Tabletext"/>
              <w:spacing w:before="0" w:after="0"/>
              <w:rPr>
                <w:rFonts w:cstheme="minorHAnsi"/>
                <w:b/>
              </w:rPr>
            </w:pPr>
            <w:r w:rsidRPr="00747E35">
              <w:rPr>
                <w:rFonts w:cstheme="minorHAnsi"/>
                <w:b/>
              </w:rPr>
              <w:t>Permeability Hvorslev K (m/d)</w:t>
            </w:r>
          </w:p>
        </w:tc>
        <w:tc>
          <w:tcPr>
            <w:tcW w:w="1350" w:type="dxa"/>
            <w:shd w:val="clear" w:color="auto" w:fill="DEEAF6" w:themeFill="accent1" w:themeFillTint="33"/>
          </w:tcPr>
          <w:p w14:paraId="3B55D46D" w14:textId="77777777" w:rsidR="003D3694" w:rsidRPr="00747E35" w:rsidRDefault="003D3694" w:rsidP="0096743A">
            <w:pPr>
              <w:pStyle w:val="Tabletext"/>
              <w:spacing w:before="0" w:after="0"/>
              <w:rPr>
                <w:rFonts w:cstheme="minorHAnsi"/>
                <w:b/>
              </w:rPr>
            </w:pPr>
            <w:r w:rsidRPr="00747E35">
              <w:rPr>
                <w:rFonts w:cstheme="minorHAnsi"/>
                <w:b/>
              </w:rPr>
              <w:t>Relative Permeability</w:t>
            </w:r>
          </w:p>
        </w:tc>
        <w:tc>
          <w:tcPr>
            <w:tcW w:w="869" w:type="dxa"/>
            <w:shd w:val="clear" w:color="auto" w:fill="DEEAF6" w:themeFill="accent1" w:themeFillTint="33"/>
            <w:hideMark/>
          </w:tcPr>
          <w:p w14:paraId="66C334EF" w14:textId="77777777" w:rsidR="003D3694" w:rsidRPr="00747E35" w:rsidRDefault="003D3694" w:rsidP="0096743A">
            <w:pPr>
              <w:pStyle w:val="Tabletext"/>
              <w:spacing w:before="0" w:after="0"/>
              <w:rPr>
                <w:rFonts w:cstheme="minorHAnsi"/>
                <w:b/>
              </w:rPr>
            </w:pPr>
            <w:r w:rsidRPr="00747E35">
              <w:rPr>
                <w:rFonts w:cstheme="minorHAnsi"/>
                <w:b/>
              </w:rPr>
              <w:t>Distance from creek (m)</w:t>
            </w:r>
          </w:p>
        </w:tc>
        <w:tc>
          <w:tcPr>
            <w:tcW w:w="1701" w:type="dxa"/>
            <w:shd w:val="clear" w:color="auto" w:fill="DEEAF6" w:themeFill="accent1" w:themeFillTint="33"/>
          </w:tcPr>
          <w:p w14:paraId="69D29EC5" w14:textId="77777777" w:rsidR="003D3694" w:rsidRPr="00747E35" w:rsidRDefault="003D3694" w:rsidP="0096743A">
            <w:pPr>
              <w:pStyle w:val="Tabletext"/>
              <w:spacing w:before="0" w:after="0"/>
              <w:rPr>
                <w:rFonts w:cstheme="minorHAnsi"/>
                <w:b/>
              </w:rPr>
            </w:pPr>
            <w:r w:rsidRPr="00747E35">
              <w:rPr>
                <w:rFonts w:cstheme="minorHAnsi"/>
                <w:b/>
              </w:rPr>
              <w:t>Flow regime of creek adjacent to bore-hole (steady state)</w:t>
            </w:r>
          </w:p>
        </w:tc>
        <w:tc>
          <w:tcPr>
            <w:tcW w:w="1404" w:type="dxa"/>
            <w:shd w:val="clear" w:color="auto" w:fill="DEEAF6" w:themeFill="accent1" w:themeFillTint="33"/>
          </w:tcPr>
          <w:p w14:paraId="5021E5A0" w14:textId="77777777" w:rsidR="003D3694" w:rsidRPr="00747E35" w:rsidRDefault="003D3694" w:rsidP="0096743A">
            <w:pPr>
              <w:pStyle w:val="Tabletext"/>
              <w:spacing w:before="0" w:after="0"/>
              <w:rPr>
                <w:rFonts w:cstheme="minorHAnsi"/>
                <w:b/>
              </w:rPr>
            </w:pPr>
            <w:r w:rsidRPr="00747E35">
              <w:rPr>
                <w:rFonts w:cstheme="minorHAnsi"/>
                <w:b/>
              </w:rPr>
              <w:t>Geochemical similarity to creek surface water (see Below)</w:t>
            </w:r>
          </w:p>
        </w:tc>
        <w:tc>
          <w:tcPr>
            <w:tcW w:w="0" w:type="auto"/>
            <w:shd w:val="clear" w:color="auto" w:fill="DEEAF6" w:themeFill="accent1" w:themeFillTint="33"/>
          </w:tcPr>
          <w:p w14:paraId="3F7300D8" w14:textId="77777777" w:rsidR="003D3694" w:rsidRPr="00747E35" w:rsidRDefault="003D3694" w:rsidP="0096743A">
            <w:pPr>
              <w:pStyle w:val="Tabletext"/>
              <w:spacing w:before="0" w:after="0"/>
              <w:rPr>
                <w:rFonts w:cstheme="minorHAnsi"/>
                <w:b/>
              </w:rPr>
            </w:pPr>
            <w:r w:rsidRPr="00747E35">
              <w:rPr>
                <w:rFonts w:cstheme="minorHAnsi"/>
                <w:b/>
              </w:rPr>
              <w:t xml:space="preserve">Volume pumped (litres, purge + aquifer) </w:t>
            </w:r>
          </w:p>
        </w:tc>
      </w:tr>
      <w:tr w:rsidR="003D3694" w:rsidRPr="00747E35" w14:paraId="6DBD39C2" w14:textId="77777777" w:rsidTr="0096743A">
        <w:trPr>
          <w:trHeight w:val="20"/>
        </w:trPr>
        <w:tc>
          <w:tcPr>
            <w:tcW w:w="0" w:type="auto"/>
            <w:noWrap/>
            <w:hideMark/>
          </w:tcPr>
          <w:p w14:paraId="67F60DD2" w14:textId="77777777" w:rsidR="003D3694" w:rsidRPr="00747E35" w:rsidRDefault="003D3694" w:rsidP="0096743A">
            <w:pPr>
              <w:pStyle w:val="Tabletext"/>
              <w:keepNext/>
              <w:keepLines/>
              <w:spacing w:before="0" w:after="0"/>
              <w:rPr>
                <w:rFonts w:cstheme="minorHAnsi"/>
              </w:rPr>
            </w:pPr>
            <w:r w:rsidRPr="00747E35">
              <w:rPr>
                <w:rFonts w:cstheme="minorHAnsi"/>
              </w:rPr>
              <w:t>Middle Creek, East Lynne</w:t>
            </w:r>
          </w:p>
        </w:tc>
        <w:tc>
          <w:tcPr>
            <w:tcW w:w="0" w:type="auto"/>
            <w:noWrap/>
            <w:hideMark/>
          </w:tcPr>
          <w:p w14:paraId="657D1145" w14:textId="77777777" w:rsidR="003D3694" w:rsidRPr="00747E35" w:rsidRDefault="003D3694" w:rsidP="0096743A">
            <w:pPr>
              <w:pStyle w:val="Tabletext"/>
              <w:keepNext/>
              <w:keepLines/>
              <w:spacing w:before="0" w:after="0"/>
              <w:rPr>
                <w:rFonts w:cstheme="minorHAnsi"/>
              </w:rPr>
            </w:pPr>
            <w:r w:rsidRPr="00747E35">
              <w:rPr>
                <w:rFonts w:cstheme="minorHAnsi"/>
              </w:rPr>
              <w:t>BH20-2</w:t>
            </w:r>
          </w:p>
        </w:tc>
        <w:tc>
          <w:tcPr>
            <w:tcW w:w="0" w:type="auto"/>
            <w:noWrap/>
            <w:hideMark/>
          </w:tcPr>
          <w:p w14:paraId="0A0C780F" w14:textId="77777777" w:rsidR="003D3694" w:rsidRPr="00747E35" w:rsidRDefault="003D3694" w:rsidP="0096743A">
            <w:pPr>
              <w:pStyle w:val="Tabletext"/>
              <w:keepNext/>
              <w:keepLines/>
              <w:spacing w:before="0" w:after="0"/>
              <w:rPr>
                <w:rFonts w:cstheme="minorHAnsi"/>
              </w:rPr>
            </w:pPr>
            <w:r w:rsidRPr="00747E35">
              <w:rPr>
                <w:rFonts w:cstheme="minorHAnsi"/>
              </w:rPr>
              <w:t>6627763</w:t>
            </w:r>
          </w:p>
        </w:tc>
        <w:tc>
          <w:tcPr>
            <w:tcW w:w="0" w:type="auto"/>
            <w:noWrap/>
            <w:hideMark/>
          </w:tcPr>
          <w:p w14:paraId="1B6691D2" w14:textId="77777777" w:rsidR="003D3694" w:rsidRPr="00747E35" w:rsidRDefault="003D3694" w:rsidP="0096743A">
            <w:pPr>
              <w:pStyle w:val="Tabletext"/>
              <w:keepNext/>
              <w:keepLines/>
              <w:spacing w:before="0" w:after="0"/>
              <w:rPr>
                <w:rFonts w:cstheme="minorHAnsi"/>
              </w:rPr>
            </w:pPr>
            <w:r w:rsidRPr="00747E35">
              <w:rPr>
                <w:rFonts w:cstheme="minorHAnsi"/>
              </w:rPr>
              <w:t>228717.9</w:t>
            </w:r>
          </w:p>
        </w:tc>
        <w:tc>
          <w:tcPr>
            <w:tcW w:w="0" w:type="auto"/>
            <w:noWrap/>
            <w:hideMark/>
          </w:tcPr>
          <w:p w14:paraId="48F4EBDF" w14:textId="77777777" w:rsidR="003D3694" w:rsidRPr="00747E35" w:rsidRDefault="003D3694" w:rsidP="0096743A">
            <w:pPr>
              <w:pStyle w:val="Tabletext"/>
              <w:keepNext/>
              <w:keepLines/>
              <w:spacing w:before="0" w:after="0"/>
              <w:rPr>
                <w:rFonts w:cstheme="minorHAnsi"/>
              </w:rPr>
            </w:pPr>
            <w:r w:rsidRPr="00747E35">
              <w:rPr>
                <w:rFonts w:cstheme="minorHAnsi"/>
              </w:rPr>
              <w:t>9.7</w:t>
            </w:r>
          </w:p>
        </w:tc>
        <w:tc>
          <w:tcPr>
            <w:tcW w:w="0" w:type="auto"/>
          </w:tcPr>
          <w:p w14:paraId="7709A7E5" w14:textId="77777777" w:rsidR="003D3694" w:rsidRPr="00747E35" w:rsidRDefault="003D3694" w:rsidP="0096743A">
            <w:pPr>
              <w:pStyle w:val="Tabletext"/>
              <w:keepNext/>
              <w:keepLines/>
              <w:spacing w:before="0" w:after="0"/>
              <w:rPr>
                <w:rFonts w:cstheme="minorHAnsi"/>
              </w:rPr>
            </w:pPr>
            <w:r w:rsidRPr="00747E35">
              <w:rPr>
                <w:rFonts w:cstheme="minorHAnsi"/>
              </w:rPr>
              <w:t xml:space="preserve">Shallow </w:t>
            </w:r>
          </w:p>
        </w:tc>
        <w:tc>
          <w:tcPr>
            <w:tcW w:w="1142" w:type="dxa"/>
          </w:tcPr>
          <w:p w14:paraId="487AECE2" w14:textId="77777777" w:rsidR="003D3694" w:rsidRPr="00747E35" w:rsidRDefault="003D3694" w:rsidP="0096743A">
            <w:pPr>
              <w:pStyle w:val="Tabletext"/>
              <w:keepNext/>
              <w:keepLines/>
              <w:spacing w:before="0" w:after="0"/>
              <w:rPr>
                <w:rFonts w:cstheme="minorHAnsi"/>
              </w:rPr>
            </w:pPr>
            <w:r w:rsidRPr="00747E35">
              <w:rPr>
                <w:rFonts w:cstheme="minorHAnsi"/>
              </w:rPr>
              <w:t>0.17</w:t>
            </w:r>
          </w:p>
        </w:tc>
        <w:tc>
          <w:tcPr>
            <w:tcW w:w="1350" w:type="dxa"/>
          </w:tcPr>
          <w:p w14:paraId="2EDE7B23" w14:textId="77777777" w:rsidR="003D3694" w:rsidRPr="00747E35" w:rsidRDefault="003D3694" w:rsidP="0096743A">
            <w:pPr>
              <w:pStyle w:val="Tabletext"/>
              <w:keepNext/>
              <w:keepLines/>
              <w:spacing w:before="0" w:after="0"/>
              <w:rPr>
                <w:rFonts w:cstheme="minorHAnsi"/>
              </w:rPr>
            </w:pPr>
            <w:r w:rsidRPr="00747E35">
              <w:rPr>
                <w:rFonts w:cstheme="minorHAnsi"/>
              </w:rPr>
              <w:t>Low</w:t>
            </w:r>
          </w:p>
        </w:tc>
        <w:tc>
          <w:tcPr>
            <w:tcW w:w="869" w:type="dxa"/>
            <w:noWrap/>
            <w:hideMark/>
          </w:tcPr>
          <w:p w14:paraId="2826A9CF" w14:textId="77777777" w:rsidR="003D3694" w:rsidRPr="00747E35" w:rsidRDefault="003D3694" w:rsidP="0096743A">
            <w:pPr>
              <w:pStyle w:val="Tabletext"/>
              <w:keepNext/>
              <w:keepLines/>
              <w:spacing w:before="0" w:after="0"/>
              <w:rPr>
                <w:rFonts w:cstheme="minorHAnsi"/>
              </w:rPr>
            </w:pPr>
            <w:r w:rsidRPr="00747E35">
              <w:rPr>
                <w:rFonts w:cstheme="minorHAnsi"/>
              </w:rPr>
              <w:t>5</w:t>
            </w:r>
          </w:p>
        </w:tc>
        <w:tc>
          <w:tcPr>
            <w:tcW w:w="1701" w:type="dxa"/>
          </w:tcPr>
          <w:p w14:paraId="6E4D3799" w14:textId="77777777" w:rsidR="003D3694" w:rsidRPr="00747E35" w:rsidRDefault="003D3694" w:rsidP="0096743A">
            <w:pPr>
              <w:pStyle w:val="Tabletext"/>
              <w:keepNext/>
              <w:keepLines/>
              <w:spacing w:before="0" w:after="0"/>
              <w:rPr>
                <w:rFonts w:cstheme="minorHAnsi"/>
              </w:rPr>
            </w:pPr>
            <w:r w:rsidRPr="00747E35">
              <w:rPr>
                <w:rFonts w:cstheme="minorHAnsi"/>
              </w:rPr>
              <w:t>Intermittent Losing</w:t>
            </w:r>
          </w:p>
        </w:tc>
        <w:tc>
          <w:tcPr>
            <w:tcW w:w="1404" w:type="dxa"/>
          </w:tcPr>
          <w:p w14:paraId="235ADAC6"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0" w:type="auto"/>
          </w:tcPr>
          <w:p w14:paraId="6F87B0DF" w14:textId="77777777" w:rsidR="003D3694" w:rsidRPr="00747E35" w:rsidRDefault="003D3694" w:rsidP="0096743A">
            <w:pPr>
              <w:pStyle w:val="Tabletext"/>
              <w:keepNext/>
              <w:keepLines/>
              <w:spacing w:before="0" w:after="0"/>
              <w:rPr>
                <w:rFonts w:cstheme="minorHAnsi"/>
              </w:rPr>
            </w:pPr>
            <w:r w:rsidRPr="00747E35">
              <w:rPr>
                <w:rFonts w:cstheme="minorHAnsi"/>
              </w:rPr>
              <w:t>20+100</w:t>
            </w:r>
          </w:p>
          <w:p w14:paraId="43995E23" w14:textId="77777777" w:rsidR="003D3694" w:rsidRPr="00747E35" w:rsidRDefault="003D3694" w:rsidP="0096743A">
            <w:pPr>
              <w:pStyle w:val="Tabletext"/>
              <w:keepNext/>
              <w:keepLines/>
              <w:spacing w:before="0" w:after="0"/>
              <w:rPr>
                <w:rFonts w:cstheme="minorHAnsi"/>
              </w:rPr>
            </w:pPr>
            <w:r w:rsidRPr="00747E35">
              <w:rPr>
                <w:rFonts w:cstheme="minorHAnsi"/>
              </w:rPr>
              <w:t>(Sept only)</w:t>
            </w:r>
          </w:p>
        </w:tc>
      </w:tr>
      <w:tr w:rsidR="003D3694" w:rsidRPr="00747E35" w14:paraId="6375F0AE" w14:textId="77777777" w:rsidTr="0096743A">
        <w:trPr>
          <w:trHeight w:val="20"/>
        </w:trPr>
        <w:tc>
          <w:tcPr>
            <w:tcW w:w="0" w:type="auto"/>
            <w:noWrap/>
          </w:tcPr>
          <w:p w14:paraId="0F5DA78A" w14:textId="77777777" w:rsidR="003D3694" w:rsidRPr="00747E35" w:rsidRDefault="003D3694" w:rsidP="0096743A">
            <w:pPr>
              <w:pStyle w:val="Tabletext"/>
              <w:keepNext/>
              <w:keepLines/>
              <w:spacing w:before="0" w:after="0"/>
              <w:rPr>
                <w:rFonts w:cstheme="minorHAnsi"/>
              </w:rPr>
            </w:pPr>
          </w:p>
        </w:tc>
        <w:tc>
          <w:tcPr>
            <w:tcW w:w="0" w:type="auto"/>
            <w:noWrap/>
            <w:hideMark/>
          </w:tcPr>
          <w:p w14:paraId="16F10784" w14:textId="77777777" w:rsidR="003D3694" w:rsidRPr="00747E35" w:rsidRDefault="003D3694" w:rsidP="0096743A">
            <w:pPr>
              <w:pStyle w:val="Tabletext"/>
              <w:keepNext/>
              <w:keepLines/>
              <w:spacing w:before="0" w:after="0"/>
              <w:rPr>
                <w:rFonts w:cstheme="minorHAnsi"/>
              </w:rPr>
            </w:pPr>
            <w:r w:rsidRPr="00747E35">
              <w:rPr>
                <w:rFonts w:cstheme="minorHAnsi"/>
              </w:rPr>
              <w:t>BH20-4</w:t>
            </w:r>
          </w:p>
        </w:tc>
        <w:tc>
          <w:tcPr>
            <w:tcW w:w="0" w:type="auto"/>
            <w:noWrap/>
            <w:hideMark/>
          </w:tcPr>
          <w:p w14:paraId="37BA1724" w14:textId="77777777" w:rsidR="003D3694" w:rsidRPr="00747E35" w:rsidRDefault="003D3694" w:rsidP="0096743A">
            <w:pPr>
              <w:pStyle w:val="Tabletext"/>
              <w:keepNext/>
              <w:keepLines/>
              <w:spacing w:before="0" w:after="0"/>
              <w:rPr>
                <w:rFonts w:cstheme="minorHAnsi"/>
              </w:rPr>
            </w:pPr>
            <w:r w:rsidRPr="00747E35">
              <w:rPr>
                <w:rFonts w:cstheme="minorHAnsi"/>
              </w:rPr>
              <w:t>6627763</w:t>
            </w:r>
          </w:p>
        </w:tc>
        <w:tc>
          <w:tcPr>
            <w:tcW w:w="0" w:type="auto"/>
            <w:noWrap/>
            <w:hideMark/>
          </w:tcPr>
          <w:p w14:paraId="79167ECA" w14:textId="77777777" w:rsidR="003D3694" w:rsidRPr="00747E35" w:rsidRDefault="003D3694" w:rsidP="0096743A">
            <w:pPr>
              <w:pStyle w:val="Tabletext"/>
              <w:keepNext/>
              <w:keepLines/>
              <w:spacing w:before="0" w:after="0"/>
              <w:rPr>
                <w:rFonts w:cstheme="minorHAnsi"/>
              </w:rPr>
            </w:pPr>
            <w:r w:rsidRPr="00747E35">
              <w:rPr>
                <w:rFonts w:cstheme="minorHAnsi"/>
              </w:rPr>
              <w:t>228717.9</w:t>
            </w:r>
          </w:p>
        </w:tc>
        <w:tc>
          <w:tcPr>
            <w:tcW w:w="0" w:type="auto"/>
            <w:noWrap/>
            <w:hideMark/>
          </w:tcPr>
          <w:p w14:paraId="6F0B0CDB" w14:textId="77777777" w:rsidR="003D3694" w:rsidRPr="00747E35" w:rsidRDefault="003D3694" w:rsidP="0096743A">
            <w:pPr>
              <w:pStyle w:val="Tabletext"/>
              <w:keepNext/>
              <w:keepLines/>
              <w:spacing w:before="0" w:after="0"/>
              <w:rPr>
                <w:rFonts w:cstheme="minorHAnsi"/>
              </w:rPr>
            </w:pPr>
            <w:r w:rsidRPr="00747E35">
              <w:rPr>
                <w:rFonts w:cstheme="minorHAnsi"/>
              </w:rPr>
              <w:t>40.3</w:t>
            </w:r>
          </w:p>
        </w:tc>
        <w:tc>
          <w:tcPr>
            <w:tcW w:w="0" w:type="auto"/>
          </w:tcPr>
          <w:p w14:paraId="15F928F8" w14:textId="77777777" w:rsidR="003D3694" w:rsidRPr="00747E35" w:rsidRDefault="003D3694" w:rsidP="0096743A">
            <w:pPr>
              <w:pStyle w:val="Tabletext"/>
              <w:keepNext/>
              <w:keepLines/>
              <w:spacing w:before="0" w:after="0"/>
              <w:rPr>
                <w:rFonts w:cstheme="minorHAnsi"/>
              </w:rPr>
            </w:pPr>
            <w:r w:rsidRPr="00747E35">
              <w:rPr>
                <w:rFonts w:cstheme="minorHAnsi"/>
              </w:rPr>
              <w:t>Deep  (MCF)</w:t>
            </w:r>
          </w:p>
        </w:tc>
        <w:tc>
          <w:tcPr>
            <w:tcW w:w="1142" w:type="dxa"/>
          </w:tcPr>
          <w:p w14:paraId="12A56BDE" w14:textId="77777777" w:rsidR="003D3694" w:rsidRPr="00747E35" w:rsidRDefault="003D3694" w:rsidP="0096743A">
            <w:pPr>
              <w:pStyle w:val="Tabletext"/>
              <w:keepNext/>
              <w:keepLines/>
              <w:spacing w:before="0" w:after="0"/>
              <w:rPr>
                <w:rFonts w:cstheme="minorHAnsi"/>
              </w:rPr>
            </w:pPr>
            <w:r w:rsidRPr="00747E35">
              <w:rPr>
                <w:rFonts w:cstheme="minorHAnsi"/>
              </w:rPr>
              <w:t>0.06</w:t>
            </w:r>
          </w:p>
        </w:tc>
        <w:tc>
          <w:tcPr>
            <w:tcW w:w="1350" w:type="dxa"/>
          </w:tcPr>
          <w:p w14:paraId="6F27D8D8" w14:textId="77777777" w:rsidR="003D3694" w:rsidRPr="00747E35" w:rsidRDefault="003D3694" w:rsidP="0096743A">
            <w:pPr>
              <w:pStyle w:val="Tabletext"/>
              <w:keepNext/>
              <w:keepLines/>
              <w:spacing w:before="0" w:after="0"/>
              <w:rPr>
                <w:rFonts w:cstheme="minorHAnsi"/>
              </w:rPr>
            </w:pPr>
            <w:r w:rsidRPr="00747E35">
              <w:rPr>
                <w:rFonts w:cstheme="minorHAnsi"/>
              </w:rPr>
              <w:t>Low</w:t>
            </w:r>
          </w:p>
        </w:tc>
        <w:tc>
          <w:tcPr>
            <w:tcW w:w="869" w:type="dxa"/>
            <w:noWrap/>
            <w:hideMark/>
          </w:tcPr>
          <w:p w14:paraId="66B6D552" w14:textId="77777777" w:rsidR="003D3694" w:rsidRPr="00747E35" w:rsidRDefault="003D3694" w:rsidP="0096743A">
            <w:pPr>
              <w:pStyle w:val="Tabletext"/>
              <w:keepNext/>
              <w:keepLines/>
              <w:spacing w:before="0" w:after="0"/>
              <w:rPr>
                <w:rFonts w:cstheme="minorHAnsi"/>
              </w:rPr>
            </w:pPr>
            <w:r w:rsidRPr="00747E35">
              <w:rPr>
                <w:rFonts w:cstheme="minorHAnsi"/>
              </w:rPr>
              <w:t>5</w:t>
            </w:r>
          </w:p>
        </w:tc>
        <w:tc>
          <w:tcPr>
            <w:tcW w:w="1701" w:type="dxa"/>
          </w:tcPr>
          <w:p w14:paraId="0F229890" w14:textId="77777777" w:rsidR="003D3694" w:rsidRPr="00747E35" w:rsidRDefault="003D3694" w:rsidP="0096743A">
            <w:pPr>
              <w:pStyle w:val="Tabletext"/>
              <w:keepNext/>
              <w:keepLines/>
              <w:spacing w:before="0" w:after="0"/>
              <w:rPr>
                <w:rFonts w:cstheme="minorHAnsi"/>
              </w:rPr>
            </w:pPr>
            <w:r w:rsidRPr="00747E35">
              <w:rPr>
                <w:rFonts w:cstheme="minorHAnsi"/>
              </w:rPr>
              <w:t>Intermittent Losing</w:t>
            </w:r>
          </w:p>
        </w:tc>
        <w:tc>
          <w:tcPr>
            <w:tcW w:w="1404" w:type="dxa"/>
          </w:tcPr>
          <w:p w14:paraId="3D4383C3"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0" w:type="auto"/>
          </w:tcPr>
          <w:p w14:paraId="62229333" w14:textId="77777777" w:rsidR="003D3694" w:rsidRPr="00747E35" w:rsidRDefault="003D3694" w:rsidP="0096743A">
            <w:pPr>
              <w:pStyle w:val="Tabletext"/>
              <w:keepNext/>
              <w:keepLines/>
              <w:spacing w:before="0" w:after="0"/>
              <w:rPr>
                <w:rFonts w:cstheme="minorHAnsi"/>
              </w:rPr>
            </w:pPr>
            <w:r w:rsidRPr="00747E35">
              <w:rPr>
                <w:rFonts w:cstheme="minorHAnsi"/>
              </w:rPr>
              <w:t>40+150</w:t>
            </w:r>
          </w:p>
        </w:tc>
      </w:tr>
      <w:tr w:rsidR="003D3694" w:rsidRPr="00747E35" w14:paraId="49294DD4" w14:textId="77777777" w:rsidTr="0096743A">
        <w:trPr>
          <w:trHeight w:val="20"/>
        </w:trPr>
        <w:tc>
          <w:tcPr>
            <w:tcW w:w="0" w:type="auto"/>
            <w:noWrap/>
          </w:tcPr>
          <w:p w14:paraId="3E9F254B" w14:textId="77777777" w:rsidR="003D3694" w:rsidRPr="00747E35" w:rsidRDefault="003D3694" w:rsidP="0096743A">
            <w:pPr>
              <w:pStyle w:val="Tabletext"/>
              <w:keepNext/>
              <w:keepLines/>
              <w:spacing w:before="0" w:after="0"/>
              <w:rPr>
                <w:rFonts w:cstheme="minorHAnsi"/>
              </w:rPr>
            </w:pPr>
          </w:p>
        </w:tc>
        <w:tc>
          <w:tcPr>
            <w:tcW w:w="0" w:type="auto"/>
            <w:noWrap/>
            <w:hideMark/>
          </w:tcPr>
          <w:p w14:paraId="7A667F2A" w14:textId="77777777" w:rsidR="003D3694" w:rsidRPr="00747E35" w:rsidRDefault="003D3694" w:rsidP="0096743A">
            <w:pPr>
              <w:pStyle w:val="Tabletext"/>
              <w:keepNext/>
              <w:keepLines/>
              <w:spacing w:before="0" w:after="0"/>
              <w:rPr>
                <w:rFonts w:cstheme="minorHAnsi"/>
              </w:rPr>
            </w:pPr>
            <w:r w:rsidRPr="00747E35">
              <w:rPr>
                <w:rFonts w:cstheme="minorHAnsi"/>
              </w:rPr>
              <w:t>BH21-1</w:t>
            </w:r>
          </w:p>
        </w:tc>
        <w:tc>
          <w:tcPr>
            <w:tcW w:w="0" w:type="auto"/>
            <w:noWrap/>
            <w:hideMark/>
          </w:tcPr>
          <w:p w14:paraId="4929750E" w14:textId="77777777" w:rsidR="003D3694" w:rsidRPr="00747E35" w:rsidRDefault="003D3694" w:rsidP="0096743A">
            <w:pPr>
              <w:pStyle w:val="Tabletext"/>
              <w:keepNext/>
              <w:keepLines/>
              <w:spacing w:before="0" w:after="0"/>
              <w:rPr>
                <w:rFonts w:cstheme="minorHAnsi"/>
              </w:rPr>
            </w:pPr>
            <w:r w:rsidRPr="00747E35">
              <w:rPr>
                <w:rFonts w:cstheme="minorHAnsi"/>
              </w:rPr>
              <w:t>6627765</w:t>
            </w:r>
          </w:p>
        </w:tc>
        <w:tc>
          <w:tcPr>
            <w:tcW w:w="0" w:type="auto"/>
            <w:noWrap/>
            <w:hideMark/>
          </w:tcPr>
          <w:p w14:paraId="567C6B3B" w14:textId="77777777" w:rsidR="003D3694" w:rsidRPr="00747E35" w:rsidRDefault="003D3694" w:rsidP="0096743A">
            <w:pPr>
              <w:pStyle w:val="Tabletext"/>
              <w:keepNext/>
              <w:keepLines/>
              <w:spacing w:before="0" w:after="0"/>
              <w:rPr>
                <w:rFonts w:cstheme="minorHAnsi"/>
              </w:rPr>
            </w:pPr>
            <w:r w:rsidRPr="00747E35">
              <w:rPr>
                <w:rFonts w:cstheme="minorHAnsi"/>
              </w:rPr>
              <w:t>228683.1</w:t>
            </w:r>
          </w:p>
        </w:tc>
        <w:tc>
          <w:tcPr>
            <w:tcW w:w="0" w:type="auto"/>
            <w:noWrap/>
            <w:hideMark/>
          </w:tcPr>
          <w:p w14:paraId="7E2AABC5" w14:textId="77777777" w:rsidR="003D3694" w:rsidRPr="00747E35" w:rsidRDefault="003D3694" w:rsidP="0096743A">
            <w:pPr>
              <w:pStyle w:val="Tabletext"/>
              <w:keepNext/>
              <w:keepLines/>
              <w:spacing w:before="0" w:after="0"/>
              <w:rPr>
                <w:rFonts w:cstheme="minorHAnsi"/>
              </w:rPr>
            </w:pPr>
            <w:r w:rsidRPr="00747E35">
              <w:rPr>
                <w:rFonts w:cstheme="minorHAnsi"/>
              </w:rPr>
              <w:t>5.6</w:t>
            </w:r>
          </w:p>
        </w:tc>
        <w:tc>
          <w:tcPr>
            <w:tcW w:w="0" w:type="auto"/>
          </w:tcPr>
          <w:p w14:paraId="460C8FA4" w14:textId="77777777" w:rsidR="003D3694" w:rsidRPr="00747E35" w:rsidRDefault="003D3694" w:rsidP="0096743A">
            <w:pPr>
              <w:pStyle w:val="Tabletext"/>
              <w:keepNext/>
              <w:keepLines/>
              <w:spacing w:before="0" w:after="0"/>
              <w:rPr>
                <w:rFonts w:cstheme="minorHAnsi"/>
              </w:rPr>
            </w:pPr>
            <w:r w:rsidRPr="00747E35">
              <w:rPr>
                <w:rFonts w:cstheme="minorHAnsi"/>
              </w:rPr>
              <w:t xml:space="preserve">Shallow </w:t>
            </w:r>
          </w:p>
        </w:tc>
        <w:tc>
          <w:tcPr>
            <w:tcW w:w="1142" w:type="dxa"/>
          </w:tcPr>
          <w:p w14:paraId="6AEF4FC8" w14:textId="77777777" w:rsidR="003D3694" w:rsidRPr="00747E35" w:rsidRDefault="003D3694" w:rsidP="0096743A">
            <w:pPr>
              <w:pStyle w:val="Tabletext"/>
              <w:keepNext/>
              <w:keepLines/>
              <w:spacing w:before="0" w:after="0"/>
              <w:rPr>
                <w:rFonts w:cstheme="minorHAnsi"/>
              </w:rPr>
            </w:pPr>
            <w:r w:rsidRPr="00747E35">
              <w:rPr>
                <w:rFonts w:cstheme="minorHAnsi"/>
              </w:rPr>
              <w:t>n/a</w:t>
            </w:r>
          </w:p>
        </w:tc>
        <w:tc>
          <w:tcPr>
            <w:tcW w:w="1350" w:type="dxa"/>
          </w:tcPr>
          <w:p w14:paraId="79D49740" w14:textId="77777777" w:rsidR="003D3694" w:rsidRPr="00747E35" w:rsidRDefault="003D3694" w:rsidP="0096743A">
            <w:pPr>
              <w:pStyle w:val="Tabletext"/>
              <w:keepNext/>
              <w:keepLines/>
              <w:spacing w:before="0" w:after="0"/>
              <w:rPr>
                <w:rFonts w:cstheme="minorHAnsi"/>
              </w:rPr>
            </w:pPr>
            <w:r w:rsidRPr="00747E35">
              <w:rPr>
                <w:rFonts w:cstheme="minorHAnsi"/>
              </w:rPr>
              <w:t>Low</w:t>
            </w:r>
          </w:p>
        </w:tc>
        <w:tc>
          <w:tcPr>
            <w:tcW w:w="869" w:type="dxa"/>
            <w:noWrap/>
            <w:hideMark/>
          </w:tcPr>
          <w:p w14:paraId="6BBB6C28" w14:textId="77777777" w:rsidR="003D3694" w:rsidRPr="00747E35" w:rsidRDefault="003D3694" w:rsidP="0096743A">
            <w:pPr>
              <w:pStyle w:val="Tabletext"/>
              <w:keepNext/>
              <w:keepLines/>
              <w:spacing w:before="0" w:after="0"/>
              <w:rPr>
                <w:rFonts w:cstheme="minorHAnsi"/>
              </w:rPr>
            </w:pPr>
            <w:r w:rsidRPr="00747E35">
              <w:rPr>
                <w:rFonts w:cstheme="minorHAnsi"/>
              </w:rPr>
              <w:t>40</w:t>
            </w:r>
          </w:p>
        </w:tc>
        <w:tc>
          <w:tcPr>
            <w:tcW w:w="1701" w:type="dxa"/>
          </w:tcPr>
          <w:p w14:paraId="103128C1" w14:textId="77777777" w:rsidR="003D3694" w:rsidRPr="00747E35" w:rsidRDefault="003D3694" w:rsidP="0096743A">
            <w:pPr>
              <w:pStyle w:val="Tabletext"/>
              <w:keepNext/>
              <w:keepLines/>
              <w:spacing w:before="0" w:after="0"/>
              <w:rPr>
                <w:rFonts w:cstheme="minorHAnsi"/>
              </w:rPr>
            </w:pPr>
            <w:r w:rsidRPr="00747E35">
              <w:rPr>
                <w:rFonts w:cstheme="minorHAnsi"/>
              </w:rPr>
              <w:t>Intermittent Losing</w:t>
            </w:r>
          </w:p>
        </w:tc>
        <w:tc>
          <w:tcPr>
            <w:tcW w:w="1404" w:type="dxa"/>
          </w:tcPr>
          <w:p w14:paraId="48F52F15" w14:textId="77777777" w:rsidR="003D3694" w:rsidRPr="00747E35" w:rsidRDefault="003D3694" w:rsidP="0096743A">
            <w:pPr>
              <w:pStyle w:val="Tabletext"/>
              <w:keepNext/>
              <w:keepLines/>
              <w:spacing w:before="0" w:after="0"/>
              <w:rPr>
                <w:rFonts w:cstheme="minorHAnsi"/>
              </w:rPr>
            </w:pPr>
            <w:r w:rsidRPr="00747E35">
              <w:rPr>
                <w:rFonts w:cstheme="minorHAnsi"/>
              </w:rPr>
              <w:t>n/a</w:t>
            </w:r>
          </w:p>
        </w:tc>
        <w:tc>
          <w:tcPr>
            <w:tcW w:w="0" w:type="auto"/>
          </w:tcPr>
          <w:p w14:paraId="011C1099" w14:textId="77777777" w:rsidR="003D3694" w:rsidRPr="00747E35" w:rsidRDefault="003D3694" w:rsidP="0096743A">
            <w:pPr>
              <w:pStyle w:val="Tabletext"/>
              <w:keepNext/>
              <w:keepLines/>
              <w:spacing w:before="0" w:after="0"/>
              <w:rPr>
                <w:rFonts w:cstheme="minorHAnsi"/>
              </w:rPr>
            </w:pPr>
            <w:r w:rsidRPr="00747E35">
              <w:rPr>
                <w:rFonts w:cstheme="minorHAnsi"/>
              </w:rPr>
              <w:t>0.1+0</w:t>
            </w:r>
          </w:p>
          <w:p w14:paraId="2CB57A80" w14:textId="77777777" w:rsidR="003D3694" w:rsidRPr="00747E35" w:rsidRDefault="003D3694" w:rsidP="0096743A">
            <w:pPr>
              <w:pStyle w:val="Tabletext"/>
              <w:keepNext/>
              <w:keepLines/>
              <w:spacing w:before="0" w:after="0"/>
              <w:rPr>
                <w:rFonts w:cstheme="minorHAnsi"/>
              </w:rPr>
            </w:pPr>
            <w:r w:rsidRPr="00747E35">
              <w:rPr>
                <w:rFonts w:cstheme="minorHAnsi"/>
              </w:rPr>
              <w:t>(Feb only)</w:t>
            </w:r>
          </w:p>
        </w:tc>
      </w:tr>
      <w:tr w:rsidR="003D3694" w:rsidRPr="00747E35" w14:paraId="0A723AE1" w14:textId="77777777" w:rsidTr="0096743A">
        <w:trPr>
          <w:trHeight w:val="20"/>
        </w:trPr>
        <w:tc>
          <w:tcPr>
            <w:tcW w:w="0" w:type="auto"/>
            <w:noWrap/>
          </w:tcPr>
          <w:p w14:paraId="509B8E60" w14:textId="77777777" w:rsidR="003D3694" w:rsidRPr="00747E35" w:rsidRDefault="003D3694" w:rsidP="0096743A">
            <w:pPr>
              <w:pStyle w:val="Tabletext"/>
              <w:keepNext/>
              <w:keepLines/>
              <w:spacing w:before="0" w:after="0"/>
              <w:rPr>
                <w:rFonts w:cstheme="minorHAnsi"/>
              </w:rPr>
            </w:pPr>
          </w:p>
        </w:tc>
        <w:tc>
          <w:tcPr>
            <w:tcW w:w="0" w:type="auto"/>
            <w:noWrap/>
            <w:hideMark/>
          </w:tcPr>
          <w:p w14:paraId="7AB1DEA0" w14:textId="77777777" w:rsidR="003D3694" w:rsidRPr="00747E35" w:rsidRDefault="003D3694" w:rsidP="0096743A">
            <w:pPr>
              <w:pStyle w:val="Tabletext"/>
              <w:keepNext/>
              <w:keepLines/>
              <w:spacing w:before="0" w:after="0"/>
              <w:rPr>
                <w:rFonts w:cstheme="minorHAnsi"/>
              </w:rPr>
            </w:pPr>
            <w:r w:rsidRPr="00747E35">
              <w:rPr>
                <w:rFonts w:cstheme="minorHAnsi"/>
              </w:rPr>
              <w:t>BH21-2</w:t>
            </w:r>
          </w:p>
        </w:tc>
        <w:tc>
          <w:tcPr>
            <w:tcW w:w="0" w:type="auto"/>
            <w:noWrap/>
            <w:hideMark/>
          </w:tcPr>
          <w:p w14:paraId="14B69398" w14:textId="77777777" w:rsidR="003D3694" w:rsidRPr="00747E35" w:rsidRDefault="003D3694" w:rsidP="0096743A">
            <w:pPr>
              <w:pStyle w:val="Tabletext"/>
              <w:keepNext/>
              <w:keepLines/>
              <w:spacing w:before="0" w:after="0"/>
              <w:rPr>
                <w:rFonts w:cstheme="minorHAnsi"/>
              </w:rPr>
            </w:pPr>
            <w:r w:rsidRPr="00747E35">
              <w:rPr>
                <w:rFonts w:cstheme="minorHAnsi"/>
              </w:rPr>
              <w:t>6627765</w:t>
            </w:r>
          </w:p>
        </w:tc>
        <w:tc>
          <w:tcPr>
            <w:tcW w:w="0" w:type="auto"/>
            <w:noWrap/>
            <w:hideMark/>
          </w:tcPr>
          <w:p w14:paraId="3B48DE40" w14:textId="77777777" w:rsidR="003D3694" w:rsidRPr="00747E35" w:rsidRDefault="003D3694" w:rsidP="0096743A">
            <w:pPr>
              <w:pStyle w:val="Tabletext"/>
              <w:keepNext/>
              <w:keepLines/>
              <w:spacing w:before="0" w:after="0"/>
              <w:rPr>
                <w:rFonts w:cstheme="minorHAnsi"/>
              </w:rPr>
            </w:pPr>
            <w:r w:rsidRPr="00747E35">
              <w:rPr>
                <w:rFonts w:cstheme="minorHAnsi"/>
              </w:rPr>
              <w:t>228683.1</w:t>
            </w:r>
          </w:p>
        </w:tc>
        <w:tc>
          <w:tcPr>
            <w:tcW w:w="0" w:type="auto"/>
            <w:noWrap/>
            <w:hideMark/>
          </w:tcPr>
          <w:p w14:paraId="75830148" w14:textId="77777777" w:rsidR="003D3694" w:rsidRPr="00747E35" w:rsidRDefault="003D3694" w:rsidP="0096743A">
            <w:pPr>
              <w:pStyle w:val="Tabletext"/>
              <w:keepNext/>
              <w:keepLines/>
              <w:spacing w:before="0" w:after="0"/>
              <w:rPr>
                <w:rFonts w:cstheme="minorHAnsi"/>
              </w:rPr>
            </w:pPr>
            <w:r w:rsidRPr="00747E35">
              <w:rPr>
                <w:rFonts w:cstheme="minorHAnsi"/>
              </w:rPr>
              <w:t>12.8</w:t>
            </w:r>
          </w:p>
        </w:tc>
        <w:tc>
          <w:tcPr>
            <w:tcW w:w="0" w:type="auto"/>
          </w:tcPr>
          <w:p w14:paraId="3DD524A9" w14:textId="77777777" w:rsidR="003D3694" w:rsidRPr="00747E35" w:rsidRDefault="003D3694" w:rsidP="0096743A">
            <w:pPr>
              <w:pStyle w:val="Tabletext"/>
              <w:keepNext/>
              <w:keepLines/>
              <w:spacing w:before="0" w:after="0"/>
              <w:rPr>
                <w:rFonts w:cstheme="minorHAnsi"/>
              </w:rPr>
            </w:pPr>
            <w:r w:rsidRPr="00747E35">
              <w:rPr>
                <w:rFonts w:cstheme="minorHAnsi"/>
              </w:rPr>
              <w:t xml:space="preserve">Shallow </w:t>
            </w:r>
          </w:p>
        </w:tc>
        <w:tc>
          <w:tcPr>
            <w:tcW w:w="1142" w:type="dxa"/>
          </w:tcPr>
          <w:p w14:paraId="34EC4AD3" w14:textId="77777777" w:rsidR="003D3694" w:rsidRPr="00747E35" w:rsidRDefault="003D3694" w:rsidP="0096743A">
            <w:pPr>
              <w:pStyle w:val="Tabletext"/>
              <w:keepNext/>
              <w:keepLines/>
              <w:spacing w:before="0" w:after="0"/>
              <w:rPr>
                <w:rFonts w:cstheme="minorHAnsi"/>
              </w:rPr>
            </w:pPr>
            <w:r w:rsidRPr="00747E35">
              <w:rPr>
                <w:rFonts w:cstheme="minorHAnsi"/>
              </w:rPr>
              <w:t>0.15</w:t>
            </w:r>
          </w:p>
        </w:tc>
        <w:tc>
          <w:tcPr>
            <w:tcW w:w="1350" w:type="dxa"/>
          </w:tcPr>
          <w:p w14:paraId="67FF5BEA" w14:textId="77777777" w:rsidR="003D3694" w:rsidRPr="00747E35" w:rsidRDefault="003D3694" w:rsidP="0096743A">
            <w:pPr>
              <w:pStyle w:val="Tabletext"/>
              <w:keepNext/>
              <w:keepLines/>
              <w:spacing w:before="0" w:after="0"/>
              <w:rPr>
                <w:rFonts w:cstheme="minorHAnsi"/>
              </w:rPr>
            </w:pPr>
            <w:r w:rsidRPr="00747E35">
              <w:rPr>
                <w:rFonts w:cstheme="minorHAnsi"/>
              </w:rPr>
              <w:t>Low</w:t>
            </w:r>
          </w:p>
        </w:tc>
        <w:tc>
          <w:tcPr>
            <w:tcW w:w="869" w:type="dxa"/>
            <w:noWrap/>
            <w:hideMark/>
          </w:tcPr>
          <w:p w14:paraId="4A7602FD" w14:textId="77777777" w:rsidR="003D3694" w:rsidRPr="00747E35" w:rsidRDefault="003D3694" w:rsidP="0096743A">
            <w:pPr>
              <w:pStyle w:val="Tabletext"/>
              <w:keepNext/>
              <w:keepLines/>
              <w:spacing w:before="0" w:after="0"/>
              <w:rPr>
                <w:rFonts w:cstheme="minorHAnsi"/>
              </w:rPr>
            </w:pPr>
            <w:r w:rsidRPr="00747E35">
              <w:rPr>
                <w:rFonts w:cstheme="minorHAnsi"/>
              </w:rPr>
              <w:t>40</w:t>
            </w:r>
          </w:p>
        </w:tc>
        <w:tc>
          <w:tcPr>
            <w:tcW w:w="1701" w:type="dxa"/>
          </w:tcPr>
          <w:p w14:paraId="2C5D7BBA" w14:textId="77777777" w:rsidR="003D3694" w:rsidRPr="00747E35" w:rsidRDefault="003D3694" w:rsidP="0096743A">
            <w:pPr>
              <w:pStyle w:val="Tabletext"/>
              <w:keepNext/>
              <w:keepLines/>
              <w:spacing w:before="0" w:after="0"/>
              <w:rPr>
                <w:rFonts w:cstheme="minorHAnsi"/>
              </w:rPr>
            </w:pPr>
            <w:r w:rsidRPr="00747E35">
              <w:rPr>
                <w:rFonts w:cstheme="minorHAnsi"/>
              </w:rPr>
              <w:t>Intermittent Losing</w:t>
            </w:r>
          </w:p>
        </w:tc>
        <w:tc>
          <w:tcPr>
            <w:tcW w:w="1404" w:type="dxa"/>
          </w:tcPr>
          <w:p w14:paraId="196063EB"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0" w:type="auto"/>
          </w:tcPr>
          <w:p w14:paraId="21E5DD94" w14:textId="77777777" w:rsidR="003D3694" w:rsidRPr="00747E35" w:rsidRDefault="003D3694" w:rsidP="0096743A">
            <w:pPr>
              <w:pStyle w:val="Tabletext"/>
              <w:keepNext/>
              <w:keepLines/>
              <w:spacing w:before="0" w:after="0"/>
              <w:rPr>
                <w:rFonts w:cstheme="minorHAnsi"/>
              </w:rPr>
            </w:pPr>
            <w:r w:rsidRPr="00747E35">
              <w:rPr>
                <w:rFonts w:cstheme="minorHAnsi"/>
              </w:rPr>
              <w:t>30+150</w:t>
            </w:r>
          </w:p>
        </w:tc>
      </w:tr>
      <w:tr w:rsidR="003D3694" w:rsidRPr="00747E35" w14:paraId="52D3BD0B" w14:textId="77777777" w:rsidTr="0096743A">
        <w:trPr>
          <w:trHeight w:val="20"/>
        </w:trPr>
        <w:tc>
          <w:tcPr>
            <w:tcW w:w="0" w:type="auto"/>
            <w:noWrap/>
            <w:hideMark/>
          </w:tcPr>
          <w:p w14:paraId="5B49817C" w14:textId="77777777" w:rsidR="003D3694" w:rsidRPr="00747E35" w:rsidRDefault="003D3694" w:rsidP="0096743A">
            <w:pPr>
              <w:pStyle w:val="Tabletext"/>
              <w:keepNext/>
              <w:keepLines/>
              <w:spacing w:before="0" w:after="0"/>
              <w:rPr>
                <w:rFonts w:cstheme="minorHAnsi"/>
              </w:rPr>
            </w:pPr>
            <w:r w:rsidRPr="00747E35">
              <w:rPr>
                <w:rFonts w:cstheme="minorHAnsi"/>
              </w:rPr>
              <w:t>Middle Creek Farm</w:t>
            </w:r>
          </w:p>
        </w:tc>
        <w:tc>
          <w:tcPr>
            <w:tcW w:w="0" w:type="auto"/>
            <w:noWrap/>
            <w:hideMark/>
          </w:tcPr>
          <w:p w14:paraId="2DF95148" w14:textId="77777777" w:rsidR="003D3694" w:rsidRPr="00747E35" w:rsidRDefault="003D3694" w:rsidP="0096743A">
            <w:pPr>
              <w:pStyle w:val="Tabletext"/>
              <w:keepNext/>
              <w:keepLines/>
              <w:spacing w:before="0" w:after="0"/>
              <w:rPr>
                <w:rFonts w:cstheme="minorHAnsi"/>
              </w:rPr>
            </w:pPr>
            <w:r w:rsidRPr="00747E35">
              <w:rPr>
                <w:rFonts w:cstheme="minorHAnsi"/>
              </w:rPr>
              <w:t>BH18-2</w:t>
            </w:r>
          </w:p>
        </w:tc>
        <w:tc>
          <w:tcPr>
            <w:tcW w:w="0" w:type="auto"/>
            <w:noWrap/>
            <w:hideMark/>
          </w:tcPr>
          <w:p w14:paraId="50B00BD3" w14:textId="77777777" w:rsidR="003D3694" w:rsidRPr="00747E35" w:rsidRDefault="003D3694" w:rsidP="0096743A">
            <w:pPr>
              <w:pStyle w:val="Tabletext"/>
              <w:keepNext/>
              <w:keepLines/>
              <w:spacing w:before="0" w:after="0"/>
              <w:rPr>
                <w:rFonts w:cstheme="minorHAnsi"/>
              </w:rPr>
            </w:pPr>
            <w:r w:rsidRPr="00747E35">
              <w:rPr>
                <w:rFonts w:cstheme="minorHAnsi"/>
              </w:rPr>
              <w:t>6626170</w:t>
            </w:r>
          </w:p>
        </w:tc>
        <w:tc>
          <w:tcPr>
            <w:tcW w:w="0" w:type="auto"/>
            <w:noWrap/>
            <w:hideMark/>
          </w:tcPr>
          <w:p w14:paraId="0CC2813C" w14:textId="77777777" w:rsidR="003D3694" w:rsidRPr="00747E35" w:rsidRDefault="003D3694" w:rsidP="0096743A">
            <w:pPr>
              <w:pStyle w:val="Tabletext"/>
              <w:keepNext/>
              <w:keepLines/>
              <w:spacing w:before="0" w:after="0"/>
              <w:rPr>
                <w:rFonts w:cstheme="minorHAnsi"/>
              </w:rPr>
            </w:pPr>
            <w:r w:rsidRPr="00747E35">
              <w:rPr>
                <w:rFonts w:cstheme="minorHAnsi"/>
              </w:rPr>
              <w:t>227599.2</w:t>
            </w:r>
          </w:p>
        </w:tc>
        <w:tc>
          <w:tcPr>
            <w:tcW w:w="0" w:type="auto"/>
            <w:noWrap/>
            <w:hideMark/>
          </w:tcPr>
          <w:p w14:paraId="1CE49DA3" w14:textId="77777777" w:rsidR="003D3694" w:rsidRPr="00747E35" w:rsidRDefault="003D3694" w:rsidP="0096743A">
            <w:pPr>
              <w:pStyle w:val="Tabletext"/>
              <w:keepNext/>
              <w:keepLines/>
              <w:spacing w:before="0" w:after="0"/>
              <w:rPr>
                <w:rFonts w:cstheme="minorHAnsi"/>
              </w:rPr>
            </w:pPr>
            <w:r w:rsidRPr="00747E35">
              <w:rPr>
                <w:rFonts w:cstheme="minorHAnsi"/>
              </w:rPr>
              <w:t>11.5</w:t>
            </w:r>
          </w:p>
        </w:tc>
        <w:tc>
          <w:tcPr>
            <w:tcW w:w="0" w:type="auto"/>
          </w:tcPr>
          <w:p w14:paraId="09802A98" w14:textId="77777777" w:rsidR="003D3694" w:rsidRPr="00747E35" w:rsidRDefault="003D3694" w:rsidP="0096743A">
            <w:pPr>
              <w:pStyle w:val="Tabletext"/>
              <w:keepNext/>
              <w:keepLines/>
              <w:spacing w:before="0" w:after="0"/>
              <w:rPr>
                <w:rFonts w:cstheme="minorHAnsi"/>
              </w:rPr>
            </w:pPr>
            <w:r w:rsidRPr="00747E35">
              <w:rPr>
                <w:rFonts w:cstheme="minorHAnsi"/>
              </w:rPr>
              <w:t xml:space="preserve">Shallow </w:t>
            </w:r>
          </w:p>
        </w:tc>
        <w:tc>
          <w:tcPr>
            <w:tcW w:w="1142" w:type="dxa"/>
          </w:tcPr>
          <w:p w14:paraId="14EEBB6C" w14:textId="77777777" w:rsidR="003D3694" w:rsidRPr="00747E35" w:rsidRDefault="003D3694" w:rsidP="0096743A">
            <w:pPr>
              <w:pStyle w:val="Tabletext"/>
              <w:keepNext/>
              <w:keepLines/>
              <w:spacing w:before="0" w:after="0"/>
              <w:rPr>
                <w:rFonts w:cstheme="minorHAnsi"/>
              </w:rPr>
            </w:pPr>
            <w:r w:rsidRPr="00747E35">
              <w:rPr>
                <w:rFonts w:cstheme="minorHAnsi"/>
              </w:rPr>
              <w:t>n/a</w:t>
            </w:r>
          </w:p>
        </w:tc>
        <w:tc>
          <w:tcPr>
            <w:tcW w:w="1350" w:type="dxa"/>
          </w:tcPr>
          <w:p w14:paraId="2598EC89" w14:textId="77777777" w:rsidR="003D3694" w:rsidRPr="00747E35" w:rsidRDefault="003D3694" w:rsidP="0096743A">
            <w:pPr>
              <w:pStyle w:val="Tabletext"/>
              <w:keepNext/>
              <w:keepLines/>
              <w:spacing w:before="0" w:after="0"/>
              <w:rPr>
                <w:rFonts w:cstheme="minorHAnsi"/>
              </w:rPr>
            </w:pPr>
            <w:r w:rsidRPr="00747E35">
              <w:rPr>
                <w:rFonts w:cstheme="minorHAnsi"/>
              </w:rPr>
              <w:t>Moderate-High</w:t>
            </w:r>
          </w:p>
        </w:tc>
        <w:tc>
          <w:tcPr>
            <w:tcW w:w="869" w:type="dxa"/>
            <w:noWrap/>
            <w:hideMark/>
          </w:tcPr>
          <w:p w14:paraId="76B7167D" w14:textId="77777777" w:rsidR="003D3694" w:rsidRPr="00747E35" w:rsidRDefault="003D3694" w:rsidP="0096743A">
            <w:pPr>
              <w:pStyle w:val="Tabletext"/>
              <w:keepNext/>
              <w:keepLines/>
              <w:spacing w:before="0" w:after="0"/>
              <w:rPr>
                <w:rFonts w:cstheme="minorHAnsi"/>
              </w:rPr>
            </w:pPr>
            <w:r w:rsidRPr="00747E35">
              <w:rPr>
                <w:rFonts w:cstheme="minorHAnsi"/>
              </w:rPr>
              <w:t>5</w:t>
            </w:r>
          </w:p>
        </w:tc>
        <w:tc>
          <w:tcPr>
            <w:tcW w:w="1701" w:type="dxa"/>
          </w:tcPr>
          <w:p w14:paraId="68E6A7A1" w14:textId="77777777" w:rsidR="003D3694" w:rsidRPr="00747E35" w:rsidRDefault="003D3694" w:rsidP="0096743A">
            <w:pPr>
              <w:pStyle w:val="Tabletext"/>
              <w:keepNext/>
              <w:keepLines/>
              <w:spacing w:before="0" w:after="0"/>
              <w:rPr>
                <w:rFonts w:cstheme="minorHAnsi"/>
              </w:rPr>
            </w:pPr>
            <w:r w:rsidRPr="00747E35">
              <w:rPr>
                <w:rFonts w:cstheme="minorHAnsi"/>
              </w:rPr>
              <w:t>Intermittent Losing</w:t>
            </w:r>
          </w:p>
        </w:tc>
        <w:tc>
          <w:tcPr>
            <w:tcW w:w="1404" w:type="dxa"/>
          </w:tcPr>
          <w:p w14:paraId="73B9ACD1"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0" w:type="auto"/>
          </w:tcPr>
          <w:p w14:paraId="3527CC42" w14:textId="77777777" w:rsidR="003D3694" w:rsidRPr="00747E35" w:rsidRDefault="003D3694" w:rsidP="0096743A">
            <w:pPr>
              <w:pStyle w:val="Tabletext"/>
              <w:keepNext/>
              <w:keepLines/>
              <w:spacing w:before="0" w:after="0"/>
              <w:rPr>
                <w:rFonts w:cstheme="minorHAnsi"/>
              </w:rPr>
            </w:pPr>
            <w:r w:rsidRPr="00747E35">
              <w:rPr>
                <w:rFonts w:cstheme="minorHAnsi"/>
              </w:rPr>
              <w:t>30+150</w:t>
            </w:r>
          </w:p>
        </w:tc>
      </w:tr>
      <w:tr w:rsidR="003D3694" w:rsidRPr="00747E35" w14:paraId="13158044" w14:textId="77777777" w:rsidTr="0096743A">
        <w:trPr>
          <w:trHeight w:val="20"/>
        </w:trPr>
        <w:tc>
          <w:tcPr>
            <w:tcW w:w="0" w:type="auto"/>
            <w:noWrap/>
          </w:tcPr>
          <w:p w14:paraId="20082A43" w14:textId="77777777" w:rsidR="003D3694" w:rsidRPr="00747E35" w:rsidRDefault="003D3694" w:rsidP="0096743A">
            <w:pPr>
              <w:pStyle w:val="Tabletext"/>
              <w:keepNext/>
              <w:keepLines/>
              <w:spacing w:before="0" w:after="0"/>
              <w:rPr>
                <w:rFonts w:cstheme="minorHAnsi"/>
              </w:rPr>
            </w:pPr>
          </w:p>
        </w:tc>
        <w:tc>
          <w:tcPr>
            <w:tcW w:w="0" w:type="auto"/>
            <w:noWrap/>
            <w:hideMark/>
          </w:tcPr>
          <w:p w14:paraId="744A08F4" w14:textId="77777777" w:rsidR="003D3694" w:rsidRPr="00747E35" w:rsidRDefault="003D3694" w:rsidP="0096743A">
            <w:pPr>
              <w:pStyle w:val="Tabletext"/>
              <w:keepNext/>
              <w:keepLines/>
              <w:spacing w:before="0" w:after="0"/>
              <w:rPr>
                <w:rFonts w:cstheme="minorHAnsi"/>
              </w:rPr>
            </w:pPr>
            <w:r w:rsidRPr="00747E35">
              <w:rPr>
                <w:rFonts w:cstheme="minorHAnsi"/>
              </w:rPr>
              <w:t>BH18-4</w:t>
            </w:r>
          </w:p>
        </w:tc>
        <w:tc>
          <w:tcPr>
            <w:tcW w:w="0" w:type="auto"/>
            <w:noWrap/>
            <w:hideMark/>
          </w:tcPr>
          <w:p w14:paraId="574676D2" w14:textId="77777777" w:rsidR="003D3694" w:rsidRPr="00747E35" w:rsidRDefault="003D3694" w:rsidP="0096743A">
            <w:pPr>
              <w:pStyle w:val="Tabletext"/>
              <w:keepNext/>
              <w:keepLines/>
              <w:spacing w:before="0" w:after="0"/>
              <w:rPr>
                <w:rFonts w:cstheme="minorHAnsi"/>
              </w:rPr>
            </w:pPr>
            <w:r w:rsidRPr="00747E35">
              <w:rPr>
                <w:rFonts w:cstheme="minorHAnsi"/>
              </w:rPr>
              <w:t>6626170</w:t>
            </w:r>
          </w:p>
        </w:tc>
        <w:tc>
          <w:tcPr>
            <w:tcW w:w="0" w:type="auto"/>
            <w:noWrap/>
            <w:hideMark/>
          </w:tcPr>
          <w:p w14:paraId="45492BA2" w14:textId="77777777" w:rsidR="003D3694" w:rsidRPr="00747E35" w:rsidRDefault="003D3694" w:rsidP="0096743A">
            <w:pPr>
              <w:pStyle w:val="Tabletext"/>
              <w:keepNext/>
              <w:keepLines/>
              <w:spacing w:before="0" w:after="0"/>
              <w:rPr>
                <w:rFonts w:cstheme="minorHAnsi"/>
              </w:rPr>
            </w:pPr>
            <w:r w:rsidRPr="00747E35">
              <w:rPr>
                <w:rFonts w:cstheme="minorHAnsi"/>
              </w:rPr>
              <w:t>227599.2</w:t>
            </w:r>
          </w:p>
        </w:tc>
        <w:tc>
          <w:tcPr>
            <w:tcW w:w="0" w:type="auto"/>
            <w:noWrap/>
            <w:hideMark/>
          </w:tcPr>
          <w:p w14:paraId="231BBB6C" w14:textId="77777777" w:rsidR="003D3694" w:rsidRPr="00747E35" w:rsidRDefault="003D3694" w:rsidP="0096743A">
            <w:pPr>
              <w:pStyle w:val="Tabletext"/>
              <w:keepNext/>
              <w:keepLines/>
              <w:spacing w:before="0" w:after="0"/>
              <w:rPr>
                <w:rFonts w:cstheme="minorHAnsi"/>
              </w:rPr>
            </w:pPr>
            <w:r w:rsidRPr="00747E35">
              <w:rPr>
                <w:rFonts w:cstheme="minorHAnsi"/>
              </w:rPr>
              <w:t>22.3</w:t>
            </w:r>
          </w:p>
        </w:tc>
        <w:tc>
          <w:tcPr>
            <w:tcW w:w="0" w:type="auto"/>
          </w:tcPr>
          <w:p w14:paraId="79F1E257" w14:textId="77777777" w:rsidR="003D3694" w:rsidRPr="00747E35" w:rsidRDefault="003D3694" w:rsidP="0096743A">
            <w:pPr>
              <w:pStyle w:val="Tabletext"/>
              <w:keepNext/>
              <w:keepLines/>
              <w:spacing w:before="0" w:after="0"/>
              <w:rPr>
                <w:rFonts w:cstheme="minorHAnsi"/>
              </w:rPr>
            </w:pPr>
            <w:r w:rsidRPr="00747E35">
              <w:rPr>
                <w:rFonts w:cstheme="minorHAnsi"/>
              </w:rPr>
              <w:t>Shallow ?</w:t>
            </w:r>
          </w:p>
        </w:tc>
        <w:tc>
          <w:tcPr>
            <w:tcW w:w="1142" w:type="dxa"/>
          </w:tcPr>
          <w:p w14:paraId="4F852814" w14:textId="77777777" w:rsidR="003D3694" w:rsidRPr="00747E35" w:rsidRDefault="003D3694" w:rsidP="0096743A">
            <w:pPr>
              <w:pStyle w:val="Tabletext"/>
              <w:keepNext/>
              <w:keepLines/>
              <w:spacing w:before="0" w:after="0"/>
              <w:rPr>
                <w:rFonts w:cstheme="minorHAnsi"/>
              </w:rPr>
            </w:pPr>
            <w:r w:rsidRPr="00747E35">
              <w:rPr>
                <w:rFonts w:cstheme="minorHAnsi"/>
              </w:rPr>
              <w:t>7.64</w:t>
            </w:r>
          </w:p>
        </w:tc>
        <w:tc>
          <w:tcPr>
            <w:tcW w:w="1350" w:type="dxa"/>
          </w:tcPr>
          <w:p w14:paraId="425F6680" w14:textId="77777777" w:rsidR="003D3694" w:rsidRPr="00747E35" w:rsidRDefault="003D3694" w:rsidP="0096743A">
            <w:pPr>
              <w:pStyle w:val="Tabletext"/>
              <w:keepNext/>
              <w:keepLines/>
              <w:spacing w:before="0" w:after="0"/>
              <w:rPr>
                <w:rFonts w:cstheme="minorHAnsi"/>
              </w:rPr>
            </w:pPr>
            <w:r w:rsidRPr="00747E35">
              <w:rPr>
                <w:rFonts w:cstheme="minorHAnsi"/>
              </w:rPr>
              <w:t>High</w:t>
            </w:r>
          </w:p>
        </w:tc>
        <w:tc>
          <w:tcPr>
            <w:tcW w:w="869" w:type="dxa"/>
            <w:noWrap/>
            <w:hideMark/>
          </w:tcPr>
          <w:p w14:paraId="60EC112B" w14:textId="77777777" w:rsidR="003D3694" w:rsidRPr="00747E35" w:rsidRDefault="003D3694" w:rsidP="0096743A">
            <w:pPr>
              <w:pStyle w:val="Tabletext"/>
              <w:keepNext/>
              <w:keepLines/>
              <w:spacing w:before="0" w:after="0"/>
              <w:rPr>
                <w:rFonts w:cstheme="minorHAnsi"/>
              </w:rPr>
            </w:pPr>
            <w:r w:rsidRPr="00747E35">
              <w:rPr>
                <w:rFonts w:cstheme="minorHAnsi"/>
              </w:rPr>
              <w:t>5</w:t>
            </w:r>
          </w:p>
        </w:tc>
        <w:tc>
          <w:tcPr>
            <w:tcW w:w="1701" w:type="dxa"/>
          </w:tcPr>
          <w:p w14:paraId="5B5B8233" w14:textId="77777777" w:rsidR="003D3694" w:rsidRPr="00747E35" w:rsidRDefault="003D3694" w:rsidP="0096743A">
            <w:pPr>
              <w:pStyle w:val="Tabletext"/>
              <w:keepNext/>
              <w:keepLines/>
              <w:spacing w:before="0" w:after="0"/>
              <w:rPr>
                <w:rFonts w:cstheme="minorHAnsi"/>
              </w:rPr>
            </w:pPr>
            <w:r w:rsidRPr="00747E35">
              <w:rPr>
                <w:rFonts w:cstheme="minorHAnsi"/>
              </w:rPr>
              <w:t>Intermittent Losing</w:t>
            </w:r>
          </w:p>
        </w:tc>
        <w:tc>
          <w:tcPr>
            <w:tcW w:w="1404" w:type="dxa"/>
          </w:tcPr>
          <w:p w14:paraId="609EC7BA"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0" w:type="auto"/>
          </w:tcPr>
          <w:p w14:paraId="4661054F" w14:textId="77777777" w:rsidR="003D3694" w:rsidRPr="00747E35" w:rsidRDefault="003D3694" w:rsidP="0096743A">
            <w:pPr>
              <w:pStyle w:val="Tabletext"/>
              <w:keepNext/>
              <w:keepLines/>
              <w:spacing w:before="0" w:after="0"/>
              <w:rPr>
                <w:rFonts w:cstheme="minorHAnsi"/>
              </w:rPr>
            </w:pPr>
            <w:r w:rsidRPr="00747E35">
              <w:rPr>
                <w:rFonts w:cstheme="minorHAnsi"/>
              </w:rPr>
              <w:t>30+150</w:t>
            </w:r>
          </w:p>
        </w:tc>
      </w:tr>
      <w:tr w:rsidR="003D3694" w:rsidRPr="00747E35" w14:paraId="3CA94777" w14:textId="77777777" w:rsidTr="0096743A">
        <w:trPr>
          <w:trHeight w:val="20"/>
        </w:trPr>
        <w:tc>
          <w:tcPr>
            <w:tcW w:w="0" w:type="auto"/>
            <w:noWrap/>
          </w:tcPr>
          <w:p w14:paraId="3AE67F01" w14:textId="77777777" w:rsidR="003D3694" w:rsidRPr="00747E35" w:rsidRDefault="003D3694" w:rsidP="0096743A">
            <w:pPr>
              <w:pStyle w:val="Tabletext"/>
              <w:keepNext/>
              <w:keepLines/>
              <w:spacing w:before="0" w:after="0"/>
              <w:rPr>
                <w:rFonts w:cstheme="minorHAnsi"/>
              </w:rPr>
            </w:pPr>
          </w:p>
        </w:tc>
        <w:tc>
          <w:tcPr>
            <w:tcW w:w="0" w:type="auto"/>
            <w:noWrap/>
            <w:hideMark/>
          </w:tcPr>
          <w:p w14:paraId="37A31C16" w14:textId="77777777" w:rsidR="003D3694" w:rsidRPr="00747E35" w:rsidRDefault="003D3694" w:rsidP="0096743A">
            <w:pPr>
              <w:pStyle w:val="Tabletext"/>
              <w:keepNext/>
              <w:keepLines/>
              <w:spacing w:before="0" w:after="0"/>
              <w:rPr>
                <w:rFonts w:cstheme="minorHAnsi"/>
              </w:rPr>
            </w:pPr>
            <w:r w:rsidRPr="00747E35">
              <w:rPr>
                <w:rFonts w:cstheme="minorHAnsi"/>
              </w:rPr>
              <w:t>BH19-1</w:t>
            </w:r>
          </w:p>
        </w:tc>
        <w:tc>
          <w:tcPr>
            <w:tcW w:w="0" w:type="auto"/>
            <w:noWrap/>
            <w:hideMark/>
          </w:tcPr>
          <w:p w14:paraId="07793FDA" w14:textId="77777777" w:rsidR="003D3694" w:rsidRPr="00747E35" w:rsidRDefault="003D3694" w:rsidP="0096743A">
            <w:pPr>
              <w:pStyle w:val="Tabletext"/>
              <w:keepNext/>
              <w:keepLines/>
              <w:spacing w:before="0" w:after="0"/>
              <w:rPr>
                <w:rFonts w:cstheme="minorHAnsi"/>
              </w:rPr>
            </w:pPr>
            <w:r w:rsidRPr="00747E35">
              <w:rPr>
                <w:rFonts w:cstheme="minorHAnsi"/>
              </w:rPr>
              <w:t>6626196</w:t>
            </w:r>
          </w:p>
        </w:tc>
        <w:tc>
          <w:tcPr>
            <w:tcW w:w="0" w:type="auto"/>
            <w:noWrap/>
            <w:hideMark/>
          </w:tcPr>
          <w:p w14:paraId="51934917" w14:textId="77777777" w:rsidR="003D3694" w:rsidRPr="00747E35" w:rsidRDefault="003D3694" w:rsidP="0096743A">
            <w:pPr>
              <w:pStyle w:val="Tabletext"/>
              <w:keepNext/>
              <w:keepLines/>
              <w:spacing w:before="0" w:after="0"/>
              <w:rPr>
                <w:rFonts w:cstheme="minorHAnsi"/>
              </w:rPr>
            </w:pPr>
            <w:r w:rsidRPr="00747E35">
              <w:rPr>
                <w:rFonts w:cstheme="minorHAnsi"/>
              </w:rPr>
              <w:t>227555.3</w:t>
            </w:r>
          </w:p>
        </w:tc>
        <w:tc>
          <w:tcPr>
            <w:tcW w:w="0" w:type="auto"/>
            <w:noWrap/>
            <w:hideMark/>
          </w:tcPr>
          <w:p w14:paraId="1A67C85B" w14:textId="77777777" w:rsidR="003D3694" w:rsidRPr="00747E35" w:rsidRDefault="003D3694" w:rsidP="0096743A">
            <w:pPr>
              <w:pStyle w:val="Tabletext"/>
              <w:keepNext/>
              <w:keepLines/>
              <w:spacing w:before="0" w:after="0"/>
              <w:rPr>
                <w:rFonts w:cstheme="minorHAnsi"/>
              </w:rPr>
            </w:pPr>
            <w:r w:rsidRPr="00747E35">
              <w:rPr>
                <w:rFonts w:cstheme="minorHAnsi"/>
              </w:rPr>
              <w:t>9.3</w:t>
            </w:r>
          </w:p>
        </w:tc>
        <w:tc>
          <w:tcPr>
            <w:tcW w:w="0" w:type="auto"/>
          </w:tcPr>
          <w:p w14:paraId="1A7E0C19" w14:textId="77777777" w:rsidR="003D3694" w:rsidRPr="00747E35" w:rsidRDefault="003D3694" w:rsidP="0096743A">
            <w:pPr>
              <w:pStyle w:val="Tabletext"/>
              <w:keepNext/>
              <w:keepLines/>
              <w:spacing w:before="0" w:after="0"/>
              <w:rPr>
                <w:rFonts w:cstheme="minorHAnsi"/>
              </w:rPr>
            </w:pPr>
            <w:r w:rsidRPr="00747E35">
              <w:rPr>
                <w:rFonts w:cstheme="minorHAnsi"/>
              </w:rPr>
              <w:t xml:space="preserve">Shallow </w:t>
            </w:r>
          </w:p>
        </w:tc>
        <w:tc>
          <w:tcPr>
            <w:tcW w:w="1142" w:type="dxa"/>
          </w:tcPr>
          <w:p w14:paraId="70A2E808" w14:textId="77777777" w:rsidR="003D3694" w:rsidRPr="00747E35" w:rsidRDefault="003D3694" w:rsidP="0096743A">
            <w:pPr>
              <w:pStyle w:val="Tabletext"/>
              <w:keepNext/>
              <w:keepLines/>
              <w:spacing w:before="0" w:after="0"/>
              <w:rPr>
                <w:rFonts w:cstheme="minorHAnsi"/>
              </w:rPr>
            </w:pPr>
            <w:r w:rsidRPr="00747E35">
              <w:rPr>
                <w:rFonts w:cstheme="minorHAnsi"/>
              </w:rPr>
              <w:t>1.55</w:t>
            </w:r>
          </w:p>
        </w:tc>
        <w:tc>
          <w:tcPr>
            <w:tcW w:w="1350" w:type="dxa"/>
          </w:tcPr>
          <w:p w14:paraId="34AC69A7" w14:textId="77777777" w:rsidR="003D3694" w:rsidRPr="00747E35" w:rsidRDefault="003D3694" w:rsidP="0096743A">
            <w:pPr>
              <w:pStyle w:val="Tabletext"/>
              <w:keepNext/>
              <w:keepLines/>
              <w:spacing w:before="0" w:after="0"/>
              <w:rPr>
                <w:rFonts w:cstheme="minorHAnsi"/>
              </w:rPr>
            </w:pPr>
            <w:r w:rsidRPr="00747E35">
              <w:rPr>
                <w:rFonts w:cstheme="minorHAnsi"/>
              </w:rPr>
              <w:t>Moderate-High</w:t>
            </w:r>
          </w:p>
        </w:tc>
        <w:tc>
          <w:tcPr>
            <w:tcW w:w="869" w:type="dxa"/>
            <w:noWrap/>
            <w:hideMark/>
          </w:tcPr>
          <w:p w14:paraId="555DF120" w14:textId="77777777" w:rsidR="003D3694" w:rsidRPr="00747E35" w:rsidRDefault="003D3694" w:rsidP="0096743A">
            <w:pPr>
              <w:pStyle w:val="Tabletext"/>
              <w:keepNext/>
              <w:keepLines/>
              <w:spacing w:before="0" w:after="0"/>
              <w:rPr>
                <w:rFonts w:cstheme="minorHAnsi"/>
              </w:rPr>
            </w:pPr>
            <w:r w:rsidRPr="00747E35">
              <w:rPr>
                <w:rFonts w:cstheme="minorHAnsi"/>
              </w:rPr>
              <w:t>60</w:t>
            </w:r>
          </w:p>
        </w:tc>
        <w:tc>
          <w:tcPr>
            <w:tcW w:w="1701" w:type="dxa"/>
          </w:tcPr>
          <w:p w14:paraId="0FF84114" w14:textId="77777777" w:rsidR="003D3694" w:rsidRPr="00747E35" w:rsidRDefault="003D3694" w:rsidP="0096743A">
            <w:pPr>
              <w:pStyle w:val="Tabletext"/>
              <w:keepNext/>
              <w:keepLines/>
              <w:spacing w:before="0" w:after="0"/>
              <w:rPr>
                <w:rFonts w:cstheme="minorHAnsi"/>
              </w:rPr>
            </w:pPr>
            <w:r w:rsidRPr="00747E35">
              <w:rPr>
                <w:rFonts w:cstheme="minorHAnsi"/>
              </w:rPr>
              <w:t>Intermittent Losing</w:t>
            </w:r>
          </w:p>
        </w:tc>
        <w:tc>
          <w:tcPr>
            <w:tcW w:w="1404" w:type="dxa"/>
          </w:tcPr>
          <w:p w14:paraId="41E557AF"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0" w:type="auto"/>
          </w:tcPr>
          <w:p w14:paraId="1661AFFD" w14:textId="77777777" w:rsidR="003D3694" w:rsidRPr="00747E35" w:rsidRDefault="003D3694" w:rsidP="0096743A">
            <w:pPr>
              <w:pStyle w:val="Tabletext"/>
              <w:keepNext/>
              <w:keepLines/>
              <w:spacing w:before="0" w:after="0"/>
              <w:rPr>
                <w:rFonts w:cstheme="minorHAnsi"/>
              </w:rPr>
            </w:pPr>
            <w:r w:rsidRPr="00747E35">
              <w:rPr>
                <w:rFonts w:cstheme="minorHAnsi"/>
              </w:rPr>
              <w:t>30+150</w:t>
            </w:r>
          </w:p>
        </w:tc>
      </w:tr>
      <w:tr w:rsidR="003D3694" w:rsidRPr="00747E35" w14:paraId="6238D465" w14:textId="77777777" w:rsidTr="0096743A">
        <w:trPr>
          <w:trHeight w:val="20"/>
        </w:trPr>
        <w:tc>
          <w:tcPr>
            <w:tcW w:w="0" w:type="auto"/>
            <w:noWrap/>
          </w:tcPr>
          <w:p w14:paraId="45276FCE" w14:textId="77777777" w:rsidR="003D3694" w:rsidRPr="00747E35" w:rsidRDefault="003D3694" w:rsidP="0096743A">
            <w:pPr>
              <w:pStyle w:val="Tabletext"/>
              <w:keepNext/>
              <w:keepLines/>
              <w:spacing w:before="0" w:after="0"/>
              <w:rPr>
                <w:rFonts w:cstheme="minorHAnsi"/>
              </w:rPr>
            </w:pPr>
          </w:p>
        </w:tc>
        <w:tc>
          <w:tcPr>
            <w:tcW w:w="0" w:type="auto"/>
            <w:noWrap/>
            <w:hideMark/>
          </w:tcPr>
          <w:p w14:paraId="14F907EE" w14:textId="77777777" w:rsidR="003D3694" w:rsidRPr="00747E35" w:rsidRDefault="003D3694" w:rsidP="0096743A">
            <w:pPr>
              <w:pStyle w:val="Tabletext"/>
              <w:keepNext/>
              <w:keepLines/>
              <w:spacing w:before="0" w:after="0"/>
              <w:rPr>
                <w:rFonts w:cstheme="minorHAnsi"/>
              </w:rPr>
            </w:pPr>
            <w:r w:rsidRPr="00747E35">
              <w:rPr>
                <w:rFonts w:cstheme="minorHAnsi"/>
              </w:rPr>
              <w:t>BH19-2</w:t>
            </w:r>
          </w:p>
        </w:tc>
        <w:tc>
          <w:tcPr>
            <w:tcW w:w="0" w:type="auto"/>
            <w:noWrap/>
            <w:hideMark/>
          </w:tcPr>
          <w:p w14:paraId="30B203FD" w14:textId="77777777" w:rsidR="003D3694" w:rsidRPr="00747E35" w:rsidRDefault="003D3694" w:rsidP="0096743A">
            <w:pPr>
              <w:pStyle w:val="Tabletext"/>
              <w:keepNext/>
              <w:keepLines/>
              <w:spacing w:before="0" w:after="0"/>
              <w:rPr>
                <w:rFonts w:cstheme="minorHAnsi"/>
              </w:rPr>
            </w:pPr>
            <w:r w:rsidRPr="00747E35">
              <w:rPr>
                <w:rFonts w:cstheme="minorHAnsi"/>
              </w:rPr>
              <w:t>6626196</w:t>
            </w:r>
          </w:p>
        </w:tc>
        <w:tc>
          <w:tcPr>
            <w:tcW w:w="0" w:type="auto"/>
            <w:noWrap/>
            <w:hideMark/>
          </w:tcPr>
          <w:p w14:paraId="384FC22C" w14:textId="77777777" w:rsidR="003D3694" w:rsidRPr="00747E35" w:rsidRDefault="003D3694" w:rsidP="0096743A">
            <w:pPr>
              <w:pStyle w:val="Tabletext"/>
              <w:keepNext/>
              <w:keepLines/>
              <w:spacing w:before="0" w:after="0"/>
              <w:rPr>
                <w:rFonts w:cstheme="minorHAnsi"/>
              </w:rPr>
            </w:pPr>
            <w:r w:rsidRPr="00747E35">
              <w:rPr>
                <w:rFonts w:cstheme="minorHAnsi"/>
              </w:rPr>
              <w:t>227555.3</w:t>
            </w:r>
          </w:p>
        </w:tc>
        <w:tc>
          <w:tcPr>
            <w:tcW w:w="0" w:type="auto"/>
            <w:noWrap/>
            <w:hideMark/>
          </w:tcPr>
          <w:p w14:paraId="66D8F3D7" w14:textId="77777777" w:rsidR="003D3694" w:rsidRPr="00747E35" w:rsidRDefault="003D3694" w:rsidP="0096743A">
            <w:pPr>
              <w:pStyle w:val="Tabletext"/>
              <w:keepNext/>
              <w:keepLines/>
              <w:spacing w:before="0" w:after="0"/>
              <w:rPr>
                <w:rFonts w:cstheme="minorHAnsi"/>
              </w:rPr>
            </w:pPr>
            <w:r w:rsidRPr="00747E35">
              <w:rPr>
                <w:rFonts w:cstheme="minorHAnsi"/>
              </w:rPr>
              <w:t>22.9</w:t>
            </w:r>
          </w:p>
        </w:tc>
        <w:tc>
          <w:tcPr>
            <w:tcW w:w="0" w:type="auto"/>
          </w:tcPr>
          <w:p w14:paraId="2C0F617D" w14:textId="77777777" w:rsidR="003D3694" w:rsidRPr="00747E35" w:rsidRDefault="003D3694" w:rsidP="0096743A">
            <w:pPr>
              <w:pStyle w:val="Tabletext"/>
              <w:keepNext/>
              <w:keepLines/>
              <w:spacing w:before="0" w:after="0"/>
              <w:rPr>
                <w:rFonts w:cstheme="minorHAnsi"/>
              </w:rPr>
            </w:pPr>
            <w:r w:rsidRPr="00747E35">
              <w:rPr>
                <w:rFonts w:cstheme="minorHAnsi"/>
              </w:rPr>
              <w:t>Unknown</w:t>
            </w:r>
          </w:p>
        </w:tc>
        <w:tc>
          <w:tcPr>
            <w:tcW w:w="1142" w:type="dxa"/>
          </w:tcPr>
          <w:p w14:paraId="651BBED7" w14:textId="77777777" w:rsidR="003D3694" w:rsidRPr="00747E35" w:rsidRDefault="003D3694" w:rsidP="0096743A">
            <w:pPr>
              <w:pStyle w:val="Tabletext"/>
              <w:keepNext/>
              <w:keepLines/>
              <w:spacing w:before="0" w:after="0"/>
              <w:rPr>
                <w:rFonts w:cstheme="minorHAnsi"/>
              </w:rPr>
            </w:pPr>
            <w:r w:rsidRPr="00747E35">
              <w:rPr>
                <w:rFonts w:cstheme="minorHAnsi"/>
              </w:rPr>
              <w:t>0.97</w:t>
            </w:r>
          </w:p>
        </w:tc>
        <w:tc>
          <w:tcPr>
            <w:tcW w:w="1350" w:type="dxa"/>
          </w:tcPr>
          <w:p w14:paraId="7475346A" w14:textId="77777777" w:rsidR="003D3694" w:rsidRPr="00747E35" w:rsidRDefault="003D3694" w:rsidP="0096743A">
            <w:pPr>
              <w:pStyle w:val="Tabletext"/>
              <w:keepNext/>
              <w:keepLines/>
              <w:spacing w:before="0" w:after="0"/>
              <w:rPr>
                <w:rFonts w:cstheme="minorHAnsi"/>
              </w:rPr>
            </w:pPr>
            <w:r w:rsidRPr="00747E35">
              <w:rPr>
                <w:rFonts w:cstheme="minorHAnsi"/>
              </w:rPr>
              <w:t>Moderate-High</w:t>
            </w:r>
          </w:p>
        </w:tc>
        <w:tc>
          <w:tcPr>
            <w:tcW w:w="869" w:type="dxa"/>
            <w:noWrap/>
            <w:hideMark/>
          </w:tcPr>
          <w:p w14:paraId="4F68BF71" w14:textId="77777777" w:rsidR="003D3694" w:rsidRPr="00747E35" w:rsidRDefault="003D3694" w:rsidP="0096743A">
            <w:pPr>
              <w:pStyle w:val="Tabletext"/>
              <w:keepNext/>
              <w:keepLines/>
              <w:spacing w:before="0" w:after="0"/>
              <w:rPr>
                <w:rFonts w:cstheme="minorHAnsi"/>
              </w:rPr>
            </w:pPr>
            <w:r w:rsidRPr="00747E35">
              <w:rPr>
                <w:rFonts w:cstheme="minorHAnsi"/>
              </w:rPr>
              <w:t>60</w:t>
            </w:r>
          </w:p>
        </w:tc>
        <w:tc>
          <w:tcPr>
            <w:tcW w:w="1701" w:type="dxa"/>
          </w:tcPr>
          <w:p w14:paraId="0085327D" w14:textId="77777777" w:rsidR="003D3694" w:rsidRPr="00747E35" w:rsidRDefault="003D3694" w:rsidP="0096743A">
            <w:pPr>
              <w:pStyle w:val="Tabletext"/>
              <w:keepNext/>
              <w:keepLines/>
              <w:spacing w:before="0" w:after="0"/>
              <w:rPr>
                <w:rFonts w:cstheme="minorHAnsi"/>
              </w:rPr>
            </w:pPr>
            <w:r w:rsidRPr="00747E35">
              <w:rPr>
                <w:rFonts w:cstheme="minorHAnsi"/>
              </w:rPr>
              <w:t>Intermittent Losing</w:t>
            </w:r>
          </w:p>
        </w:tc>
        <w:tc>
          <w:tcPr>
            <w:tcW w:w="1404" w:type="dxa"/>
          </w:tcPr>
          <w:p w14:paraId="10EE901F"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0" w:type="auto"/>
          </w:tcPr>
          <w:p w14:paraId="2B1BBD45" w14:textId="77777777" w:rsidR="003D3694" w:rsidRPr="00747E35" w:rsidRDefault="003D3694" w:rsidP="0096743A">
            <w:pPr>
              <w:pStyle w:val="Tabletext"/>
              <w:keepNext/>
              <w:keepLines/>
              <w:spacing w:before="0" w:after="0"/>
              <w:rPr>
                <w:rFonts w:cstheme="minorHAnsi"/>
              </w:rPr>
            </w:pPr>
            <w:r w:rsidRPr="00747E35">
              <w:rPr>
                <w:rFonts w:cstheme="minorHAnsi"/>
              </w:rPr>
              <w:t>30+150</w:t>
            </w:r>
          </w:p>
        </w:tc>
      </w:tr>
      <w:tr w:rsidR="003D3694" w:rsidRPr="00747E35" w14:paraId="5C81422A" w14:textId="77777777" w:rsidTr="0096743A">
        <w:trPr>
          <w:trHeight w:val="20"/>
        </w:trPr>
        <w:tc>
          <w:tcPr>
            <w:tcW w:w="0" w:type="auto"/>
            <w:noWrap/>
            <w:hideMark/>
          </w:tcPr>
          <w:p w14:paraId="39392476" w14:textId="77777777" w:rsidR="003D3694" w:rsidRPr="00747E35" w:rsidRDefault="003D3694" w:rsidP="0096743A">
            <w:pPr>
              <w:pStyle w:val="Tabletext"/>
              <w:keepNext/>
              <w:keepLines/>
              <w:spacing w:before="0" w:after="0"/>
              <w:rPr>
                <w:rFonts w:cstheme="minorHAnsi"/>
              </w:rPr>
            </w:pPr>
            <w:r w:rsidRPr="00747E35">
              <w:rPr>
                <w:rFonts w:cstheme="minorHAnsi"/>
              </w:rPr>
              <w:t>Horsearm Creek</w:t>
            </w:r>
          </w:p>
        </w:tc>
        <w:tc>
          <w:tcPr>
            <w:tcW w:w="0" w:type="auto"/>
            <w:noWrap/>
            <w:hideMark/>
          </w:tcPr>
          <w:p w14:paraId="6038851A" w14:textId="77777777" w:rsidR="003D3694" w:rsidRPr="00747E35" w:rsidRDefault="003D3694" w:rsidP="0096743A">
            <w:pPr>
              <w:pStyle w:val="Tabletext"/>
              <w:keepNext/>
              <w:keepLines/>
              <w:spacing w:before="0" w:after="0"/>
              <w:rPr>
                <w:rFonts w:cstheme="minorHAnsi"/>
              </w:rPr>
            </w:pPr>
            <w:r w:rsidRPr="00747E35">
              <w:rPr>
                <w:rFonts w:cstheme="minorHAnsi"/>
              </w:rPr>
              <w:t>BH11-2</w:t>
            </w:r>
          </w:p>
        </w:tc>
        <w:tc>
          <w:tcPr>
            <w:tcW w:w="0" w:type="auto"/>
            <w:noWrap/>
            <w:hideMark/>
          </w:tcPr>
          <w:p w14:paraId="73572629" w14:textId="77777777" w:rsidR="003D3694" w:rsidRPr="00747E35" w:rsidRDefault="003D3694" w:rsidP="0096743A">
            <w:pPr>
              <w:pStyle w:val="Tabletext"/>
              <w:keepNext/>
              <w:keepLines/>
              <w:spacing w:before="0" w:after="0"/>
              <w:rPr>
                <w:rFonts w:cstheme="minorHAnsi"/>
              </w:rPr>
            </w:pPr>
            <w:r w:rsidRPr="00747E35">
              <w:rPr>
                <w:rFonts w:cstheme="minorHAnsi"/>
              </w:rPr>
              <w:t>6623114</w:t>
            </w:r>
          </w:p>
        </w:tc>
        <w:tc>
          <w:tcPr>
            <w:tcW w:w="0" w:type="auto"/>
            <w:noWrap/>
            <w:hideMark/>
          </w:tcPr>
          <w:p w14:paraId="715FEC6D" w14:textId="77777777" w:rsidR="003D3694" w:rsidRPr="00747E35" w:rsidRDefault="003D3694" w:rsidP="0096743A">
            <w:pPr>
              <w:pStyle w:val="Tabletext"/>
              <w:keepNext/>
              <w:keepLines/>
              <w:spacing w:before="0" w:after="0"/>
              <w:rPr>
                <w:rFonts w:cstheme="minorHAnsi"/>
              </w:rPr>
            </w:pPr>
            <w:r w:rsidRPr="00747E35">
              <w:rPr>
                <w:rFonts w:cstheme="minorHAnsi"/>
              </w:rPr>
              <w:t>223779.2</w:t>
            </w:r>
          </w:p>
        </w:tc>
        <w:tc>
          <w:tcPr>
            <w:tcW w:w="0" w:type="auto"/>
            <w:noWrap/>
            <w:hideMark/>
          </w:tcPr>
          <w:p w14:paraId="07FE036B" w14:textId="77777777" w:rsidR="003D3694" w:rsidRPr="00747E35" w:rsidRDefault="003D3694" w:rsidP="0096743A">
            <w:pPr>
              <w:pStyle w:val="Tabletext"/>
              <w:keepNext/>
              <w:keepLines/>
              <w:spacing w:before="0" w:after="0"/>
              <w:rPr>
                <w:rFonts w:cstheme="minorHAnsi"/>
              </w:rPr>
            </w:pPr>
            <w:r w:rsidRPr="00747E35">
              <w:rPr>
                <w:rFonts w:cstheme="minorHAnsi"/>
              </w:rPr>
              <w:t>23.5</w:t>
            </w:r>
          </w:p>
        </w:tc>
        <w:tc>
          <w:tcPr>
            <w:tcW w:w="0" w:type="auto"/>
          </w:tcPr>
          <w:p w14:paraId="36D5D00D" w14:textId="77777777" w:rsidR="003D3694" w:rsidRPr="00747E35" w:rsidRDefault="003D3694" w:rsidP="0096743A">
            <w:pPr>
              <w:pStyle w:val="Tabletext"/>
              <w:keepNext/>
              <w:keepLines/>
              <w:spacing w:before="0" w:after="0"/>
              <w:rPr>
                <w:rFonts w:cstheme="minorHAnsi"/>
              </w:rPr>
            </w:pPr>
            <w:r w:rsidRPr="00747E35">
              <w:rPr>
                <w:rFonts w:cstheme="minorHAnsi"/>
              </w:rPr>
              <w:t xml:space="preserve">Shallow </w:t>
            </w:r>
          </w:p>
        </w:tc>
        <w:tc>
          <w:tcPr>
            <w:tcW w:w="1142" w:type="dxa"/>
          </w:tcPr>
          <w:p w14:paraId="439B54B2" w14:textId="77777777" w:rsidR="003D3694" w:rsidRPr="00747E35" w:rsidRDefault="003D3694" w:rsidP="0096743A">
            <w:pPr>
              <w:pStyle w:val="Tabletext"/>
              <w:keepNext/>
              <w:keepLines/>
              <w:spacing w:before="0" w:after="0"/>
              <w:rPr>
                <w:rFonts w:cstheme="minorHAnsi"/>
              </w:rPr>
            </w:pPr>
            <w:r w:rsidRPr="00747E35">
              <w:rPr>
                <w:rFonts w:cstheme="minorHAnsi"/>
              </w:rPr>
              <w:t>2.15</w:t>
            </w:r>
          </w:p>
        </w:tc>
        <w:tc>
          <w:tcPr>
            <w:tcW w:w="1350" w:type="dxa"/>
          </w:tcPr>
          <w:p w14:paraId="390CFF90" w14:textId="77777777" w:rsidR="003D3694" w:rsidRPr="00747E35" w:rsidRDefault="003D3694" w:rsidP="0096743A">
            <w:pPr>
              <w:pStyle w:val="Tabletext"/>
              <w:keepNext/>
              <w:keepLines/>
              <w:spacing w:before="0" w:after="0"/>
              <w:rPr>
                <w:rFonts w:cstheme="minorHAnsi"/>
              </w:rPr>
            </w:pPr>
            <w:r w:rsidRPr="00747E35">
              <w:rPr>
                <w:rFonts w:cstheme="minorHAnsi"/>
              </w:rPr>
              <w:t>Moderate-High</w:t>
            </w:r>
          </w:p>
        </w:tc>
        <w:tc>
          <w:tcPr>
            <w:tcW w:w="869" w:type="dxa"/>
            <w:noWrap/>
            <w:hideMark/>
          </w:tcPr>
          <w:p w14:paraId="42B51B6B" w14:textId="77777777" w:rsidR="003D3694" w:rsidRPr="00747E35" w:rsidRDefault="003D3694" w:rsidP="0096743A">
            <w:pPr>
              <w:pStyle w:val="Tabletext"/>
              <w:keepNext/>
              <w:keepLines/>
              <w:spacing w:before="0" w:after="0"/>
              <w:rPr>
                <w:rFonts w:cstheme="minorHAnsi"/>
              </w:rPr>
            </w:pPr>
            <w:r w:rsidRPr="00747E35">
              <w:rPr>
                <w:rFonts w:cstheme="minorHAnsi"/>
              </w:rPr>
              <w:t>5</w:t>
            </w:r>
          </w:p>
        </w:tc>
        <w:tc>
          <w:tcPr>
            <w:tcW w:w="1701" w:type="dxa"/>
          </w:tcPr>
          <w:p w14:paraId="38E9A51F" w14:textId="77777777" w:rsidR="003D3694" w:rsidRPr="00747E35" w:rsidRDefault="003D3694" w:rsidP="0096743A">
            <w:pPr>
              <w:pStyle w:val="Tabletext"/>
              <w:keepNext/>
              <w:keepLines/>
              <w:spacing w:before="0" w:after="0"/>
              <w:rPr>
                <w:rFonts w:cstheme="minorHAnsi"/>
              </w:rPr>
            </w:pPr>
            <w:r w:rsidRPr="00747E35">
              <w:rPr>
                <w:rFonts w:cstheme="minorHAnsi"/>
              </w:rPr>
              <w:t>Intermittent Losing</w:t>
            </w:r>
          </w:p>
        </w:tc>
        <w:tc>
          <w:tcPr>
            <w:tcW w:w="1404" w:type="dxa"/>
          </w:tcPr>
          <w:p w14:paraId="76707A83"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0" w:type="auto"/>
          </w:tcPr>
          <w:p w14:paraId="5418F524" w14:textId="77777777" w:rsidR="003D3694" w:rsidRPr="00747E35" w:rsidRDefault="003D3694" w:rsidP="0096743A">
            <w:pPr>
              <w:pStyle w:val="Tabletext"/>
              <w:keepNext/>
              <w:keepLines/>
              <w:spacing w:before="0" w:after="0"/>
              <w:rPr>
                <w:rFonts w:cstheme="minorHAnsi"/>
              </w:rPr>
            </w:pPr>
            <w:r w:rsidRPr="00747E35">
              <w:rPr>
                <w:rFonts w:cstheme="minorHAnsi"/>
              </w:rPr>
              <w:t>30+150</w:t>
            </w:r>
          </w:p>
        </w:tc>
      </w:tr>
      <w:tr w:rsidR="003D3694" w:rsidRPr="00747E35" w14:paraId="602A04E4" w14:textId="77777777" w:rsidTr="0096743A">
        <w:trPr>
          <w:trHeight w:val="20"/>
        </w:trPr>
        <w:tc>
          <w:tcPr>
            <w:tcW w:w="0" w:type="auto"/>
            <w:noWrap/>
            <w:hideMark/>
          </w:tcPr>
          <w:p w14:paraId="65D42829" w14:textId="77777777" w:rsidR="003D3694" w:rsidRPr="00747E35" w:rsidRDefault="003D3694" w:rsidP="0096743A">
            <w:pPr>
              <w:pStyle w:val="Tabletext"/>
              <w:keepNext/>
              <w:keepLines/>
              <w:spacing w:before="0" w:after="0"/>
              <w:rPr>
                <w:rFonts w:cstheme="minorHAnsi"/>
              </w:rPr>
            </w:pPr>
          </w:p>
        </w:tc>
        <w:tc>
          <w:tcPr>
            <w:tcW w:w="0" w:type="auto"/>
            <w:noWrap/>
            <w:hideMark/>
          </w:tcPr>
          <w:p w14:paraId="1715A41C" w14:textId="77777777" w:rsidR="003D3694" w:rsidRPr="00747E35" w:rsidRDefault="003D3694" w:rsidP="0096743A">
            <w:pPr>
              <w:pStyle w:val="Tabletext"/>
              <w:keepNext/>
              <w:keepLines/>
              <w:spacing w:before="0" w:after="0"/>
              <w:rPr>
                <w:rFonts w:cstheme="minorHAnsi"/>
              </w:rPr>
            </w:pPr>
            <w:r w:rsidRPr="00747E35">
              <w:rPr>
                <w:rFonts w:cstheme="minorHAnsi"/>
              </w:rPr>
              <w:t>BH10-2</w:t>
            </w:r>
          </w:p>
        </w:tc>
        <w:tc>
          <w:tcPr>
            <w:tcW w:w="0" w:type="auto"/>
            <w:noWrap/>
            <w:hideMark/>
          </w:tcPr>
          <w:p w14:paraId="34457946" w14:textId="77777777" w:rsidR="003D3694" w:rsidRPr="00747E35" w:rsidRDefault="003D3694" w:rsidP="0096743A">
            <w:pPr>
              <w:pStyle w:val="Tabletext"/>
              <w:keepNext/>
              <w:keepLines/>
              <w:spacing w:before="0" w:after="0"/>
              <w:rPr>
                <w:rFonts w:cstheme="minorHAnsi"/>
              </w:rPr>
            </w:pPr>
            <w:r w:rsidRPr="00747E35">
              <w:rPr>
                <w:rFonts w:cstheme="minorHAnsi"/>
              </w:rPr>
              <w:t>6623459</w:t>
            </w:r>
          </w:p>
        </w:tc>
        <w:tc>
          <w:tcPr>
            <w:tcW w:w="0" w:type="auto"/>
            <w:noWrap/>
            <w:hideMark/>
          </w:tcPr>
          <w:p w14:paraId="684A479F" w14:textId="77777777" w:rsidR="003D3694" w:rsidRPr="00747E35" w:rsidRDefault="003D3694" w:rsidP="0096743A">
            <w:pPr>
              <w:pStyle w:val="Tabletext"/>
              <w:keepNext/>
              <w:keepLines/>
              <w:spacing w:before="0" w:after="0"/>
              <w:rPr>
                <w:rFonts w:cstheme="minorHAnsi"/>
              </w:rPr>
            </w:pPr>
            <w:r w:rsidRPr="00747E35">
              <w:rPr>
                <w:rFonts w:cstheme="minorHAnsi"/>
              </w:rPr>
              <w:t>221515.2</w:t>
            </w:r>
          </w:p>
        </w:tc>
        <w:tc>
          <w:tcPr>
            <w:tcW w:w="0" w:type="auto"/>
            <w:noWrap/>
            <w:hideMark/>
          </w:tcPr>
          <w:p w14:paraId="04AA8CC3" w14:textId="77777777" w:rsidR="003D3694" w:rsidRPr="00747E35" w:rsidRDefault="003D3694" w:rsidP="0096743A">
            <w:pPr>
              <w:pStyle w:val="Tabletext"/>
              <w:keepNext/>
              <w:keepLines/>
              <w:spacing w:before="0" w:after="0"/>
              <w:rPr>
                <w:rFonts w:cstheme="minorHAnsi"/>
              </w:rPr>
            </w:pPr>
            <w:r w:rsidRPr="00747E35">
              <w:rPr>
                <w:rFonts w:cstheme="minorHAnsi"/>
              </w:rPr>
              <w:t>23.9</w:t>
            </w:r>
          </w:p>
        </w:tc>
        <w:tc>
          <w:tcPr>
            <w:tcW w:w="0" w:type="auto"/>
          </w:tcPr>
          <w:p w14:paraId="1DE6BAD5" w14:textId="77777777" w:rsidR="003D3694" w:rsidRPr="00747E35" w:rsidRDefault="003D3694" w:rsidP="0096743A">
            <w:pPr>
              <w:pStyle w:val="Tabletext"/>
              <w:keepNext/>
              <w:keepLines/>
              <w:spacing w:before="0" w:after="0"/>
              <w:rPr>
                <w:rFonts w:cstheme="minorHAnsi"/>
              </w:rPr>
            </w:pPr>
            <w:r w:rsidRPr="00747E35">
              <w:rPr>
                <w:rFonts w:cstheme="minorHAnsi"/>
              </w:rPr>
              <w:t xml:space="preserve">Shallow </w:t>
            </w:r>
          </w:p>
        </w:tc>
        <w:tc>
          <w:tcPr>
            <w:tcW w:w="1142" w:type="dxa"/>
          </w:tcPr>
          <w:p w14:paraId="379A3461" w14:textId="77777777" w:rsidR="003D3694" w:rsidRPr="00747E35" w:rsidRDefault="003D3694" w:rsidP="0096743A">
            <w:pPr>
              <w:pStyle w:val="Tabletext"/>
              <w:keepNext/>
              <w:keepLines/>
              <w:spacing w:before="0" w:after="0"/>
              <w:rPr>
                <w:rFonts w:cstheme="minorHAnsi"/>
              </w:rPr>
            </w:pPr>
            <w:r w:rsidRPr="00747E35">
              <w:rPr>
                <w:rFonts w:cstheme="minorHAnsi"/>
              </w:rPr>
              <w:t>2.29</w:t>
            </w:r>
          </w:p>
        </w:tc>
        <w:tc>
          <w:tcPr>
            <w:tcW w:w="1350" w:type="dxa"/>
          </w:tcPr>
          <w:p w14:paraId="31D82D27" w14:textId="77777777" w:rsidR="003D3694" w:rsidRPr="00747E35" w:rsidRDefault="003D3694" w:rsidP="0096743A">
            <w:pPr>
              <w:pStyle w:val="Tabletext"/>
              <w:keepNext/>
              <w:keepLines/>
              <w:spacing w:before="0" w:after="0"/>
              <w:rPr>
                <w:rFonts w:cstheme="minorHAnsi"/>
              </w:rPr>
            </w:pPr>
            <w:r w:rsidRPr="00747E35">
              <w:rPr>
                <w:rFonts w:cstheme="minorHAnsi"/>
              </w:rPr>
              <w:t>Moderate-High</w:t>
            </w:r>
          </w:p>
        </w:tc>
        <w:tc>
          <w:tcPr>
            <w:tcW w:w="869" w:type="dxa"/>
            <w:noWrap/>
            <w:hideMark/>
          </w:tcPr>
          <w:p w14:paraId="4D4908AF" w14:textId="77777777" w:rsidR="003D3694" w:rsidRPr="00747E35" w:rsidRDefault="003D3694" w:rsidP="0096743A">
            <w:pPr>
              <w:pStyle w:val="Tabletext"/>
              <w:keepNext/>
              <w:keepLines/>
              <w:spacing w:before="0" w:after="0"/>
              <w:rPr>
                <w:rFonts w:cstheme="minorHAnsi"/>
              </w:rPr>
            </w:pPr>
            <w:r w:rsidRPr="00747E35">
              <w:rPr>
                <w:rFonts w:cstheme="minorHAnsi"/>
              </w:rPr>
              <w:t>20</w:t>
            </w:r>
          </w:p>
        </w:tc>
        <w:tc>
          <w:tcPr>
            <w:tcW w:w="1701" w:type="dxa"/>
          </w:tcPr>
          <w:p w14:paraId="05DF0169" w14:textId="77777777" w:rsidR="003D3694" w:rsidRPr="00747E35" w:rsidRDefault="003D3694" w:rsidP="0096743A">
            <w:pPr>
              <w:pStyle w:val="Tabletext"/>
              <w:keepNext/>
              <w:keepLines/>
              <w:spacing w:before="0" w:after="0"/>
              <w:rPr>
                <w:rFonts w:cstheme="minorHAnsi"/>
              </w:rPr>
            </w:pPr>
            <w:r w:rsidRPr="00747E35">
              <w:rPr>
                <w:rFonts w:cstheme="minorHAnsi"/>
              </w:rPr>
              <w:t>Perennial Gaining</w:t>
            </w:r>
          </w:p>
        </w:tc>
        <w:tc>
          <w:tcPr>
            <w:tcW w:w="1404" w:type="dxa"/>
          </w:tcPr>
          <w:p w14:paraId="5745D8D5"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0" w:type="auto"/>
          </w:tcPr>
          <w:p w14:paraId="2D9C4C5B" w14:textId="77777777" w:rsidR="003D3694" w:rsidRPr="00747E35" w:rsidRDefault="003D3694" w:rsidP="0096743A">
            <w:pPr>
              <w:pStyle w:val="Tabletext"/>
              <w:keepNext/>
              <w:keepLines/>
              <w:spacing w:before="0" w:after="0"/>
              <w:rPr>
                <w:rFonts w:cstheme="minorHAnsi"/>
              </w:rPr>
            </w:pPr>
            <w:r w:rsidRPr="00747E35">
              <w:rPr>
                <w:rFonts w:cstheme="minorHAnsi"/>
              </w:rPr>
              <w:t>30+150</w:t>
            </w:r>
          </w:p>
        </w:tc>
      </w:tr>
      <w:tr w:rsidR="003D3694" w:rsidRPr="00747E35" w14:paraId="571E84B6" w14:textId="77777777" w:rsidTr="0096743A">
        <w:trPr>
          <w:trHeight w:val="20"/>
        </w:trPr>
        <w:tc>
          <w:tcPr>
            <w:tcW w:w="0" w:type="auto"/>
            <w:noWrap/>
            <w:hideMark/>
          </w:tcPr>
          <w:p w14:paraId="470A83C2" w14:textId="77777777" w:rsidR="003D3694" w:rsidRPr="00747E35" w:rsidRDefault="003D3694" w:rsidP="0096743A">
            <w:pPr>
              <w:pStyle w:val="Tabletext"/>
              <w:keepNext/>
              <w:keepLines/>
              <w:spacing w:before="0" w:after="0"/>
              <w:rPr>
                <w:rFonts w:cstheme="minorHAnsi"/>
              </w:rPr>
            </w:pPr>
            <w:r w:rsidRPr="00747E35">
              <w:rPr>
                <w:rFonts w:cstheme="minorHAnsi"/>
              </w:rPr>
              <w:t>Maules Creek, Elfin Crossing (S bank)</w:t>
            </w:r>
          </w:p>
        </w:tc>
        <w:tc>
          <w:tcPr>
            <w:tcW w:w="0" w:type="auto"/>
            <w:noWrap/>
            <w:hideMark/>
          </w:tcPr>
          <w:p w14:paraId="796D76A6" w14:textId="77777777" w:rsidR="003D3694" w:rsidRPr="00747E35" w:rsidRDefault="003D3694" w:rsidP="0096743A">
            <w:pPr>
              <w:pStyle w:val="Tabletext"/>
              <w:keepNext/>
              <w:keepLines/>
              <w:spacing w:before="0" w:after="0"/>
              <w:rPr>
                <w:rFonts w:cstheme="minorHAnsi"/>
              </w:rPr>
            </w:pPr>
            <w:r w:rsidRPr="00747E35">
              <w:rPr>
                <w:rFonts w:cstheme="minorHAnsi"/>
              </w:rPr>
              <w:t>EC21</w:t>
            </w:r>
          </w:p>
        </w:tc>
        <w:tc>
          <w:tcPr>
            <w:tcW w:w="0" w:type="auto"/>
            <w:noWrap/>
            <w:hideMark/>
          </w:tcPr>
          <w:p w14:paraId="776DC1F3" w14:textId="77777777" w:rsidR="003D3694" w:rsidRPr="00747E35" w:rsidRDefault="003D3694" w:rsidP="0096743A">
            <w:pPr>
              <w:pStyle w:val="Tabletext"/>
              <w:keepNext/>
              <w:keepLines/>
              <w:spacing w:before="0" w:after="0"/>
              <w:rPr>
                <w:rFonts w:cstheme="minorHAnsi"/>
              </w:rPr>
            </w:pPr>
            <w:r w:rsidRPr="00747E35">
              <w:rPr>
                <w:rFonts w:cstheme="minorHAnsi"/>
              </w:rPr>
              <w:t>6622616</w:t>
            </w:r>
          </w:p>
        </w:tc>
        <w:tc>
          <w:tcPr>
            <w:tcW w:w="0" w:type="auto"/>
            <w:noWrap/>
            <w:hideMark/>
          </w:tcPr>
          <w:p w14:paraId="48B68D06" w14:textId="77777777" w:rsidR="003D3694" w:rsidRPr="00747E35" w:rsidRDefault="003D3694" w:rsidP="0096743A">
            <w:pPr>
              <w:pStyle w:val="Tabletext"/>
              <w:keepNext/>
              <w:keepLines/>
              <w:spacing w:before="0" w:after="0"/>
              <w:rPr>
                <w:rFonts w:cstheme="minorHAnsi"/>
              </w:rPr>
            </w:pPr>
            <w:r w:rsidRPr="00747E35">
              <w:rPr>
                <w:rFonts w:cstheme="minorHAnsi"/>
              </w:rPr>
              <w:t>220069</w:t>
            </w:r>
          </w:p>
        </w:tc>
        <w:tc>
          <w:tcPr>
            <w:tcW w:w="0" w:type="auto"/>
            <w:noWrap/>
            <w:hideMark/>
          </w:tcPr>
          <w:p w14:paraId="1E4D01DD" w14:textId="77777777" w:rsidR="003D3694" w:rsidRPr="00747E35" w:rsidRDefault="003D3694" w:rsidP="0096743A">
            <w:pPr>
              <w:pStyle w:val="Tabletext"/>
              <w:keepNext/>
              <w:keepLines/>
              <w:spacing w:before="0" w:after="0"/>
              <w:rPr>
                <w:rFonts w:cstheme="minorHAnsi"/>
              </w:rPr>
            </w:pPr>
            <w:r w:rsidRPr="00747E35">
              <w:rPr>
                <w:rFonts w:cstheme="minorHAnsi"/>
              </w:rPr>
              <w:t>3.6</w:t>
            </w:r>
          </w:p>
        </w:tc>
        <w:tc>
          <w:tcPr>
            <w:tcW w:w="0" w:type="auto"/>
          </w:tcPr>
          <w:p w14:paraId="0B4D373B" w14:textId="77777777" w:rsidR="003D3694" w:rsidRPr="00747E35" w:rsidRDefault="003D3694" w:rsidP="0096743A">
            <w:pPr>
              <w:pStyle w:val="Tabletext"/>
              <w:keepNext/>
              <w:keepLines/>
              <w:spacing w:before="0" w:after="0"/>
              <w:rPr>
                <w:rFonts w:cstheme="minorHAnsi"/>
              </w:rPr>
            </w:pPr>
            <w:r w:rsidRPr="00747E35">
              <w:rPr>
                <w:rFonts w:cstheme="minorHAnsi"/>
              </w:rPr>
              <w:t xml:space="preserve">Shallow </w:t>
            </w:r>
          </w:p>
        </w:tc>
        <w:tc>
          <w:tcPr>
            <w:tcW w:w="1142" w:type="dxa"/>
          </w:tcPr>
          <w:p w14:paraId="2C4C91E6" w14:textId="77777777" w:rsidR="003D3694" w:rsidRPr="00747E35" w:rsidRDefault="003D3694" w:rsidP="0096743A">
            <w:pPr>
              <w:pStyle w:val="Tabletext"/>
              <w:keepNext/>
              <w:keepLines/>
              <w:spacing w:before="0" w:after="0"/>
              <w:rPr>
                <w:rFonts w:cstheme="minorHAnsi"/>
              </w:rPr>
            </w:pPr>
            <w:r w:rsidRPr="00747E35">
              <w:rPr>
                <w:rFonts w:cstheme="minorHAnsi"/>
              </w:rPr>
              <w:t>n/a</w:t>
            </w:r>
          </w:p>
        </w:tc>
        <w:tc>
          <w:tcPr>
            <w:tcW w:w="1350" w:type="dxa"/>
          </w:tcPr>
          <w:p w14:paraId="1085F8A1" w14:textId="77777777" w:rsidR="003D3694" w:rsidRPr="00747E35" w:rsidRDefault="003D3694" w:rsidP="0096743A">
            <w:pPr>
              <w:pStyle w:val="Tabletext"/>
              <w:keepNext/>
              <w:keepLines/>
              <w:spacing w:before="0" w:after="0"/>
              <w:rPr>
                <w:rFonts w:cstheme="minorHAnsi"/>
              </w:rPr>
            </w:pPr>
            <w:r w:rsidRPr="00747E35">
              <w:rPr>
                <w:rFonts w:cstheme="minorHAnsi"/>
              </w:rPr>
              <w:t>Low</w:t>
            </w:r>
          </w:p>
        </w:tc>
        <w:tc>
          <w:tcPr>
            <w:tcW w:w="869" w:type="dxa"/>
            <w:noWrap/>
            <w:hideMark/>
          </w:tcPr>
          <w:p w14:paraId="7E9FE451" w14:textId="77777777" w:rsidR="003D3694" w:rsidRPr="00747E35" w:rsidRDefault="003D3694" w:rsidP="0096743A">
            <w:pPr>
              <w:pStyle w:val="Tabletext"/>
              <w:keepNext/>
              <w:keepLines/>
              <w:spacing w:before="0" w:after="0"/>
              <w:rPr>
                <w:rFonts w:cstheme="minorHAnsi"/>
              </w:rPr>
            </w:pPr>
            <w:r w:rsidRPr="00747E35">
              <w:rPr>
                <w:rFonts w:cstheme="minorHAnsi"/>
              </w:rPr>
              <w:t>65</w:t>
            </w:r>
          </w:p>
        </w:tc>
        <w:tc>
          <w:tcPr>
            <w:tcW w:w="1701" w:type="dxa"/>
          </w:tcPr>
          <w:p w14:paraId="57070198" w14:textId="77777777" w:rsidR="003D3694" w:rsidRPr="00747E35" w:rsidRDefault="003D3694" w:rsidP="0096743A">
            <w:pPr>
              <w:pStyle w:val="Tabletext"/>
              <w:keepNext/>
              <w:keepLines/>
              <w:spacing w:before="0" w:after="0"/>
              <w:rPr>
                <w:rFonts w:cstheme="minorHAnsi"/>
              </w:rPr>
            </w:pPr>
            <w:r w:rsidRPr="00747E35">
              <w:rPr>
                <w:rFonts w:cstheme="minorHAnsi"/>
              </w:rPr>
              <w:t>Perennial Gaining?</w:t>
            </w:r>
          </w:p>
        </w:tc>
        <w:tc>
          <w:tcPr>
            <w:tcW w:w="1404" w:type="dxa"/>
          </w:tcPr>
          <w:p w14:paraId="42D4FBF6"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0" w:type="auto"/>
          </w:tcPr>
          <w:p w14:paraId="7FD2DABD" w14:textId="77777777" w:rsidR="003D3694" w:rsidRPr="00747E35" w:rsidRDefault="003D3694" w:rsidP="0096743A">
            <w:pPr>
              <w:pStyle w:val="Tabletext"/>
              <w:keepNext/>
              <w:keepLines/>
              <w:spacing w:before="0" w:after="0"/>
              <w:rPr>
                <w:rFonts w:cstheme="minorHAnsi"/>
              </w:rPr>
            </w:pPr>
            <w:r w:rsidRPr="00747E35">
              <w:rPr>
                <w:rFonts w:cstheme="minorHAnsi"/>
              </w:rPr>
              <w:t>0+25</w:t>
            </w:r>
          </w:p>
        </w:tc>
      </w:tr>
      <w:tr w:rsidR="003D3694" w:rsidRPr="00747E35" w14:paraId="7899C37F" w14:textId="77777777" w:rsidTr="0096743A">
        <w:trPr>
          <w:trHeight w:val="20"/>
        </w:trPr>
        <w:tc>
          <w:tcPr>
            <w:tcW w:w="0" w:type="auto"/>
            <w:noWrap/>
            <w:hideMark/>
          </w:tcPr>
          <w:p w14:paraId="48D6244A" w14:textId="77777777" w:rsidR="003D3694" w:rsidRPr="00747E35" w:rsidRDefault="003D3694" w:rsidP="0096743A">
            <w:pPr>
              <w:pStyle w:val="Tabletext"/>
              <w:keepNext/>
              <w:keepLines/>
              <w:spacing w:before="0" w:after="0"/>
              <w:rPr>
                <w:rFonts w:cstheme="minorHAnsi"/>
              </w:rPr>
            </w:pPr>
          </w:p>
        </w:tc>
        <w:tc>
          <w:tcPr>
            <w:tcW w:w="0" w:type="auto"/>
            <w:noWrap/>
            <w:hideMark/>
          </w:tcPr>
          <w:p w14:paraId="5A3B137B" w14:textId="77777777" w:rsidR="003D3694" w:rsidRPr="00747E35" w:rsidRDefault="003D3694" w:rsidP="0096743A">
            <w:pPr>
              <w:pStyle w:val="Tabletext"/>
              <w:keepNext/>
              <w:keepLines/>
              <w:spacing w:before="0" w:after="0"/>
              <w:rPr>
                <w:rFonts w:cstheme="minorHAnsi"/>
              </w:rPr>
            </w:pPr>
            <w:r w:rsidRPr="00747E35">
              <w:rPr>
                <w:rFonts w:cstheme="minorHAnsi"/>
              </w:rPr>
              <w:t>BH9</w:t>
            </w:r>
          </w:p>
        </w:tc>
        <w:tc>
          <w:tcPr>
            <w:tcW w:w="0" w:type="auto"/>
            <w:noWrap/>
            <w:hideMark/>
          </w:tcPr>
          <w:p w14:paraId="27674567" w14:textId="77777777" w:rsidR="003D3694" w:rsidRPr="00747E35" w:rsidRDefault="003D3694" w:rsidP="0096743A">
            <w:pPr>
              <w:pStyle w:val="Tabletext"/>
              <w:keepNext/>
              <w:keepLines/>
              <w:spacing w:before="0" w:after="0"/>
              <w:rPr>
                <w:rFonts w:cstheme="minorHAnsi"/>
              </w:rPr>
            </w:pPr>
            <w:r w:rsidRPr="00747E35">
              <w:rPr>
                <w:rFonts w:cstheme="minorHAnsi"/>
              </w:rPr>
              <w:t>6622612</w:t>
            </w:r>
          </w:p>
        </w:tc>
        <w:tc>
          <w:tcPr>
            <w:tcW w:w="0" w:type="auto"/>
            <w:noWrap/>
            <w:hideMark/>
          </w:tcPr>
          <w:p w14:paraId="3FDE5397" w14:textId="77777777" w:rsidR="003D3694" w:rsidRPr="00747E35" w:rsidRDefault="003D3694" w:rsidP="0096743A">
            <w:pPr>
              <w:pStyle w:val="Tabletext"/>
              <w:keepNext/>
              <w:keepLines/>
              <w:spacing w:before="0" w:after="0"/>
              <w:rPr>
                <w:rFonts w:cstheme="minorHAnsi"/>
              </w:rPr>
            </w:pPr>
            <w:r w:rsidRPr="00747E35">
              <w:rPr>
                <w:rFonts w:cstheme="minorHAnsi"/>
              </w:rPr>
              <w:t>220071.9</w:t>
            </w:r>
          </w:p>
        </w:tc>
        <w:tc>
          <w:tcPr>
            <w:tcW w:w="0" w:type="auto"/>
            <w:noWrap/>
            <w:hideMark/>
          </w:tcPr>
          <w:p w14:paraId="4F399328" w14:textId="77777777" w:rsidR="003D3694" w:rsidRPr="00747E35" w:rsidRDefault="003D3694" w:rsidP="0096743A">
            <w:pPr>
              <w:pStyle w:val="Tabletext"/>
              <w:keepNext/>
              <w:keepLines/>
              <w:spacing w:before="0" w:after="0"/>
              <w:rPr>
                <w:rFonts w:cstheme="minorHAnsi"/>
              </w:rPr>
            </w:pPr>
            <w:r w:rsidRPr="00747E35">
              <w:rPr>
                <w:rFonts w:cstheme="minorHAnsi"/>
              </w:rPr>
              <w:t>14.4</w:t>
            </w:r>
          </w:p>
        </w:tc>
        <w:tc>
          <w:tcPr>
            <w:tcW w:w="0" w:type="auto"/>
          </w:tcPr>
          <w:p w14:paraId="6ECF546C" w14:textId="77777777" w:rsidR="003D3694" w:rsidRPr="00747E35" w:rsidRDefault="003D3694" w:rsidP="0096743A">
            <w:pPr>
              <w:pStyle w:val="Tabletext"/>
              <w:keepNext/>
              <w:keepLines/>
              <w:spacing w:before="0" w:after="0"/>
              <w:rPr>
                <w:rFonts w:cstheme="minorHAnsi"/>
              </w:rPr>
            </w:pPr>
            <w:r w:rsidRPr="00747E35">
              <w:rPr>
                <w:rFonts w:cstheme="minorHAnsi"/>
              </w:rPr>
              <w:t xml:space="preserve">Shallow </w:t>
            </w:r>
          </w:p>
        </w:tc>
        <w:tc>
          <w:tcPr>
            <w:tcW w:w="1142" w:type="dxa"/>
          </w:tcPr>
          <w:p w14:paraId="22E6ACD8" w14:textId="77777777" w:rsidR="003D3694" w:rsidRPr="00747E35" w:rsidRDefault="003D3694" w:rsidP="0096743A">
            <w:pPr>
              <w:pStyle w:val="Tabletext"/>
              <w:keepNext/>
              <w:keepLines/>
              <w:spacing w:before="0" w:after="0"/>
              <w:rPr>
                <w:rFonts w:cstheme="minorHAnsi"/>
              </w:rPr>
            </w:pPr>
            <w:r w:rsidRPr="00747E35">
              <w:rPr>
                <w:rFonts w:cstheme="minorHAnsi"/>
              </w:rPr>
              <w:t>n/a</w:t>
            </w:r>
          </w:p>
        </w:tc>
        <w:tc>
          <w:tcPr>
            <w:tcW w:w="1350" w:type="dxa"/>
          </w:tcPr>
          <w:p w14:paraId="0681ACD2" w14:textId="77777777" w:rsidR="003D3694" w:rsidRPr="00747E35" w:rsidRDefault="003D3694" w:rsidP="0096743A">
            <w:pPr>
              <w:pStyle w:val="Tabletext"/>
              <w:keepNext/>
              <w:keepLines/>
              <w:spacing w:before="0" w:after="0"/>
              <w:rPr>
                <w:rFonts w:cstheme="minorHAnsi"/>
              </w:rPr>
            </w:pPr>
            <w:r w:rsidRPr="00747E35">
              <w:rPr>
                <w:rFonts w:cstheme="minorHAnsi"/>
              </w:rPr>
              <w:t>Moderate-High</w:t>
            </w:r>
          </w:p>
        </w:tc>
        <w:tc>
          <w:tcPr>
            <w:tcW w:w="869" w:type="dxa"/>
            <w:noWrap/>
            <w:hideMark/>
          </w:tcPr>
          <w:p w14:paraId="37CF994E" w14:textId="77777777" w:rsidR="003D3694" w:rsidRPr="00747E35" w:rsidRDefault="003D3694" w:rsidP="0096743A">
            <w:pPr>
              <w:pStyle w:val="Tabletext"/>
              <w:keepNext/>
              <w:keepLines/>
              <w:spacing w:before="0" w:after="0"/>
              <w:rPr>
                <w:rFonts w:cstheme="minorHAnsi"/>
              </w:rPr>
            </w:pPr>
            <w:r w:rsidRPr="00747E35">
              <w:rPr>
                <w:rFonts w:cstheme="minorHAnsi"/>
              </w:rPr>
              <w:t>70</w:t>
            </w:r>
          </w:p>
        </w:tc>
        <w:tc>
          <w:tcPr>
            <w:tcW w:w="1701" w:type="dxa"/>
          </w:tcPr>
          <w:p w14:paraId="323914D6" w14:textId="77777777" w:rsidR="003D3694" w:rsidRPr="00747E35" w:rsidRDefault="003D3694" w:rsidP="0096743A">
            <w:pPr>
              <w:pStyle w:val="Tabletext"/>
              <w:keepNext/>
              <w:keepLines/>
              <w:spacing w:before="0" w:after="0"/>
              <w:rPr>
                <w:rFonts w:cstheme="minorHAnsi"/>
              </w:rPr>
            </w:pPr>
            <w:r w:rsidRPr="00747E35">
              <w:rPr>
                <w:rFonts w:cstheme="minorHAnsi"/>
              </w:rPr>
              <w:t>Perennial Gaining?</w:t>
            </w:r>
          </w:p>
        </w:tc>
        <w:tc>
          <w:tcPr>
            <w:tcW w:w="1404" w:type="dxa"/>
          </w:tcPr>
          <w:p w14:paraId="52E124DE"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0" w:type="auto"/>
          </w:tcPr>
          <w:p w14:paraId="22502B4C" w14:textId="77777777" w:rsidR="003D3694" w:rsidRPr="00747E35" w:rsidRDefault="003D3694" w:rsidP="0096743A">
            <w:pPr>
              <w:pStyle w:val="Tabletext"/>
              <w:keepNext/>
              <w:keepLines/>
              <w:spacing w:before="0" w:after="0"/>
              <w:rPr>
                <w:rFonts w:cstheme="minorHAnsi"/>
              </w:rPr>
            </w:pPr>
            <w:r w:rsidRPr="00747E35">
              <w:rPr>
                <w:rFonts w:cstheme="minorHAnsi"/>
              </w:rPr>
              <w:t>30+150</w:t>
            </w:r>
          </w:p>
        </w:tc>
      </w:tr>
      <w:tr w:rsidR="003D3694" w:rsidRPr="00747E35" w14:paraId="26B8C254" w14:textId="77777777" w:rsidTr="0096743A">
        <w:trPr>
          <w:trHeight w:val="20"/>
        </w:trPr>
        <w:tc>
          <w:tcPr>
            <w:tcW w:w="0" w:type="auto"/>
            <w:noWrap/>
            <w:hideMark/>
          </w:tcPr>
          <w:p w14:paraId="3DEDC484" w14:textId="77777777" w:rsidR="003D3694" w:rsidRPr="00747E35" w:rsidRDefault="003D3694" w:rsidP="0096743A">
            <w:pPr>
              <w:pStyle w:val="Tabletext"/>
              <w:keepNext/>
              <w:keepLines/>
              <w:spacing w:before="0" w:after="0"/>
              <w:rPr>
                <w:rFonts w:cstheme="minorHAnsi"/>
              </w:rPr>
            </w:pPr>
            <w:r w:rsidRPr="00747E35">
              <w:rPr>
                <w:rFonts w:cstheme="minorHAnsi"/>
              </w:rPr>
              <w:t>Maules Creek, Elfin Crossing (N bank)</w:t>
            </w:r>
          </w:p>
        </w:tc>
        <w:tc>
          <w:tcPr>
            <w:tcW w:w="0" w:type="auto"/>
            <w:noWrap/>
            <w:hideMark/>
          </w:tcPr>
          <w:p w14:paraId="6598CCA6" w14:textId="77777777" w:rsidR="003D3694" w:rsidRPr="00747E35" w:rsidRDefault="003D3694" w:rsidP="0096743A">
            <w:pPr>
              <w:pStyle w:val="Tabletext"/>
              <w:keepNext/>
              <w:keepLines/>
              <w:spacing w:before="0" w:after="0"/>
              <w:rPr>
                <w:rFonts w:cstheme="minorHAnsi"/>
              </w:rPr>
            </w:pPr>
            <w:r w:rsidRPr="00747E35">
              <w:rPr>
                <w:rFonts w:cstheme="minorHAnsi"/>
              </w:rPr>
              <w:t>BH 8</w:t>
            </w:r>
          </w:p>
        </w:tc>
        <w:tc>
          <w:tcPr>
            <w:tcW w:w="0" w:type="auto"/>
            <w:noWrap/>
            <w:hideMark/>
          </w:tcPr>
          <w:p w14:paraId="31EFEE32" w14:textId="77777777" w:rsidR="003D3694" w:rsidRPr="00747E35" w:rsidRDefault="003D3694" w:rsidP="0096743A">
            <w:pPr>
              <w:pStyle w:val="Tabletext"/>
              <w:keepNext/>
              <w:keepLines/>
              <w:spacing w:before="0" w:after="0"/>
              <w:rPr>
                <w:rFonts w:cstheme="minorHAnsi"/>
              </w:rPr>
            </w:pPr>
            <w:r w:rsidRPr="00747E35">
              <w:rPr>
                <w:rFonts w:cstheme="minorHAnsi"/>
              </w:rPr>
              <w:t>6622691</w:t>
            </w:r>
          </w:p>
        </w:tc>
        <w:tc>
          <w:tcPr>
            <w:tcW w:w="0" w:type="auto"/>
            <w:noWrap/>
            <w:hideMark/>
          </w:tcPr>
          <w:p w14:paraId="5C91D199" w14:textId="77777777" w:rsidR="003D3694" w:rsidRPr="00747E35" w:rsidRDefault="003D3694" w:rsidP="0096743A">
            <w:pPr>
              <w:pStyle w:val="Tabletext"/>
              <w:keepNext/>
              <w:keepLines/>
              <w:spacing w:before="0" w:after="0"/>
              <w:rPr>
                <w:rFonts w:cstheme="minorHAnsi"/>
              </w:rPr>
            </w:pPr>
            <w:r w:rsidRPr="00747E35">
              <w:rPr>
                <w:rFonts w:cstheme="minorHAnsi"/>
              </w:rPr>
              <w:t>219985.4</w:t>
            </w:r>
          </w:p>
        </w:tc>
        <w:tc>
          <w:tcPr>
            <w:tcW w:w="0" w:type="auto"/>
            <w:noWrap/>
            <w:hideMark/>
          </w:tcPr>
          <w:p w14:paraId="6122C7D3" w14:textId="77777777" w:rsidR="003D3694" w:rsidRPr="00747E35" w:rsidRDefault="003D3694" w:rsidP="0096743A">
            <w:pPr>
              <w:pStyle w:val="Tabletext"/>
              <w:keepNext/>
              <w:keepLines/>
              <w:spacing w:before="0" w:after="0"/>
              <w:rPr>
                <w:rFonts w:cstheme="minorHAnsi"/>
              </w:rPr>
            </w:pPr>
            <w:r w:rsidRPr="00747E35">
              <w:rPr>
                <w:rFonts w:cstheme="minorHAnsi"/>
              </w:rPr>
              <w:t>6.5</w:t>
            </w:r>
          </w:p>
        </w:tc>
        <w:tc>
          <w:tcPr>
            <w:tcW w:w="0" w:type="auto"/>
          </w:tcPr>
          <w:p w14:paraId="0E58E36A" w14:textId="77777777" w:rsidR="003D3694" w:rsidRPr="00747E35" w:rsidRDefault="003D3694" w:rsidP="0096743A">
            <w:pPr>
              <w:pStyle w:val="Tabletext"/>
              <w:keepNext/>
              <w:keepLines/>
              <w:spacing w:before="0" w:after="0"/>
              <w:rPr>
                <w:rFonts w:cstheme="minorHAnsi"/>
              </w:rPr>
            </w:pPr>
            <w:r w:rsidRPr="00747E35">
              <w:rPr>
                <w:rFonts w:cstheme="minorHAnsi"/>
              </w:rPr>
              <w:t xml:space="preserve">Shallow </w:t>
            </w:r>
          </w:p>
        </w:tc>
        <w:tc>
          <w:tcPr>
            <w:tcW w:w="1142" w:type="dxa"/>
          </w:tcPr>
          <w:p w14:paraId="0319135B" w14:textId="77777777" w:rsidR="003D3694" w:rsidRPr="00747E35" w:rsidRDefault="003D3694" w:rsidP="0096743A">
            <w:pPr>
              <w:pStyle w:val="Tabletext"/>
              <w:keepNext/>
              <w:keepLines/>
              <w:spacing w:before="0" w:after="0"/>
              <w:rPr>
                <w:rFonts w:cstheme="minorHAnsi"/>
              </w:rPr>
            </w:pPr>
            <w:r w:rsidRPr="00747E35">
              <w:rPr>
                <w:rFonts w:cstheme="minorHAnsi"/>
              </w:rPr>
              <w:t>n/a</w:t>
            </w:r>
          </w:p>
        </w:tc>
        <w:tc>
          <w:tcPr>
            <w:tcW w:w="1350" w:type="dxa"/>
          </w:tcPr>
          <w:p w14:paraId="74084639" w14:textId="77777777" w:rsidR="003D3694" w:rsidRPr="00747E35" w:rsidRDefault="003D3694" w:rsidP="0096743A">
            <w:pPr>
              <w:pStyle w:val="Tabletext"/>
              <w:keepNext/>
              <w:keepLines/>
              <w:spacing w:before="0" w:after="0"/>
              <w:rPr>
                <w:rFonts w:cstheme="minorHAnsi"/>
              </w:rPr>
            </w:pPr>
            <w:r w:rsidRPr="00747E35">
              <w:rPr>
                <w:rFonts w:cstheme="minorHAnsi"/>
              </w:rPr>
              <w:t>Moderate-High</w:t>
            </w:r>
          </w:p>
        </w:tc>
        <w:tc>
          <w:tcPr>
            <w:tcW w:w="869" w:type="dxa"/>
            <w:noWrap/>
            <w:hideMark/>
          </w:tcPr>
          <w:p w14:paraId="7C7AF370" w14:textId="77777777" w:rsidR="003D3694" w:rsidRPr="00747E35" w:rsidRDefault="003D3694" w:rsidP="0096743A">
            <w:pPr>
              <w:pStyle w:val="Tabletext"/>
              <w:keepNext/>
              <w:keepLines/>
              <w:spacing w:before="0" w:after="0"/>
              <w:rPr>
                <w:rFonts w:cstheme="minorHAnsi"/>
              </w:rPr>
            </w:pPr>
            <w:r w:rsidRPr="00747E35">
              <w:rPr>
                <w:rFonts w:cstheme="minorHAnsi"/>
              </w:rPr>
              <w:t>25</w:t>
            </w:r>
          </w:p>
        </w:tc>
        <w:tc>
          <w:tcPr>
            <w:tcW w:w="1701" w:type="dxa"/>
          </w:tcPr>
          <w:p w14:paraId="13DA14D7" w14:textId="77777777" w:rsidR="003D3694" w:rsidRPr="00747E35" w:rsidRDefault="003D3694" w:rsidP="0096743A">
            <w:pPr>
              <w:pStyle w:val="Tabletext"/>
              <w:keepNext/>
              <w:keepLines/>
              <w:spacing w:before="0" w:after="0"/>
              <w:rPr>
                <w:rFonts w:cstheme="minorHAnsi"/>
              </w:rPr>
            </w:pPr>
            <w:r w:rsidRPr="00747E35">
              <w:rPr>
                <w:rFonts w:cstheme="minorHAnsi"/>
              </w:rPr>
              <w:t>Perennial Losing</w:t>
            </w:r>
          </w:p>
        </w:tc>
        <w:tc>
          <w:tcPr>
            <w:tcW w:w="1404" w:type="dxa"/>
          </w:tcPr>
          <w:p w14:paraId="305E270A"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0" w:type="auto"/>
          </w:tcPr>
          <w:p w14:paraId="270C878C" w14:textId="77777777" w:rsidR="003D3694" w:rsidRPr="00747E35" w:rsidRDefault="003D3694" w:rsidP="0096743A">
            <w:pPr>
              <w:pStyle w:val="Tabletext"/>
              <w:keepNext/>
              <w:keepLines/>
              <w:spacing w:before="0" w:after="0"/>
              <w:rPr>
                <w:rFonts w:cstheme="minorHAnsi"/>
              </w:rPr>
            </w:pPr>
            <w:r w:rsidRPr="00747E35">
              <w:rPr>
                <w:rFonts w:cstheme="minorHAnsi"/>
              </w:rPr>
              <w:t>30+150</w:t>
            </w:r>
          </w:p>
        </w:tc>
      </w:tr>
      <w:tr w:rsidR="003D3694" w:rsidRPr="00747E35" w14:paraId="16F986F3" w14:textId="77777777" w:rsidTr="0096743A">
        <w:trPr>
          <w:trHeight w:val="20"/>
        </w:trPr>
        <w:tc>
          <w:tcPr>
            <w:tcW w:w="0" w:type="auto"/>
            <w:noWrap/>
          </w:tcPr>
          <w:p w14:paraId="1903DA66" w14:textId="77777777" w:rsidR="003D3694" w:rsidRPr="00747E35" w:rsidRDefault="003D3694" w:rsidP="0096743A">
            <w:pPr>
              <w:pStyle w:val="Tabletext"/>
              <w:keepNext/>
              <w:keepLines/>
              <w:spacing w:before="0" w:after="0"/>
              <w:rPr>
                <w:rFonts w:cstheme="minorHAnsi"/>
              </w:rPr>
            </w:pPr>
          </w:p>
        </w:tc>
        <w:tc>
          <w:tcPr>
            <w:tcW w:w="0" w:type="auto"/>
            <w:noWrap/>
            <w:hideMark/>
          </w:tcPr>
          <w:p w14:paraId="43DE3247" w14:textId="77777777" w:rsidR="003D3694" w:rsidRPr="00747E35" w:rsidRDefault="003D3694" w:rsidP="0096743A">
            <w:pPr>
              <w:pStyle w:val="Tabletext"/>
              <w:keepNext/>
              <w:keepLines/>
              <w:spacing w:before="0" w:after="0"/>
              <w:rPr>
                <w:rFonts w:cstheme="minorHAnsi"/>
              </w:rPr>
            </w:pPr>
            <w:r w:rsidRPr="00747E35">
              <w:rPr>
                <w:rFonts w:cstheme="minorHAnsi"/>
              </w:rPr>
              <w:t>BH7-2</w:t>
            </w:r>
          </w:p>
        </w:tc>
        <w:tc>
          <w:tcPr>
            <w:tcW w:w="0" w:type="auto"/>
            <w:noWrap/>
            <w:hideMark/>
          </w:tcPr>
          <w:p w14:paraId="3E3BA29D" w14:textId="77777777" w:rsidR="003D3694" w:rsidRPr="00747E35" w:rsidRDefault="003D3694" w:rsidP="0096743A">
            <w:pPr>
              <w:pStyle w:val="Tabletext"/>
              <w:keepNext/>
              <w:keepLines/>
              <w:spacing w:before="0" w:after="0"/>
              <w:rPr>
                <w:rFonts w:cstheme="minorHAnsi"/>
              </w:rPr>
            </w:pPr>
            <w:r w:rsidRPr="00747E35">
              <w:rPr>
                <w:rFonts w:cstheme="minorHAnsi"/>
              </w:rPr>
              <w:t>6622696</w:t>
            </w:r>
          </w:p>
        </w:tc>
        <w:tc>
          <w:tcPr>
            <w:tcW w:w="0" w:type="auto"/>
            <w:noWrap/>
            <w:hideMark/>
          </w:tcPr>
          <w:p w14:paraId="10DA2C31" w14:textId="77777777" w:rsidR="003D3694" w:rsidRPr="00747E35" w:rsidRDefault="003D3694" w:rsidP="0096743A">
            <w:pPr>
              <w:pStyle w:val="Tabletext"/>
              <w:keepNext/>
              <w:keepLines/>
              <w:spacing w:before="0" w:after="0"/>
              <w:rPr>
                <w:rFonts w:cstheme="minorHAnsi"/>
              </w:rPr>
            </w:pPr>
            <w:r w:rsidRPr="00747E35">
              <w:rPr>
                <w:rFonts w:cstheme="minorHAnsi"/>
              </w:rPr>
              <w:t>219985</w:t>
            </w:r>
          </w:p>
        </w:tc>
        <w:tc>
          <w:tcPr>
            <w:tcW w:w="0" w:type="auto"/>
            <w:noWrap/>
            <w:hideMark/>
          </w:tcPr>
          <w:p w14:paraId="1CDE0E66" w14:textId="77777777" w:rsidR="003D3694" w:rsidRPr="00747E35" w:rsidRDefault="003D3694" w:rsidP="0096743A">
            <w:pPr>
              <w:pStyle w:val="Tabletext"/>
              <w:keepNext/>
              <w:keepLines/>
              <w:spacing w:before="0" w:after="0"/>
              <w:rPr>
                <w:rFonts w:cstheme="minorHAnsi"/>
              </w:rPr>
            </w:pPr>
            <w:r w:rsidRPr="00747E35">
              <w:rPr>
                <w:rFonts w:cstheme="minorHAnsi"/>
              </w:rPr>
              <w:t>18.3</w:t>
            </w:r>
          </w:p>
        </w:tc>
        <w:tc>
          <w:tcPr>
            <w:tcW w:w="0" w:type="auto"/>
          </w:tcPr>
          <w:p w14:paraId="0DDB142F" w14:textId="77777777" w:rsidR="003D3694" w:rsidRPr="00747E35" w:rsidRDefault="003D3694" w:rsidP="0096743A">
            <w:pPr>
              <w:pStyle w:val="Tabletext"/>
              <w:keepNext/>
              <w:keepLines/>
              <w:spacing w:before="0" w:after="0"/>
              <w:rPr>
                <w:rFonts w:cstheme="minorHAnsi"/>
              </w:rPr>
            </w:pPr>
            <w:r w:rsidRPr="00747E35">
              <w:rPr>
                <w:rFonts w:cstheme="minorHAnsi"/>
              </w:rPr>
              <w:t xml:space="preserve">Shallow </w:t>
            </w:r>
          </w:p>
        </w:tc>
        <w:tc>
          <w:tcPr>
            <w:tcW w:w="1142" w:type="dxa"/>
          </w:tcPr>
          <w:p w14:paraId="28A1FA3C" w14:textId="77777777" w:rsidR="003D3694" w:rsidRPr="00747E35" w:rsidRDefault="003D3694" w:rsidP="0096743A">
            <w:pPr>
              <w:pStyle w:val="Tabletext"/>
              <w:keepNext/>
              <w:keepLines/>
              <w:spacing w:before="0" w:after="0"/>
              <w:rPr>
                <w:rFonts w:cstheme="minorHAnsi"/>
              </w:rPr>
            </w:pPr>
            <w:r w:rsidRPr="00747E35">
              <w:rPr>
                <w:rFonts w:cstheme="minorHAnsi"/>
              </w:rPr>
              <w:t>n/a</w:t>
            </w:r>
          </w:p>
        </w:tc>
        <w:tc>
          <w:tcPr>
            <w:tcW w:w="1350" w:type="dxa"/>
          </w:tcPr>
          <w:p w14:paraId="69099B3F" w14:textId="77777777" w:rsidR="003D3694" w:rsidRPr="00747E35" w:rsidRDefault="003D3694" w:rsidP="0096743A">
            <w:pPr>
              <w:pStyle w:val="Tabletext"/>
              <w:keepNext/>
              <w:keepLines/>
              <w:spacing w:before="0" w:after="0"/>
              <w:rPr>
                <w:rFonts w:cstheme="minorHAnsi"/>
              </w:rPr>
            </w:pPr>
            <w:r w:rsidRPr="00747E35">
              <w:rPr>
                <w:rFonts w:cstheme="minorHAnsi"/>
              </w:rPr>
              <w:t>Moderate-High</w:t>
            </w:r>
          </w:p>
        </w:tc>
        <w:tc>
          <w:tcPr>
            <w:tcW w:w="869" w:type="dxa"/>
            <w:noWrap/>
            <w:hideMark/>
          </w:tcPr>
          <w:p w14:paraId="3095BCB8" w14:textId="77777777" w:rsidR="003D3694" w:rsidRPr="00747E35" w:rsidRDefault="003D3694" w:rsidP="0096743A">
            <w:pPr>
              <w:pStyle w:val="Tabletext"/>
              <w:keepNext/>
              <w:keepLines/>
              <w:spacing w:before="0" w:after="0"/>
              <w:rPr>
                <w:rFonts w:cstheme="minorHAnsi"/>
              </w:rPr>
            </w:pPr>
            <w:r w:rsidRPr="00747E35">
              <w:rPr>
                <w:rFonts w:cstheme="minorHAnsi"/>
              </w:rPr>
              <w:t>30</w:t>
            </w:r>
          </w:p>
        </w:tc>
        <w:tc>
          <w:tcPr>
            <w:tcW w:w="1701" w:type="dxa"/>
          </w:tcPr>
          <w:p w14:paraId="7B75A9D8" w14:textId="77777777" w:rsidR="003D3694" w:rsidRPr="00747E35" w:rsidRDefault="003D3694" w:rsidP="0096743A">
            <w:pPr>
              <w:pStyle w:val="Tabletext"/>
              <w:keepNext/>
              <w:keepLines/>
              <w:spacing w:before="0" w:after="0"/>
              <w:rPr>
                <w:rFonts w:cstheme="minorHAnsi"/>
              </w:rPr>
            </w:pPr>
            <w:r w:rsidRPr="00747E35">
              <w:rPr>
                <w:rFonts w:cstheme="minorHAnsi"/>
              </w:rPr>
              <w:t>Perennial Losing</w:t>
            </w:r>
          </w:p>
        </w:tc>
        <w:tc>
          <w:tcPr>
            <w:tcW w:w="1404" w:type="dxa"/>
          </w:tcPr>
          <w:p w14:paraId="6C01BCDA"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0" w:type="auto"/>
          </w:tcPr>
          <w:p w14:paraId="19B6DAED" w14:textId="77777777" w:rsidR="003D3694" w:rsidRPr="00747E35" w:rsidRDefault="003D3694" w:rsidP="0096743A">
            <w:pPr>
              <w:pStyle w:val="Tabletext"/>
              <w:keepNext/>
              <w:keepLines/>
              <w:spacing w:before="0" w:after="0"/>
              <w:rPr>
                <w:rFonts w:cstheme="minorHAnsi"/>
              </w:rPr>
            </w:pPr>
            <w:r w:rsidRPr="00747E35">
              <w:rPr>
                <w:rFonts w:cstheme="minorHAnsi"/>
              </w:rPr>
              <w:t>30+150</w:t>
            </w:r>
          </w:p>
        </w:tc>
      </w:tr>
      <w:tr w:rsidR="003D3694" w:rsidRPr="00747E35" w14:paraId="235CB783" w14:textId="77777777" w:rsidTr="0096743A">
        <w:trPr>
          <w:trHeight w:val="20"/>
        </w:trPr>
        <w:tc>
          <w:tcPr>
            <w:tcW w:w="0" w:type="auto"/>
            <w:noWrap/>
          </w:tcPr>
          <w:p w14:paraId="7DBACB60" w14:textId="77777777" w:rsidR="003D3694" w:rsidRPr="00747E35" w:rsidRDefault="003D3694" w:rsidP="0096743A">
            <w:pPr>
              <w:pStyle w:val="Tabletext"/>
              <w:keepNext/>
              <w:keepLines/>
              <w:spacing w:before="0" w:after="0"/>
              <w:rPr>
                <w:rFonts w:cstheme="minorHAnsi"/>
              </w:rPr>
            </w:pPr>
          </w:p>
        </w:tc>
        <w:tc>
          <w:tcPr>
            <w:tcW w:w="0" w:type="auto"/>
            <w:noWrap/>
            <w:hideMark/>
          </w:tcPr>
          <w:p w14:paraId="02191D70" w14:textId="77777777" w:rsidR="003D3694" w:rsidRPr="00747E35" w:rsidRDefault="003D3694" w:rsidP="0096743A">
            <w:pPr>
              <w:pStyle w:val="Tabletext"/>
              <w:keepNext/>
              <w:keepLines/>
              <w:spacing w:before="0" w:after="0"/>
              <w:rPr>
                <w:rFonts w:cstheme="minorHAnsi"/>
              </w:rPr>
            </w:pPr>
            <w:r w:rsidRPr="00747E35">
              <w:rPr>
                <w:rFonts w:cstheme="minorHAnsi"/>
              </w:rPr>
              <w:t>BH12-4</w:t>
            </w:r>
          </w:p>
        </w:tc>
        <w:tc>
          <w:tcPr>
            <w:tcW w:w="0" w:type="auto"/>
            <w:noWrap/>
            <w:hideMark/>
          </w:tcPr>
          <w:p w14:paraId="188AF309" w14:textId="77777777" w:rsidR="003D3694" w:rsidRPr="00747E35" w:rsidRDefault="003D3694" w:rsidP="0096743A">
            <w:pPr>
              <w:pStyle w:val="Tabletext"/>
              <w:keepNext/>
              <w:keepLines/>
              <w:spacing w:before="0" w:after="0"/>
              <w:rPr>
                <w:rFonts w:cstheme="minorHAnsi"/>
              </w:rPr>
            </w:pPr>
            <w:r w:rsidRPr="00747E35">
              <w:rPr>
                <w:rFonts w:cstheme="minorHAnsi"/>
              </w:rPr>
              <w:t>6622698</w:t>
            </w:r>
          </w:p>
        </w:tc>
        <w:tc>
          <w:tcPr>
            <w:tcW w:w="0" w:type="auto"/>
            <w:noWrap/>
            <w:hideMark/>
          </w:tcPr>
          <w:p w14:paraId="259A4D3B" w14:textId="77777777" w:rsidR="003D3694" w:rsidRPr="00747E35" w:rsidRDefault="003D3694" w:rsidP="0096743A">
            <w:pPr>
              <w:pStyle w:val="Tabletext"/>
              <w:keepNext/>
              <w:keepLines/>
              <w:spacing w:before="0" w:after="0"/>
              <w:rPr>
                <w:rFonts w:cstheme="minorHAnsi"/>
              </w:rPr>
            </w:pPr>
            <w:r w:rsidRPr="00747E35">
              <w:rPr>
                <w:rFonts w:cstheme="minorHAnsi"/>
              </w:rPr>
              <w:t>219988</w:t>
            </w:r>
          </w:p>
        </w:tc>
        <w:tc>
          <w:tcPr>
            <w:tcW w:w="0" w:type="auto"/>
            <w:noWrap/>
            <w:hideMark/>
          </w:tcPr>
          <w:p w14:paraId="2B919A51" w14:textId="77777777" w:rsidR="003D3694" w:rsidRPr="00747E35" w:rsidRDefault="003D3694" w:rsidP="0096743A">
            <w:pPr>
              <w:pStyle w:val="Tabletext"/>
              <w:keepNext/>
              <w:keepLines/>
              <w:spacing w:before="0" w:after="0"/>
              <w:rPr>
                <w:rFonts w:cstheme="minorHAnsi"/>
              </w:rPr>
            </w:pPr>
            <w:r w:rsidRPr="00747E35">
              <w:rPr>
                <w:rFonts w:cstheme="minorHAnsi"/>
              </w:rPr>
              <w:t>40.7</w:t>
            </w:r>
          </w:p>
        </w:tc>
        <w:tc>
          <w:tcPr>
            <w:tcW w:w="0" w:type="auto"/>
          </w:tcPr>
          <w:p w14:paraId="0BD9CCA7" w14:textId="77777777" w:rsidR="003D3694" w:rsidRPr="00747E35" w:rsidRDefault="003D3694" w:rsidP="0096743A">
            <w:pPr>
              <w:pStyle w:val="Tabletext"/>
              <w:keepNext/>
              <w:keepLines/>
              <w:spacing w:before="0" w:after="0"/>
              <w:rPr>
                <w:rFonts w:cstheme="minorHAnsi"/>
              </w:rPr>
            </w:pPr>
            <w:r w:rsidRPr="00747E35">
              <w:rPr>
                <w:rFonts w:cstheme="minorHAnsi"/>
              </w:rPr>
              <w:t>Deep  (MCF)</w:t>
            </w:r>
          </w:p>
        </w:tc>
        <w:tc>
          <w:tcPr>
            <w:tcW w:w="1142" w:type="dxa"/>
          </w:tcPr>
          <w:p w14:paraId="3D8CD120" w14:textId="77777777" w:rsidR="003D3694" w:rsidRPr="00747E35" w:rsidRDefault="003D3694" w:rsidP="0096743A">
            <w:pPr>
              <w:pStyle w:val="Tabletext"/>
              <w:keepNext/>
              <w:keepLines/>
              <w:spacing w:before="0" w:after="0"/>
              <w:rPr>
                <w:rFonts w:cstheme="minorHAnsi"/>
              </w:rPr>
            </w:pPr>
            <w:r w:rsidRPr="00747E35">
              <w:rPr>
                <w:rFonts w:cstheme="minorHAnsi"/>
              </w:rPr>
              <w:t>n/a</w:t>
            </w:r>
          </w:p>
        </w:tc>
        <w:tc>
          <w:tcPr>
            <w:tcW w:w="1350" w:type="dxa"/>
          </w:tcPr>
          <w:p w14:paraId="5E3F83C7" w14:textId="77777777" w:rsidR="003D3694" w:rsidRPr="00747E35" w:rsidRDefault="003D3694" w:rsidP="0096743A">
            <w:pPr>
              <w:pStyle w:val="Tabletext"/>
              <w:keepNext/>
              <w:keepLines/>
              <w:spacing w:before="0" w:after="0"/>
              <w:rPr>
                <w:rFonts w:cstheme="minorHAnsi"/>
              </w:rPr>
            </w:pPr>
            <w:r w:rsidRPr="00747E35">
              <w:rPr>
                <w:rFonts w:cstheme="minorHAnsi"/>
              </w:rPr>
              <w:t>Low</w:t>
            </w:r>
          </w:p>
        </w:tc>
        <w:tc>
          <w:tcPr>
            <w:tcW w:w="869" w:type="dxa"/>
            <w:noWrap/>
            <w:hideMark/>
          </w:tcPr>
          <w:p w14:paraId="45AF4A40" w14:textId="77777777" w:rsidR="003D3694" w:rsidRPr="00747E35" w:rsidRDefault="003D3694" w:rsidP="0096743A">
            <w:pPr>
              <w:pStyle w:val="Tabletext"/>
              <w:keepNext/>
              <w:keepLines/>
              <w:spacing w:before="0" w:after="0"/>
              <w:rPr>
                <w:rFonts w:cstheme="minorHAnsi"/>
              </w:rPr>
            </w:pPr>
            <w:r w:rsidRPr="00747E35">
              <w:rPr>
                <w:rFonts w:cstheme="minorHAnsi"/>
              </w:rPr>
              <w:t>30</w:t>
            </w:r>
          </w:p>
        </w:tc>
        <w:tc>
          <w:tcPr>
            <w:tcW w:w="1701" w:type="dxa"/>
          </w:tcPr>
          <w:p w14:paraId="70C054BC" w14:textId="77777777" w:rsidR="003D3694" w:rsidRPr="00747E35" w:rsidRDefault="003D3694" w:rsidP="0096743A">
            <w:pPr>
              <w:pStyle w:val="Tabletext"/>
              <w:keepNext/>
              <w:keepLines/>
              <w:spacing w:before="0" w:after="0"/>
              <w:rPr>
                <w:rFonts w:cstheme="minorHAnsi"/>
              </w:rPr>
            </w:pPr>
            <w:r w:rsidRPr="00747E35">
              <w:rPr>
                <w:rFonts w:cstheme="minorHAnsi"/>
              </w:rPr>
              <w:t>Perennial Losing</w:t>
            </w:r>
          </w:p>
        </w:tc>
        <w:tc>
          <w:tcPr>
            <w:tcW w:w="1404" w:type="dxa"/>
          </w:tcPr>
          <w:p w14:paraId="1D7FA82F"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0" w:type="auto"/>
          </w:tcPr>
          <w:p w14:paraId="4563DE87" w14:textId="77777777" w:rsidR="003D3694" w:rsidRPr="00747E35" w:rsidRDefault="003D3694" w:rsidP="0096743A">
            <w:pPr>
              <w:pStyle w:val="Tabletext"/>
              <w:keepNext/>
              <w:keepLines/>
              <w:spacing w:before="0" w:after="0"/>
              <w:rPr>
                <w:rFonts w:cstheme="minorHAnsi"/>
              </w:rPr>
            </w:pPr>
            <w:r w:rsidRPr="00747E35">
              <w:rPr>
                <w:rFonts w:cstheme="minorHAnsi"/>
              </w:rPr>
              <w:t>40+150</w:t>
            </w:r>
          </w:p>
        </w:tc>
      </w:tr>
    </w:tbl>
    <w:p w14:paraId="36F8E798" w14:textId="77777777" w:rsidR="003D3694" w:rsidRPr="00747E35" w:rsidRDefault="003D3694" w:rsidP="003D3694">
      <w:pPr>
        <w:keepNext/>
        <w:keepLines/>
        <w:rPr>
          <w:rFonts w:asciiTheme="minorHAnsi" w:hAnsiTheme="minorHAnsi" w:cstheme="minorHAnsi"/>
        </w:rPr>
        <w:sectPr w:rsidR="003D3694" w:rsidRPr="00747E35" w:rsidSect="0096743A">
          <w:pgSz w:w="16838" w:h="11906" w:orient="landscape"/>
          <w:pgMar w:top="1134" w:right="1134" w:bottom="1134" w:left="1134" w:header="709" w:footer="709" w:gutter="0"/>
          <w:cols w:space="708"/>
          <w:docGrid w:linePitch="360"/>
        </w:sectPr>
      </w:pPr>
    </w:p>
    <w:p w14:paraId="05D9853E" w14:textId="179B4AAA" w:rsidR="003D3694" w:rsidRPr="00747E35" w:rsidRDefault="003D3694" w:rsidP="00085C15">
      <w:pPr>
        <w:pStyle w:val="Heading3"/>
        <w:rPr>
          <w:rFonts w:asciiTheme="minorHAnsi" w:hAnsiTheme="minorHAnsi" w:cstheme="minorHAnsi"/>
        </w:rPr>
      </w:pPr>
      <w:bookmarkStart w:id="217" w:name="_Toc466449943"/>
      <w:bookmarkStart w:id="218" w:name="_Toc470004872"/>
      <w:r w:rsidRPr="00747E35">
        <w:rPr>
          <w:rFonts w:asciiTheme="minorHAnsi" w:hAnsiTheme="minorHAnsi" w:cstheme="minorHAnsi"/>
        </w:rPr>
        <w:lastRenderedPageBreak/>
        <w:t>Environmental factors and variables</w:t>
      </w:r>
      <w:bookmarkEnd w:id="217"/>
      <w:bookmarkEnd w:id="218"/>
    </w:p>
    <w:p w14:paraId="04D958E5" w14:textId="619EB054"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main environmental factors and variables measured and recorded are summarised in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_Ref466399047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17</w:t>
      </w:r>
      <w:r w:rsidRPr="00747E35">
        <w:rPr>
          <w:rFonts w:asciiTheme="minorHAnsi" w:hAnsiTheme="minorHAnsi" w:cstheme="minorHAnsi"/>
          <w:highlight w:val="yellow"/>
        </w:rPr>
        <w:fldChar w:fldCharType="end"/>
      </w:r>
      <w:r w:rsidRPr="00747E35">
        <w:rPr>
          <w:rFonts w:asciiTheme="minorHAnsi" w:hAnsiTheme="minorHAnsi" w:cstheme="minorHAnsi"/>
        </w:rPr>
        <w:t xml:space="preserve"> below. To facilitate analysis and interpretation, factors and variables were grouped into ten broad types: site factors, sample factors, physical hydrology, sediments, physico-chemistry, nutrients, organics, major ions, minor ions, and stable water isotopes.</w:t>
      </w:r>
    </w:p>
    <w:p w14:paraId="2133F39A" w14:textId="7C233DFB" w:rsidR="003D3694" w:rsidRPr="00747E35" w:rsidRDefault="003D3694" w:rsidP="00085C15">
      <w:pPr>
        <w:pStyle w:val="Caption"/>
        <w:numPr>
          <w:ilvl w:val="0"/>
          <w:numId w:val="0"/>
        </w:numPr>
        <w:rPr>
          <w:rFonts w:cstheme="minorHAnsi"/>
        </w:rPr>
      </w:pPr>
      <w:bookmarkStart w:id="219" w:name="_Ref466399047"/>
      <w:r w:rsidRPr="00747E35">
        <w:rPr>
          <w:rFonts w:cstheme="minorHAnsi"/>
        </w:rPr>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17</w:t>
      </w:r>
      <w:r w:rsidR="009D6600" w:rsidRPr="00747E35">
        <w:rPr>
          <w:rFonts w:cstheme="minorHAnsi"/>
          <w:noProof/>
        </w:rPr>
        <w:fldChar w:fldCharType="end"/>
      </w:r>
      <w:bookmarkEnd w:id="219"/>
      <w:r w:rsidR="00085C15" w:rsidRPr="00747E35">
        <w:rPr>
          <w:rFonts w:cstheme="minorHAnsi"/>
        </w:rPr>
        <w:t>: Environmental variables,</w:t>
      </w:r>
      <w:r w:rsidRPr="00747E35">
        <w:rPr>
          <w:rFonts w:cstheme="minorHAnsi"/>
        </w:rPr>
        <w:t xml:space="preserve"> analytical methods and measurement scales. </w:t>
      </w: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5"/>
        <w:gridCol w:w="1903"/>
        <w:gridCol w:w="1886"/>
        <w:gridCol w:w="4391"/>
      </w:tblGrid>
      <w:tr w:rsidR="003D3694" w:rsidRPr="00747E35" w14:paraId="36EED3A3" w14:textId="77777777" w:rsidTr="0096743A">
        <w:trPr>
          <w:trHeight w:val="288"/>
          <w:tblHeader/>
        </w:trPr>
        <w:tc>
          <w:tcPr>
            <w:tcW w:w="0" w:type="auto"/>
            <w:shd w:val="clear" w:color="auto" w:fill="DEEAF6" w:themeFill="accent1" w:themeFillTint="33"/>
            <w:noWrap/>
            <w:hideMark/>
          </w:tcPr>
          <w:p w14:paraId="61152D71"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Factor / Variable type</w:t>
            </w:r>
          </w:p>
        </w:tc>
        <w:tc>
          <w:tcPr>
            <w:tcW w:w="0" w:type="auto"/>
            <w:shd w:val="clear" w:color="auto" w:fill="DEEAF6" w:themeFill="accent1" w:themeFillTint="33"/>
            <w:noWrap/>
            <w:hideMark/>
          </w:tcPr>
          <w:p w14:paraId="047D215F"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Factor / Variable</w:t>
            </w:r>
          </w:p>
        </w:tc>
        <w:tc>
          <w:tcPr>
            <w:tcW w:w="0" w:type="auto"/>
            <w:shd w:val="clear" w:color="auto" w:fill="DEEAF6" w:themeFill="accent1" w:themeFillTint="33"/>
            <w:noWrap/>
            <w:hideMark/>
          </w:tcPr>
          <w:p w14:paraId="4F75DA68"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Type of data</w:t>
            </w:r>
          </w:p>
        </w:tc>
        <w:tc>
          <w:tcPr>
            <w:tcW w:w="0" w:type="auto"/>
            <w:shd w:val="clear" w:color="auto" w:fill="DEEAF6" w:themeFill="accent1" w:themeFillTint="33"/>
            <w:noWrap/>
            <w:hideMark/>
          </w:tcPr>
          <w:p w14:paraId="774897A7"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Method used and scale</w:t>
            </w:r>
          </w:p>
        </w:tc>
      </w:tr>
      <w:tr w:rsidR="003D3694" w:rsidRPr="00747E35" w14:paraId="19227BE6" w14:textId="77777777" w:rsidTr="0096743A">
        <w:trPr>
          <w:trHeight w:val="288"/>
        </w:trPr>
        <w:tc>
          <w:tcPr>
            <w:tcW w:w="0" w:type="auto"/>
            <w:shd w:val="clear" w:color="auto" w:fill="auto"/>
            <w:noWrap/>
            <w:hideMark/>
          </w:tcPr>
          <w:p w14:paraId="0339D25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Site factors</w:t>
            </w:r>
          </w:p>
        </w:tc>
        <w:tc>
          <w:tcPr>
            <w:tcW w:w="0" w:type="auto"/>
            <w:shd w:val="clear" w:color="auto" w:fill="auto"/>
            <w:noWrap/>
            <w:hideMark/>
          </w:tcPr>
          <w:p w14:paraId="5C46D09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Groundwater environment</w:t>
            </w:r>
          </w:p>
        </w:tc>
        <w:tc>
          <w:tcPr>
            <w:tcW w:w="0" w:type="auto"/>
            <w:shd w:val="clear" w:color="auto" w:fill="auto"/>
            <w:noWrap/>
            <w:hideMark/>
          </w:tcPr>
          <w:p w14:paraId="23BDC05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Categorical </w:t>
            </w:r>
          </w:p>
        </w:tc>
        <w:tc>
          <w:tcPr>
            <w:tcW w:w="0" w:type="auto"/>
            <w:shd w:val="clear" w:color="auto" w:fill="auto"/>
            <w:noWrap/>
            <w:hideMark/>
          </w:tcPr>
          <w:p w14:paraId="4187FDD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Quantitative categorical; hyporheos, aquifer </w:t>
            </w:r>
          </w:p>
        </w:tc>
      </w:tr>
      <w:tr w:rsidR="003D3694" w:rsidRPr="00747E35" w14:paraId="5011A8E6" w14:textId="77777777" w:rsidTr="0096743A">
        <w:trPr>
          <w:trHeight w:val="288"/>
        </w:trPr>
        <w:tc>
          <w:tcPr>
            <w:tcW w:w="0" w:type="auto"/>
            <w:shd w:val="clear" w:color="auto" w:fill="auto"/>
            <w:noWrap/>
            <w:hideMark/>
          </w:tcPr>
          <w:p w14:paraId="5AF7E904"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73B31CB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Catchment + Subcatchment</w:t>
            </w:r>
          </w:p>
        </w:tc>
        <w:tc>
          <w:tcPr>
            <w:tcW w:w="0" w:type="auto"/>
            <w:shd w:val="clear" w:color="auto" w:fill="auto"/>
            <w:noWrap/>
            <w:hideMark/>
          </w:tcPr>
          <w:p w14:paraId="39615F4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Categorical </w:t>
            </w:r>
          </w:p>
        </w:tc>
        <w:tc>
          <w:tcPr>
            <w:tcW w:w="0" w:type="auto"/>
            <w:shd w:val="clear" w:color="auto" w:fill="auto"/>
            <w:noWrap/>
            <w:hideMark/>
          </w:tcPr>
          <w:p w14:paraId="6791666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Available mapping</w:t>
            </w:r>
          </w:p>
        </w:tc>
      </w:tr>
      <w:tr w:rsidR="003D3694" w:rsidRPr="00747E35" w14:paraId="6DBD09D1" w14:textId="77777777" w:rsidTr="0096743A">
        <w:trPr>
          <w:trHeight w:val="288"/>
        </w:trPr>
        <w:tc>
          <w:tcPr>
            <w:tcW w:w="0" w:type="auto"/>
            <w:shd w:val="clear" w:color="auto" w:fill="auto"/>
            <w:noWrap/>
            <w:hideMark/>
          </w:tcPr>
          <w:p w14:paraId="50895D97"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40D8421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Flow Regime</w:t>
            </w:r>
          </w:p>
        </w:tc>
        <w:tc>
          <w:tcPr>
            <w:tcW w:w="0" w:type="auto"/>
            <w:shd w:val="clear" w:color="auto" w:fill="auto"/>
            <w:noWrap/>
            <w:hideMark/>
          </w:tcPr>
          <w:p w14:paraId="436D780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Quantitative categorical </w:t>
            </w:r>
          </w:p>
        </w:tc>
        <w:tc>
          <w:tcPr>
            <w:tcW w:w="0" w:type="auto"/>
            <w:shd w:val="clear" w:color="auto" w:fill="auto"/>
            <w:noWrap/>
            <w:hideMark/>
          </w:tcPr>
          <w:p w14:paraId="59A36DE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Field observations</w:t>
            </w:r>
          </w:p>
        </w:tc>
      </w:tr>
      <w:tr w:rsidR="003D3694" w:rsidRPr="00747E35" w14:paraId="4D0D0DC3" w14:textId="77777777" w:rsidTr="0096743A">
        <w:trPr>
          <w:trHeight w:val="288"/>
        </w:trPr>
        <w:tc>
          <w:tcPr>
            <w:tcW w:w="0" w:type="auto"/>
            <w:shd w:val="clear" w:color="auto" w:fill="auto"/>
            <w:noWrap/>
            <w:hideMark/>
          </w:tcPr>
          <w:p w14:paraId="082E864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Sample factors</w:t>
            </w:r>
          </w:p>
        </w:tc>
        <w:tc>
          <w:tcPr>
            <w:tcW w:w="0" w:type="auto"/>
            <w:shd w:val="clear" w:color="auto" w:fill="auto"/>
            <w:noWrap/>
            <w:hideMark/>
          </w:tcPr>
          <w:p w14:paraId="7BE1DBE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Sample Site</w:t>
            </w:r>
          </w:p>
        </w:tc>
        <w:tc>
          <w:tcPr>
            <w:tcW w:w="0" w:type="auto"/>
            <w:shd w:val="clear" w:color="auto" w:fill="auto"/>
            <w:noWrap/>
            <w:hideMark/>
          </w:tcPr>
          <w:p w14:paraId="22BE4121"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77D54D8D" w14:textId="77777777" w:rsidR="003D3694" w:rsidRPr="00747E35" w:rsidRDefault="003D3694" w:rsidP="0096743A">
            <w:pPr>
              <w:pStyle w:val="Tabletext"/>
              <w:spacing w:before="0" w:after="0"/>
              <w:rPr>
                <w:rFonts w:cstheme="minorHAnsi"/>
                <w:lang w:eastAsia="en-AU"/>
              </w:rPr>
            </w:pPr>
          </w:p>
        </w:tc>
      </w:tr>
      <w:tr w:rsidR="003D3694" w:rsidRPr="00747E35" w14:paraId="36BAFB77" w14:textId="77777777" w:rsidTr="0096743A">
        <w:trPr>
          <w:trHeight w:val="288"/>
        </w:trPr>
        <w:tc>
          <w:tcPr>
            <w:tcW w:w="0" w:type="auto"/>
            <w:shd w:val="clear" w:color="auto" w:fill="auto"/>
            <w:noWrap/>
            <w:hideMark/>
          </w:tcPr>
          <w:p w14:paraId="08D5CF47"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0D7D9DA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Sample Date (Trip No.)</w:t>
            </w:r>
          </w:p>
        </w:tc>
        <w:tc>
          <w:tcPr>
            <w:tcW w:w="0" w:type="auto"/>
            <w:shd w:val="clear" w:color="auto" w:fill="auto"/>
            <w:noWrap/>
            <w:hideMark/>
          </w:tcPr>
          <w:p w14:paraId="2716C93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DDMMYY, Trip No.</w:t>
            </w:r>
          </w:p>
        </w:tc>
        <w:tc>
          <w:tcPr>
            <w:tcW w:w="0" w:type="auto"/>
            <w:shd w:val="clear" w:color="auto" w:fill="auto"/>
            <w:noWrap/>
            <w:hideMark/>
          </w:tcPr>
          <w:p w14:paraId="30332FBC" w14:textId="77777777" w:rsidR="003D3694" w:rsidRPr="00747E35" w:rsidRDefault="003D3694" w:rsidP="0096743A">
            <w:pPr>
              <w:pStyle w:val="Tabletext"/>
              <w:spacing w:before="0" w:after="0"/>
              <w:rPr>
                <w:rFonts w:cstheme="minorHAnsi"/>
                <w:lang w:eastAsia="en-AU"/>
              </w:rPr>
            </w:pPr>
          </w:p>
        </w:tc>
      </w:tr>
      <w:tr w:rsidR="003D3694" w:rsidRPr="00747E35" w14:paraId="69A26F74" w14:textId="77777777" w:rsidTr="0096743A">
        <w:trPr>
          <w:trHeight w:val="288"/>
        </w:trPr>
        <w:tc>
          <w:tcPr>
            <w:tcW w:w="0" w:type="auto"/>
            <w:shd w:val="clear" w:color="auto" w:fill="auto"/>
            <w:noWrap/>
            <w:hideMark/>
          </w:tcPr>
          <w:p w14:paraId="3E4DD89A"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4B7B53A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Subsamples per site date</w:t>
            </w:r>
          </w:p>
        </w:tc>
        <w:tc>
          <w:tcPr>
            <w:tcW w:w="0" w:type="auto"/>
            <w:shd w:val="clear" w:color="auto" w:fill="auto"/>
            <w:noWrap/>
            <w:hideMark/>
          </w:tcPr>
          <w:p w14:paraId="554500F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n</w:t>
            </w:r>
          </w:p>
        </w:tc>
        <w:tc>
          <w:tcPr>
            <w:tcW w:w="0" w:type="auto"/>
            <w:shd w:val="clear" w:color="auto" w:fill="auto"/>
            <w:noWrap/>
            <w:hideMark/>
          </w:tcPr>
          <w:p w14:paraId="5343C326" w14:textId="77777777" w:rsidR="003D3694" w:rsidRPr="00747E35" w:rsidRDefault="003D3694" w:rsidP="0096743A">
            <w:pPr>
              <w:pStyle w:val="Tabletext"/>
              <w:spacing w:before="0" w:after="0"/>
              <w:rPr>
                <w:rFonts w:cstheme="minorHAnsi"/>
                <w:lang w:eastAsia="en-AU"/>
              </w:rPr>
            </w:pPr>
          </w:p>
        </w:tc>
      </w:tr>
      <w:tr w:rsidR="003D3694" w:rsidRPr="00747E35" w14:paraId="369724C3" w14:textId="77777777" w:rsidTr="0096743A">
        <w:trPr>
          <w:trHeight w:val="288"/>
        </w:trPr>
        <w:tc>
          <w:tcPr>
            <w:tcW w:w="0" w:type="auto"/>
            <w:shd w:val="clear" w:color="auto" w:fill="auto"/>
            <w:noWrap/>
            <w:hideMark/>
          </w:tcPr>
          <w:p w14:paraId="179AAF80"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244B8CB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Subsample depth (bgl)</w:t>
            </w:r>
          </w:p>
        </w:tc>
        <w:tc>
          <w:tcPr>
            <w:tcW w:w="0" w:type="auto"/>
            <w:shd w:val="clear" w:color="auto" w:fill="auto"/>
            <w:noWrap/>
            <w:hideMark/>
          </w:tcPr>
          <w:p w14:paraId="0162A38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cm (hyporheic), m (bores)</w:t>
            </w:r>
          </w:p>
        </w:tc>
        <w:tc>
          <w:tcPr>
            <w:tcW w:w="0" w:type="auto"/>
            <w:shd w:val="clear" w:color="auto" w:fill="auto"/>
            <w:noWrap/>
            <w:hideMark/>
          </w:tcPr>
          <w:p w14:paraId="4027168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Field measurement</w:t>
            </w:r>
          </w:p>
        </w:tc>
      </w:tr>
      <w:tr w:rsidR="003D3694" w:rsidRPr="00747E35" w14:paraId="7E458B04" w14:textId="77777777" w:rsidTr="0096743A">
        <w:trPr>
          <w:trHeight w:val="288"/>
        </w:trPr>
        <w:tc>
          <w:tcPr>
            <w:tcW w:w="0" w:type="auto"/>
            <w:shd w:val="clear" w:color="auto" w:fill="auto"/>
            <w:noWrap/>
            <w:hideMark/>
          </w:tcPr>
          <w:p w14:paraId="5F6A203C"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05637E0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Sample volume</w:t>
            </w:r>
          </w:p>
        </w:tc>
        <w:tc>
          <w:tcPr>
            <w:tcW w:w="0" w:type="auto"/>
            <w:shd w:val="clear" w:color="auto" w:fill="auto"/>
            <w:noWrap/>
            <w:hideMark/>
          </w:tcPr>
          <w:p w14:paraId="54E5CEE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l</w:t>
            </w:r>
          </w:p>
        </w:tc>
        <w:tc>
          <w:tcPr>
            <w:tcW w:w="0" w:type="auto"/>
            <w:shd w:val="clear" w:color="auto" w:fill="auto"/>
            <w:noWrap/>
            <w:hideMark/>
          </w:tcPr>
          <w:p w14:paraId="0F3EFB9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Volumetric measurement</w:t>
            </w:r>
          </w:p>
        </w:tc>
      </w:tr>
      <w:tr w:rsidR="003D3694" w:rsidRPr="00747E35" w14:paraId="2A0DD6D4" w14:textId="77777777" w:rsidTr="0096743A">
        <w:trPr>
          <w:trHeight w:val="288"/>
        </w:trPr>
        <w:tc>
          <w:tcPr>
            <w:tcW w:w="0" w:type="auto"/>
            <w:shd w:val="clear" w:color="auto" w:fill="auto"/>
            <w:noWrap/>
            <w:hideMark/>
          </w:tcPr>
          <w:p w14:paraId="4CF3122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Physical hydrology</w:t>
            </w:r>
          </w:p>
        </w:tc>
        <w:tc>
          <w:tcPr>
            <w:tcW w:w="0" w:type="auto"/>
            <w:shd w:val="clear" w:color="auto" w:fill="auto"/>
            <w:noWrap/>
            <w:hideMark/>
          </w:tcPr>
          <w:p w14:paraId="240BA1F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Connectivity aquifer-creek</w:t>
            </w:r>
          </w:p>
        </w:tc>
        <w:tc>
          <w:tcPr>
            <w:tcW w:w="0" w:type="auto"/>
            <w:shd w:val="clear" w:color="auto" w:fill="auto"/>
            <w:noWrap/>
            <w:hideMark/>
          </w:tcPr>
          <w:p w14:paraId="6D50F44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Quantitative categorical </w:t>
            </w:r>
          </w:p>
        </w:tc>
        <w:tc>
          <w:tcPr>
            <w:tcW w:w="0" w:type="auto"/>
            <w:shd w:val="clear" w:color="auto" w:fill="auto"/>
            <w:noWrap/>
            <w:hideMark/>
          </w:tcPr>
          <w:p w14:paraId="55B8B53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Geochemical data interpretation; High (3); intermediate (2); low (1); None (0)</w:t>
            </w:r>
          </w:p>
        </w:tc>
      </w:tr>
      <w:tr w:rsidR="003D3694" w:rsidRPr="00747E35" w14:paraId="13AA2E18" w14:textId="77777777" w:rsidTr="0096743A">
        <w:trPr>
          <w:trHeight w:val="288"/>
        </w:trPr>
        <w:tc>
          <w:tcPr>
            <w:tcW w:w="0" w:type="auto"/>
            <w:shd w:val="clear" w:color="auto" w:fill="auto"/>
            <w:noWrap/>
            <w:hideMark/>
          </w:tcPr>
          <w:p w14:paraId="6FF74B8B"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7D1A0D1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VHH (cm)</w:t>
            </w:r>
          </w:p>
        </w:tc>
        <w:tc>
          <w:tcPr>
            <w:tcW w:w="0" w:type="auto"/>
            <w:shd w:val="clear" w:color="auto" w:fill="auto"/>
            <w:noWrap/>
            <w:hideMark/>
          </w:tcPr>
          <w:p w14:paraId="6B75972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cm (+/-)</w:t>
            </w:r>
          </w:p>
        </w:tc>
        <w:tc>
          <w:tcPr>
            <w:tcW w:w="0" w:type="auto"/>
            <w:shd w:val="clear" w:color="auto" w:fill="auto"/>
            <w:noWrap/>
            <w:hideMark/>
          </w:tcPr>
          <w:p w14:paraId="1934A4F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Field measurement</w:t>
            </w:r>
          </w:p>
        </w:tc>
      </w:tr>
      <w:tr w:rsidR="003D3694" w:rsidRPr="00747E35" w14:paraId="54595A38" w14:textId="77777777" w:rsidTr="0096743A">
        <w:trPr>
          <w:trHeight w:val="288"/>
        </w:trPr>
        <w:tc>
          <w:tcPr>
            <w:tcW w:w="0" w:type="auto"/>
            <w:shd w:val="clear" w:color="auto" w:fill="auto"/>
            <w:noWrap/>
            <w:hideMark/>
          </w:tcPr>
          <w:p w14:paraId="02B6FA55"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40AE376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VHH Cat.</w:t>
            </w:r>
          </w:p>
        </w:tc>
        <w:tc>
          <w:tcPr>
            <w:tcW w:w="0" w:type="auto"/>
            <w:shd w:val="clear" w:color="auto" w:fill="auto"/>
            <w:noWrap/>
            <w:hideMark/>
          </w:tcPr>
          <w:p w14:paraId="7690C19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Quantitative categorical </w:t>
            </w:r>
          </w:p>
        </w:tc>
        <w:tc>
          <w:tcPr>
            <w:tcW w:w="0" w:type="auto"/>
            <w:shd w:val="clear" w:color="auto" w:fill="auto"/>
            <w:noWrap/>
            <w:hideMark/>
          </w:tcPr>
          <w:p w14:paraId="2A60884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Histogram percentiles VHH (cm); Strongly DW (-1), near neutral (0), strongly UW (+1)</w:t>
            </w:r>
          </w:p>
        </w:tc>
      </w:tr>
      <w:tr w:rsidR="003D3694" w:rsidRPr="00747E35" w14:paraId="036B8693" w14:textId="77777777" w:rsidTr="0096743A">
        <w:trPr>
          <w:trHeight w:val="288"/>
        </w:trPr>
        <w:tc>
          <w:tcPr>
            <w:tcW w:w="0" w:type="auto"/>
            <w:shd w:val="clear" w:color="auto" w:fill="auto"/>
            <w:noWrap/>
            <w:hideMark/>
          </w:tcPr>
          <w:p w14:paraId="02E7004C"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730310F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VHH PLS Pred.</w:t>
            </w:r>
          </w:p>
        </w:tc>
        <w:tc>
          <w:tcPr>
            <w:tcW w:w="0" w:type="auto"/>
            <w:shd w:val="clear" w:color="auto" w:fill="auto"/>
            <w:noWrap/>
            <w:hideMark/>
          </w:tcPr>
          <w:p w14:paraId="57ADC34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Quantitative categorical </w:t>
            </w:r>
          </w:p>
        </w:tc>
        <w:tc>
          <w:tcPr>
            <w:tcW w:w="0" w:type="auto"/>
            <w:shd w:val="clear" w:color="auto" w:fill="auto"/>
            <w:noWrap/>
            <w:hideMark/>
          </w:tcPr>
          <w:p w14:paraId="4029173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PLS analysis</w:t>
            </w:r>
          </w:p>
        </w:tc>
      </w:tr>
      <w:tr w:rsidR="003D3694" w:rsidRPr="00747E35" w14:paraId="56526D8F" w14:textId="77777777" w:rsidTr="0096743A">
        <w:trPr>
          <w:trHeight w:val="288"/>
        </w:trPr>
        <w:tc>
          <w:tcPr>
            <w:tcW w:w="0" w:type="auto"/>
            <w:shd w:val="clear" w:color="auto" w:fill="auto"/>
            <w:noWrap/>
            <w:hideMark/>
          </w:tcPr>
          <w:p w14:paraId="4F166BB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Sediments</w:t>
            </w:r>
          </w:p>
        </w:tc>
        <w:tc>
          <w:tcPr>
            <w:tcW w:w="0" w:type="auto"/>
            <w:shd w:val="clear" w:color="auto" w:fill="auto"/>
            <w:noWrap/>
            <w:hideMark/>
          </w:tcPr>
          <w:p w14:paraId="2A2F8C7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Fine Sediments (ml)</w:t>
            </w:r>
          </w:p>
        </w:tc>
        <w:tc>
          <w:tcPr>
            <w:tcW w:w="0" w:type="auto"/>
            <w:shd w:val="clear" w:color="auto" w:fill="auto"/>
            <w:noWrap/>
            <w:hideMark/>
          </w:tcPr>
          <w:p w14:paraId="7D2DBA6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ml</w:t>
            </w:r>
          </w:p>
        </w:tc>
        <w:tc>
          <w:tcPr>
            <w:tcW w:w="0" w:type="auto"/>
            <w:shd w:val="clear" w:color="auto" w:fill="auto"/>
            <w:noWrap/>
            <w:hideMark/>
          </w:tcPr>
          <w:p w14:paraId="5E53F7B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Laboratory measurement elutriated portion</w:t>
            </w:r>
          </w:p>
        </w:tc>
      </w:tr>
      <w:tr w:rsidR="003D3694" w:rsidRPr="00747E35" w14:paraId="412D026B" w14:textId="77777777" w:rsidTr="0096743A">
        <w:trPr>
          <w:trHeight w:val="288"/>
        </w:trPr>
        <w:tc>
          <w:tcPr>
            <w:tcW w:w="0" w:type="auto"/>
            <w:shd w:val="clear" w:color="auto" w:fill="auto"/>
            <w:noWrap/>
            <w:hideMark/>
          </w:tcPr>
          <w:p w14:paraId="3341F77E"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04C06FD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Fine Sediments Cat.</w:t>
            </w:r>
          </w:p>
        </w:tc>
        <w:tc>
          <w:tcPr>
            <w:tcW w:w="0" w:type="auto"/>
            <w:shd w:val="clear" w:color="auto" w:fill="auto"/>
            <w:noWrap/>
            <w:hideMark/>
          </w:tcPr>
          <w:p w14:paraId="6590825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Quantitative categorical </w:t>
            </w:r>
          </w:p>
        </w:tc>
        <w:tc>
          <w:tcPr>
            <w:tcW w:w="0" w:type="auto"/>
            <w:shd w:val="clear" w:color="auto" w:fill="auto"/>
            <w:noWrap/>
            <w:hideMark/>
          </w:tcPr>
          <w:p w14:paraId="73E55CF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Percentiles 33%; 1=little, 2=moderate, 3=lots</w:t>
            </w:r>
          </w:p>
        </w:tc>
      </w:tr>
      <w:tr w:rsidR="003D3694" w:rsidRPr="00747E35" w14:paraId="67E48DE0" w14:textId="77777777" w:rsidTr="0096743A">
        <w:trPr>
          <w:trHeight w:val="288"/>
        </w:trPr>
        <w:tc>
          <w:tcPr>
            <w:tcW w:w="0" w:type="auto"/>
            <w:shd w:val="clear" w:color="auto" w:fill="auto"/>
            <w:noWrap/>
            <w:hideMark/>
          </w:tcPr>
          <w:p w14:paraId="76C298D0"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226D4A8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Coarse Sediments Cat.</w:t>
            </w:r>
          </w:p>
        </w:tc>
        <w:tc>
          <w:tcPr>
            <w:tcW w:w="0" w:type="auto"/>
            <w:shd w:val="clear" w:color="auto" w:fill="auto"/>
            <w:noWrap/>
            <w:hideMark/>
          </w:tcPr>
          <w:p w14:paraId="55D0739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Quantitative categorical </w:t>
            </w:r>
          </w:p>
        </w:tc>
        <w:tc>
          <w:tcPr>
            <w:tcW w:w="0" w:type="auto"/>
            <w:shd w:val="clear" w:color="auto" w:fill="auto"/>
            <w:noWrap/>
            <w:hideMark/>
          </w:tcPr>
          <w:p w14:paraId="38EFF05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Field estimation elutriated residue; 0=none, 1=little, 2=moderate, 3=lots</w:t>
            </w:r>
          </w:p>
        </w:tc>
      </w:tr>
      <w:tr w:rsidR="003D3694" w:rsidRPr="00747E35" w14:paraId="4FFCBABE" w14:textId="77777777" w:rsidTr="0096743A">
        <w:trPr>
          <w:trHeight w:val="288"/>
        </w:trPr>
        <w:tc>
          <w:tcPr>
            <w:tcW w:w="0" w:type="auto"/>
            <w:shd w:val="clear" w:color="auto" w:fill="auto"/>
            <w:noWrap/>
            <w:hideMark/>
          </w:tcPr>
          <w:p w14:paraId="4623BAC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Physico-chemistry</w:t>
            </w:r>
          </w:p>
        </w:tc>
        <w:tc>
          <w:tcPr>
            <w:tcW w:w="0" w:type="auto"/>
            <w:shd w:val="clear" w:color="auto" w:fill="auto"/>
            <w:noWrap/>
            <w:hideMark/>
          </w:tcPr>
          <w:p w14:paraId="63C0DCB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Temperature</w:t>
            </w:r>
          </w:p>
        </w:tc>
        <w:tc>
          <w:tcPr>
            <w:tcW w:w="0" w:type="auto"/>
            <w:shd w:val="clear" w:color="auto" w:fill="auto"/>
            <w:noWrap/>
            <w:hideMark/>
          </w:tcPr>
          <w:p w14:paraId="78E0982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degrees C</w:t>
            </w:r>
          </w:p>
        </w:tc>
        <w:tc>
          <w:tcPr>
            <w:tcW w:w="0" w:type="auto"/>
            <w:shd w:val="clear" w:color="auto" w:fill="auto"/>
            <w:noWrap/>
            <w:hideMark/>
          </w:tcPr>
          <w:p w14:paraId="5B39B5B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Field loggers</w:t>
            </w:r>
          </w:p>
        </w:tc>
      </w:tr>
      <w:tr w:rsidR="003D3694" w:rsidRPr="00747E35" w14:paraId="7F78D988" w14:textId="77777777" w:rsidTr="0096743A">
        <w:trPr>
          <w:trHeight w:val="288"/>
        </w:trPr>
        <w:tc>
          <w:tcPr>
            <w:tcW w:w="0" w:type="auto"/>
            <w:shd w:val="clear" w:color="auto" w:fill="auto"/>
            <w:noWrap/>
            <w:hideMark/>
          </w:tcPr>
          <w:p w14:paraId="2D94EAA2"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44FA1A0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EC</w:t>
            </w:r>
          </w:p>
        </w:tc>
        <w:tc>
          <w:tcPr>
            <w:tcW w:w="0" w:type="auto"/>
            <w:shd w:val="clear" w:color="auto" w:fill="auto"/>
            <w:noWrap/>
            <w:hideMark/>
          </w:tcPr>
          <w:p w14:paraId="49C440F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µS/cm</w:t>
            </w:r>
          </w:p>
        </w:tc>
        <w:tc>
          <w:tcPr>
            <w:tcW w:w="0" w:type="auto"/>
            <w:shd w:val="clear" w:color="auto" w:fill="auto"/>
            <w:noWrap/>
            <w:hideMark/>
          </w:tcPr>
          <w:p w14:paraId="08FD7B8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Field measurement</w:t>
            </w:r>
          </w:p>
        </w:tc>
      </w:tr>
      <w:tr w:rsidR="003D3694" w:rsidRPr="00747E35" w14:paraId="545D1D78" w14:textId="77777777" w:rsidTr="0096743A">
        <w:trPr>
          <w:trHeight w:val="288"/>
        </w:trPr>
        <w:tc>
          <w:tcPr>
            <w:tcW w:w="0" w:type="auto"/>
            <w:shd w:val="clear" w:color="auto" w:fill="auto"/>
            <w:noWrap/>
            <w:hideMark/>
          </w:tcPr>
          <w:p w14:paraId="5A3E4166"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215FBDC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pH</w:t>
            </w:r>
          </w:p>
        </w:tc>
        <w:tc>
          <w:tcPr>
            <w:tcW w:w="0" w:type="auto"/>
            <w:shd w:val="clear" w:color="auto" w:fill="auto"/>
            <w:noWrap/>
            <w:hideMark/>
          </w:tcPr>
          <w:p w14:paraId="7101097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pH units</w:t>
            </w:r>
          </w:p>
        </w:tc>
        <w:tc>
          <w:tcPr>
            <w:tcW w:w="0" w:type="auto"/>
            <w:shd w:val="clear" w:color="auto" w:fill="auto"/>
            <w:noWrap/>
            <w:hideMark/>
          </w:tcPr>
          <w:p w14:paraId="4FD5B3B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Field measurement</w:t>
            </w:r>
          </w:p>
        </w:tc>
      </w:tr>
      <w:tr w:rsidR="003D3694" w:rsidRPr="00747E35" w14:paraId="4505CC16" w14:textId="77777777" w:rsidTr="0096743A">
        <w:trPr>
          <w:trHeight w:val="288"/>
        </w:trPr>
        <w:tc>
          <w:tcPr>
            <w:tcW w:w="0" w:type="auto"/>
            <w:shd w:val="clear" w:color="auto" w:fill="auto"/>
            <w:noWrap/>
            <w:hideMark/>
          </w:tcPr>
          <w:p w14:paraId="13406D32"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29A9E08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DO</w:t>
            </w:r>
          </w:p>
        </w:tc>
        <w:tc>
          <w:tcPr>
            <w:tcW w:w="0" w:type="auto"/>
            <w:shd w:val="clear" w:color="auto" w:fill="auto"/>
            <w:noWrap/>
            <w:hideMark/>
          </w:tcPr>
          <w:p w14:paraId="7517217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mg/l</w:t>
            </w:r>
          </w:p>
        </w:tc>
        <w:tc>
          <w:tcPr>
            <w:tcW w:w="0" w:type="auto"/>
            <w:shd w:val="clear" w:color="auto" w:fill="auto"/>
            <w:noWrap/>
            <w:hideMark/>
          </w:tcPr>
          <w:p w14:paraId="136C83B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Field measurement</w:t>
            </w:r>
          </w:p>
        </w:tc>
      </w:tr>
      <w:tr w:rsidR="003D3694" w:rsidRPr="00747E35" w14:paraId="462E0C71" w14:textId="77777777" w:rsidTr="0096743A">
        <w:trPr>
          <w:trHeight w:val="288"/>
        </w:trPr>
        <w:tc>
          <w:tcPr>
            <w:tcW w:w="0" w:type="auto"/>
            <w:shd w:val="clear" w:color="auto" w:fill="auto"/>
            <w:noWrap/>
            <w:hideMark/>
          </w:tcPr>
          <w:p w14:paraId="0A734236"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02BFB96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DO threshold categories</w:t>
            </w:r>
          </w:p>
        </w:tc>
        <w:tc>
          <w:tcPr>
            <w:tcW w:w="0" w:type="auto"/>
            <w:shd w:val="clear" w:color="auto" w:fill="auto"/>
            <w:noWrap/>
            <w:hideMark/>
          </w:tcPr>
          <w:p w14:paraId="10388F9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Quantitative categorical </w:t>
            </w:r>
          </w:p>
        </w:tc>
        <w:tc>
          <w:tcPr>
            <w:tcW w:w="0" w:type="auto"/>
            <w:shd w:val="clear" w:color="auto" w:fill="auto"/>
            <w:noWrap/>
            <w:hideMark/>
          </w:tcPr>
          <w:p w14:paraId="64E87DC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Data + literature</w:t>
            </w:r>
          </w:p>
        </w:tc>
      </w:tr>
      <w:tr w:rsidR="003D3694" w:rsidRPr="00747E35" w14:paraId="4C997618" w14:textId="77777777" w:rsidTr="0096743A">
        <w:trPr>
          <w:trHeight w:val="288"/>
        </w:trPr>
        <w:tc>
          <w:tcPr>
            <w:tcW w:w="0" w:type="auto"/>
            <w:shd w:val="clear" w:color="auto" w:fill="auto"/>
            <w:noWrap/>
            <w:hideMark/>
          </w:tcPr>
          <w:p w14:paraId="6FA01A06"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6C13434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Redox state</w:t>
            </w:r>
          </w:p>
        </w:tc>
        <w:tc>
          <w:tcPr>
            <w:tcW w:w="0" w:type="auto"/>
            <w:shd w:val="clear" w:color="auto" w:fill="auto"/>
            <w:noWrap/>
            <w:hideMark/>
          </w:tcPr>
          <w:p w14:paraId="3A07DDD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Quantitative categorical </w:t>
            </w:r>
          </w:p>
        </w:tc>
        <w:tc>
          <w:tcPr>
            <w:tcW w:w="0" w:type="auto"/>
            <w:shd w:val="clear" w:color="auto" w:fill="auto"/>
            <w:noWrap/>
            <w:hideMark/>
          </w:tcPr>
          <w:p w14:paraId="5AD5869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Data interpretation</w:t>
            </w:r>
          </w:p>
        </w:tc>
      </w:tr>
      <w:tr w:rsidR="003D3694" w:rsidRPr="00747E35" w14:paraId="40A95426" w14:textId="77777777" w:rsidTr="0096743A">
        <w:trPr>
          <w:trHeight w:val="288"/>
        </w:trPr>
        <w:tc>
          <w:tcPr>
            <w:tcW w:w="0" w:type="auto"/>
            <w:shd w:val="clear" w:color="auto" w:fill="auto"/>
            <w:noWrap/>
            <w:hideMark/>
          </w:tcPr>
          <w:p w14:paraId="365460B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Nutrients</w:t>
            </w:r>
          </w:p>
        </w:tc>
        <w:tc>
          <w:tcPr>
            <w:tcW w:w="0" w:type="auto"/>
            <w:shd w:val="clear" w:color="auto" w:fill="auto"/>
            <w:noWrap/>
            <w:hideMark/>
          </w:tcPr>
          <w:p w14:paraId="5E1033A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Nitrate, Ammonia</w:t>
            </w:r>
          </w:p>
        </w:tc>
        <w:tc>
          <w:tcPr>
            <w:tcW w:w="0" w:type="auto"/>
            <w:shd w:val="clear" w:color="auto" w:fill="auto"/>
            <w:noWrap/>
            <w:hideMark/>
          </w:tcPr>
          <w:p w14:paraId="2E9BB88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mg/l</w:t>
            </w:r>
          </w:p>
        </w:tc>
        <w:tc>
          <w:tcPr>
            <w:tcW w:w="0" w:type="auto"/>
            <w:shd w:val="clear" w:color="auto" w:fill="auto"/>
            <w:noWrap/>
            <w:hideMark/>
          </w:tcPr>
          <w:p w14:paraId="2703323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Flow Injection Analysis</w:t>
            </w:r>
          </w:p>
        </w:tc>
      </w:tr>
      <w:tr w:rsidR="003D3694" w:rsidRPr="00747E35" w14:paraId="3EF81930" w14:textId="77777777" w:rsidTr="0096743A">
        <w:trPr>
          <w:trHeight w:val="288"/>
        </w:trPr>
        <w:tc>
          <w:tcPr>
            <w:tcW w:w="0" w:type="auto"/>
            <w:shd w:val="clear" w:color="auto" w:fill="auto"/>
            <w:noWrap/>
            <w:hideMark/>
          </w:tcPr>
          <w:p w14:paraId="3B0E012F" w14:textId="77777777" w:rsidR="003D3694" w:rsidRPr="00747E35" w:rsidRDefault="003D3694" w:rsidP="0096743A">
            <w:pPr>
              <w:pStyle w:val="Tabletext"/>
              <w:spacing w:before="0" w:after="0"/>
              <w:rPr>
                <w:rFonts w:cstheme="minorHAnsi"/>
                <w:lang w:eastAsia="en-AU"/>
              </w:rPr>
            </w:pPr>
          </w:p>
        </w:tc>
        <w:tc>
          <w:tcPr>
            <w:tcW w:w="0" w:type="auto"/>
            <w:shd w:val="clear" w:color="auto" w:fill="auto"/>
            <w:hideMark/>
          </w:tcPr>
          <w:p w14:paraId="23503793" w14:textId="77777777" w:rsidR="003D3694" w:rsidRPr="00747E35" w:rsidRDefault="003D3694" w:rsidP="0096743A">
            <w:pPr>
              <w:pStyle w:val="Tabletext"/>
              <w:spacing w:before="0" w:after="0"/>
              <w:rPr>
                <w:rFonts w:cstheme="minorHAnsi"/>
                <w:szCs w:val="18"/>
                <w:lang w:eastAsia="en-AU"/>
              </w:rPr>
            </w:pPr>
            <w:r w:rsidRPr="00747E35">
              <w:rPr>
                <w:rFonts w:cstheme="minorHAnsi"/>
                <w:szCs w:val="18"/>
                <w:lang w:eastAsia="en-AU"/>
              </w:rPr>
              <w:t>P</w:t>
            </w:r>
          </w:p>
        </w:tc>
        <w:tc>
          <w:tcPr>
            <w:tcW w:w="0" w:type="auto"/>
            <w:shd w:val="clear" w:color="auto" w:fill="auto"/>
            <w:noWrap/>
            <w:hideMark/>
          </w:tcPr>
          <w:p w14:paraId="5770D18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µg/l</w:t>
            </w:r>
          </w:p>
        </w:tc>
        <w:tc>
          <w:tcPr>
            <w:tcW w:w="0" w:type="auto"/>
            <w:shd w:val="clear" w:color="auto" w:fill="auto"/>
            <w:noWrap/>
            <w:hideMark/>
          </w:tcPr>
          <w:p w14:paraId="1E22FAB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ICP-MS</w:t>
            </w:r>
          </w:p>
        </w:tc>
      </w:tr>
      <w:tr w:rsidR="003D3694" w:rsidRPr="00747E35" w14:paraId="7967C87C" w14:textId="77777777" w:rsidTr="0096743A">
        <w:trPr>
          <w:trHeight w:val="288"/>
        </w:trPr>
        <w:tc>
          <w:tcPr>
            <w:tcW w:w="0" w:type="auto"/>
            <w:shd w:val="clear" w:color="auto" w:fill="auto"/>
            <w:noWrap/>
            <w:hideMark/>
          </w:tcPr>
          <w:p w14:paraId="4EEB2BD1" w14:textId="77777777" w:rsidR="003D3694" w:rsidRPr="00747E35" w:rsidRDefault="003D3694" w:rsidP="0096743A">
            <w:pPr>
              <w:pStyle w:val="Tabletext"/>
              <w:spacing w:before="0" w:after="0"/>
              <w:rPr>
                <w:rFonts w:cstheme="minorHAnsi"/>
                <w:lang w:eastAsia="en-AU"/>
              </w:rPr>
            </w:pPr>
          </w:p>
        </w:tc>
        <w:tc>
          <w:tcPr>
            <w:tcW w:w="0" w:type="auto"/>
            <w:shd w:val="clear" w:color="auto" w:fill="auto"/>
            <w:hideMark/>
          </w:tcPr>
          <w:p w14:paraId="2EFCC18D" w14:textId="77777777" w:rsidR="003D3694" w:rsidRPr="00747E35" w:rsidRDefault="003D3694" w:rsidP="0096743A">
            <w:pPr>
              <w:pStyle w:val="Tabletext"/>
              <w:spacing w:before="0" w:after="0"/>
              <w:rPr>
                <w:rFonts w:cstheme="minorHAnsi"/>
                <w:szCs w:val="18"/>
                <w:lang w:eastAsia="en-AU"/>
              </w:rPr>
            </w:pPr>
            <w:r w:rsidRPr="00747E35">
              <w:rPr>
                <w:rFonts w:cstheme="minorHAnsi"/>
                <w:szCs w:val="18"/>
                <w:lang w:eastAsia="en-AU"/>
              </w:rPr>
              <w:t>Phosphate</w:t>
            </w:r>
          </w:p>
        </w:tc>
        <w:tc>
          <w:tcPr>
            <w:tcW w:w="0" w:type="auto"/>
            <w:shd w:val="clear" w:color="auto" w:fill="auto"/>
            <w:noWrap/>
            <w:hideMark/>
          </w:tcPr>
          <w:p w14:paraId="319A02C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mg/l</w:t>
            </w:r>
          </w:p>
        </w:tc>
        <w:tc>
          <w:tcPr>
            <w:tcW w:w="0" w:type="auto"/>
            <w:shd w:val="clear" w:color="auto" w:fill="auto"/>
            <w:noWrap/>
            <w:hideMark/>
          </w:tcPr>
          <w:p w14:paraId="7C69943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Ion Chromatography</w:t>
            </w:r>
          </w:p>
        </w:tc>
      </w:tr>
      <w:tr w:rsidR="003D3694" w:rsidRPr="00747E35" w14:paraId="558A6834" w14:textId="77777777" w:rsidTr="0096743A">
        <w:trPr>
          <w:trHeight w:val="288"/>
        </w:trPr>
        <w:tc>
          <w:tcPr>
            <w:tcW w:w="0" w:type="auto"/>
            <w:shd w:val="clear" w:color="auto" w:fill="auto"/>
            <w:noWrap/>
            <w:hideMark/>
          </w:tcPr>
          <w:p w14:paraId="1D833A6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Organics</w:t>
            </w:r>
          </w:p>
        </w:tc>
        <w:tc>
          <w:tcPr>
            <w:tcW w:w="0" w:type="auto"/>
            <w:shd w:val="clear" w:color="auto" w:fill="auto"/>
            <w:hideMark/>
          </w:tcPr>
          <w:p w14:paraId="4E6456E9" w14:textId="77777777" w:rsidR="003D3694" w:rsidRPr="00747E35" w:rsidRDefault="003D3694" w:rsidP="0096743A">
            <w:pPr>
              <w:pStyle w:val="Tabletext"/>
              <w:spacing w:before="0" w:after="0"/>
              <w:rPr>
                <w:rFonts w:cstheme="minorHAnsi"/>
                <w:sz w:val="20"/>
                <w:szCs w:val="20"/>
                <w:lang w:eastAsia="en-AU"/>
              </w:rPr>
            </w:pPr>
            <w:r w:rsidRPr="00747E35">
              <w:rPr>
                <w:rFonts w:cstheme="minorHAnsi"/>
                <w:lang w:eastAsia="en-AU"/>
              </w:rPr>
              <w:t>DOC</w:t>
            </w:r>
          </w:p>
        </w:tc>
        <w:tc>
          <w:tcPr>
            <w:tcW w:w="0" w:type="auto"/>
            <w:shd w:val="clear" w:color="auto" w:fill="auto"/>
            <w:noWrap/>
            <w:hideMark/>
          </w:tcPr>
          <w:p w14:paraId="7A670C2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mg/l</w:t>
            </w:r>
          </w:p>
        </w:tc>
        <w:tc>
          <w:tcPr>
            <w:tcW w:w="0" w:type="auto"/>
            <w:shd w:val="clear" w:color="auto" w:fill="auto"/>
            <w:noWrap/>
            <w:hideMark/>
          </w:tcPr>
          <w:p w14:paraId="5E49F009" w14:textId="77777777" w:rsidR="003D3694" w:rsidRPr="00747E35" w:rsidRDefault="003D3694" w:rsidP="0096743A">
            <w:pPr>
              <w:pStyle w:val="Tabletext"/>
              <w:spacing w:before="0" w:after="0"/>
              <w:rPr>
                <w:rFonts w:cstheme="minorHAnsi"/>
                <w:lang w:eastAsia="en-AU"/>
              </w:rPr>
            </w:pPr>
          </w:p>
        </w:tc>
      </w:tr>
      <w:tr w:rsidR="003D3694" w:rsidRPr="00747E35" w14:paraId="63740BA3" w14:textId="77777777" w:rsidTr="0096743A">
        <w:trPr>
          <w:trHeight w:val="288"/>
        </w:trPr>
        <w:tc>
          <w:tcPr>
            <w:tcW w:w="0" w:type="auto"/>
            <w:shd w:val="clear" w:color="auto" w:fill="auto"/>
            <w:noWrap/>
            <w:hideMark/>
          </w:tcPr>
          <w:p w14:paraId="39CC720D"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73402A6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Factor 1 – ‘Microbial protein-like’</w:t>
            </w:r>
          </w:p>
        </w:tc>
        <w:tc>
          <w:tcPr>
            <w:tcW w:w="0" w:type="auto"/>
            <w:shd w:val="clear" w:color="auto" w:fill="auto"/>
            <w:noWrap/>
            <w:hideMark/>
          </w:tcPr>
          <w:p w14:paraId="7FA858E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Intensity of fluorescent component</w:t>
            </w:r>
          </w:p>
        </w:tc>
        <w:tc>
          <w:tcPr>
            <w:tcW w:w="0" w:type="auto"/>
            <w:shd w:val="clear" w:color="auto" w:fill="auto"/>
            <w:noWrap/>
            <w:hideMark/>
          </w:tcPr>
          <w:p w14:paraId="7868B1A5" w14:textId="7C6A246B"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PARAFAC on fluorescence excitation-emission matrices (see </w:t>
            </w:r>
            <w:r w:rsidR="008F1EA6">
              <w:rPr>
                <w:rFonts w:cstheme="minorHAnsi"/>
                <w:lang w:eastAsia="en-AU"/>
              </w:rPr>
              <w:t xml:space="preserve">Abbreviations and </w:t>
            </w:r>
            <w:r w:rsidRPr="00747E35">
              <w:rPr>
                <w:rFonts w:cstheme="minorHAnsi"/>
                <w:lang w:eastAsia="en-AU"/>
              </w:rPr>
              <w:t>Glossary)</w:t>
            </w:r>
          </w:p>
        </w:tc>
      </w:tr>
      <w:tr w:rsidR="003D3694" w:rsidRPr="00747E35" w14:paraId="4053F7AB" w14:textId="77777777" w:rsidTr="0096743A">
        <w:trPr>
          <w:trHeight w:val="288"/>
        </w:trPr>
        <w:tc>
          <w:tcPr>
            <w:tcW w:w="0" w:type="auto"/>
            <w:shd w:val="clear" w:color="auto" w:fill="auto"/>
            <w:noWrap/>
            <w:hideMark/>
          </w:tcPr>
          <w:p w14:paraId="75EF606D"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7B532B3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Factor 2 – ‘Unprocessed humic-like’</w:t>
            </w:r>
          </w:p>
        </w:tc>
        <w:tc>
          <w:tcPr>
            <w:tcW w:w="0" w:type="auto"/>
            <w:shd w:val="clear" w:color="auto" w:fill="auto"/>
            <w:noWrap/>
            <w:hideMark/>
          </w:tcPr>
          <w:p w14:paraId="40AE7D8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Intensity of fluorescent component</w:t>
            </w:r>
          </w:p>
        </w:tc>
        <w:tc>
          <w:tcPr>
            <w:tcW w:w="0" w:type="auto"/>
            <w:shd w:val="clear" w:color="auto" w:fill="auto"/>
            <w:noWrap/>
            <w:hideMark/>
          </w:tcPr>
          <w:p w14:paraId="0112911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PARAFAC on fluorescence excitation-emission matrices</w:t>
            </w:r>
          </w:p>
        </w:tc>
      </w:tr>
      <w:tr w:rsidR="003D3694" w:rsidRPr="00747E35" w14:paraId="46F853B7" w14:textId="77777777" w:rsidTr="0096743A">
        <w:trPr>
          <w:trHeight w:val="288"/>
        </w:trPr>
        <w:tc>
          <w:tcPr>
            <w:tcW w:w="0" w:type="auto"/>
            <w:shd w:val="clear" w:color="auto" w:fill="auto"/>
            <w:noWrap/>
            <w:hideMark/>
          </w:tcPr>
          <w:p w14:paraId="70512154"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7378806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Factor 3 – ‘Processed humic-like’</w:t>
            </w:r>
          </w:p>
        </w:tc>
        <w:tc>
          <w:tcPr>
            <w:tcW w:w="0" w:type="auto"/>
            <w:shd w:val="clear" w:color="auto" w:fill="auto"/>
            <w:noWrap/>
            <w:hideMark/>
          </w:tcPr>
          <w:p w14:paraId="70E22CF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Intensity of fluorescent component</w:t>
            </w:r>
          </w:p>
        </w:tc>
        <w:tc>
          <w:tcPr>
            <w:tcW w:w="0" w:type="auto"/>
            <w:shd w:val="clear" w:color="auto" w:fill="auto"/>
            <w:noWrap/>
            <w:hideMark/>
          </w:tcPr>
          <w:p w14:paraId="2FE3888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PARAFAC on fluorescence excitation-emission matrices</w:t>
            </w:r>
          </w:p>
        </w:tc>
      </w:tr>
      <w:tr w:rsidR="003D3694" w:rsidRPr="00747E35" w14:paraId="6D6BC307" w14:textId="77777777" w:rsidTr="0096743A">
        <w:trPr>
          <w:trHeight w:val="288"/>
        </w:trPr>
        <w:tc>
          <w:tcPr>
            <w:tcW w:w="0" w:type="auto"/>
            <w:shd w:val="clear" w:color="auto" w:fill="auto"/>
            <w:noWrap/>
            <w:hideMark/>
          </w:tcPr>
          <w:p w14:paraId="3FB07CAE"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70ABF9F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S(274-295nm)</w:t>
            </w:r>
          </w:p>
        </w:tc>
        <w:tc>
          <w:tcPr>
            <w:tcW w:w="0" w:type="auto"/>
            <w:shd w:val="clear" w:color="auto" w:fill="auto"/>
            <w:noWrap/>
            <w:hideMark/>
          </w:tcPr>
          <w:p w14:paraId="10A0B7D9"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00B9A7E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Calculated from UV absorption spectrum</w:t>
            </w:r>
          </w:p>
        </w:tc>
      </w:tr>
      <w:tr w:rsidR="003D3694" w:rsidRPr="00747E35" w14:paraId="2698F2BB" w14:textId="77777777" w:rsidTr="0096743A">
        <w:trPr>
          <w:trHeight w:val="288"/>
        </w:trPr>
        <w:tc>
          <w:tcPr>
            <w:tcW w:w="0" w:type="auto"/>
            <w:shd w:val="clear" w:color="auto" w:fill="auto"/>
            <w:noWrap/>
            <w:hideMark/>
          </w:tcPr>
          <w:p w14:paraId="5A25C98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lastRenderedPageBreak/>
              <w:t>Major Ions</w:t>
            </w:r>
          </w:p>
        </w:tc>
        <w:tc>
          <w:tcPr>
            <w:tcW w:w="0" w:type="auto"/>
            <w:shd w:val="clear" w:color="auto" w:fill="auto"/>
            <w:noWrap/>
            <w:hideMark/>
          </w:tcPr>
          <w:p w14:paraId="76B0E0E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Alkalinity</w:t>
            </w:r>
          </w:p>
        </w:tc>
        <w:tc>
          <w:tcPr>
            <w:tcW w:w="0" w:type="auto"/>
            <w:shd w:val="clear" w:color="auto" w:fill="auto"/>
            <w:noWrap/>
            <w:hideMark/>
          </w:tcPr>
          <w:p w14:paraId="7AB2270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meq/l</w:t>
            </w:r>
          </w:p>
        </w:tc>
        <w:tc>
          <w:tcPr>
            <w:tcW w:w="0" w:type="auto"/>
            <w:shd w:val="clear" w:color="auto" w:fill="auto"/>
            <w:noWrap/>
            <w:hideMark/>
          </w:tcPr>
          <w:p w14:paraId="1F915C9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Gran-method titration</w:t>
            </w:r>
          </w:p>
        </w:tc>
      </w:tr>
      <w:tr w:rsidR="003D3694" w:rsidRPr="00747E35" w14:paraId="499A486C" w14:textId="77777777" w:rsidTr="0096743A">
        <w:trPr>
          <w:trHeight w:val="288"/>
        </w:trPr>
        <w:tc>
          <w:tcPr>
            <w:tcW w:w="0" w:type="auto"/>
            <w:shd w:val="clear" w:color="auto" w:fill="auto"/>
            <w:noWrap/>
          </w:tcPr>
          <w:p w14:paraId="54A4B16C"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tcPr>
          <w:p w14:paraId="4D374CA2" w14:textId="77777777" w:rsidR="003D3694" w:rsidRPr="00747E35" w:rsidRDefault="003D3694" w:rsidP="0096743A">
            <w:pPr>
              <w:pStyle w:val="Tabletext"/>
              <w:spacing w:before="0" w:after="0"/>
              <w:rPr>
                <w:rFonts w:cstheme="minorHAnsi"/>
                <w:vertAlign w:val="superscript"/>
                <w:lang w:eastAsia="en-AU"/>
              </w:rPr>
            </w:pPr>
            <w:r w:rsidRPr="00747E35">
              <w:rPr>
                <w:rFonts w:cstheme="minorHAnsi"/>
                <w:lang w:eastAsia="en-AU"/>
              </w:rPr>
              <w:t>Na, Ca, Mg, K</w:t>
            </w:r>
          </w:p>
        </w:tc>
        <w:tc>
          <w:tcPr>
            <w:tcW w:w="0" w:type="auto"/>
            <w:shd w:val="clear" w:color="auto" w:fill="auto"/>
            <w:noWrap/>
          </w:tcPr>
          <w:p w14:paraId="5D83B8D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mg/l</w:t>
            </w:r>
          </w:p>
        </w:tc>
        <w:tc>
          <w:tcPr>
            <w:tcW w:w="0" w:type="auto"/>
            <w:shd w:val="clear" w:color="auto" w:fill="auto"/>
            <w:noWrap/>
          </w:tcPr>
          <w:p w14:paraId="21580A9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Inductively Coupled Plasma-Optical Emission Spectroscopy</w:t>
            </w:r>
          </w:p>
        </w:tc>
      </w:tr>
      <w:tr w:rsidR="003D3694" w:rsidRPr="00747E35" w14:paraId="6A59D3FF" w14:textId="77777777" w:rsidTr="0096743A">
        <w:trPr>
          <w:trHeight w:val="288"/>
        </w:trPr>
        <w:tc>
          <w:tcPr>
            <w:tcW w:w="0" w:type="auto"/>
            <w:shd w:val="clear" w:color="auto" w:fill="auto"/>
            <w:noWrap/>
            <w:hideMark/>
          </w:tcPr>
          <w:p w14:paraId="3ED938B7" w14:textId="77777777" w:rsidR="003D3694" w:rsidRPr="00747E35" w:rsidRDefault="003D3694" w:rsidP="0096743A">
            <w:pPr>
              <w:pStyle w:val="Tabletext"/>
              <w:spacing w:before="0" w:after="0"/>
              <w:rPr>
                <w:rFonts w:cstheme="minorHAnsi"/>
                <w:lang w:eastAsia="en-AU"/>
              </w:rPr>
            </w:pPr>
          </w:p>
        </w:tc>
        <w:tc>
          <w:tcPr>
            <w:tcW w:w="0" w:type="auto"/>
            <w:shd w:val="clear" w:color="auto" w:fill="auto"/>
            <w:noWrap/>
            <w:hideMark/>
          </w:tcPr>
          <w:p w14:paraId="2E61AA62" w14:textId="77777777" w:rsidR="003D3694" w:rsidRPr="00747E35" w:rsidRDefault="003D3694" w:rsidP="0096743A">
            <w:pPr>
              <w:pStyle w:val="Tabletext"/>
              <w:spacing w:before="0" w:after="0"/>
              <w:rPr>
                <w:rFonts w:cstheme="minorHAnsi"/>
                <w:vertAlign w:val="superscript"/>
                <w:lang w:eastAsia="en-AU"/>
              </w:rPr>
            </w:pPr>
            <w:r w:rsidRPr="00747E35">
              <w:rPr>
                <w:rFonts w:cstheme="minorHAnsi"/>
                <w:lang w:eastAsia="en-AU"/>
              </w:rPr>
              <w:t>Cl, SO</w:t>
            </w:r>
            <w:r w:rsidRPr="00747E35">
              <w:rPr>
                <w:rFonts w:cstheme="minorHAnsi"/>
                <w:vertAlign w:val="subscript"/>
                <w:lang w:eastAsia="en-AU"/>
              </w:rPr>
              <w:t>4</w:t>
            </w:r>
          </w:p>
        </w:tc>
        <w:tc>
          <w:tcPr>
            <w:tcW w:w="0" w:type="auto"/>
            <w:shd w:val="clear" w:color="auto" w:fill="auto"/>
            <w:noWrap/>
            <w:hideMark/>
          </w:tcPr>
          <w:p w14:paraId="73D24CA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mg/l</w:t>
            </w:r>
          </w:p>
        </w:tc>
        <w:tc>
          <w:tcPr>
            <w:tcW w:w="0" w:type="auto"/>
            <w:shd w:val="clear" w:color="auto" w:fill="auto"/>
            <w:noWrap/>
            <w:hideMark/>
          </w:tcPr>
          <w:p w14:paraId="65D2FDA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Ion Chromatography</w:t>
            </w:r>
          </w:p>
        </w:tc>
      </w:tr>
      <w:tr w:rsidR="003D3694" w:rsidRPr="00747E35" w14:paraId="52BF9142" w14:textId="77777777" w:rsidTr="0096743A">
        <w:trPr>
          <w:trHeight w:val="288"/>
        </w:trPr>
        <w:tc>
          <w:tcPr>
            <w:tcW w:w="0" w:type="auto"/>
            <w:shd w:val="clear" w:color="auto" w:fill="auto"/>
            <w:noWrap/>
            <w:hideMark/>
          </w:tcPr>
          <w:p w14:paraId="1326BFCC" w14:textId="77777777" w:rsidR="003D3694" w:rsidRPr="00747E35" w:rsidRDefault="003D3694" w:rsidP="0096743A">
            <w:pPr>
              <w:pStyle w:val="Tabletext"/>
              <w:spacing w:before="0" w:after="0"/>
              <w:rPr>
                <w:rFonts w:cstheme="minorHAnsi"/>
                <w:lang w:eastAsia="en-AU"/>
              </w:rPr>
            </w:pPr>
            <w:r w:rsidRPr="00747E35" w:rsidDel="00F32436">
              <w:rPr>
                <w:rFonts w:cstheme="minorHAnsi"/>
                <w:lang w:eastAsia="en-AU"/>
              </w:rPr>
              <w:t>Minor Ions</w:t>
            </w:r>
          </w:p>
        </w:tc>
        <w:tc>
          <w:tcPr>
            <w:tcW w:w="0" w:type="auto"/>
            <w:shd w:val="clear" w:color="auto" w:fill="auto"/>
            <w:hideMark/>
          </w:tcPr>
          <w:p w14:paraId="5098A6A3" w14:textId="77777777" w:rsidR="003D3694" w:rsidRPr="00747E35" w:rsidRDefault="003D3694" w:rsidP="0096743A">
            <w:pPr>
              <w:pStyle w:val="Tabletext"/>
              <w:spacing w:before="0" w:after="0"/>
              <w:rPr>
                <w:rFonts w:cstheme="minorHAnsi"/>
                <w:vertAlign w:val="superscript"/>
                <w:lang w:eastAsia="en-AU"/>
              </w:rPr>
            </w:pPr>
            <w:r w:rsidRPr="00747E35">
              <w:rPr>
                <w:rFonts w:cstheme="minorHAnsi"/>
                <w:lang w:eastAsia="en-AU"/>
              </w:rPr>
              <w:t>Si, Fe, Mn, Sr</w:t>
            </w:r>
          </w:p>
        </w:tc>
        <w:tc>
          <w:tcPr>
            <w:tcW w:w="0" w:type="auto"/>
            <w:shd w:val="clear" w:color="auto" w:fill="auto"/>
            <w:noWrap/>
            <w:hideMark/>
          </w:tcPr>
          <w:p w14:paraId="0B3D978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mg/l</w:t>
            </w:r>
          </w:p>
        </w:tc>
        <w:tc>
          <w:tcPr>
            <w:tcW w:w="0" w:type="auto"/>
            <w:shd w:val="clear" w:color="auto" w:fill="auto"/>
            <w:noWrap/>
            <w:hideMark/>
          </w:tcPr>
          <w:p w14:paraId="54EAE77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Inductively Coupled Plasma-Optical Emission Spectroscopy</w:t>
            </w:r>
          </w:p>
        </w:tc>
      </w:tr>
      <w:tr w:rsidR="003D3694" w:rsidRPr="00747E35" w14:paraId="39020404" w14:textId="77777777" w:rsidTr="0096743A">
        <w:trPr>
          <w:trHeight w:val="288"/>
        </w:trPr>
        <w:tc>
          <w:tcPr>
            <w:tcW w:w="0" w:type="auto"/>
            <w:shd w:val="clear" w:color="auto" w:fill="auto"/>
            <w:noWrap/>
            <w:hideMark/>
          </w:tcPr>
          <w:p w14:paraId="1A346B91" w14:textId="77777777" w:rsidR="003D3694" w:rsidRPr="00747E35" w:rsidRDefault="003D3694" w:rsidP="0096743A">
            <w:pPr>
              <w:pStyle w:val="Tabletext"/>
              <w:spacing w:before="0" w:after="0"/>
              <w:rPr>
                <w:rFonts w:cstheme="minorHAnsi"/>
                <w:lang w:eastAsia="en-AU"/>
              </w:rPr>
            </w:pPr>
          </w:p>
        </w:tc>
        <w:tc>
          <w:tcPr>
            <w:tcW w:w="0" w:type="auto"/>
            <w:shd w:val="clear" w:color="auto" w:fill="auto"/>
            <w:hideMark/>
          </w:tcPr>
          <w:p w14:paraId="680F644D" w14:textId="77777777" w:rsidR="003D3694" w:rsidRPr="00747E35" w:rsidRDefault="003D3694" w:rsidP="0096743A">
            <w:pPr>
              <w:pStyle w:val="Tabletext"/>
              <w:spacing w:before="0" w:after="0"/>
              <w:rPr>
                <w:rFonts w:cstheme="minorHAnsi"/>
                <w:sz w:val="20"/>
                <w:szCs w:val="20"/>
                <w:lang w:eastAsia="en-AU"/>
              </w:rPr>
            </w:pPr>
            <w:r w:rsidRPr="00747E35">
              <w:rPr>
                <w:rFonts w:cstheme="minorHAnsi"/>
                <w:lang w:eastAsia="en-AU"/>
              </w:rPr>
              <w:t>Al, Cu, Zn, Ba, Cr, Co, As</w:t>
            </w:r>
          </w:p>
        </w:tc>
        <w:tc>
          <w:tcPr>
            <w:tcW w:w="0" w:type="auto"/>
            <w:shd w:val="clear" w:color="auto" w:fill="auto"/>
            <w:noWrap/>
            <w:hideMark/>
          </w:tcPr>
          <w:p w14:paraId="3187DAE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µg/l</w:t>
            </w:r>
          </w:p>
        </w:tc>
        <w:tc>
          <w:tcPr>
            <w:tcW w:w="0" w:type="auto"/>
            <w:shd w:val="clear" w:color="auto" w:fill="auto"/>
            <w:noWrap/>
            <w:hideMark/>
          </w:tcPr>
          <w:p w14:paraId="43E4BBB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Inductively Coupled Plasma-Mass Spectroscopy</w:t>
            </w:r>
          </w:p>
        </w:tc>
      </w:tr>
      <w:tr w:rsidR="003D3694" w:rsidRPr="00747E35" w14:paraId="3C73918E" w14:textId="77777777" w:rsidTr="0096743A">
        <w:trPr>
          <w:trHeight w:val="288"/>
        </w:trPr>
        <w:tc>
          <w:tcPr>
            <w:tcW w:w="0" w:type="auto"/>
            <w:shd w:val="clear" w:color="auto" w:fill="auto"/>
            <w:noWrap/>
            <w:hideMark/>
          </w:tcPr>
          <w:p w14:paraId="1D60F18F" w14:textId="77777777" w:rsidR="003D3694" w:rsidRPr="00747E35" w:rsidRDefault="003D3694" w:rsidP="0096743A">
            <w:pPr>
              <w:pStyle w:val="Tabletext"/>
              <w:spacing w:before="0" w:after="0"/>
              <w:rPr>
                <w:rFonts w:cstheme="minorHAnsi"/>
                <w:lang w:eastAsia="en-AU"/>
              </w:rPr>
            </w:pPr>
          </w:p>
        </w:tc>
        <w:tc>
          <w:tcPr>
            <w:tcW w:w="0" w:type="auto"/>
            <w:shd w:val="clear" w:color="auto" w:fill="auto"/>
            <w:hideMark/>
          </w:tcPr>
          <w:p w14:paraId="2B1FC834" w14:textId="77777777" w:rsidR="003D3694" w:rsidRPr="00747E35" w:rsidRDefault="003D3694" w:rsidP="0096743A">
            <w:pPr>
              <w:pStyle w:val="Tabletext"/>
              <w:spacing w:before="0" w:after="0"/>
              <w:rPr>
                <w:rFonts w:cstheme="minorHAnsi"/>
                <w:sz w:val="20"/>
                <w:szCs w:val="20"/>
                <w:vertAlign w:val="superscript"/>
                <w:lang w:eastAsia="en-AU"/>
              </w:rPr>
            </w:pPr>
            <w:r w:rsidRPr="00747E35">
              <w:rPr>
                <w:rFonts w:cstheme="minorHAnsi"/>
                <w:lang w:eastAsia="en-AU"/>
              </w:rPr>
              <w:t>F, Br</w:t>
            </w:r>
          </w:p>
        </w:tc>
        <w:tc>
          <w:tcPr>
            <w:tcW w:w="0" w:type="auto"/>
            <w:shd w:val="clear" w:color="auto" w:fill="auto"/>
            <w:noWrap/>
            <w:hideMark/>
          </w:tcPr>
          <w:p w14:paraId="7D5030C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mg/l</w:t>
            </w:r>
          </w:p>
        </w:tc>
        <w:tc>
          <w:tcPr>
            <w:tcW w:w="0" w:type="auto"/>
            <w:shd w:val="clear" w:color="auto" w:fill="auto"/>
            <w:noWrap/>
            <w:hideMark/>
          </w:tcPr>
          <w:p w14:paraId="086C43D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Ion Chromatography</w:t>
            </w:r>
          </w:p>
        </w:tc>
      </w:tr>
      <w:tr w:rsidR="003D3694" w:rsidRPr="00747E35" w14:paraId="244387D6" w14:textId="77777777" w:rsidTr="0096743A">
        <w:trPr>
          <w:trHeight w:val="288"/>
        </w:trPr>
        <w:tc>
          <w:tcPr>
            <w:tcW w:w="0" w:type="auto"/>
            <w:shd w:val="clear" w:color="auto" w:fill="auto"/>
            <w:noWrap/>
            <w:hideMark/>
          </w:tcPr>
          <w:p w14:paraId="38A3D77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Stable i</w:t>
            </w:r>
            <w:r w:rsidRPr="00747E35" w:rsidDel="00F32436">
              <w:rPr>
                <w:rFonts w:cstheme="minorHAnsi"/>
                <w:lang w:eastAsia="en-AU"/>
              </w:rPr>
              <w:t>sotopes</w:t>
            </w:r>
          </w:p>
        </w:tc>
        <w:tc>
          <w:tcPr>
            <w:tcW w:w="0" w:type="auto"/>
            <w:shd w:val="clear" w:color="auto" w:fill="auto"/>
            <w:hideMark/>
          </w:tcPr>
          <w:p w14:paraId="008ECDA0" w14:textId="77777777" w:rsidR="003D3694" w:rsidRPr="00747E35" w:rsidRDefault="003D3694" w:rsidP="0096743A">
            <w:pPr>
              <w:pStyle w:val="Tabletext"/>
              <w:spacing w:before="0" w:after="0"/>
              <w:rPr>
                <w:rFonts w:cstheme="minorHAnsi"/>
                <w:sz w:val="20"/>
                <w:szCs w:val="20"/>
                <w:lang w:eastAsia="en-AU"/>
              </w:rPr>
            </w:pPr>
            <w:r w:rsidRPr="00747E35">
              <w:rPr>
                <w:rFonts w:cstheme="minorHAnsi"/>
                <w:lang w:eastAsia="en-AU"/>
              </w:rPr>
              <w:t>d</w:t>
            </w:r>
            <w:r w:rsidRPr="00747E35" w:rsidDel="00F32436">
              <w:rPr>
                <w:rFonts w:cstheme="minorHAnsi"/>
                <w:lang w:eastAsia="en-AU"/>
              </w:rPr>
              <w:t>elta 2H</w:t>
            </w:r>
            <w:r w:rsidRPr="00747E35">
              <w:rPr>
                <w:rFonts w:cstheme="minorHAnsi"/>
                <w:lang w:eastAsia="en-AU"/>
              </w:rPr>
              <w:t>, delta 18O</w:t>
            </w:r>
          </w:p>
        </w:tc>
        <w:tc>
          <w:tcPr>
            <w:tcW w:w="0" w:type="auto"/>
            <w:shd w:val="clear" w:color="auto" w:fill="auto"/>
            <w:noWrap/>
            <w:hideMark/>
          </w:tcPr>
          <w:p w14:paraId="0173263B" w14:textId="77777777" w:rsidR="003D3694" w:rsidRPr="00747E35" w:rsidRDefault="003D3694" w:rsidP="0096743A">
            <w:pPr>
              <w:pStyle w:val="Tabletext"/>
              <w:spacing w:before="0" w:after="0"/>
              <w:rPr>
                <w:rFonts w:cstheme="minorHAnsi"/>
                <w:color w:val="333333"/>
                <w:kern w:val="36"/>
                <w:sz w:val="43"/>
                <w:szCs w:val="43"/>
                <w:lang w:eastAsia="en-AU"/>
              </w:rPr>
            </w:pPr>
            <w:r w:rsidRPr="00747E35">
              <w:rPr>
                <w:rFonts w:cstheme="minorHAnsi"/>
                <w:lang w:eastAsia="en-AU"/>
              </w:rPr>
              <w:t>‰</w:t>
            </w:r>
          </w:p>
        </w:tc>
        <w:tc>
          <w:tcPr>
            <w:tcW w:w="0" w:type="auto"/>
            <w:shd w:val="clear" w:color="auto" w:fill="auto"/>
            <w:noWrap/>
            <w:hideMark/>
          </w:tcPr>
          <w:p w14:paraId="398E544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Los Gatos Isotope Analyser</w:t>
            </w:r>
          </w:p>
        </w:tc>
      </w:tr>
    </w:tbl>
    <w:p w14:paraId="4DBEE0C7" w14:textId="77777777" w:rsidR="003D3694" w:rsidRPr="00747E35" w:rsidRDefault="003D3694" w:rsidP="003D3694">
      <w:pPr>
        <w:rPr>
          <w:rFonts w:asciiTheme="minorHAnsi" w:hAnsiTheme="minorHAnsi" w:cstheme="minorHAnsi"/>
        </w:rPr>
      </w:pPr>
      <w:bookmarkStart w:id="220" w:name="_Toc466449944"/>
    </w:p>
    <w:p w14:paraId="2EC20970" w14:textId="55DD88E6" w:rsidR="003D3694" w:rsidRPr="00747E35" w:rsidRDefault="003D3694" w:rsidP="00085C15">
      <w:pPr>
        <w:pStyle w:val="Heading3"/>
        <w:rPr>
          <w:rFonts w:asciiTheme="minorHAnsi" w:hAnsiTheme="minorHAnsi" w:cstheme="minorHAnsi"/>
        </w:rPr>
      </w:pPr>
      <w:bookmarkStart w:id="221" w:name="_Toc470004873"/>
      <w:r w:rsidRPr="00747E35">
        <w:rPr>
          <w:rFonts w:asciiTheme="minorHAnsi" w:hAnsiTheme="minorHAnsi" w:cstheme="minorHAnsi"/>
        </w:rPr>
        <w:t>Physical Hydrology</w:t>
      </w:r>
      <w:bookmarkEnd w:id="220"/>
      <w:bookmarkEnd w:id="221"/>
      <w:r w:rsidRPr="00747E35">
        <w:rPr>
          <w:rFonts w:asciiTheme="minorHAnsi" w:hAnsiTheme="minorHAnsi" w:cstheme="minorHAnsi"/>
        </w:rPr>
        <w:t xml:space="preserve"> </w:t>
      </w:r>
    </w:p>
    <w:p w14:paraId="64F0CAAD"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Time series of groundwater hydrographs, climate data including daily rainfall, and surface water gauging data were obtained for the entire study period for the Maules Creek catchment. Groundwater hydrographs with monitoring frequency of (15-30 min) are available from bores along Middle, Horsearm and Maules Creeks (see </w:t>
      </w:r>
      <w:r w:rsidRPr="00747E35">
        <w:rPr>
          <w:rFonts w:asciiTheme="minorHAnsi" w:hAnsiTheme="minorHAnsi" w:cstheme="minorHAnsi"/>
        </w:rPr>
        <w:fldChar w:fldCharType="begin"/>
      </w:r>
      <w:r w:rsidRPr="00747E35">
        <w:rPr>
          <w:rFonts w:asciiTheme="minorHAnsi" w:hAnsiTheme="minorHAnsi" w:cstheme="minorHAnsi"/>
        </w:rPr>
        <w:instrText xml:space="preserve"> REF _Ref466373837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t>Figure 66</w:t>
      </w:r>
      <w:r w:rsidRPr="00747E35">
        <w:rPr>
          <w:rFonts w:asciiTheme="minorHAnsi" w:hAnsiTheme="minorHAnsi" w:cstheme="minorHAnsi"/>
        </w:rPr>
        <w:fldChar w:fldCharType="end"/>
      </w:r>
      <w:r w:rsidRPr="00747E35">
        <w:rPr>
          <w:rFonts w:asciiTheme="minorHAnsi" w:hAnsiTheme="minorHAnsi" w:cstheme="minorHAnsi"/>
        </w:rPr>
        <w:t xml:space="preserve"> and </w:t>
      </w:r>
      <w:r w:rsidRPr="00747E35">
        <w:rPr>
          <w:rFonts w:asciiTheme="minorHAnsi" w:hAnsiTheme="minorHAnsi" w:cstheme="minorHAnsi"/>
        </w:rPr>
        <w:fldChar w:fldCharType="begin"/>
      </w:r>
      <w:r w:rsidRPr="00747E35">
        <w:rPr>
          <w:rFonts w:asciiTheme="minorHAnsi" w:hAnsiTheme="minorHAnsi" w:cstheme="minorHAnsi"/>
        </w:rPr>
        <w:instrText xml:space="preserve"> REF _Ref466373802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Figure 65</w:t>
      </w:r>
      <w:r w:rsidRPr="00747E35">
        <w:rPr>
          <w:rFonts w:asciiTheme="minorHAnsi" w:hAnsiTheme="minorHAnsi" w:cstheme="minorHAnsi"/>
        </w:rPr>
        <w:fldChar w:fldCharType="end"/>
      </w:r>
      <w:r w:rsidRPr="00747E35">
        <w:rPr>
          <w:rFonts w:asciiTheme="minorHAnsi" w:hAnsiTheme="minorHAnsi" w:cstheme="minorHAnsi"/>
        </w:rPr>
        <w:t xml:space="preserve"> for locations).</w:t>
      </w:r>
    </w:p>
    <w:p w14:paraId="049C4982" w14:textId="06545325"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Within the stream channel auxiliary </w:t>
      </w:r>
      <w:r w:rsidR="006B2C7A">
        <w:rPr>
          <w:rFonts w:asciiTheme="minorHAnsi" w:hAnsiTheme="minorHAnsi" w:cstheme="minorHAnsi"/>
        </w:rPr>
        <w:t>physicochemical</w:t>
      </w:r>
      <w:r w:rsidRPr="00747E35">
        <w:rPr>
          <w:rFonts w:asciiTheme="minorHAnsi" w:hAnsiTheme="minorHAnsi" w:cstheme="minorHAnsi"/>
        </w:rPr>
        <w:t xml:space="preserve"> data w</w:t>
      </w:r>
      <w:r w:rsidR="00424FDD">
        <w:rPr>
          <w:rFonts w:asciiTheme="minorHAnsi" w:hAnsiTheme="minorHAnsi" w:cstheme="minorHAnsi"/>
        </w:rPr>
        <w:t>ere</w:t>
      </w:r>
      <w:r w:rsidRPr="00747E35">
        <w:rPr>
          <w:rFonts w:asciiTheme="minorHAnsi" w:hAnsiTheme="minorHAnsi" w:cstheme="minorHAnsi"/>
        </w:rPr>
        <w:t xml:space="preserve"> obtained from eight vertical streambed temperature arrays (5 probes in each array, logging at 15 min intervals) providing time series of surface water and streambed temperature, pressure, and estimated streambed vertical flow velocities. </w:t>
      </w:r>
    </w:p>
    <w:p w14:paraId="7ABCC0F6" w14:textId="77777777" w:rsidR="003D3694" w:rsidRPr="00747E35" w:rsidRDefault="003D3694" w:rsidP="003D3694">
      <w:pPr>
        <w:rPr>
          <w:rFonts w:asciiTheme="minorHAnsi" w:hAnsiTheme="minorHAnsi" w:cstheme="minorHAnsi"/>
        </w:rPr>
      </w:pPr>
      <w:bookmarkStart w:id="222" w:name="_Toc466449945"/>
    </w:p>
    <w:p w14:paraId="36439B2C" w14:textId="35FAA5F5" w:rsidR="003D3694" w:rsidRPr="00747E35" w:rsidRDefault="003D3694" w:rsidP="00085C15">
      <w:pPr>
        <w:pStyle w:val="Heading3"/>
        <w:rPr>
          <w:rFonts w:asciiTheme="minorHAnsi" w:hAnsiTheme="minorHAnsi" w:cstheme="minorHAnsi"/>
        </w:rPr>
      </w:pPr>
      <w:bookmarkStart w:id="223" w:name="_Toc470004874"/>
      <w:r w:rsidRPr="00747E35">
        <w:rPr>
          <w:rFonts w:asciiTheme="minorHAnsi" w:hAnsiTheme="minorHAnsi" w:cstheme="minorHAnsi"/>
        </w:rPr>
        <w:t>Hydrochemistry</w:t>
      </w:r>
      <w:bookmarkEnd w:id="222"/>
      <w:bookmarkEnd w:id="223"/>
      <w:r w:rsidRPr="00747E35">
        <w:rPr>
          <w:rFonts w:asciiTheme="minorHAnsi" w:hAnsiTheme="minorHAnsi" w:cstheme="minorHAnsi"/>
        </w:rPr>
        <w:t xml:space="preserve"> </w:t>
      </w:r>
    </w:p>
    <w:p w14:paraId="5AA4BFEC"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Surface water samples covering the extent of the perennial gaining section of Horsearm Creek were collected during the pilot field trips. In addition, surface water samples from Pool 38 and 39 in the perennial losing section of Maules Creek were also collected. </w:t>
      </w:r>
    </w:p>
    <w:p w14:paraId="7D63B1DF" w14:textId="1FDF63F4"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For each fauna sampling location, hydrochemical sampling was also conducted from the temporary piezometer installed for the fauna sampling. Water was pumped (using a peristaltic pump) directly into a closed flow cell to measure dissolved oxygen (DO), pH, EC, and temperature. Water samples collected were filtered (0.45 μm) and stored at 5 °C for subsequent laboratory analysis (for list of analysed parameters and analysis method please see </w:t>
      </w:r>
      <w:r w:rsidRPr="00747E35">
        <w:rPr>
          <w:rFonts w:asciiTheme="minorHAnsi" w:hAnsiTheme="minorHAnsi" w:cstheme="minorHAnsi"/>
        </w:rPr>
        <w:fldChar w:fldCharType="begin"/>
      </w:r>
      <w:r w:rsidRPr="00747E35">
        <w:rPr>
          <w:rFonts w:asciiTheme="minorHAnsi" w:hAnsiTheme="minorHAnsi" w:cstheme="minorHAnsi"/>
        </w:rPr>
        <w:instrText xml:space="preserve"> REF _Ref466399047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17</w:t>
      </w:r>
      <w:r w:rsidRPr="00747E35">
        <w:rPr>
          <w:rFonts w:asciiTheme="minorHAnsi" w:hAnsiTheme="minorHAnsi" w:cstheme="minorHAnsi"/>
        </w:rPr>
        <w:fldChar w:fldCharType="end"/>
      </w:r>
      <w:r w:rsidRPr="00747E35">
        <w:rPr>
          <w:rFonts w:asciiTheme="minorHAnsi" w:hAnsiTheme="minorHAnsi" w:cstheme="minorHAnsi"/>
        </w:rPr>
        <w:t>). For the round 2 main sampling, including the bore sampling at Maules Creek, additional samples were collected for liquid chromatography organic carbon detection (LC-OCD) that separates the organic matter into different fractions based on molecular weight.</w:t>
      </w:r>
    </w:p>
    <w:p w14:paraId="74ABC2DA" w14:textId="01DDFE64"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At each sampling location, vertical hydraulic head difference (VHH) measurements were taken to allow each location to be classified as upwelling or </w:t>
      </w:r>
      <w:r w:rsidR="006B2C7A">
        <w:rPr>
          <w:rFonts w:asciiTheme="minorHAnsi" w:hAnsiTheme="minorHAnsi" w:cstheme="minorHAnsi"/>
        </w:rPr>
        <w:t>downwelling</w:t>
      </w:r>
      <w:r w:rsidRPr="00747E35">
        <w:rPr>
          <w:rFonts w:asciiTheme="minorHAnsi" w:hAnsiTheme="minorHAnsi" w:cstheme="minorHAnsi"/>
        </w:rPr>
        <w:t xml:space="preserve">. However, at some locations the results were ambiguous, potentially due to the temporary wells not having enough time to recover especially in low-permeability sediments. Therefore, Partial Least Squares (PLS) regression was applied to a subset of the dataset with reliable VHH measurements to determine if there was a chemical signature related to upwelling or </w:t>
      </w:r>
      <w:r w:rsidR="006B2C7A">
        <w:rPr>
          <w:rFonts w:asciiTheme="minorHAnsi" w:hAnsiTheme="minorHAnsi" w:cstheme="minorHAnsi"/>
        </w:rPr>
        <w:t>downwelling</w:t>
      </w:r>
      <w:r w:rsidRPr="00747E35">
        <w:rPr>
          <w:rFonts w:asciiTheme="minorHAnsi" w:hAnsiTheme="minorHAnsi" w:cstheme="minorHAnsi"/>
        </w:rPr>
        <w:t xml:space="preserve"> which could be applied to the remaining dataset. The measured VHH, along with the results from PLS and hydrological conditions, were then used to classify each sample as either regional groundwater upwelling, hyporheic upwelling, or downwelling. </w:t>
      </w:r>
    </w:p>
    <w:p w14:paraId="7C5F155C" w14:textId="580A4E86"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Using redox sensitive chemical parameters such as DO, nitrate, iron, manganese and sulfate, each sample was classified into a redox category following the method described in McMahon and Chapelle (2008) (see </w:t>
      </w:r>
      <w:r w:rsidRPr="00747E35">
        <w:rPr>
          <w:rFonts w:asciiTheme="minorHAnsi" w:hAnsiTheme="minorHAnsi" w:cstheme="minorHAnsi"/>
        </w:rPr>
        <w:fldChar w:fldCharType="begin"/>
      </w:r>
      <w:r w:rsidRPr="00747E35">
        <w:rPr>
          <w:rFonts w:asciiTheme="minorHAnsi" w:hAnsiTheme="minorHAnsi" w:cstheme="minorHAnsi"/>
        </w:rPr>
        <w:instrText xml:space="preserve"> REF _Ref466913815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18</w:t>
      </w:r>
      <w:r w:rsidRPr="00747E35">
        <w:rPr>
          <w:rFonts w:asciiTheme="minorHAnsi" w:hAnsiTheme="minorHAnsi" w:cstheme="minorHAnsi"/>
        </w:rPr>
        <w:fldChar w:fldCharType="end"/>
      </w:r>
      <w:r w:rsidRPr="00747E35">
        <w:rPr>
          <w:rFonts w:asciiTheme="minorHAnsi" w:hAnsiTheme="minorHAnsi" w:cstheme="minorHAnsi"/>
        </w:rPr>
        <w:t xml:space="preserve"> for details).</w:t>
      </w:r>
    </w:p>
    <w:p w14:paraId="66C3677A" w14:textId="77777777" w:rsidR="003D3694" w:rsidRPr="00747E35" w:rsidRDefault="003D3694" w:rsidP="00085C15">
      <w:pPr>
        <w:pStyle w:val="Caption"/>
        <w:numPr>
          <w:ilvl w:val="0"/>
          <w:numId w:val="0"/>
        </w:numPr>
        <w:jc w:val="both"/>
        <w:rPr>
          <w:rFonts w:cstheme="minorHAnsi"/>
        </w:rPr>
      </w:pPr>
      <w:bookmarkStart w:id="224" w:name="_Ref466913815"/>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18</w:t>
      </w:r>
      <w:r w:rsidR="009D6600" w:rsidRPr="00747E35">
        <w:rPr>
          <w:rFonts w:cstheme="minorHAnsi"/>
          <w:noProof/>
        </w:rPr>
        <w:fldChar w:fldCharType="end"/>
      </w:r>
      <w:bookmarkEnd w:id="224"/>
      <w:r w:rsidRPr="00747E35">
        <w:rPr>
          <w:rFonts w:cstheme="minorHAnsi"/>
        </w:rPr>
        <w:t>: Threshold concentrations for determining redox category (from McMahon and Chapelle, 2008)</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6"/>
        <w:gridCol w:w="832"/>
        <w:gridCol w:w="952"/>
        <w:gridCol w:w="952"/>
        <w:gridCol w:w="952"/>
        <w:gridCol w:w="605"/>
        <w:gridCol w:w="347"/>
        <w:gridCol w:w="2902"/>
      </w:tblGrid>
      <w:tr w:rsidR="003D3694" w:rsidRPr="00747E35" w14:paraId="36ADB607" w14:textId="77777777" w:rsidTr="00B004E4">
        <w:trPr>
          <w:tblHeader/>
        </w:trPr>
        <w:tc>
          <w:tcPr>
            <w:tcW w:w="2086" w:type="dxa"/>
            <w:tcBorders>
              <w:top w:val="single" w:sz="4" w:space="0" w:color="auto"/>
            </w:tcBorders>
            <w:shd w:val="clear" w:color="auto" w:fill="DEEAF6" w:themeFill="accent1" w:themeFillTint="33"/>
          </w:tcPr>
          <w:p w14:paraId="7165934D" w14:textId="77777777" w:rsidR="003D3694" w:rsidRPr="00747E35" w:rsidRDefault="003D3694" w:rsidP="0096743A">
            <w:pPr>
              <w:pStyle w:val="TableHead"/>
              <w:keepNext/>
              <w:keepLines/>
              <w:spacing w:before="0" w:after="0"/>
              <w:rPr>
                <w:rFonts w:asciiTheme="minorHAnsi" w:hAnsiTheme="minorHAnsi" w:cstheme="minorHAnsi"/>
                <w:b w:val="0"/>
              </w:rPr>
            </w:pPr>
            <w:r w:rsidRPr="00747E35">
              <w:rPr>
                <w:rFonts w:asciiTheme="minorHAnsi" w:hAnsiTheme="minorHAnsi" w:cstheme="minorHAnsi"/>
                <w:b w:val="0"/>
              </w:rPr>
              <w:t>Redox Process</w:t>
            </w:r>
          </w:p>
        </w:tc>
        <w:tc>
          <w:tcPr>
            <w:tcW w:w="4293" w:type="dxa"/>
            <w:gridSpan w:val="5"/>
            <w:tcBorders>
              <w:top w:val="single" w:sz="4" w:space="0" w:color="auto"/>
              <w:bottom w:val="single" w:sz="4" w:space="0" w:color="auto"/>
            </w:tcBorders>
            <w:shd w:val="clear" w:color="auto" w:fill="DEEAF6" w:themeFill="accent1" w:themeFillTint="33"/>
          </w:tcPr>
          <w:p w14:paraId="60D0E4F6" w14:textId="77777777" w:rsidR="003D3694" w:rsidRPr="00747E35" w:rsidRDefault="003D3694" w:rsidP="0096743A">
            <w:pPr>
              <w:pStyle w:val="TableHead"/>
              <w:keepNext/>
              <w:keepLines/>
              <w:spacing w:before="0" w:after="0"/>
              <w:rPr>
                <w:rFonts w:asciiTheme="minorHAnsi" w:hAnsiTheme="minorHAnsi" w:cstheme="minorHAnsi"/>
                <w:b w:val="0"/>
              </w:rPr>
            </w:pPr>
            <w:r w:rsidRPr="00747E35">
              <w:rPr>
                <w:rFonts w:asciiTheme="minorHAnsi" w:hAnsiTheme="minorHAnsi" w:cstheme="minorHAnsi"/>
                <w:b w:val="0"/>
              </w:rPr>
              <w:t>Water Quality Criteria (mg/L)</w:t>
            </w:r>
          </w:p>
        </w:tc>
        <w:tc>
          <w:tcPr>
            <w:tcW w:w="3249" w:type="dxa"/>
            <w:gridSpan w:val="2"/>
            <w:tcBorders>
              <w:top w:val="single" w:sz="4" w:space="0" w:color="auto"/>
            </w:tcBorders>
            <w:shd w:val="clear" w:color="auto" w:fill="DEEAF6" w:themeFill="accent1" w:themeFillTint="33"/>
          </w:tcPr>
          <w:p w14:paraId="48EC9219" w14:textId="77777777" w:rsidR="003D3694" w:rsidRPr="00747E35" w:rsidRDefault="003D3694" w:rsidP="0096743A">
            <w:pPr>
              <w:pStyle w:val="TableHead"/>
              <w:keepNext/>
              <w:keepLines/>
              <w:spacing w:before="0" w:after="0"/>
              <w:rPr>
                <w:rFonts w:asciiTheme="minorHAnsi" w:hAnsiTheme="minorHAnsi" w:cstheme="minorHAnsi"/>
                <w:b w:val="0"/>
              </w:rPr>
            </w:pPr>
          </w:p>
        </w:tc>
      </w:tr>
      <w:tr w:rsidR="003D3694" w:rsidRPr="00747E35" w14:paraId="55EB18A9" w14:textId="77777777" w:rsidTr="00B004E4">
        <w:trPr>
          <w:tblHeader/>
        </w:trPr>
        <w:tc>
          <w:tcPr>
            <w:tcW w:w="2086" w:type="dxa"/>
            <w:tcBorders>
              <w:bottom w:val="single" w:sz="4" w:space="0" w:color="auto"/>
            </w:tcBorders>
            <w:shd w:val="clear" w:color="auto" w:fill="DEEAF6" w:themeFill="accent1" w:themeFillTint="33"/>
          </w:tcPr>
          <w:p w14:paraId="412D086E" w14:textId="77777777" w:rsidR="003D3694" w:rsidRPr="00747E35" w:rsidRDefault="003D3694" w:rsidP="0096743A">
            <w:pPr>
              <w:pStyle w:val="TableHead"/>
              <w:keepNext/>
              <w:keepLines/>
              <w:spacing w:before="0" w:after="0"/>
              <w:rPr>
                <w:rFonts w:asciiTheme="minorHAnsi" w:hAnsiTheme="minorHAnsi" w:cstheme="minorHAnsi"/>
                <w:b w:val="0"/>
              </w:rPr>
            </w:pPr>
          </w:p>
        </w:tc>
        <w:tc>
          <w:tcPr>
            <w:tcW w:w="832" w:type="dxa"/>
            <w:tcBorders>
              <w:top w:val="single" w:sz="4" w:space="0" w:color="auto"/>
              <w:bottom w:val="single" w:sz="4" w:space="0" w:color="auto"/>
            </w:tcBorders>
            <w:shd w:val="clear" w:color="auto" w:fill="DEEAF6" w:themeFill="accent1" w:themeFillTint="33"/>
          </w:tcPr>
          <w:p w14:paraId="77A92E49" w14:textId="77777777" w:rsidR="003D3694" w:rsidRPr="00747E35" w:rsidRDefault="003D3694" w:rsidP="0096743A">
            <w:pPr>
              <w:pStyle w:val="TableHead"/>
              <w:keepNext/>
              <w:keepLines/>
              <w:spacing w:before="0" w:after="0"/>
              <w:rPr>
                <w:rFonts w:asciiTheme="minorHAnsi" w:hAnsiTheme="minorHAnsi" w:cstheme="minorHAnsi"/>
                <w:b w:val="0"/>
              </w:rPr>
            </w:pPr>
            <w:r w:rsidRPr="00747E35">
              <w:rPr>
                <w:rFonts w:asciiTheme="minorHAnsi" w:hAnsiTheme="minorHAnsi" w:cstheme="minorHAnsi"/>
                <w:b w:val="0"/>
              </w:rPr>
              <w:t>O</w:t>
            </w:r>
            <w:r w:rsidRPr="00747E35">
              <w:rPr>
                <w:rFonts w:asciiTheme="minorHAnsi" w:hAnsiTheme="minorHAnsi" w:cstheme="minorHAnsi"/>
                <w:b w:val="0"/>
                <w:vertAlign w:val="subscript"/>
              </w:rPr>
              <w:t>2</w:t>
            </w:r>
          </w:p>
        </w:tc>
        <w:tc>
          <w:tcPr>
            <w:tcW w:w="952" w:type="dxa"/>
            <w:tcBorders>
              <w:top w:val="single" w:sz="4" w:space="0" w:color="auto"/>
              <w:bottom w:val="single" w:sz="4" w:space="0" w:color="auto"/>
            </w:tcBorders>
            <w:shd w:val="clear" w:color="auto" w:fill="DEEAF6" w:themeFill="accent1" w:themeFillTint="33"/>
          </w:tcPr>
          <w:p w14:paraId="3061ADEB" w14:textId="77777777" w:rsidR="003D3694" w:rsidRPr="00747E35" w:rsidRDefault="003D3694" w:rsidP="0096743A">
            <w:pPr>
              <w:pStyle w:val="TableHead"/>
              <w:keepNext/>
              <w:keepLines/>
              <w:spacing w:before="0" w:after="0"/>
              <w:rPr>
                <w:rFonts w:asciiTheme="minorHAnsi" w:hAnsiTheme="minorHAnsi" w:cstheme="minorHAnsi"/>
                <w:b w:val="0"/>
              </w:rPr>
            </w:pPr>
            <w:r w:rsidRPr="00747E35">
              <w:rPr>
                <w:rFonts w:asciiTheme="minorHAnsi" w:hAnsiTheme="minorHAnsi" w:cstheme="minorHAnsi"/>
                <w:b w:val="0"/>
              </w:rPr>
              <w:t>NO</w:t>
            </w:r>
            <w:r w:rsidRPr="00747E35">
              <w:rPr>
                <w:rFonts w:asciiTheme="minorHAnsi" w:hAnsiTheme="minorHAnsi" w:cstheme="minorHAnsi"/>
                <w:b w:val="0"/>
                <w:vertAlign w:val="subscript"/>
              </w:rPr>
              <w:t>3</w:t>
            </w:r>
            <w:r w:rsidRPr="00747E35">
              <w:rPr>
                <w:rFonts w:asciiTheme="minorHAnsi" w:hAnsiTheme="minorHAnsi" w:cstheme="minorHAnsi"/>
                <w:b w:val="0"/>
              </w:rPr>
              <w:t>-N</w:t>
            </w:r>
          </w:p>
        </w:tc>
        <w:tc>
          <w:tcPr>
            <w:tcW w:w="952" w:type="dxa"/>
            <w:tcBorders>
              <w:top w:val="single" w:sz="4" w:space="0" w:color="auto"/>
              <w:bottom w:val="single" w:sz="4" w:space="0" w:color="auto"/>
            </w:tcBorders>
            <w:shd w:val="clear" w:color="auto" w:fill="DEEAF6" w:themeFill="accent1" w:themeFillTint="33"/>
          </w:tcPr>
          <w:p w14:paraId="2E59CC8A" w14:textId="77777777" w:rsidR="003D3694" w:rsidRPr="00747E35" w:rsidRDefault="003D3694" w:rsidP="0096743A">
            <w:pPr>
              <w:pStyle w:val="TableHead"/>
              <w:keepNext/>
              <w:keepLines/>
              <w:spacing w:before="0" w:after="0"/>
              <w:rPr>
                <w:rFonts w:asciiTheme="minorHAnsi" w:hAnsiTheme="minorHAnsi" w:cstheme="minorHAnsi"/>
                <w:b w:val="0"/>
              </w:rPr>
            </w:pPr>
            <w:r w:rsidRPr="00747E35">
              <w:rPr>
                <w:rFonts w:asciiTheme="minorHAnsi" w:hAnsiTheme="minorHAnsi" w:cstheme="minorHAnsi"/>
                <w:b w:val="0"/>
              </w:rPr>
              <w:t>Mn</w:t>
            </w:r>
            <w:r w:rsidRPr="00747E35">
              <w:rPr>
                <w:rFonts w:asciiTheme="minorHAnsi" w:hAnsiTheme="minorHAnsi" w:cstheme="minorHAnsi"/>
                <w:b w:val="0"/>
                <w:vertAlign w:val="superscript"/>
              </w:rPr>
              <w:t>2+</w:t>
            </w:r>
          </w:p>
        </w:tc>
        <w:tc>
          <w:tcPr>
            <w:tcW w:w="952" w:type="dxa"/>
            <w:tcBorders>
              <w:top w:val="single" w:sz="4" w:space="0" w:color="auto"/>
              <w:bottom w:val="single" w:sz="4" w:space="0" w:color="auto"/>
            </w:tcBorders>
            <w:shd w:val="clear" w:color="auto" w:fill="DEEAF6" w:themeFill="accent1" w:themeFillTint="33"/>
          </w:tcPr>
          <w:p w14:paraId="46089E81" w14:textId="77777777" w:rsidR="003D3694" w:rsidRPr="00747E35" w:rsidRDefault="003D3694" w:rsidP="0096743A">
            <w:pPr>
              <w:pStyle w:val="TableHead"/>
              <w:keepNext/>
              <w:keepLines/>
              <w:spacing w:before="0" w:after="0"/>
              <w:rPr>
                <w:rFonts w:asciiTheme="minorHAnsi" w:hAnsiTheme="minorHAnsi" w:cstheme="minorHAnsi"/>
                <w:b w:val="0"/>
              </w:rPr>
            </w:pPr>
            <w:r w:rsidRPr="00747E35">
              <w:rPr>
                <w:rFonts w:asciiTheme="minorHAnsi" w:hAnsiTheme="minorHAnsi" w:cstheme="minorHAnsi"/>
                <w:b w:val="0"/>
              </w:rPr>
              <w:t>Fe</w:t>
            </w:r>
            <w:r w:rsidRPr="00747E35">
              <w:rPr>
                <w:rFonts w:asciiTheme="minorHAnsi" w:hAnsiTheme="minorHAnsi" w:cstheme="minorHAnsi"/>
                <w:b w:val="0"/>
                <w:vertAlign w:val="superscript"/>
              </w:rPr>
              <w:t>2+</w:t>
            </w:r>
          </w:p>
        </w:tc>
        <w:tc>
          <w:tcPr>
            <w:tcW w:w="952" w:type="dxa"/>
            <w:gridSpan w:val="2"/>
            <w:tcBorders>
              <w:top w:val="single" w:sz="4" w:space="0" w:color="auto"/>
              <w:bottom w:val="single" w:sz="4" w:space="0" w:color="auto"/>
            </w:tcBorders>
            <w:shd w:val="clear" w:color="auto" w:fill="DEEAF6" w:themeFill="accent1" w:themeFillTint="33"/>
          </w:tcPr>
          <w:p w14:paraId="53B58292" w14:textId="77777777" w:rsidR="003D3694" w:rsidRPr="00747E35" w:rsidRDefault="003D3694" w:rsidP="0096743A">
            <w:pPr>
              <w:pStyle w:val="TableHead"/>
              <w:keepNext/>
              <w:keepLines/>
              <w:spacing w:before="0" w:after="0"/>
              <w:rPr>
                <w:rFonts w:asciiTheme="minorHAnsi" w:hAnsiTheme="minorHAnsi" w:cstheme="minorHAnsi"/>
                <w:b w:val="0"/>
              </w:rPr>
            </w:pPr>
            <w:r w:rsidRPr="00747E35">
              <w:rPr>
                <w:rFonts w:asciiTheme="minorHAnsi" w:hAnsiTheme="minorHAnsi" w:cstheme="minorHAnsi"/>
                <w:b w:val="0"/>
              </w:rPr>
              <w:t>SO</w:t>
            </w:r>
            <w:r w:rsidRPr="00747E35">
              <w:rPr>
                <w:rFonts w:asciiTheme="minorHAnsi" w:hAnsiTheme="minorHAnsi" w:cstheme="minorHAnsi"/>
                <w:b w:val="0"/>
                <w:vertAlign w:val="subscript"/>
              </w:rPr>
              <w:t>4</w:t>
            </w:r>
            <w:r w:rsidRPr="00747E35">
              <w:rPr>
                <w:rFonts w:asciiTheme="minorHAnsi" w:hAnsiTheme="minorHAnsi" w:cstheme="minorHAnsi"/>
                <w:b w:val="0"/>
                <w:vertAlign w:val="superscript"/>
              </w:rPr>
              <w:t>2-</w:t>
            </w:r>
          </w:p>
        </w:tc>
        <w:tc>
          <w:tcPr>
            <w:tcW w:w="2902" w:type="dxa"/>
            <w:tcBorders>
              <w:bottom w:val="single" w:sz="4" w:space="0" w:color="auto"/>
            </w:tcBorders>
            <w:shd w:val="clear" w:color="auto" w:fill="DEEAF6" w:themeFill="accent1" w:themeFillTint="33"/>
          </w:tcPr>
          <w:p w14:paraId="755EEE5B" w14:textId="77777777" w:rsidR="003D3694" w:rsidRPr="00747E35" w:rsidRDefault="003D3694" w:rsidP="0096743A">
            <w:pPr>
              <w:pStyle w:val="TableHead"/>
              <w:keepNext/>
              <w:keepLines/>
              <w:spacing w:before="0" w:after="0"/>
              <w:rPr>
                <w:rFonts w:asciiTheme="minorHAnsi" w:hAnsiTheme="minorHAnsi" w:cstheme="minorHAnsi"/>
                <w:b w:val="0"/>
              </w:rPr>
            </w:pPr>
            <w:r w:rsidRPr="00747E35">
              <w:rPr>
                <w:rFonts w:asciiTheme="minorHAnsi" w:hAnsiTheme="minorHAnsi" w:cstheme="minorHAnsi"/>
                <w:b w:val="0"/>
              </w:rPr>
              <w:t>Comments</w:t>
            </w:r>
          </w:p>
        </w:tc>
      </w:tr>
      <w:tr w:rsidR="003D3694" w:rsidRPr="00747E35" w14:paraId="41A9B99A" w14:textId="77777777" w:rsidTr="0096743A">
        <w:tc>
          <w:tcPr>
            <w:tcW w:w="2086" w:type="dxa"/>
            <w:tcBorders>
              <w:top w:val="single" w:sz="4" w:space="0" w:color="auto"/>
            </w:tcBorders>
          </w:tcPr>
          <w:p w14:paraId="371DF21F" w14:textId="77777777" w:rsidR="003D3694" w:rsidRPr="00747E35" w:rsidRDefault="003D3694" w:rsidP="0096743A">
            <w:pPr>
              <w:pStyle w:val="Tabletext"/>
              <w:keepNext/>
              <w:keepLines/>
              <w:spacing w:before="0" w:after="0"/>
              <w:rPr>
                <w:rFonts w:cstheme="minorHAnsi"/>
              </w:rPr>
            </w:pPr>
            <w:r w:rsidRPr="00747E35">
              <w:rPr>
                <w:rFonts w:cstheme="minorHAnsi"/>
              </w:rPr>
              <w:t>Oxic</w:t>
            </w:r>
          </w:p>
        </w:tc>
        <w:tc>
          <w:tcPr>
            <w:tcW w:w="832" w:type="dxa"/>
            <w:tcBorders>
              <w:top w:val="single" w:sz="4" w:space="0" w:color="auto"/>
            </w:tcBorders>
          </w:tcPr>
          <w:p w14:paraId="12DE6A3A" w14:textId="77777777" w:rsidR="003D3694" w:rsidRPr="00747E35" w:rsidRDefault="003D3694" w:rsidP="0096743A">
            <w:pPr>
              <w:pStyle w:val="Tabletext"/>
              <w:keepNext/>
              <w:keepLines/>
              <w:spacing w:before="0" w:after="0"/>
              <w:rPr>
                <w:rFonts w:cstheme="minorHAnsi"/>
              </w:rPr>
            </w:pPr>
          </w:p>
        </w:tc>
        <w:tc>
          <w:tcPr>
            <w:tcW w:w="952" w:type="dxa"/>
            <w:tcBorders>
              <w:top w:val="single" w:sz="4" w:space="0" w:color="auto"/>
            </w:tcBorders>
          </w:tcPr>
          <w:p w14:paraId="799DFA2D" w14:textId="77777777" w:rsidR="003D3694" w:rsidRPr="00747E35" w:rsidRDefault="003D3694" w:rsidP="0096743A">
            <w:pPr>
              <w:pStyle w:val="Tabletext"/>
              <w:keepNext/>
              <w:keepLines/>
              <w:spacing w:before="0" w:after="0"/>
              <w:rPr>
                <w:rFonts w:cstheme="minorHAnsi"/>
              </w:rPr>
            </w:pPr>
          </w:p>
        </w:tc>
        <w:tc>
          <w:tcPr>
            <w:tcW w:w="952" w:type="dxa"/>
            <w:tcBorders>
              <w:top w:val="single" w:sz="4" w:space="0" w:color="auto"/>
            </w:tcBorders>
          </w:tcPr>
          <w:p w14:paraId="3C9378A6" w14:textId="77777777" w:rsidR="003D3694" w:rsidRPr="00747E35" w:rsidRDefault="003D3694" w:rsidP="0096743A">
            <w:pPr>
              <w:pStyle w:val="Tabletext"/>
              <w:keepNext/>
              <w:keepLines/>
              <w:spacing w:before="0" w:after="0"/>
              <w:rPr>
                <w:rFonts w:cstheme="minorHAnsi"/>
              </w:rPr>
            </w:pPr>
          </w:p>
        </w:tc>
        <w:tc>
          <w:tcPr>
            <w:tcW w:w="952" w:type="dxa"/>
            <w:tcBorders>
              <w:top w:val="single" w:sz="4" w:space="0" w:color="auto"/>
            </w:tcBorders>
          </w:tcPr>
          <w:p w14:paraId="00884C27" w14:textId="77777777" w:rsidR="003D3694" w:rsidRPr="00747E35" w:rsidRDefault="003D3694" w:rsidP="0096743A">
            <w:pPr>
              <w:pStyle w:val="Tabletext"/>
              <w:keepNext/>
              <w:keepLines/>
              <w:spacing w:before="0" w:after="0"/>
              <w:rPr>
                <w:rFonts w:cstheme="minorHAnsi"/>
              </w:rPr>
            </w:pPr>
          </w:p>
        </w:tc>
        <w:tc>
          <w:tcPr>
            <w:tcW w:w="952" w:type="dxa"/>
            <w:gridSpan w:val="2"/>
            <w:tcBorders>
              <w:top w:val="single" w:sz="4" w:space="0" w:color="auto"/>
            </w:tcBorders>
          </w:tcPr>
          <w:p w14:paraId="07DE3177" w14:textId="77777777" w:rsidR="003D3694" w:rsidRPr="00747E35" w:rsidRDefault="003D3694" w:rsidP="0096743A">
            <w:pPr>
              <w:pStyle w:val="Tabletext"/>
              <w:keepNext/>
              <w:keepLines/>
              <w:spacing w:before="0" w:after="0"/>
              <w:rPr>
                <w:rFonts w:cstheme="minorHAnsi"/>
              </w:rPr>
            </w:pPr>
          </w:p>
        </w:tc>
        <w:tc>
          <w:tcPr>
            <w:tcW w:w="2902" w:type="dxa"/>
            <w:tcBorders>
              <w:top w:val="single" w:sz="4" w:space="0" w:color="auto"/>
            </w:tcBorders>
          </w:tcPr>
          <w:p w14:paraId="721C45AC" w14:textId="77777777" w:rsidR="003D3694" w:rsidRPr="00747E35" w:rsidRDefault="003D3694" w:rsidP="0096743A">
            <w:pPr>
              <w:pStyle w:val="Tabletext"/>
              <w:keepNext/>
              <w:keepLines/>
              <w:spacing w:before="0" w:after="0"/>
              <w:rPr>
                <w:rFonts w:cstheme="minorHAnsi"/>
              </w:rPr>
            </w:pPr>
          </w:p>
        </w:tc>
      </w:tr>
      <w:tr w:rsidR="003D3694" w:rsidRPr="00747E35" w14:paraId="03DD58D3" w14:textId="77777777" w:rsidTr="0096743A">
        <w:tc>
          <w:tcPr>
            <w:tcW w:w="2086" w:type="dxa"/>
          </w:tcPr>
          <w:p w14:paraId="27423093" w14:textId="77777777" w:rsidR="003D3694" w:rsidRPr="00747E35" w:rsidRDefault="003D3694" w:rsidP="0096743A">
            <w:pPr>
              <w:pStyle w:val="Tabletext"/>
              <w:keepNext/>
              <w:keepLines/>
              <w:spacing w:before="0" w:after="0"/>
              <w:rPr>
                <w:rFonts w:cstheme="minorHAnsi"/>
              </w:rPr>
            </w:pPr>
            <w:r w:rsidRPr="00747E35">
              <w:rPr>
                <w:rFonts w:cstheme="minorHAnsi"/>
              </w:rPr>
              <w:t xml:space="preserve">     O</w:t>
            </w:r>
            <w:r w:rsidRPr="00747E35">
              <w:rPr>
                <w:rFonts w:cstheme="minorHAnsi"/>
                <w:vertAlign w:val="subscript"/>
              </w:rPr>
              <w:t>2</w:t>
            </w:r>
            <w:r w:rsidRPr="00747E35">
              <w:rPr>
                <w:rFonts w:cstheme="minorHAnsi"/>
              </w:rPr>
              <w:t xml:space="preserve"> reduction</w:t>
            </w:r>
          </w:p>
        </w:tc>
        <w:tc>
          <w:tcPr>
            <w:tcW w:w="832" w:type="dxa"/>
          </w:tcPr>
          <w:p w14:paraId="314E32E6" w14:textId="77777777" w:rsidR="003D3694" w:rsidRPr="00747E35" w:rsidRDefault="003D3694" w:rsidP="0096743A">
            <w:pPr>
              <w:pStyle w:val="Tabletext"/>
              <w:keepNext/>
              <w:keepLines/>
              <w:spacing w:before="0" w:after="0"/>
              <w:rPr>
                <w:rFonts w:cstheme="minorHAnsi"/>
              </w:rPr>
            </w:pPr>
            <w:r w:rsidRPr="00747E35">
              <w:rPr>
                <w:rFonts w:cstheme="minorHAnsi"/>
              </w:rPr>
              <w:t>≥0.5</w:t>
            </w:r>
          </w:p>
        </w:tc>
        <w:tc>
          <w:tcPr>
            <w:tcW w:w="952" w:type="dxa"/>
          </w:tcPr>
          <w:p w14:paraId="20035D93"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952" w:type="dxa"/>
          </w:tcPr>
          <w:p w14:paraId="3C2996D6" w14:textId="77777777" w:rsidR="003D3694" w:rsidRPr="00747E35" w:rsidRDefault="003D3694" w:rsidP="0096743A">
            <w:pPr>
              <w:pStyle w:val="Tabletext"/>
              <w:keepNext/>
              <w:keepLines/>
              <w:spacing w:before="0" w:after="0"/>
              <w:rPr>
                <w:rFonts w:cstheme="minorHAnsi"/>
              </w:rPr>
            </w:pPr>
            <w:r w:rsidRPr="00747E35">
              <w:rPr>
                <w:rFonts w:cstheme="minorHAnsi"/>
              </w:rPr>
              <w:t>&lt;0.05</w:t>
            </w:r>
          </w:p>
        </w:tc>
        <w:tc>
          <w:tcPr>
            <w:tcW w:w="952" w:type="dxa"/>
          </w:tcPr>
          <w:p w14:paraId="228C5FB1" w14:textId="77777777" w:rsidR="003D3694" w:rsidRPr="00747E35" w:rsidRDefault="003D3694" w:rsidP="0096743A">
            <w:pPr>
              <w:pStyle w:val="Tabletext"/>
              <w:keepNext/>
              <w:keepLines/>
              <w:spacing w:before="0" w:after="0"/>
              <w:rPr>
                <w:rFonts w:cstheme="minorHAnsi"/>
              </w:rPr>
            </w:pPr>
            <w:r w:rsidRPr="00747E35">
              <w:rPr>
                <w:rFonts w:cstheme="minorHAnsi"/>
              </w:rPr>
              <w:t>&lt;0.1</w:t>
            </w:r>
          </w:p>
        </w:tc>
        <w:tc>
          <w:tcPr>
            <w:tcW w:w="952" w:type="dxa"/>
            <w:gridSpan w:val="2"/>
          </w:tcPr>
          <w:p w14:paraId="7E3FDBDE"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2902" w:type="dxa"/>
          </w:tcPr>
          <w:p w14:paraId="72E2DA4B" w14:textId="77777777" w:rsidR="003D3694" w:rsidRPr="00747E35" w:rsidRDefault="003D3694" w:rsidP="0096743A">
            <w:pPr>
              <w:pStyle w:val="Tabletext"/>
              <w:keepNext/>
              <w:keepLines/>
              <w:spacing w:before="0" w:after="0"/>
              <w:rPr>
                <w:rFonts w:cstheme="minorHAnsi"/>
              </w:rPr>
            </w:pPr>
            <w:r w:rsidRPr="00747E35">
              <w:rPr>
                <w:rFonts w:cstheme="minorHAnsi"/>
              </w:rPr>
              <w:t>-</w:t>
            </w:r>
          </w:p>
        </w:tc>
      </w:tr>
      <w:tr w:rsidR="003D3694" w:rsidRPr="00747E35" w14:paraId="6D83B5E0" w14:textId="77777777" w:rsidTr="0096743A">
        <w:tc>
          <w:tcPr>
            <w:tcW w:w="2086" w:type="dxa"/>
          </w:tcPr>
          <w:p w14:paraId="5DA54794" w14:textId="77777777" w:rsidR="003D3694" w:rsidRPr="00747E35" w:rsidRDefault="003D3694" w:rsidP="0096743A">
            <w:pPr>
              <w:pStyle w:val="Tabletext"/>
              <w:keepNext/>
              <w:keepLines/>
              <w:spacing w:before="0" w:after="0"/>
              <w:rPr>
                <w:rFonts w:cstheme="minorHAnsi"/>
              </w:rPr>
            </w:pPr>
            <w:r w:rsidRPr="00747E35">
              <w:rPr>
                <w:rFonts w:cstheme="minorHAnsi"/>
              </w:rPr>
              <w:t>Suboxic</w:t>
            </w:r>
          </w:p>
        </w:tc>
        <w:tc>
          <w:tcPr>
            <w:tcW w:w="832" w:type="dxa"/>
          </w:tcPr>
          <w:p w14:paraId="28B7EA0F" w14:textId="77777777" w:rsidR="003D3694" w:rsidRPr="00747E35" w:rsidRDefault="003D3694" w:rsidP="0096743A">
            <w:pPr>
              <w:pStyle w:val="Tabletext"/>
              <w:keepNext/>
              <w:keepLines/>
              <w:spacing w:before="0" w:after="0"/>
              <w:rPr>
                <w:rFonts w:cstheme="minorHAnsi"/>
              </w:rPr>
            </w:pPr>
          </w:p>
        </w:tc>
        <w:tc>
          <w:tcPr>
            <w:tcW w:w="952" w:type="dxa"/>
          </w:tcPr>
          <w:p w14:paraId="329B0D81" w14:textId="77777777" w:rsidR="003D3694" w:rsidRPr="00747E35" w:rsidRDefault="003D3694" w:rsidP="0096743A">
            <w:pPr>
              <w:pStyle w:val="Tabletext"/>
              <w:keepNext/>
              <w:keepLines/>
              <w:spacing w:before="0" w:after="0"/>
              <w:rPr>
                <w:rFonts w:cstheme="minorHAnsi"/>
              </w:rPr>
            </w:pPr>
          </w:p>
        </w:tc>
        <w:tc>
          <w:tcPr>
            <w:tcW w:w="952" w:type="dxa"/>
          </w:tcPr>
          <w:p w14:paraId="0161CF5B" w14:textId="77777777" w:rsidR="003D3694" w:rsidRPr="00747E35" w:rsidRDefault="003D3694" w:rsidP="0096743A">
            <w:pPr>
              <w:pStyle w:val="Tabletext"/>
              <w:keepNext/>
              <w:keepLines/>
              <w:spacing w:before="0" w:after="0"/>
              <w:rPr>
                <w:rFonts w:cstheme="minorHAnsi"/>
              </w:rPr>
            </w:pPr>
          </w:p>
        </w:tc>
        <w:tc>
          <w:tcPr>
            <w:tcW w:w="952" w:type="dxa"/>
          </w:tcPr>
          <w:p w14:paraId="205C8018" w14:textId="77777777" w:rsidR="003D3694" w:rsidRPr="00747E35" w:rsidRDefault="003D3694" w:rsidP="0096743A">
            <w:pPr>
              <w:pStyle w:val="Tabletext"/>
              <w:keepNext/>
              <w:keepLines/>
              <w:spacing w:before="0" w:after="0"/>
              <w:rPr>
                <w:rFonts w:cstheme="minorHAnsi"/>
              </w:rPr>
            </w:pPr>
          </w:p>
        </w:tc>
        <w:tc>
          <w:tcPr>
            <w:tcW w:w="952" w:type="dxa"/>
            <w:gridSpan w:val="2"/>
          </w:tcPr>
          <w:p w14:paraId="17AAEEBE" w14:textId="77777777" w:rsidR="003D3694" w:rsidRPr="00747E35" w:rsidRDefault="003D3694" w:rsidP="0096743A">
            <w:pPr>
              <w:pStyle w:val="Tabletext"/>
              <w:keepNext/>
              <w:keepLines/>
              <w:spacing w:before="0" w:after="0"/>
              <w:rPr>
                <w:rFonts w:cstheme="minorHAnsi"/>
              </w:rPr>
            </w:pPr>
          </w:p>
        </w:tc>
        <w:tc>
          <w:tcPr>
            <w:tcW w:w="2902" w:type="dxa"/>
          </w:tcPr>
          <w:p w14:paraId="13959BB9" w14:textId="77777777" w:rsidR="003D3694" w:rsidRPr="00747E35" w:rsidRDefault="003D3694" w:rsidP="0096743A">
            <w:pPr>
              <w:pStyle w:val="Tabletext"/>
              <w:keepNext/>
              <w:keepLines/>
              <w:spacing w:before="0" w:after="0"/>
              <w:rPr>
                <w:rFonts w:cstheme="minorHAnsi"/>
              </w:rPr>
            </w:pPr>
          </w:p>
        </w:tc>
      </w:tr>
      <w:tr w:rsidR="003D3694" w:rsidRPr="00747E35" w14:paraId="05FC474B" w14:textId="77777777" w:rsidTr="0096743A">
        <w:tc>
          <w:tcPr>
            <w:tcW w:w="2086" w:type="dxa"/>
          </w:tcPr>
          <w:p w14:paraId="70E53444" w14:textId="77777777" w:rsidR="003D3694" w:rsidRPr="00747E35" w:rsidRDefault="003D3694" w:rsidP="0096743A">
            <w:pPr>
              <w:pStyle w:val="Tabletext"/>
              <w:keepNext/>
              <w:keepLines/>
              <w:spacing w:before="0" w:after="0"/>
              <w:rPr>
                <w:rFonts w:cstheme="minorHAnsi"/>
              </w:rPr>
            </w:pPr>
            <w:r w:rsidRPr="00747E35">
              <w:rPr>
                <w:rFonts w:cstheme="minorHAnsi"/>
              </w:rPr>
              <w:t xml:space="preserve">     -</w:t>
            </w:r>
          </w:p>
        </w:tc>
        <w:tc>
          <w:tcPr>
            <w:tcW w:w="832" w:type="dxa"/>
          </w:tcPr>
          <w:p w14:paraId="24130DDD" w14:textId="77777777" w:rsidR="003D3694" w:rsidRPr="00747E35" w:rsidRDefault="003D3694" w:rsidP="0096743A">
            <w:pPr>
              <w:pStyle w:val="Tabletext"/>
              <w:keepNext/>
              <w:keepLines/>
              <w:spacing w:before="0" w:after="0"/>
              <w:rPr>
                <w:rFonts w:cstheme="minorHAnsi"/>
              </w:rPr>
            </w:pPr>
            <w:r w:rsidRPr="00747E35">
              <w:rPr>
                <w:rFonts w:cstheme="minorHAnsi"/>
              </w:rPr>
              <w:t>&lt;0.5</w:t>
            </w:r>
          </w:p>
        </w:tc>
        <w:tc>
          <w:tcPr>
            <w:tcW w:w="952" w:type="dxa"/>
          </w:tcPr>
          <w:p w14:paraId="0A07A630" w14:textId="77777777" w:rsidR="003D3694" w:rsidRPr="00747E35" w:rsidRDefault="003D3694" w:rsidP="0096743A">
            <w:pPr>
              <w:pStyle w:val="Tabletext"/>
              <w:keepNext/>
              <w:keepLines/>
              <w:spacing w:before="0" w:after="0"/>
              <w:rPr>
                <w:rFonts w:cstheme="minorHAnsi"/>
              </w:rPr>
            </w:pPr>
            <w:r w:rsidRPr="00747E35">
              <w:rPr>
                <w:rFonts w:cstheme="minorHAnsi"/>
              </w:rPr>
              <w:t>&lt;0.5</w:t>
            </w:r>
          </w:p>
        </w:tc>
        <w:tc>
          <w:tcPr>
            <w:tcW w:w="952" w:type="dxa"/>
          </w:tcPr>
          <w:p w14:paraId="627F3D2D" w14:textId="77777777" w:rsidR="003D3694" w:rsidRPr="00747E35" w:rsidRDefault="003D3694" w:rsidP="0096743A">
            <w:pPr>
              <w:pStyle w:val="Tabletext"/>
              <w:keepNext/>
              <w:keepLines/>
              <w:spacing w:before="0" w:after="0"/>
              <w:rPr>
                <w:rFonts w:cstheme="minorHAnsi"/>
              </w:rPr>
            </w:pPr>
            <w:r w:rsidRPr="00747E35">
              <w:rPr>
                <w:rFonts w:cstheme="minorHAnsi"/>
              </w:rPr>
              <w:t>&lt;0.5</w:t>
            </w:r>
          </w:p>
        </w:tc>
        <w:tc>
          <w:tcPr>
            <w:tcW w:w="952" w:type="dxa"/>
          </w:tcPr>
          <w:p w14:paraId="465ADAF6" w14:textId="77777777" w:rsidR="003D3694" w:rsidRPr="00747E35" w:rsidRDefault="003D3694" w:rsidP="0096743A">
            <w:pPr>
              <w:pStyle w:val="Tabletext"/>
              <w:keepNext/>
              <w:keepLines/>
              <w:spacing w:before="0" w:after="0"/>
              <w:rPr>
                <w:rFonts w:cstheme="minorHAnsi"/>
              </w:rPr>
            </w:pPr>
            <w:r w:rsidRPr="00747E35">
              <w:rPr>
                <w:rFonts w:cstheme="minorHAnsi"/>
              </w:rPr>
              <w:t>&lt;0.1</w:t>
            </w:r>
          </w:p>
        </w:tc>
        <w:tc>
          <w:tcPr>
            <w:tcW w:w="952" w:type="dxa"/>
            <w:gridSpan w:val="2"/>
          </w:tcPr>
          <w:p w14:paraId="268EF3A0"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2902" w:type="dxa"/>
          </w:tcPr>
          <w:p w14:paraId="5524F5F3" w14:textId="77777777" w:rsidR="003D3694" w:rsidRPr="00747E35" w:rsidRDefault="003D3694" w:rsidP="0096743A">
            <w:pPr>
              <w:pStyle w:val="Tabletext"/>
              <w:keepNext/>
              <w:keepLines/>
              <w:spacing w:before="0" w:after="0"/>
              <w:rPr>
                <w:rFonts w:cstheme="minorHAnsi"/>
              </w:rPr>
            </w:pPr>
            <w:r w:rsidRPr="00747E35">
              <w:rPr>
                <w:rFonts w:cstheme="minorHAnsi"/>
              </w:rPr>
              <w:t>Further definition of redox proceses not possible</w:t>
            </w:r>
          </w:p>
        </w:tc>
      </w:tr>
      <w:tr w:rsidR="003D3694" w:rsidRPr="00747E35" w14:paraId="7E9B4BAA" w14:textId="77777777" w:rsidTr="0096743A">
        <w:tc>
          <w:tcPr>
            <w:tcW w:w="2086" w:type="dxa"/>
          </w:tcPr>
          <w:p w14:paraId="3A47BDD2" w14:textId="77777777" w:rsidR="003D3694" w:rsidRPr="00747E35" w:rsidRDefault="003D3694" w:rsidP="0096743A">
            <w:pPr>
              <w:pStyle w:val="Tabletext"/>
              <w:keepNext/>
              <w:keepLines/>
              <w:spacing w:before="0" w:after="0"/>
              <w:rPr>
                <w:rFonts w:cstheme="minorHAnsi"/>
              </w:rPr>
            </w:pPr>
            <w:r w:rsidRPr="00747E35">
              <w:rPr>
                <w:rFonts w:cstheme="minorHAnsi"/>
              </w:rPr>
              <w:t>Anoxic</w:t>
            </w:r>
          </w:p>
        </w:tc>
        <w:tc>
          <w:tcPr>
            <w:tcW w:w="832" w:type="dxa"/>
          </w:tcPr>
          <w:p w14:paraId="6D49F641" w14:textId="77777777" w:rsidR="003D3694" w:rsidRPr="00747E35" w:rsidRDefault="003D3694" w:rsidP="0096743A">
            <w:pPr>
              <w:pStyle w:val="Tabletext"/>
              <w:keepNext/>
              <w:keepLines/>
              <w:spacing w:before="0" w:after="0"/>
              <w:rPr>
                <w:rFonts w:cstheme="minorHAnsi"/>
              </w:rPr>
            </w:pPr>
          </w:p>
        </w:tc>
        <w:tc>
          <w:tcPr>
            <w:tcW w:w="952" w:type="dxa"/>
          </w:tcPr>
          <w:p w14:paraId="49791B11" w14:textId="77777777" w:rsidR="003D3694" w:rsidRPr="00747E35" w:rsidRDefault="003D3694" w:rsidP="0096743A">
            <w:pPr>
              <w:pStyle w:val="Tabletext"/>
              <w:keepNext/>
              <w:keepLines/>
              <w:spacing w:before="0" w:after="0"/>
              <w:rPr>
                <w:rFonts w:cstheme="minorHAnsi"/>
              </w:rPr>
            </w:pPr>
          </w:p>
        </w:tc>
        <w:tc>
          <w:tcPr>
            <w:tcW w:w="952" w:type="dxa"/>
          </w:tcPr>
          <w:p w14:paraId="461033F7" w14:textId="77777777" w:rsidR="003D3694" w:rsidRPr="00747E35" w:rsidRDefault="003D3694" w:rsidP="0096743A">
            <w:pPr>
              <w:pStyle w:val="Tabletext"/>
              <w:keepNext/>
              <w:keepLines/>
              <w:spacing w:before="0" w:after="0"/>
              <w:rPr>
                <w:rFonts w:cstheme="minorHAnsi"/>
              </w:rPr>
            </w:pPr>
          </w:p>
        </w:tc>
        <w:tc>
          <w:tcPr>
            <w:tcW w:w="952" w:type="dxa"/>
          </w:tcPr>
          <w:p w14:paraId="76A66DEF" w14:textId="77777777" w:rsidR="003D3694" w:rsidRPr="00747E35" w:rsidRDefault="003D3694" w:rsidP="0096743A">
            <w:pPr>
              <w:pStyle w:val="Tabletext"/>
              <w:keepNext/>
              <w:keepLines/>
              <w:spacing w:before="0" w:after="0"/>
              <w:rPr>
                <w:rFonts w:cstheme="minorHAnsi"/>
              </w:rPr>
            </w:pPr>
          </w:p>
        </w:tc>
        <w:tc>
          <w:tcPr>
            <w:tcW w:w="952" w:type="dxa"/>
            <w:gridSpan w:val="2"/>
          </w:tcPr>
          <w:p w14:paraId="69D4568B" w14:textId="77777777" w:rsidR="003D3694" w:rsidRPr="00747E35" w:rsidRDefault="003D3694" w:rsidP="0096743A">
            <w:pPr>
              <w:pStyle w:val="Tabletext"/>
              <w:keepNext/>
              <w:keepLines/>
              <w:spacing w:before="0" w:after="0"/>
              <w:rPr>
                <w:rFonts w:cstheme="minorHAnsi"/>
              </w:rPr>
            </w:pPr>
          </w:p>
        </w:tc>
        <w:tc>
          <w:tcPr>
            <w:tcW w:w="2902" w:type="dxa"/>
          </w:tcPr>
          <w:p w14:paraId="120901EB" w14:textId="77777777" w:rsidR="003D3694" w:rsidRPr="00747E35" w:rsidRDefault="003D3694" w:rsidP="0096743A">
            <w:pPr>
              <w:pStyle w:val="Tabletext"/>
              <w:keepNext/>
              <w:keepLines/>
              <w:spacing w:before="0" w:after="0"/>
              <w:rPr>
                <w:rFonts w:cstheme="minorHAnsi"/>
              </w:rPr>
            </w:pPr>
          </w:p>
        </w:tc>
      </w:tr>
      <w:tr w:rsidR="003D3694" w:rsidRPr="00747E35" w14:paraId="05E94779" w14:textId="77777777" w:rsidTr="0096743A">
        <w:tc>
          <w:tcPr>
            <w:tcW w:w="2086" w:type="dxa"/>
          </w:tcPr>
          <w:p w14:paraId="26B2BAE9" w14:textId="77777777" w:rsidR="003D3694" w:rsidRPr="00747E35" w:rsidRDefault="003D3694" w:rsidP="0096743A">
            <w:pPr>
              <w:pStyle w:val="Tabletext"/>
              <w:keepNext/>
              <w:keepLines/>
              <w:spacing w:before="0" w:after="0"/>
              <w:rPr>
                <w:rFonts w:cstheme="minorHAnsi"/>
              </w:rPr>
            </w:pPr>
            <w:r w:rsidRPr="00747E35">
              <w:rPr>
                <w:rFonts w:cstheme="minorHAnsi"/>
              </w:rPr>
              <w:t xml:space="preserve">     NO</w:t>
            </w:r>
            <w:r w:rsidRPr="00747E35">
              <w:rPr>
                <w:rFonts w:cstheme="minorHAnsi"/>
                <w:vertAlign w:val="subscript"/>
              </w:rPr>
              <w:t>3</w:t>
            </w:r>
            <w:r w:rsidRPr="00747E35">
              <w:rPr>
                <w:rFonts w:cstheme="minorHAnsi"/>
                <w:vertAlign w:val="superscript"/>
              </w:rPr>
              <w:t>-</w:t>
            </w:r>
            <w:r w:rsidRPr="00747E35">
              <w:rPr>
                <w:rFonts w:cstheme="minorHAnsi"/>
              </w:rPr>
              <w:t xml:space="preserve"> reduction</w:t>
            </w:r>
          </w:p>
        </w:tc>
        <w:tc>
          <w:tcPr>
            <w:tcW w:w="832" w:type="dxa"/>
          </w:tcPr>
          <w:p w14:paraId="31B943C1" w14:textId="77777777" w:rsidR="003D3694" w:rsidRPr="00747E35" w:rsidRDefault="003D3694" w:rsidP="0096743A">
            <w:pPr>
              <w:pStyle w:val="Tabletext"/>
              <w:keepNext/>
              <w:keepLines/>
              <w:spacing w:before="0" w:after="0"/>
              <w:rPr>
                <w:rFonts w:cstheme="minorHAnsi"/>
              </w:rPr>
            </w:pPr>
            <w:r w:rsidRPr="00747E35">
              <w:rPr>
                <w:rFonts w:cstheme="minorHAnsi"/>
              </w:rPr>
              <w:t>&lt;0.5</w:t>
            </w:r>
          </w:p>
        </w:tc>
        <w:tc>
          <w:tcPr>
            <w:tcW w:w="952" w:type="dxa"/>
          </w:tcPr>
          <w:p w14:paraId="2B69050D" w14:textId="77777777" w:rsidR="003D3694" w:rsidRPr="00747E35" w:rsidRDefault="003D3694" w:rsidP="0096743A">
            <w:pPr>
              <w:pStyle w:val="Tabletext"/>
              <w:keepNext/>
              <w:keepLines/>
              <w:spacing w:before="0" w:after="0"/>
              <w:rPr>
                <w:rFonts w:cstheme="minorHAnsi"/>
              </w:rPr>
            </w:pPr>
            <w:r w:rsidRPr="00747E35">
              <w:rPr>
                <w:rFonts w:cstheme="minorHAnsi"/>
              </w:rPr>
              <w:t>≥0.5</w:t>
            </w:r>
          </w:p>
        </w:tc>
        <w:tc>
          <w:tcPr>
            <w:tcW w:w="952" w:type="dxa"/>
          </w:tcPr>
          <w:p w14:paraId="76F39790" w14:textId="77777777" w:rsidR="003D3694" w:rsidRPr="00747E35" w:rsidRDefault="003D3694" w:rsidP="0096743A">
            <w:pPr>
              <w:pStyle w:val="Tabletext"/>
              <w:keepNext/>
              <w:keepLines/>
              <w:spacing w:before="0" w:after="0"/>
              <w:rPr>
                <w:rFonts w:cstheme="minorHAnsi"/>
              </w:rPr>
            </w:pPr>
            <w:r w:rsidRPr="00747E35">
              <w:rPr>
                <w:rFonts w:cstheme="minorHAnsi"/>
              </w:rPr>
              <w:t>&lt;0.05</w:t>
            </w:r>
          </w:p>
        </w:tc>
        <w:tc>
          <w:tcPr>
            <w:tcW w:w="952" w:type="dxa"/>
          </w:tcPr>
          <w:p w14:paraId="7A0A7954" w14:textId="77777777" w:rsidR="003D3694" w:rsidRPr="00747E35" w:rsidRDefault="003D3694" w:rsidP="0096743A">
            <w:pPr>
              <w:pStyle w:val="Tabletext"/>
              <w:keepNext/>
              <w:keepLines/>
              <w:spacing w:before="0" w:after="0"/>
              <w:rPr>
                <w:rFonts w:cstheme="minorHAnsi"/>
              </w:rPr>
            </w:pPr>
            <w:r w:rsidRPr="00747E35">
              <w:rPr>
                <w:rFonts w:cstheme="minorHAnsi"/>
              </w:rPr>
              <w:t>&lt;0.1</w:t>
            </w:r>
          </w:p>
        </w:tc>
        <w:tc>
          <w:tcPr>
            <w:tcW w:w="952" w:type="dxa"/>
            <w:gridSpan w:val="2"/>
          </w:tcPr>
          <w:p w14:paraId="7EDD7BD4"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2902" w:type="dxa"/>
          </w:tcPr>
          <w:p w14:paraId="11E47F03" w14:textId="77777777" w:rsidR="003D3694" w:rsidRPr="00747E35" w:rsidRDefault="003D3694" w:rsidP="0096743A">
            <w:pPr>
              <w:pStyle w:val="Tabletext"/>
              <w:keepNext/>
              <w:keepLines/>
              <w:spacing w:before="0" w:after="0"/>
              <w:rPr>
                <w:rFonts w:cstheme="minorHAnsi"/>
              </w:rPr>
            </w:pPr>
            <w:r w:rsidRPr="00747E35">
              <w:rPr>
                <w:rFonts w:cstheme="minorHAnsi"/>
              </w:rPr>
              <w:t>-</w:t>
            </w:r>
          </w:p>
        </w:tc>
      </w:tr>
      <w:tr w:rsidR="003D3694" w:rsidRPr="00747E35" w14:paraId="74143E46" w14:textId="77777777" w:rsidTr="0096743A">
        <w:tc>
          <w:tcPr>
            <w:tcW w:w="2086" w:type="dxa"/>
          </w:tcPr>
          <w:p w14:paraId="616794F8" w14:textId="77777777" w:rsidR="003D3694" w:rsidRPr="00747E35" w:rsidRDefault="003D3694" w:rsidP="0096743A">
            <w:pPr>
              <w:pStyle w:val="Tabletext"/>
              <w:keepNext/>
              <w:keepLines/>
              <w:spacing w:before="0" w:after="0"/>
              <w:rPr>
                <w:rFonts w:cstheme="minorHAnsi"/>
              </w:rPr>
            </w:pPr>
            <w:r w:rsidRPr="00747E35">
              <w:rPr>
                <w:rFonts w:cstheme="minorHAnsi"/>
              </w:rPr>
              <w:t xml:space="preserve">    Mn(IV) reduction</w:t>
            </w:r>
          </w:p>
        </w:tc>
        <w:tc>
          <w:tcPr>
            <w:tcW w:w="832" w:type="dxa"/>
          </w:tcPr>
          <w:p w14:paraId="5DCAC7C8" w14:textId="77777777" w:rsidR="003D3694" w:rsidRPr="00747E35" w:rsidRDefault="003D3694" w:rsidP="0096743A">
            <w:pPr>
              <w:pStyle w:val="Tabletext"/>
              <w:keepNext/>
              <w:keepLines/>
              <w:spacing w:before="0" w:after="0"/>
              <w:rPr>
                <w:rFonts w:cstheme="minorHAnsi"/>
              </w:rPr>
            </w:pPr>
            <w:r w:rsidRPr="00747E35">
              <w:rPr>
                <w:rFonts w:cstheme="minorHAnsi"/>
              </w:rPr>
              <w:t>&lt;0.5</w:t>
            </w:r>
          </w:p>
        </w:tc>
        <w:tc>
          <w:tcPr>
            <w:tcW w:w="952" w:type="dxa"/>
          </w:tcPr>
          <w:p w14:paraId="475F2DC1" w14:textId="77777777" w:rsidR="003D3694" w:rsidRPr="00747E35" w:rsidRDefault="003D3694" w:rsidP="0096743A">
            <w:pPr>
              <w:pStyle w:val="Tabletext"/>
              <w:keepNext/>
              <w:keepLines/>
              <w:spacing w:before="0" w:after="0"/>
              <w:rPr>
                <w:rFonts w:cstheme="minorHAnsi"/>
              </w:rPr>
            </w:pPr>
            <w:r w:rsidRPr="00747E35">
              <w:rPr>
                <w:rFonts w:cstheme="minorHAnsi"/>
              </w:rPr>
              <w:t>&lt;0.5</w:t>
            </w:r>
          </w:p>
        </w:tc>
        <w:tc>
          <w:tcPr>
            <w:tcW w:w="952" w:type="dxa"/>
          </w:tcPr>
          <w:p w14:paraId="296B26BF" w14:textId="77777777" w:rsidR="003D3694" w:rsidRPr="00747E35" w:rsidRDefault="003D3694" w:rsidP="0096743A">
            <w:pPr>
              <w:pStyle w:val="Tabletext"/>
              <w:keepNext/>
              <w:keepLines/>
              <w:spacing w:before="0" w:after="0"/>
              <w:rPr>
                <w:rFonts w:cstheme="minorHAnsi"/>
              </w:rPr>
            </w:pPr>
            <w:r w:rsidRPr="00747E35">
              <w:rPr>
                <w:rFonts w:cstheme="minorHAnsi"/>
              </w:rPr>
              <w:t>≥0.05</w:t>
            </w:r>
          </w:p>
        </w:tc>
        <w:tc>
          <w:tcPr>
            <w:tcW w:w="952" w:type="dxa"/>
          </w:tcPr>
          <w:p w14:paraId="0EBA3ADE" w14:textId="77777777" w:rsidR="003D3694" w:rsidRPr="00747E35" w:rsidRDefault="003D3694" w:rsidP="0096743A">
            <w:pPr>
              <w:pStyle w:val="Tabletext"/>
              <w:keepNext/>
              <w:keepLines/>
              <w:spacing w:before="0" w:after="0"/>
              <w:rPr>
                <w:rFonts w:cstheme="minorHAnsi"/>
              </w:rPr>
            </w:pPr>
            <w:r w:rsidRPr="00747E35">
              <w:rPr>
                <w:rFonts w:cstheme="minorHAnsi"/>
              </w:rPr>
              <w:t>&lt;0.1</w:t>
            </w:r>
          </w:p>
        </w:tc>
        <w:tc>
          <w:tcPr>
            <w:tcW w:w="952" w:type="dxa"/>
            <w:gridSpan w:val="2"/>
          </w:tcPr>
          <w:p w14:paraId="19710315"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2902" w:type="dxa"/>
          </w:tcPr>
          <w:p w14:paraId="1F900B75" w14:textId="77777777" w:rsidR="003D3694" w:rsidRPr="00747E35" w:rsidRDefault="003D3694" w:rsidP="0096743A">
            <w:pPr>
              <w:pStyle w:val="Tabletext"/>
              <w:keepNext/>
              <w:keepLines/>
              <w:spacing w:before="0" w:after="0"/>
              <w:rPr>
                <w:rFonts w:cstheme="minorHAnsi"/>
              </w:rPr>
            </w:pPr>
            <w:r w:rsidRPr="00747E35">
              <w:rPr>
                <w:rFonts w:cstheme="minorHAnsi"/>
              </w:rPr>
              <w:t>-</w:t>
            </w:r>
          </w:p>
        </w:tc>
      </w:tr>
      <w:tr w:rsidR="003D3694" w:rsidRPr="00747E35" w14:paraId="0CEE8391" w14:textId="77777777" w:rsidTr="0096743A">
        <w:tc>
          <w:tcPr>
            <w:tcW w:w="2086" w:type="dxa"/>
          </w:tcPr>
          <w:p w14:paraId="47A5FB2A" w14:textId="77777777" w:rsidR="003D3694" w:rsidRPr="00747E35" w:rsidRDefault="003D3694" w:rsidP="0096743A">
            <w:pPr>
              <w:pStyle w:val="Tabletext"/>
              <w:keepNext/>
              <w:keepLines/>
              <w:spacing w:before="0" w:after="0"/>
              <w:rPr>
                <w:rFonts w:cstheme="minorHAnsi"/>
              </w:rPr>
            </w:pPr>
            <w:r w:rsidRPr="00747E35">
              <w:rPr>
                <w:rFonts w:cstheme="minorHAnsi"/>
              </w:rPr>
              <w:t xml:space="preserve">     Fe(III)/SO</w:t>
            </w:r>
            <w:r w:rsidRPr="00747E35">
              <w:rPr>
                <w:rFonts w:cstheme="minorHAnsi"/>
                <w:vertAlign w:val="subscript"/>
              </w:rPr>
              <w:t>4</w:t>
            </w:r>
            <w:r w:rsidRPr="00747E35">
              <w:rPr>
                <w:rFonts w:cstheme="minorHAnsi"/>
                <w:vertAlign w:val="superscript"/>
              </w:rPr>
              <w:t>2-</w:t>
            </w:r>
            <w:r w:rsidRPr="00747E35">
              <w:rPr>
                <w:rFonts w:cstheme="minorHAnsi"/>
              </w:rPr>
              <w:t xml:space="preserve"> reduction</w:t>
            </w:r>
          </w:p>
        </w:tc>
        <w:tc>
          <w:tcPr>
            <w:tcW w:w="832" w:type="dxa"/>
          </w:tcPr>
          <w:p w14:paraId="45A15E49" w14:textId="77777777" w:rsidR="003D3694" w:rsidRPr="00747E35" w:rsidRDefault="003D3694" w:rsidP="0096743A">
            <w:pPr>
              <w:pStyle w:val="Tabletext"/>
              <w:keepNext/>
              <w:keepLines/>
              <w:spacing w:before="0" w:after="0"/>
              <w:rPr>
                <w:rFonts w:cstheme="minorHAnsi"/>
              </w:rPr>
            </w:pPr>
            <w:r w:rsidRPr="00747E35">
              <w:rPr>
                <w:rFonts w:cstheme="minorHAnsi"/>
              </w:rPr>
              <w:t>&lt;0.5</w:t>
            </w:r>
          </w:p>
        </w:tc>
        <w:tc>
          <w:tcPr>
            <w:tcW w:w="952" w:type="dxa"/>
          </w:tcPr>
          <w:p w14:paraId="5AAB032A" w14:textId="77777777" w:rsidR="003D3694" w:rsidRPr="00747E35" w:rsidRDefault="003D3694" w:rsidP="0096743A">
            <w:pPr>
              <w:pStyle w:val="Tabletext"/>
              <w:keepNext/>
              <w:keepLines/>
              <w:spacing w:before="0" w:after="0"/>
              <w:rPr>
                <w:rFonts w:cstheme="minorHAnsi"/>
              </w:rPr>
            </w:pPr>
            <w:r w:rsidRPr="00747E35">
              <w:rPr>
                <w:rFonts w:cstheme="minorHAnsi"/>
              </w:rPr>
              <w:t>&lt;0.5</w:t>
            </w:r>
          </w:p>
        </w:tc>
        <w:tc>
          <w:tcPr>
            <w:tcW w:w="952" w:type="dxa"/>
          </w:tcPr>
          <w:p w14:paraId="6DA54AA1"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952" w:type="dxa"/>
          </w:tcPr>
          <w:p w14:paraId="792D03A9" w14:textId="77777777" w:rsidR="003D3694" w:rsidRPr="00747E35" w:rsidRDefault="003D3694" w:rsidP="0096743A">
            <w:pPr>
              <w:pStyle w:val="Tabletext"/>
              <w:keepNext/>
              <w:keepLines/>
              <w:spacing w:before="0" w:after="0"/>
              <w:rPr>
                <w:rFonts w:cstheme="minorHAnsi"/>
              </w:rPr>
            </w:pPr>
            <w:r w:rsidRPr="00747E35">
              <w:rPr>
                <w:rFonts w:cstheme="minorHAnsi"/>
              </w:rPr>
              <w:t>≥0.1</w:t>
            </w:r>
          </w:p>
        </w:tc>
        <w:tc>
          <w:tcPr>
            <w:tcW w:w="952" w:type="dxa"/>
            <w:gridSpan w:val="2"/>
          </w:tcPr>
          <w:p w14:paraId="4EF2704A" w14:textId="77777777" w:rsidR="003D3694" w:rsidRPr="00747E35" w:rsidRDefault="003D3694" w:rsidP="0096743A">
            <w:pPr>
              <w:pStyle w:val="Tabletext"/>
              <w:keepNext/>
              <w:keepLines/>
              <w:spacing w:before="0" w:after="0"/>
              <w:rPr>
                <w:rFonts w:cstheme="minorHAnsi"/>
              </w:rPr>
            </w:pPr>
            <w:r w:rsidRPr="00747E35">
              <w:rPr>
                <w:rFonts w:cstheme="minorHAnsi"/>
              </w:rPr>
              <w:t>≥0.5</w:t>
            </w:r>
          </w:p>
        </w:tc>
        <w:tc>
          <w:tcPr>
            <w:tcW w:w="2902" w:type="dxa"/>
          </w:tcPr>
          <w:p w14:paraId="45CAB780" w14:textId="77777777" w:rsidR="003D3694" w:rsidRPr="00747E35" w:rsidRDefault="003D3694" w:rsidP="0096743A">
            <w:pPr>
              <w:pStyle w:val="Tabletext"/>
              <w:keepNext/>
              <w:keepLines/>
              <w:spacing w:before="0" w:after="0"/>
              <w:rPr>
                <w:rFonts w:cstheme="minorHAnsi"/>
              </w:rPr>
            </w:pPr>
            <w:r w:rsidRPr="00747E35">
              <w:rPr>
                <w:rFonts w:cstheme="minorHAnsi"/>
              </w:rPr>
              <w:t>-</w:t>
            </w:r>
          </w:p>
        </w:tc>
      </w:tr>
      <w:tr w:rsidR="003D3694" w:rsidRPr="00747E35" w14:paraId="3878E16D" w14:textId="77777777" w:rsidTr="0096743A">
        <w:tc>
          <w:tcPr>
            <w:tcW w:w="2086" w:type="dxa"/>
          </w:tcPr>
          <w:p w14:paraId="353A11E4" w14:textId="77777777" w:rsidR="003D3694" w:rsidRPr="00747E35" w:rsidRDefault="003D3694" w:rsidP="0096743A">
            <w:pPr>
              <w:pStyle w:val="Tabletext"/>
              <w:keepNext/>
              <w:keepLines/>
              <w:spacing w:before="0" w:after="0"/>
              <w:rPr>
                <w:rFonts w:cstheme="minorHAnsi"/>
              </w:rPr>
            </w:pPr>
            <w:r w:rsidRPr="00747E35">
              <w:rPr>
                <w:rFonts w:cstheme="minorHAnsi"/>
              </w:rPr>
              <w:t xml:space="preserve">     Methanogenesis</w:t>
            </w:r>
          </w:p>
        </w:tc>
        <w:tc>
          <w:tcPr>
            <w:tcW w:w="832" w:type="dxa"/>
          </w:tcPr>
          <w:p w14:paraId="0FCD24DC" w14:textId="77777777" w:rsidR="003D3694" w:rsidRPr="00747E35" w:rsidRDefault="003D3694" w:rsidP="0096743A">
            <w:pPr>
              <w:pStyle w:val="Tabletext"/>
              <w:keepNext/>
              <w:keepLines/>
              <w:spacing w:before="0" w:after="0"/>
              <w:rPr>
                <w:rFonts w:cstheme="minorHAnsi"/>
              </w:rPr>
            </w:pPr>
            <w:r w:rsidRPr="00747E35">
              <w:rPr>
                <w:rFonts w:cstheme="minorHAnsi"/>
              </w:rPr>
              <w:t>&lt;0.5</w:t>
            </w:r>
          </w:p>
        </w:tc>
        <w:tc>
          <w:tcPr>
            <w:tcW w:w="952" w:type="dxa"/>
          </w:tcPr>
          <w:p w14:paraId="4C0BB4E8" w14:textId="77777777" w:rsidR="003D3694" w:rsidRPr="00747E35" w:rsidRDefault="003D3694" w:rsidP="0096743A">
            <w:pPr>
              <w:pStyle w:val="Tabletext"/>
              <w:keepNext/>
              <w:keepLines/>
              <w:spacing w:before="0" w:after="0"/>
              <w:rPr>
                <w:rFonts w:cstheme="minorHAnsi"/>
              </w:rPr>
            </w:pPr>
            <w:r w:rsidRPr="00747E35">
              <w:rPr>
                <w:rFonts w:cstheme="minorHAnsi"/>
              </w:rPr>
              <w:t>&lt;0.5</w:t>
            </w:r>
          </w:p>
        </w:tc>
        <w:tc>
          <w:tcPr>
            <w:tcW w:w="952" w:type="dxa"/>
          </w:tcPr>
          <w:p w14:paraId="78280FD4"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952" w:type="dxa"/>
          </w:tcPr>
          <w:p w14:paraId="33F43945" w14:textId="77777777" w:rsidR="003D3694" w:rsidRPr="00747E35" w:rsidRDefault="003D3694" w:rsidP="0096743A">
            <w:pPr>
              <w:pStyle w:val="Tabletext"/>
              <w:keepNext/>
              <w:keepLines/>
              <w:spacing w:before="0" w:after="0"/>
              <w:rPr>
                <w:rFonts w:cstheme="minorHAnsi"/>
              </w:rPr>
            </w:pPr>
            <w:r w:rsidRPr="00747E35">
              <w:rPr>
                <w:rFonts w:cstheme="minorHAnsi"/>
              </w:rPr>
              <w:t>≥0.1</w:t>
            </w:r>
          </w:p>
        </w:tc>
        <w:tc>
          <w:tcPr>
            <w:tcW w:w="952" w:type="dxa"/>
            <w:gridSpan w:val="2"/>
          </w:tcPr>
          <w:p w14:paraId="3B45CC48" w14:textId="77777777" w:rsidR="003D3694" w:rsidRPr="00747E35" w:rsidRDefault="003D3694" w:rsidP="0096743A">
            <w:pPr>
              <w:pStyle w:val="Tabletext"/>
              <w:keepNext/>
              <w:keepLines/>
              <w:spacing w:before="0" w:after="0"/>
              <w:rPr>
                <w:rFonts w:cstheme="minorHAnsi"/>
              </w:rPr>
            </w:pPr>
            <w:r w:rsidRPr="00747E35">
              <w:rPr>
                <w:rFonts w:cstheme="minorHAnsi"/>
              </w:rPr>
              <w:t>&lt;0.5</w:t>
            </w:r>
          </w:p>
        </w:tc>
        <w:tc>
          <w:tcPr>
            <w:tcW w:w="2902" w:type="dxa"/>
          </w:tcPr>
          <w:p w14:paraId="7FBAB32E" w14:textId="77777777" w:rsidR="003D3694" w:rsidRPr="00747E35" w:rsidRDefault="003D3694" w:rsidP="0096743A">
            <w:pPr>
              <w:pStyle w:val="Tabletext"/>
              <w:keepNext/>
              <w:keepLines/>
              <w:spacing w:before="0" w:after="0"/>
              <w:rPr>
                <w:rFonts w:cstheme="minorHAnsi"/>
              </w:rPr>
            </w:pPr>
            <w:r w:rsidRPr="00747E35">
              <w:rPr>
                <w:rFonts w:cstheme="minorHAnsi"/>
              </w:rPr>
              <w:t>-</w:t>
            </w:r>
          </w:p>
        </w:tc>
      </w:tr>
      <w:tr w:rsidR="003D3694" w:rsidRPr="00747E35" w14:paraId="4BC093E4" w14:textId="77777777" w:rsidTr="0096743A">
        <w:tc>
          <w:tcPr>
            <w:tcW w:w="2086" w:type="dxa"/>
          </w:tcPr>
          <w:p w14:paraId="106CD3DD" w14:textId="77777777" w:rsidR="003D3694" w:rsidRPr="00747E35" w:rsidRDefault="003D3694" w:rsidP="0096743A">
            <w:pPr>
              <w:pStyle w:val="Tabletext"/>
              <w:keepNext/>
              <w:keepLines/>
              <w:spacing w:before="0" w:after="0"/>
              <w:rPr>
                <w:rFonts w:cstheme="minorHAnsi"/>
              </w:rPr>
            </w:pPr>
            <w:r w:rsidRPr="00747E35">
              <w:rPr>
                <w:rFonts w:cstheme="minorHAnsi"/>
              </w:rPr>
              <w:t>Mixed</w:t>
            </w:r>
          </w:p>
        </w:tc>
        <w:tc>
          <w:tcPr>
            <w:tcW w:w="832" w:type="dxa"/>
          </w:tcPr>
          <w:p w14:paraId="3A0880C7" w14:textId="77777777" w:rsidR="003D3694" w:rsidRPr="00747E35" w:rsidRDefault="003D3694" w:rsidP="0096743A">
            <w:pPr>
              <w:pStyle w:val="Tabletext"/>
              <w:keepNext/>
              <w:keepLines/>
              <w:spacing w:before="0" w:after="0"/>
              <w:rPr>
                <w:rFonts w:cstheme="minorHAnsi"/>
              </w:rPr>
            </w:pPr>
          </w:p>
        </w:tc>
        <w:tc>
          <w:tcPr>
            <w:tcW w:w="952" w:type="dxa"/>
          </w:tcPr>
          <w:p w14:paraId="734134AC" w14:textId="77777777" w:rsidR="003D3694" w:rsidRPr="00747E35" w:rsidRDefault="003D3694" w:rsidP="0096743A">
            <w:pPr>
              <w:pStyle w:val="Tabletext"/>
              <w:keepNext/>
              <w:keepLines/>
              <w:spacing w:before="0" w:after="0"/>
              <w:rPr>
                <w:rFonts w:cstheme="minorHAnsi"/>
              </w:rPr>
            </w:pPr>
          </w:p>
        </w:tc>
        <w:tc>
          <w:tcPr>
            <w:tcW w:w="952" w:type="dxa"/>
          </w:tcPr>
          <w:p w14:paraId="278E9748" w14:textId="77777777" w:rsidR="003D3694" w:rsidRPr="00747E35" w:rsidRDefault="003D3694" w:rsidP="0096743A">
            <w:pPr>
              <w:pStyle w:val="Tabletext"/>
              <w:keepNext/>
              <w:keepLines/>
              <w:spacing w:before="0" w:after="0"/>
              <w:rPr>
                <w:rFonts w:cstheme="minorHAnsi"/>
              </w:rPr>
            </w:pPr>
          </w:p>
        </w:tc>
        <w:tc>
          <w:tcPr>
            <w:tcW w:w="952" w:type="dxa"/>
          </w:tcPr>
          <w:p w14:paraId="244E751B" w14:textId="77777777" w:rsidR="003D3694" w:rsidRPr="00747E35" w:rsidRDefault="003D3694" w:rsidP="0096743A">
            <w:pPr>
              <w:pStyle w:val="Tabletext"/>
              <w:keepNext/>
              <w:keepLines/>
              <w:spacing w:before="0" w:after="0"/>
              <w:rPr>
                <w:rFonts w:cstheme="minorHAnsi"/>
              </w:rPr>
            </w:pPr>
          </w:p>
        </w:tc>
        <w:tc>
          <w:tcPr>
            <w:tcW w:w="952" w:type="dxa"/>
            <w:gridSpan w:val="2"/>
          </w:tcPr>
          <w:p w14:paraId="70EF5F60" w14:textId="77777777" w:rsidR="003D3694" w:rsidRPr="00747E35" w:rsidRDefault="003D3694" w:rsidP="0096743A">
            <w:pPr>
              <w:pStyle w:val="Tabletext"/>
              <w:keepNext/>
              <w:keepLines/>
              <w:spacing w:before="0" w:after="0"/>
              <w:rPr>
                <w:rFonts w:cstheme="minorHAnsi"/>
              </w:rPr>
            </w:pPr>
          </w:p>
        </w:tc>
        <w:tc>
          <w:tcPr>
            <w:tcW w:w="2902" w:type="dxa"/>
          </w:tcPr>
          <w:p w14:paraId="2A2AEC86" w14:textId="77777777" w:rsidR="003D3694" w:rsidRPr="00747E35" w:rsidRDefault="003D3694" w:rsidP="0096743A">
            <w:pPr>
              <w:pStyle w:val="Tabletext"/>
              <w:keepNext/>
              <w:keepLines/>
              <w:spacing w:before="0" w:after="0"/>
              <w:rPr>
                <w:rFonts w:cstheme="minorHAnsi"/>
              </w:rPr>
            </w:pPr>
          </w:p>
        </w:tc>
      </w:tr>
      <w:tr w:rsidR="003D3694" w:rsidRPr="00747E35" w14:paraId="47BC2346" w14:textId="77777777" w:rsidTr="0096743A">
        <w:tc>
          <w:tcPr>
            <w:tcW w:w="2086" w:type="dxa"/>
            <w:tcBorders>
              <w:bottom w:val="single" w:sz="4" w:space="0" w:color="auto"/>
            </w:tcBorders>
          </w:tcPr>
          <w:p w14:paraId="35F6690C" w14:textId="77777777" w:rsidR="003D3694" w:rsidRPr="00747E35" w:rsidRDefault="003D3694" w:rsidP="0096743A">
            <w:pPr>
              <w:pStyle w:val="Tabletext"/>
              <w:keepNext/>
              <w:keepLines/>
              <w:spacing w:before="0" w:after="0"/>
              <w:rPr>
                <w:rFonts w:cstheme="minorHAnsi"/>
              </w:rPr>
            </w:pPr>
            <w:r w:rsidRPr="00747E35">
              <w:rPr>
                <w:rFonts w:cstheme="minorHAnsi"/>
              </w:rPr>
              <w:t xml:space="preserve">     -</w:t>
            </w:r>
          </w:p>
        </w:tc>
        <w:tc>
          <w:tcPr>
            <w:tcW w:w="832" w:type="dxa"/>
            <w:tcBorders>
              <w:bottom w:val="single" w:sz="4" w:space="0" w:color="auto"/>
            </w:tcBorders>
          </w:tcPr>
          <w:p w14:paraId="4928B552"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952" w:type="dxa"/>
            <w:tcBorders>
              <w:bottom w:val="single" w:sz="4" w:space="0" w:color="auto"/>
            </w:tcBorders>
          </w:tcPr>
          <w:p w14:paraId="39C0DAF7"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952" w:type="dxa"/>
            <w:tcBorders>
              <w:bottom w:val="single" w:sz="4" w:space="0" w:color="auto"/>
            </w:tcBorders>
          </w:tcPr>
          <w:p w14:paraId="369CF6D8"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952" w:type="dxa"/>
            <w:tcBorders>
              <w:bottom w:val="single" w:sz="4" w:space="0" w:color="auto"/>
            </w:tcBorders>
          </w:tcPr>
          <w:p w14:paraId="3EB69064"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952" w:type="dxa"/>
            <w:gridSpan w:val="2"/>
            <w:tcBorders>
              <w:bottom w:val="single" w:sz="4" w:space="0" w:color="auto"/>
            </w:tcBorders>
          </w:tcPr>
          <w:p w14:paraId="7CCE1096" w14:textId="77777777" w:rsidR="003D3694" w:rsidRPr="00747E35" w:rsidRDefault="003D3694" w:rsidP="0096743A">
            <w:pPr>
              <w:pStyle w:val="Tabletext"/>
              <w:keepNext/>
              <w:keepLines/>
              <w:spacing w:before="0" w:after="0"/>
              <w:rPr>
                <w:rFonts w:cstheme="minorHAnsi"/>
              </w:rPr>
            </w:pPr>
            <w:r w:rsidRPr="00747E35">
              <w:rPr>
                <w:rFonts w:cstheme="minorHAnsi"/>
              </w:rPr>
              <w:t>-</w:t>
            </w:r>
          </w:p>
        </w:tc>
        <w:tc>
          <w:tcPr>
            <w:tcW w:w="2902" w:type="dxa"/>
            <w:tcBorders>
              <w:bottom w:val="single" w:sz="4" w:space="0" w:color="auto"/>
            </w:tcBorders>
          </w:tcPr>
          <w:p w14:paraId="085F368B" w14:textId="77777777" w:rsidR="003D3694" w:rsidRPr="00747E35" w:rsidRDefault="003D3694" w:rsidP="0096743A">
            <w:pPr>
              <w:pStyle w:val="Tabletext"/>
              <w:keepNext/>
              <w:keepLines/>
              <w:spacing w:before="0" w:after="0"/>
              <w:rPr>
                <w:rFonts w:cstheme="minorHAnsi"/>
              </w:rPr>
            </w:pPr>
            <w:r w:rsidRPr="00747E35">
              <w:rPr>
                <w:rFonts w:cstheme="minorHAnsi"/>
              </w:rPr>
              <w:t>Criteria for more than one redox process are met</w:t>
            </w:r>
          </w:p>
        </w:tc>
      </w:tr>
    </w:tbl>
    <w:p w14:paraId="17A217CA" w14:textId="77777777" w:rsidR="003D3694" w:rsidRPr="00747E35" w:rsidRDefault="003D3694" w:rsidP="003D3694">
      <w:pPr>
        <w:rPr>
          <w:rFonts w:asciiTheme="minorHAnsi" w:hAnsiTheme="minorHAnsi" w:cstheme="minorHAnsi"/>
        </w:rPr>
      </w:pPr>
    </w:p>
    <w:p w14:paraId="40774E50" w14:textId="77777777" w:rsidR="003D3694" w:rsidRPr="00747E35" w:rsidRDefault="003D3694" w:rsidP="00085C15">
      <w:pPr>
        <w:pStyle w:val="Heading4"/>
        <w:rPr>
          <w:rFonts w:asciiTheme="minorHAnsi" w:hAnsiTheme="minorHAnsi" w:cstheme="minorHAnsi"/>
        </w:rPr>
      </w:pPr>
      <w:bookmarkStart w:id="225" w:name="_Toc466449946"/>
      <w:r w:rsidRPr="00747E35">
        <w:rPr>
          <w:rFonts w:asciiTheme="minorHAnsi" w:hAnsiTheme="minorHAnsi" w:cstheme="minorHAnsi"/>
        </w:rPr>
        <w:t>Data Analysis</w:t>
      </w:r>
    </w:p>
    <w:p w14:paraId="3C043A2A" w14:textId="4829482B"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To explore the groupings present in the data and the </w:t>
      </w:r>
      <w:r w:rsidR="006B2C7A">
        <w:rPr>
          <w:rFonts w:asciiTheme="minorHAnsi" w:hAnsiTheme="minorHAnsi" w:cstheme="minorHAnsi"/>
        </w:rPr>
        <w:t>physicochemical</w:t>
      </w:r>
      <w:r w:rsidRPr="00747E35">
        <w:rPr>
          <w:rFonts w:asciiTheme="minorHAnsi" w:hAnsiTheme="minorHAnsi" w:cstheme="minorHAnsi"/>
        </w:rPr>
        <w:t xml:space="preserve"> variables contributing to them, principal components analysis (PCA) was performed in the PLS toolbox (Eigenvector Research Incorporated). PCA was applied to the all </w:t>
      </w:r>
      <w:r w:rsidR="006B2C7A">
        <w:rPr>
          <w:rFonts w:asciiTheme="minorHAnsi" w:hAnsiTheme="minorHAnsi" w:cstheme="minorHAnsi"/>
        </w:rPr>
        <w:t>physicochemical</w:t>
      </w:r>
      <w:r w:rsidRPr="00747E35">
        <w:rPr>
          <w:rFonts w:asciiTheme="minorHAnsi" w:hAnsiTheme="minorHAnsi" w:cstheme="minorHAnsi"/>
        </w:rPr>
        <w:t xml:space="preserve"> variables for Maules Creek and upper Bremer River catchments hyporheic samples separately. Prior to analysis the data w</w:t>
      </w:r>
      <w:r w:rsidR="00424FDD">
        <w:rPr>
          <w:rFonts w:asciiTheme="minorHAnsi" w:hAnsiTheme="minorHAnsi" w:cstheme="minorHAnsi"/>
        </w:rPr>
        <w:t>ere</w:t>
      </w:r>
      <w:r w:rsidRPr="00747E35">
        <w:rPr>
          <w:rFonts w:asciiTheme="minorHAnsi" w:hAnsiTheme="minorHAnsi" w:cstheme="minorHAnsi"/>
        </w:rPr>
        <w:t xml:space="preserve"> auto-scaled (in PLS toolbox) due to the different scales of the </w:t>
      </w:r>
      <w:r w:rsidR="006B2C7A">
        <w:rPr>
          <w:rFonts w:asciiTheme="minorHAnsi" w:hAnsiTheme="minorHAnsi" w:cstheme="minorHAnsi"/>
        </w:rPr>
        <w:t>physicochemical</w:t>
      </w:r>
      <w:r w:rsidRPr="00747E35">
        <w:rPr>
          <w:rFonts w:asciiTheme="minorHAnsi" w:hAnsiTheme="minorHAnsi" w:cstheme="minorHAnsi"/>
        </w:rPr>
        <w:t xml:space="preserve"> variables.</w:t>
      </w:r>
    </w:p>
    <w:p w14:paraId="093834B4" w14:textId="77777777" w:rsidR="003D3694" w:rsidRPr="00747E35" w:rsidRDefault="003D3694" w:rsidP="003D3694">
      <w:pPr>
        <w:rPr>
          <w:rFonts w:asciiTheme="minorHAnsi" w:hAnsiTheme="minorHAnsi" w:cstheme="minorHAnsi"/>
        </w:rPr>
      </w:pPr>
    </w:p>
    <w:p w14:paraId="4C4A8FE4" w14:textId="52FF9558" w:rsidR="003D3694" w:rsidRPr="00747E35" w:rsidRDefault="003D3694" w:rsidP="00085C15">
      <w:pPr>
        <w:pStyle w:val="Heading3"/>
        <w:rPr>
          <w:rFonts w:asciiTheme="minorHAnsi" w:hAnsiTheme="minorHAnsi" w:cstheme="minorHAnsi"/>
        </w:rPr>
      </w:pPr>
      <w:bookmarkStart w:id="226" w:name="_Toc470004875"/>
      <w:r w:rsidRPr="00747E35">
        <w:rPr>
          <w:rFonts w:asciiTheme="minorHAnsi" w:hAnsiTheme="minorHAnsi" w:cstheme="minorHAnsi"/>
        </w:rPr>
        <w:t>Organic Matter (OM) Degradation Studies</w:t>
      </w:r>
      <w:bookmarkEnd w:id="225"/>
      <w:bookmarkEnd w:id="226"/>
    </w:p>
    <w:p w14:paraId="637F0800" w14:textId="1038B5B1"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Microbial activity and litter decomposition were assessed by cotton strip assays (assessing cellulose decomposition potential; CDP) and leaf litter incubations, the latter deployed in coarse mesh and fine mesh to distinguish the effect of macroinvertebrate shredders. The approach and study design were the same for components 2 and 3, except logistic constraints meant component 3 had two deployment periods for cotton strip assays whereas component 2 had four deployment periods. The design involved replicates deployed in riffle, pool and dry gravel-bar habitats, and under a range of flow regimes (intermittent, perennial gaining and perennial losing) and substrate saturation conditions (saturated, moist or dry).  The first round of cotton strips and leaf packs was deployed in the Maules Creek catchment in September 2015, during a period of flow recession (see </w:t>
      </w:r>
      <w:r w:rsidRPr="00747E35">
        <w:rPr>
          <w:rFonts w:asciiTheme="minorHAnsi" w:hAnsiTheme="minorHAnsi" w:cstheme="minorHAnsi"/>
        </w:rPr>
        <w:fldChar w:fldCharType="begin"/>
      </w:r>
      <w:r w:rsidRPr="00747E35">
        <w:rPr>
          <w:rFonts w:asciiTheme="minorHAnsi" w:hAnsiTheme="minorHAnsi" w:cstheme="minorHAnsi"/>
        </w:rPr>
        <w:instrText xml:space="preserve"> REF _Ref452276929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69</w:t>
      </w:r>
      <w:r w:rsidRPr="00747E35">
        <w:rPr>
          <w:rFonts w:asciiTheme="minorHAnsi" w:hAnsiTheme="minorHAnsi" w:cstheme="minorHAnsi"/>
        </w:rPr>
        <w:fldChar w:fldCharType="end"/>
      </w:r>
      <w:r w:rsidRPr="00747E35">
        <w:rPr>
          <w:rFonts w:asciiTheme="minorHAnsi" w:hAnsiTheme="minorHAnsi" w:cstheme="minorHAnsi"/>
        </w:rPr>
        <w:t>), and the second round was deployed in March 2016, near the end of the hot season. For the organic matter incubations, three reaches were selected within the intermittent, perennial gaining and perennial losing sections of the Maules Creek catchment (</w:t>
      </w:r>
      <w:r w:rsidRPr="00747E35">
        <w:rPr>
          <w:rFonts w:asciiTheme="minorHAnsi" w:hAnsiTheme="minorHAnsi" w:cstheme="minorHAnsi"/>
        </w:rPr>
        <w:fldChar w:fldCharType="begin"/>
      </w:r>
      <w:r w:rsidRPr="00747E35">
        <w:rPr>
          <w:rFonts w:asciiTheme="minorHAnsi" w:hAnsiTheme="minorHAnsi" w:cstheme="minorHAnsi"/>
        </w:rPr>
        <w:instrText xml:space="preserve"> REF _Ref466373802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65</w:t>
      </w:r>
      <w:r w:rsidRPr="00747E35">
        <w:rPr>
          <w:rFonts w:asciiTheme="minorHAnsi" w:hAnsiTheme="minorHAnsi" w:cstheme="minorHAnsi"/>
          <w:noProof/>
        </w:rPr>
        <w:fldChar w:fldCharType="end"/>
      </w:r>
      <w:r w:rsidRPr="00747E35">
        <w:rPr>
          <w:rFonts w:asciiTheme="minorHAnsi" w:hAnsiTheme="minorHAnsi" w:cstheme="minorHAnsi"/>
        </w:rPr>
        <w:t>). Each reach was between 200 and 450 m in length and contained patches of riffle, pool and sub-aerially exposed dry gravel bar</w:t>
      </w:r>
      <w:r w:rsidRPr="00747E35">
        <w:rPr>
          <w:rFonts w:asciiTheme="minorHAnsi" w:hAnsiTheme="minorHAnsi" w:cstheme="minorHAnsi"/>
          <w:sz w:val="20"/>
          <w:szCs w:val="20"/>
        </w:rPr>
        <w:t xml:space="preserve"> </w:t>
      </w:r>
      <w:r w:rsidRPr="00747E35">
        <w:rPr>
          <w:rFonts w:asciiTheme="minorHAnsi" w:hAnsiTheme="minorHAnsi" w:cstheme="minorHAnsi"/>
        </w:rPr>
        <w:t xml:space="preserve">habitats (Appendix </w:t>
      </w:r>
      <w:r w:rsidRPr="00747E35">
        <w:rPr>
          <w:rFonts w:asciiTheme="minorHAnsi" w:hAnsiTheme="minorHAnsi" w:cstheme="minorHAnsi"/>
        </w:rPr>
        <w:fldChar w:fldCharType="begin"/>
      </w:r>
      <w:r w:rsidRPr="00747E35">
        <w:rPr>
          <w:rFonts w:asciiTheme="minorHAnsi" w:hAnsiTheme="minorHAnsi" w:cstheme="minorHAnsi"/>
        </w:rPr>
        <w:instrText xml:space="preserve"> REF _Ref467014688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49</w:t>
      </w:r>
      <w:r w:rsidRPr="00747E35">
        <w:rPr>
          <w:rFonts w:asciiTheme="minorHAnsi" w:hAnsiTheme="minorHAnsi" w:cstheme="minorHAnsi"/>
        </w:rPr>
        <w:fldChar w:fldCharType="end"/>
      </w:r>
      <w:r w:rsidRPr="00747E35">
        <w:rPr>
          <w:rFonts w:asciiTheme="minorHAnsi" w:hAnsiTheme="minorHAnsi" w:cstheme="minorHAnsi"/>
        </w:rPr>
        <w:t xml:space="preserve">). Five patches within each type of habitat (15 patches per reach) were randomly selected (using a random number table). Each plot comprised a surface and a </w:t>
      </w:r>
      <w:r w:rsidR="006B2C7A">
        <w:rPr>
          <w:rFonts w:asciiTheme="minorHAnsi" w:hAnsiTheme="minorHAnsi" w:cstheme="minorHAnsi"/>
        </w:rPr>
        <w:t>subsurface</w:t>
      </w:r>
      <w:r w:rsidRPr="00747E35">
        <w:rPr>
          <w:rFonts w:asciiTheme="minorHAnsi" w:hAnsiTheme="minorHAnsi" w:cstheme="minorHAnsi"/>
        </w:rPr>
        <w:t xml:space="preserve"> deployment, the latter buried 15 cm (cotton strip) or 30 cm (leaf packs) below the surface. Each surface or </w:t>
      </w:r>
      <w:r w:rsidR="006B2C7A">
        <w:rPr>
          <w:rFonts w:asciiTheme="minorHAnsi" w:hAnsiTheme="minorHAnsi" w:cstheme="minorHAnsi"/>
        </w:rPr>
        <w:t>subsurface</w:t>
      </w:r>
      <w:r w:rsidRPr="00747E35">
        <w:rPr>
          <w:rFonts w:asciiTheme="minorHAnsi" w:hAnsiTheme="minorHAnsi" w:cstheme="minorHAnsi"/>
        </w:rPr>
        <w:t xml:space="preserve"> deployment comprised two replicate cotton strips attached to a ruler, one fine mesh and one coarse mesh leaf litter pack. This design resulted in a total of 90 cotton strips and 180 leaf packs per deployment period. The cotton strips were left in situ for six weeks, and the leaf packs for nine weeks, and then recovered for laboratory processing. The laboratory preparation and analysis of cotton strips and leaf litter are described in component 2.</w:t>
      </w:r>
    </w:p>
    <w:p w14:paraId="1B62D09A" w14:textId="710FEA10" w:rsidR="003D3694" w:rsidRPr="00747E35" w:rsidRDefault="003D3694" w:rsidP="003D3694">
      <w:pPr>
        <w:rPr>
          <w:rFonts w:asciiTheme="minorHAnsi" w:hAnsiTheme="minorHAnsi" w:cstheme="minorHAnsi"/>
        </w:rPr>
      </w:pPr>
      <w:r w:rsidRPr="00747E35">
        <w:rPr>
          <w:rFonts w:asciiTheme="minorHAnsi" w:hAnsiTheme="minorHAnsi" w:cstheme="minorHAnsi"/>
        </w:rPr>
        <w:t>Six temperature (</w:t>
      </w:r>
      <w:r w:rsidR="006B2C7A">
        <w:rPr>
          <w:rFonts w:asciiTheme="minorHAnsi" w:hAnsiTheme="minorHAnsi" w:cstheme="minorHAnsi"/>
        </w:rPr>
        <w:t>subsurface</w:t>
      </w:r>
      <w:r w:rsidRPr="00747E35">
        <w:rPr>
          <w:rFonts w:asciiTheme="minorHAnsi" w:hAnsiTheme="minorHAnsi" w:cstheme="minorHAnsi"/>
        </w:rPr>
        <w:t xml:space="preserve">) and nine temperature-light (surface) loggers were deployed with leaf packs in each section (see Appendix </w:t>
      </w:r>
      <w:r w:rsidRPr="00747E35">
        <w:rPr>
          <w:rFonts w:asciiTheme="minorHAnsi" w:hAnsiTheme="minorHAnsi" w:cstheme="minorHAnsi"/>
        </w:rPr>
        <w:fldChar w:fldCharType="begin"/>
      </w:r>
      <w:r w:rsidRPr="00747E35">
        <w:rPr>
          <w:rFonts w:asciiTheme="minorHAnsi" w:hAnsiTheme="minorHAnsi" w:cstheme="minorHAnsi"/>
        </w:rPr>
        <w:instrText xml:space="preserve"> REF _Ref467014688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49</w:t>
      </w:r>
      <w:r w:rsidRPr="00747E35">
        <w:rPr>
          <w:rFonts w:asciiTheme="minorHAnsi" w:hAnsiTheme="minorHAnsi" w:cstheme="minorHAnsi"/>
        </w:rPr>
        <w:fldChar w:fldCharType="end"/>
      </w:r>
      <w:r w:rsidRPr="00747E35">
        <w:rPr>
          <w:rFonts w:asciiTheme="minorHAnsi" w:hAnsiTheme="minorHAnsi" w:cstheme="minorHAnsi"/>
        </w:rPr>
        <w:t xml:space="preserve">). Within each section, the loggers were placed to be broadly representative of the study section and habitat with respect to water depth and canopy cover (pools and riffles) and saturation (hyporheic). </w:t>
      </w:r>
    </w:p>
    <w:p w14:paraId="38E96D4D"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To investigate the effect of substrate saturation on the microbial activity the moisture (saturated, moist or dry) at deployment and collection was recorded. The samples were then assigned to one of six sub-</w:t>
      </w:r>
      <w:r w:rsidRPr="00747E35">
        <w:rPr>
          <w:rFonts w:asciiTheme="minorHAnsi" w:hAnsiTheme="minorHAnsi" w:cstheme="minorHAnsi"/>
        </w:rPr>
        <w:lastRenderedPageBreak/>
        <w:t>categories based on the various combinations observed: 1) dry-dry; 2) dry-moist 3) dry-saturated; 4) moist-moist; 5) moist-saturated and 6) saturated-saturated.</w:t>
      </w:r>
    </w:p>
    <w:p w14:paraId="6E12F624" w14:textId="77777777" w:rsidR="003D3694" w:rsidRPr="00747E35" w:rsidRDefault="003D3694" w:rsidP="00085C15">
      <w:pPr>
        <w:pStyle w:val="Heading4"/>
        <w:rPr>
          <w:rFonts w:asciiTheme="minorHAnsi" w:hAnsiTheme="minorHAnsi" w:cstheme="minorHAnsi"/>
        </w:rPr>
      </w:pPr>
      <w:r w:rsidRPr="00747E35">
        <w:rPr>
          <w:rFonts w:asciiTheme="minorHAnsi" w:hAnsiTheme="minorHAnsi" w:cstheme="minorHAnsi"/>
        </w:rPr>
        <w:t>Data Analysis</w:t>
      </w:r>
    </w:p>
    <w:p w14:paraId="6879B4BE"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To test for significant differences between the rounds a linear mixed model was created with round as a fixed effect and moisture status as a random effect, to account for the drier conditions in round 2. A linear model for each round for both the cotton strips and leaf litter packs was created to investigate the influence of moisture status, habitat, hydrological regime, depth (i.e. surface or hyporheic), and for the leaf packs size of mesh (i.e. fine or coarse). After the initial model was fitted drop1 function was used to select the most significant variables based on AIC values. All analysis was conducted in R (R version 3.3.1).</w:t>
      </w:r>
    </w:p>
    <w:p w14:paraId="2017CBFF" w14:textId="77777777" w:rsidR="003D3694" w:rsidRPr="00747E35" w:rsidRDefault="003D3694" w:rsidP="003D3694">
      <w:pPr>
        <w:rPr>
          <w:rFonts w:asciiTheme="minorHAnsi" w:hAnsiTheme="minorHAnsi" w:cstheme="minorHAnsi"/>
        </w:rPr>
      </w:pPr>
    </w:p>
    <w:p w14:paraId="4BF9A97D" w14:textId="79F31748" w:rsidR="003D3694" w:rsidRPr="00747E35" w:rsidRDefault="003D3694" w:rsidP="00085C15">
      <w:pPr>
        <w:pStyle w:val="Heading3"/>
        <w:rPr>
          <w:rFonts w:asciiTheme="minorHAnsi" w:hAnsiTheme="minorHAnsi" w:cstheme="minorHAnsi"/>
        </w:rPr>
      </w:pPr>
      <w:bookmarkStart w:id="227" w:name="_Toc466449947"/>
      <w:bookmarkStart w:id="228" w:name="_Toc470004876"/>
      <w:r w:rsidRPr="00747E35">
        <w:rPr>
          <w:rFonts w:asciiTheme="minorHAnsi" w:hAnsiTheme="minorHAnsi" w:cstheme="minorHAnsi"/>
        </w:rPr>
        <w:t>Invertebrate ecology</w:t>
      </w:r>
      <w:bookmarkEnd w:id="227"/>
      <w:bookmarkEnd w:id="228"/>
    </w:p>
    <w:p w14:paraId="43E7EE8F" w14:textId="77777777" w:rsidR="003D3694" w:rsidRPr="00747E35" w:rsidRDefault="003D3694" w:rsidP="00085C15">
      <w:pPr>
        <w:pStyle w:val="Heading4"/>
        <w:rPr>
          <w:rFonts w:asciiTheme="minorHAnsi" w:hAnsiTheme="minorHAnsi" w:cstheme="minorHAnsi"/>
        </w:rPr>
      </w:pPr>
      <w:r w:rsidRPr="00747E35">
        <w:rPr>
          <w:rFonts w:asciiTheme="minorHAnsi" w:hAnsiTheme="minorHAnsi" w:cstheme="minorHAnsi"/>
        </w:rPr>
        <w:t>Hyporheic sampling</w:t>
      </w:r>
    </w:p>
    <w:p w14:paraId="33B7CF19" w14:textId="6EE127AE"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Comparison of hyporheic sampling results between different studies is complicated by differences in sampling protocols including, for example, replication, sample volume and taxonomic resolution (e.g. Boulton et al. 2004). To account for these variables we undertook pilot sampling at Maules Creek in February 2015 to investigate the effects of sampling volume, sample depth, and replication, on taxon capture rates. The pilot sampling was undertaken at one upwelling site (The Spring = Pool 32) and one </w:t>
      </w:r>
      <w:r w:rsidR="006B2C7A">
        <w:rPr>
          <w:rFonts w:asciiTheme="minorHAnsi" w:hAnsiTheme="minorHAnsi" w:cstheme="minorHAnsi"/>
        </w:rPr>
        <w:t>downwelling</w:t>
      </w:r>
      <w:r w:rsidRPr="00747E35">
        <w:rPr>
          <w:rFonts w:asciiTheme="minorHAnsi" w:hAnsiTheme="minorHAnsi" w:cstheme="minorHAnsi"/>
        </w:rPr>
        <w:t xml:space="preserve"> site (The Confluence=Pool 35/Riffle 9). At each site this involved eight shallow (depth ca. -30cm) subsamples and eight deep (depth ca. -70cm) subsamples. </w:t>
      </w:r>
    </w:p>
    <w:p w14:paraId="2D90C22F" w14:textId="2AE52FBF" w:rsidR="003D3694" w:rsidRPr="00747E35" w:rsidRDefault="003D3694" w:rsidP="003D3694">
      <w:pPr>
        <w:rPr>
          <w:rFonts w:asciiTheme="minorHAnsi" w:hAnsiTheme="minorHAnsi" w:cstheme="minorHAnsi"/>
        </w:rPr>
      </w:pPr>
      <w:r w:rsidRPr="00747E35">
        <w:rPr>
          <w:rFonts w:asciiTheme="minorHAnsi" w:hAnsiTheme="minorHAnsi" w:cstheme="minorHAnsi"/>
        </w:rPr>
        <w:t>To examine the effect of sample volume on invertebrate capture rates in our study areas, 10 L was pumped from each piezometer; the first 6 L pumped was elutriated in a 10 L bucket, sieved through a 45 um mesh, and preserved in a labelled bottle (designated the “A” subsample). The next 4 L was then collected in the same manner and preserved separately (designated the “B” subsample). The taxon accumulation rates were then compared between the A sample (6 L pumped volume) and the A + B samples combined (10 L pumped volume) to assess any differences in efficiency of taxon recovery between the pumped volumes. After collection of the fauna samples, field physico-chemistry (temperature, pH, EC, DO) was collected from each piezometer by inserting a small PVC tube to the base of the piezometer and sucking out a water sample with a large syringe, taking care to avoid aeration of the sample. Vertical hydraulic head difference (VH</w:t>
      </w:r>
      <w:r w:rsidR="00C766C8">
        <w:rPr>
          <w:rFonts w:asciiTheme="minorHAnsi" w:hAnsiTheme="minorHAnsi" w:cstheme="minorHAnsi"/>
        </w:rPr>
        <w:t>H</w:t>
      </w:r>
      <w:r w:rsidRPr="00747E35">
        <w:rPr>
          <w:rFonts w:asciiTheme="minorHAnsi" w:hAnsiTheme="minorHAnsi" w:cstheme="minorHAnsi"/>
        </w:rPr>
        <w:t xml:space="preserve">) at the sample depth was estimated (to +/- 0.5cm) using a clear plexiglass tube graduated in one centimetre intervals which was inserted to the base of the piezometer and then the piezometer was carefully removed and the difference in water levels between the surface and inside the tube were measured. Later in the study the hydraulic head difference was measured using a small electronic dip meter graduated in 1mm increments. At each site on this occasion a single “representative” water sample was collected from one shallow and one deep piezometer, along with a surface water sample, for laboratory analysis of major ions and other </w:t>
      </w:r>
      <w:r w:rsidR="006B2C7A">
        <w:rPr>
          <w:rFonts w:asciiTheme="minorHAnsi" w:hAnsiTheme="minorHAnsi" w:cstheme="minorHAnsi"/>
        </w:rPr>
        <w:t>physicochemical</w:t>
      </w:r>
      <w:r w:rsidRPr="00747E35">
        <w:rPr>
          <w:rFonts w:asciiTheme="minorHAnsi" w:hAnsiTheme="minorHAnsi" w:cstheme="minorHAnsi"/>
        </w:rPr>
        <w:t xml:space="preserve"> parameters. </w:t>
      </w:r>
    </w:p>
    <w:p w14:paraId="25763F38" w14:textId="23634055"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From the pilot studies, it was determined that subsequent sampling would be standardised to a 6 L volume per piezometer subsample with six piezometer subsamples (where possible, three shallow and three deep) per site. This arrangement was considered an acceptable trade-off between the desired aims of achieving statistical rigour with respect to in-site replication (time-consuming) and enabling adequate coverage of multiple sites (and times) across differing flow regimes (intermittent, perennial, losing, gaining) and directions of hyporheic exchange (upwelling, </w:t>
      </w:r>
      <w:r w:rsidR="006B2C7A">
        <w:rPr>
          <w:rFonts w:asciiTheme="minorHAnsi" w:hAnsiTheme="minorHAnsi" w:cstheme="minorHAnsi"/>
        </w:rPr>
        <w:t>downwelling</w:t>
      </w:r>
      <w:r w:rsidRPr="00747E35">
        <w:rPr>
          <w:rFonts w:asciiTheme="minorHAnsi" w:hAnsiTheme="minorHAnsi" w:cstheme="minorHAnsi"/>
        </w:rPr>
        <w:t xml:space="preserve">, neutral). Coupled field physico-chemistry and laboratory hydrochemistry samples were also collected from every piezometer immediately after collection of the fauna sample. Field physico-chemistry (pH, DO and EC) was measured in an inline flow cell (closed to the atmosphere) to ensure accuracy of readings, especially for DO. </w:t>
      </w:r>
    </w:p>
    <w:p w14:paraId="44641F62" w14:textId="77777777" w:rsidR="003D3694" w:rsidRPr="00747E35" w:rsidRDefault="003D3694" w:rsidP="003D3694">
      <w:pPr>
        <w:rPr>
          <w:rFonts w:asciiTheme="minorHAnsi" w:hAnsiTheme="minorHAnsi" w:cstheme="minorHAnsi"/>
        </w:rPr>
      </w:pPr>
    </w:p>
    <w:p w14:paraId="5014DCD9" w14:textId="77777777" w:rsidR="003D3694" w:rsidRPr="00747E35" w:rsidRDefault="003D3694" w:rsidP="00085C15">
      <w:pPr>
        <w:pStyle w:val="Heading4"/>
        <w:rPr>
          <w:rFonts w:asciiTheme="minorHAnsi" w:hAnsiTheme="minorHAnsi" w:cstheme="minorHAnsi"/>
        </w:rPr>
      </w:pPr>
      <w:r w:rsidRPr="00747E35">
        <w:rPr>
          <w:rFonts w:asciiTheme="minorHAnsi" w:hAnsiTheme="minorHAnsi" w:cstheme="minorHAnsi"/>
        </w:rPr>
        <w:lastRenderedPageBreak/>
        <w:t>Aquifer sampling</w:t>
      </w:r>
    </w:p>
    <w:p w14:paraId="4B696066" w14:textId="25B103AE" w:rsidR="003D3694" w:rsidRPr="00747E35" w:rsidRDefault="003D3694" w:rsidP="003D3694">
      <w:pPr>
        <w:rPr>
          <w:rFonts w:asciiTheme="minorHAnsi" w:hAnsiTheme="minorHAnsi" w:cstheme="minorHAnsi"/>
        </w:rPr>
      </w:pPr>
      <w:r w:rsidRPr="00747E35">
        <w:rPr>
          <w:rFonts w:asciiTheme="minorHAnsi" w:hAnsiTheme="minorHAnsi" w:cstheme="minorHAnsi"/>
        </w:rPr>
        <w:t>An inertia pump (Waterra Ltd.) was used to extract 180 to 190L of bore water, which was filtered through a 63</w:t>
      </w:r>
      <w:r w:rsidR="00C766C8">
        <w:rPr>
          <w:rFonts w:asciiTheme="minorHAnsi" w:hAnsiTheme="minorHAnsi" w:cstheme="minorHAnsi"/>
        </w:rPr>
        <w:t xml:space="preserve"> </w:t>
      </w:r>
      <w:r w:rsidR="00C766C8" w:rsidRPr="00C766C8">
        <w:rPr>
          <w:rFonts w:asciiTheme="minorHAnsi" w:hAnsiTheme="minorHAnsi" w:cstheme="minorHAnsi"/>
        </w:rPr>
        <w:t>µm</w:t>
      </w:r>
      <w:r w:rsidRPr="00747E35">
        <w:rPr>
          <w:rFonts w:asciiTheme="minorHAnsi" w:hAnsiTheme="minorHAnsi" w:cstheme="minorHAnsi"/>
        </w:rPr>
        <w:t xml:space="preserve"> mesh sieve to collect invertebrates, following the methods of Boulton and Hancock (2009). Samples were preserved in 100% ethanol, stained with rose bengal, and processed later in the laboratory. The first 30 to 40L of bore water, representing the estimated bore volume to purge (allowing for water column depth and bore diameter), was preserved separately. The next 150 to 160L of pumped water represented the post-purge aquifer sample.  Both purge and post-purge samples were sorted separately to evaluate the differences between bore and aquifer capture rates, and the data pooled for subsequent comparisons among sites. A few bores had smaller pumped volumes owing to smaller bore volumes, or difficulty in pumping.  After sampling for stygofauna, the bore water was sampled for physico-chemistry (see Table 17). Bore depth and standing water level were measured with a dipper. </w:t>
      </w:r>
    </w:p>
    <w:p w14:paraId="24A414A7" w14:textId="77777777" w:rsidR="003D3694" w:rsidRPr="00747E35" w:rsidRDefault="003D3694" w:rsidP="003D3694">
      <w:pPr>
        <w:autoSpaceDE/>
        <w:autoSpaceDN/>
        <w:spacing w:line="276" w:lineRule="auto"/>
        <w:rPr>
          <w:rFonts w:asciiTheme="minorHAnsi" w:hAnsiTheme="minorHAnsi" w:cstheme="minorHAnsi"/>
        </w:rPr>
      </w:pPr>
    </w:p>
    <w:p w14:paraId="45B91E37" w14:textId="77777777" w:rsidR="003D3694" w:rsidRPr="00747E35" w:rsidRDefault="003D3694" w:rsidP="00085C15">
      <w:pPr>
        <w:pStyle w:val="Heading4"/>
        <w:rPr>
          <w:rFonts w:asciiTheme="minorHAnsi" w:hAnsiTheme="minorHAnsi" w:cstheme="minorHAnsi"/>
        </w:rPr>
      </w:pPr>
      <w:r w:rsidRPr="00747E35">
        <w:rPr>
          <w:rFonts w:asciiTheme="minorHAnsi" w:hAnsiTheme="minorHAnsi" w:cstheme="minorHAnsi"/>
        </w:rPr>
        <w:t>Invertebrate identification and functional group classification</w:t>
      </w:r>
    </w:p>
    <w:p w14:paraId="69C8EBC2"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A study of the effect of taxonomic resolution on assessment of hyporheic assemblage composition in the Rhone River, France (Boulton et al. 2004) found that identification to order instead of species level did not significantly change the general ordination patterns among sites. In our study taxa were identified to the level of order, family and provisional morpho-species or morpho-taxon, using published keys and available literature.  Because many groundwater taxa are poorly described and exhibit conservative, convergent morphologies, identification to species level was not possible in many groups without specialist taxonomic expertise. The taxonomic resolution achieved in this study varied for different taxonomic groups and the true species-level richness was likely underestimated (Appendix 3: </w:t>
      </w:r>
      <w:r w:rsidRPr="00747E35">
        <w:rPr>
          <w:rFonts w:asciiTheme="minorHAnsi" w:hAnsiTheme="minorHAnsi" w:cstheme="minorHAnsi"/>
        </w:rPr>
        <w:fldChar w:fldCharType="begin"/>
      </w:r>
      <w:r w:rsidRPr="00747E35">
        <w:rPr>
          <w:rFonts w:asciiTheme="minorHAnsi" w:hAnsiTheme="minorHAnsi" w:cstheme="minorHAnsi"/>
        </w:rPr>
        <w:instrText xml:space="preserve"> REF _Ref467121952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158</w:t>
      </w:r>
      <w:r w:rsidRPr="00747E35">
        <w:rPr>
          <w:rFonts w:asciiTheme="minorHAnsi" w:hAnsiTheme="minorHAnsi" w:cstheme="minorHAnsi"/>
        </w:rPr>
        <w:fldChar w:fldCharType="end"/>
      </w:r>
      <w:r w:rsidRPr="00747E35">
        <w:rPr>
          <w:rFonts w:asciiTheme="minorHAnsi" w:hAnsiTheme="minorHAnsi" w:cstheme="minorHAnsi"/>
        </w:rPr>
        <w:t xml:space="preserve"> A,B,C, </w:t>
      </w:r>
      <w:r w:rsidRPr="00747E35">
        <w:rPr>
          <w:rFonts w:asciiTheme="minorHAnsi" w:hAnsiTheme="minorHAnsi" w:cstheme="minorHAnsi"/>
        </w:rPr>
        <w:fldChar w:fldCharType="begin"/>
      </w:r>
      <w:r w:rsidRPr="00747E35">
        <w:rPr>
          <w:rFonts w:asciiTheme="minorHAnsi" w:hAnsiTheme="minorHAnsi" w:cstheme="minorHAnsi"/>
        </w:rPr>
        <w:instrText xml:space="preserve"> REF _Ref467121960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159</w:t>
      </w:r>
      <w:r w:rsidRPr="00747E35">
        <w:rPr>
          <w:rFonts w:asciiTheme="minorHAnsi" w:hAnsiTheme="minorHAnsi" w:cstheme="minorHAnsi"/>
        </w:rPr>
        <w:fldChar w:fldCharType="end"/>
      </w:r>
      <w:r w:rsidRPr="00747E35">
        <w:rPr>
          <w:rFonts w:asciiTheme="minorHAnsi" w:hAnsiTheme="minorHAnsi" w:cstheme="minorHAnsi"/>
        </w:rPr>
        <w:t xml:space="preserve"> A,B,C). This unevenness in taxonomic resolution needs to be taken into consideration when interpreting the results. </w:t>
      </w:r>
    </w:p>
    <w:p w14:paraId="5C097221"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Each morpho-species/taxon was assigned to one (or a combination where uncertain) of the conventional ecological categories used for classifying subterranean (hypogean) fauna based on their known or inferred ecological-evolutionary affinity with groundwater: stygobite (Sb), stygophile (Sp) or stygoxene (Sx) (sensu Gibert et al. 1994). A fourth major category was epigean taxa (Ep) (see Glossary for definitions). For some of the later analyses these categories were pooled into two main groups defined by their groundwater habitat affinity: (1) those taxa with an obligate or facultative dependence on groundwater (stygobites and stygophiles), and; (2) those taxa without such high dependence on groundwater (stygoxenes and epigean).</w:t>
      </w:r>
    </w:p>
    <w:p w14:paraId="716C311B"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Ecological status remains uncertain for many species collected in this survey, and determining this status would require detailed morphological examination by taxonomic specialists and additional field studies beyond the scope of this project. For taxa of uncertain status, a conservative and mixed classification was adopted, e.g. Sp/Sb? for taxa that have a high probability of being stygophiles, and might actually be stygobites due to their regular occurrence in hyporheic samples, and/or their possession of apparent stygomorphies (e.g. depigmentation). Cyclopoid copepods are an example of a taxon that was assigned to this mixed classification.   Additional ecological categories applied to the taxa collected in this study included predominantly epigean (Ep) forms such as Cladocera and various groups of Insecta (e.g. Odonata, Diptera: Simulidae) and parasites (P) including Branchiura and Nematomorpha.  Another category applied was - Accidental / Terrestrial (Ac) – which were taxa known or suspected of being terrestrial in origin and captured as incidental ‘by-catch’ during sampling. Typical by-catch comprised Collembola and some Acarina. Finally, some taxa were classified as “unknown” ecological status, usually due to very poor specimen condition (damaged) and low taxonomic resolution, e.g. Arthropoda indeterminate. Terrestrial by-catch and poorly identified higher level taxa of unknown status were excluded from analysis. </w:t>
      </w:r>
    </w:p>
    <w:p w14:paraId="5EA4BFD5" w14:textId="77777777" w:rsidR="003D3694" w:rsidRPr="00747E35" w:rsidRDefault="003D3694" w:rsidP="003D3694">
      <w:pPr>
        <w:rPr>
          <w:rFonts w:asciiTheme="minorHAnsi" w:hAnsiTheme="minorHAnsi" w:cstheme="minorHAnsi"/>
        </w:rPr>
      </w:pPr>
    </w:p>
    <w:p w14:paraId="7160454A" w14:textId="77777777" w:rsidR="003D3694" w:rsidRPr="00747E35" w:rsidRDefault="003D3694" w:rsidP="00085C15">
      <w:pPr>
        <w:pStyle w:val="Heading4"/>
        <w:rPr>
          <w:rFonts w:asciiTheme="minorHAnsi" w:hAnsiTheme="minorHAnsi" w:cstheme="minorHAnsi"/>
        </w:rPr>
      </w:pPr>
      <w:r w:rsidRPr="00747E35">
        <w:rPr>
          <w:rFonts w:asciiTheme="minorHAnsi" w:hAnsiTheme="minorHAnsi" w:cstheme="minorHAnsi"/>
        </w:rPr>
        <w:lastRenderedPageBreak/>
        <w:t>Data analysis</w:t>
      </w:r>
    </w:p>
    <w:p w14:paraId="154F0BD7" w14:textId="3C212256" w:rsidR="003D3694" w:rsidRPr="00747E35" w:rsidRDefault="003D3694" w:rsidP="003D3694">
      <w:pPr>
        <w:rPr>
          <w:rFonts w:asciiTheme="minorHAnsi" w:hAnsiTheme="minorHAnsi" w:cstheme="minorHAnsi"/>
        </w:rPr>
      </w:pPr>
      <w:r w:rsidRPr="00747E35">
        <w:rPr>
          <w:rFonts w:asciiTheme="minorHAnsi" w:hAnsiTheme="minorHAnsi" w:cstheme="minorHAnsi"/>
        </w:rPr>
        <w:t>Data w</w:t>
      </w:r>
      <w:r w:rsidR="00424FDD">
        <w:rPr>
          <w:rFonts w:asciiTheme="minorHAnsi" w:hAnsiTheme="minorHAnsi" w:cstheme="minorHAnsi"/>
        </w:rPr>
        <w:t>ere</w:t>
      </w:r>
      <w:r w:rsidRPr="00747E35">
        <w:rPr>
          <w:rFonts w:asciiTheme="minorHAnsi" w:hAnsiTheme="minorHAnsi" w:cstheme="minorHAnsi"/>
        </w:rPr>
        <w:t xml:space="preserve"> initially entered, manipulated and plotted in Microsoft Excel. Additional univariate data plots and ANOVA were performed in the R statistical software package. Because the number of sample dates varied among sites, as did the replication within them, it was decided to average the values for species richness and total abundance within each combination of date and site for the univariate analyses, and use these averaged values for subsequent analyses of variance. For the analyses of hyporheic exchange the design was regarded as a 2-way fixed factorial with hydraulic gradient (3 levels: “Strongly </w:t>
      </w:r>
      <w:r w:rsidR="006B2C7A">
        <w:rPr>
          <w:rFonts w:asciiTheme="minorHAnsi" w:hAnsiTheme="minorHAnsi" w:cstheme="minorHAnsi"/>
        </w:rPr>
        <w:t>Downwelling</w:t>
      </w:r>
      <w:r w:rsidRPr="00747E35">
        <w:rPr>
          <w:rFonts w:asciiTheme="minorHAnsi" w:hAnsiTheme="minorHAnsi" w:cstheme="minorHAnsi"/>
        </w:rPr>
        <w:t xml:space="preserve">”, “Neutral” and “Strongly Upwelling”) crossed with depth (2 levels: “Shallow” and “Deep”). Assignment of hydraulic gradient levels was based on field measurements of vertical hydraulic head (cm): “Strongly </w:t>
      </w:r>
      <w:r w:rsidR="006B2C7A">
        <w:rPr>
          <w:rFonts w:asciiTheme="minorHAnsi" w:hAnsiTheme="minorHAnsi" w:cstheme="minorHAnsi"/>
        </w:rPr>
        <w:t>Downwelling</w:t>
      </w:r>
      <w:r w:rsidRPr="00747E35">
        <w:rPr>
          <w:rFonts w:asciiTheme="minorHAnsi" w:hAnsiTheme="minorHAnsi" w:cstheme="minorHAnsi"/>
        </w:rPr>
        <w:t>” (VHH &lt; -1.0cm), “Strongly upwelling” (VH</w:t>
      </w:r>
      <w:r w:rsidR="00C766C8">
        <w:rPr>
          <w:rFonts w:asciiTheme="minorHAnsi" w:hAnsiTheme="minorHAnsi" w:cstheme="minorHAnsi"/>
        </w:rPr>
        <w:t>H</w:t>
      </w:r>
      <w:r w:rsidRPr="00747E35">
        <w:rPr>
          <w:rFonts w:asciiTheme="minorHAnsi" w:hAnsiTheme="minorHAnsi" w:cstheme="minorHAnsi"/>
        </w:rPr>
        <w:t xml:space="preserve"> &gt; 1.0cm), and “Neutral”, which encompassed neutral and weakly upwelling/</w:t>
      </w:r>
      <w:r w:rsidR="006B2C7A">
        <w:rPr>
          <w:rFonts w:asciiTheme="minorHAnsi" w:hAnsiTheme="minorHAnsi" w:cstheme="minorHAnsi"/>
        </w:rPr>
        <w:t>downwelling</w:t>
      </w:r>
      <w:r w:rsidRPr="00747E35">
        <w:rPr>
          <w:rFonts w:asciiTheme="minorHAnsi" w:hAnsiTheme="minorHAnsi" w:cstheme="minorHAnsi"/>
        </w:rPr>
        <w:t xml:space="preserve"> sites (-0.9 &lt; VHH &lt;+0.9cm). A priori treatment contrasts using “Strongly </w:t>
      </w:r>
      <w:r w:rsidR="006B2C7A">
        <w:rPr>
          <w:rFonts w:asciiTheme="minorHAnsi" w:hAnsiTheme="minorHAnsi" w:cstheme="minorHAnsi"/>
        </w:rPr>
        <w:t>Downwelling</w:t>
      </w:r>
      <w:r w:rsidRPr="00747E35">
        <w:rPr>
          <w:rFonts w:asciiTheme="minorHAnsi" w:hAnsiTheme="minorHAnsi" w:cstheme="minorHAnsi"/>
        </w:rPr>
        <w:t>” as the reference condition were used to assess differences between levels of hydraulic gradient. For the flow regime analyses, a priori treatment contrasts used ‘Intermittent’ as the baseline.  Diagnostics showed no transformation was required for species richness, but abundance was log</w:t>
      </w:r>
      <w:r w:rsidRPr="00747E35">
        <w:rPr>
          <w:rFonts w:asciiTheme="minorHAnsi" w:hAnsiTheme="minorHAnsi" w:cstheme="minorHAnsi"/>
          <w:vertAlign w:val="subscript"/>
        </w:rPr>
        <w:t>10</w:t>
      </w:r>
      <w:r w:rsidRPr="00747E35">
        <w:rPr>
          <w:rFonts w:asciiTheme="minorHAnsi" w:hAnsiTheme="minorHAnsi" w:cstheme="minorHAnsi"/>
        </w:rPr>
        <w:t xml:space="preserve">(y+1) transformed to avoid heteroscedasticity. Associations between univariate biotic indices (richness and abundance) and hydrochemistry variables were examined with Kendall’s tau correlations (considered influential if Rho &gt; 0.3).  </w:t>
      </w:r>
    </w:p>
    <w:p w14:paraId="1485F693" w14:textId="14520F3F" w:rsidR="003D3694" w:rsidRPr="00747E35" w:rsidRDefault="003D3694" w:rsidP="003D3694">
      <w:pPr>
        <w:rPr>
          <w:rFonts w:asciiTheme="minorHAnsi" w:hAnsiTheme="minorHAnsi" w:cstheme="minorHAnsi"/>
        </w:rPr>
      </w:pPr>
      <w:r w:rsidRPr="00747E35">
        <w:rPr>
          <w:rFonts w:asciiTheme="minorHAnsi" w:hAnsiTheme="minorHAnsi" w:cstheme="minorHAnsi"/>
        </w:rPr>
        <w:t>Multivariate analyses were conducted using EPrimer v7 + PERMANOVA. In EPrimer v7, fauna assemblage data w</w:t>
      </w:r>
      <w:r w:rsidR="00424FDD">
        <w:rPr>
          <w:rFonts w:asciiTheme="minorHAnsi" w:hAnsiTheme="minorHAnsi" w:cstheme="minorHAnsi"/>
        </w:rPr>
        <w:t>ere</w:t>
      </w:r>
      <w:r w:rsidRPr="00747E35">
        <w:rPr>
          <w:rFonts w:asciiTheme="minorHAnsi" w:hAnsiTheme="minorHAnsi" w:cstheme="minorHAnsi"/>
        </w:rPr>
        <w:t xml:space="preserve"> examined using the shade plots routine to evaluate the effect of dispersion weighting and transformations (square root, fourth root, log(x+1), presence-absence). Taxon abundance data w</w:t>
      </w:r>
      <w:r w:rsidR="00424FDD">
        <w:rPr>
          <w:rFonts w:asciiTheme="minorHAnsi" w:hAnsiTheme="minorHAnsi" w:cstheme="minorHAnsi"/>
        </w:rPr>
        <w:t>ere</w:t>
      </w:r>
      <w:r w:rsidRPr="00747E35">
        <w:rPr>
          <w:rFonts w:asciiTheme="minorHAnsi" w:hAnsiTheme="minorHAnsi" w:cstheme="minorHAnsi"/>
        </w:rPr>
        <w:t xml:space="preserve"> square root transformed because the resultant shade plots appeared to adequately account for the highly clumped dispersion of a few taxa. Resemblances were calculated using the Bray-Curtis similarity with a dummy variable with a value of 1 added to all samples to facilitate inclusion of otherwise empty (0 abundance) samples. Quantitative environmental variables were examined for skewness and correlation using the histograms and draftsman plot routines in EPrimer. Right skewed variables were transformed by square root or fourth root as required to approximate normality. Left skewed variables were transformed by log (+Max –V). No variables were strongly correlated (r &gt; 0.95) and so none were removed from the dataset.  All quantitative variables were normalised (after transformation) prior to multivariate analysis. Environmental resemblances were calculated based on Euclidean distances. </w:t>
      </w:r>
    </w:p>
    <w:p w14:paraId="7251131B"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Associations between multivariate fauna assemblages and environmental variables (transformed, normalised) were examined with Pearson correlations (considered influential if rp &gt; 0.4) in EPrimer. Sampling adequacy between study areas, and between groundwater habitat affinity groups (stygobites/stygophiles and stygoxenes/epigean taxa), was assessed with taxon accumulation curves, and sampling completeness was evaluated using the standard estimators (e.g. Colwell 1984) available in EPrimer v7 (Appendix 2: </w:t>
      </w:r>
      <w:r w:rsidRPr="00747E35">
        <w:rPr>
          <w:rFonts w:asciiTheme="minorHAnsi" w:hAnsiTheme="minorHAnsi" w:cstheme="minorHAnsi"/>
        </w:rPr>
        <w:fldChar w:fldCharType="begin"/>
      </w:r>
      <w:r w:rsidRPr="00747E35">
        <w:rPr>
          <w:rFonts w:asciiTheme="minorHAnsi" w:hAnsiTheme="minorHAnsi" w:cstheme="minorHAnsi"/>
        </w:rPr>
        <w:instrText xml:space="preserve"> REF _Ref467121952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158</w:t>
      </w:r>
      <w:r w:rsidRPr="00747E35">
        <w:rPr>
          <w:rFonts w:asciiTheme="minorHAnsi" w:hAnsiTheme="minorHAnsi" w:cstheme="minorHAnsi"/>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_Ref467121960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159</w:t>
      </w:r>
      <w:r w:rsidRPr="00747E35">
        <w:rPr>
          <w:rFonts w:asciiTheme="minorHAnsi" w:hAnsiTheme="minorHAnsi" w:cstheme="minorHAnsi"/>
        </w:rPr>
        <w:fldChar w:fldCharType="end"/>
      </w:r>
      <w:r w:rsidRPr="00747E35">
        <w:rPr>
          <w:rFonts w:asciiTheme="minorHAnsi" w:hAnsiTheme="minorHAnsi" w:cstheme="minorHAnsi"/>
        </w:rPr>
        <w:t xml:space="preserve">). Differences in assemblage structure among sites, sample dates, sample depth, flow regime, DO and hyporheic exchange expressed as vertical hydraulic head (VHH, cm) were assessed using PERMANOVA using a nested design (crossed fixed factors = regime and depth; nested factors = site nested within regime and date nested within site; continuous co-variables = DO and VHH). </w:t>
      </w:r>
    </w:p>
    <w:p w14:paraId="2B56EB5F" w14:textId="77777777" w:rsidR="003D3694" w:rsidRPr="00747E35" w:rsidRDefault="003D3694" w:rsidP="003D3694">
      <w:pPr>
        <w:rPr>
          <w:rFonts w:asciiTheme="minorHAnsi" w:hAnsiTheme="minorHAnsi" w:cstheme="minorHAnsi"/>
        </w:rPr>
      </w:pPr>
    </w:p>
    <w:p w14:paraId="27616D81" w14:textId="77777777" w:rsidR="00085C15" w:rsidRPr="00747E35" w:rsidRDefault="00085C15">
      <w:pPr>
        <w:autoSpaceDE/>
        <w:autoSpaceDN/>
        <w:spacing w:after="160" w:line="259" w:lineRule="auto"/>
        <w:rPr>
          <w:rFonts w:asciiTheme="minorHAnsi" w:hAnsiTheme="minorHAnsi" w:cstheme="minorHAnsi"/>
          <w:b/>
          <w:bCs/>
          <w:color w:val="44546A" w:themeColor="text2"/>
          <w:sz w:val="30"/>
          <w:szCs w:val="48"/>
          <w:lang w:val="en-GB"/>
        </w:rPr>
      </w:pPr>
      <w:bookmarkStart w:id="229" w:name="_Toc466449948"/>
      <w:bookmarkStart w:id="230" w:name="_Toc466450363"/>
      <w:bookmarkStart w:id="231" w:name="_Toc467211718"/>
      <w:bookmarkStart w:id="232" w:name="_Toc453235106"/>
      <w:r w:rsidRPr="00747E35">
        <w:rPr>
          <w:rFonts w:asciiTheme="minorHAnsi" w:hAnsiTheme="minorHAnsi" w:cstheme="minorHAnsi"/>
        </w:rPr>
        <w:br w:type="page"/>
      </w:r>
    </w:p>
    <w:p w14:paraId="40905907" w14:textId="1E8A1630" w:rsidR="003D3694" w:rsidRPr="00747E35" w:rsidRDefault="003D3694" w:rsidP="003D3694">
      <w:pPr>
        <w:pStyle w:val="Heading2"/>
        <w:rPr>
          <w:rFonts w:asciiTheme="minorHAnsi" w:hAnsiTheme="minorHAnsi" w:cstheme="minorHAnsi"/>
        </w:rPr>
      </w:pPr>
      <w:bookmarkStart w:id="233" w:name="_Toc470004877"/>
      <w:r w:rsidRPr="00747E35">
        <w:rPr>
          <w:rFonts w:asciiTheme="minorHAnsi" w:hAnsiTheme="minorHAnsi" w:cstheme="minorHAnsi"/>
        </w:rPr>
        <w:lastRenderedPageBreak/>
        <w:t>Results</w:t>
      </w:r>
      <w:bookmarkEnd w:id="229"/>
      <w:bookmarkEnd w:id="230"/>
      <w:bookmarkEnd w:id="231"/>
      <w:bookmarkEnd w:id="233"/>
      <w:r w:rsidRPr="00747E35">
        <w:rPr>
          <w:rFonts w:asciiTheme="minorHAnsi" w:hAnsiTheme="minorHAnsi" w:cstheme="minorHAnsi"/>
        </w:rPr>
        <w:t xml:space="preserve"> </w:t>
      </w:r>
      <w:bookmarkEnd w:id="232"/>
    </w:p>
    <w:p w14:paraId="7CB44040" w14:textId="2B44F411" w:rsidR="003D3694" w:rsidRPr="00747E35" w:rsidRDefault="003D3694" w:rsidP="00085C15">
      <w:pPr>
        <w:pStyle w:val="Heading3"/>
        <w:rPr>
          <w:rFonts w:asciiTheme="minorHAnsi" w:hAnsiTheme="minorHAnsi" w:cstheme="minorHAnsi"/>
        </w:rPr>
      </w:pPr>
      <w:bookmarkStart w:id="234" w:name="_Toc466449949"/>
      <w:bookmarkStart w:id="235" w:name="_Toc470004878"/>
      <w:r w:rsidRPr="00747E35">
        <w:rPr>
          <w:rFonts w:asciiTheme="minorHAnsi" w:hAnsiTheme="minorHAnsi" w:cstheme="minorHAnsi"/>
        </w:rPr>
        <w:t>Physical Hydrology</w:t>
      </w:r>
      <w:bookmarkEnd w:id="234"/>
      <w:bookmarkEnd w:id="235"/>
    </w:p>
    <w:p w14:paraId="2A11C7DE" w14:textId="396F962E"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A representative groundwater hydrograph near the streams (&lt; 50 m) at each of three regions within the Maules Creek catchment is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_Ref452276929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69</w:t>
      </w:r>
      <w:r w:rsidRPr="00747E35">
        <w:rPr>
          <w:rFonts w:asciiTheme="minorHAnsi" w:hAnsiTheme="minorHAnsi" w:cstheme="minorHAnsi"/>
        </w:rPr>
        <w:fldChar w:fldCharType="end"/>
      </w:r>
      <w:r w:rsidRPr="00747E35">
        <w:rPr>
          <w:rFonts w:asciiTheme="minorHAnsi" w:hAnsiTheme="minorHAnsi" w:cstheme="minorHAnsi"/>
        </w:rPr>
        <w:t xml:space="preserve"> (with times for our sampling campaigns marked). The hydrograph from borehole BH18-4 at Middle Creek Farm (</w:t>
      </w:r>
      <w:r w:rsidRPr="00747E35">
        <w:rPr>
          <w:rFonts w:asciiTheme="minorHAnsi" w:hAnsiTheme="minorHAnsi" w:cstheme="minorHAnsi"/>
        </w:rPr>
        <w:fldChar w:fldCharType="begin"/>
      </w:r>
      <w:r w:rsidRPr="00747E35">
        <w:rPr>
          <w:rFonts w:asciiTheme="minorHAnsi" w:hAnsiTheme="minorHAnsi" w:cstheme="minorHAnsi"/>
        </w:rPr>
        <w:instrText xml:space="preserve"> REF _Ref452276929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69</w:t>
      </w:r>
      <w:r w:rsidRPr="00747E35">
        <w:rPr>
          <w:rFonts w:asciiTheme="minorHAnsi" w:hAnsiTheme="minorHAnsi" w:cstheme="minorHAnsi"/>
        </w:rPr>
        <w:fldChar w:fldCharType="end"/>
      </w:r>
      <w:r w:rsidRPr="00747E35">
        <w:rPr>
          <w:rFonts w:asciiTheme="minorHAnsi" w:hAnsiTheme="minorHAnsi" w:cstheme="minorHAnsi"/>
        </w:rPr>
        <w:t>-a) shows a receding groundwater table until around the 16</w:t>
      </w:r>
      <w:r w:rsidRPr="00747E35">
        <w:rPr>
          <w:rFonts w:asciiTheme="minorHAnsi" w:hAnsiTheme="minorHAnsi" w:cstheme="minorHAnsi"/>
          <w:vertAlign w:val="superscript"/>
        </w:rPr>
        <w:t>th</w:t>
      </w:r>
      <w:r w:rsidRPr="00747E35">
        <w:rPr>
          <w:rFonts w:asciiTheme="minorHAnsi" w:hAnsiTheme="minorHAnsi" w:cstheme="minorHAnsi"/>
        </w:rPr>
        <w:t xml:space="preserve"> of June when a flow event in Middle Creek recharged the aquifer and raised the water table by about 3 m. The groundwater hydrograph at BH10-2 (</w:t>
      </w:r>
      <w:r w:rsidRPr="00747E35">
        <w:rPr>
          <w:rFonts w:asciiTheme="minorHAnsi" w:hAnsiTheme="minorHAnsi" w:cstheme="minorHAnsi"/>
        </w:rPr>
        <w:fldChar w:fldCharType="begin"/>
      </w:r>
      <w:r w:rsidRPr="00747E35">
        <w:rPr>
          <w:rFonts w:asciiTheme="minorHAnsi" w:hAnsiTheme="minorHAnsi" w:cstheme="minorHAnsi"/>
        </w:rPr>
        <w:instrText xml:space="preserve"> REF _Ref452276929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69</w:t>
      </w:r>
      <w:r w:rsidRPr="00747E35">
        <w:rPr>
          <w:rFonts w:asciiTheme="minorHAnsi" w:hAnsiTheme="minorHAnsi" w:cstheme="minorHAnsi"/>
        </w:rPr>
        <w:fldChar w:fldCharType="end"/>
      </w:r>
      <w:r w:rsidRPr="00747E35">
        <w:rPr>
          <w:rFonts w:asciiTheme="minorHAnsi" w:hAnsiTheme="minorHAnsi" w:cstheme="minorHAnsi"/>
        </w:rPr>
        <w:t>-b) on Horsearm Creek, further downstream in the system (about 500 m upstream from the Perennial gaining section) shows the same pattern but much subdued (less than 1 m rise) and lagged in time by about six months. The flow event in June 2015 did not reach as far as BH10 as surface water flow. The groundwater hydrograph at BH7 on Maules Creek at Elfin Crossing shows an overall decline in the groundwater level (approximately one metre over the course of this study); however, the stream level remains constant over the entire study period.</w:t>
      </w:r>
    </w:p>
    <w:p w14:paraId="072D69CA" w14:textId="54A56C3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Temporal variation in </w:t>
      </w:r>
      <w:r w:rsidR="006B2C7A">
        <w:rPr>
          <w:rFonts w:asciiTheme="minorHAnsi" w:hAnsiTheme="minorHAnsi" w:cstheme="minorHAnsi"/>
        </w:rPr>
        <w:t>subsurface</w:t>
      </w:r>
      <w:r w:rsidRPr="00747E35">
        <w:rPr>
          <w:rFonts w:asciiTheme="minorHAnsi" w:hAnsiTheme="minorHAnsi" w:cstheme="minorHAnsi"/>
        </w:rPr>
        <w:t xml:space="preserve"> (from logger 1m below benthic surface) water temperature and water level at various locations within the Maules Creek catchment is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_Ref466410078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70</w:t>
      </w:r>
      <w:r w:rsidRPr="00747E35">
        <w:rPr>
          <w:rFonts w:asciiTheme="minorHAnsi" w:hAnsiTheme="minorHAnsi" w:cstheme="minorHAnsi"/>
        </w:rPr>
        <w:fldChar w:fldCharType="end"/>
      </w:r>
      <w:r w:rsidRPr="00747E35">
        <w:rPr>
          <w:rFonts w:asciiTheme="minorHAnsi" w:hAnsiTheme="minorHAnsi" w:cstheme="minorHAnsi"/>
        </w:rPr>
        <w:t>. Over the course of this study the temperature remained stable at the ‘Spring’ site with minor seasonal changes but no diel variations. The lack of diel temperature variations indicates strong upward flow of constant-temperature groundwater flushing out the temperature variations (Rau et al., 2010). Due to the lack of daily variations, the water flux cannot be quantified using the temperature data. At the other sites, there were more pronounced seasonal variations with warming towards summer and cooling in the winter months. At the ‘Confluence’ site, the streambed temperatures show strong diel variations, even at 1 m below the streambed. These indicate strong downward flow (Rau et al. 2010). The ‘Spring’ site and the downstream sites, Pool 34 and the ‘Confluence’ had a stable water level over the course of the study relative to the intermittent and losing stream reaches. The other sites further downstream in the perennial losing section showed an overall decrease in the water level until June 2016 when the water level started to increase.</w:t>
      </w:r>
    </w:p>
    <w:p w14:paraId="74403190"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1995C975" wp14:editId="75C4E595">
            <wp:extent cx="5244943" cy="7576030"/>
            <wp:effectExtent l="0" t="0" r="0" b="6350"/>
            <wp:docPr id="60" name="Picture 60" descr="Time series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email">
                      <a:extLst>
                        <a:ext uri="{28A0092B-C50C-407E-A947-70E740481C1C}">
                          <a14:useLocalDpi xmlns:a14="http://schemas.microsoft.com/office/drawing/2010/main"/>
                        </a:ext>
                      </a:extLst>
                    </a:blip>
                    <a:stretch>
                      <a:fillRect/>
                    </a:stretch>
                  </pic:blipFill>
                  <pic:spPr bwMode="auto">
                    <a:xfrm>
                      <a:off x="0" y="0"/>
                      <a:ext cx="5244943" cy="7576030"/>
                    </a:xfrm>
                    <a:prstGeom prst="rect">
                      <a:avLst/>
                    </a:prstGeom>
                    <a:noFill/>
                    <a:ln>
                      <a:noFill/>
                    </a:ln>
                    <a:extLst>
                      <a:ext uri="{53640926-AAD7-44D8-BBD7-CCE9431645EC}">
                        <a14:shadowObscured xmlns:a14="http://schemas.microsoft.com/office/drawing/2010/main"/>
                      </a:ext>
                    </a:extLst>
                  </pic:spPr>
                </pic:pic>
              </a:graphicData>
            </a:graphic>
          </wp:inline>
        </w:drawing>
      </w:r>
    </w:p>
    <w:p w14:paraId="5DBA5094" w14:textId="77777777" w:rsidR="003D3694" w:rsidRPr="00747E35" w:rsidRDefault="003D3694" w:rsidP="00085C15">
      <w:pPr>
        <w:pStyle w:val="Caption"/>
        <w:numPr>
          <w:ilvl w:val="0"/>
          <w:numId w:val="0"/>
        </w:numPr>
        <w:rPr>
          <w:rFonts w:cstheme="minorHAnsi"/>
        </w:rPr>
      </w:pPr>
      <w:bookmarkStart w:id="236" w:name="_Ref452276929"/>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69</w:t>
      </w:r>
      <w:r w:rsidR="009D6600" w:rsidRPr="00747E35">
        <w:rPr>
          <w:rFonts w:cstheme="minorHAnsi"/>
          <w:noProof/>
        </w:rPr>
        <w:fldChar w:fldCharType="end"/>
      </w:r>
      <w:bookmarkEnd w:id="236"/>
      <w:r w:rsidRPr="00747E35">
        <w:rPr>
          <w:rFonts w:cstheme="minorHAnsi"/>
        </w:rPr>
        <w:t>: Rainfall and groundwater hydrographs for the study period. a) Daily rainfall from Mt Lindesay in the Nandewar range near Mt Kaputar at the top of the Maules Creek catchment, b) Borehole BH18-4 Middle Creek Farm, c) Borehole BH10-2 on Horsearm Creek (upstream of perennial gaining section) and d) Borehole BH7-2 on Maules Creek at Elfin Crossing (perennial losing section).</w:t>
      </w:r>
    </w:p>
    <w:p w14:paraId="4FB233ED" w14:textId="77777777" w:rsidR="003D3694" w:rsidRPr="00747E35" w:rsidRDefault="003D3694" w:rsidP="003D3694">
      <w:pPr>
        <w:rPr>
          <w:rFonts w:asciiTheme="minorHAnsi" w:hAnsiTheme="minorHAnsi" w:cstheme="minorHAnsi"/>
        </w:rPr>
      </w:pPr>
    </w:p>
    <w:p w14:paraId="027EF619" w14:textId="77777777" w:rsidR="003D3694" w:rsidRPr="00747E35" w:rsidRDefault="003D3694" w:rsidP="003D3694">
      <w:pPr>
        <w:keepNext/>
        <w:jc w:val="center"/>
        <w:rPr>
          <w:rFonts w:asciiTheme="minorHAnsi" w:hAnsiTheme="minorHAnsi" w:cstheme="minorHAnsi"/>
        </w:rPr>
      </w:pPr>
      <w:r w:rsidRPr="00747E35">
        <w:rPr>
          <w:rFonts w:asciiTheme="minorHAnsi" w:hAnsiTheme="minorHAnsi" w:cstheme="minorHAnsi"/>
          <w:bCs/>
          <w:i/>
          <w:noProof/>
          <w:color w:val="5B9BD5" w:themeColor="accent1"/>
          <w:sz w:val="20"/>
          <w:szCs w:val="20"/>
          <w:lang w:val="en-AU" w:eastAsia="en-AU"/>
        </w:rPr>
        <w:lastRenderedPageBreak/>
        <w:drawing>
          <wp:inline distT="0" distB="0" distL="0" distR="0" wp14:anchorId="186DB224" wp14:editId="53014ECD">
            <wp:extent cx="5301709" cy="8134710"/>
            <wp:effectExtent l="0" t="0" r="0" b="0"/>
            <wp:docPr id="7171" name="Picture 7171" descr="Time series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Streambed arrays.tif"/>
                    <pic:cNvPicPr/>
                  </pic:nvPicPr>
                  <pic:blipFill rotWithShape="1">
                    <a:blip r:embed="rId119" cstate="screen">
                      <a:extLst>
                        <a:ext uri="{28A0092B-C50C-407E-A947-70E740481C1C}">
                          <a14:useLocalDpi xmlns:a14="http://schemas.microsoft.com/office/drawing/2010/main"/>
                        </a:ext>
                      </a:extLst>
                    </a:blip>
                    <a:srcRect/>
                    <a:stretch/>
                  </pic:blipFill>
                  <pic:spPr bwMode="auto">
                    <a:xfrm>
                      <a:off x="0" y="0"/>
                      <a:ext cx="5314433" cy="8154233"/>
                    </a:xfrm>
                    <a:prstGeom prst="rect">
                      <a:avLst/>
                    </a:prstGeom>
                    <a:ln>
                      <a:noFill/>
                    </a:ln>
                    <a:extLst>
                      <a:ext uri="{53640926-AAD7-44D8-BBD7-CCE9431645EC}">
                        <a14:shadowObscured xmlns:a14="http://schemas.microsoft.com/office/drawing/2010/main"/>
                      </a:ext>
                    </a:extLst>
                  </pic:spPr>
                </pic:pic>
              </a:graphicData>
            </a:graphic>
          </wp:inline>
        </w:drawing>
      </w:r>
    </w:p>
    <w:p w14:paraId="5BB3DF3E" w14:textId="77777777" w:rsidR="003D3694" w:rsidRPr="00747E35" w:rsidRDefault="003D3694" w:rsidP="00085C15">
      <w:pPr>
        <w:pStyle w:val="Caption"/>
        <w:numPr>
          <w:ilvl w:val="0"/>
          <w:numId w:val="0"/>
        </w:numPr>
        <w:jc w:val="both"/>
        <w:rPr>
          <w:rFonts w:cstheme="minorHAnsi"/>
          <w:bCs w:val="0"/>
        </w:rPr>
      </w:pPr>
      <w:bookmarkStart w:id="237" w:name="_Ref466410078"/>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70</w:t>
      </w:r>
      <w:r w:rsidR="009D6600" w:rsidRPr="00747E35">
        <w:rPr>
          <w:rFonts w:cstheme="minorHAnsi"/>
          <w:noProof/>
        </w:rPr>
        <w:fldChar w:fldCharType="end"/>
      </w:r>
      <w:bookmarkEnd w:id="237"/>
      <w:r w:rsidRPr="00747E35">
        <w:rPr>
          <w:rFonts w:cstheme="minorHAnsi"/>
        </w:rPr>
        <w:t>: Temporal variation in water temperature (° C) and water level data (m AHD – meters above Australian Height Datum) from a logger deployed 1 m below the streambed for various sites in the Maules Creek catchment. The streambed level is shown as a grey dashed line.</w:t>
      </w:r>
    </w:p>
    <w:p w14:paraId="1E883647"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189785C8" wp14:editId="059B2210">
            <wp:extent cx="5728335" cy="4273550"/>
            <wp:effectExtent l="0" t="0" r="5715" b="0"/>
            <wp:docPr id="36" name="Picture 36" descr="Time series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ropbox\Dropbox\Maules Creek Mapping fieldtrip 2015\EXO data\Pool 34 EXO data.tif"/>
                    <pic:cNvPicPr>
                      <a:picLocks noChangeAspect="1" noChangeArrowheads="1"/>
                    </pic:cNvPicPr>
                  </pic:nvPicPr>
                  <pic:blipFill rotWithShape="1">
                    <a:blip r:embed="rId120" cstate="screen">
                      <a:extLst>
                        <a:ext uri="{28A0092B-C50C-407E-A947-70E740481C1C}">
                          <a14:useLocalDpi xmlns:a14="http://schemas.microsoft.com/office/drawing/2010/main"/>
                        </a:ext>
                      </a:extLst>
                    </a:blip>
                    <a:srcRect/>
                    <a:stretch/>
                  </pic:blipFill>
                  <pic:spPr bwMode="auto">
                    <a:xfrm>
                      <a:off x="0" y="0"/>
                      <a:ext cx="5745494" cy="4286351"/>
                    </a:xfrm>
                    <a:prstGeom prst="rect">
                      <a:avLst/>
                    </a:prstGeom>
                    <a:noFill/>
                    <a:ln>
                      <a:noFill/>
                    </a:ln>
                    <a:extLst>
                      <a:ext uri="{53640926-AAD7-44D8-BBD7-CCE9431645EC}">
                        <a14:shadowObscured xmlns:a14="http://schemas.microsoft.com/office/drawing/2010/main"/>
                      </a:ext>
                    </a:extLst>
                  </pic:spPr>
                </pic:pic>
              </a:graphicData>
            </a:graphic>
          </wp:inline>
        </w:drawing>
      </w:r>
    </w:p>
    <w:p w14:paraId="6A9709B9" w14:textId="77777777" w:rsidR="003D3694" w:rsidRPr="00747E35" w:rsidRDefault="003D3694" w:rsidP="00085C15">
      <w:pPr>
        <w:pStyle w:val="Caption"/>
        <w:numPr>
          <w:ilvl w:val="0"/>
          <w:numId w:val="0"/>
        </w:numPr>
        <w:rPr>
          <w:rFonts w:cstheme="minorHAnsi"/>
        </w:rPr>
      </w:pPr>
      <w:bookmarkStart w:id="238" w:name="_Ref452277051"/>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71</w:t>
      </w:r>
      <w:r w:rsidR="009D6600" w:rsidRPr="00747E35">
        <w:rPr>
          <w:rFonts w:cstheme="minorHAnsi"/>
          <w:noProof/>
        </w:rPr>
        <w:fldChar w:fldCharType="end"/>
      </w:r>
      <w:bookmarkEnd w:id="238"/>
      <w:r w:rsidRPr="00747E35">
        <w:rPr>
          <w:rFonts w:cstheme="minorHAnsi"/>
        </w:rPr>
        <w:t>: EX02 probe water quality data from the confluence of Horsearm and Maules Creek. Optical dissolved oxygen, ODO; specific conductivity, SpCond; fluorescent dissolved organic matter, fDOM.</w:t>
      </w:r>
    </w:p>
    <w:p w14:paraId="3F5CE66F" w14:textId="77777777" w:rsidR="003D3694" w:rsidRPr="00747E35" w:rsidRDefault="003D3694" w:rsidP="003D3694">
      <w:pPr>
        <w:rPr>
          <w:rFonts w:asciiTheme="minorHAnsi" w:hAnsiTheme="minorHAnsi" w:cstheme="minorHAnsi"/>
        </w:rPr>
      </w:pPr>
    </w:p>
    <w:p w14:paraId="6A00FD33" w14:textId="4B30C47E"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Data from the EXO2 probe deployed at the confluence site is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_Ref452277051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Figure 71</w:t>
      </w:r>
      <w:r w:rsidRPr="00747E35">
        <w:rPr>
          <w:rFonts w:asciiTheme="minorHAnsi" w:hAnsiTheme="minorHAnsi" w:cstheme="minorHAnsi"/>
        </w:rPr>
        <w:fldChar w:fldCharType="end"/>
      </w:r>
      <w:r w:rsidRPr="00747E35">
        <w:rPr>
          <w:rFonts w:asciiTheme="minorHAnsi" w:hAnsiTheme="minorHAnsi" w:cstheme="minorHAnsi"/>
        </w:rPr>
        <w:t>. DO is the highest from start of monitoring until October 2015, and becomes anoxic in April 2016, which corresponds with an increase in the fDOM. However, overall the measured fluorescen</w:t>
      </w:r>
      <w:r w:rsidR="000E6336">
        <w:rPr>
          <w:rFonts w:asciiTheme="minorHAnsi" w:hAnsiTheme="minorHAnsi" w:cstheme="minorHAnsi"/>
        </w:rPr>
        <w:t>ce</w:t>
      </w:r>
      <w:r w:rsidRPr="00747E35">
        <w:rPr>
          <w:rFonts w:asciiTheme="minorHAnsi" w:hAnsiTheme="minorHAnsi" w:cstheme="minorHAnsi"/>
        </w:rPr>
        <w:t xml:space="preserve"> values of fDOM correspond with low values of DOC (&lt; 1mg/L).</w:t>
      </w:r>
    </w:p>
    <w:p w14:paraId="42FE754E" w14:textId="77777777" w:rsidR="003D3694" w:rsidRPr="00747E35" w:rsidRDefault="003D3694" w:rsidP="003D3694">
      <w:pPr>
        <w:rPr>
          <w:rFonts w:asciiTheme="minorHAnsi" w:hAnsiTheme="minorHAnsi" w:cstheme="minorHAnsi"/>
        </w:rPr>
      </w:pPr>
    </w:p>
    <w:p w14:paraId="36E6FAC4" w14:textId="76532A8B" w:rsidR="003D3694" w:rsidRPr="00747E35" w:rsidRDefault="003D3694" w:rsidP="00085C15">
      <w:pPr>
        <w:pStyle w:val="Heading3"/>
        <w:rPr>
          <w:rFonts w:asciiTheme="minorHAnsi" w:hAnsiTheme="minorHAnsi" w:cstheme="minorHAnsi"/>
        </w:rPr>
      </w:pPr>
      <w:bookmarkStart w:id="239" w:name="_Toc466449950"/>
      <w:bookmarkStart w:id="240" w:name="_Toc470004879"/>
      <w:r w:rsidRPr="00747E35">
        <w:rPr>
          <w:rFonts w:asciiTheme="minorHAnsi" w:hAnsiTheme="minorHAnsi" w:cstheme="minorHAnsi"/>
        </w:rPr>
        <w:t>Hydrochemistry</w:t>
      </w:r>
      <w:bookmarkEnd w:id="239"/>
      <w:bookmarkEnd w:id="240"/>
      <w:r w:rsidRPr="00747E35">
        <w:rPr>
          <w:rFonts w:asciiTheme="minorHAnsi" w:hAnsiTheme="minorHAnsi" w:cstheme="minorHAnsi"/>
        </w:rPr>
        <w:t xml:space="preserve"> </w:t>
      </w:r>
    </w:p>
    <w:p w14:paraId="562F0B57" w14:textId="77777777" w:rsidR="003D3694" w:rsidRPr="00747E35" w:rsidRDefault="003D3694" w:rsidP="00085C15">
      <w:pPr>
        <w:pStyle w:val="Heading4"/>
        <w:rPr>
          <w:rFonts w:asciiTheme="minorHAnsi" w:hAnsiTheme="minorHAnsi" w:cstheme="minorHAnsi"/>
        </w:rPr>
      </w:pPr>
      <w:r w:rsidRPr="00747E35">
        <w:rPr>
          <w:rFonts w:asciiTheme="minorHAnsi" w:hAnsiTheme="minorHAnsi" w:cstheme="minorHAnsi"/>
        </w:rPr>
        <w:t>Maules Creek catchment</w:t>
      </w:r>
    </w:p>
    <w:p w14:paraId="65D2F626" w14:textId="43C5BFEE"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major ion chemistry of hyporheic water, groundwater, and selected surface water samples from the Maules Creek catchment is summarised in the Piper diagram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_Ref466375339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72</w:t>
      </w:r>
      <w:r w:rsidRPr="00747E35">
        <w:rPr>
          <w:rFonts w:asciiTheme="minorHAnsi" w:hAnsiTheme="minorHAnsi" w:cstheme="minorHAnsi"/>
        </w:rPr>
        <w:fldChar w:fldCharType="end"/>
      </w:r>
      <w:r w:rsidRPr="00747E35">
        <w:rPr>
          <w:rFonts w:asciiTheme="minorHAnsi" w:hAnsiTheme="minorHAnsi" w:cstheme="minorHAnsi"/>
        </w:rPr>
        <w:t>. The surface water and hyporheic samples in the catchment are similar and evolve from a Ca-Mg-HCO</w:t>
      </w:r>
      <w:r w:rsidRPr="00747E35">
        <w:rPr>
          <w:rFonts w:asciiTheme="minorHAnsi" w:hAnsiTheme="minorHAnsi" w:cstheme="minorHAnsi"/>
          <w:vertAlign w:val="subscript"/>
        </w:rPr>
        <w:t>3</w:t>
      </w:r>
      <w:r w:rsidRPr="00747E35">
        <w:rPr>
          <w:rFonts w:asciiTheme="minorHAnsi" w:hAnsiTheme="minorHAnsi" w:cstheme="minorHAnsi"/>
        </w:rPr>
        <w:t xml:space="preserve"> water type (with a high proportion of Na ~35%) in the upper catchment at Middle Creek towards a mixed Ca-Mg-Cl-HCO</w:t>
      </w:r>
      <w:r w:rsidRPr="00747E35">
        <w:rPr>
          <w:rFonts w:asciiTheme="minorHAnsi" w:hAnsiTheme="minorHAnsi" w:cstheme="minorHAnsi"/>
          <w:vertAlign w:val="subscript"/>
        </w:rPr>
        <w:t>3</w:t>
      </w:r>
      <w:r w:rsidRPr="00747E35">
        <w:rPr>
          <w:rFonts w:asciiTheme="minorHAnsi" w:hAnsiTheme="minorHAnsi" w:cstheme="minorHAnsi"/>
        </w:rPr>
        <w:t xml:space="preserve"> water type in Horsearm and Maules creeks. This change in water type is also associated with a general increase in dissolved solids (here expressed as the EC) along a hydrological continuum, with EC of 86-138 μS/cm at Middle Creek; 315-490 μS/cm at Horsearm Creek and 364-488 μS/cm at Maules Creek. The groundwater samples in the upper catchment along Middle and Horsearm creeks are more variable in their major ion composition and many samples have a distinct Na-HCO</w:t>
      </w:r>
      <w:r w:rsidRPr="00747E35">
        <w:rPr>
          <w:rFonts w:asciiTheme="minorHAnsi" w:hAnsiTheme="minorHAnsi" w:cstheme="minorHAnsi"/>
          <w:vertAlign w:val="subscript"/>
        </w:rPr>
        <w:t>3</w:t>
      </w:r>
      <w:r w:rsidRPr="00747E35">
        <w:rPr>
          <w:rFonts w:asciiTheme="minorHAnsi" w:hAnsiTheme="minorHAnsi" w:cstheme="minorHAnsi"/>
        </w:rPr>
        <w:t xml:space="preserve"> composition (with 35-65% Na). The EC of the groundwater varied from 96 to 648 μS/cm, with values increasing with lateral distance from the channel and with depth. Shallow groundwater samples close to the creeks are similar to the surface and hyporheic water samples. At Maules Creek the groundwater composition was also comparable to the surface and hyporheic water samples, with the notable difference of three deep (~40 m) samples from a confined aquifer, which has a Na-HCO</w:t>
      </w:r>
      <w:r w:rsidRPr="00747E35">
        <w:rPr>
          <w:rFonts w:asciiTheme="minorHAnsi" w:hAnsiTheme="minorHAnsi" w:cstheme="minorHAnsi"/>
          <w:vertAlign w:val="subscript"/>
        </w:rPr>
        <w:t>3</w:t>
      </w:r>
      <w:r w:rsidRPr="00747E35">
        <w:rPr>
          <w:rFonts w:asciiTheme="minorHAnsi" w:hAnsiTheme="minorHAnsi" w:cstheme="minorHAnsi"/>
        </w:rPr>
        <w:t xml:space="preserve"> composition similar to the groundwater samples in the upper catchment. The Na-HCO</w:t>
      </w:r>
      <w:r w:rsidRPr="00747E35">
        <w:rPr>
          <w:rFonts w:asciiTheme="minorHAnsi" w:hAnsiTheme="minorHAnsi" w:cstheme="minorHAnsi"/>
          <w:vertAlign w:val="subscript"/>
        </w:rPr>
        <w:t>3</w:t>
      </w:r>
      <w:r w:rsidRPr="00747E35">
        <w:rPr>
          <w:rFonts w:asciiTheme="minorHAnsi" w:hAnsiTheme="minorHAnsi" w:cstheme="minorHAnsi"/>
        </w:rPr>
        <w:t xml:space="preserve"> signature is caused </w:t>
      </w:r>
      <w:r w:rsidRPr="00747E35">
        <w:rPr>
          <w:rFonts w:asciiTheme="minorHAnsi" w:hAnsiTheme="minorHAnsi" w:cstheme="minorHAnsi"/>
        </w:rPr>
        <w:lastRenderedPageBreak/>
        <w:t xml:space="preserve">by ion exchange of Ca for Na, which is typical for aquifers undergoing flushing of saline or brackish groundwater (Appelo and Postma 2005). </w:t>
      </w:r>
    </w:p>
    <w:p w14:paraId="6939FF12"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399E4C5B" wp14:editId="37B07835">
            <wp:extent cx="5731510" cy="5089869"/>
            <wp:effectExtent l="0" t="0" r="2540" b="0"/>
            <wp:docPr id="37" name="Picture 37" descr="Piper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5731510" cy="5089869"/>
                    </a:xfrm>
                    <a:prstGeom prst="rect">
                      <a:avLst/>
                    </a:prstGeom>
                    <a:noFill/>
                    <a:ln>
                      <a:noFill/>
                    </a:ln>
                  </pic:spPr>
                </pic:pic>
              </a:graphicData>
            </a:graphic>
          </wp:inline>
        </w:drawing>
      </w:r>
    </w:p>
    <w:p w14:paraId="70FB4BA0" w14:textId="77777777" w:rsidR="003D3694" w:rsidRPr="00747E35" w:rsidRDefault="003D3694" w:rsidP="00085C15">
      <w:pPr>
        <w:pStyle w:val="Caption"/>
        <w:numPr>
          <w:ilvl w:val="0"/>
          <w:numId w:val="0"/>
        </w:numPr>
        <w:jc w:val="both"/>
        <w:rPr>
          <w:rFonts w:cstheme="minorHAnsi"/>
        </w:rPr>
      </w:pPr>
      <w:bookmarkStart w:id="241" w:name="_Ref466375339"/>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72</w:t>
      </w:r>
      <w:r w:rsidR="009D6600" w:rsidRPr="00747E35">
        <w:rPr>
          <w:rFonts w:cstheme="minorHAnsi"/>
          <w:noProof/>
        </w:rPr>
        <w:fldChar w:fldCharType="end"/>
      </w:r>
      <w:bookmarkEnd w:id="241"/>
      <w:r w:rsidRPr="00747E35">
        <w:rPr>
          <w:rFonts w:cstheme="minorHAnsi"/>
          <w:i w:val="0"/>
        </w:rPr>
        <w:t>: Piper plot of surface, hyporheic and groundwater samples from the Maules Creek catchment.</w:t>
      </w:r>
    </w:p>
    <w:p w14:paraId="73911D27" w14:textId="77777777" w:rsidR="003D3694" w:rsidRPr="00747E35" w:rsidRDefault="003D3694" w:rsidP="003D3694">
      <w:pPr>
        <w:rPr>
          <w:rFonts w:asciiTheme="minorHAnsi" w:hAnsiTheme="minorHAnsi" w:cstheme="minorHAnsi"/>
          <w:u w:val="single"/>
        </w:rPr>
      </w:pPr>
    </w:p>
    <w:p w14:paraId="21184DE4" w14:textId="6F68A2DB"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surface water profiles along Horsearm Creek of selected </w:t>
      </w:r>
      <w:r w:rsidR="006B2C7A">
        <w:rPr>
          <w:rFonts w:asciiTheme="minorHAnsi" w:hAnsiTheme="minorHAnsi" w:cstheme="minorHAnsi"/>
        </w:rPr>
        <w:t>physicochemical</w:t>
      </w:r>
      <w:r w:rsidRPr="00747E35">
        <w:rPr>
          <w:rFonts w:asciiTheme="minorHAnsi" w:hAnsiTheme="minorHAnsi" w:cstheme="minorHAnsi"/>
        </w:rPr>
        <w:t xml:space="preserve"> parameters are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_Ref466375339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72</w:t>
      </w:r>
      <w:r w:rsidRPr="00747E35">
        <w:rPr>
          <w:rFonts w:asciiTheme="minorHAnsi" w:hAnsiTheme="minorHAnsi" w:cstheme="minorHAnsi"/>
        </w:rPr>
        <w:fldChar w:fldCharType="end"/>
      </w:r>
      <w:r w:rsidRPr="00747E35">
        <w:rPr>
          <w:rFonts w:asciiTheme="minorHAnsi" w:hAnsiTheme="minorHAnsi" w:cstheme="minorHAnsi"/>
        </w:rPr>
        <w:t>. Over the course of this project the chemistry of surface water samples collected from the same location remained consistent, especially along the perennial section of Horsearm Creek. The surface water from two of the identified sites of upwelling regional groundwater (labelled the ‘Spring’ and ‘Radon 35’) had lower EC (340 µS/cm) and DOC (0.5 mg/l), and higher DO (5.45 mg/l) and nitrate (0.82 mg/l) which are similar to value for the regional groundwater. Downstream of the ‘Spring’ there is a large decrease in nitrate concentrations in the surface water, which may be due to dilution by discharge of low-nitrate groundwater, but more likely nitrate uptake by primary producers.</w:t>
      </w:r>
    </w:p>
    <w:p w14:paraId="3C70ECE2" w14:textId="77777777" w:rsidR="003D3694" w:rsidRPr="00747E35" w:rsidRDefault="003D3694" w:rsidP="003D3694">
      <w:pPr>
        <w:rPr>
          <w:rFonts w:asciiTheme="minorHAnsi" w:hAnsiTheme="minorHAnsi" w:cstheme="minorHAnsi"/>
        </w:rPr>
      </w:pPr>
    </w:p>
    <w:p w14:paraId="533C77C3" w14:textId="77777777" w:rsidR="003D3694" w:rsidRPr="00747E35" w:rsidRDefault="003D3694" w:rsidP="00085C15">
      <w:pPr>
        <w:pStyle w:val="Caption"/>
        <w:numPr>
          <w:ilvl w:val="0"/>
          <w:numId w:val="0"/>
        </w:numPr>
        <w:jc w:val="center"/>
        <w:rPr>
          <w:rFonts w:cstheme="minorHAnsi"/>
        </w:rPr>
      </w:pPr>
      <w:bookmarkStart w:id="242" w:name="_Ref453167305"/>
      <w:r w:rsidRPr="00747E35">
        <w:rPr>
          <w:rFonts w:cstheme="minorHAnsi"/>
          <w:noProof/>
          <w:lang w:eastAsia="en-AU"/>
        </w:rPr>
        <w:lastRenderedPageBreak/>
        <w:drawing>
          <wp:inline distT="0" distB="0" distL="0" distR="0" wp14:anchorId="30DB69E5" wp14:editId="67B81851">
            <wp:extent cx="6112250" cy="3200400"/>
            <wp:effectExtent l="0" t="0" r="3175" b="0"/>
            <wp:docPr id="4119" name="Content Placeholder 5" descr="Plots"/>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rotWithShape="1">
                    <a:blip r:embed="rId122" cstate="screen">
                      <a:extLst>
                        <a:ext uri="{28A0092B-C50C-407E-A947-70E740481C1C}">
                          <a14:useLocalDpi xmlns:a14="http://schemas.microsoft.com/office/drawing/2010/main"/>
                        </a:ext>
                      </a:extLst>
                    </a:blip>
                    <a:srcRect/>
                    <a:stretch/>
                  </pic:blipFill>
                  <pic:spPr bwMode="auto">
                    <a:xfrm>
                      <a:off x="0" y="0"/>
                      <a:ext cx="6116157" cy="3202446"/>
                    </a:xfrm>
                    <a:prstGeom prst="rect">
                      <a:avLst/>
                    </a:prstGeom>
                    <a:ln>
                      <a:noFill/>
                    </a:ln>
                    <a:extLst>
                      <a:ext uri="{53640926-AAD7-44D8-BBD7-CCE9431645EC}">
                        <a14:shadowObscured xmlns:a14="http://schemas.microsoft.com/office/drawing/2010/main"/>
                      </a:ext>
                    </a:extLst>
                  </pic:spPr>
                </pic:pic>
              </a:graphicData>
            </a:graphic>
          </wp:inline>
        </w:drawing>
      </w:r>
    </w:p>
    <w:p w14:paraId="51CB4FA0" w14:textId="6878386F" w:rsidR="003D3694" w:rsidRPr="00747E35" w:rsidRDefault="003D3694" w:rsidP="00085C15">
      <w:pPr>
        <w:pStyle w:val="Caption"/>
        <w:numPr>
          <w:ilvl w:val="0"/>
          <w:numId w:val="0"/>
        </w:numPr>
        <w:rPr>
          <w:rFonts w:cstheme="minorHAnsi"/>
        </w:rPr>
      </w:pPr>
      <w:bookmarkStart w:id="243" w:name="_Ref453228235"/>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73</w:t>
      </w:r>
      <w:r w:rsidR="009D6600" w:rsidRPr="00747E35">
        <w:rPr>
          <w:rFonts w:cstheme="minorHAnsi"/>
          <w:noProof/>
        </w:rPr>
        <w:fldChar w:fldCharType="end"/>
      </w:r>
      <w:bookmarkEnd w:id="242"/>
      <w:bookmarkEnd w:id="243"/>
      <w:r w:rsidRPr="00747E35">
        <w:rPr>
          <w:rFonts w:cstheme="minorHAnsi"/>
        </w:rPr>
        <w:t xml:space="preserve">: Surface water profiles for selected </w:t>
      </w:r>
      <w:r w:rsidR="006B2C7A">
        <w:rPr>
          <w:rFonts w:cstheme="minorHAnsi"/>
        </w:rPr>
        <w:t>physicochemical</w:t>
      </w:r>
      <w:r w:rsidRPr="00747E35">
        <w:rPr>
          <w:rFonts w:cstheme="minorHAnsi"/>
        </w:rPr>
        <w:t xml:space="preserve"> variables along Horsearm Creek from the various field trips as part of this study. The ‘Spring’ site is located at 1196 m.</w:t>
      </w:r>
    </w:p>
    <w:p w14:paraId="7FBA9A84" w14:textId="77777777" w:rsidR="003D3694" w:rsidRPr="00747E35" w:rsidRDefault="003D3694" w:rsidP="003D3694">
      <w:pPr>
        <w:rPr>
          <w:rFonts w:asciiTheme="minorHAnsi" w:hAnsiTheme="minorHAnsi" w:cstheme="minorHAnsi"/>
        </w:rPr>
      </w:pPr>
    </w:p>
    <w:p w14:paraId="34C6C1A6" w14:textId="7C32E4FB" w:rsidR="003D3694" w:rsidRPr="00747E35" w:rsidRDefault="003D3694" w:rsidP="003D3694">
      <w:pPr>
        <w:autoSpaceDE/>
        <w:autoSpaceDN/>
        <w:spacing w:line="276" w:lineRule="auto"/>
        <w:rPr>
          <w:rFonts w:asciiTheme="minorHAnsi" w:hAnsiTheme="minorHAnsi" w:cstheme="minorHAnsi"/>
        </w:rPr>
      </w:pPr>
      <w:r w:rsidRPr="00747E35">
        <w:rPr>
          <w:rFonts w:asciiTheme="minorHAnsi" w:hAnsiTheme="minorHAnsi" w:cstheme="minorHAnsi"/>
        </w:rPr>
        <w:t xml:space="preserve">The classification of upwelling and </w:t>
      </w:r>
      <w:r w:rsidR="006B2C7A">
        <w:rPr>
          <w:rFonts w:asciiTheme="minorHAnsi" w:hAnsiTheme="minorHAnsi" w:cstheme="minorHAnsi"/>
        </w:rPr>
        <w:t>downwelling</w:t>
      </w:r>
      <w:r w:rsidRPr="00747E35">
        <w:rPr>
          <w:rFonts w:asciiTheme="minorHAnsi" w:hAnsiTheme="minorHAnsi" w:cstheme="minorHAnsi"/>
        </w:rPr>
        <w:t xml:space="preserve"> for each sample site is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_Ref467213447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19</w:t>
      </w:r>
      <w:r w:rsidRPr="00747E35">
        <w:rPr>
          <w:rFonts w:asciiTheme="minorHAnsi" w:hAnsiTheme="minorHAnsi" w:cstheme="minorHAnsi"/>
        </w:rPr>
        <w:fldChar w:fldCharType="end"/>
      </w:r>
      <w:r w:rsidRPr="00747E35">
        <w:rPr>
          <w:rFonts w:asciiTheme="minorHAnsi" w:hAnsiTheme="minorHAnsi" w:cstheme="minorHAnsi"/>
        </w:rPr>
        <w:t xml:space="preserve"> . Sites at Middle Creek show temporal differences in their classification as Middle Creek switched from gaining to losing (see </w:t>
      </w:r>
      <w:r w:rsidRPr="00747E35">
        <w:rPr>
          <w:rFonts w:asciiTheme="minorHAnsi" w:hAnsiTheme="minorHAnsi" w:cstheme="minorHAnsi"/>
        </w:rPr>
        <w:fldChar w:fldCharType="begin"/>
      </w:r>
      <w:r w:rsidRPr="00747E35">
        <w:rPr>
          <w:rFonts w:asciiTheme="minorHAnsi" w:hAnsiTheme="minorHAnsi" w:cstheme="minorHAnsi"/>
        </w:rPr>
        <w:instrText xml:space="preserve"> REF _Ref452276929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69</w:t>
      </w:r>
      <w:r w:rsidRPr="00747E35">
        <w:rPr>
          <w:rFonts w:asciiTheme="minorHAnsi" w:hAnsiTheme="minorHAnsi" w:cstheme="minorHAnsi"/>
        </w:rPr>
        <w:fldChar w:fldCharType="end"/>
      </w:r>
      <w:r w:rsidRPr="00747E35">
        <w:rPr>
          <w:rFonts w:asciiTheme="minorHAnsi" w:hAnsiTheme="minorHAnsi" w:cstheme="minorHAnsi"/>
        </w:rPr>
        <w:t>).</w:t>
      </w:r>
    </w:p>
    <w:p w14:paraId="47FFD558" w14:textId="77777777" w:rsidR="003D3694" w:rsidRPr="00747E35" w:rsidRDefault="003D3694" w:rsidP="003D3694">
      <w:pPr>
        <w:autoSpaceDE/>
        <w:autoSpaceDN/>
        <w:spacing w:line="276" w:lineRule="auto"/>
        <w:rPr>
          <w:rFonts w:asciiTheme="minorHAnsi" w:hAnsiTheme="minorHAnsi" w:cstheme="minorHAnsi"/>
        </w:rPr>
      </w:pPr>
      <w:bookmarkStart w:id="244" w:name="_Ref466375432"/>
      <w:r w:rsidRPr="00747E35">
        <w:rPr>
          <w:rFonts w:asciiTheme="minorHAnsi" w:hAnsiTheme="minorHAnsi" w:cstheme="minorHAnsi"/>
        </w:rPr>
        <w:br w:type="page"/>
      </w:r>
    </w:p>
    <w:p w14:paraId="3CA87B38" w14:textId="77777777" w:rsidR="003D3694" w:rsidRPr="00747E35" w:rsidRDefault="003D3694" w:rsidP="00085C15">
      <w:pPr>
        <w:pStyle w:val="Caption"/>
        <w:numPr>
          <w:ilvl w:val="0"/>
          <w:numId w:val="0"/>
        </w:numPr>
        <w:jc w:val="both"/>
        <w:rPr>
          <w:rFonts w:cstheme="minorHAnsi"/>
        </w:rPr>
      </w:pPr>
      <w:bookmarkStart w:id="245" w:name="_Ref467213447"/>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19</w:t>
      </w:r>
      <w:r w:rsidR="009D6600" w:rsidRPr="00747E35">
        <w:rPr>
          <w:rFonts w:cstheme="minorHAnsi"/>
          <w:noProof/>
        </w:rPr>
        <w:fldChar w:fldCharType="end"/>
      </w:r>
      <w:bookmarkEnd w:id="244"/>
      <w:bookmarkEnd w:id="245"/>
      <w:r w:rsidRPr="00747E35">
        <w:rPr>
          <w:rFonts w:cstheme="minorHAnsi"/>
        </w:rPr>
        <w:t>: UW and DW classifications for sites in Maules Creek catchment</w:t>
      </w:r>
    </w:p>
    <w:tbl>
      <w:tblPr>
        <w:tblW w:w="7031" w:type="dxa"/>
        <w:jc w:val="center"/>
        <w:tblLook w:val="04A0" w:firstRow="1" w:lastRow="0" w:firstColumn="1" w:lastColumn="0" w:noHBand="0" w:noVBand="1"/>
      </w:tblPr>
      <w:tblGrid>
        <w:gridCol w:w="1531"/>
        <w:gridCol w:w="1531"/>
        <w:gridCol w:w="1134"/>
        <w:gridCol w:w="2835"/>
      </w:tblGrid>
      <w:tr w:rsidR="003D3694" w:rsidRPr="00747E35" w14:paraId="4AE41727" w14:textId="77777777" w:rsidTr="0096743A">
        <w:trPr>
          <w:trHeight w:val="290"/>
          <w:jc w:val="center"/>
        </w:trPr>
        <w:tc>
          <w:tcPr>
            <w:tcW w:w="1531"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68BDC8D"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Hydrological Regime</w:t>
            </w:r>
          </w:p>
        </w:tc>
        <w:tc>
          <w:tcPr>
            <w:tcW w:w="1531"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bottom"/>
            <w:hideMark/>
          </w:tcPr>
          <w:p w14:paraId="5E98D274"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Location</w:t>
            </w:r>
          </w:p>
        </w:tc>
        <w:tc>
          <w:tcPr>
            <w:tcW w:w="1134" w:type="dxa"/>
            <w:tcBorders>
              <w:top w:val="single" w:sz="4" w:space="0" w:color="auto"/>
              <w:left w:val="nil"/>
              <w:bottom w:val="single" w:sz="4" w:space="0" w:color="auto"/>
              <w:right w:val="single" w:sz="4" w:space="0" w:color="auto"/>
            </w:tcBorders>
            <w:shd w:val="clear" w:color="auto" w:fill="DEEAF6" w:themeFill="accent1" w:themeFillTint="33"/>
            <w:noWrap/>
            <w:vAlign w:val="bottom"/>
            <w:hideMark/>
          </w:tcPr>
          <w:p w14:paraId="27CEA60D"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Trip</w:t>
            </w:r>
          </w:p>
        </w:tc>
        <w:tc>
          <w:tcPr>
            <w:tcW w:w="2835" w:type="dxa"/>
            <w:tcBorders>
              <w:top w:val="single" w:sz="4" w:space="0" w:color="auto"/>
              <w:left w:val="nil"/>
              <w:bottom w:val="single" w:sz="4" w:space="0" w:color="auto"/>
              <w:right w:val="single" w:sz="4" w:space="0" w:color="auto"/>
            </w:tcBorders>
            <w:shd w:val="clear" w:color="auto" w:fill="DEEAF6" w:themeFill="accent1" w:themeFillTint="33"/>
            <w:noWrap/>
            <w:vAlign w:val="bottom"/>
            <w:hideMark/>
          </w:tcPr>
          <w:p w14:paraId="3DC50881"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Classification</w:t>
            </w:r>
          </w:p>
        </w:tc>
      </w:tr>
      <w:tr w:rsidR="003D3694" w:rsidRPr="00747E35" w14:paraId="07EEBB16" w14:textId="77777777" w:rsidTr="0096743A">
        <w:trPr>
          <w:trHeight w:val="290"/>
          <w:jc w:val="center"/>
        </w:trPr>
        <w:tc>
          <w:tcPr>
            <w:tcW w:w="1531" w:type="dxa"/>
            <w:vMerge w:val="restart"/>
            <w:tcBorders>
              <w:top w:val="nil"/>
              <w:left w:val="single" w:sz="4" w:space="0" w:color="auto"/>
              <w:right w:val="single" w:sz="4" w:space="0" w:color="auto"/>
            </w:tcBorders>
          </w:tcPr>
          <w:p w14:paraId="2B59084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Intermittent</w:t>
            </w:r>
          </w:p>
        </w:tc>
        <w:tc>
          <w:tcPr>
            <w:tcW w:w="1531" w:type="dxa"/>
            <w:tcBorders>
              <w:top w:val="nil"/>
              <w:left w:val="single" w:sz="4" w:space="0" w:color="auto"/>
              <w:bottom w:val="single" w:sz="4" w:space="0" w:color="auto"/>
              <w:right w:val="single" w:sz="4" w:space="0" w:color="auto"/>
            </w:tcBorders>
            <w:shd w:val="clear" w:color="auto" w:fill="auto"/>
            <w:noWrap/>
            <w:vAlign w:val="bottom"/>
            <w:hideMark/>
          </w:tcPr>
          <w:p w14:paraId="119FBF8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East Lynne</w:t>
            </w:r>
          </w:p>
        </w:tc>
        <w:tc>
          <w:tcPr>
            <w:tcW w:w="1134" w:type="dxa"/>
            <w:tcBorders>
              <w:top w:val="nil"/>
              <w:left w:val="nil"/>
              <w:bottom w:val="single" w:sz="4" w:space="0" w:color="auto"/>
              <w:right w:val="single" w:sz="4" w:space="0" w:color="auto"/>
            </w:tcBorders>
            <w:shd w:val="clear" w:color="auto" w:fill="auto"/>
            <w:noWrap/>
            <w:vAlign w:val="bottom"/>
            <w:hideMark/>
          </w:tcPr>
          <w:p w14:paraId="38842E5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Sep-15</w:t>
            </w:r>
          </w:p>
        </w:tc>
        <w:tc>
          <w:tcPr>
            <w:tcW w:w="2835" w:type="dxa"/>
            <w:tcBorders>
              <w:top w:val="nil"/>
              <w:left w:val="nil"/>
              <w:bottom w:val="single" w:sz="4" w:space="0" w:color="auto"/>
              <w:right w:val="single" w:sz="4" w:space="0" w:color="auto"/>
            </w:tcBorders>
            <w:noWrap/>
            <w:vAlign w:val="bottom"/>
            <w:hideMark/>
          </w:tcPr>
          <w:p w14:paraId="41F24FD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Upwelling groundwater</w:t>
            </w:r>
          </w:p>
        </w:tc>
      </w:tr>
      <w:tr w:rsidR="003D3694" w:rsidRPr="00747E35" w14:paraId="045E607D" w14:textId="77777777" w:rsidTr="0096743A">
        <w:trPr>
          <w:trHeight w:val="290"/>
          <w:jc w:val="center"/>
        </w:trPr>
        <w:tc>
          <w:tcPr>
            <w:tcW w:w="1531" w:type="dxa"/>
            <w:vMerge/>
            <w:tcBorders>
              <w:left w:val="single" w:sz="4" w:space="0" w:color="auto"/>
              <w:right w:val="single" w:sz="4" w:space="0" w:color="auto"/>
            </w:tcBorders>
          </w:tcPr>
          <w:p w14:paraId="6C8C00BF" w14:textId="77777777" w:rsidR="003D3694" w:rsidRPr="00747E35" w:rsidRDefault="003D3694" w:rsidP="0096743A">
            <w:pPr>
              <w:pStyle w:val="Tabletext"/>
              <w:spacing w:before="0" w:after="0"/>
              <w:rPr>
                <w:rFonts w:cstheme="minorHAnsi"/>
                <w:lang w:eastAsia="en-AU"/>
              </w:rPr>
            </w:pPr>
          </w:p>
        </w:tc>
        <w:tc>
          <w:tcPr>
            <w:tcW w:w="1531" w:type="dxa"/>
            <w:tcBorders>
              <w:top w:val="nil"/>
              <w:left w:val="single" w:sz="4" w:space="0" w:color="auto"/>
              <w:bottom w:val="nil"/>
              <w:right w:val="single" w:sz="4" w:space="0" w:color="auto"/>
            </w:tcBorders>
            <w:shd w:val="clear" w:color="auto" w:fill="auto"/>
            <w:noWrap/>
            <w:vAlign w:val="bottom"/>
            <w:hideMark/>
          </w:tcPr>
          <w:p w14:paraId="5205A3B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Middle Creek</w:t>
            </w:r>
          </w:p>
        </w:tc>
        <w:tc>
          <w:tcPr>
            <w:tcW w:w="1134" w:type="dxa"/>
            <w:tcBorders>
              <w:top w:val="nil"/>
              <w:left w:val="nil"/>
              <w:bottom w:val="single" w:sz="4" w:space="0" w:color="auto"/>
              <w:right w:val="single" w:sz="4" w:space="0" w:color="auto"/>
            </w:tcBorders>
            <w:shd w:val="clear" w:color="auto" w:fill="auto"/>
            <w:noWrap/>
            <w:vAlign w:val="bottom"/>
            <w:hideMark/>
          </w:tcPr>
          <w:p w14:paraId="3D664E9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Jul-15</w:t>
            </w:r>
          </w:p>
        </w:tc>
        <w:tc>
          <w:tcPr>
            <w:tcW w:w="2835" w:type="dxa"/>
            <w:tcBorders>
              <w:top w:val="nil"/>
              <w:left w:val="nil"/>
              <w:bottom w:val="single" w:sz="4" w:space="0" w:color="auto"/>
              <w:right w:val="single" w:sz="4" w:space="0" w:color="auto"/>
            </w:tcBorders>
            <w:noWrap/>
            <w:vAlign w:val="bottom"/>
            <w:hideMark/>
          </w:tcPr>
          <w:p w14:paraId="18E0D52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Upwelling groundwater</w:t>
            </w:r>
          </w:p>
        </w:tc>
      </w:tr>
      <w:tr w:rsidR="003D3694" w:rsidRPr="00747E35" w14:paraId="58CF4331" w14:textId="77777777" w:rsidTr="0096743A">
        <w:trPr>
          <w:trHeight w:val="290"/>
          <w:jc w:val="center"/>
        </w:trPr>
        <w:tc>
          <w:tcPr>
            <w:tcW w:w="1531" w:type="dxa"/>
            <w:vMerge/>
            <w:tcBorders>
              <w:left w:val="single" w:sz="4" w:space="0" w:color="auto"/>
              <w:right w:val="single" w:sz="4" w:space="0" w:color="auto"/>
            </w:tcBorders>
          </w:tcPr>
          <w:p w14:paraId="33A83FAD" w14:textId="77777777" w:rsidR="003D3694" w:rsidRPr="00747E35" w:rsidRDefault="003D3694" w:rsidP="0096743A">
            <w:pPr>
              <w:pStyle w:val="Tabletext"/>
              <w:spacing w:before="0" w:after="0"/>
              <w:rPr>
                <w:rFonts w:cstheme="minorHAnsi"/>
                <w:lang w:eastAsia="en-AU"/>
              </w:rPr>
            </w:pPr>
          </w:p>
        </w:tc>
        <w:tc>
          <w:tcPr>
            <w:tcW w:w="1531" w:type="dxa"/>
            <w:tcBorders>
              <w:top w:val="nil"/>
              <w:left w:val="single" w:sz="4" w:space="0" w:color="auto"/>
              <w:bottom w:val="nil"/>
              <w:right w:val="single" w:sz="4" w:space="0" w:color="auto"/>
            </w:tcBorders>
            <w:shd w:val="clear" w:color="auto" w:fill="auto"/>
            <w:noWrap/>
            <w:vAlign w:val="bottom"/>
            <w:hideMark/>
          </w:tcPr>
          <w:p w14:paraId="589FA66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134" w:type="dxa"/>
            <w:tcBorders>
              <w:top w:val="nil"/>
              <w:left w:val="nil"/>
              <w:bottom w:val="single" w:sz="4" w:space="0" w:color="auto"/>
              <w:right w:val="single" w:sz="4" w:space="0" w:color="auto"/>
            </w:tcBorders>
            <w:shd w:val="clear" w:color="auto" w:fill="auto"/>
            <w:noWrap/>
            <w:vAlign w:val="bottom"/>
            <w:hideMark/>
          </w:tcPr>
          <w:p w14:paraId="7FBF1C4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Sep-15</w:t>
            </w:r>
          </w:p>
        </w:tc>
        <w:tc>
          <w:tcPr>
            <w:tcW w:w="2835" w:type="dxa"/>
            <w:tcBorders>
              <w:top w:val="nil"/>
              <w:left w:val="nil"/>
              <w:bottom w:val="single" w:sz="4" w:space="0" w:color="auto"/>
              <w:right w:val="single" w:sz="4" w:space="0" w:color="auto"/>
            </w:tcBorders>
            <w:noWrap/>
            <w:vAlign w:val="bottom"/>
            <w:hideMark/>
          </w:tcPr>
          <w:p w14:paraId="61AD84D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Upwelling groundwater</w:t>
            </w:r>
          </w:p>
        </w:tc>
      </w:tr>
      <w:tr w:rsidR="003D3694" w:rsidRPr="00747E35" w14:paraId="483FBFEA" w14:textId="77777777" w:rsidTr="0096743A">
        <w:trPr>
          <w:trHeight w:val="290"/>
          <w:jc w:val="center"/>
        </w:trPr>
        <w:tc>
          <w:tcPr>
            <w:tcW w:w="1531" w:type="dxa"/>
            <w:vMerge/>
            <w:tcBorders>
              <w:left w:val="single" w:sz="4" w:space="0" w:color="auto"/>
              <w:bottom w:val="single" w:sz="4" w:space="0" w:color="auto"/>
              <w:right w:val="single" w:sz="4" w:space="0" w:color="auto"/>
            </w:tcBorders>
          </w:tcPr>
          <w:p w14:paraId="22518306" w14:textId="77777777" w:rsidR="003D3694" w:rsidRPr="00747E35" w:rsidRDefault="003D3694" w:rsidP="0096743A">
            <w:pPr>
              <w:pStyle w:val="Tabletext"/>
              <w:spacing w:before="0" w:after="0"/>
              <w:rPr>
                <w:rFonts w:cstheme="minorHAnsi"/>
                <w:lang w:eastAsia="en-AU"/>
              </w:rPr>
            </w:pPr>
          </w:p>
        </w:tc>
        <w:tc>
          <w:tcPr>
            <w:tcW w:w="1531" w:type="dxa"/>
            <w:tcBorders>
              <w:top w:val="nil"/>
              <w:left w:val="single" w:sz="4" w:space="0" w:color="auto"/>
              <w:bottom w:val="single" w:sz="4" w:space="0" w:color="auto"/>
              <w:right w:val="single" w:sz="4" w:space="0" w:color="auto"/>
            </w:tcBorders>
            <w:shd w:val="clear" w:color="auto" w:fill="auto"/>
            <w:noWrap/>
            <w:vAlign w:val="bottom"/>
            <w:hideMark/>
          </w:tcPr>
          <w:p w14:paraId="2C1C36F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134" w:type="dxa"/>
            <w:tcBorders>
              <w:top w:val="nil"/>
              <w:left w:val="nil"/>
              <w:bottom w:val="single" w:sz="4" w:space="0" w:color="auto"/>
              <w:right w:val="single" w:sz="4" w:space="0" w:color="auto"/>
            </w:tcBorders>
            <w:shd w:val="clear" w:color="auto" w:fill="auto"/>
            <w:noWrap/>
            <w:vAlign w:val="bottom"/>
            <w:hideMark/>
          </w:tcPr>
          <w:p w14:paraId="5174E3D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Oct-15</w:t>
            </w:r>
          </w:p>
        </w:tc>
        <w:tc>
          <w:tcPr>
            <w:tcW w:w="2835" w:type="dxa"/>
            <w:tcBorders>
              <w:top w:val="nil"/>
              <w:left w:val="nil"/>
              <w:bottom w:val="single" w:sz="4" w:space="0" w:color="auto"/>
              <w:right w:val="single" w:sz="4" w:space="0" w:color="auto"/>
            </w:tcBorders>
            <w:noWrap/>
            <w:vAlign w:val="bottom"/>
            <w:hideMark/>
          </w:tcPr>
          <w:p w14:paraId="0C558799" w14:textId="30720798" w:rsidR="003D3694" w:rsidRPr="00747E35" w:rsidRDefault="006B2C7A" w:rsidP="0096743A">
            <w:pPr>
              <w:pStyle w:val="Tabletext"/>
              <w:spacing w:before="0" w:after="0"/>
              <w:rPr>
                <w:rFonts w:cstheme="minorHAnsi"/>
                <w:lang w:eastAsia="en-AU"/>
              </w:rPr>
            </w:pPr>
            <w:r>
              <w:rPr>
                <w:rFonts w:cstheme="minorHAnsi"/>
                <w:lang w:eastAsia="en-AU"/>
              </w:rPr>
              <w:t>Downwelling</w:t>
            </w:r>
          </w:p>
        </w:tc>
      </w:tr>
      <w:tr w:rsidR="003D3694" w:rsidRPr="00747E35" w14:paraId="35B68519" w14:textId="77777777" w:rsidTr="0096743A">
        <w:trPr>
          <w:trHeight w:val="290"/>
          <w:jc w:val="center"/>
        </w:trPr>
        <w:tc>
          <w:tcPr>
            <w:tcW w:w="1531" w:type="dxa"/>
            <w:vMerge w:val="restart"/>
            <w:tcBorders>
              <w:top w:val="nil"/>
              <w:left w:val="single" w:sz="4" w:space="0" w:color="auto"/>
              <w:right w:val="single" w:sz="4" w:space="0" w:color="auto"/>
            </w:tcBorders>
          </w:tcPr>
          <w:p w14:paraId="50B24AD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Perennial gaining</w:t>
            </w:r>
          </w:p>
        </w:tc>
        <w:tc>
          <w:tcPr>
            <w:tcW w:w="1531" w:type="dxa"/>
            <w:tcBorders>
              <w:top w:val="nil"/>
              <w:left w:val="single" w:sz="4" w:space="0" w:color="auto"/>
              <w:bottom w:val="single" w:sz="4" w:space="0" w:color="auto"/>
              <w:right w:val="single" w:sz="4" w:space="0" w:color="auto"/>
            </w:tcBorders>
            <w:shd w:val="clear" w:color="auto" w:fill="auto"/>
            <w:noWrap/>
            <w:vAlign w:val="bottom"/>
            <w:hideMark/>
          </w:tcPr>
          <w:p w14:paraId="62EE54A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Pool 18</w:t>
            </w:r>
          </w:p>
        </w:tc>
        <w:tc>
          <w:tcPr>
            <w:tcW w:w="1134" w:type="dxa"/>
            <w:tcBorders>
              <w:top w:val="nil"/>
              <w:left w:val="nil"/>
              <w:bottom w:val="single" w:sz="4" w:space="0" w:color="auto"/>
              <w:right w:val="single" w:sz="4" w:space="0" w:color="auto"/>
            </w:tcBorders>
            <w:shd w:val="clear" w:color="auto" w:fill="auto"/>
            <w:noWrap/>
            <w:vAlign w:val="bottom"/>
            <w:hideMark/>
          </w:tcPr>
          <w:p w14:paraId="6C3355A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Apr-15</w:t>
            </w:r>
          </w:p>
        </w:tc>
        <w:tc>
          <w:tcPr>
            <w:tcW w:w="2835" w:type="dxa"/>
            <w:tcBorders>
              <w:top w:val="nil"/>
              <w:left w:val="nil"/>
              <w:bottom w:val="single" w:sz="4" w:space="0" w:color="auto"/>
              <w:right w:val="single" w:sz="4" w:space="0" w:color="auto"/>
            </w:tcBorders>
            <w:noWrap/>
            <w:vAlign w:val="bottom"/>
            <w:hideMark/>
          </w:tcPr>
          <w:p w14:paraId="0868C0BB" w14:textId="31C176D2" w:rsidR="003D3694" w:rsidRPr="00747E35" w:rsidRDefault="006B2C7A" w:rsidP="0096743A">
            <w:pPr>
              <w:pStyle w:val="Tabletext"/>
              <w:spacing w:before="0" w:after="0"/>
              <w:rPr>
                <w:rFonts w:cstheme="minorHAnsi"/>
                <w:lang w:eastAsia="en-AU"/>
              </w:rPr>
            </w:pPr>
            <w:r>
              <w:rPr>
                <w:rFonts w:cstheme="minorHAnsi"/>
                <w:lang w:eastAsia="en-AU"/>
              </w:rPr>
              <w:t>Downwelling</w:t>
            </w:r>
          </w:p>
        </w:tc>
      </w:tr>
      <w:tr w:rsidR="003D3694" w:rsidRPr="00747E35" w14:paraId="65223CB0" w14:textId="77777777" w:rsidTr="0096743A">
        <w:trPr>
          <w:trHeight w:val="290"/>
          <w:jc w:val="center"/>
        </w:trPr>
        <w:tc>
          <w:tcPr>
            <w:tcW w:w="1531" w:type="dxa"/>
            <w:vMerge/>
            <w:tcBorders>
              <w:left w:val="single" w:sz="4" w:space="0" w:color="auto"/>
              <w:right w:val="single" w:sz="4" w:space="0" w:color="auto"/>
            </w:tcBorders>
          </w:tcPr>
          <w:p w14:paraId="361CEEA4" w14:textId="77777777" w:rsidR="003D3694" w:rsidRPr="00747E35" w:rsidRDefault="003D3694" w:rsidP="0096743A">
            <w:pPr>
              <w:pStyle w:val="Tabletext"/>
              <w:spacing w:before="0" w:after="0"/>
              <w:rPr>
                <w:rFonts w:cstheme="minorHAnsi"/>
                <w:lang w:eastAsia="en-AU"/>
              </w:rPr>
            </w:pPr>
          </w:p>
        </w:tc>
        <w:tc>
          <w:tcPr>
            <w:tcW w:w="1531" w:type="dxa"/>
            <w:tcBorders>
              <w:top w:val="nil"/>
              <w:left w:val="single" w:sz="4" w:space="0" w:color="auto"/>
              <w:bottom w:val="nil"/>
              <w:right w:val="single" w:sz="4" w:space="0" w:color="auto"/>
            </w:tcBorders>
            <w:shd w:val="clear" w:color="auto" w:fill="auto"/>
            <w:noWrap/>
            <w:vAlign w:val="bottom"/>
            <w:hideMark/>
          </w:tcPr>
          <w:p w14:paraId="0EFBEC4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Pool 19</w:t>
            </w:r>
          </w:p>
        </w:tc>
        <w:tc>
          <w:tcPr>
            <w:tcW w:w="1134" w:type="dxa"/>
            <w:tcBorders>
              <w:top w:val="nil"/>
              <w:left w:val="nil"/>
              <w:bottom w:val="single" w:sz="4" w:space="0" w:color="auto"/>
              <w:right w:val="single" w:sz="4" w:space="0" w:color="auto"/>
            </w:tcBorders>
            <w:shd w:val="clear" w:color="auto" w:fill="auto"/>
            <w:noWrap/>
            <w:vAlign w:val="bottom"/>
            <w:hideMark/>
          </w:tcPr>
          <w:p w14:paraId="71A3824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Apr-15</w:t>
            </w:r>
          </w:p>
        </w:tc>
        <w:tc>
          <w:tcPr>
            <w:tcW w:w="2835" w:type="dxa"/>
            <w:tcBorders>
              <w:top w:val="nil"/>
              <w:left w:val="nil"/>
              <w:bottom w:val="single" w:sz="4" w:space="0" w:color="auto"/>
              <w:right w:val="single" w:sz="4" w:space="0" w:color="auto"/>
            </w:tcBorders>
            <w:noWrap/>
            <w:vAlign w:val="bottom"/>
            <w:hideMark/>
          </w:tcPr>
          <w:p w14:paraId="28C9E9F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Hyporheic upwelling</w:t>
            </w:r>
          </w:p>
        </w:tc>
      </w:tr>
      <w:tr w:rsidR="003D3694" w:rsidRPr="00747E35" w14:paraId="5908ABA8" w14:textId="77777777" w:rsidTr="0096743A">
        <w:trPr>
          <w:trHeight w:val="290"/>
          <w:jc w:val="center"/>
        </w:trPr>
        <w:tc>
          <w:tcPr>
            <w:tcW w:w="1531" w:type="dxa"/>
            <w:vMerge/>
            <w:tcBorders>
              <w:left w:val="single" w:sz="4" w:space="0" w:color="auto"/>
              <w:right w:val="single" w:sz="4" w:space="0" w:color="auto"/>
            </w:tcBorders>
          </w:tcPr>
          <w:p w14:paraId="6D7F2B77" w14:textId="77777777" w:rsidR="003D3694" w:rsidRPr="00747E35" w:rsidRDefault="003D3694" w:rsidP="0096743A">
            <w:pPr>
              <w:pStyle w:val="Tabletext"/>
              <w:spacing w:before="0" w:after="0"/>
              <w:rPr>
                <w:rFonts w:cstheme="minorHAnsi"/>
                <w:lang w:eastAsia="en-AU"/>
              </w:rPr>
            </w:pPr>
          </w:p>
        </w:tc>
        <w:tc>
          <w:tcPr>
            <w:tcW w:w="1531" w:type="dxa"/>
            <w:tcBorders>
              <w:top w:val="nil"/>
              <w:left w:val="single" w:sz="4" w:space="0" w:color="auto"/>
              <w:bottom w:val="single" w:sz="4" w:space="0" w:color="auto"/>
              <w:right w:val="single" w:sz="4" w:space="0" w:color="auto"/>
            </w:tcBorders>
            <w:shd w:val="clear" w:color="auto" w:fill="auto"/>
            <w:noWrap/>
            <w:vAlign w:val="bottom"/>
            <w:hideMark/>
          </w:tcPr>
          <w:p w14:paraId="42B353E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134" w:type="dxa"/>
            <w:tcBorders>
              <w:top w:val="nil"/>
              <w:left w:val="nil"/>
              <w:bottom w:val="single" w:sz="4" w:space="0" w:color="auto"/>
              <w:right w:val="single" w:sz="4" w:space="0" w:color="auto"/>
            </w:tcBorders>
            <w:shd w:val="clear" w:color="auto" w:fill="auto"/>
            <w:noWrap/>
            <w:vAlign w:val="bottom"/>
            <w:hideMark/>
          </w:tcPr>
          <w:p w14:paraId="74A7103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Jul-15</w:t>
            </w:r>
          </w:p>
        </w:tc>
        <w:tc>
          <w:tcPr>
            <w:tcW w:w="2835" w:type="dxa"/>
            <w:tcBorders>
              <w:top w:val="nil"/>
              <w:left w:val="nil"/>
              <w:bottom w:val="single" w:sz="4" w:space="0" w:color="auto"/>
              <w:right w:val="single" w:sz="4" w:space="0" w:color="auto"/>
            </w:tcBorders>
            <w:noWrap/>
            <w:vAlign w:val="bottom"/>
            <w:hideMark/>
          </w:tcPr>
          <w:p w14:paraId="4825465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Hyporheic upwelling</w:t>
            </w:r>
          </w:p>
        </w:tc>
      </w:tr>
      <w:tr w:rsidR="003D3694" w:rsidRPr="00747E35" w14:paraId="344DD5E7" w14:textId="77777777" w:rsidTr="0096743A">
        <w:trPr>
          <w:trHeight w:val="290"/>
          <w:jc w:val="center"/>
        </w:trPr>
        <w:tc>
          <w:tcPr>
            <w:tcW w:w="1531" w:type="dxa"/>
            <w:vMerge/>
            <w:tcBorders>
              <w:left w:val="single" w:sz="4" w:space="0" w:color="auto"/>
              <w:right w:val="single" w:sz="4" w:space="0" w:color="auto"/>
            </w:tcBorders>
          </w:tcPr>
          <w:p w14:paraId="3CAE3861" w14:textId="77777777" w:rsidR="003D3694" w:rsidRPr="00747E35" w:rsidRDefault="003D3694" w:rsidP="0096743A">
            <w:pPr>
              <w:pStyle w:val="Tabletext"/>
              <w:spacing w:before="0" w:after="0"/>
              <w:rPr>
                <w:rFonts w:cstheme="minorHAnsi"/>
                <w:lang w:eastAsia="en-AU"/>
              </w:rPr>
            </w:pPr>
          </w:p>
        </w:tc>
        <w:tc>
          <w:tcPr>
            <w:tcW w:w="1531" w:type="dxa"/>
            <w:tcBorders>
              <w:top w:val="nil"/>
              <w:left w:val="single" w:sz="4" w:space="0" w:color="auto"/>
              <w:bottom w:val="nil"/>
              <w:right w:val="single" w:sz="4" w:space="0" w:color="auto"/>
            </w:tcBorders>
            <w:shd w:val="clear" w:color="auto" w:fill="auto"/>
            <w:noWrap/>
            <w:vAlign w:val="bottom"/>
            <w:hideMark/>
          </w:tcPr>
          <w:p w14:paraId="02B5ADB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Pool 20</w:t>
            </w:r>
          </w:p>
        </w:tc>
        <w:tc>
          <w:tcPr>
            <w:tcW w:w="1134" w:type="dxa"/>
            <w:tcBorders>
              <w:top w:val="nil"/>
              <w:left w:val="nil"/>
              <w:bottom w:val="single" w:sz="4" w:space="0" w:color="auto"/>
              <w:right w:val="single" w:sz="4" w:space="0" w:color="auto"/>
            </w:tcBorders>
            <w:shd w:val="clear" w:color="auto" w:fill="auto"/>
            <w:noWrap/>
            <w:vAlign w:val="bottom"/>
            <w:hideMark/>
          </w:tcPr>
          <w:p w14:paraId="0ED716F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Apr-15</w:t>
            </w:r>
          </w:p>
        </w:tc>
        <w:tc>
          <w:tcPr>
            <w:tcW w:w="2835" w:type="dxa"/>
            <w:tcBorders>
              <w:top w:val="nil"/>
              <w:left w:val="nil"/>
              <w:bottom w:val="single" w:sz="4" w:space="0" w:color="auto"/>
              <w:right w:val="single" w:sz="4" w:space="0" w:color="auto"/>
            </w:tcBorders>
            <w:noWrap/>
            <w:vAlign w:val="bottom"/>
            <w:hideMark/>
          </w:tcPr>
          <w:p w14:paraId="6C98930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Hyporheic upwelling</w:t>
            </w:r>
          </w:p>
        </w:tc>
      </w:tr>
      <w:tr w:rsidR="003D3694" w:rsidRPr="00747E35" w14:paraId="56D07781" w14:textId="77777777" w:rsidTr="0096743A">
        <w:trPr>
          <w:trHeight w:val="290"/>
          <w:jc w:val="center"/>
        </w:trPr>
        <w:tc>
          <w:tcPr>
            <w:tcW w:w="1531" w:type="dxa"/>
            <w:vMerge/>
            <w:tcBorders>
              <w:left w:val="single" w:sz="4" w:space="0" w:color="auto"/>
              <w:right w:val="single" w:sz="4" w:space="0" w:color="auto"/>
            </w:tcBorders>
          </w:tcPr>
          <w:p w14:paraId="2913CEB8" w14:textId="77777777" w:rsidR="003D3694" w:rsidRPr="00747E35" w:rsidRDefault="003D3694" w:rsidP="0096743A">
            <w:pPr>
              <w:pStyle w:val="Tabletext"/>
              <w:spacing w:before="0" w:after="0"/>
              <w:rPr>
                <w:rFonts w:cstheme="minorHAnsi"/>
                <w:lang w:eastAsia="en-AU"/>
              </w:rPr>
            </w:pPr>
          </w:p>
        </w:tc>
        <w:tc>
          <w:tcPr>
            <w:tcW w:w="1531" w:type="dxa"/>
            <w:tcBorders>
              <w:top w:val="nil"/>
              <w:left w:val="single" w:sz="4" w:space="0" w:color="auto"/>
              <w:bottom w:val="single" w:sz="4" w:space="0" w:color="auto"/>
              <w:right w:val="single" w:sz="4" w:space="0" w:color="auto"/>
            </w:tcBorders>
            <w:shd w:val="clear" w:color="auto" w:fill="auto"/>
            <w:noWrap/>
            <w:vAlign w:val="bottom"/>
            <w:hideMark/>
          </w:tcPr>
          <w:p w14:paraId="77EE2D7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134" w:type="dxa"/>
            <w:tcBorders>
              <w:top w:val="nil"/>
              <w:left w:val="nil"/>
              <w:bottom w:val="single" w:sz="4" w:space="0" w:color="auto"/>
              <w:right w:val="single" w:sz="4" w:space="0" w:color="auto"/>
            </w:tcBorders>
            <w:shd w:val="clear" w:color="auto" w:fill="auto"/>
            <w:noWrap/>
            <w:vAlign w:val="bottom"/>
            <w:hideMark/>
          </w:tcPr>
          <w:p w14:paraId="075389D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Jul-15</w:t>
            </w:r>
          </w:p>
        </w:tc>
        <w:tc>
          <w:tcPr>
            <w:tcW w:w="2835" w:type="dxa"/>
            <w:tcBorders>
              <w:top w:val="nil"/>
              <w:left w:val="nil"/>
              <w:bottom w:val="single" w:sz="4" w:space="0" w:color="auto"/>
              <w:right w:val="single" w:sz="4" w:space="0" w:color="auto"/>
            </w:tcBorders>
            <w:noWrap/>
            <w:vAlign w:val="bottom"/>
            <w:hideMark/>
          </w:tcPr>
          <w:p w14:paraId="2ADC0C4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Hyporheic upwelling</w:t>
            </w:r>
          </w:p>
        </w:tc>
      </w:tr>
      <w:tr w:rsidR="003D3694" w:rsidRPr="00747E35" w14:paraId="4F6013DA" w14:textId="77777777" w:rsidTr="0096743A">
        <w:trPr>
          <w:trHeight w:val="290"/>
          <w:jc w:val="center"/>
        </w:trPr>
        <w:tc>
          <w:tcPr>
            <w:tcW w:w="1531" w:type="dxa"/>
            <w:vMerge/>
            <w:tcBorders>
              <w:left w:val="single" w:sz="4" w:space="0" w:color="auto"/>
              <w:right w:val="single" w:sz="4" w:space="0" w:color="auto"/>
            </w:tcBorders>
          </w:tcPr>
          <w:p w14:paraId="16857D09" w14:textId="77777777" w:rsidR="003D3694" w:rsidRPr="00747E35" w:rsidRDefault="003D3694" w:rsidP="0096743A">
            <w:pPr>
              <w:pStyle w:val="Tabletext"/>
              <w:spacing w:before="0" w:after="0"/>
              <w:rPr>
                <w:rFonts w:cstheme="minorHAnsi"/>
                <w:lang w:eastAsia="en-AU"/>
              </w:rPr>
            </w:pPr>
          </w:p>
        </w:tc>
        <w:tc>
          <w:tcPr>
            <w:tcW w:w="1531" w:type="dxa"/>
            <w:tcBorders>
              <w:top w:val="nil"/>
              <w:left w:val="single" w:sz="4" w:space="0" w:color="auto"/>
              <w:bottom w:val="single" w:sz="4" w:space="0" w:color="auto"/>
              <w:right w:val="single" w:sz="4" w:space="0" w:color="auto"/>
            </w:tcBorders>
            <w:shd w:val="clear" w:color="auto" w:fill="auto"/>
            <w:noWrap/>
            <w:vAlign w:val="bottom"/>
            <w:hideMark/>
          </w:tcPr>
          <w:p w14:paraId="1A1A8EB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Pool 24</w:t>
            </w:r>
          </w:p>
        </w:tc>
        <w:tc>
          <w:tcPr>
            <w:tcW w:w="1134" w:type="dxa"/>
            <w:tcBorders>
              <w:top w:val="nil"/>
              <w:left w:val="nil"/>
              <w:bottom w:val="single" w:sz="4" w:space="0" w:color="auto"/>
              <w:right w:val="single" w:sz="4" w:space="0" w:color="auto"/>
            </w:tcBorders>
            <w:shd w:val="clear" w:color="auto" w:fill="auto"/>
            <w:noWrap/>
            <w:vAlign w:val="bottom"/>
            <w:hideMark/>
          </w:tcPr>
          <w:p w14:paraId="07E126F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Apr-15</w:t>
            </w:r>
          </w:p>
        </w:tc>
        <w:tc>
          <w:tcPr>
            <w:tcW w:w="2835" w:type="dxa"/>
            <w:tcBorders>
              <w:top w:val="nil"/>
              <w:left w:val="nil"/>
              <w:bottom w:val="single" w:sz="4" w:space="0" w:color="auto"/>
              <w:right w:val="single" w:sz="4" w:space="0" w:color="auto"/>
            </w:tcBorders>
            <w:noWrap/>
            <w:vAlign w:val="bottom"/>
            <w:hideMark/>
          </w:tcPr>
          <w:p w14:paraId="63A1C06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Hyporheic upwelling</w:t>
            </w:r>
          </w:p>
        </w:tc>
      </w:tr>
      <w:tr w:rsidR="003D3694" w:rsidRPr="00747E35" w14:paraId="6D45E438" w14:textId="77777777" w:rsidTr="0096743A">
        <w:trPr>
          <w:trHeight w:val="290"/>
          <w:jc w:val="center"/>
        </w:trPr>
        <w:tc>
          <w:tcPr>
            <w:tcW w:w="1531" w:type="dxa"/>
            <w:vMerge/>
            <w:tcBorders>
              <w:left w:val="single" w:sz="4" w:space="0" w:color="auto"/>
              <w:right w:val="single" w:sz="4" w:space="0" w:color="auto"/>
            </w:tcBorders>
          </w:tcPr>
          <w:p w14:paraId="33E66E82" w14:textId="77777777" w:rsidR="003D3694" w:rsidRPr="00747E35" w:rsidRDefault="003D3694" w:rsidP="0096743A">
            <w:pPr>
              <w:pStyle w:val="Tabletext"/>
              <w:spacing w:before="0" w:after="0"/>
              <w:rPr>
                <w:rFonts w:cstheme="minorHAnsi"/>
                <w:lang w:eastAsia="en-AU"/>
              </w:rPr>
            </w:pPr>
          </w:p>
        </w:tc>
        <w:tc>
          <w:tcPr>
            <w:tcW w:w="1531" w:type="dxa"/>
            <w:tcBorders>
              <w:top w:val="nil"/>
              <w:left w:val="single" w:sz="4" w:space="0" w:color="auto"/>
              <w:bottom w:val="nil"/>
              <w:right w:val="single" w:sz="4" w:space="0" w:color="auto"/>
            </w:tcBorders>
            <w:shd w:val="clear" w:color="auto" w:fill="auto"/>
            <w:noWrap/>
            <w:vAlign w:val="bottom"/>
            <w:hideMark/>
          </w:tcPr>
          <w:p w14:paraId="2A2A42A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Bar 6</w:t>
            </w:r>
          </w:p>
        </w:tc>
        <w:tc>
          <w:tcPr>
            <w:tcW w:w="1134" w:type="dxa"/>
            <w:tcBorders>
              <w:top w:val="nil"/>
              <w:left w:val="nil"/>
              <w:bottom w:val="single" w:sz="4" w:space="0" w:color="auto"/>
              <w:right w:val="single" w:sz="4" w:space="0" w:color="auto"/>
            </w:tcBorders>
            <w:shd w:val="clear" w:color="auto" w:fill="auto"/>
            <w:noWrap/>
            <w:vAlign w:val="bottom"/>
            <w:hideMark/>
          </w:tcPr>
          <w:p w14:paraId="324CAB5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Oct-15</w:t>
            </w:r>
          </w:p>
        </w:tc>
        <w:tc>
          <w:tcPr>
            <w:tcW w:w="2835" w:type="dxa"/>
            <w:tcBorders>
              <w:top w:val="nil"/>
              <w:left w:val="nil"/>
              <w:bottom w:val="single" w:sz="4" w:space="0" w:color="auto"/>
              <w:right w:val="single" w:sz="4" w:space="0" w:color="auto"/>
            </w:tcBorders>
            <w:noWrap/>
            <w:vAlign w:val="bottom"/>
            <w:hideMark/>
          </w:tcPr>
          <w:p w14:paraId="4255B67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Upwelling groundwater</w:t>
            </w:r>
          </w:p>
        </w:tc>
      </w:tr>
      <w:tr w:rsidR="003D3694" w:rsidRPr="00747E35" w14:paraId="248B18F7" w14:textId="77777777" w:rsidTr="0096743A">
        <w:trPr>
          <w:trHeight w:val="290"/>
          <w:jc w:val="center"/>
        </w:trPr>
        <w:tc>
          <w:tcPr>
            <w:tcW w:w="1531" w:type="dxa"/>
            <w:vMerge/>
            <w:tcBorders>
              <w:left w:val="single" w:sz="4" w:space="0" w:color="auto"/>
              <w:bottom w:val="single" w:sz="4" w:space="0" w:color="auto"/>
              <w:right w:val="single" w:sz="4" w:space="0" w:color="auto"/>
            </w:tcBorders>
          </w:tcPr>
          <w:p w14:paraId="2D513540" w14:textId="77777777" w:rsidR="003D3694" w:rsidRPr="00747E35" w:rsidRDefault="003D3694" w:rsidP="0096743A">
            <w:pPr>
              <w:pStyle w:val="Tabletext"/>
              <w:spacing w:before="0" w:after="0"/>
              <w:rPr>
                <w:rFonts w:cstheme="minorHAnsi"/>
                <w:lang w:eastAsia="en-AU"/>
              </w:rPr>
            </w:pPr>
          </w:p>
        </w:tc>
        <w:tc>
          <w:tcPr>
            <w:tcW w:w="1531" w:type="dxa"/>
            <w:tcBorders>
              <w:top w:val="nil"/>
              <w:left w:val="single" w:sz="4" w:space="0" w:color="auto"/>
              <w:bottom w:val="single" w:sz="4" w:space="0" w:color="auto"/>
              <w:right w:val="single" w:sz="4" w:space="0" w:color="auto"/>
            </w:tcBorders>
            <w:shd w:val="clear" w:color="auto" w:fill="auto"/>
            <w:noWrap/>
            <w:vAlign w:val="bottom"/>
            <w:hideMark/>
          </w:tcPr>
          <w:p w14:paraId="1F74AA4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134" w:type="dxa"/>
            <w:tcBorders>
              <w:top w:val="nil"/>
              <w:left w:val="nil"/>
              <w:bottom w:val="single" w:sz="4" w:space="0" w:color="auto"/>
              <w:right w:val="single" w:sz="4" w:space="0" w:color="auto"/>
            </w:tcBorders>
            <w:shd w:val="clear" w:color="auto" w:fill="auto"/>
            <w:noWrap/>
            <w:vAlign w:val="bottom"/>
            <w:hideMark/>
          </w:tcPr>
          <w:p w14:paraId="59B5FB7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Feb-16</w:t>
            </w:r>
          </w:p>
        </w:tc>
        <w:tc>
          <w:tcPr>
            <w:tcW w:w="2835" w:type="dxa"/>
            <w:tcBorders>
              <w:top w:val="nil"/>
              <w:left w:val="nil"/>
              <w:bottom w:val="single" w:sz="4" w:space="0" w:color="auto"/>
              <w:right w:val="single" w:sz="4" w:space="0" w:color="auto"/>
            </w:tcBorders>
            <w:noWrap/>
            <w:vAlign w:val="bottom"/>
            <w:hideMark/>
          </w:tcPr>
          <w:p w14:paraId="357D574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Upwelling groundwater</w:t>
            </w:r>
          </w:p>
        </w:tc>
      </w:tr>
      <w:tr w:rsidR="003D3694" w:rsidRPr="00747E35" w14:paraId="79F3D1E9" w14:textId="77777777" w:rsidTr="0096743A">
        <w:trPr>
          <w:trHeight w:val="290"/>
          <w:jc w:val="center"/>
        </w:trPr>
        <w:tc>
          <w:tcPr>
            <w:tcW w:w="1531" w:type="dxa"/>
            <w:vMerge w:val="restart"/>
            <w:tcBorders>
              <w:top w:val="nil"/>
              <w:left w:val="single" w:sz="4" w:space="0" w:color="auto"/>
              <w:right w:val="single" w:sz="4" w:space="0" w:color="auto"/>
            </w:tcBorders>
          </w:tcPr>
          <w:p w14:paraId="0749761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Perennial losing</w:t>
            </w:r>
          </w:p>
        </w:tc>
        <w:tc>
          <w:tcPr>
            <w:tcW w:w="1531" w:type="dxa"/>
            <w:tcBorders>
              <w:top w:val="nil"/>
              <w:left w:val="single" w:sz="4" w:space="0" w:color="auto"/>
              <w:bottom w:val="nil"/>
              <w:right w:val="single" w:sz="4" w:space="0" w:color="auto"/>
            </w:tcBorders>
            <w:shd w:val="clear" w:color="auto" w:fill="auto"/>
            <w:noWrap/>
            <w:vAlign w:val="bottom"/>
            <w:hideMark/>
          </w:tcPr>
          <w:p w14:paraId="28448A0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Elfin Crossing</w:t>
            </w:r>
          </w:p>
        </w:tc>
        <w:tc>
          <w:tcPr>
            <w:tcW w:w="1134" w:type="dxa"/>
            <w:tcBorders>
              <w:top w:val="nil"/>
              <w:left w:val="nil"/>
              <w:bottom w:val="single" w:sz="4" w:space="0" w:color="auto"/>
              <w:right w:val="single" w:sz="4" w:space="0" w:color="auto"/>
            </w:tcBorders>
            <w:shd w:val="clear" w:color="auto" w:fill="auto"/>
            <w:noWrap/>
            <w:vAlign w:val="bottom"/>
            <w:hideMark/>
          </w:tcPr>
          <w:p w14:paraId="68700C6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Sep-15</w:t>
            </w:r>
          </w:p>
        </w:tc>
        <w:tc>
          <w:tcPr>
            <w:tcW w:w="2835" w:type="dxa"/>
            <w:tcBorders>
              <w:top w:val="nil"/>
              <w:left w:val="nil"/>
              <w:bottom w:val="single" w:sz="4" w:space="0" w:color="auto"/>
              <w:right w:val="single" w:sz="4" w:space="0" w:color="auto"/>
            </w:tcBorders>
            <w:noWrap/>
            <w:vAlign w:val="bottom"/>
            <w:hideMark/>
          </w:tcPr>
          <w:p w14:paraId="2D99A24B" w14:textId="7D9D50AF" w:rsidR="003D3694" w:rsidRPr="00747E35" w:rsidRDefault="006B2C7A" w:rsidP="0096743A">
            <w:pPr>
              <w:pStyle w:val="Tabletext"/>
              <w:spacing w:before="0" w:after="0"/>
              <w:rPr>
                <w:rFonts w:cstheme="minorHAnsi"/>
                <w:lang w:eastAsia="en-AU"/>
              </w:rPr>
            </w:pPr>
            <w:r>
              <w:rPr>
                <w:rFonts w:cstheme="minorHAnsi"/>
                <w:lang w:eastAsia="en-AU"/>
              </w:rPr>
              <w:t>Downwelling</w:t>
            </w:r>
          </w:p>
        </w:tc>
      </w:tr>
      <w:tr w:rsidR="003D3694" w:rsidRPr="00747E35" w14:paraId="3C9E35B3" w14:textId="77777777" w:rsidTr="0096743A">
        <w:trPr>
          <w:trHeight w:val="290"/>
          <w:jc w:val="center"/>
        </w:trPr>
        <w:tc>
          <w:tcPr>
            <w:tcW w:w="1531" w:type="dxa"/>
            <w:vMerge/>
            <w:tcBorders>
              <w:left w:val="single" w:sz="4" w:space="0" w:color="auto"/>
              <w:right w:val="single" w:sz="4" w:space="0" w:color="auto"/>
            </w:tcBorders>
          </w:tcPr>
          <w:p w14:paraId="19C8E077" w14:textId="77777777" w:rsidR="003D3694" w:rsidRPr="00747E35" w:rsidRDefault="003D3694" w:rsidP="0096743A">
            <w:pPr>
              <w:pStyle w:val="Tabletext"/>
              <w:spacing w:before="0" w:after="0"/>
              <w:rPr>
                <w:rFonts w:cstheme="minorHAnsi"/>
                <w:lang w:eastAsia="en-AU"/>
              </w:rPr>
            </w:pPr>
          </w:p>
        </w:tc>
        <w:tc>
          <w:tcPr>
            <w:tcW w:w="1531" w:type="dxa"/>
            <w:tcBorders>
              <w:top w:val="nil"/>
              <w:left w:val="single" w:sz="4" w:space="0" w:color="auto"/>
              <w:bottom w:val="single" w:sz="4" w:space="0" w:color="auto"/>
              <w:right w:val="single" w:sz="4" w:space="0" w:color="auto"/>
            </w:tcBorders>
            <w:shd w:val="clear" w:color="auto" w:fill="auto"/>
            <w:noWrap/>
            <w:vAlign w:val="bottom"/>
            <w:hideMark/>
          </w:tcPr>
          <w:p w14:paraId="4A5802C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134" w:type="dxa"/>
            <w:tcBorders>
              <w:top w:val="nil"/>
              <w:left w:val="nil"/>
              <w:bottom w:val="single" w:sz="4" w:space="0" w:color="auto"/>
              <w:right w:val="single" w:sz="4" w:space="0" w:color="auto"/>
            </w:tcBorders>
            <w:shd w:val="clear" w:color="auto" w:fill="auto"/>
            <w:noWrap/>
            <w:vAlign w:val="bottom"/>
            <w:hideMark/>
          </w:tcPr>
          <w:p w14:paraId="2D6F8C6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Feb-16</w:t>
            </w:r>
          </w:p>
        </w:tc>
        <w:tc>
          <w:tcPr>
            <w:tcW w:w="2835" w:type="dxa"/>
            <w:tcBorders>
              <w:top w:val="nil"/>
              <w:left w:val="nil"/>
              <w:bottom w:val="single" w:sz="4" w:space="0" w:color="auto"/>
              <w:right w:val="single" w:sz="4" w:space="0" w:color="auto"/>
            </w:tcBorders>
            <w:noWrap/>
            <w:vAlign w:val="bottom"/>
            <w:hideMark/>
          </w:tcPr>
          <w:p w14:paraId="2B6AD5F1" w14:textId="3CAE28E9" w:rsidR="003D3694" w:rsidRPr="00747E35" w:rsidRDefault="006B2C7A" w:rsidP="0096743A">
            <w:pPr>
              <w:pStyle w:val="Tabletext"/>
              <w:spacing w:before="0" w:after="0"/>
              <w:rPr>
                <w:rFonts w:cstheme="minorHAnsi"/>
                <w:lang w:eastAsia="en-AU"/>
              </w:rPr>
            </w:pPr>
            <w:r>
              <w:rPr>
                <w:rFonts w:cstheme="minorHAnsi"/>
                <w:lang w:eastAsia="en-AU"/>
              </w:rPr>
              <w:t>Downwelling</w:t>
            </w:r>
          </w:p>
        </w:tc>
      </w:tr>
      <w:tr w:rsidR="003D3694" w:rsidRPr="00747E35" w14:paraId="4BE237E6" w14:textId="77777777" w:rsidTr="0096743A">
        <w:trPr>
          <w:trHeight w:val="290"/>
          <w:jc w:val="center"/>
        </w:trPr>
        <w:tc>
          <w:tcPr>
            <w:tcW w:w="1531" w:type="dxa"/>
            <w:vMerge/>
            <w:tcBorders>
              <w:left w:val="single" w:sz="4" w:space="0" w:color="auto"/>
              <w:right w:val="single" w:sz="4" w:space="0" w:color="auto"/>
            </w:tcBorders>
          </w:tcPr>
          <w:p w14:paraId="1C7EE1E1" w14:textId="77777777" w:rsidR="003D3694" w:rsidRPr="00747E35" w:rsidRDefault="003D3694" w:rsidP="0096743A">
            <w:pPr>
              <w:pStyle w:val="Tabletext"/>
              <w:spacing w:before="0" w:after="0"/>
              <w:rPr>
                <w:rFonts w:cstheme="minorHAnsi"/>
                <w:lang w:eastAsia="en-AU"/>
              </w:rPr>
            </w:pPr>
          </w:p>
        </w:tc>
        <w:tc>
          <w:tcPr>
            <w:tcW w:w="1531" w:type="dxa"/>
            <w:tcBorders>
              <w:top w:val="nil"/>
              <w:left w:val="single" w:sz="4" w:space="0" w:color="auto"/>
              <w:bottom w:val="single" w:sz="4" w:space="0" w:color="auto"/>
              <w:right w:val="single" w:sz="4" w:space="0" w:color="auto"/>
            </w:tcBorders>
            <w:shd w:val="clear" w:color="auto" w:fill="auto"/>
            <w:noWrap/>
            <w:vAlign w:val="bottom"/>
            <w:hideMark/>
          </w:tcPr>
          <w:p w14:paraId="4AAC440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Riffle 10</w:t>
            </w:r>
          </w:p>
        </w:tc>
        <w:tc>
          <w:tcPr>
            <w:tcW w:w="1134" w:type="dxa"/>
            <w:tcBorders>
              <w:top w:val="nil"/>
              <w:left w:val="nil"/>
              <w:bottom w:val="single" w:sz="4" w:space="0" w:color="auto"/>
              <w:right w:val="single" w:sz="4" w:space="0" w:color="auto"/>
            </w:tcBorders>
            <w:shd w:val="clear" w:color="auto" w:fill="auto"/>
            <w:noWrap/>
            <w:vAlign w:val="bottom"/>
            <w:hideMark/>
          </w:tcPr>
          <w:p w14:paraId="4DBA07A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Jul-15</w:t>
            </w:r>
          </w:p>
        </w:tc>
        <w:tc>
          <w:tcPr>
            <w:tcW w:w="2835" w:type="dxa"/>
            <w:tcBorders>
              <w:top w:val="nil"/>
              <w:left w:val="nil"/>
              <w:bottom w:val="single" w:sz="4" w:space="0" w:color="auto"/>
              <w:right w:val="single" w:sz="4" w:space="0" w:color="auto"/>
            </w:tcBorders>
            <w:noWrap/>
            <w:vAlign w:val="bottom"/>
            <w:hideMark/>
          </w:tcPr>
          <w:p w14:paraId="74C5307E" w14:textId="2016C268" w:rsidR="003D3694" w:rsidRPr="00747E35" w:rsidRDefault="006B2C7A" w:rsidP="0096743A">
            <w:pPr>
              <w:pStyle w:val="Tabletext"/>
              <w:spacing w:before="0" w:after="0"/>
              <w:rPr>
                <w:rFonts w:cstheme="minorHAnsi"/>
                <w:lang w:eastAsia="en-AU"/>
              </w:rPr>
            </w:pPr>
            <w:r>
              <w:rPr>
                <w:rFonts w:cstheme="minorHAnsi"/>
                <w:lang w:eastAsia="en-AU"/>
              </w:rPr>
              <w:t>Downwelling</w:t>
            </w:r>
          </w:p>
        </w:tc>
      </w:tr>
      <w:tr w:rsidR="003D3694" w:rsidRPr="00747E35" w14:paraId="1F9F5561" w14:textId="77777777" w:rsidTr="0096743A">
        <w:trPr>
          <w:trHeight w:val="290"/>
          <w:jc w:val="center"/>
        </w:trPr>
        <w:tc>
          <w:tcPr>
            <w:tcW w:w="1531" w:type="dxa"/>
            <w:vMerge/>
            <w:tcBorders>
              <w:left w:val="single" w:sz="4" w:space="0" w:color="auto"/>
              <w:right w:val="single" w:sz="4" w:space="0" w:color="auto"/>
            </w:tcBorders>
          </w:tcPr>
          <w:p w14:paraId="40876293" w14:textId="77777777" w:rsidR="003D3694" w:rsidRPr="00747E35" w:rsidRDefault="003D3694" w:rsidP="0096743A">
            <w:pPr>
              <w:pStyle w:val="Tabletext"/>
              <w:spacing w:before="0" w:after="0"/>
              <w:rPr>
                <w:rFonts w:cstheme="minorHAnsi"/>
                <w:lang w:eastAsia="en-AU"/>
              </w:rPr>
            </w:pPr>
          </w:p>
        </w:tc>
        <w:tc>
          <w:tcPr>
            <w:tcW w:w="1531" w:type="dxa"/>
            <w:tcBorders>
              <w:top w:val="nil"/>
              <w:left w:val="single" w:sz="4" w:space="0" w:color="auto"/>
              <w:bottom w:val="single" w:sz="4" w:space="0" w:color="auto"/>
              <w:right w:val="single" w:sz="4" w:space="0" w:color="auto"/>
            </w:tcBorders>
            <w:shd w:val="clear" w:color="auto" w:fill="auto"/>
            <w:noWrap/>
            <w:vAlign w:val="bottom"/>
            <w:hideMark/>
          </w:tcPr>
          <w:p w14:paraId="24DD6A1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Pool 38</w:t>
            </w:r>
          </w:p>
        </w:tc>
        <w:tc>
          <w:tcPr>
            <w:tcW w:w="1134" w:type="dxa"/>
            <w:tcBorders>
              <w:top w:val="nil"/>
              <w:left w:val="nil"/>
              <w:bottom w:val="single" w:sz="4" w:space="0" w:color="auto"/>
              <w:right w:val="single" w:sz="4" w:space="0" w:color="auto"/>
            </w:tcBorders>
            <w:shd w:val="clear" w:color="auto" w:fill="auto"/>
            <w:noWrap/>
            <w:vAlign w:val="bottom"/>
            <w:hideMark/>
          </w:tcPr>
          <w:p w14:paraId="5D3B88C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Feb-16</w:t>
            </w:r>
          </w:p>
        </w:tc>
        <w:tc>
          <w:tcPr>
            <w:tcW w:w="2835" w:type="dxa"/>
            <w:tcBorders>
              <w:top w:val="nil"/>
              <w:left w:val="nil"/>
              <w:bottom w:val="single" w:sz="4" w:space="0" w:color="auto"/>
              <w:right w:val="single" w:sz="4" w:space="0" w:color="auto"/>
            </w:tcBorders>
            <w:noWrap/>
            <w:vAlign w:val="bottom"/>
            <w:hideMark/>
          </w:tcPr>
          <w:p w14:paraId="4FFC5D97" w14:textId="660EE6BA" w:rsidR="003D3694" w:rsidRPr="00747E35" w:rsidRDefault="006B2C7A" w:rsidP="0096743A">
            <w:pPr>
              <w:pStyle w:val="Tabletext"/>
              <w:spacing w:before="0" w:after="0"/>
              <w:rPr>
                <w:rFonts w:cstheme="minorHAnsi"/>
                <w:lang w:eastAsia="en-AU"/>
              </w:rPr>
            </w:pPr>
            <w:r>
              <w:rPr>
                <w:rFonts w:cstheme="minorHAnsi"/>
                <w:lang w:eastAsia="en-AU"/>
              </w:rPr>
              <w:t>Downwelling</w:t>
            </w:r>
          </w:p>
        </w:tc>
      </w:tr>
      <w:tr w:rsidR="003D3694" w:rsidRPr="00747E35" w14:paraId="0CC606B8" w14:textId="77777777" w:rsidTr="0096743A">
        <w:trPr>
          <w:trHeight w:val="290"/>
          <w:jc w:val="center"/>
        </w:trPr>
        <w:tc>
          <w:tcPr>
            <w:tcW w:w="1531" w:type="dxa"/>
            <w:vMerge/>
            <w:tcBorders>
              <w:left w:val="single" w:sz="4" w:space="0" w:color="auto"/>
              <w:right w:val="single" w:sz="4" w:space="0" w:color="auto"/>
            </w:tcBorders>
          </w:tcPr>
          <w:p w14:paraId="3E9B36D1" w14:textId="77777777" w:rsidR="003D3694" w:rsidRPr="00747E35" w:rsidRDefault="003D3694" w:rsidP="0096743A">
            <w:pPr>
              <w:pStyle w:val="Tabletext"/>
              <w:spacing w:before="0" w:after="0"/>
              <w:rPr>
                <w:rFonts w:cstheme="minorHAnsi"/>
                <w:lang w:eastAsia="en-AU"/>
              </w:rPr>
            </w:pPr>
          </w:p>
        </w:tc>
        <w:tc>
          <w:tcPr>
            <w:tcW w:w="1531" w:type="dxa"/>
            <w:tcBorders>
              <w:top w:val="nil"/>
              <w:left w:val="single" w:sz="4" w:space="0" w:color="auto"/>
              <w:bottom w:val="nil"/>
              <w:right w:val="single" w:sz="4" w:space="0" w:color="auto"/>
            </w:tcBorders>
            <w:shd w:val="clear" w:color="auto" w:fill="auto"/>
            <w:noWrap/>
            <w:vAlign w:val="bottom"/>
            <w:hideMark/>
          </w:tcPr>
          <w:p w14:paraId="6392BBD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Riffle 11</w:t>
            </w:r>
          </w:p>
        </w:tc>
        <w:tc>
          <w:tcPr>
            <w:tcW w:w="1134" w:type="dxa"/>
            <w:tcBorders>
              <w:top w:val="nil"/>
              <w:left w:val="nil"/>
              <w:bottom w:val="single" w:sz="4" w:space="0" w:color="auto"/>
              <w:right w:val="single" w:sz="4" w:space="0" w:color="auto"/>
            </w:tcBorders>
            <w:shd w:val="clear" w:color="auto" w:fill="auto"/>
            <w:noWrap/>
            <w:vAlign w:val="bottom"/>
            <w:hideMark/>
          </w:tcPr>
          <w:p w14:paraId="0F3C8DE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Jul-15</w:t>
            </w:r>
          </w:p>
        </w:tc>
        <w:tc>
          <w:tcPr>
            <w:tcW w:w="2835" w:type="dxa"/>
            <w:tcBorders>
              <w:top w:val="nil"/>
              <w:left w:val="nil"/>
              <w:bottom w:val="single" w:sz="4" w:space="0" w:color="auto"/>
              <w:right w:val="single" w:sz="4" w:space="0" w:color="auto"/>
            </w:tcBorders>
            <w:noWrap/>
            <w:vAlign w:val="bottom"/>
            <w:hideMark/>
          </w:tcPr>
          <w:p w14:paraId="211DBC1A" w14:textId="459B36BB" w:rsidR="003D3694" w:rsidRPr="00747E35" w:rsidRDefault="006B2C7A" w:rsidP="0096743A">
            <w:pPr>
              <w:pStyle w:val="Tabletext"/>
              <w:spacing w:before="0" w:after="0"/>
              <w:rPr>
                <w:rFonts w:cstheme="minorHAnsi"/>
                <w:lang w:eastAsia="en-AU"/>
              </w:rPr>
            </w:pPr>
            <w:r>
              <w:rPr>
                <w:rFonts w:cstheme="minorHAnsi"/>
                <w:lang w:eastAsia="en-AU"/>
              </w:rPr>
              <w:t>Downwelling</w:t>
            </w:r>
          </w:p>
        </w:tc>
      </w:tr>
      <w:tr w:rsidR="003D3694" w:rsidRPr="00747E35" w14:paraId="153E124C" w14:textId="77777777" w:rsidTr="0096743A">
        <w:trPr>
          <w:trHeight w:val="290"/>
          <w:jc w:val="center"/>
        </w:trPr>
        <w:tc>
          <w:tcPr>
            <w:tcW w:w="1531" w:type="dxa"/>
            <w:vMerge/>
            <w:tcBorders>
              <w:left w:val="single" w:sz="4" w:space="0" w:color="auto"/>
              <w:bottom w:val="single" w:sz="4" w:space="0" w:color="auto"/>
              <w:right w:val="single" w:sz="4" w:space="0" w:color="auto"/>
            </w:tcBorders>
          </w:tcPr>
          <w:p w14:paraId="23FC6915" w14:textId="77777777" w:rsidR="003D3694" w:rsidRPr="00747E35" w:rsidRDefault="003D3694" w:rsidP="0096743A">
            <w:pPr>
              <w:pStyle w:val="Tabletext"/>
              <w:spacing w:before="0" w:after="0"/>
              <w:rPr>
                <w:rFonts w:cstheme="minorHAnsi"/>
                <w:lang w:eastAsia="en-AU"/>
              </w:rPr>
            </w:pPr>
          </w:p>
        </w:tc>
        <w:tc>
          <w:tcPr>
            <w:tcW w:w="1531" w:type="dxa"/>
            <w:tcBorders>
              <w:top w:val="nil"/>
              <w:left w:val="single" w:sz="4" w:space="0" w:color="auto"/>
              <w:bottom w:val="single" w:sz="4" w:space="0" w:color="auto"/>
              <w:right w:val="single" w:sz="4" w:space="0" w:color="auto"/>
            </w:tcBorders>
            <w:shd w:val="clear" w:color="auto" w:fill="auto"/>
            <w:noWrap/>
            <w:vAlign w:val="bottom"/>
            <w:hideMark/>
          </w:tcPr>
          <w:p w14:paraId="255812D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134" w:type="dxa"/>
            <w:tcBorders>
              <w:top w:val="nil"/>
              <w:left w:val="nil"/>
              <w:bottom w:val="single" w:sz="4" w:space="0" w:color="auto"/>
              <w:right w:val="single" w:sz="4" w:space="0" w:color="auto"/>
            </w:tcBorders>
            <w:shd w:val="clear" w:color="auto" w:fill="auto"/>
            <w:noWrap/>
            <w:vAlign w:val="bottom"/>
            <w:hideMark/>
          </w:tcPr>
          <w:p w14:paraId="3ED85FA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Oct-15</w:t>
            </w:r>
          </w:p>
        </w:tc>
        <w:tc>
          <w:tcPr>
            <w:tcW w:w="2835" w:type="dxa"/>
            <w:tcBorders>
              <w:top w:val="nil"/>
              <w:left w:val="nil"/>
              <w:bottom w:val="single" w:sz="4" w:space="0" w:color="auto"/>
              <w:right w:val="single" w:sz="4" w:space="0" w:color="auto"/>
            </w:tcBorders>
            <w:noWrap/>
            <w:vAlign w:val="bottom"/>
            <w:hideMark/>
          </w:tcPr>
          <w:p w14:paraId="0DDA92CA" w14:textId="1265C045" w:rsidR="003D3694" w:rsidRPr="00747E35" w:rsidRDefault="006B2C7A" w:rsidP="0096743A">
            <w:pPr>
              <w:pStyle w:val="Tabletext"/>
              <w:spacing w:before="0" w:after="0"/>
              <w:rPr>
                <w:rFonts w:cstheme="minorHAnsi"/>
                <w:lang w:eastAsia="en-AU"/>
              </w:rPr>
            </w:pPr>
            <w:r>
              <w:rPr>
                <w:rFonts w:cstheme="minorHAnsi"/>
                <w:lang w:eastAsia="en-AU"/>
              </w:rPr>
              <w:t>Downwelling</w:t>
            </w:r>
          </w:p>
        </w:tc>
      </w:tr>
    </w:tbl>
    <w:p w14:paraId="0950A8F5" w14:textId="77777777" w:rsidR="003D3694" w:rsidRPr="00747E35" w:rsidRDefault="003D3694" w:rsidP="003D3694">
      <w:pPr>
        <w:rPr>
          <w:rFonts w:asciiTheme="minorHAnsi" w:hAnsiTheme="minorHAnsi" w:cstheme="minorHAnsi"/>
        </w:rPr>
      </w:pPr>
    </w:p>
    <w:p w14:paraId="766E6D15" w14:textId="3A03EBEE" w:rsidR="003D3694" w:rsidRPr="00747E35" w:rsidRDefault="003D3694" w:rsidP="003D3694">
      <w:pPr>
        <w:rPr>
          <w:rFonts w:asciiTheme="minorHAnsi" w:hAnsiTheme="minorHAnsi" w:cstheme="minorHAnsi"/>
        </w:rPr>
      </w:pPr>
      <w:r w:rsidRPr="00747E35">
        <w:rPr>
          <w:rFonts w:asciiTheme="minorHAnsi" w:hAnsiTheme="minorHAnsi" w:cstheme="minorHAnsi"/>
        </w:rPr>
        <w:fldChar w:fldCharType="begin"/>
      </w:r>
      <w:r w:rsidRPr="00747E35">
        <w:rPr>
          <w:rFonts w:asciiTheme="minorHAnsi" w:hAnsiTheme="minorHAnsi" w:cstheme="minorHAnsi"/>
        </w:rPr>
        <w:instrText xml:space="preserve"> REF _Ref453167535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74</w:t>
      </w:r>
      <w:r w:rsidRPr="00747E35">
        <w:rPr>
          <w:rFonts w:asciiTheme="minorHAnsi" w:hAnsiTheme="minorHAnsi" w:cstheme="minorHAnsi"/>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_Ref453168902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77</w:t>
      </w:r>
      <w:r w:rsidRPr="00747E35">
        <w:rPr>
          <w:rFonts w:asciiTheme="minorHAnsi" w:hAnsiTheme="minorHAnsi" w:cstheme="minorHAnsi"/>
        </w:rPr>
        <w:fldChar w:fldCharType="end"/>
      </w:r>
      <w:r w:rsidRPr="00747E35">
        <w:rPr>
          <w:rFonts w:asciiTheme="minorHAnsi" w:hAnsiTheme="minorHAnsi" w:cstheme="minorHAnsi"/>
        </w:rPr>
        <w:t xml:space="preserve"> show selected hydrochemical variables at the sites of hyporheic sampling separated by flow regime. In general, the upwelling regional groundwater samples were more oxic than the hyporheic flow paths and </w:t>
      </w:r>
      <w:r w:rsidR="006B2C7A">
        <w:rPr>
          <w:rFonts w:asciiTheme="minorHAnsi" w:hAnsiTheme="minorHAnsi" w:cstheme="minorHAnsi"/>
        </w:rPr>
        <w:t>downwelling</w:t>
      </w:r>
      <w:r w:rsidRPr="00747E35">
        <w:rPr>
          <w:rFonts w:asciiTheme="minorHAnsi" w:hAnsiTheme="minorHAnsi" w:cstheme="minorHAnsi"/>
        </w:rPr>
        <w:t xml:space="preserve"> samples. DO decreased from deep to shallow depths at the upwelling sites. Other oxidised species, such as nitrate, were higher for upwelling samples and reduced species, such as iron and ammonium, were higher for downwelling hyporheic than upwelling regional groundwater samples. In general, reduced species concentrations increased from </w:t>
      </w:r>
      <w:r w:rsidR="006B2C7A">
        <w:rPr>
          <w:rFonts w:asciiTheme="minorHAnsi" w:hAnsiTheme="minorHAnsi" w:cstheme="minorHAnsi"/>
        </w:rPr>
        <w:t>downwelling</w:t>
      </w:r>
      <w:r w:rsidRPr="00747E35">
        <w:rPr>
          <w:rFonts w:asciiTheme="minorHAnsi" w:hAnsiTheme="minorHAnsi" w:cstheme="minorHAnsi"/>
        </w:rPr>
        <w:t xml:space="preserve"> shallow to deep sites. The identified upwelling hyporheic sites also were affected by depth, with the reduced species (Fe, Mn and NH</w:t>
      </w:r>
      <w:r w:rsidRPr="00747E35">
        <w:rPr>
          <w:rFonts w:asciiTheme="minorHAnsi" w:hAnsiTheme="minorHAnsi" w:cstheme="minorHAnsi"/>
          <w:vertAlign w:val="subscript"/>
        </w:rPr>
        <w:t>4</w:t>
      </w:r>
      <w:r w:rsidRPr="00747E35">
        <w:rPr>
          <w:rFonts w:asciiTheme="minorHAnsi" w:hAnsiTheme="minorHAnsi" w:cstheme="minorHAnsi"/>
        </w:rPr>
        <w:t>) increasing from deep to shallow.</w:t>
      </w:r>
    </w:p>
    <w:p w14:paraId="055BB3AC" w14:textId="77777777" w:rsidR="003D3694" w:rsidRPr="00747E35" w:rsidRDefault="003D3694" w:rsidP="00085C15">
      <w:pPr>
        <w:pStyle w:val="Caption"/>
        <w:numPr>
          <w:ilvl w:val="0"/>
          <w:numId w:val="0"/>
        </w:numPr>
        <w:jc w:val="center"/>
        <w:rPr>
          <w:rFonts w:cstheme="minorHAnsi"/>
        </w:rPr>
      </w:pPr>
      <w:r w:rsidRPr="00747E35">
        <w:rPr>
          <w:rFonts w:cstheme="minorHAnsi"/>
          <w:noProof/>
          <w:lang w:eastAsia="en-AU"/>
        </w:rPr>
        <w:lastRenderedPageBreak/>
        <w:drawing>
          <wp:inline distT="0" distB="0" distL="0" distR="0" wp14:anchorId="26AE6A82" wp14:editId="0406A8E4">
            <wp:extent cx="5715000" cy="3450566"/>
            <wp:effectExtent l="0" t="0" r="0" b="0"/>
            <wp:docPr id="38" name="Picture 38" descr="Box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mmonia.tif"/>
                    <pic:cNvPicPr/>
                  </pic:nvPicPr>
                  <pic:blipFill rotWithShape="1">
                    <a:blip r:embed="rId123" cstate="screen">
                      <a:extLst>
                        <a:ext uri="{28A0092B-C50C-407E-A947-70E740481C1C}">
                          <a14:useLocalDpi xmlns:a14="http://schemas.microsoft.com/office/drawing/2010/main"/>
                        </a:ext>
                      </a:extLst>
                    </a:blip>
                    <a:srcRect/>
                    <a:stretch/>
                  </pic:blipFill>
                  <pic:spPr bwMode="auto">
                    <a:xfrm>
                      <a:off x="0" y="0"/>
                      <a:ext cx="5725010" cy="3456610"/>
                    </a:xfrm>
                    <a:prstGeom prst="rect">
                      <a:avLst/>
                    </a:prstGeom>
                    <a:ln>
                      <a:noFill/>
                    </a:ln>
                    <a:extLst>
                      <a:ext uri="{53640926-AAD7-44D8-BBD7-CCE9431645EC}">
                        <a14:shadowObscured xmlns:a14="http://schemas.microsoft.com/office/drawing/2010/main"/>
                      </a:ext>
                    </a:extLst>
                  </pic:spPr>
                </pic:pic>
              </a:graphicData>
            </a:graphic>
          </wp:inline>
        </w:drawing>
      </w:r>
    </w:p>
    <w:p w14:paraId="2A087679" w14:textId="57001EA6" w:rsidR="003D3694" w:rsidRPr="00747E35" w:rsidRDefault="003D3694" w:rsidP="00085C15">
      <w:pPr>
        <w:pStyle w:val="Caption"/>
        <w:numPr>
          <w:ilvl w:val="0"/>
          <w:numId w:val="0"/>
        </w:numPr>
        <w:rPr>
          <w:rFonts w:cstheme="minorHAnsi"/>
        </w:rPr>
      </w:pPr>
      <w:bookmarkStart w:id="246" w:name="_Ref453167535"/>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74</w:t>
      </w:r>
      <w:r w:rsidR="009D6600" w:rsidRPr="00747E35">
        <w:rPr>
          <w:rFonts w:cstheme="minorHAnsi"/>
          <w:noProof/>
        </w:rPr>
        <w:fldChar w:fldCharType="end"/>
      </w:r>
      <w:bookmarkEnd w:id="246"/>
      <w:r w:rsidRPr="00747E35">
        <w:rPr>
          <w:rFonts w:cstheme="minorHAnsi"/>
        </w:rPr>
        <w:t xml:space="preserve">: Box-whisker plot displaying the median, lower and upper quartiles (25% and 75%), and minimum and maximum values excluding outliers (dots) of dissolved oxygen for GW UW D, regional groundwater upwelling deep; GW UW S, regional groundwater upwelling shallow; Hyp UW D, hyporheic flow upwelling deep; Hyp UW S, hyporheic flow upwelling shallow; DW D, </w:t>
      </w:r>
      <w:r w:rsidR="006B2C7A">
        <w:rPr>
          <w:rFonts w:cstheme="minorHAnsi"/>
        </w:rPr>
        <w:t>downwelling</w:t>
      </w:r>
      <w:r w:rsidRPr="00747E35">
        <w:rPr>
          <w:rFonts w:cstheme="minorHAnsi"/>
        </w:rPr>
        <w:t xml:space="preserve"> deep; and DW S, </w:t>
      </w:r>
      <w:r w:rsidR="006B2C7A">
        <w:rPr>
          <w:rFonts w:cstheme="minorHAnsi"/>
        </w:rPr>
        <w:t>downwelling</w:t>
      </w:r>
      <w:r w:rsidRPr="00747E35">
        <w:rPr>
          <w:rFonts w:cstheme="minorHAnsi"/>
        </w:rPr>
        <w:t xml:space="preserve"> shallow for each hydrological regime in Maules Creek catchment.</w:t>
      </w:r>
    </w:p>
    <w:p w14:paraId="21B5C126" w14:textId="77777777" w:rsidR="003D3694" w:rsidRPr="00747E35" w:rsidRDefault="003D3694" w:rsidP="003D3694">
      <w:pPr>
        <w:rPr>
          <w:rFonts w:asciiTheme="minorHAnsi" w:hAnsiTheme="minorHAnsi" w:cstheme="minorHAnsi"/>
        </w:rPr>
      </w:pPr>
    </w:p>
    <w:p w14:paraId="54BF8354" w14:textId="77777777" w:rsidR="003D3694" w:rsidRPr="00747E35" w:rsidRDefault="003D3694" w:rsidP="00085C15">
      <w:pPr>
        <w:pStyle w:val="Caption"/>
        <w:numPr>
          <w:ilvl w:val="0"/>
          <w:numId w:val="0"/>
        </w:numPr>
        <w:jc w:val="center"/>
        <w:rPr>
          <w:rFonts w:cstheme="minorHAnsi"/>
        </w:rPr>
      </w:pPr>
      <w:r w:rsidRPr="00747E35">
        <w:rPr>
          <w:rFonts w:cstheme="minorHAnsi"/>
          <w:noProof/>
          <w:lang w:eastAsia="en-AU"/>
        </w:rPr>
        <w:drawing>
          <wp:inline distT="0" distB="0" distL="0" distR="0" wp14:anchorId="7A634712" wp14:editId="2DFC6D88">
            <wp:extent cx="5327650" cy="3225259"/>
            <wp:effectExtent l="0" t="0" r="6350" b="0"/>
            <wp:docPr id="259" name="Picture 259" descr="Box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3.tif"/>
                    <pic:cNvPicPr/>
                  </pic:nvPicPr>
                  <pic:blipFill rotWithShape="1">
                    <a:blip r:embed="rId124" cstate="screen">
                      <a:extLst>
                        <a:ext uri="{28A0092B-C50C-407E-A947-70E740481C1C}">
                          <a14:useLocalDpi xmlns:a14="http://schemas.microsoft.com/office/drawing/2010/main"/>
                        </a:ext>
                      </a:extLst>
                    </a:blip>
                    <a:srcRect/>
                    <a:stretch/>
                  </pic:blipFill>
                  <pic:spPr bwMode="auto">
                    <a:xfrm>
                      <a:off x="0" y="0"/>
                      <a:ext cx="5342357" cy="3234162"/>
                    </a:xfrm>
                    <a:prstGeom prst="rect">
                      <a:avLst/>
                    </a:prstGeom>
                    <a:ln>
                      <a:noFill/>
                    </a:ln>
                    <a:extLst>
                      <a:ext uri="{53640926-AAD7-44D8-BBD7-CCE9431645EC}">
                        <a14:shadowObscured xmlns:a14="http://schemas.microsoft.com/office/drawing/2010/main"/>
                      </a:ext>
                    </a:extLst>
                  </pic:spPr>
                </pic:pic>
              </a:graphicData>
            </a:graphic>
          </wp:inline>
        </w:drawing>
      </w:r>
    </w:p>
    <w:p w14:paraId="521E1404" w14:textId="25741965" w:rsidR="003D3694" w:rsidRPr="00747E35" w:rsidRDefault="003D3694" w:rsidP="00085C15">
      <w:pPr>
        <w:pStyle w:val="Caption"/>
        <w:numPr>
          <w:ilvl w:val="0"/>
          <w:numId w:val="0"/>
        </w:numPr>
        <w:rPr>
          <w:rFonts w:cstheme="minorHAnsi"/>
        </w:rPr>
      </w:pPr>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75</w:t>
      </w:r>
      <w:r w:rsidR="009D6600" w:rsidRPr="00747E35">
        <w:rPr>
          <w:rFonts w:cstheme="minorHAnsi"/>
          <w:noProof/>
        </w:rPr>
        <w:fldChar w:fldCharType="end"/>
      </w:r>
      <w:r w:rsidRPr="00747E35">
        <w:rPr>
          <w:rFonts w:cstheme="minorHAnsi"/>
          <w:noProof/>
        </w:rPr>
        <w:t>:</w:t>
      </w:r>
      <w:r w:rsidRPr="00747E35">
        <w:rPr>
          <w:rFonts w:cstheme="minorHAnsi"/>
        </w:rPr>
        <w:t xml:space="preserve"> Box-whisker plot displaying the median, lower and upper quartiles (25% and 75%), and minimum and maximum values excluding outliers (dots) of nitrate (NO</w:t>
      </w:r>
      <w:r w:rsidRPr="00747E35">
        <w:rPr>
          <w:rFonts w:cstheme="minorHAnsi"/>
          <w:vertAlign w:val="subscript"/>
        </w:rPr>
        <w:t>3</w:t>
      </w:r>
      <w:r w:rsidRPr="00747E35">
        <w:rPr>
          <w:rFonts w:cstheme="minorHAnsi"/>
          <w:vertAlign w:val="superscript"/>
        </w:rPr>
        <w:t>-</w:t>
      </w:r>
      <w:r w:rsidRPr="00747E35">
        <w:rPr>
          <w:rFonts w:cstheme="minorHAnsi"/>
        </w:rPr>
        <w:t xml:space="preserve">) for GW UW D, regional groundwater upwelling deep; GW UW S, regional groundwater upwelling shallow; Hyp UW D, hyporheic flow upwelling deep; Hyp UW S, hyporheic flow upwelling shallow; DW D, </w:t>
      </w:r>
      <w:r w:rsidR="006B2C7A">
        <w:rPr>
          <w:rFonts w:cstheme="minorHAnsi"/>
        </w:rPr>
        <w:t>downwelling</w:t>
      </w:r>
      <w:r w:rsidRPr="00747E35">
        <w:rPr>
          <w:rFonts w:cstheme="minorHAnsi"/>
        </w:rPr>
        <w:t xml:space="preserve"> deep; and DW S, </w:t>
      </w:r>
      <w:r w:rsidR="006B2C7A">
        <w:rPr>
          <w:rFonts w:cstheme="minorHAnsi"/>
        </w:rPr>
        <w:t>downwelling</w:t>
      </w:r>
      <w:r w:rsidRPr="00747E35">
        <w:rPr>
          <w:rFonts w:cstheme="minorHAnsi"/>
        </w:rPr>
        <w:t xml:space="preserve"> shallow for each hydrological regime in Maules Creek catchment.</w:t>
      </w:r>
    </w:p>
    <w:p w14:paraId="66F2C9DF" w14:textId="77777777" w:rsidR="003D3694" w:rsidRPr="00747E35" w:rsidRDefault="003D3694" w:rsidP="003D3694">
      <w:pPr>
        <w:rPr>
          <w:rFonts w:asciiTheme="minorHAnsi" w:hAnsiTheme="minorHAnsi" w:cstheme="minorHAnsi"/>
        </w:rPr>
      </w:pPr>
    </w:p>
    <w:p w14:paraId="0B3769D9" w14:textId="77777777" w:rsidR="003D3694" w:rsidRPr="00747E35" w:rsidRDefault="003D3694" w:rsidP="003D3694">
      <w:pPr>
        <w:jc w:val="center"/>
        <w:rPr>
          <w:rFonts w:asciiTheme="minorHAnsi" w:hAnsiTheme="minorHAnsi" w:cstheme="minorHAnsi"/>
          <w:bCs/>
          <w:i/>
          <w:color w:val="5B9BD5" w:themeColor="accent1"/>
          <w:sz w:val="20"/>
          <w:szCs w:val="20"/>
        </w:rPr>
      </w:pPr>
      <w:r w:rsidRPr="00747E35">
        <w:rPr>
          <w:rFonts w:asciiTheme="minorHAnsi" w:hAnsiTheme="minorHAnsi" w:cstheme="minorHAnsi"/>
          <w:noProof/>
          <w:lang w:val="en-AU" w:eastAsia="en-AU"/>
        </w:rPr>
        <w:lastRenderedPageBreak/>
        <w:drawing>
          <wp:inline distT="0" distB="0" distL="0" distR="0" wp14:anchorId="1F8740B5" wp14:editId="06F554CA">
            <wp:extent cx="5348421" cy="3225800"/>
            <wp:effectExtent l="0" t="0" r="5080" b="0"/>
            <wp:docPr id="39" name="Picture 39" descr="Box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mmonia.tif"/>
                    <pic:cNvPicPr/>
                  </pic:nvPicPr>
                  <pic:blipFill rotWithShape="1">
                    <a:blip r:embed="rId125" cstate="screen">
                      <a:extLst>
                        <a:ext uri="{28A0092B-C50C-407E-A947-70E740481C1C}">
                          <a14:useLocalDpi xmlns:a14="http://schemas.microsoft.com/office/drawing/2010/main"/>
                        </a:ext>
                      </a:extLst>
                    </a:blip>
                    <a:srcRect/>
                    <a:stretch/>
                  </pic:blipFill>
                  <pic:spPr bwMode="auto">
                    <a:xfrm>
                      <a:off x="0" y="0"/>
                      <a:ext cx="5356745" cy="3230820"/>
                    </a:xfrm>
                    <a:prstGeom prst="rect">
                      <a:avLst/>
                    </a:prstGeom>
                    <a:ln>
                      <a:noFill/>
                    </a:ln>
                    <a:extLst>
                      <a:ext uri="{53640926-AAD7-44D8-BBD7-CCE9431645EC}">
                        <a14:shadowObscured xmlns:a14="http://schemas.microsoft.com/office/drawing/2010/main"/>
                      </a:ext>
                    </a:extLst>
                  </pic:spPr>
                </pic:pic>
              </a:graphicData>
            </a:graphic>
          </wp:inline>
        </w:drawing>
      </w:r>
    </w:p>
    <w:p w14:paraId="67E46AA5" w14:textId="4AE77E64" w:rsidR="003D3694" w:rsidRPr="00747E35" w:rsidRDefault="003D3694" w:rsidP="00085C15">
      <w:pPr>
        <w:pStyle w:val="Caption"/>
        <w:numPr>
          <w:ilvl w:val="0"/>
          <w:numId w:val="0"/>
        </w:numPr>
        <w:rPr>
          <w:rFonts w:cstheme="minorHAnsi"/>
        </w:rPr>
      </w:pPr>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76</w:t>
      </w:r>
      <w:r w:rsidR="009D6600" w:rsidRPr="00747E35">
        <w:rPr>
          <w:rFonts w:cstheme="minorHAnsi"/>
          <w:noProof/>
        </w:rPr>
        <w:fldChar w:fldCharType="end"/>
      </w:r>
      <w:r w:rsidRPr="00747E35">
        <w:rPr>
          <w:rFonts w:cstheme="minorHAnsi"/>
          <w:noProof/>
        </w:rPr>
        <w:t>:</w:t>
      </w:r>
      <w:r w:rsidRPr="00747E35">
        <w:rPr>
          <w:rFonts w:cstheme="minorHAnsi"/>
        </w:rPr>
        <w:t xml:space="preserve"> Box-whisker plot displaying the median, lower and upper quartiles (25% and 75%), and minimum and maximum values excluding outliers (dots) of ammonium (NH</w:t>
      </w:r>
      <w:r w:rsidRPr="00747E35">
        <w:rPr>
          <w:rFonts w:cstheme="minorHAnsi"/>
          <w:vertAlign w:val="subscript"/>
        </w:rPr>
        <w:t>4</w:t>
      </w:r>
      <w:r w:rsidRPr="00747E35">
        <w:rPr>
          <w:rFonts w:cstheme="minorHAnsi"/>
          <w:vertAlign w:val="superscript"/>
        </w:rPr>
        <w:t>+</w:t>
      </w:r>
      <w:r w:rsidRPr="00747E35">
        <w:rPr>
          <w:rFonts w:cstheme="minorHAnsi"/>
        </w:rPr>
        <w:t xml:space="preserve">) for GW UW D, regional groundwater upwelling deep; GW UW S, regional groundwater upwelling shallow; Hyp UW D, hyporheic flow upwelling deep; Hyp UW S, hyporheic flow upwelling shallow; DW D, </w:t>
      </w:r>
      <w:r w:rsidR="006B2C7A">
        <w:rPr>
          <w:rFonts w:cstheme="minorHAnsi"/>
        </w:rPr>
        <w:t>downwelling</w:t>
      </w:r>
      <w:r w:rsidRPr="00747E35">
        <w:rPr>
          <w:rFonts w:cstheme="minorHAnsi"/>
        </w:rPr>
        <w:t xml:space="preserve"> deep; and DW S, </w:t>
      </w:r>
      <w:r w:rsidR="006B2C7A">
        <w:rPr>
          <w:rFonts w:cstheme="minorHAnsi"/>
        </w:rPr>
        <w:t>downwelling</w:t>
      </w:r>
      <w:r w:rsidRPr="00747E35">
        <w:rPr>
          <w:rFonts w:cstheme="minorHAnsi"/>
        </w:rPr>
        <w:t xml:space="preserve"> shallow for each hydrological regime in Maules Creek catchment.</w:t>
      </w:r>
    </w:p>
    <w:p w14:paraId="40DC1A5A" w14:textId="77777777" w:rsidR="003D3694" w:rsidRPr="00747E35" w:rsidRDefault="003D3694" w:rsidP="003D3694">
      <w:pPr>
        <w:rPr>
          <w:rFonts w:asciiTheme="minorHAnsi" w:hAnsiTheme="minorHAnsi" w:cstheme="minorHAnsi"/>
        </w:rPr>
      </w:pPr>
    </w:p>
    <w:p w14:paraId="56EBC370" w14:textId="77777777" w:rsidR="003D3694" w:rsidRPr="00747E35" w:rsidRDefault="003D3694" w:rsidP="00085C15">
      <w:pPr>
        <w:pStyle w:val="Caption"/>
        <w:numPr>
          <w:ilvl w:val="0"/>
          <w:numId w:val="0"/>
        </w:numPr>
        <w:jc w:val="center"/>
        <w:rPr>
          <w:rFonts w:cstheme="minorHAnsi"/>
        </w:rPr>
      </w:pPr>
      <w:r w:rsidRPr="00747E35">
        <w:rPr>
          <w:rFonts w:cstheme="minorHAnsi"/>
          <w:noProof/>
          <w:lang w:eastAsia="en-AU"/>
        </w:rPr>
        <w:drawing>
          <wp:inline distT="0" distB="0" distL="0" distR="0" wp14:anchorId="3CCF35ED" wp14:editId="591D09A9">
            <wp:extent cx="5346700" cy="3227182"/>
            <wp:effectExtent l="0" t="0" r="6350" b="0"/>
            <wp:docPr id="4123" name="Picture 4123" descr="Box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 (Maules Creek).tif"/>
                    <pic:cNvPicPr/>
                  </pic:nvPicPr>
                  <pic:blipFill rotWithShape="1">
                    <a:blip r:embed="rId126" cstate="screen">
                      <a:extLst>
                        <a:ext uri="{28A0092B-C50C-407E-A947-70E740481C1C}">
                          <a14:useLocalDpi xmlns:a14="http://schemas.microsoft.com/office/drawing/2010/main"/>
                        </a:ext>
                      </a:extLst>
                    </a:blip>
                    <a:srcRect/>
                    <a:stretch/>
                  </pic:blipFill>
                  <pic:spPr bwMode="auto">
                    <a:xfrm>
                      <a:off x="0" y="0"/>
                      <a:ext cx="5354245" cy="3231736"/>
                    </a:xfrm>
                    <a:prstGeom prst="rect">
                      <a:avLst/>
                    </a:prstGeom>
                    <a:ln>
                      <a:noFill/>
                    </a:ln>
                    <a:extLst>
                      <a:ext uri="{53640926-AAD7-44D8-BBD7-CCE9431645EC}">
                        <a14:shadowObscured xmlns:a14="http://schemas.microsoft.com/office/drawing/2010/main"/>
                      </a:ext>
                    </a:extLst>
                  </pic:spPr>
                </pic:pic>
              </a:graphicData>
            </a:graphic>
          </wp:inline>
        </w:drawing>
      </w:r>
    </w:p>
    <w:p w14:paraId="2DB58A3D" w14:textId="58E9DB89" w:rsidR="003D3694" w:rsidRPr="00747E35" w:rsidRDefault="003D3694" w:rsidP="00085C15">
      <w:pPr>
        <w:pStyle w:val="Caption"/>
        <w:numPr>
          <w:ilvl w:val="0"/>
          <w:numId w:val="0"/>
        </w:numPr>
        <w:rPr>
          <w:rFonts w:cstheme="minorHAnsi"/>
        </w:rPr>
      </w:pPr>
      <w:bookmarkStart w:id="247" w:name="_Ref45316890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77</w:t>
      </w:r>
      <w:r w:rsidR="009D6600" w:rsidRPr="00747E35">
        <w:rPr>
          <w:rFonts w:cstheme="minorHAnsi"/>
          <w:noProof/>
        </w:rPr>
        <w:fldChar w:fldCharType="end"/>
      </w:r>
      <w:bookmarkEnd w:id="247"/>
      <w:r w:rsidRPr="00747E35">
        <w:rPr>
          <w:rFonts w:cstheme="minorHAnsi"/>
        </w:rPr>
        <w:t xml:space="preserve">: Box-whisker plot displaying the median, lower and upper quartiles (25% and 75%), and minimum and maximum values excluding outliers (dots) of iron (II) for GW UW D, regional groundwater upwelling deep; GW UW S, regional groundwater upwelling shallow; Hyp UW D, hyporheic flow upwelling deep; Hyp UW S, hyporheic flow upwelling shallow; DW D, </w:t>
      </w:r>
      <w:r w:rsidR="006B2C7A">
        <w:rPr>
          <w:rFonts w:cstheme="minorHAnsi"/>
        </w:rPr>
        <w:t>downwelling</w:t>
      </w:r>
      <w:r w:rsidRPr="00747E35">
        <w:rPr>
          <w:rFonts w:cstheme="minorHAnsi"/>
        </w:rPr>
        <w:t xml:space="preserve"> deep; and DW S, </w:t>
      </w:r>
      <w:r w:rsidR="006B2C7A">
        <w:rPr>
          <w:rFonts w:cstheme="minorHAnsi"/>
        </w:rPr>
        <w:t>downwelling</w:t>
      </w:r>
      <w:r w:rsidRPr="00747E35">
        <w:rPr>
          <w:rFonts w:cstheme="minorHAnsi"/>
        </w:rPr>
        <w:t xml:space="preserve"> shallow for each hydrological regime in Maules Creek catchment.</w:t>
      </w:r>
    </w:p>
    <w:p w14:paraId="288504E0" w14:textId="77777777" w:rsidR="003D3694" w:rsidRPr="00747E35" w:rsidRDefault="003D3694" w:rsidP="003D3694">
      <w:pPr>
        <w:rPr>
          <w:rFonts w:asciiTheme="minorHAnsi" w:hAnsiTheme="minorHAnsi" w:cstheme="minorHAnsi"/>
        </w:rPr>
      </w:pPr>
    </w:p>
    <w:p w14:paraId="1218E07E" w14:textId="2041BF2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DOC concentrations of the hyporheic samples separated by flow regime are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_Ref453170928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78</w:t>
      </w:r>
      <w:r w:rsidRPr="00747E35">
        <w:rPr>
          <w:rFonts w:asciiTheme="minorHAnsi" w:hAnsiTheme="minorHAnsi" w:cstheme="minorHAnsi"/>
        </w:rPr>
        <w:fldChar w:fldCharType="end"/>
      </w:r>
      <w:r w:rsidRPr="00747E35">
        <w:rPr>
          <w:rFonts w:asciiTheme="minorHAnsi" w:hAnsiTheme="minorHAnsi" w:cstheme="minorHAnsi"/>
        </w:rPr>
        <w:t xml:space="preserve">. Samples collected in the intermittent section had the highest concentrations of DOC. In the perennial </w:t>
      </w:r>
      <w:r w:rsidRPr="00747E35">
        <w:rPr>
          <w:rFonts w:asciiTheme="minorHAnsi" w:hAnsiTheme="minorHAnsi" w:cstheme="minorHAnsi"/>
        </w:rPr>
        <w:lastRenderedPageBreak/>
        <w:t xml:space="preserve">sections, the </w:t>
      </w:r>
      <w:r w:rsidR="006B2C7A">
        <w:rPr>
          <w:rFonts w:asciiTheme="minorHAnsi" w:hAnsiTheme="minorHAnsi" w:cstheme="minorHAnsi"/>
        </w:rPr>
        <w:t>downwelling</w:t>
      </w:r>
      <w:r w:rsidRPr="00747E35">
        <w:rPr>
          <w:rFonts w:asciiTheme="minorHAnsi" w:hAnsiTheme="minorHAnsi" w:cstheme="minorHAnsi"/>
        </w:rPr>
        <w:t xml:space="preserve"> sites tended to contain higher DOC concentrations than the upwelling sites. In general, there was a trend with depth, with the shallow upwelling sites having greater DOC concentrations than the corresponding deep sites, and conversely the deep </w:t>
      </w:r>
      <w:r w:rsidR="006B2C7A">
        <w:rPr>
          <w:rFonts w:asciiTheme="minorHAnsi" w:hAnsiTheme="minorHAnsi" w:cstheme="minorHAnsi"/>
        </w:rPr>
        <w:t>downwelling</w:t>
      </w:r>
      <w:r w:rsidRPr="00747E35">
        <w:rPr>
          <w:rFonts w:asciiTheme="minorHAnsi" w:hAnsiTheme="minorHAnsi" w:cstheme="minorHAnsi"/>
        </w:rPr>
        <w:t xml:space="preserve"> sites containing greater DOC concentrations than the corresponding shallow sites. In general, there was therefore an increase in DOC concentrations along flow paths regardless of whether the flow was up- or </w:t>
      </w:r>
      <w:r w:rsidR="006B2C7A">
        <w:rPr>
          <w:rFonts w:asciiTheme="minorHAnsi" w:hAnsiTheme="minorHAnsi" w:cstheme="minorHAnsi"/>
        </w:rPr>
        <w:t>downwelling</w:t>
      </w:r>
      <w:r w:rsidRPr="00747E35">
        <w:rPr>
          <w:rFonts w:asciiTheme="minorHAnsi" w:hAnsiTheme="minorHAnsi" w:cstheme="minorHAnsi"/>
        </w:rPr>
        <w:t>.</w:t>
      </w:r>
    </w:p>
    <w:p w14:paraId="5F68F074" w14:textId="34E05A98"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ratio of the processed to unprocessed humic-like DOM fractions from PARAFAC is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_Ref466375582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79</w:t>
      </w:r>
      <w:r w:rsidRPr="00747E35">
        <w:rPr>
          <w:rFonts w:asciiTheme="minorHAnsi" w:hAnsiTheme="minorHAnsi" w:cstheme="minorHAnsi"/>
        </w:rPr>
        <w:fldChar w:fldCharType="end"/>
      </w:r>
      <w:r w:rsidRPr="00747E35">
        <w:rPr>
          <w:rFonts w:asciiTheme="minorHAnsi" w:hAnsiTheme="minorHAnsi" w:cstheme="minorHAnsi"/>
        </w:rPr>
        <w:t xml:space="preserve">. The intermittent section had the highest ratio of processed to unprocessed material. The </w:t>
      </w:r>
      <w:r w:rsidR="006B2C7A">
        <w:rPr>
          <w:rFonts w:asciiTheme="minorHAnsi" w:hAnsiTheme="minorHAnsi" w:cstheme="minorHAnsi"/>
        </w:rPr>
        <w:t>downwelling</w:t>
      </w:r>
      <w:r w:rsidRPr="00747E35">
        <w:rPr>
          <w:rFonts w:asciiTheme="minorHAnsi" w:hAnsiTheme="minorHAnsi" w:cstheme="minorHAnsi"/>
        </w:rPr>
        <w:t xml:space="preserve"> samples tended to higher ratios than upwelling samples. The shallow upwelling samples tended to have relatively higher processed humic-like content than the corresponding deep samples, and the deep </w:t>
      </w:r>
      <w:r w:rsidR="006B2C7A">
        <w:rPr>
          <w:rFonts w:asciiTheme="minorHAnsi" w:hAnsiTheme="minorHAnsi" w:cstheme="minorHAnsi"/>
        </w:rPr>
        <w:t>downwelling</w:t>
      </w:r>
      <w:r w:rsidRPr="00747E35">
        <w:rPr>
          <w:rFonts w:asciiTheme="minorHAnsi" w:hAnsiTheme="minorHAnsi" w:cstheme="minorHAnsi"/>
        </w:rPr>
        <w:t xml:space="preserve"> samples had higher processed humic-like content than the corresponding shallow sites.</w:t>
      </w:r>
    </w:p>
    <w:p w14:paraId="57DD7233" w14:textId="7AE23DC9"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spectral slope for the hyporheic samples is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_Ref466375594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80</w:t>
      </w:r>
      <w:r w:rsidRPr="00747E35">
        <w:rPr>
          <w:rFonts w:asciiTheme="minorHAnsi" w:hAnsiTheme="minorHAnsi" w:cstheme="minorHAnsi"/>
        </w:rPr>
        <w:fldChar w:fldCharType="end"/>
      </w:r>
      <w:r w:rsidRPr="00747E35">
        <w:rPr>
          <w:rFonts w:asciiTheme="minorHAnsi" w:hAnsiTheme="minorHAnsi" w:cstheme="minorHAnsi"/>
        </w:rPr>
        <w:t xml:space="preserve">. The spectral slope is an index calculated from the ultra violet absorption spectrum and has been shown to be negatively correlated with the molecular weight of DOC (Helms, 2008). The </w:t>
      </w:r>
      <w:r w:rsidR="006B2C7A">
        <w:rPr>
          <w:rFonts w:asciiTheme="minorHAnsi" w:hAnsiTheme="minorHAnsi" w:cstheme="minorHAnsi"/>
        </w:rPr>
        <w:t>downwelling</w:t>
      </w:r>
      <w:r w:rsidRPr="00747E35">
        <w:rPr>
          <w:rFonts w:asciiTheme="minorHAnsi" w:hAnsiTheme="minorHAnsi" w:cstheme="minorHAnsi"/>
        </w:rPr>
        <w:t xml:space="preserve"> samples had higher spectral slope values and therefore lower molecular weight of DOM than the upwelling samples. There was also a trend with depth, with shallow upwelling samples tending to have lower molecular weight than the corresponding deeper samples. Further, the deep </w:t>
      </w:r>
      <w:r w:rsidR="006B2C7A">
        <w:rPr>
          <w:rFonts w:asciiTheme="minorHAnsi" w:hAnsiTheme="minorHAnsi" w:cstheme="minorHAnsi"/>
        </w:rPr>
        <w:t>downwelling</w:t>
      </w:r>
      <w:r w:rsidRPr="00747E35">
        <w:rPr>
          <w:rFonts w:asciiTheme="minorHAnsi" w:hAnsiTheme="minorHAnsi" w:cstheme="minorHAnsi"/>
        </w:rPr>
        <w:t xml:space="preserve"> samples had a lower molecular weight than the corresponding shallow sites. Over the course of this study the molecular weight of DOM decreased at Riffle 11 as this area dried.</w:t>
      </w:r>
    </w:p>
    <w:p w14:paraId="6572E31F" w14:textId="77777777" w:rsidR="003D3694" w:rsidRPr="00747E35" w:rsidRDefault="003D3694" w:rsidP="00085C15">
      <w:pPr>
        <w:pStyle w:val="Caption"/>
        <w:numPr>
          <w:ilvl w:val="0"/>
          <w:numId w:val="0"/>
        </w:numPr>
        <w:jc w:val="center"/>
        <w:rPr>
          <w:rFonts w:cstheme="minorHAnsi"/>
        </w:rPr>
      </w:pPr>
      <w:r w:rsidRPr="00747E35">
        <w:rPr>
          <w:rFonts w:cstheme="minorHAnsi"/>
          <w:noProof/>
          <w:lang w:eastAsia="en-AU"/>
        </w:rPr>
        <w:drawing>
          <wp:inline distT="0" distB="0" distL="0" distR="0" wp14:anchorId="6C5C9AA0" wp14:editId="3C23DFF0">
            <wp:extent cx="5354453" cy="3219450"/>
            <wp:effectExtent l="0" t="0" r="0" b="0"/>
            <wp:docPr id="260" name="Content Placeholder 7" descr="Box plots"/>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pic:cNvPicPr>
                      <a:picLocks noGrp="1" noChangeAspect="1"/>
                    </pic:cNvPicPr>
                  </pic:nvPicPr>
                  <pic:blipFill rotWithShape="1">
                    <a:blip r:embed="rId127" cstate="screen">
                      <a:extLst>
                        <a:ext uri="{28A0092B-C50C-407E-A947-70E740481C1C}">
                          <a14:useLocalDpi xmlns:a14="http://schemas.microsoft.com/office/drawing/2010/main"/>
                        </a:ext>
                      </a:extLst>
                    </a:blip>
                    <a:srcRect/>
                    <a:stretch/>
                  </pic:blipFill>
                  <pic:spPr bwMode="auto">
                    <a:xfrm>
                      <a:off x="0" y="0"/>
                      <a:ext cx="5361542" cy="3223712"/>
                    </a:xfrm>
                    <a:prstGeom prst="rect">
                      <a:avLst/>
                    </a:prstGeom>
                    <a:ln>
                      <a:noFill/>
                    </a:ln>
                    <a:extLst>
                      <a:ext uri="{53640926-AAD7-44D8-BBD7-CCE9431645EC}">
                        <a14:shadowObscured xmlns:a14="http://schemas.microsoft.com/office/drawing/2010/main"/>
                      </a:ext>
                    </a:extLst>
                  </pic:spPr>
                </pic:pic>
              </a:graphicData>
            </a:graphic>
          </wp:inline>
        </w:drawing>
      </w:r>
    </w:p>
    <w:p w14:paraId="037FF8E1" w14:textId="2FE401B6" w:rsidR="003D3694" w:rsidRPr="00747E35" w:rsidRDefault="003D3694" w:rsidP="00085C15">
      <w:pPr>
        <w:pStyle w:val="Caption"/>
        <w:numPr>
          <w:ilvl w:val="0"/>
          <w:numId w:val="0"/>
        </w:numPr>
        <w:rPr>
          <w:rFonts w:cstheme="minorHAnsi"/>
        </w:rPr>
      </w:pPr>
      <w:bookmarkStart w:id="248" w:name="_Ref453170928"/>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78</w:t>
      </w:r>
      <w:r w:rsidR="009D6600" w:rsidRPr="00747E35">
        <w:rPr>
          <w:rFonts w:cstheme="minorHAnsi"/>
          <w:noProof/>
        </w:rPr>
        <w:fldChar w:fldCharType="end"/>
      </w:r>
      <w:bookmarkEnd w:id="248"/>
      <w:r w:rsidRPr="00747E35">
        <w:rPr>
          <w:rFonts w:cstheme="minorHAnsi"/>
        </w:rPr>
        <w:t xml:space="preserve">: Box-whisker plot displaying the median, lower and upper quartiles (25% and 75%), and minimum and maximum values excluding outliers (dots) of dissolved organic carbon (DOC) for GW UW D, regional groundwater upwelling deep; GW UW S, regional groundwater upwelling shallow; Hyp UW D, hyporheic flow upwelling deep; Hyp UW S, hyporheic flow upwelling shallow; DW D, </w:t>
      </w:r>
      <w:r w:rsidR="006B2C7A">
        <w:rPr>
          <w:rFonts w:cstheme="minorHAnsi"/>
        </w:rPr>
        <w:t>downwelling</w:t>
      </w:r>
      <w:r w:rsidRPr="00747E35">
        <w:rPr>
          <w:rFonts w:cstheme="minorHAnsi"/>
        </w:rPr>
        <w:t xml:space="preserve"> deep; and DW S, </w:t>
      </w:r>
      <w:r w:rsidR="006B2C7A">
        <w:rPr>
          <w:rFonts w:cstheme="minorHAnsi"/>
        </w:rPr>
        <w:t>downwelling</w:t>
      </w:r>
      <w:r w:rsidRPr="00747E35">
        <w:rPr>
          <w:rFonts w:cstheme="minorHAnsi"/>
        </w:rPr>
        <w:t xml:space="preserve"> shallow for each hydrological regime in Maules Creek catchment.</w:t>
      </w:r>
    </w:p>
    <w:p w14:paraId="5F7B7055" w14:textId="77777777" w:rsidR="003D3694" w:rsidRPr="00747E35" w:rsidRDefault="003D3694" w:rsidP="003D3694">
      <w:pPr>
        <w:rPr>
          <w:rFonts w:asciiTheme="minorHAnsi" w:hAnsiTheme="minorHAnsi" w:cstheme="minorHAnsi"/>
        </w:rPr>
      </w:pPr>
    </w:p>
    <w:p w14:paraId="1D91473F" w14:textId="77777777" w:rsidR="003D3694" w:rsidRPr="00747E35" w:rsidRDefault="003D3694" w:rsidP="00085C15">
      <w:pPr>
        <w:pStyle w:val="Caption"/>
        <w:numPr>
          <w:ilvl w:val="0"/>
          <w:numId w:val="0"/>
        </w:numPr>
        <w:jc w:val="center"/>
        <w:rPr>
          <w:rFonts w:cstheme="minorHAnsi"/>
        </w:rPr>
      </w:pPr>
      <w:r w:rsidRPr="00747E35">
        <w:rPr>
          <w:rFonts w:cstheme="minorHAnsi"/>
          <w:noProof/>
          <w:lang w:eastAsia="en-AU"/>
        </w:rPr>
        <w:lastRenderedPageBreak/>
        <w:drawing>
          <wp:inline distT="0" distB="0" distL="0" distR="0" wp14:anchorId="4BB233C8" wp14:editId="15307651">
            <wp:extent cx="5351430" cy="3225800"/>
            <wp:effectExtent l="0" t="0" r="1905" b="0"/>
            <wp:docPr id="292" name="Content Placeholder 6" descr="Box plots"/>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noChangeAspect="1"/>
                    </pic:cNvPicPr>
                  </pic:nvPicPr>
                  <pic:blipFill rotWithShape="1">
                    <a:blip r:embed="rId128" cstate="screen">
                      <a:extLst>
                        <a:ext uri="{28A0092B-C50C-407E-A947-70E740481C1C}">
                          <a14:useLocalDpi xmlns:a14="http://schemas.microsoft.com/office/drawing/2010/main"/>
                        </a:ext>
                      </a:extLst>
                    </a:blip>
                    <a:srcRect/>
                    <a:stretch/>
                  </pic:blipFill>
                  <pic:spPr bwMode="auto">
                    <a:xfrm>
                      <a:off x="0" y="0"/>
                      <a:ext cx="5353839" cy="3227252"/>
                    </a:xfrm>
                    <a:prstGeom prst="rect">
                      <a:avLst/>
                    </a:prstGeom>
                    <a:ln>
                      <a:noFill/>
                    </a:ln>
                    <a:extLst>
                      <a:ext uri="{53640926-AAD7-44D8-BBD7-CCE9431645EC}">
                        <a14:shadowObscured xmlns:a14="http://schemas.microsoft.com/office/drawing/2010/main"/>
                      </a:ext>
                    </a:extLst>
                  </pic:spPr>
                </pic:pic>
              </a:graphicData>
            </a:graphic>
          </wp:inline>
        </w:drawing>
      </w:r>
    </w:p>
    <w:p w14:paraId="6966F19C" w14:textId="31D770AA" w:rsidR="003D3694" w:rsidRPr="00747E35" w:rsidRDefault="003D3694" w:rsidP="00085C15">
      <w:pPr>
        <w:pStyle w:val="Caption"/>
        <w:numPr>
          <w:ilvl w:val="0"/>
          <w:numId w:val="0"/>
        </w:numPr>
        <w:rPr>
          <w:rFonts w:cstheme="minorHAnsi"/>
        </w:rPr>
      </w:pPr>
      <w:bookmarkStart w:id="249" w:name="_Ref46637558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79</w:t>
      </w:r>
      <w:r w:rsidR="009D6600" w:rsidRPr="00747E35">
        <w:rPr>
          <w:rFonts w:cstheme="minorHAnsi"/>
          <w:noProof/>
        </w:rPr>
        <w:fldChar w:fldCharType="end"/>
      </w:r>
      <w:bookmarkEnd w:id="249"/>
      <w:r w:rsidRPr="00747E35">
        <w:rPr>
          <w:rFonts w:cstheme="minorHAnsi"/>
        </w:rPr>
        <w:t xml:space="preserve">: Box-whisker plot displaying the median, lower and upper quartiles (25% and 75%), and minimum and maximum values excluding outliers (dots) of ratio of processed versus unprocessed (i.e. more fresh) humic-like content of DOM determined from PARAFAC analysis for GW UW D, regional groundwater upwelling deep; GW UW S, regional groundwater upwelling shallow; Hyp UW D, hyporheic flow upwelling deep; Hyp UW S, hyporheic flow upwelling shallow; DW D, </w:t>
      </w:r>
      <w:r w:rsidR="006B2C7A">
        <w:rPr>
          <w:rFonts w:cstheme="minorHAnsi"/>
        </w:rPr>
        <w:t>downwelling</w:t>
      </w:r>
      <w:r w:rsidRPr="00747E35">
        <w:rPr>
          <w:rFonts w:cstheme="minorHAnsi"/>
        </w:rPr>
        <w:t xml:space="preserve"> deep; and DW S, </w:t>
      </w:r>
      <w:r w:rsidR="006B2C7A">
        <w:rPr>
          <w:rFonts w:cstheme="minorHAnsi"/>
        </w:rPr>
        <w:t>downwelling</w:t>
      </w:r>
      <w:r w:rsidRPr="00747E35">
        <w:rPr>
          <w:rFonts w:cstheme="minorHAnsi"/>
        </w:rPr>
        <w:t xml:space="preserve"> shallow for each hydrological regime in Maules Creek catchment.</w:t>
      </w:r>
    </w:p>
    <w:p w14:paraId="2D4FD094" w14:textId="77777777" w:rsidR="003D3694" w:rsidRPr="00747E35" w:rsidRDefault="003D3694" w:rsidP="003D3694">
      <w:pPr>
        <w:rPr>
          <w:rFonts w:asciiTheme="minorHAnsi" w:hAnsiTheme="minorHAnsi" w:cstheme="minorHAnsi"/>
        </w:rPr>
      </w:pPr>
    </w:p>
    <w:p w14:paraId="6A018E9C" w14:textId="77777777" w:rsidR="003D3694" w:rsidRPr="00747E35" w:rsidRDefault="003D3694" w:rsidP="00085C15">
      <w:pPr>
        <w:pStyle w:val="Caption"/>
        <w:numPr>
          <w:ilvl w:val="0"/>
          <w:numId w:val="0"/>
        </w:numPr>
        <w:jc w:val="center"/>
        <w:rPr>
          <w:rFonts w:cstheme="minorHAnsi"/>
        </w:rPr>
      </w:pPr>
      <w:r w:rsidRPr="00747E35">
        <w:rPr>
          <w:rFonts w:cstheme="minorHAnsi"/>
          <w:noProof/>
          <w:lang w:eastAsia="en-AU"/>
        </w:rPr>
        <w:drawing>
          <wp:inline distT="0" distB="0" distL="0" distR="0" wp14:anchorId="60C44ACC" wp14:editId="45320375">
            <wp:extent cx="5358564" cy="3232150"/>
            <wp:effectExtent l="0" t="0" r="0" b="6350"/>
            <wp:docPr id="40" name="Content Placeholder 7" descr="Box plots"/>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pic:cNvPicPr>
                      <a:picLocks noGrp="1" noChangeAspect="1"/>
                    </pic:cNvPicPr>
                  </pic:nvPicPr>
                  <pic:blipFill rotWithShape="1">
                    <a:blip r:embed="rId129" cstate="screen">
                      <a:extLst>
                        <a:ext uri="{28A0092B-C50C-407E-A947-70E740481C1C}">
                          <a14:useLocalDpi xmlns:a14="http://schemas.microsoft.com/office/drawing/2010/main"/>
                        </a:ext>
                      </a:extLst>
                    </a:blip>
                    <a:srcRect/>
                    <a:stretch/>
                  </pic:blipFill>
                  <pic:spPr bwMode="auto">
                    <a:xfrm>
                      <a:off x="0" y="0"/>
                      <a:ext cx="5364019" cy="3235441"/>
                    </a:xfrm>
                    <a:prstGeom prst="rect">
                      <a:avLst/>
                    </a:prstGeom>
                    <a:ln>
                      <a:noFill/>
                    </a:ln>
                    <a:extLst>
                      <a:ext uri="{53640926-AAD7-44D8-BBD7-CCE9431645EC}">
                        <a14:shadowObscured xmlns:a14="http://schemas.microsoft.com/office/drawing/2010/main"/>
                      </a:ext>
                    </a:extLst>
                  </pic:spPr>
                </pic:pic>
              </a:graphicData>
            </a:graphic>
          </wp:inline>
        </w:drawing>
      </w:r>
    </w:p>
    <w:p w14:paraId="58C8F680" w14:textId="1DF90C98" w:rsidR="003D3694" w:rsidRPr="00747E35" w:rsidRDefault="003D3694" w:rsidP="00085C15">
      <w:pPr>
        <w:pStyle w:val="Caption"/>
        <w:numPr>
          <w:ilvl w:val="0"/>
          <w:numId w:val="0"/>
        </w:numPr>
        <w:rPr>
          <w:rFonts w:cstheme="minorHAnsi"/>
        </w:rPr>
      </w:pPr>
      <w:bookmarkStart w:id="250" w:name="_Ref466375594"/>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80</w:t>
      </w:r>
      <w:r w:rsidR="009D6600" w:rsidRPr="00747E35">
        <w:rPr>
          <w:rFonts w:cstheme="minorHAnsi"/>
          <w:noProof/>
        </w:rPr>
        <w:fldChar w:fldCharType="end"/>
      </w:r>
      <w:bookmarkEnd w:id="250"/>
      <w:r w:rsidRPr="00747E35">
        <w:rPr>
          <w:rFonts w:cstheme="minorHAnsi"/>
        </w:rPr>
        <w:t xml:space="preserve">: Box-whisker plot displaying the median, lower and upper quartiles (25% and 75%), and minimum and maximum values excluding outliers (dots) of spectral slope of the ultra violet absorption at wavelengths from 275 to 295 nm for GW UW D, regional groundwater upwelling deep; GW UW S, regional groundwater upwelling shallow; Hyp UW D, hyporheic flow upwelling deep; Hyp UW S, hyporheic flow upwelling shallow; and DW D, </w:t>
      </w:r>
      <w:r w:rsidR="006B2C7A">
        <w:rPr>
          <w:rFonts w:cstheme="minorHAnsi"/>
        </w:rPr>
        <w:t>downwelling</w:t>
      </w:r>
      <w:r w:rsidRPr="00747E35">
        <w:rPr>
          <w:rFonts w:cstheme="minorHAnsi"/>
        </w:rPr>
        <w:t xml:space="preserve"> deep; DW S, </w:t>
      </w:r>
      <w:r w:rsidR="006B2C7A">
        <w:rPr>
          <w:rFonts w:cstheme="minorHAnsi"/>
        </w:rPr>
        <w:t>downwelling</w:t>
      </w:r>
      <w:r w:rsidRPr="00747E35">
        <w:rPr>
          <w:rFonts w:cstheme="minorHAnsi"/>
        </w:rPr>
        <w:t xml:space="preserve"> shallow for each hydrological regime in Maules Creek catchment. This index represents the molecular weight of DOC (i.e. high spectral slope, low molecular weight). </w:t>
      </w:r>
    </w:p>
    <w:p w14:paraId="30A561B2" w14:textId="77777777" w:rsidR="003D3694" w:rsidRPr="00747E35" w:rsidRDefault="003D3694" w:rsidP="003D3694">
      <w:pPr>
        <w:rPr>
          <w:rFonts w:asciiTheme="minorHAnsi" w:hAnsiTheme="minorHAnsi" w:cstheme="minorHAnsi"/>
        </w:rPr>
      </w:pPr>
    </w:p>
    <w:p w14:paraId="53A1B14B" w14:textId="4CE16FEF" w:rsidR="003D3694" w:rsidRPr="00747E35" w:rsidRDefault="003D3694" w:rsidP="003D3694">
      <w:pPr>
        <w:rPr>
          <w:rFonts w:asciiTheme="minorHAnsi" w:hAnsiTheme="minorHAnsi" w:cstheme="minorHAnsi"/>
        </w:rPr>
      </w:pPr>
      <w:r w:rsidRPr="00747E35">
        <w:rPr>
          <w:rFonts w:asciiTheme="minorHAnsi" w:hAnsiTheme="minorHAnsi" w:cstheme="minorHAnsi"/>
        </w:rPr>
        <w:lastRenderedPageBreak/>
        <w:t xml:space="preserve">The results from LC-OCD analysis of the subsamples collected from the February 2016 sampling trip are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_Ref467205726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81</w:t>
      </w:r>
      <w:r w:rsidRPr="00747E35">
        <w:rPr>
          <w:rFonts w:asciiTheme="minorHAnsi" w:hAnsiTheme="minorHAnsi" w:cstheme="minorHAnsi"/>
        </w:rPr>
        <w:fldChar w:fldCharType="end"/>
      </w:r>
      <w:r w:rsidRPr="00747E35">
        <w:rPr>
          <w:rFonts w:asciiTheme="minorHAnsi" w:hAnsiTheme="minorHAnsi" w:cstheme="minorHAnsi"/>
        </w:rPr>
        <w:t xml:space="preserve"> and </w:t>
      </w:r>
      <w:r w:rsidRPr="00747E35">
        <w:rPr>
          <w:rFonts w:asciiTheme="minorHAnsi" w:hAnsiTheme="minorHAnsi" w:cstheme="minorHAnsi"/>
        </w:rPr>
        <w:fldChar w:fldCharType="begin"/>
      </w:r>
      <w:r w:rsidRPr="00747E35">
        <w:rPr>
          <w:rFonts w:asciiTheme="minorHAnsi" w:hAnsiTheme="minorHAnsi" w:cstheme="minorHAnsi"/>
        </w:rPr>
        <w:instrText xml:space="preserve"> REF _Ref467205741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82</w:t>
      </w:r>
      <w:r w:rsidRPr="00747E35">
        <w:rPr>
          <w:rFonts w:asciiTheme="minorHAnsi" w:hAnsiTheme="minorHAnsi" w:cstheme="minorHAnsi"/>
        </w:rPr>
        <w:fldChar w:fldCharType="end"/>
      </w:r>
      <w:r w:rsidRPr="00747E35">
        <w:rPr>
          <w:rFonts w:asciiTheme="minorHAnsi" w:hAnsiTheme="minorHAnsi" w:cstheme="minorHAnsi"/>
        </w:rPr>
        <w:t>. The intermittent subsamples had the lowest proportion of low molecular weight DOC and the highest aromaticity. Conversely, the regional groundwater samples (from bores that have previously shown to be representative of the regional groundwater) had the highest proportion of low molecular weight DOC and the lowest aromaticity. The perennial losing and surface subsamples had similar aromaticity as the intermittent subsamples. The percent of low molecular weight DOC was higher with the subsamples from the perennial gaining section than with subsamples from the perennial losing section.</w:t>
      </w:r>
    </w:p>
    <w:p w14:paraId="7D1B7CF5" w14:textId="77777777" w:rsidR="003D3694" w:rsidRPr="00747E35" w:rsidRDefault="003D3694" w:rsidP="003D3694">
      <w:pPr>
        <w:keepNext/>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0A61E95F" wp14:editId="5D9B4BBB">
            <wp:extent cx="5244465" cy="2844632"/>
            <wp:effectExtent l="0" t="0" r="0" b="0"/>
            <wp:docPr id="7" name="Picture 7" descr="Box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COCD Aromaticity (Maules).tiff"/>
                    <pic:cNvPicPr/>
                  </pic:nvPicPr>
                  <pic:blipFill rotWithShape="1">
                    <a:blip r:embed="rId130" cstate="screen">
                      <a:extLst>
                        <a:ext uri="{28A0092B-C50C-407E-A947-70E740481C1C}">
                          <a14:useLocalDpi xmlns:a14="http://schemas.microsoft.com/office/drawing/2010/main"/>
                        </a:ext>
                      </a:extLst>
                    </a:blip>
                    <a:srcRect/>
                    <a:stretch/>
                  </pic:blipFill>
                  <pic:spPr bwMode="auto">
                    <a:xfrm>
                      <a:off x="0" y="0"/>
                      <a:ext cx="5246815" cy="2845907"/>
                    </a:xfrm>
                    <a:prstGeom prst="rect">
                      <a:avLst/>
                    </a:prstGeom>
                    <a:ln>
                      <a:noFill/>
                    </a:ln>
                    <a:extLst>
                      <a:ext uri="{53640926-AAD7-44D8-BBD7-CCE9431645EC}">
                        <a14:shadowObscured xmlns:a14="http://schemas.microsoft.com/office/drawing/2010/main"/>
                      </a:ext>
                    </a:extLst>
                  </pic:spPr>
                </pic:pic>
              </a:graphicData>
            </a:graphic>
          </wp:inline>
        </w:drawing>
      </w:r>
    </w:p>
    <w:p w14:paraId="2295C6BB" w14:textId="77777777" w:rsidR="003D3694" w:rsidRPr="00747E35" w:rsidRDefault="003D3694" w:rsidP="00085C15">
      <w:pPr>
        <w:pStyle w:val="Caption"/>
        <w:numPr>
          <w:ilvl w:val="0"/>
          <w:numId w:val="0"/>
        </w:numPr>
        <w:rPr>
          <w:rFonts w:cstheme="minorHAnsi"/>
        </w:rPr>
      </w:pPr>
      <w:bookmarkStart w:id="251" w:name="_Ref467205726"/>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81</w:t>
      </w:r>
      <w:r w:rsidR="009D6600" w:rsidRPr="00747E35">
        <w:rPr>
          <w:rFonts w:cstheme="minorHAnsi"/>
          <w:noProof/>
        </w:rPr>
        <w:fldChar w:fldCharType="end"/>
      </w:r>
      <w:bookmarkEnd w:id="251"/>
      <w:r w:rsidRPr="00747E35">
        <w:rPr>
          <w:rFonts w:cstheme="minorHAnsi"/>
        </w:rPr>
        <w:t>: Box-whisker plot displaying the median, lower and upper quartiles (25% and 75%), and minimum and maximum values of aromaticity calculated from LC-OCD for each hydrological regime including regional groundwater sampled from bores in Maules Creek catchment.</w:t>
      </w:r>
    </w:p>
    <w:p w14:paraId="66F5B3FF" w14:textId="77777777" w:rsidR="003D3694" w:rsidRPr="00747E35" w:rsidRDefault="003D3694" w:rsidP="003D3694">
      <w:pPr>
        <w:rPr>
          <w:rFonts w:asciiTheme="minorHAnsi" w:hAnsiTheme="minorHAnsi" w:cstheme="minorHAnsi"/>
        </w:rPr>
      </w:pPr>
    </w:p>
    <w:p w14:paraId="7B072316" w14:textId="77777777" w:rsidR="003D3694" w:rsidRPr="00747E35" w:rsidRDefault="003D3694" w:rsidP="003D3694">
      <w:pPr>
        <w:keepNext/>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39212DAE" wp14:editId="56F14883">
            <wp:extent cx="5243195" cy="2774950"/>
            <wp:effectExtent l="0" t="0" r="0" b="6350"/>
            <wp:docPr id="46" name="Picture 46" descr="Box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COCD LMW (Maules).tiff"/>
                    <pic:cNvPicPr/>
                  </pic:nvPicPr>
                  <pic:blipFill rotWithShape="1">
                    <a:blip r:embed="rId131" cstate="screen">
                      <a:extLst>
                        <a:ext uri="{28A0092B-C50C-407E-A947-70E740481C1C}">
                          <a14:useLocalDpi xmlns:a14="http://schemas.microsoft.com/office/drawing/2010/main"/>
                        </a:ext>
                      </a:extLst>
                    </a:blip>
                    <a:srcRect/>
                    <a:stretch/>
                  </pic:blipFill>
                  <pic:spPr bwMode="auto">
                    <a:xfrm>
                      <a:off x="0" y="0"/>
                      <a:ext cx="5247463" cy="2777209"/>
                    </a:xfrm>
                    <a:prstGeom prst="rect">
                      <a:avLst/>
                    </a:prstGeom>
                    <a:ln>
                      <a:noFill/>
                    </a:ln>
                    <a:extLst>
                      <a:ext uri="{53640926-AAD7-44D8-BBD7-CCE9431645EC}">
                        <a14:shadowObscured xmlns:a14="http://schemas.microsoft.com/office/drawing/2010/main"/>
                      </a:ext>
                    </a:extLst>
                  </pic:spPr>
                </pic:pic>
              </a:graphicData>
            </a:graphic>
          </wp:inline>
        </w:drawing>
      </w:r>
    </w:p>
    <w:p w14:paraId="5BDA00F2" w14:textId="77777777" w:rsidR="003D3694" w:rsidRPr="00747E35" w:rsidRDefault="003D3694" w:rsidP="00085C15">
      <w:pPr>
        <w:pStyle w:val="Caption"/>
        <w:numPr>
          <w:ilvl w:val="0"/>
          <w:numId w:val="0"/>
        </w:numPr>
        <w:rPr>
          <w:rFonts w:cstheme="minorHAnsi"/>
        </w:rPr>
      </w:pPr>
      <w:bookmarkStart w:id="252" w:name="_Ref467205741"/>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82</w:t>
      </w:r>
      <w:r w:rsidR="009D6600" w:rsidRPr="00747E35">
        <w:rPr>
          <w:rFonts w:cstheme="minorHAnsi"/>
          <w:noProof/>
        </w:rPr>
        <w:fldChar w:fldCharType="end"/>
      </w:r>
      <w:bookmarkEnd w:id="252"/>
      <w:r w:rsidRPr="00747E35">
        <w:rPr>
          <w:rFonts w:cstheme="minorHAnsi"/>
        </w:rPr>
        <w:t>: Box-whisker plot displaying the median, lower and upper quartiles (25% and 75%), and minimum and maximum values excluding outliers (dots) of spectral slope of % low molecular weight DOC from LC-OCD for each hydrological regime including regional groundwater sampled from bores in Maules Creek catchment.</w:t>
      </w:r>
    </w:p>
    <w:p w14:paraId="55632ACA" w14:textId="77777777" w:rsidR="003D3694" w:rsidRPr="00747E35" w:rsidRDefault="003D3694" w:rsidP="003D3694">
      <w:pPr>
        <w:rPr>
          <w:rFonts w:asciiTheme="minorHAnsi" w:hAnsiTheme="minorHAnsi" w:cstheme="minorHAnsi"/>
        </w:rPr>
      </w:pPr>
    </w:p>
    <w:p w14:paraId="586D7048" w14:textId="77777777" w:rsidR="003D3694" w:rsidRPr="00747E35" w:rsidRDefault="003D3694" w:rsidP="00085C15">
      <w:pPr>
        <w:pStyle w:val="Heading4"/>
        <w:rPr>
          <w:rFonts w:asciiTheme="minorHAnsi" w:hAnsiTheme="minorHAnsi" w:cstheme="minorHAnsi"/>
        </w:rPr>
      </w:pPr>
      <w:r w:rsidRPr="00747E35">
        <w:rPr>
          <w:rFonts w:asciiTheme="minorHAnsi" w:hAnsiTheme="minorHAnsi" w:cstheme="minorHAnsi"/>
        </w:rPr>
        <w:lastRenderedPageBreak/>
        <w:t>Upper Bremer River catchment hydrochemistry</w:t>
      </w:r>
    </w:p>
    <w:p w14:paraId="79795F62" w14:textId="7F8FF5B8"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Major ion chemistry of surface and hyporheic water samples from the upper Bremer River catchment is summarised in the Piper diagram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_Ref466449469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83</w:t>
      </w:r>
      <w:r w:rsidRPr="00747E35">
        <w:rPr>
          <w:rFonts w:asciiTheme="minorHAnsi" w:hAnsiTheme="minorHAnsi" w:cstheme="minorHAnsi"/>
        </w:rPr>
        <w:fldChar w:fldCharType="end"/>
      </w:r>
      <w:r w:rsidRPr="00747E35">
        <w:rPr>
          <w:rFonts w:asciiTheme="minorHAnsi" w:hAnsiTheme="minorHAnsi" w:cstheme="minorHAnsi"/>
        </w:rPr>
        <w:t xml:space="preserve"> (no bores were available for groundwater sampling in the upper Bremer River catchment). The surface water and hyporheic samples from the Bremer and Warrill Creeks had a Ca-Mg-HCO</w:t>
      </w:r>
      <w:r w:rsidRPr="00747E35">
        <w:rPr>
          <w:rFonts w:asciiTheme="minorHAnsi" w:hAnsiTheme="minorHAnsi" w:cstheme="minorHAnsi"/>
          <w:vertAlign w:val="subscript"/>
        </w:rPr>
        <w:t>3</w:t>
      </w:r>
      <w:r w:rsidRPr="00747E35">
        <w:rPr>
          <w:rFonts w:asciiTheme="minorHAnsi" w:hAnsiTheme="minorHAnsi" w:cstheme="minorHAnsi"/>
        </w:rPr>
        <w:t xml:space="preserve"> composition typical of carbonate rock dissolution. The samples from Wild Cattle, Coulson and Reynolds creeks had a more mixed Ca-Mg-Na-Cl-HCO</w:t>
      </w:r>
      <w:r w:rsidRPr="00747E35">
        <w:rPr>
          <w:rFonts w:asciiTheme="minorHAnsi" w:hAnsiTheme="minorHAnsi" w:cstheme="minorHAnsi"/>
          <w:vertAlign w:val="subscript"/>
        </w:rPr>
        <w:t>3</w:t>
      </w:r>
      <w:r w:rsidRPr="00747E35">
        <w:rPr>
          <w:rFonts w:asciiTheme="minorHAnsi" w:hAnsiTheme="minorHAnsi" w:cstheme="minorHAnsi"/>
        </w:rPr>
        <w:t xml:space="preserve"> water composition. The content of total dissolved solids (here represented by EC) increased in order from Warrill Creek (379-443 μS/cm) to Wild Cattle Creek (494-593 μS/cm), Coulson Creek (503-617 μS/cm), Bremer River (570-607 μS/cm) and Reynolds Creek (566-721 μS/cm). The EC (and in some cases the major ion composition – see Piper diagram) changed from sampling in October 2015 to February 2016. However, the change in EC was not consistent amongst the five upper Bremer River catchment sites, with increasing EC at Coulson, Warrill and Wild Cattle creeks and decreasing EC for Bremer River and Reynolds Creek.</w:t>
      </w:r>
    </w:p>
    <w:p w14:paraId="404D1BA7" w14:textId="77777777" w:rsidR="003D3694" w:rsidRPr="00747E35" w:rsidRDefault="003D3694" w:rsidP="003D3694">
      <w:pPr>
        <w:rPr>
          <w:rFonts w:asciiTheme="minorHAnsi" w:hAnsiTheme="minorHAnsi" w:cstheme="minorHAnsi"/>
        </w:rPr>
      </w:pPr>
    </w:p>
    <w:p w14:paraId="692AA29E"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29E8A671" wp14:editId="1EE490E5">
            <wp:extent cx="5731510" cy="5093063"/>
            <wp:effectExtent l="0" t="0" r="2540" b="0"/>
            <wp:docPr id="41" name="Picture 41" descr="Piper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5731510" cy="5093063"/>
                    </a:xfrm>
                    <a:prstGeom prst="rect">
                      <a:avLst/>
                    </a:prstGeom>
                    <a:noFill/>
                    <a:ln>
                      <a:noFill/>
                    </a:ln>
                  </pic:spPr>
                </pic:pic>
              </a:graphicData>
            </a:graphic>
          </wp:inline>
        </w:drawing>
      </w:r>
    </w:p>
    <w:p w14:paraId="23AD7625" w14:textId="77777777" w:rsidR="003D3694" w:rsidRPr="00747E35" w:rsidRDefault="003D3694" w:rsidP="00CF473C">
      <w:pPr>
        <w:pStyle w:val="Caption"/>
        <w:numPr>
          <w:ilvl w:val="0"/>
          <w:numId w:val="0"/>
        </w:numPr>
        <w:jc w:val="both"/>
        <w:rPr>
          <w:rFonts w:cstheme="minorHAnsi"/>
        </w:rPr>
      </w:pPr>
      <w:bookmarkStart w:id="253" w:name="_Ref466449469"/>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83</w:t>
      </w:r>
      <w:r w:rsidR="009D6600" w:rsidRPr="00747E35">
        <w:rPr>
          <w:rFonts w:cstheme="minorHAnsi"/>
          <w:noProof/>
        </w:rPr>
        <w:fldChar w:fldCharType="end"/>
      </w:r>
      <w:bookmarkEnd w:id="253"/>
      <w:r w:rsidRPr="00747E35">
        <w:rPr>
          <w:rFonts w:cstheme="minorHAnsi"/>
        </w:rPr>
        <w:t>: Piper plot of surface, hyporheic and groundwater samples from the upper Bremer River catchment.</w:t>
      </w:r>
    </w:p>
    <w:p w14:paraId="509A2EC0" w14:textId="77777777" w:rsidR="003D3694" w:rsidRPr="00747E35" w:rsidRDefault="003D3694" w:rsidP="003D3694">
      <w:pPr>
        <w:rPr>
          <w:rFonts w:asciiTheme="minorHAnsi" w:hAnsiTheme="minorHAnsi" w:cstheme="minorHAnsi"/>
        </w:rPr>
      </w:pPr>
    </w:p>
    <w:p w14:paraId="46005643" w14:textId="6F989F5F"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collected hyporheic samples from upper Bremer River catchment tended to be oxic as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_Ref466414507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84</w:t>
      </w:r>
      <w:r w:rsidRPr="00747E35">
        <w:rPr>
          <w:rFonts w:asciiTheme="minorHAnsi" w:hAnsiTheme="minorHAnsi" w:cstheme="minorHAnsi"/>
        </w:rPr>
        <w:fldChar w:fldCharType="end"/>
      </w:r>
      <w:r w:rsidRPr="00747E35">
        <w:rPr>
          <w:rFonts w:asciiTheme="minorHAnsi" w:hAnsiTheme="minorHAnsi" w:cstheme="minorHAnsi"/>
        </w:rPr>
        <w:t xml:space="preserve">. Nitrate is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_Ref466414937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85</w:t>
      </w:r>
      <w:r w:rsidRPr="00747E35">
        <w:rPr>
          <w:rFonts w:asciiTheme="minorHAnsi" w:hAnsiTheme="minorHAnsi" w:cstheme="minorHAnsi"/>
        </w:rPr>
        <w:fldChar w:fldCharType="end"/>
      </w:r>
      <w:r w:rsidRPr="00747E35">
        <w:rPr>
          <w:rFonts w:asciiTheme="minorHAnsi" w:hAnsiTheme="minorHAnsi" w:cstheme="minorHAnsi"/>
        </w:rPr>
        <w:t xml:space="preserve"> and the reduced species ammonia and iron are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_Ref466414970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86</w:t>
      </w:r>
      <w:r w:rsidRPr="00747E35">
        <w:rPr>
          <w:rFonts w:asciiTheme="minorHAnsi" w:hAnsiTheme="minorHAnsi" w:cstheme="minorHAnsi"/>
        </w:rPr>
        <w:fldChar w:fldCharType="end"/>
      </w:r>
      <w:r w:rsidRPr="00747E35">
        <w:rPr>
          <w:rFonts w:asciiTheme="minorHAnsi" w:hAnsiTheme="minorHAnsi" w:cstheme="minorHAnsi"/>
        </w:rPr>
        <w:t xml:space="preserve"> and </w:t>
      </w:r>
      <w:r w:rsidRPr="00747E35">
        <w:rPr>
          <w:rFonts w:asciiTheme="minorHAnsi" w:hAnsiTheme="minorHAnsi" w:cstheme="minorHAnsi"/>
        </w:rPr>
        <w:fldChar w:fldCharType="begin"/>
      </w:r>
      <w:r w:rsidRPr="00747E35">
        <w:rPr>
          <w:rFonts w:asciiTheme="minorHAnsi" w:hAnsiTheme="minorHAnsi" w:cstheme="minorHAnsi"/>
        </w:rPr>
        <w:instrText xml:space="preserve"> REF _Ref466414989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87</w:t>
      </w:r>
      <w:r w:rsidRPr="00747E35">
        <w:rPr>
          <w:rFonts w:asciiTheme="minorHAnsi" w:hAnsiTheme="minorHAnsi" w:cstheme="minorHAnsi"/>
        </w:rPr>
        <w:fldChar w:fldCharType="end"/>
      </w:r>
      <w:r w:rsidRPr="00747E35">
        <w:rPr>
          <w:rFonts w:asciiTheme="minorHAnsi" w:hAnsiTheme="minorHAnsi" w:cstheme="minorHAnsi"/>
        </w:rPr>
        <w:t>, respectively. The oxic conditions in the upper Bremer River catchment resulted in higher levels of oxidised species compared to reduced species.</w:t>
      </w:r>
    </w:p>
    <w:p w14:paraId="15FA325E" w14:textId="77777777" w:rsidR="003D3694" w:rsidRPr="00747E35" w:rsidRDefault="003D3694" w:rsidP="003D3694">
      <w:pPr>
        <w:keepNext/>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62D5326C" wp14:editId="51083826">
            <wp:extent cx="6113506" cy="3130550"/>
            <wp:effectExtent l="0" t="0" r="1905" b="0"/>
            <wp:docPr id="7172" name="Picture 7172" desc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Bremer DO.tif"/>
                    <pic:cNvPicPr/>
                  </pic:nvPicPr>
                  <pic:blipFill rotWithShape="1">
                    <a:blip r:embed="rId133" cstate="screen">
                      <a:extLst>
                        <a:ext uri="{28A0092B-C50C-407E-A947-70E740481C1C}">
                          <a14:useLocalDpi xmlns:a14="http://schemas.microsoft.com/office/drawing/2010/main"/>
                        </a:ext>
                      </a:extLst>
                    </a:blip>
                    <a:srcRect/>
                    <a:stretch/>
                  </pic:blipFill>
                  <pic:spPr bwMode="auto">
                    <a:xfrm>
                      <a:off x="0" y="0"/>
                      <a:ext cx="6119394" cy="3133565"/>
                    </a:xfrm>
                    <a:prstGeom prst="rect">
                      <a:avLst/>
                    </a:prstGeom>
                    <a:ln>
                      <a:noFill/>
                    </a:ln>
                    <a:extLst>
                      <a:ext uri="{53640926-AAD7-44D8-BBD7-CCE9431645EC}">
                        <a14:shadowObscured xmlns:a14="http://schemas.microsoft.com/office/drawing/2010/main"/>
                      </a:ext>
                    </a:extLst>
                  </pic:spPr>
                </pic:pic>
              </a:graphicData>
            </a:graphic>
          </wp:inline>
        </w:drawing>
      </w:r>
    </w:p>
    <w:p w14:paraId="3A6AF473" w14:textId="78AFB67B" w:rsidR="003D3694" w:rsidRPr="00747E35" w:rsidRDefault="003D3694" w:rsidP="00CF473C">
      <w:pPr>
        <w:pStyle w:val="Caption"/>
        <w:numPr>
          <w:ilvl w:val="0"/>
          <w:numId w:val="0"/>
        </w:numPr>
        <w:jc w:val="both"/>
        <w:rPr>
          <w:rFonts w:cstheme="minorHAnsi"/>
        </w:rPr>
      </w:pPr>
      <w:bookmarkStart w:id="254" w:name="_Ref466414507"/>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84</w:t>
      </w:r>
      <w:r w:rsidR="009D6600" w:rsidRPr="00747E35">
        <w:rPr>
          <w:rFonts w:cstheme="minorHAnsi"/>
          <w:noProof/>
        </w:rPr>
        <w:fldChar w:fldCharType="end"/>
      </w:r>
      <w:bookmarkEnd w:id="254"/>
      <w:r w:rsidRPr="00747E35">
        <w:rPr>
          <w:rFonts w:cstheme="minorHAnsi"/>
        </w:rPr>
        <w:t xml:space="preserve">: Dissolved oxygen (DO) concentration of hyporheic and surface water samples collected in the upper Bremer River catchment. The x-axis represents location along the channel in each study site (separated by vertical </w:t>
      </w:r>
      <w:r w:rsidR="00B5548C">
        <w:rPr>
          <w:rFonts w:cstheme="minorHAnsi"/>
        </w:rPr>
        <w:t xml:space="preserve">solid </w:t>
      </w:r>
      <w:r w:rsidRPr="00747E35">
        <w:rPr>
          <w:rFonts w:cstheme="minorHAnsi"/>
        </w:rPr>
        <w:t>lines) and the vertical dotted line separates the two different sampling times.</w:t>
      </w:r>
    </w:p>
    <w:p w14:paraId="3430B160" w14:textId="6BF7E099" w:rsidR="003D3694" w:rsidRPr="00747E35" w:rsidRDefault="003D3694" w:rsidP="003D3694">
      <w:pPr>
        <w:rPr>
          <w:rFonts w:asciiTheme="minorHAnsi" w:hAnsiTheme="minorHAnsi" w:cstheme="minorHAnsi"/>
        </w:rPr>
      </w:pPr>
    </w:p>
    <w:p w14:paraId="4B11824C" w14:textId="77777777" w:rsidR="003D3694" w:rsidRPr="00747E35" w:rsidRDefault="003D3694" w:rsidP="003D3694">
      <w:pPr>
        <w:keepNext/>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1633D88B" wp14:editId="60FB7205">
            <wp:extent cx="6126107" cy="3143250"/>
            <wp:effectExtent l="0" t="0" r="8255" b="0"/>
            <wp:docPr id="7173" name="Picture 7173" desc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Bremer NO3.tif"/>
                    <pic:cNvPicPr/>
                  </pic:nvPicPr>
                  <pic:blipFill rotWithShape="1">
                    <a:blip r:embed="rId134" cstate="screen">
                      <a:extLst>
                        <a:ext uri="{28A0092B-C50C-407E-A947-70E740481C1C}">
                          <a14:useLocalDpi xmlns:a14="http://schemas.microsoft.com/office/drawing/2010/main"/>
                        </a:ext>
                      </a:extLst>
                    </a:blip>
                    <a:srcRect/>
                    <a:stretch/>
                  </pic:blipFill>
                  <pic:spPr bwMode="auto">
                    <a:xfrm>
                      <a:off x="0" y="0"/>
                      <a:ext cx="6133043" cy="3146809"/>
                    </a:xfrm>
                    <a:prstGeom prst="rect">
                      <a:avLst/>
                    </a:prstGeom>
                    <a:ln>
                      <a:noFill/>
                    </a:ln>
                    <a:extLst>
                      <a:ext uri="{53640926-AAD7-44D8-BBD7-CCE9431645EC}">
                        <a14:shadowObscured xmlns:a14="http://schemas.microsoft.com/office/drawing/2010/main"/>
                      </a:ext>
                    </a:extLst>
                  </pic:spPr>
                </pic:pic>
              </a:graphicData>
            </a:graphic>
          </wp:inline>
        </w:drawing>
      </w:r>
    </w:p>
    <w:p w14:paraId="79C06FF4" w14:textId="3087BF3C" w:rsidR="003D3694" w:rsidRPr="00747E35" w:rsidRDefault="003D3694" w:rsidP="00CF473C">
      <w:pPr>
        <w:pStyle w:val="Caption"/>
        <w:numPr>
          <w:ilvl w:val="0"/>
          <w:numId w:val="0"/>
        </w:numPr>
        <w:jc w:val="both"/>
        <w:rPr>
          <w:rFonts w:cstheme="minorHAnsi"/>
        </w:rPr>
      </w:pPr>
      <w:bookmarkStart w:id="255" w:name="_Ref466414937"/>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85</w:t>
      </w:r>
      <w:r w:rsidR="009D6600" w:rsidRPr="00747E35">
        <w:rPr>
          <w:rFonts w:cstheme="minorHAnsi"/>
          <w:noProof/>
        </w:rPr>
        <w:fldChar w:fldCharType="end"/>
      </w:r>
      <w:bookmarkEnd w:id="255"/>
      <w:r w:rsidRPr="00747E35">
        <w:rPr>
          <w:rFonts w:cstheme="minorHAnsi"/>
        </w:rPr>
        <w:t>: Nitrate (NO</w:t>
      </w:r>
      <w:r w:rsidRPr="00747E35">
        <w:rPr>
          <w:rFonts w:cstheme="minorHAnsi"/>
          <w:vertAlign w:val="subscript"/>
        </w:rPr>
        <w:t>3</w:t>
      </w:r>
      <w:r w:rsidRPr="00747E35">
        <w:rPr>
          <w:rFonts w:cstheme="minorHAnsi"/>
          <w:vertAlign w:val="superscript"/>
        </w:rPr>
        <w:t>-</w:t>
      </w:r>
      <w:r w:rsidRPr="00747E35">
        <w:rPr>
          <w:rFonts w:cstheme="minorHAnsi"/>
        </w:rPr>
        <w:t xml:space="preserve">) concentrations of hyporheic and surface water samples collected in the upper Bremer River catchment. The x-axis represents location along the channel in each study site (separated by vertical </w:t>
      </w:r>
      <w:r w:rsidR="00B5548C">
        <w:rPr>
          <w:rFonts w:cstheme="minorHAnsi"/>
        </w:rPr>
        <w:t xml:space="preserve">solid </w:t>
      </w:r>
      <w:r w:rsidRPr="00747E35">
        <w:rPr>
          <w:rFonts w:cstheme="minorHAnsi"/>
        </w:rPr>
        <w:t>lines) and the vertical dotted line separates the two different sampling times.</w:t>
      </w:r>
    </w:p>
    <w:p w14:paraId="6693D561" w14:textId="77777777" w:rsidR="003D3694" w:rsidRPr="00747E35" w:rsidRDefault="003D3694" w:rsidP="003D3694">
      <w:pPr>
        <w:rPr>
          <w:rFonts w:asciiTheme="minorHAnsi" w:hAnsiTheme="minorHAnsi" w:cstheme="minorHAnsi"/>
        </w:rPr>
      </w:pPr>
    </w:p>
    <w:p w14:paraId="506DE040" w14:textId="77777777" w:rsidR="003D3694" w:rsidRPr="00747E35" w:rsidRDefault="003D3694" w:rsidP="003D3694">
      <w:pPr>
        <w:keepNext/>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51203C64" wp14:editId="734FE4F2">
            <wp:extent cx="6091914" cy="3117850"/>
            <wp:effectExtent l="0" t="0" r="4445" b="6350"/>
            <wp:docPr id="7174" name="Picture 7174" desc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Bremer Amm.tif"/>
                    <pic:cNvPicPr/>
                  </pic:nvPicPr>
                  <pic:blipFill rotWithShape="1">
                    <a:blip r:embed="rId135" cstate="screen">
                      <a:extLst>
                        <a:ext uri="{28A0092B-C50C-407E-A947-70E740481C1C}">
                          <a14:useLocalDpi xmlns:a14="http://schemas.microsoft.com/office/drawing/2010/main"/>
                        </a:ext>
                      </a:extLst>
                    </a:blip>
                    <a:srcRect/>
                    <a:stretch/>
                  </pic:blipFill>
                  <pic:spPr bwMode="auto">
                    <a:xfrm>
                      <a:off x="0" y="0"/>
                      <a:ext cx="6094274" cy="3119058"/>
                    </a:xfrm>
                    <a:prstGeom prst="rect">
                      <a:avLst/>
                    </a:prstGeom>
                    <a:ln>
                      <a:noFill/>
                    </a:ln>
                    <a:extLst>
                      <a:ext uri="{53640926-AAD7-44D8-BBD7-CCE9431645EC}">
                        <a14:shadowObscured xmlns:a14="http://schemas.microsoft.com/office/drawing/2010/main"/>
                      </a:ext>
                    </a:extLst>
                  </pic:spPr>
                </pic:pic>
              </a:graphicData>
            </a:graphic>
          </wp:inline>
        </w:drawing>
      </w:r>
    </w:p>
    <w:p w14:paraId="2240D450" w14:textId="62C03AB6" w:rsidR="003D3694" w:rsidRPr="00747E35" w:rsidRDefault="003D3694" w:rsidP="00CF473C">
      <w:pPr>
        <w:pStyle w:val="Caption"/>
        <w:numPr>
          <w:ilvl w:val="0"/>
          <w:numId w:val="0"/>
        </w:numPr>
        <w:jc w:val="both"/>
        <w:rPr>
          <w:rFonts w:cstheme="minorHAnsi"/>
        </w:rPr>
      </w:pPr>
      <w:bookmarkStart w:id="256" w:name="_Ref466414970"/>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86</w:t>
      </w:r>
      <w:r w:rsidR="009D6600" w:rsidRPr="00747E35">
        <w:rPr>
          <w:rFonts w:cstheme="minorHAnsi"/>
          <w:noProof/>
        </w:rPr>
        <w:fldChar w:fldCharType="end"/>
      </w:r>
      <w:bookmarkEnd w:id="256"/>
      <w:r w:rsidRPr="00747E35">
        <w:rPr>
          <w:rFonts w:cstheme="minorHAnsi"/>
        </w:rPr>
        <w:t>: Ammonium (NH</w:t>
      </w:r>
      <w:r w:rsidRPr="00747E35">
        <w:rPr>
          <w:rFonts w:cstheme="minorHAnsi"/>
          <w:vertAlign w:val="subscript"/>
        </w:rPr>
        <w:t>4</w:t>
      </w:r>
      <w:r w:rsidRPr="00747E35">
        <w:rPr>
          <w:rFonts w:cstheme="minorHAnsi"/>
          <w:vertAlign w:val="superscript"/>
        </w:rPr>
        <w:t>+</w:t>
      </w:r>
      <w:r w:rsidRPr="00747E35">
        <w:rPr>
          <w:rFonts w:cstheme="minorHAnsi"/>
        </w:rPr>
        <w:t xml:space="preserve">) concentrations of hyporheic and surface water samples collected in upper Bremer River catchment. The x-axis represents location along the channel in each study site (separated by vertical </w:t>
      </w:r>
      <w:r w:rsidR="00B5548C">
        <w:rPr>
          <w:rFonts w:cstheme="minorHAnsi"/>
        </w:rPr>
        <w:t xml:space="preserve">solid </w:t>
      </w:r>
      <w:r w:rsidRPr="00747E35">
        <w:rPr>
          <w:rFonts w:cstheme="minorHAnsi"/>
        </w:rPr>
        <w:t>lines) and the vertical dotted line separates the two different sampling times.</w:t>
      </w:r>
    </w:p>
    <w:p w14:paraId="2C1DCB78" w14:textId="77777777" w:rsidR="003D3694" w:rsidRPr="00747E35" w:rsidRDefault="003D3694" w:rsidP="003D3694">
      <w:pPr>
        <w:rPr>
          <w:rFonts w:asciiTheme="minorHAnsi" w:hAnsiTheme="minorHAnsi" w:cstheme="minorHAnsi"/>
        </w:rPr>
      </w:pPr>
    </w:p>
    <w:p w14:paraId="0E137C3C" w14:textId="77777777" w:rsidR="003D3694" w:rsidRPr="00747E35" w:rsidRDefault="003D3694" w:rsidP="003D3694">
      <w:pPr>
        <w:keepNext/>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596C7355" wp14:editId="38BE6DFB">
            <wp:extent cx="6135624" cy="3098800"/>
            <wp:effectExtent l="0" t="0" r="0" b="6350"/>
            <wp:docPr id="7175" name="Picture 7175" desc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Bremer Fe.tif"/>
                    <pic:cNvPicPr/>
                  </pic:nvPicPr>
                  <pic:blipFill rotWithShape="1">
                    <a:blip r:embed="rId136" cstate="screen">
                      <a:extLst>
                        <a:ext uri="{28A0092B-C50C-407E-A947-70E740481C1C}">
                          <a14:useLocalDpi xmlns:a14="http://schemas.microsoft.com/office/drawing/2010/main"/>
                        </a:ext>
                      </a:extLst>
                    </a:blip>
                    <a:srcRect/>
                    <a:stretch/>
                  </pic:blipFill>
                  <pic:spPr bwMode="auto">
                    <a:xfrm>
                      <a:off x="0" y="0"/>
                      <a:ext cx="6139038" cy="3100524"/>
                    </a:xfrm>
                    <a:prstGeom prst="rect">
                      <a:avLst/>
                    </a:prstGeom>
                    <a:ln>
                      <a:noFill/>
                    </a:ln>
                    <a:extLst>
                      <a:ext uri="{53640926-AAD7-44D8-BBD7-CCE9431645EC}">
                        <a14:shadowObscured xmlns:a14="http://schemas.microsoft.com/office/drawing/2010/main"/>
                      </a:ext>
                    </a:extLst>
                  </pic:spPr>
                </pic:pic>
              </a:graphicData>
            </a:graphic>
          </wp:inline>
        </w:drawing>
      </w:r>
    </w:p>
    <w:p w14:paraId="1C91C1C5" w14:textId="039930C3" w:rsidR="003D3694" w:rsidRPr="00747E35" w:rsidRDefault="003D3694" w:rsidP="00CF473C">
      <w:pPr>
        <w:pStyle w:val="Caption"/>
        <w:numPr>
          <w:ilvl w:val="0"/>
          <w:numId w:val="0"/>
        </w:numPr>
        <w:jc w:val="both"/>
        <w:rPr>
          <w:rFonts w:cstheme="minorHAnsi"/>
        </w:rPr>
      </w:pPr>
      <w:bookmarkStart w:id="257" w:name="_Ref466414989"/>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87</w:t>
      </w:r>
      <w:r w:rsidR="009D6600" w:rsidRPr="00747E35">
        <w:rPr>
          <w:rFonts w:cstheme="minorHAnsi"/>
          <w:noProof/>
        </w:rPr>
        <w:fldChar w:fldCharType="end"/>
      </w:r>
      <w:bookmarkEnd w:id="257"/>
      <w:r w:rsidRPr="00747E35">
        <w:rPr>
          <w:rFonts w:cstheme="minorHAnsi"/>
        </w:rPr>
        <w:t xml:space="preserve">: Fe(II) of hyporheic and surface water samples collected in upper Bremer River catchment. The x-axis represents location along the channel in each study site (separated by vertical </w:t>
      </w:r>
      <w:r w:rsidR="00B5548C">
        <w:rPr>
          <w:rFonts w:cstheme="minorHAnsi"/>
        </w:rPr>
        <w:t xml:space="preserve">solid </w:t>
      </w:r>
      <w:r w:rsidRPr="00747E35">
        <w:rPr>
          <w:rFonts w:cstheme="minorHAnsi"/>
        </w:rPr>
        <w:t>lines) and the vertical dotted line separates the two different sampling times.</w:t>
      </w:r>
    </w:p>
    <w:p w14:paraId="1EC37058" w14:textId="77777777" w:rsidR="003D3694" w:rsidRPr="00747E35" w:rsidRDefault="003D3694" w:rsidP="003D3694">
      <w:pPr>
        <w:rPr>
          <w:rFonts w:asciiTheme="minorHAnsi" w:hAnsiTheme="minorHAnsi" w:cstheme="minorHAnsi"/>
        </w:rPr>
      </w:pPr>
    </w:p>
    <w:p w14:paraId="4AB9A846" w14:textId="77777777" w:rsidR="003D3694" w:rsidRPr="00747E35" w:rsidRDefault="003D3694" w:rsidP="003D3694">
      <w:pPr>
        <w:pStyle w:val="Heading6"/>
        <w:rPr>
          <w:rFonts w:asciiTheme="minorHAnsi" w:hAnsiTheme="minorHAnsi" w:cstheme="minorHAnsi"/>
        </w:rPr>
      </w:pPr>
      <w:r w:rsidRPr="00747E35">
        <w:rPr>
          <w:rFonts w:asciiTheme="minorHAnsi" w:hAnsiTheme="minorHAnsi" w:cstheme="minorHAnsi"/>
        </w:rPr>
        <w:t xml:space="preserve">Data visualisation and statistical analysis </w:t>
      </w:r>
    </w:p>
    <w:p w14:paraId="4F796A22" w14:textId="4D26EF61"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A plot of the principal component (PC) axes PC1 versus PC2 for the hyporheic Maules Creek catchment samples is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_Ref453173426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Figure 88</w:t>
      </w:r>
      <w:r w:rsidRPr="00747E35">
        <w:rPr>
          <w:rFonts w:asciiTheme="minorHAnsi" w:hAnsiTheme="minorHAnsi" w:cstheme="minorHAnsi"/>
        </w:rPr>
        <w:fldChar w:fldCharType="end"/>
      </w:r>
      <w:r w:rsidRPr="00747E35">
        <w:rPr>
          <w:rFonts w:asciiTheme="minorHAnsi" w:hAnsiTheme="minorHAnsi" w:cstheme="minorHAnsi"/>
        </w:rPr>
        <w:t xml:space="preserve"> and for the hyporheic upper Bremer River catchment samples is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_Ref453304936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89</w:t>
      </w:r>
      <w:r w:rsidRPr="00747E35">
        <w:rPr>
          <w:rFonts w:asciiTheme="minorHAnsi" w:hAnsiTheme="minorHAnsi" w:cstheme="minorHAnsi"/>
        </w:rPr>
        <w:fldChar w:fldCharType="end"/>
      </w:r>
      <w:r w:rsidRPr="00747E35">
        <w:rPr>
          <w:rFonts w:asciiTheme="minorHAnsi" w:hAnsiTheme="minorHAnsi" w:cstheme="minorHAnsi"/>
        </w:rPr>
        <w:t xml:space="preserve">. For both datasets, PC1 and PC2 split the samples based on location, with both axes explaining 41.5% and 49% of variation for the upper Bremer River catchment and Maules Creek catchment datasets, respectively. While the Maules Creek catchment samples were consistent over time, the upper Bremer </w:t>
      </w:r>
      <w:r w:rsidRPr="00747E35">
        <w:rPr>
          <w:rFonts w:asciiTheme="minorHAnsi" w:hAnsiTheme="minorHAnsi" w:cstheme="minorHAnsi"/>
        </w:rPr>
        <w:lastRenderedPageBreak/>
        <w:t xml:space="preserve">River catchment samples showed within site differences between the October 2015 and March 2016 sampling. </w:t>
      </w:r>
    </w:p>
    <w:p w14:paraId="7FE978FB" w14:textId="69BA3D6B" w:rsidR="003D3694" w:rsidRPr="00747E35" w:rsidRDefault="003D3694" w:rsidP="003D3694">
      <w:pPr>
        <w:rPr>
          <w:rFonts w:asciiTheme="minorHAnsi" w:hAnsiTheme="minorHAnsi" w:cstheme="minorHAnsi"/>
        </w:rPr>
      </w:pPr>
      <w:r w:rsidRPr="00747E35">
        <w:rPr>
          <w:rFonts w:asciiTheme="minorHAnsi" w:hAnsiTheme="minorHAnsi" w:cstheme="minorHAnsi"/>
        </w:rPr>
        <w:t>In the Maules Creek catchment analysis (</w:t>
      </w:r>
      <w:r w:rsidRPr="00747E35">
        <w:rPr>
          <w:rFonts w:asciiTheme="minorHAnsi" w:hAnsiTheme="minorHAnsi" w:cstheme="minorHAnsi"/>
        </w:rPr>
        <w:fldChar w:fldCharType="begin"/>
      </w:r>
      <w:r w:rsidRPr="00747E35">
        <w:rPr>
          <w:rFonts w:asciiTheme="minorHAnsi" w:hAnsiTheme="minorHAnsi" w:cstheme="minorHAnsi"/>
        </w:rPr>
        <w:instrText xml:space="preserve"> REF _Ref453173426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88</w:t>
      </w:r>
      <w:r w:rsidRPr="00747E35">
        <w:rPr>
          <w:rFonts w:asciiTheme="minorHAnsi" w:hAnsiTheme="minorHAnsi" w:cstheme="minorHAnsi"/>
        </w:rPr>
        <w:fldChar w:fldCharType="end"/>
      </w:r>
      <w:r w:rsidRPr="00747E35">
        <w:rPr>
          <w:rFonts w:asciiTheme="minorHAnsi" w:hAnsiTheme="minorHAnsi" w:cstheme="minorHAnsi"/>
        </w:rPr>
        <w:t>) the samples collected from just below the spring site (Bar 6) are separated from the other samples on their higher DO and nitrate concentrations characteristic of this regional groundwater. This analysis confirms that this site is near an area of regional groundwater discharge. The samples collected from the perennial losing section, i.e. Riffle 11 in July and October 2015 and Pool 38 February 2016, show an increase in DOC, humic-like organic matter, and reduced species (P, Mn and As) over time as there was a decrease in the surface water present.</w:t>
      </w:r>
    </w:p>
    <w:p w14:paraId="3AD34532" w14:textId="77777777" w:rsidR="003D3694" w:rsidRPr="00747E35" w:rsidRDefault="003D3694" w:rsidP="003D3694">
      <w:pPr>
        <w:rPr>
          <w:rFonts w:asciiTheme="minorHAnsi" w:hAnsiTheme="minorHAnsi" w:cstheme="minorHAnsi"/>
        </w:rPr>
      </w:pPr>
    </w:p>
    <w:p w14:paraId="56126D7F" w14:textId="77777777" w:rsidR="003D3694" w:rsidRPr="00747E35" w:rsidRDefault="003D3694" w:rsidP="003D3694">
      <w:pPr>
        <w:jc w:val="center"/>
        <w:rPr>
          <w:rFonts w:asciiTheme="minorHAnsi" w:hAnsiTheme="minorHAnsi" w:cstheme="minorHAnsi"/>
          <w:color w:val="FF0000"/>
        </w:rPr>
      </w:pPr>
      <w:r w:rsidRPr="00747E35">
        <w:rPr>
          <w:rFonts w:asciiTheme="minorHAnsi" w:hAnsiTheme="minorHAnsi" w:cstheme="minorHAnsi"/>
          <w:noProof/>
          <w:color w:val="FF0000"/>
          <w:lang w:val="en-AU" w:eastAsia="en-AU"/>
        </w:rPr>
        <w:drawing>
          <wp:inline distT="0" distB="0" distL="0" distR="0" wp14:anchorId="57E41E0D" wp14:editId="479F67D8">
            <wp:extent cx="6162675" cy="3455514"/>
            <wp:effectExtent l="0" t="0" r="0" b="0"/>
            <wp:docPr id="288" name="Picture 288" descr="Bi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W global PC1 &amp; 2 (incl loadings).tif"/>
                    <pic:cNvPicPr/>
                  </pic:nvPicPr>
                  <pic:blipFill rotWithShape="1">
                    <a:blip r:embed="rId137" cstate="screen">
                      <a:extLst>
                        <a:ext uri="{28A0092B-C50C-407E-A947-70E740481C1C}">
                          <a14:useLocalDpi xmlns:a14="http://schemas.microsoft.com/office/drawing/2010/main"/>
                        </a:ext>
                      </a:extLst>
                    </a:blip>
                    <a:srcRect/>
                    <a:stretch/>
                  </pic:blipFill>
                  <pic:spPr bwMode="auto">
                    <a:xfrm>
                      <a:off x="0" y="0"/>
                      <a:ext cx="6175723" cy="3462830"/>
                    </a:xfrm>
                    <a:prstGeom prst="rect">
                      <a:avLst/>
                    </a:prstGeom>
                    <a:ln>
                      <a:noFill/>
                    </a:ln>
                    <a:extLst>
                      <a:ext uri="{53640926-AAD7-44D8-BBD7-CCE9431645EC}">
                        <a14:shadowObscured xmlns:a14="http://schemas.microsoft.com/office/drawing/2010/main"/>
                      </a:ext>
                    </a:extLst>
                  </pic:spPr>
                </pic:pic>
              </a:graphicData>
            </a:graphic>
          </wp:inline>
        </w:drawing>
      </w:r>
    </w:p>
    <w:p w14:paraId="1BFF9547" w14:textId="6A95DFBF" w:rsidR="003D3694" w:rsidRPr="00747E35" w:rsidRDefault="003D3694" w:rsidP="00CF473C">
      <w:pPr>
        <w:pStyle w:val="Caption"/>
        <w:numPr>
          <w:ilvl w:val="0"/>
          <w:numId w:val="0"/>
        </w:numPr>
        <w:rPr>
          <w:rFonts w:cstheme="minorHAnsi"/>
        </w:rPr>
      </w:pPr>
      <w:bookmarkStart w:id="258" w:name="_Ref453173426"/>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88</w:t>
      </w:r>
      <w:r w:rsidR="009D6600" w:rsidRPr="00747E35">
        <w:rPr>
          <w:rFonts w:cstheme="minorHAnsi"/>
          <w:noProof/>
        </w:rPr>
        <w:fldChar w:fldCharType="end"/>
      </w:r>
      <w:bookmarkEnd w:id="258"/>
      <w:r w:rsidRPr="00747E35">
        <w:rPr>
          <w:rFonts w:cstheme="minorHAnsi"/>
        </w:rPr>
        <w:t xml:space="preserve">: Maules Creek catchment hyporheic sites global principal components (PC) analysis of the </w:t>
      </w:r>
      <w:r w:rsidR="006B2C7A">
        <w:rPr>
          <w:rFonts w:cstheme="minorHAnsi"/>
        </w:rPr>
        <w:t>physicochemical</w:t>
      </w:r>
      <w:r w:rsidRPr="00747E35">
        <w:rPr>
          <w:rFonts w:cstheme="minorHAnsi"/>
        </w:rPr>
        <w:t xml:space="preserve"> variables of the hyporheic samples showing axes PC1 and PC2 (excluding intermittent losing Middle Creek and East Lynne sites). The variables associated with each component are shown by dashed lines with the length of each line indicating the relative strength of its contribution.</w:t>
      </w:r>
    </w:p>
    <w:p w14:paraId="370E8D1A" w14:textId="77777777" w:rsidR="003D3694" w:rsidRPr="00747E35" w:rsidRDefault="003D3694" w:rsidP="003D3694">
      <w:pPr>
        <w:rPr>
          <w:rFonts w:asciiTheme="minorHAnsi" w:hAnsiTheme="minorHAnsi" w:cstheme="minorHAnsi"/>
        </w:rPr>
      </w:pPr>
    </w:p>
    <w:p w14:paraId="4447DCC9" w14:textId="77777777" w:rsidR="003D3694" w:rsidRPr="00747E35" w:rsidRDefault="003D3694" w:rsidP="00CF473C">
      <w:pPr>
        <w:pStyle w:val="Caption"/>
        <w:numPr>
          <w:ilvl w:val="0"/>
          <w:numId w:val="0"/>
        </w:numPr>
        <w:jc w:val="center"/>
        <w:rPr>
          <w:rFonts w:cstheme="minorHAnsi"/>
        </w:rPr>
      </w:pPr>
      <w:bookmarkStart w:id="259" w:name="_Ref453173174"/>
      <w:r w:rsidRPr="00747E35">
        <w:rPr>
          <w:rFonts w:cstheme="minorHAnsi"/>
          <w:noProof/>
          <w:lang w:eastAsia="en-AU"/>
        </w:rPr>
        <w:lastRenderedPageBreak/>
        <w:drawing>
          <wp:inline distT="0" distB="0" distL="0" distR="0" wp14:anchorId="734ACA9B" wp14:editId="604F98F0">
            <wp:extent cx="6227809" cy="3295650"/>
            <wp:effectExtent l="0" t="0" r="1905" b="0"/>
            <wp:docPr id="289" name="Picture 289" descr="Bi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LD global PC1 &amp; 2 (incl loadings).tif"/>
                    <pic:cNvPicPr/>
                  </pic:nvPicPr>
                  <pic:blipFill rotWithShape="1">
                    <a:blip r:embed="rId138" cstate="screen">
                      <a:extLst>
                        <a:ext uri="{28A0092B-C50C-407E-A947-70E740481C1C}">
                          <a14:useLocalDpi xmlns:a14="http://schemas.microsoft.com/office/drawing/2010/main"/>
                        </a:ext>
                      </a:extLst>
                    </a:blip>
                    <a:srcRect/>
                    <a:stretch/>
                  </pic:blipFill>
                  <pic:spPr bwMode="auto">
                    <a:xfrm>
                      <a:off x="0" y="0"/>
                      <a:ext cx="6237124" cy="3300579"/>
                    </a:xfrm>
                    <a:prstGeom prst="rect">
                      <a:avLst/>
                    </a:prstGeom>
                    <a:ln>
                      <a:noFill/>
                    </a:ln>
                    <a:extLst>
                      <a:ext uri="{53640926-AAD7-44D8-BBD7-CCE9431645EC}">
                        <a14:shadowObscured xmlns:a14="http://schemas.microsoft.com/office/drawing/2010/main"/>
                      </a:ext>
                    </a:extLst>
                  </pic:spPr>
                </pic:pic>
              </a:graphicData>
            </a:graphic>
          </wp:inline>
        </w:drawing>
      </w:r>
    </w:p>
    <w:p w14:paraId="13EDE9A8" w14:textId="5C4B169D" w:rsidR="003D3694" w:rsidRPr="00747E35" w:rsidRDefault="003D3694" w:rsidP="00CF473C">
      <w:pPr>
        <w:pStyle w:val="Caption"/>
        <w:numPr>
          <w:ilvl w:val="0"/>
          <w:numId w:val="0"/>
        </w:numPr>
        <w:rPr>
          <w:rFonts w:cstheme="minorHAnsi"/>
        </w:rPr>
      </w:pPr>
      <w:bookmarkStart w:id="260" w:name="_Ref453304936"/>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89</w:t>
      </w:r>
      <w:r w:rsidR="009D6600" w:rsidRPr="00747E35">
        <w:rPr>
          <w:rFonts w:cstheme="minorHAnsi"/>
          <w:noProof/>
        </w:rPr>
        <w:fldChar w:fldCharType="end"/>
      </w:r>
      <w:bookmarkEnd w:id="260"/>
      <w:r w:rsidRPr="00747E35">
        <w:rPr>
          <w:rFonts w:cstheme="minorHAnsi"/>
        </w:rPr>
        <w:t>:</w:t>
      </w:r>
      <w:bookmarkEnd w:id="259"/>
      <w:r w:rsidRPr="00747E35">
        <w:rPr>
          <w:rFonts w:cstheme="minorHAnsi"/>
        </w:rPr>
        <w:t xml:space="preserve"> Upper Bremer catchment hyporheic sites global principal components (PC) analysis of the </w:t>
      </w:r>
      <w:r w:rsidR="006B2C7A">
        <w:rPr>
          <w:rFonts w:cstheme="minorHAnsi"/>
        </w:rPr>
        <w:t>physicochemical</w:t>
      </w:r>
      <w:r w:rsidRPr="00747E35">
        <w:rPr>
          <w:rFonts w:cstheme="minorHAnsi"/>
        </w:rPr>
        <w:t xml:space="preserve"> parameters of the hyporheic samples showing axes PC1 and PC2. The variables associated with each component are shown by dashed lines with the length of each line indicating the relative strength of its contribution.</w:t>
      </w:r>
    </w:p>
    <w:p w14:paraId="29299552" w14:textId="77777777" w:rsidR="003D3694" w:rsidRPr="00747E35" w:rsidRDefault="003D3694" w:rsidP="003D3694">
      <w:pPr>
        <w:rPr>
          <w:rFonts w:asciiTheme="minorHAnsi" w:hAnsiTheme="minorHAnsi" w:cstheme="minorHAnsi"/>
        </w:rPr>
      </w:pPr>
    </w:p>
    <w:p w14:paraId="3B52229C" w14:textId="3A1520B7" w:rsidR="003D3694" w:rsidRPr="00747E35" w:rsidRDefault="003D3694" w:rsidP="00CF473C">
      <w:pPr>
        <w:pStyle w:val="Heading3"/>
        <w:rPr>
          <w:rFonts w:asciiTheme="minorHAnsi" w:hAnsiTheme="minorHAnsi" w:cstheme="minorHAnsi"/>
        </w:rPr>
      </w:pPr>
      <w:bookmarkStart w:id="261" w:name="_Toc466449951"/>
      <w:bookmarkStart w:id="262" w:name="_Toc470004880"/>
      <w:r w:rsidRPr="00747E35">
        <w:rPr>
          <w:rFonts w:asciiTheme="minorHAnsi" w:hAnsiTheme="minorHAnsi" w:cstheme="minorHAnsi"/>
        </w:rPr>
        <w:t>Organic Matter Degradation Studies</w:t>
      </w:r>
      <w:bookmarkEnd w:id="261"/>
      <w:bookmarkEnd w:id="262"/>
    </w:p>
    <w:p w14:paraId="5906A0DF"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Results for the cellulose decomposition potential (CDP) experiments at Maules Creek catchment are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_Ref452277541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90</w:t>
      </w:r>
      <w:r w:rsidRPr="00747E35">
        <w:rPr>
          <w:rFonts w:asciiTheme="minorHAnsi" w:hAnsiTheme="minorHAnsi" w:cstheme="minorHAnsi"/>
        </w:rPr>
        <w:fldChar w:fldCharType="end"/>
      </w:r>
      <w:r w:rsidRPr="00747E35">
        <w:rPr>
          <w:rFonts w:asciiTheme="minorHAnsi" w:hAnsiTheme="minorHAnsi" w:cstheme="minorHAnsi"/>
        </w:rPr>
        <w:t xml:space="preserve">. Overall, Round 2 (March to April 2016) had higher cotton tensile force ratios, that is less degradation than Round 1 (September to October 2015). In general, hyporheic samples showed a greater loss of tensile strength than the corresponding surface samples. Within each round, differences in the tensile strength were related to both the environment (e.g. pool, riffle or dry gravel bar and surface or subsurface) for the cotton strip placement and hydrological condition (e.g. saturated, moist or dry). The gravel bar samples tended to show the smallest decrease in tensile strength (i.e. higher cotton tensile force ratio) than the pool and riffle samples. The samples for the perennial gaining section had the smallest variation for the pool and riffle samples. </w:t>
      </w:r>
    </w:p>
    <w:p w14:paraId="6E5681EC"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4A6CC329" wp14:editId="62A05886">
            <wp:extent cx="6010275" cy="3380780"/>
            <wp:effectExtent l="19050" t="19050" r="9525" b="10160"/>
            <wp:docPr id="42" name="Picture 42" descr="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FR Maules Creek Oct 2015 (Hyp).tif"/>
                    <pic:cNvPicPr/>
                  </pic:nvPicPr>
                  <pic:blipFill>
                    <a:blip r:embed="rId139" cstate="email">
                      <a:extLst>
                        <a:ext uri="{28A0092B-C50C-407E-A947-70E740481C1C}">
                          <a14:useLocalDpi xmlns:a14="http://schemas.microsoft.com/office/drawing/2010/main"/>
                        </a:ext>
                      </a:extLst>
                    </a:blip>
                    <a:stretch>
                      <a:fillRect/>
                    </a:stretch>
                  </pic:blipFill>
                  <pic:spPr bwMode="auto">
                    <a:xfrm>
                      <a:off x="0" y="0"/>
                      <a:ext cx="6019463" cy="338594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C31EB1" w14:textId="77777777" w:rsidR="003D3694" w:rsidRPr="00747E35" w:rsidRDefault="003D3694" w:rsidP="00CF473C">
      <w:pPr>
        <w:pStyle w:val="Caption"/>
        <w:numPr>
          <w:ilvl w:val="0"/>
          <w:numId w:val="0"/>
        </w:numPr>
        <w:rPr>
          <w:rFonts w:cstheme="minorHAnsi"/>
        </w:rPr>
      </w:pPr>
      <w:bookmarkStart w:id="263" w:name="_Ref452277541"/>
      <w:bookmarkStart w:id="264" w:name="_Ref44121027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90</w:t>
      </w:r>
      <w:r w:rsidR="009D6600" w:rsidRPr="00747E35">
        <w:rPr>
          <w:rFonts w:cstheme="minorHAnsi"/>
          <w:noProof/>
        </w:rPr>
        <w:fldChar w:fldCharType="end"/>
      </w:r>
      <w:bookmarkEnd w:id="263"/>
      <w:r w:rsidRPr="00747E35">
        <w:rPr>
          <w:rFonts w:cstheme="minorHAnsi"/>
        </w:rPr>
        <w:t>:</w:t>
      </w:r>
      <w:bookmarkEnd w:id="264"/>
      <w:r w:rsidRPr="00747E35">
        <w:rPr>
          <w:rFonts w:cstheme="minorHAnsi"/>
        </w:rPr>
        <w:t xml:space="preserve"> Cotton strip tensile force ratio results for Maules Creek catchment – Round 1 upper panels, Round 2 lower panels, surface environments left panels and hyporheic environments right panels. Force ratio values closer to one represent less cellulose decomposition than values closer to zero. The x-axis represents longitudinal distance (not to scale) along the channel (left upstream, right more downstream) in each study reach and the grey bars separate the different study sites. </w:t>
      </w:r>
    </w:p>
    <w:p w14:paraId="637D2BC3" w14:textId="77777777" w:rsidR="003D3694" w:rsidRPr="00747E35" w:rsidRDefault="003D3694" w:rsidP="003D3694">
      <w:pPr>
        <w:rPr>
          <w:rFonts w:asciiTheme="minorHAnsi" w:hAnsiTheme="minorHAnsi" w:cstheme="minorHAnsi"/>
        </w:rPr>
      </w:pPr>
    </w:p>
    <w:p w14:paraId="5404D246"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effect of moisture status on cotton strip degradation is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_Ref453153251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Figure 91</w:t>
      </w:r>
      <w:r w:rsidRPr="00747E35">
        <w:rPr>
          <w:rFonts w:asciiTheme="minorHAnsi" w:hAnsiTheme="minorHAnsi" w:cstheme="minorHAnsi"/>
        </w:rPr>
        <w:fldChar w:fldCharType="end"/>
      </w:r>
      <w:r w:rsidRPr="00747E35">
        <w:rPr>
          <w:rFonts w:asciiTheme="minorHAnsi" w:hAnsiTheme="minorHAnsi" w:cstheme="minorHAnsi"/>
        </w:rPr>
        <w:t xml:space="preserve">. The cotton strips that remained dry or started saturated and became dry showed the least degradation (higher median cotton tensile force ratio) while the strips that remained saturated during the deployment showed the greatest degradation. The mixed categories (especially the moist-dry and saturated-moist) tended to display the largest variation, which could be related to the variable times for the transition in moisture status across the deployments. </w:t>
      </w:r>
    </w:p>
    <w:p w14:paraId="580399A0" w14:textId="77777777" w:rsidR="003D3694" w:rsidRPr="00747E35" w:rsidRDefault="003D3694" w:rsidP="003D3694">
      <w:pPr>
        <w:rPr>
          <w:rFonts w:asciiTheme="minorHAnsi" w:hAnsiTheme="minorHAnsi" w:cstheme="minorHAnsi"/>
        </w:rPr>
      </w:pPr>
    </w:p>
    <w:p w14:paraId="1D2972EF"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7DCE600E" wp14:editId="2464822B">
            <wp:extent cx="6112800" cy="4378448"/>
            <wp:effectExtent l="0" t="0" r="2540" b="3175"/>
            <wp:docPr id="4098" name="Picture 4098" descr="Box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tton box plot.tif"/>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6112800" cy="4378448"/>
                    </a:xfrm>
                    <a:prstGeom prst="rect">
                      <a:avLst/>
                    </a:prstGeom>
                    <a:ln>
                      <a:noFill/>
                    </a:ln>
                    <a:extLst>
                      <a:ext uri="{53640926-AAD7-44D8-BBD7-CCE9431645EC}">
                        <a14:shadowObscured xmlns:a14="http://schemas.microsoft.com/office/drawing/2010/main"/>
                      </a:ext>
                    </a:extLst>
                  </pic:spPr>
                </pic:pic>
              </a:graphicData>
            </a:graphic>
          </wp:inline>
        </w:drawing>
      </w:r>
    </w:p>
    <w:p w14:paraId="5A2AEC33" w14:textId="77777777" w:rsidR="003D3694" w:rsidRPr="00747E35" w:rsidRDefault="003D3694" w:rsidP="00CF473C">
      <w:pPr>
        <w:pStyle w:val="Caption"/>
        <w:numPr>
          <w:ilvl w:val="0"/>
          <w:numId w:val="0"/>
        </w:numPr>
        <w:rPr>
          <w:rFonts w:cstheme="minorHAnsi"/>
        </w:rPr>
      </w:pPr>
      <w:bookmarkStart w:id="265" w:name="_Ref453153251"/>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91</w:t>
      </w:r>
      <w:r w:rsidR="009D6600" w:rsidRPr="00747E35">
        <w:rPr>
          <w:rFonts w:cstheme="minorHAnsi"/>
          <w:noProof/>
        </w:rPr>
        <w:fldChar w:fldCharType="end"/>
      </w:r>
      <w:bookmarkEnd w:id="265"/>
      <w:r w:rsidRPr="00747E35">
        <w:rPr>
          <w:rFonts w:cstheme="minorHAnsi"/>
        </w:rPr>
        <w:t>: Median cotton tensile force ratio (CTFR) based on moisture status at the beginning and end of deployment for each Round with potential outliers shown as black hollow circles. (DD – dry; MD – moist to dry or vice versa; SD – saturated to dry; MM – moist; SM – saturated to moist; SS – saturated).</w:t>
      </w:r>
    </w:p>
    <w:p w14:paraId="3BB45544" w14:textId="77777777" w:rsidR="003D3694" w:rsidRPr="00747E35" w:rsidRDefault="003D3694" w:rsidP="003D3694">
      <w:pPr>
        <w:rPr>
          <w:rFonts w:asciiTheme="minorHAnsi" w:hAnsiTheme="minorHAnsi" w:cstheme="minorHAnsi"/>
        </w:rPr>
      </w:pPr>
    </w:p>
    <w:p w14:paraId="1037EB65" w14:textId="28D32244"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results for leaf packs are shown in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_Ref452277623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92</w:t>
      </w:r>
      <w:r w:rsidRPr="00747E35">
        <w:rPr>
          <w:rFonts w:asciiTheme="minorHAnsi" w:hAnsiTheme="minorHAnsi" w:cstheme="minorHAnsi"/>
          <w:highlight w:val="yellow"/>
        </w:rPr>
        <w:fldChar w:fldCharType="end"/>
      </w:r>
      <w:r w:rsidRPr="00747E35">
        <w:rPr>
          <w:rFonts w:asciiTheme="minorHAnsi" w:hAnsiTheme="minorHAnsi" w:cstheme="minorHAnsi"/>
        </w:rPr>
        <w:t>. Within individual plots, most leaf packs in coarse mesh bags showed a slightly greater mass loss than their corresponding leaf packs in fine mesh bags. The surface samples display a larger overall range of mass loss percentages than the hyporheic samples. With the surface deployments, the dry gravel bar samples consistently had the lowest mass loss. In general, the riffle samples had the highest mass loss; however, for the intermittent site (Middle Creek) the pool samples had higher mass losses than the riffle samples. With the hyporheic deployments, the range in % mass loss was narrower and is much more consistent across the treatments. In general, the hyporheic mass loss is greater than loss in the corresponding surface habitat with the exception of the riffle deployments in the perennial gaining section.</w:t>
      </w:r>
    </w:p>
    <w:p w14:paraId="4C4E456D" w14:textId="77777777" w:rsidR="003D3694" w:rsidRPr="00747E35" w:rsidRDefault="003D3694" w:rsidP="003D3694">
      <w:pPr>
        <w:rPr>
          <w:rFonts w:asciiTheme="minorHAnsi" w:hAnsiTheme="minorHAnsi" w:cstheme="minorHAnsi"/>
        </w:rPr>
      </w:pPr>
    </w:p>
    <w:p w14:paraId="71CA483A"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730228BB" wp14:editId="3FD4CE0C">
            <wp:extent cx="5981700" cy="3364706"/>
            <wp:effectExtent l="0" t="0" r="0" b="7620"/>
            <wp:docPr id="43" name="Picture 43" descr="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s loss Maules Creek Oct 2015 (Surf).tif"/>
                    <pic:cNvPicPr/>
                  </pic:nvPicPr>
                  <pic:blipFill>
                    <a:blip r:embed="rId141" cstate="email">
                      <a:extLst>
                        <a:ext uri="{28A0092B-C50C-407E-A947-70E740481C1C}">
                          <a14:useLocalDpi xmlns:a14="http://schemas.microsoft.com/office/drawing/2010/main"/>
                        </a:ext>
                      </a:extLst>
                    </a:blip>
                    <a:stretch>
                      <a:fillRect/>
                    </a:stretch>
                  </pic:blipFill>
                  <pic:spPr bwMode="auto">
                    <a:xfrm>
                      <a:off x="0" y="0"/>
                      <a:ext cx="5993846" cy="3371538"/>
                    </a:xfrm>
                    <a:prstGeom prst="rect">
                      <a:avLst/>
                    </a:prstGeom>
                    <a:ln>
                      <a:noFill/>
                    </a:ln>
                    <a:extLst>
                      <a:ext uri="{53640926-AAD7-44D8-BBD7-CCE9431645EC}">
                        <a14:shadowObscured xmlns:a14="http://schemas.microsoft.com/office/drawing/2010/main"/>
                      </a:ext>
                    </a:extLst>
                  </pic:spPr>
                </pic:pic>
              </a:graphicData>
            </a:graphic>
          </wp:inline>
        </w:drawing>
      </w:r>
    </w:p>
    <w:p w14:paraId="7841CCE8" w14:textId="77777777" w:rsidR="003D3694" w:rsidRPr="00747E35" w:rsidRDefault="003D3694" w:rsidP="00CF473C">
      <w:pPr>
        <w:pStyle w:val="Caption"/>
        <w:numPr>
          <w:ilvl w:val="0"/>
          <w:numId w:val="0"/>
        </w:numPr>
        <w:rPr>
          <w:rFonts w:cstheme="minorHAnsi"/>
        </w:rPr>
      </w:pPr>
      <w:bookmarkStart w:id="266" w:name="_Ref452277623"/>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92</w:t>
      </w:r>
      <w:r w:rsidR="009D6600" w:rsidRPr="00747E35">
        <w:rPr>
          <w:rFonts w:cstheme="minorHAnsi"/>
          <w:noProof/>
        </w:rPr>
        <w:fldChar w:fldCharType="end"/>
      </w:r>
      <w:bookmarkEnd w:id="266"/>
      <w:r w:rsidRPr="00747E35">
        <w:rPr>
          <w:rFonts w:cstheme="minorHAnsi"/>
        </w:rPr>
        <w:t xml:space="preserve">: Leaf litter degradation results for the Maules Creek catchment - Round 1 upper panels, Round 2 lower panels, surface environments left panels and hyporheic environments right panels. The x-axis represents approximate longitudinal distance along the channel in each study site and the grey bars separate the different study sites. Fine and coarse in legend refers to the mesh size of the leaf litter bags.      </w:t>
      </w:r>
    </w:p>
    <w:p w14:paraId="0F5ED998" w14:textId="77777777" w:rsidR="003D3694" w:rsidRPr="00747E35" w:rsidRDefault="003D3694" w:rsidP="003D3694">
      <w:pPr>
        <w:rPr>
          <w:rFonts w:asciiTheme="minorHAnsi" w:hAnsiTheme="minorHAnsi" w:cstheme="minorHAnsi"/>
        </w:rPr>
      </w:pPr>
    </w:p>
    <w:p w14:paraId="44CE52B1" w14:textId="46D64FDD"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average leaf litter mass remaining for each habitat and for each hydrological regime is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_Ref466378201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20</w:t>
      </w:r>
      <w:r w:rsidRPr="00747E35">
        <w:rPr>
          <w:rFonts w:asciiTheme="minorHAnsi" w:hAnsiTheme="minorHAnsi" w:cstheme="minorHAnsi"/>
        </w:rPr>
        <w:fldChar w:fldCharType="end"/>
      </w:r>
      <w:r w:rsidRPr="00747E35">
        <w:rPr>
          <w:rFonts w:asciiTheme="minorHAnsi" w:hAnsiTheme="minorHAnsi" w:cstheme="minorHAnsi"/>
        </w:rPr>
        <w:t>. Riffle samples generally had the highest leaf litter processing; however, for the intermittent site (Middle Creek) the pool samples had higher leaf litter processing</w:t>
      </w:r>
      <w:r w:rsidRPr="00747E35" w:rsidDel="00721DE5">
        <w:rPr>
          <w:rFonts w:asciiTheme="minorHAnsi" w:hAnsiTheme="minorHAnsi" w:cstheme="minorHAnsi"/>
        </w:rPr>
        <w:t xml:space="preserve"> </w:t>
      </w:r>
      <w:r w:rsidRPr="00747E35">
        <w:rPr>
          <w:rFonts w:asciiTheme="minorHAnsi" w:hAnsiTheme="minorHAnsi" w:cstheme="minorHAnsi"/>
        </w:rPr>
        <w:t>than the riffle samples. This is likely because as surface flow in this stream section ceased during the course of the deployment, the riffle sections dried first while the pools persisted. With the hyporheic deployments, the range of leaf litter processing</w:t>
      </w:r>
      <w:r w:rsidRPr="00747E35" w:rsidDel="00721DE5">
        <w:rPr>
          <w:rFonts w:asciiTheme="minorHAnsi" w:hAnsiTheme="minorHAnsi" w:cstheme="minorHAnsi"/>
        </w:rPr>
        <w:t xml:space="preserve"> </w:t>
      </w:r>
      <w:r w:rsidRPr="00747E35">
        <w:rPr>
          <w:rFonts w:asciiTheme="minorHAnsi" w:hAnsiTheme="minorHAnsi" w:cstheme="minorHAnsi"/>
        </w:rPr>
        <w:t>was narrower and much more consistent across treatments. In most cases, hyporheic leaf litter processing</w:t>
      </w:r>
      <w:r w:rsidRPr="00747E35" w:rsidDel="00721DE5">
        <w:rPr>
          <w:rFonts w:asciiTheme="minorHAnsi" w:hAnsiTheme="minorHAnsi" w:cstheme="minorHAnsi"/>
        </w:rPr>
        <w:t xml:space="preserve"> </w:t>
      </w:r>
      <w:r w:rsidRPr="00747E35">
        <w:rPr>
          <w:rFonts w:asciiTheme="minorHAnsi" w:hAnsiTheme="minorHAnsi" w:cstheme="minorHAnsi"/>
        </w:rPr>
        <w:t xml:space="preserve">was greater than processing in the corresponding surface habitat with the notable exception of the riffle deployments in the perennial gaining section. </w:t>
      </w:r>
    </w:p>
    <w:p w14:paraId="3A472C2A" w14:textId="77777777" w:rsidR="003D3694" w:rsidRPr="00747E35" w:rsidRDefault="003D3694" w:rsidP="00CF473C">
      <w:pPr>
        <w:pStyle w:val="Caption"/>
        <w:numPr>
          <w:ilvl w:val="0"/>
          <w:numId w:val="0"/>
        </w:numPr>
        <w:rPr>
          <w:rFonts w:cstheme="minorHAnsi"/>
        </w:rPr>
      </w:pPr>
      <w:bookmarkStart w:id="267" w:name="_Ref466378201"/>
      <w:r w:rsidRPr="00747E35">
        <w:rPr>
          <w:rFonts w:cstheme="minorHAnsi"/>
        </w:rPr>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20</w:t>
      </w:r>
      <w:r w:rsidR="009D6600" w:rsidRPr="00747E35">
        <w:rPr>
          <w:rFonts w:cstheme="minorHAnsi"/>
          <w:noProof/>
        </w:rPr>
        <w:fldChar w:fldCharType="end"/>
      </w:r>
      <w:bookmarkEnd w:id="267"/>
      <w:r w:rsidRPr="00747E35">
        <w:rPr>
          <w:rFonts w:cstheme="minorHAnsi"/>
        </w:rPr>
        <w:t>: Percentage leaf litter mass remaining at each habitat for each hydrological regime in each leaf pack deployment. Round 1 = September – October 2015; Round 2 = March – April 2016.</w:t>
      </w:r>
    </w:p>
    <w:tbl>
      <w:tblPr>
        <w:tblW w:w="8044" w:type="dxa"/>
        <w:jc w:val="center"/>
        <w:tblLook w:val="04A0" w:firstRow="1" w:lastRow="0" w:firstColumn="1" w:lastColumn="0" w:noHBand="0" w:noVBand="1"/>
      </w:tblPr>
      <w:tblGrid>
        <w:gridCol w:w="1975"/>
        <w:gridCol w:w="885"/>
        <w:gridCol w:w="1138"/>
        <w:gridCol w:w="885"/>
        <w:gridCol w:w="1138"/>
        <w:gridCol w:w="885"/>
        <w:gridCol w:w="1138"/>
      </w:tblGrid>
      <w:tr w:rsidR="003D3694" w:rsidRPr="00747E35" w14:paraId="7F7176CE" w14:textId="77777777" w:rsidTr="0096743A">
        <w:trPr>
          <w:trHeight w:val="290"/>
          <w:jc w:val="center"/>
        </w:trPr>
        <w:tc>
          <w:tcPr>
            <w:tcW w:w="1975" w:type="dxa"/>
            <w:vMerge w:val="restart"/>
            <w:tcBorders>
              <w:top w:val="single" w:sz="8" w:space="0" w:color="auto"/>
              <w:left w:val="single" w:sz="8" w:space="0" w:color="auto"/>
              <w:bottom w:val="single" w:sz="8" w:space="0" w:color="000000"/>
              <w:right w:val="single" w:sz="8" w:space="0" w:color="auto"/>
            </w:tcBorders>
            <w:shd w:val="clear" w:color="auto" w:fill="DEEAF6" w:themeFill="accent1" w:themeFillTint="33"/>
            <w:noWrap/>
            <w:vAlign w:val="bottom"/>
            <w:hideMark/>
          </w:tcPr>
          <w:p w14:paraId="57761542"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Round 1</w:t>
            </w:r>
          </w:p>
        </w:tc>
        <w:tc>
          <w:tcPr>
            <w:tcW w:w="2023" w:type="dxa"/>
            <w:gridSpan w:val="2"/>
            <w:tcBorders>
              <w:top w:val="single" w:sz="8" w:space="0" w:color="auto"/>
              <w:left w:val="nil"/>
              <w:bottom w:val="single" w:sz="4" w:space="0" w:color="auto"/>
              <w:right w:val="single" w:sz="4" w:space="0" w:color="auto"/>
            </w:tcBorders>
            <w:shd w:val="clear" w:color="auto" w:fill="DEEAF6" w:themeFill="accent1" w:themeFillTint="33"/>
            <w:noWrap/>
            <w:vAlign w:val="bottom"/>
            <w:hideMark/>
          </w:tcPr>
          <w:p w14:paraId="681A622F"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Riffle</w:t>
            </w:r>
          </w:p>
        </w:tc>
        <w:tc>
          <w:tcPr>
            <w:tcW w:w="2023" w:type="dxa"/>
            <w:gridSpan w:val="2"/>
            <w:tcBorders>
              <w:top w:val="single" w:sz="8" w:space="0" w:color="auto"/>
              <w:left w:val="nil"/>
              <w:bottom w:val="single" w:sz="4" w:space="0" w:color="auto"/>
              <w:right w:val="single" w:sz="4" w:space="0" w:color="auto"/>
            </w:tcBorders>
            <w:shd w:val="clear" w:color="auto" w:fill="DEEAF6" w:themeFill="accent1" w:themeFillTint="33"/>
            <w:noWrap/>
            <w:vAlign w:val="bottom"/>
            <w:hideMark/>
          </w:tcPr>
          <w:p w14:paraId="5735A3C7"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Pool</w:t>
            </w:r>
          </w:p>
        </w:tc>
        <w:tc>
          <w:tcPr>
            <w:tcW w:w="2023" w:type="dxa"/>
            <w:gridSpan w:val="2"/>
            <w:tcBorders>
              <w:top w:val="single" w:sz="8" w:space="0" w:color="auto"/>
              <w:left w:val="nil"/>
              <w:bottom w:val="single" w:sz="4" w:space="0" w:color="auto"/>
              <w:right w:val="single" w:sz="8" w:space="0" w:color="000000"/>
            </w:tcBorders>
            <w:shd w:val="clear" w:color="auto" w:fill="DEEAF6" w:themeFill="accent1" w:themeFillTint="33"/>
            <w:noWrap/>
            <w:vAlign w:val="bottom"/>
            <w:hideMark/>
          </w:tcPr>
          <w:p w14:paraId="3FD8E90D"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Bar</w:t>
            </w:r>
          </w:p>
        </w:tc>
      </w:tr>
      <w:tr w:rsidR="003D3694" w:rsidRPr="00747E35" w14:paraId="60AB85D5" w14:textId="77777777" w:rsidTr="0096743A">
        <w:trPr>
          <w:trHeight w:val="300"/>
          <w:jc w:val="center"/>
        </w:trPr>
        <w:tc>
          <w:tcPr>
            <w:tcW w:w="1975" w:type="dxa"/>
            <w:vMerge/>
            <w:tcBorders>
              <w:top w:val="single" w:sz="8" w:space="0" w:color="auto"/>
              <w:left w:val="single" w:sz="8" w:space="0" w:color="auto"/>
              <w:bottom w:val="single" w:sz="8" w:space="0" w:color="000000"/>
              <w:right w:val="single" w:sz="8" w:space="0" w:color="auto"/>
            </w:tcBorders>
            <w:shd w:val="clear" w:color="auto" w:fill="DEEAF6" w:themeFill="accent1" w:themeFillTint="33"/>
            <w:vAlign w:val="center"/>
            <w:hideMark/>
          </w:tcPr>
          <w:p w14:paraId="3EE7A9EF" w14:textId="77777777" w:rsidR="003D3694" w:rsidRPr="00747E35" w:rsidRDefault="003D3694" w:rsidP="0096743A">
            <w:pPr>
              <w:autoSpaceDE/>
              <w:autoSpaceDN/>
              <w:spacing w:after="0"/>
              <w:rPr>
                <w:rFonts w:asciiTheme="minorHAnsi" w:eastAsia="Times New Roman" w:hAnsiTheme="minorHAnsi" w:cstheme="minorHAnsi"/>
                <w:b/>
                <w:color w:val="000000"/>
                <w:lang w:eastAsia="en-AU"/>
              </w:rPr>
            </w:pPr>
          </w:p>
        </w:tc>
        <w:tc>
          <w:tcPr>
            <w:tcW w:w="885" w:type="dxa"/>
            <w:tcBorders>
              <w:top w:val="nil"/>
              <w:left w:val="nil"/>
              <w:bottom w:val="single" w:sz="8" w:space="0" w:color="auto"/>
              <w:right w:val="single" w:sz="4" w:space="0" w:color="auto"/>
            </w:tcBorders>
            <w:shd w:val="clear" w:color="auto" w:fill="DEEAF6" w:themeFill="accent1" w:themeFillTint="33"/>
            <w:noWrap/>
            <w:vAlign w:val="bottom"/>
            <w:hideMark/>
          </w:tcPr>
          <w:p w14:paraId="586EFB48"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Surface</w:t>
            </w:r>
          </w:p>
        </w:tc>
        <w:tc>
          <w:tcPr>
            <w:tcW w:w="1138" w:type="dxa"/>
            <w:tcBorders>
              <w:top w:val="nil"/>
              <w:left w:val="nil"/>
              <w:bottom w:val="single" w:sz="8" w:space="0" w:color="auto"/>
              <w:right w:val="single" w:sz="4" w:space="0" w:color="auto"/>
            </w:tcBorders>
            <w:shd w:val="clear" w:color="auto" w:fill="DEEAF6" w:themeFill="accent1" w:themeFillTint="33"/>
            <w:noWrap/>
            <w:vAlign w:val="bottom"/>
            <w:hideMark/>
          </w:tcPr>
          <w:p w14:paraId="34AAE19B"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Hyporheic</w:t>
            </w:r>
          </w:p>
        </w:tc>
        <w:tc>
          <w:tcPr>
            <w:tcW w:w="885" w:type="dxa"/>
            <w:tcBorders>
              <w:top w:val="nil"/>
              <w:left w:val="nil"/>
              <w:bottom w:val="single" w:sz="8" w:space="0" w:color="auto"/>
              <w:right w:val="single" w:sz="4" w:space="0" w:color="auto"/>
            </w:tcBorders>
            <w:shd w:val="clear" w:color="auto" w:fill="DEEAF6" w:themeFill="accent1" w:themeFillTint="33"/>
            <w:noWrap/>
            <w:vAlign w:val="bottom"/>
            <w:hideMark/>
          </w:tcPr>
          <w:p w14:paraId="1A9DD918"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Surface</w:t>
            </w:r>
          </w:p>
        </w:tc>
        <w:tc>
          <w:tcPr>
            <w:tcW w:w="1138" w:type="dxa"/>
            <w:tcBorders>
              <w:top w:val="nil"/>
              <w:left w:val="nil"/>
              <w:bottom w:val="single" w:sz="8" w:space="0" w:color="auto"/>
              <w:right w:val="single" w:sz="4" w:space="0" w:color="auto"/>
            </w:tcBorders>
            <w:shd w:val="clear" w:color="auto" w:fill="DEEAF6" w:themeFill="accent1" w:themeFillTint="33"/>
            <w:noWrap/>
            <w:vAlign w:val="bottom"/>
            <w:hideMark/>
          </w:tcPr>
          <w:p w14:paraId="349E22C5"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Hyporheic</w:t>
            </w:r>
          </w:p>
        </w:tc>
        <w:tc>
          <w:tcPr>
            <w:tcW w:w="885" w:type="dxa"/>
            <w:tcBorders>
              <w:top w:val="nil"/>
              <w:left w:val="nil"/>
              <w:bottom w:val="single" w:sz="8" w:space="0" w:color="auto"/>
              <w:right w:val="single" w:sz="4" w:space="0" w:color="auto"/>
            </w:tcBorders>
            <w:shd w:val="clear" w:color="auto" w:fill="DEEAF6" w:themeFill="accent1" w:themeFillTint="33"/>
            <w:noWrap/>
            <w:vAlign w:val="bottom"/>
            <w:hideMark/>
          </w:tcPr>
          <w:p w14:paraId="31A8AA1F"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Surface</w:t>
            </w:r>
          </w:p>
        </w:tc>
        <w:tc>
          <w:tcPr>
            <w:tcW w:w="1138" w:type="dxa"/>
            <w:tcBorders>
              <w:top w:val="nil"/>
              <w:left w:val="nil"/>
              <w:bottom w:val="single" w:sz="8" w:space="0" w:color="auto"/>
              <w:right w:val="single" w:sz="8" w:space="0" w:color="auto"/>
            </w:tcBorders>
            <w:shd w:val="clear" w:color="auto" w:fill="DEEAF6" w:themeFill="accent1" w:themeFillTint="33"/>
            <w:noWrap/>
            <w:vAlign w:val="bottom"/>
            <w:hideMark/>
          </w:tcPr>
          <w:p w14:paraId="2E9336D6"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Hyporheic</w:t>
            </w:r>
          </w:p>
        </w:tc>
      </w:tr>
      <w:tr w:rsidR="003D3694" w:rsidRPr="00747E35" w14:paraId="16F67172" w14:textId="77777777" w:rsidTr="0096743A">
        <w:trPr>
          <w:trHeight w:val="290"/>
          <w:jc w:val="center"/>
        </w:trPr>
        <w:tc>
          <w:tcPr>
            <w:tcW w:w="1975" w:type="dxa"/>
            <w:tcBorders>
              <w:top w:val="nil"/>
              <w:left w:val="single" w:sz="8" w:space="0" w:color="auto"/>
              <w:bottom w:val="nil"/>
              <w:right w:val="single" w:sz="8" w:space="0" w:color="auto"/>
            </w:tcBorders>
            <w:shd w:val="clear" w:color="auto" w:fill="auto"/>
            <w:noWrap/>
            <w:vAlign w:val="bottom"/>
            <w:hideMark/>
          </w:tcPr>
          <w:p w14:paraId="2F3A314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Intermittent</w:t>
            </w:r>
          </w:p>
        </w:tc>
        <w:tc>
          <w:tcPr>
            <w:tcW w:w="885" w:type="dxa"/>
            <w:tcBorders>
              <w:top w:val="nil"/>
              <w:left w:val="nil"/>
              <w:bottom w:val="single" w:sz="4" w:space="0" w:color="auto"/>
              <w:right w:val="single" w:sz="4" w:space="0" w:color="auto"/>
            </w:tcBorders>
            <w:shd w:val="clear" w:color="auto" w:fill="auto"/>
            <w:noWrap/>
            <w:vAlign w:val="bottom"/>
            <w:hideMark/>
          </w:tcPr>
          <w:p w14:paraId="6680E55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68.83</w:t>
            </w:r>
          </w:p>
        </w:tc>
        <w:tc>
          <w:tcPr>
            <w:tcW w:w="1138" w:type="dxa"/>
            <w:tcBorders>
              <w:top w:val="nil"/>
              <w:left w:val="nil"/>
              <w:bottom w:val="single" w:sz="4" w:space="0" w:color="auto"/>
              <w:right w:val="single" w:sz="4" w:space="0" w:color="auto"/>
            </w:tcBorders>
            <w:shd w:val="clear" w:color="auto" w:fill="auto"/>
            <w:noWrap/>
            <w:vAlign w:val="bottom"/>
            <w:hideMark/>
          </w:tcPr>
          <w:p w14:paraId="79EAA95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47.57</w:t>
            </w:r>
          </w:p>
        </w:tc>
        <w:tc>
          <w:tcPr>
            <w:tcW w:w="885" w:type="dxa"/>
            <w:tcBorders>
              <w:top w:val="nil"/>
              <w:left w:val="nil"/>
              <w:bottom w:val="single" w:sz="4" w:space="0" w:color="auto"/>
              <w:right w:val="single" w:sz="4" w:space="0" w:color="auto"/>
            </w:tcBorders>
            <w:shd w:val="clear" w:color="auto" w:fill="auto"/>
            <w:noWrap/>
            <w:vAlign w:val="bottom"/>
            <w:hideMark/>
          </w:tcPr>
          <w:p w14:paraId="3A7083E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56.16</w:t>
            </w:r>
          </w:p>
        </w:tc>
        <w:tc>
          <w:tcPr>
            <w:tcW w:w="1138" w:type="dxa"/>
            <w:tcBorders>
              <w:top w:val="nil"/>
              <w:left w:val="nil"/>
              <w:bottom w:val="single" w:sz="4" w:space="0" w:color="auto"/>
              <w:right w:val="single" w:sz="4" w:space="0" w:color="auto"/>
            </w:tcBorders>
            <w:shd w:val="clear" w:color="auto" w:fill="auto"/>
            <w:noWrap/>
            <w:vAlign w:val="bottom"/>
            <w:hideMark/>
          </w:tcPr>
          <w:p w14:paraId="0980AEB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49.38</w:t>
            </w:r>
          </w:p>
        </w:tc>
        <w:tc>
          <w:tcPr>
            <w:tcW w:w="885" w:type="dxa"/>
            <w:tcBorders>
              <w:top w:val="nil"/>
              <w:left w:val="nil"/>
              <w:bottom w:val="single" w:sz="4" w:space="0" w:color="auto"/>
              <w:right w:val="single" w:sz="4" w:space="0" w:color="auto"/>
            </w:tcBorders>
            <w:shd w:val="clear" w:color="auto" w:fill="auto"/>
            <w:noWrap/>
            <w:vAlign w:val="bottom"/>
            <w:hideMark/>
          </w:tcPr>
          <w:p w14:paraId="28BADFF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87.77</w:t>
            </w:r>
          </w:p>
        </w:tc>
        <w:tc>
          <w:tcPr>
            <w:tcW w:w="1138" w:type="dxa"/>
            <w:tcBorders>
              <w:top w:val="nil"/>
              <w:left w:val="nil"/>
              <w:bottom w:val="single" w:sz="4" w:space="0" w:color="auto"/>
              <w:right w:val="single" w:sz="8" w:space="0" w:color="auto"/>
            </w:tcBorders>
            <w:shd w:val="clear" w:color="auto" w:fill="auto"/>
            <w:noWrap/>
            <w:vAlign w:val="bottom"/>
            <w:hideMark/>
          </w:tcPr>
          <w:p w14:paraId="242E155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47.70</w:t>
            </w:r>
          </w:p>
        </w:tc>
      </w:tr>
      <w:tr w:rsidR="003D3694" w:rsidRPr="00747E35" w14:paraId="63A082A6" w14:textId="77777777" w:rsidTr="0096743A">
        <w:trPr>
          <w:trHeight w:val="290"/>
          <w:jc w:val="center"/>
        </w:trPr>
        <w:tc>
          <w:tcPr>
            <w:tcW w:w="1975" w:type="dxa"/>
            <w:tcBorders>
              <w:top w:val="nil"/>
              <w:left w:val="single" w:sz="8" w:space="0" w:color="auto"/>
              <w:bottom w:val="nil"/>
              <w:right w:val="single" w:sz="8" w:space="0" w:color="auto"/>
            </w:tcBorders>
            <w:shd w:val="clear" w:color="auto" w:fill="auto"/>
            <w:noWrap/>
            <w:vAlign w:val="bottom"/>
            <w:hideMark/>
          </w:tcPr>
          <w:p w14:paraId="076AE20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Perennial Gaining</w:t>
            </w:r>
          </w:p>
        </w:tc>
        <w:tc>
          <w:tcPr>
            <w:tcW w:w="885" w:type="dxa"/>
            <w:tcBorders>
              <w:top w:val="nil"/>
              <w:left w:val="nil"/>
              <w:bottom w:val="single" w:sz="4" w:space="0" w:color="auto"/>
              <w:right w:val="single" w:sz="4" w:space="0" w:color="auto"/>
            </w:tcBorders>
            <w:shd w:val="clear" w:color="auto" w:fill="auto"/>
            <w:noWrap/>
            <w:vAlign w:val="bottom"/>
            <w:hideMark/>
          </w:tcPr>
          <w:p w14:paraId="2A6E088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25.35</w:t>
            </w:r>
          </w:p>
        </w:tc>
        <w:tc>
          <w:tcPr>
            <w:tcW w:w="1138" w:type="dxa"/>
            <w:tcBorders>
              <w:top w:val="nil"/>
              <w:left w:val="nil"/>
              <w:bottom w:val="single" w:sz="4" w:space="0" w:color="auto"/>
              <w:right w:val="single" w:sz="4" w:space="0" w:color="auto"/>
            </w:tcBorders>
            <w:shd w:val="clear" w:color="auto" w:fill="auto"/>
            <w:noWrap/>
            <w:vAlign w:val="bottom"/>
            <w:hideMark/>
          </w:tcPr>
          <w:p w14:paraId="5A4AD32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54.58</w:t>
            </w:r>
          </w:p>
        </w:tc>
        <w:tc>
          <w:tcPr>
            <w:tcW w:w="885" w:type="dxa"/>
            <w:tcBorders>
              <w:top w:val="nil"/>
              <w:left w:val="nil"/>
              <w:bottom w:val="single" w:sz="4" w:space="0" w:color="auto"/>
              <w:right w:val="single" w:sz="4" w:space="0" w:color="auto"/>
            </w:tcBorders>
            <w:shd w:val="clear" w:color="auto" w:fill="auto"/>
            <w:noWrap/>
            <w:vAlign w:val="bottom"/>
            <w:hideMark/>
          </w:tcPr>
          <w:p w14:paraId="039449E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44.79</w:t>
            </w:r>
          </w:p>
        </w:tc>
        <w:tc>
          <w:tcPr>
            <w:tcW w:w="1138" w:type="dxa"/>
            <w:tcBorders>
              <w:top w:val="nil"/>
              <w:left w:val="nil"/>
              <w:bottom w:val="single" w:sz="4" w:space="0" w:color="auto"/>
              <w:right w:val="single" w:sz="4" w:space="0" w:color="auto"/>
            </w:tcBorders>
            <w:shd w:val="clear" w:color="auto" w:fill="auto"/>
            <w:noWrap/>
            <w:vAlign w:val="bottom"/>
            <w:hideMark/>
          </w:tcPr>
          <w:p w14:paraId="6AE3F39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46.03</w:t>
            </w:r>
          </w:p>
        </w:tc>
        <w:tc>
          <w:tcPr>
            <w:tcW w:w="885" w:type="dxa"/>
            <w:tcBorders>
              <w:top w:val="nil"/>
              <w:left w:val="nil"/>
              <w:bottom w:val="single" w:sz="4" w:space="0" w:color="auto"/>
              <w:right w:val="single" w:sz="4" w:space="0" w:color="auto"/>
            </w:tcBorders>
            <w:shd w:val="clear" w:color="auto" w:fill="auto"/>
            <w:noWrap/>
            <w:vAlign w:val="bottom"/>
            <w:hideMark/>
          </w:tcPr>
          <w:p w14:paraId="4605BFE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79.56</w:t>
            </w:r>
          </w:p>
        </w:tc>
        <w:tc>
          <w:tcPr>
            <w:tcW w:w="1138" w:type="dxa"/>
            <w:tcBorders>
              <w:top w:val="nil"/>
              <w:left w:val="nil"/>
              <w:bottom w:val="single" w:sz="4" w:space="0" w:color="auto"/>
              <w:right w:val="single" w:sz="8" w:space="0" w:color="auto"/>
            </w:tcBorders>
            <w:shd w:val="clear" w:color="auto" w:fill="auto"/>
            <w:noWrap/>
            <w:vAlign w:val="bottom"/>
            <w:hideMark/>
          </w:tcPr>
          <w:p w14:paraId="65A0C48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54.69</w:t>
            </w:r>
          </w:p>
        </w:tc>
      </w:tr>
      <w:tr w:rsidR="003D3694" w:rsidRPr="00747E35" w14:paraId="67B160AE" w14:textId="77777777" w:rsidTr="0096743A">
        <w:trPr>
          <w:trHeight w:val="300"/>
          <w:jc w:val="center"/>
        </w:trPr>
        <w:tc>
          <w:tcPr>
            <w:tcW w:w="1975" w:type="dxa"/>
            <w:tcBorders>
              <w:top w:val="nil"/>
              <w:left w:val="single" w:sz="8" w:space="0" w:color="auto"/>
              <w:bottom w:val="single" w:sz="8" w:space="0" w:color="auto"/>
              <w:right w:val="single" w:sz="8" w:space="0" w:color="auto"/>
            </w:tcBorders>
            <w:shd w:val="clear" w:color="auto" w:fill="auto"/>
            <w:noWrap/>
            <w:vAlign w:val="bottom"/>
            <w:hideMark/>
          </w:tcPr>
          <w:p w14:paraId="1FC1141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Perennial Losing</w:t>
            </w:r>
          </w:p>
        </w:tc>
        <w:tc>
          <w:tcPr>
            <w:tcW w:w="885" w:type="dxa"/>
            <w:tcBorders>
              <w:top w:val="nil"/>
              <w:left w:val="nil"/>
              <w:bottom w:val="single" w:sz="8" w:space="0" w:color="auto"/>
              <w:right w:val="single" w:sz="4" w:space="0" w:color="auto"/>
            </w:tcBorders>
            <w:shd w:val="clear" w:color="auto" w:fill="auto"/>
            <w:noWrap/>
            <w:vAlign w:val="bottom"/>
            <w:hideMark/>
          </w:tcPr>
          <w:p w14:paraId="4D2B8A0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53.53</w:t>
            </w:r>
          </w:p>
        </w:tc>
        <w:tc>
          <w:tcPr>
            <w:tcW w:w="1138" w:type="dxa"/>
            <w:tcBorders>
              <w:top w:val="nil"/>
              <w:left w:val="nil"/>
              <w:bottom w:val="single" w:sz="8" w:space="0" w:color="auto"/>
              <w:right w:val="single" w:sz="4" w:space="0" w:color="auto"/>
            </w:tcBorders>
            <w:shd w:val="clear" w:color="auto" w:fill="auto"/>
            <w:noWrap/>
            <w:vAlign w:val="bottom"/>
            <w:hideMark/>
          </w:tcPr>
          <w:p w14:paraId="1A5AC45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46.74</w:t>
            </w:r>
          </w:p>
        </w:tc>
        <w:tc>
          <w:tcPr>
            <w:tcW w:w="885" w:type="dxa"/>
            <w:tcBorders>
              <w:top w:val="nil"/>
              <w:left w:val="nil"/>
              <w:bottom w:val="single" w:sz="8" w:space="0" w:color="auto"/>
              <w:right w:val="single" w:sz="4" w:space="0" w:color="auto"/>
            </w:tcBorders>
            <w:shd w:val="clear" w:color="auto" w:fill="auto"/>
            <w:noWrap/>
            <w:vAlign w:val="bottom"/>
            <w:hideMark/>
          </w:tcPr>
          <w:p w14:paraId="272B5EB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58.11</w:t>
            </w:r>
          </w:p>
        </w:tc>
        <w:tc>
          <w:tcPr>
            <w:tcW w:w="1138" w:type="dxa"/>
            <w:tcBorders>
              <w:top w:val="nil"/>
              <w:left w:val="nil"/>
              <w:bottom w:val="single" w:sz="8" w:space="0" w:color="auto"/>
              <w:right w:val="single" w:sz="4" w:space="0" w:color="auto"/>
            </w:tcBorders>
            <w:shd w:val="clear" w:color="auto" w:fill="auto"/>
            <w:noWrap/>
            <w:vAlign w:val="bottom"/>
            <w:hideMark/>
          </w:tcPr>
          <w:p w14:paraId="45DCE71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53.95</w:t>
            </w:r>
          </w:p>
        </w:tc>
        <w:tc>
          <w:tcPr>
            <w:tcW w:w="885" w:type="dxa"/>
            <w:tcBorders>
              <w:top w:val="nil"/>
              <w:left w:val="nil"/>
              <w:bottom w:val="single" w:sz="8" w:space="0" w:color="auto"/>
              <w:right w:val="single" w:sz="4" w:space="0" w:color="auto"/>
            </w:tcBorders>
            <w:shd w:val="clear" w:color="auto" w:fill="auto"/>
            <w:noWrap/>
            <w:vAlign w:val="bottom"/>
            <w:hideMark/>
          </w:tcPr>
          <w:p w14:paraId="469A7D6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81.71</w:t>
            </w:r>
          </w:p>
        </w:tc>
        <w:tc>
          <w:tcPr>
            <w:tcW w:w="1138" w:type="dxa"/>
            <w:tcBorders>
              <w:top w:val="nil"/>
              <w:left w:val="nil"/>
              <w:bottom w:val="single" w:sz="8" w:space="0" w:color="auto"/>
              <w:right w:val="single" w:sz="8" w:space="0" w:color="auto"/>
            </w:tcBorders>
            <w:shd w:val="clear" w:color="auto" w:fill="auto"/>
            <w:noWrap/>
            <w:vAlign w:val="bottom"/>
            <w:hideMark/>
          </w:tcPr>
          <w:p w14:paraId="2FC9B1A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52.48</w:t>
            </w:r>
          </w:p>
        </w:tc>
      </w:tr>
      <w:tr w:rsidR="003D3694" w:rsidRPr="00747E35" w14:paraId="2EF0A9A1" w14:textId="77777777" w:rsidTr="0096743A">
        <w:trPr>
          <w:trHeight w:val="300"/>
          <w:jc w:val="center"/>
        </w:trPr>
        <w:tc>
          <w:tcPr>
            <w:tcW w:w="1975" w:type="dxa"/>
            <w:tcBorders>
              <w:top w:val="nil"/>
              <w:left w:val="single" w:sz="8" w:space="0" w:color="auto"/>
              <w:bottom w:val="single" w:sz="8" w:space="0" w:color="auto"/>
              <w:right w:val="single" w:sz="8" w:space="0" w:color="auto"/>
            </w:tcBorders>
            <w:shd w:val="clear" w:color="auto" w:fill="auto"/>
            <w:noWrap/>
            <w:vAlign w:val="bottom"/>
            <w:hideMark/>
          </w:tcPr>
          <w:p w14:paraId="1AD6ED9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Round 2</w:t>
            </w:r>
          </w:p>
        </w:tc>
        <w:tc>
          <w:tcPr>
            <w:tcW w:w="6069" w:type="dxa"/>
            <w:gridSpan w:val="6"/>
            <w:tcBorders>
              <w:top w:val="single" w:sz="8" w:space="0" w:color="auto"/>
              <w:left w:val="nil"/>
              <w:bottom w:val="single" w:sz="8" w:space="0" w:color="auto"/>
              <w:right w:val="single" w:sz="8" w:space="0" w:color="000000"/>
            </w:tcBorders>
            <w:shd w:val="clear" w:color="auto" w:fill="auto"/>
            <w:noWrap/>
            <w:vAlign w:val="bottom"/>
            <w:hideMark/>
          </w:tcPr>
          <w:p w14:paraId="4264C54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4325A0D6" w14:textId="77777777" w:rsidTr="0096743A">
        <w:trPr>
          <w:trHeight w:val="290"/>
          <w:jc w:val="center"/>
        </w:trPr>
        <w:tc>
          <w:tcPr>
            <w:tcW w:w="1975" w:type="dxa"/>
            <w:tcBorders>
              <w:top w:val="nil"/>
              <w:left w:val="single" w:sz="8" w:space="0" w:color="auto"/>
              <w:bottom w:val="nil"/>
              <w:right w:val="single" w:sz="8" w:space="0" w:color="auto"/>
            </w:tcBorders>
            <w:shd w:val="clear" w:color="auto" w:fill="auto"/>
            <w:noWrap/>
            <w:vAlign w:val="bottom"/>
            <w:hideMark/>
          </w:tcPr>
          <w:p w14:paraId="61A85CD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Intermittent</w:t>
            </w:r>
          </w:p>
        </w:tc>
        <w:tc>
          <w:tcPr>
            <w:tcW w:w="885" w:type="dxa"/>
            <w:tcBorders>
              <w:top w:val="nil"/>
              <w:left w:val="nil"/>
              <w:bottom w:val="single" w:sz="4" w:space="0" w:color="auto"/>
              <w:right w:val="single" w:sz="4" w:space="0" w:color="auto"/>
            </w:tcBorders>
            <w:shd w:val="clear" w:color="auto" w:fill="auto"/>
            <w:noWrap/>
            <w:vAlign w:val="bottom"/>
            <w:hideMark/>
          </w:tcPr>
          <w:p w14:paraId="12FF0F7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94.57</w:t>
            </w:r>
          </w:p>
        </w:tc>
        <w:tc>
          <w:tcPr>
            <w:tcW w:w="1138" w:type="dxa"/>
            <w:tcBorders>
              <w:top w:val="nil"/>
              <w:left w:val="nil"/>
              <w:bottom w:val="single" w:sz="4" w:space="0" w:color="auto"/>
              <w:right w:val="single" w:sz="4" w:space="0" w:color="auto"/>
            </w:tcBorders>
            <w:shd w:val="clear" w:color="auto" w:fill="auto"/>
            <w:noWrap/>
            <w:vAlign w:val="bottom"/>
            <w:hideMark/>
          </w:tcPr>
          <w:p w14:paraId="5E00C36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64.39</w:t>
            </w:r>
          </w:p>
        </w:tc>
        <w:tc>
          <w:tcPr>
            <w:tcW w:w="885" w:type="dxa"/>
            <w:tcBorders>
              <w:top w:val="nil"/>
              <w:left w:val="nil"/>
              <w:bottom w:val="single" w:sz="4" w:space="0" w:color="auto"/>
              <w:right w:val="single" w:sz="4" w:space="0" w:color="auto"/>
            </w:tcBorders>
            <w:shd w:val="clear" w:color="auto" w:fill="auto"/>
            <w:noWrap/>
            <w:vAlign w:val="bottom"/>
            <w:hideMark/>
          </w:tcPr>
          <w:p w14:paraId="5E56618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94.53</w:t>
            </w:r>
          </w:p>
        </w:tc>
        <w:tc>
          <w:tcPr>
            <w:tcW w:w="1138" w:type="dxa"/>
            <w:tcBorders>
              <w:top w:val="nil"/>
              <w:left w:val="nil"/>
              <w:bottom w:val="single" w:sz="4" w:space="0" w:color="auto"/>
              <w:right w:val="single" w:sz="4" w:space="0" w:color="auto"/>
            </w:tcBorders>
            <w:shd w:val="clear" w:color="auto" w:fill="auto"/>
            <w:noWrap/>
            <w:vAlign w:val="bottom"/>
            <w:hideMark/>
          </w:tcPr>
          <w:p w14:paraId="32E92B1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64.48</w:t>
            </w:r>
          </w:p>
        </w:tc>
        <w:tc>
          <w:tcPr>
            <w:tcW w:w="885" w:type="dxa"/>
            <w:tcBorders>
              <w:top w:val="nil"/>
              <w:left w:val="nil"/>
              <w:bottom w:val="single" w:sz="4" w:space="0" w:color="auto"/>
              <w:right w:val="single" w:sz="4" w:space="0" w:color="auto"/>
            </w:tcBorders>
            <w:shd w:val="clear" w:color="auto" w:fill="auto"/>
            <w:noWrap/>
            <w:vAlign w:val="bottom"/>
            <w:hideMark/>
          </w:tcPr>
          <w:p w14:paraId="362745D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94.42</w:t>
            </w:r>
          </w:p>
        </w:tc>
        <w:tc>
          <w:tcPr>
            <w:tcW w:w="1138" w:type="dxa"/>
            <w:tcBorders>
              <w:top w:val="nil"/>
              <w:left w:val="nil"/>
              <w:bottom w:val="single" w:sz="4" w:space="0" w:color="auto"/>
              <w:right w:val="single" w:sz="8" w:space="0" w:color="auto"/>
            </w:tcBorders>
            <w:shd w:val="clear" w:color="auto" w:fill="auto"/>
            <w:noWrap/>
            <w:vAlign w:val="bottom"/>
            <w:hideMark/>
          </w:tcPr>
          <w:p w14:paraId="1BAFD25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66.42</w:t>
            </w:r>
          </w:p>
        </w:tc>
      </w:tr>
      <w:tr w:rsidR="003D3694" w:rsidRPr="00747E35" w14:paraId="24C11807" w14:textId="77777777" w:rsidTr="0096743A">
        <w:trPr>
          <w:trHeight w:val="290"/>
          <w:jc w:val="center"/>
        </w:trPr>
        <w:tc>
          <w:tcPr>
            <w:tcW w:w="1975" w:type="dxa"/>
            <w:tcBorders>
              <w:top w:val="nil"/>
              <w:left w:val="single" w:sz="8" w:space="0" w:color="auto"/>
              <w:bottom w:val="nil"/>
              <w:right w:val="single" w:sz="8" w:space="0" w:color="auto"/>
            </w:tcBorders>
            <w:shd w:val="clear" w:color="auto" w:fill="auto"/>
            <w:noWrap/>
            <w:vAlign w:val="bottom"/>
            <w:hideMark/>
          </w:tcPr>
          <w:p w14:paraId="1597F8E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Perennial Gaining</w:t>
            </w:r>
          </w:p>
        </w:tc>
        <w:tc>
          <w:tcPr>
            <w:tcW w:w="885" w:type="dxa"/>
            <w:tcBorders>
              <w:top w:val="nil"/>
              <w:left w:val="nil"/>
              <w:bottom w:val="single" w:sz="4" w:space="0" w:color="auto"/>
              <w:right w:val="single" w:sz="4" w:space="0" w:color="auto"/>
            </w:tcBorders>
            <w:shd w:val="clear" w:color="auto" w:fill="auto"/>
            <w:noWrap/>
            <w:vAlign w:val="bottom"/>
            <w:hideMark/>
          </w:tcPr>
          <w:p w14:paraId="0235650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32.48</w:t>
            </w:r>
          </w:p>
        </w:tc>
        <w:tc>
          <w:tcPr>
            <w:tcW w:w="1138" w:type="dxa"/>
            <w:tcBorders>
              <w:top w:val="nil"/>
              <w:left w:val="nil"/>
              <w:bottom w:val="single" w:sz="4" w:space="0" w:color="auto"/>
              <w:right w:val="single" w:sz="4" w:space="0" w:color="auto"/>
            </w:tcBorders>
            <w:shd w:val="clear" w:color="auto" w:fill="auto"/>
            <w:noWrap/>
            <w:vAlign w:val="bottom"/>
            <w:hideMark/>
          </w:tcPr>
          <w:p w14:paraId="5570A71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55.84</w:t>
            </w:r>
          </w:p>
        </w:tc>
        <w:tc>
          <w:tcPr>
            <w:tcW w:w="885" w:type="dxa"/>
            <w:tcBorders>
              <w:top w:val="nil"/>
              <w:left w:val="nil"/>
              <w:bottom w:val="single" w:sz="4" w:space="0" w:color="auto"/>
              <w:right w:val="single" w:sz="4" w:space="0" w:color="auto"/>
            </w:tcBorders>
            <w:shd w:val="clear" w:color="auto" w:fill="auto"/>
            <w:noWrap/>
            <w:vAlign w:val="bottom"/>
            <w:hideMark/>
          </w:tcPr>
          <w:p w14:paraId="5DC6DB0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53.00</w:t>
            </w:r>
          </w:p>
        </w:tc>
        <w:tc>
          <w:tcPr>
            <w:tcW w:w="1138" w:type="dxa"/>
            <w:tcBorders>
              <w:top w:val="nil"/>
              <w:left w:val="nil"/>
              <w:bottom w:val="single" w:sz="4" w:space="0" w:color="auto"/>
              <w:right w:val="single" w:sz="4" w:space="0" w:color="auto"/>
            </w:tcBorders>
            <w:shd w:val="clear" w:color="auto" w:fill="auto"/>
            <w:noWrap/>
            <w:vAlign w:val="bottom"/>
            <w:hideMark/>
          </w:tcPr>
          <w:p w14:paraId="30CD527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50.43</w:t>
            </w:r>
          </w:p>
        </w:tc>
        <w:tc>
          <w:tcPr>
            <w:tcW w:w="885" w:type="dxa"/>
            <w:tcBorders>
              <w:top w:val="nil"/>
              <w:left w:val="nil"/>
              <w:bottom w:val="single" w:sz="4" w:space="0" w:color="auto"/>
              <w:right w:val="single" w:sz="4" w:space="0" w:color="auto"/>
            </w:tcBorders>
            <w:shd w:val="clear" w:color="auto" w:fill="auto"/>
            <w:noWrap/>
            <w:vAlign w:val="bottom"/>
            <w:hideMark/>
          </w:tcPr>
          <w:p w14:paraId="4FE17E8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89.78</w:t>
            </w:r>
          </w:p>
        </w:tc>
        <w:tc>
          <w:tcPr>
            <w:tcW w:w="1138" w:type="dxa"/>
            <w:tcBorders>
              <w:top w:val="nil"/>
              <w:left w:val="nil"/>
              <w:bottom w:val="single" w:sz="4" w:space="0" w:color="auto"/>
              <w:right w:val="single" w:sz="8" w:space="0" w:color="auto"/>
            </w:tcBorders>
            <w:shd w:val="clear" w:color="auto" w:fill="auto"/>
            <w:noWrap/>
            <w:vAlign w:val="bottom"/>
            <w:hideMark/>
          </w:tcPr>
          <w:p w14:paraId="18C04FC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59.84</w:t>
            </w:r>
          </w:p>
        </w:tc>
      </w:tr>
      <w:tr w:rsidR="003D3694" w:rsidRPr="00747E35" w14:paraId="17D0E2F8" w14:textId="77777777" w:rsidTr="0096743A">
        <w:trPr>
          <w:trHeight w:val="300"/>
          <w:jc w:val="center"/>
        </w:trPr>
        <w:tc>
          <w:tcPr>
            <w:tcW w:w="1975" w:type="dxa"/>
            <w:tcBorders>
              <w:top w:val="nil"/>
              <w:left w:val="single" w:sz="8" w:space="0" w:color="auto"/>
              <w:bottom w:val="single" w:sz="8" w:space="0" w:color="auto"/>
              <w:right w:val="single" w:sz="8" w:space="0" w:color="auto"/>
            </w:tcBorders>
            <w:shd w:val="clear" w:color="auto" w:fill="auto"/>
            <w:noWrap/>
            <w:vAlign w:val="bottom"/>
            <w:hideMark/>
          </w:tcPr>
          <w:p w14:paraId="1EC387C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Perennial Losing</w:t>
            </w:r>
          </w:p>
        </w:tc>
        <w:tc>
          <w:tcPr>
            <w:tcW w:w="885" w:type="dxa"/>
            <w:tcBorders>
              <w:top w:val="nil"/>
              <w:left w:val="nil"/>
              <w:bottom w:val="single" w:sz="8" w:space="0" w:color="auto"/>
              <w:right w:val="single" w:sz="4" w:space="0" w:color="auto"/>
            </w:tcBorders>
            <w:shd w:val="clear" w:color="auto" w:fill="auto"/>
            <w:noWrap/>
            <w:vAlign w:val="bottom"/>
            <w:hideMark/>
          </w:tcPr>
          <w:p w14:paraId="4E3BCE5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91.42</w:t>
            </w:r>
          </w:p>
        </w:tc>
        <w:tc>
          <w:tcPr>
            <w:tcW w:w="1138" w:type="dxa"/>
            <w:tcBorders>
              <w:top w:val="nil"/>
              <w:left w:val="nil"/>
              <w:bottom w:val="single" w:sz="8" w:space="0" w:color="auto"/>
              <w:right w:val="single" w:sz="4" w:space="0" w:color="auto"/>
            </w:tcBorders>
            <w:shd w:val="clear" w:color="auto" w:fill="auto"/>
            <w:noWrap/>
            <w:vAlign w:val="bottom"/>
            <w:hideMark/>
          </w:tcPr>
          <w:p w14:paraId="676756D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56.44</w:t>
            </w:r>
          </w:p>
        </w:tc>
        <w:tc>
          <w:tcPr>
            <w:tcW w:w="885" w:type="dxa"/>
            <w:tcBorders>
              <w:top w:val="nil"/>
              <w:left w:val="nil"/>
              <w:bottom w:val="single" w:sz="8" w:space="0" w:color="auto"/>
              <w:right w:val="single" w:sz="4" w:space="0" w:color="auto"/>
            </w:tcBorders>
            <w:shd w:val="clear" w:color="auto" w:fill="auto"/>
            <w:noWrap/>
            <w:vAlign w:val="bottom"/>
            <w:hideMark/>
          </w:tcPr>
          <w:p w14:paraId="027B464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86.95</w:t>
            </w:r>
          </w:p>
        </w:tc>
        <w:tc>
          <w:tcPr>
            <w:tcW w:w="1138" w:type="dxa"/>
            <w:tcBorders>
              <w:top w:val="nil"/>
              <w:left w:val="nil"/>
              <w:bottom w:val="single" w:sz="8" w:space="0" w:color="auto"/>
              <w:right w:val="single" w:sz="4" w:space="0" w:color="auto"/>
            </w:tcBorders>
            <w:shd w:val="clear" w:color="auto" w:fill="auto"/>
            <w:noWrap/>
            <w:vAlign w:val="bottom"/>
            <w:hideMark/>
          </w:tcPr>
          <w:p w14:paraId="4E43F94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61.34</w:t>
            </w:r>
          </w:p>
        </w:tc>
        <w:tc>
          <w:tcPr>
            <w:tcW w:w="885" w:type="dxa"/>
            <w:tcBorders>
              <w:top w:val="nil"/>
              <w:left w:val="nil"/>
              <w:bottom w:val="single" w:sz="8" w:space="0" w:color="auto"/>
              <w:right w:val="single" w:sz="4" w:space="0" w:color="auto"/>
            </w:tcBorders>
            <w:shd w:val="clear" w:color="auto" w:fill="auto"/>
            <w:noWrap/>
            <w:vAlign w:val="bottom"/>
            <w:hideMark/>
          </w:tcPr>
          <w:p w14:paraId="20BE9FF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93.17</w:t>
            </w:r>
          </w:p>
        </w:tc>
        <w:tc>
          <w:tcPr>
            <w:tcW w:w="1138" w:type="dxa"/>
            <w:tcBorders>
              <w:top w:val="nil"/>
              <w:left w:val="nil"/>
              <w:bottom w:val="single" w:sz="8" w:space="0" w:color="auto"/>
              <w:right w:val="single" w:sz="8" w:space="0" w:color="auto"/>
            </w:tcBorders>
            <w:shd w:val="clear" w:color="auto" w:fill="auto"/>
            <w:noWrap/>
            <w:vAlign w:val="bottom"/>
            <w:hideMark/>
          </w:tcPr>
          <w:p w14:paraId="4C0C882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58.57</w:t>
            </w:r>
          </w:p>
        </w:tc>
      </w:tr>
    </w:tbl>
    <w:p w14:paraId="439FF58C" w14:textId="77777777" w:rsidR="003D3694" w:rsidRPr="00747E35" w:rsidRDefault="003D3694" w:rsidP="003D3694">
      <w:pPr>
        <w:rPr>
          <w:rFonts w:asciiTheme="minorHAnsi" w:hAnsiTheme="minorHAnsi" w:cstheme="minorHAnsi"/>
        </w:rPr>
      </w:pPr>
    </w:p>
    <w:p w14:paraId="6A9BD133" w14:textId="26C29DDD" w:rsidR="003D3694" w:rsidRPr="00747E35" w:rsidRDefault="003D3694" w:rsidP="003D3694">
      <w:pPr>
        <w:rPr>
          <w:rFonts w:asciiTheme="minorHAnsi" w:hAnsiTheme="minorHAnsi" w:cstheme="minorHAnsi"/>
        </w:rPr>
      </w:pPr>
      <w:r w:rsidRPr="00747E35">
        <w:rPr>
          <w:rFonts w:asciiTheme="minorHAnsi" w:hAnsiTheme="minorHAnsi" w:cstheme="minorHAnsi"/>
        </w:rPr>
        <w:t>The effect of moisture status on the leaf litter processing</w:t>
      </w:r>
      <w:r w:rsidRPr="00747E35" w:rsidDel="00721DE5">
        <w:rPr>
          <w:rFonts w:asciiTheme="minorHAnsi" w:hAnsiTheme="minorHAnsi" w:cstheme="minorHAnsi"/>
        </w:rPr>
        <w:t xml:space="preserve"> </w:t>
      </w:r>
      <w:r w:rsidRPr="00747E35">
        <w:rPr>
          <w:rFonts w:asciiTheme="minorHAnsi" w:hAnsiTheme="minorHAnsi" w:cstheme="minorHAnsi"/>
        </w:rPr>
        <w:t xml:space="preserve">is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_Ref453302884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93</w:t>
      </w:r>
      <w:r w:rsidRPr="00747E35">
        <w:rPr>
          <w:rFonts w:asciiTheme="minorHAnsi" w:hAnsiTheme="minorHAnsi" w:cstheme="minorHAnsi"/>
        </w:rPr>
        <w:fldChar w:fldCharType="end"/>
      </w:r>
      <w:r w:rsidRPr="00747E35">
        <w:rPr>
          <w:rFonts w:asciiTheme="minorHAnsi" w:hAnsiTheme="minorHAnsi" w:cstheme="minorHAnsi"/>
        </w:rPr>
        <w:t xml:space="preserve"> (coarse and fine mesh combined). Overall processing</w:t>
      </w:r>
      <w:r w:rsidRPr="00747E35" w:rsidDel="00721DE5">
        <w:rPr>
          <w:rFonts w:asciiTheme="minorHAnsi" w:hAnsiTheme="minorHAnsi" w:cstheme="minorHAnsi"/>
        </w:rPr>
        <w:t xml:space="preserve"> </w:t>
      </w:r>
      <w:r w:rsidRPr="00747E35">
        <w:rPr>
          <w:rFonts w:asciiTheme="minorHAnsi" w:hAnsiTheme="minorHAnsi" w:cstheme="minorHAnsi"/>
        </w:rPr>
        <w:t>was more consistent within each moisture status category for leaf litter than for the cotton strips. As with the results from the cotton strips, the greatest leaf-litter processing</w:t>
      </w:r>
      <w:r w:rsidRPr="00747E35" w:rsidDel="00721DE5">
        <w:rPr>
          <w:rFonts w:asciiTheme="minorHAnsi" w:hAnsiTheme="minorHAnsi" w:cstheme="minorHAnsi"/>
        </w:rPr>
        <w:t xml:space="preserve"> </w:t>
      </w:r>
      <w:r w:rsidRPr="00747E35">
        <w:rPr>
          <w:rFonts w:asciiTheme="minorHAnsi" w:hAnsiTheme="minorHAnsi" w:cstheme="minorHAnsi"/>
        </w:rPr>
        <w:t xml:space="preserve">was for samples that remained saturated, and the samples that remained dry displayed the least leaf-litter processing, indicating that the greatest leaf degradation (by microbial activity, invertebrates and physical </w:t>
      </w:r>
      <w:r w:rsidRPr="00747E35">
        <w:rPr>
          <w:rFonts w:asciiTheme="minorHAnsi" w:hAnsiTheme="minorHAnsi" w:cstheme="minorHAnsi"/>
        </w:rPr>
        <w:lastRenderedPageBreak/>
        <w:t>processes) was in saturated substrates. For most categories, with the exception of Moist-Dry, Round 1 showed greater mass loss than Round 2.</w:t>
      </w:r>
    </w:p>
    <w:p w14:paraId="76B58D75"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4A563AA3" wp14:editId="42FC6C6E">
            <wp:extent cx="4410075" cy="3445219"/>
            <wp:effectExtent l="0" t="0" r="0" b="3175"/>
            <wp:docPr id="4105" name="Picture 4105" descr="Box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f box plot.tif"/>
                    <pic:cNvPicPr/>
                  </pic:nvPicPr>
                  <pic:blipFill rotWithShape="1">
                    <a:blip r:embed="rId142" cstate="screen">
                      <a:extLst>
                        <a:ext uri="{28A0092B-C50C-407E-A947-70E740481C1C}">
                          <a14:useLocalDpi xmlns:a14="http://schemas.microsoft.com/office/drawing/2010/main"/>
                        </a:ext>
                      </a:extLst>
                    </a:blip>
                    <a:srcRect/>
                    <a:stretch/>
                  </pic:blipFill>
                  <pic:spPr bwMode="auto">
                    <a:xfrm>
                      <a:off x="0" y="0"/>
                      <a:ext cx="4442630" cy="3470652"/>
                    </a:xfrm>
                    <a:prstGeom prst="rect">
                      <a:avLst/>
                    </a:prstGeom>
                    <a:ln>
                      <a:noFill/>
                    </a:ln>
                    <a:extLst>
                      <a:ext uri="{53640926-AAD7-44D8-BBD7-CCE9431645EC}">
                        <a14:shadowObscured xmlns:a14="http://schemas.microsoft.com/office/drawing/2010/main"/>
                      </a:ext>
                    </a:extLst>
                  </pic:spPr>
                </pic:pic>
              </a:graphicData>
            </a:graphic>
          </wp:inline>
        </w:drawing>
      </w:r>
    </w:p>
    <w:p w14:paraId="2E00ABFA" w14:textId="77777777" w:rsidR="003D3694" w:rsidRPr="00747E35" w:rsidRDefault="003D3694" w:rsidP="00CF473C">
      <w:pPr>
        <w:pStyle w:val="Caption"/>
        <w:numPr>
          <w:ilvl w:val="0"/>
          <w:numId w:val="0"/>
        </w:numPr>
        <w:rPr>
          <w:rFonts w:cstheme="minorHAnsi"/>
        </w:rPr>
      </w:pPr>
      <w:bookmarkStart w:id="268" w:name="_Ref453302884"/>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93</w:t>
      </w:r>
      <w:r w:rsidR="009D6600" w:rsidRPr="00747E35">
        <w:rPr>
          <w:rFonts w:cstheme="minorHAnsi"/>
          <w:noProof/>
        </w:rPr>
        <w:fldChar w:fldCharType="end"/>
      </w:r>
      <w:bookmarkEnd w:id="268"/>
      <w:r w:rsidRPr="00747E35">
        <w:rPr>
          <w:rFonts w:cstheme="minorHAnsi"/>
          <w:b/>
        </w:rPr>
        <w:t xml:space="preserve">: </w:t>
      </w:r>
      <w:r w:rsidRPr="00747E35">
        <w:rPr>
          <w:rFonts w:cstheme="minorHAnsi"/>
        </w:rPr>
        <w:t>Box-whisker plots displaying the median, lower and upper quartiles (25% and 75%), and minimum and maximum values excluding outliers (dots) of the percent leaf mass remaining in each moisture status category at the beginning and end of deployment for each round. (DD – dry; MD – moist to dry or vice versa; SD – saturated to dry; MM – moist; SM – saturated to moist; SS – saturated).</w:t>
      </w:r>
    </w:p>
    <w:p w14:paraId="6AD27401" w14:textId="77777777" w:rsidR="003D3694" w:rsidRPr="00747E35" w:rsidRDefault="003D3694" w:rsidP="003D3694">
      <w:pPr>
        <w:rPr>
          <w:rFonts w:asciiTheme="minorHAnsi" w:hAnsiTheme="minorHAnsi" w:cstheme="minorHAnsi"/>
        </w:rPr>
      </w:pPr>
    </w:p>
    <w:p w14:paraId="26B93091"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4C3EE48B" wp14:editId="53253F6C">
            <wp:extent cx="4895850" cy="3357557"/>
            <wp:effectExtent l="0" t="0" r="0" b="0"/>
            <wp:docPr id="293" name="Picture 293" descr="Bar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isture Status.tif"/>
                    <pic:cNvPicPr/>
                  </pic:nvPicPr>
                  <pic:blipFill rotWithShape="1">
                    <a:blip r:embed="rId143" cstate="screen">
                      <a:extLst>
                        <a:ext uri="{28A0092B-C50C-407E-A947-70E740481C1C}">
                          <a14:useLocalDpi xmlns:a14="http://schemas.microsoft.com/office/drawing/2010/main"/>
                        </a:ext>
                      </a:extLst>
                    </a:blip>
                    <a:srcRect/>
                    <a:stretch/>
                  </pic:blipFill>
                  <pic:spPr bwMode="auto">
                    <a:xfrm>
                      <a:off x="0" y="0"/>
                      <a:ext cx="4906232" cy="3364677"/>
                    </a:xfrm>
                    <a:prstGeom prst="rect">
                      <a:avLst/>
                    </a:prstGeom>
                    <a:ln>
                      <a:noFill/>
                    </a:ln>
                    <a:extLst>
                      <a:ext uri="{53640926-AAD7-44D8-BBD7-CCE9431645EC}">
                        <a14:shadowObscured xmlns:a14="http://schemas.microsoft.com/office/drawing/2010/main"/>
                      </a:ext>
                    </a:extLst>
                  </pic:spPr>
                </pic:pic>
              </a:graphicData>
            </a:graphic>
          </wp:inline>
        </w:drawing>
      </w:r>
    </w:p>
    <w:p w14:paraId="2988FB3A" w14:textId="77777777" w:rsidR="003D3694" w:rsidRPr="00747E35" w:rsidRDefault="003D3694" w:rsidP="00CF473C">
      <w:pPr>
        <w:pStyle w:val="Caption"/>
        <w:numPr>
          <w:ilvl w:val="0"/>
          <w:numId w:val="0"/>
        </w:numPr>
        <w:rPr>
          <w:rFonts w:cstheme="minorHAnsi"/>
        </w:rPr>
      </w:pPr>
      <w:bookmarkStart w:id="269" w:name="_Ref46637696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94</w:t>
      </w:r>
      <w:r w:rsidR="009D6600" w:rsidRPr="00747E35">
        <w:rPr>
          <w:rFonts w:cstheme="minorHAnsi"/>
          <w:noProof/>
        </w:rPr>
        <w:fldChar w:fldCharType="end"/>
      </w:r>
      <w:bookmarkEnd w:id="269"/>
      <w:r w:rsidRPr="00747E35">
        <w:rPr>
          <w:rFonts w:cstheme="minorHAnsi"/>
        </w:rPr>
        <w:t>: Comparison between deployments of moisture status for each hydrological regime at Maules Creek catchment. (DD – dry; DM – moist to dry or vice versa; DS – saturated to dry; MM – moist; MS – saturated to moist; SS – saturated).</w:t>
      </w:r>
    </w:p>
    <w:p w14:paraId="141E4AD7" w14:textId="77777777" w:rsidR="00CF473C" w:rsidRPr="00747E35" w:rsidRDefault="00CF473C" w:rsidP="003D3694">
      <w:pPr>
        <w:rPr>
          <w:rFonts w:asciiTheme="minorHAnsi" w:hAnsiTheme="minorHAnsi" w:cstheme="minorHAnsi"/>
        </w:rPr>
      </w:pPr>
    </w:p>
    <w:p w14:paraId="231F4213" w14:textId="132EF331" w:rsidR="003D3694" w:rsidRPr="00747E35" w:rsidRDefault="003D3694" w:rsidP="003D3694">
      <w:pPr>
        <w:rPr>
          <w:rFonts w:asciiTheme="minorHAnsi" w:hAnsiTheme="minorHAnsi" w:cstheme="minorHAnsi"/>
        </w:rPr>
      </w:pPr>
      <w:r w:rsidRPr="00747E35">
        <w:rPr>
          <w:rFonts w:asciiTheme="minorHAnsi" w:hAnsiTheme="minorHAnsi" w:cstheme="minorHAnsi"/>
        </w:rPr>
        <w:lastRenderedPageBreak/>
        <w:t xml:space="preserve">The proportion of sites in each moisture status category in rounds 1 and 2 is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_Ref466376962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94</w:t>
      </w:r>
      <w:r w:rsidRPr="00747E35">
        <w:rPr>
          <w:rFonts w:asciiTheme="minorHAnsi" w:hAnsiTheme="minorHAnsi" w:cstheme="minorHAnsi"/>
        </w:rPr>
        <w:fldChar w:fldCharType="end"/>
      </w:r>
      <w:r w:rsidRPr="00747E35">
        <w:rPr>
          <w:rFonts w:asciiTheme="minorHAnsi" w:hAnsiTheme="minorHAnsi" w:cstheme="minorHAnsi"/>
        </w:rPr>
        <w:t>. The groundwater decline observed in the intermittent (Middle Creek) and the perennial losing (Maules Creek) sections was reflected in an increase of dry (including dry-moist) sites. The proportion of sites in each moisture status was relatively consistent for the perennial gaining section.</w:t>
      </w:r>
    </w:p>
    <w:p w14:paraId="0136990A" w14:textId="1520D4BE" w:rsidR="003D3694" w:rsidRPr="00747E35" w:rsidRDefault="003D3694" w:rsidP="003D3694">
      <w:pPr>
        <w:rPr>
          <w:rFonts w:asciiTheme="minorHAnsi" w:hAnsiTheme="minorHAnsi" w:cstheme="minorHAnsi"/>
        </w:rPr>
      </w:pPr>
      <w:r w:rsidRPr="00747E35">
        <w:rPr>
          <w:rFonts w:asciiTheme="minorHAnsi" w:hAnsiTheme="minorHAnsi" w:cstheme="minorHAnsi"/>
        </w:rPr>
        <w:fldChar w:fldCharType="begin"/>
      </w:r>
      <w:r w:rsidRPr="00747E35">
        <w:rPr>
          <w:rFonts w:asciiTheme="minorHAnsi" w:hAnsiTheme="minorHAnsi" w:cstheme="minorHAnsi"/>
        </w:rPr>
        <w:instrText xml:space="preserve"> REF _Ref467128630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Figure 95</w:t>
      </w:r>
      <w:r w:rsidRPr="00747E35">
        <w:rPr>
          <w:rFonts w:asciiTheme="minorHAnsi" w:hAnsiTheme="minorHAnsi" w:cstheme="minorHAnsi"/>
        </w:rPr>
        <w:fldChar w:fldCharType="end"/>
      </w:r>
      <w:r w:rsidRPr="00747E35">
        <w:rPr>
          <w:rFonts w:asciiTheme="minorHAnsi" w:hAnsiTheme="minorHAnsi" w:cstheme="minorHAnsi"/>
        </w:rPr>
        <w:t xml:space="preserve"> shows the measured temperature for the surface and hypohe</w:t>
      </w:r>
      <w:r w:rsidR="00C766C8">
        <w:rPr>
          <w:rFonts w:asciiTheme="minorHAnsi" w:hAnsiTheme="minorHAnsi" w:cstheme="minorHAnsi"/>
        </w:rPr>
        <w:t>r</w:t>
      </w:r>
      <w:r w:rsidRPr="00747E35">
        <w:rPr>
          <w:rFonts w:asciiTheme="minorHAnsi" w:hAnsiTheme="minorHAnsi" w:cstheme="minorHAnsi"/>
        </w:rPr>
        <w:t>ic site at Plot 13 in Pool 33, the perennial gaining section of Horsearm Creek. While both sites show diurnal fluctuations, the magnitude in these fluctuations and overall change is larger at the surface than in the hyporheic zone (~30 cm into the streambed).</w:t>
      </w:r>
    </w:p>
    <w:p w14:paraId="2699C8B6"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5DA8515F" wp14:editId="323F2B7B">
            <wp:extent cx="5731510" cy="2603500"/>
            <wp:effectExtent l="0" t="0" r="2540" b="6350"/>
            <wp:docPr id="44" name="Chart 44" descr="Time series chart">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2A04234-F430-4555-8283-0DDFE065A8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74B5AACF" w14:textId="77777777" w:rsidR="003D3694" w:rsidRPr="00747E35" w:rsidRDefault="003D3694" w:rsidP="003D3694">
      <w:pPr>
        <w:keepNext/>
        <w:rPr>
          <w:rFonts w:asciiTheme="minorHAnsi" w:hAnsiTheme="minorHAnsi" w:cstheme="minorHAnsi"/>
          <w:bCs/>
          <w:i/>
          <w:color w:val="5B9BD5" w:themeColor="accent1"/>
          <w:sz w:val="20"/>
          <w:szCs w:val="20"/>
        </w:rPr>
      </w:pPr>
      <w:bookmarkStart w:id="270" w:name="_Ref467128630"/>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bCs/>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bCs/>
          <w:i/>
          <w:color w:val="5B9BD5" w:themeColor="accent1"/>
          <w:sz w:val="20"/>
          <w:szCs w:val="20"/>
        </w:rPr>
        <w:fldChar w:fldCharType="separate"/>
      </w:r>
      <w:r w:rsidR="00D023DD">
        <w:rPr>
          <w:rFonts w:asciiTheme="minorHAnsi" w:hAnsiTheme="minorHAnsi" w:cstheme="minorHAnsi"/>
          <w:i/>
          <w:noProof/>
          <w:color w:val="5B9BD5" w:themeColor="accent1"/>
          <w:sz w:val="20"/>
          <w:szCs w:val="20"/>
        </w:rPr>
        <w:t>95</w:t>
      </w:r>
      <w:r w:rsidRPr="00747E35">
        <w:rPr>
          <w:rFonts w:asciiTheme="minorHAnsi" w:hAnsiTheme="minorHAnsi" w:cstheme="minorHAnsi"/>
          <w:bCs/>
          <w:i/>
          <w:color w:val="5B9BD5" w:themeColor="accent1"/>
          <w:sz w:val="20"/>
          <w:szCs w:val="20"/>
        </w:rPr>
        <w:fldChar w:fldCharType="end"/>
      </w:r>
      <w:bookmarkEnd w:id="270"/>
      <w:r w:rsidRPr="00747E35">
        <w:rPr>
          <w:rFonts w:asciiTheme="minorHAnsi" w:hAnsiTheme="minorHAnsi" w:cstheme="minorHAnsi"/>
          <w:i/>
          <w:color w:val="5B9BD5" w:themeColor="accent1"/>
          <w:sz w:val="20"/>
          <w:szCs w:val="20"/>
        </w:rPr>
        <w:t>: Comparison of surface and subsurface temperature from a HOBO logger deployed at Plot 13 in Pool 33 in the perennial gaining section of Horsearm Creek.</w:t>
      </w:r>
    </w:p>
    <w:p w14:paraId="7866B17B" w14:textId="0B34525B"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amount of leaf litter degradation was significantly different between the deployment rounds (p &lt; 0.001) but the amount of cotton strip degradation was not when changes in the moisture status were accounted for in a linear model. The results of the linear models for each round are summarised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_Ref466376618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21</w:t>
      </w:r>
      <w:r w:rsidRPr="00747E35">
        <w:rPr>
          <w:rFonts w:asciiTheme="minorHAnsi" w:hAnsiTheme="minorHAnsi" w:cstheme="minorHAnsi"/>
        </w:rPr>
        <w:fldChar w:fldCharType="end"/>
      </w:r>
      <w:r w:rsidRPr="00747E35">
        <w:rPr>
          <w:rFonts w:asciiTheme="minorHAnsi" w:hAnsiTheme="minorHAnsi" w:cstheme="minorHAnsi"/>
        </w:rPr>
        <w:t>. For each round, moisture status had the most significant impact on the mass loss of the leaf packs and degradation of the cotton strips. Depth (surface/hyporheic) also had a significant impact with Round 1 leaf packs. With the cotton strips, hydrological regime also had a significant impact for both rounds.</w:t>
      </w:r>
    </w:p>
    <w:p w14:paraId="16B3C208" w14:textId="77777777" w:rsidR="003D3694" w:rsidRPr="00747E35" w:rsidRDefault="003D3694" w:rsidP="00CF473C">
      <w:pPr>
        <w:pStyle w:val="Caption"/>
        <w:numPr>
          <w:ilvl w:val="0"/>
          <w:numId w:val="0"/>
        </w:numPr>
        <w:jc w:val="both"/>
        <w:rPr>
          <w:rFonts w:cstheme="minorHAnsi"/>
        </w:rPr>
      </w:pPr>
      <w:bookmarkStart w:id="271" w:name="_Ref466376618"/>
      <w:r w:rsidRPr="00747E35">
        <w:rPr>
          <w:rFonts w:cstheme="minorHAnsi"/>
        </w:rPr>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21</w:t>
      </w:r>
      <w:r w:rsidR="009D6600" w:rsidRPr="00747E35">
        <w:rPr>
          <w:rFonts w:cstheme="minorHAnsi"/>
          <w:noProof/>
        </w:rPr>
        <w:fldChar w:fldCharType="end"/>
      </w:r>
      <w:bookmarkEnd w:id="271"/>
      <w:r w:rsidRPr="00747E35">
        <w:rPr>
          <w:rFonts w:cstheme="minorHAnsi"/>
        </w:rPr>
        <w:t>: Results of the linear models for the leaf packs and cotton strips</w:t>
      </w:r>
    </w:p>
    <w:tbl>
      <w:tblPr>
        <w:tblW w:w="9016" w:type="dxa"/>
        <w:jc w:val="center"/>
        <w:tblLook w:val="04A0" w:firstRow="1" w:lastRow="0" w:firstColumn="1" w:lastColumn="0" w:noHBand="0" w:noVBand="1"/>
      </w:tblPr>
      <w:tblGrid>
        <w:gridCol w:w="846"/>
        <w:gridCol w:w="2044"/>
        <w:gridCol w:w="922"/>
        <w:gridCol w:w="1065"/>
        <w:gridCol w:w="2066"/>
        <w:gridCol w:w="995"/>
        <w:gridCol w:w="1078"/>
      </w:tblGrid>
      <w:tr w:rsidR="003D3694" w:rsidRPr="00747E35" w14:paraId="525A547B" w14:textId="77777777" w:rsidTr="0096743A">
        <w:trPr>
          <w:trHeight w:val="290"/>
          <w:jc w:val="center"/>
        </w:trPr>
        <w:tc>
          <w:tcPr>
            <w:tcW w:w="846" w:type="dxa"/>
            <w:vMerge w:val="restart"/>
            <w:tcBorders>
              <w:top w:val="single" w:sz="8" w:space="0" w:color="auto"/>
              <w:left w:val="single" w:sz="8" w:space="0" w:color="auto"/>
              <w:bottom w:val="single" w:sz="8" w:space="0" w:color="auto"/>
              <w:right w:val="single" w:sz="8" w:space="0" w:color="auto"/>
            </w:tcBorders>
            <w:shd w:val="clear" w:color="auto" w:fill="DEEAF6" w:themeFill="accent1" w:themeFillTint="33"/>
            <w:noWrap/>
            <w:vAlign w:val="bottom"/>
            <w:hideMark/>
          </w:tcPr>
          <w:p w14:paraId="09277A9C"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 </w:t>
            </w:r>
          </w:p>
        </w:tc>
        <w:tc>
          <w:tcPr>
            <w:tcW w:w="4031" w:type="dxa"/>
            <w:gridSpan w:val="3"/>
            <w:tcBorders>
              <w:top w:val="single" w:sz="8" w:space="0" w:color="auto"/>
              <w:left w:val="single" w:sz="8" w:space="0" w:color="auto"/>
              <w:bottom w:val="single" w:sz="4" w:space="0" w:color="auto"/>
              <w:right w:val="single" w:sz="8" w:space="0" w:color="000000"/>
            </w:tcBorders>
            <w:shd w:val="clear" w:color="auto" w:fill="DEEAF6" w:themeFill="accent1" w:themeFillTint="33"/>
            <w:noWrap/>
            <w:vAlign w:val="bottom"/>
            <w:hideMark/>
          </w:tcPr>
          <w:p w14:paraId="4A977402"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Leaf Packs</w:t>
            </w:r>
          </w:p>
        </w:tc>
        <w:tc>
          <w:tcPr>
            <w:tcW w:w="4139" w:type="dxa"/>
            <w:gridSpan w:val="3"/>
            <w:tcBorders>
              <w:top w:val="single" w:sz="8" w:space="0" w:color="auto"/>
              <w:left w:val="nil"/>
              <w:bottom w:val="single" w:sz="4" w:space="0" w:color="auto"/>
              <w:right w:val="single" w:sz="8" w:space="0" w:color="000000"/>
            </w:tcBorders>
            <w:shd w:val="clear" w:color="auto" w:fill="DEEAF6" w:themeFill="accent1" w:themeFillTint="33"/>
            <w:noWrap/>
            <w:vAlign w:val="bottom"/>
            <w:hideMark/>
          </w:tcPr>
          <w:p w14:paraId="2F4A598D"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Cotton strips</w:t>
            </w:r>
          </w:p>
        </w:tc>
      </w:tr>
      <w:tr w:rsidR="003D3694" w:rsidRPr="00747E35" w14:paraId="042CFF92" w14:textId="77777777" w:rsidTr="0096743A">
        <w:trPr>
          <w:trHeight w:val="300"/>
          <w:jc w:val="center"/>
        </w:trPr>
        <w:tc>
          <w:tcPr>
            <w:tcW w:w="846" w:type="dxa"/>
            <w:vMerge/>
            <w:tcBorders>
              <w:top w:val="single" w:sz="4" w:space="0" w:color="auto"/>
              <w:left w:val="single" w:sz="8" w:space="0" w:color="auto"/>
              <w:bottom w:val="single" w:sz="8" w:space="0" w:color="auto"/>
              <w:right w:val="single" w:sz="8" w:space="0" w:color="auto"/>
            </w:tcBorders>
            <w:shd w:val="clear" w:color="auto" w:fill="DEEAF6" w:themeFill="accent1" w:themeFillTint="33"/>
            <w:vAlign w:val="center"/>
            <w:hideMark/>
          </w:tcPr>
          <w:p w14:paraId="6E67DFDA" w14:textId="77777777" w:rsidR="003D3694" w:rsidRPr="00747E35" w:rsidRDefault="003D3694" w:rsidP="0096743A">
            <w:pPr>
              <w:pStyle w:val="TableHead"/>
              <w:spacing w:before="0" w:after="0"/>
              <w:rPr>
                <w:rFonts w:asciiTheme="minorHAnsi" w:hAnsiTheme="minorHAnsi" w:cstheme="minorHAnsi"/>
                <w:b w:val="0"/>
              </w:rPr>
            </w:pPr>
          </w:p>
        </w:tc>
        <w:tc>
          <w:tcPr>
            <w:tcW w:w="2044" w:type="dxa"/>
            <w:tcBorders>
              <w:top w:val="nil"/>
              <w:left w:val="single" w:sz="8" w:space="0" w:color="auto"/>
              <w:bottom w:val="nil"/>
              <w:right w:val="single" w:sz="4" w:space="0" w:color="auto"/>
            </w:tcBorders>
            <w:shd w:val="clear" w:color="auto" w:fill="DEEAF6" w:themeFill="accent1" w:themeFillTint="33"/>
            <w:noWrap/>
            <w:vAlign w:val="bottom"/>
            <w:hideMark/>
          </w:tcPr>
          <w:p w14:paraId="2203A0FD"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Variable</w:t>
            </w:r>
          </w:p>
        </w:tc>
        <w:tc>
          <w:tcPr>
            <w:tcW w:w="922" w:type="dxa"/>
            <w:tcBorders>
              <w:top w:val="nil"/>
              <w:left w:val="nil"/>
              <w:bottom w:val="nil"/>
              <w:right w:val="single" w:sz="4" w:space="0" w:color="auto"/>
            </w:tcBorders>
            <w:shd w:val="clear" w:color="auto" w:fill="DEEAF6" w:themeFill="accent1" w:themeFillTint="33"/>
            <w:noWrap/>
            <w:vAlign w:val="bottom"/>
            <w:hideMark/>
          </w:tcPr>
          <w:p w14:paraId="0043C7E1"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F value</w:t>
            </w:r>
          </w:p>
        </w:tc>
        <w:tc>
          <w:tcPr>
            <w:tcW w:w="1065" w:type="dxa"/>
            <w:tcBorders>
              <w:top w:val="nil"/>
              <w:left w:val="nil"/>
              <w:bottom w:val="nil"/>
              <w:right w:val="single" w:sz="8" w:space="0" w:color="auto"/>
            </w:tcBorders>
            <w:shd w:val="clear" w:color="auto" w:fill="DEEAF6" w:themeFill="accent1" w:themeFillTint="33"/>
            <w:noWrap/>
            <w:vAlign w:val="bottom"/>
            <w:hideMark/>
          </w:tcPr>
          <w:p w14:paraId="4357BE88"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p value</w:t>
            </w:r>
          </w:p>
        </w:tc>
        <w:tc>
          <w:tcPr>
            <w:tcW w:w="2066" w:type="dxa"/>
            <w:tcBorders>
              <w:top w:val="nil"/>
              <w:left w:val="nil"/>
              <w:bottom w:val="nil"/>
              <w:right w:val="single" w:sz="4" w:space="0" w:color="auto"/>
            </w:tcBorders>
            <w:shd w:val="clear" w:color="auto" w:fill="DEEAF6" w:themeFill="accent1" w:themeFillTint="33"/>
            <w:noWrap/>
            <w:vAlign w:val="bottom"/>
            <w:hideMark/>
          </w:tcPr>
          <w:p w14:paraId="18353F4D"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Variable</w:t>
            </w:r>
          </w:p>
        </w:tc>
        <w:tc>
          <w:tcPr>
            <w:tcW w:w="995" w:type="dxa"/>
            <w:tcBorders>
              <w:top w:val="nil"/>
              <w:left w:val="nil"/>
              <w:bottom w:val="nil"/>
              <w:right w:val="single" w:sz="4" w:space="0" w:color="auto"/>
            </w:tcBorders>
            <w:shd w:val="clear" w:color="auto" w:fill="DEEAF6" w:themeFill="accent1" w:themeFillTint="33"/>
            <w:noWrap/>
            <w:vAlign w:val="bottom"/>
            <w:hideMark/>
          </w:tcPr>
          <w:p w14:paraId="4DCA314F"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F value</w:t>
            </w:r>
          </w:p>
        </w:tc>
        <w:tc>
          <w:tcPr>
            <w:tcW w:w="1078" w:type="dxa"/>
            <w:tcBorders>
              <w:top w:val="nil"/>
              <w:left w:val="nil"/>
              <w:bottom w:val="nil"/>
              <w:right w:val="single" w:sz="8" w:space="0" w:color="auto"/>
            </w:tcBorders>
            <w:shd w:val="clear" w:color="auto" w:fill="DEEAF6" w:themeFill="accent1" w:themeFillTint="33"/>
            <w:noWrap/>
            <w:vAlign w:val="bottom"/>
            <w:hideMark/>
          </w:tcPr>
          <w:p w14:paraId="60D27059"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p value</w:t>
            </w:r>
          </w:p>
        </w:tc>
      </w:tr>
      <w:tr w:rsidR="003D3694" w:rsidRPr="00747E35" w14:paraId="0EC0FD64" w14:textId="77777777" w:rsidTr="0096743A">
        <w:trPr>
          <w:trHeight w:val="290"/>
          <w:jc w:val="center"/>
        </w:trPr>
        <w:tc>
          <w:tcPr>
            <w:tcW w:w="846" w:type="dxa"/>
            <w:vMerge w:val="restart"/>
            <w:tcBorders>
              <w:top w:val="single" w:sz="8" w:space="0" w:color="auto"/>
              <w:left w:val="single" w:sz="8" w:space="0" w:color="auto"/>
              <w:bottom w:val="single" w:sz="8" w:space="0" w:color="000000"/>
              <w:right w:val="nil"/>
            </w:tcBorders>
            <w:shd w:val="clear" w:color="auto" w:fill="auto"/>
            <w:noWrap/>
            <w:hideMark/>
          </w:tcPr>
          <w:p w14:paraId="4D55337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Round 1</w:t>
            </w:r>
          </w:p>
        </w:tc>
        <w:tc>
          <w:tcPr>
            <w:tcW w:w="2044"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58A45B9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Moisture</w:t>
            </w:r>
          </w:p>
        </w:tc>
        <w:tc>
          <w:tcPr>
            <w:tcW w:w="922" w:type="dxa"/>
            <w:tcBorders>
              <w:top w:val="single" w:sz="8" w:space="0" w:color="auto"/>
              <w:left w:val="nil"/>
              <w:bottom w:val="single" w:sz="4" w:space="0" w:color="auto"/>
              <w:right w:val="single" w:sz="4" w:space="0" w:color="auto"/>
            </w:tcBorders>
            <w:shd w:val="clear" w:color="auto" w:fill="auto"/>
            <w:noWrap/>
            <w:vAlign w:val="bottom"/>
            <w:hideMark/>
          </w:tcPr>
          <w:p w14:paraId="345B416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74.121</w:t>
            </w:r>
          </w:p>
        </w:tc>
        <w:tc>
          <w:tcPr>
            <w:tcW w:w="1065" w:type="dxa"/>
            <w:tcBorders>
              <w:top w:val="single" w:sz="8" w:space="0" w:color="auto"/>
              <w:left w:val="nil"/>
              <w:bottom w:val="single" w:sz="4" w:space="0" w:color="auto"/>
              <w:right w:val="single" w:sz="8" w:space="0" w:color="auto"/>
            </w:tcBorders>
            <w:shd w:val="clear" w:color="auto" w:fill="auto"/>
            <w:noWrap/>
            <w:vAlign w:val="bottom"/>
            <w:hideMark/>
          </w:tcPr>
          <w:p w14:paraId="2BE9863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&lt;0.001</w:t>
            </w:r>
          </w:p>
        </w:tc>
        <w:tc>
          <w:tcPr>
            <w:tcW w:w="2066" w:type="dxa"/>
            <w:tcBorders>
              <w:top w:val="single" w:sz="8" w:space="0" w:color="auto"/>
              <w:left w:val="nil"/>
              <w:bottom w:val="single" w:sz="4" w:space="0" w:color="auto"/>
              <w:right w:val="single" w:sz="4" w:space="0" w:color="auto"/>
            </w:tcBorders>
            <w:shd w:val="clear" w:color="auto" w:fill="auto"/>
            <w:noWrap/>
            <w:vAlign w:val="bottom"/>
            <w:hideMark/>
          </w:tcPr>
          <w:p w14:paraId="38CF4F8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Moisture</w:t>
            </w:r>
          </w:p>
        </w:tc>
        <w:tc>
          <w:tcPr>
            <w:tcW w:w="995" w:type="dxa"/>
            <w:tcBorders>
              <w:top w:val="single" w:sz="8" w:space="0" w:color="auto"/>
              <w:left w:val="nil"/>
              <w:bottom w:val="single" w:sz="4" w:space="0" w:color="auto"/>
              <w:right w:val="single" w:sz="4" w:space="0" w:color="auto"/>
            </w:tcBorders>
            <w:shd w:val="clear" w:color="auto" w:fill="auto"/>
            <w:noWrap/>
            <w:vAlign w:val="bottom"/>
            <w:hideMark/>
          </w:tcPr>
          <w:p w14:paraId="042B2D4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53.106</w:t>
            </w:r>
          </w:p>
        </w:tc>
        <w:tc>
          <w:tcPr>
            <w:tcW w:w="1078" w:type="dxa"/>
            <w:tcBorders>
              <w:top w:val="single" w:sz="8" w:space="0" w:color="auto"/>
              <w:left w:val="nil"/>
              <w:bottom w:val="single" w:sz="4" w:space="0" w:color="auto"/>
              <w:right w:val="single" w:sz="8" w:space="0" w:color="auto"/>
            </w:tcBorders>
            <w:shd w:val="clear" w:color="auto" w:fill="auto"/>
            <w:noWrap/>
            <w:vAlign w:val="bottom"/>
            <w:hideMark/>
          </w:tcPr>
          <w:p w14:paraId="07742BC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&lt;0.001</w:t>
            </w:r>
          </w:p>
        </w:tc>
      </w:tr>
      <w:tr w:rsidR="003D3694" w:rsidRPr="00747E35" w14:paraId="187C35D8" w14:textId="77777777" w:rsidTr="0096743A">
        <w:trPr>
          <w:trHeight w:val="300"/>
          <w:jc w:val="center"/>
        </w:trPr>
        <w:tc>
          <w:tcPr>
            <w:tcW w:w="846" w:type="dxa"/>
            <w:vMerge/>
            <w:tcBorders>
              <w:top w:val="single" w:sz="8" w:space="0" w:color="auto"/>
              <w:left w:val="single" w:sz="8" w:space="0" w:color="auto"/>
              <w:bottom w:val="single" w:sz="8" w:space="0" w:color="000000"/>
              <w:right w:val="nil"/>
            </w:tcBorders>
            <w:vAlign w:val="center"/>
            <w:hideMark/>
          </w:tcPr>
          <w:p w14:paraId="1CC5955C" w14:textId="77777777" w:rsidR="003D3694" w:rsidRPr="00747E35" w:rsidRDefault="003D3694" w:rsidP="0096743A">
            <w:pPr>
              <w:pStyle w:val="Tabletext"/>
              <w:spacing w:before="0" w:after="0"/>
              <w:rPr>
                <w:rFonts w:cstheme="minorHAnsi"/>
                <w:lang w:eastAsia="en-AU"/>
              </w:rPr>
            </w:pPr>
          </w:p>
        </w:tc>
        <w:tc>
          <w:tcPr>
            <w:tcW w:w="2044" w:type="dxa"/>
            <w:tcBorders>
              <w:top w:val="nil"/>
              <w:left w:val="single" w:sz="8" w:space="0" w:color="auto"/>
              <w:bottom w:val="single" w:sz="8" w:space="0" w:color="auto"/>
              <w:right w:val="single" w:sz="4" w:space="0" w:color="auto"/>
            </w:tcBorders>
            <w:shd w:val="clear" w:color="auto" w:fill="auto"/>
            <w:noWrap/>
            <w:vAlign w:val="bottom"/>
            <w:hideMark/>
          </w:tcPr>
          <w:p w14:paraId="62FFAE7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Depth</w:t>
            </w:r>
          </w:p>
        </w:tc>
        <w:tc>
          <w:tcPr>
            <w:tcW w:w="922" w:type="dxa"/>
            <w:tcBorders>
              <w:top w:val="nil"/>
              <w:left w:val="nil"/>
              <w:bottom w:val="single" w:sz="8" w:space="0" w:color="auto"/>
              <w:right w:val="single" w:sz="4" w:space="0" w:color="auto"/>
            </w:tcBorders>
            <w:shd w:val="clear" w:color="auto" w:fill="auto"/>
            <w:noWrap/>
            <w:vAlign w:val="bottom"/>
            <w:hideMark/>
          </w:tcPr>
          <w:p w14:paraId="05D495A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29.646</w:t>
            </w:r>
          </w:p>
        </w:tc>
        <w:tc>
          <w:tcPr>
            <w:tcW w:w="1065" w:type="dxa"/>
            <w:tcBorders>
              <w:top w:val="nil"/>
              <w:left w:val="nil"/>
              <w:bottom w:val="single" w:sz="8" w:space="0" w:color="auto"/>
              <w:right w:val="single" w:sz="8" w:space="0" w:color="auto"/>
            </w:tcBorders>
            <w:shd w:val="clear" w:color="auto" w:fill="auto"/>
            <w:noWrap/>
            <w:vAlign w:val="bottom"/>
            <w:hideMark/>
          </w:tcPr>
          <w:p w14:paraId="477DBE4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&lt;0.001</w:t>
            </w:r>
          </w:p>
        </w:tc>
        <w:tc>
          <w:tcPr>
            <w:tcW w:w="2066" w:type="dxa"/>
            <w:tcBorders>
              <w:top w:val="nil"/>
              <w:left w:val="nil"/>
              <w:bottom w:val="single" w:sz="8" w:space="0" w:color="auto"/>
              <w:right w:val="single" w:sz="4" w:space="0" w:color="auto"/>
            </w:tcBorders>
            <w:shd w:val="clear" w:color="auto" w:fill="auto"/>
            <w:noWrap/>
            <w:vAlign w:val="bottom"/>
            <w:hideMark/>
          </w:tcPr>
          <w:p w14:paraId="3DFA3DE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Hydrological regime</w:t>
            </w:r>
          </w:p>
        </w:tc>
        <w:tc>
          <w:tcPr>
            <w:tcW w:w="995" w:type="dxa"/>
            <w:tcBorders>
              <w:top w:val="nil"/>
              <w:left w:val="nil"/>
              <w:bottom w:val="single" w:sz="8" w:space="0" w:color="auto"/>
              <w:right w:val="single" w:sz="4" w:space="0" w:color="auto"/>
            </w:tcBorders>
            <w:shd w:val="clear" w:color="auto" w:fill="auto"/>
            <w:noWrap/>
            <w:vAlign w:val="bottom"/>
            <w:hideMark/>
          </w:tcPr>
          <w:p w14:paraId="4425AE0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8.2656</w:t>
            </w:r>
          </w:p>
        </w:tc>
        <w:tc>
          <w:tcPr>
            <w:tcW w:w="1078" w:type="dxa"/>
            <w:tcBorders>
              <w:top w:val="nil"/>
              <w:left w:val="nil"/>
              <w:bottom w:val="single" w:sz="8" w:space="0" w:color="auto"/>
              <w:right w:val="single" w:sz="8" w:space="0" w:color="auto"/>
            </w:tcBorders>
            <w:shd w:val="clear" w:color="auto" w:fill="auto"/>
            <w:noWrap/>
            <w:vAlign w:val="bottom"/>
            <w:hideMark/>
          </w:tcPr>
          <w:p w14:paraId="7491CD4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&lt;0.001</w:t>
            </w:r>
          </w:p>
        </w:tc>
      </w:tr>
      <w:tr w:rsidR="003D3694" w:rsidRPr="00747E35" w14:paraId="6A46CA27" w14:textId="77777777" w:rsidTr="0096743A">
        <w:trPr>
          <w:trHeight w:val="290"/>
          <w:jc w:val="center"/>
        </w:trPr>
        <w:tc>
          <w:tcPr>
            <w:tcW w:w="846" w:type="dxa"/>
            <w:vMerge w:val="restart"/>
            <w:tcBorders>
              <w:top w:val="nil"/>
              <w:left w:val="single" w:sz="8" w:space="0" w:color="auto"/>
              <w:bottom w:val="single" w:sz="8" w:space="0" w:color="000000"/>
              <w:right w:val="nil"/>
            </w:tcBorders>
            <w:shd w:val="clear" w:color="auto" w:fill="auto"/>
            <w:noWrap/>
            <w:hideMark/>
          </w:tcPr>
          <w:p w14:paraId="702A636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Round 2</w:t>
            </w:r>
          </w:p>
        </w:tc>
        <w:tc>
          <w:tcPr>
            <w:tcW w:w="2044" w:type="dxa"/>
            <w:tcBorders>
              <w:top w:val="nil"/>
              <w:left w:val="single" w:sz="8" w:space="0" w:color="auto"/>
              <w:bottom w:val="single" w:sz="4" w:space="0" w:color="auto"/>
              <w:right w:val="single" w:sz="4" w:space="0" w:color="auto"/>
            </w:tcBorders>
            <w:shd w:val="clear" w:color="auto" w:fill="auto"/>
            <w:noWrap/>
            <w:vAlign w:val="bottom"/>
            <w:hideMark/>
          </w:tcPr>
          <w:p w14:paraId="2535432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Moisture</w:t>
            </w:r>
          </w:p>
        </w:tc>
        <w:tc>
          <w:tcPr>
            <w:tcW w:w="922" w:type="dxa"/>
            <w:tcBorders>
              <w:top w:val="nil"/>
              <w:left w:val="nil"/>
              <w:bottom w:val="single" w:sz="4" w:space="0" w:color="auto"/>
              <w:right w:val="single" w:sz="4" w:space="0" w:color="auto"/>
            </w:tcBorders>
            <w:shd w:val="clear" w:color="auto" w:fill="auto"/>
            <w:noWrap/>
            <w:vAlign w:val="bottom"/>
            <w:hideMark/>
          </w:tcPr>
          <w:p w14:paraId="075D56F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84.69</w:t>
            </w:r>
          </w:p>
        </w:tc>
        <w:tc>
          <w:tcPr>
            <w:tcW w:w="1065" w:type="dxa"/>
            <w:tcBorders>
              <w:top w:val="nil"/>
              <w:left w:val="nil"/>
              <w:bottom w:val="single" w:sz="4" w:space="0" w:color="auto"/>
              <w:right w:val="single" w:sz="8" w:space="0" w:color="auto"/>
            </w:tcBorders>
            <w:shd w:val="clear" w:color="auto" w:fill="auto"/>
            <w:noWrap/>
            <w:vAlign w:val="bottom"/>
            <w:hideMark/>
          </w:tcPr>
          <w:p w14:paraId="22DE96A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&lt;0.001</w:t>
            </w:r>
          </w:p>
        </w:tc>
        <w:tc>
          <w:tcPr>
            <w:tcW w:w="2066" w:type="dxa"/>
            <w:tcBorders>
              <w:top w:val="nil"/>
              <w:left w:val="nil"/>
              <w:bottom w:val="single" w:sz="4" w:space="0" w:color="auto"/>
              <w:right w:val="single" w:sz="4" w:space="0" w:color="auto"/>
            </w:tcBorders>
            <w:shd w:val="clear" w:color="auto" w:fill="auto"/>
            <w:noWrap/>
            <w:vAlign w:val="bottom"/>
            <w:hideMark/>
          </w:tcPr>
          <w:p w14:paraId="50474D3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Moisture</w:t>
            </w:r>
          </w:p>
        </w:tc>
        <w:tc>
          <w:tcPr>
            <w:tcW w:w="995" w:type="dxa"/>
            <w:tcBorders>
              <w:top w:val="nil"/>
              <w:left w:val="nil"/>
              <w:bottom w:val="single" w:sz="4" w:space="0" w:color="auto"/>
              <w:right w:val="single" w:sz="4" w:space="0" w:color="auto"/>
            </w:tcBorders>
            <w:shd w:val="clear" w:color="auto" w:fill="auto"/>
            <w:noWrap/>
            <w:vAlign w:val="bottom"/>
            <w:hideMark/>
          </w:tcPr>
          <w:p w14:paraId="5A6A96D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61.354</w:t>
            </w:r>
          </w:p>
        </w:tc>
        <w:tc>
          <w:tcPr>
            <w:tcW w:w="1078" w:type="dxa"/>
            <w:tcBorders>
              <w:top w:val="nil"/>
              <w:left w:val="nil"/>
              <w:bottom w:val="single" w:sz="4" w:space="0" w:color="auto"/>
              <w:right w:val="single" w:sz="8" w:space="0" w:color="auto"/>
            </w:tcBorders>
            <w:shd w:val="clear" w:color="auto" w:fill="auto"/>
            <w:noWrap/>
            <w:vAlign w:val="bottom"/>
            <w:hideMark/>
          </w:tcPr>
          <w:p w14:paraId="462A929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&lt;0.001</w:t>
            </w:r>
          </w:p>
        </w:tc>
      </w:tr>
      <w:tr w:rsidR="003D3694" w:rsidRPr="00747E35" w14:paraId="2CA086F5" w14:textId="77777777" w:rsidTr="0096743A">
        <w:trPr>
          <w:trHeight w:val="300"/>
          <w:jc w:val="center"/>
        </w:trPr>
        <w:tc>
          <w:tcPr>
            <w:tcW w:w="846" w:type="dxa"/>
            <w:vMerge/>
            <w:tcBorders>
              <w:top w:val="nil"/>
              <w:left w:val="single" w:sz="8" w:space="0" w:color="auto"/>
              <w:bottom w:val="single" w:sz="8" w:space="0" w:color="000000"/>
              <w:right w:val="nil"/>
            </w:tcBorders>
            <w:vAlign w:val="center"/>
            <w:hideMark/>
          </w:tcPr>
          <w:p w14:paraId="38C61A74" w14:textId="77777777" w:rsidR="003D3694" w:rsidRPr="00747E35" w:rsidRDefault="003D3694" w:rsidP="0096743A">
            <w:pPr>
              <w:pStyle w:val="Tabletext"/>
              <w:spacing w:before="0" w:after="0"/>
              <w:rPr>
                <w:rFonts w:cstheme="minorHAnsi"/>
                <w:lang w:eastAsia="en-AU"/>
              </w:rPr>
            </w:pPr>
          </w:p>
        </w:tc>
        <w:tc>
          <w:tcPr>
            <w:tcW w:w="2044" w:type="dxa"/>
            <w:tcBorders>
              <w:top w:val="nil"/>
              <w:left w:val="single" w:sz="8" w:space="0" w:color="auto"/>
              <w:bottom w:val="single" w:sz="8" w:space="0" w:color="auto"/>
              <w:right w:val="single" w:sz="4" w:space="0" w:color="auto"/>
            </w:tcBorders>
            <w:shd w:val="clear" w:color="auto" w:fill="auto"/>
            <w:noWrap/>
            <w:vAlign w:val="bottom"/>
            <w:hideMark/>
          </w:tcPr>
          <w:p w14:paraId="22F1974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922" w:type="dxa"/>
            <w:tcBorders>
              <w:top w:val="nil"/>
              <w:left w:val="nil"/>
              <w:bottom w:val="single" w:sz="8" w:space="0" w:color="auto"/>
              <w:right w:val="single" w:sz="4" w:space="0" w:color="auto"/>
            </w:tcBorders>
            <w:shd w:val="clear" w:color="auto" w:fill="auto"/>
            <w:noWrap/>
            <w:vAlign w:val="bottom"/>
            <w:hideMark/>
          </w:tcPr>
          <w:p w14:paraId="29454F0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065" w:type="dxa"/>
            <w:tcBorders>
              <w:top w:val="nil"/>
              <w:left w:val="nil"/>
              <w:bottom w:val="single" w:sz="8" w:space="0" w:color="auto"/>
              <w:right w:val="single" w:sz="8" w:space="0" w:color="auto"/>
            </w:tcBorders>
            <w:shd w:val="clear" w:color="auto" w:fill="auto"/>
            <w:noWrap/>
            <w:vAlign w:val="bottom"/>
            <w:hideMark/>
          </w:tcPr>
          <w:p w14:paraId="62F6211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2066" w:type="dxa"/>
            <w:tcBorders>
              <w:top w:val="nil"/>
              <w:left w:val="nil"/>
              <w:bottom w:val="single" w:sz="8" w:space="0" w:color="auto"/>
              <w:right w:val="single" w:sz="4" w:space="0" w:color="auto"/>
            </w:tcBorders>
            <w:shd w:val="clear" w:color="auto" w:fill="auto"/>
            <w:noWrap/>
            <w:vAlign w:val="bottom"/>
            <w:hideMark/>
          </w:tcPr>
          <w:p w14:paraId="175FCC1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Hydrological regime</w:t>
            </w:r>
          </w:p>
        </w:tc>
        <w:tc>
          <w:tcPr>
            <w:tcW w:w="995" w:type="dxa"/>
            <w:tcBorders>
              <w:top w:val="nil"/>
              <w:left w:val="nil"/>
              <w:bottom w:val="single" w:sz="8" w:space="0" w:color="auto"/>
              <w:right w:val="single" w:sz="4" w:space="0" w:color="auto"/>
            </w:tcBorders>
            <w:shd w:val="clear" w:color="auto" w:fill="auto"/>
            <w:noWrap/>
            <w:vAlign w:val="bottom"/>
            <w:hideMark/>
          </w:tcPr>
          <w:p w14:paraId="51246CC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16.902</w:t>
            </w:r>
          </w:p>
        </w:tc>
        <w:tc>
          <w:tcPr>
            <w:tcW w:w="1078" w:type="dxa"/>
            <w:tcBorders>
              <w:top w:val="nil"/>
              <w:left w:val="nil"/>
              <w:bottom w:val="single" w:sz="8" w:space="0" w:color="auto"/>
              <w:right w:val="single" w:sz="8" w:space="0" w:color="auto"/>
            </w:tcBorders>
            <w:shd w:val="clear" w:color="auto" w:fill="auto"/>
            <w:noWrap/>
            <w:vAlign w:val="bottom"/>
            <w:hideMark/>
          </w:tcPr>
          <w:p w14:paraId="7D6F29B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&lt;0.001</w:t>
            </w:r>
          </w:p>
        </w:tc>
      </w:tr>
    </w:tbl>
    <w:p w14:paraId="25663C72" w14:textId="77777777" w:rsidR="003D3694" w:rsidRPr="00747E35" w:rsidRDefault="003D3694" w:rsidP="003D3694">
      <w:pPr>
        <w:rPr>
          <w:rFonts w:asciiTheme="minorHAnsi" w:hAnsiTheme="minorHAnsi" w:cstheme="minorHAnsi"/>
        </w:rPr>
      </w:pPr>
    </w:p>
    <w:p w14:paraId="5E29BA47" w14:textId="77777777" w:rsidR="003D3694" w:rsidRPr="00747E35" w:rsidRDefault="003D3694" w:rsidP="003D3694">
      <w:pPr>
        <w:autoSpaceDE/>
        <w:autoSpaceDN/>
        <w:spacing w:line="276" w:lineRule="auto"/>
        <w:rPr>
          <w:rFonts w:asciiTheme="minorHAnsi" w:hAnsiTheme="minorHAnsi" w:cstheme="minorHAnsi"/>
        </w:rPr>
      </w:pPr>
      <w:r w:rsidRPr="00747E35">
        <w:rPr>
          <w:rFonts w:asciiTheme="minorHAnsi" w:hAnsiTheme="minorHAnsi" w:cstheme="minorHAnsi"/>
        </w:rPr>
        <w:br w:type="page"/>
      </w:r>
    </w:p>
    <w:p w14:paraId="01DC1FF8" w14:textId="77777777" w:rsidR="003D3694" w:rsidRPr="00747E35" w:rsidRDefault="003D3694" w:rsidP="00CF473C">
      <w:pPr>
        <w:pStyle w:val="Heading3"/>
        <w:rPr>
          <w:rFonts w:asciiTheme="minorHAnsi" w:hAnsiTheme="minorHAnsi" w:cstheme="minorHAnsi"/>
        </w:rPr>
      </w:pPr>
      <w:bookmarkStart w:id="272" w:name="_Toc466449952"/>
      <w:bookmarkStart w:id="273" w:name="_Toc470004881"/>
      <w:bookmarkStart w:id="274" w:name="_Toc466449960"/>
      <w:bookmarkStart w:id="275" w:name="_Toc466450366"/>
      <w:bookmarkStart w:id="276" w:name="_Toc467211719"/>
      <w:r w:rsidRPr="00747E35">
        <w:rPr>
          <w:rFonts w:asciiTheme="minorHAnsi" w:hAnsiTheme="minorHAnsi" w:cstheme="minorHAnsi"/>
        </w:rPr>
        <w:lastRenderedPageBreak/>
        <w:t>Invertebrate ecology</w:t>
      </w:r>
      <w:bookmarkEnd w:id="272"/>
      <w:bookmarkEnd w:id="273"/>
    </w:p>
    <w:p w14:paraId="74C32F54" w14:textId="77777777" w:rsidR="003D3694" w:rsidRPr="00747E35" w:rsidRDefault="003D3694" w:rsidP="00CF473C">
      <w:pPr>
        <w:pStyle w:val="Heading4"/>
        <w:rPr>
          <w:rFonts w:asciiTheme="minorHAnsi" w:hAnsiTheme="minorHAnsi" w:cstheme="minorHAnsi"/>
        </w:rPr>
      </w:pPr>
      <w:r w:rsidRPr="00747E35">
        <w:rPr>
          <w:rFonts w:asciiTheme="minorHAnsi" w:hAnsiTheme="minorHAnsi" w:cstheme="minorHAnsi"/>
        </w:rPr>
        <w:t>Identification and classification of taxa</w:t>
      </w:r>
    </w:p>
    <w:p w14:paraId="658FC5F2" w14:textId="6C073B1E" w:rsidR="009A3D4A" w:rsidRPr="00747E35" w:rsidRDefault="003D3694" w:rsidP="009A3D4A">
      <w:pPr>
        <w:keepNext/>
        <w:keepLines/>
        <w:rPr>
          <w:rFonts w:asciiTheme="minorHAnsi" w:hAnsiTheme="minorHAnsi" w:cstheme="minorHAnsi"/>
        </w:rPr>
      </w:pPr>
      <w:r w:rsidRPr="00747E35">
        <w:rPr>
          <w:rFonts w:asciiTheme="minorHAnsi" w:hAnsiTheme="minorHAnsi" w:cstheme="minorHAnsi"/>
        </w:rPr>
        <w:t>Aquatic invertebrates were detected in most samples collected at Bremer River (91% of samples) and Maules Creek (81% hyporheos samples, 88% aquifer samples). More than 4,970 invertebrates, representing at least 53 provisional morpho-species / morpho-taxa belonging to 43 aquatic invertebrate families, were identified from the Bremer River and Maules Creek catchments combined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_Ref466449521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22</w:t>
      </w:r>
      <w:r w:rsidRPr="00747E35">
        <w:rPr>
          <w:rFonts w:asciiTheme="minorHAnsi" w:hAnsiTheme="minorHAnsi" w:cstheme="minorHAnsi"/>
        </w:rPr>
        <w:fldChar w:fldCharType="end"/>
      </w:r>
      <w:r w:rsidRPr="00747E35">
        <w:rPr>
          <w:rFonts w:asciiTheme="minorHAnsi" w:hAnsiTheme="minorHAnsi" w:cstheme="minorHAnsi"/>
        </w:rPr>
        <w:t xml:space="preserve">). Taxonomic resolution and recorded diversity were highest in crustaceans (14 families, 23 spp.) and insects (13 families, 12 spp.) followed by water mites (7 families, 7 spp.) with most other groups not identified below order level (Oligochaeta, Nematoda, Nematomorpha, Turbellaria, Gastropoda, Bivalva, Tardigrada, Rotifera, Hydrozoa). Total species richness is undoubtedly greater, especially in the typically diverse and taxonomically challenging groups of Oligochaeta, Acarina, Copepoda and Ostracoda. Images of hyporheic and aquifer taxa are shown in </w:t>
      </w:r>
      <w:r w:rsidR="009A3D4A" w:rsidRPr="00747E35">
        <w:rPr>
          <w:rFonts w:asciiTheme="minorHAnsi" w:hAnsiTheme="minorHAnsi" w:cstheme="minorHAnsi"/>
        </w:rPr>
        <w:fldChar w:fldCharType="begin"/>
      </w:r>
      <w:r w:rsidR="009A3D4A" w:rsidRPr="00747E35">
        <w:rPr>
          <w:rFonts w:asciiTheme="minorHAnsi" w:hAnsiTheme="minorHAnsi" w:cstheme="minorHAnsi"/>
        </w:rPr>
        <w:instrText xml:space="preserve"> REF _Ref469043840 \h </w:instrText>
      </w:r>
      <w:r w:rsidR="00925BFC" w:rsidRPr="00747E35">
        <w:rPr>
          <w:rFonts w:asciiTheme="minorHAnsi" w:hAnsiTheme="minorHAnsi" w:cstheme="minorHAnsi"/>
        </w:rPr>
        <w:instrText xml:space="preserve"> \* MERGEFORMAT </w:instrText>
      </w:r>
      <w:r w:rsidR="009A3D4A" w:rsidRPr="00747E35">
        <w:rPr>
          <w:rFonts w:asciiTheme="minorHAnsi" w:hAnsiTheme="minorHAnsi" w:cstheme="minorHAnsi"/>
        </w:rPr>
      </w:r>
      <w:r w:rsidR="009A3D4A"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96</w:t>
      </w:r>
      <w:r w:rsidR="009A3D4A" w:rsidRPr="00747E35">
        <w:rPr>
          <w:rFonts w:asciiTheme="minorHAnsi" w:hAnsiTheme="minorHAnsi" w:cstheme="minorHAnsi"/>
        </w:rPr>
        <w:fldChar w:fldCharType="end"/>
      </w:r>
      <w:r w:rsidR="009A3D4A" w:rsidRPr="00747E35">
        <w:rPr>
          <w:rFonts w:asciiTheme="minorHAnsi" w:hAnsiTheme="minorHAnsi" w:cstheme="minorHAnsi"/>
        </w:rPr>
        <w:t xml:space="preserve"> and </w:t>
      </w:r>
      <w:r w:rsidR="009A3D4A" w:rsidRPr="00747E35">
        <w:rPr>
          <w:rFonts w:asciiTheme="minorHAnsi" w:hAnsiTheme="minorHAnsi" w:cstheme="minorHAnsi"/>
        </w:rPr>
        <w:fldChar w:fldCharType="begin"/>
      </w:r>
      <w:r w:rsidR="009A3D4A" w:rsidRPr="00747E35">
        <w:rPr>
          <w:rFonts w:asciiTheme="minorHAnsi" w:hAnsiTheme="minorHAnsi" w:cstheme="minorHAnsi"/>
        </w:rPr>
        <w:instrText xml:space="preserve"> REF _Ref469043850 \h </w:instrText>
      </w:r>
      <w:r w:rsidR="00925BFC" w:rsidRPr="00747E35">
        <w:rPr>
          <w:rFonts w:asciiTheme="minorHAnsi" w:hAnsiTheme="minorHAnsi" w:cstheme="minorHAnsi"/>
        </w:rPr>
        <w:instrText xml:space="preserve"> \* MERGEFORMAT </w:instrText>
      </w:r>
      <w:r w:rsidR="009A3D4A" w:rsidRPr="00747E35">
        <w:rPr>
          <w:rFonts w:asciiTheme="minorHAnsi" w:hAnsiTheme="minorHAnsi" w:cstheme="minorHAnsi"/>
        </w:rPr>
      </w:r>
      <w:r w:rsidR="009A3D4A"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97</w:t>
      </w:r>
      <w:r w:rsidR="009A3D4A" w:rsidRPr="00747E35">
        <w:rPr>
          <w:rFonts w:asciiTheme="minorHAnsi" w:hAnsiTheme="minorHAnsi" w:cstheme="minorHAnsi"/>
        </w:rPr>
        <w:fldChar w:fldCharType="end"/>
      </w:r>
      <w:r w:rsidR="00026709">
        <w:rPr>
          <w:rFonts w:asciiTheme="minorHAnsi" w:hAnsiTheme="minorHAnsi" w:cstheme="minorHAnsi"/>
        </w:rPr>
        <w:t>.</w:t>
      </w:r>
    </w:p>
    <w:p w14:paraId="48622E38" w14:textId="77777777" w:rsidR="009A3D4A" w:rsidRPr="00747E35" w:rsidRDefault="009A3D4A" w:rsidP="009A3D4A">
      <w:pPr>
        <w:keepNext/>
        <w:keepLines/>
        <w:rPr>
          <w:rFonts w:asciiTheme="minorHAnsi" w:hAnsiTheme="minorHAnsi" w:cstheme="minorHAnsi"/>
        </w:rPr>
      </w:pPr>
    </w:p>
    <w:p w14:paraId="15327CF9" w14:textId="77777777" w:rsidR="003D3694" w:rsidRPr="00747E35" w:rsidRDefault="003D3694" w:rsidP="003D3694">
      <w:pPr>
        <w:keepNext/>
        <w:keepLines/>
        <w:rPr>
          <w:rFonts w:asciiTheme="minorHAnsi" w:hAnsiTheme="minorHAnsi" w:cstheme="minorHAnsi"/>
        </w:rPr>
      </w:pPr>
      <w:bookmarkStart w:id="277" w:name="_Ref466444637"/>
      <w:bookmarkStart w:id="278" w:name="_Ref452278554"/>
      <w:r w:rsidRPr="00747E35">
        <w:rPr>
          <w:rFonts w:asciiTheme="minorHAnsi" w:hAnsiTheme="minorHAnsi" w:cstheme="minorHAnsi"/>
          <w:noProof/>
          <w:lang w:val="en-AU" w:eastAsia="en-AU"/>
        </w:rPr>
        <w:drawing>
          <wp:inline distT="0" distB="0" distL="0" distR="0" wp14:anchorId="3555036E" wp14:editId="11BDB9AA">
            <wp:extent cx="6084605" cy="4567246"/>
            <wp:effectExtent l="0" t="0" r="0" b="5080"/>
            <wp:docPr id="4146" name="Picture 4146" descr="Photo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6099634" cy="4578527"/>
                    </a:xfrm>
                    <a:prstGeom prst="rect">
                      <a:avLst/>
                    </a:prstGeom>
                    <a:noFill/>
                  </pic:spPr>
                </pic:pic>
              </a:graphicData>
            </a:graphic>
          </wp:inline>
        </w:drawing>
      </w:r>
    </w:p>
    <w:p w14:paraId="4CF11EC5" w14:textId="77777777" w:rsidR="003D3694" w:rsidRPr="00747E35" w:rsidRDefault="003D3694" w:rsidP="00CF473C">
      <w:pPr>
        <w:pStyle w:val="Caption"/>
        <w:numPr>
          <w:ilvl w:val="0"/>
          <w:numId w:val="0"/>
        </w:numPr>
        <w:rPr>
          <w:rFonts w:cstheme="minorHAnsi"/>
        </w:rPr>
      </w:pPr>
      <w:bookmarkStart w:id="279" w:name="_Ref469043840"/>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96</w:t>
      </w:r>
      <w:r w:rsidR="009D6600" w:rsidRPr="00747E35">
        <w:rPr>
          <w:rFonts w:cstheme="minorHAnsi"/>
          <w:noProof/>
        </w:rPr>
        <w:fldChar w:fldCharType="end"/>
      </w:r>
      <w:bookmarkEnd w:id="279"/>
      <w:r w:rsidRPr="00747E35">
        <w:rPr>
          <w:rFonts w:cstheme="minorHAnsi"/>
        </w:rPr>
        <w:t>: Hyporheic and aquifer invertebrates from Bremer (BR) and Maules (MC) catchments: Panel 1, Stygobite crustaceans; A, Psammaspididae (MC); B, Phreatoicidae (MC); C, Amphipoda (MC); D, Amphipoda (BR).</w:t>
      </w:r>
    </w:p>
    <w:p w14:paraId="59363BE3" w14:textId="77777777" w:rsidR="003D3694" w:rsidRPr="00747E35" w:rsidRDefault="003D3694" w:rsidP="003D3694">
      <w:pPr>
        <w:rPr>
          <w:rFonts w:asciiTheme="minorHAnsi" w:hAnsiTheme="minorHAnsi" w:cstheme="minorHAnsi"/>
        </w:rPr>
      </w:pPr>
    </w:p>
    <w:p w14:paraId="10A468E1" w14:textId="77777777" w:rsidR="003D3694" w:rsidRPr="00747E35" w:rsidRDefault="003D3694" w:rsidP="003D3694">
      <w:pPr>
        <w:keepNext/>
        <w:keepLines/>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2BD2CF67" wp14:editId="07CB8EF2">
            <wp:extent cx="5460762" cy="4079124"/>
            <wp:effectExtent l="0" t="0" r="6985" b="0"/>
            <wp:docPr id="4143" name="Picture 4143" descr="Photographs (Part 1of 2 for Fig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6" cstate="screen">
                      <a:extLst>
                        <a:ext uri="{28A0092B-C50C-407E-A947-70E740481C1C}">
                          <a14:useLocalDpi xmlns:a14="http://schemas.microsoft.com/office/drawing/2010/main"/>
                        </a:ext>
                      </a:extLst>
                    </a:blip>
                    <a:srcRect/>
                    <a:stretch/>
                  </pic:blipFill>
                  <pic:spPr bwMode="auto">
                    <a:xfrm>
                      <a:off x="0" y="0"/>
                      <a:ext cx="5489620" cy="4100680"/>
                    </a:xfrm>
                    <a:prstGeom prst="rect">
                      <a:avLst/>
                    </a:prstGeom>
                    <a:noFill/>
                    <a:ln>
                      <a:noFill/>
                    </a:ln>
                    <a:extLst>
                      <a:ext uri="{53640926-AAD7-44D8-BBD7-CCE9431645EC}">
                        <a14:shadowObscured xmlns:a14="http://schemas.microsoft.com/office/drawing/2010/main"/>
                      </a:ext>
                    </a:extLst>
                  </pic:spPr>
                </pic:pic>
              </a:graphicData>
            </a:graphic>
          </wp:inline>
        </w:drawing>
      </w:r>
    </w:p>
    <w:p w14:paraId="0E584B6B" w14:textId="77777777" w:rsidR="003D3694" w:rsidRPr="00747E35" w:rsidRDefault="003D3694" w:rsidP="003D3694">
      <w:pPr>
        <w:keepNext/>
        <w:keepLines/>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1F4392ED" wp14:editId="08E8FB89">
            <wp:extent cx="5459847" cy="4058632"/>
            <wp:effectExtent l="0" t="0" r="7620" b="0"/>
            <wp:docPr id="4141" name="Picture 4141" descr="Photographs (Part 2 of 2 for Fig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7" cstate="screen">
                      <a:extLst>
                        <a:ext uri="{28A0092B-C50C-407E-A947-70E740481C1C}">
                          <a14:useLocalDpi xmlns:a14="http://schemas.microsoft.com/office/drawing/2010/main"/>
                        </a:ext>
                      </a:extLst>
                    </a:blip>
                    <a:srcRect/>
                    <a:stretch/>
                  </pic:blipFill>
                  <pic:spPr bwMode="auto">
                    <a:xfrm>
                      <a:off x="0" y="0"/>
                      <a:ext cx="5490878" cy="4081699"/>
                    </a:xfrm>
                    <a:prstGeom prst="rect">
                      <a:avLst/>
                    </a:prstGeom>
                    <a:noFill/>
                    <a:ln>
                      <a:noFill/>
                    </a:ln>
                    <a:extLst>
                      <a:ext uri="{53640926-AAD7-44D8-BBD7-CCE9431645EC}">
                        <a14:shadowObscured xmlns:a14="http://schemas.microsoft.com/office/drawing/2010/main"/>
                      </a:ext>
                    </a:extLst>
                  </pic:spPr>
                </pic:pic>
              </a:graphicData>
            </a:graphic>
          </wp:inline>
        </w:drawing>
      </w:r>
    </w:p>
    <w:p w14:paraId="6C520CE1" w14:textId="77777777" w:rsidR="003D3694" w:rsidRPr="00747E35" w:rsidRDefault="003D3694" w:rsidP="00CF473C">
      <w:pPr>
        <w:pStyle w:val="Caption"/>
        <w:numPr>
          <w:ilvl w:val="0"/>
          <w:numId w:val="0"/>
        </w:numPr>
        <w:rPr>
          <w:rFonts w:cstheme="minorHAnsi"/>
        </w:rPr>
      </w:pPr>
      <w:bookmarkStart w:id="280" w:name="_Ref469043850"/>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97</w:t>
      </w:r>
      <w:r w:rsidR="009D6600" w:rsidRPr="00747E35">
        <w:rPr>
          <w:rFonts w:cstheme="minorHAnsi"/>
          <w:noProof/>
        </w:rPr>
        <w:fldChar w:fldCharType="end"/>
      </w:r>
      <w:bookmarkEnd w:id="277"/>
      <w:bookmarkEnd w:id="280"/>
      <w:r w:rsidRPr="00747E35">
        <w:rPr>
          <w:rFonts w:cstheme="minorHAnsi"/>
          <w:noProof/>
        </w:rPr>
        <w:t xml:space="preserve"> (Continued)</w:t>
      </w:r>
      <w:r w:rsidRPr="00747E35">
        <w:rPr>
          <w:rFonts w:cstheme="minorHAnsi"/>
        </w:rPr>
        <w:t>:</w:t>
      </w:r>
      <w:bookmarkEnd w:id="278"/>
      <w:r w:rsidRPr="00747E35">
        <w:rPr>
          <w:rFonts w:cstheme="minorHAnsi"/>
        </w:rPr>
        <w:t xml:space="preserve"> Hyporheic and aquifer invertebrates from Bremer (BR) and Maules (MC) catchments: Panel 2, Stygobite crustaceans and water mite; E, Parabathynellidae (MC); F, Bathynellidae (BR); G, water mite (MC); H, Ostracoda (MC); I, Cyclopoida (BR); Panel 3, Stygoxene insects (J,K) and stygophile worms (L,M); J, Chironomidae (MC); K, Hydrophilidae (BR); L, Oligochaeta (BR); M, Nematoda (MC). </w:t>
      </w:r>
    </w:p>
    <w:p w14:paraId="22C4F8BE" w14:textId="41703B4B" w:rsidR="003D3694" w:rsidRPr="00747E35" w:rsidRDefault="003D3694" w:rsidP="003D3694">
      <w:pPr>
        <w:rPr>
          <w:rFonts w:asciiTheme="minorHAnsi" w:hAnsiTheme="minorHAnsi" w:cstheme="minorHAnsi"/>
        </w:rPr>
      </w:pPr>
      <w:r w:rsidRPr="00747E35">
        <w:rPr>
          <w:rFonts w:asciiTheme="minorHAnsi" w:hAnsiTheme="minorHAnsi" w:cstheme="minorHAnsi"/>
        </w:rPr>
        <w:lastRenderedPageBreak/>
        <w:t>Comparing study areas, Maules Creek hyporheos comprised, minimally, 39 morpho-species in 33 families, and Bremer River hyporheos comprised 31 morpho-species belonging to 31 families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_Ref466449521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22</w:t>
      </w:r>
      <w:r w:rsidRPr="00747E35">
        <w:rPr>
          <w:rFonts w:asciiTheme="minorHAnsi" w:hAnsiTheme="minorHAnsi" w:cstheme="minorHAnsi"/>
        </w:rPr>
        <w:fldChar w:fldCharType="end"/>
      </w:r>
      <w:r w:rsidRPr="00747E35">
        <w:rPr>
          <w:rFonts w:asciiTheme="minorHAnsi" w:hAnsiTheme="minorHAnsi" w:cstheme="minorHAnsi"/>
        </w:rPr>
        <w:t>). Aquatic mites were notably more diverse. In the Maules Creek hyporheos, crustaceans (12 families) and water mites (five families) were notably more diverse compared with the Bremer River (eight and two families respectively). Comparing groundwater environments at Maules Creek, the aquifer recorded 24 morpho-species in 21 families, or approximately two-thirds of the richness recorded in the hyporheic zone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_Ref466449521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22</w:t>
      </w:r>
      <w:r w:rsidRPr="00747E35">
        <w:rPr>
          <w:rFonts w:asciiTheme="minorHAnsi" w:hAnsiTheme="minorHAnsi" w:cstheme="minorHAnsi"/>
          <w:noProof/>
        </w:rPr>
        <w:fldChar w:fldCharType="end"/>
      </w:r>
      <w:r w:rsidRPr="00747E35">
        <w:rPr>
          <w:rFonts w:asciiTheme="minorHAnsi" w:hAnsiTheme="minorHAnsi" w:cstheme="minorHAnsi"/>
        </w:rPr>
        <w:t>). The aquifer assemblage strongly overlapped with the hyporheic assemblage, with nearly all morpho-species collected in the aquifer also collected in the hyporheic zone. The only stygobite taxon not detected in the aquifer was Phreatoicidae, but this taxon was very rare in hyporheic samples and the limited sampling to date does not preclude its presence in the aquifer as well. Conversely, three morpho-species collected in the aquifer (one harpacticoid, one water mite, and one turbellarian) were not detected in the hyporheos, but may occur there considering the degree of hydrologic connectivity and overlap in invertebrate assemblages between the two environments.</w:t>
      </w:r>
    </w:p>
    <w:p w14:paraId="7987652A" w14:textId="77777777" w:rsidR="003D3694" w:rsidRPr="00747E35" w:rsidRDefault="003D3694" w:rsidP="00CF473C">
      <w:pPr>
        <w:pStyle w:val="Caption"/>
        <w:numPr>
          <w:ilvl w:val="0"/>
          <w:numId w:val="0"/>
        </w:numPr>
        <w:rPr>
          <w:rFonts w:cstheme="minorHAnsi"/>
        </w:rPr>
      </w:pPr>
      <w:bookmarkStart w:id="281" w:name="_Ref466449521"/>
      <w:r w:rsidRPr="00747E35">
        <w:rPr>
          <w:rFonts w:cstheme="minorHAnsi"/>
        </w:rPr>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22</w:t>
      </w:r>
      <w:r w:rsidR="009D6600" w:rsidRPr="00747E35">
        <w:rPr>
          <w:rFonts w:cstheme="minorHAnsi"/>
          <w:noProof/>
        </w:rPr>
        <w:fldChar w:fldCharType="end"/>
      </w:r>
      <w:bookmarkEnd w:id="281"/>
      <w:r w:rsidRPr="00747E35">
        <w:rPr>
          <w:rFonts w:cstheme="minorHAnsi"/>
        </w:rPr>
        <w:t>: List of identified taxa (arranged systematically by higher taxonomic rank) with their inferred groundwater habitat affinity, and collection records (p = confirmed presence) from the Bremer catchment hyporheic (BCH), Maules catchment hyporheic (MCH) and aquifer (MCA). Taxon names in bold not counted in richness totals where they may represent synonymies. Abbreviations for groundwater habitat affinity (GHA*) categories at bottom.</w:t>
      </w:r>
    </w:p>
    <w:tbl>
      <w:tblPr>
        <w:tblW w:w="0" w:type="auto"/>
        <w:tblInd w:w="93" w:type="dxa"/>
        <w:tblLayout w:type="fixed"/>
        <w:tblLook w:val="04A0" w:firstRow="1" w:lastRow="0" w:firstColumn="1" w:lastColumn="0" w:noHBand="0" w:noVBand="1"/>
      </w:tblPr>
      <w:tblGrid>
        <w:gridCol w:w="1433"/>
        <w:gridCol w:w="1417"/>
        <w:gridCol w:w="1985"/>
        <w:gridCol w:w="2551"/>
        <w:gridCol w:w="851"/>
        <w:gridCol w:w="425"/>
        <w:gridCol w:w="567"/>
        <w:gridCol w:w="532"/>
      </w:tblGrid>
      <w:tr w:rsidR="003D3694" w:rsidRPr="00747E35" w14:paraId="07B27955" w14:textId="77777777" w:rsidTr="0096743A">
        <w:trPr>
          <w:trHeight w:val="756"/>
          <w:tblHeader/>
        </w:trPr>
        <w:tc>
          <w:tcPr>
            <w:tcW w:w="143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5A40FBC9" w14:textId="77777777" w:rsidR="003D3694" w:rsidRPr="00747E35" w:rsidRDefault="003D3694" w:rsidP="0096743A">
            <w:pPr>
              <w:pStyle w:val="TableHead"/>
              <w:spacing w:before="0" w:after="0"/>
              <w:rPr>
                <w:rFonts w:asciiTheme="minorHAnsi" w:hAnsiTheme="minorHAnsi" w:cstheme="minorHAnsi"/>
                <w:b w:val="0"/>
                <w:sz w:val="18"/>
                <w:szCs w:val="18"/>
              </w:rPr>
            </w:pPr>
            <w:bookmarkStart w:id="282" w:name="RANGE!B1:I63"/>
            <w:r w:rsidRPr="00747E35">
              <w:rPr>
                <w:rFonts w:asciiTheme="minorHAnsi" w:hAnsiTheme="minorHAnsi" w:cstheme="minorHAnsi"/>
                <w:b w:val="0"/>
                <w:sz w:val="18"/>
                <w:szCs w:val="18"/>
              </w:rPr>
              <w:t>Higher taxon</w:t>
            </w:r>
          </w:p>
          <w:p w14:paraId="0A082DDB" w14:textId="77777777" w:rsidR="003D3694" w:rsidRPr="00747E35" w:rsidRDefault="003D3694" w:rsidP="0096743A">
            <w:pPr>
              <w:pStyle w:val="TableHead"/>
              <w:spacing w:before="0" w:after="0"/>
              <w:rPr>
                <w:rFonts w:asciiTheme="minorHAnsi" w:hAnsiTheme="minorHAnsi" w:cstheme="minorHAnsi"/>
                <w:b w:val="0"/>
                <w:sz w:val="18"/>
                <w:szCs w:val="18"/>
              </w:rPr>
            </w:pPr>
            <w:r w:rsidRPr="00747E35">
              <w:rPr>
                <w:rFonts w:asciiTheme="minorHAnsi" w:hAnsiTheme="minorHAnsi" w:cstheme="minorHAnsi"/>
                <w:b w:val="0"/>
                <w:sz w:val="18"/>
                <w:szCs w:val="18"/>
              </w:rPr>
              <w:t>rank 1</w:t>
            </w:r>
            <w:bookmarkEnd w:id="282"/>
          </w:p>
        </w:tc>
        <w:tc>
          <w:tcPr>
            <w:tcW w:w="1417" w:type="dxa"/>
            <w:tcBorders>
              <w:top w:val="single" w:sz="4" w:space="0" w:color="auto"/>
              <w:left w:val="nil"/>
              <w:bottom w:val="single" w:sz="4" w:space="0" w:color="auto"/>
              <w:right w:val="nil"/>
            </w:tcBorders>
            <w:shd w:val="clear" w:color="auto" w:fill="DEEAF6" w:themeFill="accent1" w:themeFillTint="33"/>
            <w:noWrap/>
            <w:vAlign w:val="center"/>
            <w:hideMark/>
          </w:tcPr>
          <w:p w14:paraId="76D3EA3F" w14:textId="77777777" w:rsidR="003D3694" w:rsidRPr="00747E35" w:rsidRDefault="003D3694" w:rsidP="0096743A">
            <w:pPr>
              <w:pStyle w:val="TableHead"/>
              <w:spacing w:before="0" w:after="0"/>
              <w:rPr>
                <w:rFonts w:asciiTheme="minorHAnsi" w:hAnsiTheme="minorHAnsi" w:cstheme="minorHAnsi"/>
                <w:b w:val="0"/>
                <w:sz w:val="18"/>
                <w:szCs w:val="18"/>
              </w:rPr>
            </w:pPr>
            <w:r w:rsidRPr="00747E35">
              <w:rPr>
                <w:rFonts w:asciiTheme="minorHAnsi" w:hAnsiTheme="minorHAnsi" w:cstheme="minorHAnsi"/>
                <w:b w:val="0"/>
                <w:sz w:val="18"/>
                <w:szCs w:val="18"/>
              </w:rPr>
              <w:t>Taxon rank 2</w:t>
            </w:r>
          </w:p>
        </w:tc>
        <w:tc>
          <w:tcPr>
            <w:tcW w:w="1985"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3ACE5BDD" w14:textId="77777777" w:rsidR="003D3694" w:rsidRPr="00747E35" w:rsidRDefault="003D3694" w:rsidP="0096743A">
            <w:pPr>
              <w:pStyle w:val="TableHead"/>
              <w:spacing w:before="0" w:after="0"/>
              <w:rPr>
                <w:rFonts w:asciiTheme="minorHAnsi" w:hAnsiTheme="minorHAnsi" w:cstheme="minorHAnsi"/>
                <w:b w:val="0"/>
                <w:sz w:val="18"/>
                <w:szCs w:val="18"/>
              </w:rPr>
            </w:pPr>
            <w:r w:rsidRPr="00747E35">
              <w:rPr>
                <w:rFonts w:asciiTheme="minorHAnsi" w:hAnsiTheme="minorHAnsi" w:cstheme="minorHAnsi"/>
                <w:b w:val="0"/>
                <w:sz w:val="18"/>
                <w:szCs w:val="18"/>
              </w:rPr>
              <w:t>Taxon rank 3 (family)</w:t>
            </w:r>
          </w:p>
        </w:tc>
        <w:tc>
          <w:tcPr>
            <w:tcW w:w="2551" w:type="dxa"/>
            <w:tcBorders>
              <w:top w:val="single" w:sz="4" w:space="0" w:color="auto"/>
              <w:left w:val="nil"/>
              <w:bottom w:val="single" w:sz="4" w:space="0" w:color="auto"/>
              <w:right w:val="nil"/>
            </w:tcBorders>
            <w:shd w:val="clear" w:color="auto" w:fill="DEEAF6" w:themeFill="accent1" w:themeFillTint="33"/>
            <w:noWrap/>
            <w:vAlign w:val="center"/>
            <w:hideMark/>
          </w:tcPr>
          <w:p w14:paraId="19A6F332" w14:textId="77777777" w:rsidR="003D3694" w:rsidRPr="00747E35" w:rsidRDefault="003D3694" w:rsidP="0096743A">
            <w:pPr>
              <w:pStyle w:val="TableHead"/>
              <w:spacing w:before="0" w:after="0"/>
              <w:rPr>
                <w:rFonts w:asciiTheme="minorHAnsi" w:hAnsiTheme="minorHAnsi" w:cstheme="minorHAnsi"/>
                <w:b w:val="0"/>
                <w:sz w:val="18"/>
                <w:szCs w:val="18"/>
              </w:rPr>
            </w:pPr>
            <w:r w:rsidRPr="00747E35">
              <w:rPr>
                <w:rFonts w:asciiTheme="minorHAnsi" w:hAnsiTheme="minorHAnsi" w:cstheme="minorHAnsi"/>
                <w:b w:val="0"/>
                <w:sz w:val="18"/>
                <w:szCs w:val="18"/>
              </w:rPr>
              <w:t>Lowest identified taxon</w:t>
            </w:r>
          </w:p>
        </w:tc>
        <w:tc>
          <w:tcPr>
            <w:tcW w:w="851"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34CC8AB3" w14:textId="77777777" w:rsidR="003D3694" w:rsidRPr="00747E35" w:rsidRDefault="003D3694" w:rsidP="0096743A">
            <w:pPr>
              <w:pStyle w:val="TableHead"/>
              <w:spacing w:before="0" w:after="0"/>
              <w:rPr>
                <w:rFonts w:asciiTheme="minorHAnsi" w:hAnsiTheme="minorHAnsi" w:cstheme="minorHAnsi"/>
                <w:b w:val="0"/>
                <w:sz w:val="18"/>
                <w:szCs w:val="18"/>
              </w:rPr>
            </w:pPr>
            <w:r w:rsidRPr="00747E35">
              <w:rPr>
                <w:rFonts w:asciiTheme="minorHAnsi" w:hAnsiTheme="minorHAnsi" w:cstheme="minorHAnsi"/>
                <w:b w:val="0"/>
                <w:sz w:val="18"/>
                <w:szCs w:val="18"/>
              </w:rPr>
              <w:t>GHA*</w:t>
            </w:r>
          </w:p>
        </w:tc>
        <w:tc>
          <w:tcPr>
            <w:tcW w:w="425"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25F1BE16" w14:textId="77777777" w:rsidR="003D3694" w:rsidRPr="00747E35" w:rsidRDefault="003D3694" w:rsidP="0096743A">
            <w:pPr>
              <w:pStyle w:val="TableHead"/>
              <w:spacing w:before="0" w:after="0"/>
              <w:jc w:val="center"/>
              <w:rPr>
                <w:rFonts w:asciiTheme="minorHAnsi" w:hAnsiTheme="minorHAnsi" w:cstheme="minorHAnsi"/>
                <w:b w:val="0"/>
                <w:sz w:val="18"/>
                <w:szCs w:val="18"/>
              </w:rPr>
            </w:pPr>
            <w:r w:rsidRPr="00747E35">
              <w:rPr>
                <w:rFonts w:asciiTheme="minorHAnsi" w:hAnsiTheme="minorHAnsi" w:cstheme="minorHAnsi"/>
                <w:b w:val="0"/>
                <w:sz w:val="18"/>
                <w:szCs w:val="18"/>
              </w:rPr>
              <w:t>BR</w:t>
            </w:r>
          </w:p>
          <w:p w14:paraId="4616094A" w14:textId="77777777" w:rsidR="003D3694" w:rsidRPr="00747E35" w:rsidRDefault="003D3694" w:rsidP="0096743A">
            <w:pPr>
              <w:pStyle w:val="TableHead"/>
              <w:spacing w:before="0" w:after="0"/>
              <w:jc w:val="center"/>
              <w:rPr>
                <w:rFonts w:asciiTheme="minorHAnsi" w:hAnsiTheme="minorHAnsi" w:cstheme="minorHAnsi"/>
                <w:b w:val="0"/>
                <w:sz w:val="18"/>
                <w:szCs w:val="18"/>
              </w:rPr>
            </w:pPr>
            <w:r w:rsidRPr="00747E35">
              <w:rPr>
                <w:rFonts w:asciiTheme="minorHAnsi" w:hAnsiTheme="minorHAnsi" w:cstheme="minorHAnsi"/>
                <w:b w:val="0"/>
                <w:sz w:val="18"/>
                <w:szCs w:val="18"/>
              </w:rPr>
              <w:t>H</w:t>
            </w:r>
          </w:p>
        </w:tc>
        <w:tc>
          <w:tcPr>
            <w:tcW w:w="567"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566F37AB" w14:textId="77777777" w:rsidR="003D3694" w:rsidRPr="00747E35" w:rsidRDefault="003D3694" w:rsidP="0096743A">
            <w:pPr>
              <w:pStyle w:val="TableHead"/>
              <w:spacing w:before="0" w:after="0"/>
              <w:jc w:val="center"/>
              <w:rPr>
                <w:rFonts w:asciiTheme="minorHAnsi" w:hAnsiTheme="minorHAnsi" w:cstheme="minorHAnsi"/>
                <w:b w:val="0"/>
                <w:sz w:val="18"/>
                <w:szCs w:val="18"/>
              </w:rPr>
            </w:pPr>
            <w:r w:rsidRPr="00747E35">
              <w:rPr>
                <w:rFonts w:asciiTheme="minorHAnsi" w:hAnsiTheme="minorHAnsi" w:cstheme="minorHAnsi"/>
                <w:b w:val="0"/>
                <w:sz w:val="18"/>
                <w:szCs w:val="18"/>
              </w:rPr>
              <w:t>MC</w:t>
            </w:r>
          </w:p>
          <w:p w14:paraId="03B78885" w14:textId="77777777" w:rsidR="003D3694" w:rsidRPr="00747E35" w:rsidRDefault="003D3694" w:rsidP="0096743A">
            <w:pPr>
              <w:pStyle w:val="TableHead"/>
              <w:spacing w:before="0" w:after="0"/>
              <w:jc w:val="center"/>
              <w:rPr>
                <w:rFonts w:asciiTheme="minorHAnsi" w:hAnsiTheme="minorHAnsi" w:cstheme="minorHAnsi"/>
                <w:b w:val="0"/>
                <w:sz w:val="18"/>
                <w:szCs w:val="18"/>
              </w:rPr>
            </w:pPr>
            <w:r w:rsidRPr="00747E35">
              <w:rPr>
                <w:rFonts w:asciiTheme="minorHAnsi" w:hAnsiTheme="minorHAnsi" w:cstheme="minorHAnsi"/>
                <w:b w:val="0"/>
                <w:sz w:val="18"/>
                <w:szCs w:val="18"/>
              </w:rPr>
              <w:t>H</w:t>
            </w:r>
          </w:p>
        </w:tc>
        <w:tc>
          <w:tcPr>
            <w:tcW w:w="532"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32FD1149" w14:textId="77777777" w:rsidR="003D3694" w:rsidRPr="00747E35" w:rsidRDefault="003D3694" w:rsidP="0096743A">
            <w:pPr>
              <w:pStyle w:val="TableHead"/>
              <w:spacing w:before="0" w:after="0"/>
              <w:jc w:val="center"/>
              <w:rPr>
                <w:rFonts w:asciiTheme="minorHAnsi" w:hAnsiTheme="minorHAnsi" w:cstheme="minorHAnsi"/>
                <w:b w:val="0"/>
                <w:sz w:val="18"/>
                <w:szCs w:val="18"/>
              </w:rPr>
            </w:pPr>
            <w:r w:rsidRPr="00747E35">
              <w:rPr>
                <w:rFonts w:asciiTheme="minorHAnsi" w:hAnsiTheme="minorHAnsi" w:cstheme="minorHAnsi"/>
                <w:b w:val="0"/>
                <w:sz w:val="18"/>
                <w:szCs w:val="18"/>
              </w:rPr>
              <w:t>MC</w:t>
            </w:r>
          </w:p>
          <w:p w14:paraId="318CF57D" w14:textId="77777777" w:rsidR="003D3694" w:rsidRPr="00747E35" w:rsidRDefault="003D3694" w:rsidP="0096743A">
            <w:pPr>
              <w:pStyle w:val="TableHead"/>
              <w:spacing w:before="0" w:after="0"/>
              <w:jc w:val="center"/>
              <w:rPr>
                <w:rFonts w:asciiTheme="minorHAnsi" w:hAnsiTheme="minorHAnsi" w:cstheme="minorHAnsi"/>
                <w:b w:val="0"/>
                <w:sz w:val="18"/>
                <w:szCs w:val="18"/>
              </w:rPr>
            </w:pPr>
            <w:r w:rsidRPr="00747E35">
              <w:rPr>
                <w:rFonts w:asciiTheme="minorHAnsi" w:hAnsiTheme="minorHAnsi" w:cstheme="minorHAnsi"/>
                <w:b w:val="0"/>
                <w:sz w:val="18"/>
                <w:szCs w:val="18"/>
              </w:rPr>
              <w:t>A</w:t>
            </w:r>
          </w:p>
        </w:tc>
      </w:tr>
      <w:tr w:rsidR="003D3694" w:rsidRPr="00747E35" w14:paraId="4CDD70CE"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64E558D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Crustacea</w:t>
            </w:r>
          </w:p>
        </w:tc>
        <w:tc>
          <w:tcPr>
            <w:tcW w:w="1417" w:type="dxa"/>
            <w:tcBorders>
              <w:top w:val="nil"/>
              <w:left w:val="nil"/>
              <w:bottom w:val="nil"/>
              <w:right w:val="nil"/>
            </w:tcBorders>
            <w:shd w:val="clear" w:color="auto" w:fill="auto"/>
            <w:noWrap/>
            <w:vAlign w:val="center"/>
            <w:hideMark/>
          </w:tcPr>
          <w:p w14:paraId="4D8E1B5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Amphipoda</w:t>
            </w:r>
          </w:p>
        </w:tc>
        <w:tc>
          <w:tcPr>
            <w:tcW w:w="1985" w:type="dxa"/>
            <w:tcBorders>
              <w:top w:val="nil"/>
              <w:left w:val="single" w:sz="4" w:space="0" w:color="auto"/>
              <w:bottom w:val="nil"/>
              <w:right w:val="single" w:sz="4" w:space="0" w:color="auto"/>
            </w:tcBorders>
            <w:shd w:val="clear" w:color="auto" w:fill="auto"/>
            <w:noWrap/>
            <w:vAlign w:val="center"/>
            <w:hideMark/>
          </w:tcPr>
          <w:p w14:paraId="5FBB3C9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Amphipoda_Fam._indet._Ep</w:t>
            </w:r>
          </w:p>
        </w:tc>
        <w:tc>
          <w:tcPr>
            <w:tcW w:w="2551" w:type="dxa"/>
            <w:tcBorders>
              <w:top w:val="nil"/>
              <w:left w:val="nil"/>
              <w:bottom w:val="nil"/>
              <w:right w:val="nil"/>
            </w:tcBorders>
            <w:shd w:val="clear" w:color="auto" w:fill="auto"/>
            <w:noWrap/>
            <w:vAlign w:val="center"/>
            <w:hideMark/>
          </w:tcPr>
          <w:p w14:paraId="2D0FFC8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Amphipoda_Fam._indet._Ep</w:t>
            </w:r>
          </w:p>
        </w:tc>
        <w:tc>
          <w:tcPr>
            <w:tcW w:w="851" w:type="dxa"/>
            <w:tcBorders>
              <w:top w:val="nil"/>
              <w:left w:val="single" w:sz="4" w:space="0" w:color="auto"/>
              <w:bottom w:val="nil"/>
              <w:right w:val="single" w:sz="4" w:space="0" w:color="auto"/>
            </w:tcBorders>
            <w:shd w:val="clear" w:color="auto" w:fill="auto"/>
            <w:noWrap/>
            <w:vAlign w:val="center"/>
            <w:hideMark/>
          </w:tcPr>
          <w:p w14:paraId="59572C5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Ep</w:t>
            </w:r>
          </w:p>
        </w:tc>
        <w:tc>
          <w:tcPr>
            <w:tcW w:w="425" w:type="dxa"/>
            <w:tcBorders>
              <w:top w:val="nil"/>
              <w:left w:val="nil"/>
              <w:bottom w:val="nil"/>
              <w:right w:val="nil"/>
            </w:tcBorders>
            <w:shd w:val="clear" w:color="auto" w:fill="auto"/>
            <w:vAlign w:val="center"/>
            <w:hideMark/>
          </w:tcPr>
          <w:p w14:paraId="004DF8E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67" w:type="dxa"/>
            <w:tcBorders>
              <w:top w:val="nil"/>
              <w:left w:val="single" w:sz="4" w:space="0" w:color="auto"/>
              <w:bottom w:val="nil"/>
              <w:right w:val="single" w:sz="4" w:space="0" w:color="auto"/>
            </w:tcBorders>
            <w:shd w:val="clear" w:color="auto" w:fill="auto"/>
            <w:vAlign w:val="center"/>
            <w:hideMark/>
          </w:tcPr>
          <w:p w14:paraId="4A51845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344EC4B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2DE22E36"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663D5DE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5B479924"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64CAE57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Neoniphargidae</w:t>
            </w:r>
          </w:p>
        </w:tc>
        <w:tc>
          <w:tcPr>
            <w:tcW w:w="2551" w:type="dxa"/>
            <w:tcBorders>
              <w:top w:val="nil"/>
              <w:left w:val="nil"/>
              <w:bottom w:val="nil"/>
              <w:right w:val="nil"/>
            </w:tcBorders>
            <w:shd w:val="clear" w:color="auto" w:fill="auto"/>
            <w:noWrap/>
            <w:vAlign w:val="center"/>
            <w:hideMark/>
          </w:tcPr>
          <w:p w14:paraId="56D151C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Neoniphargidae_MC_Sb</w:t>
            </w:r>
          </w:p>
        </w:tc>
        <w:tc>
          <w:tcPr>
            <w:tcW w:w="851" w:type="dxa"/>
            <w:tcBorders>
              <w:top w:val="nil"/>
              <w:left w:val="single" w:sz="4" w:space="0" w:color="auto"/>
              <w:bottom w:val="nil"/>
              <w:right w:val="single" w:sz="4" w:space="0" w:color="auto"/>
            </w:tcBorders>
            <w:shd w:val="clear" w:color="auto" w:fill="auto"/>
            <w:noWrap/>
            <w:vAlign w:val="center"/>
            <w:hideMark/>
          </w:tcPr>
          <w:p w14:paraId="373B39C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Sb</w:t>
            </w:r>
          </w:p>
        </w:tc>
        <w:tc>
          <w:tcPr>
            <w:tcW w:w="425" w:type="dxa"/>
            <w:tcBorders>
              <w:top w:val="nil"/>
              <w:left w:val="nil"/>
              <w:bottom w:val="nil"/>
              <w:right w:val="nil"/>
            </w:tcBorders>
            <w:shd w:val="clear" w:color="auto" w:fill="auto"/>
            <w:vAlign w:val="center"/>
            <w:hideMark/>
          </w:tcPr>
          <w:p w14:paraId="762546A2" w14:textId="77777777" w:rsidR="003D3694" w:rsidRPr="00747E35" w:rsidRDefault="003D3694" w:rsidP="0096743A">
            <w:pPr>
              <w:pStyle w:val="Tabletext"/>
              <w:spacing w:before="0" w:after="0"/>
              <w:rPr>
                <w:rFonts w:cstheme="minorHAnsi"/>
                <w:lang w:eastAsia="en-AU"/>
              </w:rPr>
            </w:pPr>
          </w:p>
        </w:tc>
        <w:tc>
          <w:tcPr>
            <w:tcW w:w="567" w:type="dxa"/>
            <w:tcBorders>
              <w:top w:val="nil"/>
              <w:left w:val="single" w:sz="4" w:space="0" w:color="auto"/>
              <w:bottom w:val="nil"/>
              <w:right w:val="single" w:sz="4" w:space="0" w:color="auto"/>
            </w:tcBorders>
            <w:shd w:val="clear" w:color="auto" w:fill="auto"/>
            <w:vAlign w:val="center"/>
            <w:hideMark/>
          </w:tcPr>
          <w:p w14:paraId="0F13BAE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02F5E1C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4B3555C5"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59138E9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5E51C71D"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02508D5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Neoniphargidae</w:t>
            </w:r>
          </w:p>
        </w:tc>
        <w:tc>
          <w:tcPr>
            <w:tcW w:w="2551" w:type="dxa"/>
            <w:tcBorders>
              <w:top w:val="nil"/>
              <w:left w:val="nil"/>
              <w:bottom w:val="nil"/>
              <w:right w:val="nil"/>
            </w:tcBorders>
            <w:shd w:val="clear" w:color="auto" w:fill="auto"/>
            <w:noWrap/>
            <w:vAlign w:val="center"/>
            <w:hideMark/>
          </w:tcPr>
          <w:p w14:paraId="674AE20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Neoniphargidae_QLD_Sb</w:t>
            </w:r>
          </w:p>
        </w:tc>
        <w:tc>
          <w:tcPr>
            <w:tcW w:w="851" w:type="dxa"/>
            <w:tcBorders>
              <w:top w:val="nil"/>
              <w:left w:val="single" w:sz="4" w:space="0" w:color="auto"/>
              <w:bottom w:val="nil"/>
              <w:right w:val="single" w:sz="4" w:space="0" w:color="auto"/>
            </w:tcBorders>
            <w:shd w:val="clear" w:color="auto" w:fill="auto"/>
            <w:noWrap/>
            <w:vAlign w:val="center"/>
            <w:hideMark/>
          </w:tcPr>
          <w:p w14:paraId="3ECCF7F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Sb</w:t>
            </w:r>
          </w:p>
        </w:tc>
        <w:tc>
          <w:tcPr>
            <w:tcW w:w="425" w:type="dxa"/>
            <w:tcBorders>
              <w:top w:val="nil"/>
              <w:left w:val="nil"/>
              <w:bottom w:val="nil"/>
              <w:right w:val="nil"/>
            </w:tcBorders>
            <w:shd w:val="clear" w:color="auto" w:fill="auto"/>
            <w:vAlign w:val="center"/>
            <w:hideMark/>
          </w:tcPr>
          <w:p w14:paraId="585180A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single" w:sz="4" w:space="0" w:color="auto"/>
              <w:bottom w:val="nil"/>
              <w:right w:val="single" w:sz="4" w:space="0" w:color="auto"/>
            </w:tcBorders>
            <w:shd w:val="clear" w:color="auto" w:fill="auto"/>
            <w:vAlign w:val="center"/>
            <w:hideMark/>
          </w:tcPr>
          <w:p w14:paraId="49C1F3F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32" w:type="dxa"/>
            <w:tcBorders>
              <w:top w:val="nil"/>
              <w:left w:val="nil"/>
              <w:bottom w:val="nil"/>
              <w:right w:val="single" w:sz="4" w:space="0" w:color="auto"/>
            </w:tcBorders>
            <w:shd w:val="clear" w:color="auto" w:fill="auto"/>
            <w:vAlign w:val="center"/>
            <w:hideMark/>
          </w:tcPr>
          <w:p w14:paraId="30B92E6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3A406C86"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58283D2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1AC00D0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Syncarida</w:t>
            </w:r>
          </w:p>
        </w:tc>
        <w:tc>
          <w:tcPr>
            <w:tcW w:w="1985" w:type="dxa"/>
            <w:tcBorders>
              <w:top w:val="nil"/>
              <w:left w:val="single" w:sz="4" w:space="0" w:color="auto"/>
              <w:bottom w:val="nil"/>
              <w:right w:val="single" w:sz="4" w:space="0" w:color="auto"/>
            </w:tcBorders>
            <w:shd w:val="clear" w:color="auto" w:fill="auto"/>
            <w:noWrap/>
            <w:vAlign w:val="center"/>
            <w:hideMark/>
          </w:tcPr>
          <w:p w14:paraId="54C01D3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Bathynellidae</w:t>
            </w:r>
          </w:p>
        </w:tc>
        <w:tc>
          <w:tcPr>
            <w:tcW w:w="2551" w:type="dxa"/>
            <w:tcBorders>
              <w:top w:val="nil"/>
              <w:left w:val="nil"/>
              <w:bottom w:val="nil"/>
              <w:right w:val="nil"/>
            </w:tcBorders>
            <w:shd w:val="clear" w:color="auto" w:fill="auto"/>
            <w:noWrap/>
            <w:vAlign w:val="center"/>
            <w:hideMark/>
          </w:tcPr>
          <w:p w14:paraId="692E44E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Bathynellidae_sp 1</w:t>
            </w:r>
          </w:p>
        </w:tc>
        <w:tc>
          <w:tcPr>
            <w:tcW w:w="851" w:type="dxa"/>
            <w:tcBorders>
              <w:top w:val="nil"/>
              <w:left w:val="single" w:sz="4" w:space="0" w:color="auto"/>
              <w:bottom w:val="nil"/>
              <w:right w:val="single" w:sz="4" w:space="0" w:color="auto"/>
            </w:tcBorders>
            <w:shd w:val="clear" w:color="auto" w:fill="auto"/>
            <w:noWrap/>
            <w:vAlign w:val="center"/>
            <w:hideMark/>
          </w:tcPr>
          <w:p w14:paraId="2F168EB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Sb</w:t>
            </w:r>
          </w:p>
        </w:tc>
        <w:tc>
          <w:tcPr>
            <w:tcW w:w="425" w:type="dxa"/>
            <w:tcBorders>
              <w:top w:val="nil"/>
              <w:left w:val="nil"/>
              <w:bottom w:val="nil"/>
              <w:right w:val="nil"/>
            </w:tcBorders>
            <w:shd w:val="clear" w:color="auto" w:fill="auto"/>
            <w:vAlign w:val="center"/>
            <w:hideMark/>
          </w:tcPr>
          <w:p w14:paraId="0F6EB850" w14:textId="77777777" w:rsidR="003D3694" w:rsidRPr="00747E35" w:rsidRDefault="003D3694" w:rsidP="0096743A">
            <w:pPr>
              <w:pStyle w:val="Tabletext"/>
              <w:spacing w:before="0" w:after="0"/>
              <w:rPr>
                <w:rFonts w:cstheme="minorHAnsi"/>
                <w:lang w:eastAsia="en-AU"/>
              </w:rPr>
            </w:pPr>
          </w:p>
        </w:tc>
        <w:tc>
          <w:tcPr>
            <w:tcW w:w="567" w:type="dxa"/>
            <w:tcBorders>
              <w:top w:val="nil"/>
              <w:left w:val="single" w:sz="4" w:space="0" w:color="auto"/>
              <w:bottom w:val="nil"/>
              <w:right w:val="single" w:sz="4" w:space="0" w:color="auto"/>
            </w:tcBorders>
            <w:shd w:val="clear" w:color="auto" w:fill="auto"/>
            <w:vAlign w:val="center"/>
            <w:hideMark/>
          </w:tcPr>
          <w:p w14:paraId="25A18BC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417B823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599895F0"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54902F0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3A687A3B"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5525F1B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Bathynellidae</w:t>
            </w:r>
          </w:p>
        </w:tc>
        <w:tc>
          <w:tcPr>
            <w:tcW w:w="2551" w:type="dxa"/>
            <w:tcBorders>
              <w:top w:val="nil"/>
              <w:left w:val="nil"/>
              <w:bottom w:val="nil"/>
              <w:right w:val="nil"/>
            </w:tcBorders>
            <w:shd w:val="clear" w:color="auto" w:fill="auto"/>
            <w:noWrap/>
            <w:vAlign w:val="center"/>
            <w:hideMark/>
          </w:tcPr>
          <w:p w14:paraId="2BB7C45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Bathynellidae_sp 2</w:t>
            </w:r>
          </w:p>
        </w:tc>
        <w:tc>
          <w:tcPr>
            <w:tcW w:w="851" w:type="dxa"/>
            <w:tcBorders>
              <w:top w:val="nil"/>
              <w:left w:val="single" w:sz="4" w:space="0" w:color="auto"/>
              <w:bottom w:val="nil"/>
              <w:right w:val="single" w:sz="4" w:space="0" w:color="auto"/>
            </w:tcBorders>
            <w:shd w:val="clear" w:color="auto" w:fill="auto"/>
            <w:noWrap/>
            <w:vAlign w:val="center"/>
            <w:hideMark/>
          </w:tcPr>
          <w:p w14:paraId="43F5026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Sb</w:t>
            </w:r>
          </w:p>
        </w:tc>
        <w:tc>
          <w:tcPr>
            <w:tcW w:w="425" w:type="dxa"/>
            <w:tcBorders>
              <w:top w:val="nil"/>
              <w:left w:val="nil"/>
              <w:bottom w:val="nil"/>
              <w:right w:val="nil"/>
            </w:tcBorders>
            <w:shd w:val="clear" w:color="auto" w:fill="auto"/>
            <w:vAlign w:val="center"/>
            <w:hideMark/>
          </w:tcPr>
          <w:p w14:paraId="296AAC8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single" w:sz="4" w:space="0" w:color="auto"/>
              <w:bottom w:val="nil"/>
              <w:right w:val="single" w:sz="4" w:space="0" w:color="auto"/>
            </w:tcBorders>
            <w:shd w:val="clear" w:color="auto" w:fill="auto"/>
            <w:vAlign w:val="center"/>
            <w:hideMark/>
          </w:tcPr>
          <w:p w14:paraId="7C69487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32" w:type="dxa"/>
            <w:tcBorders>
              <w:top w:val="nil"/>
              <w:left w:val="nil"/>
              <w:bottom w:val="nil"/>
              <w:right w:val="single" w:sz="4" w:space="0" w:color="auto"/>
            </w:tcBorders>
            <w:shd w:val="clear" w:color="auto" w:fill="auto"/>
            <w:vAlign w:val="center"/>
            <w:hideMark/>
          </w:tcPr>
          <w:p w14:paraId="6E0F3CB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2CDDF755"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4DBCFC3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6624B6A0"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297F008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Bathynellidae</w:t>
            </w:r>
          </w:p>
        </w:tc>
        <w:tc>
          <w:tcPr>
            <w:tcW w:w="2551" w:type="dxa"/>
            <w:tcBorders>
              <w:top w:val="nil"/>
              <w:left w:val="nil"/>
              <w:bottom w:val="nil"/>
              <w:right w:val="nil"/>
            </w:tcBorders>
            <w:shd w:val="clear" w:color="auto" w:fill="auto"/>
            <w:noWrap/>
            <w:vAlign w:val="center"/>
            <w:hideMark/>
          </w:tcPr>
          <w:p w14:paraId="0843095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Bathynellidae_sp 3</w:t>
            </w:r>
          </w:p>
        </w:tc>
        <w:tc>
          <w:tcPr>
            <w:tcW w:w="851" w:type="dxa"/>
            <w:tcBorders>
              <w:top w:val="nil"/>
              <w:left w:val="single" w:sz="4" w:space="0" w:color="auto"/>
              <w:bottom w:val="nil"/>
              <w:right w:val="single" w:sz="4" w:space="0" w:color="auto"/>
            </w:tcBorders>
            <w:shd w:val="clear" w:color="auto" w:fill="auto"/>
            <w:noWrap/>
            <w:vAlign w:val="center"/>
            <w:hideMark/>
          </w:tcPr>
          <w:p w14:paraId="0EC9219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Sb</w:t>
            </w:r>
          </w:p>
        </w:tc>
        <w:tc>
          <w:tcPr>
            <w:tcW w:w="425" w:type="dxa"/>
            <w:tcBorders>
              <w:top w:val="nil"/>
              <w:left w:val="nil"/>
              <w:bottom w:val="nil"/>
              <w:right w:val="nil"/>
            </w:tcBorders>
            <w:shd w:val="clear" w:color="auto" w:fill="auto"/>
            <w:vAlign w:val="center"/>
            <w:hideMark/>
          </w:tcPr>
          <w:p w14:paraId="551AB4C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single" w:sz="4" w:space="0" w:color="auto"/>
              <w:bottom w:val="nil"/>
              <w:right w:val="single" w:sz="4" w:space="0" w:color="auto"/>
            </w:tcBorders>
            <w:shd w:val="clear" w:color="auto" w:fill="auto"/>
            <w:vAlign w:val="center"/>
            <w:hideMark/>
          </w:tcPr>
          <w:p w14:paraId="7C956FE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32" w:type="dxa"/>
            <w:tcBorders>
              <w:top w:val="nil"/>
              <w:left w:val="nil"/>
              <w:bottom w:val="nil"/>
              <w:right w:val="single" w:sz="4" w:space="0" w:color="auto"/>
            </w:tcBorders>
            <w:shd w:val="clear" w:color="auto" w:fill="auto"/>
            <w:vAlign w:val="center"/>
            <w:hideMark/>
          </w:tcPr>
          <w:p w14:paraId="0BF40E8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7802663E"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5A664AC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214E7D8C"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5B33168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Bathynellidae</w:t>
            </w:r>
          </w:p>
        </w:tc>
        <w:tc>
          <w:tcPr>
            <w:tcW w:w="2551" w:type="dxa"/>
            <w:tcBorders>
              <w:top w:val="nil"/>
              <w:left w:val="nil"/>
              <w:bottom w:val="nil"/>
              <w:right w:val="nil"/>
            </w:tcBorders>
            <w:shd w:val="clear" w:color="auto" w:fill="auto"/>
            <w:noWrap/>
            <w:vAlign w:val="center"/>
            <w:hideMark/>
          </w:tcPr>
          <w:p w14:paraId="51F37156" w14:textId="77777777" w:rsidR="003D3694" w:rsidRPr="00747E35" w:rsidRDefault="003D3694" w:rsidP="0096743A">
            <w:pPr>
              <w:pStyle w:val="Tabletext"/>
              <w:spacing w:before="0" w:after="0"/>
              <w:rPr>
                <w:rFonts w:cstheme="minorHAnsi"/>
                <w:b/>
                <w:bCs/>
                <w:lang w:eastAsia="en-AU"/>
              </w:rPr>
            </w:pPr>
            <w:r w:rsidRPr="00747E35">
              <w:rPr>
                <w:rFonts w:cstheme="minorHAnsi"/>
                <w:b/>
                <w:lang w:eastAsia="en-AU"/>
              </w:rPr>
              <w:t>Bathynellidae_indet.</w:t>
            </w:r>
          </w:p>
        </w:tc>
        <w:tc>
          <w:tcPr>
            <w:tcW w:w="851" w:type="dxa"/>
            <w:tcBorders>
              <w:top w:val="nil"/>
              <w:left w:val="single" w:sz="4" w:space="0" w:color="auto"/>
              <w:bottom w:val="nil"/>
              <w:right w:val="single" w:sz="4" w:space="0" w:color="auto"/>
            </w:tcBorders>
            <w:shd w:val="clear" w:color="auto" w:fill="auto"/>
            <w:noWrap/>
            <w:vAlign w:val="center"/>
            <w:hideMark/>
          </w:tcPr>
          <w:p w14:paraId="034FD09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Sb</w:t>
            </w:r>
          </w:p>
        </w:tc>
        <w:tc>
          <w:tcPr>
            <w:tcW w:w="425" w:type="dxa"/>
            <w:tcBorders>
              <w:top w:val="nil"/>
              <w:left w:val="nil"/>
              <w:bottom w:val="nil"/>
              <w:right w:val="nil"/>
            </w:tcBorders>
            <w:shd w:val="clear" w:color="auto" w:fill="auto"/>
            <w:vAlign w:val="center"/>
            <w:hideMark/>
          </w:tcPr>
          <w:p w14:paraId="28026E0D" w14:textId="77777777" w:rsidR="003D3694" w:rsidRPr="00747E35" w:rsidRDefault="003D3694" w:rsidP="0096743A">
            <w:pPr>
              <w:pStyle w:val="Tabletext"/>
              <w:spacing w:before="0" w:after="0"/>
              <w:rPr>
                <w:rFonts w:cstheme="minorHAnsi"/>
                <w:lang w:eastAsia="en-AU"/>
              </w:rPr>
            </w:pPr>
          </w:p>
        </w:tc>
        <w:tc>
          <w:tcPr>
            <w:tcW w:w="567" w:type="dxa"/>
            <w:tcBorders>
              <w:top w:val="nil"/>
              <w:left w:val="single" w:sz="4" w:space="0" w:color="auto"/>
              <w:bottom w:val="nil"/>
              <w:right w:val="single" w:sz="4" w:space="0" w:color="auto"/>
            </w:tcBorders>
            <w:shd w:val="clear" w:color="auto" w:fill="auto"/>
            <w:vAlign w:val="center"/>
            <w:hideMark/>
          </w:tcPr>
          <w:p w14:paraId="0044B4D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66DAEEA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65AFD72B"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0F193E2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56713727"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505DB1B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Parabathynellidae</w:t>
            </w:r>
          </w:p>
        </w:tc>
        <w:tc>
          <w:tcPr>
            <w:tcW w:w="2551" w:type="dxa"/>
            <w:tcBorders>
              <w:top w:val="nil"/>
              <w:left w:val="nil"/>
              <w:bottom w:val="nil"/>
              <w:right w:val="nil"/>
            </w:tcBorders>
            <w:shd w:val="clear" w:color="auto" w:fill="auto"/>
            <w:noWrap/>
            <w:vAlign w:val="center"/>
            <w:hideMark/>
          </w:tcPr>
          <w:p w14:paraId="35780F4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Parabathynellidae_sp 1</w:t>
            </w:r>
          </w:p>
        </w:tc>
        <w:tc>
          <w:tcPr>
            <w:tcW w:w="851" w:type="dxa"/>
            <w:tcBorders>
              <w:top w:val="nil"/>
              <w:left w:val="single" w:sz="4" w:space="0" w:color="auto"/>
              <w:bottom w:val="nil"/>
              <w:right w:val="single" w:sz="4" w:space="0" w:color="auto"/>
            </w:tcBorders>
            <w:shd w:val="clear" w:color="auto" w:fill="auto"/>
            <w:noWrap/>
            <w:vAlign w:val="center"/>
            <w:hideMark/>
          </w:tcPr>
          <w:p w14:paraId="59EDEC8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Sb</w:t>
            </w:r>
          </w:p>
        </w:tc>
        <w:tc>
          <w:tcPr>
            <w:tcW w:w="425" w:type="dxa"/>
            <w:tcBorders>
              <w:top w:val="nil"/>
              <w:left w:val="nil"/>
              <w:bottom w:val="nil"/>
              <w:right w:val="nil"/>
            </w:tcBorders>
            <w:shd w:val="clear" w:color="auto" w:fill="auto"/>
            <w:vAlign w:val="center"/>
            <w:hideMark/>
          </w:tcPr>
          <w:p w14:paraId="1798E96B" w14:textId="77777777" w:rsidR="003D3694" w:rsidRPr="00747E35" w:rsidRDefault="003D3694" w:rsidP="0096743A">
            <w:pPr>
              <w:pStyle w:val="Tabletext"/>
              <w:spacing w:before="0" w:after="0"/>
              <w:rPr>
                <w:rFonts w:cstheme="minorHAnsi"/>
                <w:lang w:eastAsia="en-AU"/>
              </w:rPr>
            </w:pPr>
          </w:p>
        </w:tc>
        <w:tc>
          <w:tcPr>
            <w:tcW w:w="567" w:type="dxa"/>
            <w:tcBorders>
              <w:top w:val="nil"/>
              <w:left w:val="single" w:sz="4" w:space="0" w:color="auto"/>
              <w:bottom w:val="nil"/>
              <w:right w:val="single" w:sz="4" w:space="0" w:color="auto"/>
            </w:tcBorders>
            <w:shd w:val="clear" w:color="auto" w:fill="auto"/>
            <w:vAlign w:val="center"/>
            <w:hideMark/>
          </w:tcPr>
          <w:p w14:paraId="603F5B9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79A90EF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149F34FE"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25DE8AB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657CCFF1"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0042509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Parabathynellidae</w:t>
            </w:r>
          </w:p>
        </w:tc>
        <w:tc>
          <w:tcPr>
            <w:tcW w:w="2551" w:type="dxa"/>
            <w:tcBorders>
              <w:top w:val="nil"/>
              <w:left w:val="nil"/>
              <w:bottom w:val="nil"/>
              <w:right w:val="nil"/>
            </w:tcBorders>
            <w:shd w:val="clear" w:color="auto" w:fill="auto"/>
            <w:noWrap/>
            <w:vAlign w:val="center"/>
            <w:hideMark/>
          </w:tcPr>
          <w:p w14:paraId="0B1B0E0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Parabathynellidae_sp 3</w:t>
            </w:r>
          </w:p>
        </w:tc>
        <w:tc>
          <w:tcPr>
            <w:tcW w:w="851" w:type="dxa"/>
            <w:tcBorders>
              <w:top w:val="nil"/>
              <w:left w:val="single" w:sz="4" w:space="0" w:color="auto"/>
              <w:bottom w:val="nil"/>
              <w:right w:val="single" w:sz="4" w:space="0" w:color="auto"/>
            </w:tcBorders>
            <w:shd w:val="clear" w:color="auto" w:fill="auto"/>
            <w:noWrap/>
            <w:vAlign w:val="center"/>
            <w:hideMark/>
          </w:tcPr>
          <w:p w14:paraId="27F69DA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Sb</w:t>
            </w:r>
          </w:p>
        </w:tc>
        <w:tc>
          <w:tcPr>
            <w:tcW w:w="425" w:type="dxa"/>
            <w:tcBorders>
              <w:top w:val="nil"/>
              <w:left w:val="nil"/>
              <w:bottom w:val="nil"/>
              <w:right w:val="nil"/>
            </w:tcBorders>
            <w:shd w:val="clear" w:color="auto" w:fill="auto"/>
            <w:vAlign w:val="center"/>
            <w:hideMark/>
          </w:tcPr>
          <w:p w14:paraId="3B0A055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single" w:sz="4" w:space="0" w:color="auto"/>
              <w:bottom w:val="nil"/>
              <w:right w:val="single" w:sz="4" w:space="0" w:color="auto"/>
            </w:tcBorders>
            <w:shd w:val="clear" w:color="auto" w:fill="auto"/>
            <w:vAlign w:val="center"/>
            <w:hideMark/>
          </w:tcPr>
          <w:p w14:paraId="0A7BBFB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32" w:type="dxa"/>
            <w:tcBorders>
              <w:top w:val="nil"/>
              <w:left w:val="nil"/>
              <w:bottom w:val="nil"/>
              <w:right w:val="single" w:sz="4" w:space="0" w:color="auto"/>
            </w:tcBorders>
            <w:shd w:val="clear" w:color="auto" w:fill="auto"/>
            <w:vAlign w:val="center"/>
            <w:hideMark/>
          </w:tcPr>
          <w:p w14:paraId="4876E79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5439BF33"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3AC0C36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1014F2B4"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0EAFA44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Parabathynellidae</w:t>
            </w:r>
          </w:p>
        </w:tc>
        <w:tc>
          <w:tcPr>
            <w:tcW w:w="2551" w:type="dxa"/>
            <w:tcBorders>
              <w:top w:val="nil"/>
              <w:left w:val="nil"/>
              <w:bottom w:val="nil"/>
              <w:right w:val="nil"/>
            </w:tcBorders>
            <w:shd w:val="clear" w:color="auto" w:fill="auto"/>
            <w:noWrap/>
            <w:vAlign w:val="center"/>
            <w:hideMark/>
          </w:tcPr>
          <w:p w14:paraId="033E1D2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Parabathynellidae_sp 4</w:t>
            </w:r>
          </w:p>
        </w:tc>
        <w:tc>
          <w:tcPr>
            <w:tcW w:w="851" w:type="dxa"/>
            <w:tcBorders>
              <w:top w:val="nil"/>
              <w:left w:val="single" w:sz="4" w:space="0" w:color="auto"/>
              <w:bottom w:val="nil"/>
              <w:right w:val="single" w:sz="4" w:space="0" w:color="auto"/>
            </w:tcBorders>
            <w:shd w:val="clear" w:color="auto" w:fill="auto"/>
            <w:noWrap/>
            <w:vAlign w:val="center"/>
            <w:hideMark/>
          </w:tcPr>
          <w:p w14:paraId="00F1F19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Sb</w:t>
            </w:r>
          </w:p>
        </w:tc>
        <w:tc>
          <w:tcPr>
            <w:tcW w:w="425" w:type="dxa"/>
            <w:tcBorders>
              <w:top w:val="nil"/>
              <w:left w:val="nil"/>
              <w:bottom w:val="nil"/>
              <w:right w:val="nil"/>
            </w:tcBorders>
            <w:shd w:val="clear" w:color="auto" w:fill="auto"/>
            <w:vAlign w:val="center"/>
            <w:hideMark/>
          </w:tcPr>
          <w:p w14:paraId="5CCEB23B" w14:textId="77777777" w:rsidR="003D3694" w:rsidRPr="00747E35" w:rsidRDefault="003D3694" w:rsidP="0096743A">
            <w:pPr>
              <w:pStyle w:val="Tabletext"/>
              <w:spacing w:before="0" w:after="0"/>
              <w:rPr>
                <w:rFonts w:cstheme="minorHAnsi"/>
                <w:lang w:eastAsia="en-AU"/>
              </w:rPr>
            </w:pPr>
          </w:p>
        </w:tc>
        <w:tc>
          <w:tcPr>
            <w:tcW w:w="567" w:type="dxa"/>
            <w:tcBorders>
              <w:top w:val="nil"/>
              <w:left w:val="single" w:sz="4" w:space="0" w:color="auto"/>
              <w:bottom w:val="nil"/>
              <w:right w:val="single" w:sz="4" w:space="0" w:color="auto"/>
            </w:tcBorders>
            <w:shd w:val="clear" w:color="auto" w:fill="auto"/>
            <w:vAlign w:val="center"/>
            <w:hideMark/>
          </w:tcPr>
          <w:p w14:paraId="009879F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748CAF9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292323B4"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4668F08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42DF4AB2"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0B41739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Parabathynellidae</w:t>
            </w:r>
          </w:p>
        </w:tc>
        <w:tc>
          <w:tcPr>
            <w:tcW w:w="2551" w:type="dxa"/>
            <w:tcBorders>
              <w:top w:val="nil"/>
              <w:left w:val="nil"/>
              <w:bottom w:val="nil"/>
              <w:right w:val="nil"/>
            </w:tcBorders>
            <w:shd w:val="clear" w:color="auto" w:fill="auto"/>
            <w:noWrap/>
            <w:vAlign w:val="center"/>
            <w:hideMark/>
          </w:tcPr>
          <w:p w14:paraId="68FC5B65" w14:textId="77777777" w:rsidR="003D3694" w:rsidRPr="00747E35" w:rsidRDefault="003D3694" w:rsidP="0096743A">
            <w:pPr>
              <w:pStyle w:val="Tabletext"/>
              <w:spacing w:before="0" w:after="0"/>
              <w:rPr>
                <w:rFonts w:cstheme="minorHAnsi"/>
                <w:b/>
                <w:bCs/>
                <w:lang w:eastAsia="en-AU"/>
              </w:rPr>
            </w:pPr>
            <w:r w:rsidRPr="00747E35">
              <w:rPr>
                <w:rFonts w:cstheme="minorHAnsi"/>
                <w:b/>
                <w:lang w:eastAsia="en-AU"/>
              </w:rPr>
              <w:t>Parabathynellidae_indet.</w:t>
            </w:r>
          </w:p>
        </w:tc>
        <w:tc>
          <w:tcPr>
            <w:tcW w:w="851" w:type="dxa"/>
            <w:tcBorders>
              <w:top w:val="nil"/>
              <w:left w:val="single" w:sz="4" w:space="0" w:color="auto"/>
              <w:bottom w:val="nil"/>
              <w:right w:val="single" w:sz="4" w:space="0" w:color="auto"/>
            </w:tcBorders>
            <w:shd w:val="clear" w:color="auto" w:fill="auto"/>
            <w:noWrap/>
            <w:vAlign w:val="center"/>
            <w:hideMark/>
          </w:tcPr>
          <w:p w14:paraId="344B0EF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Sb</w:t>
            </w:r>
          </w:p>
        </w:tc>
        <w:tc>
          <w:tcPr>
            <w:tcW w:w="425" w:type="dxa"/>
            <w:tcBorders>
              <w:top w:val="nil"/>
              <w:left w:val="nil"/>
              <w:bottom w:val="nil"/>
              <w:right w:val="nil"/>
            </w:tcBorders>
            <w:shd w:val="clear" w:color="auto" w:fill="auto"/>
            <w:vAlign w:val="center"/>
            <w:hideMark/>
          </w:tcPr>
          <w:p w14:paraId="3E8A6C21" w14:textId="77777777" w:rsidR="003D3694" w:rsidRPr="00747E35" w:rsidRDefault="003D3694" w:rsidP="0096743A">
            <w:pPr>
              <w:pStyle w:val="Tabletext"/>
              <w:spacing w:before="0" w:after="0"/>
              <w:rPr>
                <w:rFonts w:cstheme="minorHAnsi"/>
                <w:lang w:eastAsia="en-AU"/>
              </w:rPr>
            </w:pPr>
          </w:p>
        </w:tc>
        <w:tc>
          <w:tcPr>
            <w:tcW w:w="567" w:type="dxa"/>
            <w:tcBorders>
              <w:top w:val="nil"/>
              <w:left w:val="single" w:sz="4" w:space="0" w:color="auto"/>
              <w:bottom w:val="nil"/>
              <w:right w:val="single" w:sz="4" w:space="0" w:color="auto"/>
            </w:tcBorders>
            <w:shd w:val="clear" w:color="auto" w:fill="auto"/>
            <w:vAlign w:val="center"/>
            <w:hideMark/>
          </w:tcPr>
          <w:p w14:paraId="5F6309A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32" w:type="dxa"/>
            <w:tcBorders>
              <w:top w:val="nil"/>
              <w:left w:val="nil"/>
              <w:bottom w:val="nil"/>
              <w:right w:val="single" w:sz="4" w:space="0" w:color="auto"/>
            </w:tcBorders>
            <w:shd w:val="clear" w:color="auto" w:fill="auto"/>
            <w:vAlign w:val="center"/>
            <w:hideMark/>
          </w:tcPr>
          <w:p w14:paraId="75751E9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47A9C46D"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441D87A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3BEB0F81"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43BE93E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Psammaspididae</w:t>
            </w:r>
          </w:p>
        </w:tc>
        <w:tc>
          <w:tcPr>
            <w:tcW w:w="2551" w:type="dxa"/>
            <w:tcBorders>
              <w:top w:val="nil"/>
              <w:left w:val="nil"/>
              <w:bottom w:val="nil"/>
              <w:right w:val="nil"/>
            </w:tcBorders>
            <w:shd w:val="clear" w:color="auto" w:fill="auto"/>
            <w:noWrap/>
            <w:vAlign w:val="center"/>
            <w:hideMark/>
          </w:tcPr>
          <w:p w14:paraId="013D5FD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Psammaspididae_indet.</w:t>
            </w:r>
          </w:p>
        </w:tc>
        <w:tc>
          <w:tcPr>
            <w:tcW w:w="851" w:type="dxa"/>
            <w:tcBorders>
              <w:top w:val="nil"/>
              <w:left w:val="single" w:sz="4" w:space="0" w:color="auto"/>
              <w:bottom w:val="nil"/>
              <w:right w:val="single" w:sz="4" w:space="0" w:color="auto"/>
            </w:tcBorders>
            <w:shd w:val="clear" w:color="auto" w:fill="auto"/>
            <w:noWrap/>
            <w:vAlign w:val="center"/>
            <w:hideMark/>
          </w:tcPr>
          <w:p w14:paraId="2A934B5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Sb</w:t>
            </w:r>
          </w:p>
        </w:tc>
        <w:tc>
          <w:tcPr>
            <w:tcW w:w="425" w:type="dxa"/>
            <w:tcBorders>
              <w:top w:val="nil"/>
              <w:left w:val="nil"/>
              <w:bottom w:val="nil"/>
              <w:right w:val="nil"/>
            </w:tcBorders>
            <w:shd w:val="clear" w:color="auto" w:fill="auto"/>
            <w:vAlign w:val="center"/>
            <w:hideMark/>
          </w:tcPr>
          <w:p w14:paraId="6FBD5ECE" w14:textId="77777777" w:rsidR="003D3694" w:rsidRPr="00747E35" w:rsidRDefault="003D3694" w:rsidP="0096743A">
            <w:pPr>
              <w:pStyle w:val="Tabletext"/>
              <w:spacing w:before="0" w:after="0"/>
              <w:rPr>
                <w:rFonts w:cstheme="minorHAnsi"/>
                <w:lang w:eastAsia="en-AU"/>
              </w:rPr>
            </w:pPr>
          </w:p>
        </w:tc>
        <w:tc>
          <w:tcPr>
            <w:tcW w:w="567" w:type="dxa"/>
            <w:tcBorders>
              <w:top w:val="nil"/>
              <w:left w:val="single" w:sz="4" w:space="0" w:color="auto"/>
              <w:bottom w:val="nil"/>
              <w:right w:val="single" w:sz="4" w:space="0" w:color="auto"/>
            </w:tcBorders>
            <w:shd w:val="clear" w:color="auto" w:fill="auto"/>
            <w:vAlign w:val="center"/>
            <w:hideMark/>
          </w:tcPr>
          <w:p w14:paraId="4EEAFE4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2828FE1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593080D4"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56E1694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2090C74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Isopoda</w:t>
            </w:r>
          </w:p>
        </w:tc>
        <w:tc>
          <w:tcPr>
            <w:tcW w:w="1985" w:type="dxa"/>
            <w:tcBorders>
              <w:top w:val="nil"/>
              <w:left w:val="single" w:sz="4" w:space="0" w:color="auto"/>
              <w:bottom w:val="nil"/>
              <w:right w:val="single" w:sz="4" w:space="0" w:color="auto"/>
            </w:tcBorders>
            <w:shd w:val="clear" w:color="auto" w:fill="auto"/>
            <w:noWrap/>
            <w:vAlign w:val="center"/>
            <w:hideMark/>
          </w:tcPr>
          <w:p w14:paraId="6D39934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Janiridae</w:t>
            </w:r>
          </w:p>
        </w:tc>
        <w:tc>
          <w:tcPr>
            <w:tcW w:w="2551" w:type="dxa"/>
            <w:tcBorders>
              <w:top w:val="nil"/>
              <w:left w:val="nil"/>
              <w:bottom w:val="nil"/>
              <w:right w:val="nil"/>
            </w:tcBorders>
            <w:shd w:val="clear" w:color="auto" w:fill="auto"/>
            <w:noWrap/>
            <w:vAlign w:val="center"/>
            <w:hideMark/>
          </w:tcPr>
          <w:p w14:paraId="54D41C9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Janiridae_indet. NSW Sb</w:t>
            </w:r>
          </w:p>
        </w:tc>
        <w:tc>
          <w:tcPr>
            <w:tcW w:w="851" w:type="dxa"/>
            <w:tcBorders>
              <w:top w:val="nil"/>
              <w:left w:val="single" w:sz="4" w:space="0" w:color="auto"/>
              <w:bottom w:val="nil"/>
              <w:right w:val="single" w:sz="4" w:space="0" w:color="auto"/>
            </w:tcBorders>
            <w:shd w:val="clear" w:color="auto" w:fill="auto"/>
            <w:noWrap/>
            <w:vAlign w:val="center"/>
            <w:hideMark/>
          </w:tcPr>
          <w:p w14:paraId="685A2C1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Sb</w:t>
            </w:r>
          </w:p>
        </w:tc>
        <w:tc>
          <w:tcPr>
            <w:tcW w:w="425" w:type="dxa"/>
            <w:tcBorders>
              <w:top w:val="nil"/>
              <w:left w:val="nil"/>
              <w:bottom w:val="nil"/>
              <w:right w:val="nil"/>
            </w:tcBorders>
            <w:shd w:val="clear" w:color="auto" w:fill="auto"/>
            <w:vAlign w:val="center"/>
            <w:hideMark/>
          </w:tcPr>
          <w:p w14:paraId="66596622" w14:textId="77777777" w:rsidR="003D3694" w:rsidRPr="00747E35" w:rsidRDefault="003D3694" w:rsidP="0096743A">
            <w:pPr>
              <w:pStyle w:val="Tabletext"/>
              <w:spacing w:before="0" w:after="0"/>
              <w:rPr>
                <w:rFonts w:cstheme="minorHAnsi"/>
                <w:lang w:eastAsia="en-AU"/>
              </w:rPr>
            </w:pPr>
          </w:p>
        </w:tc>
        <w:tc>
          <w:tcPr>
            <w:tcW w:w="567" w:type="dxa"/>
            <w:tcBorders>
              <w:top w:val="nil"/>
              <w:left w:val="single" w:sz="4" w:space="0" w:color="auto"/>
              <w:bottom w:val="nil"/>
              <w:right w:val="single" w:sz="4" w:space="0" w:color="auto"/>
            </w:tcBorders>
            <w:shd w:val="clear" w:color="auto" w:fill="auto"/>
            <w:vAlign w:val="center"/>
            <w:hideMark/>
          </w:tcPr>
          <w:p w14:paraId="0EB01E0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157C360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3AE77607"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34CB354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72C7028F"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57BA232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Phreatoicidae</w:t>
            </w:r>
          </w:p>
        </w:tc>
        <w:tc>
          <w:tcPr>
            <w:tcW w:w="2551" w:type="dxa"/>
            <w:tcBorders>
              <w:top w:val="nil"/>
              <w:left w:val="nil"/>
              <w:bottom w:val="nil"/>
              <w:right w:val="nil"/>
            </w:tcBorders>
            <w:shd w:val="clear" w:color="auto" w:fill="auto"/>
            <w:noWrap/>
            <w:vAlign w:val="center"/>
            <w:hideMark/>
          </w:tcPr>
          <w:p w14:paraId="1AE29A8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Phreatoicidae_indet. Sb</w:t>
            </w:r>
          </w:p>
        </w:tc>
        <w:tc>
          <w:tcPr>
            <w:tcW w:w="851" w:type="dxa"/>
            <w:tcBorders>
              <w:top w:val="nil"/>
              <w:left w:val="single" w:sz="4" w:space="0" w:color="auto"/>
              <w:bottom w:val="nil"/>
              <w:right w:val="single" w:sz="4" w:space="0" w:color="auto"/>
            </w:tcBorders>
            <w:shd w:val="clear" w:color="auto" w:fill="auto"/>
            <w:noWrap/>
            <w:vAlign w:val="center"/>
            <w:hideMark/>
          </w:tcPr>
          <w:p w14:paraId="024E27D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Sb</w:t>
            </w:r>
          </w:p>
        </w:tc>
        <w:tc>
          <w:tcPr>
            <w:tcW w:w="425" w:type="dxa"/>
            <w:tcBorders>
              <w:top w:val="nil"/>
              <w:left w:val="nil"/>
              <w:bottom w:val="nil"/>
              <w:right w:val="nil"/>
            </w:tcBorders>
            <w:shd w:val="clear" w:color="auto" w:fill="auto"/>
            <w:vAlign w:val="center"/>
            <w:hideMark/>
          </w:tcPr>
          <w:p w14:paraId="0B5A7EC8" w14:textId="77777777" w:rsidR="003D3694" w:rsidRPr="00747E35" w:rsidRDefault="003D3694" w:rsidP="0096743A">
            <w:pPr>
              <w:pStyle w:val="Tabletext"/>
              <w:spacing w:before="0" w:after="0"/>
              <w:rPr>
                <w:rFonts w:cstheme="minorHAnsi"/>
                <w:lang w:eastAsia="en-AU"/>
              </w:rPr>
            </w:pPr>
          </w:p>
        </w:tc>
        <w:tc>
          <w:tcPr>
            <w:tcW w:w="567" w:type="dxa"/>
            <w:tcBorders>
              <w:top w:val="nil"/>
              <w:left w:val="single" w:sz="4" w:space="0" w:color="auto"/>
              <w:bottom w:val="nil"/>
              <w:right w:val="single" w:sz="4" w:space="0" w:color="auto"/>
            </w:tcBorders>
            <w:shd w:val="clear" w:color="auto" w:fill="auto"/>
            <w:vAlign w:val="center"/>
            <w:hideMark/>
          </w:tcPr>
          <w:p w14:paraId="29BE69D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08EE596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1E9D37B4"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5CA7CAF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2C2139F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Copepoda</w:t>
            </w:r>
          </w:p>
        </w:tc>
        <w:tc>
          <w:tcPr>
            <w:tcW w:w="1985" w:type="dxa"/>
            <w:tcBorders>
              <w:top w:val="nil"/>
              <w:left w:val="single" w:sz="4" w:space="0" w:color="auto"/>
              <w:bottom w:val="nil"/>
              <w:right w:val="single" w:sz="4" w:space="0" w:color="auto"/>
            </w:tcBorders>
            <w:shd w:val="clear" w:color="auto" w:fill="auto"/>
            <w:noWrap/>
            <w:vAlign w:val="center"/>
            <w:hideMark/>
          </w:tcPr>
          <w:p w14:paraId="11BAB93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Cyclopoida_Fam. indet.</w:t>
            </w:r>
          </w:p>
        </w:tc>
        <w:tc>
          <w:tcPr>
            <w:tcW w:w="2551" w:type="dxa"/>
            <w:tcBorders>
              <w:top w:val="nil"/>
              <w:left w:val="nil"/>
              <w:bottom w:val="nil"/>
              <w:right w:val="nil"/>
            </w:tcBorders>
            <w:shd w:val="clear" w:color="auto" w:fill="auto"/>
            <w:noWrap/>
            <w:vAlign w:val="center"/>
            <w:hideMark/>
          </w:tcPr>
          <w:p w14:paraId="435F403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Cyclopoida_indet.</w:t>
            </w:r>
          </w:p>
        </w:tc>
        <w:tc>
          <w:tcPr>
            <w:tcW w:w="851" w:type="dxa"/>
            <w:tcBorders>
              <w:top w:val="nil"/>
              <w:left w:val="single" w:sz="4" w:space="0" w:color="auto"/>
              <w:bottom w:val="nil"/>
              <w:right w:val="single" w:sz="4" w:space="0" w:color="auto"/>
            </w:tcBorders>
            <w:shd w:val="clear" w:color="auto" w:fill="auto"/>
            <w:noWrap/>
            <w:vAlign w:val="center"/>
            <w:hideMark/>
          </w:tcPr>
          <w:p w14:paraId="382ED59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Sp/Sb?</w:t>
            </w:r>
          </w:p>
        </w:tc>
        <w:tc>
          <w:tcPr>
            <w:tcW w:w="425" w:type="dxa"/>
            <w:tcBorders>
              <w:top w:val="nil"/>
              <w:left w:val="nil"/>
              <w:bottom w:val="nil"/>
              <w:right w:val="nil"/>
            </w:tcBorders>
            <w:shd w:val="clear" w:color="auto" w:fill="auto"/>
            <w:vAlign w:val="center"/>
            <w:hideMark/>
          </w:tcPr>
          <w:p w14:paraId="77C505B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single" w:sz="4" w:space="0" w:color="auto"/>
              <w:bottom w:val="nil"/>
              <w:right w:val="single" w:sz="4" w:space="0" w:color="auto"/>
            </w:tcBorders>
            <w:shd w:val="clear" w:color="auto" w:fill="auto"/>
            <w:vAlign w:val="center"/>
            <w:hideMark/>
          </w:tcPr>
          <w:p w14:paraId="5C79A4C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41B3825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1CBDBE3B"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106EA8E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0052FF84"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0B210AA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Harpacticoida_Fam. Indet</w:t>
            </w:r>
          </w:p>
        </w:tc>
        <w:tc>
          <w:tcPr>
            <w:tcW w:w="2551" w:type="dxa"/>
            <w:tcBorders>
              <w:top w:val="nil"/>
              <w:left w:val="nil"/>
              <w:bottom w:val="nil"/>
              <w:right w:val="nil"/>
            </w:tcBorders>
            <w:shd w:val="clear" w:color="auto" w:fill="auto"/>
            <w:noWrap/>
            <w:vAlign w:val="center"/>
            <w:hideMark/>
          </w:tcPr>
          <w:p w14:paraId="0DA255C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Harpacticoida_indet_sp 2</w:t>
            </w:r>
          </w:p>
        </w:tc>
        <w:tc>
          <w:tcPr>
            <w:tcW w:w="851" w:type="dxa"/>
            <w:tcBorders>
              <w:top w:val="nil"/>
              <w:left w:val="single" w:sz="4" w:space="0" w:color="auto"/>
              <w:bottom w:val="nil"/>
              <w:right w:val="single" w:sz="4" w:space="0" w:color="auto"/>
            </w:tcBorders>
            <w:shd w:val="clear" w:color="auto" w:fill="auto"/>
            <w:noWrap/>
            <w:vAlign w:val="center"/>
            <w:hideMark/>
          </w:tcPr>
          <w:p w14:paraId="27C1827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Sb</w:t>
            </w:r>
          </w:p>
        </w:tc>
        <w:tc>
          <w:tcPr>
            <w:tcW w:w="425" w:type="dxa"/>
            <w:tcBorders>
              <w:top w:val="nil"/>
              <w:left w:val="nil"/>
              <w:bottom w:val="nil"/>
              <w:right w:val="nil"/>
            </w:tcBorders>
            <w:shd w:val="clear" w:color="auto" w:fill="auto"/>
            <w:vAlign w:val="center"/>
            <w:hideMark/>
          </w:tcPr>
          <w:p w14:paraId="45B7996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single" w:sz="4" w:space="0" w:color="auto"/>
              <w:bottom w:val="nil"/>
              <w:right w:val="single" w:sz="4" w:space="0" w:color="auto"/>
            </w:tcBorders>
            <w:shd w:val="clear" w:color="auto" w:fill="auto"/>
            <w:vAlign w:val="center"/>
            <w:hideMark/>
          </w:tcPr>
          <w:p w14:paraId="2F8548D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32" w:type="dxa"/>
            <w:tcBorders>
              <w:top w:val="nil"/>
              <w:left w:val="nil"/>
              <w:bottom w:val="nil"/>
              <w:right w:val="single" w:sz="4" w:space="0" w:color="auto"/>
            </w:tcBorders>
            <w:shd w:val="clear" w:color="auto" w:fill="auto"/>
            <w:vAlign w:val="center"/>
            <w:hideMark/>
          </w:tcPr>
          <w:p w14:paraId="274853A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73C00633"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3637966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0D90E2E1"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tcPr>
          <w:p w14:paraId="0A5C8AD6" w14:textId="77777777" w:rsidR="003D3694" w:rsidRPr="00747E35" w:rsidRDefault="003D3694" w:rsidP="0096743A">
            <w:pPr>
              <w:pStyle w:val="Tabletext"/>
              <w:spacing w:before="0" w:after="0"/>
              <w:rPr>
                <w:rFonts w:cstheme="minorHAnsi"/>
                <w:lang w:eastAsia="en-AU"/>
              </w:rPr>
            </w:pPr>
          </w:p>
        </w:tc>
        <w:tc>
          <w:tcPr>
            <w:tcW w:w="2551" w:type="dxa"/>
            <w:tcBorders>
              <w:top w:val="nil"/>
              <w:left w:val="nil"/>
              <w:bottom w:val="nil"/>
              <w:right w:val="nil"/>
            </w:tcBorders>
            <w:shd w:val="clear" w:color="auto" w:fill="auto"/>
            <w:noWrap/>
            <w:vAlign w:val="center"/>
            <w:hideMark/>
          </w:tcPr>
          <w:p w14:paraId="1B46F6F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Harpacticoida_indet_sp 3</w:t>
            </w:r>
          </w:p>
        </w:tc>
        <w:tc>
          <w:tcPr>
            <w:tcW w:w="851" w:type="dxa"/>
            <w:tcBorders>
              <w:top w:val="nil"/>
              <w:left w:val="single" w:sz="4" w:space="0" w:color="auto"/>
              <w:bottom w:val="nil"/>
              <w:right w:val="single" w:sz="4" w:space="0" w:color="auto"/>
            </w:tcBorders>
            <w:shd w:val="clear" w:color="auto" w:fill="auto"/>
            <w:noWrap/>
            <w:vAlign w:val="center"/>
            <w:hideMark/>
          </w:tcPr>
          <w:p w14:paraId="0C7CC5D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Sb</w:t>
            </w:r>
          </w:p>
        </w:tc>
        <w:tc>
          <w:tcPr>
            <w:tcW w:w="425" w:type="dxa"/>
            <w:tcBorders>
              <w:top w:val="nil"/>
              <w:left w:val="nil"/>
              <w:bottom w:val="nil"/>
              <w:right w:val="nil"/>
            </w:tcBorders>
            <w:shd w:val="clear" w:color="auto" w:fill="auto"/>
            <w:vAlign w:val="center"/>
            <w:hideMark/>
          </w:tcPr>
          <w:p w14:paraId="29BF4CE2" w14:textId="77777777" w:rsidR="003D3694" w:rsidRPr="00747E35" w:rsidRDefault="003D3694" w:rsidP="0096743A">
            <w:pPr>
              <w:pStyle w:val="Tabletext"/>
              <w:spacing w:before="0" w:after="0"/>
              <w:rPr>
                <w:rFonts w:cstheme="minorHAnsi"/>
                <w:lang w:eastAsia="en-AU"/>
              </w:rPr>
            </w:pPr>
          </w:p>
        </w:tc>
        <w:tc>
          <w:tcPr>
            <w:tcW w:w="567" w:type="dxa"/>
            <w:tcBorders>
              <w:top w:val="nil"/>
              <w:left w:val="single" w:sz="4" w:space="0" w:color="auto"/>
              <w:bottom w:val="nil"/>
              <w:right w:val="single" w:sz="4" w:space="0" w:color="auto"/>
            </w:tcBorders>
            <w:shd w:val="clear" w:color="auto" w:fill="auto"/>
            <w:vAlign w:val="center"/>
            <w:hideMark/>
          </w:tcPr>
          <w:p w14:paraId="2AF54A4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1F2F46E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77E73B2D"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28BABD2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1EF746EE"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tcPr>
          <w:p w14:paraId="0F68D010" w14:textId="77777777" w:rsidR="003D3694" w:rsidRPr="00747E35" w:rsidRDefault="003D3694" w:rsidP="0096743A">
            <w:pPr>
              <w:pStyle w:val="Tabletext"/>
              <w:spacing w:before="0" w:after="0"/>
              <w:rPr>
                <w:rFonts w:cstheme="minorHAnsi"/>
                <w:lang w:eastAsia="en-AU"/>
              </w:rPr>
            </w:pPr>
          </w:p>
        </w:tc>
        <w:tc>
          <w:tcPr>
            <w:tcW w:w="2551" w:type="dxa"/>
            <w:tcBorders>
              <w:top w:val="nil"/>
              <w:left w:val="nil"/>
              <w:bottom w:val="nil"/>
              <w:right w:val="nil"/>
            </w:tcBorders>
            <w:shd w:val="clear" w:color="auto" w:fill="auto"/>
            <w:noWrap/>
            <w:vAlign w:val="center"/>
            <w:hideMark/>
          </w:tcPr>
          <w:p w14:paraId="4302A0BF" w14:textId="77777777" w:rsidR="003D3694" w:rsidRPr="00747E35" w:rsidRDefault="003D3694" w:rsidP="0096743A">
            <w:pPr>
              <w:pStyle w:val="Tabletext"/>
              <w:spacing w:before="0" w:after="0"/>
              <w:rPr>
                <w:rFonts w:cstheme="minorHAnsi"/>
                <w:b/>
                <w:bCs/>
                <w:lang w:eastAsia="en-AU"/>
              </w:rPr>
            </w:pPr>
            <w:r w:rsidRPr="00747E35">
              <w:rPr>
                <w:rFonts w:cstheme="minorHAnsi"/>
                <w:b/>
                <w:lang w:eastAsia="en-AU"/>
              </w:rPr>
              <w:t>Harpacticoida_Fam. Indet</w:t>
            </w:r>
          </w:p>
        </w:tc>
        <w:tc>
          <w:tcPr>
            <w:tcW w:w="851" w:type="dxa"/>
            <w:tcBorders>
              <w:top w:val="nil"/>
              <w:left w:val="single" w:sz="4" w:space="0" w:color="auto"/>
              <w:bottom w:val="nil"/>
              <w:right w:val="single" w:sz="4" w:space="0" w:color="auto"/>
            </w:tcBorders>
            <w:shd w:val="clear" w:color="auto" w:fill="auto"/>
            <w:noWrap/>
            <w:vAlign w:val="center"/>
            <w:hideMark/>
          </w:tcPr>
          <w:p w14:paraId="56DD9C4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Sb</w:t>
            </w:r>
          </w:p>
        </w:tc>
        <w:tc>
          <w:tcPr>
            <w:tcW w:w="425" w:type="dxa"/>
            <w:tcBorders>
              <w:top w:val="nil"/>
              <w:left w:val="nil"/>
              <w:bottom w:val="nil"/>
              <w:right w:val="nil"/>
            </w:tcBorders>
            <w:shd w:val="clear" w:color="auto" w:fill="auto"/>
            <w:vAlign w:val="center"/>
            <w:hideMark/>
          </w:tcPr>
          <w:p w14:paraId="0EC1F271" w14:textId="77777777" w:rsidR="003D3694" w:rsidRPr="00747E35" w:rsidRDefault="003D3694" w:rsidP="0096743A">
            <w:pPr>
              <w:pStyle w:val="Tabletext"/>
              <w:spacing w:before="0" w:after="0"/>
              <w:rPr>
                <w:rFonts w:cstheme="minorHAnsi"/>
                <w:lang w:eastAsia="en-AU"/>
              </w:rPr>
            </w:pPr>
          </w:p>
        </w:tc>
        <w:tc>
          <w:tcPr>
            <w:tcW w:w="567" w:type="dxa"/>
            <w:tcBorders>
              <w:top w:val="nil"/>
              <w:left w:val="single" w:sz="4" w:space="0" w:color="auto"/>
              <w:bottom w:val="nil"/>
              <w:right w:val="single" w:sz="4" w:space="0" w:color="auto"/>
            </w:tcBorders>
            <w:shd w:val="clear" w:color="auto" w:fill="auto"/>
            <w:vAlign w:val="center"/>
            <w:hideMark/>
          </w:tcPr>
          <w:p w14:paraId="417EA2E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323D620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2F35DEF4"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7CD61ED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3D6AE55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Ostracoda</w:t>
            </w:r>
          </w:p>
        </w:tc>
        <w:tc>
          <w:tcPr>
            <w:tcW w:w="1985" w:type="dxa"/>
            <w:tcBorders>
              <w:top w:val="nil"/>
              <w:left w:val="single" w:sz="4" w:space="0" w:color="auto"/>
              <w:bottom w:val="nil"/>
              <w:right w:val="single" w:sz="4" w:space="0" w:color="auto"/>
            </w:tcBorders>
            <w:shd w:val="clear" w:color="auto" w:fill="auto"/>
            <w:noWrap/>
            <w:vAlign w:val="center"/>
            <w:hideMark/>
          </w:tcPr>
          <w:p w14:paraId="48EC36F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Candonidae?</w:t>
            </w:r>
          </w:p>
        </w:tc>
        <w:tc>
          <w:tcPr>
            <w:tcW w:w="2551" w:type="dxa"/>
            <w:tcBorders>
              <w:top w:val="nil"/>
              <w:left w:val="nil"/>
              <w:bottom w:val="nil"/>
              <w:right w:val="nil"/>
            </w:tcBorders>
            <w:shd w:val="clear" w:color="auto" w:fill="auto"/>
            <w:noWrap/>
            <w:vAlign w:val="center"/>
            <w:hideMark/>
          </w:tcPr>
          <w:p w14:paraId="2905296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Candonidae?_indet._cf sp1B QLD</w:t>
            </w:r>
          </w:p>
        </w:tc>
        <w:tc>
          <w:tcPr>
            <w:tcW w:w="851" w:type="dxa"/>
            <w:tcBorders>
              <w:top w:val="nil"/>
              <w:left w:val="single" w:sz="4" w:space="0" w:color="auto"/>
              <w:bottom w:val="nil"/>
              <w:right w:val="single" w:sz="4" w:space="0" w:color="auto"/>
            </w:tcBorders>
            <w:shd w:val="clear" w:color="auto" w:fill="auto"/>
            <w:noWrap/>
            <w:vAlign w:val="center"/>
            <w:hideMark/>
          </w:tcPr>
          <w:p w14:paraId="46110F9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Sp/Sb?</w:t>
            </w:r>
          </w:p>
        </w:tc>
        <w:tc>
          <w:tcPr>
            <w:tcW w:w="425" w:type="dxa"/>
            <w:tcBorders>
              <w:top w:val="nil"/>
              <w:left w:val="nil"/>
              <w:bottom w:val="nil"/>
              <w:right w:val="nil"/>
            </w:tcBorders>
            <w:shd w:val="clear" w:color="auto" w:fill="auto"/>
            <w:vAlign w:val="center"/>
            <w:hideMark/>
          </w:tcPr>
          <w:p w14:paraId="178F9A7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single" w:sz="4" w:space="0" w:color="auto"/>
              <w:bottom w:val="nil"/>
              <w:right w:val="single" w:sz="4" w:space="0" w:color="auto"/>
            </w:tcBorders>
            <w:shd w:val="clear" w:color="auto" w:fill="auto"/>
            <w:vAlign w:val="center"/>
            <w:hideMark/>
          </w:tcPr>
          <w:p w14:paraId="7B25070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32" w:type="dxa"/>
            <w:tcBorders>
              <w:top w:val="nil"/>
              <w:left w:val="nil"/>
              <w:bottom w:val="nil"/>
              <w:right w:val="single" w:sz="4" w:space="0" w:color="auto"/>
            </w:tcBorders>
            <w:shd w:val="clear" w:color="auto" w:fill="auto"/>
            <w:vAlign w:val="center"/>
            <w:hideMark/>
          </w:tcPr>
          <w:p w14:paraId="568B0B1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5B92D5AC"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40B70FC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49E63185"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tcPr>
          <w:p w14:paraId="1F06936F" w14:textId="77777777" w:rsidR="003D3694" w:rsidRPr="00747E35" w:rsidRDefault="003D3694" w:rsidP="0096743A">
            <w:pPr>
              <w:pStyle w:val="Tabletext"/>
              <w:spacing w:before="0" w:after="0"/>
              <w:rPr>
                <w:rFonts w:cstheme="minorHAnsi"/>
                <w:lang w:eastAsia="en-AU"/>
              </w:rPr>
            </w:pPr>
          </w:p>
        </w:tc>
        <w:tc>
          <w:tcPr>
            <w:tcW w:w="2551" w:type="dxa"/>
            <w:tcBorders>
              <w:top w:val="nil"/>
              <w:left w:val="nil"/>
              <w:bottom w:val="nil"/>
              <w:right w:val="nil"/>
            </w:tcBorders>
            <w:shd w:val="clear" w:color="auto" w:fill="auto"/>
            <w:noWrap/>
            <w:vAlign w:val="center"/>
            <w:hideMark/>
          </w:tcPr>
          <w:p w14:paraId="5A52D42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Candonidae?_indet._sp1/1B NSW</w:t>
            </w:r>
          </w:p>
        </w:tc>
        <w:tc>
          <w:tcPr>
            <w:tcW w:w="851" w:type="dxa"/>
            <w:tcBorders>
              <w:top w:val="nil"/>
              <w:left w:val="single" w:sz="4" w:space="0" w:color="auto"/>
              <w:bottom w:val="nil"/>
              <w:right w:val="single" w:sz="4" w:space="0" w:color="auto"/>
            </w:tcBorders>
            <w:shd w:val="clear" w:color="auto" w:fill="auto"/>
            <w:noWrap/>
            <w:vAlign w:val="center"/>
            <w:hideMark/>
          </w:tcPr>
          <w:p w14:paraId="36A2ADC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Sp/Sb?</w:t>
            </w:r>
          </w:p>
        </w:tc>
        <w:tc>
          <w:tcPr>
            <w:tcW w:w="425" w:type="dxa"/>
            <w:tcBorders>
              <w:top w:val="nil"/>
              <w:left w:val="nil"/>
              <w:bottom w:val="nil"/>
              <w:right w:val="nil"/>
            </w:tcBorders>
            <w:shd w:val="clear" w:color="auto" w:fill="auto"/>
            <w:vAlign w:val="center"/>
            <w:hideMark/>
          </w:tcPr>
          <w:p w14:paraId="19F230B8" w14:textId="77777777" w:rsidR="003D3694" w:rsidRPr="00747E35" w:rsidRDefault="003D3694" w:rsidP="0096743A">
            <w:pPr>
              <w:pStyle w:val="Tabletext"/>
              <w:spacing w:before="0" w:after="0"/>
              <w:rPr>
                <w:rFonts w:cstheme="minorHAnsi"/>
                <w:lang w:eastAsia="en-AU"/>
              </w:rPr>
            </w:pPr>
          </w:p>
        </w:tc>
        <w:tc>
          <w:tcPr>
            <w:tcW w:w="567" w:type="dxa"/>
            <w:tcBorders>
              <w:top w:val="nil"/>
              <w:left w:val="single" w:sz="4" w:space="0" w:color="auto"/>
              <w:bottom w:val="nil"/>
              <w:right w:val="single" w:sz="4" w:space="0" w:color="auto"/>
            </w:tcBorders>
            <w:shd w:val="clear" w:color="auto" w:fill="auto"/>
            <w:vAlign w:val="center"/>
            <w:hideMark/>
          </w:tcPr>
          <w:p w14:paraId="7B43D2D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73FD682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053C5AB3"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2B1C186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6FE0F6FD"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tcPr>
          <w:p w14:paraId="2470445E" w14:textId="77777777" w:rsidR="003D3694" w:rsidRPr="00747E35" w:rsidRDefault="003D3694" w:rsidP="0096743A">
            <w:pPr>
              <w:pStyle w:val="Tabletext"/>
              <w:spacing w:before="0" w:after="0"/>
              <w:rPr>
                <w:rFonts w:cstheme="minorHAnsi"/>
                <w:lang w:eastAsia="en-AU"/>
              </w:rPr>
            </w:pPr>
          </w:p>
        </w:tc>
        <w:tc>
          <w:tcPr>
            <w:tcW w:w="2551" w:type="dxa"/>
            <w:tcBorders>
              <w:top w:val="nil"/>
              <w:left w:val="nil"/>
              <w:bottom w:val="nil"/>
              <w:right w:val="nil"/>
            </w:tcBorders>
            <w:shd w:val="clear" w:color="auto" w:fill="auto"/>
            <w:noWrap/>
            <w:vAlign w:val="center"/>
            <w:hideMark/>
          </w:tcPr>
          <w:p w14:paraId="01FB98C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Candonidae?_indet._sp2 NSW</w:t>
            </w:r>
          </w:p>
        </w:tc>
        <w:tc>
          <w:tcPr>
            <w:tcW w:w="851" w:type="dxa"/>
            <w:tcBorders>
              <w:top w:val="nil"/>
              <w:left w:val="single" w:sz="4" w:space="0" w:color="auto"/>
              <w:bottom w:val="nil"/>
              <w:right w:val="single" w:sz="4" w:space="0" w:color="auto"/>
            </w:tcBorders>
            <w:shd w:val="clear" w:color="auto" w:fill="auto"/>
            <w:noWrap/>
            <w:vAlign w:val="center"/>
            <w:hideMark/>
          </w:tcPr>
          <w:p w14:paraId="2C1FC5F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Sp/Sb?</w:t>
            </w:r>
          </w:p>
        </w:tc>
        <w:tc>
          <w:tcPr>
            <w:tcW w:w="425" w:type="dxa"/>
            <w:tcBorders>
              <w:top w:val="nil"/>
              <w:left w:val="nil"/>
              <w:bottom w:val="nil"/>
              <w:right w:val="nil"/>
            </w:tcBorders>
            <w:shd w:val="clear" w:color="auto" w:fill="auto"/>
            <w:vAlign w:val="center"/>
            <w:hideMark/>
          </w:tcPr>
          <w:p w14:paraId="59FB0BEC" w14:textId="77777777" w:rsidR="003D3694" w:rsidRPr="00747E35" w:rsidRDefault="003D3694" w:rsidP="0096743A">
            <w:pPr>
              <w:pStyle w:val="Tabletext"/>
              <w:spacing w:before="0" w:after="0"/>
              <w:rPr>
                <w:rFonts w:cstheme="minorHAnsi"/>
                <w:lang w:eastAsia="en-AU"/>
              </w:rPr>
            </w:pPr>
          </w:p>
        </w:tc>
        <w:tc>
          <w:tcPr>
            <w:tcW w:w="567" w:type="dxa"/>
            <w:tcBorders>
              <w:top w:val="nil"/>
              <w:left w:val="single" w:sz="4" w:space="0" w:color="auto"/>
              <w:bottom w:val="nil"/>
              <w:right w:val="single" w:sz="4" w:space="0" w:color="auto"/>
            </w:tcBorders>
            <w:shd w:val="clear" w:color="auto" w:fill="auto"/>
            <w:vAlign w:val="center"/>
            <w:hideMark/>
          </w:tcPr>
          <w:p w14:paraId="0F05302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5514423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07BB5E78"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7770330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2662A7FA"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tcPr>
          <w:p w14:paraId="31D2F537" w14:textId="77777777" w:rsidR="003D3694" w:rsidRPr="00747E35" w:rsidRDefault="003D3694" w:rsidP="0096743A">
            <w:pPr>
              <w:pStyle w:val="Tabletext"/>
              <w:spacing w:before="0" w:after="0"/>
              <w:rPr>
                <w:rFonts w:cstheme="minorHAnsi"/>
                <w:lang w:eastAsia="en-AU"/>
              </w:rPr>
            </w:pPr>
          </w:p>
        </w:tc>
        <w:tc>
          <w:tcPr>
            <w:tcW w:w="2551" w:type="dxa"/>
            <w:tcBorders>
              <w:top w:val="nil"/>
              <w:left w:val="nil"/>
              <w:bottom w:val="nil"/>
              <w:right w:val="nil"/>
            </w:tcBorders>
            <w:shd w:val="clear" w:color="auto" w:fill="auto"/>
            <w:noWrap/>
            <w:vAlign w:val="center"/>
            <w:hideMark/>
          </w:tcPr>
          <w:p w14:paraId="05161F3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Candonidae?_indet._sp4 NSW</w:t>
            </w:r>
          </w:p>
        </w:tc>
        <w:tc>
          <w:tcPr>
            <w:tcW w:w="851" w:type="dxa"/>
            <w:tcBorders>
              <w:top w:val="nil"/>
              <w:left w:val="single" w:sz="4" w:space="0" w:color="auto"/>
              <w:bottom w:val="nil"/>
              <w:right w:val="single" w:sz="4" w:space="0" w:color="auto"/>
            </w:tcBorders>
            <w:shd w:val="clear" w:color="auto" w:fill="auto"/>
            <w:noWrap/>
            <w:vAlign w:val="center"/>
            <w:hideMark/>
          </w:tcPr>
          <w:p w14:paraId="3CB756F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Sp/Sb?</w:t>
            </w:r>
          </w:p>
        </w:tc>
        <w:tc>
          <w:tcPr>
            <w:tcW w:w="425" w:type="dxa"/>
            <w:tcBorders>
              <w:top w:val="nil"/>
              <w:left w:val="nil"/>
              <w:bottom w:val="nil"/>
              <w:right w:val="nil"/>
            </w:tcBorders>
            <w:shd w:val="clear" w:color="auto" w:fill="auto"/>
            <w:vAlign w:val="center"/>
            <w:hideMark/>
          </w:tcPr>
          <w:p w14:paraId="60903C76" w14:textId="77777777" w:rsidR="003D3694" w:rsidRPr="00747E35" w:rsidRDefault="003D3694" w:rsidP="0096743A">
            <w:pPr>
              <w:pStyle w:val="Tabletext"/>
              <w:spacing w:before="0" w:after="0"/>
              <w:rPr>
                <w:rFonts w:cstheme="minorHAnsi"/>
                <w:lang w:eastAsia="en-AU"/>
              </w:rPr>
            </w:pPr>
          </w:p>
        </w:tc>
        <w:tc>
          <w:tcPr>
            <w:tcW w:w="567" w:type="dxa"/>
            <w:tcBorders>
              <w:top w:val="nil"/>
              <w:left w:val="single" w:sz="4" w:space="0" w:color="auto"/>
              <w:bottom w:val="nil"/>
              <w:right w:val="single" w:sz="4" w:space="0" w:color="auto"/>
            </w:tcBorders>
            <w:shd w:val="clear" w:color="auto" w:fill="auto"/>
            <w:vAlign w:val="center"/>
            <w:hideMark/>
          </w:tcPr>
          <w:p w14:paraId="186C68F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1202928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484B4B8B"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3A23E1E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0D9D6F19"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tcPr>
          <w:p w14:paraId="6BBBDD4F" w14:textId="77777777" w:rsidR="003D3694" w:rsidRPr="00747E35" w:rsidRDefault="003D3694" w:rsidP="0096743A">
            <w:pPr>
              <w:pStyle w:val="Tabletext"/>
              <w:spacing w:before="0" w:after="0"/>
              <w:rPr>
                <w:rFonts w:cstheme="minorHAnsi"/>
                <w:lang w:eastAsia="en-AU"/>
              </w:rPr>
            </w:pPr>
          </w:p>
        </w:tc>
        <w:tc>
          <w:tcPr>
            <w:tcW w:w="2551" w:type="dxa"/>
            <w:tcBorders>
              <w:top w:val="nil"/>
              <w:left w:val="nil"/>
              <w:bottom w:val="nil"/>
              <w:right w:val="nil"/>
            </w:tcBorders>
            <w:shd w:val="clear" w:color="auto" w:fill="auto"/>
            <w:noWrap/>
            <w:vAlign w:val="center"/>
            <w:hideMark/>
          </w:tcPr>
          <w:p w14:paraId="212607A1" w14:textId="77777777" w:rsidR="003D3694" w:rsidRPr="00747E35" w:rsidRDefault="003D3694" w:rsidP="0096743A">
            <w:pPr>
              <w:pStyle w:val="Tabletext"/>
              <w:spacing w:before="0" w:after="0"/>
              <w:rPr>
                <w:rFonts w:cstheme="minorHAnsi"/>
                <w:b/>
                <w:bCs/>
                <w:lang w:eastAsia="en-AU"/>
              </w:rPr>
            </w:pPr>
            <w:r w:rsidRPr="00747E35">
              <w:rPr>
                <w:rFonts w:cstheme="minorHAnsi"/>
                <w:b/>
                <w:lang w:eastAsia="en-AU"/>
              </w:rPr>
              <w:t>Candonidae?_indet.</w:t>
            </w:r>
          </w:p>
        </w:tc>
        <w:tc>
          <w:tcPr>
            <w:tcW w:w="851" w:type="dxa"/>
            <w:tcBorders>
              <w:top w:val="nil"/>
              <w:left w:val="single" w:sz="4" w:space="0" w:color="auto"/>
              <w:bottom w:val="nil"/>
              <w:right w:val="single" w:sz="4" w:space="0" w:color="auto"/>
            </w:tcBorders>
            <w:shd w:val="clear" w:color="auto" w:fill="auto"/>
            <w:noWrap/>
            <w:vAlign w:val="center"/>
            <w:hideMark/>
          </w:tcPr>
          <w:p w14:paraId="4AFF5C9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Sp/Sb?</w:t>
            </w:r>
          </w:p>
        </w:tc>
        <w:tc>
          <w:tcPr>
            <w:tcW w:w="425" w:type="dxa"/>
            <w:tcBorders>
              <w:top w:val="nil"/>
              <w:left w:val="nil"/>
              <w:bottom w:val="nil"/>
              <w:right w:val="nil"/>
            </w:tcBorders>
            <w:shd w:val="clear" w:color="auto" w:fill="auto"/>
            <w:vAlign w:val="center"/>
            <w:hideMark/>
          </w:tcPr>
          <w:p w14:paraId="418EFF8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single" w:sz="4" w:space="0" w:color="auto"/>
              <w:bottom w:val="nil"/>
              <w:right w:val="single" w:sz="4" w:space="0" w:color="auto"/>
            </w:tcBorders>
            <w:shd w:val="clear" w:color="auto" w:fill="auto"/>
            <w:vAlign w:val="center"/>
            <w:hideMark/>
          </w:tcPr>
          <w:p w14:paraId="25EE3B4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3F6607F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7B24DB12"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0B9DE6A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43A6F96D"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77BB932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Limnocytheridae</w:t>
            </w:r>
          </w:p>
        </w:tc>
        <w:tc>
          <w:tcPr>
            <w:tcW w:w="2551" w:type="dxa"/>
            <w:tcBorders>
              <w:top w:val="nil"/>
              <w:left w:val="nil"/>
              <w:bottom w:val="nil"/>
              <w:right w:val="nil"/>
            </w:tcBorders>
            <w:shd w:val="clear" w:color="auto" w:fill="auto"/>
            <w:noWrap/>
            <w:vAlign w:val="center"/>
            <w:hideMark/>
          </w:tcPr>
          <w:p w14:paraId="72082C3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Gomphodella_sp. </w:t>
            </w:r>
          </w:p>
        </w:tc>
        <w:tc>
          <w:tcPr>
            <w:tcW w:w="851" w:type="dxa"/>
            <w:tcBorders>
              <w:top w:val="nil"/>
              <w:left w:val="single" w:sz="4" w:space="0" w:color="auto"/>
              <w:bottom w:val="nil"/>
              <w:right w:val="single" w:sz="4" w:space="0" w:color="auto"/>
            </w:tcBorders>
            <w:shd w:val="clear" w:color="auto" w:fill="auto"/>
            <w:noWrap/>
            <w:vAlign w:val="center"/>
            <w:hideMark/>
          </w:tcPr>
          <w:p w14:paraId="3E95CC2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Sx/Sp?</w:t>
            </w:r>
          </w:p>
        </w:tc>
        <w:tc>
          <w:tcPr>
            <w:tcW w:w="425" w:type="dxa"/>
            <w:tcBorders>
              <w:top w:val="nil"/>
              <w:left w:val="nil"/>
              <w:bottom w:val="nil"/>
              <w:right w:val="nil"/>
            </w:tcBorders>
            <w:shd w:val="clear" w:color="auto" w:fill="auto"/>
            <w:vAlign w:val="center"/>
            <w:hideMark/>
          </w:tcPr>
          <w:p w14:paraId="13C572E6" w14:textId="77777777" w:rsidR="003D3694" w:rsidRPr="00747E35" w:rsidRDefault="003D3694" w:rsidP="0096743A">
            <w:pPr>
              <w:pStyle w:val="Tabletext"/>
              <w:spacing w:before="0" w:after="0"/>
              <w:rPr>
                <w:rFonts w:cstheme="minorHAnsi"/>
                <w:lang w:eastAsia="en-AU"/>
              </w:rPr>
            </w:pPr>
          </w:p>
        </w:tc>
        <w:tc>
          <w:tcPr>
            <w:tcW w:w="567" w:type="dxa"/>
            <w:tcBorders>
              <w:top w:val="nil"/>
              <w:left w:val="single" w:sz="4" w:space="0" w:color="auto"/>
              <w:bottom w:val="nil"/>
              <w:right w:val="single" w:sz="4" w:space="0" w:color="auto"/>
            </w:tcBorders>
            <w:shd w:val="clear" w:color="auto" w:fill="auto"/>
            <w:vAlign w:val="center"/>
            <w:hideMark/>
          </w:tcPr>
          <w:p w14:paraId="18D591A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5441CB6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5EC59727"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4FF54BA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106356B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Branchiura</w:t>
            </w:r>
          </w:p>
        </w:tc>
        <w:tc>
          <w:tcPr>
            <w:tcW w:w="1985" w:type="dxa"/>
            <w:tcBorders>
              <w:top w:val="nil"/>
              <w:left w:val="single" w:sz="4" w:space="0" w:color="auto"/>
              <w:bottom w:val="nil"/>
              <w:right w:val="single" w:sz="4" w:space="0" w:color="auto"/>
            </w:tcBorders>
            <w:shd w:val="clear" w:color="auto" w:fill="auto"/>
            <w:noWrap/>
            <w:vAlign w:val="center"/>
            <w:hideMark/>
          </w:tcPr>
          <w:p w14:paraId="4E01EA7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Branchiura_Fam. indet</w:t>
            </w:r>
          </w:p>
        </w:tc>
        <w:tc>
          <w:tcPr>
            <w:tcW w:w="2551" w:type="dxa"/>
            <w:tcBorders>
              <w:top w:val="nil"/>
              <w:left w:val="nil"/>
              <w:bottom w:val="nil"/>
              <w:right w:val="nil"/>
            </w:tcBorders>
            <w:shd w:val="clear" w:color="auto" w:fill="auto"/>
            <w:noWrap/>
            <w:vAlign w:val="center"/>
            <w:hideMark/>
          </w:tcPr>
          <w:p w14:paraId="3A8DB8F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Branchiura_indet.</w:t>
            </w:r>
          </w:p>
        </w:tc>
        <w:tc>
          <w:tcPr>
            <w:tcW w:w="851" w:type="dxa"/>
            <w:tcBorders>
              <w:top w:val="nil"/>
              <w:left w:val="single" w:sz="4" w:space="0" w:color="auto"/>
              <w:bottom w:val="nil"/>
              <w:right w:val="single" w:sz="4" w:space="0" w:color="auto"/>
            </w:tcBorders>
            <w:shd w:val="clear" w:color="auto" w:fill="auto"/>
            <w:noWrap/>
            <w:vAlign w:val="center"/>
            <w:hideMark/>
          </w:tcPr>
          <w:p w14:paraId="69FDC9B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Ep/P</w:t>
            </w:r>
          </w:p>
        </w:tc>
        <w:tc>
          <w:tcPr>
            <w:tcW w:w="425" w:type="dxa"/>
            <w:tcBorders>
              <w:top w:val="nil"/>
              <w:left w:val="nil"/>
              <w:bottom w:val="nil"/>
              <w:right w:val="nil"/>
            </w:tcBorders>
            <w:shd w:val="clear" w:color="auto" w:fill="auto"/>
            <w:vAlign w:val="center"/>
            <w:hideMark/>
          </w:tcPr>
          <w:p w14:paraId="4830B0E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single" w:sz="4" w:space="0" w:color="auto"/>
              <w:bottom w:val="nil"/>
              <w:right w:val="single" w:sz="4" w:space="0" w:color="auto"/>
            </w:tcBorders>
            <w:shd w:val="clear" w:color="auto" w:fill="auto"/>
            <w:vAlign w:val="center"/>
            <w:hideMark/>
          </w:tcPr>
          <w:p w14:paraId="0F002B1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32" w:type="dxa"/>
            <w:tcBorders>
              <w:top w:val="nil"/>
              <w:left w:val="nil"/>
              <w:bottom w:val="nil"/>
              <w:right w:val="single" w:sz="4" w:space="0" w:color="auto"/>
            </w:tcBorders>
            <w:shd w:val="clear" w:color="auto" w:fill="auto"/>
            <w:vAlign w:val="center"/>
            <w:hideMark/>
          </w:tcPr>
          <w:p w14:paraId="14821E0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4DDAF282"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5D44930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2AC84D0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Cladocera</w:t>
            </w:r>
          </w:p>
        </w:tc>
        <w:tc>
          <w:tcPr>
            <w:tcW w:w="1985" w:type="dxa"/>
            <w:tcBorders>
              <w:top w:val="nil"/>
              <w:left w:val="single" w:sz="4" w:space="0" w:color="auto"/>
              <w:bottom w:val="nil"/>
              <w:right w:val="single" w:sz="4" w:space="0" w:color="auto"/>
            </w:tcBorders>
            <w:shd w:val="clear" w:color="auto" w:fill="auto"/>
            <w:noWrap/>
            <w:vAlign w:val="center"/>
            <w:hideMark/>
          </w:tcPr>
          <w:p w14:paraId="6140D4B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Chydoridae</w:t>
            </w:r>
          </w:p>
        </w:tc>
        <w:tc>
          <w:tcPr>
            <w:tcW w:w="2551" w:type="dxa"/>
            <w:tcBorders>
              <w:top w:val="nil"/>
              <w:left w:val="nil"/>
              <w:bottom w:val="nil"/>
              <w:right w:val="nil"/>
            </w:tcBorders>
            <w:shd w:val="clear" w:color="auto" w:fill="auto"/>
            <w:noWrap/>
            <w:vAlign w:val="center"/>
            <w:hideMark/>
          </w:tcPr>
          <w:p w14:paraId="0F2C9CD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Chydoridae_indet</w:t>
            </w:r>
          </w:p>
        </w:tc>
        <w:tc>
          <w:tcPr>
            <w:tcW w:w="851" w:type="dxa"/>
            <w:tcBorders>
              <w:top w:val="nil"/>
              <w:left w:val="single" w:sz="4" w:space="0" w:color="auto"/>
              <w:bottom w:val="nil"/>
              <w:right w:val="single" w:sz="4" w:space="0" w:color="auto"/>
            </w:tcBorders>
            <w:shd w:val="clear" w:color="auto" w:fill="auto"/>
            <w:noWrap/>
            <w:vAlign w:val="center"/>
            <w:hideMark/>
          </w:tcPr>
          <w:p w14:paraId="3D8A88D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Ep</w:t>
            </w:r>
          </w:p>
        </w:tc>
        <w:tc>
          <w:tcPr>
            <w:tcW w:w="425" w:type="dxa"/>
            <w:tcBorders>
              <w:top w:val="nil"/>
              <w:left w:val="nil"/>
              <w:bottom w:val="nil"/>
              <w:right w:val="nil"/>
            </w:tcBorders>
            <w:shd w:val="clear" w:color="auto" w:fill="auto"/>
            <w:vAlign w:val="center"/>
            <w:hideMark/>
          </w:tcPr>
          <w:p w14:paraId="06B0E06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single" w:sz="4" w:space="0" w:color="auto"/>
              <w:bottom w:val="nil"/>
              <w:right w:val="single" w:sz="4" w:space="0" w:color="auto"/>
            </w:tcBorders>
            <w:shd w:val="clear" w:color="auto" w:fill="auto"/>
            <w:vAlign w:val="center"/>
            <w:hideMark/>
          </w:tcPr>
          <w:p w14:paraId="4A9C79C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32" w:type="dxa"/>
            <w:tcBorders>
              <w:top w:val="nil"/>
              <w:left w:val="nil"/>
              <w:bottom w:val="nil"/>
              <w:right w:val="single" w:sz="4" w:space="0" w:color="auto"/>
            </w:tcBorders>
            <w:shd w:val="clear" w:color="auto" w:fill="auto"/>
            <w:vAlign w:val="center"/>
            <w:hideMark/>
          </w:tcPr>
          <w:p w14:paraId="6FF9666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0F884EF5" w14:textId="77777777" w:rsidTr="0096743A">
        <w:trPr>
          <w:trHeight w:val="240"/>
        </w:trPr>
        <w:tc>
          <w:tcPr>
            <w:tcW w:w="1433" w:type="dxa"/>
            <w:tcBorders>
              <w:top w:val="nil"/>
              <w:left w:val="single" w:sz="4" w:space="0" w:color="auto"/>
              <w:bottom w:val="single" w:sz="4" w:space="0" w:color="auto"/>
              <w:right w:val="single" w:sz="4" w:space="0" w:color="auto"/>
            </w:tcBorders>
            <w:shd w:val="clear" w:color="auto" w:fill="auto"/>
            <w:noWrap/>
            <w:vAlign w:val="center"/>
            <w:hideMark/>
          </w:tcPr>
          <w:p w14:paraId="639644C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16D8B70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Cladocera</w:t>
            </w:r>
          </w:p>
        </w:tc>
        <w:tc>
          <w:tcPr>
            <w:tcW w:w="1985" w:type="dxa"/>
            <w:tcBorders>
              <w:top w:val="nil"/>
              <w:left w:val="single" w:sz="4" w:space="0" w:color="auto"/>
              <w:bottom w:val="single" w:sz="4" w:space="0" w:color="auto"/>
              <w:right w:val="single" w:sz="4" w:space="0" w:color="auto"/>
            </w:tcBorders>
            <w:shd w:val="clear" w:color="auto" w:fill="auto"/>
            <w:noWrap/>
            <w:vAlign w:val="center"/>
            <w:hideMark/>
          </w:tcPr>
          <w:p w14:paraId="12F20DE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Cladocera_Fam. indet.</w:t>
            </w:r>
          </w:p>
        </w:tc>
        <w:tc>
          <w:tcPr>
            <w:tcW w:w="2551" w:type="dxa"/>
            <w:tcBorders>
              <w:top w:val="nil"/>
              <w:left w:val="nil"/>
              <w:bottom w:val="nil"/>
              <w:right w:val="nil"/>
            </w:tcBorders>
            <w:shd w:val="clear" w:color="auto" w:fill="auto"/>
            <w:noWrap/>
            <w:vAlign w:val="center"/>
            <w:hideMark/>
          </w:tcPr>
          <w:p w14:paraId="6B0C8E5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Cladocera_indet.</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5BBD929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Ep</w:t>
            </w:r>
          </w:p>
        </w:tc>
        <w:tc>
          <w:tcPr>
            <w:tcW w:w="425" w:type="dxa"/>
            <w:tcBorders>
              <w:top w:val="nil"/>
              <w:left w:val="nil"/>
              <w:bottom w:val="nil"/>
              <w:right w:val="nil"/>
            </w:tcBorders>
            <w:shd w:val="clear" w:color="auto" w:fill="auto"/>
            <w:vAlign w:val="center"/>
            <w:hideMark/>
          </w:tcPr>
          <w:p w14:paraId="12AEB0B6" w14:textId="77777777" w:rsidR="003D3694" w:rsidRPr="00747E35" w:rsidRDefault="003D3694" w:rsidP="0096743A">
            <w:pPr>
              <w:pStyle w:val="Tabletext"/>
              <w:spacing w:before="0" w:after="0"/>
              <w:rPr>
                <w:rFonts w:cstheme="minorHAnsi"/>
                <w:lang w:eastAsia="en-AU"/>
              </w:rPr>
            </w:pPr>
          </w:p>
        </w:tc>
        <w:tc>
          <w:tcPr>
            <w:tcW w:w="567" w:type="dxa"/>
            <w:tcBorders>
              <w:top w:val="nil"/>
              <w:left w:val="single" w:sz="4" w:space="0" w:color="auto"/>
              <w:bottom w:val="single" w:sz="4" w:space="0" w:color="auto"/>
              <w:right w:val="single" w:sz="4" w:space="0" w:color="auto"/>
            </w:tcBorders>
            <w:shd w:val="clear" w:color="auto" w:fill="auto"/>
            <w:vAlign w:val="center"/>
            <w:hideMark/>
          </w:tcPr>
          <w:p w14:paraId="52BDEC8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single" w:sz="4" w:space="0" w:color="auto"/>
              <w:right w:val="single" w:sz="4" w:space="0" w:color="auto"/>
            </w:tcBorders>
            <w:shd w:val="clear" w:color="auto" w:fill="auto"/>
            <w:vAlign w:val="center"/>
            <w:hideMark/>
          </w:tcPr>
          <w:p w14:paraId="5B2758D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46450227"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7B49C37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Arachnida</w:t>
            </w:r>
          </w:p>
        </w:tc>
        <w:tc>
          <w:tcPr>
            <w:tcW w:w="1417" w:type="dxa"/>
            <w:tcBorders>
              <w:top w:val="single" w:sz="4" w:space="0" w:color="auto"/>
              <w:left w:val="nil"/>
              <w:bottom w:val="nil"/>
              <w:right w:val="nil"/>
            </w:tcBorders>
            <w:shd w:val="clear" w:color="auto" w:fill="auto"/>
            <w:noWrap/>
            <w:vAlign w:val="center"/>
            <w:hideMark/>
          </w:tcPr>
          <w:p w14:paraId="57DCFB2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Acarina (water mites)</w:t>
            </w:r>
          </w:p>
        </w:tc>
        <w:tc>
          <w:tcPr>
            <w:tcW w:w="1985" w:type="dxa"/>
            <w:tcBorders>
              <w:top w:val="nil"/>
              <w:left w:val="single" w:sz="4" w:space="0" w:color="auto"/>
              <w:bottom w:val="nil"/>
              <w:right w:val="single" w:sz="4" w:space="0" w:color="auto"/>
            </w:tcBorders>
            <w:shd w:val="clear" w:color="auto" w:fill="auto"/>
            <w:noWrap/>
            <w:vAlign w:val="center"/>
            <w:hideMark/>
          </w:tcPr>
          <w:p w14:paraId="539D083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Acarina_Fam. indet.</w:t>
            </w:r>
          </w:p>
        </w:tc>
        <w:tc>
          <w:tcPr>
            <w:tcW w:w="2551" w:type="dxa"/>
            <w:tcBorders>
              <w:top w:val="single" w:sz="4" w:space="0" w:color="auto"/>
              <w:left w:val="nil"/>
              <w:bottom w:val="nil"/>
              <w:right w:val="nil"/>
            </w:tcBorders>
            <w:shd w:val="clear" w:color="auto" w:fill="auto"/>
            <w:noWrap/>
            <w:vAlign w:val="center"/>
            <w:hideMark/>
          </w:tcPr>
          <w:p w14:paraId="4A515DD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Acarina_sp1_shield</w:t>
            </w:r>
          </w:p>
        </w:tc>
        <w:tc>
          <w:tcPr>
            <w:tcW w:w="851" w:type="dxa"/>
            <w:tcBorders>
              <w:top w:val="nil"/>
              <w:left w:val="single" w:sz="4" w:space="0" w:color="auto"/>
              <w:bottom w:val="nil"/>
              <w:right w:val="single" w:sz="4" w:space="0" w:color="auto"/>
            </w:tcBorders>
            <w:shd w:val="clear" w:color="auto" w:fill="auto"/>
            <w:noWrap/>
            <w:vAlign w:val="center"/>
            <w:hideMark/>
          </w:tcPr>
          <w:p w14:paraId="2E8A6AA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Sp?</w:t>
            </w:r>
          </w:p>
        </w:tc>
        <w:tc>
          <w:tcPr>
            <w:tcW w:w="425" w:type="dxa"/>
            <w:tcBorders>
              <w:top w:val="single" w:sz="4" w:space="0" w:color="auto"/>
              <w:left w:val="nil"/>
              <w:bottom w:val="nil"/>
              <w:right w:val="single" w:sz="4" w:space="0" w:color="auto"/>
            </w:tcBorders>
            <w:shd w:val="clear" w:color="auto" w:fill="auto"/>
            <w:vAlign w:val="center"/>
            <w:hideMark/>
          </w:tcPr>
          <w:p w14:paraId="0F2A8F8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67" w:type="dxa"/>
            <w:tcBorders>
              <w:top w:val="nil"/>
              <w:left w:val="nil"/>
              <w:bottom w:val="nil"/>
              <w:right w:val="single" w:sz="4" w:space="0" w:color="auto"/>
            </w:tcBorders>
            <w:shd w:val="clear" w:color="auto" w:fill="auto"/>
            <w:vAlign w:val="center"/>
            <w:hideMark/>
          </w:tcPr>
          <w:p w14:paraId="6ED1792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7522773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5C5B2FAF"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6070656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52EF65C7"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45206E1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Aturidae</w:t>
            </w:r>
          </w:p>
        </w:tc>
        <w:tc>
          <w:tcPr>
            <w:tcW w:w="2551" w:type="dxa"/>
            <w:tcBorders>
              <w:top w:val="nil"/>
              <w:left w:val="nil"/>
              <w:bottom w:val="nil"/>
              <w:right w:val="nil"/>
            </w:tcBorders>
            <w:shd w:val="clear" w:color="auto" w:fill="auto"/>
            <w:noWrap/>
            <w:vAlign w:val="center"/>
            <w:hideMark/>
          </w:tcPr>
          <w:p w14:paraId="082B55C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Aturidae_indet.</w:t>
            </w:r>
          </w:p>
        </w:tc>
        <w:tc>
          <w:tcPr>
            <w:tcW w:w="851" w:type="dxa"/>
            <w:tcBorders>
              <w:top w:val="nil"/>
              <w:left w:val="single" w:sz="4" w:space="0" w:color="auto"/>
              <w:bottom w:val="nil"/>
              <w:right w:val="single" w:sz="4" w:space="0" w:color="auto"/>
            </w:tcBorders>
            <w:shd w:val="clear" w:color="auto" w:fill="auto"/>
            <w:noWrap/>
            <w:vAlign w:val="center"/>
            <w:hideMark/>
          </w:tcPr>
          <w:p w14:paraId="018741D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Sp?</w:t>
            </w:r>
          </w:p>
        </w:tc>
        <w:tc>
          <w:tcPr>
            <w:tcW w:w="425" w:type="dxa"/>
            <w:tcBorders>
              <w:top w:val="nil"/>
              <w:left w:val="nil"/>
              <w:bottom w:val="nil"/>
              <w:right w:val="single" w:sz="4" w:space="0" w:color="auto"/>
            </w:tcBorders>
            <w:shd w:val="clear" w:color="auto" w:fill="auto"/>
            <w:vAlign w:val="center"/>
            <w:hideMark/>
          </w:tcPr>
          <w:p w14:paraId="3CF66B1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nil"/>
              <w:right w:val="single" w:sz="4" w:space="0" w:color="auto"/>
            </w:tcBorders>
            <w:shd w:val="clear" w:color="auto" w:fill="auto"/>
            <w:vAlign w:val="center"/>
            <w:hideMark/>
          </w:tcPr>
          <w:p w14:paraId="547726D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32" w:type="dxa"/>
            <w:tcBorders>
              <w:top w:val="nil"/>
              <w:left w:val="nil"/>
              <w:bottom w:val="nil"/>
              <w:right w:val="single" w:sz="4" w:space="0" w:color="auto"/>
            </w:tcBorders>
            <w:shd w:val="clear" w:color="auto" w:fill="auto"/>
            <w:vAlign w:val="center"/>
            <w:hideMark/>
          </w:tcPr>
          <w:p w14:paraId="7A1A41C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7277041C"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3141411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2F6AD424"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3059392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Hygrobatidae</w:t>
            </w:r>
          </w:p>
        </w:tc>
        <w:tc>
          <w:tcPr>
            <w:tcW w:w="2551" w:type="dxa"/>
            <w:tcBorders>
              <w:top w:val="nil"/>
              <w:left w:val="nil"/>
              <w:bottom w:val="nil"/>
              <w:right w:val="nil"/>
            </w:tcBorders>
            <w:shd w:val="clear" w:color="auto" w:fill="auto"/>
            <w:noWrap/>
            <w:vAlign w:val="center"/>
            <w:hideMark/>
          </w:tcPr>
          <w:p w14:paraId="69F353D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Hygrobatidae_indet.</w:t>
            </w:r>
          </w:p>
        </w:tc>
        <w:tc>
          <w:tcPr>
            <w:tcW w:w="851" w:type="dxa"/>
            <w:tcBorders>
              <w:top w:val="nil"/>
              <w:left w:val="single" w:sz="4" w:space="0" w:color="auto"/>
              <w:bottom w:val="nil"/>
              <w:right w:val="single" w:sz="4" w:space="0" w:color="auto"/>
            </w:tcBorders>
            <w:shd w:val="clear" w:color="auto" w:fill="auto"/>
            <w:noWrap/>
            <w:vAlign w:val="center"/>
            <w:hideMark/>
          </w:tcPr>
          <w:p w14:paraId="36E4D09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Sp?</w:t>
            </w:r>
          </w:p>
        </w:tc>
        <w:tc>
          <w:tcPr>
            <w:tcW w:w="425" w:type="dxa"/>
            <w:tcBorders>
              <w:top w:val="nil"/>
              <w:left w:val="nil"/>
              <w:bottom w:val="nil"/>
              <w:right w:val="single" w:sz="4" w:space="0" w:color="auto"/>
            </w:tcBorders>
            <w:shd w:val="clear" w:color="auto" w:fill="auto"/>
            <w:vAlign w:val="center"/>
            <w:hideMark/>
          </w:tcPr>
          <w:p w14:paraId="032367D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67" w:type="dxa"/>
            <w:tcBorders>
              <w:top w:val="nil"/>
              <w:left w:val="nil"/>
              <w:bottom w:val="nil"/>
              <w:right w:val="single" w:sz="4" w:space="0" w:color="auto"/>
            </w:tcBorders>
            <w:shd w:val="clear" w:color="auto" w:fill="auto"/>
            <w:vAlign w:val="center"/>
            <w:hideMark/>
          </w:tcPr>
          <w:p w14:paraId="00531F9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32" w:type="dxa"/>
            <w:tcBorders>
              <w:top w:val="nil"/>
              <w:left w:val="nil"/>
              <w:bottom w:val="nil"/>
              <w:right w:val="single" w:sz="4" w:space="0" w:color="auto"/>
            </w:tcBorders>
            <w:shd w:val="clear" w:color="auto" w:fill="auto"/>
            <w:vAlign w:val="center"/>
            <w:hideMark/>
          </w:tcPr>
          <w:p w14:paraId="0FEF82B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622FAC3C"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5AE5A15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366BEB36"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652B579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Oribatida</w:t>
            </w:r>
          </w:p>
        </w:tc>
        <w:tc>
          <w:tcPr>
            <w:tcW w:w="2551" w:type="dxa"/>
            <w:tcBorders>
              <w:top w:val="nil"/>
              <w:left w:val="nil"/>
              <w:bottom w:val="nil"/>
              <w:right w:val="nil"/>
            </w:tcBorders>
            <w:shd w:val="clear" w:color="auto" w:fill="auto"/>
            <w:noWrap/>
            <w:vAlign w:val="center"/>
            <w:hideMark/>
          </w:tcPr>
          <w:p w14:paraId="4ACB7DE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Oribatida_indet.</w:t>
            </w:r>
          </w:p>
        </w:tc>
        <w:tc>
          <w:tcPr>
            <w:tcW w:w="851" w:type="dxa"/>
            <w:tcBorders>
              <w:top w:val="nil"/>
              <w:left w:val="single" w:sz="4" w:space="0" w:color="auto"/>
              <w:bottom w:val="nil"/>
              <w:right w:val="single" w:sz="4" w:space="0" w:color="auto"/>
            </w:tcBorders>
            <w:shd w:val="clear" w:color="auto" w:fill="auto"/>
            <w:noWrap/>
            <w:vAlign w:val="center"/>
            <w:hideMark/>
          </w:tcPr>
          <w:p w14:paraId="7BA9655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Sp?</w:t>
            </w:r>
          </w:p>
        </w:tc>
        <w:tc>
          <w:tcPr>
            <w:tcW w:w="425" w:type="dxa"/>
            <w:tcBorders>
              <w:top w:val="nil"/>
              <w:left w:val="nil"/>
              <w:bottom w:val="nil"/>
              <w:right w:val="single" w:sz="4" w:space="0" w:color="auto"/>
            </w:tcBorders>
            <w:shd w:val="clear" w:color="auto" w:fill="auto"/>
            <w:vAlign w:val="center"/>
            <w:hideMark/>
          </w:tcPr>
          <w:p w14:paraId="2CA1F92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nil"/>
              <w:right w:val="single" w:sz="4" w:space="0" w:color="auto"/>
            </w:tcBorders>
            <w:shd w:val="clear" w:color="auto" w:fill="auto"/>
            <w:vAlign w:val="center"/>
            <w:hideMark/>
          </w:tcPr>
          <w:p w14:paraId="5CDFFD5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1807114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34C84A21"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59EF5DE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4EF2342B"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3CC839E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Oxidae?</w:t>
            </w:r>
          </w:p>
        </w:tc>
        <w:tc>
          <w:tcPr>
            <w:tcW w:w="2551" w:type="dxa"/>
            <w:tcBorders>
              <w:top w:val="nil"/>
              <w:left w:val="nil"/>
              <w:bottom w:val="nil"/>
              <w:right w:val="nil"/>
            </w:tcBorders>
            <w:shd w:val="clear" w:color="auto" w:fill="auto"/>
            <w:noWrap/>
            <w:vAlign w:val="center"/>
            <w:hideMark/>
          </w:tcPr>
          <w:p w14:paraId="6861219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Oxidae?_indet.</w:t>
            </w:r>
          </w:p>
        </w:tc>
        <w:tc>
          <w:tcPr>
            <w:tcW w:w="851" w:type="dxa"/>
            <w:tcBorders>
              <w:top w:val="nil"/>
              <w:left w:val="single" w:sz="4" w:space="0" w:color="auto"/>
              <w:bottom w:val="nil"/>
              <w:right w:val="single" w:sz="4" w:space="0" w:color="auto"/>
            </w:tcBorders>
            <w:shd w:val="clear" w:color="auto" w:fill="auto"/>
            <w:noWrap/>
            <w:vAlign w:val="center"/>
            <w:hideMark/>
          </w:tcPr>
          <w:p w14:paraId="71516D5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Sp?</w:t>
            </w:r>
          </w:p>
        </w:tc>
        <w:tc>
          <w:tcPr>
            <w:tcW w:w="425" w:type="dxa"/>
            <w:tcBorders>
              <w:top w:val="nil"/>
              <w:left w:val="nil"/>
              <w:bottom w:val="nil"/>
              <w:right w:val="single" w:sz="4" w:space="0" w:color="auto"/>
            </w:tcBorders>
            <w:shd w:val="clear" w:color="auto" w:fill="auto"/>
            <w:vAlign w:val="center"/>
            <w:hideMark/>
          </w:tcPr>
          <w:p w14:paraId="5BDBE51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67" w:type="dxa"/>
            <w:tcBorders>
              <w:top w:val="nil"/>
              <w:left w:val="nil"/>
              <w:bottom w:val="nil"/>
              <w:right w:val="single" w:sz="4" w:space="0" w:color="auto"/>
            </w:tcBorders>
            <w:shd w:val="clear" w:color="auto" w:fill="auto"/>
            <w:vAlign w:val="center"/>
            <w:hideMark/>
          </w:tcPr>
          <w:p w14:paraId="1DF0786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2D47C11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38B6698D"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02D0B09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1B13CAE8"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615BDA4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Pezidae</w:t>
            </w:r>
          </w:p>
        </w:tc>
        <w:tc>
          <w:tcPr>
            <w:tcW w:w="2551" w:type="dxa"/>
            <w:tcBorders>
              <w:top w:val="nil"/>
              <w:left w:val="nil"/>
              <w:bottom w:val="nil"/>
              <w:right w:val="nil"/>
            </w:tcBorders>
            <w:shd w:val="clear" w:color="auto" w:fill="auto"/>
            <w:noWrap/>
            <w:vAlign w:val="center"/>
            <w:hideMark/>
          </w:tcPr>
          <w:p w14:paraId="1BD1EF4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Pezidae_indet</w:t>
            </w:r>
          </w:p>
        </w:tc>
        <w:tc>
          <w:tcPr>
            <w:tcW w:w="851" w:type="dxa"/>
            <w:tcBorders>
              <w:top w:val="nil"/>
              <w:left w:val="single" w:sz="4" w:space="0" w:color="auto"/>
              <w:bottom w:val="nil"/>
              <w:right w:val="single" w:sz="4" w:space="0" w:color="auto"/>
            </w:tcBorders>
            <w:shd w:val="clear" w:color="auto" w:fill="auto"/>
            <w:noWrap/>
            <w:vAlign w:val="center"/>
            <w:hideMark/>
          </w:tcPr>
          <w:p w14:paraId="5FD41DB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Sb</w:t>
            </w:r>
          </w:p>
        </w:tc>
        <w:tc>
          <w:tcPr>
            <w:tcW w:w="425" w:type="dxa"/>
            <w:tcBorders>
              <w:top w:val="nil"/>
              <w:left w:val="nil"/>
              <w:bottom w:val="nil"/>
              <w:right w:val="single" w:sz="4" w:space="0" w:color="auto"/>
            </w:tcBorders>
            <w:shd w:val="clear" w:color="auto" w:fill="auto"/>
            <w:vAlign w:val="center"/>
            <w:hideMark/>
          </w:tcPr>
          <w:p w14:paraId="67853A3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67" w:type="dxa"/>
            <w:tcBorders>
              <w:top w:val="nil"/>
              <w:left w:val="nil"/>
              <w:bottom w:val="nil"/>
              <w:right w:val="single" w:sz="4" w:space="0" w:color="auto"/>
            </w:tcBorders>
            <w:shd w:val="clear" w:color="auto" w:fill="auto"/>
            <w:vAlign w:val="center"/>
            <w:hideMark/>
          </w:tcPr>
          <w:p w14:paraId="7D1835E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24D9203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0A165DE4"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48FC123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lastRenderedPageBreak/>
              <w:t> </w:t>
            </w:r>
          </w:p>
        </w:tc>
        <w:tc>
          <w:tcPr>
            <w:tcW w:w="1417" w:type="dxa"/>
            <w:tcBorders>
              <w:top w:val="nil"/>
              <w:left w:val="nil"/>
              <w:bottom w:val="nil"/>
              <w:right w:val="nil"/>
            </w:tcBorders>
            <w:shd w:val="clear" w:color="auto" w:fill="auto"/>
            <w:noWrap/>
            <w:vAlign w:val="center"/>
            <w:hideMark/>
          </w:tcPr>
          <w:p w14:paraId="09530F6A"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528303A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Unionicolidae?</w:t>
            </w:r>
          </w:p>
        </w:tc>
        <w:tc>
          <w:tcPr>
            <w:tcW w:w="2551" w:type="dxa"/>
            <w:tcBorders>
              <w:top w:val="nil"/>
              <w:left w:val="nil"/>
              <w:bottom w:val="nil"/>
              <w:right w:val="nil"/>
            </w:tcBorders>
            <w:shd w:val="clear" w:color="auto" w:fill="auto"/>
            <w:noWrap/>
            <w:vAlign w:val="center"/>
            <w:hideMark/>
          </w:tcPr>
          <w:p w14:paraId="0730666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Unionicolidae?_indet.</w:t>
            </w:r>
          </w:p>
        </w:tc>
        <w:tc>
          <w:tcPr>
            <w:tcW w:w="851" w:type="dxa"/>
            <w:tcBorders>
              <w:top w:val="nil"/>
              <w:left w:val="single" w:sz="4" w:space="0" w:color="auto"/>
              <w:bottom w:val="nil"/>
              <w:right w:val="single" w:sz="4" w:space="0" w:color="auto"/>
            </w:tcBorders>
            <w:shd w:val="clear" w:color="auto" w:fill="auto"/>
            <w:noWrap/>
            <w:vAlign w:val="center"/>
            <w:hideMark/>
          </w:tcPr>
          <w:p w14:paraId="66D5487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Sp?</w:t>
            </w:r>
          </w:p>
        </w:tc>
        <w:tc>
          <w:tcPr>
            <w:tcW w:w="425" w:type="dxa"/>
            <w:tcBorders>
              <w:top w:val="nil"/>
              <w:left w:val="nil"/>
              <w:bottom w:val="nil"/>
              <w:right w:val="single" w:sz="4" w:space="0" w:color="auto"/>
            </w:tcBorders>
            <w:shd w:val="clear" w:color="auto" w:fill="auto"/>
            <w:vAlign w:val="center"/>
            <w:hideMark/>
          </w:tcPr>
          <w:p w14:paraId="1F4B0A2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67" w:type="dxa"/>
            <w:tcBorders>
              <w:top w:val="nil"/>
              <w:left w:val="nil"/>
              <w:bottom w:val="nil"/>
              <w:right w:val="single" w:sz="4" w:space="0" w:color="auto"/>
            </w:tcBorders>
            <w:shd w:val="clear" w:color="auto" w:fill="auto"/>
            <w:vAlign w:val="center"/>
            <w:hideMark/>
          </w:tcPr>
          <w:p w14:paraId="1CD04D3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7E2FC7F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548AED72" w14:textId="77777777" w:rsidTr="0096743A">
        <w:trPr>
          <w:trHeight w:val="240"/>
        </w:trPr>
        <w:tc>
          <w:tcPr>
            <w:tcW w:w="1433" w:type="dxa"/>
            <w:tcBorders>
              <w:top w:val="nil"/>
              <w:left w:val="single" w:sz="4" w:space="0" w:color="auto"/>
              <w:bottom w:val="single" w:sz="4" w:space="0" w:color="auto"/>
              <w:right w:val="single" w:sz="4" w:space="0" w:color="auto"/>
            </w:tcBorders>
            <w:shd w:val="clear" w:color="auto" w:fill="auto"/>
            <w:noWrap/>
            <w:vAlign w:val="center"/>
            <w:hideMark/>
          </w:tcPr>
          <w:p w14:paraId="171CB8B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single" w:sz="4" w:space="0" w:color="auto"/>
              <w:right w:val="nil"/>
            </w:tcBorders>
            <w:shd w:val="clear" w:color="auto" w:fill="auto"/>
            <w:noWrap/>
            <w:vAlign w:val="center"/>
            <w:hideMark/>
          </w:tcPr>
          <w:p w14:paraId="43E60F0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985" w:type="dxa"/>
            <w:tcBorders>
              <w:top w:val="nil"/>
              <w:left w:val="single" w:sz="4" w:space="0" w:color="auto"/>
              <w:bottom w:val="single" w:sz="4" w:space="0" w:color="auto"/>
              <w:right w:val="single" w:sz="4" w:space="0" w:color="auto"/>
            </w:tcBorders>
            <w:shd w:val="clear" w:color="auto" w:fill="auto"/>
            <w:noWrap/>
            <w:vAlign w:val="center"/>
            <w:hideMark/>
          </w:tcPr>
          <w:p w14:paraId="6BDA75B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Acarina_Fam. indet.</w:t>
            </w:r>
          </w:p>
        </w:tc>
        <w:tc>
          <w:tcPr>
            <w:tcW w:w="2551" w:type="dxa"/>
            <w:tcBorders>
              <w:top w:val="nil"/>
              <w:left w:val="nil"/>
              <w:bottom w:val="single" w:sz="4" w:space="0" w:color="auto"/>
              <w:right w:val="single" w:sz="4" w:space="0" w:color="auto"/>
            </w:tcBorders>
            <w:shd w:val="clear" w:color="auto" w:fill="auto"/>
            <w:noWrap/>
            <w:vAlign w:val="center"/>
            <w:hideMark/>
          </w:tcPr>
          <w:p w14:paraId="36E41F2B" w14:textId="77777777" w:rsidR="003D3694" w:rsidRPr="00747E35" w:rsidRDefault="003D3694" w:rsidP="0096743A">
            <w:pPr>
              <w:pStyle w:val="Tabletext"/>
              <w:spacing w:before="0" w:after="0"/>
              <w:rPr>
                <w:rFonts w:cstheme="minorHAnsi"/>
                <w:b/>
                <w:bCs/>
                <w:lang w:eastAsia="en-AU"/>
              </w:rPr>
            </w:pPr>
            <w:r w:rsidRPr="00747E35">
              <w:rPr>
                <w:rFonts w:cstheme="minorHAnsi"/>
                <w:b/>
                <w:lang w:eastAsia="en-AU"/>
              </w:rPr>
              <w:t>Acarina_Fam. indet.</w:t>
            </w:r>
          </w:p>
        </w:tc>
        <w:tc>
          <w:tcPr>
            <w:tcW w:w="851" w:type="dxa"/>
            <w:tcBorders>
              <w:top w:val="nil"/>
              <w:left w:val="nil"/>
              <w:bottom w:val="single" w:sz="4" w:space="0" w:color="auto"/>
              <w:right w:val="single" w:sz="4" w:space="0" w:color="auto"/>
            </w:tcBorders>
            <w:shd w:val="clear" w:color="auto" w:fill="auto"/>
            <w:noWrap/>
            <w:vAlign w:val="center"/>
            <w:hideMark/>
          </w:tcPr>
          <w:p w14:paraId="688C74F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Sp?/Ac?</w:t>
            </w:r>
          </w:p>
        </w:tc>
        <w:tc>
          <w:tcPr>
            <w:tcW w:w="425" w:type="dxa"/>
            <w:tcBorders>
              <w:top w:val="nil"/>
              <w:left w:val="nil"/>
              <w:bottom w:val="single" w:sz="4" w:space="0" w:color="auto"/>
              <w:right w:val="single" w:sz="4" w:space="0" w:color="auto"/>
            </w:tcBorders>
            <w:shd w:val="clear" w:color="auto" w:fill="auto"/>
            <w:vAlign w:val="center"/>
            <w:hideMark/>
          </w:tcPr>
          <w:p w14:paraId="6F70C28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single" w:sz="4" w:space="0" w:color="auto"/>
              <w:right w:val="single" w:sz="4" w:space="0" w:color="auto"/>
            </w:tcBorders>
            <w:shd w:val="clear" w:color="auto" w:fill="auto"/>
            <w:vAlign w:val="center"/>
            <w:hideMark/>
          </w:tcPr>
          <w:p w14:paraId="53E2E2B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single" w:sz="4" w:space="0" w:color="auto"/>
              <w:right w:val="single" w:sz="4" w:space="0" w:color="auto"/>
            </w:tcBorders>
            <w:shd w:val="clear" w:color="auto" w:fill="auto"/>
            <w:vAlign w:val="center"/>
            <w:hideMark/>
          </w:tcPr>
          <w:p w14:paraId="421FAF0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2FA18640"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70C40DF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Insecta</w:t>
            </w:r>
          </w:p>
        </w:tc>
        <w:tc>
          <w:tcPr>
            <w:tcW w:w="1417" w:type="dxa"/>
            <w:tcBorders>
              <w:top w:val="nil"/>
              <w:left w:val="nil"/>
              <w:bottom w:val="nil"/>
              <w:right w:val="nil"/>
            </w:tcBorders>
            <w:shd w:val="clear" w:color="auto" w:fill="auto"/>
            <w:noWrap/>
            <w:vAlign w:val="center"/>
            <w:hideMark/>
          </w:tcPr>
          <w:p w14:paraId="2C57ED7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Coleoptera</w:t>
            </w:r>
          </w:p>
        </w:tc>
        <w:tc>
          <w:tcPr>
            <w:tcW w:w="1985" w:type="dxa"/>
            <w:tcBorders>
              <w:top w:val="nil"/>
              <w:left w:val="single" w:sz="4" w:space="0" w:color="auto"/>
              <w:bottom w:val="nil"/>
              <w:right w:val="single" w:sz="4" w:space="0" w:color="auto"/>
            </w:tcBorders>
            <w:shd w:val="clear" w:color="auto" w:fill="auto"/>
            <w:noWrap/>
            <w:vAlign w:val="center"/>
            <w:hideMark/>
          </w:tcPr>
          <w:p w14:paraId="443D74C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Elmidae</w:t>
            </w:r>
          </w:p>
        </w:tc>
        <w:tc>
          <w:tcPr>
            <w:tcW w:w="2551" w:type="dxa"/>
            <w:tcBorders>
              <w:top w:val="nil"/>
              <w:left w:val="nil"/>
              <w:bottom w:val="nil"/>
              <w:right w:val="nil"/>
            </w:tcBorders>
            <w:shd w:val="clear" w:color="auto" w:fill="auto"/>
            <w:noWrap/>
            <w:vAlign w:val="center"/>
            <w:hideMark/>
          </w:tcPr>
          <w:p w14:paraId="04B4BC0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Elmidae_indet.</w:t>
            </w:r>
          </w:p>
        </w:tc>
        <w:tc>
          <w:tcPr>
            <w:tcW w:w="851" w:type="dxa"/>
            <w:tcBorders>
              <w:top w:val="nil"/>
              <w:left w:val="single" w:sz="4" w:space="0" w:color="auto"/>
              <w:bottom w:val="nil"/>
              <w:right w:val="single" w:sz="4" w:space="0" w:color="auto"/>
            </w:tcBorders>
            <w:shd w:val="clear" w:color="auto" w:fill="auto"/>
            <w:noWrap/>
            <w:vAlign w:val="center"/>
            <w:hideMark/>
          </w:tcPr>
          <w:p w14:paraId="249DF69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Sx?</w:t>
            </w:r>
          </w:p>
        </w:tc>
        <w:tc>
          <w:tcPr>
            <w:tcW w:w="425" w:type="dxa"/>
            <w:tcBorders>
              <w:top w:val="nil"/>
              <w:left w:val="nil"/>
              <w:bottom w:val="nil"/>
              <w:right w:val="single" w:sz="4" w:space="0" w:color="auto"/>
            </w:tcBorders>
            <w:shd w:val="clear" w:color="auto" w:fill="auto"/>
            <w:vAlign w:val="center"/>
            <w:hideMark/>
          </w:tcPr>
          <w:p w14:paraId="5B09D27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nil"/>
              <w:right w:val="single" w:sz="4" w:space="0" w:color="auto"/>
            </w:tcBorders>
            <w:shd w:val="clear" w:color="auto" w:fill="auto"/>
            <w:vAlign w:val="center"/>
            <w:hideMark/>
          </w:tcPr>
          <w:p w14:paraId="22DC611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7B84C5B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095879AB"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62A8027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6273786E"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02DFEEB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Hydraenidae</w:t>
            </w:r>
          </w:p>
        </w:tc>
        <w:tc>
          <w:tcPr>
            <w:tcW w:w="2551" w:type="dxa"/>
            <w:tcBorders>
              <w:top w:val="nil"/>
              <w:left w:val="nil"/>
              <w:bottom w:val="nil"/>
              <w:right w:val="nil"/>
            </w:tcBorders>
            <w:shd w:val="clear" w:color="auto" w:fill="auto"/>
            <w:noWrap/>
            <w:vAlign w:val="center"/>
            <w:hideMark/>
          </w:tcPr>
          <w:p w14:paraId="63D5219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Hydraenidae_indet</w:t>
            </w:r>
          </w:p>
        </w:tc>
        <w:tc>
          <w:tcPr>
            <w:tcW w:w="851" w:type="dxa"/>
            <w:tcBorders>
              <w:top w:val="nil"/>
              <w:left w:val="single" w:sz="4" w:space="0" w:color="auto"/>
              <w:bottom w:val="nil"/>
              <w:right w:val="single" w:sz="4" w:space="0" w:color="auto"/>
            </w:tcBorders>
            <w:shd w:val="clear" w:color="auto" w:fill="auto"/>
            <w:noWrap/>
            <w:vAlign w:val="center"/>
            <w:hideMark/>
          </w:tcPr>
          <w:p w14:paraId="0276928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Sx?</w:t>
            </w:r>
          </w:p>
        </w:tc>
        <w:tc>
          <w:tcPr>
            <w:tcW w:w="425" w:type="dxa"/>
            <w:tcBorders>
              <w:top w:val="nil"/>
              <w:left w:val="nil"/>
              <w:bottom w:val="nil"/>
              <w:right w:val="single" w:sz="4" w:space="0" w:color="auto"/>
            </w:tcBorders>
            <w:shd w:val="clear" w:color="auto" w:fill="auto"/>
            <w:vAlign w:val="center"/>
            <w:hideMark/>
          </w:tcPr>
          <w:p w14:paraId="19DFE20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nil"/>
              <w:right w:val="single" w:sz="4" w:space="0" w:color="auto"/>
            </w:tcBorders>
            <w:shd w:val="clear" w:color="auto" w:fill="auto"/>
            <w:vAlign w:val="center"/>
            <w:hideMark/>
          </w:tcPr>
          <w:p w14:paraId="3CEF7EC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32" w:type="dxa"/>
            <w:tcBorders>
              <w:top w:val="nil"/>
              <w:left w:val="nil"/>
              <w:bottom w:val="nil"/>
              <w:right w:val="single" w:sz="4" w:space="0" w:color="auto"/>
            </w:tcBorders>
            <w:shd w:val="clear" w:color="auto" w:fill="auto"/>
            <w:vAlign w:val="center"/>
            <w:hideMark/>
          </w:tcPr>
          <w:p w14:paraId="4ADFDE1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2AE93670"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2240500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184A7A74"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7C48752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Hydrophilidae</w:t>
            </w:r>
          </w:p>
        </w:tc>
        <w:tc>
          <w:tcPr>
            <w:tcW w:w="2551" w:type="dxa"/>
            <w:tcBorders>
              <w:top w:val="nil"/>
              <w:left w:val="nil"/>
              <w:bottom w:val="nil"/>
              <w:right w:val="nil"/>
            </w:tcBorders>
            <w:shd w:val="clear" w:color="auto" w:fill="auto"/>
            <w:noWrap/>
            <w:vAlign w:val="center"/>
            <w:hideMark/>
          </w:tcPr>
          <w:p w14:paraId="02C432A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Hydrophilidae_indet</w:t>
            </w:r>
          </w:p>
        </w:tc>
        <w:tc>
          <w:tcPr>
            <w:tcW w:w="851" w:type="dxa"/>
            <w:tcBorders>
              <w:top w:val="nil"/>
              <w:left w:val="single" w:sz="4" w:space="0" w:color="auto"/>
              <w:bottom w:val="nil"/>
              <w:right w:val="single" w:sz="4" w:space="0" w:color="auto"/>
            </w:tcBorders>
            <w:shd w:val="clear" w:color="auto" w:fill="auto"/>
            <w:noWrap/>
            <w:vAlign w:val="center"/>
            <w:hideMark/>
          </w:tcPr>
          <w:p w14:paraId="3BD86C3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Sx?</w:t>
            </w:r>
          </w:p>
        </w:tc>
        <w:tc>
          <w:tcPr>
            <w:tcW w:w="425" w:type="dxa"/>
            <w:tcBorders>
              <w:top w:val="nil"/>
              <w:left w:val="nil"/>
              <w:bottom w:val="nil"/>
              <w:right w:val="single" w:sz="4" w:space="0" w:color="auto"/>
            </w:tcBorders>
            <w:shd w:val="clear" w:color="auto" w:fill="auto"/>
            <w:vAlign w:val="center"/>
            <w:hideMark/>
          </w:tcPr>
          <w:p w14:paraId="78BC464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nil"/>
              <w:right w:val="single" w:sz="4" w:space="0" w:color="auto"/>
            </w:tcBorders>
            <w:shd w:val="clear" w:color="auto" w:fill="auto"/>
            <w:vAlign w:val="center"/>
            <w:hideMark/>
          </w:tcPr>
          <w:p w14:paraId="69E03F5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32" w:type="dxa"/>
            <w:tcBorders>
              <w:top w:val="nil"/>
              <w:left w:val="nil"/>
              <w:bottom w:val="nil"/>
              <w:right w:val="single" w:sz="4" w:space="0" w:color="auto"/>
            </w:tcBorders>
            <w:shd w:val="clear" w:color="auto" w:fill="auto"/>
            <w:vAlign w:val="center"/>
            <w:hideMark/>
          </w:tcPr>
          <w:p w14:paraId="5AEC00D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27A0666B"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4FDA239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7E94BEA2"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2B62381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Coleoptera_Fam. indet.</w:t>
            </w:r>
          </w:p>
        </w:tc>
        <w:tc>
          <w:tcPr>
            <w:tcW w:w="2551" w:type="dxa"/>
            <w:tcBorders>
              <w:top w:val="nil"/>
              <w:left w:val="nil"/>
              <w:bottom w:val="nil"/>
              <w:right w:val="single" w:sz="4" w:space="0" w:color="auto"/>
            </w:tcBorders>
            <w:shd w:val="clear" w:color="auto" w:fill="auto"/>
            <w:noWrap/>
            <w:vAlign w:val="center"/>
            <w:hideMark/>
          </w:tcPr>
          <w:p w14:paraId="720E080B" w14:textId="77777777" w:rsidR="003D3694" w:rsidRPr="00747E35" w:rsidRDefault="003D3694" w:rsidP="0096743A">
            <w:pPr>
              <w:pStyle w:val="Tabletext"/>
              <w:spacing w:before="0" w:after="0"/>
              <w:rPr>
                <w:rFonts w:cstheme="minorHAnsi"/>
                <w:b/>
                <w:bCs/>
                <w:lang w:eastAsia="en-AU"/>
              </w:rPr>
            </w:pPr>
            <w:r w:rsidRPr="00747E35">
              <w:rPr>
                <w:rFonts w:cstheme="minorHAnsi"/>
                <w:b/>
                <w:lang w:eastAsia="en-AU"/>
              </w:rPr>
              <w:t>Coleoptera_Fam. indet.</w:t>
            </w:r>
          </w:p>
        </w:tc>
        <w:tc>
          <w:tcPr>
            <w:tcW w:w="851" w:type="dxa"/>
            <w:tcBorders>
              <w:top w:val="nil"/>
              <w:left w:val="nil"/>
              <w:bottom w:val="nil"/>
              <w:right w:val="single" w:sz="4" w:space="0" w:color="auto"/>
            </w:tcBorders>
            <w:shd w:val="clear" w:color="auto" w:fill="auto"/>
            <w:noWrap/>
            <w:vAlign w:val="center"/>
            <w:hideMark/>
          </w:tcPr>
          <w:p w14:paraId="1F57715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Sx?</w:t>
            </w:r>
          </w:p>
        </w:tc>
        <w:tc>
          <w:tcPr>
            <w:tcW w:w="425" w:type="dxa"/>
            <w:tcBorders>
              <w:top w:val="nil"/>
              <w:left w:val="nil"/>
              <w:bottom w:val="nil"/>
              <w:right w:val="single" w:sz="4" w:space="0" w:color="auto"/>
            </w:tcBorders>
            <w:shd w:val="clear" w:color="auto" w:fill="auto"/>
            <w:vAlign w:val="center"/>
            <w:hideMark/>
          </w:tcPr>
          <w:p w14:paraId="78A45E2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nil"/>
              <w:right w:val="single" w:sz="4" w:space="0" w:color="auto"/>
            </w:tcBorders>
            <w:shd w:val="clear" w:color="auto" w:fill="auto"/>
            <w:vAlign w:val="center"/>
            <w:hideMark/>
          </w:tcPr>
          <w:p w14:paraId="54BC59C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32" w:type="dxa"/>
            <w:tcBorders>
              <w:top w:val="nil"/>
              <w:left w:val="nil"/>
              <w:bottom w:val="nil"/>
              <w:right w:val="single" w:sz="4" w:space="0" w:color="auto"/>
            </w:tcBorders>
            <w:shd w:val="clear" w:color="auto" w:fill="auto"/>
            <w:vAlign w:val="center"/>
            <w:hideMark/>
          </w:tcPr>
          <w:p w14:paraId="58CC107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02BB480F"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4F85F1C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609885F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Diptera</w:t>
            </w:r>
          </w:p>
        </w:tc>
        <w:tc>
          <w:tcPr>
            <w:tcW w:w="1985" w:type="dxa"/>
            <w:tcBorders>
              <w:top w:val="nil"/>
              <w:left w:val="single" w:sz="4" w:space="0" w:color="auto"/>
              <w:bottom w:val="nil"/>
              <w:right w:val="single" w:sz="4" w:space="0" w:color="auto"/>
            </w:tcBorders>
            <w:shd w:val="clear" w:color="auto" w:fill="auto"/>
            <w:noWrap/>
            <w:vAlign w:val="center"/>
            <w:hideMark/>
          </w:tcPr>
          <w:p w14:paraId="5658B43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Ceratopogonidae</w:t>
            </w:r>
          </w:p>
        </w:tc>
        <w:tc>
          <w:tcPr>
            <w:tcW w:w="2551" w:type="dxa"/>
            <w:tcBorders>
              <w:top w:val="nil"/>
              <w:left w:val="nil"/>
              <w:bottom w:val="nil"/>
              <w:right w:val="nil"/>
            </w:tcBorders>
            <w:shd w:val="clear" w:color="auto" w:fill="auto"/>
            <w:noWrap/>
            <w:vAlign w:val="center"/>
            <w:hideMark/>
          </w:tcPr>
          <w:p w14:paraId="240781F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Ceratopogonidae_indet</w:t>
            </w:r>
          </w:p>
        </w:tc>
        <w:tc>
          <w:tcPr>
            <w:tcW w:w="851" w:type="dxa"/>
            <w:tcBorders>
              <w:top w:val="nil"/>
              <w:left w:val="single" w:sz="4" w:space="0" w:color="auto"/>
              <w:bottom w:val="nil"/>
              <w:right w:val="single" w:sz="4" w:space="0" w:color="auto"/>
            </w:tcBorders>
            <w:shd w:val="clear" w:color="auto" w:fill="auto"/>
            <w:noWrap/>
            <w:vAlign w:val="center"/>
            <w:hideMark/>
          </w:tcPr>
          <w:p w14:paraId="4F12D47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Sx</w:t>
            </w:r>
          </w:p>
        </w:tc>
        <w:tc>
          <w:tcPr>
            <w:tcW w:w="425" w:type="dxa"/>
            <w:tcBorders>
              <w:top w:val="nil"/>
              <w:left w:val="nil"/>
              <w:bottom w:val="nil"/>
              <w:right w:val="single" w:sz="4" w:space="0" w:color="auto"/>
            </w:tcBorders>
            <w:shd w:val="clear" w:color="auto" w:fill="auto"/>
            <w:vAlign w:val="center"/>
            <w:hideMark/>
          </w:tcPr>
          <w:p w14:paraId="206D1E3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nil"/>
              <w:right w:val="single" w:sz="4" w:space="0" w:color="auto"/>
            </w:tcBorders>
            <w:shd w:val="clear" w:color="auto" w:fill="auto"/>
            <w:vAlign w:val="center"/>
            <w:hideMark/>
          </w:tcPr>
          <w:p w14:paraId="152BEC2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51108B4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6B9B313C"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65C81C3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48EEA593"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0652C91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Chironomidae</w:t>
            </w:r>
          </w:p>
        </w:tc>
        <w:tc>
          <w:tcPr>
            <w:tcW w:w="2551" w:type="dxa"/>
            <w:tcBorders>
              <w:top w:val="nil"/>
              <w:left w:val="nil"/>
              <w:bottom w:val="nil"/>
              <w:right w:val="nil"/>
            </w:tcBorders>
            <w:shd w:val="clear" w:color="auto" w:fill="auto"/>
            <w:noWrap/>
            <w:vAlign w:val="center"/>
            <w:hideMark/>
          </w:tcPr>
          <w:p w14:paraId="30F9B5F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Chironomidae_indet.</w:t>
            </w:r>
          </w:p>
        </w:tc>
        <w:tc>
          <w:tcPr>
            <w:tcW w:w="851" w:type="dxa"/>
            <w:tcBorders>
              <w:top w:val="nil"/>
              <w:left w:val="single" w:sz="4" w:space="0" w:color="auto"/>
              <w:bottom w:val="nil"/>
              <w:right w:val="single" w:sz="4" w:space="0" w:color="auto"/>
            </w:tcBorders>
            <w:shd w:val="clear" w:color="auto" w:fill="auto"/>
            <w:noWrap/>
            <w:vAlign w:val="center"/>
            <w:hideMark/>
          </w:tcPr>
          <w:p w14:paraId="76C6EEE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Sx</w:t>
            </w:r>
          </w:p>
        </w:tc>
        <w:tc>
          <w:tcPr>
            <w:tcW w:w="425" w:type="dxa"/>
            <w:tcBorders>
              <w:top w:val="nil"/>
              <w:left w:val="nil"/>
              <w:bottom w:val="nil"/>
              <w:right w:val="single" w:sz="4" w:space="0" w:color="auto"/>
            </w:tcBorders>
            <w:shd w:val="clear" w:color="auto" w:fill="auto"/>
            <w:vAlign w:val="center"/>
            <w:hideMark/>
          </w:tcPr>
          <w:p w14:paraId="48C78E1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nil"/>
              <w:right w:val="single" w:sz="4" w:space="0" w:color="auto"/>
            </w:tcBorders>
            <w:shd w:val="clear" w:color="auto" w:fill="auto"/>
            <w:vAlign w:val="center"/>
            <w:hideMark/>
          </w:tcPr>
          <w:p w14:paraId="2AA2427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2DDBFD8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050F878F"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3BBCC64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540F78D2"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709AE0C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Psychodidae</w:t>
            </w:r>
          </w:p>
        </w:tc>
        <w:tc>
          <w:tcPr>
            <w:tcW w:w="2551" w:type="dxa"/>
            <w:tcBorders>
              <w:top w:val="nil"/>
              <w:left w:val="nil"/>
              <w:bottom w:val="nil"/>
              <w:right w:val="nil"/>
            </w:tcBorders>
            <w:shd w:val="clear" w:color="auto" w:fill="auto"/>
            <w:noWrap/>
            <w:vAlign w:val="center"/>
            <w:hideMark/>
          </w:tcPr>
          <w:p w14:paraId="00AD75D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Psychodidae_indet</w:t>
            </w:r>
          </w:p>
        </w:tc>
        <w:tc>
          <w:tcPr>
            <w:tcW w:w="851" w:type="dxa"/>
            <w:tcBorders>
              <w:top w:val="nil"/>
              <w:left w:val="single" w:sz="4" w:space="0" w:color="auto"/>
              <w:bottom w:val="nil"/>
              <w:right w:val="single" w:sz="4" w:space="0" w:color="auto"/>
            </w:tcBorders>
            <w:shd w:val="clear" w:color="auto" w:fill="auto"/>
            <w:noWrap/>
            <w:vAlign w:val="center"/>
            <w:hideMark/>
          </w:tcPr>
          <w:p w14:paraId="198E098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Sx</w:t>
            </w:r>
          </w:p>
        </w:tc>
        <w:tc>
          <w:tcPr>
            <w:tcW w:w="425" w:type="dxa"/>
            <w:tcBorders>
              <w:top w:val="nil"/>
              <w:left w:val="nil"/>
              <w:bottom w:val="nil"/>
              <w:right w:val="single" w:sz="4" w:space="0" w:color="auto"/>
            </w:tcBorders>
            <w:shd w:val="clear" w:color="auto" w:fill="auto"/>
            <w:vAlign w:val="center"/>
            <w:hideMark/>
          </w:tcPr>
          <w:p w14:paraId="79104CC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nil"/>
              <w:right w:val="single" w:sz="4" w:space="0" w:color="auto"/>
            </w:tcBorders>
            <w:shd w:val="clear" w:color="auto" w:fill="auto"/>
            <w:vAlign w:val="center"/>
            <w:hideMark/>
          </w:tcPr>
          <w:p w14:paraId="015E06E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0F3BD2B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4C658A25"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3FD0261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2F523E33"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0128F3A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Simulidae</w:t>
            </w:r>
          </w:p>
        </w:tc>
        <w:tc>
          <w:tcPr>
            <w:tcW w:w="2551" w:type="dxa"/>
            <w:tcBorders>
              <w:top w:val="nil"/>
              <w:left w:val="nil"/>
              <w:bottom w:val="nil"/>
              <w:right w:val="nil"/>
            </w:tcBorders>
            <w:shd w:val="clear" w:color="auto" w:fill="auto"/>
            <w:noWrap/>
            <w:vAlign w:val="center"/>
            <w:hideMark/>
          </w:tcPr>
          <w:p w14:paraId="1B1858A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Simuliidae_indet.</w:t>
            </w:r>
          </w:p>
        </w:tc>
        <w:tc>
          <w:tcPr>
            <w:tcW w:w="851" w:type="dxa"/>
            <w:tcBorders>
              <w:top w:val="nil"/>
              <w:left w:val="single" w:sz="4" w:space="0" w:color="auto"/>
              <w:bottom w:val="nil"/>
              <w:right w:val="single" w:sz="4" w:space="0" w:color="auto"/>
            </w:tcBorders>
            <w:shd w:val="clear" w:color="auto" w:fill="auto"/>
            <w:noWrap/>
            <w:vAlign w:val="center"/>
            <w:hideMark/>
          </w:tcPr>
          <w:p w14:paraId="100E231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Ep</w:t>
            </w:r>
          </w:p>
        </w:tc>
        <w:tc>
          <w:tcPr>
            <w:tcW w:w="425" w:type="dxa"/>
            <w:tcBorders>
              <w:top w:val="nil"/>
              <w:left w:val="nil"/>
              <w:bottom w:val="nil"/>
              <w:right w:val="single" w:sz="4" w:space="0" w:color="auto"/>
            </w:tcBorders>
            <w:shd w:val="clear" w:color="auto" w:fill="auto"/>
            <w:vAlign w:val="center"/>
            <w:hideMark/>
          </w:tcPr>
          <w:p w14:paraId="0963EFB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67" w:type="dxa"/>
            <w:tcBorders>
              <w:top w:val="nil"/>
              <w:left w:val="nil"/>
              <w:bottom w:val="nil"/>
              <w:right w:val="single" w:sz="4" w:space="0" w:color="auto"/>
            </w:tcBorders>
            <w:shd w:val="clear" w:color="auto" w:fill="auto"/>
            <w:vAlign w:val="center"/>
            <w:hideMark/>
          </w:tcPr>
          <w:p w14:paraId="59F0524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73923E1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2F85D621"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6E717C7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12C1B974"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2CF45C4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Tipulidae</w:t>
            </w:r>
          </w:p>
        </w:tc>
        <w:tc>
          <w:tcPr>
            <w:tcW w:w="2551" w:type="dxa"/>
            <w:tcBorders>
              <w:top w:val="nil"/>
              <w:left w:val="nil"/>
              <w:bottom w:val="nil"/>
              <w:right w:val="nil"/>
            </w:tcBorders>
            <w:shd w:val="clear" w:color="auto" w:fill="auto"/>
            <w:noWrap/>
            <w:vAlign w:val="center"/>
            <w:hideMark/>
          </w:tcPr>
          <w:p w14:paraId="3585C28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Tipulidae_indet</w:t>
            </w:r>
          </w:p>
        </w:tc>
        <w:tc>
          <w:tcPr>
            <w:tcW w:w="851" w:type="dxa"/>
            <w:tcBorders>
              <w:top w:val="nil"/>
              <w:left w:val="single" w:sz="4" w:space="0" w:color="auto"/>
              <w:bottom w:val="nil"/>
              <w:right w:val="single" w:sz="4" w:space="0" w:color="auto"/>
            </w:tcBorders>
            <w:shd w:val="clear" w:color="auto" w:fill="auto"/>
            <w:noWrap/>
            <w:vAlign w:val="center"/>
            <w:hideMark/>
          </w:tcPr>
          <w:p w14:paraId="6785671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Sx</w:t>
            </w:r>
          </w:p>
        </w:tc>
        <w:tc>
          <w:tcPr>
            <w:tcW w:w="425" w:type="dxa"/>
            <w:tcBorders>
              <w:top w:val="nil"/>
              <w:left w:val="nil"/>
              <w:bottom w:val="nil"/>
              <w:right w:val="single" w:sz="4" w:space="0" w:color="auto"/>
            </w:tcBorders>
            <w:shd w:val="clear" w:color="auto" w:fill="auto"/>
            <w:vAlign w:val="center"/>
            <w:hideMark/>
          </w:tcPr>
          <w:p w14:paraId="03D2108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nil"/>
              <w:right w:val="single" w:sz="4" w:space="0" w:color="auto"/>
            </w:tcBorders>
            <w:shd w:val="clear" w:color="auto" w:fill="auto"/>
            <w:vAlign w:val="center"/>
            <w:hideMark/>
          </w:tcPr>
          <w:p w14:paraId="2CD156C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32" w:type="dxa"/>
            <w:tcBorders>
              <w:top w:val="nil"/>
              <w:left w:val="nil"/>
              <w:bottom w:val="nil"/>
              <w:right w:val="single" w:sz="4" w:space="0" w:color="auto"/>
            </w:tcBorders>
            <w:shd w:val="clear" w:color="auto" w:fill="auto"/>
            <w:vAlign w:val="center"/>
            <w:hideMark/>
          </w:tcPr>
          <w:p w14:paraId="75FABF3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196A4610"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3C74784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5B37B9F3"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03E57DE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Diptera_Fam. indet.</w:t>
            </w:r>
          </w:p>
        </w:tc>
        <w:tc>
          <w:tcPr>
            <w:tcW w:w="2551" w:type="dxa"/>
            <w:tcBorders>
              <w:top w:val="nil"/>
              <w:left w:val="nil"/>
              <w:bottom w:val="nil"/>
              <w:right w:val="single" w:sz="4" w:space="0" w:color="auto"/>
            </w:tcBorders>
            <w:shd w:val="clear" w:color="auto" w:fill="auto"/>
            <w:noWrap/>
            <w:vAlign w:val="center"/>
            <w:hideMark/>
          </w:tcPr>
          <w:p w14:paraId="161C3D4C" w14:textId="77777777" w:rsidR="003D3694" w:rsidRPr="00747E35" w:rsidRDefault="003D3694" w:rsidP="0096743A">
            <w:pPr>
              <w:pStyle w:val="Tabletext"/>
              <w:spacing w:before="0" w:after="0"/>
              <w:rPr>
                <w:rFonts w:cstheme="minorHAnsi"/>
                <w:b/>
                <w:bCs/>
                <w:lang w:eastAsia="en-AU"/>
              </w:rPr>
            </w:pPr>
            <w:r w:rsidRPr="00747E35">
              <w:rPr>
                <w:rFonts w:cstheme="minorHAnsi"/>
                <w:b/>
                <w:lang w:eastAsia="en-AU"/>
              </w:rPr>
              <w:t>Diptera_Fam. indet.</w:t>
            </w:r>
          </w:p>
        </w:tc>
        <w:tc>
          <w:tcPr>
            <w:tcW w:w="851" w:type="dxa"/>
            <w:tcBorders>
              <w:top w:val="nil"/>
              <w:left w:val="nil"/>
              <w:bottom w:val="nil"/>
              <w:right w:val="single" w:sz="4" w:space="0" w:color="auto"/>
            </w:tcBorders>
            <w:shd w:val="clear" w:color="auto" w:fill="auto"/>
            <w:noWrap/>
            <w:vAlign w:val="center"/>
            <w:hideMark/>
          </w:tcPr>
          <w:p w14:paraId="5468446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Sx?</w:t>
            </w:r>
          </w:p>
        </w:tc>
        <w:tc>
          <w:tcPr>
            <w:tcW w:w="425" w:type="dxa"/>
            <w:tcBorders>
              <w:top w:val="nil"/>
              <w:left w:val="nil"/>
              <w:bottom w:val="nil"/>
              <w:right w:val="single" w:sz="4" w:space="0" w:color="auto"/>
            </w:tcBorders>
            <w:shd w:val="clear" w:color="auto" w:fill="auto"/>
            <w:vAlign w:val="center"/>
            <w:hideMark/>
          </w:tcPr>
          <w:p w14:paraId="3F16162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nil"/>
              <w:right w:val="single" w:sz="4" w:space="0" w:color="auto"/>
            </w:tcBorders>
            <w:shd w:val="clear" w:color="auto" w:fill="auto"/>
            <w:vAlign w:val="center"/>
            <w:hideMark/>
          </w:tcPr>
          <w:p w14:paraId="4D5D19C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07B3D7C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2769CDA0"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1D0E99F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5434B35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Ephemeroptera</w:t>
            </w:r>
          </w:p>
        </w:tc>
        <w:tc>
          <w:tcPr>
            <w:tcW w:w="1985" w:type="dxa"/>
            <w:tcBorders>
              <w:top w:val="nil"/>
              <w:left w:val="single" w:sz="4" w:space="0" w:color="auto"/>
              <w:bottom w:val="nil"/>
              <w:right w:val="single" w:sz="4" w:space="0" w:color="auto"/>
            </w:tcBorders>
            <w:shd w:val="clear" w:color="auto" w:fill="auto"/>
            <w:noWrap/>
            <w:vAlign w:val="center"/>
            <w:hideMark/>
          </w:tcPr>
          <w:p w14:paraId="04D166C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Ephemeroptera_Fam. indet.</w:t>
            </w:r>
          </w:p>
        </w:tc>
        <w:tc>
          <w:tcPr>
            <w:tcW w:w="2551" w:type="dxa"/>
            <w:tcBorders>
              <w:top w:val="nil"/>
              <w:left w:val="nil"/>
              <w:bottom w:val="nil"/>
              <w:right w:val="nil"/>
            </w:tcBorders>
            <w:shd w:val="clear" w:color="auto" w:fill="auto"/>
            <w:noWrap/>
            <w:vAlign w:val="center"/>
            <w:hideMark/>
          </w:tcPr>
          <w:p w14:paraId="705FB28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Ephemeroptera_indet.</w:t>
            </w:r>
          </w:p>
        </w:tc>
        <w:tc>
          <w:tcPr>
            <w:tcW w:w="851" w:type="dxa"/>
            <w:tcBorders>
              <w:top w:val="nil"/>
              <w:left w:val="single" w:sz="4" w:space="0" w:color="auto"/>
              <w:bottom w:val="nil"/>
              <w:right w:val="single" w:sz="4" w:space="0" w:color="auto"/>
            </w:tcBorders>
            <w:shd w:val="clear" w:color="auto" w:fill="auto"/>
            <w:noWrap/>
            <w:vAlign w:val="center"/>
            <w:hideMark/>
          </w:tcPr>
          <w:p w14:paraId="225102F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Sx</w:t>
            </w:r>
          </w:p>
        </w:tc>
        <w:tc>
          <w:tcPr>
            <w:tcW w:w="425" w:type="dxa"/>
            <w:tcBorders>
              <w:top w:val="nil"/>
              <w:left w:val="nil"/>
              <w:bottom w:val="nil"/>
              <w:right w:val="single" w:sz="4" w:space="0" w:color="auto"/>
            </w:tcBorders>
            <w:shd w:val="clear" w:color="auto" w:fill="auto"/>
            <w:vAlign w:val="center"/>
            <w:hideMark/>
          </w:tcPr>
          <w:p w14:paraId="18ECA03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nil"/>
              <w:right w:val="single" w:sz="4" w:space="0" w:color="auto"/>
            </w:tcBorders>
            <w:shd w:val="clear" w:color="auto" w:fill="auto"/>
            <w:vAlign w:val="center"/>
            <w:hideMark/>
          </w:tcPr>
          <w:p w14:paraId="48CB44E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39204E5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2661F435"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2102363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6CE598B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Odonata</w:t>
            </w:r>
          </w:p>
        </w:tc>
        <w:tc>
          <w:tcPr>
            <w:tcW w:w="1985" w:type="dxa"/>
            <w:tcBorders>
              <w:top w:val="nil"/>
              <w:left w:val="single" w:sz="4" w:space="0" w:color="auto"/>
              <w:bottom w:val="nil"/>
              <w:right w:val="single" w:sz="4" w:space="0" w:color="auto"/>
            </w:tcBorders>
            <w:shd w:val="clear" w:color="auto" w:fill="auto"/>
            <w:noWrap/>
            <w:vAlign w:val="center"/>
            <w:hideMark/>
          </w:tcPr>
          <w:p w14:paraId="3F20970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Odonata Fam. indet.</w:t>
            </w:r>
          </w:p>
        </w:tc>
        <w:tc>
          <w:tcPr>
            <w:tcW w:w="2551" w:type="dxa"/>
            <w:tcBorders>
              <w:top w:val="nil"/>
              <w:left w:val="nil"/>
              <w:bottom w:val="nil"/>
              <w:right w:val="nil"/>
            </w:tcBorders>
            <w:shd w:val="clear" w:color="auto" w:fill="auto"/>
            <w:noWrap/>
            <w:vAlign w:val="center"/>
            <w:hideMark/>
          </w:tcPr>
          <w:p w14:paraId="604F76D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Odonata_indet.</w:t>
            </w:r>
          </w:p>
        </w:tc>
        <w:tc>
          <w:tcPr>
            <w:tcW w:w="851" w:type="dxa"/>
            <w:tcBorders>
              <w:top w:val="nil"/>
              <w:left w:val="single" w:sz="4" w:space="0" w:color="auto"/>
              <w:bottom w:val="nil"/>
              <w:right w:val="single" w:sz="4" w:space="0" w:color="auto"/>
            </w:tcBorders>
            <w:shd w:val="clear" w:color="auto" w:fill="auto"/>
            <w:noWrap/>
            <w:vAlign w:val="center"/>
            <w:hideMark/>
          </w:tcPr>
          <w:p w14:paraId="638FA50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Ep</w:t>
            </w:r>
          </w:p>
        </w:tc>
        <w:tc>
          <w:tcPr>
            <w:tcW w:w="425" w:type="dxa"/>
            <w:tcBorders>
              <w:top w:val="nil"/>
              <w:left w:val="nil"/>
              <w:bottom w:val="nil"/>
              <w:right w:val="single" w:sz="4" w:space="0" w:color="auto"/>
            </w:tcBorders>
            <w:shd w:val="clear" w:color="auto" w:fill="auto"/>
            <w:vAlign w:val="center"/>
            <w:hideMark/>
          </w:tcPr>
          <w:p w14:paraId="18BB900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67" w:type="dxa"/>
            <w:tcBorders>
              <w:top w:val="nil"/>
              <w:left w:val="nil"/>
              <w:bottom w:val="nil"/>
              <w:right w:val="single" w:sz="4" w:space="0" w:color="auto"/>
            </w:tcBorders>
            <w:shd w:val="clear" w:color="auto" w:fill="auto"/>
            <w:vAlign w:val="center"/>
            <w:hideMark/>
          </w:tcPr>
          <w:p w14:paraId="6E905D9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3364356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3A3D2EE0"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16E260C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05A7B61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Trichoptera</w:t>
            </w:r>
          </w:p>
        </w:tc>
        <w:tc>
          <w:tcPr>
            <w:tcW w:w="1985" w:type="dxa"/>
            <w:tcBorders>
              <w:top w:val="nil"/>
              <w:left w:val="single" w:sz="4" w:space="0" w:color="auto"/>
              <w:bottom w:val="nil"/>
              <w:right w:val="single" w:sz="4" w:space="0" w:color="auto"/>
            </w:tcBorders>
            <w:shd w:val="clear" w:color="auto" w:fill="auto"/>
            <w:noWrap/>
            <w:vAlign w:val="center"/>
            <w:hideMark/>
          </w:tcPr>
          <w:p w14:paraId="0E017D9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Ecnomidae</w:t>
            </w:r>
          </w:p>
        </w:tc>
        <w:tc>
          <w:tcPr>
            <w:tcW w:w="2551" w:type="dxa"/>
            <w:tcBorders>
              <w:top w:val="nil"/>
              <w:left w:val="nil"/>
              <w:bottom w:val="nil"/>
              <w:right w:val="nil"/>
            </w:tcBorders>
            <w:shd w:val="clear" w:color="auto" w:fill="auto"/>
            <w:noWrap/>
            <w:vAlign w:val="center"/>
            <w:hideMark/>
          </w:tcPr>
          <w:p w14:paraId="6A3C505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Ecnomidae_indet</w:t>
            </w:r>
          </w:p>
        </w:tc>
        <w:tc>
          <w:tcPr>
            <w:tcW w:w="851" w:type="dxa"/>
            <w:tcBorders>
              <w:top w:val="nil"/>
              <w:left w:val="single" w:sz="4" w:space="0" w:color="auto"/>
              <w:bottom w:val="nil"/>
              <w:right w:val="single" w:sz="4" w:space="0" w:color="auto"/>
            </w:tcBorders>
            <w:shd w:val="clear" w:color="auto" w:fill="auto"/>
            <w:noWrap/>
            <w:vAlign w:val="center"/>
            <w:hideMark/>
          </w:tcPr>
          <w:p w14:paraId="26E2F9D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Ep</w:t>
            </w:r>
          </w:p>
        </w:tc>
        <w:tc>
          <w:tcPr>
            <w:tcW w:w="425" w:type="dxa"/>
            <w:tcBorders>
              <w:top w:val="nil"/>
              <w:left w:val="nil"/>
              <w:bottom w:val="nil"/>
              <w:right w:val="single" w:sz="4" w:space="0" w:color="auto"/>
            </w:tcBorders>
            <w:shd w:val="clear" w:color="auto" w:fill="auto"/>
            <w:vAlign w:val="center"/>
            <w:hideMark/>
          </w:tcPr>
          <w:p w14:paraId="6C96831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nil"/>
              <w:right w:val="single" w:sz="4" w:space="0" w:color="auto"/>
            </w:tcBorders>
            <w:shd w:val="clear" w:color="auto" w:fill="auto"/>
            <w:vAlign w:val="center"/>
            <w:hideMark/>
          </w:tcPr>
          <w:p w14:paraId="6530041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7E19AE3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563AFF7C"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583C188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14859BA8" w14:textId="77777777" w:rsidR="003D3694" w:rsidRPr="00747E35" w:rsidRDefault="003D3694" w:rsidP="0096743A">
            <w:pPr>
              <w:pStyle w:val="Tabletext"/>
              <w:spacing w:before="0" w:after="0"/>
              <w:rPr>
                <w:rFonts w:cstheme="minorHAnsi"/>
                <w:lang w:eastAsia="en-AU"/>
              </w:rPr>
            </w:pPr>
          </w:p>
        </w:tc>
        <w:tc>
          <w:tcPr>
            <w:tcW w:w="1985" w:type="dxa"/>
            <w:tcBorders>
              <w:top w:val="nil"/>
              <w:left w:val="single" w:sz="4" w:space="0" w:color="auto"/>
              <w:bottom w:val="nil"/>
              <w:right w:val="single" w:sz="4" w:space="0" w:color="auto"/>
            </w:tcBorders>
            <w:shd w:val="clear" w:color="auto" w:fill="auto"/>
            <w:noWrap/>
            <w:vAlign w:val="center"/>
            <w:hideMark/>
          </w:tcPr>
          <w:p w14:paraId="64B140B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Trichoptera_Fam. indet.</w:t>
            </w:r>
          </w:p>
        </w:tc>
        <w:tc>
          <w:tcPr>
            <w:tcW w:w="2551" w:type="dxa"/>
            <w:tcBorders>
              <w:top w:val="nil"/>
              <w:left w:val="nil"/>
              <w:bottom w:val="nil"/>
              <w:right w:val="nil"/>
            </w:tcBorders>
            <w:shd w:val="clear" w:color="auto" w:fill="auto"/>
            <w:noWrap/>
            <w:vAlign w:val="center"/>
            <w:hideMark/>
          </w:tcPr>
          <w:p w14:paraId="7F0D822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Trichoptera_indet.</w:t>
            </w:r>
          </w:p>
        </w:tc>
        <w:tc>
          <w:tcPr>
            <w:tcW w:w="851" w:type="dxa"/>
            <w:tcBorders>
              <w:top w:val="nil"/>
              <w:left w:val="single" w:sz="4" w:space="0" w:color="auto"/>
              <w:bottom w:val="nil"/>
              <w:right w:val="single" w:sz="4" w:space="0" w:color="auto"/>
            </w:tcBorders>
            <w:shd w:val="clear" w:color="auto" w:fill="auto"/>
            <w:noWrap/>
            <w:vAlign w:val="center"/>
            <w:hideMark/>
          </w:tcPr>
          <w:p w14:paraId="4446F6C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Ep</w:t>
            </w:r>
          </w:p>
        </w:tc>
        <w:tc>
          <w:tcPr>
            <w:tcW w:w="425" w:type="dxa"/>
            <w:tcBorders>
              <w:top w:val="nil"/>
              <w:left w:val="nil"/>
              <w:bottom w:val="nil"/>
              <w:right w:val="single" w:sz="4" w:space="0" w:color="auto"/>
            </w:tcBorders>
            <w:shd w:val="clear" w:color="auto" w:fill="auto"/>
            <w:vAlign w:val="center"/>
            <w:hideMark/>
          </w:tcPr>
          <w:p w14:paraId="7176C7D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nil"/>
              <w:right w:val="single" w:sz="4" w:space="0" w:color="auto"/>
            </w:tcBorders>
            <w:shd w:val="clear" w:color="auto" w:fill="auto"/>
            <w:vAlign w:val="center"/>
            <w:hideMark/>
          </w:tcPr>
          <w:p w14:paraId="74DDC49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7ACAEEE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436F8A65" w14:textId="77777777" w:rsidTr="0096743A">
        <w:trPr>
          <w:trHeight w:val="240"/>
        </w:trPr>
        <w:tc>
          <w:tcPr>
            <w:tcW w:w="1433" w:type="dxa"/>
            <w:tcBorders>
              <w:top w:val="nil"/>
              <w:left w:val="single" w:sz="4" w:space="0" w:color="auto"/>
              <w:bottom w:val="single" w:sz="4" w:space="0" w:color="auto"/>
              <w:right w:val="single" w:sz="4" w:space="0" w:color="auto"/>
            </w:tcBorders>
            <w:shd w:val="clear" w:color="auto" w:fill="auto"/>
            <w:noWrap/>
            <w:vAlign w:val="center"/>
            <w:hideMark/>
          </w:tcPr>
          <w:p w14:paraId="3068187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single" w:sz="4" w:space="0" w:color="auto"/>
              <w:right w:val="nil"/>
            </w:tcBorders>
            <w:shd w:val="clear" w:color="auto" w:fill="auto"/>
            <w:noWrap/>
            <w:vAlign w:val="center"/>
            <w:hideMark/>
          </w:tcPr>
          <w:p w14:paraId="247FF7C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Insecta indet.</w:t>
            </w:r>
          </w:p>
        </w:tc>
        <w:tc>
          <w:tcPr>
            <w:tcW w:w="1985" w:type="dxa"/>
            <w:tcBorders>
              <w:top w:val="nil"/>
              <w:left w:val="single" w:sz="4" w:space="0" w:color="auto"/>
              <w:bottom w:val="single" w:sz="4" w:space="0" w:color="auto"/>
              <w:right w:val="single" w:sz="4" w:space="0" w:color="auto"/>
            </w:tcBorders>
            <w:shd w:val="clear" w:color="auto" w:fill="auto"/>
            <w:noWrap/>
            <w:vAlign w:val="center"/>
            <w:hideMark/>
          </w:tcPr>
          <w:p w14:paraId="5C50957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Insecta_Fam. indet.</w:t>
            </w:r>
          </w:p>
        </w:tc>
        <w:tc>
          <w:tcPr>
            <w:tcW w:w="2551" w:type="dxa"/>
            <w:tcBorders>
              <w:top w:val="nil"/>
              <w:left w:val="nil"/>
              <w:bottom w:val="single" w:sz="4" w:space="0" w:color="auto"/>
              <w:right w:val="single" w:sz="4" w:space="0" w:color="auto"/>
            </w:tcBorders>
            <w:shd w:val="clear" w:color="auto" w:fill="auto"/>
            <w:noWrap/>
            <w:vAlign w:val="center"/>
            <w:hideMark/>
          </w:tcPr>
          <w:p w14:paraId="1A837EE1" w14:textId="77777777" w:rsidR="003D3694" w:rsidRPr="00747E35" w:rsidRDefault="003D3694" w:rsidP="0096743A">
            <w:pPr>
              <w:pStyle w:val="Tabletext"/>
              <w:spacing w:before="0" w:after="0"/>
              <w:rPr>
                <w:rFonts w:cstheme="minorHAnsi"/>
                <w:b/>
                <w:bCs/>
                <w:lang w:eastAsia="en-AU"/>
              </w:rPr>
            </w:pPr>
            <w:r w:rsidRPr="00747E35">
              <w:rPr>
                <w:rFonts w:cstheme="minorHAnsi"/>
                <w:b/>
                <w:lang w:eastAsia="en-AU"/>
              </w:rPr>
              <w:t>Insecta_Fam. indet.</w:t>
            </w:r>
          </w:p>
        </w:tc>
        <w:tc>
          <w:tcPr>
            <w:tcW w:w="851" w:type="dxa"/>
            <w:tcBorders>
              <w:top w:val="nil"/>
              <w:left w:val="nil"/>
              <w:bottom w:val="single" w:sz="4" w:space="0" w:color="auto"/>
              <w:right w:val="single" w:sz="4" w:space="0" w:color="auto"/>
            </w:tcBorders>
            <w:shd w:val="clear" w:color="auto" w:fill="auto"/>
            <w:noWrap/>
            <w:vAlign w:val="center"/>
            <w:hideMark/>
          </w:tcPr>
          <w:p w14:paraId="41A7467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Sx?</w:t>
            </w:r>
          </w:p>
        </w:tc>
        <w:tc>
          <w:tcPr>
            <w:tcW w:w="425" w:type="dxa"/>
            <w:tcBorders>
              <w:top w:val="nil"/>
              <w:left w:val="nil"/>
              <w:bottom w:val="single" w:sz="4" w:space="0" w:color="auto"/>
              <w:right w:val="single" w:sz="4" w:space="0" w:color="auto"/>
            </w:tcBorders>
            <w:shd w:val="clear" w:color="auto" w:fill="auto"/>
            <w:vAlign w:val="center"/>
            <w:hideMark/>
          </w:tcPr>
          <w:p w14:paraId="494837E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single" w:sz="4" w:space="0" w:color="auto"/>
              <w:right w:val="single" w:sz="4" w:space="0" w:color="auto"/>
            </w:tcBorders>
            <w:shd w:val="clear" w:color="auto" w:fill="auto"/>
            <w:vAlign w:val="center"/>
            <w:hideMark/>
          </w:tcPr>
          <w:p w14:paraId="7296450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single" w:sz="4" w:space="0" w:color="auto"/>
              <w:right w:val="single" w:sz="4" w:space="0" w:color="auto"/>
            </w:tcBorders>
            <w:shd w:val="clear" w:color="auto" w:fill="auto"/>
            <w:vAlign w:val="center"/>
            <w:hideMark/>
          </w:tcPr>
          <w:p w14:paraId="09E2234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4AE77FA5"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291D225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Tardigrada</w:t>
            </w:r>
          </w:p>
        </w:tc>
        <w:tc>
          <w:tcPr>
            <w:tcW w:w="1417" w:type="dxa"/>
            <w:tcBorders>
              <w:top w:val="nil"/>
              <w:left w:val="nil"/>
              <w:bottom w:val="nil"/>
              <w:right w:val="nil"/>
            </w:tcBorders>
            <w:shd w:val="clear" w:color="auto" w:fill="auto"/>
            <w:noWrap/>
            <w:vAlign w:val="center"/>
            <w:hideMark/>
          </w:tcPr>
          <w:p w14:paraId="5DBBB27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Tardigrada</w:t>
            </w:r>
          </w:p>
        </w:tc>
        <w:tc>
          <w:tcPr>
            <w:tcW w:w="1985" w:type="dxa"/>
            <w:tcBorders>
              <w:top w:val="nil"/>
              <w:left w:val="single" w:sz="4" w:space="0" w:color="auto"/>
              <w:bottom w:val="nil"/>
              <w:right w:val="single" w:sz="4" w:space="0" w:color="auto"/>
            </w:tcBorders>
            <w:shd w:val="clear" w:color="auto" w:fill="auto"/>
            <w:noWrap/>
            <w:vAlign w:val="center"/>
            <w:hideMark/>
          </w:tcPr>
          <w:p w14:paraId="04BB061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Tardigrada</w:t>
            </w:r>
          </w:p>
        </w:tc>
        <w:tc>
          <w:tcPr>
            <w:tcW w:w="2551" w:type="dxa"/>
            <w:tcBorders>
              <w:top w:val="nil"/>
              <w:left w:val="nil"/>
              <w:bottom w:val="nil"/>
              <w:right w:val="nil"/>
            </w:tcBorders>
            <w:shd w:val="clear" w:color="auto" w:fill="auto"/>
            <w:noWrap/>
            <w:vAlign w:val="center"/>
            <w:hideMark/>
          </w:tcPr>
          <w:p w14:paraId="15E50E9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Tardigrada</w:t>
            </w:r>
          </w:p>
        </w:tc>
        <w:tc>
          <w:tcPr>
            <w:tcW w:w="851" w:type="dxa"/>
            <w:tcBorders>
              <w:top w:val="nil"/>
              <w:left w:val="single" w:sz="4" w:space="0" w:color="auto"/>
              <w:bottom w:val="nil"/>
              <w:right w:val="single" w:sz="4" w:space="0" w:color="auto"/>
            </w:tcBorders>
            <w:shd w:val="clear" w:color="auto" w:fill="auto"/>
            <w:noWrap/>
            <w:vAlign w:val="center"/>
            <w:hideMark/>
          </w:tcPr>
          <w:p w14:paraId="0F6DDB8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Ep</w:t>
            </w:r>
          </w:p>
        </w:tc>
        <w:tc>
          <w:tcPr>
            <w:tcW w:w="425" w:type="dxa"/>
            <w:tcBorders>
              <w:top w:val="nil"/>
              <w:left w:val="nil"/>
              <w:bottom w:val="nil"/>
              <w:right w:val="nil"/>
            </w:tcBorders>
            <w:shd w:val="clear" w:color="auto" w:fill="auto"/>
            <w:vAlign w:val="center"/>
            <w:hideMark/>
          </w:tcPr>
          <w:p w14:paraId="048C6D2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single" w:sz="4" w:space="0" w:color="auto"/>
              <w:bottom w:val="nil"/>
              <w:right w:val="single" w:sz="4" w:space="0" w:color="auto"/>
            </w:tcBorders>
            <w:shd w:val="clear" w:color="auto" w:fill="auto"/>
            <w:vAlign w:val="center"/>
            <w:hideMark/>
          </w:tcPr>
          <w:p w14:paraId="1A43CB6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35DF19A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041DF9D8" w14:textId="77777777" w:rsidTr="0096743A">
        <w:trPr>
          <w:trHeight w:val="240"/>
        </w:trPr>
        <w:tc>
          <w:tcPr>
            <w:tcW w:w="1433" w:type="dxa"/>
            <w:tcBorders>
              <w:top w:val="single" w:sz="4" w:space="0" w:color="auto"/>
              <w:left w:val="single" w:sz="4" w:space="0" w:color="auto"/>
              <w:bottom w:val="nil"/>
              <w:right w:val="single" w:sz="4" w:space="0" w:color="auto"/>
            </w:tcBorders>
            <w:shd w:val="clear" w:color="auto" w:fill="auto"/>
            <w:noWrap/>
            <w:vAlign w:val="center"/>
            <w:hideMark/>
          </w:tcPr>
          <w:p w14:paraId="2E18B95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Mollusca</w:t>
            </w:r>
          </w:p>
        </w:tc>
        <w:tc>
          <w:tcPr>
            <w:tcW w:w="1417" w:type="dxa"/>
            <w:tcBorders>
              <w:top w:val="single" w:sz="4" w:space="0" w:color="auto"/>
              <w:left w:val="nil"/>
              <w:bottom w:val="nil"/>
              <w:right w:val="nil"/>
            </w:tcBorders>
            <w:shd w:val="clear" w:color="auto" w:fill="auto"/>
            <w:noWrap/>
            <w:vAlign w:val="center"/>
            <w:hideMark/>
          </w:tcPr>
          <w:p w14:paraId="058AA3E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Bivalva</w:t>
            </w:r>
          </w:p>
        </w:tc>
        <w:tc>
          <w:tcPr>
            <w:tcW w:w="1985" w:type="dxa"/>
            <w:tcBorders>
              <w:top w:val="single" w:sz="4" w:space="0" w:color="auto"/>
              <w:left w:val="single" w:sz="4" w:space="0" w:color="auto"/>
              <w:bottom w:val="nil"/>
              <w:right w:val="single" w:sz="4" w:space="0" w:color="auto"/>
            </w:tcBorders>
            <w:shd w:val="clear" w:color="auto" w:fill="auto"/>
            <w:noWrap/>
            <w:vAlign w:val="center"/>
            <w:hideMark/>
          </w:tcPr>
          <w:p w14:paraId="32BFC83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Sphaeriidae</w:t>
            </w:r>
          </w:p>
        </w:tc>
        <w:tc>
          <w:tcPr>
            <w:tcW w:w="2551" w:type="dxa"/>
            <w:tcBorders>
              <w:top w:val="single" w:sz="4" w:space="0" w:color="auto"/>
              <w:left w:val="nil"/>
              <w:bottom w:val="nil"/>
              <w:right w:val="nil"/>
            </w:tcBorders>
            <w:shd w:val="clear" w:color="auto" w:fill="auto"/>
            <w:noWrap/>
            <w:vAlign w:val="center"/>
            <w:hideMark/>
          </w:tcPr>
          <w:p w14:paraId="026FB46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Sphaeriidae indet.</w:t>
            </w:r>
          </w:p>
        </w:tc>
        <w:tc>
          <w:tcPr>
            <w:tcW w:w="851" w:type="dxa"/>
            <w:tcBorders>
              <w:top w:val="single" w:sz="4" w:space="0" w:color="auto"/>
              <w:left w:val="single" w:sz="4" w:space="0" w:color="auto"/>
              <w:bottom w:val="nil"/>
              <w:right w:val="single" w:sz="4" w:space="0" w:color="auto"/>
            </w:tcBorders>
            <w:shd w:val="clear" w:color="auto" w:fill="auto"/>
            <w:noWrap/>
            <w:vAlign w:val="center"/>
            <w:hideMark/>
          </w:tcPr>
          <w:p w14:paraId="12689A8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Ep</w:t>
            </w:r>
          </w:p>
        </w:tc>
        <w:tc>
          <w:tcPr>
            <w:tcW w:w="425" w:type="dxa"/>
            <w:tcBorders>
              <w:top w:val="single" w:sz="4" w:space="0" w:color="auto"/>
              <w:left w:val="nil"/>
              <w:bottom w:val="nil"/>
              <w:right w:val="nil"/>
            </w:tcBorders>
            <w:shd w:val="clear" w:color="auto" w:fill="auto"/>
            <w:vAlign w:val="center"/>
            <w:hideMark/>
          </w:tcPr>
          <w:p w14:paraId="51FCEEF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67" w:type="dxa"/>
            <w:tcBorders>
              <w:top w:val="single" w:sz="4" w:space="0" w:color="auto"/>
              <w:left w:val="single" w:sz="4" w:space="0" w:color="auto"/>
              <w:bottom w:val="nil"/>
              <w:right w:val="single" w:sz="4" w:space="0" w:color="auto"/>
            </w:tcBorders>
            <w:shd w:val="clear" w:color="auto" w:fill="auto"/>
            <w:vAlign w:val="center"/>
            <w:hideMark/>
          </w:tcPr>
          <w:p w14:paraId="6F68FE0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single" w:sz="4" w:space="0" w:color="auto"/>
              <w:left w:val="nil"/>
              <w:bottom w:val="nil"/>
              <w:right w:val="single" w:sz="4" w:space="0" w:color="auto"/>
            </w:tcBorders>
            <w:shd w:val="clear" w:color="auto" w:fill="auto"/>
            <w:vAlign w:val="center"/>
            <w:hideMark/>
          </w:tcPr>
          <w:p w14:paraId="29E6537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02EBCEB8"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0D068A9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nil"/>
              <w:right w:val="nil"/>
            </w:tcBorders>
            <w:shd w:val="clear" w:color="auto" w:fill="auto"/>
            <w:noWrap/>
            <w:vAlign w:val="center"/>
            <w:hideMark/>
          </w:tcPr>
          <w:p w14:paraId="4F009D4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Gastropoda</w:t>
            </w:r>
          </w:p>
        </w:tc>
        <w:tc>
          <w:tcPr>
            <w:tcW w:w="1985" w:type="dxa"/>
            <w:tcBorders>
              <w:top w:val="nil"/>
              <w:left w:val="single" w:sz="4" w:space="0" w:color="auto"/>
              <w:bottom w:val="nil"/>
              <w:right w:val="single" w:sz="4" w:space="0" w:color="auto"/>
            </w:tcBorders>
            <w:shd w:val="clear" w:color="auto" w:fill="auto"/>
            <w:noWrap/>
            <w:vAlign w:val="center"/>
            <w:hideMark/>
          </w:tcPr>
          <w:p w14:paraId="659D6F8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Physidae</w:t>
            </w:r>
          </w:p>
        </w:tc>
        <w:tc>
          <w:tcPr>
            <w:tcW w:w="2551" w:type="dxa"/>
            <w:tcBorders>
              <w:top w:val="nil"/>
              <w:left w:val="nil"/>
              <w:bottom w:val="nil"/>
              <w:right w:val="nil"/>
            </w:tcBorders>
            <w:shd w:val="clear" w:color="auto" w:fill="auto"/>
            <w:noWrap/>
            <w:vAlign w:val="center"/>
            <w:hideMark/>
          </w:tcPr>
          <w:p w14:paraId="63CC484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Physa acuta</w:t>
            </w:r>
          </w:p>
        </w:tc>
        <w:tc>
          <w:tcPr>
            <w:tcW w:w="851" w:type="dxa"/>
            <w:tcBorders>
              <w:top w:val="nil"/>
              <w:left w:val="single" w:sz="4" w:space="0" w:color="auto"/>
              <w:bottom w:val="nil"/>
              <w:right w:val="single" w:sz="4" w:space="0" w:color="auto"/>
            </w:tcBorders>
            <w:shd w:val="clear" w:color="auto" w:fill="auto"/>
            <w:noWrap/>
            <w:vAlign w:val="center"/>
            <w:hideMark/>
          </w:tcPr>
          <w:p w14:paraId="2EFD115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Ep</w:t>
            </w:r>
          </w:p>
        </w:tc>
        <w:tc>
          <w:tcPr>
            <w:tcW w:w="425" w:type="dxa"/>
            <w:tcBorders>
              <w:top w:val="nil"/>
              <w:left w:val="nil"/>
              <w:bottom w:val="nil"/>
              <w:right w:val="nil"/>
            </w:tcBorders>
            <w:shd w:val="clear" w:color="auto" w:fill="auto"/>
            <w:vAlign w:val="center"/>
            <w:hideMark/>
          </w:tcPr>
          <w:p w14:paraId="3D8F697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single" w:sz="4" w:space="0" w:color="auto"/>
              <w:bottom w:val="nil"/>
              <w:right w:val="single" w:sz="4" w:space="0" w:color="auto"/>
            </w:tcBorders>
            <w:shd w:val="clear" w:color="auto" w:fill="auto"/>
            <w:vAlign w:val="center"/>
            <w:hideMark/>
          </w:tcPr>
          <w:p w14:paraId="41CD9D7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32" w:type="dxa"/>
            <w:tcBorders>
              <w:top w:val="nil"/>
              <w:left w:val="nil"/>
              <w:bottom w:val="nil"/>
              <w:right w:val="single" w:sz="4" w:space="0" w:color="auto"/>
            </w:tcBorders>
            <w:shd w:val="clear" w:color="auto" w:fill="auto"/>
            <w:vAlign w:val="center"/>
            <w:hideMark/>
          </w:tcPr>
          <w:p w14:paraId="081E067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39CE0666" w14:textId="77777777" w:rsidTr="0096743A">
        <w:trPr>
          <w:trHeight w:val="240"/>
        </w:trPr>
        <w:tc>
          <w:tcPr>
            <w:tcW w:w="1433" w:type="dxa"/>
            <w:tcBorders>
              <w:top w:val="nil"/>
              <w:left w:val="single" w:sz="4" w:space="0" w:color="auto"/>
              <w:bottom w:val="single" w:sz="4" w:space="0" w:color="auto"/>
              <w:right w:val="single" w:sz="4" w:space="0" w:color="auto"/>
            </w:tcBorders>
            <w:shd w:val="clear" w:color="auto" w:fill="auto"/>
            <w:noWrap/>
            <w:vAlign w:val="center"/>
            <w:hideMark/>
          </w:tcPr>
          <w:p w14:paraId="2B660C2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single" w:sz="4" w:space="0" w:color="auto"/>
              <w:right w:val="nil"/>
            </w:tcBorders>
            <w:shd w:val="clear" w:color="auto" w:fill="auto"/>
            <w:noWrap/>
            <w:vAlign w:val="center"/>
            <w:hideMark/>
          </w:tcPr>
          <w:p w14:paraId="04EC636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985" w:type="dxa"/>
            <w:tcBorders>
              <w:top w:val="nil"/>
              <w:left w:val="single" w:sz="4" w:space="0" w:color="auto"/>
              <w:bottom w:val="single" w:sz="4" w:space="0" w:color="auto"/>
              <w:right w:val="single" w:sz="4" w:space="0" w:color="auto"/>
            </w:tcBorders>
            <w:shd w:val="clear" w:color="auto" w:fill="auto"/>
            <w:noWrap/>
            <w:vAlign w:val="center"/>
            <w:hideMark/>
          </w:tcPr>
          <w:p w14:paraId="7BAE11E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Gastropoda_Fam. Indet</w:t>
            </w:r>
          </w:p>
        </w:tc>
        <w:tc>
          <w:tcPr>
            <w:tcW w:w="2551" w:type="dxa"/>
            <w:tcBorders>
              <w:top w:val="nil"/>
              <w:left w:val="nil"/>
              <w:bottom w:val="single" w:sz="4" w:space="0" w:color="auto"/>
              <w:right w:val="nil"/>
            </w:tcBorders>
            <w:shd w:val="clear" w:color="auto" w:fill="auto"/>
            <w:noWrap/>
            <w:vAlign w:val="center"/>
            <w:hideMark/>
          </w:tcPr>
          <w:p w14:paraId="5FF0A5B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Gastropoda_indet</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E11B07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Ep</w:t>
            </w:r>
          </w:p>
        </w:tc>
        <w:tc>
          <w:tcPr>
            <w:tcW w:w="425" w:type="dxa"/>
            <w:tcBorders>
              <w:top w:val="nil"/>
              <w:left w:val="nil"/>
              <w:bottom w:val="single" w:sz="4" w:space="0" w:color="auto"/>
              <w:right w:val="nil"/>
            </w:tcBorders>
            <w:shd w:val="clear" w:color="auto" w:fill="auto"/>
            <w:vAlign w:val="center"/>
            <w:hideMark/>
          </w:tcPr>
          <w:p w14:paraId="77AAFF3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67" w:type="dxa"/>
            <w:tcBorders>
              <w:top w:val="nil"/>
              <w:left w:val="single" w:sz="4" w:space="0" w:color="auto"/>
              <w:bottom w:val="single" w:sz="4" w:space="0" w:color="auto"/>
              <w:right w:val="single" w:sz="4" w:space="0" w:color="auto"/>
            </w:tcBorders>
            <w:shd w:val="clear" w:color="auto" w:fill="auto"/>
            <w:vAlign w:val="center"/>
            <w:hideMark/>
          </w:tcPr>
          <w:p w14:paraId="760EFB0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single" w:sz="4" w:space="0" w:color="auto"/>
              <w:right w:val="single" w:sz="4" w:space="0" w:color="auto"/>
            </w:tcBorders>
            <w:shd w:val="clear" w:color="auto" w:fill="auto"/>
            <w:vAlign w:val="center"/>
            <w:hideMark/>
          </w:tcPr>
          <w:p w14:paraId="37C2734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00DE8D45" w14:textId="77777777" w:rsidTr="0096743A">
        <w:trPr>
          <w:trHeight w:val="240"/>
        </w:trPr>
        <w:tc>
          <w:tcPr>
            <w:tcW w:w="1433" w:type="dxa"/>
            <w:tcBorders>
              <w:top w:val="nil"/>
              <w:left w:val="single" w:sz="4" w:space="0" w:color="auto"/>
              <w:bottom w:val="single" w:sz="4" w:space="0" w:color="auto"/>
              <w:right w:val="single" w:sz="4" w:space="0" w:color="auto"/>
            </w:tcBorders>
            <w:shd w:val="clear" w:color="auto" w:fill="auto"/>
            <w:noWrap/>
            <w:vAlign w:val="center"/>
            <w:hideMark/>
          </w:tcPr>
          <w:p w14:paraId="2FD83E1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Rotifera</w:t>
            </w:r>
          </w:p>
        </w:tc>
        <w:tc>
          <w:tcPr>
            <w:tcW w:w="1417" w:type="dxa"/>
            <w:tcBorders>
              <w:top w:val="nil"/>
              <w:left w:val="nil"/>
              <w:bottom w:val="single" w:sz="4" w:space="0" w:color="auto"/>
              <w:right w:val="single" w:sz="4" w:space="0" w:color="auto"/>
            </w:tcBorders>
            <w:shd w:val="clear" w:color="auto" w:fill="auto"/>
            <w:noWrap/>
            <w:vAlign w:val="center"/>
            <w:hideMark/>
          </w:tcPr>
          <w:p w14:paraId="15D2B35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Rotifera</w:t>
            </w:r>
          </w:p>
        </w:tc>
        <w:tc>
          <w:tcPr>
            <w:tcW w:w="1985" w:type="dxa"/>
            <w:tcBorders>
              <w:top w:val="nil"/>
              <w:left w:val="nil"/>
              <w:bottom w:val="single" w:sz="4" w:space="0" w:color="auto"/>
              <w:right w:val="single" w:sz="4" w:space="0" w:color="auto"/>
            </w:tcBorders>
            <w:shd w:val="clear" w:color="auto" w:fill="auto"/>
            <w:noWrap/>
            <w:vAlign w:val="center"/>
            <w:hideMark/>
          </w:tcPr>
          <w:p w14:paraId="4F364F1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Rotifera_Fam. indet.</w:t>
            </w:r>
          </w:p>
        </w:tc>
        <w:tc>
          <w:tcPr>
            <w:tcW w:w="2551" w:type="dxa"/>
            <w:tcBorders>
              <w:top w:val="nil"/>
              <w:left w:val="nil"/>
              <w:bottom w:val="single" w:sz="4" w:space="0" w:color="auto"/>
              <w:right w:val="single" w:sz="4" w:space="0" w:color="auto"/>
            </w:tcBorders>
            <w:shd w:val="clear" w:color="auto" w:fill="auto"/>
            <w:noWrap/>
            <w:vAlign w:val="center"/>
            <w:hideMark/>
          </w:tcPr>
          <w:p w14:paraId="7186152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Rotifer_indet.</w:t>
            </w:r>
          </w:p>
        </w:tc>
        <w:tc>
          <w:tcPr>
            <w:tcW w:w="851" w:type="dxa"/>
            <w:tcBorders>
              <w:top w:val="nil"/>
              <w:left w:val="nil"/>
              <w:bottom w:val="single" w:sz="4" w:space="0" w:color="auto"/>
              <w:right w:val="single" w:sz="4" w:space="0" w:color="auto"/>
            </w:tcBorders>
            <w:shd w:val="clear" w:color="auto" w:fill="auto"/>
            <w:noWrap/>
            <w:vAlign w:val="center"/>
            <w:hideMark/>
          </w:tcPr>
          <w:p w14:paraId="3FE7530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Ep</w:t>
            </w:r>
          </w:p>
        </w:tc>
        <w:tc>
          <w:tcPr>
            <w:tcW w:w="425" w:type="dxa"/>
            <w:tcBorders>
              <w:top w:val="nil"/>
              <w:left w:val="nil"/>
              <w:bottom w:val="single" w:sz="4" w:space="0" w:color="auto"/>
              <w:right w:val="single" w:sz="4" w:space="0" w:color="auto"/>
            </w:tcBorders>
            <w:shd w:val="clear" w:color="auto" w:fill="auto"/>
            <w:vAlign w:val="center"/>
            <w:hideMark/>
          </w:tcPr>
          <w:p w14:paraId="28696B7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single" w:sz="4" w:space="0" w:color="auto"/>
              <w:right w:val="single" w:sz="4" w:space="0" w:color="auto"/>
            </w:tcBorders>
            <w:shd w:val="clear" w:color="auto" w:fill="auto"/>
            <w:vAlign w:val="center"/>
            <w:hideMark/>
          </w:tcPr>
          <w:p w14:paraId="6F4D97D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single" w:sz="4" w:space="0" w:color="auto"/>
              <w:right w:val="single" w:sz="4" w:space="0" w:color="auto"/>
            </w:tcBorders>
            <w:shd w:val="clear" w:color="auto" w:fill="auto"/>
            <w:vAlign w:val="center"/>
            <w:hideMark/>
          </w:tcPr>
          <w:p w14:paraId="0EC6EF7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4B1226B8" w14:textId="77777777" w:rsidTr="0096743A">
        <w:trPr>
          <w:trHeight w:val="240"/>
        </w:trPr>
        <w:tc>
          <w:tcPr>
            <w:tcW w:w="1433" w:type="dxa"/>
            <w:tcBorders>
              <w:top w:val="nil"/>
              <w:left w:val="single" w:sz="4" w:space="0" w:color="auto"/>
              <w:bottom w:val="single" w:sz="4" w:space="0" w:color="auto"/>
              <w:right w:val="single" w:sz="4" w:space="0" w:color="auto"/>
            </w:tcBorders>
            <w:shd w:val="clear" w:color="auto" w:fill="auto"/>
            <w:noWrap/>
            <w:vAlign w:val="center"/>
            <w:hideMark/>
          </w:tcPr>
          <w:p w14:paraId="74DE310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Hydrozoa</w:t>
            </w:r>
          </w:p>
        </w:tc>
        <w:tc>
          <w:tcPr>
            <w:tcW w:w="1417" w:type="dxa"/>
            <w:tcBorders>
              <w:top w:val="nil"/>
              <w:left w:val="nil"/>
              <w:bottom w:val="single" w:sz="4" w:space="0" w:color="auto"/>
              <w:right w:val="single" w:sz="4" w:space="0" w:color="auto"/>
            </w:tcBorders>
            <w:shd w:val="clear" w:color="auto" w:fill="auto"/>
            <w:noWrap/>
            <w:vAlign w:val="center"/>
            <w:hideMark/>
          </w:tcPr>
          <w:p w14:paraId="0B0BFD1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Hydrozoa</w:t>
            </w:r>
          </w:p>
        </w:tc>
        <w:tc>
          <w:tcPr>
            <w:tcW w:w="1985" w:type="dxa"/>
            <w:tcBorders>
              <w:top w:val="nil"/>
              <w:left w:val="nil"/>
              <w:bottom w:val="single" w:sz="4" w:space="0" w:color="auto"/>
              <w:right w:val="single" w:sz="4" w:space="0" w:color="auto"/>
            </w:tcBorders>
            <w:shd w:val="clear" w:color="auto" w:fill="auto"/>
            <w:noWrap/>
            <w:vAlign w:val="center"/>
            <w:hideMark/>
          </w:tcPr>
          <w:p w14:paraId="65FA14A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Hydridae</w:t>
            </w:r>
          </w:p>
        </w:tc>
        <w:tc>
          <w:tcPr>
            <w:tcW w:w="2551" w:type="dxa"/>
            <w:tcBorders>
              <w:top w:val="nil"/>
              <w:left w:val="nil"/>
              <w:bottom w:val="single" w:sz="4" w:space="0" w:color="auto"/>
              <w:right w:val="single" w:sz="4" w:space="0" w:color="auto"/>
            </w:tcBorders>
            <w:shd w:val="clear" w:color="auto" w:fill="auto"/>
            <w:noWrap/>
            <w:vAlign w:val="center"/>
            <w:hideMark/>
          </w:tcPr>
          <w:p w14:paraId="45F64F3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Hydridae_indet</w:t>
            </w:r>
          </w:p>
        </w:tc>
        <w:tc>
          <w:tcPr>
            <w:tcW w:w="851" w:type="dxa"/>
            <w:tcBorders>
              <w:top w:val="nil"/>
              <w:left w:val="nil"/>
              <w:bottom w:val="single" w:sz="4" w:space="0" w:color="auto"/>
              <w:right w:val="single" w:sz="4" w:space="0" w:color="auto"/>
            </w:tcBorders>
            <w:shd w:val="clear" w:color="auto" w:fill="auto"/>
            <w:noWrap/>
            <w:vAlign w:val="center"/>
            <w:hideMark/>
          </w:tcPr>
          <w:p w14:paraId="1548B11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Ep</w:t>
            </w:r>
          </w:p>
        </w:tc>
        <w:tc>
          <w:tcPr>
            <w:tcW w:w="425" w:type="dxa"/>
            <w:tcBorders>
              <w:top w:val="nil"/>
              <w:left w:val="nil"/>
              <w:bottom w:val="single" w:sz="4" w:space="0" w:color="auto"/>
              <w:right w:val="single" w:sz="4" w:space="0" w:color="auto"/>
            </w:tcBorders>
            <w:shd w:val="clear" w:color="auto" w:fill="auto"/>
            <w:vAlign w:val="center"/>
            <w:hideMark/>
          </w:tcPr>
          <w:p w14:paraId="20BE923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single" w:sz="4" w:space="0" w:color="auto"/>
              <w:right w:val="single" w:sz="4" w:space="0" w:color="auto"/>
            </w:tcBorders>
            <w:shd w:val="clear" w:color="auto" w:fill="auto"/>
            <w:vAlign w:val="center"/>
            <w:hideMark/>
          </w:tcPr>
          <w:p w14:paraId="49FC90D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32" w:type="dxa"/>
            <w:tcBorders>
              <w:top w:val="nil"/>
              <w:left w:val="nil"/>
              <w:bottom w:val="single" w:sz="4" w:space="0" w:color="auto"/>
              <w:right w:val="single" w:sz="4" w:space="0" w:color="auto"/>
            </w:tcBorders>
            <w:shd w:val="clear" w:color="auto" w:fill="auto"/>
            <w:vAlign w:val="center"/>
            <w:hideMark/>
          </w:tcPr>
          <w:p w14:paraId="794E474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085D52B2" w14:textId="77777777" w:rsidTr="0096743A">
        <w:trPr>
          <w:trHeight w:val="240"/>
        </w:trPr>
        <w:tc>
          <w:tcPr>
            <w:tcW w:w="1433" w:type="dxa"/>
            <w:tcBorders>
              <w:top w:val="nil"/>
              <w:left w:val="single" w:sz="4" w:space="0" w:color="auto"/>
              <w:bottom w:val="single" w:sz="4" w:space="0" w:color="auto"/>
              <w:right w:val="single" w:sz="4" w:space="0" w:color="auto"/>
            </w:tcBorders>
            <w:shd w:val="clear" w:color="auto" w:fill="auto"/>
            <w:noWrap/>
            <w:vAlign w:val="center"/>
            <w:hideMark/>
          </w:tcPr>
          <w:p w14:paraId="1264414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Nematomorpha (Gordian worms)</w:t>
            </w:r>
          </w:p>
        </w:tc>
        <w:tc>
          <w:tcPr>
            <w:tcW w:w="1417" w:type="dxa"/>
            <w:tcBorders>
              <w:top w:val="nil"/>
              <w:left w:val="nil"/>
              <w:bottom w:val="single" w:sz="4" w:space="0" w:color="auto"/>
              <w:right w:val="single" w:sz="4" w:space="0" w:color="auto"/>
            </w:tcBorders>
            <w:shd w:val="clear" w:color="auto" w:fill="auto"/>
            <w:noWrap/>
            <w:vAlign w:val="center"/>
            <w:hideMark/>
          </w:tcPr>
          <w:p w14:paraId="2B2911D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Nematomorpha</w:t>
            </w:r>
          </w:p>
        </w:tc>
        <w:tc>
          <w:tcPr>
            <w:tcW w:w="1985" w:type="dxa"/>
            <w:tcBorders>
              <w:top w:val="nil"/>
              <w:left w:val="nil"/>
              <w:bottom w:val="single" w:sz="4" w:space="0" w:color="auto"/>
              <w:right w:val="single" w:sz="4" w:space="0" w:color="auto"/>
            </w:tcBorders>
            <w:shd w:val="clear" w:color="auto" w:fill="auto"/>
            <w:noWrap/>
            <w:vAlign w:val="center"/>
            <w:hideMark/>
          </w:tcPr>
          <w:p w14:paraId="619F39A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Nematomorpha</w:t>
            </w:r>
          </w:p>
        </w:tc>
        <w:tc>
          <w:tcPr>
            <w:tcW w:w="2551" w:type="dxa"/>
            <w:tcBorders>
              <w:top w:val="nil"/>
              <w:left w:val="nil"/>
              <w:bottom w:val="single" w:sz="4" w:space="0" w:color="auto"/>
              <w:right w:val="single" w:sz="4" w:space="0" w:color="auto"/>
            </w:tcBorders>
            <w:shd w:val="clear" w:color="auto" w:fill="auto"/>
            <w:noWrap/>
            <w:vAlign w:val="center"/>
            <w:hideMark/>
          </w:tcPr>
          <w:p w14:paraId="3473AAD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Nematomorpha_indet</w:t>
            </w:r>
          </w:p>
        </w:tc>
        <w:tc>
          <w:tcPr>
            <w:tcW w:w="851" w:type="dxa"/>
            <w:tcBorders>
              <w:top w:val="nil"/>
              <w:left w:val="nil"/>
              <w:bottom w:val="single" w:sz="4" w:space="0" w:color="auto"/>
              <w:right w:val="single" w:sz="4" w:space="0" w:color="auto"/>
            </w:tcBorders>
            <w:shd w:val="clear" w:color="auto" w:fill="auto"/>
            <w:noWrap/>
            <w:vAlign w:val="center"/>
            <w:hideMark/>
          </w:tcPr>
          <w:p w14:paraId="546EA90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425" w:type="dxa"/>
            <w:tcBorders>
              <w:top w:val="nil"/>
              <w:left w:val="nil"/>
              <w:bottom w:val="single" w:sz="4" w:space="0" w:color="auto"/>
              <w:right w:val="single" w:sz="4" w:space="0" w:color="auto"/>
            </w:tcBorders>
            <w:shd w:val="clear" w:color="auto" w:fill="auto"/>
            <w:vAlign w:val="center"/>
            <w:hideMark/>
          </w:tcPr>
          <w:p w14:paraId="3457CCC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67" w:type="dxa"/>
            <w:tcBorders>
              <w:top w:val="nil"/>
              <w:left w:val="nil"/>
              <w:bottom w:val="single" w:sz="4" w:space="0" w:color="auto"/>
              <w:right w:val="single" w:sz="4" w:space="0" w:color="auto"/>
            </w:tcBorders>
            <w:shd w:val="clear" w:color="auto" w:fill="auto"/>
            <w:vAlign w:val="center"/>
            <w:hideMark/>
          </w:tcPr>
          <w:p w14:paraId="275800E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single" w:sz="4" w:space="0" w:color="auto"/>
              <w:right w:val="single" w:sz="4" w:space="0" w:color="auto"/>
            </w:tcBorders>
            <w:shd w:val="clear" w:color="auto" w:fill="auto"/>
            <w:vAlign w:val="center"/>
            <w:hideMark/>
          </w:tcPr>
          <w:p w14:paraId="76286FF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392015C5" w14:textId="77777777" w:rsidTr="0096743A">
        <w:trPr>
          <w:trHeight w:val="240"/>
        </w:trPr>
        <w:tc>
          <w:tcPr>
            <w:tcW w:w="1433" w:type="dxa"/>
            <w:tcBorders>
              <w:top w:val="nil"/>
              <w:left w:val="single" w:sz="4" w:space="0" w:color="auto"/>
              <w:bottom w:val="nil"/>
              <w:right w:val="single" w:sz="4" w:space="0" w:color="auto"/>
            </w:tcBorders>
            <w:shd w:val="clear" w:color="auto" w:fill="auto"/>
            <w:noWrap/>
            <w:vAlign w:val="center"/>
            <w:hideMark/>
          </w:tcPr>
          <w:p w14:paraId="7F3A2E0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Platyhelminthes (flat worms)</w:t>
            </w:r>
          </w:p>
        </w:tc>
        <w:tc>
          <w:tcPr>
            <w:tcW w:w="1417" w:type="dxa"/>
            <w:tcBorders>
              <w:top w:val="nil"/>
              <w:left w:val="nil"/>
              <w:bottom w:val="nil"/>
              <w:right w:val="nil"/>
            </w:tcBorders>
            <w:shd w:val="clear" w:color="auto" w:fill="auto"/>
            <w:noWrap/>
            <w:vAlign w:val="center"/>
            <w:hideMark/>
          </w:tcPr>
          <w:p w14:paraId="7604F20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Turbellaria</w:t>
            </w:r>
          </w:p>
        </w:tc>
        <w:tc>
          <w:tcPr>
            <w:tcW w:w="1985" w:type="dxa"/>
            <w:tcBorders>
              <w:top w:val="nil"/>
              <w:left w:val="single" w:sz="4" w:space="0" w:color="auto"/>
              <w:bottom w:val="nil"/>
              <w:right w:val="single" w:sz="4" w:space="0" w:color="auto"/>
            </w:tcBorders>
            <w:shd w:val="clear" w:color="auto" w:fill="auto"/>
            <w:noWrap/>
            <w:vAlign w:val="center"/>
            <w:hideMark/>
          </w:tcPr>
          <w:p w14:paraId="36C5B99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Turbellaria_Fam. Indet</w:t>
            </w:r>
          </w:p>
        </w:tc>
        <w:tc>
          <w:tcPr>
            <w:tcW w:w="2551" w:type="dxa"/>
            <w:tcBorders>
              <w:top w:val="nil"/>
              <w:left w:val="nil"/>
              <w:bottom w:val="nil"/>
              <w:right w:val="nil"/>
            </w:tcBorders>
            <w:shd w:val="clear" w:color="auto" w:fill="auto"/>
            <w:noWrap/>
            <w:vAlign w:val="center"/>
            <w:hideMark/>
          </w:tcPr>
          <w:p w14:paraId="5A6E38A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Turbellaria_indet.</w:t>
            </w:r>
          </w:p>
        </w:tc>
        <w:tc>
          <w:tcPr>
            <w:tcW w:w="851" w:type="dxa"/>
            <w:tcBorders>
              <w:top w:val="nil"/>
              <w:left w:val="single" w:sz="4" w:space="0" w:color="auto"/>
              <w:bottom w:val="nil"/>
              <w:right w:val="single" w:sz="4" w:space="0" w:color="auto"/>
            </w:tcBorders>
            <w:shd w:val="clear" w:color="auto" w:fill="auto"/>
            <w:noWrap/>
            <w:vAlign w:val="center"/>
            <w:hideMark/>
          </w:tcPr>
          <w:p w14:paraId="5180A4E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Sp/Sb?</w:t>
            </w:r>
          </w:p>
        </w:tc>
        <w:tc>
          <w:tcPr>
            <w:tcW w:w="425" w:type="dxa"/>
            <w:tcBorders>
              <w:top w:val="nil"/>
              <w:left w:val="nil"/>
              <w:bottom w:val="nil"/>
              <w:right w:val="single" w:sz="4" w:space="0" w:color="auto"/>
            </w:tcBorders>
            <w:shd w:val="clear" w:color="auto" w:fill="auto"/>
            <w:vAlign w:val="center"/>
            <w:hideMark/>
          </w:tcPr>
          <w:p w14:paraId="4F4409C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nil"/>
              <w:right w:val="single" w:sz="4" w:space="0" w:color="auto"/>
            </w:tcBorders>
            <w:shd w:val="clear" w:color="auto" w:fill="auto"/>
            <w:vAlign w:val="center"/>
            <w:hideMark/>
          </w:tcPr>
          <w:p w14:paraId="00376CB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nil"/>
              <w:right w:val="single" w:sz="4" w:space="0" w:color="auto"/>
            </w:tcBorders>
            <w:shd w:val="clear" w:color="auto" w:fill="auto"/>
            <w:vAlign w:val="center"/>
            <w:hideMark/>
          </w:tcPr>
          <w:p w14:paraId="69533B8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7C5D4825" w14:textId="77777777" w:rsidTr="0096743A">
        <w:trPr>
          <w:trHeight w:val="240"/>
        </w:trPr>
        <w:tc>
          <w:tcPr>
            <w:tcW w:w="1433" w:type="dxa"/>
            <w:tcBorders>
              <w:top w:val="nil"/>
              <w:left w:val="single" w:sz="4" w:space="0" w:color="auto"/>
              <w:bottom w:val="single" w:sz="4" w:space="0" w:color="auto"/>
              <w:right w:val="single" w:sz="4" w:space="0" w:color="auto"/>
            </w:tcBorders>
            <w:shd w:val="clear" w:color="auto" w:fill="auto"/>
            <w:noWrap/>
            <w:vAlign w:val="center"/>
            <w:hideMark/>
          </w:tcPr>
          <w:p w14:paraId="1EEFF95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417" w:type="dxa"/>
            <w:tcBorders>
              <w:top w:val="nil"/>
              <w:left w:val="nil"/>
              <w:bottom w:val="single" w:sz="4" w:space="0" w:color="auto"/>
              <w:right w:val="nil"/>
            </w:tcBorders>
            <w:shd w:val="clear" w:color="auto" w:fill="auto"/>
            <w:noWrap/>
            <w:vAlign w:val="center"/>
            <w:hideMark/>
          </w:tcPr>
          <w:p w14:paraId="773E339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985" w:type="dxa"/>
            <w:tcBorders>
              <w:top w:val="nil"/>
              <w:left w:val="single" w:sz="4" w:space="0" w:color="auto"/>
              <w:bottom w:val="single" w:sz="4" w:space="0" w:color="auto"/>
              <w:right w:val="single" w:sz="4" w:space="0" w:color="auto"/>
            </w:tcBorders>
            <w:shd w:val="clear" w:color="auto" w:fill="auto"/>
            <w:noWrap/>
            <w:vAlign w:val="center"/>
            <w:hideMark/>
          </w:tcPr>
          <w:p w14:paraId="284EC4CF" w14:textId="77777777" w:rsidR="003D3694" w:rsidRPr="00747E35" w:rsidRDefault="003D3694" w:rsidP="0096743A">
            <w:pPr>
              <w:pStyle w:val="Tabletext"/>
              <w:spacing w:before="0" w:after="0"/>
              <w:rPr>
                <w:rFonts w:cstheme="minorHAnsi"/>
                <w:lang w:eastAsia="en-AU"/>
              </w:rPr>
            </w:pPr>
          </w:p>
        </w:tc>
        <w:tc>
          <w:tcPr>
            <w:tcW w:w="2551" w:type="dxa"/>
            <w:tcBorders>
              <w:top w:val="nil"/>
              <w:left w:val="nil"/>
              <w:bottom w:val="single" w:sz="4" w:space="0" w:color="auto"/>
              <w:right w:val="nil"/>
            </w:tcBorders>
            <w:shd w:val="clear" w:color="auto" w:fill="auto"/>
            <w:noWrap/>
            <w:vAlign w:val="center"/>
            <w:hideMark/>
          </w:tcPr>
          <w:p w14:paraId="70E10AA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Turbellaria_indet. (eyed)</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046246C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Ep</w:t>
            </w:r>
          </w:p>
        </w:tc>
        <w:tc>
          <w:tcPr>
            <w:tcW w:w="425" w:type="dxa"/>
            <w:tcBorders>
              <w:top w:val="nil"/>
              <w:left w:val="nil"/>
              <w:bottom w:val="single" w:sz="4" w:space="0" w:color="auto"/>
              <w:right w:val="single" w:sz="4" w:space="0" w:color="auto"/>
            </w:tcBorders>
            <w:shd w:val="clear" w:color="auto" w:fill="auto"/>
            <w:vAlign w:val="center"/>
            <w:hideMark/>
          </w:tcPr>
          <w:p w14:paraId="49428E1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67" w:type="dxa"/>
            <w:tcBorders>
              <w:top w:val="nil"/>
              <w:left w:val="nil"/>
              <w:bottom w:val="single" w:sz="4" w:space="0" w:color="auto"/>
              <w:right w:val="single" w:sz="4" w:space="0" w:color="auto"/>
            </w:tcBorders>
            <w:shd w:val="clear" w:color="auto" w:fill="auto"/>
            <w:vAlign w:val="center"/>
            <w:hideMark/>
          </w:tcPr>
          <w:p w14:paraId="195313D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532" w:type="dxa"/>
            <w:tcBorders>
              <w:top w:val="nil"/>
              <w:left w:val="nil"/>
              <w:bottom w:val="single" w:sz="4" w:space="0" w:color="auto"/>
              <w:right w:val="single" w:sz="4" w:space="0" w:color="auto"/>
            </w:tcBorders>
            <w:shd w:val="clear" w:color="auto" w:fill="auto"/>
            <w:vAlign w:val="center"/>
            <w:hideMark/>
          </w:tcPr>
          <w:p w14:paraId="232C7A5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50CA0C02" w14:textId="77777777" w:rsidTr="0096743A">
        <w:trPr>
          <w:trHeight w:val="240"/>
        </w:trPr>
        <w:tc>
          <w:tcPr>
            <w:tcW w:w="1433" w:type="dxa"/>
            <w:tcBorders>
              <w:top w:val="nil"/>
              <w:left w:val="single" w:sz="4" w:space="0" w:color="auto"/>
              <w:bottom w:val="single" w:sz="4" w:space="0" w:color="auto"/>
              <w:right w:val="single" w:sz="4" w:space="0" w:color="auto"/>
            </w:tcBorders>
            <w:shd w:val="clear" w:color="auto" w:fill="auto"/>
            <w:noWrap/>
            <w:vAlign w:val="center"/>
            <w:hideMark/>
          </w:tcPr>
          <w:p w14:paraId="21A5A1A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Nematoda</w:t>
            </w:r>
          </w:p>
        </w:tc>
        <w:tc>
          <w:tcPr>
            <w:tcW w:w="1417" w:type="dxa"/>
            <w:tcBorders>
              <w:top w:val="nil"/>
              <w:left w:val="nil"/>
              <w:bottom w:val="single" w:sz="4" w:space="0" w:color="auto"/>
              <w:right w:val="single" w:sz="4" w:space="0" w:color="auto"/>
            </w:tcBorders>
            <w:shd w:val="clear" w:color="auto" w:fill="auto"/>
            <w:noWrap/>
            <w:vAlign w:val="center"/>
            <w:hideMark/>
          </w:tcPr>
          <w:p w14:paraId="6A37B1B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Nematoda (round worms)</w:t>
            </w:r>
          </w:p>
        </w:tc>
        <w:tc>
          <w:tcPr>
            <w:tcW w:w="1985" w:type="dxa"/>
            <w:tcBorders>
              <w:top w:val="nil"/>
              <w:left w:val="nil"/>
              <w:bottom w:val="single" w:sz="4" w:space="0" w:color="auto"/>
              <w:right w:val="single" w:sz="4" w:space="0" w:color="auto"/>
            </w:tcBorders>
            <w:shd w:val="clear" w:color="auto" w:fill="auto"/>
            <w:noWrap/>
            <w:vAlign w:val="center"/>
            <w:hideMark/>
          </w:tcPr>
          <w:p w14:paraId="75AA048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Nematoda indet.</w:t>
            </w:r>
          </w:p>
        </w:tc>
        <w:tc>
          <w:tcPr>
            <w:tcW w:w="2551" w:type="dxa"/>
            <w:tcBorders>
              <w:top w:val="nil"/>
              <w:left w:val="nil"/>
              <w:bottom w:val="single" w:sz="4" w:space="0" w:color="auto"/>
              <w:right w:val="single" w:sz="4" w:space="0" w:color="auto"/>
            </w:tcBorders>
            <w:shd w:val="clear" w:color="auto" w:fill="auto"/>
            <w:noWrap/>
            <w:vAlign w:val="center"/>
            <w:hideMark/>
          </w:tcPr>
          <w:p w14:paraId="167CDF0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Nematoda indet.</w:t>
            </w:r>
          </w:p>
        </w:tc>
        <w:tc>
          <w:tcPr>
            <w:tcW w:w="851" w:type="dxa"/>
            <w:tcBorders>
              <w:top w:val="nil"/>
              <w:left w:val="nil"/>
              <w:bottom w:val="single" w:sz="4" w:space="0" w:color="auto"/>
              <w:right w:val="single" w:sz="4" w:space="0" w:color="auto"/>
            </w:tcBorders>
            <w:shd w:val="clear" w:color="auto" w:fill="auto"/>
            <w:noWrap/>
            <w:vAlign w:val="center"/>
            <w:hideMark/>
          </w:tcPr>
          <w:p w14:paraId="4F85C31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Sp</w:t>
            </w:r>
          </w:p>
        </w:tc>
        <w:tc>
          <w:tcPr>
            <w:tcW w:w="425" w:type="dxa"/>
            <w:tcBorders>
              <w:top w:val="nil"/>
              <w:left w:val="nil"/>
              <w:bottom w:val="single" w:sz="4" w:space="0" w:color="auto"/>
              <w:right w:val="single" w:sz="4" w:space="0" w:color="auto"/>
            </w:tcBorders>
            <w:shd w:val="clear" w:color="auto" w:fill="auto"/>
            <w:vAlign w:val="center"/>
            <w:hideMark/>
          </w:tcPr>
          <w:p w14:paraId="599B6E7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single" w:sz="4" w:space="0" w:color="auto"/>
              <w:right w:val="single" w:sz="4" w:space="0" w:color="auto"/>
            </w:tcBorders>
            <w:shd w:val="clear" w:color="auto" w:fill="auto"/>
            <w:vAlign w:val="center"/>
            <w:hideMark/>
          </w:tcPr>
          <w:p w14:paraId="3AE92B1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single" w:sz="4" w:space="0" w:color="auto"/>
              <w:right w:val="single" w:sz="4" w:space="0" w:color="auto"/>
            </w:tcBorders>
            <w:shd w:val="clear" w:color="auto" w:fill="auto"/>
            <w:vAlign w:val="center"/>
            <w:hideMark/>
          </w:tcPr>
          <w:p w14:paraId="1E26C7C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6525C780" w14:textId="77777777" w:rsidTr="0096743A">
        <w:trPr>
          <w:trHeight w:val="240"/>
        </w:trPr>
        <w:tc>
          <w:tcPr>
            <w:tcW w:w="1433" w:type="dxa"/>
            <w:tcBorders>
              <w:top w:val="nil"/>
              <w:left w:val="single" w:sz="4" w:space="0" w:color="auto"/>
              <w:bottom w:val="single" w:sz="4" w:space="0" w:color="auto"/>
              <w:right w:val="single" w:sz="4" w:space="0" w:color="auto"/>
            </w:tcBorders>
            <w:shd w:val="clear" w:color="auto" w:fill="auto"/>
            <w:noWrap/>
            <w:vAlign w:val="center"/>
            <w:hideMark/>
          </w:tcPr>
          <w:p w14:paraId="723B7AD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Annelida</w:t>
            </w:r>
          </w:p>
        </w:tc>
        <w:tc>
          <w:tcPr>
            <w:tcW w:w="1417" w:type="dxa"/>
            <w:tcBorders>
              <w:top w:val="nil"/>
              <w:left w:val="nil"/>
              <w:bottom w:val="single" w:sz="4" w:space="0" w:color="auto"/>
              <w:right w:val="single" w:sz="4" w:space="0" w:color="auto"/>
            </w:tcBorders>
            <w:shd w:val="clear" w:color="auto" w:fill="auto"/>
            <w:noWrap/>
            <w:vAlign w:val="center"/>
            <w:hideMark/>
          </w:tcPr>
          <w:p w14:paraId="6EE4B3A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Oligochaeta (segmented worms)</w:t>
            </w:r>
          </w:p>
        </w:tc>
        <w:tc>
          <w:tcPr>
            <w:tcW w:w="1985" w:type="dxa"/>
            <w:tcBorders>
              <w:top w:val="nil"/>
              <w:left w:val="nil"/>
              <w:bottom w:val="single" w:sz="4" w:space="0" w:color="auto"/>
              <w:right w:val="single" w:sz="4" w:space="0" w:color="auto"/>
            </w:tcBorders>
            <w:shd w:val="clear" w:color="auto" w:fill="auto"/>
            <w:noWrap/>
            <w:vAlign w:val="center"/>
            <w:hideMark/>
          </w:tcPr>
          <w:p w14:paraId="56CD830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Oligochaeta_Fam. indet.</w:t>
            </w:r>
          </w:p>
        </w:tc>
        <w:tc>
          <w:tcPr>
            <w:tcW w:w="2551" w:type="dxa"/>
            <w:tcBorders>
              <w:top w:val="nil"/>
              <w:left w:val="nil"/>
              <w:bottom w:val="single" w:sz="4" w:space="0" w:color="auto"/>
              <w:right w:val="single" w:sz="4" w:space="0" w:color="auto"/>
            </w:tcBorders>
            <w:shd w:val="clear" w:color="auto" w:fill="auto"/>
            <w:noWrap/>
            <w:vAlign w:val="center"/>
            <w:hideMark/>
          </w:tcPr>
          <w:p w14:paraId="2529AB7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Oligochaeta_indet.</w:t>
            </w:r>
          </w:p>
        </w:tc>
        <w:tc>
          <w:tcPr>
            <w:tcW w:w="851" w:type="dxa"/>
            <w:tcBorders>
              <w:top w:val="nil"/>
              <w:left w:val="nil"/>
              <w:bottom w:val="single" w:sz="4" w:space="0" w:color="auto"/>
              <w:right w:val="single" w:sz="4" w:space="0" w:color="auto"/>
            </w:tcBorders>
            <w:shd w:val="clear" w:color="auto" w:fill="auto"/>
            <w:noWrap/>
            <w:vAlign w:val="center"/>
            <w:hideMark/>
          </w:tcPr>
          <w:p w14:paraId="4AA4E0D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Sp</w:t>
            </w:r>
          </w:p>
        </w:tc>
        <w:tc>
          <w:tcPr>
            <w:tcW w:w="425" w:type="dxa"/>
            <w:tcBorders>
              <w:top w:val="nil"/>
              <w:left w:val="nil"/>
              <w:bottom w:val="single" w:sz="4" w:space="0" w:color="auto"/>
              <w:right w:val="single" w:sz="4" w:space="0" w:color="auto"/>
            </w:tcBorders>
            <w:shd w:val="clear" w:color="auto" w:fill="auto"/>
            <w:vAlign w:val="center"/>
            <w:hideMark/>
          </w:tcPr>
          <w:p w14:paraId="32521FF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67" w:type="dxa"/>
            <w:tcBorders>
              <w:top w:val="nil"/>
              <w:left w:val="nil"/>
              <w:bottom w:val="single" w:sz="4" w:space="0" w:color="auto"/>
              <w:right w:val="single" w:sz="4" w:space="0" w:color="auto"/>
            </w:tcBorders>
            <w:shd w:val="clear" w:color="auto" w:fill="auto"/>
            <w:vAlign w:val="center"/>
            <w:hideMark/>
          </w:tcPr>
          <w:p w14:paraId="13A1701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c>
          <w:tcPr>
            <w:tcW w:w="532" w:type="dxa"/>
            <w:tcBorders>
              <w:top w:val="nil"/>
              <w:left w:val="nil"/>
              <w:bottom w:val="single" w:sz="4" w:space="0" w:color="auto"/>
              <w:right w:val="single" w:sz="4" w:space="0" w:color="auto"/>
            </w:tcBorders>
            <w:shd w:val="clear" w:color="auto" w:fill="auto"/>
            <w:vAlign w:val="center"/>
            <w:hideMark/>
          </w:tcPr>
          <w:p w14:paraId="3355297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w:t>
            </w:r>
          </w:p>
        </w:tc>
      </w:tr>
      <w:tr w:rsidR="003D3694" w:rsidRPr="00747E35" w14:paraId="0EC7D77B" w14:textId="77777777" w:rsidTr="0096743A">
        <w:trPr>
          <w:trHeight w:val="227"/>
        </w:trPr>
        <w:tc>
          <w:tcPr>
            <w:tcW w:w="2850" w:type="dxa"/>
            <w:gridSpan w:val="2"/>
            <w:tcBorders>
              <w:top w:val="nil"/>
              <w:left w:val="nil"/>
              <w:bottom w:val="nil"/>
              <w:right w:val="nil"/>
            </w:tcBorders>
            <w:shd w:val="clear" w:color="auto" w:fill="auto"/>
            <w:noWrap/>
            <w:vAlign w:val="bottom"/>
            <w:hideMark/>
          </w:tcPr>
          <w:p w14:paraId="75635595" w14:textId="77777777" w:rsidR="003D3694" w:rsidRPr="00747E35" w:rsidRDefault="003D3694" w:rsidP="0096743A">
            <w:pPr>
              <w:autoSpaceDE/>
              <w:autoSpaceDN/>
              <w:spacing w:after="0"/>
              <w:rPr>
                <w:rFonts w:asciiTheme="minorHAnsi" w:eastAsia="Times New Roman" w:hAnsiTheme="minorHAnsi" w:cstheme="minorHAnsi"/>
                <w:b/>
                <w:bCs/>
                <w:color w:val="000000"/>
                <w:sz w:val="16"/>
                <w:szCs w:val="16"/>
                <w:lang w:eastAsia="en-AU"/>
              </w:rPr>
            </w:pPr>
            <w:r w:rsidRPr="00747E35">
              <w:rPr>
                <w:rFonts w:asciiTheme="minorHAnsi" w:eastAsia="Times New Roman" w:hAnsiTheme="minorHAnsi" w:cstheme="minorHAnsi"/>
                <w:b/>
                <w:color w:val="000000"/>
                <w:sz w:val="16"/>
                <w:szCs w:val="16"/>
                <w:lang w:eastAsia="en-AU"/>
              </w:rPr>
              <w:t>*Key to groundwater habitat affinity (GHA) categories:</w:t>
            </w:r>
          </w:p>
        </w:tc>
        <w:tc>
          <w:tcPr>
            <w:tcW w:w="1985" w:type="dxa"/>
            <w:tcBorders>
              <w:top w:val="nil"/>
              <w:left w:val="nil"/>
              <w:bottom w:val="nil"/>
              <w:right w:val="nil"/>
            </w:tcBorders>
            <w:shd w:val="clear" w:color="auto" w:fill="auto"/>
            <w:noWrap/>
            <w:vAlign w:val="bottom"/>
            <w:hideMark/>
          </w:tcPr>
          <w:p w14:paraId="7ED73E65"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p>
        </w:tc>
        <w:tc>
          <w:tcPr>
            <w:tcW w:w="2551" w:type="dxa"/>
            <w:tcBorders>
              <w:top w:val="nil"/>
              <w:left w:val="nil"/>
              <w:bottom w:val="nil"/>
              <w:right w:val="nil"/>
            </w:tcBorders>
            <w:shd w:val="clear" w:color="auto" w:fill="auto"/>
            <w:noWrap/>
            <w:vAlign w:val="bottom"/>
            <w:hideMark/>
          </w:tcPr>
          <w:p w14:paraId="22819FE8" w14:textId="77777777" w:rsidR="003D3694" w:rsidRPr="00747E35" w:rsidRDefault="003D3694" w:rsidP="0096743A">
            <w:pPr>
              <w:autoSpaceDE/>
              <w:autoSpaceDN/>
              <w:spacing w:after="0"/>
              <w:jc w:val="right"/>
              <w:rPr>
                <w:rFonts w:asciiTheme="minorHAnsi" w:eastAsia="Times New Roman" w:hAnsiTheme="minorHAnsi" w:cstheme="minorHAnsi"/>
                <w:color w:val="000000"/>
                <w:sz w:val="16"/>
                <w:szCs w:val="16"/>
                <w:lang w:eastAsia="en-AU"/>
              </w:rPr>
            </w:pPr>
            <w:r w:rsidRPr="00747E35">
              <w:rPr>
                <w:rFonts w:asciiTheme="minorHAnsi" w:hAnsiTheme="minorHAnsi" w:cstheme="minorHAnsi"/>
                <w:color w:val="000000"/>
                <w:sz w:val="16"/>
                <w:szCs w:val="16"/>
              </w:rPr>
              <w:t>Total morpho-taxa</w:t>
            </w:r>
          </w:p>
        </w:tc>
        <w:tc>
          <w:tcPr>
            <w:tcW w:w="851" w:type="dxa"/>
            <w:tcBorders>
              <w:top w:val="nil"/>
              <w:left w:val="nil"/>
              <w:bottom w:val="nil"/>
              <w:right w:val="nil"/>
            </w:tcBorders>
            <w:shd w:val="clear" w:color="auto" w:fill="auto"/>
            <w:noWrap/>
            <w:vAlign w:val="bottom"/>
          </w:tcPr>
          <w:p w14:paraId="61E03A75" w14:textId="77777777" w:rsidR="003D3694" w:rsidRPr="00747E35" w:rsidRDefault="003D3694" w:rsidP="0096743A">
            <w:pPr>
              <w:autoSpaceDE/>
              <w:autoSpaceDN/>
              <w:spacing w:after="0"/>
              <w:jc w:val="right"/>
              <w:rPr>
                <w:rFonts w:asciiTheme="minorHAnsi" w:eastAsia="Times New Roman" w:hAnsiTheme="minorHAnsi" w:cstheme="minorHAnsi"/>
                <w:color w:val="000000"/>
                <w:sz w:val="16"/>
                <w:szCs w:val="16"/>
                <w:lang w:eastAsia="en-AU"/>
              </w:rPr>
            </w:pPr>
          </w:p>
        </w:tc>
        <w:tc>
          <w:tcPr>
            <w:tcW w:w="425" w:type="dxa"/>
            <w:tcBorders>
              <w:top w:val="nil"/>
              <w:left w:val="nil"/>
              <w:bottom w:val="nil"/>
              <w:right w:val="nil"/>
            </w:tcBorders>
            <w:shd w:val="clear" w:color="auto" w:fill="auto"/>
            <w:noWrap/>
            <w:vAlign w:val="bottom"/>
          </w:tcPr>
          <w:p w14:paraId="722F76AA"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r w:rsidRPr="00747E35">
              <w:rPr>
                <w:rFonts w:asciiTheme="minorHAnsi" w:hAnsiTheme="minorHAnsi" w:cstheme="minorHAnsi"/>
                <w:color w:val="000000"/>
                <w:sz w:val="16"/>
                <w:szCs w:val="16"/>
              </w:rPr>
              <w:t>31</w:t>
            </w:r>
          </w:p>
        </w:tc>
        <w:tc>
          <w:tcPr>
            <w:tcW w:w="567" w:type="dxa"/>
            <w:tcBorders>
              <w:top w:val="nil"/>
              <w:left w:val="nil"/>
              <w:bottom w:val="nil"/>
              <w:right w:val="nil"/>
            </w:tcBorders>
            <w:shd w:val="clear" w:color="auto" w:fill="auto"/>
            <w:noWrap/>
            <w:vAlign w:val="bottom"/>
          </w:tcPr>
          <w:p w14:paraId="21E841A2"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r w:rsidRPr="00747E35">
              <w:rPr>
                <w:rFonts w:asciiTheme="minorHAnsi" w:hAnsiTheme="minorHAnsi" w:cstheme="minorHAnsi"/>
                <w:color w:val="000000"/>
                <w:sz w:val="16"/>
                <w:szCs w:val="16"/>
              </w:rPr>
              <w:t>39</w:t>
            </w:r>
          </w:p>
        </w:tc>
        <w:tc>
          <w:tcPr>
            <w:tcW w:w="532" w:type="dxa"/>
            <w:tcBorders>
              <w:top w:val="nil"/>
              <w:left w:val="nil"/>
              <w:bottom w:val="nil"/>
              <w:right w:val="nil"/>
            </w:tcBorders>
            <w:shd w:val="clear" w:color="auto" w:fill="auto"/>
            <w:noWrap/>
            <w:vAlign w:val="bottom"/>
          </w:tcPr>
          <w:p w14:paraId="662AB0A7"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r w:rsidRPr="00747E35">
              <w:rPr>
                <w:rFonts w:asciiTheme="minorHAnsi" w:hAnsiTheme="minorHAnsi" w:cstheme="minorHAnsi"/>
                <w:color w:val="000000"/>
                <w:sz w:val="16"/>
                <w:szCs w:val="16"/>
              </w:rPr>
              <w:t>24</w:t>
            </w:r>
          </w:p>
        </w:tc>
      </w:tr>
      <w:tr w:rsidR="003D3694" w:rsidRPr="00747E35" w14:paraId="3F7AE477" w14:textId="77777777" w:rsidTr="0096743A">
        <w:trPr>
          <w:trHeight w:val="227"/>
        </w:trPr>
        <w:tc>
          <w:tcPr>
            <w:tcW w:w="1433" w:type="dxa"/>
            <w:tcBorders>
              <w:top w:val="nil"/>
              <w:left w:val="nil"/>
              <w:bottom w:val="nil"/>
              <w:right w:val="nil"/>
            </w:tcBorders>
            <w:shd w:val="clear" w:color="auto" w:fill="auto"/>
            <w:noWrap/>
            <w:vAlign w:val="bottom"/>
            <w:hideMark/>
          </w:tcPr>
          <w:p w14:paraId="23A230E0"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Sb</w:t>
            </w:r>
          </w:p>
        </w:tc>
        <w:tc>
          <w:tcPr>
            <w:tcW w:w="1417" w:type="dxa"/>
            <w:tcBorders>
              <w:top w:val="nil"/>
              <w:left w:val="nil"/>
              <w:bottom w:val="nil"/>
              <w:right w:val="nil"/>
            </w:tcBorders>
            <w:shd w:val="clear" w:color="auto" w:fill="auto"/>
            <w:noWrap/>
            <w:vAlign w:val="bottom"/>
            <w:hideMark/>
          </w:tcPr>
          <w:p w14:paraId="2039B4C7"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Stygobite</w:t>
            </w:r>
          </w:p>
        </w:tc>
        <w:tc>
          <w:tcPr>
            <w:tcW w:w="1985" w:type="dxa"/>
            <w:tcBorders>
              <w:top w:val="nil"/>
              <w:left w:val="nil"/>
              <w:bottom w:val="nil"/>
              <w:right w:val="nil"/>
            </w:tcBorders>
            <w:shd w:val="clear" w:color="auto" w:fill="auto"/>
            <w:noWrap/>
            <w:vAlign w:val="bottom"/>
            <w:hideMark/>
          </w:tcPr>
          <w:p w14:paraId="60D900FF"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p>
        </w:tc>
        <w:tc>
          <w:tcPr>
            <w:tcW w:w="2551" w:type="dxa"/>
            <w:tcBorders>
              <w:top w:val="nil"/>
              <w:left w:val="nil"/>
              <w:bottom w:val="nil"/>
              <w:right w:val="nil"/>
            </w:tcBorders>
            <w:shd w:val="clear" w:color="auto" w:fill="auto"/>
            <w:noWrap/>
            <w:vAlign w:val="bottom"/>
            <w:hideMark/>
          </w:tcPr>
          <w:p w14:paraId="00081427" w14:textId="77777777" w:rsidR="003D3694" w:rsidRPr="00747E35" w:rsidRDefault="003D3694" w:rsidP="0096743A">
            <w:pPr>
              <w:autoSpaceDE/>
              <w:autoSpaceDN/>
              <w:spacing w:after="0"/>
              <w:jc w:val="right"/>
              <w:rPr>
                <w:rFonts w:asciiTheme="minorHAnsi" w:eastAsia="Times New Roman" w:hAnsiTheme="minorHAnsi" w:cstheme="minorHAnsi"/>
                <w:color w:val="000000"/>
                <w:sz w:val="16"/>
                <w:szCs w:val="16"/>
                <w:lang w:eastAsia="en-AU"/>
              </w:rPr>
            </w:pPr>
            <w:r w:rsidRPr="00747E35">
              <w:rPr>
                <w:rFonts w:asciiTheme="minorHAnsi" w:hAnsiTheme="minorHAnsi" w:cstheme="minorHAnsi"/>
                <w:color w:val="000000"/>
                <w:sz w:val="16"/>
                <w:szCs w:val="16"/>
              </w:rPr>
              <w:t>Total families</w:t>
            </w:r>
          </w:p>
        </w:tc>
        <w:tc>
          <w:tcPr>
            <w:tcW w:w="851" w:type="dxa"/>
            <w:tcBorders>
              <w:top w:val="nil"/>
              <w:left w:val="nil"/>
              <w:bottom w:val="nil"/>
              <w:right w:val="nil"/>
            </w:tcBorders>
            <w:shd w:val="clear" w:color="auto" w:fill="auto"/>
            <w:noWrap/>
            <w:vAlign w:val="bottom"/>
          </w:tcPr>
          <w:p w14:paraId="50F9C3A8"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425" w:type="dxa"/>
            <w:tcBorders>
              <w:top w:val="nil"/>
              <w:left w:val="nil"/>
              <w:bottom w:val="nil"/>
              <w:right w:val="nil"/>
            </w:tcBorders>
            <w:shd w:val="clear" w:color="auto" w:fill="auto"/>
            <w:noWrap/>
            <w:vAlign w:val="bottom"/>
          </w:tcPr>
          <w:p w14:paraId="18D3D34F"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r w:rsidRPr="00747E35">
              <w:rPr>
                <w:rFonts w:asciiTheme="minorHAnsi" w:hAnsiTheme="minorHAnsi" w:cstheme="minorHAnsi"/>
                <w:color w:val="000000"/>
                <w:sz w:val="16"/>
                <w:szCs w:val="16"/>
              </w:rPr>
              <w:t>31</w:t>
            </w:r>
          </w:p>
        </w:tc>
        <w:tc>
          <w:tcPr>
            <w:tcW w:w="567" w:type="dxa"/>
            <w:tcBorders>
              <w:top w:val="nil"/>
              <w:left w:val="nil"/>
              <w:bottom w:val="nil"/>
              <w:right w:val="nil"/>
            </w:tcBorders>
            <w:shd w:val="clear" w:color="auto" w:fill="auto"/>
            <w:noWrap/>
            <w:vAlign w:val="bottom"/>
          </w:tcPr>
          <w:p w14:paraId="115E458F"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r w:rsidRPr="00747E35">
              <w:rPr>
                <w:rFonts w:asciiTheme="minorHAnsi" w:hAnsiTheme="minorHAnsi" w:cstheme="minorHAnsi"/>
                <w:color w:val="000000"/>
                <w:sz w:val="16"/>
                <w:szCs w:val="16"/>
              </w:rPr>
              <w:t>33</w:t>
            </w:r>
          </w:p>
        </w:tc>
        <w:tc>
          <w:tcPr>
            <w:tcW w:w="532" w:type="dxa"/>
            <w:tcBorders>
              <w:top w:val="nil"/>
              <w:left w:val="nil"/>
              <w:bottom w:val="nil"/>
              <w:right w:val="nil"/>
            </w:tcBorders>
            <w:shd w:val="clear" w:color="auto" w:fill="auto"/>
            <w:noWrap/>
            <w:vAlign w:val="bottom"/>
          </w:tcPr>
          <w:p w14:paraId="689F39D7"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r w:rsidRPr="00747E35">
              <w:rPr>
                <w:rFonts w:asciiTheme="minorHAnsi" w:hAnsiTheme="minorHAnsi" w:cstheme="minorHAnsi"/>
                <w:color w:val="000000"/>
                <w:sz w:val="16"/>
                <w:szCs w:val="16"/>
              </w:rPr>
              <w:t>21</w:t>
            </w:r>
          </w:p>
        </w:tc>
      </w:tr>
      <w:tr w:rsidR="003D3694" w:rsidRPr="00747E35" w14:paraId="675FDC26" w14:textId="77777777" w:rsidTr="0096743A">
        <w:trPr>
          <w:trHeight w:val="227"/>
        </w:trPr>
        <w:tc>
          <w:tcPr>
            <w:tcW w:w="1433" w:type="dxa"/>
            <w:tcBorders>
              <w:top w:val="nil"/>
              <w:left w:val="nil"/>
              <w:bottom w:val="nil"/>
              <w:right w:val="nil"/>
            </w:tcBorders>
            <w:shd w:val="clear" w:color="auto" w:fill="auto"/>
            <w:noWrap/>
            <w:vAlign w:val="bottom"/>
            <w:hideMark/>
          </w:tcPr>
          <w:p w14:paraId="689B90A1"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Sp</w:t>
            </w:r>
          </w:p>
        </w:tc>
        <w:tc>
          <w:tcPr>
            <w:tcW w:w="1417" w:type="dxa"/>
            <w:tcBorders>
              <w:top w:val="nil"/>
              <w:left w:val="nil"/>
              <w:bottom w:val="nil"/>
              <w:right w:val="nil"/>
            </w:tcBorders>
            <w:shd w:val="clear" w:color="auto" w:fill="auto"/>
            <w:noWrap/>
            <w:vAlign w:val="bottom"/>
            <w:hideMark/>
          </w:tcPr>
          <w:p w14:paraId="330863CE"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Stygophile</w:t>
            </w:r>
          </w:p>
        </w:tc>
        <w:tc>
          <w:tcPr>
            <w:tcW w:w="1985" w:type="dxa"/>
            <w:tcBorders>
              <w:top w:val="nil"/>
              <w:left w:val="nil"/>
              <w:bottom w:val="nil"/>
              <w:right w:val="nil"/>
            </w:tcBorders>
            <w:shd w:val="clear" w:color="auto" w:fill="auto"/>
            <w:noWrap/>
            <w:vAlign w:val="bottom"/>
            <w:hideMark/>
          </w:tcPr>
          <w:p w14:paraId="63E99E37"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p>
        </w:tc>
        <w:tc>
          <w:tcPr>
            <w:tcW w:w="2551" w:type="dxa"/>
            <w:tcBorders>
              <w:top w:val="nil"/>
              <w:left w:val="nil"/>
              <w:bottom w:val="nil"/>
              <w:right w:val="nil"/>
            </w:tcBorders>
            <w:shd w:val="clear" w:color="auto" w:fill="auto"/>
            <w:noWrap/>
            <w:vAlign w:val="bottom"/>
            <w:hideMark/>
          </w:tcPr>
          <w:p w14:paraId="14678FA8"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p>
        </w:tc>
        <w:tc>
          <w:tcPr>
            <w:tcW w:w="851" w:type="dxa"/>
            <w:tcBorders>
              <w:top w:val="nil"/>
              <w:left w:val="nil"/>
              <w:bottom w:val="nil"/>
              <w:right w:val="nil"/>
            </w:tcBorders>
            <w:shd w:val="clear" w:color="auto" w:fill="auto"/>
            <w:noWrap/>
            <w:vAlign w:val="bottom"/>
            <w:hideMark/>
          </w:tcPr>
          <w:p w14:paraId="63FED42E"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425" w:type="dxa"/>
            <w:tcBorders>
              <w:top w:val="nil"/>
              <w:left w:val="nil"/>
              <w:bottom w:val="nil"/>
              <w:right w:val="nil"/>
            </w:tcBorders>
            <w:shd w:val="clear" w:color="auto" w:fill="auto"/>
            <w:noWrap/>
            <w:vAlign w:val="bottom"/>
            <w:hideMark/>
          </w:tcPr>
          <w:p w14:paraId="421ED2BC"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67" w:type="dxa"/>
            <w:tcBorders>
              <w:top w:val="nil"/>
              <w:left w:val="nil"/>
              <w:bottom w:val="nil"/>
              <w:right w:val="nil"/>
            </w:tcBorders>
            <w:shd w:val="clear" w:color="auto" w:fill="auto"/>
            <w:noWrap/>
            <w:vAlign w:val="bottom"/>
            <w:hideMark/>
          </w:tcPr>
          <w:p w14:paraId="338750F6"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32" w:type="dxa"/>
            <w:tcBorders>
              <w:top w:val="nil"/>
              <w:left w:val="nil"/>
              <w:bottom w:val="nil"/>
              <w:right w:val="nil"/>
            </w:tcBorders>
            <w:shd w:val="clear" w:color="auto" w:fill="auto"/>
            <w:noWrap/>
            <w:vAlign w:val="bottom"/>
            <w:hideMark/>
          </w:tcPr>
          <w:p w14:paraId="6939BEF6"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r>
      <w:tr w:rsidR="003D3694" w:rsidRPr="00747E35" w14:paraId="27779F27" w14:textId="77777777" w:rsidTr="0096743A">
        <w:trPr>
          <w:trHeight w:val="227"/>
        </w:trPr>
        <w:tc>
          <w:tcPr>
            <w:tcW w:w="1433" w:type="dxa"/>
            <w:tcBorders>
              <w:top w:val="nil"/>
              <w:left w:val="nil"/>
              <w:bottom w:val="nil"/>
              <w:right w:val="nil"/>
            </w:tcBorders>
            <w:shd w:val="clear" w:color="auto" w:fill="auto"/>
            <w:noWrap/>
            <w:vAlign w:val="bottom"/>
            <w:hideMark/>
          </w:tcPr>
          <w:p w14:paraId="638D9683"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Sp?</w:t>
            </w:r>
          </w:p>
        </w:tc>
        <w:tc>
          <w:tcPr>
            <w:tcW w:w="3402" w:type="dxa"/>
            <w:gridSpan w:val="2"/>
            <w:tcBorders>
              <w:top w:val="nil"/>
              <w:left w:val="nil"/>
              <w:bottom w:val="nil"/>
              <w:right w:val="nil"/>
            </w:tcBorders>
            <w:shd w:val="clear" w:color="auto" w:fill="auto"/>
            <w:noWrap/>
            <w:vAlign w:val="bottom"/>
            <w:hideMark/>
          </w:tcPr>
          <w:p w14:paraId="49D41155"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Stygophile (uncertain/inferred)</w:t>
            </w:r>
          </w:p>
        </w:tc>
        <w:tc>
          <w:tcPr>
            <w:tcW w:w="2551" w:type="dxa"/>
            <w:tcBorders>
              <w:top w:val="nil"/>
              <w:left w:val="nil"/>
              <w:bottom w:val="nil"/>
              <w:right w:val="nil"/>
            </w:tcBorders>
            <w:shd w:val="clear" w:color="auto" w:fill="auto"/>
            <w:noWrap/>
            <w:vAlign w:val="bottom"/>
            <w:hideMark/>
          </w:tcPr>
          <w:p w14:paraId="67A9B960"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p>
        </w:tc>
        <w:tc>
          <w:tcPr>
            <w:tcW w:w="851" w:type="dxa"/>
            <w:tcBorders>
              <w:top w:val="nil"/>
              <w:left w:val="nil"/>
              <w:bottom w:val="nil"/>
              <w:right w:val="nil"/>
            </w:tcBorders>
            <w:shd w:val="clear" w:color="auto" w:fill="auto"/>
            <w:noWrap/>
            <w:vAlign w:val="bottom"/>
            <w:hideMark/>
          </w:tcPr>
          <w:p w14:paraId="75398D5C"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425" w:type="dxa"/>
            <w:tcBorders>
              <w:top w:val="nil"/>
              <w:left w:val="nil"/>
              <w:bottom w:val="nil"/>
              <w:right w:val="nil"/>
            </w:tcBorders>
            <w:shd w:val="clear" w:color="auto" w:fill="auto"/>
            <w:noWrap/>
            <w:vAlign w:val="bottom"/>
            <w:hideMark/>
          </w:tcPr>
          <w:p w14:paraId="3BF0FB6F"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67" w:type="dxa"/>
            <w:tcBorders>
              <w:top w:val="nil"/>
              <w:left w:val="nil"/>
              <w:bottom w:val="nil"/>
              <w:right w:val="nil"/>
            </w:tcBorders>
            <w:shd w:val="clear" w:color="auto" w:fill="auto"/>
            <w:noWrap/>
            <w:vAlign w:val="bottom"/>
            <w:hideMark/>
          </w:tcPr>
          <w:p w14:paraId="26EA924A"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32" w:type="dxa"/>
            <w:tcBorders>
              <w:top w:val="nil"/>
              <w:left w:val="nil"/>
              <w:bottom w:val="nil"/>
              <w:right w:val="nil"/>
            </w:tcBorders>
            <w:shd w:val="clear" w:color="auto" w:fill="auto"/>
            <w:noWrap/>
            <w:vAlign w:val="bottom"/>
            <w:hideMark/>
          </w:tcPr>
          <w:p w14:paraId="0FFAE6DE"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r>
      <w:tr w:rsidR="003D3694" w:rsidRPr="00747E35" w14:paraId="63B7CEE5" w14:textId="77777777" w:rsidTr="0096743A">
        <w:trPr>
          <w:trHeight w:val="227"/>
        </w:trPr>
        <w:tc>
          <w:tcPr>
            <w:tcW w:w="1433" w:type="dxa"/>
            <w:tcBorders>
              <w:top w:val="nil"/>
              <w:left w:val="nil"/>
              <w:bottom w:val="nil"/>
              <w:right w:val="nil"/>
            </w:tcBorders>
            <w:shd w:val="clear" w:color="auto" w:fill="auto"/>
            <w:noWrap/>
            <w:vAlign w:val="bottom"/>
            <w:hideMark/>
          </w:tcPr>
          <w:p w14:paraId="3321601A"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Sp/Sb?</w:t>
            </w:r>
          </w:p>
        </w:tc>
        <w:tc>
          <w:tcPr>
            <w:tcW w:w="3402" w:type="dxa"/>
            <w:gridSpan w:val="2"/>
            <w:tcBorders>
              <w:top w:val="nil"/>
              <w:left w:val="nil"/>
              <w:bottom w:val="nil"/>
              <w:right w:val="nil"/>
            </w:tcBorders>
            <w:shd w:val="clear" w:color="auto" w:fill="auto"/>
            <w:noWrap/>
            <w:vAlign w:val="bottom"/>
            <w:hideMark/>
          </w:tcPr>
          <w:p w14:paraId="2270A37C"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Stygophile/possible Stygobite</w:t>
            </w:r>
          </w:p>
        </w:tc>
        <w:tc>
          <w:tcPr>
            <w:tcW w:w="2551" w:type="dxa"/>
            <w:tcBorders>
              <w:top w:val="nil"/>
              <w:left w:val="nil"/>
              <w:bottom w:val="nil"/>
              <w:right w:val="nil"/>
            </w:tcBorders>
            <w:shd w:val="clear" w:color="auto" w:fill="auto"/>
            <w:noWrap/>
            <w:vAlign w:val="bottom"/>
            <w:hideMark/>
          </w:tcPr>
          <w:p w14:paraId="563C7DF3"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p>
        </w:tc>
        <w:tc>
          <w:tcPr>
            <w:tcW w:w="851" w:type="dxa"/>
            <w:tcBorders>
              <w:top w:val="nil"/>
              <w:left w:val="nil"/>
              <w:bottom w:val="nil"/>
              <w:right w:val="nil"/>
            </w:tcBorders>
            <w:shd w:val="clear" w:color="auto" w:fill="auto"/>
            <w:noWrap/>
            <w:vAlign w:val="bottom"/>
            <w:hideMark/>
          </w:tcPr>
          <w:p w14:paraId="69B8AC11"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425" w:type="dxa"/>
            <w:tcBorders>
              <w:top w:val="nil"/>
              <w:left w:val="nil"/>
              <w:bottom w:val="nil"/>
              <w:right w:val="nil"/>
            </w:tcBorders>
            <w:shd w:val="clear" w:color="auto" w:fill="auto"/>
            <w:noWrap/>
            <w:vAlign w:val="bottom"/>
            <w:hideMark/>
          </w:tcPr>
          <w:p w14:paraId="6CADEB61"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67" w:type="dxa"/>
            <w:tcBorders>
              <w:top w:val="nil"/>
              <w:left w:val="nil"/>
              <w:bottom w:val="nil"/>
              <w:right w:val="nil"/>
            </w:tcBorders>
            <w:shd w:val="clear" w:color="auto" w:fill="auto"/>
            <w:noWrap/>
            <w:vAlign w:val="bottom"/>
            <w:hideMark/>
          </w:tcPr>
          <w:p w14:paraId="672BD4F5"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32" w:type="dxa"/>
            <w:tcBorders>
              <w:top w:val="nil"/>
              <w:left w:val="nil"/>
              <w:bottom w:val="nil"/>
              <w:right w:val="nil"/>
            </w:tcBorders>
            <w:shd w:val="clear" w:color="auto" w:fill="auto"/>
            <w:noWrap/>
            <w:vAlign w:val="bottom"/>
            <w:hideMark/>
          </w:tcPr>
          <w:p w14:paraId="1795AA6D"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r>
      <w:tr w:rsidR="003D3694" w:rsidRPr="00747E35" w14:paraId="1401E787" w14:textId="77777777" w:rsidTr="0096743A">
        <w:trPr>
          <w:trHeight w:val="227"/>
        </w:trPr>
        <w:tc>
          <w:tcPr>
            <w:tcW w:w="1433" w:type="dxa"/>
            <w:tcBorders>
              <w:top w:val="nil"/>
              <w:left w:val="nil"/>
              <w:bottom w:val="nil"/>
              <w:right w:val="nil"/>
            </w:tcBorders>
            <w:shd w:val="clear" w:color="auto" w:fill="auto"/>
            <w:noWrap/>
            <w:vAlign w:val="bottom"/>
            <w:hideMark/>
          </w:tcPr>
          <w:p w14:paraId="1D8902FB"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Sx</w:t>
            </w:r>
          </w:p>
        </w:tc>
        <w:tc>
          <w:tcPr>
            <w:tcW w:w="1417" w:type="dxa"/>
            <w:tcBorders>
              <w:top w:val="nil"/>
              <w:left w:val="nil"/>
              <w:bottom w:val="nil"/>
              <w:right w:val="nil"/>
            </w:tcBorders>
            <w:shd w:val="clear" w:color="auto" w:fill="auto"/>
            <w:noWrap/>
            <w:vAlign w:val="bottom"/>
            <w:hideMark/>
          </w:tcPr>
          <w:p w14:paraId="2C441E38"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Stygoxene</w:t>
            </w:r>
          </w:p>
        </w:tc>
        <w:tc>
          <w:tcPr>
            <w:tcW w:w="1985" w:type="dxa"/>
            <w:tcBorders>
              <w:top w:val="nil"/>
              <w:left w:val="nil"/>
              <w:bottom w:val="nil"/>
              <w:right w:val="nil"/>
            </w:tcBorders>
            <w:shd w:val="clear" w:color="auto" w:fill="auto"/>
            <w:noWrap/>
            <w:vAlign w:val="bottom"/>
            <w:hideMark/>
          </w:tcPr>
          <w:p w14:paraId="4C480550"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p>
        </w:tc>
        <w:tc>
          <w:tcPr>
            <w:tcW w:w="2551" w:type="dxa"/>
            <w:tcBorders>
              <w:top w:val="nil"/>
              <w:left w:val="nil"/>
              <w:bottom w:val="nil"/>
              <w:right w:val="nil"/>
            </w:tcBorders>
            <w:shd w:val="clear" w:color="auto" w:fill="auto"/>
            <w:noWrap/>
            <w:vAlign w:val="bottom"/>
            <w:hideMark/>
          </w:tcPr>
          <w:p w14:paraId="0200A608"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p>
        </w:tc>
        <w:tc>
          <w:tcPr>
            <w:tcW w:w="851" w:type="dxa"/>
            <w:tcBorders>
              <w:top w:val="nil"/>
              <w:left w:val="nil"/>
              <w:bottom w:val="nil"/>
              <w:right w:val="nil"/>
            </w:tcBorders>
            <w:shd w:val="clear" w:color="auto" w:fill="auto"/>
            <w:noWrap/>
            <w:vAlign w:val="bottom"/>
            <w:hideMark/>
          </w:tcPr>
          <w:p w14:paraId="6DEE3DD2"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425" w:type="dxa"/>
            <w:tcBorders>
              <w:top w:val="nil"/>
              <w:left w:val="nil"/>
              <w:bottom w:val="nil"/>
              <w:right w:val="nil"/>
            </w:tcBorders>
            <w:shd w:val="clear" w:color="auto" w:fill="auto"/>
            <w:noWrap/>
            <w:vAlign w:val="bottom"/>
            <w:hideMark/>
          </w:tcPr>
          <w:p w14:paraId="67C694FB"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67" w:type="dxa"/>
            <w:tcBorders>
              <w:top w:val="nil"/>
              <w:left w:val="nil"/>
              <w:bottom w:val="nil"/>
              <w:right w:val="nil"/>
            </w:tcBorders>
            <w:shd w:val="clear" w:color="auto" w:fill="auto"/>
            <w:noWrap/>
            <w:vAlign w:val="bottom"/>
            <w:hideMark/>
          </w:tcPr>
          <w:p w14:paraId="484E3D1F"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32" w:type="dxa"/>
            <w:tcBorders>
              <w:top w:val="nil"/>
              <w:left w:val="nil"/>
              <w:bottom w:val="nil"/>
              <w:right w:val="nil"/>
            </w:tcBorders>
            <w:shd w:val="clear" w:color="auto" w:fill="auto"/>
            <w:noWrap/>
            <w:vAlign w:val="bottom"/>
            <w:hideMark/>
          </w:tcPr>
          <w:p w14:paraId="7C8BA33A"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r>
      <w:tr w:rsidR="003D3694" w:rsidRPr="00747E35" w14:paraId="30FD9B65" w14:textId="77777777" w:rsidTr="0096743A">
        <w:trPr>
          <w:trHeight w:val="227"/>
        </w:trPr>
        <w:tc>
          <w:tcPr>
            <w:tcW w:w="1433" w:type="dxa"/>
            <w:tcBorders>
              <w:top w:val="nil"/>
              <w:left w:val="nil"/>
              <w:bottom w:val="nil"/>
              <w:right w:val="nil"/>
            </w:tcBorders>
            <w:shd w:val="clear" w:color="auto" w:fill="auto"/>
            <w:noWrap/>
            <w:vAlign w:val="bottom"/>
            <w:hideMark/>
          </w:tcPr>
          <w:p w14:paraId="281BD879"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Sx?</w:t>
            </w:r>
          </w:p>
        </w:tc>
        <w:tc>
          <w:tcPr>
            <w:tcW w:w="3402" w:type="dxa"/>
            <w:gridSpan w:val="2"/>
            <w:tcBorders>
              <w:top w:val="nil"/>
              <w:left w:val="nil"/>
              <w:bottom w:val="nil"/>
              <w:right w:val="nil"/>
            </w:tcBorders>
            <w:shd w:val="clear" w:color="auto" w:fill="auto"/>
            <w:noWrap/>
            <w:vAlign w:val="bottom"/>
            <w:hideMark/>
          </w:tcPr>
          <w:p w14:paraId="4F4C56CC"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Stygoxene (uncertain/inferred)</w:t>
            </w:r>
          </w:p>
        </w:tc>
        <w:tc>
          <w:tcPr>
            <w:tcW w:w="2551" w:type="dxa"/>
            <w:tcBorders>
              <w:top w:val="nil"/>
              <w:left w:val="nil"/>
              <w:bottom w:val="nil"/>
              <w:right w:val="nil"/>
            </w:tcBorders>
            <w:shd w:val="clear" w:color="auto" w:fill="auto"/>
            <w:noWrap/>
            <w:vAlign w:val="bottom"/>
            <w:hideMark/>
          </w:tcPr>
          <w:p w14:paraId="3EAABCD5"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p>
        </w:tc>
        <w:tc>
          <w:tcPr>
            <w:tcW w:w="851" w:type="dxa"/>
            <w:tcBorders>
              <w:top w:val="nil"/>
              <w:left w:val="nil"/>
              <w:bottom w:val="nil"/>
              <w:right w:val="nil"/>
            </w:tcBorders>
            <w:shd w:val="clear" w:color="auto" w:fill="auto"/>
            <w:noWrap/>
            <w:vAlign w:val="bottom"/>
            <w:hideMark/>
          </w:tcPr>
          <w:p w14:paraId="371B005C"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425" w:type="dxa"/>
            <w:tcBorders>
              <w:top w:val="nil"/>
              <w:left w:val="nil"/>
              <w:bottom w:val="nil"/>
              <w:right w:val="nil"/>
            </w:tcBorders>
            <w:shd w:val="clear" w:color="auto" w:fill="auto"/>
            <w:noWrap/>
            <w:vAlign w:val="bottom"/>
            <w:hideMark/>
          </w:tcPr>
          <w:p w14:paraId="21E9A01E"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67" w:type="dxa"/>
            <w:tcBorders>
              <w:top w:val="nil"/>
              <w:left w:val="nil"/>
              <w:bottom w:val="nil"/>
              <w:right w:val="nil"/>
            </w:tcBorders>
            <w:shd w:val="clear" w:color="auto" w:fill="auto"/>
            <w:noWrap/>
            <w:vAlign w:val="bottom"/>
            <w:hideMark/>
          </w:tcPr>
          <w:p w14:paraId="1AB05872"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32" w:type="dxa"/>
            <w:tcBorders>
              <w:top w:val="nil"/>
              <w:left w:val="nil"/>
              <w:bottom w:val="nil"/>
              <w:right w:val="nil"/>
            </w:tcBorders>
            <w:shd w:val="clear" w:color="auto" w:fill="auto"/>
            <w:noWrap/>
            <w:vAlign w:val="bottom"/>
            <w:hideMark/>
          </w:tcPr>
          <w:p w14:paraId="7A3DD411"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r>
      <w:tr w:rsidR="003D3694" w:rsidRPr="00747E35" w14:paraId="3A258F13" w14:textId="77777777" w:rsidTr="0096743A">
        <w:trPr>
          <w:trHeight w:val="227"/>
        </w:trPr>
        <w:tc>
          <w:tcPr>
            <w:tcW w:w="1433" w:type="dxa"/>
            <w:tcBorders>
              <w:top w:val="nil"/>
              <w:left w:val="nil"/>
              <w:bottom w:val="nil"/>
              <w:right w:val="nil"/>
            </w:tcBorders>
            <w:shd w:val="clear" w:color="auto" w:fill="auto"/>
            <w:noWrap/>
            <w:vAlign w:val="bottom"/>
            <w:hideMark/>
          </w:tcPr>
          <w:p w14:paraId="0C3F380D"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Sx/Sp?</w:t>
            </w:r>
          </w:p>
        </w:tc>
        <w:tc>
          <w:tcPr>
            <w:tcW w:w="3402" w:type="dxa"/>
            <w:gridSpan w:val="2"/>
            <w:tcBorders>
              <w:top w:val="nil"/>
              <w:left w:val="nil"/>
              <w:bottom w:val="nil"/>
              <w:right w:val="nil"/>
            </w:tcBorders>
            <w:shd w:val="clear" w:color="auto" w:fill="auto"/>
            <w:noWrap/>
            <w:vAlign w:val="bottom"/>
            <w:hideMark/>
          </w:tcPr>
          <w:p w14:paraId="705613B3"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Stygoxene/possible Stygophile</w:t>
            </w:r>
          </w:p>
        </w:tc>
        <w:tc>
          <w:tcPr>
            <w:tcW w:w="2551" w:type="dxa"/>
            <w:tcBorders>
              <w:top w:val="nil"/>
              <w:left w:val="nil"/>
              <w:bottom w:val="nil"/>
              <w:right w:val="nil"/>
            </w:tcBorders>
            <w:shd w:val="clear" w:color="auto" w:fill="auto"/>
            <w:noWrap/>
            <w:vAlign w:val="bottom"/>
            <w:hideMark/>
          </w:tcPr>
          <w:p w14:paraId="313EB715"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p>
        </w:tc>
        <w:tc>
          <w:tcPr>
            <w:tcW w:w="851" w:type="dxa"/>
            <w:tcBorders>
              <w:top w:val="nil"/>
              <w:left w:val="nil"/>
              <w:bottom w:val="nil"/>
              <w:right w:val="nil"/>
            </w:tcBorders>
            <w:shd w:val="clear" w:color="auto" w:fill="auto"/>
            <w:noWrap/>
            <w:vAlign w:val="bottom"/>
            <w:hideMark/>
          </w:tcPr>
          <w:p w14:paraId="4E02809D"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425" w:type="dxa"/>
            <w:tcBorders>
              <w:top w:val="nil"/>
              <w:left w:val="nil"/>
              <w:bottom w:val="nil"/>
              <w:right w:val="nil"/>
            </w:tcBorders>
            <w:shd w:val="clear" w:color="auto" w:fill="auto"/>
            <w:noWrap/>
            <w:vAlign w:val="bottom"/>
            <w:hideMark/>
          </w:tcPr>
          <w:p w14:paraId="510CD4A9"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67" w:type="dxa"/>
            <w:tcBorders>
              <w:top w:val="nil"/>
              <w:left w:val="nil"/>
              <w:bottom w:val="nil"/>
              <w:right w:val="nil"/>
            </w:tcBorders>
            <w:shd w:val="clear" w:color="auto" w:fill="auto"/>
            <w:noWrap/>
            <w:vAlign w:val="bottom"/>
            <w:hideMark/>
          </w:tcPr>
          <w:p w14:paraId="74473820"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32" w:type="dxa"/>
            <w:tcBorders>
              <w:top w:val="nil"/>
              <w:left w:val="nil"/>
              <w:bottom w:val="nil"/>
              <w:right w:val="nil"/>
            </w:tcBorders>
            <w:shd w:val="clear" w:color="auto" w:fill="auto"/>
            <w:noWrap/>
            <w:vAlign w:val="bottom"/>
            <w:hideMark/>
          </w:tcPr>
          <w:p w14:paraId="6B411092"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r>
      <w:tr w:rsidR="003D3694" w:rsidRPr="00747E35" w14:paraId="06C573F7" w14:textId="77777777" w:rsidTr="0096743A">
        <w:trPr>
          <w:trHeight w:val="227"/>
        </w:trPr>
        <w:tc>
          <w:tcPr>
            <w:tcW w:w="1433" w:type="dxa"/>
            <w:tcBorders>
              <w:top w:val="nil"/>
              <w:left w:val="nil"/>
              <w:bottom w:val="nil"/>
              <w:right w:val="nil"/>
            </w:tcBorders>
            <w:shd w:val="clear" w:color="auto" w:fill="auto"/>
            <w:noWrap/>
            <w:vAlign w:val="bottom"/>
            <w:hideMark/>
          </w:tcPr>
          <w:p w14:paraId="4DEEA43E"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Ep</w:t>
            </w:r>
          </w:p>
        </w:tc>
        <w:tc>
          <w:tcPr>
            <w:tcW w:w="1417" w:type="dxa"/>
            <w:tcBorders>
              <w:top w:val="nil"/>
              <w:left w:val="nil"/>
              <w:bottom w:val="nil"/>
              <w:right w:val="nil"/>
            </w:tcBorders>
            <w:shd w:val="clear" w:color="auto" w:fill="auto"/>
            <w:noWrap/>
            <w:vAlign w:val="bottom"/>
            <w:hideMark/>
          </w:tcPr>
          <w:p w14:paraId="571FBE48"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Epigean</w:t>
            </w:r>
          </w:p>
        </w:tc>
        <w:tc>
          <w:tcPr>
            <w:tcW w:w="1985" w:type="dxa"/>
            <w:tcBorders>
              <w:top w:val="nil"/>
              <w:left w:val="nil"/>
              <w:bottom w:val="nil"/>
              <w:right w:val="nil"/>
            </w:tcBorders>
            <w:shd w:val="clear" w:color="auto" w:fill="auto"/>
            <w:noWrap/>
            <w:vAlign w:val="bottom"/>
            <w:hideMark/>
          </w:tcPr>
          <w:p w14:paraId="77D3AF3D"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p>
        </w:tc>
        <w:tc>
          <w:tcPr>
            <w:tcW w:w="2551" w:type="dxa"/>
            <w:tcBorders>
              <w:top w:val="nil"/>
              <w:left w:val="nil"/>
              <w:bottom w:val="nil"/>
              <w:right w:val="nil"/>
            </w:tcBorders>
            <w:shd w:val="clear" w:color="auto" w:fill="auto"/>
            <w:noWrap/>
            <w:vAlign w:val="bottom"/>
            <w:hideMark/>
          </w:tcPr>
          <w:p w14:paraId="0EF6A442"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p>
        </w:tc>
        <w:tc>
          <w:tcPr>
            <w:tcW w:w="851" w:type="dxa"/>
            <w:tcBorders>
              <w:top w:val="nil"/>
              <w:left w:val="nil"/>
              <w:bottom w:val="nil"/>
              <w:right w:val="nil"/>
            </w:tcBorders>
            <w:shd w:val="clear" w:color="auto" w:fill="auto"/>
            <w:noWrap/>
            <w:vAlign w:val="bottom"/>
            <w:hideMark/>
          </w:tcPr>
          <w:p w14:paraId="27083D70"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425" w:type="dxa"/>
            <w:tcBorders>
              <w:top w:val="nil"/>
              <w:left w:val="nil"/>
              <w:bottom w:val="nil"/>
              <w:right w:val="nil"/>
            </w:tcBorders>
            <w:shd w:val="clear" w:color="auto" w:fill="auto"/>
            <w:noWrap/>
            <w:vAlign w:val="bottom"/>
            <w:hideMark/>
          </w:tcPr>
          <w:p w14:paraId="0229B3C7"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67" w:type="dxa"/>
            <w:tcBorders>
              <w:top w:val="nil"/>
              <w:left w:val="nil"/>
              <w:bottom w:val="nil"/>
              <w:right w:val="nil"/>
            </w:tcBorders>
            <w:shd w:val="clear" w:color="auto" w:fill="auto"/>
            <w:noWrap/>
            <w:vAlign w:val="bottom"/>
            <w:hideMark/>
          </w:tcPr>
          <w:p w14:paraId="14E294B7"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32" w:type="dxa"/>
            <w:tcBorders>
              <w:top w:val="nil"/>
              <w:left w:val="nil"/>
              <w:bottom w:val="nil"/>
              <w:right w:val="nil"/>
            </w:tcBorders>
            <w:shd w:val="clear" w:color="auto" w:fill="auto"/>
            <w:noWrap/>
            <w:vAlign w:val="bottom"/>
            <w:hideMark/>
          </w:tcPr>
          <w:p w14:paraId="536FE588"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r>
      <w:tr w:rsidR="003D3694" w:rsidRPr="00747E35" w14:paraId="7F2DDC67" w14:textId="77777777" w:rsidTr="0096743A">
        <w:trPr>
          <w:trHeight w:val="227"/>
        </w:trPr>
        <w:tc>
          <w:tcPr>
            <w:tcW w:w="1433" w:type="dxa"/>
            <w:tcBorders>
              <w:top w:val="nil"/>
              <w:left w:val="nil"/>
              <w:bottom w:val="nil"/>
              <w:right w:val="nil"/>
            </w:tcBorders>
            <w:shd w:val="clear" w:color="auto" w:fill="auto"/>
            <w:noWrap/>
            <w:vAlign w:val="bottom"/>
            <w:hideMark/>
          </w:tcPr>
          <w:p w14:paraId="5FFE913D"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P</w:t>
            </w:r>
          </w:p>
        </w:tc>
        <w:tc>
          <w:tcPr>
            <w:tcW w:w="1417" w:type="dxa"/>
            <w:tcBorders>
              <w:top w:val="nil"/>
              <w:left w:val="nil"/>
              <w:bottom w:val="nil"/>
              <w:right w:val="nil"/>
            </w:tcBorders>
            <w:shd w:val="clear" w:color="auto" w:fill="auto"/>
            <w:noWrap/>
            <w:vAlign w:val="bottom"/>
            <w:hideMark/>
          </w:tcPr>
          <w:p w14:paraId="4416A814"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Parasite</w:t>
            </w:r>
          </w:p>
        </w:tc>
        <w:tc>
          <w:tcPr>
            <w:tcW w:w="1985" w:type="dxa"/>
            <w:tcBorders>
              <w:top w:val="nil"/>
              <w:left w:val="nil"/>
              <w:bottom w:val="nil"/>
              <w:right w:val="nil"/>
            </w:tcBorders>
            <w:shd w:val="clear" w:color="auto" w:fill="auto"/>
            <w:noWrap/>
            <w:vAlign w:val="bottom"/>
            <w:hideMark/>
          </w:tcPr>
          <w:p w14:paraId="343AD5B7"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p>
        </w:tc>
        <w:tc>
          <w:tcPr>
            <w:tcW w:w="2551" w:type="dxa"/>
            <w:tcBorders>
              <w:top w:val="nil"/>
              <w:left w:val="nil"/>
              <w:bottom w:val="nil"/>
              <w:right w:val="nil"/>
            </w:tcBorders>
            <w:shd w:val="clear" w:color="auto" w:fill="auto"/>
            <w:noWrap/>
            <w:vAlign w:val="bottom"/>
            <w:hideMark/>
          </w:tcPr>
          <w:p w14:paraId="5025AE23"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p>
        </w:tc>
        <w:tc>
          <w:tcPr>
            <w:tcW w:w="851" w:type="dxa"/>
            <w:tcBorders>
              <w:top w:val="nil"/>
              <w:left w:val="nil"/>
              <w:bottom w:val="nil"/>
              <w:right w:val="nil"/>
            </w:tcBorders>
            <w:shd w:val="clear" w:color="auto" w:fill="auto"/>
            <w:noWrap/>
            <w:vAlign w:val="bottom"/>
            <w:hideMark/>
          </w:tcPr>
          <w:p w14:paraId="50965AB1"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425" w:type="dxa"/>
            <w:tcBorders>
              <w:top w:val="nil"/>
              <w:left w:val="nil"/>
              <w:bottom w:val="nil"/>
              <w:right w:val="nil"/>
            </w:tcBorders>
            <w:shd w:val="clear" w:color="auto" w:fill="auto"/>
            <w:noWrap/>
            <w:vAlign w:val="bottom"/>
            <w:hideMark/>
          </w:tcPr>
          <w:p w14:paraId="33221A4F"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67" w:type="dxa"/>
            <w:tcBorders>
              <w:top w:val="nil"/>
              <w:left w:val="nil"/>
              <w:bottom w:val="nil"/>
              <w:right w:val="nil"/>
            </w:tcBorders>
            <w:shd w:val="clear" w:color="auto" w:fill="auto"/>
            <w:noWrap/>
            <w:vAlign w:val="bottom"/>
            <w:hideMark/>
          </w:tcPr>
          <w:p w14:paraId="3E5812A7"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32" w:type="dxa"/>
            <w:tcBorders>
              <w:top w:val="nil"/>
              <w:left w:val="nil"/>
              <w:bottom w:val="nil"/>
              <w:right w:val="nil"/>
            </w:tcBorders>
            <w:shd w:val="clear" w:color="auto" w:fill="auto"/>
            <w:noWrap/>
            <w:vAlign w:val="bottom"/>
            <w:hideMark/>
          </w:tcPr>
          <w:p w14:paraId="53D07539"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r>
      <w:tr w:rsidR="003D3694" w:rsidRPr="00747E35" w14:paraId="48FCBE23" w14:textId="77777777" w:rsidTr="0096743A">
        <w:trPr>
          <w:trHeight w:val="227"/>
        </w:trPr>
        <w:tc>
          <w:tcPr>
            <w:tcW w:w="1433" w:type="dxa"/>
            <w:tcBorders>
              <w:top w:val="nil"/>
              <w:left w:val="nil"/>
              <w:bottom w:val="nil"/>
              <w:right w:val="nil"/>
            </w:tcBorders>
            <w:shd w:val="clear" w:color="auto" w:fill="auto"/>
            <w:noWrap/>
            <w:vAlign w:val="bottom"/>
            <w:hideMark/>
          </w:tcPr>
          <w:p w14:paraId="1D6D4D50"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Ac</w:t>
            </w:r>
          </w:p>
        </w:tc>
        <w:tc>
          <w:tcPr>
            <w:tcW w:w="3402" w:type="dxa"/>
            <w:gridSpan w:val="2"/>
            <w:tcBorders>
              <w:top w:val="nil"/>
              <w:left w:val="nil"/>
              <w:bottom w:val="nil"/>
              <w:right w:val="nil"/>
            </w:tcBorders>
            <w:shd w:val="clear" w:color="auto" w:fill="auto"/>
            <w:noWrap/>
            <w:vAlign w:val="bottom"/>
            <w:hideMark/>
          </w:tcPr>
          <w:p w14:paraId="053BAD24"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Accidental / Terrestrial</w:t>
            </w:r>
          </w:p>
        </w:tc>
        <w:tc>
          <w:tcPr>
            <w:tcW w:w="2551" w:type="dxa"/>
            <w:tcBorders>
              <w:top w:val="nil"/>
              <w:left w:val="nil"/>
              <w:bottom w:val="nil"/>
              <w:right w:val="nil"/>
            </w:tcBorders>
            <w:shd w:val="clear" w:color="auto" w:fill="auto"/>
            <w:noWrap/>
            <w:vAlign w:val="bottom"/>
            <w:hideMark/>
          </w:tcPr>
          <w:p w14:paraId="5D6DDE98"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p>
        </w:tc>
        <w:tc>
          <w:tcPr>
            <w:tcW w:w="851" w:type="dxa"/>
            <w:tcBorders>
              <w:top w:val="nil"/>
              <w:left w:val="nil"/>
              <w:bottom w:val="nil"/>
              <w:right w:val="nil"/>
            </w:tcBorders>
            <w:shd w:val="clear" w:color="auto" w:fill="auto"/>
            <w:noWrap/>
            <w:vAlign w:val="bottom"/>
            <w:hideMark/>
          </w:tcPr>
          <w:p w14:paraId="5B0166FA"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425" w:type="dxa"/>
            <w:tcBorders>
              <w:top w:val="nil"/>
              <w:left w:val="nil"/>
              <w:bottom w:val="nil"/>
              <w:right w:val="nil"/>
            </w:tcBorders>
            <w:shd w:val="clear" w:color="auto" w:fill="auto"/>
            <w:noWrap/>
            <w:vAlign w:val="bottom"/>
            <w:hideMark/>
          </w:tcPr>
          <w:p w14:paraId="5FD86507"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67" w:type="dxa"/>
            <w:tcBorders>
              <w:top w:val="nil"/>
              <w:left w:val="nil"/>
              <w:bottom w:val="nil"/>
              <w:right w:val="nil"/>
            </w:tcBorders>
            <w:shd w:val="clear" w:color="auto" w:fill="auto"/>
            <w:noWrap/>
            <w:vAlign w:val="bottom"/>
            <w:hideMark/>
          </w:tcPr>
          <w:p w14:paraId="0BA8A014"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32" w:type="dxa"/>
            <w:tcBorders>
              <w:top w:val="nil"/>
              <w:left w:val="nil"/>
              <w:bottom w:val="nil"/>
              <w:right w:val="nil"/>
            </w:tcBorders>
            <w:shd w:val="clear" w:color="auto" w:fill="auto"/>
            <w:noWrap/>
            <w:vAlign w:val="bottom"/>
            <w:hideMark/>
          </w:tcPr>
          <w:p w14:paraId="5F11CD45"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r>
      <w:tr w:rsidR="003D3694" w:rsidRPr="00747E35" w14:paraId="0B28B352" w14:textId="77777777" w:rsidTr="0096743A">
        <w:trPr>
          <w:trHeight w:val="227"/>
        </w:trPr>
        <w:tc>
          <w:tcPr>
            <w:tcW w:w="1433" w:type="dxa"/>
            <w:tcBorders>
              <w:top w:val="nil"/>
              <w:left w:val="nil"/>
              <w:bottom w:val="nil"/>
              <w:right w:val="nil"/>
            </w:tcBorders>
            <w:shd w:val="clear" w:color="auto" w:fill="auto"/>
            <w:noWrap/>
            <w:vAlign w:val="bottom"/>
            <w:hideMark/>
          </w:tcPr>
          <w:p w14:paraId="2317180A"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r w:rsidRPr="00747E35">
              <w:rPr>
                <w:rFonts w:asciiTheme="minorHAnsi" w:eastAsia="Times New Roman" w:hAnsiTheme="minorHAnsi" w:cstheme="minorHAnsi"/>
                <w:color w:val="000000"/>
                <w:sz w:val="16"/>
                <w:szCs w:val="16"/>
                <w:lang w:eastAsia="en-AU"/>
              </w:rPr>
              <w:t>Unknown</w:t>
            </w:r>
          </w:p>
        </w:tc>
        <w:tc>
          <w:tcPr>
            <w:tcW w:w="1417" w:type="dxa"/>
            <w:tcBorders>
              <w:top w:val="nil"/>
              <w:left w:val="nil"/>
              <w:bottom w:val="nil"/>
              <w:right w:val="nil"/>
            </w:tcBorders>
            <w:shd w:val="clear" w:color="auto" w:fill="auto"/>
            <w:noWrap/>
            <w:vAlign w:val="bottom"/>
            <w:hideMark/>
          </w:tcPr>
          <w:p w14:paraId="4801EA82"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p>
        </w:tc>
        <w:tc>
          <w:tcPr>
            <w:tcW w:w="1985" w:type="dxa"/>
            <w:tcBorders>
              <w:top w:val="nil"/>
              <w:left w:val="nil"/>
              <w:bottom w:val="nil"/>
              <w:right w:val="nil"/>
            </w:tcBorders>
            <w:shd w:val="clear" w:color="auto" w:fill="auto"/>
            <w:noWrap/>
            <w:vAlign w:val="bottom"/>
            <w:hideMark/>
          </w:tcPr>
          <w:p w14:paraId="0C8E63E2"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p>
        </w:tc>
        <w:tc>
          <w:tcPr>
            <w:tcW w:w="2551" w:type="dxa"/>
            <w:tcBorders>
              <w:top w:val="nil"/>
              <w:left w:val="nil"/>
              <w:bottom w:val="nil"/>
              <w:right w:val="nil"/>
            </w:tcBorders>
            <w:shd w:val="clear" w:color="auto" w:fill="auto"/>
            <w:noWrap/>
            <w:vAlign w:val="bottom"/>
            <w:hideMark/>
          </w:tcPr>
          <w:p w14:paraId="4D9A82BB" w14:textId="77777777" w:rsidR="003D3694" w:rsidRPr="00747E35" w:rsidRDefault="003D3694" w:rsidP="0096743A">
            <w:pPr>
              <w:autoSpaceDE/>
              <w:autoSpaceDN/>
              <w:spacing w:after="0"/>
              <w:rPr>
                <w:rFonts w:asciiTheme="minorHAnsi" w:eastAsia="Times New Roman" w:hAnsiTheme="minorHAnsi" w:cstheme="minorHAnsi"/>
                <w:color w:val="000000"/>
                <w:sz w:val="16"/>
                <w:szCs w:val="16"/>
                <w:lang w:eastAsia="en-AU"/>
              </w:rPr>
            </w:pPr>
          </w:p>
        </w:tc>
        <w:tc>
          <w:tcPr>
            <w:tcW w:w="851" w:type="dxa"/>
            <w:tcBorders>
              <w:top w:val="nil"/>
              <w:left w:val="nil"/>
              <w:bottom w:val="nil"/>
              <w:right w:val="nil"/>
            </w:tcBorders>
            <w:shd w:val="clear" w:color="auto" w:fill="auto"/>
            <w:noWrap/>
            <w:vAlign w:val="bottom"/>
            <w:hideMark/>
          </w:tcPr>
          <w:p w14:paraId="3B963187"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425" w:type="dxa"/>
            <w:tcBorders>
              <w:top w:val="nil"/>
              <w:left w:val="nil"/>
              <w:bottom w:val="nil"/>
              <w:right w:val="nil"/>
            </w:tcBorders>
            <w:shd w:val="clear" w:color="auto" w:fill="auto"/>
            <w:noWrap/>
            <w:vAlign w:val="bottom"/>
            <w:hideMark/>
          </w:tcPr>
          <w:p w14:paraId="0BF6C99C"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67" w:type="dxa"/>
            <w:tcBorders>
              <w:top w:val="nil"/>
              <w:left w:val="nil"/>
              <w:bottom w:val="nil"/>
              <w:right w:val="nil"/>
            </w:tcBorders>
            <w:shd w:val="clear" w:color="auto" w:fill="auto"/>
            <w:noWrap/>
            <w:vAlign w:val="bottom"/>
            <w:hideMark/>
          </w:tcPr>
          <w:p w14:paraId="15A116AE"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c>
          <w:tcPr>
            <w:tcW w:w="532" w:type="dxa"/>
            <w:tcBorders>
              <w:top w:val="nil"/>
              <w:left w:val="nil"/>
              <w:bottom w:val="nil"/>
              <w:right w:val="nil"/>
            </w:tcBorders>
            <w:shd w:val="clear" w:color="auto" w:fill="auto"/>
            <w:noWrap/>
            <w:vAlign w:val="bottom"/>
            <w:hideMark/>
          </w:tcPr>
          <w:p w14:paraId="5FEFBCBE" w14:textId="77777777" w:rsidR="003D3694" w:rsidRPr="00747E35" w:rsidRDefault="003D3694" w:rsidP="0096743A">
            <w:pPr>
              <w:autoSpaceDE/>
              <w:autoSpaceDN/>
              <w:spacing w:after="0"/>
              <w:jc w:val="center"/>
              <w:rPr>
                <w:rFonts w:asciiTheme="minorHAnsi" w:eastAsia="Times New Roman" w:hAnsiTheme="minorHAnsi" w:cstheme="minorHAnsi"/>
                <w:color w:val="000000"/>
                <w:sz w:val="16"/>
                <w:szCs w:val="16"/>
                <w:lang w:eastAsia="en-AU"/>
              </w:rPr>
            </w:pPr>
          </w:p>
        </w:tc>
      </w:tr>
    </w:tbl>
    <w:p w14:paraId="337412A7" w14:textId="77777777" w:rsidR="003D3694" w:rsidRPr="00747E35" w:rsidRDefault="003D3694" w:rsidP="003D3694">
      <w:pPr>
        <w:rPr>
          <w:rFonts w:asciiTheme="minorHAnsi" w:hAnsiTheme="minorHAnsi" w:cstheme="minorHAnsi"/>
        </w:rPr>
      </w:pPr>
    </w:p>
    <w:p w14:paraId="06FC5D8C" w14:textId="48C241D6" w:rsidR="003D3694" w:rsidRPr="00747E35" w:rsidRDefault="003D3694" w:rsidP="003D3694">
      <w:pPr>
        <w:rPr>
          <w:rFonts w:asciiTheme="minorHAnsi" w:hAnsiTheme="minorHAnsi" w:cstheme="minorHAnsi"/>
        </w:rPr>
      </w:pPr>
      <w:r w:rsidRPr="00747E35">
        <w:rPr>
          <w:rFonts w:asciiTheme="minorHAnsi" w:hAnsiTheme="minorHAnsi" w:cstheme="minorHAnsi"/>
        </w:rPr>
        <w:t>At higher taxonomic levels the hyporheic invertebrate assemblages were very similar between Bremer River and Maules Creek, with all groups frequently represented in groundwater (Crustacea, Acarina, Oligochaeta, Nematoda, Turbellaria), and numerous groups characteristic of stream benthos and occasional hyporheos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_Ref466444792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98</w:t>
      </w:r>
      <w:r w:rsidRPr="00747E35">
        <w:rPr>
          <w:rFonts w:asciiTheme="minorHAnsi" w:hAnsiTheme="minorHAnsi" w:cstheme="minorHAnsi"/>
          <w:highlight w:val="yellow"/>
        </w:rPr>
        <w:fldChar w:fldCharType="end"/>
      </w:r>
      <w:r w:rsidRPr="00747E35">
        <w:rPr>
          <w:rFonts w:asciiTheme="minorHAnsi" w:hAnsiTheme="minorHAnsi" w:cstheme="minorHAnsi"/>
        </w:rPr>
        <w:t xml:space="preserve"> A, B). Copepoda were the numerically dominant taxon at most sites. Few of the groups characteristic of stream benthos and occasional hyporheos were detected in the Maules Creek aquifer, which as expected was dominated by typical groundwater groups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_Ref466444792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98</w:t>
      </w:r>
      <w:r w:rsidRPr="00747E35">
        <w:rPr>
          <w:rFonts w:asciiTheme="minorHAnsi" w:hAnsiTheme="minorHAnsi" w:cstheme="minorHAnsi"/>
          <w:highlight w:val="yellow"/>
        </w:rPr>
        <w:fldChar w:fldCharType="end"/>
      </w:r>
      <w:r w:rsidRPr="00747E35">
        <w:rPr>
          <w:rFonts w:asciiTheme="minorHAnsi" w:hAnsiTheme="minorHAnsi" w:cstheme="minorHAnsi"/>
        </w:rPr>
        <w:t xml:space="preserve"> C). </w:t>
      </w:r>
    </w:p>
    <w:p w14:paraId="1A9D8546" w14:textId="5F6481D6" w:rsidR="003D3694" w:rsidRPr="00747E35" w:rsidRDefault="003D3694" w:rsidP="003D3694">
      <w:pPr>
        <w:rPr>
          <w:rFonts w:asciiTheme="minorHAnsi" w:hAnsiTheme="minorHAnsi" w:cstheme="minorHAnsi"/>
        </w:rPr>
      </w:pPr>
      <w:r w:rsidRPr="00747E35">
        <w:rPr>
          <w:rFonts w:asciiTheme="minorHAnsi" w:hAnsiTheme="minorHAnsi" w:cstheme="minorHAnsi"/>
        </w:rPr>
        <w:lastRenderedPageBreak/>
        <w:t>In terms of the classification of morpho-species according to their groundwater habitat affinity, both Bremer River and Maules Creek hyporheos assemblages recorded similar proportions of taxa in each category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_Ref466444847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99</w:t>
      </w:r>
      <w:r w:rsidRPr="00747E35">
        <w:rPr>
          <w:rFonts w:asciiTheme="minorHAnsi" w:hAnsiTheme="minorHAnsi" w:cstheme="minorHAnsi"/>
        </w:rPr>
        <w:fldChar w:fldCharType="end"/>
      </w:r>
      <w:r w:rsidRPr="00747E35">
        <w:rPr>
          <w:rFonts w:asciiTheme="minorHAnsi" w:hAnsiTheme="minorHAnsi" w:cstheme="minorHAnsi"/>
        </w:rPr>
        <w:t xml:space="preserve"> A, B). Taxa with high dependence on groundwater (stygobites + stygophiles) represented 43% and 54% of the invertebrate assemblages at Bremer and Maules respectively. In contrast to the hyporheic zone, the aquifer was dominated almost exclusively by stygobitic and stygophilic taxa (86%), with few stygoxenic / epigean taxa as expected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_Ref466444847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99</w:t>
      </w:r>
      <w:r w:rsidRPr="00747E35">
        <w:rPr>
          <w:rFonts w:asciiTheme="minorHAnsi" w:hAnsiTheme="minorHAnsi" w:cstheme="minorHAnsi"/>
        </w:rPr>
        <w:fldChar w:fldCharType="end"/>
      </w:r>
      <w:r w:rsidRPr="00747E35">
        <w:rPr>
          <w:rFonts w:asciiTheme="minorHAnsi" w:hAnsiTheme="minorHAnsi" w:cstheme="minorHAnsi"/>
        </w:rPr>
        <w:t xml:space="preserve"> C). The higher-level taxonomic composition of stygobitic and stygoxenic groups was similar at both areas, but three stygobitic families (Psammaspididae, Janiridae, Phreatoicidae) collected at Maules were not detected in the Bremer, although this does not preclude their possible occurrence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_Ref466449521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22</w:t>
      </w:r>
      <w:r w:rsidRPr="00747E35">
        <w:rPr>
          <w:rFonts w:asciiTheme="minorHAnsi" w:hAnsiTheme="minorHAnsi" w:cstheme="minorHAnsi"/>
          <w:noProof/>
        </w:rPr>
        <w:fldChar w:fldCharType="end"/>
      </w:r>
      <w:r w:rsidRPr="00747E35">
        <w:rPr>
          <w:rFonts w:asciiTheme="minorHAnsi" w:hAnsiTheme="minorHAnsi" w:cstheme="minorHAnsi"/>
        </w:rPr>
        <w:t xml:space="preserve">). </w:t>
      </w:r>
    </w:p>
    <w:p w14:paraId="280E97DC" w14:textId="77777777" w:rsidR="003D3694" w:rsidRPr="00747E35" w:rsidRDefault="003D3694" w:rsidP="003D3694">
      <w:pPr>
        <w:keepNext/>
        <w:keepLines/>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002CDBA4" wp14:editId="1ACA7063">
            <wp:extent cx="3630706" cy="2182446"/>
            <wp:effectExtent l="0" t="0" r="8255" b="8890"/>
            <wp:docPr id="2058" name="Picture 2058" descr="Pie chart A in Fig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3641805" cy="2189118"/>
                    </a:xfrm>
                    <a:prstGeom prst="rect">
                      <a:avLst/>
                    </a:prstGeom>
                    <a:noFill/>
                  </pic:spPr>
                </pic:pic>
              </a:graphicData>
            </a:graphic>
          </wp:inline>
        </w:drawing>
      </w:r>
    </w:p>
    <w:p w14:paraId="52E4AD0F" w14:textId="77777777" w:rsidR="003D3694" w:rsidRPr="00747E35" w:rsidRDefault="003D3694" w:rsidP="003D3694">
      <w:pPr>
        <w:keepNext/>
        <w:keepLines/>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23CBC2A0" wp14:editId="3EC204BC">
            <wp:extent cx="3633886" cy="2187388"/>
            <wp:effectExtent l="0" t="0" r="5080" b="3810"/>
            <wp:docPr id="295" name="Picture 295" descr="Pie chart B in Fig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3636515" cy="2188970"/>
                    </a:xfrm>
                    <a:prstGeom prst="rect">
                      <a:avLst/>
                    </a:prstGeom>
                    <a:noFill/>
                  </pic:spPr>
                </pic:pic>
              </a:graphicData>
            </a:graphic>
          </wp:inline>
        </w:drawing>
      </w:r>
    </w:p>
    <w:p w14:paraId="29D005FF" w14:textId="77777777" w:rsidR="003D3694" w:rsidRPr="00747E35" w:rsidRDefault="003D3694" w:rsidP="003D3694">
      <w:pPr>
        <w:keepNext/>
        <w:keepLines/>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3539987E" wp14:editId="2617C465">
            <wp:extent cx="3653841" cy="2196353"/>
            <wp:effectExtent l="0" t="0" r="3810" b="0"/>
            <wp:docPr id="296" name="Picture 296" descr="Pie chart C in Fig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3664707" cy="2202884"/>
                    </a:xfrm>
                    <a:prstGeom prst="rect">
                      <a:avLst/>
                    </a:prstGeom>
                    <a:noFill/>
                  </pic:spPr>
                </pic:pic>
              </a:graphicData>
            </a:graphic>
          </wp:inline>
        </w:drawing>
      </w:r>
    </w:p>
    <w:p w14:paraId="2C82D08B" w14:textId="77777777" w:rsidR="003D3694" w:rsidRPr="00747E35" w:rsidRDefault="003D3694" w:rsidP="00CF473C">
      <w:pPr>
        <w:pStyle w:val="Caption"/>
        <w:numPr>
          <w:ilvl w:val="0"/>
          <w:numId w:val="0"/>
        </w:numPr>
        <w:rPr>
          <w:rFonts w:cstheme="minorHAnsi"/>
        </w:rPr>
      </w:pPr>
      <w:bookmarkStart w:id="283" w:name="_Ref46644479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98</w:t>
      </w:r>
      <w:r w:rsidR="009D6600" w:rsidRPr="00747E35">
        <w:rPr>
          <w:rFonts w:cstheme="minorHAnsi"/>
          <w:noProof/>
        </w:rPr>
        <w:fldChar w:fldCharType="end"/>
      </w:r>
      <w:bookmarkEnd w:id="283"/>
      <w:r w:rsidRPr="00747E35">
        <w:rPr>
          <w:rFonts w:cstheme="minorHAnsi"/>
        </w:rPr>
        <w:t>: Comparison of the higher rank taxonomic composition in hyporheic and aquifer invertebrates identified in the Bremer River hyporheic zone (A), Maules Creek hyporheic zone (B), and Maules Creek aquifer (C). The number of nominal “orders” identified within each taxonomic group is labelled. At higher taxonomic levels the hyporheic invertebrate assemblages were very similar between Bremer River and Maules Creek, with all groups frequently represented in groundwater (Crustacea, Acarina, Oligochaeta, Nematoda, Turbellaria), and numerous groups characteristic of stream benthos and occasional hyporheos.</w:t>
      </w:r>
    </w:p>
    <w:p w14:paraId="31873439" w14:textId="77777777" w:rsidR="003D3694" w:rsidRPr="00747E35" w:rsidRDefault="003D3694" w:rsidP="003D3694">
      <w:pPr>
        <w:rPr>
          <w:rFonts w:asciiTheme="minorHAnsi" w:hAnsiTheme="minorHAnsi" w:cstheme="minorHAnsi"/>
        </w:rPr>
      </w:pPr>
    </w:p>
    <w:p w14:paraId="2AEB2C60" w14:textId="77777777" w:rsidR="003D3694" w:rsidRPr="00747E35" w:rsidRDefault="003D3694" w:rsidP="003D3694">
      <w:pPr>
        <w:keepNext/>
        <w:keepLines/>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5F3A499B" wp14:editId="5A12A076">
            <wp:extent cx="3355889" cy="2366683"/>
            <wp:effectExtent l="0" t="0" r="0" b="0"/>
            <wp:docPr id="297" name="Picture 297" descr="Pie chart A in Fig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3364719" cy="2372910"/>
                    </a:xfrm>
                    <a:prstGeom prst="rect">
                      <a:avLst/>
                    </a:prstGeom>
                    <a:noFill/>
                  </pic:spPr>
                </pic:pic>
              </a:graphicData>
            </a:graphic>
          </wp:inline>
        </w:drawing>
      </w:r>
      <w:r w:rsidRPr="00747E35">
        <w:rPr>
          <w:rFonts w:asciiTheme="minorHAnsi" w:hAnsiTheme="minorHAnsi" w:cstheme="minorHAnsi"/>
          <w:noProof/>
          <w:lang w:val="en-AU" w:eastAsia="en-AU"/>
        </w:rPr>
        <w:drawing>
          <wp:inline distT="0" distB="0" distL="0" distR="0" wp14:anchorId="1A62E3B7" wp14:editId="2F424467">
            <wp:extent cx="3344501" cy="2384612"/>
            <wp:effectExtent l="0" t="0" r="8890" b="0"/>
            <wp:docPr id="298" name="Picture 298" descr="Pie chart B in Fig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3355858" cy="2392710"/>
                    </a:xfrm>
                    <a:prstGeom prst="rect">
                      <a:avLst/>
                    </a:prstGeom>
                    <a:noFill/>
                  </pic:spPr>
                </pic:pic>
              </a:graphicData>
            </a:graphic>
          </wp:inline>
        </w:drawing>
      </w:r>
      <w:r w:rsidRPr="00747E35">
        <w:rPr>
          <w:rFonts w:asciiTheme="minorHAnsi" w:hAnsiTheme="minorHAnsi" w:cstheme="minorHAnsi"/>
          <w:noProof/>
          <w:lang w:val="en-AU" w:eastAsia="en-AU"/>
        </w:rPr>
        <w:drawing>
          <wp:inline distT="0" distB="0" distL="0" distR="0" wp14:anchorId="0485BC13" wp14:editId="2EC595A1">
            <wp:extent cx="3329855" cy="2375647"/>
            <wp:effectExtent l="0" t="0" r="4445" b="5715"/>
            <wp:docPr id="299" name="Picture 299" descr="Pie chart C in Fig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3338738" cy="2381984"/>
                    </a:xfrm>
                    <a:prstGeom prst="rect">
                      <a:avLst/>
                    </a:prstGeom>
                    <a:noFill/>
                  </pic:spPr>
                </pic:pic>
              </a:graphicData>
            </a:graphic>
          </wp:inline>
        </w:drawing>
      </w:r>
    </w:p>
    <w:p w14:paraId="1B122529" w14:textId="77777777" w:rsidR="003D3694" w:rsidRPr="00747E35" w:rsidRDefault="003D3694" w:rsidP="00CF473C">
      <w:pPr>
        <w:pStyle w:val="Caption"/>
        <w:numPr>
          <w:ilvl w:val="0"/>
          <w:numId w:val="0"/>
        </w:numPr>
        <w:rPr>
          <w:rFonts w:cstheme="minorHAnsi"/>
        </w:rPr>
      </w:pPr>
      <w:bookmarkStart w:id="284" w:name="_Ref466444847"/>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99</w:t>
      </w:r>
      <w:r w:rsidR="009D6600" w:rsidRPr="00747E35">
        <w:rPr>
          <w:rFonts w:cstheme="minorHAnsi"/>
          <w:noProof/>
        </w:rPr>
        <w:fldChar w:fldCharType="end"/>
      </w:r>
      <w:bookmarkEnd w:id="284"/>
      <w:r w:rsidRPr="00747E35">
        <w:rPr>
          <w:rFonts w:cstheme="minorHAnsi"/>
        </w:rPr>
        <w:t>: Proportions of morpho-taxa grouped according to their groundwater habitat affinity (GHA), collected in the Bremer River hyporheic zone (A), Maules Creek hyporheic zone (B), and Maules Creek aquifer (C). Bremer River and Maules Creek hyporheos assemblages recorded similar proportions of taxa in each GHA category, while the aquifer assemblage was dominated almost exclusively by stygobitic and stygophilic taxa, with few stygoxenic / epigean taxa.</w:t>
      </w:r>
    </w:p>
    <w:p w14:paraId="222857E9" w14:textId="77777777" w:rsidR="003D3694" w:rsidRPr="00747E35" w:rsidRDefault="003D3694" w:rsidP="003D3694">
      <w:pPr>
        <w:rPr>
          <w:rFonts w:asciiTheme="minorHAnsi" w:hAnsiTheme="minorHAnsi" w:cstheme="minorHAnsi"/>
          <w:b/>
        </w:rPr>
      </w:pPr>
    </w:p>
    <w:p w14:paraId="00C13A19" w14:textId="2DD5D971" w:rsidR="003D3694" w:rsidRPr="00747E35" w:rsidRDefault="003D3694" w:rsidP="003D3694">
      <w:pPr>
        <w:rPr>
          <w:rFonts w:asciiTheme="minorHAnsi" w:hAnsiTheme="minorHAnsi" w:cstheme="minorHAnsi"/>
        </w:rPr>
      </w:pPr>
      <w:r w:rsidRPr="00747E35">
        <w:rPr>
          <w:rFonts w:asciiTheme="minorHAnsi" w:hAnsiTheme="minorHAnsi" w:cstheme="minorHAnsi"/>
        </w:rPr>
        <w:t>The contrast between the aquifer and hyporheic environments extends beyond the lower overall richness associated with the virtual absence of stygoxenic and epigean taxa in the aquifer. In terms of the number of animals recovered per unit volume of water pumped from the aquifer and hyporheic zone, the average number of animals extracted from the aquifer (excluding the purge volume samples) was an order of magnitude lower (average 1.1 animals / 10 litres pumped) than for the hyporheic zones at both Maules (34.1) and Bremer (47.3) (</w:t>
      </w:r>
      <w:r w:rsidRPr="00747E35">
        <w:rPr>
          <w:rFonts w:asciiTheme="minorHAnsi" w:hAnsiTheme="minorHAnsi" w:cstheme="minorHAnsi"/>
          <w:highlight w:val="yellow"/>
        </w:rPr>
        <w:fldChar w:fldCharType="begin"/>
      </w:r>
      <w:r w:rsidRPr="00747E35">
        <w:rPr>
          <w:rFonts w:asciiTheme="minorHAnsi" w:hAnsiTheme="minorHAnsi" w:cstheme="minorHAnsi"/>
          <w:highlight w:val="yellow"/>
        </w:rPr>
        <w:instrText xml:space="preserve"> REF _Ref466444916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23</w:t>
      </w:r>
      <w:r w:rsidRPr="00747E35">
        <w:rPr>
          <w:rFonts w:asciiTheme="minorHAnsi" w:hAnsiTheme="minorHAnsi" w:cstheme="minorHAnsi"/>
          <w:highlight w:val="yellow"/>
        </w:rPr>
        <w:fldChar w:fldCharType="end"/>
      </w:r>
      <w:r w:rsidRPr="00747E35">
        <w:rPr>
          <w:rFonts w:asciiTheme="minorHAnsi" w:hAnsiTheme="minorHAnsi" w:cstheme="minorHAnsi"/>
        </w:rPr>
        <w:t xml:space="preserve">). Similarly, the average density of animals captured from inside the bore </w:t>
      </w:r>
      <w:r w:rsidRPr="00747E35">
        <w:rPr>
          <w:rFonts w:asciiTheme="minorHAnsi" w:hAnsiTheme="minorHAnsi" w:cstheme="minorHAnsi"/>
        </w:rPr>
        <w:lastRenderedPageBreak/>
        <w:t xml:space="preserve">casing (=purge volume samples) was nearly eight times (8.0 animals / 10 litres) as high as in the aquifer matrix surrounding the bores (= post-purge samples).  </w:t>
      </w:r>
    </w:p>
    <w:p w14:paraId="0FDE8A41" w14:textId="77777777" w:rsidR="003D3694" w:rsidRPr="00747E35" w:rsidRDefault="003D3694" w:rsidP="00CF473C">
      <w:pPr>
        <w:pStyle w:val="Caption"/>
        <w:numPr>
          <w:ilvl w:val="0"/>
          <w:numId w:val="0"/>
        </w:numPr>
        <w:rPr>
          <w:rFonts w:cstheme="minorHAnsi"/>
        </w:rPr>
      </w:pPr>
      <w:bookmarkStart w:id="285" w:name="_Ref466444916"/>
      <w:r w:rsidRPr="00747E35">
        <w:rPr>
          <w:rFonts w:cstheme="minorHAnsi"/>
        </w:rPr>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23</w:t>
      </w:r>
      <w:r w:rsidR="009D6600" w:rsidRPr="00747E35">
        <w:rPr>
          <w:rFonts w:cstheme="minorHAnsi"/>
          <w:noProof/>
        </w:rPr>
        <w:fldChar w:fldCharType="end"/>
      </w:r>
      <w:bookmarkEnd w:id="285"/>
      <w:r w:rsidRPr="00747E35">
        <w:rPr>
          <w:rFonts w:cstheme="minorHAnsi"/>
        </w:rPr>
        <w:t xml:space="preserve">: Overall sampling effort in Bremer and Maules catchments (hyporheic, bore, aquifer), showing the total number of samples, pumped volumes and the capture rate of animals expressed as: (1) average number of individuals per sample (range in brackets); (2) individuals per unit pumped volume, standardised to individuals per 10 litres for comparison between hyporheic and aquifer habitats, and, comparison of capture rates inside the bore and the surrounding aquifer. In terms of the number of animals recovered per unit volume of water pumped from the aquifer and hyporheic zone, the average number of animals extracted from the aquifer (excluding the purge volume samples) was an order of magnitude lower than for the hyporheic zones at both Maules and Bremer. </w:t>
      </w:r>
    </w:p>
    <w:tbl>
      <w:tblPr>
        <w:tblW w:w="9683" w:type="dxa"/>
        <w:tblInd w:w="93" w:type="dxa"/>
        <w:tblLayout w:type="fixed"/>
        <w:tblLook w:val="04A0" w:firstRow="1" w:lastRow="0" w:firstColumn="1" w:lastColumn="0" w:noHBand="0" w:noVBand="1"/>
      </w:tblPr>
      <w:tblGrid>
        <w:gridCol w:w="2283"/>
        <w:gridCol w:w="993"/>
        <w:gridCol w:w="1559"/>
        <w:gridCol w:w="1276"/>
        <w:gridCol w:w="1871"/>
        <w:gridCol w:w="1701"/>
      </w:tblGrid>
      <w:tr w:rsidR="003D3694" w:rsidRPr="00747E35" w14:paraId="7455EA6B" w14:textId="77777777" w:rsidTr="0096743A">
        <w:trPr>
          <w:trHeight w:val="300"/>
        </w:trPr>
        <w:tc>
          <w:tcPr>
            <w:tcW w:w="228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hideMark/>
          </w:tcPr>
          <w:p w14:paraId="676AA9CB" w14:textId="77777777" w:rsidR="003D3694" w:rsidRPr="00747E35" w:rsidRDefault="003D3694" w:rsidP="0096743A">
            <w:pPr>
              <w:pStyle w:val="TableHead"/>
              <w:spacing w:before="0" w:after="0"/>
              <w:rPr>
                <w:rFonts w:asciiTheme="minorHAnsi" w:hAnsiTheme="minorHAnsi" w:cstheme="minorHAnsi"/>
                <w:b w:val="0"/>
                <w:sz w:val="18"/>
                <w:szCs w:val="18"/>
              </w:rPr>
            </w:pPr>
            <w:r w:rsidRPr="00747E35">
              <w:rPr>
                <w:rFonts w:asciiTheme="minorHAnsi" w:hAnsiTheme="minorHAnsi" w:cstheme="minorHAnsi"/>
                <w:b w:val="0"/>
                <w:sz w:val="18"/>
                <w:szCs w:val="18"/>
              </w:rPr>
              <w:t>Location + environment</w:t>
            </w:r>
          </w:p>
        </w:tc>
        <w:tc>
          <w:tcPr>
            <w:tcW w:w="993"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14:paraId="0200AF59" w14:textId="77777777" w:rsidR="003D3694" w:rsidRPr="00747E35" w:rsidRDefault="003D3694" w:rsidP="0096743A">
            <w:pPr>
              <w:pStyle w:val="TableHead"/>
              <w:spacing w:before="0" w:after="0"/>
              <w:rPr>
                <w:rFonts w:asciiTheme="minorHAnsi" w:hAnsiTheme="minorHAnsi" w:cstheme="minorHAnsi"/>
                <w:b w:val="0"/>
                <w:sz w:val="18"/>
                <w:szCs w:val="18"/>
              </w:rPr>
            </w:pPr>
            <w:r w:rsidRPr="00747E35">
              <w:rPr>
                <w:rFonts w:asciiTheme="minorHAnsi" w:hAnsiTheme="minorHAnsi" w:cstheme="minorHAnsi"/>
                <w:b w:val="0"/>
                <w:sz w:val="18"/>
                <w:szCs w:val="18"/>
              </w:rPr>
              <w:t>n samples</w:t>
            </w:r>
          </w:p>
        </w:tc>
        <w:tc>
          <w:tcPr>
            <w:tcW w:w="1559"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14:paraId="6F5395FD" w14:textId="77777777" w:rsidR="003D3694" w:rsidRPr="00747E35" w:rsidRDefault="003D3694" w:rsidP="0096743A">
            <w:pPr>
              <w:pStyle w:val="TableHead"/>
              <w:spacing w:before="0" w:after="0"/>
              <w:rPr>
                <w:rFonts w:asciiTheme="minorHAnsi" w:hAnsiTheme="minorHAnsi" w:cstheme="minorHAnsi"/>
                <w:b w:val="0"/>
                <w:sz w:val="18"/>
                <w:szCs w:val="18"/>
              </w:rPr>
            </w:pPr>
            <w:r w:rsidRPr="00747E35">
              <w:rPr>
                <w:rFonts w:asciiTheme="minorHAnsi" w:hAnsiTheme="minorHAnsi" w:cstheme="minorHAnsi"/>
                <w:b w:val="0"/>
                <w:sz w:val="18"/>
                <w:szCs w:val="18"/>
              </w:rPr>
              <w:t>Total pumped volume (l)</w:t>
            </w:r>
          </w:p>
        </w:tc>
        <w:tc>
          <w:tcPr>
            <w:tcW w:w="127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14:paraId="74ADEEA4" w14:textId="77777777" w:rsidR="003D3694" w:rsidRPr="00747E35" w:rsidRDefault="003D3694" w:rsidP="0096743A">
            <w:pPr>
              <w:pStyle w:val="TableHead"/>
              <w:spacing w:before="0" w:after="0"/>
              <w:rPr>
                <w:rFonts w:asciiTheme="minorHAnsi" w:hAnsiTheme="minorHAnsi" w:cstheme="minorHAnsi"/>
                <w:b w:val="0"/>
                <w:sz w:val="18"/>
                <w:szCs w:val="18"/>
              </w:rPr>
            </w:pPr>
            <w:r w:rsidRPr="00747E35">
              <w:rPr>
                <w:rFonts w:asciiTheme="minorHAnsi" w:hAnsiTheme="minorHAnsi" w:cstheme="minorHAnsi"/>
                <w:b w:val="0"/>
                <w:sz w:val="18"/>
                <w:szCs w:val="18"/>
              </w:rPr>
              <w:t>Total individuals</w:t>
            </w:r>
          </w:p>
        </w:tc>
        <w:tc>
          <w:tcPr>
            <w:tcW w:w="187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14:paraId="4FA8F15A" w14:textId="77777777" w:rsidR="003D3694" w:rsidRPr="00747E35" w:rsidRDefault="003D3694" w:rsidP="0096743A">
            <w:pPr>
              <w:pStyle w:val="TableHead"/>
              <w:spacing w:before="0" w:after="0"/>
              <w:rPr>
                <w:rFonts w:asciiTheme="minorHAnsi" w:hAnsiTheme="minorHAnsi" w:cstheme="minorHAnsi"/>
                <w:b w:val="0"/>
                <w:sz w:val="18"/>
                <w:szCs w:val="18"/>
              </w:rPr>
            </w:pPr>
            <w:r w:rsidRPr="00747E35">
              <w:rPr>
                <w:rFonts w:asciiTheme="minorHAnsi" w:hAnsiTheme="minorHAnsi" w:cstheme="minorHAnsi"/>
                <w:b w:val="0"/>
                <w:sz w:val="18"/>
                <w:szCs w:val="18"/>
              </w:rPr>
              <w:t>Average individuals / sample (range)</w:t>
            </w:r>
          </w:p>
        </w:tc>
        <w:tc>
          <w:tcPr>
            <w:tcW w:w="1701"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14:paraId="1F3FF991" w14:textId="77777777" w:rsidR="003D3694" w:rsidRPr="00747E35" w:rsidRDefault="003D3694" w:rsidP="0096743A">
            <w:pPr>
              <w:pStyle w:val="TableHead"/>
              <w:spacing w:before="0" w:after="0"/>
              <w:rPr>
                <w:rFonts w:asciiTheme="minorHAnsi" w:hAnsiTheme="minorHAnsi" w:cstheme="minorHAnsi"/>
                <w:b w:val="0"/>
                <w:sz w:val="18"/>
                <w:szCs w:val="18"/>
              </w:rPr>
            </w:pPr>
            <w:r w:rsidRPr="00747E35">
              <w:rPr>
                <w:rFonts w:asciiTheme="minorHAnsi" w:hAnsiTheme="minorHAnsi" w:cstheme="minorHAnsi"/>
                <w:b w:val="0"/>
                <w:sz w:val="18"/>
                <w:szCs w:val="18"/>
              </w:rPr>
              <w:t>Standardised individuals / 10 l  pumped</w:t>
            </w:r>
          </w:p>
        </w:tc>
      </w:tr>
      <w:tr w:rsidR="003D3694" w:rsidRPr="00747E35" w14:paraId="755E1959" w14:textId="77777777" w:rsidTr="0096743A">
        <w:trPr>
          <w:trHeight w:val="300"/>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14:paraId="1F0EF44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Bremer hyporheic</w:t>
            </w:r>
          </w:p>
        </w:tc>
        <w:tc>
          <w:tcPr>
            <w:tcW w:w="993" w:type="dxa"/>
            <w:tcBorders>
              <w:top w:val="nil"/>
              <w:left w:val="nil"/>
              <w:bottom w:val="single" w:sz="4" w:space="0" w:color="auto"/>
              <w:right w:val="single" w:sz="4" w:space="0" w:color="auto"/>
            </w:tcBorders>
            <w:shd w:val="clear" w:color="auto" w:fill="auto"/>
            <w:noWrap/>
            <w:vAlign w:val="center"/>
            <w:hideMark/>
          </w:tcPr>
          <w:p w14:paraId="1BBED0F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57</w:t>
            </w:r>
          </w:p>
        </w:tc>
        <w:tc>
          <w:tcPr>
            <w:tcW w:w="1559" w:type="dxa"/>
            <w:tcBorders>
              <w:top w:val="nil"/>
              <w:left w:val="nil"/>
              <w:bottom w:val="single" w:sz="4" w:space="0" w:color="auto"/>
              <w:right w:val="single" w:sz="4" w:space="0" w:color="auto"/>
            </w:tcBorders>
            <w:shd w:val="clear" w:color="auto" w:fill="auto"/>
            <w:noWrap/>
            <w:vAlign w:val="center"/>
            <w:hideMark/>
          </w:tcPr>
          <w:p w14:paraId="026366E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342</w:t>
            </w:r>
          </w:p>
        </w:tc>
        <w:tc>
          <w:tcPr>
            <w:tcW w:w="1276" w:type="dxa"/>
            <w:tcBorders>
              <w:top w:val="nil"/>
              <w:left w:val="nil"/>
              <w:bottom w:val="single" w:sz="4" w:space="0" w:color="auto"/>
              <w:right w:val="single" w:sz="4" w:space="0" w:color="auto"/>
            </w:tcBorders>
            <w:shd w:val="clear" w:color="auto" w:fill="auto"/>
            <w:noWrap/>
            <w:vAlign w:val="center"/>
            <w:hideMark/>
          </w:tcPr>
          <w:p w14:paraId="3A6F773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1619</w:t>
            </w:r>
          </w:p>
        </w:tc>
        <w:tc>
          <w:tcPr>
            <w:tcW w:w="1871" w:type="dxa"/>
            <w:tcBorders>
              <w:top w:val="nil"/>
              <w:left w:val="nil"/>
              <w:bottom w:val="single" w:sz="4" w:space="0" w:color="auto"/>
              <w:right w:val="single" w:sz="4" w:space="0" w:color="auto"/>
            </w:tcBorders>
            <w:shd w:val="clear" w:color="auto" w:fill="auto"/>
            <w:noWrap/>
            <w:vAlign w:val="center"/>
            <w:hideMark/>
          </w:tcPr>
          <w:p w14:paraId="613D8E3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28.4 (0 - 318)</w:t>
            </w:r>
          </w:p>
        </w:tc>
        <w:tc>
          <w:tcPr>
            <w:tcW w:w="1701" w:type="dxa"/>
            <w:tcBorders>
              <w:top w:val="nil"/>
              <w:left w:val="nil"/>
              <w:bottom w:val="single" w:sz="4" w:space="0" w:color="auto"/>
              <w:right w:val="single" w:sz="4" w:space="0" w:color="auto"/>
            </w:tcBorders>
            <w:shd w:val="clear" w:color="auto" w:fill="auto"/>
            <w:noWrap/>
            <w:vAlign w:val="center"/>
            <w:hideMark/>
          </w:tcPr>
          <w:p w14:paraId="1186A46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47.3</w:t>
            </w:r>
          </w:p>
        </w:tc>
      </w:tr>
      <w:tr w:rsidR="003D3694" w:rsidRPr="00747E35" w14:paraId="4C066E26" w14:textId="77777777" w:rsidTr="0096743A">
        <w:trPr>
          <w:trHeight w:val="300"/>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14:paraId="35FF56E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Maules hyporheic</w:t>
            </w:r>
          </w:p>
        </w:tc>
        <w:tc>
          <w:tcPr>
            <w:tcW w:w="993" w:type="dxa"/>
            <w:tcBorders>
              <w:top w:val="nil"/>
              <w:left w:val="nil"/>
              <w:bottom w:val="single" w:sz="4" w:space="0" w:color="auto"/>
              <w:right w:val="single" w:sz="4" w:space="0" w:color="auto"/>
            </w:tcBorders>
            <w:shd w:val="clear" w:color="auto" w:fill="auto"/>
            <w:noWrap/>
            <w:vAlign w:val="center"/>
            <w:hideMark/>
          </w:tcPr>
          <w:p w14:paraId="1FB6BC0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100</w:t>
            </w:r>
          </w:p>
        </w:tc>
        <w:tc>
          <w:tcPr>
            <w:tcW w:w="1559" w:type="dxa"/>
            <w:tcBorders>
              <w:top w:val="nil"/>
              <w:left w:val="nil"/>
              <w:bottom w:val="single" w:sz="4" w:space="0" w:color="auto"/>
              <w:right w:val="single" w:sz="4" w:space="0" w:color="auto"/>
            </w:tcBorders>
            <w:shd w:val="clear" w:color="auto" w:fill="auto"/>
            <w:noWrap/>
            <w:vAlign w:val="center"/>
            <w:hideMark/>
          </w:tcPr>
          <w:p w14:paraId="4057608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600</w:t>
            </w:r>
          </w:p>
        </w:tc>
        <w:tc>
          <w:tcPr>
            <w:tcW w:w="1276" w:type="dxa"/>
            <w:tcBorders>
              <w:top w:val="nil"/>
              <w:left w:val="nil"/>
              <w:bottom w:val="single" w:sz="4" w:space="0" w:color="auto"/>
              <w:right w:val="single" w:sz="4" w:space="0" w:color="auto"/>
            </w:tcBorders>
            <w:shd w:val="clear" w:color="auto" w:fill="auto"/>
            <w:noWrap/>
            <w:vAlign w:val="center"/>
            <w:hideMark/>
          </w:tcPr>
          <w:p w14:paraId="731E358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2046</w:t>
            </w:r>
          </w:p>
        </w:tc>
        <w:tc>
          <w:tcPr>
            <w:tcW w:w="1871" w:type="dxa"/>
            <w:tcBorders>
              <w:top w:val="nil"/>
              <w:left w:val="nil"/>
              <w:bottom w:val="single" w:sz="4" w:space="0" w:color="auto"/>
              <w:right w:val="single" w:sz="4" w:space="0" w:color="auto"/>
            </w:tcBorders>
            <w:shd w:val="clear" w:color="auto" w:fill="auto"/>
            <w:noWrap/>
            <w:vAlign w:val="center"/>
            <w:hideMark/>
          </w:tcPr>
          <w:p w14:paraId="68F7DE1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20.5 (0 - 222)</w:t>
            </w:r>
          </w:p>
        </w:tc>
        <w:tc>
          <w:tcPr>
            <w:tcW w:w="1701" w:type="dxa"/>
            <w:tcBorders>
              <w:top w:val="nil"/>
              <w:left w:val="nil"/>
              <w:bottom w:val="single" w:sz="4" w:space="0" w:color="auto"/>
              <w:right w:val="single" w:sz="4" w:space="0" w:color="auto"/>
            </w:tcBorders>
            <w:shd w:val="clear" w:color="auto" w:fill="auto"/>
            <w:noWrap/>
            <w:vAlign w:val="center"/>
            <w:hideMark/>
          </w:tcPr>
          <w:p w14:paraId="080F3F9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34.1</w:t>
            </w:r>
          </w:p>
        </w:tc>
      </w:tr>
      <w:tr w:rsidR="003D3694" w:rsidRPr="00747E35" w14:paraId="313F1BA1" w14:textId="77777777" w:rsidTr="0096743A">
        <w:trPr>
          <w:trHeight w:val="300"/>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14:paraId="2DBC84C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Maules bores purge volume </w:t>
            </w:r>
          </w:p>
        </w:tc>
        <w:tc>
          <w:tcPr>
            <w:tcW w:w="993" w:type="dxa"/>
            <w:tcBorders>
              <w:top w:val="nil"/>
              <w:left w:val="nil"/>
              <w:bottom w:val="single" w:sz="4" w:space="0" w:color="auto"/>
              <w:right w:val="single" w:sz="4" w:space="0" w:color="auto"/>
            </w:tcBorders>
            <w:shd w:val="clear" w:color="auto" w:fill="auto"/>
            <w:noWrap/>
            <w:vAlign w:val="center"/>
            <w:hideMark/>
          </w:tcPr>
          <w:p w14:paraId="343F232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28</w:t>
            </w:r>
          </w:p>
        </w:tc>
        <w:tc>
          <w:tcPr>
            <w:tcW w:w="1559" w:type="dxa"/>
            <w:tcBorders>
              <w:top w:val="nil"/>
              <w:left w:val="nil"/>
              <w:bottom w:val="single" w:sz="4" w:space="0" w:color="auto"/>
              <w:right w:val="single" w:sz="4" w:space="0" w:color="auto"/>
            </w:tcBorders>
            <w:shd w:val="clear" w:color="auto" w:fill="auto"/>
            <w:noWrap/>
            <w:vAlign w:val="center"/>
            <w:hideMark/>
          </w:tcPr>
          <w:p w14:paraId="753587D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855</w:t>
            </w:r>
          </w:p>
        </w:tc>
        <w:tc>
          <w:tcPr>
            <w:tcW w:w="1276" w:type="dxa"/>
            <w:tcBorders>
              <w:top w:val="nil"/>
              <w:left w:val="nil"/>
              <w:bottom w:val="single" w:sz="4" w:space="0" w:color="auto"/>
              <w:right w:val="single" w:sz="4" w:space="0" w:color="auto"/>
            </w:tcBorders>
            <w:shd w:val="clear" w:color="auto" w:fill="auto"/>
            <w:noWrap/>
            <w:vAlign w:val="center"/>
            <w:hideMark/>
          </w:tcPr>
          <w:p w14:paraId="21A8D45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681</w:t>
            </w:r>
          </w:p>
        </w:tc>
        <w:tc>
          <w:tcPr>
            <w:tcW w:w="1871" w:type="dxa"/>
            <w:tcBorders>
              <w:top w:val="nil"/>
              <w:left w:val="nil"/>
              <w:bottom w:val="single" w:sz="4" w:space="0" w:color="auto"/>
              <w:right w:val="single" w:sz="4" w:space="0" w:color="auto"/>
            </w:tcBorders>
            <w:shd w:val="clear" w:color="auto" w:fill="auto"/>
            <w:noWrap/>
            <w:vAlign w:val="center"/>
            <w:hideMark/>
          </w:tcPr>
          <w:p w14:paraId="64E6DF0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24 (0 - 196)</w:t>
            </w:r>
          </w:p>
        </w:tc>
        <w:tc>
          <w:tcPr>
            <w:tcW w:w="1701" w:type="dxa"/>
            <w:tcBorders>
              <w:top w:val="nil"/>
              <w:left w:val="nil"/>
              <w:bottom w:val="single" w:sz="4" w:space="0" w:color="auto"/>
              <w:right w:val="single" w:sz="4" w:space="0" w:color="auto"/>
            </w:tcBorders>
            <w:shd w:val="clear" w:color="auto" w:fill="auto"/>
            <w:noWrap/>
            <w:vAlign w:val="center"/>
            <w:hideMark/>
          </w:tcPr>
          <w:p w14:paraId="0807E09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8.0</w:t>
            </w:r>
          </w:p>
        </w:tc>
      </w:tr>
      <w:tr w:rsidR="003D3694" w:rsidRPr="00747E35" w14:paraId="338ECE1C" w14:textId="77777777" w:rsidTr="0096743A">
        <w:trPr>
          <w:trHeight w:val="300"/>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14:paraId="5D13BA1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Maules aquifer</w:t>
            </w:r>
          </w:p>
          <w:p w14:paraId="58D7E77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post-purge</w:t>
            </w:r>
          </w:p>
        </w:tc>
        <w:tc>
          <w:tcPr>
            <w:tcW w:w="993" w:type="dxa"/>
            <w:tcBorders>
              <w:top w:val="nil"/>
              <w:left w:val="nil"/>
              <w:bottom w:val="single" w:sz="4" w:space="0" w:color="auto"/>
              <w:right w:val="single" w:sz="4" w:space="0" w:color="auto"/>
            </w:tcBorders>
            <w:shd w:val="clear" w:color="auto" w:fill="auto"/>
            <w:noWrap/>
            <w:vAlign w:val="center"/>
            <w:hideMark/>
          </w:tcPr>
          <w:p w14:paraId="6DD6AC0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as above</w:t>
            </w:r>
          </w:p>
        </w:tc>
        <w:tc>
          <w:tcPr>
            <w:tcW w:w="1559" w:type="dxa"/>
            <w:tcBorders>
              <w:top w:val="nil"/>
              <w:left w:val="nil"/>
              <w:bottom w:val="single" w:sz="4" w:space="0" w:color="auto"/>
              <w:right w:val="single" w:sz="4" w:space="0" w:color="auto"/>
            </w:tcBorders>
            <w:shd w:val="clear" w:color="auto" w:fill="auto"/>
            <w:noWrap/>
            <w:vAlign w:val="center"/>
            <w:hideMark/>
          </w:tcPr>
          <w:p w14:paraId="5F92311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3700</w:t>
            </w:r>
          </w:p>
        </w:tc>
        <w:tc>
          <w:tcPr>
            <w:tcW w:w="1276" w:type="dxa"/>
            <w:tcBorders>
              <w:top w:val="nil"/>
              <w:left w:val="nil"/>
              <w:bottom w:val="single" w:sz="4" w:space="0" w:color="auto"/>
              <w:right w:val="single" w:sz="4" w:space="0" w:color="auto"/>
            </w:tcBorders>
            <w:shd w:val="clear" w:color="auto" w:fill="auto"/>
            <w:noWrap/>
            <w:vAlign w:val="center"/>
            <w:hideMark/>
          </w:tcPr>
          <w:p w14:paraId="0671B07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418</w:t>
            </w:r>
          </w:p>
        </w:tc>
        <w:tc>
          <w:tcPr>
            <w:tcW w:w="1871" w:type="dxa"/>
            <w:tcBorders>
              <w:top w:val="nil"/>
              <w:left w:val="nil"/>
              <w:bottom w:val="single" w:sz="4" w:space="0" w:color="auto"/>
              <w:right w:val="single" w:sz="4" w:space="0" w:color="auto"/>
            </w:tcBorders>
            <w:shd w:val="clear" w:color="auto" w:fill="auto"/>
            <w:noWrap/>
            <w:vAlign w:val="center"/>
            <w:hideMark/>
          </w:tcPr>
          <w:p w14:paraId="528AD9A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14.9 (0 - 80)</w:t>
            </w:r>
          </w:p>
        </w:tc>
        <w:tc>
          <w:tcPr>
            <w:tcW w:w="1701" w:type="dxa"/>
            <w:tcBorders>
              <w:top w:val="nil"/>
              <w:left w:val="nil"/>
              <w:bottom w:val="single" w:sz="4" w:space="0" w:color="auto"/>
              <w:right w:val="single" w:sz="4" w:space="0" w:color="auto"/>
            </w:tcBorders>
            <w:shd w:val="clear" w:color="auto" w:fill="auto"/>
            <w:noWrap/>
            <w:vAlign w:val="center"/>
            <w:hideMark/>
          </w:tcPr>
          <w:p w14:paraId="33CBFBF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1.1</w:t>
            </w:r>
          </w:p>
        </w:tc>
      </w:tr>
    </w:tbl>
    <w:p w14:paraId="0885E0AA" w14:textId="77777777" w:rsidR="003D3694" w:rsidRPr="00747E35" w:rsidRDefault="003D3694" w:rsidP="003D3694">
      <w:pPr>
        <w:rPr>
          <w:rFonts w:asciiTheme="minorHAnsi" w:hAnsiTheme="minorHAnsi" w:cstheme="minorHAnsi"/>
        </w:rPr>
      </w:pPr>
    </w:p>
    <w:p w14:paraId="1308A118" w14:textId="77777777" w:rsidR="003D3694" w:rsidRPr="00747E35" w:rsidRDefault="003D3694" w:rsidP="00793A29">
      <w:pPr>
        <w:pStyle w:val="Heading4"/>
        <w:rPr>
          <w:rFonts w:asciiTheme="minorHAnsi" w:hAnsiTheme="minorHAnsi" w:cstheme="minorHAnsi"/>
        </w:rPr>
      </w:pPr>
      <w:r w:rsidRPr="00747E35">
        <w:rPr>
          <w:rFonts w:asciiTheme="minorHAnsi" w:hAnsiTheme="minorHAnsi" w:cstheme="minorHAnsi"/>
        </w:rPr>
        <w:t>Bremer River hyporheos</w:t>
      </w:r>
    </w:p>
    <w:p w14:paraId="4D18C632" w14:textId="23D31C43"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Hyporheic invertebrate taxon richness and abundance recorded at the Bremer catchment sites are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_Ref466445402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100</w:t>
      </w:r>
      <w:r w:rsidRPr="00747E35">
        <w:rPr>
          <w:rFonts w:asciiTheme="minorHAnsi" w:hAnsiTheme="minorHAnsi" w:cstheme="minorHAnsi"/>
        </w:rPr>
        <w:fldChar w:fldCharType="end"/>
      </w:r>
      <w:r w:rsidRPr="00747E35">
        <w:rPr>
          <w:rFonts w:asciiTheme="minorHAnsi" w:hAnsiTheme="minorHAnsi" w:cstheme="minorHAnsi"/>
        </w:rPr>
        <w:t>. The number of taxa recorded per site per sample period ranged from five to seventeen. Coulson Creek, Wild Cattle Creek and Bremer River were the richest sites. Warrill Creek was moderately rich, and Reynolds Creek recorded the lowest number of taxa. The abundance of taxa recorded per site per sample period was highly variable, both within and among sites, and ranged from only six individuals (Reynolds Creek in October 2015) to 523 individuals (Wild Cattle Creek, March 2016). Within sites, the number of taxa collected in each 6 L subsample (n=6) ranged from zero to thirteen (across all sites), and the number of individuals ranged from zero to &gt;300.  Comparing sample periods within each site, Bremer River, Warrill and Coulson Creeks recorded fewer taxa and individuals in the second round than in the first round, whereas Wild Cattle and Reynolds Creeks displayed the opposite trend, except that taxon richness at Wild Cattle Creek remained steady.   In terms of groundwater habitat affinity, stygobitic and stygophilic taxa were identified at all five upper Bremer catchment creeks, and their abundance ranged from 57 to 96% of collected individuals within creeks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_Ref466445402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100</w:t>
      </w:r>
      <w:r w:rsidRPr="00747E35">
        <w:rPr>
          <w:rFonts w:asciiTheme="minorHAnsi" w:hAnsiTheme="minorHAnsi" w:cstheme="minorHAnsi"/>
          <w:highlight w:val="yellow"/>
        </w:rPr>
        <w:fldChar w:fldCharType="end"/>
      </w:r>
      <w:r w:rsidRPr="00747E35">
        <w:rPr>
          <w:rFonts w:asciiTheme="minorHAnsi" w:hAnsiTheme="minorHAnsi" w:cstheme="minorHAnsi"/>
        </w:rPr>
        <w:t xml:space="preserve">). The hyporheos assemblages also included numerous families of stygoxenic/ epigean aquatic insects, which, while contributing to site richness (13 to 69% of taxa across sites) were of low abundance (mean 23% of individuals across sites; range 4 to 43%). </w:t>
      </w:r>
    </w:p>
    <w:p w14:paraId="4A785A02" w14:textId="77777777" w:rsidR="003D3694" w:rsidRPr="00747E35" w:rsidRDefault="003D3694" w:rsidP="003D3694">
      <w:pPr>
        <w:keepNext/>
        <w:keepLines/>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4C5E4703" wp14:editId="43F2A703">
            <wp:extent cx="4194233" cy="3009900"/>
            <wp:effectExtent l="0" t="0" r="0" b="0"/>
            <wp:docPr id="4130" name="Picture 2" descr="Upper bar chart in Fig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0" y="0"/>
                      <a:ext cx="4194233" cy="3009900"/>
                    </a:xfrm>
                    <a:prstGeom prst="rect">
                      <a:avLst/>
                    </a:prstGeom>
                    <a:noFill/>
                    <a:ln>
                      <a:noFill/>
                    </a:ln>
                    <a:effectLst/>
                    <a:extLst/>
                  </pic:spPr>
                </pic:pic>
              </a:graphicData>
            </a:graphic>
          </wp:inline>
        </w:drawing>
      </w:r>
    </w:p>
    <w:p w14:paraId="0621E382" w14:textId="77777777" w:rsidR="003D3694" w:rsidRPr="00747E35" w:rsidRDefault="003D3694" w:rsidP="003D3694">
      <w:pPr>
        <w:keepNext/>
        <w:keepLines/>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72591025" wp14:editId="10D81A57">
            <wp:extent cx="4145280" cy="2973885"/>
            <wp:effectExtent l="0" t="0" r="7620" b="0"/>
            <wp:docPr id="3074" name="Picture 2" descr="Lower bar chart in Fig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4145280" cy="2973885"/>
                    </a:xfrm>
                    <a:prstGeom prst="rect">
                      <a:avLst/>
                    </a:prstGeom>
                    <a:noFill/>
                    <a:ln>
                      <a:noFill/>
                    </a:ln>
                    <a:effectLst/>
                    <a:extLst/>
                  </pic:spPr>
                </pic:pic>
              </a:graphicData>
            </a:graphic>
          </wp:inline>
        </w:drawing>
      </w:r>
    </w:p>
    <w:p w14:paraId="5D21B177" w14:textId="77777777" w:rsidR="003D3694" w:rsidRPr="00747E35" w:rsidRDefault="003D3694" w:rsidP="00CF473C">
      <w:pPr>
        <w:pStyle w:val="Caption"/>
        <w:numPr>
          <w:ilvl w:val="0"/>
          <w:numId w:val="0"/>
        </w:numPr>
        <w:rPr>
          <w:rFonts w:cstheme="minorHAnsi"/>
        </w:rPr>
      </w:pPr>
      <w:bookmarkStart w:id="286" w:name="_Ref46644540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100</w:t>
      </w:r>
      <w:r w:rsidR="009D6600" w:rsidRPr="00747E35">
        <w:rPr>
          <w:rFonts w:cstheme="minorHAnsi"/>
          <w:noProof/>
        </w:rPr>
        <w:fldChar w:fldCharType="end"/>
      </w:r>
      <w:bookmarkEnd w:id="286"/>
      <w:r w:rsidRPr="00747E35">
        <w:rPr>
          <w:rFonts w:cstheme="minorHAnsi"/>
        </w:rPr>
        <w:t>: Bremer catchment hyporheic site richness (upper) and abundance (lower) recorded in October 2015 and February-March 2016 showing proportions of groundwater habitat affinity groups: Sb, stygobites; Sp, stygophiles; Sx, stygoxenes; Ep, epigean. Flow regimes were interpreted to be intermittent, except for Bremer River (perennial losing) and Reynolds Creek (perennial gaining).  Stygobitic and stygophilic taxa were identified at all five upper Bremer catchment creeks, and the  hyporheos assemblages also included numerous families of stygoxenic/ epigean aquatic insects, which, while contributing to site richness were of low abundance.The abundance of taxa recorded per site per sample period was highly variable, both within and among sites.</w:t>
      </w:r>
    </w:p>
    <w:p w14:paraId="70A207C1" w14:textId="77777777" w:rsidR="003D3694" w:rsidRPr="00747E35" w:rsidRDefault="003D3694" w:rsidP="003D3694">
      <w:pPr>
        <w:rPr>
          <w:rFonts w:asciiTheme="minorHAnsi" w:hAnsiTheme="minorHAnsi" w:cstheme="minorHAnsi"/>
        </w:rPr>
      </w:pPr>
    </w:p>
    <w:p w14:paraId="1B82871E" w14:textId="4FCC9AA1" w:rsidR="00793A29" w:rsidRPr="00747E35" w:rsidRDefault="00793A29" w:rsidP="003D3694">
      <w:pPr>
        <w:rPr>
          <w:rFonts w:asciiTheme="minorHAnsi" w:hAnsiTheme="minorHAnsi" w:cstheme="minorHAnsi"/>
        </w:rPr>
      </w:pPr>
      <w:r w:rsidRPr="00747E35">
        <w:rPr>
          <w:rFonts w:asciiTheme="minorHAnsi" w:hAnsiTheme="minorHAnsi" w:cstheme="minorHAnsi"/>
        </w:rPr>
        <w:t>Multivariate analysis revealed differences in assemblages between sites and sampling dates, and no obvious patterns in relation to flow regime (</w:t>
      </w:r>
      <w:r w:rsidRPr="00747E35">
        <w:rPr>
          <w:rFonts w:asciiTheme="minorHAnsi" w:hAnsiTheme="minorHAnsi" w:cstheme="minorHAnsi"/>
        </w:rPr>
        <w:fldChar w:fldCharType="begin"/>
      </w:r>
      <w:r w:rsidRPr="00747E35">
        <w:rPr>
          <w:rFonts w:asciiTheme="minorHAnsi" w:hAnsiTheme="minorHAnsi" w:cstheme="minorHAnsi"/>
        </w:rPr>
        <w:instrText xml:space="preserve"> REF _Ref469044000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101</w:t>
      </w:r>
      <w:r w:rsidRPr="00747E35">
        <w:rPr>
          <w:rFonts w:asciiTheme="minorHAnsi" w:hAnsiTheme="minorHAnsi" w:cstheme="minorHAnsi"/>
        </w:rPr>
        <w:fldChar w:fldCharType="end"/>
      </w:r>
      <w:r w:rsidRPr="00747E35">
        <w:rPr>
          <w:rFonts w:asciiTheme="minorHAnsi" w:hAnsiTheme="minorHAnsi" w:cstheme="minorHAnsi"/>
        </w:rPr>
        <w:t xml:space="preserve">).  Nine taxa were influential (Pearson r &gt; 0.4) in the ordination structure, and included representatives of all groundwater habitat affinity groups (Appendix 3 </w:t>
      </w:r>
      <w:r w:rsidRPr="00747E35">
        <w:rPr>
          <w:rFonts w:asciiTheme="minorHAnsi" w:hAnsiTheme="minorHAnsi" w:cstheme="minorHAnsi"/>
        </w:rPr>
        <w:fldChar w:fldCharType="begin"/>
      </w:r>
      <w:r w:rsidRPr="00747E35">
        <w:rPr>
          <w:rFonts w:asciiTheme="minorHAnsi" w:hAnsiTheme="minorHAnsi" w:cstheme="minorHAnsi"/>
        </w:rPr>
        <w:instrText xml:space="preserve"> REF _Ref467125329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50</w:t>
      </w:r>
      <w:r w:rsidRPr="00747E35">
        <w:rPr>
          <w:rFonts w:asciiTheme="minorHAnsi" w:hAnsiTheme="minorHAnsi" w:cstheme="minorHAnsi"/>
        </w:rPr>
        <w:fldChar w:fldCharType="end"/>
      </w:r>
      <w:r w:rsidRPr="00747E35">
        <w:rPr>
          <w:rFonts w:asciiTheme="minorHAnsi" w:hAnsiTheme="minorHAnsi" w:cstheme="minorHAnsi"/>
        </w:rPr>
        <w:t>). The most influential taxa were Nematoda (stygophile), Chironomidae (stygoxene) and Cyclopoida (stygophile/potential stygobite), and one stygobite ‘indicator’ (of connectivity to permanent groundwater habitat) taxon, Bathynellidae, was influential. Ordination assemblage patterns appeared to be strongly influenced by both groundwater habitat affinity groups - stygoxenes/epigean richness and stygobite/stygophile richness – as indicated by univariate biotic indices vectors (</w:t>
      </w:r>
      <w:r w:rsidRPr="00747E35">
        <w:rPr>
          <w:rFonts w:asciiTheme="minorHAnsi" w:hAnsiTheme="minorHAnsi" w:cstheme="minorHAnsi"/>
        </w:rPr>
        <w:fldChar w:fldCharType="begin"/>
      </w:r>
      <w:r w:rsidRPr="00747E35">
        <w:rPr>
          <w:rFonts w:asciiTheme="minorHAnsi" w:hAnsiTheme="minorHAnsi" w:cstheme="minorHAnsi"/>
        </w:rPr>
        <w:instrText xml:space="preserve"> REF _Ref469043944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102</w:t>
      </w:r>
      <w:r w:rsidRPr="00747E35">
        <w:rPr>
          <w:rFonts w:asciiTheme="minorHAnsi" w:hAnsiTheme="minorHAnsi" w:cstheme="minorHAnsi"/>
        </w:rPr>
        <w:fldChar w:fldCharType="end"/>
      </w:r>
      <w:r w:rsidRPr="00747E35">
        <w:rPr>
          <w:rFonts w:asciiTheme="minorHAnsi" w:hAnsiTheme="minorHAnsi" w:cstheme="minorHAnsi"/>
        </w:rPr>
        <w:t xml:space="preserve">).  In this respect, Bremer catchment contrasted with the Maules catchment where ordination assemblage patterns appeared </w:t>
      </w:r>
      <w:r w:rsidRPr="00747E35">
        <w:rPr>
          <w:rFonts w:asciiTheme="minorHAnsi" w:hAnsiTheme="minorHAnsi" w:cstheme="minorHAnsi"/>
        </w:rPr>
        <w:lastRenderedPageBreak/>
        <w:t>to be predominantly influenced by one groundwater habitat affinity group, namely stygobite/stygophile richness and abundance (see later below). A second contrast was that ‘indicator’ taxa (of connectivity to permanent groundwater habitat) – Bathynellidae, Parabathynellidae and Neoniphargidae - although present, were not influential in the assemblage ordination structure. Nine hydrochemistry variables correlated (Pearson r &gt; 0.4) with the invertebrate assemblage structure (</w:t>
      </w:r>
      <w:r w:rsidRPr="00747E35">
        <w:rPr>
          <w:rFonts w:asciiTheme="minorHAnsi" w:hAnsiTheme="minorHAnsi" w:cstheme="minorHAnsi"/>
        </w:rPr>
        <w:fldChar w:fldCharType="begin"/>
      </w:r>
      <w:r w:rsidRPr="00747E35">
        <w:rPr>
          <w:rFonts w:asciiTheme="minorHAnsi" w:hAnsiTheme="minorHAnsi" w:cstheme="minorHAnsi"/>
        </w:rPr>
        <w:instrText xml:space="preserve"> REF _Ref469044000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101</w:t>
      </w:r>
      <w:r w:rsidRPr="00747E35">
        <w:rPr>
          <w:rFonts w:asciiTheme="minorHAnsi" w:hAnsiTheme="minorHAnsi" w:cstheme="minorHAnsi"/>
        </w:rPr>
        <w:fldChar w:fldCharType="end"/>
      </w:r>
      <w:r w:rsidRPr="00747E35">
        <w:rPr>
          <w:rFonts w:asciiTheme="minorHAnsi" w:hAnsiTheme="minorHAnsi" w:cstheme="minorHAnsi"/>
        </w:rPr>
        <w:t xml:space="preserve">).  The most influential variable positively correlated with richness and abundance was DO, and the most influential inversely correlated variable was Bromide (Appendix 3 </w:t>
      </w:r>
      <w:r w:rsidRPr="00747E35">
        <w:rPr>
          <w:rFonts w:asciiTheme="minorHAnsi" w:hAnsiTheme="minorHAnsi" w:cstheme="minorHAnsi"/>
        </w:rPr>
        <w:fldChar w:fldCharType="begin"/>
      </w:r>
      <w:r w:rsidRPr="00747E35">
        <w:rPr>
          <w:rFonts w:asciiTheme="minorHAnsi" w:hAnsiTheme="minorHAnsi" w:cstheme="minorHAnsi"/>
        </w:rPr>
        <w:instrText xml:space="preserve"> REF _Ref467125329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50</w:t>
      </w:r>
      <w:r w:rsidRPr="00747E35">
        <w:rPr>
          <w:rFonts w:asciiTheme="minorHAnsi" w:hAnsiTheme="minorHAnsi" w:cstheme="minorHAnsi"/>
        </w:rPr>
        <w:fldChar w:fldCharType="end"/>
      </w:r>
      <w:r w:rsidRPr="00747E35">
        <w:rPr>
          <w:rFonts w:asciiTheme="minorHAnsi" w:hAnsiTheme="minorHAnsi" w:cstheme="minorHAnsi"/>
        </w:rPr>
        <w:t xml:space="preserve">). Similarly to the Maules catchment, EC, Na, Mg, Ca, As and chloride were influential, however reduced ionic species, nutrients and organics were weakly correlated. There was weak evidence for an association with the volume of fine sediment, and very weak evidence for an association with hydraulic gradient (VHH) (Appendix 3 </w:t>
      </w:r>
      <w:r w:rsidRPr="00747E35">
        <w:rPr>
          <w:rFonts w:asciiTheme="minorHAnsi" w:hAnsiTheme="minorHAnsi" w:cstheme="minorHAnsi"/>
        </w:rPr>
        <w:fldChar w:fldCharType="begin"/>
      </w:r>
      <w:r w:rsidRPr="00747E35">
        <w:rPr>
          <w:rFonts w:asciiTheme="minorHAnsi" w:hAnsiTheme="minorHAnsi" w:cstheme="minorHAnsi"/>
        </w:rPr>
        <w:instrText xml:space="preserve"> REF _Ref467125329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50</w:t>
      </w:r>
      <w:r w:rsidRPr="00747E35">
        <w:rPr>
          <w:rFonts w:asciiTheme="minorHAnsi" w:hAnsiTheme="minorHAnsi" w:cstheme="minorHAnsi"/>
        </w:rPr>
        <w:fldChar w:fldCharType="end"/>
      </w:r>
      <w:r w:rsidRPr="00747E35">
        <w:rPr>
          <w:rFonts w:asciiTheme="minorHAnsi" w:hAnsiTheme="minorHAnsi" w:cstheme="minorHAnsi"/>
        </w:rPr>
        <w:t>).</w:t>
      </w:r>
    </w:p>
    <w:p w14:paraId="7A734819" w14:textId="77777777" w:rsidR="003D3694" w:rsidRPr="00747E35" w:rsidRDefault="003D3694" w:rsidP="003D3694">
      <w:pPr>
        <w:keepNext/>
        <w:keepLines/>
        <w:autoSpaceDE/>
        <w:autoSpaceDN/>
        <w:spacing w:line="276" w:lineRule="auto"/>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2B558E46" wp14:editId="61F16FE9">
            <wp:extent cx="5943600" cy="4388485"/>
            <wp:effectExtent l="0" t="0" r="0" b="0"/>
            <wp:docPr id="2055" name="Picture 2" descr="Bubble plots and vector dia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5943600" cy="4388485"/>
                    </a:xfrm>
                    <a:prstGeom prst="rect">
                      <a:avLst/>
                    </a:prstGeom>
                    <a:noFill/>
                    <a:ln>
                      <a:noFill/>
                    </a:ln>
                    <a:effectLst/>
                    <a:extLst/>
                  </pic:spPr>
                </pic:pic>
              </a:graphicData>
            </a:graphic>
          </wp:inline>
        </w:drawing>
      </w:r>
    </w:p>
    <w:p w14:paraId="33A1D753" w14:textId="77777777" w:rsidR="003D3694" w:rsidRPr="00747E35" w:rsidRDefault="003D3694" w:rsidP="00CF473C">
      <w:pPr>
        <w:pStyle w:val="Caption"/>
        <w:numPr>
          <w:ilvl w:val="0"/>
          <w:numId w:val="0"/>
        </w:numPr>
        <w:rPr>
          <w:rFonts w:cstheme="minorHAnsi"/>
        </w:rPr>
      </w:pPr>
      <w:bookmarkStart w:id="287" w:name="_Ref469044000"/>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101</w:t>
      </w:r>
      <w:r w:rsidR="009D6600" w:rsidRPr="00747E35">
        <w:rPr>
          <w:rFonts w:cstheme="minorHAnsi"/>
          <w:noProof/>
        </w:rPr>
        <w:fldChar w:fldCharType="end"/>
      </w:r>
      <w:bookmarkEnd w:id="287"/>
      <w:r w:rsidRPr="00747E35">
        <w:rPr>
          <w:rFonts w:cstheme="minorHAnsi"/>
        </w:rPr>
        <w:t xml:space="preserve">: Multivariate analysis revealed differences in assemblages between sites and sampling dates, and no obvious patterns in relation to flow regime. Non-metric multidimensional scaling (nMDS) ordination bubble plots of hyporheos assemblages depicting richness (A) and abundance (B) for all samples in the Bremer catchment.  The vectors represent influential invertebrate taxa (C) and hydrochemistry variables (D) that were most correlated (Pearson r &gt; 0.4) to the average dissimilarity between hyporheos samples. Samples are coloured by the observed creek flow regime at time of sampling: intermittent (blue), perennial gaining (green), perennial losing (red). Invertebrate abundance data square root transformed (+dummy variable). Environmental variables with skewed distributions were transformed to approximate normality and then all variables were normalised. </w:t>
      </w:r>
    </w:p>
    <w:p w14:paraId="62CE68E3" w14:textId="77777777" w:rsidR="003D3694" w:rsidRPr="00747E35" w:rsidRDefault="003D3694" w:rsidP="003D3694">
      <w:pPr>
        <w:rPr>
          <w:rFonts w:asciiTheme="minorHAnsi" w:hAnsiTheme="minorHAnsi" w:cstheme="minorHAnsi"/>
        </w:rPr>
      </w:pPr>
    </w:p>
    <w:p w14:paraId="239AAF39" w14:textId="77777777" w:rsidR="003D3694" w:rsidRPr="00747E35" w:rsidRDefault="003D3694" w:rsidP="003D3694">
      <w:pP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0AAC6B2F" wp14:editId="0E121F59">
            <wp:extent cx="5943600" cy="6031230"/>
            <wp:effectExtent l="0" t="0" r="0" b="7620"/>
            <wp:docPr id="11266" name="Picture 2" descr="Bubble plots and vector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5943600" cy="6031230"/>
                    </a:xfrm>
                    <a:prstGeom prst="rect">
                      <a:avLst/>
                    </a:prstGeom>
                    <a:noFill/>
                    <a:ln>
                      <a:noFill/>
                    </a:ln>
                    <a:effectLst/>
                    <a:extLst/>
                  </pic:spPr>
                </pic:pic>
              </a:graphicData>
            </a:graphic>
          </wp:inline>
        </w:drawing>
      </w:r>
    </w:p>
    <w:p w14:paraId="0040E09F" w14:textId="623BB35A" w:rsidR="003D3694" w:rsidRPr="00747E35" w:rsidRDefault="009A3D4A" w:rsidP="00CF473C">
      <w:pPr>
        <w:pStyle w:val="Caption"/>
        <w:numPr>
          <w:ilvl w:val="0"/>
          <w:numId w:val="0"/>
        </w:numPr>
        <w:rPr>
          <w:rFonts w:cstheme="minorHAnsi"/>
        </w:rPr>
      </w:pPr>
      <w:bookmarkStart w:id="288" w:name="_Ref469043944"/>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102</w:t>
      </w:r>
      <w:r w:rsidR="009D6600" w:rsidRPr="00747E35">
        <w:rPr>
          <w:rFonts w:cstheme="minorHAnsi"/>
          <w:noProof/>
        </w:rPr>
        <w:fldChar w:fldCharType="end"/>
      </w:r>
      <w:bookmarkEnd w:id="288"/>
      <w:r w:rsidR="003D3694" w:rsidRPr="00747E35">
        <w:rPr>
          <w:rFonts w:cstheme="minorHAnsi"/>
        </w:rPr>
        <w:t>: Ordination assemblage patterns appeared to be strongly influenced by both groundwater habitat affinity groups - stygoxenes/epigean richness and stygobite/stygophile richness (compare this with Maules Creek which appeared to be influenced, predominantly, by one groundwater habitat affinity group - stygobite/stygophile, richness and abundance). Non-metric multidimensional scaling (nMDS) ordination bubble plots of hyporheos assemblages for all samples in the Bremer catchment; bubble plots show differences between functional group: (A) Stygobite/stygophile (Sb/Sp) richness; (B) Sb/Sp abundance; (C) Stygoxene/epigean (Sx/Ep) richness; (D) Sx/Ep abundance. The vectors (E) represent influential univariate biotic indices that were most correlated (Pearson r &gt; 0.4) to the average dissimilarity between hyporheos samples. Samples are coloured by the observed creek flow regime at time of sampling: intermittent (blue), perennial gaining (green), perennial losing (red). Invertebrate abundance data square root transformed (+dummy variable). Environmental variables with skewed distributions were transformed to approximate normality and then all variables were normalised.</w:t>
      </w:r>
    </w:p>
    <w:p w14:paraId="53F5EF1B" w14:textId="77777777" w:rsidR="003D3694" w:rsidRPr="00747E35" w:rsidRDefault="003D3694" w:rsidP="003D3694">
      <w:pPr>
        <w:rPr>
          <w:rFonts w:asciiTheme="minorHAnsi" w:hAnsiTheme="minorHAnsi" w:cstheme="minorHAnsi"/>
        </w:rPr>
      </w:pPr>
    </w:p>
    <w:p w14:paraId="1CE2B342" w14:textId="76A67251" w:rsidR="003D3694" w:rsidRPr="00747E35" w:rsidRDefault="003D3694" w:rsidP="00C6582F">
      <w:pPr>
        <w:rPr>
          <w:rFonts w:asciiTheme="minorHAnsi" w:hAnsiTheme="minorHAnsi" w:cstheme="minorHAnsi"/>
          <w:lang w:eastAsia="zh-CN"/>
        </w:rPr>
      </w:pPr>
      <w:r w:rsidRPr="00747E35">
        <w:rPr>
          <w:rFonts w:asciiTheme="minorHAnsi" w:hAnsiTheme="minorHAnsi" w:cstheme="minorHAnsi"/>
        </w:rPr>
        <w:t>After excluding sites/dates with few samples (n&lt;3) and a few deep samples (most Bremer samples were limited to shallow depth due to thin alluvium), PERMANOVA tests of the null hypotheses of no differences in hyporheos assemblages based on flow regime, sample site and sample date, suggested that sample date was highly significant (p=0.0001). T</w:t>
      </w:r>
      <w:r w:rsidRPr="00747E35">
        <w:rPr>
          <w:rFonts w:asciiTheme="minorHAnsi" w:hAnsiTheme="minorHAnsi" w:cstheme="minorHAnsi"/>
          <w:lang w:eastAsia="zh-CN"/>
        </w:rPr>
        <w:t>here was no support for an effect due to sample site, flow regime or VHH, however there was strong support for effects due to DO as a continuous co-variable (</w:t>
      </w:r>
      <w:r w:rsidR="00C6582F" w:rsidRPr="00747E35">
        <w:rPr>
          <w:rFonts w:asciiTheme="minorHAnsi" w:hAnsiTheme="minorHAnsi" w:cstheme="minorHAnsi"/>
          <w:lang w:eastAsia="zh-CN"/>
        </w:rPr>
        <w:fldChar w:fldCharType="begin"/>
      </w:r>
      <w:r w:rsidR="00C6582F" w:rsidRPr="00747E35">
        <w:rPr>
          <w:rFonts w:asciiTheme="minorHAnsi" w:hAnsiTheme="minorHAnsi" w:cstheme="minorHAnsi"/>
          <w:lang w:eastAsia="zh-CN"/>
        </w:rPr>
        <w:instrText xml:space="preserve"> REF _Ref469064627 \h  \* MERGEFORMAT </w:instrText>
      </w:r>
      <w:r w:rsidR="00C6582F" w:rsidRPr="00747E35">
        <w:rPr>
          <w:rFonts w:asciiTheme="minorHAnsi" w:hAnsiTheme="minorHAnsi" w:cstheme="minorHAnsi"/>
          <w:lang w:eastAsia="zh-CN"/>
        </w:rPr>
      </w:r>
      <w:r w:rsidR="00C6582F" w:rsidRPr="00747E35">
        <w:rPr>
          <w:rFonts w:asciiTheme="minorHAnsi" w:hAnsiTheme="minorHAnsi" w:cstheme="minorHAnsi"/>
          <w:lang w:eastAsia="zh-CN"/>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24</w:t>
      </w:r>
      <w:r w:rsidR="00C6582F" w:rsidRPr="00747E35">
        <w:rPr>
          <w:rFonts w:asciiTheme="minorHAnsi" w:hAnsiTheme="minorHAnsi" w:cstheme="minorHAnsi"/>
          <w:lang w:eastAsia="zh-CN"/>
        </w:rPr>
        <w:fldChar w:fldCharType="end"/>
      </w:r>
      <w:r w:rsidR="00C6582F" w:rsidRPr="00747E35">
        <w:rPr>
          <w:rFonts w:asciiTheme="minorHAnsi" w:hAnsiTheme="minorHAnsi" w:cstheme="minorHAnsi"/>
          <w:lang w:eastAsia="zh-CN"/>
        </w:rPr>
        <w:t>).</w:t>
      </w:r>
    </w:p>
    <w:p w14:paraId="25FEEB7A" w14:textId="77777777" w:rsidR="00C6582F" w:rsidRPr="00747E35" w:rsidRDefault="00C6582F" w:rsidP="00C6582F">
      <w:pPr>
        <w:rPr>
          <w:rFonts w:asciiTheme="minorHAnsi" w:hAnsiTheme="minorHAnsi" w:cstheme="minorHAnsi"/>
          <w:lang w:val="en-AU" w:eastAsia="en-US"/>
        </w:rPr>
      </w:pPr>
      <w:bookmarkStart w:id="289" w:name="_Ref466446281"/>
    </w:p>
    <w:p w14:paraId="4003A1AD" w14:textId="77777777" w:rsidR="003D3694" w:rsidRPr="00747E35" w:rsidRDefault="003D3694" w:rsidP="00CF473C">
      <w:pPr>
        <w:pStyle w:val="Caption"/>
        <w:numPr>
          <w:ilvl w:val="0"/>
          <w:numId w:val="0"/>
        </w:numPr>
        <w:rPr>
          <w:rFonts w:cstheme="minorHAnsi"/>
        </w:rPr>
      </w:pPr>
      <w:r w:rsidRPr="00747E35">
        <w:rPr>
          <w:rFonts w:cstheme="minorHAnsi"/>
        </w:rPr>
        <w:t xml:space="preserve">Table </w:t>
      </w:r>
      <w:bookmarkEnd w:id="289"/>
      <w:r w:rsidRPr="00747E35">
        <w:rPr>
          <w:rFonts w:cstheme="minorHAnsi"/>
        </w:rPr>
        <w:t>24: PERMANOVA test of the null hypothesis of no differences in hyporheos assemblages based on flow regime, sample site and sample date, suggested that sample date was highly significant (p=0.0001) while t</w:t>
      </w:r>
      <w:r w:rsidRPr="00747E35">
        <w:rPr>
          <w:rFonts w:cstheme="minorHAnsi"/>
          <w:lang w:eastAsia="zh-CN"/>
        </w:rPr>
        <w:t>here was no support for an effect due to sample site, flow regime or vertical hydraulic head (VHH), however there was strong support (p=</w:t>
      </w:r>
      <w:r w:rsidRPr="00747E35">
        <w:rPr>
          <w:rFonts w:cstheme="minorHAnsi"/>
        </w:rPr>
        <w:t xml:space="preserve">0.0015) </w:t>
      </w:r>
      <w:r w:rsidRPr="00747E35">
        <w:rPr>
          <w:rFonts w:cstheme="minorHAnsi"/>
          <w:lang w:eastAsia="zh-CN"/>
        </w:rPr>
        <w:t>for effects due to dissolved oxygen (DO) as a continuous co-variable</w:t>
      </w:r>
      <w:r w:rsidRPr="00747E35">
        <w:rPr>
          <w:rFonts w:cstheme="minorHAnsi"/>
        </w:rPr>
        <w:t xml:space="preserve">. </w:t>
      </w:r>
    </w:p>
    <w:tbl>
      <w:tblPr>
        <w:tblW w:w="66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9"/>
        <w:gridCol w:w="1340"/>
        <w:gridCol w:w="1559"/>
        <w:gridCol w:w="1559"/>
      </w:tblGrid>
      <w:tr w:rsidR="003D3694" w:rsidRPr="00747E35" w14:paraId="4BAC13AE" w14:textId="77777777" w:rsidTr="0096743A">
        <w:trPr>
          <w:trHeight w:val="288"/>
          <w:jc w:val="center"/>
        </w:trPr>
        <w:tc>
          <w:tcPr>
            <w:tcW w:w="2199" w:type="dxa"/>
            <w:shd w:val="clear" w:color="auto" w:fill="DEEAF6" w:themeFill="accent1" w:themeFillTint="33"/>
            <w:noWrap/>
            <w:hideMark/>
          </w:tcPr>
          <w:p w14:paraId="47076340"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Source</w:t>
            </w:r>
          </w:p>
        </w:tc>
        <w:tc>
          <w:tcPr>
            <w:tcW w:w="1340" w:type="dxa"/>
            <w:shd w:val="clear" w:color="auto" w:fill="DEEAF6" w:themeFill="accent1" w:themeFillTint="33"/>
            <w:noWrap/>
            <w:hideMark/>
          </w:tcPr>
          <w:p w14:paraId="01776C97"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df</w:t>
            </w:r>
          </w:p>
        </w:tc>
        <w:tc>
          <w:tcPr>
            <w:tcW w:w="1559" w:type="dxa"/>
            <w:shd w:val="clear" w:color="auto" w:fill="DEEAF6" w:themeFill="accent1" w:themeFillTint="33"/>
            <w:noWrap/>
            <w:hideMark/>
          </w:tcPr>
          <w:p w14:paraId="5D8D8444"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Pseudo-F</w:t>
            </w:r>
          </w:p>
        </w:tc>
        <w:tc>
          <w:tcPr>
            <w:tcW w:w="1559" w:type="dxa"/>
            <w:shd w:val="clear" w:color="auto" w:fill="DEEAF6" w:themeFill="accent1" w:themeFillTint="33"/>
            <w:vAlign w:val="bottom"/>
          </w:tcPr>
          <w:p w14:paraId="19181360"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P(perm)</w:t>
            </w:r>
          </w:p>
        </w:tc>
      </w:tr>
      <w:tr w:rsidR="003D3694" w:rsidRPr="00747E35" w14:paraId="0DD97B73" w14:textId="77777777" w:rsidTr="0096743A">
        <w:trPr>
          <w:trHeight w:val="288"/>
          <w:jc w:val="center"/>
        </w:trPr>
        <w:tc>
          <w:tcPr>
            <w:tcW w:w="2199" w:type="dxa"/>
            <w:shd w:val="clear" w:color="auto" w:fill="auto"/>
            <w:noWrap/>
            <w:vAlign w:val="bottom"/>
          </w:tcPr>
          <w:p w14:paraId="237BD0D5" w14:textId="77777777" w:rsidR="003D3694" w:rsidRPr="00747E35" w:rsidRDefault="003D3694" w:rsidP="0096743A">
            <w:pPr>
              <w:pStyle w:val="Tabletext"/>
              <w:spacing w:before="0" w:after="0"/>
              <w:rPr>
                <w:rFonts w:eastAsia="Times New Roman" w:cstheme="minorHAnsi"/>
                <w:lang w:eastAsia="en-AU"/>
              </w:rPr>
            </w:pPr>
            <w:r w:rsidRPr="00747E35">
              <w:rPr>
                <w:rFonts w:cstheme="minorHAnsi"/>
              </w:rPr>
              <w:t>VHH (cm)</w:t>
            </w:r>
          </w:p>
        </w:tc>
        <w:tc>
          <w:tcPr>
            <w:tcW w:w="1340" w:type="dxa"/>
            <w:shd w:val="clear" w:color="auto" w:fill="auto"/>
            <w:noWrap/>
            <w:vAlign w:val="bottom"/>
          </w:tcPr>
          <w:p w14:paraId="60072DF4" w14:textId="77777777" w:rsidR="003D3694" w:rsidRPr="00747E35" w:rsidRDefault="003D3694" w:rsidP="0096743A">
            <w:pPr>
              <w:pStyle w:val="Tabletext"/>
              <w:spacing w:before="0" w:after="0"/>
              <w:rPr>
                <w:rFonts w:cstheme="minorHAnsi"/>
              </w:rPr>
            </w:pPr>
            <w:r w:rsidRPr="00747E35">
              <w:rPr>
                <w:rFonts w:cstheme="minorHAnsi"/>
              </w:rPr>
              <w:t>1</w:t>
            </w:r>
          </w:p>
        </w:tc>
        <w:tc>
          <w:tcPr>
            <w:tcW w:w="1559" w:type="dxa"/>
            <w:shd w:val="clear" w:color="auto" w:fill="auto"/>
            <w:noWrap/>
            <w:vAlign w:val="bottom"/>
          </w:tcPr>
          <w:p w14:paraId="0E7ADAC9" w14:textId="77777777" w:rsidR="003D3694" w:rsidRPr="00747E35" w:rsidRDefault="003D3694" w:rsidP="0096743A">
            <w:pPr>
              <w:pStyle w:val="Tabletext"/>
              <w:spacing w:before="0" w:after="0"/>
              <w:rPr>
                <w:rFonts w:cstheme="minorHAnsi"/>
              </w:rPr>
            </w:pPr>
            <w:r w:rsidRPr="00747E35">
              <w:rPr>
                <w:rFonts w:cstheme="minorHAnsi"/>
              </w:rPr>
              <w:t>0.72</w:t>
            </w:r>
          </w:p>
        </w:tc>
        <w:tc>
          <w:tcPr>
            <w:tcW w:w="1559" w:type="dxa"/>
            <w:vAlign w:val="bottom"/>
          </w:tcPr>
          <w:p w14:paraId="1A280F23" w14:textId="77777777" w:rsidR="003D3694" w:rsidRPr="00747E35" w:rsidRDefault="003D3694" w:rsidP="0096743A">
            <w:pPr>
              <w:pStyle w:val="Tabletext"/>
              <w:spacing w:before="0" w:after="0"/>
              <w:rPr>
                <w:rFonts w:cstheme="minorHAnsi"/>
              </w:rPr>
            </w:pPr>
            <w:r w:rsidRPr="00747E35">
              <w:rPr>
                <w:rFonts w:cstheme="minorHAnsi"/>
                <w:color w:val="000000"/>
                <w:sz w:val="22"/>
              </w:rPr>
              <w:t>0.6726</w:t>
            </w:r>
          </w:p>
        </w:tc>
      </w:tr>
      <w:tr w:rsidR="003D3694" w:rsidRPr="00747E35" w14:paraId="696D1283" w14:textId="77777777" w:rsidTr="0096743A">
        <w:trPr>
          <w:trHeight w:val="288"/>
          <w:jc w:val="center"/>
        </w:trPr>
        <w:tc>
          <w:tcPr>
            <w:tcW w:w="2199" w:type="dxa"/>
            <w:shd w:val="clear" w:color="auto" w:fill="auto"/>
            <w:noWrap/>
            <w:vAlign w:val="bottom"/>
          </w:tcPr>
          <w:p w14:paraId="6B61940F" w14:textId="77777777" w:rsidR="003D3694" w:rsidRPr="00747E35" w:rsidRDefault="003D3694" w:rsidP="0096743A">
            <w:pPr>
              <w:pStyle w:val="Tabletext"/>
              <w:spacing w:before="0" w:after="0"/>
              <w:rPr>
                <w:rFonts w:eastAsia="Times New Roman" w:cstheme="minorHAnsi"/>
                <w:b/>
                <w:lang w:eastAsia="en-AU"/>
              </w:rPr>
            </w:pPr>
            <w:r w:rsidRPr="00747E35">
              <w:rPr>
                <w:rFonts w:cstheme="minorHAnsi"/>
                <w:b/>
              </w:rPr>
              <w:t>DO (mg/L)</w:t>
            </w:r>
          </w:p>
        </w:tc>
        <w:tc>
          <w:tcPr>
            <w:tcW w:w="1340" w:type="dxa"/>
            <w:shd w:val="clear" w:color="auto" w:fill="auto"/>
            <w:noWrap/>
            <w:vAlign w:val="bottom"/>
          </w:tcPr>
          <w:p w14:paraId="197A06E0" w14:textId="77777777" w:rsidR="003D3694" w:rsidRPr="00747E35" w:rsidRDefault="003D3694" w:rsidP="0096743A">
            <w:pPr>
              <w:pStyle w:val="Tabletext"/>
              <w:spacing w:before="0" w:after="0"/>
              <w:rPr>
                <w:rFonts w:cstheme="minorHAnsi"/>
              </w:rPr>
            </w:pPr>
            <w:r w:rsidRPr="00747E35">
              <w:rPr>
                <w:rFonts w:cstheme="minorHAnsi"/>
              </w:rPr>
              <w:t>1</w:t>
            </w:r>
          </w:p>
        </w:tc>
        <w:tc>
          <w:tcPr>
            <w:tcW w:w="1559" w:type="dxa"/>
            <w:shd w:val="clear" w:color="auto" w:fill="auto"/>
            <w:noWrap/>
            <w:vAlign w:val="bottom"/>
          </w:tcPr>
          <w:p w14:paraId="796689ED" w14:textId="77777777" w:rsidR="003D3694" w:rsidRPr="00747E35" w:rsidRDefault="003D3694" w:rsidP="0096743A">
            <w:pPr>
              <w:pStyle w:val="Tabletext"/>
              <w:spacing w:before="0" w:after="0"/>
              <w:rPr>
                <w:rFonts w:cstheme="minorHAnsi"/>
              </w:rPr>
            </w:pPr>
            <w:r w:rsidRPr="00747E35">
              <w:rPr>
                <w:rFonts w:cstheme="minorHAnsi"/>
              </w:rPr>
              <w:t>3.55</w:t>
            </w:r>
          </w:p>
        </w:tc>
        <w:tc>
          <w:tcPr>
            <w:tcW w:w="1559" w:type="dxa"/>
            <w:vAlign w:val="bottom"/>
          </w:tcPr>
          <w:p w14:paraId="6DC63F08" w14:textId="77777777" w:rsidR="003D3694" w:rsidRPr="00747E35" w:rsidRDefault="003D3694" w:rsidP="0096743A">
            <w:pPr>
              <w:pStyle w:val="Tabletext"/>
              <w:spacing w:before="0" w:after="0"/>
              <w:rPr>
                <w:rFonts w:cstheme="minorHAnsi"/>
                <w:b/>
              </w:rPr>
            </w:pPr>
            <w:r w:rsidRPr="00747E35">
              <w:rPr>
                <w:rFonts w:cstheme="minorHAnsi"/>
                <w:b/>
                <w:color w:val="000000"/>
                <w:sz w:val="22"/>
              </w:rPr>
              <w:t>0.0015</w:t>
            </w:r>
          </w:p>
        </w:tc>
      </w:tr>
      <w:tr w:rsidR="003D3694" w:rsidRPr="00747E35" w14:paraId="2A1248CA" w14:textId="77777777" w:rsidTr="0096743A">
        <w:trPr>
          <w:trHeight w:val="288"/>
          <w:jc w:val="center"/>
        </w:trPr>
        <w:tc>
          <w:tcPr>
            <w:tcW w:w="2199" w:type="dxa"/>
            <w:shd w:val="clear" w:color="auto" w:fill="auto"/>
            <w:noWrap/>
            <w:vAlign w:val="bottom"/>
            <w:hideMark/>
          </w:tcPr>
          <w:p w14:paraId="186C0821" w14:textId="77777777" w:rsidR="003D3694" w:rsidRPr="00747E35" w:rsidRDefault="003D3694" w:rsidP="0096743A">
            <w:pPr>
              <w:pStyle w:val="Tabletext"/>
              <w:spacing w:before="0" w:after="0"/>
              <w:rPr>
                <w:rFonts w:eastAsia="Times New Roman" w:cstheme="minorHAnsi"/>
                <w:lang w:eastAsia="en-AU"/>
              </w:rPr>
            </w:pPr>
            <w:r w:rsidRPr="00747E35">
              <w:rPr>
                <w:rFonts w:eastAsia="Times New Roman" w:cstheme="minorHAnsi"/>
                <w:lang w:eastAsia="en-AU"/>
              </w:rPr>
              <w:t>Regime</w:t>
            </w:r>
          </w:p>
        </w:tc>
        <w:tc>
          <w:tcPr>
            <w:tcW w:w="1340" w:type="dxa"/>
            <w:shd w:val="clear" w:color="auto" w:fill="auto"/>
            <w:noWrap/>
            <w:vAlign w:val="bottom"/>
            <w:hideMark/>
          </w:tcPr>
          <w:p w14:paraId="038099FB" w14:textId="77777777" w:rsidR="003D3694" w:rsidRPr="00747E35" w:rsidRDefault="003D3694" w:rsidP="0096743A">
            <w:pPr>
              <w:pStyle w:val="Tabletext"/>
              <w:spacing w:before="0" w:after="0"/>
              <w:rPr>
                <w:rFonts w:eastAsia="Times New Roman" w:cstheme="minorHAnsi"/>
                <w:lang w:eastAsia="en-AU"/>
              </w:rPr>
            </w:pPr>
            <w:r w:rsidRPr="00747E35">
              <w:rPr>
                <w:rFonts w:cstheme="minorHAnsi"/>
              </w:rPr>
              <w:t>2</w:t>
            </w:r>
          </w:p>
        </w:tc>
        <w:tc>
          <w:tcPr>
            <w:tcW w:w="1559" w:type="dxa"/>
            <w:shd w:val="clear" w:color="auto" w:fill="auto"/>
            <w:noWrap/>
            <w:vAlign w:val="bottom"/>
            <w:hideMark/>
          </w:tcPr>
          <w:p w14:paraId="779FEA4D" w14:textId="77777777" w:rsidR="003D3694" w:rsidRPr="00747E35" w:rsidRDefault="003D3694" w:rsidP="0096743A">
            <w:pPr>
              <w:pStyle w:val="Tabletext"/>
              <w:spacing w:before="0" w:after="0"/>
              <w:rPr>
                <w:rFonts w:eastAsia="Times New Roman" w:cstheme="minorHAnsi"/>
                <w:lang w:eastAsia="en-AU"/>
              </w:rPr>
            </w:pPr>
            <w:r w:rsidRPr="00747E35">
              <w:rPr>
                <w:rFonts w:cstheme="minorHAnsi"/>
              </w:rPr>
              <w:t>1.62</w:t>
            </w:r>
          </w:p>
        </w:tc>
        <w:tc>
          <w:tcPr>
            <w:tcW w:w="1559" w:type="dxa"/>
            <w:vAlign w:val="bottom"/>
          </w:tcPr>
          <w:p w14:paraId="4CEC8E0C" w14:textId="77777777" w:rsidR="003D3694" w:rsidRPr="00747E35" w:rsidRDefault="003D3694" w:rsidP="0096743A">
            <w:pPr>
              <w:pStyle w:val="Tabletext"/>
              <w:spacing w:before="0" w:after="0"/>
              <w:rPr>
                <w:rFonts w:cstheme="minorHAnsi"/>
              </w:rPr>
            </w:pPr>
            <w:r w:rsidRPr="00747E35">
              <w:rPr>
                <w:rFonts w:cstheme="minorHAnsi"/>
                <w:color w:val="000000"/>
                <w:sz w:val="22"/>
              </w:rPr>
              <w:t>0.2791</w:t>
            </w:r>
          </w:p>
        </w:tc>
      </w:tr>
      <w:tr w:rsidR="003D3694" w:rsidRPr="00747E35" w14:paraId="15390C81" w14:textId="77777777" w:rsidTr="0096743A">
        <w:trPr>
          <w:trHeight w:val="288"/>
          <w:jc w:val="center"/>
        </w:trPr>
        <w:tc>
          <w:tcPr>
            <w:tcW w:w="2199" w:type="dxa"/>
            <w:shd w:val="clear" w:color="auto" w:fill="auto"/>
            <w:noWrap/>
            <w:vAlign w:val="bottom"/>
            <w:hideMark/>
          </w:tcPr>
          <w:p w14:paraId="1A7F2C7A" w14:textId="77777777" w:rsidR="003D3694" w:rsidRPr="00747E35" w:rsidRDefault="003D3694" w:rsidP="0096743A">
            <w:pPr>
              <w:pStyle w:val="Tabletext"/>
              <w:spacing w:before="0" w:after="0"/>
              <w:rPr>
                <w:rFonts w:eastAsia="Times New Roman" w:cstheme="minorHAnsi"/>
                <w:lang w:eastAsia="en-AU"/>
              </w:rPr>
            </w:pPr>
            <w:r w:rsidRPr="00747E35">
              <w:rPr>
                <w:rFonts w:eastAsia="Times New Roman" w:cstheme="minorHAnsi"/>
                <w:lang w:eastAsia="en-AU"/>
              </w:rPr>
              <w:t>Site(Regime)</w:t>
            </w:r>
          </w:p>
        </w:tc>
        <w:tc>
          <w:tcPr>
            <w:tcW w:w="1340" w:type="dxa"/>
            <w:shd w:val="clear" w:color="auto" w:fill="auto"/>
            <w:noWrap/>
            <w:vAlign w:val="bottom"/>
            <w:hideMark/>
          </w:tcPr>
          <w:p w14:paraId="1BD9F58D" w14:textId="77777777" w:rsidR="003D3694" w:rsidRPr="00747E35" w:rsidRDefault="003D3694" w:rsidP="0096743A">
            <w:pPr>
              <w:pStyle w:val="Tabletext"/>
              <w:spacing w:before="0" w:after="0"/>
              <w:rPr>
                <w:rFonts w:eastAsia="Times New Roman" w:cstheme="minorHAnsi"/>
                <w:lang w:eastAsia="en-AU"/>
              </w:rPr>
            </w:pPr>
            <w:r w:rsidRPr="00747E35">
              <w:rPr>
                <w:rFonts w:cstheme="minorHAnsi"/>
              </w:rPr>
              <w:t>2</w:t>
            </w:r>
          </w:p>
        </w:tc>
        <w:tc>
          <w:tcPr>
            <w:tcW w:w="1559" w:type="dxa"/>
            <w:shd w:val="clear" w:color="auto" w:fill="auto"/>
            <w:noWrap/>
            <w:vAlign w:val="bottom"/>
            <w:hideMark/>
          </w:tcPr>
          <w:p w14:paraId="13ADE2AA" w14:textId="77777777" w:rsidR="003D3694" w:rsidRPr="00747E35" w:rsidRDefault="003D3694" w:rsidP="0096743A">
            <w:pPr>
              <w:pStyle w:val="Tabletext"/>
              <w:spacing w:before="0" w:after="0"/>
              <w:rPr>
                <w:rFonts w:eastAsia="Times New Roman" w:cstheme="minorHAnsi"/>
                <w:lang w:eastAsia="en-AU"/>
              </w:rPr>
            </w:pPr>
            <w:r w:rsidRPr="00747E35">
              <w:rPr>
                <w:rFonts w:cstheme="minorHAnsi"/>
              </w:rPr>
              <w:t>0.76</w:t>
            </w:r>
          </w:p>
        </w:tc>
        <w:tc>
          <w:tcPr>
            <w:tcW w:w="1559" w:type="dxa"/>
            <w:vAlign w:val="bottom"/>
          </w:tcPr>
          <w:p w14:paraId="10DD4F54" w14:textId="77777777" w:rsidR="003D3694" w:rsidRPr="00747E35" w:rsidRDefault="003D3694" w:rsidP="0096743A">
            <w:pPr>
              <w:pStyle w:val="Tabletext"/>
              <w:spacing w:before="0" w:after="0"/>
              <w:rPr>
                <w:rFonts w:cstheme="minorHAnsi"/>
              </w:rPr>
            </w:pPr>
            <w:r w:rsidRPr="00747E35">
              <w:rPr>
                <w:rFonts w:cstheme="minorHAnsi"/>
                <w:color w:val="000000"/>
                <w:sz w:val="22"/>
              </w:rPr>
              <w:t>0.6305</w:t>
            </w:r>
          </w:p>
        </w:tc>
      </w:tr>
      <w:tr w:rsidR="003D3694" w:rsidRPr="00747E35" w14:paraId="5A3FADA8" w14:textId="77777777" w:rsidTr="0096743A">
        <w:trPr>
          <w:trHeight w:val="288"/>
          <w:jc w:val="center"/>
        </w:trPr>
        <w:tc>
          <w:tcPr>
            <w:tcW w:w="2199" w:type="dxa"/>
            <w:shd w:val="clear" w:color="auto" w:fill="auto"/>
            <w:noWrap/>
            <w:vAlign w:val="bottom"/>
            <w:hideMark/>
          </w:tcPr>
          <w:p w14:paraId="48A1732D" w14:textId="77777777" w:rsidR="003D3694" w:rsidRPr="00747E35" w:rsidRDefault="003D3694" w:rsidP="0096743A">
            <w:pPr>
              <w:pStyle w:val="Tabletext"/>
              <w:spacing w:before="0" w:after="0"/>
              <w:rPr>
                <w:rFonts w:eastAsia="Times New Roman" w:cstheme="minorHAnsi"/>
                <w:b/>
                <w:lang w:eastAsia="en-AU"/>
              </w:rPr>
            </w:pPr>
            <w:r w:rsidRPr="00747E35">
              <w:rPr>
                <w:rFonts w:eastAsia="Times New Roman" w:cstheme="minorHAnsi"/>
                <w:b/>
                <w:lang w:eastAsia="en-AU"/>
              </w:rPr>
              <w:t>Date X (Site(Regime))</w:t>
            </w:r>
          </w:p>
        </w:tc>
        <w:tc>
          <w:tcPr>
            <w:tcW w:w="1340" w:type="dxa"/>
            <w:shd w:val="clear" w:color="auto" w:fill="auto"/>
            <w:noWrap/>
            <w:vAlign w:val="bottom"/>
            <w:hideMark/>
          </w:tcPr>
          <w:p w14:paraId="74CC55AB" w14:textId="77777777" w:rsidR="003D3694" w:rsidRPr="00747E35" w:rsidRDefault="003D3694" w:rsidP="0096743A">
            <w:pPr>
              <w:pStyle w:val="Tabletext"/>
              <w:spacing w:before="0" w:after="0"/>
              <w:rPr>
                <w:rFonts w:eastAsia="Times New Roman" w:cstheme="minorHAnsi"/>
                <w:lang w:eastAsia="en-AU"/>
              </w:rPr>
            </w:pPr>
            <w:r w:rsidRPr="00747E35">
              <w:rPr>
                <w:rFonts w:cstheme="minorHAnsi"/>
              </w:rPr>
              <w:t>4</w:t>
            </w:r>
          </w:p>
        </w:tc>
        <w:tc>
          <w:tcPr>
            <w:tcW w:w="1559" w:type="dxa"/>
            <w:shd w:val="clear" w:color="auto" w:fill="auto"/>
            <w:noWrap/>
            <w:vAlign w:val="bottom"/>
            <w:hideMark/>
          </w:tcPr>
          <w:p w14:paraId="5DFF7688" w14:textId="77777777" w:rsidR="003D3694" w:rsidRPr="00747E35" w:rsidRDefault="003D3694" w:rsidP="0096743A">
            <w:pPr>
              <w:pStyle w:val="Tabletext"/>
              <w:spacing w:before="0" w:after="0"/>
              <w:rPr>
                <w:rFonts w:eastAsia="Times New Roman" w:cstheme="minorHAnsi"/>
                <w:lang w:eastAsia="en-AU"/>
              </w:rPr>
            </w:pPr>
            <w:r w:rsidRPr="00747E35">
              <w:rPr>
                <w:rFonts w:cstheme="minorHAnsi"/>
              </w:rPr>
              <w:t>3.83</w:t>
            </w:r>
          </w:p>
        </w:tc>
        <w:tc>
          <w:tcPr>
            <w:tcW w:w="1559" w:type="dxa"/>
            <w:vAlign w:val="bottom"/>
          </w:tcPr>
          <w:p w14:paraId="2C733186" w14:textId="77777777" w:rsidR="003D3694" w:rsidRPr="00747E35" w:rsidRDefault="003D3694" w:rsidP="0096743A">
            <w:pPr>
              <w:pStyle w:val="Tabletext"/>
              <w:spacing w:before="0" w:after="0"/>
              <w:rPr>
                <w:rFonts w:cstheme="minorHAnsi"/>
                <w:b/>
              </w:rPr>
            </w:pPr>
            <w:r w:rsidRPr="00747E35">
              <w:rPr>
                <w:rFonts w:cstheme="minorHAnsi"/>
                <w:b/>
                <w:color w:val="000000"/>
                <w:sz w:val="22"/>
              </w:rPr>
              <w:t>0.0001</w:t>
            </w:r>
          </w:p>
        </w:tc>
      </w:tr>
      <w:tr w:rsidR="003D3694" w:rsidRPr="00747E35" w14:paraId="1F91E172" w14:textId="77777777" w:rsidTr="0096743A">
        <w:trPr>
          <w:trHeight w:val="288"/>
          <w:jc w:val="center"/>
        </w:trPr>
        <w:tc>
          <w:tcPr>
            <w:tcW w:w="2199" w:type="dxa"/>
            <w:shd w:val="clear" w:color="auto" w:fill="auto"/>
            <w:noWrap/>
            <w:vAlign w:val="bottom"/>
          </w:tcPr>
          <w:p w14:paraId="57F5E6EA" w14:textId="77777777" w:rsidR="003D3694" w:rsidRPr="00747E35" w:rsidRDefault="003D3694" w:rsidP="0096743A">
            <w:pPr>
              <w:pStyle w:val="Tabletext"/>
              <w:spacing w:before="0" w:after="0"/>
              <w:rPr>
                <w:rFonts w:eastAsia="Times New Roman" w:cstheme="minorHAnsi"/>
                <w:lang w:eastAsia="en-AU"/>
              </w:rPr>
            </w:pPr>
            <w:r w:rsidRPr="00747E35">
              <w:rPr>
                <w:rFonts w:cstheme="minorHAnsi"/>
              </w:rPr>
              <w:t>Residuals</w:t>
            </w:r>
          </w:p>
        </w:tc>
        <w:tc>
          <w:tcPr>
            <w:tcW w:w="1340" w:type="dxa"/>
            <w:shd w:val="clear" w:color="auto" w:fill="auto"/>
            <w:noWrap/>
            <w:vAlign w:val="bottom"/>
          </w:tcPr>
          <w:p w14:paraId="0FA87388" w14:textId="77777777" w:rsidR="003D3694" w:rsidRPr="00747E35" w:rsidRDefault="003D3694" w:rsidP="0096743A">
            <w:pPr>
              <w:pStyle w:val="Tabletext"/>
              <w:spacing w:before="0" w:after="0"/>
              <w:rPr>
                <w:rFonts w:eastAsia="Times New Roman" w:cstheme="minorHAnsi"/>
                <w:lang w:eastAsia="en-AU"/>
              </w:rPr>
            </w:pPr>
            <w:r w:rsidRPr="00747E35">
              <w:rPr>
                <w:rFonts w:cstheme="minorHAnsi"/>
              </w:rPr>
              <w:t>35</w:t>
            </w:r>
          </w:p>
        </w:tc>
        <w:tc>
          <w:tcPr>
            <w:tcW w:w="1559" w:type="dxa"/>
            <w:shd w:val="clear" w:color="auto" w:fill="auto"/>
            <w:noWrap/>
            <w:vAlign w:val="bottom"/>
          </w:tcPr>
          <w:p w14:paraId="4C64D7B0" w14:textId="77777777" w:rsidR="003D3694" w:rsidRPr="00747E35" w:rsidRDefault="003D3694" w:rsidP="0096743A">
            <w:pPr>
              <w:pStyle w:val="Tabletext"/>
              <w:spacing w:before="0" w:after="0"/>
              <w:rPr>
                <w:rFonts w:eastAsia="Times New Roman" w:cstheme="minorHAnsi"/>
                <w:lang w:eastAsia="en-AU"/>
              </w:rPr>
            </w:pPr>
          </w:p>
        </w:tc>
        <w:tc>
          <w:tcPr>
            <w:tcW w:w="1559" w:type="dxa"/>
            <w:vAlign w:val="bottom"/>
          </w:tcPr>
          <w:p w14:paraId="53B34604" w14:textId="77777777" w:rsidR="003D3694" w:rsidRPr="00747E35" w:rsidRDefault="003D3694" w:rsidP="0096743A">
            <w:pPr>
              <w:pStyle w:val="Tabletext"/>
              <w:spacing w:before="0" w:after="0"/>
              <w:rPr>
                <w:rFonts w:eastAsia="Times New Roman" w:cstheme="minorHAnsi"/>
                <w:lang w:eastAsia="en-AU"/>
              </w:rPr>
            </w:pPr>
          </w:p>
        </w:tc>
      </w:tr>
    </w:tbl>
    <w:p w14:paraId="18BF8E0A" w14:textId="77777777" w:rsidR="00793A29" w:rsidRPr="00747E35" w:rsidRDefault="00793A29" w:rsidP="00793A29">
      <w:pPr>
        <w:rPr>
          <w:rFonts w:asciiTheme="minorHAnsi" w:hAnsiTheme="minorHAnsi" w:cstheme="minorHAnsi"/>
          <w:lang w:val="en-AU" w:eastAsia="en-US"/>
        </w:rPr>
      </w:pPr>
      <w:bookmarkStart w:id="290" w:name="_Ref469063019"/>
    </w:p>
    <w:p w14:paraId="6A7C720D" w14:textId="77777777" w:rsidR="00C6582F" w:rsidRPr="00747E35" w:rsidRDefault="00C6582F" w:rsidP="00793A29">
      <w:pPr>
        <w:rPr>
          <w:rFonts w:asciiTheme="minorHAnsi" w:hAnsiTheme="minorHAnsi" w:cstheme="minorHAnsi"/>
          <w:lang w:val="en-AU" w:eastAsia="en-US"/>
        </w:rPr>
      </w:pPr>
    </w:p>
    <w:p w14:paraId="2567C898" w14:textId="77777777" w:rsidR="00793A29" w:rsidRPr="00747E35" w:rsidRDefault="00793A29" w:rsidP="00793A29">
      <w:pPr>
        <w:pStyle w:val="Heading4"/>
        <w:rPr>
          <w:rFonts w:asciiTheme="minorHAnsi" w:hAnsiTheme="minorHAnsi" w:cstheme="minorHAnsi"/>
        </w:rPr>
      </w:pPr>
      <w:r w:rsidRPr="00747E35">
        <w:rPr>
          <w:rFonts w:asciiTheme="minorHAnsi" w:hAnsiTheme="minorHAnsi" w:cstheme="minorHAnsi"/>
        </w:rPr>
        <w:t>Maules Creek hyporheos</w:t>
      </w:r>
    </w:p>
    <w:p w14:paraId="19873415" w14:textId="77777777" w:rsidR="00793A29" w:rsidRPr="00747E35" w:rsidRDefault="00793A29" w:rsidP="00793A29">
      <w:pPr>
        <w:rPr>
          <w:rFonts w:asciiTheme="minorHAnsi" w:hAnsiTheme="minorHAnsi" w:cstheme="minorHAnsi"/>
        </w:rPr>
      </w:pPr>
      <w:r w:rsidRPr="00747E35">
        <w:rPr>
          <w:rFonts w:asciiTheme="minorHAnsi" w:hAnsiTheme="minorHAnsi" w:cstheme="minorHAnsi"/>
        </w:rPr>
        <w:t>Maules catchment exhibited similar high sample variability as found in the upper Bremer catchment. Within the Maules catchment, the number of taxa collected in each 6 L subsample ranged from zero to twelve (across all sites), and the number of individuals ranged from zero to &gt;200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_Ref467125661 \h </w:instrText>
      </w:r>
      <w:r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103</w:t>
      </w:r>
      <w:r w:rsidRPr="00747E35">
        <w:rPr>
          <w:rFonts w:asciiTheme="minorHAnsi" w:hAnsiTheme="minorHAnsi" w:cstheme="minorHAnsi"/>
          <w:highlight w:val="yellow"/>
        </w:rPr>
        <w:fldChar w:fldCharType="end"/>
      </w:r>
      <w:r w:rsidRPr="00747E35">
        <w:rPr>
          <w:rFonts w:asciiTheme="minorHAnsi" w:hAnsiTheme="minorHAnsi" w:cstheme="minorHAnsi"/>
        </w:rPr>
        <w:t>). The number of taxa recorded per site per sample period ranged from one to nineteen.  In terms of groundwater habitat affinity groups, stygophilic taxa were recorded at all sites, and stygoxenic / epigean taxa at most sites. Stygobites were represented at most intermittent and perennial gaining sites, but ‘indicator’ taxa (of connectivity to permanent groundwater habitat) - Syncarida, Amphipoda and Isopoda - were not detected in the perennial losing section. In terms of abundance, stygophiles and stygobites were the numerically dominant categories at nearly all intermittent and perennial gaining sites (mean 89% of individuals across sites; range 41 to 100%). In the losing section, stygophiles made up most of the individuals. As observed at Bremer River, stygoxenes and epigean taxa comprised a relatively small proportion of sampled abundance, with one exception, Pool 4 in Middle Creek which was dominated by rotifers on one sampling occasion.</w:t>
      </w:r>
    </w:p>
    <w:p w14:paraId="72E5BA54" w14:textId="77777777" w:rsidR="00793A29" w:rsidRPr="00747E35" w:rsidRDefault="00793A29" w:rsidP="00793A29">
      <w:pPr>
        <w:rPr>
          <w:rFonts w:asciiTheme="minorHAnsi" w:hAnsiTheme="minorHAnsi" w:cstheme="minorHAnsi"/>
        </w:rPr>
      </w:pPr>
    </w:p>
    <w:p w14:paraId="722A2B43" w14:textId="77777777" w:rsidR="00793A29" w:rsidRPr="00747E35" w:rsidRDefault="00793A29" w:rsidP="00793A29">
      <w:pPr>
        <w:keepNext/>
        <w:keepLines/>
        <w:rPr>
          <w:rFonts w:asciiTheme="minorHAnsi" w:hAnsiTheme="minorHAnsi" w:cstheme="minorHAnsi"/>
        </w:rPr>
      </w:pPr>
    </w:p>
    <w:p w14:paraId="56CAA831" w14:textId="77777777" w:rsidR="00793A29" w:rsidRPr="00747E35" w:rsidRDefault="00793A29" w:rsidP="00793A29">
      <w:pPr>
        <w:keepNext/>
        <w:keepLines/>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3C967ED0" wp14:editId="75618065">
            <wp:extent cx="4464424" cy="3189988"/>
            <wp:effectExtent l="0" t="0" r="0" b="0"/>
            <wp:docPr id="2062" name="Picture 2062" descr="Upper bar chart in Fig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4467075" cy="3191882"/>
                    </a:xfrm>
                    <a:prstGeom prst="rect">
                      <a:avLst/>
                    </a:prstGeom>
                    <a:noFill/>
                  </pic:spPr>
                </pic:pic>
              </a:graphicData>
            </a:graphic>
          </wp:inline>
        </w:drawing>
      </w:r>
    </w:p>
    <w:p w14:paraId="37A34D92" w14:textId="77777777" w:rsidR="00793A29" w:rsidRPr="00747E35" w:rsidRDefault="00793A29" w:rsidP="00793A29">
      <w:pPr>
        <w:keepNext/>
        <w:keepLines/>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2EE2244D" wp14:editId="0988F6FC">
            <wp:extent cx="4464424" cy="3223308"/>
            <wp:effectExtent l="0" t="0" r="0" b="0"/>
            <wp:docPr id="2064" name="Picture 2064" descr="Lower bar chart in Fig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4474349" cy="3230474"/>
                    </a:xfrm>
                    <a:prstGeom prst="rect">
                      <a:avLst/>
                    </a:prstGeom>
                    <a:noFill/>
                  </pic:spPr>
                </pic:pic>
              </a:graphicData>
            </a:graphic>
          </wp:inline>
        </w:drawing>
      </w:r>
    </w:p>
    <w:p w14:paraId="0EE3B7DA" w14:textId="77777777" w:rsidR="00793A29" w:rsidRPr="00747E35" w:rsidRDefault="00793A29" w:rsidP="00793A29">
      <w:pPr>
        <w:pStyle w:val="Caption"/>
        <w:numPr>
          <w:ilvl w:val="0"/>
          <w:numId w:val="0"/>
        </w:numPr>
        <w:rPr>
          <w:rFonts w:cstheme="minorHAnsi"/>
        </w:rPr>
      </w:pPr>
      <w:bookmarkStart w:id="291" w:name="_Ref467125661"/>
      <w:r w:rsidRPr="00747E35">
        <w:rPr>
          <w:rFonts w:cstheme="minorHAnsi"/>
        </w:rPr>
        <w:t xml:space="preserve">Figure </w:t>
      </w:r>
      <w:r w:rsidRPr="00747E35">
        <w:rPr>
          <w:rFonts w:cstheme="minorHAnsi"/>
        </w:rPr>
        <w:fldChar w:fldCharType="begin"/>
      </w:r>
      <w:r w:rsidRPr="00747E35">
        <w:rPr>
          <w:rFonts w:cstheme="minorHAnsi"/>
        </w:rPr>
        <w:instrText xml:space="preserve"> SEQ Figure \* ARABIC </w:instrText>
      </w:r>
      <w:r w:rsidRPr="00747E35">
        <w:rPr>
          <w:rFonts w:cstheme="minorHAnsi"/>
        </w:rPr>
        <w:fldChar w:fldCharType="separate"/>
      </w:r>
      <w:r w:rsidR="00D023DD">
        <w:rPr>
          <w:rFonts w:cstheme="minorHAnsi"/>
          <w:noProof/>
        </w:rPr>
        <w:t>103</w:t>
      </w:r>
      <w:r w:rsidRPr="00747E35">
        <w:rPr>
          <w:rFonts w:cstheme="minorHAnsi"/>
          <w:noProof/>
        </w:rPr>
        <w:fldChar w:fldCharType="end"/>
      </w:r>
      <w:bookmarkEnd w:id="291"/>
      <w:r w:rsidRPr="00747E35">
        <w:rPr>
          <w:rFonts w:cstheme="minorHAnsi"/>
        </w:rPr>
        <w:t>: Maules catchment hyporheic site richness (upper) and abundance (lower) recorded at various sites and dates between February 2015 and February 2016, showing proportions of groundwater habitat affinity groups: Sb, stygobites; Sp, stygophiles; Sx, stygoxenes; Ep, epigean. Sites are grouped by flow regime and in order from upstream (left) to downstream. Stygobites were represented at most intermittent and perennial gaining sites, but were not detected in the perennial losing section. Stygophiles and stygobites were the numerically dominant categories at nearly all intermittent and perennial gaining sites, and as observed at Bremer River, stygoxenes and epigean taxa comprised a relatively small proportion of sampled abundance, with one exception, Pool 4 in Middle Creek. Maules catchment exhibited similar high sample variability as found in the Bremer catchment.</w:t>
      </w:r>
    </w:p>
    <w:p w14:paraId="5110E98E" w14:textId="77777777" w:rsidR="00793A29" w:rsidRPr="00747E35" w:rsidRDefault="00793A29" w:rsidP="00793A29">
      <w:pPr>
        <w:rPr>
          <w:rFonts w:asciiTheme="minorHAnsi" w:hAnsiTheme="minorHAnsi" w:cstheme="minorHAnsi"/>
        </w:rPr>
      </w:pPr>
    </w:p>
    <w:p w14:paraId="10DCD1BE" w14:textId="77777777" w:rsidR="00793A29" w:rsidRPr="00747E35" w:rsidRDefault="00793A29" w:rsidP="00793A29">
      <w:pPr>
        <w:rPr>
          <w:rFonts w:asciiTheme="minorHAnsi" w:hAnsiTheme="minorHAnsi" w:cstheme="minorHAnsi"/>
        </w:rPr>
      </w:pPr>
      <w:r w:rsidRPr="00747E35">
        <w:rPr>
          <w:rFonts w:asciiTheme="minorHAnsi" w:hAnsiTheme="minorHAnsi" w:cstheme="minorHAnsi"/>
        </w:rPr>
        <w:t>Multivariate analysis revealed differences in assemblages between sites and sampling dates, and possibly some structure in the ordination plot in relation to flow regime (</w:t>
      </w:r>
      <w:r w:rsidRPr="00747E35">
        <w:rPr>
          <w:rFonts w:asciiTheme="minorHAnsi" w:hAnsiTheme="minorHAnsi" w:cstheme="minorHAnsi"/>
        </w:rPr>
        <w:fldChar w:fldCharType="begin"/>
      </w:r>
      <w:r w:rsidRPr="00747E35">
        <w:rPr>
          <w:rFonts w:asciiTheme="minorHAnsi" w:hAnsiTheme="minorHAnsi" w:cstheme="minorHAnsi"/>
        </w:rPr>
        <w:instrText xml:space="preserve"> REF _Ref469044057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104</w:t>
      </w:r>
      <w:r w:rsidRPr="00747E35">
        <w:rPr>
          <w:rFonts w:asciiTheme="minorHAnsi" w:hAnsiTheme="minorHAnsi" w:cstheme="minorHAnsi"/>
        </w:rPr>
        <w:fldChar w:fldCharType="end"/>
      </w:r>
      <w:r w:rsidRPr="00747E35">
        <w:rPr>
          <w:rFonts w:asciiTheme="minorHAnsi" w:hAnsiTheme="minorHAnsi" w:cstheme="minorHAnsi"/>
        </w:rPr>
        <w:t xml:space="preserve">).  Nine taxa, all stygobites or stygophiles, were influential (Pearson r &gt; 0.4) in the ordination structure (Appendix 3: </w:t>
      </w:r>
      <w:r w:rsidRPr="00747E35">
        <w:rPr>
          <w:rFonts w:asciiTheme="minorHAnsi" w:hAnsiTheme="minorHAnsi" w:cstheme="minorHAnsi"/>
        </w:rPr>
        <w:fldChar w:fldCharType="begin"/>
      </w:r>
      <w:r w:rsidRPr="00747E35">
        <w:rPr>
          <w:rFonts w:asciiTheme="minorHAnsi" w:hAnsiTheme="minorHAnsi" w:cstheme="minorHAnsi"/>
        </w:rPr>
        <w:instrText xml:space="preserve"> REF _Ref469044221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56</w:t>
      </w:r>
      <w:r w:rsidRPr="00747E35">
        <w:rPr>
          <w:rFonts w:asciiTheme="minorHAnsi" w:hAnsiTheme="minorHAnsi" w:cstheme="minorHAnsi"/>
        </w:rPr>
        <w:fldChar w:fldCharType="end"/>
      </w:r>
      <w:r w:rsidRPr="00747E35">
        <w:rPr>
          <w:rFonts w:asciiTheme="minorHAnsi" w:hAnsiTheme="minorHAnsi" w:cstheme="minorHAnsi"/>
        </w:rPr>
        <w:t xml:space="preserve">). There were no influential stygoxene taxa, unlike the Bremer catchment. The most influential taxon was </w:t>
      </w:r>
      <w:r w:rsidRPr="00747E35">
        <w:rPr>
          <w:rFonts w:asciiTheme="minorHAnsi" w:hAnsiTheme="minorHAnsi" w:cstheme="minorHAnsi"/>
        </w:rPr>
        <w:lastRenderedPageBreak/>
        <w:t>Cyclopoida, followed by Oligochaeta (stygophile/potential stygobite), Harpacticoida and Nematoda. Three (possibly four) ‘indicator’ taxa (of connectivity to permanent groundwater habitat) were influential: Bathynellidae, Psammaspididae, Neoniphargidae (and Harpacticoida). Ordination assemblage patterns appeared to be predominantly influenced by one groundwater habitat affinity group, namely stygobite/stygophile richness and abundance – as indicated by univariate biotic indices vectors (Figure 105).  In this respect, Maules catchment contrasted with the Bremer catchment where ordination assemblage patterns appeared to be strongly influenced by both functional groups - stygoxenes/epigean richness and stygobite/stygophile richness (see above).</w:t>
      </w:r>
    </w:p>
    <w:p w14:paraId="026721BF" w14:textId="20F1DFB3" w:rsidR="00793A29" w:rsidRPr="00747E35" w:rsidRDefault="00793A29" w:rsidP="00793A29">
      <w:pPr>
        <w:rPr>
          <w:rFonts w:asciiTheme="minorHAnsi" w:hAnsiTheme="minorHAnsi" w:cstheme="minorHAnsi"/>
        </w:rPr>
      </w:pPr>
      <w:r w:rsidRPr="00747E35">
        <w:rPr>
          <w:rFonts w:asciiTheme="minorHAnsi" w:hAnsiTheme="minorHAnsi" w:cstheme="minorHAnsi"/>
        </w:rPr>
        <w:t>Twenty-five (25) hydrochemistry variables correlated (Pearson r &gt; 0.4) with the invertebrate assemblage structure (</w:t>
      </w:r>
      <w:r w:rsidR="00C6582F" w:rsidRPr="00747E35">
        <w:rPr>
          <w:rFonts w:asciiTheme="minorHAnsi" w:hAnsiTheme="minorHAnsi" w:cstheme="minorHAnsi"/>
        </w:rPr>
        <w:fldChar w:fldCharType="begin"/>
      </w:r>
      <w:r w:rsidR="00C6582F" w:rsidRPr="00747E35">
        <w:rPr>
          <w:rFonts w:asciiTheme="minorHAnsi" w:hAnsiTheme="minorHAnsi" w:cstheme="minorHAnsi"/>
        </w:rPr>
        <w:instrText xml:space="preserve"> REF _Ref469044057 \h  \* MERGEFORMAT </w:instrText>
      </w:r>
      <w:r w:rsidR="00C6582F" w:rsidRPr="00747E35">
        <w:rPr>
          <w:rFonts w:asciiTheme="minorHAnsi" w:hAnsiTheme="minorHAnsi" w:cstheme="minorHAnsi"/>
        </w:rPr>
      </w:r>
      <w:r w:rsidR="00C6582F"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104</w:t>
      </w:r>
      <w:r w:rsidR="00C6582F" w:rsidRPr="00747E35">
        <w:rPr>
          <w:rFonts w:asciiTheme="minorHAnsi" w:hAnsiTheme="minorHAnsi" w:cstheme="minorHAnsi"/>
        </w:rPr>
        <w:fldChar w:fldCharType="end"/>
      </w:r>
      <w:r w:rsidRPr="00747E35">
        <w:rPr>
          <w:rFonts w:asciiTheme="minorHAnsi" w:hAnsiTheme="minorHAnsi" w:cstheme="minorHAnsi"/>
        </w:rPr>
        <w:t xml:space="preserve">, Appendix 3 </w:t>
      </w:r>
      <w:r w:rsidR="00C6582F" w:rsidRPr="00747E35">
        <w:rPr>
          <w:rFonts w:asciiTheme="minorHAnsi" w:hAnsiTheme="minorHAnsi" w:cstheme="minorHAnsi"/>
        </w:rPr>
        <w:fldChar w:fldCharType="begin"/>
      </w:r>
      <w:r w:rsidR="00C6582F" w:rsidRPr="00747E35">
        <w:rPr>
          <w:rFonts w:asciiTheme="minorHAnsi" w:hAnsiTheme="minorHAnsi" w:cstheme="minorHAnsi"/>
        </w:rPr>
        <w:instrText xml:space="preserve"> REF _Ref469044221 \h  \* MERGEFORMAT </w:instrText>
      </w:r>
      <w:r w:rsidR="00C6582F" w:rsidRPr="00747E35">
        <w:rPr>
          <w:rFonts w:asciiTheme="minorHAnsi" w:hAnsiTheme="minorHAnsi" w:cstheme="minorHAnsi"/>
        </w:rPr>
      </w:r>
      <w:r w:rsidR="00C6582F"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56</w:t>
      </w:r>
      <w:r w:rsidR="00C6582F" w:rsidRPr="00747E35">
        <w:rPr>
          <w:rFonts w:asciiTheme="minorHAnsi" w:hAnsiTheme="minorHAnsi" w:cstheme="minorHAnsi"/>
        </w:rPr>
        <w:fldChar w:fldCharType="end"/>
      </w:r>
      <w:r w:rsidR="00C6582F" w:rsidRPr="00747E35">
        <w:rPr>
          <w:rFonts w:asciiTheme="minorHAnsi" w:hAnsiTheme="minorHAnsi" w:cstheme="minorHAnsi"/>
        </w:rPr>
        <w:t>)</w:t>
      </w:r>
      <w:r w:rsidRPr="00747E35">
        <w:rPr>
          <w:rFonts w:asciiTheme="minorHAnsi" w:hAnsiTheme="minorHAnsi" w:cstheme="minorHAnsi"/>
        </w:rPr>
        <w:t xml:space="preserve">. The most influential were EC, Ca, Mg, Na, Sr, chloride, and humics (processed and unprocessed), for which all vectors were associated with lower richness and abundance. Vectors for influential reduced ionic species, Fe, Mn, ammonia, and the nutrient P, were also inversely associated with richness and abundance. In contrast, vectors for DO, nitrate, NOx and Cu were associated with higher richness and abundance. There was weak evidence for an association with hydraulic gradient (VHH), and very weak evidence for an association with the volume of fine sediment (Appendix 3 </w:t>
      </w:r>
      <w:r w:rsidR="00C6582F" w:rsidRPr="00747E35">
        <w:rPr>
          <w:rFonts w:asciiTheme="minorHAnsi" w:hAnsiTheme="minorHAnsi" w:cstheme="minorHAnsi"/>
        </w:rPr>
        <w:fldChar w:fldCharType="begin"/>
      </w:r>
      <w:r w:rsidR="00C6582F" w:rsidRPr="00747E35">
        <w:rPr>
          <w:rFonts w:asciiTheme="minorHAnsi" w:hAnsiTheme="minorHAnsi" w:cstheme="minorHAnsi"/>
        </w:rPr>
        <w:instrText xml:space="preserve"> REF _Ref469044221 \h  \* MERGEFORMAT </w:instrText>
      </w:r>
      <w:r w:rsidR="00C6582F" w:rsidRPr="00747E35">
        <w:rPr>
          <w:rFonts w:asciiTheme="minorHAnsi" w:hAnsiTheme="minorHAnsi" w:cstheme="minorHAnsi"/>
        </w:rPr>
      </w:r>
      <w:r w:rsidR="00C6582F"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56</w:t>
      </w:r>
      <w:r w:rsidR="00C6582F" w:rsidRPr="00747E35">
        <w:rPr>
          <w:rFonts w:asciiTheme="minorHAnsi" w:hAnsiTheme="minorHAnsi" w:cstheme="minorHAnsi"/>
        </w:rPr>
        <w:fldChar w:fldCharType="end"/>
      </w:r>
      <w:r w:rsidRPr="00747E35">
        <w:rPr>
          <w:rFonts w:asciiTheme="minorHAnsi" w:hAnsiTheme="minorHAnsi" w:cstheme="minorHAnsi"/>
        </w:rPr>
        <w:t>).</w:t>
      </w:r>
    </w:p>
    <w:p w14:paraId="3F5C9259" w14:textId="77777777" w:rsidR="00793A29" w:rsidRPr="00747E35" w:rsidRDefault="00793A29" w:rsidP="00793A29">
      <w:pPr>
        <w:keepNext/>
        <w:keepLines/>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3243B394" wp14:editId="629C22C5">
            <wp:extent cx="5943600" cy="4592955"/>
            <wp:effectExtent l="0" t="0" r="0" b="0"/>
            <wp:docPr id="5122" name="Picture 2" descr="Bubble plots and vector dia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5943600" cy="4592955"/>
                    </a:xfrm>
                    <a:prstGeom prst="rect">
                      <a:avLst/>
                    </a:prstGeom>
                    <a:noFill/>
                    <a:ln>
                      <a:noFill/>
                    </a:ln>
                    <a:effectLst/>
                    <a:extLst/>
                  </pic:spPr>
                </pic:pic>
              </a:graphicData>
            </a:graphic>
          </wp:inline>
        </w:drawing>
      </w:r>
    </w:p>
    <w:p w14:paraId="5D674868" w14:textId="77777777" w:rsidR="00793A29" w:rsidRPr="00747E35" w:rsidRDefault="00793A29" w:rsidP="00793A29">
      <w:pPr>
        <w:pStyle w:val="Caption"/>
        <w:numPr>
          <w:ilvl w:val="0"/>
          <w:numId w:val="0"/>
        </w:numPr>
        <w:rPr>
          <w:rFonts w:cstheme="minorHAnsi"/>
        </w:rPr>
      </w:pPr>
      <w:bookmarkStart w:id="292" w:name="_Ref469044057"/>
      <w:r w:rsidRPr="00747E35">
        <w:rPr>
          <w:rFonts w:cstheme="minorHAnsi"/>
        </w:rPr>
        <w:t xml:space="preserve">Figure </w:t>
      </w:r>
      <w:r w:rsidRPr="00747E35">
        <w:rPr>
          <w:rFonts w:cstheme="minorHAnsi"/>
        </w:rPr>
        <w:fldChar w:fldCharType="begin"/>
      </w:r>
      <w:r w:rsidRPr="00747E35">
        <w:rPr>
          <w:rFonts w:cstheme="minorHAnsi"/>
        </w:rPr>
        <w:instrText xml:space="preserve"> SEQ Figure \* ARABIC </w:instrText>
      </w:r>
      <w:r w:rsidRPr="00747E35">
        <w:rPr>
          <w:rFonts w:cstheme="minorHAnsi"/>
        </w:rPr>
        <w:fldChar w:fldCharType="separate"/>
      </w:r>
      <w:r w:rsidR="00D023DD">
        <w:rPr>
          <w:rFonts w:cstheme="minorHAnsi"/>
          <w:noProof/>
        </w:rPr>
        <w:t>104</w:t>
      </w:r>
      <w:r w:rsidRPr="00747E35">
        <w:rPr>
          <w:rFonts w:cstheme="minorHAnsi"/>
          <w:noProof/>
        </w:rPr>
        <w:fldChar w:fldCharType="end"/>
      </w:r>
      <w:bookmarkEnd w:id="292"/>
      <w:r w:rsidRPr="00747E35">
        <w:rPr>
          <w:rFonts w:cstheme="minorHAnsi"/>
        </w:rPr>
        <w:t xml:space="preserve">: Multivariate analysis revealed differences in assemblages between sites and sampling dates, and possibly some structure in the ordination plot in relation to flow regime. Non-metric multidimensional scaling (nMDS) ordination bubble plots of hyporheos assemblages depicting richness (A) and abundance (B) for all samples in the Maules catchment.  The vectors represent influential invertebrate taxa (C) and hydrochemistry variables (D) that were most correlated (Pearson r &gt; 0.4) to the average dissimilarity between hyporheos samples. Samples are coloured by the observed creek flow regime at time of sampling: intermittent (blue), perennial gaining (green), perennial losing (red). Invertebrate abundance data square root transformed (+dummy variable). Environmental variables with skewed distributions were transformed to approximate normality and then all variables were normalised.  </w:t>
      </w:r>
    </w:p>
    <w:p w14:paraId="5E51A315" w14:textId="77777777" w:rsidR="00793A29" w:rsidRPr="00747E35" w:rsidRDefault="00793A29" w:rsidP="00793A29">
      <w:pPr>
        <w:rPr>
          <w:rFonts w:asciiTheme="minorHAnsi" w:hAnsiTheme="minorHAnsi" w:cstheme="minorHAnsi"/>
        </w:rPr>
      </w:pPr>
    </w:p>
    <w:p w14:paraId="7CEA4CA5" w14:textId="77777777" w:rsidR="00793A29" w:rsidRPr="00747E35" w:rsidRDefault="00793A29" w:rsidP="00793A29">
      <w:pP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29E859F7" wp14:editId="495EA759">
            <wp:extent cx="5943600" cy="5379720"/>
            <wp:effectExtent l="0" t="0" r="0" b="0"/>
            <wp:docPr id="4131" name="Picture 2" descr="Bubble plots and vector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5943600" cy="5379720"/>
                    </a:xfrm>
                    <a:prstGeom prst="rect">
                      <a:avLst/>
                    </a:prstGeom>
                    <a:noFill/>
                    <a:ln>
                      <a:noFill/>
                    </a:ln>
                    <a:effectLst/>
                    <a:extLst/>
                  </pic:spPr>
                </pic:pic>
              </a:graphicData>
            </a:graphic>
          </wp:inline>
        </w:drawing>
      </w:r>
    </w:p>
    <w:p w14:paraId="438B44FC" w14:textId="77777777" w:rsidR="00793A29" w:rsidRPr="00747E35" w:rsidRDefault="00793A29" w:rsidP="00793A29">
      <w:pPr>
        <w:pStyle w:val="Caption"/>
        <w:numPr>
          <w:ilvl w:val="0"/>
          <w:numId w:val="0"/>
        </w:numPr>
        <w:rPr>
          <w:rFonts w:cstheme="minorHAnsi"/>
        </w:rPr>
      </w:pPr>
      <w:bookmarkStart w:id="293" w:name="_Ref469044374"/>
      <w:r w:rsidRPr="00747E35">
        <w:rPr>
          <w:rFonts w:cstheme="minorHAnsi"/>
        </w:rPr>
        <w:t xml:space="preserve">Figure </w:t>
      </w:r>
      <w:r w:rsidRPr="00747E35">
        <w:rPr>
          <w:rFonts w:cstheme="minorHAnsi"/>
        </w:rPr>
        <w:fldChar w:fldCharType="begin"/>
      </w:r>
      <w:r w:rsidRPr="00747E35">
        <w:rPr>
          <w:rFonts w:cstheme="minorHAnsi"/>
        </w:rPr>
        <w:instrText xml:space="preserve"> SEQ Figure \* ARABIC </w:instrText>
      </w:r>
      <w:r w:rsidRPr="00747E35">
        <w:rPr>
          <w:rFonts w:cstheme="minorHAnsi"/>
        </w:rPr>
        <w:fldChar w:fldCharType="separate"/>
      </w:r>
      <w:r w:rsidR="00D023DD">
        <w:rPr>
          <w:rFonts w:cstheme="minorHAnsi"/>
          <w:noProof/>
        </w:rPr>
        <w:t>105</w:t>
      </w:r>
      <w:r w:rsidRPr="00747E35">
        <w:rPr>
          <w:rFonts w:cstheme="minorHAnsi"/>
          <w:noProof/>
        </w:rPr>
        <w:fldChar w:fldCharType="end"/>
      </w:r>
      <w:bookmarkEnd w:id="293"/>
      <w:r w:rsidRPr="00747E35">
        <w:rPr>
          <w:rFonts w:cstheme="minorHAnsi"/>
        </w:rPr>
        <w:t>: Ordination assemblage patterns appeared to be predominantly influenced by one groundwater habitat affinity group, namely stygobite/stygophile richness and abundance (compare this with Bremer catchment which appeared to be influenced by both groundwater habitat affinity groups - - stygoxenes/epigean richness and stygobite/stygophile richness). Non-metric multidimensional scaling (nMDS) ordination bubble plots of hyporheos assemblages for all hyporheos samples in the Maules catchment; bubble plots show differences between functional group: (A) Stygobite/stygophile (Sb/Sp) richness; (B) Sb/Sp abundance; (C) Stygoxene/epigean (Sx/Ep) richness; (D) Sx/Ep abundance. The vectors (E) represent influential univariate biotic indices that were most correlated (Pearson r &gt; 0.4) to the average dissimilarity between hyporheos samples. Samples are coloured by the observed creek flow regime at time of sampling: intermittent (blue), perennial gaining (green), perennial losing (red). Invertebrate abundance data square root transformed (+dummy variable). Environmental variables with skewed distributions were transformed to approximate normality and then all variables were normalised.</w:t>
      </w:r>
    </w:p>
    <w:p w14:paraId="50E258E1" w14:textId="77777777" w:rsidR="00793A29" w:rsidRPr="00747E35" w:rsidRDefault="00793A29" w:rsidP="00793A29">
      <w:pPr>
        <w:rPr>
          <w:rFonts w:asciiTheme="minorHAnsi" w:hAnsiTheme="minorHAnsi" w:cstheme="minorHAnsi"/>
        </w:rPr>
      </w:pPr>
    </w:p>
    <w:p w14:paraId="167887B5" w14:textId="11DE06CB" w:rsidR="00793A29" w:rsidRPr="00747E35" w:rsidRDefault="00793A29" w:rsidP="00793A29">
      <w:pPr>
        <w:rPr>
          <w:rFonts w:asciiTheme="minorHAnsi" w:hAnsiTheme="minorHAnsi" w:cstheme="minorHAnsi"/>
        </w:rPr>
      </w:pPr>
      <w:r w:rsidRPr="00747E35">
        <w:rPr>
          <w:rFonts w:asciiTheme="minorHAnsi" w:hAnsiTheme="minorHAnsi" w:cstheme="minorHAnsi"/>
        </w:rPr>
        <w:t>MDS ordination suggested differences between samples and sites (plot not shown) based on their flow regime class (</w:t>
      </w:r>
      <w:r w:rsidRPr="00747E35">
        <w:rPr>
          <w:rFonts w:asciiTheme="minorHAnsi" w:hAnsiTheme="minorHAnsi" w:cstheme="minorHAnsi"/>
        </w:rPr>
        <w:fldChar w:fldCharType="begin"/>
      </w:r>
      <w:r w:rsidRPr="00747E35">
        <w:rPr>
          <w:rFonts w:asciiTheme="minorHAnsi" w:hAnsiTheme="minorHAnsi" w:cstheme="minorHAnsi"/>
        </w:rPr>
        <w:instrText xml:space="preserve"> REF _Ref469044057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104</w:t>
      </w:r>
      <w:r w:rsidRPr="00747E35">
        <w:rPr>
          <w:rFonts w:asciiTheme="minorHAnsi" w:hAnsiTheme="minorHAnsi" w:cstheme="minorHAnsi"/>
        </w:rPr>
        <w:fldChar w:fldCharType="end"/>
      </w:r>
      <w:r w:rsidRPr="00747E35">
        <w:rPr>
          <w:rFonts w:asciiTheme="minorHAnsi" w:hAnsiTheme="minorHAnsi" w:cstheme="minorHAnsi"/>
        </w:rPr>
        <w:t>). Also of interest were the possible influences of VHH and DO as continuous co-variables (non-interacting) (</w:t>
      </w:r>
      <w:r w:rsidRPr="00747E35">
        <w:rPr>
          <w:rFonts w:asciiTheme="minorHAnsi" w:hAnsiTheme="minorHAnsi" w:cstheme="minorHAnsi"/>
        </w:rPr>
        <w:fldChar w:fldCharType="begin"/>
      </w:r>
      <w:r w:rsidRPr="00747E35">
        <w:rPr>
          <w:rFonts w:asciiTheme="minorHAnsi" w:hAnsiTheme="minorHAnsi" w:cstheme="minorHAnsi"/>
        </w:rPr>
        <w:instrText xml:space="preserve"> REF _Ref469044442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107</w:t>
      </w:r>
      <w:r w:rsidRPr="00747E35">
        <w:rPr>
          <w:rFonts w:asciiTheme="minorHAnsi" w:hAnsiTheme="minorHAnsi" w:cstheme="minorHAnsi"/>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_Ref466445765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112</w:t>
      </w:r>
      <w:r w:rsidRPr="00747E35">
        <w:rPr>
          <w:rFonts w:asciiTheme="minorHAnsi" w:hAnsiTheme="minorHAnsi" w:cstheme="minorHAnsi"/>
        </w:rPr>
        <w:fldChar w:fldCharType="end"/>
      </w:r>
      <w:r w:rsidRPr="00747E35">
        <w:rPr>
          <w:rFonts w:asciiTheme="minorHAnsi" w:hAnsiTheme="minorHAnsi" w:cstheme="minorHAnsi"/>
        </w:rPr>
        <w:t>).  After excluding sites/dates with few samples, missing co-variables or only one depth stratum, PERMANOVA tests of the null hypotheses of no differences in hyporheos assemblages based on flow regime, sample site, sample date and sample depth, suggested that sample depth was significant (p=0.004), and that depth and regime interacted (p=0.03) (</w:t>
      </w:r>
      <w:r w:rsidRPr="00747E35">
        <w:rPr>
          <w:rFonts w:asciiTheme="minorHAnsi" w:hAnsiTheme="minorHAnsi" w:cstheme="minorHAnsi"/>
        </w:rPr>
        <w:fldChar w:fldCharType="begin"/>
      </w:r>
      <w:r w:rsidRPr="00747E35">
        <w:rPr>
          <w:rFonts w:asciiTheme="minorHAnsi" w:hAnsiTheme="minorHAnsi" w:cstheme="minorHAnsi"/>
        </w:rPr>
        <w:instrText xml:space="preserve"> REF _Ref469064627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24</w:t>
      </w:r>
      <w:r w:rsidRPr="00747E35">
        <w:rPr>
          <w:rFonts w:asciiTheme="minorHAnsi" w:hAnsiTheme="minorHAnsi" w:cstheme="minorHAnsi"/>
        </w:rPr>
        <w:fldChar w:fldCharType="end"/>
      </w:r>
      <w:r w:rsidRPr="00747E35">
        <w:rPr>
          <w:rFonts w:asciiTheme="minorHAnsi" w:hAnsiTheme="minorHAnsi" w:cstheme="minorHAnsi"/>
        </w:rPr>
        <w:t>) . The co-variables VHH and DO were significant (p=0.02 and p=0.03 respectively) and these site-proximal variables strongly influenced the PERMANOVA model and reduced the reach-catchment scale effect of regime which otherwise appeared significant when these co-variables were excluded (analyses not shown).</w:t>
      </w:r>
    </w:p>
    <w:p w14:paraId="07B8C73D" w14:textId="77777777" w:rsidR="00793A29" w:rsidRPr="00747E35" w:rsidRDefault="00793A29" w:rsidP="00793A29">
      <w:pPr>
        <w:rPr>
          <w:rFonts w:asciiTheme="minorHAnsi" w:hAnsiTheme="minorHAnsi" w:cstheme="minorHAnsi"/>
          <w:lang w:val="en-AU" w:eastAsia="en-US"/>
        </w:rPr>
      </w:pPr>
    </w:p>
    <w:p w14:paraId="5524C720" w14:textId="34D11907" w:rsidR="003D3694" w:rsidRPr="00747E35" w:rsidRDefault="003D3694" w:rsidP="00CF473C">
      <w:pPr>
        <w:pStyle w:val="Caption"/>
        <w:numPr>
          <w:ilvl w:val="0"/>
          <w:numId w:val="0"/>
        </w:numPr>
        <w:rPr>
          <w:rFonts w:cstheme="minorHAnsi"/>
        </w:rPr>
      </w:pPr>
      <w:bookmarkStart w:id="294" w:name="_Ref469064627"/>
      <w:r w:rsidRPr="00747E35">
        <w:rPr>
          <w:rFonts w:cstheme="minorHAnsi"/>
        </w:rPr>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24</w:t>
      </w:r>
      <w:r w:rsidR="009D6600" w:rsidRPr="00747E35">
        <w:rPr>
          <w:rFonts w:cstheme="minorHAnsi"/>
          <w:noProof/>
        </w:rPr>
        <w:fldChar w:fldCharType="end"/>
      </w:r>
      <w:bookmarkEnd w:id="290"/>
      <w:bookmarkEnd w:id="294"/>
      <w:r w:rsidRPr="00747E35">
        <w:rPr>
          <w:rFonts w:cstheme="minorHAnsi"/>
        </w:rPr>
        <w:t xml:space="preserve">: PERMANOVA test of the null hypothesis of no differences in hyporheos assemblages based on flow regime, sample site, sample date and sample depth, suggested that sample depth was significant (p=0.004), and that depth and regime interacted significantly (p=0.03). The continuous co-variables, </w:t>
      </w:r>
      <w:r w:rsidRPr="00747E35">
        <w:rPr>
          <w:rFonts w:cstheme="minorHAnsi"/>
          <w:lang w:eastAsia="zh-CN"/>
        </w:rPr>
        <w:t>vertical hydraulic head (VHH) and dissolved oxygen (DO),</w:t>
      </w:r>
      <w:r w:rsidRPr="00747E35">
        <w:rPr>
          <w:rFonts w:cstheme="minorHAnsi"/>
        </w:rPr>
        <w:t xml:space="preserve"> were also significant.</w:t>
      </w:r>
    </w:p>
    <w:tbl>
      <w:tblPr>
        <w:tblW w:w="53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0"/>
        <w:gridCol w:w="960"/>
        <w:gridCol w:w="1296"/>
        <w:gridCol w:w="972"/>
      </w:tblGrid>
      <w:tr w:rsidR="003D3694" w:rsidRPr="00747E35" w14:paraId="42327157" w14:textId="77777777" w:rsidTr="0096743A">
        <w:trPr>
          <w:trHeight w:val="288"/>
          <w:jc w:val="center"/>
        </w:trPr>
        <w:tc>
          <w:tcPr>
            <w:tcW w:w="2130" w:type="dxa"/>
            <w:shd w:val="clear" w:color="auto" w:fill="DEEAF6" w:themeFill="accent1" w:themeFillTint="33"/>
            <w:noWrap/>
            <w:vAlign w:val="bottom"/>
          </w:tcPr>
          <w:p w14:paraId="7EF7FA20"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Source</w:t>
            </w:r>
          </w:p>
        </w:tc>
        <w:tc>
          <w:tcPr>
            <w:tcW w:w="960" w:type="dxa"/>
            <w:shd w:val="clear" w:color="auto" w:fill="DEEAF6" w:themeFill="accent1" w:themeFillTint="33"/>
            <w:noWrap/>
            <w:vAlign w:val="bottom"/>
          </w:tcPr>
          <w:p w14:paraId="0A43A639"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df</w:t>
            </w:r>
          </w:p>
        </w:tc>
        <w:tc>
          <w:tcPr>
            <w:tcW w:w="1296" w:type="dxa"/>
            <w:shd w:val="clear" w:color="auto" w:fill="DEEAF6" w:themeFill="accent1" w:themeFillTint="33"/>
            <w:noWrap/>
            <w:vAlign w:val="bottom"/>
          </w:tcPr>
          <w:p w14:paraId="604C9147"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Pseudo-F</w:t>
            </w:r>
          </w:p>
        </w:tc>
        <w:tc>
          <w:tcPr>
            <w:tcW w:w="972" w:type="dxa"/>
            <w:shd w:val="clear" w:color="auto" w:fill="DEEAF6" w:themeFill="accent1" w:themeFillTint="33"/>
            <w:noWrap/>
            <w:vAlign w:val="bottom"/>
          </w:tcPr>
          <w:p w14:paraId="746E2FF3"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P(perm)</w:t>
            </w:r>
          </w:p>
        </w:tc>
      </w:tr>
      <w:tr w:rsidR="003D3694" w:rsidRPr="00747E35" w14:paraId="74C4F466" w14:textId="77777777" w:rsidTr="0096743A">
        <w:trPr>
          <w:trHeight w:val="288"/>
          <w:jc w:val="center"/>
        </w:trPr>
        <w:tc>
          <w:tcPr>
            <w:tcW w:w="2130" w:type="dxa"/>
            <w:shd w:val="clear" w:color="auto" w:fill="auto"/>
            <w:noWrap/>
            <w:vAlign w:val="bottom"/>
            <w:hideMark/>
          </w:tcPr>
          <w:p w14:paraId="2432FE62" w14:textId="77777777" w:rsidR="003D3694" w:rsidRPr="00747E35" w:rsidRDefault="003D3694" w:rsidP="0096743A">
            <w:pPr>
              <w:pStyle w:val="Tabletext"/>
              <w:spacing w:before="0" w:after="0"/>
              <w:rPr>
                <w:rFonts w:cstheme="minorHAnsi"/>
                <w:b/>
              </w:rPr>
            </w:pPr>
            <w:r w:rsidRPr="00747E35">
              <w:rPr>
                <w:rFonts w:cstheme="minorHAnsi"/>
                <w:b/>
              </w:rPr>
              <w:t>VHH</w:t>
            </w:r>
          </w:p>
        </w:tc>
        <w:tc>
          <w:tcPr>
            <w:tcW w:w="960" w:type="dxa"/>
            <w:shd w:val="clear" w:color="auto" w:fill="auto"/>
            <w:noWrap/>
            <w:vAlign w:val="bottom"/>
            <w:hideMark/>
          </w:tcPr>
          <w:p w14:paraId="5355BF08" w14:textId="77777777" w:rsidR="003D3694" w:rsidRPr="00747E35" w:rsidRDefault="003D3694" w:rsidP="0096743A">
            <w:pPr>
              <w:pStyle w:val="Tabletext"/>
              <w:spacing w:before="0" w:after="0"/>
              <w:rPr>
                <w:rFonts w:cstheme="minorHAnsi"/>
              </w:rPr>
            </w:pPr>
            <w:r w:rsidRPr="00747E35">
              <w:rPr>
                <w:rFonts w:cstheme="minorHAnsi"/>
              </w:rPr>
              <w:t>1</w:t>
            </w:r>
          </w:p>
        </w:tc>
        <w:tc>
          <w:tcPr>
            <w:tcW w:w="1296" w:type="dxa"/>
            <w:shd w:val="clear" w:color="auto" w:fill="auto"/>
            <w:noWrap/>
            <w:vAlign w:val="bottom"/>
            <w:hideMark/>
          </w:tcPr>
          <w:p w14:paraId="1B8E700C" w14:textId="77777777" w:rsidR="003D3694" w:rsidRPr="00747E35" w:rsidRDefault="003D3694" w:rsidP="0096743A">
            <w:pPr>
              <w:pStyle w:val="Tabletext"/>
              <w:spacing w:before="0" w:after="0"/>
              <w:rPr>
                <w:rFonts w:cstheme="minorHAnsi"/>
              </w:rPr>
            </w:pPr>
            <w:r w:rsidRPr="00747E35">
              <w:rPr>
                <w:rFonts w:cstheme="minorHAnsi"/>
              </w:rPr>
              <w:t>2.72</w:t>
            </w:r>
          </w:p>
        </w:tc>
        <w:tc>
          <w:tcPr>
            <w:tcW w:w="972" w:type="dxa"/>
            <w:shd w:val="clear" w:color="auto" w:fill="auto"/>
            <w:noWrap/>
            <w:vAlign w:val="bottom"/>
            <w:hideMark/>
          </w:tcPr>
          <w:p w14:paraId="426D438B" w14:textId="77777777" w:rsidR="003D3694" w:rsidRPr="00747E35" w:rsidRDefault="003D3694" w:rsidP="0096743A">
            <w:pPr>
              <w:pStyle w:val="Tabletext"/>
              <w:spacing w:before="0" w:after="0"/>
              <w:rPr>
                <w:rFonts w:cstheme="minorHAnsi"/>
                <w:b/>
              </w:rPr>
            </w:pPr>
            <w:r w:rsidRPr="00747E35">
              <w:rPr>
                <w:rFonts w:cstheme="minorHAnsi"/>
                <w:b/>
              </w:rPr>
              <w:t>0.02</w:t>
            </w:r>
          </w:p>
        </w:tc>
      </w:tr>
      <w:tr w:rsidR="003D3694" w:rsidRPr="00747E35" w14:paraId="33D9FCC4" w14:textId="77777777" w:rsidTr="0096743A">
        <w:trPr>
          <w:trHeight w:val="288"/>
          <w:jc w:val="center"/>
        </w:trPr>
        <w:tc>
          <w:tcPr>
            <w:tcW w:w="2130" w:type="dxa"/>
            <w:shd w:val="clear" w:color="auto" w:fill="auto"/>
            <w:noWrap/>
            <w:vAlign w:val="bottom"/>
            <w:hideMark/>
          </w:tcPr>
          <w:p w14:paraId="42E0E324" w14:textId="77777777" w:rsidR="003D3694" w:rsidRPr="00747E35" w:rsidRDefault="003D3694" w:rsidP="0096743A">
            <w:pPr>
              <w:pStyle w:val="Tabletext"/>
              <w:spacing w:before="0" w:after="0"/>
              <w:rPr>
                <w:rFonts w:cstheme="minorHAnsi"/>
                <w:b/>
              </w:rPr>
            </w:pPr>
            <w:r w:rsidRPr="00747E35">
              <w:rPr>
                <w:rFonts w:cstheme="minorHAnsi"/>
                <w:b/>
              </w:rPr>
              <w:t>DO</w:t>
            </w:r>
          </w:p>
        </w:tc>
        <w:tc>
          <w:tcPr>
            <w:tcW w:w="960" w:type="dxa"/>
            <w:shd w:val="clear" w:color="auto" w:fill="auto"/>
            <w:noWrap/>
            <w:vAlign w:val="bottom"/>
            <w:hideMark/>
          </w:tcPr>
          <w:p w14:paraId="4876C01B" w14:textId="77777777" w:rsidR="003D3694" w:rsidRPr="00747E35" w:rsidRDefault="003D3694" w:rsidP="0096743A">
            <w:pPr>
              <w:pStyle w:val="Tabletext"/>
              <w:spacing w:before="0" w:after="0"/>
              <w:rPr>
                <w:rFonts w:cstheme="minorHAnsi"/>
              </w:rPr>
            </w:pPr>
            <w:r w:rsidRPr="00747E35">
              <w:rPr>
                <w:rFonts w:cstheme="minorHAnsi"/>
              </w:rPr>
              <w:t>1</w:t>
            </w:r>
          </w:p>
        </w:tc>
        <w:tc>
          <w:tcPr>
            <w:tcW w:w="1296" w:type="dxa"/>
            <w:shd w:val="clear" w:color="auto" w:fill="auto"/>
            <w:noWrap/>
            <w:vAlign w:val="bottom"/>
            <w:hideMark/>
          </w:tcPr>
          <w:p w14:paraId="0EB4B875" w14:textId="77777777" w:rsidR="003D3694" w:rsidRPr="00747E35" w:rsidRDefault="003D3694" w:rsidP="0096743A">
            <w:pPr>
              <w:pStyle w:val="Tabletext"/>
              <w:spacing w:before="0" w:after="0"/>
              <w:rPr>
                <w:rFonts w:cstheme="minorHAnsi"/>
              </w:rPr>
            </w:pPr>
            <w:r w:rsidRPr="00747E35">
              <w:rPr>
                <w:rFonts w:cstheme="minorHAnsi"/>
              </w:rPr>
              <w:t>1.95</w:t>
            </w:r>
          </w:p>
        </w:tc>
        <w:tc>
          <w:tcPr>
            <w:tcW w:w="972" w:type="dxa"/>
            <w:shd w:val="clear" w:color="auto" w:fill="auto"/>
            <w:noWrap/>
            <w:vAlign w:val="bottom"/>
            <w:hideMark/>
          </w:tcPr>
          <w:p w14:paraId="46152284" w14:textId="77777777" w:rsidR="003D3694" w:rsidRPr="00747E35" w:rsidRDefault="003D3694" w:rsidP="0096743A">
            <w:pPr>
              <w:pStyle w:val="Tabletext"/>
              <w:spacing w:before="0" w:after="0"/>
              <w:rPr>
                <w:rFonts w:cstheme="minorHAnsi"/>
                <w:b/>
              </w:rPr>
            </w:pPr>
            <w:r w:rsidRPr="00747E35">
              <w:rPr>
                <w:rFonts w:cstheme="minorHAnsi"/>
                <w:b/>
              </w:rPr>
              <w:t>0.03</w:t>
            </w:r>
          </w:p>
        </w:tc>
      </w:tr>
      <w:tr w:rsidR="003D3694" w:rsidRPr="00747E35" w14:paraId="4F3E89B9" w14:textId="77777777" w:rsidTr="0096743A">
        <w:trPr>
          <w:trHeight w:val="288"/>
          <w:jc w:val="center"/>
        </w:trPr>
        <w:tc>
          <w:tcPr>
            <w:tcW w:w="2130" w:type="dxa"/>
            <w:shd w:val="clear" w:color="auto" w:fill="auto"/>
            <w:noWrap/>
            <w:vAlign w:val="bottom"/>
            <w:hideMark/>
          </w:tcPr>
          <w:p w14:paraId="4CC2CABC" w14:textId="77777777" w:rsidR="003D3694" w:rsidRPr="00747E35" w:rsidRDefault="003D3694" w:rsidP="0096743A">
            <w:pPr>
              <w:pStyle w:val="Tabletext"/>
              <w:spacing w:before="0" w:after="0"/>
              <w:rPr>
                <w:rFonts w:cstheme="minorHAnsi"/>
              </w:rPr>
            </w:pPr>
            <w:r w:rsidRPr="00747E35">
              <w:rPr>
                <w:rFonts w:cstheme="minorHAnsi"/>
              </w:rPr>
              <w:t>Regime</w:t>
            </w:r>
          </w:p>
        </w:tc>
        <w:tc>
          <w:tcPr>
            <w:tcW w:w="960" w:type="dxa"/>
            <w:shd w:val="clear" w:color="auto" w:fill="auto"/>
            <w:noWrap/>
            <w:vAlign w:val="bottom"/>
            <w:hideMark/>
          </w:tcPr>
          <w:p w14:paraId="67E87ED6" w14:textId="77777777" w:rsidR="003D3694" w:rsidRPr="00747E35" w:rsidRDefault="003D3694" w:rsidP="0096743A">
            <w:pPr>
              <w:pStyle w:val="Tabletext"/>
              <w:spacing w:before="0" w:after="0"/>
              <w:rPr>
                <w:rFonts w:cstheme="minorHAnsi"/>
              </w:rPr>
            </w:pPr>
            <w:r w:rsidRPr="00747E35">
              <w:rPr>
                <w:rFonts w:cstheme="minorHAnsi"/>
              </w:rPr>
              <w:t>2</w:t>
            </w:r>
          </w:p>
        </w:tc>
        <w:tc>
          <w:tcPr>
            <w:tcW w:w="1296" w:type="dxa"/>
            <w:shd w:val="clear" w:color="auto" w:fill="auto"/>
            <w:noWrap/>
            <w:vAlign w:val="bottom"/>
            <w:hideMark/>
          </w:tcPr>
          <w:p w14:paraId="5D56D133" w14:textId="77777777" w:rsidR="003D3694" w:rsidRPr="00747E35" w:rsidRDefault="003D3694" w:rsidP="0096743A">
            <w:pPr>
              <w:pStyle w:val="Tabletext"/>
              <w:spacing w:before="0" w:after="0"/>
              <w:rPr>
                <w:rFonts w:cstheme="minorHAnsi"/>
              </w:rPr>
            </w:pPr>
            <w:r w:rsidRPr="00747E35">
              <w:rPr>
                <w:rFonts w:cstheme="minorHAnsi"/>
              </w:rPr>
              <w:t>1.71</w:t>
            </w:r>
          </w:p>
        </w:tc>
        <w:tc>
          <w:tcPr>
            <w:tcW w:w="972" w:type="dxa"/>
            <w:shd w:val="clear" w:color="auto" w:fill="auto"/>
            <w:noWrap/>
            <w:vAlign w:val="bottom"/>
            <w:hideMark/>
          </w:tcPr>
          <w:p w14:paraId="66A47C39" w14:textId="77777777" w:rsidR="003D3694" w:rsidRPr="00747E35" w:rsidRDefault="003D3694" w:rsidP="0096743A">
            <w:pPr>
              <w:pStyle w:val="Tabletext"/>
              <w:spacing w:before="0" w:after="0"/>
              <w:rPr>
                <w:rFonts w:cstheme="minorHAnsi"/>
              </w:rPr>
            </w:pPr>
            <w:r w:rsidRPr="00747E35">
              <w:rPr>
                <w:rFonts w:cstheme="minorHAnsi"/>
              </w:rPr>
              <w:t>0.19</w:t>
            </w:r>
          </w:p>
        </w:tc>
      </w:tr>
      <w:tr w:rsidR="003D3694" w:rsidRPr="00747E35" w14:paraId="2630C72E" w14:textId="77777777" w:rsidTr="0096743A">
        <w:trPr>
          <w:trHeight w:val="288"/>
          <w:jc w:val="center"/>
        </w:trPr>
        <w:tc>
          <w:tcPr>
            <w:tcW w:w="2130" w:type="dxa"/>
            <w:shd w:val="clear" w:color="auto" w:fill="auto"/>
            <w:noWrap/>
            <w:vAlign w:val="bottom"/>
            <w:hideMark/>
          </w:tcPr>
          <w:p w14:paraId="2D365114" w14:textId="77777777" w:rsidR="003D3694" w:rsidRPr="00747E35" w:rsidRDefault="003D3694" w:rsidP="0096743A">
            <w:pPr>
              <w:pStyle w:val="Tabletext"/>
              <w:spacing w:before="0" w:after="0"/>
              <w:rPr>
                <w:rFonts w:cstheme="minorHAnsi"/>
                <w:b/>
              </w:rPr>
            </w:pPr>
            <w:r w:rsidRPr="00747E35">
              <w:rPr>
                <w:rFonts w:cstheme="minorHAnsi"/>
                <w:b/>
              </w:rPr>
              <w:t>Depth</w:t>
            </w:r>
          </w:p>
        </w:tc>
        <w:tc>
          <w:tcPr>
            <w:tcW w:w="960" w:type="dxa"/>
            <w:shd w:val="clear" w:color="auto" w:fill="auto"/>
            <w:noWrap/>
            <w:vAlign w:val="bottom"/>
            <w:hideMark/>
          </w:tcPr>
          <w:p w14:paraId="17D14210" w14:textId="77777777" w:rsidR="003D3694" w:rsidRPr="00747E35" w:rsidRDefault="003D3694" w:rsidP="0096743A">
            <w:pPr>
              <w:pStyle w:val="Tabletext"/>
              <w:spacing w:before="0" w:after="0"/>
              <w:rPr>
                <w:rFonts w:cstheme="minorHAnsi"/>
              </w:rPr>
            </w:pPr>
            <w:r w:rsidRPr="00747E35">
              <w:rPr>
                <w:rFonts w:cstheme="minorHAnsi"/>
              </w:rPr>
              <w:t>1</w:t>
            </w:r>
          </w:p>
        </w:tc>
        <w:tc>
          <w:tcPr>
            <w:tcW w:w="1296" w:type="dxa"/>
            <w:shd w:val="clear" w:color="auto" w:fill="auto"/>
            <w:noWrap/>
            <w:vAlign w:val="bottom"/>
            <w:hideMark/>
          </w:tcPr>
          <w:p w14:paraId="51E01277" w14:textId="77777777" w:rsidR="003D3694" w:rsidRPr="00747E35" w:rsidRDefault="003D3694" w:rsidP="0096743A">
            <w:pPr>
              <w:pStyle w:val="Tabletext"/>
              <w:spacing w:before="0" w:after="0"/>
              <w:rPr>
                <w:rFonts w:cstheme="minorHAnsi"/>
              </w:rPr>
            </w:pPr>
            <w:r w:rsidRPr="00747E35">
              <w:rPr>
                <w:rFonts w:cstheme="minorHAnsi"/>
              </w:rPr>
              <w:t>4.88</w:t>
            </w:r>
          </w:p>
        </w:tc>
        <w:tc>
          <w:tcPr>
            <w:tcW w:w="972" w:type="dxa"/>
            <w:shd w:val="clear" w:color="auto" w:fill="auto"/>
            <w:noWrap/>
            <w:vAlign w:val="bottom"/>
            <w:hideMark/>
          </w:tcPr>
          <w:p w14:paraId="1C3130FB" w14:textId="77777777" w:rsidR="003D3694" w:rsidRPr="00747E35" w:rsidRDefault="003D3694" w:rsidP="0096743A">
            <w:pPr>
              <w:pStyle w:val="Tabletext"/>
              <w:spacing w:before="0" w:after="0"/>
              <w:rPr>
                <w:rFonts w:cstheme="minorHAnsi"/>
                <w:b/>
              </w:rPr>
            </w:pPr>
            <w:r w:rsidRPr="00747E35">
              <w:rPr>
                <w:rFonts w:cstheme="minorHAnsi"/>
                <w:b/>
              </w:rPr>
              <w:t>0.004</w:t>
            </w:r>
          </w:p>
        </w:tc>
      </w:tr>
      <w:tr w:rsidR="003D3694" w:rsidRPr="00747E35" w14:paraId="7C992A52" w14:textId="77777777" w:rsidTr="0096743A">
        <w:trPr>
          <w:trHeight w:val="288"/>
          <w:jc w:val="center"/>
        </w:trPr>
        <w:tc>
          <w:tcPr>
            <w:tcW w:w="2130" w:type="dxa"/>
            <w:shd w:val="clear" w:color="auto" w:fill="auto"/>
            <w:noWrap/>
            <w:vAlign w:val="bottom"/>
            <w:hideMark/>
          </w:tcPr>
          <w:p w14:paraId="3855F9D1" w14:textId="77777777" w:rsidR="003D3694" w:rsidRPr="00747E35" w:rsidRDefault="003D3694" w:rsidP="0096743A">
            <w:pPr>
              <w:pStyle w:val="Tabletext"/>
              <w:spacing w:before="0" w:after="0"/>
              <w:rPr>
                <w:rFonts w:cstheme="minorHAnsi"/>
              </w:rPr>
            </w:pPr>
            <w:r w:rsidRPr="00747E35">
              <w:rPr>
                <w:rFonts w:cstheme="minorHAnsi"/>
              </w:rPr>
              <w:t>Site(Regime)</w:t>
            </w:r>
          </w:p>
        </w:tc>
        <w:tc>
          <w:tcPr>
            <w:tcW w:w="960" w:type="dxa"/>
            <w:shd w:val="clear" w:color="auto" w:fill="auto"/>
            <w:noWrap/>
            <w:vAlign w:val="bottom"/>
            <w:hideMark/>
          </w:tcPr>
          <w:p w14:paraId="555D930D" w14:textId="77777777" w:rsidR="003D3694" w:rsidRPr="00747E35" w:rsidRDefault="003D3694" w:rsidP="0096743A">
            <w:pPr>
              <w:pStyle w:val="Tabletext"/>
              <w:spacing w:before="0" w:after="0"/>
              <w:rPr>
                <w:rFonts w:cstheme="minorHAnsi"/>
              </w:rPr>
            </w:pPr>
            <w:r w:rsidRPr="00747E35">
              <w:rPr>
                <w:rFonts w:cstheme="minorHAnsi"/>
              </w:rPr>
              <w:t>7</w:t>
            </w:r>
          </w:p>
        </w:tc>
        <w:tc>
          <w:tcPr>
            <w:tcW w:w="1296" w:type="dxa"/>
            <w:shd w:val="clear" w:color="auto" w:fill="auto"/>
            <w:noWrap/>
            <w:vAlign w:val="bottom"/>
            <w:hideMark/>
          </w:tcPr>
          <w:p w14:paraId="01DF488C" w14:textId="77777777" w:rsidR="003D3694" w:rsidRPr="00747E35" w:rsidRDefault="003D3694" w:rsidP="0096743A">
            <w:pPr>
              <w:pStyle w:val="Tabletext"/>
              <w:spacing w:before="0" w:after="0"/>
              <w:rPr>
                <w:rFonts w:cstheme="minorHAnsi"/>
              </w:rPr>
            </w:pPr>
            <w:r w:rsidRPr="00747E35">
              <w:rPr>
                <w:rFonts w:cstheme="minorHAnsi"/>
              </w:rPr>
              <w:t>2.18</w:t>
            </w:r>
          </w:p>
        </w:tc>
        <w:tc>
          <w:tcPr>
            <w:tcW w:w="972" w:type="dxa"/>
            <w:shd w:val="clear" w:color="auto" w:fill="auto"/>
            <w:noWrap/>
            <w:vAlign w:val="bottom"/>
            <w:hideMark/>
          </w:tcPr>
          <w:p w14:paraId="6DEEC8C5" w14:textId="77777777" w:rsidR="003D3694" w:rsidRPr="00747E35" w:rsidRDefault="003D3694" w:rsidP="0096743A">
            <w:pPr>
              <w:pStyle w:val="Tabletext"/>
              <w:spacing w:before="0" w:after="0"/>
              <w:rPr>
                <w:rFonts w:cstheme="minorHAnsi"/>
              </w:rPr>
            </w:pPr>
            <w:r w:rsidRPr="00747E35">
              <w:rPr>
                <w:rFonts w:cstheme="minorHAnsi"/>
              </w:rPr>
              <w:t>0.11</w:t>
            </w:r>
          </w:p>
        </w:tc>
      </w:tr>
      <w:tr w:rsidR="003D3694" w:rsidRPr="00747E35" w14:paraId="498250EA" w14:textId="77777777" w:rsidTr="0096743A">
        <w:trPr>
          <w:trHeight w:val="288"/>
          <w:jc w:val="center"/>
        </w:trPr>
        <w:tc>
          <w:tcPr>
            <w:tcW w:w="2130" w:type="dxa"/>
            <w:shd w:val="clear" w:color="auto" w:fill="auto"/>
            <w:noWrap/>
            <w:vAlign w:val="bottom"/>
            <w:hideMark/>
          </w:tcPr>
          <w:p w14:paraId="1AF98D31" w14:textId="77777777" w:rsidR="003D3694" w:rsidRPr="00747E35" w:rsidRDefault="003D3694" w:rsidP="0096743A">
            <w:pPr>
              <w:pStyle w:val="Tabletext"/>
              <w:spacing w:before="0" w:after="0"/>
              <w:rPr>
                <w:rFonts w:cstheme="minorHAnsi"/>
                <w:b/>
              </w:rPr>
            </w:pPr>
            <w:r w:rsidRPr="00747E35">
              <w:rPr>
                <w:rFonts w:cstheme="minorHAnsi"/>
                <w:b/>
              </w:rPr>
              <w:t>RegimexDepth</w:t>
            </w:r>
          </w:p>
        </w:tc>
        <w:tc>
          <w:tcPr>
            <w:tcW w:w="960" w:type="dxa"/>
            <w:shd w:val="clear" w:color="auto" w:fill="auto"/>
            <w:noWrap/>
            <w:vAlign w:val="bottom"/>
            <w:hideMark/>
          </w:tcPr>
          <w:p w14:paraId="72AA5EF3" w14:textId="77777777" w:rsidR="003D3694" w:rsidRPr="00747E35" w:rsidRDefault="003D3694" w:rsidP="0096743A">
            <w:pPr>
              <w:pStyle w:val="Tabletext"/>
              <w:spacing w:before="0" w:after="0"/>
              <w:rPr>
                <w:rFonts w:cstheme="minorHAnsi"/>
              </w:rPr>
            </w:pPr>
            <w:r w:rsidRPr="00747E35">
              <w:rPr>
                <w:rFonts w:cstheme="minorHAnsi"/>
              </w:rPr>
              <w:t>2</w:t>
            </w:r>
          </w:p>
        </w:tc>
        <w:tc>
          <w:tcPr>
            <w:tcW w:w="1296" w:type="dxa"/>
            <w:shd w:val="clear" w:color="auto" w:fill="auto"/>
            <w:noWrap/>
            <w:vAlign w:val="bottom"/>
            <w:hideMark/>
          </w:tcPr>
          <w:p w14:paraId="0D097B6E" w14:textId="77777777" w:rsidR="003D3694" w:rsidRPr="00747E35" w:rsidRDefault="003D3694" w:rsidP="0096743A">
            <w:pPr>
              <w:pStyle w:val="Tabletext"/>
              <w:spacing w:before="0" w:after="0"/>
              <w:rPr>
                <w:rFonts w:cstheme="minorHAnsi"/>
              </w:rPr>
            </w:pPr>
            <w:r w:rsidRPr="00747E35">
              <w:rPr>
                <w:rFonts w:cstheme="minorHAnsi"/>
              </w:rPr>
              <w:t>2.56</w:t>
            </w:r>
          </w:p>
        </w:tc>
        <w:tc>
          <w:tcPr>
            <w:tcW w:w="972" w:type="dxa"/>
            <w:shd w:val="clear" w:color="auto" w:fill="auto"/>
            <w:noWrap/>
            <w:vAlign w:val="bottom"/>
            <w:hideMark/>
          </w:tcPr>
          <w:p w14:paraId="3FD0D4D9" w14:textId="77777777" w:rsidR="003D3694" w:rsidRPr="00747E35" w:rsidRDefault="003D3694" w:rsidP="0096743A">
            <w:pPr>
              <w:pStyle w:val="Tabletext"/>
              <w:spacing w:before="0" w:after="0"/>
              <w:rPr>
                <w:rFonts w:cstheme="minorHAnsi"/>
                <w:b/>
              </w:rPr>
            </w:pPr>
            <w:r w:rsidRPr="00747E35">
              <w:rPr>
                <w:rFonts w:cstheme="minorHAnsi"/>
                <w:b/>
              </w:rPr>
              <w:t>0.03</w:t>
            </w:r>
          </w:p>
        </w:tc>
      </w:tr>
      <w:tr w:rsidR="003D3694" w:rsidRPr="00747E35" w14:paraId="61C3AD90" w14:textId="77777777" w:rsidTr="0096743A">
        <w:trPr>
          <w:trHeight w:val="288"/>
          <w:jc w:val="center"/>
        </w:trPr>
        <w:tc>
          <w:tcPr>
            <w:tcW w:w="2130" w:type="dxa"/>
            <w:shd w:val="clear" w:color="auto" w:fill="auto"/>
            <w:noWrap/>
            <w:vAlign w:val="bottom"/>
            <w:hideMark/>
          </w:tcPr>
          <w:p w14:paraId="2766F0CF" w14:textId="77777777" w:rsidR="003D3694" w:rsidRPr="00747E35" w:rsidRDefault="003D3694" w:rsidP="0096743A">
            <w:pPr>
              <w:pStyle w:val="Tabletext"/>
              <w:spacing w:before="0" w:after="0"/>
              <w:rPr>
                <w:rFonts w:cstheme="minorHAnsi"/>
              </w:rPr>
            </w:pPr>
            <w:r w:rsidRPr="00747E35">
              <w:rPr>
                <w:rFonts w:cstheme="minorHAnsi"/>
              </w:rPr>
              <w:t>Date(Site(Regime))</w:t>
            </w:r>
          </w:p>
        </w:tc>
        <w:tc>
          <w:tcPr>
            <w:tcW w:w="960" w:type="dxa"/>
            <w:shd w:val="clear" w:color="auto" w:fill="auto"/>
            <w:noWrap/>
            <w:vAlign w:val="bottom"/>
            <w:hideMark/>
          </w:tcPr>
          <w:p w14:paraId="3330F9D6" w14:textId="77777777" w:rsidR="003D3694" w:rsidRPr="00747E35" w:rsidRDefault="003D3694" w:rsidP="0096743A">
            <w:pPr>
              <w:pStyle w:val="Tabletext"/>
              <w:spacing w:before="0" w:after="0"/>
              <w:rPr>
                <w:rFonts w:cstheme="minorHAnsi"/>
              </w:rPr>
            </w:pPr>
            <w:r w:rsidRPr="00747E35">
              <w:rPr>
                <w:rFonts w:cstheme="minorHAnsi"/>
              </w:rPr>
              <w:t>3</w:t>
            </w:r>
          </w:p>
        </w:tc>
        <w:tc>
          <w:tcPr>
            <w:tcW w:w="1296" w:type="dxa"/>
            <w:shd w:val="clear" w:color="auto" w:fill="auto"/>
            <w:noWrap/>
            <w:vAlign w:val="bottom"/>
            <w:hideMark/>
          </w:tcPr>
          <w:p w14:paraId="78ED48E7" w14:textId="77777777" w:rsidR="003D3694" w:rsidRPr="00747E35" w:rsidRDefault="003D3694" w:rsidP="0096743A">
            <w:pPr>
              <w:pStyle w:val="Tabletext"/>
              <w:spacing w:before="0" w:after="0"/>
              <w:rPr>
                <w:rFonts w:cstheme="minorHAnsi"/>
              </w:rPr>
            </w:pPr>
            <w:r w:rsidRPr="00747E35">
              <w:rPr>
                <w:rFonts w:cstheme="minorHAnsi"/>
              </w:rPr>
              <w:t>1.23</w:t>
            </w:r>
          </w:p>
        </w:tc>
        <w:tc>
          <w:tcPr>
            <w:tcW w:w="972" w:type="dxa"/>
            <w:shd w:val="clear" w:color="auto" w:fill="auto"/>
            <w:noWrap/>
            <w:vAlign w:val="bottom"/>
            <w:hideMark/>
          </w:tcPr>
          <w:p w14:paraId="4212AEAB" w14:textId="77777777" w:rsidR="003D3694" w:rsidRPr="00747E35" w:rsidRDefault="003D3694" w:rsidP="0096743A">
            <w:pPr>
              <w:pStyle w:val="Tabletext"/>
              <w:spacing w:before="0" w:after="0"/>
              <w:rPr>
                <w:rFonts w:cstheme="minorHAnsi"/>
              </w:rPr>
            </w:pPr>
            <w:r w:rsidRPr="00747E35">
              <w:rPr>
                <w:rFonts w:cstheme="minorHAnsi"/>
              </w:rPr>
              <w:t>0.23</w:t>
            </w:r>
          </w:p>
        </w:tc>
      </w:tr>
      <w:tr w:rsidR="003D3694" w:rsidRPr="00747E35" w14:paraId="172A26BE" w14:textId="77777777" w:rsidTr="0096743A">
        <w:trPr>
          <w:trHeight w:val="288"/>
          <w:jc w:val="center"/>
        </w:trPr>
        <w:tc>
          <w:tcPr>
            <w:tcW w:w="2130" w:type="dxa"/>
            <w:shd w:val="clear" w:color="auto" w:fill="auto"/>
            <w:noWrap/>
            <w:vAlign w:val="bottom"/>
            <w:hideMark/>
          </w:tcPr>
          <w:p w14:paraId="2AE6462E" w14:textId="77777777" w:rsidR="003D3694" w:rsidRPr="00747E35" w:rsidRDefault="003D3694" w:rsidP="0096743A">
            <w:pPr>
              <w:pStyle w:val="Tabletext"/>
              <w:spacing w:before="0" w:after="0"/>
              <w:rPr>
                <w:rFonts w:cstheme="minorHAnsi"/>
              </w:rPr>
            </w:pPr>
            <w:r w:rsidRPr="00747E35">
              <w:rPr>
                <w:rFonts w:cstheme="minorHAnsi"/>
              </w:rPr>
              <w:t>Site(Regime)xDepth</w:t>
            </w:r>
          </w:p>
        </w:tc>
        <w:tc>
          <w:tcPr>
            <w:tcW w:w="960" w:type="dxa"/>
            <w:shd w:val="clear" w:color="auto" w:fill="auto"/>
            <w:noWrap/>
            <w:vAlign w:val="bottom"/>
            <w:hideMark/>
          </w:tcPr>
          <w:p w14:paraId="5F1F1685" w14:textId="77777777" w:rsidR="003D3694" w:rsidRPr="00747E35" w:rsidRDefault="003D3694" w:rsidP="0096743A">
            <w:pPr>
              <w:pStyle w:val="Tabletext"/>
              <w:spacing w:before="0" w:after="0"/>
              <w:rPr>
                <w:rFonts w:cstheme="minorHAnsi"/>
              </w:rPr>
            </w:pPr>
            <w:r w:rsidRPr="00747E35">
              <w:rPr>
                <w:rFonts w:cstheme="minorHAnsi"/>
              </w:rPr>
              <w:t>7</w:t>
            </w:r>
          </w:p>
        </w:tc>
        <w:tc>
          <w:tcPr>
            <w:tcW w:w="1296" w:type="dxa"/>
            <w:shd w:val="clear" w:color="auto" w:fill="auto"/>
            <w:noWrap/>
            <w:vAlign w:val="bottom"/>
            <w:hideMark/>
          </w:tcPr>
          <w:p w14:paraId="46AFD4EB" w14:textId="77777777" w:rsidR="003D3694" w:rsidRPr="00747E35" w:rsidRDefault="003D3694" w:rsidP="0096743A">
            <w:pPr>
              <w:pStyle w:val="Tabletext"/>
              <w:spacing w:before="0" w:after="0"/>
              <w:rPr>
                <w:rFonts w:cstheme="minorHAnsi"/>
              </w:rPr>
            </w:pPr>
            <w:r w:rsidRPr="00747E35">
              <w:rPr>
                <w:rFonts w:cstheme="minorHAnsi"/>
              </w:rPr>
              <w:t>1.22</w:t>
            </w:r>
          </w:p>
        </w:tc>
        <w:tc>
          <w:tcPr>
            <w:tcW w:w="972" w:type="dxa"/>
            <w:shd w:val="clear" w:color="auto" w:fill="auto"/>
            <w:noWrap/>
            <w:vAlign w:val="bottom"/>
            <w:hideMark/>
          </w:tcPr>
          <w:p w14:paraId="628804B9" w14:textId="77777777" w:rsidR="003D3694" w:rsidRPr="00747E35" w:rsidRDefault="003D3694" w:rsidP="0096743A">
            <w:pPr>
              <w:pStyle w:val="Tabletext"/>
              <w:spacing w:before="0" w:after="0"/>
              <w:rPr>
                <w:rFonts w:cstheme="minorHAnsi"/>
              </w:rPr>
            </w:pPr>
            <w:r w:rsidRPr="00747E35">
              <w:rPr>
                <w:rFonts w:cstheme="minorHAnsi"/>
              </w:rPr>
              <w:t>0.40</w:t>
            </w:r>
          </w:p>
        </w:tc>
      </w:tr>
      <w:tr w:rsidR="003D3694" w:rsidRPr="00747E35" w14:paraId="2391D8B1" w14:textId="77777777" w:rsidTr="0096743A">
        <w:trPr>
          <w:trHeight w:val="288"/>
          <w:jc w:val="center"/>
        </w:trPr>
        <w:tc>
          <w:tcPr>
            <w:tcW w:w="2130" w:type="dxa"/>
            <w:shd w:val="clear" w:color="auto" w:fill="auto"/>
            <w:noWrap/>
            <w:vAlign w:val="bottom"/>
            <w:hideMark/>
          </w:tcPr>
          <w:p w14:paraId="471D1254" w14:textId="77777777" w:rsidR="003D3694" w:rsidRPr="00747E35" w:rsidRDefault="003D3694" w:rsidP="0096743A">
            <w:pPr>
              <w:pStyle w:val="Tabletext"/>
              <w:spacing w:before="0" w:after="0"/>
              <w:rPr>
                <w:rFonts w:cstheme="minorHAnsi"/>
              </w:rPr>
            </w:pPr>
            <w:r w:rsidRPr="00747E35">
              <w:rPr>
                <w:rFonts w:cstheme="minorHAnsi"/>
              </w:rPr>
              <w:t>Date(Site(Regime))xDepth</w:t>
            </w:r>
          </w:p>
        </w:tc>
        <w:tc>
          <w:tcPr>
            <w:tcW w:w="960" w:type="dxa"/>
            <w:shd w:val="clear" w:color="auto" w:fill="auto"/>
            <w:noWrap/>
            <w:vAlign w:val="bottom"/>
            <w:hideMark/>
          </w:tcPr>
          <w:p w14:paraId="4154E90C" w14:textId="77777777" w:rsidR="003D3694" w:rsidRPr="00747E35" w:rsidRDefault="003D3694" w:rsidP="0096743A">
            <w:pPr>
              <w:pStyle w:val="Tabletext"/>
              <w:spacing w:before="0" w:after="0"/>
              <w:rPr>
                <w:rFonts w:cstheme="minorHAnsi"/>
              </w:rPr>
            </w:pPr>
            <w:r w:rsidRPr="00747E35">
              <w:rPr>
                <w:rFonts w:cstheme="minorHAnsi"/>
              </w:rPr>
              <w:t>3</w:t>
            </w:r>
          </w:p>
        </w:tc>
        <w:tc>
          <w:tcPr>
            <w:tcW w:w="1296" w:type="dxa"/>
            <w:shd w:val="clear" w:color="auto" w:fill="auto"/>
            <w:noWrap/>
            <w:vAlign w:val="bottom"/>
            <w:hideMark/>
          </w:tcPr>
          <w:p w14:paraId="717D449A" w14:textId="77777777" w:rsidR="003D3694" w:rsidRPr="00747E35" w:rsidRDefault="003D3694" w:rsidP="0096743A">
            <w:pPr>
              <w:pStyle w:val="Tabletext"/>
              <w:spacing w:before="0" w:after="0"/>
              <w:rPr>
                <w:rFonts w:cstheme="minorHAnsi"/>
              </w:rPr>
            </w:pPr>
            <w:r w:rsidRPr="00747E35">
              <w:rPr>
                <w:rFonts w:cstheme="minorHAnsi"/>
              </w:rPr>
              <w:t>0.61</w:t>
            </w:r>
          </w:p>
        </w:tc>
        <w:tc>
          <w:tcPr>
            <w:tcW w:w="972" w:type="dxa"/>
            <w:shd w:val="clear" w:color="auto" w:fill="auto"/>
            <w:noWrap/>
            <w:vAlign w:val="bottom"/>
            <w:hideMark/>
          </w:tcPr>
          <w:p w14:paraId="6DBDC094" w14:textId="77777777" w:rsidR="003D3694" w:rsidRPr="00747E35" w:rsidRDefault="003D3694" w:rsidP="0096743A">
            <w:pPr>
              <w:pStyle w:val="Tabletext"/>
              <w:spacing w:before="0" w:after="0"/>
              <w:rPr>
                <w:rFonts w:cstheme="minorHAnsi"/>
              </w:rPr>
            </w:pPr>
            <w:r w:rsidRPr="00747E35">
              <w:rPr>
                <w:rFonts w:cstheme="minorHAnsi"/>
              </w:rPr>
              <w:t>0.87</w:t>
            </w:r>
          </w:p>
        </w:tc>
      </w:tr>
      <w:tr w:rsidR="003D3694" w:rsidRPr="00747E35" w14:paraId="61F60189" w14:textId="77777777" w:rsidTr="0096743A">
        <w:trPr>
          <w:trHeight w:val="288"/>
          <w:jc w:val="center"/>
        </w:trPr>
        <w:tc>
          <w:tcPr>
            <w:tcW w:w="2130" w:type="dxa"/>
            <w:shd w:val="clear" w:color="auto" w:fill="auto"/>
            <w:noWrap/>
            <w:vAlign w:val="bottom"/>
            <w:hideMark/>
          </w:tcPr>
          <w:p w14:paraId="2D32B992" w14:textId="77777777" w:rsidR="003D3694" w:rsidRPr="00747E35" w:rsidRDefault="003D3694" w:rsidP="0096743A">
            <w:pPr>
              <w:pStyle w:val="Tabletext"/>
              <w:spacing w:before="0" w:after="0"/>
              <w:rPr>
                <w:rFonts w:cstheme="minorHAnsi"/>
              </w:rPr>
            </w:pPr>
            <w:r w:rsidRPr="00747E35">
              <w:rPr>
                <w:rFonts w:cstheme="minorHAnsi"/>
              </w:rPr>
              <w:t>Residuals</w:t>
            </w:r>
          </w:p>
        </w:tc>
        <w:tc>
          <w:tcPr>
            <w:tcW w:w="960" w:type="dxa"/>
            <w:shd w:val="clear" w:color="auto" w:fill="auto"/>
            <w:noWrap/>
            <w:vAlign w:val="bottom"/>
            <w:hideMark/>
          </w:tcPr>
          <w:p w14:paraId="0E05E385" w14:textId="77777777" w:rsidR="003D3694" w:rsidRPr="00747E35" w:rsidRDefault="003D3694" w:rsidP="0096743A">
            <w:pPr>
              <w:pStyle w:val="Tabletext"/>
              <w:spacing w:before="0" w:after="0"/>
              <w:rPr>
                <w:rFonts w:cstheme="minorHAnsi"/>
              </w:rPr>
            </w:pPr>
            <w:r w:rsidRPr="00747E35">
              <w:rPr>
                <w:rFonts w:cstheme="minorHAnsi"/>
              </w:rPr>
              <w:t>56</w:t>
            </w:r>
          </w:p>
        </w:tc>
        <w:tc>
          <w:tcPr>
            <w:tcW w:w="1296" w:type="dxa"/>
            <w:shd w:val="clear" w:color="auto" w:fill="auto"/>
            <w:noWrap/>
            <w:vAlign w:val="bottom"/>
            <w:hideMark/>
          </w:tcPr>
          <w:p w14:paraId="12F611C1" w14:textId="77777777" w:rsidR="003D3694" w:rsidRPr="00747E35" w:rsidRDefault="003D3694" w:rsidP="0096743A">
            <w:pPr>
              <w:pStyle w:val="Tabletext"/>
              <w:spacing w:before="0" w:after="0"/>
              <w:rPr>
                <w:rFonts w:cstheme="minorHAnsi"/>
              </w:rPr>
            </w:pPr>
          </w:p>
        </w:tc>
        <w:tc>
          <w:tcPr>
            <w:tcW w:w="972" w:type="dxa"/>
            <w:shd w:val="clear" w:color="auto" w:fill="auto"/>
            <w:noWrap/>
            <w:vAlign w:val="bottom"/>
            <w:hideMark/>
          </w:tcPr>
          <w:p w14:paraId="0513C194" w14:textId="77777777" w:rsidR="003D3694" w:rsidRPr="00747E35" w:rsidRDefault="003D3694" w:rsidP="0096743A">
            <w:pPr>
              <w:pStyle w:val="Tabletext"/>
              <w:spacing w:before="0" w:after="0"/>
              <w:rPr>
                <w:rFonts w:cstheme="minorHAnsi"/>
              </w:rPr>
            </w:pPr>
          </w:p>
        </w:tc>
      </w:tr>
    </w:tbl>
    <w:p w14:paraId="35A5DC82" w14:textId="77777777" w:rsidR="003D3694" w:rsidRPr="00747E35" w:rsidRDefault="003D3694" w:rsidP="003D3694">
      <w:pPr>
        <w:rPr>
          <w:rFonts w:asciiTheme="minorHAnsi" w:hAnsiTheme="minorHAnsi" w:cstheme="minorHAnsi"/>
        </w:rPr>
      </w:pPr>
    </w:p>
    <w:p w14:paraId="370924BE" w14:textId="77777777" w:rsidR="003D3694" w:rsidRPr="00747E35" w:rsidRDefault="003D3694" w:rsidP="00CF473C">
      <w:pPr>
        <w:pStyle w:val="Heading4"/>
        <w:rPr>
          <w:rFonts w:asciiTheme="minorHAnsi" w:hAnsiTheme="minorHAnsi" w:cstheme="minorHAnsi"/>
        </w:rPr>
      </w:pPr>
      <w:r w:rsidRPr="00747E35">
        <w:rPr>
          <w:rFonts w:asciiTheme="minorHAnsi" w:hAnsiTheme="minorHAnsi" w:cstheme="minorHAnsi"/>
        </w:rPr>
        <w:t>Maules Creek aquifer</w:t>
      </w:r>
    </w:p>
    <w:p w14:paraId="74D36BBB" w14:textId="59A42290" w:rsidR="003D3694" w:rsidRPr="00747E35" w:rsidRDefault="003D3694" w:rsidP="003D3694">
      <w:pPr>
        <w:rPr>
          <w:rFonts w:asciiTheme="minorHAnsi" w:hAnsiTheme="minorHAnsi" w:cstheme="minorHAnsi"/>
        </w:rPr>
      </w:pPr>
      <w:r w:rsidRPr="00747E35">
        <w:rPr>
          <w:rFonts w:asciiTheme="minorHAnsi" w:hAnsiTheme="minorHAnsi" w:cstheme="minorHAnsi"/>
        </w:rPr>
        <w:t>Stygofauna were detected in all, except two, of the 15 sampled bores tapping the regional aquifers alongside Maules Creek and Middle Creek. The sampling did not detect stygofauna in bores BH21-1 and BH21-2, both of which were contaminated with oil when sampled.  Overall richness and abundance in the bores containing fauna ranged from one to nine taxa, and up to 260 individuals, although most samples contained &lt; 100 individuals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_Ref467126055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106</w:t>
      </w:r>
      <w:r w:rsidRPr="00747E35">
        <w:rPr>
          <w:rFonts w:asciiTheme="minorHAnsi" w:hAnsiTheme="minorHAnsi" w:cstheme="minorHAnsi"/>
          <w:highlight w:val="yellow"/>
        </w:rPr>
        <w:fldChar w:fldCharType="end"/>
      </w:r>
      <w:r w:rsidRPr="00747E35">
        <w:rPr>
          <w:rFonts w:asciiTheme="minorHAnsi" w:hAnsiTheme="minorHAnsi" w:cstheme="minorHAnsi"/>
        </w:rPr>
        <w:t>).</w:t>
      </w:r>
    </w:p>
    <w:p w14:paraId="6DD8D58C" w14:textId="265BEDD0" w:rsidR="003D3694" w:rsidRPr="00747E35" w:rsidRDefault="003D3694" w:rsidP="003D3694">
      <w:pPr>
        <w:rPr>
          <w:rFonts w:asciiTheme="minorHAnsi" w:hAnsiTheme="minorHAnsi" w:cstheme="minorHAnsi"/>
        </w:rPr>
      </w:pPr>
      <w:r w:rsidRPr="00747E35">
        <w:rPr>
          <w:rFonts w:asciiTheme="minorHAnsi" w:hAnsiTheme="minorHAnsi" w:cstheme="minorHAnsi"/>
        </w:rPr>
        <w:t>Interestingly, stygofauna were detected in the two bores (BH20-4, BH12-4) screened in the deeper Maules Creek Formation aquifer. Stygofauna taxon richness and abundance in the deep bores were lower than in most other bores in the shallow aquifer, and comprised nematodes, oligochaetes, rotifers, copepods, ostracods and possibly water mites (identification unconfirmed). There was no obvious association between invertebrate richness or abundance and the inferred degree of hydrologic connectivity (high, medium, low, none) between the aquifer and adjacent creek based on interpretation of the geochemical similarity of bore water to creek water (refer to</w:t>
      </w:r>
      <w:r w:rsidR="00C6582F" w:rsidRPr="00747E35">
        <w:rPr>
          <w:rFonts w:asciiTheme="minorHAnsi" w:hAnsiTheme="minorHAnsi" w:cstheme="minorHAnsi"/>
        </w:rPr>
        <w:t xml:space="preserve"> </w:t>
      </w:r>
      <w:r w:rsidR="00C6582F" w:rsidRPr="00747E35">
        <w:rPr>
          <w:rFonts w:asciiTheme="minorHAnsi" w:hAnsiTheme="minorHAnsi" w:cstheme="minorHAnsi"/>
        </w:rPr>
        <w:fldChar w:fldCharType="begin"/>
      </w:r>
      <w:r w:rsidR="00C6582F" w:rsidRPr="00747E35">
        <w:rPr>
          <w:rFonts w:asciiTheme="minorHAnsi" w:hAnsiTheme="minorHAnsi" w:cstheme="minorHAnsi"/>
        </w:rPr>
        <w:instrText xml:space="preserve"> REF _Ref469064627 \h  \* MERGEFORMAT </w:instrText>
      </w:r>
      <w:r w:rsidR="00C6582F" w:rsidRPr="00747E35">
        <w:rPr>
          <w:rFonts w:asciiTheme="minorHAnsi" w:hAnsiTheme="minorHAnsi" w:cstheme="minorHAnsi"/>
        </w:rPr>
      </w:r>
      <w:r w:rsidR="00C6582F"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24</w:t>
      </w:r>
      <w:r w:rsidR="00C6582F" w:rsidRPr="00747E35">
        <w:rPr>
          <w:rFonts w:asciiTheme="minorHAnsi" w:hAnsiTheme="minorHAnsi" w:cstheme="minorHAnsi"/>
        </w:rPr>
        <w:fldChar w:fldCharType="end"/>
      </w:r>
      <w:r w:rsidR="00C6582F" w:rsidRPr="00747E35">
        <w:rPr>
          <w:rFonts w:asciiTheme="minorHAnsi" w:hAnsiTheme="minorHAnsi" w:cstheme="minorHAnsi"/>
        </w:rPr>
        <w:t xml:space="preserve"> </w:t>
      </w:r>
      <w:r w:rsidRPr="00747E35">
        <w:rPr>
          <w:rFonts w:asciiTheme="minorHAnsi" w:hAnsiTheme="minorHAnsi" w:cstheme="minorHAnsi"/>
        </w:rPr>
        <w:t xml:space="preserve">). For example, Bores 19-1 and BH19-2 had very low geochemical similarity to creek water but moderate to high invertebrate richness and abundances.  </w:t>
      </w:r>
    </w:p>
    <w:p w14:paraId="32855C5D" w14:textId="77777777" w:rsidR="003D3694" w:rsidRPr="00747E35" w:rsidRDefault="003D3694" w:rsidP="003D3694">
      <w:pPr>
        <w:keepNext/>
        <w:keepLines/>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049D8D1C" wp14:editId="52F1F6A2">
            <wp:extent cx="6131859" cy="2655731"/>
            <wp:effectExtent l="0" t="0" r="2540" b="0"/>
            <wp:docPr id="2067" name="Picture 2067" descr="Upper Bar chart in Fig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6138892" cy="2658777"/>
                    </a:xfrm>
                    <a:prstGeom prst="rect">
                      <a:avLst/>
                    </a:prstGeom>
                    <a:noFill/>
                  </pic:spPr>
                </pic:pic>
              </a:graphicData>
            </a:graphic>
          </wp:inline>
        </w:drawing>
      </w:r>
    </w:p>
    <w:p w14:paraId="4135230B" w14:textId="77777777" w:rsidR="003D3694" w:rsidRPr="00747E35" w:rsidRDefault="003D3694" w:rsidP="003D3694">
      <w:pPr>
        <w:keepNext/>
        <w:keepLines/>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181EC071" wp14:editId="573F17FF">
            <wp:extent cx="6131859" cy="2651461"/>
            <wp:effectExtent l="0" t="0" r="2540" b="0"/>
            <wp:docPr id="2070" name="Picture 2070" descr="Lower bar chart in Fig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6138544" cy="2654352"/>
                    </a:xfrm>
                    <a:prstGeom prst="rect">
                      <a:avLst/>
                    </a:prstGeom>
                    <a:noFill/>
                  </pic:spPr>
                </pic:pic>
              </a:graphicData>
            </a:graphic>
          </wp:inline>
        </w:drawing>
      </w:r>
    </w:p>
    <w:p w14:paraId="2E8E2CDF" w14:textId="77777777" w:rsidR="003D3694" w:rsidRPr="00747E35" w:rsidRDefault="003D3694" w:rsidP="00566456">
      <w:pPr>
        <w:pStyle w:val="Caption"/>
        <w:numPr>
          <w:ilvl w:val="0"/>
          <w:numId w:val="0"/>
        </w:numPr>
        <w:rPr>
          <w:rFonts w:cstheme="minorHAnsi"/>
        </w:rPr>
      </w:pPr>
      <w:bookmarkStart w:id="295" w:name="_Ref467126055"/>
      <w:bookmarkStart w:id="296" w:name="_Ref453229845"/>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106</w:t>
      </w:r>
      <w:r w:rsidR="009D6600" w:rsidRPr="00747E35">
        <w:rPr>
          <w:rFonts w:cstheme="minorHAnsi"/>
          <w:noProof/>
        </w:rPr>
        <w:fldChar w:fldCharType="end"/>
      </w:r>
      <w:bookmarkEnd w:id="295"/>
      <w:r w:rsidRPr="00747E35">
        <w:rPr>
          <w:rFonts w:cstheme="minorHAnsi"/>
        </w:rPr>
        <w:t>:  Maules catchment aquifer bores sampled in September 2015 and February 2016: richness (upper) and abundance (lower). Sites are grouped by flow regime of adjacent creek, arranged in order from upstream (left) to downstream. Groundwater habitat affinity groups are not distinguished because the aquifer assemblage was dominated by stygobites and stygophiles. Stygofauna were detected in all, except two, of the 15 sampled bores tapping the regional aquifers alongside Maules Creek and Middle Creek, and overall richness and abundance ranged from one to nine taxa, and up to 260 individuals, although most samples contained &lt; 100 individuals. There was no obvious association between invertebrate richness or abundance and the inferred degree of hydrologic connectivity  between the aquifer and adjacent creek based on interpretation of the geochemical similarity of bore water to creek water: high ‘+++’; medium ‘++’; low ‘+’; none ‘-‘.</w:t>
      </w:r>
    </w:p>
    <w:p w14:paraId="1F5C329E" w14:textId="77777777" w:rsidR="003D3694" w:rsidRPr="00747E35" w:rsidRDefault="003D3694" w:rsidP="003D3694">
      <w:pPr>
        <w:rPr>
          <w:rFonts w:asciiTheme="minorHAnsi" w:hAnsiTheme="minorHAnsi" w:cstheme="minorHAnsi"/>
        </w:rPr>
      </w:pPr>
    </w:p>
    <w:p w14:paraId="2F0E9571" w14:textId="61CC88DE" w:rsidR="003D3694" w:rsidRPr="00747E35" w:rsidRDefault="003D3694" w:rsidP="003D3694">
      <w:pPr>
        <w:rPr>
          <w:rFonts w:asciiTheme="minorHAnsi" w:hAnsiTheme="minorHAnsi" w:cstheme="minorHAnsi"/>
        </w:rPr>
      </w:pPr>
      <w:r w:rsidRPr="00747E35">
        <w:rPr>
          <w:rFonts w:asciiTheme="minorHAnsi" w:hAnsiTheme="minorHAnsi" w:cstheme="minorHAnsi"/>
        </w:rPr>
        <w:t>Multivariate analysis revealed differences in assemblages between sites and sampling dates, but no obvious patterns in relation to the flow regime of the creek adjacent to the bore, or the degree of hydrochemical similarity of aqu</w:t>
      </w:r>
      <w:r w:rsidR="009A3D4A" w:rsidRPr="00747E35">
        <w:rPr>
          <w:rFonts w:asciiTheme="minorHAnsi" w:hAnsiTheme="minorHAnsi" w:cstheme="minorHAnsi"/>
        </w:rPr>
        <w:t>ifer and adjacent creek waters (</w:t>
      </w:r>
      <w:r w:rsidR="009A3D4A" w:rsidRPr="00747E35">
        <w:rPr>
          <w:rFonts w:asciiTheme="minorHAnsi" w:hAnsiTheme="minorHAnsi" w:cstheme="minorHAnsi"/>
        </w:rPr>
        <w:fldChar w:fldCharType="begin"/>
      </w:r>
      <w:r w:rsidR="009A3D4A" w:rsidRPr="00747E35">
        <w:rPr>
          <w:rFonts w:asciiTheme="minorHAnsi" w:hAnsiTheme="minorHAnsi" w:cstheme="minorHAnsi"/>
        </w:rPr>
        <w:instrText xml:space="preserve"> REF _Ref469044442 \h </w:instrText>
      </w:r>
      <w:r w:rsidR="00925BFC" w:rsidRPr="00747E35">
        <w:rPr>
          <w:rFonts w:asciiTheme="minorHAnsi" w:hAnsiTheme="minorHAnsi" w:cstheme="minorHAnsi"/>
        </w:rPr>
        <w:instrText xml:space="preserve"> \* MERGEFORMAT </w:instrText>
      </w:r>
      <w:r w:rsidR="009A3D4A" w:rsidRPr="00747E35">
        <w:rPr>
          <w:rFonts w:asciiTheme="minorHAnsi" w:hAnsiTheme="minorHAnsi" w:cstheme="minorHAnsi"/>
        </w:rPr>
      </w:r>
      <w:r w:rsidR="009A3D4A"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107</w:t>
      </w:r>
      <w:r w:rsidR="009A3D4A" w:rsidRPr="00747E35">
        <w:rPr>
          <w:rFonts w:asciiTheme="minorHAnsi" w:hAnsiTheme="minorHAnsi" w:cstheme="minorHAnsi"/>
        </w:rPr>
        <w:fldChar w:fldCharType="end"/>
      </w:r>
      <w:r w:rsidR="009A3D4A" w:rsidRPr="00747E35">
        <w:rPr>
          <w:rFonts w:asciiTheme="minorHAnsi" w:hAnsiTheme="minorHAnsi" w:cstheme="minorHAnsi"/>
        </w:rPr>
        <w:t>)</w:t>
      </w:r>
      <w:r w:rsidRPr="00747E35">
        <w:rPr>
          <w:rFonts w:asciiTheme="minorHAnsi" w:hAnsiTheme="minorHAnsi" w:cstheme="minorHAnsi"/>
        </w:rPr>
        <w:t>.  Fourteen taxa were influential (Pearson r &gt; 0.4) in the ordination structure; unsurprisingly most of these taxa were stygobites and stygophiles (Appendix 3:</w:t>
      </w:r>
      <w:r w:rsidR="009A3D4A" w:rsidRPr="00747E35">
        <w:rPr>
          <w:rFonts w:asciiTheme="minorHAnsi" w:hAnsiTheme="minorHAnsi" w:cstheme="minorHAnsi"/>
        </w:rPr>
        <w:t xml:space="preserve"> </w:t>
      </w:r>
      <w:r w:rsidR="009A3D4A" w:rsidRPr="00747E35">
        <w:rPr>
          <w:rFonts w:asciiTheme="minorHAnsi" w:hAnsiTheme="minorHAnsi" w:cstheme="minorHAnsi"/>
        </w:rPr>
        <w:fldChar w:fldCharType="begin"/>
      </w:r>
      <w:r w:rsidR="009A3D4A" w:rsidRPr="00747E35">
        <w:rPr>
          <w:rFonts w:asciiTheme="minorHAnsi" w:hAnsiTheme="minorHAnsi" w:cstheme="minorHAnsi"/>
        </w:rPr>
        <w:instrText xml:space="preserve"> REF _Ref469044221 \h </w:instrText>
      </w:r>
      <w:r w:rsidR="00925BFC" w:rsidRPr="00747E35">
        <w:rPr>
          <w:rFonts w:asciiTheme="minorHAnsi" w:hAnsiTheme="minorHAnsi" w:cstheme="minorHAnsi"/>
        </w:rPr>
        <w:instrText xml:space="preserve"> \* MERGEFORMAT </w:instrText>
      </w:r>
      <w:r w:rsidR="009A3D4A" w:rsidRPr="00747E35">
        <w:rPr>
          <w:rFonts w:asciiTheme="minorHAnsi" w:hAnsiTheme="minorHAnsi" w:cstheme="minorHAnsi"/>
        </w:rPr>
      </w:r>
      <w:r w:rsidR="009A3D4A"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56</w:t>
      </w:r>
      <w:r w:rsidR="009A3D4A" w:rsidRPr="00747E35">
        <w:rPr>
          <w:rFonts w:asciiTheme="minorHAnsi" w:hAnsiTheme="minorHAnsi" w:cstheme="minorHAnsi"/>
        </w:rPr>
        <w:fldChar w:fldCharType="end"/>
      </w:r>
      <w:r w:rsidR="009A3D4A" w:rsidRPr="00747E35">
        <w:rPr>
          <w:rFonts w:asciiTheme="minorHAnsi" w:hAnsiTheme="minorHAnsi" w:cstheme="minorHAnsi"/>
        </w:rPr>
        <w:t xml:space="preserve"> </w:t>
      </w:r>
      <w:r w:rsidRPr="00747E35">
        <w:rPr>
          <w:rFonts w:asciiTheme="minorHAnsi" w:hAnsiTheme="minorHAnsi" w:cstheme="minorHAnsi"/>
        </w:rPr>
        <w:t>). The most influential taxa were Cyclopoida, Acarina and one ‘indicator’ taxon (of connectivity to permanent groundwater habitat), Parabathynellidae. Other less influential taxa included Bathynellidae, Harpacticoida and Candonidae.</w:t>
      </w:r>
    </w:p>
    <w:p w14:paraId="5D87D2CF" w14:textId="2FEE1163" w:rsidR="003D3694" w:rsidRPr="00747E35" w:rsidRDefault="003D3694" w:rsidP="003D3694">
      <w:pPr>
        <w:rPr>
          <w:rFonts w:asciiTheme="minorHAnsi" w:hAnsiTheme="minorHAnsi" w:cstheme="minorHAnsi"/>
        </w:rPr>
      </w:pPr>
      <w:r w:rsidRPr="00747E35">
        <w:rPr>
          <w:rFonts w:asciiTheme="minorHAnsi" w:hAnsiTheme="minorHAnsi" w:cstheme="minorHAnsi"/>
        </w:rPr>
        <w:t>Four hydrochemistry variables correlated (Pearson r &gt; 0.4) with the invertebrate assemblage structure</w:t>
      </w:r>
      <w:r w:rsidR="009A3D4A" w:rsidRPr="00747E35">
        <w:rPr>
          <w:rFonts w:asciiTheme="minorHAnsi" w:hAnsiTheme="minorHAnsi" w:cstheme="minorHAnsi"/>
        </w:rPr>
        <w:t xml:space="preserve"> (</w:t>
      </w:r>
      <w:r w:rsidR="009A3D4A" w:rsidRPr="00747E35">
        <w:rPr>
          <w:rFonts w:asciiTheme="minorHAnsi" w:hAnsiTheme="minorHAnsi" w:cstheme="minorHAnsi"/>
        </w:rPr>
        <w:fldChar w:fldCharType="begin"/>
      </w:r>
      <w:r w:rsidR="009A3D4A" w:rsidRPr="00747E35">
        <w:rPr>
          <w:rFonts w:asciiTheme="minorHAnsi" w:hAnsiTheme="minorHAnsi" w:cstheme="minorHAnsi"/>
        </w:rPr>
        <w:instrText xml:space="preserve"> REF _Ref469044442 \h </w:instrText>
      </w:r>
      <w:r w:rsidR="00925BFC" w:rsidRPr="00747E35">
        <w:rPr>
          <w:rFonts w:asciiTheme="minorHAnsi" w:hAnsiTheme="minorHAnsi" w:cstheme="minorHAnsi"/>
        </w:rPr>
        <w:instrText xml:space="preserve"> \* MERGEFORMAT </w:instrText>
      </w:r>
      <w:r w:rsidR="009A3D4A" w:rsidRPr="00747E35">
        <w:rPr>
          <w:rFonts w:asciiTheme="minorHAnsi" w:hAnsiTheme="minorHAnsi" w:cstheme="minorHAnsi"/>
        </w:rPr>
      </w:r>
      <w:r w:rsidR="009A3D4A"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107</w:t>
      </w:r>
      <w:r w:rsidR="009A3D4A" w:rsidRPr="00747E35">
        <w:rPr>
          <w:rFonts w:asciiTheme="minorHAnsi" w:hAnsiTheme="minorHAnsi" w:cstheme="minorHAnsi"/>
        </w:rPr>
        <w:fldChar w:fldCharType="end"/>
      </w:r>
      <w:r w:rsidRPr="00747E35">
        <w:rPr>
          <w:rFonts w:asciiTheme="minorHAnsi" w:hAnsiTheme="minorHAnsi" w:cstheme="minorHAnsi"/>
        </w:rPr>
        <w:t>, G): pH, Ba, humics (Absorbance at 253 nm) and oxygen isotope ratio (delta 18O). DO was weakly correlated, and of the reduced ionic species, Fe</w:t>
      </w:r>
      <w:r w:rsidRPr="00747E35">
        <w:rPr>
          <w:rFonts w:asciiTheme="minorHAnsi" w:hAnsiTheme="minorHAnsi" w:cstheme="minorHAnsi"/>
          <w:vertAlign w:val="superscript"/>
        </w:rPr>
        <w:t>2+</w:t>
      </w:r>
      <w:r w:rsidRPr="00747E35">
        <w:rPr>
          <w:rFonts w:asciiTheme="minorHAnsi" w:hAnsiTheme="minorHAnsi" w:cstheme="minorHAnsi"/>
        </w:rPr>
        <w:t xml:space="preserve"> was the most strongly, and negatively, correlated </w:t>
      </w:r>
      <w:r w:rsidRPr="00747E35">
        <w:rPr>
          <w:rFonts w:asciiTheme="minorHAnsi" w:hAnsiTheme="minorHAnsi" w:cstheme="minorHAnsi"/>
        </w:rPr>
        <w:lastRenderedPageBreak/>
        <w:t>(0.37 MDS1). Nutrients, DOC and other organics were predominantly negatively correlated (Appendix 3:</w:t>
      </w:r>
      <w:r w:rsidR="00C6582F" w:rsidRPr="00747E35">
        <w:rPr>
          <w:rFonts w:asciiTheme="minorHAnsi" w:hAnsiTheme="minorHAnsi" w:cstheme="minorHAnsi"/>
        </w:rPr>
        <w:t xml:space="preserve"> </w:t>
      </w:r>
      <w:r w:rsidR="00C6582F" w:rsidRPr="00747E35">
        <w:rPr>
          <w:rFonts w:asciiTheme="minorHAnsi" w:hAnsiTheme="minorHAnsi" w:cstheme="minorHAnsi"/>
        </w:rPr>
        <w:fldChar w:fldCharType="begin"/>
      </w:r>
      <w:r w:rsidR="00C6582F" w:rsidRPr="00747E35">
        <w:rPr>
          <w:rFonts w:asciiTheme="minorHAnsi" w:hAnsiTheme="minorHAnsi" w:cstheme="minorHAnsi"/>
        </w:rPr>
        <w:instrText xml:space="preserve"> REF _Ref469044221 \h  \* MERGEFORMAT </w:instrText>
      </w:r>
      <w:r w:rsidR="00C6582F" w:rsidRPr="00747E35">
        <w:rPr>
          <w:rFonts w:asciiTheme="minorHAnsi" w:hAnsiTheme="minorHAnsi" w:cstheme="minorHAnsi"/>
        </w:rPr>
      </w:r>
      <w:r w:rsidR="00C6582F"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56</w:t>
      </w:r>
      <w:r w:rsidR="00C6582F" w:rsidRPr="00747E35">
        <w:rPr>
          <w:rFonts w:asciiTheme="minorHAnsi" w:hAnsiTheme="minorHAnsi" w:cstheme="minorHAnsi"/>
        </w:rPr>
        <w:fldChar w:fldCharType="end"/>
      </w:r>
      <w:r w:rsidRPr="00747E35">
        <w:rPr>
          <w:rFonts w:asciiTheme="minorHAnsi" w:hAnsiTheme="minorHAnsi" w:cstheme="minorHAnsi"/>
        </w:rPr>
        <w:t xml:space="preserve">). </w:t>
      </w:r>
    </w:p>
    <w:p w14:paraId="3EAF4955" w14:textId="77777777" w:rsidR="003D3694" w:rsidRPr="00747E35" w:rsidRDefault="003D3694" w:rsidP="003D3694">
      <w:pPr>
        <w:keepNext/>
        <w:keepLines/>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415989BF" wp14:editId="12050E83">
            <wp:extent cx="5943600" cy="5689600"/>
            <wp:effectExtent l="0" t="0" r="0" b="6350"/>
            <wp:docPr id="14338" name="Picture 2" descr="Bubble plots and vector dia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rotWithShape="1">
                    <a:blip r:embed="rId164" cstate="screen">
                      <a:extLst>
                        <a:ext uri="{28A0092B-C50C-407E-A947-70E740481C1C}">
                          <a14:useLocalDpi xmlns:a14="http://schemas.microsoft.com/office/drawing/2010/main"/>
                        </a:ext>
                      </a:extLst>
                    </a:blip>
                    <a:srcRect/>
                    <a:stretch/>
                  </pic:blipFill>
                  <pic:spPr bwMode="auto">
                    <a:xfrm>
                      <a:off x="0" y="0"/>
                      <a:ext cx="5943600" cy="5689600"/>
                    </a:xfrm>
                    <a:prstGeom prst="rect">
                      <a:avLst/>
                    </a:prstGeom>
                    <a:noFill/>
                    <a:ln>
                      <a:noFill/>
                    </a:ln>
                    <a:effectLst/>
                    <a:extLst/>
                  </pic:spPr>
                </pic:pic>
              </a:graphicData>
            </a:graphic>
          </wp:inline>
        </w:drawing>
      </w:r>
    </w:p>
    <w:p w14:paraId="659D1E90" w14:textId="77777777" w:rsidR="003D3694" w:rsidRPr="00747E35" w:rsidRDefault="003D3694" w:rsidP="00566456">
      <w:pPr>
        <w:pStyle w:val="Caption"/>
        <w:numPr>
          <w:ilvl w:val="0"/>
          <w:numId w:val="0"/>
        </w:numPr>
        <w:rPr>
          <w:rFonts w:cstheme="minorHAnsi"/>
        </w:rPr>
      </w:pPr>
      <w:bookmarkStart w:id="297" w:name="_Ref46904444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107</w:t>
      </w:r>
      <w:r w:rsidR="009D6600" w:rsidRPr="00747E35">
        <w:rPr>
          <w:rFonts w:cstheme="minorHAnsi"/>
          <w:noProof/>
        </w:rPr>
        <w:fldChar w:fldCharType="end"/>
      </w:r>
      <w:bookmarkEnd w:id="297"/>
      <w:r w:rsidRPr="00747E35">
        <w:rPr>
          <w:rFonts w:cstheme="minorHAnsi"/>
        </w:rPr>
        <w:t xml:space="preserve">: Multivariate analysis revealed differences in assemblages between sites and sampling dates, but no obvious patterns in relation to the flow regime of the creek adjacent to the bore, or the degree of hydrochemical similarity of aquifer and adjacent creek waters. Non-metric multidimensional scaling (nMDS) ordination bubble plots of Maules catchment aquifer assemblages depicting richness and abundance for all samples coloured by:  Flow regime of adjacent creek (A,B); hydrochemical similarity of aquifer and adjacent creek waters (C,D).  The vectors represent influential invertebrate taxa (E), univariate biotic indices (F) and hydrochemistry variables (G) that were most correlated (Pearson r &gt; 0.4) to the average dissimilarity between invertebrate samples. Invertebrate abundance data square root transformed (+dummy variable). Environmental variables with skewed distributions were transformed to approximate normality and then all variables were normalised.  </w:t>
      </w:r>
    </w:p>
    <w:p w14:paraId="57AA6E9A" w14:textId="77777777" w:rsidR="003D3694" w:rsidRPr="00747E35" w:rsidRDefault="003D3694" w:rsidP="003D3694">
      <w:pPr>
        <w:rPr>
          <w:rFonts w:asciiTheme="minorHAnsi" w:hAnsiTheme="minorHAnsi" w:cstheme="minorHAnsi"/>
        </w:rPr>
      </w:pPr>
    </w:p>
    <w:p w14:paraId="4061E030" w14:textId="18BD13C5"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MDS ordination suggested there may be differences in assemblages between sites (Figure </w:t>
      </w:r>
      <w:r w:rsidRPr="00747E35">
        <w:rPr>
          <w:rFonts w:asciiTheme="minorHAnsi" w:hAnsiTheme="minorHAnsi" w:cstheme="minorHAnsi"/>
        </w:rPr>
        <w:fldChar w:fldCharType="begin"/>
      </w:r>
      <w:r w:rsidRPr="00747E35">
        <w:rPr>
          <w:rFonts w:asciiTheme="minorHAnsi" w:hAnsiTheme="minorHAnsi" w:cstheme="minorHAnsi"/>
        </w:rPr>
        <w:instrText xml:space="preserve"> SEQ Figure \* ARABIC </w:instrText>
      </w:r>
      <w:r w:rsidRPr="00747E35">
        <w:rPr>
          <w:rFonts w:asciiTheme="minorHAnsi" w:hAnsiTheme="minorHAnsi" w:cstheme="minorHAnsi"/>
        </w:rPr>
        <w:fldChar w:fldCharType="separate"/>
      </w:r>
      <w:r w:rsidR="00D023DD">
        <w:rPr>
          <w:rFonts w:asciiTheme="minorHAnsi" w:hAnsiTheme="minorHAnsi" w:cstheme="minorHAnsi"/>
          <w:noProof/>
        </w:rPr>
        <w:t>108</w:t>
      </w:r>
      <w:r w:rsidRPr="00747E35">
        <w:rPr>
          <w:rFonts w:asciiTheme="minorHAnsi" w:hAnsiTheme="minorHAnsi" w:cstheme="minorHAnsi"/>
          <w:noProof/>
        </w:rPr>
        <w:fldChar w:fldCharType="end"/>
      </w:r>
      <w:r w:rsidRPr="00747E35">
        <w:rPr>
          <w:rFonts w:asciiTheme="minorHAnsi" w:hAnsiTheme="minorHAnsi" w:cstheme="minorHAnsi"/>
        </w:rPr>
        <w:t xml:space="preserve">). Also of interest was the possible influence of DO as a covariable, in addition to the possible effect of creek flow regime considering its effect on adjacent hyporheic assemblages, and also, the degree of aquifer-creek connectivity inferred from hydrochemical similarity of aquifer and adjacent creek waters.  After excluding the contaminated bore (BH21-4) and three samples missing DO measurements (BH20-2, BH20-4, BH21-2, all February 2016) PERMANOVA tests failed to reject the null hypotheses of no difference in aquifer </w:t>
      </w:r>
      <w:r w:rsidRPr="00747E35">
        <w:rPr>
          <w:rFonts w:asciiTheme="minorHAnsi" w:hAnsiTheme="minorHAnsi" w:cstheme="minorHAnsi"/>
        </w:rPr>
        <w:lastRenderedPageBreak/>
        <w:t xml:space="preserve">assemblages based on either, the flow regime of the creek adjacent to the sampled bore, or, the inferred degree of aquifer-creek </w:t>
      </w:r>
      <w:r w:rsidRPr="00747E35">
        <w:rPr>
          <w:rFonts w:asciiTheme="minorHAnsi" w:hAnsiTheme="minorHAnsi" w:cstheme="minorHAnsi"/>
          <w:u w:val="single"/>
        </w:rPr>
        <w:t>connectivity</w:t>
      </w:r>
      <w:r w:rsidRPr="00747E35">
        <w:rPr>
          <w:rFonts w:asciiTheme="minorHAnsi" w:hAnsiTheme="minorHAnsi" w:cstheme="minorHAnsi"/>
        </w:rPr>
        <w:t>, whil</w:t>
      </w:r>
      <w:r w:rsidR="009A3D4A" w:rsidRPr="00747E35">
        <w:rPr>
          <w:rFonts w:asciiTheme="minorHAnsi" w:hAnsiTheme="minorHAnsi" w:cstheme="minorHAnsi"/>
        </w:rPr>
        <w:t>e taking account of aquifer DO (</w:t>
      </w:r>
      <w:r w:rsidR="009A3D4A" w:rsidRPr="00747E35">
        <w:rPr>
          <w:rFonts w:asciiTheme="minorHAnsi" w:hAnsiTheme="minorHAnsi" w:cstheme="minorHAnsi"/>
        </w:rPr>
        <w:fldChar w:fldCharType="begin"/>
      </w:r>
      <w:r w:rsidR="009A3D4A" w:rsidRPr="00747E35">
        <w:rPr>
          <w:rFonts w:asciiTheme="minorHAnsi" w:hAnsiTheme="minorHAnsi" w:cstheme="minorHAnsi"/>
        </w:rPr>
        <w:instrText xml:space="preserve"> REF _Ref469044736 \h </w:instrText>
      </w:r>
      <w:r w:rsidR="00925BFC" w:rsidRPr="00747E35">
        <w:rPr>
          <w:rFonts w:asciiTheme="minorHAnsi" w:hAnsiTheme="minorHAnsi" w:cstheme="minorHAnsi"/>
        </w:rPr>
        <w:instrText xml:space="preserve"> \* MERGEFORMAT </w:instrText>
      </w:r>
      <w:r w:rsidR="009A3D4A" w:rsidRPr="00747E35">
        <w:rPr>
          <w:rFonts w:asciiTheme="minorHAnsi" w:hAnsiTheme="minorHAnsi" w:cstheme="minorHAnsi"/>
        </w:rPr>
      </w:r>
      <w:r w:rsidR="009A3D4A"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25</w:t>
      </w:r>
      <w:r w:rsidR="009A3D4A" w:rsidRPr="00747E35">
        <w:rPr>
          <w:rFonts w:asciiTheme="minorHAnsi" w:hAnsiTheme="minorHAnsi" w:cstheme="minorHAnsi"/>
        </w:rPr>
        <w:fldChar w:fldCharType="end"/>
      </w:r>
      <w:r w:rsidR="009A3D4A" w:rsidRPr="00747E35">
        <w:rPr>
          <w:rFonts w:asciiTheme="minorHAnsi" w:hAnsiTheme="minorHAnsi" w:cstheme="minorHAnsi"/>
        </w:rPr>
        <w:t>)</w:t>
      </w:r>
      <w:r w:rsidRPr="00747E35">
        <w:rPr>
          <w:rFonts w:asciiTheme="minorHAnsi" w:hAnsiTheme="minorHAnsi" w:cstheme="minorHAnsi"/>
        </w:rPr>
        <w:t>.</w:t>
      </w:r>
    </w:p>
    <w:p w14:paraId="05E26DE7" w14:textId="77777777" w:rsidR="003D3694" w:rsidRPr="00747E35" w:rsidRDefault="003D3694" w:rsidP="00566456">
      <w:pPr>
        <w:pStyle w:val="Caption"/>
        <w:numPr>
          <w:ilvl w:val="0"/>
          <w:numId w:val="0"/>
        </w:numPr>
        <w:rPr>
          <w:rFonts w:cstheme="minorHAnsi"/>
        </w:rPr>
      </w:pPr>
      <w:bookmarkStart w:id="298" w:name="_Ref469044736"/>
      <w:r w:rsidRPr="00747E35">
        <w:rPr>
          <w:rFonts w:cstheme="minorHAnsi"/>
        </w:rPr>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25</w:t>
      </w:r>
      <w:r w:rsidR="009D6600" w:rsidRPr="00747E35">
        <w:rPr>
          <w:rFonts w:cstheme="minorHAnsi"/>
          <w:noProof/>
        </w:rPr>
        <w:fldChar w:fldCharType="end"/>
      </w:r>
      <w:bookmarkEnd w:id="298"/>
      <w:r w:rsidRPr="00747E35">
        <w:rPr>
          <w:rFonts w:cstheme="minorHAnsi"/>
        </w:rPr>
        <w:t xml:space="preserve">: PERMANOVA tests failed to reject the null hypotheses of no difference in aquifer assemblages based on either:  (Test A)  flow </w:t>
      </w:r>
      <w:r w:rsidRPr="00747E35">
        <w:rPr>
          <w:rFonts w:cstheme="minorHAnsi"/>
          <w:u w:val="single"/>
        </w:rPr>
        <w:t>regime</w:t>
      </w:r>
      <w:r w:rsidRPr="00747E35">
        <w:rPr>
          <w:rFonts w:cstheme="minorHAnsi"/>
        </w:rPr>
        <w:t xml:space="preserve"> of creek adjacent to aquifer; or (Test B) the degree of aquifer-creek </w:t>
      </w:r>
      <w:r w:rsidRPr="00747E35">
        <w:rPr>
          <w:rFonts w:cstheme="minorHAnsi"/>
          <w:u w:val="single"/>
        </w:rPr>
        <w:t>connectivity</w:t>
      </w:r>
      <w:r w:rsidRPr="00747E35">
        <w:rPr>
          <w:rFonts w:cstheme="minorHAnsi"/>
        </w:rPr>
        <w:t xml:space="preserve"> inferred from hydrochemical similarity of aquifer and adjacent creek waters, while taking account of aquifer dissolved oxygen (DO) as a continuous co-variable. Refer 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109</w:t>
      </w:r>
      <w:r w:rsidR="009D6600" w:rsidRPr="00747E35">
        <w:rPr>
          <w:rFonts w:cstheme="minorHAnsi"/>
          <w:noProof/>
        </w:rPr>
        <w:fldChar w:fldCharType="end"/>
      </w:r>
      <w:r w:rsidRPr="00747E35">
        <w:rPr>
          <w:rFonts w:cstheme="minorHAnsi"/>
          <w:noProof/>
        </w:rPr>
        <w:t xml:space="preserve"> for flow regime classes and connectivity categories.</w:t>
      </w:r>
      <w:r w:rsidRPr="00747E35">
        <w:rPr>
          <w:rFonts w:cstheme="minorHAnsi"/>
        </w:rPr>
        <w:t xml:space="preserve"> </w:t>
      </w:r>
    </w:p>
    <w:p w14:paraId="5A9EEFF0" w14:textId="77777777" w:rsidR="003D3694" w:rsidRPr="00747E35" w:rsidRDefault="003D3694" w:rsidP="003D3694">
      <w:pPr>
        <w:pStyle w:val="TableHead"/>
        <w:spacing w:before="0" w:after="0"/>
        <w:rPr>
          <w:rFonts w:asciiTheme="minorHAnsi" w:hAnsiTheme="minorHAnsi" w:cstheme="minorHAnsi"/>
        </w:rPr>
      </w:pPr>
    </w:p>
    <w:tbl>
      <w:tblPr>
        <w:tblW w:w="5261" w:type="dxa"/>
        <w:jc w:val="center"/>
        <w:tblLook w:val="04A0" w:firstRow="1" w:lastRow="0" w:firstColumn="1" w:lastColumn="0" w:noHBand="0" w:noVBand="1"/>
      </w:tblPr>
      <w:tblGrid>
        <w:gridCol w:w="693"/>
        <w:gridCol w:w="1591"/>
        <w:gridCol w:w="709"/>
        <w:gridCol w:w="1134"/>
        <w:gridCol w:w="1134"/>
      </w:tblGrid>
      <w:tr w:rsidR="003D3694" w:rsidRPr="00747E35" w14:paraId="7A428789" w14:textId="77777777" w:rsidTr="00C6582F">
        <w:trPr>
          <w:trHeight w:val="288"/>
          <w:jc w:val="center"/>
        </w:trPr>
        <w:tc>
          <w:tcPr>
            <w:tcW w:w="693" w:type="dxa"/>
            <w:tcBorders>
              <w:top w:val="single" w:sz="4" w:space="0" w:color="auto"/>
              <w:left w:val="single" w:sz="4" w:space="0" w:color="auto"/>
              <w:bottom w:val="nil"/>
              <w:right w:val="single" w:sz="4" w:space="0" w:color="auto"/>
            </w:tcBorders>
            <w:shd w:val="clear" w:color="auto" w:fill="DEEAF6" w:themeFill="accent1" w:themeFillTint="33"/>
            <w:noWrap/>
            <w:vAlign w:val="bottom"/>
            <w:hideMark/>
          </w:tcPr>
          <w:p w14:paraId="1E67ACCC"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Test</w:t>
            </w:r>
          </w:p>
        </w:tc>
        <w:tc>
          <w:tcPr>
            <w:tcW w:w="1591" w:type="dxa"/>
            <w:tcBorders>
              <w:top w:val="single" w:sz="4" w:space="0" w:color="auto"/>
              <w:left w:val="nil"/>
              <w:bottom w:val="single" w:sz="4" w:space="0" w:color="auto"/>
              <w:right w:val="single" w:sz="4" w:space="0" w:color="auto"/>
            </w:tcBorders>
            <w:shd w:val="clear" w:color="auto" w:fill="DEEAF6" w:themeFill="accent1" w:themeFillTint="33"/>
            <w:noWrap/>
            <w:vAlign w:val="bottom"/>
            <w:hideMark/>
          </w:tcPr>
          <w:p w14:paraId="0A5CC316"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Source</w:t>
            </w:r>
          </w:p>
        </w:tc>
        <w:tc>
          <w:tcPr>
            <w:tcW w:w="709" w:type="dxa"/>
            <w:tcBorders>
              <w:top w:val="single" w:sz="4" w:space="0" w:color="auto"/>
              <w:left w:val="nil"/>
              <w:bottom w:val="single" w:sz="4" w:space="0" w:color="auto"/>
              <w:right w:val="single" w:sz="4" w:space="0" w:color="auto"/>
            </w:tcBorders>
            <w:shd w:val="clear" w:color="auto" w:fill="DEEAF6" w:themeFill="accent1" w:themeFillTint="33"/>
            <w:noWrap/>
            <w:vAlign w:val="bottom"/>
            <w:hideMark/>
          </w:tcPr>
          <w:p w14:paraId="23B4E694"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df</w:t>
            </w:r>
          </w:p>
        </w:tc>
        <w:tc>
          <w:tcPr>
            <w:tcW w:w="1134" w:type="dxa"/>
            <w:tcBorders>
              <w:top w:val="single" w:sz="4" w:space="0" w:color="auto"/>
              <w:left w:val="nil"/>
              <w:bottom w:val="single" w:sz="4" w:space="0" w:color="auto"/>
              <w:right w:val="single" w:sz="4" w:space="0" w:color="auto"/>
            </w:tcBorders>
            <w:shd w:val="clear" w:color="auto" w:fill="DEEAF6" w:themeFill="accent1" w:themeFillTint="33"/>
            <w:noWrap/>
            <w:vAlign w:val="bottom"/>
            <w:hideMark/>
          </w:tcPr>
          <w:p w14:paraId="6DFE8F75"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Pseudo-F</w:t>
            </w:r>
          </w:p>
        </w:tc>
        <w:tc>
          <w:tcPr>
            <w:tcW w:w="1134" w:type="dxa"/>
            <w:tcBorders>
              <w:top w:val="single" w:sz="4" w:space="0" w:color="auto"/>
              <w:left w:val="nil"/>
              <w:bottom w:val="single" w:sz="4" w:space="0" w:color="auto"/>
              <w:right w:val="single" w:sz="4" w:space="0" w:color="auto"/>
            </w:tcBorders>
            <w:shd w:val="clear" w:color="auto" w:fill="DEEAF6" w:themeFill="accent1" w:themeFillTint="33"/>
            <w:noWrap/>
            <w:vAlign w:val="bottom"/>
            <w:hideMark/>
          </w:tcPr>
          <w:p w14:paraId="59D27795"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P (perm)</w:t>
            </w:r>
          </w:p>
        </w:tc>
      </w:tr>
      <w:tr w:rsidR="003D3694" w:rsidRPr="00747E35" w14:paraId="70C4C1C2" w14:textId="77777777" w:rsidTr="0096743A">
        <w:trPr>
          <w:trHeight w:val="288"/>
          <w:jc w:val="center"/>
        </w:trPr>
        <w:tc>
          <w:tcPr>
            <w:tcW w:w="693" w:type="dxa"/>
            <w:tcBorders>
              <w:top w:val="single" w:sz="4" w:space="0" w:color="auto"/>
              <w:left w:val="single" w:sz="4" w:space="0" w:color="auto"/>
              <w:bottom w:val="nil"/>
              <w:right w:val="single" w:sz="4" w:space="0" w:color="auto"/>
            </w:tcBorders>
            <w:shd w:val="clear" w:color="auto" w:fill="auto"/>
            <w:noWrap/>
            <w:vAlign w:val="bottom"/>
            <w:hideMark/>
          </w:tcPr>
          <w:p w14:paraId="65568F00" w14:textId="77777777" w:rsidR="003D3694" w:rsidRPr="00747E35" w:rsidRDefault="003D3694" w:rsidP="0096743A">
            <w:pPr>
              <w:pStyle w:val="Tabletext"/>
              <w:spacing w:before="0" w:after="0"/>
              <w:rPr>
                <w:rFonts w:cstheme="minorHAnsi"/>
                <w:b/>
                <w:lang w:eastAsia="en-AU"/>
              </w:rPr>
            </w:pPr>
            <w:r w:rsidRPr="00747E35">
              <w:rPr>
                <w:rFonts w:cstheme="minorHAnsi"/>
                <w:b/>
                <w:lang w:eastAsia="en-AU"/>
              </w:rPr>
              <w:t>A</w:t>
            </w:r>
          </w:p>
        </w:tc>
        <w:tc>
          <w:tcPr>
            <w:tcW w:w="1591" w:type="dxa"/>
            <w:tcBorders>
              <w:top w:val="nil"/>
              <w:left w:val="nil"/>
              <w:bottom w:val="single" w:sz="4" w:space="0" w:color="auto"/>
              <w:right w:val="single" w:sz="4" w:space="0" w:color="auto"/>
            </w:tcBorders>
            <w:shd w:val="clear" w:color="auto" w:fill="auto"/>
            <w:noWrap/>
            <w:vAlign w:val="center"/>
            <w:hideMark/>
          </w:tcPr>
          <w:p w14:paraId="44B8D32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DO mg/L</w:t>
            </w:r>
          </w:p>
        </w:tc>
        <w:tc>
          <w:tcPr>
            <w:tcW w:w="709" w:type="dxa"/>
            <w:tcBorders>
              <w:top w:val="nil"/>
              <w:left w:val="nil"/>
              <w:bottom w:val="single" w:sz="4" w:space="0" w:color="auto"/>
              <w:right w:val="single" w:sz="4" w:space="0" w:color="auto"/>
            </w:tcBorders>
            <w:shd w:val="clear" w:color="auto" w:fill="auto"/>
            <w:noWrap/>
            <w:vAlign w:val="bottom"/>
            <w:hideMark/>
          </w:tcPr>
          <w:p w14:paraId="01889AEB"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1</w:t>
            </w:r>
          </w:p>
        </w:tc>
        <w:tc>
          <w:tcPr>
            <w:tcW w:w="1134" w:type="dxa"/>
            <w:tcBorders>
              <w:top w:val="nil"/>
              <w:left w:val="nil"/>
              <w:bottom w:val="single" w:sz="4" w:space="0" w:color="auto"/>
              <w:right w:val="single" w:sz="4" w:space="0" w:color="auto"/>
            </w:tcBorders>
            <w:shd w:val="clear" w:color="auto" w:fill="auto"/>
            <w:noWrap/>
            <w:vAlign w:val="bottom"/>
            <w:hideMark/>
          </w:tcPr>
          <w:p w14:paraId="70ABDB7F"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0.90</w:t>
            </w:r>
          </w:p>
        </w:tc>
        <w:tc>
          <w:tcPr>
            <w:tcW w:w="1134" w:type="dxa"/>
            <w:tcBorders>
              <w:top w:val="nil"/>
              <w:left w:val="nil"/>
              <w:bottom w:val="single" w:sz="4" w:space="0" w:color="auto"/>
              <w:right w:val="single" w:sz="4" w:space="0" w:color="auto"/>
            </w:tcBorders>
            <w:shd w:val="clear" w:color="auto" w:fill="auto"/>
            <w:noWrap/>
            <w:vAlign w:val="bottom"/>
            <w:hideMark/>
          </w:tcPr>
          <w:p w14:paraId="0C1084D6"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0.44</w:t>
            </w:r>
          </w:p>
        </w:tc>
      </w:tr>
      <w:tr w:rsidR="003D3694" w:rsidRPr="00747E35" w14:paraId="3099BC47" w14:textId="77777777" w:rsidTr="0096743A">
        <w:trPr>
          <w:trHeight w:val="288"/>
          <w:jc w:val="center"/>
        </w:trPr>
        <w:tc>
          <w:tcPr>
            <w:tcW w:w="693" w:type="dxa"/>
            <w:tcBorders>
              <w:top w:val="nil"/>
              <w:left w:val="single" w:sz="4" w:space="0" w:color="auto"/>
              <w:bottom w:val="nil"/>
              <w:right w:val="single" w:sz="4" w:space="0" w:color="auto"/>
            </w:tcBorders>
            <w:shd w:val="clear" w:color="auto" w:fill="auto"/>
            <w:noWrap/>
            <w:vAlign w:val="bottom"/>
            <w:hideMark/>
          </w:tcPr>
          <w:p w14:paraId="474A1C4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591" w:type="dxa"/>
            <w:tcBorders>
              <w:top w:val="nil"/>
              <w:left w:val="nil"/>
              <w:bottom w:val="single" w:sz="4" w:space="0" w:color="auto"/>
              <w:right w:val="single" w:sz="4" w:space="0" w:color="auto"/>
            </w:tcBorders>
            <w:shd w:val="clear" w:color="auto" w:fill="auto"/>
            <w:noWrap/>
            <w:vAlign w:val="center"/>
            <w:hideMark/>
          </w:tcPr>
          <w:p w14:paraId="012B796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Regime</w:t>
            </w:r>
          </w:p>
        </w:tc>
        <w:tc>
          <w:tcPr>
            <w:tcW w:w="709" w:type="dxa"/>
            <w:tcBorders>
              <w:top w:val="nil"/>
              <w:left w:val="nil"/>
              <w:bottom w:val="single" w:sz="4" w:space="0" w:color="auto"/>
              <w:right w:val="single" w:sz="4" w:space="0" w:color="auto"/>
            </w:tcBorders>
            <w:shd w:val="clear" w:color="auto" w:fill="auto"/>
            <w:noWrap/>
            <w:vAlign w:val="bottom"/>
            <w:hideMark/>
          </w:tcPr>
          <w:p w14:paraId="7BDC50CE"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4E14F57C"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0.60</w:t>
            </w:r>
          </w:p>
        </w:tc>
        <w:tc>
          <w:tcPr>
            <w:tcW w:w="1134" w:type="dxa"/>
            <w:tcBorders>
              <w:top w:val="nil"/>
              <w:left w:val="nil"/>
              <w:bottom w:val="single" w:sz="4" w:space="0" w:color="auto"/>
              <w:right w:val="single" w:sz="4" w:space="0" w:color="auto"/>
            </w:tcBorders>
            <w:shd w:val="clear" w:color="auto" w:fill="auto"/>
            <w:noWrap/>
            <w:vAlign w:val="bottom"/>
            <w:hideMark/>
          </w:tcPr>
          <w:p w14:paraId="151A64CD"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0.81</w:t>
            </w:r>
          </w:p>
        </w:tc>
      </w:tr>
      <w:tr w:rsidR="003D3694" w:rsidRPr="00747E35" w14:paraId="25126F69" w14:textId="77777777" w:rsidTr="0096743A">
        <w:trPr>
          <w:trHeight w:val="288"/>
          <w:jc w:val="center"/>
        </w:trPr>
        <w:tc>
          <w:tcPr>
            <w:tcW w:w="693" w:type="dxa"/>
            <w:tcBorders>
              <w:top w:val="nil"/>
              <w:left w:val="single" w:sz="4" w:space="0" w:color="auto"/>
              <w:bottom w:val="nil"/>
              <w:right w:val="single" w:sz="4" w:space="0" w:color="auto"/>
            </w:tcBorders>
            <w:shd w:val="clear" w:color="auto" w:fill="auto"/>
            <w:noWrap/>
            <w:vAlign w:val="bottom"/>
            <w:hideMark/>
          </w:tcPr>
          <w:p w14:paraId="14D8C54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591" w:type="dxa"/>
            <w:tcBorders>
              <w:top w:val="nil"/>
              <w:left w:val="nil"/>
              <w:bottom w:val="single" w:sz="4" w:space="0" w:color="auto"/>
              <w:right w:val="single" w:sz="4" w:space="0" w:color="auto"/>
            </w:tcBorders>
            <w:shd w:val="clear" w:color="auto" w:fill="auto"/>
            <w:noWrap/>
            <w:vAlign w:val="center"/>
            <w:hideMark/>
          </w:tcPr>
          <w:p w14:paraId="5B15650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Site(Regime)</w:t>
            </w:r>
          </w:p>
        </w:tc>
        <w:tc>
          <w:tcPr>
            <w:tcW w:w="709" w:type="dxa"/>
            <w:tcBorders>
              <w:top w:val="nil"/>
              <w:left w:val="nil"/>
              <w:bottom w:val="single" w:sz="4" w:space="0" w:color="auto"/>
              <w:right w:val="single" w:sz="4" w:space="0" w:color="auto"/>
            </w:tcBorders>
            <w:shd w:val="clear" w:color="auto" w:fill="auto"/>
            <w:noWrap/>
            <w:vAlign w:val="bottom"/>
            <w:hideMark/>
          </w:tcPr>
          <w:p w14:paraId="5ED17969"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9</w:t>
            </w:r>
          </w:p>
        </w:tc>
        <w:tc>
          <w:tcPr>
            <w:tcW w:w="1134" w:type="dxa"/>
            <w:tcBorders>
              <w:top w:val="nil"/>
              <w:left w:val="nil"/>
              <w:bottom w:val="single" w:sz="4" w:space="0" w:color="auto"/>
              <w:right w:val="single" w:sz="4" w:space="0" w:color="auto"/>
            </w:tcBorders>
            <w:shd w:val="clear" w:color="auto" w:fill="auto"/>
            <w:noWrap/>
            <w:vAlign w:val="bottom"/>
            <w:hideMark/>
          </w:tcPr>
          <w:p w14:paraId="252B9001"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1.20</w:t>
            </w:r>
          </w:p>
        </w:tc>
        <w:tc>
          <w:tcPr>
            <w:tcW w:w="1134" w:type="dxa"/>
            <w:tcBorders>
              <w:top w:val="nil"/>
              <w:left w:val="nil"/>
              <w:bottom w:val="single" w:sz="4" w:space="0" w:color="auto"/>
              <w:right w:val="single" w:sz="4" w:space="0" w:color="auto"/>
            </w:tcBorders>
            <w:shd w:val="clear" w:color="auto" w:fill="auto"/>
            <w:noWrap/>
            <w:vAlign w:val="bottom"/>
            <w:hideMark/>
          </w:tcPr>
          <w:p w14:paraId="13404E8F"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0.26</w:t>
            </w:r>
          </w:p>
        </w:tc>
      </w:tr>
      <w:tr w:rsidR="003D3694" w:rsidRPr="00747E35" w14:paraId="419DF15D" w14:textId="77777777" w:rsidTr="0096743A">
        <w:trPr>
          <w:trHeight w:val="288"/>
          <w:jc w:val="center"/>
        </w:trPr>
        <w:tc>
          <w:tcPr>
            <w:tcW w:w="693" w:type="dxa"/>
            <w:tcBorders>
              <w:top w:val="nil"/>
              <w:left w:val="single" w:sz="4" w:space="0" w:color="auto"/>
              <w:bottom w:val="single" w:sz="4" w:space="0" w:color="auto"/>
              <w:right w:val="single" w:sz="4" w:space="0" w:color="auto"/>
            </w:tcBorders>
            <w:shd w:val="clear" w:color="auto" w:fill="auto"/>
            <w:noWrap/>
            <w:vAlign w:val="bottom"/>
            <w:hideMark/>
          </w:tcPr>
          <w:p w14:paraId="4F48D01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591" w:type="dxa"/>
            <w:tcBorders>
              <w:top w:val="nil"/>
              <w:left w:val="nil"/>
              <w:bottom w:val="single" w:sz="4" w:space="0" w:color="auto"/>
              <w:right w:val="single" w:sz="4" w:space="0" w:color="auto"/>
            </w:tcBorders>
            <w:shd w:val="clear" w:color="auto" w:fill="auto"/>
            <w:noWrap/>
            <w:vAlign w:val="center"/>
            <w:hideMark/>
          </w:tcPr>
          <w:p w14:paraId="3764882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Residuals</w:t>
            </w:r>
          </w:p>
        </w:tc>
        <w:tc>
          <w:tcPr>
            <w:tcW w:w="709" w:type="dxa"/>
            <w:tcBorders>
              <w:top w:val="nil"/>
              <w:left w:val="nil"/>
              <w:bottom w:val="single" w:sz="4" w:space="0" w:color="auto"/>
              <w:right w:val="single" w:sz="4" w:space="0" w:color="auto"/>
            </w:tcBorders>
            <w:shd w:val="clear" w:color="auto" w:fill="auto"/>
            <w:noWrap/>
            <w:vAlign w:val="bottom"/>
            <w:hideMark/>
          </w:tcPr>
          <w:p w14:paraId="26C83309"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10</w:t>
            </w:r>
          </w:p>
        </w:tc>
        <w:tc>
          <w:tcPr>
            <w:tcW w:w="1134" w:type="dxa"/>
            <w:tcBorders>
              <w:top w:val="nil"/>
              <w:left w:val="nil"/>
              <w:bottom w:val="single" w:sz="4" w:space="0" w:color="auto"/>
              <w:right w:val="single" w:sz="4" w:space="0" w:color="auto"/>
            </w:tcBorders>
            <w:shd w:val="clear" w:color="auto" w:fill="auto"/>
            <w:noWrap/>
            <w:vAlign w:val="bottom"/>
            <w:hideMark/>
          </w:tcPr>
          <w:p w14:paraId="695AA534" w14:textId="77777777" w:rsidR="003D3694" w:rsidRPr="00747E35" w:rsidRDefault="003D3694" w:rsidP="0096743A">
            <w:pPr>
              <w:pStyle w:val="Tabletext"/>
              <w:spacing w:before="0" w:after="0"/>
              <w:jc w:val="center"/>
              <w:rPr>
                <w:rFonts w:cstheme="minorHAnsi"/>
                <w:lang w:eastAsia="en-AU"/>
              </w:rPr>
            </w:pPr>
          </w:p>
        </w:tc>
        <w:tc>
          <w:tcPr>
            <w:tcW w:w="1134" w:type="dxa"/>
            <w:tcBorders>
              <w:top w:val="nil"/>
              <w:left w:val="nil"/>
              <w:bottom w:val="single" w:sz="4" w:space="0" w:color="auto"/>
              <w:right w:val="single" w:sz="4" w:space="0" w:color="auto"/>
            </w:tcBorders>
            <w:shd w:val="clear" w:color="auto" w:fill="auto"/>
            <w:noWrap/>
            <w:vAlign w:val="bottom"/>
            <w:hideMark/>
          </w:tcPr>
          <w:p w14:paraId="558099ED" w14:textId="77777777" w:rsidR="003D3694" w:rsidRPr="00747E35" w:rsidRDefault="003D3694" w:rsidP="0096743A">
            <w:pPr>
              <w:pStyle w:val="Tabletext"/>
              <w:spacing w:before="0" w:after="0"/>
              <w:jc w:val="center"/>
              <w:rPr>
                <w:rFonts w:cstheme="minorHAnsi"/>
                <w:lang w:eastAsia="en-AU"/>
              </w:rPr>
            </w:pPr>
          </w:p>
        </w:tc>
      </w:tr>
      <w:tr w:rsidR="003D3694" w:rsidRPr="00747E35" w14:paraId="479EFE70" w14:textId="77777777" w:rsidTr="0096743A">
        <w:trPr>
          <w:trHeight w:val="288"/>
          <w:jc w:val="center"/>
        </w:trPr>
        <w:tc>
          <w:tcPr>
            <w:tcW w:w="693" w:type="dxa"/>
            <w:tcBorders>
              <w:top w:val="nil"/>
              <w:left w:val="nil"/>
              <w:bottom w:val="nil"/>
              <w:right w:val="nil"/>
            </w:tcBorders>
            <w:shd w:val="clear" w:color="auto" w:fill="auto"/>
            <w:noWrap/>
            <w:vAlign w:val="bottom"/>
            <w:hideMark/>
          </w:tcPr>
          <w:p w14:paraId="63415593" w14:textId="77777777" w:rsidR="003D3694" w:rsidRPr="00747E35" w:rsidRDefault="003D3694" w:rsidP="0096743A">
            <w:pPr>
              <w:pStyle w:val="Tabletext"/>
              <w:spacing w:before="0" w:after="0"/>
              <w:rPr>
                <w:rFonts w:cstheme="minorHAnsi"/>
                <w:lang w:eastAsia="en-AU"/>
              </w:rPr>
            </w:pPr>
          </w:p>
        </w:tc>
        <w:tc>
          <w:tcPr>
            <w:tcW w:w="1591" w:type="dxa"/>
            <w:tcBorders>
              <w:top w:val="nil"/>
              <w:left w:val="nil"/>
              <w:bottom w:val="nil"/>
              <w:right w:val="nil"/>
            </w:tcBorders>
            <w:shd w:val="clear" w:color="auto" w:fill="auto"/>
            <w:noWrap/>
            <w:vAlign w:val="bottom"/>
            <w:hideMark/>
          </w:tcPr>
          <w:p w14:paraId="5C7CCB9B" w14:textId="77777777" w:rsidR="003D3694" w:rsidRPr="00747E35" w:rsidRDefault="003D3694" w:rsidP="0096743A">
            <w:pPr>
              <w:pStyle w:val="Tabletext"/>
              <w:spacing w:before="0" w:after="0"/>
              <w:rPr>
                <w:rFonts w:cstheme="minorHAnsi"/>
                <w:lang w:eastAsia="en-AU"/>
              </w:rPr>
            </w:pPr>
          </w:p>
        </w:tc>
        <w:tc>
          <w:tcPr>
            <w:tcW w:w="709" w:type="dxa"/>
            <w:tcBorders>
              <w:top w:val="nil"/>
              <w:left w:val="nil"/>
              <w:bottom w:val="nil"/>
              <w:right w:val="nil"/>
            </w:tcBorders>
            <w:shd w:val="clear" w:color="auto" w:fill="auto"/>
            <w:noWrap/>
            <w:vAlign w:val="bottom"/>
            <w:hideMark/>
          </w:tcPr>
          <w:p w14:paraId="3A9BE608" w14:textId="77777777" w:rsidR="003D3694" w:rsidRPr="00747E35" w:rsidRDefault="003D3694" w:rsidP="0096743A">
            <w:pPr>
              <w:pStyle w:val="Tabletext"/>
              <w:spacing w:before="0" w:after="0"/>
              <w:jc w:val="center"/>
              <w:rPr>
                <w:rFonts w:cstheme="minorHAnsi"/>
                <w:lang w:eastAsia="en-AU"/>
              </w:rPr>
            </w:pPr>
          </w:p>
        </w:tc>
        <w:tc>
          <w:tcPr>
            <w:tcW w:w="1134" w:type="dxa"/>
            <w:tcBorders>
              <w:top w:val="nil"/>
              <w:left w:val="nil"/>
              <w:bottom w:val="nil"/>
              <w:right w:val="nil"/>
            </w:tcBorders>
            <w:shd w:val="clear" w:color="auto" w:fill="auto"/>
            <w:noWrap/>
            <w:vAlign w:val="bottom"/>
            <w:hideMark/>
          </w:tcPr>
          <w:p w14:paraId="09D489E4" w14:textId="77777777" w:rsidR="003D3694" w:rsidRPr="00747E35" w:rsidRDefault="003D3694" w:rsidP="0096743A">
            <w:pPr>
              <w:pStyle w:val="Tabletext"/>
              <w:spacing w:before="0" w:after="0"/>
              <w:jc w:val="center"/>
              <w:rPr>
                <w:rFonts w:cstheme="minorHAnsi"/>
                <w:lang w:eastAsia="en-AU"/>
              </w:rPr>
            </w:pPr>
          </w:p>
        </w:tc>
        <w:tc>
          <w:tcPr>
            <w:tcW w:w="1134" w:type="dxa"/>
            <w:tcBorders>
              <w:top w:val="nil"/>
              <w:left w:val="nil"/>
              <w:bottom w:val="nil"/>
              <w:right w:val="nil"/>
            </w:tcBorders>
            <w:shd w:val="clear" w:color="auto" w:fill="auto"/>
            <w:noWrap/>
            <w:vAlign w:val="bottom"/>
            <w:hideMark/>
          </w:tcPr>
          <w:p w14:paraId="39BAA028" w14:textId="77777777" w:rsidR="003D3694" w:rsidRPr="00747E35" w:rsidRDefault="003D3694" w:rsidP="0096743A">
            <w:pPr>
              <w:pStyle w:val="Tabletext"/>
              <w:spacing w:before="0" w:after="0"/>
              <w:jc w:val="center"/>
              <w:rPr>
                <w:rFonts w:cstheme="minorHAnsi"/>
                <w:lang w:eastAsia="en-AU"/>
              </w:rPr>
            </w:pPr>
          </w:p>
        </w:tc>
      </w:tr>
      <w:tr w:rsidR="003D3694" w:rsidRPr="00747E35" w14:paraId="7158AFEC" w14:textId="77777777" w:rsidTr="0096743A">
        <w:trPr>
          <w:trHeight w:val="288"/>
          <w:jc w:val="center"/>
        </w:trPr>
        <w:tc>
          <w:tcPr>
            <w:tcW w:w="693" w:type="dxa"/>
            <w:tcBorders>
              <w:top w:val="single" w:sz="4" w:space="0" w:color="auto"/>
              <w:left w:val="single" w:sz="4" w:space="0" w:color="auto"/>
              <w:bottom w:val="nil"/>
              <w:right w:val="single" w:sz="4" w:space="0" w:color="auto"/>
            </w:tcBorders>
            <w:shd w:val="clear" w:color="auto" w:fill="auto"/>
            <w:noWrap/>
            <w:vAlign w:val="bottom"/>
            <w:hideMark/>
          </w:tcPr>
          <w:p w14:paraId="3993FBB5" w14:textId="77777777" w:rsidR="003D3694" w:rsidRPr="00747E35" w:rsidRDefault="003D3694" w:rsidP="0096743A">
            <w:pPr>
              <w:pStyle w:val="Tabletext"/>
              <w:spacing w:before="0" w:after="0"/>
              <w:rPr>
                <w:rFonts w:cstheme="minorHAnsi"/>
                <w:b/>
                <w:lang w:eastAsia="en-AU"/>
              </w:rPr>
            </w:pPr>
            <w:r w:rsidRPr="00747E35">
              <w:rPr>
                <w:rFonts w:cstheme="minorHAnsi"/>
                <w:b/>
                <w:lang w:eastAsia="en-AU"/>
              </w:rPr>
              <w:t>B</w:t>
            </w:r>
          </w:p>
        </w:tc>
        <w:tc>
          <w:tcPr>
            <w:tcW w:w="1591" w:type="dxa"/>
            <w:tcBorders>
              <w:top w:val="single" w:sz="4" w:space="0" w:color="auto"/>
              <w:left w:val="nil"/>
              <w:bottom w:val="single" w:sz="4" w:space="0" w:color="auto"/>
              <w:right w:val="single" w:sz="4" w:space="0" w:color="auto"/>
            </w:tcBorders>
            <w:shd w:val="clear" w:color="auto" w:fill="auto"/>
            <w:noWrap/>
            <w:vAlign w:val="center"/>
            <w:hideMark/>
          </w:tcPr>
          <w:p w14:paraId="7D2C339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DO mg/L</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23C4ADE2"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B4F7238"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1.11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1DDB43F"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0.34</w:t>
            </w:r>
          </w:p>
        </w:tc>
      </w:tr>
      <w:tr w:rsidR="003D3694" w:rsidRPr="00747E35" w14:paraId="0BEF39D3" w14:textId="77777777" w:rsidTr="0096743A">
        <w:trPr>
          <w:trHeight w:val="288"/>
          <w:jc w:val="center"/>
        </w:trPr>
        <w:tc>
          <w:tcPr>
            <w:tcW w:w="693" w:type="dxa"/>
            <w:tcBorders>
              <w:top w:val="nil"/>
              <w:left w:val="single" w:sz="4" w:space="0" w:color="auto"/>
              <w:bottom w:val="nil"/>
              <w:right w:val="single" w:sz="4" w:space="0" w:color="auto"/>
            </w:tcBorders>
            <w:shd w:val="clear" w:color="auto" w:fill="auto"/>
            <w:noWrap/>
            <w:vAlign w:val="bottom"/>
            <w:hideMark/>
          </w:tcPr>
          <w:p w14:paraId="7261E52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591" w:type="dxa"/>
            <w:tcBorders>
              <w:top w:val="nil"/>
              <w:left w:val="nil"/>
              <w:bottom w:val="single" w:sz="4" w:space="0" w:color="auto"/>
              <w:right w:val="single" w:sz="4" w:space="0" w:color="auto"/>
            </w:tcBorders>
            <w:shd w:val="clear" w:color="auto" w:fill="auto"/>
            <w:noWrap/>
            <w:vAlign w:val="center"/>
            <w:hideMark/>
          </w:tcPr>
          <w:p w14:paraId="30A1AD5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Connectivity</w:t>
            </w:r>
          </w:p>
        </w:tc>
        <w:tc>
          <w:tcPr>
            <w:tcW w:w="709" w:type="dxa"/>
            <w:tcBorders>
              <w:top w:val="nil"/>
              <w:left w:val="nil"/>
              <w:bottom w:val="single" w:sz="4" w:space="0" w:color="auto"/>
              <w:right w:val="single" w:sz="4" w:space="0" w:color="auto"/>
            </w:tcBorders>
            <w:shd w:val="clear" w:color="auto" w:fill="auto"/>
            <w:noWrap/>
            <w:vAlign w:val="bottom"/>
            <w:hideMark/>
          </w:tcPr>
          <w:p w14:paraId="4582B84B"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3</w:t>
            </w:r>
          </w:p>
        </w:tc>
        <w:tc>
          <w:tcPr>
            <w:tcW w:w="1134" w:type="dxa"/>
            <w:tcBorders>
              <w:top w:val="nil"/>
              <w:left w:val="nil"/>
              <w:bottom w:val="single" w:sz="4" w:space="0" w:color="auto"/>
              <w:right w:val="single" w:sz="4" w:space="0" w:color="auto"/>
            </w:tcBorders>
            <w:shd w:val="clear" w:color="auto" w:fill="auto"/>
            <w:noWrap/>
            <w:vAlign w:val="bottom"/>
            <w:hideMark/>
          </w:tcPr>
          <w:p w14:paraId="42E4F41B"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1.44</w:t>
            </w:r>
          </w:p>
        </w:tc>
        <w:tc>
          <w:tcPr>
            <w:tcW w:w="1134" w:type="dxa"/>
            <w:tcBorders>
              <w:top w:val="nil"/>
              <w:left w:val="nil"/>
              <w:bottom w:val="single" w:sz="4" w:space="0" w:color="auto"/>
              <w:right w:val="single" w:sz="4" w:space="0" w:color="auto"/>
            </w:tcBorders>
            <w:shd w:val="clear" w:color="auto" w:fill="auto"/>
            <w:noWrap/>
            <w:vAlign w:val="bottom"/>
            <w:hideMark/>
          </w:tcPr>
          <w:p w14:paraId="647587FF"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0.18</w:t>
            </w:r>
          </w:p>
        </w:tc>
      </w:tr>
      <w:tr w:rsidR="003D3694" w:rsidRPr="00747E35" w14:paraId="595435DC" w14:textId="77777777" w:rsidTr="0096743A">
        <w:trPr>
          <w:trHeight w:val="288"/>
          <w:jc w:val="center"/>
        </w:trPr>
        <w:tc>
          <w:tcPr>
            <w:tcW w:w="693" w:type="dxa"/>
            <w:tcBorders>
              <w:top w:val="nil"/>
              <w:left w:val="single" w:sz="4" w:space="0" w:color="auto"/>
              <w:bottom w:val="nil"/>
              <w:right w:val="single" w:sz="4" w:space="0" w:color="auto"/>
            </w:tcBorders>
            <w:shd w:val="clear" w:color="auto" w:fill="auto"/>
            <w:noWrap/>
            <w:vAlign w:val="bottom"/>
            <w:hideMark/>
          </w:tcPr>
          <w:p w14:paraId="738A149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591" w:type="dxa"/>
            <w:tcBorders>
              <w:top w:val="nil"/>
              <w:left w:val="nil"/>
              <w:bottom w:val="single" w:sz="4" w:space="0" w:color="auto"/>
              <w:right w:val="single" w:sz="4" w:space="0" w:color="auto"/>
            </w:tcBorders>
            <w:shd w:val="clear" w:color="auto" w:fill="auto"/>
            <w:noWrap/>
            <w:vAlign w:val="center"/>
            <w:hideMark/>
          </w:tcPr>
          <w:p w14:paraId="1345B76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Site(Connectivity)</w:t>
            </w:r>
          </w:p>
        </w:tc>
        <w:tc>
          <w:tcPr>
            <w:tcW w:w="709" w:type="dxa"/>
            <w:tcBorders>
              <w:top w:val="nil"/>
              <w:left w:val="nil"/>
              <w:bottom w:val="single" w:sz="4" w:space="0" w:color="auto"/>
              <w:right w:val="single" w:sz="4" w:space="0" w:color="auto"/>
            </w:tcBorders>
            <w:shd w:val="clear" w:color="auto" w:fill="auto"/>
            <w:noWrap/>
            <w:vAlign w:val="bottom"/>
            <w:hideMark/>
          </w:tcPr>
          <w:p w14:paraId="7498F740"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8</w:t>
            </w:r>
          </w:p>
        </w:tc>
        <w:tc>
          <w:tcPr>
            <w:tcW w:w="1134" w:type="dxa"/>
            <w:tcBorders>
              <w:top w:val="nil"/>
              <w:left w:val="nil"/>
              <w:bottom w:val="single" w:sz="4" w:space="0" w:color="auto"/>
              <w:right w:val="single" w:sz="4" w:space="0" w:color="auto"/>
            </w:tcBorders>
            <w:shd w:val="clear" w:color="auto" w:fill="auto"/>
            <w:noWrap/>
            <w:vAlign w:val="bottom"/>
            <w:hideMark/>
          </w:tcPr>
          <w:p w14:paraId="2B524B7C"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0.97</w:t>
            </w:r>
          </w:p>
        </w:tc>
        <w:tc>
          <w:tcPr>
            <w:tcW w:w="1134" w:type="dxa"/>
            <w:tcBorders>
              <w:top w:val="nil"/>
              <w:left w:val="nil"/>
              <w:bottom w:val="single" w:sz="4" w:space="0" w:color="auto"/>
              <w:right w:val="single" w:sz="4" w:space="0" w:color="auto"/>
            </w:tcBorders>
            <w:shd w:val="clear" w:color="auto" w:fill="auto"/>
            <w:noWrap/>
            <w:vAlign w:val="bottom"/>
            <w:hideMark/>
          </w:tcPr>
          <w:p w14:paraId="0F26A9FE"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0.52</w:t>
            </w:r>
          </w:p>
        </w:tc>
      </w:tr>
      <w:tr w:rsidR="003D3694" w:rsidRPr="00747E35" w14:paraId="15165E07" w14:textId="77777777" w:rsidTr="0096743A">
        <w:trPr>
          <w:trHeight w:val="288"/>
          <w:jc w:val="center"/>
        </w:trPr>
        <w:tc>
          <w:tcPr>
            <w:tcW w:w="693" w:type="dxa"/>
            <w:tcBorders>
              <w:top w:val="nil"/>
              <w:left w:val="single" w:sz="4" w:space="0" w:color="auto"/>
              <w:bottom w:val="single" w:sz="4" w:space="0" w:color="auto"/>
              <w:right w:val="single" w:sz="4" w:space="0" w:color="auto"/>
            </w:tcBorders>
            <w:shd w:val="clear" w:color="auto" w:fill="auto"/>
            <w:noWrap/>
            <w:vAlign w:val="bottom"/>
            <w:hideMark/>
          </w:tcPr>
          <w:p w14:paraId="0EA328C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591" w:type="dxa"/>
            <w:tcBorders>
              <w:top w:val="nil"/>
              <w:left w:val="nil"/>
              <w:bottom w:val="single" w:sz="4" w:space="0" w:color="auto"/>
              <w:right w:val="single" w:sz="4" w:space="0" w:color="auto"/>
            </w:tcBorders>
            <w:shd w:val="clear" w:color="auto" w:fill="auto"/>
            <w:noWrap/>
            <w:vAlign w:val="center"/>
            <w:hideMark/>
          </w:tcPr>
          <w:p w14:paraId="2460AE7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Residuals</w:t>
            </w:r>
          </w:p>
        </w:tc>
        <w:tc>
          <w:tcPr>
            <w:tcW w:w="709" w:type="dxa"/>
            <w:tcBorders>
              <w:top w:val="nil"/>
              <w:left w:val="nil"/>
              <w:bottom w:val="single" w:sz="4" w:space="0" w:color="auto"/>
              <w:right w:val="single" w:sz="4" w:space="0" w:color="auto"/>
            </w:tcBorders>
            <w:shd w:val="clear" w:color="auto" w:fill="auto"/>
            <w:noWrap/>
            <w:vAlign w:val="bottom"/>
            <w:hideMark/>
          </w:tcPr>
          <w:p w14:paraId="2C12DAD6" w14:textId="77777777" w:rsidR="003D3694" w:rsidRPr="00747E35" w:rsidRDefault="003D3694" w:rsidP="0096743A">
            <w:pPr>
              <w:pStyle w:val="Tabletext"/>
              <w:spacing w:before="0" w:after="0"/>
              <w:jc w:val="center"/>
              <w:rPr>
                <w:rFonts w:cstheme="minorHAnsi"/>
                <w:lang w:eastAsia="en-AU"/>
              </w:rPr>
            </w:pPr>
            <w:r w:rsidRPr="00747E35">
              <w:rPr>
                <w:rFonts w:cstheme="minorHAnsi"/>
                <w:lang w:eastAsia="en-AU"/>
              </w:rPr>
              <w:t>10</w:t>
            </w:r>
          </w:p>
        </w:tc>
        <w:tc>
          <w:tcPr>
            <w:tcW w:w="1134" w:type="dxa"/>
            <w:tcBorders>
              <w:top w:val="nil"/>
              <w:left w:val="nil"/>
              <w:bottom w:val="single" w:sz="4" w:space="0" w:color="auto"/>
              <w:right w:val="single" w:sz="4" w:space="0" w:color="auto"/>
            </w:tcBorders>
            <w:shd w:val="clear" w:color="auto" w:fill="auto"/>
            <w:noWrap/>
            <w:vAlign w:val="bottom"/>
            <w:hideMark/>
          </w:tcPr>
          <w:p w14:paraId="6A620D05" w14:textId="77777777" w:rsidR="003D3694" w:rsidRPr="00747E35" w:rsidRDefault="003D3694" w:rsidP="0096743A">
            <w:pPr>
              <w:pStyle w:val="Tabletext"/>
              <w:spacing w:before="0" w:after="0"/>
              <w:jc w:val="center"/>
              <w:rPr>
                <w:rFonts w:cstheme="minorHAnsi"/>
                <w:lang w:eastAsia="en-AU"/>
              </w:rPr>
            </w:pPr>
          </w:p>
        </w:tc>
        <w:tc>
          <w:tcPr>
            <w:tcW w:w="1134" w:type="dxa"/>
            <w:tcBorders>
              <w:top w:val="nil"/>
              <w:left w:val="nil"/>
              <w:bottom w:val="single" w:sz="4" w:space="0" w:color="auto"/>
              <w:right w:val="single" w:sz="4" w:space="0" w:color="auto"/>
            </w:tcBorders>
            <w:shd w:val="clear" w:color="auto" w:fill="auto"/>
            <w:noWrap/>
            <w:vAlign w:val="bottom"/>
            <w:hideMark/>
          </w:tcPr>
          <w:p w14:paraId="4E9A6B62" w14:textId="77777777" w:rsidR="003D3694" w:rsidRPr="00747E35" w:rsidRDefault="003D3694" w:rsidP="0096743A">
            <w:pPr>
              <w:pStyle w:val="Tabletext"/>
              <w:spacing w:before="0" w:after="0"/>
              <w:jc w:val="center"/>
              <w:rPr>
                <w:rFonts w:cstheme="minorHAnsi"/>
                <w:lang w:eastAsia="en-AU"/>
              </w:rPr>
            </w:pPr>
          </w:p>
        </w:tc>
      </w:tr>
    </w:tbl>
    <w:p w14:paraId="1621FAB4" w14:textId="77777777" w:rsidR="003D3694" w:rsidRPr="00747E35" w:rsidRDefault="003D3694" w:rsidP="003D3694">
      <w:pPr>
        <w:rPr>
          <w:rFonts w:asciiTheme="minorHAnsi" w:hAnsiTheme="minorHAnsi" w:cstheme="minorHAnsi"/>
        </w:rPr>
      </w:pPr>
    </w:p>
    <w:bookmarkEnd w:id="296"/>
    <w:p w14:paraId="309B7BCC" w14:textId="77777777" w:rsidR="003D3694" w:rsidRPr="00747E35" w:rsidRDefault="003D3694" w:rsidP="00566456">
      <w:pPr>
        <w:pStyle w:val="Heading6"/>
        <w:numPr>
          <w:ilvl w:val="0"/>
          <w:numId w:val="0"/>
        </w:numPr>
        <w:rPr>
          <w:rFonts w:asciiTheme="minorHAnsi" w:hAnsiTheme="minorHAnsi" w:cstheme="minorHAnsi"/>
        </w:rPr>
      </w:pPr>
      <w:r w:rsidRPr="00747E35">
        <w:rPr>
          <w:rFonts w:asciiTheme="minorHAnsi" w:hAnsiTheme="minorHAnsi" w:cstheme="minorHAnsi"/>
        </w:rPr>
        <w:t>Influence of dissolved oxygen and redox state</w:t>
      </w:r>
    </w:p>
    <w:p w14:paraId="57E9019F"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Both Bremer and Maules catchments showed positive correlations with dissolved oxygen (DO) in relation to richness and abundance (Table 27). Hyporheic and aquifer invertebrates were tolerant of suboxic conditions (DO &lt; 0.5 mg/L) and intolerant of hypoxic-anoxic conditions (DO &lt; 0.01 mg/L), and exhibited a trend of increasing abundance in oxic conditions (DO &gt; 0.5 mg/L)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_Ref466445765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Figure 112</w:t>
      </w:r>
      <w:r w:rsidRPr="00747E35">
        <w:rPr>
          <w:rFonts w:asciiTheme="minorHAnsi" w:hAnsiTheme="minorHAnsi" w:cstheme="minorHAnsi"/>
        </w:rPr>
        <w:fldChar w:fldCharType="end"/>
      </w:r>
      <w:r w:rsidRPr="00747E35">
        <w:rPr>
          <w:rFonts w:asciiTheme="minorHAnsi" w:hAnsiTheme="minorHAnsi" w:cstheme="minorHAnsi"/>
        </w:rPr>
        <w:t>, regression r2 = 0.10). With declining DO conditions and associated shifts in redox chemistry, fauna richness and abundance in the Maules catchment showed strong negative correlations with four reduced ionic species: ammonia, iron, phosphorus and arsenic. We found that when Fe2+ concentrations exceed about 0.1 mg/L, fauna abundance and richness are typically very low (</w:t>
      </w:r>
      <w:r w:rsidRPr="00747E35">
        <w:rPr>
          <w:rFonts w:asciiTheme="minorHAnsi" w:hAnsiTheme="minorHAnsi" w:cstheme="minorHAnsi"/>
        </w:rPr>
        <w:fldChar w:fldCharType="begin"/>
      </w:r>
      <w:r w:rsidRPr="00747E35">
        <w:rPr>
          <w:rFonts w:asciiTheme="minorHAnsi" w:hAnsiTheme="minorHAnsi" w:cstheme="minorHAnsi"/>
        </w:rPr>
        <w:instrText xml:space="preserve"> REF _Ref466415613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Figure 113</w:t>
      </w:r>
      <w:r w:rsidRPr="00747E35">
        <w:rPr>
          <w:rFonts w:asciiTheme="minorHAnsi" w:hAnsiTheme="minorHAnsi" w:cstheme="minorHAnsi"/>
        </w:rPr>
        <w:fldChar w:fldCharType="end"/>
      </w:r>
      <w:r w:rsidRPr="00747E35">
        <w:rPr>
          <w:rFonts w:asciiTheme="minorHAnsi" w:hAnsiTheme="minorHAnsi" w:cstheme="minorHAnsi"/>
        </w:rPr>
        <w:t xml:space="preserve">). The significant negative association between invertebrates and reduced ionic species was not evident in the Bremer catchment, possibly because fewer of the Bremer samples were anoxic, except for Reynolds Creek, which had the most reduced conditions (Figure </w:t>
      </w:r>
      <w:r w:rsidRPr="00747E35">
        <w:rPr>
          <w:rFonts w:asciiTheme="minorHAnsi" w:hAnsiTheme="minorHAnsi" w:cstheme="minorHAnsi"/>
        </w:rPr>
        <w:fldChar w:fldCharType="begin"/>
      </w:r>
      <w:r w:rsidRPr="00747E35">
        <w:rPr>
          <w:rFonts w:asciiTheme="minorHAnsi" w:hAnsiTheme="minorHAnsi" w:cstheme="minorHAnsi"/>
        </w:rPr>
        <w:instrText xml:space="preserve"> SEQ Figure \* ARABIC </w:instrText>
      </w:r>
      <w:r w:rsidRPr="00747E35">
        <w:rPr>
          <w:rFonts w:asciiTheme="minorHAnsi" w:hAnsiTheme="minorHAnsi" w:cstheme="minorHAnsi"/>
        </w:rPr>
        <w:fldChar w:fldCharType="separate"/>
      </w:r>
      <w:r w:rsidR="00D023DD">
        <w:rPr>
          <w:rFonts w:asciiTheme="minorHAnsi" w:hAnsiTheme="minorHAnsi" w:cstheme="minorHAnsi"/>
          <w:noProof/>
        </w:rPr>
        <w:t>110</w:t>
      </w:r>
      <w:r w:rsidRPr="00747E35">
        <w:rPr>
          <w:rFonts w:asciiTheme="minorHAnsi" w:hAnsiTheme="minorHAnsi" w:cstheme="minorHAnsi"/>
        </w:rPr>
        <w:fldChar w:fldCharType="end"/>
      </w:r>
      <w:r w:rsidRPr="00747E35">
        <w:rPr>
          <w:rFonts w:asciiTheme="minorHAnsi" w:hAnsiTheme="minorHAnsi" w:cstheme="minorHAnsi"/>
        </w:rPr>
        <w:t xml:space="preserve">) and recorded low abundances (Figure </w:t>
      </w:r>
      <w:r w:rsidRPr="00747E35">
        <w:rPr>
          <w:rFonts w:asciiTheme="minorHAnsi" w:hAnsiTheme="minorHAnsi" w:cstheme="minorHAnsi"/>
        </w:rPr>
        <w:fldChar w:fldCharType="begin"/>
      </w:r>
      <w:r w:rsidRPr="00747E35">
        <w:rPr>
          <w:rFonts w:asciiTheme="minorHAnsi" w:hAnsiTheme="minorHAnsi" w:cstheme="minorHAnsi"/>
        </w:rPr>
        <w:instrText xml:space="preserve"> SEQ Figure \* ARABIC </w:instrText>
      </w:r>
      <w:r w:rsidRPr="00747E35">
        <w:rPr>
          <w:rFonts w:asciiTheme="minorHAnsi" w:hAnsiTheme="minorHAnsi" w:cstheme="minorHAnsi"/>
        </w:rPr>
        <w:fldChar w:fldCharType="separate"/>
      </w:r>
      <w:r w:rsidR="00D023DD">
        <w:rPr>
          <w:rFonts w:asciiTheme="minorHAnsi" w:hAnsiTheme="minorHAnsi" w:cstheme="minorHAnsi"/>
          <w:noProof/>
        </w:rPr>
        <w:t>111</w:t>
      </w:r>
      <w:r w:rsidRPr="00747E35">
        <w:rPr>
          <w:rFonts w:asciiTheme="minorHAnsi" w:hAnsiTheme="minorHAnsi" w:cstheme="minorHAnsi"/>
        </w:rPr>
        <w:fldChar w:fldCharType="end"/>
      </w:r>
      <w:r w:rsidRPr="00747E35">
        <w:rPr>
          <w:rFonts w:asciiTheme="minorHAnsi" w:hAnsiTheme="minorHAnsi" w:cstheme="minorHAnsi"/>
        </w:rPr>
        <w:t>).</w:t>
      </w:r>
    </w:p>
    <w:p w14:paraId="20F019AA" w14:textId="77777777" w:rsidR="003D3694" w:rsidRPr="00747E35" w:rsidRDefault="003D3694" w:rsidP="003D3694">
      <w:pPr>
        <w:autoSpaceDE/>
        <w:autoSpaceDN/>
        <w:spacing w:line="276" w:lineRule="auto"/>
        <w:rPr>
          <w:rFonts w:asciiTheme="minorHAnsi" w:hAnsiTheme="minorHAnsi" w:cstheme="minorHAnsi"/>
        </w:rPr>
      </w:pPr>
      <w:r w:rsidRPr="00747E35">
        <w:rPr>
          <w:rFonts w:asciiTheme="minorHAnsi" w:hAnsiTheme="minorHAnsi" w:cstheme="minorHAnsi"/>
        </w:rPr>
        <w:br w:type="page"/>
      </w:r>
    </w:p>
    <w:p w14:paraId="36154DA0" w14:textId="77777777" w:rsidR="003D3694" w:rsidRPr="00747E35" w:rsidRDefault="003D3694" w:rsidP="00566456">
      <w:pPr>
        <w:pStyle w:val="Caption"/>
        <w:numPr>
          <w:ilvl w:val="0"/>
          <w:numId w:val="0"/>
        </w:numPr>
        <w:rPr>
          <w:rFonts w:cstheme="minorHAnsi"/>
        </w:rPr>
      </w:pPr>
      <w:bookmarkStart w:id="299" w:name="_Ref467127833"/>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26</w:t>
      </w:r>
      <w:r w:rsidR="009D6600" w:rsidRPr="00747E35">
        <w:rPr>
          <w:rFonts w:cstheme="minorHAnsi"/>
          <w:noProof/>
        </w:rPr>
        <w:fldChar w:fldCharType="end"/>
      </w:r>
      <w:bookmarkEnd w:id="299"/>
      <w:r w:rsidRPr="00747E35">
        <w:rPr>
          <w:rFonts w:cstheme="minorHAnsi"/>
        </w:rPr>
        <w:t xml:space="preserve">: Significant (rho &gt; 0.3) Kendall’s tau correlation coefficients between hydrochemical variables and taxon richness and abundance (in hyporheic subsamples). Both Bremer and Maules catchments showed positive correlations with dissolved oxygen (DO), and in the Maules catchment, richness and abundance showed strong negative correlations with the reduced ionic species: ammonium, iron (Fe), phosphorus (P) and arsenic (As).  </w:t>
      </w:r>
    </w:p>
    <w:p w14:paraId="6A4FB5CF" w14:textId="77777777" w:rsidR="003D3694" w:rsidRPr="00747E35" w:rsidRDefault="003D3694" w:rsidP="003D3694">
      <w:pPr>
        <w:rPr>
          <w:rFonts w:asciiTheme="minorHAnsi" w:hAnsiTheme="minorHAnsi" w:cstheme="minorHAnsi"/>
        </w:rPr>
      </w:pPr>
    </w:p>
    <w:tbl>
      <w:tblPr>
        <w:tblW w:w="0" w:type="auto"/>
        <w:tblInd w:w="93" w:type="dxa"/>
        <w:tblLook w:val="04A0" w:firstRow="1" w:lastRow="0" w:firstColumn="1" w:lastColumn="0" w:noHBand="0" w:noVBand="1"/>
      </w:tblPr>
      <w:tblGrid>
        <w:gridCol w:w="2563"/>
        <w:gridCol w:w="898"/>
        <w:gridCol w:w="1102"/>
        <w:gridCol w:w="222"/>
        <w:gridCol w:w="446"/>
        <w:gridCol w:w="898"/>
        <w:gridCol w:w="1102"/>
      </w:tblGrid>
      <w:tr w:rsidR="003D3694" w:rsidRPr="00747E35" w14:paraId="492E1055" w14:textId="77777777" w:rsidTr="00C6582F">
        <w:trPr>
          <w:trHeight w:val="20"/>
        </w:trPr>
        <w:tc>
          <w:tcPr>
            <w:tcW w:w="0" w:type="auto"/>
            <w:gridSpan w:val="3"/>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bottom"/>
            <w:hideMark/>
          </w:tcPr>
          <w:p w14:paraId="0EFEB95E"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Maules Creek catchment</w:t>
            </w:r>
          </w:p>
        </w:tc>
        <w:tc>
          <w:tcPr>
            <w:tcW w:w="0" w:type="auto"/>
            <w:tcBorders>
              <w:top w:val="nil"/>
              <w:left w:val="nil"/>
              <w:bottom w:val="nil"/>
              <w:right w:val="nil"/>
            </w:tcBorders>
            <w:shd w:val="clear" w:color="auto" w:fill="auto"/>
            <w:noWrap/>
            <w:vAlign w:val="bottom"/>
            <w:hideMark/>
          </w:tcPr>
          <w:p w14:paraId="5D1A0597" w14:textId="77777777" w:rsidR="003D3694" w:rsidRPr="00747E35" w:rsidRDefault="003D3694" w:rsidP="0096743A">
            <w:pPr>
              <w:pStyle w:val="TableHead"/>
              <w:spacing w:before="0" w:after="0"/>
              <w:rPr>
                <w:rFonts w:asciiTheme="minorHAnsi" w:hAnsiTheme="minorHAnsi" w:cstheme="minorHAnsi"/>
                <w:b w:val="0"/>
              </w:rPr>
            </w:pPr>
          </w:p>
        </w:tc>
        <w:tc>
          <w:tcPr>
            <w:tcW w:w="0" w:type="auto"/>
            <w:gridSpan w:val="3"/>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bottom"/>
            <w:hideMark/>
          </w:tcPr>
          <w:p w14:paraId="4A5565C5"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Bremer River catchment</w:t>
            </w:r>
          </w:p>
        </w:tc>
      </w:tr>
      <w:tr w:rsidR="003D3694" w:rsidRPr="00747E35" w14:paraId="299A6240" w14:textId="77777777" w:rsidTr="0096743A">
        <w:trPr>
          <w:trHeight w:val="20"/>
        </w:trPr>
        <w:tc>
          <w:tcPr>
            <w:tcW w:w="0" w:type="auto"/>
            <w:tcBorders>
              <w:top w:val="nil"/>
              <w:left w:val="single" w:sz="4" w:space="0" w:color="auto"/>
              <w:bottom w:val="nil"/>
              <w:right w:val="single" w:sz="4" w:space="0" w:color="auto"/>
            </w:tcBorders>
            <w:shd w:val="clear" w:color="auto" w:fill="auto"/>
            <w:noWrap/>
            <w:vAlign w:val="bottom"/>
            <w:hideMark/>
          </w:tcPr>
          <w:p w14:paraId="07355796" w14:textId="77777777" w:rsidR="003D3694" w:rsidRPr="00747E35" w:rsidRDefault="003D3694" w:rsidP="0096743A">
            <w:pPr>
              <w:pStyle w:val="Tabletext"/>
              <w:keepNext/>
              <w:keepLines/>
              <w:spacing w:before="0" w:after="0"/>
              <w:jc w:val="center"/>
              <w:rPr>
                <w:rFonts w:cstheme="minorHAnsi"/>
              </w:rPr>
            </w:pPr>
          </w:p>
        </w:tc>
        <w:tc>
          <w:tcPr>
            <w:tcW w:w="0" w:type="auto"/>
            <w:gridSpan w:val="2"/>
            <w:tcBorders>
              <w:top w:val="single" w:sz="4" w:space="0" w:color="auto"/>
              <w:left w:val="nil"/>
              <w:bottom w:val="single" w:sz="4" w:space="0" w:color="auto"/>
              <w:right w:val="single" w:sz="4" w:space="0" w:color="auto"/>
            </w:tcBorders>
            <w:shd w:val="clear" w:color="auto" w:fill="auto"/>
            <w:noWrap/>
            <w:vAlign w:val="bottom"/>
            <w:hideMark/>
          </w:tcPr>
          <w:p w14:paraId="246DCCA4" w14:textId="77777777" w:rsidR="003D3694" w:rsidRPr="00747E35" w:rsidRDefault="003D3694" w:rsidP="0096743A">
            <w:pPr>
              <w:pStyle w:val="Tabletext"/>
              <w:keepNext/>
              <w:keepLines/>
              <w:spacing w:before="0" w:after="0"/>
              <w:jc w:val="center"/>
              <w:rPr>
                <w:rFonts w:cstheme="minorHAnsi"/>
              </w:rPr>
            </w:pPr>
            <w:r w:rsidRPr="00747E35">
              <w:rPr>
                <w:rFonts w:cstheme="minorHAnsi"/>
              </w:rPr>
              <w:t>Kendall’s tau correlation</w:t>
            </w:r>
          </w:p>
        </w:tc>
        <w:tc>
          <w:tcPr>
            <w:tcW w:w="0" w:type="auto"/>
            <w:tcBorders>
              <w:top w:val="nil"/>
              <w:left w:val="nil"/>
              <w:bottom w:val="nil"/>
              <w:right w:val="nil"/>
            </w:tcBorders>
            <w:shd w:val="clear" w:color="auto" w:fill="auto"/>
            <w:noWrap/>
            <w:vAlign w:val="bottom"/>
            <w:hideMark/>
          </w:tcPr>
          <w:p w14:paraId="23507D6E" w14:textId="77777777" w:rsidR="003D3694" w:rsidRPr="00747E35" w:rsidRDefault="003D3694" w:rsidP="0096743A">
            <w:pPr>
              <w:pStyle w:val="Tabletext"/>
              <w:keepNext/>
              <w:keepLines/>
              <w:spacing w:before="0" w:after="0"/>
              <w:rPr>
                <w:rFonts w:cstheme="minorHAnsi"/>
              </w:rPr>
            </w:pPr>
          </w:p>
        </w:tc>
        <w:tc>
          <w:tcPr>
            <w:tcW w:w="0" w:type="auto"/>
            <w:tcBorders>
              <w:top w:val="nil"/>
              <w:left w:val="single" w:sz="4" w:space="0" w:color="auto"/>
              <w:bottom w:val="nil"/>
              <w:right w:val="single" w:sz="4" w:space="0" w:color="auto"/>
            </w:tcBorders>
            <w:shd w:val="clear" w:color="auto" w:fill="auto"/>
            <w:noWrap/>
            <w:vAlign w:val="bottom"/>
            <w:hideMark/>
          </w:tcPr>
          <w:p w14:paraId="61E8B43C" w14:textId="77777777" w:rsidR="003D3694" w:rsidRPr="00747E35" w:rsidRDefault="003D3694" w:rsidP="0096743A">
            <w:pPr>
              <w:pStyle w:val="Tabletext"/>
              <w:keepNext/>
              <w:keepLines/>
              <w:spacing w:before="0" w:after="0"/>
              <w:rPr>
                <w:rFonts w:cstheme="minorHAnsi"/>
              </w:rPr>
            </w:pPr>
            <w:r w:rsidRPr="00747E35">
              <w:rPr>
                <w:rFonts w:cstheme="minorHAnsi"/>
              </w:rPr>
              <w:t> </w:t>
            </w:r>
          </w:p>
        </w:tc>
        <w:tc>
          <w:tcPr>
            <w:tcW w:w="0" w:type="auto"/>
            <w:gridSpan w:val="2"/>
            <w:tcBorders>
              <w:top w:val="single" w:sz="4" w:space="0" w:color="auto"/>
              <w:left w:val="nil"/>
              <w:bottom w:val="single" w:sz="4" w:space="0" w:color="auto"/>
              <w:right w:val="single" w:sz="4" w:space="0" w:color="auto"/>
            </w:tcBorders>
            <w:shd w:val="clear" w:color="auto" w:fill="auto"/>
            <w:noWrap/>
            <w:vAlign w:val="bottom"/>
            <w:hideMark/>
          </w:tcPr>
          <w:p w14:paraId="37574261" w14:textId="77777777" w:rsidR="003D3694" w:rsidRPr="00747E35" w:rsidRDefault="003D3694" w:rsidP="0096743A">
            <w:pPr>
              <w:pStyle w:val="Tabletext"/>
              <w:keepNext/>
              <w:keepLines/>
              <w:spacing w:before="0" w:after="0"/>
              <w:rPr>
                <w:rFonts w:cstheme="minorHAnsi"/>
              </w:rPr>
            </w:pPr>
            <w:r w:rsidRPr="00747E35">
              <w:rPr>
                <w:rFonts w:cstheme="minorHAnsi"/>
              </w:rPr>
              <w:t>Kendall’s tau correlation</w:t>
            </w:r>
          </w:p>
        </w:tc>
      </w:tr>
      <w:tr w:rsidR="003D3694" w:rsidRPr="00747E35" w14:paraId="2FA61E0E" w14:textId="77777777" w:rsidTr="0096743A">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2B7F104" w14:textId="77777777" w:rsidR="003D3694" w:rsidRPr="00747E35" w:rsidRDefault="003D3694" w:rsidP="0096743A">
            <w:pPr>
              <w:pStyle w:val="Tabletext"/>
              <w:keepNext/>
              <w:keepLines/>
              <w:spacing w:before="0" w:after="0"/>
              <w:jc w:val="center"/>
              <w:rPr>
                <w:rFonts w:cstheme="minorHAnsi"/>
              </w:rPr>
            </w:pPr>
          </w:p>
        </w:tc>
        <w:tc>
          <w:tcPr>
            <w:tcW w:w="0" w:type="auto"/>
            <w:tcBorders>
              <w:top w:val="nil"/>
              <w:left w:val="nil"/>
              <w:bottom w:val="single" w:sz="4" w:space="0" w:color="auto"/>
              <w:right w:val="single" w:sz="4" w:space="0" w:color="auto"/>
            </w:tcBorders>
            <w:shd w:val="clear" w:color="auto" w:fill="auto"/>
            <w:vAlign w:val="bottom"/>
            <w:hideMark/>
          </w:tcPr>
          <w:p w14:paraId="05A5F009" w14:textId="77777777" w:rsidR="003D3694" w:rsidRPr="00747E35" w:rsidRDefault="003D3694" w:rsidP="0096743A">
            <w:pPr>
              <w:pStyle w:val="Tabletext"/>
              <w:keepNext/>
              <w:keepLines/>
              <w:spacing w:before="0" w:after="0"/>
              <w:jc w:val="center"/>
              <w:rPr>
                <w:rFonts w:cstheme="minorHAnsi"/>
              </w:rPr>
            </w:pPr>
            <w:r w:rsidRPr="00747E35">
              <w:rPr>
                <w:rFonts w:cstheme="minorHAnsi"/>
              </w:rPr>
              <w:br/>
              <w:t>Richness</w:t>
            </w:r>
          </w:p>
        </w:tc>
        <w:tc>
          <w:tcPr>
            <w:tcW w:w="0" w:type="auto"/>
            <w:tcBorders>
              <w:top w:val="nil"/>
              <w:left w:val="nil"/>
              <w:bottom w:val="single" w:sz="4" w:space="0" w:color="auto"/>
              <w:right w:val="single" w:sz="4" w:space="0" w:color="auto"/>
            </w:tcBorders>
            <w:shd w:val="clear" w:color="auto" w:fill="auto"/>
            <w:noWrap/>
            <w:vAlign w:val="bottom"/>
            <w:hideMark/>
          </w:tcPr>
          <w:p w14:paraId="49F64AFB" w14:textId="77777777" w:rsidR="003D3694" w:rsidRPr="00747E35" w:rsidRDefault="003D3694" w:rsidP="0096743A">
            <w:pPr>
              <w:pStyle w:val="Tabletext"/>
              <w:keepNext/>
              <w:keepLines/>
              <w:spacing w:before="0" w:after="0"/>
              <w:jc w:val="center"/>
              <w:rPr>
                <w:rFonts w:cstheme="minorHAnsi"/>
              </w:rPr>
            </w:pPr>
            <w:r w:rsidRPr="00747E35">
              <w:rPr>
                <w:rFonts w:cstheme="minorHAnsi"/>
              </w:rPr>
              <w:t>Abundance</w:t>
            </w:r>
          </w:p>
        </w:tc>
        <w:tc>
          <w:tcPr>
            <w:tcW w:w="0" w:type="auto"/>
            <w:tcBorders>
              <w:top w:val="nil"/>
              <w:left w:val="nil"/>
              <w:bottom w:val="nil"/>
              <w:right w:val="nil"/>
            </w:tcBorders>
            <w:shd w:val="clear" w:color="auto" w:fill="auto"/>
            <w:noWrap/>
            <w:vAlign w:val="bottom"/>
            <w:hideMark/>
          </w:tcPr>
          <w:p w14:paraId="08A7647E" w14:textId="77777777" w:rsidR="003D3694" w:rsidRPr="00747E35" w:rsidRDefault="003D3694" w:rsidP="0096743A">
            <w:pPr>
              <w:pStyle w:val="Tabletext"/>
              <w:keepNext/>
              <w:keepLines/>
              <w:spacing w:before="0" w:after="0"/>
              <w:rPr>
                <w:rFonts w:cstheme="minorHAnsi"/>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8C6D911" w14:textId="77777777" w:rsidR="003D3694" w:rsidRPr="00747E35" w:rsidRDefault="003D3694" w:rsidP="0096743A">
            <w:pPr>
              <w:pStyle w:val="Tabletext"/>
              <w:keepNext/>
              <w:keepLines/>
              <w:spacing w:before="0" w:after="0"/>
              <w:rPr>
                <w:rFonts w:cstheme="minorHAnsi"/>
              </w:rPr>
            </w:pPr>
            <w:r w:rsidRPr="00747E35">
              <w:rPr>
                <w:rFonts w:cstheme="minorHAnsi"/>
              </w:rPr>
              <w:t> </w:t>
            </w:r>
          </w:p>
        </w:tc>
        <w:tc>
          <w:tcPr>
            <w:tcW w:w="0" w:type="auto"/>
            <w:tcBorders>
              <w:top w:val="nil"/>
              <w:left w:val="nil"/>
              <w:bottom w:val="single" w:sz="4" w:space="0" w:color="auto"/>
              <w:right w:val="single" w:sz="4" w:space="0" w:color="auto"/>
            </w:tcBorders>
            <w:shd w:val="clear" w:color="auto" w:fill="auto"/>
            <w:vAlign w:val="bottom"/>
            <w:hideMark/>
          </w:tcPr>
          <w:p w14:paraId="1F8229DC" w14:textId="77777777" w:rsidR="003D3694" w:rsidRPr="00747E35" w:rsidRDefault="003D3694" w:rsidP="0096743A">
            <w:pPr>
              <w:pStyle w:val="Tabletext"/>
              <w:keepNext/>
              <w:keepLines/>
              <w:spacing w:before="0" w:after="0"/>
              <w:rPr>
                <w:rFonts w:cstheme="minorHAnsi"/>
              </w:rPr>
            </w:pPr>
            <w:r w:rsidRPr="00747E35">
              <w:rPr>
                <w:rFonts w:cstheme="minorHAnsi"/>
              </w:rPr>
              <w:br/>
              <w:t>Richness</w:t>
            </w:r>
          </w:p>
        </w:tc>
        <w:tc>
          <w:tcPr>
            <w:tcW w:w="0" w:type="auto"/>
            <w:tcBorders>
              <w:top w:val="nil"/>
              <w:left w:val="nil"/>
              <w:bottom w:val="single" w:sz="4" w:space="0" w:color="auto"/>
              <w:right w:val="single" w:sz="4" w:space="0" w:color="auto"/>
            </w:tcBorders>
            <w:shd w:val="clear" w:color="auto" w:fill="auto"/>
            <w:noWrap/>
            <w:vAlign w:val="bottom"/>
            <w:hideMark/>
          </w:tcPr>
          <w:p w14:paraId="5F8C97BD" w14:textId="77777777" w:rsidR="003D3694" w:rsidRPr="00747E35" w:rsidRDefault="003D3694" w:rsidP="0096743A">
            <w:pPr>
              <w:pStyle w:val="Tabletext"/>
              <w:keepNext/>
              <w:keepLines/>
              <w:spacing w:before="0" w:after="0"/>
              <w:rPr>
                <w:rFonts w:cstheme="minorHAnsi"/>
              </w:rPr>
            </w:pPr>
            <w:r w:rsidRPr="00747E35">
              <w:rPr>
                <w:rFonts w:cstheme="minorHAnsi"/>
              </w:rPr>
              <w:t>Abundance</w:t>
            </w:r>
          </w:p>
        </w:tc>
      </w:tr>
      <w:tr w:rsidR="003D3694" w:rsidRPr="00747E35" w14:paraId="3C83AD12" w14:textId="77777777" w:rsidTr="0096743A">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DBC43F" w14:textId="77777777" w:rsidR="003D3694" w:rsidRPr="00747E35" w:rsidRDefault="003D3694" w:rsidP="0096743A">
            <w:pPr>
              <w:pStyle w:val="Tabletext"/>
              <w:keepNext/>
              <w:keepLines/>
              <w:spacing w:before="0" w:after="0"/>
              <w:jc w:val="center"/>
              <w:rPr>
                <w:rFonts w:cstheme="minorHAnsi"/>
              </w:rPr>
            </w:pPr>
            <w:r w:rsidRPr="00747E35">
              <w:rPr>
                <w:rFonts w:cstheme="minorHAnsi"/>
              </w:rPr>
              <w:t>DO</w:t>
            </w:r>
          </w:p>
        </w:tc>
        <w:tc>
          <w:tcPr>
            <w:tcW w:w="0" w:type="auto"/>
            <w:tcBorders>
              <w:top w:val="nil"/>
              <w:left w:val="nil"/>
              <w:bottom w:val="single" w:sz="4" w:space="0" w:color="auto"/>
              <w:right w:val="single" w:sz="4" w:space="0" w:color="auto"/>
            </w:tcBorders>
            <w:shd w:val="clear" w:color="auto" w:fill="auto"/>
            <w:noWrap/>
            <w:vAlign w:val="bottom"/>
            <w:hideMark/>
          </w:tcPr>
          <w:p w14:paraId="14047177" w14:textId="77777777" w:rsidR="003D3694" w:rsidRPr="00747E35" w:rsidRDefault="003D3694" w:rsidP="0096743A">
            <w:pPr>
              <w:pStyle w:val="Tabletext"/>
              <w:keepNext/>
              <w:keepLines/>
              <w:spacing w:before="0" w:after="0"/>
              <w:jc w:val="center"/>
              <w:rPr>
                <w:rFonts w:cstheme="minorHAnsi"/>
              </w:rPr>
            </w:pPr>
            <w:r w:rsidRPr="00747E35">
              <w:rPr>
                <w:rFonts w:cstheme="minorHAnsi"/>
              </w:rPr>
              <w:t>0.41</w:t>
            </w:r>
          </w:p>
        </w:tc>
        <w:tc>
          <w:tcPr>
            <w:tcW w:w="0" w:type="auto"/>
            <w:tcBorders>
              <w:top w:val="nil"/>
              <w:left w:val="nil"/>
              <w:bottom w:val="single" w:sz="4" w:space="0" w:color="auto"/>
              <w:right w:val="single" w:sz="4" w:space="0" w:color="auto"/>
            </w:tcBorders>
            <w:shd w:val="clear" w:color="auto" w:fill="auto"/>
            <w:noWrap/>
            <w:vAlign w:val="bottom"/>
            <w:hideMark/>
          </w:tcPr>
          <w:p w14:paraId="0981AE23" w14:textId="77777777" w:rsidR="003D3694" w:rsidRPr="00747E35" w:rsidRDefault="003D3694" w:rsidP="0096743A">
            <w:pPr>
              <w:pStyle w:val="Tabletext"/>
              <w:keepNext/>
              <w:keepLines/>
              <w:spacing w:before="0" w:after="0"/>
              <w:jc w:val="center"/>
              <w:rPr>
                <w:rFonts w:cstheme="minorHAnsi"/>
              </w:rPr>
            </w:pPr>
            <w:r w:rsidRPr="00747E35">
              <w:rPr>
                <w:rFonts w:cstheme="minorHAnsi"/>
              </w:rPr>
              <w:t>0.41</w:t>
            </w:r>
          </w:p>
        </w:tc>
        <w:tc>
          <w:tcPr>
            <w:tcW w:w="0" w:type="auto"/>
            <w:tcBorders>
              <w:top w:val="nil"/>
              <w:left w:val="nil"/>
              <w:bottom w:val="nil"/>
              <w:right w:val="nil"/>
            </w:tcBorders>
            <w:shd w:val="clear" w:color="auto" w:fill="auto"/>
            <w:noWrap/>
            <w:vAlign w:val="bottom"/>
            <w:hideMark/>
          </w:tcPr>
          <w:p w14:paraId="4F022844" w14:textId="77777777" w:rsidR="003D3694" w:rsidRPr="00747E35" w:rsidRDefault="003D3694" w:rsidP="0096743A">
            <w:pPr>
              <w:pStyle w:val="Tabletext"/>
              <w:keepNext/>
              <w:keepLines/>
              <w:spacing w:before="0" w:after="0"/>
              <w:rPr>
                <w:rFonts w:cstheme="minorHAnsi"/>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0CF9158" w14:textId="77777777" w:rsidR="003D3694" w:rsidRPr="00747E35" w:rsidRDefault="003D3694" w:rsidP="0096743A">
            <w:pPr>
              <w:pStyle w:val="Tabletext"/>
              <w:keepNext/>
              <w:keepLines/>
              <w:spacing w:before="0" w:after="0"/>
              <w:rPr>
                <w:rFonts w:cstheme="minorHAnsi"/>
              </w:rPr>
            </w:pPr>
            <w:r w:rsidRPr="00747E35">
              <w:rPr>
                <w:rFonts w:cstheme="minorHAnsi"/>
              </w:rPr>
              <w:t>DO</w:t>
            </w:r>
          </w:p>
        </w:tc>
        <w:tc>
          <w:tcPr>
            <w:tcW w:w="0" w:type="auto"/>
            <w:tcBorders>
              <w:top w:val="nil"/>
              <w:left w:val="nil"/>
              <w:bottom w:val="single" w:sz="4" w:space="0" w:color="auto"/>
              <w:right w:val="single" w:sz="4" w:space="0" w:color="auto"/>
            </w:tcBorders>
            <w:shd w:val="clear" w:color="auto" w:fill="auto"/>
            <w:noWrap/>
            <w:vAlign w:val="bottom"/>
            <w:hideMark/>
          </w:tcPr>
          <w:p w14:paraId="5607B23C" w14:textId="77777777" w:rsidR="003D3694" w:rsidRPr="00747E35" w:rsidRDefault="003D3694" w:rsidP="0096743A">
            <w:pPr>
              <w:pStyle w:val="Tabletext"/>
              <w:keepNext/>
              <w:keepLines/>
              <w:spacing w:before="0" w:after="0"/>
              <w:rPr>
                <w:rFonts w:cstheme="minorHAnsi"/>
              </w:rPr>
            </w:pPr>
            <w:r w:rsidRPr="00747E35">
              <w:rPr>
                <w:rFonts w:cstheme="minorHAnsi"/>
              </w:rPr>
              <w:t>0.42</w:t>
            </w:r>
          </w:p>
        </w:tc>
        <w:tc>
          <w:tcPr>
            <w:tcW w:w="0" w:type="auto"/>
            <w:tcBorders>
              <w:top w:val="nil"/>
              <w:left w:val="nil"/>
              <w:bottom w:val="single" w:sz="4" w:space="0" w:color="auto"/>
              <w:right w:val="single" w:sz="4" w:space="0" w:color="auto"/>
            </w:tcBorders>
            <w:shd w:val="clear" w:color="auto" w:fill="auto"/>
            <w:noWrap/>
            <w:vAlign w:val="bottom"/>
            <w:hideMark/>
          </w:tcPr>
          <w:p w14:paraId="004D9CC4" w14:textId="77777777" w:rsidR="003D3694" w:rsidRPr="00747E35" w:rsidRDefault="003D3694" w:rsidP="0096743A">
            <w:pPr>
              <w:pStyle w:val="Tabletext"/>
              <w:keepNext/>
              <w:keepLines/>
              <w:spacing w:before="0" w:after="0"/>
              <w:rPr>
                <w:rFonts w:cstheme="minorHAnsi"/>
              </w:rPr>
            </w:pPr>
            <w:r w:rsidRPr="00747E35">
              <w:rPr>
                <w:rFonts w:cstheme="minorHAnsi"/>
              </w:rPr>
              <w:t>0.42</w:t>
            </w:r>
          </w:p>
        </w:tc>
      </w:tr>
      <w:tr w:rsidR="003D3694" w:rsidRPr="00747E35" w14:paraId="74956AC2" w14:textId="77777777" w:rsidTr="0096743A">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2936947" w14:textId="77777777" w:rsidR="003D3694" w:rsidRPr="00747E35" w:rsidRDefault="003D3694" w:rsidP="0096743A">
            <w:pPr>
              <w:pStyle w:val="Tabletext"/>
              <w:keepNext/>
              <w:keepLines/>
              <w:spacing w:before="0" w:after="0"/>
              <w:jc w:val="center"/>
              <w:rPr>
                <w:rFonts w:cstheme="minorHAnsi"/>
              </w:rPr>
            </w:pPr>
            <w:r w:rsidRPr="00747E35">
              <w:rPr>
                <w:rFonts w:cstheme="minorHAnsi"/>
              </w:rPr>
              <w:t>Nitrate</w:t>
            </w:r>
          </w:p>
        </w:tc>
        <w:tc>
          <w:tcPr>
            <w:tcW w:w="0" w:type="auto"/>
            <w:tcBorders>
              <w:top w:val="nil"/>
              <w:left w:val="nil"/>
              <w:bottom w:val="single" w:sz="4" w:space="0" w:color="auto"/>
              <w:right w:val="single" w:sz="4" w:space="0" w:color="auto"/>
            </w:tcBorders>
            <w:shd w:val="clear" w:color="auto" w:fill="auto"/>
            <w:noWrap/>
            <w:vAlign w:val="bottom"/>
            <w:hideMark/>
          </w:tcPr>
          <w:p w14:paraId="0C3A9393" w14:textId="77777777" w:rsidR="003D3694" w:rsidRPr="00747E35" w:rsidRDefault="003D3694" w:rsidP="0096743A">
            <w:pPr>
              <w:pStyle w:val="Tabletext"/>
              <w:keepNext/>
              <w:keepLines/>
              <w:spacing w:before="0" w:after="0"/>
              <w:jc w:val="center"/>
              <w:rPr>
                <w:rFonts w:cstheme="minorHAnsi"/>
              </w:rPr>
            </w:pPr>
            <w:r w:rsidRPr="00747E35">
              <w:rPr>
                <w:rFonts w:cstheme="minorHAnsi"/>
              </w:rPr>
              <w:t>0.34</w:t>
            </w:r>
          </w:p>
        </w:tc>
        <w:tc>
          <w:tcPr>
            <w:tcW w:w="0" w:type="auto"/>
            <w:tcBorders>
              <w:top w:val="nil"/>
              <w:left w:val="nil"/>
              <w:bottom w:val="single" w:sz="4" w:space="0" w:color="auto"/>
              <w:right w:val="single" w:sz="4" w:space="0" w:color="auto"/>
            </w:tcBorders>
            <w:shd w:val="clear" w:color="auto" w:fill="auto"/>
            <w:noWrap/>
            <w:vAlign w:val="bottom"/>
            <w:hideMark/>
          </w:tcPr>
          <w:p w14:paraId="3E3C2C85" w14:textId="77777777" w:rsidR="003D3694" w:rsidRPr="00747E35" w:rsidRDefault="003D3694" w:rsidP="0096743A">
            <w:pPr>
              <w:pStyle w:val="Tabletext"/>
              <w:keepNext/>
              <w:keepLines/>
              <w:spacing w:before="0" w:after="0"/>
              <w:jc w:val="center"/>
              <w:rPr>
                <w:rFonts w:cstheme="minorHAnsi"/>
              </w:rPr>
            </w:pPr>
            <w:r w:rsidRPr="00747E35">
              <w:rPr>
                <w:rFonts w:cstheme="minorHAnsi"/>
              </w:rPr>
              <w:t>0.38</w:t>
            </w:r>
          </w:p>
        </w:tc>
        <w:tc>
          <w:tcPr>
            <w:tcW w:w="0" w:type="auto"/>
            <w:tcBorders>
              <w:top w:val="nil"/>
              <w:left w:val="nil"/>
              <w:bottom w:val="nil"/>
              <w:right w:val="nil"/>
            </w:tcBorders>
            <w:shd w:val="clear" w:color="auto" w:fill="auto"/>
            <w:noWrap/>
            <w:vAlign w:val="bottom"/>
            <w:hideMark/>
          </w:tcPr>
          <w:p w14:paraId="2584B40C" w14:textId="77777777" w:rsidR="003D3694" w:rsidRPr="00747E35" w:rsidRDefault="003D3694" w:rsidP="0096743A">
            <w:pPr>
              <w:pStyle w:val="Tabletext"/>
              <w:keepNext/>
              <w:keepLines/>
              <w:spacing w:before="0" w:after="0"/>
              <w:rPr>
                <w:rFonts w:cstheme="minorHAnsi"/>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EFC0001" w14:textId="77777777" w:rsidR="003D3694" w:rsidRPr="00747E35" w:rsidRDefault="003D3694" w:rsidP="0096743A">
            <w:pPr>
              <w:pStyle w:val="Tabletext"/>
              <w:keepNext/>
              <w:keepLines/>
              <w:spacing w:before="0" w:after="0"/>
              <w:rPr>
                <w:rFonts w:cstheme="minorHAnsi"/>
              </w:rPr>
            </w:pPr>
            <w:r w:rsidRPr="00747E35">
              <w:rPr>
                <w:rFonts w:cstheme="minorHAnsi"/>
              </w:rPr>
              <w:t>EC</w:t>
            </w:r>
          </w:p>
        </w:tc>
        <w:tc>
          <w:tcPr>
            <w:tcW w:w="0" w:type="auto"/>
            <w:tcBorders>
              <w:top w:val="nil"/>
              <w:left w:val="nil"/>
              <w:bottom w:val="single" w:sz="4" w:space="0" w:color="auto"/>
              <w:right w:val="single" w:sz="4" w:space="0" w:color="auto"/>
            </w:tcBorders>
            <w:shd w:val="clear" w:color="auto" w:fill="auto"/>
            <w:noWrap/>
            <w:vAlign w:val="bottom"/>
            <w:hideMark/>
          </w:tcPr>
          <w:p w14:paraId="549929C9" w14:textId="77777777" w:rsidR="003D3694" w:rsidRPr="00747E35" w:rsidRDefault="003D3694" w:rsidP="0096743A">
            <w:pPr>
              <w:pStyle w:val="Tabletext"/>
              <w:keepNext/>
              <w:keepLines/>
              <w:spacing w:before="0" w:after="0"/>
              <w:rPr>
                <w:rFonts w:cstheme="minorHAnsi"/>
              </w:rPr>
            </w:pPr>
            <w:r w:rsidRPr="00747E35">
              <w:rPr>
                <w:rFonts w:cstheme="minorHAnsi"/>
              </w:rPr>
              <w:t>-0.31</w:t>
            </w:r>
          </w:p>
        </w:tc>
        <w:tc>
          <w:tcPr>
            <w:tcW w:w="0" w:type="auto"/>
            <w:tcBorders>
              <w:top w:val="nil"/>
              <w:left w:val="nil"/>
              <w:bottom w:val="single" w:sz="4" w:space="0" w:color="auto"/>
              <w:right w:val="single" w:sz="4" w:space="0" w:color="auto"/>
            </w:tcBorders>
            <w:shd w:val="clear" w:color="auto" w:fill="auto"/>
            <w:noWrap/>
            <w:vAlign w:val="bottom"/>
            <w:hideMark/>
          </w:tcPr>
          <w:p w14:paraId="12E4F4F1" w14:textId="77777777" w:rsidR="003D3694" w:rsidRPr="00747E35" w:rsidRDefault="003D3694" w:rsidP="0096743A">
            <w:pPr>
              <w:pStyle w:val="Tabletext"/>
              <w:keepNext/>
              <w:keepLines/>
              <w:spacing w:before="0" w:after="0"/>
              <w:rPr>
                <w:rFonts w:cstheme="minorHAnsi"/>
              </w:rPr>
            </w:pPr>
            <w:r w:rsidRPr="00747E35">
              <w:rPr>
                <w:rFonts w:cstheme="minorHAnsi"/>
              </w:rPr>
              <w:t>-0.31</w:t>
            </w:r>
          </w:p>
        </w:tc>
      </w:tr>
      <w:tr w:rsidR="003D3694" w:rsidRPr="00747E35" w14:paraId="54940BAD" w14:textId="77777777" w:rsidTr="0096743A">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tcPr>
          <w:p w14:paraId="232D90EF" w14:textId="77777777" w:rsidR="003D3694" w:rsidRPr="00747E35" w:rsidRDefault="003D3694" w:rsidP="0096743A">
            <w:pPr>
              <w:pStyle w:val="Tabletext"/>
              <w:keepNext/>
              <w:keepLines/>
              <w:spacing w:before="0" w:after="0"/>
              <w:jc w:val="center"/>
              <w:rPr>
                <w:rFonts w:cstheme="minorHAnsi"/>
              </w:rPr>
            </w:pPr>
            <w:r w:rsidRPr="00747E35">
              <w:rPr>
                <w:rFonts w:cstheme="minorHAnsi"/>
              </w:rPr>
              <w:t>Ammonium</w:t>
            </w:r>
          </w:p>
        </w:tc>
        <w:tc>
          <w:tcPr>
            <w:tcW w:w="0" w:type="auto"/>
            <w:tcBorders>
              <w:top w:val="nil"/>
              <w:left w:val="nil"/>
              <w:bottom w:val="single" w:sz="4" w:space="0" w:color="auto"/>
              <w:right w:val="single" w:sz="4" w:space="0" w:color="auto"/>
            </w:tcBorders>
            <w:shd w:val="clear" w:color="auto" w:fill="auto"/>
            <w:noWrap/>
            <w:vAlign w:val="bottom"/>
          </w:tcPr>
          <w:p w14:paraId="261DEF6D" w14:textId="77777777" w:rsidR="003D3694" w:rsidRPr="00747E35" w:rsidRDefault="003D3694" w:rsidP="0096743A">
            <w:pPr>
              <w:pStyle w:val="Tabletext"/>
              <w:keepNext/>
              <w:keepLines/>
              <w:spacing w:before="0" w:after="0"/>
              <w:jc w:val="center"/>
              <w:rPr>
                <w:rFonts w:cstheme="minorHAnsi"/>
              </w:rPr>
            </w:pPr>
          </w:p>
        </w:tc>
        <w:tc>
          <w:tcPr>
            <w:tcW w:w="0" w:type="auto"/>
            <w:tcBorders>
              <w:top w:val="nil"/>
              <w:left w:val="nil"/>
              <w:bottom w:val="single" w:sz="4" w:space="0" w:color="auto"/>
              <w:right w:val="single" w:sz="4" w:space="0" w:color="auto"/>
            </w:tcBorders>
            <w:shd w:val="clear" w:color="auto" w:fill="auto"/>
            <w:noWrap/>
            <w:vAlign w:val="bottom"/>
          </w:tcPr>
          <w:p w14:paraId="6576F0D4" w14:textId="77777777" w:rsidR="003D3694" w:rsidRPr="00747E35" w:rsidRDefault="003D3694" w:rsidP="0096743A">
            <w:pPr>
              <w:pStyle w:val="Tabletext"/>
              <w:keepNext/>
              <w:keepLines/>
              <w:spacing w:before="0" w:after="0"/>
              <w:jc w:val="center"/>
              <w:rPr>
                <w:rFonts w:cstheme="minorHAnsi"/>
              </w:rPr>
            </w:pPr>
            <w:r w:rsidRPr="00747E35">
              <w:rPr>
                <w:rFonts w:cstheme="minorHAnsi"/>
              </w:rPr>
              <w:t>-0.31</w:t>
            </w:r>
          </w:p>
        </w:tc>
        <w:tc>
          <w:tcPr>
            <w:tcW w:w="0" w:type="auto"/>
            <w:tcBorders>
              <w:top w:val="nil"/>
              <w:left w:val="nil"/>
              <w:bottom w:val="nil"/>
              <w:right w:val="nil"/>
            </w:tcBorders>
            <w:shd w:val="clear" w:color="auto" w:fill="auto"/>
            <w:noWrap/>
            <w:vAlign w:val="bottom"/>
          </w:tcPr>
          <w:p w14:paraId="1F01D2C1" w14:textId="77777777" w:rsidR="003D3694" w:rsidRPr="00747E35" w:rsidRDefault="003D3694" w:rsidP="0096743A">
            <w:pPr>
              <w:pStyle w:val="Tabletext"/>
              <w:keepNext/>
              <w:keepLines/>
              <w:spacing w:before="0" w:after="0"/>
              <w:rPr>
                <w:rFonts w:cstheme="minorHAnsi"/>
              </w:rPr>
            </w:pP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23FEF282" w14:textId="77777777" w:rsidR="003D3694" w:rsidRPr="00747E35" w:rsidRDefault="003D3694" w:rsidP="0096743A">
            <w:pPr>
              <w:pStyle w:val="Tabletext"/>
              <w:keepNext/>
              <w:keepLines/>
              <w:spacing w:before="0" w:after="0"/>
              <w:rPr>
                <w:rFonts w:cstheme="minorHAnsi"/>
              </w:rPr>
            </w:pPr>
            <w:r w:rsidRPr="00747E35">
              <w:rPr>
                <w:rFonts w:cstheme="minorHAnsi"/>
              </w:rPr>
              <w:t>Ca</w:t>
            </w:r>
          </w:p>
        </w:tc>
        <w:tc>
          <w:tcPr>
            <w:tcW w:w="0" w:type="auto"/>
            <w:tcBorders>
              <w:top w:val="nil"/>
              <w:left w:val="nil"/>
              <w:bottom w:val="single" w:sz="4" w:space="0" w:color="auto"/>
              <w:right w:val="single" w:sz="4" w:space="0" w:color="auto"/>
            </w:tcBorders>
            <w:shd w:val="clear" w:color="auto" w:fill="auto"/>
            <w:noWrap/>
            <w:vAlign w:val="bottom"/>
          </w:tcPr>
          <w:p w14:paraId="06AA2824" w14:textId="77777777" w:rsidR="003D3694" w:rsidRPr="00747E35" w:rsidRDefault="003D3694" w:rsidP="0096743A">
            <w:pPr>
              <w:pStyle w:val="Tabletext"/>
              <w:keepNext/>
              <w:keepLines/>
              <w:spacing w:before="0" w:after="0"/>
              <w:rPr>
                <w:rFonts w:cstheme="minorHAnsi"/>
              </w:rPr>
            </w:pPr>
          </w:p>
        </w:tc>
        <w:tc>
          <w:tcPr>
            <w:tcW w:w="0" w:type="auto"/>
            <w:tcBorders>
              <w:top w:val="nil"/>
              <w:left w:val="nil"/>
              <w:bottom w:val="single" w:sz="4" w:space="0" w:color="auto"/>
              <w:right w:val="single" w:sz="4" w:space="0" w:color="auto"/>
            </w:tcBorders>
            <w:shd w:val="clear" w:color="auto" w:fill="auto"/>
            <w:noWrap/>
            <w:vAlign w:val="bottom"/>
          </w:tcPr>
          <w:p w14:paraId="48D2A86C" w14:textId="77777777" w:rsidR="003D3694" w:rsidRPr="00747E35" w:rsidRDefault="003D3694" w:rsidP="0096743A">
            <w:pPr>
              <w:pStyle w:val="Tabletext"/>
              <w:keepNext/>
              <w:keepLines/>
              <w:spacing w:before="0" w:after="0"/>
              <w:rPr>
                <w:rFonts w:cstheme="minorHAnsi"/>
              </w:rPr>
            </w:pPr>
            <w:r w:rsidRPr="00747E35">
              <w:rPr>
                <w:rFonts w:cstheme="minorHAnsi"/>
              </w:rPr>
              <w:t>-0.30</w:t>
            </w:r>
          </w:p>
        </w:tc>
      </w:tr>
      <w:tr w:rsidR="003D3694" w:rsidRPr="00747E35" w14:paraId="700EC7CC" w14:textId="77777777" w:rsidTr="0096743A">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E90E0E3" w14:textId="77777777" w:rsidR="003D3694" w:rsidRPr="00747E35" w:rsidRDefault="003D3694" w:rsidP="0096743A">
            <w:pPr>
              <w:pStyle w:val="Tabletext"/>
              <w:keepNext/>
              <w:keepLines/>
              <w:spacing w:before="0" w:after="0"/>
              <w:jc w:val="center"/>
              <w:rPr>
                <w:rFonts w:cstheme="minorHAnsi"/>
              </w:rPr>
            </w:pPr>
            <w:r w:rsidRPr="00747E35">
              <w:rPr>
                <w:rFonts w:cstheme="minorHAnsi"/>
              </w:rPr>
              <w:t>pH</w:t>
            </w:r>
          </w:p>
        </w:tc>
        <w:tc>
          <w:tcPr>
            <w:tcW w:w="0" w:type="auto"/>
            <w:tcBorders>
              <w:top w:val="nil"/>
              <w:left w:val="nil"/>
              <w:bottom w:val="single" w:sz="4" w:space="0" w:color="auto"/>
              <w:right w:val="single" w:sz="4" w:space="0" w:color="auto"/>
            </w:tcBorders>
            <w:shd w:val="clear" w:color="auto" w:fill="auto"/>
            <w:noWrap/>
            <w:vAlign w:val="bottom"/>
            <w:hideMark/>
          </w:tcPr>
          <w:p w14:paraId="271033AA" w14:textId="77777777" w:rsidR="003D3694" w:rsidRPr="00747E35" w:rsidRDefault="003D3694" w:rsidP="0096743A">
            <w:pPr>
              <w:pStyle w:val="Tabletext"/>
              <w:keepNext/>
              <w:keepLines/>
              <w:spacing w:before="0" w:after="0"/>
              <w:jc w:val="center"/>
              <w:rPr>
                <w:rFonts w:cstheme="minorHAnsi"/>
              </w:rPr>
            </w:pPr>
            <w:r w:rsidRPr="00747E35">
              <w:rPr>
                <w:rFonts w:cstheme="minorHAnsi"/>
              </w:rPr>
              <w:t>-0.33</w:t>
            </w:r>
          </w:p>
        </w:tc>
        <w:tc>
          <w:tcPr>
            <w:tcW w:w="0" w:type="auto"/>
            <w:tcBorders>
              <w:top w:val="nil"/>
              <w:left w:val="nil"/>
              <w:bottom w:val="single" w:sz="4" w:space="0" w:color="auto"/>
              <w:right w:val="single" w:sz="4" w:space="0" w:color="auto"/>
            </w:tcBorders>
            <w:shd w:val="clear" w:color="auto" w:fill="auto"/>
            <w:noWrap/>
            <w:vAlign w:val="bottom"/>
            <w:hideMark/>
          </w:tcPr>
          <w:p w14:paraId="339ADA60" w14:textId="77777777" w:rsidR="003D3694" w:rsidRPr="00747E35" w:rsidRDefault="003D3694" w:rsidP="0096743A">
            <w:pPr>
              <w:pStyle w:val="Tabletext"/>
              <w:keepNext/>
              <w:keepLines/>
              <w:spacing w:before="0" w:after="0"/>
              <w:jc w:val="center"/>
              <w:rPr>
                <w:rFonts w:cstheme="minorHAnsi"/>
              </w:rPr>
            </w:pPr>
            <w:r w:rsidRPr="00747E35">
              <w:rPr>
                <w:rFonts w:cstheme="minorHAnsi"/>
              </w:rPr>
              <w:t>-0.30</w:t>
            </w:r>
          </w:p>
        </w:tc>
        <w:tc>
          <w:tcPr>
            <w:tcW w:w="0" w:type="auto"/>
            <w:tcBorders>
              <w:top w:val="nil"/>
              <w:left w:val="nil"/>
              <w:bottom w:val="nil"/>
              <w:right w:val="nil"/>
            </w:tcBorders>
            <w:shd w:val="clear" w:color="auto" w:fill="auto"/>
            <w:noWrap/>
            <w:vAlign w:val="bottom"/>
            <w:hideMark/>
          </w:tcPr>
          <w:p w14:paraId="56B851A4" w14:textId="77777777" w:rsidR="003D3694" w:rsidRPr="00747E35" w:rsidRDefault="003D3694" w:rsidP="0096743A">
            <w:pPr>
              <w:pStyle w:val="Tabletext"/>
              <w:keepNext/>
              <w:keepLines/>
              <w:spacing w:before="0" w:after="0"/>
              <w:rPr>
                <w:rFonts w:cstheme="minorHAnsi"/>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20E654" w14:textId="77777777" w:rsidR="003D3694" w:rsidRPr="00747E35" w:rsidRDefault="003D3694" w:rsidP="0096743A">
            <w:pPr>
              <w:pStyle w:val="Tabletext"/>
              <w:keepNext/>
              <w:keepLines/>
              <w:spacing w:before="0" w:after="0"/>
              <w:rPr>
                <w:rFonts w:cstheme="minorHAnsi"/>
              </w:rPr>
            </w:pPr>
            <w:r w:rsidRPr="00747E35">
              <w:rPr>
                <w:rFonts w:cstheme="minorHAnsi"/>
              </w:rPr>
              <w:t>Br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13117FB" w14:textId="77777777" w:rsidR="003D3694" w:rsidRPr="00747E35" w:rsidRDefault="003D3694" w:rsidP="0096743A">
            <w:pPr>
              <w:pStyle w:val="Tabletext"/>
              <w:keepNext/>
              <w:keepLines/>
              <w:spacing w:before="0" w:after="0"/>
              <w:rPr>
                <w:rFonts w:cstheme="minorHAnsi"/>
              </w:rPr>
            </w:pPr>
            <w:r w:rsidRPr="00747E35">
              <w:rPr>
                <w:rFonts w:cstheme="minorHAnsi"/>
              </w:rPr>
              <w:t>-0.42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371CE93" w14:textId="77777777" w:rsidR="003D3694" w:rsidRPr="00747E35" w:rsidRDefault="003D3694" w:rsidP="0096743A">
            <w:pPr>
              <w:pStyle w:val="Tabletext"/>
              <w:keepNext/>
              <w:keepLines/>
              <w:spacing w:before="0" w:after="0"/>
              <w:rPr>
                <w:rFonts w:cstheme="minorHAnsi"/>
              </w:rPr>
            </w:pPr>
            <w:r w:rsidRPr="00747E35">
              <w:rPr>
                <w:rFonts w:cstheme="minorHAnsi"/>
              </w:rPr>
              <w:t>-0.42</w:t>
            </w:r>
          </w:p>
        </w:tc>
      </w:tr>
      <w:tr w:rsidR="003D3694" w:rsidRPr="00747E35" w14:paraId="7E9FBA2B" w14:textId="77777777" w:rsidTr="0096743A">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213DA9E" w14:textId="77777777" w:rsidR="003D3694" w:rsidRPr="00747E35" w:rsidRDefault="003D3694" w:rsidP="0096743A">
            <w:pPr>
              <w:pStyle w:val="Tabletext"/>
              <w:keepNext/>
              <w:keepLines/>
              <w:spacing w:before="0" w:after="0"/>
              <w:jc w:val="center"/>
              <w:rPr>
                <w:rFonts w:cstheme="minorHAnsi"/>
              </w:rPr>
            </w:pPr>
            <w:r w:rsidRPr="00747E35">
              <w:rPr>
                <w:rFonts w:cstheme="minorHAnsi"/>
              </w:rPr>
              <w:t>Alkalinity</w:t>
            </w:r>
          </w:p>
        </w:tc>
        <w:tc>
          <w:tcPr>
            <w:tcW w:w="0" w:type="auto"/>
            <w:tcBorders>
              <w:top w:val="nil"/>
              <w:left w:val="nil"/>
              <w:bottom w:val="single" w:sz="4" w:space="0" w:color="auto"/>
              <w:right w:val="single" w:sz="4" w:space="0" w:color="auto"/>
            </w:tcBorders>
            <w:shd w:val="clear" w:color="auto" w:fill="auto"/>
            <w:noWrap/>
            <w:vAlign w:val="bottom"/>
            <w:hideMark/>
          </w:tcPr>
          <w:p w14:paraId="4EB69C77" w14:textId="77777777" w:rsidR="003D3694" w:rsidRPr="00747E35" w:rsidRDefault="003D3694" w:rsidP="0096743A">
            <w:pPr>
              <w:pStyle w:val="Tabletext"/>
              <w:keepNext/>
              <w:keepLines/>
              <w:spacing w:before="0" w:after="0"/>
              <w:jc w:val="center"/>
              <w:rPr>
                <w:rFonts w:cstheme="minorHAnsi"/>
              </w:rPr>
            </w:pPr>
            <w:r w:rsidRPr="00747E35">
              <w:rPr>
                <w:rFonts w:cstheme="minorHAnsi"/>
              </w:rPr>
              <w:t>-0.32</w:t>
            </w:r>
          </w:p>
        </w:tc>
        <w:tc>
          <w:tcPr>
            <w:tcW w:w="0" w:type="auto"/>
            <w:tcBorders>
              <w:top w:val="nil"/>
              <w:left w:val="nil"/>
              <w:bottom w:val="single" w:sz="4" w:space="0" w:color="auto"/>
              <w:right w:val="single" w:sz="4" w:space="0" w:color="auto"/>
            </w:tcBorders>
            <w:shd w:val="clear" w:color="auto" w:fill="auto"/>
            <w:noWrap/>
            <w:vAlign w:val="bottom"/>
            <w:hideMark/>
          </w:tcPr>
          <w:p w14:paraId="4E9D5C7F" w14:textId="77777777" w:rsidR="003D3694" w:rsidRPr="00747E35" w:rsidRDefault="003D3694" w:rsidP="0096743A">
            <w:pPr>
              <w:pStyle w:val="Tabletext"/>
              <w:keepNext/>
              <w:keepLines/>
              <w:spacing w:before="0" w:after="0"/>
              <w:jc w:val="center"/>
              <w:rPr>
                <w:rFonts w:cstheme="minorHAnsi"/>
              </w:rPr>
            </w:pPr>
            <w:r w:rsidRPr="00747E35">
              <w:rPr>
                <w:rFonts w:cstheme="minorHAnsi"/>
              </w:rPr>
              <w:t>-0.32</w:t>
            </w:r>
          </w:p>
        </w:tc>
        <w:tc>
          <w:tcPr>
            <w:tcW w:w="0" w:type="auto"/>
            <w:tcBorders>
              <w:top w:val="nil"/>
              <w:left w:val="nil"/>
              <w:bottom w:val="nil"/>
            </w:tcBorders>
            <w:shd w:val="clear" w:color="auto" w:fill="auto"/>
            <w:noWrap/>
            <w:vAlign w:val="bottom"/>
            <w:hideMark/>
          </w:tcPr>
          <w:p w14:paraId="05F247C3" w14:textId="77777777" w:rsidR="003D3694" w:rsidRPr="00747E35" w:rsidRDefault="003D3694" w:rsidP="0096743A">
            <w:pPr>
              <w:pStyle w:val="Tabletext"/>
              <w:keepNext/>
              <w:keepLines/>
              <w:spacing w:before="0" w:after="0"/>
              <w:rPr>
                <w:rFonts w:cstheme="minorHAnsi"/>
              </w:rPr>
            </w:pPr>
          </w:p>
        </w:tc>
        <w:tc>
          <w:tcPr>
            <w:tcW w:w="0" w:type="auto"/>
            <w:tcBorders>
              <w:top w:val="single" w:sz="4" w:space="0" w:color="auto"/>
            </w:tcBorders>
            <w:shd w:val="clear" w:color="auto" w:fill="auto"/>
            <w:noWrap/>
            <w:vAlign w:val="bottom"/>
          </w:tcPr>
          <w:p w14:paraId="3AB7AC3A" w14:textId="77777777" w:rsidR="003D3694" w:rsidRPr="00747E35" w:rsidRDefault="003D3694" w:rsidP="0096743A">
            <w:pPr>
              <w:pStyle w:val="Tabletext"/>
              <w:keepNext/>
              <w:keepLines/>
              <w:spacing w:before="0" w:after="0"/>
              <w:rPr>
                <w:rFonts w:cstheme="minorHAnsi"/>
              </w:rPr>
            </w:pPr>
          </w:p>
        </w:tc>
        <w:tc>
          <w:tcPr>
            <w:tcW w:w="0" w:type="auto"/>
            <w:tcBorders>
              <w:top w:val="single" w:sz="4" w:space="0" w:color="auto"/>
            </w:tcBorders>
            <w:shd w:val="clear" w:color="auto" w:fill="auto"/>
            <w:noWrap/>
            <w:vAlign w:val="bottom"/>
          </w:tcPr>
          <w:p w14:paraId="3357033D" w14:textId="77777777" w:rsidR="003D3694" w:rsidRPr="00747E35" w:rsidRDefault="003D3694" w:rsidP="0096743A">
            <w:pPr>
              <w:pStyle w:val="Tabletext"/>
              <w:keepNext/>
              <w:keepLines/>
              <w:spacing w:before="0" w:after="0"/>
              <w:rPr>
                <w:rFonts w:cstheme="minorHAnsi"/>
              </w:rPr>
            </w:pPr>
          </w:p>
        </w:tc>
        <w:tc>
          <w:tcPr>
            <w:tcW w:w="0" w:type="auto"/>
            <w:tcBorders>
              <w:top w:val="single" w:sz="4" w:space="0" w:color="auto"/>
            </w:tcBorders>
            <w:shd w:val="clear" w:color="auto" w:fill="auto"/>
            <w:noWrap/>
            <w:vAlign w:val="bottom"/>
          </w:tcPr>
          <w:p w14:paraId="2C2410A8" w14:textId="77777777" w:rsidR="003D3694" w:rsidRPr="00747E35" w:rsidRDefault="003D3694" w:rsidP="0096743A">
            <w:pPr>
              <w:pStyle w:val="Tabletext"/>
              <w:keepNext/>
              <w:keepLines/>
              <w:spacing w:before="0" w:after="0"/>
              <w:rPr>
                <w:rFonts w:cstheme="minorHAnsi"/>
              </w:rPr>
            </w:pPr>
          </w:p>
        </w:tc>
      </w:tr>
      <w:tr w:rsidR="003D3694" w:rsidRPr="00747E35" w14:paraId="37BEB0FF" w14:textId="77777777" w:rsidTr="0096743A">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0B60C37" w14:textId="77777777" w:rsidR="003D3694" w:rsidRPr="00747E35" w:rsidRDefault="003D3694" w:rsidP="0096743A">
            <w:pPr>
              <w:pStyle w:val="Tabletext"/>
              <w:keepNext/>
              <w:keepLines/>
              <w:spacing w:before="0" w:after="0"/>
              <w:jc w:val="center"/>
              <w:rPr>
                <w:rFonts w:cstheme="minorHAnsi"/>
              </w:rPr>
            </w:pPr>
            <w:r w:rsidRPr="00747E35">
              <w:rPr>
                <w:rFonts w:cstheme="minorHAnsi"/>
              </w:rPr>
              <w:t>Unprocessed humics (PARAFAC)</w:t>
            </w:r>
          </w:p>
        </w:tc>
        <w:tc>
          <w:tcPr>
            <w:tcW w:w="0" w:type="auto"/>
            <w:tcBorders>
              <w:top w:val="nil"/>
              <w:left w:val="nil"/>
              <w:bottom w:val="single" w:sz="4" w:space="0" w:color="auto"/>
              <w:right w:val="single" w:sz="4" w:space="0" w:color="auto"/>
            </w:tcBorders>
            <w:shd w:val="clear" w:color="auto" w:fill="auto"/>
            <w:noWrap/>
            <w:vAlign w:val="bottom"/>
            <w:hideMark/>
          </w:tcPr>
          <w:p w14:paraId="72FF78E9" w14:textId="77777777" w:rsidR="003D3694" w:rsidRPr="00747E35" w:rsidRDefault="003D3694" w:rsidP="0096743A">
            <w:pPr>
              <w:pStyle w:val="Tabletext"/>
              <w:keepNext/>
              <w:keepLines/>
              <w:spacing w:before="0" w:after="0"/>
              <w:jc w:val="center"/>
              <w:rPr>
                <w:rFonts w:cstheme="minorHAnsi"/>
              </w:rPr>
            </w:pPr>
            <w:r w:rsidRPr="00747E35">
              <w:rPr>
                <w:rFonts w:cstheme="minorHAnsi"/>
              </w:rPr>
              <w:t>-0.38</w:t>
            </w:r>
          </w:p>
        </w:tc>
        <w:tc>
          <w:tcPr>
            <w:tcW w:w="0" w:type="auto"/>
            <w:tcBorders>
              <w:top w:val="nil"/>
              <w:left w:val="nil"/>
              <w:bottom w:val="single" w:sz="4" w:space="0" w:color="auto"/>
              <w:right w:val="single" w:sz="4" w:space="0" w:color="auto"/>
            </w:tcBorders>
            <w:shd w:val="clear" w:color="auto" w:fill="auto"/>
            <w:noWrap/>
            <w:vAlign w:val="bottom"/>
            <w:hideMark/>
          </w:tcPr>
          <w:p w14:paraId="4DCE882B" w14:textId="77777777" w:rsidR="003D3694" w:rsidRPr="00747E35" w:rsidRDefault="003D3694" w:rsidP="0096743A">
            <w:pPr>
              <w:pStyle w:val="Tabletext"/>
              <w:keepNext/>
              <w:keepLines/>
              <w:spacing w:before="0" w:after="0"/>
              <w:jc w:val="center"/>
              <w:rPr>
                <w:rFonts w:cstheme="minorHAnsi"/>
              </w:rPr>
            </w:pPr>
            <w:r w:rsidRPr="00747E35">
              <w:rPr>
                <w:rFonts w:cstheme="minorHAnsi"/>
              </w:rPr>
              <w:t>-0.43</w:t>
            </w:r>
          </w:p>
        </w:tc>
        <w:tc>
          <w:tcPr>
            <w:tcW w:w="0" w:type="auto"/>
            <w:tcBorders>
              <w:top w:val="nil"/>
              <w:left w:val="nil"/>
              <w:bottom w:val="nil"/>
            </w:tcBorders>
            <w:shd w:val="clear" w:color="auto" w:fill="auto"/>
            <w:noWrap/>
            <w:vAlign w:val="bottom"/>
            <w:hideMark/>
          </w:tcPr>
          <w:p w14:paraId="074AA77A" w14:textId="77777777" w:rsidR="003D3694" w:rsidRPr="00747E35" w:rsidRDefault="003D3694" w:rsidP="0096743A">
            <w:pPr>
              <w:pStyle w:val="Tabletext"/>
              <w:keepNext/>
              <w:keepLines/>
              <w:spacing w:before="0" w:after="0"/>
              <w:rPr>
                <w:rFonts w:cstheme="minorHAnsi"/>
              </w:rPr>
            </w:pPr>
          </w:p>
        </w:tc>
        <w:tc>
          <w:tcPr>
            <w:tcW w:w="0" w:type="auto"/>
            <w:shd w:val="clear" w:color="auto" w:fill="auto"/>
            <w:noWrap/>
            <w:vAlign w:val="bottom"/>
          </w:tcPr>
          <w:p w14:paraId="56079C3B" w14:textId="77777777" w:rsidR="003D3694" w:rsidRPr="00747E35" w:rsidRDefault="003D3694" w:rsidP="0096743A">
            <w:pPr>
              <w:pStyle w:val="Tabletext"/>
              <w:keepNext/>
              <w:keepLines/>
              <w:spacing w:before="0" w:after="0"/>
              <w:rPr>
                <w:rFonts w:cstheme="minorHAnsi"/>
              </w:rPr>
            </w:pPr>
          </w:p>
        </w:tc>
        <w:tc>
          <w:tcPr>
            <w:tcW w:w="0" w:type="auto"/>
            <w:shd w:val="clear" w:color="auto" w:fill="auto"/>
            <w:noWrap/>
            <w:vAlign w:val="bottom"/>
          </w:tcPr>
          <w:p w14:paraId="7D016403" w14:textId="77777777" w:rsidR="003D3694" w:rsidRPr="00747E35" w:rsidRDefault="003D3694" w:rsidP="0096743A">
            <w:pPr>
              <w:pStyle w:val="Tabletext"/>
              <w:keepNext/>
              <w:keepLines/>
              <w:spacing w:before="0" w:after="0"/>
              <w:rPr>
                <w:rFonts w:cstheme="minorHAnsi"/>
              </w:rPr>
            </w:pPr>
          </w:p>
        </w:tc>
        <w:tc>
          <w:tcPr>
            <w:tcW w:w="0" w:type="auto"/>
            <w:shd w:val="clear" w:color="auto" w:fill="auto"/>
            <w:noWrap/>
            <w:vAlign w:val="bottom"/>
          </w:tcPr>
          <w:p w14:paraId="3966CC77" w14:textId="77777777" w:rsidR="003D3694" w:rsidRPr="00747E35" w:rsidRDefault="003D3694" w:rsidP="0096743A">
            <w:pPr>
              <w:pStyle w:val="Tabletext"/>
              <w:keepNext/>
              <w:keepLines/>
              <w:spacing w:before="0" w:after="0"/>
              <w:rPr>
                <w:rFonts w:cstheme="minorHAnsi"/>
              </w:rPr>
            </w:pPr>
          </w:p>
        </w:tc>
      </w:tr>
      <w:tr w:rsidR="003D3694" w:rsidRPr="00747E35" w14:paraId="7DE61CE1" w14:textId="77777777" w:rsidTr="0096743A">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998F038" w14:textId="77777777" w:rsidR="003D3694" w:rsidRPr="00747E35" w:rsidRDefault="003D3694" w:rsidP="0096743A">
            <w:pPr>
              <w:pStyle w:val="Tabletext"/>
              <w:keepNext/>
              <w:keepLines/>
              <w:spacing w:before="0" w:after="0"/>
              <w:jc w:val="center"/>
              <w:rPr>
                <w:rFonts w:cstheme="minorHAnsi"/>
              </w:rPr>
            </w:pPr>
            <w:r w:rsidRPr="00747E35">
              <w:rPr>
                <w:rFonts w:cstheme="minorHAnsi"/>
              </w:rPr>
              <w:t>Processed humics (PARAFAC)</w:t>
            </w:r>
          </w:p>
        </w:tc>
        <w:tc>
          <w:tcPr>
            <w:tcW w:w="0" w:type="auto"/>
            <w:tcBorders>
              <w:top w:val="nil"/>
              <w:left w:val="nil"/>
              <w:bottom w:val="single" w:sz="4" w:space="0" w:color="auto"/>
              <w:right w:val="single" w:sz="4" w:space="0" w:color="auto"/>
            </w:tcBorders>
            <w:shd w:val="clear" w:color="auto" w:fill="auto"/>
            <w:noWrap/>
            <w:vAlign w:val="bottom"/>
            <w:hideMark/>
          </w:tcPr>
          <w:p w14:paraId="6B44560E" w14:textId="77777777" w:rsidR="003D3694" w:rsidRPr="00747E35" w:rsidRDefault="003D3694" w:rsidP="0096743A">
            <w:pPr>
              <w:pStyle w:val="Tabletext"/>
              <w:keepNext/>
              <w:keepLines/>
              <w:spacing w:before="0" w:after="0"/>
              <w:jc w:val="center"/>
              <w:rPr>
                <w:rFonts w:cstheme="minorHAnsi"/>
              </w:rPr>
            </w:pPr>
            <w:r w:rsidRPr="00747E35">
              <w:rPr>
                <w:rFonts w:cstheme="minorHAnsi"/>
              </w:rPr>
              <w:t>-0.57</w:t>
            </w:r>
          </w:p>
        </w:tc>
        <w:tc>
          <w:tcPr>
            <w:tcW w:w="0" w:type="auto"/>
            <w:tcBorders>
              <w:top w:val="nil"/>
              <w:left w:val="nil"/>
              <w:bottom w:val="single" w:sz="4" w:space="0" w:color="auto"/>
              <w:right w:val="single" w:sz="4" w:space="0" w:color="auto"/>
            </w:tcBorders>
            <w:shd w:val="clear" w:color="auto" w:fill="auto"/>
            <w:noWrap/>
            <w:vAlign w:val="bottom"/>
            <w:hideMark/>
          </w:tcPr>
          <w:p w14:paraId="37A63C64" w14:textId="77777777" w:rsidR="003D3694" w:rsidRPr="00747E35" w:rsidRDefault="003D3694" w:rsidP="0096743A">
            <w:pPr>
              <w:pStyle w:val="Tabletext"/>
              <w:keepNext/>
              <w:keepLines/>
              <w:spacing w:before="0" w:after="0"/>
              <w:jc w:val="center"/>
              <w:rPr>
                <w:rFonts w:cstheme="minorHAnsi"/>
              </w:rPr>
            </w:pPr>
            <w:r w:rsidRPr="00747E35">
              <w:rPr>
                <w:rFonts w:cstheme="minorHAnsi"/>
              </w:rPr>
              <w:t>-0.54</w:t>
            </w:r>
          </w:p>
        </w:tc>
        <w:tc>
          <w:tcPr>
            <w:tcW w:w="0" w:type="auto"/>
            <w:tcBorders>
              <w:top w:val="nil"/>
              <w:left w:val="nil"/>
              <w:bottom w:val="nil"/>
            </w:tcBorders>
            <w:shd w:val="clear" w:color="auto" w:fill="auto"/>
            <w:noWrap/>
            <w:vAlign w:val="bottom"/>
            <w:hideMark/>
          </w:tcPr>
          <w:p w14:paraId="7F6791FB" w14:textId="77777777" w:rsidR="003D3694" w:rsidRPr="00747E35" w:rsidRDefault="003D3694" w:rsidP="0096743A">
            <w:pPr>
              <w:pStyle w:val="Tabletext"/>
              <w:keepNext/>
              <w:keepLines/>
              <w:spacing w:before="0" w:after="0"/>
              <w:rPr>
                <w:rFonts w:cstheme="minorHAnsi"/>
              </w:rPr>
            </w:pPr>
          </w:p>
        </w:tc>
        <w:tc>
          <w:tcPr>
            <w:tcW w:w="0" w:type="auto"/>
            <w:shd w:val="clear" w:color="auto" w:fill="auto"/>
            <w:noWrap/>
            <w:vAlign w:val="bottom"/>
          </w:tcPr>
          <w:p w14:paraId="4358393A" w14:textId="77777777" w:rsidR="003D3694" w:rsidRPr="00747E35" w:rsidRDefault="003D3694" w:rsidP="0096743A">
            <w:pPr>
              <w:pStyle w:val="Tabletext"/>
              <w:keepNext/>
              <w:keepLines/>
              <w:spacing w:before="0" w:after="0"/>
              <w:rPr>
                <w:rFonts w:cstheme="minorHAnsi"/>
              </w:rPr>
            </w:pPr>
          </w:p>
        </w:tc>
        <w:tc>
          <w:tcPr>
            <w:tcW w:w="0" w:type="auto"/>
            <w:shd w:val="clear" w:color="auto" w:fill="auto"/>
            <w:noWrap/>
            <w:vAlign w:val="bottom"/>
          </w:tcPr>
          <w:p w14:paraId="2A984767" w14:textId="77777777" w:rsidR="003D3694" w:rsidRPr="00747E35" w:rsidRDefault="003D3694" w:rsidP="0096743A">
            <w:pPr>
              <w:pStyle w:val="Tabletext"/>
              <w:keepNext/>
              <w:keepLines/>
              <w:spacing w:before="0" w:after="0"/>
              <w:rPr>
                <w:rFonts w:cstheme="minorHAnsi"/>
              </w:rPr>
            </w:pPr>
          </w:p>
        </w:tc>
        <w:tc>
          <w:tcPr>
            <w:tcW w:w="0" w:type="auto"/>
            <w:shd w:val="clear" w:color="auto" w:fill="auto"/>
            <w:noWrap/>
            <w:vAlign w:val="bottom"/>
          </w:tcPr>
          <w:p w14:paraId="2EF81263" w14:textId="77777777" w:rsidR="003D3694" w:rsidRPr="00747E35" w:rsidRDefault="003D3694" w:rsidP="0096743A">
            <w:pPr>
              <w:pStyle w:val="Tabletext"/>
              <w:keepNext/>
              <w:keepLines/>
              <w:spacing w:before="0" w:after="0"/>
              <w:rPr>
                <w:rFonts w:cstheme="minorHAnsi"/>
              </w:rPr>
            </w:pPr>
          </w:p>
        </w:tc>
      </w:tr>
      <w:tr w:rsidR="003D3694" w:rsidRPr="00747E35" w14:paraId="686BBE38" w14:textId="77777777" w:rsidTr="0096743A">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FEED76D" w14:textId="77777777" w:rsidR="003D3694" w:rsidRPr="00747E35" w:rsidRDefault="003D3694" w:rsidP="0096743A">
            <w:pPr>
              <w:pStyle w:val="Tabletext"/>
              <w:keepNext/>
              <w:keepLines/>
              <w:spacing w:before="0" w:after="0"/>
              <w:jc w:val="center"/>
              <w:rPr>
                <w:rFonts w:cstheme="minorHAnsi"/>
              </w:rPr>
            </w:pPr>
            <w:r w:rsidRPr="00747E35">
              <w:rPr>
                <w:rFonts w:cstheme="minorHAnsi"/>
              </w:rPr>
              <w:t>Na</w:t>
            </w:r>
          </w:p>
        </w:tc>
        <w:tc>
          <w:tcPr>
            <w:tcW w:w="0" w:type="auto"/>
            <w:tcBorders>
              <w:top w:val="nil"/>
              <w:left w:val="nil"/>
              <w:bottom w:val="single" w:sz="4" w:space="0" w:color="auto"/>
              <w:right w:val="single" w:sz="4" w:space="0" w:color="auto"/>
            </w:tcBorders>
            <w:shd w:val="clear" w:color="auto" w:fill="auto"/>
            <w:noWrap/>
            <w:vAlign w:val="bottom"/>
            <w:hideMark/>
          </w:tcPr>
          <w:p w14:paraId="08CB5BD3" w14:textId="77777777" w:rsidR="003D3694" w:rsidRPr="00747E35" w:rsidRDefault="003D3694" w:rsidP="0096743A">
            <w:pPr>
              <w:pStyle w:val="Tabletext"/>
              <w:keepNext/>
              <w:keepLines/>
              <w:spacing w:before="0" w:after="0"/>
              <w:jc w:val="center"/>
              <w:rPr>
                <w:rFonts w:cstheme="minorHAnsi"/>
              </w:rPr>
            </w:pPr>
            <w:r w:rsidRPr="00747E35">
              <w:rPr>
                <w:rFonts w:cstheme="minorHAnsi"/>
              </w:rPr>
              <w:t>-0.33</w:t>
            </w:r>
          </w:p>
        </w:tc>
        <w:tc>
          <w:tcPr>
            <w:tcW w:w="0" w:type="auto"/>
            <w:tcBorders>
              <w:top w:val="nil"/>
              <w:left w:val="nil"/>
              <w:bottom w:val="single" w:sz="4" w:space="0" w:color="auto"/>
              <w:right w:val="single" w:sz="4" w:space="0" w:color="auto"/>
            </w:tcBorders>
            <w:shd w:val="clear" w:color="auto" w:fill="auto"/>
            <w:noWrap/>
            <w:vAlign w:val="bottom"/>
            <w:hideMark/>
          </w:tcPr>
          <w:p w14:paraId="7C8E5E6D" w14:textId="77777777" w:rsidR="003D3694" w:rsidRPr="00747E35" w:rsidRDefault="003D3694" w:rsidP="0096743A">
            <w:pPr>
              <w:pStyle w:val="Tabletext"/>
              <w:keepNext/>
              <w:keepLines/>
              <w:spacing w:before="0" w:after="0"/>
              <w:jc w:val="center"/>
              <w:rPr>
                <w:rFonts w:cstheme="minorHAnsi"/>
              </w:rPr>
            </w:pPr>
            <w:r w:rsidRPr="00747E35">
              <w:rPr>
                <w:rFonts w:cstheme="minorHAnsi"/>
              </w:rPr>
              <w:t>-0.33</w:t>
            </w:r>
          </w:p>
        </w:tc>
        <w:tc>
          <w:tcPr>
            <w:tcW w:w="0" w:type="auto"/>
            <w:tcBorders>
              <w:top w:val="nil"/>
              <w:left w:val="nil"/>
              <w:bottom w:val="nil"/>
            </w:tcBorders>
            <w:shd w:val="clear" w:color="auto" w:fill="auto"/>
            <w:noWrap/>
            <w:vAlign w:val="bottom"/>
            <w:hideMark/>
          </w:tcPr>
          <w:p w14:paraId="7CC98550" w14:textId="77777777" w:rsidR="003D3694" w:rsidRPr="00747E35" w:rsidRDefault="003D3694" w:rsidP="0096743A">
            <w:pPr>
              <w:pStyle w:val="Tabletext"/>
              <w:keepNext/>
              <w:keepLines/>
              <w:spacing w:before="0" w:after="0"/>
              <w:rPr>
                <w:rFonts w:cstheme="minorHAnsi"/>
              </w:rPr>
            </w:pPr>
          </w:p>
        </w:tc>
        <w:tc>
          <w:tcPr>
            <w:tcW w:w="0" w:type="auto"/>
            <w:shd w:val="clear" w:color="auto" w:fill="auto"/>
            <w:noWrap/>
            <w:vAlign w:val="bottom"/>
          </w:tcPr>
          <w:p w14:paraId="5A0C48DE" w14:textId="77777777" w:rsidR="003D3694" w:rsidRPr="00747E35" w:rsidRDefault="003D3694" w:rsidP="0096743A">
            <w:pPr>
              <w:pStyle w:val="Tabletext"/>
              <w:keepNext/>
              <w:keepLines/>
              <w:spacing w:before="0" w:after="0"/>
              <w:rPr>
                <w:rFonts w:cstheme="minorHAnsi"/>
              </w:rPr>
            </w:pPr>
          </w:p>
        </w:tc>
        <w:tc>
          <w:tcPr>
            <w:tcW w:w="0" w:type="auto"/>
            <w:shd w:val="clear" w:color="auto" w:fill="auto"/>
            <w:noWrap/>
            <w:vAlign w:val="bottom"/>
          </w:tcPr>
          <w:p w14:paraId="245461C3" w14:textId="77777777" w:rsidR="003D3694" w:rsidRPr="00747E35" w:rsidRDefault="003D3694" w:rsidP="0096743A">
            <w:pPr>
              <w:pStyle w:val="Tabletext"/>
              <w:keepNext/>
              <w:keepLines/>
              <w:spacing w:before="0" w:after="0"/>
              <w:rPr>
                <w:rFonts w:cstheme="minorHAnsi"/>
              </w:rPr>
            </w:pPr>
          </w:p>
        </w:tc>
        <w:tc>
          <w:tcPr>
            <w:tcW w:w="0" w:type="auto"/>
            <w:shd w:val="clear" w:color="auto" w:fill="auto"/>
            <w:noWrap/>
            <w:vAlign w:val="bottom"/>
          </w:tcPr>
          <w:p w14:paraId="54374C02" w14:textId="77777777" w:rsidR="003D3694" w:rsidRPr="00747E35" w:rsidRDefault="003D3694" w:rsidP="0096743A">
            <w:pPr>
              <w:pStyle w:val="Tabletext"/>
              <w:keepNext/>
              <w:keepLines/>
              <w:spacing w:before="0" w:after="0"/>
              <w:rPr>
                <w:rFonts w:cstheme="minorHAnsi"/>
              </w:rPr>
            </w:pPr>
          </w:p>
        </w:tc>
      </w:tr>
      <w:tr w:rsidR="003D3694" w:rsidRPr="00747E35" w14:paraId="25EA2370" w14:textId="77777777" w:rsidTr="0096743A">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86D4DDA" w14:textId="77777777" w:rsidR="003D3694" w:rsidRPr="00747E35" w:rsidRDefault="003D3694" w:rsidP="0096743A">
            <w:pPr>
              <w:pStyle w:val="Tabletext"/>
              <w:keepNext/>
              <w:keepLines/>
              <w:spacing w:before="0" w:after="0"/>
              <w:jc w:val="center"/>
              <w:rPr>
                <w:rFonts w:cstheme="minorHAnsi"/>
              </w:rPr>
            </w:pPr>
            <w:r w:rsidRPr="00747E35">
              <w:rPr>
                <w:rFonts w:cstheme="minorHAnsi"/>
              </w:rPr>
              <w:t>Fe</w:t>
            </w:r>
          </w:p>
        </w:tc>
        <w:tc>
          <w:tcPr>
            <w:tcW w:w="0" w:type="auto"/>
            <w:tcBorders>
              <w:top w:val="nil"/>
              <w:left w:val="nil"/>
              <w:bottom w:val="single" w:sz="4" w:space="0" w:color="auto"/>
              <w:right w:val="single" w:sz="4" w:space="0" w:color="auto"/>
            </w:tcBorders>
            <w:shd w:val="clear" w:color="auto" w:fill="auto"/>
            <w:noWrap/>
            <w:vAlign w:val="bottom"/>
            <w:hideMark/>
          </w:tcPr>
          <w:p w14:paraId="64506010" w14:textId="77777777" w:rsidR="003D3694" w:rsidRPr="00747E35" w:rsidRDefault="003D3694" w:rsidP="0096743A">
            <w:pPr>
              <w:pStyle w:val="Tabletext"/>
              <w:keepNext/>
              <w:keepLines/>
              <w:spacing w:before="0" w:after="0"/>
              <w:jc w:val="center"/>
              <w:rPr>
                <w:rFonts w:cstheme="minorHAnsi"/>
              </w:rPr>
            </w:pPr>
            <w:r w:rsidRPr="00747E35">
              <w:rPr>
                <w:rFonts w:cstheme="minorHAnsi"/>
              </w:rPr>
              <w:t>-0.33</w:t>
            </w:r>
          </w:p>
        </w:tc>
        <w:tc>
          <w:tcPr>
            <w:tcW w:w="0" w:type="auto"/>
            <w:tcBorders>
              <w:top w:val="nil"/>
              <w:left w:val="nil"/>
              <w:bottom w:val="single" w:sz="4" w:space="0" w:color="auto"/>
              <w:right w:val="single" w:sz="4" w:space="0" w:color="auto"/>
            </w:tcBorders>
            <w:shd w:val="clear" w:color="auto" w:fill="auto"/>
            <w:noWrap/>
            <w:vAlign w:val="bottom"/>
            <w:hideMark/>
          </w:tcPr>
          <w:p w14:paraId="7A8224AB" w14:textId="77777777" w:rsidR="003D3694" w:rsidRPr="00747E35" w:rsidRDefault="003D3694" w:rsidP="0096743A">
            <w:pPr>
              <w:pStyle w:val="Tabletext"/>
              <w:keepNext/>
              <w:keepLines/>
              <w:spacing w:before="0" w:after="0"/>
              <w:jc w:val="center"/>
              <w:rPr>
                <w:rFonts w:cstheme="minorHAnsi"/>
              </w:rPr>
            </w:pPr>
            <w:r w:rsidRPr="00747E35">
              <w:rPr>
                <w:rFonts w:cstheme="minorHAnsi"/>
              </w:rPr>
              <w:t>-0.32</w:t>
            </w:r>
          </w:p>
        </w:tc>
        <w:tc>
          <w:tcPr>
            <w:tcW w:w="0" w:type="auto"/>
            <w:tcBorders>
              <w:top w:val="nil"/>
              <w:left w:val="nil"/>
              <w:bottom w:val="nil"/>
            </w:tcBorders>
            <w:shd w:val="clear" w:color="auto" w:fill="auto"/>
            <w:noWrap/>
            <w:vAlign w:val="bottom"/>
            <w:hideMark/>
          </w:tcPr>
          <w:p w14:paraId="6DC5B2AC" w14:textId="77777777" w:rsidR="003D3694" w:rsidRPr="00747E35" w:rsidRDefault="003D3694" w:rsidP="0096743A">
            <w:pPr>
              <w:pStyle w:val="Tabletext"/>
              <w:keepNext/>
              <w:keepLines/>
              <w:spacing w:before="0" w:after="0"/>
              <w:rPr>
                <w:rFonts w:cstheme="minorHAnsi"/>
              </w:rPr>
            </w:pPr>
          </w:p>
        </w:tc>
        <w:tc>
          <w:tcPr>
            <w:tcW w:w="0" w:type="auto"/>
            <w:shd w:val="clear" w:color="auto" w:fill="auto"/>
            <w:noWrap/>
            <w:vAlign w:val="bottom"/>
          </w:tcPr>
          <w:p w14:paraId="546468BE" w14:textId="77777777" w:rsidR="003D3694" w:rsidRPr="00747E35" w:rsidRDefault="003D3694" w:rsidP="0096743A">
            <w:pPr>
              <w:pStyle w:val="Tabletext"/>
              <w:keepNext/>
              <w:keepLines/>
              <w:spacing w:before="0" w:after="0"/>
              <w:rPr>
                <w:rFonts w:cstheme="minorHAnsi"/>
              </w:rPr>
            </w:pPr>
          </w:p>
        </w:tc>
        <w:tc>
          <w:tcPr>
            <w:tcW w:w="0" w:type="auto"/>
            <w:shd w:val="clear" w:color="auto" w:fill="auto"/>
            <w:noWrap/>
            <w:vAlign w:val="bottom"/>
          </w:tcPr>
          <w:p w14:paraId="2B132F65" w14:textId="77777777" w:rsidR="003D3694" w:rsidRPr="00747E35" w:rsidRDefault="003D3694" w:rsidP="0096743A">
            <w:pPr>
              <w:pStyle w:val="Tabletext"/>
              <w:keepNext/>
              <w:keepLines/>
              <w:spacing w:before="0" w:after="0"/>
              <w:rPr>
                <w:rFonts w:cstheme="minorHAnsi"/>
              </w:rPr>
            </w:pPr>
          </w:p>
        </w:tc>
        <w:tc>
          <w:tcPr>
            <w:tcW w:w="0" w:type="auto"/>
            <w:shd w:val="clear" w:color="auto" w:fill="auto"/>
            <w:noWrap/>
            <w:vAlign w:val="bottom"/>
          </w:tcPr>
          <w:p w14:paraId="1A0DFE86" w14:textId="77777777" w:rsidR="003D3694" w:rsidRPr="00747E35" w:rsidRDefault="003D3694" w:rsidP="0096743A">
            <w:pPr>
              <w:pStyle w:val="Tabletext"/>
              <w:keepNext/>
              <w:keepLines/>
              <w:spacing w:before="0" w:after="0"/>
              <w:rPr>
                <w:rFonts w:cstheme="minorHAnsi"/>
              </w:rPr>
            </w:pPr>
          </w:p>
        </w:tc>
      </w:tr>
      <w:tr w:rsidR="003D3694" w:rsidRPr="00747E35" w14:paraId="0D293A0A" w14:textId="77777777" w:rsidTr="0096743A">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tcPr>
          <w:p w14:paraId="225E417A" w14:textId="77777777" w:rsidR="003D3694" w:rsidRPr="00747E35" w:rsidRDefault="003D3694" w:rsidP="0096743A">
            <w:pPr>
              <w:pStyle w:val="Tabletext"/>
              <w:keepNext/>
              <w:keepLines/>
              <w:spacing w:before="0" w:after="0"/>
              <w:jc w:val="center"/>
              <w:rPr>
                <w:rFonts w:cstheme="minorHAnsi"/>
              </w:rPr>
            </w:pPr>
            <w:r w:rsidRPr="00747E35">
              <w:rPr>
                <w:rFonts w:cstheme="minorHAnsi"/>
              </w:rPr>
              <w:t>P</w:t>
            </w:r>
          </w:p>
        </w:tc>
        <w:tc>
          <w:tcPr>
            <w:tcW w:w="0" w:type="auto"/>
            <w:tcBorders>
              <w:top w:val="nil"/>
              <w:left w:val="nil"/>
              <w:bottom w:val="single" w:sz="4" w:space="0" w:color="auto"/>
              <w:right w:val="single" w:sz="4" w:space="0" w:color="auto"/>
            </w:tcBorders>
            <w:shd w:val="clear" w:color="auto" w:fill="auto"/>
            <w:noWrap/>
            <w:vAlign w:val="bottom"/>
          </w:tcPr>
          <w:p w14:paraId="1502AB3B" w14:textId="77777777" w:rsidR="003D3694" w:rsidRPr="00747E35" w:rsidRDefault="003D3694" w:rsidP="0096743A">
            <w:pPr>
              <w:pStyle w:val="Tabletext"/>
              <w:keepNext/>
              <w:keepLines/>
              <w:spacing w:before="0" w:after="0"/>
              <w:jc w:val="center"/>
              <w:rPr>
                <w:rFonts w:cstheme="minorHAnsi"/>
              </w:rPr>
            </w:pPr>
          </w:p>
        </w:tc>
        <w:tc>
          <w:tcPr>
            <w:tcW w:w="0" w:type="auto"/>
            <w:tcBorders>
              <w:top w:val="nil"/>
              <w:left w:val="nil"/>
              <w:bottom w:val="single" w:sz="4" w:space="0" w:color="auto"/>
              <w:right w:val="single" w:sz="4" w:space="0" w:color="auto"/>
            </w:tcBorders>
            <w:shd w:val="clear" w:color="auto" w:fill="auto"/>
            <w:noWrap/>
            <w:vAlign w:val="bottom"/>
          </w:tcPr>
          <w:p w14:paraId="226FBBF8" w14:textId="77777777" w:rsidR="003D3694" w:rsidRPr="00747E35" w:rsidRDefault="003D3694" w:rsidP="0096743A">
            <w:pPr>
              <w:pStyle w:val="Tabletext"/>
              <w:keepNext/>
              <w:keepLines/>
              <w:spacing w:before="0" w:after="0"/>
              <w:jc w:val="center"/>
              <w:rPr>
                <w:rFonts w:cstheme="minorHAnsi"/>
              </w:rPr>
            </w:pPr>
            <w:r w:rsidRPr="00747E35">
              <w:rPr>
                <w:rFonts w:cstheme="minorHAnsi"/>
              </w:rPr>
              <w:t>-0.32</w:t>
            </w:r>
          </w:p>
        </w:tc>
        <w:tc>
          <w:tcPr>
            <w:tcW w:w="0" w:type="auto"/>
            <w:tcBorders>
              <w:top w:val="nil"/>
              <w:left w:val="nil"/>
              <w:bottom w:val="nil"/>
              <w:right w:val="nil"/>
            </w:tcBorders>
            <w:shd w:val="clear" w:color="auto" w:fill="auto"/>
            <w:noWrap/>
            <w:vAlign w:val="bottom"/>
          </w:tcPr>
          <w:p w14:paraId="338AE226" w14:textId="77777777" w:rsidR="003D3694" w:rsidRPr="00747E35" w:rsidRDefault="003D3694" w:rsidP="0096743A">
            <w:pPr>
              <w:pStyle w:val="Tabletext"/>
              <w:keepNext/>
              <w:keepLines/>
              <w:spacing w:before="0" w:after="0"/>
              <w:rPr>
                <w:rFonts w:cstheme="minorHAnsi"/>
              </w:rPr>
            </w:pPr>
          </w:p>
        </w:tc>
        <w:tc>
          <w:tcPr>
            <w:tcW w:w="0" w:type="auto"/>
            <w:tcBorders>
              <w:left w:val="nil"/>
              <w:bottom w:val="nil"/>
              <w:right w:val="nil"/>
            </w:tcBorders>
            <w:shd w:val="clear" w:color="auto" w:fill="auto"/>
            <w:noWrap/>
            <w:vAlign w:val="bottom"/>
          </w:tcPr>
          <w:p w14:paraId="7212A976" w14:textId="77777777" w:rsidR="003D3694" w:rsidRPr="00747E35" w:rsidRDefault="003D3694" w:rsidP="0096743A">
            <w:pPr>
              <w:pStyle w:val="Tabletext"/>
              <w:keepNext/>
              <w:keepLines/>
              <w:spacing w:before="0" w:after="0"/>
              <w:rPr>
                <w:rFonts w:cstheme="minorHAnsi"/>
              </w:rPr>
            </w:pPr>
          </w:p>
        </w:tc>
        <w:tc>
          <w:tcPr>
            <w:tcW w:w="0" w:type="auto"/>
            <w:tcBorders>
              <w:left w:val="nil"/>
              <w:bottom w:val="nil"/>
              <w:right w:val="nil"/>
            </w:tcBorders>
            <w:shd w:val="clear" w:color="auto" w:fill="auto"/>
            <w:noWrap/>
            <w:vAlign w:val="bottom"/>
          </w:tcPr>
          <w:p w14:paraId="50FC1604" w14:textId="77777777" w:rsidR="003D3694" w:rsidRPr="00747E35" w:rsidRDefault="003D3694" w:rsidP="0096743A">
            <w:pPr>
              <w:pStyle w:val="Tabletext"/>
              <w:keepNext/>
              <w:keepLines/>
              <w:spacing w:before="0" w:after="0"/>
              <w:rPr>
                <w:rFonts w:cstheme="minorHAnsi"/>
              </w:rPr>
            </w:pPr>
          </w:p>
        </w:tc>
        <w:tc>
          <w:tcPr>
            <w:tcW w:w="0" w:type="auto"/>
            <w:tcBorders>
              <w:left w:val="nil"/>
              <w:bottom w:val="nil"/>
              <w:right w:val="nil"/>
            </w:tcBorders>
            <w:shd w:val="clear" w:color="auto" w:fill="auto"/>
            <w:noWrap/>
            <w:vAlign w:val="bottom"/>
          </w:tcPr>
          <w:p w14:paraId="71E584EC" w14:textId="77777777" w:rsidR="003D3694" w:rsidRPr="00747E35" w:rsidRDefault="003D3694" w:rsidP="0096743A">
            <w:pPr>
              <w:pStyle w:val="Tabletext"/>
              <w:keepNext/>
              <w:keepLines/>
              <w:spacing w:before="0" w:after="0"/>
              <w:rPr>
                <w:rFonts w:cstheme="minorHAnsi"/>
              </w:rPr>
            </w:pPr>
          </w:p>
        </w:tc>
      </w:tr>
      <w:tr w:rsidR="003D3694" w:rsidRPr="00747E35" w14:paraId="61B234D4" w14:textId="77777777" w:rsidTr="0096743A">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1A43F1E" w14:textId="77777777" w:rsidR="003D3694" w:rsidRPr="00747E35" w:rsidRDefault="003D3694" w:rsidP="0096743A">
            <w:pPr>
              <w:pStyle w:val="Tabletext"/>
              <w:keepNext/>
              <w:keepLines/>
              <w:spacing w:before="0" w:after="0"/>
              <w:jc w:val="center"/>
              <w:rPr>
                <w:rFonts w:cstheme="minorHAnsi"/>
              </w:rPr>
            </w:pPr>
            <w:r w:rsidRPr="00747E35">
              <w:rPr>
                <w:rFonts w:cstheme="minorHAnsi"/>
              </w:rPr>
              <w:t>As</w:t>
            </w:r>
          </w:p>
        </w:tc>
        <w:tc>
          <w:tcPr>
            <w:tcW w:w="0" w:type="auto"/>
            <w:tcBorders>
              <w:top w:val="nil"/>
              <w:left w:val="nil"/>
              <w:bottom w:val="single" w:sz="4" w:space="0" w:color="auto"/>
              <w:right w:val="single" w:sz="4" w:space="0" w:color="auto"/>
            </w:tcBorders>
            <w:shd w:val="clear" w:color="auto" w:fill="auto"/>
            <w:noWrap/>
            <w:vAlign w:val="bottom"/>
            <w:hideMark/>
          </w:tcPr>
          <w:p w14:paraId="15161F31" w14:textId="77777777" w:rsidR="003D3694" w:rsidRPr="00747E35" w:rsidRDefault="003D3694" w:rsidP="0096743A">
            <w:pPr>
              <w:pStyle w:val="Tabletext"/>
              <w:keepNext/>
              <w:keepLines/>
              <w:spacing w:before="0" w:after="0"/>
              <w:jc w:val="center"/>
              <w:rPr>
                <w:rFonts w:cstheme="minorHAnsi"/>
              </w:rPr>
            </w:pPr>
            <w:r w:rsidRPr="00747E35">
              <w:rPr>
                <w:rFonts w:cstheme="minorHAnsi"/>
              </w:rPr>
              <w:t>-0.31</w:t>
            </w:r>
          </w:p>
        </w:tc>
        <w:tc>
          <w:tcPr>
            <w:tcW w:w="0" w:type="auto"/>
            <w:tcBorders>
              <w:top w:val="nil"/>
              <w:left w:val="nil"/>
              <w:bottom w:val="single" w:sz="4" w:space="0" w:color="auto"/>
              <w:right w:val="single" w:sz="4" w:space="0" w:color="auto"/>
            </w:tcBorders>
            <w:shd w:val="clear" w:color="auto" w:fill="auto"/>
            <w:noWrap/>
            <w:vAlign w:val="bottom"/>
            <w:hideMark/>
          </w:tcPr>
          <w:p w14:paraId="0CB7649C" w14:textId="77777777" w:rsidR="003D3694" w:rsidRPr="00747E35" w:rsidRDefault="003D3694" w:rsidP="0096743A">
            <w:pPr>
              <w:pStyle w:val="Tabletext"/>
              <w:keepNext/>
              <w:keepLines/>
              <w:spacing w:before="0" w:after="0"/>
              <w:jc w:val="center"/>
              <w:rPr>
                <w:rFonts w:cstheme="minorHAnsi"/>
              </w:rPr>
            </w:pPr>
            <w:r w:rsidRPr="00747E35">
              <w:rPr>
                <w:rFonts w:cstheme="minorHAnsi"/>
              </w:rPr>
              <w:t>-0.40</w:t>
            </w:r>
          </w:p>
        </w:tc>
        <w:tc>
          <w:tcPr>
            <w:tcW w:w="0" w:type="auto"/>
            <w:tcBorders>
              <w:top w:val="nil"/>
              <w:left w:val="nil"/>
              <w:bottom w:val="nil"/>
              <w:right w:val="nil"/>
            </w:tcBorders>
            <w:shd w:val="clear" w:color="auto" w:fill="auto"/>
            <w:noWrap/>
            <w:vAlign w:val="bottom"/>
            <w:hideMark/>
          </w:tcPr>
          <w:p w14:paraId="729B706D" w14:textId="77777777" w:rsidR="003D3694" w:rsidRPr="00747E35" w:rsidRDefault="003D3694" w:rsidP="0096743A">
            <w:pPr>
              <w:pStyle w:val="Tabletext"/>
              <w:keepNext/>
              <w:keepLines/>
              <w:spacing w:before="0" w:after="0"/>
              <w:rPr>
                <w:rFonts w:cstheme="minorHAnsi"/>
              </w:rPr>
            </w:pPr>
          </w:p>
        </w:tc>
        <w:tc>
          <w:tcPr>
            <w:tcW w:w="0" w:type="auto"/>
            <w:tcBorders>
              <w:top w:val="nil"/>
              <w:left w:val="nil"/>
              <w:bottom w:val="nil"/>
              <w:right w:val="nil"/>
            </w:tcBorders>
            <w:shd w:val="clear" w:color="auto" w:fill="auto"/>
            <w:noWrap/>
            <w:vAlign w:val="bottom"/>
            <w:hideMark/>
          </w:tcPr>
          <w:p w14:paraId="5034ED2F" w14:textId="77777777" w:rsidR="003D3694" w:rsidRPr="00747E35" w:rsidRDefault="003D3694" w:rsidP="0096743A">
            <w:pPr>
              <w:pStyle w:val="Tabletext"/>
              <w:keepNext/>
              <w:keepLines/>
              <w:spacing w:before="0" w:after="0"/>
              <w:rPr>
                <w:rFonts w:cstheme="minorHAnsi"/>
              </w:rPr>
            </w:pPr>
          </w:p>
        </w:tc>
        <w:tc>
          <w:tcPr>
            <w:tcW w:w="0" w:type="auto"/>
            <w:tcBorders>
              <w:top w:val="nil"/>
              <w:left w:val="nil"/>
              <w:bottom w:val="nil"/>
              <w:right w:val="nil"/>
            </w:tcBorders>
            <w:shd w:val="clear" w:color="auto" w:fill="auto"/>
            <w:noWrap/>
            <w:vAlign w:val="bottom"/>
            <w:hideMark/>
          </w:tcPr>
          <w:p w14:paraId="197C15BE" w14:textId="77777777" w:rsidR="003D3694" w:rsidRPr="00747E35" w:rsidRDefault="003D3694" w:rsidP="0096743A">
            <w:pPr>
              <w:pStyle w:val="Tabletext"/>
              <w:keepNext/>
              <w:keepLines/>
              <w:spacing w:before="0" w:after="0"/>
              <w:rPr>
                <w:rFonts w:cstheme="minorHAnsi"/>
              </w:rPr>
            </w:pPr>
          </w:p>
        </w:tc>
        <w:tc>
          <w:tcPr>
            <w:tcW w:w="0" w:type="auto"/>
            <w:tcBorders>
              <w:top w:val="nil"/>
              <w:left w:val="nil"/>
              <w:bottom w:val="nil"/>
              <w:right w:val="nil"/>
            </w:tcBorders>
            <w:shd w:val="clear" w:color="auto" w:fill="auto"/>
            <w:noWrap/>
            <w:vAlign w:val="bottom"/>
            <w:hideMark/>
          </w:tcPr>
          <w:p w14:paraId="485AE28E" w14:textId="77777777" w:rsidR="003D3694" w:rsidRPr="00747E35" w:rsidRDefault="003D3694" w:rsidP="0096743A">
            <w:pPr>
              <w:pStyle w:val="Tabletext"/>
              <w:keepNext/>
              <w:keepLines/>
              <w:spacing w:before="0" w:after="0"/>
              <w:rPr>
                <w:rFonts w:cstheme="minorHAnsi"/>
              </w:rPr>
            </w:pPr>
          </w:p>
        </w:tc>
      </w:tr>
    </w:tbl>
    <w:p w14:paraId="0CA1A1A7" w14:textId="77777777" w:rsidR="003D3694" w:rsidRPr="00747E35" w:rsidRDefault="003D3694" w:rsidP="003D3694">
      <w:pPr>
        <w:rPr>
          <w:rFonts w:asciiTheme="minorHAnsi" w:hAnsiTheme="minorHAnsi" w:cstheme="minorHAnsi"/>
        </w:rPr>
      </w:pPr>
    </w:p>
    <w:p w14:paraId="2FC34814" w14:textId="77777777" w:rsidR="003D3694" w:rsidRPr="00747E35" w:rsidRDefault="003D3694" w:rsidP="003D3694">
      <w:pPr>
        <w:rPr>
          <w:rFonts w:asciiTheme="minorHAnsi" w:hAnsiTheme="minorHAnsi" w:cstheme="minorHAnsi"/>
        </w:rPr>
      </w:pPr>
    </w:p>
    <w:p w14:paraId="71B0FAE2" w14:textId="77777777" w:rsidR="003D3694" w:rsidRPr="00747E35" w:rsidRDefault="003D3694" w:rsidP="003D3694">
      <w:pPr>
        <w:keepNext/>
        <w:keepLines/>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41268D66" wp14:editId="2B5B47B1">
            <wp:extent cx="6092550" cy="3138055"/>
            <wp:effectExtent l="0" t="0" r="3810" b="5715"/>
            <wp:docPr id="2074" name="Picture 2074" desc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5" cstate="screen">
                      <a:extLst>
                        <a:ext uri="{28A0092B-C50C-407E-A947-70E740481C1C}">
                          <a14:useLocalDpi xmlns:a14="http://schemas.microsoft.com/office/drawing/2010/main"/>
                        </a:ext>
                      </a:extLst>
                    </a:blip>
                    <a:srcRect/>
                    <a:stretch/>
                  </pic:blipFill>
                  <pic:spPr bwMode="auto">
                    <a:xfrm>
                      <a:off x="0" y="0"/>
                      <a:ext cx="6103113" cy="3143496"/>
                    </a:xfrm>
                    <a:prstGeom prst="rect">
                      <a:avLst/>
                    </a:prstGeom>
                    <a:noFill/>
                    <a:ln>
                      <a:noFill/>
                    </a:ln>
                    <a:extLst>
                      <a:ext uri="{53640926-AAD7-44D8-BBD7-CCE9431645EC}">
                        <a14:shadowObscured xmlns:a14="http://schemas.microsoft.com/office/drawing/2010/main"/>
                      </a:ext>
                    </a:extLst>
                  </pic:spPr>
                </pic:pic>
              </a:graphicData>
            </a:graphic>
          </wp:inline>
        </w:drawing>
      </w:r>
    </w:p>
    <w:p w14:paraId="2D95A537" w14:textId="77777777" w:rsidR="003D3694" w:rsidRPr="00747E35" w:rsidRDefault="003D3694" w:rsidP="00566456">
      <w:pPr>
        <w:pStyle w:val="Caption"/>
        <w:numPr>
          <w:ilvl w:val="0"/>
          <w:numId w:val="0"/>
        </w:numPr>
        <w:rPr>
          <w:rFonts w:cstheme="minorHAnsi"/>
        </w:rPr>
      </w:pPr>
      <w:bookmarkStart w:id="300" w:name="_Ref466445765"/>
      <w:bookmarkStart w:id="301" w:name="_Ref46712779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112</w:t>
      </w:r>
      <w:r w:rsidR="009D6600" w:rsidRPr="00747E35">
        <w:rPr>
          <w:rFonts w:cstheme="minorHAnsi"/>
          <w:noProof/>
        </w:rPr>
        <w:fldChar w:fldCharType="end"/>
      </w:r>
      <w:bookmarkEnd w:id="300"/>
      <w:r w:rsidRPr="00747E35">
        <w:rPr>
          <w:rFonts w:cstheme="minorHAnsi"/>
        </w:rPr>
        <w:t>: Hyporheic and aquifer invertebrates were tolerant of suboxic conditions (DO &lt; 0.5 mg/L) and intolerant of hypoxic-anoxic conditions (DO &lt; 0.01 mg/L), and exhibited a trend of increasing abundance in oxic conditions (DO &gt; 0.5 mg/L). Bremer and Maules catchments sample abundance (4</w:t>
      </w:r>
      <w:r w:rsidRPr="00747E35">
        <w:rPr>
          <w:rFonts w:cstheme="minorHAnsi"/>
          <w:vertAlign w:val="superscript"/>
        </w:rPr>
        <w:t>th</w:t>
      </w:r>
      <w:r w:rsidRPr="00747E35">
        <w:rPr>
          <w:rFonts w:cstheme="minorHAnsi"/>
        </w:rPr>
        <w:t xml:space="preserve"> root transformed) plotted against sample DO (4</w:t>
      </w:r>
      <w:r w:rsidRPr="00747E35">
        <w:rPr>
          <w:rFonts w:cstheme="minorHAnsi"/>
          <w:vertAlign w:val="superscript"/>
        </w:rPr>
        <w:t>th</w:t>
      </w:r>
      <w:r w:rsidRPr="00747E35">
        <w:rPr>
          <w:rFonts w:cstheme="minorHAnsi"/>
        </w:rPr>
        <w:t xml:space="preserve"> root transformed) labelled by flow regime and groundwater environment (aquifer, stream hyporheic). Approximate DO tolerance thresholds (mg/L untransformed) and categories (oxic, suboxic, hypoxic-anoxic) for groundwater invertebrates based on Hahn (2006); Malard and Hervant (1994).</w:t>
      </w:r>
      <w:bookmarkEnd w:id="301"/>
    </w:p>
    <w:p w14:paraId="60F00539" w14:textId="77777777" w:rsidR="003D3694" w:rsidRPr="00747E35" w:rsidRDefault="003D3694" w:rsidP="003D3694">
      <w:pPr>
        <w:rPr>
          <w:rFonts w:asciiTheme="minorHAnsi" w:hAnsiTheme="minorHAnsi" w:cstheme="minorHAnsi"/>
        </w:rPr>
      </w:pPr>
    </w:p>
    <w:p w14:paraId="7305382A" w14:textId="77777777" w:rsidR="003D3694" w:rsidRPr="00747E35" w:rsidRDefault="003D3694" w:rsidP="003D3694">
      <w:pPr>
        <w:keepNext/>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70FC7B6E" wp14:editId="504CACB6">
            <wp:extent cx="3009900" cy="2257425"/>
            <wp:effectExtent l="0" t="0" r="0" b="9525"/>
            <wp:docPr id="7177" name="Picture 7177" descr="Fauna abundance plot (Plot 1 of 2 for Fig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 name="Abundance Fe Maules.tif"/>
                    <pic:cNvPicPr/>
                  </pic:nvPicPr>
                  <pic:blipFill>
                    <a:blip r:embed="rId166" cstate="email">
                      <a:extLst>
                        <a:ext uri="{28A0092B-C50C-407E-A947-70E740481C1C}">
                          <a14:useLocalDpi xmlns:a14="http://schemas.microsoft.com/office/drawing/2010/main"/>
                        </a:ext>
                      </a:extLst>
                    </a:blip>
                    <a:stretch>
                      <a:fillRect/>
                    </a:stretch>
                  </pic:blipFill>
                  <pic:spPr>
                    <a:xfrm>
                      <a:off x="0" y="0"/>
                      <a:ext cx="3014151" cy="2260613"/>
                    </a:xfrm>
                    <a:prstGeom prst="rect">
                      <a:avLst/>
                    </a:prstGeom>
                  </pic:spPr>
                </pic:pic>
              </a:graphicData>
            </a:graphic>
          </wp:inline>
        </w:drawing>
      </w:r>
      <w:r w:rsidRPr="00747E35">
        <w:rPr>
          <w:rFonts w:asciiTheme="minorHAnsi" w:hAnsiTheme="minorHAnsi" w:cstheme="minorHAnsi"/>
          <w:noProof/>
          <w:lang w:val="en-AU" w:eastAsia="en-AU"/>
        </w:rPr>
        <w:drawing>
          <wp:inline distT="0" distB="0" distL="0" distR="0" wp14:anchorId="36E0C025" wp14:editId="44AA809D">
            <wp:extent cx="2990850" cy="2243137"/>
            <wp:effectExtent l="0" t="0" r="0" b="5080"/>
            <wp:docPr id="7178" name="Picture 7178" descr="Fauna richness plot (Plot 2 of 2 for Fig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Richness Fe Maules.tif"/>
                    <pic:cNvPicPr/>
                  </pic:nvPicPr>
                  <pic:blipFill>
                    <a:blip r:embed="rId167" cstate="email">
                      <a:extLst>
                        <a:ext uri="{28A0092B-C50C-407E-A947-70E740481C1C}">
                          <a14:useLocalDpi xmlns:a14="http://schemas.microsoft.com/office/drawing/2010/main"/>
                        </a:ext>
                      </a:extLst>
                    </a:blip>
                    <a:stretch>
                      <a:fillRect/>
                    </a:stretch>
                  </pic:blipFill>
                  <pic:spPr>
                    <a:xfrm>
                      <a:off x="0" y="0"/>
                      <a:ext cx="2997956" cy="2248467"/>
                    </a:xfrm>
                    <a:prstGeom prst="rect">
                      <a:avLst/>
                    </a:prstGeom>
                  </pic:spPr>
                </pic:pic>
              </a:graphicData>
            </a:graphic>
          </wp:inline>
        </w:drawing>
      </w:r>
    </w:p>
    <w:p w14:paraId="2A48A902" w14:textId="77777777" w:rsidR="003D3694" w:rsidRPr="00747E35" w:rsidRDefault="003D3694" w:rsidP="00DE012C">
      <w:pPr>
        <w:pStyle w:val="Caption"/>
        <w:numPr>
          <w:ilvl w:val="0"/>
          <w:numId w:val="0"/>
        </w:numPr>
        <w:jc w:val="both"/>
        <w:rPr>
          <w:rFonts w:cstheme="minorHAnsi"/>
        </w:rPr>
      </w:pPr>
      <w:bookmarkStart w:id="302" w:name="_Ref466415613"/>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113</w:t>
      </w:r>
      <w:r w:rsidR="009D6600" w:rsidRPr="00747E35">
        <w:rPr>
          <w:rFonts w:cstheme="minorHAnsi"/>
          <w:noProof/>
        </w:rPr>
        <w:fldChar w:fldCharType="end"/>
      </w:r>
      <w:bookmarkEnd w:id="302"/>
      <w:r w:rsidRPr="00747E35">
        <w:rPr>
          <w:rFonts w:cstheme="minorHAnsi"/>
        </w:rPr>
        <w:t>: When iron Fe</w:t>
      </w:r>
      <w:r w:rsidRPr="00747E35">
        <w:rPr>
          <w:rFonts w:cstheme="minorHAnsi"/>
          <w:vertAlign w:val="superscript"/>
        </w:rPr>
        <w:t>2+</w:t>
      </w:r>
      <w:r w:rsidRPr="00747E35">
        <w:rPr>
          <w:rFonts w:cstheme="minorHAnsi"/>
        </w:rPr>
        <w:t xml:space="preserve"> concentrations exceeded approximately 0.1 mg/L, fauna abundance and richness were observed to decline. Maules catchment bivariate plots of Fe</w:t>
      </w:r>
      <w:r w:rsidRPr="00747E35">
        <w:rPr>
          <w:rFonts w:cstheme="minorHAnsi"/>
          <w:vertAlign w:val="superscript"/>
        </w:rPr>
        <w:t xml:space="preserve">2+ </w:t>
      </w:r>
      <w:r w:rsidRPr="00747E35">
        <w:rPr>
          <w:rFonts w:cstheme="minorHAnsi"/>
        </w:rPr>
        <w:t>versus fauna abundance and richness, untransformed data. Bore aquifer samples (black) are distinguished from hyporheic samples which are assigned to upwelling type (UW, blue) and downwelling (DW, red) type based on redox chemistry.</w:t>
      </w:r>
    </w:p>
    <w:p w14:paraId="40886E0B" w14:textId="77777777" w:rsidR="003D3694" w:rsidRPr="00747E35" w:rsidRDefault="003D3694" w:rsidP="003D3694">
      <w:pPr>
        <w:rPr>
          <w:rFonts w:asciiTheme="minorHAnsi" w:hAnsiTheme="minorHAnsi" w:cstheme="minorHAnsi"/>
        </w:rPr>
      </w:pPr>
    </w:p>
    <w:p w14:paraId="4CF27E4D" w14:textId="77777777" w:rsidR="003D3694" w:rsidRPr="00747E35" w:rsidRDefault="003D3694" w:rsidP="00566456">
      <w:pPr>
        <w:pStyle w:val="Heading6"/>
        <w:numPr>
          <w:ilvl w:val="0"/>
          <w:numId w:val="0"/>
        </w:numPr>
        <w:rPr>
          <w:rFonts w:asciiTheme="minorHAnsi" w:hAnsiTheme="minorHAnsi" w:cstheme="minorHAnsi"/>
        </w:rPr>
      </w:pPr>
      <w:r w:rsidRPr="00747E35">
        <w:rPr>
          <w:rFonts w:asciiTheme="minorHAnsi" w:hAnsiTheme="minorHAnsi" w:cstheme="minorHAnsi"/>
        </w:rPr>
        <w:t>Patterns in relation to hyporheic exchange flows</w:t>
      </w:r>
    </w:p>
    <w:p w14:paraId="0DE435CE" w14:textId="36594362"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Upwelling and </w:t>
      </w:r>
      <w:r w:rsidR="006B2C7A">
        <w:rPr>
          <w:rFonts w:asciiTheme="minorHAnsi" w:hAnsiTheme="minorHAnsi" w:cstheme="minorHAnsi"/>
        </w:rPr>
        <w:t>downwelling</w:t>
      </w:r>
      <w:r w:rsidRPr="00747E35">
        <w:rPr>
          <w:rFonts w:asciiTheme="minorHAnsi" w:hAnsiTheme="minorHAnsi" w:cstheme="minorHAnsi"/>
        </w:rPr>
        <w:t xml:space="preserve"> vertical hydraulic head (VHH) gradients were stronger at Maules catchment sites (range -18.0 to +13.3cm) than at Bremer catchment sites (range -5.3 to +3.8cm). In both catchments, higher richness and abundance was generally associated with upwelling or weakly </w:t>
      </w:r>
      <w:r w:rsidR="006B2C7A">
        <w:rPr>
          <w:rFonts w:asciiTheme="minorHAnsi" w:hAnsiTheme="minorHAnsi" w:cstheme="minorHAnsi"/>
        </w:rPr>
        <w:t>downwelling</w:t>
      </w:r>
      <w:r w:rsidRPr="00747E35">
        <w:rPr>
          <w:rFonts w:asciiTheme="minorHAnsi" w:hAnsiTheme="minorHAnsi" w:cstheme="minorHAnsi"/>
        </w:rPr>
        <w:t xml:space="preserve"> zones, and this association was most notable at the sites with an intermittent flow regime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_Ref467127918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114</w:t>
      </w:r>
      <w:r w:rsidRPr="00747E35">
        <w:rPr>
          <w:rFonts w:asciiTheme="minorHAnsi" w:hAnsiTheme="minorHAnsi" w:cstheme="minorHAnsi"/>
          <w:highlight w:val="yellow"/>
        </w:rPr>
        <w:fldChar w:fldCharType="end"/>
      </w:r>
      <w:r w:rsidRPr="00747E35">
        <w:rPr>
          <w:rFonts w:asciiTheme="minorHAnsi" w:hAnsiTheme="minorHAnsi" w:cstheme="minorHAnsi"/>
        </w:rPr>
        <w:t xml:space="preserve">).  </w:t>
      </w:r>
    </w:p>
    <w:p w14:paraId="06F0CD8C" w14:textId="77777777" w:rsidR="003D3694" w:rsidRPr="00747E35" w:rsidRDefault="003D3694" w:rsidP="003D3694">
      <w:pPr>
        <w:keepNext/>
        <w:keepLines/>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6DB946D2" wp14:editId="5B0ABEC3">
            <wp:extent cx="3845859" cy="2514763"/>
            <wp:effectExtent l="0" t="0" r="2540" b="0"/>
            <wp:docPr id="7168" name="Picture 7168" descr="Upper plot in  Fig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plot.tiff"/>
                    <pic:cNvPicPr/>
                  </pic:nvPicPr>
                  <pic:blipFill>
                    <a:blip r:embed="rId168" cstate="email">
                      <a:extLst>
                        <a:ext uri="{28A0092B-C50C-407E-A947-70E740481C1C}">
                          <a14:useLocalDpi xmlns:a14="http://schemas.microsoft.com/office/drawing/2010/main"/>
                        </a:ext>
                      </a:extLst>
                    </a:blip>
                    <a:stretch>
                      <a:fillRect/>
                    </a:stretch>
                  </pic:blipFill>
                  <pic:spPr>
                    <a:xfrm>
                      <a:off x="0" y="0"/>
                      <a:ext cx="3853946" cy="2520051"/>
                    </a:xfrm>
                    <a:prstGeom prst="rect">
                      <a:avLst/>
                    </a:prstGeom>
                  </pic:spPr>
                </pic:pic>
              </a:graphicData>
            </a:graphic>
          </wp:inline>
        </w:drawing>
      </w:r>
    </w:p>
    <w:p w14:paraId="5F0A1FB1"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3AD33D40" wp14:editId="3CCAF88F">
            <wp:extent cx="3935506" cy="2573383"/>
            <wp:effectExtent l="0" t="0" r="8255" b="0"/>
            <wp:docPr id="7169" name="Picture 7169" descr="Lower plot in Fig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_plot.tiff"/>
                    <pic:cNvPicPr/>
                  </pic:nvPicPr>
                  <pic:blipFill>
                    <a:blip r:embed="rId169" cstate="email">
                      <a:extLst>
                        <a:ext uri="{28A0092B-C50C-407E-A947-70E740481C1C}">
                          <a14:useLocalDpi xmlns:a14="http://schemas.microsoft.com/office/drawing/2010/main"/>
                        </a:ext>
                      </a:extLst>
                    </a:blip>
                    <a:stretch>
                      <a:fillRect/>
                    </a:stretch>
                  </pic:blipFill>
                  <pic:spPr>
                    <a:xfrm>
                      <a:off x="0" y="0"/>
                      <a:ext cx="3935506" cy="2573383"/>
                    </a:xfrm>
                    <a:prstGeom prst="rect">
                      <a:avLst/>
                    </a:prstGeom>
                  </pic:spPr>
                </pic:pic>
              </a:graphicData>
            </a:graphic>
          </wp:inline>
        </w:drawing>
      </w:r>
      <w:bookmarkStart w:id="303" w:name="_Ref466445992"/>
    </w:p>
    <w:p w14:paraId="226EAD1B" w14:textId="23924F10" w:rsidR="003D3694" w:rsidRPr="00747E35" w:rsidRDefault="003D3694" w:rsidP="00566456">
      <w:pPr>
        <w:pStyle w:val="Caption"/>
        <w:numPr>
          <w:ilvl w:val="0"/>
          <w:numId w:val="0"/>
        </w:numPr>
        <w:rPr>
          <w:rFonts w:cstheme="minorHAnsi"/>
        </w:rPr>
      </w:pPr>
      <w:bookmarkStart w:id="304" w:name="_Ref467127918"/>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114</w:t>
      </w:r>
      <w:r w:rsidR="009D6600" w:rsidRPr="00747E35">
        <w:rPr>
          <w:rFonts w:cstheme="minorHAnsi"/>
          <w:noProof/>
        </w:rPr>
        <w:fldChar w:fldCharType="end"/>
      </w:r>
      <w:bookmarkEnd w:id="303"/>
      <w:bookmarkEnd w:id="304"/>
      <w:r w:rsidRPr="00747E35">
        <w:rPr>
          <w:rFonts w:cstheme="minorHAnsi"/>
        </w:rPr>
        <w:t xml:space="preserve">: Plot showing the difference in strength of vertical hydraulic head difference (VHH) measured in the Bremer and Maules catchments and associations with invertebrate richness (upper plot) and abundance (lower). Sites are distinguished by their flow regime class. Smoothing line and 95% confidence interval shown. Intermittent samples in Maules catchment (Middle Creek) were limited to creek gaining conditions with no samples collected during losing conditions.  Upwelling and </w:t>
      </w:r>
      <w:r w:rsidR="006B2C7A">
        <w:rPr>
          <w:rFonts w:cstheme="minorHAnsi"/>
        </w:rPr>
        <w:t>downwelling</w:t>
      </w:r>
      <w:r w:rsidRPr="00747E35">
        <w:rPr>
          <w:rFonts w:cstheme="minorHAnsi"/>
        </w:rPr>
        <w:t xml:space="preserve"> vertical hydraulic head (VHH) gradients were stronger at Maules catchment sites (range -18.0 to +13.3cm) than at Bremer catchment sites (range -5.3 to +3.8cm). In both catchments, higher richness and abundance was generally associated with upwelling or weakly </w:t>
      </w:r>
      <w:r w:rsidR="006B2C7A">
        <w:rPr>
          <w:rFonts w:cstheme="minorHAnsi"/>
        </w:rPr>
        <w:t>downwelling</w:t>
      </w:r>
      <w:r w:rsidRPr="00747E35">
        <w:rPr>
          <w:rFonts w:cstheme="minorHAnsi"/>
        </w:rPr>
        <w:t xml:space="preserve"> zones, and this association was most notable at the sites with an intermittent flow regime.</w:t>
      </w:r>
    </w:p>
    <w:p w14:paraId="0AF3BC8E" w14:textId="77777777" w:rsidR="003D3694" w:rsidRPr="00747E35" w:rsidRDefault="003D3694" w:rsidP="003D3694">
      <w:pPr>
        <w:rPr>
          <w:rFonts w:asciiTheme="minorHAnsi" w:hAnsiTheme="minorHAnsi" w:cstheme="minorHAnsi"/>
        </w:rPr>
      </w:pPr>
    </w:p>
    <w:p w14:paraId="43953B99" w14:textId="0F25F9B5" w:rsidR="003D3694" w:rsidRPr="00747E35" w:rsidRDefault="003D3694" w:rsidP="003D3694">
      <w:pPr>
        <w:rPr>
          <w:rFonts w:asciiTheme="minorHAnsi" w:hAnsiTheme="minorHAnsi" w:cstheme="minorHAnsi"/>
        </w:rPr>
      </w:pPr>
      <w:bookmarkStart w:id="305" w:name="_Ref452278479"/>
      <w:r w:rsidRPr="00747E35">
        <w:rPr>
          <w:rFonts w:asciiTheme="minorHAnsi" w:hAnsiTheme="minorHAnsi" w:cstheme="minorHAnsi"/>
        </w:rPr>
        <w:t>For the Bremer catchment shallow samples (only a few deep samples, so these were excluded), there was weak evidence for lower taxon richness in strongly upwelling sites than in strongly downwelling (3.88 taxa less, t</w:t>
      </w:r>
      <w:r w:rsidRPr="00747E35">
        <w:rPr>
          <w:rFonts w:asciiTheme="minorHAnsi" w:hAnsiTheme="minorHAnsi" w:cstheme="minorHAnsi"/>
          <w:vertAlign w:val="subscript"/>
        </w:rPr>
        <w:t>(13)</w:t>
      </w:r>
      <w:r w:rsidRPr="00747E35">
        <w:rPr>
          <w:rFonts w:asciiTheme="minorHAnsi" w:hAnsiTheme="minorHAnsi" w:cstheme="minorHAnsi"/>
        </w:rPr>
        <w:t xml:space="preserve"> = 2.08, p = 0.058). Neutral sites also had lower richness, but not significantly so (2.52 fewer taxa, t</w:t>
      </w:r>
      <w:r w:rsidRPr="00747E35">
        <w:rPr>
          <w:rFonts w:asciiTheme="minorHAnsi" w:hAnsiTheme="minorHAnsi" w:cstheme="minorHAnsi"/>
          <w:vertAlign w:val="subscript"/>
        </w:rPr>
        <w:t>(13)</w:t>
      </w:r>
      <w:r w:rsidRPr="00747E35">
        <w:rPr>
          <w:rFonts w:asciiTheme="minorHAnsi" w:hAnsiTheme="minorHAnsi" w:cstheme="minorHAnsi"/>
        </w:rPr>
        <w:t xml:space="preserve"> = 1.72, p = 0.11)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_Ref467127964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115</w:t>
      </w:r>
      <w:r w:rsidRPr="00747E35">
        <w:rPr>
          <w:rFonts w:asciiTheme="minorHAnsi" w:hAnsiTheme="minorHAnsi" w:cstheme="minorHAnsi"/>
          <w:highlight w:val="yellow"/>
        </w:rPr>
        <w:fldChar w:fldCharType="end"/>
      </w:r>
      <w:r w:rsidRPr="00747E35">
        <w:rPr>
          <w:rFonts w:asciiTheme="minorHAnsi" w:hAnsiTheme="minorHAnsi" w:cstheme="minorHAnsi"/>
        </w:rPr>
        <w:t>). For total abundance, there was no evidence for any significant difference between VHH categories (both p &gt; 0.3)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_Ref467127964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115</w:t>
      </w:r>
      <w:r w:rsidRPr="00747E35">
        <w:rPr>
          <w:rFonts w:asciiTheme="minorHAnsi" w:hAnsiTheme="minorHAnsi" w:cstheme="minorHAnsi"/>
          <w:highlight w:val="yellow"/>
        </w:rPr>
        <w:fldChar w:fldCharType="end"/>
      </w:r>
      <w:r w:rsidRPr="00747E35">
        <w:rPr>
          <w:rFonts w:asciiTheme="minorHAnsi" w:hAnsiTheme="minorHAnsi" w:cstheme="minorHAnsi"/>
        </w:rPr>
        <w:t xml:space="preserve">).   </w:t>
      </w:r>
    </w:p>
    <w:p w14:paraId="4F1C3645" w14:textId="033F1471" w:rsidR="003D3694" w:rsidRPr="00747E35" w:rsidRDefault="003D3694" w:rsidP="003D3694">
      <w:pPr>
        <w:rPr>
          <w:rFonts w:asciiTheme="minorHAnsi" w:hAnsiTheme="minorHAnsi" w:cstheme="minorHAnsi"/>
        </w:rPr>
      </w:pPr>
      <w:r w:rsidRPr="00747E35">
        <w:rPr>
          <w:rFonts w:asciiTheme="minorHAnsi" w:hAnsiTheme="minorHAnsi" w:cstheme="minorHAnsi"/>
        </w:rPr>
        <w:t>For Maules taxon richness, there was no significant interaction between depth and VHH  (F</w:t>
      </w:r>
      <w:r w:rsidRPr="00747E35">
        <w:rPr>
          <w:rFonts w:asciiTheme="minorHAnsi" w:hAnsiTheme="minorHAnsi" w:cstheme="minorHAnsi"/>
          <w:vertAlign w:val="subscript"/>
        </w:rPr>
        <w:t>(2,45)</w:t>
      </w:r>
      <w:r w:rsidRPr="00747E35">
        <w:rPr>
          <w:rFonts w:asciiTheme="minorHAnsi" w:hAnsiTheme="minorHAnsi" w:cstheme="minorHAnsi"/>
        </w:rPr>
        <w:t xml:space="preserve"> = 1.24, p = 0.3) nor any difference between depths (F</w:t>
      </w:r>
      <w:r w:rsidRPr="00747E35">
        <w:rPr>
          <w:rFonts w:asciiTheme="minorHAnsi" w:hAnsiTheme="minorHAnsi" w:cstheme="minorHAnsi"/>
          <w:vertAlign w:val="subscript"/>
        </w:rPr>
        <w:t>(1,45)</w:t>
      </w:r>
      <w:r w:rsidRPr="00747E35">
        <w:rPr>
          <w:rFonts w:asciiTheme="minorHAnsi" w:hAnsiTheme="minorHAnsi" w:cstheme="minorHAnsi"/>
        </w:rPr>
        <w:t xml:space="preserve"> = 2.31, p = 0.14). Across the levels of VHH there was moderate evidence that strongly upwelling sites had, on average, 1.48 more taxa than strongly </w:t>
      </w:r>
      <w:r w:rsidR="006B2C7A">
        <w:rPr>
          <w:rFonts w:asciiTheme="minorHAnsi" w:hAnsiTheme="minorHAnsi" w:cstheme="minorHAnsi"/>
        </w:rPr>
        <w:t>downwelling</w:t>
      </w:r>
      <w:r w:rsidRPr="00747E35">
        <w:rPr>
          <w:rFonts w:asciiTheme="minorHAnsi" w:hAnsiTheme="minorHAnsi" w:cstheme="minorHAnsi"/>
        </w:rPr>
        <w:t xml:space="preserve"> sites (t</w:t>
      </w:r>
      <w:r w:rsidRPr="00747E35">
        <w:rPr>
          <w:rFonts w:asciiTheme="minorHAnsi" w:hAnsiTheme="minorHAnsi" w:cstheme="minorHAnsi"/>
          <w:vertAlign w:val="subscript"/>
        </w:rPr>
        <w:t>(48)</w:t>
      </w:r>
      <w:r w:rsidRPr="00747E35">
        <w:rPr>
          <w:rFonts w:asciiTheme="minorHAnsi" w:hAnsiTheme="minorHAnsi" w:cstheme="minorHAnsi"/>
        </w:rPr>
        <w:t xml:space="preserve"> = 2.10, p = 0.04) and weaker evidence for a similar increase in neutral sites (mean increase in species richness = 1.40, t</w:t>
      </w:r>
      <w:r w:rsidRPr="00747E35">
        <w:rPr>
          <w:rFonts w:asciiTheme="minorHAnsi" w:hAnsiTheme="minorHAnsi" w:cstheme="minorHAnsi"/>
          <w:vertAlign w:val="subscript"/>
        </w:rPr>
        <w:t>(48)</w:t>
      </w:r>
      <w:r w:rsidRPr="00747E35">
        <w:rPr>
          <w:rFonts w:asciiTheme="minorHAnsi" w:hAnsiTheme="minorHAnsi" w:cstheme="minorHAnsi"/>
        </w:rPr>
        <w:t xml:space="preserve"> = 1.76, p = 0.086)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_Ref467127964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115</w:t>
      </w:r>
      <w:r w:rsidRPr="00747E35">
        <w:rPr>
          <w:rFonts w:asciiTheme="minorHAnsi" w:hAnsiTheme="minorHAnsi" w:cstheme="minorHAnsi"/>
          <w:highlight w:val="yellow"/>
        </w:rPr>
        <w:fldChar w:fldCharType="end"/>
      </w:r>
      <w:r w:rsidRPr="00747E35">
        <w:rPr>
          <w:rFonts w:asciiTheme="minorHAnsi" w:hAnsiTheme="minorHAnsi" w:cstheme="minorHAnsi"/>
        </w:rPr>
        <w:t>).  For Maules log-transformed total abundance, there was no evidence for any interaction between depth and VHH (F</w:t>
      </w:r>
      <w:r w:rsidRPr="00747E35">
        <w:rPr>
          <w:rFonts w:asciiTheme="minorHAnsi" w:hAnsiTheme="minorHAnsi" w:cstheme="minorHAnsi"/>
          <w:vertAlign w:val="subscript"/>
        </w:rPr>
        <w:t>(2,45)</w:t>
      </w:r>
      <w:r w:rsidRPr="00747E35">
        <w:rPr>
          <w:rFonts w:asciiTheme="minorHAnsi" w:hAnsiTheme="minorHAnsi" w:cstheme="minorHAnsi"/>
        </w:rPr>
        <w:t xml:space="preserve"> = 1.78, p = 0.20), and weak evidence for the log abundance of shallow samples to be 1.8 × greater than that of deep sites (F</w:t>
      </w:r>
      <w:r w:rsidRPr="00747E35">
        <w:rPr>
          <w:rFonts w:asciiTheme="minorHAnsi" w:hAnsiTheme="minorHAnsi" w:cstheme="minorHAnsi"/>
          <w:vertAlign w:val="subscript"/>
        </w:rPr>
        <w:t>(1,45)</w:t>
      </w:r>
      <w:r w:rsidRPr="00747E35">
        <w:rPr>
          <w:rFonts w:asciiTheme="minorHAnsi" w:hAnsiTheme="minorHAnsi" w:cstheme="minorHAnsi"/>
        </w:rPr>
        <w:t xml:space="preserve"> = </w:t>
      </w:r>
      <w:r w:rsidRPr="00747E35">
        <w:rPr>
          <w:rFonts w:asciiTheme="minorHAnsi" w:hAnsiTheme="minorHAnsi" w:cstheme="minorHAnsi"/>
        </w:rPr>
        <w:lastRenderedPageBreak/>
        <w:t xml:space="preserve">3.53, p = 0.067). As with taxon richness, strongly upwelling sites had more individuals than strongly </w:t>
      </w:r>
      <w:r w:rsidR="006B2C7A">
        <w:rPr>
          <w:rFonts w:asciiTheme="minorHAnsi" w:hAnsiTheme="minorHAnsi" w:cstheme="minorHAnsi"/>
        </w:rPr>
        <w:t>downwelling</w:t>
      </w:r>
      <w:r w:rsidRPr="00747E35">
        <w:rPr>
          <w:rFonts w:asciiTheme="minorHAnsi" w:hAnsiTheme="minorHAnsi" w:cstheme="minorHAnsi"/>
        </w:rPr>
        <w:t xml:space="preserve"> (2.19 × as many individuals,</w:t>
      </w:r>
      <w:r w:rsidRPr="00747E35">
        <w:rPr>
          <w:rFonts w:asciiTheme="minorHAnsi" w:hAnsiTheme="minorHAnsi" w:cstheme="minorHAnsi"/>
          <w:u w:val="single"/>
        </w:rPr>
        <w:t xml:space="preserve"> (</w:t>
      </w:r>
      <w:r w:rsidRPr="00747E35">
        <w:rPr>
          <w:rFonts w:asciiTheme="minorHAnsi" w:hAnsiTheme="minorHAnsi" w:cstheme="minorHAnsi"/>
        </w:rPr>
        <w:t>t</w:t>
      </w:r>
      <w:r w:rsidRPr="00747E35">
        <w:rPr>
          <w:rFonts w:asciiTheme="minorHAnsi" w:hAnsiTheme="minorHAnsi" w:cstheme="minorHAnsi"/>
          <w:vertAlign w:val="subscript"/>
        </w:rPr>
        <w:t>(47)</w:t>
      </w:r>
      <w:r w:rsidRPr="00747E35">
        <w:rPr>
          <w:rFonts w:asciiTheme="minorHAnsi" w:hAnsiTheme="minorHAnsi" w:cstheme="minorHAnsi"/>
        </w:rPr>
        <w:t xml:space="preserve"> = 2.17, p = 0.03), but there was less evidence for neutral sites to have more individuals (2.10 × as many individuals, t</w:t>
      </w:r>
      <w:r w:rsidRPr="00747E35">
        <w:rPr>
          <w:rFonts w:asciiTheme="minorHAnsi" w:hAnsiTheme="minorHAnsi" w:cstheme="minorHAnsi"/>
          <w:vertAlign w:val="subscript"/>
        </w:rPr>
        <w:t>(47)</w:t>
      </w:r>
      <w:r w:rsidRPr="00747E35">
        <w:rPr>
          <w:rFonts w:asciiTheme="minorHAnsi" w:hAnsiTheme="minorHAnsi" w:cstheme="minorHAnsi"/>
        </w:rPr>
        <w:t xml:space="preserve"> = 1.82, p = 0.08)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_Ref467127964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115</w:t>
      </w:r>
      <w:r w:rsidRPr="00747E35">
        <w:rPr>
          <w:rFonts w:asciiTheme="minorHAnsi" w:hAnsiTheme="minorHAnsi" w:cstheme="minorHAnsi"/>
          <w:highlight w:val="yellow"/>
        </w:rPr>
        <w:fldChar w:fldCharType="end"/>
      </w:r>
      <w:r w:rsidRPr="00747E35">
        <w:rPr>
          <w:rFonts w:asciiTheme="minorHAnsi" w:hAnsiTheme="minorHAnsi" w:cstheme="minorHAnsi"/>
        </w:rPr>
        <w:t>).</w:t>
      </w:r>
    </w:p>
    <w:p w14:paraId="085ADF2B" w14:textId="77777777" w:rsidR="003D3694" w:rsidRPr="00747E35" w:rsidRDefault="003D3694" w:rsidP="003D3694">
      <w:pPr>
        <w:keepNext/>
        <w:keepLines/>
        <w:jc w:val="center"/>
        <w:rPr>
          <w:rFonts w:asciiTheme="minorHAnsi" w:hAnsiTheme="minorHAnsi" w:cstheme="minorHAnsi"/>
        </w:rPr>
      </w:pPr>
    </w:p>
    <w:p w14:paraId="21302FE4" w14:textId="77777777" w:rsidR="003D3694" w:rsidRPr="00747E35" w:rsidRDefault="003D3694" w:rsidP="003D3694">
      <w:pPr>
        <w:keepNext/>
        <w:keepLines/>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6E5FB056" wp14:editId="7A6524D6">
            <wp:extent cx="6107353" cy="4643095"/>
            <wp:effectExtent l="0" t="0" r="8255" b="5715"/>
            <wp:docPr id="11290" name="Picture 11290" descr="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6107108" cy="4642909"/>
                    </a:xfrm>
                    <a:prstGeom prst="rect">
                      <a:avLst/>
                    </a:prstGeom>
                    <a:noFill/>
                  </pic:spPr>
                </pic:pic>
              </a:graphicData>
            </a:graphic>
          </wp:inline>
        </w:drawing>
      </w:r>
    </w:p>
    <w:p w14:paraId="50AA0B4E" w14:textId="317020CC" w:rsidR="003D3694" w:rsidRPr="00747E35" w:rsidRDefault="003D3694" w:rsidP="00566456">
      <w:pPr>
        <w:pStyle w:val="Caption"/>
        <w:numPr>
          <w:ilvl w:val="0"/>
          <w:numId w:val="0"/>
        </w:numPr>
        <w:rPr>
          <w:rFonts w:cstheme="minorHAnsi"/>
          <w:lang w:val="en-US"/>
        </w:rPr>
      </w:pPr>
      <w:bookmarkStart w:id="306" w:name="_Ref467127964"/>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115</w:t>
      </w:r>
      <w:r w:rsidR="009D6600" w:rsidRPr="00747E35">
        <w:rPr>
          <w:rFonts w:cstheme="minorHAnsi"/>
          <w:noProof/>
        </w:rPr>
        <w:fldChar w:fldCharType="end"/>
      </w:r>
      <w:bookmarkEnd w:id="306"/>
      <w:r w:rsidRPr="00747E35">
        <w:rPr>
          <w:rFonts w:cstheme="minorHAnsi"/>
        </w:rPr>
        <w:t xml:space="preserve">: Plots of mean taxon richness and mean abundance (log transformed) </w:t>
      </w:r>
      <w:r w:rsidRPr="00747E35">
        <w:rPr>
          <w:rFonts w:cstheme="minorHAnsi"/>
          <w:lang w:val="en-US"/>
        </w:rPr>
        <w:t xml:space="preserve">± 1 SE </w:t>
      </w:r>
      <w:r w:rsidRPr="00747E35">
        <w:rPr>
          <w:rFonts w:cstheme="minorHAnsi"/>
        </w:rPr>
        <w:t xml:space="preserve">in relation to hyporheic exchange flows in the Bremer (plots A, B) and Maules (plots C, D) catchments. </w:t>
      </w:r>
      <w:r w:rsidRPr="00747E35">
        <w:rPr>
          <w:rFonts w:cstheme="minorHAnsi"/>
          <w:lang w:val="en-US"/>
        </w:rPr>
        <w:t xml:space="preserve">Hydraulic head difference categories based on field measurements of vertical hydraulic head (VHH, cm): “Strongly </w:t>
      </w:r>
      <w:r w:rsidR="006B2C7A">
        <w:rPr>
          <w:rFonts w:cstheme="minorHAnsi"/>
          <w:lang w:val="en-US"/>
        </w:rPr>
        <w:t>downwelling</w:t>
      </w:r>
      <w:r w:rsidRPr="00747E35">
        <w:rPr>
          <w:rFonts w:cstheme="minorHAnsi"/>
          <w:lang w:val="en-US"/>
        </w:rPr>
        <w:t>” (VHH &lt; -1.0cm); “Strongly upwelling” (VHH &gt; 1.0cm); “Neutral” which encompassed neutral, weakly upwelling/</w:t>
      </w:r>
      <w:r w:rsidR="006B2C7A">
        <w:rPr>
          <w:rFonts w:cstheme="minorHAnsi"/>
          <w:lang w:val="en-US"/>
        </w:rPr>
        <w:t>downwelling</w:t>
      </w:r>
      <w:r w:rsidRPr="00747E35">
        <w:rPr>
          <w:rFonts w:cstheme="minorHAnsi"/>
          <w:lang w:val="en-US"/>
        </w:rPr>
        <w:t xml:space="preserve"> sites (-0.9 &lt; VHH &lt;+0.9cm). Note that VHH’s in the Bremer catchment were not as strong as in the Maules catchment (</w:t>
      </w:r>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116</w:t>
      </w:r>
      <w:r w:rsidR="009D6600" w:rsidRPr="00747E35">
        <w:rPr>
          <w:rFonts w:cstheme="minorHAnsi"/>
          <w:noProof/>
        </w:rPr>
        <w:fldChar w:fldCharType="end"/>
      </w:r>
      <w:r w:rsidRPr="00747E35">
        <w:rPr>
          <w:rFonts w:cstheme="minorHAnsi"/>
          <w:noProof/>
        </w:rPr>
        <w:t>).</w:t>
      </w:r>
      <w:r w:rsidRPr="00747E35">
        <w:rPr>
          <w:rFonts w:cstheme="minorHAnsi"/>
          <w:lang w:val="en-US"/>
        </w:rPr>
        <w:t xml:space="preserve"> Means with the same letter are not significantly different (p &gt; 0.05). </w:t>
      </w:r>
      <w:r w:rsidRPr="00747E35">
        <w:rPr>
          <w:rFonts w:cstheme="minorHAnsi"/>
        </w:rPr>
        <w:t xml:space="preserve">Maules catchment </w:t>
      </w:r>
      <w:r w:rsidR="006B2C7A">
        <w:rPr>
          <w:rFonts w:cstheme="minorHAnsi"/>
        </w:rPr>
        <w:t>downwelling</w:t>
      </w:r>
      <w:r w:rsidRPr="00747E35">
        <w:rPr>
          <w:rFonts w:cstheme="minorHAnsi"/>
        </w:rPr>
        <w:t xml:space="preserve"> samples had significantly lower mean taxon richness and mean abundance than upwelling and VHH near neutral samples. Bremer catchment samples were not significantly different.  </w:t>
      </w:r>
    </w:p>
    <w:bookmarkEnd w:id="305"/>
    <w:p w14:paraId="26808222" w14:textId="77777777" w:rsidR="003D3694" w:rsidRPr="00747E35" w:rsidRDefault="003D3694" w:rsidP="003D3694">
      <w:pPr>
        <w:rPr>
          <w:rFonts w:asciiTheme="minorHAnsi" w:hAnsiTheme="minorHAnsi" w:cstheme="minorHAnsi"/>
        </w:rPr>
      </w:pPr>
    </w:p>
    <w:p w14:paraId="2B0D212D" w14:textId="77777777" w:rsidR="003D3694" w:rsidRPr="00747E35" w:rsidRDefault="003D3694" w:rsidP="00C6582F">
      <w:pPr>
        <w:pStyle w:val="Heading6"/>
        <w:numPr>
          <w:ilvl w:val="0"/>
          <w:numId w:val="0"/>
        </w:numPr>
        <w:rPr>
          <w:rFonts w:asciiTheme="minorHAnsi" w:hAnsiTheme="minorHAnsi" w:cstheme="minorHAnsi"/>
        </w:rPr>
      </w:pPr>
      <w:r w:rsidRPr="00747E35">
        <w:rPr>
          <w:rFonts w:asciiTheme="minorHAnsi" w:hAnsiTheme="minorHAnsi" w:cstheme="minorHAnsi"/>
        </w:rPr>
        <w:t>Patterns in relation to flow regime</w:t>
      </w:r>
    </w:p>
    <w:p w14:paraId="31BE987C" w14:textId="1D9F8417" w:rsidR="003D3694" w:rsidRPr="00747E35" w:rsidRDefault="003D3694" w:rsidP="003D3694">
      <w:pPr>
        <w:rPr>
          <w:rFonts w:asciiTheme="minorHAnsi" w:hAnsiTheme="minorHAnsi" w:cstheme="minorHAnsi"/>
        </w:rPr>
      </w:pPr>
      <w:r w:rsidRPr="00747E35">
        <w:rPr>
          <w:rFonts w:asciiTheme="minorHAnsi" w:hAnsiTheme="minorHAnsi" w:cstheme="minorHAnsi"/>
        </w:rPr>
        <w:t>For the Bremer catchment species richness, there was no significant difference by flow regime (both comparisons with intermittent, p &gt; 0.1) (</w:t>
      </w:r>
      <w:r w:rsidRPr="00747E35">
        <w:rPr>
          <w:rFonts w:asciiTheme="minorHAnsi" w:hAnsiTheme="minorHAnsi" w:cstheme="minorHAnsi"/>
        </w:rPr>
        <w:fldChar w:fldCharType="begin"/>
      </w:r>
      <w:r w:rsidRPr="00747E35">
        <w:rPr>
          <w:rFonts w:asciiTheme="minorHAnsi" w:hAnsiTheme="minorHAnsi" w:cstheme="minorHAnsi"/>
        </w:rPr>
        <w:instrText xml:space="preserve"> REF _Ref467128171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i/>
        </w:rPr>
        <w:t xml:space="preserve">Figure </w:t>
      </w:r>
      <w:r w:rsidR="00D023DD" w:rsidRPr="00D023DD">
        <w:rPr>
          <w:rFonts w:asciiTheme="minorHAnsi" w:hAnsiTheme="minorHAnsi" w:cstheme="minorHAnsi"/>
          <w:i/>
          <w:noProof/>
        </w:rPr>
        <w:t>117</w:t>
      </w:r>
      <w:r w:rsidRPr="00747E35">
        <w:rPr>
          <w:rFonts w:asciiTheme="minorHAnsi" w:hAnsiTheme="minorHAnsi" w:cstheme="minorHAnsi"/>
        </w:rPr>
        <w:fldChar w:fldCharType="end"/>
      </w:r>
      <w:r w:rsidRPr="00747E35">
        <w:rPr>
          <w:rFonts w:asciiTheme="minorHAnsi" w:hAnsiTheme="minorHAnsi" w:cstheme="minorHAnsi"/>
        </w:rPr>
        <w:t>). Similarly, for log total abundance, we found high within-regime variation and no evidence for any difference between flow regime classes (both p &gt; 0.35) (</w:t>
      </w:r>
      <w:r w:rsidRPr="00747E35">
        <w:rPr>
          <w:rFonts w:asciiTheme="minorHAnsi" w:hAnsiTheme="minorHAnsi" w:cstheme="minorHAnsi"/>
        </w:rPr>
        <w:fldChar w:fldCharType="begin"/>
      </w:r>
      <w:r w:rsidRPr="00747E35">
        <w:rPr>
          <w:rFonts w:asciiTheme="minorHAnsi" w:hAnsiTheme="minorHAnsi" w:cstheme="minorHAnsi"/>
        </w:rPr>
        <w:instrText xml:space="preserve"> REF _Ref467128171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i/>
        </w:rPr>
        <w:t xml:space="preserve">Figure </w:t>
      </w:r>
      <w:r w:rsidR="00D023DD" w:rsidRPr="00D023DD">
        <w:rPr>
          <w:rFonts w:asciiTheme="minorHAnsi" w:hAnsiTheme="minorHAnsi" w:cstheme="minorHAnsi"/>
          <w:i/>
          <w:noProof/>
        </w:rPr>
        <w:t>117</w:t>
      </w:r>
      <w:r w:rsidRPr="00747E35">
        <w:rPr>
          <w:rFonts w:asciiTheme="minorHAnsi" w:hAnsiTheme="minorHAnsi" w:cstheme="minorHAnsi"/>
        </w:rPr>
        <w:fldChar w:fldCharType="end"/>
      </w:r>
      <w:r w:rsidRPr="00747E35">
        <w:rPr>
          <w:rFonts w:asciiTheme="minorHAnsi" w:hAnsiTheme="minorHAnsi" w:cstheme="minorHAnsi"/>
        </w:rPr>
        <w:t>).</w:t>
      </w:r>
    </w:p>
    <w:p w14:paraId="77EC9E6A" w14:textId="0B9B3974" w:rsidR="003D3694" w:rsidRPr="00747E35" w:rsidRDefault="003D3694" w:rsidP="003D3694">
      <w:pPr>
        <w:rPr>
          <w:rFonts w:asciiTheme="minorHAnsi" w:hAnsiTheme="minorHAnsi" w:cstheme="minorHAnsi"/>
        </w:rPr>
      </w:pPr>
      <w:r w:rsidRPr="00747E35">
        <w:rPr>
          <w:rFonts w:asciiTheme="minorHAnsi" w:hAnsiTheme="minorHAnsi" w:cstheme="minorHAnsi"/>
        </w:rPr>
        <w:t>For the Maules catchment species richness there was no evidence for an interaction between regime and depth (F</w:t>
      </w:r>
      <w:r w:rsidRPr="00747E35">
        <w:rPr>
          <w:rFonts w:asciiTheme="minorHAnsi" w:hAnsiTheme="minorHAnsi" w:cstheme="minorHAnsi"/>
          <w:vertAlign w:val="subscript"/>
        </w:rPr>
        <w:t>(2, 32)</w:t>
      </w:r>
      <w:r w:rsidRPr="00747E35">
        <w:rPr>
          <w:rFonts w:asciiTheme="minorHAnsi" w:hAnsiTheme="minorHAnsi" w:cstheme="minorHAnsi"/>
        </w:rPr>
        <w:t xml:space="preserve"> = 1.44, p = 0.25) nor any differences by depth (F</w:t>
      </w:r>
      <w:r w:rsidRPr="00747E35">
        <w:rPr>
          <w:rFonts w:asciiTheme="minorHAnsi" w:hAnsiTheme="minorHAnsi" w:cstheme="minorHAnsi"/>
          <w:vertAlign w:val="subscript"/>
        </w:rPr>
        <w:t>(1, 32)</w:t>
      </w:r>
      <w:r w:rsidRPr="00747E35">
        <w:rPr>
          <w:rFonts w:asciiTheme="minorHAnsi" w:hAnsiTheme="minorHAnsi" w:cstheme="minorHAnsi"/>
        </w:rPr>
        <w:t xml:space="preserve"> = 2.69, p = 0.11). Both perennial gaining and perennial losing sites had substantially lower mean species richness than intermittent sites (3. 56 and 4.93 fewer species respectively, both p </w:t>
      </w:r>
      <w:r w:rsidRPr="00747E35">
        <w:rPr>
          <w:rFonts w:ascii="Cambria Math" w:hAnsi="Cambria Math" w:cs="Cambria Math"/>
        </w:rPr>
        <w:t>≪</w:t>
      </w:r>
      <w:r w:rsidRPr="00747E35">
        <w:rPr>
          <w:rFonts w:asciiTheme="minorHAnsi" w:hAnsiTheme="minorHAnsi" w:cstheme="minorHAnsi"/>
        </w:rPr>
        <w:t xml:space="preserve"> 0.001) (</w:t>
      </w:r>
      <w:r w:rsidRPr="00747E35">
        <w:rPr>
          <w:rFonts w:asciiTheme="minorHAnsi" w:hAnsiTheme="minorHAnsi" w:cstheme="minorHAnsi"/>
        </w:rPr>
        <w:fldChar w:fldCharType="begin"/>
      </w:r>
      <w:r w:rsidRPr="00747E35">
        <w:rPr>
          <w:rFonts w:asciiTheme="minorHAnsi" w:hAnsiTheme="minorHAnsi" w:cstheme="minorHAnsi"/>
        </w:rPr>
        <w:instrText xml:space="preserve"> REF _Ref467128171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i/>
        </w:rPr>
        <w:t xml:space="preserve">Figure </w:t>
      </w:r>
      <w:r w:rsidR="00D023DD" w:rsidRPr="00D023DD">
        <w:rPr>
          <w:rFonts w:asciiTheme="minorHAnsi" w:hAnsiTheme="minorHAnsi" w:cstheme="minorHAnsi"/>
          <w:i/>
          <w:noProof/>
        </w:rPr>
        <w:t>117</w:t>
      </w:r>
      <w:r w:rsidRPr="00747E35">
        <w:rPr>
          <w:rFonts w:asciiTheme="minorHAnsi" w:hAnsiTheme="minorHAnsi" w:cstheme="minorHAnsi"/>
        </w:rPr>
        <w:fldChar w:fldCharType="end"/>
      </w:r>
      <w:r w:rsidRPr="00747E35">
        <w:rPr>
          <w:rFonts w:asciiTheme="minorHAnsi" w:hAnsiTheme="minorHAnsi" w:cstheme="minorHAnsi"/>
        </w:rPr>
        <w:t>). For Maules log-transformed total abundance, there was no evidence of a regime × depth interaction (F</w:t>
      </w:r>
      <w:r w:rsidRPr="00747E35">
        <w:rPr>
          <w:rFonts w:asciiTheme="minorHAnsi" w:hAnsiTheme="minorHAnsi" w:cstheme="minorHAnsi"/>
          <w:vertAlign w:val="subscript"/>
        </w:rPr>
        <w:t>(2, 32)</w:t>
      </w:r>
      <w:r w:rsidRPr="00747E35">
        <w:rPr>
          <w:rFonts w:asciiTheme="minorHAnsi" w:hAnsiTheme="minorHAnsi" w:cstheme="minorHAnsi"/>
        </w:rPr>
        <w:t xml:space="preserve"> = 0.56, p = 0.58), and a weak effect of depth </w:t>
      </w:r>
      <w:r w:rsidRPr="00747E35">
        <w:rPr>
          <w:rFonts w:asciiTheme="minorHAnsi" w:hAnsiTheme="minorHAnsi" w:cstheme="minorHAnsi"/>
        </w:rPr>
        <w:lastRenderedPageBreak/>
        <w:t>(F</w:t>
      </w:r>
      <w:r w:rsidRPr="00747E35">
        <w:rPr>
          <w:rFonts w:asciiTheme="minorHAnsi" w:hAnsiTheme="minorHAnsi" w:cstheme="minorHAnsi"/>
          <w:vertAlign w:val="subscript"/>
        </w:rPr>
        <w:t>(1, 32)</w:t>
      </w:r>
      <w:r w:rsidRPr="00747E35">
        <w:rPr>
          <w:rFonts w:asciiTheme="minorHAnsi" w:hAnsiTheme="minorHAnsi" w:cstheme="minorHAnsi"/>
        </w:rPr>
        <w:t xml:space="preserve"> = 3.58, p = 0.068, 1.81 × as many individuals in shallow samples than deep samples). Perennial gaining and perennial losing regime samples had strongly, significantly reduced abundances than intermittent regime samples (0.27 × and 0.14 × fewer individuals respectively, both p &lt; 0.005).</w:t>
      </w:r>
    </w:p>
    <w:p w14:paraId="4B8652C0" w14:textId="77777777" w:rsidR="003D3694" w:rsidRPr="00747E35" w:rsidRDefault="003D3694" w:rsidP="003D3694">
      <w:pPr>
        <w:keepNext/>
        <w:keepLines/>
        <w:jc w:val="center"/>
        <w:rPr>
          <w:rFonts w:asciiTheme="minorHAnsi" w:hAnsiTheme="minorHAnsi" w:cstheme="minorHAnsi"/>
        </w:rPr>
      </w:pPr>
    </w:p>
    <w:p w14:paraId="7B216E88" w14:textId="77777777" w:rsidR="003D3694" w:rsidRPr="00747E35" w:rsidRDefault="003D3694" w:rsidP="003D3694">
      <w:pPr>
        <w:keepNext/>
        <w:keepLines/>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6509FF0B" wp14:editId="0911DE17">
            <wp:extent cx="6051792" cy="4536491"/>
            <wp:effectExtent l="0" t="0" r="6350" b="0"/>
            <wp:docPr id="11288" name="Picture 11288" descr="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6048899" cy="4534323"/>
                    </a:xfrm>
                    <a:prstGeom prst="rect">
                      <a:avLst/>
                    </a:prstGeom>
                    <a:noFill/>
                  </pic:spPr>
                </pic:pic>
              </a:graphicData>
            </a:graphic>
          </wp:inline>
        </w:drawing>
      </w:r>
    </w:p>
    <w:p w14:paraId="4C9A4EFE" w14:textId="4660F28B" w:rsidR="003D3694" w:rsidRPr="00747E35" w:rsidRDefault="003D3694" w:rsidP="00566456">
      <w:pPr>
        <w:pStyle w:val="Caption"/>
        <w:numPr>
          <w:ilvl w:val="0"/>
          <w:numId w:val="0"/>
        </w:numPr>
        <w:rPr>
          <w:rFonts w:cstheme="minorHAnsi"/>
          <w:lang w:val="en-US"/>
        </w:rPr>
      </w:pPr>
      <w:bookmarkStart w:id="307" w:name="_Ref467128171"/>
      <w:r w:rsidRPr="00747E35">
        <w:rPr>
          <w:rFonts w:cstheme="minorHAnsi"/>
          <w:i w:val="0"/>
        </w:rPr>
        <w:t xml:space="preserve">Figure </w:t>
      </w:r>
      <w:r w:rsidRPr="00747E35">
        <w:rPr>
          <w:rFonts w:cstheme="minorHAnsi"/>
          <w:bCs w:val="0"/>
          <w:i w:val="0"/>
        </w:rPr>
        <w:fldChar w:fldCharType="begin"/>
      </w:r>
      <w:r w:rsidRPr="00747E35">
        <w:rPr>
          <w:rFonts w:cstheme="minorHAnsi"/>
          <w:i w:val="0"/>
        </w:rPr>
        <w:instrText xml:space="preserve"> SEQ Figure \* ARABIC </w:instrText>
      </w:r>
      <w:r w:rsidRPr="00747E35">
        <w:rPr>
          <w:rFonts w:cstheme="minorHAnsi"/>
          <w:bCs w:val="0"/>
          <w:i w:val="0"/>
        </w:rPr>
        <w:fldChar w:fldCharType="separate"/>
      </w:r>
      <w:r w:rsidR="00D023DD">
        <w:rPr>
          <w:rFonts w:cstheme="minorHAnsi"/>
          <w:i w:val="0"/>
          <w:noProof/>
        </w:rPr>
        <w:t>117</w:t>
      </w:r>
      <w:r w:rsidRPr="00747E35">
        <w:rPr>
          <w:rFonts w:cstheme="minorHAnsi"/>
          <w:bCs w:val="0"/>
          <w:i w:val="0"/>
        </w:rPr>
        <w:fldChar w:fldCharType="end"/>
      </w:r>
      <w:bookmarkEnd w:id="307"/>
      <w:r w:rsidRPr="00747E35">
        <w:rPr>
          <w:rFonts w:cstheme="minorHAnsi"/>
          <w:i w:val="0"/>
        </w:rPr>
        <w:t xml:space="preserve">: </w:t>
      </w:r>
      <w:r w:rsidRPr="00747E35">
        <w:rPr>
          <w:rFonts w:cstheme="minorHAnsi"/>
        </w:rPr>
        <w:t xml:space="preserve">Plots of mean taxon richness and mean abundance (log transformed) </w:t>
      </w:r>
      <w:r w:rsidRPr="00747E35">
        <w:rPr>
          <w:rFonts w:cstheme="minorHAnsi"/>
          <w:lang w:val="en-US"/>
        </w:rPr>
        <w:t xml:space="preserve">± 1 SE </w:t>
      </w:r>
      <w:r w:rsidRPr="00747E35">
        <w:rPr>
          <w:rFonts w:cstheme="minorHAnsi"/>
        </w:rPr>
        <w:t xml:space="preserve">in relation to flow regime class (intermittent, perennial gaining, and perennial losing) in the Bremer (plots A, B) and Maules (plots C, D) catchments. </w:t>
      </w:r>
      <w:r w:rsidRPr="00747E35">
        <w:rPr>
          <w:rFonts w:cstheme="minorHAnsi"/>
          <w:lang w:val="en-US"/>
        </w:rPr>
        <w:t>Means with the same letter are not significantly different (p &gt; 0.05).</w:t>
      </w:r>
      <w:r w:rsidRPr="00747E35">
        <w:rPr>
          <w:rFonts w:cstheme="minorHAnsi"/>
        </w:rPr>
        <w:t xml:space="preserve"> Maules catchment intermittent flow regime samples had significantly greater mean taxon richness and mean abundance than the</w:t>
      </w:r>
      <w:r w:rsidR="00315CE5">
        <w:rPr>
          <w:rFonts w:cstheme="minorHAnsi"/>
        </w:rPr>
        <w:t xml:space="preserve"> perennial gaining </w:t>
      </w:r>
      <w:r w:rsidRPr="00747E35">
        <w:rPr>
          <w:rFonts w:cstheme="minorHAnsi"/>
        </w:rPr>
        <w:t xml:space="preserve">and perennial losing flow regime samples. Bremer catchment samples were not significantly different.  </w:t>
      </w:r>
    </w:p>
    <w:p w14:paraId="56D53C37" w14:textId="77777777" w:rsidR="003D3694" w:rsidRPr="00747E35" w:rsidRDefault="003D3694" w:rsidP="003D3694">
      <w:pPr>
        <w:rPr>
          <w:rFonts w:asciiTheme="minorHAnsi" w:hAnsiTheme="minorHAnsi" w:cstheme="minorHAnsi"/>
        </w:rPr>
      </w:pPr>
    </w:p>
    <w:p w14:paraId="4D73F0EE" w14:textId="77777777" w:rsidR="003D3694" w:rsidRPr="00747E35" w:rsidRDefault="003D3694" w:rsidP="00566456">
      <w:pPr>
        <w:pStyle w:val="Heading6"/>
        <w:numPr>
          <w:ilvl w:val="0"/>
          <w:numId w:val="0"/>
        </w:numPr>
        <w:rPr>
          <w:rFonts w:asciiTheme="minorHAnsi" w:hAnsiTheme="minorHAnsi" w:cstheme="minorHAnsi"/>
        </w:rPr>
      </w:pPr>
      <w:r w:rsidRPr="00747E35">
        <w:rPr>
          <w:rFonts w:asciiTheme="minorHAnsi" w:hAnsiTheme="minorHAnsi" w:cstheme="minorHAnsi"/>
        </w:rPr>
        <w:t xml:space="preserve">Baseflow recession in Middle Creek and Maules Creek </w:t>
      </w:r>
    </w:p>
    <w:p w14:paraId="73EECA53"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progressive baseflow recession recorded during the study period in the intermittent and perennial losing sections afforded the opportunity to explore the ecohydrological responses of hyporheic assemblages and abiotic variables during groundwater drawdown. </w:t>
      </w:r>
      <w:r w:rsidRPr="00747E35">
        <w:rPr>
          <w:rFonts w:asciiTheme="minorHAnsi" w:hAnsiTheme="minorHAnsi" w:cstheme="minorHAnsi"/>
        </w:rPr>
        <w:fldChar w:fldCharType="begin"/>
      </w:r>
      <w:r w:rsidRPr="00747E35">
        <w:rPr>
          <w:rFonts w:asciiTheme="minorHAnsi" w:hAnsiTheme="minorHAnsi" w:cstheme="minorHAnsi"/>
        </w:rPr>
        <w:instrText xml:space="preserve"> REF _Ref467128389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Figure 118</w:t>
      </w:r>
      <w:r w:rsidRPr="00747E35">
        <w:rPr>
          <w:rFonts w:asciiTheme="minorHAnsi" w:hAnsiTheme="minorHAnsi" w:cstheme="minorHAnsi"/>
        </w:rPr>
        <w:fldChar w:fldCharType="end"/>
      </w:r>
      <w:r w:rsidRPr="00747E35">
        <w:rPr>
          <w:rFonts w:asciiTheme="minorHAnsi" w:hAnsiTheme="minorHAnsi" w:cstheme="minorHAnsi"/>
        </w:rPr>
        <w:t xml:space="preserve"> shows an MDS ordination of the assemblages at Middle Creek intermittent sites and Maules Creek perennial losing sites, and their trajectories through time as the water table progressively receded and richness / abundance declined. At four sites, the hyporheic assemblages had congruent trajectories aligned with declining richness and abundance that converged at a single point in February 2016 when the hyporheic zone at these sites was desaturated to &gt; 0.9 m depth below streambed level and no aquatic taxa could be collected.</w:t>
      </w:r>
    </w:p>
    <w:p w14:paraId="2AD4D9A0" w14:textId="77777777" w:rsidR="003D3694" w:rsidRPr="00747E35" w:rsidRDefault="003D3694" w:rsidP="003D3694">
      <w:pPr>
        <w:autoSpaceDE/>
        <w:autoSpaceDN/>
        <w:spacing w:line="276" w:lineRule="auto"/>
        <w:rPr>
          <w:rFonts w:asciiTheme="minorHAnsi" w:hAnsiTheme="minorHAnsi" w:cstheme="minorHAnsi"/>
        </w:rPr>
      </w:pPr>
    </w:p>
    <w:p w14:paraId="42AD9230" w14:textId="77777777" w:rsidR="003D3694" w:rsidRPr="00747E35" w:rsidRDefault="003D3694" w:rsidP="003D3694">
      <w:pPr>
        <w:autoSpaceDE/>
        <w:autoSpaceDN/>
        <w:spacing w:line="276" w:lineRule="auto"/>
        <w:jc w:val="center"/>
        <w:rPr>
          <w:rFonts w:asciiTheme="minorHAnsi" w:hAnsiTheme="minorHAnsi" w:cstheme="minorHAnsi"/>
          <w:b/>
        </w:rPr>
      </w:pPr>
      <w:r w:rsidRPr="00747E35">
        <w:rPr>
          <w:rFonts w:asciiTheme="minorHAnsi" w:hAnsiTheme="minorHAnsi" w:cstheme="minorHAnsi"/>
          <w:b/>
          <w:noProof/>
          <w:lang w:val="en-AU" w:eastAsia="en-AU"/>
        </w:rPr>
        <w:lastRenderedPageBreak/>
        <w:drawing>
          <wp:inline distT="0" distB="0" distL="0" distR="0" wp14:anchorId="11DC6A13" wp14:editId="2D3306B9">
            <wp:extent cx="6276162" cy="3505200"/>
            <wp:effectExtent l="0" t="0" r="0" b="0"/>
            <wp:docPr id="2077" name="Picture 2077" desc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2" cstate="screen">
                      <a:extLst>
                        <a:ext uri="{28A0092B-C50C-407E-A947-70E740481C1C}">
                          <a14:useLocalDpi xmlns:a14="http://schemas.microsoft.com/office/drawing/2010/main"/>
                        </a:ext>
                      </a:extLst>
                    </a:blip>
                    <a:srcRect/>
                    <a:stretch/>
                  </pic:blipFill>
                  <pic:spPr bwMode="auto">
                    <a:xfrm>
                      <a:off x="0" y="0"/>
                      <a:ext cx="6286721" cy="3511097"/>
                    </a:xfrm>
                    <a:prstGeom prst="rect">
                      <a:avLst/>
                    </a:prstGeom>
                    <a:noFill/>
                    <a:ln>
                      <a:noFill/>
                    </a:ln>
                    <a:extLst>
                      <a:ext uri="{53640926-AAD7-44D8-BBD7-CCE9431645EC}">
                        <a14:shadowObscured xmlns:a14="http://schemas.microsoft.com/office/drawing/2010/main"/>
                      </a:ext>
                    </a:extLst>
                  </pic:spPr>
                </pic:pic>
              </a:graphicData>
            </a:graphic>
          </wp:inline>
        </w:drawing>
      </w:r>
    </w:p>
    <w:p w14:paraId="17CE04B8" w14:textId="309852A8" w:rsidR="00C766C8" w:rsidRDefault="003D3694" w:rsidP="00566456">
      <w:pPr>
        <w:pStyle w:val="Caption"/>
        <w:numPr>
          <w:ilvl w:val="0"/>
          <w:numId w:val="0"/>
        </w:numPr>
        <w:rPr>
          <w:rFonts w:cstheme="minorHAnsi"/>
        </w:rPr>
      </w:pPr>
      <w:bookmarkStart w:id="308" w:name="_Ref467128389"/>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118</w:t>
      </w:r>
      <w:r w:rsidR="009D6600" w:rsidRPr="00747E35">
        <w:rPr>
          <w:rFonts w:cstheme="minorHAnsi"/>
          <w:noProof/>
        </w:rPr>
        <w:fldChar w:fldCharType="end"/>
      </w:r>
      <w:bookmarkEnd w:id="308"/>
      <w:r w:rsidRPr="00747E35">
        <w:rPr>
          <w:rFonts w:cstheme="minorHAnsi"/>
        </w:rPr>
        <w:t>: MDS ordination of site averages, intermittent and perennial losing sites, showing site trajectories through time as richness / abundance declined towards zero as the water table receded and the hyporheic zone became desaturated. Sites are coloured by their flow regime class: intermittent (blue), perennial losing (red, orange). Dispersion weighted, Bray-Curtis similarity (+dummy variable) (stress 0.01).</w:t>
      </w:r>
    </w:p>
    <w:p w14:paraId="51053E7A" w14:textId="77777777" w:rsidR="00B471BB" w:rsidRDefault="003D3694" w:rsidP="00B471BB">
      <w:pPr>
        <w:autoSpaceDE/>
        <w:autoSpaceDN/>
        <w:spacing w:after="160" w:line="259" w:lineRule="auto"/>
      </w:pPr>
      <w:r w:rsidRPr="00747E35">
        <w:br w:type="page"/>
      </w:r>
    </w:p>
    <w:p w14:paraId="541DE9E0" w14:textId="552FACD8" w:rsidR="00B471BB" w:rsidRDefault="00B471BB" w:rsidP="00B471BB">
      <w:pPr>
        <w:pStyle w:val="Heading2"/>
      </w:pPr>
      <w:bookmarkStart w:id="309" w:name="_Toc470004882"/>
      <w:r>
        <w:lastRenderedPageBreak/>
        <w:t>Discussion</w:t>
      </w:r>
      <w:bookmarkEnd w:id="309"/>
    </w:p>
    <w:p w14:paraId="3C8842C9" w14:textId="08C9423A" w:rsidR="003D3694" w:rsidRPr="00747E35" w:rsidRDefault="003D3694" w:rsidP="00566456">
      <w:pPr>
        <w:pStyle w:val="Heading3"/>
        <w:rPr>
          <w:rFonts w:asciiTheme="minorHAnsi" w:hAnsiTheme="minorHAnsi" w:cstheme="minorHAnsi"/>
        </w:rPr>
      </w:pPr>
      <w:bookmarkStart w:id="310" w:name="_Toc466449961"/>
      <w:bookmarkStart w:id="311" w:name="_Toc470004883"/>
      <w:bookmarkEnd w:id="274"/>
      <w:bookmarkEnd w:id="275"/>
      <w:bookmarkEnd w:id="276"/>
      <w:r w:rsidRPr="00747E35">
        <w:rPr>
          <w:rFonts w:asciiTheme="minorHAnsi" w:hAnsiTheme="minorHAnsi" w:cstheme="minorHAnsi"/>
        </w:rPr>
        <w:t>Physical Hydrology</w:t>
      </w:r>
      <w:bookmarkEnd w:id="310"/>
      <w:bookmarkEnd w:id="311"/>
    </w:p>
    <w:p w14:paraId="5276E12D" w14:textId="5CF7DB79" w:rsidR="003D3694" w:rsidRPr="00747E35" w:rsidRDefault="003D3694" w:rsidP="003D3694">
      <w:pPr>
        <w:rPr>
          <w:rFonts w:asciiTheme="minorHAnsi" w:hAnsiTheme="minorHAnsi" w:cstheme="minorHAnsi"/>
        </w:rPr>
      </w:pPr>
      <w:r w:rsidRPr="00747E35">
        <w:rPr>
          <w:rFonts w:asciiTheme="minorHAnsi" w:hAnsiTheme="minorHAnsi" w:cstheme="minorHAnsi"/>
        </w:rPr>
        <w:t>The hydrologic observations (stream flow and surface water and groundwater hydrographs) during the study period confirmed the characterisation of the Maules Creek stream research catchment based on previous studies (Andersen and Acworth, 2009, Rau et al., 2010, Cuthbert et al., 2016). The upper part of the system along the intermittent Middle Creek was dry 78% of the time, with one major flow event starting on June 16</w:t>
      </w:r>
      <w:r w:rsidRPr="00747E35">
        <w:rPr>
          <w:rFonts w:asciiTheme="minorHAnsi" w:hAnsiTheme="minorHAnsi" w:cstheme="minorHAnsi"/>
          <w:vertAlign w:val="superscript"/>
        </w:rPr>
        <w:t>th</w:t>
      </w:r>
      <w:r w:rsidRPr="00747E35">
        <w:rPr>
          <w:rFonts w:asciiTheme="minorHAnsi" w:hAnsiTheme="minorHAnsi" w:cstheme="minorHAnsi"/>
        </w:rPr>
        <w:t xml:space="preserve"> and lasting for 122 days. Despite this flow event never making it as surface water flow all the way to the perennial section at Horsearm Creek, the perennial section of the system had continuous surface water flow throughout the study period supported by regional groundwater discharge. The very stable temperature data from the streambed temperature array at the ‘Spring’ site and the lack of diel temperature variations verified the gaining conditions (Rau et al. 2010) and the discharge of regional groundwater at this site. Larger-scale regional diffuse groundwater discharge along the perennial section of Horsearm Creek also contributes to maintaining a stable water level further downstream in Maules Creek at Elfin Crossing. The most downstream sections of the system (on Maules Creek) were losing for the entire study period as confirmed by an observed one metre decline in groundwater level in a bore adjacent to Elfin Crossing (see </w:t>
      </w:r>
      <w:r w:rsidRPr="00747E35">
        <w:rPr>
          <w:rFonts w:asciiTheme="minorHAnsi" w:hAnsiTheme="minorHAnsi" w:cstheme="minorHAnsi"/>
        </w:rPr>
        <w:fldChar w:fldCharType="begin"/>
      </w:r>
      <w:r w:rsidRPr="00747E35">
        <w:rPr>
          <w:rFonts w:asciiTheme="minorHAnsi" w:hAnsiTheme="minorHAnsi" w:cstheme="minorHAnsi"/>
        </w:rPr>
        <w:instrText xml:space="preserve"> REF _Ref452276929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69</w:t>
      </w:r>
      <w:r w:rsidRPr="00747E35">
        <w:rPr>
          <w:rFonts w:asciiTheme="minorHAnsi" w:hAnsiTheme="minorHAnsi" w:cstheme="minorHAnsi"/>
        </w:rPr>
        <w:fldChar w:fldCharType="end"/>
      </w:r>
      <w:r w:rsidRPr="00747E35">
        <w:rPr>
          <w:rFonts w:asciiTheme="minorHAnsi" w:hAnsiTheme="minorHAnsi" w:cstheme="minorHAnsi"/>
        </w:rPr>
        <w:t xml:space="preserve">d). At the upper end of this section the streambed temperature arrays showed strong diel variations confirming the losing conditions. The section of the system downstream of Elfin Crossing also had extended drying and shrinking of surface water expression from October 2015. </w:t>
      </w:r>
    </w:p>
    <w:p w14:paraId="35A9521E"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These hydrologic observations confirm the initially defined hydrological regimes assigned to the different stream reaches. The observations support the proposed framework of using these sites as a proxy for the effects of groundwater drawdown in the interpretation of the hydrochemical and ecological data. And finally it verifies the validity of the study design in regard to the selection of sampling sites.  </w:t>
      </w:r>
    </w:p>
    <w:p w14:paraId="19B5F728" w14:textId="77777777" w:rsidR="00C6582F" w:rsidRPr="00747E35" w:rsidRDefault="00C6582F" w:rsidP="003D3694">
      <w:pPr>
        <w:rPr>
          <w:rFonts w:asciiTheme="minorHAnsi" w:hAnsiTheme="minorHAnsi" w:cstheme="minorHAnsi"/>
        </w:rPr>
      </w:pPr>
    </w:p>
    <w:p w14:paraId="3BC0096A" w14:textId="77777777" w:rsidR="003D3694" w:rsidRPr="00747E35" w:rsidRDefault="003D3694" w:rsidP="003D3694">
      <w:pPr>
        <w:pStyle w:val="Heading4"/>
        <w:keepNext w:val="0"/>
        <w:keepLines w:val="0"/>
        <w:rPr>
          <w:rFonts w:asciiTheme="minorHAnsi" w:hAnsiTheme="minorHAnsi" w:cstheme="minorHAnsi"/>
        </w:rPr>
      </w:pPr>
      <w:bookmarkStart w:id="312" w:name="_Toc466449962"/>
      <w:r w:rsidRPr="00747E35">
        <w:rPr>
          <w:rFonts w:asciiTheme="minorHAnsi" w:hAnsiTheme="minorHAnsi" w:cstheme="minorHAnsi"/>
        </w:rPr>
        <w:t>Hydrochemistry</w:t>
      </w:r>
      <w:bookmarkEnd w:id="312"/>
      <w:r w:rsidRPr="00747E35">
        <w:rPr>
          <w:rFonts w:asciiTheme="minorHAnsi" w:hAnsiTheme="minorHAnsi" w:cstheme="minorHAnsi"/>
        </w:rPr>
        <w:t xml:space="preserve"> </w:t>
      </w:r>
    </w:p>
    <w:p w14:paraId="5135EA0B"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16D17A48" wp14:editId="129193CC">
            <wp:extent cx="5731510" cy="2101850"/>
            <wp:effectExtent l="0" t="0" r="2540" b="0"/>
            <wp:docPr id="306" name="Picture 306" descr="Pie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ules &amp; Bremer redox.tif"/>
                    <pic:cNvPicPr/>
                  </pic:nvPicPr>
                  <pic:blipFill rotWithShape="1">
                    <a:blip r:embed="rId173" cstate="screen">
                      <a:extLst>
                        <a:ext uri="{28A0092B-C50C-407E-A947-70E740481C1C}">
                          <a14:useLocalDpi xmlns:a14="http://schemas.microsoft.com/office/drawing/2010/main"/>
                        </a:ext>
                      </a:extLst>
                    </a:blip>
                    <a:srcRect/>
                    <a:stretch/>
                  </pic:blipFill>
                  <pic:spPr bwMode="auto">
                    <a:xfrm>
                      <a:off x="0" y="0"/>
                      <a:ext cx="5731510" cy="2101850"/>
                    </a:xfrm>
                    <a:prstGeom prst="rect">
                      <a:avLst/>
                    </a:prstGeom>
                    <a:ln>
                      <a:noFill/>
                    </a:ln>
                    <a:extLst>
                      <a:ext uri="{53640926-AAD7-44D8-BBD7-CCE9431645EC}">
                        <a14:shadowObscured xmlns:a14="http://schemas.microsoft.com/office/drawing/2010/main"/>
                      </a:ext>
                    </a:extLst>
                  </pic:spPr>
                </pic:pic>
              </a:graphicData>
            </a:graphic>
          </wp:inline>
        </w:drawing>
      </w:r>
    </w:p>
    <w:p w14:paraId="1C608D3A" w14:textId="77777777" w:rsidR="003D3694" w:rsidRPr="00747E35" w:rsidRDefault="003D3694" w:rsidP="00566456">
      <w:pPr>
        <w:pStyle w:val="Caption"/>
        <w:numPr>
          <w:ilvl w:val="0"/>
          <w:numId w:val="0"/>
        </w:numPr>
        <w:rPr>
          <w:rFonts w:cstheme="minorHAnsi"/>
          <w:bCs w:val="0"/>
          <w:i w:val="0"/>
        </w:rPr>
      </w:pPr>
      <w:bookmarkStart w:id="313" w:name="_Ref466449886"/>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119</w:t>
      </w:r>
      <w:r w:rsidR="009D6600" w:rsidRPr="00747E35">
        <w:rPr>
          <w:rFonts w:cstheme="minorHAnsi"/>
          <w:noProof/>
        </w:rPr>
        <w:fldChar w:fldCharType="end"/>
      </w:r>
      <w:bookmarkEnd w:id="313"/>
      <w:r w:rsidRPr="00747E35">
        <w:rPr>
          <w:rFonts w:cstheme="minorHAnsi"/>
          <w:i w:val="0"/>
        </w:rPr>
        <w:t>: Redox categories of the hyporheic samples from upper Bremer River and Maules Creek catchments and bore samples from Maules Creek catchment. Approximate thresholds for DO categories: “Oxic” DO &gt; 0.5 mg/L; “Suboxic” 0.49&gt; DO &gt;0.21 mg/L, “Anoxic” DO &lt; 0.2 mg/L.</w:t>
      </w:r>
    </w:p>
    <w:p w14:paraId="3F16ACC2" w14:textId="77777777" w:rsidR="003D3694" w:rsidRPr="00747E35" w:rsidRDefault="003D3694" w:rsidP="003D3694">
      <w:pPr>
        <w:rPr>
          <w:rFonts w:asciiTheme="minorHAnsi" w:hAnsiTheme="minorHAnsi" w:cstheme="minorHAnsi"/>
        </w:rPr>
      </w:pPr>
    </w:p>
    <w:p w14:paraId="63EE5B47" w14:textId="2BABA3F9"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proportion of oxic, suboxic and anoxic samples are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_Ref466449886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119</w:t>
      </w:r>
      <w:r w:rsidRPr="00747E35">
        <w:rPr>
          <w:rFonts w:asciiTheme="minorHAnsi" w:hAnsiTheme="minorHAnsi" w:cstheme="minorHAnsi"/>
          <w:noProof/>
        </w:rPr>
        <w:fldChar w:fldCharType="end"/>
      </w:r>
      <w:r w:rsidRPr="00747E35">
        <w:rPr>
          <w:rFonts w:asciiTheme="minorHAnsi" w:hAnsiTheme="minorHAnsi" w:cstheme="minorHAnsi"/>
        </w:rPr>
        <w:t xml:space="preserve"> for both upper Bremer River and Maules Creek catchments. There is a higher proportion of oxic samples from the Bremer catchment than the Maules Creek catchment, and conversely a higher proportion of anoxic samples from Maules Creek catchment than upper Bremer River catchment. The proportion of suboxic samples is similar. The proportions in hyporheic and bore samples from Maules Creek catchment are similar.</w:t>
      </w:r>
    </w:p>
    <w:p w14:paraId="4A30939A"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lastRenderedPageBreak/>
        <w:t xml:space="preserve">For the Maules Creek catchment, the general similarity of surface and hyporheic water chemical compositions to the groundwater compositions near the creeks indicates significant surface water-groundwater interaction. Along the intermittent Middle Creek the interaction is mainly exchange and mixing of surface water with the groundwater during flow events. This mixing dilutes the groundwater near the creek (lower TDS than the aquifer in general) and in turn increases the amount of dissolved solutes in the surface water both with time over an event and as the flow event moves downstream. At the perennial gaining Horsearm Creek the interaction is dominated by the regional groundwater discharge and some shallow hyporheic exchange controlled by the streambed topography. In the downstream losing section along Maules Creek the shallow groundwater of the upper aquifer is receiving recharge from the creek.  Due to the lack of groundwater samples in the upper Bremer River catchment it is not possible to make a similar analysis for this catchment. However, the observation that the major ion chemistry varied between the October 2015 and February 2016 sampling for the upper Bremer River catchment sites in contrast to the stable composition for the perennially gaining sites (on Horsearm Creek) in the Maules Creek catchment could indicate that the upper Bremer River catchment sites are hydrologically more transient (i.e groundwater contributions to surface water flows were lacking for considerable durations in the study period). This hypothesis is supported by the temporal variations in flow and surface water levels for the two catchments. </w:t>
      </w:r>
    </w:p>
    <w:p w14:paraId="449B487F" w14:textId="0B9C1E50"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In the Maules Creek catchment, over the course of this project, the surface water chemistry of samples collected from the same locations has remained consistent, especially along the perennial section of Horsearm Creek (see </w:t>
      </w:r>
      <w:r w:rsidRPr="00747E35">
        <w:rPr>
          <w:rFonts w:asciiTheme="minorHAnsi" w:hAnsiTheme="minorHAnsi" w:cstheme="minorHAnsi"/>
        </w:rPr>
        <w:fldChar w:fldCharType="begin"/>
      </w:r>
      <w:r w:rsidRPr="00747E35">
        <w:rPr>
          <w:rFonts w:asciiTheme="minorHAnsi" w:hAnsiTheme="minorHAnsi" w:cstheme="minorHAnsi"/>
        </w:rPr>
        <w:instrText xml:space="preserve"> REF _Ref453228235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73</w:t>
      </w:r>
      <w:r w:rsidRPr="00747E35">
        <w:rPr>
          <w:rFonts w:asciiTheme="minorHAnsi" w:hAnsiTheme="minorHAnsi" w:cstheme="minorHAnsi"/>
        </w:rPr>
        <w:fldChar w:fldCharType="end"/>
      </w:r>
      <w:r w:rsidRPr="00747E35">
        <w:rPr>
          <w:rFonts w:asciiTheme="minorHAnsi" w:hAnsiTheme="minorHAnsi" w:cstheme="minorHAnsi"/>
        </w:rPr>
        <w:t>). This consistency is further evidence that regional groundwater discharge of constant composition maintains the flow in this reach. It was also evident from the PCA on the Maules Creek catchment hyporheic samples where the samples collected within the perennial gaining section of Horsearm Creek did not show any temporal separation (</w:t>
      </w:r>
      <w:r w:rsidRPr="00747E35">
        <w:rPr>
          <w:rFonts w:asciiTheme="minorHAnsi" w:hAnsiTheme="minorHAnsi" w:cstheme="minorHAnsi"/>
        </w:rPr>
        <w:fldChar w:fldCharType="begin"/>
      </w:r>
      <w:r w:rsidRPr="00747E35">
        <w:rPr>
          <w:rFonts w:asciiTheme="minorHAnsi" w:hAnsiTheme="minorHAnsi" w:cstheme="minorHAnsi"/>
        </w:rPr>
        <w:instrText xml:space="preserve"> REF _Ref453173426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88</w:t>
      </w:r>
      <w:r w:rsidRPr="00747E35">
        <w:rPr>
          <w:rFonts w:asciiTheme="minorHAnsi" w:hAnsiTheme="minorHAnsi" w:cstheme="minorHAnsi"/>
        </w:rPr>
        <w:fldChar w:fldCharType="end"/>
      </w:r>
      <w:r w:rsidRPr="00747E35">
        <w:rPr>
          <w:rFonts w:asciiTheme="minorHAnsi" w:hAnsiTheme="minorHAnsi" w:cstheme="minorHAnsi"/>
        </w:rPr>
        <w:t xml:space="preserve">). Conversely, the creeks in upper Bremer River catchment showed seasonal differences in both flow and chemistry, which suggest that the groundwater contribution for these creeks is transient and perhaps more localised. </w:t>
      </w:r>
    </w:p>
    <w:p w14:paraId="143909E7" w14:textId="76418D22" w:rsidR="003D3694" w:rsidRPr="00747E35" w:rsidRDefault="006B2C7A" w:rsidP="003D3694">
      <w:pPr>
        <w:rPr>
          <w:rFonts w:asciiTheme="minorHAnsi" w:hAnsiTheme="minorHAnsi" w:cstheme="minorHAnsi"/>
        </w:rPr>
      </w:pPr>
      <w:r>
        <w:rPr>
          <w:rFonts w:asciiTheme="minorHAnsi" w:hAnsiTheme="minorHAnsi" w:cstheme="minorHAnsi"/>
        </w:rPr>
        <w:t>Downwelling</w:t>
      </w:r>
      <w:r w:rsidR="003D3694" w:rsidRPr="00747E35">
        <w:rPr>
          <w:rFonts w:asciiTheme="minorHAnsi" w:hAnsiTheme="minorHAnsi" w:cstheme="minorHAnsi"/>
        </w:rPr>
        <w:t xml:space="preserve"> sites or upwelling hyporheic sites tended to be more reduced than the regional upwelling sites. This observation is supported by measured DO, manganese and iron concentrations (see </w:t>
      </w:r>
      <w:r w:rsidR="003D3694" w:rsidRPr="00747E35">
        <w:rPr>
          <w:rFonts w:asciiTheme="minorHAnsi" w:hAnsiTheme="minorHAnsi" w:cstheme="minorHAnsi"/>
        </w:rPr>
        <w:fldChar w:fldCharType="begin"/>
      </w:r>
      <w:r w:rsidR="003D3694" w:rsidRPr="00747E35">
        <w:rPr>
          <w:rFonts w:asciiTheme="minorHAnsi" w:hAnsiTheme="minorHAnsi" w:cstheme="minorHAnsi"/>
        </w:rPr>
        <w:instrText xml:space="preserve"> REF _Ref466416362 \h  \* MERGEFORMAT </w:instrText>
      </w:r>
      <w:r w:rsidR="003D3694" w:rsidRPr="00747E35">
        <w:rPr>
          <w:rFonts w:asciiTheme="minorHAnsi" w:hAnsiTheme="minorHAnsi" w:cstheme="minorHAnsi"/>
        </w:rPr>
      </w:r>
      <w:r w:rsidR="003D3694"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120</w:t>
      </w:r>
      <w:r w:rsidR="003D3694" w:rsidRPr="00747E35">
        <w:rPr>
          <w:rFonts w:asciiTheme="minorHAnsi" w:hAnsiTheme="minorHAnsi" w:cstheme="minorHAnsi"/>
        </w:rPr>
        <w:fldChar w:fldCharType="end"/>
      </w:r>
      <w:r w:rsidR="003D3694" w:rsidRPr="00747E35">
        <w:rPr>
          <w:rFonts w:asciiTheme="minorHAnsi" w:hAnsiTheme="minorHAnsi" w:cstheme="minorHAnsi"/>
        </w:rPr>
        <w:t xml:space="preserve"> - </w:t>
      </w:r>
      <w:r w:rsidR="003D3694" w:rsidRPr="00747E35">
        <w:rPr>
          <w:rFonts w:asciiTheme="minorHAnsi" w:hAnsiTheme="minorHAnsi" w:cstheme="minorHAnsi"/>
        </w:rPr>
        <w:fldChar w:fldCharType="begin"/>
      </w:r>
      <w:r w:rsidR="003D3694" w:rsidRPr="00747E35">
        <w:rPr>
          <w:rFonts w:asciiTheme="minorHAnsi" w:hAnsiTheme="minorHAnsi" w:cstheme="minorHAnsi"/>
        </w:rPr>
        <w:instrText xml:space="preserve"> REF _Ref466416378 \h  \* MERGEFORMAT </w:instrText>
      </w:r>
      <w:r w:rsidR="003D3694" w:rsidRPr="00747E35">
        <w:rPr>
          <w:rFonts w:asciiTheme="minorHAnsi" w:hAnsiTheme="minorHAnsi" w:cstheme="minorHAnsi"/>
        </w:rPr>
      </w:r>
      <w:r w:rsidR="003D3694"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121</w:t>
      </w:r>
      <w:r w:rsidR="003D3694" w:rsidRPr="00747E35">
        <w:rPr>
          <w:rFonts w:asciiTheme="minorHAnsi" w:hAnsiTheme="minorHAnsi" w:cstheme="minorHAnsi"/>
        </w:rPr>
        <w:fldChar w:fldCharType="end"/>
      </w:r>
      <w:r w:rsidR="003D3694" w:rsidRPr="00747E35">
        <w:rPr>
          <w:rFonts w:asciiTheme="minorHAnsi" w:hAnsiTheme="minorHAnsi" w:cstheme="minorHAnsi"/>
        </w:rPr>
        <w:t xml:space="preserve">) and measured nitrate (oxidised species) and ammonia (reduced species) concentrations (see </w:t>
      </w:r>
      <w:r w:rsidR="003D3694" w:rsidRPr="00747E35">
        <w:rPr>
          <w:rFonts w:asciiTheme="minorHAnsi" w:hAnsiTheme="minorHAnsi" w:cstheme="minorHAnsi"/>
        </w:rPr>
        <w:fldChar w:fldCharType="begin"/>
      </w:r>
      <w:r w:rsidR="003D3694" w:rsidRPr="00747E35">
        <w:rPr>
          <w:rFonts w:asciiTheme="minorHAnsi" w:hAnsiTheme="minorHAnsi" w:cstheme="minorHAnsi"/>
        </w:rPr>
        <w:instrText xml:space="preserve"> REF _Ref453169497 \h </w:instrText>
      </w:r>
      <w:r w:rsidR="00925BFC" w:rsidRPr="00747E35">
        <w:rPr>
          <w:rFonts w:asciiTheme="minorHAnsi" w:hAnsiTheme="minorHAnsi" w:cstheme="minorHAnsi"/>
        </w:rPr>
        <w:instrText xml:space="preserve"> \* MERGEFORMAT </w:instrText>
      </w:r>
      <w:r w:rsidR="003D3694" w:rsidRPr="00747E35">
        <w:rPr>
          <w:rFonts w:asciiTheme="minorHAnsi" w:hAnsiTheme="minorHAnsi" w:cstheme="minorHAnsi"/>
        </w:rPr>
      </w:r>
      <w:r w:rsidR="003D3694"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122</w:t>
      </w:r>
      <w:r w:rsidR="003D3694" w:rsidRPr="00747E35">
        <w:rPr>
          <w:rFonts w:asciiTheme="minorHAnsi" w:hAnsiTheme="minorHAnsi" w:cstheme="minorHAnsi"/>
        </w:rPr>
        <w:fldChar w:fldCharType="end"/>
      </w:r>
      <w:r w:rsidR="003D3694" w:rsidRPr="00747E35">
        <w:rPr>
          <w:rFonts w:asciiTheme="minorHAnsi" w:hAnsiTheme="minorHAnsi" w:cstheme="minorHAnsi"/>
        </w:rPr>
        <w:t xml:space="preserve">). The upwelling sites tended to contain only DO and nitrate while the </w:t>
      </w:r>
      <w:r>
        <w:rPr>
          <w:rFonts w:asciiTheme="minorHAnsi" w:hAnsiTheme="minorHAnsi" w:cstheme="minorHAnsi"/>
        </w:rPr>
        <w:t>downwelling</w:t>
      </w:r>
      <w:r w:rsidR="003D3694" w:rsidRPr="00747E35">
        <w:rPr>
          <w:rFonts w:asciiTheme="minorHAnsi" w:hAnsiTheme="minorHAnsi" w:cstheme="minorHAnsi"/>
        </w:rPr>
        <w:t xml:space="preserve"> sites contained only iron and ammonium. In general, the deep upwelling sites had higher amounts of nitrate while the deep </w:t>
      </w:r>
      <w:r>
        <w:rPr>
          <w:rFonts w:asciiTheme="minorHAnsi" w:hAnsiTheme="minorHAnsi" w:cstheme="minorHAnsi"/>
        </w:rPr>
        <w:t>downwelling</w:t>
      </w:r>
      <w:r w:rsidR="003D3694" w:rsidRPr="00747E35">
        <w:rPr>
          <w:rFonts w:asciiTheme="minorHAnsi" w:hAnsiTheme="minorHAnsi" w:cstheme="minorHAnsi"/>
        </w:rPr>
        <w:t xml:space="preserve"> sites had higher amounts of ammonia. Therefore, at </w:t>
      </w:r>
      <w:r>
        <w:rPr>
          <w:rFonts w:asciiTheme="minorHAnsi" w:hAnsiTheme="minorHAnsi" w:cstheme="minorHAnsi"/>
        </w:rPr>
        <w:t>downwelling</w:t>
      </w:r>
      <w:r w:rsidR="003D3694" w:rsidRPr="00747E35">
        <w:rPr>
          <w:rFonts w:asciiTheme="minorHAnsi" w:hAnsiTheme="minorHAnsi" w:cstheme="minorHAnsi"/>
        </w:rPr>
        <w:t xml:space="preserve"> sites, the surface water evolves along the redox sequence as it travels through the subsurface, resulting in more reduced conditions at depth (conceptually shown in </w:t>
      </w:r>
      <w:r w:rsidR="003D3694" w:rsidRPr="00747E35">
        <w:rPr>
          <w:rFonts w:asciiTheme="minorHAnsi" w:hAnsiTheme="minorHAnsi" w:cstheme="minorHAnsi"/>
        </w:rPr>
        <w:fldChar w:fldCharType="begin"/>
      </w:r>
      <w:r w:rsidR="003D3694" w:rsidRPr="00747E35">
        <w:rPr>
          <w:rFonts w:asciiTheme="minorHAnsi" w:hAnsiTheme="minorHAnsi" w:cstheme="minorHAnsi"/>
        </w:rPr>
        <w:instrText xml:space="preserve"> REF _Ref452278595 \h </w:instrText>
      </w:r>
      <w:r w:rsidR="00925BFC" w:rsidRPr="00747E35">
        <w:rPr>
          <w:rFonts w:asciiTheme="minorHAnsi" w:hAnsiTheme="minorHAnsi" w:cstheme="minorHAnsi"/>
        </w:rPr>
        <w:instrText xml:space="preserve"> \* MERGEFORMAT </w:instrText>
      </w:r>
      <w:r w:rsidR="003D3694" w:rsidRPr="00747E35">
        <w:rPr>
          <w:rFonts w:asciiTheme="minorHAnsi" w:hAnsiTheme="minorHAnsi" w:cstheme="minorHAnsi"/>
        </w:rPr>
      </w:r>
      <w:r w:rsidR="003D3694"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123</w:t>
      </w:r>
      <w:r w:rsidR="003D3694" w:rsidRPr="00747E35">
        <w:rPr>
          <w:rFonts w:asciiTheme="minorHAnsi" w:hAnsiTheme="minorHAnsi" w:cstheme="minorHAnsi"/>
        </w:rPr>
        <w:fldChar w:fldCharType="end"/>
      </w:r>
      <w:r w:rsidR="003D3694" w:rsidRPr="00747E35">
        <w:rPr>
          <w:rFonts w:asciiTheme="minorHAnsi" w:hAnsiTheme="minorHAnsi" w:cstheme="minorHAnsi"/>
        </w:rPr>
        <w:t xml:space="preserve">). At sites with upwelling of regional groundwater, as the water moves through the streambed to the surface it likewise progresses along the redox sequence due to sedimentary organic matter and its processing in the streambed, and consequently produces a pattern of increasingly anoxic conditions from deep to shallow (see </w:t>
      </w:r>
      <w:r w:rsidR="003D3694" w:rsidRPr="00747E35">
        <w:rPr>
          <w:rFonts w:asciiTheme="minorHAnsi" w:hAnsiTheme="minorHAnsi" w:cstheme="minorHAnsi"/>
        </w:rPr>
        <w:fldChar w:fldCharType="begin"/>
      </w:r>
      <w:r w:rsidR="003D3694" w:rsidRPr="00747E35">
        <w:rPr>
          <w:rFonts w:asciiTheme="minorHAnsi" w:hAnsiTheme="minorHAnsi" w:cstheme="minorHAnsi"/>
        </w:rPr>
        <w:instrText xml:space="preserve"> REF _Ref452278595 \h </w:instrText>
      </w:r>
      <w:r w:rsidR="00925BFC" w:rsidRPr="00747E35">
        <w:rPr>
          <w:rFonts w:asciiTheme="minorHAnsi" w:hAnsiTheme="minorHAnsi" w:cstheme="minorHAnsi"/>
        </w:rPr>
        <w:instrText xml:space="preserve"> \* MERGEFORMAT </w:instrText>
      </w:r>
      <w:r w:rsidR="003D3694" w:rsidRPr="00747E35">
        <w:rPr>
          <w:rFonts w:asciiTheme="minorHAnsi" w:hAnsiTheme="minorHAnsi" w:cstheme="minorHAnsi"/>
        </w:rPr>
      </w:r>
      <w:r w:rsidR="003D3694"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123</w:t>
      </w:r>
      <w:r w:rsidR="003D3694" w:rsidRPr="00747E35">
        <w:rPr>
          <w:rFonts w:asciiTheme="minorHAnsi" w:hAnsiTheme="minorHAnsi" w:cstheme="minorHAnsi"/>
        </w:rPr>
        <w:fldChar w:fldCharType="end"/>
      </w:r>
      <w:r w:rsidR="003D3694" w:rsidRPr="00747E35">
        <w:rPr>
          <w:rFonts w:asciiTheme="minorHAnsi" w:hAnsiTheme="minorHAnsi" w:cstheme="minorHAnsi"/>
        </w:rPr>
        <w:t xml:space="preserve">). It is reasonable to hypothesise that groundwater drawdown would cause a reduction in the regional groundwater discharge and increase in the number of </w:t>
      </w:r>
      <w:r>
        <w:rPr>
          <w:rFonts w:asciiTheme="minorHAnsi" w:hAnsiTheme="minorHAnsi" w:cstheme="minorHAnsi"/>
        </w:rPr>
        <w:t>downwelling</w:t>
      </w:r>
      <w:r w:rsidR="003D3694" w:rsidRPr="00747E35">
        <w:rPr>
          <w:rFonts w:asciiTheme="minorHAnsi" w:hAnsiTheme="minorHAnsi" w:cstheme="minorHAnsi"/>
        </w:rPr>
        <w:t xml:space="preserve"> sites. According to current conceptual models this would lead to more hypoxic/anoxic conditions and an anaerobic microbially dominated environment in the streambed. One example of the hypothesised changes due to groundwater drawdown is the generally reduced streambed chemistry at the perennially losing section on Maules Creek. Another example of this temporal change was observed in the intermittent Middle Creek where the hyporheic samples collected while Middle Creek was a gaining system (June – September) tended to be oxic while the samples collected after it had switched to a losing system were suboxic.</w:t>
      </w:r>
    </w:p>
    <w:p w14:paraId="6B3DAD9F" w14:textId="77777777" w:rsidR="003D3694" w:rsidRPr="00747E35" w:rsidRDefault="003D3694" w:rsidP="003D3694">
      <w:pPr>
        <w:rPr>
          <w:rFonts w:asciiTheme="minorHAnsi" w:hAnsiTheme="minorHAnsi" w:cstheme="minorHAnsi"/>
        </w:rPr>
      </w:pPr>
    </w:p>
    <w:p w14:paraId="383A8A46" w14:textId="77777777" w:rsidR="003D3694" w:rsidRPr="00747E35" w:rsidRDefault="003D3694" w:rsidP="00566456">
      <w:pPr>
        <w:pStyle w:val="Caption"/>
        <w:numPr>
          <w:ilvl w:val="0"/>
          <w:numId w:val="0"/>
        </w:numPr>
        <w:jc w:val="center"/>
        <w:rPr>
          <w:rFonts w:cstheme="minorHAnsi"/>
        </w:rPr>
      </w:pPr>
      <w:r w:rsidRPr="00747E35">
        <w:rPr>
          <w:rFonts w:cstheme="minorHAnsi"/>
          <w:noProof/>
          <w:lang w:eastAsia="en-AU"/>
        </w:rPr>
        <w:lastRenderedPageBreak/>
        <w:drawing>
          <wp:inline distT="0" distB="0" distL="0" distR="0" wp14:anchorId="07DD1EFC" wp14:editId="455C7492">
            <wp:extent cx="6108609" cy="3232150"/>
            <wp:effectExtent l="0" t="0" r="6985" b="6350"/>
            <wp:docPr id="7180" name="Picture 7180" desc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 name="DO-Mn.tif"/>
                    <pic:cNvPicPr/>
                  </pic:nvPicPr>
                  <pic:blipFill rotWithShape="1">
                    <a:blip r:embed="rId174" cstate="screen">
                      <a:extLst>
                        <a:ext uri="{28A0092B-C50C-407E-A947-70E740481C1C}">
                          <a14:useLocalDpi xmlns:a14="http://schemas.microsoft.com/office/drawing/2010/main"/>
                        </a:ext>
                      </a:extLst>
                    </a:blip>
                    <a:srcRect/>
                    <a:stretch/>
                  </pic:blipFill>
                  <pic:spPr bwMode="auto">
                    <a:xfrm>
                      <a:off x="0" y="0"/>
                      <a:ext cx="6114300" cy="3235161"/>
                    </a:xfrm>
                    <a:prstGeom prst="rect">
                      <a:avLst/>
                    </a:prstGeom>
                    <a:ln>
                      <a:noFill/>
                    </a:ln>
                    <a:extLst>
                      <a:ext uri="{53640926-AAD7-44D8-BBD7-CCE9431645EC}">
                        <a14:shadowObscured xmlns:a14="http://schemas.microsoft.com/office/drawing/2010/main"/>
                      </a:ext>
                    </a:extLst>
                  </pic:spPr>
                </pic:pic>
              </a:graphicData>
            </a:graphic>
          </wp:inline>
        </w:drawing>
      </w:r>
    </w:p>
    <w:p w14:paraId="38D76D48" w14:textId="77777777" w:rsidR="003D3694" w:rsidRPr="00747E35" w:rsidRDefault="003D3694" w:rsidP="00566456">
      <w:pPr>
        <w:pStyle w:val="Caption"/>
        <w:numPr>
          <w:ilvl w:val="0"/>
          <w:numId w:val="0"/>
        </w:numPr>
        <w:jc w:val="both"/>
        <w:rPr>
          <w:rFonts w:cstheme="minorHAnsi"/>
        </w:rPr>
      </w:pPr>
      <w:bookmarkStart w:id="314" w:name="_Ref46641636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120</w:t>
      </w:r>
      <w:r w:rsidR="009D6600" w:rsidRPr="00747E35">
        <w:rPr>
          <w:rFonts w:cstheme="minorHAnsi"/>
          <w:noProof/>
        </w:rPr>
        <w:fldChar w:fldCharType="end"/>
      </w:r>
      <w:bookmarkEnd w:id="314"/>
      <w:r w:rsidRPr="00747E35">
        <w:rPr>
          <w:rFonts w:cstheme="minorHAnsi"/>
        </w:rPr>
        <w:t>: DO vs Mn for hyporheic and associated surface water samples in the Maules Creek catchment.</w:t>
      </w:r>
    </w:p>
    <w:p w14:paraId="3B88326E" w14:textId="77777777" w:rsidR="003D3694" w:rsidRPr="00747E35" w:rsidRDefault="003D3694" w:rsidP="003D3694">
      <w:pPr>
        <w:rPr>
          <w:rFonts w:asciiTheme="minorHAnsi" w:hAnsiTheme="minorHAnsi" w:cstheme="minorHAnsi"/>
        </w:rPr>
      </w:pPr>
    </w:p>
    <w:p w14:paraId="7303868A" w14:textId="77777777" w:rsidR="003D3694" w:rsidRPr="00747E35" w:rsidRDefault="003D3694" w:rsidP="00566456">
      <w:pPr>
        <w:pStyle w:val="Caption"/>
        <w:numPr>
          <w:ilvl w:val="0"/>
          <w:numId w:val="0"/>
        </w:numPr>
        <w:jc w:val="center"/>
        <w:rPr>
          <w:rFonts w:cstheme="minorHAnsi"/>
        </w:rPr>
      </w:pPr>
      <w:r w:rsidRPr="00747E35">
        <w:rPr>
          <w:rFonts w:cstheme="minorHAnsi"/>
          <w:noProof/>
          <w:lang w:eastAsia="en-AU"/>
        </w:rPr>
        <w:drawing>
          <wp:inline distT="0" distB="0" distL="0" distR="0" wp14:anchorId="45571D4E" wp14:editId="6E02B331">
            <wp:extent cx="5623998" cy="3263900"/>
            <wp:effectExtent l="0" t="0" r="0" b="0"/>
            <wp:docPr id="307" name="Picture 307" desc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Fe.tif"/>
                    <pic:cNvPicPr/>
                  </pic:nvPicPr>
                  <pic:blipFill rotWithShape="1">
                    <a:blip r:embed="rId175" cstate="screen">
                      <a:extLst>
                        <a:ext uri="{28A0092B-C50C-407E-A947-70E740481C1C}">
                          <a14:useLocalDpi xmlns:a14="http://schemas.microsoft.com/office/drawing/2010/main"/>
                        </a:ext>
                      </a:extLst>
                    </a:blip>
                    <a:srcRect/>
                    <a:stretch/>
                  </pic:blipFill>
                  <pic:spPr bwMode="auto">
                    <a:xfrm>
                      <a:off x="0" y="0"/>
                      <a:ext cx="5632500" cy="3268834"/>
                    </a:xfrm>
                    <a:prstGeom prst="rect">
                      <a:avLst/>
                    </a:prstGeom>
                    <a:ln>
                      <a:noFill/>
                    </a:ln>
                    <a:extLst>
                      <a:ext uri="{53640926-AAD7-44D8-BBD7-CCE9431645EC}">
                        <a14:shadowObscured xmlns:a14="http://schemas.microsoft.com/office/drawing/2010/main"/>
                      </a:ext>
                    </a:extLst>
                  </pic:spPr>
                </pic:pic>
              </a:graphicData>
            </a:graphic>
          </wp:inline>
        </w:drawing>
      </w:r>
    </w:p>
    <w:p w14:paraId="694D6181" w14:textId="77777777" w:rsidR="003D3694" w:rsidRPr="00747E35" w:rsidRDefault="003D3694" w:rsidP="00566456">
      <w:pPr>
        <w:pStyle w:val="Caption"/>
        <w:numPr>
          <w:ilvl w:val="0"/>
          <w:numId w:val="0"/>
        </w:numPr>
        <w:jc w:val="both"/>
        <w:rPr>
          <w:rFonts w:cstheme="minorHAnsi"/>
        </w:rPr>
      </w:pPr>
      <w:bookmarkStart w:id="315" w:name="_Ref466416378"/>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121</w:t>
      </w:r>
      <w:r w:rsidR="009D6600" w:rsidRPr="00747E35">
        <w:rPr>
          <w:rFonts w:cstheme="minorHAnsi"/>
          <w:noProof/>
        </w:rPr>
        <w:fldChar w:fldCharType="end"/>
      </w:r>
      <w:bookmarkEnd w:id="315"/>
      <w:r w:rsidRPr="00747E35">
        <w:rPr>
          <w:rFonts w:cstheme="minorHAnsi"/>
        </w:rPr>
        <w:t>: DO vs iron for hyporheic and associated surface water samples in the Maules Creek catchment.</w:t>
      </w:r>
    </w:p>
    <w:p w14:paraId="58A277FD" w14:textId="77777777" w:rsidR="003D3694" w:rsidRPr="00747E35" w:rsidRDefault="003D3694" w:rsidP="003D3694">
      <w:pPr>
        <w:rPr>
          <w:rFonts w:asciiTheme="minorHAnsi" w:hAnsiTheme="minorHAnsi" w:cstheme="minorHAnsi"/>
        </w:rPr>
      </w:pPr>
    </w:p>
    <w:p w14:paraId="6BE214DA" w14:textId="77777777" w:rsidR="003D3694" w:rsidRPr="00747E35" w:rsidRDefault="003D3694" w:rsidP="00566456">
      <w:pPr>
        <w:pStyle w:val="Caption"/>
        <w:numPr>
          <w:ilvl w:val="0"/>
          <w:numId w:val="0"/>
        </w:numPr>
        <w:jc w:val="center"/>
        <w:rPr>
          <w:rFonts w:cstheme="minorHAnsi"/>
        </w:rPr>
      </w:pPr>
      <w:r w:rsidRPr="00747E35">
        <w:rPr>
          <w:rFonts w:cstheme="minorHAnsi"/>
          <w:noProof/>
          <w:lang w:eastAsia="en-AU"/>
        </w:rPr>
        <w:lastRenderedPageBreak/>
        <w:drawing>
          <wp:inline distT="0" distB="0" distL="0" distR="0" wp14:anchorId="7A1AD01B" wp14:editId="0BAEBEC0">
            <wp:extent cx="5765242" cy="3086100"/>
            <wp:effectExtent l="0" t="0" r="6985" b="0"/>
            <wp:docPr id="4125" name="Picture 4125" descr="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3 vs Amm (Maules Creek).tif"/>
                    <pic:cNvPicPr/>
                  </pic:nvPicPr>
                  <pic:blipFill rotWithShape="1">
                    <a:blip r:embed="rId176" cstate="screen">
                      <a:extLst>
                        <a:ext uri="{28A0092B-C50C-407E-A947-70E740481C1C}">
                          <a14:useLocalDpi xmlns:a14="http://schemas.microsoft.com/office/drawing/2010/main"/>
                        </a:ext>
                      </a:extLst>
                    </a:blip>
                    <a:srcRect/>
                    <a:stretch/>
                  </pic:blipFill>
                  <pic:spPr bwMode="auto">
                    <a:xfrm>
                      <a:off x="0" y="0"/>
                      <a:ext cx="5770818" cy="3089085"/>
                    </a:xfrm>
                    <a:prstGeom prst="rect">
                      <a:avLst/>
                    </a:prstGeom>
                    <a:ln>
                      <a:noFill/>
                    </a:ln>
                    <a:extLst>
                      <a:ext uri="{53640926-AAD7-44D8-BBD7-CCE9431645EC}">
                        <a14:shadowObscured xmlns:a14="http://schemas.microsoft.com/office/drawing/2010/main"/>
                      </a:ext>
                    </a:extLst>
                  </pic:spPr>
                </pic:pic>
              </a:graphicData>
            </a:graphic>
          </wp:inline>
        </w:drawing>
      </w:r>
    </w:p>
    <w:p w14:paraId="5B46D745" w14:textId="77777777" w:rsidR="003D3694" w:rsidRPr="00747E35" w:rsidRDefault="003D3694" w:rsidP="00566456">
      <w:pPr>
        <w:pStyle w:val="Caption"/>
        <w:numPr>
          <w:ilvl w:val="0"/>
          <w:numId w:val="0"/>
        </w:numPr>
        <w:rPr>
          <w:rFonts w:cstheme="minorHAnsi"/>
        </w:rPr>
      </w:pPr>
      <w:bookmarkStart w:id="316" w:name="_Ref453169497"/>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122</w:t>
      </w:r>
      <w:r w:rsidR="009D6600" w:rsidRPr="00747E35">
        <w:rPr>
          <w:rFonts w:cstheme="minorHAnsi"/>
          <w:noProof/>
        </w:rPr>
        <w:fldChar w:fldCharType="end"/>
      </w:r>
      <w:bookmarkEnd w:id="316"/>
      <w:r w:rsidRPr="00747E35">
        <w:rPr>
          <w:rFonts w:cstheme="minorHAnsi"/>
        </w:rPr>
        <w:t>: Nitrate vs ammonia for hyporheic and associated surface water samples along Horsearm and Maules Creek</w:t>
      </w:r>
    </w:p>
    <w:p w14:paraId="47BD5772" w14:textId="77777777" w:rsidR="003D3694" w:rsidRPr="00747E35" w:rsidRDefault="003D3694" w:rsidP="003D3694">
      <w:pPr>
        <w:rPr>
          <w:rFonts w:asciiTheme="minorHAnsi" w:hAnsiTheme="minorHAnsi" w:cstheme="minorHAnsi"/>
        </w:rPr>
      </w:pPr>
    </w:p>
    <w:p w14:paraId="45D08109" w14:textId="77777777" w:rsidR="003D3694" w:rsidRPr="00747E35" w:rsidRDefault="003D3694" w:rsidP="003D3694">
      <w:pPr>
        <w:rPr>
          <w:rFonts w:asciiTheme="minorHAnsi" w:hAnsiTheme="minorHAnsi" w:cstheme="minorHAnsi"/>
        </w:rPr>
      </w:pPr>
      <w:r w:rsidRPr="00747E35">
        <w:rPr>
          <w:rFonts w:asciiTheme="minorHAnsi" w:hAnsiTheme="minorHAnsi" w:cstheme="minorHAnsi"/>
          <w:noProof/>
          <w:lang w:val="en-AU" w:eastAsia="en-AU"/>
        </w:rPr>
        <mc:AlternateContent>
          <mc:Choice Requires="wpg">
            <w:drawing>
              <wp:inline distT="0" distB="0" distL="0" distR="0" wp14:anchorId="51A6FC37" wp14:editId="784B2ADB">
                <wp:extent cx="6242050" cy="3573145"/>
                <wp:effectExtent l="0" t="0" r="6350" b="8255"/>
                <wp:docPr id="55" name="Group 55" descr="Diagrams"/>
                <wp:cNvGraphicFramePr/>
                <a:graphic xmlns:a="http://schemas.openxmlformats.org/drawingml/2006/main">
                  <a:graphicData uri="http://schemas.microsoft.com/office/word/2010/wordprocessingGroup">
                    <wpg:wgp>
                      <wpg:cNvGrpSpPr/>
                      <wpg:grpSpPr>
                        <a:xfrm>
                          <a:off x="0" y="0"/>
                          <a:ext cx="6242050" cy="3573145"/>
                          <a:chOff x="0" y="0"/>
                          <a:chExt cx="6242050" cy="3573145"/>
                        </a:xfrm>
                      </wpg:grpSpPr>
                      <pic:pic xmlns:pic="http://schemas.openxmlformats.org/drawingml/2006/picture">
                        <pic:nvPicPr>
                          <pic:cNvPr id="4106" name="Picture 4106" descr="Diagram (1 of 2 for Figure 123)"/>
                          <pic:cNvPicPr>
                            <a:picLocks noChangeAspect="1"/>
                          </pic:cNvPicPr>
                        </pic:nvPicPr>
                        <pic:blipFill rotWithShape="1">
                          <a:blip r:embed="rId177" cstate="email">
                            <a:extLst>
                              <a:ext uri="{28A0092B-C50C-407E-A947-70E740481C1C}">
                                <a14:useLocalDpi xmlns:a14="http://schemas.microsoft.com/office/drawing/2010/main"/>
                              </a:ext>
                            </a:extLst>
                          </a:blip>
                          <a:srcRect/>
                          <a:stretch/>
                        </pic:blipFill>
                        <pic:spPr bwMode="auto">
                          <a:xfrm>
                            <a:off x="0" y="0"/>
                            <a:ext cx="3086100" cy="35731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07" name="Picture 4107" descr="Diagram (2 of 2 for figure 123)"/>
                          <pic:cNvPicPr>
                            <a:picLocks noChangeAspect="1"/>
                          </pic:cNvPicPr>
                        </pic:nvPicPr>
                        <pic:blipFill rotWithShape="1">
                          <a:blip r:embed="rId178" cstate="email">
                            <a:extLst>
                              <a:ext uri="{28A0092B-C50C-407E-A947-70E740481C1C}">
                                <a14:useLocalDpi xmlns:a14="http://schemas.microsoft.com/office/drawing/2010/main"/>
                              </a:ext>
                            </a:extLst>
                          </a:blip>
                          <a:srcRect/>
                          <a:stretch/>
                        </pic:blipFill>
                        <pic:spPr bwMode="auto">
                          <a:xfrm>
                            <a:off x="3143250" y="19050"/>
                            <a:ext cx="3098800" cy="354330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54376E32" id="Group 55" o:spid="_x0000_s1026" alt="Diagrams" style="width:491.5pt;height:281.35pt;mso-position-horizontal-relative:char;mso-position-vertical-relative:line" coordsize="62420,35731"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6J6/dbAwAA8QoAAA4AAABkcnMvZTJvRG9jLnhtbOxWS2/bMAy+D9h/EHza&#10;Dq7feRhNijRJiwHdGqwbdlZk2RZmW4KkNCmG/fdRspM2D6BFge2w7RBHpCSK/PiR0vnFpq7QPZWK&#10;8WbkBGe+g2hDeMaaYuR8/XLlDhykNG4yXPGGjpwHqpyL8ds352uR0pCXvMqoRGCkUelajJxSa5F6&#10;niIlrbE644I2MJlzWWMNoiy8TOI1WK8rL/T9nrfmMhOSE6oUaGftpDO29vOcEn2b54pqVI0c8E3b&#10;r7Tfpfl643OcFhKLkpHODfwKL2rMGjh0Z2qGNUYryY5M1YxIrniuzwivPZ7njFAbA0QT+AfRXEu+&#10;EjaWIl0XYgcTQHuA06vNkk/3C4lYNnKSxEENriFH9lhk5IwqAmDNGAaIamXQWosihU3XUtyJhewU&#10;RSsZADa5rM0/hIY2FueHHc50oxEBZS+MQz+BdBCYi5J+FMRJmwlSQrqO9pFy/sxOb3uwZ/zbuSMY&#10;SeHXAQejI+CeJxjs0itJnc5I/SIbNZbfV8KFHAus2ZJVTD9YvkI2jVPN/YKRhWyFxxzEgd/bZgEW&#10;mHNRq9vPBHoXIJ6jEEFhoCtWmHVBGL03IBrzxmJrH5v4bzj5rlDDpyVuCjpRAsoCitWs9vaXW3HP&#10;uWXFxBWrKiS5/sZ0eVdiARwJLNvNZIcL0OSAkyegbfk+42RV00a3BSxpBRDxRpVMKAfJlNZLCnyU&#10;H7IAGALNQ8N50A1YZc8EEt0obShm6GRr7Ec4mPj+MLx0p4k/dWO/P3cnw7jv9v15P/bjQTANpj/N&#10;7iBOV4oCHriaCda5Dtoj508WVNd62lK1JW8QtI5s/61roDLIGB+VJJ8BbVgHYy2pJuUW9S2ybcoU&#10;VBNarj/yDKLFK81tsC+ppsgf9AL/uJp2NQEckEpfU14jMwBowSNrHt+Dv20M2yXG0aox34abvLez&#10;reYU9EnUiwH6njuZzPpuHM8G7uUljKbT+TCOgl6czHfQqxJnfH27VAQIm/029A2lDZwdu0FsIYZB&#10;dyaMjjJ+gq4HVw3s+pOdoH+iE4DusBOEj50g/2s7Qfi/E+zfq3BlRqG5QuEGDYbmMrUtxrREc8NG&#10;/nAweOwJcRSB0JbytqVsC/7f7Qn2rQDvKtu7uzegebg9lWH89KU6/gUAAP//AwBQSwMEFAAGAAgA&#10;AAAhAEtyDpHDAAAApwEAABkAAABkcnMvX3JlbHMvZTJvRG9jLnhtbC5yZWxzvJDLCsIwEEX3gv8Q&#10;Zm/TdiEipt2I4Fb0A4Zk0gabB0kU/XsDgigI7lzODPfcw2z6m53YlWIy3gloqhoYOemVcYOA03G3&#10;WAFLGZ3CyTsScKcEfTefbQ40YS6hNJqQWKG4JGDMOaw5T3Iki6nygVy5aB8t5jLGgQeUZxyIt3W9&#10;5PGdAd0Hk+2VgLhXLbDjPZTm32yvtZG09fJiyeUvFdzY0l2AGAfKAiwpg89lW2WjNfDvEs1/JJqX&#10;BP94b/cAAAD//wMAUEsDBBQABgAIAAAAIQA99vns3QAAAAUBAAAPAAAAZHJzL2Rvd25yZXYueG1s&#10;TI9BS8NAEIXvgv9hGcGb3aSltcZsSinqqQhtBfE2TaZJaHY2ZLdJ+u8dvejlweMN732TrkbbqJ46&#10;Xzs2EE8iUMS5K2ouDXwcXh+WoHxALrBxTAau5GGV3d6kmBRu4B31+1AqKWGfoIEqhDbR2ucVWfQT&#10;1xJLdnKdxSC2K3XR4SDlttHTKFpoizXLQoUtbSrKz/uLNfA24LCexS/99nzaXL8O8/fPbUzG3N+N&#10;62dQgcbwdww/+IIOmTAd3YULrxoD8kj4VcmeljOxRwPzxfQRdJbq//TZNwAAAP//AwBQSwMECgAA&#10;AAAAAAAhAI4moUpw6QAAcOkAABUAAABkcnMvbWVkaWEvaW1hZ2UxLnRpZmZJSSoAkugAAIA/oE/g&#10;DBQCAIRCYVC4ZDYdD4hEYlE4pFYtF4xGY1G45HY9H5BIZFI5JJZNJ5RKZVK5ZLZdL5hMZlM5pNZt&#10;N5xD4HBINOZ9P6BQaFQ6JRaNR6RSaVS6ZTadT6hUYTO4MAX/V6lWa1W5rV3+AJ7XLFY7JZbNZ7Ra&#10;bVa5PYanA37cQC8roAH5dwABb1bL5faXd34AH3gwAB8MAAFib9i8Zjcdj8hkclSa9drxhgOAAbm8&#10;Rip28NAAWXowBoHgAAjqcnq9ZI3prwA79kAArtQACNxrd1u95vd9v+BS4GAHnxQAGuQABjywACec&#10;AJ26ekAV11cFhBN2eD293lXN3wA3vEABZ5dRqu56fV6/Z7fdunz8QA3/ptNsQvwAAd++hA3a/4Am&#10;ZAQAApAoABpBD3wUtbKm7BwAGjCIAB5CgAAvC8FwzDUNw5DsPJee8QgAZsSAAuJ+wPBIFxW/qBP+&#10;dsAwHAoKRSGkPxup0GwfCJownCsLgvHEhSHIkiyM9UQnvEcSxPGoARWBcWn9F8YmZAkDQRG0jy2n&#10;MdG7CEJQoHkLQxLkzTPNE0zUpckyWZsTLjJ0oSlKkBStGcnTXPSUy9MEezFMkgz3QdCULQ1DovNs&#10;STfJssyfFidzrGUsQTRFLIzPseR9McgUukLhsGfcWoeAlSryvafMrULOgEAAB1esCC08ojhroeQA&#10;HtXMrxoA1er7JrZHeADKtSCKFybXoDVig9ZwVRUmTjR050jAE7V3PNm2yh1MzDH8y20izhukdIAG&#10;lcwARehdkgA7ITPI8zE1amTK1sABt3uAAGX0AARX6AF13BbasPifIAHrg4AAVhTbtytyMVyewAGN&#10;id7XwKmLvsCq+uKeYAF3j84RQIORgBer6G+AAdZU5rnp9Wq6sqB+ZVZgKZWfRloxVSD/WrScaUdm&#10;ua25P9vUFoKJH1pIAGHpgAExp4AHjqQAZkB9HyiJGsgBi4qABUoCJm4Zz7GABb7MAAMbSAD8CFhO&#10;F6OhTAAAcO6AAZ27gAFu9AAEu+1dWCNXqWfB7tvA48OAAOcUtTKndxwAFLyLr1EKvKgBB0vmFzQA&#10;Ddzrz2MnzXnoABidLYasCB1OWATuCXZvkM5Z3F2ezvSktdbZuh03QPcIhggAF/4IAFt4gACH44AB&#10;l5W/gHfN9znqR45KurMAAdnr7cBW0bVV/mnX779P5qtR+jg2EOd1h0fVq4AAz92o6nNtVMI5ANa9&#10;U1x3Q//mOO5IJP/dOV9YL5h6v3bA44dzzgGPtfe9VNr+TNgNAA2Mc7DAEAAAtBkAA+IOPWewvqBb&#10;7gMr/V8ZV8o44UQBWubVjRCoEKjSa9cdj4QHP9fsm14IvwAC0h4yllagAQxBIXCgcZxDjPoe2Bhm&#10;gsYmJuAAHOKAAAOxTIWquGQAB1RZdg90AAEIvNUZnANhT2nvjrgxBqCIAH8mmVOAWBkI4vAQZoqt&#10;/K6W5C8jwzQLke1RxEAADOQEbYNwdgo/B6UII3vZAAm19Q6IaRYi0ZVtMSo0jaksAAUEmXYBXk4A&#10;AEkn5HyNNKaAAD/wJRnAtCRZTvSJOvUazpKK1EYLWTw0CVil3dKAU7LchjvxfS/AALWYQAAfzFSc&#10;9UCcyVRjAmY8N4skz5n1jiAAJc1QAAfmwAA6ouopRUCTN+AgAJmDAABH5QAxZ0AAA9OtJ0eBeAAG&#10;fPGC0igmT1AA6IAAuJ9HhPGXqN0gAZgACbQNjM2jrQ5Wu3QcIAJkgTAAFCiAAAYUTAAOCiwABN0Z&#10;m6B0AA1aPSCBdSEADvxr0loLJwK4AAU0rABC+HgtAADHpkqOlYKZqTWoa2Vs9FhwM0ksNp3gTqhS&#10;lgAJ6owABc1JmvNkH1TQAOVCq3NutLwARlM0ZxtgAAc1bABL8X0TooBzo27A8Q3gACtrQAAala57&#10;mwi4yMIIAKQguAAKyuzvKrVwoK8QWwAByV/MKYdlQOqH0RiRWsagABX2LqlQtYr+h2gABVZMAEew&#10;uTRZQ2YW4ABAWdVGoupFSq/jkqJKdrISAAA4tUAActrQACTtgvxf1ZXJgAB3bcAFTQfTimbUYTyu&#10;FdA1uEAAKVxQAAbuQAAVdy5ywpOWDGwoUKxy8IfK5nKNlps8lmz5bF1FDS5aLd4hTv2Pi7AAJq9E&#10;CnEuLinRygYTVriovkAAR19XjPIBBfmjtH7kAbAAFPAAABkYDswAAPWBzYmzE/guq8Ep6hMkxJpv&#10;oJQABFwsADBYn7FWMwfVqrkiJhC1iMx2ueI8BYEqyF/FRAAAnoGAE5BgARISAA3DAA0oeABLEgAY&#10;YqAHHGAAZ42ABpHgAK5CAGVJAA3pOAB1KgAFpaAGhMAAPJmAC3NgAwJyAFFPAAMp+AH9QgA4KKAB&#10;xSAAQqWAFNTgAvaiAB7VAAHKvI5LLQsADHXgAvrCAFpZAAMLOAB9agAJraAFvcAA5bmAAfdovGQB&#10;egAVL7eHGAGdggAc8KAA7iAA9cWAFfjgAsMjHY+5srfwAUsyAArnAAdc/IJEUNGABBpsuy9SAAjr&#10;AA6NeAMq5gAfdqAApuAAlt2AG7vgAO+CAHPxAAyOPU6qYOWAGbzgAoejTafRXAAE72AA9u3pdO5O&#10;+AAD4gAZvLisZFTDoRXabX33IAHZ8gAV/qAAJ+AAoP2AH1/gAEuAQACyBAANGB1jWUOYLSxLkqDp&#10;EUTXuE4UhWFoXhiGYahuHIdh6H4giGGz3iRzXPP2KGTDQAALi1QVCP47YyAEzI1bduUeiuIo7jyP&#10;Y+j+QJBkKQ5EkWRT/khvW/gc0UyTQF5QkaUpTlSVYbPmWAALyW3XdluAUAAHpiAAGplAARZoatrS&#10;qmyCS0AAh5xZtnWRLAADangABZnsADvn4ACZoEABwoQAJIP8AClooABMo1bFuoEmYRCWZ5pKSl4G&#10;ggmKbiyLjDp+bgAE2owAD+pgAO6qU7T03KtAAiawAAo6zAAxq2AAg65AADq8ACbCqAB70URY67FA&#10;AfrIAAgrLAAKbOqEx7RAAXbUmGY37KB/X/Fy3EFQeNTMqWpz8uQADfucAAhuoABOu0AC5vAADqvM&#10;AB3vYAANvl0ymS9MR5v9cl0K7AwAEnBntD62j6YFgzTw6qKqsI8sTAAUcWAA9MZv00GEYZiAdn2f&#10;ysyO5roF/JwANjKomM2oqkYs9QAITMwAHjNgAEPOQAlg+QANfPwAaky8hO+wXgz81wAHzS4NVwiN&#10;PoyjsWFFrmwTwon3fl9RXyx0HSrMowAtExwAI/ZqPCYAAY2tw3FfI7AAGnctZATNc3zYeFKUwz98&#10;AArd/cBwlIDisq0hMauIAAA+LAAuOOlqXHBDsAAt5UAAf5hdV3lbnOd56RYkPfXYoP2KqdAuL1Cj&#10;I7Y0jaX+m5/sey7PtO17aPqHko3aZk1Mw8ACUAX7fw/ElPPAAL/yVQVJoxQSlK3iAGFMwADIysAA&#10;xPZAAivcAABffAAtviQ5EJ7FkAAJ+n2/dx93QgwwzgAGz83heOmyYpOlRFAAqP9wEcoABIwCYUAA&#10;XcBgAC6gSABbgXAAAzgeABiY8m/OAGTBZV6sVfgAGtBxXCukJp1d0AALUJAADwhOAARcKgACNhan&#10;MCsBYDkPGkTUm4EIbqraxCceAAAsQ+AAJKIL8CzFoe+AV7z4CfgyAAC+JoABaxQQooQODqTIGSgs&#10;MkAAcYtttHOABgYrgABIjGwg+J8zdiWZKN9XavVijrUMklrbGGNJMY6HMw5iYJAAFXHyBECgbSAg&#10;ixQBkhAABPkOAAdMigACQkaAAQskAAAnkmvJekIXsjEdOxAd0XQACAk+AACUollLMPKGYAARpUgA&#10;jcABS4pIqhWli106IoYcgAGDLgADTxEPuRumB6MvjMGaYyPSUggk4JyJCexhw04vsELODAACCwcu&#10;FbC7lxAapNDhm2u9eK541gTnCwVg6BAWAAAFOh4s6p1o/dC6NFKOZNIwRijNcEwZ4zsnzPqfc/Hi&#10;O5N87uOrvngJRn7Qagzx3ki/LeXFnIQ4HQQcWAOTUwG/itew9p7giokRHfELZ8kNISBaTImaDUYA&#10;AAupS2iEcJV5jqAA/d/KaH9v9FQ/+AMAx906Vqrd6wAJAA2cC5N1cVk7H4bqYWO4p6lwbg6rkQaF&#10;IQ0ApZSOHcKYVwtEbC+GIu6QQ1C2ACG4EJbVWZOF96rJBt1qWGeo1gEY5zFV4A4AACK6gAqWKeOC&#10;iIpxVhDFgAAcrAyrWNTWiAMwABBsTJteq93JRijISQZQAJ7Uzrg7yO0eGQKpk4ooUszowzhAnVsI&#10;9pEnO/aRIyR0kBC0rVaNyWyEwlWyAANm2oABZ24AAG23bam2WrJ8UCQ4T5O0WaanpPhzmWy0USos&#10;wT8WrgACBdK4ES0YM7SyaZ95JxvSelAnEQ56wATMs/ESaKD671MpcV0r7r232WZUNh5YvZxhJkNI&#10;io9B78z7ndckADpHTItdRPN1brVwuvnxfrBOCsF4ML3P9JaCKBvBwbhR2R/mFqfGHcyzz6QE29Aw&#10;AABWIrDYkLgLc4xyFkB+o5fKpo1phBScu5meyy5jkMA2ACbF1Kb3LBFj5cQPzGmPNeOhmTNLrHVA&#10;ALHJcIqxAAp0PuvVjwkU/kDSdPA2rGB3QpiYAE2xw4wAAPHMZujeSfEAAC0Mt5cwcxeFPN7mgHq+&#10;TbHo9IABqZ4X3nGNlc4jFHKSuoEIABZaEykGXQ+Usu3Obi3Od1nQAVEqBeWasgoJgZ0vpBGWT6ds&#10;Gvq9QauoNGBppIBqRMiyBiexbjeTUkwT3RunMRLonQAB61qAAEeuJOmOFfeJh5W8xZkOJF6vhbW0&#10;x8FXZNG2q3c7CiZE55tXhU7SpgpyRQ6Y9x9IwYCUQEgAAH2+VYrBSwhSVpeIzc4AA97qklJS1FHr&#10;w2OXgLl8L45lVCsHG9vgz9N5Rv+gEJdpnFOMwrwRzl/ETzwI/gF1M9HWT2wOR/gvEuJ8USpg+gOE&#10;Un0F4rxxH9/5vk4J0bJCldQEAABryjP7hMsZem5ZWiQAK1Db3KgNAuaqiW4Fnt7cCjQmZ82APHZO&#10;Bjc6BzvnkefSMp5SwvGqngxmjHwxEArKtQYlYszwNTmm40KXwaI5Ryw+Ow9Of1Jq7fNHKgt52Aer&#10;3YR8cqgIMXuIAN9RVTLqWx2E+sZSBv3zrjKy5wAvPMCexMGONrxBYkIPUM1jBAAuQflWzOQw1wCP&#10;fjVciuDz2sKmMdei9t6BfQAHfAb69mb1t17x+WYZ9B5KTV5yrgc8XQqTuv9uAA0uBkAAKPdydjqX&#10;0KkVeWdxGLqba8hAGOmBj8r0EuPGkJCJVu9VqPDgAx8CIAA4vslgLEdse3AUJk5GBlL3YKJpIM9b&#10;x39KQODstv/PHheA56uuRxxH9X9v7/4ylVOgXGnhf5f/IcZQHaHcgCITTAYdPoPqdMgCcLITdMX/&#10;bfdrcwXWaxTAfHP1PSXWTuX4Z+PHXWgNIWXWfdAAefcwgXZ+O5PHePSagOH/gQbgO5gjgXTAgCgv&#10;drTAgeFDgIg4JZPUO5AGhAYhYjg8M9ITclIUdMgrg7HjPHgbH5fwFDdIDzZShAAGcCUTcwO5hKPq&#10;TAZfAACahgRmNwESKUgjcjKmZBWyBKhXhCdTcwITgrgjgrhVgYdqN0RVgjdMh0ToACh1gReOLlef&#10;VyIUX/gjPHcwcLZ+iFHccLcwX/PHX4h0hxHcX/dSTnTpaxO5gIhHTAgAieIYfsX+cJIrhQOqfydD&#10;JgYIifirisT9cXWXYScbitizi0i1i2PFhSdjNjgkdiZ+fWHJA9LpLrhvi3jFjGcFihfucKIufxcO&#10;fzipf1jHjSjTJAivf8O/YTjUjajbjcjaO5PUZEAATuZ+ZqVuh3jdjojpO2jJijTyIwYEcPf0I6jq&#10;j0jojWcZjYiyj1j7j8j9j+j/kAj+jsOlfvjMjvinT3jRkBkLiej3O9f9kMkRkSkTkUkVkWT6kDYA&#10;kGimjOioOwkXkgcEkOcBjZkhkmknkokpkqkVkZkFYCkHkdkJjzkrk0Tskjixf+k1k6k7k8k9k+cc&#10;ktjLkvFCUuABezX4b2k/lKOeO5baYuOmOvlLlSlTlUlVlWJEefWoL5ANavBAL4L6TzGyABUnVWdF&#10;lXlnO4JJbWdNLOApVhQ4lolxlylzl0k7dMlOdFXCZ7TzNvABfDc/RNAvl1mDIZO5cgd6eZa/mEmL&#10;mMmNmOjbTuQzh3XngXjNYFkymPmMk3kQmZmdmemfmgcTlBikkbcNmXcQkzmhlnmbj5k5mqmvmwmx&#10;myOxmjjukcmnjymzlWmsUEmum6m/nAnBnCIZm1ilmmjxjQmpnDJBiPJZcwZ+dMITh7Tpf2m8klnL&#10;nYnZnamfnFmljwjPkfmFJJeflrgrTAZ+F2ZygXjEmNJ+NFdde2JiAeAAWueWatiXh9VEZqgIYUnW&#10;j6ITO5XWdMO5TAX4X4ITPHi5lbV0V2TrhaLlaxhHicHjPDgrPUiIIuidI+XWg1IpoFH5Z+JWX/g+&#10;JJiDoacEgiHcgfIunsjGO5X/O5X4onZSoBFDTAo1D+YsozO0ovoeHjh8h1UHocU7X/TApAh0TAgr&#10;axITiDpATropfegrpNnUO3O5efPUe2pOOendlDnHngiqIYgrddHYazZ+X4hHn3eZaroHmEn1U+n3&#10;hoW3W5gjNTHnMxbyehlmYNn+m+ITXWXud6pTh9h/d2AAgXcjR1fKAxbhexo7OzXWSsV/bFP5otOf&#10;O5ZjdBX9gXdWohIiXWqYEmEogCZ+h0hkoMcmJSPUT2greJn4cTgjmSTucoA1qGSFoOJJgCR6efX4&#10;npgJYeI7gCLCgjfkhsp+FDqgWbZ7gjR6qTh0o8JJPHbNgIa/paT5O5axVTefrOF7YTe4WWmSITTx&#10;hHTrefmSXuXSleiWoVLlcseFAAbQrqpbIlX9jKmkpdnfkepgIXdMfhNKNMbQgXlrlrqzLsLufUpW&#10;diefpAh/hHgrdMh/cwgCdMgIpAgCgrX4grpAhJLlhHgIgrqjPgX4sSH/sUTpsWLlh/TATuiQH5iW&#10;X4ZtayUoUqhqYbp2AAVmeWFhC+dkaroDJJpDZRoSV2o3JJTuefO5sLbghHrVIUp8IYgCaLCftSeh&#10;ITVEfUsEefagDVsyAuYfgDpRscV2h/dMsKTpiWcwpKMaXWhHh/ZJXFeZTQqnAAh0X/dMpGTpTuia&#10;PqrbF6PHgjnuOQC8TBb/tyrAU7W1DZUMYnZqiWcyZhb2gCTuXWsMoNF7dMgji5s6eWBeucRVoGH5&#10;s+KIhHgaIlPHh/n8F7h5H/h0ggF6grTuqgSYtfMVMXe2PDgxHcdmdmtlh9arb2omoUIaPUV/VEbQ&#10;qdF6gCddrudos2eAAAs0gXO0p/HzuaYTWOt8TsXWhea7SaewhiiAeQUOShSjWoITmBIUq7hPkbji&#10;IlhbYeh0u4fedMcwiDPUQGVdheUilflcspHjgPIph/efumbghLPSiTfegCR1QJC6AAL/B5lvVjOf&#10;pccMr4mYJXJZFRXzbnCMU4CRteVEezd6ZvBTfmTUuAT2cjh0dFb2dMuOltZpTiZJddeZZOZJtWNs&#10;cgXWlri5XZdUi8duVTvearhecsejc/hebNTls2rucjiWqKLNLPpjHZUptds0aPPUHLBgRVv3ehiW&#10;tadePHuAw9dWq9rJi7LCXWh0xKvnrxIVtOr7H/K2dPtSCfAAB/x3tyswd0QPWHqmddb2Z+XjTAre&#10;fUvOjhcLqmcLcgLCX/oLn3uAbHY7cLe2AqyVeguOh/X4vOXWfUqTO5xfnlLld6qml6rjIidMmSp4&#10;XnOvXQxPBVyvfYfadmO5e2qmZ+swSsgrqBK9wje0EuZqn1gCvnlruIvgJqVvOYAfQEcsPHh0vMoL&#10;fZDiqhXcdMswgXQ+BYwwWiPDPHxfi7PtqTXuxyUrdbgjcLhHR6tVaagjvMX/Xui5dmswFqMJOvqg&#10;wvX/lrcwZqhHaxuAXWZqiDXWuAuAi5fNfVY/RjZUh/T7X/puMkxPdWVEZdhHRylOgreUFEFGuAZO&#10;qTgjswcwvereuAcgiZJJxUq1fIJbuCuOWVO5qmh/n1R6w9zFdMcLAk03wQyxzSdmpAheswYqzHm0&#10;rzcIkElCwUkImoIcPHwZWpCQECEEvegCswaP0nFUjBxcr9gIuTbgWVaraECyN6bktxFkJvZLCxPy&#10;P0xPxclrx8Z6XujmPUTAQMm9RPRRrEWObvZdBv17dfdpOOC4n0KuGZYxNCYoDIQEgCPtPzBsb4sx&#10;0nxWKLPUs4SsMzCETGSaaodGdZfUgjX41z1tDC2hS2iWSsgCE2Vgl6q9IXxvIWdMi7aPUac/cjU+&#10;xOfL0qAAWkBHaZDtAAerfPhttzhBV/hHdFqFPH1fUrhHcgdFPt3IxKbNefY6csp4a/sgRHgIhead&#10;eW1ka3a5i5aLzzrvGkymIhyoEQRQC1cncpZqc53qq0aSxcgrOvlO1tgI3obsauTur9vMdbi7vnqT&#10;ZdPUzYVc06Y7pMK9VTqgrexf03AkOmwLQEe22hDCLWnzFeBjzaO1O5Xu33PUl6rePU4Q4Q3SJ5ZO&#10;zJlParPUrJuEcg4TIUVWPU3apAlOqtddd0rexKetd0cgX/arUDTu4uXuX4dmeZs00LT60NKuQhWO&#10;eZX/uaUn17BvAAxfTub2zjPtrdaYdd3gFrq9gXT2PHreZJefl62Fdd0nVTWVOvXFZ+YTVTn3vOa/&#10;qTerh0ZO0GX/CB551BwS1DftjtnGwV1JwXM91MSN1O2ZveO5LCpkXGrEXQqtWVSs3IgC2/vVJRqt&#10;6MaL3ap13tiWsE6G0oaiXXM9Cb6l0HfXp11mhs3hbSCpelvPWzy9NgYseZWFoLvMzRNiLSW7Btte&#10;6M2PWzxXGMs4cjN4NlNngXCV7KegEbBnRV2ZtxKjBNaUrJSmUYSZR1Z20ntMoAJJf7j410xwML2v&#10;KL2xq9VEQagCdW1/Mu7TlOerPmS90SFxjm1Wvjbdl/r9x3B/IU1MZJxGerTxX/p4VJ2BWvzjarZJ&#10;0niWezTTWWdmBr8RSd3I0YyluV3lH/ruFOL8ZqX4PHBi8g2NaPxGjmV/i/X/vOBk8qWWV4Sa3h0G&#10;TxwvQhaxbQ2ZsE2/XWcgWF4NS9aL4rIC7s254VZCa8XW2n4ZvSFDZJyRveSxBWYsX/mS55CBN2N5&#10;LCaLetpApxzFLC1z3Ii50JYtcs9OQmQoddl6U+jm2/pAXul/rEhHp4bQqgzjbQlO4QviuE5HT55J&#10;Wv5LOCFJTAWRZlRp2LMpMrPUyVAqeMAA+J3u6h4QR1y9nyeL1M3h5oG/CO+ZHkHmbNn13hzjb2qF&#10;UnsEuyqFxPqxIl+Tdd2DXGbvd07757ryOir05/ne1Im56DYt6g6IFYcfLox0ELENe233XfqMAAi5&#10;p4ru9hcsVTroZzLAZOaxl6zjaSqm7KCVw+e/eg6lCbZS4XchfiswxKzjiWi5xZNeS1/OhH/XuzZq&#10;3WAAaHBl9D2Z7Ahr7CMx7EGW7GNmCPEAAANgYAT8GAAUhIANMMADth4AS0ShEKKUWACnjIAckcAB&#10;Xj4AZ8iADokoAL8oAAllYAlsul8uf8yADdmoAaM4AA8nYAC8+mEvfVCADHooAUtIACKpYAB9OADq&#10;qIAVdUmAxq4AW1aABVroABdgACqsYAeFmAA7tIAFtsADWt4AY1yAAVuoAG14ADZvYAbl+ACGwIAf&#10;OEAC7w8hkY3xYAZuOtFqDOSACmyoAGmYAD0zcOiFOB4AXuiAAj0tNp791IAGGsADU14Ae+yABy2o&#10;AdO4ACx3YACe+ABO4IABHEoHG49CfQAaXMAC154AFfSstna/WABu7IAb3cACR74Aq4xAAS8oAf3o&#10;AAn9c0m3ofwAM3yAD1+oAV342OznY8ADBf9l2ZCmAwALCBmaZwSYKAAmINR5IGLDcAD8hQADThcA&#10;CUhpFAUAAHYfAByQABaJIeiAuooAAXYrABkgZVlWzzjIABTjVvW/ceOY6jtQHvdt3VjKoAAhkQAB&#10;WkcAADkp53pW81gAIGUQAH2VJMfAmZYRtHRelwAA+l8AC/mIADhmUAEWFJBUHWkOwAEKbwAMuclx&#10;XN/GdO0AHWNeDxXAAvJ/AA26CTpPAooYADQokADKox4VYcQCGJM8AIRAA5qXgg9AAGunAAOenwAK&#10;+ogACKpQAgoSQAAeq48q2rqvS5qT9X1f4GLBkJtDiukwMWvZqJ92Hahc04hUMRbHAAxLKpIAAks4&#10;ALHEUAD7tRU1VPi2F3XkBLcctzRPuB0XTdw3gAIC55GkhhD5AA37umdFzIvJg2FBC9gANi+bQsgj&#10;b9AAGMAs2z4UPyLWTj65AAlwXojiUw8Pc50JUH0AARxasMYcdsj3Y1j6ygENFfWF7z+Q87QBMzKY&#10;cyCrbraFoyQzEACdzQAAbzcADxzp/oAaIvZunBLyp0MAB80YAIDCnOc7LPTXtN1XFezo8QAKTVpD&#10;kWZThAAStdAAstgAAGtjTBH59AXaIZhubAAuAT9L1QntytO1acGtblwKzegAAbfQA2gBcsrYAAz4&#10;WeXXQwaUkSYqONaRpgv5EAAB5SVgAC7mKZzPNeYC7XNeUgpX0fZKBfpamB46kACP6xAkEKHsE9T8&#10;Z+0AA7O3gyDsWBG8JpRkp33fkJvDAC3AEAAOvJ73FcXjxMj/09N05nZPgXjmIlFMdR1JIn3QAAn4&#10;OHnufy8wIJAAB76fBK66RW1gIQAPb8gAL79QAM7+AAFT+wAoYKFaDcVCqN6oAAHQGY6M0AAhIFuT&#10;cqYcXa7V3l4BsslZadgVQYT8oA5g0mVwYBUAB56FkMNdCU/1Q6In5D2YiLWCI3wABwhip5UDYBZA&#10;ABBDhtq4VIMZJciJYbL2fhEiGABewEAACTiSABXQOIbw5FbFB9qjjxoiPqPWDT5SatQDVFwAA8ov&#10;gAaGKl774QgxmMMYgtgLSVEsMqKY4ZxW3AAEvHQAAQI7gACNHpei7C/QBPw+yO4QFcEwREvkbDX2&#10;whMkW+h9SohXuWCzJJG4E4eyWR6ekcsmgARQFa8x3iR33PgAS3Qfai1GialTAqBiMh5gAbkJ6FwA&#10;Aty0UIf1+ovkyJmChLwAEqRNAAiGERoAQgAMpGYABXoxXkPKZM+I+J82NoFQOa8agAHIgveKt2IA&#10;NZusNAtGSUhdQKxoggiI7IboZjnfXE4ECp0FqrAPJeearmPx+mmrd5IOlKGMHdP4AAtKAgAHFQQA&#10;AYKDgAYeMNYpykahTgaAFb0HUgzEjzHssw8AAIoF0oFQbSZdNbWi4RwxexsurdaGOlLix0AAHBS4&#10;AAXKYwAgqMRCaFVSgipGDOV7c4JgACbUBy00iRKTGFUZqIVV/sBK0LaYzKg/1Qk/PRjM0jHQJY+Z&#10;hkJYAFpWZKQ9lDKiEodqyy0wsuAACDrSsGdJ5QJAAk0OVOKc0XSzlrF8eUSIlMAAxLYAE/h3SnGU&#10;+YAAWrCuaX6I1045mWUOdyJhRCipeBQAAGGyptzciVszMyfZwQnNwAAKC0MpQABttKAAddqAACbt&#10;WvhfQQ7Xx2jxZkSr0U3zFi4GqltL3Giob436sjlKIxWoragddPJYxqneqmNz8X5orC7OoAAebpgA&#10;EddYAADLsgAFHdyb80AzO2dxL805oFUHePBIdlcOJ3BLvaas1pAwGqthFFp6Q0a+wEOQUMZN/LHW&#10;UssALAIABx4ESSksHuCHRxXk65+EzxrwjsTvSAAAOcK4GAHZ+atg2bgbN0bwGWIHXXyoIOJgyL71&#10;gAFvirCmFjxGuNgd8SIAHhgmoNQiFUWMROPBG39tOKKXDgAA00WbLJpKJGhPxCUJY4KRkstSUyTm&#10;eDBtjIND4HZ8WtkRSkMdGkU4Pc7Np49dCS0syGyzJ6dBjQnf/ebFQt7RoknAmIX+a0VIsN2LG6M+&#10;rfAGyZZDJFw4P58ZXPGgFAnANibI9nE1dQtnkPNVOS0IpWgAGBpZH65YzBBkaB609qaN2jsKFoAC&#10;8hkVOmRKPMNFgjZZwHgXURYiyAK1ng2ZKvogZLmcnok5KVsD4x64Gs7CcwX1wQD3GbxNfaqoVCNY&#10;lz63ybFxtIAE3Qa3KVUqzSO2iYMfvrGLRIGo2Al09cZhOmp25do5NLPczq71yGXEtXc46/T/zIdS&#10;jOLqSwhJmkR+BuB0lQKkV2pMx6B0Flpo5qd27u7/v+GFUiphc8Sei2yHhvpKsf2kLjR9bt5qMsFs&#10;p1IeLybbVdVVjxqqyVbq6yasEyKxMsR5miqwABEc25JojRGKAj88ABoKaWoM3EwweB/otP6ggs6S&#10;5rBhcs1SSCyADEAMoBSQP/lPWEwrot6FYWstuxsFaGFpTZgrZgAbKOfC1OW8JFhMmu5Jwb5AABk7&#10;nMGIm7tLDAnKfpjmiDS48y3F6MFAexd+s2ADiQue961dvhEiQlgABv8iyKrlTKpBR8vvfqnk6dNq&#10;EpM/DjloCWdW1BRvufTj30JsTi+71CfnHY+u6F8NWV6IziuIFZdC7eMvtnXd0HKIAA6KB/4PRt9K&#10;fnXytSpn5njV+bsAAAHPo9umzmjDXwkTZX93qD2250fa7vSS/K30yYcf2hXHeeD69tIQJg+SzH+G&#10;z3JXuPi+mPeUi4bkf4DY9wnS9x6ZYF+ZxxOFjpclrtvpohoV/QpURwOQABfwMl2NUpXxoJmiA94p&#10;EZFMysNqBsAB80NWANoVW111GtrMApyVJcwRq4ONmk5Z7ZwpwpzwEd8Bsx/RzB2pnVNJM5ZIsyDd&#10;/JdEy4D+EFZ97FlRi9NYS8VEOpVJcmBaCl+p/9oJM4z57lOQj6Ax6RvFE1/+Cdtsj57tUYMJ5lDx&#10;dkAx+s0p4Uy5voiJARrsO+G5yREyAGB5hdYM/5ZdwB6s5pAYA54aHtTOG4O9mctWBaIBRU7twGEp&#10;Mpc1CtzB/1JRR0NuB185yuCJjhIJn6FwjpydVdykZlysyRy1wVzBWQjwj5RhRJ2YtlcGAIs4+eIc&#10;cdsooKJF8eAN4VXSKsx+LRXBuJySLQpdYt4V/Rjg1pVJ7aCmFdCJigj5w17t/tVJw1kB7dVJCJNJ&#10;PdvZohjQzYzgZspqFdfGFRYoAAx96CGkXxR9g+LtoV9EBxaNiQABgEAJ2AIWPOI94WIWMRudwNdh&#10;dp6gTNfWHl609aJmQOQSQWQaQeQiQmQqQuQyQ0joj5X9TNwqN+HaIeKeEluCHSLRg8kphgiJihNK&#10;LIABpRARqmN8iJpR6CL9TOCKD6GRuQ9Ey5ihigx+O5gSCt7ZqlytzCPCQ6T6T+UCUGUIrCJuOKJ1&#10;VoyMe+KFWEQqKSUOU+VCVGVJpITOMQg1Y9u6H4x9Dx1lhUDloOP09CP89MTxfmVOWeWiWmWqWuWy&#10;W2W6W+XCXGXKXOWyUVViJ6UkeiUty+U0ZmXSX+YCUNCIjpRE5UTBsqHODdjiS8esCd+OBg86P56q&#10;WQf2WaYGZeZiZmZqZuZyZ2Z6Z+aCYCXaUd5uKBV+KKX0yGaGauawS4PYPkwUOsPFr8TN0NgIBIA5&#10;n0AoAc8cS9CIx8S+KuKuT0rB6k1CQCWV66a2cucyc2c6c+dCdGdKdMjyaMrNyqXlV4yeahWOX5PQ&#10;9AS0hQfAPQPgwUPgPorMS9gI98AZhgAwAk4EAKYadSdEP4TMNsOVXgK8MZiUPoPwfAS8A4Ao4EEk&#10;DVh0CUBmHxgFRGQucZ7yQGfShGhKhOhShWhaayb8aox+R2HSKuhcTCdYyyJ+UqaeUyd2apPSfY9A&#10;OwPEuwMgNlcYN0OZXgS8AUASPECkB1EcD0Cw9YAajeh+a2ioosNlhEIsK1NaeeekS4BQA4pEGoEx&#10;jUDQCVOQAOfKQyg6ciZWcqkGl0jsj5NKNxoN8ucSl6cUTOClu4x+H5oWh6mam+nCUIiKStwp8uM6&#10;Ful6iGdhVwyQO5V8MossAcTMCsgRVOkMOYPEwULQNcpoNEOVr8S8AgAVREDYB1KQFEC6HwAgASgy&#10;nGZtCINCo9L4MdYCbCeAS4BEAphgF0DQaAC4BpKSfKp2QlCKLsNwd0DpHgBwaYAEkup6h9CKmKHl&#10;vZ9dNiWCr8jqCmMREBDwawDBd6mWQ1CJsp7sx9/SS+m6sgceCmIVpSS+IdoimZCKnMphmhoh/+Bi&#10;CV8AjxpQ/gM6Hd8+HFzBjiuquGdSnqXinwe8PE7cAEMcK5J4N8MF3kBAApVyrND0P85UO8AVEcNI&#10;AwCwRsAmOwS8AQP8wUCEPZkEDIPFkgAUP9KatqZiwoS0OUAeOwMUBKV8PsAGb0S4AoP1CsDYPFMg&#10;BsPhYsAGbWlhHwhMt0DA14C0EhCYAcQSQNCIj6epgKKtCJCKT20wTO020o5W0+qcS2T0j60gS6cO&#10;esS4j5CK1uPGWFvs9C2CVJ7Au97Nv2Fh+qKsj62W0u1C3G2Q5W3C1W2OO+1wS2245WtG3cx+T2cK&#10;fMjq0cem1+3xgJpR3GSsnaD6uqtmQxmhvpsxys2xiihyyKb4TN7t3hSt1FiFmCN+uITOFdaEKBn5&#10;XSIdmCOu3e3tRGT2CmRGTd/WsZ8temHZAS4+c2viUivoegPWn8UkNIKtGMAkARhije2GwkAGPEPI&#10;AtOANcB4D4pYBOY6xUP0coB0OtNYC0N4+UAQP0uy5iYGwpREOcBJjUMwCdZMPwAN6cS4AkPlXgC8&#10;NxxsBkO+JGzmgCQ6f8fAP0AVn0CUsgDkGAGJdgiVVOtMtlvZu4j6S9+J7uKd4WKeIVCJ8t+qCmER&#10;yuBinQzsiKN+TQaq7KjU2l6CKuLtmi4+2q6GQ5CJcODdnhtRN5ueuqFeCmKtvN/RvZwqKuIeT2Lu&#10;S9spDx/+mJ/99dg+7Kt5dpXRysceRBP+Lsj6T16CKd1uUYrNeZoJDyT5CKRF4gXoXxudi5oVwpmi&#10;uqIcx9jgiIj5yuuY2lu5g+H5jgy58tqkx+IUiJ8u464ITCNQbOKdCKH5oiHNmaM5e0Etd6val1CJ&#10;Pd45qsyxg+uqCmLtcOT2M5vNpSHNM6K2vB/l1Je+s+S+dG7uaUe8PaacUkNcK0Ksv8AxVwA02lpI&#10;5UOwAlOQMcBchINwA9jwS8AYP5KYCgO9IgD4OZQsAa9e+K+M5MTQA9TkLcB8EgtMAI4ES8A0Pspo&#10;EIORnQCEPJC8AIP+/qQ0PYhUOohUBwD4D88gGQGUQIBdXxVNmhrtqXFZQzPR2yCppVpdUAE1hOSs&#10;S+CLPZpRasJuFhXR1bPOBsNo+8jQjaER797aRGs6OBIBqp+pvZ1k2zFsTORFA9IlDasZudvZrtvO&#10;IV7aHEspTVvq2pclw0VTKuDGOFwrJtspwp6OH47AKFVJijRG6u3VhJ3Fw1yuIVTgyvROCkEjUcAC&#10;EHOiH6T4wgd06GOFSJT5va7KCl/9T5oiu5hJzC6trt8tu5NI+lp1sqRG2poKIWBahzUOI7Ik5aKe&#10;HNw0x+S90mxHVpmZ4VY14XW2sATNPdbN0fPtT65cS5lFouT2mJ9dHJ/mSJclDzPJhrJ5a8EM7I9a&#10;7mavKOiMejKadsUkNjKo2IA2GWbm+4xm+RacAgh0MUBYhINvMwTDL1KYCoPBSYEAOdTXMYcrMiX+&#10;2QX0A4/ALQB6DIPvNITDNUpoEUOV3kCIPNkHN7OCQwPUtUOgtUBvOfOnOsA3O1pFwp4N5lHIx9RR&#10;7Yl+9I79wZiV6CV6BFotHJu5cw4lq1vZHJxoACurJ4KLfceoexoKIoiJbZCx+Pel2iBEGzgSUNmh&#10;elmbUpozX/f5ud7/QZR+FdwoFjhSI/F44NAsIRhPgmEJR/FWY3QoIviJTBTJi7HQ+GKsiJ/neVbi&#10;Nph3PKGAvstJvqT3PqALZarQTORh7OLTUfNAS/F6HF/RnNVJWTS2HSDuT2Vdug2yFNcUADS9jiFf&#10;eNLJlF5cFE5aD7EwS5NJot+XgqCnfNtWOB0JoJkuH633Xw9BPddYI6NLXRySIfRx7vmNfXVo0YHz&#10;R23fmO2pmhlGI6LfHu7obNzSXe7xV3ZsyjZ3Z8BraFAU37LFREOvahMnasoHa7LzL5z7bNHbbY3z&#10;MfbqXTbwNzb5QDcHNHNMS7cYtDckqTcyO/N+T/dFKbdNKbdXOgDrOrOzO6wnRpP/RN/9Y0x/RONE&#10;bUHJulzVzdSIHPsx4FXhdwKPQqmJu4GjtUjBU2NHj6A5f1zDWIYAYLJ5XSRF/RmBWfmM4VTvF6NF&#10;dMHmUOClvrd3gqIfiIIsAAHTvdshjUwnDDKES5yvjZohqB000U0dPfkRnt9ftCBLUmELFVM5mDlS&#10;M6KtsrSff+PMIVn6HnRPmOIXjVUGZCVC4koBvbZJs2JAAA7QGePuGV3FWeDuIrJtkuO4lgJkcAcL&#10;mN0KHnymIhkI05T5wrVrS9cl/S32RHFVg8/sFQTBgyFfja5xcnyWyLIsX9YiLxR+CJ8tt+SusZjh&#10;jje9vpu6BiD6H6nUU/FqvfoRyidevnojKc6LZ7Kvo3aLpC8rpLpTarazpgS7bDpvbTp7bjqHqLMr&#10;qTb/qfcPqkS3qvcjcrq/c7rLdLdTdbrndjdqVQ9CIVgwj70nPNgxNJ0/z1kRqCNn5+M5I+EbPODv&#10;mPgLwPnAS/mNDxjEnxzEcZfV0Luc4bupS/uzu4hXvBQLgqCI90Inyg7XRHQgADfN+qvRrTwA2nwI&#10;XPnhTPwc8rwld1XRY1jjxXjGHEmh89sqIr6YH7+JVLVp5UnaSvx7PvyCU/yI+VvZud+WRF4BqlWd&#10;0J6NEDiBueNEJz/wQAAFiBgAUwYALuEgBpwwAGWHgByRIALCKgAhxgACCNgBYx4ANeQgAayQAFCT&#10;gAJSoASyWOqXgBTTIABWayaUP6cx2PtaegApUAAMShgAW0aLxmW0ql0ym06n1Co1Kp1SqP+rgBuV&#10;oAJiugAqWAADmxgCrv8AOu0zGZge2gAnXAAA25gAA3YAAy83W71W+36/4DA4B74QAM3DgB+4oADT&#10;GgAF5AATmcvZ2u0AsxSqUANhWqsABoGgwAA4DAbBP+7usEBQAMULDcANsHiKlgZ/PsACp4NkAEBz&#10;sQAAZ+vrBcbj8jk8rl6i61kHCEALQPEcAPsBAWlg19vQAEVysAACJ5uAAAJ/v7mX56vvcuj2gANj&#10;4fgAdGQy3ILhjkvX+gAwYAAA2oDAAL4GUs0IJAAM4MAABYPAAvoSAAKIVRFEwQhkABIhxnDYNhXF&#10;eAqIwAIGJgAiMCk7LEADLi4AArjFcl0hUKAABaOAAK+O4oiQOo/UteWjPKRAALqR4Lg0MZLAAvJO&#10;AA4ZRAAdJUepgT8lhsjbNsAC3l4AA8mEAAdmQACjmcAAPmpI0lOKbloWqBgvSBIltAcABKnkAAEn&#10;wAC9n8ADJoIAB2oUADeogADCosAA3o4AAepEACnpQAAXpcABBpqh6JYo/QAgk0AAB+pAAEup4OhC&#10;WD8VlWyrq8AAwrIAAcrUADdrgADwruYJiYczXmAIAp4nqagPlZxzzsqfqAOizgAES0QAT01gAM+1&#10;wAF22gAhkEJNk+W5cEe4wAMe5gACa6aZps4LtAAnbwAAV7zQVB5OLxC0NGS+4XOSK2+EAQIUhZZm&#10;uMUxQAL/CgAHHDQACXEFLrs8AAK7FgAPTGQAFPHFLRUsF7AEAA9ySEYTUYLQAELK7Iy3LmoViiDe&#10;AAnM1TcUKNo9SsZd29wAu15YMDNpAOA4AAJ0i6Lqy/TNNcdhD3YZiKeYxjmQAtkmTZVl2ZZtnWfa&#10;Fo2ladgWpyJq2ta9sWzbVSm3blu29b9wXDcXTt33jecvWfIjcdB0nUdZ2Hadx3ngeJ5HmejelKex&#10;7nwfJ9H2fgDX6clkwAs46KggrPMhAAEehAANukAA1enABLzqwDArU6lMKObE7uzAAkO2AAJO5AAc&#10;O8AA8e/jqPNA1UNAAOXxwAPrygAEzzWJYsxvRjeOWmaepAfY9kTU9sAAh96o6l6c1QAOz5QAEn6O&#10;MU3mOavk09KCZoAaBqrTcAAzP4mma+Y950Qjf+AAaUAlUnZBdAZYKw3XMyWIEp17qxswQdw7oCcF&#10;AADIgujMBqtFbMHYQAOD8CGcmxVqBxz7BR8QoAA9sai0yfLGc+jEFYAAMQ0fc5+AwLkeoqfUU8/o&#10;9QAPRGMnAda6wgsYY0kcXRNCbFzg0+1674HsQdI0RwsYOXjPIFVFp5jzgRReiA9KCBvQrRkcys9n&#10;ySwYgATs754Dsx3AAHTHIAAWY6vTAsUt5RxRox8gtBiKBdmRPHHKfVIDVwADDkSAAE8jCxFkh5JA&#10;5bBS0xEQAMEAAMpMgAf+CMpbVBzygRai+PT2WsKXAumwGskZVtNag1JYDVDGvFkOZMfzWzMGaM4Z&#10;40BojSGmNQao1hrjYGyNobY3BujeG+OAcI4krJnzQcY3w550TpnVOudkpR2zunfPCeM8p5z0w8cc&#10;5lyB8z6n3Pyfs5jBZXQ+c+0VoyfACAAldIFo7SR8z6OsfBB52VwgAFFQIAATaCsjZKOahLFWLpCQ&#10;2h0hj71rjPoJQZdL8VlDzABPofMay3RNKXCgfBwpfz+o1Ptqkh5ogAVXSajj1YCPPU+56kNHU70f&#10;nvRtz8bClU5PabmhtLJSUvg+AOephVhLDpLRh5Ly2kAJgy58qVLGJ0xAAAiq7RGjFKppPeNk96VU&#10;+ABQkcwAB7VmiintPqbhxP1LKVgDNcJFyNlIRJf08T4gbA2ACpcYpNwAW7FiQkb65AnrLWd4aOI8&#10;SkoAUojYIGHsRqIUudphVcDdsDCGx0VLH1mHsv0lJK35v0pVaQqrVLO01pG2QprBXPSuslR+l9pb&#10;ZmDMKr+qsspStZMoZaXDXpdthl9asv7Zi0TCbVMVtpLW3zJblMxuttLo3SuIc5v01XAzYcJNxw83&#10;3FTifVOQ95uXIzoco5a6ZU5SUQUUowLV7lLKYd+PEoRRK6vyfokQeVWZCg6tABKqN6MA4CwHgTAu&#10;BsD4IwTgq9ErrbyxasZGWst2uy6bBL1scwGz3HmI2yY7cJlNzma3bBeJIeTTus4Ca7g5tOFm64ic&#10;Di5xnwvEfGc7k51YlapJRXSvJOUwcxVRKI4ajNRkOmQDq3ENVIxLkzJuTsn5QyjlLKeVCmYNamYu&#10;3MtGtW9wo1+XjYpftlmC2nDkxm3TIbjMtukzsq5uOa31v81nBTZJbNtw03nEzhkheGczkp0uVnXm&#10;/QehNC6G0PojROitFlOyvLDLOEGsYSy7LnL9wcMZjw1mVteZ7l5pxBc/NujNE4nzldjFedsW3cz1&#10;jG8GM8/XlxxqPWetNa621vrjXOuilaOtxpG3cttKW/wtmG4ZfritomHpy5RLLmZqxDdDXeVdS3Xx&#10;VnUlmd8XXdz3jJx948baAvPtLcc0GCyknvbIqLBacjv3bVarEL8lt53M8vJdJdyNNYLSyllQ4Qb4&#10;3/wBu+vcHyzwjlxrmlbgYXzEYDZGG9l4eubmvEXAcn7UxTnS7WeMX3ez5q/b+f7zaC4ryRplNIF5&#10;LotCEpzmI5Dpj8MhMaZYcWqb054rT9rAWa4DvQ4tS5D1XARgApjVJBxmc3F42oFOlt63XPvdo74l&#10;gVrTPTkvVsn8D0hwXSXB7fYVzBcLDNxtN3J4js/UOI+r4J4vnO7OLLt55xhd9xmfeQax0D2rRnTq&#10;OU532lmQ8h6WWoRSACyVNGC2DI8izJZJ2cEqv/UF5fflWVr6lWhzBlh2whobU6phxe+pZpZQ3oKW&#10;kuMWFdZt876ZDyupp4AyNX9CNUfauYY6sVZ9J5WU2sL4vSujdLFBvLmBv/ES6l8LnyMkre7z8zBP&#10;WVP5a4NbzhGw+waY4bmTZXZc0YfudmztPzcCds1PtcuWqu48d27OXu2N+8fh0PWFAY2kPIgslWGF&#10;6P7+1LGd/xJLQ1HzrjmDmAqIBFKyWRcATlhHvnUBeBekJD5D5lcAGUG0JVlkKj3EbFiQAALIHFn3&#10;OHVHnl/jxHMAAApIJikCkoCAAHSxrYH1qGRwAHNG6Td1YXmURx3YAhOoElul+YN4FFLQAIDE91AA&#10;rIRQAAO4SAAAOISz+ix3LlMG9iEErkp3NYT18lMIME8wAINlqDVBSoOxSifwvSZiaAcoZj8HNWOz&#10;BYO1DXsX74bzTHz4I2W303XmlnC2xhfXDnZGHX3HEm0GoocGAX421nGm2mrHczendWNXIWsogmb0&#10;rkSQAAtolISoTDoQESgSgy2gXVu4JYJwXooUdx0gtAtEIXNIpYphSkZAVjnyZwowAFNBYAVE+FTx&#10;CQuy9QKQAIOwtYvQAEaRS16zsXRwAAwIxlBwPYtYJAZozAAIPRMgph4kXy4x1VfXvTKDoDonNHnW&#10;+RWFgyXgt39FeFejnnNDQgAEfA0UNgZ47AAEoA517AwoK3TIDIRQrIG4HQPo+l+ylApxugKgKou1&#10;cXpITzpANlbhZ4xh4UpFYXNCNS3y+Dw0NB+znowEUI9i/4nCBSB1qDrkFAE4IzEAJVMIj5JR6ocn&#10;0XXIdWXnCmxXYmyVyIfWnn3XE20ZJl0ohHGXb3G222rXdHH4jHd24pN2UkrjPlEjGzHVHwoZTEIp&#10;AoE1AgogAAYJVF8EqAspWIIDJIyQuJXVMAX5YEcUc5TAoY4wAHyAXFmJGGPlLIlAtgAAaJcYQW7p&#10;SFolqYFgVZeYIC8AnQAI1FaI/YCpf0iQwwAAyph4+ALII5dm8jTDBTqgABmhm47wAAYpliUCUioR&#10;bxcRIQ15hpiAf5oTPy7o4BRRRykQHgAIBAqHqgSYMUB0UxXQmAAAa5tXv5ByLgywAH/AzpTpnZc3&#10;UTzQTENphJU5VYtwAE75aCdJniHyIIoQXlmAk50wAAiZ1k/BuSOwr0OlDgSFMJH5JJRJ4hgZKGv2&#10;k31HX2l3DFxH2ZMWnWzWn33nFJ41s5OXbmqXcHHG3Grm3pQX7ZQ59GTUroYkAUAxQAUoDRo5UZGy&#10;c5qFAVA5YAX5Vi/1L5WwAJXQuJX5YYT5q40htQT6IFn5GFmoPXpwAKIATzn3pD/Vnzw4s3hUIAn6&#10;MoyFkJI5gUjFhYKoT5Ry2KLAW6P4Io3RZ2O6JlYV7gWlbYklBQTStyuZhwygAJoQf5ox5ZpY2KDq&#10;HT6JrnNEF3MZGAgKYF+3tUr5pjKTCgv1qSsgMJwFYlCiHJ3qY0bDHAU4F0LCEgvplZl4T50wk51Z&#10;13pKBEK4aJBnqYWqAahxU55XW2wGE3CWxHYWmXY32pMp8JNIgH4KiEq59mqG2H55+pPoipQF5J/3&#10;I6mWC0rqd6BQ0gAAUaraCYZIsCckEgJKD5Ui0QRIo52kM0NatxCBClNKEWPDFEWgqqHpm4CV9gra&#10;yqs6MFRTPgda0F+1LFOZxXxA35SadFkgoK26NHKqHVeVeqrQUWRFeyy5uSzIYwc66lfknaQkQzwZ&#10;26Rl71AIkoKjwyi48gfq+qTVl5bpt4KJqaHZf6siggyVC3qKYAgKr6Y1t42K+Kr6FlJUh3na/npK&#10;c6da6AAAYbG0DgAKfAAAiLIXlpkEQTnCopIqx6QaprK2vFtmWH0J5nXZLKj3157Gmqk57xwp8ZNY&#10;gbLGJl1WpohZO4h3cnHp/ao24apbPmBlOUU5zp3YyqupAJAYHJipWAslhlnhNXU6grUzKjLJmpvD&#10;rKE6BKDqvT7ZpTuatIO4kkL4D3nYO5v3lSeUDVkqxK/xBouppYTzKwQhSz7YNj7aR6u7SiyDBT5Q&#10;7AALV52C8i9IH6BIKmO7d47AZ1bbJaWnqQqbmn/ovyTJv7iwe7oVuqT7JkqSAiBIPbmFL1YVkppX&#10;pHjTpjqJCgAJ0IWxlgAAlbuQAAbbvJT5yR/lqFt076B4o7S7LKilup54dpLakH2LN57mzLOqlnaL&#10;xkkKm35W2Wq7RX6mNLSHIr1WCDVF9lg6LIWlAJ4K4KVELS1VDUbILLAK5VGa51d3KplFd1mk70C3&#10;j3lplJSHhIVHubiL8T3T32S7T4O5E5mGQ5v5dlHw48D4sUKYD5D29zeIV7pFLKFplJmoSAO1Vaup&#10;dlYVS0VpZkllVZDzmLpBAwWFqX8inDM7VcEVIrpL+0bLW7vpSFL4SwOAAHlUAqq6vVOXir8EUIPZ&#10;kE73uYwHpL4KmbyIdGwZ6Id5LqkZMGZr0WzmoH38TE0rQG1ZOp+JPIiLRn65/rScW8Z7K1LIDDBb&#10;+1OYV54FklYwAFg1gHhHnUh1g4T1d0L1VJdlkjnlqFd1JYT4T1L6DnpFVGS1gFNIPb72Sz7VVJ4B&#10;SmO3pID3hMaMTbLmj7MKi7yrM31p62x57cVnZsWZ88mG+cXXGJ96nZ+ZPYiTeYi73ojsqMtctst8&#10;uJ4sTn0sULy7NMoYeso3EIfnZ8WsubhsqnbanH5srsYr3GsKpMx80s081M1Wu8u5Ksvcn56oeRVY&#10;e7OMV7O6l81hyr14hr2n6Z/MZMs37s5M7s788M8WJc2KjGwp6YeJL3D325M4f71M8nDcyX5M536J&#10;+5P7R24L38/zLzVG/Ev4bs7jBVYWS6htCtFcuM9MnqjsoM3RVsws+6lc/cxtFhVtAbQsYLRM6dBs&#10;69CMtNIxxzmGO3RkMVqc8VOWQhS7KNDxfUpIPVd4M81DVFS1L8l9LmutGLMtGs3M+YfLOcWJ8pNt&#10;RRUM5rQ86NBaodB4jc7dURglNMJnvblFumTlOXlVS2Pld1YYT1JUL2O1L4GhSlg4NmPtFBUFYcdC&#10;GlLLs9N7GwYYyhfTmF9pxabwAMkmTTmErlOUh1L0J0KTBdRBLEpDnlYYWlgNcxgk7651L3+dW2ud&#10;R5K9Sc+MVM+qlL0tIcp9m1rNJcX8rcYb286r3dLNWtpxfpkJkoIqPwW0IVLDBVklktOhLTBdDCWR&#10;Sk94WlkoehWIT5srpZtQa7Y4V6ygrY2YmYw4vQtYo6S4nrs6qQfN3ITRT2OharDxJEqoO6gt0AAA&#10;ad6b8BfVNLD6qQet8F+2JFlDUbYlfd44uVVXvUrsO7Wbp383RjmE93ubKI3BgFqKqY6QAAd+DIIN&#10;smjNnc2tn8U7zqkr0MpdT7PeDxLNU9J9VaoMsaotsKAOGxTzmIH9yi8wV7nJlNN1LFgLaqrxSjBY&#10;V4Flg1qFgHNFgNvhTDBT7QmuQENpD5cQaHNZgb+8HbB7vrFzmIkqGLILIlgBSjmIPV66Z7nKhFVJ&#10;ZC0C0gP+XnQxT2O4JgpFUJVAYFVYDE71d4mODj6xOoPYahWFJb74bRfG6o3jtOY4k4lQRefQAKwV&#10;JTH6bAY+hKqkYEQuMYDzw1fdgt+HLObyRYV3pK1pqoBQeOl7hOJWiuEajX1dStodTM4b09IumhZd&#10;qcrMzNrNKdV9K9WeJOpRS1YVt9tSVAdG73QqBHlXhDnpf6aqzYQLBTCTC3nV66DhDx+KDpjdUhWD&#10;7bmgqbjHRtmqFrd+SISbd0LypwS5CI8TBjCLIQiHyknhi8AqY8JuvrfVMOW4O5y+ylkxWIHwl+8R&#10;AhBOvlAJSErld9+EUFkkkxarJV9lVHpO2YaNxudxZ1g955mlkq4pr0Obi1g6L91VMEdQWVUGO+W1&#10;qN3AfHuhLFYUC4Fr6UbOW6ve6OPOsGUOnM9sUrzbNuFspMxMptUOmuHdq9KNVuIdWJQrhfJxLFNO&#10;V4qQAK+gfsPSbws/RnMmSJdhQxwasvDEbIV/QJkLF4klL4KuUs3uzCz5GL+xSuCuKkiEip4Nmor9&#10;/iYQPO2+Cl9giva93jmNu0IIPbYsMb71g40O29zOvxTlLJSAm/fQAN8Aeut6F5XkpHNLpIO5f1d1&#10;LKXQAAufjuXKuHvYDNt1aPJuM+eEcPQIDFYUpKL0U8Au6OT4wLmGS07+T/Eu8Ql1MDBU90pFNFSi&#10;y6Mgn+4dYO7fPGUfKcUbzLNcorz/L8/MxdpvM+p8y72dBOIDeMsuI/O/PFqDPvEvQpzAACrxn6LL&#10;6U78MYw4WoPa/pv+6Drr6RGAQ9YRLfJuPvWoRoD6OBFBFjVE90UNmttTBSmkRjBT+AzAAFffawil&#10;qRAG5AgA+YKABVCAABoWAHjDgADYjCoY7oqAFJGAA+42ADdHgABZCAJHJJI+pOAGNKgAoZaAENMA&#10;A7JmAFPNgAF5zB4S2Z6AAhQAAS6GAAjRgBJ30AGBTAAwqeAC9UgA0qqAHXWAATq2AA3XpLYLDI3/&#10;ZABFXcAFpagA/baABHcAAvbmABRdgA8rzDYeQL6AFxgAAOcGACLhgAAcSAHtjAAusfabWkcne3iA&#10;HvmKLR6AEAAAs/YJm7AAotLGo4dNSAAHrLFrtfsNjstntNrttvuNzut3vN7uMw9wAzeHbLcNOOAA&#10;XygA/ua/ns7XaAWYpVKAGwrVWAA0DQYAAdDN0/8U6wQFAAxQsNwA2weIrABn8+4O8GyACA52JCn7&#10;St9/n/gCAYCgI/2IAA3AOCFaQeEdGgCAVYANPs9GFOUwAACI8zgZ4/z+gNtT1Rw6EcBsPg/AAOhk&#10;GVEAXBiH4vjCMYyi9BT5egxTFAAqo7AAd4+AA6ZBAAv5EAAOJHAAM5KYhikLAZYF5PIAFkgVcy9A&#10;AwZZTsKgAAeXgADaYZbQRBj8mYAASmlr5UAA6JuAArJxAAHp0AAP53AA1J6AAkJ9RBEhCoEAA7oQ&#10;ACuocAAZooABTo1zHNY5kGALhL0xlEACzpmj4eFinU4TpslYOtpGmAqpgAGaqWra1rlJAAyawAAn&#10;azAAga2WZFifrpP1BC6vkgSIH7CAAJrFAABLIptTlQnErJGkg9bRV1XxDtVyXLc5E5Pa6bFnZEtF&#10;gEG4gAM+5aRLqaJqREDQAEq7gALm8ZznVWxOtoADwvkACyvwADdv8ABxwK5LmO/BgABXCZJktygL&#10;WCoqkKKU1lwIcarAOM8ZxrG8cx3HnAcJxFtP0AHHDS18Oc5z3RdN1XXdl23dd94W5eMAVXeZ6Hqe&#10;x7nwfJ9H2fh+gGfzHtG0fSG1gXN4IgotIMg6EElhKFBFhaGIahyHtHiF84jfOJYnimKwNi3Sdn2j&#10;aViyOeZ7JzbwAGLcgABPdZDkVG3zsUJgAAnfrzB5p3zSoxgACXhwANHishM0AAt4+x7JnTgQs5W/&#10;sApcSeamtZTq56mKaBzop2ng9OmADbycAAy+sAAWevmCYi17OnwXAATO4spTIXL7vcBwNAjcAAzv&#10;EZoEQAEbyaJou3FlOPzwAronwACv1aMo5ic3a7bDT90ACY+AABq+Of7sWq4FG8e1RDkzN0hhCyAE&#10;AA4v0rxnVVNJLEuCH/AABR/4AAbwCAADCApeC9MGHe9R6xnwBFgTZAkAAtoJlgXcEoAA84MgAErB&#10;wAA2oPukRO68LKWEtJuHQAAJEKm6N2HBC4ADvRfOGcQESGp1xsDYAAOWHZlzMvrAABaIJYIdjlVk&#10;rQEESAABciWZ40DaonxQijFI2TIDhuNbYyZlCm2VnSOodY7B2juHePAttmp5GcnpPWe095JT4nzB&#10;UfU+5+T9n9inHaO7NUDNNQWg0faD0IoTQqhdDKGwBIdaQ11NqJETIoRUixF0eJIySZqWUcklgACb&#10;kyAAGUnIUwrHDKBA5A33nfAcA4t5cW8gAGPKxwDjFcFoUIDsAA35apASFCoJAAFoj1AA6ZCjyQjO&#10;cQLLyG8OZTSnf4goko25murdbJwGQAAOzUmMAABk2C6l3TZLUb8onhAknCAAYc5EyI2NYxhcQQQA&#10;ThBJE2BxJW2J6GoRcjIW57wEgMbJNkoBwgAE1QBFAOgdAAB9QZggzwAE9PswkCoAAH0QQwCI98pB&#10;iUWABMpNqb0sjBPuX5kBjB7MlORMWfoAAo0oWA1IkibIMjzRujkkoPKZuRfkU8YSOkeQ1CIAAKFP&#10;paS2VgMkAACKizXmzS5vrf6B0EM45cbtCEupfTuiehpxWSQfG1JiTQVKumCMI9mSdYqx1kN7FVkR&#10;xjkMNi2dCLrLowMxjGzQ3DNmcHnjSzyNhJI3NAjk0NotZbAx3aWgdBMfGoyAaq1eQjWpEIikW2KR&#10;zZZIWCsrWRS6mRZywAAGWztKpzLKfivdNirjRLfpqACnYABq2soUT4oYSwARIBAWCooCDZpslVA1&#10;i5YG2KulJOgACZh+PttRPEtyrjojtnHOUhxlpi2qcqCy4xJEagAosfqcgwyOkfTSBK3BZYIqHFdZ&#10;sNt5ikEoeeOOA6UqIAPlcSWk1tgADKvq/N+oUr8w6h5KwY6g1C2zgxBoFOBLeGulU54dRYIggWtQ&#10;vkeFrj7AYwnK64YABz4YluOm4SZ2/AJow/2ZEPTgw4hy8EsFTJpzVHxiyVcrXzgAD5jJ41lsa42s&#10;FWeK9aWT1rZVW1lsX2YRiZnGWukZ67s7jWz6N8cWhR0xvlBo9hI9tPj7H9qcgWrSDazIZrbRpEtf&#10;K7Ixscj8o5mihhYa+asIrtXeqYBR/pijQznB6EC66rgAwmi6AoMKH0RzOSXFg+AAYJAAObQ5lQAX&#10;SeWBmd5YKQyv0goEIVnzbKuXLQkXemgABp07CwCZ/tIJWbbPRMINgAQRW8D3VYAAT6u0dmdbOhX8&#10;XoKVdaAR63RAcwFS9Igv6NQos6iusOgNi7GY+ZmK2eIs49Odj+LzL4wsyjIbuup5ckRqZ7G1n8cG&#10;gxzaJHXY+4j/ZTsNlWxGWLFZbkLIdrlj2wZjsk2bce9GNsgqTd66hvE2aQ0KyDN7CGFcA2JvRNl1&#10;lXcAtEa7C1zrUXu2reFg9rBqgABfxaUspzfLZwwOea1u7dv/PPRngGx4IMHzUNdZTddQUZw9aDE6&#10;ToZgl3rzTmp/8c7LrUtjZzLNoVwyHtQ8WR2dbZr0SOvm3a/ZP5t0y3EetzNQj9SskbVJBNY3Zl5j&#10;2YLISNbJvPpvYOw9irKtm35IrgoBbZoLDlxLd3zlJ0ztWLW2dvJFWG3JHLd8K7H3zsXOIsc6ZTzy&#10;t2QdpVyyKbfa0aMk7ar3tzJu37Ad97FuVp3Ucrkk6rlrq9jd3Ne65mSydLDmD/PmSctA/B+0i8nj&#10;cz6TwDAEeOazOHBPWe29v7j3Puvdkj7/juLWPue1vyFtOufieh14yVtvJm3q/7h95uLyth+pWJ6t&#10;YzLtjvP7wsj15FxZGSD0HvN4cY6BWy+/F9CsUDgDgF1ABkClPAJgPPWay2/6f7m5H2P1Dw6B7I2D&#10;xD4HzIFIFf4R2ACABQOASAJIQAZALf2gFgQSSe+MkbMc7HNbPfDeGZEbVfIeMdGEKePfNdLgRZnf&#10;SbnfUbpfWZcbtZfbvZifcZlFtaDDqDuIXDRDaB7S7D3DigkRTM3AGAFPHAiAcBfTsAdBmJdAGHng&#10;9hMFgDpD2FKCpDXXrDODpYQD+FlhNNpAIAEMYA0AYPHBmAvW0hahlNngTUjY8gWRcZAbRVxgbdCM&#10;3bXdEV5ZLV9ZObghmY2gmeXdTEQZZWLgrdZMddbfbddgxD+I2DrDuXbDODZB2S+D1PCh6NnM3AHh&#10;KOGAeIrAjAdIrfsagiUgkDjDzUiCWDOTeDTDsJSihNnGfM3ArATLsCHA+Arisi2IzhogVeCgXfCe&#10;FhvdBRmhyeLdFh2dJh4eSi3Vih8ZWh+eaiBdYfZSKiGehNmhYHzDuDxDOPDDYiQDwDyUJjJMdM3A&#10;JAIAbatAgBuUYAaBaEgAEcZjhfQDoD1I2CeDTT+DGDlXLgEIGjwIyAGADQOA2hgAAB4A4N8j9kIV&#10;mbJVogUeBVsi9hudAfGG2eKbYh1fLh3eRfPHiUshZEkVhPaMdj7hYgDFlgHM3knc0jLboeZiAbre&#10;dgtfagviHeiffF4D1H2DODXB1FXDvXbkJIzQOALAJIKAsAjB3AAAcAXBPKrYflAe5DuD3FKCoDZR&#10;FC2DdQoj8JTlPIBIFgLPyBEAfUOBnAvTLlclnRUkLY6kNhqi7hsc+fEeHgcjCkWfKeOfMdKh5G6f&#10;7IeD0JnIhXEGKHJEiANLJe1IwD1JnDkD0S9D3JnAXAKYfAVN/AEmCbGkrgoktbqecfYeejSkzjUf&#10;elbD3D4XrDPDYB6Q6DqCyloIDGJMYAPALAnaKAlCAZ5fwGeABPymteTD0D6HzCyDdYbCoDWXriDm&#10;8H+HgPyBQAlaNBWAoa7nInSEki5kOfBeEkRfFeIkUgdjEkYjGkaG3kkL4EGDWL6HNIFAHhdTXEiA&#10;jESj/MYj7ADGKkjFlbEFlnjElD8hYQ6D2S9DIDoYKAFGgAyAVagAdTZM3khEjkAM3nzoLekIFD9F&#10;lj7mVkon0FlD7n8j8oWm5oQkcNMdQjMfVebfXgsdaguNhk0dfEjD5D6YbDVDdCIIHDjCdnTH+GJI&#10;QASAPAvcVAmCEP+AQA5kfo3d+JnC8DhGjCfj2FIf7pFG9ATAJJPBdAqAdWpAgYNpPm8nVltkPnYc&#10;/nalzV2h0l2dHghl5jIGzD6FuDWMHDODrXLAwAUagpRW3n7IeAXN/D4epEaSHAVVGoaIeDsYtAQJ&#10;fnjDnD1UinqMYD5p8DlLSDWDuQKAoARGdAzAVHnVhDrD2aDD8FlAMewHbAKMOFjaoEoDvD4I2khA&#10;TAIAHTXEMDzEof9HBkAQOAQhAMIN/oPbVdPeWojgpoliCjRZhoqmhFgm/QKDcDjCZJ5DcCGpaG7G&#10;fquAWASA8OOm1FFANo9rQdhqNMkDEDlFopLT+DwD5HzrcG0khAZAMW3BkAuAfJgAZXfrolcpcfAe&#10;DhtpglyhxpjfJeNpml4jHkbGxD5FuDSDtFopvGjoFcsSmgbl8AAqRYQl+HzA2AWUODxEopvKjqUP&#10;HprIeC+DlDmF1FBqFJPDnGNDZDvGWAnARXvAtJqD4D9XEDyD6XEDvEGDuD5aDBDFfIeIFDXMHpOE&#10;Qq4APEMAMAFPyDYDwGWhZkAEjp3cVN2mTlOR5ohq+ksdUkumconiEopbxfdFgepS9DjDnHaDLDWj&#10;pj7ofr0FghdZwAaAWQXAqAiB4HfALkHttc1f6IeDMhWAAj1T+DnD0aDt6GwkpAhAPZwBmAwW0iwj&#10;vuGjwr2bNi8pflxhwjBr9gejFeQfOniFlDpGZDHDoYbrlI2AYHLAiESmTW3DRDsFosZFKBFAdjmD&#10;tqpJDQ8A0sXAAgBMkCyShBUAiIKAeESDeQaDWsIaKATXfAjAPSnD0EcElDmqJJDDkRFBGAdnREkD&#10;TqSAAAxQAuoYfsFMkDlOnDLDqGjA8AZIuD5D+MksqYQArqVcVQAmHT7q9fTeYtambomnHMbiFmgb&#10;yWUEjHNI2DoDsJXDFDQjsIFv+uREjtJHeAfAZBYjnMWlDpWwPb0f7IFDUiquApMDdDwS9waFhodA&#10;oAUHelkHvuJZwwljJuThrgYi+kSnbNKndkXl3kZueG6qeIFDqGNDgOnvTUiumMlqYAAu2FKs1uyu&#10;0Eyu3DAu5u7sfFyQ8BkApAoEQAFJPDbEPDUvJAuvLUYAOLsqDaDDvEoqbaDoAQoA7vrGrgIL+EPB&#10;KAgrwqsquD2JnDFDnQoujYbA/AbAaFIKQD1EovNSnAsJqv2GxmYv6h/v8rCmerEtgZlElk2DsDwD&#10;KXXDPBTEaD8IUwvRthBhGBkiZBphJhLyhbFhZDcDwIUCgDTg8DSDrtNyqEKtPAwAWXvBoAwHvAWA&#10;Kw2y2hNwxluwznZr7uZhzr+gfdIudgjG0W5KQVhZeDeDxJSC1ShAuASagAFtPDuu3BBAcyCqzHoY&#10;ZA5AYO2xUDAaIBlAqApN9ADPyxdGWxfFoswPHHgquDLDrYKqFx4EcDKDpYKzhjmAEGgDaDvYQBJA&#10;fOBusS+EcDMDqKj0RKjBPvCEKGgkhAPiXFFJfogWFtYmZv7gqjQySegwCQPSHDwDzDTSrDRBdfnI&#10;bwvoKVEAHO2AmAfBtIYhEjtuQzCZQj7DkikEXDWDkSrrhoRyhhcMYA6AbXfBlAuIKANj/0/iUzEp&#10;er5uXjAZGl0pkr/ggsBnhG2qBFXmkGLD8HznwEy1mDQE0vfUOFkIeDaF6AlURqDHBDZtMAABDAcj&#10;mt8TjYZBgAomzAJLJDczWsRvJAqASeyxxDBaI2LPHmOXE0BYKyAaNq3quDPE0AjsOgNZwZeDyouO&#10;r0SAAA1AXYNATJfJssmtEzBdOtXv5jNtbv9rD0nthyWSHDzD1DbAADMDWBsEyDwVD0zxxAMAJW0A&#10;nAhMWAfAYBVKrwu1V1AEkDqD1aDCsDacdC6DfYboTj7waALtJPIAhUOBaAppW2FMY3Shl1XnX1Zg&#10;a1bfH1dzLucgil6G1w+JtvU15YQ1kElAaupsOmOHzDUMHyFHzALEMqNXEyJXf1ktBQKBByBJdGts&#10;oHBmLIUAeHLnqPyDOE0prMkq7ZeyHE4N/vwaEYtAKnrAcALHe0ODfF6DhDzIUqgJPp/W3AmAQXv4&#10;qm7tW0g2yokjPkwookyrF0oFhTEmlFUDZg5DjDpCxyhgHPyAOAMJcAqAhB0HbAWBJRNqu3rZnDwg&#10;BKYlYKGDasjn7gDlbr05p0bIQBSAmyCBOAjaNj/Tw5fhM3tr4lw3wkTw33zubnfzO33zQEktRsyM&#10;kJsVhAIGt0GQOJs6HXCKQ6NHwGgj74gAA48XFtR5oLHgHoeu8FutRVhq76TAFGKvtIexUmCAGGgo&#10;DQOtRD3Fu00oDM36LMYyL6E2xgnyOjOkvmdkxmf5G24FigBYKDXDdCKo0Oq1xwPeuJoAOAzPUAii&#10;QAWATInGJ4953Y3IhMkC7DgYKCiDVg8xUwvARgLAABfArOBBAAdUO0Gts7af355uV3vi/59zQw4p&#10;l1gw7zP7xeJv4672zyQ0l7AyTgweiYHD8QKDaDiCbHXDe7Jf7sDrckArTATA+EHt1N0APA17+ZnD&#10;6KQDCDiXLCaDSIbD2D7XEwvy/quBqAxIKAxAXGdq78egQ7zlvgZ722vT7751fzN32pp812w4/8B5&#10;B6+tdMcwA7CyVFiJmIUDhDoCpOJDaB+YcUvuRGsYfAbAVQXAp7TUPAMzv9CY36cDJDnFoCdDST+x&#10;AI2uRmCAdANYfBuAyAjatASHe649je483zGr6uY1cuanew6ngw8969DZUh99GtcwOMZ9KyU8INrD&#10;9aDDnDtC7HCDVjpgBXL7wpPhdLswT3PApAhBy6YAJOB+GWW6cDSDsGWywg8DewjwPoNatARHey8I&#10;KuJMOmW+oe798kQ9+3xnc5/+CsA786D+8Lc8A+JrA5C6/5E7B+Pos0pXEyYyaDIDSBhGXD5cduRe&#10;wXvhD/ZAnAgBvhJig/IVl3eUKDuIUCknFFUDqGW/dy4y6AABjAtrwHcYf+c/nd9EAe8CADNgoAfs&#10;IAA0hYABcOAD+iL+eztdoBZilUoAbCtVYADQNBgABwGAwAk8olMqlb/AIBADrBAUADFCw3ADbB4i&#10;lQGfz7AAqeDZABAc7EAAGfr6ldMptOp9QqNSqdUqtWq9Yqb/AEvbgOEIAWgeI4AfYCAsqBr7egAI&#10;rlYAAETzcAAAT/f1ZvMper7n7ovoADY+H4AHRkMoABoXDFQrbxejXADGaJdADzerbvWazeczuelY&#10;HAoTAAmEBsAAnD5quoCBOf1+w2Oy2e0z7+f9bcLyewAVDXcuScrtAFb2vG4/IlIIAgCAA7DczLYq&#10;DgACoKA9c5Pa7fc7ve2kCe8Eg0IfsKhkOBcQiUUi0YjUcj0gkUkk1ZlsvmMzms3nM7SlPU/UFQ1F&#10;UdSVLd+CYKgtJ1bV1X1hWNZVnWla1tW9cVzXVd3fXxfmAYJhGGYhimMVE9T3N8ADKNQaUwO8xoMj&#10;KM3ZAoCAZAAKAiHMAAkBwZEoS+NJDkSRWwbdWzoPU+QAK02TmAAvTiOoAD8beRpYcYCwFARbQgBU&#10;ABUCcGwABBoZZmiaZqgp4XjM1B0JQsNENQ9EkTRVF0ZRtHUfSFI0lXl+EwTJNE2ThOk8T5QFCURR&#10;lIUqa6RpKDgAV5YFiWRZloSlalsW5cFyXRdl4d6HgAX9P4hYVh2JYtUj3PlwDQNgegAOM6SvcRxU&#10;upKvVSS5zQNAoI1ACIdwAB4GRWr6zLNgtuEnOysAALM3ToAAtzeOkAD3Px5rOuBTpmWgTgkjgSgi&#10;BcAAMAaXbhu+8LNm1BZveV55zel60Re2eXwnx85/fZWKCfqhX9oiAKKgOjYGpC8cPcmlKWhGmYUp&#10;yFqfhmoocqVgKoYFg6riSrlRPk+zsAA1jdIpODiJjELwS6XQSA4LlACOtQZBQRswz3PlUcUADyyY&#10;AC5N+VCxNyUDxPk/M/r2QnVdcABVCaZBAB9MwJAQA9P17X3JvN5JxeidXsnh757fKfn1oGvMFfyh&#10;3/SiAaLgSjoH2Den3dnE6YhOm0op2F6ghqo4dx6IMhiOrYmVA+z8PKlTiJoADUNwg3E5re5ZAIAV&#10;oBUEQ6AAKwkHsAAUBAOOc6zPV804wDiygqzZcC0oI62RHNScGQMa4XQrB0AA2BkEVIAPu+58ry1P&#10;2K9dkvjZr72ienxn19KAffb6E3F/qJgKjIFo/uPM8zEoQ3+moVp6GKhhupHdqbH6q4yJVSQh4jhO&#10;cpwANA2Q8JVH6Ph8qM3kAIAABgCgRAAAsBIHwAADwGAqgJBRNY+R+l4GMOYdxvRrjjAAOUecA4Ko&#10;KAGkIDwDj1BjBcB8AALgKgPLq1GEkNG9vOTgeZOSdD1J2X42l6zAG2vaPy9xQz3mEvgbuw18kNW9&#10;PnUuhJ9TF32OFY2/A7j8nFIiVY/YqJEUmDlHULMAAzxsrHHwPkdcTTvNcPUBwC4T3SAigAAsBQII&#10;1x4QWPsiMZB0jxAAKYa0HxuDwHrHk7ZzCXgmAiSIMgLo7gmAkSKQ8lGYQ3XtDpfMPXqL+bW9hgRV&#10;2CRFYO3Mk7dWFvibzJVp8T2KOAfW4RjT73EIfVS4uLjJDGj/J+OkdovoyP/MsPUbsqzakvAMAUCA&#10;AAPgaCwjkEAcgAAJAOuqYs1jZpWK2Ngdw85ASCAANIdcfyTwzmuZ0AzyAAAvAtDEMALAPTLAcAqc&#10;09FJSXehDtfSdz3PVX+2x7LA3tn7iMwhujCnwt4YdPVeErX0sWcExh9rhmOPxcTLaLbI3HFPNwXg&#10;do8Rkv9GyHkAA7h4jOoWZ8l4CADgWAACMDgYgAAlNUUgAkMaUU4KwkgABujeClm+Mgcw76cmea21&#10;0HIHAJAAC0Ch4QGAFnYqJVJBk94ctlh42efknXrsBbdESgcpHvt2YY+OqazaGxRoeSdwbGX3OHY7&#10;LVkFGHGlWHgPMak4BtQPHQO0X5KGg1mKmS8BQCXhAnA8GsuIHQxgAeRKCwNkEGrQHSPZJlPxyAAd&#10;jGqwFkSpgLnQAAIgH6WhSBMBoAAEwEWPs7aw2NVV7z5k3VptVXIhUBq+wZuVYpUUJiZa1I1aGKuB&#10;rXRGKss64Kni0yKuhVR6D3mI5cQyth0CtV1Fe35KVgLrWGUAEIdVkAZCuVxXl2KzNBHgPgn4qnar&#10;YG8tebN5SnkkS6E8ElpwlAjXUA1dt8b+mbtfJl6U+1+20iDQCUNArcxHoNEmskqr/JDuDK+Kcsa3&#10;UUixRauVy4ulUHuPhKA2BwCQZaJtXR5ryXxu0BABoLYGAjdOBkCoSMIWdHm00AAshujnxwNzHZfF&#10;v4QaiBIBJJgqpjAAEMD6YKjY0yaVXAFV59Q+n7J6rsQ1B1gt1EiscqaFZOWe319FabhmJuLLKt9F&#10;a4v0lxRoqTJoODcHEJxlI3hEq6J/jQlzXXUk3BcCUQVqAIA2y/WYeg+zzC8HAlQVw2koDuHxb68r&#10;nneALgOFcFJ1DnmjAPOnQmnimZQejVh6ds4gT/tW0DBL3aCymoPEqsun0E4SilRCKmZ8LnbizRfD&#10;cuSprekMOEcz/H/K1gxCPIIAUugXAmEAAAMQT52AaAsEusacrdPMMQ4QABVm/AAOYeux7/QmJeCA&#10;B88wsaYIUBiZQBQBPJ2rp/UNsas4E1NJ+r2WMFasKRq7B2Xt4Ha1nWrMutsLXXO1rrDT9delSNuU&#10;sco6RZEEGvNEfQ+x4ZNc8WgDYFwlgABkCgRoAADgGTBwCesFy8DOHTxg31mBuyFybIkAAKQJgNAA&#10;FndIKwKAOsbijk+X95Sa3pD+f298rtwoJKXfmDcu6R6AbTgWZK2USitLS5Ou+F5tKibhpw6B2C8A&#10;AM4bF30UDh5kAM1wHgMBV2cCjOwAwBnq6hNePZeBrDsm6KYa9mBrjtckle/s6CXgxAtMoLIKnhAj&#10;AgeqcvdMadCwFlOreBtUFa1V0q3dCIl+POR1KWFbaJ8HOTwnNdGSrddRejEaNegADvHkNDJsyHjA&#10;iA4GB0jOLGgCqjQs3FnCXeOtZfAb3MRTjYsxyvjEGLOWtAROkHQGzRhWBQdQDgDYD+d0J5HUeA+i&#10;5Vttgi3Gq+lyn83rD7PUcwxQuF6Dqtx809Y4Vmz1A/zzDw9hOBzAAJey/xoAkAgYwCYB4adTMas5&#10;4u5Nct4XgPEZccQlcA9BEAAAVp1axTsORc4AAKkNgcAMZtpod8xawAo1xkgCBS0FNaY6hkR+h0EQ&#10;MvRDhbB0NqRvV0ZlZbdvl+N5pq9g+CsbF59hR6F1Zcg/NLd6cVVRxMINpnQywOIOgK4Sh6NZ0AxH&#10;YsUscB8BkFleNu9IctAAAO168AAMIMwNUWUPo04EQDwDBoFzda174AA7cABescAL8OFGoPhBhf1f&#10;sl0EsCMYxfUjiHmDxk19tlJJxgVqdvh0lWFltbx5yIGD1+pK5rRcRwV6J1eENXNhwVo5p2YAANoO&#10;AJIAAN4OUKIet09ZFBECkAAC0CUIAR9jIkFMUQgXiJ4lAJoKgLgAAPRuAAAHcGgFNS4B0Yx8Bb80&#10;wT8K8Ntjstkts69b81EA8AgWgFQ1YABfguoAZu6I5hCINbKDN99gd6h5iIpgxlxb2NkbCD5rVhWJ&#10;WEJcp1owMAAPYPhjsN0ONiUNsOIJlAEWxdgS8BIA8DMAADACYIU6gBEDlPQX004rMioJAJ9GMO8Y&#10;8AAIkHcF9AwCVPCMNa1j9e0tc0ljto8T98FVKMMBSCoFpukESCUdmOZf6Nt0RlRbWN+EaOFlqOOI&#10;x+eSwZyOiJOOqEF/CJdrx1sVIVsPkPocMN8OYKQAANkN8JMAAyZGpa1noAABYBED6QECgIhBAAyK&#10;lOaUUT8MkNCEkI0J0LCF0O9N0I4HxTEDRA0ayFpZAt0XgMMOMyiBpZhZQkxa054S8B0A0a4Fp4kc&#10;4BtUqTmS2C02NVZqKIRqWDR+COB+J5mIt+aDuYYXqTtwST1+9hhmqERcwVgPwPxN2EwKxnQIuPAP&#10;hZiXsAESZjEWQDECgywjYmROZGgUsL8MlXgI6WV64PFIYIgHUZUEADdi0ASCNa0PqHcMxywAAKMN&#10;QOIAAOQPMeKCBVJzMCVIxUsCk8IDEBdTeZZeWS6DJ96TF5aUOTRgtq102OWeAZqZh1RcZmiZx/F6&#10;aZ8VdBgeJGGLgNUN0IRMIZla1AZeCL8DACcywlyGtNcigkwLgMEm8I8J9xIZceIHwGossE8EUTdM&#10;iAhZ1fB35N0JwNN2cN0O+PtayBMc0C5zxUuYICdJKe2eGYg8+YpvOeOTB5WIhKOTWeqOSI2jA3wg&#10;9+thOOmECZtrlhmfWJkVYREUsOoO8MMAANUNyQQOwPEMyStZGcYSJS97dn6f5dpOYPMPQbwK4LoM&#10;gAAJQKMLWagUsG8F8EwAAF4FEEEABSueZVIP0tAN8PEbwJ0NIXQNV3kRCFxYEAccw8MBhUqYE8KX&#10;59ij9ayeJ92jeId0ijqel0yj2Tio+EaJBQ51NmZwaJaO1/MfcP805SVSefwIcqcO0L1Z0cUAYAdU&#10;oCkCAHAairVTh/dIYKMLEXAJoKeLg5AXgGIFQEMAAGwF1x5YR7xZ14FCEeIKMNadAMsOdUNHudVT&#10;gAqBMAAD8B0TMFYCcdQdaneptTipF5OIZ0eDaImjupiTeZWuWUOp1mN+2fFrhwikiZ6kqEZ/U0IP&#10;WEkypnYOQOmE6thTlNMjhn4IFMtM1PSFwO5XYAAJkKkLkAAJ8Kt2E0EFUEk6MHuhZduo6q8SgOok&#10;uHANlZgMGXUAAPglZVM1EA4mcEaSoFACUjgA8mevGXGjKC9gF9yuhvaDV+GDeZKTaZRv+zkY2vN+&#10;yD9+6fKkeZ2JhwwVcXgPYPd30N9yIN0OUJ8g1Z0AsAlC0DQCqKBsunROaG0OsO45IJIKFGMKIK9X&#10;41w10EgD8DIAAIQHEFsAABJitb80EO8PcUsLAN0lALgN4lQPZoey4SgBOCqHsYwEsCIYyto120hW&#10;aueIW0CY+TOZGOKjyu+0e5YU2e+qCOuT+qOEUoGyuUaJ0OGKANoOEJaKVZEA4AwCgAADgC4J4mUA&#10;wCyw4tBxBBwI0JwrkKgLUUdyQl0D4Da74IUHIFwAAB0zpf0POGU0UN8tuMc0tjeSMkIBgjYAAFGC&#10;gEVkqBKBS6JtaztJhlGNyeSjipVlmpd+WDq6G+gSq6SJST6fOUCO4ZtxZUMN0OQJ2UuJ8ABxZxi9&#10;010zS3YDgC8KAQ0Ag8JOYRIAAN2EwAAIoJuE4LML0MsUglwAADeQK3e88agCGbSeEt6GCyp8Y7ZZ&#10;VVNpO9EsIAAFcCgmQD0BwaORm/aua+pPiDGpJ5SpSuupZvu/Nv6KbDw5qkGJFwOfBreFAcd6Wvq1&#10;IVg5A5I/oKkRsN8I6agcBVJY4ABssEIAADUCsJVyNyVPSAoAANMNkXQIy8QlEMYNIACcY10C4CdH&#10;cIUHO3oDECosRfFykAAMwOhUMKGc9t4PRuFTiXxTKdkdIdQDIBdMrEpVK5iY2N6uRRuejEZv107J&#10;a6O0qkOTykW06vi1CUEZxr9CAOqmsNcN4ywPKv9VNG29EBgFGQECeqslyd9NY5AeaWGEnHErkMg/&#10;6W9TICBafHy3oDwDNBNfElYXh34WwJgNAioOIbs5tThuNAwBZz0F8CpPBJFJPKHD0eKC6+uYu+2p&#10;Ouq0Kuy/LJ+ezOYSm/iZrKd6Svm1GUKfcP0eIOkO4XCwFSQPJSdVLL0XEBwGFAwCQrWgKV69YMEM&#10;kNMAAIvHLG52eMMB4BoTMIEHAFoAAEgD23ZfFTsOGnwAAJMM5MQNtzGoRQtzMDQBg8YGEC1C0BsA&#10;yyHPRPTJiN2eWjm/HJ6euj7TvEspVmK0ukS02vfPnKm/0ZqkyF0PEMqlEN1nYOsO8UcbhkBPUaET&#10;MCgCEHGrdYkSeXBJVh4UsLgMJSe8MrlnEtcSlAlMoHkGkFTDQEsD1k0kpAMJQM4N7G0Os5KnmwZJ&#10;VOgc1poABI5HezehzUVNfT2+7EPO/EV+TPLUTTvPbKbUwcjFPPuTqqYAB/fRQNYN+acOcOwLq7NP&#10;VYMAhaeKsH9MsBlM5SgPWPEAALALpSAI8KBxIOR18SoBO30GuskAAGoFsElk0O24EAAJ2iIcFBzN&#10;JThkxaJS0F9O+nWofY7TzD6jTECz+Y6TJqm52u3EfKDdrZnUvFEcbZ3KoZvVsZYPZMQNfFydGwQn&#10;DIxNYS+FITu2LF0BYBK2ZNeG2rqBm8cAAJYKULYAAOpR4SoA7DMF4FCnQHwGsstjSMWBmBsAALi9&#10;jAaHdSjYwAC5EjgFUChadu3WbdpJTZDO20GZC0O56u60bEnDzeivbeobXezU/e6aglDG9iOUiUqa&#10;FIZOZdq7W7cDgC27tBHNDgItDgw5IKMLBX4JwKoLvaEPKiYSesu+EESQcI0HvQtjRoYeYLctayYc&#10;APcQnNtJU1EdYdhaVacEkulz6SLipHnizELO7i/PDUKpmvDObjbFCqJ1mqQZ5xZBy7C7INwOM5XA&#10;dPRdoBEA0DEAAD4DOaVMgaPBMtAObQAADlXlcKTlOLnbYgDCAELkmxYIqrZz9diHZtgOQcMJwNJ2&#10;cPS9bkUSgBsA6YB9QADDjDrq3nfivdyDB5K5neDJsU5KLUHZXUOprPToKqGOzoW6kZ3FcAAN8OUK&#10;PASKArBjtOZu46ABEDzpUDIrmmBNcREVsOBxDgcKULeHDgZxY04Slu4c0DVn5tsJMHbB/Y1a1ocX&#10;gM0OpxgJcM8ircrjRGteQCIBASIF8CtPCd1DHnbsJHjnmuni65zjDeTZbs/oHKOJKZnZrjgbTjro&#10;YZ3KywNxLLAywPPfFPQ1wa4BwBYFA8MC2PlSjBQNs/oAChBxILILxSDuoSpu4S8CyAIAAKcJBd/c&#10;GgldhfANZ38ADNYXTNkbzuArwCoBNz0GIC3OOi/xVObxe5reF5fePPHs7oDKHtG6a/u6ifYZxsbg&#10;sO0XANN/pXbRROZMhDHCdTEC8CawtSiLI5bzvRUJuWYLwMV7EU3vYaQCFacJsIVYkCXMpf3YPBUO&#10;8bwJsNEioNdNzzCNjJNDH11C19Ya72HY/sSz2YzT6+/ETsyDnEjir2y/q0+fTFTPwXkRET9SWlcN&#10;MNsH4TAPBSBKteQSUmCrQjwCZTRSgt4eYMz3YAAIgJiE7MYNgU6MMCEB0uoJAHtYwDb39f2G0OXI&#10;sAAJun8QQOjAhNfYYYUBo8YGJI+3tar6j6nOiYnsWz7sfJrUAQAAMULDcANsHiIAQqFAZ/PsACp4&#10;NkAEBzsQAAZ+vqFxyOx6PyCQyKRySSyaTyiUyqVwp/gAAgBuA4QgBaB4jgB9gICx0Gvt6AAiuVgA&#10;ARPNwAABP9/Symxx6vuHuiogANj4fgAdGQygAGhcMU6Pv9/v0APB6NcANRtn4AOh2r8AWOy2G63a&#10;7yIFAgOAAXCZBgAPBgp3jC4bDwt9vyysJltUAIVKqoANZuOOQgHMgAOhgKABBHEtAAkD4ZYjT6jU&#10;wuXQp2PeNqFqOEAMBxOzVbjcx0EAMBAAhB4KgAxC8PgDeAPdcrl8zm87nyp79IAM3qgB+9gADTtg&#10;AF94AP7wv57O12gFmKVSgBsK1VgANA0GAAHAYDU1/5p1gjPQOCwdCUcQ1D0RRNFUXRlG3QgqC4MS&#10;1L0xTNNU3TlO09T9QVDUVR1JUt0FQVJVFWVhWlcV5YGFXMADzPc32UNwhgAOU6izdc/j5g2OEgb4&#10;DQKCMAAxCkiwABgExCjmR0mVE/AALoxDQAAgSTKgADiOY62YQsFgUBAAB2GYUQAFoThAg+SJmXg8&#10;T5Q8qzaOUACwNo55nnNCgLAUBAAEsIgXAAXQrB1L2anSg6EoWhkhdI93UdZ2FldsNHdd94njeV53&#10;pet7XvfF831fd+X7QJBEGQhHYCRBEkURZGEaoerauS5MEyTRNk4TpPEcT5QFCURRlIUpTHPh9boh&#10;VdWVbV1X2GS5THSOR6zfJAADhOgqU5Pw86ucxmZ4BEDguj8KJCBMDw1tmRz5PqSyzL0yQAH4kSmA&#10;A7lnSUEgPfIaRaEgABqF0SwAb1vrmuZUJLLk3zqAAnjTbODkKTDA25BACE8FUJwbAATwkBnEcdx7&#10;H2IomizNdd2aPpEC3geJ5Hmeh6nse58HyfR9ksfhMH6fyon/qVDqngWqoIyDQ3PrCEKzhOtoWrqG&#10;a9hywHOsJU0PiKxolslh0uPg+cJNs4iZAA3TkJ4AD6Ps7tEYgAgBfYFQRDqPwpIp8wLCjaXNPY+E&#10;bKotjDlAkZTPe6ElA4DAKn0T1YHUZhSccB813eZz5dkxjl2gjTLNzkWnawAAXAsBwAF8LAeAAPwc&#10;Z7m+q6vH8idXJKNdp3Heymk8spbL6ZzKnOQSrNwAzmoX+qSAc+gSqYHqzrPLXbRqyhKtYVriF67h&#10;qvodsFVNTVWxYksiJ2I2Y7wAN85SjAA2TgJMAN6OnzFOb0CZDBQRbgIkAF6xj72nPA8z2AAKMV4v&#10;gACKE2K8nJiiSuGAQAAKARSCh+DaFg+bhn9oMH4eEAA0x2LYD+MQax4D8GrgsSsDgDX5BoBiTQGA&#10;FQHwkhfDA6DrlGMmdmpJlalWXKYZiptminmcKgP6qNABC1TPHQMqtBMMYlkeechFWiFFbkLVyhhX&#10;iG1foee0sREax0TGoMWUAcY6IDjWG83Meo9hxMPc7EwjwBACHyM440F4JTAAGAKBGNrNjWDqXmAA&#10;TgqBcgAEuKaQRiy6EjARHcAARAdgwAAIgOwXgAAUW7Ho5TnRuDwHqAAPowoQD0gTJdLBCgRARZSH&#10;AGYJAAAhAe4eUcsJYkphm7CGqkHaMqPC7eHTMFNMzU6zZT7OnhxEIY8ZVESGhSyhhE5pD0YpEKio&#10;9Vp0WHsogao92LrWDED9H8Pgtw7BdgAGkNsQQAB5D1G0g+NksI7pcBEBwMREARB1AAAQAbKZlkkL&#10;GS4cY5zbiUFGLUAApRYjBRq1AkSdzkg5Bi3YSIfQyAAAyBYCU+nOELHGisAAhxjkTo0oqi5CgBma&#10;BYBUBwAA3g0R8BYBLoaRUwn1LRkqjobO1hwy1S8vXdw+mDECYcQ2eoDmQ0F5VMXlzNehFFpcVXrN&#10;PizNd7kXGrvgMOP4f5Gx2jwGUAAaA2A9AAHePMaRC6EywcecIFIIQ5AABGB2eT8ajliLGTEcKchG&#10;idFgAAWQvKuVXnYjoARvgWgnOMJgQYaZWAcT5XJ5pCx0j0m+JMZ43gADRHUPGmIBjegABsBmiwaQ&#10;YAgAAA8A80LG2ohfTN2LJ5cO2hzTp3UPZgErd+8GITPHi1DaA8mJVqW71Jig0p6bTIrPXrMctqUW&#10;2rPfNQimdA2DqDXDivKrcIbkSXL0xwFpfzNgXCgUltlvyW10Gq16jglxWAAF8MgaZcq6EoBICBjg&#10;lxAhoABYS0d4y6jtHuQ8T5sjaDiSvTABIBTkhCA6cJ0bpQFYHv3hB5dq5bMolypSnLuYeS/d6Sm2&#10;0QWdvEiLMe3kScItEuC0l6UU3qNNiu9hqMWpsVTuabgeo+I1DOumAAdI7C41XSXLBiACwEOlBoCo&#10;SgAKKg9UCcm8c3SXDOGo5oQYlFqjKnISsmAHgNmeEYHcMAAAfA2BZiYpo8V0gAFam1N6cYQ2AkuA&#10;wAyeAmgjLAFYFBfACtrzLnxomE6ay3hvLq2GGZfO8h+8DD8xKhM/eRiXPrHcUTPqZNPF12DdXKxl&#10;cyLxuGtjonGWwAEYq9HYm+mWJhmTfAOAWCazoLGwLdkew+/ZiiyjGGaWkQWVQAXmjUSwDDbgACAD&#10;cFmBsD9IEpYKAAXI4GEikGqs4fR2ZlsTPsFcFDGAmAiLAoLZG3ls5/dloGm+g8MQ70NT22swnhVB&#10;t1o2ZNRtvqt0lUu4lTZqYvObpmqWm5tmpXQbcbA4BHthHGJ8nI/SgMQjbYIni41ygzBUtHVYJyF8&#10;LtSPpswABeDFGiZ/XY4EZFNAnJYOYYwnnDCoETeRJR8GLAAMRy0fxpFIHnxomHF42gWL0cMFpxge&#10;Acotyzoahtw2t0Fhd3G56eW0d9uu3GIZjW70dMroihd6XDxXcWp01cYVRaq97ThqjFDwAAN4cYoQ&#10;ADXG+I1so/OyyjriBl+hfbuuGv1qe1LgiNi0F8MsAAhBKGTHTVopoD0eAADMFgIwAOTJg6sSAfc3&#10;QADPswAASYzhu1hHwQ+UfCwNAMfkG4GZCQVgUpR5D1KSOjU2wtLu2OGtD0+0TUC3OIup7wt96pM3&#10;WMVTRxZcap81lh6a7Dv6L4/ZODlHTXoaI2i2roSvm+F+BwGmBAyYQFIIg8v4AQxzEw9XBAAFYLcY&#10;vgPBIqHtSElYCqXJhCcVgQOxGAWc92P2ug2h3SccxOodA9SN0oxvhMAHwDz8geAOHFQGwDEDHu4D&#10;SC3rG43rmhHS1s2HBKGHntXURGGI3VG8YDiOXvVp00mLVx1UHxG/HxlVRqGpWOw7gvVXQ2AeAAA9&#10;A9zDUl0d0eU8AYQAFhQbQADjwE2ZQ8YNFBAsBcQhV6VNBTTjxPATwRAOFHAdAXR3QClL3qjnVIAA&#10;AjAyQ23Zg8UnHnjEAKAEX1ggAOzdgC2coH4axzYEGFVr25lO4FWiFt2IExYG3uFRXuobCC4IWlIJ&#10;HwnXoJ3YE2oKhp03RDw7Q8Qx4MH3D/Q1EI0MRMFLifAJgHwaxRQHIOyd3qGEYihQAmwp0ggkQoSN&#10;E/BTUdyeARgPAMQAAhoUmSS44bA6Q9iNwlQzllQzg6XcElwBGewLwFkLgfwOjdja3OYfIyDIR0zr&#10;4SnR25HSUvFsmG4dGim7Xt274eoySDYfm9mlYJXwz24hFVBuWPwAA8Q817g0A2VYA7A8IjBY2lzz&#10;BvgCwCTpQKgIgcxmwGAVE9k+GZQ5w6z4wjwnQsQAAooRjDzEF8BJ0bxyQPwNQK3gAcgXErAHVjIH&#10;w7zegAAoQ1RlwvGzRcpIXOEMACIvgAHQBnkqSPo2pLBqIblrlOHSoco03s4dWi27kR42ZLR0I3HW&#10;m92loJo4U2Y4xuI8IMw9nmg0Q2wfAAJAEgpRkMWqmrF+AJQez8y+xvYVmEA4Q5SVwhAlS1Qs3fhd&#10;gA5ZQAANwLgJSUBoV+IlobEoSSwrg2g5gAAqg2CbkowDYagS2dQAAXAKigJO5gheJL3SHr2hXTIF&#10;hJ4GG7HtnUo2FvZgxzpPXv3W2+I8WNWMYKIhRuYpzgpdGUk5ldhkyKULxmRyQEADQLQAAL13UlQO&#10;14SeGJg21dgAAeQiwonMAzEIBdVghvgLlhWwgb0EwOAMDdoa3LhZQupIAnA0hs1f0MJIzEyeAWpg&#10;AAASQIZF5kp2xK5hYz5h4FJNG6lP5jYGkRlRJkZ3EmCDzz1wnvhXXwHXG+RzG+44mNBynACzy0Q2&#10;w4wlzKnnUJFgh9gFADwNprAJwhQAGsXFmZWvQAAbggwmmvA2hlxhQJwIgGgAAfAagV0jAOwLygYx&#10;3RA+1V3MA5BtwlgzxSA9w/GQEJHCwFToHiQLlowOAGnQp6qORJp3oEocY0nsp43tJ5Yd552JHVaO&#10;hqZlJ8JlpQI4Fy4KRzBilmQ3g5HaQ0w3E5h4YezzJZUDAGQE3KwLAJQfzdHFWJopwzQ1HmgaQf5/&#10;g4w5htxhQIAHAFgAAdAYyYAUgR4UJvoDWTwAAyw6D4wmA0BSBroAKARmgHQDj8loRNALHp6SKkhI&#10;qPIcJMqP26XTp5HUKRIHHuak6SZ7ET2KYIp8Zl5QaT5nByx2CiiMpBRjgbkIU35CzzCd0cQGCYFa&#10;gdh3QCRxmJkhwAAwwy0IKEAmzwIihhgGlFQAAay/jogUQQU9k94DZ0A0w6w8gAAmnNC0g8T/0L1J&#10;BMAJgEy+ALxNAIgEE+aoK6hCqlZMY0XsamWHXT4dmjJOZ6a6yyqokzm9ZPo3ogW+pmp9nYhuhYxD&#10;0fTfnHRoqLa3kJEd0LgIgG2YAJgIImEiohlvzWxGwtwwTJAegjQpFYYQxhgFC9gAAY3Ki/AXQSYP&#10;wBVp3Vl8A2w7hQAnQ1BSA1UHEMABmewLowQAAaAMBNAGGQ6+K667W5al68HTa8qm69JOJ6Gj7RBe&#10;KSoI3wXXbAHX5Q597BFdA7w8nHgww0BhA+Q+WBEJIQIPAH6sVbk8id0LmJg9H6gAAqwtn5ghQlh7&#10;rcGpheHhzKQWQTWSwdwZhhACUiobA4w8iigoGAQyqgl70FgB1nAOAGUebPxCQDQB5srUakrRo0Hs&#10;G6LSoF685N4169rULmhdbU6pqTYgpQmM7A5nZIQ8w9REwxg0gX05w8xaUFhMF2gAAKQI6uwIAGGx&#10;ZZT8mJo5z/woArYLwjwnpBbGZCRdgCDjwAAUgRoUBoAWwAEC4s2NgAAp5dwAAvw4SV3930zkQCq0&#10;wQAHxngZALVo1mzArp6OrnJ4JM6QKmqQqnK9bT6R78x96+lSnWZlZP437rKqZRBzBLoNCLQzQ1Qc&#10;ILRRD75pxXSPU8wdxVQFwTjAAApWl+1Wi2AlQogtAAAmQqU4jsRhVCxowPgMwAAiUkgAAEpqYbA7&#10;pGgsQ2ycgsg3CcqJL5zd5eieATgJKGTFqGYvqIr/5gr9YE7968bobTLo5j7pb/sSjvsAZ7qpaTMB&#10;rV4g7Wbr7BAAA9w+JdA0w2wgQAA4A5yU8EwAS3ADaIAKgI8GCRAQxSZ714w6I7UkAmArQAAqQtAw&#10;pIRh09xyQQAOJqwhZbAH1i4bHNjBjCL3w2BlzkywMPzIDExPAWwKSgARgIada4MVp6sTKPrSZihJ&#10;pjL+7TqRoHoFxI6Ip0DncoVGBCp0HC3CzUHC4xjkbqcW6/59LAcX3xxyy6A7T6A4QkT6A3wkpIZm&#10;DH6AgADbjcAKwIoMgEwEBBcFF44WA5jCS7wpwAAuAwQzhqJZRvgOZxmwgbkEwLJwZyHkwwg48xpz&#10;SLQ9nkjyxmgFQCR9gZ65VnQGSXMu8op28pLSLn8pxJcqbTbpL/crRI75j7B2XkhZcu7kBycuw6x0&#10;w+B2QHgDB8ovr8hdw+kGdGSinCwDrLWO8Y8MgCEDAEb1FwMWKpIf7VZ81ycwbrswxyhiq2A3w5qV&#10;g2saE3aWzRLxT83K81MGJqZq2s821dA3JtQdAhnBwyQ0k6hpzAQAAMI9wAAegaY/AOwMwKYbEGBL&#10;gyg56gw0CLcNtRDaRMHoDoQcgNJagJwEh8m3dA5g9Ba79B41IGanYea9xIp0A7Q+E3w4A8y2NEAB&#10;QARyQEX7gFdLR1A6yVw7n4gRgHhfACUbxSXFhmjncsVdBmXOBmg8xVAzQ6iV9jIAymwyg6SVwLAE&#10;1FgJwELbhmtoSsBmtIYkV4RMDnYp8t9t6tNvWHdMmk43YgLVswLWNObFxuhi0nA5A6Feg0A2oMjZ&#10;lmTq09x8gHAGF4AKgIY+ThpK2ER4RLl5hlwbAgAmMypeDahmgKQJCgAdgZSYARxpYbNEA0g61mQm&#10;w0RSA4riDrGe0rK6KdgNZakJj8sSdeY2te7npidfqQ7/MrNbRHJyVlh5RMQ8Fma51KADQBR9hyEl&#10;LhAAAxg6Gnw5A9EnARQHDGGehyQDNKR9BPKJBTGZxG6LNFDEAEgBzoQ+1dAxQ52n9jBvgJAD1KAw&#10;g5ycgMgFRwgKwESXNGxZQ8HGSNRLmemqki9EOU6CuPrjgAA7Nhr2ydx3dKdphD03RTAEOX8sxI8v&#10;cBcv9N9zG/dzhuR2CNw6Q7hcZu4PjWz7jq07gAAIAGr2gJwIIPlLqGWJualXQ1iLQYQd8yQ6qyBp&#10;1ghMAIpFlKQXwTQAAUwSJsOl61FdA2LMpGw1EarN62Dq2ehMFJkLgawMrQXPODZ3OD5iIc5NY1Zj&#10;oeJkLphIQ9qLQAAyA6TCVGi2AOAGCfAGgCjKb8TZUGQvw5ZdA1g7j4wOQGKdcPhXdKQKAEOUh2Q5&#10;Q9UnKLCSw7Q+U39Hd3ADX1gyQ6D7uRQAOR+SeSwAOTRwgISmw2eHE5+VlmxyeGAF3PFJBvg4w9RQ&#10;AM+Th11dAwO0wAAJQDlKAJ+UT6A8K2KJBZQLwFIQeI0+9xq/MBK/tyuc8XtzR0B4SS7XTJAyQ0xX&#10;GNhSNwzHxMLZwJAHgZvDwHV9+gqv3kwyQ0REwXAcQjsYjgxp9owAN3YQQaAWS+wXa0BGOZXu50A4&#10;A8j/wpg1izgyA5jaDq7kM5wG1FgYQLBxgE8++tetoy0NGgIb67uEOuaQZNo1sU9DeFhiUGQ3g8i2&#10;AztlEIRCgHQDDKQIwD0LuICeAwQ5icg3Q8a2ARAHTGA8LY5TbcQNgFqdUPg8uVvGEGg7TaA9x2QP&#10;wGjHA0A7Mxu8e8wAOSicgMAFBngDr1AvQ4ybuTYQdLzoQ3PiwAOwSS9kUDA2g8VmQPAGBYDUArA3&#10;Vle3iXAOu2QAAzg7DaAC60wOwGRYOWdCfH8A6S+cfIxyp9cwudpRVdD/hEwyA0VEhZ1ZDmxML0yf&#10;AKAIV1AI08cHMHl4yaiSwvQxnHgZAeD650BAABAoHBILBoPBADCgAFwoEAAYSoQwAZCqRQACwUCI&#10;RHI7Ho/IJDIpHJIQ/3/AnO9XwAFW2XKAF64HUAH9JZvOJyAAUBQGACIHwqACwKA4AAcBwLOqXTKb&#10;TqfUKjUqnVKY96uAGbWgA/a6ABpYIwCwXNX9Zns7XaAWYpVKAGwrVWAA0DQZRwMBpy/4W6wQFAAx&#10;QsNwA2weIoKBn8+wAKng2QAQHOxAABn6+pI934/AA43o9QA3Xi8gA6nw9wACAFPh2GQuAGm7nfpH&#10;vLCgIQ/s9OzHU6wAMwrfw1YwA8Hy+QA+n7Nmq79k4nm9AASQ+HQA13e8AABQCAgAJAeDgAwnO5wA&#10;LgmEwAAoWuXE4wAZhWKQADALSmrsQB+HcABCDnhOY9WfBgCgKZQAndNI7X8TwBGMBEEQAOA8zzAA&#10;JQPA8AArBKEUjSgAQANwDghAAtAeEcAD7AJSkEA0+3REU5TAAAIjzOB6j/TZVUePU+2LOiPgABsP&#10;g/AAOhkGUAANBcGI7SI9j4OEADMNUcAAOg7S9k6W0GQp3QKAkHoaCIeAAB8GhZACIIglybZuQI9Z&#10;QAAri6McAB1IgoJcQsAATBADQAFoTpFGkWhJAAEQPXab6Mo1HEoQI7T2ccsTcOgAC1N2lz6Wajo7&#10;UhShOCOTROCQGU7T2nqqqurKtq6jVXadWjNVxXlgDRYlkWZZ1pWtbVvXFc11XdeU4XuIF9X9gWDY&#10;Vh0EYli2NY9kWTZVl0fpBXKdP5JwAPZXnXdkvzkTASwgmKAT2AA7G0AAT23bNLDLOpNAsBIEk1jl&#10;oDxhUEAHXk3oUACPWLEwH24Ng8HZdt3XfeF43lC4FHpmsAHte8ZAqfMDn2fp+cJbIKoQAA7nGZw9&#10;HRA3HQTAgBwAO0+GXeuIHKTYOQYa4GUZSSH4hiOJYnimK0Fi6MIyjSNo4jqjsEleQZDkWR5JkuTa&#10;tPg+aXNI2yBhI5luq9TndT4DgNfMKwjHqQgWEzYNtSU8DzZ8oCsloiCZK2jAPA1ZBTEgOgAG4XhL&#10;AAGAVh3buIUy2TxzEAC3N9NCxNs5gAPQ+z94lJZ8BICF5FUJwbT8IAWagA3d5nqOp6rq1SrFWVbV&#10;3mK3rlZa8WpbFuXBcl0XYDl4XpfF+YBgmEYZiGKYxjmQZJlGWSA+7cutWD3V6CIgSpn27b0RgdUY&#10;3jyhW7Esu9uDqu0yr0AAKAQQ/5rqOY9LqC16AANo8XZO/JhJB6YsJws7h3jwHiPIAAGAFC/u+KUL&#10;gcQ5AAAxOAAACwCQEoSHkaNy5NgYgWL+cU44sxwJSAWAQpQTVznWYUW8d48QAAjbIZADYGidgEQc&#10;h5NTPkSImRQipFhA2igARijNGqNwBL6U801IBi2oJGSQkpJirh8j7P4NocAlDrDfEY6wkZCilAUA&#10;eDVDQJG0gWAkD6LLqh2DvQqJAUAsgACcFSLpRiYCNhNCErgOYYgngAA8Bt0kZo/kcHoPozYvhxG9&#10;FYS9kg+DFyAIOesgSBGXBbBWdUHIGz0gGQRI2TcnJOtgdcrNWrsiwljV0rstDt1fu6WE7136xngr&#10;KeIs1460XlLUeatcjw+SvPfQqhM6K3CbLcJQBpAqNIBP2hWPEfJlzWJNg7Ck7IIAGqAHsZoAAzx1&#10;jsIYmAAA+CvEEBqBYoQ4jPAAAGQsDjOxojsP4CUCCGQLs7GsO4/g5JzAJhmdqTULTwgeWGcUy4uh&#10;xwNALI8JgIDcDZhQNAdg7YCv0fmvhmbPIbIihw0GHbREXw/aPEJpSqojtPSJEtqcTlWj8H6Z8b45&#10;RRgAGgNlMpJ2lyedMy4C4EggIabQogB4MZPNgHOOs2QghJipAAK9OqjF/lKCIDsGAAA7hmCiAAEw&#10;IXQ1AkAZlzAxhyn8FONeBo6CV1ZnOQsDoDYKBhBamIGAFiHumTZWWuddK6k5lA7BW0pDhq7H9KhX&#10;zuVgu8WI8BZDwllvFWcQNaDyVpvMWsSBbJySbHJcwSglB3UQAHAIT6dCIFOTCU7PlBzSx80pMo6Y&#10;mpAx7j7M3RRPlcrNoOZqABbNBju2mM2T0nwBJNPQJtbkgaIJHgAtkAAAhC5hretaQJNgC2O2gm9N&#10;cBAAyfAHuqXqizP4ctCh4QKH0QGkRDiK0xIMSEhUkalE1qqrDlHHHIOqNqVA2K1NPVmzkFANAVbY&#10;2cPKSgFgkrsm9bI4xzG9DuIsUIABfjHGmow+yDgdgyPnVIKUDgV2KwE5l6BKBmjoOyKUax7xvjxM&#10;/feR4JAIF2DIC83AJwIqAT5hrGeNMZ14Vo7Er9e5TO2sAsB3aw3fLFJuscACyXhrMeMs95C0nlrV&#10;edjXKJS2e0XaBDpoaLaOXho/ESmijKRRJvTExqirizI/HcLxKY1Q3zeaxWUnp4UzhWAACkEQcwAA&#10;JAPVjKRU7lDapYncRAnwADLGkNxRkMyfAzwwncMuFgeA0BVnxto/HojVHaaPEMDRrDsNHVknp3QW&#10;AUPCGUFxuAPAOQNpPVerIzY3lFjpXEpXa1+V67jH8rLCSvsNLHJOGTKZMltY/KGrdikmu1RjK93k&#10;lZao80nLtIbzUjajmOk6rFuGbHWPAZM2BrhxAAPIeg2KgWaAKX8EQHAvVVA+Gu4oBi/7GKaZpzAz&#10;xrjeAAHYRGChrjdPem+6p3QUgkOqHQMYUAABIB8DLeKqh+rdG+PBdQphrnvGUOc2VWQEWcAADcDK&#10;EQvArTFPJl3DOS8mVgViUOOXZ6zr7X/W8q7B5CsLkaw8sslWL2DY7J8ueT7FypdujOWIe7NiDs+8&#10;ijcwXo2pSa9iq6ZgAjSNLbodWXjx25J5EACgDwxBIB4M8LAOhiO0AQ8PPibzMM2MbeoAA8iKpcOA&#10;co6VGIIO6CADjpA5R5AAFRv3Z03PRSvWQVHFMFjiofZeTpPCfBDA8UIKjoE+gJyH3/yvlidav5Xj&#10;vWnL5VWCyDK7IksMkWJlpY3J0uPL6r6Bsm7tG2jdGvHl5N/SolXqzIq8lB0NDjRG0HwAA5h2C4IG&#10;tmLNwyMAKBA+oEObAPgYC1OcAfJPVEfauZcXoxuph7EZS5LB2U3kKRABghwAA3hgCcAAMAUwhfUK&#10;qtkd7jSXEwFopa2tQAGgGQcqVU4TARJNANWbftgCgDEHeZV6ayV8Sna2eeZASteUM8ejWISzZLS1&#10;c7epgEYzesZWeuZZewXiUgRGbSZhdMXrNuJQEwDWDcCGAADfDnFudQR/EKE+KKHzAqAidVR9R6Je&#10;gYEID2D3QeC+DKAAB9CPCmbgPxKqASYqAABrBaBKHwBaBIdkE+g8FOOWGbCwDbHlCuDaOUWTSdAR&#10;AIFKBXFFAABDFBZ4cbhVhreWgGSjgIY8a1SpWBgNa6eia8ekgTc5gVeoWQhsV0gaXcUagdUdexgg&#10;XlI/bTUlglNtTMTbDaDhCTAADZRUL5SMRmEKIOASAPcLAtAje/AWATU6h/EGNxGnCoC0DDAACFCV&#10;CqTeD6iXKNHgFkBiBTBEAABqBcKHN7QUikE5D2OXAAC6OQAACqDaEwDyRQSAVycjAABbAqHVA7SX&#10;WoOni+jWbFhuaxO0cugLh0a5cza7c1a9elgUenS3h+jXSdiBdCbLXgbOeybRiJgjiLe4NgGaIVDe&#10;DlJ6DTDbCDLaEsR/HrFKRjRlAuAlB/AAAQAOVQjpdRYlAACbCqRxCUCiC0HIXMKeF1QUBYBMA9AA&#10;BtBdNsihIZkNEjD4WnDDDkUPeEEwDpJykBJsAfapAABcjQG+AYEPW9jVklk8YajZcsgJY9cwefgO&#10;c0ZHgSc4ECWMZNjnbEk9RmjrbKeviFgfbQghjydLj0bWKvFdXvDpN4DNDXB0AAUpHRgxNDAbAUKH&#10;AvAnCEEYAJfKkNDrDuGjCNCdCwAAClCxIzWtOYKeALAJEbBQBFGDfmBNR7X6lPEghfDLYfAAVgHv&#10;DgDxLqR/W9IgAnASF2Bak2AsATHhVxmKmhVzk/ebjchza4cyehElZFlHc3a/lLbCc8miRZlRgcdE&#10;geZcdIZfgilZe3lbKuEnOYDoDsRxDLDVX0MxG9R/OmEbAdAYBTQOAnCHHaAFEPkNDnDqGyB/CShG&#10;C1C+DMLaezJuZ5F5BGA9U/d6R6AnAiZ7mzEGaVEoDUadAACmDWQNDXl0W1fFOpAGWpAvAWIZBaAp&#10;FGAkARF2VynuoJVacpV5hvjbgKmncxeggPIegRmuemlMbDc9oKOIm1iDm3lUm5niJte1ZidNNudQ&#10;RoGTDMbeAANxDbSAAFAEF2AgAabqAvAmCCHqACoUikDjDnTbByCGCeGADMDWL5n7JvL/IOA9aRAA&#10;BzBjVUAwg2JqoIoJHKEoDbDwHRVgQNDQDqQrpYOsWbE+cdIRBYoDR7VpocpsR/mkhwecjdmooTlG&#10;c2a+oYmxgXptoobIgbofXfdFlVm6e0m8e2bVdOnAf2QqK0DRDZNpbaDIiYbuF/AlAeBmZ0Ahljgy&#10;jWEnEoDfDkdzBnB8CWAADUiQn6KroyE+A0AtAlpPBjR6A6YTo7pWmzXKDiDyLqCpDZOUDIDmH8QY&#10;OsXPIOA/AdF/BUAmQxAWALfTp7rOOJpvoPlCgMjfmqgQh4lImvc6h9lOrPKtoedDqAm4dHojJcol&#10;gkj1NtEoDxD0DXqlDcj+DlDqC1qSEaHVAofMQsAcBjpVk7hsK7H6DcHvqiCVAADeDidzKtWcE+Au&#10;AnG4BxBhfoBBA5AuXHhqoKqdJXKTAACshdAADADiTbWml+Oqf4FKBJAiGuKiJNAQhiresvNtrRct&#10;oQY+oSlFjhmtp3jloZmyswrfp9iCrhbMrjjwlXNOjzm+qIe5OVD3I3b2RYDgDmCkn6pJNuIgN7Am&#10;AAAsAjJlAcAXYWfhjWI+GbDJNaAABxCECcGcpAKucAAAAno1OABgmHBJA/AzbubLocfwGLCwDcOU&#10;C4EzMDWmOoVyAPOdAABSAlQxBJAhOkAJKps+uRKqsylBhys1lEh2mroWs6h7jmoauSdPtAjslTZb&#10;rkjxtHm9qHOJEoG0HlDaDiCXGEDiqkZmuEHqkJAPAvHmAkNcAXATJFXNjWG0GXC+DIdTB8CNtTVC&#10;cYKsPWJmR9AABsBcODBRBGA4E7Z5rPOWOYC3DeKXKVKXDwONOZVyAUvZmbHVBBAfF/XIq1ugvvI7&#10;uUhxedjempo9Ehmsp2jkuds8p6vwYDuilSiEultFiIuoqGonOZMxTbUsaDDYDfCRIpD8aeOJiZQR&#10;ARvXAuAmluARAOcLkNPxEsCxC8bcCICXCsZGDvwUKrthfjIZBpBchPBaBMJFAMALEbrOVbsfDjTb&#10;SIktD1HHOZUUAbAMEbBdchJGAbL4v/xMJcvypxoRuYjgh3jih5lJbAh8lNobxNJOrgjtqBoiunXn&#10;wIiMOJiwQrDiDnVHb2CLAAD3D6sJOJIIF5AZATEXwao6N7qukNPgLqClCzDBAACSChkWQqlmNgKJ&#10;F2BlBXEXBiBUEXkKFkrOS7E2mNGyn1QNq4mUOJmgYpFkBcxIQakkxcykOtoMY4gHrSuWlDh1xTua&#10;rYoXs7p5joylI7xeukjviHdJqFomxlOIUpLqdyCzqlDdgrD1D3DfOoOmQUteR6x4Z4AHtKikDuL8&#10;kQCoC5AACdCrJabhybKvAOAMIGBbKDAABoBbKHu+yjptW/H6nzChDUDiGEcRECLdNtW3taajjOAq&#10;FGAoATKAy10AFNxPmmuXytrWoVywuclKrbxa0By2wBm2riohumtGxjy9rpNuFmHHDpDtC+GvDco6&#10;NwDVOoWcF2VXJpAtAkCAsWz/iksZnDHZCTkVAACpipMDg/NuzhmCvWOABeNsAemJrOcOEoDezzCd&#10;DTI3DVnzz1NtXXHdA1ceAABZppkyaq0O1XEl0Ds0ysrVv3WRubv70LxZuf1YFSy3wDy5lWwG0Wro&#10;m/NtbYMvbbrvo6VDJ2OZf5IRAlAfJJg2X+qbi+FmEoDhYGAACOl3AACzC+DLZtxbKsEaMuBFA9VQ&#10;cFcHAltxrOeBDlDzGnCfzwFZDoGy1DNuT5E+A+rGAABWAnQxTyw41l2uEf1arTv1p0s4v6h61iue&#10;s92vFO1nogwEy6m7lYxk0YrqD/OYpb0jgpgrDlDrC2OoZ5JNZ1ljcDqXkNW0DbDgHlCJN3AAC8DG&#10;DRIpkYNgVMAAA7A0HzB6BoBVtaAmJi2YKQkuHHeEQNDEDksiHKNuf4IOBGOjAABQuKKIsu274DgF&#10;ynawlAvzpys2uZrXxVrZp4gWy04EXZIgZVtBxftE3AqE3C0X1uNgdQzHtODextDfNeOozhIkkGNc&#10;tecHkNUpHLDbzxCECUVHDHDPGPUpskKvQzIOAyAqIkB+BtBYFf0prPLZDu04CuOTAAC7DgG9jA46&#10;KqVyASeTAABLspAABKf+H0f54T5eEC2xyrrUv2p1jj23xY25v+5fmr0Qp/tD0TwFy74c1tzSrqZt&#10;E0DYDgwRiQsFz0NuzgAoG+AqCQAAAVAQN/4uWnDODWDdAAB+CQCnAADS55O1NuXVE+AonsAAB/5C&#10;AAaQaSvOocLZDzjKC2DfdzCzDcHlTLGbKtJ8IEEbBPAlKnBEAgFCXUhU5r4D5hv0pzs3xUs51h5o&#10;v94S66Ei290S2/1q5ywH4d51NuWtHZ4xCZRWRYldNgIgASkLccAtCbX/tZkND6iwAAdrbj6P6RZ/&#10;EwxCSaAinOAA3pnQBFA8VQYQrPTWOYC/shscDYQNDrxvttTpprBVAoOhA8AcHpvt7G674Geapw0E&#10;1c5k215mxXmw4Rrd8KWR5ttCjuiG7L3B7N50OsUpIVUsFuDVDdCIkXH86uABE+OGA8AAA4AtCaGo&#10;AHKnkNvD3dDFDQirCXFydxnK1MKvvOAdAZFCBysRAABOBDGDQT1emzTfE2q+H8n1HvDnD0EstVb/&#10;ELAjAQFk1TFGA01Rvu8Y0O684KxS0H7H1g5n8Vrc2N9lKP8a4Y5w4aJurnla7PNtFdGfDjDpl48n&#10;8pzHJSKtnMNqhPYTCOGUAFxLjpwhVIVKCPCfCxfADpvMOIthAZAWIRBrBbhPBVBL8wAOmArPXRDT&#10;DrGjzvzxYkGf9CKNmWz4HhjPHVApz+9x8LKyoNjasz2y6+4M0I4Oyxv8yz8X+3bH4VdBwC2+1pqD&#10;93y88hOrHKEsnDC7H6DdnTNwDUKuQzo0AaBbAAqtkIE9KLjpzdAACjCwC/AACYCmzYlzQrvkEDAU&#10;ibAABiBVi3BfBSfsib/kEAAECgcEgsGg8IhMKhcMhsOh8Ofj/f4AbzweoATbRcAAbLuegAf0TiEk&#10;hgFAYCAA1DAQABcFQdAAeBwKks2m84nM6nc8ns+n9AoM8e9EADNo4AftKAA0poABdQkL+qb2drtA&#10;LMUqlADYVqrAAaBoMAAOAwGnD/AIBADrBAUADFCw3ADbB4igoGfz7AAqeDZABAc7EAAGfr6oWIxO&#10;Kxc7ilrbgOEIAWgeI4AfYCAsFBr7kBFcrAAAieccAT/f2MhL1fd7dGsAAbHw/AA6MhlAANC4Y1M7&#10;qd7djwYoAardQ9sd7IgcU3kGA4FCIAEgeNIAFIhOIAAQCA/M7veADveMgTCmXIAUKvXoAeDyjHfk&#10;oQBwLABaJuzNBbJAACwSB/vf+AEFRNFDmPQ+AAJg0TfAA0jqPJSUjf8BwESkPAaBMABeCwHgABMC&#10;VngGIYiiOJIlgBRD3UZSFKP1TFOVB81TVRVlYVpXFeWBYlkWZaFqWxblwXJdF2Xhel8X5gGCYRho&#10;mk2TlBY4AGQZJlGWZhmkEZxnmgaJpHZaeAGra1r2xbNtW3blu5PQVIj8es8jPcM3iJAA6DsepE4t&#10;f8CQHBZ1QhHcAAjB0YwAWpKZrolBzrO48QAI4nSxAAqi3YM9T2PmikDAwCgIAAURFDgABvGETgAB&#10;wGIYpqq04Ow92HJw0kcMk5jvZdU4AAkBADAARAfn6GocrqiKssWxrHshN4oiozVJUtTQ0U9UYyP5&#10;VVXVlW1dV9YVjWWIE2Wla1tW9cVzXVd0EXle19X9gWDYVh7JvKT5RlNk2VZdmWbZ0AGfaFo2lmB/&#10;5inWZGybRtm4bqrJ5AB7TXAA1zfI8ADlOkslJP6mXdlECwJTEMAmISpwXFC85NgPFTpO0ACJJkrg&#10;ALIvTKAA+T6XuqwJAh3BID4MQAHUZRRAAIQcBeho+ye8jwPleynNc5AAL04TqAA+D7aihnfA0BgE&#10;AASwjbsWQoBwAEoWvStp2ra4kstR7NiyLrRjBUozteNrajm3Y8Te4Y/uSQrnkW65Iu6S7x2ziW8v&#10;Vkb3la+pZvy/pdwHWXvwRrl7mXCJowuq0Tag9T3Rw2ThJQADgOYp7Oe5zFrSkDALCVTAqJAAAVBE&#10;O+KgBSmoN04jnAAiCazAvDENAAM3m6qwHAZmg8DQKQAHsaRVdUJExWraO7oo8z6m4tDdOgACwNs5&#10;gAavy9aYz2wTApZxQCUGgAE3Ydm0n3P5/r+0k26K1novWmjJayNVso4W4jtb5JW/LjSCuZIi6UjL&#10;sSSu9Jj/ILk6cYlRfCV19pbX+l40zljvuYYMmZhKaWGAAIoPgfI6S6DiEwAAbo4xOmXH4o47oAgA&#10;q8AeAwFoAAcAuE4bgBYJoMGpH4UsajpWWiaFeAAYYzBqgAH5EpVgBQCteBmCsu4fw3haAAC8E4ID&#10;sw7iQiYe8VxfDiHWAAUg1RxgAHo9+Fbrm0AaAYAkAAVgTvzCCB4Cp2X8RokLIZtb/m4QAbnAJu0B&#10;UbrbR0t5Hq4kgLlSGugga6kjrtSUvCQ8oCFQaccvlLBA0tL9S4wBL8IzvQlc0wdM7Ck1LGHzDgio&#10;5BPAAG0OASbNR9DsO8AEASvAKAOVEDsGBWyzASlCUE1ibhlDTG2AARgm4oDKGlNR3qrABkoAACgE&#10;TZRChzC4AAGwLnZnaWJM474+SljLHOPAjKsgADtVed6HZawQAPJqFsmE5yWNIe3O2gtBo0lFbes5&#10;Fq0FpIxgGjRbEkG9QJko3+B0mHBycgo4eg87ZRpVlLB6VMIHKphNe5k2EsYUOeWNFYkA4R0CqK4N&#10;8Rr6B7xyh0AEs6qQhAAB2DEUzSGvUeJ0zYvYwhlRUEaJ0WCDBsEcJEctTT2gAAdA0W8RAdAvAAB+&#10;DYFjZpv1FN4PsfpqBpjsQeJkjbFR5opp0WsFIEwGoZBWhwFVc2kVjr3Xw3kiaFtyoc3VatEW8QHk&#10;k3xcCPoGyXcFBFwknYKuIr7BikEHHISnclKqELAnL0ohM5yWayClIpHMOsWwABrJzAAeIbBqapxa&#10;PmB4C4VCmArl9ZQnA9h7qZF0MV5AjxPKSG0N987KVjgYdwAAQIbwsgACSD8GRhIs25MSPwkRdB3k&#10;gE3PUbZH47G8ALGcGAFiWhfQ2ACfhNbq3svaTmv7caGt0WpASiTeYESTb7YuSzgYISagk4WT0Fr3&#10;P5ss4+UxApUOTlXCKk6Y5YQnc7LRYtZlMjsHecIaY3GRjtHiMx9ZqTnHQOkdQFYIw8YEIgPR0T5B&#10;djJAAJMUQtQADhHM1VeYFQJn+DoGNkwVglO6Z0dzFJPapAAHEPFFInhqkcGgOlR12DUgIm+DcDUz&#10;QvV2AABcBeQ8iZey+QO+Ei7BX0sLAaSLe4FEkgZfyB8mSBSbgm4aT+YG2YGpE5GD7lJWYOYLhC0M&#10;KVjptTeNIAE0xAAAHSO40L7CBgHAO0cFoIw+NEA4F/OpCj2EgFOLMYQABMioF0nUdatl5n9LGGcL&#10;J+gxhWCIABTke9MN9JGOpTB544gAGIORlmRjGAKJOYADxbyXocLLUTWWyLc5ioZAGh8jr7WHzTRa&#10;xl/c3mEwBZGjuyWT53g7nmkme8GsDs/n+WWgVjOgjmPWag0xuiDABja1GgzFFrY8TEGIKBGFgAqf&#10;rbbKR2jwHmAATwrBeAAFAK09Q7h4EgXmA5TgAAthPB8qML6pj4nz22TceDVwACpGyOUAAtxvPjuv&#10;VMxQDUJ3PBE0dsbZbxTs41zKguy7A3zog3fM9FL82Kkq4DN1Gs5YCsnzNYu3bMYJs1SXPm48H0qw&#10;jaJY5FCKW7HFakbwisjjoFas4exiVDlkAWCcAAMwVCSAABQCBc9/EjZWo4SwpMZimFlp4eg9kDrz&#10;AWp0AATwhg2emGp6wEwIgO6KSSOibhajeheKhqDyVcUEKEBEBBmgogmfmFF+WIPDeckPzW+UjbCc&#10;5onfixMC798/ozY+jec8B+dU10fBBuOlbhs7CTcnT9AUt6kABTD4xtjhErLgUUN55mIh214CQEFo&#10;9lYoA8BYK+NMpxsO4AAjROVOFYLgYzyR9vqWSzss4QgdRAEIHGcwGj+evIaPiK4wtdoIGggsfVZj&#10;UgYy4AALNAAhyB/X/5Gh59s1YNfVYZmhRVfpz5RhY5f9ZBRxnR/8mt7FSNgtZxK0d1K97luZ7ssg&#10;PgPoywN8OUJ9LsOFDIzZjcUISgdwBcBMbMDACgI5q8AkhxtsjJjRaYAAIcJd1wLML4zRccvI8414&#10;DkDICgAAIUHJOYCMB4btVWBAQQ1gRQM8OpPMIkMgNo8l/VycUITNHsGEC1GUSsS2E6GM7uAFIxs5&#10;6JI9fdYhmoRBmx6mAtnBtiA566GQiSBJt+BRSZ01n6BlSxhMsh94g8OEOcKkVwOA7ZbtTkUIrsTU&#10;BsBYEwAADACcnQ80qpslEoi0NcN1yEIgJgKw1IMZoUQKFoscAQrt2RiYAAIIHBGEC0ChGVPqHYSE&#10;SMNwRcAAHwMMNZ71WUakCUBEWMGkDEZICaMCLOMc0qGZmRziGptGAdz1RdY1f6HKA1610SMggCHh&#10;Zlnpgx7ZK57g5uBqIAscUp14OUOpjMNUN4IgAAPMPUNwcoUBFpXQB8BlGEC8CYIFWFetsl94m4M0&#10;NQN0AAIo8QAAMYM5a42pN4rwCsCYTEIAG0FhEGC5GZ5GHYOJW4AAH8MSLsOsPaNcT49sCxMYqMDQ&#10;CMAB/cp6NiSssaMpzds+AVzt6Zmt6iAqNNteNV0OSwiGNp0mNyBVn1SmOGH8ycVMgcOoO5p5hoyM&#10;O8PKKMSEUAc5M0CUB8dSLAHJGZ7JphUdrkMyLsIt9gAANBao2sdoWuEobsH4GwFcAB+MC82YdqSs&#10;OgPUgcIoMuPANoO1wIYg2cUwBlM0G6MMAAA8c6TuYYoqS56GARzp6WG0Q+G+TZtZnFgFZKYcf+T1&#10;7OT+HtZ506UNhKUUP8Xso0nFNMH4AAcBi8w0T8zs0cCwCMHs0QBtOYWpsdshbwYcLo8co9U0R0N5&#10;yE2pVUBsBdM0Ho9V3wEQXNN5zGHYq4pkJoNAOGQYOYywYgAdN8D9sIAAGICwB9q812ZaeBQgilQp&#10;fGAJmV6OGttKAiNFtV0GZRtqeEcyZhgpZuZt7eZ1SuZ8vNuke2FcNENoHpokO0aERN98Twp0BsAA&#10;DIClvoBkBQfoWorxttbspkLALsckJAKALNkeDc4oBUf0AAHIGME8AAF0FAEAAAruhKMhxw05454o&#10;+NiCKUTdr8rwEpywAAFgCgTEAghSfGj8gGYmGiYt6SGxtNm16qAx6yTqkBa81ovZSFt6NtuCN2BY&#10;cyBiZ51E2k6JyFNqbCOcLQVKSATkpwZIDcC1EQf0DM1qctnUPJ3Zx4LUYMJQKNjMOkcA7sBFD4AA&#10;GQFYEUAAG4F+JFFqbWLN4gZM+IAAKYNdHJlET9sYAAFQCc2UE4CQ0chSm2k2poYmkKANmakWeqNB&#10;tR0B6t0KZWpsYqfN7SlWUFaCOI2uB01UcQcY6k6uOUT4SkBAA19EDkC8KEbgAqScQKRZkRv9wEAA&#10;KIK8L8AAJwKpqJwtw04kA0x6jkEwD0AAH2WtdOoWHZGoi0MEOJMEJwNOdF+0noT4h4WcsGW0B0W+&#10;E2qivAYip2eeM2AZzx6eAmNKZKHONavEYiqqZp0yZyH2lluc0ozd9UNoOIJclIOIJpL8rZIQSUdo&#10;Zp2kDlOcCuwwAox99ISMOZopwNwUAAKMLCsum9W84kzoWcEsEAtEI0HoGIAA82VqGR/Qi1PFPMJZ&#10;WwPGB0UBHlHsGcDBGUDMBeGKv60cUGvOMxtCvaTOG6TWvqe5tmA+0gT2wClSUCHyUKfmlo0qIKDY&#10;6taoIs1YPqCcTlN4TUBoBUEmJICccYnyONnUVMRRjU1UeQLgAAKsLYcJ3cxs4mEFT92VwMIgG0AC&#10;yqStdcagNcO0SAJEM2QKXN3gTo9tPwfMG8DOScCQBFxm1W50Tu0qTCYykaeuqOkmNSkuqe54Y2k8&#10;42lF0iZm1ifaN+fh1CwYydEp14OcOsLcACf+aZ3eIsTlFp4UCABpGECoCIoGJZxpWYagNwOA8EJM&#10;KOmELELwzRNA7tOtGKLBx4JIHUWRxCNhkYOAPJ14I6Xc6gPF14TuLKMUWMHcDdEcBU++6q/UspQk&#10;/9syGep6eiM6veTSvme2qWe+1S/YuC6xBtgeBOfWwKfewS1y7YvMVMpkOoO8YMNANgHmO0PWFcRS&#10;lYQwWs82VMdMAACUB4GgAC8NxqJkcMNtHII8J8pILkMInGD89wCdOIAAKcJAHMWB+qYYOeXQAC44&#10;N4AANQOtDkTqX0C4BQf4HsDp2NlOpnAbFQQa6CGm0yTKY4Q6ZC1HAO1OHXFWY/AhKSlKT67HA27P&#10;A+7WBvBIkYO4PIs0NENlpTHAs2aoQ92AzsbsdbD0CEBoFuPtxp94i0M6QFNUJxFBFKLtBiWhp8IQ&#10;GoAACwCad2YZPcpldx1ZrpMETsAZN8DhlY0ADY7OsTGLKZmG/hIq/qMu6GqCM+vieyqSkqqafDKf&#10;FzGS657KfR0tuKwO1vGy3EsmgVawPQxBNpogOoO2stvPHlDyDEZICsCSgEByJBGaSpsk8prkM0xA&#10;Isy8AAM8NfEVBgB6g5NUHkGEAAD5V+YcPI00AAKgNk+cLI+YWgptFov0CBIIGQC5GXLbP4QXFekS&#10;enK/ADLG6aTi6jLXP9KLLhZfLqqu1nL6q6UQ2puk6IRwNRhsAAOQOoxgVOmMQmbR2ECoAAC4CYH9&#10;loBOihDuzRmCVwLsMUNEy2J8XSIQ/wSMBkBYhgH4G0FYp8EaxeYYPaL0LcN9C8J+uQQM9ujMQoA8&#10;86pECh5h5rQvQvQGp/QO/+0/AHLK6fLTAXVQQe1eHrGmBeODBDG1twABbxC/OF1mCAKQxm5IQ6xQ&#10;AABEA1dJGMIUh0A8tF2BttC0XuDwzQIYJcV8OfBVEgBR4QqMGAE0AAGUFcEaYd/QagMUOUywI+4+&#10;LQcvUwQY+0h+doC6d0D4BwW/WDP7Va/203FsQ3F3ALLPATGHacQTWLAzL3A7L97rMEyewiCNDINo&#10;OF2e7gSSCk7cBKtePgIaYMAyEV0UPez0Kq3uEYJZTOm++tBcA8A0TUGIFQEMAAHQGQFJWHFOBByY&#10;AAM4OlPMI0MyPAPVHURA9sBgAwp4G4DIXcC0BUf7bPKfamvXFqkeHCTeZPGDSDbPbXLyN7WW7Tbo&#10;7tWVwJjUKggwNtohFaXsQ+I3D62wC0CTSgx7P1zN3YgcKMK8L4ADYSKDIREitMp5j8DyLgGuWy4e&#10;NgP0SMNUOxwK46QIOnEIRCLICFP0qMDMCQaIBCPzfvFXf3FmY3gCZG1KHTgXafgd7XB8amljWfbs&#10;vMUogcOcOweYMsNUGxFVLfZ0QbCq8Vc4CgCGVgnwBmx0QIo1wIJwKlqIJEKGhu3NEgp0dwEsEEtE&#10;ISEiYPdqStkYN2LcJYM8gsNtdoSReIWsCoBRXQG0DHkPfJl3kfFTkmTHku6SkiHHQjV7bLkflKqy&#10;1rROfo4nMNhczTTFOY9/JzmQukc8AACbCcoIB0GezIAZM12wgQOkrYJcKVahwRwZr1BcAjU8EADd&#10;9EIkHfOgBd2mStVMOQPN14J0NKdEMwOh8YQ/J4SkDUBkS0GsC8XcA55TpfGLpm6KqHLC6Xp7gPk/&#10;ucgLQ3AqHnbbgmlfWbMA7sykPEPUxAMUM7T6XR1YRA81IJiYHZekBlOaKe5xshkYN8ONC8JGhq3k&#10;LccLDY/tForwDUC07MJAH0oUB5+mYcOsPUpkKINZHIMAONG4hEQwsNV1/0GaF8YSj7vHAbunK7Vm&#10;Y+1Da/V3bHlDWDqPRHbjqa107sPQPeQIMgNIoUo0M5eB5sQUWuxs2Xx6abNSiQSjNfw9dgNZDTIh&#10;FDDPDXy8/wSgSkCgCQ2UJYIEdQCfH+YcO+z0KzPEAALWokRLrAQIAzJ4ACjcbsF1QCu/zi6rzrVi&#10;07z3VvQfu+v34VHYY+63Q7AvgjlQYzlbvo/q8DecNgHRvAOq7zCAAE14fJEfx4H2SgBPZLXRtu82&#10;WKWQIcJh1wMXNtCv2Y/s0kCAqhjAH8GYUya6Yc94m4LZ4spMNg1FO+ufKUAABDuYFc2Q/Q/b4/pj&#10;KlYB6CkPVe/74nFzz7Vzp/0H9P0S7LgrGvgw/pC1C8NUNzXqJwKAQ1DsWcf1dICwCSbA7g7rSJtt&#10;FYi0McQBoNgAIVKqsANFrt8AP8AQ6HxCIxKJxSKxaLxiMhsMBMAIc6l0AEYdjGMyaTyiUyqVyyMv&#10;h+v0AL9wu0AJ9puAAPZ+TGKQ2HBUEgYAGQXCEADwOBKW0ym06n1Co1Kp1Sq1arxJ71oAM2ugCYTE&#10;aWIAAuygB/Wh/PZ2u0AsxSqUANhWwcNA0GAAHAahyx/gEAgB1ggKABihYbgBtg8RREDP59gAVPBs&#10;gAgOdiAADP19VjO57P6CKw3ANwHUdaB4jgB9gICxEGvt6AAiuVgAARPOcgJ/v7QxJ6vvIOjggANj&#10;4fgAdGQygAGhcMb7ovl9O7EuJMABrN5FQ/exQBgIEAALBIfAAViM8gAIg6S38BdH46DpvyZMdogB&#10;DJdWABtOA5nygFEgXBQEAAHkaRVAAWBLDyAoPhBEz7WgADJOY8AAJczzeAA8T6ZBGAYAt4hyDQJG&#10;RBQDYRiuLIti6L4wVo91cV5YAAWINFkWZaVqWxblwXJdAAXZeF6XxK1+YBgmEYZiGKYxEGOZBkmU&#10;ZZmGaZyMJaltTWjABpWnalq2ta9sWzbVt25ABu3efJwHCcRxnIcpzHOdCXFNPs/DzAA4DnKcADSN&#10;kfAAPw/j4ABgESAQAwLcUFhJZEIh2c0CwonimEUPU9z5AAuDBM0ACIJkrQAOM5zsplVwRA9eBsF0&#10;SwAGsXBKqqtlMP5PzROs8QAJUzocOg9aIRRf0OB0DQKAAew4CdxQNeKt7StO1LVVWMo0qGNo4jqj&#10;o8WtbVvXFc11XdeV7S2SWBYNhWHYli2NY9kWTZVl2ZZu1r5i6XpgABqGqaxrkQbBsm0bZuG6byAp&#10;vABw2QnJyXLc1z76Rc/VqAA5TqLYADONccwAh870VAUBAOAAHwZFYAAnCAcFkAkHsVjA8z0jMry7&#10;McACLJsr2BO48szS0DALAkABdFAQAAH8bRY0LMz/T82DvnwmjRTk2zubJDZeYB4GACYEV4HgNwmA&#10;AE1C0/atr2yWrYV22kwjdY1lt5abgj+45CkS55HSq6pLu2TrwlG8pUvWV7423i1Vvxpr+mLAZlwW&#10;aMImvCoBwzDnFcfEZ1xTjFop06jvZgzDWG1Oj3ORE2AAcBlLCIHBiAAJQdGcAAIAcFuMgI8TyPUA&#10;CmLMwQAI0nSxAA9D2sTvUW7pQxQEUNgAI4ehjmsAnw86eE/AA3zx8EoTTONXDpyNFAGeAAAyBeBh&#10;tDJjAPAfAvc/b9/4Snb413K3N1LO3dHy4kgrlSKugvqxnApNXelAh6Ul5pVXslh/MFCTOOTCwBMj&#10;A0zMGTSwlNp8XNJxc6nRiad3FtRJiO8eQ0EKjUdwPMeo2nWgAASAcC4AATAgDYbcDQXwAAFAKA+C&#10;pnh3DwT4J0VYvAACSFCLM1ZPIiQOZKSIHgL4mB+dwAqG0UkWPeHMzYAAqBrOsF+ONVJFAEqMAAD4&#10;DphAwgsZkAwAwBIux2ju21/bcSwt0R3AFcKQFyJDXMkZdMCV2QLSevFKa9ErL3SzHiLsF3IQZfqQ&#10;5giZ2DpqTYws4jm2IQlTs9whsMRuwuDMAAdw8RmETPhFsDiklKAgAy057TfpIlPHOOtkYlhRi3AA&#10;JwVYuSGPeikyWOoPQagpeq9cAAGAKgRlwhEdg9zOCvG0OUAAsxujpLO1EiMc46hKBFDgKoJwNw1j&#10;XNKdc7FMR6K+/2Prdi0N4gHIJvkhYEJKkQu6RThZGQRcTJCdr95Jr/THJY5sHHKybcwm6T0I05sS&#10;lE/Z5jrGPB0AAOYdbHHvACACAM5oCgRnnBKH0AAHQLBOIeoqghLRwsaAAIwTgsAACrFuMUhyxpiQ&#10;VUZSEGoLwSs7DsGAAAJJZ0uPiPEfJkBbjem6KwbSAB8RRpaBABBrpzToCQCGHD6nt1JrDWI3071t&#10;zygBPSAUgW9yEgOkiQ6TJ+uEgc4aRsEnFVjcZQZyMGiHyYg65aTjmaIMPhJRN0D3DpjrAANUboh0&#10;vjjE4RGj8dT2RXBYCSk4FwJhCryS0bI35siEEoKkAAuxin4ki9o+ALgUAgI8HMLgAAYnos8Z4eg+&#10;j6i/HEqkVI2XWDwHwZAv5gAMAKPEFoFcsAeAbI6AWj9tro3SKdWWeKOX/rfrU3qArfZDT7ri4OBp&#10;DoHuHkdBO6baq9yVcnJmDzl4QHRhFYWiTn4TvOT0r0bg4hNgAGmNwQSiSHvaAOACaAOzIgjD0ABA&#10;r1L0EmGmNocKyxGijAAMoaI25cXEhyCEDQABAhvC0ZUG4LMHFUHvFEYw5SaimGu6wdI9VO0fMAsh&#10;owYAWsyfagYAdO8TY+x+RC6sfLrx+rTIC7cg4DS3JQ4Cfl4ZFwQcRI/IC+r1UIvZYCht8DfXyc5f&#10;SEz9yeD2AAOQdIrsLDUDWQ8hqjDxAYAoEjBAeAAAQAYCrKhFRmX+AAHIQ4nj+jemzOwD4G3eB7DU&#10;goJoQgaqJx7nglI+mLsdHShgUY1RxAAHCPJGbX6jAQUcGMFwHwAAoAkirGej9U3SyE3PIk80e5Hg&#10;Jkm7s+l13ggZlC8td6B6qVVlZyUG3KSag/J1OF83PZgfsxcyA6h3C9AAMcaUPx+D8RmowvAHgMhU&#10;MiCGjMW2Zaqe8MQZY1gABtEEJlho60MTsAyBaaIcwxhPAAFkJpyDwVg16RlQxDRrDtT5pZ8o1x2t&#10;BueYAFQFGThnBfa8DoDllUt31xKl2rH/ZF1g3nWU+K3N/rg4LXE/8o3mrxxN7uAV+0H2BX6hew73&#10;7FYbRHZFFHuK5PqO0eDOhjjTDIAAfA+BzmZAIgYEIHAvMsA+G53Lu9ek8JiLoYYzwABzEOJ8AA7x&#10;4mynYBUCTJw0BZUiGYLARogRU5Kxab43h4PBFNGQAAzB0Mjq++wDCBgy6iPHcfs3ep2cVrPdnWM9&#10;625LJPk3W8/q6UAylefvaWtf19kvyy91gqH7Gy9zKxDzoUgAiOfgZQ1s1O/3LDY6AJAO889KcyIK&#10;BtVD4OmAAV4umdB/EiKYAA8h6PNmkBAByjgvBRCDnwMO8wEAI8H4ybxDRyjzURb51gwozu5AHSEH&#10;wHjCBaBTLACXxfj/ci733V1aOMT2rZkq72tuP+HvHXWgOU/ur75O4/lPj6FbC8lQ6ENhPLSh8w71&#10;qJvQ8w9kMwzg2FGQ6w7RmDRWo0OmagIAGgWwACjCjmqg9CmwAAowsRtgiwmjPjzCnU7DRWBAVASQ&#10;OgAAfgbDTgC3eX7maxP01CnQrVUgAAtVTxZEawSgIx0AUQJR0ADQBlCYK4QDi33y3X4U9Va13E+V&#10;b1336Fc36niXI2vIQSAXjlCVf1DGxFg3lUoFh19kowACwz5Q0g2lJ2ZUTwDQC1QgKQIQclKAFwUT&#10;2XxmPg8DwAAAmApwuCGQpUvx0yIE64Pk4gQAMwAAiQdkPwD4Z4Uj3g81uQAAsQ23QArA2U2U4QAA&#10;VgKE6ARgIDvEalIYUonjbIQ12Ef3GXgX5WtUClcl4hmX63inJInx8YVGWIV3LoWXMGx3+4XT9h0w&#10;6ljA3giT3w5WFSrQKykgdyQwFRqlOmvQ6zQD1QnjyQogrwvk8GW0eFqwAAQQOALUzAYQACBE0Yr2&#10;KBMQtw34vAqA1z5QCgBEdQX0cQAAOwHBHQBl0Ir49TFYoXF4RmSHG4cRGHhYTIql5FdlAo9h8osW&#10;wV7VgX918X+YW19UFV+B1glhcg4AlAAHXAMgAFmAe2CwEAOHJQ5Q6B1QhAllpQsAuwyFPE7WqAOA&#10;MSlwigd0PwJDKY9Q+WkgwVvAAApw2D5QB30gAAYQLWowM3dIEGjpBZSCto+Gr4+nGngn5oqGT3IW&#10;upBJSRoZB3K39ZCo1RoGXZDmyT+RMGYx/3tV/ghWBQEQOZGlJgAADwC0y24U3w3w403QewjgpBMg&#10;yA01YWGwMltQgwcWIpflJIr2kRvQyw5zIwqA2E2T6hgI7WowKyKQAGPHEZVhUkxVLJlxK5S4RV2p&#10;TopoSn50iYTYq4T2u5mxn5WHkJWmWnL0n1hpD0FHNTGQ6gtAAAzw2IxhHByALQJAgENQCGHmqhaB&#10;DQ2A3j5QdQiQoBXA00plSWGwKztiywajK42Y24r2/F/Q7CvQqg2CAABWPAAAXAKgHWnheI9JqSXW&#10;kg+g8CnQ/ShjuTaCawBG+Z6hE5nXf4pH5GtJopUXIHiHIpqJ9xV5q39JCZrotZsGX3M0FBDUuwxh&#10;CA2ihB5CDgKgIYxo6xeGqhMBvRAhCwbwg1/A3CfpfCxgIgHh0AdQYwUAAAUARpH4rw/XaHak2g3A&#10;6EQD6wUgJgGSQwDDRplqBEFk3w+VwTDQxD5Q+lSwAAHARhjACgFoEqQhWRWzcE8GQ4RJ+n44SHHB&#10;KY/5pJAYrIUKUzjX8EGGV5CGWYWHlItn+oXEdjzD5TGkvwDAClrxHARGjZ9mVHTWFg0mGQaAfJEw&#10;6g7SvZ0CxgHBHAACrytXvlnWG4QU30qQ+BnA1A7HBT2gAALQFjJwDXZaZBKA/mkhuV+Qpw1QAA+Q&#10;8SiAJAVoxAFgNaPaoGQaVT/KWIomRp+6XI/RF6X4qWuZA37ashUKBoVnLXk3+IWpsZYEkkxBPSa6&#10;enJSeh9QwgyqpwZAeQkwACnIfVBFLQFQE0QwZQV3YwZwWmcUdEdYrz3jUZmWqKwhKg/Q+R9Q6wzn&#10;QA3AqW5Q/BwFKAQxjAIwV2d2Aasp+Yo6W2s4SXHYS6YKv37Hi67yXaZklKaJWaCKa6yKbZX6DbDy&#10;+alBkAtgwCoQawfx2K7FngEwESKjSHwCsysYZy0bG7MBFA+4iwAA4gt0pg4wuyHA/WKJFwKwFQAA&#10;LgcD1AA0arA6tEe2raWbBYR7B6XWTHHrC5U6wLDrMTf7EX8oVXkZW5r3MYuLVi+UMSiApwswwoJQ&#10;kBcYyhDpmU7HuyjgVQSWBwbwYATWCx7LYLVrJQ9g5xsg3grRAw6wzHQA/Q+xMQCxdpGgaiOQDgIn&#10;q6ZLBKuLBo/JUGTqAITqApVbeKXrWFfLWprbFpDKyaDH/LmiqkqhsgmApkv0TZt10oKTRmimjAdA&#10;ZKLaiRHbpbDxjxvQ7w11i7fhlA8Q3D6DCgBgDx4gIQUSlwHAQ1r1IKQZl7kH4rTbk4p7lX6ZprmK&#10;wbuBGaxLW6CabKC3l4ub2yXKhCvQigmmZwpIGF03xGBARQOwLgAAdwZm25M7475J97PB9Q5wxT5Q&#10;4Qs2GQ9g6jwREAAwCEdQGQPJ5gJQWIxABAC4P70LSKV7Sqt70o+5T71XhppZArDYrr+RPrnF66aY&#10;s6x7obGKyrGsISWg5Q6R1Qe2FCngwgzl00QUyANGdweQaG2wLQJ2o8LKUw+Q7yiA4QtGGQ5QvxOW&#10;1R9RELzmdAJxHQKAYgMAAADAGyKqBL0ZTYpZ/bCZo6vrU8H4UcQREL3bn4tL4LXqb8ZS+xPw4GZQ&#10;AKIQmqfg3F0461IQNALVQgeAZwUwAAOAMDZsbZlxvBDQ9A5DQQ3Qqg1wAA7AzqOLJRESigCgFxeA&#10;JQW2JQFgNKsZ98W5n8XbCKXrUcYaAZVL2shGa8I7E5rLFcabF74bX8qSK5xR2Q3D5QbQgW6Q1w3T&#10;rF0n0lIQLAJjMgdQZIbwRAO0V8s5SA/mkcjg0U3Q3grhAxuTQba8kyigBEc1KAR1JAIQTjZhrae5&#10;Bcn3gJ/MorULCspbl8p7Vcs8Z8rsJ2XJDcKrpMyx8SehMQzWewcAhVkscIvF0j2hgAJQH2HgcQYl&#10;KwTwRZH7z8933BPxsRnA5gwWEg4QtsdsQ3uRFQAj6h4wNGHgJVyZ8jRpm85aubTquxFqvZUsprVM&#10;IMqc8Kasr8KMscbNDyAYfAAK1Kp5ynVQ6G6102G7tgAAbgX7dQXATxyKkNONECua2sBLNdGFGnzx&#10;X68hGcTwDwJBSwJAWGdwEMUWjdDoUtJ7ksGp/r1sHaYqA9D9MsJpC887or4tTSAQ93rSngwcNQeQ&#10;jGFUR8BWDgFLKAAAaQWykdhCta7tdHjA/2krwTI80hAw7g01i8khGMlAFSjgIATzZgGQPzMgAj65&#10;SNZb09Z8X5/718HorcZMhNbqxtcBoZXs9b+NihWDyyiArguaEQfgkHtXra3F04ZyygZAVgRWfG8k&#10;QE6ttHeszRMQ6rggAA3Qq8jQ9g6HWRKwBcESQwQGowIgUylwBACcEonto8GZodptaaYZp7mc99rX&#10;9pXBn9sbo9s9yhVQ8UMQAAoQrQvyogmipRaWPjRR4gW9SgAMxaLRdyyt9HEtEbNA5AvRCw3wsRlK&#10;8azhKs4mCwL0ONXYxAC8WJSd5JoMXso86tLc7NL9q8bd7bXKCsa5suChng7DVAAAlAo5t7qYeGVA&#10;CTugAAUgR5asxYb0z7juL2j7eg5Rsg4AskM7/TrBvN79ll0ADgICBt3SzgEwMB0AAZ6d48FFZn4K&#10;WtpN5uI8YOJb2M7dMNrMq3KsrdM88tsM9N8uRBntQCGAhwmAqgAAqQtVOWVD0AAASQP4grs6LQI6&#10;KecmqQ/w/BDQ7g2Fiw3a+Htg3SGNlRKyigB58wHwSVJAHAQhR8B66Yn+IMobT3hMpOZdqaY9OOKr&#10;38sOLay+hxVA5A6BNQdwipzAvQxg0meD9EdQQAOY2+QJGgJsQOsGQA/VVDDQx02ci25aRdGxTt2B&#10;rgGAOp5gIATTZgCBQY9eos5+pEFuprluZuJ9Teq7oNccKecexRVQ4A5ViwagfglzHVjbaxP5R1ec&#10;NwAANgLlQgdQZYb8gSzu6mP+ziprN2mdUw/p8RUuFwEgKrQAIgVEy9Wo4OoeXV1rS7keYeIs6eZO&#10;4eqNbN7Oan86xd7rXYt9N/AhUQ26JQXgdAjj3w5NAWQMeKmsP9xqLQQgOL8mnfKV0g9A4yfA2wpw&#10;1Mjgz6OFLbbBLeWkrgGSjgIgUilwFwOU6NTIK+3KurlMHN6b2c7tMfIrns8dr5XecNc/PRTd/w0g&#10;2GEgXfLjP81vMz6wJwI0sNRgTOfwPogof/ZlY+TkqQ0liw2AoR+N1NfxVSigBoPQAAHums3FJN4N&#10;4njPV9KfWZALDNqu5PX4struTxnd8fZfexLFuR9QxgzBAwaQf+8XV91mP30h8AIgHUOAagWytT0p&#10;H+OtKvoEdr+zGQwGEt0cjW1dvxVsB1IQFwN0sAIdmwAACgGaG4QPkr1NaPWvluqdbfmcJfm/Jqbu&#10;LvuT+qlAAHT3UQdgigoSHd92VNAxxaigZwVxqgWATAPcVjRf3VLg+A7iM/vwAA5ww2mBAH+/X+AI&#10;LBoPCITCoWAAEBAEAAeJgkABGUhQAAgKQmAACAohDJDIpHJJLJpPKJSAHvLAAzZeAH7MgANJqAAX&#10;OAA/p2/ns7XaAWYpVKAGwrVWAA0DQYAAcBgNKoK/wCAQA6wQFAAxQsNwA2weIoQBn8+wAKng2QAQ&#10;HOxAABn6+qjcrndLrdrveABBKq3AcIQAtA8RwA+wEBYQDX29AARXKwAAInm4Ia/39eZQ9X3ZXRmg&#10;AGx8PwAOjIZQADQuGMvqtXrNbrtfCHo9XuAFYt2MAEKl6Q89nsN/wJDVKqFQkDgAYioRAAYCmQ4y&#10;DgXwen1Or1uv2JPBAA83E8QA1Uyze44O/euBHqqCQv0hCThKAAuOQ4AAGBwJ2fz15ZtJf40yP1NE&#10;2Th0k8T1P1BUNRVHUlS1NU9clTVVV1ZVtXVfWFB1jWVZ1pWtbVvXF+ojiR1F7ABfV/YFg2FYdB2J&#10;YtjWPZFkwCZV2GZZtnWfaFo2ladqYlkKQ5ESk8DyPUACfK0vQAJMoi0AA9j3PmRZWSUDwNAoABeF&#10;AQQAGcWWDBQEgPleZ5ommaklP4/IBO00DqAA1CXMwAD8PY/HYAUDVQBwQggAAHhJCRbgPAea6JSN&#10;/EuTCAICDRN05gZPlAUJRFGUhSlMU5UFRhJVlYVpXFeWBYlkWZaFqWxblwoqr5pieKWAYJhGGYhi&#10;mMY5kGSZRlnXjkAGcWWPGiaRpmorCyrLXV2wAOw7zyAAlJQAAoSuL4AD4PlZbMkUDAKAgABUEgOg&#10;AG0XhLZ4GFZt67rvvBc2KXE4i4N4ADeK411SdkAwGAMAATC8F0VFUKgAAwHANQVVbxmijH+TFM01&#10;pGBE6TylYJpiDKbg+nkqqCFKjhepoaqiHariCrsOyxv6yX6tIsreL65jKvI1jewGdsNnmgsaP7Jy&#10;3QrMP4/0EOY6TuAAjCcK8ACuLkxwAPo+560N2AKAmiBKEAMwAHEYRORUHgZ1fZtnmvRkEPc6JJNk&#10;ojTs80DoiN6cIB6ZglFjBwSCwFkdAPDdofrEKOxOA6TxiCKXgumoOp2EVUqGFakhip4cqqH6tiLg&#10;+dSnL4qrWLa4jGu40r6OM7jvPo+siQee7CJD9TsADfOM6QAIcmCsAAujDM9hJu7FvwHAZhxBDgLg&#10;AHQZRQAALAlB7w/T9Rr1kZY7zYOwADXJ00ErOmSZCAgEwJAAHxNCZSQ+9IBAJfj1XT4V/+HxXiU7&#10;xnjKZg2nIQp9yTIkLKlQyQZDaqUPKsRC/GBa/C+MwRWrZFxBkYK6Rmr1GyvzrLBZ4sV1qQIGQgNc&#10;TIyw1xujkAAIQSoqQADEGYNZO7s4Ql5AKAQ/ANQXHwDyGgKYAIbnwhlECIJCh+D3T0OcYI4gADaF&#10;ONQnQ+kApCfcYcDIOwOgABAFF9QCAJPmiEat+bEkAsUUkgVxSlkFP7Y65B/6E1RQCcsyZzECGVOc&#10;i84N0DMYIukgqzd1DOkdLEdYseD8dpCkoaqgEaQ2BvgAEAJIVBLhqDdYvBmQxKACADYACoEsVg+B&#10;rCuAAHwNWDyWlK9QfI8DaDbFSvsc4wBwsMIMs4/JDiIAQBORwEwXHlAMA+ws4cpi5RgUfGNiylHF&#10;xoY449/zIIARucqyWArJ3MwJZXMFoUeIIOjZo6WCzOJKnUg26tHsg2gzXnOQVqiehkDQG0AAPwkC&#10;iDZG8OUvTRp0EkI+VUEQHTUh8DYFYAARgeAxIa5KfFCFmNqAAPUcY8wADTEsnYeg4TzJFmAAgCyW&#10;wThdBaAACgMDUgBcDQkksw36xkkogeM7G3HP9Y+5+ZzlGSQEILAZlDmoFUlXfNl0TM4Js1dNBdnM&#10;GnVSBnI0B19O5DD4aoAAYIyYmzwKIOEco66lkiAE5IDoGish1DMFIAATghA2LdDSrFaEzlkTeNF3&#10;A1hOPfH0PJKp50hlVKqnww4HQkgjfOEo+B9mAVpIVSeMTiIyv4mRS1/jHnIxtpnANy8B2UubsGsq&#10;nrMoJEFgozZ08GHUyAZ7Uh11lovJTSqLQYCdhDm7AAOcdQ77SkImABoCxFA2hfXUFUJIOybgJXFb&#10;K4J2B9jzSqOQXcjBwCzG4neppBnBJEsDR8GTZQTBdBYAABAEYu3CsKpClMx6WONsZGuZtj2R2Rjj&#10;ZOnM1rhJosxHqbkfLPVEOrOKo7P7SXuhAkg2gqRaDDAAJEUAs1njwofPa2UwDinHDMFcIwAAuBQC&#10;AdApl+8LmtoWPcc6SRtirheOwZg5yYj8MtdCi9JAGggAgAAFAXqPESI5e670xX70rY1eONUzKY3n&#10;jfNGm00452Vwwle+E26gTdj7Z+P6wpx35kJkR6i0TFidFULsAAnMrAASO+K4VBwIgPKYFwJ+FAyY&#10;PABbZM2Uc1l2TaZYtA7YlCkibRQ79C00zAAOBJcQIiLmeUBfvGlh6VP5mTS6xsbHJ3ojhNKOVlKd&#10;ZsSFkan9m6gzej9UW0MHZy1K0i50do76HiQFALIAApxZjCAAPQew+MogOAY+YKS5QABsC4uoDgGM&#10;Zae12SeIieh0DFhON4Vq+5UatWW+4/EVIrAnDCC8jtWrZaCftYjG7+plUvsdorH1NS3ZB0fe3Xh2&#10;dJ2aNNpbJV9Zw1GtFk+c24mzjpHYPA3IlikCyF6MpbQ+Y637ayuIJbXWvhibFPzTu7+DkIHyO/Vo&#10;4BYzuHMMKWA/B8NWlmmsAVJAHAkIoC8OYOC3J92kS1iMxNB3hxxGmZdMCUMhmfTSyVOJq784QiYj&#10;qKIH0+3LZyoU37QZNvxB7d3NF4T3AAOMc1V5HCnAALsYo0XgtWwxb8qDyKPB1DKFHFoIj6TA6Hrw&#10;ypBB5jhWkN0VQ1QADuGpVfNyzKDgIAqdIFQZwZAAAkCpdtltp3gjNyjbGiLzbbmht2m81I6deOtu&#10;SPdnahzgOnffdnQeDeHWXCOJQ356iCEnJAYULmJeNuE8U/AOAYAnAAHgM9YQXApLCAMj/k9PFwTe&#10;nFfC+juDjPN59ZSfCoAfCYfADwSq+gDkxWnvUxu+bX0PeXHngeX3q5j4b15wfE3y8Xz3JkHJBVJ+&#10;ku6RAABoDWXuIUSwqgADLGlcx2fubZQ0YAC4E6gQ9BrCqAAG4L31SYsF9y/Z2x9j1FxDlC+SwL1X&#10;McKbHMOL+MAAUAzNlAnBfUeAHAPXAVYfGY2aFWLY6crHaUyaLY/beaOXsczf7GrfUZIXzeMc+fZW&#10;jZQgjKvb7FlDHDPDYAACICYCtAASKGTNFcWXuetEQAjAfNlB/BtSgA/A2XYQ1f6gtWldgLaDsG0D&#10;fCvgzDoDHQnD9D5RQMON2S9JmAqBjAwFNAjARfFcjOGWGbUaEWKY5cqbaQBeCcweFZDhLGsglaVZ&#10;JX0frGwePabfbhzKKD3XOC+DHDSNLNNFFT0T2g8YYa4EcB/BuBYAABHA9d0PGPwh+WDdsDzDeWxD&#10;cCqL7DuDXVXE6NnAHARLiAkBXMHAaA+AfSxU7gVbVgXhrbZaJhufOaNXrcyiXgkc2KzTaaUbmh3g&#10;ofYZOeRi7JrD1asGAC/DLAACPCfalDgDkJybiAWAUYsenQ8BSBGcfAIPFjHVpcTJ6DrDLYjDeCwg&#10;zYbGLdFTYH1AHGHAaBAitAmBbXYGGEgUJiwhpXicpi0eAi2Xpi4fQhyjgF2h1jBgnfXaZc/eQack&#10;FJoYHD2AACqC2FtCYClC2AADmWwbvATAQMLLoBNAABbBPA+GmALXckPTnULD5DxatDlC8GTDjC6L&#10;3XEgiNCN2MCN/AoBgbPAJAWHSUlj6cnfJXkY7csgcbchwZCaQkqFzkHc7aXZLkLgqbteSlOHYLOD&#10;uLRLWCuC/AACeCsC8LPlcbikfHSHNHPJhGDZgYWlYTBhND0DkLSDgCyTuDqDKDmE6D7h5MsMNAMA&#10;dHHAlBZArMBMDEdUHTnlDfIaGlGgaEmctWQaMZAggi6lvIRi9c4WZeKc8aYX2brh8X6mXH5ULDpD&#10;tbzCZCoC6amCyDBZbJIbvANkoAABTBHA5AABzBkPOHFZqmjSWdsDwDWPbDdCsgzDwDbZxPVZ6PmK&#10;DV9GCV9j3T4mLWJj8d+fLlIY9hvfPhxlNm+mQmZOhmbfVmdlTmfaafamineeIT3DlmmYCChJRCtC&#10;4NSJTgHa7NZKIBHA8hgB9BtiQW1EUnqSFD9D4IBDoDEDjAADde1D6DwatjsOwH2H4HyH0mDMHAGA&#10;OKITonTbWmNgZhtcukBmUi5fRoCEllQbnh4gpjFkOomHVg7AADhjTAACKCaCujLJ2NVdRa7PFGHA&#10;9A0MHCEByBbRXAcMEouRCgGoxC3XMDjC3STdsPVUjFVARAoFZAlBaXYAOAiYsobhlP0hnd7nUd9f&#10;KlHgbnZi3ojkDndpIELoojCkKnmkMmhgsptGwfqIoDgl6CEb1AAC8dOiJbvAFVnA0AtKFCEBxpEA&#10;qAkRWddp2PDECdhUVO1hSFWDON0hNpSbRAKAaFMAhBQelHyAbENeuSmociyj9d/fMkAmTgfokkEq&#10;PEJpvkJmebqnngrdCqxGsfeDTDZGTfjFIDFDNL7c0hJAAfvitiOBZQ9qGqkj4q6OdD+RPLPVtL4n&#10;Fe2LSYJPxMNoYKIAcBEF/fAKFAFAKblSFqnhqqpnXpnfNoiquprbhrQQNc3nhXxgmfWq1eOmgnop&#10;1ryGXTqAAgxFpCJCag3DODUL3L8biSZEQAnAhqjSeUBA+hHAASYrPr+NmLzkaRIAAl1TuVyV0RAA&#10;DAIH4AWA1AaGQBRelAKAZluSWronVplmPonlJnakCncrxryqzr4nlq2pzr8q5sYF3LbFlC+DIiEN&#10;MCwAADWDbRJc0EfEQAfAbAVemBnQ8NcKRfttCNoD3DqJJcNcPDCRJpRRAS1hhhjAjBTEYASAtN/q&#10;mpfRhXffHpjlFofi1ohqteElMs5rQs7nkbpr6q3lWtbGqWnAACzC/J2CRjQL4DjN0c0TAAZAVYsB&#10;yBiPOBVBKW9o9uEMthNDyibFeClRNPZnJSFMNAJAUJbAgBOPqAbBBKBpTSGswpkmOogmSget6bgk&#10;3q6t+lSuAHBh7tAlXucFRG9atCqC1YBCUCkC1WukceTAUARMLBqBcBKHIHKXZjfvELxPXAADqYiZ&#10;yiED5Dun2SGAEALGHuuKBAgPpFuFOuytwclholEoehst3u3eDbfghucu9bol9GuvBq4vDvbEkULY&#10;HJJLXLZCbmqAAmnYIeHJZHSBfBSJfBvBgkikogTwELek2dGC5L3DgC0TurSIBoQReACL/UfmHZ9E&#10;YANAfZqYnQhuzt1v2j/t4u4v6mWtbv9oqjEdAotwbOfT3DqmnZYCqljCiCvLZDxDzkSeTLgLijbm&#10;3T/f0avlBxBKwHbD1DpGLDdCnQvDpDMl6E6iKReuxYqYsAiqgMBAwMEtmRBwzv1j+qrw3v5mVolt&#10;Cw8jDlUosh9xYEnE8dGDnZxCZCnC4AACpC2YBjJshdejeGHBFA7UFCKB3BfAAltx/KvqRAADxnIH&#10;gCbPfD2DmwPTnMNPkJbKDKFjxPSrkrmQMxxgYw1x0v4lLu6v8ngR5ZHh2q0s9uBs/wCyZEneVDeD&#10;iN0CVCkkZCwC8DIb6LdeHf5f1ekAACZCFBqUfkfzBKJD+hYAADpDJT1PddPFwo7T4ADAKH4AaA7P&#10;SAfHvAAuoJbxwvxUotzodyxxzEID+EeE6z6EHInMiDHAWKRDdMwXqAoDxTuA+DnNSFju7ADECEdw&#10;mf7Inz5FVFTsXInDewuAAC2AdBFr2y7BCDmYBAhUUq1ABT30OhZGqwBuDzZEkJuIBDXDcQnYDalC&#10;5O/PB0qdDTAqLRWClCOByAAAYAVhj0uJpD6kue0FpkzsJVYnRYxAAN6MHAPAjoBwxPVywizqqHnF&#10;VDzAFFMDmALGpD6K3InD0J8c3KBDpk/EIAE0PAaD2YjAnDwXM0OJ60VE3RE1CD2JyAKJ4h+D8UjF&#10;WuodoilExz6InDqKiDSATXYD92CEHAJoEAAApKqAVD3Pb14I2EEASD6WxAY18r5F00sjG1GEiD8P&#10;CDPDXL3CNCcCxAADCDLRNE7xldDAkhBLWCKBvEV242mJFT3D1DlUPDWCdPADwDYNKsKc2ToN2AKA&#10;XFMAjBXApAAAVgMENEPwyzyphz0qonWlHz5EQDrZ6QsAZm3DmAKad3gJ3ABH42PhKc2EEADO01uF&#10;l143yIB0kRJA6DojNAPD7UWgtD6L+FFESAADMAUbPD1rkEIJ6H4D8fD1cWzT3AFD/J612EI1+kSA&#10;yDsRNAudpH10PF52kxA2+EKsADHDOgzNMNODLDTXMgjOSAgAatUCTB/BmQ9Q44lJDwkwNDSJyDXC&#10;fPfvjvlU7MNAHAOLiAdBHF/AbBFF/AGAMoayv3atygWrp3eszErsjffATUeDI0B0fGXAND6UPA2D&#10;sDOAAAwDtRN0ph+3uve2EDEAXcfDhANPSYmGX5t1wYjBDDlYBAVD42ZV1F44jx+46cJVOiCNx4rH&#10;gtNh+AbAXEcCFBzBcAABIA+d06HIksaDjC8SMDfCugzvdWlAEsk3UA0NlAhZ+ALst3ZH9hm5Vix5&#10;XsyEM3qDo1sC9irLC3O4RF1AED+IBAf0lA9DpzM2XZx14F5LOZ3EKOCqOReInD45bDUpVsBAXVl7&#10;S5SFz14AKD74aDtiEA2Dr5o5tGs6Fnp6aEFJUFxC1uJNLCdNODgDjjUhL6RYsB2eokjBOGh7pH6D&#10;4DrG0DYCidPDrvgXucYEQpbYsAkmEEZAmEcux1Y5UY16ysxu1puc2D5AEKIDP5dAADKAUd0D5H2F&#10;2AMf+AAA4jkrHDtdn1u06LNEGcUJ6DyGdV1bRsVeurlGHAHqlR2Kg2KtU65A9AADlALsoInFR8uG&#10;eD1l6BB0iZo6BG/7nr96auGCrC4DFAA2ttKxE4AfST3ASzYBpBbBJLnBeBM79HYNFycDfHfDTCRD&#10;JErDrxOZeOSAHATLiAjBU3ToUH1wp8S6vpg6xj7u0t2Ei3qDn68C/AZA8Wu3o69Em5tAdlyAABDD&#10;nYBATD43JGrl8GWDgDzGLDXDvNKAOAFFQAFeuD8T3AXAJPmAjAOHHAFetxkEFEDTgOBFVVaYnEDE&#10;E+83L840XT3owiK+4UG1XGq7SLiDRASmFDJAWNe/JFyAMD8JJAzDsPf/WdP6/zk7mr7zA9pEFara&#10;txJlfCOCetKGy5EfcavJbkkGhsRH189/gGvhXJ6DqDJYj5APAoE8vEAAECgcEgsGg8IhMKhcMhsO&#10;h8HAgLAoADZAD4AEBPE4AAwNA0QkMikckgb3k4AZsqAD9loAGkwAALmYAf02fz2drtALMUqlADYV&#10;qrAAaBoMAAOA0giD2AgKADPCgulITF4AfADA8hBr7egAGrrZwAGDuaYAAj+fslhj5lzQdjtADVdz&#10;uAAuCgTAAMAsUcbzeoAdcoIAbDQADAKBIAd75fQAdz4fAAAYCAN6AkUCIIrT9fz/wL4e4AfUugWW&#10;CoJBAABAEAmLfD5AD2fj8AGVyz9f7+AAQA1aCAHkG3tcLfwBAWBBAUAC/DQ8ADjBYbAGfy0MAb/t&#10;QaeznABDczDAAWe7r4kier7fYAdHpio+H4AHRkMoABoXDHm/P6/f8/v+eY8TzPYACaKguQAJEoSz&#10;ABtFqf+D4QhF+gLApqhQEUNwAIUchcatwYSiCIYiiOJHmPk72SOAszbAA5C7N5NT8buJY0jVBgCA&#10;VyASCwFgACYXAsTJRY2kRBEnaJKjNSxLkwDRMk0TdOE6TxPlAUJRFGUhSkhP0AQDi0CnTMUGA2AA&#10;5QKBl1ABdZET/bUHT0OV3jlMIAASPo74hW1ajSO1dTgPI8wAD4G5pBQCGqOQ9GALs4zkj4EQQAAL&#10;QSBIAFvOwAD7WlZwCl8AWfAAJwRA8AD1PxajcPA8H1AZFDzPp6lJRSowRAA0Vwes9miB4DFHbN6g&#10;LZhYwVXle0UiBWFaNKOwAMgFgzVcA2qQioGfAs/IDC9ZVfOs0EdP5jokeh6nseoG3vfF831feRbu&#10;u+8EjP+82BO48gAJQoy2gQqC4vG/8AQhqUgEYPAxAAiR1F5vAPUfAcPxDEX6bpuz1X4ADaKY1AAO&#10;003ldSocSyJEHHZYCwcA0AAlFkKwABMLgXADJcjf6R0pStLVqk2TwLTVN05TtPU/UFQ1FUdSVLQ9&#10;1amU6lwTC0ADMBQMGjAPSWmvQDT8V4NDrM8AAyO00m2bqekun2f6BoOhQABcCWKPA+mOLqjksZ4A&#10;AsBKtjBOU5gADEFXLPrd6KV4IgOyk79yAA9D7Y4JAOqU6UoOE86CEgHge1E6nlPHixCYVj2RXI75&#10;5EUHAcUQDM9myD27cg6QJj0wgZDkADiyeautWc/m1Bt3AADs6TJUQ9TobZNYluR63tuh8HyfR9n4&#10;zT1PVflNmfOI53lJKCgAKYsp19b44QcFFA7DMKQAIweBhUQF6W+T8vzkW4Vqx06sYKRZj2OhgH6Q&#10;AIGAYCBqgPhKBGAADwSQSG2AIciAJImbJJSWzomJM2epRaAlRoaV2jJaaulxTwABwu5GKBdDI6AE&#10;sxH+mt3htQPj1UeD0c4xzxD4Y+iNPYAG0AAUAoJQiaW3NwcWLscSj4dAcdWAAXA4RxgAB6BpNJnj&#10;Pj0H4eoDQCmejZVWgxsoIAHAOKuPs2rjT1RQTSM8dZcTdmfcw6kdQ9kBi8HI34IgHDpghcQzKFqI&#10;B7rTh2BJloyVoLSWoQMBY+zAFkY2DFsQAAFD8NEjZ5a5j3PPXW9KCEmn5GdN2Nob53RHifFiAAWQ&#10;vHiSblSQ0AgA0vgyBUCIAAjg+hkAACQDz05VS6l2Q8fh6EWi9G/D0WQ2kGKnOpMiXjImrGuAsDVN&#10;IKQyNUWma6ZRCYJM4SZBZKDP0ptCSs0VLLSD8jxI8VBl8gEgj5asTJbIAAbjqSUC0dw1lwLihy2d&#10;P0PW1RAAABUA5Whxj1QGL5usX2UgGlaAAYg5zuhYBLAwBRfCar0HyqgAAwhzN+AYlsGwF0egFhab&#10;kz5yDLDEHM8cfbZQkAfA6rpAYwxzHdjtS4D4Diju7Qi68AA5wFn4GEBcHCZgFmGWsUQe7x3hPEA4&#10;PRvxyEZo1ko81dL0F2S5mtVhIiqDdjSGyOB9YmhXgAF8MhsdWZeHDBOCJ1Ikg/n0BaCYjFZ65ybX&#10;mZ8fI7DRDcFVPV4ach/KbroxFmYDQPqlBcG9MsKme2CIFNhJTOSXzbgxN1oKVWiJYaOls8w/AAmu&#10;HAA1zQx5nHJLy787oQRzjEn8PdTJlmQoih0NAnRch2p5BeXhVpfR5leryZIH7bB5KxOYOVOQMAJl&#10;5AsAop5lDLAHhENO2g63RgwAocsA5lFOnIARCKOach0RxUHFFjg+TYjtJQEQDrqQLNvSIPUiTTmW&#10;jPnRUYFw756gxHYWYBjW14VSXPVSTC7bG4EQgg0AAyRozFEQJkVgABljSG5gWXQHwNo9EeHwMZ8Q&#10;Ygownh5mjvTdjyG6nkbbGgADyG4nl7GH2AgJAoYoEoXSpgXBsYbAlj4KWSSdBdnxNoNTfsxB6cZ5&#10;mlzlZSM4CbVLQUuBUPAbJYx2sbAQP0ySNkZG7G2PEeIABnRqABdg5COUv0cIoCOMAAAOoUNGTYAA&#10;1B3J5VVlxWbbblgABGA9Uo+DaFQHYplwZu7uJfpsUcCYCDFC+HInIb48l7qjUkmxyEYdHkdoVlez&#10;1Q00yDWjZ1L4OR1DMgSPNR6X0HLuv/JZdT0cB4t1aSRuRtRgjLGqAAQ4lihjWG7E7Vz8zLAZAqrY&#10;QYcQtAACYEIGuvNkrvkibUdQy2/DfFcNg2Q6X/7KXgRIigHAiAgAACIKb6gBgFS/XPHNkWd49gzN&#10;5Ko1RWiqn9oeR9Ez+D7AEa4cgDDpjmqJt4eMwgLj3HS2S2C8I2TJIKZYy0DyGlq4JwvhJBaoGf4c&#10;zIAA8LygAGMOjgRBAhAcMNdhL9JWJD2AKYobQDwStVJACodw1y9SJYCPeKxi27geCAEDVVVtr88I&#10;Urs2IuRhtfESJoV0PRycc569UCoEowhzDIFAAAYApBD6V1ZCCoR9DxNiOEXGEhyzBU043q6RN7I6&#10;BYBUAAKQxsHOUYrcpKIJ7nsnj4fw9EpjLFMT8aAqhUZgAGa4AcfD9tLHzyYAA9wDFHAWPle4Bh+Z&#10;W7ISKKptRsDvVZxUAAL1KgARzwtkRxjkD1APGE4xrgGInMmpxgEnSBUAVEEYI07wvvuAaBZHvkul&#10;F/NELEXgypZCeFgAAcw6S6+5YkBCm4AAyhXCKAAOYY+o/H+mvJu53CvDcFXPUdgznj2Aqh9RECa2&#10;TAaKOCgMTVAIgqOX3BJE2YK48m4TYeI7idjGFjKQdQzyxAWuQiU0ta9+ESIjIZ8PI44QMZYBEq5H&#10;tTk9aABwcw85YoIPUbAWMEV7ICsEQERmAr6AJskO8PIYAKsLZasJEKAgsO0PAoKB4v8YkVoFUEkD&#10;swgHYF+CyDYQh98YsNcpkNwKhPUPIN8nmDciQR4SACAFARwB9AsaZVluZNp/FZQTYXQTsMoMgMgb&#10;yB0DCFqEOFxhNXZD0N9V8NUNZPUDwD4D4YcBsdMcd5+F1YIOsvYAAKMK8L4AAJYKULc4wPZ5GG4j&#10;QUoa4wUwcJoIQGobYAKG2H17kPsPYuUMNE4OALQiwPgOwgOIkhFuIl8BUDgdMCoGNNNdhViE5/Az&#10;x3UTo0EMxqFdYcszuJaK1LuF8N2LErcNENEAADyLc20BczGK5WcvQesOwnkJoKcgcJwKoLoppReL&#10;wiIa0a4DwDNh0J8IkG8AAwOMp1YjMPcO0gMOILZ18MEOISwPceqNYfwzMA4CUpYCsGQwcycylNaK&#10;JjuKQlGKYTyKgACKqPGOSPo+SLCLKLSLWLcc+LqLuPtLqF8OMOcpkgkgs+AnWF+QUg9Kwl8DMCxA&#10;gJkIQGsYcBUpKRBq4m6AWEEAAN4LBlA2I/km5+CR0SQdYAoBcz0CMFYCo20DeGsZVLuPBuh/IP6P&#10;SKiKldaPmSqUEwCP0N2LOQCLiQOUJJqF8NsOAd0IsJxWILML17+Uof5K0cgCwCURhW0GYqICFjeV&#10;ZgQ/YYF92SJtI4wOQveBCWISIAUR8AABwEVLECEE1ypNSTd3F++PFukTeTyPaPiKyW2YMiSUSUaL&#10;aUiLqYQ/KF8NMNqOAIQJUKlRgMprRHsQKL6YsQ8ZQcgCUCAmkIo+0AADYC5yqZpWdL4eoOMLxMIO&#10;GJEpoPUuJwSacQsjgcgBUDImkj81B26Xl+5ZCE+PKX5N6YCT+YKbSch4QvSLGUWP+YiQKYqckyNF&#10;MSkNSUUH0I93sNYjCdISJ+MAAB8BocsIIHEFsACIGd1KmF9DcaIOALFlAOUMAOEdQ3eekQ1C0A8C&#10;MpICUFokEBECl+xKqTh3SPOcST6KsTGfagoSGYac6QGLmQSgsv+dQMpgoAAHwI40MN4o+hIQxxAB&#10;sBcrYHsGsFcAAE1seh0/QdkZ8PMOFlwN6WgOwNA8eikQtC0ApcoAACEFBh0BkD1S5LqgOFCKWgaP&#10;ecagmjWkkQSg2LSc+hCkou+F8NoOA34KEK2HUN8OOjSlAQZC1/1GEF0FEEIS8CxAylw9QboZ8/0V&#10;5apE4PIN55imcQcAccAYcDpS4y97igKXqcCKOX0TaX+geUCnKh2kyUedChGoQjUY0eoO4PAV6oyo&#10;qAgQJuMl8BIBAymNWpJiBYFIkY4P0W2psQQp4ZYARRwWcayb4zen2XyTqoGkaggk6qKgqoak6Umr&#10;OrirmrqrsjWkKcKoCkWYGkiryaerWg+resSsmsqsuswQyr6n+TusGkerKs2W2saYmomtWtqtutyo&#10;Ss+q6tKrGt2UqteoiuOueuiumd2t+FGtGKeoKceuqOSuWk+vKvaveviPquykSu+rCoOvmK2vSsiw&#10;CwSwWwZ8evugWv2sKtSweG6wKdGw6xKxOxRgWwmcOwutOxWFyxCtmxux+yCyE+SxesCxmuKyKAKx&#10;2yiyuyyy0v+ySu6PWvCsOy51eyqzWzizmzozWnxjqTmu0Ou0EAEMa0SNRe0C60izt1aF8OG00ACG&#10;RPUDW1JP4BV2m0q1e1i1kQoZEZINW15mB68Dm2IXqB0lG0EOsAEL62oYs6UYcBhVe1psoqsqwOm3&#10;VmkB1S5csU+3G3y32zobQbWKZAk5koOGe2QUclG1wAFcUnJHEgNQAVq35skekepeUbE28YpK1uS5&#10;K5y52xsTcgxnxGBGEBq6V51RMlGAi6CF+d+55i2F+F+IeIi667S7WwW6xC25pxETd+OA27a7+8C8&#10;G8JJolG728O8e8i8m8ow8QEQAP4ABAABAAAAAAAAAAABBAABAAAAQwEAAAEBBAABAAAAeAEAAAIB&#10;AwAEAAAAWOkAAAMBAwABAAAABQAAAAYBAwABAAAAAgAAABEBBAABAAAACAAAABUBAwABAAAABAAA&#10;ABYBBAABAAAAeAEAABcBBAABAAAAiugAABoBBQABAAAAYOkAABsBBQABAAAAaOkAABwBAwABAAAA&#10;AQAAACgBAwABAAAAAgAAAD0BAwABAAAAAgAAAFIBAwABAAAAAgAAAAAAAAAIAAgACAAIAAB3AQDo&#10;AwAAAHcBAOgDAABQSwMECgAAAAAAAAAhADArE9na5gAA2uYAABUAAABkcnMvbWVkaWEvaW1hZ2Uy&#10;LnRpZmZJSSoA/OUAAIA/4E/wBBYNB4RCYVC4ZDYdD4hEYlE4pFYtF4xGY1G45HY9H5BIZFI5JJZN&#10;J5RKZVK5ZLZdL5hMZlM5pNZtN4bA50AH5PQA/qAAAHQ5xRaNR6RSZHAwA/adQqIAalSqpVatV6xW&#10;a1W65Xa9X7BR6A/gBTAPZ4ZOnzawA3rcAHbcQAD7pYbtd7xW33ewA779c7rZwPecJhcNh8RicVi8&#10;Zja3YwBa3zZYEABnlwABM1CJ07s8AFZoQA0dIABPp8dqdVq4U9NcAGtsQAItoAApt9Zud1u95vd9&#10;v+BwYPTn7cLk+uQAD9ywADOdnIG8+kAGN1QBe32ACZ2+F3e9R3T4QAsvIACD5wAJPV3/Z7fd7/h8&#10;flwewAGx9+p1jB+wBguggTpHm/JjOuvjtiY+cEwUjTwnS8byvOIL0vXBcKwtC8MQzDUNoe+r7mxA&#10;YAP2MD+rQg6dQDEL6wPDkWwXBsHlk8z0PUEkXRvHEcx1HceK1Dz8OrAkRxKwcTui6cgwK7MWR7Jr&#10;exg8kZQjCcbSdK0ryxLMtS2gsfxBJMhv9I0ASQ60Vu5Lk0sLKEIRpCk1ThOM5TnOjHS9EMwxMg0U&#10;TLAkzwROtAqvNkpTdKtBJEyDkH0yiCIWAVIAAA1JgAqQAqQpien5RtJUpRDVskAB0VGAAJVMAAG1&#10;S4LiAAeVXAAetYgADNaABSABSVSqpgLXlPydO8wP5MU9yPAUkz/X1kqLQkZwlGtlI2pjPHdEJ7Ws&#10;hgIWyAAdW5VFVKPax7Ps/FFsszFeALaCTU1VtX3RbwGpAphuXoABFXuAAr30AAiX64MUlxgIAGVg&#10;gAD1g7Ms2aeFgABeHAAFeI4SAlMMqfGLgA1x6AACOO4ndSa2A/VhT0gs+WNM0DTRkGWJbZkp2flq&#10;K1YZGagALOcYbh4E55XVL2eRGggAEOiJwph1aQABQ6WAB4acAA8aiAAHapmSQnXrAAFnrYAA1rwA&#10;CNsNbUjaLKmrs4ADltQADTtoACjuDgnjuYAFTuwAF/vIAEjvlYVkTHAVnWo0cIAAEcOpFy7OaoAF&#10;5x0RP4CvJasmGRSFkki2JMmUT9lVAcp0CR5fQ3Qojdkkjr1N7XwFvWoQoYBua56maceGx1wg6/Hf&#10;IjbNxSYDb8evg96CmPshWPheQAFsggAB2efXIPelXPa8NxFXHlj4Me2n6g+ruZ458AAFfJ4mPvr8&#10;Hb056r/ckCveVZ7FOIP6vfgB7YMMitmkHUAF3m3eK4cBBCFWIpLiO18SqV4wAIQqF3TsgGNNaefW&#10;BT5j6jNgwAASEGwAAjg8AAMcIXzNUAcABcIAGsDrKaU9d77nrQDcW2ltbbQ0tvbiQtdj326ELP8x&#10;0CIAGLj4e6WQpioQJxHf8r1abGTXqWXg+aJxB1QwHiAxg+owIsAAiwMAAAk4vQQAAOeMSnXgNeA0&#10;+Jcrzx2AAHvG2JK6YGPkAVCs4r8l2P2io7AAELoBHGgQLGQDSmmCDkIlQAAFpEKcjU/oyccgAAXk&#10;g+J0qHS+IfTw5g/4/0UrHc9JOTxHXRrOTfJ8hTpzrBzlQABoIiAAOtBa+pngCXxvlf4AAVct4qxC&#10;fsMmXjHGPBSmAAAG8wwADQmMAAXUyQABnmY11r76RfTRAAN+agAJgBSAAMObUfgAOEDQAAcE4QAC&#10;knI4IDIABszpAABudjbG3DingAAWs8wADSnsx8Ds+YbBRAAC+f0KGsy3FWrmPQzKDKlVPNcAAPKG&#10;LteyLeiAAJamaYpLwZMTwt0ZAAOajgAGAi4lnHMKFI1mqcHHScAAuaVIhVuAAFVLwAUZC3IeRI2q&#10;bAAE5TkAALqeGjNLEsFFQQABfqJHQAAj6kNaa4XQB8wpiBNqhU4G8Wos0qFy8OEgAKoBNAAECrwA&#10;Bu1hhkHKd0NW4T8IOfUtw3jQGiNiNYAC5YggABZXWfdPho0bo7RShwAAq1/jejFcaIF3gpsMAALt&#10;iZzS5AAMuxwABYWRec9CF1fJqDfAAJazVRhUWdj25NfQV5GAAGdaWeU9KTjjeWtoItrV+L+PrPMW&#10;oABt21AABy3AABiW7jIdo7lDAeWktMI24leAAA4uQxBiUIQx0AhVZ0VFk411BBRWW1bzZSELcs5B&#10;Eiw2TLFRVJ27N4yKShkNeQgAAgUCfkFADGhAAMULABEhwADMRAAJigAGkXABBjQAcMdACAkAAY8j&#10;AA4kwAEMpADTlgAfEvACZmQAdM1AB+nAAN87ABDnwAa9BACLogAG1HABOpQATtNADmqAAR9TlctN&#10;1XAD/rQAI9dAAssAAF1jACUswAbVpAA+tgAftvADRuUDgSTuwAfd5AB/vgAZV/AA5wQAD+FqrTvF&#10;6pqdAD+xwASORAC5ylfsIYzAAYubADrzwAE+hAAw0mHAD31AAU2rxL7ACe2AAYWzo1I1D3tFqF+7&#10;AB031xuZb4QADfFABA5Gn1LM5gAKnPABX6QAVHVACn7AAC3bABG721GwAAvjACO83E4wI9QAc/tj&#10;ke8yOugAOX1ABp/AAKP7+bs/yYpmWkBAAJcCgAccEAAX8FgA4QtgAJkIte2JdQqAAdQwAAeQ2sSy&#10;NmYTTBFEQAHhEqgKEJUUgANEWAAbcXgAPsZAAAMagAGUcKeqMKl0AAVx+pinHpIYAERIwAA5JLet&#10;+a0mgAQ0oAABspgADsrJomxvS1GMZhRLwAEhMLruyGsygAFU0PecIAG7NoAEVOAAAJOYAE1OwAGB&#10;PL9P5NAVAAGdAAAUFBgBJprPAAAB0VCEJBjRz50hSNJUnSlK0tS9MUzTVN05TrWgAbFQoOhIwVKA&#10;AD1Q+atK0edW1GY1PwiJlPVpWtbVvXFc11XdeV7X1f10mp0gAWVioyjYSWTYFl2ZZtnUggp+VfBr&#10;hhTawAAhbIAAXbiuK86QrzVIsjnzcoAEHdAAAndYAFvdwAEbeIAEvegAAfe6hqKCl9gAON/AAYOA&#10;zrO84EVdV2XoS8dHMqSqJYxEZD67rvjbir54CYN53qOGOAAHuPgBaOAYESuSoUhgW5SABD5YxrHk&#10;FmAAAjmYAQEWjIMkTedAACWerKs5uaDhpHgA9QEOo6xRaVN840cGIAFrqIAExqgAElq4AH1rQAD5&#10;roAZSFqLIwl58AAZezgAcW1AAS22gBLRvAAq43J0ngsbvLFhzCSAAXKfOmYMzx1yfKNrBTuo3gAA&#10;XFxJE2HgAePIuU3G4AAWHLgBmBBAADXOvo+z8DTPYovnBBx3yRYAMwDAADr1zgGiABE9nFcWz7cZ&#10;EAAb/d4GTQAAv4FP8qcHiABVp58aeEFQZmYIr2vq/mVILGDz6uxBpvIAZ0TYAGr7wAZKSoASGenc&#10;SRJQ1fSABX/YABSfeAAq/kAF9go9j3R4nqfwdn5KAAcwZgAC7CTMIYYZ0B1+r/DxAtiYRgAC7gg/&#10;1jTCkRAiAAOWDDOBIt9XMFyDzv3grrAmttbqz4TQnhQrUvJrlQjYWmqUMCp1Ul0VWP94604VqMVn&#10;CmHkPYfQ/iBEGISwliLGI0EEACyQSRCiZE1XzIiEKwDvFNtjbmnKTVWuIqbRDtgWAA9UPLISDGbG&#10;K7J2jLBDgAgq0gVAABbRvAAHuOTyxfmmNgJ4AA749QTYW0MAA1JAOAAAGOQgAEUhKfGkQWMiwACq&#10;kdHxzoGislbLSNqQSGweMeZAZGDZxQNgADtKGMS0mMLwXkUR1IFZVPaZ21ofS510tkAAL6WgABPy&#10;3as1hnoEmRsZk4AAQkwQAD1mIAAMsxy3FwW4As+acwCAAN2C8j5ISOprJwH58yZQagAHVN1CceG1&#10;DifMO2cjhBDAAcM4g+clY+DNncAAe08XJuKcYvERqVUrn1Dkfc/J+3SF0Kgww+LyZ+OiUM+t9sYH&#10;zgcj9DmLZ80SvKFdRMAFExXQXgyyJvwAAhUda415/JlBcnlPPJ5yDkhU0pjpAIu75HzJJoZMcMr0&#10;5ciSO0dxRQAz5rZAg/F+YUqgSse4OSoj4GTTORONd1rr5CBjAAEmqED4Ilmf8wmNSI5ZEjGO1Nqo&#10;CqvAAiu3cLAAJVAVRojaJ1aa1KbhzC2F6plUAHVUquG8UVYoSrXXmvVe6+V9U7ERYosljxIiVX6w&#10;1e4oEJimHeoz4orqWmrH6LsX3rMijJGYRLK2WljBc7CQSPwVpsTcWwHwAAw2nm5N6q1AY/SAGpIK&#10;pshkVTEHqu1d8txPzTEAjdHMORkW/iqJY6J0zSAwTAmKk0oQ7Sjl7Kae8qKySre21lra6BBkuJhL&#10;QX0tpcNXptLu5sv5giEU+SC3YWb0ENIfTm6kr4ckRAyACdwzSbk5SM7mbVqR1TfbS2u+4AB3YBnM&#10;AAEeBQABzwRPNy4sFBKEN8HSaBvIAUkPlYufAHXPz7dC6M+Z7Rzwaag1KrwCkpJUIcEQAD6Q1TDm&#10;LQ+hxVC6NBG5gfBMa8LDoxwAAUOO4ON/jkHuqQuwACsyJLC69nDOmftxZ6qkiXy3/pg7UNAABV5V&#10;yDHGOaVsMFvH7PCeVPJk5dJkJkAFRByWNTknQoNSnXB1kHIWqASQAC8zpSyAkvzQgnuY5EeOPQAD&#10;E0BjrHgUNCZvqdeyw+iYhVtVFXaGEMq5Q0roq6u0OVZaK0xpnTWm1e2AiMshZWnNRQmZFVpuRWCd&#10;uJBNqs+cywAAl1hfqyR3KFWWM47OzMaKwKPxwOi47fBh7BIgRK606FrxEtWVGh9rrYSFkOp8uTsd&#10;cOcc8E/a17QAC4209m8dZwAx+uTKJkUpZ7OoujWa6crsjXYbLdq7lubvM8Z9KWX6UJzpTAbhTbFQ&#10;ApAAAZv+PMe7aAACbwUAA0OEX1mxf+/M3b9x3v7OK/9LqBn+HZlJg8I2zjLTGKcAAXeQMyZonkYB&#10;kzK7Fy1hmguHIsptG7ljIC9wH7Uklvi3gMmvsq3U3tT9D8YtCx+AAEHQ4dNvS2dWNphQPzAmFmuQ&#10;UV8T5lqK0oUW/uANUExk6l6Sl/BxJESTcsR0NIc4HmYAAN+0P0X5mPqWZ3w5pmf07NuhkCIGrttO&#10;fxJST8yyv0MEDxlXCz8E9cAAZvDdw1H4lX+jIXaOrhDMgcNa6kJ0tXjxXl/MeZr9p6wXYrC+a9Ar&#10;bLgABpel1O3Scg7T5o12/qsEwABGexaKevqm8peUyzCAAZ/uwACc99Anr06Tb5X2mV0I9S83EUAS&#10;AD1MbNZQLDwi5GBiwABT+sWstpdJ4j2lnLX3wnPpDbPEeRsHdAf/n7aAD2tk7Y+j43g0UCS8IXgy&#10;qKtT7c8/DJ/1QgV4AA9P/l7F8P3hRwCOVO/AAIDhnLgn/jmnFgBMLsUn1AiwJqks7OVCwAWMAMBB&#10;WwOH7sPp9D5mbMQK4uML8u3oIMhQSMCgRoSJmLTgwnVDMtpqxL1MUIspwt1s6BeAAMRpJh/weKvi&#10;FgxLZJEQOBWrmPoD5obmohaquOsvmrJtYASuaOVDHB/P+KaM+OhOiJotsMLPtvevfngALpjJkIbp&#10;HBVH3H4OLPZmjiTAcP5FsFtKUhUnsmIlElFnKroPrApqOKPQcMmwUEzk0sEA5shsiwRADRFOzu0w&#10;QQpPQxIFPPGK3oYwSNJFWNKPKC9NLxIxOxPRPtOibLArBoktQxQRTlIIspZLIqNlJGjICulwHAAQ&#10;2KkKyj5uBuHNhr4vlGXQrqXIMByuRHnQxtvLmQ2GRJIt2NZLwAHRmlJt1RcsAh3Q8KdLwRiRZN1H&#10;BPxgCtzj5qXRtRkqkPmosnVxeutRpD0JPr2OBw2L4Q2xjD/oiPWQgMSOlPEPhsPQqReGRR0L3iJR&#10;5wwOzPRx3O+KIqMRgr2LwPRxmgHRto+n6gASGFPv3w7vjDLQMuBtTRgLNI0xeQrR0q5wfpZSNvht&#10;XMwPhx3R5yRoMpZObO+Ibx3SPxcjxxuLJi6SVxguBxapVxbPRvmocqTR5qNx8xmRnPRx0NeiJiKu&#10;UxfoMr2IRQYnWRUSplIxJvHRKvICBPJRMlYPKodyqSwSwyqPORSPPyxSzy0S0y1NRyPnvBqnMmYt&#10;/gGQ5KeocyDEvAUAAGOA4OrS5y1y/zAROyrFSPHtIvItJnkNKxNvLTAzGzHK8yyPPRTTHzKTKzLT&#10;LlPKNtogAPBBZuAh3x3ortnnmzMTSzTK1zBlYNHxLTDxMTExNDXROTTzZzaFbzItQIlzazdTdzeT&#10;ezfTfzgRJC9K3SrtISQobSuK7yvzgzmTazbrCTJzmzpTpzqTqzrTrtNzUgATVyswfTkTXyuzFzlz&#10;sTyS0znxSzczyz1T1z2T2z3T3lJTtTuTDStTEIcTxT4T8xIzzyzT9T/T/0AUA0BSxT5TCzjvJzwz&#10;YzGUB0GLDT+To0G0I0JUJ0KUKoeUCysT6TvB5UOKVyDOo0LUQohRtKRAAAd0TiUCVURUV0WUW0XU&#10;XIcuXLPMVR3xLh/x0Q0ODuEwMUX0elm0OB5PdPeM8yo0fUjUj0kUkzqvRykqXNdS5TjwtEFo60gQ&#10;a0lUrla0SDKkMAdKroLUsUwUw0xUxyxGREXvxOEBoQIsVxeUbUETlUyU4lJUHz005U7U708U8q80&#10;MTjU3TkyvU9U5U6VA1CVC1DVDleU+TWT6zXT70FTx1EUkVB1I1KVK1LVK1FTuytzwU4VL0j1J1PV&#10;Q1RVR0sVM0NVN1HOi1RocwtSJSaRlOBrwRZTsVQVSVbVb1cUK1TUD0/z8K8xoJvUoMwRLp5oiLJt&#10;XTHnTOOsOR7U0s/tAkWMp1XxtIcsotETnRRNPzoU6lLmRJZFJL2RXx5yPobyDR3RFADK/IswwR0R&#10;y1Xq811p5R0R3KkFdosqNFzC6R510SHITvRobwwSUq0TBC9R0QSVhzaost1C6VFosCtmRC6KkIco&#10;s2Gq8vRocwSR5tR1vCYVwFF1xEbVyFXVzCJV+K+14vuV2jM13q1osuByDRy16yqzhtGzCUM1eVOV&#10;AInQbm1m2rhDBAcikilxZPRzNqHv8L8zAIsvdhngAA12nrME/lAn2P+rpsFrmOkRZj/xCyIxnTdV&#10;alJvRyNv9Bky6J6QHqkAPW1AAW1APFPrfhkPurt1owqK+oc2mAAQ6Q4x3U9i9L5sqMrP/g9OM1Ei&#10;9HKvShpWzC6SJMkU2lmKXBe3IvSPTQk2WPNIsx8jsOPI1u8tE2XJix0SP1+LwRXlbwwS3RzO0Abl&#10;LpZMZQfT0FCknN1XVWzq0yZJvJ2L83HNMWxIM2yWzRZW02122lPtTN3UaW+K+IcwEpGpHu5xy1fm&#10;t2/wjLKIwyoT42aPG2bU+zWzv1UzZImIsnKtpjkAgAAQaRZGRMJrzKPg+UTUUKNmRVXuBx5wewSG&#10;RPhxX1XvRvhqkRX2FGtt1NXSVCYPhi6RXwe2lveWng12olAAZwsLppFhYgAV+NmQwUuRqJ5qkGRN&#10;1VXtXVZiBvRqXWICBx51X0oWNIm2wFJJZOSI/OQAu4KxF0ZPhgtYbsCMDLWHKiLnsNXPhqNwSNXS&#10;P4gFzYhISiBmROBmRKkSJIc3fsli+A/3CV+V+IsqNvRxXqNpZRZUoKkIsocqXPRnHwCBR2oybFdU&#10;qqLAAYJrhlwxtP3v8YexzQwKNqkUoL2YrlzQwPh4X2/tdC6PRxeY9G/x53/itpZPhxZNXX9i4Ib3&#10;RRF4B2QjH46lzRtXNAAPXFqEHq+vRoiHolQFRPRweorriwAuZ4VFMQ2WsmRS9lLxtH3hSPcwhXAP&#10;7KXZXVromN1XfvqGCqbovNNJZN3N4oPAuYZ10nK4bYcI1yNnKijjwwewwN1YjpmYiDU4glU1kYki&#10;DYxC4YmxnLfLgFBv432LwYqxF5CPc4tFzYuHGYvE6YwC9Zusu3EAABS572oxbXsIWWazVUDU/Wc1&#10;fIm3xEt3yDk30HGX1Dm32Gu33EcOcTN1lSoTNr2MkL80qrL5TLCo9TQYXrJ0Tgds/OnVlCfAhp55&#10;QXUL2QVjjjkyJW8YGYHWpn24JJGVX3mSDM4zP1nhiR6QNRpuzLJ3yxYLmHdhv25KCSPr2LCtL2TY&#10;V1svOzcXWCYNAaeWs5fTSRcvax8w7wtZ6uxPhsJvhxy5TOB2/wwRiaH3anKq3N1L2YMyoP3sl2uQ&#10;cRkwuwwHHob0eZ6x0KkJ00iN1XUBs7Bae6OAANghhpBY0Fc0qwRW8HNMknBvYhGEfEgAybLHs6zJ&#10;5VXwuwD6yp3ykr2QcSN7H6i6fOxpMzNC5qkY57C3mbCxXp03iVlW/x50oL8yoIiXf2OGy2/45n+V&#10;4Ctyk0crI5XSIZ6va2gMOOB1XzSJZQtO+QwSPxbIc7CuBqXUSi6ZXUqmRRbJZRtC6MwSJGRbCobr&#10;2SIYhjHqXQ2R50zjVDWZfbFNFJZEP5a2o6sJvMdhQns6GqTs+6vCNvhv3pZaxjSuB6wjUxyorxZU&#10;ZbBBstsL2aQPbC/DAZxsaRDLIsoska7iWqXLQLPbC6+lr6/mttmJ2Qex0LL5fZ9WZ5+XtZ/Wb6AX&#10;v0Fog6CG46DXzaEQH6FIA6GGvS8QwvwY23iWAJ5NXMHxdAABC8lX36QrYqDtUxBk/LoKXb87+01q&#10;Vv6rmPRwSQaQ+I/pA6YNp4H4Imd42t1O2HiBwIJHKwk0qzSOBwwSLKFIiWfDZDaReSk0qgvc9v/Q&#10;AXdoh6nyy0IFIpZaqPnZfLwZw247JMBxtcqw7tmUS8vSPso3XI3hbDnDoPRo1vhjVhTNjHDxk2/o&#10;crY72sl0aF3Bb3awkyNrpswLC7Dn9aTLWb2gz9bAAUqvanb0oUSqNqH74lb0qxRrLu5w2dPJNAe9&#10;ZY2JGJ2aS8vrXwtdbAzujG4sluxQwQmSQQ79UgAcGkuGJQtcKxXrYwdKVtrAnj5wwZNMiBWZT0vb&#10;DNhHbkCglmakB5QNCAocJnpXIheztlTZiq9KNtTPqMLcPR5uBn80crlQGIAi6N+DTW8dz99NsYbg&#10;tHdHeY2ob1+Pmx3dpM5s6yDQaXmUSyJY58IuzdLtZL2L8vzgfp59+QEIESoIs3UdGdgLD75jacst&#10;p9Ei9NTKBt7Hsvaw7nHxBeHvRuU72ttBcPqvryPo1wwdjp0x3XmGRZaJ2cK0ads1+eFyNk7HfSoC&#10;UgQ6d0rSN9a9bwtcqvytXduGRKH8VlIVd8YzFVHq08a2o+WgAL0As3a8drdX2gAcfu2H832bkp2X&#10;2RHwQevgAc0pBXf8jo1+gyPt4u83iclBC8ogAd8dcUO2rrWO3rI8wnacx2qKhdl4KcziZ/Gsm0ZM&#10;LTSYpRhQFpS9j7S5fAv/b6WXzY2wRKHqTTIdAzJVuYW6ptA6rE4yFC4VnbH3BJ58qwk3f24OV3iI&#10;swRdDUaXiC6dsq7ZfQe9vNi26C6Mlwk9vTO+/oicKtL+YMo6cyN4y2hAnbTVnfLxzds9s+bDuFd0&#10;q3qZMAkCAEgkAB1wUAAmEAAzQsAPOHABFxEAEKKAAaRcANmNABVx0AGeQABkyOGw87SeSvMAKKWA&#10;BxS8AHuZABbzWMxs+zkAPGeABQT8AAehAApUUAJWkAAW0sAFqnAABVEAPmqABi1cAJutAA610AAa&#10;wABiWMANizAA0WkAJK2AAjW8AE65ABt3UAJC8AAd3sAFy/ADAYHBYPCYXDYfEYCHSpYY0ALbIT6g&#10;UID4N/ZcANHNACcn0AHzQAB7aMAKHTAAh6nM5uli0AErYABTbMAPfbWi1R1VgBtb0ASc7ABpcMAI&#10;njAAickAGTmABU88AOzpAAw9UAJzsAALdsAFXvQSDBTxABZ+UAN/0AA0+u6XZR+/cGidz3nqkAG/&#10;8AAC/sAJT/AAdsAgASMCO07jEwRBMFQWwJ8QcABhQijiPOMRIAAlDAAH7DYAGdDwAEHELPtCesSp&#10;Wlo8xSABjxYABlRej6Qg/GYAH/GzyPMY0dAANUegAD0gRrG5ayIABkSO4rjoQBKbmyABBSgAA1yn&#10;DUOJ+UAARSPKyrOWkvAAP8wgAdEyMlLC5CcABdzXH8goEgZyziAD3lGAAnzu6LpuGaQAEJP0qn6A&#10;EiFqmibEZQ4AArRTDn3RsuGwAEdGMAAwUqoKhsFG0bMXSMd0afYACZUUGVJUrAU0ABvVUABDVavS&#10;+UqMCoKkflagAZdcTBMRAV4AATV+ABO2EABq2LYNhv2As8nY67smpZ7+v+XVpzm+Ewj/W9cxYY4A&#10;MufwACDcIAAfclqzrQ5GAAc11x5H0lgABl4yEf4AU+AARXwABG32AE4nLKUqQqAAZ4IABX4OrKtl&#10;jhYAH1hwAEziIAHBilokpVNVkPjQACBjoADFkDRNJhZYtk2mIkyABz5WiCJCpl6lKYYOZqsrBFZu&#10;AAM51U2eVKdOfgAWWhXBcQSaNBMHHwsSyFRpoAZuRULwzWp+WyZYAERrIAV4QD5ni0rTkLsQAHps&#10;oAE9tGVZY5IiImirRnsABP7nfs5NSIYABlvQAGHvqXJhVpDAAAPCAAbnDyfKIo8WADxApuW6a4qa&#10;quwTmOY9DdA227rvz8QlLsqE/RABqgAAH04AB/1QAGn1rwHWABA9letHc3K8kws7YLZ6wx5d9oOh&#10;76YeP5CX/jTHMqujqAGfnSAA5ehX1gA56mG4eygACT7QAS8WgAAx8EYjOlNBSLXGry1QpbyazidJ&#10;5r/b+xUQmABdAAZeKjkOUwUSnqx5kWNCHAAm8r5YV7AagQ6l1ZERFgADLA9V4OwADjgoscTr0gTA&#10;AC3Bt3kHUEPvAAK2EQABfQlbO2ksABjLGYdaNNxIgkRh8ZyzsS0NX1AABfDlPqfwCQ9AAKSIBtTb&#10;wbC2xZvLewrRJdfCcTwAIegEeIGI5x0DpLMJA+M3RvDfBFi5EcGUQh7stgaBuMgAAeRnWWhBCUXA&#10;igAHVG9wziHPKAaWMRE4on6qId1B6PjPGkxqGEhM3bAkMASdIrZF4yncOxdmO+R0dwANiEK+RtET&#10;WVjnLcXBcIQWRNxWFBeS7+m2t6i+zMYIABySpki2NwgAY4jckYIF+7MAIy1TNLGMEFnLhAdoqAkY&#10;yQARJCtLgBUxYMSHarE+BQPzVjRAAO6aCulsMOH0itFpLI8MCUUBVRijizKQUkpRSz2FMqaU5OFe&#10;z84+zrVQxQcEO3PozA+AAOk9QATFAVJ1NSbECCRQGgVnQGVmuWM1M5lAAAG0JeY0Cg8qRyAAEnRE&#10;ACzxqR5XTKR5A6AAA2o438cTE2KpAA8AAbtJaIUSfOAAPVKzUGqBZS9WYAlumYoSA0AAPacKPYAG&#10;uRbBAZsGYQVoTYAGSPWmrQed0RlVDeaw1ptgAAu1Rn0eUWbJhTAAExVkAA8KuS4q4PAAECANPkp9&#10;PSe0KZ11pMA814AsmiScaMCRpCDyxx2aaKhp7OJagRmfNFaYuoSQmD9YOklJjTChVYq6vYAH+gAG&#10;BY8AArrJOcCrAMgVjETSmsjZMigQqZrfoLU0RBByEzfry1EL1qT9H8bmJ+F4AAF2xAAY0WAABw23&#10;XGuVxwAAdW9iMDW4AAAr3DcG4VezZR6VEYYsUaqIEROZAAL26VszHNQQM7utLvh5PcS+M+70uLbj&#10;hABAGWb+QS3njEU0p7d151Ga9D+IJVB8gADnfUAF2gACsv1FobRMSZprF2h1D610AICoPHtNFFpl&#10;3lMGpxzcQBSYKfABiOjpV1jmtOa82IS8OHtG2wmodGIiVqrTY0mr64RCtqxVpcgDzBr2GZjEo5SZ&#10;JAAAdjeqzkLXRnB5NKOmEJ9BZyEAAR2RQAA+yRgwgrsLD3FlcdUMMUz7RVSyiqUJ9ZrLcIuDQAAR&#10;8vAAEfmGsMCQcZlMHbEBYAAO5rAALzNzdV/41uhOF28DLr4kzwYaP6EZAxZYFYuaA7gAC50IACzV&#10;gw/X8kheQCGjWyNmseMCoAr7hXELeEazD/tI6TlFL11jrms2jARqMAA19TYZyhTGW6IRB2kSYwfS&#10;lDl4LyAvrW3lvi2CSAADfXkwYlStvdY22mpdTpQhg6W6Qva24Zm3N1UFppwqxdAYNTQ/5zqeUdOr&#10;PMHsqOVAA8YX4AA2bjABecEsE4Kiq3VMjDOwKDmQFtfS+zogTnnPTa0AEbHxNqkxDUS0gAAAg4E1&#10;tXo1uDXO1bPIAGHAl1QqlwYa2GQR8TAAFDi201OR/zKDjT8Lkp08YFWXWGILlMlmoxBiVST/MXqX&#10;aLTtUQu1TPMbOq/K5XvtM8CHnV7QUc9spMd04A9twerY0Kt0mwAVxrm0quuOqzB0nvMZw8sCrjFy&#10;PkljsvJfrmhjo+5N0LkWbFd1cH3SWjulsbZLsePHGnjFP2/ivF3qAcWIsa7wzz1HsqTk3Ake8YjM&#10;zBmLWoF12hqhnQLkephr8O5jqMBEuaAgA4gADdQqtfTDrRVSjMi493Zd/vAAA0PRY+7C7etgbfUA&#10;A7eKfdlwwr2fABH+kSnVJvdnErLsOWF4gMtf3/rkDwy0Ledt7LwR4NQc8rzfVJUaZNwMHk0vcEqM&#10;XyidD6QrYLEKcyEFkAHd/KbrO9ZUpwWuhwddLC2gZRCjA5/Z9WKCZKNdG829AOVIJ31C7NXIZv+/&#10;GMDYK5oly1S3w8cIUIYJeo+qyEwAAjIA2AADHAeykjSOA0ytWWU623wR68MwAAA8G9udMdQNsjCW&#10;8uiumeEv8D2ycfKUIhKF8X0X486/Kzyz2Qkmw3kDm6iny6mZq6sdUmZB6SMSQyAM6fJBGU4xSl2X&#10;uXyugsbCOyQ7KAnCgAAru7iChAWjKoo9C9HAyYwqZBqckt2pS1yzu4+e+fC7UfY5g2m+crE8k4O+&#10;SmFAqRwqqjeHUkW2aMMXs2gR22knIMC2q2uUmnSVHBiZ4XtCwX2Ea82xuAc9iQeprAdAgqe0CAAE&#10;vEq/ShyBe/cvcwmAADjE8AABXFDAoFxFI5dB+cC4666XewJEwq2q6qLAAewWSABAJB+tSC8w8yqS&#10;2NAhkBdF8huFLGC6cXsTo3QHGsScEvCiMpwB6wZBCn2wDDPFRGUwInxDi+YAA4UOYDIAA3pBTEIQ&#10;W6KaG6Q6UQQ5O9EGgxXAU7nDixa1216BjHjBS8mzcF4AA+25us0VQ8iCbH65u03BHA7DgmUSOGQb&#10;4b8mUsWwS8iN6v6r+/7CgAmo86dEW7yDTFo1Iwu7EjcjhIqNa7IvdIfHRCtAbE41k2k0aAgrU+c6&#10;2pKG6ABFu9g/2Ga0MZpAeDGvfDO+pEey2AA42AAkcHfI2lDA7JSlyC/KQiXCmhA2amVAYw0CUtst&#10;xDOU5Iq/YByhwh1CxDO92ABIire/y0VDOmU2bBG3NLBHAVKVQq+f+3jJGNhKjEetM8UL6L+2aUG8&#10;2CxL02WX8PjGhEaaVJvJqlPHqLiLnAPBI2U14BuABL0Cw5KwKHavU/InDDZJc7quaDdM1FS9A4tC&#10;qzRKAkfFCBXMi9U7grLNAs1GfCGt3LSrU5OQ8GcAAE1NoABHZFnHdJ+BhN3Hm4O2TMbL3B1H0RvH&#10;5H8Lqw+02VRE4/DE0c26amU+uTuCfDKwoI0SdIfJi+vMQ3xHcLSPlAJI1DOyWoQoVF8BdJA+o0IF&#10;ymbJJA41tI02lHdDwm8LO2inGUxD8nMIenQ2zEHNcVNBHDoABIehBIq+jLCMEyok+wFNknq6hJmt&#10;gtk31E4MFBGrZN+4mBHJ8zNLZIKvbB/NAMFGfJG99GxKe+LIw8eyo02t6B0zu5bCwnVBHCwvxB+h&#10;BNizUzZG8dKPQG+fZMW2+eOn6ky0xAIhBQgo4BsAA0QgKhVP+MTHE6OaKaPSfSrStSvSxSzS1S3S&#10;5S6/LGe/QpSMFA7B/K+QDMktC56BQ8OzhMxFBFFKC09J6U4kSsLJeXwBEzGrG+oBTT7FzGfI/Lon&#10;DKM7Y4Uj/JHRwXfSBNGvdB1BNE4peBZInJ+XfS9UtUvUxUyQVDzPrD3PuMqnKU3P22wVA21U06HQ&#10;UWGuYl1FnVPVdSqU481BqcWCi2nRuQ/STAKDNDjS9SjLBHLVfWDWFWHWJWLWNWPWRWTWVWXWZWbB&#10;jU4nBU8VlD6VPP0JVP5VLP9WcQZLYqK5bCGmVW3XEMOuhGVQXN+dLHcnVDhKfUzV9HJSpXHXlXnX&#10;pXrXtXvXxXzX1X3WLWg9pA9WoXm2tVHEDP6fpX5VCjpBGrRYRXmVQugXsMMrQ6DWDXfSmrlYbYzY&#10;1Y3Y5Y7Y9Y/ZBZCg7X9PtWnPxWrVEJUc2YcaUNg4aKi6FZFZlZnU1YsrhXjZpZzZ1Z3Z5Z7Z9Z/a&#10;AMDZJWk2nVCH+NGf8GgGekUHgHeww/Y7KAWAYr4h68eAEdQMAldaDa3a4MKXorYFsFqe8B4B6x6a&#10;M3q2Ba7bVbXbZbbbdbexJYeQ45PYorRbTXvaGUnD5ZPYFZYJcHAoqHCG6mA0ar4AeAgrGAiAopGA&#10;UAYkMLAzSdOWVbhcpYQXoQ2aqH2H0jCHYHWX+GcGbINLOBIBOp+P2SZcrcqdKhBGfNAsXdSVMVQ+&#10;dEmrQ+vVbdhdxdzHA+ogpGPL6XeBVeC1m95XxbzYBb42rc0vmHGG6mcGwGYwCAJa0lclcAKAOSYA&#10;cAgoEAgAiA6tgAZIld1fFWaRsW+HsHrKEHiHeX+HoHlDqKouSAXcUAABUBu4aAeAkoFfHa3BHI0/&#10;kj/HiBjCRbvf2MI7C6rCBING80uakkNUyuhTjTPPIpst3YZgKMIVQsa/hDjKNPldwj/I0dKmVYpI&#10;rdeVNLYz4jTg3gYrKj+sbNbWXeNb3VBPyRtc2jCG0GI3CGAEon8H4Hif8QQAEACpkcIplgviQcKH&#10;8AC6EAEH+UCSFUtfKvaXoXpiYpkAsBU3qCGDiOCAsBE3PNdBGVQMFGw2AVQVRGxQqMwMM2BgI9hj&#10;KKkVRBGQRYoMEugMNjthqvbYS2BjVVc+c02yBFRE5AJjGRvjjiKcLjRkRj3jdkXkbZRBS2BjoMDj&#10;McLYTkqMBj0d5jwMLYpBHOsLWLa31RQXfj/Uvgkiy627Y4ZOpiQMIj+c2krKzEzCco2o7crBHOOv&#10;GY2rRHZUU167ZGxk8MJYpbkUChBA2t3GYp0+8xHdvWNhlU+2oU0HyRMGsMiF+EfESAKAGpkAPaxL&#10;TisMGlcXplhY8HyAISYHcASm4AmHsecAMH6vnVeVQHwH4UCAaA1AaCQsIA0BbPOzzCKIelCdKVRK&#10;NE5EnQEV+gzXKtxAI+dKfKMj+1kexA7QFPHdkNJDZKe+dL6ME2BDZK7oyINNA+omU50BDaLS7BGl&#10;C/ks0DxplGyRomUlC5OVREezXe8j/GUmUdLhgMAlDK6+c2A2bLY5PK69muglCvwexE5IqQQuhLYl&#10;DjIMC8iXfBMduCnq4gjlflRS2Xs+8oPRRgZHc5OvxBGexg8MA+o+pmLQizSj+rQsa2BIqdKvwrRK&#10;M2AughAuhGtRCQXo2bi7C2BNAXelDCnMudkllKNmjbflCI2388upupyMNBGhA1lkeldom0c5PIaA&#10;A99ma2BJHLpHxHZgtWFmnZNhpZQH+HybNmy3iGEEiEfA4AWnyAytlBiH7iINEAIzTiWlcAeH0u3n&#10;RYyH4AEigHCAZe8GWAqi+B0HSmAA8HoofVeH0Q4HGIecad3n80ToBoEzxLZA2+9HdTjGsL8C4fYy&#10;BE8DijpQWuABrQZSJMMTSqSoiEmABPMjMjQyxTi5Os1C3OlIOeGc3E5QFvk3yi6iy2Gqe+olDG2A&#10;BgDUs5OT2iZPYxHSBd6JEJIsXLZGw+AlyjnA7DZwVI1lpH6CaiWtNma5PPHBGvrBu+ooPpEgTSAo&#10;xjeVRg29tGVNBPHG8s6vyv281maqfyFk5S3LYyw+TRbLAoxLptAdLNBB/KNlFQhGtIrG9Q9KfL7G&#10;fv4ug8mXevYt3L6s02BLOoxtShWW+ypRxI02Aj3J7l429TjJjB/qDsgMxlE5tM9q82BFmsbLxTrw&#10;QjhKvvsfZhTv5Ui4AnDL7wIqe+vWJtXpZtdtguTtkQhtrtvtzt2/KHpuA1KAjTXt6pkBmHY7wAKH&#10;8aruPXtnIHiANEYGMAvMYG4AdpWBWHe8WB6HRIMAMH8mrUzuyUDu2JVu6gHn/oCrUVQ8nERLrvW6&#10;zC4/T0Z2jBqqSt22bq4CmhvLofS8nGK9QDbI5Dqyx2dw5vyOoOs2a1Cy6y/Fa6bBM1Yu4e9hSutF&#10;m29KM3GDZU0+dN+xOkXQEvIwSnVGU3xp2AB0OYFydME5O9s9Wn+n9GwYFGtF4/spPv1DTKNFQivl&#10;rE1Irjej/BNBqxrDZVWKQEq+OiLK/5OiiABwVVflkRbQXxVQ245w5CnVpgnL/FnKQC+0G0KdvxFy&#10;dPGxrN2Bgbcs803Qh5peCBVL/KM9dDl2kfw69v3F/KMMMhBLw+9vVNKqK7Zwp4erZQdlfAJl1z2I&#10;2ftwpFaew4EBBNKYF5zG802622M04U52i9m8jl4/R6prB0nPpWjb1mpaN0u8kMjtptsAvtwZz08x&#10;JiWpkHIAWoEF+Ay7KAIH+aqCEHKkCAyHued1bXqH2AEWUG6Ab7eGAA1Gb1AnyAoHxMkCGHMeGA4H&#10;qofa1wru1u4Apu92TvEj6uhRwyKEc5c4UypGCFKjTpkDw+6u/31Bw649mpT5Y2lMvI0Dv+vwLNM9&#10;YjnI1+POBMfYpC3zIPGyoU5+VQGWpwvFQ5PCnTj4rUz36un3/3Zw5sY4Ia76bNDKEiytMIAXIEAE&#10;5BQBAi4AB1CwA9IcAF1EQAv4oAEPF4bD0/GwADo8ADTIQA2JIAEhJwASpUABnLQAmJgAHlMwAOZs&#10;ACDOQAGJ4AADPwBQaDDnoAFtRwAu6UAEzTQAAqgAHFUwAjqsABfWQANa4AErXwAYrFW67QrNZ7Ra&#10;bVa7Zan9bwA2blXrAWbsABReQAp74AHbfwAecFZ2ThZfMT3iQA0MYAF5jwAi8kAAhlQA08wAEfmw&#10;AZc9ZBqAGJo4JBkFp53PVrqwAvtcADxsQAs9oAHRtwAWt0AA9vY7H5+AbW4eIAElxwAN+UACpzQA&#10;8+gAFh08XjTr19ntXN2wAge9bfB4fF4/J5fN5be/rjc0R7QAIPheL0CvoABd9wA5f0ADb/ZSlYHw&#10;CAB1wIjKij9BDLsyv52gAA8HgAE8JAAFMKpkmh3QyAAQw4nygPPEEQrUfcSJGkpjRQAAwRXB0ILM&#10;f8YH+fKHmspBhEiR4AAuBYFAADIFgXES2nqAkemaCgYAAZILBmAAEH6fKsHcagAB4dBkKef71SFL&#10;kuy9L8wTDMSzHiAwHAAYQMh0kYHhKAB/p9Bx/SiFh3mwAAenQYwAAMfp9zHER9H6foAHG6IAAoCw&#10;ACRBINBaF0wn5SQAGdSoAEVTCLIwEtOAAdVPgAUVRAAfFSgANlUAAYtVsiyYG1eADrjqAAd1q/L9&#10;pOSEnAQBAAHtX4ACHYQACPYoAGPZAAEpZYACFZyznhaLOs+4hwgAQFsAAxI9gAFdvTfGCnqifVyA&#10;AVtzgAaV1AAQ12gBch9AAVF5gAd97AAPl80BLtfnsABe4AABb4GAD2kQqSqD7hVr2yrIXr8wC+FP&#10;W5ygAK+LgATWNIOgaFzWoiIIkihf00Q8DAAjZPt/M6QjTE071yAAl5mAAm5tet7tcXzslmAAVZ+A&#10;A46FFoDrPkBaaRgWCE3pk+AMAwAHBqSqqu5QbqwrSvkqsKxq40N9y+9L1myumtrsLIABFtTSk4AA&#10;I7fU9U0kfgAGZuzNM4N+9UKcZxyUwxCcDokFGmABJ8OAA4cVCMJsKZOUI405BABAIHgBpBaAAXPN&#10;gARvPQHApLdEAB09KAAndRmWaMqCCzxiABt9jVpFty3aciDk6jlsABcd7bTFMeXgAO2czuu/sHke&#10;TsK4LlsnREsAArelPAeh6s9B0JuxmAAQfu+57wSfDcE4KgAQASBILg+V9cvRJP6STvFE9xWMHBxf&#10;GMZqLGvdxvHMdo9R+kFMA/gAvmHIAsDS/wNA+QGAgChPlwgWHuOsAATByC6AABMfA7n2Qdg9B+EB&#10;ah+ACAIAAb4DAPkQA4EIACRAElnOEnACg+EGhHHIyQDQ9hzwhLWoJQihh5lBUSotRqj0wtiG1Elv&#10;COQkRNAADiKAAByRTZ4AAG0V20trFNFsAAG4vLvXKN6MQAA7RlAAAyNAABYxrAAKGNwAANRxAAH+&#10;OkcI5PBABFsUwAAgR9cGpxNy3gVgAQzBxTAigABEkU9R6zYnyuDFZJFdK612iGjAvFeYqGcDvXwv&#10;qHhbV+r/YCwMW4ABEynAAOyVSl1Mg8lcs1Z455ZOXaSz8FTPmgLLEoxwhLHmTkRgwyNkrJ2UsrJA&#10;SJ+BJiUBJmYAAIsz3SOmdfMJqQ4AAB6mw+dIBZx8zdVUqwUk4W4hsR8BkDIABuTpOkdQLc7WnNQa&#10;01wMRoJPnjbE81soAGzgAkBG2N49aAAADvQNcT5jRjEAAKOhSsTsDUoc39x7gRCODMw4Vw4k3EuL&#10;QkCeiDkGVOScogJzDmnOOeEbO9Uipo8HTFhQKggMqYOuXCN+mjswAA/pwAAKtOznnRFdT8AA1qhN&#10;BaHSN4jxhAz1qU+ue5c3nvRem9V6z904OxG3KyRDqAnRWixI4qJPAMVLrEWh9zLwAPyRUixB7Raq&#10;IyRojZHCOkeI+m2mBIiPRlAVBkpQCbDx+gCAGWcBI/R7gABiO1woNx1DNAAAUfyf6x2RslUpOBwh&#10;4AHcsMUC4OE2AkABAR8xaknpRBWnZPA6Rjp8H6vGpUPlCqHiGowP0cIjKAZBQeb4xQAAdt5C2gLb&#10;wIgACjcOs6Ka0ByuQ6CCgkbmAAClc8AAPrpAAGXdUACCLZtWd+tx9TABetsIUQxeE0R0q0VsSoJV&#10;HZSLdW+Wac055fR4iSNoADeg3gArLesmY8gABnv9ZMoSpR8AAGRgUAAw8EAAuQHKgtuQADAwgAAD&#10;+E2TvoAAF3DAAJZQ7FLh1mrNwYYhV8sCtAysTUZDhiNfwr8WRnjSxcK8Jqa0KFHeYHZ7z4rnFbi4&#10;BinlQLCCHIzBtVJNshgwNfJEdoEnQiCCzJywVhrVL2X24YUQAZOBZgAtESIlFNEzVAK1hgYgxwdj&#10;qfRdyPJnrRgLC+GcIDAupdaOgf3BjVzsAAS+eZxz8U7dUZdCaFsKD7SFyzuiklL0E3xv1wNFAAFl&#10;o/PaFQUlrXtJySIrJ0TqC/psAA8dPUkFzPSX1PxXYalmvkPmWtVIgbFNVeS9FihHJYS4tVAB64Hw&#10;TMCXEt5HxxgTE0JGq561lmTWh+j9ihIxrc/quD/q5wBS6P8oA5gFVhFsB0Iy9QDOWLUAJLSPh73l&#10;CEOYYaPh7Do2FundSXR9wkAAN4BwIV/gZgYPQAsAi27ePUBWGkfBz0IA+PRv1rVB2viCohRVsraK&#10;QeTWV0t5dbK7V6BfiljQCgF07p97EGQJgTABxtBjg1XgNAANHk0yldT7mYEnIoqeXamh3nOnsQY1&#10;ixUopZ7og+JXkxU4PigF3B37ABN1KIFejPjQvfzjYFOmaqbFKFkAFupYNrKgSCmTOfcVAT1uS8hE&#10;NOVAB1uF7YuIyh6MBWz5cFojwAAAPtzbm4XjkLNpINa+eSh7FF2L/brAnk6JFKKjc+6ZKwb3JDTr&#10;Od7pbFhvQ4uyak3BN5HmeDntdt7e2oESxFjK8V6YwaGmRuZg4txhvrfnN6h5XOWc43fWYPwjTsKo&#10;AD6I9UqM7kvJwp+5cJg7i/GD7qQmeEWlBbi4G33Rd7d8Y/Z5izJK4HgAPBYFSx2s5hzt1/XLbePS&#10;sxu8ngvH4zNndqweJ+w+zYiJ0U7H7tW1/NQdm1ygBXVIVdwADPAmpAYwFwbHlSfgOw5woHQdIZTt&#10;of5Qj8sA78qyrToAzkgYoDCzgaoCAFBEIA5OZbod5sgIAcyhAAgf5uiEK1yICIThKIrhkBA8ge8F&#10;I1o14VUFoAARkGAADs4AD6jUj24aIAANcHTjIeKUS77Cy/wM74cE8IkIsI0I8JEJMJUJcJkJpED8&#10;5+L9KtRFzZJ/Ct5/iuJ/6ujfA8wfoAKwKA6c4XwDQH6Brjw8jfRHQe4dgAAIwcpnYC4e4dUJ0Oh9&#10;bdrjAbreLeZ6were5EKGIAACQfKTgJIcZnYDKHROJOCDsEK2EEi2ZR0E0Oq3zW5xx4Y7idoLZDw4&#10;RsSVUNjXSMQbylAvMCbIAADkcScVMVUVcVkVsV0V8WDAEKC4p+cKatkKpGD9p/ZNELLZ7+Q8z+gZ&#10;oCpJIZYCavav60I84BSwiwwdhwoGwdaxixyyEWMaotQeDbY0UB5NhNy0BLr/oAAFodwa4hQdUAYA&#10;5KCD0Rrg62MEsa0d8eEeMeUecekese0asWbY0WymUXMK8XjZz+MLg8MbwcoBac4XADbIId4A51pL&#10;kNKCUNkNxnYDEOUe8VqEaEobyFB3gDoIhUgAcW5L0NKGaDgIQc7coDzgUdTgsEThCIkSC2si0mUm&#10;cmkmsm0m8nEnMfMKR+r9cXDZb90LEgELY8r+gZkYZuoCbMiv7vpL6wawr/45IdR7ax0D8nME8BRM&#10;rNQDBq4akCR5S0cC8chPJLAAwfy1h5EdcEcl7hcq8t0t8uEuMuUucuiD0ncWsnsKgoLZUXT98LTa&#10;A8EbyA6BIXkMiVIBEM5McNMijcQcwYSOAey8surdMO6dEPQYADL54eYArHp5MkbfoIcxwAADgep4&#10;sQBQEtUlzhUSMyc1qyZsS8aR5p5qA8hsRkDkL8b7qep168Ys0n01x9hsTv6R8384E40usu6tMvMk&#10;J8coEXZ/r+Eog8EYJJAACvKvcbx5KwbAYFxKZKodBx4AcAs46scYMpAbIB6z0BQsyAiwMzZIM9Yt&#10;M8RQgBgfbW804oUsIFAeC+gGYdsHAAYf0AxMc1MdsmESU8lBJ9ZkCioygyzSQ8rv7yrR4WQAAMlC&#10;7PhNypTiLJEcgAlD4ADEJJNBJ17NjoUGaR48jrDyrNLWZJqyLNj6jpiB9D6EtBVG6Hk5L9UvU5sv&#10;soU6MwAtMbwdQBKB4YIDDG4daBx1woUjC/AATjAtUQAAgfxukqos7bxODfkNgJAci74Bofbg9HCE&#10;MyodkxDoYAc2gtIeIApM8MZ60yotQB4fS/gIIc63UsxKIswAJcM7ZRDfsNM1ElkR0tk1lMcmzjaU&#10;KR7v516NDHruzwUFKwrzj0b6BSdSRwcUJjJjbzB2oLTwZsTjc4YqNTFTQFtU7Qi/BErT0HoszvL5&#10;bp5YFRab1RqNL3rGQb6jzsLrgNFXsU5WCR7oVWtR9HkeqstBrXRVCclRw8rh7QDGr8YhCpbLi+jS&#10;6/q/8GdQ9bR5VHUfb9kf06Ev8X566wAvwA4CQqQBgDjj7tos7dqEocoBSc4cIBoDotcDpugDQeqH&#10;YEIebgYtMsxP80gckGTftbbdQdVJYU4EYKdNE5gs1LYAALAboV7sMZiyNAsR8ttg8mT7aYTvlVRP&#10;6UIEdkg5I5buatAlpJqLwDcS54r6Sejz1XTn6CoJgJkcNVDKUTzoabzXzCTCgZtoLKDINSi+Zupu&#10;9W9GbGzj7gqYU2alLAdTB8Kzz38Wi8Fp73NhoGlrcSjOLP7u1CDLETaHjsigL6lp7iLu1miR7rDN&#10;jqRRRsT6hsVkB3oXAAEFoVQACkFnzvLudW7wTsDNlW7xDv7kLNlGpRDptShkFs5p4AFTFp9t9qAA&#10;AYNyoACp7RKftFr6jiNSlyVkFjl0NdxErYsnjZEvcKzZlH9cUgRLge4AZXoZwChh6zRq60Qfr/yx&#10;BPAdC1N0UJlhKB9hdhofMkAtdiNidisp6yVjNQsmN30ebVzRNxFaQ/RipVa3TmT7aXU5VFzm72wm&#10;ATAAAOd8dx8FRpgTY3g3zGAAFxCNwUIAChxKgL1+a9iQbxgTt/Ca6bKUJiT5iYyYSnEMqjaOaOtS&#10;ifaKdgitDmVnd/ATtXaF4MOCNSrMzwSPoIF8qwq6SBlxCENTF64AFa1ERil9lEB6TMK3lewYWFSs&#10;wNWFuDCWhzNTC7TLzBy54KV7tpScIUgAFqalFlV7wAFyRmwJt+Ch69bv59T5yrj/cS0GxhzmGEiE&#10;uGzyywIT2KxpSUqrSJ6KLyIE2GFruFB051NpV590Vbs5cfk50v0X11pIV192N2ZVQC92wtMcEqJP&#10;N3uMsJF4Avdhlh14wfENl5FiywtjFQcdljVQ2PUeLVxg17oMeSCsyeKfbRl7bY+H72ow98I2IPD2&#10;Q+t8FDIADTYL7H0OYgptriI7ypJ17Py8DBb3bXTVBk5nRk99ak1kxq7Y9DpZRZmUbHAEFXT5a+2E&#10;eGlZgKGY7wlZlDagKkeUGWVquHVrplrI2IGVVrrGlSxumYbBDcoUGbxwxxD5eFUx4qwR17jKpiBB&#10;pjQTTvVlpmYJa8D5cTJY5ZI2hnuTgAFoKxmda65BKQSf197wWV5dQaSrBqmcwCWhOajFlioyR2lU&#10;LgoDmiWRdjmM909HtcEXsgJMON5SmON2oteO13WPGikI+Pl4WP4tV49imQl5eQ8tc1d52ksWLVyQ&#10;+LazlaSdL0Kp9m1m69+XiXeS4l2TOUGfD5eUCfuXxT8OZUQUVSo/oNtphQmVuU4/g/zN9u8Fz1J1&#10;59SWxrBh+crIQLGsYAFoyp9rJxijiYuYRvbv+TObwUFkIAAJ+ug/69NW6ELiL06NSNiU4RLHmLA0&#10;Q0ibAPUFZneTOaziObDwWbbBOuGcCjD5a3DDoUoACiTwjxmflnwmwHIADRJWrG9CCo+VuFoNQAD1&#10;gbrRzSGh2B+L+Vuy7Owaug2sNyUS2KwTxKqV+H8Um1umdQ+i04svmjModIJL2jt2V2mOekN3Cw2k&#10;d3m30Imk+P14lh4oWld5Ni6sd5mmNBG6EVumpTKKGnAgenVy50ens0eiaeOtG8Vyly2puAjOj5eG&#10;hDjeQsSeepZUJUdW+qGqVry8BoQOI6rz+D4zZHNSjwTwTxm1iqViWsmsx0etGAex9p/ALtI9SUL6&#10;jMxZC1Ki+ILqevKgOvdCiUyVDC1upNGFZbYiYiryqkBkCYp9Wxubub/Dz5eD6PRdhd1yWzJjb8aK&#10;7/eWR29nAFos9ZmHq3Ge2gzvLQ3DnHSS22O2Yq+iVdbiPJ1vGKiXlpZ9W704+4FHm4V1Uf9IFcd1&#10;12Gj25OOgtGkRwuknLr8u6V4d4ulWQNiWll5WQyH9Qm7nN8V7KWW67Sfe1Apgp2d+tNZ7nfBvEmf&#10;Wg9VPHJkGX1kDlwVNSu0u/3RiYoOnTSVKVeylmtm9kgEbnr5dxGsOJT2B2B2WGmdGf4VfVwADKUI&#10;Lndozjrj1+LXDcua2hNdHELW/EbSGvzwfFGce+Nqy9bRLuap7CaFOYeD+BqmzsES3HKSvD5RXHud&#10;lnyRUj2sO0Gueus2BctkApTx3JWm3JgpHJ3aioQa3Euv4Qvd+X9nhKLjdVmgFVMHQNeKPPs4HL85&#10;nMMoPMd1mjnM+5GOXNQs/Nl3ePPfbdPOOlItO6+lvPLg2mEd3hkVe/KlgAGLqm6nLxi9fIHQ/W7M&#10;zsHKjIuKdpWXeaKfsU1BtkC9DpG8qPHVEVGTPEkVFn3mAszmpChC2JTxnFG9uAdo3T2n74L3dBru&#10;29uCzIaECUNyoYOanFbvOrES2fFTTPIS6RKRferXWDVC1DFBvZ+ugJ+UN6qdalqgYO9xKB+/PTz8&#10;e9HFDE0AeLRsVTCmCvbyvcaTrVLu2WmTOfDKV7cU2r1nb4znfJ0U3r9FPi8unfuNNH3gONngeOHN&#10;O5d3PNu5/xrYXh26mQGQXO+7KsW7fi3zf0304tDwWBBhAcSelxHs/w5rzrtBto1lg1KsJsWf9TGg&#10;lXHQ9mlTWH7vNTCZL5eAbiOTO8sVC7Wn/1Yqf1vkNkD0q5Sei8fdZsYAHUOds6zE7iNTu9vxn1Eu&#10;Xx9b/MVcPyZMG4+j+5V2/zHhX8LAHzvOfiHOuQfPG7Wl81X0v9//f/ggAAgUDgkFg0HhEJhULhkN&#10;h0PiERiUTikVi0XjEZjUbjkdj0FfchADYkgAY0nABglQAA8tgr/mD/fL0egAay2WwAYSRR4AC4LB&#10;QADILBcde4DBAAZwUF4AYoXG8JBD9fAAGLtaYAHroY8fr1fsFhsUQdQICgAU4jKYAfIDA8JCr4dg&#10;ALDdV4ABL9e9jiD6fr9ADjebzgQUCwAJB+PwADQtF18yGRyWTymVy2XzGZzWbzmdz2f0Gh0UPkL7&#10;kclk7GlMrltvgkxmU0m04nU8n1AoVEo1IpVMp1QqVUq1YrVc0fH5GRstntNrtuug9xud1u95vedv&#10;2AwWEAGGxGKxmO5Pj8nl83n9Hp9Xr9nt93viml07Yk0olRglku18xmc1m6cp2nqfqCoaio4o6kqW&#10;pqnqihCpqqq6sq2rr4Qq8zlrQtS2LcuC5Louy8L0zzssCwbCsOxLFsax8LRbF0XxhGMZRnGkaxs8&#10;b5JI+jUtW/DWpe/jZP+2sBNxArdwS30GODCDiQnG8oOUs0MudDiEOlD7qxE7C/xK7jvRS8MWSjMj&#10;Ln9M4AH1NQAANNoAAFOEyzk/Z/gA+QAzwAACz3Oc+z9P9ALHHLUPs1j9IG2D+tnADbQG3MDI3BDe&#10;wW4EHOFCLiwpQNNrJKbmw26CDSw6kQuuzkSO3E7vxU8VOVciszn8AB2Vo+YABnXAAKJSFXxkfNfg&#10;Ab1hAAv7ABVY83zijD5HlZoAAbaE2TdXsXn5awAMGwgE22AAEW9alwRwkUdPq1T7vzUIAUTITaQC&#10;28CN1A7eQU38GoPB7hwk41w34AEMU+58OunEDrRHLtUu7FDwRXfuGoMe+IAAYeJgAV+LAAQmMgAC&#10;eORomIAHtkIAHBkgAAJk4ABFlU9T5ax+AAduY3UmAAArm1sRNmJ2gAD2e5YAtiS6eGhgBZp5AADu&#10;k5NlCIV+fIAHfqKfAuC4AJompcayABp64AA7a+AAGbFWE0HFswAayXAACZtgAA5t8oZcAB67oAE8&#10;ADsOxzgAWZzrpwAViAAFcGgvA4gvfDoLPegAdxu7Tyjh3ckABecrpGlBzzOHc2zdBx3QsfUOgV1v&#10;9dtGyNeNI3nJVK3vS8nX3zlXX/DWAyvD1SYLLjtRNhNVzF2WHHV4YAFL42+gANvlZ/oLAWLx+8AH&#10;6Vk74iHA7khG76WAnoIr55ofAAA0fGAAIfMABKfSAATfZmGZFN+E0zWM/6AAYP7gAUn9AASP+6m1&#10;VbIABZwDAAL6AwABFwJAABGBhDW5DfggxVi4a4KLSAMTYaw1gACZg4AAOMHwAAlhERVxIwITQSLu&#10;IeFTG2OozY+8MdQABbwze62wJkLAJgAHxDsAA14fAAaGPAAAPoiPIHREcAA1IlAAckO4gq2wElWB&#10;iDEAAG4rPMIwPGLQABYxdAANqMAABAxjAA9IAbwY0F8c8uVHq6EgEwUUkNdyjkjrySSpRexBl8KY&#10;SfGlQLtEqrpIIqNgiW1TsHd6mBharY/KccCN2SAABJSTAAE+SwAAhyZAA4mCA325t1b2zVm7bwOR&#10;lemQhNQ+gADmlYAAc8r3kNXcuB0AAJJbRYIm88aUuwAB3l83kBgAAbzDAAGqYxbFgPwFM/KVT9Az&#10;gAhMMB/L+5JiSf+zgwkAxZgAF7N0AAjJwQLgaQh546ZzFKGcM6AsBwuTtAACOeCs1aiXnpEOIoTp&#10;8EVnMOkAAo5/PMmMGp7bIGRRaHjKaM7jQHF4W4Qxj8qYmOTY+QRNsF3zAQoGRRwMShqQehBRBr4d&#10;gABKpJNgAArqUMjZKHqlk8i5inpg0VZ1JAlAAbkNGnAAIjjoAAFmnwAAV1Bgcteg1NlrreQTOmaY&#10;pAACIqdKICsjapEejWjxc6P06GxdKoxIq8FeEZUkvRJalkmr6U1VNOUgFQMCSyqVgzvEvsKVYmOt&#10;Cfj5DPrwAATlewAB0r8AAEFgQAS7GkACZQAAMWJk2xFxYAAxWPsRYogjgVhDeeK8eiB8hdWbmLMc&#10;Ldn1dOpIk8+jgABH2nAADu1T9n8WPDEAAFtsS0UxohM6aEJxQW5AAIq3gAALW/asbKGYtynDFGLN&#10;+cMDAIkJb+NW5wABc3RABXgZ4AAm3XAAEG7VA7cigepX2v8oSGOBGzeUAAlb0AACtesrQPQetQak&#10;Mi+QABuX1eYCm/AAAcX7W6t9OlBB7AApwNEAAycDRGiRbEFoAJ8BOAAA/CDZFZQZg0IbC04rluBp&#10;Dhik9KWSDgAAHLEVxbjioxMxhjQH8VEFHJi1/j/rlAADzjN7pCGjAAGJjm+A75hTEohegSoAAr5D&#10;nsD6uuRyLVVdBG6rMcXTVdUekhSa9UmL5UzkhMtanbHRdxIVUxm1USJrk8DLCc4SwnFZmkAEKhDv&#10;If1UyWVPgsgAxaOSy4pchZECNnsgsOyqv3GCAAVOgwACN0NK6WE1QABa0ZkUjNpIlvpEpovRthAA&#10;NmHE+J8lw5mAAttAYXwABHajABBQNeHGQ4BGZquVcrZwCMw5Q5mkrBzNoa0F7XDzImgAFVr0AEnc&#10;UCElwQo+WqxmAAE3skAAe9mFCAyBnHGOm009p/rsnBOdcBeVurkgjcofDX2RsoIu45gXI1gGTdF1&#10;rsMne5RpNGFH0PqB/vMAF8hkMpZXnIAAtN+UqxBugMlhn4t0HqAAxRi7GkExuK3hk69Q17E5kwg7&#10;z4g1GZfQoAA6+NAAnoJcAAIeQAA4Bd/MvJSE5KXMoZdLpFFpEXflGO2U6xuurLlfkyNstJWy4wNL&#10;WXzNZhri79hnN0o8E1s2qLosYEQKgCIPp0OoeYKsWXvXYVOrSYk0QTPxOhhDCzuAAP/YV/PEpgKf&#10;amc79g40el20ukgABp7gQUTvcwAAv7tSZj9tpui93MAAM3f3yvncTOmdStC56vwfhHG/hoqxXih1&#10;PVuteQAhu+1HHnZYMQa0MI3iRCutzRAAKL0WotSMfE96dwCaNGBa4zxvpMUoqdWCpd+iAyvbAA9O&#10;J7YKdiRaKtUDsAAUvhEZcDvAS3x71XsgDmkVnfvALkHD9EAAX/qAA7mJ3Dgc/tckIH0abUXIvfXz&#10;7DxH6uyG07+t3SMwAA6/toR0T+BAuURtqwohINW+XR0tFWB1ceMqo+HYv4kYOcpBCBpCOeq3kvFV&#10;EwuhwBEaHEtQNBNCBCwKOLJJJKO7CmrPgtsaiBpQntHnm5BlwRsXhIr9L+LGtUu3u4sIAHvUlZCC&#10;P1iGNIKOu3HlA2p3p4tpvcwcgRmeGfLbPQM3wLprGqIAETPvu9u+rGrohcoUAAA8QogAAWQqCItd&#10;vMNgM2NhiEnEhfwvAABQwwvSBHNOqnBENEBzgAAaQ1iCmxJgggQ4PYHum5Bmw6uOJ6tsv3vmAAAu&#10;w+gAAbRAPiN3oMgAPjhLPpvqmegPKls6MXMVAPogGiORrDuttmA9wtqihYRNAAQ6hmgAQKBCokol&#10;tMIcAAAdRTnBHCCEP0NkhNrvpfA7qMwHOSv5qrnRG+qtOWo5nUKviMKwnWI8iCo9nYKzxZkLQCK2&#10;HcpDMwJEOgwGJGRjEYQ6Q7IOBMrwA6JrtehVPIxEAvr+iknAmOIcqIJIBuqoRRKOp/BRrsrtkfxF&#10;O6u7vzMPwLQqAWCGwaN4tJwbrYLZR5mMthIwBtJKpLwgoTwhtFQjKTQkpvLeBFKZGjmLC7tdshgr&#10;x+MFiIP0BPyNHmgAKWA9PuCFKIN7AABNSSgAA+yUAAOMSNBPnmA3SXnmG/pQpQpZP1muCsx/xzwW&#10;yLC6AsAsNywVG5KLiGvixCRDI2gZSkgAHwBoPdydxHgAA4SpGJGKNpsNvJyONgR1AAAJSugAQ8yR&#10;iCLqPgvhgUSzCEhyy0twxXGbKou4A0yQRoq6xauVI3xco5HTqvMpKxHWo9HXqzS5EWxkHbueK3Hd&#10;wFHfRnq6TAkLJHpIhITIKRqSgkzKN/PQvRqkPAqMSugJL2r3uNB1gASWAAAlzStOweN5gfveDTM6&#10;x4Cms9gjNeNfQVMZg8yiE0BtzcgAMTBUOzn1n2uttAS1t1AmgAPZAANjN9t+wog8RSujThMDBkrH&#10;LISxvGHEnMgcgASkgZS4r/rKxCvkJhior1grCInntvzwRDwNgAAYT2yqBhzlBaTfAKT6AAKitnto&#10;JQwvBfgASzAULgiatFIiMjKKoLQ/xAysPbBlPWzQyfSfrxk0FyRWgAJ2guNtgZsdgALuzZRtzSgl&#10;xrgAS0hyw7uPR3qaOoCqzkzchtgAAw0XN8ARKTUVo2JMghqgKhLJzcTdH+wTAhUfAAAp0gwOzGKp&#10;y6HQuVv7xdS8uYHVI7sqKyMrI+0iD3TBudq2ndJDq4QFpFzF0pkLTQJ+p/nnypA4P3pZMbntOMQ3&#10;TVyHpkGnvXpXw0hAU50AAABZU7gAUFAAOnBBo3tYiHqIOjU1rGqHk1uKnBigvzG/ujTOLvnAutwV&#10;PLAAQ9yEt4TsTJKavHiERpxPRqyOqWpbASCImP0RINoOgNVUAAAy1VsANohiMCsD1ESeLtAguxoY&#10;tpx6vIBa1duRN0ntPQTvv2g6zkNWU41euA0IFZVjT9rUrVysHnr6huAARNBYAAAT1rzSTTHtPohw&#10;ujqXLvz8MGJ8z6CzqISxhd10MOUTp4QfCCD5U9OISTyUmVUY0vMj0jPOxcMnKuOXo60muZS+xhS/&#10;ubV7D10qlRMuwETDmEJFK52CkXHEmJz4QmuwOxOMCOKivXxOtSoKqiwlPzLbUCoXGaOKyxzWtLAa&#10;2Um1m2vzCETnn8LjLjzatyiKJZNpkeOwg/vEwXCOOKqUBXGtmuq/RsHAuuuvTogAU5hASuSvEbmP&#10;m/tdwVVmVwobCCsbvv2kLTiewZWHqpV8P6nR0ky8MoV/CNRfv/UoQARi2ujy2DiCwDzDUszEWGsy&#10;W2D3nAoYViNjvf0/iNGPuKwlT0UC1c0axvlOJZFyGkpaSEiGOjLSzMupLxCJryLzStnxg0QfxFiO&#10;KISmTdsTgXXQHuhx3Rz2T3UPUhkaHA1uAANr2d020BwpwqiCUwSIjuz6vhApW7S5lxlCOU0jy7V9&#10;v8xeS9xgP/xiXdDz23JB2E24xmUtTE0uXkXpXpiJHE281yLQxeiNqINaAAJ9rv1GyoN2E/m/x5qi&#10;xxLALBWuCBKIW8uMWL3qI0WvxbuWWx1+v9xfP+0nuaUowA34jRXlQDXmUsXnW5sxwG3/4E4FYF4G&#10;YGiQXeHP3fV836sn373tCLWz39y/Oa0pYHDOYAiBW4YCOfxm0t2HYPYUYU4VEWh/h+k6h9h6pVB+&#10;h8jAYViKAAgBHogEHuACgFN2nICD350kI4F2V+P9YLoSX9OZ4N3+214bDJ4QGa4Bxl4SXn26YEYn&#10;4s4tYtjMh/E6h7h1MAhzBhNMh6Bymj4uCHABgDIzgHgSzOgMgeJaACAFGgCEYhXgYi3hS9OYy+Rg&#10;iCRhzAY0jJYo4RYqDMugYTW65BjPi/lZB4B5OCh4h6MAqJ5GCDHtAEADGgAJgJAGiWE+ZLmGh/C/&#10;ImBqTQhrBOLqh8h3iq5RCE4cG8AHARKMAWA2AaHBALpg474II2RbYhy74K4j3iW0X+W1ZXix5C4p&#10;ufZEYS3oYT5kDNh2h3jCBSBYT+BghlKOh9h+wYZooyk4gRAPAMLHAqUbAWATRIZvlqB/Zumihuoh&#10;BsBPsCB5hwIhZ1iCABACozgJgXDDgUgyCmgDgIIo5eDTFyKrS6sm49Rd4+V/4/XjZBZ8CPZlTC4R&#10;5m4rYDxoaJjKBuhxQ0g0g/BMLBhsMQaOCCgMAKrlg5gxgnw+AoVa6TlOE6pNh2MAhuhVINBzhiBx&#10;6ZACgGoLgOgiPKAQgoz/59Hq4g5e6E3f6Fv8aG0mWzYlWA5AWB4O6ZCMaK0r5DjMZE5n5F6sDIBw&#10;ByoYg5BCvdBjBnNwaTm8CBANgMCzg8g0i1gpgjgdawlXB+B7DTByhgNMhthSismZ7B5kAEgLCigT&#10;AuR7ALAaANCBa26DFbamYJ2xZhXh4+3i203j68aslPHaudWEaLauDL6vYr6N7OCwhyh0onBAhJOz&#10;BZBe0F62CBgQ5xgABBA3vWAiAdim7UFAB/k0B4BsInBohGt7h9695kAAgB5ZAQqMAWg2gbC8ALCg&#10;iGY8anUlWyX8CL4M4l2BYOX/bfCI6tRlZmau5nbTUu7xCPh1B3KDhIhPpthOhVhd6ZE4G8ATgRJS&#10;hFg7j8AaAW1Rb1lAh7h0uChqhLRPB3htGd5Xi3IzgLAagNwpg1TuHHiG7rv7Yian0l2yv+Unbvaq&#10;7wYncBCGbyMvQE2GaNb1cSCNh35JvrBVBeJvhOi76TgBk4gXAUAQH0A/pngRgP5ycWE/B9B4mnhv&#10;hYyBBxhcxzbgaaY0gDgIikgQAngTGeAj12jSalsl2wV9aGcObt4Map4/iB5A2CchCG8TWFW5cUuh&#10;bT8ziMh5h6i9hVhbVXg+BHM8YvcnZogCcbw1AWgSvcBEg3SuAH5d83kyh+B8GXh1hlw0hsBRLCh+&#10;B6JVYtnqgGgOKFgUAxCmgIATiziIcMWw8Nbs4LZiYNbv4m9Ec0bPJAxk8T2Fsxc28V9ViKc5Gnhb&#10;BgNjg8BFBQm5h7mn51gC8+gAAeAaAVPQhFg4mWIz9ako52lZB5Z4IehOymh6BxKD4tABY2GNgXGq&#10;gUAwDHgEAJ6C8s6D3ev6X6bK4jbL6H7M5jbN9nCEc03m4q4DdZ95KwB8JVBfBkLC9eBROM73Z8AE&#10;ADoLgjgegYINhCNT98k+i5MAhthTINCuaenRiB7IYGgCgGILgNghvKC1ajgC6kiHdRcu8N7tYkCK&#10;bu6qcyarbw+HF/dWq1zCat7zbSb0cVeYiLB8h9DTBkBoBswoBFeAhvhyJ+Z1gGgGCggrglAeGMA5&#10;QOed9E7khzBg1uhshR7BG7Ww4UAEgKiggTAvMF7GbHD48tYJcuYKd2aHapcP+WiBcy6r+d96aL7z&#10;6M98epiJh9h+DABohrLLA8BF+AhqBttM51gJAH5PgxgrAigAaWaXe9dn53B3hsGdhphHzpYYDTYU&#10;E8gHAQwXAXg4bpAEAK+VCF+Te1496o8PWAcx+4+X8R98+67RjLbS+dfJTzE0BtBv0R/BeAhkhoSB&#10;Z1gLgKKMA5AxaXAvgpAhfckoGPh6hzDCBsBPMCB3hrC54PCkHuALgbbHaAeFZ9dm+9+0d05gXg6o&#10;cO38+3/Xlu/Y/nfaeb/bec+8/nCHGP6xoYg9hGqmCAL5jtIAQWDQeEQmFQuGQ2HQ+IRGJROKRWHA&#10;EAgANhcJABBG8tAAlkEaRaTSeUSmVSuWS2XS+YRJ9PB8ABvrNtAByLhvgB/T+Y0GhUOYgcIggACE&#10;niYABwiiIAAEBRmTPurABsVkAMauAAwV8AAexQh/2V/vl6PQANZbLYAMJIo8ABcFgoABkFguXvcB&#10;0hnBQXgBihcbwwEP2ajF2tMAD10MeiZHJZPKUF1AgKABTiMpgB8gMDwwKvh2AAsN1XgAEv175WIP&#10;p+v0AON5vOChQLAAkH4/AANC0Xa7hcPicWUOZ1O4AIRKKoAK5dZDjdPqcMQhwLgBHnsxgAcDET9X&#10;xePyeXzYh+AB0slygBtKPGPt7PuCv/zffi1KMgwOA4ABOMDggiFLMpUqz6KybCtq6r4wLCsaDrMs&#10;60rWtq3riua6ruvK9r6AC/sCwbCoWw7EsWxrHvxFUVuMy7Ms2zrPtChbRtK07UtW1ryNg2TaNsAD&#10;cN03jfOBFkjSPFR1nceQAEoUZagATJTlxJEqvwqaMhQEYOgASA+O6FwUBBK0yTLMzpn+fz7Hkb54&#10;AAahLGaAB7HPH77TPPCJgGAoBgACQWgqAAUjKGKwggpEDKvBMFmMrywLFGaDQktC1LYty4Lkui7L&#10;wvSXL4vzAMEwjDMQADFMYxzpTzVdWILFzNM4zzQNE0jTNQ1TWPLHjZtq27ct23rfuDVtiWKiJ4Hk&#10;eoAFGWBfgAQpLFXY1ppcAoCT6GIVhGABGDyMIABMEANWpcly2M0h7PcUjGPWc1zWMAoFgK3wgTGE&#10;otBWqKppXA6sK0rlGwbB9Ivqs1KQrS8MU1DdOpbT8P1DEVSRNVEU3fi7x1fGFZYIhEa1tHFcx22N&#10;eR/INgSJYeMZXMp6nufIAFiXZkAAORDE9lmcoWA4DXmHoa3yRA6C6poMwLnWkaS4h+Hq+hymAcIA&#10;G2U5qABNM7zvpT7oyBIKgTcAuhaAALBrcaXX7ReAUdB1ILJg0KUtC9Mw1TkO1BENRxJUtTxRVWtb&#10;+l+NVjGVaRtW8c11kkfV9IVgyLwHIOmfJ9PSXxkGiAAwjsSSDKpq3I2mBQEAMAAjB6GTljkkIKAi&#10;B/Qdf2CLH8fbZHcap1rWTZoM8d0ddi6b9AABwRAiAAVjSGYAAWDQGJftF/wZR8IUlt9KwtTEM03D&#10;lPQ9EFRRGhUS1NE9U9/8yI8FGNZxpWsb1x3zxV3xcgV/IdhfP/CYJ+fwAGYaY3AABQDSIYnyan8q&#10;sAaAspAUQjA5AAH4NoVwAAMAU1+A8F3YNXAAPQcaTBsnwAAO928GDXAEASAQuYNwNgABKFtsQBQG&#10;LzbOop6DAXpMdUm3B67Cm6PbYc91iLeXwt7fIxaEkB30sccKyB97iUeq9fo41lMR4qEmGoNpqIUQ&#10;1CHAAPMej8IqpHAgA4vQWwnhAAAHkNBnVrp9jDG9pBM2YE3GyAAcQuBukFf5HAmBRikAhCcUwDYR&#10;gQgAAFId50NEFNqYE21CL1WENyeywxuzEG8PgIS+Jvj5Y+OxiS4R9jhmQxgOo/KKDJ37OPk7Ksg4&#10;2BuntC+HUuQ4RzO4lYioCYET/BoCyEgAAbQvBLlvMNco/R8myHUMo9o13dAAH6Pw2Tn5iETKoAwD&#10;YDVBBjUKBAFAEyhPPkW9Ftj02CllYO3F7DC26vcbu99ib42Kt+mm0mT76yFMffc4hkcT2TP1ccyq&#10;ecbxvDjHSAAN4ghNgAGWNMbdATyAYAq8UOwZQogAC0E4H9DqNJ4LLF0cQ8QADREazQe465SUbIUA&#10;EAYAk/IEAAC4OINgAAEAVDImM4FGNrYG26c0OmEtze0w0ljD3vMSb0xRvtKGdT1Y6QefDh2RHjlN&#10;P2KT96lRHHGOc0ofBHCkAALkYYz6rnGA4BgzIgw5BbAAEkHzqKx1vRYugAEHzGTJXdXAhNNF5gaB&#10;+B4/4XVhuepvIqnMjZyNWkhOiHlQZK1FiFJmIk8a8LvqZEufNUX4uKlPP6Kdk38DnHWO8AAiRMit&#10;AAKgWgw7PGVBCB07Ikw/BmAADQFoJLV23OoPsejThfE9G6Kwa5Ph9x7rwAgCpdgTBZBYXMHMKzI0&#10;4kZDeniE3rU/knOuH87ajRDqRJy3CxbKyhiZPqqVmqqMoqtd9147B3pMEuKUW4ABKikLdeooYJgQ&#10;wrFGIwOAAAPgbNzfbARkh+u0AAO4aQ6isCgIJXKsdKiMgPBIR0FIYzAgMA66659hLozjhxYmHdQJ&#10;KTsktO6o88Kk4DVXeGe77aoUnONVNxl6JVYqa0sgtSzBgWjEyK4AE0Jo42JUCwE1fhWiVDwAAB8C&#10;chZNJdBoeg5DbDZE+7sd42B21vAIAiFAFoVNguWvF0mG0EQ1p1I56lPbqySnVD6ocQJLzvk3EbJy&#10;VsWEJqfKOJzJcZypoBnVlg82XAAFaLlRpzDnD0HsTXQBE5D0sBrbXQglg80zpXo3TBKB9DxjmLEn&#10;I4hbwArGAcB5SAQFLAAB0JBUCMWCm/hycVO5H5qkjOmHtQiV1EiDJghEmoizy0yirO7HsXZ6n3ny&#10;KONM/7BXKPZl9XxhjOAAH0RwpQADsHgj/ZhDWeLzCEDlsQnBDhtABSulm290EOmNMgZY5wADVEyM&#10;xqw/WsTzIyAovAAAWBoeSA8ExHTK3Q1jmict1Na2LxHdnEt27IXdzpuk8uw6nbFibsd+cqJ/8QXK&#10;5M+gxBmDWAAHcRIoSdDpyzxohJdSkBPCIDhbgeAvyGkRyjmjVoDJsTcNMSQywAD3HUsqeYAtLgQB&#10;OR0F4c4HU0hRwHWENsPXTnPiG6+btc5wxNdzFF3uanV4kQbPPFbyz8z7xnraxB+TQQ+NWPIcRCid&#10;AAN0cQ6OykFjGXoLoUQgxpDOZ3R/c+NJ3pKspqY1T1HsPrMReNewgAfAACQLK+ehbnMpwLp2ss08&#10;GsViK7Gb7tWP17ZHFPfkWmYVg+qpvXuKXksz2LZOfvRKrf2Vgbo5AABsECJotY3Bx9+AqBJ1wbJg&#10;gADMFcIxUSMev41bofROhdk9G8K+Ors8gxwKo10vQJQrApLmDpLhUTheUzPYeHOa9bWMxJY7XhB9&#10;fWS+QcTrpBev+qOrjL1vZP2p5HAOTBQbxCUJGSGgJy7mA0AsI6D0DUCqAACmCOgc1a/u3Q+kwOGm&#10;dwGsE4rEHyHeZg8OiqACAIwiBGwoDEwuA8w0OG/AsMw+1o8y6m1wJU10zixOzm2BAcMi/eAA/isw&#10;/mvM7Gs7BmTMHIHQyyD8EiFMAAFsF+3k7mBAwAI8DirUCMB4BhB64go6HqHKNsGqEw2kHiG6tEj4&#10;NAy6BqAyAABRBCpmASps++6a/DBQ8w6kzbBYJTBc6u4a6y4fCkKHBrBuxgOK/o4xB5DuSq5MpAEc&#10;E4FgAAFCFeF85q76BQBEhWEMDmaIO+PDEA3SJmJqG8FgjqHGFyG8+8IyPsayfOKoAMAaNCBACaBK&#10;v8CZFUtzDVBO6gp8zY1usa12zk1/ErBo9IY2lAxalE7A9W2RD8vTFySMHcHgLUE2FSFyO0E+Fk5q&#10;jaAABgBSkKEODqC8AABaBO8ZGK2YH4HwPSmSPaGwE6IIH6coiOKo3wmwBWUIAAm4m9FczKnC8q4I&#10;sRBTDdFo/PFtBhFxG6MtF2cGnszw9TBwlLB0/rD/H+PwHki+AAFSFstU2o2s+MYK2YAKWsO8BePC&#10;ESDxGwBErLIW0yH8H6f4HkG2OUmYd2HoHM20gOAEAIpYAiBUMyBWDQdQKMgsOnBMuk1nDautDfFr&#10;Be6xBjJEJhDzILD2OJD6s5GJKMPKHwcmAAFuGC2kDUD8Eumk4g26AACC3A5eW+dYP9Ke0Ao658WU&#10;G4FQ5AHQGQPagwhgdIA2CC8YM4+0AEAOjdJ3FfJ68u6jKBH04U/RFu/ZLIJXKRF+/lIO9ZGGxrMK&#10;fiH2PSGEGU8IDEDwc4H1Mg4gdEdICSCAJKEaW8AAAQZ5Mc0a+UJ0F6HA7eFWuCH/JKfyASAsLsBI&#10;CsBUAAAwB0A4IK+PHkX9HpDXFi/I4Q826q86/SIM/W9DNKJPMOvHIMOnKYqrMbOWONMgNkGUGiJy&#10;DSD7KyOSpA3SgSa+CmCQgcEODpGxAbOoyaH8H4f4HeGsdw5054H2aad+eCAaBCAg3034eUA4mwPJ&#10;J46fJ9L9Fm/NMDH5KJH9PUItOasvKUOHOi2VQWOoyApCGvNU7Y7cG0G/Lc3QdaeaDACkCE5C73Qm&#10;0yHrJaTeEoTkTZC6dgAGAMT6AoBkAw30DUJKAEAK8kPFQC8s4LQI/K4S844W88/U9A61RMfRIC9M&#10;ssxez24vKbOnSSMpJKf4Gw905CEWFEf6f+4gAqAmdcDeC+CaAADICsCLSm0AHyJoAAG8FcjqHIF5&#10;E9K0a0+OAMAcdIA+CUtsBAkCRVR7Hs/G4O806pBa6s4Y8+4dBlTSIXQbSc4ss3Ok2XUYMiJ+PsG8&#10;7iAAD+ElCIF6GMII3SA0Aum8D8DYgkCgCLOPUovVG/HCGO9oGwhANYPSb+3OAYA0mwBQDDCjJmaO&#10;PNUA/ExBL/QNSHMFH7MJVWIZUc2M7DGFSjUnWSKCLMJ1CAAAEOEwWkFcFyZo3Sv+NyEYDwQcZ+Xz&#10;WiwHPYf4HgG0yyGwE8cxCrJcaRRypYAkBUNyBQwsNUuPT/L3QFL7FlSDOJUNONMHOVXKIRWXGBBz&#10;MXWfYMMqHS2wS6FBGeFCFaF6J9FE0AIyBIA/RqE0EKDWAABUBI+7YavUTuHsHWWUG0FKaqHWGUru&#10;aU8SXoTHNpNsAEANR2PLWBDZSBOHULDjUPSLORSPDtZLYRMTOhIRMZWhZKJhGONtGUF2SaFGFoAB&#10;Os0bN4BYBK8YFAv4I1AJaawGaYPoHIF6J68Gb+AQAma+BMC0bEAuB0ucRZZ3ODUHBXKFDnUTDrUX&#10;YNaPOexjaVYZbCKJIaXStQGJWsEuFY56HzAyzqAIWuAABqBdFUE0EJZA97LHcGu/JJPchGGiEeGU&#10;mdHAZYKoAbBGpeDeMK3xDhV/X5R9HvJ/QLSFOLSJVVNFaJb5XLb9QeOFQi9dc2KE2cZgFsGCTkD0&#10;EZS3Ibd6u/NGXnK8OCEcD0DEAAl0ebeCtxWnXeLWEzC0G5RcXfRhRkBjRqBYDZRxJiSPbpQHX/Z9&#10;daJPDlURSNUVexd5SfUjQlewJi44AAGCGUaqDeEGE4hCHiLU0AgoKQCaCGpkEEDgJDPDf0vsHyd7&#10;Ta+gAAHLNTHuXMAMAeNDT1FUA+CYtseCSNfXX9OFUJfeJNfjaEILOTSRabftUgvPeBgiJcNif4Ga&#10;GojyDEDyEm2uSWUkya7qosCaoyDsDMClNEAPDRhss8H4HuPSHSGM9oG0FMMYH4Pmc6WJVsA0P8BM&#10;C8bEAmBawCSrhNR/fbhTbxflaHfpeDhlWbShUlicKClcPaC6DoEcNmq00adYmwDMCwl8DUC4CS0t&#10;Lzjosnc6ABJOOUGsEyrEHqHRgMWLZvXmBQUCBSDIMCuNhUPvjPdjZ7jVH3KHDpKLjfSWiUvFQdfv&#10;ho/tkQJa7g7lO2EsAAGkGyai0AAuApP0DkDCCeAAC8Ck7zPTletu58XSGyFAcwHWGe7kay1cTKr0&#10;LuB6r8BMC6uW8iTJk/UFBVKDlHbzfnb3frlRF7IJMRb/D5cDjnmKJaqyNKDwEW5JU9VAxtAaA6A0&#10;UCD5AOAACdgXnYvsH4t3NRE8G4FSuCsRToSqc8APbWhYuVNuB3N0TPm3WFdnYDaBYHWPYLhjnJIG&#10;2JnPeYMrd/ldn+JQHOHUtEEKEuOcFYFuUayEX2AABGA+XGEHCaAACABuuXpKtxAgHaGkdxCw2kt1&#10;ccTM+OAaA+ddfMJKmtP+TNopHxWHdpYFdtYJhhaNo69O/hKTlZB3Kdp4IsvYSYEqFGLcEuFMvjpg&#10;kQBWBJN0EWDwW+BgBUKhrAtXNcPsHmo+PcFCIIHeGy5OTNC/BsBpDEBQDAMChhiaStqhdlYBZ+JR&#10;hZdvhfaLYbjhGDjlfzrqJM2yWUFEFeWcEMWiyaAG0uBjrmvkEADOv9CXs0s8TvgmNaG/E0Nmt6j0&#10;TLg5g8CWtsA8CSttJhZzsXdfUDorsdk6Irsjqtspb7qzSbWZsvfxhrtaIo0UNbW0Zpng5JUswHcg&#10;T6BxI2AAE6EQDYyUyZuktXVmAAHOGLiqFJHMmOSQKoeWmwBPjCAAAmBcOyVZsZlDbvm/jZhddznG&#10;RfIFq1Btq5hnq9SlvMIc0WZgrArEDsEQFAi60GwEZ6hRpyuWE8ESDe0tuBwWqug0HlC5lqEhdEHx&#10;goSNA4IyAiBOMyBYDaJK1IUQVXv3jTv7QPlJb1lNc3stYVWdnXxAIjKiPoGCGWaqDw5HvStCwGAT&#10;NGJECCeSEoD/tVyEvVLOAAGuE8d2HaGiwU+9A0PEPshMXmAwB2S5DIMDmITzxthRxxWLQRlLQVcH&#10;x9MVyBszysIdMwPSGUGkJyDwEVS2G4HC3cwEyWL0C1iNU0DcglzytwH2Hm+WHGF3E9TcQVruRVbU&#10;a+BHNqN8B8r8WNzbbtm9xznBjbnFlPwHSZlVUfjjuhpJ0cIU7ONlltNUD0EWFGAAGgGwJ6wElyl3&#10;kCl+C+mF1jvONg2uGeoLmScxTW0YPIX2AdPzZDHdqRBIWJ1Fm7MBzhx1nDx5zpuZ1Zudx/sxuj2K&#10;IS9iG2HAXcD0Eaq8GKGboOvsogokooosox3NtcgMHmHApAGyFCcxXSOUPJsEArsIr+uXg5xp2vuF&#10;WDqjotsffhaDslwD1S9LlTF9OdpCMppHIV3xiEIKHElqgeEg2sFyGErEu++OA6rMAAEMaGAACKB2&#10;MD48tXEvTaFcQV0n16PHTuNCA9t1FXt85mWL2xHzWJdrWNQTWRbDzraTYXyD5oIUtAtEEQEwtMFS&#10;FqtUwEBGA9RqEiD6DKtm0l6ismPQAAMemXAq5tYwOIAULoUEDMULXoUCXL6Lqlovsh4luTd1Wj6b&#10;cB6fzx7IIOHa2ySiFPGYEkFCFmu+kOIza08YEgD6DJZDZH8ErxxETapCEYMhTXqKNceCwkeKBgDs&#10;B0ABZl7r4ZZ5xv1J231NwBjdx73B4xlXwRITq/8tcKAAFMFmGEAAECEkFRg0smWsT7cnFUW6W+BF&#10;5X8t8uILywGwwY2uGg7kOIhMhQAyB4r8QAODhIXJ7t4fuMIpuRo1qvsr9lnN4zq79twV7JeGAAFm&#10;F+54DhgF+EuLiZpwBwuXEhGxAGIAEgBA4JBYNB4RCYVC4ZDYdD4hEYlE4pFYtF4xGY1G45DH2830&#10;AHEuW6AHAsm0AH8+39HYcBwoCQAIymKQAGyAH5dO42+58AGxQQAxqIADBRwAB6VBn/TX++Xo9AA1&#10;lstgAwkijwAFwWCgAGQWC5c9wGCAAzgoLwAxQuN4UCH6+AAMXa0wAPXQx55e75fb9f4i6gQFAAp5&#10;oAHyAwPCgq+HYACw3VeAAS/XvgIi+n6/QA43m84GFAsACQfj8AA0LRdmNZrddr9hD32/M4wmU1QA&#10;XDmjgBTYK/9jwdiCwTiyWQRqAEAbyyAAkDwZwul0+p1et1+E/XznHY0HSAGyoWgAH073zvb8AQGA&#10;QADhEEAAKDBavcEexe58+6BQqIxqMpClMW36nKgqSqKsrCtK4rywLEjqyLMtC1LYtyErguS6LsvC&#10;9PvDsPOswTCMMKbEMUxjHMgyTKMs7DNM4zzQAA0TSNM1DVQ/HEcx0jB/H84BoGskonjOQwAH2zcd&#10;ySh4HAYmQqCQHYAD4NgrAABQEQFJUtS3LkuySf8fAAehxHkABqk0ZwAHmb54MAxQCAACoZgwAATi&#10;+1YDAdLMvNkn6gmwoaiqOMCkqXAamwKqaqqurKtq6r6wrGsqzrSta2reuK5rqu68z5T1PoRELCsO&#10;xM9oMxrHsiybKsu68XM6z7QtG0rTtS1dQVxXLXGsbhxgAKg1kQAB3HiqVdR2CLoAAL4pCEAA6jKK&#10;IAAGAQBWPa9sWzbSCHyd65G6VhrgAcpfHAwE8sWDwlBGAAQCcEwAADeVtoK/L90A/r/0JAKmQIqN&#10;FQRRsF0hByOQhSkJ0vC1MwzTkOXpiDq1FEcS1MgtURTVcWVdJEYVlGlaxviOR5IgxtnAc4ADGPJJ&#10;AAbRvnNkrqgq54ADYLwlgAM4sCPmWfZ/oDWH4e5+AAdBjV8bBQGi3p+uA9CNPY9gEgwrwUjGGDnB&#10;Y0eZXtP9Av9QdC1Mpyn3/A9GQVR8G0lCNKwpTEMU3Deg7qveJ1JEyE4xVUV1a61X49GVZxrW27cP&#10;UBwHKdQADiQhOgAY5n0BxDWgyCyBD0NIqAAKokyjyvQ9F0aBn8fiWngbR3KmTBmgAe51nslwBWoA&#10;AHhOgQWDWGgAAQCSZa7Pz+UFAFDIJstE7RBNHQZSMH0nCVLQqhEL01DVO9J7KHbxElSxPVMVVZFu&#10;O1jweQRtW/tfU65ynSdoAD+SBTgAWhfmX9a9g8DQKgARA7BfAAEIHALX8QFgMsdMBwB7DoKkNsUp&#10;uB1jOZSR0AgCgCmoB8B4AAJArgrWmAgAbPmvPDbC8Vsi/kDKLeWwNtjz23MJemQd6rDW6QHgK9xi&#10;r32Mt+fGi98qM1aPohtEM1o6R2JtEYJ0WAABRivF+QQ9hA2nxEIgCMDwGQACYEGGkAALQTk6ipGG&#10;MSOB9jyJCOIXBJRvkoaaZwgcUSKAHAmTIEYUibAaCBBoAIAo4MkhGvh4i+3jRShQwBtLzGCNtYQ9&#10;JuL1mHRjdJDh7ze0UN9fExyHyMYgOFZFJCTxGViGgE2KgXQABICgFmb030nyHAoBEBwwojw5lfAu&#10;QKVkt5cGAH8Polo7BpHfGq60AA/B6n6IrHs9gDQQHwBSGUGJ7QQAPbrH9sC+mxr9UQ2eFTAm1vOY&#10;M9Bt7CnqMMbm9iXLQZJN6IQ3x8LG3APkk04RkL6Zzz1IUPEeY9TCi0GGAAQwlhVnkNnPYhEXidCx&#10;EyHtKyWKCUNocRNp49ByplGmJJ+49BxplIqAIAsIS0gXAACsNQMgAAEATBdoM1F8tiX4ods0KWAt&#10;qeawUjbB3otwYW3J67D6HsRnSxYgk7GNN/Oq4GH88ohU9ocPQexlxYi8GUAAQIkhUAAHlUyhwA3a&#10;g3BgvAVolA8LxXnUqslZSDLdLkNwVQ1gADmGAOGN7xyGnsAKAyC4HgkLsBEFMFDlaVSBmvS55M26&#10;ZSJhdIunE46dSPrMtun8OpLTuqLPBj8QXDWNnOPcfB5xejFaYHsRwpAAPuHjQ5LABgABFB41kTQh&#10;A1Vij7Zi2U9mhn6HOMRXw2hSDUJUZoh8UQFAYOifItQEwXNccPX+EsgoTzZphIeFk3qazghhI2Gk&#10;5rZq6sfJR8FQ4eqwni+ey92ZPj6H0foYzkwAB2ESKAkQ5jH0NAYcQAAUwjg5f6HWAFY7yX9lu6Yz&#10;g7xrvvGwJ5pkC1jEMAEARawEAUmEau1kBRXK/PCkBcuwLx5CvKm5TORVN5xQynJTu/yubtzrkrO2&#10;oh1KjXhstJ3EsYTaGcGiNcb7jRCCeZc4qhyyTohjCsEUAAcwxhQXjjHJEYynAAgXPobYoy7DrGeO&#10;gh0FYLgaB8TqDhNiypwcRcqa1LcNXOkNCubtNCNU2nDDEg0M5y08ySlzE5B6hQ8kxeCysnJ6ZxgO&#10;j44DLxygADeIITYABojYXNQ0CwEz4BxDEE4AAYQphDz5pWMJH4zkkAAN4VrlCGAHAiWYEYVgVE3B&#10;/BqsWFT9NfpXCabFL8y4dsNN+F8jKcyOhrpZLWc1T4pu9ndwUm5566ioOEco6wAB0ERjoYYy62UN&#10;A2BcCYAA/BtCuAAJ4RM2bE246R0xLR2jScYNIR4ySVOnIUAsDgDgAAvDecndW7HR5gpZIOVWZMOW&#10;FhbrSxGIc24jsZt1HWvGL6+ztO+TOedh8CgMOYdTqxBiTFUAAV4u84SsjgCEDtIBChzC8AAIIOAW&#10;cM5I6Jp49aJgAGkJGqI9ByIxIJgtawEgVv8BeHUHAAHaLW3nhaau9bm6w3zIjfd09a2JxFYvXPJU&#10;O8EqDwaS/CM8Pmxfnvpjox1juTKJGVAABOCqlLOdaq1gVAkA6AAQ4dOPg1BcCTq/b27D5HaZetVb&#10;BzDDHFFKugDYLgdCICEmepH1701dYKbVMeiXSzTdTW1itcXY7gxIwao3uzqzp1CyWLLKdUz15F0g&#10;7x5T6FAKwXgABEiaFdPUAgBIQgzBYuwRF+gAApBHLDz3t2Rj8HtbYYavhtipt4XEzgCgMgNTqFyA&#10;gFAY0gfV4S5mr7B+IujmgjOarq63uvxf3BsenEDzr1GyfCfOcL+24ephchXi4L0HURV7tUyqkgAY&#10;AqcAdg0JsIkOyhIrmE/L/1a7b4ADAQx4a4To8YfAdwy4CIFDCAMItT4g6L5rnzVr57wy57MzDyw7&#10;EDbYgjNzEj/w4L7pOLzDFY6bFrhSpJ7RHw/QfIfR96KQygA5OiuK7MFg/QXQYg8YMwPYSre6W606&#10;1IHQtQRIPBQg58CDuDPwABpw4A9Y9iPi2MD5Hbk4dIqQbJpYAAeIbgd4r4Hbs4EwLbkYAQAyEMCL&#10;VaEjMLex5Dw66DM7D7Na6zN8KL7jyZiiSbFC7rg78LqbYUFB7Ie4fJmIbIcASbI49gFoEoQDnUMS&#10;8g2YzgYoZpcQMIOwSJ18FiW44gxYJoIQGz0wPCAAA4AqlDksJIdofAkIcoeYuQDgBoswmKoEORHQ&#10;fYeokIcwYLvIdYZhlIDoIwEQrYHADaA75zDKQjfCwjxL6gjD6zxrpLx77UWAv0EL77zMErzcPi8Z&#10;0Y4AeAeY3AYgZ7a8ULdgHwGT1I4qLC7Ifg2gAAZgagbgAANAPoS5owdcLaVhJgrwKwJYHgAAQYOA&#10;LS2Dq5ogzgYgch94W4cA74JIEKkAIYDx/kJ8Z8KRMIfQeI84e4dh2QBgDb4zK0YMCSwDMUYjoUYz&#10;6cNz67xz7MiA1saMEa77YKpEa5ysFQADrIYoAAZAaYMIAD+Q+wGwFrQoCYBwGa8gzYloagbSuAOI&#10;QxyAawbZXyVgCQCD4wMgK4IwAAOQMLSDyIeIfRooWAbRmIW4b474JAEI0YLIFLs4A52slMtghEYU&#10;kDe8kT6UNsDMN77EOMtov8lcPD8DzT8UazGByozZ2TY4WoAAZoawOMnQAo+AGAE4RIm4CxnK7JHo&#10;lobIb7QIPIRgUUmwZ4lKVgC4Cg+AOYMhaQLwKAIDzzuYkIUQarvIYwcp1YHgDjaYMgFwEAAABajs&#10;vM3ggct8NLDckcujfkDUOED03pu8OhvMV8EUvkaY6UEz8cPqvwfi0szC0QaYbYQUxbdgFIEQOqDY&#10;DoMy8kJIcAcY74QISaqoXIYYZ6W4DgDAwgQQOMfwJQH8oTyIdAeo84SgZwkoaodo0AGACqaQOAGh&#10;dgB8UE5EvM37oL6MNkDE4ku0k8vFBYncvaHcvsakv8l8wJxEFgx8o4Sg8AcJlqjr4wEYDoMikIEY&#10;PSsUMisyVbhx1YRYTb1IVCfiW4EIDikASAPtFYG4F5eDyIzwy4QoY4bKtoeguQEoCAsQPAHBeACo&#10;BU5lCz/tBr6ENcC7WbozfsDYgcDrgNKwjlDCyMEk6EatDrqxw6zTQIagbwQ4AAb4cgUYAD+b4yK5&#10;KtIQQakoAcZCsrrJMoSgUQWgAATYVQXYlRHqSAEwEADTrwRANoAFRtR7yIbweCfQPQYatgekrgAA&#10;DoBomQO4G5eCaIr1McZ9LECrWLfTxT6rxjpDf7pTyFVAjFMrFUlqo68VDxuo4CfMdoaIbQPitodY&#10;W9PpBgCoJIucx53oA65C2QeCq4AAUIVwXwAARwTwWQxC86KhasQwE83AUgRsxRmiaTpkJZMwdhMo&#10;PgYhcRHo4ArgswNYGLwAGQC4+FWsOVVTMcuVCFLjxbo7fwgtMLpdfIi9W7X7qUl1XdNZn4polqfA&#10;3AZwbAOQACI7cxai1BmgHoAAGYFIrQ4k3C7KfIy4VgXEmoQgSqgIeoewuSIkUKEIHExwAATQQYNY&#10;AACICEI7kg7YloZAcsLYRoZgbYlQ3yOa1ALwFaDQIYD5/lg0D9fckNB9LbotgFL041MVp4ithEPM&#10;v0PdNRyoppoodoeJ1wZYaqLlX9F9nABxrIGoFdEY6CDy7KzQ84XAYRNIPARdOqfCfSIgBIBC1AIg&#10;HRrIRoPMnIBwBtU7kqYozgXYb5xgTwaiuEJNBKC4KAEiLAKoFEYFrVK8jzDEuENUCzWVqtV9gNL5&#10;3rgFgtzwiVrlDVNFDlhkmIf4/TrIYhyIaRQi88ejI4BoBZdlt4SxGQCDnK7K84/QYgZhcQNoQITQ&#10;AAdsbSKl34mQKS+5+DaxK1wDq4eAfI/QVwbJmIV4bhmKVaCxOFph/gMwF83EKF1rq9qMuNqd0tV0&#10;ZNWFgUDl1dWl94h918544U6MwFhpnxHouS+AXMmwaJQhHyNwggBQBLs8xxYQDgCwJsodRYZ4awbw&#10;AAMgPEQgdCI6KjHxZZZsqzR8xcUTkki4kIUM1wAAX4cTZFgbBgAAHADQgQNwGRdkMbnl/l+F0ENF&#10;B1LV+lP4i0ZVWNgd/UZ2Hwhd/1M+AFNN2ZxEdA0Ab4c4UwAAZ4a88AgqsYA4AykE7wOgAAEoDoM7&#10;GIbQcBmIMAOsSgbwcbKiIhmjdgNYLhnIMsqhactbbqKYcweYy4TIaJcwZwdJNogsMaEIF4CrdgNw&#10;GcXrUK1GJjpl+N0dVkY8ksZdWUZuSQwM5Tys5kaWJ44OANsBxC8594bIcN4Ya4bwRZfogeL4+1FI&#10;MaLoEg07EtOY77QbQoZQaVoiIgDICo+wOoMxaQLIJgH0f7gUJNS6fQS4aDG4bIdzBIgbBg9gFICb&#10;4wNQGMXtUB4GTjhmSk4MudCNLs4su84+cAhmJ1XLFzzpxEP5lMdgQlOQctOohL1YsTjbI1t8eLEo&#10;cgdB94Pq0IAAW9vCA5eQ9gEADY0YPoNpKs+x3jph044AawdpMoSoZ7G8VDFY9YgYEIB4sQM4GDwG&#10;bD42dTgWcUYuclf909q+dFrOlBUOTyHK7lDN/+UeKLqpyoege+QYa8xWEAXohRaq1CWoIIAAHYGA&#10;UsRWSK2eEBNoRT1AAAUwWQYKA8h4EwEMYDjoLmpNjzq4zQluQhNoSgZ+DYeAfCYyKCKIsAmQMoF4&#10;nQGoDA+2mTbmlVftql+oi+I9/FMGJWu2JumkOzy852UQ2OUmKRutiAehcQZQaeM4d4eYaWogAJOD&#10;RgtwHIFwT9ZsGS2d6I0ATIUwXAAASVQiA6rRawFoEwnQRoPEnIFaL7q4fAfoloYsggAASoZ2DaXg&#10;lohKOYxYLwFTs4IQEB/l92wLEuvF+dVuIoiuvt1Ngl/e5IAGdjYFXWnZoIpo/Vi4AFs9SSpgkohJ&#10;aqEI6A1dt8QkqOAapSq52WqoYQ5QSR+aAz1iEIGgFrtwSoQOM7aLabpgehI4AAXIbw74T9yYhxPS&#10;C4JwEZOgK1zjnS/m6m5WIDoFLN0m5uTGJF/NWeJewO61hW7Gd5oG2oy6I2oYZobCWazSCeog9oBg&#10;EouYFARQrYCWpC7NlguQWQXx+4OoQ+zjGZ9b+b+msATYQwNgAF34szpl7o/QVYbDQIWIbhlKOCKY&#10;gt87kEhpnQFwnVb3CTJG5eIfDEusk0ZklHLwgvD8PVhe7JoA2gqU84yYaAbKhQn2QwhQ9g4js8Q4&#10;04DwDBKtukUwAAXoY5pnHq9z0Gah0mL6C4IYHQ1YTnI0RWHrkgdYe4kITwaSuAYYci+IhmHgAAGm&#10;ugAAO4G3GBam5HM6xvMHC+S/MeTOJPDnVIgnNNr3NfERn42ZNobwcgUIAAaYbgQtRVlwhhLA0YFI&#10;ECWYEoD+M4gfSaskGotcSC9YRPXugHTp7IroswKAIot1wwMTzwc4eouQSIZgkoaldRqDI4g8h4FA&#10;CY6IQgHjUvT/WURnCjwtfm5nVtCXMmTXM3WXWlDdr+xRn97wx8y8QjRESh0ol4AogQEQDuWgFYEQ&#10;O0RVKqggnxosdYkoPARUzky4ch9YCABwsQL2EoPQNBzjyJMh2QQoZAlOji34gYEHkYAHeDUoCABD&#10;L3ei2fVeS0knV3DWv/WPengF2PgXNhn8P5mIaQbQP4AAcIc4VIiVO9T4DBEkxxIr1lnasg2glpXj&#10;vIPVvcdUdh9dcoAANoLwJgAAMwLEqtc432aQqQQ/l0APQPmMjQswO3UomdJ3na7Pnrofn/ffV/De&#10;TfomwbyzXuw2dsE8mBmQeun0dQawN60YdqJ4iKrQswDICjIQGgFUQj+SWys1d7TYcTKgPmggYAZS&#10;3h9QDRzAAAPYNYKq+oI4HWsNRYZwdBNoSIZokokBooiNeIAANOknUADFfHvyzHwE4Wctq2c9CmdP&#10;M/ouKF2XpBnz0NJPQjj5YpcQiKPiELRg5OzUzhLGzy2QcYc594QQSZ+YWfHZ7Q9h/R/gRYO5QgH4&#10;G9ubkoe0dIYQgDkdgATrScIAe77foAhkNh0PhgSBIGABbFQdABHEAWiEdj0fkEhkUjkklk0nlEpl&#10;Urlktl0vmErfczADYmwAY05ABgngAA8/h7/oT/fL0egAay2WwAYSRR4AC4LBQADILBcxhj3AYIAD&#10;OCgvADFC43j4Ifr4AAxdrTAA9dDHrFxuVzul1uzqBAUACnEZTAD5AYHj4VfEDLDdV4ABL9e92lL6&#10;fsLcbzecMCkcJB+PwADQtF2O0Esd7zaVMZhOv77dwAf8NAMlB4MFIAHYwUwABgKEeh3m9mLpdrxA&#10;COTqwACiV6/1lC33NlQlEAaACUQBmAAvFAh53b7l0eb6fgAW7fdN7a7kAD7fj+hmvkYOA4FABOEg&#10;ZABXFAbAHu7v9/z/wBAMBJOmZ9pqm6cmMnaep+wSHKGoijKQpSmKcqCpKoqy4q0rivLAsSyI8sy0&#10;LUti3LhAcUxVFaGLwvS+L8wEHI6wjDMQxTGRSyDJMoyzMM0zjPRYurWvYdh4GQABgGWJTlvYlTch&#10;EAAbBWSwAAoCIdSHLaYHceKjk4VRdgASBPliAB/H81suNCAYBAEAAWhOEAAEkPwyAAEwQv1Nk+t6&#10;d58QMVhsnMABZm6c80OYkwFgKAgACED4KgAMQWA8AACzdP1N05TtPLrAsDmwnCdJ4MCfKBB6hqKo&#10;6kqWpqnqiqaqqurEOK6r6wrGsqzrSta2rfT9hWGkcXL2vq/sCwbCgAw7EsWxsBx2ADJsrK8fs2zr&#10;P2IlB+n8tBynWWoAGQaIwvahs1pMBQEP0FwTEGAAPAwKluWIeZ6saVRbGIAA+ke280yfeyWgNRwA&#10;BuGATgARg83OD4NUngmJ2Kep8gAUJqnEABgnGgaVAQAgBgAHINAiAAyhc7T4UfimXZfmD+1Cm1Rw&#10;TBdTwaoNVwlV0K1jDFaQ2rdcQ/XcRV7EtgRRmOmRZY0YWTGaIRrZsb2hHTI2pHtrgAzNsyFpqOvU&#10;4RvnKUYAGgbI9P3dKUgQA1JzmOAATmNuwy4e58H08RhGYAA2kATYAW9ge7pCBO30gHLPkMOYuqgC&#10;gIcNglFsmxpNGicG0HUeCV0zOAYAqB4ADQGDtKjqXJ9V1fWIbmcEVLBlU3TndWwpWEL1nDVbaHD1&#10;dRCjsR19E1g9b4zQ6fZEZWXG1nxzaWs2rH2uyBbXWnyfR1gAa5wKebRwEolk1gMA3Rujx+FEK13j&#10;v6fh+IWYpnGuio4kcAH34HdXjNyrgniGWQPobgsAAAgA0qb7FOJqNaN0d49QACRGcN0AA4B4j2JW&#10;m414JQIgMAAGwGKUgQAPgPAiEkJVhuvZq7FnDsyGIQVYhNV6FlZIZVqTFW7vkQK8RIr9E8JofEue&#10;SjFZRHmqLORwtFAS03pNca8kFbbqx7D4HKAAaQ2zNjiHOKs1j6yUMiKuBsC4TQAA0BUJMACbnUw/&#10;LsUMAA0RsOaCiGkQxCG9Q+AfAZZoTAegADyGcKoAAEAIPlGpIY/TmDXHYZURQyxtAAHcQklYAT3A&#10;cAaAkAAbgZG7BSBMBshJPSfQDChUiClTKodTC5njt4ZNAd3DZ3quYctHh28RpcoJbEdiC1F5jVXn&#10;RIQDEprZl3qNfie4Y1q+IJDOGwHQABwBfEvTcVwDAEwhxjBWJInzcJbmgGwN49AWA3iMAAOgdY74&#10;fASgKAAMYVQigADiGGMSb04TblCmqNrnAACFGPI0faaSXgWAUYIM7pmEAZZPPShFCSsSiZtKVnKq&#10;ihQvZ67iGbQXeIdlg0Z4LSIePFoVLeXLy4iLMiM1d6CPFrTCia9aYw/zwjvHkNEAAzRrhzABTAZx&#10;L03kUciDgAAMwUlPAaAsEtHy5DdHEOh0ge0rDTG2QeEwFgJuSDiGI1AYQpzVqMf8fC3gADDHIO2B&#10;4zBuEwPcBEA5FAsgpA4AAJQIgL1brlXMkNDIVSmZ1RGVMMWfu6hqTCG9GXgEQeE0mHtdJCUhiGjS&#10;kjVnnxJejMFbETnJppb3OVBT8qbDzHsNsl8klHgRAaZ8GQKRGgAAkA8GdiCXDhHM9oOoiBQFMGUN&#10;SHwG5pr+DWFcAAUAi2DtYb0eh6gAC2G8eUUQ1GNlYAawYAATARgYIqCqttwbrVbrtKR2Up3awwZ8&#10;7mGjQqMNFuAQ6wtHZa3XfZYqNJDYi2Ol8gCYFKbJ0sbut4xs5Ex00DkABvQ6rPgATgAwBZuwYgoE&#10;SACaYRL1EpHMOo1YhBKCqAAK4XV6X2AgA5XERYeAvltBoCvBpvB3j5QMKka8UxaKILiAlkRbQOAT&#10;kuDM3eI8bSguyzevFEEIu2r5eCi0rrxu/h08NpWN3j3sl3SWx8v7I30mHZRwz7yjjkHScYZo1qbX&#10;4LiuytoLQSh/AAB8DNvMkLFODA8UAsyCCrTGuiFrrQTHRAAJoQobAAAoBGnzM5cx1j3b2JtzJOBy&#10;1iKwAVN4AAYAXdGH0HIKMBH8z7pN1mOaHQsOXXrH136KytsBK+8mRbDUe0o3fJVI3mxHaxSh6dK2&#10;wN3bGACbwoY2jaD620rDbyOJzDenkD4az9gBnnqUhtMCjifFWL0AAixOGJjY+wFQJVLioEhMyqTo&#10;9iExHKPQxokRmwSGtIkuIA5JZ5k4v7R5uADMj2zu1mOlrt15x7d6ikrK/kvsDqGWWRrD7uZjqexm&#10;qaTWQ1ZEx6ur2wvYe09x+z3xKl1YM6NPYXgAAuBKvGSWw9sjyHpBYVgt0FCCEoKm/z2HW7lLSClK&#10;QsBMNrfJIPfxKIFAAG6PCBwkRmQSHAPKCxWNyGvBEBAq4cwagkABJSS3MelLc3hCu7mmt6Srr9eJ&#10;omRN96jwx0tbnAGp2Nl7qtrWUNXTFaaPYfMUxpDZiuOiLRdGRFTA2BaMQNgWCY2Duzdo9YogAFqM&#10;BvwfhIG3HgPKBzrACYvB3UAAAqRIh160SqfprRqDrOEJUZ435xj1LQVgAR7gOx4DXB8AAKgKSd8f&#10;6dTfTcdu06hRPqV4aL9VljRuWeR/UL264Q+9/X6T9h1bwfsjTNueYGUNMNQAEjjFOWe3SRLPOqPS&#10;wloHoMhXRnAERTdw+OTC/GQWwPQjWzjnHVOZ1jiDBBKCADIAAlRABo9uSarp7BlDnNWJoaDmh4Ym&#10;LqBgBZXAxAWlLgdANsZP3wCkVvVKHvWN5vXK+vYMhPZKNLCKOJaQDFhvciHPdtVPeolqVPgHJkvn&#10;5hjBngsgAB5h7hvDHDXoCgWAAAfgaBZCfACwCN2h9LiBkhopGg7BErZhvhxjynWAHDcgAAso9AAB&#10;Ag4AtQKiRB6n3klBxHtBPhpmNh8Qmi6CJCKD8K2q3q4vmwlQvDmwENMJUNNt6upvYocQIiHrzwKQ&#10;vlOQLr3OvQNOCPfODJiGmihCFkvG/BiBoIBnsNDDHAHAFgTGSAXhRAADYgVN/DIiFu0iDg5BChOn&#10;thuj0HWKppOgzAsgjgAA3gvoxQ2iOh5DwAABaBuKlBUBsD0OZi6AGgDlHroLpArgTj9ACNExQRbj&#10;HQwunwFpVQGsgtPshvZwJPat+xcEtw3iGQMuBsnOCwOw7GmE0i0Bzh2BeAABlhqv3Qah5DQjck6L&#10;SinppqtN2o2BuBwlEg3hCRJBnBqKynJtygMHIgAA6gygoiKgnAfxjCHB3FAjzD0BbhvKlG2M4sul&#10;MgAAgAPC9AwAWE6AFRax8yHqFiaGaJRsdQEoWruwGMgNPN8NQOrPaN+NSSIEUxkAARlMmr5Mnvfx&#10;nmYn3jKxzBWI2hsg8n7h+uejHHEDpAWgSMxDowSOlosCBg8hFtaBehjDSnWAOx4AABAA4wSAlwXS&#10;RB1OzM6hovMBkBzPyOUFFiYxXE4AbKDAAA0gYEpAHADGWyRS0PISJHYLtOnN5KJReyNN7iXN8yPR&#10;hyQOsjnOZuZk3E4QukiDmJDDWy+yLnBjmTCS/nDSSSTL4j/r5yVMpGYwajVhuBxhOCkBvBFHBh+m&#10;9uUC6K0i9ATAPs8AUgQg4ouN2pyHOhFBNBWgABTBZhhR3NygSAPrpBDg6MPgeAaDZyINti0BGBkr&#10;PBth4CjjQIMPRgKAHAAA6OigAAJnEy0zpECS1oUy2vVyLvWy4tOy5iWy6xhQ1QJvbCWzBAALhkDB&#10;8msgCNhAALmj5OfvkPtT4jGgSAHTlt1u8C5GBh6B9G9hyu9AAAQAGoOD1j2ByUAAOsCDcACuYHVT&#10;Fw4xlyURmr6uEGXm9DyhrhvLTzKhNEnDQuI0AgNHHuLBAMBPrt/B2KYAABLBSClhLBShbnJgBlNA&#10;WTRAABEg6sPgYAVDtSIBwh5DGg/Bhn5h2z5DQOUAQAHCpg8AcmFgNv+zp0oiSRdS3q9tON7OqQ0L&#10;yiGw1zxiUB+DmBzB6oHBpB2KxB7n3AASGj5AVgJGTqAJLBlh1HtBjBzqlA0AWRFK0L2iYUwDWhtB&#10;4HOhaBvmNgtATOjB7h+jwhXhvHNAqgRjtAQz7HW0HuBSTzHSUw6zImYF8mNhphuMxIsTXDfPDoOA&#10;OgLAnjrgTo5mDKDt2h4F8AABSBYDlBCBKu2m7lHFHgbAXqihEA6uKDoDpRcF1BuB3ijg7BgBqj0p&#10;/DfANAGCuA4gaOjJNvTUpVriPUqMeS4MfzuUsrBNRL0CVh2h8mLhbBwGNj+AmAQgPgAB7RRhzh7o&#10;HASAHnRhoUzAABiBzFEgvAURCRak4AD0ZgAU9yBH7jmDvm9wqCFzkWCpJDX1AVBVCAAVDVEVFAAV&#10;GVHVIAAVJTl0/AARRG9h8wmzkAHnyAAWAV3U0otz2rnWPh6iaADtEmQlHh9J/WYEDFGj5ADRbCU1&#10;KpeQ5RmQ6RnVNnKB/j2PCBsm0BsA7pmh3BgDm0ZppJqC0gUBF01AELqt2h7B7mLhZBfBlAAA4BBz&#10;LtgzCmXK0j5AfgbsRVfuKANKpRjD1jWhnh1DhBAhin5juAKqAgAAyAXV2gdwB1sXCCIVtQFVuUrw&#10;zQH0tVww2CUhz0ABTBtqy16HRghAODpAFvDtIjXquiFhkB0jyhchwhxyDANjpBzh7ILU1wWgNj7A&#10;KJAgAUii0V7jVhyEJDWjWgbALtdgIHJBuB4jhVB1C1DiEWL2MgAVHjtANgGIOBxEehpB2jV2Q3Os&#10;8gImTz6zlhph3DVz+G9gkgPlLh2B8C0BghylE1JJOgYgKi9XoCj3Qjygg3UMFAFIRiUWfsmTGj/T&#10;H1NL7GJw8JHB5BoCuhrNejRyjjek3j5KpgbIxgUpsKhqit3T+kDBfPulKA7psRVmYnECKAjvp0b1&#10;gRERBRjU0D2KwCBhJNvm2DX3dEiItgJAEDBQsrngRq43C4cj0zqyKNLxd3EwywHRgQIUtiGUuxii&#10;TjvkDBfhylC17qxX2MZU2mTgMX7NgjX06qlBYVG2KXjAUAInJBcXSjWD3AoAQk6B0WuFMNEgI4Zq&#10;v19gABqXu2/AVDZ3IoHXiYu2LVF4uAqWNz1k4BYBvnNAXgJgJGSAMrpBsB3nOhchx3TAhANj9WYD&#10;whjB0FEg2AWwWNtoHBQhspGgTAIHRgqgSDdho18BmU546NISGyz38C8ljohU+SS0IVL3+VM2iX/m&#10;CE1EDUUi4LajrIolCjfOMgARBDZgakqrUAHgYt/H3CFhkhoJGgvg6hIzzB739mJn+AAAogjAcgAB&#10;DA6HHlHT8w2jvjwsVqlBShrXTDmk1gGRXAAAkgQq4gvlLYdYc3DzsxeVu0sQz1wOr1xCVOZxREDB&#10;nB1iB342UT2AZgLC9AYAKMZY5DV19KlA008pAXOBkB0UMZGGUAVjZz4TzgAZKAAWIklBzFCgxgUt&#10;IB5iaY82K3j4+HNApARE6WFgABYhwHNAzY6ySgEpLXaO+BwmNgEABlHgWU3AABcBxXTAm4zwSz+i&#10;w6ODFWBgigOj9Bph2pzB8h/CF6ajtTEiS38r4OwQOUKPgluE0mLh0B2jlFylTj1ybDnDcjtLSn7R&#10;wxFqvBnhrPMA0g/ErBxxpmmo7irgtgnx8A+g2LeaxQlR9kDBUDzriyADumQmRgesYm/gZEpPO7G5&#10;8RjZ9NM5+XFYhSORgw0rzTxYkCXF1YlCmY4Bih0KlAtASujB3VyicU7HSaMajGRhkh1MAatDVgxA&#10;UNIB1h8DG7haSLiM/oLY0jGgzaQaSU06YXjVE6Zre12TzLiBahwCDg2gXQWAICgbbmL7umNvOiGX&#10;5jpBdhxop7xiKMXWa6vWQP9APUFBth5RtgWgJZDgaALGJCW6yPeQ56zso5dF7H3oLMrDjLav3D+H&#10;9DeycE4gRtbgQANgtxFp/BrBt3TA5BDRJBphsqoGYgJgIzlg0gtAkIOguglyRB0mLAABOBpPMBjy&#10;sDut1k4AZgLnJA4AaDdlG5XbPy0bQwxuoxfSNy6SOzwbUxiSQiTJ+j2B7U03N8hVADhBVBuoJYzD&#10;tB46pYs7dxFbegAbf7gh2DV4/EpBdByD0S/AAAhgOD9Bq45hibdAxAUmFwmZ0WJ6Y7r2MYuaak6V&#10;EiFhXBuvMAt3jWOgAXVILYxGNgRgHzlgbALK405MABg44UBIOAd5EgABvh5DKz/oLLhm9gpgREpC&#10;q37iV8B2g0JWh60GXwapzTKzLx2F4juD+HyMZASAPP3AVgRWmt3E0jWqnlCg9hHGzhiBl29GYgMg&#10;LZDo+l6grAlgdxjFFhwoKgABLhowUBqtxDuWUgWPSoO7NsFUochzpciyMTt5/XGaASPusCTuZ7ym&#10;0B1qxPPirtEGRhuB4DhBxh6ijglAP129Pxthlh0sAAv88JANEhmh2CBhrh3HOgnaoBh44auiFgZA&#10;KC9Boh2qxdPjKguXjc9AABdhxIpgpWNqujwhbYxgmgQFL75eShxD0cguK+NmtCjhvkegneYICCgd&#10;PijhOhrn50kpO7aOjcr+S82OjkNZSDd2eONdV5YGoKROA2gUI1MUJ8D0Kl7ULikBuzNTKnBF1bPC&#10;6FHJOgPMyqfgUn7N3I2BwlwgABBhKsKBahfhlmmgOmIgABEZxc3gdCwRcFvDWhsB3DKhLBnwUUf5&#10;sjQxbASAIIOSxEpINTu90bQYeKGt41t0rYgxf7TYiXHUvCT2bD2elZTqxb0gAALagSDAND7F1BzX&#10;VgAXcIHAZX2ozty3IoLM/jGgX6Iqbvthyop2U9NH7kn4vnR6uj2OajhYp2DjWhs9+3rnJAIWT7Xb&#10;fjyh2G8kr/WgbgLCOT3CH7XBneHgAebeNC9bji0atKxdFAR1JisdWes5b+tuxmXoo3TBnhsA7CAA&#10;ByupagCDQeEQmFQuGQ1/wcCAIDgAMBQigAdC9SAAAgEBQ2QSGRSOSSWTSeUQZ0Ot4ABGp5XgBRq9&#10;gSmbTebiIPBgAJZAGgADAVCGcUWjUekUmQPt/P4ANB0vEAJVnt4AOx7vqlSePgEABsGggAGUX0QZ&#10;BcH1u1Wu2W23W+4XG5Qp93UANi8ABjXsAGC/AAD4GEv/CP98vR6ABrLZbABhJFHgALgsFAAMgsF1&#10;t7gOxM4KC8AMULjeGgh+vgADF2tMAD10Me57HZbPaSJ1AgKABTiMpgB8gOJwwKvh2AAsN2Ygl+vf&#10;aw19P1+gBxvN5wYKBYAEg/H4ABoWi7m2x5vVuABltWgOx4MrwwcBAECAAKBAcgAeDFTgACAQHe3/&#10;Nmdp3uqS5TFuAECFwADoOi/6khOEQNgAURFjgAAPg27EGw1DaDnyfqnGQcx3KmqoAHsfcGPaCwFI&#10;mMAWA+AAfA6CcORrG0bxxHKGLqfa7ryvZjL6v7AuCg7CsMxDFMYxzIMkyjLMwzTOAAzzQNE0iGNM&#10;1DVNY1zYR1MEwrg27ct23rfyKhThuK47kuXDjnui6bqvk7DtO47zwTEkDCOjARpAAZRpjKADxm0A&#10;CHvCjoBgACIHBiAAcBaTgAAYBQRT3TKQHg8YAFIWKakYTZYAAfB8q1TSFgE94ABeFKiFKRo5AACQ&#10;IAbVNcKMex+OiX5wnWABMmicAAH8wj/ggBACgAKoTQiJoSJ496vVzatrWvHMeR8bC9L4vwwMAwSE&#10;SOw7EsWxrHsiybKsuzKlM2zrPtC0bStO1LVta19sX3bEyN03jfOAhs1uM5AAOU5kNzi6TqOtOztu&#10;6799qafIAHUdxiAAZhrDdEx8HG/73o+BoGBSAAaBSSIAAmCAbX5PZ6Hs5hYF0ZIAECSZUUKeuE2u&#10;AwCviHYaBUABMEEoAHgbd2X6YhB5H0fgAFkbZzgAVBsHJDgGAM+IkhC7AuhUDwAVXamm7PtG0pvb&#10;S8W5IEhXBIjBsLcslXRJt1yhpakXhKl5Svest3xL21cLGt/TNgM0oTgk24PN+FOhhk6Ou7OITzfb&#10;oHsgR1MaZ5sjs3x9OLBqvUsogYBOQrugqJfDRrUytF2YpoAAO5ElCAB3HixNsAUBKJiQHoZgARQ8&#10;C/SoFLF19sHcfEelIauQF0cB0o566H0S2gEAJRgeg5Gg1hioiIo/5nz/Rs+2R/b0h3FI26STc8mX&#10;VJ92yleMrXpLN7S5fKX30wBLk4hgCaGBnEYKm5nqDWFpzYc5ZPDElsD7H4VIcI52dDSG2IAAA/B+&#10;D1Q0V4BICANAABYCMO4AAQgbeQQZs0AjYl1aiMdz4AA2iBEyAAdI7SpLYAcpYAAVglA7AAHwNYVg&#10;AAIAOAaGCqR0j2YqJcZ432NDoHeQZ7ULzZkRK8C8CxaQ9g5BOAAAyq4mxnjQtkuzbVupBW+uFxa5&#10;H5JLXSk5diUV3pTSqvNLBC0tL3S6vqNMgyjwETOwI4UCHHMITg5KBydYIMRT0tcfQ+0RjbHEJoAA&#10;1xviKWKP5qKG4lm5BMB8NYAAUAgDeRw+EhC4FNKcNIbA4QABkD0JMAA5B0DtX2rUBgAAxBUCIAAN&#10;4YAmgAaAfGVyORyjzOYIoZQ2wADdHhCBDZHSDAkAhL8QgPWiALAKoyZc45yFwfW259rcX3xYfiua&#10;OjeH7R4KS32PbgH+OCkDACcs+yGyGcVAdNjBpGORTkw2SCd5JL7KyOgxQ3RFzTHGJtHDPy0ggA0F&#10;yEwJA+H6AG3ufhWxuQXAAGMPIlAADZG81lbAFgJlpDcF8JkwJhNkjNR89r2hvDwMSIMYw2SrlZRs&#10;V4DoDgEgAD7GI7oDHl02qZU0kk542twjg3MwjdX5x1by/ePL+Y+OBkA/+p1TZ/QGkTQGBUjaCuUY&#10;fBGSa1h6j4HEAAaI2A8y5HULNHD3TMgbAvTEGIKKHtcAhWEpI4RyrADmIYTwABiDNGsvuviNA8hp&#10;N6FQJERLCHNH4sYAA1B2DyAAIkZM0h5yVRrNgy5Ew3gzBHCYCh/bM2xsJVBt8b25Ljna3Z+kdm9P&#10;4b8/qPpCo/v+cJbKctY5EELcbQJyCGoG0GcrQhzC1iHnjmkecNRVz1o4AGAKJgFQJA+AADYFgmIk&#10;gGQzcYmw5R0ojEAJI/IsxensVyR0rwIwOgXAAH4N4WQABGB2DC9Rsh8IfAAMlESJCrK7QY9o/5Dw&#10;KvKmAC1GD30aYDwxOS2k6ap24qrHNu79Y70eKNPRv7+4/P9cHILDMg7kOLIRcus9BHJwPulBJapD&#10;1ODUAAMMZ8SB7j4HKjgjpH5tgtIwDAUYAAFgJBBi0k46oeAAEgJ4WQABPCtF4tUAc2AUglbGIYOg&#10;XbxguBLlAuA9EUAAF4OAdSEhq1xagU566HFkrLCmCaEoUQSwlzRn+GGG43Pujjbmq88MR2+nrii4&#10;WKp86AjPi+gECXHwLP/c+tUkbprVKcO0eAywAC/GZMcppqEwNKBIAAG6k1aAOBlpAkQ73eAAE6Kr&#10;LYjBOkxVy91RgMFXkuD0GEACDwOawLWPEfKPRXjbHMADZbVUP4OQ4AtrgAAjggOwi5GCrNjbdfVG&#10;t9mg51aFw/O7ENvKtTzj1ie4JCbh4rn1t51+kqy6UoHc6R10K10JVysYrQ6B2C9sYM8K6msmtjBg&#10;CiTwGwKhK3kQs8ZzBVi1GKAAPYj8lrHU00BRgNwXgmAAJMQAZzLAVAjw8pBWCtClGtXEXiv1EbSQ&#10;4Al7p9nwFjBfk8BXNeUc9VxoKqVt34blt1VieOJCi4muBV64mLOfNp3pcqRVzNLH+0xjZy+OFUq8&#10;MTBcVQALHIVUy8AngKoUAABGBwMfTyDD2VMAAXAwRmgADgIQToAJKyhT2z8+IPgagrWCIW7OTal9&#10;sJI9ocw8zUCdGmsQZQ54rpgAPd0AAMwL2DDMDAogFAExM8N59HHQLbTr5j0TQ+Ire1bt/V2e9X7i&#10;+gaZ1FNXU8Z74rT1iti1ZKyXHFDkao3RDqaAMAYCQAASgcDMAAFYJA9eGdiAAYAyceBysU7pTimo&#10;lRMCMD1SDRigKrfN7AkKxiHjgHicwSw0CrDYHanRHT5flATVuGl8YAAOANqL+L/R//RaEqoSQ3Mt&#10;2qynkb43W6W9a6a3i/2Wq9kcY9o0qrQxqoO6yraU0VMoYGmG6dWG+HIdyUyP2l+A8AuCo8qBWEge&#10;u/C3k7yAAGQhqDqESE+AAsMWAUyaUqKCoiGAAEODmzJAWJEH6WOG0HaMSEcGaPKHOHo1MR0WmAAB&#10;AAeMqDaBkUwBKAil/B9CuNk/63G/+qsne9Q3TAKq4nsxSnwrBCxAYNwX+kOxgIOxlAgxokeujAoW&#10;qZ4loGeGwhSHMHWMbA+AGqKIqCOvGBYEso5Cs4egoOiGgGsKsDwEWdyGqG2ZAUyAkaSpGCuIuDmD&#10;ECfDOIas2IeGmHWKkEQmiAAHqagU0A0AYqKDU/qBgi/E5FgLdC0w66HAA6K0Q9S3VDE0Y3c0dDNF&#10;iUzAaxjAe3ugY3y0yxvAqTEKcd4Gu7AGuDiKuHeGQU0u6Im5MB4ZOBWlweU2K5QOgKcGuG6ZAD4E&#10;cI2GQGgUOUyAuPmABEzE2C8CkCFGAISH0KaUC8geKtGWK40T284ImC+BYbGCCA8NzHpIOKPFm6En&#10;Y9NC83RAIKO6U9ZDI9c6dIQRzGFDbGIubGM9vAm9yUyWMR6h4GYSoGuVmHiHmGqU0I6WWpa1eBmB&#10;SMiaSBY56MKAAHAHGesD8EiPydmdqUyA2AwRoEADav8CaCGBrIuRMV4AAF65gEyGgioUyK8K8AcA&#10;OPiCkz0AAzyz9KXK+JNIU9IjlAC6M0S9U0W3aIQ3e0fLARxIyINDdGK0vGO9w34T21Kh0HaGCSoG&#10;wDnFKHurjKoAAUYaSBQNSsAABGw8MHMvaAAEKEs6+FcF0NhH6R0BAQwAAEcD07WB0BnMPIuHjFOF&#10;iaoAAFUawWqnAPiCK2wlqBcRhLdNiJDLE3JFs9PIe6QJxIlDG0bDK9fNkQ3LhMVI26qPa6vI/LuT&#10;Ec0c4Fo7BL8AALqh7JYyYAS4QdUK+AsCc8MHWHctAEkFCrwE4FUF29KyIIOBMQgQOECDSAABUBKA&#10;7KWHaHwK0FEGorjKeWAeyeui0RuAM8oBuAy5ODuBu5BOBQMITNpC4xBAE6O0U3Y6Y3hQPODDScSr&#10;I6krNDe9tAlDlJAT2goOqguZ0GgGyDwk+R6Vy7JPaBHRK7S2Ehc56HeHkhAFCFa4EEUE2Jilgry8&#10;oVcKIEkD8+SBGJ3KWHQHqYqEsimSoHS8iVwy6K8BWteAAEEB4ZMi5QlOBQSw9NtIdAHNyJvN3F5L&#10;XF9N/SuPDOFLlI5LpI9Q5OSTC2Sl4G2HCEuMUG8k8WwAOAK+Kvw7WBWBGD2lZBS28ZiNQFaFwSCD&#10;0EayXHARwiWaDJiAAEWDu2FKEwvFie0HEHkc2EcGWPKmomsVxCZCoMyDwBwjGAq87TLNjSzFrC63&#10;PS7QdAPIpATVSP9TPOJAjDi3202TEHuHyaqGmG4EHJwHKI2WwaAl+A6AwN6BkBQMiVWmU4eVMR6F&#10;0x8AADWEAvNEQRweUiYeE1eEEDkowAoAiVvGAH4WO/YOqEkGaG6AAHNCSWrCYA8qImIBo1SBKAhS&#10;9VpFhVXIZS3VdQbLRQfARQjX2ObVtQxLm6tLrORV2TDDrGfGi4Ay2WxGsMkAmCCIwBeyWVXDY1gV&#10;4RAhqC2DmEaN82SRxBsAACiCMBwqMDW4KZI/zFiQ8KcGcHSJaExKkAAHaqAvqIPFSLEDILKAABqA&#10;wsHYNIvX69LX/QZLPF09XN5F7N9ItaQLnYQ3tTTYXTXV060TCusAAGOGkC8AAU5JWWwyKUaUeAAC&#10;ABorwe7EM3k40GoG0loCmDY+CHkmcRwAgAcMyC4CeCAAADqDKCiMAZ/HoHvKaGEHIOKE+GkriHmL&#10;tKqWrH+AAC2BU2LNYvTarGBaVLJFvC/IgxLANInN7IrAVc4THQogKuS9nYTazONYZTZYcRyx0HmN&#10;YGGGdBJV6oZbOIOh+ZMB4BkFYyYARPg7YG0G+2aC6DoEdBksORwAmUcAADQCwCRWsC64cbLHozUa&#10;iFyG+zeFIGsZARQzoWuAfTxZUBKAyABK0Qi25dTDPc80NS5YDafLTQhLbfigHdXDW0mkXdgPDOPd&#10;na6RuMIR6Yu4rbCzIkrOkX4AaAUtaBqBavMAoAfLU4eG9J0AADYEAhyGc9+RwAw5MAADoDJcLb+B&#10;/KWHhZOFcGy2aFeG42bMsWs2oPiCNNaC4BVPg8nUDf2/1fnIbYBadDDahTCIPLZF/h+LfavgBOLg&#10;Fdla5GURtOWHIHVOasclWV5U+uoIPFVPgBeBO+CA5Oy8MHGHOOLUQyWF2GJKARsA6A0NyECDaC0A&#10;ACUCCeJIuHWHsK0FDPs+gHHBoZee4UYB2A4+KDKBcyeAYaBiXB9iDaZLNFziLfxYJf1kcLbia6pV&#10;w3001gKRsgoKleUI2GkG0g4OgYqmwX2iUv0BUBEDqAABIA6+S7YHOHWiuEOExeIFUFqYymuWoBFW&#10;TM0D0DE1UdTKXCQYqEoGdXaGjFCaanCI+BiLQhsBiUwAiAQ89kw/FkhVbabknIjdJajTFandRm2K&#10;Tk09rI7Q3ilTcH0WAGyHClxbopMKa70X4Z+5OvxmKBaBID6Pc56HZRiJ6FIMaEsFKQNReiwOavsl&#10;Q7SAAE4EKlOBGA/fZIuHGHkOYEMGSp9oxifXimwBKAkl+DqBq1SAwAW8LnO8Nm7QXklDBnDF3gwI&#10;NiTTJpXnRf6n+3ridk5GRDmTA7c2a9+EIAAG+HKFMIPfMX4aAVuA+AwiRjCdWAGAGMq5RJShAFGF&#10;gF/B0EveI2iP/oaBYBORgFQEeDoZXXJKXU8iKGJGcHnZObSA7ggAADsBs1SBDXzpu9BpbLLFxphd&#10;HplfziVr0KRnTQznXVzk9imQ2uqHrmaG1T/D1oSbQe6MqA0AqCSNSBOk8MCAq564iAAFgF3GoEBJ&#10;7MAYqP9e2BmBY1SFcEsrq45Hos4AAGqHatAD2GEse/IbUMmLEDWBgUwBkAwLTsI7Zr5dBNxVhdLa&#10;ldPuKKVsNYVdja3sURwT7bJJUABDvL+PUZsbTYsAsAlGzWZecMoKI5QZkYqFwGEGcqMEeFLZ2+uP&#10;875bW1WQkEY7FIRZowOHORGEVH3oUUQaaAnVQC6BXPgCIA/c3udEO3AnQ3FFpX9m9pfdE6TnFiPp&#10;pTHapwWJtuhgCObgHnaRuWMai08PYY2DYZ2PKbSUXbSNAZQlxb4yQ5QHyVO+gPOAAD0EYyWHKl2P&#10;CWOAUd+AACcCGZcEgD47XIuHqzWeozeE6GkWIbSe0AhfSCffWiCBOQjw25RuPNvVfYFVjdNVny0K&#10;Lw7o+NrxBupxEH8K0h2Jq+kDI7wH2JacKK9ggUwaGElMUAkB656hkY0GpXaDtBgAAG2HAaqP9b4M&#10;yC6ChcCD2DUiRIvhYR6FWGwyGFiG50PwDwAX4ASnCAACCA6Ny/oUxP5zGz/y5friJpjiNpmiTwzn&#10;N1MJJzLp7LtdoQ0Q+OYIGIKUFzgWNqUbVG6VaBNqJWSCk57UXEgZADmEQsWGmGxygPbXGP6DWC5s&#10;yDSC24dj1j4AAE+GmlpcWdIcNh6ZOAw5ODmBqtbP8nF1j1Pwaqi9HNrwlr9wpN1wt1bprw13YJH1&#10;nDhk7GS9CH4tBlGKeGxRKfSiUOwlTGilKlO5RJvg0esDoEPBihoW5oYK8AzhID2DTBICoCSsxUsI&#10;OmaOYikKtmctAdeAKjMBaAqP6DgBotaAlmz313aR6jYtq/9S13ldDX0JTTB3v1f5oJR35Q1sT3+R&#10;uVOOLnjzyGwG/BPlVhoaaZ+sGBCA4eQBeBLWE7Yl0l5J5qQFs1EP+A9suAAEMDmowCIwDtkWOG4H&#10;eMS/Sip7bi4bVSsBNCrWtCkQsAdqr6Ewz1RiHnBsB1ZsFpt76JB6JsR39p+RtV62aGmG2EDJwHMP&#10;y41lUbTsrOwmO1Wok7YHSPUJcE6VIFEFfq2NrVCoseKDueQBvmPXMs4s8Kl7hXc8UeZCZCcMqDOB&#10;gyeBWAmth8MwH7/m/r/wrsDktsH9+n7pzQtddaxzMNpzR6ORsZ4WIGWGsDaYtL2gCPeWW5Nz4B6B&#10;kFWpoWW5QHc+uE0FSFyyoE+rwNq14Va1+ESDtbGBYlLHoOeKcGYHOJa/SKsIA8Hy+wBBYNB4RCYV&#10;C4ZDYdD4UAQDBQyCwQADCLQ+AByGglEJBIZFI5JJZNJ5RKZVK5ZLZO+5gAGxMwAxpsADBOQAB55C&#10;H/P3++Xo9AA1lstgAwkijwAFwWCgBFQXLgA9wHF2cFBeAGKFxvDAQ/XwABi7WmAB66GPVLZbbdb7&#10;hLnUCAoAFOIymAHyAwPDAq+HYACw3VeAAS/XvcZI+n6/QA43m84KFAsACQfj8AA0LRdipK/wA8no&#10;2AAx2mYgA8Xm1c9rZAAQEAwAEwcNAAOhgpQACANlddv+BD9E9gAqFmwgAfkip+DBgMBQJHBiJwAh&#10;zsXgAIg4GOb3e9J3u/H8AGI5HaAEu0G8AMZ4+/wQmCQMAC0KQ6ACMIcrE/f/f8/8AQCl6Ypm0ibG&#10;MnCdJ4vqDqAoKhqKo6kqWpqnqiBappcqysK0rivLAsSyLMtC1QFE0TxOua6ruvK9wYhS/sCwbCsO&#10;xMAsYxzIMkADKMszDNM5ASfoIdh4GWABlGoNAAHse5wAA0EULYiQBAACAGBYAAbBaTIAAeBgVylM&#10;SSHufJ9AAW5gmaAA1D8TCCokgqfs8BADgKAAhByzpDDoLoAAwCgIzHQa4HofbHFybx0gAT5qHDQi&#10;3AdOwACeEjuCqE4NgAAU40hT1P1BSCYIJAqapunIwJ2nsGqAoSiKMpClKYpyoKkqkNgArKtq6r6F&#10;rCsayrOtK11DYtjJDFS7LwvS+L8wDBMIwzEQFHDHsiybKsuzLNs7AJ+n8xJ0HYXoAGaa45AAfB8n&#10;RY6TInKoGAWEgABkFJGKaCQgXbTyYH4ABhmYawAC6OimMa9zXAVOoACUIDbT5PwHAYBN94qhqBII&#10;VZsHKABYm4c84INKOLIcBToAAIYPLqMYXI2AgBSrkmZZnmiQVGmSaQPBNUwWn1WwhWEJ1nC1bQ0q&#10;9cw7XkQWBEdh5rp9B2TFlmRehMY2hGlpxuxtrR3HttSBbsAH4fqiHGdDCmgbQ9gAmB4aghjQImBY&#10;EvuFoSj+AAPgwKu4W9b4AGYahuAAL46EgAB4HmergAbugACoJAdAAQY5C4AACAHmO/WOdZ7zOTxp&#10;UeYZyMDziGANzUtAzQQ4hpeYD9V0/Z9pQmb1LnVUVVqsoZ/V8JVlCtawxW+j11D1eoVX8RWFEva+&#10;e4GpWXF1nRlaMa2prkdWxH1tyDG59neABvHIUIAGqbxDAAfp+LGAD+efOoLgAFAQDgAATA+NKDc3&#10;6DPLfPGNMbCjw0h9EsAAb45R1HAAil8nAUghAADuGcvL/lQjnHqWMSAzBuvnHYPKCxBWYETBSBMB&#10;oAA/g6BQAABTmYQwvhga127OVToKVWyJ3yEVYoUVohdDJLVcPHaUr5EKwUSLEhjEklT0kWrNIW1d&#10;Ga0kbIAWq9tHi2UfrcQEPgfQ6wADZHA4gbQ4RKu9YQ/456gjtGoBWCMO4AHNEXiUW0fw/jQDYfIA&#10;AOYhhOgAGeNYb5wAKgSAeAAN4YAmAADIFYI0c0xjiHkcQQoxxsgAHKPR90MQQgPKmIEHkKwJG8kd&#10;KOUhI4ZoGhqzyG6coctBeDD1osQHjNJQ/ERpjzYkSll0QyJjVHqtYik9lHK14rvdbCgIew+ByAAG&#10;kNtvI4hziriUdABgAAOAXCkAAGAJxCgAOhIWXZKigAAG62cAAfBHCkAAMAZA1DgAbAuBM5IbArqU&#10;CK8mcJ3h+pzGyO0yQgxjjaAAPMfRBIkgaAaxQOjr38ASmrPmiEupTqmQQ7pnqrCfquh00J4UPnio&#10;cV3LV5URWmvOojRCXr1InrPii9hrcw2vRYe82I/poB5j2g6M4awcQADpHcMGJQA2jgYAmEMAAMwV&#10;CSN2AYCtJyTTjHGOc84hhLzSFgLsZBwAPgbMqIwPAYS0A1BVU45p7XAjobeJAZrhB7NkTlDACwCy&#10;+hmBcCAAAOCPVkr1DCibuYbO8QdRqV0PGiPEaNSB5DS3mRHr3LulMTkYUseu1qKj2piNfiy98/xo&#10;B4D0YEMkaRqB4j0GvEpTh0QJAQNsDcFsfSLH3saSQdKRQACRFALNRgrReO9MURMEYHjuCaEIGoAA&#10;KwTAetia2tpjhgjii8Jx0RenAQvSiBI+RggUgcYYCJ+dybvOcr7Kl3bPqMtAeBYR4cPyWRBlpPgh&#10;Dy4jNOu/HOx7vCDxQsnFM/8VbL0ymPTUAB4x3DxGeeQZyLR9jukcRNiR1AdAvfMA4BYKb5kgwGZI&#10;ToqhdgAEkKEWjba3GKBSCS7QphHB0KiBZQWFS3DyH0v4Wo3V2CpY2AA8UZ4XgNAMdEJYIzuBbBUf&#10;d+GLMiLHvDRWv95EHu/h20O9NH2kUhvcQe+FJZc5Ff9fWX9LbKX7stTGY0Wqaj/X8Ood4xF/jNCh&#10;gEf+OIXn8YmCEAANAViUABioHuWCGWjOIcY5AiRMiuSYuot7mkqgyjaAAUgjqeAPcdnolw7x8EEx&#10;pMsWyis2MjhgyY2QQAO1NDKy2bzstIalTFkdnd46MZLo3K+wt6iV3sylYq+NJtTO0y1St6zWb9H+&#10;v5mBsGYj3rfMSOQdIsgADJGmGV97IpHMKU0CwEwgAAAgAxPXW5Bh6j3LGLMXyRw/iQOYapxhbgDn&#10;PAAEAG6WRKiADOABeLFNskoHQPUfIABQKOPIeaUgCGXgABu6wAAZgX5yAepPefCT/aootKt3t5cm&#10;UclhYaWViIh0jlvYzhTnNc2R13MGl7XXubBs0d8fY/B4vjHK+YaI2Q+SlSinWpoJgQBufoCAN/Cl&#10;1JnF+Mgs4dREvmHZgMt5TyLhMCCDUAAiA6p+ASwvjZII7EFHHJEAAmhopPGiOvlMo3UpVBcBQBwA&#10;A0AxzkBgi3Ue1HB4ZknVdgrz5Oo9YfKNiZbWLvl2tmvHWrWS15MLkUxeSU0O8maLw14wgAG0OASc&#10;4TnyFBABpy82xD8K5OY4ZI0aBBtECJoAA58zbOJdo4qYWQmg+AAHkNBedzp370Q2fZoBuDvcYJUZ&#10;8HRvDwOJKNzREwTJXAAGsGWcgQSc9f8cuHbZVWAlb3Gjssb1yz1n3fWuV/kL774Qi/Hf+QxWsxTM&#10;/0yWOTND6ACaArJwuZKhVwJYAAagrTezD12pY6mgGqNscXAw9xlG/sYt4CYCKE4MwLAI74ILYJRz&#10;CFz64hI8Q0AawdqEARoZZwgdpz6UgiQiYDpib4IGbOQFY2kBcEIlj5TVSHDiDVq9Dubiruri4hLK&#10;qXEERir7K+7vzkCyqmDkazLwg4KmweqnIbBdAdIdoYCcKOIpoCYIJLQFaA4AwAyeThIbocRdgNIP&#10;5N4aQa6QItwC4CgCAAAOQMQJ5gYKBfRmB/sEQfaOpXIdJt4RYZQbZdI8SUo/gC4BIvoMoF6uyvAj&#10;8GMPgksEii8EzViwbuT6DWL6TuzjDvDW0PpUEGYgz7cGzL0HDwUHQ7wn5fwd4eYaRcoax+4d4eQa&#10;EIoAQ+aQgGzOapIABxxebhKaAwIPARR8wXwY8TYtwDwDIuoPYNgKxSgIbKcPgfBwAYYcYwISIZqD&#10;qfIiYCIBBO4LAFBTTHo7kRkaQiEP7hywK8zJr57ij6LiykUFykkGEacRouhZSJq+0R8Gql0G7wL7&#10;6/45qOre4dQdwYqPwa4OagYe8Y6XQiY6ICABxLJeoRo2YB7pThL0B8QQgSwVQAAVoXBBAlxTgiYE&#10;gEADIAAQQOALbdLdccSgbF5NAbxdgUQaocbZqt6UrHTHgEQ7gLgFa2Ejkl4g8ar5kE8QcbTWAlTW&#10;UREb7jLvMmBMcRwgsSEdUSUdi/zYQ4Ixo4gcwdYXMerFDSaLyXZKjeABQESbQE59UW4JDhQdYdyE&#10;ASYUbD4TQU8polyoRKoFgEojbpg7AGIFcq0cQdzSY4oa0kgWwb5RaiLfw2QHoDaeQN4GgEcn0wcm&#10;TJTuEbLicm4lMnMFq98cDjUwZMUoAAEoTLrXzL8HL8A7psgySaAVqPwbAOx9YfyTKfJhQDQAAFgE&#10;j8ryILQgzIbPQeAeRxgUQV4X4ACqiaQlwAiFwGYFkwQRwPI1AEYD8iscQdQeze4TIaCQIZIc58Rk&#10;c2COZl4iYFwCzsYQIHSsZTsyMaUwrt8bDiTV7KCIUb0x0nkRc7pAUycyrXo/rX8zMdw4LF5t6coT&#10;wAAagbYQRKDAKk43ipstQNrm9AQiQ2TUweiZIAAV4XKrIOwRQUDh4lYArdAHQ6bDgPzZieMLscQc&#10;oeYxIRyDiL4dxHaiBmAgr36aoQQHisbTk9URk78QMw88TJ7uk8sXwgsF8yFF09cchqalTjyYEocy&#10;8Scdso44CLiBYawbwRYAAbgcRLqvTHbyADUjIFwEwQZTYAT+bSDnYAAXYYkUINoQQTZdJMwlb1pP&#10;AHIFo9AQR/ZOo+cPqOz2Qd4ogRwZaDocgek90fZOKTYqAOwG4Eqa0DdHcGNGCVkmj50xM8i9rWjK&#10;1QpE09kdMy098zESkzQ5qZKZZtQPQAAcgdAWCvb9QzQCz9oGwFaMpmCOTUpMwggYYZY1gOIQoT4A&#10;Erpt4lTp4vpho2wSYP7ZkiNF7qYaTrgAASoZo9Zzze7TUfYgwDahL4IGUqwFrsVSEM5AiGjJD5cw&#10;08LV1GkFdG1R0cNao/9STj9IVStIkozko4FBA9ZJLd5IoZKva08ygCIHYAAHYGIVBzAAcxTIigpf&#10;wZaZoAAOoRFCAbycwlRiQqD0z1AQIN4LMjkYA8YY4cw84TgaJR4eIgavauIi4MIFi5AHoDkJ9cb5&#10;FQ7h8QVRU8dGtRr6lR9kw/1ctINSg98+FS8+Q4C0a0oYoZ6etPRJ86KsgCABtNYH4GbZDc9krSAf&#10;itwaQbKQIPARYUaZgbBJ4lRQLsYNILYJL4ILkBEcQepQ4AAXwcKLwUIar/I8Ix06ScMZQ+YK0ZwA&#10;AJrH1mNk9a6VFbMEtRFlUxFllb9l0RL6tuw/tmbLlPY79m9ItdY1o8YdoeJNYYYZwKg9h8K7zCQE&#10;wjgF9qhL7CjUyADxSBKc4Rw3QYpcwlYDACpQQOwMybILT08jjFxfwWgbhdgVAbKZb+qvclAAEaAA&#10;ALIFC7T3twjqNlEa7iNbsFUbkFk8zKkx8nt4g4Nwy/LwD71dUHYuMeAAAdAdpcgZAaQMbGwfzctZ&#10;ak5iauwGQFQpioiozUycYcIcqLwQISlfYW4YBNYlQDkW4AAQpywAAI4HoGMjkuQggU4a8kgW7TC5&#10;NFoH4DouojIjaFtA16Led4z5tv1b15dcFl9cWCh6NHp6ayDvtc1mtxNS1xd7AuBsgokKT9AZ4a80&#10;SOosd8qk8081IEs1gDMjMgz0IRITTQQVIWoYdCIkwEIDo7gSdDDOYFsVcaYdE5IAFjBJ4ZAczBS5&#10;IA7f4GwDBQQNAGDgzhGDzW+C1RODF5UQ0btG43d589OMIxV6b7kdd6zMNxguKgrBQbgcgTgooboR&#10;LAIfygyvRKInguoE4D4NZ+gEJdBkLUwdkT9YoUoW4AATIU2SN3QkRToFIEY+4TAQZ/YEwEJTUcQc&#10;lDwAAR9EIbNEa7xl5KoFYCqE4OAGUwQCoBUc+NrImMdvtGeM0nEQ8xt509D62WwuGN8SNIcouOeF&#10;It5MpRcLARScgcaPqOw8dtqiI6DsbyNiNKybpzVODUrcgAAUYWKoARCqrGy6YkM3g2U30qwSQPzd&#10;4D4DSpsPpkYb4eI4gQgYySs5E0teZOL4oqAOgGpeYDwBwqGYTSGXFGV5MQuXmNFcNHWg+YeEEczL&#10;d6j7q/uZFdgexJ78lTwdIWLFhzIqaa4Jsq+PqNLW9BAsYWIXdeQPIRgUVypfwkROpO4Hz94AARQO&#10;5VN1LFcPhhCfoyQPYYZgSszCoDIBgi4OAGZeYFYCiE+iLLGhNbkFOhkxeXt5og1HN6GqItuYlc9m&#10;2E964zwn48dnc0E0QdYd+IbCsIyeJfQGIFEgRuklzSFVtskWYACAoS5dKgokZugvoJZhwAAQIOE1&#10;yBqh8PkNA0AZs54AAQgZCSrFg/gCkOoAAMVkIAAH2B2rrIuqd5GqsbeM95mNOreNmzolur+Eo71x&#10;WsYxUS4AFx4ZxXIa5+5xSdzCr+UgbpReoplzrW90AZgaRwgLQOJe7bbe4kRiRigKgJNe4PQNJvoB&#10;hhURltadds1Ys5jPQCEZYAAKoExTQJ4Es421C+ez8FEQm0Whu0mh+rm8olm1VxG1msWjIxSOpM+t&#10;UelWB/aZIc2yY2BLwBiFapCpQCYB8UzhIa4bqZYKoNmPuRqEAkWxAAALyCCPUMAAA546MPt2QAAW&#10;Qbd2wbEkjLABbHd/4EAyoMQjW9+81vCijVMQFvmhW0Nfw8GrG0uNeYPFglO+N6ujDwZ/80l7YdjD&#10;bZQM2czcrIpugjYGIFNJgDQCkrbhIbYcG/wMQPCpXKhkAkSQaQoNYLtroM4LErcDERgdsuYUskYA&#10;AXQcEvNoS72LA2QHSvJ1xeZTnHaxu88mtRdlr6dwVmHPG+GiaXzXVmm+Q7u1u+ouJshxkKUz4Zga&#10;rmwgrNy+bp8ist5tg7Q7DhL/pRYOAQdMjzMN4kQDQC4j6CabIK4JTPMcTeosbrBJ4ZWxzLAAtEwG&#10;ICyQoOlQKFkBXQKk/PVleDO0eDfP+DvXwlHHui7YESoxSgp8QbgcbzxwabrU1pQAAEgDrd6NoPDh&#10;QcsISFDcQAAWgX5I4h5TqrZ+d/sjIIbB8RhOYAAcE2dYoZ6QIbCfzPRzIiYFQCLsYNswJC+WvY6U&#10;nYGMuqwlExmrNHHHPgSJfQdH+EfQ3H3ZdTAuCLhRYauPmZ+PTUw6CE8W0XYGYFIpjhK2Zt4RgTlU&#10;IUYWE2/cxOMic1ASAPd8M30wUPr2ImWVISwZw9YcIeXQ62IAZOIEYCAqYNNaIAAEvonhiiHgmXXg&#10;3G2h2DmiHpYkfZOOPH/ZguKZMkgZ4bCN6BTD/d87i+ZzQvt1IIlfAF4U017W4dyzoAATYVMpoR4T&#10;7ZGRc/gg/MoFYEq5ATYQ2Q4EKa9YI8YZ4dTlIS4Z9ZAexM7LHMoDmpIAEO7OQGQC6cHqiiXFyv1b&#10;U8G0G9PGok3hHHGYHy4k3q0omOXIAxRxZwhJPI9x4ZjW9Ao2YCEUwHwGQwtUbUw4YAGIOIYQISdf&#10;dpvSiEROIF4FLOQUwSEe/fmxMGIfJwAY4co84TAaBJ5Q2mbIp+GWYvoL2zLTwuv0iUvpuhe9Wq/q&#10;PYvqf8Ih/02Y31HrItw8cT8Td741Cm5wjU0qdogrYHIGAgCiAAMBAfAEHhEJhULhkNh0PiERiUTi&#10;kOej2fAAWa+ZQAPqQUoAej0jMNAYDAQAG4vEwAVaUO4AlEpis1m03nE5nUUez8foAXzhdYATbScI&#10;Afr+f07plNp1PhIQBAGABVEwbABNEgXAACAIBqFhsVjslls1ntEOfdrADYtwAY1xABgugAA93hT/&#10;vT/fMjADWWy2ADCSKPAAXBYKAAZBYLsL3AYIADOCgvADFC43hwIfsZGLtaYAHroY9p02n1GpnTqB&#10;AUACnEZTAD5AYHhwVfDsABYbqvAAJfr31UQfT9n7jebzg4UCwAJB+PwADQtF1lpT5ADqdzDADLax&#10;sAD3fDm4fl1VglINBktGgrSYACgPzXm+lpjHYXjGaIAPiNUjsnaeLNgOqgih2yxNkM8D6wZBqGnk&#10;fR+AAWJtnOABUmwciDrAg5/wdD6mgYAwCOcEKuC4FQOgAAivRBF0XxhGKnrWfa2reuJjLmuq7tsh&#10;K9r4vzAMEwjDMQxTGMcqDIMkyjLMw+aGM4zzQNE0kZSvLDhtY1zYNk2keoY3DdN43zgOFEDiuO5L&#10;lua57oum6qyJ8eoAHKdJagAZ5tDsAB9H0d0s0Ch6wMSgyWEIAAOAsJ1BUahJ8n1GpiGaawADyRaB&#10;HEczdLzDwGAYxQqCQHIAEQOov0dVKmHae59AAUZrHEABeHAoYAK/DsPVVK4EAIAYAB2DYJgANQYh&#10;CuyUV3ZVl2YncaRsbC4LkugwLsvEfL2vp6L+wLBsKw7EsWxrHsiybKsuzLNs6ADPtC0bS2beN5S2&#10;17Ytm2rbty3bet+4MXTSADkOU+E2ug6TqLKfZ+QEcBzJCaZuEGAC1zpXF5RiBIEAyAAVBFPgRg4M&#10;SEQ5i8G4Un5nmsbwADsRJPrabpyocCIHgYAAwioImWDKKOS58g50Hq7BKmdlZnnUeGfxjFiUhcCw&#10;HAAO4bhOAAFxZpWsazLNnrdaMcR1aseU6vVtW5IdvyNcUkqfJdzSddKGyldkqXfrW7Rfeku3vMCF&#10;zFfcy39NDjYDNeCOdg04LKfJ9naABtnESy2m+wylQlu8GwJYYSg8M4ABSEI6VuAMScu1ClKWbBvZ&#10;kOZD5eZ5qm6hwLAmB4ADeMAmgAMYqiL0tlHIebhEOZBtAAcJ5Ht3z64sEYIMcQAdhSAAIAOAvlev&#10;7GErZrtpRzalrb4AEf7LIVvSLcMkXJJlzyfdUp3dK3s/ks+83tL98zHfkzX/weBTY4dN7CCyD3Hy&#10;eR2AigADeHIJ5+Z5gDAFagCADQWQAAsBGH9FYBGbQNLOOAcg6mWCJFCYMZY1CHAbAusMPwbArgAC&#10;eEVKEHEQK6AAN8eCdA/DEGuAAeDi4ZGqA6A4BIAA9A4aoB0BsQ4fxLiYQpriN1po7WuQh8aQVupE&#10;XAkdcaSlypNXRDEhTcl2pVXhE2MxFX6peXwQ1vyZF+pnQ+wB/zhk3MHTiWFDw9B7jgAANAbAeQAD&#10;mHWYKM5Z1fGKA2BUJQAAYAoEWXYAyw5ClOHMdoAAghJiqAALAXcZSFghUUqVU4AAfg3BZJM+g/C9&#10;AAGoOtAQhniAAJ6T98UqCnMkAuQQAAbAYgikYBZ2stphOlie16KLYYpq5bJFZs754tNrKc22Lz7W&#10;4rrjG3WYc2TsmtXrGp8JCY2v6cDHF/rhTmQAjsWNDw8h6rRGWNU8A7R4DLm0VAlBVAKgSB6AAGgK&#10;hKAAAUAgrE9SbHaQEJET4swACdFWLshQAkWgoBEBwAAiw8LVBmCwElBDTD4KSAAY45XGiVGeN8AF&#10;HilvihpRwmwFAEm2C+CwDwAAggeNdSynCy5ivdbA+BsaQFtvliw2l9MXH1tvjAQmMTdH405jNGlv&#10;b+G/xvf4mpgc546uJKgh4pY8B5DSLgNELoAB6j3KPU4nBXyUgQAadUHALYGANAXRutBEB3jxToJ8&#10;VgvAACKE2K4hQBVfAABmCujYiA7heABRKildSxD0H2T8XY4B0gAFENUcbE6P2OIlDR6j1gpAlA0A&#10;AKYJ7R2ctQjCnbX3vtiWxMuoMV20Poi22yLr7G4JRmtUyT1qX5VQfvGxfUbn9uCqs/+rMAinl6J/&#10;PIjowhnBSAAnO3xNq5UbBsCwTYAHaAzuqQoeY9SMisFyMVSwiiBEJQI9YHgM3pCHDpYoD0ibvlMh&#10;6jUV42zyCwQqUgf1K76kMAXYIAARQQHNDEC0gyLcA4NNNauY9PrX1AbM+aLLan1Nui++5ub8Le4O&#10;bvcCNaYbhzijgg6OU5mCwBjuU6/6rh0DrF6AAYg0IWskwBiAhICwE0zkaIkAEiQl4OHwpEAAuxij&#10;QAAGUPM/yE0vQKgcAAhQ51jAq7THRNh2KtAAKRWIABeq1lrlkhYCbBg6A2BIAAaAYLHzMr/MmcSm&#10;4Qe9FJ8MVbYzNwvUW21R8NzVffGTOTdsRTfIROFwGJ0G4pqviudJUCfLbYaKkyY1w46DIUyQBABw&#10;MOeBGTEEgHAx4OJ8UsZQ0HihXDfI9hSEseGSCcEQGwABCByC21VjOmCGw0HMPMjImxpx8GYOcd+u&#10;iEAHWSDEC7tQ05tu5S/Y20SJ50p7a6Ki2ZmYWqJbWaNt6kYcmvU3aS85uN6uDiR/OiaquE0bOirR&#10;T1IqAG0OITBfxuiIzGrfY0D81AkA6GWCoJA94OdOnkatJguh0MMO4eJygHKgAAFcJgPAACBDdBSi&#10;BNNxgAv+h6GzyRLjRpMNgdrA9jAFRaCkCYDViS9UTEnjfMSF7UtbMmlVsMK1DtpNAps0rcVJIRUv&#10;D3Ml46FqlcSceKJy7tuTi3no+ULDUG4ogb45RR7ShpYIxwHQL3SPae89F3ylIeGq48AAaQ+iXAAN&#10;wcSFgJVsAAGQKzvQ5BiCf0QhA/ZVjX5KAASbRU6vB2kANXAIAHmKWLL4E4EoN945jzTO1P3yWymd&#10;hio2GpqW60DNjxyu+jXC3TVS427LkOIuUU4i9JhnjYdCOcdlDuYkoMkBgCbOgbguEyisAfLLq8dc&#10;cN88gdBDwMGWxAw4FAIAADmGQKAAAvBQCD50fd/wADRHS0kRgzBuEiQjtJkgGJdBoBescGYGPk+d&#10;435CZGd9sZ521zvDM07ckL6FoL9CqvP7oqncWclx46PTOnCcEPCfuGodhmBrA2gAOGBmuZKIJ8AI&#10;AdAAAagWJ/qAqZrqi9gABwByoQA+hHCQj8j9gOAMDXBBA4gtAAAlAfrvPHB8qPhjhzFABHPtOOPq&#10;OYgJgEiqAukUgAAiMDv7txv1MJNrucKhLZpnv4uftwLeQgFUv8m+sSt1PRo5qsQACmsXgAB2h3iO&#10;hmtLAAJ2BswGnRgAAIgHAYrCAUjDAIAHQArHJVpAh0nGhEhNLABVBbBiAAAQAOCuBIg+tRiVmqPH&#10;B6rIgABdBwIQBOhpI+PHAHHqoXASGNgrgUKBwmtdQhNrJlMKQjPKs+Nus/PMv6LduhxKlBQniFNE&#10;PRP+vSP/sWCmikjhB0h2BfjJhsA5pZB8GZOYivlfgHAFmqMfjDgJAfsHB1h3B5AABKhSE8BMhThc&#10;gAASAPmNhOhEDwATAQRKOiB4ofBWhtGZBXBtELCwCwEPMcsdRyGqgCnrAhAPAKs1gYAQRSRLHtoo&#10;M6v1vJNsudQkPLv5OgCDv6vOR4krxTJwQoxUulP/QqxWimNIgAByB0qFBnhsk+C1kBOiFCAEkVAX&#10;ATBBAAOuLpMGqvFthQBXBfAABHhOhYgAASoJAABUBJA6j4QyvOstlXBQBplZBgBxlbOYldLBCUga&#10;vzIiIjSAtBxLubM8OcwjvLM+vMP5owxRP7SiEZSBtDyCv+SDxVyEtHlnGFoahyiQhpBtg+wakavH&#10;KXiuAUgRSYGQAyHRONLUh5iLiXBcEchEhMhWmON/FXhGtLlQIlO8BziSO/PABpJXPOivCwOVGbBC&#10;AegVAAOUS3ypL6yjP2QivKM9tuOetvM/vNMOyozJG8Nyn7MRwoPQyrtFulvSyFCdnFnGhshwhKi2&#10;hvBGQmnqs1ARgOy2mOiYqIHrLqh7ICAABcBhQGBChLBWF2AVpfBJg/OAGMtDNdIaBwq8KKhlBtnj&#10;B5NFRdCEARAIjHA/gdAUAAAJCpzQMGzKR7v3R8ylxPSmx+gAR/txTzEPyqCDxUTTkGNGTVStidIC&#10;DyGISOQNhTQmrBGbAOgMAqAAAZAUIEKIDJLqi1kJGUmVxkjBAZAVgRliAtgkzHsCOYpVEPOSRjhH&#10;hmHYh0mhPOiviwIkIhg5gaqNnmueT5rUT0MJvJs9Nt0ZCdufNvtATPSAUZkGz6gAT7ukzUSENHN3&#10;idKyijwutLh0B2K+QgPZPjghgAK3hOPdUdK6w3iMCMoPIQO3mbQSAInRGSNxwXClhnPrgABLKSgA&#10;B3lIEOvHEPAMgGIhgzvxp+Sg0grfUawiRNTL0cwk0ezOtwsP0+jzUh0iztD6z9RWT+CcrwzrhjBp&#10;KxuGlKwgK1TxgHLvAfAZy8LBPz1EzfifAABhhyDdBPhpFZB6Put9POqXDbAtgVKKMDDm1SLOU/xM&#10;0bv3x9SmR+QlxR1cj6VFyrUjT8zU1IUlCbkPB4B5jQziGesiydxKmanpAdgYpNU7iDViS4GFThBv&#10;oQBTBrLMrIqUv7gHxHAoASmNrSisTI1vKCVdub1A0cP4R9wlUfVD15VFTRJvOjsTN1wqUkvTiai9&#10;EJB1B3rzBiBnIWiknk1NEOMeUMrsu1PkAcV+rOB4B8EaxuGZBYhuELQbQgAFkRsCgPx2gugVqZtk&#10;V42NJbV6SkRNzMUtic0eTORQvNz5WYC01jTTVkVHVlStVmCKjjHkoPqFBmBqwEikiSxSKAqKAXgT&#10;mJOuDZWeqnB1B7DsBQhqFZBghxlORSFelflgs1AyAXR4AG2T2sJh2ZP2ykxOTMimWcRQSn2d1EW2&#10;iyWfv92gj6VH2iWDCKmFEBGYiBBqBthASySAtNjmgUAQA5AAATAPg1W9J6oaByo9U2hnKTTCyKxS&#10;AClkgYJgAAA1uXKXCqXLJUW3zLV71fz21g19wmXVH6V/qovQW+1G2/2h2Cw2iJlIChhsBwBIHHBw&#10;nIr/paRSIHvkgRANlUAWyNt9Uz3aImoaBwTqBFhkzrhxPBR4zERnzvPlAaASsggG0H3qIzXWV7Vf&#10;T2TNRPynKlSoUgX0CoW+OkXdDzXAXeiciMGZXEBAwNBztKU5x4gCINSOgLjZAYgUMgJD36IzQ3ht&#10;B3lthAhiodkIHLSpAOAGjFA6UX3wWbYHns31Vez1xO33T3VhTP4RCnX7WBQpsVN3XBLOgAVJo+ht&#10;JABzh1vYSpCTohgMgKAjUFAUTaNNiuYWIfu9EPBph1Rjg/YLOOQ3yAiwDEDbPxFjgagM1R4kIG4S&#10;R8SlYT26TN27X428YuCn4XQpRVWCYZXfCHLmIeB5qwBnBrnQkAp6TJQHUiAIwI0FhGgAK5XyYzoG&#10;00i4ByHGhGwaTQFcTyHrVaKKAjgQYj5Bn5YvT1YwW50d4x34Og35WeZKKC3bNzzS3c2B4Yumiar/&#10;kawtBkgAQDg3Yah7Pt48gAlfwyjLAZQ0wyQzZQH5LICfhdBvLKhPBqKzscSiRGnrAnASNOgsAULG&#10;5enr5LW42a1CWc270f5P5oiJ40yDUjys39iKjrgAB0B2ySoS3KzWz5iwYOJfAZgVXiALRhZtnr04&#10;kahVhsGZBZWRJakPRxSAgE3QpSAOjXJeJfZ6HfZp2aVB181C2dZs286ECH5uz8WhUkY2ia2jk6h1&#10;BaAABlBq3KilFXTJGSGM2pATWqgMWr6JG7h1h7FXBPBpij1UWxTzADFkvyvkg7gbCWkWXp6WGS6F&#10;VBV8VgV9VDXZ6gCJaKW/X83eaMXBh+RjvgD/o/A8ENoqTzXGgAATgQNLgTgPg16km7HgDhU3GVzC&#10;xj0ZlfCwAWgJmoA5gbXyLP6xGf6hXXX24xX3z3z46I66CEal38Dy39aniKFIDdBsBwhIgABshv7F&#10;UZoaHqvkgQgNrFFD6/GSvfBuIb02hnmVhuB3k6a1KISVXwg2gZJfAPAHDFbLl5a7X2Yw5Na9YVX5&#10;7Wa/5RTSRT1j7Ajh7B5UCK2tz/htIMBw4BU+ldABgCIhshUrgXIGbalmvpkPBqB2EBBL03hzTBUZ&#10;3vgPohAAAztnAWAKGobnlmbXYTZMz+5N695Pa+jhoaCkilxyiEvCD0GLM5bAZTOmQrCKo9KTBlBq&#10;A0gAB2B3kc1SCvkSAKgIWMgfAaSUivTfbyFHZChlBzlABMhoI+L70gvvgFjJAvgWqZgeFhcIqdR5&#10;pjR6wh1eYv25YQib265OR/b2EXCekJBwE1ikkPGmCFAGMCAKgEohgECTsyb8YYb9TViIkPB4h6Id&#10;j9LFLwni8DAAq1gHAYDRAYhVz4ADR28SFGpZgAWwDdBOBoo+ZC1SAJQcjd5ngAAkgRCuaf8uEsbz&#10;ZMcWibcX714zEGPfBxC/BSBszrgLAFIhgNAFDFcaQvk/AAa2lhgaALR276YokPQXCfoaACFcXQlf&#10;5jiDmAYlCulcAD7R0VCkJV8cHRCDvpil9H6b9MEYciY15T79iIWEcBB4ZWhkhpuAWtkNN88NgAGa&#10;zHAbgWrtq2JT84FAh51wBbBuh0MurMdd1E5kisgRiuAqgTiscddimt8TKeOazK317z86Ca87bZ5t&#10;DUvfBxh6E6BYBvo+AhgOLRgWAJM1B7VwBkB0rKhjB0LKgxAUzxdAIhstiMhvh5RjiUCwADABFfgS&#10;AHOWAFR0gAB49EBvB4xjpVClivCUgQD1Hpi8B1jxE6h6k6AG+HB4h9lXTIRngHGoAHADXUz6bbzo&#10;Uibdb8z92iiGRX5yYdgAUnKTh9Vq1E52AFUMgYgUzaPaAhdsEs57SWhrkNBa9lV++Glfqax2sEiD&#10;WXekc49tLWPI0bcV5q6G5r4y6IEG9zd0JN91gAd29394qVCDhzeQAABWhvGVgTAIPkgYAKjXBhBy&#10;kLPpifgL9CO1h4EBAVgJs1AYgKFhhj98nHeJmOAJUyjkFt8giUghgOqKBnh1jdBZhwCjgegMmNip&#10;CqBt/BgAAReUwegOKKMGEGdWysY2bfCICfDlBxB0S8Bohsg+GJ6o1iB/iwdAisAWASoMAQAMoW+s&#10;EZaXDsCio+BjBylAV5abyfygg3gZqN+o/kEZc5cWZrYyZO88D6+y90+0e1IK+2CEh2h8DsBZBwRF&#10;iEAW+2BcBxLMgrgSUMiZvqh2HG9zltiAE0QCAAKxut0ADQLhUACUHg8AOB4vMAMFzuYAFwTCYANt&#10;4PAAL1yxg2i0WAAJggDgBmOp1gBfSMAHYYC8AAcCAMATueT2fT+gUGhT11AgKABTiMpgB8gOV0EK&#10;vh2AAsN1XgAEv170OuV2vUB9P1+gBxvOKAAKBYAEg/H4ABoWi6vPp9u4AN1yJ0ANZuooAP1/Pmv4&#10;PCYXDYfEYnFVwEAaGCcQG0AZA3TwBYvMZnNZvOZ3PZ/POZ6PgAI1ltwANl3RR/gDWgEAbDQbPabX&#10;PAIA7AUhMGgA+DkTgAGgYCbbjcfkcnlcuevvnABsdEAMbqAAwdebgenzx/91/vl6PS9rZbABhJFH&#10;gALgsFAAMgsF517gMEABnBSbMULjehAh+tIGJ2mmAAenQY7mJ+fzurIeh6gAWBvnAAAhg4DQABYC&#10;QJJ8dR7q2WBvQkBQCuKDIFPaVBttQG4LguAACNwAB8LEAAHAKAwABcCYJgATJqmqAAQAcBy0AS+p&#10;8H4sbZAAJQPg+jp4pAZJ0nUAA1BYFSsAI4ponYdoAFqcJwgAOYXpsBgDALBENqMpClKYpyhKiqaq&#10;qurKtzUsEZrKs60rWtq3rirx8H1KhsG+9JtnES7XH+f08UfSDQTQCAABEDgwAAFYRj0AABgE+tI1&#10;DUVR1IwpxHirZAmOa4AHSerBVLWNZK4EAHviP4dOCCoFO3WdfV/YDkucfboOk6hjOs7DtV7RjuvA&#10;8RrPI8z0PU9j3Pg+T6Ps/AAP0/igv9AEBQJA1IwU1pxwbB8IwnCsLwyAB+H9RxtHgeIAFscJxAAH&#10;YMgwnbWpCcpygANiTAACADxvc94wWct1FMbRtgAJgQycF8dWav8Fn1eYAGRKYAGIcxzgANMruEA0&#10;bmadaXmGcuSjeF4Wyy4tIKKo6kqWptmJ7OSqKsrCtVIsKxz2nc+rYty4LkobWnqe5xgAaZuECABx&#10;HOVdg63UsRgYAAOguKQABeE5CABEdKa5te2baodHJ2bZ3PEPxi1Yep9H5t29uWDQGASAA6BqEgAB&#10;MCWv75xPFbbYdimw6bquvTFlp87zvvC8byvO9L1va974s4+b6vu/L9v6/4AQDAcCwPSGGXTByDG8&#10;hILKOEoIUoei6amdq7HmfZ9AAKoRhEABzHqe0vzCAAagtFoQgdr5+QWAoBMvF7Llmb8xAWAs0h7f&#10;2N0dgIAAi7QAGOdB0gAWN2CwEvCAwBXASlKjANaLoTcJ6zL5vNjOk3s9J4z9OjQk7qiaKWQszSC1&#10;NKUA00oRrR5D1YmM8a4dFWjuGA4uDhoABraAwBMIYAAZgpPSSpf8HYVQrOYx01ozx0EgEWMtiaR2&#10;4GuhZDkwwFleAADKC8ggOQNIah1EWIxtnGnRcesdZLk3zk9css9zK03OLWc+tl0a3FvOnXE6tcrr&#10;kFjpQ6+wbyYixqOAajYnx73AAwAmUcCqRUYozGsO4d63RzjoAAA9lQAEzppRyjsEADWvjgHkeIX4&#10;5iMAHesTeD4AARgPSGCYCBEBlDpJeLEcCYgZgVKOa01plzYBEA6BsAAG1sKjZwm1nacCoFSaAnVo&#10;ao4EtHLRA1P7TIIqNAAPAeg1AADKGoGgABE5gRHmQVx6xxQJgPBsAAGwLBMAAAWAkgkyZsTZK8Pd&#10;JBFRxpeE0NAb4AGOw3m1Mh8hKUbhYBSBxJYIkWznnlPMoUSVjORWVE87h3opLRc0tRzq13QGbdEt&#10;t0q3ygLhdSuN1iszvQ4KGbk2CSiusMKCbiijlZ9vkJ3RJGI/G9MgSo/UAAaGUI1TSkqjyspVwAZ4&#10;nGWEBU7NET1AuW6fmlqBKCd0sY7R4jMOmNALaMVCT0nObB6IKAAA5BcXoB4DCT1GqlMgeTeUvjdj&#10;0KkbA5F4seo7VOHRwzihLBGv8LgKgO1grVNme0S58ROWZFFzE/oqLVc9Kmgi2nSLddMuB1DqlyOt&#10;rWbRI7ehnJdPsOsqYXwUEcjSmltdLU3UvlenNoNM5aU1T5LinMECfndWIOkdwwmRDPCsABeaxLBx&#10;HAYAoEMJAUiRPUBMIFq7bOJHePhYgqKtgAFuN59dFrbwdASAUnQPwOlHDQC+16L6M3Dug1ytrkFk&#10;OSOzXGflc1pObrtQKLFBq+UIJ/QqwFDbomcXko5DhpB0j2eSCsCaGgDSNsi/+ycrigQEsvLOBFmo&#10;GU4geUIsTyRxjpFhMGYd54ipFQsC0EgfUgAaqHgrCisR0D1NIJ8aiYhijkLthVxYB1PPMAyBFKoM&#10;HigOJxiDFipbpxMus5SKF2VoXboBFavBmqC17i3X6LtgcW4KslK2ARO79SygOqGWtNmky5p0UAfY&#10;/CQDcHGXoaY22rG5YBRzILW2FFHBMB8NQAAUghgxl3NBxmGDiHk8kTA0UJDUHWPLNLbXqmXBYBVI&#10;YagY2vPeqDOugTj4vrfddyuNIp3coDFd0NeotV9oTX+hkX9BVryHAGmFlskU0aNkyzmASgqDSoNc&#10;bwjCOjimmgs2Nz9KqkRGkMEAGgtOpBQX7VutzFj9QW3I8QlBnuzIk8nXCvlPGwBIBBr4agZWvkjQ&#10;PYezzF6EurPm7CzrtT/irXfZxmR8JwGoBEFJLAKgxKEAcfpggVjvceDYdYztoVGHaAdDQsQPhJnI&#10;ANG5QQJj4LsE0cQuQAUKszp2zeAJdFBHsPirg0Bsh4AAOQdIst3q/g+4ADQFAkAABuC0TgAHrWQ4&#10;nyEnq8jWjSHWvcSIzSEDtHu8HkSostAAA439k2fUcAVIhy/nRXNpRN0NjPa2NdsXd0YZsfoATLjv&#10;AOpQdqbKLy8AgPkkDP+dzJpeOEBdaR/30KBuYwQHR61cAGP4sfA4FcFgdwejQ8x6moGYNYyQ6x3r&#10;I6qqJ6xKwLARB8AAHALhNAATQjvuu7ywqOGWOiO4jxmGoht4NUMPCVhjBak4HYHPBeO8Hz3GM+st&#10;9B0TjfbXmPRTZyX2jJ1nlGN6HePIaJLO4S9HnMf0aCDcJpAkA8GrzAViSOEAsjns9WzcUcMEcZUx&#10;KDOIR8BR4EDGgACsCeUwTgSQp+VyLzW1ND+erporHG2/q/fb56W//acnk7XmYIdQ7hiH2GuHIAA9&#10;B7zj/Acg3JOtkEnBkCrU0zbxfzxaHmqsFmqwAAFMGsakq+YA/8M+NkAYRGLWBCRaDABYA9AU2g+u&#10;rg+ycu6EIqWoJSJWAmAScBArBGWCvSVaeQU6ec4M/KL+H6eSHMHWFwAAGeGwDsqISpBINo6Qj8AU&#10;eKBgBMEMLeAq4zBywqHct0KRAMt8G+fXCKNAYCAQuMX4A2R2DiBoBHCc0rAu5+o3A0amWkGAWoew&#10;1W1ZCzDMOYoeXmNaAmSaAACMD4D4PcBUBWJ8pAQcwKwOGkG1DiyiXvDOM6NgRNAoBcBID+5kAuCh&#10;D+ugHUHsMEEyGinGGSHMjvEUM6ucbI5wAAECB43DEqyDC2xlC6HscwGSFzBkGiFaFYbAAu+pE9Fc&#10;OQH0H0MEZaS8BGBgZoB4DEDGj2AwQsJ6/OAAp8GaLuHG46byJBFeMSomAAAUAQrSBEA6DEfKAa9R&#10;GSqMHXEaAAw0TEzkzpGsMWNwMuBUAoN6DsBsBLG+wpFA84WaH+LMIoiYcaCZHnHTHqM8HTHwAAFl&#10;H2AACCCCB+AABIBI9/HtIK++8aG0HeIoHCVRIMMMJyNgA65ozySHIcttHW2rHcgXHiOfHmCZItJA&#10;MNHwfXH24lH8CDIDIFJDJXJZJbJcmTIxAzHeuoABHlHpJfJwJ5JHH1H5JPJScJJzKDKFKHKIUhJi&#10;6BI1HgOrJtI/KLJZJ3JLH7H9J/KdKrKtKvKwMPKPC7JnI4WJI9KzIdKhJ7KnIFKBLDLRLTLVKHK2&#10;87KTJpKZLXHTLHJNLLJVLlLxLzL1G/LbHbK7KXI7JvL3ErLpKlJRLNMHMTMVMW/9L6ctL+WRLjMZ&#10;DNMLJ9MRMnMxMzM03fMcO9MhJrMDKbM3BHMrLtLPNHNRNTNUujM6O7M/MlNW/BNLMPLvNjNtNvNw&#10;mxNbLfK8YpMFNy9HNnKpOBOJOLOMcYOeiVJo83IzNfNDOO8xOFMvOhOpOrOsTVN2HlO0AAF/O6l6&#10;I+AACFPFOu52HZPMAAF5PSqWByByAASaSdPJPjPlPmM0caG9PuAAGpP0pKDQmIARP/AyI+JAFrQI&#10;AAGlQOPURZPo4mHzQaAAHRQgAAArQnGYRNQXQvQxQyKAXmUcHrQ80MDbRCmoxzHbQ4ABO0zoHxRU&#10;4DQBQ01vRMQ6K2coS0ZtRdRtRvOsoepAb0oeApR84865LdRxSHSJSLSM+qctSPSVSXSZSa0EICAA&#10;EAD+AAQAAQAAAAAAAAAAAQQAAQAAAFwBAAABAQQAAQAAAJABAAACAQMABAAAAMLmAAADAQMAAQAA&#10;AAUAAAAGAQMAAQAAAAIAAAARAQQAAQAAAAgAAAAVAQMAAQAAAAQAAAAWAQQAAQAAAJABAAAXAQQA&#10;AQAAAPPlAAAaAQUAAQAAAMrmAAAbAQUAAQAAANLmAAAcAQMAAQAAAAEAAAAoAQMAAQAAAAIAAAA9&#10;AQMAAQAAAAIAAABSAQMAAQAAAAIAAAAAAAAACAAIAAgACAAAdwEA6AMAAAB3AQDoAwAAUEsBAi0A&#10;FAAGAAgAAAAhACLtDhwJAQAAFQIAABMAAAAAAAAAAAAAAAAAAAAAAFtDb250ZW50X1R5cGVzXS54&#10;bWxQSwECLQAUAAYACAAAACEAOP0h/9YAAACUAQAACwAAAAAAAAAAAAAAAAA6AQAAX3JlbHMvLnJl&#10;bHNQSwECLQAUAAYACAAAACEAbonr91sDAADxCgAADgAAAAAAAAAAAAAAAAA5AgAAZHJzL2Uyb0Rv&#10;Yy54bWxQSwECLQAUAAYACAAAACEAS3IOkcMAAACnAQAAGQAAAAAAAAAAAAAAAADABQAAZHJzL19y&#10;ZWxzL2Uyb0RvYy54bWwucmVsc1BLAQItABQABgAIAAAAIQA99vns3QAAAAUBAAAPAAAAAAAAAAAA&#10;AAAAALoGAABkcnMvZG93bnJldi54bWxQSwECLQAKAAAAAAAAACEAjiahSnDpAABw6QAAFQAAAAAA&#10;AAAAAAAAAADEBwAAZHJzL21lZGlhL2ltYWdlMS50aWZmUEsBAi0ACgAAAAAAAAAhADArE9na5gAA&#10;2uYAABUAAAAAAAAAAAAAAAAAZ/EAAGRycy9tZWRpYS9pbWFnZTIudGlmZlBLBQYAAAAABwAHAMAB&#10;AAB02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06" o:spid="_x0000_s1027" type="#_x0000_t75" alt="Diagram (1 of 2 for Figure 123)" style="position:absolute;width:30861;height:35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avTXBAAAA3QAAAA8AAABkcnMvZG93bnJldi54bWxEj80KwjAQhO+C7xBW8CKaKiJSjSKKIF7E&#10;HzwvzdoWm01pYlvf3giCx2FmvmGW69YUoqbK5ZYVjEcRCOLE6pxTBbfrfjgH4TyyxsIyKXiTg/Wq&#10;21lirG3DZ6ovPhUBwi5GBZn3ZSylSzIy6Ea2JA7ew1YGfZBVKnWFTYCbQk6iaCYN5hwWMixpm1Hy&#10;vLyMgv2JzmUx8NP7bvA43ibPGptXrVS/124WIDy1/h/+tQ9awXQczeD7JjwBufo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GavTXBAAAA3QAAAA8AAAAAAAAAAAAAAAAAnwIA&#10;AGRycy9kb3ducmV2LnhtbFBLBQYAAAAABAAEAPcAAACNAwAAAAA=&#10;">
                  <v:imagedata r:id="rId179" o:title="Diagram (1 of 2 for Figure 123)"/>
                  <v:path arrowok="t"/>
                </v:shape>
                <v:shape id="Picture 4107" o:spid="_x0000_s1028" type="#_x0000_t75" alt="Diagram (2 of 2 for figure 123)" style="position:absolute;left:31432;top:190;width:30988;height:35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Qpt/FAAAA3QAAAA8AAABkcnMvZG93bnJldi54bWxEj0FrwkAUhO9C/8PyCr3pxiLapq6iBWmP&#10;NjE9v2af2dDs25jdavLv3YLgcZiZb5jlureNOFPna8cKppMEBHHpdM2VgkO+G7+A8AFZY+OYFAzk&#10;Yb16GC0x1e7CX3TOQiUihH2KCkwIbSqlLw1Z9BPXEkfv6DqLIcqukrrDS4TbRj4nyVxarDkuGGzp&#10;3VD5m/1ZBd+v24I/fopBHgqT74fydMxOc6WeHvvNG4hAfbiHb+1PrWA2TRbw/yY+Abm6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EKbfxQAAAN0AAAAPAAAAAAAAAAAAAAAA&#10;AJ8CAABkcnMvZG93bnJldi54bWxQSwUGAAAAAAQABAD3AAAAkQMAAAAA&#10;">
                  <v:imagedata r:id="rId180" o:title="Diagram (2 of 2 for figure 123)"/>
                  <v:path arrowok="t"/>
                </v:shape>
                <w10:anchorlock/>
              </v:group>
            </w:pict>
          </mc:Fallback>
        </mc:AlternateContent>
      </w:r>
    </w:p>
    <w:p w14:paraId="6AF32131" w14:textId="133CD618" w:rsidR="003D3694" w:rsidRPr="00747E35" w:rsidRDefault="003D3694" w:rsidP="00566456">
      <w:pPr>
        <w:pStyle w:val="Caption"/>
        <w:numPr>
          <w:ilvl w:val="0"/>
          <w:numId w:val="0"/>
        </w:numPr>
        <w:rPr>
          <w:rFonts w:cstheme="minorHAnsi"/>
        </w:rPr>
      </w:pPr>
      <w:bookmarkStart w:id="317" w:name="_Ref452278595"/>
      <w:bookmarkStart w:id="318" w:name="_Ref441210833"/>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123</w:t>
      </w:r>
      <w:r w:rsidR="009D6600" w:rsidRPr="00747E35">
        <w:rPr>
          <w:rFonts w:cstheme="minorHAnsi"/>
          <w:noProof/>
        </w:rPr>
        <w:fldChar w:fldCharType="end"/>
      </w:r>
      <w:bookmarkEnd w:id="317"/>
      <w:r w:rsidRPr="00747E35">
        <w:rPr>
          <w:rFonts w:cstheme="minorHAnsi"/>
        </w:rPr>
        <w:t xml:space="preserve">: </w:t>
      </w:r>
      <w:bookmarkEnd w:id="318"/>
      <w:r w:rsidRPr="00747E35">
        <w:rPr>
          <w:rFonts w:cstheme="minorHAnsi"/>
        </w:rPr>
        <w:t xml:space="preserve">Conceptual models of redox chemistry at </w:t>
      </w:r>
      <w:r w:rsidR="006B2C7A">
        <w:rPr>
          <w:rFonts w:cstheme="minorHAnsi"/>
        </w:rPr>
        <w:t>downwelling</w:t>
      </w:r>
      <w:r w:rsidRPr="00747E35">
        <w:rPr>
          <w:rFonts w:cstheme="minorHAnsi"/>
        </w:rPr>
        <w:t xml:space="preserve"> and upwelling sites of regional groundwater at Maules Creek catchment. Adapted and modified from Boulton et al. (2010).</w:t>
      </w:r>
    </w:p>
    <w:p w14:paraId="0C4D365C" w14:textId="77777777" w:rsidR="003D3694" w:rsidRPr="00747E35" w:rsidRDefault="003D3694" w:rsidP="003D3694">
      <w:pPr>
        <w:rPr>
          <w:rFonts w:asciiTheme="minorHAnsi" w:hAnsiTheme="minorHAnsi" w:cstheme="minorHAnsi"/>
        </w:rPr>
      </w:pPr>
    </w:p>
    <w:p w14:paraId="092B2E15" w14:textId="3A56F4E3"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Both identified sites of major regional groundwater discharge (the ‘Spring’ and ‘Radon 35’) are a source of nitrate. However, at Radon 35, the nitrate is very localised, potentially because this section of the creek is a series of disconnected pools. In the perennial gaining section of Horsearm Creek (including the ‘Spring’ site) with free surface flow nitrate is present along the reach as evidenced from the surface water nitrate profile along this section (see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_Ref453228235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73</w:t>
      </w:r>
      <w:r w:rsidRPr="00747E35">
        <w:rPr>
          <w:rFonts w:asciiTheme="minorHAnsi" w:hAnsiTheme="minorHAnsi" w:cstheme="minorHAnsi"/>
          <w:highlight w:val="yellow"/>
        </w:rPr>
        <w:fldChar w:fldCharType="end"/>
      </w:r>
      <w:r w:rsidRPr="00747E35">
        <w:rPr>
          <w:rFonts w:asciiTheme="minorHAnsi" w:hAnsiTheme="minorHAnsi" w:cstheme="minorHAnsi"/>
        </w:rPr>
        <w:t xml:space="preserve">). Initially, groundwater drawdown could cause the continuous riffle-pool system in this section to become a series of disconnected pools, similar to the upper reach of Horsearm Creek (‘Radon 35’ site) and hence areas of measurable nitrate concentrations would be localised to </w:t>
      </w:r>
      <w:r w:rsidRPr="00747E35">
        <w:rPr>
          <w:rFonts w:asciiTheme="minorHAnsi" w:hAnsiTheme="minorHAnsi" w:cstheme="minorHAnsi"/>
        </w:rPr>
        <w:lastRenderedPageBreak/>
        <w:t>remaining areas of regional groundwater discharge. Further groundwater drawdown would potentially remove upwelling zones of regional groundwater altogether, such as the ‘Spring’, and hence remove the regional source of nitrate to the creek. In addition, a switch from gaining to losing conditions would lead to the hyporheic zone becoming a sink of surface nitrate (via denitrification) causing an overall decrease of available nitrogen in the system (Trauth et al. 2014). The mechanism of denitrification in losing reaches</w:t>
      </w:r>
      <w:r w:rsidR="00966A0B">
        <w:rPr>
          <w:rFonts w:asciiTheme="minorHAnsi" w:hAnsiTheme="minorHAnsi" w:cstheme="minorHAnsi"/>
        </w:rPr>
        <w:t xml:space="preserve"> </w:t>
      </w:r>
      <w:r w:rsidRPr="00747E35">
        <w:rPr>
          <w:rFonts w:asciiTheme="minorHAnsi" w:hAnsiTheme="minorHAnsi" w:cstheme="minorHAnsi"/>
        </w:rPr>
        <w:t>could potentially explain the decrease in nitrate in the perennial losing section compared to the perennial gaining section, but nitrate uptake by microbial biofilms (autotrophs and heterotrophs) undoubtedly plays a role as well (Peterson et al</w:t>
      </w:r>
      <w:r w:rsidR="005E04D7">
        <w:rPr>
          <w:rFonts w:asciiTheme="minorHAnsi" w:hAnsiTheme="minorHAnsi" w:cstheme="minorHAnsi"/>
        </w:rPr>
        <w:t>.</w:t>
      </w:r>
      <w:r w:rsidRPr="00747E35">
        <w:rPr>
          <w:rFonts w:asciiTheme="minorHAnsi" w:hAnsiTheme="minorHAnsi" w:cstheme="minorHAnsi"/>
        </w:rPr>
        <w:t xml:space="preserve"> 2001).</w:t>
      </w:r>
    </w:p>
    <w:p w14:paraId="58939A1E" w14:textId="4F688833" w:rsidR="003D3694" w:rsidRPr="00747E35" w:rsidRDefault="003D3694" w:rsidP="003D3694">
      <w:pPr>
        <w:rPr>
          <w:rFonts w:asciiTheme="minorHAnsi" w:hAnsiTheme="minorHAnsi" w:cstheme="minorHAnsi"/>
        </w:rPr>
      </w:pPr>
      <w:r w:rsidRPr="00747E35">
        <w:rPr>
          <w:rFonts w:asciiTheme="minorHAnsi" w:hAnsiTheme="minorHAnsi" w:cstheme="minorHAnsi"/>
        </w:rPr>
        <w:t>Zarnetske et al</w:t>
      </w:r>
      <w:r w:rsidR="005E04D7">
        <w:rPr>
          <w:rFonts w:asciiTheme="minorHAnsi" w:hAnsiTheme="minorHAnsi" w:cstheme="minorHAnsi"/>
        </w:rPr>
        <w:t>.</w:t>
      </w:r>
      <w:r w:rsidRPr="00747E35">
        <w:rPr>
          <w:rFonts w:asciiTheme="minorHAnsi" w:hAnsiTheme="minorHAnsi" w:cstheme="minorHAnsi"/>
        </w:rPr>
        <w:t xml:space="preserve"> (2011) showed that inorganic nitrogen release from mineralisation of OM and its subsequent nitrification and removal (denitrification) is related to location along the flow paths and the residence time in the hyporheic zone. As water flows through the hyporheic zone, initially there is a zone of net nitrate production as DO in the oxic water is both oxidising OM and nitrifying inorganic N released from the OM mineralisation. As the water becomes anoxic, denitrification will become dominant, consuming nitrate. OM mineralisation will continue, however, with ammonium being the inorganic form of N released. Eventually the rate of denitrification decreases due to lack of nitrate even though the redox conditions are favourable for denitrification. When iron reduction starts occurring phosphorus that is bound to iron hydroxides will be released. The combined processes of denitrification, iron-oxide reduction and phosphorous release result in the nitrate, ammonium and phosphate profiles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_Ref466377844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124</w:t>
      </w:r>
      <w:r w:rsidRPr="00747E35">
        <w:rPr>
          <w:rFonts w:asciiTheme="minorHAnsi" w:hAnsiTheme="minorHAnsi" w:cstheme="minorHAnsi"/>
        </w:rPr>
        <w:fldChar w:fldCharType="end"/>
      </w:r>
      <w:r w:rsidRPr="00747E35">
        <w:rPr>
          <w:rFonts w:asciiTheme="minorHAnsi" w:hAnsiTheme="minorHAnsi" w:cstheme="minorHAnsi"/>
        </w:rPr>
        <w:t>, which can be summarised as decreasing NO</w:t>
      </w:r>
      <w:r w:rsidRPr="00747E35">
        <w:rPr>
          <w:rFonts w:asciiTheme="minorHAnsi" w:hAnsiTheme="minorHAnsi" w:cstheme="minorHAnsi"/>
          <w:vertAlign w:val="subscript"/>
        </w:rPr>
        <w:t>3</w:t>
      </w:r>
      <w:r w:rsidRPr="00747E35">
        <w:rPr>
          <w:rFonts w:asciiTheme="minorHAnsi" w:hAnsiTheme="minorHAnsi" w:cstheme="minorHAnsi"/>
        </w:rPr>
        <w:t>/NH</w:t>
      </w:r>
      <w:r w:rsidRPr="00747E35">
        <w:rPr>
          <w:rFonts w:asciiTheme="minorHAnsi" w:hAnsiTheme="minorHAnsi" w:cstheme="minorHAnsi"/>
          <w:vertAlign w:val="subscript"/>
        </w:rPr>
        <w:t>4</w:t>
      </w:r>
      <w:r w:rsidRPr="00747E35">
        <w:rPr>
          <w:rFonts w:asciiTheme="minorHAnsi" w:hAnsiTheme="minorHAnsi" w:cstheme="minorHAnsi"/>
        </w:rPr>
        <w:t xml:space="preserve"> and decreasing total inorganic N/P ratios along flow paths. This conceptual model is supported by the data collected as part of this study. An increase in ammonium as a function of hyporheic flow path length can be observed in the perennial losing section of the Maules Creek catchment at Pool 38 where ammonium increased along the drying streambed from October 2015. Also, samples that had high phosphate tended to be samples that were very reduced and classified in the redox scheme as iron reduction.</w:t>
      </w:r>
    </w:p>
    <w:p w14:paraId="318C5D79" w14:textId="77777777" w:rsidR="003D3694" w:rsidRPr="00747E35" w:rsidRDefault="003D3694" w:rsidP="003D3694">
      <w:pPr>
        <w:keepNext/>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7EFF5793" wp14:editId="24F8CBFE">
            <wp:extent cx="4572000" cy="2743200"/>
            <wp:effectExtent l="0" t="0" r="0" b="0"/>
            <wp:docPr id="47" name="Chart 47" descr="Chart">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87545EE-F97E-4025-9BC9-23A42AD72B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14:paraId="70EAA5FF" w14:textId="77777777" w:rsidR="003D3694" w:rsidRPr="00747E35" w:rsidRDefault="003D3694" w:rsidP="00566456">
      <w:pPr>
        <w:pStyle w:val="Caption"/>
        <w:numPr>
          <w:ilvl w:val="0"/>
          <w:numId w:val="0"/>
        </w:numPr>
        <w:jc w:val="both"/>
        <w:rPr>
          <w:rFonts w:cstheme="minorHAnsi"/>
        </w:rPr>
      </w:pPr>
      <w:bookmarkStart w:id="319" w:name="_Ref466377844"/>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124</w:t>
      </w:r>
      <w:r w:rsidR="009D6600" w:rsidRPr="00747E35">
        <w:rPr>
          <w:rFonts w:cstheme="minorHAnsi"/>
          <w:noProof/>
        </w:rPr>
        <w:fldChar w:fldCharType="end"/>
      </w:r>
      <w:bookmarkEnd w:id="319"/>
      <w:r w:rsidRPr="00747E35">
        <w:rPr>
          <w:rFonts w:cstheme="minorHAnsi"/>
        </w:rPr>
        <w:t>: Conceptual model of the evolution of dissolved oxygen, nitrate (NO</w:t>
      </w:r>
      <w:r w:rsidRPr="00747E35">
        <w:rPr>
          <w:rFonts w:cstheme="minorHAnsi"/>
          <w:vertAlign w:val="subscript"/>
        </w:rPr>
        <w:t>3</w:t>
      </w:r>
      <w:r w:rsidRPr="00747E35">
        <w:rPr>
          <w:rFonts w:cstheme="minorHAnsi"/>
          <w:vertAlign w:val="superscript"/>
        </w:rPr>
        <w:t>-</w:t>
      </w:r>
      <w:r w:rsidRPr="00747E35">
        <w:rPr>
          <w:rFonts w:cstheme="minorHAnsi"/>
        </w:rPr>
        <w:t>), ammonium (NH</w:t>
      </w:r>
      <w:r w:rsidRPr="00747E35">
        <w:rPr>
          <w:rFonts w:cstheme="minorHAnsi"/>
          <w:vertAlign w:val="subscript"/>
        </w:rPr>
        <w:t>4</w:t>
      </w:r>
      <w:r w:rsidRPr="00747E35">
        <w:rPr>
          <w:rFonts w:cstheme="minorHAnsi"/>
          <w:vertAlign w:val="superscript"/>
        </w:rPr>
        <w:t>+</w:t>
      </w:r>
      <w:r w:rsidRPr="00747E35">
        <w:rPr>
          <w:rFonts w:cstheme="minorHAnsi"/>
        </w:rPr>
        <w:t>), ferrous iron (Fe</w:t>
      </w:r>
      <w:r w:rsidRPr="00747E35">
        <w:rPr>
          <w:rFonts w:cstheme="minorHAnsi"/>
          <w:vertAlign w:val="superscript"/>
        </w:rPr>
        <w:t>2+</w:t>
      </w:r>
      <w:r w:rsidRPr="00747E35">
        <w:rPr>
          <w:rFonts w:cstheme="minorHAnsi"/>
        </w:rPr>
        <w:t xml:space="preserve">) and SRP (soluble reactive phosphorus) as a function of hyporheic flow-path length. Conceptually, any location along the x-axis then represents the relative upwelling hyporheic water chemistry at that location.   </w:t>
      </w:r>
    </w:p>
    <w:p w14:paraId="74EF2CEE" w14:textId="77777777" w:rsidR="003D3694" w:rsidRPr="00747E35" w:rsidRDefault="003D3694" w:rsidP="003D3694">
      <w:pPr>
        <w:rPr>
          <w:rFonts w:asciiTheme="minorHAnsi" w:hAnsiTheme="minorHAnsi" w:cstheme="minorHAnsi"/>
        </w:rPr>
      </w:pPr>
    </w:p>
    <w:p w14:paraId="169BAC10" w14:textId="629F5A2D"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In the perennial sections, as water flows through the subsurface the total concentration of DOC increases (see </w:t>
      </w:r>
      <w:r w:rsidRPr="00747E35">
        <w:rPr>
          <w:rFonts w:asciiTheme="minorHAnsi" w:hAnsiTheme="minorHAnsi" w:cstheme="minorHAnsi"/>
        </w:rPr>
        <w:fldChar w:fldCharType="begin"/>
      </w:r>
      <w:r w:rsidRPr="00747E35">
        <w:rPr>
          <w:rFonts w:asciiTheme="minorHAnsi" w:hAnsiTheme="minorHAnsi" w:cstheme="minorHAnsi"/>
        </w:rPr>
        <w:instrText xml:space="preserve"> REF _Ref453170928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78</w:t>
      </w:r>
      <w:r w:rsidRPr="00747E35">
        <w:rPr>
          <w:rFonts w:asciiTheme="minorHAnsi" w:hAnsiTheme="minorHAnsi" w:cstheme="minorHAnsi"/>
        </w:rPr>
        <w:fldChar w:fldCharType="end"/>
      </w:r>
      <w:r w:rsidRPr="00747E35">
        <w:rPr>
          <w:rFonts w:asciiTheme="minorHAnsi" w:hAnsiTheme="minorHAnsi" w:cstheme="minorHAnsi"/>
        </w:rPr>
        <w:t xml:space="preserve">). PARAFAC analysis of the fluorescence signatures indicated that the relative processed humics content increases while the unprocessed humics content decreases and the UV absorption indicates the molecular weight decreases (conceptual model shown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_Ref466377922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125</w:t>
      </w:r>
      <w:r w:rsidRPr="00747E35">
        <w:rPr>
          <w:rFonts w:asciiTheme="minorHAnsi" w:hAnsiTheme="minorHAnsi" w:cstheme="minorHAnsi"/>
        </w:rPr>
        <w:fldChar w:fldCharType="end"/>
      </w:r>
      <w:r w:rsidRPr="00747E35">
        <w:rPr>
          <w:rFonts w:asciiTheme="minorHAnsi" w:hAnsiTheme="minorHAnsi" w:cstheme="minorHAnsi"/>
        </w:rPr>
        <w:t>). These observations are suggestive of the hyporheic zone being a biogeochemical processing zone where sedimentary labile OM is mobilised. That sedimentary OM must play a role is deduced from the overall increase in DOC concentrations (i.e. another source apart from surface-water DOC).</w:t>
      </w:r>
    </w:p>
    <w:p w14:paraId="6D249031" w14:textId="77777777" w:rsidR="003D3694" w:rsidRPr="00747E35" w:rsidRDefault="003D3694" w:rsidP="003D3694">
      <w:pPr>
        <w:rPr>
          <w:rFonts w:asciiTheme="minorHAnsi" w:hAnsiTheme="minorHAnsi" w:cstheme="minorHAnsi"/>
          <w:noProof/>
          <w:lang w:eastAsia="en-AU"/>
        </w:rPr>
      </w:pPr>
      <w:r w:rsidRPr="00747E35">
        <w:rPr>
          <w:rFonts w:asciiTheme="minorHAnsi" w:hAnsiTheme="minorHAnsi" w:cstheme="minorHAnsi"/>
          <w:noProof/>
          <w:lang w:val="en-AU" w:eastAsia="en-AU"/>
        </w:rPr>
        <w:lastRenderedPageBreak/>
        <w:drawing>
          <wp:inline distT="0" distB="0" distL="0" distR="0" wp14:anchorId="4A64BFA9" wp14:editId="276E2A12">
            <wp:extent cx="2667000" cy="2571751"/>
            <wp:effectExtent l="0" t="0" r="0" b="0"/>
            <wp:docPr id="308" name="Content Placeholder 4" descr="Diagram (1 of 2 for Figure 12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rotWithShape="1">
                    <a:blip r:embed="rId182" cstate="screen">
                      <a:extLst>
                        <a:ext uri="{28A0092B-C50C-407E-A947-70E740481C1C}">
                          <a14:useLocalDpi xmlns:a14="http://schemas.microsoft.com/office/drawing/2010/main"/>
                        </a:ext>
                      </a:extLst>
                    </a:blip>
                    <a:srcRect/>
                    <a:stretch/>
                  </pic:blipFill>
                  <pic:spPr>
                    <a:xfrm>
                      <a:off x="0" y="0"/>
                      <a:ext cx="2687989" cy="2591990"/>
                    </a:xfrm>
                    <a:prstGeom prst="rect">
                      <a:avLst/>
                    </a:prstGeom>
                  </pic:spPr>
                </pic:pic>
              </a:graphicData>
            </a:graphic>
          </wp:inline>
        </w:drawing>
      </w:r>
      <w:r w:rsidRPr="00747E35">
        <w:rPr>
          <w:rFonts w:asciiTheme="minorHAnsi" w:hAnsiTheme="minorHAnsi" w:cstheme="minorHAnsi"/>
          <w:noProof/>
          <w:lang w:eastAsia="en-AU"/>
        </w:rPr>
        <w:t xml:space="preserve"> </w:t>
      </w:r>
      <w:r w:rsidRPr="00747E35">
        <w:rPr>
          <w:rFonts w:asciiTheme="minorHAnsi" w:hAnsiTheme="minorHAnsi" w:cstheme="minorHAnsi"/>
          <w:noProof/>
          <w:lang w:val="en-AU" w:eastAsia="en-AU"/>
        </w:rPr>
        <w:drawing>
          <wp:inline distT="0" distB="0" distL="0" distR="0" wp14:anchorId="7045E25E" wp14:editId="5E24A0DA">
            <wp:extent cx="2660650" cy="2570966"/>
            <wp:effectExtent l="0" t="0" r="6350" b="1270"/>
            <wp:docPr id="63" name="Picture 5" descr="Diagram (2 of 2 for Fig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83" cstate="screen">
                      <a:extLst>
                        <a:ext uri="{28A0092B-C50C-407E-A947-70E740481C1C}">
                          <a14:useLocalDpi xmlns:a14="http://schemas.microsoft.com/office/drawing/2010/main"/>
                        </a:ext>
                      </a:extLst>
                    </a:blip>
                    <a:srcRect/>
                    <a:stretch/>
                  </pic:blipFill>
                  <pic:spPr>
                    <a:xfrm>
                      <a:off x="0" y="0"/>
                      <a:ext cx="2664781" cy="2574958"/>
                    </a:xfrm>
                    <a:prstGeom prst="rect">
                      <a:avLst/>
                    </a:prstGeom>
                  </pic:spPr>
                </pic:pic>
              </a:graphicData>
            </a:graphic>
          </wp:inline>
        </w:drawing>
      </w:r>
    </w:p>
    <w:p w14:paraId="2EBC925A" w14:textId="0D42ECB9" w:rsidR="003D3694" w:rsidRPr="00747E35" w:rsidRDefault="003D3694" w:rsidP="00566456">
      <w:pPr>
        <w:pStyle w:val="Caption"/>
        <w:numPr>
          <w:ilvl w:val="0"/>
          <w:numId w:val="0"/>
        </w:numPr>
        <w:rPr>
          <w:rFonts w:cstheme="minorHAnsi"/>
        </w:rPr>
      </w:pPr>
      <w:bookmarkStart w:id="320" w:name="_Ref46637792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125</w:t>
      </w:r>
      <w:r w:rsidR="009D6600" w:rsidRPr="00747E35">
        <w:rPr>
          <w:rFonts w:cstheme="minorHAnsi"/>
          <w:noProof/>
        </w:rPr>
        <w:fldChar w:fldCharType="end"/>
      </w:r>
      <w:bookmarkEnd w:id="320"/>
      <w:r w:rsidRPr="00747E35">
        <w:rPr>
          <w:rFonts w:cstheme="minorHAnsi"/>
        </w:rPr>
        <w:t xml:space="preserve">: Conceptual models of organic matter at </w:t>
      </w:r>
      <w:r w:rsidR="006B2C7A">
        <w:rPr>
          <w:rFonts w:cstheme="minorHAnsi"/>
        </w:rPr>
        <w:t>downwelling</w:t>
      </w:r>
      <w:r w:rsidRPr="00747E35">
        <w:rPr>
          <w:rFonts w:cstheme="minorHAnsi"/>
        </w:rPr>
        <w:t xml:space="preserve"> and upwelling sites of regional groundwater at Maules Creek catchment.</w:t>
      </w:r>
    </w:p>
    <w:p w14:paraId="13474590" w14:textId="77777777" w:rsidR="003D3694" w:rsidRPr="00747E35" w:rsidRDefault="003D3694" w:rsidP="003D3694">
      <w:pPr>
        <w:rPr>
          <w:rFonts w:asciiTheme="minorHAnsi" w:hAnsiTheme="minorHAnsi" w:cstheme="minorHAnsi"/>
        </w:rPr>
      </w:pPr>
    </w:p>
    <w:p w14:paraId="30446800" w14:textId="5F8E68C5"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In relation to our initial research question (8): “How does stream flow regime, hyporheic exchange and degree of substrate saturation (as an analogue for groundwater drawdown) affect nutrient (N) biogeochemical processes and organic matter carbon (C) degradation rates in the hyporheic zone?”, the effects of groundwater drawdown on nutrient biogeochemical processes and organic matter degradation are complex and depend on a range of factors including hyporheic flow conditions and the degree of drying. With minor or moderate groundwater drawdown that maintains saturated conditions and hyporheic exchange (i.e. up- and </w:t>
      </w:r>
      <w:r w:rsidR="006B2C7A">
        <w:rPr>
          <w:rFonts w:asciiTheme="minorHAnsi" w:hAnsiTheme="minorHAnsi" w:cstheme="minorHAnsi"/>
        </w:rPr>
        <w:t>downwelling</w:t>
      </w:r>
      <w:r w:rsidRPr="00747E35">
        <w:rPr>
          <w:rFonts w:asciiTheme="minorHAnsi" w:hAnsiTheme="minorHAnsi" w:cstheme="minorHAnsi"/>
        </w:rPr>
        <w:t>), flow paths between wetted surface habitats would be expected to lengthen along with an increase in the residence time of water flowing through these flow paths. For locations where flow paths were initially very short (too short to become DO depleted), an increase in these flow paths would likely result in an increase in nitrate in the upwelling zone due to increased net nitrate production via additional OM mineralisation and nitrification. For slightly longer flow paths (where DO becomes depleted), increases in the flow path due to lowered groundwater levels would likely result in a decrease in nitrate, as denitrification becomes dominant but an increase in ammonium as OM mineralisation continues under reducing conditions. For longer flow paths, as the residence time of water increases in the hyporheic zone, conditions would become more reduced leading to reductive iron-oxide dissolution. This would lead to an increase in dissolved phosphorus as it is released from the dissolving iron-oxide surfaces. In summary, along a conceptual flow path, nitrate/ammonium ratios would increase initially and then decrease as denitrification sets in. As phosphorus starts to be released N/P ratios would decrease. Assuming that hyporheic flow is maintained these changes in N-speciation and changes in N/P ratios may have implications for stoichiometric requirements of primary and secondary production within residual wetted surface habitats. Finally, for more severe groundwater drawdown, hyporheic flow would cease altogether and remineralised nutrients would not discharge to remaining surface waters.</w:t>
      </w:r>
    </w:p>
    <w:p w14:paraId="4B5694CD" w14:textId="58E8AB8D" w:rsidR="003D3694" w:rsidRPr="00747E35" w:rsidRDefault="003D3694" w:rsidP="003D3694">
      <w:pPr>
        <w:rPr>
          <w:rFonts w:asciiTheme="minorHAnsi" w:hAnsiTheme="minorHAnsi" w:cstheme="minorHAnsi"/>
        </w:rPr>
      </w:pPr>
      <w:r w:rsidRPr="00747E35">
        <w:rPr>
          <w:rFonts w:asciiTheme="minorHAnsi" w:hAnsiTheme="minorHAnsi" w:cstheme="minorHAnsi"/>
        </w:rPr>
        <w:t>Groundwater drawdown that causes perennial reaches to become intermittent may lead to a decrease in the relative quantity of labile (i.e. biologically available) dissolved organic matter (DOM), compared to perennial systems. For instance, although DOC concentrations were greater in intermittent sites, various spectrometric indices indicated that this DOC was more processed (less fresh, with a high proportion of humic-like compounds) than at the perennial site. Ultimately, greater intermittency may increase the relative quantity of non-labile DOM compounds, reducing the amount of energy and nutrients incorporated in local food webs, and potentially increase in the export of biologically refractory DOM to downstream ecosystems.</w:t>
      </w:r>
    </w:p>
    <w:p w14:paraId="53975D47" w14:textId="67DCF369" w:rsidR="005F4D1A" w:rsidRDefault="005F4D1A">
      <w:pPr>
        <w:autoSpaceDE/>
        <w:autoSpaceDN/>
        <w:spacing w:after="160" w:line="259" w:lineRule="auto"/>
        <w:rPr>
          <w:rFonts w:asciiTheme="minorHAnsi" w:hAnsiTheme="minorHAnsi" w:cstheme="minorHAnsi"/>
        </w:rPr>
      </w:pPr>
      <w:r>
        <w:rPr>
          <w:rFonts w:asciiTheme="minorHAnsi" w:hAnsiTheme="minorHAnsi" w:cstheme="minorHAnsi"/>
        </w:rPr>
        <w:br w:type="page"/>
      </w:r>
    </w:p>
    <w:p w14:paraId="70E260B4" w14:textId="165C33A3" w:rsidR="003D3694" w:rsidRPr="00747E35" w:rsidRDefault="003D3694" w:rsidP="00566456">
      <w:pPr>
        <w:pStyle w:val="Heading3"/>
        <w:rPr>
          <w:rFonts w:asciiTheme="minorHAnsi" w:hAnsiTheme="minorHAnsi" w:cstheme="minorHAnsi"/>
        </w:rPr>
      </w:pPr>
      <w:bookmarkStart w:id="321" w:name="_Toc466449963"/>
      <w:bookmarkStart w:id="322" w:name="_Toc470004884"/>
      <w:r w:rsidRPr="00747E35">
        <w:rPr>
          <w:rFonts w:asciiTheme="minorHAnsi" w:hAnsiTheme="minorHAnsi" w:cstheme="minorHAnsi"/>
        </w:rPr>
        <w:lastRenderedPageBreak/>
        <w:t>OM Degradation Studies</w:t>
      </w:r>
      <w:bookmarkEnd w:id="321"/>
      <w:bookmarkEnd w:id="322"/>
      <w:r w:rsidRPr="00747E35">
        <w:rPr>
          <w:rFonts w:asciiTheme="minorHAnsi" w:hAnsiTheme="minorHAnsi" w:cstheme="minorHAnsi"/>
        </w:rPr>
        <w:t xml:space="preserve"> </w:t>
      </w:r>
    </w:p>
    <w:p w14:paraId="37A4D985"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In Round 1, at the intermittent site (Middle Creek) the pool samples had higher leaf litter processing than the riffle samples, as opposed to the perennial gaining sites where the riffle samples had the greater leaf litter processing. Probably, as surface flow in the intermittent section ceased during the course of the deployment, the riffle sections dried up first while the pools persisted. </w:t>
      </w:r>
    </w:p>
    <w:p w14:paraId="4A398E2B"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With the hyporheic deployments, the range in % leaf litter mass remaining was narrower and much more consistent across the treatments. In general, leaf litter processing was greater in the hyporheic zone than in the corresponding surface habitat with the exception of the riffle deployments in the perennial gaining section. The narrow range of hyporheic leaf litter processing may be related to the more stable subsurface environmental conditions, especially temperature (see </w:t>
      </w:r>
      <w:r w:rsidRPr="00747E35">
        <w:rPr>
          <w:rFonts w:asciiTheme="minorHAnsi" w:hAnsiTheme="minorHAnsi" w:cstheme="minorHAnsi"/>
        </w:rPr>
        <w:fldChar w:fldCharType="begin"/>
      </w:r>
      <w:r w:rsidRPr="00747E35">
        <w:rPr>
          <w:rFonts w:asciiTheme="minorHAnsi" w:hAnsiTheme="minorHAnsi" w:cstheme="minorHAnsi"/>
        </w:rPr>
        <w:instrText xml:space="preserve"> REF _Ref467128630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Figure 95</w:t>
      </w:r>
      <w:r w:rsidRPr="00747E35">
        <w:rPr>
          <w:rFonts w:asciiTheme="minorHAnsi" w:hAnsiTheme="minorHAnsi" w:cstheme="minorHAnsi"/>
        </w:rPr>
        <w:fldChar w:fldCharType="end"/>
      </w:r>
      <w:r w:rsidRPr="00747E35">
        <w:rPr>
          <w:rFonts w:asciiTheme="minorHAnsi" w:hAnsiTheme="minorHAnsi" w:cstheme="minorHAnsi"/>
        </w:rPr>
        <w:t xml:space="preserve"> for an example) and moisture.</w:t>
      </w:r>
    </w:p>
    <w:p w14:paraId="1D0FF312" w14:textId="16E9E73D"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For both the cotton strips and the leaf packs, moisture made the highest contribution to the amount of degradation. Groundwater drawdown would lead to an overall decrease in the degree of saturation of surface and hyporheic habitats and hence a likely decrease in microbial activity and leaf litter degradation rates. This prediction is supported by comparing the results from Round 2 to Round 1 (see </w:t>
      </w:r>
      <w:r w:rsidRPr="00747E35">
        <w:rPr>
          <w:rFonts w:asciiTheme="minorHAnsi" w:hAnsiTheme="minorHAnsi" w:cstheme="minorHAnsi"/>
        </w:rPr>
        <w:fldChar w:fldCharType="begin"/>
      </w:r>
      <w:r w:rsidRPr="00747E35">
        <w:rPr>
          <w:rFonts w:asciiTheme="minorHAnsi" w:hAnsiTheme="minorHAnsi" w:cstheme="minorHAnsi"/>
        </w:rPr>
        <w:instrText xml:space="preserve"> REF _Ref466378201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20</w:t>
      </w:r>
      <w:r w:rsidRPr="00747E35">
        <w:rPr>
          <w:rFonts w:asciiTheme="minorHAnsi" w:hAnsiTheme="minorHAnsi" w:cstheme="minorHAnsi"/>
        </w:rPr>
        <w:fldChar w:fldCharType="end"/>
      </w:r>
      <w:r w:rsidRPr="00747E35">
        <w:rPr>
          <w:rFonts w:asciiTheme="minorHAnsi" w:hAnsiTheme="minorHAnsi" w:cstheme="minorHAnsi"/>
        </w:rPr>
        <w:t xml:space="preserve">). The groundwater water levels declined at the intermittent and perennial losing sites from Round 1 to Round 2, causing an increase in dry sites in these locations (see </w:t>
      </w:r>
      <w:r w:rsidRPr="00747E35">
        <w:rPr>
          <w:rFonts w:asciiTheme="minorHAnsi" w:hAnsiTheme="minorHAnsi" w:cstheme="minorHAnsi"/>
        </w:rPr>
        <w:fldChar w:fldCharType="begin"/>
      </w:r>
      <w:r w:rsidRPr="00747E35">
        <w:rPr>
          <w:rFonts w:asciiTheme="minorHAnsi" w:hAnsiTheme="minorHAnsi" w:cstheme="minorHAnsi"/>
        </w:rPr>
        <w:instrText xml:space="preserve"> REF _Ref466376962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94</w:t>
      </w:r>
      <w:r w:rsidRPr="00747E35">
        <w:rPr>
          <w:rFonts w:asciiTheme="minorHAnsi" w:hAnsiTheme="minorHAnsi" w:cstheme="minorHAnsi"/>
        </w:rPr>
        <w:fldChar w:fldCharType="end"/>
      </w:r>
      <w:r w:rsidRPr="00747E35">
        <w:rPr>
          <w:rFonts w:asciiTheme="minorHAnsi" w:hAnsiTheme="minorHAnsi" w:cstheme="minorHAnsi"/>
        </w:rPr>
        <w:t xml:space="preserve">). Correspondingly there were significant increases in the percentage mass remaining for samples at these sites and hence decreased leaf degradation rates. </w:t>
      </w:r>
    </w:p>
    <w:p w14:paraId="07ECBF27"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In relation to our initial research question (4): “How do stream flow regime, hyporheic exchange and degree of substrate saturation (as an analogue for groundwater drawdown) affect microbial activity inferred from organic matter degradation rates (in riffle, pool and hyporheic habitats)?”, our results indicate that for perennial gaining streams, microbial activity, inferred by cotton and leaf litter degradation, is generally high and consistent (as opposed to variable). In the context of groundwater drawdown and a general drying of the system we observed a loss of surface flow and pools becoming discontinuous (i.e. pools only connected by subsurface flow). Microbial activity could still be high locally, but had become more variable. Surface sites that were no longer saturated now had low microbial activity, but subsurface (hyporheic) sites could maintain high microbial activity as long as they were saturated or moist. As the system dried out further (more severe groundwater drawdown), microbial activity was reduced proportionally to the relative increase in dry streambed. This observation means that losses in wetted surface area lead to a proportional decrease in surface microbial activity. A subsequent drying of the streambed sediments will lead to further loss in subsurface microbial activity.</w:t>
      </w:r>
    </w:p>
    <w:p w14:paraId="206DE4D5" w14:textId="64DD5778" w:rsidR="005F4D1A" w:rsidRDefault="005F4D1A">
      <w:pPr>
        <w:autoSpaceDE/>
        <w:autoSpaceDN/>
        <w:spacing w:after="160" w:line="259" w:lineRule="auto"/>
        <w:rPr>
          <w:rFonts w:asciiTheme="minorHAnsi" w:hAnsiTheme="minorHAnsi" w:cstheme="minorHAnsi"/>
        </w:rPr>
      </w:pPr>
      <w:r>
        <w:rPr>
          <w:rFonts w:asciiTheme="minorHAnsi" w:hAnsiTheme="minorHAnsi" w:cstheme="minorHAnsi"/>
        </w:rPr>
        <w:br w:type="page"/>
      </w:r>
    </w:p>
    <w:p w14:paraId="32F0728E" w14:textId="6D3E47DE" w:rsidR="003D3694" w:rsidRPr="00747E35" w:rsidRDefault="003D3694" w:rsidP="00566456">
      <w:pPr>
        <w:pStyle w:val="Heading3"/>
        <w:rPr>
          <w:rFonts w:asciiTheme="minorHAnsi" w:hAnsiTheme="minorHAnsi" w:cstheme="minorHAnsi"/>
        </w:rPr>
      </w:pPr>
      <w:bookmarkStart w:id="323" w:name="_Toc465157995"/>
      <w:bookmarkStart w:id="324" w:name="_Toc466449964"/>
      <w:bookmarkStart w:id="325" w:name="_Toc470004885"/>
      <w:r w:rsidRPr="00747E35">
        <w:rPr>
          <w:rFonts w:asciiTheme="minorHAnsi" w:hAnsiTheme="minorHAnsi" w:cstheme="minorHAnsi"/>
        </w:rPr>
        <w:lastRenderedPageBreak/>
        <w:t>Invertebrate ecology</w:t>
      </w:r>
      <w:bookmarkEnd w:id="323"/>
      <w:bookmarkEnd w:id="324"/>
      <w:bookmarkEnd w:id="325"/>
    </w:p>
    <w:p w14:paraId="4D678DBF" w14:textId="77777777" w:rsidR="003D3694" w:rsidRPr="00747E35" w:rsidRDefault="003D3694" w:rsidP="003D3694">
      <w:pPr>
        <w:keepNext/>
        <w:keepLines/>
        <w:rPr>
          <w:rFonts w:asciiTheme="minorHAnsi" w:hAnsiTheme="minorHAnsi" w:cstheme="minorHAnsi"/>
        </w:rPr>
      </w:pPr>
      <w:r w:rsidRPr="00747E35">
        <w:rPr>
          <w:rFonts w:asciiTheme="minorHAnsi" w:hAnsiTheme="minorHAnsi" w:cstheme="minorHAnsi"/>
        </w:rPr>
        <w:t>The sampling of hyporheic invertebrates revealed rich assemblages in both the Bremer River (31 taxa) and Maules Creek catchments (39 taxa), and in the Maules aquifer (24 taxa). Overall, 43 aquatic invertebrate families were identified, representing crustaceans, insects, water mites, various types of worms, snails, tardigrades, rotifers and hydrozoans. The taxonomic composition of assemblages was typical for groundwater invertebrates in alluvial aquifers and streams in eastern Australia (Tomlinson and Boulton 2010), and included all groundwater habitat affinity groups. Stygobites and stygophiles comprised around one-half of the invertebrate abundances in hyporheic habitats, and these groups dominated the aquifer communities, but total invertebrate densities in the hyporheic zone were an order of magnitude greater than in the aquifer, thus confirming the comparative richness of the hyporheos. Comparatively few studies of hyporheos have been conducted in Australia, thus limiting assessment of the regional significance of the Maules and Bremer assemblages. The richness of stygobite taxa at Maules Creek suggests that it might qualify as a local or regional ‘hotspot’ of subsurface biodiversity, but comparative regional studies are needed to confirm or refute such an assertion. One of the few other Australian studies, and likely the most intensive to date, was conducted over five years in the Never Never River in northern New South Wales (Boulton and Foster 1998; Boulton and Harvey 2003; Boulton et al. 2004). This study identified 30 major taxa including a remarkable diversity of water mites (46 species). Water mites were also a diverse faunal element in the hyporheos at Maules Creek (7 families), and eleven water mite taxa were identified from the Gwydir River alluvial aquifer (Korbel and Hose 2015).</w:t>
      </w:r>
    </w:p>
    <w:p w14:paraId="18B5C243" w14:textId="77777777" w:rsidR="003D3694" w:rsidRPr="00747E35" w:rsidRDefault="003D3694" w:rsidP="003D3694">
      <w:pPr>
        <w:rPr>
          <w:rFonts w:asciiTheme="minorHAnsi" w:hAnsiTheme="minorHAnsi" w:cstheme="minorHAnsi"/>
        </w:rPr>
      </w:pPr>
      <w:bookmarkStart w:id="326" w:name="_Toc466837690"/>
      <w:r w:rsidRPr="00747E35">
        <w:rPr>
          <w:rFonts w:asciiTheme="minorHAnsi" w:hAnsiTheme="minorHAnsi" w:cstheme="minorHAnsi"/>
        </w:rPr>
        <w:t>The streams with intermittent flow regimes at both Bremer River and Maules Creek yielded an unexpectedly rich and abundant hyporheic fauna, and demonstrated that the hyporheic zone in such streams is potentially important for overall stream ecosystem function. Not unexpectedly, the perennial sections of our study streams also harboured a rich fauna although in the Maules catchment abundances were somewhat lower in the intermittent study section. The apparent association between hyporheos diversity and stream flow regime at Maules Creek most likely represents the integration of multiple factors that characterize the way that the sampled sites connect with baseflow from the regional aquifer.</w:t>
      </w:r>
      <w:bookmarkEnd w:id="326"/>
      <w:r w:rsidRPr="00747E35">
        <w:rPr>
          <w:rFonts w:asciiTheme="minorHAnsi" w:hAnsiTheme="minorHAnsi" w:cstheme="minorHAnsi"/>
        </w:rPr>
        <w:t xml:space="preserve">   </w:t>
      </w:r>
    </w:p>
    <w:p w14:paraId="0FEA5112"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Superimposed on the broad-scale flow regime settings in Maules Creek and Bremer River are the smaller-scale (reach and patch scale) effects of bidirectional hyporheic exchange and associated gradients in temperature, DO, organic matter and other abiotic variables. Consistent with other hyporheic ecology studies (e.g. Malard and Hervant 1999; Hahn 2006), we found that invertebrate assemblages also responded strongly to the small-scale habitat patchiness and variations in hyporheic exchange processes. Therefore, good management of stream hyporheic water regimes needs to consider maintenance of this small-scale habitat patchiness and spatio-temporal dynamics in hyporheic exchange processes. </w:t>
      </w:r>
    </w:p>
    <w:p w14:paraId="2B34D304" w14:textId="2F322E4F" w:rsidR="003D3694" w:rsidRPr="00747E35" w:rsidRDefault="003D3694" w:rsidP="003D3694">
      <w:pPr>
        <w:rPr>
          <w:rFonts w:asciiTheme="minorHAnsi" w:hAnsiTheme="minorHAnsi" w:cstheme="minorHAnsi"/>
          <w:lang w:eastAsia="en-AU"/>
        </w:rPr>
      </w:pPr>
      <w:r w:rsidRPr="00747E35">
        <w:rPr>
          <w:rFonts w:asciiTheme="minorHAnsi" w:hAnsiTheme="minorHAnsi" w:cstheme="minorHAnsi"/>
        </w:rPr>
        <w:t xml:space="preserve">In our study sites, oxic conditions, whether flows were upwelling, </w:t>
      </w:r>
      <w:r w:rsidR="006B2C7A">
        <w:rPr>
          <w:rFonts w:asciiTheme="minorHAnsi" w:hAnsiTheme="minorHAnsi" w:cstheme="minorHAnsi"/>
        </w:rPr>
        <w:t>downwelling</w:t>
      </w:r>
      <w:r w:rsidRPr="00747E35">
        <w:rPr>
          <w:rFonts w:asciiTheme="minorHAnsi" w:hAnsiTheme="minorHAnsi" w:cstheme="minorHAnsi"/>
        </w:rPr>
        <w:t xml:space="preserve"> or lateral, supported the existence of hyporheos, including stygobites, stygophiles and stygoxenes. At Maules Creek, locally strong upwelling of oxic regional groundwater sustained rich hyporheos assemblages. Suboxic conditions were associated with depletion of invertebrate richness and abundance, and exclusion of taxa that are presumably intolerant of low DO. As expected, we found that suboxic conditions, progressing towards anoxic, were more typical in a losing stream flow regime, or other regimes (intermittent, perennial gaining) where </w:t>
      </w:r>
      <w:r w:rsidR="006B2C7A">
        <w:rPr>
          <w:rFonts w:asciiTheme="minorHAnsi" w:hAnsiTheme="minorHAnsi" w:cstheme="minorHAnsi"/>
        </w:rPr>
        <w:t>downwelling</w:t>
      </w:r>
      <w:r w:rsidRPr="00747E35">
        <w:rPr>
          <w:rFonts w:asciiTheme="minorHAnsi" w:hAnsiTheme="minorHAnsi" w:cstheme="minorHAnsi"/>
        </w:rPr>
        <w:t xml:space="preserve"> occurred, or along extended lateral flow paths. Invertebrates, of course, cannot survive for extended periods in completely anoxic conditions, and as expected these zones were exclusively inhabited by iron metabolizing microorganisms, which were frequently observed at surface upwelling sites as yellow-brown deposits. </w:t>
      </w:r>
      <w:r w:rsidRPr="00747E35">
        <w:rPr>
          <w:rFonts w:asciiTheme="minorHAnsi" w:hAnsiTheme="minorHAnsi" w:cstheme="minorHAnsi"/>
          <w:lang w:eastAsia="en-AU"/>
        </w:rPr>
        <w:t>These condition indicators increased their expression as baseflow receded and the water table declined.</w:t>
      </w:r>
    </w:p>
    <w:p w14:paraId="24901221"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In scenarios where progressive recession of surface flow and the groundwater table occurs, either naturally or anthropogenically, invertebrate assemblages are likely to become depleted as the flux and magnitude of oxic upwelling hyporheic exchange water, or oxic discharging groundwater, declines. Aquatic invertebrates require saturated substrates to survive, so desaturation of the hyporheic zone will result in local extirpation of the hyporheos. The progressive groundwater recession recorded during the study period in the </w:t>
      </w:r>
      <w:r w:rsidRPr="00747E35">
        <w:rPr>
          <w:rFonts w:asciiTheme="minorHAnsi" w:hAnsiTheme="minorHAnsi" w:cstheme="minorHAnsi"/>
        </w:rPr>
        <w:lastRenderedPageBreak/>
        <w:t xml:space="preserve">intermittent and perennial losing sections was associated with the ecohydrological responses of hyporheic assemblages and abiotic variables during groundwater drawdown. </w:t>
      </w:r>
    </w:p>
    <w:p w14:paraId="46142F04" w14:textId="09C38BBD"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In relation to our initial research question (9): “How do stream flow regime, hyporheic exchange and degree of substrate saturation (as analogue for groundwater drawdown) affect invertebrate assemblages, and their associations with hydrochemistry and redox processes in the hyporheic zone?”, the influences of stream flow regime and hyporheic exchange-flow gradients were equivocal in our study sites. In the Maules catchment, where locally strong discharge of oxic regional groundwater occurs in combination with hyporheic upwelling, richness and abundance were significantly higher than in habitat patches where the hydraulic gradient was weakly upwelling, neutral, or </w:t>
      </w:r>
      <w:r w:rsidR="006B2C7A">
        <w:rPr>
          <w:rFonts w:asciiTheme="minorHAnsi" w:hAnsiTheme="minorHAnsi" w:cstheme="minorHAnsi"/>
        </w:rPr>
        <w:t>downwelling</w:t>
      </w:r>
      <w:r w:rsidRPr="00747E35">
        <w:rPr>
          <w:rFonts w:asciiTheme="minorHAnsi" w:hAnsiTheme="minorHAnsi" w:cstheme="minorHAnsi"/>
        </w:rPr>
        <w:t xml:space="preserve">. At a broader spatial scale within the Maules catchment, we found that the hyporheos was significantly more diverse in the stream section with an intermittent flow regime (Middle Creek) than in the sections with perennial gaining and losing regimes. In the Bremer catchment, where groundwater discharge and hyporheic exchange flow gradients are more muted, we found no statistically significant (p&lt; 0.05) differences related to stream flow regime or hyporheic exchange. The equivocal evidence for </w:t>
      </w:r>
      <w:r w:rsidRPr="00747E35">
        <w:rPr>
          <w:rFonts w:asciiTheme="minorHAnsi" w:hAnsiTheme="minorHAnsi" w:cstheme="minorHAnsi"/>
          <w:color w:val="000000" w:themeColor="text1"/>
        </w:rPr>
        <w:t>influence of stream flow regime on hyporheos assemblages, and the unexpected diversity found in the intermittent section in the Maules catchment, suggest that the surface expression of flow regime per se is of less consequence in shaping hyporheos patterns than stream baseflow - groundwater connectivity.</w:t>
      </w:r>
    </w:p>
    <w:p w14:paraId="0F5C7AAE"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In relation to our initial research question (10): “What is the degree of hydrologic connectivity, hydro chemical and invertebrate assemblage similarities, between the hyporheic zone and regional aquifer at Maules Creek, and what are the implications of this with respect to understanding and managing groundwater drawdown impacts on hyporheic ecosystems?”, our study confirmed the fundamental relevance of the hydrological interconnectivity between streams and groundwater.  The aquifer bore sampling findings supported our hypothesis that the hyporheic zone at Maules Creek shares strong hydrologic connectivity and faunal similarities with the regional superficial aquifer. The implications of this strong hydrologic connectivity are are that the regional aquifer functions as a retreat or ‘refuge’ for hyporheic stygobites and stygophiles when the hyporheic zone becomes desaturated, for example during drought or groundwater drawdown from pumping. Likewise, the aquifer may also function as the source for stygobite and stygophile recolonization of the hyporheic zone when it becomes re-saturated. </w:t>
      </w:r>
    </w:p>
    <w:p w14:paraId="69DB30F6"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Groundwater (baseflow) connectivity may confer resistance and resilience in stream and hyporheic ecosystems, but the nature, context and regime of stream, baseflow and aquifer connectivity are important. High stream-aquifer connectivity (permeability and exchange) confers “rapid” and strongly coupled hydroecological responses to drawdown, and conversely, suggests potential for recovery of hyporheos when conditions are restored, providing reservoir populations of groundwater fauna are sustained in connected aquifers. This scenario was exemplified at Maules Creek. In contrast, streams with thin alluvial sediments covering relatively impermeable bedrock such as Bremer River, and/or which have low connectivity to adjacent aquifers, may be less resilient to groundwater drawdown impacts and have lower capacity to recover.  From our findings, it is inferred that hyporheic ecosystems, or at least those with strong hydrologic connectivity to oxic baseflow / aquifers, may be resilient and able to recover from temporary groundwater drawdown as may be experienced during extended droughts or pumping for water supply, irrigation, mine dewatering or CSG extraction for example. Conversely, it might be expected that hyporheic ecosystems that have weaker or disconnected hydrologic connectivity, or where the regional groundwater is suboxic/anoxic, will be less resilient and more vulnerable to the effects of drawdown. In all scenarios, the cumulative effects of short to medium-term human activities such as pumping, superimposed on medium to long term climatic variability including droughts and climate change, need to be considered.</w:t>
      </w:r>
    </w:p>
    <w:p w14:paraId="18F23FB6" w14:textId="77777777" w:rsidR="003D3694" w:rsidRPr="00747E35" w:rsidRDefault="003D3694" w:rsidP="00566456">
      <w:pPr>
        <w:pStyle w:val="Heading4"/>
        <w:rPr>
          <w:rFonts w:asciiTheme="minorHAnsi" w:hAnsiTheme="minorHAnsi" w:cstheme="minorHAnsi"/>
        </w:rPr>
      </w:pPr>
      <w:r w:rsidRPr="00747E35">
        <w:rPr>
          <w:rFonts w:asciiTheme="minorHAnsi" w:hAnsiTheme="minorHAnsi" w:cstheme="minorHAnsi"/>
        </w:rPr>
        <w:t>Sampling considerations</w:t>
      </w:r>
    </w:p>
    <w:p w14:paraId="2082E3A3" w14:textId="77777777" w:rsidR="003D3694" w:rsidRPr="00747E35" w:rsidRDefault="003D3694" w:rsidP="003D3694">
      <w:pPr>
        <w:rPr>
          <w:rFonts w:asciiTheme="minorHAnsi" w:hAnsiTheme="minorHAnsi" w:cstheme="minorHAnsi"/>
          <w:lang w:val="en-GB" w:eastAsia="en-AU"/>
        </w:rPr>
      </w:pPr>
      <w:r w:rsidRPr="00747E35">
        <w:rPr>
          <w:rFonts w:asciiTheme="minorHAnsi" w:hAnsiTheme="minorHAnsi" w:cstheme="minorHAnsi"/>
          <w:lang w:val="en-GB" w:eastAsia="en-AU"/>
        </w:rPr>
        <w:t xml:space="preserve">We found that hyporheic invertebrate assemblages were locally highly variable across small vertical and lateral spatial scales. At sub-metre habitat patch scales, taxonomic richness may vary by one order of magnitude, and overall abundance by two orders, and the dispersion of individual taxa may be extremely “clumped” between neighbouring patches. This high localized variability in assemblages is associated with </w:t>
      </w:r>
      <w:r w:rsidRPr="00747E35">
        <w:rPr>
          <w:rFonts w:asciiTheme="minorHAnsi" w:hAnsiTheme="minorHAnsi" w:cstheme="minorHAnsi"/>
          <w:lang w:val="en-GB" w:eastAsia="en-AU"/>
        </w:rPr>
        <w:lastRenderedPageBreak/>
        <w:t xml:space="preserve">inherent habitat patchiness, the enormous ‘invisible’ heterogeneity that challenges groundwater ecologists worldwide (Griebler et al. 2014). The implications of this heterogeneity for surveys and monitoring generally are the need for adequate spatio-temporal replication within and among sites, supported by pilot studies and progressive, iterative evaluation of results along the way. Additionally, the general paucity of baseline hyporheic ecology studies in Australia means there is little existing benchmark context against which to make comparisons and assessments. Notwithstanding these limitations, </w:t>
      </w:r>
      <w:r w:rsidRPr="00747E35">
        <w:rPr>
          <w:rFonts w:asciiTheme="minorHAnsi" w:hAnsiTheme="minorHAnsi" w:cstheme="minorHAnsi"/>
        </w:rPr>
        <w:t xml:space="preserve">because biodiversity is typically positively correlated with rates of ecosystem function (e.g. Boulton et al. 2008), hyporheic invertebrate diversity indices such as richness, abundance, assemblage composition and habitat affinities ought to be useful tools for assessing and monitoring stream and groundwater ecosystem health and function.  </w:t>
      </w:r>
      <w:r w:rsidRPr="00747E35">
        <w:rPr>
          <w:rFonts w:asciiTheme="minorHAnsi" w:hAnsiTheme="minorHAnsi" w:cstheme="minorHAnsi"/>
          <w:lang w:eastAsia="en-AU"/>
        </w:rPr>
        <w:t xml:space="preserve">While local and regional taxonomic differences limit comparisons of subsurface assemblages at generic or species level, classifications based on habitat affinities provide a ‘common currency’ that facilitates understanding of parallels and contrasts among different locations, as well as spatio-temporal changes within locations (Claret et al. 1999). Changes in conditions in subsurface habitats (e.g. through groundwater extraction and sedimentation) may alter the proportions of these categories, providing a potential indicator of subsurface community dynamics. </w:t>
      </w:r>
    </w:p>
    <w:p w14:paraId="5863B8BC"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In the Maules Creek catchment it was observed that invertebrate abundance and richness decreased dramatically as conditions became more hypoxic, and invertebrates almost disappeared completely when streambed redox hydrochemistry suggested anoxic conditions. Anoxic conditions</w:t>
      </w:r>
      <w:r w:rsidRPr="00747E35" w:rsidDel="0058491F">
        <w:rPr>
          <w:rFonts w:asciiTheme="minorHAnsi" w:hAnsiTheme="minorHAnsi" w:cstheme="minorHAnsi"/>
          <w:lang w:eastAsia="en-AU"/>
        </w:rPr>
        <w:t xml:space="preserve"> </w:t>
      </w:r>
      <w:r w:rsidRPr="00747E35">
        <w:rPr>
          <w:rFonts w:asciiTheme="minorHAnsi" w:hAnsiTheme="minorHAnsi" w:cstheme="minorHAnsi"/>
          <w:lang w:eastAsia="en-AU"/>
        </w:rPr>
        <w:t>were reliably predicted by an increase in dissolved reduced iron (ferrous iron: Fe</w:t>
      </w:r>
      <w:r w:rsidRPr="00747E35">
        <w:rPr>
          <w:rFonts w:asciiTheme="minorHAnsi" w:hAnsiTheme="minorHAnsi" w:cstheme="minorHAnsi"/>
          <w:vertAlign w:val="superscript"/>
          <w:lang w:eastAsia="en-AU"/>
        </w:rPr>
        <w:t>2+</w:t>
      </w:r>
      <w:r w:rsidRPr="00747E35">
        <w:rPr>
          <w:rFonts w:asciiTheme="minorHAnsi" w:hAnsiTheme="minorHAnsi" w:cstheme="minorHAnsi"/>
          <w:lang w:eastAsia="en-AU"/>
        </w:rPr>
        <w:t>). Because specialised groundwater invertebrates are tolerant of low DO concentrations (DO &lt; 0.5 mg/L) (Malard and Hervant 1999, Hahn 2006) including concentrations below most field instrument detection limits (ca. &lt; 0.2 mg/L), we suggest that ferrous iron</w:t>
      </w:r>
      <w:r w:rsidRPr="00747E35" w:rsidDel="00772B80">
        <w:rPr>
          <w:rFonts w:asciiTheme="minorHAnsi" w:hAnsiTheme="minorHAnsi" w:cstheme="minorHAnsi"/>
          <w:lang w:eastAsia="en-AU"/>
        </w:rPr>
        <w:t xml:space="preserve"> </w:t>
      </w:r>
      <w:r w:rsidRPr="00747E35">
        <w:rPr>
          <w:rFonts w:asciiTheme="minorHAnsi" w:hAnsiTheme="minorHAnsi" w:cstheme="minorHAnsi"/>
          <w:lang w:eastAsia="en-AU"/>
        </w:rPr>
        <w:t>may be a reliable indicator of completely anoxic conditions and therefore unsuitable habitat for invertebrates. As redox-sequences are well described globally, for a range of saturated subsurface aquatic environments (streams, estuaries, lakebeds – Appelo and Postma 2005), we expect that our observations in relation to ferrous iron</w:t>
      </w:r>
      <w:r w:rsidRPr="00747E35" w:rsidDel="00772B80">
        <w:rPr>
          <w:rFonts w:asciiTheme="minorHAnsi" w:hAnsiTheme="minorHAnsi" w:cstheme="minorHAnsi"/>
          <w:lang w:eastAsia="en-AU"/>
        </w:rPr>
        <w:t xml:space="preserve"> </w:t>
      </w:r>
      <w:r w:rsidRPr="00747E35">
        <w:rPr>
          <w:rFonts w:asciiTheme="minorHAnsi" w:hAnsiTheme="minorHAnsi" w:cstheme="minorHAnsi"/>
          <w:lang w:eastAsia="en-AU"/>
        </w:rPr>
        <w:t xml:space="preserve">and anoxia have general transferability. Nonetheless we recommend further field studies to test the wider applicability of our observed associations between ferrous iron and groundwater invertebrate richness and abundance. </w:t>
      </w:r>
    </w:p>
    <w:p w14:paraId="04B2D9F2" w14:textId="5D0FA41D" w:rsidR="003D3694" w:rsidRPr="00747E35" w:rsidRDefault="003D3694" w:rsidP="003D3694">
      <w:pPr>
        <w:rPr>
          <w:rFonts w:asciiTheme="minorHAnsi" w:hAnsiTheme="minorHAnsi" w:cstheme="minorHAnsi"/>
        </w:rPr>
      </w:pPr>
      <w:r w:rsidRPr="00747E35">
        <w:rPr>
          <w:rFonts w:asciiTheme="minorHAnsi" w:hAnsiTheme="minorHAnsi" w:cstheme="minorHAnsi"/>
        </w:rPr>
        <w:t>While the differences between aquifer and hyporheic invertebrate capture rates, the latter of which were one to two orders of mag</w:t>
      </w:r>
      <w:r w:rsidR="006F3A28">
        <w:rPr>
          <w:rFonts w:asciiTheme="minorHAnsi" w:hAnsiTheme="minorHAnsi" w:cstheme="minorHAnsi"/>
        </w:rPr>
        <w:t>nitude greater, were inevitably</w:t>
      </w:r>
      <w:r w:rsidRPr="00747E35">
        <w:rPr>
          <w:rFonts w:asciiTheme="minorHAnsi" w:hAnsiTheme="minorHAnsi" w:cstheme="minorHAnsi"/>
        </w:rPr>
        <w:t xml:space="preserve"> influenced by the different pumping methods and pumping rates, site matrix characteristics and different behavioural responses of taxa to pumping, our results nonetheless suggest that invertebrate population densities and biomass  in the hyporheic zone at Maules Creek were substantially greater than in the adjacent aquifer (when measured as per unit volume pumped). Considering only the bore aquifer sampling, the unnaturally high abundances inside bores are generally attributed to the attraction of stygofauna into the bore because of the opening to the surface, which allows additional inputs of food sources such as terrestrial invertebrates (and small vertebrates such as lizards) that accidentally fall in (e.g. Eberhard et al. 2009).  For this reason, sampling protocols that use pumping and account for purge and post-purge sampling artefacts are recommended good practice (Hancock and Boulton 2009), although pumping methods are more time consuming than net haul methods, which only sample the animals inside the bore (Eberhard et al. 2004).   </w:t>
      </w:r>
    </w:p>
    <w:p w14:paraId="5C5FBDA1" w14:textId="77777777" w:rsidR="003D3694" w:rsidRPr="00747E35" w:rsidRDefault="003D3694" w:rsidP="003D3694">
      <w:pPr>
        <w:rPr>
          <w:rFonts w:asciiTheme="minorHAnsi" w:hAnsiTheme="minorHAnsi" w:cstheme="minorHAnsi"/>
          <w:lang w:val="en-GB" w:eastAsia="en-AU"/>
        </w:rPr>
      </w:pPr>
      <w:r w:rsidRPr="00747E35">
        <w:rPr>
          <w:rFonts w:asciiTheme="minorHAnsi" w:hAnsiTheme="minorHAnsi" w:cstheme="minorHAnsi"/>
          <w:lang w:val="en-GB" w:eastAsia="en-AU"/>
        </w:rPr>
        <w:t>For future sampling in other locations, we advocate a flexible and adaptive approach that is responsive to site-specific conditions and context, rather than a prescribed survey effort. Good practice would require that each location is assessed on a case-by-case basis, and initial desktop studies are validated by field study. For data analysis, non-parametric permutational methods applied to multivariate data are appropriate for typically highly variable and patchy invertebrate abundance and distribution patterns, and complement parametric treatment of univariate indices such as richness and abundance. Evaluation of sampling adequacy and completeness during surveys and monitoring is effectively undertaken using taxon accumulation curves, and the various commonly used estimators of total species richness (e.g. Colwell et al. 2004).</w:t>
      </w:r>
    </w:p>
    <w:p w14:paraId="5FFAA37A" w14:textId="4EDC8BED" w:rsidR="005F4D1A" w:rsidRDefault="005F4D1A">
      <w:pPr>
        <w:autoSpaceDE/>
        <w:autoSpaceDN/>
        <w:spacing w:after="160" w:line="259" w:lineRule="auto"/>
        <w:rPr>
          <w:rFonts w:asciiTheme="minorHAnsi" w:hAnsiTheme="minorHAnsi" w:cstheme="minorHAnsi"/>
          <w:lang w:val="en-GB" w:eastAsia="en-AU"/>
        </w:rPr>
      </w:pPr>
      <w:r>
        <w:rPr>
          <w:rFonts w:asciiTheme="minorHAnsi" w:hAnsiTheme="minorHAnsi" w:cstheme="minorHAnsi"/>
          <w:lang w:val="en-GB" w:eastAsia="en-AU"/>
        </w:rPr>
        <w:br w:type="page"/>
      </w:r>
    </w:p>
    <w:p w14:paraId="2D5E5EEE" w14:textId="6148E609" w:rsidR="003D3694" w:rsidRPr="00747E35" w:rsidRDefault="003D3694" w:rsidP="003D3694">
      <w:pPr>
        <w:pStyle w:val="Heading3"/>
        <w:rPr>
          <w:rFonts w:asciiTheme="minorHAnsi" w:hAnsiTheme="minorHAnsi" w:cstheme="minorHAnsi"/>
          <w:bCs w:val="0"/>
        </w:rPr>
      </w:pPr>
      <w:bookmarkStart w:id="327" w:name="_Toc453235115"/>
      <w:bookmarkStart w:id="328" w:name="_Toc466449954"/>
      <w:bookmarkStart w:id="329" w:name="_Toc466450364"/>
      <w:bookmarkStart w:id="330" w:name="_Toc470004886"/>
      <w:r w:rsidRPr="00747E35">
        <w:rPr>
          <w:rFonts w:asciiTheme="minorHAnsi" w:hAnsiTheme="minorHAnsi" w:cstheme="minorHAnsi"/>
        </w:rPr>
        <w:lastRenderedPageBreak/>
        <w:t>Integration – site specific models</w:t>
      </w:r>
      <w:bookmarkEnd w:id="327"/>
      <w:bookmarkEnd w:id="328"/>
      <w:bookmarkEnd w:id="329"/>
      <w:bookmarkEnd w:id="330"/>
    </w:p>
    <w:p w14:paraId="186CA19C"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rPr>
        <w:t xml:space="preserve">The following section integrates the physical hydrology, hydrochemistry, organic matter degradation and invertebrate ecology results to develop conceptual models of the ecohydrological functioning and responses spanning the study period for each of the study sites in Maules Creek and Bremer River catchments. </w:t>
      </w:r>
      <w:r w:rsidRPr="00747E35">
        <w:rPr>
          <w:rFonts w:asciiTheme="minorHAnsi" w:hAnsiTheme="minorHAnsi" w:cstheme="minorHAnsi"/>
          <w:lang w:eastAsia="en-AU"/>
        </w:rPr>
        <w:t xml:space="preserve"> In the Discussion section following these site-specific models are further developed and generalised for application in broader contexts and other regions where CSGLCM occur.</w:t>
      </w:r>
    </w:p>
    <w:p w14:paraId="1A80ACA6" w14:textId="6EECD348" w:rsidR="003D3694" w:rsidRPr="00747E35" w:rsidRDefault="003D3694" w:rsidP="00566456">
      <w:pPr>
        <w:pStyle w:val="Heading3"/>
        <w:rPr>
          <w:rFonts w:asciiTheme="minorHAnsi" w:hAnsiTheme="minorHAnsi" w:cstheme="minorHAnsi"/>
        </w:rPr>
      </w:pPr>
      <w:bookmarkStart w:id="331" w:name="_Toc466449956"/>
      <w:bookmarkStart w:id="332" w:name="_Toc470004887"/>
      <w:r w:rsidRPr="00747E35">
        <w:rPr>
          <w:rFonts w:asciiTheme="minorHAnsi" w:hAnsiTheme="minorHAnsi" w:cstheme="minorHAnsi"/>
        </w:rPr>
        <w:t>Middle Creek Farm (intermittent)</w:t>
      </w:r>
      <w:bookmarkEnd w:id="331"/>
      <w:bookmarkEnd w:id="332"/>
    </w:p>
    <w:p w14:paraId="556C2103" w14:textId="372F8D61"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 xml:space="preserve">The conceptual model of the </w:t>
      </w:r>
      <w:r w:rsidRPr="00747E35">
        <w:rPr>
          <w:rFonts w:asciiTheme="minorHAnsi" w:hAnsiTheme="minorHAnsi" w:cstheme="minorHAnsi"/>
        </w:rPr>
        <w:t>intermittent</w:t>
      </w:r>
      <w:r w:rsidRPr="00747E35">
        <w:rPr>
          <w:rFonts w:asciiTheme="minorHAnsi" w:hAnsiTheme="minorHAnsi" w:cstheme="minorHAnsi"/>
          <w:lang w:eastAsia="en-AU"/>
        </w:rPr>
        <w:t xml:space="preserve"> study site at Middle Creek Farm is shown in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_Ref453230634 \h  \* MERGEFORMAT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126</w:t>
      </w:r>
      <w:r w:rsidRPr="00747E35">
        <w:rPr>
          <w:rFonts w:asciiTheme="minorHAnsi" w:hAnsiTheme="minorHAnsi" w:cstheme="minorHAnsi"/>
          <w:lang w:eastAsia="en-AU"/>
        </w:rPr>
        <w:fldChar w:fldCharType="end"/>
      </w:r>
      <w:r w:rsidRPr="00747E35">
        <w:rPr>
          <w:rFonts w:asciiTheme="minorHAnsi" w:hAnsiTheme="minorHAnsi" w:cstheme="minorHAnsi"/>
          <w:lang w:eastAsia="en-AU"/>
        </w:rPr>
        <w:t>, and the ecohydrological cycle observed over 12 months is depicted in time-series “snap-shots” (</w:t>
      </w:r>
      <w:r w:rsidRPr="00747E35">
        <w:rPr>
          <w:rFonts w:asciiTheme="minorHAnsi" w:hAnsiTheme="minorHAnsi" w:cstheme="minorHAnsi"/>
          <w:highlight w:val="yellow"/>
          <w:lang w:eastAsia="en-AU"/>
        </w:rPr>
        <w:fldChar w:fldCharType="begin"/>
      </w:r>
      <w:r w:rsidRPr="00747E35">
        <w:rPr>
          <w:rFonts w:asciiTheme="minorHAnsi" w:hAnsiTheme="minorHAnsi" w:cstheme="minorHAnsi"/>
          <w:lang w:eastAsia="en-AU"/>
        </w:rPr>
        <w:instrText xml:space="preserve"> REF _Ref453230222 \h </w:instrText>
      </w:r>
      <w:r w:rsidR="00925BFC" w:rsidRPr="00747E35">
        <w:rPr>
          <w:rFonts w:asciiTheme="minorHAnsi" w:hAnsiTheme="minorHAnsi" w:cstheme="minorHAnsi"/>
          <w:highlight w:val="yellow"/>
          <w:lang w:eastAsia="en-AU"/>
        </w:rPr>
        <w:instrText xml:space="preserve"> \* MERGEFORMAT </w:instrText>
      </w:r>
      <w:r w:rsidRPr="00747E35">
        <w:rPr>
          <w:rFonts w:asciiTheme="minorHAnsi" w:hAnsiTheme="minorHAnsi" w:cstheme="minorHAnsi"/>
          <w:highlight w:val="yellow"/>
          <w:lang w:eastAsia="en-AU"/>
        </w:rPr>
      </w:r>
      <w:r w:rsidRPr="00747E35">
        <w:rPr>
          <w:rFonts w:asciiTheme="minorHAnsi" w:hAnsiTheme="minorHAnsi" w:cstheme="minorHAnsi"/>
          <w:highlight w:val="yellow"/>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127</w:t>
      </w:r>
      <w:r w:rsidRPr="00747E35">
        <w:rPr>
          <w:rFonts w:asciiTheme="minorHAnsi" w:hAnsiTheme="minorHAnsi" w:cstheme="minorHAnsi"/>
          <w:highlight w:val="yellow"/>
          <w:lang w:eastAsia="en-AU"/>
        </w:rPr>
        <w:fldChar w:fldCharType="end"/>
      </w:r>
      <w:r w:rsidRPr="00747E35">
        <w:rPr>
          <w:rFonts w:asciiTheme="minorHAnsi" w:hAnsiTheme="minorHAnsi" w:cstheme="minorHAnsi"/>
          <w:lang w:eastAsia="en-AU"/>
        </w:rPr>
        <w:t xml:space="preserve">), with supporting information in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_Ref466446712 \h </w:instrText>
      </w:r>
      <w:r w:rsidR="00925BFC" w:rsidRPr="00747E35">
        <w:rPr>
          <w:rFonts w:asciiTheme="minorHAnsi" w:hAnsiTheme="minorHAnsi" w:cstheme="minorHAnsi"/>
          <w:lang w:eastAsia="en-AU"/>
        </w:rPr>
        <w:instrText xml:space="preserve"> \* MERGEFORMAT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27</w:t>
      </w:r>
      <w:r w:rsidRPr="00747E35">
        <w:rPr>
          <w:rFonts w:asciiTheme="minorHAnsi" w:hAnsiTheme="minorHAnsi" w:cstheme="minorHAnsi"/>
          <w:lang w:eastAsia="en-AU"/>
        </w:rPr>
        <w:fldChar w:fldCharType="end"/>
      </w:r>
      <w:r w:rsidRPr="00747E35">
        <w:rPr>
          <w:rFonts w:asciiTheme="minorHAnsi" w:hAnsiTheme="minorHAnsi" w:cstheme="minorHAnsi"/>
          <w:lang w:eastAsia="en-AU"/>
        </w:rPr>
        <w:t>. In summary, the conceptual models for the intermittent flow regime section in Middle Creek Farm highlight the following:</w:t>
      </w:r>
    </w:p>
    <w:p w14:paraId="303B5F96" w14:textId="77777777" w:rsidR="003D3694" w:rsidRPr="00747E35" w:rsidRDefault="003D3694" w:rsidP="0083624F">
      <w:pPr>
        <w:pStyle w:val="ListParagraph"/>
        <w:numPr>
          <w:ilvl w:val="0"/>
          <w:numId w:val="19"/>
        </w:numPr>
        <w:adjustRightInd w:val="0"/>
        <w:spacing w:before="60" w:after="240" w:line="240" w:lineRule="auto"/>
        <w:contextualSpacing w:val="0"/>
        <w:jc w:val="both"/>
        <w:rPr>
          <w:rFonts w:asciiTheme="minorHAnsi" w:hAnsiTheme="minorHAnsi" w:cstheme="minorHAnsi"/>
          <w:lang w:eastAsia="en-AU"/>
        </w:rPr>
      </w:pPr>
      <w:r w:rsidRPr="00747E35">
        <w:rPr>
          <w:rFonts w:asciiTheme="minorHAnsi" w:hAnsiTheme="minorHAnsi" w:cstheme="minorHAnsi"/>
          <w:lang w:eastAsia="en-AU"/>
        </w:rPr>
        <w:t xml:space="preserve"> Lithology, hydrology. The coarse alluvium confers high hydraulic permeability and aquifer-creek connectivity, facilitating transport and bi-directional exchange between creek and aquifer of DO, nutrients, POM, DOM and other solutes, as well as microorganisms and invertebrates. The high permeability and connectivity also induce rapid and weakly buffered ecohydrological responses of the hyporheic zone to changes such as groundwater recession / drawdown occurring in the adjacent aquifer. </w:t>
      </w:r>
    </w:p>
    <w:p w14:paraId="70CEBBC1" w14:textId="382CDFBD" w:rsidR="003D3694" w:rsidRPr="00747E35" w:rsidRDefault="003D3694" w:rsidP="0083624F">
      <w:pPr>
        <w:pStyle w:val="ListParagraph"/>
        <w:numPr>
          <w:ilvl w:val="0"/>
          <w:numId w:val="19"/>
        </w:numPr>
        <w:adjustRightInd w:val="0"/>
        <w:spacing w:before="60" w:after="240" w:line="240" w:lineRule="auto"/>
        <w:contextualSpacing w:val="0"/>
        <w:jc w:val="both"/>
        <w:rPr>
          <w:rFonts w:asciiTheme="minorHAnsi" w:hAnsiTheme="minorHAnsi" w:cstheme="minorHAnsi"/>
          <w:lang w:eastAsia="en-AU"/>
        </w:rPr>
      </w:pPr>
      <w:r w:rsidRPr="00747E35">
        <w:rPr>
          <w:rFonts w:asciiTheme="minorHAnsi" w:hAnsiTheme="minorHAnsi" w:cstheme="minorHAnsi"/>
          <w:lang w:eastAsia="en-AU"/>
        </w:rPr>
        <w:t xml:space="preserve">Hydrogeology. </w:t>
      </w:r>
      <w:r w:rsidR="008B4C44" w:rsidRPr="008B4C44">
        <w:rPr>
          <w:rFonts w:asciiTheme="minorHAnsi" w:hAnsiTheme="minorHAnsi" w:cstheme="minorHAnsi"/>
          <w:lang w:eastAsia="en-AU"/>
        </w:rPr>
        <w:t>High aquifer-creek connectivity combined with a relatively thick depth of alluvium (&gt;20m thick) and shallow water table (generally &lt; 5m below ground level) confers buffering capacity</w:t>
      </w:r>
      <w:r w:rsidRPr="00747E35">
        <w:rPr>
          <w:rFonts w:asciiTheme="minorHAnsi" w:hAnsiTheme="minorHAnsi" w:cstheme="minorHAnsi"/>
          <w:lang w:eastAsia="en-AU"/>
        </w:rPr>
        <w:t xml:space="preserve"> (resilience) in terms of groundwater habitat availability and persistence during episodes of groundwater recession / drawdown. This combination of aquifer properties and strong hydrologic connectivity also confers a potential capacity for recovery if the aquifer functions as a refuge for the stygobite and stygophile functional components of the hyporheos during episodes of hyporheic desaturation / DO and redox shifts, and a source for recolonization of the hyporheic zone if conditions become suitable.</w:t>
      </w:r>
    </w:p>
    <w:p w14:paraId="4605D925" w14:textId="4E910F8A" w:rsidR="003D3694" w:rsidRPr="00747E35" w:rsidRDefault="003D3694" w:rsidP="0083624F">
      <w:pPr>
        <w:pStyle w:val="ListParagraph"/>
        <w:numPr>
          <w:ilvl w:val="0"/>
          <w:numId w:val="19"/>
        </w:numPr>
        <w:adjustRightInd w:val="0"/>
        <w:spacing w:before="60" w:after="240" w:line="240" w:lineRule="auto"/>
        <w:contextualSpacing w:val="0"/>
        <w:jc w:val="both"/>
        <w:rPr>
          <w:rFonts w:asciiTheme="minorHAnsi" w:hAnsiTheme="minorHAnsi" w:cstheme="minorHAnsi"/>
          <w:lang w:eastAsia="en-AU"/>
        </w:rPr>
      </w:pPr>
      <w:r w:rsidRPr="00747E35">
        <w:rPr>
          <w:rFonts w:asciiTheme="minorHAnsi" w:hAnsiTheme="minorHAnsi" w:cstheme="minorHAnsi"/>
          <w:lang w:eastAsia="en-AU"/>
        </w:rPr>
        <w:t>Flow regime. The intermittent flow regime confers a dynamic and alternating gaining/losing regime with superimposed upwelling/</w:t>
      </w:r>
      <w:r w:rsidR="006B2C7A">
        <w:rPr>
          <w:rFonts w:asciiTheme="minorHAnsi" w:hAnsiTheme="minorHAnsi" w:cstheme="minorHAnsi"/>
          <w:lang w:eastAsia="en-AU"/>
        </w:rPr>
        <w:t>downwelling</w:t>
      </w:r>
      <w:r w:rsidRPr="00747E35">
        <w:rPr>
          <w:rFonts w:asciiTheme="minorHAnsi" w:hAnsiTheme="minorHAnsi" w:cstheme="minorHAnsi"/>
          <w:lang w:eastAsia="en-AU"/>
        </w:rPr>
        <w:t xml:space="preserve"> VH</w:t>
      </w:r>
      <w:r w:rsidR="00C766C8">
        <w:rPr>
          <w:rFonts w:asciiTheme="minorHAnsi" w:hAnsiTheme="minorHAnsi" w:cstheme="minorHAnsi"/>
          <w:lang w:eastAsia="en-AU"/>
        </w:rPr>
        <w:t>H</w:t>
      </w:r>
      <w:r w:rsidRPr="00747E35">
        <w:rPr>
          <w:rFonts w:asciiTheme="minorHAnsi" w:hAnsiTheme="minorHAnsi" w:cstheme="minorHAnsi"/>
          <w:lang w:eastAsia="en-AU"/>
        </w:rPr>
        <w:t xml:space="preserve">/HEF paths, both driven by the interplay between recharge and discharge processes in the catchment. The input of oxic regional groundwater maintains suitable habitat for aerobic invertebrates when the hyporheic zone is saturated. </w:t>
      </w:r>
    </w:p>
    <w:p w14:paraId="696827FF" w14:textId="77777777" w:rsidR="003D3694" w:rsidRPr="00747E35" w:rsidRDefault="003D3694" w:rsidP="0083624F">
      <w:pPr>
        <w:pStyle w:val="ListParagraph"/>
        <w:numPr>
          <w:ilvl w:val="0"/>
          <w:numId w:val="19"/>
        </w:numPr>
        <w:adjustRightInd w:val="0"/>
        <w:spacing w:before="60" w:after="240" w:line="240" w:lineRule="auto"/>
        <w:contextualSpacing w:val="0"/>
        <w:jc w:val="both"/>
        <w:rPr>
          <w:rFonts w:asciiTheme="minorHAnsi" w:hAnsiTheme="minorHAnsi" w:cstheme="minorHAnsi"/>
          <w:lang w:eastAsia="en-AU"/>
        </w:rPr>
      </w:pPr>
      <w:r w:rsidRPr="00747E35">
        <w:rPr>
          <w:rFonts w:asciiTheme="minorHAnsi" w:hAnsiTheme="minorHAnsi" w:cstheme="minorHAnsi"/>
          <w:lang w:eastAsia="en-AU"/>
        </w:rPr>
        <w:t>Aerobic microbial metabolism dominates biogeochemical processes. While it is a gaining system oxic conditions (DO &gt; 0.5 mg/L) are prevalent, but after the switch to losing conditions the hyporheic zone becomes progressively suboxic (DO &lt; 0.5 mg/L) to anoxic. OM degradation is highly dependent on substrate moisture conditions, with high leaf decay rates when saturated and a decrease as the system becomes losing and eventually surface flow ceases.</w:t>
      </w:r>
    </w:p>
    <w:p w14:paraId="5BD34D62" w14:textId="6A536943" w:rsidR="003D3694" w:rsidRPr="00747E35" w:rsidRDefault="003D3694" w:rsidP="0083624F">
      <w:pPr>
        <w:pStyle w:val="ListParagraph"/>
        <w:numPr>
          <w:ilvl w:val="0"/>
          <w:numId w:val="19"/>
        </w:numPr>
        <w:adjustRightInd w:val="0"/>
        <w:spacing w:before="60" w:after="240" w:line="240" w:lineRule="auto"/>
        <w:contextualSpacing w:val="0"/>
        <w:jc w:val="both"/>
        <w:rPr>
          <w:rFonts w:asciiTheme="minorHAnsi" w:hAnsiTheme="minorHAnsi" w:cstheme="minorHAnsi"/>
          <w:lang w:eastAsia="en-AU"/>
        </w:rPr>
      </w:pPr>
      <w:r w:rsidRPr="00747E35">
        <w:rPr>
          <w:rFonts w:asciiTheme="minorHAnsi" w:hAnsiTheme="minorHAnsi" w:cstheme="minorHAnsi"/>
          <w:lang w:eastAsia="en-AU"/>
        </w:rPr>
        <w:t xml:space="preserve">Groundwater recession/drawdown shifts perennial gaining flow regimes and/or upwelling HEFs towards losing and/or </w:t>
      </w:r>
      <w:r w:rsidR="006B2C7A">
        <w:rPr>
          <w:rFonts w:asciiTheme="minorHAnsi" w:hAnsiTheme="minorHAnsi" w:cstheme="minorHAnsi"/>
          <w:lang w:eastAsia="en-AU"/>
        </w:rPr>
        <w:t>downwelling</w:t>
      </w:r>
      <w:r w:rsidRPr="00747E35">
        <w:rPr>
          <w:rFonts w:asciiTheme="minorHAnsi" w:hAnsiTheme="minorHAnsi" w:cstheme="minorHAnsi"/>
          <w:lang w:eastAsia="en-AU"/>
        </w:rPr>
        <w:t xml:space="preserve"> conditions. Invertebrate metabolism in the hyporheic zone may be reduced, but continuing input of oxic regional groundwater maintains a suitable habitat for invertebrates. As the hyporheic zone becomes desaturated, stygobites and stygophiles retreat downwards with the falling water table, but non-specialised stygoxenes and epigean invertebrates are excluded. Below the hyporheic zone at depth in the aquifer, the oxic regional groundwater continues to provide suitable conditions for stygobites and stygophiles.    </w:t>
      </w:r>
    </w:p>
    <w:p w14:paraId="544C8A15"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54E26A8B" wp14:editId="18C2F18B">
            <wp:extent cx="6100272" cy="4505325"/>
            <wp:effectExtent l="0" t="0" r="0" b="0"/>
            <wp:docPr id="7176" name="Picture 7176"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6103622" cy="4507799"/>
                    </a:xfrm>
                    <a:prstGeom prst="rect">
                      <a:avLst/>
                    </a:prstGeom>
                    <a:noFill/>
                  </pic:spPr>
                </pic:pic>
              </a:graphicData>
            </a:graphic>
          </wp:inline>
        </w:drawing>
      </w:r>
    </w:p>
    <w:p w14:paraId="175A2D89" w14:textId="77777777" w:rsidR="003D3694" w:rsidRPr="00747E35" w:rsidRDefault="003D3694" w:rsidP="00566456">
      <w:pPr>
        <w:pStyle w:val="Caption"/>
        <w:numPr>
          <w:ilvl w:val="0"/>
          <w:numId w:val="0"/>
        </w:numPr>
        <w:rPr>
          <w:rFonts w:cstheme="minorHAnsi"/>
        </w:rPr>
      </w:pPr>
      <w:bookmarkStart w:id="333" w:name="_Ref453230634"/>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126</w:t>
      </w:r>
      <w:r w:rsidR="009D6600" w:rsidRPr="00747E35">
        <w:rPr>
          <w:rFonts w:cstheme="minorHAnsi"/>
          <w:noProof/>
        </w:rPr>
        <w:fldChar w:fldCharType="end"/>
      </w:r>
      <w:bookmarkEnd w:id="333"/>
      <w:r w:rsidRPr="00747E35">
        <w:rPr>
          <w:rFonts w:cstheme="minorHAnsi"/>
        </w:rPr>
        <w:t>:</w:t>
      </w:r>
      <w:r w:rsidRPr="00747E35">
        <w:rPr>
          <w:rFonts w:cstheme="minorHAnsi"/>
          <w:lang w:eastAsia="en-AU"/>
        </w:rPr>
        <w:t xml:space="preserve"> </w:t>
      </w:r>
      <w:r w:rsidRPr="00747E35">
        <w:rPr>
          <w:rFonts w:cstheme="minorHAnsi"/>
        </w:rPr>
        <w:t>Middle Creek Farm conceptual diagram of aquifer – creek connectivity inferred from hydrographs, hydro-chemistry and stygofauna sampling.</w:t>
      </w:r>
    </w:p>
    <w:p w14:paraId="79919571" w14:textId="77777777" w:rsidR="003D3694" w:rsidRPr="00747E35" w:rsidRDefault="003D3694" w:rsidP="003D3694">
      <w:pPr>
        <w:rPr>
          <w:rFonts w:asciiTheme="minorHAnsi" w:hAnsiTheme="minorHAnsi" w:cstheme="minorHAnsi"/>
        </w:rPr>
      </w:pPr>
    </w:p>
    <w:p w14:paraId="611F047D"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Based on the bore water level monitoring, this model emphasises the strong connectivity between the aquifer and creek surface-hyporheic flow. The hydrographic responses of the shallow aquifer measured in the bores located 60m away from the creek were more muted but still coincident with those in the bores located 5m from the creek. Geochemical similarity between creek water and aquifer water is very high close to the creek bank but further away from the creek the aquifer water had little similarity to the creek water at the time of sampling.  The similarity between aquifer water and creek water is assumed to be dynamic and variable, depending on the conditions of recharge and discharge between the two water bodies.  The streambed and hyporheic zone are developed in the same geomorphic material as the shallow aquifer, Quaternary alluvium which exceeds 20m depth at this site. The coarse alluvium is moderately to highly permeable as demonstrated by bore pump tests. During recharge events creek surface flow recharges the aquifer.  Following recharge of the aquifer by creek water there is a prolonged recession with reversal of flow direction as the aquifer discharges into the creek. The recession is expressed on the surface as gradual decline and loss of surface flow.  The high permeability facilitates the transport and bi-directional exchange between creek and aquifer of DO, nutrients, POM, DOM and other solutes, as well as microorganisms and invertebrates. When the hyporheic zone is saturated aquifer invertebrates (stygobites and stygophiles) colonise this zone along with stygoxenes and epigean invertebrates. As the groundwater level recedes and the hyporheic zone becomes desaturated the stygobites and stygophiles</w:t>
      </w:r>
      <w:r w:rsidRPr="00747E35" w:rsidDel="007E4802">
        <w:rPr>
          <w:rFonts w:asciiTheme="minorHAnsi" w:hAnsiTheme="minorHAnsi" w:cstheme="minorHAnsi"/>
          <w:lang w:eastAsia="en-AU"/>
        </w:rPr>
        <w:t xml:space="preserve"> </w:t>
      </w:r>
      <w:r w:rsidRPr="00747E35">
        <w:rPr>
          <w:rFonts w:asciiTheme="minorHAnsi" w:hAnsiTheme="minorHAnsi" w:cstheme="minorHAnsi"/>
          <w:lang w:eastAsia="en-AU"/>
        </w:rPr>
        <w:t xml:space="preserve">retreat downwards and laterally into the aquifer. The stygoxenes and epigean invertebrates which are not groundwater specialists are limited to the shallow hyporheic and benthic zones, so local populations die out, or as in the case of many insects with aquatic larval and nymphal life cycle stages, metamorphose into terrestrial adult forms.   </w:t>
      </w:r>
    </w:p>
    <w:p w14:paraId="7DFC13BC" w14:textId="50A498FB"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lastRenderedPageBreak/>
        <w:t>The ecohydrological cycle observed over 12 months in Middle Creek is depicted in time-series of “snap-shots” conceptual models with a supporting table (</w:t>
      </w:r>
      <w:r w:rsidRPr="00747E35">
        <w:rPr>
          <w:rFonts w:asciiTheme="minorHAnsi" w:hAnsiTheme="minorHAnsi" w:cstheme="minorHAnsi"/>
          <w:highlight w:val="yellow"/>
          <w:lang w:eastAsia="en-AU"/>
        </w:rPr>
        <w:fldChar w:fldCharType="begin"/>
      </w:r>
      <w:r w:rsidRPr="00747E35">
        <w:rPr>
          <w:rFonts w:asciiTheme="minorHAnsi" w:hAnsiTheme="minorHAnsi" w:cstheme="minorHAnsi"/>
          <w:lang w:eastAsia="en-AU"/>
        </w:rPr>
        <w:instrText xml:space="preserve"> REF _Ref453230222 \h </w:instrText>
      </w:r>
      <w:r w:rsidR="00925BFC" w:rsidRPr="00747E35">
        <w:rPr>
          <w:rFonts w:asciiTheme="minorHAnsi" w:hAnsiTheme="minorHAnsi" w:cstheme="minorHAnsi"/>
          <w:highlight w:val="yellow"/>
          <w:lang w:eastAsia="en-AU"/>
        </w:rPr>
        <w:instrText xml:space="preserve"> \* MERGEFORMAT </w:instrText>
      </w:r>
      <w:r w:rsidRPr="00747E35">
        <w:rPr>
          <w:rFonts w:asciiTheme="minorHAnsi" w:hAnsiTheme="minorHAnsi" w:cstheme="minorHAnsi"/>
          <w:highlight w:val="yellow"/>
          <w:lang w:eastAsia="en-AU"/>
        </w:rPr>
      </w:r>
      <w:r w:rsidRPr="00747E35">
        <w:rPr>
          <w:rFonts w:asciiTheme="minorHAnsi" w:hAnsiTheme="minorHAnsi" w:cstheme="minorHAnsi"/>
          <w:highlight w:val="yellow"/>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127</w:t>
      </w:r>
      <w:r w:rsidRPr="00747E35">
        <w:rPr>
          <w:rFonts w:asciiTheme="minorHAnsi" w:hAnsiTheme="minorHAnsi" w:cstheme="minorHAnsi"/>
          <w:highlight w:val="yellow"/>
          <w:lang w:eastAsia="en-AU"/>
        </w:rPr>
        <w:fldChar w:fldCharType="end"/>
      </w:r>
      <w:r w:rsidRPr="00747E35">
        <w:rPr>
          <w:rFonts w:asciiTheme="minorHAnsi" w:hAnsiTheme="minorHAnsi" w:cstheme="minorHAnsi"/>
          <w:lang w:eastAsia="en-AU"/>
        </w:rPr>
        <w:t xml:space="preserve">,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_Ref466446712 \h </w:instrText>
      </w:r>
      <w:r w:rsidR="00925BFC" w:rsidRPr="00747E35">
        <w:rPr>
          <w:rFonts w:asciiTheme="minorHAnsi" w:hAnsiTheme="minorHAnsi" w:cstheme="minorHAnsi"/>
          <w:lang w:eastAsia="en-AU"/>
        </w:rPr>
        <w:instrText xml:space="preserve"> \* MERGEFORMAT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27</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At the beginning of the study in February 2015 the </w:t>
      </w:r>
      <w:r w:rsidR="000E6336">
        <w:rPr>
          <w:rFonts w:asciiTheme="minorHAnsi" w:hAnsiTheme="minorHAnsi" w:cstheme="minorHAnsi"/>
          <w:lang w:eastAsia="en-AU"/>
        </w:rPr>
        <w:t>streambed</w:t>
      </w:r>
      <w:r w:rsidRPr="00747E35">
        <w:rPr>
          <w:rFonts w:asciiTheme="minorHAnsi" w:hAnsiTheme="minorHAnsi" w:cstheme="minorHAnsi"/>
          <w:lang w:eastAsia="en-AU"/>
        </w:rPr>
        <w:t xml:space="preserve"> in Middle Creek Farm was completely dry and owing to the depth to groundwater being &gt; 2m below the </w:t>
      </w:r>
      <w:r w:rsidR="000E6336">
        <w:rPr>
          <w:rFonts w:asciiTheme="minorHAnsi" w:hAnsiTheme="minorHAnsi" w:cstheme="minorHAnsi"/>
          <w:lang w:eastAsia="en-AU"/>
        </w:rPr>
        <w:t>streambed</w:t>
      </w:r>
      <w:r w:rsidRPr="00747E35">
        <w:rPr>
          <w:rFonts w:asciiTheme="minorHAnsi" w:hAnsiTheme="minorHAnsi" w:cstheme="minorHAnsi"/>
          <w:lang w:eastAsia="en-AU"/>
        </w:rPr>
        <w:t xml:space="preserve"> it was not possible to sample using temporary piezometers which are limited to &lt; 1m depth. However, in July 2015 the stream was observed to be flowing and extensive growths of filamentous algae indicated that the flow had been persisting for some time (Appendix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_Ref453230156 \h </w:instrText>
      </w:r>
      <w:r w:rsidR="00925BFC" w:rsidRPr="00747E35">
        <w:rPr>
          <w:rFonts w:asciiTheme="minorHAnsi" w:hAnsiTheme="minorHAnsi" w:cstheme="minorHAnsi"/>
          <w:lang w:eastAsia="en-AU"/>
        </w:rPr>
        <w:instrText xml:space="preserve"> \* MERGEFORMAT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160</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A significant rainfall event in the upper catchment area on 16th June 2015 was responsible for the initiation of a major surface flow event that persisted for some months (Appendix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_Ref453305549 \h </w:instrText>
      </w:r>
      <w:r w:rsidR="00925BFC" w:rsidRPr="00747E35">
        <w:rPr>
          <w:rFonts w:asciiTheme="minorHAnsi" w:hAnsiTheme="minorHAnsi" w:cstheme="minorHAnsi"/>
          <w:lang w:eastAsia="en-AU"/>
        </w:rPr>
        <w:instrText xml:space="preserve"> \* MERGEFORMAT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161</w:t>
      </w:r>
      <w:r w:rsidRPr="00747E35">
        <w:rPr>
          <w:rFonts w:asciiTheme="minorHAnsi" w:hAnsiTheme="minorHAnsi" w:cstheme="minorHAnsi"/>
          <w:lang w:eastAsia="en-AU"/>
        </w:rPr>
        <w:fldChar w:fldCharType="end"/>
      </w:r>
      <w:r w:rsidRPr="00747E35">
        <w:rPr>
          <w:rFonts w:asciiTheme="minorHAnsi" w:hAnsiTheme="minorHAnsi" w:cstheme="minorHAnsi"/>
          <w:lang w:eastAsia="en-AU"/>
        </w:rPr>
        <w:t>). The gradual decline of surface water flow and the groundwater recession was recorded in the water level changes logged in monitoring bore BH18-4 (and three other nearby bores). In July 2015, the pools and riffles were connected by continuous surface flow. In September and October water levels had dropped slightly and the riffles were starting to become partly discontinuous, but hyporheic exchange beneath the riffle zones remained vigorous owing to the streambed topographic gradient. In November 2015, water levels had declined noticeably and all riffles had ceased flowing and the pools had contracted substantially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_Ref453305549 \h </w:instrText>
      </w:r>
      <w:r w:rsidR="00925BFC" w:rsidRPr="00747E35">
        <w:rPr>
          <w:rFonts w:asciiTheme="minorHAnsi" w:hAnsiTheme="minorHAnsi" w:cstheme="minorHAnsi"/>
          <w:lang w:eastAsia="en-AU"/>
        </w:rPr>
        <w:instrText xml:space="preserve"> \* MERGEFORMAT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161</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There was vigorous green algal growth in the standing pools which remained. By February-March 2016 all surface water was gone as the groundwater continued to recede. No hyporheic samples could be obtained during February 2016 because the water table had receded below the maximum depth (0.9 m) of the sampling equipment. </w:t>
      </w:r>
    </w:p>
    <w:p w14:paraId="4A8E1BD1" w14:textId="77777777" w:rsidR="003D3694" w:rsidRPr="00747E35" w:rsidRDefault="003D3694" w:rsidP="003D3694">
      <w:pPr>
        <w:rPr>
          <w:rFonts w:asciiTheme="minorHAnsi" w:hAnsiTheme="minorHAnsi" w:cstheme="minorHAnsi"/>
        </w:rPr>
      </w:pPr>
    </w:p>
    <w:p w14:paraId="48CDF8F7" w14:textId="77777777" w:rsidR="003D3694" w:rsidRPr="00747E35" w:rsidRDefault="003D3694" w:rsidP="003D3694">
      <w:pPr>
        <w:autoSpaceDE/>
        <w:autoSpaceDN/>
        <w:spacing w:line="276" w:lineRule="auto"/>
        <w:rPr>
          <w:rFonts w:asciiTheme="minorHAnsi" w:hAnsiTheme="minorHAnsi" w:cstheme="minorHAnsi"/>
          <w:highlight w:val="yellow"/>
          <w:lang w:eastAsia="en-AU"/>
        </w:rPr>
      </w:pPr>
      <w:r w:rsidRPr="00747E35">
        <w:rPr>
          <w:rFonts w:asciiTheme="minorHAnsi" w:hAnsiTheme="minorHAnsi" w:cstheme="minorHAnsi"/>
          <w:highlight w:val="yellow"/>
          <w:lang w:eastAsia="en-AU"/>
        </w:rPr>
        <w:br w:type="page"/>
      </w:r>
    </w:p>
    <w:p w14:paraId="20D505FB" w14:textId="77777777" w:rsidR="003D3694" w:rsidRPr="00747E35" w:rsidRDefault="003D3694" w:rsidP="003D3694">
      <w:pPr>
        <w:jc w:val="center"/>
        <w:rPr>
          <w:rFonts w:asciiTheme="minorHAnsi" w:hAnsiTheme="minorHAnsi" w:cstheme="minorHAnsi"/>
          <w:highlight w:val="yellow"/>
          <w:lang w:eastAsia="en-AU"/>
        </w:rPr>
      </w:pPr>
      <w:r w:rsidRPr="00747E35">
        <w:rPr>
          <w:rFonts w:asciiTheme="minorHAnsi" w:hAnsiTheme="minorHAnsi" w:cstheme="minorHAnsi"/>
          <w:noProof/>
          <w:lang w:val="en-AU" w:eastAsia="en-AU"/>
        </w:rPr>
        <w:lastRenderedPageBreak/>
        <w:drawing>
          <wp:inline distT="0" distB="0" distL="0" distR="0" wp14:anchorId="5C282E48" wp14:editId="0C853259">
            <wp:extent cx="4832350" cy="1971034"/>
            <wp:effectExtent l="0" t="0" r="6350" b="0"/>
            <wp:docPr id="4111" name="Picture 4111" descr="Diagram (1 of 4 for Fig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4832350" cy="1971034"/>
                    </a:xfrm>
                    <a:prstGeom prst="rect">
                      <a:avLst/>
                    </a:prstGeom>
                    <a:noFill/>
                  </pic:spPr>
                </pic:pic>
              </a:graphicData>
            </a:graphic>
          </wp:inline>
        </w:drawing>
      </w:r>
      <w:r w:rsidRPr="00747E35">
        <w:rPr>
          <w:rFonts w:asciiTheme="minorHAnsi" w:hAnsiTheme="minorHAnsi" w:cstheme="minorHAnsi"/>
          <w:noProof/>
          <w:lang w:val="en-AU" w:eastAsia="en-AU"/>
        </w:rPr>
        <w:drawing>
          <wp:inline distT="0" distB="0" distL="0" distR="0" wp14:anchorId="4D9430C3" wp14:editId="7AEB792D">
            <wp:extent cx="4896000" cy="1990800"/>
            <wp:effectExtent l="0" t="0" r="0" b="9525"/>
            <wp:docPr id="4110" name="Picture 4110" descr="Diagram (2 of 4 for Fig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4896000" cy="1990800"/>
                    </a:xfrm>
                    <a:prstGeom prst="rect">
                      <a:avLst/>
                    </a:prstGeom>
                    <a:noFill/>
                  </pic:spPr>
                </pic:pic>
              </a:graphicData>
            </a:graphic>
          </wp:inline>
        </w:drawing>
      </w:r>
      <w:r w:rsidRPr="00747E35">
        <w:rPr>
          <w:rFonts w:asciiTheme="minorHAnsi" w:hAnsiTheme="minorHAnsi" w:cstheme="minorHAnsi"/>
          <w:noProof/>
          <w:lang w:val="en-AU" w:eastAsia="en-AU"/>
        </w:rPr>
        <w:drawing>
          <wp:inline distT="0" distB="0" distL="0" distR="0" wp14:anchorId="5C29993F" wp14:editId="501DCDC4">
            <wp:extent cx="4872228" cy="1962785"/>
            <wp:effectExtent l="0" t="0" r="5080" b="0"/>
            <wp:docPr id="4112" name="Picture 4112" descr="Diagram (3 of 4 for Fig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4877184" cy="1964781"/>
                    </a:xfrm>
                    <a:prstGeom prst="rect">
                      <a:avLst/>
                    </a:prstGeom>
                    <a:noFill/>
                  </pic:spPr>
                </pic:pic>
              </a:graphicData>
            </a:graphic>
          </wp:inline>
        </w:drawing>
      </w:r>
      <w:r w:rsidRPr="00747E35">
        <w:rPr>
          <w:rFonts w:asciiTheme="minorHAnsi" w:hAnsiTheme="minorHAnsi" w:cstheme="minorHAnsi"/>
          <w:noProof/>
          <w:lang w:val="en-AU" w:eastAsia="en-AU"/>
        </w:rPr>
        <w:drawing>
          <wp:inline distT="0" distB="0" distL="0" distR="0" wp14:anchorId="7F0BE400" wp14:editId="518EC1B5">
            <wp:extent cx="4832350" cy="1967509"/>
            <wp:effectExtent l="0" t="0" r="6350" b="0"/>
            <wp:docPr id="4113" name="Picture 4113" descr="Diagram (4 of 4 for Fig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4832350" cy="1967509"/>
                    </a:xfrm>
                    <a:prstGeom prst="rect">
                      <a:avLst/>
                    </a:prstGeom>
                    <a:noFill/>
                  </pic:spPr>
                </pic:pic>
              </a:graphicData>
            </a:graphic>
          </wp:inline>
        </w:drawing>
      </w:r>
    </w:p>
    <w:p w14:paraId="27533764" w14:textId="09E9ECD4" w:rsidR="003D3694" w:rsidRPr="00747E35" w:rsidRDefault="003D3694" w:rsidP="00566456">
      <w:pPr>
        <w:pStyle w:val="Caption"/>
        <w:numPr>
          <w:ilvl w:val="0"/>
          <w:numId w:val="0"/>
        </w:numPr>
        <w:rPr>
          <w:rFonts w:cstheme="minorHAnsi"/>
        </w:rPr>
      </w:pPr>
      <w:bookmarkStart w:id="334" w:name="_Ref45323022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127</w:t>
      </w:r>
      <w:r w:rsidR="009D6600" w:rsidRPr="00747E35">
        <w:rPr>
          <w:rFonts w:cstheme="minorHAnsi"/>
          <w:noProof/>
        </w:rPr>
        <w:fldChar w:fldCharType="end"/>
      </w:r>
      <w:bookmarkEnd w:id="334"/>
      <w:r w:rsidRPr="00747E35">
        <w:rPr>
          <w:rFonts w:cstheme="minorHAnsi"/>
        </w:rPr>
        <w:t>:</w:t>
      </w:r>
      <w:r w:rsidRPr="00747E35">
        <w:rPr>
          <w:rFonts w:cstheme="minorHAnsi"/>
          <w:lang w:eastAsia="en-AU"/>
        </w:rPr>
        <w:t xml:space="preserve"> </w:t>
      </w:r>
      <w:r w:rsidRPr="00747E35">
        <w:rPr>
          <w:rFonts w:cstheme="minorHAnsi"/>
        </w:rPr>
        <w:t xml:space="preserve">Middle Creek Farm eco-hydrological conditions observed from riffle 3 to pool 5 indicating changes from February 2015 to February 2016. Note that for illustrative purposes the left side of diagram is a NW-SE cross section through the creek channel and the right side is a SW-NE longitudinal section along the channel. Refer to </w:t>
      </w:r>
      <w:r w:rsidR="003A0BCF">
        <w:rPr>
          <w:rFonts w:cstheme="minorHAnsi"/>
        </w:rPr>
        <w:t xml:space="preserve">diagrams </w:t>
      </w:r>
      <w:r w:rsidRPr="00747E35">
        <w:rPr>
          <w:rFonts w:cstheme="minorHAnsi"/>
        </w:rPr>
        <w:t xml:space="preserve">above for additional context. </w:t>
      </w:r>
    </w:p>
    <w:p w14:paraId="3E80BC90" w14:textId="77777777" w:rsidR="003D3694" w:rsidRPr="00747E35" w:rsidRDefault="003D3694" w:rsidP="003D3694">
      <w:pPr>
        <w:rPr>
          <w:rFonts w:asciiTheme="minorHAnsi" w:hAnsiTheme="minorHAnsi" w:cstheme="minorHAnsi"/>
        </w:rPr>
      </w:pPr>
    </w:p>
    <w:p w14:paraId="6BCEB3DB" w14:textId="683B8FEE" w:rsidR="003D3694" w:rsidRPr="00747E35" w:rsidRDefault="003D3694" w:rsidP="00566456">
      <w:pPr>
        <w:pStyle w:val="Caption"/>
        <w:numPr>
          <w:ilvl w:val="0"/>
          <w:numId w:val="0"/>
        </w:numPr>
        <w:rPr>
          <w:rFonts w:cstheme="minorHAnsi"/>
          <w:lang w:eastAsia="en-AU"/>
        </w:rPr>
      </w:pPr>
      <w:bookmarkStart w:id="335" w:name="_Ref466446712"/>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27</w:t>
      </w:r>
      <w:r w:rsidR="009D6600" w:rsidRPr="00747E35">
        <w:rPr>
          <w:rFonts w:cstheme="minorHAnsi"/>
          <w:noProof/>
        </w:rPr>
        <w:fldChar w:fldCharType="end"/>
      </w:r>
      <w:bookmarkEnd w:id="335"/>
      <w:r w:rsidRPr="00747E35">
        <w:rPr>
          <w:rFonts w:cstheme="minorHAnsi"/>
        </w:rPr>
        <w:t xml:space="preserve">: </w:t>
      </w:r>
      <w:r w:rsidRPr="00747E35">
        <w:rPr>
          <w:rFonts w:cstheme="minorHAnsi"/>
          <w:lang w:eastAsia="en-AU"/>
        </w:rPr>
        <w:t xml:space="preserve">Middle Creek Farm supporting table for </w:t>
      </w:r>
      <w:r w:rsidRPr="00747E35">
        <w:rPr>
          <w:rFonts w:cstheme="minorHAnsi"/>
          <w:highlight w:val="yellow"/>
          <w:lang w:eastAsia="en-AU"/>
        </w:rPr>
        <w:fldChar w:fldCharType="begin"/>
      </w:r>
      <w:r w:rsidRPr="00747E35">
        <w:rPr>
          <w:rFonts w:cstheme="minorHAnsi"/>
          <w:lang w:eastAsia="en-AU"/>
        </w:rPr>
        <w:instrText xml:space="preserve"> REF _Ref453230222 \h </w:instrText>
      </w:r>
      <w:r w:rsidR="00925BFC" w:rsidRPr="00747E35">
        <w:rPr>
          <w:rFonts w:cstheme="minorHAnsi"/>
          <w:highlight w:val="yellow"/>
          <w:lang w:eastAsia="en-AU"/>
        </w:rPr>
        <w:instrText xml:space="preserve"> \* MERGEFORMAT </w:instrText>
      </w:r>
      <w:r w:rsidRPr="00747E35">
        <w:rPr>
          <w:rFonts w:cstheme="minorHAnsi"/>
          <w:highlight w:val="yellow"/>
          <w:lang w:eastAsia="en-AU"/>
        </w:rPr>
      </w:r>
      <w:r w:rsidRPr="00747E35">
        <w:rPr>
          <w:rFonts w:cstheme="minorHAnsi"/>
          <w:highlight w:val="yellow"/>
          <w:lang w:eastAsia="en-AU"/>
        </w:rPr>
        <w:fldChar w:fldCharType="separate"/>
      </w:r>
      <w:r w:rsidR="00D023DD" w:rsidRPr="00747E35">
        <w:rPr>
          <w:rFonts w:cstheme="minorHAnsi"/>
        </w:rPr>
        <w:t xml:space="preserve">Figure </w:t>
      </w:r>
      <w:r w:rsidR="00D023DD">
        <w:rPr>
          <w:rFonts w:cstheme="minorHAnsi"/>
          <w:noProof/>
        </w:rPr>
        <w:t>127</w:t>
      </w:r>
      <w:r w:rsidRPr="00747E35">
        <w:rPr>
          <w:rFonts w:cstheme="minorHAnsi"/>
          <w:highlight w:val="yellow"/>
          <w:lang w:eastAsia="en-AU"/>
        </w:rPr>
        <w:fldChar w:fldCharType="end"/>
      </w:r>
      <w:r w:rsidRPr="00747E35">
        <w:rPr>
          <w:rFonts w:cstheme="minorHAnsi"/>
          <w:lang w:eastAsia="en-AU"/>
        </w:rPr>
        <w:t xml:space="preserve">: ecohydrological conditions, changes and responses observed/measured during stages of the recharge-recession cycle in this creek with an intermittent flow regime, February 2015 to April 2016. </w:t>
      </w:r>
    </w:p>
    <w:tbl>
      <w:tblPr>
        <w:tblStyle w:val="TableGrid"/>
        <w:tblW w:w="0" w:type="auto"/>
        <w:tblLook w:val="04A0" w:firstRow="1" w:lastRow="0" w:firstColumn="1" w:lastColumn="0" w:noHBand="0" w:noVBand="1"/>
      </w:tblPr>
      <w:tblGrid>
        <w:gridCol w:w="841"/>
        <w:gridCol w:w="2853"/>
        <w:gridCol w:w="2404"/>
        <w:gridCol w:w="1581"/>
        <w:gridCol w:w="1949"/>
      </w:tblGrid>
      <w:tr w:rsidR="003D3694" w:rsidRPr="00747E35" w14:paraId="2244D806" w14:textId="77777777" w:rsidTr="00BB5645">
        <w:trPr>
          <w:tblHeader/>
        </w:trPr>
        <w:tc>
          <w:tcPr>
            <w:tcW w:w="0" w:type="auto"/>
            <w:shd w:val="clear" w:color="auto" w:fill="DEEAF6" w:themeFill="accent1" w:themeFillTint="33"/>
          </w:tcPr>
          <w:p w14:paraId="73D6C6B3"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Time stage</w:t>
            </w:r>
          </w:p>
        </w:tc>
        <w:tc>
          <w:tcPr>
            <w:tcW w:w="0" w:type="auto"/>
            <w:shd w:val="clear" w:color="auto" w:fill="DEEAF6" w:themeFill="accent1" w:themeFillTint="33"/>
          </w:tcPr>
          <w:p w14:paraId="1191C1D5"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Hydrological state or change</w:t>
            </w:r>
          </w:p>
        </w:tc>
        <w:tc>
          <w:tcPr>
            <w:tcW w:w="0" w:type="auto"/>
            <w:shd w:val="clear" w:color="auto" w:fill="DEEAF6" w:themeFill="accent1" w:themeFillTint="33"/>
          </w:tcPr>
          <w:p w14:paraId="1FC5C526"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Hydrochemistry response</w:t>
            </w:r>
          </w:p>
        </w:tc>
        <w:tc>
          <w:tcPr>
            <w:tcW w:w="0" w:type="auto"/>
            <w:shd w:val="clear" w:color="auto" w:fill="DEEAF6" w:themeFill="accent1" w:themeFillTint="33"/>
          </w:tcPr>
          <w:p w14:paraId="01290233"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OM microbial degradation response</w:t>
            </w:r>
          </w:p>
        </w:tc>
        <w:tc>
          <w:tcPr>
            <w:tcW w:w="0" w:type="auto"/>
            <w:shd w:val="clear" w:color="auto" w:fill="DEEAF6" w:themeFill="accent1" w:themeFillTint="33"/>
          </w:tcPr>
          <w:p w14:paraId="1D460545"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Hyporheic invertebrate response</w:t>
            </w:r>
          </w:p>
        </w:tc>
      </w:tr>
      <w:tr w:rsidR="003D3694" w:rsidRPr="00747E35" w14:paraId="59001799" w14:textId="77777777" w:rsidTr="0096743A">
        <w:tc>
          <w:tcPr>
            <w:tcW w:w="0" w:type="auto"/>
          </w:tcPr>
          <w:p w14:paraId="462026B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 Feb 2015</w:t>
            </w:r>
          </w:p>
        </w:tc>
        <w:tc>
          <w:tcPr>
            <w:tcW w:w="0" w:type="auto"/>
          </w:tcPr>
          <w:p w14:paraId="5A7B574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Creek bed dry, hyporheic zone desaturated.</w:t>
            </w:r>
          </w:p>
        </w:tc>
        <w:tc>
          <w:tcPr>
            <w:tcW w:w="0" w:type="auto"/>
          </w:tcPr>
          <w:p w14:paraId="48D0E1F7" w14:textId="77777777" w:rsidR="003D3694" w:rsidRPr="00747E35" w:rsidRDefault="003D3694" w:rsidP="0096743A">
            <w:pPr>
              <w:pStyle w:val="Tabletext"/>
              <w:spacing w:before="0" w:after="0"/>
              <w:rPr>
                <w:rFonts w:cstheme="minorHAnsi"/>
                <w:lang w:eastAsia="en-AU"/>
              </w:rPr>
            </w:pPr>
          </w:p>
        </w:tc>
        <w:tc>
          <w:tcPr>
            <w:tcW w:w="0" w:type="auto"/>
          </w:tcPr>
          <w:p w14:paraId="1079950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 </w:t>
            </w:r>
          </w:p>
        </w:tc>
        <w:tc>
          <w:tcPr>
            <w:tcW w:w="0" w:type="auto"/>
          </w:tcPr>
          <w:p w14:paraId="2356EE4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Hyporheos absent / dormant</w:t>
            </w:r>
          </w:p>
        </w:tc>
      </w:tr>
      <w:tr w:rsidR="003D3694" w:rsidRPr="00747E35" w14:paraId="48240D68" w14:textId="77777777" w:rsidTr="0096743A">
        <w:tc>
          <w:tcPr>
            <w:tcW w:w="0" w:type="auto"/>
          </w:tcPr>
          <w:p w14:paraId="7396217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 June – Sept 2015</w:t>
            </w:r>
          </w:p>
        </w:tc>
        <w:tc>
          <w:tcPr>
            <w:tcW w:w="0" w:type="auto"/>
          </w:tcPr>
          <w:p w14:paraId="618DFC9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Major rainfall event, surface flow continuous, hyporheic zone saturated and HEF paths short steep gradients, aquifer recharge. </w:t>
            </w:r>
          </w:p>
        </w:tc>
        <w:tc>
          <w:tcPr>
            <w:tcW w:w="0" w:type="auto"/>
          </w:tcPr>
          <w:p w14:paraId="1F1FEF2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Oxic conditions</w:t>
            </w:r>
          </w:p>
        </w:tc>
        <w:tc>
          <w:tcPr>
            <w:tcW w:w="0" w:type="auto"/>
          </w:tcPr>
          <w:p w14:paraId="272714F2" w14:textId="77777777" w:rsidR="003D3694" w:rsidRPr="00747E35" w:rsidRDefault="003D3694" w:rsidP="0096743A">
            <w:pPr>
              <w:pStyle w:val="Tabletext"/>
              <w:spacing w:before="0" w:after="0"/>
              <w:rPr>
                <w:rFonts w:cstheme="minorHAnsi"/>
                <w:lang w:eastAsia="en-AU"/>
              </w:rPr>
            </w:pPr>
          </w:p>
        </w:tc>
        <w:tc>
          <w:tcPr>
            <w:tcW w:w="0" w:type="auto"/>
          </w:tcPr>
          <w:p w14:paraId="215B56F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Moderate to high richness and abundance, all functional groups. </w:t>
            </w:r>
          </w:p>
        </w:tc>
      </w:tr>
      <w:tr w:rsidR="003D3694" w:rsidRPr="00747E35" w14:paraId="29D5D3EB" w14:textId="77777777" w:rsidTr="0096743A">
        <w:tc>
          <w:tcPr>
            <w:tcW w:w="0" w:type="auto"/>
          </w:tcPr>
          <w:p w14:paraId="2A233A2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3. Oct – Nov 2015</w:t>
            </w:r>
          </w:p>
        </w:tc>
        <w:tc>
          <w:tcPr>
            <w:tcW w:w="0" w:type="auto"/>
          </w:tcPr>
          <w:p w14:paraId="247ACF2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Creek losing, surface flow discontinuous (riffles dry), HEF paths lengthening and gradient declining, aquifer watertable receding.</w:t>
            </w:r>
          </w:p>
        </w:tc>
        <w:tc>
          <w:tcPr>
            <w:tcW w:w="0" w:type="auto"/>
          </w:tcPr>
          <w:p w14:paraId="166A9F2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Shift towards suboxic conditions, increase in reduced species such as phosphate.</w:t>
            </w:r>
          </w:p>
        </w:tc>
        <w:tc>
          <w:tcPr>
            <w:tcW w:w="0" w:type="auto"/>
          </w:tcPr>
          <w:p w14:paraId="13678E2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Surface rates 0.0582 /day</w:t>
            </w:r>
          </w:p>
          <w:p w14:paraId="06C54DD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Subsurface rates 0.0607 /day</w:t>
            </w:r>
          </w:p>
        </w:tc>
        <w:tc>
          <w:tcPr>
            <w:tcW w:w="0" w:type="auto"/>
          </w:tcPr>
          <w:p w14:paraId="5A487C4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Moderate to high richness and abundance, all functional groups.</w:t>
            </w:r>
          </w:p>
        </w:tc>
      </w:tr>
      <w:tr w:rsidR="003D3694" w:rsidRPr="00747E35" w14:paraId="17C1FAD0" w14:textId="77777777" w:rsidTr="0096743A">
        <w:tc>
          <w:tcPr>
            <w:tcW w:w="0" w:type="auto"/>
          </w:tcPr>
          <w:p w14:paraId="0B2FA37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4. Feb – Apr 2016</w:t>
            </w:r>
          </w:p>
        </w:tc>
        <w:tc>
          <w:tcPr>
            <w:tcW w:w="0" w:type="auto"/>
          </w:tcPr>
          <w:p w14:paraId="3D9E851D" w14:textId="7B7B314A" w:rsidR="003D3694" w:rsidRPr="00747E35" w:rsidRDefault="003D3694" w:rsidP="0096743A">
            <w:pPr>
              <w:pStyle w:val="Tabletext"/>
              <w:spacing w:before="0" w:after="0"/>
              <w:rPr>
                <w:rFonts w:cstheme="minorHAnsi"/>
                <w:lang w:eastAsia="en-AU"/>
              </w:rPr>
            </w:pPr>
            <w:r w:rsidRPr="00747E35">
              <w:rPr>
                <w:rFonts w:cstheme="minorHAnsi"/>
                <w:lang w:eastAsia="en-AU"/>
              </w:rPr>
              <w:t xml:space="preserve">Return to stage 1 </w:t>
            </w:r>
            <w:r w:rsidR="006B2C7A">
              <w:rPr>
                <w:rFonts w:cstheme="minorHAnsi"/>
                <w:lang w:eastAsia="en-AU"/>
              </w:rPr>
              <w:t>baseflow</w:t>
            </w:r>
            <w:r w:rsidRPr="00747E35">
              <w:rPr>
                <w:rFonts w:cstheme="minorHAnsi"/>
                <w:lang w:eastAsia="en-AU"/>
              </w:rPr>
              <w:t xml:space="preserve"> conditions.</w:t>
            </w:r>
          </w:p>
        </w:tc>
        <w:tc>
          <w:tcPr>
            <w:tcW w:w="0" w:type="auto"/>
          </w:tcPr>
          <w:p w14:paraId="05657990" w14:textId="77777777" w:rsidR="003D3694" w:rsidRPr="00747E35" w:rsidRDefault="003D3694" w:rsidP="0096743A">
            <w:pPr>
              <w:pStyle w:val="Tabletext"/>
              <w:spacing w:before="0" w:after="0"/>
              <w:rPr>
                <w:rFonts w:cstheme="minorHAnsi"/>
                <w:lang w:eastAsia="en-AU"/>
              </w:rPr>
            </w:pPr>
          </w:p>
        </w:tc>
        <w:tc>
          <w:tcPr>
            <w:tcW w:w="0" w:type="auto"/>
          </w:tcPr>
          <w:p w14:paraId="20F53C7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Surface rates 0.0283 /day</w:t>
            </w:r>
          </w:p>
          <w:p w14:paraId="7B1E639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Subsurface rates 0.0526 /day</w:t>
            </w:r>
          </w:p>
        </w:tc>
        <w:tc>
          <w:tcPr>
            <w:tcW w:w="0" w:type="auto"/>
          </w:tcPr>
          <w:p w14:paraId="57DEC1E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Hyporheos absent / dormant</w:t>
            </w:r>
          </w:p>
        </w:tc>
      </w:tr>
    </w:tbl>
    <w:p w14:paraId="07BFB803" w14:textId="77777777" w:rsidR="003D3694" w:rsidRPr="00747E35" w:rsidRDefault="003D3694" w:rsidP="003D3694">
      <w:pPr>
        <w:rPr>
          <w:rFonts w:asciiTheme="minorHAnsi" w:hAnsiTheme="minorHAnsi" w:cstheme="minorHAnsi"/>
          <w:lang w:eastAsia="en-AU"/>
        </w:rPr>
      </w:pPr>
    </w:p>
    <w:p w14:paraId="6102F247" w14:textId="0E491D4B" w:rsidR="003D3694" w:rsidRPr="00747E35" w:rsidRDefault="003D3694" w:rsidP="00566456">
      <w:pPr>
        <w:pStyle w:val="Heading3"/>
        <w:rPr>
          <w:rFonts w:asciiTheme="minorHAnsi" w:hAnsiTheme="minorHAnsi" w:cstheme="minorHAnsi"/>
        </w:rPr>
      </w:pPr>
      <w:bookmarkStart w:id="336" w:name="_Toc453235117"/>
      <w:bookmarkStart w:id="337" w:name="_Toc466449957"/>
      <w:bookmarkStart w:id="338" w:name="_Toc470004888"/>
      <w:r w:rsidRPr="00747E35">
        <w:rPr>
          <w:rFonts w:asciiTheme="minorHAnsi" w:hAnsiTheme="minorHAnsi" w:cstheme="minorHAnsi"/>
        </w:rPr>
        <w:t>Horsearm Creek (perennial gaining</w:t>
      </w:r>
      <w:bookmarkEnd w:id="336"/>
      <w:r w:rsidRPr="00747E35">
        <w:rPr>
          <w:rFonts w:asciiTheme="minorHAnsi" w:hAnsiTheme="minorHAnsi" w:cstheme="minorHAnsi"/>
        </w:rPr>
        <w:t>)</w:t>
      </w:r>
      <w:bookmarkEnd w:id="337"/>
      <w:bookmarkEnd w:id="338"/>
    </w:p>
    <w:p w14:paraId="28DB8FB5" w14:textId="77777777" w:rsidR="00D023DD" w:rsidRPr="00747E35" w:rsidRDefault="003D3694" w:rsidP="003D3694">
      <w:pPr>
        <w:rPr>
          <w:rFonts w:asciiTheme="minorHAnsi" w:hAnsiTheme="minorHAnsi" w:cstheme="minorHAnsi"/>
        </w:rPr>
      </w:pPr>
      <w:r w:rsidRPr="00747E35">
        <w:rPr>
          <w:rFonts w:asciiTheme="minorHAnsi" w:hAnsiTheme="minorHAnsi" w:cstheme="minorHAnsi"/>
          <w:lang w:eastAsia="en-AU"/>
        </w:rPr>
        <w:t xml:space="preserve">The conceptual model of the </w:t>
      </w:r>
      <w:r w:rsidRPr="00747E35">
        <w:rPr>
          <w:rFonts w:asciiTheme="minorHAnsi" w:hAnsiTheme="minorHAnsi" w:cstheme="minorHAnsi"/>
        </w:rPr>
        <w:t>perennial gaining</w:t>
      </w:r>
      <w:r w:rsidRPr="00747E35">
        <w:rPr>
          <w:rFonts w:asciiTheme="minorHAnsi" w:hAnsiTheme="minorHAnsi" w:cstheme="minorHAnsi"/>
          <w:lang w:eastAsia="en-AU"/>
        </w:rPr>
        <w:t xml:space="preserve"> study site is shown in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_Ref453230903 \h  \* MERGEFORMAT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128</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with supporting information in</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_Ref466446807 \h  \* MERGEFORMAT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p>
    <w:p w14:paraId="4915678F" w14:textId="546CA11D" w:rsidR="003D3694" w:rsidRPr="00747E35" w:rsidRDefault="00D023DD" w:rsidP="003D3694">
      <w:pPr>
        <w:rPr>
          <w:rFonts w:asciiTheme="minorHAnsi" w:hAnsiTheme="minorHAnsi" w:cstheme="minorHAnsi"/>
          <w:lang w:eastAsia="en-AU"/>
        </w:rPr>
      </w:pPr>
      <w:r w:rsidRPr="00D023DD">
        <w:rPr>
          <w:rFonts w:asciiTheme="minorHAnsi" w:hAnsiTheme="minorHAnsi" w:cstheme="minorHAnsi"/>
        </w:rPr>
        <w:t>Table</w:t>
      </w:r>
      <w:r w:rsidRPr="00D023DD">
        <w:rPr>
          <w:rFonts w:asciiTheme="minorHAnsi" w:hAnsiTheme="minorHAnsi" w:cstheme="minorHAnsi"/>
          <w:noProof/>
        </w:rPr>
        <w:t xml:space="preserve"> 28</w:t>
      </w:r>
      <w:r w:rsidR="003D3694" w:rsidRPr="00747E35">
        <w:rPr>
          <w:rFonts w:asciiTheme="minorHAnsi" w:hAnsiTheme="minorHAnsi" w:cstheme="minorHAnsi"/>
          <w:lang w:eastAsia="en-AU"/>
        </w:rPr>
        <w:fldChar w:fldCharType="end"/>
      </w:r>
      <w:r w:rsidR="003D3694" w:rsidRPr="00747E35">
        <w:rPr>
          <w:rFonts w:asciiTheme="minorHAnsi" w:hAnsiTheme="minorHAnsi" w:cstheme="minorHAnsi"/>
          <w:lang w:eastAsia="en-AU"/>
        </w:rPr>
        <w:t xml:space="preserve">. Initial pilot sampling was undertaken in The Spring commencing in February 2015, and the last samples in Bar 6 during February 2016 (Appendix 3: </w:t>
      </w:r>
      <w:r w:rsidR="003D3694" w:rsidRPr="00747E35">
        <w:rPr>
          <w:rFonts w:asciiTheme="minorHAnsi" w:hAnsiTheme="minorHAnsi" w:cstheme="minorHAnsi"/>
          <w:lang w:eastAsia="en-AU"/>
        </w:rPr>
        <w:fldChar w:fldCharType="begin"/>
      </w:r>
      <w:r w:rsidR="003D3694" w:rsidRPr="00747E35">
        <w:rPr>
          <w:rFonts w:asciiTheme="minorHAnsi" w:hAnsiTheme="minorHAnsi" w:cstheme="minorHAnsi"/>
          <w:lang w:eastAsia="en-AU"/>
        </w:rPr>
        <w:instrText xml:space="preserve"> REF _Ref453230840 \h  \* MERGEFORMAT </w:instrText>
      </w:r>
      <w:r w:rsidR="003D3694" w:rsidRPr="00747E35">
        <w:rPr>
          <w:rFonts w:asciiTheme="minorHAnsi" w:hAnsiTheme="minorHAnsi" w:cstheme="minorHAnsi"/>
          <w:lang w:eastAsia="en-AU"/>
        </w:rPr>
      </w:r>
      <w:r w:rsidR="003D3694" w:rsidRPr="00747E35">
        <w:rPr>
          <w:rFonts w:asciiTheme="minorHAnsi" w:hAnsiTheme="minorHAnsi" w:cstheme="minorHAnsi"/>
          <w:lang w:eastAsia="en-AU"/>
        </w:rPr>
        <w:fldChar w:fldCharType="separate"/>
      </w:r>
      <w:r w:rsidRPr="00D023DD">
        <w:rPr>
          <w:rFonts w:asciiTheme="minorHAnsi" w:hAnsiTheme="minorHAnsi" w:cstheme="minorHAnsi"/>
        </w:rPr>
        <w:t xml:space="preserve">Figure </w:t>
      </w:r>
      <w:r w:rsidRPr="00D023DD">
        <w:rPr>
          <w:rFonts w:asciiTheme="minorHAnsi" w:hAnsiTheme="minorHAnsi" w:cstheme="minorHAnsi"/>
          <w:noProof/>
        </w:rPr>
        <w:t>162</w:t>
      </w:r>
      <w:r w:rsidR="003D3694" w:rsidRPr="00747E35">
        <w:rPr>
          <w:rFonts w:asciiTheme="minorHAnsi" w:hAnsiTheme="minorHAnsi" w:cstheme="minorHAnsi"/>
          <w:lang w:eastAsia="en-AU"/>
        </w:rPr>
        <w:fldChar w:fldCharType="end"/>
      </w:r>
      <w:r w:rsidR="006B2C7A">
        <w:rPr>
          <w:rFonts w:asciiTheme="minorHAnsi" w:hAnsiTheme="minorHAnsi" w:cstheme="minorHAnsi"/>
          <w:lang w:eastAsia="en-AU"/>
        </w:rPr>
        <w:t>). B</w:t>
      </w:r>
      <w:r w:rsidR="003D3694" w:rsidRPr="00747E35">
        <w:rPr>
          <w:rFonts w:asciiTheme="minorHAnsi" w:hAnsiTheme="minorHAnsi" w:cstheme="minorHAnsi"/>
          <w:lang w:eastAsia="en-AU"/>
        </w:rPr>
        <w:t xml:space="preserve">aseflow responses to the June recharge event experienced upstream in Middle Creek were strongly muted and there was little change in stream water levels in the perennial gaining section during the course of the study.  </w:t>
      </w:r>
    </w:p>
    <w:p w14:paraId="5532A3A7" w14:textId="77777777" w:rsidR="003D3694" w:rsidRPr="00747E35" w:rsidRDefault="003D3694" w:rsidP="003D3694">
      <w:pPr>
        <w:rPr>
          <w:rFonts w:asciiTheme="minorHAnsi" w:hAnsiTheme="minorHAnsi" w:cstheme="minorHAnsi"/>
        </w:rPr>
      </w:pPr>
    </w:p>
    <w:p w14:paraId="12BD1B2E" w14:textId="77777777" w:rsidR="003D3694" w:rsidRPr="00747E35" w:rsidRDefault="003D3694" w:rsidP="003D3694">
      <w:pPr>
        <w:autoSpaceDE/>
        <w:autoSpaceDN/>
        <w:spacing w:line="276" w:lineRule="auto"/>
        <w:rPr>
          <w:rFonts w:asciiTheme="minorHAnsi" w:hAnsiTheme="minorHAnsi" w:cstheme="minorHAnsi"/>
        </w:rPr>
      </w:pPr>
      <w:r w:rsidRPr="00747E35">
        <w:rPr>
          <w:rFonts w:asciiTheme="minorHAnsi" w:hAnsiTheme="minorHAnsi" w:cstheme="minorHAnsi"/>
        </w:rPr>
        <w:br w:type="page"/>
      </w:r>
    </w:p>
    <w:p w14:paraId="7BC8818F"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0001C605" wp14:editId="39E3C850">
            <wp:extent cx="6032649" cy="2505075"/>
            <wp:effectExtent l="0" t="0" r="6350" b="0"/>
            <wp:docPr id="7179" name="Picture 7179"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6034850" cy="2505989"/>
                    </a:xfrm>
                    <a:prstGeom prst="rect">
                      <a:avLst/>
                    </a:prstGeom>
                    <a:noFill/>
                  </pic:spPr>
                </pic:pic>
              </a:graphicData>
            </a:graphic>
          </wp:inline>
        </w:drawing>
      </w:r>
    </w:p>
    <w:p w14:paraId="561F4096" w14:textId="77777777" w:rsidR="003D3694" w:rsidRPr="00747E35" w:rsidRDefault="003D3694" w:rsidP="00566456">
      <w:pPr>
        <w:pStyle w:val="Caption"/>
        <w:numPr>
          <w:ilvl w:val="0"/>
          <w:numId w:val="0"/>
        </w:numPr>
        <w:rPr>
          <w:rFonts w:cstheme="minorHAnsi"/>
        </w:rPr>
      </w:pPr>
      <w:bookmarkStart w:id="339" w:name="_Ref453230903"/>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128</w:t>
      </w:r>
      <w:r w:rsidR="009D6600" w:rsidRPr="00747E35">
        <w:rPr>
          <w:rFonts w:cstheme="minorHAnsi"/>
          <w:noProof/>
        </w:rPr>
        <w:fldChar w:fldCharType="end"/>
      </w:r>
      <w:bookmarkEnd w:id="339"/>
      <w:r w:rsidRPr="00747E35">
        <w:rPr>
          <w:rFonts w:cstheme="minorHAnsi"/>
        </w:rPr>
        <w:t>:</w:t>
      </w:r>
      <w:r w:rsidRPr="00747E35">
        <w:rPr>
          <w:rFonts w:cstheme="minorHAnsi"/>
          <w:lang w:eastAsia="en-AU"/>
        </w:rPr>
        <w:t xml:space="preserve"> </w:t>
      </w:r>
      <w:r w:rsidRPr="00747E35">
        <w:rPr>
          <w:rFonts w:cstheme="minorHAnsi"/>
        </w:rPr>
        <w:t>Horsearm Creek perennial gaining section study sites Pool 32 (The Spring) - Riffle / Bar 6 – Pool 33 from February 2015 to February 2016, showing negligible change in groundwater levels. Upwelling regional groundwater (GW) is oxygenated with low DOM and interfaces with high loads of sedimentary organic matter (SOM) in the shallow hyporheic zone. Stygobitic fauna appear to exploit this interface. Submerged tree roots represent another potential source of OM for invertebrates in the stream and hyporheic zones.</w:t>
      </w:r>
    </w:p>
    <w:p w14:paraId="07FD9B3A" w14:textId="77777777" w:rsidR="003D3694" w:rsidRPr="00747E35" w:rsidRDefault="003D3694" w:rsidP="003D3694">
      <w:pPr>
        <w:rPr>
          <w:rFonts w:asciiTheme="minorHAnsi" w:hAnsiTheme="minorHAnsi" w:cstheme="minorHAnsi"/>
        </w:rPr>
      </w:pPr>
      <w:bookmarkStart w:id="340" w:name="_Ref466446807"/>
    </w:p>
    <w:p w14:paraId="2738C6A8" w14:textId="77777777" w:rsidR="003D3694" w:rsidRPr="00747E35" w:rsidRDefault="003D3694" w:rsidP="00566456">
      <w:pPr>
        <w:pStyle w:val="Caption"/>
        <w:numPr>
          <w:ilvl w:val="0"/>
          <w:numId w:val="0"/>
        </w:numPr>
        <w:rPr>
          <w:rFonts w:cstheme="minorHAnsi"/>
          <w:lang w:eastAsia="en-AU"/>
        </w:rPr>
      </w:pPr>
      <w:r w:rsidRPr="00747E35">
        <w:rPr>
          <w:rFonts w:cstheme="minorHAnsi"/>
        </w:rPr>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28</w:t>
      </w:r>
      <w:r w:rsidR="009D6600" w:rsidRPr="00747E35">
        <w:rPr>
          <w:rFonts w:cstheme="minorHAnsi"/>
          <w:noProof/>
        </w:rPr>
        <w:fldChar w:fldCharType="end"/>
      </w:r>
      <w:bookmarkEnd w:id="340"/>
      <w:r w:rsidRPr="00747E35">
        <w:rPr>
          <w:rFonts w:cstheme="minorHAnsi"/>
        </w:rPr>
        <w:t xml:space="preserve">: </w:t>
      </w:r>
      <w:r w:rsidRPr="00747E35">
        <w:rPr>
          <w:rFonts w:cstheme="minorHAnsi"/>
          <w:lang w:eastAsia="en-AU"/>
        </w:rPr>
        <w:t xml:space="preserve">Horsearm Creek </w:t>
      </w:r>
      <w:r w:rsidRPr="00747E35">
        <w:rPr>
          <w:rFonts w:cstheme="minorHAnsi"/>
        </w:rPr>
        <w:t xml:space="preserve">perennial gaining section </w:t>
      </w:r>
      <w:r w:rsidRPr="00747E35">
        <w:rPr>
          <w:rFonts w:cstheme="minorHAnsi"/>
          <w:lang w:eastAsia="en-AU"/>
        </w:rPr>
        <w:t xml:space="preserve">supporting table for </w:t>
      </w:r>
      <w:r w:rsidRPr="00747E35">
        <w:rPr>
          <w:rFonts w:cstheme="minorHAnsi"/>
          <w:lang w:eastAsia="en-AU"/>
        </w:rPr>
        <w:fldChar w:fldCharType="begin"/>
      </w:r>
      <w:r w:rsidRPr="00747E35">
        <w:rPr>
          <w:rFonts w:cstheme="minorHAnsi"/>
          <w:lang w:eastAsia="en-AU"/>
        </w:rPr>
        <w:instrText xml:space="preserve"> REF _Ref453230903 \h  \* MERGEFORMAT </w:instrText>
      </w:r>
      <w:r w:rsidRPr="00747E35">
        <w:rPr>
          <w:rFonts w:cstheme="minorHAnsi"/>
          <w:lang w:eastAsia="en-AU"/>
        </w:rPr>
      </w:r>
      <w:r w:rsidRPr="00747E35">
        <w:rPr>
          <w:rFonts w:cstheme="minorHAnsi"/>
          <w:lang w:eastAsia="en-AU"/>
        </w:rPr>
        <w:fldChar w:fldCharType="separate"/>
      </w:r>
      <w:r w:rsidR="00D023DD" w:rsidRPr="00747E35">
        <w:rPr>
          <w:rFonts w:cstheme="minorHAnsi"/>
        </w:rPr>
        <w:t xml:space="preserve">Figure </w:t>
      </w:r>
      <w:r w:rsidR="00D023DD">
        <w:rPr>
          <w:rFonts w:cstheme="minorHAnsi"/>
          <w:noProof/>
        </w:rPr>
        <w:t>128</w:t>
      </w:r>
      <w:r w:rsidRPr="00747E35">
        <w:rPr>
          <w:rFonts w:cstheme="minorHAnsi"/>
          <w:lang w:eastAsia="en-AU"/>
        </w:rPr>
        <w:fldChar w:fldCharType="end"/>
      </w:r>
      <w:r w:rsidRPr="00747E35">
        <w:rPr>
          <w:rFonts w:cstheme="minorHAnsi"/>
          <w:lang w:eastAsia="en-AU"/>
        </w:rPr>
        <w:t xml:space="preserve">: ecohydrological conditions, changes and responses observed/measured during the study period in this section of creek with perennial gaining flow regime, February 2015 to April 2016. </w:t>
      </w:r>
    </w:p>
    <w:tbl>
      <w:tblPr>
        <w:tblStyle w:val="TableGrid"/>
        <w:tblW w:w="0" w:type="auto"/>
        <w:tblLook w:val="04A0" w:firstRow="1" w:lastRow="0" w:firstColumn="1" w:lastColumn="0" w:noHBand="0" w:noVBand="1"/>
      </w:tblPr>
      <w:tblGrid>
        <w:gridCol w:w="916"/>
        <w:gridCol w:w="2368"/>
        <w:gridCol w:w="1845"/>
        <w:gridCol w:w="1774"/>
        <w:gridCol w:w="2725"/>
      </w:tblGrid>
      <w:tr w:rsidR="003D3694" w:rsidRPr="00747E35" w14:paraId="03A5B84F" w14:textId="77777777" w:rsidTr="00BB5645">
        <w:trPr>
          <w:tblHeader/>
        </w:trPr>
        <w:tc>
          <w:tcPr>
            <w:tcW w:w="0" w:type="auto"/>
            <w:shd w:val="clear" w:color="auto" w:fill="DEEAF6" w:themeFill="accent1" w:themeFillTint="33"/>
          </w:tcPr>
          <w:p w14:paraId="4829D28E"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Time stage</w:t>
            </w:r>
          </w:p>
        </w:tc>
        <w:tc>
          <w:tcPr>
            <w:tcW w:w="0" w:type="auto"/>
            <w:shd w:val="clear" w:color="auto" w:fill="DEEAF6" w:themeFill="accent1" w:themeFillTint="33"/>
          </w:tcPr>
          <w:p w14:paraId="077F5BEB"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Hydrological state or change</w:t>
            </w:r>
          </w:p>
        </w:tc>
        <w:tc>
          <w:tcPr>
            <w:tcW w:w="0" w:type="auto"/>
            <w:shd w:val="clear" w:color="auto" w:fill="DEEAF6" w:themeFill="accent1" w:themeFillTint="33"/>
          </w:tcPr>
          <w:p w14:paraId="3BF6010A"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Hydrochemistry response</w:t>
            </w:r>
          </w:p>
        </w:tc>
        <w:tc>
          <w:tcPr>
            <w:tcW w:w="0" w:type="auto"/>
            <w:shd w:val="clear" w:color="auto" w:fill="DEEAF6" w:themeFill="accent1" w:themeFillTint="33"/>
          </w:tcPr>
          <w:p w14:paraId="6792BF16"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OM microbial degradation response</w:t>
            </w:r>
          </w:p>
        </w:tc>
        <w:tc>
          <w:tcPr>
            <w:tcW w:w="0" w:type="auto"/>
            <w:shd w:val="clear" w:color="auto" w:fill="DEEAF6" w:themeFill="accent1" w:themeFillTint="33"/>
          </w:tcPr>
          <w:p w14:paraId="03B9A2C3"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Hyporheic invertebrate response</w:t>
            </w:r>
          </w:p>
        </w:tc>
      </w:tr>
      <w:tr w:rsidR="003D3694" w:rsidRPr="00747E35" w14:paraId="1BC92BF9" w14:textId="77777777" w:rsidTr="0096743A">
        <w:tc>
          <w:tcPr>
            <w:tcW w:w="0" w:type="auto"/>
          </w:tcPr>
          <w:p w14:paraId="079C5B4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 Feb 2015</w:t>
            </w:r>
          </w:p>
        </w:tc>
        <w:tc>
          <w:tcPr>
            <w:tcW w:w="0" w:type="auto"/>
          </w:tcPr>
          <w:p w14:paraId="1466B5E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Creek flow continuous, pools and riffles, hyporheic zone saturated.</w:t>
            </w:r>
          </w:p>
        </w:tc>
        <w:tc>
          <w:tcPr>
            <w:tcW w:w="0" w:type="auto"/>
          </w:tcPr>
          <w:p w14:paraId="435DCD4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Oxic conditions</w:t>
            </w:r>
          </w:p>
          <w:p w14:paraId="00987BD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Upwelling GW a source of nitrate</w:t>
            </w:r>
          </w:p>
        </w:tc>
        <w:tc>
          <w:tcPr>
            <w:tcW w:w="0" w:type="auto"/>
          </w:tcPr>
          <w:p w14:paraId="74D32A7C" w14:textId="77777777" w:rsidR="003D3694" w:rsidRPr="00747E35" w:rsidRDefault="003D3694" w:rsidP="0096743A">
            <w:pPr>
              <w:pStyle w:val="Tabletext"/>
              <w:spacing w:before="0" w:after="0"/>
              <w:rPr>
                <w:rFonts w:cstheme="minorHAnsi"/>
                <w:lang w:eastAsia="en-AU"/>
              </w:rPr>
            </w:pPr>
          </w:p>
        </w:tc>
        <w:tc>
          <w:tcPr>
            <w:tcW w:w="0" w:type="auto"/>
          </w:tcPr>
          <w:p w14:paraId="6411D94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High richness and abundance, all functional groups</w:t>
            </w:r>
          </w:p>
        </w:tc>
      </w:tr>
      <w:tr w:rsidR="003D3694" w:rsidRPr="00747E35" w14:paraId="395B6660" w14:textId="77777777" w:rsidTr="0096743A">
        <w:tc>
          <w:tcPr>
            <w:tcW w:w="0" w:type="auto"/>
          </w:tcPr>
          <w:p w14:paraId="0FA8A54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 Sept – Oct 2015</w:t>
            </w:r>
          </w:p>
        </w:tc>
        <w:tc>
          <w:tcPr>
            <w:tcW w:w="0" w:type="auto"/>
          </w:tcPr>
          <w:p w14:paraId="53D8987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Little change.</w:t>
            </w:r>
          </w:p>
        </w:tc>
        <w:tc>
          <w:tcPr>
            <w:tcW w:w="0" w:type="auto"/>
          </w:tcPr>
          <w:p w14:paraId="375EC02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Little change</w:t>
            </w:r>
          </w:p>
        </w:tc>
        <w:tc>
          <w:tcPr>
            <w:tcW w:w="0" w:type="auto"/>
          </w:tcPr>
          <w:p w14:paraId="48FDD88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Surface rates 0.0585/day</w:t>
            </w:r>
          </w:p>
          <w:p w14:paraId="4D69914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Subsurface rates 0.0581/day</w:t>
            </w:r>
          </w:p>
        </w:tc>
        <w:tc>
          <w:tcPr>
            <w:tcW w:w="0" w:type="auto"/>
          </w:tcPr>
          <w:p w14:paraId="65F66A5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Not sampled, inferred similar to above based on other sites sampled in this section.</w:t>
            </w:r>
          </w:p>
        </w:tc>
      </w:tr>
      <w:tr w:rsidR="003D3694" w:rsidRPr="00747E35" w14:paraId="4C241554" w14:textId="77777777" w:rsidTr="0096743A">
        <w:tc>
          <w:tcPr>
            <w:tcW w:w="0" w:type="auto"/>
          </w:tcPr>
          <w:p w14:paraId="02733CA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3. Feb – Apr 2016</w:t>
            </w:r>
          </w:p>
        </w:tc>
        <w:tc>
          <w:tcPr>
            <w:tcW w:w="0" w:type="auto"/>
          </w:tcPr>
          <w:p w14:paraId="19E9B87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Little change.</w:t>
            </w:r>
          </w:p>
        </w:tc>
        <w:tc>
          <w:tcPr>
            <w:tcW w:w="0" w:type="auto"/>
          </w:tcPr>
          <w:p w14:paraId="36568E1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Little change</w:t>
            </w:r>
          </w:p>
        </w:tc>
        <w:tc>
          <w:tcPr>
            <w:tcW w:w="0" w:type="auto"/>
          </w:tcPr>
          <w:p w14:paraId="3196DA0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Surface rates 0.0553/day</w:t>
            </w:r>
          </w:p>
          <w:p w14:paraId="03383E0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Subsurface rates 0.0562/day</w:t>
            </w:r>
          </w:p>
        </w:tc>
        <w:tc>
          <w:tcPr>
            <w:tcW w:w="0" w:type="auto"/>
          </w:tcPr>
          <w:p w14:paraId="1FB05E7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High richness and abundance, all functional groups</w:t>
            </w:r>
          </w:p>
        </w:tc>
      </w:tr>
    </w:tbl>
    <w:p w14:paraId="1F532729" w14:textId="77777777" w:rsidR="003D3694" w:rsidRPr="00747E35" w:rsidRDefault="003D3694" w:rsidP="003D3694">
      <w:pPr>
        <w:rPr>
          <w:rFonts w:asciiTheme="minorHAnsi" w:hAnsiTheme="minorHAnsi" w:cstheme="minorHAnsi"/>
        </w:rPr>
      </w:pPr>
    </w:p>
    <w:p w14:paraId="54121C19" w14:textId="77777777" w:rsidR="003D3694" w:rsidRPr="00747E35" w:rsidRDefault="003D3694" w:rsidP="003D3694">
      <w:pPr>
        <w:pStyle w:val="Heading4"/>
        <w:rPr>
          <w:rFonts w:asciiTheme="minorHAnsi" w:hAnsiTheme="minorHAnsi" w:cstheme="minorHAnsi"/>
        </w:rPr>
      </w:pPr>
      <w:bookmarkStart w:id="341" w:name="_Toc453235118"/>
      <w:bookmarkStart w:id="342" w:name="_Toc466449958"/>
      <w:r w:rsidRPr="00747E35">
        <w:rPr>
          <w:rFonts w:asciiTheme="minorHAnsi" w:hAnsiTheme="minorHAnsi" w:cstheme="minorHAnsi"/>
        </w:rPr>
        <w:t xml:space="preserve">Maules Creek (Elfin Crossing </w:t>
      </w:r>
      <w:bookmarkEnd w:id="341"/>
      <w:r w:rsidRPr="00747E35">
        <w:rPr>
          <w:rFonts w:asciiTheme="minorHAnsi" w:hAnsiTheme="minorHAnsi" w:cstheme="minorHAnsi"/>
        </w:rPr>
        <w:t>perennial gaining / losing)</w:t>
      </w:r>
      <w:bookmarkEnd w:id="342"/>
    </w:p>
    <w:p w14:paraId="55CCBA81" w14:textId="34B13C94" w:rsidR="003D3694" w:rsidRPr="00747E35" w:rsidRDefault="003D3694" w:rsidP="003D3694">
      <w:pPr>
        <w:rPr>
          <w:rFonts w:asciiTheme="minorHAnsi" w:hAnsiTheme="minorHAnsi" w:cstheme="minorHAnsi"/>
          <w:lang w:eastAsia="en-AU"/>
        </w:rPr>
      </w:pPr>
      <w:r w:rsidRPr="00747E35">
        <w:rPr>
          <w:rFonts w:asciiTheme="minorHAnsi" w:hAnsiTheme="minorHAnsi" w:cstheme="minorHAnsi"/>
        </w:rPr>
        <w:t>An ecohydrological model was developed and based on the bore data, hydrochemistry and invertebrate sampling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_Ref453230938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129</w:t>
      </w:r>
      <w:r w:rsidRPr="00747E35">
        <w:rPr>
          <w:rFonts w:asciiTheme="minorHAnsi" w:hAnsiTheme="minorHAnsi" w:cstheme="minorHAnsi"/>
          <w:highlight w:val="yellow"/>
        </w:rPr>
        <w:fldChar w:fldCharType="end"/>
      </w:r>
      <w:r w:rsidRPr="00747E35">
        <w:rPr>
          <w:rFonts w:asciiTheme="minorHAnsi" w:hAnsiTheme="minorHAnsi" w:cstheme="minorHAnsi"/>
        </w:rPr>
        <w:t xml:space="preserve">,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_Ref466446879 \h </w:instrText>
      </w:r>
      <w:r w:rsidR="00925BFC"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29</w:t>
      </w:r>
      <w:r w:rsidRPr="00747E35">
        <w:rPr>
          <w:rFonts w:asciiTheme="minorHAnsi" w:hAnsiTheme="minorHAnsi" w:cstheme="minorHAnsi"/>
          <w:highlight w:val="yellow"/>
        </w:rPr>
        <w:fldChar w:fldCharType="end"/>
      </w:r>
      <w:r w:rsidRPr="00747E35">
        <w:rPr>
          <w:rFonts w:asciiTheme="minorHAnsi" w:hAnsiTheme="minorHAnsi" w:cstheme="minorHAnsi"/>
        </w:rPr>
        <w:t xml:space="preserve">). Elfin Crossing and the confluence of Horsearm Creek with Maules Creek coincide approximately with where the creek flow regime changes from perennial gaining (upstream) to losing (downstream) (Appendix 3: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_Ref453230922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163</w:t>
      </w:r>
      <w:r w:rsidRPr="00747E35">
        <w:rPr>
          <w:rFonts w:asciiTheme="minorHAnsi" w:hAnsiTheme="minorHAnsi" w:cstheme="minorHAnsi"/>
        </w:rPr>
        <w:fldChar w:fldCharType="end"/>
      </w:r>
      <w:r w:rsidRPr="00747E35">
        <w:rPr>
          <w:rFonts w:asciiTheme="minorHAnsi" w:hAnsiTheme="minorHAnsi" w:cstheme="minorHAnsi"/>
        </w:rPr>
        <w:t xml:space="preserve">). Bores on the north bank of the creek at Elfin Crossing are situated in a losing groundwater regime while bores on the south bank may possibly be situated in a gaining regime. Sampling at Elfin Crossing was primarily focused on the aquifer and bores in this vicinity.  </w:t>
      </w:r>
    </w:p>
    <w:p w14:paraId="2A1BD562" w14:textId="77777777" w:rsidR="003D3694" w:rsidRPr="00747E35" w:rsidRDefault="003D3694" w:rsidP="003D3694">
      <w:pPr>
        <w:rPr>
          <w:rFonts w:asciiTheme="minorHAnsi" w:hAnsiTheme="minorHAnsi" w:cstheme="minorHAnsi"/>
        </w:rPr>
      </w:pPr>
    </w:p>
    <w:p w14:paraId="08D5E75F"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7737FC15" wp14:editId="0AC69082">
            <wp:extent cx="5981700" cy="4096500"/>
            <wp:effectExtent l="0" t="0" r="0" b="0"/>
            <wp:docPr id="4108" name="Picture 4108"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5984856" cy="4098661"/>
                    </a:xfrm>
                    <a:prstGeom prst="rect">
                      <a:avLst/>
                    </a:prstGeom>
                    <a:noFill/>
                  </pic:spPr>
                </pic:pic>
              </a:graphicData>
            </a:graphic>
          </wp:inline>
        </w:drawing>
      </w:r>
    </w:p>
    <w:p w14:paraId="1119E807" w14:textId="77777777" w:rsidR="003D3694" w:rsidRPr="00747E35" w:rsidRDefault="003D3694" w:rsidP="00566456">
      <w:pPr>
        <w:pStyle w:val="Caption"/>
        <w:numPr>
          <w:ilvl w:val="0"/>
          <w:numId w:val="0"/>
        </w:numPr>
        <w:rPr>
          <w:rFonts w:cstheme="minorHAnsi"/>
        </w:rPr>
      </w:pPr>
      <w:bookmarkStart w:id="343" w:name="_Ref453230938"/>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129</w:t>
      </w:r>
      <w:r w:rsidR="009D6600" w:rsidRPr="00747E35">
        <w:rPr>
          <w:rFonts w:cstheme="minorHAnsi"/>
          <w:noProof/>
        </w:rPr>
        <w:fldChar w:fldCharType="end"/>
      </w:r>
      <w:bookmarkEnd w:id="343"/>
      <w:r w:rsidRPr="00747E35">
        <w:rPr>
          <w:rFonts w:cstheme="minorHAnsi"/>
        </w:rPr>
        <w:t>:</w:t>
      </w:r>
      <w:r w:rsidRPr="00747E35">
        <w:rPr>
          <w:rFonts w:cstheme="minorHAnsi"/>
          <w:lang w:eastAsia="en-AU"/>
        </w:rPr>
        <w:t xml:space="preserve"> </w:t>
      </w:r>
      <w:r w:rsidRPr="00747E35">
        <w:rPr>
          <w:rFonts w:cstheme="minorHAnsi"/>
        </w:rPr>
        <w:t>Maules Creek at Elfin Crossing showing study site Pool 36 and bores with inferred connectivity based on hydrochemistry. Note that stygofauna were collected in the deep aquifer here.</w:t>
      </w:r>
    </w:p>
    <w:p w14:paraId="29E71715" w14:textId="77777777" w:rsidR="003D3694" w:rsidRPr="00747E35" w:rsidRDefault="003D3694" w:rsidP="003D3694">
      <w:pPr>
        <w:rPr>
          <w:rFonts w:asciiTheme="minorHAnsi" w:hAnsiTheme="minorHAnsi" w:cstheme="minorHAnsi"/>
        </w:rPr>
      </w:pPr>
    </w:p>
    <w:p w14:paraId="216D3F7F" w14:textId="0E6DCA3E" w:rsidR="003D3694" w:rsidRPr="00747E35" w:rsidRDefault="003D3694" w:rsidP="00566456">
      <w:pPr>
        <w:pStyle w:val="Caption"/>
        <w:numPr>
          <w:ilvl w:val="0"/>
          <w:numId w:val="0"/>
        </w:numPr>
        <w:rPr>
          <w:rFonts w:cstheme="minorHAnsi"/>
          <w:lang w:eastAsia="en-AU"/>
        </w:rPr>
      </w:pPr>
      <w:bookmarkStart w:id="344" w:name="_Ref466446879"/>
      <w:r w:rsidRPr="00747E35">
        <w:rPr>
          <w:rFonts w:cstheme="minorHAnsi"/>
        </w:rPr>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29</w:t>
      </w:r>
      <w:r w:rsidR="009D6600" w:rsidRPr="00747E35">
        <w:rPr>
          <w:rFonts w:cstheme="minorHAnsi"/>
          <w:noProof/>
        </w:rPr>
        <w:fldChar w:fldCharType="end"/>
      </w:r>
      <w:bookmarkEnd w:id="344"/>
      <w:r w:rsidRPr="00747E35">
        <w:rPr>
          <w:rFonts w:cstheme="minorHAnsi"/>
        </w:rPr>
        <w:t xml:space="preserve">: </w:t>
      </w:r>
      <w:r w:rsidRPr="00747E35">
        <w:rPr>
          <w:rFonts w:cstheme="minorHAnsi"/>
          <w:lang w:eastAsia="en-AU"/>
        </w:rPr>
        <w:t xml:space="preserve">Maules Creek (Elfin Crossing) supporting table for </w:t>
      </w:r>
      <w:r w:rsidRPr="00747E35">
        <w:rPr>
          <w:rFonts w:cstheme="minorHAnsi"/>
          <w:lang w:eastAsia="en-AU"/>
        </w:rPr>
        <w:fldChar w:fldCharType="begin"/>
      </w:r>
      <w:r w:rsidRPr="00747E35">
        <w:rPr>
          <w:rFonts w:cstheme="minorHAnsi"/>
          <w:lang w:eastAsia="en-AU"/>
        </w:rPr>
        <w:instrText xml:space="preserve"> REF _Ref453230938 \h </w:instrText>
      </w:r>
      <w:r w:rsidR="00925BFC" w:rsidRPr="00747E35">
        <w:rPr>
          <w:rFonts w:cstheme="minorHAnsi"/>
          <w:lang w:eastAsia="en-AU"/>
        </w:rPr>
        <w:instrText xml:space="preserve"> \* MERGEFORMAT </w:instrText>
      </w:r>
      <w:r w:rsidRPr="00747E35">
        <w:rPr>
          <w:rFonts w:cstheme="minorHAnsi"/>
          <w:lang w:eastAsia="en-AU"/>
        </w:rPr>
      </w:r>
      <w:r w:rsidRPr="00747E35">
        <w:rPr>
          <w:rFonts w:cstheme="minorHAnsi"/>
          <w:lang w:eastAsia="en-AU"/>
        </w:rPr>
        <w:fldChar w:fldCharType="separate"/>
      </w:r>
      <w:r w:rsidR="00D023DD" w:rsidRPr="00747E35">
        <w:rPr>
          <w:rFonts w:cstheme="minorHAnsi"/>
        </w:rPr>
        <w:t xml:space="preserve">Figure </w:t>
      </w:r>
      <w:r w:rsidR="00D023DD">
        <w:rPr>
          <w:rFonts w:cstheme="minorHAnsi"/>
          <w:noProof/>
        </w:rPr>
        <w:t>129</w:t>
      </w:r>
      <w:r w:rsidRPr="00747E35">
        <w:rPr>
          <w:rFonts w:cstheme="minorHAnsi"/>
          <w:lang w:eastAsia="en-AU"/>
        </w:rPr>
        <w:fldChar w:fldCharType="end"/>
      </w:r>
      <w:r w:rsidRPr="00747E35">
        <w:rPr>
          <w:rFonts w:cstheme="minorHAnsi"/>
          <w:lang w:eastAsia="en-AU"/>
        </w:rPr>
        <w:t xml:space="preserve">: ecohydrological conditions, changes and responses observed/measured during the study period in this section of creek with perennial gaining / losing flow regime, February 2015 to February 2016. </w:t>
      </w:r>
    </w:p>
    <w:tbl>
      <w:tblPr>
        <w:tblStyle w:val="TableGrid"/>
        <w:tblW w:w="0" w:type="auto"/>
        <w:tblLook w:val="04A0" w:firstRow="1" w:lastRow="0" w:firstColumn="1" w:lastColumn="0" w:noHBand="0" w:noVBand="1"/>
      </w:tblPr>
      <w:tblGrid>
        <w:gridCol w:w="840"/>
        <w:gridCol w:w="2044"/>
        <w:gridCol w:w="2540"/>
        <w:gridCol w:w="2096"/>
        <w:gridCol w:w="2108"/>
      </w:tblGrid>
      <w:tr w:rsidR="003D3694" w:rsidRPr="00747E35" w14:paraId="57787690" w14:textId="77777777" w:rsidTr="00BB5645">
        <w:trPr>
          <w:tblHeader/>
        </w:trPr>
        <w:tc>
          <w:tcPr>
            <w:tcW w:w="0" w:type="auto"/>
            <w:shd w:val="clear" w:color="auto" w:fill="DEEAF6" w:themeFill="accent1" w:themeFillTint="33"/>
          </w:tcPr>
          <w:p w14:paraId="7729ADD2"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Time stage</w:t>
            </w:r>
          </w:p>
        </w:tc>
        <w:tc>
          <w:tcPr>
            <w:tcW w:w="0" w:type="auto"/>
            <w:shd w:val="clear" w:color="auto" w:fill="DEEAF6" w:themeFill="accent1" w:themeFillTint="33"/>
          </w:tcPr>
          <w:p w14:paraId="14FE4475"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Hydrological state or change</w:t>
            </w:r>
          </w:p>
        </w:tc>
        <w:tc>
          <w:tcPr>
            <w:tcW w:w="0" w:type="auto"/>
            <w:shd w:val="clear" w:color="auto" w:fill="DEEAF6" w:themeFill="accent1" w:themeFillTint="33"/>
          </w:tcPr>
          <w:p w14:paraId="7994F705"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Hydrochemistry response</w:t>
            </w:r>
          </w:p>
        </w:tc>
        <w:tc>
          <w:tcPr>
            <w:tcW w:w="0" w:type="auto"/>
            <w:shd w:val="clear" w:color="auto" w:fill="DEEAF6" w:themeFill="accent1" w:themeFillTint="33"/>
          </w:tcPr>
          <w:p w14:paraId="62D575B2"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OM microbial degradation response</w:t>
            </w:r>
          </w:p>
        </w:tc>
        <w:tc>
          <w:tcPr>
            <w:tcW w:w="0" w:type="auto"/>
            <w:shd w:val="clear" w:color="auto" w:fill="DEEAF6" w:themeFill="accent1" w:themeFillTint="33"/>
          </w:tcPr>
          <w:p w14:paraId="321129AC"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Hyporheic invertebrate response</w:t>
            </w:r>
          </w:p>
        </w:tc>
      </w:tr>
      <w:tr w:rsidR="003D3694" w:rsidRPr="00747E35" w14:paraId="54185EAA" w14:textId="77777777" w:rsidTr="0096743A">
        <w:tc>
          <w:tcPr>
            <w:tcW w:w="0" w:type="auto"/>
          </w:tcPr>
          <w:p w14:paraId="43694C4D" w14:textId="77777777" w:rsidR="003D3694" w:rsidRPr="00747E35" w:rsidRDefault="003D3694" w:rsidP="0096743A">
            <w:pPr>
              <w:pStyle w:val="Tabletext"/>
              <w:rPr>
                <w:rFonts w:cstheme="minorHAnsi"/>
              </w:rPr>
            </w:pPr>
            <w:r w:rsidRPr="00747E35">
              <w:rPr>
                <w:rFonts w:cstheme="minorHAnsi"/>
              </w:rPr>
              <w:t>1. Feb 2015</w:t>
            </w:r>
          </w:p>
        </w:tc>
        <w:tc>
          <w:tcPr>
            <w:tcW w:w="0" w:type="auto"/>
          </w:tcPr>
          <w:p w14:paraId="39A10595" w14:textId="77777777" w:rsidR="003D3694" w:rsidRPr="00747E35" w:rsidRDefault="003D3694" w:rsidP="0096743A">
            <w:pPr>
              <w:pStyle w:val="Tabletext"/>
              <w:rPr>
                <w:rFonts w:cstheme="minorHAnsi"/>
              </w:rPr>
            </w:pPr>
            <w:r w:rsidRPr="00747E35">
              <w:rPr>
                <w:rFonts w:cstheme="minorHAnsi"/>
              </w:rPr>
              <w:t>Creek flow continuous, pools and riffles, hyporheic zone saturated.</w:t>
            </w:r>
          </w:p>
        </w:tc>
        <w:tc>
          <w:tcPr>
            <w:tcW w:w="0" w:type="auto"/>
          </w:tcPr>
          <w:p w14:paraId="715FF646" w14:textId="77777777" w:rsidR="003D3694" w:rsidRPr="00747E35" w:rsidRDefault="003D3694" w:rsidP="0096743A">
            <w:pPr>
              <w:pStyle w:val="Tabletext"/>
              <w:rPr>
                <w:rFonts w:cstheme="minorHAnsi"/>
              </w:rPr>
            </w:pPr>
            <w:r w:rsidRPr="00747E35">
              <w:rPr>
                <w:rFonts w:cstheme="minorHAnsi"/>
              </w:rPr>
              <w:t>Not sampled</w:t>
            </w:r>
          </w:p>
        </w:tc>
        <w:tc>
          <w:tcPr>
            <w:tcW w:w="0" w:type="auto"/>
          </w:tcPr>
          <w:p w14:paraId="0977D0C5" w14:textId="77777777" w:rsidR="003D3694" w:rsidRPr="00747E35" w:rsidRDefault="003D3694" w:rsidP="0096743A">
            <w:pPr>
              <w:pStyle w:val="Tabletext"/>
              <w:rPr>
                <w:rFonts w:cstheme="minorHAnsi"/>
              </w:rPr>
            </w:pPr>
            <w:r w:rsidRPr="00747E35">
              <w:rPr>
                <w:rFonts w:cstheme="minorHAnsi"/>
              </w:rPr>
              <w:t>Not sampled.</w:t>
            </w:r>
          </w:p>
        </w:tc>
        <w:tc>
          <w:tcPr>
            <w:tcW w:w="0" w:type="auto"/>
          </w:tcPr>
          <w:p w14:paraId="5490DA6D" w14:textId="77777777" w:rsidR="003D3694" w:rsidRPr="00747E35" w:rsidRDefault="003D3694" w:rsidP="0096743A">
            <w:pPr>
              <w:pStyle w:val="Tabletext"/>
              <w:rPr>
                <w:rFonts w:cstheme="minorHAnsi"/>
              </w:rPr>
            </w:pPr>
            <w:r w:rsidRPr="00747E35">
              <w:rPr>
                <w:rFonts w:cstheme="minorHAnsi"/>
              </w:rPr>
              <w:t>Not sampled.</w:t>
            </w:r>
          </w:p>
        </w:tc>
      </w:tr>
      <w:tr w:rsidR="003D3694" w:rsidRPr="00747E35" w14:paraId="14BDBD71" w14:textId="77777777" w:rsidTr="0096743A">
        <w:tc>
          <w:tcPr>
            <w:tcW w:w="0" w:type="auto"/>
          </w:tcPr>
          <w:p w14:paraId="45F47C25" w14:textId="77777777" w:rsidR="003D3694" w:rsidRPr="00747E35" w:rsidRDefault="003D3694" w:rsidP="0096743A">
            <w:pPr>
              <w:pStyle w:val="Tabletext"/>
              <w:rPr>
                <w:rFonts w:cstheme="minorHAnsi"/>
              </w:rPr>
            </w:pPr>
            <w:r w:rsidRPr="00747E35">
              <w:rPr>
                <w:rFonts w:cstheme="minorHAnsi"/>
              </w:rPr>
              <w:t>2. Sept – Oct 2015</w:t>
            </w:r>
          </w:p>
        </w:tc>
        <w:tc>
          <w:tcPr>
            <w:tcW w:w="0" w:type="auto"/>
          </w:tcPr>
          <w:p w14:paraId="4F4B6FDB" w14:textId="77777777" w:rsidR="003D3694" w:rsidRPr="00747E35" w:rsidRDefault="003D3694" w:rsidP="0096743A">
            <w:pPr>
              <w:pStyle w:val="Tabletext"/>
              <w:rPr>
                <w:rFonts w:cstheme="minorHAnsi"/>
              </w:rPr>
            </w:pPr>
            <w:r w:rsidRPr="00747E35">
              <w:rPr>
                <w:rFonts w:cstheme="minorHAnsi"/>
              </w:rPr>
              <w:t xml:space="preserve">Little change in surface flows and HEF, aquifer receding. </w:t>
            </w:r>
          </w:p>
        </w:tc>
        <w:tc>
          <w:tcPr>
            <w:tcW w:w="0" w:type="auto"/>
          </w:tcPr>
          <w:p w14:paraId="1C0F0B4A" w14:textId="77777777" w:rsidR="003D3694" w:rsidRPr="00747E35" w:rsidRDefault="003D3694" w:rsidP="0096743A">
            <w:pPr>
              <w:pStyle w:val="Tabletext"/>
              <w:rPr>
                <w:rFonts w:cstheme="minorHAnsi"/>
              </w:rPr>
            </w:pPr>
            <w:r w:rsidRPr="00747E35">
              <w:rPr>
                <w:rFonts w:cstheme="minorHAnsi"/>
              </w:rPr>
              <w:t>Reduced conditions (reduced species such as ammonia, iron and phosphate present)</w:t>
            </w:r>
          </w:p>
        </w:tc>
        <w:tc>
          <w:tcPr>
            <w:tcW w:w="0" w:type="auto"/>
          </w:tcPr>
          <w:p w14:paraId="0830CA7C" w14:textId="77777777" w:rsidR="003D3694" w:rsidRPr="00747E35" w:rsidRDefault="003D3694" w:rsidP="0096743A">
            <w:pPr>
              <w:pStyle w:val="Tabletext"/>
              <w:rPr>
                <w:rFonts w:cstheme="minorHAnsi"/>
              </w:rPr>
            </w:pPr>
            <w:r w:rsidRPr="00747E35">
              <w:rPr>
                <w:rFonts w:cstheme="minorHAnsi"/>
              </w:rPr>
              <w:t>Inferred similar to Maules losing section prior to complete desaturation</w:t>
            </w:r>
          </w:p>
          <w:p w14:paraId="52D4BE27" w14:textId="77777777" w:rsidR="003D3694" w:rsidRPr="00747E35" w:rsidRDefault="003D3694" w:rsidP="0096743A">
            <w:pPr>
              <w:pStyle w:val="Tabletext"/>
              <w:rPr>
                <w:rFonts w:cstheme="minorHAnsi"/>
              </w:rPr>
            </w:pPr>
          </w:p>
        </w:tc>
        <w:tc>
          <w:tcPr>
            <w:tcW w:w="0" w:type="auto"/>
          </w:tcPr>
          <w:p w14:paraId="468FC678" w14:textId="77777777" w:rsidR="003D3694" w:rsidRPr="00747E35" w:rsidRDefault="003D3694" w:rsidP="0096743A">
            <w:pPr>
              <w:pStyle w:val="Tabletext"/>
              <w:rPr>
                <w:rFonts w:cstheme="minorHAnsi"/>
              </w:rPr>
            </w:pPr>
            <w:r w:rsidRPr="00747E35">
              <w:rPr>
                <w:rFonts w:cstheme="minorHAnsi"/>
              </w:rPr>
              <w:t>Low richness, low abundance, stygobite functional group not detected.</w:t>
            </w:r>
          </w:p>
        </w:tc>
      </w:tr>
      <w:tr w:rsidR="003D3694" w:rsidRPr="00747E35" w14:paraId="675441BA" w14:textId="77777777" w:rsidTr="0096743A">
        <w:tc>
          <w:tcPr>
            <w:tcW w:w="0" w:type="auto"/>
          </w:tcPr>
          <w:p w14:paraId="4E195557" w14:textId="77777777" w:rsidR="003D3694" w:rsidRPr="00747E35" w:rsidRDefault="003D3694" w:rsidP="0096743A">
            <w:pPr>
              <w:pStyle w:val="Tabletext"/>
              <w:rPr>
                <w:rFonts w:cstheme="minorHAnsi"/>
              </w:rPr>
            </w:pPr>
            <w:r w:rsidRPr="00747E35">
              <w:rPr>
                <w:rFonts w:cstheme="minorHAnsi"/>
              </w:rPr>
              <w:t>3. Feb 2016</w:t>
            </w:r>
          </w:p>
        </w:tc>
        <w:tc>
          <w:tcPr>
            <w:tcW w:w="0" w:type="auto"/>
          </w:tcPr>
          <w:p w14:paraId="3CEBDAC6" w14:textId="77777777" w:rsidR="003D3694" w:rsidRPr="00747E35" w:rsidRDefault="003D3694" w:rsidP="0096743A">
            <w:pPr>
              <w:pStyle w:val="Tabletext"/>
              <w:rPr>
                <w:rFonts w:cstheme="minorHAnsi"/>
              </w:rPr>
            </w:pPr>
            <w:r w:rsidRPr="00747E35">
              <w:rPr>
                <w:rFonts w:cstheme="minorHAnsi"/>
              </w:rPr>
              <w:t>As above.</w:t>
            </w:r>
          </w:p>
        </w:tc>
        <w:tc>
          <w:tcPr>
            <w:tcW w:w="0" w:type="auto"/>
          </w:tcPr>
          <w:p w14:paraId="3F34B48C" w14:textId="77777777" w:rsidR="003D3694" w:rsidRPr="00747E35" w:rsidRDefault="003D3694" w:rsidP="0096743A">
            <w:pPr>
              <w:pStyle w:val="Tabletext"/>
              <w:rPr>
                <w:rFonts w:cstheme="minorHAnsi"/>
              </w:rPr>
            </w:pPr>
            <w:r w:rsidRPr="00747E35">
              <w:rPr>
                <w:rFonts w:cstheme="minorHAnsi"/>
              </w:rPr>
              <w:t>As above</w:t>
            </w:r>
          </w:p>
        </w:tc>
        <w:tc>
          <w:tcPr>
            <w:tcW w:w="0" w:type="auto"/>
          </w:tcPr>
          <w:p w14:paraId="63FF37CC" w14:textId="77777777" w:rsidR="003D3694" w:rsidRPr="00747E35" w:rsidRDefault="003D3694" w:rsidP="0096743A">
            <w:pPr>
              <w:pStyle w:val="Tabletext"/>
              <w:rPr>
                <w:rFonts w:cstheme="minorHAnsi"/>
              </w:rPr>
            </w:pPr>
            <w:r w:rsidRPr="00747E35">
              <w:rPr>
                <w:rFonts w:cstheme="minorHAnsi"/>
              </w:rPr>
              <w:t>As above</w:t>
            </w:r>
          </w:p>
        </w:tc>
        <w:tc>
          <w:tcPr>
            <w:tcW w:w="0" w:type="auto"/>
          </w:tcPr>
          <w:p w14:paraId="510C7E40" w14:textId="77777777" w:rsidR="003D3694" w:rsidRPr="00747E35" w:rsidRDefault="003D3694" w:rsidP="0096743A">
            <w:pPr>
              <w:pStyle w:val="Tabletext"/>
              <w:rPr>
                <w:rFonts w:cstheme="minorHAnsi"/>
              </w:rPr>
            </w:pPr>
            <w:r w:rsidRPr="00747E35">
              <w:rPr>
                <w:rFonts w:cstheme="minorHAnsi"/>
              </w:rPr>
              <w:t>As above.</w:t>
            </w:r>
          </w:p>
        </w:tc>
      </w:tr>
    </w:tbl>
    <w:p w14:paraId="266A6CAA" w14:textId="77777777" w:rsidR="003D3694" w:rsidRPr="00747E35" w:rsidRDefault="003D3694" w:rsidP="003D3694">
      <w:pPr>
        <w:rPr>
          <w:rFonts w:asciiTheme="minorHAnsi" w:hAnsiTheme="minorHAnsi" w:cstheme="minorHAnsi"/>
        </w:rPr>
      </w:pPr>
    </w:p>
    <w:p w14:paraId="5BD78568" w14:textId="77777777" w:rsidR="003D3694" w:rsidRPr="00747E35" w:rsidRDefault="003D3694" w:rsidP="003D3694">
      <w:pPr>
        <w:pStyle w:val="Heading4"/>
        <w:rPr>
          <w:rFonts w:asciiTheme="minorHAnsi" w:hAnsiTheme="minorHAnsi" w:cstheme="minorHAnsi"/>
        </w:rPr>
      </w:pPr>
      <w:bookmarkStart w:id="345" w:name="_Toc453235119"/>
      <w:bookmarkStart w:id="346" w:name="_Toc466449959"/>
      <w:r w:rsidRPr="00747E35">
        <w:rPr>
          <w:rFonts w:asciiTheme="minorHAnsi" w:hAnsiTheme="minorHAnsi" w:cstheme="minorHAnsi"/>
        </w:rPr>
        <w:t>Maules Creek (perennial losing</w:t>
      </w:r>
      <w:bookmarkEnd w:id="345"/>
      <w:r w:rsidRPr="00747E35">
        <w:rPr>
          <w:rFonts w:asciiTheme="minorHAnsi" w:hAnsiTheme="minorHAnsi" w:cstheme="minorHAnsi"/>
        </w:rPr>
        <w:t>)</w:t>
      </w:r>
      <w:bookmarkEnd w:id="346"/>
    </w:p>
    <w:p w14:paraId="410BB241" w14:textId="77777777" w:rsidR="00D023DD" w:rsidRPr="00747E35" w:rsidRDefault="003D3694" w:rsidP="003D3694">
      <w:pPr>
        <w:rPr>
          <w:rFonts w:asciiTheme="minorHAnsi" w:hAnsiTheme="minorHAnsi" w:cstheme="minorHAnsi"/>
          <w:noProof/>
        </w:rPr>
      </w:pPr>
      <w:r w:rsidRPr="00747E35">
        <w:rPr>
          <w:rFonts w:asciiTheme="minorHAnsi" w:hAnsiTheme="minorHAnsi" w:cstheme="minorHAnsi"/>
          <w:lang w:eastAsia="en-AU"/>
        </w:rPr>
        <w:t xml:space="preserve">The conceptual model of the perennial losing section is shown in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_Ref453230903 \h  \* MERGEFORMAT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128</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with supporting information in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_Ref466446807 \h  \* MERGEFORMAT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p>
    <w:p w14:paraId="7625C3D7" w14:textId="385098BE" w:rsidR="003D3694" w:rsidRPr="00747E35" w:rsidRDefault="00D023DD" w:rsidP="003D3694">
      <w:pPr>
        <w:rPr>
          <w:rFonts w:asciiTheme="minorHAnsi" w:hAnsiTheme="minorHAnsi" w:cstheme="minorHAnsi"/>
        </w:rPr>
      </w:pPr>
      <w:r w:rsidRPr="00D023DD">
        <w:rPr>
          <w:rFonts w:asciiTheme="minorHAnsi" w:hAnsiTheme="minorHAnsi" w:cstheme="minorHAnsi"/>
          <w:noProof/>
        </w:rPr>
        <w:t xml:space="preserve">Table </w:t>
      </w:r>
      <w:r>
        <w:rPr>
          <w:rFonts w:cstheme="minorHAnsi"/>
          <w:noProof/>
        </w:rPr>
        <w:t>28</w:t>
      </w:r>
      <w:r w:rsidR="003D3694" w:rsidRPr="00747E35">
        <w:rPr>
          <w:rFonts w:asciiTheme="minorHAnsi" w:hAnsiTheme="minorHAnsi" w:cstheme="minorHAnsi"/>
          <w:lang w:eastAsia="en-AU"/>
        </w:rPr>
        <w:fldChar w:fldCharType="end"/>
      </w:r>
      <w:r w:rsidR="003D3694" w:rsidRPr="00747E35">
        <w:rPr>
          <w:rFonts w:asciiTheme="minorHAnsi" w:hAnsiTheme="minorHAnsi" w:cstheme="minorHAnsi"/>
          <w:lang w:eastAsia="en-AU"/>
        </w:rPr>
        <w:t>. In summary, the conceptual model for the losing section of Maules Creek highlights the following:</w:t>
      </w:r>
    </w:p>
    <w:p w14:paraId="21D6FFE0" w14:textId="77777777" w:rsidR="003D3694" w:rsidRPr="00747E35" w:rsidRDefault="003D3694" w:rsidP="0083624F">
      <w:pPr>
        <w:pStyle w:val="ListParagraph"/>
        <w:numPr>
          <w:ilvl w:val="0"/>
          <w:numId w:val="20"/>
        </w:numPr>
        <w:adjustRightInd w:val="0"/>
        <w:spacing w:before="60" w:after="240" w:line="240" w:lineRule="auto"/>
        <w:contextualSpacing w:val="0"/>
        <w:jc w:val="both"/>
        <w:rPr>
          <w:rFonts w:asciiTheme="minorHAnsi" w:hAnsiTheme="minorHAnsi" w:cstheme="minorHAnsi"/>
          <w:lang w:eastAsia="en-AU"/>
        </w:rPr>
      </w:pPr>
      <w:r w:rsidRPr="00747E35">
        <w:rPr>
          <w:rFonts w:asciiTheme="minorHAnsi" w:hAnsiTheme="minorHAnsi" w:cstheme="minorHAnsi"/>
          <w:lang w:eastAsia="en-AU"/>
        </w:rPr>
        <w:t xml:space="preserve"> Lithology, hydrology. The coarse alluvium confers high hydraulic permeability and aquifer-creek connectivity, facilitating transport and bi-directional exchange between creek and aquifer of DO, nutrients, POM, DOM and other solutes, as well as microorganisms and invertebrates. The high </w:t>
      </w:r>
      <w:r w:rsidRPr="00747E35">
        <w:rPr>
          <w:rFonts w:asciiTheme="minorHAnsi" w:hAnsiTheme="minorHAnsi" w:cstheme="minorHAnsi"/>
          <w:lang w:eastAsia="en-AU"/>
        </w:rPr>
        <w:lastRenderedPageBreak/>
        <w:t xml:space="preserve">permeability and connectivity also induces rapid and weakly buffered ecohydrological responses of the hyporheic zone to changes such as groundwater recession / drawdown occurring in the adjacent aquifer. </w:t>
      </w:r>
    </w:p>
    <w:p w14:paraId="5022F616" w14:textId="6914F5B4" w:rsidR="003D3694" w:rsidRPr="00747E35" w:rsidRDefault="003D3694" w:rsidP="008B4C44">
      <w:pPr>
        <w:pStyle w:val="ListParagraph"/>
        <w:numPr>
          <w:ilvl w:val="0"/>
          <w:numId w:val="20"/>
        </w:numPr>
        <w:adjustRightInd w:val="0"/>
        <w:spacing w:before="60" w:after="240" w:line="240" w:lineRule="auto"/>
        <w:contextualSpacing w:val="0"/>
        <w:jc w:val="both"/>
        <w:rPr>
          <w:rFonts w:asciiTheme="minorHAnsi" w:hAnsiTheme="minorHAnsi" w:cstheme="minorHAnsi"/>
          <w:lang w:eastAsia="en-AU"/>
        </w:rPr>
      </w:pPr>
      <w:r w:rsidRPr="00747E35">
        <w:rPr>
          <w:rFonts w:asciiTheme="minorHAnsi" w:hAnsiTheme="minorHAnsi" w:cstheme="minorHAnsi"/>
          <w:lang w:eastAsia="en-AU"/>
        </w:rPr>
        <w:t xml:space="preserve">Hydrogeology. </w:t>
      </w:r>
      <w:r w:rsidR="008B4C44" w:rsidRPr="008B4C44">
        <w:rPr>
          <w:rFonts w:asciiTheme="minorHAnsi" w:hAnsiTheme="minorHAnsi" w:cstheme="minorHAnsi"/>
          <w:lang w:eastAsia="en-AU"/>
        </w:rPr>
        <w:t xml:space="preserve">High aquifer-creek connectivity combined with a relatively thick depth of alluvium (&gt;20m thick) and shallow water table (generally &lt; 5m below ground level) confers buffering capacity </w:t>
      </w:r>
      <w:r w:rsidRPr="00747E35">
        <w:rPr>
          <w:rFonts w:asciiTheme="minorHAnsi" w:hAnsiTheme="minorHAnsi" w:cstheme="minorHAnsi"/>
          <w:lang w:eastAsia="en-AU"/>
        </w:rPr>
        <w:t>(resilience) in terms of groundwater habitat availability and persistence during episodes of groundwater recession / drawdown. This combination of aquifer properties and strong hydrologic connectivity also confers a potential capacity for recovery if the aquifer functions as a refuge for the stygobite and stygophile functional components of the hyporheos during episodes of hyporheic desaturation / DO and redox shifts, and a source for recolonization of the hyporheic zone if conditions become suitable.</w:t>
      </w:r>
    </w:p>
    <w:p w14:paraId="68478F4B" w14:textId="44CAFB7F" w:rsidR="003D3694" w:rsidRPr="00747E35" w:rsidRDefault="003D3694" w:rsidP="0083624F">
      <w:pPr>
        <w:pStyle w:val="ListParagraph"/>
        <w:numPr>
          <w:ilvl w:val="0"/>
          <w:numId w:val="20"/>
        </w:numPr>
        <w:adjustRightInd w:val="0"/>
        <w:spacing w:before="60" w:after="240" w:line="240" w:lineRule="auto"/>
        <w:contextualSpacing w:val="0"/>
        <w:jc w:val="both"/>
        <w:rPr>
          <w:rFonts w:asciiTheme="minorHAnsi" w:hAnsiTheme="minorHAnsi" w:cstheme="minorHAnsi"/>
          <w:lang w:eastAsia="en-AU"/>
        </w:rPr>
      </w:pPr>
      <w:r w:rsidRPr="00747E35">
        <w:rPr>
          <w:rFonts w:asciiTheme="minorHAnsi" w:hAnsiTheme="minorHAnsi" w:cstheme="minorHAnsi"/>
          <w:lang w:eastAsia="en-AU"/>
        </w:rPr>
        <w:t xml:space="preserve">Flow regime. The perennial losing flow regime confers predominantly </w:t>
      </w:r>
      <w:r w:rsidR="006B2C7A">
        <w:rPr>
          <w:rFonts w:asciiTheme="minorHAnsi" w:hAnsiTheme="minorHAnsi" w:cstheme="minorHAnsi"/>
          <w:lang w:eastAsia="en-AU"/>
        </w:rPr>
        <w:t>downwelling</w:t>
      </w:r>
      <w:r w:rsidRPr="00747E35">
        <w:rPr>
          <w:rFonts w:asciiTheme="minorHAnsi" w:hAnsiTheme="minorHAnsi" w:cstheme="minorHAnsi"/>
          <w:lang w:eastAsia="en-AU"/>
        </w:rPr>
        <w:t xml:space="preserve"> VHH / HEF paths and a tendency in OM, DO and redox gradients towards suboxic – anoxic conditions producing uninhabitable conditions for invertebrates. In contrast to the other sites, there is no compensatory input of oxic regional groundwater. Anaerobic microbial metabolism dominates biogeochemical processes. </w:t>
      </w:r>
    </w:p>
    <w:p w14:paraId="1C512044" w14:textId="54681DAA" w:rsidR="003D3694" w:rsidRPr="00747E35" w:rsidRDefault="003D3694" w:rsidP="0083624F">
      <w:pPr>
        <w:pStyle w:val="ListParagraph"/>
        <w:numPr>
          <w:ilvl w:val="0"/>
          <w:numId w:val="20"/>
        </w:numPr>
        <w:adjustRightInd w:val="0"/>
        <w:spacing w:before="60" w:after="240" w:line="240" w:lineRule="auto"/>
        <w:contextualSpacing w:val="0"/>
        <w:jc w:val="both"/>
        <w:rPr>
          <w:rFonts w:asciiTheme="minorHAnsi" w:hAnsiTheme="minorHAnsi" w:cstheme="minorHAnsi"/>
          <w:lang w:eastAsia="en-AU"/>
        </w:rPr>
      </w:pPr>
      <w:r w:rsidRPr="00747E35">
        <w:rPr>
          <w:rFonts w:asciiTheme="minorHAnsi" w:hAnsiTheme="minorHAnsi" w:cstheme="minorHAnsi"/>
          <w:lang w:eastAsia="en-AU"/>
        </w:rPr>
        <w:t xml:space="preserve">Groundwater recession/drawdown shifts perennial gaining flow regimes and/or upwelling HEFs towards losing and/or </w:t>
      </w:r>
      <w:r w:rsidR="006B2C7A">
        <w:rPr>
          <w:rFonts w:asciiTheme="minorHAnsi" w:hAnsiTheme="minorHAnsi" w:cstheme="minorHAnsi"/>
          <w:lang w:eastAsia="en-AU"/>
        </w:rPr>
        <w:t>downwelling</w:t>
      </w:r>
      <w:r w:rsidRPr="00747E35">
        <w:rPr>
          <w:rFonts w:asciiTheme="minorHAnsi" w:hAnsiTheme="minorHAnsi" w:cstheme="minorHAnsi"/>
          <w:lang w:eastAsia="en-AU"/>
        </w:rPr>
        <w:t xml:space="preserve"> conditions. Invertebrate metabolism and productivity in the hyporheic zone is reduced as conditions rapidly become anoxic. Below the hyporheic zone at depth in the aquifer, oxic regional groundwater provides suitable conditions for stygobites and stygophiles. </w:t>
      </w:r>
    </w:p>
    <w:p w14:paraId="6F4F9962" w14:textId="77777777" w:rsidR="003D3694" w:rsidRPr="00747E35" w:rsidRDefault="003D3694" w:rsidP="003D3694">
      <w:pPr>
        <w:spacing w:after="0"/>
        <w:rPr>
          <w:rFonts w:asciiTheme="minorHAnsi" w:hAnsiTheme="minorHAnsi" w:cstheme="minorHAnsi"/>
          <w:lang w:eastAsia="en-AU"/>
        </w:rPr>
      </w:pPr>
    </w:p>
    <w:p w14:paraId="5BBC25C8" w14:textId="77777777" w:rsidR="003D3694" w:rsidRPr="00747E35" w:rsidRDefault="003D3694" w:rsidP="003D3694">
      <w:pPr>
        <w:keepNext/>
        <w:keepLines/>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484158DE" wp14:editId="64A860E0">
            <wp:extent cx="5724525" cy="3911913"/>
            <wp:effectExtent l="0" t="0" r="0" b="0"/>
            <wp:docPr id="7181" name="Picture 718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1" cstate="email">
                      <a:extLst>
                        <a:ext uri="{28A0092B-C50C-407E-A947-70E740481C1C}">
                          <a14:useLocalDpi xmlns:a14="http://schemas.microsoft.com/office/drawing/2010/main"/>
                        </a:ext>
                      </a:extLst>
                    </a:blip>
                    <a:srcRect/>
                    <a:stretch/>
                  </pic:blipFill>
                  <pic:spPr bwMode="auto">
                    <a:xfrm>
                      <a:off x="0" y="0"/>
                      <a:ext cx="5728091" cy="3914350"/>
                    </a:xfrm>
                    <a:prstGeom prst="rect">
                      <a:avLst/>
                    </a:prstGeom>
                    <a:noFill/>
                    <a:ln>
                      <a:noFill/>
                    </a:ln>
                    <a:extLst>
                      <a:ext uri="{53640926-AAD7-44D8-BBD7-CCE9431645EC}">
                        <a14:shadowObscured xmlns:a14="http://schemas.microsoft.com/office/drawing/2010/main"/>
                      </a:ext>
                    </a:extLst>
                  </pic:spPr>
                </pic:pic>
              </a:graphicData>
            </a:graphic>
          </wp:inline>
        </w:drawing>
      </w:r>
    </w:p>
    <w:p w14:paraId="5C025A1F" w14:textId="77777777" w:rsidR="003D3694" w:rsidRPr="00747E35" w:rsidRDefault="003D3694" w:rsidP="00566456">
      <w:pPr>
        <w:pStyle w:val="Caption"/>
        <w:numPr>
          <w:ilvl w:val="0"/>
          <w:numId w:val="0"/>
        </w:numPr>
        <w:rPr>
          <w:rFonts w:cstheme="minorHAnsi"/>
          <w:lang w:eastAsia="en-AU"/>
        </w:rPr>
      </w:pPr>
      <w:bookmarkStart w:id="347" w:name="_Ref453230977"/>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130</w:t>
      </w:r>
      <w:r w:rsidR="009D6600" w:rsidRPr="00747E35">
        <w:rPr>
          <w:rFonts w:cstheme="minorHAnsi"/>
          <w:noProof/>
        </w:rPr>
        <w:fldChar w:fldCharType="end"/>
      </w:r>
      <w:bookmarkEnd w:id="347"/>
      <w:r w:rsidRPr="00747E35">
        <w:rPr>
          <w:rFonts w:cstheme="minorHAnsi"/>
        </w:rPr>
        <w:t>:</w:t>
      </w:r>
      <w:r w:rsidRPr="00747E35">
        <w:rPr>
          <w:rFonts w:cstheme="minorHAnsi"/>
          <w:lang w:eastAsia="en-AU"/>
        </w:rPr>
        <w:t xml:space="preserve"> </w:t>
      </w:r>
      <w:r w:rsidRPr="00747E35">
        <w:rPr>
          <w:rFonts w:cstheme="minorHAnsi"/>
        </w:rPr>
        <w:t>Maules Creek perennial losing section study sites Pool 38 - Riffle 11 – Pool 39 from July 2015 to February 2016, showing the cessation of riffle flow and gradual drying and contraction of pool 38.</w:t>
      </w:r>
    </w:p>
    <w:p w14:paraId="614849C0" w14:textId="77777777" w:rsidR="003D3694" w:rsidRPr="00747E35" w:rsidRDefault="003D3694" w:rsidP="003D3694">
      <w:pPr>
        <w:rPr>
          <w:rFonts w:asciiTheme="minorHAnsi" w:hAnsiTheme="minorHAnsi" w:cstheme="minorHAnsi"/>
        </w:rPr>
      </w:pPr>
    </w:p>
    <w:p w14:paraId="2D423992" w14:textId="770C9651" w:rsidR="003D3694" w:rsidRPr="00747E35" w:rsidRDefault="003D3694" w:rsidP="00566456">
      <w:pPr>
        <w:pStyle w:val="Caption"/>
        <w:numPr>
          <w:ilvl w:val="0"/>
          <w:numId w:val="0"/>
        </w:numPr>
        <w:rPr>
          <w:rFonts w:cstheme="minorHAnsi"/>
          <w:lang w:eastAsia="en-AU"/>
        </w:rPr>
      </w:pPr>
      <w:bookmarkStart w:id="348" w:name="_Ref466447131"/>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30</w:t>
      </w:r>
      <w:r w:rsidR="009D6600" w:rsidRPr="00747E35">
        <w:rPr>
          <w:rFonts w:cstheme="minorHAnsi"/>
          <w:noProof/>
        </w:rPr>
        <w:fldChar w:fldCharType="end"/>
      </w:r>
      <w:bookmarkEnd w:id="348"/>
      <w:r w:rsidRPr="00747E35">
        <w:rPr>
          <w:rFonts w:cstheme="minorHAnsi"/>
        </w:rPr>
        <w:t>:</w:t>
      </w:r>
      <w:r w:rsidR="006F3A28">
        <w:rPr>
          <w:rFonts w:cstheme="minorHAnsi"/>
        </w:rPr>
        <w:t xml:space="preserve"> </w:t>
      </w:r>
      <w:r w:rsidRPr="00747E35">
        <w:rPr>
          <w:rFonts w:cstheme="minorHAnsi"/>
          <w:lang w:eastAsia="en-AU"/>
        </w:rPr>
        <w:t xml:space="preserve">Maules Creek (perennial losing section) supporting table for </w:t>
      </w:r>
      <w:r w:rsidRPr="00747E35">
        <w:rPr>
          <w:rFonts w:cstheme="minorHAnsi"/>
          <w:highlight w:val="yellow"/>
          <w:lang w:eastAsia="en-AU"/>
        </w:rPr>
        <w:fldChar w:fldCharType="begin"/>
      </w:r>
      <w:r w:rsidRPr="00747E35">
        <w:rPr>
          <w:rFonts w:cstheme="minorHAnsi"/>
          <w:lang w:eastAsia="en-AU"/>
        </w:rPr>
        <w:instrText xml:space="preserve"> REF _Ref453230977 \h </w:instrText>
      </w:r>
      <w:r w:rsidR="00925BFC" w:rsidRPr="00747E35">
        <w:rPr>
          <w:rFonts w:cstheme="minorHAnsi"/>
          <w:highlight w:val="yellow"/>
          <w:lang w:eastAsia="en-AU"/>
        </w:rPr>
        <w:instrText xml:space="preserve"> \* MERGEFORMAT </w:instrText>
      </w:r>
      <w:r w:rsidRPr="00747E35">
        <w:rPr>
          <w:rFonts w:cstheme="minorHAnsi"/>
          <w:highlight w:val="yellow"/>
          <w:lang w:eastAsia="en-AU"/>
        </w:rPr>
      </w:r>
      <w:r w:rsidRPr="00747E35">
        <w:rPr>
          <w:rFonts w:cstheme="minorHAnsi"/>
          <w:highlight w:val="yellow"/>
          <w:lang w:eastAsia="en-AU"/>
        </w:rPr>
        <w:fldChar w:fldCharType="separate"/>
      </w:r>
      <w:r w:rsidR="00D023DD" w:rsidRPr="00747E35">
        <w:rPr>
          <w:rFonts w:cstheme="minorHAnsi"/>
        </w:rPr>
        <w:t xml:space="preserve">Figure </w:t>
      </w:r>
      <w:r w:rsidR="00D023DD">
        <w:rPr>
          <w:rFonts w:cstheme="minorHAnsi"/>
          <w:noProof/>
        </w:rPr>
        <w:t>130</w:t>
      </w:r>
      <w:r w:rsidRPr="00747E35">
        <w:rPr>
          <w:rFonts w:cstheme="minorHAnsi"/>
          <w:highlight w:val="yellow"/>
          <w:lang w:eastAsia="en-AU"/>
        </w:rPr>
        <w:fldChar w:fldCharType="end"/>
      </w:r>
      <w:r w:rsidRPr="00747E35">
        <w:rPr>
          <w:rFonts w:cstheme="minorHAnsi"/>
          <w:lang w:eastAsia="en-AU"/>
        </w:rPr>
        <w:t xml:space="preserve"> ecohydrological conditions, changes and responses observed/measured during the study period in this section of creek with perennial losing flow regime, July 2015 to June 2016. </w:t>
      </w:r>
    </w:p>
    <w:tbl>
      <w:tblPr>
        <w:tblStyle w:val="TableGrid"/>
        <w:tblW w:w="0" w:type="auto"/>
        <w:tblLook w:val="04A0" w:firstRow="1" w:lastRow="0" w:firstColumn="1" w:lastColumn="0" w:noHBand="0" w:noVBand="1"/>
      </w:tblPr>
      <w:tblGrid>
        <w:gridCol w:w="1505"/>
        <w:gridCol w:w="1605"/>
        <w:gridCol w:w="1751"/>
        <w:gridCol w:w="1591"/>
        <w:gridCol w:w="1597"/>
        <w:gridCol w:w="1579"/>
      </w:tblGrid>
      <w:tr w:rsidR="003D3694" w:rsidRPr="00747E35" w14:paraId="372A5A90" w14:textId="77777777" w:rsidTr="00BB5645">
        <w:trPr>
          <w:tblHeader/>
        </w:trPr>
        <w:tc>
          <w:tcPr>
            <w:tcW w:w="1576" w:type="dxa"/>
            <w:shd w:val="clear" w:color="auto" w:fill="DEEAF6" w:themeFill="accent1" w:themeFillTint="33"/>
          </w:tcPr>
          <w:p w14:paraId="60A76250"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Time stage</w:t>
            </w:r>
          </w:p>
        </w:tc>
        <w:tc>
          <w:tcPr>
            <w:tcW w:w="1637" w:type="dxa"/>
            <w:shd w:val="clear" w:color="auto" w:fill="DEEAF6" w:themeFill="accent1" w:themeFillTint="33"/>
          </w:tcPr>
          <w:p w14:paraId="107393D2"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Hydrological state or change</w:t>
            </w:r>
          </w:p>
        </w:tc>
        <w:tc>
          <w:tcPr>
            <w:tcW w:w="1771" w:type="dxa"/>
            <w:shd w:val="clear" w:color="auto" w:fill="DEEAF6" w:themeFill="accent1" w:themeFillTint="33"/>
          </w:tcPr>
          <w:p w14:paraId="3CFAA353"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Hydrochemistry response</w:t>
            </w:r>
          </w:p>
        </w:tc>
        <w:tc>
          <w:tcPr>
            <w:tcW w:w="1624" w:type="dxa"/>
            <w:shd w:val="clear" w:color="auto" w:fill="DEEAF6" w:themeFill="accent1" w:themeFillTint="33"/>
          </w:tcPr>
          <w:p w14:paraId="76587E4A"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OM microbial degradation response</w:t>
            </w:r>
          </w:p>
        </w:tc>
        <w:tc>
          <w:tcPr>
            <w:tcW w:w="1628" w:type="dxa"/>
            <w:shd w:val="clear" w:color="auto" w:fill="DEEAF6" w:themeFill="accent1" w:themeFillTint="33"/>
          </w:tcPr>
          <w:p w14:paraId="3BF1E69A"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Hyporheic invertebrate response</w:t>
            </w:r>
          </w:p>
        </w:tc>
        <w:tc>
          <w:tcPr>
            <w:tcW w:w="1618" w:type="dxa"/>
            <w:shd w:val="clear" w:color="auto" w:fill="DEEAF6" w:themeFill="accent1" w:themeFillTint="33"/>
          </w:tcPr>
          <w:p w14:paraId="4A287664"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Comments /</w:t>
            </w:r>
          </w:p>
          <w:p w14:paraId="0D52A902" w14:textId="77777777" w:rsidR="003D3694" w:rsidRPr="00747E35" w:rsidRDefault="003D3694" w:rsidP="0096743A">
            <w:pPr>
              <w:pStyle w:val="TableHead"/>
              <w:spacing w:before="0" w:after="0"/>
              <w:rPr>
                <w:rFonts w:asciiTheme="minorHAnsi" w:hAnsiTheme="minorHAnsi" w:cstheme="minorHAnsi"/>
                <w:b w:val="0"/>
              </w:rPr>
            </w:pPr>
            <w:r w:rsidRPr="00747E35">
              <w:rPr>
                <w:rFonts w:asciiTheme="minorHAnsi" w:hAnsiTheme="minorHAnsi" w:cstheme="minorHAnsi"/>
                <w:b w:val="0"/>
              </w:rPr>
              <w:t>Integration</w:t>
            </w:r>
          </w:p>
        </w:tc>
      </w:tr>
      <w:tr w:rsidR="003D3694" w:rsidRPr="00747E35" w14:paraId="479472F6" w14:textId="77777777" w:rsidTr="0096743A">
        <w:tc>
          <w:tcPr>
            <w:tcW w:w="1576" w:type="dxa"/>
          </w:tcPr>
          <w:p w14:paraId="6EE11FED" w14:textId="77777777" w:rsidR="003D3694" w:rsidRPr="00747E35" w:rsidRDefault="003D3694" w:rsidP="0096743A">
            <w:pPr>
              <w:pStyle w:val="Tabletext"/>
              <w:keepNext/>
              <w:keepLines/>
              <w:spacing w:before="0" w:after="0"/>
              <w:rPr>
                <w:rFonts w:cstheme="minorHAnsi"/>
                <w:lang w:eastAsia="en-AU"/>
              </w:rPr>
            </w:pPr>
            <w:r w:rsidRPr="00747E35">
              <w:rPr>
                <w:rFonts w:cstheme="minorHAnsi"/>
                <w:lang w:eastAsia="en-AU"/>
              </w:rPr>
              <w:t>1. July 2015</w:t>
            </w:r>
          </w:p>
        </w:tc>
        <w:tc>
          <w:tcPr>
            <w:tcW w:w="1637" w:type="dxa"/>
          </w:tcPr>
          <w:p w14:paraId="4D92AA3A" w14:textId="77777777" w:rsidR="003D3694" w:rsidRPr="00747E35" w:rsidRDefault="003D3694" w:rsidP="0096743A">
            <w:pPr>
              <w:pStyle w:val="Tabletext"/>
              <w:keepNext/>
              <w:keepLines/>
              <w:spacing w:before="0" w:after="0"/>
              <w:rPr>
                <w:rFonts w:cstheme="minorHAnsi"/>
                <w:lang w:eastAsia="en-AU"/>
              </w:rPr>
            </w:pPr>
            <w:r w:rsidRPr="00747E35">
              <w:rPr>
                <w:rFonts w:cstheme="minorHAnsi"/>
                <w:lang w:eastAsia="en-AU"/>
              </w:rPr>
              <w:t xml:space="preserve">Creek losing, surface flow continuous, riffles and pools, hyporheic zone saturated and HEF paths short steep gradients, aquifer receding. </w:t>
            </w:r>
          </w:p>
        </w:tc>
        <w:tc>
          <w:tcPr>
            <w:tcW w:w="1771" w:type="dxa"/>
          </w:tcPr>
          <w:p w14:paraId="0E9958E7" w14:textId="77777777" w:rsidR="003D3694" w:rsidRPr="00747E35" w:rsidRDefault="003D3694" w:rsidP="0096743A">
            <w:pPr>
              <w:pStyle w:val="Tabletext"/>
              <w:keepNext/>
              <w:keepLines/>
              <w:spacing w:before="0" w:after="0"/>
              <w:rPr>
                <w:rFonts w:cstheme="minorHAnsi"/>
                <w:lang w:eastAsia="en-AU"/>
              </w:rPr>
            </w:pPr>
            <w:r w:rsidRPr="00747E35">
              <w:rPr>
                <w:rFonts w:cstheme="minorHAnsi"/>
                <w:lang w:eastAsia="en-AU"/>
              </w:rPr>
              <w:t>Reduced conditions</w:t>
            </w:r>
          </w:p>
        </w:tc>
        <w:tc>
          <w:tcPr>
            <w:tcW w:w="1624" w:type="dxa"/>
          </w:tcPr>
          <w:p w14:paraId="2BF443A0" w14:textId="77777777" w:rsidR="003D3694" w:rsidRPr="00747E35" w:rsidRDefault="003D3694" w:rsidP="0096743A">
            <w:pPr>
              <w:pStyle w:val="Tabletext"/>
              <w:keepNext/>
              <w:keepLines/>
              <w:spacing w:before="0" w:after="0"/>
              <w:rPr>
                <w:rFonts w:cstheme="minorHAnsi"/>
                <w:lang w:eastAsia="en-AU"/>
              </w:rPr>
            </w:pPr>
          </w:p>
        </w:tc>
        <w:tc>
          <w:tcPr>
            <w:tcW w:w="1628" w:type="dxa"/>
          </w:tcPr>
          <w:p w14:paraId="54D32352" w14:textId="77777777" w:rsidR="003D3694" w:rsidRPr="00747E35" w:rsidRDefault="003D3694" w:rsidP="0096743A">
            <w:pPr>
              <w:pStyle w:val="Tabletext"/>
              <w:keepNext/>
              <w:keepLines/>
              <w:spacing w:before="0" w:after="0"/>
              <w:rPr>
                <w:rFonts w:cstheme="minorHAnsi"/>
                <w:lang w:eastAsia="en-AU"/>
              </w:rPr>
            </w:pPr>
            <w:r w:rsidRPr="00747E35">
              <w:rPr>
                <w:rFonts w:cstheme="minorHAnsi"/>
                <w:lang w:eastAsia="en-AU"/>
              </w:rPr>
              <w:t>Moderate richness, low abundance, stygobite functional group not detected.</w:t>
            </w:r>
          </w:p>
        </w:tc>
        <w:tc>
          <w:tcPr>
            <w:tcW w:w="1618" w:type="dxa"/>
          </w:tcPr>
          <w:p w14:paraId="42FEE498" w14:textId="77777777" w:rsidR="003D3694" w:rsidRPr="00747E35" w:rsidRDefault="003D3694" w:rsidP="0096743A">
            <w:pPr>
              <w:pStyle w:val="Tabletext"/>
              <w:keepNext/>
              <w:keepLines/>
              <w:spacing w:before="0" w:after="0"/>
              <w:rPr>
                <w:rFonts w:cstheme="minorHAnsi"/>
                <w:lang w:eastAsia="en-AU"/>
              </w:rPr>
            </w:pPr>
          </w:p>
        </w:tc>
      </w:tr>
      <w:tr w:rsidR="003D3694" w:rsidRPr="00747E35" w14:paraId="04F707B1" w14:textId="77777777" w:rsidTr="0096743A">
        <w:tc>
          <w:tcPr>
            <w:tcW w:w="1576" w:type="dxa"/>
          </w:tcPr>
          <w:p w14:paraId="250B15BF" w14:textId="77777777" w:rsidR="003D3694" w:rsidRPr="00747E35" w:rsidRDefault="003D3694" w:rsidP="0096743A">
            <w:pPr>
              <w:pStyle w:val="Tabletext"/>
              <w:keepNext/>
              <w:keepLines/>
              <w:spacing w:before="0" w:after="0"/>
              <w:rPr>
                <w:rFonts w:cstheme="minorHAnsi"/>
                <w:lang w:eastAsia="en-AU"/>
              </w:rPr>
            </w:pPr>
            <w:r w:rsidRPr="00747E35">
              <w:rPr>
                <w:rFonts w:cstheme="minorHAnsi"/>
                <w:lang w:eastAsia="en-AU"/>
              </w:rPr>
              <w:t>2. Sept – Oct 2015</w:t>
            </w:r>
          </w:p>
        </w:tc>
        <w:tc>
          <w:tcPr>
            <w:tcW w:w="1637" w:type="dxa"/>
          </w:tcPr>
          <w:p w14:paraId="354DF3B7" w14:textId="77777777" w:rsidR="003D3694" w:rsidRPr="00747E35" w:rsidRDefault="003D3694" w:rsidP="0096743A">
            <w:pPr>
              <w:pStyle w:val="Tabletext"/>
              <w:keepNext/>
              <w:keepLines/>
              <w:spacing w:before="0" w:after="0"/>
              <w:rPr>
                <w:rFonts w:cstheme="minorHAnsi"/>
                <w:lang w:eastAsia="en-AU"/>
              </w:rPr>
            </w:pPr>
            <w:r w:rsidRPr="00747E35">
              <w:rPr>
                <w:rFonts w:cstheme="minorHAnsi"/>
                <w:lang w:eastAsia="en-AU"/>
              </w:rPr>
              <w:t>Creek losing, surface flow ceased, riffles dry, pools full, HEF paths less vigorous, aquifer watertable receding.</w:t>
            </w:r>
          </w:p>
        </w:tc>
        <w:tc>
          <w:tcPr>
            <w:tcW w:w="1771" w:type="dxa"/>
          </w:tcPr>
          <w:p w14:paraId="0A8B7738" w14:textId="77777777" w:rsidR="003D3694" w:rsidRPr="00747E35" w:rsidRDefault="003D3694" w:rsidP="0096743A">
            <w:pPr>
              <w:pStyle w:val="Tabletext"/>
              <w:keepNext/>
              <w:keepLines/>
              <w:spacing w:before="0" w:after="0"/>
              <w:rPr>
                <w:rFonts w:cstheme="minorHAnsi"/>
                <w:lang w:eastAsia="en-AU"/>
              </w:rPr>
            </w:pPr>
            <w:r w:rsidRPr="00747E35">
              <w:rPr>
                <w:rFonts w:cstheme="minorHAnsi"/>
                <w:lang w:eastAsia="en-AU"/>
              </w:rPr>
              <w:t>Shift towards suboxic conditions.</w:t>
            </w:r>
          </w:p>
          <w:p w14:paraId="23695A9D" w14:textId="77777777" w:rsidR="003D3694" w:rsidRPr="00747E35" w:rsidRDefault="003D3694" w:rsidP="0096743A">
            <w:pPr>
              <w:pStyle w:val="Tabletext"/>
              <w:keepNext/>
              <w:keepLines/>
              <w:spacing w:before="0" w:after="0"/>
              <w:rPr>
                <w:rFonts w:cstheme="minorHAnsi"/>
                <w:lang w:eastAsia="en-AU"/>
              </w:rPr>
            </w:pPr>
            <w:r w:rsidRPr="00747E35">
              <w:rPr>
                <w:rFonts w:cstheme="minorHAnsi"/>
                <w:lang w:eastAsia="en-AU"/>
              </w:rPr>
              <w:t>Increased DOC</w:t>
            </w:r>
          </w:p>
        </w:tc>
        <w:tc>
          <w:tcPr>
            <w:tcW w:w="1624" w:type="dxa"/>
          </w:tcPr>
          <w:p w14:paraId="1BC60683" w14:textId="77777777" w:rsidR="003D3694" w:rsidRPr="00747E35" w:rsidRDefault="003D3694" w:rsidP="0096743A">
            <w:pPr>
              <w:pStyle w:val="Tabletext"/>
              <w:keepNext/>
              <w:keepLines/>
              <w:spacing w:before="0" w:after="0"/>
              <w:rPr>
                <w:rFonts w:cstheme="minorHAnsi"/>
                <w:lang w:eastAsia="en-AU"/>
              </w:rPr>
            </w:pPr>
            <w:r w:rsidRPr="00747E35">
              <w:rPr>
                <w:rFonts w:cstheme="minorHAnsi"/>
                <w:lang w:eastAsia="en-AU"/>
              </w:rPr>
              <w:t>Surface rates 0.0562 /day</w:t>
            </w:r>
          </w:p>
          <w:p w14:paraId="16F4A263" w14:textId="77777777" w:rsidR="003D3694" w:rsidRPr="00747E35" w:rsidRDefault="003D3694" w:rsidP="0096743A">
            <w:pPr>
              <w:pStyle w:val="Tabletext"/>
              <w:keepNext/>
              <w:keepLines/>
              <w:spacing w:before="0" w:after="0"/>
              <w:rPr>
                <w:rFonts w:cstheme="minorHAnsi"/>
                <w:lang w:eastAsia="en-AU"/>
              </w:rPr>
            </w:pPr>
            <w:r w:rsidRPr="00747E35">
              <w:rPr>
                <w:rFonts w:cstheme="minorHAnsi"/>
                <w:lang w:eastAsia="en-AU"/>
              </w:rPr>
              <w:t>Subsurface rates 0.0580 / day</w:t>
            </w:r>
          </w:p>
        </w:tc>
        <w:tc>
          <w:tcPr>
            <w:tcW w:w="1628" w:type="dxa"/>
          </w:tcPr>
          <w:p w14:paraId="42067ECA" w14:textId="77777777" w:rsidR="003D3694" w:rsidRPr="00747E35" w:rsidRDefault="003D3694" w:rsidP="0096743A">
            <w:pPr>
              <w:pStyle w:val="Tabletext"/>
              <w:keepNext/>
              <w:keepLines/>
              <w:spacing w:before="0" w:after="0"/>
              <w:rPr>
                <w:rFonts w:cstheme="minorHAnsi"/>
                <w:lang w:eastAsia="en-AU"/>
              </w:rPr>
            </w:pPr>
            <w:r w:rsidRPr="00747E35">
              <w:rPr>
                <w:rFonts w:cstheme="minorHAnsi"/>
                <w:lang w:eastAsia="en-AU"/>
              </w:rPr>
              <w:t>Moderate richness, low abundance, stygobite functional group not detected.</w:t>
            </w:r>
          </w:p>
        </w:tc>
        <w:tc>
          <w:tcPr>
            <w:tcW w:w="1618" w:type="dxa"/>
          </w:tcPr>
          <w:p w14:paraId="0E3AE886" w14:textId="77777777" w:rsidR="003D3694" w:rsidRPr="00747E35" w:rsidRDefault="003D3694" w:rsidP="0096743A">
            <w:pPr>
              <w:pStyle w:val="Tabletext"/>
              <w:keepNext/>
              <w:keepLines/>
              <w:spacing w:before="0" w:after="0"/>
              <w:rPr>
                <w:rFonts w:cstheme="minorHAnsi"/>
                <w:lang w:eastAsia="en-AU"/>
              </w:rPr>
            </w:pPr>
          </w:p>
        </w:tc>
      </w:tr>
      <w:tr w:rsidR="003D3694" w:rsidRPr="00747E35" w14:paraId="4F45A4A3" w14:textId="77777777" w:rsidTr="0096743A">
        <w:tc>
          <w:tcPr>
            <w:tcW w:w="1576" w:type="dxa"/>
          </w:tcPr>
          <w:p w14:paraId="13EECED2" w14:textId="77777777" w:rsidR="003D3694" w:rsidRPr="00747E35" w:rsidRDefault="003D3694" w:rsidP="0096743A">
            <w:pPr>
              <w:pStyle w:val="Tabletext"/>
              <w:keepNext/>
              <w:keepLines/>
              <w:spacing w:before="0" w:after="0"/>
              <w:rPr>
                <w:rFonts w:cstheme="minorHAnsi"/>
                <w:lang w:eastAsia="en-AU"/>
              </w:rPr>
            </w:pPr>
            <w:r w:rsidRPr="00747E35">
              <w:rPr>
                <w:rFonts w:cstheme="minorHAnsi"/>
                <w:lang w:eastAsia="en-AU"/>
              </w:rPr>
              <w:t>3. Feb – Apr 2016</w:t>
            </w:r>
          </w:p>
        </w:tc>
        <w:tc>
          <w:tcPr>
            <w:tcW w:w="1637" w:type="dxa"/>
          </w:tcPr>
          <w:p w14:paraId="4B8106A2" w14:textId="77777777" w:rsidR="003D3694" w:rsidRPr="00747E35" w:rsidRDefault="003D3694" w:rsidP="0096743A">
            <w:pPr>
              <w:pStyle w:val="Tabletext"/>
              <w:keepNext/>
              <w:keepLines/>
              <w:spacing w:before="0" w:after="0"/>
              <w:rPr>
                <w:rFonts w:cstheme="minorHAnsi"/>
                <w:lang w:eastAsia="en-AU"/>
              </w:rPr>
            </w:pPr>
            <w:r w:rsidRPr="00747E35">
              <w:rPr>
                <w:rFonts w:cstheme="minorHAnsi"/>
                <w:lang w:eastAsia="en-AU"/>
              </w:rPr>
              <w:t>Creek losing, surface water expression highly contracted to remnant pools, HEF path length greatly increased along low gradient, watertable receding.</w:t>
            </w:r>
          </w:p>
        </w:tc>
        <w:tc>
          <w:tcPr>
            <w:tcW w:w="1771" w:type="dxa"/>
          </w:tcPr>
          <w:p w14:paraId="2FE86578" w14:textId="77777777" w:rsidR="003D3694" w:rsidRPr="00747E35" w:rsidRDefault="003D3694" w:rsidP="0096743A">
            <w:pPr>
              <w:pStyle w:val="Tabletext"/>
              <w:keepNext/>
              <w:keepLines/>
              <w:spacing w:before="0" w:after="0"/>
              <w:rPr>
                <w:rFonts w:cstheme="minorHAnsi"/>
                <w:lang w:eastAsia="en-AU"/>
              </w:rPr>
            </w:pPr>
            <w:r w:rsidRPr="00747E35">
              <w:rPr>
                <w:rFonts w:cstheme="minorHAnsi"/>
                <w:lang w:eastAsia="en-AU"/>
              </w:rPr>
              <w:t>Shift towards very reduced conditions (iron reduction).</w:t>
            </w:r>
          </w:p>
          <w:p w14:paraId="018986A9" w14:textId="77777777" w:rsidR="003D3694" w:rsidRPr="00747E35" w:rsidRDefault="003D3694" w:rsidP="0096743A">
            <w:pPr>
              <w:pStyle w:val="Tabletext"/>
              <w:keepNext/>
              <w:keepLines/>
              <w:spacing w:before="0" w:after="0"/>
              <w:rPr>
                <w:rFonts w:cstheme="minorHAnsi"/>
                <w:lang w:eastAsia="en-AU"/>
              </w:rPr>
            </w:pPr>
            <w:r w:rsidRPr="00747E35">
              <w:rPr>
                <w:rFonts w:cstheme="minorHAnsi"/>
                <w:lang w:eastAsia="en-AU"/>
              </w:rPr>
              <w:t>Increased DOC</w:t>
            </w:r>
          </w:p>
        </w:tc>
        <w:tc>
          <w:tcPr>
            <w:tcW w:w="1624" w:type="dxa"/>
          </w:tcPr>
          <w:p w14:paraId="13FFC19C" w14:textId="77777777" w:rsidR="003D3694" w:rsidRPr="00747E35" w:rsidRDefault="003D3694" w:rsidP="0096743A">
            <w:pPr>
              <w:pStyle w:val="Tabletext"/>
              <w:keepNext/>
              <w:keepLines/>
              <w:spacing w:before="0" w:after="0"/>
              <w:rPr>
                <w:rFonts w:cstheme="minorHAnsi"/>
                <w:lang w:eastAsia="en-AU"/>
              </w:rPr>
            </w:pPr>
            <w:r w:rsidRPr="00747E35">
              <w:rPr>
                <w:rFonts w:cstheme="minorHAnsi"/>
                <w:lang w:eastAsia="en-AU"/>
              </w:rPr>
              <w:t>Surface rates 0.0372 / day</w:t>
            </w:r>
          </w:p>
          <w:p w14:paraId="55B34AB3" w14:textId="77777777" w:rsidR="003D3694" w:rsidRPr="00747E35" w:rsidRDefault="003D3694" w:rsidP="0096743A">
            <w:pPr>
              <w:pStyle w:val="Tabletext"/>
              <w:keepNext/>
              <w:keepLines/>
              <w:spacing w:before="0" w:after="0"/>
              <w:rPr>
                <w:rFonts w:cstheme="minorHAnsi"/>
                <w:lang w:eastAsia="en-AU"/>
              </w:rPr>
            </w:pPr>
            <w:r w:rsidRPr="00747E35">
              <w:rPr>
                <w:rFonts w:cstheme="minorHAnsi"/>
                <w:lang w:eastAsia="en-AU"/>
              </w:rPr>
              <w:t>Subsurface rates 0.0520 / day</w:t>
            </w:r>
          </w:p>
        </w:tc>
        <w:tc>
          <w:tcPr>
            <w:tcW w:w="1628" w:type="dxa"/>
          </w:tcPr>
          <w:p w14:paraId="5A458FE0" w14:textId="77777777" w:rsidR="003D3694" w:rsidRPr="00747E35" w:rsidRDefault="003D3694" w:rsidP="0096743A">
            <w:pPr>
              <w:pStyle w:val="Tabletext"/>
              <w:keepNext/>
              <w:keepLines/>
              <w:spacing w:before="0" w:after="0"/>
              <w:rPr>
                <w:rFonts w:cstheme="minorHAnsi"/>
                <w:lang w:eastAsia="en-AU"/>
              </w:rPr>
            </w:pPr>
            <w:r w:rsidRPr="00747E35">
              <w:rPr>
                <w:rFonts w:cstheme="minorHAnsi"/>
                <w:lang w:eastAsia="en-AU"/>
              </w:rPr>
              <w:t>Moderate richness, low abundance, stygobite functional group not detected.</w:t>
            </w:r>
          </w:p>
        </w:tc>
        <w:tc>
          <w:tcPr>
            <w:tcW w:w="1618" w:type="dxa"/>
          </w:tcPr>
          <w:p w14:paraId="39AD7A9D" w14:textId="77777777" w:rsidR="003D3694" w:rsidRPr="00747E35" w:rsidRDefault="003D3694" w:rsidP="0096743A">
            <w:pPr>
              <w:pStyle w:val="Tabletext"/>
              <w:keepNext/>
              <w:keepLines/>
              <w:spacing w:before="0" w:after="0"/>
              <w:rPr>
                <w:rFonts w:cstheme="minorHAnsi"/>
                <w:lang w:eastAsia="en-AU"/>
              </w:rPr>
            </w:pPr>
          </w:p>
        </w:tc>
      </w:tr>
    </w:tbl>
    <w:p w14:paraId="3DC9E59F" w14:textId="77777777" w:rsidR="003D3694" w:rsidRPr="00747E35" w:rsidRDefault="003D3694" w:rsidP="003D3694">
      <w:pPr>
        <w:rPr>
          <w:rFonts w:asciiTheme="minorHAnsi" w:hAnsiTheme="minorHAnsi" w:cstheme="minorHAnsi"/>
        </w:rPr>
      </w:pPr>
    </w:p>
    <w:p w14:paraId="057AC787" w14:textId="4E8C6C3D"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 xml:space="preserve">At the beginning of the study in February 2015 this section had continuous surface flow characterised by long pools interspersed by short riffles (Appendix 3: Figure 134). Due to low rainfall and little surface recharge from upstream, the section had a gradual decline in flow and receding water levels over the following twelve months, initially with the cessation of riffle flow followed by </w:t>
      </w:r>
      <w:r w:rsidRPr="00747E35">
        <w:rPr>
          <w:rFonts w:asciiTheme="minorHAnsi" w:hAnsiTheme="minorHAnsi" w:cstheme="minorHAnsi"/>
        </w:rPr>
        <w:t xml:space="preserve">contraction and drying of the pools </w:t>
      </w:r>
      <w:r w:rsidRPr="00747E35">
        <w:rPr>
          <w:rFonts w:asciiTheme="minorHAnsi" w:hAnsiTheme="minorHAnsi" w:cstheme="minorHAnsi"/>
          <w:lang w:eastAsia="en-AU"/>
        </w:rPr>
        <w:t>(</w:t>
      </w:r>
      <w:r w:rsidRPr="00747E35">
        <w:rPr>
          <w:rFonts w:asciiTheme="minorHAnsi" w:hAnsiTheme="minorHAnsi" w:cstheme="minorHAnsi"/>
          <w:highlight w:val="yellow"/>
          <w:lang w:eastAsia="en-AU"/>
        </w:rPr>
        <w:fldChar w:fldCharType="begin"/>
      </w:r>
      <w:r w:rsidRPr="00747E35">
        <w:rPr>
          <w:rFonts w:asciiTheme="minorHAnsi" w:hAnsiTheme="minorHAnsi" w:cstheme="minorHAnsi"/>
          <w:lang w:eastAsia="en-AU"/>
        </w:rPr>
        <w:instrText xml:space="preserve"> REF _Ref453230956 \h </w:instrText>
      </w:r>
      <w:r w:rsidR="00925BFC" w:rsidRPr="00747E35">
        <w:rPr>
          <w:rFonts w:asciiTheme="minorHAnsi" w:hAnsiTheme="minorHAnsi" w:cstheme="minorHAnsi"/>
          <w:highlight w:val="yellow"/>
          <w:lang w:eastAsia="en-AU"/>
        </w:rPr>
        <w:instrText xml:space="preserve"> \* MERGEFORMAT </w:instrText>
      </w:r>
      <w:r w:rsidRPr="00747E35">
        <w:rPr>
          <w:rFonts w:asciiTheme="minorHAnsi" w:hAnsiTheme="minorHAnsi" w:cstheme="minorHAnsi"/>
          <w:highlight w:val="yellow"/>
          <w:lang w:eastAsia="en-AU"/>
        </w:rPr>
      </w:r>
      <w:r w:rsidRPr="00747E35">
        <w:rPr>
          <w:rFonts w:asciiTheme="minorHAnsi" w:hAnsiTheme="minorHAnsi" w:cstheme="minorHAnsi"/>
          <w:highlight w:val="yellow"/>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164</w:t>
      </w:r>
      <w:r w:rsidRPr="00747E35">
        <w:rPr>
          <w:rFonts w:asciiTheme="minorHAnsi" w:hAnsiTheme="minorHAnsi" w:cstheme="minorHAnsi"/>
          <w:highlight w:val="yellow"/>
          <w:lang w:eastAsia="en-AU"/>
        </w:rPr>
        <w:fldChar w:fldCharType="end"/>
      </w:r>
      <w:r w:rsidRPr="00747E35">
        <w:rPr>
          <w:rFonts w:asciiTheme="minorHAnsi" w:hAnsiTheme="minorHAnsi" w:cstheme="minorHAnsi"/>
          <w:lang w:eastAsia="en-AU"/>
        </w:rPr>
        <w:t xml:space="preserve">). Between July and September 2015, the creek and groundwater level declined approximately 0.25m when surface flow through riffle 11 ceased. Between September 2015 and February 2016 water levels declined a further 0.30m and the length of pools 38 and 39 had shrunk to lengths of less than 40m (approximately). </w:t>
      </w:r>
      <w:r w:rsidRPr="00747E35">
        <w:rPr>
          <w:rFonts w:asciiTheme="minorHAnsi" w:hAnsiTheme="minorHAnsi" w:cstheme="minorHAnsi"/>
        </w:rPr>
        <w:t>As the pools receded the length of the hyporheic flow path between pools 38 and 39 increased to more than 200m by February 2016. Upwelling water at the head of Pool 39 in February 2016 was hypoxic / anoxic and contained Fe</w:t>
      </w:r>
      <w:r w:rsidRPr="00747E35">
        <w:rPr>
          <w:rFonts w:asciiTheme="minorHAnsi" w:hAnsiTheme="minorHAnsi" w:cstheme="minorHAnsi"/>
          <w:vertAlign w:val="superscript"/>
        </w:rPr>
        <w:t>2+</w:t>
      </w:r>
      <w:r w:rsidRPr="00747E35">
        <w:rPr>
          <w:rFonts w:asciiTheme="minorHAnsi" w:hAnsiTheme="minorHAnsi" w:cstheme="minorHAnsi"/>
        </w:rPr>
        <w:t xml:space="preserve">, which on contact with air became rapidly oxidised producing a yellow deposit </w:t>
      </w:r>
      <w:r w:rsidRPr="00747E35">
        <w:rPr>
          <w:rFonts w:asciiTheme="minorHAnsi" w:hAnsiTheme="minorHAnsi" w:cstheme="minorHAnsi"/>
          <w:lang w:eastAsia="en-AU"/>
        </w:rPr>
        <w:t xml:space="preserve">(Appendix 3: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_Ref453231096 \h  \* MERGEFORMAT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165</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Thus over the entire twelve month period water levels declined approximately 0.55m overall and the surface expression of water in pools 38 and 39 had contracted linearly by some 70 to 80%. Hyporheic sampling was focused on riffle 11 with a length of approximately eight metres and hydraulic head difference of more than 0.75m, which connected the flow from pool 38 (approximately 125m long) to pool 39 (approximately 210m long). In February 2016, the hyporheic flow beneath riffle 11 had receded below the maximum depth of the sampling piezometers (0.9m) so sampling was undertaken a short distance upstream in the dry bed of pool 38 (Appendix 3: </w:t>
      </w:r>
      <w:r w:rsidRPr="00747E35">
        <w:rPr>
          <w:rFonts w:asciiTheme="minorHAnsi" w:hAnsiTheme="minorHAnsi" w:cstheme="minorHAnsi"/>
          <w:lang w:eastAsia="en-AU"/>
        </w:rPr>
        <w:fldChar w:fldCharType="begin"/>
      </w:r>
      <w:r w:rsidRPr="00747E35">
        <w:rPr>
          <w:rFonts w:asciiTheme="minorHAnsi" w:hAnsiTheme="minorHAnsi" w:cstheme="minorHAnsi"/>
          <w:lang w:eastAsia="en-AU"/>
        </w:rPr>
        <w:instrText xml:space="preserve"> REF _Ref453230956 \h  \* MERGEFORMAT </w:instrText>
      </w:r>
      <w:r w:rsidRPr="00747E35">
        <w:rPr>
          <w:rFonts w:asciiTheme="minorHAnsi" w:hAnsiTheme="minorHAnsi" w:cstheme="minorHAnsi"/>
          <w:lang w:eastAsia="en-AU"/>
        </w:rPr>
      </w:r>
      <w:r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164</w:t>
      </w:r>
      <w:r w:rsidRPr="00747E35">
        <w:rPr>
          <w:rFonts w:asciiTheme="minorHAnsi" w:hAnsiTheme="minorHAnsi" w:cstheme="minorHAnsi"/>
          <w:lang w:eastAsia="en-AU"/>
        </w:rPr>
        <w:fldChar w:fldCharType="end"/>
      </w:r>
      <w:r w:rsidRPr="00747E35">
        <w:rPr>
          <w:rFonts w:asciiTheme="minorHAnsi" w:hAnsiTheme="minorHAnsi" w:cstheme="minorHAnsi"/>
          <w:lang w:eastAsia="en-AU"/>
        </w:rPr>
        <w:t xml:space="preserve">). </w:t>
      </w:r>
    </w:p>
    <w:p w14:paraId="52453373"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 xml:space="preserve">The losing conditions in Maules Creek below Elfin Crossing may be exacerbated by groundwater abstraction for cotton irrigation which occurs further downstream. If this is the case it may have the effect of causing the groundwater drawdown to migrate in the upstream direction and cause surface water following a rainfall derived flow event in Maules Creek to drain to groundwater sooner. The ‘switch point’ from gaining to losing conditions, currently in the vicinity of Elfin Crossing, might be expected to shift either upstream or </w:t>
      </w:r>
      <w:r w:rsidRPr="00747E35">
        <w:rPr>
          <w:rFonts w:asciiTheme="minorHAnsi" w:hAnsiTheme="minorHAnsi" w:cstheme="minorHAnsi"/>
          <w:lang w:eastAsia="en-AU"/>
        </w:rPr>
        <w:lastRenderedPageBreak/>
        <w:t>downstream, or remain steady, depending on the balance of recharge to discharge as well as flow conditions in the creek.</w:t>
      </w:r>
    </w:p>
    <w:p w14:paraId="43D39F77" w14:textId="77777777" w:rsidR="003D3694" w:rsidRPr="00747E35" w:rsidRDefault="003D3694" w:rsidP="003D3694">
      <w:pPr>
        <w:rPr>
          <w:rFonts w:asciiTheme="minorHAnsi" w:hAnsiTheme="minorHAnsi" w:cstheme="minorHAnsi"/>
        </w:rPr>
      </w:pPr>
    </w:p>
    <w:p w14:paraId="28996628" w14:textId="77777777" w:rsidR="003D3694" w:rsidRPr="00747E35" w:rsidRDefault="003D3694" w:rsidP="003D3694">
      <w:pPr>
        <w:pStyle w:val="Heading2"/>
        <w:rPr>
          <w:rFonts w:asciiTheme="minorHAnsi" w:hAnsiTheme="minorHAnsi" w:cstheme="minorHAnsi"/>
        </w:rPr>
      </w:pPr>
      <w:bookmarkStart w:id="349" w:name="_Toc467211720"/>
      <w:bookmarkStart w:id="350" w:name="_Toc470004889"/>
      <w:r w:rsidRPr="00747E35">
        <w:rPr>
          <w:rFonts w:asciiTheme="minorHAnsi" w:hAnsiTheme="minorHAnsi" w:cstheme="minorHAnsi"/>
        </w:rPr>
        <w:t>Synthesis</w:t>
      </w:r>
      <w:bookmarkStart w:id="351" w:name="_Toc466449966"/>
      <w:bookmarkEnd w:id="349"/>
      <w:r w:rsidRPr="00747E35">
        <w:rPr>
          <w:rFonts w:asciiTheme="minorHAnsi" w:hAnsiTheme="minorHAnsi" w:cstheme="minorHAnsi"/>
        </w:rPr>
        <w:t xml:space="preserve"> for Component 3</w:t>
      </w:r>
      <w:bookmarkEnd w:id="350"/>
    </w:p>
    <w:p w14:paraId="1FF0E2C7" w14:textId="77777777" w:rsidR="003D3694" w:rsidRPr="00747E35" w:rsidRDefault="003D3694" w:rsidP="003D3694">
      <w:pPr>
        <w:pStyle w:val="Heading3"/>
        <w:rPr>
          <w:rFonts w:asciiTheme="minorHAnsi" w:hAnsiTheme="minorHAnsi" w:cstheme="minorHAnsi"/>
        </w:rPr>
      </w:pPr>
      <w:bookmarkStart w:id="352" w:name="_Toc467211721"/>
      <w:bookmarkStart w:id="353" w:name="_Toc470004890"/>
      <w:r w:rsidRPr="00747E35">
        <w:rPr>
          <w:rFonts w:asciiTheme="minorHAnsi" w:hAnsiTheme="minorHAnsi" w:cstheme="minorHAnsi"/>
        </w:rPr>
        <w:t>Key Findings</w:t>
      </w:r>
      <w:bookmarkEnd w:id="352"/>
      <w:bookmarkEnd w:id="353"/>
    </w:p>
    <w:p w14:paraId="7738A263"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key findings and implications for EIA integrate the individual case studies of components 2 and 3 and are generally recognised, although sometimes under-emphasised, in the published literature.   </w:t>
      </w:r>
    </w:p>
    <w:p w14:paraId="52BAB5B6" w14:textId="77777777" w:rsidR="003D3694" w:rsidRPr="00747E35" w:rsidRDefault="003D3694" w:rsidP="003D3694">
      <w:pPr>
        <w:rPr>
          <w:rFonts w:asciiTheme="minorHAnsi" w:hAnsiTheme="minorHAnsi" w:cstheme="minorHAnsi"/>
          <w:b/>
        </w:rPr>
      </w:pPr>
      <w:r w:rsidRPr="00747E35">
        <w:rPr>
          <w:rFonts w:asciiTheme="minorHAnsi" w:hAnsiTheme="minorHAnsi" w:cstheme="minorHAnsi"/>
          <w:b/>
        </w:rPr>
        <w:t>Key finding 1.</w:t>
      </w:r>
    </w:p>
    <w:p w14:paraId="5FD9E9CC" w14:textId="77777777" w:rsidR="003D3694" w:rsidRPr="00747E35" w:rsidRDefault="003D3694" w:rsidP="003D3694">
      <w:pPr>
        <w:rPr>
          <w:rFonts w:asciiTheme="minorHAnsi" w:hAnsiTheme="minorHAnsi" w:cstheme="minorHAnsi"/>
          <w:b/>
        </w:rPr>
      </w:pPr>
      <w:r w:rsidRPr="00747E35">
        <w:rPr>
          <w:rFonts w:asciiTheme="minorHAnsi" w:hAnsiTheme="minorHAnsi" w:cstheme="minorHAnsi"/>
        </w:rPr>
        <w:t>Baseflow is important. Groundwater is essential for sustaining baseflow, hydroecological processes and ecosystem structure and function in surface and subsurface (hyporheic) habitats in both intermittent and perennial streams.</w:t>
      </w:r>
    </w:p>
    <w:p w14:paraId="45EB196A" w14:textId="77777777" w:rsidR="003D3694" w:rsidRPr="00747E35" w:rsidRDefault="003D3694" w:rsidP="003D3694">
      <w:pPr>
        <w:rPr>
          <w:rFonts w:asciiTheme="minorHAnsi" w:hAnsiTheme="minorHAnsi" w:cstheme="minorHAnsi"/>
        </w:rPr>
      </w:pPr>
      <w:r w:rsidRPr="00747E35">
        <w:rPr>
          <w:rFonts w:asciiTheme="minorHAnsi" w:hAnsiTheme="minorHAnsi" w:cstheme="minorHAnsi"/>
          <w:b/>
        </w:rPr>
        <w:t xml:space="preserve">Implication for EIA. </w:t>
      </w:r>
      <w:r w:rsidRPr="00747E35">
        <w:rPr>
          <w:rFonts w:asciiTheme="minorHAnsi" w:hAnsiTheme="minorHAnsi" w:cstheme="minorHAnsi"/>
        </w:rPr>
        <w:t xml:space="preserve">Consider stream baseflow in intermittent (and perennial) streams. </w:t>
      </w:r>
    </w:p>
    <w:p w14:paraId="673ADD55" w14:textId="77777777" w:rsidR="003D3694" w:rsidRPr="00747E35" w:rsidRDefault="003D3694" w:rsidP="003D3694">
      <w:pPr>
        <w:rPr>
          <w:rFonts w:asciiTheme="minorHAnsi" w:hAnsiTheme="minorHAnsi" w:cstheme="minorHAnsi"/>
          <w:b/>
        </w:rPr>
      </w:pPr>
      <w:r w:rsidRPr="00747E35">
        <w:rPr>
          <w:rFonts w:asciiTheme="minorHAnsi" w:hAnsiTheme="minorHAnsi" w:cstheme="minorHAnsi"/>
          <w:b/>
        </w:rPr>
        <w:t>Key finding 2.</w:t>
      </w:r>
    </w:p>
    <w:p w14:paraId="584A0050"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Hyporheic exchange flows are important. The hyporheic zone plays an important role in hydroecological processes and stream ecosystem functioning in both intermittent and perennial streams.</w:t>
      </w:r>
    </w:p>
    <w:p w14:paraId="29FACF43" w14:textId="77777777" w:rsidR="003D3694" w:rsidRPr="00747E35" w:rsidRDefault="003D3694" w:rsidP="003D3694">
      <w:pPr>
        <w:rPr>
          <w:rFonts w:asciiTheme="minorHAnsi" w:hAnsiTheme="minorHAnsi" w:cstheme="minorHAnsi"/>
        </w:rPr>
      </w:pPr>
      <w:r w:rsidRPr="00747E35">
        <w:rPr>
          <w:rFonts w:asciiTheme="minorHAnsi" w:hAnsiTheme="minorHAnsi" w:cstheme="minorHAnsi"/>
          <w:b/>
        </w:rPr>
        <w:t xml:space="preserve">Implication for EIA. </w:t>
      </w:r>
      <w:r w:rsidRPr="00747E35">
        <w:rPr>
          <w:rFonts w:asciiTheme="minorHAnsi" w:hAnsiTheme="minorHAnsi" w:cstheme="minorHAnsi"/>
        </w:rPr>
        <w:t>Consider hyporheic exchange flow in intermittent (and perennial) streams.</w:t>
      </w:r>
    </w:p>
    <w:p w14:paraId="15EDFAC9" w14:textId="77777777" w:rsidR="003D3694" w:rsidRPr="00747E35" w:rsidRDefault="003D3694" w:rsidP="003D3694">
      <w:pPr>
        <w:rPr>
          <w:rFonts w:asciiTheme="minorHAnsi" w:hAnsiTheme="minorHAnsi" w:cstheme="minorHAnsi"/>
          <w:b/>
        </w:rPr>
      </w:pPr>
      <w:r w:rsidRPr="00747E35">
        <w:rPr>
          <w:rFonts w:asciiTheme="minorHAnsi" w:hAnsiTheme="minorHAnsi" w:cstheme="minorHAnsi"/>
          <w:b/>
        </w:rPr>
        <w:t>Key finding 3.</w:t>
      </w:r>
    </w:p>
    <w:p w14:paraId="65BAA265"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Groundwater recession (drawdown) is a stressor. Groundwater recession/drawdown reduces baseflow and changes hyporheic exchange flows, which may deplete ecological values and the hydroecological functioning of streams and associated groundwater-dependent ecosystems (GDEs). The very narrow vertical range (generally &lt; 1 to 2 m depth) of the hyporheic zone means that only small amounts of groundwater drawdown may have a significant impact on the ecological functioning and baseflow connectivity of streams.</w:t>
      </w:r>
    </w:p>
    <w:p w14:paraId="43F4F16E" w14:textId="77777777" w:rsidR="003D3694" w:rsidRPr="00747E35" w:rsidRDefault="003D3694" w:rsidP="003D3694">
      <w:pPr>
        <w:rPr>
          <w:rFonts w:asciiTheme="minorHAnsi" w:hAnsiTheme="minorHAnsi" w:cstheme="minorHAnsi"/>
        </w:rPr>
      </w:pPr>
      <w:r w:rsidRPr="00747E35">
        <w:rPr>
          <w:rFonts w:asciiTheme="minorHAnsi" w:hAnsiTheme="minorHAnsi" w:cstheme="minorHAnsi"/>
          <w:b/>
        </w:rPr>
        <w:t xml:space="preserve">Implication for EIA. </w:t>
      </w:r>
      <w:r w:rsidRPr="00747E35">
        <w:rPr>
          <w:rFonts w:asciiTheme="minorHAnsi" w:hAnsiTheme="minorHAnsi" w:cstheme="minorHAnsi"/>
        </w:rPr>
        <w:t>Consider the effects of drawdown on baseflow and hyporheic exchange flow (in intermittent and perennial streams).</w:t>
      </w:r>
    </w:p>
    <w:p w14:paraId="26DEE2A7" w14:textId="77777777" w:rsidR="003D3694" w:rsidRPr="00747E35" w:rsidRDefault="003D3694" w:rsidP="003D3694">
      <w:pPr>
        <w:rPr>
          <w:rFonts w:asciiTheme="minorHAnsi" w:hAnsiTheme="minorHAnsi" w:cstheme="minorHAnsi"/>
          <w:b/>
        </w:rPr>
      </w:pPr>
      <w:r w:rsidRPr="00747E35">
        <w:rPr>
          <w:rFonts w:asciiTheme="minorHAnsi" w:hAnsiTheme="minorHAnsi" w:cstheme="minorHAnsi"/>
          <w:b/>
        </w:rPr>
        <w:t>Key finding 4.</w:t>
      </w:r>
    </w:p>
    <w:p w14:paraId="4FA9E467" w14:textId="1363EB93"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Ecosystem assets and services that are potentially depleted by groundwater drawdown include biodiversity, detrital processes, and important biogeochemical processes mediated by microbes such as carbon and nutrient transformations (see further details in case study sections following below).  </w:t>
      </w:r>
    </w:p>
    <w:p w14:paraId="43AC250D" w14:textId="77777777" w:rsidR="003D3694" w:rsidRPr="00747E35" w:rsidRDefault="003D3694" w:rsidP="003D3694">
      <w:pPr>
        <w:rPr>
          <w:rFonts w:asciiTheme="minorHAnsi" w:hAnsiTheme="minorHAnsi" w:cstheme="minorHAnsi"/>
        </w:rPr>
      </w:pPr>
      <w:r w:rsidRPr="00747E35">
        <w:rPr>
          <w:rFonts w:asciiTheme="minorHAnsi" w:hAnsiTheme="minorHAnsi" w:cstheme="minorHAnsi"/>
          <w:b/>
        </w:rPr>
        <w:t xml:space="preserve">Implication for EIA. </w:t>
      </w:r>
      <w:r w:rsidRPr="00747E35">
        <w:rPr>
          <w:rFonts w:asciiTheme="minorHAnsi" w:hAnsiTheme="minorHAnsi" w:cstheme="minorHAnsi"/>
        </w:rPr>
        <w:t>Consider surface and subsurface biodiversity, detrital processes, and biogeochemical processes.</w:t>
      </w:r>
    </w:p>
    <w:p w14:paraId="3E163133" w14:textId="77777777" w:rsidR="003D3694" w:rsidRPr="00747E35" w:rsidRDefault="003D3694" w:rsidP="003D3694">
      <w:pPr>
        <w:rPr>
          <w:rFonts w:asciiTheme="minorHAnsi" w:hAnsiTheme="minorHAnsi" w:cstheme="minorHAnsi"/>
          <w:b/>
        </w:rPr>
      </w:pPr>
      <w:r w:rsidRPr="00747E35">
        <w:rPr>
          <w:rFonts w:asciiTheme="minorHAnsi" w:hAnsiTheme="minorHAnsi" w:cstheme="minorHAnsi"/>
          <w:b/>
        </w:rPr>
        <w:t>Key finding 5.</w:t>
      </w:r>
    </w:p>
    <w:p w14:paraId="746A4452" w14:textId="6C5931B8" w:rsidR="003D3694" w:rsidRPr="00747E35" w:rsidRDefault="003D3694" w:rsidP="003D3694">
      <w:pPr>
        <w:rPr>
          <w:rFonts w:asciiTheme="minorHAnsi" w:hAnsiTheme="minorHAnsi" w:cstheme="minorHAnsi"/>
        </w:rPr>
      </w:pPr>
      <w:r w:rsidRPr="00747E35">
        <w:rPr>
          <w:rFonts w:asciiTheme="minorHAnsi" w:hAnsiTheme="minorHAnsi" w:cstheme="minorHAnsi"/>
        </w:rPr>
        <w:t>Conceptual models were useful for integrating our mu</w:t>
      </w:r>
      <w:r w:rsidR="00424FDD">
        <w:rPr>
          <w:rFonts w:asciiTheme="minorHAnsi" w:hAnsiTheme="minorHAnsi" w:cstheme="minorHAnsi"/>
        </w:rPr>
        <w:t>l</w:t>
      </w:r>
      <w:r w:rsidRPr="00747E35">
        <w:rPr>
          <w:rFonts w:asciiTheme="minorHAnsi" w:hAnsiTheme="minorHAnsi" w:cstheme="minorHAnsi"/>
        </w:rPr>
        <w:t xml:space="preserve">tidisciplinary findings (including hydrology, hydrogeology, hydrochemistry, stream and groundwater ecology) towards a holistic synthesis, to aid understanding of hydroecological responses in streams due to changes in groundwater regime.  </w:t>
      </w:r>
    </w:p>
    <w:p w14:paraId="2BCBF2FA" w14:textId="77777777" w:rsidR="003D3694" w:rsidRPr="00747E35" w:rsidRDefault="003D3694" w:rsidP="003D3694">
      <w:pPr>
        <w:rPr>
          <w:rFonts w:asciiTheme="minorHAnsi" w:hAnsiTheme="minorHAnsi" w:cstheme="minorHAnsi"/>
          <w:b/>
        </w:rPr>
      </w:pPr>
      <w:r w:rsidRPr="00747E35">
        <w:rPr>
          <w:rFonts w:asciiTheme="minorHAnsi" w:hAnsiTheme="minorHAnsi" w:cstheme="minorHAnsi"/>
          <w:b/>
        </w:rPr>
        <w:t xml:space="preserve">Implication for EIA. </w:t>
      </w:r>
      <w:r w:rsidRPr="00747E35">
        <w:rPr>
          <w:rFonts w:asciiTheme="minorHAnsi" w:hAnsiTheme="minorHAnsi" w:cstheme="minorHAnsi"/>
        </w:rPr>
        <w:t>Consider conceptual models as a useful tool for integrating information across disciplines, and as an aid for assessing potential hydroecological responses due to changes in groundwater regime.</w:t>
      </w:r>
    </w:p>
    <w:p w14:paraId="4A353DF5"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lastRenderedPageBreak/>
        <w:t>The additional key findings below are context-specific to the case studies at Maules Creek and Bremer River, and are expanded and generalised, with precautionary inferences, where possible.</w:t>
      </w:r>
    </w:p>
    <w:p w14:paraId="7796B15F" w14:textId="77777777" w:rsidR="003D3694" w:rsidRPr="00747E35" w:rsidRDefault="003D3694" w:rsidP="003D3694">
      <w:pPr>
        <w:rPr>
          <w:rFonts w:asciiTheme="minorHAnsi" w:hAnsiTheme="minorHAnsi" w:cstheme="minorHAnsi"/>
          <w:b/>
        </w:rPr>
      </w:pPr>
      <w:r w:rsidRPr="00747E35">
        <w:rPr>
          <w:rFonts w:asciiTheme="minorHAnsi" w:hAnsiTheme="minorHAnsi" w:cstheme="minorHAnsi"/>
          <w:b/>
        </w:rPr>
        <w:t>Key finding 6.</w:t>
      </w:r>
    </w:p>
    <w:p w14:paraId="6B1F93C1"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Intermittent streams are ecologically important. Intermittent streams with a groundwater baseflow component harbor a rich biodiversity in both surface and subsurface (hyporheic) habitats.</w:t>
      </w:r>
    </w:p>
    <w:p w14:paraId="357431E6" w14:textId="77777777" w:rsidR="003D3694" w:rsidRPr="00747E35" w:rsidRDefault="003D3694" w:rsidP="003D3694">
      <w:pPr>
        <w:rPr>
          <w:rFonts w:asciiTheme="minorHAnsi" w:hAnsiTheme="minorHAnsi" w:cstheme="minorHAnsi"/>
        </w:rPr>
      </w:pPr>
      <w:r w:rsidRPr="00747E35">
        <w:rPr>
          <w:rFonts w:asciiTheme="minorHAnsi" w:hAnsiTheme="minorHAnsi" w:cstheme="minorHAnsi"/>
          <w:b/>
        </w:rPr>
        <w:t xml:space="preserve">Implication for EIA. </w:t>
      </w:r>
      <w:r w:rsidRPr="00747E35">
        <w:rPr>
          <w:rFonts w:asciiTheme="minorHAnsi" w:hAnsiTheme="minorHAnsi" w:cstheme="minorHAnsi"/>
        </w:rPr>
        <w:t>Consider surface and subsurface diversity in intermittent streams.</w:t>
      </w:r>
    </w:p>
    <w:p w14:paraId="45AB15DA" w14:textId="77777777" w:rsidR="003D3694" w:rsidRPr="00747E35" w:rsidRDefault="003D3694" w:rsidP="003D3694">
      <w:pPr>
        <w:rPr>
          <w:rFonts w:asciiTheme="minorHAnsi" w:hAnsiTheme="minorHAnsi" w:cstheme="minorHAnsi"/>
          <w:b/>
        </w:rPr>
      </w:pPr>
      <w:r w:rsidRPr="00747E35">
        <w:rPr>
          <w:rFonts w:asciiTheme="minorHAnsi" w:hAnsiTheme="minorHAnsi" w:cstheme="minorHAnsi"/>
          <w:b/>
        </w:rPr>
        <w:t>Key finding 7.</w:t>
      </w:r>
    </w:p>
    <w:p w14:paraId="4F72291B"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Even when surface flow has ceased, important ecosystem processes still occur in the subsurface (hyporheic) zone of intermittent streams.</w:t>
      </w:r>
    </w:p>
    <w:p w14:paraId="699FD3A3" w14:textId="77777777" w:rsidR="003D3694" w:rsidRPr="00747E35" w:rsidRDefault="003D3694" w:rsidP="003D3694">
      <w:pPr>
        <w:rPr>
          <w:rFonts w:asciiTheme="minorHAnsi" w:hAnsiTheme="minorHAnsi" w:cstheme="minorHAnsi"/>
        </w:rPr>
      </w:pPr>
      <w:r w:rsidRPr="00747E35">
        <w:rPr>
          <w:rFonts w:asciiTheme="minorHAnsi" w:hAnsiTheme="minorHAnsi" w:cstheme="minorHAnsi"/>
          <w:b/>
        </w:rPr>
        <w:t xml:space="preserve">Implication for EIA. </w:t>
      </w:r>
      <w:r w:rsidRPr="00747E35">
        <w:rPr>
          <w:rFonts w:asciiTheme="minorHAnsi" w:hAnsiTheme="minorHAnsi" w:cstheme="minorHAnsi"/>
        </w:rPr>
        <w:t>Consider dry (and wet) phase hydrology, processes and diversity in intermittent streams.</w:t>
      </w:r>
    </w:p>
    <w:p w14:paraId="33870475" w14:textId="77777777" w:rsidR="003D3694" w:rsidRPr="00747E35" w:rsidRDefault="003D3694" w:rsidP="003D3694">
      <w:pPr>
        <w:rPr>
          <w:rFonts w:asciiTheme="minorHAnsi" w:hAnsiTheme="minorHAnsi" w:cstheme="minorHAnsi"/>
          <w:b/>
        </w:rPr>
      </w:pPr>
      <w:r w:rsidRPr="00747E35">
        <w:rPr>
          <w:rFonts w:asciiTheme="minorHAnsi" w:hAnsiTheme="minorHAnsi" w:cstheme="minorHAnsi"/>
          <w:b/>
        </w:rPr>
        <w:t>Key finding 8.</w:t>
      </w:r>
    </w:p>
    <w:p w14:paraId="5DC2DA16" w14:textId="318A3883"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Obligate groundwater invertebrates (stygobites) are an ecological group that are ‘signature’ indicators of baseflow connectivity between streams and permanent groundwater (aquifers), and they respond to changes in </w:t>
      </w:r>
      <w:r w:rsidRPr="00747E35">
        <w:rPr>
          <w:rFonts w:asciiTheme="minorHAnsi" w:hAnsiTheme="minorHAnsi" w:cstheme="minorHAnsi"/>
          <w:lang w:eastAsia="en-AU"/>
        </w:rPr>
        <w:t xml:space="preserve">groundwater condition and quality (DO and redox state), </w:t>
      </w:r>
      <w:r w:rsidRPr="00747E35">
        <w:rPr>
          <w:rFonts w:asciiTheme="minorHAnsi" w:hAnsiTheme="minorHAnsi" w:cstheme="minorHAnsi"/>
        </w:rPr>
        <w:t xml:space="preserve">hyporheic exchange and stream flow regime. </w:t>
      </w:r>
    </w:p>
    <w:p w14:paraId="1735792D" w14:textId="77777777" w:rsidR="003D3694" w:rsidRPr="00747E35" w:rsidRDefault="003D3694" w:rsidP="003D3694">
      <w:pPr>
        <w:rPr>
          <w:rFonts w:asciiTheme="minorHAnsi" w:hAnsiTheme="minorHAnsi" w:cstheme="minorHAnsi"/>
        </w:rPr>
      </w:pPr>
      <w:r w:rsidRPr="00747E35">
        <w:rPr>
          <w:rFonts w:asciiTheme="minorHAnsi" w:hAnsiTheme="minorHAnsi" w:cstheme="minorHAnsi"/>
          <w:b/>
        </w:rPr>
        <w:t xml:space="preserve">Implication for EIA. </w:t>
      </w:r>
      <w:r w:rsidRPr="00747E35">
        <w:rPr>
          <w:rFonts w:asciiTheme="minorHAnsi" w:hAnsiTheme="minorHAnsi" w:cstheme="minorHAnsi"/>
        </w:rPr>
        <w:t xml:space="preserve">Consider the representation of ecological functional groups and ‘signature’ stygobite taxa. </w:t>
      </w:r>
    </w:p>
    <w:p w14:paraId="79767E7F" w14:textId="77777777" w:rsidR="003D3694" w:rsidRPr="00747E35" w:rsidRDefault="003D3694" w:rsidP="003D3694">
      <w:pPr>
        <w:rPr>
          <w:rFonts w:asciiTheme="minorHAnsi" w:hAnsiTheme="minorHAnsi" w:cstheme="minorHAnsi"/>
          <w:b/>
        </w:rPr>
      </w:pPr>
      <w:r w:rsidRPr="00747E35">
        <w:rPr>
          <w:rFonts w:asciiTheme="minorHAnsi" w:hAnsiTheme="minorHAnsi" w:cstheme="minorHAnsi"/>
          <w:b/>
        </w:rPr>
        <w:t>Key finding 9.</w:t>
      </w:r>
    </w:p>
    <w:p w14:paraId="51DFD575"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Streams with only a thin alluvial cover and hence shallow hyporheic / groundwater habitat may harbor a rich hyporheos. At Bremer River, we found a rich hyporheos inhabiting thin veneers of saturated alluvium (&lt; 1m) overlying relatively impermeable and uninhabitable strata (clay or tight bedrock). In contrast at Maules Creek, the hyporheic habitat is comparatively deep (&gt; 10m) alluvium. The shallow hyporheic habitats are likely to be more sensitive and vulnerable to changes in groundwater levels.</w:t>
      </w:r>
    </w:p>
    <w:p w14:paraId="130CC525" w14:textId="77777777" w:rsidR="003D3694" w:rsidRPr="00747E35" w:rsidRDefault="003D3694" w:rsidP="003D3694">
      <w:pPr>
        <w:rPr>
          <w:rFonts w:asciiTheme="minorHAnsi" w:hAnsiTheme="minorHAnsi" w:cstheme="minorHAnsi"/>
          <w:b/>
        </w:rPr>
      </w:pPr>
      <w:r w:rsidRPr="00747E35">
        <w:rPr>
          <w:rFonts w:asciiTheme="minorHAnsi" w:hAnsiTheme="minorHAnsi" w:cstheme="minorHAnsi"/>
          <w:b/>
        </w:rPr>
        <w:t xml:space="preserve">Implication for EIA. </w:t>
      </w:r>
      <w:r w:rsidRPr="00747E35">
        <w:rPr>
          <w:rFonts w:asciiTheme="minorHAnsi" w:hAnsiTheme="minorHAnsi" w:cstheme="minorHAnsi"/>
        </w:rPr>
        <w:t>Consider local context and habitat characteristics, assessed on a case by case basis, and validated through field studies as appropriate.</w:t>
      </w:r>
      <w:r w:rsidRPr="00747E35">
        <w:rPr>
          <w:rFonts w:asciiTheme="minorHAnsi" w:hAnsiTheme="minorHAnsi" w:cstheme="minorHAnsi"/>
          <w:b/>
        </w:rPr>
        <w:t xml:space="preserve"> </w:t>
      </w:r>
    </w:p>
    <w:p w14:paraId="6BF3D589" w14:textId="77777777" w:rsidR="003D3694" w:rsidRPr="00747E35" w:rsidRDefault="003D3694" w:rsidP="003D3694">
      <w:pPr>
        <w:rPr>
          <w:rFonts w:asciiTheme="minorHAnsi" w:hAnsiTheme="minorHAnsi" w:cstheme="minorHAnsi"/>
          <w:b/>
        </w:rPr>
      </w:pPr>
      <w:r w:rsidRPr="00747E35">
        <w:rPr>
          <w:rFonts w:asciiTheme="minorHAnsi" w:hAnsiTheme="minorHAnsi" w:cstheme="minorHAnsi"/>
          <w:b/>
        </w:rPr>
        <w:t>Key finding 10.</w:t>
      </w:r>
    </w:p>
    <w:p w14:paraId="0453D259" w14:textId="77777777" w:rsidR="003D3694" w:rsidRPr="00747E35" w:rsidRDefault="003D3694" w:rsidP="003D3694">
      <w:pPr>
        <w:rPr>
          <w:rFonts w:asciiTheme="minorHAnsi" w:hAnsiTheme="minorHAnsi" w:cstheme="minorHAnsi"/>
          <w:b/>
        </w:rPr>
      </w:pPr>
      <w:r w:rsidRPr="00747E35">
        <w:rPr>
          <w:rFonts w:asciiTheme="minorHAnsi" w:hAnsiTheme="minorHAnsi" w:cstheme="minorHAnsi"/>
        </w:rPr>
        <w:t xml:space="preserve">Groundwater (baseflow) connectivity confers resistance and resilience in stream ecosystems, but resistance and resilience depend on the nature, context and regime of stream, baseflow and aquifer connectivity. At Maules Creek, compared with Bremer River, enhanced resistance and resilience is conferred by the combination of deep alluvium and strong baseflow of oxic regional groundwater. </w:t>
      </w:r>
    </w:p>
    <w:p w14:paraId="1EB95143" w14:textId="77777777" w:rsidR="003D3694" w:rsidRPr="00747E35" w:rsidRDefault="003D3694" w:rsidP="003D3694">
      <w:pPr>
        <w:rPr>
          <w:rFonts w:asciiTheme="minorHAnsi" w:hAnsiTheme="minorHAnsi" w:cstheme="minorHAnsi"/>
          <w:b/>
        </w:rPr>
      </w:pPr>
      <w:r w:rsidRPr="00747E35">
        <w:rPr>
          <w:rFonts w:asciiTheme="minorHAnsi" w:hAnsiTheme="minorHAnsi" w:cstheme="minorHAnsi"/>
          <w:b/>
        </w:rPr>
        <w:t xml:space="preserve">Implication for EIA. </w:t>
      </w:r>
      <w:r w:rsidRPr="00747E35">
        <w:rPr>
          <w:rFonts w:asciiTheme="minorHAnsi" w:hAnsiTheme="minorHAnsi" w:cstheme="minorHAnsi"/>
        </w:rPr>
        <w:t>Similar to above, consider the local context and assess on a case by case basis, with field validation studies as required.</w:t>
      </w:r>
    </w:p>
    <w:p w14:paraId="466F4245" w14:textId="77777777" w:rsidR="003D3694" w:rsidRPr="00747E35" w:rsidRDefault="003D3694" w:rsidP="003D3694">
      <w:pPr>
        <w:pStyle w:val="Heading3"/>
        <w:rPr>
          <w:rFonts w:asciiTheme="minorHAnsi" w:hAnsiTheme="minorHAnsi" w:cstheme="minorHAnsi"/>
        </w:rPr>
      </w:pPr>
      <w:bookmarkStart w:id="354" w:name="_Toc467211722"/>
      <w:bookmarkStart w:id="355" w:name="_Toc470004891"/>
      <w:r w:rsidRPr="00747E35">
        <w:rPr>
          <w:rFonts w:asciiTheme="minorHAnsi" w:hAnsiTheme="minorHAnsi" w:cstheme="minorHAnsi"/>
        </w:rPr>
        <w:t>General conceptual models</w:t>
      </w:r>
      <w:bookmarkEnd w:id="354"/>
      <w:bookmarkEnd w:id="355"/>
    </w:p>
    <w:p w14:paraId="354E1D1F" w14:textId="2478441E"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Our project findings have been conceptualized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_Ref467129519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131</w:t>
      </w:r>
      <w:r w:rsidRPr="00747E35">
        <w:rPr>
          <w:rFonts w:asciiTheme="minorHAnsi" w:hAnsiTheme="minorHAnsi" w:cstheme="minorHAnsi"/>
        </w:rPr>
        <w:fldChar w:fldCharType="end"/>
      </w:r>
      <w:r w:rsidRPr="00747E35">
        <w:rPr>
          <w:rFonts w:asciiTheme="minorHAnsi" w:hAnsiTheme="minorHAnsi" w:cstheme="minorHAnsi"/>
        </w:rPr>
        <w:t xml:space="preserve"> and </w:t>
      </w:r>
      <w:r w:rsidRPr="00747E35">
        <w:rPr>
          <w:rFonts w:asciiTheme="minorHAnsi" w:hAnsiTheme="minorHAnsi" w:cstheme="minorHAnsi"/>
        </w:rPr>
        <w:fldChar w:fldCharType="begin"/>
      </w:r>
      <w:r w:rsidRPr="00747E35">
        <w:rPr>
          <w:rFonts w:asciiTheme="minorHAnsi" w:hAnsiTheme="minorHAnsi" w:cstheme="minorHAnsi"/>
        </w:rPr>
        <w:instrText xml:space="preserve"> REF _Ref467129495 \h </w:instrText>
      </w:r>
      <w:r w:rsidR="00925BFC"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31</w:t>
      </w:r>
      <w:r w:rsidRPr="00747E35">
        <w:rPr>
          <w:rFonts w:asciiTheme="minorHAnsi" w:hAnsiTheme="minorHAnsi" w:cstheme="minorHAnsi"/>
        </w:rPr>
        <w:fldChar w:fldCharType="end"/>
      </w:r>
      <w:r w:rsidRPr="00747E35">
        <w:rPr>
          <w:rFonts w:asciiTheme="minorHAnsi" w:hAnsiTheme="minorHAnsi" w:cstheme="minorHAnsi"/>
        </w:rPr>
        <w:t xml:space="preserve"> below.  </w:t>
      </w:r>
    </w:p>
    <w:p w14:paraId="10BFEFC1" w14:textId="77777777" w:rsidR="003D3694" w:rsidRPr="00747E35" w:rsidRDefault="003D3694" w:rsidP="003D3694">
      <w:pPr>
        <w:spacing w:after="0"/>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76FECF88" wp14:editId="647B7046">
            <wp:extent cx="6016034" cy="6305550"/>
            <wp:effectExtent l="0" t="0" r="3810" b="0"/>
            <wp:docPr id="48" name="Picture 48"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6019882" cy="6309583"/>
                    </a:xfrm>
                    <a:prstGeom prst="rect">
                      <a:avLst/>
                    </a:prstGeom>
                    <a:noFill/>
                  </pic:spPr>
                </pic:pic>
              </a:graphicData>
            </a:graphic>
          </wp:inline>
        </w:drawing>
      </w:r>
    </w:p>
    <w:p w14:paraId="266BF701" w14:textId="71963BE1" w:rsidR="003D3694" w:rsidRPr="00747E35" w:rsidRDefault="003D3694" w:rsidP="00C6582F">
      <w:pPr>
        <w:pStyle w:val="Caption"/>
        <w:numPr>
          <w:ilvl w:val="0"/>
          <w:numId w:val="0"/>
        </w:numPr>
        <w:rPr>
          <w:rFonts w:cstheme="minorHAnsi"/>
        </w:rPr>
      </w:pPr>
      <w:bookmarkStart w:id="356" w:name="_Ref467129519"/>
      <w:bookmarkStart w:id="357" w:name="_Toc466837693"/>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131</w:t>
      </w:r>
      <w:r w:rsidR="009D6600" w:rsidRPr="00747E35">
        <w:rPr>
          <w:rFonts w:cstheme="minorHAnsi"/>
          <w:noProof/>
        </w:rPr>
        <w:fldChar w:fldCharType="end"/>
      </w:r>
      <w:bookmarkEnd w:id="356"/>
      <w:r w:rsidRPr="00747E35">
        <w:rPr>
          <w:rFonts w:cstheme="minorHAnsi"/>
        </w:rPr>
        <w:t xml:space="preserve">: Conceptual longitudinal in-stream and hyporheic zone ecological and biogeochemical changes in response to increased groundwater drawdown. This model is mostly relevant for sites with oxic regional groundwater. From top to bottom: a) continuous surface water flow (perennial or intermittent during flow event) with considerable baseflow (regional groundwater discharge). Short hyporheic flow paths and oxic conditions favour rich and abundant hyporheos; b) discontinuous pools with some regional groundwater contribution maintaining pools, but with </w:t>
      </w:r>
      <w:r w:rsidR="006B2C7A">
        <w:rPr>
          <w:rFonts w:cstheme="minorHAnsi"/>
        </w:rPr>
        <w:t>subsurface</w:t>
      </w:r>
      <w:r w:rsidRPr="00747E35">
        <w:rPr>
          <w:rFonts w:cstheme="minorHAnsi"/>
        </w:rPr>
        <w:t xml:space="preserve"> flow (hyporheic flow) between pools. The longer subsurface flow paths (and residence times) allow redox reactions to progress towards more reduced conditions with nitrate reduction and some manganese-oxide and iron-oxide reduction. As a consequences zones of hypoxia/anoxia are larger and invertebrate fauna habitat reduced; c) Further reduction in the groundwater level limits surface water expression and flow is now predominantly along hyporheic flow paths. The redox conditions are now further reduced with iron-oxide reduction, sulfate reduction and methanogenesis. The iron-oxide reduction leads to release of phosphate from the dissolving iron-oxide surfaces. Anoxic conditions make the habitat unsuitable for invertebrates, and much of the hyporheic flow path is dominated by anaerobic microbes. Hyporheic invertebrates are limited to smaller areas of oxic </w:t>
      </w:r>
      <w:r w:rsidR="006B2C7A">
        <w:rPr>
          <w:rFonts w:cstheme="minorHAnsi"/>
        </w:rPr>
        <w:t>downwelling</w:t>
      </w:r>
      <w:r w:rsidRPr="00747E35">
        <w:rPr>
          <w:rFonts w:cstheme="minorHAnsi"/>
        </w:rPr>
        <w:t xml:space="preserve"> hyporheic flow, or  the deeper oxic parts of the regional groundwater; and d) For further lowering of the water table surface expressions of groundwater is lost  and streambed generally dry except for intermittent pools following flow events. Subsurface flows are dominated by regional groundwater flows, but with recharge during flow events. Stygofauna retreat to deeper oxic parts of the regional groundwater. </w:t>
      </w:r>
      <w:bookmarkEnd w:id="357"/>
      <w:r w:rsidRPr="00747E35">
        <w:rPr>
          <w:rFonts w:cstheme="minorHAnsi"/>
        </w:rPr>
        <w:t xml:space="preserve">For prolonged dry periods the </w:t>
      </w:r>
      <w:r w:rsidR="006B2C7A">
        <w:rPr>
          <w:rFonts w:cstheme="minorHAnsi"/>
        </w:rPr>
        <w:t>subsurface</w:t>
      </w:r>
      <w:r w:rsidRPr="00747E35">
        <w:rPr>
          <w:rFonts w:cstheme="minorHAnsi"/>
        </w:rPr>
        <w:t xml:space="preserve"> hydrochemistry and ecology may resemble the regional conditions in the aquifer.   </w:t>
      </w:r>
      <w:r w:rsidRPr="00747E35">
        <w:rPr>
          <w:rFonts w:cstheme="minorHAnsi"/>
        </w:rPr>
        <w:br w:type="page"/>
      </w:r>
    </w:p>
    <w:p w14:paraId="16EF9C7C" w14:textId="77777777" w:rsidR="003D3694" w:rsidRPr="00747E35" w:rsidRDefault="003D3694" w:rsidP="00566456">
      <w:pPr>
        <w:pStyle w:val="Caption"/>
        <w:numPr>
          <w:ilvl w:val="0"/>
          <w:numId w:val="0"/>
        </w:numPr>
        <w:rPr>
          <w:rFonts w:cstheme="minorHAnsi"/>
        </w:rPr>
      </w:pPr>
      <w:bookmarkStart w:id="358" w:name="_Ref467129495"/>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31</w:t>
      </w:r>
      <w:r w:rsidR="009D6600" w:rsidRPr="00747E35">
        <w:rPr>
          <w:rFonts w:cstheme="minorHAnsi"/>
          <w:noProof/>
        </w:rPr>
        <w:fldChar w:fldCharType="end"/>
      </w:r>
      <w:bookmarkEnd w:id="358"/>
      <w:r w:rsidRPr="00747E35">
        <w:rPr>
          <w:rFonts w:cstheme="minorHAnsi"/>
        </w:rPr>
        <w:t>:</w:t>
      </w:r>
      <w:r w:rsidRPr="00747E35">
        <w:rPr>
          <w:rFonts w:cstheme="minorHAnsi"/>
          <w:b/>
          <w:color w:val="000000" w:themeColor="text1"/>
        </w:rPr>
        <w:t xml:space="preserve"> </w:t>
      </w:r>
      <w:r w:rsidRPr="00747E35">
        <w:rPr>
          <w:rFonts w:cstheme="minorHAnsi"/>
        </w:rPr>
        <w:t>Ecohydrological conditions, changes and responses observed/measured/inferred during stages of recharge, recession or groundwater drawdown cycle in a stream with an intermittent flow regime and groundwater baseflow component.</w:t>
      </w:r>
    </w:p>
    <w:tbl>
      <w:tblPr>
        <w:tblStyle w:val="TableGrid"/>
        <w:tblW w:w="0" w:type="auto"/>
        <w:tblLook w:val="04A0" w:firstRow="1" w:lastRow="0" w:firstColumn="1" w:lastColumn="0" w:noHBand="0" w:noVBand="1"/>
      </w:tblPr>
      <w:tblGrid>
        <w:gridCol w:w="3873"/>
        <w:gridCol w:w="1254"/>
        <w:gridCol w:w="1522"/>
        <w:gridCol w:w="1026"/>
        <w:gridCol w:w="1953"/>
      </w:tblGrid>
      <w:tr w:rsidR="003D3694" w:rsidRPr="00747E35" w14:paraId="06C0107D" w14:textId="77777777" w:rsidTr="0096743A">
        <w:trPr>
          <w:tblHeader/>
        </w:trPr>
        <w:tc>
          <w:tcPr>
            <w:tcW w:w="0" w:type="auto"/>
            <w:shd w:val="clear" w:color="auto" w:fill="DEEAF6" w:themeFill="accent1" w:themeFillTint="33"/>
          </w:tcPr>
          <w:p w14:paraId="01530097" w14:textId="77777777" w:rsidR="003D3694" w:rsidRPr="00747E35" w:rsidRDefault="003D3694" w:rsidP="0096743A">
            <w:pPr>
              <w:pStyle w:val="BRnormal11pt"/>
              <w:spacing w:after="0"/>
              <w:rPr>
                <w:rFonts w:asciiTheme="minorHAnsi" w:hAnsiTheme="minorHAnsi" w:cstheme="minorHAnsi"/>
                <w:b/>
                <w:sz w:val="16"/>
                <w:szCs w:val="16"/>
              </w:rPr>
            </w:pPr>
          </w:p>
        </w:tc>
        <w:tc>
          <w:tcPr>
            <w:tcW w:w="0" w:type="auto"/>
            <w:gridSpan w:val="4"/>
            <w:shd w:val="clear" w:color="auto" w:fill="DEEAF6" w:themeFill="accent1" w:themeFillTint="33"/>
          </w:tcPr>
          <w:p w14:paraId="684A5587" w14:textId="77777777" w:rsidR="003D3694" w:rsidRPr="00747E35" w:rsidRDefault="003D3694" w:rsidP="0096743A">
            <w:pPr>
              <w:pStyle w:val="TableHead"/>
              <w:rPr>
                <w:rFonts w:asciiTheme="minorHAnsi" w:hAnsiTheme="minorHAnsi" w:cstheme="minorHAnsi"/>
              </w:rPr>
            </w:pPr>
            <w:r w:rsidRPr="00747E35">
              <w:rPr>
                <w:rFonts w:asciiTheme="minorHAnsi" w:hAnsiTheme="minorHAnsi" w:cstheme="minorHAnsi"/>
              </w:rPr>
              <w:t>Ecological response</w:t>
            </w:r>
          </w:p>
        </w:tc>
      </w:tr>
      <w:tr w:rsidR="003D3694" w:rsidRPr="00747E35" w14:paraId="15A81ED6" w14:textId="77777777" w:rsidTr="0096743A">
        <w:trPr>
          <w:tblHeader/>
        </w:trPr>
        <w:tc>
          <w:tcPr>
            <w:tcW w:w="0" w:type="auto"/>
            <w:shd w:val="clear" w:color="auto" w:fill="DEEAF6" w:themeFill="accent1" w:themeFillTint="33"/>
          </w:tcPr>
          <w:p w14:paraId="11452E54" w14:textId="77777777" w:rsidR="003D3694" w:rsidRPr="00747E35" w:rsidRDefault="003D3694" w:rsidP="0096743A">
            <w:pPr>
              <w:pStyle w:val="BRnormal11pt"/>
              <w:spacing w:after="0"/>
              <w:rPr>
                <w:rFonts w:asciiTheme="minorHAnsi" w:hAnsiTheme="minorHAnsi" w:cstheme="minorHAnsi"/>
                <w:b/>
                <w:sz w:val="16"/>
                <w:szCs w:val="16"/>
              </w:rPr>
            </w:pPr>
            <w:r w:rsidRPr="00747E35">
              <w:rPr>
                <w:rFonts w:asciiTheme="minorHAnsi" w:hAnsiTheme="minorHAnsi" w:cstheme="minorHAnsi"/>
                <w:b/>
                <w:sz w:val="16"/>
                <w:szCs w:val="16"/>
              </w:rPr>
              <w:t>Time stage</w:t>
            </w:r>
          </w:p>
        </w:tc>
        <w:tc>
          <w:tcPr>
            <w:tcW w:w="0" w:type="auto"/>
            <w:shd w:val="clear" w:color="auto" w:fill="DEEAF6" w:themeFill="accent1" w:themeFillTint="33"/>
          </w:tcPr>
          <w:p w14:paraId="260F18B8" w14:textId="77777777" w:rsidR="003D3694" w:rsidRPr="00747E35" w:rsidRDefault="003D3694" w:rsidP="0096743A">
            <w:pPr>
              <w:pStyle w:val="TableHead"/>
              <w:rPr>
                <w:rFonts w:asciiTheme="minorHAnsi" w:hAnsiTheme="minorHAnsi" w:cstheme="minorHAnsi"/>
              </w:rPr>
            </w:pPr>
            <w:r w:rsidRPr="00747E35">
              <w:rPr>
                <w:rFonts w:asciiTheme="minorHAnsi" w:hAnsiTheme="minorHAnsi" w:cstheme="minorHAnsi"/>
              </w:rPr>
              <w:t>Hydrological state or change</w:t>
            </w:r>
          </w:p>
        </w:tc>
        <w:tc>
          <w:tcPr>
            <w:tcW w:w="0" w:type="auto"/>
            <w:shd w:val="clear" w:color="auto" w:fill="DEEAF6" w:themeFill="accent1" w:themeFillTint="33"/>
          </w:tcPr>
          <w:p w14:paraId="2C341A45" w14:textId="77777777" w:rsidR="003D3694" w:rsidRPr="00747E35" w:rsidRDefault="003D3694" w:rsidP="0096743A">
            <w:pPr>
              <w:pStyle w:val="TableHead"/>
              <w:rPr>
                <w:rFonts w:asciiTheme="minorHAnsi" w:hAnsiTheme="minorHAnsi" w:cstheme="minorHAnsi"/>
              </w:rPr>
            </w:pPr>
            <w:r w:rsidRPr="00747E35">
              <w:rPr>
                <w:rFonts w:asciiTheme="minorHAnsi" w:hAnsiTheme="minorHAnsi" w:cstheme="minorHAnsi"/>
              </w:rPr>
              <w:t>Biogeochemical processes, Nutrient and organic C</w:t>
            </w:r>
          </w:p>
        </w:tc>
        <w:tc>
          <w:tcPr>
            <w:tcW w:w="0" w:type="auto"/>
            <w:shd w:val="clear" w:color="auto" w:fill="DEEAF6" w:themeFill="accent1" w:themeFillTint="33"/>
          </w:tcPr>
          <w:p w14:paraId="65E09138" w14:textId="77777777" w:rsidR="003D3694" w:rsidRPr="00747E35" w:rsidRDefault="003D3694" w:rsidP="0096743A">
            <w:pPr>
              <w:pStyle w:val="TableHead"/>
              <w:rPr>
                <w:rFonts w:asciiTheme="minorHAnsi" w:hAnsiTheme="minorHAnsi" w:cstheme="minorHAnsi"/>
              </w:rPr>
            </w:pPr>
            <w:r w:rsidRPr="00747E35">
              <w:rPr>
                <w:rFonts w:asciiTheme="minorHAnsi" w:hAnsiTheme="minorHAnsi" w:cstheme="minorHAnsi"/>
              </w:rPr>
              <w:t>Detrital processes</w:t>
            </w:r>
          </w:p>
        </w:tc>
        <w:tc>
          <w:tcPr>
            <w:tcW w:w="0" w:type="auto"/>
            <w:shd w:val="clear" w:color="auto" w:fill="DEEAF6" w:themeFill="accent1" w:themeFillTint="33"/>
          </w:tcPr>
          <w:p w14:paraId="73300E79" w14:textId="77777777" w:rsidR="003D3694" w:rsidRPr="00747E35" w:rsidRDefault="003D3694" w:rsidP="0096743A">
            <w:pPr>
              <w:pStyle w:val="TableHead"/>
              <w:rPr>
                <w:rFonts w:asciiTheme="minorHAnsi" w:hAnsiTheme="minorHAnsi" w:cstheme="minorHAnsi"/>
              </w:rPr>
            </w:pPr>
            <w:r w:rsidRPr="00747E35">
              <w:rPr>
                <w:rFonts w:asciiTheme="minorHAnsi" w:hAnsiTheme="minorHAnsi" w:cstheme="minorHAnsi"/>
              </w:rPr>
              <w:t>Hyporheos &amp; stygofauna</w:t>
            </w:r>
          </w:p>
        </w:tc>
      </w:tr>
      <w:tr w:rsidR="003D3694" w:rsidRPr="00747E35" w14:paraId="6696EB06" w14:textId="77777777" w:rsidTr="0096743A">
        <w:tc>
          <w:tcPr>
            <w:tcW w:w="0" w:type="auto"/>
          </w:tcPr>
          <w:p w14:paraId="6DB3BA5A"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Pre- recession/drawdown intermittent dry phase</w:t>
            </w:r>
          </w:p>
          <w:p w14:paraId="2300FAE5"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noProof/>
                <w:sz w:val="16"/>
                <w:szCs w:val="16"/>
                <w:lang w:val="en-AU" w:eastAsia="en-AU"/>
              </w:rPr>
              <w:drawing>
                <wp:inline distT="0" distB="0" distL="0" distR="0" wp14:anchorId="692C0F61" wp14:editId="5F3263F6">
                  <wp:extent cx="2316480" cy="1152525"/>
                  <wp:effectExtent l="0" t="0" r="7620" b="0"/>
                  <wp:docPr id="2082" name="Picture 2082" descr="Diagram. Full description in adjacent table 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2316480" cy="1152525"/>
                          </a:xfrm>
                          <a:prstGeom prst="rect">
                            <a:avLst/>
                          </a:prstGeom>
                          <a:noFill/>
                        </pic:spPr>
                      </pic:pic>
                    </a:graphicData>
                  </a:graphic>
                </wp:inline>
              </w:drawing>
            </w:r>
          </w:p>
          <w:p w14:paraId="77A5E1C1" w14:textId="77777777" w:rsidR="003D3694" w:rsidRPr="00747E35" w:rsidRDefault="003D3694" w:rsidP="0096743A">
            <w:pPr>
              <w:pStyle w:val="Tabletext"/>
              <w:keepNext/>
              <w:keepLines/>
              <w:spacing w:before="0" w:after="0"/>
              <w:rPr>
                <w:rFonts w:cstheme="minorHAnsi"/>
                <w:sz w:val="16"/>
                <w:szCs w:val="16"/>
                <w:lang w:eastAsia="en-AU"/>
              </w:rPr>
            </w:pPr>
          </w:p>
        </w:tc>
        <w:tc>
          <w:tcPr>
            <w:tcW w:w="0" w:type="auto"/>
          </w:tcPr>
          <w:p w14:paraId="31D29CA7"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No surface flow. HZ may be saturated, partially saturated, desaturated. HZ connected or disconnected.</w:t>
            </w:r>
          </w:p>
        </w:tc>
        <w:tc>
          <w:tcPr>
            <w:tcW w:w="0" w:type="auto"/>
          </w:tcPr>
          <w:p w14:paraId="77D0901A" w14:textId="77777777" w:rsidR="003D3694" w:rsidRPr="00747E35" w:rsidRDefault="003D3694" w:rsidP="0096743A">
            <w:pPr>
              <w:pStyle w:val="Tabletext"/>
              <w:keepNext/>
              <w:keepLines/>
              <w:rPr>
                <w:rFonts w:cstheme="minorHAnsi"/>
                <w:sz w:val="16"/>
                <w:szCs w:val="16"/>
                <w:lang w:eastAsia="en-AU"/>
              </w:rPr>
            </w:pPr>
            <w:r w:rsidRPr="00747E35">
              <w:rPr>
                <w:rFonts w:cstheme="minorHAnsi"/>
                <w:sz w:val="16"/>
                <w:szCs w:val="16"/>
                <w:lang w:eastAsia="en-AU"/>
              </w:rPr>
              <w:t>Depending on oxic / suboxic / anoxic status of baseflow component, generally reduced conditions in saturated HZ. Fe</w:t>
            </w:r>
            <w:r w:rsidRPr="00747E35">
              <w:rPr>
                <w:rFonts w:cstheme="minorHAnsi"/>
                <w:sz w:val="16"/>
                <w:szCs w:val="16"/>
                <w:vertAlign w:val="superscript"/>
                <w:lang w:eastAsia="en-AU"/>
              </w:rPr>
              <w:t>2+</w:t>
            </w:r>
            <w:r w:rsidRPr="00747E35">
              <w:rPr>
                <w:rFonts w:cstheme="minorHAnsi"/>
                <w:sz w:val="16"/>
                <w:szCs w:val="16"/>
                <w:lang w:eastAsia="en-AU"/>
              </w:rPr>
              <w:t>, Mn</w:t>
            </w:r>
            <w:r w:rsidRPr="00747E35">
              <w:rPr>
                <w:rFonts w:cstheme="minorHAnsi"/>
                <w:sz w:val="16"/>
                <w:szCs w:val="16"/>
                <w:vertAlign w:val="superscript"/>
                <w:lang w:eastAsia="en-AU"/>
              </w:rPr>
              <w:t>2+</w:t>
            </w:r>
            <w:r w:rsidRPr="00747E35">
              <w:rPr>
                <w:rFonts w:cstheme="minorHAnsi"/>
                <w:sz w:val="16"/>
                <w:szCs w:val="16"/>
                <w:lang w:eastAsia="en-AU"/>
              </w:rPr>
              <w:t xml:space="preserve"> and NH</w:t>
            </w:r>
            <w:r w:rsidRPr="00747E35">
              <w:rPr>
                <w:rFonts w:cstheme="minorHAnsi"/>
                <w:sz w:val="16"/>
                <w:szCs w:val="16"/>
                <w:vertAlign w:val="subscript"/>
                <w:lang w:eastAsia="en-AU"/>
              </w:rPr>
              <w:t>4</w:t>
            </w:r>
            <w:r w:rsidRPr="00747E35">
              <w:rPr>
                <w:rFonts w:cstheme="minorHAnsi"/>
                <w:sz w:val="16"/>
                <w:szCs w:val="16"/>
                <w:vertAlign w:val="superscript"/>
                <w:lang w:eastAsia="en-AU"/>
              </w:rPr>
              <w:t>+</w:t>
            </w:r>
            <w:r w:rsidRPr="00747E35">
              <w:rPr>
                <w:rFonts w:cstheme="minorHAnsi"/>
                <w:sz w:val="16"/>
                <w:szCs w:val="16"/>
                <w:lang w:eastAsia="en-AU"/>
              </w:rPr>
              <w:t xml:space="preserve"> present.   </w:t>
            </w:r>
          </w:p>
          <w:p w14:paraId="173522B2" w14:textId="77777777" w:rsidR="003D3694" w:rsidRPr="00747E35" w:rsidRDefault="003D3694" w:rsidP="0096743A">
            <w:pPr>
              <w:pStyle w:val="Tabletext"/>
              <w:keepNext/>
              <w:keepLines/>
              <w:rPr>
                <w:rFonts w:cstheme="minorHAnsi"/>
                <w:sz w:val="16"/>
                <w:szCs w:val="16"/>
                <w:lang w:eastAsia="en-AU"/>
              </w:rPr>
            </w:pPr>
          </w:p>
          <w:p w14:paraId="6C80B3D8" w14:textId="77777777" w:rsidR="003D3694" w:rsidRPr="00747E35" w:rsidRDefault="003D3694" w:rsidP="0096743A">
            <w:pPr>
              <w:pStyle w:val="Tabletext"/>
              <w:keepNext/>
              <w:keepLines/>
              <w:spacing w:before="0" w:after="0"/>
              <w:rPr>
                <w:rFonts w:cstheme="minorHAnsi"/>
                <w:sz w:val="16"/>
                <w:szCs w:val="16"/>
                <w:lang w:eastAsia="en-AU"/>
              </w:rPr>
            </w:pPr>
          </w:p>
        </w:tc>
        <w:tc>
          <w:tcPr>
            <w:tcW w:w="0" w:type="auto"/>
          </w:tcPr>
          <w:p w14:paraId="2080539E"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Surface rates low.</w:t>
            </w:r>
          </w:p>
          <w:p w14:paraId="76148878"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Subsurface rates depend on sediment moisture status</w:t>
            </w:r>
          </w:p>
        </w:tc>
        <w:tc>
          <w:tcPr>
            <w:tcW w:w="0" w:type="auto"/>
          </w:tcPr>
          <w:p w14:paraId="0CC46D04"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Hyporheos present/absent, depending on degree of saturation / desaturation of HZ and connection/disconnection.</w:t>
            </w:r>
          </w:p>
        </w:tc>
      </w:tr>
      <w:tr w:rsidR="003D3694" w:rsidRPr="00747E35" w14:paraId="3DBC2806" w14:textId="77777777" w:rsidTr="0096743A">
        <w:tc>
          <w:tcPr>
            <w:tcW w:w="0" w:type="auto"/>
          </w:tcPr>
          <w:p w14:paraId="46C32457"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Pre-drawdown intermittent wet phase</w:t>
            </w:r>
          </w:p>
          <w:p w14:paraId="4755EB4E" w14:textId="77777777" w:rsidR="003D3694" w:rsidRPr="00747E35" w:rsidRDefault="003D3694" w:rsidP="0096743A">
            <w:pPr>
              <w:pStyle w:val="Tabletext"/>
              <w:keepNext/>
              <w:keepLines/>
              <w:spacing w:before="0" w:after="0"/>
              <w:ind w:left="360"/>
              <w:rPr>
                <w:rFonts w:cstheme="minorHAnsi"/>
                <w:sz w:val="16"/>
                <w:szCs w:val="16"/>
                <w:lang w:eastAsia="en-AU"/>
              </w:rPr>
            </w:pPr>
            <w:r w:rsidRPr="00747E35">
              <w:rPr>
                <w:rFonts w:cstheme="minorHAnsi"/>
                <w:noProof/>
                <w:sz w:val="20"/>
                <w:lang w:val="en-AU" w:eastAsia="en-AU"/>
              </w:rPr>
              <w:drawing>
                <wp:inline distT="0" distB="0" distL="0" distR="0" wp14:anchorId="52EC1194" wp14:editId="2B31B15B">
                  <wp:extent cx="1773867" cy="1133475"/>
                  <wp:effectExtent l="0" t="0" r="0" b="0"/>
                  <wp:docPr id="7183" name="Picture 7183" descr="Diagram. Full description in adjacent table 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1776341" cy="1135056"/>
                          </a:xfrm>
                          <a:prstGeom prst="rect">
                            <a:avLst/>
                          </a:prstGeom>
                          <a:noFill/>
                        </pic:spPr>
                      </pic:pic>
                    </a:graphicData>
                  </a:graphic>
                </wp:inline>
              </w:drawing>
            </w:r>
          </w:p>
        </w:tc>
        <w:tc>
          <w:tcPr>
            <w:tcW w:w="0" w:type="auto"/>
          </w:tcPr>
          <w:p w14:paraId="4630F709"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Pools and riffles connected by continuous surface flow, duration sustained via baseflow, hyporheic zone saturated and HEF paths short with steep gradients.</w:t>
            </w:r>
          </w:p>
        </w:tc>
        <w:tc>
          <w:tcPr>
            <w:tcW w:w="0" w:type="auto"/>
          </w:tcPr>
          <w:p w14:paraId="5F81FD18" w14:textId="77777777" w:rsidR="003D3694" w:rsidRPr="00747E35" w:rsidRDefault="003D3694" w:rsidP="0096743A">
            <w:pPr>
              <w:pStyle w:val="Tabletext"/>
              <w:keepNext/>
              <w:keepLines/>
              <w:rPr>
                <w:rFonts w:cstheme="minorHAnsi"/>
                <w:sz w:val="16"/>
                <w:szCs w:val="16"/>
                <w:lang w:eastAsia="en-AU"/>
              </w:rPr>
            </w:pPr>
            <w:r w:rsidRPr="00747E35">
              <w:rPr>
                <w:rFonts w:cstheme="minorHAnsi"/>
                <w:sz w:val="16"/>
                <w:szCs w:val="16"/>
                <w:lang w:eastAsia="en-AU"/>
              </w:rPr>
              <w:t>More oxic HZ conditions for streams connected to aquifers with oxic groundwater</w:t>
            </w:r>
          </w:p>
          <w:p w14:paraId="18D75FFB" w14:textId="77777777" w:rsidR="003D3694" w:rsidRPr="00747E35" w:rsidRDefault="003D3694" w:rsidP="0096743A">
            <w:pPr>
              <w:pStyle w:val="Tabletext"/>
              <w:keepNext/>
              <w:keepLines/>
              <w:rPr>
                <w:rFonts w:cstheme="minorHAnsi"/>
                <w:sz w:val="16"/>
                <w:szCs w:val="16"/>
                <w:lang w:eastAsia="en-AU"/>
              </w:rPr>
            </w:pPr>
          </w:p>
          <w:p w14:paraId="1989E6FE" w14:textId="77777777" w:rsidR="003D3694" w:rsidRPr="00747E35" w:rsidRDefault="003D3694" w:rsidP="0096743A">
            <w:pPr>
              <w:pStyle w:val="Tabletext"/>
              <w:keepNext/>
              <w:keepLines/>
              <w:spacing w:before="0" w:after="0"/>
              <w:rPr>
                <w:rFonts w:cstheme="minorHAnsi"/>
                <w:sz w:val="16"/>
                <w:szCs w:val="16"/>
                <w:lang w:eastAsia="en-AU"/>
              </w:rPr>
            </w:pPr>
          </w:p>
        </w:tc>
        <w:tc>
          <w:tcPr>
            <w:tcW w:w="0" w:type="auto"/>
          </w:tcPr>
          <w:p w14:paraId="5A6F6AB3"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 xml:space="preserve"> Surface rates high.</w:t>
            </w:r>
          </w:p>
          <w:p w14:paraId="7F5D395A"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Subsurface rates high</w:t>
            </w:r>
          </w:p>
        </w:tc>
        <w:tc>
          <w:tcPr>
            <w:tcW w:w="0" w:type="auto"/>
          </w:tcPr>
          <w:p w14:paraId="366E3A37"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 xml:space="preserve">Hyporheos rich, including epigean and hypogean groups (stygophiles and stygobites) </w:t>
            </w:r>
          </w:p>
        </w:tc>
      </w:tr>
      <w:tr w:rsidR="003D3694" w:rsidRPr="00747E35" w14:paraId="6212F41D" w14:textId="77777777" w:rsidTr="0096743A">
        <w:tc>
          <w:tcPr>
            <w:tcW w:w="0" w:type="auto"/>
          </w:tcPr>
          <w:p w14:paraId="76583210"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During recession / drawdown transition early stage</w:t>
            </w:r>
          </w:p>
          <w:p w14:paraId="30857F62"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noProof/>
                <w:sz w:val="16"/>
                <w:szCs w:val="16"/>
                <w:lang w:val="en-AU" w:eastAsia="en-AU"/>
              </w:rPr>
              <w:drawing>
                <wp:inline distT="0" distB="0" distL="0" distR="0" wp14:anchorId="40462805" wp14:editId="1A733327">
                  <wp:extent cx="2316480" cy="1146175"/>
                  <wp:effectExtent l="0" t="0" r="7620" b="0"/>
                  <wp:docPr id="2083" name="Picture 2083" descr="Diagram. Full description in adjacent table 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316480" cy="1146175"/>
                          </a:xfrm>
                          <a:prstGeom prst="rect">
                            <a:avLst/>
                          </a:prstGeom>
                          <a:noFill/>
                        </pic:spPr>
                      </pic:pic>
                    </a:graphicData>
                  </a:graphic>
                </wp:inline>
              </w:drawing>
            </w:r>
          </w:p>
          <w:p w14:paraId="0C7497EA" w14:textId="77777777" w:rsidR="003D3694" w:rsidRPr="00747E35" w:rsidRDefault="003D3694" w:rsidP="0096743A">
            <w:pPr>
              <w:pStyle w:val="Tabletext"/>
              <w:keepNext/>
              <w:keepLines/>
              <w:spacing w:before="0" w:after="0"/>
              <w:rPr>
                <w:rFonts w:cstheme="minorHAnsi"/>
                <w:sz w:val="16"/>
                <w:szCs w:val="16"/>
                <w:lang w:eastAsia="en-AU"/>
              </w:rPr>
            </w:pPr>
          </w:p>
          <w:p w14:paraId="6FF4A028" w14:textId="77777777" w:rsidR="003D3694" w:rsidRPr="00747E35" w:rsidRDefault="003D3694" w:rsidP="0096743A">
            <w:pPr>
              <w:pStyle w:val="Tabletext"/>
              <w:keepNext/>
              <w:keepLines/>
              <w:spacing w:before="0" w:after="0"/>
              <w:rPr>
                <w:rFonts w:cstheme="minorHAnsi"/>
                <w:sz w:val="16"/>
                <w:szCs w:val="16"/>
                <w:lang w:eastAsia="en-AU"/>
              </w:rPr>
            </w:pPr>
          </w:p>
        </w:tc>
        <w:tc>
          <w:tcPr>
            <w:tcW w:w="0" w:type="auto"/>
          </w:tcPr>
          <w:p w14:paraId="16B1088F"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Decreased or ceasing gaining conditions. Riffle flow ceases, surface pools sustained by reduced baseflow or contracting as water table declines, HEF paths lengthening and gradient declining.</w:t>
            </w:r>
          </w:p>
        </w:tc>
        <w:tc>
          <w:tcPr>
            <w:tcW w:w="0" w:type="auto"/>
          </w:tcPr>
          <w:p w14:paraId="20A20A54"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Shift towards suboxic conditions with decreases in DO and NO</w:t>
            </w:r>
            <w:r w:rsidRPr="00747E35">
              <w:rPr>
                <w:rFonts w:cstheme="minorHAnsi"/>
                <w:sz w:val="16"/>
                <w:szCs w:val="16"/>
                <w:vertAlign w:val="subscript"/>
                <w:lang w:eastAsia="en-AU"/>
              </w:rPr>
              <w:t>3</w:t>
            </w:r>
            <w:r w:rsidRPr="00747E35">
              <w:rPr>
                <w:rFonts w:cstheme="minorHAnsi"/>
                <w:sz w:val="16"/>
                <w:szCs w:val="16"/>
                <w:vertAlign w:val="superscript"/>
                <w:lang w:eastAsia="en-AU"/>
              </w:rPr>
              <w:t>-</w:t>
            </w:r>
            <w:r w:rsidRPr="00747E35">
              <w:rPr>
                <w:rFonts w:cstheme="minorHAnsi"/>
                <w:sz w:val="16"/>
                <w:szCs w:val="16"/>
                <w:lang w:eastAsia="en-AU"/>
              </w:rPr>
              <w:t xml:space="preserve"> (denitrification) and anoxic conditions with increase in reduced species such as Fe</w:t>
            </w:r>
            <w:r w:rsidRPr="00747E35">
              <w:rPr>
                <w:rFonts w:cstheme="minorHAnsi"/>
                <w:sz w:val="16"/>
                <w:szCs w:val="16"/>
                <w:vertAlign w:val="superscript"/>
                <w:lang w:eastAsia="en-AU"/>
              </w:rPr>
              <w:t>2+</w:t>
            </w:r>
            <w:r w:rsidRPr="00747E35">
              <w:rPr>
                <w:rFonts w:cstheme="minorHAnsi"/>
                <w:sz w:val="16"/>
                <w:szCs w:val="16"/>
                <w:lang w:eastAsia="en-AU"/>
              </w:rPr>
              <w:t>, Mn</w:t>
            </w:r>
            <w:r w:rsidRPr="00747E35">
              <w:rPr>
                <w:rFonts w:cstheme="minorHAnsi"/>
                <w:sz w:val="16"/>
                <w:szCs w:val="16"/>
                <w:vertAlign w:val="superscript"/>
                <w:lang w:eastAsia="en-AU"/>
              </w:rPr>
              <w:t>2+</w:t>
            </w:r>
            <w:r w:rsidRPr="00747E35">
              <w:rPr>
                <w:rFonts w:cstheme="minorHAnsi"/>
                <w:sz w:val="16"/>
                <w:szCs w:val="16"/>
                <w:lang w:eastAsia="en-AU"/>
              </w:rPr>
              <w:t xml:space="preserve"> and NH</w:t>
            </w:r>
            <w:r w:rsidRPr="00747E35">
              <w:rPr>
                <w:rFonts w:cstheme="minorHAnsi"/>
                <w:sz w:val="16"/>
                <w:szCs w:val="16"/>
                <w:vertAlign w:val="subscript"/>
                <w:lang w:eastAsia="en-AU"/>
              </w:rPr>
              <w:t>4</w:t>
            </w:r>
            <w:r w:rsidRPr="00747E35">
              <w:rPr>
                <w:rFonts w:cstheme="minorHAnsi"/>
                <w:sz w:val="16"/>
                <w:szCs w:val="16"/>
                <w:vertAlign w:val="superscript"/>
                <w:lang w:eastAsia="en-AU"/>
              </w:rPr>
              <w:t>+</w:t>
            </w:r>
            <w:r w:rsidRPr="00747E35">
              <w:rPr>
                <w:rFonts w:cstheme="minorHAnsi"/>
                <w:sz w:val="16"/>
                <w:szCs w:val="16"/>
                <w:lang w:eastAsia="en-AU"/>
              </w:rPr>
              <w:t xml:space="preserve"> and release of sediment bound phosphate.</w:t>
            </w:r>
          </w:p>
        </w:tc>
        <w:tc>
          <w:tcPr>
            <w:tcW w:w="0" w:type="auto"/>
          </w:tcPr>
          <w:p w14:paraId="0372EAB9" w14:textId="77777777" w:rsidR="003D3694" w:rsidRPr="00747E35" w:rsidRDefault="003D3694" w:rsidP="0096743A">
            <w:pPr>
              <w:pStyle w:val="Tabletext"/>
              <w:keepNext/>
              <w:keepLines/>
              <w:rPr>
                <w:rFonts w:cstheme="minorHAnsi"/>
                <w:sz w:val="16"/>
                <w:szCs w:val="16"/>
                <w:lang w:eastAsia="en-AU"/>
              </w:rPr>
            </w:pPr>
            <w:r w:rsidRPr="00747E35">
              <w:rPr>
                <w:rFonts w:cstheme="minorHAnsi"/>
                <w:sz w:val="16"/>
                <w:szCs w:val="16"/>
                <w:lang w:eastAsia="en-AU"/>
              </w:rPr>
              <w:t>Surface rates variable, depending on moisture status.</w:t>
            </w:r>
          </w:p>
          <w:p w14:paraId="6AA36324"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Subsurface rates depend on moisture status</w:t>
            </w:r>
          </w:p>
        </w:tc>
        <w:tc>
          <w:tcPr>
            <w:tcW w:w="0" w:type="auto"/>
          </w:tcPr>
          <w:p w14:paraId="191F552A"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 xml:space="preserve">Hyporheos present, depending on DO and redox conditions, with epigean and hypogean groups (stygophiles and stygobites). </w:t>
            </w:r>
          </w:p>
        </w:tc>
      </w:tr>
      <w:tr w:rsidR="003D3694" w:rsidRPr="00747E35" w14:paraId="25CA74DC" w14:textId="77777777" w:rsidTr="0096743A">
        <w:tc>
          <w:tcPr>
            <w:tcW w:w="0" w:type="auto"/>
          </w:tcPr>
          <w:p w14:paraId="0C2BDDCC"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 xml:space="preserve">During recession / drawdown transition later stage </w:t>
            </w:r>
          </w:p>
          <w:p w14:paraId="09E885BF"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noProof/>
                <w:sz w:val="16"/>
                <w:szCs w:val="16"/>
                <w:lang w:val="en-AU" w:eastAsia="en-AU"/>
              </w:rPr>
              <w:drawing>
                <wp:inline distT="0" distB="0" distL="0" distR="0" wp14:anchorId="0D3C2949" wp14:editId="3028A1E9">
                  <wp:extent cx="2310765" cy="1158240"/>
                  <wp:effectExtent l="0" t="0" r="0" b="0"/>
                  <wp:docPr id="2086" name="Picture 2086" descr="Diagram. Full description in adjacent table 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310765" cy="1158240"/>
                          </a:xfrm>
                          <a:prstGeom prst="rect">
                            <a:avLst/>
                          </a:prstGeom>
                          <a:noFill/>
                        </pic:spPr>
                      </pic:pic>
                    </a:graphicData>
                  </a:graphic>
                </wp:inline>
              </w:drawing>
            </w:r>
          </w:p>
          <w:p w14:paraId="385FB16D" w14:textId="77777777" w:rsidR="003D3694" w:rsidRPr="00747E35" w:rsidRDefault="003D3694" w:rsidP="0096743A">
            <w:pPr>
              <w:pStyle w:val="Tabletext"/>
              <w:keepNext/>
              <w:keepLines/>
              <w:spacing w:before="0" w:after="0"/>
              <w:rPr>
                <w:rFonts w:cstheme="minorHAnsi"/>
                <w:sz w:val="16"/>
                <w:szCs w:val="16"/>
                <w:lang w:eastAsia="en-AU"/>
              </w:rPr>
            </w:pPr>
          </w:p>
        </w:tc>
        <w:tc>
          <w:tcPr>
            <w:tcW w:w="0" w:type="auto"/>
          </w:tcPr>
          <w:p w14:paraId="4A266F8C"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Creek losing. Pools contracting, HZ partially desaturated and long flow HZ flow paths between remaining pools, capillary fringe connected</w:t>
            </w:r>
          </w:p>
        </w:tc>
        <w:tc>
          <w:tcPr>
            <w:tcW w:w="0" w:type="auto"/>
          </w:tcPr>
          <w:p w14:paraId="3F923C9B"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Minimal HEF returning to creek.  Increase in reduced species such as Fe</w:t>
            </w:r>
            <w:r w:rsidRPr="00747E35">
              <w:rPr>
                <w:rFonts w:cstheme="minorHAnsi"/>
                <w:sz w:val="16"/>
                <w:szCs w:val="16"/>
                <w:vertAlign w:val="superscript"/>
                <w:lang w:eastAsia="en-AU"/>
              </w:rPr>
              <w:t>2+</w:t>
            </w:r>
            <w:r w:rsidRPr="00747E35">
              <w:rPr>
                <w:rFonts w:cstheme="minorHAnsi"/>
                <w:sz w:val="16"/>
                <w:szCs w:val="16"/>
                <w:lang w:eastAsia="en-AU"/>
              </w:rPr>
              <w:t>, Mn</w:t>
            </w:r>
            <w:r w:rsidRPr="00747E35">
              <w:rPr>
                <w:rFonts w:cstheme="minorHAnsi"/>
                <w:sz w:val="16"/>
                <w:szCs w:val="16"/>
                <w:vertAlign w:val="superscript"/>
                <w:lang w:eastAsia="en-AU"/>
              </w:rPr>
              <w:t>2+</w:t>
            </w:r>
            <w:r w:rsidRPr="00747E35">
              <w:rPr>
                <w:rFonts w:cstheme="minorHAnsi"/>
                <w:sz w:val="16"/>
                <w:szCs w:val="16"/>
                <w:lang w:eastAsia="en-AU"/>
              </w:rPr>
              <w:t xml:space="preserve"> and NH</w:t>
            </w:r>
            <w:r w:rsidRPr="00747E35">
              <w:rPr>
                <w:rFonts w:cstheme="minorHAnsi"/>
                <w:sz w:val="16"/>
                <w:szCs w:val="16"/>
                <w:vertAlign w:val="subscript"/>
                <w:lang w:eastAsia="en-AU"/>
              </w:rPr>
              <w:t>4</w:t>
            </w:r>
            <w:r w:rsidRPr="00747E35">
              <w:rPr>
                <w:rFonts w:cstheme="minorHAnsi"/>
                <w:sz w:val="16"/>
                <w:szCs w:val="16"/>
                <w:vertAlign w:val="superscript"/>
                <w:lang w:eastAsia="en-AU"/>
              </w:rPr>
              <w:t>+</w:t>
            </w:r>
            <w:r w:rsidRPr="00747E35">
              <w:rPr>
                <w:rFonts w:cstheme="minorHAnsi"/>
                <w:sz w:val="16"/>
                <w:szCs w:val="16"/>
                <w:lang w:eastAsia="en-AU"/>
              </w:rPr>
              <w:t xml:space="preserve"> and release of sediment bound phosphate</w:t>
            </w:r>
          </w:p>
        </w:tc>
        <w:tc>
          <w:tcPr>
            <w:tcW w:w="0" w:type="auto"/>
          </w:tcPr>
          <w:p w14:paraId="682BCB9D" w14:textId="77777777" w:rsidR="003D3694" w:rsidRPr="00747E35" w:rsidRDefault="003D3694" w:rsidP="0096743A">
            <w:pPr>
              <w:pStyle w:val="Tabletext"/>
              <w:keepNext/>
              <w:keepLines/>
              <w:rPr>
                <w:rFonts w:cstheme="minorHAnsi"/>
                <w:sz w:val="16"/>
                <w:szCs w:val="16"/>
                <w:lang w:eastAsia="en-AU"/>
              </w:rPr>
            </w:pPr>
            <w:r w:rsidRPr="00747E35">
              <w:rPr>
                <w:rFonts w:cstheme="minorHAnsi"/>
                <w:sz w:val="16"/>
                <w:szCs w:val="16"/>
                <w:lang w:eastAsia="en-AU"/>
              </w:rPr>
              <w:t>Surface rates variable, depend on moisture status.</w:t>
            </w:r>
          </w:p>
          <w:p w14:paraId="732F46E9" w14:textId="77777777" w:rsidR="003D3694" w:rsidRPr="00747E35" w:rsidRDefault="003D3694" w:rsidP="0096743A">
            <w:pPr>
              <w:pStyle w:val="Tabletext"/>
              <w:keepNext/>
              <w:keepLines/>
              <w:spacing w:before="0" w:after="0"/>
              <w:rPr>
                <w:rFonts w:cstheme="minorHAnsi"/>
                <w:sz w:val="16"/>
                <w:szCs w:val="16"/>
                <w:lang w:eastAsia="en-AU"/>
              </w:rPr>
            </w:pPr>
          </w:p>
        </w:tc>
        <w:tc>
          <w:tcPr>
            <w:tcW w:w="0" w:type="auto"/>
          </w:tcPr>
          <w:p w14:paraId="77C042AA"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Hyporheos depleted, depending on DO and redox conditions.</w:t>
            </w:r>
          </w:p>
        </w:tc>
      </w:tr>
    </w:tbl>
    <w:p w14:paraId="62F1F48F" w14:textId="77777777" w:rsidR="003D3694" w:rsidRPr="00747E35" w:rsidRDefault="003D3694" w:rsidP="003D3694">
      <w:pPr>
        <w:autoSpaceDE/>
        <w:autoSpaceDN/>
        <w:spacing w:line="276" w:lineRule="auto"/>
        <w:rPr>
          <w:rFonts w:asciiTheme="minorHAnsi" w:hAnsiTheme="minorHAnsi" w:cstheme="minorHAnsi"/>
        </w:rPr>
      </w:pPr>
      <w:r w:rsidRPr="00747E35">
        <w:rPr>
          <w:rFonts w:asciiTheme="minorHAnsi" w:hAnsiTheme="minorHAnsi" w:cstheme="minorHAnsi"/>
        </w:rPr>
        <w:br w:type="page"/>
      </w:r>
    </w:p>
    <w:tbl>
      <w:tblPr>
        <w:tblStyle w:val="TableGrid"/>
        <w:tblW w:w="0" w:type="auto"/>
        <w:tblLook w:val="04A0" w:firstRow="1" w:lastRow="0" w:firstColumn="1" w:lastColumn="0" w:noHBand="0" w:noVBand="1"/>
      </w:tblPr>
      <w:tblGrid>
        <w:gridCol w:w="3876"/>
        <w:gridCol w:w="1496"/>
        <w:gridCol w:w="1747"/>
        <w:gridCol w:w="1092"/>
        <w:gridCol w:w="1417"/>
      </w:tblGrid>
      <w:tr w:rsidR="003D3694" w:rsidRPr="00747E35" w14:paraId="4BDB5D3D" w14:textId="77777777" w:rsidTr="0096743A">
        <w:trPr>
          <w:tblHeader/>
        </w:trPr>
        <w:tc>
          <w:tcPr>
            <w:tcW w:w="0" w:type="auto"/>
            <w:shd w:val="clear" w:color="auto" w:fill="DEEAF6" w:themeFill="accent1" w:themeFillTint="33"/>
          </w:tcPr>
          <w:p w14:paraId="77400D94" w14:textId="77777777" w:rsidR="003D3694" w:rsidRPr="00747E35" w:rsidRDefault="003D3694" w:rsidP="0096743A">
            <w:pPr>
              <w:pStyle w:val="BRnormal11pt"/>
              <w:spacing w:after="0"/>
              <w:rPr>
                <w:rFonts w:asciiTheme="minorHAnsi" w:hAnsiTheme="minorHAnsi" w:cstheme="minorHAnsi"/>
                <w:b/>
                <w:sz w:val="16"/>
                <w:szCs w:val="16"/>
              </w:rPr>
            </w:pPr>
          </w:p>
        </w:tc>
        <w:tc>
          <w:tcPr>
            <w:tcW w:w="0" w:type="auto"/>
            <w:gridSpan w:val="4"/>
            <w:shd w:val="clear" w:color="auto" w:fill="DEEAF6" w:themeFill="accent1" w:themeFillTint="33"/>
          </w:tcPr>
          <w:p w14:paraId="6F55DBBA" w14:textId="77777777" w:rsidR="003D3694" w:rsidRPr="00747E35" w:rsidRDefault="003D3694" w:rsidP="0096743A">
            <w:pPr>
              <w:pStyle w:val="TableHead"/>
              <w:rPr>
                <w:rFonts w:asciiTheme="minorHAnsi" w:hAnsiTheme="minorHAnsi" w:cstheme="minorHAnsi"/>
              </w:rPr>
            </w:pPr>
            <w:r w:rsidRPr="00747E35">
              <w:rPr>
                <w:rFonts w:asciiTheme="minorHAnsi" w:hAnsiTheme="minorHAnsi" w:cstheme="minorHAnsi"/>
              </w:rPr>
              <w:t>Ecological response</w:t>
            </w:r>
          </w:p>
        </w:tc>
      </w:tr>
      <w:tr w:rsidR="003D3694" w:rsidRPr="00747E35" w14:paraId="7A8E5857" w14:textId="77777777" w:rsidTr="0096743A">
        <w:trPr>
          <w:tblHeader/>
        </w:trPr>
        <w:tc>
          <w:tcPr>
            <w:tcW w:w="0" w:type="auto"/>
            <w:shd w:val="clear" w:color="auto" w:fill="DEEAF6" w:themeFill="accent1" w:themeFillTint="33"/>
          </w:tcPr>
          <w:p w14:paraId="3994D1F0" w14:textId="77777777" w:rsidR="003D3694" w:rsidRPr="00747E35" w:rsidRDefault="003D3694" w:rsidP="0096743A">
            <w:pPr>
              <w:pStyle w:val="BRnormal11pt"/>
              <w:spacing w:after="0"/>
              <w:rPr>
                <w:rFonts w:asciiTheme="minorHAnsi" w:hAnsiTheme="minorHAnsi" w:cstheme="minorHAnsi"/>
                <w:b/>
                <w:sz w:val="16"/>
                <w:szCs w:val="16"/>
              </w:rPr>
            </w:pPr>
            <w:r w:rsidRPr="00747E35">
              <w:rPr>
                <w:rFonts w:asciiTheme="minorHAnsi" w:hAnsiTheme="minorHAnsi" w:cstheme="minorHAnsi"/>
                <w:b/>
                <w:sz w:val="16"/>
                <w:szCs w:val="16"/>
              </w:rPr>
              <w:t>Time stage</w:t>
            </w:r>
          </w:p>
        </w:tc>
        <w:tc>
          <w:tcPr>
            <w:tcW w:w="0" w:type="auto"/>
            <w:shd w:val="clear" w:color="auto" w:fill="DEEAF6" w:themeFill="accent1" w:themeFillTint="33"/>
          </w:tcPr>
          <w:p w14:paraId="1D46C9CB" w14:textId="77777777" w:rsidR="003D3694" w:rsidRPr="00747E35" w:rsidRDefault="003D3694" w:rsidP="0096743A">
            <w:pPr>
              <w:pStyle w:val="TableHead"/>
              <w:rPr>
                <w:rFonts w:asciiTheme="minorHAnsi" w:hAnsiTheme="minorHAnsi" w:cstheme="minorHAnsi"/>
              </w:rPr>
            </w:pPr>
            <w:r w:rsidRPr="00747E35">
              <w:rPr>
                <w:rFonts w:asciiTheme="minorHAnsi" w:hAnsiTheme="minorHAnsi" w:cstheme="minorHAnsi"/>
              </w:rPr>
              <w:t>Hydrological state or change</w:t>
            </w:r>
          </w:p>
        </w:tc>
        <w:tc>
          <w:tcPr>
            <w:tcW w:w="0" w:type="auto"/>
            <w:shd w:val="clear" w:color="auto" w:fill="DEEAF6" w:themeFill="accent1" w:themeFillTint="33"/>
          </w:tcPr>
          <w:p w14:paraId="3FB82FE9" w14:textId="77777777" w:rsidR="003D3694" w:rsidRPr="00747E35" w:rsidRDefault="003D3694" w:rsidP="0096743A">
            <w:pPr>
              <w:pStyle w:val="TableHead"/>
              <w:rPr>
                <w:rFonts w:asciiTheme="minorHAnsi" w:hAnsiTheme="minorHAnsi" w:cstheme="minorHAnsi"/>
              </w:rPr>
            </w:pPr>
            <w:r w:rsidRPr="00747E35">
              <w:rPr>
                <w:rFonts w:asciiTheme="minorHAnsi" w:hAnsiTheme="minorHAnsi" w:cstheme="minorHAnsi"/>
              </w:rPr>
              <w:t>Biogeochemical processes, Nutrient and organic C</w:t>
            </w:r>
          </w:p>
        </w:tc>
        <w:tc>
          <w:tcPr>
            <w:tcW w:w="0" w:type="auto"/>
            <w:shd w:val="clear" w:color="auto" w:fill="DEEAF6" w:themeFill="accent1" w:themeFillTint="33"/>
          </w:tcPr>
          <w:p w14:paraId="1812DC35" w14:textId="77777777" w:rsidR="003D3694" w:rsidRPr="00747E35" w:rsidRDefault="003D3694" w:rsidP="0096743A">
            <w:pPr>
              <w:pStyle w:val="TableHead"/>
              <w:rPr>
                <w:rFonts w:asciiTheme="minorHAnsi" w:hAnsiTheme="minorHAnsi" w:cstheme="minorHAnsi"/>
              </w:rPr>
            </w:pPr>
            <w:r w:rsidRPr="00747E35">
              <w:rPr>
                <w:rFonts w:asciiTheme="minorHAnsi" w:hAnsiTheme="minorHAnsi" w:cstheme="minorHAnsi"/>
              </w:rPr>
              <w:t>Detrital processes</w:t>
            </w:r>
          </w:p>
        </w:tc>
        <w:tc>
          <w:tcPr>
            <w:tcW w:w="0" w:type="auto"/>
            <w:shd w:val="clear" w:color="auto" w:fill="DEEAF6" w:themeFill="accent1" w:themeFillTint="33"/>
          </w:tcPr>
          <w:p w14:paraId="26969993" w14:textId="77777777" w:rsidR="003D3694" w:rsidRPr="00747E35" w:rsidRDefault="003D3694" w:rsidP="0096743A">
            <w:pPr>
              <w:pStyle w:val="TableHead"/>
              <w:rPr>
                <w:rFonts w:asciiTheme="minorHAnsi" w:hAnsiTheme="minorHAnsi" w:cstheme="minorHAnsi"/>
              </w:rPr>
            </w:pPr>
            <w:r w:rsidRPr="00747E35">
              <w:rPr>
                <w:rFonts w:asciiTheme="minorHAnsi" w:hAnsiTheme="minorHAnsi" w:cstheme="minorHAnsi"/>
              </w:rPr>
              <w:t>Hyporheos &amp; stygofauna</w:t>
            </w:r>
          </w:p>
        </w:tc>
      </w:tr>
      <w:tr w:rsidR="003D3694" w:rsidRPr="00747E35" w14:paraId="55400863" w14:textId="77777777" w:rsidTr="0096743A">
        <w:tc>
          <w:tcPr>
            <w:tcW w:w="0" w:type="auto"/>
          </w:tcPr>
          <w:p w14:paraId="41E00DCC" w14:textId="77777777" w:rsidR="003D3694" w:rsidRPr="00747E35" w:rsidRDefault="003D3694" w:rsidP="0096743A">
            <w:pPr>
              <w:pStyle w:val="Tabletext"/>
              <w:keepNext/>
              <w:keepLines/>
              <w:spacing w:before="0" w:after="0"/>
              <w:rPr>
                <w:rFonts w:cstheme="minorHAnsi"/>
                <w:noProof/>
                <w:sz w:val="20"/>
                <w:lang w:eastAsia="en-AU"/>
              </w:rPr>
            </w:pPr>
            <w:r w:rsidRPr="00747E35">
              <w:rPr>
                <w:rFonts w:cstheme="minorHAnsi"/>
                <w:sz w:val="16"/>
                <w:szCs w:val="16"/>
                <w:lang w:eastAsia="en-AU"/>
              </w:rPr>
              <w:t xml:space="preserve">Maximum drawdown – scenario </w:t>
            </w:r>
            <w:r w:rsidRPr="00747E35">
              <w:rPr>
                <w:rFonts w:cstheme="minorHAnsi"/>
                <w:b/>
                <w:sz w:val="16"/>
                <w:szCs w:val="16"/>
                <w:lang w:eastAsia="en-AU"/>
              </w:rPr>
              <w:t xml:space="preserve">connected </w:t>
            </w:r>
          </w:p>
          <w:p w14:paraId="4B7E1F41"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noProof/>
                <w:sz w:val="16"/>
                <w:szCs w:val="16"/>
                <w:lang w:val="en-AU" w:eastAsia="en-AU"/>
              </w:rPr>
              <w:drawing>
                <wp:inline distT="0" distB="0" distL="0" distR="0" wp14:anchorId="5C063E97" wp14:editId="17E66886">
                  <wp:extent cx="2316480" cy="1139825"/>
                  <wp:effectExtent l="0" t="0" r="7620" b="3175"/>
                  <wp:docPr id="2089" name="Picture 2089" descr="Diagram. Full description in adjacent table 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2316480" cy="1139825"/>
                          </a:xfrm>
                          <a:prstGeom prst="rect">
                            <a:avLst/>
                          </a:prstGeom>
                          <a:noFill/>
                        </pic:spPr>
                      </pic:pic>
                    </a:graphicData>
                  </a:graphic>
                </wp:inline>
              </w:drawing>
            </w:r>
          </w:p>
        </w:tc>
        <w:tc>
          <w:tcPr>
            <w:tcW w:w="0" w:type="auto"/>
          </w:tcPr>
          <w:p w14:paraId="4081D9C7"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Surface regime intermittency increased towards temporary / episodic, HZ partially desaturated, capillary fringe connected</w:t>
            </w:r>
          </w:p>
        </w:tc>
        <w:tc>
          <w:tcPr>
            <w:tcW w:w="0" w:type="auto"/>
          </w:tcPr>
          <w:p w14:paraId="508C86FA"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Losing flow paths into aquifer. No reoxygenation as HEF does not return to the surface.  Reduced species such as Fe</w:t>
            </w:r>
            <w:r w:rsidRPr="00747E35">
              <w:rPr>
                <w:rFonts w:cstheme="minorHAnsi"/>
                <w:sz w:val="16"/>
                <w:szCs w:val="16"/>
                <w:vertAlign w:val="superscript"/>
                <w:lang w:eastAsia="en-AU"/>
              </w:rPr>
              <w:t>2+</w:t>
            </w:r>
            <w:r w:rsidRPr="00747E35">
              <w:rPr>
                <w:rFonts w:cstheme="minorHAnsi"/>
                <w:sz w:val="16"/>
                <w:szCs w:val="16"/>
                <w:lang w:eastAsia="en-AU"/>
              </w:rPr>
              <w:t>, Mn</w:t>
            </w:r>
            <w:r w:rsidRPr="00747E35">
              <w:rPr>
                <w:rFonts w:cstheme="minorHAnsi"/>
                <w:sz w:val="16"/>
                <w:szCs w:val="16"/>
                <w:vertAlign w:val="superscript"/>
                <w:lang w:eastAsia="en-AU"/>
              </w:rPr>
              <w:t>2+</w:t>
            </w:r>
            <w:r w:rsidRPr="00747E35">
              <w:rPr>
                <w:rFonts w:cstheme="minorHAnsi"/>
                <w:sz w:val="16"/>
                <w:szCs w:val="16"/>
                <w:lang w:eastAsia="en-AU"/>
              </w:rPr>
              <w:t xml:space="preserve"> and NH</w:t>
            </w:r>
            <w:r w:rsidRPr="00747E35">
              <w:rPr>
                <w:rFonts w:cstheme="minorHAnsi"/>
                <w:sz w:val="16"/>
                <w:szCs w:val="16"/>
                <w:vertAlign w:val="subscript"/>
                <w:lang w:eastAsia="en-AU"/>
              </w:rPr>
              <w:t>4</w:t>
            </w:r>
            <w:r w:rsidRPr="00747E35">
              <w:rPr>
                <w:rFonts w:cstheme="minorHAnsi"/>
                <w:sz w:val="16"/>
                <w:szCs w:val="16"/>
                <w:vertAlign w:val="superscript"/>
                <w:lang w:eastAsia="en-AU"/>
              </w:rPr>
              <w:t>+</w:t>
            </w:r>
            <w:r w:rsidRPr="00747E35">
              <w:rPr>
                <w:rFonts w:cstheme="minorHAnsi"/>
                <w:sz w:val="16"/>
                <w:szCs w:val="16"/>
                <w:lang w:eastAsia="en-AU"/>
              </w:rPr>
              <w:t xml:space="preserve"> and release of sediment bound phosphate</w:t>
            </w:r>
          </w:p>
        </w:tc>
        <w:tc>
          <w:tcPr>
            <w:tcW w:w="0" w:type="auto"/>
          </w:tcPr>
          <w:p w14:paraId="3A22FCF0" w14:textId="77777777" w:rsidR="003D3694" w:rsidRPr="00747E35" w:rsidRDefault="003D3694" w:rsidP="0096743A">
            <w:pPr>
              <w:pStyle w:val="Tabletext"/>
              <w:keepNext/>
              <w:keepLines/>
              <w:rPr>
                <w:rFonts w:cstheme="minorHAnsi"/>
                <w:sz w:val="16"/>
                <w:szCs w:val="16"/>
                <w:lang w:eastAsia="en-AU"/>
              </w:rPr>
            </w:pPr>
            <w:r w:rsidRPr="00747E35">
              <w:rPr>
                <w:rFonts w:cstheme="minorHAnsi"/>
                <w:sz w:val="16"/>
                <w:szCs w:val="16"/>
                <w:lang w:eastAsia="en-AU"/>
              </w:rPr>
              <w:t>Surface rates variable, depending on moisture status.</w:t>
            </w:r>
          </w:p>
          <w:p w14:paraId="6B4E4E0A"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Subsurface rates depend on moisture status of sediments</w:t>
            </w:r>
          </w:p>
        </w:tc>
        <w:tc>
          <w:tcPr>
            <w:tcW w:w="0" w:type="auto"/>
          </w:tcPr>
          <w:p w14:paraId="3614C115"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 xml:space="preserve">Hyporheos depleted, depending on redox conditions and degree of desaturation of HZ. </w:t>
            </w:r>
          </w:p>
        </w:tc>
      </w:tr>
      <w:tr w:rsidR="003D3694" w:rsidRPr="00747E35" w14:paraId="0FD95A14" w14:textId="77777777" w:rsidTr="0096743A">
        <w:tc>
          <w:tcPr>
            <w:tcW w:w="0" w:type="auto"/>
          </w:tcPr>
          <w:p w14:paraId="148E9BEE" w14:textId="77777777" w:rsidR="003D3694" w:rsidRPr="00747E35" w:rsidRDefault="003D3694" w:rsidP="0096743A">
            <w:pPr>
              <w:pStyle w:val="Tabletext"/>
              <w:keepNext/>
              <w:keepLines/>
              <w:spacing w:before="0" w:after="0"/>
              <w:rPr>
                <w:rFonts w:cstheme="minorHAnsi"/>
                <w:noProof/>
                <w:sz w:val="16"/>
                <w:szCs w:val="16"/>
                <w:lang w:val="en-AU" w:eastAsia="en-AU"/>
              </w:rPr>
            </w:pPr>
            <w:r w:rsidRPr="00747E35">
              <w:rPr>
                <w:rFonts w:cstheme="minorHAnsi"/>
                <w:sz w:val="16"/>
                <w:szCs w:val="16"/>
                <w:lang w:eastAsia="en-AU"/>
              </w:rPr>
              <w:t xml:space="preserve">Maximum drawdown - scenario </w:t>
            </w:r>
            <w:r w:rsidRPr="00747E35">
              <w:rPr>
                <w:rFonts w:cstheme="minorHAnsi"/>
                <w:b/>
                <w:sz w:val="16"/>
                <w:szCs w:val="16"/>
                <w:lang w:eastAsia="en-AU"/>
              </w:rPr>
              <w:t xml:space="preserve">disconnected  </w:t>
            </w:r>
          </w:p>
          <w:p w14:paraId="3E00A465"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noProof/>
                <w:sz w:val="16"/>
                <w:szCs w:val="16"/>
                <w:lang w:val="en-AU" w:eastAsia="en-AU"/>
              </w:rPr>
              <w:drawing>
                <wp:inline distT="0" distB="0" distL="0" distR="0" wp14:anchorId="5B630C5C" wp14:editId="43D9F9E1">
                  <wp:extent cx="2316480" cy="1152525"/>
                  <wp:effectExtent l="0" t="0" r="7620" b="0"/>
                  <wp:docPr id="2091" name="Picture 2091" descr="Diagram. Full description in adjacent table 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2316480" cy="1152525"/>
                          </a:xfrm>
                          <a:prstGeom prst="rect">
                            <a:avLst/>
                          </a:prstGeom>
                          <a:noFill/>
                        </pic:spPr>
                      </pic:pic>
                    </a:graphicData>
                  </a:graphic>
                </wp:inline>
              </w:drawing>
            </w:r>
          </w:p>
        </w:tc>
        <w:tc>
          <w:tcPr>
            <w:tcW w:w="0" w:type="auto"/>
          </w:tcPr>
          <w:p w14:paraId="39AF939A" w14:textId="193E43EE"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 xml:space="preserve">Surface regime intermittency increased towards temporary / episodic, shortened </w:t>
            </w:r>
            <w:r w:rsidR="006B2C7A">
              <w:rPr>
                <w:rFonts w:cstheme="minorHAnsi"/>
                <w:sz w:val="16"/>
                <w:szCs w:val="16"/>
                <w:lang w:eastAsia="en-AU"/>
              </w:rPr>
              <w:t>baseflow</w:t>
            </w:r>
            <w:r w:rsidRPr="00747E35">
              <w:rPr>
                <w:rFonts w:cstheme="minorHAnsi"/>
                <w:sz w:val="16"/>
                <w:szCs w:val="16"/>
                <w:lang w:eastAsia="en-AU"/>
              </w:rPr>
              <w:t xml:space="preserve"> periods following flows, HZ desaturated, capillary fringe disconnected a majority of the time</w:t>
            </w:r>
          </w:p>
        </w:tc>
        <w:tc>
          <w:tcPr>
            <w:tcW w:w="0" w:type="auto"/>
          </w:tcPr>
          <w:p w14:paraId="1FBE5DC7"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 xml:space="preserve">HZ generally desaturated and returning to oxic conditions in desaturated zone (but without flow).  </w:t>
            </w:r>
          </w:p>
        </w:tc>
        <w:tc>
          <w:tcPr>
            <w:tcW w:w="0" w:type="auto"/>
          </w:tcPr>
          <w:p w14:paraId="6520652C" w14:textId="77777777" w:rsidR="003D3694" w:rsidRPr="00747E35" w:rsidRDefault="003D3694" w:rsidP="0096743A">
            <w:pPr>
              <w:pStyle w:val="Tabletext"/>
              <w:keepNext/>
              <w:keepLines/>
              <w:rPr>
                <w:rFonts w:cstheme="minorHAnsi"/>
                <w:sz w:val="16"/>
                <w:szCs w:val="16"/>
                <w:lang w:eastAsia="en-AU"/>
              </w:rPr>
            </w:pPr>
            <w:r w:rsidRPr="00747E35">
              <w:rPr>
                <w:rFonts w:cstheme="minorHAnsi"/>
                <w:sz w:val="16"/>
                <w:szCs w:val="16"/>
                <w:lang w:eastAsia="en-AU"/>
              </w:rPr>
              <w:t>Surface rates low</w:t>
            </w:r>
          </w:p>
          <w:p w14:paraId="26D62692"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Subsurface rates depend on moisture status of sediments</w:t>
            </w:r>
          </w:p>
        </w:tc>
        <w:tc>
          <w:tcPr>
            <w:tcW w:w="0" w:type="auto"/>
          </w:tcPr>
          <w:p w14:paraId="009283DD"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Hyporheos absent, stygoxenes / epigean groups locally extinct, stygobites and stygophiles retreat with declining water table.</w:t>
            </w:r>
          </w:p>
        </w:tc>
      </w:tr>
      <w:tr w:rsidR="003D3694" w:rsidRPr="00747E35" w14:paraId="34E68336" w14:textId="77777777" w:rsidTr="0096743A">
        <w:tc>
          <w:tcPr>
            <w:tcW w:w="0" w:type="auto"/>
          </w:tcPr>
          <w:p w14:paraId="20616BDD"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Post drawdown / Recovery</w:t>
            </w:r>
          </w:p>
        </w:tc>
        <w:tc>
          <w:tcPr>
            <w:tcW w:w="0" w:type="auto"/>
          </w:tcPr>
          <w:p w14:paraId="5473BDE9"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Return to “typical” conditions as at start of cycle top panel.</w:t>
            </w:r>
          </w:p>
        </w:tc>
        <w:tc>
          <w:tcPr>
            <w:tcW w:w="0" w:type="auto"/>
          </w:tcPr>
          <w:p w14:paraId="774973D0"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Restored</w:t>
            </w:r>
          </w:p>
        </w:tc>
        <w:tc>
          <w:tcPr>
            <w:tcW w:w="0" w:type="auto"/>
          </w:tcPr>
          <w:p w14:paraId="57ECE4C1"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Restored</w:t>
            </w:r>
          </w:p>
        </w:tc>
        <w:tc>
          <w:tcPr>
            <w:tcW w:w="0" w:type="auto"/>
          </w:tcPr>
          <w:p w14:paraId="3610930F" w14:textId="77777777" w:rsidR="003D3694" w:rsidRPr="00747E35" w:rsidRDefault="003D3694" w:rsidP="0096743A">
            <w:pPr>
              <w:pStyle w:val="Tabletext"/>
              <w:keepNext/>
              <w:keepLines/>
              <w:spacing w:before="0" w:after="0"/>
              <w:rPr>
                <w:rFonts w:cstheme="minorHAnsi"/>
                <w:sz w:val="16"/>
                <w:szCs w:val="16"/>
                <w:lang w:eastAsia="en-AU"/>
              </w:rPr>
            </w:pPr>
            <w:r w:rsidRPr="00747E35">
              <w:rPr>
                <w:rFonts w:cstheme="minorHAnsi"/>
                <w:sz w:val="16"/>
                <w:szCs w:val="16"/>
                <w:lang w:eastAsia="en-AU"/>
              </w:rPr>
              <w:t>Stygoxenes and epigean groups recolonize from adjacent surface populations. For hypogean groups, depends on connectivity to, and persistence of aquifer reservoir populations of stygobites and stygophiles.</w:t>
            </w:r>
          </w:p>
        </w:tc>
      </w:tr>
    </w:tbl>
    <w:p w14:paraId="0A448384" w14:textId="77777777" w:rsidR="003D3694" w:rsidRPr="00747E35" w:rsidRDefault="003D3694" w:rsidP="003D3694">
      <w:pPr>
        <w:rPr>
          <w:rFonts w:asciiTheme="minorHAnsi" w:hAnsiTheme="minorHAnsi" w:cstheme="minorHAnsi"/>
        </w:rPr>
      </w:pPr>
    </w:p>
    <w:p w14:paraId="01760AB7" w14:textId="68920F6C" w:rsidR="003D3694" w:rsidRPr="00747E35" w:rsidRDefault="003D3694" w:rsidP="003D3694">
      <w:pPr>
        <w:pStyle w:val="Heading3"/>
        <w:rPr>
          <w:rFonts w:asciiTheme="minorHAnsi" w:hAnsiTheme="minorHAnsi" w:cstheme="minorHAnsi"/>
        </w:rPr>
      </w:pPr>
      <w:bookmarkStart w:id="359" w:name="_Toc467211723"/>
      <w:bookmarkStart w:id="360" w:name="_Toc470004892"/>
      <w:r w:rsidRPr="00747E35">
        <w:rPr>
          <w:rFonts w:asciiTheme="minorHAnsi" w:hAnsiTheme="minorHAnsi" w:cstheme="minorHAnsi"/>
        </w:rPr>
        <w:t xml:space="preserve">Evaluation of </w:t>
      </w:r>
      <w:bookmarkEnd w:id="351"/>
      <w:r w:rsidRPr="00747E35">
        <w:rPr>
          <w:rFonts w:asciiTheme="minorHAnsi" w:hAnsiTheme="minorHAnsi" w:cstheme="minorHAnsi"/>
        </w:rPr>
        <w:t>hypotheses</w:t>
      </w:r>
      <w:bookmarkEnd w:id="359"/>
      <w:bookmarkEnd w:id="360"/>
    </w:p>
    <w:p w14:paraId="2885C4F5" w14:textId="77777777" w:rsidR="003D3694" w:rsidRPr="00747E35" w:rsidRDefault="003D3694" w:rsidP="0083624F">
      <w:pPr>
        <w:pStyle w:val="ListParagraph"/>
        <w:numPr>
          <w:ilvl w:val="0"/>
          <w:numId w:val="15"/>
        </w:numPr>
        <w:adjustRightInd w:val="0"/>
        <w:spacing w:before="60" w:after="120" w:line="240" w:lineRule="auto"/>
        <w:contextualSpacing w:val="0"/>
        <w:jc w:val="both"/>
        <w:rPr>
          <w:rFonts w:asciiTheme="minorHAnsi" w:hAnsiTheme="minorHAnsi" w:cstheme="minorHAnsi"/>
          <w:color w:val="000000" w:themeColor="text1"/>
        </w:rPr>
      </w:pPr>
      <w:r w:rsidRPr="00747E35">
        <w:rPr>
          <w:rFonts w:asciiTheme="minorHAnsi" w:hAnsiTheme="minorHAnsi" w:cstheme="minorHAnsi"/>
          <w:color w:val="000000" w:themeColor="text1"/>
        </w:rPr>
        <w:t>Variation in stream flow regime and the degree of substrate saturation will influence organic matter processing in surface and hyporheic environments, with greater decomposition in wetter experimental periods and areas (as per Component 2).</w:t>
      </w:r>
    </w:p>
    <w:p w14:paraId="2EE1A081" w14:textId="77777777" w:rsidR="003D3694" w:rsidRPr="00747E35" w:rsidRDefault="003D3694" w:rsidP="0083624F">
      <w:pPr>
        <w:pStyle w:val="ListParagraph"/>
        <w:numPr>
          <w:ilvl w:val="1"/>
          <w:numId w:val="15"/>
        </w:numPr>
        <w:adjustRightInd w:val="0"/>
        <w:spacing w:before="60" w:after="120" w:line="240" w:lineRule="auto"/>
        <w:contextualSpacing w:val="0"/>
        <w:jc w:val="both"/>
        <w:rPr>
          <w:rFonts w:asciiTheme="minorHAnsi" w:hAnsiTheme="minorHAnsi" w:cstheme="minorHAnsi"/>
          <w:color w:val="000000" w:themeColor="text1"/>
        </w:rPr>
      </w:pPr>
      <w:r w:rsidRPr="00747E35">
        <w:rPr>
          <w:rFonts w:asciiTheme="minorHAnsi" w:hAnsiTheme="minorHAnsi" w:cstheme="minorHAnsi"/>
          <w:color w:val="000000" w:themeColor="text1"/>
        </w:rPr>
        <w:t xml:space="preserve">Organic matter decomposition was lower in drier surface habitats and principally related to the degree of substrate saturation. Consequently, our findings support the notion that a loss of in-stream wetted area will slow organic matter decomposition in surface habitats. However, rates of organic matter decomposition were consistently greater in the hyporheic zone than in surface habitats, and were largely unaffected by surface drying (as per Component 2). </w:t>
      </w:r>
    </w:p>
    <w:p w14:paraId="20D74E5E" w14:textId="234EEA0A" w:rsidR="003D3694" w:rsidRPr="00747E35" w:rsidRDefault="003D3694" w:rsidP="0083624F">
      <w:pPr>
        <w:pStyle w:val="ListParagraph"/>
        <w:numPr>
          <w:ilvl w:val="0"/>
          <w:numId w:val="15"/>
        </w:numPr>
        <w:adjustRightInd w:val="0"/>
        <w:spacing w:before="60" w:after="120" w:line="240" w:lineRule="auto"/>
        <w:contextualSpacing w:val="0"/>
        <w:jc w:val="both"/>
        <w:rPr>
          <w:rFonts w:asciiTheme="minorHAnsi" w:hAnsiTheme="minorHAnsi" w:cstheme="minorHAnsi"/>
          <w:color w:val="000000" w:themeColor="text1"/>
        </w:rPr>
      </w:pPr>
      <w:r w:rsidRPr="00747E35">
        <w:rPr>
          <w:rFonts w:asciiTheme="minorHAnsi" w:hAnsiTheme="minorHAnsi" w:cstheme="minorHAnsi"/>
          <w:color w:val="000000" w:themeColor="text1"/>
        </w:rPr>
        <w:t xml:space="preserve">Variation in groundwater discharge (stream flow regime gaining or losing) and hyporheic exchange flow direction (upwelling vs. </w:t>
      </w:r>
      <w:r w:rsidR="006B2C7A">
        <w:rPr>
          <w:rFonts w:asciiTheme="minorHAnsi" w:hAnsiTheme="minorHAnsi" w:cstheme="minorHAnsi"/>
          <w:color w:val="000000" w:themeColor="text1"/>
        </w:rPr>
        <w:t>downwelling</w:t>
      </w:r>
      <w:r w:rsidRPr="00747E35">
        <w:rPr>
          <w:rFonts w:asciiTheme="minorHAnsi" w:hAnsiTheme="minorHAnsi" w:cstheme="minorHAnsi"/>
          <w:color w:val="000000" w:themeColor="text1"/>
        </w:rPr>
        <w:t>) and flow path length, will influence the biogeochemical processing of nutrients and organic carbon (OC), and redox hydrochemistry.</w:t>
      </w:r>
    </w:p>
    <w:p w14:paraId="7EE631A4" w14:textId="1E49706A" w:rsidR="003D3694" w:rsidRPr="00747E35" w:rsidRDefault="003D3694" w:rsidP="0083624F">
      <w:pPr>
        <w:pStyle w:val="ListParagraph"/>
        <w:numPr>
          <w:ilvl w:val="1"/>
          <w:numId w:val="15"/>
        </w:numPr>
        <w:adjustRightInd w:val="0"/>
        <w:spacing w:before="60" w:after="120" w:line="240" w:lineRule="auto"/>
        <w:contextualSpacing w:val="0"/>
        <w:jc w:val="both"/>
        <w:rPr>
          <w:rFonts w:asciiTheme="minorHAnsi" w:hAnsiTheme="minorHAnsi" w:cstheme="minorHAnsi"/>
          <w:color w:val="000000" w:themeColor="text1"/>
        </w:rPr>
      </w:pPr>
      <w:r w:rsidRPr="00747E35">
        <w:rPr>
          <w:rFonts w:asciiTheme="minorHAnsi" w:hAnsiTheme="minorHAnsi" w:cstheme="minorHAnsi"/>
          <w:color w:val="000000" w:themeColor="text1"/>
        </w:rPr>
        <w:t xml:space="preserve">Biogeochemical processing of nutrients and organic carbon (OC), and redox hydrochemistry were principally related to the interplay between groundwater discharge and hyporheic exchange gradients. Hyporheic </w:t>
      </w:r>
      <w:r w:rsidR="006B2C7A">
        <w:rPr>
          <w:rFonts w:asciiTheme="minorHAnsi" w:hAnsiTheme="minorHAnsi" w:cstheme="minorHAnsi"/>
          <w:color w:val="000000" w:themeColor="text1"/>
        </w:rPr>
        <w:t>downwelling</w:t>
      </w:r>
      <w:r w:rsidRPr="00747E35">
        <w:rPr>
          <w:rFonts w:asciiTheme="minorHAnsi" w:hAnsiTheme="minorHAnsi" w:cstheme="minorHAnsi"/>
          <w:color w:val="000000" w:themeColor="text1"/>
        </w:rPr>
        <w:t xml:space="preserve"> and stream losing conditions were characterised by chemically reducing conditions. Hyporheic upwelling and stream gaining hydrochemical conditions were dependent on </w:t>
      </w:r>
      <w:r w:rsidRPr="00747E35">
        <w:rPr>
          <w:rFonts w:asciiTheme="minorHAnsi" w:hAnsiTheme="minorHAnsi" w:cstheme="minorHAnsi"/>
        </w:rPr>
        <w:t xml:space="preserve">the length and/or residence time along hyporheic flow paths, as well as the influence of regional groundwater discharge mixing with hyporheic exchange flows.  </w:t>
      </w:r>
      <w:r w:rsidRPr="00747E35">
        <w:rPr>
          <w:rFonts w:asciiTheme="minorHAnsi" w:hAnsiTheme="minorHAnsi" w:cstheme="minorHAnsi"/>
          <w:color w:val="000000" w:themeColor="text1"/>
        </w:rPr>
        <w:lastRenderedPageBreak/>
        <w:t xml:space="preserve">In the Maules catchment, localised discharge of oxic regional groundwater exerted a strong influence on hyporheic biogeochemical processes by sustaining aerobic biogeochemical processes to a greater degree than would be expected if groundwater discharge was anoxic. </w:t>
      </w:r>
    </w:p>
    <w:p w14:paraId="600B5FB1" w14:textId="77777777" w:rsidR="003D3694" w:rsidRPr="00747E35" w:rsidRDefault="003D3694" w:rsidP="0083624F">
      <w:pPr>
        <w:pStyle w:val="ListParagraph"/>
        <w:numPr>
          <w:ilvl w:val="1"/>
          <w:numId w:val="15"/>
        </w:numPr>
        <w:adjustRightInd w:val="0"/>
        <w:spacing w:before="60" w:after="120" w:line="240" w:lineRule="auto"/>
        <w:contextualSpacing w:val="0"/>
        <w:jc w:val="both"/>
        <w:rPr>
          <w:rFonts w:asciiTheme="minorHAnsi" w:hAnsiTheme="minorHAnsi" w:cstheme="minorHAnsi"/>
          <w:color w:val="000000" w:themeColor="text1"/>
        </w:rPr>
      </w:pPr>
      <w:r w:rsidRPr="00747E35">
        <w:rPr>
          <w:rFonts w:asciiTheme="minorHAnsi" w:hAnsiTheme="minorHAnsi" w:cstheme="minorHAnsi"/>
        </w:rPr>
        <w:t xml:space="preserve">Generally, we found that nitrate/ammonium ratios initially increased along hyporheic flow paths, presumably due to nitrification coupled to organic matter mineralisation, and then decreased as denitrification set in.  As the length and/or residence time along hyporheic flow paths increased, hydrochemical conditions became more reduced and progressed from oxic to suboxic (DO &lt; 0.5 mg/L) and then hypoxic-anoxic (DO &lt; 0.2 mg/L), leading to reduced ionic species including ferrous iron and manganese. We found that the onset of iron-oxide reduction coincided with release of phosphorus and a reduction in nitrogen/ phosphorus ratios. </w:t>
      </w:r>
    </w:p>
    <w:p w14:paraId="2F62FC51" w14:textId="77777777" w:rsidR="003D3694" w:rsidRPr="00747E35" w:rsidRDefault="003D3694" w:rsidP="0083624F">
      <w:pPr>
        <w:pStyle w:val="ListParagraph"/>
        <w:numPr>
          <w:ilvl w:val="0"/>
          <w:numId w:val="15"/>
        </w:numPr>
        <w:adjustRightInd w:val="0"/>
        <w:spacing w:before="60" w:after="240" w:line="240" w:lineRule="auto"/>
        <w:contextualSpacing w:val="0"/>
        <w:jc w:val="both"/>
        <w:rPr>
          <w:rFonts w:asciiTheme="minorHAnsi" w:hAnsiTheme="minorHAnsi" w:cstheme="minorHAnsi"/>
          <w:color w:val="000000" w:themeColor="text1"/>
        </w:rPr>
      </w:pPr>
      <w:r w:rsidRPr="00747E35">
        <w:rPr>
          <w:rFonts w:asciiTheme="minorHAnsi" w:hAnsiTheme="minorHAnsi" w:cstheme="minorHAnsi"/>
          <w:color w:val="000000" w:themeColor="text1"/>
        </w:rPr>
        <w:t>Variation in stream flow regime, hyporheic exchange flows, organic carbon (OC), dissolved oxygen (DO) and redox hydrochemistry will influence the richness, abundance and functional composition of hyporheic invertebrate assemblages.</w:t>
      </w:r>
    </w:p>
    <w:p w14:paraId="0376824D" w14:textId="77777777" w:rsidR="003D3694" w:rsidRPr="00747E35" w:rsidRDefault="003D3694" w:rsidP="0083624F">
      <w:pPr>
        <w:pStyle w:val="ListParagraph"/>
        <w:numPr>
          <w:ilvl w:val="1"/>
          <w:numId w:val="15"/>
        </w:numPr>
        <w:adjustRightInd w:val="0"/>
        <w:spacing w:before="60" w:after="240" w:line="240" w:lineRule="auto"/>
        <w:contextualSpacing w:val="0"/>
        <w:jc w:val="both"/>
        <w:rPr>
          <w:rFonts w:asciiTheme="minorHAnsi" w:hAnsiTheme="minorHAnsi" w:cstheme="minorHAnsi"/>
          <w:color w:val="000000" w:themeColor="text1"/>
        </w:rPr>
      </w:pPr>
      <w:r w:rsidRPr="00747E35">
        <w:rPr>
          <w:rFonts w:asciiTheme="minorHAnsi" w:hAnsiTheme="minorHAnsi" w:cstheme="minorHAnsi"/>
          <w:color w:val="000000" w:themeColor="text1"/>
        </w:rPr>
        <w:t xml:space="preserve">Hyporheic invertebrate assemblages, richness and abundance were highly variable over small spatial scales, and at different time periods of sampling. </w:t>
      </w:r>
      <w:r w:rsidRPr="00747E35">
        <w:rPr>
          <w:rFonts w:asciiTheme="minorHAnsi" w:hAnsiTheme="minorHAnsi" w:cstheme="minorHAnsi"/>
        </w:rPr>
        <w:t xml:space="preserve">In our study sites, oxic conditions, irrespective of flow regime class and hyporheic exchange direction, supported the existence of hyporheos. In both Bremer and Maules catchments, suboxic conditions (DO &lt; 0.5 mg/L) were associated with depletion of invertebrate richness and abundance, and invertebrate absence was correlated with severely hypoxic / anoxic conditions and reduced ionic species (especially iron). </w:t>
      </w:r>
    </w:p>
    <w:p w14:paraId="74717366" w14:textId="4222A52F" w:rsidR="003D3694" w:rsidRPr="00747E35" w:rsidRDefault="003D3694" w:rsidP="0083624F">
      <w:pPr>
        <w:pStyle w:val="ListParagraph"/>
        <w:numPr>
          <w:ilvl w:val="1"/>
          <w:numId w:val="15"/>
        </w:numPr>
        <w:adjustRightInd w:val="0"/>
        <w:spacing w:before="60" w:after="240" w:line="240" w:lineRule="auto"/>
        <w:contextualSpacing w:val="0"/>
        <w:jc w:val="both"/>
        <w:rPr>
          <w:rFonts w:asciiTheme="minorHAnsi" w:hAnsiTheme="minorHAnsi" w:cstheme="minorHAnsi"/>
          <w:color w:val="000000" w:themeColor="text1"/>
        </w:rPr>
      </w:pPr>
      <w:r w:rsidRPr="00747E35">
        <w:rPr>
          <w:rFonts w:asciiTheme="minorHAnsi" w:hAnsiTheme="minorHAnsi" w:cstheme="minorHAnsi"/>
          <w:color w:val="000000" w:themeColor="text1"/>
        </w:rPr>
        <w:t xml:space="preserve">The influence of stream flow regime and hyporheic exchange flow gradients was equivocal in our study sites. </w:t>
      </w:r>
      <w:r w:rsidRPr="00747E35">
        <w:rPr>
          <w:rFonts w:asciiTheme="minorHAnsi" w:hAnsiTheme="minorHAnsi" w:cstheme="minorHAnsi"/>
        </w:rPr>
        <w:t xml:space="preserve">In the Maules catchment, where locally strong discharge of oxic regional groundwater occurs in combination with hyporheic upwelling, richness and abundance were significantly higher than in habitat patches where the hydraulic head difference was weakly upwelling, neutral, or </w:t>
      </w:r>
      <w:r w:rsidR="006B2C7A">
        <w:rPr>
          <w:rFonts w:asciiTheme="minorHAnsi" w:hAnsiTheme="minorHAnsi" w:cstheme="minorHAnsi"/>
        </w:rPr>
        <w:t>downwelling</w:t>
      </w:r>
      <w:r w:rsidRPr="00747E35">
        <w:rPr>
          <w:rFonts w:asciiTheme="minorHAnsi" w:hAnsiTheme="minorHAnsi" w:cstheme="minorHAnsi"/>
        </w:rPr>
        <w:t xml:space="preserve">. At a broader spatial scale within the Maules catchment, we found that the hyporheos was significantly more diverse in the stream section with an intermittent flow regime (Middle Creek) than in the sections with perennial gaining and losing regimes. In the Bremer catchment, where groundwater discharge and </w:t>
      </w:r>
      <w:r w:rsidRPr="00747E35">
        <w:rPr>
          <w:rFonts w:asciiTheme="minorHAnsi" w:hAnsiTheme="minorHAnsi" w:cstheme="minorHAnsi"/>
          <w:color w:val="000000" w:themeColor="text1"/>
        </w:rPr>
        <w:t xml:space="preserve">hyporheic exchange flow gradients are more muted, </w:t>
      </w:r>
      <w:r w:rsidRPr="00747E35">
        <w:rPr>
          <w:rFonts w:asciiTheme="minorHAnsi" w:hAnsiTheme="minorHAnsi" w:cstheme="minorHAnsi"/>
        </w:rPr>
        <w:t xml:space="preserve">we found no statistically significant (p&lt; 0.05) differences related to stream flow regime or </w:t>
      </w:r>
      <w:r w:rsidRPr="00747E35">
        <w:rPr>
          <w:rFonts w:asciiTheme="minorHAnsi" w:hAnsiTheme="minorHAnsi" w:cstheme="minorHAnsi"/>
          <w:color w:val="000000" w:themeColor="text1"/>
        </w:rPr>
        <w:t xml:space="preserve">hyporheic exchange. </w:t>
      </w:r>
    </w:p>
    <w:p w14:paraId="3F650F6F" w14:textId="77777777" w:rsidR="003D3694" w:rsidRPr="00747E35" w:rsidRDefault="003D3694" w:rsidP="0083624F">
      <w:pPr>
        <w:pStyle w:val="ListParagraph"/>
        <w:numPr>
          <w:ilvl w:val="1"/>
          <w:numId w:val="15"/>
        </w:numPr>
        <w:adjustRightInd w:val="0"/>
        <w:spacing w:before="60" w:after="240" w:line="240" w:lineRule="auto"/>
        <w:contextualSpacing w:val="0"/>
        <w:jc w:val="both"/>
        <w:rPr>
          <w:rFonts w:asciiTheme="minorHAnsi" w:hAnsiTheme="minorHAnsi" w:cstheme="minorHAnsi"/>
          <w:color w:val="000000" w:themeColor="text1"/>
        </w:rPr>
      </w:pPr>
      <w:r w:rsidRPr="00747E35">
        <w:rPr>
          <w:rFonts w:asciiTheme="minorHAnsi" w:hAnsiTheme="minorHAnsi" w:cstheme="minorHAnsi"/>
          <w:color w:val="000000" w:themeColor="text1"/>
        </w:rPr>
        <w:t>We found limited evidence of associations between hyporheic diversity and measures of organic carbon, namely negative correlations of richness and abundance with processed and unprocessed humics (PARAFAC) in the Maules catchment only.</w:t>
      </w:r>
    </w:p>
    <w:p w14:paraId="230DE713" w14:textId="77777777" w:rsidR="003D3694" w:rsidRPr="00747E35" w:rsidRDefault="003D3694" w:rsidP="0083624F">
      <w:pPr>
        <w:pStyle w:val="ListParagraph"/>
        <w:numPr>
          <w:ilvl w:val="1"/>
          <w:numId w:val="15"/>
        </w:numPr>
        <w:adjustRightInd w:val="0"/>
        <w:spacing w:before="60" w:after="240" w:line="240" w:lineRule="auto"/>
        <w:contextualSpacing w:val="0"/>
        <w:jc w:val="both"/>
        <w:rPr>
          <w:rFonts w:asciiTheme="minorHAnsi" w:hAnsiTheme="minorHAnsi" w:cstheme="minorHAnsi"/>
          <w:color w:val="000000" w:themeColor="text1"/>
        </w:rPr>
      </w:pPr>
      <w:r w:rsidRPr="00747E35">
        <w:rPr>
          <w:rFonts w:asciiTheme="minorHAnsi" w:hAnsiTheme="minorHAnsi" w:cstheme="minorHAnsi"/>
          <w:color w:val="000000" w:themeColor="text1"/>
        </w:rPr>
        <w:t>The functional composition of hyporheic invertebrate assemblages, as characterised by the representation of stygobites, stygophiles and stygoxenes, appeared to be coupled with hydrologic connectivity between the hyporheic zone and permanent regional groundwater (aquifers). Stygobites that were ‘indicator taxa’ of connectivity to permanent groundwater</w:t>
      </w:r>
      <w:r w:rsidRPr="00747E35">
        <w:rPr>
          <w:rFonts w:asciiTheme="minorHAnsi" w:hAnsiTheme="minorHAnsi" w:cstheme="minorHAnsi"/>
        </w:rPr>
        <w:t xml:space="preserve"> included the Bathynellidae, Parabathynellidae and Psammaspididae. Some evidence for changes in </w:t>
      </w:r>
      <w:r w:rsidRPr="00747E35">
        <w:rPr>
          <w:rFonts w:asciiTheme="minorHAnsi" w:hAnsiTheme="minorHAnsi" w:cstheme="minorHAnsi"/>
          <w:color w:val="000000" w:themeColor="text1"/>
        </w:rPr>
        <w:t xml:space="preserve">functional composition was suggested by the inability of sampling </w:t>
      </w:r>
      <w:r w:rsidRPr="00747E35">
        <w:rPr>
          <w:rFonts w:asciiTheme="minorHAnsi" w:hAnsiTheme="minorHAnsi" w:cstheme="minorHAnsi"/>
        </w:rPr>
        <w:t>to detect stygobites in the losing section of Maules Creek, but this may be a consequence of the depauperate assemblages and limited sampling.</w:t>
      </w:r>
    </w:p>
    <w:p w14:paraId="67667DE5" w14:textId="77777777" w:rsidR="003D3694" w:rsidRPr="00747E35" w:rsidRDefault="003D3694" w:rsidP="0083624F">
      <w:pPr>
        <w:pStyle w:val="ListParagraph"/>
        <w:numPr>
          <w:ilvl w:val="1"/>
          <w:numId w:val="15"/>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 xml:space="preserve">The equivocal evidence for </w:t>
      </w:r>
      <w:r w:rsidRPr="00747E35">
        <w:rPr>
          <w:rFonts w:asciiTheme="minorHAnsi" w:hAnsiTheme="minorHAnsi" w:cstheme="minorHAnsi"/>
          <w:color w:val="000000" w:themeColor="text1"/>
        </w:rPr>
        <w:t xml:space="preserve">influence of stream flow regime on hyporheos assemblages, and the unexpected diversity found in the intermittent section in Maules catchment, suggest that the surface expression of flow regime per se is limited consequence in shaping hyporheos patterns, which are more directly linked to stream baseflow - groundwater connectivity. </w:t>
      </w:r>
    </w:p>
    <w:p w14:paraId="61F8AAA8" w14:textId="77777777" w:rsidR="003D3694" w:rsidRPr="00747E35" w:rsidRDefault="003D3694" w:rsidP="0083624F">
      <w:pPr>
        <w:pStyle w:val="ListParagraph"/>
        <w:numPr>
          <w:ilvl w:val="0"/>
          <w:numId w:val="15"/>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color w:val="000000" w:themeColor="text1"/>
        </w:rPr>
        <w:t xml:space="preserve">Variation in stream baseflow - groundwater connectivity will influence the capacity of hyporheic ecosystems to withstand environmental changes that result in lowering groundwater levels, and also their capacity to recover when groundwater levels are restored. </w:t>
      </w:r>
    </w:p>
    <w:p w14:paraId="1BB7E186" w14:textId="77777777" w:rsidR="003D3694" w:rsidRPr="00747E35" w:rsidRDefault="003D3694" w:rsidP="0083624F">
      <w:pPr>
        <w:pStyle w:val="ListParagraph"/>
        <w:numPr>
          <w:ilvl w:val="1"/>
          <w:numId w:val="15"/>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lastRenderedPageBreak/>
        <w:t xml:space="preserve">The aquifer bore sampling findings supported our hypothesis that the hyporheic zone at Maules Creek shared strong hydrologic connectivity and faunal similarities with the regional superficial aquifer. The implications of this similarity were that the regional aquifer functions as a retreat or ‘refuge’ for hyporheic stygobites and stygophiles when the hyporheic zone becomes desaturated, for example during drought or groundwater drawdown from pumping. Likewise, the aquifer may also function as the source for stygobite and stygophile recolonization of the hyporheic zone when the hyporheic zone becomes re-saturated. </w:t>
      </w:r>
    </w:p>
    <w:p w14:paraId="78539A22" w14:textId="77777777" w:rsidR="003D3694" w:rsidRPr="00747E35" w:rsidRDefault="003D3694" w:rsidP="0083624F">
      <w:pPr>
        <w:pStyle w:val="ListParagraph"/>
        <w:numPr>
          <w:ilvl w:val="1"/>
          <w:numId w:val="15"/>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We found no evidence to contradict our hypothesis that groundwater (baseflow) connectivity likely confers resistance and resilience in stream and hyporheic ecosystems, but the nature, context and regime of stream, baseflow and aquifer connectivity are likely to be fundamentally important.</w:t>
      </w:r>
    </w:p>
    <w:p w14:paraId="3A4CFCFE" w14:textId="77777777" w:rsidR="003D3694" w:rsidRPr="00747E35" w:rsidRDefault="003D3694" w:rsidP="003D3694">
      <w:pPr>
        <w:autoSpaceDE/>
        <w:autoSpaceDN/>
        <w:spacing w:line="276" w:lineRule="auto"/>
        <w:rPr>
          <w:rFonts w:asciiTheme="minorHAnsi" w:hAnsiTheme="minorHAnsi" w:cstheme="minorHAnsi"/>
        </w:rPr>
      </w:pPr>
      <w:r w:rsidRPr="00747E35">
        <w:rPr>
          <w:rFonts w:asciiTheme="minorHAnsi" w:hAnsiTheme="minorHAnsi" w:cstheme="minorHAnsi"/>
        </w:rPr>
        <w:br w:type="page"/>
      </w:r>
    </w:p>
    <w:p w14:paraId="369272D1" w14:textId="4407DDCD" w:rsidR="003D3694" w:rsidRPr="00747E35" w:rsidRDefault="003D3694" w:rsidP="003D3694">
      <w:pPr>
        <w:pStyle w:val="Heading2"/>
        <w:ind w:left="0" w:firstLine="0"/>
        <w:rPr>
          <w:rFonts w:asciiTheme="minorHAnsi" w:hAnsiTheme="minorHAnsi" w:cstheme="minorHAnsi"/>
        </w:rPr>
      </w:pPr>
      <w:bookmarkStart w:id="361" w:name="_Toc466449967"/>
      <w:bookmarkStart w:id="362" w:name="_Toc466450368"/>
      <w:bookmarkStart w:id="363" w:name="_Toc467211725"/>
      <w:bookmarkStart w:id="364" w:name="_Toc470004893"/>
      <w:r w:rsidRPr="00747E35">
        <w:rPr>
          <w:rFonts w:asciiTheme="minorHAnsi" w:hAnsiTheme="minorHAnsi" w:cstheme="minorHAnsi"/>
        </w:rPr>
        <w:lastRenderedPageBreak/>
        <w:t>References</w:t>
      </w:r>
      <w:bookmarkEnd w:id="361"/>
      <w:bookmarkEnd w:id="362"/>
      <w:bookmarkEnd w:id="363"/>
      <w:r w:rsidRPr="00747E35">
        <w:rPr>
          <w:rFonts w:asciiTheme="minorHAnsi" w:hAnsiTheme="minorHAnsi" w:cstheme="minorHAnsi"/>
        </w:rPr>
        <w:t xml:space="preserve"> for Component 3</w:t>
      </w:r>
      <w:bookmarkEnd w:id="364"/>
    </w:p>
    <w:p w14:paraId="700ED7B8" w14:textId="2F47A3BB" w:rsidR="0087451A" w:rsidRPr="00747E35" w:rsidRDefault="00283A3B" w:rsidP="00A64AF8">
      <w:pPr>
        <w:pStyle w:val="References"/>
        <w:ind w:left="284" w:hanging="284"/>
        <w:rPr>
          <w:rFonts w:asciiTheme="minorHAnsi" w:hAnsiTheme="minorHAnsi" w:cstheme="minorHAnsi"/>
        </w:rPr>
      </w:pPr>
      <w:r>
        <w:rPr>
          <w:rFonts w:asciiTheme="minorHAnsi" w:hAnsiTheme="minorHAnsi" w:cstheme="minorHAnsi"/>
        </w:rPr>
        <w:t>Appelo C. A. J.</w:t>
      </w:r>
      <w:r w:rsidR="0087451A" w:rsidRPr="00747E35">
        <w:rPr>
          <w:rFonts w:asciiTheme="minorHAnsi" w:hAnsiTheme="minorHAnsi" w:cstheme="minorHAnsi"/>
        </w:rPr>
        <w:t xml:space="preserve"> &amp; Postma, D. (2005)</w:t>
      </w:r>
      <w:r w:rsidR="00DD0803">
        <w:rPr>
          <w:rFonts w:asciiTheme="minorHAnsi" w:hAnsiTheme="minorHAnsi" w:cstheme="minorHAnsi"/>
        </w:rPr>
        <w:t>.</w:t>
      </w:r>
      <w:r w:rsidR="0087451A" w:rsidRPr="00747E35">
        <w:rPr>
          <w:rFonts w:asciiTheme="minorHAnsi" w:hAnsiTheme="minorHAnsi" w:cstheme="minorHAnsi"/>
        </w:rPr>
        <w:t xml:space="preserve"> Geochemistry, Groundwater and Pollution (2nd Edition ed.): CRC Press.</w:t>
      </w:r>
    </w:p>
    <w:p w14:paraId="0476B312" w14:textId="601E9873"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 xml:space="preserve">Andersen M. S. </w:t>
      </w:r>
      <w:r w:rsidR="00E74263">
        <w:rPr>
          <w:rFonts w:asciiTheme="minorHAnsi" w:hAnsiTheme="minorHAnsi" w:cstheme="minorHAnsi"/>
        </w:rPr>
        <w:t>&amp;</w:t>
      </w:r>
      <w:r w:rsidRPr="00747E35">
        <w:rPr>
          <w:rFonts w:asciiTheme="minorHAnsi" w:hAnsiTheme="minorHAnsi" w:cstheme="minorHAnsi"/>
        </w:rPr>
        <w:t xml:space="preserve"> Acworth</w:t>
      </w:r>
      <w:r w:rsidR="00782D27" w:rsidRPr="00782D27">
        <w:rPr>
          <w:rFonts w:asciiTheme="minorHAnsi" w:hAnsiTheme="minorHAnsi" w:cstheme="minorHAnsi"/>
        </w:rPr>
        <w:t xml:space="preserve"> </w:t>
      </w:r>
      <w:r w:rsidR="00782D27" w:rsidRPr="00747E35">
        <w:rPr>
          <w:rFonts w:asciiTheme="minorHAnsi" w:hAnsiTheme="minorHAnsi" w:cstheme="minorHAnsi"/>
        </w:rPr>
        <w:t xml:space="preserve">R. </w:t>
      </w:r>
      <w:r w:rsidRPr="00747E35">
        <w:rPr>
          <w:rFonts w:asciiTheme="minorHAnsi" w:hAnsiTheme="minorHAnsi" w:cstheme="minorHAnsi"/>
        </w:rPr>
        <w:t>(2009)</w:t>
      </w:r>
      <w:r w:rsidR="00DD0803">
        <w:rPr>
          <w:rFonts w:asciiTheme="minorHAnsi" w:hAnsiTheme="minorHAnsi" w:cstheme="minorHAnsi"/>
        </w:rPr>
        <w:t>.</w:t>
      </w:r>
      <w:r w:rsidRPr="00747E35">
        <w:rPr>
          <w:rFonts w:asciiTheme="minorHAnsi" w:hAnsiTheme="minorHAnsi" w:cstheme="minorHAnsi"/>
        </w:rPr>
        <w:t xml:space="preserve"> Stream-aquifer interactions in the Maules Creek catchment, Namoi Val</w:t>
      </w:r>
      <w:r w:rsidR="00DD0803">
        <w:rPr>
          <w:rFonts w:asciiTheme="minorHAnsi" w:hAnsiTheme="minorHAnsi" w:cstheme="minorHAnsi"/>
        </w:rPr>
        <w:t>ley, New South Wales, Australia.</w:t>
      </w:r>
      <w:r w:rsidRPr="00747E35">
        <w:rPr>
          <w:rFonts w:asciiTheme="minorHAnsi" w:hAnsiTheme="minorHAnsi" w:cstheme="minorHAnsi"/>
        </w:rPr>
        <w:t xml:space="preserve"> </w:t>
      </w:r>
      <w:r w:rsidRPr="00DD0803">
        <w:rPr>
          <w:rFonts w:asciiTheme="minorHAnsi" w:hAnsiTheme="minorHAnsi" w:cstheme="minorHAnsi"/>
          <w:i/>
        </w:rPr>
        <w:t>Hydrogeol</w:t>
      </w:r>
      <w:r w:rsidR="00DD0803" w:rsidRPr="00DD0803">
        <w:rPr>
          <w:rFonts w:asciiTheme="minorHAnsi" w:hAnsiTheme="minorHAnsi" w:cstheme="minorHAnsi"/>
          <w:i/>
        </w:rPr>
        <w:t>ogy</w:t>
      </w:r>
      <w:r w:rsidRPr="00DD0803">
        <w:rPr>
          <w:rFonts w:asciiTheme="minorHAnsi" w:hAnsiTheme="minorHAnsi" w:cstheme="minorHAnsi"/>
          <w:i/>
        </w:rPr>
        <w:t xml:space="preserve"> J</w:t>
      </w:r>
      <w:r w:rsidR="00DD0803" w:rsidRPr="00DD0803">
        <w:rPr>
          <w:rFonts w:asciiTheme="minorHAnsi" w:hAnsiTheme="minorHAnsi" w:cstheme="minorHAnsi"/>
          <w:i/>
        </w:rPr>
        <w:t>ournal</w:t>
      </w:r>
      <w:r w:rsidR="00DD0803">
        <w:rPr>
          <w:rFonts w:asciiTheme="minorHAnsi" w:hAnsiTheme="minorHAnsi" w:cstheme="minorHAnsi"/>
        </w:rPr>
        <w:t xml:space="preserve"> </w:t>
      </w:r>
      <w:r w:rsidRPr="00747E35">
        <w:rPr>
          <w:rFonts w:asciiTheme="minorHAnsi" w:hAnsiTheme="minorHAnsi" w:cstheme="minorHAnsi"/>
        </w:rPr>
        <w:t>17</w:t>
      </w:r>
      <w:r w:rsidR="00DD0803">
        <w:rPr>
          <w:rFonts w:asciiTheme="minorHAnsi" w:hAnsiTheme="minorHAnsi" w:cstheme="minorHAnsi"/>
        </w:rPr>
        <w:t>:</w:t>
      </w:r>
      <w:r w:rsidRPr="00747E35">
        <w:rPr>
          <w:rFonts w:asciiTheme="minorHAnsi" w:hAnsiTheme="minorHAnsi" w:cstheme="minorHAnsi"/>
        </w:rPr>
        <w:t xml:space="preserve"> 2005–2021.</w:t>
      </w:r>
    </w:p>
    <w:p w14:paraId="58C06B84" w14:textId="4157D4FD" w:rsidR="0087451A" w:rsidRPr="00747E35" w:rsidRDefault="00E74263" w:rsidP="00A64AF8">
      <w:pPr>
        <w:pStyle w:val="References"/>
        <w:ind w:left="284" w:hanging="284"/>
        <w:rPr>
          <w:rFonts w:asciiTheme="minorHAnsi" w:hAnsiTheme="minorHAnsi" w:cstheme="minorHAnsi"/>
        </w:rPr>
      </w:pPr>
      <w:r>
        <w:rPr>
          <w:rFonts w:asciiTheme="minorHAnsi" w:hAnsiTheme="minorHAnsi" w:cstheme="minorHAnsi"/>
        </w:rPr>
        <w:t>Boano</w:t>
      </w:r>
      <w:r w:rsidRPr="00E74263">
        <w:rPr>
          <w:rFonts w:asciiTheme="minorHAnsi" w:hAnsiTheme="minorHAnsi" w:cstheme="minorHAnsi"/>
        </w:rPr>
        <w:t xml:space="preserve"> F., Harvey</w:t>
      </w:r>
      <w:r>
        <w:rPr>
          <w:rFonts w:asciiTheme="minorHAnsi" w:hAnsiTheme="minorHAnsi" w:cstheme="minorHAnsi"/>
        </w:rPr>
        <w:t xml:space="preserve"> J.</w:t>
      </w:r>
      <w:r w:rsidRPr="00E74263">
        <w:rPr>
          <w:rFonts w:asciiTheme="minorHAnsi" w:hAnsiTheme="minorHAnsi" w:cstheme="minorHAnsi"/>
        </w:rPr>
        <w:t>W., Marion</w:t>
      </w:r>
      <w:r>
        <w:rPr>
          <w:rFonts w:asciiTheme="minorHAnsi" w:hAnsiTheme="minorHAnsi" w:cstheme="minorHAnsi"/>
        </w:rPr>
        <w:t xml:space="preserve"> </w:t>
      </w:r>
      <w:r w:rsidRPr="00E74263">
        <w:rPr>
          <w:rFonts w:asciiTheme="minorHAnsi" w:hAnsiTheme="minorHAnsi" w:cstheme="minorHAnsi"/>
        </w:rPr>
        <w:t xml:space="preserve">A., Packman </w:t>
      </w:r>
      <w:r>
        <w:rPr>
          <w:rFonts w:asciiTheme="minorHAnsi" w:hAnsiTheme="minorHAnsi" w:cstheme="minorHAnsi"/>
        </w:rPr>
        <w:t>A.</w:t>
      </w:r>
      <w:r w:rsidRPr="00E74263">
        <w:rPr>
          <w:rFonts w:asciiTheme="minorHAnsi" w:hAnsiTheme="minorHAnsi" w:cstheme="minorHAnsi"/>
        </w:rPr>
        <w:t xml:space="preserve">I., Revelli R., Ridolfi L. </w:t>
      </w:r>
      <w:r>
        <w:rPr>
          <w:rFonts w:asciiTheme="minorHAnsi" w:hAnsiTheme="minorHAnsi" w:cstheme="minorHAnsi"/>
        </w:rPr>
        <w:t>&amp;</w:t>
      </w:r>
      <w:r w:rsidRPr="00E74263">
        <w:rPr>
          <w:rFonts w:asciiTheme="minorHAnsi" w:hAnsiTheme="minorHAnsi" w:cstheme="minorHAnsi"/>
        </w:rPr>
        <w:t xml:space="preserve"> Wörman A.</w:t>
      </w:r>
      <w:r w:rsidR="0087451A" w:rsidRPr="00747E35">
        <w:rPr>
          <w:rFonts w:asciiTheme="minorHAnsi" w:hAnsiTheme="minorHAnsi" w:cstheme="minorHAnsi"/>
        </w:rPr>
        <w:t xml:space="preserve"> (2014)</w:t>
      </w:r>
      <w:r w:rsidR="00DD0803">
        <w:rPr>
          <w:rFonts w:asciiTheme="minorHAnsi" w:hAnsiTheme="minorHAnsi" w:cstheme="minorHAnsi"/>
        </w:rPr>
        <w:t>.</w:t>
      </w:r>
      <w:r w:rsidR="0087451A" w:rsidRPr="00747E35">
        <w:rPr>
          <w:rFonts w:asciiTheme="minorHAnsi" w:hAnsiTheme="minorHAnsi" w:cstheme="minorHAnsi"/>
        </w:rPr>
        <w:t xml:space="preserve"> Hyporheic flow and transport processes: Mechanisms, models, and biogeochemical implications</w:t>
      </w:r>
      <w:r w:rsidR="00DD0803">
        <w:rPr>
          <w:rFonts w:asciiTheme="minorHAnsi" w:hAnsiTheme="minorHAnsi" w:cstheme="minorHAnsi"/>
        </w:rPr>
        <w:t>.</w:t>
      </w:r>
      <w:r w:rsidR="0087451A" w:rsidRPr="00747E35">
        <w:rPr>
          <w:rFonts w:asciiTheme="minorHAnsi" w:hAnsiTheme="minorHAnsi" w:cstheme="minorHAnsi"/>
        </w:rPr>
        <w:t xml:space="preserve"> </w:t>
      </w:r>
      <w:r w:rsidR="0087451A" w:rsidRPr="00DD0803">
        <w:rPr>
          <w:rFonts w:asciiTheme="minorHAnsi" w:hAnsiTheme="minorHAnsi" w:cstheme="minorHAnsi"/>
          <w:i/>
        </w:rPr>
        <w:t>Rev</w:t>
      </w:r>
      <w:r w:rsidR="00DD0803" w:rsidRPr="00DD0803">
        <w:rPr>
          <w:rFonts w:asciiTheme="minorHAnsi" w:hAnsiTheme="minorHAnsi" w:cstheme="minorHAnsi"/>
          <w:i/>
        </w:rPr>
        <w:t>iews of</w:t>
      </w:r>
      <w:r w:rsidR="0087451A" w:rsidRPr="00DD0803">
        <w:rPr>
          <w:rFonts w:asciiTheme="minorHAnsi" w:hAnsiTheme="minorHAnsi" w:cstheme="minorHAnsi"/>
          <w:i/>
        </w:rPr>
        <w:t xml:space="preserve"> Geophys</w:t>
      </w:r>
      <w:r w:rsidR="00DD0803" w:rsidRPr="00DD0803">
        <w:rPr>
          <w:rFonts w:asciiTheme="minorHAnsi" w:hAnsiTheme="minorHAnsi" w:cstheme="minorHAnsi"/>
          <w:i/>
        </w:rPr>
        <w:t>ics</w:t>
      </w:r>
      <w:r w:rsidR="0087451A" w:rsidRPr="00747E35">
        <w:rPr>
          <w:rFonts w:asciiTheme="minorHAnsi" w:hAnsiTheme="minorHAnsi" w:cstheme="minorHAnsi"/>
        </w:rPr>
        <w:t xml:space="preserve"> </w:t>
      </w:r>
      <w:r w:rsidR="00DD0803">
        <w:rPr>
          <w:rFonts w:asciiTheme="minorHAnsi" w:hAnsiTheme="minorHAnsi" w:cstheme="minorHAnsi"/>
        </w:rPr>
        <w:t xml:space="preserve">52: </w:t>
      </w:r>
      <w:r w:rsidR="00DD0803" w:rsidRPr="00DD0803">
        <w:rPr>
          <w:rFonts w:asciiTheme="minorHAnsi" w:hAnsiTheme="minorHAnsi" w:cstheme="minorHAnsi"/>
        </w:rPr>
        <w:t>603–679</w:t>
      </w:r>
      <w:r w:rsidR="0087451A" w:rsidRPr="00747E35">
        <w:rPr>
          <w:rFonts w:asciiTheme="minorHAnsi" w:hAnsiTheme="minorHAnsi" w:cstheme="minorHAnsi"/>
        </w:rPr>
        <w:t>.</w:t>
      </w:r>
    </w:p>
    <w:p w14:paraId="68E986B6" w14:textId="3660F9B1"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Boulton A.J., Datry T., Kasahara T., Mutz M. &amp; Stanford</w:t>
      </w:r>
      <w:r w:rsidR="00817E9E">
        <w:rPr>
          <w:rFonts w:asciiTheme="minorHAnsi" w:hAnsiTheme="minorHAnsi" w:cstheme="minorHAnsi"/>
        </w:rPr>
        <w:t xml:space="preserve"> J.</w:t>
      </w:r>
      <w:r w:rsidRPr="00747E35">
        <w:rPr>
          <w:rFonts w:asciiTheme="minorHAnsi" w:hAnsiTheme="minorHAnsi" w:cstheme="minorHAnsi"/>
        </w:rPr>
        <w:t>A. (2010)</w:t>
      </w:r>
      <w:r w:rsidR="00DD0803">
        <w:rPr>
          <w:rFonts w:asciiTheme="minorHAnsi" w:hAnsiTheme="minorHAnsi" w:cstheme="minorHAnsi"/>
        </w:rPr>
        <w:t>.</w:t>
      </w:r>
      <w:r w:rsidRPr="00747E35">
        <w:rPr>
          <w:rFonts w:asciiTheme="minorHAnsi" w:hAnsiTheme="minorHAnsi" w:cstheme="minorHAnsi"/>
        </w:rPr>
        <w:t xml:space="preserve"> Ecology and management of the hyporheic zone: stream-groundwater interactions of running waters and their floodplains. </w:t>
      </w:r>
      <w:r w:rsidRPr="00DD0803">
        <w:rPr>
          <w:rFonts w:asciiTheme="minorHAnsi" w:hAnsiTheme="minorHAnsi" w:cstheme="minorHAnsi"/>
          <w:i/>
        </w:rPr>
        <w:t>Journal of the North American Benthological Society</w:t>
      </w:r>
      <w:r w:rsidRPr="00747E35">
        <w:rPr>
          <w:rFonts w:asciiTheme="minorHAnsi" w:hAnsiTheme="minorHAnsi" w:cstheme="minorHAnsi"/>
        </w:rPr>
        <w:t xml:space="preserve"> 29</w:t>
      </w:r>
      <w:r w:rsidR="00DD0803">
        <w:rPr>
          <w:rFonts w:asciiTheme="minorHAnsi" w:hAnsiTheme="minorHAnsi" w:cstheme="minorHAnsi"/>
        </w:rPr>
        <w:t>:</w:t>
      </w:r>
      <w:r w:rsidRPr="00747E35">
        <w:rPr>
          <w:rFonts w:asciiTheme="minorHAnsi" w:hAnsiTheme="minorHAnsi" w:cstheme="minorHAnsi"/>
        </w:rPr>
        <w:t xml:space="preserve"> 26-40. </w:t>
      </w:r>
    </w:p>
    <w:p w14:paraId="61E1D333" w14:textId="31F8B797"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Boulton</w:t>
      </w:r>
      <w:r w:rsidR="00817E9E">
        <w:rPr>
          <w:rFonts w:asciiTheme="minorHAnsi" w:hAnsiTheme="minorHAnsi" w:cstheme="minorHAnsi"/>
        </w:rPr>
        <w:t xml:space="preserve"> A.</w:t>
      </w:r>
      <w:r w:rsidRPr="00747E35">
        <w:rPr>
          <w:rFonts w:asciiTheme="minorHAnsi" w:hAnsiTheme="minorHAnsi" w:cstheme="minorHAnsi"/>
        </w:rPr>
        <w:t>J., Dole-Olivier M.-J.</w:t>
      </w:r>
      <w:r w:rsidR="00E74263" w:rsidRPr="00E74263">
        <w:rPr>
          <w:rFonts w:asciiTheme="minorHAnsi" w:hAnsiTheme="minorHAnsi" w:cstheme="minorHAnsi"/>
        </w:rPr>
        <w:t xml:space="preserve"> </w:t>
      </w:r>
      <w:r w:rsidR="00E74263">
        <w:rPr>
          <w:rFonts w:asciiTheme="minorHAnsi" w:hAnsiTheme="minorHAnsi" w:cstheme="minorHAnsi"/>
        </w:rPr>
        <w:t>&amp;</w:t>
      </w:r>
      <w:r w:rsidR="00E74263" w:rsidRPr="00747E35">
        <w:rPr>
          <w:rFonts w:asciiTheme="minorHAnsi" w:hAnsiTheme="minorHAnsi" w:cstheme="minorHAnsi"/>
        </w:rPr>
        <w:t xml:space="preserve"> </w:t>
      </w:r>
      <w:r w:rsidRPr="00747E35">
        <w:rPr>
          <w:rFonts w:asciiTheme="minorHAnsi" w:hAnsiTheme="minorHAnsi" w:cstheme="minorHAnsi"/>
        </w:rPr>
        <w:t>Marmonier M. (2004)</w:t>
      </w:r>
      <w:r w:rsidR="00DD0803">
        <w:rPr>
          <w:rFonts w:asciiTheme="minorHAnsi" w:hAnsiTheme="minorHAnsi" w:cstheme="minorHAnsi"/>
        </w:rPr>
        <w:t>.</w:t>
      </w:r>
      <w:r w:rsidRPr="00747E35">
        <w:rPr>
          <w:rFonts w:asciiTheme="minorHAnsi" w:hAnsiTheme="minorHAnsi" w:cstheme="minorHAnsi"/>
        </w:rPr>
        <w:t xml:space="preserve"> Effects of sample volume and taxonomic resolution on assessment of hyporheic assemblage composition sampled using a Bou-Rouch pump. </w:t>
      </w:r>
      <w:r w:rsidR="00DD0803" w:rsidRPr="00DD0803">
        <w:rPr>
          <w:rFonts w:asciiTheme="minorHAnsi" w:hAnsiTheme="minorHAnsi" w:cstheme="minorHAnsi"/>
          <w:i/>
        </w:rPr>
        <w:t>Archiv für Hydrobiologie</w:t>
      </w:r>
      <w:r w:rsidRPr="00747E35">
        <w:rPr>
          <w:rFonts w:asciiTheme="minorHAnsi" w:hAnsiTheme="minorHAnsi" w:cstheme="minorHAnsi"/>
        </w:rPr>
        <w:t xml:space="preserve"> 159</w:t>
      </w:r>
      <w:r w:rsidR="00DD0803">
        <w:rPr>
          <w:rFonts w:asciiTheme="minorHAnsi" w:hAnsiTheme="minorHAnsi" w:cstheme="minorHAnsi"/>
        </w:rPr>
        <w:t>:</w:t>
      </w:r>
      <w:r w:rsidRPr="00747E35">
        <w:rPr>
          <w:rFonts w:asciiTheme="minorHAnsi" w:hAnsiTheme="minorHAnsi" w:cstheme="minorHAnsi"/>
        </w:rPr>
        <w:t xml:space="preserve"> 327-355.</w:t>
      </w:r>
    </w:p>
    <w:p w14:paraId="2F7038A0" w14:textId="27A42004"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Boulton A.J.</w:t>
      </w:r>
      <w:r w:rsidR="00E74263" w:rsidRPr="00E74263">
        <w:rPr>
          <w:rFonts w:asciiTheme="minorHAnsi" w:hAnsiTheme="minorHAnsi" w:cstheme="minorHAnsi"/>
        </w:rPr>
        <w:t xml:space="preserve"> </w:t>
      </w:r>
      <w:r w:rsidR="00E74263">
        <w:rPr>
          <w:rFonts w:asciiTheme="minorHAnsi" w:hAnsiTheme="minorHAnsi" w:cstheme="minorHAnsi"/>
        </w:rPr>
        <w:t>&amp;</w:t>
      </w:r>
      <w:r w:rsidRPr="00747E35">
        <w:rPr>
          <w:rFonts w:asciiTheme="minorHAnsi" w:hAnsiTheme="minorHAnsi" w:cstheme="minorHAnsi"/>
        </w:rPr>
        <w:t xml:space="preserve"> Foster J.G. (1998)</w:t>
      </w:r>
      <w:r w:rsidR="00DD0803">
        <w:rPr>
          <w:rFonts w:asciiTheme="minorHAnsi" w:hAnsiTheme="minorHAnsi" w:cstheme="minorHAnsi"/>
        </w:rPr>
        <w:t>.</w:t>
      </w:r>
      <w:r w:rsidRPr="00747E35">
        <w:rPr>
          <w:rFonts w:asciiTheme="minorHAnsi" w:hAnsiTheme="minorHAnsi" w:cstheme="minorHAnsi"/>
        </w:rPr>
        <w:t xml:space="preserve"> Effects of buried leaf litter and vertical hydrologic exchange on hyporheic water chemistry and fauna in a gravel-bed river in northern New South Wales, Australia. </w:t>
      </w:r>
      <w:r w:rsidRPr="00DD0803">
        <w:rPr>
          <w:rFonts w:asciiTheme="minorHAnsi" w:hAnsiTheme="minorHAnsi" w:cstheme="minorHAnsi"/>
          <w:i/>
        </w:rPr>
        <w:t>Freshwat</w:t>
      </w:r>
      <w:r w:rsidR="00DD0803" w:rsidRPr="00DD0803">
        <w:rPr>
          <w:rFonts w:asciiTheme="minorHAnsi" w:hAnsiTheme="minorHAnsi" w:cstheme="minorHAnsi"/>
          <w:i/>
        </w:rPr>
        <w:t>er</w:t>
      </w:r>
      <w:r w:rsidRPr="00DD0803">
        <w:rPr>
          <w:rFonts w:asciiTheme="minorHAnsi" w:hAnsiTheme="minorHAnsi" w:cstheme="minorHAnsi"/>
          <w:i/>
        </w:rPr>
        <w:t xml:space="preserve"> Biol</w:t>
      </w:r>
      <w:r w:rsidR="00DD0803" w:rsidRPr="00DD0803">
        <w:rPr>
          <w:rFonts w:asciiTheme="minorHAnsi" w:hAnsiTheme="minorHAnsi" w:cstheme="minorHAnsi"/>
          <w:i/>
        </w:rPr>
        <w:t>ogy</w:t>
      </w:r>
      <w:r w:rsidRPr="00747E35">
        <w:rPr>
          <w:rFonts w:asciiTheme="minorHAnsi" w:hAnsiTheme="minorHAnsi" w:cstheme="minorHAnsi"/>
        </w:rPr>
        <w:t xml:space="preserve"> 40</w:t>
      </w:r>
      <w:r w:rsidR="00DD0803">
        <w:rPr>
          <w:rFonts w:asciiTheme="minorHAnsi" w:hAnsiTheme="minorHAnsi" w:cstheme="minorHAnsi"/>
        </w:rPr>
        <w:t>:</w:t>
      </w:r>
      <w:r w:rsidRPr="00747E35">
        <w:rPr>
          <w:rFonts w:asciiTheme="minorHAnsi" w:hAnsiTheme="minorHAnsi" w:cstheme="minorHAnsi"/>
        </w:rPr>
        <w:t xml:space="preserve"> 229–243.</w:t>
      </w:r>
    </w:p>
    <w:p w14:paraId="7F391794" w14:textId="0337271B" w:rsidR="0087451A" w:rsidRPr="00747E35" w:rsidRDefault="00E74263" w:rsidP="00A64AF8">
      <w:pPr>
        <w:pStyle w:val="References"/>
        <w:ind w:left="284" w:hanging="284"/>
        <w:rPr>
          <w:rFonts w:asciiTheme="minorHAnsi" w:hAnsiTheme="minorHAnsi" w:cstheme="minorHAnsi"/>
        </w:rPr>
      </w:pPr>
      <w:r>
        <w:rPr>
          <w:rFonts w:asciiTheme="minorHAnsi" w:hAnsiTheme="minorHAnsi" w:cstheme="minorHAnsi"/>
        </w:rPr>
        <w:t>Boulton A.J.</w:t>
      </w:r>
      <w:r w:rsidR="0087451A" w:rsidRPr="00747E35">
        <w:rPr>
          <w:rFonts w:asciiTheme="minorHAnsi" w:hAnsiTheme="minorHAnsi" w:cstheme="minorHAnsi"/>
        </w:rPr>
        <w:t xml:space="preserve"> </w:t>
      </w:r>
      <w:r>
        <w:rPr>
          <w:rFonts w:asciiTheme="minorHAnsi" w:hAnsiTheme="minorHAnsi" w:cstheme="minorHAnsi"/>
        </w:rPr>
        <w:t>&amp;</w:t>
      </w:r>
      <w:r w:rsidRPr="00747E35">
        <w:rPr>
          <w:rFonts w:asciiTheme="minorHAnsi" w:hAnsiTheme="minorHAnsi" w:cstheme="minorHAnsi"/>
        </w:rPr>
        <w:t xml:space="preserve"> </w:t>
      </w:r>
      <w:r w:rsidR="0087451A" w:rsidRPr="00747E35">
        <w:rPr>
          <w:rFonts w:asciiTheme="minorHAnsi" w:hAnsiTheme="minorHAnsi" w:cstheme="minorHAnsi"/>
        </w:rPr>
        <w:t>Harvey M.S. (2003)</w:t>
      </w:r>
      <w:r w:rsidR="00DD0803">
        <w:rPr>
          <w:rFonts w:asciiTheme="minorHAnsi" w:hAnsiTheme="minorHAnsi" w:cstheme="minorHAnsi"/>
        </w:rPr>
        <w:t>.</w:t>
      </w:r>
      <w:r w:rsidR="0087451A" w:rsidRPr="00747E35">
        <w:rPr>
          <w:rFonts w:asciiTheme="minorHAnsi" w:hAnsiTheme="minorHAnsi" w:cstheme="minorHAnsi"/>
        </w:rPr>
        <w:t xml:space="preserve"> Effects of a simulated spate on water mites in the hyporheic zone of an Australian subtropical river. In ‘An Acarological Tribute to David R. Cook (From Yankee Springs to Wheeny Creek)’. (Ed. I. M. Smith.) pp. 57–73. (Indira Publishing House: West Bloomfield, MI, USA.)</w:t>
      </w:r>
    </w:p>
    <w:p w14:paraId="4C4A9794" w14:textId="55E63FD2"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 xml:space="preserve">Boulton A.J., Valett H.M. </w:t>
      </w:r>
      <w:r w:rsidR="00E74263">
        <w:rPr>
          <w:rFonts w:asciiTheme="minorHAnsi" w:hAnsiTheme="minorHAnsi" w:cstheme="minorHAnsi"/>
        </w:rPr>
        <w:t>&amp;</w:t>
      </w:r>
      <w:r w:rsidR="00E74263" w:rsidRPr="00747E35">
        <w:rPr>
          <w:rFonts w:asciiTheme="minorHAnsi" w:hAnsiTheme="minorHAnsi" w:cstheme="minorHAnsi"/>
        </w:rPr>
        <w:t xml:space="preserve"> </w:t>
      </w:r>
      <w:r w:rsidRPr="00747E35">
        <w:rPr>
          <w:rFonts w:asciiTheme="minorHAnsi" w:hAnsiTheme="minorHAnsi" w:cstheme="minorHAnsi"/>
        </w:rPr>
        <w:t>Fisher S.G. (1992)</w:t>
      </w:r>
      <w:r w:rsidR="00DD0803">
        <w:rPr>
          <w:rFonts w:asciiTheme="minorHAnsi" w:hAnsiTheme="minorHAnsi" w:cstheme="minorHAnsi"/>
        </w:rPr>
        <w:t>.</w:t>
      </w:r>
      <w:r w:rsidRPr="00747E35">
        <w:rPr>
          <w:rFonts w:asciiTheme="minorHAnsi" w:hAnsiTheme="minorHAnsi" w:cstheme="minorHAnsi"/>
        </w:rPr>
        <w:t xml:space="preserve"> Spatial distribution and taxonomic composition of the hyporheos of several Sonoran Desert streams. </w:t>
      </w:r>
      <w:r w:rsidR="00DD0803" w:rsidRPr="00DD0803">
        <w:rPr>
          <w:rFonts w:asciiTheme="minorHAnsi" w:hAnsiTheme="minorHAnsi" w:cstheme="minorHAnsi"/>
          <w:i/>
        </w:rPr>
        <w:t>Archiv für Hydrobiologie</w:t>
      </w:r>
      <w:r w:rsidRPr="00747E35">
        <w:rPr>
          <w:rFonts w:asciiTheme="minorHAnsi" w:hAnsiTheme="minorHAnsi" w:cstheme="minorHAnsi"/>
        </w:rPr>
        <w:t xml:space="preserve"> 125</w:t>
      </w:r>
      <w:r w:rsidR="00DD0803">
        <w:rPr>
          <w:rFonts w:asciiTheme="minorHAnsi" w:hAnsiTheme="minorHAnsi" w:cstheme="minorHAnsi"/>
        </w:rPr>
        <w:t>:</w:t>
      </w:r>
      <w:r w:rsidRPr="00747E35">
        <w:rPr>
          <w:rFonts w:asciiTheme="minorHAnsi" w:hAnsiTheme="minorHAnsi" w:cstheme="minorHAnsi"/>
        </w:rPr>
        <w:t xml:space="preserve"> 37-61.</w:t>
      </w:r>
    </w:p>
    <w:p w14:paraId="039B2FA7" w14:textId="77777777" w:rsidR="00817E9E" w:rsidRPr="00747E35" w:rsidRDefault="00817E9E" w:rsidP="00A64AF8">
      <w:pPr>
        <w:pStyle w:val="References"/>
        <w:ind w:left="284" w:hanging="284"/>
        <w:rPr>
          <w:rFonts w:asciiTheme="minorHAnsi" w:hAnsiTheme="minorHAnsi" w:cstheme="minorHAnsi"/>
        </w:rPr>
      </w:pPr>
      <w:r w:rsidRPr="00747E35">
        <w:rPr>
          <w:rFonts w:asciiTheme="minorHAnsi" w:hAnsiTheme="minorHAnsi" w:cstheme="minorHAnsi"/>
        </w:rPr>
        <w:t>Boulton A.J., Harvey</w:t>
      </w:r>
      <w:r w:rsidRPr="00817E9E">
        <w:rPr>
          <w:rFonts w:asciiTheme="minorHAnsi" w:hAnsiTheme="minorHAnsi" w:cstheme="minorHAnsi"/>
        </w:rPr>
        <w:t xml:space="preserve"> </w:t>
      </w:r>
      <w:r w:rsidRPr="00747E35">
        <w:rPr>
          <w:rFonts w:asciiTheme="minorHAnsi" w:hAnsiTheme="minorHAnsi" w:cstheme="minorHAnsi"/>
        </w:rPr>
        <w:t>M.</w:t>
      </w:r>
      <w:r>
        <w:rPr>
          <w:rFonts w:asciiTheme="minorHAnsi" w:hAnsiTheme="minorHAnsi" w:cstheme="minorHAnsi"/>
        </w:rPr>
        <w:t xml:space="preserve"> &amp; </w:t>
      </w:r>
      <w:r w:rsidRPr="00747E35">
        <w:rPr>
          <w:rFonts w:asciiTheme="minorHAnsi" w:hAnsiTheme="minorHAnsi" w:cstheme="minorHAnsi"/>
        </w:rPr>
        <w:t>Proctor</w:t>
      </w:r>
      <w:r>
        <w:rPr>
          <w:rFonts w:asciiTheme="minorHAnsi" w:hAnsiTheme="minorHAnsi" w:cstheme="minorHAnsi"/>
        </w:rPr>
        <w:t xml:space="preserve"> H.</w:t>
      </w:r>
      <w:r w:rsidRPr="00747E35">
        <w:rPr>
          <w:rFonts w:asciiTheme="minorHAnsi" w:hAnsiTheme="minorHAnsi" w:cstheme="minorHAnsi"/>
        </w:rPr>
        <w:t xml:space="preserve"> (2004)</w:t>
      </w:r>
      <w:r>
        <w:rPr>
          <w:rFonts w:asciiTheme="minorHAnsi" w:hAnsiTheme="minorHAnsi" w:cstheme="minorHAnsi"/>
        </w:rPr>
        <w:t>.</w:t>
      </w:r>
      <w:r w:rsidRPr="00747E35">
        <w:rPr>
          <w:rFonts w:asciiTheme="minorHAnsi" w:hAnsiTheme="minorHAnsi" w:cstheme="minorHAnsi"/>
        </w:rPr>
        <w:t xml:space="preserve"> Of spates and species: responses by interstitial water mites to simulated spates in a subtropical australian river.</w:t>
      </w:r>
      <w:r>
        <w:rPr>
          <w:rFonts w:asciiTheme="minorHAnsi" w:hAnsiTheme="minorHAnsi" w:cstheme="minorHAnsi"/>
        </w:rPr>
        <w:t xml:space="preserve"> </w:t>
      </w:r>
      <w:r w:rsidRPr="00DD0803">
        <w:rPr>
          <w:rFonts w:asciiTheme="minorHAnsi" w:hAnsiTheme="minorHAnsi" w:cstheme="minorHAnsi"/>
          <w:i/>
        </w:rPr>
        <w:t>Experimental and Applied Acarology</w:t>
      </w:r>
      <w:r>
        <w:rPr>
          <w:rFonts w:asciiTheme="minorHAnsi" w:hAnsiTheme="minorHAnsi" w:cstheme="minorHAnsi"/>
        </w:rPr>
        <w:t xml:space="preserve"> </w:t>
      </w:r>
      <w:r w:rsidRPr="00DD0803">
        <w:rPr>
          <w:rFonts w:asciiTheme="minorHAnsi" w:hAnsiTheme="minorHAnsi" w:cstheme="minorHAnsi"/>
        </w:rPr>
        <w:t>34:</w:t>
      </w:r>
      <w:r>
        <w:rPr>
          <w:rFonts w:asciiTheme="minorHAnsi" w:hAnsiTheme="minorHAnsi" w:cstheme="minorHAnsi"/>
        </w:rPr>
        <w:t xml:space="preserve"> </w:t>
      </w:r>
      <w:r w:rsidRPr="00DD0803">
        <w:rPr>
          <w:rFonts w:asciiTheme="minorHAnsi" w:hAnsiTheme="minorHAnsi" w:cstheme="minorHAnsi"/>
        </w:rPr>
        <w:t>149-69.</w:t>
      </w:r>
    </w:p>
    <w:p w14:paraId="64A5EAB2" w14:textId="4EFBF94E" w:rsidR="0087451A" w:rsidRPr="00747E35" w:rsidRDefault="00817E9E" w:rsidP="00A64AF8">
      <w:pPr>
        <w:pStyle w:val="References"/>
        <w:ind w:left="284" w:hanging="284"/>
        <w:rPr>
          <w:rFonts w:asciiTheme="minorHAnsi" w:hAnsiTheme="minorHAnsi" w:cstheme="minorHAnsi"/>
        </w:rPr>
      </w:pPr>
      <w:r w:rsidRPr="00817E9E">
        <w:rPr>
          <w:rFonts w:asciiTheme="minorHAnsi" w:hAnsiTheme="minorHAnsi" w:cstheme="minorHAnsi"/>
        </w:rPr>
        <w:t>Boulton A</w:t>
      </w:r>
      <w:r>
        <w:rPr>
          <w:rFonts w:asciiTheme="minorHAnsi" w:hAnsiTheme="minorHAnsi" w:cstheme="minorHAnsi"/>
        </w:rPr>
        <w:t>.</w:t>
      </w:r>
      <w:r w:rsidRPr="00817E9E">
        <w:rPr>
          <w:rFonts w:asciiTheme="minorHAnsi" w:hAnsiTheme="minorHAnsi" w:cstheme="minorHAnsi"/>
        </w:rPr>
        <w:t>J., Fenwick G</w:t>
      </w:r>
      <w:r>
        <w:rPr>
          <w:rFonts w:asciiTheme="minorHAnsi" w:hAnsiTheme="minorHAnsi" w:cstheme="minorHAnsi"/>
        </w:rPr>
        <w:t>.</w:t>
      </w:r>
      <w:r w:rsidRPr="00817E9E">
        <w:rPr>
          <w:rFonts w:asciiTheme="minorHAnsi" w:hAnsiTheme="minorHAnsi" w:cstheme="minorHAnsi"/>
        </w:rPr>
        <w:t>D., Hancock P</w:t>
      </w:r>
      <w:r>
        <w:rPr>
          <w:rFonts w:asciiTheme="minorHAnsi" w:hAnsiTheme="minorHAnsi" w:cstheme="minorHAnsi"/>
        </w:rPr>
        <w:t>.</w:t>
      </w:r>
      <w:r w:rsidRPr="00817E9E">
        <w:rPr>
          <w:rFonts w:asciiTheme="minorHAnsi" w:hAnsiTheme="minorHAnsi" w:cstheme="minorHAnsi"/>
        </w:rPr>
        <w:t>J.</w:t>
      </w:r>
      <w:r>
        <w:rPr>
          <w:rFonts w:asciiTheme="minorHAnsi" w:hAnsiTheme="minorHAnsi" w:cstheme="minorHAnsi"/>
        </w:rPr>
        <w:t xml:space="preserve"> &amp;</w:t>
      </w:r>
      <w:r w:rsidRPr="00817E9E">
        <w:rPr>
          <w:rFonts w:asciiTheme="minorHAnsi" w:hAnsiTheme="minorHAnsi" w:cstheme="minorHAnsi"/>
        </w:rPr>
        <w:t xml:space="preserve"> Harvey M</w:t>
      </w:r>
      <w:r>
        <w:rPr>
          <w:rFonts w:asciiTheme="minorHAnsi" w:hAnsiTheme="minorHAnsi" w:cstheme="minorHAnsi"/>
        </w:rPr>
        <w:t>.</w:t>
      </w:r>
      <w:r w:rsidRPr="00817E9E">
        <w:rPr>
          <w:rFonts w:asciiTheme="minorHAnsi" w:hAnsiTheme="minorHAnsi" w:cstheme="minorHAnsi"/>
        </w:rPr>
        <w:t>S</w:t>
      </w:r>
      <w:r w:rsidR="0087451A" w:rsidRPr="00747E35">
        <w:rPr>
          <w:rFonts w:asciiTheme="minorHAnsi" w:hAnsiTheme="minorHAnsi" w:cstheme="minorHAnsi"/>
        </w:rPr>
        <w:t>. (2008)</w:t>
      </w:r>
      <w:r w:rsidR="00DD0803">
        <w:rPr>
          <w:rFonts w:asciiTheme="minorHAnsi" w:hAnsiTheme="minorHAnsi" w:cstheme="minorHAnsi"/>
        </w:rPr>
        <w:t>.</w:t>
      </w:r>
      <w:r w:rsidR="0087451A" w:rsidRPr="00747E35">
        <w:rPr>
          <w:rFonts w:asciiTheme="minorHAnsi" w:hAnsiTheme="minorHAnsi" w:cstheme="minorHAnsi"/>
        </w:rPr>
        <w:t xml:space="preserve"> Biodiversity, functional roles and ecosystem services of groundwater invertebrates. </w:t>
      </w:r>
      <w:r w:rsidR="0087451A" w:rsidRPr="00DD0803">
        <w:rPr>
          <w:rFonts w:asciiTheme="minorHAnsi" w:hAnsiTheme="minorHAnsi" w:cstheme="minorHAnsi"/>
          <w:i/>
        </w:rPr>
        <w:t>Invertebrate Systematics</w:t>
      </w:r>
      <w:r w:rsidR="0087451A" w:rsidRPr="00747E35">
        <w:rPr>
          <w:rFonts w:asciiTheme="minorHAnsi" w:hAnsiTheme="minorHAnsi" w:cstheme="minorHAnsi"/>
        </w:rPr>
        <w:t xml:space="preserve"> 22: 103-116.</w:t>
      </w:r>
    </w:p>
    <w:p w14:paraId="72B993C3" w14:textId="2ED3EE58"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Boulton A.J</w:t>
      </w:r>
      <w:r w:rsidR="00817E9E">
        <w:rPr>
          <w:rFonts w:asciiTheme="minorHAnsi" w:hAnsiTheme="minorHAnsi" w:cstheme="minorHAnsi"/>
        </w:rPr>
        <w:t>.</w:t>
      </w:r>
      <w:r w:rsidRPr="00747E35">
        <w:rPr>
          <w:rFonts w:asciiTheme="minorHAnsi" w:hAnsiTheme="minorHAnsi" w:cstheme="minorHAnsi"/>
        </w:rPr>
        <w:t>, Brock</w:t>
      </w:r>
      <w:r w:rsidR="00817E9E">
        <w:rPr>
          <w:rFonts w:asciiTheme="minorHAnsi" w:hAnsiTheme="minorHAnsi" w:cstheme="minorHAnsi"/>
        </w:rPr>
        <w:t xml:space="preserve"> M.</w:t>
      </w:r>
      <w:r w:rsidRPr="00747E35">
        <w:rPr>
          <w:rFonts w:asciiTheme="minorHAnsi" w:hAnsiTheme="minorHAnsi" w:cstheme="minorHAnsi"/>
        </w:rPr>
        <w:t>, Robson</w:t>
      </w:r>
      <w:r w:rsidR="00817E9E">
        <w:rPr>
          <w:rFonts w:asciiTheme="minorHAnsi" w:hAnsiTheme="minorHAnsi" w:cstheme="minorHAnsi"/>
        </w:rPr>
        <w:t xml:space="preserve"> B.</w:t>
      </w:r>
      <w:r w:rsidRPr="00747E35">
        <w:rPr>
          <w:rFonts w:asciiTheme="minorHAnsi" w:hAnsiTheme="minorHAnsi" w:cstheme="minorHAnsi"/>
        </w:rPr>
        <w:t>, Ryder</w:t>
      </w:r>
      <w:r w:rsidR="00817E9E">
        <w:rPr>
          <w:rFonts w:asciiTheme="minorHAnsi" w:hAnsiTheme="minorHAnsi" w:cstheme="minorHAnsi"/>
        </w:rPr>
        <w:t xml:space="preserve"> D.</w:t>
      </w:r>
      <w:r w:rsidRPr="00747E35">
        <w:rPr>
          <w:rFonts w:asciiTheme="minorHAnsi" w:hAnsiTheme="minorHAnsi" w:cstheme="minorHAnsi"/>
        </w:rPr>
        <w:t>, Chambers</w:t>
      </w:r>
      <w:r w:rsidR="00817E9E">
        <w:rPr>
          <w:rFonts w:asciiTheme="minorHAnsi" w:hAnsiTheme="minorHAnsi" w:cstheme="minorHAnsi"/>
        </w:rPr>
        <w:t xml:space="preserve"> J.</w:t>
      </w:r>
      <w:r w:rsidRPr="00747E35">
        <w:rPr>
          <w:rFonts w:asciiTheme="minorHAnsi" w:hAnsiTheme="minorHAnsi" w:cstheme="minorHAnsi"/>
        </w:rPr>
        <w:t xml:space="preserve"> </w:t>
      </w:r>
      <w:r w:rsidR="00E74263">
        <w:rPr>
          <w:rFonts w:asciiTheme="minorHAnsi" w:hAnsiTheme="minorHAnsi" w:cstheme="minorHAnsi"/>
        </w:rPr>
        <w:t>&amp;</w:t>
      </w:r>
      <w:r w:rsidR="00E74263" w:rsidRPr="00747E35">
        <w:rPr>
          <w:rFonts w:asciiTheme="minorHAnsi" w:hAnsiTheme="minorHAnsi" w:cstheme="minorHAnsi"/>
        </w:rPr>
        <w:t xml:space="preserve"> </w:t>
      </w:r>
      <w:r w:rsidRPr="00747E35">
        <w:rPr>
          <w:rFonts w:asciiTheme="minorHAnsi" w:hAnsiTheme="minorHAnsi" w:cstheme="minorHAnsi"/>
        </w:rPr>
        <w:t>Davis</w:t>
      </w:r>
      <w:r w:rsidR="00817E9E">
        <w:rPr>
          <w:rFonts w:asciiTheme="minorHAnsi" w:hAnsiTheme="minorHAnsi" w:cstheme="minorHAnsi"/>
        </w:rPr>
        <w:t xml:space="preserve"> J</w:t>
      </w:r>
      <w:r w:rsidRPr="00747E35">
        <w:rPr>
          <w:rFonts w:asciiTheme="minorHAnsi" w:hAnsiTheme="minorHAnsi" w:cstheme="minorHAnsi"/>
        </w:rPr>
        <w:t xml:space="preserve">. </w:t>
      </w:r>
      <w:r w:rsidR="00DD0803">
        <w:rPr>
          <w:rFonts w:asciiTheme="minorHAnsi" w:hAnsiTheme="minorHAnsi" w:cstheme="minorHAnsi"/>
        </w:rPr>
        <w:t>(</w:t>
      </w:r>
      <w:r w:rsidRPr="00747E35">
        <w:rPr>
          <w:rFonts w:asciiTheme="minorHAnsi" w:hAnsiTheme="minorHAnsi" w:cstheme="minorHAnsi"/>
        </w:rPr>
        <w:t>2014</w:t>
      </w:r>
      <w:r w:rsidR="00DD0803">
        <w:rPr>
          <w:rFonts w:asciiTheme="minorHAnsi" w:hAnsiTheme="minorHAnsi" w:cstheme="minorHAnsi"/>
        </w:rPr>
        <w:t>)</w:t>
      </w:r>
      <w:r w:rsidRPr="00747E35">
        <w:rPr>
          <w:rFonts w:asciiTheme="minorHAnsi" w:hAnsiTheme="minorHAnsi" w:cstheme="minorHAnsi"/>
        </w:rPr>
        <w:t>. Australian Freshwater Ecology: Processes and Management. Wiley.</w:t>
      </w:r>
    </w:p>
    <w:p w14:paraId="54669686" w14:textId="232A9CEF" w:rsidR="0087451A" w:rsidRPr="00747E35" w:rsidRDefault="00817E9E" w:rsidP="00A64AF8">
      <w:pPr>
        <w:pStyle w:val="References"/>
        <w:ind w:left="284" w:hanging="284"/>
        <w:rPr>
          <w:rFonts w:asciiTheme="minorHAnsi" w:hAnsiTheme="minorHAnsi" w:cstheme="minorHAnsi"/>
        </w:rPr>
      </w:pPr>
      <w:r w:rsidRPr="00817E9E">
        <w:rPr>
          <w:rFonts w:asciiTheme="minorHAnsi" w:hAnsiTheme="minorHAnsi" w:cstheme="minorHAnsi"/>
        </w:rPr>
        <w:t xml:space="preserve">Colwell R.K., Mao C.X. </w:t>
      </w:r>
      <w:r>
        <w:rPr>
          <w:rFonts w:asciiTheme="minorHAnsi" w:hAnsiTheme="minorHAnsi" w:cstheme="minorHAnsi"/>
        </w:rPr>
        <w:t>&amp;</w:t>
      </w:r>
      <w:r w:rsidRPr="00817E9E">
        <w:rPr>
          <w:rFonts w:asciiTheme="minorHAnsi" w:hAnsiTheme="minorHAnsi" w:cstheme="minorHAnsi"/>
        </w:rPr>
        <w:t xml:space="preserve"> Chang J. </w:t>
      </w:r>
      <w:r w:rsidR="0087451A" w:rsidRPr="00747E35">
        <w:rPr>
          <w:rFonts w:asciiTheme="minorHAnsi" w:hAnsiTheme="minorHAnsi" w:cstheme="minorHAnsi"/>
        </w:rPr>
        <w:t>(2004)</w:t>
      </w:r>
      <w:r w:rsidR="00DD0803">
        <w:rPr>
          <w:rFonts w:asciiTheme="minorHAnsi" w:hAnsiTheme="minorHAnsi" w:cstheme="minorHAnsi"/>
        </w:rPr>
        <w:t>.</w:t>
      </w:r>
      <w:r w:rsidR="0087451A" w:rsidRPr="00747E35">
        <w:rPr>
          <w:rFonts w:asciiTheme="minorHAnsi" w:hAnsiTheme="minorHAnsi" w:cstheme="minorHAnsi"/>
        </w:rPr>
        <w:t xml:space="preserve"> Interpolating, extrapolating, and comparing incidence-based species accumulation curves. </w:t>
      </w:r>
      <w:r w:rsidR="0087451A" w:rsidRPr="00DD0803">
        <w:rPr>
          <w:rFonts w:asciiTheme="minorHAnsi" w:hAnsiTheme="minorHAnsi" w:cstheme="minorHAnsi"/>
          <w:i/>
        </w:rPr>
        <w:t>Ecology</w:t>
      </w:r>
      <w:r w:rsidR="0087451A" w:rsidRPr="00747E35">
        <w:rPr>
          <w:rFonts w:asciiTheme="minorHAnsi" w:hAnsiTheme="minorHAnsi" w:cstheme="minorHAnsi"/>
        </w:rPr>
        <w:t xml:space="preserve"> 85: 2717-2727.</w:t>
      </w:r>
    </w:p>
    <w:p w14:paraId="7EA98817" w14:textId="269FAD08"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Claret C., Marmonier M., Dole-Olivier M.-J., Creuze Des</w:t>
      </w:r>
      <w:r w:rsidR="00E74263">
        <w:rPr>
          <w:rFonts w:asciiTheme="minorHAnsi" w:hAnsiTheme="minorHAnsi" w:cstheme="minorHAnsi"/>
        </w:rPr>
        <w:t xml:space="preserve"> Chatelliers M., Boulton A.</w:t>
      </w:r>
      <w:r w:rsidRPr="00747E35">
        <w:rPr>
          <w:rFonts w:asciiTheme="minorHAnsi" w:hAnsiTheme="minorHAnsi" w:cstheme="minorHAnsi"/>
        </w:rPr>
        <w:t xml:space="preserve"> </w:t>
      </w:r>
      <w:r w:rsidR="00E74263">
        <w:rPr>
          <w:rFonts w:asciiTheme="minorHAnsi" w:hAnsiTheme="minorHAnsi" w:cstheme="minorHAnsi"/>
        </w:rPr>
        <w:t>&amp;</w:t>
      </w:r>
      <w:r w:rsidR="00E74263" w:rsidRPr="00747E35">
        <w:rPr>
          <w:rFonts w:asciiTheme="minorHAnsi" w:hAnsiTheme="minorHAnsi" w:cstheme="minorHAnsi"/>
        </w:rPr>
        <w:t xml:space="preserve"> </w:t>
      </w:r>
      <w:r w:rsidRPr="00747E35">
        <w:rPr>
          <w:rFonts w:asciiTheme="minorHAnsi" w:hAnsiTheme="minorHAnsi" w:cstheme="minorHAnsi"/>
        </w:rPr>
        <w:t>Castella E. (1999)</w:t>
      </w:r>
      <w:r w:rsidR="00DD0803">
        <w:rPr>
          <w:rFonts w:asciiTheme="minorHAnsi" w:hAnsiTheme="minorHAnsi" w:cstheme="minorHAnsi"/>
        </w:rPr>
        <w:t>.</w:t>
      </w:r>
      <w:r w:rsidRPr="00747E35">
        <w:rPr>
          <w:rFonts w:asciiTheme="minorHAnsi" w:hAnsiTheme="minorHAnsi" w:cstheme="minorHAnsi"/>
        </w:rPr>
        <w:t xml:space="preserve"> A functional classification of interstitial invertebrates: supplementing measures of biodiversity using species traits and habitat affinities. </w:t>
      </w:r>
      <w:r w:rsidR="00DD0803" w:rsidRPr="00DD0803">
        <w:rPr>
          <w:rFonts w:asciiTheme="minorHAnsi" w:hAnsiTheme="minorHAnsi" w:cstheme="minorHAnsi"/>
          <w:i/>
        </w:rPr>
        <w:t>Archiv für Hydrobiologie</w:t>
      </w:r>
      <w:r w:rsidR="00DD0803" w:rsidRPr="00747E35">
        <w:rPr>
          <w:rFonts w:asciiTheme="minorHAnsi" w:hAnsiTheme="minorHAnsi" w:cstheme="minorHAnsi"/>
        </w:rPr>
        <w:t xml:space="preserve"> </w:t>
      </w:r>
      <w:r w:rsidRPr="00747E35">
        <w:rPr>
          <w:rFonts w:asciiTheme="minorHAnsi" w:hAnsiTheme="minorHAnsi" w:cstheme="minorHAnsi"/>
        </w:rPr>
        <w:t>145: 385-403.</w:t>
      </w:r>
    </w:p>
    <w:p w14:paraId="48D6CC65" w14:textId="26236185"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Cuthbert M.O., Acworth</w:t>
      </w:r>
      <w:r w:rsidR="00782D27" w:rsidRPr="00782D27">
        <w:rPr>
          <w:rFonts w:asciiTheme="minorHAnsi" w:hAnsiTheme="minorHAnsi" w:cstheme="minorHAnsi"/>
        </w:rPr>
        <w:t xml:space="preserve"> </w:t>
      </w:r>
      <w:r w:rsidR="00782D27" w:rsidRPr="00747E35">
        <w:rPr>
          <w:rFonts w:asciiTheme="minorHAnsi" w:hAnsiTheme="minorHAnsi" w:cstheme="minorHAnsi"/>
        </w:rPr>
        <w:t>R.I.</w:t>
      </w:r>
      <w:r w:rsidRPr="00747E35">
        <w:rPr>
          <w:rFonts w:asciiTheme="minorHAnsi" w:hAnsiTheme="minorHAnsi" w:cstheme="minorHAnsi"/>
        </w:rPr>
        <w:t>, Andersen</w:t>
      </w:r>
      <w:r w:rsidR="00782D27" w:rsidRPr="00782D27">
        <w:rPr>
          <w:rFonts w:asciiTheme="minorHAnsi" w:hAnsiTheme="minorHAnsi" w:cstheme="minorHAnsi"/>
        </w:rPr>
        <w:t xml:space="preserve"> </w:t>
      </w:r>
      <w:r w:rsidR="00782D27" w:rsidRPr="00747E35">
        <w:rPr>
          <w:rFonts w:asciiTheme="minorHAnsi" w:hAnsiTheme="minorHAnsi" w:cstheme="minorHAnsi"/>
        </w:rPr>
        <w:t>M.S.</w:t>
      </w:r>
      <w:r w:rsidRPr="00747E35">
        <w:rPr>
          <w:rFonts w:asciiTheme="minorHAnsi" w:hAnsiTheme="minorHAnsi" w:cstheme="minorHAnsi"/>
        </w:rPr>
        <w:t>, Larsen</w:t>
      </w:r>
      <w:r w:rsidR="00782D27" w:rsidRPr="00782D27">
        <w:rPr>
          <w:rFonts w:asciiTheme="minorHAnsi" w:hAnsiTheme="minorHAnsi" w:cstheme="minorHAnsi"/>
        </w:rPr>
        <w:t xml:space="preserve"> </w:t>
      </w:r>
      <w:r w:rsidR="00782D27" w:rsidRPr="00747E35">
        <w:rPr>
          <w:rFonts w:asciiTheme="minorHAnsi" w:hAnsiTheme="minorHAnsi" w:cstheme="minorHAnsi"/>
        </w:rPr>
        <w:t>J.R.</w:t>
      </w:r>
      <w:r w:rsidRPr="00747E35">
        <w:rPr>
          <w:rFonts w:asciiTheme="minorHAnsi" w:hAnsiTheme="minorHAnsi" w:cstheme="minorHAnsi"/>
        </w:rPr>
        <w:t>, McCallum</w:t>
      </w:r>
      <w:r w:rsidR="00782D27" w:rsidRPr="00782D27">
        <w:rPr>
          <w:rFonts w:asciiTheme="minorHAnsi" w:hAnsiTheme="minorHAnsi" w:cstheme="minorHAnsi"/>
        </w:rPr>
        <w:t xml:space="preserve"> </w:t>
      </w:r>
      <w:r w:rsidR="00782D27" w:rsidRPr="00747E35">
        <w:rPr>
          <w:rFonts w:asciiTheme="minorHAnsi" w:hAnsiTheme="minorHAnsi" w:cstheme="minorHAnsi"/>
        </w:rPr>
        <w:t>A.M.</w:t>
      </w:r>
      <w:r w:rsidRPr="00747E35">
        <w:rPr>
          <w:rFonts w:asciiTheme="minorHAnsi" w:hAnsiTheme="minorHAnsi" w:cstheme="minorHAnsi"/>
        </w:rPr>
        <w:t>, Rau</w:t>
      </w:r>
      <w:r w:rsidR="00782D27" w:rsidRPr="00782D27">
        <w:rPr>
          <w:rFonts w:asciiTheme="minorHAnsi" w:hAnsiTheme="minorHAnsi" w:cstheme="minorHAnsi"/>
        </w:rPr>
        <w:t xml:space="preserve"> </w:t>
      </w:r>
      <w:r w:rsidR="00782D27" w:rsidRPr="00747E35">
        <w:rPr>
          <w:rFonts w:asciiTheme="minorHAnsi" w:hAnsiTheme="minorHAnsi" w:cstheme="minorHAnsi"/>
        </w:rPr>
        <w:t>G.C.</w:t>
      </w:r>
      <w:r w:rsidRPr="00747E35">
        <w:rPr>
          <w:rFonts w:asciiTheme="minorHAnsi" w:hAnsiTheme="minorHAnsi" w:cstheme="minorHAnsi"/>
        </w:rPr>
        <w:t xml:space="preserve"> </w:t>
      </w:r>
      <w:r w:rsidR="00E74263">
        <w:rPr>
          <w:rFonts w:asciiTheme="minorHAnsi" w:hAnsiTheme="minorHAnsi" w:cstheme="minorHAnsi"/>
        </w:rPr>
        <w:t>&amp;</w:t>
      </w:r>
      <w:r w:rsidR="00E74263" w:rsidRPr="00747E35">
        <w:rPr>
          <w:rFonts w:asciiTheme="minorHAnsi" w:hAnsiTheme="minorHAnsi" w:cstheme="minorHAnsi"/>
        </w:rPr>
        <w:t xml:space="preserve"> </w:t>
      </w:r>
      <w:r w:rsidRPr="00747E35">
        <w:rPr>
          <w:rFonts w:asciiTheme="minorHAnsi" w:hAnsiTheme="minorHAnsi" w:cstheme="minorHAnsi"/>
        </w:rPr>
        <w:t xml:space="preserve">Tellam </w:t>
      </w:r>
      <w:r w:rsidR="00782D27" w:rsidRPr="00747E35">
        <w:rPr>
          <w:rFonts w:asciiTheme="minorHAnsi" w:hAnsiTheme="minorHAnsi" w:cstheme="minorHAnsi"/>
        </w:rPr>
        <w:t xml:space="preserve">J.H. </w:t>
      </w:r>
      <w:r w:rsidRPr="00747E35">
        <w:rPr>
          <w:rFonts w:asciiTheme="minorHAnsi" w:hAnsiTheme="minorHAnsi" w:cstheme="minorHAnsi"/>
        </w:rPr>
        <w:t>(2016)</w:t>
      </w:r>
      <w:r w:rsidR="00DD0803">
        <w:rPr>
          <w:rFonts w:asciiTheme="minorHAnsi" w:hAnsiTheme="minorHAnsi" w:cstheme="minorHAnsi"/>
        </w:rPr>
        <w:t>.</w:t>
      </w:r>
      <w:r w:rsidRPr="00747E35">
        <w:rPr>
          <w:rFonts w:asciiTheme="minorHAnsi" w:hAnsiTheme="minorHAnsi" w:cstheme="minorHAnsi"/>
        </w:rPr>
        <w:t xml:space="preserve"> Understanding and quantifying focused, indirect groundwater recharge from ephemeral streams using water table fluctuations, </w:t>
      </w:r>
      <w:r w:rsidRPr="00DD0803">
        <w:rPr>
          <w:rFonts w:asciiTheme="minorHAnsi" w:hAnsiTheme="minorHAnsi" w:cstheme="minorHAnsi"/>
          <w:i/>
        </w:rPr>
        <w:t>Water Resour</w:t>
      </w:r>
      <w:r w:rsidR="00DD0803" w:rsidRPr="00DD0803">
        <w:rPr>
          <w:rFonts w:asciiTheme="minorHAnsi" w:hAnsiTheme="minorHAnsi" w:cstheme="minorHAnsi"/>
          <w:i/>
        </w:rPr>
        <w:t>ces</w:t>
      </w:r>
      <w:r w:rsidRPr="00DD0803">
        <w:rPr>
          <w:rFonts w:asciiTheme="minorHAnsi" w:hAnsiTheme="minorHAnsi" w:cstheme="minorHAnsi"/>
          <w:i/>
        </w:rPr>
        <w:t xml:space="preserve"> Res</w:t>
      </w:r>
      <w:r w:rsidR="00DD0803" w:rsidRPr="00DD0803">
        <w:rPr>
          <w:rFonts w:asciiTheme="minorHAnsi" w:hAnsiTheme="minorHAnsi" w:cstheme="minorHAnsi"/>
          <w:i/>
        </w:rPr>
        <w:t>earch</w:t>
      </w:r>
      <w:r w:rsidR="00DD0803">
        <w:rPr>
          <w:rFonts w:asciiTheme="minorHAnsi" w:hAnsiTheme="minorHAnsi" w:cstheme="minorHAnsi"/>
        </w:rPr>
        <w:t xml:space="preserve"> 52: 827–840</w:t>
      </w:r>
    </w:p>
    <w:p w14:paraId="736C2A36" w14:textId="4E2EFF74"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Eberhard S.M. (2004)</w:t>
      </w:r>
      <w:r w:rsidR="00DD0803">
        <w:rPr>
          <w:rFonts w:asciiTheme="minorHAnsi" w:hAnsiTheme="minorHAnsi" w:cstheme="minorHAnsi"/>
        </w:rPr>
        <w:t>.</w:t>
      </w:r>
      <w:r w:rsidRPr="00747E35">
        <w:rPr>
          <w:rFonts w:asciiTheme="minorHAnsi" w:hAnsiTheme="minorHAnsi" w:cstheme="minorHAnsi"/>
        </w:rPr>
        <w:t xml:space="preserve"> Ecology and hydrology of a threatened groundwater-dependent ecosystem: the Jewel Cave karst system in Western Australia. PhD thesis Murdoch University. </w:t>
      </w:r>
      <w:hyperlink r:id="rId196" w:history="1">
        <w:r w:rsidRPr="00747E35">
          <w:rPr>
            <w:rFonts w:asciiTheme="minorHAnsi" w:hAnsiTheme="minorHAnsi" w:cstheme="minorHAnsi"/>
          </w:rPr>
          <w:t>http://wwwlib.murdoch.edu.au/adt/browse/view/adt-MU20051010.141551</w:t>
        </w:r>
      </w:hyperlink>
      <w:r w:rsidR="00782D27">
        <w:rPr>
          <w:rFonts w:asciiTheme="minorHAnsi" w:hAnsiTheme="minorHAnsi" w:cstheme="minorHAnsi"/>
        </w:rPr>
        <w:t xml:space="preserve"> </w:t>
      </w:r>
    </w:p>
    <w:p w14:paraId="179C4C8F" w14:textId="37F4A5D2"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 xml:space="preserve">Eberhard S.M., Halse S.A., Williams M., Scanlon M.D., Cocking J.S. </w:t>
      </w:r>
      <w:r w:rsidR="00E74263">
        <w:rPr>
          <w:rFonts w:asciiTheme="minorHAnsi" w:hAnsiTheme="minorHAnsi" w:cstheme="minorHAnsi"/>
        </w:rPr>
        <w:t>&amp;</w:t>
      </w:r>
      <w:r w:rsidR="00E74263" w:rsidRPr="00747E35">
        <w:rPr>
          <w:rFonts w:asciiTheme="minorHAnsi" w:hAnsiTheme="minorHAnsi" w:cstheme="minorHAnsi"/>
        </w:rPr>
        <w:t xml:space="preserve"> </w:t>
      </w:r>
      <w:r w:rsidRPr="00747E35">
        <w:rPr>
          <w:rFonts w:asciiTheme="minorHAnsi" w:hAnsiTheme="minorHAnsi" w:cstheme="minorHAnsi"/>
        </w:rPr>
        <w:t>Barron H.J. (2009)</w:t>
      </w:r>
      <w:r w:rsidR="00DD0803">
        <w:rPr>
          <w:rFonts w:asciiTheme="minorHAnsi" w:hAnsiTheme="minorHAnsi" w:cstheme="minorHAnsi"/>
        </w:rPr>
        <w:t>.</w:t>
      </w:r>
      <w:r w:rsidRPr="00747E35">
        <w:rPr>
          <w:rFonts w:asciiTheme="minorHAnsi" w:hAnsiTheme="minorHAnsi" w:cstheme="minorHAnsi"/>
        </w:rPr>
        <w:t xml:space="preserve"> Exploring the relationship between sampling efficiency and short range endemism for groundwater fauna in the Pilbara region, Western Australia. </w:t>
      </w:r>
      <w:r w:rsidRPr="00DD0803">
        <w:rPr>
          <w:rFonts w:asciiTheme="minorHAnsi" w:hAnsiTheme="minorHAnsi" w:cstheme="minorHAnsi"/>
          <w:i/>
        </w:rPr>
        <w:t>Freshwater Biology</w:t>
      </w:r>
      <w:r w:rsidRPr="00747E35">
        <w:rPr>
          <w:rFonts w:asciiTheme="minorHAnsi" w:hAnsiTheme="minorHAnsi" w:cstheme="minorHAnsi"/>
        </w:rPr>
        <w:t xml:space="preserve"> 54: 885-901. </w:t>
      </w:r>
    </w:p>
    <w:p w14:paraId="6231D600" w14:textId="2E69A673"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 xml:space="preserve">Fenwick G.D., Thorpe H.R. </w:t>
      </w:r>
      <w:r w:rsidR="00E74263">
        <w:rPr>
          <w:rFonts w:asciiTheme="minorHAnsi" w:hAnsiTheme="minorHAnsi" w:cstheme="minorHAnsi"/>
        </w:rPr>
        <w:t>&amp;</w:t>
      </w:r>
      <w:r w:rsidR="00E74263" w:rsidRPr="00747E35">
        <w:rPr>
          <w:rFonts w:asciiTheme="minorHAnsi" w:hAnsiTheme="minorHAnsi" w:cstheme="minorHAnsi"/>
        </w:rPr>
        <w:t xml:space="preserve"> </w:t>
      </w:r>
      <w:r w:rsidRPr="00747E35">
        <w:rPr>
          <w:rFonts w:asciiTheme="minorHAnsi" w:hAnsiTheme="minorHAnsi" w:cstheme="minorHAnsi"/>
        </w:rPr>
        <w:t>White P.A. (2004)</w:t>
      </w:r>
      <w:r w:rsidR="00DD0803">
        <w:rPr>
          <w:rFonts w:asciiTheme="minorHAnsi" w:hAnsiTheme="minorHAnsi" w:cstheme="minorHAnsi"/>
        </w:rPr>
        <w:t>.</w:t>
      </w:r>
      <w:r w:rsidRPr="00747E35">
        <w:rPr>
          <w:rFonts w:asciiTheme="minorHAnsi" w:hAnsiTheme="minorHAnsi" w:cstheme="minorHAnsi"/>
        </w:rPr>
        <w:t xml:space="preserve"> Groundwater systems. In Freshwaters of New Zealand (Eds J. Harding, P. Mosely, C. Pearson and B. Sorrell) pp. 29.1-29.18 (New Zealand Hydrological Society and New Zealand Limnological Society; Christchurch, New Zealand).  </w:t>
      </w:r>
    </w:p>
    <w:p w14:paraId="2CEBA5DA" w14:textId="2DD3B8EA"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 xml:space="preserve">Gibert J. Danielopol D.L. </w:t>
      </w:r>
      <w:r w:rsidR="00E74263">
        <w:rPr>
          <w:rFonts w:asciiTheme="minorHAnsi" w:hAnsiTheme="minorHAnsi" w:cstheme="minorHAnsi"/>
        </w:rPr>
        <w:t>&amp;</w:t>
      </w:r>
      <w:r w:rsidR="00E74263" w:rsidRPr="00747E35">
        <w:rPr>
          <w:rFonts w:asciiTheme="minorHAnsi" w:hAnsiTheme="minorHAnsi" w:cstheme="minorHAnsi"/>
        </w:rPr>
        <w:t xml:space="preserve"> </w:t>
      </w:r>
      <w:r w:rsidRPr="00747E35">
        <w:rPr>
          <w:rFonts w:asciiTheme="minorHAnsi" w:hAnsiTheme="minorHAnsi" w:cstheme="minorHAnsi"/>
        </w:rPr>
        <w:t>Stanford J.A. (Eds) (1994)</w:t>
      </w:r>
      <w:r w:rsidR="00DD0803">
        <w:rPr>
          <w:rFonts w:asciiTheme="minorHAnsi" w:hAnsiTheme="minorHAnsi" w:cstheme="minorHAnsi"/>
        </w:rPr>
        <w:t>.</w:t>
      </w:r>
      <w:r w:rsidRPr="00747E35">
        <w:rPr>
          <w:rFonts w:asciiTheme="minorHAnsi" w:hAnsiTheme="minorHAnsi" w:cstheme="minorHAnsi"/>
        </w:rPr>
        <w:t xml:space="preserve"> Groundwater ecology. Academic Press.  </w:t>
      </w:r>
    </w:p>
    <w:p w14:paraId="67466C97" w14:textId="2DA7F818"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 xml:space="preserve">Griebler C., Malard F. </w:t>
      </w:r>
      <w:r w:rsidR="00E74263">
        <w:rPr>
          <w:rFonts w:asciiTheme="minorHAnsi" w:hAnsiTheme="minorHAnsi" w:cstheme="minorHAnsi"/>
        </w:rPr>
        <w:t>&amp;</w:t>
      </w:r>
      <w:r w:rsidR="00E74263" w:rsidRPr="00747E35">
        <w:rPr>
          <w:rFonts w:asciiTheme="minorHAnsi" w:hAnsiTheme="minorHAnsi" w:cstheme="minorHAnsi"/>
        </w:rPr>
        <w:t xml:space="preserve"> </w:t>
      </w:r>
      <w:r w:rsidRPr="00747E35">
        <w:rPr>
          <w:rFonts w:asciiTheme="minorHAnsi" w:hAnsiTheme="minorHAnsi" w:cstheme="minorHAnsi"/>
        </w:rPr>
        <w:t>Lefebure T. (2014)</w:t>
      </w:r>
      <w:r w:rsidR="00DD0803">
        <w:rPr>
          <w:rFonts w:asciiTheme="minorHAnsi" w:hAnsiTheme="minorHAnsi" w:cstheme="minorHAnsi"/>
        </w:rPr>
        <w:t>.</w:t>
      </w:r>
      <w:r w:rsidRPr="00747E35">
        <w:rPr>
          <w:rFonts w:asciiTheme="minorHAnsi" w:hAnsiTheme="minorHAnsi" w:cstheme="minorHAnsi"/>
        </w:rPr>
        <w:t xml:space="preserve"> Current developments in groundwater ecology – from biodiversity to ecosystem function and services. </w:t>
      </w:r>
      <w:r w:rsidRPr="00DD0803">
        <w:rPr>
          <w:rFonts w:asciiTheme="minorHAnsi" w:hAnsiTheme="minorHAnsi" w:cstheme="minorHAnsi"/>
          <w:i/>
        </w:rPr>
        <w:t>Current Opinion in Biotechnology</w:t>
      </w:r>
      <w:r w:rsidRPr="00747E35">
        <w:rPr>
          <w:rFonts w:asciiTheme="minorHAnsi" w:hAnsiTheme="minorHAnsi" w:cstheme="minorHAnsi"/>
        </w:rPr>
        <w:t xml:space="preserve"> 27: 159-167. </w:t>
      </w:r>
    </w:p>
    <w:p w14:paraId="13C0D93D" w14:textId="7C632E4D"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 xml:space="preserve">Grimm N. </w:t>
      </w:r>
      <w:r w:rsidR="00E74263">
        <w:rPr>
          <w:rFonts w:asciiTheme="minorHAnsi" w:hAnsiTheme="minorHAnsi" w:cstheme="minorHAnsi"/>
        </w:rPr>
        <w:t>&amp;</w:t>
      </w:r>
      <w:r w:rsidR="00E74263" w:rsidRPr="00747E35">
        <w:rPr>
          <w:rFonts w:asciiTheme="minorHAnsi" w:hAnsiTheme="minorHAnsi" w:cstheme="minorHAnsi"/>
        </w:rPr>
        <w:t xml:space="preserve"> </w:t>
      </w:r>
      <w:r w:rsidRPr="00747E35">
        <w:rPr>
          <w:rFonts w:asciiTheme="minorHAnsi" w:hAnsiTheme="minorHAnsi" w:cstheme="minorHAnsi"/>
        </w:rPr>
        <w:t>Fisher S. (1984)</w:t>
      </w:r>
      <w:r w:rsidR="00DD0803">
        <w:rPr>
          <w:rFonts w:asciiTheme="minorHAnsi" w:hAnsiTheme="minorHAnsi" w:cstheme="minorHAnsi"/>
        </w:rPr>
        <w:t>.</w:t>
      </w:r>
      <w:r w:rsidRPr="00747E35">
        <w:rPr>
          <w:rFonts w:asciiTheme="minorHAnsi" w:hAnsiTheme="minorHAnsi" w:cstheme="minorHAnsi"/>
        </w:rPr>
        <w:t xml:space="preserve"> Exchange between interstitial and surface water – implications for stream metabloism and nutrient cycling. </w:t>
      </w:r>
      <w:r w:rsidRPr="00DD0803">
        <w:rPr>
          <w:rFonts w:asciiTheme="minorHAnsi" w:hAnsiTheme="minorHAnsi" w:cstheme="minorHAnsi"/>
          <w:i/>
        </w:rPr>
        <w:t>Hydrobiologia</w:t>
      </w:r>
      <w:r w:rsidRPr="00747E35">
        <w:rPr>
          <w:rFonts w:asciiTheme="minorHAnsi" w:hAnsiTheme="minorHAnsi" w:cstheme="minorHAnsi"/>
        </w:rPr>
        <w:t xml:space="preserve"> 111: 219-228.  </w:t>
      </w:r>
    </w:p>
    <w:p w14:paraId="685AC0B7" w14:textId="58511FEC"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 xml:space="preserve">Guzik M.T, Austin A., Cooper S., Harvey M., Humphreys W., Bradford T., Eberhard S.M., King R., Leys R., Muirhead K. </w:t>
      </w:r>
      <w:r w:rsidR="00E74263">
        <w:rPr>
          <w:rFonts w:asciiTheme="minorHAnsi" w:hAnsiTheme="minorHAnsi" w:cstheme="minorHAnsi"/>
        </w:rPr>
        <w:t>&amp;</w:t>
      </w:r>
      <w:r w:rsidR="00E74263" w:rsidRPr="00747E35">
        <w:rPr>
          <w:rFonts w:asciiTheme="minorHAnsi" w:hAnsiTheme="minorHAnsi" w:cstheme="minorHAnsi"/>
        </w:rPr>
        <w:t xml:space="preserve"> </w:t>
      </w:r>
      <w:r w:rsidRPr="00747E35">
        <w:rPr>
          <w:rFonts w:asciiTheme="minorHAnsi" w:hAnsiTheme="minorHAnsi" w:cstheme="minorHAnsi"/>
        </w:rPr>
        <w:t>Tomlinson M. (2011)</w:t>
      </w:r>
      <w:r w:rsidR="00DD0803">
        <w:rPr>
          <w:rFonts w:asciiTheme="minorHAnsi" w:hAnsiTheme="minorHAnsi" w:cstheme="minorHAnsi"/>
        </w:rPr>
        <w:t>.</w:t>
      </w:r>
      <w:r w:rsidRPr="00747E35">
        <w:rPr>
          <w:rFonts w:asciiTheme="minorHAnsi" w:hAnsiTheme="minorHAnsi" w:cstheme="minorHAnsi"/>
        </w:rPr>
        <w:t xml:space="preserve"> Is the Australian subterranean fauna uniquely diverse? </w:t>
      </w:r>
      <w:r w:rsidRPr="00DD0803">
        <w:rPr>
          <w:rFonts w:asciiTheme="minorHAnsi" w:hAnsiTheme="minorHAnsi" w:cstheme="minorHAnsi"/>
          <w:i/>
        </w:rPr>
        <w:t>Invertebrate Systematics</w:t>
      </w:r>
      <w:r w:rsidRPr="00747E35">
        <w:rPr>
          <w:rFonts w:asciiTheme="minorHAnsi" w:hAnsiTheme="minorHAnsi" w:cstheme="minorHAnsi"/>
        </w:rPr>
        <w:t xml:space="preserve"> 24</w:t>
      </w:r>
      <w:r w:rsidR="00283A3B">
        <w:rPr>
          <w:rFonts w:asciiTheme="minorHAnsi" w:hAnsiTheme="minorHAnsi" w:cstheme="minorHAnsi"/>
        </w:rPr>
        <w:t>:</w:t>
      </w:r>
      <w:r w:rsidRPr="00747E35">
        <w:rPr>
          <w:rFonts w:asciiTheme="minorHAnsi" w:hAnsiTheme="minorHAnsi" w:cstheme="minorHAnsi"/>
        </w:rPr>
        <w:t xml:space="preserve"> 407-418.</w:t>
      </w:r>
    </w:p>
    <w:p w14:paraId="7CA01839" w14:textId="5668207B"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 xml:space="preserve">Hancock P.J. </w:t>
      </w:r>
      <w:r w:rsidR="00E74263">
        <w:rPr>
          <w:rFonts w:asciiTheme="minorHAnsi" w:hAnsiTheme="minorHAnsi" w:cstheme="minorHAnsi"/>
        </w:rPr>
        <w:t>&amp;</w:t>
      </w:r>
      <w:r w:rsidR="00E74263" w:rsidRPr="00747E35">
        <w:rPr>
          <w:rFonts w:asciiTheme="minorHAnsi" w:hAnsiTheme="minorHAnsi" w:cstheme="minorHAnsi"/>
        </w:rPr>
        <w:t xml:space="preserve"> </w:t>
      </w:r>
      <w:r w:rsidRPr="00747E35">
        <w:rPr>
          <w:rFonts w:asciiTheme="minorHAnsi" w:hAnsiTheme="minorHAnsi" w:cstheme="minorHAnsi"/>
        </w:rPr>
        <w:t xml:space="preserve">Boulton </w:t>
      </w:r>
      <w:r w:rsidR="00782D27" w:rsidRPr="00747E35">
        <w:rPr>
          <w:rFonts w:asciiTheme="minorHAnsi" w:hAnsiTheme="minorHAnsi" w:cstheme="minorHAnsi"/>
        </w:rPr>
        <w:t xml:space="preserve">A.J. </w:t>
      </w:r>
      <w:r w:rsidRPr="00747E35">
        <w:rPr>
          <w:rFonts w:asciiTheme="minorHAnsi" w:hAnsiTheme="minorHAnsi" w:cstheme="minorHAnsi"/>
        </w:rPr>
        <w:t>(2008)</w:t>
      </w:r>
      <w:r w:rsidR="00DD0803">
        <w:rPr>
          <w:rFonts w:asciiTheme="minorHAnsi" w:hAnsiTheme="minorHAnsi" w:cstheme="minorHAnsi"/>
        </w:rPr>
        <w:t>.</w:t>
      </w:r>
      <w:r w:rsidRPr="00747E35">
        <w:rPr>
          <w:rFonts w:asciiTheme="minorHAnsi" w:hAnsiTheme="minorHAnsi" w:cstheme="minorHAnsi"/>
        </w:rPr>
        <w:t xml:space="preserve"> Stygofauna biodiversity and endemism in four alluvial aquifers in eastern Australia. </w:t>
      </w:r>
      <w:r w:rsidRPr="00DD0803">
        <w:rPr>
          <w:rFonts w:asciiTheme="minorHAnsi" w:hAnsiTheme="minorHAnsi" w:cstheme="minorHAnsi"/>
          <w:i/>
        </w:rPr>
        <w:t>Invertebrate Systematics</w:t>
      </w:r>
      <w:r w:rsidRPr="00747E35">
        <w:rPr>
          <w:rFonts w:asciiTheme="minorHAnsi" w:hAnsiTheme="minorHAnsi" w:cstheme="minorHAnsi"/>
        </w:rPr>
        <w:t xml:space="preserve"> 22: 117-126.</w:t>
      </w:r>
    </w:p>
    <w:p w14:paraId="24CE4A8E" w14:textId="5EF70AA9"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Hancock P</w:t>
      </w:r>
      <w:r w:rsidR="00782D27">
        <w:rPr>
          <w:rFonts w:asciiTheme="minorHAnsi" w:hAnsiTheme="minorHAnsi" w:cstheme="minorHAnsi"/>
        </w:rPr>
        <w:t>.</w:t>
      </w:r>
      <w:r w:rsidRPr="00747E35">
        <w:rPr>
          <w:rFonts w:asciiTheme="minorHAnsi" w:hAnsiTheme="minorHAnsi" w:cstheme="minorHAnsi"/>
        </w:rPr>
        <w:t>J</w:t>
      </w:r>
      <w:r w:rsidR="00782D27">
        <w:rPr>
          <w:rFonts w:asciiTheme="minorHAnsi" w:hAnsiTheme="minorHAnsi" w:cstheme="minorHAnsi"/>
        </w:rPr>
        <w:t>.</w:t>
      </w:r>
      <w:r w:rsidRPr="00747E35">
        <w:rPr>
          <w:rFonts w:asciiTheme="minorHAnsi" w:hAnsiTheme="minorHAnsi" w:cstheme="minorHAnsi"/>
        </w:rPr>
        <w:t xml:space="preserve"> &amp; Boulton A</w:t>
      </w:r>
      <w:r w:rsidR="00782D27">
        <w:rPr>
          <w:rFonts w:asciiTheme="minorHAnsi" w:hAnsiTheme="minorHAnsi" w:cstheme="minorHAnsi"/>
        </w:rPr>
        <w:t>.</w:t>
      </w:r>
      <w:r w:rsidRPr="00747E35">
        <w:rPr>
          <w:rFonts w:asciiTheme="minorHAnsi" w:hAnsiTheme="minorHAnsi" w:cstheme="minorHAnsi"/>
        </w:rPr>
        <w:t>J</w:t>
      </w:r>
      <w:r w:rsidR="00782D27">
        <w:rPr>
          <w:rFonts w:asciiTheme="minorHAnsi" w:hAnsiTheme="minorHAnsi" w:cstheme="minorHAnsi"/>
        </w:rPr>
        <w:t>.</w:t>
      </w:r>
      <w:r w:rsidRPr="00747E35">
        <w:rPr>
          <w:rFonts w:asciiTheme="minorHAnsi" w:hAnsiTheme="minorHAnsi" w:cstheme="minorHAnsi"/>
        </w:rPr>
        <w:t xml:space="preserve"> (2009)</w:t>
      </w:r>
      <w:r w:rsidR="00DD0803">
        <w:rPr>
          <w:rFonts w:asciiTheme="minorHAnsi" w:hAnsiTheme="minorHAnsi" w:cstheme="minorHAnsi"/>
        </w:rPr>
        <w:t>.</w:t>
      </w:r>
      <w:r w:rsidRPr="00747E35">
        <w:rPr>
          <w:rFonts w:asciiTheme="minorHAnsi" w:hAnsiTheme="minorHAnsi" w:cstheme="minorHAnsi"/>
        </w:rPr>
        <w:t xml:space="preserve"> Sampling groundwater fauna: efficiency of rapid assessment methods tested in bores in eastern Australia</w:t>
      </w:r>
      <w:r w:rsidR="00283A3B">
        <w:rPr>
          <w:rFonts w:asciiTheme="minorHAnsi" w:hAnsiTheme="minorHAnsi" w:cstheme="minorHAnsi"/>
        </w:rPr>
        <w:t>.</w:t>
      </w:r>
      <w:r w:rsidRPr="00747E35">
        <w:rPr>
          <w:rFonts w:asciiTheme="minorHAnsi" w:hAnsiTheme="minorHAnsi" w:cstheme="minorHAnsi"/>
        </w:rPr>
        <w:t xml:space="preserve"> </w:t>
      </w:r>
      <w:r w:rsidRPr="00DD0803">
        <w:rPr>
          <w:rFonts w:asciiTheme="minorHAnsi" w:hAnsiTheme="minorHAnsi" w:cstheme="minorHAnsi"/>
          <w:i/>
        </w:rPr>
        <w:t>Freshwater Biology</w:t>
      </w:r>
      <w:r w:rsidRPr="00747E35">
        <w:rPr>
          <w:rFonts w:asciiTheme="minorHAnsi" w:hAnsiTheme="minorHAnsi" w:cstheme="minorHAnsi"/>
        </w:rPr>
        <w:t xml:space="preserve"> 54</w:t>
      </w:r>
      <w:r w:rsidR="00283A3B">
        <w:rPr>
          <w:rFonts w:asciiTheme="minorHAnsi" w:hAnsiTheme="minorHAnsi" w:cstheme="minorHAnsi"/>
        </w:rPr>
        <w:t>:</w:t>
      </w:r>
      <w:r w:rsidRPr="00747E35">
        <w:rPr>
          <w:rFonts w:asciiTheme="minorHAnsi" w:hAnsiTheme="minorHAnsi" w:cstheme="minorHAnsi"/>
        </w:rPr>
        <w:t xml:space="preserve"> 902–917.</w:t>
      </w:r>
    </w:p>
    <w:p w14:paraId="190EE934" w14:textId="0DD521A0"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Hahn H.J. (2006)</w:t>
      </w:r>
      <w:r w:rsidR="00DD0803">
        <w:rPr>
          <w:rFonts w:asciiTheme="minorHAnsi" w:hAnsiTheme="minorHAnsi" w:cstheme="minorHAnsi"/>
        </w:rPr>
        <w:t>.</w:t>
      </w:r>
      <w:r w:rsidRPr="00747E35">
        <w:rPr>
          <w:rFonts w:asciiTheme="minorHAnsi" w:hAnsiTheme="minorHAnsi" w:cstheme="minorHAnsi"/>
        </w:rPr>
        <w:t xml:space="preserve"> The GW-Fauna-Index: A first approach to a quantitative ecological assessment of groundwater habitats. </w:t>
      </w:r>
      <w:r w:rsidRPr="00DD0803">
        <w:rPr>
          <w:rFonts w:asciiTheme="minorHAnsi" w:hAnsiTheme="minorHAnsi" w:cstheme="minorHAnsi"/>
          <w:i/>
        </w:rPr>
        <w:t>Limnologica</w:t>
      </w:r>
      <w:r w:rsidRPr="00747E35">
        <w:rPr>
          <w:rFonts w:asciiTheme="minorHAnsi" w:hAnsiTheme="minorHAnsi" w:cstheme="minorHAnsi"/>
        </w:rPr>
        <w:t xml:space="preserve"> 36: 119-137.</w:t>
      </w:r>
    </w:p>
    <w:p w14:paraId="6C152B88" w14:textId="44779F36"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Harvey J.W. (2016)</w:t>
      </w:r>
      <w:r w:rsidR="00DD0803">
        <w:rPr>
          <w:rFonts w:asciiTheme="minorHAnsi" w:hAnsiTheme="minorHAnsi" w:cstheme="minorHAnsi"/>
        </w:rPr>
        <w:t>.</w:t>
      </w:r>
      <w:r w:rsidRPr="00747E35">
        <w:rPr>
          <w:rFonts w:asciiTheme="minorHAnsi" w:hAnsiTheme="minorHAnsi" w:cstheme="minorHAnsi"/>
        </w:rPr>
        <w:t xml:space="preserve"> Hydrologic exchange flows and their ecological consequences in river corridors. In Stream ecosystems in a changing environment (Eds, J.B. Jones, E.H. Stanley). Elsevier.</w:t>
      </w:r>
    </w:p>
    <w:p w14:paraId="0333F0BA" w14:textId="336243CC"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lastRenderedPageBreak/>
        <w:t>Harvey J.W. &amp; Bencala K.E. (1993)</w:t>
      </w:r>
      <w:r w:rsidR="00DD0803">
        <w:rPr>
          <w:rFonts w:asciiTheme="minorHAnsi" w:hAnsiTheme="minorHAnsi" w:cstheme="minorHAnsi"/>
        </w:rPr>
        <w:t>.</w:t>
      </w:r>
      <w:r w:rsidRPr="00747E35">
        <w:rPr>
          <w:rFonts w:asciiTheme="minorHAnsi" w:hAnsiTheme="minorHAnsi" w:cstheme="minorHAnsi"/>
        </w:rPr>
        <w:t xml:space="preserve"> The Effect of Streambed Topography on Surface-Subsurface Water Exchange in Mountain Catchments. </w:t>
      </w:r>
      <w:r w:rsidRPr="00DD0803">
        <w:rPr>
          <w:rFonts w:asciiTheme="minorHAnsi" w:hAnsiTheme="minorHAnsi" w:cstheme="minorHAnsi"/>
          <w:i/>
        </w:rPr>
        <w:t>Water Resources Research</w:t>
      </w:r>
      <w:r w:rsidRPr="00747E35">
        <w:rPr>
          <w:rFonts w:asciiTheme="minorHAnsi" w:hAnsiTheme="minorHAnsi" w:cstheme="minorHAnsi"/>
        </w:rPr>
        <w:t xml:space="preserve"> 29</w:t>
      </w:r>
      <w:r w:rsidR="00283A3B">
        <w:rPr>
          <w:rFonts w:asciiTheme="minorHAnsi" w:hAnsiTheme="minorHAnsi" w:cstheme="minorHAnsi"/>
        </w:rPr>
        <w:t>:</w:t>
      </w:r>
      <w:r w:rsidRPr="00747E35">
        <w:rPr>
          <w:rFonts w:asciiTheme="minorHAnsi" w:hAnsiTheme="minorHAnsi" w:cstheme="minorHAnsi"/>
        </w:rPr>
        <w:t xml:space="preserve"> 89-98. </w:t>
      </w:r>
    </w:p>
    <w:p w14:paraId="7AA6CDD5" w14:textId="51ABA887"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Helms J.R., Stubbins A., Ritchie J.D., Minor E.C., Kieber D.J. &amp; Mopper K. (2008)</w:t>
      </w:r>
      <w:r w:rsidR="00DD0803">
        <w:rPr>
          <w:rFonts w:asciiTheme="minorHAnsi" w:hAnsiTheme="minorHAnsi" w:cstheme="minorHAnsi"/>
        </w:rPr>
        <w:t>.</w:t>
      </w:r>
      <w:r w:rsidRPr="00747E35">
        <w:rPr>
          <w:rFonts w:asciiTheme="minorHAnsi" w:hAnsiTheme="minorHAnsi" w:cstheme="minorHAnsi"/>
        </w:rPr>
        <w:t xml:space="preserve"> Absorption spectral slopes and slope ratios as indicators of molecular weight, source, and photobleaching of chromophoric dissolved organic matter. </w:t>
      </w:r>
      <w:r w:rsidRPr="00DD0803">
        <w:rPr>
          <w:rFonts w:asciiTheme="minorHAnsi" w:hAnsiTheme="minorHAnsi" w:cstheme="minorHAnsi"/>
          <w:i/>
        </w:rPr>
        <w:t>Limnology and Oceanography</w:t>
      </w:r>
      <w:r w:rsidRPr="00747E35">
        <w:rPr>
          <w:rFonts w:asciiTheme="minorHAnsi" w:hAnsiTheme="minorHAnsi" w:cstheme="minorHAnsi"/>
        </w:rPr>
        <w:t xml:space="preserve"> 53</w:t>
      </w:r>
      <w:r w:rsidR="00283A3B">
        <w:rPr>
          <w:rFonts w:asciiTheme="minorHAnsi" w:hAnsiTheme="minorHAnsi" w:cstheme="minorHAnsi"/>
        </w:rPr>
        <w:t>:</w:t>
      </w:r>
      <w:r w:rsidRPr="00747E35">
        <w:rPr>
          <w:rFonts w:asciiTheme="minorHAnsi" w:hAnsiTheme="minorHAnsi" w:cstheme="minorHAnsi"/>
        </w:rPr>
        <w:t xml:space="preserve"> 955-969. </w:t>
      </w:r>
    </w:p>
    <w:p w14:paraId="6C336269" w14:textId="10C369BE"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Humphreys W.F. (2008)</w:t>
      </w:r>
      <w:r w:rsidR="00DD0803">
        <w:rPr>
          <w:rFonts w:asciiTheme="minorHAnsi" w:hAnsiTheme="minorHAnsi" w:cstheme="minorHAnsi"/>
        </w:rPr>
        <w:t>.</w:t>
      </w:r>
      <w:r w:rsidRPr="00747E35">
        <w:rPr>
          <w:rFonts w:asciiTheme="minorHAnsi" w:hAnsiTheme="minorHAnsi" w:cstheme="minorHAnsi"/>
        </w:rPr>
        <w:t xml:space="preserve"> Rising from Down Under: developments in subterranean biodiversity in Australia from a groundwater fauna perspective. </w:t>
      </w:r>
      <w:r w:rsidRPr="00DD0803">
        <w:rPr>
          <w:rFonts w:asciiTheme="minorHAnsi" w:hAnsiTheme="minorHAnsi" w:cstheme="minorHAnsi"/>
          <w:i/>
        </w:rPr>
        <w:t>Invertebrate Systematics</w:t>
      </w:r>
      <w:r w:rsidRPr="00747E35">
        <w:rPr>
          <w:rFonts w:asciiTheme="minorHAnsi" w:hAnsiTheme="minorHAnsi" w:cstheme="minorHAnsi"/>
        </w:rPr>
        <w:t xml:space="preserve"> 22: 85-101.</w:t>
      </w:r>
    </w:p>
    <w:p w14:paraId="0A5334A2" w14:textId="639B69A2"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Korbel K</w:t>
      </w:r>
      <w:r w:rsidR="00782D27">
        <w:rPr>
          <w:rFonts w:asciiTheme="minorHAnsi" w:hAnsiTheme="minorHAnsi" w:cstheme="minorHAnsi"/>
        </w:rPr>
        <w:t>.</w:t>
      </w:r>
      <w:r w:rsidRPr="00747E35">
        <w:rPr>
          <w:rFonts w:asciiTheme="minorHAnsi" w:hAnsiTheme="minorHAnsi" w:cstheme="minorHAnsi"/>
        </w:rPr>
        <w:t xml:space="preserve"> </w:t>
      </w:r>
      <w:r w:rsidR="00E74263">
        <w:rPr>
          <w:rFonts w:asciiTheme="minorHAnsi" w:hAnsiTheme="minorHAnsi" w:cstheme="minorHAnsi"/>
        </w:rPr>
        <w:t>&amp;</w:t>
      </w:r>
      <w:r w:rsidR="00E74263" w:rsidRPr="00747E35">
        <w:rPr>
          <w:rFonts w:asciiTheme="minorHAnsi" w:hAnsiTheme="minorHAnsi" w:cstheme="minorHAnsi"/>
        </w:rPr>
        <w:t xml:space="preserve"> </w:t>
      </w:r>
      <w:r w:rsidRPr="00747E35">
        <w:rPr>
          <w:rFonts w:asciiTheme="minorHAnsi" w:hAnsiTheme="minorHAnsi" w:cstheme="minorHAnsi"/>
        </w:rPr>
        <w:t>Hose G.C. (2015)</w:t>
      </w:r>
      <w:r w:rsidR="00DD0803">
        <w:rPr>
          <w:rFonts w:asciiTheme="minorHAnsi" w:hAnsiTheme="minorHAnsi" w:cstheme="minorHAnsi"/>
        </w:rPr>
        <w:t>.</w:t>
      </w:r>
      <w:r w:rsidRPr="00747E35">
        <w:rPr>
          <w:rFonts w:asciiTheme="minorHAnsi" w:hAnsiTheme="minorHAnsi" w:cstheme="minorHAnsi"/>
        </w:rPr>
        <w:t xml:space="preserve"> Water quality, habitat, site or climate? Identifying environmental correlates of the distribution of groundwater biota. </w:t>
      </w:r>
      <w:r w:rsidRPr="00DD0803">
        <w:rPr>
          <w:rFonts w:asciiTheme="minorHAnsi" w:hAnsiTheme="minorHAnsi" w:cstheme="minorHAnsi"/>
          <w:i/>
        </w:rPr>
        <w:t>Freshwater Sciences</w:t>
      </w:r>
      <w:r w:rsidRPr="00747E35">
        <w:rPr>
          <w:rFonts w:asciiTheme="minorHAnsi" w:hAnsiTheme="minorHAnsi" w:cstheme="minorHAnsi"/>
        </w:rPr>
        <w:t>. 34:</w:t>
      </w:r>
      <w:r w:rsidR="00283A3B">
        <w:rPr>
          <w:rFonts w:asciiTheme="minorHAnsi" w:hAnsiTheme="minorHAnsi" w:cstheme="minorHAnsi"/>
        </w:rPr>
        <w:t xml:space="preserve"> </w:t>
      </w:r>
      <w:r w:rsidRPr="00747E35">
        <w:rPr>
          <w:rFonts w:asciiTheme="minorHAnsi" w:hAnsiTheme="minorHAnsi" w:cstheme="minorHAnsi"/>
        </w:rPr>
        <w:t>329-343.</w:t>
      </w:r>
    </w:p>
    <w:p w14:paraId="3516E047" w14:textId="02075BB0"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 xml:space="preserve">Lautz L.K. </w:t>
      </w:r>
      <w:r w:rsidR="00E74263">
        <w:rPr>
          <w:rFonts w:asciiTheme="minorHAnsi" w:hAnsiTheme="minorHAnsi" w:cstheme="minorHAnsi"/>
        </w:rPr>
        <w:t>&amp;</w:t>
      </w:r>
      <w:r w:rsidR="00E74263" w:rsidRPr="00747E35">
        <w:rPr>
          <w:rFonts w:asciiTheme="minorHAnsi" w:hAnsiTheme="minorHAnsi" w:cstheme="minorHAnsi"/>
        </w:rPr>
        <w:t xml:space="preserve"> </w:t>
      </w:r>
      <w:r w:rsidRPr="00747E35">
        <w:rPr>
          <w:rFonts w:asciiTheme="minorHAnsi" w:hAnsiTheme="minorHAnsi" w:cstheme="minorHAnsi"/>
        </w:rPr>
        <w:t>Fanelli R.M. (2008)</w:t>
      </w:r>
      <w:r w:rsidR="00DD0803">
        <w:rPr>
          <w:rFonts w:asciiTheme="minorHAnsi" w:hAnsiTheme="minorHAnsi" w:cstheme="minorHAnsi"/>
        </w:rPr>
        <w:t>.</w:t>
      </w:r>
      <w:r w:rsidRPr="00747E35">
        <w:rPr>
          <w:rFonts w:asciiTheme="minorHAnsi" w:hAnsiTheme="minorHAnsi" w:cstheme="minorHAnsi"/>
        </w:rPr>
        <w:t xml:space="preserve"> Seasonal biogeochemical hotspots in the streambed around restoration structures. </w:t>
      </w:r>
      <w:r w:rsidRPr="00DD0803">
        <w:rPr>
          <w:rFonts w:asciiTheme="minorHAnsi" w:hAnsiTheme="minorHAnsi" w:cstheme="minorHAnsi"/>
          <w:i/>
        </w:rPr>
        <w:t>Biogeochemistry</w:t>
      </w:r>
      <w:r w:rsidRPr="00747E35">
        <w:rPr>
          <w:rFonts w:asciiTheme="minorHAnsi" w:hAnsiTheme="minorHAnsi" w:cstheme="minorHAnsi"/>
        </w:rPr>
        <w:t xml:space="preserve"> 91: 85-104.</w:t>
      </w:r>
    </w:p>
    <w:p w14:paraId="49A6CAD3" w14:textId="523BEAC0"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McMahon P</w:t>
      </w:r>
      <w:r w:rsidR="00782D27">
        <w:rPr>
          <w:rFonts w:asciiTheme="minorHAnsi" w:hAnsiTheme="minorHAnsi" w:cstheme="minorHAnsi"/>
        </w:rPr>
        <w:t>.</w:t>
      </w:r>
      <w:r w:rsidRPr="00747E35">
        <w:rPr>
          <w:rFonts w:asciiTheme="minorHAnsi" w:hAnsiTheme="minorHAnsi" w:cstheme="minorHAnsi"/>
        </w:rPr>
        <w:t>B. &amp; Chapelle F.H. (2008)</w:t>
      </w:r>
      <w:r w:rsidR="00DD0803">
        <w:rPr>
          <w:rFonts w:asciiTheme="minorHAnsi" w:hAnsiTheme="minorHAnsi" w:cstheme="minorHAnsi"/>
        </w:rPr>
        <w:t>.</w:t>
      </w:r>
      <w:r w:rsidRPr="00747E35">
        <w:rPr>
          <w:rFonts w:asciiTheme="minorHAnsi" w:hAnsiTheme="minorHAnsi" w:cstheme="minorHAnsi"/>
        </w:rPr>
        <w:t xml:space="preserve"> Redox processes and water quality of selected principal aquifer systems. </w:t>
      </w:r>
      <w:r w:rsidRPr="00DD0803">
        <w:rPr>
          <w:rFonts w:asciiTheme="minorHAnsi" w:hAnsiTheme="minorHAnsi" w:cstheme="minorHAnsi"/>
          <w:i/>
        </w:rPr>
        <w:t>Ground Water</w:t>
      </w:r>
      <w:r w:rsidRPr="00747E35">
        <w:rPr>
          <w:rFonts w:asciiTheme="minorHAnsi" w:hAnsiTheme="minorHAnsi" w:cstheme="minorHAnsi"/>
        </w:rPr>
        <w:t xml:space="preserve"> 46</w:t>
      </w:r>
      <w:r w:rsidR="00283A3B">
        <w:rPr>
          <w:rFonts w:asciiTheme="minorHAnsi" w:hAnsiTheme="minorHAnsi" w:cstheme="minorHAnsi"/>
        </w:rPr>
        <w:t>:</w:t>
      </w:r>
      <w:r w:rsidRPr="00747E35">
        <w:rPr>
          <w:rFonts w:asciiTheme="minorHAnsi" w:hAnsiTheme="minorHAnsi" w:cstheme="minorHAnsi"/>
        </w:rPr>
        <w:t xml:space="preserve"> 259-271. </w:t>
      </w:r>
    </w:p>
    <w:p w14:paraId="1EBFE1FD" w14:textId="3335EB48"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 xml:space="preserve">Malard F. </w:t>
      </w:r>
      <w:r w:rsidR="00E74263">
        <w:rPr>
          <w:rFonts w:asciiTheme="minorHAnsi" w:hAnsiTheme="minorHAnsi" w:cstheme="minorHAnsi"/>
        </w:rPr>
        <w:t>&amp;</w:t>
      </w:r>
      <w:r w:rsidR="00E74263" w:rsidRPr="00747E35">
        <w:rPr>
          <w:rFonts w:asciiTheme="minorHAnsi" w:hAnsiTheme="minorHAnsi" w:cstheme="minorHAnsi"/>
        </w:rPr>
        <w:t xml:space="preserve"> </w:t>
      </w:r>
      <w:r w:rsidRPr="00747E35">
        <w:rPr>
          <w:rFonts w:asciiTheme="minorHAnsi" w:hAnsiTheme="minorHAnsi" w:cstheme="minorHAnsi"/>
        </w:rPr>
        <w:t xml:space="preserve">Hervant </w:t>
      </w:r>
      <w:r w:rsidR="00782D27" w:rsidRPr="00747E35">
        <w:rPr>
          <w:rFonts w:asciiTheme="minorHAnsi" w:hAnsiTheme="minorHAnsi" w:cstheme="minorHAnsi"/>
        </w:rPr>
        <w:t xml:space="preserve">F. </w:t>
      </w:r>
      <w:r w:rsidRPr="00747E35">
        <w:rPr>
          <w:rFonts w:asciiTheme="minorHAnsi" w:hAnsiTheme="minorHAnsi" w:cstheme="minorHAnsi"/>
        </w:rPr>
        <w:t>(1999)</w:t>
      </w:r>
      <w:r w:rsidR="00DD0803">
        <w:rPr>
          <w:rFonts w:asciiTheme="minorHAnsi" w:hAnsiTheme="minorHAnsi" w:cstheme="minorHAnsi"/>
        </w:rPr>
        <w:t>.</w:t>
      </w:r>
      <w:r w:rsidRPr="00747E35">
        <w:rPr>
          <w:rFonts w:asciiTheme="minorHAnsi" w:hAnsiTheme="minorHAnsi" w:cstheme="minorHAnsi"/>
        </w:rPr>
        <w:t xml:space="preserve"> Oxygen supply and the adaptations of animals in groundwater. </w:t>
      </w:r>
      <w:r w:rsidRPr="00DD0803">
        <w:rPr>
          <w:rFonts w:asciiTheme="minorHAnsi" w:hAnsiTheme="minorHAnsi" w:cstheme="minorHAnsi"/>
          <w:i/>
        </w:rPr>
        <w:t>Freshwater Biology</w:t>
      </w:r>
      <w:r w:rsidRPr="00747E35">
        <w:rPr>
          <w:rFonts w:asciiTheme="minorHAnsi" w:hAnsiTheme="minorHAnsi" w:cstheme="minorHAnsi"/>
        </w:rPr>
        <w:t xml:space="preserve"> 41: 1-30.</w:t>
      </w:r>
    </w:p>
    <w:p w14:paraId="520BE5F6" w14:textId="4AD580A6" w:rsidR="00782D27" w:rsidRDefault="00782D27" w:rsidP="00A64AF8">
      <w:pPr>
        <w:pStyle w:val="References"/>
        <w:ind w:left="284" w:hanging="284"/>
        <w:rPr>
          <w:rFonts w:asciiTheme="minorHAnsi" w:hAnsiTheme="minorHAnsi" w:cstheme="minorHAnsi"/>
        </w:rPr>
      </w:pPr>
      <w:r>
        <w:rPr>
          <w:rFonts w:asciiTheme="minorHAnsi" w:hAnsiTheme="minorHAnsi" w:cstheme="minorHAnsi"/>
        </w:rPr>
        <w:t>Malard</w:t>
      </w:r>
      <w:r w:rsidRPr="00782D27">
        <w:rPr>
          <w:rFonts w:asciiTheme="minorHAnsi" w:hAnsiTheme="minorHAnsi" w:cstheme="minorHAnsi"/>
        </w:rPr>
        <w:t xml:space="preserve"> F., T</w:t>
      </w:r>
      <w:r>
        <w:rPr>
          <w:rFonts w:asciiTheme="minorHAnsi" w:hAnsiTheme="minorHAnsi" w:cstheme="minorHAnsi"/>
        </w:rPr>
        <w:t>ockner</w:t>
      </w:r>
      <w:r w:rsidRPr="00782D27">
        <w:rPr>
          <w:rFonts w:asciiTheme="minorHAnsi" w:hAnsiTheme="minorHAnsi" w:cstheme="minorHAnsi"/>
        </w:rPr>
        <w:t xml:space="preserve"> K., D</w:t>
      </w:r>
      <w:r>
        <w:rPr>
          <w:rFonts w:asciiTheme="minorHAnsi" w:hAnsiTheme="minorHAnsi" w:cstheme="minorHAnsi"/>
        </w:rPr>
        <w:t>ole-Olivier</w:t>
      </w:r>
      <w:r w:rsidRPr="00782D27">
        <w:rPr>
          <w:rFonts w:asciiTheme="minorHAnsi" w:hAnsiTheme="minorHAnsi" w:cstheme="minorHAnsi"/>
        </w:rPr>
        <w:t xml:space="preserve"> M.-J. </w:t>
      </w:r>
      <w:r>
        <w:rPr>
          <w:rFonts w:asciiTheme="minorHAnsi" w:hAnsiTheme="minorHAnsi" w:cstheme="minorHAnsi"/>
        </w:rPr>
        <w:t>&amp;</w:t>
      </w:r>
      <w:r w:rsidRPr="00782D27">
        <w:rPr>
          <w:rFonts w:asciiTheme="minorHAnsi" w:hAnsiTheme="minorHAnsi" w:cstheme="minorHAnsi"/>
        </w:rPr>
        <w:t xml:space="preserve"> W</w:t>
      </w:r>
      <w:r>
        <w:rPr>
          <w:rFonts w:asciiTheme="minorHAnsi" w:hAnsiTheme="minorHAnsi" w:cstheme="minorHAnsi"/>
        </w:rPr>
        <w:t>ard</w:t>
      </w:r>
      <w:r w:rsidRPr="00782D27">
        <w:rPr>
          <w:rFonts w:asciiTheme="minorHAnsi" w:hAnsiTheme="minorHAnsi" w:cstheme="minorHAnsi"/>
        </w:rPr>
        <w:t xml:space="preserve"> J.V. (2002)</w:t>
      </w:r>
      <w:r>
        <w:rPr>
          <w:rFonts w:asciiTheme="minorHAnsi" w:hAnsiTheme="minorHAnsi" w:cstheme="minorHAnsi"/>
        </w:rPr>
        <w:t>.</w:t>
      </w:r>
      <w:r w:rsidRPr="00782D27">
        <w:rPr>
          <w:rFonts w:asciiTheme="minorHAnsi" w:hAnsiTheme="minorHAnsi" w:cstheme="minorHAnsi"/>
        </w:rPr>
        <w:t xml:space="preserve"> A landscape perspective of surface–subsurface hydrological exchanges in river corridors. </w:t>
      </w:r>
      <w:r w:rsidRPr="00782D27">
        <w:rPr>
          <w:rFonts w:asciiTheme="minorHAnsi" w:hAnsiTheme="minorHAnsi" w:cstheme="minorHAnsi"/>
          <w:i/>
        </w:rPr>
        <w:t>Freshwater Biology</w:t>
      </w:r>
      <w:r w:rsidRPr="00782D27">
        <w:rPr>
          <w:rFonts w:asciiTheme="minorHAnsi" w:hAnsiTheme="minorHAnsi" w:cstheme="minorHAnsi"/>
        </w:rPr>
        <w:t xml:space="preserve"> 47: 621–640</w:t>
      </w:r>
      <w:r>
        <w:rPr>
          <w:rFonts w:asciiTheme="minorHAnsi" w:hAnsiTheme="minorHAnsi" w:cstheme="minorHAnsi"/>
        </w:rPr>
        <w:t>.</w:t>
      </w:r>
    </w:p>
    <w:p w14:paraId="2C497CDF" w14:textId="1FE57B33"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 xml:space="preserve">Mullholland P.J., Marzolf E.R., Webster J.R., Hart D.R. </w:t>
      </w:r>
      <w:r w:rsidR="00E74263">
        <w:rPr>
          <w:rFonts w:asciiTheme="minorHAnsi" w:hAnsiTheme="minorHAnsi" w:cstheme="minorHAnsi"/>
        </w:rPr>
        <w:t>&amp;</w:t>
      </w:r>
      <w:r w:rsidR="00E74263" w:rsidRPr="00747E35">
        <w:rPr>
          <w:rFonts w:asciiTheme="minorHAnsi" w:hAnsiTheme="minorHAnsi" w:cstheme="minorHAnsi"/>
        </w:rPr>
        <w:t xml:space="preserve"> </w:t>
      </w:r>
      <w:r w:rsidRPr="00747E35">
        <w:rPr>
          <w:rFonts w:asciiTheme="minorHAnsi" w:hAnsiTheme="minorHAnsi" w:cstheme="minorHAnsi"/>
        </w:rPr>
        <w:t>Hendricks S.P. (1997)</w:t>
      </w:r>
      <w:r w:rsidR="00DD0803">
        <w:rPr>
          <w:rFonts w:asciiTheme="minorHAnsi" w:hAnsiTheme="minorHAnsi" w:cstheme="minorHAnsi"/>
        </w:rPr>
        <w:t>.</w:t>
      </w:r>
      <w:r w:rsidRPr="00747E35">
        <w:rPr>
          <w:rFonts w:asciiTheme="minorHAnsi" w:hAnsiTheme="minorHAnsi" w:cstheme="minorHAnsi"/>
        </w:rPr>
        <w:t xml:space="preserve"> Evidence that hyporheic zones increase heterotrophic metabolism and phosphorus uptake in forest streams. </w:t>
      </w:r>
      <w:r w:rsidRPr="00DD0803">
        <w:rPr>
          <w:rFonts w:asciiTheme="minorHAnsi" w:hAnsiTheme="minorHAnsi" w:cstheme="minorHAnsi"/>
          <w:i/>
        </w:rPr>
        <w:t>Limnol</w:t>
      </w:r>
      <w:r w:rsidR="00DD0803" w:rsidRPr="00DD0803">
        <w:rPr>
          <w:rFonts w:asciiTheme="minorHAnsi" w:hAnsiTheme="minorHAnsi" w:cstheme="minorHAnsi"/>
          <w:i/>
        </w:rPr>
        <w:t xml:space="preserve">ogy and </w:t>
      </w:r>
      <w:r w:rsidRPr="00DD0803">
        <w:rPr>
          <w:rFonts w:asciiTheme="minorHAnsi" w:hAnsiTheme="minorHAnsi" w:cstheme="minorHAnsi"/>
          <w:i/>
        </w:rPr>
        <w:t>Oceanogr</w:t>
      </w:r>
      <w:r w:rsidR="00DD0803" w:rsidRPr="00DD0803">
        <w:rPr>
          <w:rFonts w:asciiTheme="minorHAnsi" w:hAnsiTheme="minorHAnsi" w:cstheme="minorHAnsi"/>
          <w:i/>
        </w:rPr>
        <w:t>aphy</w:t>
      </w:r>
      <w:r w:rsidRPr="00747E35">
        <w:rPr>
          <w:rFonts w:asciiTheme="minorHAnsi" w:hAnsiTheme="minorHAnsi" w:cstheme="minorHAnsi"/>
        </w:rPr>
        <w:t xml:space="preserve"> 42: 443-451.</w:t>
      </w:r>
    </w:p>
    <w:p w14:paraId="1A484457" w14:textId="3D91D58E"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 xml:space="preserve">Peterson C.G., Daley A.D., Pechauer S.M., Kalscheur K.N., Sullivan M.J., Kufta S.L. </w:t>
      </w:r>
      <w:r w:rsidR="00E74263">
        <w:rPr>
          <w:rFonts w:asciiTheme="minorHAnsi" w:hAnsiTheme="minorHAnsi" w:cstheme="minorHAnsi"/>
        </w:rPr>
        <w:t>&amp;</w:t>
      </w:r>
      <w:r w:rsidR="00E74263" w:rsidRPr="00747E35">
        <w:rPr>
          <w:rFonts w:asciiTheme="minorHAnsi" w:hAnsiTheme="minorHAnsi" w:cstheme="minorHAnsi"/>
        </w:rPr>
        <w:t xml:space="preserve"> </w:t>
      </w:r>
      <w:r w:rsidRPr="00747E35">
        <w:rPr>
          <w:rFonts w:asciiTheme="minorHAnsi" w:hAnsiTheme="minorHAnsi" w:cstheme="minorHAnsi"/>
        </w:rPr>
        <w:t>Kelly J.J. (2011)</w:t>
      </w:r>
      <w:r w:rsidR="00DD0803">
        <w:rPr>
          <w:rFonts w:asciiTheme="minorHAnsi" w:hAnsiTheme="minorHAnsi" w:cstheme="minorHAnsi"/>
        </w:rPr>
        <w:t>.</w:t>
      </w:r>
      <w:r w:rsidRPr="00747E35">
        <w:rPr>
          <w:rFonts w:asciiTheme="minorHAnsi" w:hAnsiTheme="minorHAnsi" w:cstheme="minorHAnsi"/>
        </w:rPr>
        <w:t xml:space="preserve"> Development of associations between microalgae and denitrifying bacteria in streams of contrasting anthropogenic influence. </w:t>
      </w:r>
      <w:r w:rsidRPr="00DD0803">
        <w:rPr>
          <w:rFonts w:asciiTheme="minorHAnsi" w:hAnsiTheme="minorHAnsi" w:cstheme="minorHAnsi"/>
          <w:i/>
        </w:rPr>
        <w:t>FEMS Microbiology Ecology</w:t>
      </w:r>
      <w:r w:rsidR="00283A3B">
        <w:rPr>
          <w:rFonts w:asciiTheme="minorHAnsi" w:hAnsiTheme="minorHAnsi" w:cstheme="minorHAnsi"/>
        </w:rPr>
        <w:t xml:space="preserve"> 77:</w:t>
      </w:r>
      <w:r w:rsidRPr="00747E35">
        <w:rPr>
          <w:rFonts w:asciiTheme="minorHAnsi" w:hAnsiTheme="minorHAnsi" w:cstheme="minorHAnsi"/>
        </w:rPr>
        <w:t xml:space="preserve"> 477-492.</w:t>
      </w:r>
    </w:p>
    <w:p w14:paraId="61728276" w14:textId="544AB17F"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Rau G.C., Andersen M.S., McCallum A.M. &amp; Acworth, R.I. (2010)</w:t>
      </w:r>
      <w:r w:rsidR="00DD0803">
        <w:rPr>
          <w:rFonts w:asciiTheme="minorHAnsi" w:hAnsiTheme="minorHAnsi" w:cstheme="minorHAnsi"/>
        </w:rPr>
        <w:t>.</w:t>
      </w:r>
      <w:r w:rsidRPr="00747E35">
        <w:rPr>
          <w:rFonts w:asciiTheme="minorHAnsi" w:hAnsiTheme="minorHAnsi" w:cstheme="minorHAnsi"/>
        </w:rPr>
        <w:t xml:space="preserve"> Analytical methods that use natural heat as a tracer to quantify surface water-groundwater exchange, evaluated using field temperature records. </w:t>
      </w:r>
      <w:r w:rsidRPr="00DD0803">
        <w:rPr>
          <w:rFonts w:asciiTheme="minorHAnsi" w:hAnsiTheme="minorHAnsi" w:cstheme="minorHAnsi"/>
          <w:i/>
        </w:rPr>
        <w:t>Hydrogeology Journal</w:t>
      </w:r>
      <w:r w:rsidR="00283A3B">
        <w:rPr>
          <w:rFonts w:asciiTheme="minorHAnsi" w:hAnsiTheme="minorHAnsi" w:cstheme="minorHAnsi"/>
        </w:rPr>
        <w:t xml:space="preserve"> 18:</w:t>
      </w:r>
      <w:r w:rsidRPr="00747E35">
        <w:rPr>
          <w:rFonts w:asciiTheme="minorHAnsi" w:hAnsiTheme="minorHAnsi" w:cstheme="minorHAnsi"/>
        </w:rPr>
        <w:t xml:space="preserve"> 1093-1110. </w:t>
      </w:r>
    </w:p>
    <w:p w14:paraId="0103E64D" w14:textId="508847C7"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Sinton L.W. (1984)</w:t>
      </w:r>
      <w:r w:rsidR="00DD0803">
        <w:rPr>
          <w:rFonts w:asciiTheme="minorHAnsi" w:hAnsiTheme="minorHAnsi" w:cstheme="minorHAnsi"/>
        </w:rPr>
        <w:t>.</w:t>
      </w:r>
      <w:r w:rsidRPr="00747E35">
        <w:rPr>
          <w:rFonts w:asciiTheme="minorHAnsi" w:hAnsiTheme="minorHAnsi" w:cstheme="minorHAnsi"/>
        </w:rPr>
        <w:t xml:space="preserve"> The macroinvertebrates of a sewage-polluted aquifer. </w:t>
      </w:r>
      <w:r w:rsidRPr="00DD0803">
        <w:rPr>
          <w:rFonts w:asciiTheme="minorHAnsi" w:hAnsiTheme="minorHAnsi" w:cstheme="minorHAnsi"/>
          <w:i/>
        </w:rPr>
        <w:t>Hydrobiologia</w:t>
      </w:r>
      <w:r w:rsidRPr="00747E35">
        <w:rPr>
          <w:rFonts w:asciiTheme="minorHAnsi" w:hAnsiTheme="minorHAnsi" w:cstheme="minorHAnsi"/>
        </w:rPr>
        <w:t xml:space="preserve"> 119: 161-169.</w:t>
      </w:r>
    </w:p>
    <w:p w14:paraId="0DA6CE00" w14:textId="1F00EAFA"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 xml:space="preserve">Stumpp C. </w:t>
      </w:r>
      <w:r w:rsidR="00E74263">
        <w:rPr>
          <w:rFonts w:asciiTheme="minorHAnsi" w:hAnsiTheme="minorHAnsi" w:cstheme="minorHAnsi"/>
        </w:rPr>
        <w:t>&amp;</w:t>
      </w:r>
      <w:r w:rsidR="00E74263" w:rsidRPr="00747E35">
        <w:rPr>
          <w:rFonts w:asciiTheme="minorHAnsi" w:hAnsiTheme="minorHAnsi" w:cstheme="minorHAnsi"/>
        </w:rPr>
        <w:t xml:space="preserve"> </w:t>
      </w:r>
      <w:r w:rsidRPr="00747E35">
        <w:rPr>
          <w:rFonts w:asciiTheme="minorHAnsi" w:hAnsiTheme="minorHAnsi" w:cstheme="minorHAnsi"/>
        </w:rPr>
        <w:t>Hose G.C. (2013)</w:t>
      </w:r>
      <w:r w:rsidR="00782D27">
        <w:rPr>
          <w:rFonts w:asciiTheme="minorHAnsi" w:hAnsiTheme="minorHAnsi" w:cstheme="minorHAnsi"/>
        </w:rPr>
        <w:t>.</w:t>
      </w:r>
      <w:r w:rsidRPr="00747E35">
        <w:rPr>
          <w:rFonts w:asciiTheme="minorHAnsi" w:hAnsiTheme="minorHAnsi" w:cstheme="minorHAnsi"/>
        </w:rPr>
        <w:t xml:space="preserve"> The impact of water table drawdown and drying on subterranean aquatic fauna in in-vitro experiments. </w:t>
      </w:r>
      <w:r w:rsidRPr="00DD0803">
        <w:rPr>
          <w:rFonts w:asciiTheme="minorHAnsi" w:hAnsiTheme="minorHAnsi" w:cstheme="minorHAnsi"/>
          <w:i/>
        </w:rPr>
        <w:t>PLoS ONE</w:t>
      </w:r>
      <w:r w:rsidRPr="00747E35">
        <w:rPr>
          <w:rFonts w:asciiTheme="minorHAnsi" w:hAnsiTheme="minorHAnsi" w:cstheme="minorHAnsi"/>
        </w:rPr>
        <w:t xml:space="preserve"> 8(11): e78502. </w:t>
      </w:r>
    </w:p>
    <w:p w14:paraId="5339880D" w14:textId="0143299A"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 xml:space="preserve">Tomlinson M. </w:t>
      </w:r>
      <w:r w:rsidR="00283A3B">
        <w:rPr>
          <w:rFonts w:asciiTheme="minorHAnsi" w:hAnsiTheme="minorHAnsi" w:cstheme="minorHAnsi"/>
        </w:rPr>
        <w:t>&amp;</w:t>
      </w:r>
      <w:r w:rsidRPr="00747E35">
        <w:rPr>
          <w:rFonts w:asciiTheme="minorHAnsi" w:hAnsiTheme="minorHAnsi" w:cstheme="minorHAnsi"/>
        </w:rPr>
        <w:t xml:space="preserve"> Boulton </w:t>
      </w:r>
      <w:r w:rsidR="00283A3B">
        <w:rPr>
          <w:rFonts w:asciiTheme="minorHAnsi" w:hAnsiTheme="minorHAnsi" w:cstheme="minorHAnsi"/>
        </w:rPr>
        <w:t>A.</w:t>
      </w:r>
      <w:r w:rsidR="00283A3B" w:rsidRPr="00747E35">
        <w:rPr>
          <w:rFonts w:asciiTheme="minorHAnsi" w:hAnsiTheme="minorHAnsi" w:cstheme="minorHAnsi"/>
        </w:rPr>
        <w:t xml:space="preserve">J. </w:t>
      </w:r>
      <w:r w:rsidRPr="00747E35">
        <w:rPr>
          <w:rFonts w:asciiTheme="minorHAnsi" w:hAnsiTheme="minorHAnsi" w:cstheme="minorHAnsi"/>
        </w:rPr>
        <w:t>(2010)</w:t>
      </w:r>
      <w:r w:rsidR="00DD0803">
        <w:rPr>
          <w:rFonts w:asciiTheme="minorHAnsi" w:hAnsiTheme="minorHAnsi" w:cstheme="minorHAnsi"/>
        </w:rPr>
        <w:t>.</w:t>
      </w:r>
      <w:r w:rsidRPr="00747E35">
        <w:rPr>
          <w:rFonts w:asciiTheme="minorHAnsi" w:hAnsiTheme="minorHAnsi" w:cstheme="minorHAnsi"/>
        </w:rPr>
        <w:t xml:space="preserve"> Ecology and management of subsurface groundwater dependent ecosystems in Australia - a review. Marine </w:t>
      </w:r>
      <w:r w:rsidRPr="00DD0803">
        <w:rPr>
          <w:rFonts w:asciiTheme="minorHAnsi" w:hAnsiTheme="minorHAnsi" w:cstheme="minorHAnsi"/>
          <w:i/>
        </w:rPr>
        <w:t>and Freshwater Research</w:t>
      </w:r>
      <w:r w:rsidRPr="00747E35">
        <w:rPr>
          <w:rFonts w:asciiTheme="minorHAnsi" w:hAnsiTheme="minorHAnsi" w:cstheme="minorHAnsi"/>
        </w:rPr>
        <w:t xml:space="preserve"> 61: 1-14. </w:t>
      </w:r>
    </w:p>
    <w:p w14:paraId="61254CF3" w14:textId="1559420D"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Trauth N., Schmidt C., Vieweg M.</w:t>
      </w:r>
      <w:r w:rsidR="00283A3B">
        <w:rPr>
          <w:rFonts w:asciiTheme="minorHAnsi" w:hAnsiTheme="minorHAnsi" w:cstheme="minorHAnsi"/>
        </w:rPr>
        <w:t>, Maier U. &amp; Fleckenstein J.</w:t>
      </w:r>
      <w:r w:rsidRPr="00747E35">
        <w:rPr>
          <w:rFonts w:asciiTheme="minorHAnsi" w:hAnsiTheme="minorHAnsi" w:cstheme="minorHAnsi"/>
        </w:rPr>
        <w:t>H. (2014)</w:t>
      </w:r>
      <w:r w:rsidR="00DD0803">
        <w:rPr>
          <w:rFonts w:asciiTheme="minorHAnsi" w:hAnsiTheme="minorHAnsi" w:cstheme="minorHAnsi"/>
        </w:rPr>
        <w:t>.</w:t>
      </w:r>
      <w:r w:rsidRPr="00747E35">
        <w:rPr>
          <w:rFonts w:asciiTheme="minorHAnsi" w:hAnsiTheme="minorHAnsi" w:cstheme="minorHAnsi"/>
        </w:rPr>
        <w:t xml:space="preserve"> Hyporheic transport and biogeochemical reactions in pool-riffle systems under varying ambient groundwater flow conditions. </w:t>
      </w:r>
      <w:r w:rsidRPr="00DD0803">
        <w:rPr>
          <w:rFonts w:asciiTheme="minorHAnsi" w:hAnsiTheme="minorHAnsi" w:cstheme="minorHAnsi"/>
          <w:i/>
        </w:rPr>
        <w:t>Journal of Geophysical Research-Biogeosciences</w:t>
      </w:r>
      <w:r w:rsidR="00283A3B">
        <w:rPr>
          <w:rFonts w:asciiTheme="minorHAnsi" w:hAnsiTheme="minorHAnsi" w:cstheme="minorHAnsi"/>
        </w:rPr>
        <w:t xml:space="preserve"> 119:</w:t>
      </w:r>
      <w:r w:rsidRPr="00747E35">
        <w:rPr>
          <w:rFonts w:asciiTheme="minorHAnsi" w:hAnsiTheme="minorHAnsi" w:cstheme="minorHAnsi"/>
        </w:rPr>
        <w:t xml:space="preserve"> 910-928. </w:t>
      </w:r>
    </w:p>
    <w:p w14:paraId="6F05EFEC" w14:textId="09FAE879"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Valett H.M., Fisher S.G., Grimm N.B.</w:t>
      </w:r>
      <w:r w:rsidR="00283A3B">
        <w:rPr>
          <w:rFonts w:asciiTheme="minorHAnsi" w:hAnsiTheme="minorHAnsi" w:cstheme="minorHAnsi"/>
        </w:rPr>
        <w:t xml:space="preserve"> &amp;</w:t>
      </w:r>
      <w:r w:rsidRPr="00747E35">
        <w:rPr>
          <w:rFonts w:asciiTheme="minorHAnsi" w:hAnsiTheme="minorHAnsi" w:cstheme="minorHAnsi"/>
        </w:rPr>
        <w:t xml:space="preserve"> Camill P. (1994)</w:t>
      </w:r>
      <w:r w:rsidR="00DD0803">
        <w:rPr>
          <w:rFonts w:asciiTheme="minorHAnsi" w:hAnsiTheme="minorHAnsi" w:cstheme="minorHAnsi"/>
        </w:rPr>
        <w:t>.</w:t>
      </w:r>
      <w:r w:rsidRPr="00747E35">
        <w:rPr>
          <w:rFonts w:asciiTheme="minorHAnsi" w:hAnsiTheme="minorHAnsi" w:cstheme="minorHAnsi"/>
        </w:rPr>
        <w:t xml:space="preserve"> Vertical hydrologic exchangeand ecological stability of a desert stream ecosystem. </w:t>
      </w:r>
      <w:r w:rsidRPr="00DD0803">
        <w:rPr>
          <w:rFonts w:asciiTheme="minorHAnsi" w:hAnsiTheme="minorHAnsi" w:cstheme="minorHAnsi"/>
          <w:i/>
        </w:rPr>
        <w:t>Ecology</w:t>
      </w:r>
      <w:r w:rsidR="00283A3B">
        <w:rPr>
          <w:rFonts w:asciiTheme="minorHAnsi" w:hAnsiTheme="minorHAnsi" w:cstheme="minorHAnsi"/>
        </w:rPr>
        <w:t xml:space="preserve"> 75</w:t>
      </w:r>
      <w:r w:rsidRPr="00747E35">
        <w:rPr>
          <w:rFonts w:asciiTheme="minorHAnsi" w:hAnsiTheme="minorHAnsi" w:cstheme="minorHAnsi"/>
        </w:rPr>
        <w:t>: 548-560.</w:t>
      </w:r>
    </w:p>
    <w:p w14:paraId="51D23548" w14:textId="08047B5C" w:rsidR="0087451A" w:rsidRPr="00747E35" w:rsidRDefault="0087451A" w:rsidP="00A64AF8">
      <w:pPr>
        <w:pStyle w:val="References"/>
        <w:ind w:left="284" w:hanging="284"/>
        <w:rPr>
          <w:rFonts w:asciiTheme="minorHAnsi" w:hAnsiTheme="minorHAnsi" w:cstheme="minorHAnsi"/>
        </w:rPr>
      </w:pPr>
      <w:r w:rsidRPr="00747E35">
        <w:rPr>
          <w:rFonts w:asciiTheme="minorHAnsi" w:hAnsiTheme="minorHAnsi" w:cstheme="minorHAnsi"/>
        </w:rPr>
        <w:t>Zarnetske J.P., Haggerty R</w:t>
      </w:r>
      <w:r w:rsidR="00283A3B">
        <w:rPr>
          <w:rFonts w:asciiTheme="minorHAnsi" w:hAnsiTheme="minorHAnsi" w:cstheme="minorHAnsi"/>
        </w:rPr>
        <w:t>., Wondzell S.M. &amp; Baker M.</w:t>
      </w:r>
      <w:r w:rsidRPr="00747E35">
        <w:rPr>
          <w:rFonts w:asciiTheme="minorHAnsi" w:hAnsiTheme="minorHAnsi" w:cstheme="minorHAnsi"/>
        </w:rPr>
        <w:t xml:space="preserve">A. (2011). Dynamics of nitrate production and removal as a function of residence time in the hyporheic zone. </w:t>
      </w:r>
      <w:r w:rsidRPr="00DD0803">
        <w:rPr>
          <w:rFonts w:asciiTheme="minorHAnsi" w:hAnsiTheme="minorHAnsi" w:cstheme="minorHAnsi"/>
          <w:i/>
        </w:rPr>
        <w:t>Journal of Geophysical Research-Biogeosciences</w:t>
      </w:r>
      <w:r w:rsidR="00283A3B" w:rsidRPr="00283A3B">
        <w:rPr>
          <w:rFonts w:asciiTheme="minorHAnsi" w:hAnsiTheme="minorHAnsi" w:cstheme="minorHAnsi"/>
        </w:rPr>
        <w:t xml:space="preserve"> 116</w:t>
      </w:r>
      <w:r w:rsidR="00283A3B">
        <w:rPr>
          <w:rFonts w:asciiTheme="minorHAnsi" w:hAnsiTheme="minorHAnsi" w:cstheme="minorHAnsi"/>
        </w:rPr>
        <w:t>:</w:t>
      </w:r>
      <w:r w:rsidR="00283A3B" w:rsidRPr="00283A3B">
        <w:rPr>
          <w:rFonts w:asciiTheme="minorHAnsi" w:hAnsiTheme="minorHAnsi" w:cstheme="minorHAnsi"/>
        </w:rPr>
        <w:t xml:space="preserve"> G01025</w:t>
      </w:r>
      <w:r w:rsidRPr="00747E35">
        <w:rPr>
          <w:rFonts w:asciiTheme="minorHAnsi" w:hAnsiTheme="minorHAnsi" w:cstheme="minorHAnsi"/>
        </w:rPr>
        <w:t>.</w:t>
      </w:r>
    </w:p>
    <w:p w14:paraId="2CD9DE44" w14:textId="77777777" w:rsidR="003D3694" w:rsidRPr="00747E35" w:rsidRDefault="003D3694" w:rsidP="00A64AF8">
      <w:pPr>
        <w:spacing w:after="0"/>
        <w:ind w:left="284" w:hanging="284"/>
        <w:rPr>
          <w:rFonts w:asciiTheme="minorHAnsi" w:hAnsiTheme="minorHAnsi" w:cstheme="minorHAnsi"/>
        </w:rPr>
      </w:pPr>
    </w:p>
    <w:p w14:paraId="3D30AD52" w14:textId="77777777" w:rsidR="003D3694" w:rsidRPr="00747E35" w:rsidRDefault="003D3694" w:rsidP="003D3694">
      <w:pPr>
        <w:spacing w:after="0"/>
        <w:rPr>
          <w:rFonts w:asciiTheme="minorHAnsi" w:hAnsiTheme="minorHAnsi" w:cstheme="minorHAnsi"/>
        </w:rPr>
      </w:pPr>
    </w:p>
    <w:p w14:paraId="0F75FBBB"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br w:type="page"/>
      </w:r>
    </w:p>
    <w:p w14:paraId="475C624F" w14:textId="4D284EB0" w:rsidR="0044478E" w:rsidRPr="00747E35" w:rsidRDefault="0044478E" w:rsidP="00090218">
      <w:pPr>
        <w:pStyle w:val="Heading1"/>
        <w:rPr>
          <w:rFonts w:asciiTheme="minorHAnsi" w:hAnsiTheme="minorHAnsi" w:cstheme="minorHAnsi"/>
        </w:rPr>
      </w:pPr>
      <w:bookmarkStart w:id="365" w:name="_Toc427576157"/>
      <w:bookmarkStart w:id="366" w:name="_Toc449360814"/>
      <w:bookmarkStart w:id="367" w:name="_Toc466980533"/>
      <w:bookmarkStart w:id="368" w:name="_Toc467244812"/>
      <w:bookmarkStart w:id="369" w:name="_Toc470004894"/>
      <w:r w:rsidRPr="00747E35">
        <w:rPr>
          <w:rFonts w:asciiTheme="minorHAnsi" w:hAnsiTheme="minorHAnsi" w:cstheme="minorHAnsi"/>
        </w:rPr>
        <w:lastRenderedPageBreak/>
        <w:t xml:space="preserve">Component 4 – </w:t>
      </w:r>
      <w:bookmarkEnd w:id="365"/>
      <w:bookmarkEnd w:id="366"/>
      <w:bookmarkEnd w:id="367"/>
      <w:bookmarkEnd w:id="368"/>
      <w:r w:rsidR="00090218" w:rsidRPr="00090218">
        <w:rPr>
          <w:rFonts w:asciiTheme="minorHAnsi" w:hAnsiTheme="minorHAnsi" w:cstheme="minorHAnsi"/>
        </w:rPr>
        <w:t>Biodiversity and risk assessment of Great Artesian Basin spring wetlands</w:t>
      </w:r>
      <w:bookmarkEnd w:id="369"/>
    </w:p>
    <w:p w14:paraId="4820D252"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Mark Kennard, Doug Ward &amp; Ben Stewart-Koster (Griffith University)</w:t>
      </w:r>
    </w:p>
    <w:p w14:paraId="2E315E58"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Renee Rossini (The University of Queensland)</w:t>
      </w:r>
    </w:p>
    <w:p w14:paraId="36FD258B"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Rod Fensham (The University of Queensland and Queensland Herbarium)</w:t>
      </w:r>
    </w:p>
    <w:p w14:paraId="28961B97" w14:textId="77777777" w:rsidR="0044478E" w:rsidRPr="00747E35" w:rsidRDefault="0044478E" w:rsidP="0044478E">
      <w:pPr>
        <w:rPr>
          <w:rFonts w:asciiTheme="minorHAnsi" w:hAnsiTheme="minorHAnsi" w:cstheme="minorHAnsi"/>
        </w:rPr>
      </w:pPr>
    </w:p>
    <w:p w14:paraId="21AD3E62" w14:textId="71355751" w:rsidR="0044478E" w:rsidRPr="00747E35" w:rsidRDefault="0044478E" w:rsidP="0044478E">
      <w:pPr>
        <w:pStyle w:val="Heading2"/>
        <w:rPr>
          <w:rFonts w:asciiTheme="minorHAnsi" w:hAnsiTheme="minorHAnsi" w:cstheme="minorHAnsi"/>
        </w:rPr>
      </w:pPr>
      <w:bookmarkStart w:id="370" w:name="_Toc467244813"/>
      <w:bookmarkStart w:id="371" w:name="_Toc470004895"/>
      <w:r w:rsidRPr="00747E35">
        <w:rPr>
          <w:rFonts w:asciiTheme="minorHAnsi" w:hAnsiTheme="minorHAnsi" w:cstheme="minorHAnsi"/>
        </w:rPr>
        <w:t>Acknowledgements:</w:t>
      </w:r>
      <w:bookmarkEnd w:id="370"/>
      <w:bookmarkEnd w:id="371"/>
    </w:p>
    <w:p w14:paraId="0E3EF6DE"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 xml:space="preserve">Thanks to Travis Gotch, Adam Kereszy, Boris Laffineur and Winston Ponder for their expertise and advice. </w:t>
      </w:r>
    </w:p>
    <w:p w14:paraId="20915E25" w14:textId="77777777" w:rsidR="0044478E" w:rsidRPr="00747E35" w:rsidRDefault="0044478E" w:rsidP="0044478E">
      <w:pPr>
        <w:rPr>
          <w:rFonts w:asciiTheme="minorHAnsi" w:hAnsiTheme="minorHAnsi" w:cstheme="minorHAnsi"/>
        </w:rPr>
      </w:pPr>
    </w:p>
    <w:p w14:paraId="03D56D77" w14:textId="18298ABF" w:rsidR="0044478E" w:rsidRPr="00747E35" w:rsidRDefault="0044478E" w:rsidP="0044478E">
      <w:pPr>
        <w:pStyle w:val="Heading2"/>
        <w:rPr>
          <w:rFonts w:asciiTheme="minorHAnsi" w:hAnsiTheme="minorHAnsi" w:cstheme="minorHAnsi"/>
        </w:rPr>
      </w:pPr>
      <w:bookmarkStart w:id="372" w:name="_Toc417655009"/>
      <w:bookmarkStart w:id="373" w:name="_Toc466980534"/>
      <w:bookmarkStart w:id="374" w:name="_Toc467244814"/>
      <w:bookmarkStart w:id="375" w:name="_Toc470004896"/>
      <w:r w:rsidRPr="00747E35">
        <w:rPr>
          <w:rFonts w:asciiTheme="minorHAnsi" w:hAnsiTheme="minorHAnsi" w:cstheme="minorHAnsi"/>
        </w:rPr>
        <w:t>Summary</w:t>
      </w:r>
      <w:bookmarkEnd w:id="372"/>
      <w:bookmarkEnd w:id="373"/>
      <w:bookmarkEnd w:id="374"/>
      <w:bookmarkEnd w:id="375"/>
    </w:p>
    <w:p w14:paraId="2DD50E4D"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This project component aims to conceptualise and quantify the environmental determinants of GAB spring wetland species composition and biodiversity patterns and how resident species respond to cumulative impacts of groundwater drawdown and other threats. Making use of best-available datasets and expert knowledge, the project undertakes a GAB-wide assessment of the current biodiversity and conservation values of spring wetlands, how characteristics of springs influence those values and how those values are currently at risk from the cumulative impacts of a range of threatening processes.</w:t>
      </w:r>
    </w:p>
    <w:p w14:paraId="49DC834E"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Key research questions are:</w:t>
      </w:r>
    </w:p>
    <w:p w14:paraId="2BA6279F" w14:textId="77777777" w:rsidR="0044478E" w:rsidRPr="00747E35" w:rsidRDefault="0044478E" w:rsidP="0083624F">
      <w:pPr>
        <w:pStyle w:val="ListParagraph"/>
        <w:numPr>
          <w:ilvl w:val="0"/>
          <w:numId w:val="25"/>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What is the current state of knowledge concerning freshwater biodiversity endemic to GAB springs, with respect to taxonomy, distribution, population status, population connectivity, ecology and threats and how does this knowledge vary among taxa?</w:t>
      </w:r>
    </w:p>
    <w:p w14:paraId="204AC1E6" w14:textId="77777777" w:rsidR="0044478E" w:rsidRPr="00747E35" w:rsidRDefault="0044478E" w:rsidP="0083624F">
      <w:pPr>
        <w:pStyle w:val="ListParagraph"/>
        <w:numPr>
          <w:ilvl w:val="0"/>
          <w:numId w:val="25"/>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What are the key environmental determinants of the distribution and biodiversity patterns (e.g. taxonomic and phylogenetic richness, diversity and endemism) of taxa endemic to GAB springs?</w:t>
      </w:r>
    </w:p>
    <w:p w14:paraId="6EFD64CD" w14:textId="77777777" w:rsidR="0044478E" w:rsidRPr="00747E35" w:rsidRDefault="0044478E" w:rsidP="0083624F">
      <w:pPr>
        <w:pStyle w:val="ListParagraph"/>
        <w:numPr>
          <w:ilvl w:val="0"/>
          <w:numId w:val="25"/>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How well do existing conservation measures (i.e. representation within protected areas, inclusion in species’ conservation status listings) align with our new assessment of the taxonomy and present-day distribution of GAB endemic taxa?</w:t>
      </w:r>
    </w:p>
    <w:p w14:paraId="0A10FAEC" w14:textId="77777777" w:rsidR="0044478E" w:rsidRPr="00747E35" w:rsidRDefault="0044478E" w:rsidP="0083624F">
      <w:pPr>
        <w:pStyle w:val="ListParagraph"/>
        <w:numPr>
          <w:ilvl w:val="0"/>
          <w:numId w:val="25"/>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How does vulnerability to threats posed by groundwater drawdown and other stressors vary among endemic flora and fauna of GAB spring wetlands?</w:t>
      </w:r>
    </w:p>
    <w:p w14:paraId="4876D952" w14:textId="77777777" w:rsidR="0044478E" w:rsidRPr="00747E35" w:rsidRDefault="0044478E" w:rsidP="0083624F">
      <w:pPr>
        <w:pStyle w:val="ListParagraph"/>
        <w:numPr>
          <w:ilvl w:val="0"/>
          <w:numId w:val="25"/>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How does relative exposure to the different threats posed by groundwater drawdown and other stressors vary among GAB spring complexes?</w:t>
      </w:r>
    </w:p>
    <w:p w14:paraId="127BF15D" w14:textId="77777777" w:rsidR="0044478E" w:rsidRPr="00747E35" w:rsidRDefault="0044478E" w:rsidP="0083624F">
      <w:pPr>
        <w:pStyle w:val="ListParagraph"/>
        <w:numPr>
          <w:ilvl w:val="0"/>
          <w:numId w:val="25"/>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Which GAB spring complexes are at the highest cumulative risk (i.e. contain high number of vulnerable species and are exposed to the highest threat intensities)?</w:t>
      </w:r>
    </w:p>
    <w:p w14:paraId="37E736B5" w14:textId="77777777" w:rsidR="0044478E" w:rsidRPr="00747E35" w:rsidRDefault="0044478E" w:rsidP="0083624F">
      <w:pPr>
        <w:pStyle w:val="ListParagraph"/>
        <w:numPr>
          <w:ilvl w:val="0"/>
          <w:numId w:val="25"/>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What on-ground management and monitoring activities are appropriate for managing threats in GAB spring complexes identified as being at high risk?</w:t>
      </w:r>
    </w:p>
    <w:p w14:paraId="3C2A80E4"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lastRenderedPageBreak/>
        <w:t xml:space="preserve">The results of the study can be used to develop hypotheses concerning the mechanisms responsible for these hydro-ecological associations that can be tested and validated in future projects using field and/or lab studies.  Collectively, this information will provide a foundation to understand, predict and monitor the responses of spring ecological communities to hydrological and physicochemical changes associated with coal seam gas and coal mining development and how these stressors interact with existing threatening processes.  Improved understanding of these relationships will inform prediction, management and mitigation of impacts on GAB spring wetlands.  </w:t>
      </w:r>
    </w:p>
    <w:p w14:paraId="459F7B14"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Key project outputs:</w:t>
      </w:r>
    </w:p>
    <w:p w14:paraId="1241765A" w14:textId="77777777" w:rsidR="0044478E" w:rsidRPr="00747E35" w:rsidRDefault="0044478E" w:rsidP="0083624F">
      <w:pPr>
        <w:pStyle w:val="ListParagraph"/>
        <w:numPr>
          <w:ilvl w:val="0"/>
          <w:numId w:val="17"/>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New knowledge of environmental determinants of GAB spring species composition, biodiversity patterns and ecological responses to cumulative impacts of human activities and other stressors</w:t>
      </w:r>
    </w:p>
    <w:p w14:paraId="74660421" w14:textId="77777777" w:rsidR="0044478E" w:rsidRPr="00747E35" w:rsidRDefault="0044478E" w:rsidP="0083624F">
      <w:pPr>
        <w:pStyle w:val="ListParagraph"/>
        <w:numPr>
          <w:ilvl w:val="0"/>
          <w:numId w:val="17"/>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Improved understanding of the mechanisms responsible for hydro-ecological associations as a basis for further testing and validation in future projects using field and/or lab studies</w:t>
      </w:r>
    </w:p>
    <w:p w14:paraId="08B950FD" w14:textId="77777777" w:rsidR="0044478E" w:rsidRPr="00747E35" w:rsidRDefault="0044478E" w:rsidP="0083624F">
      <w:pPr>
        <w:pStyle w:val="ListParagraph"/>
        <w:numPr>
          <w:ilvl w:val="0"/>
          <w:numId w:val="17"/>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Comprehensive Endnote library (and pdfs) of literature for GAB spring flora and fauna</w:t>
      </w:r>
    </w:p>
    <w:p w14:paraId="4864BC12" w14:textId="77777777" w:rsidR="0044478E" w:rsidRPr="00747E35" w:rsidRDefault="0044478E" w:rsidP="0083624F">
      <w:pPr>
        <w:pStyle w:val="ListParagraph"/>
        <w:numPr>
          <w:ilvl w:val="0"/>
          <w:numId w:val="17"/>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Conceptual models (e-versions)</w:t>
      </w:r>
    </w:p>
    <w:p w14:paraId="5B8FE74A" w14:textId="77777777" w:rsidR="0044478E" w:rsidRPr="00747E35" w:rsidRDefault="0044478E" w:rsidP="0083624F">
      <w:pPr>
        <w:pStyle w:val="ListParagraph"/>
        <w:numPr>
          <w:ilvl w:val="0"/>
          <w:numId w:val="17"/>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Geodatabase of all data layers (species distributions, biodiversity attributes, environmental attributes and risk assessment results)</w:t>
      </w:r>
    </w:p>
    <w:p w14:paraId="3AA8D92D"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Key project outcomes:</w:t>
      </w:r>
    </w:p>
    <w:p w14:paraId="7AA05E46" w14:textId="77777777" w:rsidR="0044478E" w:rsidRPr="00747E35" w:rsidRDefault="0044478E" w:rsidP="0083624F">
      <w:pPr>
        <w:pStyle w:val="ListParagraph"/>
        <w:numPr>
          <w:ilvl w:val="0"/>
          <w:numId w:val="8"/>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Foundation to understand, predict and monitor the responses of GAB spring ecological communities to hydrological and physicochemical changes associated with coal seam gas and coal mining development and other stressors</w:t>
      </w:r>
    </w:p>
    <w:p w14:paraId="754D95D8" w14:textId="77777777" w:rsidR="0044478E" w:rsidRPr="00747E35" w:rsidRDefault="0044478E" w:rsidP="0083624F">
      <w:pPr>
        <w:pStyle w:val="ListParagraph"/>
        <w:numPr>
          <w:ilvl w:val="0"/>
          <w:numId w:val="8"/>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Provides a compendium of information (literature, data, models) that can be used by OWS and IESC to assess development proposals</w:t>
      </w:r>
    </w:p>
    <w:p w14:paraId="3C7A6765" w14:textId="77777777" w:rsidR="0044478E" w:rsidRPr="00747E35" w:rsidRDefault="0044478E" w:rsidP="0083624F">
      <w:pPr>
        <w:pStyle w:val="ListParagraph"/>
        <w:numPr>
          <w:ilvl w:val="0"/>
          <w:numId w:val="8"/>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Enables evaluation of relative ecological and biodiversity values of an area subject to proposed mining development compared with elsewhere</w:t>
      </w:r>
    </w:p>
    <w:p w14:paraId="3EDD6522" w14:textId="77777777" w:rsidR="0044478E" w:rsidRPr="00747E35" w:rsidRDefault="0044478E" w:rsidP="0083624F">
      <w:pPr>
        <w:pStyle w:val="ListParagraph"/>
        <w:numPr>
          <w:ilvl w:val="0"/>
          <w:numId w:val="8"/>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Can inform future updates to conservation listing of GAB discharge spring ecological community (and individual species) by DoE Threatened Species Scientific Committee</w:t>
      </w:r>
    </w:p>
    <w:p w14:paraId="4E7DA237" w14:textId="77777777" w:rsidR="0044478E" w:rsidRPr="00747E35" w:rsidRDefault="0044478E" w:rsidP="0044478E">
      <w:pPr>
        <w:rPr>
          <w:rFonts w:asciiTheme="minorHAnsi" w:hAnsiTheme="minorHAnsi" w:cstheme="minorHAnsi"/>
        </w:rPr>
      </w:pPr>
    </w:p>
    <w:p w14:paraId="44C50227" w14:textId="1781DE3A" w:rsidR="0044478E" w:rsidRPr="00747E35" w:rsidRDefault="0044478E" w:rsidP="0044478E">
      <w:pPr>
        <w:pStyle w:val="Heading2"/>
        <w:rPr>
          <w:rFonts w:asciiTheme="minorHAnsi" w:hAnsiTheme="minorHAnsi" w:cstheme="minorHAnsi"/>
        </w:rPr>
      </w:pPr>
      <w:bookmarkStart w:id="376" w:name="_Toc466980535"/>
      <w:bookmarkStart w:id="377" w:name="_Toc467244815"/>
      <w:bookmarkStart w:id="378" w:name="_Toc470004897"/>
      <w:r w:rsidRPr="00747E35">
        <w:rPr>
          <w:rFonts w:asciiTheme="minorHAnsi" w:hAnsiTheme="minorHAnsi" w:cstheme="minorHAnsi"/>
        </w:rPr>
        <w:t>Background</w:t>
      </w:r>
      <w:bookmarkEnd w:id="376"/>
      <w:bookmarkEnd w:id="377"/>
      <w:bookmarkEnd w:id="378"/>
    </w:p>
    <w:p w14:paraId="54F07AC4" w14:textId="6EAB437A" w:rsidR="0044478E" w:rsidRPr="00747E35" w:rsidRDefault="0044478E" w:rsidP="0044478E">
      <w:pPr>
        <w:rPr>
          <w:rFonts w:asciiTheme="minorHAnsi" w:hAnsiTheme="minorHAnsi" w:cstheme="minorHAnsi"/>
          <w:shd w:val="clear" w:color="auto" w:fill="FFFFFF"/>
        </w:rPr>
      </w:pPr>
      <w:r w:rsidRPr="00747E35">
        <w:rPr>
          <w:rFonts w:asciiTheme="minorHAnsi" w:hAnsiTheme="minorHAnsi" w:cstheme="minorHAnsi"/>
          <w:shd w:val="clear" w:color="auto" w:fill="FFFFFF"/>
        </w:rPr>
        <w:t>Spring wetlands are a characteristic groundwater-dependent feature of the Great Artesian Basin (GAB), a deep regional groundwater system that covers 22% of the Australian continent. GAB springs have great ecological, scientific, anthropological and economic significance (Mudd 2000). Due to prolonged isolation, many springs and spring complexes contain rare and endemic species of plants, fish, molluscs, isopods, amphipods and ostracods that have undergone significant genetic differentiation and speciation. The springs are also important as refuge areas for arid zone wildlife and habitat for migratory birds (Mudd 2000).  Widespread and sustained development of the Great Artesian Basin over the past century for agricultural uses and resource extraction has seen an overall decline in the flows from springs in many parts of the GAB and recent mining and extraction of metals, coal and petroleum products have exacerbated this problem (Fensham et al</w:t>
      </w:r>
      <w:r w:rsidR="005E04D7">
        <w:rPr>
          <w:rFonts w:asciiTheme="minorHAnsi" w:hAnsiTheme="minorHAnsi" w:cstheme="minorHAnsi"/>
          <w:shd w:val="clear" w:color="auto" w:fill="FFFFFF"/>
        </w:rPr>
        <w:t>.</w:t>
      </w:r>
      <w:r w:rsidRPr="00747E35">
        <w:rPr>
          <w:rFonts w:asciiTheme="minorHAnsi" w:hAnsiTheme="minorHAnsi" w:cstheme="minorHAnsi"/>
          <w:shd w:val="clear" w:color="auto" w:fill="FFFFFF"/>
        </w:rPr>
        <w:t xml:space="preserve"> 2010). </w:t>
      </w:r>
    </w:p>
    <w:p w14:paraId="28A2A0EC" w14:textId="4500F8B0" w:rsidR="0044478E" w:rsidRPr="00747E35" w:rsidRDefault="0044478E" w:rsidP="0044478E">
      <w:pPr>
        <w:rPr>
          <w:rFonts w:asciiTheme="minorHAnsi" w:hAnsiTheme="minorHAnsi" w:cstheme="minorHAnsi"/>
        </w:rPr>
      </w:pPr>
      <w:r w:rsidRPr="00747E35">
        <w:rPr>
          <w:rFonts w:asciiTheme="minorHAnsi" w:hAnsiTheme="minorHAnsi" w:cstheme="minorHAnsi"/>
        </w:rPr>
        <w:t>Springs that originate from the GAB are often referred to as ‘discharge’ springs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_Ref453232043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132</w:t>
      </w:r>
      <w:r w:rsidRPr="00747E35">
        <w:rPr>
          <w:rFonts w:asciiTheme="minorHAnsi" w:hAnsiTheme="minorHAnsi" w:cstheme="minorHAnsi"/>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_Ref453232080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32</w:t>
      </w:r>
      <w:r w:rsidRPr="00747E35">
        <w:rPr>
          <w:rFonts w:asciiTheme="minorHAnsi" w:hAnsiTheme="minorHAnsi" w:cstheme="minorHAnsi"/>
        </w:rPr>
        <w:fldChar w:fldCharType="end"/>
      </w:r>
      <w:r w:rsidRPr="00747E35">
        <w:rPr>
          <w:rFonts w:asciiTheme="minorHAnsi" w:hAnsiTheme="minorHAnsi" w:cstheme="minorHAnsi"/>
        </w:rPr>
        <w:t xml:space="preserve">).  Rainwater recharge enters primarily along the uplifted eastern edge of the Great Dividing Range. It flows in a generally south-westerly direction where, it is forced to the surface along faults and weaknesses creating </w:t>
      </w:r>
      <w:r w:rsidRPr="00747E35">
        <w:rPr>
          <w:rFonts w:asciiTheme="minorHAnsi" w:hAnsiTheme="minorHAnsi" w:cstheme="minorHAnsi"/>
        </w:rPr>
        <w:lastRenderedPageBreak/>
        <w:t>springs (Habermehl 1982).  Springs are clustered at a range of spatial scales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_Ref453232080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32</w:t>
      </w:r>
      <w:r w:rsidRPr="00747E35">
        <w:rPr>
          <w:rFonts w:asciiTheme="minorHAnsi" w:hAnsiTheme="minorHAnsi" w:cstheme="minorHAnsi"/>
        </w:rPr>
        <w:fldChar w:fldCharType="end"/>
      </w:r>
      <w:r w:rsidRPr="00747E35">
        <w:rPr>
          <w:rFonts w:asciiTheme="minorHAnsi" w:hAnsiTheme="minorHAnsi" w:cstheme="minorHAnsi"/>
        </w:rPr>
        <w:t>). Numerous vents can feed each spring. Springs emerging in the same geological setting are clustered into ‘complexes’, which can contain between one and hundreds of springs that are usually less than 10km apart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_Ref453232043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132</w:t>
      </w:r>
      <w:r w:rsidRPr="00747E35">
        <w:rPr>
          <w:rFonts w:asciiTheme="minorHAnsi" w:hAnsiTheme="minorHAnsi" w:cstheme="minorHAnsi"/>
        </w:rPr>
        <w:fldChar w:fldCharType="end"/>
      </w:r>
      <w:r w:rsidRPr="00747E35">
        <w:rPr>
          <w:rFonts w:asciiTheme="minorHAnsi" w:hAnsiTheme="minorHAnsi" w:cstheme="minorHAnsi"/>
        </w:rPr>
        <w:t>).  Complexes are also grouped at a larger scale into 13 ‘supergroups’. Water in springs fed by the GAB generally has a low dissolved solids concentration and is hyper-alkaline and with stable temperatures. These features distinguish GAB springs from other forms of inland water body, including ‘tertiary’ springs from non-GAB sources (Fensham et al. 2004, 2011).  The form a spring takes when reaching the surface is variable and contingent on groundwater pressure and the locality. Springs can range from small soaks less than 1m</w:t>
      </w:r>
      <w:r w:rsidRPr="00747E35">
        <w:rPr>
          <w:rFonts w:asciiTheme="minorHAnsi" w:hAnsiTheme="minorHAnsi" w:cstheme="minorHAnsi"/>
          <w:vertAlign w:val="superscript"/>
        </w:rPr>
        <w:t>2</w:t>
      </w:r>
      <w:r w:rsidRPr="00747E35">
        <w:rPr>
          <w:rFonts w:asciiTheme="minorHAnsi" w:hAnsiTheme="minorHAnsi" w:cstheme="minorHAnsi"/>
        </w:rPr>
        <w:t>, to large limnocrenic wetlands exceeding 1000m</w:t>
      </w:r>
      <w:r w:rsidRPr="00747E35">
        <w:rPr>
          <w:rFonts w:asciiTheme="minorHAnsi" w:hAnsiTheme="minorHAnsi" w:cstheme="minorHAnsi"/>
          <w:vertAlign w:val="superscript"/>
        </w:rPr>
        <w:t xml:space="preserve">2 </w:t>
      </w:r>
      <w:r w:rsidRPr="00747E35">
        <w:rPr>
          <w:rFonts w:asciiTheme="minorHAnsi" w:hAnsiTheme="minorHAnsi" w:cstheme="minorHAnsi"/>
        </w:rPr>
        <w:t xml:space="preserve">or mound springs formed by mud deposits or accumulating peat deposits.  </w:t>
      </w:r>
    </w:p>
    <w:p w14:paraId="020450E9" w14:textId="77777777" w:rsidR="0044478E" w:rsidRPr="00747E35" w:rsidRDefault="0044478E" w:rsidP="0044478E">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3758E308" wp14:editId="73E46484">
            <wp:extent cx="4298848" cy="6248400"/>
            <wp:effectExtent l="0" t="0" r="6985" b="0"/>
            <wp:docPr id="31" name="Picture 3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cstate="screen">
                      <a:extLst>
                        <a:ext uri="{28A0092B-C50C-407E-A947-70E740481C1C}">
                          <a14:useLocalDpi xmlns:a14="http://schemas.microsoft.com/office/drawing/2010/main"/>
                        </a:ext>
                      </a:extLst>
                    </a:blip>
                    <a:srcRect/>
                    <a:stretch>
                      <a:fillRect/>
                    </a:stretch>
                  </pic:blipFill>
                  <pic:spPr bwMode="auto">
                    <a:xfrm>
                      <a:off x="0" y="0"/>
                      <a:ext cx="4300406" cy="6250665"/>
                    </a:xfrm>
                    <a:prstGeom prst="rect">
                      <a:avLst/>
                    </a:prstGeom>
                    <a:noFill/>
                  </pic:spPr>
                </pic:pic>
              </a:graphicData>
            </a:graphic>
          </wp:inline>
        </w:drawing>
      </w:r>
    </w:p>
    <w:p w14:paraId="7AA09F95" w14:textId="77777777" w:rsidR="0044478E" w:rsidRPr="00747E35" w:rsidRDefault="0044478E" w:rsidP="00566456">
      <w:pPr>
        <w:pStyle w:val="Caption"/>
        <w:numPr>
          <w:ilvl w:val="0"/>
          <w:numId w:val="0"/>
        </w:numPr>
        <w:rPr>
          <w:rFonts w:cstheme="minorHAnsi"/>
        </w:rPr>
      </w:pPr>
      <w:bookmarkStart w:id="379" w:name="_Ref453232043"/>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132</w:t>
      </w:r>
      <w:r w:rsidR="009D6600" w:rsidRPr="00747E35">
        <w:rPr>
          <w:rFonts w:cstheme="minorHAnsi"/>
          <w:noProof/>
        </w:rPr>
        <w:fldChar w:fldCharType="end"/>
      </w:r>
      <w:bookmarkEnd w:id="379"/>
      <w:r w:rsidRPr="00747E35">
        <w:rPr>
          <w:rFonts w:cstheme="minorHAnsi"/>
        </w:rPr>
        <w:t>:</w:t>
      </w:r>
      <w:r w:rsidRPr="00747E35">
        <w:rPr>
          <w:rFonts w:cstheme="minorHAnsi"/>
          <w:b/>
        </w:rPr>
        <w:t xml:space="preserve"> </w:t>
      </w:r>
      <w:r w:rsidRPr="00747E35">
        <w:rPr>
          <w:rFonts w:cstheme="minorHAnsi"/>
        </w:rPr>
        <w:t xml:space="preserve">Conceptualisation of the Great Artesian Basin showing the location of spring supergroups, location of aquifer discharge and recharge zones, hydrogeological cross-section depicting water sources and flow paths to discharge and recharge springs, and the hierarchical nature of vents, springs, complexes and supergroups (Source: Renee Rossini). </w:t>
      </w:r>
    </w:p>
    <w:p w14:paraId="7F170606"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br w:type="page"/>
      </w:r>
    </w:p>
    <w:p w14:paraId="314EFE81" w14:textId="77777777" w:rsidR="0044478E" w:rsidRPr="00747E35" w:rsidRDefault="0044478E" w:rsidP="00566456">
      <w:pPr>
        <w:pStyle w:val="Caption"/>
        <w:numPr>
          <w:ilvl w:val="0"/>
          <w:numId w:val="0"/>
        </w:numPr>
        <w:rPr>
          <w:rFonts w:cstheme="minorHAnsi"/>
        </w:rPr>
      </w:pPr>
      <w:bookmarkStart w:id="380" w:name="_Ref453232080"/>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32</w:t>
      </w:r>
      <w:r w:rsidR="009D6600" w:rsidRPr="00747E35">
        <w:rPr>
          <w:rFonts w:cstheme="minorHAnsi"/>
          <w:noProof/>
        </w:rPr>
        <w:fldChar w:fldCharType="end"/>
      </w:r>
      <w:bookmarkEnd w:id="380"/>
      <w:r w:rsidRPr="00747E35">
        <w:rPr>
          <w:rFonts w:cstheme="minorHAnsi"/>
        </w:rPr>
        <w:t>:</w:t>
      </w:r>
      <w:r w:rsidRPr="00747E35">
        <w:rPr>
          <w:rFonts w:cstheme="minorHAnsi"/>
          <w:b/>
        </w:rPr>
        <w:t xml:space="preserve"> </w:t>
      </w:r>
      <w:r w:rsidRPr="00747E35">
        <w:rPr>
          <w:rFonts w:cstheme="minorHAnsi"/>
        </w:rPr>
        <w:t>Definition of springs at a range of spatial scales (source: Fensham and Fairfax 2003, Fensham et al. 2011, Miles et al. 2012, Department of the Environment 2016).</w:t>
      </w:r>
    </w:p>
    <w:tbl>
      <w:tblPr>
        <w:tblW w:w="9460" w:type="dxa"/>
        <w:tblLook w:val="04A0" w:firstRow="1" w:lastRow="0" w:firstColumn="1" w:lastColumn="0" w:noHBand="0" w:noVBand="1"/>
      </w:tblPr>
      <w:tblGrid>
        <w:gridCol w:w="2222"/>
        <w:gridCol w:w="7238"/>
      </w:tblGrid>
      <w:tr w:rsidR="0044478E" w:rsidRPr="00747E35" w14:paraId="142E092A" w14:textId="77777777" w:rsidTr="00B004E4">
        <w:trPr>
          <w:trHeight w:val="20"/>
        </w:trPr>
        <w:tc>
          <w:tcPr>
            <w:tcW w:w="2222" w:type="dxa"/>
            <w:tcBorders>
              <w:top w:val="single" w:sz="4" w:space="0" w:color="auto"/>
              <w:left w:val="nil"/>
              <w:bottom w:val="single" w:sz="4" w:space="0" w:color="auto"/>
              <w:right w:val="nil"/>
            </w:tcBorders>
            <w:shd w:val="clear" w:color="auto" w:fill="DEEAF6" w:themeFill="accent1" w:themeFillTint="33"/>
            <w:noWrap/>
            <w:vAlign w:val="bottom"/>
            <w:hideMark/>
          </w:tcPr>
          <w:p w14:paraId="45C7FF9E"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 xml:space="preserve">Term </w:t>
            </w:r>
          </w:p>
        </w:tc>
        <w:tc>
          <w:tcPr>
            <w:tcW w:w="7238" w:type="dxa"/>
            <w:tcBorders>
              <w:top w:val="single" w:sz="4" w:space="0" w:color="auto"/>
              <w:left w:val="nil"/>
              <w:bottom w:val="single" w:sz="4" w:space="0" w:color="auto"/>
              <w:right w:val="nil"/>
            </w:tcBorders>
            <w:shd w:val="clear" w:color="auto" w:fill="DEEAF6" w:themeFill="accent1" w:themeFillTint="33"/>
            <w:noWrap/>
            <w:vAlign w:val="bottom"/>
            <w:hideMark/>
          </w:tcPr>
          <w:p w14:paraId="24A62033"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Definition</w:t>
            </w:r>
          </w:p>
        </w:tc>
      </w:tr>
      <w:tr w:rsidR="0044478E" w:rsidRPr="00747E35" w14:paraId="0CEA9A0E" w14:textId="77777777" w:rsidTr="0044478E">
        <w:trPr>
          <w:trHeight w:val="20"/>
        </w:trPr>
        <w:tc>
          <w:tcPr>
            <w:tcW w:w="2222" w:type="dxa"/>
            <w:tcBorders>
              <w:top w:val="single" w:sz="4" w:space="0" w:color="auto"/>
              <w:left w:val="nil"/>
              <w:bottom w:val="single" w:sz="4" w:space="0" w:color="D9D9D9" w:themeColor="background1" w:themeShade="D9"/>
              <w:right w:val="nil"/>
            </w:tcBorders>
            <w:shd w:val="clear" w:color="auto" w:fill="auto"/>
            <w:noWrap/>
            <w:hideMark/>
          </w:tcPr>
          <w:p w14:paraId="4522526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xml:space="preserve">Vent </w:t>
            </w:r>
          </w:p>
        </w:tc>
        <w:tc>
          <w:tcPr>
            <w:tcW w:w="7238" w:type="dxa"/>
            <w:tcBorders>
              <w:top w:val="single" w:sz="4" w:space="0" w:color="auto"/>
              <w:left w:val="nil"/>
              <w:bottom w:val="single" w:sz="4" w:space="0" w:color="D9D9D9" w:themeColor="background1" w:themeShade="D9"/>
              <w:right w:val="nil"/>
            </w:tcBorders>
            <w:shd w:val="clear" w:color="auto" w:fill="auto"/>
            <w:hideMark/>
          </w:tcPr>
          <w:p w14:paraId="50C0BB9F"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Point of natural groundwater discharge at the ground surface</w:t>
            </w:r>
          </w:p>
        </w:tc>
      </w:tr>
      <w:tr w:rsidR="0044478E" w:rsidRPr="00747E35" w14:paraId="3BE5F3B7" w14:textId="77777777" w:rsidTr="0044478E">
        <w:trPr>
          <w:trHeight w:val="20"/>
        </w:trPr>
        <w:tc>
          <w:tcPr>
            <w:tcW w:w="2222" w:type="dxa"/>
            <w:tcBorders>
              <w:top w:val="single" w:sz="4" w:space="0" w:color="D9D9D9" w:themeColor="background1" w:themeShade="D9"/>
              <w:left w:val="nil"/>
              <w:bottom w:val="single" w:sz="4" w:space="0" w:color="D9D9D9" w:themeColor="background1" w:themeShade="D9"/>
              <w:right w:val="nil"/>
            </w:tcBorders>
            <w:shd w:val="clear" w:color="auto" w:fill="auto"/>
            <w:noWrap/>
            <w:hideMark/>
          </w:tcPr>
          <w:p w14:paraId="1F24D60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Spring</w:t>
            </w:r>
          </w:p>
        </w:tc>
        <w:tc>
          <w:tcPr>
            <w:tcW w:w="7238" w:type="dxa"/>
            <w:tcBorders>
              <w:top w:val="single" w:sz="4" w:space="0" w:color="D9D9D9" w:themeColor="background1" w:themeShade="D9"/>
              <w:left w:val="nil"/>
              <w:bottom w:val="single" w:sz="4" w:space="0" w:color="D9D9D9" w:themeColor="background1" w:themeShade="D9"/>
              <w:right w:val="nil"/>
            </w:tcBorders>
            <w:shd w:val="clear" w:color="auto" w:fill="auto"/>
            <w:hideMark/>
          </w:tcPr>
          <w:p w14:paraId="6333238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A vent or vents where the natural groundwater outflow forms a single spring wetland</w:t>
            </w:r>
          </w:p>
        </w:tc>
      </w:tr>
      <w:tr w:rsidR="0044478E" w:rsidRPr="00747E35" w14:paraId="4E6D94A7" w14:textId="77777777" w:rsidTr="0044478E">
        <w:trPr>
          <w:trHeight w:val="20"/>
        </w:trPr>
        <w:tc>
          <w:tcPr>
            <w:tcW w:w="2222" w:type="dxa"/>
            <w:tcBorders>
              <w:top w:val="single" w:sz="4" w:space="0" w:color="D9D9D9" w:themeColor="background1" w:themeShade="D9"/>
              <w:left w:val="nil"/>
              <w:bottom w:val="single" w:sz="4" w:space="0" w:color="D9D9D9" w:themeColor="background1" w:themeShade="D9"/>
              <w:right w:val="nil"/>
            </w:tcBorders>
            <w:shd w:val="clear" w:color="auto" w:fill="auto"/>
            <w:noWrap/>
            <w:hideMark/>
          </w:tcPr>
          <w:p w14:paraId="7FC383E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Discharge spring</w:t>
            </w:r>
          </w:p>
          <w:p w14:paraId="0AA724C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(also referred to as ‘artesian’ spring)</w:t>
            </w:r>
          </w:p>
        </w:tc>
        <w:tc>
          <w:tcPr>
            <w:tcW w:w="7238" w:type="dxa"/>
            <w:tcBorders>
              <w:top w:val="single" w:sz="4" w:space="0" w:color="D9D9D9" w:themeColor="background1" w:themeShade="D9"/>
              <w:left w:val="nil"/>
              <w:bottom w:val="single" w:sz="4" w:space="0" w:color="D9D9D9" w:themeColor="background1" w:themeShade="D9"/>
              <w:right w:val="nil"/>
            </w:tcBorders>
            <w:shd w:val="clear" w:color="auto" w:fill="auto"/>
            <w:hideMark/>
          </w:tcPr>
          <w:p w14:paraId="4939EE0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Groundwater outflow is from confined aquifers in which the water has had an extremely long residence time and where the water reaches the ground surface via faults in the strata overlying the aquifer or from thin or exposed parts of the aquifer</w:t>
            </w:r>
          </w:p>
        </w:tc>
      </w:tr>
      <w:tr w:rsidR="0044478E" w:rsidRPr="00747E35" w14:paraId="06DFF6E6" w14:textId="77777777" w:rsidTr="0044478E">
        <w:trPr>
          <w:trHeight w:val="20"/>
        </w:trPr>
        <w:tc>
          <w:tcPr>
            <w:tcW w:w="2222" w:type="dxa"/>
            <w:tcBorders>
              <w:top w:val="single" w:sz="4" w:space="0" w:color="D9D9D9" w:themeColor="background1" w:themeShade="D9"/>
              <w:left w:val="nil"/>
              <w:bottom w:val="single" w:sz="4" w:space="0" w:color="D9D9D9" w:themeColor="background1" w:themeShade="D9"/>
              <w:right w:val="nil"/>
            </w:tcBorders>
            <w:shd w:val="clear" w:color="auto" w:fill="auto"/>
            <w:noWrap/>
            <w:hideMark/>
          </w:tcPr>
          <w:p w14:paraId="5CECAC2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xml:space="preserve">Recharge spring </w:t>
            </w:r>
          </w:p>
          <w:p w14:paraId="7E9513B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(also referred to as ‘non-artesian’ spring)</w:t>
            </w:r>
          </w:p>
        </w:tc>
        <w:tc>
          <w:tcPr>
            <w:tcW w:w="7238" w:type="dxa"/>
            <w:tcBorders>
              <w:top w:val="single" w:sz="4" w:space="0" w:color="D9D9D9" w:themeColor="background1" w:themeShade="D9"/>
              <w:left w:val="nil"/>
              <w:bottom w:val="single" w:sz="4" w:space="0" w:color="D9D9D9" w:themeColor="background1" w:themeShade="D9"/>
              <w:right w:val="nil"/>
            </w:tcBorders>
            <w:shd w:val="clear" w:color="auto" w:fill="auto"/>
            <w:hideMark/>
          </w:tcPr>
          <w:p w14:paraId="3821E1C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Groundwater outflow is overflow from unconfined aquifers (generally associated with outcropping sandstones), the water has a relatively short residence time</w:t>
            </w:r>
            <w:r w:rsidRPr="00747E35">
              <w:rPr>
                <w:rFonts w:cstheme="minorHAnsi"/>
              </w:rPr>
              <w:t xml:space="preserve"> compared with confined underground aquifers</w:t>
            </w:r>
            <w:r w:rsidRPr="00747E35">
              <w:rPr>
                <w:rFonts w:cstheme="minorHAnsi"/>
                <w:lang w:eastAsia="en-AU"/>
              </w:rPr>
              <w:t xml:space="preserve"> (except in western GAB) and water flow rates are affected by recent rainfall events</w:t>
            </w:r>
          </w:p>
        </w:tc>
      </w:tr>
      <w:tr w:rsidR="0044478E" w:rsidRPr="00747E35" w14:paraId="21B398E7" w14:textId="77777777" w:rsidTr="0044478E">
        <w:trPr>
          <w:trHeight w:val="20"/>
        </w:trPr>
        <w:tc>
          <w:tcPr>
            <w:tcW w:w="2222" w:type="dxa"/>
            <w:tcBorders>
              <w:top w:val="single" w:sz="4" w:space="0" w:color="D9D9D9" w:themeColor="background1" w:themeShade="D9"/>
              <w:left w:val="nil"/>
              <w:bottom w:val="single" w:sz="4" w:space="0" w:color="D9D9D9" w:themeColor="background1" w:themeShade="D9"/>
              <w:right w:val="nil"/>
            </w:tcBorders>
            <w:shd w:val="clear" w:color="auto" w:fill="auto"/>
            <w:noWrap/>
            <w:hideMark/>
          </w:tcPr>
          <w:p w14:paraId="590F9A5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Tertiary spring</w:t>
            </w:r>
          </w:p>
        </w:tc>
        <w:tc>
          <w:tcPr>
            <w:tcW w:w="7238" w:type="dxa"/>
            <w:tcBorders>
              <w:top w:val="single" w:sz="4" w:space="0" w:color="D9D9D9" w:themeColor="background1" w:themeShade="D9"/>
              <w:left w:val="nil"/>
              <w:bottom w:val="single" w:sz="4" w:space="0" w:color="D9D9D9" w:themeColor="background1" w:themeShade="D9"/>
              <w:right w:val="nil"/>
            </w:tcBorders>
            <w:shd w:val="clear" w:color="auto" w:fill="auto"/>
            <w:hideMark/>
          </w:tcPr>
          <w:p w14:paraId="46A0CBB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Spring emerging from non-GAB sources, primarily from tertiary aquifers that overlie the GAB</w:t>
            </w:r>
          </w:p>
        </w:tc>
      </w:tr>
      <w:tr w:rsidR="0044478E" w:rsidRPr="00747E35" w14:paraId="391610CD" w14:textId="77777777" w:rsidTr="0044478E">
        <w:trPr>
          <w:trHeight w:val="20"/>
        </w:trPr>
        <w:tc>
          <w:tcPr>
            <w:tcW w:w="2222" w:type="dxa"/>
            <w:tcBorders>
              <w:top w:val="single" w:sz="4" w:space="0" w:color="D9D9D9" w:themeColor="background1" w:themeShade="D9"/>
              <w:left w:val="nil"/>
              <w:bottom w:val="single" w:sz="4" w:space="0" w:color="D9D9D9" w:themeColor="background1" w:themeShade="D9"/>
              <w:right w:val="nil"/>
            </w:tcBorders>
            <w:shd w:val="clear" w:color="auto" w:fill="auto"/>
            <w:noWrap/>
            <w:hideMark/>
          </w:tcPr>
          <w:p w14:paraId="01FD8799"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Spring group</w:t>
            </w:r>
          </w:p>
        </w:tc>
        <w:tc>
          <w:tcPr>
            <w:tcW w:w="7238" w:type="dxa"/>
            <w:tcBorders>
              <w:top w:val="single" w:sz="4" w:space="0" w:color="D9D9D9" w:themeColor="background1" w:themeShade="D9"/>
              <w:left w:val="nil"/>
              <w:bottom w:val="single" w:sz="4" w:space="0" w:color="D9D9D9" w:themeColor="background1" w:themeShade="D9"/>
              <w:right w:val="nil"/>
            </w:tcBorders>
            <w:shd w:val="clear" w:color="auto" w:fill="auto"/>
            <w:hideMark/>
          </w:tcPr>
          <w:p w14:paraId="7647BC7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Multiple springs all related to the same hydrogeological structure and probably the same aquifer (or groundwater source) and hydrochemistry (at the present time)</w:t>
            </w:r>
          </w:p>
        </w:tc>
      </w:tr>
      <w:tr w:rsidR="0044478E" w:rsidRPr="00747E35" w14:paraId="627B0A30" w14:textId="77777777" w:rsidTr="0044478E">
        <w:trPr>
          <w:trHeight w:val="20"/>
        </w:trPr>
        <w:tc>
          <w:tcPr>
            <w:tcW w:w="2222" w:type="dxa"/>
            <w:tcBorders>
              <w:top w:val="single" w:sz="4" w:space="0" w:color="D9D9D9" w:themeColor="background1" w:themeShade="D9"/>
              <w:left w:val="nil"/>
              <w:bottom w:val="single" w:sz="4" w:space="0" w:color="D9D9D9" w:themeColor="background1" w:themeShade="D9"/>
              <w:right w:val="nil"/>
            </w:tcBorders>
            <w:shd w:val="clear" w:color="auto" w:fill="auto"/>
            <w:noWrap/>
            <w:hideMark/>
          </w:tcPr>
          <w:p w14:paraId="1E8F64B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xml:space="preserve">Spring complex </w:t>
            </w:r>
          </w:p>
        </w:tc>
        <w:tc>
          <w:tcPr>
            <w:tcW w:w="7238" w:type="dxa"/>
            <w:tcBorders>
              <w:top w:val="single" w:sz="4" w:space="0" w:color="D9D9D9" w:themeColor="background1" w:themeShade="D9"/>
              <w:left w:val="nil"/>
              <w:bottom w:val="single" w:sz="4" w:space="0" w:color="D9D9D9" w:themeColor="background1" w:themeShade="D9"/>
              <w:right w:val="nil"/>
            </w:tcBorders>
            <w:shd w:val="clear" w:color="auto" w:fill="auto"/>
            <w:hideMark/>
          </w:tcPr>
          <w:p w14:paraId="7E17649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Collection of springs all related to a particular location and hydrogeological feature(s)</w:t>
            </w:r>
          </w:p>
        </w:tc>
      </w:tr>
      <w:tr w:rsidR="0044478E" w:rsidRPr="00747E35" w14:paraId="11BB7FF8" w14:textId="77777777" w:rsidTr="0044478E">
        <w:trPr>
          <w:trHeight w:val="20"/>
        </w:trPr>
        <w:tc>
          <w:tcPr>
            <w:tcW w:w="2222" w:type="dxa"/>
            <w:tcBorders>
              <w:top w:val="single" w:sz="4" w:space="0" w:color="D9D9D9" w:themeColor="background1" w:themeShade="D9"/>
              <w:left w:val="nil"/>
              <w:bottom w:val="single" w:sz="4" w:space="0" w:color="auto"/>
              <w:right w:val="nil"/>
            </w:tcBorders>
            <w:shd w:val="clear" w:color="auto" w:fill="auto"/>
            <w:noWrap/>
            <w:hideMark/>
          </w:tcPr>
          <w:p w14:paraId="2542ADB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xml:space="preserve">Supergroup </w:t>
            </w:r>
          </w:p>
        </w:tc>
        <w:tc>
          <w:tcPr>
            <w:tcW w:w="7238" w:type="dxa"/>
            <w:tcBorders>
              <w:top w:val="single" w:sz="4" w:space="0" w:color="D9D9D9" w:themeColor="background1" w:themeShade="D9"/>
              <w:left w:val="nil"/>
              <w:bottom w:val="single" w:sz="4" w:space="0" w:color="auto"/>
              <w:right w:val="nil"/>
            </w:tcBorders>
            <w:shd w:val="clear" w:color="auto" w:fill="auto"/>
            <w:hideMark/>
          </w:tcPr>
          <w:p w14:paraId="0A0F8DB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xml:space="preserve">Major regional clusters of spring complexes with some consistent hydrogeological characteristics </w:t>
            </w:r>
          </w:p>
        </w:tc>
      </w:tr>
    </w:tbl>
    <w:p w14:paraId="6128F734" w14:textId="77777777" w:rsidR="0044478E" w:rsidRPr="00747E35" w:rsidRDefault="0044478E" w:rsidP="0044478E">
      <w:pPr>
        <w:rPr>
          <w:rFonts w:asciiTheme="minorHAnsi" w:hAnsiTheme="minorHAnsi" w:cstheme="minorHAnsi"/>
        </w:rPr>
      </w:pPr>
    </w:p>
    <w:p w14:paraId="7BA062E0" w14:textId="3C06F2EF" w:rsidR="0044478E" w:rsidRPr="00747E35" w:rsidRDefault="0044478E" w:rsidP="0044478E">
      <w:pPr>
        <w:rPr>
          <w:rFonts w:asciiTheme="minorHAnsi" w:hAnsiTheme="minorHAnsi" w:cstheme="minorHAnsi"/>
        </w:rPr>
      </w:pPr>
      <w:r w:rsidRPr="00747E35">
        <w:rPr>
          <w:rFonts w:asciiTheme="minorHAnsi" w:hAnsiTheme="minorHAnsi" w:cstheme="minorHAnsi"/>
        </w:rPr>
        <w:t>In the Australian arid zone, most surface water bodies are ephemeral (e.g. billabong, rockholes) and are characterised by a ‘boom and bust’ cycle of water abundance and water scarcity. They are dominated by a cosmopolitan suite of animals and plants with adaptations that allow them to persist through times of water scarcity and disperse and reproduce at times of water abundance. These organisms are generally found across the arid zone or, in some cases, in coastal wetlands and watercourses (Fensham et al. 2011).  In contrast, GAB springs are home to some of these cosmopolitan species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_Ref453232107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133</w:t>
      </w:r>
      <w:r w:rsidRPr="00747E35">
        <w:rPr>
          <w:rFonts w:asciiTheme="minorHAnsi" w:hAnsiTheme="minorHAnsi" w:cstheme="minorHAnsi"/>
        </w:rPr>
        <w:fldChar w:fldCharType="end"/>
      </w:r>
      <w:r w:rsidRPr="00747E35">
        <w:rPr>
          <w:rFonts w:asciiTheme="minorHAnsi" w:hAnsiTheme="minorHAnsi" w:cstheme="minorHAnsi"/>
        </w:rPr>
        <w:t>) as well as a unique assemblage of plants and animals that cannot be found in any other freshwater environment (i.e. they are endemic to springs fed by the GAB) (Ponder 1995, Fensham et al. 2011). These endemic species are ecologically and taxonomically diverse, including animals that are fully aquatic and rely on permanent water in spring pools like fishes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_Ref453232107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133</w:t>
      </w:r>
      <w:r w:rsidRPr="00747E35">
        <w:rPr>
          <w:rFonts w:asciiTheme="minorHAnsi" w:hAnsiTheme="minorHAnsi" w:cstheme="minorHAnsi"/>
        </w:rPr>
        <w:fldChar w:fldCharType="end"/>
      </w:r>
      <w:r w:rsidRPr="00747E35">
        <w:rPr>
          <w:rFonts w:asciiTheme="minorHAnsi" w:hAnsiTheme="minorHAnsi" w:cstheme="minorHAnsi"/>
        </w:rPr>
        <w:t>) and those that are semi-aquatic and live in the spring margins and outflow zones that change in wetness and spatial extent due to seasonal and interannual variations in rainfall and spring outflow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_Ref453232107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133</w:t>
      </w:r>
      <w:r w:rsidRPr="00747E35">
        <w:rPr>
          <w:rFonts w:asciiTheme="minorHAnsi" w:hAnsiTheme="minorHAnsi" w:cstheme="minorHAnsi"/>
        </w:rPr>
        <w:fldChar w:fldCharType="end"/>
      </w:r>
      <w:r w:rsidRPr="00747E35">
        <w:rPr>
          <w:rFonts w:asciiTheme="minorHAnsi" w:hAnsiTheme="minorHAnsi" w:cstheme="minorHAnsi"/>
        </w:rPr>
        <w:t>; Ponder et al. 1989, Fensham et al. 2004, Rossini et al. in press). Depending on their position in the landscape, some springs may become periodically connected to other freshwater habitats via flowing stream networks and floodplain inundation during the wet season, while others may remain entirely isolated. Collectively, variation in these environmental characteristics of springs is likely a major determinant of flora and fauna composition and abundances.</w:t>
      </w:r>
      <w:r w:rsidRPr="00747E35">
        <w:rPr>
          <w:rFonts w:asciiTheme="minorHAnsi" w:hAnsiTheme="minorHAnsi" w:cstheme="minorHAnsi"/>
        </w:rPr>
        <w:br w:type="page"/>
      </w:r>
    </w:p>
    <w:p w14:paraId="52FE152C" w14:textId="77777777" w:rsidR="0044478E" w:rsidRPr="00747E35" w:rsidRDefault="0044478E" w:rsidP="0044478E">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76504959" wp14:editId="5BABFC93">
            <wp:extent cx="6120130" cy="7835265"/>
            <wp:effectExtent l="0" t="0" r="0" b="0"/>
            <wp:docPr id="32" name="Picture 3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prings natural v2 Wet &amp; Dry.png"/>
                    <pic:cNvPicPr/>
                  </pic:nvPicPr>
                  <pic:blipFill>
                    <a:blip r:embed="rId198" cstate="screen">
                      <a:extLst>
                        <a:ext uri="{28A0092B-C50C-407E-A947-70E740481C1C}">
                          <a14:useLocalDpi xmlns:a14="http://schemas.microsoft.com/office/drawing/2010/main"/>
                        </a:ext>
                      </a:extLst>
                    </a:blip>
                    <a:stretch>
                      <a:fillRect/>
                    </a:stretch>
                  </pic:blipFill>
                  <pic:spPr>
                    <a:xfrm>
                      <a:off x="0" y="0"/>
                      <a:ext cx="6120130" cy="7835265"/>
                    </a:xfrm>
                    <a:prstGeom prst="rect">
                      <a:avLst/>
                    </a:prstGeom>
                  </pic:spPr>
                </pic:pic>
              </a:graphicData>
            </a:graphic>
          </wp:inline>
        </w:drawing>
      </w:r>
    </w:p>
    <w:p w14:paraId="787F251A" w14:textId="77777777" w:rsidR="0044478E" w:rsidRPr="00747E35" w:rsidRDefault="0044478E" w:rsidP="00566456">
      <w:pPr>
        <w:pStyle w:val="Caption"/>
        <w:numPr>
          <w:ilvl w:val="0"/>
          <w:numId w:val="0"/>
        </w:numPr>
        <w:rPr>
          <w:rFonts w:cstheme="minorHAnsi"/>
        </w:rPr>
      </w:pPr>
      <w:bookmarkStart w:id="381" w:name="_Ref453232107"/>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133</w:t>
      </w:r>
      <w:r w:rsidR="009D6600" w:rsidRPr="00747E35">
        <w:rPr>
          <w:rFonts w:cstheme="minorHAnsi"/>
          <w:noProof/>
        </w:rPr>
        <w:fldChar w:fldCharType="end"/>
      </w:r>
      <w:bookmarkEnd w:id="381"/>
      <w:r w:rsidRPr="00747E35">
        <w:rPr>
          <w:rFonts w:cstheme="minorHAnsi"/>
        </w:rPr>
        <w:t>: Conceptual model of seasonal variation in a naturally functioning discharge spring and the cosmopolitan, aquatic, and semi-aquatic species it sustains.</w:t>
      </w:r>
      <w:r w:rsidRPr="00747E35">
        <w:rPr>
          <w:rFonts w:cstheme="minorHAnsi"/>
        </w:rPr>
        <w:br w:type="page"/>
      </w:r>
    </w:p>
    <w:p w14:paraId="40BF5AC5"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lastRenderedPageBreak/>
        <w:t>The aquatic biodiversity restricted to GAB springs is highly threatened by a range of processes.  Akin to arid zone springs globally, Australia’s GAB springs have experienced a history of loss and physical disturbance (Fairfax and Fensham 2002, Fairfax and Fensham 2003).  This legacy may continue as many GAB discharge springs occur in areas of current and potential future CSG and coal mining developments (Fensham et al. 2010). The ecological consequences of groundwater decline for GAB springs and the resident biota may be substantial, but difficult to detect due to time lags and long response times and potentially difficult to reverse (e.g. aquifer collapse, salinity intrusion, shifts in ecosystem type/function; Kath et al. 2014).  Furthermore, impacts of groundwater drawdown could greatly increase the vulnerability of endemic spring flora and fauna to threatening processes associated with land use, livestock damage, invasive species and climate change (Fensham et al. 2010).  Whilst previous risk assessments have predicted potential effects on springs due to groundwater drawdown, none have taken a basin-wide approach or considered the ecological results of the extinction of springs (e.g. they have predicted whether springs are lost, not the resulting biodiversity losses) or the potential for drawdown to interact with other threatening processes.</w:t>
      </w:r>
    </w:p>
    <w:p w14:paraId="080A0904"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Quantifying the hydroecological processes that shape and sustain the distinctive biotic assemblages of discharge spring wetlands of the Great Artesian Basin (GAB) and establishing how species respond to threatening processes is a challenging goal. Recent research casts light on the evolution, ecology and history of springs but up-to-date compilations of this literature are scarce (the most recent being the ‘recovery plan’ for the community of native species reliant on GAB springs; Fensham et al.</w:t>
      </w:r>
      <w:r w:rsidRPr="00747E35">
        <w:rPr>
          <w:rFonts w:asciiTheme="minorHAnsi" w:hAnsiTheme="minorHAnsi" w:cstheme="minorHAnsi"/>
          <w:i/>
        </w:rPr>
        <w:t xml:space="preserve"> </w:t>
      </w:r>
      <w:r w:rsidRPr="00747E35">
        <w:rPr>
          <w:rFonts w:asciiTheme="minorHAnsi" w:hAnsiTheme="minorHAnsi" w:cstheme="minorHAnsi"/>
        </w:rPr>
        <w:t xml:space="preserve">2010) and renders assessments of biodiversity and threats at a basin-wide scale impossible. By understanding the environmental determinants of spring biodiversity and how resident species respond to threatening processes, we can inform prediction, management and mitigation of impacts on GAB spring wetlands. </w:t>
      </w:r>
    </w:p>
    <w:p w14:paraId="0408A2F1" w14:textId="77777777" w:rsidR="0044478E" w:rsidRPr="00747E35" w:rsidRDefault="0044478E" w:rsidP="0044478E">
      <w:pPr>
        <w:rPr>
          <w:rFonts w:asciiTheme="minorHAnsi" w:hAnsiTheme="minorHAnsi" w:cstheme="minorHAnsi"/>
        </w:rPr>
      </w:pPr>
    </w:p>
    <w:p w14:paraId="5A5FABC6"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br w:type="page"/>
      </w:r>
    </w:p>
    <w:p w14:paraId="234DBBEC" w14:textId="1D35E2D4" w:rsidR="0044478E" w:rsidRPr="00747E35" w:rsidRDefault="0044478E" w:rsidP="0044478E">
      <w:pPr>
        <w:pStyle w:val="Heading2"/>
        <w:rPr>
          <w:rFonts w:asciiTheme="minorHAnsi" w:hAnsiTheme="minorHAnsi" w:cstheme="minorHAnsi"/>
        </w:rPr>
      </w:pPr>
      <w:bookmarkStart w:id="382" w:name="_Toc466980537"/>
      <w:bookmarkStart w:id="383" w:name="_Toc467244816"/>
      <w:bookmarkStart w:id="384" w:name="_Toc470004898"/>
      <w:r w:rsidRPr="00747E35">
        <w:rPr>
          <w:rFonts w:asciiTheme="minorHAnsi" w:hAnsiTheme="minorHAnsi" w:cstheme="minorHAnsi"/>
        </w:rPr>
        <w:lastRenderedPageBreak/>
        <w:t>Spatial assessment of biodiversity patterns and conservation values of discharge springs across the Great Artesian Basin</w:t>
      </w:r>
      <w:bookmarkEnd w:id="382"/>
      <w:bookmarkEnd w:id="383"/>
      <w:bookmarkEnd w:id="384"/>
    </w:p>
    <w:p w14:paraId="782F2346" w14:textId="77777777" w:rsidR="0044478E" w:rsidRPr="00747E35" w:rsidRDefault="0044478E" w:rsidP="0044478E">
      <w:pPr>
        <w:rPr>
          <w:rFonts w:asciiTheme="minorHAnsi" w:hAnsiTheme="minorHAnsi" w:cstheme="minorHAnsi"/>
        </w:rPr>
      </w:pPr>
    </w:p>
    <w:p w14:paraId="43692CC4"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Renee Rossini, Mark Kennard, Rod Fensham, Travis Gotch, Doug Ward and Ben Stewart-Koster</w:t>
      </w:r>
    </w:p>
    <w:p w14:paraId="34E72A41" w14:textId="77777777" w:rsidR="0044478E" w:rsidRPr="00747E35" w:rsidRDefault="0044478E" w:rsidP="0044478E">
      <w:pPr>
        <w:rPr>
          <w:rFonts w:asciiTheme="minorHAnsi" w:hAnsiTheme="minorHAnsi" w:cstheme="minorHAnsi"/>
        </w:rPr>
      </w:pPr>
    </w:p>
    <w:p w14:paraId="234CCB4B" w14:textId="3C21AB12" w:rsidR="0044478E" w:rsidRPr="00747E35" w:rsidRDefault="0044478E" w:rsidP="0044478E">
      <w:pPr>
        <w:pStyle w:val="Heading3"/>
        <w:rPr>
          <w:rFonts w:asciiTheme="minorHAnsi" w:hAnsiTheme="minorHAnsi" w:cstheme="minorHAnsi"/>
        </w:rPr>
      </w:pPr>
      <w:bookmarkStart w:id="385" w:name="_Toc467244817"/>
      <w:bookmarkStart w:id="386" w:name="_Toc470004899"/>
      <w:r w:rsidRPr="00747E35">
        <w:rPr>
          <w:rFonts w:asciiTheme="minorHAnsi" w:hAnsiTheme="minorHAnsi" w:cstheme="minorHAnsi"/>
        </w:rPr>
        <w:t>Key objectives:</w:t>
      </w:r>
      <w:bookmarkEnd w:id="385"/>
      <w:bookmarkEnd w:id="386"/>
    </w:p>
    <w:p w14:paraId="541FC141" w14:textId="77777777" w:rsidR="0044478E" w:rsidRPr="00747E35" w:rsidRDefault="0044478E" w:rsidP="0083624F">
      <w:pPr>
        <w:pStyle w:val="ListParagraph"/>
        <w:numPr>
          <w:ilvl w:val="0"/>
          <w:numId w:val="18"/>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Review the state of knowledge available regarding GAB spring endemic species and collate an updated list of all taxa within the plants, fishes, molluscs, amphipods and isopods with sufficient evidence to classify them as a GAB spring endemic, including sub-species and clades</w:t>
      </w:r>
    </w:p>
    <w:p w14:paraId="6145BF9D" w14:textId="77777777" w:rsidR="0044478E" w:rsidRPr="00747E35" w:rsidRDefault="0044478E" w:rsidP="0083624F">
      <w:pPr>
        <w:pStyle w:val="ListParagraph"/>
        <w:numPr>
          <w:ilvl w:val="0"/>
          <w:numId w:val="18"/>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Review and update information regarding the basin-wide distribution of these taxa and their range extents</w:t>
      </w:r>
    </w:p>
    <w:p w14:paraId="4BD4E48B" w14:textId="77777777" w:rsidR="0044478E" w:rsidRPr="00747E35" w:rsidRDefault="0044478E" w:rsidP="0083624F">
      <w:pPr>
        <w:pStyle w:val="ListParagraph"/>
        <w:numPr>
          <w:ilvl w:val="0"/>
          <w:numId w:val="18"/>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Analyse spatial patterns in the composition, richness, diversity and endemism (taxonomic and phylogenetic) of GAB spring complexes</w:t>
      </w:r>
    </w:p>
    <w:p w14:paraId="415081A9" w14:textId="77777777" w:rsidR="0044478E" w:rsidRPr="00747E35" w:rsidRDefault="0044478E" w:rsidP="0083624F">
      <w:pPr>
        <w:pStyle w:val="ListParagraph"/>
        <w:numPr>
          <w:ilvl w:val="0"/>
          <w:numId w:val="18"/>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Explore relationships between environmental characteristics and biodiversity/species composition of spring complexes</w:t>
      </w:r>
    </w:p>
    <w:p w14:paraId="488B1014" w14:textId="77777777" w:rsidR="0044478E" w:rsidRPr="00747E35" w:rsidRDefault="0044478E" w:rsidP="0083624F">
      <w:pPr>
        <w:pStyle w:val="ListParagraph"/>
        <w:numPr>
          <w:ilvl w:val="0"/>
          <w:numId w:val="18"/>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Identify knowledge gaps for all taxa in the review</w:t>
      </w:r>
    </w:p>
    <w:p w14:paraId="19F4A762" w14:textId="77777777" w:rsidR="0044478E" w:rsidRPr="00747E35" w:rsidRDefault="0044478E" w:rsidP="0083624F">
      <w:pPr>
        <w:pStyle w:val="ListParagraph"/>
        <w:numPr>
          <w:ilvl w:val="0"/>
          <w:numId w:val="18"/>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Assess the alignment of conservation listings of all taxa in the review</w:t>
      </w:r>
    </w:p>
    <w:p w14:paraId="59C62574" w14:textId="77777777" w:rsidR="0044478E" w:rsidRPr="00747E35" w:rsidRDefault="0044478E" w:rsidP="0044478E">
      <w:pPr>
        <w:rPr>
          <w:rFonts w:asciiTheme="minorHAnsi" w:hAnsiTheme="minorHAnsi" w:cstheme="minorHAnsi"/>
        </w:rPr>
      </w:pPr>
    </w:p>
    <w:p w14:paraId="2197BE97" w14:textId="26757E7E" w:rsidR="0044478E" w:rsidRPr="00747E35" w:rsidRDefault="0044478E" w:rsidP="0044478E">
      <w:pPr>
        <w:pStyle w:val="Heading3"/>
        <w:rPr>
          <w:rFonts w:asciiTheme="minorHAnsi" w:hAnsiTheme="minorHAnsi" w:cstheme="minorHAnsi"/>
        </w:rPr>
      </w:pPr>
      <w:bookmarkStart w:id="387" w:name="_Toc467244818"/>
      <w:bookmarkStart w:id="388" w:name="_Toc470004900"/>
      <w:r w:rsidRPr="00747E35">
        <w:rPr>
          <w:rFonts w:asciiTheme="minorHAnsi" w:hAnsiTheme="minorHAnsi" w:cstheme="minorHAnsi"/>
        </w:rPr>
        <w:t>Background</w:t>
      </w:r>
      <w:bookmarkEnd w:id="387"/>
      <w:bookmarkEnd w:id="388"/>
    </w:p>
    <w:p w14:paraId="55776C76" w14:textId="4391DF7D" w:rsidR="0044478E" w:rsidRPr="00747E35" w:rsidRDefault="0044478E" w:rsidP="0044478E">
      <w:pPr>
        <w:rPr>
          <w:rFonts w:asciiTheme="minorHAnsi" w:hAnsiTheme="minorHAnsi" w:cstheme="minorHAnsi"/>
        </w:rPr>
      </w:pPr>
      <w:r w:rsidRPr="00747E35">
        <w:rPr>
          <w:rFonts w:asciiTheme="minorHAnsi" w:hAnsiTheme="minorHAnsi" w:cstheme="minorHAnsi"/>
        </w:rPr>
        <w:t>Wetlands supported by springs (Shepard 1993, Kreamer and Springer 2008, Unmack and Minckley 2008) provide habitat for cosmopolitan species as well as specialised taxa not known from other habitats (Ponder 1995</w:t>
      </w:r>
      <w:r w:rsidR="00A15951">
        <w:rPr>
          <w:rFonts w:asciiTheme="minorHAnsi" w:hAnsiTheme="minorHAnsi" w:cstheme="minorHAnsi"/>
        </w:rPr>
        <w:t xml:space="preserve">, Myers and Resh 1999, Fensham et al. 2011, Cantonati </w:t>
      </w:r>
      <w:r w:rsidRPr="00747E35">
        <w:rPr>
          <w:rFonts w:asciiTheme="minorHAnsi" w:hAnsiTheme="minorHAnsi" w:cstheme="minorHAnsi"/>
        </w:rPr>
        <w:t>et al. 2012).  Despite their conservation value, springs across the globe share parallel stories of habitat loss (Fairfax and Fensham 2003, Stevens and Meretsky 2008, Unmac</w:t>
      </w:r>
      <w:r w:rsidR="00A15951">
        <w:rPr>
          <w:rFonts w:asciiTheme="minorHAnsi" w:hAnsiTheme="minorHAnsi" w:cstheme="minorHAnsi"/>
        </w:rPr>
        <w:t xml:space="preserve">k and Minckley 2008, Cantonati </w:t>
      </w:r>
      <w:r w:rsidRPr="00747E35">
        <w:rPr>
          <w:rFonts w:asciiTheme="minorHAnsi" w:hAnsiTheme="minorHAnsi" w:cstheme="minorHAnsi"/>
        </w:rPr>
        <w:t>et al. 2016).  The Great Artesian Basin (GAB) in Australia, one of the world’s largest actively recharging aquifers, feeds thousands of springs spanning arid and semi-arid regions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_Ref453232043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132</w:t>
      </w:r>
      <w:r w:rsidRPr="00747E35">
        <w:rPr>
          <w:rFonts w:asciiTheme="minorHAnsi" w:hAnsiTheme="minorHAnsi" w:cstheme="minorHAnsi"/>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_Ref466636029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134</w:t>
      </w:r>
      <w:r w:rsidRPr="00747E35">
        <w:rPr>
          <w:rFonts w:asciiTheme="minorHAnsi" w:hAnsiTheme="minorHAnsi" w:cstheme="minorHAnsi"/>
        </w:rPr>
        <w:fldChar w:fldCharType="end"/>
      </w:r>
      <w:r w:rsidRPr="00747E35">
        <w:rPr>
          <w:rFonts w:asciiTheme="minorHAnsi" w:hAnsiTheme="minorHAnsi" w:cstheme="minorHAnsi"/>
        </w:rPr>
        <w:t>) (Habermehl 1982).  Groundwater with a long residence time in the aquifers of the GAB has a distinct water chemistry (Habermehl 1982) creating spring ecosystems for plant and animal species, many of which cannot be found in other freshwater environments and have very small geographic ranges (Ponder 1995, Fen</w:t>
      </w:r>
      <w:r w:rsidR="00A15951">
        <w:rPr>
          <w:rFonts w:asciiTheme="minorHAnsi" w:hAnsiTheme="minorHAnsi" w:cstheme="minorHAnsi"/>
        </w:rPr>
        <w:t xml:space="preserve">sham </w:t>
      </w:r>
      <w:r w:rsidRPr="00747E35">
        <w:rPr>
          <w:rFonts w:asciiTheme="minorHAnsi" w:hAnsiTheme="minorHAnsi" w:cstheme="minorHAnsi"/>
        </w:rPr>
        <w:t xml:space="preserve">et al. 2011).  </w:t>
      </w:r>
    </w:p>
    <w:p w14:paraId="6188E141" w14:textId="2A896A27" w:rsidR="0044478E" w:rsidRPr="00747E35" w:rsidRDefault="0044478E" w:rsidP="0044478E">
      <w:pPr>
        <w:rPr>
          <w:rFonts w:asciiTheme="minorHAnsi" w:hAnsiTheme="minorHAnsi" w:cstheme="minorHAnsi"/>
        </w:rPr>
      </w:pPr>
      <w:r w:rsidRPr="00747E35">
        <w:rPr>
          <w:rFonts w:asciiTheme="minorHAnsi" w:hAnsiTheme="minorHAnsi" w:cstheme="minorHAnsi"/>
        </w:rPr>
        <w:t>Due to habitat specificity, small geographic range sizes, and exposure to a range of threatening processes including rapid habitat loss due to unrestricted extraction of water from their source aquifers (Fairfax and Fensham 2002, 2003), most endemic spring fauna and flora face significant extinction risk and are thus of considerable conservation interest.  In 2001 these threats were acknowledged with the listing of the GAB springs and their “community” of flora and fauna under the federal Environmental Protection and Biodiversity Conservation (EPBC) Act</w:t>
      </w:r>
      <w:r w:rsidR="00FD3508">
        <w:rPr>
          <w:rFonts w:asciiTheme="minorHAnsi" w:hAnsiTheme="minorHAnsi" w:cstheme="minorHAnsi"/>
        </w:rPr>
        <w:t xml:space="preserve"> 1999</w:t>
      </w:r>
      <w:r w:rsidRPr="00747E35">
        <w:rPr>
          <w:rFonts w:asciiTheme="minorHAnsi" w:hAnsiTheme="minorHAnsi" w:cstheme="minorHAnsi"/>
        </w:rPr>
        <w:t>.  The review conducted as part of the recovery plan fo</w:t>
      </w:r>
      <w:r w:rsidR="00A15951">
        <w:rPr>
          <w:rFonts w:asciiTheme="minorHAnsi" w:hAnsiTheme="minorHAnsi" w:cstheme="minorHAnsi"/>
        </w:rPr>
        <w:t>r the listed community (Fensham</w:t>
      </w:r>
      <w:r w:rsidRPr="00747E35">
        <w:rPr>
          <w:rFonts w:asciiTheme="minorHAnsi" w:hAnsiTheme="minorHAnsi" w:cstheme="minorHAnsi"/>
        </w:rPr>
        <w:t xml:space="preserve"> et al. 2010) has not been updated despite considerable progress on further inventory, conventional taxonomy and molecular studies of the organisms.  Attempts to rank springs in regard to their endemism and diversity have occurred (Fensham and Price 2004), but this ranking only included flora.  There is still very little information on how taxa are distributed at a basin-wide scale or the physical features of spring localities that are associated with the diversity of endemic taxa.  Without such information, it is impossible to assess biogeographic patterns of diversity in springs, to consider the </w:t>
      </w:r>
      <w:r w:rsidRPr="00747E35">
        <w:rPr>
          <w:rFonts w:asciiTheme="minorHAnsi" w:hAnsiTheme="minorHAnsi" w:cstheme="minorHAnsi"/>
        </w:rPr>
        <w:lastRenderedPageBreak/>
        <w:t>effectiveness of current research or conservation programs or to consider how threatening processes may lead to biodiversity loss within the GAB spring system.</w:t>
      </w:r>
    </w:p>
    <w:p w14:paraId="5B365427" w14:textId="77777777" w:rsidR="0044478E" w:rsidRPr="00747E35" w:rsidRDefault="0044478E" w:rsidP="0044478E">
      <w:pP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7EC0E460" wp14:editId="365C755A">
            <wp:extent cx="5633357" cy="5324475"/>
            <wp:effectExtent l="0" t="0" r="5715" b="0"/>
            <wp:docPr id="33" name="Picture 33" descr="Grid of photo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cstate="screen">
                      <a:extLst>
                        <a:ext uri="{28A0092B-C50C-407E-A947-70E740481C1C}">
                          <a14:useLocalDpi xmlns:a14="http://schemas.microsoft.com/office/drawing/2010/main"/>
                        </a:ext>
                      </a:extLst>
                    </a:blip>
                    <a:srcRect/>
                    <a:stretch>
                      <a:fillRect/>
                    </a:stretch>
                  </pic:blipFill>
                  <pic:spPr bwMode="auto">
                    <a:xfrm>
                      <a:off x="0" y="0"/>
                      <a:ext cx="5634202" cy="5325274"/>
                    </a:xfrm>
                    <a:prstGeom prst="rect">
                      <a:avLst/>
                    </a:prstGeom>
                    <a:noFill/>
                  </pic:spPr>
                </pic:pic>
              </a:graphicData>
            </a:graphic>
          </wp:inline>
        </w:drawing>
      </w:r>
    </w:p>
    <w:p w14:paraId="4E473854" w14:textId="77777777" w:rsidR="0044478E" w:rsidRPr="00747E35" w:rsidRDefault="0044478E" w:rsidP="00566456">
      <w:pPr>
        <w:pStyle w:val="Caption"/>
        <w:numPr>
          <w:ilvl w:val="0"/>
          <w:numId w:val="0"/>
        </w:numPr>
        <w:rPr>
          <w:rFonts w:cstheme="minorHAnsi"/>
        </w:rPr>
      </w:pPr>
      <w:bookmarkStart w:id="389" w:name="_Ref466636029"/>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134</w:t>
      </w:r>
      <w:r w:rsidR="009D6600" w:rsidRPr="00747E35">
        <w:rPr>
          <w:rFonts w:cstheme="minorHAnsi"/>
          <w:noProof/>
        </w:rPr>
        <w:fldChar w:fldCharType="end"/>
      </w:r>
      <w:bookmarkEnd w:id="389"/>
      <w:r w:rsidRPr="00747E35">
        <w:rPr>
          <w:rFonts w:cstheme="minorHAnsi"/>
        </w:rPr>
        <w:t>. Examples of GAB springs. (a) small spring in the centre of the Edgbaston Reserve in the Pelican Creek complex, Barcaldine supergroup, Queensland (photograph: Renee Rossini), (b) main spring at the Elizabeth Springs complex, Springvale supergroup, Queensland (photograph: Renee Rossini), (c) aerial shot of a large spring in the foreground and the landscape surrounding it at the Dalhousie complex, South Australia (photograph: Robert Brandle DEH, taken from the Witjira National Park Management Plan 2009), (d) aerial shot of a large spring at Doongmabulla in the Moses complex, Barcaldine supergroup, Queensland (photograph: Roderick Fensham), (e) large spring in the Yowah complex, Eulo supergroup, Queensland (photograph: Roderick Fensham).</w:t>
      </w:r>
    </w:p>
    <w:p w14:paraId="1D48D864" w14:textId="77777777" w:rsidR="0044478E" w:rsidRPr="00747E35" w:rsidRDefault="0044478E" w:rsidP="0044478E">
      <w:pPr>
        <w:rPr>
          <w:rFonts w:asciiTheme="minorHAnsi" w:hAnsiTheme="minorHAnsi" w:cstheme="minorHAnsi"/>
        </w:rPr>
      </w:pPr>
    </w:p>
    <w:p w14:paraId="0EA2410F" w14:textId="00146850" w:rsidR="0044478E" w:rsidRPr="00747E35" w:rsidRDefault="0044478E" w:rsidP="0044478E">
      <w:pPr>
        <w:pStyle w:val="Heading3"/>
        <w:rPr>
          <w:rFonts w:asciiTheme="minorHAnsi" w:hAnsiTheme="minorHAnsi" w:cstheme="minorHAnsi"/>
        </w:rPr>
      </w:pPr>
      <w:bookmarkStart w:id="390" w:name="_Toc467244819"/>
      <w:bookmarkStart w:id="391" w:name="_Toc470004901"/>
      <w:r w:rsidRPr="00747E35">
        <w:rPr>
          <w:rFonts w:asciiTheme="minorHAnsi" w:hAnsiTheme="minorHAnsi" w:cstheme="minorHAnsi"/>
        </w:rPr>
        <w:t>Approach</w:t>
      </w:r>
      <w:bookmarkEnd w:id="390"/>
      <w:bookmarkEnd w:id="391"/>
    </w:p>
    <w:p w14:paraId="01A68FEE"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t>Data acquisition</w:t>
      </w:r>
    </w:p>
    <w:p w14:paraId="6DEC48C4" w14:textId="72F5CB92" w:rsidR="0044478E" w:rsidRPr="00747E35" w:rsidRDefault="0044478E" w:rsidP="0044478E">
      <w:pPr>
        <w:rPr>
          <w:rFonts w:asciiTheme="minorHAnsi" w:hAnsiTheme="minorHAnsi" w:cstheme="minorHAnsi"/>
        </w:rPr>
      </w:pPr>
      <w:r w:rsidRPr="00747E35">
        <w:rPr>
          <w:rFonts w:asciiTheme="minorHAnsi" w:hAnsiTheme="minorHAnsi" w:cstheme="minorHAnsi"/>
          <w:b/>
        </w:rPr>
        <w:tab/>
      </w:r>
      <w:r w:rsidRPr="00747E35">
        <w:rPr>
          <w:rFonts w:asciiTheme="minorHAnsi" w:hAnsiTheme="minorHAnsi" w:cstheme="minorHAnsi"/>
        </w:rPr>
        <w:t>Our review focus</w:t>
      </w:r>
      <w:r w:rsidR="00593412" w:rsidRPr="00747E35">
        <w:rPr>
          <w:rFonts w:asciiTheme="minorHAnsi" w:hAnsiTheme="minorHAnsi" w:cstheme="minorHAnsi"/>
        </w:rPr>
        <w:t>s</w:t>
      </w:r>
      <w:r w:rsidRPr="00747E35">
        <w:rPr>
          <w:rFonts w:asciiTheme="minorHAnsi" w:hAnsiTheme="minorHAnsi" w:cstheme="minorHAnsi"/>
        </w:rPr>
        <w:t xml:space="preserve">ed on five groups of organisms (fishes, molluscs, amphipods, isopods and plants) as an initial review suggested the availability of data and taxonomic refinement in other taxonomic groups that potentially include endemic species (e.g. Acari, Platyhelminthes, Arachnida and Insecta) was not sufficient.  Data used for this review came from a range of sources.  Information regarding springs, their location and their current dormancy status was taken primarily from two publically available databases - the Lake Eyre Basin Springs Assessment (LEBSA) available through the Queensland Government and WaterConnect via the South Australian government.  Information regarding endemic species and their </w:t>
      </w:r>
      <w:r w:rsidRPr="00747E35">
        <w:rPr>
          <w:rFonts w:asciiTheme="minorHAnsi" w:hAnsiTheme="minorHAnsi" w:cstheme="minorHAnsi"/>
        </w:rPr>
        <w:lastRenderedPageBreak/>
        <w:t>distribution was acquired either from these databases, literature review and expert consultation (see below for method).  The source for information from spatial layers (such as land-use types, locations of conservation reserves etc.) is provided below.</w:t>
      </w:r>
    </w:p>
    <w:p w14:paraId="1CB086F6" w14:textId="77777777" w:rsidR="0044478E" w:rsidRPr="00747E35" w:rsidRDefault="0044478E" w:rsidP="0044478E">
      <w:pPr>
        <w:rPr>
          <w:rFonts w:asciiTheme="minorHAnsi" w:hAnsiTheme="minorHAnsi" w:cstheme="minorHAnsi"/>
        </w:rPr>
      </w:pPr>
    </w:p>
    <w:p w14:paraId="3B363ED8"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t>Location and environmental characteristics of spring complexes</w:t>
      </w:r>
    </w:p>
    <w:p w14:paraId="2B15B624"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 xml:space="preserve">We compiled a database of GAB springs with information sourced from the Lake Eyre Basin Springs Assessment and WaterConnect via the South Australian government.  This data comprised spring data recorded as individual spring vents. Each spring vent has been allocated a spring wetland ID such that a collection of spring vents forms a spring wetland. “Non-GAB” springs and ‘recharge’ springs were removed prior to analysis and we focussed only on those identified as ‘discharge’ springs.  Non-discharge springs were excluded from the analysis as they do not form part of the threatened ecological community listed under the EPBC, because they generally lack endemic taxa and because knowledge regarding their distribution is still rudimentary (for reviews of their characteristics compared to discharge springs, see Fensham et al. (2011) and Silcock et al. (2016)).  </w:t>
      </w:r>
    </w:p>
    <w:p w14:paraId="7AF95C77"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Individual spring wetlands can have multiple vents but the primary unit for analysis was the spring wetland, and thus springs with multiple vents were only included as a single location (total of 6,308 spring wetlands) which was determined as the centroid of a minimum-bounding polygon constructed around all vents in that spring.  Spring complexes (i.e. collections of springs) were also delineated with a minimum-bounding polygon surrounding all springs attributed as belonging to each spring complex.  These polygons were then used to calculate a complex centroid and an estimate of complex area as a surrogate for total wetland area (ideally we would have summed the wetted area for all spring wetlands within each complex, but these data were unavailable or inconsistently and infrequently estimated for many of the 6,308 springs).  The final dataset contained 326 spring complexes.</w:t>
      </w:r>
    </w:p>
    <w:p w14:paraId="4B5D35D2" w14:textId="4E1A96A4" w:rsidR="0044478E" w:rsidRPr="00747E35" w:rsidRDefault="0044478E" w:rsidP="0044478E">
      <w:pPr>
        <w:rPr>
          <w:rFonts w:asciiTheme="minorHAnsi" w:hAnsiTheme="minorHAnsi" w:cstheme="minorHAnsi"/>
        </w:rPr>
      </w:pPr>
      <w:r w:rsidRPr="00747E35">
        <w:rPr>
          <w:rFonts w:asciiTheme="minorHAnsi" w:hAnsiTheme="minorHAnsi" w:cstheme="minorHAnsi"/>
        </w:rPr>
        <w:t>Environmental characteristics of spring complexes included measures of: spring surface water persistence; relative spatial proximity and hydrologic connectivity, and climate, landscape topography and primary productivity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_Ref453232147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33</w:t>
      </w:r>
      <w:r w:rsidRPr="00747E35">
        <w:rPr>
          <w:rFonts w:asciiTheme="minorHAnsi" w:hAnsiTheme="minorHAnsi" w:cstheme="minorHAnsi"/>
        </w:rPr>
        <w:fldChar w:fldCharType="end"/>
      </w:r>
      <w:r w:rsidRPr="00747E35">
        <w:rPr>
          <w:rFonts w:asciiTheme="minorHAnsi" w:hAnsiTheme="minorHAnsi" w:cstheme="minorHAnsi"/>
        </w:rPr>
        <w:t xml:space="preserve">).  Spatial proximity of complexes to one another was estimated as the euclidean distance between all 326 spring complex centroids (as the crow flies), and averaged for each complex.  Two measures of hydrologic connectivity among complexes were developed: drainage line connectivity and surface water inundation connectivity.  Drainage line connectivity (akin to the ‘landscape resistance distance’ measures employed by </w:t>
      </w:r>
      <w:r w:rsidR="00A15951" w:rsidRPr="00925BFC">
        <w:rPr>
          <w:rFonts w:asciiTheme="minorHAnsi" w:hAnsiTheme="minorHAnsi"/>
        </w:rPr>
        <w:t>Morán-Ordóñez</w:t>
      </w:r>
      <w:r w:rsidR="00A15951" w:rsidRPr="002E4D83">
        <w:rPr>
          <w:rFonts w:asciiTheme="minorHAnsi" w:hAnsiTheme="minorHAnsi"/>
        </w:rPr>
        <w:t xml:space="preserve"> </w:t>
      </w:r>
      <w:r w:rsidRPr="00747E35">
        <w:rPr>
          <w:rFonts w:asciiTheme="minorHAnsi" w:hAnsiTheme="minorHAnsi" w:cstheme="minorHAnsi"/>
        </w:rPr>
        <w:t>et al. 2015) utilized the DEM-derived drainage network (Stein et al. 2014) and the ArcGIS Network Analyst tool to construct a table of hydrologic distances between all 6,308 spring wetland polygons across all complexes.  For each of the 326 complexes, the number of all other complexes that it was connected to via at least one hydrologic (stream network) connection between spring polygons within each respective complex, was summed.  Similarly, surface water inundation connectivity utilized the ‘Water Observations from Space’ (WOfS) data set (Mueller et al. 2016) and the 6,308 spring wetland centroids which were intersected with the WOfS data set.  As for drainage line connectivity, surface water connectivity for each of the 326 complexes was calculated as the number of all other complexes that it was connected to via at least one hydrologic (inundated area) connection between spring centroids within each respective complex.  As well as the frequency of hydrologic connections among spring complexes, we also calculated the average hydrologic distance among connected complexes using the drainage line connectivity and surface water inundation connectivity datasets.</w:t>
      </w:r>
    </w:p>
    <w:p w14:paraId="51E6850A"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br w:type="page"/>
      </w:r>
    </w:p>
    <w:p w14:paraId="138AC2FA" w14:textId="6D11EFC3" w:rsidR="0044478E" w:rsidRPr="00747E35" w:rsidRDefault="0044478E" w:rsidP="00566456">
      <w:pPr>
        <w:pStyle w:val="Caption"/>
        <w:numPr>
          <w:ilvl w:val="0"/>
          <w:numId w:val="0"/>
        </w:numPr>
        <w:rPr>
          <w:rFonts w:cstheme="minorHAnsi"/>
        </w:rPr>
      </w:pPr>
      <w:bookmarkStart w:id="392" w:name="_Ref453232147"/>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33</w:t>
      </w:r>
      <w:r w:rsidR="009D6600" w:rsidRPr="00747E35">
        <w:rPr>
          <w:rFonts w:cstheme="minorHAnsi"/>
          <w:noProof/>
        </w:rPr>
        <w:fldChar w:fldCharType="end"/>
      </w:r>
      <w:bookmarkEnd w:id="392"/>
      <w:r w:rsidRPr="00747E35">
        <w:rPr>
          <w:rFonts w:cstheme="minorHAnsi"/>
        </w:rPr>
        <w:t>: Environmental attributes of spring complexes hypothesised to be ecologically important determinants of the distribution of endemic flora and fauna. Attributes were used as candidate predictor variables in explanatory models of biodiversity attributes and species distributions. An explanation and method of derivation for each attribute is given. The location, complex membership and physical characteristics of vent/springs are sourced from Lake Eyre Basin Springs Assessment datasets. Climate, topography and primary productivity data sourced from Stein et al</w:t>
      </w:r>
      <w:r w:rsidR="00A15951">
        <w:rPr>
          <w:rFonts w:cstheme="minorHAnsi"/>
        </w:rPr>
        <w:t>.</w:t>
      </w:r>
      <w:r w:rsidRPr="00747E35">
        <w:rPr>
          <w:rFonts w:cstheme="minorHAnsi"/>
        </w:rPr>
        <w:t xml:space="preserve"> (2014). Water Observations from Space data set sourced from Mueller et al. (2016).</w:t>
      </w:r>
    </w:p>
    <w:tbl>
      <w:tblPr>
        <w:tblW w:w="9639" w:type="dxa"/>
        <w:tblLayout w:type="fixed"/>
        <w:tblLook w:val="04A0" w:firstRow="1" w:lastRow="0" w:firstColumn="1" w:lastColumn="0" w:noHBand="0" w:noVBand="1"/>
      </w:tblPr>
      <w:tblGrid>
        <w:gridCol w:w="2410"/>
        <w:gridCol w:w="992"/>
        <w:gridCol w:w="6237"/>
      </w:tblGrid>
      <w:tr w:rsidR="0044478E" w:rsidRPr="00747E35" w14:paraId="3A334438" w14:textId="77777777" w:rsidTr="00B004E4">
        <w:trPr>
          <w:trHeight w:val="20"/>
          <w:tblHeader/>
        </w:trPr>
        <w:tc>
          <w:tcPr>
            <w:tcW w:w="2410" w:type="dxa"/>
            <w:tcBorders>
              <w:top w:val="single" w:sz="4" w:space="0" w:color="auto"/>
              <w:left w:val="nil"/>
              <w:bottom w:val="single" w:sz="4" w:space="0" w:color="auto"/>
              <w:right w:val="nil"/>
            </w:tcBorders>
            <w:shd w:val="clear" w:color="auto" w:fill="DEEAF6" w:themeFill="accent1" w:themeFillTint="33"/>
            <w:noWrap/>
            <w:vAlign w:val="bottom"/>
            <w:hideMark/>
          </w:tcPr>
          <w:p w14:paraId="4D66AB57"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Environmental attribute</w:t>
            </w:r>
          </w:p>
        </w:tc>
        <w:tc>
          <w:tcPr>
            <w:tcW w:w="992" w:type="dxa"/>
            <w:tcBorders>
              <w:top w:val="single" w:sz="4" w:space="0" w:color="auto"/>
              <w:left w:val="nil"/>
              <w:bottom w:val="single" w:sz="4" w:space="0" w:color="auto"/>
              <w:right w:val="nil"/>
            </w:tcBorders>
            <w:shd w:val="clear" w:color="auto" w:fill="DEEAF6" w:themeFill="accent1" w:themeFillTint="33"/>
            <w:vAlign w:val="bottom"/>
          </w:tcPr>
          <w:p w14:paraId="76C7FD1F"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Unit</w:t>
            </w:r>
          </w:p>
        </w:tc>
        <w:tc>
          <w:tcPr>
            <w:tcW w:w="6237" w:type="dxa"/>
            <w:tcBorders>
              <w:top w:val="single" w:sz="4" w:space="0" w:color="auto"/>
              <w:left w:val="nil"/>
              <w:bottom w:val="single" w:sz="4" w:space="0" w:color="auto"/>
              <w:right w:val="nil"/>
            </w:tcBorders>
            <w:shd w:val="clear" w:color="auto" w:fill="DEEAF6" w:themeFill="accent1" w:themeFillTint="33"/>
            <w:vAlign w:val="bottom"/>
          </w:tcPr>
          <w:p w14:paraId="71468A44"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Explanation and method of derivation</w:t>
            </w:r>
          </w:p>
        </w:tc>
      </w:tr>
      <w:tr w:rsidR="0044478E" w:rsidRPr="00747E35" w14:paraId="4BBDC1FC" w14:textId="77777777" w:rsidTr="0044478E">
        <w:trPr>
          <w:trHeight w:val="20"/>
        </w:trPr>
        <w:tc>
          <w:tcPr>
            <w:tcW w:w="2410" w:type="dxa"/>
            <w:tcBorders>
              <w:top w:val="single" w:sz="4" w:space="0" w:color="auto"/>
              <w:left w:val="nil"/>
              <w:bottom w:val="single" w:sz="4" w:space="0" w:color="D9D9D9" w:themeColor="background1" w:themeShade="D9"/>
              <w:right w:val="nil"/>
            </w:tcBorders>
            <w:shd w:val="clear" w:color="auto" w:fill="auto"/>
            <w:noWrap/>
          </w:tcPr>
          <w:p w14:paraId="5BCCF960" w14:textId="77777777" w:rsidR="0044478E" w:rsidRPr="00747E35" w:rsidRDefault="0044478E" w:rsidP="0044478E">
            <w:pPr>
              <w:pStyle w:val="Tabletext"/>
              <w:spacing w:before="0" w:after="0"/>
              <w:rPr>
                <w:rFonts w:cstheme="minorHAnsi"/>
                <w:i/>
                <w:lang w:eastAsia="en-AU"/>
              </w:rPr>
            </w:pPr>
            <w:r w:rsidRPr="00747E35">
              <w:rPr>
                <w:rFonts w:cstheme="minorHAnsi"/>
                <w:i/>
                <w:lang w:eastAsia="en-AU"/>
              </w:rPr>
              <w:t>Complex size</w:t>
            </w:r>
          </w:p>
        </w:tc>
        <w:tc>
          <w:tcPr>
            <w:tcW w:w="992" w:type="dxa"/>
            <w:tcBorders>
              <w:top w:val="single" w:sz="4" w:space="0" w:color="auto"/>
              <w:left w:val="nil"/>
              <w:bottom w:val="single" w:sz="4" w:space="0" w:color="D9D9D9" w:themeColor="background1" w:themeShade="D9"/>
              <w:right w:val="nil"/>
            </w:tcBorders>
            <w:shd w:val="clear" w:color="auto" w:fill="auto"/>
            <w:noWrap/>
          </w:tcPr>
          <w:p w14:paraId="6187BA54" w14:textId="77777777" w:rsidR="0044478E" w:rsidRPr="00747E35" w:rsidRDefault="0044478E" w:rsidP="0044478E">
            <w:pPr>
              <w:pStyle w:val="Tabletext"/>
              <w:spacing w:before="0" w:after="0"/>
              <w:rPr>
                <w:rFonts w:cstheme="minorHAnsi"/>
                <w:lang w:eastAsia="en-AU"/>
              </w:rPr>
            </w:pPr>
          </w:p>
        </w:tc>
        <w:tc>
          <w:tcPr>
            <w:tcW w:w="6237" w:type="dxa"/>
            <w:tcBorders>
              <w:top w:val="single" w:sz="4" w:space="0" w:color="auto"/>
              <w:left w:val="nil"/>
              <w:bottom w:val="single" w:sz="4" w:space="0" w:color="D9D9D9" w:themeColor="background1" w:themeShade="D9"/>
              <w:right w:val="nil"/>
            </w:tcBorders>
            <w:shd w:val="clear" w:color="auto" w:fill="auto"/>
            <w:noWrap/>
          </w:tcPr>
          <w:p w14:paraId="2F041C4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Represents potential likelihood of supporting greater number of species (based on species-area relationship theory)</w:t>
            </w:r>
          </w:p>
        </w:tc>
      </w:tr>
      <w:tr w:rsidR="0044478E" w:rsidRPr="00747E35" w14:paraId="64DD64E1" w14:textId="77777777" w:rsidTr="0044478E">
        <w:trPr>
          <w:trHeight w:val="20"/>
        </w:trPr>
        <w:tc>
          <w:tcPr>
            <w:tcW w:w="2410" w:type="dxa"/>
            <w:tcBorders>
              <w:top w:val="single" w:sz="4" w:space="0" w:color="D9D9D9" w:themeColor="background1" w:themeShade="D9"/>
              <w:left w:val="nil"/>
              <w:bottom w:val="single" w:sz="4" w:space="0" w:color="D9D9D9" w:themeColor="background1" w:themeShade="D9"/>
              <w:right w:val="nil"/>
            </w:tcBorders>
            <w:shd w:val="clear" w:color="auto" w:fill="auto"/>
            <w:noWrap/>
            <w:hideMark/>
          </w:tcPr>
          <w:p w14:paraId="49C7B37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Total number of springs per complex</w:t>
            </w:r>
          </w:p>
        </w:tc>
        <w:tc>
          <w:tcPr>
            <w:tcW w:w="992"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0D3DC58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count</w:t>
            </w:r>
          </w:p>
        </w:tc>
        <w:tc>
          <w:tcPr>
            <w:tcW w:w="6237"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15CFEDA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Total number of springs per complex</w:t>
            </w:r>
          </w:p>
        </w:tc>
      </w:tr>
      <w:tr w:rsidR="0044478E" w:rsidRPr="00747E35" w14:paraId="1CB4DF9B" w14:textId="77777777" w:rsidTr="0044478E">
        <w:trPr>
          <w:trHeight w:val="20"/>
        </w:trPr>
        <w:tc>
          <w:tcPr>
            <w:tcW w:w="2410" w:type="dxa"/>
            <w:tcBorders>
              <w:top w:val="single" w:sz="4" w:space="0" w:color="D9D9D9" w:themeColor="background1" w:themeShade="D9"/>
              <w:left w:val="nil"/>
              <w:bottom w:val="single" w:sz="4" w:space="0" w:color="auto"/>
              <w:right w:val="nil"/>
            </w:tcBorders>
            <w:shd w:val="clear" w:color="auto" w:fill="auto"/>
            <w:noWrap/>
            <w:hideMark/>
          </w:tcPr>
          <w:p w14:paraId="1C73E89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Total complex area</w:t>
            </w:r>
          </w:p>
        </w:tc>
        <w:tc>
          <w:tcPr>
            <w:tcW w:w="992" w:type="dxa"/>
            <w:tcBorders>
              <w:top w:val="single" w:sz="4" w:space="0" w:color="D9D9D9" w:themeColor="background1" w:themeShade="D9"/>
              <w:left w:val="nil"/>
              <w:bottom w:val="single" w:sz="4" w:space="0" w:color="auto"/>
              <w:right w:val="nil"/>
            </w:tcBorders>
            <w:shd w:val="clear" w:color="auto" w:fill="auto"/>
            <w:noWrap/>
          </w:tcPr>
          <w:p w14:paraId="25AE2B4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ha</w:t>
            </w:r>
          </w:p>
        </w:tc>
        <w:tc>
          <w:tcPr>
            <w:tcW w:w="6237" w:type="dxa"/>
            <w:tcBorders>
              <w:top w:val="single" w:sz="4" w:space="0" w:color="D9D9D9" w:themeColor="background1" w:themeShade="D9"/>
              <w:left w:val="nil"/>
              <w:bottom w:val="single" w:sz="4" w:space="0" w:color="auto"/>
              <w:right w:val="nil"/>
            </w:tcBorders>
            <w:shd w:val="clear" w:color="auto" w:fill="auto"/>
            <w:noWrap/>
          </w:tcPr>
          <w:p w14:paraId="25BE9DB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Total complex area estimated by calculating a minimum area polygon around spring centroids within each complex</w:t>
            </w:r>
          </w:p>
        </w:tc>
      </w:tr>
      <w:tr w:rsidR="0044478E" w:rsidRPr="00747E35" w14:paraId="2BBDB379" w14:textId="77777777" w:rsidTr="0044478E">
        <w:trPr>
          <w:trHeight w:val="20"/>
        </w:trPr>
        <w:tc>
          <w:tcPr>
            <w:tcW w:w="2410" w:type="dxa"/>
            <w:tcBorders>
              <w:top w:val="single" w:sz="4" w:space="0" w:color="auto"/>
              <w:left w:val="nil"/>
              <w:bottom w:val="single" w:sz="4" w:space="0" w:color="D9D9D9" w:themeColor="background1" w:themeShade="D9"/>
              <w:right w:val="nil"/>
            </w:tcBorders>
            <w:shd w:val="clear" w:color="auto" w:fill="auto"/>
            <w:noWrap/>
          </w:tcPr>
          <w:p w14:paraId="61F2EF49" w14:textId="77777777" w:rsidR="0044478E" w:rsidRPr="00747E35" w:rsidRDefault="0044478E" w:rsidP="0044478E">
            <w:pPr>
              <w:pStyle w:val="Tabletext"/>
              <w:spacing w:before="0" w:after="0"/>
              <w:rPr>
                <w:rFonts w:cstheme="minorHAnsi"/>
                <w:i/>
                <w:lang w:eastAsia="en-AU"/>
              </w:rPr>
            </w:pPr>
            <w:r w:rsidRPr="00747E35">
              <w:rPr>
                <w:rFonts w:cstheme="minorHAnsi"/>
                <w:i/>
                <w:lang w:eastAsia="en-AU"/>
              </w:rPr>
              <w:t>Physical characteristics</w:t>
            </w:r>
          </w:p>
        </w:tc>
        <w:tc>
          <w:tcPr>
            <w:tcW w:w="992" w:type="dxa"/>
            <w:tcBorders>
              <w:top w:val="single" w:sz="4" w:space="0" w:color="auto"/>
              <w:left w:val="nil"/>
              <w:bottom w:val="single" w:sz="4" w:space="0" w:color="D9D9D9" w:themeColor="background1" w:themeShade="D9"/>
              <w:right w:val="nil"/>
            </w:tcBorders>
            <w:shd w:val="clear" w:color="auto" w:fill="auto"/>
            <w:noWrap/>
          </w:tcPr>
          <w:p w14:paraId="3FD2A347" w14:textId="77777777" w:rsidR="0044478E" w:rsidRPr="00747E35" w:rsidRDefault="0044478E" w:rsidP="0044478E">
            <w:pPr>
              <w:pStyle w:val="Tabletext"/>
              <w:spacing w:before="0" w:after="0"/>
              <w:rPr>
                <w:rFonts w:cstheme="minorHAnsi"/>
                <w:lang w:eastAsia="en-AU"/>
              </w:rPr>
            </w:pPr>
          </w:p>
        </w:tc>
        <w:tc>
          <w:tcPr>
            <w:tcW w:w="6237" w:type="dxa"/>
            <w:tcBorders>
              <w:top w:val="single" w:sz="4" w:space="0" w:color="auto"/>
              <w:left w:val="nil"/>
              <w:bottom w:val="single" w:sz="4" w:space="0" w:color="D9D9D9" w:themeColor="background1" w:themeShade="D9"/>
              <w:right w:val="nil"/>
            </w:tcBorders>
            <w:shd w:val="clear" w:color="auto" w:fill="auto"/>
            <w:noWrap/>
          </w:tcPr>
          <w:p w14:paraId="0ECEB9E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xml:space="preserve">Description of the surface composition and general morphology of spring vents (derived from field surveys of 170 Qld complexes only, equivalent information unavailable for SA) </w:t>
            </w:r>
          </w:p>
        </w:tc>
      </w:tr>
      <w:tr w:rsidR="0044478E" w:rsidRPr="00747E35" w14:paraId="13727283" w14:textId="77777777" w:rsidTr="0044478E">
        <w:trPr>
          <w:trHeight w:val="20"/>
        </w:trPr>
        <w:tc>
          <w:tcPr>
            <w:tcW w:w="2410"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279AEE6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Dominant surface composition of vents</w:t>
            </w:r>
          </w:p>
        </w:tc>
        <w:tc>
          <w:tcPr>
            <w:tcW w:w="992"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7DB940F4" w14:textId="77777777" w:rsidR="0044478E" w:rsidRPr="00747E35" w:rsidRDefault="0044478E" w:rsidP="0044478E">
            <w:pPr>
              <w:pStyle w:val="Tabletext"/>
              <w:spacing w:before="0" w:after="0"/>
              <w:rPr>
                <w:rFonts w:cstheme="minorHAnsi"/>
                <w:i/>
                <w:lang w:eastAsia="en-AU"/>
              </w:rPr>
            </w:pPr>
            <w:r w:rsidRPr="00747E35">
              <w:rPr>
                <w:rFonts w:cstheme="minorHAnsi"/>
                <w:lang w:eastAsia="en-AU"/>
              </w:rPr>
              <w:t>% of vents per complex</w:t>
            </w:r>
          </w:p>
        </w:tc>
        <w:tc>
          <w:tcPr>
            <w:tcW w:w="6237"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46FDD8C9"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Categorical description of the dominant surface composition of the vent as either Peat, Mud (exuded), Rocky seep (fractured), Sand/Silt, Carbonate (travertine) or Water/soak</w:t>
            </w:r>
          </w:p>
        </w:tc>
      </w:tr>
      <w:tr w:rsidR="0044478E" w:rsidRPr="00747E35" w14:paraId="477D786D" w14:textId="77777777" w:rsidTr="0044478E">
        <w:trPr>
          <w:trHeight w:val="20"/>
        </w:trPr>
        <w:tc>
          <w:tcPr>
            <w:tcW w:w="2410" w:type="dxa"/>
            <w:tcBorders>
              <w:top w:val="single" w:sz="4" w:space="0" w:color="D9D9D9" w:themeColor="background1" w:themeShade="D9"/>
              <w:left w:val="nil"/>
              <w:bottom w:val="single" w:sz="4" w:space="0" w:color="auto"/>
              <w:right w:val="nil"/>
            </w:tcBorders>
            <w:shd w:val="clear" w:color="auto" w:fill="auto"/>
            <w:noWrap/>
          </w:tcPr>
          <w:p w14:paraId="289FB6C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General morphology of vents</w:t>
            </w:r>
          </w:p>
        </w:tc>
        <w:tc>
          <w:tcPr>
            <w:tcW w:w="992" w:type="dxa"/>
            <w:tcBorders>
              <w:top w:val="single" w:sz="4" w:space="0" w:color="D9D9D9" w:themeColor="background1" w:themeShade="D9"/>
              <w:left w:val="nil"/>
              <w:bottom w:val="single" w:sz="4" w:space="0" w:color="auto"/>
              <w:right w:val="nil"/>
            </w:tcBorders>
            <w:shd w:val="clear" w:color="auto" w:fill="auto"/>
            <w:noWrap/>
          </w:tcPr>
          <w:p w14:paraId="1232AF35" w14:textId="77777777" w:rsidR="0044478E" w:rsidRPr="00747E35" w:rsidRDefault="0044478E" w:rsidP="0044478E">
            <w:pPr>
              <w:pStyle w:val="Tabletext"/>
              <w:spacing w:before="0" w:after="0"/>
              <w:rPr>
                <w:rFonts w:cstheme="minorHAnsi"/>
                <w:i/>
                <w:lang w:eastAsia="en-AU"/>
              </w:rPr>
            </w:pPr>
            <w:r w:rsidRPr="00747E35">
              <w:rPr>
                <w:rFonts w:cstheme="minorHAnsi"/>
                <w:lang w:eastAsia="en-AU"/>
              </w:rPr>
              <w:t>% of vents per complex</w:t>
            </w:r>
          </w:p>
        </w:tc>
        <w:tc>
          <w:tcPr>
            <w:tcW w:w="6237" w:type="dxa"/>
            <w:tcBorders>
              <w:top w:val="single" w:sz="4" w:space="0" w:color="D9D9D9" w:themeColor="background1" w:themeShade="D9"/>
              <w:left w:val="nil"/>
              <w:bottom w:val="single" w:sz="4" w:space="0" w:color="auto"/>
              <w:right w:val="nil"/>
            </w:tcBorders>
            <w:shd w:val="clear" w:color="auto" w:fill="auto"/>
            <w:noWrap/>
          </w:tcPr>
          <w:p w14:paraId="3D78345C"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Categorical description of the general morphology of the vent as either Mound, Flat, Closed depression (concave), Open depression (watercourse) bed, Open depression (watercourse) bank or Terraced.</w:t>
            </w:r>
          </w:p>
        </w:tc>
      </w:tr>
      <w:tr w:rsidR="0044478E" w:rsidRPr="00747E35" w14:paraId="30B51E56" w14:textId="77777777" w:rsidTr="0044478E">
        <w:trPr>
          <w:trHeight w:val="20"/>
        </w:trPr>
        <w:tc>
          <w:tcPr>
            <w:tcW w:w="2410" w:type="dxa"/>
            <w:tcBorders>
              <w:top w:val="single" w:sz="4" w:space="0" w:color="auto"/>
              <w:left w:val="nil"/>
              <w:bottom w:val="single" w:sz="4" w:space="0" w:color="D9D9D9" w:themeColor="background1" w:themeShade="D9"/>
              <w:right w:val="nil"/>
            </w:tcBorders>
            <w:shd w:val="clear" w:color="auto" w:fill="auto"/>
            <w:noWrap/>
          </w:tcPr>
          <w:p w14:paraId="3381C09F" w14:textId="77777777" w:rsidR="0044478E" w:rsidRPr="00747E35" w:rsidRDefault="0044478E" w:rsidP="0044478E">
            <w:pPr>
              <w:pStyle w:val="Tabletext"/>
              <w:spacing w:before="0" w:after="0"/>
              <w:rPr>
                <w:rFonts w:cstheme="minorHAnsi"/>
                <w:i/>
                <w:lang w:eastAsia="en-AU"/>
              </w:rPr>
            </w:pPr>
            <w:r w:rsidRPr="00747E35">
              <w:rPr>
                <w:rFonts w:cstheme="minorHAnsi"/>
                <w:i/>
                <w:lang w:eastAsia="en-AU"/>
              </w:rPr>
              <w:t>Spatial proximity and hydrologic connectivity</w:t>
            </w:r>
          </w:p>
        </w:tc>
        <w:tc>
          <w:tcPr>
            <w:tcW w:w="992" w:type="dxa"/>
            <w:tcBorders>
              <w:top w:val="single" w:sz="4" w:space="0" w:color="auto"/>
              <w:left w:val="nil"/>
              <w:bottom w:val="single" w:sz="4" w:space="0" w:color="D9D9D9" w:themeColor="background1" w:themeShade="D9"/>
              <w:right w:val="nil"/>
            </w:tcBorders>
            <w:shd w:val="clear" w:color="auto" w:fill="auto"/>
            <w:noWrap/>
          </w:tcPr>
          <w:p w14:paraId="13C75122" w14:textId="77777777" w:rsidR="0044478E" w:rsidRPr="00747E35" w:rsidRDefault="0044478E" w:rsidP="0044478E">
            <w:pPr>
              <w:pStyle w:val="Tabletext"/>
              <w:spacing w:before="0" w:after="0"/>
              <w:rPr>
                <w:rFonts w:cstheme="minorHAnsi"/>
                <w:i/>
                <w:lang w:eastAsia="en-AU"/>
              </w:rPr>
            </w:pPr>
          </w:p>
        </w:tc>
        <w:tc>
          <w:tcPr>
            <w:tcW w:w="6237" w:type="dxa"/>
            <w:tcBorders>
              <w:top w:val="single" w:sz="4" w:space="0" w:color="auto"/>
              <w:left w:val="nil"/>
              <w:bottom w:val="single" w:sz="4" w:space="0" w:color="D9D9D9" w:themeColor="background1" w:themeShade="D9"/>
              <w:right w:val="nil"/>
            </w:tcBorders>
            <w:shd w:val="clear" w:color="auto" w:fill="auto"/>
            <w:noWrap/>
          </w:tcPr>
          <w:p w14:paraId="60802FC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Represent surrogates for biogeographic and ecological mechanisms that influence species distributions (e.g. via dispersal and recolonization processes)</w:t>
            </w:r>
          </w:p>
        </w:tc>
      </w:tr>
      <w:tr w:rsidR="0044478E" w:rsidRPr="00747E35" w14:paraId="198EA198" w14:textId="77777777" w:rsidTr="0044478E">
        <w:trPr>
          <w:trHeight w:val="20"/>
        </w:trPr>
        <w:tc>
          <w:tcPr>
            <w:tcW w:w="2410" w:type="dxa"/>
            <w:tcBorders>
              <w:top w:val="single" w:sz="4" w:space="0" w:color="D9D9D9" w:themeColor="background1" w:themeShade="D9"/>
              <w:left w:val="nil"/>
              <w:bottom w:val="single" w:sz="4" w:space="0" w:color="D9D9D9" w:themeColor="background1" w:themeShade="D9"/>
              <w:right w:val="nil"/>
            </w:tcBorders>
            <w:shd w:val="clear" w:color="auto" w:fill="auto"/>
            <w:noWrap/>
            <w:hideMark/>
          </w:tcPr>
          <w:p w14:paraId="2F59A28F"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Mean Euclidean distance</w:t>
            </w:r>
          </w:p>
        </w:tc>
        <w:tc>
          <w:tcPr>
            <w:tcW w:w="992"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1CBE0F35" w14:textId="77777777" w:rsidR="0044478E" w:rsidRPr="00747E35" w:rsidRDefault="0044478E" w:rsidP="0044478E">
            <w:pPr>
              <w:pStyle w:val="Tabletext"/>
              <w:spacing w:before="0" w:after="0"/>
              <w:rPr>
                <w:rFonts w:cstheme="minorHAnsi"/>
                <w:lang w:eastAsia="en-AU"/>
              </w:rPr>
            </w:pPr>
            <w:r w:rsidRPr="00747E35">
              <w:rPr>
                <w:rFonts w:cstheme="minorHAnsi"/>
              </w:rPr>
              <w:t>km</w:t>
            </w:r>
          </w:p>
        </w:tc>
        <w:tc>
          <w:tcPr>
            <w:tcW w:w="6237"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425A342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Average Euclidian distance between each complex and all other complexes (higher number = more isolated)</w:t>
            </w:r>
          </w:p>
        </w:tc>
      </w:tr>
      <w:tr w:rsidR="0044478E" w:rsidRPr="00747E35" w14:paraId="3FB04EAB" w14:textId="77777777" w:rsidTr="0044478E">
        <w:trPr>
          <w:trHeight w:val="20"/>
        </w:trPr>
        <w:tc>
          <w:tcPr>
            <w:tcW w:w="2410"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0FDA0243" w14:textId="77777777" w:rsidR="0044478E" w:rsidRPr="00747E35" w:rsidRDefault="0044478E" w:rsidP="0044478E">
            <w:pPr>
              <w:pStyle w:val="Tabletext"/>
              <w:spacing w:before="0" w:after="0"/>
              <w:rPr>
                <w:rFonts w:cstheme="minorHAnsi"/>
                <w:color w:val="000000"/>
                <w:lang w:eastAsia="en-AU"/>
              </w:rPr>
            </w:pPr>
            <w:r w:rsidRPr="00747E35">
              <w:rPr>
                <w:rFonts w:cstheme="minorHAnsi"/>
              </w:rPr>
              <w:t>Count connected by drainage network</w:t>
            </w:r>
          </w:p>
        </w:tc>
        <w:tc>
          <w:tcPr>
            <w:tcW w:w="992"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3995871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count</w:t>
            </w:r>
          </w:p>
        </w:tc>
        <w:tc>
          <w:tcPr>
            <w:tcW w:w="6237"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386CC43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Count of the number of complexes that are connected to a given complex via the 9” DEM derived drainage network (lower number = more isolated)</w:t>
            </w:r>
          </w:p>
        </w:tc>
      </w:tr>
      <w:tr w:rsidR="0044478E" w:rsidRPr="00747E35" w14:paraId="1CE3AB2B" w14:textId="77777777" w:rsidTr="0044478E">
        <w:trPr>
          <w:trHeight w:val="20"/>
        </w:trPr>
        <w:tc>
          <w:tcPr>
            <w:tcW w:w="2410"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69C6C40B" w14:textId="77777777" w:rsidR="0044478E" w:rsidRPr="00747E35" w:rsidRDefault="0044478E" w:rsidP="0044478E">
            <w:pPr>
              <w:pStyle w:val="Tabletext"/>
              <w:spacing w:before="0" w:after="0"/>
              <w:rPr>
                <w:rFonts w:cstheme="minorHAnsi"/>
                <w:color w:val="000000"/>
                <w:lang w:eastAsia="en-AU"/>
              </w:rPr>
            </w:pPr>
            <w:r w:rsidRPr="00747E35">
              <w:rPr>
                <w:rFonts w:cstheme="minorHAnsi"/>
              </w:rPr>
              <w:t>Mean drainage network distance</w:t>
            </w:r>
          </w:p>
        </w:tc>
        <w:tc>
          <w:tcPr>
            <w:tcW w:w="992"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095BD69B" w14:textId="77777777" w:rsidR="0044478E" w:rsidRPr="00747E35" w:rsidRDefault="0044478E" w:rsidP="0044478E">
            <w:pPr>
              <w:pStyle w:val="Tabletext"/>
              <w:spacing w:before="0" w:after="0"/>
              <w:rPr>
                <w:rFonts w:cstheme="minorHAnsi"/>
                <w:lang w:eastAsia="en-AU"/>
              </w:rPr>
            </w:pPr>
            <w:r w:rsidRPr="00747E35">
              <w:rPr>
                <w:rFonts w:cstheme="minorHAnsi"/>
              </w:rPr>
              <w:t>km</w:t>
            </w:r>
          </w:p>
        </w:tc>
        <w:tc>
          <w:tcPr>
            <w:tcW w:w="6237"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2344AE69"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Average of the drainage network distance between a given complex and all other complexes that are hydrologically connected (higher number = more isolated)</w:t>
            </w:r>
          </w:p>
        </w:tc>
      </w:tr>
      <w:tr w:rsidR="0044478E" w:rsidRPr="00747E35" w14:paraId="23AFBFD0" w14:textId="77777777" w:rsidTr="0044478E">
        <w:trPr>
          <w:trHeight w:val="20"/>
        </w:trPr>
        <w:tc>
          <w:tcPr>
            <w:tcW w:w="2410" w:type="dxa"/>
            <w:tcBorders>
              <w:top w:val="single" w:sz="4" w:space="0" w:color="D9D9D9" w:themeColor="background1" w:themeShade="D9"/>
              <w:left w:val="nil"/>
              <w:right w:val="nil"/>
            </w:tcBorders>
            <w:shd w:val="clear" w:color="auto" w:fill="auto"/>
            <w:noWrap/>
          </w:tcPr>
          <w:p w14:paraId="652A4CDD" w14:textId="77777777" w:rsidR="0044478E" w:rsidRPr="00747E35" w:rsidRDefault="0044478E" w:rsidP="0044478E">
            <w:pPr>
              <w:pStyle w:val="Tabletext"/>
              <w:spacing w:before="0" w:after="0"/>
              <w:rPr>
                <w:rFonts w:cstheme="minorHAnsi"/>
                <w:color w:val="000000"/>
                <w:lang w:eastAsia="en-AU"/>
              </w:rPr>
            </w:pPr>
            <w:r w:rsidRPr="00747E35">
              <w:rPr>
                <w:rFonts w:cstheme="minorHAnsi"/>
              </w:rPr>
              <w:t>Count connected by surface water inundation areas</w:t>
            </w:r>
          </w:p>
        </w:tc>
        <w:tc>
          <w:tcPr>
            <w:tcW w:w="992" w:type="dxa"/>
            <w:tcBorders>
              <w:top w:val="single" w:sz="4" w:space="0" w:color="D9D9D9" w:themeColor="background1" w:themeShade="D9"/>
              <w:left w:val="nil"/>
              <w:right w:val="nil"/>
            </w:tcBorders>
            <w:shd w:val="clear" w:color="auto" w:fill="auto"/>
            <w:noWrap/>
          </w:tcPr>
          <w:p w14:paraId="22D395A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count</w:t>
            </w:r>
          </w:p>
        </w:tc>
        <w:tc>
          <w:tcPr>
            <w:tcW w:w="6237" w:type="dxa"/>
            <w:tcBorders>
              <w:top w:val="single" w:sz="4" w:space="0" w:color="D9D9D9" w:themeColor="background1" w:themeShade="D9"/>
              <w:left w:val="nil"/>
              <w:right w:val="nil"/>
            </w:tcBorders>
            <w:shd w:val="clear" w:color="auto" w:fill="auto"/>
            <w:noWrap/>
          </w:tcPr>
          <w:p w14:paraId="2A1FDEB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xml:space="preserve">Count of the number of complexes that are connected to a given complex via </w:t>
            </w:r>
            <w:r w:rsidRPr="00747E35">
              <w:rPr>
                <w:rFonts w:cstheme="minorHAnsi"/>
              </w:rPr>
              <w:t>surface water inundation areas</w:t>
            </w:r>
            <w:r w:rsidRPr="00747E35">
              <w:rPr>
                <w:rFonts w:cstheme="minorHAnsi"/>
                <w:lang w:eastAsia="en-AU"/>
              </w:rPr>
              <w:t xml:space="preserve"> (based on Water Observations from Space dataset) (lower number = more isolated)</w:t>
            </w:r>
          </w:p>
        </w:tc>
      </w:tr>
      <w:tr w:rsidR="0044478E" w:rsidRPr="00747E35" w14:paraId="0D158277" w14:textId="77777777" w:rsidTr="0044478E">
        <w:trPr>
          <w:trHeight w:val="20"/>
        </w:trPr>
        <w:tc>
          <w:tcPr>
            <w:tcW w:w="2410" w:type="dxa"/>
            <w:tcBorders>
              <w:left w:val="nil"/>
              <w:bottom w:val="single" w:sz="4" w:space="0" w:color="auto"/>
              <w:right w:val="nil"/>
            </w:tcBorders>
            <w:shd w:val="clear" w:color="auto" w:fill="auto"/>
            <w:noWrap/>
          </w:tcPr>
          <w:p w14:paraId="285E6448" w14:textId="77777777" w:rsidR="0044478E" w:rsidRPr="00747E35" w:rsidRDefault="0044478E" w:rsidP="0044478E">
            <w:pPr>
              <w:pStyle w:val="Tabletext"/>
              <w:spacing w:before="0" w:after="0"/>
              <w:rPr>
                <w:rFonts w:cstheme="minorHAnsi"/>
                <w:color w:val="000000"/>
                <w:lang w:eastAsia="en-AU"/>
              </w:rPr>
            </w:pPr>
            <w:r w:rsidRPr="00747E35">
              <w:rPr>
                <w:rFonts w:cstheme="minorHAnsi"/>
              </w:rPr>
              <w:t>Mean surface water inundation distance</w:t>
            </w:r>
          </w:p>
        </w:tc>
        <w:tc>
          <w:tcPr>
            <w:tcW w:w="992" w:type="dxa"/>
            <w:tcBorders>
              <w:left w:val="nil"/>
              <w:bottom w:val="single" w:sz="4" w:space="0" w:color="auto"/>
              <w:right w:val="nil"/>
            </w:tcBorders>
            <w:shd w:val="clear" w:color="auto" w:fill="auto"/>
            <w:noWrap/>
          </w:tcPr>
          <w:p w14:paraId="4839F034" w14:textId="77777777" w:rsidR="0044478E" w:rsidRPr="00747E35" w:rsidRDefault="0044478E" w:rsidP="0044478E">
            <w:pPr>
              <w:pStyle w:val="Tabletext"/>
              <w:spacing w:before="0" w:after="0"/>
              <w:rPr>
                <w:rFonts w:cstheme="minorHAnsi"/>
                <w:lang w:eastAsia="en-AU"/>
              </w:rPr>
            </w:pPr>
            <w:r w:rsidRPr="00747E35">
              <w:rPr>
                <w:rFonts w:cstheme="minorHAnsi"/>
              </w:rPr>
              <w:t>km</w:t>
            </w:r>
          </w:p>
        </w:tc>
        <w:tc>
          <w:tcPr>
            <w:tcW w:w="6237" w:type="dxa"/>
            <w:tcBorders>
              <w:left w:val="nil"/>
              <w:bottom w:val="single" w:sz="4" w:space="0" w:color="auto"/>
              <w:right w:val="nil"/>
            </w:tcBorders>
            <w:shd w:val="clear" w:color="auto" w:fill="auto"/>
            <w:noWrap/>
          </w:tcPr>
          <w:p w14:paraId="71C0D0C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xml:space="preserve">Average of the </w:t>
            </w:r>
            <w:r w:rsidRPr="00747E35">
              <w:rPr>
                <w:rFonts w:cstheme="minorHAnsi"/>
              </w:rPr>
              <w:t>surface water inundation distance</w:t>
            </w:r>
            <w:r w:rsidRPr="00747E35">
              <w:rPr>
                <w:rFonts w:cstheme="minorHAnsi"/>
                <w:lang w:eastAsia="en-AU"/>
              </w:rPr>
              <w:t xml:space="preserve"> between a given complex and all other complexes that are hydrologically connected (higher number = more isolated)</w:t>
            </w:r>
          </w:p>
        </w:tc>
      </w:tr>
      <w:tr w:rsidR="0044478E" w:rsidRPr="00747E35" w14:paraId="6154B049" w14:textId="77777777" w:rsidTr="0044478E">
        <w:trPr>
          <w:trHeight w:val="20"/>
        </w:trPr>
        <w:tc>
          <w:tcPr>
            <w:tcW w:w="2410" w:type="dxa"/>
            <w:tcBorders>
              <w:top w:val="single" w:sz="4" w:space="0" w:color="auto"/>
              <w:left w:val="nil"/>
              <w:bottom w:val="single" w:sz="4" w:space="0" w:color="D9D9D9" w:themeColor="background1" w:themeShade="D9"/>
              <w:right w:val="nil"/>
            </w:tcBorders>
            <w:shd w:val="clear" w:color="auto" w:fill="auto"/>
            <w:noWrap/>
          </w:tcPr>
          <w:p w14:paraId="0D3AB692" w14:textId="77777777" w:rsidR="0044478E" w:rsidRPr="00747E35" w:rsidRDefault="0044478E" w:rsidP="0044478E">
            <w:pPr>
              <w:pStyle w:val="Tabletext"/>
              <w:spacing w:before="0" w:after="0"/>
              <w:rPr>
                <w:rFonts w:cstheme="minorHAnsi"/>
                <w:i/>
                <w:lang w:eastAsia="en-AU"/>
              </w:rPr>
            </w:pPr>
            <w:r w:rsidRPr="00747E35">
              <w:rPr>
                <w:rFonts w:cstheme="minorHAnsi"/>
                <w:i/>
                <w:lang w:eastAsia="en-AU"/>
              </w:rPr>
              <w:t>Climate, topography and primary productivity</w:t>
            </w:r>
          </w:p>
        </w:tc>
        <w:tc>
          <w:tcPr>
            <w:tcW w:w="992" w:type="dxa"/>
            <w:tcBorders>
              <w:top w:val="single" w:sz="4" w:space="0" w:color="auto"/>
              <w:left w:val="nil"/>
              <w:bottom w:val="single" w:sz="4" w:space="0" w:color="D9D9D9" w:themeColor="background1" w:themeShade="D9"/>
              <w:right w:val="nil"/>
            </w:tcBorders>
            <w:shd w:val="clear" w:color="auto" w:fill="auto"/>
            <w:noWrap/>
          </w:tcPr>
          <w:p w14:paraId="207AC061" w14:textId="77777777" w:rsidR="0044478E" w:rsidRPr="00747E35" w:rsidRDefault="0044478E" w:rsidP="0044478E">
            <w:pPr>
              <w:pStyle w:val="Tabletext"/>
              <w:spacing w:before="0" w:after="0"/>
              <w:rPr>
                <w:rFonts w:cstheme="minorHAnsi"/>
                <w:lang w:eastAsia="en-AU"/>
              </w:rPr>
            </w:pPr>
          </w:p>
        </w:tc>
        <w:tc>
          <w:tcPr>
            <w:tcW w:w="6237" w:type="dxa"/>
            <w:tcBorders>
              <w:top w:val="single" w:sz="4" w:space="0" w:color="auto"/>
              <w:left w:val="nil"/>
              <w:bottom w:val="single" w:sz="4" w:space="0" w:color="D9D9D9" w:themeColor="background1" w:themeShade="D9"/>
              <w:right w:val="nil"/>
            </w:tcBorders>
            <w:shd w:val="clear" w:color="auto" w:fill="auto"/>
            <w:noWrap/>
          </w:tcPr>
          <w:p w14:paraId="20330BB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Represent surrogates for critical environmental regimes (light, moisture, thermal) and habitat characteristics that influence species distributions. (calculated as the mean of spring centroid values within each complex)</w:t>
            </w:r>
          </w:p>
        </w:tc>
      </w:tr>
      <w:tr w:rsidR="0044478E" w:rsidRPr="00747E35" w14:paraId="696C93B5" w14:textId="77777777" w:rsidTr="0044478E">
        <w:trPr>
          <w:trHeight w:val="20"/>
        </w:trPr>
        <w:tc>
          <w:tcPr>
            <w:tcW w:w="2410" w:type="dxa"/>
            <w:tcBorders>
              <w:top w:val="single" w:sz="4" w:space="0" w:color="D9D9D9" w:themeColor="background1" w:themeShade="D9"/>
              <w:left w:val="nil"/>
              <w:bottom w:val="single" w:sz="4" w:space="0" w:color="D9D9D9" w:themeColor="background1" w:themeShade="D9"/>
              <w:right w:val="nil"/>
            </w:tcBorders>
            <w:shd w:val="clear" w:color="auto" w:fill="auto"/>
            <w:noWrap/>
            <w:hideMark/>
          </w:tcPr>
          <w:p w14:paraId="08FBCDB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Elevation</w:t>
            </w:r>
          </w:p>
        </w:tc>
        <w:tc>
          <w:tcPr>
            <w:tcW w:w="992"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3F0ECBB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m</w:t>
            </w:r>
          </w:p>
        </w:tc>
        <w:tc>
          <w:tcPr>
            <w:tcW w:w="6237"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35AA82E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Estimated using 9” DEM</w:t>
            </w:r>
          </w:p>
        </w:tc>
      </w:tr>
      <w:tr w:rsidR="0044478E" w:rsidRPr="00747E35" w14:paraId="54E5211D" w14:textId="77777777" w:rsidTr="0044478E">
        <w:trPr>
          <w:trHeight w:val="20"/>
        </w:trPr>
        <w:tc>
          <w:tcPr>
            <w:tcW w:w="2410" w:type="dxa"/>
            <w:tcBorders>
              <w:top w:val="single" w:sz="4" w:space="0" w:color="D9D9D9" w:themeColor="background1" w:themeShade="D9"/>
              <w:left w:val="nil"/>
              <w:bottom w:val="single" w:sz="4" w:space="0" w:color="D9D9D9" w:themeColor="background1" w:themeShade="D9"/>
              <w:right w:val="nil"/>
            </w:tcBorders>
            <w:shd w:val="clear" w:color="auto" w:fill="auto"/>
            <w:noWrap/>
            <w:hideMark/>
          </w:tcPr>
          <w:p w14:paraId="056B8503"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Mean annual solar radiation</w:t>
            </w:r>
          </w:p>
        </w:tc>
        <w:tc>
          <w:tcPr>
            <w:tcW w:w="992"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08DA7A0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MJ/m</w:t>
            </w:r>
            <w:r w:rsidRPr="00747E35">
              <w:rPr>
                <w:rFonts w:cstheme="minorHAnsi"/>
                <w:vertAlign w:val="superscript"/>
                <w:lang w:eastAsia="en-AU"/>
              </w:rPr>
              <w:t>2</w:t>
            </w:r>
            <w:r w:rsidRPr="00747E35">
              <w:rPr>
                <w:rFonts w:cstheme="minorHAnsi"/>
                <w:lang w:eastAsia="en-AU"/>
              </w:rPr>
              <w:t>/day</w:t>
            </w:r>
          </w:p>
        </w:tc>
        <w:tc>
          <w:tcPr>
            <w:tcW w:w="6237"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4088A31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Measure of the rate of solar energy arriving at the Earth's surface from the Sun's direct beam. Influences water temperature and evaporation rates.</w:t>
            </w:r>
          </w:p>
        </w:tc>
      </w:tr>
      <w:tr w:rsidR="0044478E" w:rsidRPr="00747E35" w14:paraId="12504A95" w14:textId="77777777" w:rsidTr="0044478E">
        <w:trPr>
          <w:trHeight w:val="20"/>
        </w:trPr>
        <w:tc>
          <w:tcPr>
            <w:tcW w:w="2410" w:type="dxa"/>
            <w:tcBorders>
              <w:top w:val="single" w:sz="4" w:space="0" w:color="D9D9D9" w:themeColor="background1" w:themeShade="D9"/>
              <w:left w:val="nil"/>
              <w:bottom w:val="single" w:sz="4" w:space="0" w:color="D9D9D9" w:themeColor="background1" w:themeShade="D9"/>
              <w:right w:val="nil"/>
            </w:tcBorders>
            <w:shd w:val="clear" w:color="auto" w:fill="auto"/>
            <w:noWrap/>
            <w:hideMark/>
          </w:tcPr>
          <w:p w14:paraId="7534301F"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Mean annual air temperature</w:t>
            </w:r>
          </w:p>
        </w:tc>
        <w:tc>
          <w:tcPr>
            <w:tcW w:w="992"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6E270640" w14:textId="77777777" w:rsidR="0044478E" w:rsidRPr="00747E35" w:rsidRDefault="0044478E" w:rsidP="0044478E">
            <w:pPr>
              <w:pStyle w:val="Tabletext"/>
              <w:spacing w:before="0" w:after="0"/>
              <w:rPr>
                <w:rFonts w:cstheme="minorHAnsi"/>
                <w:lang w:eastAsia="en-AU"/>
              </w:rPr>
            </w:pPr>
            <w:r w:rsidRPr="00747E35">
              <w:rPr>
                <w:rFonts w:cstheme="minorHAnsi"/>
                <w:vertAlign w:val="superscript"/>
                <w:lang w:eastAsia="en-AU"/>
              </w:rPr>
              <w:t>o</w:t>
            </w:r>
            <w:r w:rsidRPr="00747E35">
              <w:rPr>
                <w:rFonts w:cstheme="minorHAnsi"/>
                <w:lang w:eastAsia="en-AU"/>
              </w:rPr>
              <w:t>C</w:t>
            </w:r>
          </w:p>
        </w:tc>
        <w:tc>
          <w:tcPr>
            <w:tcW w:w="6237"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6A27C22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Influences rates of aquatic chemical and biological processes and distributions of species (via thermal tolerances)</w:t>
            </w:r>
          </w:p>
        </w:tc>
      </w:tr>
      <w:tr w:rsidR="0044478E" w:rsidRPr="00747E35" w14:paraId="171448E2" w14:textId="77777777" w:rsidTr="0044478E">
        <w:trPr>
          <w:trHeight w:val="20"/>
        </w:trPr>
        <w:tc>
          <w:tcPr>
            <w:tcW w:w="2410" w:type="dxa"/>
            <w:tcBorders>
              <w:top w:val="single" w:sz="4" w:space="0" w:color="D9D9D9" w:themeColor="background1" w:themeShade="D9"/>
              <w:left w:val="nil"/>
              <w:bottom w:val="single" w:sz="4" w:space="0" w:color="D9D9D9" w:themeColor="background1" w:themeShade="D9"/>
              <w:right w:val="nil"/>
            </w:tcBorders>
            <w:shd w:val="clear" w:color="auto" w:fill="auto"/>
            <w:noWrap/>
            <w:hideMark/>
          </w:tcPr>
          <w:p w14:paraId="2D49E5A3"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Mean annual rainfall</w:t>
            </w:r>
          </w:p>
        </w:tc>
        <w:tc>
          <w:tcPr>
            <w:tcW w:w="992"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06FB57D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mm</w:t>
            </w:r>
          </w:p>
        </w:tc>
        <w:tc>
          <w:tcPr>
            <w:tcW w:w="6237"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73657A5D"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Influences aquatic habitat availability and connectivity, soil moisture, rates of weathering of rock and hence their hydrogeological properties and the release and transport of solutes and materials</w:t>
            </w:r>
          </w:p>
        </w:tc>
      </w:tr>
      <w:tr w:rsidR="0044478E" w:rsidRPr="00747E35" w14:paraId="79A4BDC8" w14:textId="77777777" w:rsidTr="0044478E">
        <w:trPr>
          <w:trHeight w:val="20"/>
        </w:trPr>
        <w:tc>
          <w:tcPr>
            <w:tcW w:w="2410" w:type="dxa"/>
            <w:tcBorders>
              <w:top w:val="single" w:sz="4" w:space="0" w:color="D9D9D9" w:themeColor="background1" w:themeShade="D9"/>
              <w:left w:val="nil"/>
              <w:bottom w:val="single" w:sz="4" w:space="0" w:color="D9D9D9" w:themeColor="background1" w:themeShade="D9"/>
              <w:right w:val="nil"/>
            </w:tcBorders>
            <w:shd w:val="clear" w:color="auto" w:fill="auto"/>
            <w:noWrap/>
            <w:hideMark/>
          </w:tcPr>
          <w:p w14:paraId="003CCCC3"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Mean annual rainfall erosivity</w:t>
            </w:r>
          </w:p>
        </w:tc>
        <w:tc>
          <w:tcPr>
            <w:tcW w:w="992"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3788135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(MJ mm) / (ha hr yr)</w:t>
            </w:r>
          </w:p>
        </w:tc>
        <w:tc>
          <w:tcPr>
            <w:tcW w:w="6237" w:type="dxa"/>
            <w:tcBorders>
              <w:top w:val="single" w:sz="4" w:space="0" w:color="D9D9D9" w:themeColor="background1" w:themeShade="D9"/>
              <w:left w:val="nil"/>
              <w:bottom w:val="single" w:sz="4" w:space="0" w:color="D9D9D9" w:themeColor="background1" w:themeShade="D9"/>
              <w:right w:val="nil"/>
            </w:tcBorders>
            <w:shd w:val="clear" w:color="auto" w:fill="auto"/>
            <w:noWrap/>
          </w:tcPr>
          <w:p w14:paraId="7A5A6A1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Indicator of rainfall intensity, an important influence on processes of infiltration, runoff generation and erosion</w:t>
            </w:r>
          </w:p>
        </w:tc>
      </w:tr>
      <w:tr w:rsidR="0044478E" w:rsidRPr="00747E35" w14:paraId="10C4EFC0" w14:textId="77777777" w:rsidTr="0044478E">
        <w:trPr>
          <w:trHeight w:val="20"/>
        </w:trPr>
        <w:tc>
          <w:tcPr>
            <w:tcW w:w="2410" w:type="dxa"/>
            <w:tcBorders>
              <w:top w:val="single" w:sz="4" w:space="0" w:color="D9D9D9" w:themeColor="background1" w:themeShade="D9"/>
              <w:left w:val="nil"/>
              <w:bottom w:val="single" w:sz="4" w:space="0" w:color="auto"/>
              <w:right w:val="nil"/>
            </w:tcBorders>
            <w:shd w:val="clear" w:color="auto" w:fill="auto"/>
            <w:noWrap/>
            <w:hideMark/>
          </w:tcPr>
          <w:p w14:paraId="4011A229"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Mean annual net terrestrial primary productivity</w:t>
            </w:r>
          </w:p>
        </w:tc>
        <w:tc>
          <w:tcPr>
            <w:tcW w:w="992" w:type="dxa"/>
            <w:tcBorders>
              <w:top w:val="single" w:sz="4" w:space="0" w:color="D9D9D9" w:themeColor="background1" w:themeShade="D9"/>
              <w:left w:val="nil"/>
              <w:bottom w:val="single" w:sz="4" w:space="0" w:color="auto"/>
              <w:right w:val="nil"/>
            </w:tcBorders>
            <w:shd w:val="clear" w:color="auto" w:fill="auto"/>
            <w:noWrap/>
          </w:tcPr>
          <w:p w14:paraId="7F86C62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tC ha</w:t>
            </w:r>
            <w:r w:rsidRPr="00747E35">
              <w:rPr>
                <w:rFonts w:cstheme="minorHAnsi"/>
                <w:vertAlign w:val="superscript"/>
                <w:lang w:eastAsia="en-AU"/>
              </w:rPr>
              <w:t>-1</w:t>
            </w:r>
          </w:p>
        </w:tc>
        <w:tc>
          <w:tcPr>
            <w:tcW w:w="6237" w:type="dxa"/>
            <w:tcBorders>
              <w:top w:val="single" w:sz="4" w:space="0" w:color="D9D9D9" w:themeColor="background1" w:themeShade="D9"/>
              <w:left w:val="nil"/>
              <w:bottom w:val="single" w:sz="4" w:space="0" w:color="auto"/>
              <w:right w:val="nil"/>
            </w:tcBorders>
            <w:shd w:val="clear" w:color="auto" w:fill="auto"/>
            <w:noWrap/>
          </w:tcPr>
          <w:p w14:paraId="706C960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Primary productivity is the measure of carbon intake by plants during photosynthesis, and this measure is an important indicator for studying the health for plant communities. Net Primary Productivity (NPP) is the amount of carbon uptake after subtracting Plant Respiration (RES) from Gross Primary Productivity (GPP).</w:t>
            </w:r>
          </w:p>
        </w:tc>
      </w:tr>
    </w:tbl>
    <w:p w14:paraId="6E2E64CD" w14:textId="77777777" w:rsidR="0044478E" w:rsidRPr="00747E35" w:rsidRDefault="0044478E" w:rsidP="0044478E">
      <w:pPr>
        <w:rPr>
          <w:rFonts w:asciiTheme="minorHAnsi" w:hAnsiTheme="minorHAnsi" w:cstheme="minorHAnsi"/>
        </w:rPr>
      </w:pPr>
    </w:p>
    <w:p w14:paraId="04DDF454"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t>Literature review and re-evaluation of the endemic taxa list</w:t>
      </w:r>
    </w:p>
    <w:p w14:paraId="51F2E4B3" w14:textId="39EE8262" w:rsidR="0044478E" w:rsidRPr="00747E35" w:rsidRDefault="0044478E" w:rsidP="0044478E">
      <w:pPr>
        <w:rPr>
          <w:rFonts w:asciiTheme="minorHAnsi" w:hAnsiTheme="minorHAnsi" w:cstheme="minorHAnsi"/>
        </w:rPr>
      </w:pPr>
      <w:r w:rsidRPr="00747E35">
        <w:rPr>
          <w:rFonts w:asciiTheme="minorHAnsi" w:hAnsiTheme="minorHAnsi" w:cstheme="minorHAnsi"/>
        </w:rPr>
        <w:tab/>
        <w:t xml:space="preserve">The list of species assessed as being endemic to GAB springs was derived using a three-stage literature review consisting of: 1) construction of a list of candidate species, sub-species and populations; 2) literature review and summary of currently available published information pertaining to each species; and, </w:t>
      </w:r>
      <w:r w:rsidRPr="00747E35">
        <w:rPr>
          <w:rFonts w:asciiTheme="minorHAnsi" w:hAnsiTheme="minorHAnsi" w:cstheme="minorHAnsi"/>
        </w:rPr>
        <w:lastRenderedPageBreak/>
        <w:t xml:space="preserve">3) expert consultation regarding the review, assigned endemic status and data pertaining to the organisms’ distributions.  </w:t>
      </w:r>
    </w:p>
    <w:p w14:paraId="6E3C8AFB" w14:textId="6427F20A" w:rsidR="0044478E" w:rsidRPr="00747E35" w:rsidRDefault="0044478E" w:rsidP="0044478E">
      <w:pPr>
        <w:rPr>
          <w:rFonts w:asciiTheme="minorHAnsi" w:hAnsiTheme="minorHAnsi" w:cstheme="minorHAnsi"/>
        </w:rPr>
      </w:pPr>
      <w:r w:rsidRPr="00747E35">
        <w:rPr>
          <w:rFonts w:asciiTheme="minorHAnsi" w:hAnsiTheme="minorHAnsi" w:cstheme="minorHAnsi"/>
        </w:rPr>
        <w:t>An initial list of candidate organisms was constructed primarily from all taxa already listed under the EPBC “threatened community”, either individually or within the blanket listing for “the community of native species dependent on natural discharge from the GAB”.  Species flagged during expert consultation were added.  Any organism previously documented as a single species but now considered a complex of multiple species was expanded.  Any species for which there was sufficient data regarding patterns of genetic differentiation across populations was split into clades or sub-species of the parent species.  Any species that current research suggests is not endemic to GAB springs was excluded.  Unfortunately the information available regarding some taxa currently included in the “threatened community” was insufficient for determining distribution across the GAB with confidence; these taxa were also excluded (Appendix 4:</w:t>
      </w:r>
      <w:r w:rsidRPr="00747E35">
        <w:rPr>
          <w:rFonts w:asciiTheme="minorHAnsi" w:hAnsiTheme="minorHAnsi" w:cstheme="minorHAnsi"/>
        </w:rPr>
        <w:fldChar w:fldCharType="begin"/>
      </w:r>
      <w:r w:rsidRPr="00747E35">
        <w:rPr>
          <w:rFonts w:asciiTheme="minorHAnsi" w:hAnsiTheme="minorHAnsi" w:cstheme="minorHAnsi"/>
        </w:rPr>
        <w:instrText xml:space="preserve"> REF _Ref467224809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59</w:t>
      </w:r>
      <w:r w:rsidRPr="00747E35">
        <w:rPr>
          <w:rFonts w:asciiTheme="minorHAnsi" w:hAnsiTheme="minorHAnsi" w:cstheme="minorHAnsi"/>
        </w:rPr>
        <w:fldChar w:fldCharType="end"/>
      </w:r>
      <w:r w:rsidRPr="00747E35">
        <w:rPr>
          <w:rFonts w:asciiTheme="minorHAnsi" w:hAnsiTheme="minorHAnsi" w:cstheme="minorHAnsi"/>
        </w:rPr>
        <w:t>).</w:t>
      </w:r>
    </w:p>
    <w:p w14:paraId="23ACA4DD" w14:textId="14C06362" w:rsidR="0044478E" w:rsidRPr="00747E35" w:rsidRDefault="0044478E" w:rsidP="0044478E">
      <w:pPr>
        <w:rPr>
          <w:rFonts w:asciiTheme="minorHAnsi" w:hAnsiTheme="minorHAnsi" w:cstheme="minorHAnsi"/>
        </w:rPr>
      </w:pPr>
      <w:r w:rsidRPr="00747E35">
        <w:rPr>
          <w:rFonts w:asciiTheme="minorHAnsi" w:hAnsiTheme="minorHAnsi" w:cstheme="minorHAnsi"/>
        </w:rPr>
        <w:t>A systematic review of all literature pertaining to any organism included in the list of candidate species was conducted.  Published literature for each species was identified from journal databases (Web of Science, Scopus), the Atlas of Living Australia, the Biodiversity Heritage Library and expert consultation.  Candidate organisms were classified as endemic to the GAB, crenophile (i.e. would like</w:t>
      </w:r>
      <w:r w:rsidR="00A15951">
        <w:rPr>
          <w:rFonts w:asciiTheme="minorHAnsi" w:hAnsiTheme="minorHAnsi" w:cstheme="minorHAnsi"/>
        </w:rPr>
        <w:t>ly perish in the wild without G</w:t>
      </w:r>
      <w:r w:rsidRPr="00747E35">
        <w:rPr>
          <w:rFonts w:asciiTheme="minorHAnsi" w:hAnsiTheme="minorHAnsi" w:cstheme="minorHAnsi"/>
        </w:rPr>
        <w:t>AB springs) or non-endemic, with all non-endemic taxa excluded from the final list.</w:t>
      </w:r>
    </w:p>
    <w:p w14:paraId="313D787F"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Researchers and on-the-ground managers of spring wetlands and spring-dependent species were identified as experts in each of the five groups of organisms.  Following the review of each group by the reviewers, the summaries and classifications regarding endemism were shared with experts for their opinion.  A discussion was facilitated between all included parties until a final consensus list was agreed upon.  In cases where a consensus was difficult to reach, a precautionary approach was taken and the more conservative list was accepted.</w:t>
      </w:r>
    </w:p>
    <w:p w14:paraId="1E445B2F"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The final list of taxa was matched against the official list and lists of occupied complexes that form the definition of the “threatened community” or any species lists available through databases for each complex.  In some cases, spring complexes had changed name or been expanded or divided, the distribution of taxa was unknown, or records were questionable.  For some species with high intraspecific diversity, evidence suggested they should be split into clades, but not all complexes had been analysed.  In each of these cases the authors of the LEBSA (primarily R.J. Fensham) and WaterConnect (primarily T. Gotch) were consulted regarding spring complexes and experts or researchers with the most experience with collecting each taxon were consulted to ascertain the final occupancy status of problematic taxa.  Where a population’s clade affinity was not directly ascertainable from the literature or experts, the geographical location and previous published literature regarding connectivity between complexes in similar taxa were consulted and a clade affinity assigned to the taxon.  The final set of taxa for which we were confident of taxonomy and present-day distributions (presence-absence of 98 taxa across 326 spring complexes – see Results) represented the best available and most up-to-date information available for biodiversity analyses.</w:t>
      </w:r>
    </w:p>
    <w:p w14:paraId="3F6AD2A5" w14:textId="77777777" w:rsidR="0044478E" w:rsidRPr="00747E35" w:rsidRDefault="0044478E" w:rsidP="0044478E">
      <w:pPr>
        <w:rPr>
          <w:rFonts w:asciiTheme="minorHAnsi" w:hAnsiTheme="minorHAnsi" w:cstheme="minorHAnsi"/>
        </w:rPr>
      </w:pPr>
    </w:p>
    <w:p w14:paraId="001FE31B"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t>Patterns of endemic biodiversity</w:t>
      </w:r>
    </w:p>
    <w:p w14:paraId="62582A25"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We quantified spatial variation in biodiversity values of spring complexes using a range of attributes including taxonomic and phylogenetic richness, diversity and endemism, and assemblage beta diversity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_Ref453232179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34</w:t>
      </w:r>
      <w:r w:rsidRPr="00747E35">
        <w:rPr>
          <w:rFonts w:asciiTheme="minorHAnsi" w:hAnsiTheme="minorHAnsi" w:cstheme="minorHAnsi"/>
        </w:rPr>
        <w:fldChar w:fldCharType="end"/>
      </w:r>
      <w:r w:rsidRPr="00747E35">
        <w:rPr>
          <w:rFonts w:asciiTheme="minorHAnsi" w:hAnsiTheme="minorHAnsi" w:cstheme="minorHAnsi"/>
        </w:rPr>
        <w:t xml:space="preserve">).  The methods of Fensham and Price (2004) were also used to assign a conservation rank that simultaneously captured the number, endemic status and potential isolation from other populations for all GAB spring complexes containing one or more endemic taxa.  In this system, complexes with the same taxonomic composition can receive different scores as it also takes into account isolated populations of more broadly distributed taxa.  </w:t>
      </w:r>
      <w:r w:rsidRPr="00747E35">
        <w:rPr>
          <w:rFonts w:asciiTheme="minorHAnsi" w:hAnsiTheme="minorHAnsi" w:cstheme="minorHAnsi"/>
        </w:rPr>
        <w:br w:type="page"/>
      </w:r>
    </w:p>
    <w:p w14:paraId="6B55B524" w14:textId="77777777" w:rsidR="0044478E" w:rsidRPr="00747E35" w:rsidRDefault="0044478E" w:rsidP="00566456">
      <w:pPr>
        <w:pStyle w:val="Caption"/>
        <w:numPr>
          <w:ilvl w:val="0"/>
          <w:numId w:val="0"/>
        </w:numPr>
        <w:rPr>
          <w:rFonts w:cstheme="minorHAnsi"/>
        </w:rPr>
      </w:pPr>
      <w:bookmarkStart w:id="393" w:name="_Ref453232179"/>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34</w:t>
      </w:r>
      <w:r w:rsidR="009D6600" w:rsidRPr="00747E35">
        <w:rPr>
          <w:rFonts w:cstheme="minorHAnsi"/>
          <w:noProof/>
        </w:rPr>
        <w:fldChar w:fldCharType="end"/>
      </w:r>
      <w:bookmarkEnd w:id="393"/>
      <w:r w:rsidRPr="00747E35">
        <w:rPr>
          <w:rFonts w:cstheme="minorHAnsi"/>
        </w:rPr>
        <w:t>:</w:t>
      </w:r>
      <w:r w:rsidRPr="00747E35">
        <w:rPr>
          <w:rFonts w:cstheme="minorHAnsi"/>
          <w:b/>
        </w:rPr>
        <w:t xml:space="preserve"> </w:t>
      </w:r>
      <w:r w:rsidRPr="00747E35">
        <w:rPr>
          <w:rFonts w:cstheme="minorHAnsi"/>
        </w:rPr>
        <w:t xml:space="preserve">Method, rationale and key references for each of the biodiversity attributes used to characterise spring complexes.  </w:t>
      </w:r>
    </w:p>
    <w:tbl>
      <w:tblPr>
        <w:tblW w:w="0" w:type="auto"/>
        <w:tblLook w:val="04A0" w:firstRow="1" w:lastRow="0" w:firstColumn="1" w:lastColumn="0" w:noHBand="0" w:noVBand="1"/>
      </w:tblPr>
      <w:tblGrid>
        <w:gridCol w:w="2268"/>
        <w:gridCol w:w="7230"/>
      </w:tblGrid>
      <w:tr w:rsidR="0044478E" w:rsidRPr="00747E35" w14:paraId="30DA0066" w14:textId="77777777" w:rsidTr="00B004E4">
        <w:trPr>
          <w:trHeight w:val="20"/>
          <w:tblHeader/>
        </w:trPr>
        <w:tc>
          <w:tcPr>
            <w:tcW w:w="2268" w:type="dxa"/>
            <w:tcBorders>
              <w:top w:val="single" w:sz="4" w:space="0" w:color="auto"/>
              <w:left w:val="nil"/>
              <w:bottom w:val="single" w:sz="4" w:space="0" w:color="auto"/>
              <w:right w:val="nil"/>
            </w:tcBorders>
            <w:shd w:val="clear" w:color="auto" w:fill="DEEAF6" w:themeFill="accent1" w:themeFillTint="33"/>
            <w:vAlign w:val="bottom"/>
            <w:hideMark/>
          </w:tcPr>
          <w:p w14:paraId="52131D4A"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 xml:space="preserve">Biodiversity attribute </w:t>
            </w:r>
          </w:p>
        </w:tc>
        <w:tc>
          <w:tcPr>
            <w:tcW w:w="7230" w:type="dxa"/>
            <w:tcBorders>
              <w:top w:val="single" w:sz="4" w:space="0" w:color="auto"/>
              <w:left w:val="nil"/>
              <w:bottom w:val="single" w:sz="4" w:space="0" w:color="auto"/>
              <w:right w:val="nil"/>
            </w:tcBorders>
            <w:shd w:val="clear" w:color="auto" w:fill="DEEAF6" w:themeFill="accent1" w:themeFillTint="33"/>
            <w:noWrap/>
            <w:vAlign w:val="bottom"/>
            <w:hideMark/>
          </w:tcPr>
          <w:p w14:paraId="4257796C"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Method, rationale and key reference</w:t>
            </w:r>
          </w:p>
        </w:tc>
      </w:tr>
      <w:tr w:rsidR="0044478E" w:rsidRPr="00747E35" w14:paraId="4CD4C042" w14:textId="77777777" w:rsidTr="0044478E">
        <w:trPr>
          <w:trHeight w:val="20"/>
        </w:trPr>
        <w:tc>
          <w:tcPr>
            <w:tcW w:w="2268" w:type="dxa"/>
            <w:tcBorders>
              <w:top w:val="single" w:sz="4" w:space="0" w:color="auto"/>
              <w:left w:val="nil"/>
              <w:bottom w:val="single" w:sz="4" w:space="0" w:color="auto"/>
              <w:right w:val="nil"/>
            </w:tcBorders>
            <w:shd w:val="clear" w:color="auto" w:fill="auto"/>
            <w:vAlign w:val="center"/>
            <w:hideMark/>
          </w:tcPr>
          <w:p w14:paraId="364E0C9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xml:space="preserve">Taxonomic Richness (S) </w:t>
            </w:r>
          </w:p>
        </w:tc>
        <w:tc>
          <w:tcPr>
            <w:tcW w:w="7230" w:type="dxa"/>
            <w:tcBorders>
              <w:top w:val="single" w:sz="4" w:space="0" w:color="auto"/>
              <w:left w:val="nil"/>
              <w:bottom w:val="single" w:sz="4" w:space="0" w:color="auto"/>
              <w:right w:val="nil"/>
            </w:tcBorders>
            <w:shd w:val="clear" w:color="auto" w:fill="auto"/>
            <w:vAlign w:val="bottom"/>
            <w:hideMark/>
          </w:tcPr>
          <w:p w14:paraId="6B44E36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Number of taxa in a spring complex (also referred to as alpha diversity)</w:t>
            </w:r>
          </w:p>
        </w:tc>
      </w:tr>
      <w:tr w:rsidR="0044478E" w:rsidRPr="00747E35" w14:paraId="0934F6C9" w14:textId="77777777" w:rsidTr="0044478E">
        <w:trPr>
          <w:trHeight w:val="20"/>
        </w:trPr>
        <w:tc>
          <w:tcPr>
            <w:tcW w:w="2268" w:type="dxa"/>
            <w:tcBorders>
              <w:top w:val="single" w:sz="4" w:space="0" w:color="auto"/>
              <w:left w:val="nil"/>
              <w:bottom w:val="single" w:sz="4" w:space="0" w:color="auto"/>
              <w:right w:val="nil"/>
            </w:tcBorders>
            <w:shd w:val="clear" w:color="auto" w:fill="auto"/>
            <w:vAlign w:val="center"/>
            <w:hideMark/>
          </w:tcPr>
          <w:p w14:paraId="18E075B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Taxonomic Diversity (H')</w:t>
            </w:r>
          </w:p>
        </w:tc>
        <w:tc>
          <w:tcPr>
            <w:tcW w:w="7230" w:type="dxa"/>
            <w:tcBorders>
              <w:top w:val="single" w:sz="4" w:space="0" w:color="auto"/>
              <w:left w:val="nil"/>
              <w:bottom w:val="single" w:sz="4" w:space="0" w:color="auto"/>
              <w:right w:val="nil"/>
            </w:tcBorders>
            <w:shd w:val="clear" w:color="auto" w:fill="auto"/>
            <w:vAlign w:val="bottom"/>
            <w:hideMark/>
          </w:tcPr>
          <w:p w14:paraId="76111A9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Shannon Diversity. An index that incorporates the number of taxa and the evenness of the distribution of individuals across species (we used area of occupancy in spring complexes as our measure of abundance). The index can increase either by having additional unique taxa or by having greater taxon evenness (Shannon, 1948)</w:t>
            </w:r>
          </w:p>
        </w:tc>
      </w:tr>
      <w:tr w:rsidR="0044478E" w:rsidRPr="00747E35" w14:paraId="39C61B7D" w14:textId="77777777" w:rsidTr="0044478E">
        <w:trPr>
          <w:trHeight w:val="20"/>
        </w:trPr>
        <w:tc>
          <w:tcPr>
            <w:tcW w:w="2268" w:type="dxa"/>
            <w:tcBorders>
              <w:top w:val="single" w:sz="4" w:space="0" w:color="auto"/>
              <w:left w:val="nil"/>
              <w:bottom w:val="single" w:sz="4" w:space="0" w:color="auto"/>
              <w:right w:val="nil"/>
            </w:tcBorders>
            <w:shd w:val="clear" w:color="auto" w:fill="auto"/>
            <w:vAlign w:val="center"/>
            <w:hideMark/>
          </w:tcPr>
          <w:p w14:paraId="4FEC22DC"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Taxonomic endemism (TE)</w:t>
            </w:r>
          </w:p>
        </w:tc>
        <w:tc>
          <w:tcPr>
            <w:tcW w:w="7230" w:type="dxa"/>
            <w:tcBorders>
              <w:top w:val="single" w:sz="4" w:space="0" w:color="auto"/>
              <w:left w:val="nil"/>
              <w:bottom w:val="single" w:sz="4" w:space="0" w:color="auto"/>
              <w:right w:val="nil"/>
            </w:tcBorders>
            <w:shd w:val="clear" w:color="auto" w:fill="auto"/>
            <w:vAlign w:val="bottom"/>
            <w:hideMark/>
          </w:tcPr>
          <w:p w14:paraId="31022159"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An index of endemism identifying areas where taxa with restricted ranges are concentrated.  Based on the number of taxa within a spring complex weighted by the inverse of each taxon’s distribution range (also known as weighted endemism). This index ranges from one, where all taxa in a complex have broad geographical ranges, to infinity, with large values indicating the presence of taxa with range-size rarity (i.e. areas with high endemism) (Rebelo &amp; Siegfried, 1992).</w:t>
            </w:r>
          </w:p>
        </w:tc>
      </w:tr>
      <w:tr w:rsidR="0044478E" w:rsidRPr="00747E35" w14:paraId="0B408D9D" w14:textId="77777777" w:rsidTr="0044478E">
        <w:trPr>
          <w:trHeight w:val="20"/>
        </w:trPr>
        <w:tc>
          <w:tcPr>
            <w:tcW w:w="2268" w:type="dxa"/>
            <w:tcBorders>
              <w:top w:val="single" w:sz="4" w:space="0" w:color="auto"/>
              <w:left w:val="nil"/>
              <w:bottom w:val="single" w:sz="4" w:space="0" w:color="auto"/>
              <w:right w:val="nil"/>
            </w:tcBorders>
            <w:shd w:val="clear" w:color="auto" w:fill="auto"/>
            <w:vAlign w:val="center"/>
            <w:hideMark/>
          </w:tcPr>
          <w:p w14:paraId="0019612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Phylogenetic Diversity (PD)</w:t>
            </w:r>
          </w:p>
        </w:tc>
        <w:tc>
          <w:tcPr>
            <w:tcW w:w="7230" w:type="dxa"/>
            <w:tcBorders>
              <w:top w:val="single" w:sz="4" w:space="0" w:color="auto"/>
              <w:left w:val="nil"/>
              <w:bottom w:val="single" w:sz="4" w:space="0" w:color="auto"/>
              <w:right w:val="nil"/>
            </w:tcBorders>
            <w:shd w:val="clear" w:color="auto" w:fill="auto"/>
            <w:vAlign w:val="bottom"/>
            <w:hideMark/>
          </w:tcPr>
          <w:p w14:paraId="68B1E239"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xml:space="preserve">A measure of diversity based on units of phylogenetic variation (instead of taxa) (Faith 1992, Faith et al., 2004). PD is calculated as the sum of those branch lengths of the phylogenetic tree representing the taxa occurring in a spring complex. Areas with high PD may represent centres of current speciation and may be important areas to protect for maintenance of evolutionary processes. High PD could arise by having a high number of closely related taxa or by having few taxa that are phylogenetically divergent from one another. PD incorporates complementarity in that the score contributed by a given taxon in a spring complex depends on how closely it is related to other taxa present. Complete molecular phylogenies are not available for most taxonomic groups and taxa considered in this study, so we used published phylogenies and assumed equal branch lengths (see </w:t>
            </w:r>
            <w:r w:rsidRPr="00747E35">
              <w:rPr>
                <w:rFonts w:cstheme="minorHAnsi"/>
                <w:lang w:eastAsia="en-AU"/>
              </w:rPr>
              <w:fldChar w:fldCharType="begin"/>
            </w:r>
            <w:r w:rsidRPr="00747E35">
              <w:rPr>
                <w:rFonts w:cstheme="minorHAnsi"/>
                <w:lang w:eastAsia="en-AU"/>
              </w:rPr>
              <w:instrText xml:space="preserve"> REF _Ref453232355 \h  \* MERGEFORMAT </w:instrText>
            </w:r>
            <w:r w:rsidRPr="00747E35">
              <w:rPr>
                <w:rFonts w:cstheme="minorHAnsi"/>
                <w:lang w:eastAsia="en-AU"/>
              </w:rPr>
            </w:r>
            <w:r w:rsidRPr="00747E35">
              <w:rPr>
                <w:rFonts w:cstheme="minorHAnsi"/>
                <w:lang w:eastAsia="en-AU"/>
              </w:rPr>
              <w:fldChar w:fldCharType="separate"/>
            </w:r>
            <w:r w:rsidR="00D023DD" w:rsidRPr="00747E35">
              <w:rPr>
                <w:rFonts w:cstheme="minorHAnsi"/>
              </w:rPr>
              <w:t xml:space="preserve">Figure </w:t>
            </w:r>
            <w:r w:rsidR="00D023DD">
              <w:rPr>
                <w:rFonts w:cstheme="minorHAnsi"/>
                <w:noProof/>
              </w:rPr>
              <w:t>135</w:t>
            </w:r>
            <w:r w:rsidRPr="00747E35">
              <w:rPr>
                <w:rFonts w:cstheme="minorHAnsi"/>
                <w:lang w:eastAsia="en-AU"/>
              </w:rPr>
              <w:fldChar w:fldCharType="end"/>
            </w:r>
            <w:r w:rsidRPr="00747E35">
              <w:rPr>
                <w:rFonts w:cstheme="minorHAnsi"/>
                <w:lang w:eastAsia="en-AU"/>
              </w:rPr>
              <w:t>).</w:t>
            </w:r>
          </w:p>
        </w:tc>
      </w:tr>
      <w:tr w:rsidR="0044478E" w:rsidRPr="00747E35" w14:paraId="4BAB5531" w14:textId="77777777" w:rsidTr="0044478E">
        <w:trPr>
          <w:trHeight w:val="20"/>
        </w:trPr>
        <w:tc>
          <w:tcPr>
            <w:tcW w:w="2268" w:type="dxa"/>
            <w:tcBorders>
              <w:top w:val="single" w:sz="4" w:space="0" w:color="auto"/>
              <w:left w:val="nil"/>
              <w:bottom w:val="single" w:sz="4" w:space="0" w:color="auto"/>
              <w:right w:val="nil"/>
            </w:tcBorders>
            <w:shd w:val="clear" w:color="auto" w:fill="auto"/>
            <w:vAlign w:val="center"/>
            <w:hideMark/>
          </w:tcPr>
          <w:p w14:paraId="4685662C"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Phylogenetic Endemism (PE)</w:t>
            </w:r>
          </w:p>
        </w:tc>
        <w:tc>
          <w:tcPr>
            <w:tcW w:w="7230" w:type="dxa"/>
            <w:tcBorders>
              <w:top w:val="single" w:sz="4" w:space="0" w:color="auto"/>
              <w:left w:val="nil"/>
              <w:bottom w:val="single" w:sz="4" w:space="0" w:color="auto"/>
              <w:right w:val="nil"/>
            </w:tcBorders>
            <w:shd w:val="clear" w:color="auto" w:fill="auto"/>
            <w:vAlign w:val="bottom"/>
            <w:hideMark/>
          </w:tcPr>
          <w:p w14:paraId="06AD9149"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Phylogenetic endemism (PE) is a measure of the degree to which elements of evolutionary history are spatially restricted in space. PE combines the phylogenetic diversity (PD) and taxonomic endemism (TE) measures to identify areas where substantial components of phylogenetic diversity are restricted (Rouser et al., 2009). To estimate the degree of PE represented by the taxa in a given area, the range size of each branch of the phylogenetic tree (rather than the range of each taxon) is quantified. PE is therefore the sum of branch length ⁄ clade range for each branch on the tree (where a clade is a single branch on the tree consisting of an organism and all its descendants).</w:t>
            </w:r>
          </w:p>
        </w:tc>
      </w:tr>
      <w:tr w:rsidR="0044478E" w:rsidRPr="00747E35" w14:paraId="16AB93F0" w14:textId="77777777" w:rsidTr="0044478E">
        <w:trPr>
          <w:trHeight w:val="20"/>
        </w:trPr>
        <w:tc>
          <w:tcPr>
            <w:tcW w:w="2268" w:type="dxa"/>
            <w:tcBorders>
              <w:top w:val="single" w:sz="4" w:space="0" w:color="auto"/>
              <w:left w:val="nil"/>
              <w:bottom w:val="single" w:sz="4" w:space="0" w:color="auto"/>
              <w:right w:val="nil"/>
            </w:tcBorders>
            <w:shd w:val="clear" w:color="auto" w:fill="auto"/>
            <w:vAlign w:val="center"/>
            <w:hideMark/>
          </w:tcPr>
          <w:p w14:paraId="06F0111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Assemblage Beta Diversity (BD)</w:t>
            </w:r>
          </w:p>
        </w:tc>
        <w:tc>
          <w:tcPr>
            <w:tcW w:w="7230" w:type="dxa"/>
            <w:tcBorders>
              <w:top w:val="single" w:sz="4" w:space="0" w:color="auto"/>
              <w:left w:val="nil"/>
              <w:bottom w:val="single" w:sz="4" w:space="0" w:color="auto"/>
              <w:right w:val="nil"/>
            </w:tcBorders>
            <w:shd w:val="clear" w:color="auto" w:fill="auto"/>
            <w:vAlign w:val="bottom"/>
            <w:hideMark/>
          </w:tcPr>
          <w:p w14:paraId="42CB91F7" w14:textId="3B488406" w:rsidR="0044478E" w:rsidRPr="00747E35" w:rsidRDefault="0044478E" w:rsidP="0044478E">
            <w:pPr>
              <w:pStyle w:val="Tabletext"/>
              <w:spacing w:before="0" w:after="0"/>
              <w:rPr>
                <w:rFonts w:cstheme="minorHAnsi"/>
                <w:lang w:eastAsia="en-AU"/>
              </w:rPr>
            </w:pPr>
            <w:r w:rsidRPr="00747E35">
              <w:rPr>
                <w:rFonts w:cstheme="minorHAnsi"/>
                <w:lang w:eastAsia="en-AU"/>
              </w:rPr>
              <w:t>Assemblage beta diversity is defined as the variability in species composition among sampling units for a given area and was measured as the average dissimilarity from individual observation units (spring complexes) to their group centroid (all spring complexes) in multivariate space, using the Bray-Curtis dissimilarity measure (Anderson et al</w:t>
            </w:r>
            <w:r w:rsidR="005E04D7">
              <w:rPr>
                <w:rFonts w:cstheme="minorHAnsi"/>
                <w:lang w:eastAsia="en-AU"/>
              </w:rPr>
              <w:t>.</w:t>
            </w:r>
            <w:r w:rsidRPr="00747E35">
              <w:rPr>
                <w:rFonts w:cstheme="minorHAnsi"/>
                <w:lang w:eastAsia="en-AU"/>
              </w:rPr>
              <w:t xml:space="preserve"> 2006)</w:t>
            </w:r>
          </w:p>
        </w:tc>
      </w:tr>
      <w:tr w:rsidR="0044478E" w:rsidRPr="00747E35" w14:paraId="766229CB" w14:textId="77777777" w:rsidTr="0044478E">
        <w:trPr>
          <w:trHeight w:val="20"/>
        </w:trPr>
        <w:tc>
          <w:tcPr>
            <w:tcW w:w="2268" w:type="dxa"/>
            <w:tcBorders>
              <w:top w:val="single" w:sz="4" w:space="0" w:color="auto"/>
              <w:left w:val="nil"/>
              <w:bottom w:val="single" w:sz="4" w:space="0" w:color="auto"/>
              <w:right w:val="nil"/>
            </w:tcBorders>
            <w:shd w:val="clear" w:color="auto" w:fill="auto"/>
            <w:vAlign w:val="center"/>
            <w:hideMark/>
          </w:tcPr>
          <w:p w14:paraId="4F57248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Conservation Rank (CR)</w:t>
            </w:r>
          </w:p>
        </w:tc>
        <w:tc>
          <w:tcPr>
            <w:tcW w:w="7230" w:type="dxa"/>
            <w:tcBorders>
              <w:top w:val="single" w:sz="4" w:space="0" w:color="auto"/>
              <w:left w:val="nil"/>
              <w:bottom w:val="single" w:sz="4" w:space="0" w:color="auto"/>
              <w:right w:val="nil"/>
            </w:tcBorders>
            <w:shd w:val="clear" w:color="auto" w:fill="auto"/>
            <w:vAlign w:val="bottom"/>
            <w:hideMark/>
          </w:tcPr>
          <w:p w14:paraId="5D21D7D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The Fensham and Price (2004) Conservation Rank incorporates the number of species at a complex, their geographic isolation at a basin-wide scale and the isolation of each population in species with a distribution that spans multiple complexes</w:t>
            </w:r>
          </w:p>
        </w:tc>
      </w:tr>
    </w:tbl>
    <w:p w14:paraId="2EEA5705" w14:textId="77777777" w:rsidR="0044478E" w:rsidRPr="00747E35" w:rsidRDefault="0044478E" w:rsidP="0044478E">
      <w:pPr>
        <w:rPr>
          <w:rFonts w:asciiTheme="minorHAnsi" w:hAnsiTheme="minorHAnsi" w:cstheme="minorHAnsi"/>
        </w:rPr>
      </w:pPr>
    </w:p>
    <w:p w14:paraId="6F192179" w14:textId="77777777" w:rsidR="0044478E" w:rsidRPr="00747E35" w:rsidRDefault="0044478E" w:rsidP="0044478E">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0CF20933" wp14:editId="456FBEEA">
            <wp:extent cx="4476750" cy="4051977"/>
            <wp:effectExtent l="0" t="0" r="0" b="5715"/>
            <wp:docPr id="4133" name="Picture 4133" descr="Dend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cstate="screen">
                      <a:extLst>
                        <a:ext uri="{28A0092B-C50C-407E-A947-70E740481C1C}">
                          <a14:useLocalDpi xmlns:a14="http://schemas.microsoft.com/office/drawing/2010/main"/>
                        </a:ext>
                      </a:extLst>
                    </a:blip>
                    <a:srcRect/>
                    <a:stretch>
                      <a:fillRect/>
                    </a:stretch>
                  </pic:blipFill>
                  <pic:spPr bwMode="auto">
                    <a:xfrm>
                      <a:off x="0" y="0"/>
                      <a:ext cx="4476750" cy="4051977"/>
                    </a:xfrm>
                    <a:prstGeom prst="rect">
                      <a:avLst/>
                    </a:prstGeom>
                    <a:noFill/>
                  </pic:spPr>
                </pic:pic>
              </a:graphicData>
            </a:graphic>
          </wp:inline>
        </w:drawing>
      </w:r>
    </w:p>
    <w:p w14:paraId="322603D0" w14:textId="77777777" w:rsidR="0044478E" w:rsidRPr="00747E35" w:rsidRDefault="0044478E" w:rsidP="00566456">
      <w:pPr>
        <w:pStyle w:val="Caption"/>
        <w:numPr>
          <w:ilvl w:val="0"/>
          <w:numId w:val="0"/>
        </w:numPr>
        <w:rPr>
          <w:rFonts w:cstheme="minorHAnsi"/>
        </w:rPr>
      </w:pPr>
      <w:bookmarkStart w:id="394" w:name="_Ref453232355"/>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135</w:t>
      </w:r>
      <w:r w:rsidR="009D6600" w:rsidRPr="00747E35">
        <w:rPr>
          <w:rFonts w:cstheme="minorHAnsi"/>
          <w:noProof/>
        </w:rPr>
        <w:fldChar w:fldCharType="end"/>
      </w:r>
      <w:bookmarkEnd w:id="394"/>
      <w:r w:rsidRPr="00747E35">
        <w:rPr>
          <w:rFonts w:cstheme="minorHAnsi"/>
        </w:rPr>
        <w:t>: Phylogeny used for calculation of phylogenetic diversity (PD) and phylogenetic endemism (PE).</w:t>
      </w:r>
    </w:p>
    <w:p w14:paraId="776D08EB" w14:textId="77777777" w:rsidR="0044478E" w:rsidRPr="00747E35" w:rsidRDefault="0044478E" w:rsidP="0044478E">
      <w:pPr>
        <w:rPr>
          <w:rFonts w:asciiTheme="minorHAnsi" w:hAnsiTheme="minorHAnsi" w:cstheme="minorHAnsi"/>
        </w:rPr>
      </w:pPr>
    </w:p>
    <w:p w14:paraId="2CFC0EB7"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t xml:space="preserve">Characterising endemic assemblages </w:t>
      </w:r>
    </w:p>
    <w:p w14:paraId="5CCD5952"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In this report, the word ‘assemblage’ is used to refer to a collection of endemic taxa within a spring complex that have been grouped together with other complexes of similar composition using heuristic guidance of statistical clustering techniques outlined in Legendre and Legendre (2012) and with the methodology provided in Borcard et al. (2011).  A dissimilarity matrix for presence-absence data of endemic species in springs was constructed using the ‘altGower’ function within the Vegan package ‘vegdist’.  Clustering of assemblages was trialled with a range of methods, with the final method choice being the method that did not sink obviously distinct complexes into an assemblage (e.g. many methods sunk Dalhousie into other Lake Eyre complexes) and was most parsimonious with the original distance matrix (ascertained using Cophenetic correlation, Borcard et al. 2011).  Both Ward’s and the weighted pair-group method using arithmetic averages (WPGMA) returned the best results.  The analysis continued with Ward’s method as both methods generally grouped assemblages in the same way but WPGMA tended to favour multiple complexes as assemblages and large somewhat dissimilar groups.  The final number of assemblages was ascertained by assessing optimal silhouette widths via the Mantel test (Borcard et al. 2011).  Clustering of between 17 to 33 assemblages had relatively equal average silhouette widths so the silhouette plots for each proposed number of assemblages were assessed to ascertain the minimum number of groups with the best outcome for group membership (i.e. all schemes with &lt;33 assemblages had groups of complexes with one or more misaligned group members and negative silhouette widths); a final number of 33 assemblages was chosen.</w:t>
      </w:r>
    </w:p>
    <w:p w14:paraId="4CE88CA2" w14:textId="77777777" w:rsidR="0044478E" w:rsidRPr="00747E35" w:rsidRDefault="0044478E" w:rsidP="0044478E">
      <w:pPr>
        <w:rPr>
          <w:rFonts w:asciiTheme="minorHAnsi" w:hAnsiTheme="minorHAnsi" w:cstheme="minorHAnsi"/>
        </w:rPr>
      </w:pPr>
    </w:p>
    <w:p w14:paraId="106807A2"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lastRenderedPageBreak/>
        <w:t xml:space="preserve">Modelling relationships of environmental characteristics of spring complexes with biodiversity attributes and taxonomic composition </w:t>
      </w:r>
    </w:p>
    <w:p w14:paraId="01F99118"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To quantify relationships between environmental characteristics of spring complexes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_Ref453232147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33</w:t>
      </w:r>
      <w:r w:rsidRPr="00747E35">
        <w:rPr>
          <w:rFonts w:asciiTheme="minorHAnsi" w:hAnsiTheme="minorHAnsi" w:cstheme="minorHAnsi"/>
        </w:rPr>
        <w:fldChar w:fldCharType="end"/>
      </w:r>
      <w:r w:rsidRPr="00747E35">
        <w:rPr>
          <w:rFonts w:asciiTheme="minorHAnsi" w:hAnsiTheme="minorHAnsi" w:cstheme="minorHAnsi"/>
        </w:rPr>
        <w:t>) and spatial variation in each biodiversity attribute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_Ref453232179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34</w:t>
      </w:r>
      <w:r w:rsidRPr="00747E35">
        <w:rPr>
          <w:rFonts w:asciiTheme="minorHAnsi" w:hAnsiTheme="minorHAnsi" w:cstheme="minorHAnsi"/>
        </w:rPr>
        <w:fldChar w:fldCharType="end"/>
      </w:r>
      <w:r w:rsidRPr="00747E35">
        <w:rPr>
          <w:rFonts w:asciiTheme="minorHAnsi" w:hAnsiTheme="minorHAnsi" w:cstheme="minorHAnsi"/>
        </w:rPr>
        <w:t>), we used multiple regression (hurdle models).  Hurdle models are two step models well suited for zero-inflated data (such as in this study), where the model fitting is separated into two steps (Cunningham and Lindenmeyer 2005).  The first step is a binary component, where the zero and non-zero values of the response (biodiversity attribute in this case) is modelled, and the second component is where the non-zero component of the data is modelled for the subset of locations containing non-zero data (in our case, spring complexes containing one or more taxa) (Martin et al. 2005).  We applied a zero-inflated Poisson (ZIP) regression model to the non-zero species richness observations (appropriate for count data) and log-normal regression models for the non-zero values of each of other biodiversity attributes (appropriate for continuous data).  The binomial component of the ZIP model produced a predicted probability of occurrence of non-zero response data (i.e. contains one or more taxa) at each complex.  We used the taxon prevalence across complexes containing one or more taxa (i.e. 76 of 326 complexes, prevalence = 0.233) as a threshold to convert these probabilities to a predicted presence or absence, which is appropriate when the objective is to derive unbiased estimates of prevalence (Liu et al. 2005; Freeman &amp; Moisan, 2008).  All models were fitted in the R statistical environment (R Core Team 2016).</w:t>
      </w:r>
    </w:p>
    <w:p w14:paraId="5E4004E2"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Across the entire region, the majority of predictor variables were generally minimally correlated and represented potential surrogates for mechanistic drivers of species distributions and abundances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_Ref453232147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33</w:t>
      </w:r>
      <w:r w:rsidRPr="00747E35">
        <w:rPr>
          <w:rFonts w:asciiTheme="minorHAnsi" w:hAnsiTheme="minorHAnsi" w:cstheme="minorHAnsi"/>
        </w:rPr>
        <w:fldChar w:fldCharType="end"/>
      </w:r>
      <w:r w:rsidRPr="00747E35">
        <w:rPr>
          <w:rFonts w:asciiTheme="minorHAnsi" w:hAnsiTheme="minorHAnsi" w:cstheme="minorHAnsi"/>
        </w:rPr>
        <w:t>).  The exception to this pattern was that the count and mean hydrologic distance of complexes connected by drainage network or by surface water inundation were correlated with one another (r&gt;0.8) so only the count variables were used as predictors.  All predictor variables were scaled (range-standardised) prior to analysis.  We used Akaike’s Information Criterion (AIC) to select the most probable model for each regression model, using the glmulti package (Calcagno and de Mazancourt 2010) to test all possible candidate models.  We assessed the fit of the binomial component by calculating the correct classification rate of the model and also by calculating the area under the receiver operating characteristic (ROC) curve (AUC), a common metric for assessing sensitivity and specificity of binomial models (Fielding &amp; Bell, 1997).  The value of the AUC ranges between 0.5 (no agreement) to 1.0 (perfect agreement) with an AUC&gt;0.7 usually considered as acceptable model performance. We estimated the ROC curve using the pROC package (Robin et al. 2011).  The percentage variance explained (R</w:t>
      </w:r>
      <w:r w:rsidRPr="00747E35">
        <w:rPr>
          <w:rFonts w:asciiTheme="minorHAnsi" w:hAnsiTheme="minorHAnsi" w:cstheme="minorHAnsi"/>
          <w:vertAlign w:val="superscript"/>
        </w:rPr>
        <w:t>2</w:t>
      </w:r>
      <w:r w:rsidRPr="00747E35">
        <w:rPr>
          <w:rFonts w:asciiTheme="minorHAnsi" w:hAnsiTheme="minorHAnsi" w:cstheme="minorHAnsi"/>
        </w:rPr>
        <w:t>) was used to assess model fits for the continuous response variables.</w:t>
      </w:r>
    </w:p>
    <w:p w14:paraId="590830AA"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We also attempted to identify associations between environmental characteristics of spring complexes and spatial variation in taxonomic composition. We trialled two multi-response modelling methods (Multivariate Adaptive Regression Splines and Multivariate Classification and Regression Trees; Leathwick et al. 2005, De’ath 2002) as they can accommodate a variety of predictor variable data types, and are well suited to capturing non-linear relationships and interactions among predictors.  Unfortunately, preliminary analyses yielded very poor models (little power to explain variation in taxon occurrences and very weak relationships with environmental variables). This was likely due to the very low frequency of occurrences of most taxa (often only 1 occurrence per taxon – see Results); such response data are notoriously difficult to model. These models are not discussed further in this report.</w:t>
      </w:r>
    </w:p>
    <w:p w14:paraId="2A3FBD14" w14:textId="77777777" w:rsidR="0044478E" w:rsidRPr="00747E35" w:rsidRDefault="0044478E" w:rsidP="0044478E">
      <w:pPr>
        <w:rPr>
          <w:rFonts w:asciiTheme="minorHAnsi" w:hAnsiTheme="minorHAnsi" w:cstheme="minorHAnsi"/>
        </w:rPr>
      </w:pPr>
    </w:p>
    <w:p w14:paraId="6A458181"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t>Categorising and reviewing literature gaps</w:t>
      </w:r>
    </w:p>
    <w:p w14:paraId="07861885" w14:textId="048FF68C" w:rsidR="0044478E" w:rsidRPr="00747E35" w:rsidRDefault="0044478E" w:rsidP="0044478E">
      <w:pPr>
        <w:rPr>
          <w:rFonts w:asciiTheme="minorHAnsi" w:hAnsiTheme="minorHAnsi" w:cstheme="minorHAnsi"/>
        </w:rPr>
      </w:pPr>
      <w:r w:rsidRPr="00747E35">
        <w:rPr>
          <w:rFonts w:asciiTheme="minorHAnsi" w:hAnsiTheme="minorHAnsi" w:cstheme="minorHAnsi"/>
        </w:rPr>
        <w:t xml:space="preserve">During the construction of the taxa list, all literature pertaining to each taxon was collated and categorised to quantify the amount of published information available for each taxon.  All publications that included reference to the taxon in question were assigned to one of six information types: taxonomy, distribution, abundance, population connectivity, ecology and threats.  These categories were chosen as they form the key types of information required to understand or conserve these taxa. Once all literature had been reviewed, an ordinal score of relative information availability for each information type was estimated for </w:t>
      </w:r>
      <w:r w:rsidRPr="00747E35">
        <w:rPr>
          <w:rFonts w:asciiTheme="minorHAnsi" w:hAnsiTheme="minorHAnsi" w:cstheme="minorHAnsi"/>
        </w:rPr>
        <w:lastRenderedPageBreak/>
        <w:t xml:space="preserve">each taxon.  Scores ranged from 1 representing little or no information (i.e. data deficiency) to 4 representing very thorough information.  The scoring criteria for each information type are detailed in Appendix 4: </w:t>
      </w:r>
      <w:r w:rsidRPr="00747E35">
        <w:rPr>
          <w:rFonts w:asciiTheme="minorHAnsi" w:hAnsiTheme="minorHAnsi" w:cstheme="minorHAnsi"/>
        </w:rPr>
        <w:fldChar w:fldCharType="begin"/>
      </w:r>
      <w:r w:rsidRPr="00747E35">
        <w:rPr>
          <w:rFonts w:asciiTheme="minorHAnsi" w:hAnsiTheme="minorHAnsi" w:cstheme="minorHAnsi"/>
        </w:rPr>
        <w:instrText xml:space="preserve"> REF _Ref467224841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60</w:t>
      </w:r>
      <w:r w:rsidRPr="00747E35">
        <w:rPr>
          <w:rFonts w:asciiTheme="minorHAnsi" w:hAnsiTheme="minorHAnsi" w:cstheme="minorHAnsi"/>
        </w:rPr>
        <w:fldChar w:fldCharType="end"/>
      </w:r>
      <w:r w:rsidRPr="00747E35">
        <w:rPr>
          <w:rFonts w:asciiTheme="minorHAnsi" w:hAnsiTheme="minorHAnsi" w:cstheme="minorHAnsi"/>
        </w:rPr>
        <w:t>.</w:t>
      </w:r>
    </w:p>
    <w:p w14:paraId="3E6753F3" w14:textId="77777777" w:rsidR="0044478E" w:rsidRPr="00747E35" w:rsidRDefault="0044478E" w:rsidP="0044478E">
      <w:pPr>
        <w:rPr>
          <w:rFonts w:asciiTheme="minorHAnsi" w:hAnsiTheme="minorHAnsi" w:cstheme="minorHAnsi"/>
        </w:rPr>
      </w:pPr>
    </w:p>
    <w:p w14:paraId="1D0C5C82"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t>Review of conservation status and assessment of taxa representation within protected areas</w:t>
      </w:r>
    </w:p>
    <w:p w14:paraId="7E45A8C9"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 xml:space="preserve">Endemic taxa are protected via Australian threatened species legislation at federal or state levels.   Threatened species legislation in Australia encompasses all species deemed as part of the “community of native species dependent on discharge of water from the GAB” which are protected as part of the threatened community listing under the Environmental Protection and Biodiversity Conservation Act (EPBC Act).  In addition to this listing, some individual species are also listed under either the EPBC or relevant state conservation acts.  Many species endemic to springs have also been assessed under the IUCN Red List.  Their current status was accessed via the IUCN online database.  </w:t>
      </w:r>
    </w:p>
    <w:p w14:paraId="516924C0"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Species or populations of a species can be protected within National Parks, Conservation Reserves, Indigenous Protected Areas or private landholder conservation agreements.  We quantified representation of endemic spring taxa within existing protected areas that meet the IUCN definition using the most recent available (2014) version of the Collaborative Australian Protected Area Database (CAPAD 2014). For each complex, we calculated the number of springs that intersected protected areas.  For each taxon, we calculated the number of occurrences in complexes that intersected protected areas.</w:t>
      </w:r>
    </w:p>
    <w:p w14:paraId="49B3ABCC" w14:textId="77777777" w:rsidR="0044478E" w:rsidRPr="00747E35" w:rsidRDefault="0044478E" w:rsidP="0044478E">
      <w:pPr>
        <w:rPr>
          <w:rFonts w:asciiTheme="minorHAnsi" w:hAnsiTheme="minorHAnsi" w:cstheme="minorHAnsi"/>
        </w:rPr>
      </w:pPr>
    </w:p>
    <w:p w14:paraId="0CD286FB" w14:textId="6F8F72D4" w:rsidR="0044478E" w:rsidRPr="00747E35" w:rsidRDefault="0044478E" w:rsidP="0044478E">
      <w:pPr>
        <w:pStyle w:val="Heading3"/>
        <w:rPr>
          <w:rFonts w:asciiTheme="minorHAnsi" w:hAnsiTheme="minorHAnsi" w:cstheme="minorHAnsi"/>
          <w:i w:val="0"/>
        </w:rPr>
      </w:pPr>
      <w:bookmarkStart w:id="395" w:name="_Toc467244820"/>
      <w:bookmarkStart w:id="396" w:name="_Toc470004902"/>
      <w:r w:rsidRPr="00747E35">
        <w:rPr>
          <w:rFonts w:asciiTheme="minorHAnsi" w:hAnsiTheme="minorHAnsi" w:cstheme="minorHAnsi"/>
        </w:rPr>
        <w:t>Results</w:t>
      </w:r>
      <w:bookmarkEnd w:id="395"/>
      <w:bookmarkEnd w:id="396"/>
    </w:p>
    <w:p w14:paraId="039104CF"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t>Distribution of GAB springs and their current activity status</w:t>
      </w:r>
    </w:p>
    <w:p w14:paraId="6D722076" w14:textId="77777777" w:rsidR="0044478E" w:rsidRPr="00747E35" w:rsidRDefault="0044478E" w:rsidP="0044478E">
      <w:pPr>
        <w:rPr>
          <w:rFonts w:asciiTheme="minorHAnsi" w:hAnsiTheme="minorHAnsi" w:cstheme="minorHAnsi"/>
        </w:rPr>
      </w:pPr>
      <w:r w:rsidRPr="00747E35">
        <w:rPr>
          <w:rFonts w:asciiTheme="minorHAnsi" w:hAnsiTheme="minorHAnsi" w:cstheme="minorHAnsi"/>
          <w:i/>
        </w:rPr>
        <w:tab/>
      </w:r>
      <w:r w:rsidRPr="00747E35">
        <w:rPr>
          <w:rFonts w:asciiTheme="minorHAnsi" w:hAnsiTheme="minorHAnsi" w:cstheme="minorHAnsi"/>
        </w:rPr>
        <w:t>In total, 6,308 individual Great Artesian Basin springs (each of which could have one or multiple vents) were identified as existing at present or to have sufficient historical evidence to suggest they existed prior to the year 2000.  Those springs have been divided into 326 complexes spread across the 13 supergroups.  There is considerable variance in the number of springs associated with the Great Artesian Basin per complex and number of complexes per supergroup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_Ref453232254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136</w:t>
      </w:r>
      <w:r w:rsidRPr="00747E35">
        <w:rPr>
          <w:rFonts w:asciiTheme="minorHAnsi" w:hAnsiTheme="minorHAnsi" w:cstheme="minorHAnsi"/>
        </w:rPr>
        <w:fldChar w:fldCharType="end"/>
      </w:r>
      <w:r w:rsidRPr="00747E35">
        <w:rPr>
          <w:rFonts w:asciiTheme="minorHAnsi" w:hAnsiTheme="minorHAnsi" w:cstheme="minorHAnsi"/>
        </w:rPr>
        <w:t>).  Some supergroups are composed of a single small complex containing one spring (Mitchell/Staaten River, Bogan River) while others vary greatly in the number of complexes and springs per complex (Lake Eyre, Eulo, Flinders River), the largest being the Hermit Hill complex in the Lake Eyre supergroup with 429 springs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_Ref453232254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136</w:t>
      </w:r>
      <w:r w:rsidRPr="00747E35">
        <w:rPr>
          <w:rFonts w:asciiTheme="minorHAnsi" w:hAnsiTheme="minorHAnsi" w:cstheme="minorHAnsi"/>
        </w:rPr>
        <w:fldChar w:fldCharType="end"/>
      </w:r>
      <w:r w:rsidRPr="00747E35">
        <w:rPr>
          <w:rFonts w:asciiTheme="minorHAnsi" w:hAnsiTheme="minorHAnsi" w:cstheme="minorHAnsi"/>
        </w:rPr>
        <w:t xml:space="preserve">). </w:t>
      </w:r>
    </w:p>
    <w:p w14:paraId="4E542F99"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Of the 6,308 springs, 5,412 remain active while 1,161 (18.4%) showed no evidence of flow in recent surveys and are assumed to be dormant.  The current status of springs varies considerably across supergroups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_Ref453232254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136</w:t>
      </w:r>
      <w:r w:rsidRPr="00747E35">
        <w:rPr>
          <w:rFonts w:asciiTheme="minorHAnsi" w:hAnsiTheme="minorHAnsi" w:cstheme="minorHAnsi"/>
        </w:rPr>
        <w:fldChar w:fldCharType="end"/>
      </w:r>
      <w:r w:rsidRPr="00747E35">
        <w:rPr>
          <w:rFonts w:asciiTheme="minorHAnsi" w:hAnsiTheme="minorHAnsi" w:cstheme="minorHAnsi"/>
        </w:rPr>
        <w:t xml:space="preserve">).  Three supergroups show no evidence of dormant complexes (i.e. all complexes contain 100% active springs - Mitchell/Staaten, Dalhousie, Springsure and Lake Frome).  In contrast, some supergroups show evidence of considerable spring dormancy and are currently composed of entirely dormant complexes (Bogan River) or contain fewer than 70% of the original number of springs (Flinders River – 19%, Eulo – 41%, and Bourke – 69%). </w:t>
      </w:r>
    </w:p>
    <w:p w14:paraId="0EB2ED9B" w14:textId="77777777" w:rsidR="0044478E" w:rsidRPr="00747E35" w:rsidRDefault="0044478E" w:rsidP="0044478E">
      <w:pPr>
        <w:jc w:val="center"/>
        <w:rPr>
          <w:rFonts w:asciiTheme="minorHAnsi" w:hAnsiTheme="minorHAnsi" w:cstheme="minorHAnsi"/>
        </w:rPr>
      </w:pPr>
    </w:p>
    <w:p w14:paraId="015211CE" w14:textId="77777777" w:rsidR="0044478E" w:rsidRPr="00747E35" w:rsidRDefault="0044478E" w:rsidP="0044478E">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0654B661" wp14:editId="0F5848B5">
            <wp:extent cx="5144353" cy="4733925"/>
            <wp:effectExtent l="0" t="0" r="0" b="0"/>
            <wp:docPr id="58" name="Picture 58"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a:ext>
                      </a:extLst>
                    </a:blip>
                    <a:srcRect/>
                    <a:stretch>
                      <a:fillRect/>
                    </a:stretch>
                  </pic:blipFill>
                  <pic:spPr bwMode="auto">
                    <a:xfrm>
                      <a:off x="0" y="0"/>
                      <a:ext cx="5148300" cy="4737557"/>
                    </a:xfrm>
                    <a:prstGeom prst="rect">
                      <a:avLst/>
                    </a:prstGeom>
                    <a:noFill/>
                  </pic:spPr>
                </pic:pic>
              </a:graphicData>
            </a:graphic>
          </wp:inline>
        </w:drawing>
      </w:r>
    </w:p>
    <w:p w14:paraId="4481ABAE" w14:textId="77777777" w:rsidR="0044478E" w:rsidRPr="00747E35" w:rsidRDefault="0044478E" w:rsidP="00566456">
      <w:pPr>
        <w:pStyle w:val="Caption"/>
        <w:numPr>
          <w:ilvl w:val="0"/>
          <w:numId w:val="0"/>
        </w:numPr>
        <w:rPr>
          <w:rFonts w:cstheme="minorHAnsi"/>
        </w:rPr>
      </w:pPr>
      <w:bookmarkStart w:id="397" w:name="_Ref453232254"/>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136</w:t>
      </w:r>
      <w:r w:rsidR="009D6600" w:rsidRPr="00747E35">
        <w:rPr>
          <w:rFonts w:cstheme="minorHAnsi"/>
          <w:noProof/>
        </w:rPr>
        <w:fldChar w:fldCharType="end"/>
      </w:r>
      <w:bookmarkEnd w:id="397"/>
      <w:r w:rsidRPr="00747E35">
        <w:rPr>
          <w:rFonts w:cstheme="minorHAnsi"/>
        </w:rPr>
        <w:t>:</w:t>
      </w:r>
      <w:r w:rsidRPr="00747E35">
        <w:rPr>
          <w:rFonts w:cstheme="minorHAnsi"/>
          <w:b/>
        </w:rPr>
        <w:t xml:space="preserve"> </w:t>
      </w:r>
      <w:r w:rsidRPr="00747E35">
        <w:rPr>
          <w:rFonts w:cstheme="minorHAnsi"/>
        </w:rPr>
        <w:t xml:space="preserve">Map of GAB (shaded area) and spring complexes characterised by their status (% springs active). Spring complexes belonging to each supergroup are enclosed by dashed lines. </w:t>
      </w:r>
    </w:p>
    <w:p w14:paraId="3DA4139F" w14:textId="77777777" w:rsidR="0044478E" w:rsidRPr="00747E35" w:rsidRDefault="0044478E" w:rsidP="0044478E">
      <w:pPr>
        <w:rPr>
          <w:rFonts w:asciiTheme="minorHAnsi" w:hAnsiTheme="minorHAnsi" w:cstheme="minorHAnsi"/>
        </w:rPr>
      </w:pPr>
    </w:p>
    <w:p w14:paraId="5A917ECC"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t>Endemic taxa in GAB springs</w:t>
      </w:r>
    </w:p>
    <w:p w14:paraId="1ABA2F41" w14:textId="21F20871" w:rsidR="0044478E" w:rsidRPr="00747E35" w:rsidRDefault="0044478E" w:rsidP="0044478E">
      <w:pPr>
        <w:rPr>
          <w:rFonts w:asciiTheme="minorHAnsi" w:hAnsiTheme="minorHAnsi" w:cstheme="minorHAnsi"/>
        </w:rPr>
      </w:pPr>
      <w:r w:rsidRPr="00747E35">
        <w:rPr>
          <w:rFonts w:asciiTheme="minorHAnsi" w:hAnsiTheme="minorHAnsi" w:cstheme="minorHAnsi"/>
        </w:rPr>
        <w:t xml:space="preserve">Many organisms were excluded from this review because insufficient data were available (Appendix 4: </w:t>
      </w:r>
      <w:r w:rsidRPr="00747E35">
        <w:rPr>
          <w:rFonts w:asciiTheme="minorHAnsi" w:hAnsiTheme="minorHAnsi" w:cstheme="minorHAnsi"/>
        </w:rPr>
        <w:fldChar w:fldCharType="begin"/>
      </w:r>
      <w:r w:rsidRPr="00747E35">
        <w:rPr>
          <w:rFonts w:asciiTheme="minorHAnsi" w:hAnsiTheme="minorHAnsi" w:cstheme="minorHAnsi"/>
        </w:rPr>
        <w:instrText xml:space="preserve"> REF _Ref467224809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59</w:t>
      </w:r>
      <w:r w:rsidRPr="00747E35">
        <w:rPr>
          <w:rFonts w:asciiTheme="minorHAnsi" w:hAnsiTheme="minorHAnsi" w:cstheme="minorHAnsi"/>
        </w:rPr>
        <w:fldChar w:fldCharType="end"/>
      </w:r>
      <w:r w:rsidRPr="00747E35">
        <w:rPr>
          <w:rFonts w:asciiTheme="minorHAnsi" w:hAnsiTheme="minorHAnsi" w:cstheme="minorHAnsi"/>
        </w:rPr>
        <w:t>).  The review incorporated 98 taxa of plant (superorders Monocotyledon and Dicotyledon), molluscs (classes Bivalvia and Gastropoda), fish (class Actinopterygii), amphipods and isopods (both within class Malacostraca) with sufficient evidence to suggest they are found only in, or would perish without, GAB discharge springs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_Ref453232381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35</w:t>
      </w:r>
      <w:r w:rsidRPr="00747E35">
        <w:rPr>
          <w:rFonts w:asciiTheme="minorHAnsi" w:hAnsiTheme="minorHAnsi" w:cstheme="minorHAnsi"/>
        </w:rPr>
        <w:fldChar w:fldCharType="end"/>
      </w:r>
      <w:r w:rsidRPr="00747E35">
        <w:rPr>
          <w:rFonts w:asciiTheme="minorHAnsi" w:hAnsiTheme="minorHAnsi" w:cstheme="minorHAnsi"/>
        </w:rPr>
        <w:t xml:space="preserve">).  In the final list, 48 have full species status and 19 are undescribed but have sufficient expert support for their taxonomic distinction at the species level.  Two species are represented by multiple described subspecies and there are 7 taxa that are currently described as a single species but have evidence to suggest that they should be considered as a set of distinct clades or sub species.  When separated, they equate to a total of 27 taxa.  The taxon distribution database used for subsequent analyses represents the best available knowledge concerning the presence-absence of all 98 taxa across all 326 complexes. </w:t>
      </w:r>
    </w:p>
    <w:p w14:paraId="73B38D9A" w14:textId="77777777" w:rsidR="0044478E" w:rsidRPr="00747E35" w:rsidRDefault="0044478E" w:rsidP="0044478E">
      <w:pPr>
        <w:rPr>
          <w:rFonts w:asciiTheme="minorHAnsi" w:hAnsiTheme="minorHAnsi" w:cstheme="minorHAnsi"/>
        </w:rPr>
        <w:sectPr w:rsidR="0044478E" w:rsidRPr="00747E35" w:rsidSect="0044478E">
          <w:headerReference w:type="default" r:id="rId202"/>
          <w:footerReference w:type="even" r:id="rId203"/>
          <w:pgSz w:w="11906" w:h="16838"/>
          <w:pgMar w:top="1134" w:right="1134" w:bottom="1134" w:left="1134" w:header="709" w:footer="709" w:gutter="0"/>
          <w:cols w:space="708"/>
          <w:docGrid w:linePitch="360"/>
        </w:sectPr>
      </w:pPr>
    </w:p>
    <w:p w14:paraId="4A4C479A" w14:textId="13E12E6D" w:rsidR="0044478E" w:rsidRPr="00747E35" w:rsidRDefault="0044478E" w:rsidP="00566456">
      <w:pPr>
        <w:pStyle w:val="Caption"/>
        <w:numPr>
          <w:ilvl w:val="0"/>
          <w:numId w:val="0"/>
        </w:numPr>
        <w:rPr>
          <w:rFonts w:cstheme="minorHAnsi"/>
        </w:rPr>
      </w:pPr>
      <w:bookmarkStart w:id="398" w:name="_Ref453232381"/>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35</w:t>
      </w:r>
      <w:r w:rsidR="009D6600" w:rsidRPr="00747E35">
        <w:rPr>
          <w:rFonts w:cstheme="minorHAnsi"/>
          <w:noProof/>
        </w:rPr>
        <w:fldChar w:fldCharType="end"/>
      </w:r>
      <w:bookmarkEnd w:id="398"/>
      <w:r w:rsidRPr="00747E35">
        <w:rPr>
          <w:rFonts w:cstheme="minorHAnsi"/>
        </w:rPr>
        <w:t xml:space="preserve">: List of all fish, mollusc, amphipod, isopod and plant taxa incorporated into this review of endemic species in Great Artesian Basin springs, including their higher taxonomic classification, species, any included sub-species and their status (D – described, U – undescribed, PS – putative subspecies, DS – described subspecies). Also shown for each taxon are their frequency of occurrence (number of spring complexes, FoC), area of occupancy (total area of complexes, AoO), percentage of occurrences within protected complexes (% Protected) and the species-level endemism type </w:t>
      </w:r>
      <w:r w:rsidR="004842FF">
        <w:rPr>
          <w:rFonts w:cstheme="minorHAnsi"/>
        </w:rPr>
        <w:t xml:space="preserve">(indicted with boxes for multiple taxa within a given species) </w:t>
      </w:r>
      <w:r w:rsidRPr="00747E35">
        <w:rPr>
          <w:rFonts w:cstheme="minorHAnsi"/>
        </w:rPr>
        <w:t xml:space="preserve">to which they were assigned (see text). </w:t>
      </w:r>
    </w:p>
    <w:tbl>
      <w:tblPr>
        <w:tblW w:w="14862" w:type="dxa"/>
        <w:tblLayout w:type="fixed"/>
        <w:tblLook w:val="04A0" w:firstRow="1" w:lastRow="0" w:firstColumn="1" w:lastColumn="0" w:noHBand="0" w:noVBand="1"/>
      </w:tblPr>
      <w:tblGrid>
        <w:gridCol w:w="964"/>
        <w:gridCol w:w="1191"/>
        <w:gridCol w:w="1295"/>
        <w:gridCol w:w="1295"/>
        <w:gridCol w:w="1346"/>
        <w:gridCol w:w="2976"/>
        <w:gridCol w:w="1134"/>
        <w:gridCol w:w="567"/>
        <w:gridCol w:w="709"/>
        <w:gridCol w:w="992"/>
        <w:gridCol w:w="851"/>
        <w:gridCol w:w="1542"/>
      </w:tblGrid>
      <w:tr w:rsidR="0044478E" w:rsidRPr="00747E35" w14:paraId="7B322A4E" w14:textId="77777777" w:rsidTr="00B004E4">
        <w:trPr>
          <w:trHeight w:val="20"/>
          <w:tblHeader/>
        </w:trPr>
        <w:tc>
          <w:tcPr>
            <w:tcW w:w="964" w:type="dxa"/>
            <w:tcBorders>
              <w:top w:val="single" w:sz="4" w:space="0" w:color="auto"/>
              <w:bottom w:val="single" w:sz="4" w:space="0" w:color="auto"/>
            </w:tcBorders>
            <w:shd w:val="clear" w:color="auto" w:fill="DEEAF6" w:themeFill="accent1" w:themeFillTint="33"/>
            <w:noWrap/>
            <w:vAlign w:val="bottom"/>
            <w:hideMark/>
          </w:tcPr>
          <w:p w14:paraId="6B63C61F" w14:textId="77777777" w:rsidR="0044478E" w:rsidRPr="00747E35" w:rsidRDefault="0044478E" w:rsidP="0044478E">
            <w:pPr>
              <w:pStyle w:val="Tabletext"/>
              <w:spacing w:before="0" w:after="0"/>
              <w:rPr>
                <w:rFonts w:cstheme="minorHAnsi"/>
                <w:b/>
              </w:rPr>
            </w:pPr>
            <w:r w:rsidRPr="00747E35">
              <w:rPr>
                <w:rFonts w:cstheme="minorHAnsi"/>
                <w:b/>
              </w:rPr>
              <w:t>Kingdom</w:t>
            </w:r>
          </w:p>
        </w:tc>
        <w:tc>
          <w:tcPr>
            <w:tcW w:w="1191" w:type="dxa"/>
            <w:tcBorders>
              <w:top w:val="single" w:sz="4" w:space="0" w:color="auto"/>
              <w:bottom w:val="single" w:sz="4" w:space="0" w:color="auto"/>
            </w:tcBorders>
            <w:shd w:val="clear" w:color="auto" w:fill="DEEAF6" w:themeFill="accent1" w:themeFillTint="33"/>
            <w:noWrap/>
            <w:vAlign w:val="bottom"/>
            <w:hideMark/>
          </w:tcPr>
          <w:p w14:paraId="6DB471AB" w14:textId="77777777" w:rsidR="0044478E" w:rsidRPr="00747E35" w:rsidRDefault="0044478E" w:rsidP="0044478E">
            <w:pPr>
              <w:pStyle w:val="Tabletext"/>
              <w:spacing w:before="0" w:after="0"/>
              <w:rPr>
                <w:rFonts w:cstheme="minorHAnsi"/>
                <w:b/>
              </w:rPr>
            </w:pPr>
            <w:r w:rsidRPr="00747E35">
              <w:rPr>
                <w:rFonts w:cstheme="minorHAnsi"/>
                <w:b/>
              </w:rPr>
              <w:t>Phylum</w:t>
            </w:r>
          </w:p>
        </w:tc>
        <w:tc>
          <w:tcPr>
            <w:tcW w:w="1295" w:type="dxa"/>
            <w:tcBorders>
              <w:top w:val="single" w:sz="4" w:space="0" w:color="auto"/>
              <w:bottom w:val="single" w:sz="4" w:space="0" w:color="auto"/>
            </w:tcBorders>
            <w:shd w:val="clear" w:color="auto" w:fill="DEEAF6" w:themeFill="accent1" w:themeFillTint="33"/>
            <w:noWrap/>
            <w:vAlign w:val="bottom"/>
            <w:hideMark/>
          </w:tcPr>
          <w:p w14:paraId="3E79A83B" w14:textId="77777777" w:rsidR="0044478E" w:rsidRPr="00747E35" w:rsidRDefault="0044478E" w:rsidP="0044478E">
            <w:pPr>
              <w:pStyle w:val="Tabletext"/>
              <w:spacing w:before="0" w:after="0"/>
              <w:rPr>
                <w:rFonts w:cstheme="minorHAnsi"/>
                <w:b/>
              </w:rPr>
            </w:pPr>
            <w:r w:rsidRPr="00747E35">
              <w:rPr>
                <w:rFonts w:cstheme="minorHAnsi"/>
                <w:b/>
              </w:rPr>
              <w:t>Class</w:t>
            </w:r>
          </w:p>
        </w:tc>
        <w:tc>
          <w:tcPr>
            <w:tcW w:w="1295" w:type="dxa"/>
            <w:tcBorders>
              <w:top w:val="single" w:sz="4" w:space="0" w:color="auto"/>
              <w:bottom w:val="single" w:sz="4" w:space="0" w:color="auto"/>
            </w:tcBorders>
            <w:shd w:val="clear" w:color="auto" w:fill="DEEAF6" w:themeFill="accent1" w:themeFillTint="33"/>
            <w:noWrap/>
            <w:vAlign w:val="bottom"/>
            <w:hideMark/>
          </w:tcPr>
          <w:p w14:paraId="5C37A3B1" w14:textId="77777777" w:rsidR="0044478E" w:rsidRPr="00747E35" w:rsidRDefault="0044478E" w:rsidP="0044478E">
            <w:pPr>
              <w:pStyle w:val="Tabletext"/>
              <w:spacing w:before="0" w:after="0"/>
              <w:rPr>
                <w:rFonts w:cstheme="minorHAnsi"/>
                <w:b/>
              </w:rPr>
            </w:pPr>
            <w:r w:rsidRPr="00747E35">
              <w:rPr>
                <w:rFonts w:cstheme="minorHAnsi"/>
                <w:b/>
              </w:rPr>
              <w:t>Order</w:t>
            </w:r>
          </w:p>
        </w:tc>
        <w:tc>
          <w:tcPr>
            <w:tcW w:w="1346" w:type="dxa"/>
            <w:tcBorders>
              <w:top w:val="single" w:sz="4" w:space="0" w:color="auto"/>
              <w:bottom w:val="single" w:sz="4" w:space="0" w:color="auto"/>
            </w:tcBorders>
            <w:shd w:val="clear" w:color="auto" w:fill="DEEAF6" w:themeFill="accent1" w:themeFillTint="33"/>
            <w:noWrap/>
            <w:vAlign w:val="bottom"/>
            <w:hideMark/>
          </w:tcPr>
          <w:p w14:paraId="5D8FA959" w14:textId="77777777" w:rsidR="0044478E" w:rsidRPr="00747E35" w:rsidRDefault="0044478E" w:rsidP="0044478E">
            <w:pPr>
              <w:pStyle w:val="Tabletext"/>
              <w:spacing w:before="0" w:after="0"/>
              <w:rPr>
                <w:rFonts w:cstheme="minorHAnsi"/>
                <w:b/>
              </w:rPr>
            </w:pPr>
            <w:r w:rsidRPr="00747E35">
              <w:rPr>
                <w:rFonts w:cstheme="minorHAnsi"/>
                <w:b/>
              </w:rPr>
              <w:t>Family</w:t>
            </w:r>
          </w:p>
        </w:tc>
        <w:tc>
          <w:tcPr>
            <w:tcW w:w="2976" w:type="dxa"/>
            <w:tcBorders>
              <w:top w:val="single" w:sz="4" w:space="0" w:color="auto"/>
              <w:bottom w:val="single" w:sz="4" w:space="0" w:color="auto"/>
            </w:tcBorders>
            <w:shd w:val="clear" w:color="auto" w:fill="DEEAF6" w:themeFill="accent1" w:themeFillTint="33"/>
            <w:noWrap/>
            <w:vAlign w:val="bottom"/>
            <w:hideMark/>
          </w:tcPr>
          <w:p w14:paraId="6B609252" w14:textId="77777777" w:rsidR="0044478E" w:rsidRPr="00747E35" w:rsidRDefault="0044478E" w:rsidP="0044478E">
            <w:pPr>
              <w:pStyle w:val="Tabletext"/>
              <w:spacing w:before="0" w:after="0"/>
              <w:rPr>
                <w:rFonts w:cstheme="minorHAnsi"/>
                <w:b/>
              </w:rPr>
            </w:pPr>
            <w:r w:rsidRPr="00747E35">
              <w:rPr>
                <w:rFonts w:cstheme="minorHAnsi"/>
                <w:b/>
              </w:rPr>
              <w:t>Taxon</w:t>
            </w:r>
          </w:p>
        </w:tc>
        <w:tc>
          <w:tcPr>
            <w:tcW w:w="1134" w:type="dxa"/>
            <w:tcBorders>
              <w:top w:val="single" w:sz="4" w:space="0" w:color="auto"/>
              <w:bottom w:val="single" w:sz="4" w:space="0" w:color="auto"/>
            </w:tcBorders>
            <w:shd w:val="clear" w:color="auto" w:fill="DEEAF6" w:themeFill="accent1" w:themeFillTint="33"/>
            <w:noWrap/>
            <w:vAlign w:val="bottom"/>
            <w:hideMark/>
          </w:tcPr>
          <w:p w14:paraId="72DA4F91" w14:textId="77777777" w:rsidR="0044478E" w:rsidRPr="00747E35" w:rsidRDefault="0044478E" w:rsidP="0044478E">
            <w:pPr>
              <w:pStyle w:val="Tabletext"/>
              <w:spacing w:before="0" w:after="0"/>
              <w:rPr>
                <w:rFonts w:cstheme="minorHAnsi"/>
                <w:b/>
              </w:rPr>
            </w:pPr>
            <w:r w:rsidRPr="00747E35">
              <w:rPr>
                <w:rFonts w:cstheme="minorHAnsi"/>
                <w:b/>
              </w:rPr>
              <w:t>Code</w:t>
            </w:r>
          </w:p>
        </w:tc>
        <w:tc>
          <w:tcPr>
            <w:tcW w:w="567" w:type="dxa"/>
            <w:tcBorders>
              <w:top w:val="single" w:sz="4" w:space="0" w:color="auto"/>
              <w:bottom w:val="single" w:sz="4" w:space="0" w:color="auto"/>
            </w:tcBorders>
            <w:shd w:val="clear" w:color="auto" w:fill="DEEAF6" w:themeFill="accent1" w:themeFillTint="33"/>
            <w:vAlign w:val="bottom"/>
          </w:tcPr>
          <w:p w14:paraId="3C2B7093" w14:textId="77777777" w:rsidR="0044478E" w:rsidRPr="00747E35" w:rsidRDefault="0044478E" w:rsidP="0044478E">
            <w:pPr>
              <w:pStyle w:val="Tabletext"/>
              <w:spacing w:before="0" w:after="0"/>
              <w:rPr>
                <w:rFonts w:cstheme="minorHAnsi"/>
                <w:b/>
              </w:rPr>
            </w:pPr>
            <w:r w:rsidRPr="00747E35">
              <w:rPr>
                <w:rFonts w:cstheme="minorHAnsi"/>
                <w:b/>
              </w:rPr>
              <w:t>FoC</w:t>
            </w:r>
          </w:p>
        </w:tc>
        <w:tc>
          <w:tcPr>
            <w:tcW w:w="709" w:type="dxa"/>
            <w:tcBorders>
              <w:top w:val="single" w:sz="4" w:space="0" w:color="auto"/>
              <w:bottom w:val="single" w:sz="4" w:space="0" w:color="auto"/>
            </w:tcBorders>
            <w:shd w:val="clear" w:color="auto" w:fill="DEEAF6" w:themeFill="accent1" w:themeFillTint="33"/>
            <w:vAlign w:val="bottom"/>
          </w:tcPr>
          <w:p w14:paraId="698A9DD4" w14:textId="77777777" w:rsidR="0044478E" w:rsidRPr="00747E35" w:rsidRDefault="0044478E" w:rsidP="0044478E">
            <w:pPr>
              <w:pStyle w:val="Tabletext"/>
              <w:spacing w:before="0" w:after="0"/>
              <w:rPr>
                <w:rFonts w:cstheme="minorHAnsi"/>
                <w:b/>
              </w:rPr>
            </w:pPr>
            <w:r w:rsidRPr="00747E35">
              <w:rPr>
                <w:rFonts w:cstheme="minorHAnsi"/>
                <w:b/>
              </w:rPr>
              <w:t>AoO</w:t>
            </w:r>
          </w:p>
        </w:tc>
        <w:tc>
          <w:tcPr>
            <w:tcW w:w="992" w:type="dxa"/>
            <w:tcBorders>
              <w:top w:val="single" w:sz="4" w:space="0" w:color="auto"/>
              <w:bottom w:val="single" w:sz="4" w:space="0" w:color="auto"/>
            </w:tcBorders>
            <w:shd w:val="clear" w:color="auto" w:fill="DEEAF6" w:themeFill="accent1" w:themeFillTint="33"/>
            <w:vAlign w:val="bottom"/>
          </w:tcPr>
          <w:p w14:paraId="05D5B379" w14:textId="77777777" w:rsidR="0044478E" w:rsidRPr="00747E35" w:rsidRDefault="0044478E" w:rsidP="0044478E">
            <w:pPr>
              <w:pStyle w:val="Tabletext"/>
              <w:spacing w:before="0" w:after="0"/>
              <w:rPr>
                <w:rFonts w:cstheme="minorHAnsi"/>
                <w:b/>
              </w:rPr>
            </w:pPr>
            <w:r w:rsidRPr="00747E35">
              <w:rPr>
                <w:rFonts w:cstheme="minorHAnsi"/>
                <w:b/>
              </w:rPr>
              <w:t>% protected</w:t>
            </w:r>
          </w:p>
        </w:tc>
        <w:tc>
          <w:tcPr>
            <w:tcW w:w="851" w:type="dxa"/>
            <w:tcBorders>
              <w:top w:val="single" w:sz="4" w:space="0" w:color="auto"/>
              <w:bottom w:val="single" w:sz="4" w:space="0" w:color="auto"/>
            </w:tcBorders>
            <w:shd w:val="clear" w:color="auto" w:fill="DEEAF6" w:themeFill="accent1" w:themeFillTint="33"/>
            <w:vAlign w:val="bottom"/>
          </w:tcPr>
          <w:p w14:paraId="7252DA2F" w14:textId="77777777" w:rsidR="0044478E" w:rsidRPr="00747E35" w:rsidRDefault="0044478E" w:rsidP="0044478E">
            <w:pPr>
              <w:pStyle w:val="Tabletext"/>
              <w:spacing w:before="0" w:after="0"/>
              <w:rPr>
                <w:rFonts w:cstheme="minorHAnsi"/>
                <w:b/>
              </w:rPr>
            </w:pPr>
            <w:r w:rsidRPr="00747E35">
              <w:rPr>
                <w:rFonts w:cstheme="minorHAnsi"/>
                <w:b/>
              </w:rPr>
              <w:t>Taxon. status</w:t>
            </w:r>
          </w:p>
        </w:tc>
        <w:tc>
          <w:tcPr>
            <w:tcW w:w="1542" w:type="dxa"/>
            <w:tcBorders>
              <w:top w:val="single" w:sz="4" w:space="0" w:color="auto"/>
              <w:bottom w:val="single" w:sz="4" w:space="0" w:color="auto"/>
            </w:tcBorders>
            <w:shd w:val="clear" w:color="auto" w:fill="DEEAF6" w:themeFill="accent1" w:themeFillTint="33"/>
            <w:vAlign w:val="bottom"/>
          </w:tcPr>
          <w:p w14:paraId="6F8923E0" w14:textId="77777777" w:rsidR="0044478E" w:rsidRPr="00747E35" w:rsidRDefault="0044478E" w:rsidP="0044478E">
            <w:pPr>
              <w:pStyle w:val="Tabletext"/>
              <w:spacing w:before="0" w:after="0"/>
              <w:rPr>
                <w:rFonts w:cstheme="minorHAnsi"/>
                <w:b/>
              </w:rPr>
            </w:pPr>
            <w:r w:rsidRPr="00747E35">
              <w:rPr>
                <w:rFonts w:cstheme="minorHAnsi"/>
                <w:b/>
              </w:rPr>
              <w:t>Endemism type</w:t>
            </w:r>
          </w:p>
        </w:tc>
      </w:tr>
      <w:tr w:rsidR="0044478E" w:rsidRPr="00747E35" w14:paraId="54E78CE0" w14:textId="77777777" w:rsidTr="0044478E">
        <w:trPr>
          <w:trHeight w:val="20"/>
        </w:trPr>
        <w:tc>
          <w:tcPr>
            <w:tcW w:w="964" w:type="dxa"/>
            <w:tcBorders>
              <w:top w:val="single" w:sz="4" w:space="0" w:color="auto"/>
            </w:tcBorders>
            <w:shd w:val="clear" w:color="auto" w:fill="auto"/>
            <w:noWrap/>
            <w:hideMark/>
          </w:tcPr>
          <w:p w14:paraId="4E8DDBC2"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tcBorders>
              <w:top w:val="single" w:sz="4" w:space="0" w:color="auto"/>
            </w:tcBorders>
            <w:shd w:val="clear" w:color="auto" w:fill="auto"/>
            <w:noWrap/>
            <w:hideMark/>
          </w:tcPr>
          <w:p w14:paraId="33349132" w14:textId="77777777" w:rsidR="0044478E" w:rsidRPr="00747E35" w:rsidRDefault="0044478E" w:rsidP="0044478E">
            <w:pPr>
              <w:pStyle w:val="Tabletext"/>
              <w:spacing w:before="0" w:after="0"/>
              <w:rPr>
                <w:rFonts w:cstheme="minorHAnsi"/>
                <w:sz w:val="16"/>
              </w:rPr>
            </w:pPr>
            <w:r w:rsidRPr="00747E35">
              <w:rPr>
                <w:rFonts w:cstheme="minorHAnsi"/>
                <w:sz w:val="16"/>
              </w:rPr>
              <w:t>Chordata</w:t>
            </w:r>
          </w:p>
        </w:tc>
        <w:tc>
          <w:tcPr>
            <w:tcW w:w="1295" w:type="dxa"/>
            <w:tcBorders>
              <w:top w:val="single" w:sz="4" w:space="0" w:color="auto"/>
            </w:tcBorders>
            <w:shd w:val="clear" w:color="auto" w:fill="auto"/>
            <w:noWrap/>
            <w:hideMark/>
          </w:tcPr>
          <w:p w14:paraId="02B2FE57" w14:textId="77777777" w:rsidR="0044478E" w:rsidRPr="00747E35" w:rsidRDefault="0044478E" w:rsidP="0044478E">
            <w:pPr>
              <w:pStyle w:val="Tabletext"/>
              <w:spacing w:before="0" w:after="0"/>
              <w:rPr>
                <w:rFonts w:cstheme="minorHAnsi"/>
                <w:sz w:val="16"/>
              </w:rPr>
            </w:pPr>
            <w:r w:rsidRPr="00747E35">
              <w:rPr>
                <w:rFonts w:cstheme="minorHAnsi"/>
                <w:sz w:val="16"/>
              </w:rPr>
              <w:t>Actinopterygii</w:t>
            </w:r>
          </w:p>
        </w:tc>
        <w:tc>
          <w:tcPr>
            <w:tcW w:w="1295" w:type="dxa"/>
            <w:tcBorders>
              <w:top w:val="single" w:sz="4" w:space="0" w:color="auto"/>
            </w:tcBorders>
            <w:shd w:val="clear" w:color="auto" w:fill="auto"/>
            <w:noWrap/>
            <w:hideMark/>
          </w:tcPr>
          <w:p w14:paraId="27D3F48C" w14:textId="77777777" w:rsidR="0044478E" w:rsidRPr="00747E35" w:rsidRDefault="0044478E" w:rsidP="0044478E">
            <w:pPr>
              <w:pStyle w:val="Tabletext"/>
              <w:spacing w:before="0" w:after="0"/>
              <w:rPr>
                <w:rFonts w:cstheme="minorHAnsi"/>
                <w:sz w:val="16"/>
              </w:rPr>
            </w:pPr>
            <w:r w:rsidRPr="00747E35">
              <w:rPr>
                <w:rFonts w:cstheme="minorHAnsi"/>
                <w:sz w:val="16"/>
              </w:rPr>
              <w:t>Atheriniformes</w:t>
            </w:r>
          </w:p>
        </w:tc>
        <w:tc>
          <w:tcPr>
            <w:tcW w:w="1346" w:type="dxa"/>
            <w:tcBorders>
              <w:top w:val="single" w:sz="4" w:space="0" w:color="auto"/>
            </w:tcBorders>
            <w:shd w:val="clear" w:color="auto" w:fill="auto"/>
            <w:noWrap/>
            <w:hideMark/>
          </w:tcPr>
          <w:p w14:paraId="09596765" w14:textId="77777777" w:rsidR="0044478E" w:rsidRPr="00747E35" w:rsidRDefault="0044478E" w:rsidP="0044478E">
            <w:pPr>
              <w:pStyle w:val="Tabletext"/>
              <w:spacing w:before="0" w:after="0"/>
              <w:rPr>
                <w:rFonts w:cstheme="minorHAnsi"/>
                <w:sz w:val="16"/>
              </w:rPr>
            </w:pPr>
            <w:r w:rsidRPr="00747E35">
              <w:rPr>
                <w:rFonts w:cstheme="minorHAnsi"/>
                <w:sz w:val="16"/>
              </w:rPr>
              <w:t>Atherinidae</w:t>
            </w:r>
          </w:p>
        </w:tc>
        <w:tc>
          <w:tcPr>
            <w:tcW w:w="2976" w:type="dxa"/>
            <w:tcBorders>
              <w:top w:val="single" w:sz="4" w:space="0" w:color="auto"/>
            </w:tcBorders>
            <w:shd w:val="clear" w:color="auto" w:fill="auto"/>
            <w:noWrap/>
            <w:hideMark/>
          </w:tcPr>
          <w:p w14:paraId="45E05194" w14:textId="77777777" w:rsidR="0044478E" w:rsidRPr="00747E35" w:rsidRDefault="0044478E" w:rsidP="0044478E">
            <w:pPr>
              <w:pStyle w:val="Tabletext"/>
              <w:spacing w:before="0" w:after="0"/>
              <w:rPr>
                <w:rFonts w:cstheme="minorHAnsi"/>
                <w:i/>
                <w:sz w:val="16"/>
              </w:rPr>
            </w:pPr>
            <w:r w:rsidRPr="00747E35">
              <w:rPr>
                <w:rFonts w:cstheme="minorHAnsi"/>
                <w:i/>
                <w:sz w:val="16"/>
              </w:rPr>
              <w:t>Craterocephalus dalhousiensis</w:t>
            </w:r>
          </w:p>
        </w:tc>
        <w:tc>
          <w:tcPr>
            <w:tcW w:w="1134" w:type="dxa"/>
            <w:tcBorders>
              <w:top w:val="single" w:sz="4" w:space="0" w:color="auto"/>
            </w:tcBorders>
            <w:shd w:val="clear" w:color="auto" w:fill="auto"/>
            <w:noWrap/>
            <w:hideMark/>
          </w:tcPr>
          <w:p w14:paraId="49A663F8" w14:textId="77777777" w:rsidR="0044478E" w:rsidRPr="00747E35" w:rsidRDefault="0044478E" w:rsidP="0044478E">
            <w:pPr>
              <w:pStyle w:val="Tabletext"/>
              <w:spacing w:before="0" w:after="0"/>
              <w:rPr>
                <w:rFonts w:cstheme="minorHAnsi"/>
                <w:sz w:val="16"/>
              </w:rPr>
            </w:pPr>
            <w:r w:rsidRPr="00747E35">
              <w:rPr>
                <w:rFonts w:cstheme="minorHAnsi"/>
                <w:sz w:val="16"/>
              </w:rPr>
              <w:t>F_Crdalh</w:t>
            </w:r>
          </w:p>
        </w:tc>
        <w:tc>
          <w:tcPr>
            <w:tcW w:w="567" w:type="dxa"/>
            <w:tcBorders>
              <w:top w:val="single" w:sz="4" w:space="0" w:color="auto"/>
            </w:tcBorders>
          </w:tcPr>
          <w:p w14:paraId="0F560CB2"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Borders>
              <w:top w:val="single" w:sz="4" w:space="0" w:color="auto"/>
            </w:tcBorders>
          </w:tcPr>
          <w:p w14:paraId="7331B5D8" w14:textId="77777777" w:rsidR="0044478E" w:rsidRPr="00747E35" w:rsidRDefault="0044478E" w:rsidP="0044478E">
            <w:pPr>
              <w:pStyle w:val="Tabletext"/>
              <w:spacing w:before="0" w:after="0"/>
              <w:rPr>
                <w:rFonts w:cstheme="minorHAnsi"/>
                <w:sz w:val="16"/>
              </w:rPr>
            </w:pPr>
            <w:r w:rsidRPr="00747E35">
              <w:rPr>
                <w:rFonts w:cstheme="minorHAnsi"/>
                <w:sz w:val="16"/>
              </w:rPr>
              <w:t>56.8</w:t>
            </w:r>
          </w:p>
        </w:tc>
        <w:tc>
          <w:tcPr>
            <w:tcW w:w="992" w:type="dxa"/>
            <w:tcBorders>
              <w:top w:val="single" w:sz="4" w:space="0" w:color="auto"/>
            </w:tcBorders>
          </w:tcPr>
          <w:p w14:paraId="551A0D9D"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Borders>
              <w:top w:val="single" w:sz="4" w:space="0" w:color="auto"/>
            </w:tcBorders>
          </w:tcPr>
          <w:p w14:paraId="63891A79"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Borders>
              <w:top w:val="single" w:sz="4" w:space="0" w:color="auto"/>
            </w:tcBorders>
          </w:tcPr>
          <w:p w14:paraId="1DC97704"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0FE3056E" w14:textId="77777777" w:rsidTr="0044478E">
        <w:trPr>
          <w:trHeight w:val="20"/>
        </w:trPr>
        <w:tc>
          <w:tcPr>
            <w:tcW w:w="964" w:type="dxa"/>
            <w:shd w:val="clear" w:color="auto" w:fill="auto"/>
            <w:noWrap/>
            <w:hideMark/>
          </w:tcPr>
          <w:p w14:paraId="52143E99"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6DB24986" w14:textId="77777777" w:rsidR="0044478E" w:rsidRPr="00747E35" w:rsidRDefault="0044478E" w:rsidP="0044478E">
            <w:pPr>
              <w:pStyle w:val="Tabletext"/>
              <w:spacing w:before="0" w:after="0"/>
              <w:rPr>
                <w:rFonts w:cstheme="minorHAnsi"/>
                <w:sz w:val="16"/>
              </w:rPr>
            </w:pPr>
            <w:r w:rsidRPr="00747E35">
              <w:rPr>
                <w:rFonts w:cstheme="minorHAnsi"/>
                <w:sz w:val="16"/>
              </w:rPr>
              <w:t>Chordata</w:t>
            </w:r>
          </w:p>
        </w:tc>
        <w:tc>
          <w:tcPr>
            <w:tcW w:w="1295" w:type="dxa"/>
            <w:shd w:val="clear" w:color="auto" w:fill="auto"/>
            <w:noWrap/>
            <w:hideMark/>
          </w:tcPr>
          <w:p w14:paraId="6BBB80A1" w14:textId="77777777" w:rsidR="0044478E" w:rsidRPr="00747E35" w:rsidRDefault="0044478E" w:rsidP="0044478E">
            <w:pPr>
              <w:pStyle w:val="Tabletext"/>
              <w:spacing w:before="0" w:after="0"/>
              <w:rPr>
                <w:rFonts w:cstheme="minorHAnsi"/>
                <w:sz w:val="16"/>
              </w:rPr>
            </w:pPr>
            <w:r w:rsidRPr="00747E35">
              <w:rPr>
                <w:rFonts w:cstheme="minorHAnsi"/>
                <w:sz w:val="16"/>
              </w:rPr>
              <w:t>Actinopterygii</w:t>
            </w:r>
          </w:p>
        </w:tc>
        <w:tc>
          <w:tcPr>
            <w:tcW w:w="1295" w:type="dxa"/>
            <w:shd w:val="clear" w:color="auto" w:fill="auto"/>
            <w:noWrap/>
            <w:hideMark/>
          </w:tcPr>
          <w:p w14:paraId="13429082" w14:textId="77777777" w:rsidR="0044478E" w:rsidRPr="00747E35" w:rsidRDefault="0044478E" w:rsidP="0044478E">
            <w:pPr>
              <w:pStyle w:val="Tabletext"/>
              <w:spacing w:before="0" w:after="0"/>
              <w:rPr>
                <w:rFonts w:cstheme="minorHAnsi"/>
                <w:sz w:val="16"/>
              </w:rPr>
            </w:pPr>
            <w:r w:rsidRPr="00747E35">
              <w:rPr>
                <w:rFonts w:cstheme="minorHAnsi"/>
                <w:sz w:val="16"/>
              </w:rPr>
              <w:t>Atheriniformes</w:t>
            </w:r>
          </w:p>
        </w:tc>
        <w:tc>
          <w:tcPr>
            <w:tcW w:w="1346" w:type="dxa"/>
            <w:shd w:val="clear" w:color="auto" w:fill="auto"/>
            <w:noWrap/>
            <w:hideMark/>
          </w:tcPr>
          <w:p w14:paraId="7BAE93FB" w14:textId="77777777" w:rsidR="0044478E" w:rsidRPr="00747E35" w:rsidRDefault="0044478E" w:rsidP="0044478E">
            <w:pPr>
              <w:pStyle w:val="Tabletext"/>
              <w:spacing w:before="0" w:after="0"/>
              <w:rPr>
                <w:rFonts w:cstheme="minorHAnsi"/>
                <w:sz w:val="16"/>
              </w:rPr>
            </w:pPr>
            <w:r w:rsidRPr="00747E35">
              <w:rPr>
                <w:rFonts w:cstheme="minorHAnsi"/>
                <w:sz w:val="16"/>
              </w:rPr>
              <w:t>Pseduomugilidae</w:t>
            </w:r>
          </w:p>
        </w:tc>
        <w:tc>
          <w:tcPr>
            <w:tcW w:w="2976" w:type="dxa"/>
            <w:shd w:val="clear" w:color="auto" w:fill="auto"/>
            <w:noWrap/>
            <w:hideMark/>
          </w:tcPr>
          <w:p w14:paraId="736FEC55" w14:textId="77777777" w:rsidR="0044478E" w:rsidRPr="00747E35" w:rsidRDefault="0044478E" w:rsidP="0044478E">
            <w:pPr>
              <w:pStyle w:val="Tabletext"/>
              <w:spacing w:before="0" w:after="0"/>
              <w:rPr>
                <w:rFonts w:cstheme="minorHAnsi"/>
                <w:i/>
                <w:sz w:val="16"/>
              </w:rPr>
            </w:pPr>
            <w:r w:rsidRPr="00747E35">
              <w:rPr>
                <w:rFonts w:cstheme="minorHAnsi"/>
                <w:i/>
                <w:sz w:val="16"/>
              </w:rPr>
              <w:t>Scaturiginichthys vermeilipinnis</w:t>
            </w:r>
          </w:p>
        </w:tc>
        <w:tc>
          <w:tcPr>
            <w:tcW w:w="1134" w:type="dxa"/>
            <w:shd w:val="clear" w:color="auto" w:fill="auto"/>
            <w:noWrap/>
            <w:hideMark/>
          </w:tcPr>
          <w:p w14:paraId="27CA654D" w14:textId="77777777" w:rsidR="0044478E" w:rsidRPr="00747E35" w:rsidRDefault="0044478E" w:rsidP="0044478E">
            <w:pPr>
              <w:pStyle w:val="Tabletext"/>
              <w:spacing w:before="0" w:after="0"/>
              <w:rPr>
                <w:rFonts w:cstheme="minorHAnsi"/>
                <w:sz w:val="16"/>
              </w:rPr>
            </w:pPr>
            <w:r w:rsidRPr="00747E35">
              <w:rPr>
                <w:rFonts w:cstheme="minorHAnsi"/>
                <w:sz w:val="16"/>
              </w:rPr>
              <w:t>F_Pscat</w:t>
            </w:r>
          </w:p>
        </w:tc>
        <w:tc>
          <w:tcPr>
            <w:tcW w:w="567" w:type="dxa"/>
          </w:tcPr>
          <w:p w14:paraId="1A9D0E85"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1642CC1A" w14:textId="77777777" w:rsidR="0044478E" w:rsidRPr="00747E35" w:rsidRDefault="0044478E" w:rsidP="0044478E">
            <w:pPr>
              <w:pStyle w:val="Tabletext"/>
              <w:spacing w:before="0" w:after="0"/>
              <w:rPr>
                <w:rFonts w:cstheme="minorHAnsi"/>
                <w:sz w:val="16"/>
              </w:rPr>
            </w:pPr>
            <w:r w:rsidRPr="00747E35">
              <w:rPr>
                <w:rFonts w:cstheme="minorHAnsi"/>
                <w:sz w:val="16"/>
              </w:rPr>
              <w:t>29.7</w:t>
            </w:r>
          </w:p>
        </w:tc>
        <w:tc>
          <w:tcPr>
            <w:tcW w:w="992" w:type="dxa"/>
          </w:tcPr>
          <w:p w14:paraId="1B9CB560"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65E6D2A1"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632B5183"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49902010" w14:textId="77777777" w:rsidTr="0044478E">
        <w:trPr>
          <w:trHeight w:val="20"/>
        </w:trPr>
        <w:tc>
          <w:tcPr>
            <w:tcW w:w="964" w:type="dxa"/>
            <w:shd w:val="clear" w:color="auto" w:fill="auto"/>
            <w:noWrap/>
            <w:hideMark/>
          </w:tcPr>
          <w:p w14:paraId="13540396"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191A54EE" w14:textId="77777777" w:rsidR="0044478E" w:rsidRPr="00747E35" w:rsidRDefault="0044478E" w:rsidP="0044478E">
            <w:pPr>
              <w:pStyle w:val="Tabletext"/>
              <w:spacing w:before="0" w:after="0"/>
              <w:rPr>
                <w:rFonts w:cstheme="minorHAnsi"/>
                <w:sz w:val="16"/>
              </w:rPr>
            </w:pPr>
            <w:r w:rsidRPr="00747E35">
              <w:rPr>
                <w:rFonts w:cstheme="minorHAnsi"/>
                <w:sz w:val="16"/>
              </w:rPr>
              <w:t>Chordata</w:t>
            </w:r>
          </w:p>
        </w:tc>
        <w:tc>
          <w:tcPr>
            <w:tcW w:w="1295" w:type="dxa"/>
            <w:shd w:val="clear" w:color="auto" w:fill="auto"/>
            <w:noWrap/>
            <w:hideMark/>
          </w:tcPr>
          <w:p w14:paraId="2238F439" w14:textId="77777777" w:rsidR="0044478E" w:rsidRPr="00747E35" w:rsidRDefault="0044478E" w:rsidP="0044478E">
            <w:pPr>
              <w:pStyle w:val="Tabletext"/>
              <w:spacing w:before="0" w:after="0"/>
              <w:rPr>
                <w:rFonts w:cstheme="minorHAnsi"/>
                <w:sz w:val="16"/>
              </w:rPr>
            </w:pPr>
            <w:r w:rsidRPr="00747E35">
              <w:rPr>
                <w:rFonts w:cstheme="minorHAnsi"/>
                <w:sz w:val="16"/>
              </w:rPr>
              <w:t>Actinopterygii</w:t>
            </w:r>
          </w:p>
        </w:tc>
        <w:tc>
          <w:tcPr>
            <w:tcW w:w="1295" w:type="dxa"/>
            <w:shd w:val="clear" w:color="auto" w:fill="auto"/>
            <w:noWrap/>
            <w:hideMark/>
          </w:tcPr>
          <w:p w14:paraId="7DFDE64D" w14:textId="77777777" w:rsidR="0044478E" w:rsidRPr="00747E35" w:rsidRDefault="0044478E" w:rsidP="0044478E">
            <w:pPr>
              <w:pStyle w:val="Tabletext"/>
              <w:spacing w:before="0" w:after="0"/>
              <w:rPr>
                <w:rFonts w:cstheme="minorHAnsi"/>
                <w:sz w:val="16"/>
              </w:rPr>
            </w:pPr>
            <w:r w:rsidRPr="00747E35">
              <w:rPr>
                <w:rFonts w:cstheme="minorHAnsi"/>
                <w:sz w:val="16"/>
              </w:rPr>
              <w:t>Siluriformes</w:t>
            </w:r>
          </w:p>
        </w:tc>
        <w:tc>
          <w:tcPr>
            <w:tcW w:w="1346" w:type="dxa"/>
            <w:shd w:val="clear" w:color="auto" w:fill="auto"/>
            <w:noWrap/>
            <w:hideMark/>
          </w:tcPr>
          <w:p w14:paraId="10790FA3" w14:textId="77777777" w:rsidR="0044478E" w:rsidRPr="00747E35" w:rsidRDefault="0044478E" w:rsidP="0044478E">
            <w:pPr>
              <w:pStyle w:val="Tabletext"/>
              <w:spacing w:before="0" w:after="0"/>
              <w:rPr>
                <w:rFonts w:cstheme="minorHAnsi"/>
                <w:sz w:val="16"/>
              </w:rPr>
            </w:pPr>
            <w:r w:rsidRPr="00747E35">
              <w:rPr>
                <w:rFonts w:cstheme="minorHAnsi"/>
                <w:sz w:val="16"/>
              </w:rPr>
              <w:t>Plotosidae</w:t>
            </w:r>
          </w:p>
        </w:tc>
        <w:tc>
          <w:tcPr>
            <w:tcW w:w="2976" w:type="dxa"/>
            <w:shd w:val="clear" w:color="auto" w:fill="auto"/>
            <w:noWrap/>
            <w:hideMark/>
          </w:tcPr>
          <w:p w14:paraId="0F5996D7" w14:textId="77777777" w:rsidR="0044478E" w:rsidRPr="00747E35" w:rsidRDefault="0044478E" w:rsidP="0044478E">
            <w:pPr>
              <w:pStyle w:val="Tabletext"/>
              <w:spacing w:before="0" w:after="0"/>
              <w:rPr>
                <w:rFonts w:cstheme="minorHAnsi"/>
                <w:i/>
                <w:sz w:val="16"/>
              </w:rPr>
            </w:pPr>
            <w:r w:rsidRPr="00747E35">
              <w:rPr>
                <w:rFonts w:cstheme="minorHAnsi"/>
                <w:i/>
                <w:sz w:val="16"/>
              </w:rPr>
              <w:t>Neosilurus gloveri</w:t>
            </w:r>
          </w:p>
        </w:tc>
        <w:tc>
          <w:tcPr>
            <w:tcW w:w="1134" w:type="dxa"/>
            <w:shd w:val="clear" w:color="auto" w:fill="auto"/>
            <w:noWrap/>
            <w:hideMark/>
          </w:tcPr>
          <w:p w14:paraId="7AFC798A" w14:textId="77777777" w:rsidR="0044478E" w:rsidRPr="00747E35" w:rsidRDefault="0044478E" w:rsidP="0044478E">
            <w:pPr>
              <w:pStyle w:val="Tabletext"/>
              <w:spacing w:before="0" w:after="0"/>
              <w:rPr>
                <w:rFonts w:cstheme="minorHAnsi"/>
                <w:sz w:val="16"/>
              </w:rPr>
            </w:pPr>
            <w:r w:rsidRPr="00747E35">
              <w:rPr>
                <w:rFonts w:cstheme="minorHAnsi"/>
                <w:sz w:val="16"/>
              </w:rPr>
              <w:t>F_Neglov</w:t>
            </w:r>
          </w:p>
        </w:tc>
        <w:tc>
          <w:tcPr>
            <w:tcW w:w="567" w:type="dxa"/>
          </w:tcPr>
          <w:p w14:paraId="42CF8F41"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2FB78EA6" w14:textId="77777777" w:rsidR="0044478E" w:rsidRPr="00747E35" w:rsidRDefault="0044478E" w:rsidP="0044478E">
            <w:pPr>
              <w:pStyle w:val="Tabletext"/>
              <w:spacing w:before="0" w:after="0"/>
              <w:rPr>
                <w:rFonts w:cstheme="minorHAnsi"/>
                <w:sz w:val="16"/>
              </w:rPr>
            </w:pPr>
            <w:r w:rsidRPr="00747E35">
              <w:rPr>
                <w:rFonts w:cstheme="minorHAnsi"/>
                <w:sz w:val="16"/>
              </w:rPr>
              <w:t>56.8</w:t>
            </w:r>
          </w:p>
        </w:tc>
        <w:tc>
          <w:tcPr>
            <w:tcW w:w="992" w:type="dxa"/>
          </w:tcPr>
          <w:p w14:paraId="2FE84E92"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7E1B0FD3"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6F3B1B38"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3CADBCD4" w14:textId="77777777" w:rsidTr="0044478E">
        <w:trPr>
          <w:trHeight w:val="20"/>
        </w:trPr>
        <w:tc>
          <w:tcPr>
            <w:tcW w:w="964" w:type="dxa"/>
            <w:shd w:val="clear" w:color="auto" w:fill="auto"/>
            <w:noWrap/>
            <w:hideMark/>
          </w:tcPr>
          <w:p w14:paraId="392AF53B"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400EB618" w14:textId="77777777" w:rsidR="0044478E" w:rsidRPr="00747E35" w:rsidRDefault="0044478E" w:rsidP="0044478E">
            <w:pPr>
              <w:pStyle w:val="Tabletext"/>
              <w:spacing w:before="0" w:after="0"/>
              <w:rPr>
                <w:rFonts w:cstheme="minorHAnsi"/>
                <w:sz w:val="16"/>
              </w:rPr>
            </w:pPr>
            <w:r w:rsidRPr="00747E35">
              <w:rPr>
                <w:rFonts w:cstheme="minorHAnsi"/>
                <w:sz w:val="16"/>
              </w:rPr>
              <w:t>Chordata</w:t>
            </w:r>
          </w:p>
        </w:tc>
        <w:tc>
          <w:tcPr>
            <w:tcW w:w="1295" w:type="dxa"/>
            <w:shd w:val="clear" w:color="auto" w:fill="auto"/>
            <w:noWrap/>
            <w:hideMark/>
          </w:tcPr>
          <w:p w14:paraId="0F6C9282" w14:textId="77777777" w:rsidR="0044478E" w:rsidRPr="00747E35" w:rsidRDefault="0044478E" w:rsidP="0044478E">
            <w:pPr>
              <w:pStyle w:val="Tabletext"/>
              <w:spacing w:before="0" w:after="0"/>
              <w:rPr>
                <w:rFonts w:cstheme="minorHAnsi"/>
                <w:sz w:val="16"/>
              </w:rPr>
            </w:pPr>
            <w:r w:rsidRPr="00747E35">
              <w:rPr>
                <w:rFonts w:cstheme="minorHAnsi"/>
                <w:sz w:val="16"/>
              </w:rPr>
              <w:t>Actinopterygii</w:t>
            </w:r>
          </w:p>
        </w:tc>
        <w:tc>
          <w:tcPr>
            <w:tcW w:w="1295" w:type="dxa"/>
            <w:shd w:val="clear" w:color="auto" w:fill="auto"/>
            <w:noWrap/>
            <w:hideMark/>
          </w:tcPr>
          <w:p w14:paraId="533D4C42" w14:textId="77777777" w:rsidR="0044478E" w:rsidRPr="00747E35" w:rsidRDefault="0044478E" w:rsidP="0044478E">
            <w:pPr>
              <w:pStyle w:val="Tabletext"/>
              <w:spacing w:before="0" w:after="0"/>
              <w:rPr>
                <w:rFonts w:cstheme="minorHAnsi"/>
                <w:sz w:val="16"/>
              </w:rPr>
            </w:pPr>
            <w:r w:rsidRPr="00747E35">
              <w:rPr>
                <w:rFonts w:cstheme="minorHAnsi"/>
                <w:sz w:val="16"/>
              </w:rPr>
              <w:t>Perciformes</w:t>
            </w:r>
          </w:p>
        </w:tc>
        <w:tc>
          <w:tcPr>
            <w:tcW w:w="1346" w:type="dxa"/>
            <w:shd w:val="clear" w:color="auto" w:fill="auto"/>
            <w:noWrap/>
            <w:hideMark/>
          </w:tcPr>
          <w:p w14:paraId="71A3614E" w14:textId="77777777" w:rsidR="0044478E" w:rsidRPr="00747E35" w:rsidRDefault="0044478E" w:rsidP="0044478E">
            <w:pPr>
              <w:pStyle w:val="Tabletext"/>
              <w:spacing w:before="0" w:after="0"/>
              <w:rPr>
                <w:rFonts w:cstheme="minorHAnsi"/>
                <w:sz w:val="16"/>
              </w:rPr>
            </w:pPr>
            <w:r w:rsidRPr="00747E35">
              <w:rPr>
                <w:rFonts w:cstheme="minorHAnsi"/>
                <w:sz w:val="16"/>
              </w:rPr>
              <w:t>Eleotridae</w:t>
            </w:r>
          </w:p>
        </w:tc>
        <w:tc>
          <w:tcPr>
            <w:tcW w:w="2976" w:type="dxa"/>
            <w:shd w:val="clear" w:color="auto" w:fill="auto"/>
            <w:noWrap/>
            <w:hideMark/>
          </w:tcPr>
          <w:p w14:paraId="23D8EBAB" w14:textId="77777777" w:rsidR="0044478E" w:rsidRPr="00747E35" w:rsidRDefault="0044478E" w:rsidP="0044478E">
            <w:pPr>
              <w:pStyle w:val="Tabletext"/>
              <w:spacing w:before="0" w:after="0"/>
              <w:rPr>
                <w:rFonts w:cstheme="minorHAnsi"/>
                <w:i/>
                <w:sz w:val="16"/>
              </w:rPr>
            </w:pPr>
            <w:r w:rsidRPr="00747E35">
              <w:rPr>
                <w:rFonts w:cstheme="minorHAnsi"/>
                <w:i/>
                <w:sz w:val="16"/>
              </w:rPr>
              <w:t>Mogurnda thermophila</w:t>
            </w:r>
          </w:p>
        </w:tc>
        <w:tc>
          <w:tcPr>
            <w:tcW w:w="1134" w:type="dxa"/>
            <w:shd w:val="clear" w:color="auto" w:fill="auto"/>
            <w:noWrap/>
            <w:hideMark/>
          </w:tcPr>
          <w:p w14:paraId="53D5BC30" w14:textId="77777777" w:rsidR="0044478E" w:rsidRPr="00747E35" w:rsidRDefault="0044478E" w:rsidP="0044478E">
            <w:pPr>
              <w:pStyle w:val="Tabletext"/>
              <w:spacing w:before="0" w:after="0"/>
              <w:rPr>
                <w:rFonts w:cstheme="minorHAnsi"/>
                <w:sz w:val="16"/>
              </w:rPr>
            </w:pPr>
            <w:r w:rsidRPr="00747E35">
              <w:rPr>
                <w:rFonts w:cstheme="minorHAnsi"/>
                <w:sz w:val="16"/>
              </w:rPr>
              <w:t>F_Mother</w:t>
            </w:r>
          </w:p>
        </w:tc>
        <w:tc>
          <w:tcPr>
            <w:tcW w:w="567" w:type="dxa"/>
          </w:tcPr>
          <w:p w14:paraId="49A158B3"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4DD4AE02" w14:textId="77777777" w:rsidR="0044478E" w:rsidRPr="00747E35" w:rsidRDefault="0044478E" w:rsidP="0044478E">
            <w:pPr>
              <w:pStyle w:val="Tabletext"/>
              <w:spacing w:before="0" w:after="0"/>
              <w:rPr>
                <w:rFonts w:cstheme="minorHAnsi"/>
                <w:sz w:val="16"/>
              </w:rPr>
            </w:pPr>
            <w:r w:rsidRPr="00747E35">
              <w:rPr>
                <w:rFonts w:cstheme="minorHAnsi"/>
                <w:sz w:val="16"/>
              </w:rPr>
              <w:t>56.8</w:t>
            </w:r>
          </w:p>
        </w:tc>
        <w:tc>
          <w:tcPr>
            <w:tcW w:w="992" w:type="dxa"/>
          </w:tcPr>
          <w:p w14:paraId="73245A8A"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54B25BD7"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597A1CBF"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2CE7E74C" w14:textId="77777777" w:rsidTr="0044478E">
        <w:trPr>
          <w:trHeight w:val="20"/>
        </w:trPr>
        <w:tc>
          <w:tcPr>
            <w:tcW w:w="964" w:type="dxa"/>
            <w:shd w:val="clear" w:color="auto" w:fill="auto"/>
            <w:noWrap/>
            <w:hideMark/>
          </w:tcPr>
          <w:p w14:paraId="7031EB00"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461164F9" w14:textId="77777777" w:rsidR="0044478E" w:rsidRPr="00747E35" w:rsidRDefault="0044478E" w:rsidP="0044478E">
            <w:pPr>
              <w:pStyle w:val="Tabletext"/>
              <w:spacing w:before="0" w:after="0"/>
              <w:rPr>
                <w:rFonts w:cstheme="minorHAnsi"/>
                <w:sz w:val="16"/>
              </w:rPr>
            </w:pPr>
            <w:r w:rsidRPr="00747E35">
              <w:rPr>
                <w:rFonts w:cstheme="minorHAnsi"/>
                <w:sz w:val="16"/>
              </w:rPr>
              <w:t>Chordata</w:t>
            </w:r>
          </w:p>
        </w:tc>
        <w:tc>
          <w:tcPr>
            <w:tcW w:w="1295" w:type="dxa"/>
            <w:shd w:val="clear" w:color="auto" w:fill="auto"/>
            <w:noWrap/>
            <w:hideMark/>
          </w:tcPr>
          <w:p w14:paraId="245B759B" w14:textId="77777777" w:rsidR="0044478E" w:rsidRPr="00747E35" w:rsidRDefault="0044478E" w:rsidP="0044478E">
            <w:pPr>
              <w:pStyle w:val="Tabletext"/>
              <w:spacing w:before="0" w:after="0"/>
              <w:rPr>
                <w:rFonts w:cstheme="minorHAnsi"/>
                <w:sz w:val="16"/>
              </w:rPr>
            </w:pPr>
            <w:r w:rsidRPr="00747E35">
              <w:rPr>
                <w:rFonts w:cstheme="minorHAnsi"/>
                <w:sz w:val="16"/>
              </w:rPr>
              <w:t>Actinopterygii</w:t>
            </w:r>
          </w:p>
        </w:tc>
        <w:tc>
          <w:tcPr>
            <w:tcW w:w="1295" w:type="dxa"/>
            <w:shd w:val="clear" w:color="auto" w:fill="auto"/>
            <w:noWrap/>
            <w:hideMark/>
          </w:tcPr>
          <w:p w14:paraId="63BB8A48" w14:textId="77777777" w:rsidR="0044478E" w:rsidRPr="00747E35" w:rsidRDefault="0044478E" w:rsidP="0044478E">
            <w:pPr>
              <w:pStyle w:val="Tabletext"/>
              <w:spacing w:before="0" w:after="0"/>
              <w:rPr>
                <w:rFonts w:cstheme="minorHAnsi"/>
                <w:sz w:val="16"/>
              </w:rPr>
            </w:pPr>
            <w:r w:rsidRPr="00747E35">
              <w:rPr>
                <w:rFonts w:cstheme="minorHAnsi"/>
                <w:sz w:val="16"/>
              </w:rPr>
              <w:t>Perciformes</w:t>
            </w:r>
          </w:p>
        </w:tc>
        <w:tc>
          <w:tcPr>
            <w:tcW w:w="1346" w:type="dxa"/>
            <w:shd w:val="clear" w:color="auto" w:fill="auto"/>
            <w:noWrap/>
            <w:hideMark/>
          </w:tcPr>
          <w:p w14:paraId="2CB4D73B" w14:textId="77777777" w:rsidR="0044478E" w:rsidRPr="00747E35" w:rsidRDefault="0044478E" w:rsidP="0044478E">
            <w:pPr>
              <w:pStyle w:val="Tabletext"/>
              <w:spacing w:before="0" w:after="0"/>
              <w:rPr>
                <w:rFonts w:cstheme="minorHAnsi"/>
                <w:sz w:val="16"/>
              </w:rPr>
            </w:pPr>
            <w:r w:rsidRPr="00747E35">
              <w:rPr>
                <w:rFonts w:cstheme="minorHAnsi"/>
                <w:sz w:val="16"/>
              </w:rPr>
              <w:t>Gobiidae</w:t>
            </w:r>
          </w:p>
        </w:tc>
        <w:tc>
          <w:tcPr>
            <w:tcW w:w="2976" w:type="dxa"/>
            <w:shd w:val="clear" w:color="auto" w:fill="auto"/>
            <w:noWrap/>
            <w:hideMark/>
          </w:tcPr>
          <w:p w14:paraId="30B1BB91" w14:textId="77777777" w:rsidR="0044478E" w:rsidRPr="00747E35" w:rsidRDefault="0044478E" w:rsidP="0044478E">
            <w:pPr>
              <w:pStyle w:val="Tabletext"/>
              <w:spacing w:before="0" w:after="0"/>
              <w:rPr>
                <w:rFonts w:cstheme="minorHAnsi"/>
                <w:i/>
                <w:sz w:val="16"/>
              </w:rPr>
            </w:pPr>
            <w:r w:rsidRPr="00747E35">
              <w:rPr>
                <w:rFonts w:cstheme="minorHAnsi"/>
                <w:i/>
                <w:sz w:val="16"/>
              </w:rPr>
              <w:t>Chlamydogobius eremius</w:t>
            </w:r>
          </w:p>
        </w:tc>
        <w:tc>
          <w:tcPr>
            <w:tcW w:w="1134" w:type="dxa"/>
            <w:shd w:val="clear" w:color="auto" w:fill="auto"/>
            <w:noWrap/>
            <w:hideMark/>
          </w:tcPr>
          <w:p w14:paraId="2D7567F1" w14:textId="77777777" w:rsidR="0044478E" w:rsidRPr="00747E35" w:rsidRDefault="0044478E" w:rsidP="0044478E">
            <w:pPr>
              <w:pStyle w:val="Tabletext"/>
              <w:spacing w:before="0" w:after="0"/>
              <w:rPr>
                <w:rFonts w:cstheme="minorHAnsi"/>
                <w:sz w:val="16"/>
              </w:rPr>
            </w:pPr>
            <w:r w:rsidRPr="00747E35">
              <w:rPr>
                <w:rFonts w:cstheme="minorHAnsi"/>
                <w:sz w:val="16"/>
              </w:rPr>
              <w:t>F_Cherem</w:t>
            </w:r>
          </w:p>
        </w:tc>
        <w:tc>
          <w:tcPr>
            <w:tcW w:w="567" w:type="dxa"/>
          </w:tcPr>
          <w:p w14:paraId="0C216038" w14:textId="77777777" w:rsidR="0044478E" w:rsidRPr="00747E35" w:rsidRDefault="0044478E" w:rsidP="0044478E">
            <w:pPr>
              <w:pStyle w:val="Tabletext"/>
              <w:spacing w:before="0" w:after="0"/>
              <w:rPr>
                <w:rFonts w:cstheme="minorHAnsi"/>
                <w:sz w:val="16"/>
              </w:rPr>
            </w:pPr>
            <w:r w:rsidRPr="00747E35">
              <w:rPr>
                <w:rFonts w:cstheme="minorHAnsi"/>
                <w:sz w:val="16"/>
              </w:rPr>
              <w:t>15</w:t>
            </w:r>
          </w:p>
        </w:tc>
        <w:tc>
          <w:tcPr>
            <w:tcW w:w="709" w:type="dxa"/>
          </w:tcPr>
          <w:p w14:paraId="77750BBF" w14:textId="77777777" w:rsidR="0044478E" w:rsidRPr="00747E35" w:rsidRDefault="0044478E" w:rsidP="0044478E">
            <w:pPr>
              <w:pStyle w:val="Tabletext"/>
              <w:spacing w:before="0" w:after="0"/>
              <w:rPr>
                <w:rFonts w:cstheme="minorHAnsi"/>
                <w:sz w:val="16"/>
              </w:rPr>
            </w:pPr>
            <w:r w:rsidRPr="00747E35">
              <w:rPr>
                <w:rFonts w:cstheme="minorHAnsi"/>
                <w:sz w:val="16"/>
              </w:rPr>
              <w:t>59.9</w:t>
            </w:r>
          </w:p>
        </w:tc>
        <w:tc>
          <w:tcPr>
            <w:tcW w:w="992" w:type="dxa"/>
          </w:tcPr>
          <w:p w14:paraId="6050A28F" w14:textId="77777777" w:rsidR="0044478E" w:rsidRPr="00747E35" w:rsidRDefault="0044478E" w:rsidP="0044478E">
            <w:pPr>
              <w:pStyle w:val="Tabletext"/>
              <w:spacing w:before="0" w:after="0"/>
              <w:rPr>
                <w:rFonts w:cstheme="minorHAnsi"/>
                <w:sz w:val="16"/>
              </w:rPr>
            </w:pPr>
            <w:r w:rsidRPr="00747E35">
              <w:rPr>
                <w:rFonts w:cstheme="minorHAnsi"/>
                <w:sz w:val="16"/>
              </w:rPr>
              <w:t>27</w:t>
            </w:r>
          </w:p>
        </w:tc>
        <w:tc>
          <w:tcPr>
            <w:tcW w:w="851" w:type="dxa"/>
          </w:tcPr>
          <w:p w14:paraId="107931AD"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147378A4" w14:textId="77777777" w:rsidR="0044478E" w:rsidRPr="00747E35" w:rsidRDefault="0044478E" w:rsidP="0044478E">
            <w:pPr>
              <w:pStyle w:val="Tabletext"/>
              <w:spacing w:before="0" w:after="0"/>
              <w:rPr>
                <w:rFonts w:cstheme="minorHAnsi"/>
                <w:sz w:val="16"/>
              </w:rPr>
            </w:pPr>
            <w:r w:rsidRPr="00747E35">
              <w:rPr>
                <w:rFonts w:cstheme="minorHAnsi"/>
                <w:sz w:val="16"/>
              </w:rPr>
              <w:t>Broad supergroup</w:t>
            </w:r>
          </w:p>
        </w:tc>
      </w:tr>
      <w:tr w:rsidR="0044478E" w:rsidRPr="00747E35" w14:paraId="43C38388" w14:textId="77777777" w:rsidTr="0044478E">
        <w:trPr>
          <w:trHeight w:val="20"/>
        </w:trPr>
        <w:tc>
          <w:tcPr>
            <w:tcW w:w="964" w:type="dxa"/>
            <w:shd w:val="clear" w:color="auto" w:fill="auto"/>
            <w:noWrap/>
            <w:hideMark/>
          </w:tcPr>
          <w:p w14:paraId="57A11F88"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5B4384D6" w14:textId="77777777" w:rsidR="0044478E" w:rsidRPr="00747E35" w:rsidRDefault="0044478E" w:rsidP="0044478E">
            <w:pPr>
              <w:pStyle w:val="Tabletext"/>
              <w:spacing w:before="0" w:after="0"/>
              <w:rPr>
                <w:rFonts w:cstheme="minorHAnsi"/>
                <w:sz w:val="16"/>
              </w:rPr>
            </w:pPr>
            <w:r w:rsidRPr="00747E35">
              <w:rPr>
                <w:rFonts w:cstheme="minorHAnsi"/>
                <w:sz w:val="16"/>
              </w:rPr>
              <w:t>Chordata</w:t>
            </w:r>
          </w:p>
        </w:tc>
        <w:tc>
          <w:tcPr>
            <w:tcW w:w="1295" w:type="dxa"/>
            <w:shd w:val="clear" w:color="auto" w:fill="auto"/>
            <w:noWrap/>
            <w:hideMark/>
          </w:tcPr>
          <w:p w14:paraId="484BFD2D" w14:textId="77777777" w:rsidR="0044478E" w:rsidRPr="00747E35" w:rsidRDefault="0044478E" w:rsidP="0044478E">
            <w:pPr>
              <w:pStyle w:val="Tabletext"/>
              <w:spacing w:before="0" w:after="0"/>
              <w:rPr>
                <w:rFonts w:cstheme="minorHAnsi"/>
                <w:sz w:val="16"/>
              </w:rPr>
            </w:pPr>
            <w:r w:rsidRPr="00747E35">
              <w:rPr>
                <w:rFonts w:cstheme="minorHAnsi"/>
                <w:sz w:val="16"/>
              </w:rPr>
              <w:t>Actinopterygii</w:t>
            </w:r>
          </w:p>
        </w:tc>
        <w:tc>
          <w:tcPr>
            <w:tcW w:w="1295" w:type="dxa"/>
            <w:shd w:val="clear" w:color="auto" w:fill="auto"/>
            <w:noWrap/>
            <w:hideMark/>
          </w:tcPr>
          <w:p w14:paraId="263C95B8" w14:textId="77777777" w:rsidR="0044478E" w:rsidRPr="00747E35" w:rsidRDefault="0044478E" w:rsidP="0044478E">
            <w:pPr>
              <w:pStyle w:val="Tabletext"/>
              <w:spacing w:before="0" w:after="0"/>
              <w:rPr>
                <w:rFonts w:cstheme="minorHAnsi"/>
                <w:sz w:val="16"/>
              </w:rPr>
            </w:pPr>
            <w:r w:rsidRPr="00747E35">
              <w:rPr>
                <w:rFonts w:cstheme="minorHAnsi"/>
                <w:sz w:val="16"/>
              </w:rPr>
              <w:t>Perciformes</w:t>
            </w:r>
          </w:p>
        </w:tc>
        <w:tc>
          <w:tcPr>
            <w:tcW w:w="1346" w:type="dxa"/>
            <w:shd w:val="clear" w:color="auto" w:fill="auto"/>
            <w:noWrap/>
            <w:hideMark/>
          </w:tcPr>
          <w:p w14:paraId="7D487CAC" w14:textId="77777777" w:rsidR="0044478E" w:rsidRPr="00747E35" w:rsidRDefault="0044478E" w:rsidP="0044478E">
            <w:pPr>
              <w:pStyle w:val="Tabletext"/>
              <w:spacing w:before="0" w:after="0"/>
              <w:rPr>
                <w:rFonts w:cstheme="minorHAnsi"/>
                <w:sz w:val="16"/>
              </w:rPr>
            </w:pPr>
            <w:r w:rsidRPr="00747E35">
              <w:rPr>
                <w:rFonts w:cstheme="minorHAnsi"/>
                <w:sz w:val="16"/>
              </w:rPr>
              <w:t>Gobiidae</w:t>
            </w:r>
          </w:p>
        </w:tc>
        <w:tc>
          <w:tcPr>
            <w:tcW w:w="2976" w:type="dxa"/>
            <w:shd w:val="clear" w:color="auto" w:fill="auto"/>
            <w:noWrap/>
            <w:hideMark/>
          </w:tcPr>
          <w:p w14:paraId="60E3C19A" w14:textId="77777777" w:rsidR="0044478E" w:rsidRPr="00747E35" w:rsidRDefault="0044478E" w:rsidP="0044478E">
            <w:pPr>
              <w:pStyle w:val="Tabletext"/>
              <w:spacing w:before="0" w:after="0"/>
              <w:rPr>
                <w:rFonts w:cstheme="minorHAnsi"/>
                <w:i/>
                <w:sz w:val="16"/>
              </w:rPr>
            </w:pPr>
            <w:r w:rsidRPr="00747E35">
              <w:rPr>
                <w:rFonts w:cstheme="minorHAnsi"/>
                <w:i/>
                <w:sz w:val="16"/>
              </w:rPr>
              <w:t>Chlamydogobius gloveri</w:t>
            </w:r>
          </w:p>
        </w:tc>
        <w:tc>
          <w:tcPr>
            <w:tcW w:w="1134" w:type="dxa"/>
            <w:shd w:val="clear" w:color="auto" w:fill="auto"/>
            <w:noWrap/>
            <w:hideMark/>
          </w:tcPr>
          <w:p w14:paraId="1C87192C" w14:textId="77777777" w:rsidR="0044478E" w:rsidRPr="00747E35" w:rsidRDefault="0044478E" w:rsidP="0044478E">
            <w:pPr>
              <w:pStyle w:val="Tabletext"/>
              <w:spacing w:before="0" w:after="0"/>
              <w:rPr>
                <w:rFonts w:cstheme="minorHAnsi"/>
                <w:sz w:val="16"/>
              </w:rPr>
            </w:pPr>
            <w:r w:rsidRPr="00747E35">
              <w:rPr>
                <w:rFonts w:cstheme="minorHAnsi"/>
                <w:sz w:val="16"/>
              </w:rPr>
              <w:t>F_Chglov</w:t>
            </w:r>
          </w:p>
        </w:tc>
        <w:tc>
          <w:tcPr>
            <w:tcW w:w="567" w:type="dxa"/>
          </w:tcPr>
          <w:p w14:paraId="05DD79DD"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1C98D4B3" w14:textId="77777777" w:rsidR="0044478E" w:rsidRPr="00747E35" w:rsidRDefault="0044478E" w:rsidP="0044478E">
            <w:pPr>
              <w:pStyle w:val="Tabletext"/>
              <w:spacing w:before="0" w:after="0"/>
              <w:rPr>
                <w:rFonts w:cstheme="minorHAnsi"/>
                <w:sz w:val="16"/>
              </w:rPr>
            </w:pPr>
            <w:r w:rsidRPr="00747E35">
              <w:rPr>
                <w:rFonts w:cstheme="minorHAnsi"/>
                <w:sz w:val="16"/>
              </w:rPr>
              <w:t>56.8</w:t>
            </w:r>
          </w:p>
        </w:tc>
        <w:tc>
          <w:tcPr>
            <w:tcW w:w="992" w:type="dxa"/>
          </w:tcPr>
          <w:p w14:paraId="2E24A075"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4E2C82A4"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1C9CBB20"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534216E0" w14:textId="77777777" w:rsidTr="0044478E">
        <w:trPr>
          <w:trHeight w:val="20"/>
        </w:trPr>
        <w:tc>
          <w:tcPr>
            <w:tcW w:w="964" w:type="dxa"/>
            <w:shd w:val="clear" w:color="auto" w:fill="auto"/>
            <w:noWrap/>
            <w:hideMark/>
          </w:tcPr>
          <w:p w14:paraId="3E99C821"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2C9F7E05" w14:textId="77777777" w:rsidR="0044478E" w:rsidRPr="00747E35" w:rsidRDefault="0044478E" w:rsidP="0044478E">
            <w:pPr>
              <w:pStyle w:val="Tabletext"/>
              <w:spacing w:before="0" w:after="0"/>
              <w:rPr>
                <w:rFonts w:cstheme="minorHAnsi"/>
                <w:sz w:val="16"/>
              </w:rPr>
            </w:pPr>
            <w:r w:rsidRPr="00747E35">
              <w:rPr>
                <w:rFonts w:cstheme="minorHAnsi"/>
                <w:sz w:val="16"/>
              </w:rPr>
              <w:t>Chordata</w:t>
            </w:r>
          </w:p>
        </w:tc>
        <w:tc>
          <w:tcPr>
            <w:tcW w:w="1295" w:type="dxa"/>
            <w:shd w:val="clear" w:color="auto" w:fill="auto"/>
            <w:noWrap/>
            <w:hideMark/>
          </w:tcPr>
          <w:p w14:paraId="7DB24C19" w14:textId="77777777" w:rsidR="0044478E" w:rsidRPr="00747E35" w:rsidRDefault="0044478E" w:rsidP="0044478E">
            <w:pPr>
              <w:pStyle w:val="Tabletext"/>
              <w:spacing w:before="0" w:after="0"/>
              <w:rPr>
                <w:rFonts w:cstheme="minorHAnsi"/>
                <w:sz w:val="16"/>
              </w:rPr>
            </w:pPr>
            <w:r w:rsidRPr="00747E35">
              <w:rPr>
                <w:rFonts w:cstheme="minorHAnsi"/>
                <w:sz w:val="16"/>
              </w:rPr>
              <w:t>Actinopterygii</w:t>
            </w:r>
          </w:p>
        </w:tc>
        <w:tc>
          <w:tcPr>
            <w:tcW w:w="1295" w:type="dxa"/>
            <w:shd w:val="clear" w:color="auto" w:fill="auto"/>
            <w:noWrap/>
            <w:hideMark/>
          </w:tcPr>
          <w:p w14:paraId="3C1E4375" w14:textId="77777777" w:rsidR="0044478E" w:rsidRPr="00747E35" w:rsidRDefault="0044478E" w:rsidP="0044478E">
            <w:pPr>
              <w:pStyle w:val="Tabletext"/>
              <w:spacing w:before="0" w:after="0"/>
              <w:rPr>
                <w:rFonts w:cstheme="minorHAnsi"/>
                <w:sz w:val="16"/>
              </w:rPr>
            </w:pPr>
            <w:r w:rsidRPr="00747E35">
              <w:rPr>
                <w:rFonts w:cstheme="minorHAnsi"/>
                <w:sz w:val="16"/>
              </w:rPr>
              <w:t>Perciformes</w:t>
            </w:r>
          </w:p>
        </w:tc>
        <w:tc>
          <w:tcPr>
            <w:tcW w:w="1346" w:type="dxa"/>
            <w:shd w:val="clear" w:color="auto" w:fill="auto"/>
            <w:noWrap/>
            <w:hideMark/>
          </w:tcPr>
          <w:p w14:paraId="700EBA64" w14:textId="77777777" w:rsidR="0044478E" w:rsidRPr="00747E35" w:rsidRDefault="0044478E" w:rsidP="0044478E">
            <w:pPr>
              <w:pStyle w:val="Tabletext"/>
              <w:spacing w:before="0" w:after="0"/>
              <w:rPr>
                <w:rFonts w:cstheme="minorHAnsi"/>
                <w:sz w:val="16"/>
              </w:rPr>
            </w:pPr>
            <w:r w:rsidRPr="00747E35">
              <w:rPr>
                <w:rFonts w:cstheme="minorHAnsi"/>
                <w:sz w:val="16"/>
              </w:rPr>
              <w:t>Gobiidae</w:t>
            </w:r>
          </w:p>
        </w:tc>
        <w:tc>
          <w:tcPr>
            <w:tcW w:w="2976" w:type="dxa"/>
            <w:shd w:val="clear" w:color="auto" w:fill="auto"/>
            <w:noWrap/>
            <w:hideMark/>
          </w:tcPr>
          <w:p w14:paraId="001174D6" w14:textId="77777777" w:rsidR="0044478E" w:rsidRPr="00747E35" w:rsidRDefault="0044478E" w:rsidP="0044478E">
            <w:pPr>
              <w:pStyle w:val="Tabletext"/>
              <w:spacing w:before="0" w:after="0"/>
              <w:rPr>
                <w:rFonts w:cstheme="minorHAnsi"/>
                <w:i/>
                <w:sz w:val="16"/>
              </w:rPr>
            </w:pPr>
            <w:r w:rsidRPr="00747E35">
              <w:rPr>
                <w:rFonts w:cstheme="minorHAnsi"/>
                <w:i/>
                <w:sz w:val="16"/>
              </w:rPr>
              <w:t>Chlamydogobius micropterus</w:t>
            </w:r>
          </w:p>
        </w:tc>
        <w:tc>
          <w:tcPr>
            <w:tcW w:w="1134" w:type="dxa"/>
            <w:shd w:val="clear" w:color="auto" w:fill="auto"/>
            <w:noWrap/>
            <w:hideMark/>
          </w:tcPr>
          <w:p w14:paraId="38BBD570" w14:textId="77777777" w:rsidR="0044478E" w:rsidRPr="00747E35" w:rsidRDefault="0044478E" w:rsidP="0044478E">
            <w:pPr>
              <w:pStyle w:val="Tabletext"/>
              <w:spacing w:before="0" w:after="0"/>
              <w:rPr>
                <w:rFonts w:cstheme="minorHAnsi"/>
                <w:sz w:val="16"/>
              </w:rPr>
            </w:pPr>
            <w:r w:rsidRPr="00747E35">
              <w:rPr>
                <w:rFonts w:cstheme="minorHAnsi"/>
                <w:sz w:val="16"/>
              </w:rPr>
              <w:t>F_Chmicr</w:t>
            </w:r>
          </w:p>
        </w:tc>
        <w:tc>
          <w:tcPr>
            <w:tcW w:w="567" w:type="dxa"/>
          </w:tcPr>
          <w:p w14:paraId="18F7FD29"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7CB7DC57" w14:textId="77777777" w:rsidR="0044478E" w:rsidRPr="00747E35" w:rsidRDefault="0044478E" w:rsidP="0044478E">
            <w:pPr>
              <w:pStyle w:val="Tabletext"/>
              <w:spacing w:before="0" w:after="0"/>
              <w:rPr>
                <w:rFonts w:cstheme="minorHAnsi"/>
                <w:sz w:val="16"/>
              </w:rPr>
            </w:pPr>
            <w:r w:rsidRPr="00747E35">
              <w:rPr>
                <w:rFonts w:cstheme="minorHAnsi"/>
                <w:sz w:val="16"/>
              </w:rPr>
              <w:t>0.5</w:t>
            </w:r>
          </w:p>
        </w:tc>
        <w:tc>
          <w:tcPr>
            <w:tcW w:w="992" w:type="dxa"/>
          </w:tcPr>
          <w:p w14:paraId="348CFCA1"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1FC46C41"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4D79C331"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53B8EBDE" w14:textId="77777777" w:rsidTr="0044478E">
        <w:trPr>
          <w:trHeight w:val="20"/>
        </w:trPr>
        <w:tc>
          <w:tcPr>
            <w:tcW w:w="964" w:type="dxa"/>
            <w:shd w:val="clear" w:color="auto" w:fill="auto"/>
            <w:noWrap/>
            <w:hideMark/>
          </w:tcPr>
          <w:p w14:paraId="297474AE"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73AD00DD" w14:textId="77777777" w:rsidR="0044478E" w:rsidRPr="00747E35" w:rsidRDefault="0044478E" w:rsidP="0044478E">
            <w:pPr>
              <w:pStyle w:val="Tabletext"/>
              <w:spacing w:before="0" w:after="0"/>
              <w:rPr>
                <w:rFonts w:cstheme="minorHAnsi"/>
                <w:sz w:val="16"/>
              </w:rPr>
            </w:pPr>
            <w:r w:rsidRPr="00747E35">
              <w:rPr>
                <w:rFonts w:cstheme="minorHAnsi"/>
                <w:sz w:val="16"/>
              </w:rPr>
              <w:t>Chordata</w:t>
            </w:r>
          </w:p>
        </w:tc>
        <w:tc>
          <w:tcPr>
            <w:tcW w:w="1295" w:type="dxa"/>
            <w:shd w:val="clear" w:color="auto" w:fill="auto"/>
            <w:noWrap/>
            <w:hideMark/>
          </w:tcPr>
          <w:p w14:paraId="4F070D54" w14:textId="77777777" w:rsidR="0044478E" w:rsidRPr="00747E35" w:rsidRDefault="0044478E" w:rsidP="0044478E">
            <w:pPr>
              <w:pStyle w:val="Tabletext"/>
              <w:spacing w:before="0" w:after="0"/>
              <w:rPr>
                <w:rFonts w:cstheme="minorHAnsi"/>
                <w:sz w:val="16"/>
              </w:rPr>
            </w:pPr>
            <w:r w:rsidRPr="00747E35">
              <w:rPr>
                <w:rFonts w:cstheme="minorHAnsi"/>
                <w:sz w:val="16"/>
              </w:rPr>
              <w:t>Actinopterygii</w:t>
            </w:r>
          </w:p>
        </w:tc>
        <w:tc>
          <w:tcPr>
            <w:tcW w:w="1295" w:type="dxa"/>
            <w:shd w:val="clear" w:color="auto" w:fill="auto"/>
            <w:noWrap/>
            <w:hideMark/>
          </w:tcPr>
          <w:p w14:paraId="5C9730D9" w14:textId="77777777" w:rsidR="0044478E" w:rsidRPr="00747E35" w:rsidRDefault="0044478E" w:rsidP="0044478E">
            <w:pPr>
              <w:pStyle w:val="Tabletext"/>
              <w:spacing w:before="0" w:after="0"/>
              <w:rPr>
                <w:rFonts w:cstheme="minorHAnsi"/>
                <w:sz w:val="16"/>
              </w:rPr>
            </w:pPr>
            <w:r w:rsidRPr="00747E35">
              <w:rPr>
                <w:rFonts w:cstheme="minorHAnsi"/>
                <w:sz w:val="16"/>
              </w:rPr>
              <w:t>Perciformes</w:t>
            </w:r>
          </w:p>
        </w:tc>
        <w:tc>
          <w:tcPr>
            <w:tcW w:w="1346" w:type="dxa"/>
            <w:shd w:val="clear" w:color="auto" w:fill="auto"/>
            <w:noWrap/>
            <w:hideMark/>
          </w:tcPr>
          <w:p w14:paraId="2F39CCCD" w14:textId="77777777" w:rsidR="0044478E" w:rsidRPr="00747E35" w:rsidRDefault="0044478E" w:rsidP="0044478E">
            <w:pPr>
              <w:pStyle w:val="Tabletext"/>
              <w:spacing w:before="0" w:after="0"/>
              <w:rPr>
                <w:rFonts w:cstheme="minorHAnsi"/>
                <w:sz w:val="16"/>
              </w:rPr>
            </w:pPr>
            <w:r w:rsidRPr="00747E35">
              <w:rPr>
                <w:rFonts w:cstheme="minorHAnsi"/>
                <w:sz w:val="16"/>
              </w:rPr>
              <w:t>Gobiidae</w:t>
            </w:r>
          </w:p>
        </w:tc>
        <w:tc>
          <w:tcPr>
            <w:tcW w:w="2976" w:type="dxa"/>
            <w:shd w:val="clear" w:color="auto" w:fill="auto"/>
            <w:noWrap/>
            <w:hideMark/>
          </w:tcPr>
          <w:p w14:paraId="57729163" w14:textId="77777777" w:rsidR="0044478E" w:rsidRPr="00747E35" w:rsidRDefault="0044478E" w:rsidP="0044478E">
            <w:pPr>
              <w:pStyle w:val="Tabletext"/>
              <w:spacing w:before="0" w:after="0"/>
              <w:rPr>
                <w:rFonts w:cstheme="minorHAnsi"/>
                <w:i/>
                <w:sz w:val="16"/>
              </w:rPr>
            </w:pPr>
            <w:r w:rsidRPr="00747E35">
              <w:rPr>
                <w:rFonts w:cstheme="minorHAnsi"/>
                <w:i/>
                <w:sz w:val="16"/>
              </w:rPr>
              <w:t>Chlamydogobius squamigenus</w:t>
            </w:r>
          </w:p>
        </w:tc>
        <w:tc>
          <w:tcPr>
            <w:tcW w:w="1134" w:type="dxa"/>
            <w:shd w:val="clear" w:color="auto" w:fill="auto"/>
            <w:noWrap/>
            <w:hideMark/>
          </w:tcPr>
          <w:p w14:paraId="614076A7" w14:textId="77777777" w:rsidR="0044478E" w:rsidRPr="00747E35" w:rsidRDefault="0044478E" w:rsidP="0044478E">
            <w:pPr>
              <w:pStyle w:val="Tabletext"/>
              <w:spacing w:before="0" w:after="0"/>
              <w:rPr>
                <w:rFonts w:cstheme="minorHAnsi"/>
                <w:sz w:val="16"/>
              </w:rPr>
            </w:pPr>
            <w:r w:rsidRPr="00747E35">
              <w:rPr>
                <w:rFonts w:cstheme="minorHAnsi"/>
                <w:sz w:val="16"/>
              </w:rPr>
              <w:t>F_Chsqam</w:t>
            </w:r>
          </w:p>
        </w:tc>
        <w:tc>
          <w:tcPr>
            <w:tcW w:w="567" w:type="dxa"/>
          </w:tcPr>
          <w:p w14:paraId="0114CFE5"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167834E6" w14:textId="77777777" w:rsidR="0044478E" w:rsidRPr="00747E35" w:rsidRDefault="0044478E" w:rsidP="0044478E">
            <w:pPr>
              <w:pStyle w:val="Tabletext"/>
              <w:spacing w:before="0" w:after="0"/>
              <w:rPr>
                <w:rFonts w:cstheme="minorHAnsi"/>
                <w:sz w:val="16"/>
              </w:rPr>
            </w:pPr>
            <w:r w:rsidRPr="00747E35">
              <w:rPr>
                <w:rFonts w:cstheme="minorHAnsi"/>
                <w:sz w:val="16"/>
              </w:rPr>
              <w:t>29.7</w:t>
            </w:r>
          </w:p>
        </w:tc>
        <w:tc>
          <w:tcPr>
            <w:tcW w:w="992" w:type="dxa"/>
          </w:tcPr>
          <w:p w14:paraId="1C921195"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2AB93EAF"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1FA68E97"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51C55981" w14:textId="77777777" w:rsidTr="0044478E">
        <w:trPr>
          <w:trHeight w:val="20"/>
        </w:trPr>
        <w:tc>
          <w:tcPr>
            <w:tcW w:w="964" w:type="dxa"/>
            <w:shd w:val="clear" w:color="auto" w:fill="auto"/>
            <w:noWrap/>
            <w:hideMark/>
          </w:tcPr>
          <w:p w14:paraId="783D7DE5"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6A13C568"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13891381" w14:textId="77777777" w:rsidR="0044478E" w:rsidRPr="00747E35" w:rsidRDefault="0044478E" w:rsidP="0044478E">
            <w:pPr>
              <w:pStyle w:val="Tabletext"/>
              <w:spacing w:before="0" w:after="0"/>
              <w:rPr>
                <w:rFonts w:cstheme="minorHAnsi"/>
                <w:sz w:val="16"/>
              </w:rPr>
            </w:pPr>
            <w:r w:rsidRPr="00747E35">
              <w:rPr>
                <w:rFonts w:cstheme="minorHAnsi"/>
                <w:sz w:val="16"/>
              </w:rPr>
              <w:t>Bivalvia</w:t>
            </w:r>
          </w:p>
        </w:tc>
        <w:tc>
          <w:tcPr>
            <w:tcW w:w="1295" w:type="dxa"/>
            <w:shd w:val="clear" w:color="auto" w:fill="auto"/>
            <w:noWrap/>
            <w:hideMark/>
          </w:tcPr>
          <w:p w14:paraId="0CBE04D9" w14:textId="77777777" w:rsidR="0044478E" w:rsidRPr="00747E35" w:rsidRDefault="0044478E" w:rsidP="0044478E">
            <w:pPr>
              <w:pStyle w:val="Tabletext"/>
              <w:spacing w:before="0" w:after="0"/>
              <w:rPr>
                <w:rFonts w:cstheme="minorHAnsi"/>
                <w:sz w:val="16"/>
              </w:rPr>
            </w:pPr>
            <w:r w:rsidRPr="00747E35">
              <w:rPr>
                <w:rFonts w:cstheme="minorHAnsi"/>
                <w:sz w:val="16"/>
              </w:rPr>
              <w:t>Veneroida</w:t>
            </w:r>
          </w:p>
        </w:tc>
        <w:tc>
          <w:tcPr>
            <w:tcW w:w="1346" w:type="dxa"/>
            <w:shd w:val="clear" w:color="auto" w:fill="auto"/>
            <w:noWrap/>
            <w:hideMark/>
          </w:tcPr>
          <w:p w14:paraId="70CCA928" w14:textId="77777777" w:rsidR="0044478E" w:rsidRPr="00747E35" w:rsidRDefault="0044478E" w:rsidP="0044478E">
            <w:pPr>
              <w:pStyle w:val="Tabletext"/>
              <w:spacing w:before="0" w:after="0"/>
              <w:rPr>
                <w:rFonts w:cstheme="minorHAnsi"/>
                <w:sz w:val="16"/>
              </w:rPr>
            </w:pPr>
            <w:r w:rsidRPr="00747E35">
              <w:rPr>
                <w:rFonts w:cstheme="minorHAnsi"/>
                <w:sz w:val="16"/>
              </w:rPr>
              <w:t>Lasaeidae</w:t>
            </w:r>
          </w:p>
        </w:tc>
        <w:tc>
          <w:tcPr>
            <w:tcW w:w="2976" w:type="dxa"/>
            <w:shd w:val="clear" w:color="auto" w:fill="auto"/>
            <w:noWrap/>
            <w:hideMark/>
          </w:tcPr>
          <w:p w14:paraId="768269CD" w14:textId="77777777" w:rsidR="0044478E" w:rsidRPr="00747E35" w:rsidRDefault="0044478E" w:rsidP="0044478E">
            <w:pPr>
              <w:pStyle w:val="Tabletext"/>
              <w:spacing w:before="0" w:after="0"/>
              <w:rPr>
                <w:rFonts w:cstheme="minorHAnsi"/>
                <w:sz w:val="16"/>
              </w:rPr>
            </w:pPr>
            <w:r w:rsidRPr="00747E35">
              <w:rPr>
                <w:rFonts w:cstheme="minorHAnsi"/>
                <w:i/>
                <w:sz w:val="16"/>
              </w:rPr>
              <w:t>Arthritica</w:t>
            </w:r>
            <w:r w:rsidRPr="00747E35">
              <w:rPr>
                <w:rFonts w:cstheme="minorHAnsi"/>
                <w:sz w:val="16"/>
              </w:rPr>
              <w:t xml:space="preserve"> sp. AMS C.449156</w:t>
            </w:r>
          </w:p>
        </w:tc>
        <w:tc>
          <w:tcPr>
            <w:tcW w:w="1134" w:type="dxa"/>
            <w:shd w:val="clear" w:color="auto" w:fill="auto"/>
            <w:noWrap/>
            <w:hideMark/>
          </w:tcPr>
          <w:p w14:paraId="0421CA7F" w14:textId="77777777" w:rsidR="0044478E" w:rsidRPr="00747E35" w:rsidRDefault="0044478E" w:rsidP="0044478E">
            <w:pPr>
              <w:pStyle w:val="Tabletext"/>
              <w:spacing w:before="0" w:after="0"/>
              <w:rPr>
                <w:rFonts w:cstheme="minorHAnsi"/>
                <w:sz w:val="16"/>
              </w:rPr>
            </w:pPr>
            <w:r w:rsidRPr="00747E35">
              <w:rPr>
                <w:rFonts w:cstheme="minorHAnsi"/>
                <w:sz w:val="16"/>
              </w:rPr>
              <w:t>M_Arthsp1</w:t>
            </w:r>
          </w:p>
        </w:tc>
        <w:tc>
          <w:tcPr>
            <w:tcW w:w="567" w:type="dxa"/>
          </w:tcPr>
          <w:p w14:paraId="1F6228B4" w14:textId="77777777" w:rsidR="0044478E" w:rsidRPr="00747E35" w:rsidRDefault="0044478E" w:rsidP="0044478E">
            <w:pPr>
              <w:pStyle w:val="Tabletext"/>
              <w:spacing w:before="0" w:after="0"/>
              <w:rPr>
                <w:rFonts w:cstheme="minorHAnsi"/>
                <w:sz w:val="16"/>
              </w:rPr>
            </w:pPr>
            <w:r w:rsidRPr="00747E35">
              <w:rPr>
                <w:rFonts w:cstheme="minorHAnsi"/>
                <w:sz w:val="16"/>
              </w:rPr>
              <w:t>2</w:t>
            </w:r>
          </w:p>
        </w:tc>
        <w:tc>
          <w:tcPr>
            <w:tcW w:w="709" w:type="dxa"/>
          </w:tcPr>
          <w:p w14:paraId="13C04E92" w14:textId="77777777" w:rsidR="0044478E" w:rsidRPr="00747E35" w:rsidRDefault="0044478E" w:rsidP="0044478E">
            <w:pPr>
              <w:pStyle w:val="Tabletext"/>
              <w:spacing w:before="0" w:after="0"/>
              <w:rPr>
                <w:rFonts w:cstheme="minorHAnsi"/>
                <w:sz w:val="16"/>
              </w:rPr>
            </w:pPr>
            <w:r w:rsidRPr="00747E35">
              <w:rPr>
                <w:rFonts w:cstheme="minorHAnsi"/>
                <w:sz w:val="16"/>
              </w:rPr>
              <w:t>80.8</w:t>
            </w:r>
          </w:p>
        </w:tc>
        <w:tc>
          <w:tcPr>
            <w:tcW w:w="992" w:type="dxa"/>
          </w:tcPr>
          <w:p w14:paraId="5392EDF6"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46BFD5AD" w14:textId="77777777" w:rsidR="0044478E" w:rsidRPr="00747E35" w:rsidRDefault="0044478E" w:rsidP="0044478E">
            <w:pPr>
              <w:pStyle w:val="Tabletext"/>
              <w:spacing w:before="0" w:after="0"/>
              <w:rPr>
                <w:rFonts w:cstheme="minorHAnsi"/>
                <w:sz w:val="16"/>
              </w:rPr>
            </w:pPr>
            <w:r w:rsidRPr="00747E35">
              <w:rPr>
                <w:rFonts w:cstheme="minorHAnsi"/>
                <w:sz w:val="16"/>
              </w:rPr>
              <w:t>U</w:t>
            </w:r>
          </w:p>
        </w:tc>
        <w:tc>
          <w:tcPr>
            <w:tcW w:w="1542" w:type="dxa"/>
          </w:tcPr>
          <w:p w14:paraId="4875297C" w14:textId="77777777" w:rsidR="0044478E" w:rsidRPr="00747E35" w:rsidRDefault="0044478E" w:rsidP="0044478E">
            <w:pPr>
              <w:pStyle w:val="Tabletext"/>
              <w:spacing w:before="0" w:after="0"/>
              <w:rPr>
                <w:rFonts w:cstheme="minorHAnsi"/>
                <w:sz w:val="16"/>
              </w:rPr>
            </w:pPr>
            <w:r w:rsidRPr="00747E35">
              <w:rPr>
                <w:rFonts w:cstheme="minorHAnsi"/>
                <w:sz w:val="16"/>
              </w:rPr>
              <w:t>Narrow supergroup</w:t>
            </w:r>
          </w:p>
        </w:tc>
      </w:tr>
      <w:tr w:rsidR="0044478E" w:rsidRPr="00747E35" w14:paraId="67AB97AE" w14:textId="77777777" w:rsidTr="0044478E">
        <w:trPr>
          <w:trHeight w:val="20"/>
        </w:trPr>
        <w:tc>
          <w:tcPr>
            <w:tcW w:w="964" w:type="dxa"/>
            <w:shd w:val="clear" w:color="auto" w:fill="auto"/>
            <w:noWrap/>
            <w:hideMark/>
          </w:tcPr>
          <w:p w14:paraId="1B079371"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0CB006E8"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5805B63D"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6E2D38B2" w14:textId="77777777" w:rsidR="0044478E" w:rsidRPr="00747E35" w:rsidRDefault="0044478E" w:rsidP="0044478E">
            <w:pPr>
              <w:pStyle w:val="Tabletext"/>
              <w:spacing w:before="0" w:after="0"/>
              <w:rPr>
                <w:rFonts w:cstheme="minorHAnsi"/>
                <w:sz w:val="16"/>
              </w:rPr>
            </w:pPr>
            <w:r w:rsidRPr="00747E35">
              <w:rPr>
                <w:rFonts w:cstheme="minorHAnsi"/>
                <w:sz w:val="16"/>
              </w:rPr>
              <w:t>Hygrophila</w:t>
            </w:r>
          </w:p>
        </w:tc>
        <w:tc>
          <w:tcPr>
            <w:tcW w:w="1346" w:type="dxa"/>
            <w:shd w:val="clear" w:color="auto" w:fill="auto"/>
            <w:noWrap/>
            <w:hideMark/>
          </w:tcPr>
          <w:p w14:paraId="57E4EC24" w14:textId="77777777" w:rsidR="0044478E" w:rsidRPr="00747E35" w:rsidRDefault="0044478E" w:rsidP="0044478E">
            <w:pPr>
              <w:pStyle w:val="Tabletext"/>
              <w:spacing w:before="0" w:after="0"/>
              <w:rPr>
                <w:rFonts w:cstheme="minorHAnsi"/>
                <w:sz w:val="16"/>
              </w:rPr>
            </w:pPr>
            <w:r w:rsidRPr="00747E35">
              <w:rPr>
                <w:rFonts w:cstheme="minorHAnsi"/>
                <w:sz w:val="16"/>
              </w:rPr>
              <w:t>Planorbidae</w:t>
            </w:r>
          </w:p>
        </w:tc>
        <w:tc>
          <w:tcPr>
            <w:tcW w:w="2976" w:type="dxa"/>
            <w:shd w:val="clear" w:color="auto" w:fill="auto"/>
            <w:noWrap/>
            <w:hideMark/>
          </w:tcPr>
          <w:p w14:paraId="0443F514" w14:textId="77777777" w:rsidR="0044478E" w:rsidRPr="00747E35" w:rsidRDefault="0044478E" w:rsidP="0044478E">
            <w:pPr>
              <w:pStyle w:val="Tabletext"/>
              <w:spacing w:before="0" w:after="0"/>
              <w:rPr>
                <w:rFonts w:cstheme="minorHAnsi"/>
                <w:sz w:val="16"/>
              </w:rPr>
            </w:pPr>
            <w:r w:rsidRPr="00747E35">
              <w:rPr>
                <w:rFonts w:cstheme="minorHAnsi"/>
                <w:i/>
                <w:sz w:val="16"/>
              </w:rPr>
              <w:t>Glyptophysa</w:t>
            </w:r>
            <w:r w:rsidRPr="00747E35">
              <w:rPr>
                <w:rFonts w:cstheme="minorHAnsi"/>
                <w:sz w:val="16"/>
              </w:rPr>
              <w:t xml:space="preserve"> n.sp.</w:t>
            </w:r>
          </w:p>
        </w:tc>
        <w:tc>
          <w:tcPr>
            <w:tcW w:w="1134" w:type="dxa"/>
            <w:shd w:val="clear" w:color="auto" w:fill="auto"/>
            <w:noWrap/>
            <w:hideMark/>
          </w:tcPr>
          <w:p w14:paraId="3E1DA521" w14:textId="77777777" w:rsidR="0044478E" w:rsidRPr="00747E35" w:rsidRDefault="0044478E" w:rsidP="0044478E">
            <w:pPr>
              <w:pStyle w:val="Tabletext"/>
              <w:spacing w:before="0" w:after="0"/>
              <w:rPr>
                <w:rFonts w:cstheme="minorHAnsi"/>
                <w:sz w:val="16"/>
              </w:rPr>
            </w:pPr>
            <w:r w:rsidRPr="00747E35">
              <w:rPr>
                <w:rFonts w:cstheme="minorHAnsi"/>
                <w:sz w:val="16"/>
              </w:rPr>
              <w:t>M_Gynsp</w:t>
            </w:r>
          </w:p>
        </w:tc>
        <w:tc>
          <w:tcPr>
            <w:tcW w:w="567" w:type="dxa"/>
          </w:tcPr>
          <w:p w14:paraId="1254CAEB"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59F94A5F" w14:textId="77777777" w:rsidR="0044478E" w:rsidRPr="00747E35" w:rsidRDefault="0044478E" w:rsidP="0044478E">
            <w:pPr>
              <w:pStyle w:val="Tabletext"/>
              <w:spacing w:before="0" w:after="0"/>
              <w:rPr>
                <w:rFonts w:cstheme="minorHAnsi"/>
                <w:sz w:val="16"/>
              </w:rPr>
            </w:pPr>
            <w:r w:rsidRPr="00747E35">
              <w:rPr>
                <w:rFonts w:cstheme="minorHAnsi"/>
                <w:sz w:val="16"/>
              </w:rPr>
              <w:t>29.7</w:t>
            </w:r>
          </w:p>
        </w:tc>
        <w:tc>
          <w:tcPr>
            <w:tcW w:w="992" w:type="dxa"/>
          </w:tcPr>
          <w:p w14:paraId="4BA716C5"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642171DC" w14:textId="77777777" w:rsidR="0044478E" w:rsidRPr="00747E35" w:rsidRDefault="0044478E" w:rsidP="0044478E">
            <w:pPr>
              <w:pStyle w:val="Tabletext"/>
              <w:spacing w:before="0" w:after="0"/>
              <w:rPr>
                <w:rFonts w:cstheme="minorHAnsi"/>
                <w:sz w:val="16"/>
              </w:rPr>
            </w:pPr>
            <w:r w:rsidRPr="00747E35">
              <w:rPr>
                <w:rFonts w:cstheme="minorHAnsi"/>
                <w:sz w:val="16"/>
              </w:rPr>
              <w:t>U</w:t>
            </w:r>
          </w:p>
        </w:tc>
        <w:tc>
          <w:tcPr>
            <w:tcW w:w="1542" w:type="dxa"/>
          </w:tcPr>
          <w:p w14:paraId="7219ED25"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52BA90E1" w14:textId="77777777" w:rsidTr="0044478E">
        <w:trPr>
          <w:trHeight w:val="20"/>
        </w:trPr>
        <w:tc>
          <w:tcPr>
            <w:tcW w:w="964" w:type="dxa"/>
            <w:shd w:val="clear" w:color="auto" w:fill="auto"/>
            <w:noWrap/>
            <w:hideMark/>
          </w:tcPr>
          <w:p w14:paraId="3CE6D623"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7EB1D414"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0721FB88"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3DBB320D" w14:textId="77777777" w:rsidR="0044478E" w:rsidRPr="00747E35" w:rsidRDefault="0044478E" w:rsidP="0044478E">
            <w:pPr>
              <w:pStyle w:val="Tabletext"/>
              <w:spacing w:before="0" w:after="0"/>
              <w:rPr>
                <w:rFonts w:cstheme="minorHAnsi"/>
                <w:sz w:val="16"/>
              </w:rPr>
            </w:pPr>
            <w:r w:rsidRPr="00747E35">
              <w:rPr>
                <w:rFonts w:cstheme="minorHAnsi"/>
                <w:sz w:val="16"/>
              </w:rPr>
              <w:t>Hygrophila</w:t>
            </w:r>
          </w:p>
        </w:tc>
        <w:tc>
          <w:tcPr>
            <w:tcW w:w="1346" w:type="dxa"/>
            <w:shd w:val="clear" w:color="auto" w:fill="auto"/>
            <w:noWrap/>
            <w:hideMark/>
          </w:tcPr>
          <w:p w14:paraId="517BE58D" w14:textId="77777777" w:rsidR="0044478E" w:rsidRPr="00747E35" w:rsidRDefault="0044478E" w:rsidP="0044478E">
            <w:pPr>
              <w:pStyle w:val="Tabletext"/>
              <w:spacing w:before="0" w:after="0"/>
              <w:rPr>
                <w:rFonts w:cstheme="minorHAnsi"/>
                <w:sz w:val="16"/>
              </w:rPr>
            </w:pPr>
            <w:r w:rsidRPr="00747E35">
              <w:rPr>
                <w:rFonts w:cstheme="minorHAnsi"/>
                <w:sz w:val="16"/>
              </w:rPr>
              <w:t>Planorbidae</w:t>
            </w:r>
          </w:p>
        </w:tc>
        <w:tc>
          <w:tcPr>
            <w:tcW w:w="2976" w:type="dxa"/>
            <w:shd w:val="clear" w:color="auto" w:fill="auto"/>
            <w:noWrap/>
            <w:hideMark/>
          </w:tcPr>
          <w:p w14:paraId="19224158" w14:textId="77777777" w:rsidR="0044478E" w:rsidRPr="00747E35" w:rsidRDefault="0044478E" w:rsidP="0044478E">
            <w:pPr>
              <w:pStyle w:val="Tabletext"/>
              <w:spacing w:before="0" w:after="0"/>
              <w:rPr>
                <w:rFonts w:cstheme="minorHAnsi"/>
                <w:i/>
                <w:sz w:val="16"/>
              </w:rPr>
            </w:pPr>
            <w:r w:rsidRPr="00747E35">
              <w:rPr>
                <w:rFonts w:cstheme="minorHAnsi"/>
                <w:i/>
                <w:sz w:val="16"/>
              </w:rPr>
              <w:t>Gyraleus edgbastonensis</w:t>
            </w:r>
          </w:p>
        </w:tc>
        <w:tc>
          <w:tcPr>
            <w:tcW w:w="1134" w:type="dxa"/>
            <w:shd w:val="clear" w:color="auto" w:fill="auto"/>
            <w:noWrap/>
            <w:hideMark/>
          </w:tcPr>
          <w:p w14:paraId="52318EC1" w14:textId="77777777" w:rsidR="0044478E" w:rsidRPr="00747E35" w:rsidRDefault="0044478E" w:rsidP="0044478E">
            <w:pPr>
              <w:pStyle w:val="Tabletext"/>
              <w:spacing w:before="0" w:after="0"/>
              <w:rPr>
                <w:rFonts w:cstheme="minorHAnsi"/>
                <w:sz w:val="16"/>
              </w:rPr>
            </w:pPr>
            <w:r w:rsidRPr="00747E35">
              <w:rPr>
                <w:rFonts w:cstheme="minorHAnsi"/>
                <w:sz w:val="16"/>
              </w:rPr>
              <w:t>M_Gyedg</w:t>
            </w:r>
          </w:p>
        </w:tc>
        <w:tc>
          <w:tcPr>
            <w:tcW w:w="567" w:type="dxa"/>
          </w:tcPr>
          <w:p w14:paraId="523E6E62"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401D9180" w14:textId="77777777" w:rsidR="0044478E" w:rsidRPr="00747E35" w:rsidRDefault="0044478E" w:rsidP="0044478E">
            <w:pPr>
              <w:pStyle w:val="Tabletext"/>
              <w:spacing w:before="0" w:after="0"/>
              <w:rPr>
                <w:rFonts w:cstheme="minorHAnsi"/>
                <w:sz w:val="16"/>
              </w:rPr>
            </w:pPr>
            <w:r w:rsidRPr="00747E35">
              <w:rPr>
                <w:rFonts w:cstheme="minorHAnsi"/>
                <w:sz w:val="16"/>
              </w:rPr>
              <w:t>29.7</w:t>
            </w:r>
          </w:p>
        </w:tc>
        <w:tc>
          <w:tcPr>
            <w:tcW w:w="992" w:type="dxa"/>
          </w:tcPr>
          <w:p w14:paraId="4963A48E"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0EACB940"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134B81AD"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3D26AF08" w14:textId="77777777" w:rsidTr="0044478E">
        <w:trPr>
          <w:trHeight w:val="20"/>
        </w:trPr>
        <w:tc>
          <w:tcPr>
            <w:tcW w:w="964" w:type="dxa"/>
            <w:shd w:val="clear" w:color="auto" w:fill="auto"/>
            <w:noWrap/>
            <w:hideMark/>
          </w:tcPr>
          <w:p w14:paraId="5A54E912"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067E2F82"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31F14B25"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10DC97C5"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79B7256C" w14:textId="77777777" w:rsidR="0044478E" w:rsidRPr="00747E35" w:rsidRDefault="0044478E" w:rsidP="0044478E">
            <w:pPr>
              <w:pStyle w:val="Tabletext"/>
              <w:spacing w:before="0" w:after="0"/>
              <w:rPr>
                <w:rFonts w:cstheme="minorHAnsi"/>
                <w:sz w:val="16"/>
              </w:rPr>
            </w:pPr>
            <w:r w:rsidRPr="00747E35">
              <w:rPr>
                <w:rFonts w:cstheme="minorHAnsi"/>
                <w:sz w:val="16"/>
              </w:rPr>
              <w:t>Bithyniidae</w:t>
            </w:r>
          </w:p>
        </w:tc>
        <w:tc>
          <w:tcPr>
            <w:tcW w:w="2976" w:type="dxa"/>
            <w:shd w:val="clear" w:color="auto" w:fill="auto"/>
            <w:noWrap/>
            <w:hideMark/>
          </w:tcPr>
          <w:p w14:paraId="02239DAB" w14:textId="77777777" w:rsidR="0044478E" w:rsidRPr="00747E35" w:rsidRDefault="0044478E" w:rsidP="0044478E">
            <w:pPr>
              <w:pStyle w:val="Tabletext"/>
              <w:spacing w:before="0" w:after="0"/>
              <w:rPr>
                <w:rFonts w:cstheme="minorHAnsi"/>
                <w:i/>
                <w:sz w:val="16"/>
              </w:rPr>
            </w:pPr>
            <w:r w:rsidRPr="00747E35">
              <w:rPr>
                <w:rFonts w:cstheme="minorHAnsi"/>
                <w:i/>
                <w:sz w:val="16"/>
              </w:rPr>
              <w:t>Gabbia davisi</w:t>
            </w:r>
          </w:p>
        </w:tc>
        <w:tc>
          <w:tcPr>
            <w:tcW w:w="1134" w:type="dxa"/>
            <w:shd w:val="clear" w:color="auto" w:fill="auto"/>
            <w:noWrap/>
            <w:hideMark/>
          </w:tcPr>
          <w:p w14:paraId="2B645F4C" w14:textId="77777777" w:rsidR="0044478E" w:rsidRPr="00747E35" w:rsidRDefault="0044478E" w:rsidP="0044478E">
            <w:pPr>
              <w:pStyle w:val="Tabletext"/>
              <w:spacing w:before="0" w:after="0"/>
              <w:rPr>
                <w:rFonts w:cstheme="minorHAnsi"/>
                <w:sz w:val="16"/>
              </w:rPr>
            </w:pPr>
            <w:r w:rsidRPr="00747E35">
              <w:rPr>
                <w:rFonts w:cstheme="minorHAnsi"/>
                <w:sz w:val="16"/>
              </w:rPr>
              <w:t>M_Gadav</w:t>
            </w:r>
          </w:p>
        </w:tc>
        <w:tc>
          <w:tcPr>
            <w:tcW w:w="567" w:type="dxa"/>
          </w:tcPr>
          <w:p w14:paraId="44A8A69A"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150C3113" w14:textId="77777777" w:rsidR="0044478E" w:rsidRPr="00747E35" w:rsidRDefault="0044478E" w:rsidP="0044478E">
            <w:pPr>
              <w:pStyle w:val="Tabletext"/>
              <w:spacing w:before="0" w:after="0"/>
              <w:rPr>
                <w:rFonts w:cstheme="minorHAnsi"/>
                <w:sz w:val="16"/>
              </w:rPr>
            </w:pPr>
            <w:r w:rsidRPr="00747E35">
              <w:rPr>
                <w:rFonts w:cstheme="minorHAnsi"/>
                <w:sz w:val="16"/>
              </w:rPr>
              <w:t>19.0</w:t>
            </w:r>
          </w:p>
        </w:tc>
        <w:tc>
          <w:tcPr>
            <w:tcW w:w="992" w:type="dxa"/>
          </w:tcPr>
          <w:p w14:paraId="0FC35230"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5334BC53"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2929A188"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36A43556" w14:textId="77777777" w:rsidTr="0044478E">
        <w:trPr>
          <w:trHeight w:val="20"/>
        </w:trPr>
        <w:tc>
          <w:tcPr>
            <w:tcW w:w="964" w:type="dxa"/>
            <w:shd w:val="clear" w:color="auto" w:fill="auto"/>
            <w:noWrap/>
            <w:hideMark/>
          </w:tcPr>
          <w:p w14:paraId="10158A78"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256DD8CA"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022283E5"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012A98C0"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5A32A5D6" w14:textId="77777777" w:rsidR="0044478E" w:rsidRPr="00747E35" w:rsidRDefault="0044478E" w:rsidP="0044478E">
            <w:pPr>
              <w:pStyle w:val="Tabletext"/>
              <w:spacing w:before="0" w:after="0"/>
              <w:rPr>
                <w:rFonts w:cstheme="minorHAnsi"/>
                <w:sz w:val="16"/>
              </w:rPr>
            </w:pPr>
            <w:r w:rsidRPr="00747E35">
              <w:rPr>
                <w:rFonts w:cstheme="minorHAnsi"/>
                <w:sz w:val="16"/>
              </w:rPr>
              <w:t>Bithyniidae</w:t>
            </w:r>
          </w:p>
        </w:tc>
        <w:tc>
          <w:tcPr>
            <w:tcW w:w="2976" w:type="dxa"/>
            <w:shd w:val="clear" w:color="auto" w:fill="auto"/>
            <w:noWrap/>
            <w:hideMark/>
          </w:tcPr>
          <w:p w14:paraId="6410FA65" w14:textId="77777777" w:rsidR="0044478E" w:rsidRPr="00747E35" w:rsidRDefault="0044478E" w:rsidP="0044478E">
            <w:pPr>
              <w:pStyle w:val="Tabletext"/>
              <w:spacing w:before="0" w:after="0"/>
              <w:rPr>
                <w:rFonts w:cstheme="minorHAnsi"/>
                <w:i/>
                <w:sz w:val="16"/>
              </w:rPr>
            </w:pPr>
            <w:r w:rsidRPr="00747E35">
              <w:rPr>
                <w:rFonts w:cstheme="minorHAnsi"/>
                <w:i/>
                <w:sz w:val="16"/>
              </w:rPr>
              <w:t>Gabbia fontana</w:t>
            </w:r>
          </w:p>
        </w:tc>
        <w:tc>
          <w:tcPr>
            <w:tcW w:w="1134" w:type="dxa"/>
            <w:shd w:val="clear" w:color="auto" w:fill="auto"/>
            <w:noWrap/>
            <w:hideMark/>
          </w:tcPr>
          <w:p w14:paraId="7A62E4DB" w14:textId="77777777" w:rsidR="0044478E" w:rsidRPr="00747E35" w:rsidRDefault="0044478E" w:rsidP="0044478E">
            <w:pPr>
              <w:pStyle w:val="Tabletext"/>
              <w:spacing w:before="0" w:after="0"/>
              <w:rPr>
                <w:rFonts w:cstheme="minorHAnsi"/>
                <w:sz w:val="16"/>
              </w:rPr>
            </w:pPr>
            <w:r w:rsidRPr="00747E35">
              <w:rPr>
                <w:rFonts w:cstheme="minorHAnsi"/>
                <w:sz w:val="16"/>
              </w:rPr>
              <w:t>M_Gafont</w:t>
            </w:r>
          </w:p>
        </w:tc>
        <w:tc>
          <w:tcPr>
            <w:tcW w:w="567" w:type="dxa"/>
          </w:tcPr>
          <w:p w14:paraId="3EF2A28A"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7D526112" w14:textId="77777777" w:rsidR="0044478E" w:rsidRPr="00747E35" w:rsidRDefault="0044478E" w:rsidP="0044478E">
            <w:pPr>
              <w:pStyle w:val="Tabletext"/>
              <w:spacing w:before="0" w:after="0"/>
              <w:rPr>
                <w:rFonts w:cstheme="minorHAnsi"/>
                <w:sz w:val="16"/>
              </w:rPr>
            </w:pPr>
            <w:r w:rsidRPr="00747E35">
              <w:rPr>
                <w:rFonts w:cstheme="minorHAnsi"/>
                <w:sz w:val="16"/>
              </w:rPr>
              <w:t>29.7</w:t>
            </w:r>
          </w:p>
        </w:tc>
        <w:tc>
          <w:tcPr>
            <w:tcW w:w="992" w:type="dxa"/>
          </w:tcPr>
          <w:p w14:paraId="5C62E0AE"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585257D7"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6A00AAC5"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3628CC2C" w14:textId="77777777" w:rsidTr="0044478E">
        <w:trPr>
          <w:trHeight w:val="20"/>
        </w:trPr>
        <w:tc>
          <w:tcPr>
            <w:tcW w:w="964" w:type="dxa"/>
            <w:shd w:val="clear" w:color="auto" w:fill="auto"/>
            <w:noWrap/>
            <w:hideMark/>
          </w:tcPr>
          <w:p w14:paraId="549F020D"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731E9672"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777E7890"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49E434E8"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52CE8737"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58262823" w14:textId="77777777" w:rsidR="0044478E" w:rsidRPr="00747E35" w:rsidRDefault="0044478E" w:rsidP="0044478E">
            <w:pPr>
              <w:pStyle w:val="Tabletext"/>
              <w:spacing w:before="0" w:after="0"/>
              <w:rPr>
                <w:rFonts w:cstheme="minorHAnsi"/>
                <w:i/>
                <w:sz w:val="16"/>
              </w:rPr>
            </w:pPr>
            <w:r w:rsidRPr="00747E35">
              <w:rPr>
                <w:rFonts w:cstheme="minorHAnsi"/>
                <w:i/>
                <w:sz w:val="16"/>
              </w:rPr>
              <w:t>Austropyrgus centralia</w:t>
            </w:r>
          </w:p>
        </w:tc>
        <w:tc>
          <w:tcPr>
            <w:tcW w:w="1134" w:type="dxa"/>
            <w:shd w:val="clear" w:color="auto" w:fill="auto"/>
            <w:noWrap/>
            <w:hideMark/>
          </w:tcPr>
          <w:p w14:paraId="4ADEBAC7" w14:textId="77777777" w:rsidR="0044478E" w:rsidRPr="00747E35" w:rsidRDefault="0044478E" w:rsidP="0044478E">
            <w:pPr>
              <w:pStyle w:val="Tabletext"/>
              <w:spacing w:before="0" w:after="0"/>
              <w:rPr>
                <w:rFonts w:cstheme="minorHAnsi"/>
                <w:sz w:val="16"/>
              </w:rPr>
            </w:pPr>
            <w:r w:rsidRPr="00747E35">
              <w:rPr>
                <w:rFonts w:cstheme="minorHAnsi"/>
                <w:sz w:val="16"/>
              </w:rPr>
              <w:t>M_Aucent</w:t>
            </w:r>
          </w:p>
        </w:tc>
        <w:tc>
          <w:tcPr>
            <w:tcW w:w="567" w:type="dxa"/>
          </w:tcPr>
          <w:p w14:paraId="5DB04BFE"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4F603819" w14:textId="77777777" w:rsidR="0044478E" w:rsidRPr="00747E35" w:rsidRDefault="0044478E" w:rsidP="0044478E">
            <w:pPr>
              <w:pStyle w:val="Tabletext"/>
              <w:spacing w:before="0" w:after="0"/>
              <w:rPr>
                <w:rFonts w:cstheme="minorHAnsi"/>
                <w:sz w:val="16"/>
              </w:rPr>
            </w:pPr>
            <w:r w:rsidRPr="00747E35">
              <w:rPr>
                <w:rFonts w:cstheme="minorHAnsi"/>
                <w:sz w:val="16"/>
              </w:rPr>
              <w:t>56.8</w:t>
            </w:r>
          </w:p>
        </w:tc>
        <w:tc>
          <w:tcPr>
            <w:tcW w:w="992" w:type="dxa"/>
          </w:tcPr>
          <w:p w14:paraId="3954F558"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0B54F7C8"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55B259B8"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501189F5" w14:textId="77777777" w:rsidTr="0044478E">
        <w:trPr>
          <w:trHeight w:val="20"/>
        </w:trPr>
        <w:tc>
          <w:tcPr>
            <w:tcW w:w="964" w:type="dxa"/>
            <w:shd w:val="clear" w:color="auto" w:fill="auto"/>
            <w:noWrap/>
            <w:hideMark/>
          </w:tcPr>
          <w:p w14:paraId="562D9624"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2DE5BAF8"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61429867"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52DD9F3A"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1B325EEC"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767037F5" w14:textId="77777777" w:rsidR="0044478E" w:rsidRPr="00747E35" w:rsidRDefault="0044478E" w:rsidP="0044478E">
            <w:pPr>
              <w:pStyle w:val="Tabletext"/>
              <w:spacing w:before="0" w:after="0"/>
              <w:rPr>
                <w:rFonts w:cstheme="minorHAnsi"/>
                <w:i/>
                <w:sz w:val="16"/>
              </w:rPr>
            </w:pPr>
            <w:r w:rsidRPr="00747E35">
              <w:rPr>
                <w:rFonts w:cstheme="minorHAnsi"/>
                <w:i/>
                <w:sz w:val="16"/>
              </w:rPr>
              <w:t>Caldicochlea globosa</w:t>
            </w:r>
          </w:p>
        </w:tc>
        <w:tc>
          <w:tcPr>
            <w:tcW w:w="1134" w:type="dxa"/>
            <w:shd w:val="clear" w:color="auto" w:fill="auto"/>
            <w:noWrap/>
            <w:hideMark/>
          </w:tcPr>
          <w:p w14:paraId="4A1FA2FF" w14:textId="77777777" w:rsidR="0044478E" w:rsidRPr="00747E35" w:rsidRDefault="0044478E" w:rsidP="0044478E">
            <w:pPr>
              <w:pStyle w:val="Tabletext"/>
              <w:spacing w:before="0" w:after="0"/>
              <w:rPr>
                <w:rFonts w:cstheme="minorHAnsi"/>
                <w:sz w:val="16"/>
              </w:rPr>
            </w:pPr>
            <w:r w:rsidRPr="00747E35">
              <w:rPr>
                <w:rFonts w:cstheme="minorHAnsi"/>
                <w:sz w:val="16"/>
              </w:rPr>
              <w:t>M_Caglob</w:t>
            </w:r>
          </w:p>
        </w:tc>
        <w:tc>
          <w:tcPr>
            <w:tcW w:w="567" w:type="dxa"/>
          </w:tcPr>
          <w:p w14:paraId="3ABCE72E"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7BFDA1AE" w14:textId="77777777" w:rsidR="0044478E" w:rsidRPr="00747E35" w:rsidRDefault="0044478E" w:rsidP="0044478E">
            <w:pPr>
              <w:pStyle w:val="Tabletext"/>
              <w:spacing w:before="0" w:after="0"/>
              <w:rPr>
                <w:rFonts w:cstheme="minorHAnsi"/>
                <w:sz w:val="16"/>
              </w:rPr>
            </w:pPr>
            <w:r w:rsidRPr="00747E35">
              <w:rPr>
                <w:rFonts w:cstheme="minorHAnsi"/>
                <w:sz w:val="16"/>
              </w:rPr>
              <w:t>56.8</w:t>
            </w:r>
          </w:p>
        </w:tc>
        <w:tc>
          <w:tcPr>
            <w:tcW w:w="992" w:type="dxa"/>
          </w:tcPr>
          <w:p w14:paraId="4C308579"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7C7D5722"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6F84ADEF"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6AE662E7" w14:textId="77777777" w:rsidTr="0044478E">
        <w:trPr>
          <w:trHeight w:val="20"/>
        </w:trPr>
        <w:tc>
          <w:tcPr>
            <w:tcW w:w="964" w:type="dxa"/>
            <w:shd w:val="clear" w:color="auto" w:fill="auto"/>
            <w:noWrap/>
            <w:hideMark/>
          </w:tcPr>
          <w:p w14:paraId="4BE657A4"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5EBD0E09"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15D058D9"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74ED2DAF"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49FE7CE6"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430A53CE" w14:textId="77777777" w:rsidR="0044478E" w:rsidRPr="00747E35" w:rsidRDefault="0044478E" w:rsidP="0044478E">
            <w:pPr>
              <w:pStyle w:val="Tabletext"/>
              <w:spacing w:before="0" w:after="0"/>
              <w:rPr>
                <w:rFonts w:cstheme="minorHAnsi"/>
                <w:i/>
                <w:sz w:val="16"/>
              </w:rPr>
            </w:pPr>
            <w:r w:rsidRPr="00747E35">
              <w:rPr>
                <w:rFonts w:cstheme="minorHAnsi"/>
                <w:i/>
                <w:sz w:val="16"/>
              </w:rPr>
              <w:t>Caldicochlea harrisi</w:t>
            </w:r>
          </w:p>
        </w:tc>
        <w:tc>
          <w:tcPr>
            <w:tcW w:w="1134" w:type="dxa"/>
            <w:shd w:val="clear" w:color="auto" w:fill="auto"/>
            <w:noWrap/>
            <w:hideMark/>
          </w:tcPr>
          <w:p w14:paraId="7E3DCDEA" w14:textId="77777777" w:rsidR="0044478E" w:rsidRPr="00747E35" w:rsidRDefault="0044478E" w:rsidP="0044478E">
            <w:pPr>
              <w:pStyle w:val="Tabletext"/>
              <w:spacing w:before="0" w:after="0"/>
              <w:rPr>
                <w:rFonts w:cstheme="minorHAnsi"/>
                <w:sz w:val="16"/>
              </w:rPr>
            </w:pPr>
            <w:r w:rsidRPr="00747E35">
              <w:rPr>
                <w:rFonts w:cstheme="minorHAnsi"/>
                <w:sz w:val="16"/>
              </w:rPr>
              <w:t>M_Caharr</w:t>
            </w:r>
          </w:p>
        </w:tc>
        <w:tc>
          <w:tcPr>
            <w:tcW w:w="567" w:type="dxa"/>
          </w:tcPr>
          <w:p w14:paraId="2411802C"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4E6EDCB1" w14:textId="77777777" w:rsidR="0044478E" w:rsidRPr="00747E35" w:rsidRDefault="0044478E" w:rsidP="0044478E">
            <w:pPr>
              <w:pStyle w:val="Tabletext"/>
              <w:spacing w:before="0" w:after="0"/>
              <w:rPr>
                <w:rFonts w:cstheme="minorHAnsi"/>
                <w:sz w:val="16"/>
              </w:rPr>
            </w:pPr>
            <w:r w:rsidRPr="00747E35">
              <w:rPr>
                <w:rFonts w:cstheme="minorHAnsi"/>
                <w:sz w:val="16"/>
              </w:rPr>
              <w:t>56.8</w:t>
            </w:r>
          </w:p>
        </w:tc>
        <w:tc>
          <w:tcPr>
            <w:tcW w:w="992" w:type="dxa"/>
          </w:tcPr>
          <w:p w14:paraId="0E1561CC"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65558D5F"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1E1D738B"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71C1C08C" w14:textId="77777777" w:rsidTr="0044478E">
        <w:trPr>
          <w:trHeight w:val="20"/>
        </w:trPr>
        <w:tc>
          <w:tcPr>
            <w:tcW w:w="964" w:type="dxa"/>
            <w:shd w:val="clear" w:color="auto" w:fill="auto"/>
            <w:noWrap/>
            <w:hideMark/>
          </w:tcPr>
          <w:p w14:paraId="236D15BB"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2AE76A4C"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0AE5A467"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26E0BF23"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171172A4"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1367B7A7" w14:textId="77777777" w:rsidR="0044478E" w:rsidRPr="00747E35" w:rsidRDefault="0044478E" w:rsidP="0044478E">
            <w:pPr>
              <w:pStyle w:val="Tabletext"/>
              <w:spacing w:before="0" w:after="0"/>
              <w:rPr>
                <w:rFonts w:cstheme="minorHAnsi"/>
                <w:i/>
                <w:sz w:val="16"/>
              </w:rPr>
            </w:pPr>
            <w:r w:rsidRPr="00747E35">
              <w:rPr>
                <w:rFonts w:cstheme="minorHAnsi"/>
                <w:i/>
                <w:sz w:val="16"/>
              </w:rPr>
              <w:t>Edgbastonia allanwilsi</w:t>
            </w:r>
          </w:p>
        </w:tc>
        <w:tc>
          <w:tcPr>
            <w:tcW w:w="1134" w:type="dxa"/>
            <w:shd w:val="clear" w:color="auto" w:fill="auto"/>
            <w:noWrap/>
            <w:hideMark/>
          </w:tcPr>
          <w:p w14:paraId="0CFD2C61" w14:textId="77777777" w:rsidR="0044478E" w:rsidRPr="00747E35" w:rsidRDefault="0044478E" w:rsidP="0044478E">
            <w:pPr>
              <w:pStyle w:val="Tabletext"/>
              <w:spacing w:before="0" w:after="0"/>
              <w:rPr>
                <w:rFonts w:cstheme="minorHAnsi"/>
                <w:sz w:val="16"/>
              </w:rPr>
            </w:pPr>
            <w:r w:rsidRPr="00747E35">
              <w:rPr>
                <w:rFonts w:cstheme="minorHAnsi"/>
                <w:sz w:val="16"/>
              </w:rPr>
              <w:t>M_Edalla</w:t>
            </w:r>
          </w:p>
        </w:tc>
        <w:tc>
          <w:tcPr>
            <w:tcW w:w="567" w:type="dxa"/>
          </w:tcPr>
          <w:p w14:paraId="679C4D3E"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724C32B7" w14:textId="77777777" w:rsidR="0044478E" w:rsidRPr="00747E35" w:rsidRDefault="0044478E" w:rsidP="0044478E">
            <w:pPr>
              <w:pStyle w:val="Tabletext"/>
              <w:spacing w:before="0" w:after="0"/>
              <w:rPr>
                <w:rFonts w:cstheme="minorHAnsi"/>
                <w:sz w:val="16"/>
              </w:rPr>
            </w:pPr>
            <w:r w:rsidRPr="00747E35">
              <w:rPr>
                <w:rFonts w:cstheme="minorHAnsi"/>
                <w:sz w:val="16"/>
              </w:rPr>
              <w:t>29.7</w:t>
            </w:r>
          </w:p>
        </w:tc>
        <w:tc>
          <w:tcPr>
            <w:tcW w:w="992" w:type="dxa"/>
          </w:tcPr>
          <w:p w14:paraId="70428599"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430C26CF"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4439A027"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49CF7D85" w14:textId="77777777" w:rsidTr="0044478E">
        <w:trPr>
          <w:trHeight w:val="20"/>
        </w:trPr>
        <w:tc>
          <w:tcPr>
            <w:tcW w:w="964" w:type="dxa"/>
            <w:shd w:val="clear" w:color="auto" w:fill="auto"/>
            <w:noWrap/>
            <w:hideMark/>
          </w:tcPr>
          <w:p w14:paraId="3104A688"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1A7589FF"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2A3BC644"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5231F53F"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619A43DB"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762A1DD2" w14:textId="77777777" w:rsidR="0044478E" w:rsidRPr="00747E35" w:rsidRDefault="0044478E" w:rsidP="0044478E">
            <w:pPr>
              <w:pStyle w:val="Tabletext"/>
              <w:spacing w:before="0" w:after="0"/>
              <w:rPr>
                <w:rFonts w:cstheme="minorHAnsi"/>
                <w:i/>
                <w:sz w:val="16"/>
              </w:rPr>
            </w:pPr>
            <w:r w:rsidRPr="00747E35">
              <w:rPr>
                <w:rFonts w:cstheme="minorHAnsi"/>
                <w:i/>
                <w:sz w:val="16"/>
              </w:rPr>
              <w:t>Fonscochlea accepta</w:t>
            </w:r>
          </w:p>
        </w:tc>
        <w:tc>
          <w:tcPr>
            <w:tcW w:w="1134" w:type="dxa"/>
            <w:shd w:val="clear" w:color="auto" w:fill="auto"/>
            <w:noWrap/>
            <w:hideMark/>
          </w:tcPr>
          <w:p w14:paraId="48C6E565" w14:textId="77777777" w:rsidR="0044478E" w:rsidRPr="00747E35" w:rsidRDefault="0044478E" w:rsidP="0044478E">
            <w:pPr>
              <w:pStyle w:val="Tabletext"/>
              <w:spacing w:before="0" w:after="0"/>
              <w:rPr>
                <w:rFonts w:cstheme="minorHAnsi"/>
                <w:sz w:val="16"/>
              </w:rPr>
            </w:pPr>
            <w:r w:rsidRPr="00747E35">
              <w:rPr>
                <w:rFonts w:cstheme="minorHAnsi"/>
                <w:sz w:val="16"/>
              </w:rPr>
              <w:t>M_Foacce</w:t>
            </w:r>
          </w:p>
        </w:tc>
        <w:tc>
          <w:tcPr>
            <w:tcW w:w="567" w:type="dxa"/>
          </w:tcPr>
          <w:p w14:paraId="115B20F2" w14:textId="77777777" w:rsidR="0044478E" w:rsidRPr="00747E35" w:rsidRDefault="0044478E" w:rsidP="0044478E">
            <w:pPr>
              <w:pStyle w:val="Tabletext"/>
              <w:spacing w:before="0" w:after="0"/>
              <w:rPr>
                <w:rFonts w:cstheme="minorHAnsi"/>
                <w:sz w:val="16"/>
              </w:rPr>
            </w:pPr>
            <w:r w:rsidRPr="00747E35">
              <w:rPr>
                <w:rFonts w:cstheme="minorHAnsi"/>
                <w:sz w:val="16"/>
              </w:rPr>
              <w:t>13</w:t>
            </w:r>
          </w:p>
        </w:tc>
        <w:tc>
          <w:tcPr>
            <w:tcW w:w="709" w:type="dxa"/>
          </w:tcPr>
          <w:p w14:paraId="700BA1CD" w14:textId="77777777" w:rsidR="0044478E" w:rsidRPr="00747E35" w:rsidRDefault="0044478E" w:rsidP="0044478E">
            <w:pPr>
              <w:pStyle w:val="Tabletext"/>
              <w:spacing w:before="0" w:after="0"/>
              <w:rPr>
                <w:rFonts w:cstheme="minorHAnsi"/>
                <w:sz w:val="16"/>
              </w:rPr>
            </w:pPr>
            <w:r w:rsidRPr="00747E35">
              <w:rPr>
                <w:rFonts w:cstheme="minorHAnsi"/>
                <w:sz w:val="16"/>
              </w:rPr>
              <w:t>4.4</w:t>
            </w:r>
          </w:p>
        </w:tc>
        <w:tc>
          <w:tcPr>
            <w:tcW w:w="992" w:type="dxa"/>
          </w:tcPr>
          <w:p w14:paraId="094B3707"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258ABD45"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Borders>
              <w:bottom w:val="single" w:sz="4" w:space="0" w:color="auto"/>
            </w:tcBorders>
          </w:tcPr>
          <w:p w14:paraId="568BBC9B" w14:textId="77777777" w:rsidR="0044478E" w:rsidRPr="00747E35" w:rsidRDefault="0044478E" w:rsidP="0044478E">
            <w:pPr>
              <w:pStyle w:val="Tabletext"/>
              <w:spacing w:before="0" w:after="0"/>
              <w:rPr>
                <w:rFonts w:cstheme="minorHAnsi"/>
                <w:sz w:val="16"/>
              </w:rPr>
            </w:pPr>
            <w:r w:rsidRPr="00747E35">
              <w:rPr>
                <w:rFonts w:cstheme="minorHAnsi"/>
                <w:sz w:val="16"/>
              </w:rPr>
              <w:t>Broad supergroup</w:t>
            </w:r>
          </w:p>
        </w:tc>
      </w:tr>
      <w:tr w:rsidR="0044478E" w:rsidRPr="00747E35" w14:paraId="04096631" w14:textId="77777777" w:rsidTr="0044478E">
        <w:trPr>
          <w:trHeight w:val="20"/>
        </w:trPr>
        <w:tc>
          <w:tcPr>
            <w:tcW w:w="964" w:type="dxa"/>
            <w:shd w:val="clear" w:color="auto" w:fill="auto"/>
            <w:noWrap/>
            <w:hideMark/>
          </w:tcPr>
          <w:p w14:paraId="380F30C8"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39CF3DDA"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5E849BD3"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205AE05F"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595E5382"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12B68882" w14:textId="77777777" w:rsidR="0044478E" w:rsidRPr="00747E35" w:rsidRDefault="0044478E" w:rsidP="0044478E">
            <w:pPr>
              <w:pStyle w:val="Tabletext"/>
              <w:spacing w:before="0" w:after="0"/>
              <w:rPr>
                <w:rFonts w:cstheme="minorHAnsi"/>
                <w:sz w:val="16"/>
              </w:rPr>
            </w:pPr>
            <w:r w:rsidRPr="00747E35">
              <w:rPr>
                <w:rFonts w:cstheme="minorHAnsi"/>
                <w:i/>
                <w:sz w:val="16"/>
              </w:rPr>
              <w:t>Fonscochlea aquatica</w:t>
            </w:r>
            <w:r w:rsidRPr="00747E35">
              <w:rPr>
                <w:rFonts w:cstheme="minorHAnsi"/>
                <w:sz w:val="16"/>
              </w:rPr>
              <w:t xml:space="preserve"> Clade A</w:t>
            </w:r>
          </w:p>
        </w:tc>
        <w:tc>
          <w:tcPr>
            <w:tcW w:w="1134" w:type="dxa"/>
            <w:shd w:val="clear" w:color="auto" w:fill="auto"/>
            <w:noWrap/>
            <w:hideMark/>
          </w:tcPr>
          <w:p w14:paraId="7F9F9460" w14:textId="77777777" w:rsidR="0044478E" w:rsidRPr="00747E35" w:rsidRDefault="0044478E" w:rsidP="0044478E">
            <w:pPr>
              <w:pStyle w:val="Tabletext"/>
              <w:spacing w:before="0" w:after="0"/>
              <w:rPr>
                <w:rFonts w:cstheme="minorHAnsi"/>
                <w:sz w:val="16"/>
              </w:rPr>
            </w:pPr>
            <w:r w:rsidRPr="00747E35">
              <w:rPr>
                <w:rFonts w:cstheme="minorHAnsi"/>
                <w:sz w:val="16"/>
              </w:rPr>
              <w:t>M_FoaquaA</w:t>
            </w:r>
          </w:p>
        </w:tc>
        <w:tc>
          <w:tcPr>
            <w:tcW w:w="567" w:type="dxa"/>
          </w:tcPr>
          <w:p w14:paraId="280C2D13" w14:textId="77777777" w:rsidR="0044478E" w:rsidRPr="00747E35" w:rsidRDefault="0044478E" w:rsidP="0044478E">
            <w:pPr>
              <w:pStyle w:val="Tabletext"/>
              <w:spacing w:before="0" w:after="0"/>
              <w:rPr>
                <w:rFonts w:cstheme="minorHAnsi"/>
                <w:sz w:val="16"/>
              </w:rPr>
            </w:pPr>
            <w:r w:rsidRPr="00747E35">
              <w:rPr>
                <w:rFonts w:cstheme="minorHAnsi"/>
                <w:sz w:val="16"/>
              </w:rPr>
              <w:t>3</w:t>
            </w:r>
          </w:p>
        </w:tc>
        <w:tc>
          <w:tcPr>
            <w:tcW w:w="709" w:type="dxa"/>
          </w:tcPr>
          <w:p w14:paraId="7629F1AA" w14:textId="77777777" w:rsidR="0044478E" w:rsidRPr="00747E35" w:rsidRDefault="0044478E" w:rsidP="0044478E">
            <w:pPr>
              <w:pStyle w:val="Tabletext"/>
              <w:spacing w:before="0" w:after="0"/>
              <w:rPr>
                <w:rFonts w:cstheme="minorHAnsi"/>
                <w:sz w:val="16"/>
              </w:rPr>
            </w:pPr>
            <w:r w:rsidRPr="00747E35">
              <w:rPr>
                <w:rFonts w:cstheme="minorHAnsi"/>
                <w:sz w:val="16"/>
              </w:rPr>
              <w:t>0.4</w:t>
            </w:r>
          </w:p>
        </w:tc>
        <w:tc>
          <w:tcPr>
            <w:tcW w:w="992" w:type="dxa"/>
          </w:tcPr>
          <w:p w14:paraId="4228F6B3"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388D1941"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val="restart"/>
            <w:tcBorders>
              <w:top w:val="single" w:sz="4" w:space="0" w:color="auto"/>
              <w:left w:val="single" w:sz="4" w:space="0" w:color="auto"/>
              <w:bottom w:val="single" w:sz="4" w:space="0" w:color="auto"/>
            </w:tcBorders>
            <w:vAlign w:val="center"/>
          </w:tcPr>
          <w:p w14:paraId="180E9F7E" w14:textId="77777777" w:rsidR="0044478E" w:rsidRPr="00747E35" w:rsidRDefault="0044478E" w:rsidP="0044478E">
            <w:pPr>
              <w:pStyle w:val="Tabletext"/>
              <w:spacing w:before="0" w:after="0"/>
              <w:rPr>
                <w:rFonts w:cstheme="minorHAnsi"/>
                <w:sz w:val="16"/>
              </w:rPr>
            </w:pPr>
            <w:r w:rsidRPr="00747E35">
              <w:rPr>
                <w:rFonts w:cstheme="minorHAnsi"/>
                <w:sz w:val="16"/>
              </w:rPr>
              <w:t>Broad supergroup</w:t>
            </w:r>
          </w:p>
        </w:tc>
      </w:tr>
      <w:tr w:rsidR="0044478E" w:rsidRPr="00747E35" w14:paraId="1838DE68" w14:textId="77777777" w:rsidTr="0044478E">
        <w:trPr>
          <w:trHeight w:val="20"/>
        </w:trPr>
        <w:tc>
          <w:tcPr>
            <w:tcW w:w="964" w:type="dxa"/>
            <w:shd w:val="clear" w:color="auto" w:fill="auto"/>
            <w:noWrap/>
            <w:hideMark/>
          </w:tcPr>
          <w:p w14:paraId="77A208DD"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1E3B06CA"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59803AA3"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27567574"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3AE4AEBE"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7210936D" w14:textId="77777777" w:rsidR="0044478E" w:rsidRPr="00747E35" w:rsidRDefault="0044478E" w:rsidP="0044478E">
            <w:pPr>
              <w:pStyle w:val="Tabletext"/>
              <w:spacing w:before="0" w:after="0"/>
              <w:rPr>
                <w:rFonts w:cstheme="minorHAnsi"/>
                <w:sz w:val="16"/>
              </w:rPr>
            </w:pPr>
            <w:r w:rsidRPr="00747E35">
              <w:rPr>
                <w:rFonts w:cstheme="minorHAnsi"/>
                <w:i/>
                <w:sz w:val="16"/>
              </w:rPr>
              <w:t>Fonscochlea aquatica</w:t>
            </w:r>
            <w:r w:rsidRPr="00747E35">
              <w:rPr>
                <w:rFonts w:cstheme="minorHAnsi"/>
                <w:sz w:val="16"/>
              </w:rPr>
              <w:t xml:space="preserve"> Clade B</w:t>
            </w:r>
          </w:p>
        </w:tc>
        <w:tc>
          <w:tcPr>
            <w:tcW w:w="1134" w:type="dxa"/>
            <w:shd w:val="clear" w:color="auto" w:fill="auto"/>
            <w:noWrap/>
            <w:hideMark/>
          </w:tcPr>
          <w:p w14:paraId="00F4A5BA" w14:textId="77777777" w:rsidR="0044478E" w:rsidRPr="00747E35" w:rsidRDefault="0044478E" w:rsidP="0044478E">
            <w:pPr>
              <w:pStyle w:val="Tabletext"/>
              <w:spacing w:before="0" w:after="0"/>
              <w:rPr>
                <w:rFonts w:cstheme="minorHAnsi"/>
                <w:sz w:val="16"/>
              </w:rPr>
            </w:pPr>
            <w:r w:rsidRPr="00747E35">
              <w:rPr>
                <w:rFonts w:cstheme="minorHAnsi"/>
                <w:sz w:val="16"/>
              </w:rPr>
              <w:t>M_FoaquaB</w:t>
            </w:r>
          </w:p>
        </w:tc>
        <w:tc>
          <w:tcPr>
            <w:tcW w:w="567" w:type="dxa"/>
          </w:tcPr>
          <w:p w14:paraId="44867E0D" w14:textId="77777777" w:rsidR="0044478E" w:rsidRPr="00747E35" w:rsidRDefault="0044478E" w:rsidP="0044478E">
            <w:pPr>
              <w:pStyle w:val="Tabletext"/>
              <w:spacing w:before="0" w:after="0"/>
              <w:rPr>
                <w:rFonts w:cstheme="minorHAnsi"/>
                <w:sz w:val="16"/>
              </w:rPr>
            </w:pPr>
            <w:r w:rsidRPr="00747E35">
              <w:rPr>
                <w:rFonts w:cstheme="minorHAnsi"/>
                <w:sz w:val="16"/>
              </w:rPr>
              <w:t>7</w:t>
            </w:r>
          </w:p>
        </w:tc>
        <w:tc>
          <w:tcPr>
            <w:tcW w:w="709" w:type="dxa"/>
          </w:tcPr>
          <w:p w14:paraId="769E9C60" w14:textId="77777777" w:rsidR="0044478E" w:rsidRPr="00747E35" w:rsidRDefault="0044478E" w:rsidP="0044478E">
            <w:pPr>
              <w:pStyle w:val="Tabletext"/>
              <w:spacing w:before="0" w:after="0"/>
              <w:rPr>
                <w:rFonts w:cstheme="minorHAnsi"/>
                <w:sz w:val="16"/>
              </w:rPr>
            </w:pPr>
            <w:r w:rsidRPr="00747E35">
              <w:rPr>
                <w:rFonts w:cstheme="minorHAnsi"/>
                <w:sz w:val="16"/>
              </w:rPr>
              <w:t>13.2</w:t>
            </w:r>
          </w:p>
        </w:tc>
        <w:tc>
          <w:tcPr>
            <w:tcW w:w="992" w:type="dxa"/>
          </w:tcPr>
          <w:p w14:paraId="3DE20A82"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23B9EBFA"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left w:val="single" w:sz="4" w:space="0" w:color="auto"/>
              <w:bottom w:val="single" w:sz="4" w:space="0" w:color="auto"/>
            </w:tcBorders>
          </w:tcPr>
          <w:p w14:paraId="2E9EABFD" w14:textId="77777777" w:rsidR="0044478E" w:rsidRPr="00747E35" w:rsidRDefault="0044478E" w:rsidP="0044478E">
            <w:pPr>
              <w:pStyle w:val="Tabletext"/>
              <w:spacing w:before="0" w:after="0"/>
              <w:rPr>
                <w:rFonts w:cstheme="minorHAnsi"/>
                <w:sz w:val="16"/>
              </w:rPr>
            </w:pPr>
          </w:p>
        </w:tc>
      </w:tr>
      <w:tr w:rsidR="0044478E" w:rsidRPr="00747E35" w14:paraId="7BA3DDFC" w14:textId="77777777" w:rsidTr="0044478E">
        <w:trPr>
          <w:trHeight w:val="20"/>
        </w:trPr>
        <w:tc>
          <w:tcPr>
            <w:tcW w:w="964" w:type="dxa"/>
            <w:shd w:val="clear" w:color="auto" w:fill="auto"/>
            <w:noWrap/>
            <w:hideMark/>
          </w:tcPr>
          <w:p w14:paraId="58B8F8EC"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4B3257F7"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65657D96"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018FE20D"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07DFB82F"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2CA9A40A" w14:textId="77777777" w:rsidR="0044478E" w:rsidRPr="00747E35" w:rsidRDefault="0044478E" w:rsidP="0044478E">
            <w:pPr>
              <w:pStyle w:val="Tabletext"/>
              <w:spacing w:before="0" w:after="0"/>
              <w:rPr>
                <w:rFonts w:cstheme="minorHAnsi"/>
                <w:sz w:val="16"/>
              </w:rPr>
            </w:pPr>
            <w:r w:rsidRPr="00747E35">
              <w:rPr>
                <w:rFonts w:cstheme="minorHAnsi"/>
                <w:i/>
                <w:sz w:val="16"/>
              </w:rPr>
              <w:t>Fonscochlea aquatica</w:t>
            </w:r>
            <w:r w:rsidRPr="00747E35">
              <w:rPr>
                <w:rFonts w:cstheme="minorHAnsi"/>
                <w:sz w:val="16"/>
              </w:rPr>
              <w:t xml:space="preserve"> Clade C</w:t>
            </w:r>
          </w:p>
        </w:tc>
        <w:tc>
          <w:tcPr>
            <w:tcW w:w="1134" w:type="dxa"/>
            <w:shd w:val="clear" w:color="auto" w:fill="auto"/>
            <w:noWrap/>
            <w:hideMark/>
          </w:tcPr>
          <w:p w14:paraId="0306E51F" w14:textId="77777777" w:rsidR="0044478E" w:rsidRPr="00747E35" w:rsidRDefault="0044478E" w:rsidP="0044478E">
            <w:pPr>
              <w:pStyle w:val="Tabletext"/>
              <w:spacing w:before="0" w:after="0"/>
              <w:rPr>
                <w:rFonts w:cstheme="minorHAnsi"/>
                <w:sz w:val="16"/>
              </w:rPr>
            </w:pPr>
            <w:r w:rsidRPr="00747E35">
              <w:rPr>
                <w:rFonts w:cstheme="minorHAnsi"/>
                <w:sz w:val="16"/>
              </w:rPr>
              <w:t>M_FoaquaC</w:t>
            </w:r>
          </w:p>
        </w:tc>
        <w:tc>
          <w:tcPr>
            <w:tcW w:w="567" w:type="dxa"/>
          </w:tcPr>
          <w:p w14:paraId="3A908B0D" w14:textId="77777777" w:rsidR="0044478E" w:rsidRPr="00747E35" w:rsidRDefault="0044478E" w:rsidP="0044478E">
            <w:pPr>
              <w:pStyle w:val="Tabletext"/>
              <w:spacing w:before="0" w:after="0"/>
              <w:rPr>
                <w:rFonts w:cstheme="minorHAnsi"/>
                <w:sz w:val="16"/>
              </w:rPr>
            </w:pPr>
            <w:r w:rsidRPr="00747E35">
              <w:rPr>
                <w:rFonts w:cstheme="minorHAnsi"/>
                <w:sz w:val="16"/>
              </w:rPr>
              <w:t>3</w:t>
            </w:r>
          </w:p>
        </w:tc>
        <w:tc>
          <w:tcPr>
            <w:tcW w:w="709" w:type="dxa"/>
          </w:tcPr>
          <w:p w14:paraId="56333712" w14:textId="77777777" w:rsidR="0044478E" w:rsidRPr="00747E35" w:rsidRDefault="0044478E" w:rsidP="0044478E">
            <w:pPr>
              <w:pStyle w:val="Tabletext"/>
              <w:spacing w:before="0" w:after="0"/>
              <w:rPr>
                <w:rFonts w:cstheme="minorHAnsi"/>
                <w:sz w:val="16"/>
              </w:rPr>
            </w:pPr>
            <w:r w:rsidRPr="00747E35">
              <w:rPr>
                <w:rFonts w:cstheme="minorHAnsi"/>
                <w:sz w:val="16"/>
              </w:rPr>
              <w:t>83.1</w:t>
            </w:r>
          </w:p>
        </w:tc>
        <w:tc>
          <w:tcPr>
            <w:tcW w:w="992" w:type="dxa"/>
          </w:tcPr>
          <w:p w14:paraId="05D48F53"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468B1834"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left w:val="single" w:sz="4" w:space="0" w:color="auto"/>
              <w:bottom w:val="single" w:sz="4" w:space="0" w:color="auto"/>
            </w:tcBorders>
          </w:tcPr>
          <w:p w14:paraId="612C4D71" w14:textId="77777777" w:rsidR="0044478E" w:rsidRPr="00747E35" w:rsidRDefault="0044478E" w:rsidP="0044478E">
            <w:pPr>
              <w:pStyle w:val="Tabletext"/>
              <w:spacing w:before="0" w:after="0"/>
              <w:rPr>
                <w:rFonts w:cstheme="minorHAnsi"/>
                <w:sz w:val="16"/>
              </w:rPr>
            </w:pPr>
          </w:p>
        </w:tc>
      </w:tr>
      <w:tr w:rsidR="0044478E" w:rsidRPr="00747E35" w14:paraId="5D6F4A46" w14:textId="77777777" w:rsidTr="0044478E">
        <w:trPr>
          <w:trHeight w:val="20"/>
        </w:trPr>
        <w:tc>
          <w:tcPr>
            <w:tcW w:w="964" w:type="dxa"/>
            <w:shd w:val="clear" w:color="auto" w:fill="auto"/>
            <w:noWrap/>
            <w:hideMark/>
          </w:tcPr>
          <w:p w14:paraId="58880900"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75CE39F6"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039280F7"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266A3B1B"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546A3733"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09D488CE" w14:textId="77777777" w:rsidR="0044478E" w:rsidRPr="00747E35" w:rsidRDefault="0044478E" w:rsidP="0044478E">
            <w:pPr>
              <w:pStyle w:val="Tabletext"/>
              <w:spacing w:before="0" w:after="0"/>
              <w:rPr>
                <w:rFonts w:cstheme="minorHAnsi"/>
                <w:sz w:val="16"/>
              </w:rPr>
            </w:pPr>
            <w:r w:rsidRPr="00747E35">
              <w:rPr>
                <w:rFonts w:cstheme="minorHAnsi"/>
                <w:i/>
                <w:sz w:val="16"/>
              </w:rPr>
              <w:t>Fonscochlea aquatica</w:t>
            </w:r>
            <w:r w:rsidRPr="00747E35">
              <w:rPr>
                <w:rFonts w:cstheme="minorHAnsi"/>
                <w:sz w:val="16"/>
              </w:rPr>
              <w:t xml:space="preserve"> Clade D</w:t>
            </w:r>
          </w:p>
        </w:tc>
        <w:tc>
          <w:tcPr>
            <w:tcW w:w="1134" w:type="dxa"/>
            <w:shd w:val="clear" w:color="auto" w:fill="auto"/>
            <w:noWrap/>
            <w:hideMark/>
          </w:tcPr>
          <w:p w14:paraId="3991022E" w14:textId="77777777" w:rsidR="0044478E" w:rsidRPr="00747E35" w:rsidRDefault="0044478E" w:rsidP="0044478E">
            <w:pPr>
              <w:pStyle w:val="Tabletext"/>
              <w:spacing w:before="0" w:after="0"/>
              <w:rPr>
                <w:rFonts w:cstheme="minorHAnsi"/>
                <w:sz w:val="16"/>
              </w:rPr>
            </w:pPr>
            <w:r w:rsidRPr="00747E35">
              <w:rPr>
                <w:rFonts w:cstheme="minorHAnsi"/>
                <w:sz w:val="16"/>
              </w:rPr>
              <w:t>M_FoaquaD</w:t>
            </w:r>
          </w:p>
        </w:tc>
        <w:tc>
          <w:tcPr>
            <w:tcW w:w="567" w:type="dxa"/>
          </w:tcPr>
          <w:p w14:paraId="0B0D7329" w14:textId="77777777" w:rsidR="0044478E" w:rsidRPr="00747E35" w:rsidRDefault="0044478E" w:rsidP="0044478E">
            <w:pPr>
              <w:pStyle w:val="Tabletext"/>
              <w:spacing w:before="0" w:after="0"/>
              <w:rPr>
                <w:rFonts w:cstheme="minorHAnsi"/>
                <w:sz w:val="16"/>
              </w:rPr>
            </w:pPr>
            <w:r w:rsidRPr="00747E35">
              <w:rPr>
                <w:rFonts w:cstheme="minorHAnsi"/>
                <w:sz w:val="16"/>
              </w:rPr>
              <w:t>11</w:t>
            </w:r>
          </w:p>
        </w:tc>
        <w:tc>
          <w:tcPr>
            <w:tcW w:w="709" w:type="dxa"/>
          </w:tcPr>
          <w:p w14:paraId="1E079435" w14:textId="77777777" w:rsidR="0044478E" w:rsidRPr="00747E35" w:rsidRDefault="0044478E" w:rsidP="0044478E">
            <w:pPr>
              <w:pStyle w:val="Tabletext"/>
              <w:spacing w:before="0" w:after="0"/>
              <w:rPr>
                <w:rFonts w:cstheme="minorHAnsi"/>
                <w:sz w:val="16"/>
              </w:rPr>
            </w:pPr>
            <w:r w:rsidRPr="00747E35">
              <w:rPr>
                <w:rFonts w:cstheme="minorHAnsi"/>
                <w:sz w:val="16"/>
              </w:rPr>
              <w:t>8.7</w:t>
            </w:r>
          </w:p>
        </w:tc>
        <w:tc>
          <w:tcPr>
            <w:tcW w:w="992" w:type="dxa"/>
          </w:tcPr>
          <w:p w14:paraId="23CD8475" w14:textId="77777777" w:rsidR="0044478E" w:rsidRPr="00747E35" w:rsidRDefault="0044478E" w:rsidP="0044478E">
            <w:pPr>
              <w:pStyle w:val="Tabletext"/>
              <w:spacing w:before="0" w:after="0"/>
              <w:rPr>
                <w:rFonts w:cstheme="minorHAnsi"/>
                <w:sz w:val="16"/>
              </w:rPr>
            </w:pPr>
            <w:r w:rsidRPr="00747E35">
              <w:rPr>
                <w:rFonts w:cstheme="minorHAnsi"/>
                <w:sz w:val="16"/>
              </w:rPr>
              <w:t>82</w:t>
            </w:r>
          </w:p>
        </w:tc>
        <w:tc>
          <w:tcPr>
            <w:tcW w:w="851" w:type="dxa"/>
            <w:tcBorders>
              <w:right w:val="single" w:sz="4" w:space="0" w:color="auto"/>
            </w:tcBorders>
          </w:tcPr>
          <w:p w14:paraId="1E5F2FC2"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left w:val="single" w:sz="4" w:space="0" w:color="auto"/>
              <w:bottom w:val="single" w:sz="4" w:space="0" w:color="auto"/>
            </w:tcBorders>
          </w:tcPr>
          <w:p w14:paraId="44B7E23E" w14:textId="77777777" w:rsidR="0044478E" w:rsidRPr="00747E35" w:rsidRDefault="0044478E" w:rsidP="0044478E">
            <w:pPr>
              <w:pStyle w:val="Tabletext"/>
              <w:spacing w:before="0" w:after="0"/>
              <w:rPr>
                <w:rFonts w:cstheme="minorHAnsi"/>
                <w:sz w:val="16"/>
              </w:rPr>
            </w:pPr>
          </w:p>
        </w:tc>
      </w:tr>
      <w:tr w:rsidR="0044478E" w:rsidRPr="00747E35" w14:paraId="48B85485" w14:textId="77777777" w:rsidTr="0044478E">
        <w:trPr>
          <w:trHeight w:val="20"/>
        </w:trPr>
        <w:tc>
          <w:tcPr>
            <w:tcW w:w="964" w:type="dxa"/>
            <w:shd w:val="clear" w:color="auto" w:fill="auto"/>
            <w:noWrap/>
            <w:hideMark/>
          </w:tcPr>
          <w:p w14:paraId="118152E6"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2955F183"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611EEBA8"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7A43674A"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06DE8B3B"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229007F7" w14:textId="77777777" w:rsidR="0044478E" w:rsidRPr="00747E35" w:rsidRDefault="0044478E" w:rsidP="0044478E">
            <w:pPr>
              <w:pStyle w:val="Tabletext"/>
              <w:tabs>
                <w:tab w:val="left" w:pos="1875"/>
              </w:tabs>
              <w:spacing w:before="0" w:after="0"/>
              <w:rPr>
                <w:rFonts w:cstheme="minorHAnsi"/>
                <w:i/>
                <w:sz w:val="16"/>
              </w:rPr>
            </w:pPr>
            <w:r w:rsidRPr="00747E35">
              <w:rPr>
                <w:rFonts w:cstheme="minorHAnsi"/>
                <w:i/>
                <w:sz w:val="16"/>
              </w:rPr>
              <w:t>Fonscochlea billakalina</w:t>
            </w:r>
          </w:p>
        </w:tc>
        <w:tc>
          <w:tcPr>
            <w:tcW w:w="1134" w:type="dxa"/>
            <w:shd w:val="clear" w:color="auto" w:fill="auto"/>
            <w:noWrap/>
            <w:hideMark/>
          </w:tcPr>
          <w:p w14:paraId="0A8E44AF" w14:textId="77777777" w:rsidR="0044478E" w:rsidRPr="00747E35" w:rsidRDefault="0044478E" w:rsidP="0044478E">
            <w:pPr>
              <w:pStyle w:val="Tabletext"/>
              <w:spacing w:before="0" w:after="0"/>
              <w:rPr>
                <w:rFonts w:cstheme="minorHAnsi"/>
                <w:sz w:val="16"/>
              </w:rPr>
            </w:pPr>
            <w:r w:rsidRPr="00747E35">
              <w:rPr>
                <w:rFonts w:cstheme="minorHAnsi"/>
                <w:sz w:val="16"/>
              </w:rPr>
              <w:t>M_Fobilla</w:t>
            </w:r>
          </w:p>
        </w:tc>
        <w:tc>
          <w:tcPr>
            <w:tcW w:w="567" w:type="dxa"/>
          </w:tcPr>
          <w:p w14:paraId="0EED98A9" w14:textId="77777777" w:rsidR="0044478E" w:rsidRPr="00747E35" w:rsidRDefault="0044478E" w:rsidP="0044478E">
            <w:pPr>
              <w:pStyle w:val="Tabletext"/>
              <w:spacing w:before="0" w:after="0"/>
              <w:rPr>
                <w:rFonts w:cstheme="minorHAnsi"/>
                <w:sz w:val="16"/>
              </w:rPr>
            </w:pPr>
            <w:r w:rsidRPr="00747E35">
              <w:rPr>
                <w:rFonts w:cstheme="minorHAnsi"/>
                <w:sz w:val="16"/>
              </w:rPr>
              <w:t>4</w:t>
            </w:r>
          </w:p>
        </w:tc>
        <w:tc>
          <w:tcPr>
            <w:tcW w:w="709" w:type="dxa"/>
          </w:tcPr>
          <w:p w14:paraId="4C064FE1" w14:textId="77777777" w:rsidR="0044478E" w:rsidRPr="00747E35" w:rsidRDefault="0044478E" w:rsidP="0044478E">
            <w:pPr>
              <w:pStyle w:val="Tabletext"/>
              <w:spacing w:before="0" w:after="0"/>
              <w:rPr>
                <w:rFonts w:cstheme="minorHAnsi"/>
                <w:sz w:val="16"/>
              </w:rPr>
            </w:pPr>
            <w:r w:rsidRPr="00747E35">
              <w:rPr>
                <w:rFonts w:cstheme="minorHAnsi"/>
                <w:sz w:val="16"/>
              </w:rPr>
              <w:t>83.1</w:t>
            </w:r>
          </w:p>
        </w:tc>
        <w:tc>
          <w:tcPr>
            <w:tcW w:w="992" w:type="dxa"/>
          </w:tcPr>
          <w:p w14:paraId="29334554"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2EF77225"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Borders>
              <w:top w:val="single" w:sz="4" w:space="0" w:color="auto"/>
              <w:bottom w:val="single" w:sz="4" w:space="0" w:color="auto"/>
            </w:tcBorders>
          </w:tcPr>
          <w:p w14:paraId="65E2CBFB" w14:textId="77777777" w:rsidR="0044478E" w:rsidRPr="00747E35" w:rsidRDefault="0044478E" w:rsidP="0044478E">
            <w:pPr>
              <w:pStyle w:val="Tabletext"/>
              <w:spacing w:before="0" w:after="0"/>
              <w:rPr>
                <w:rFonts w:cstheme="minorHAnsi"/>
                <w:sz w:val="16"/>
              </w:rPr>
            </w:pPr>
            <w:r w:rsidRPr="00747E35">
              <w:rPr>
                <w:rFonts w:cstheme="minorHAnsi"/>
                <w:sz w:val="16"/>
              </w:rPr>
              <w:t>Narrow supergroup</w:t>
            </w:r>
          </w:p>
        </w:tc>
      </w:tr>
      <w:tr w:rsidR="0044478E" w:rsidRPr="00747E35" w14:paraId="3373B476" w14:textId="77777777" w:rsidTr="0044478E">
        <w:trPr>
          <w:trHeight w:val="20"/>
        </w:trPr>
        <w:tc>
          <w:tcPr>
            <w:tcW w:w="964" w:type="dxa"/>
            <w:shd w:val="clear" w:color="auto" w:fill="auto"/>
            <w:noWrap/>
            <w:hideMark/>
          </w:tcPr>
          <w:p w14:paraId="628F4137"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2CC5BF16"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39407C3E"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79EB3AC6"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503ABF7B"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78D0ADC4" w14:textId="77777777" w:rsidR="0044478E" w:rsidRPr="00747E35" w:rsidRDefault="0044478E" w:rsidP="0044478E">
            <w:pPr>
              <w:pStyle w:val="Tabletext"/>
              <w:spacing w:before="0" w:after="0"/>
              <w:rPr>
                <w:rFonts w:cstheme="minorHAnsi"/>
                <w:sz w:val="16"/>
              </w:rPr>
            </w:pPr>
            <w:r w:rsidRPr="00747E35">
              <w:rPr>
                <w:rFonts w:cstheme="minorHAnsi"/>
                <w:i/>
                <w:sz w:val="16"/>
              </w:rPr>
              <w:t>Fonscochlea expandolabra</w:t>
            </w:r>
            <w:r w:rsidRPr="00747E35">
              <w:rPr>
                <w:rFonts w:cstheme="minorHAnsi"/>
                <w:sz w:val="16"/>
              </w:rPr>
              <w:t xml:space="preserve"> Clade A</w:t>
            </w:r>
          </w:p>
        </w:tc>
        <w:tc>
          <w:tcPr>
            <w:tcW w:w="1134" w:type="dxa"/>
            <w:shd w:val="clear" w:color="auto" w:fill="auto"/>
            <w:noWrap/>
            <w:hideMark/>
          </w:tcPr>
          <w:p w14:paraId="78A74178" w14:textId="77777777" w:rsidR="0044478E" w:rsidRPr="00747E35" w:rsidRDefault="0044478E" w:rsidP="0044478E">
            <w:pPr>
              <w:pStyle w:val="Tabletext"/>
              <w:spacing w:before="0" w:after="0"/>
              <w:rPr>
                <w:rFonts w:cstheme="minorHAnsi"/>
                <w:sz w:val="16"/>
              </w:rPr>
            </w:pPr>
            <w:r w:rsidRPr="00747E35">
              <w:rPr>
                <w:rFonts w:cstheme="minorHAnsi"/>
                <w:sz w:val="16"/>
              </w:rPr>
              <w:t>M_FoexpaA</w:t>
            </w:r>
          </w:p>
        </w:tc>
        <w:tc>
          <w:tcPr>
            <w:tcW w:w="567" w:type="dxa"/>
          </w:tcPr>
          <w:p w14:paraId="43878FCE" w14:textId="77777777" w:rsidR="0044478E" w:rsidRPr="00747E35" w:rsidRDefault="0044478E" w:rsidP="0044478E">
            <w:pPr>
              <w:pStyle w:val="Tabletext"/>
              <w:spacing w:before="0" w:after="0"/>
              <w:rPr>
                <w:rFonts w:cstheme="minorHAnsi"/>
                <w:sz w:val="16"/>
              </w:rPr>
            </w:pPr>
            <w:r w:rsidRPr="00747E35">
              <w:rPr>
                <w:rFonts w:cstheme="minorHAnsi"/>
                <w:sz w:val="16"/>
              </w:rPr>
              <w:t>2</w:t>
            </w:r>
          </w:p>
        </w:tc>
        <w:tc>
          <w:tcPr>
            <w:tcW w:w="709" w:type="dxa"/>
          </w:tcPr>
          <w:p w14:paraId="42A4AB60" w14:textId="77777777" w:rsidR="0044478E" w:rsidRPr="00747E35" w:rsidRDefault="0044478E" w:rsidP="0044478E">
            <w:pPr>
              <w:pStyle w:val="Tabletext"/>
              <w:spacing w:before="0" w:after="0"/>
              <w:rPr>
                <w:rFonts w:cstheme="minorHAnsi"/>
                <w:sz w:val="16"/>
              </w:rPr>
            </w:pPr>
            <w:r w:rsidRPr="00747E35">
              <w:rPr>
                <w:rFonts w:cstheme="minorHAnsi"/>
                <w:sz w:val="16"/>
              </w:rPr>
              <w:t>0.4</w:t>
            </w:r>
          </w:p>
        </w:tc>
        <w:tc>
          <w:tcPr>
            <w:tcW w:w="992" w:type="dxa"/>
          </w:tcPr>
          <w:p w14:paraId="424F5E09"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79D76924"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val="restart"/>
            <w:tcBorders>
              <w:top w:val="single" w:sz="4" w:space="0" w:color="auto"/>
              <w:left w:val="single" w:sz="4" w:space="0" w:color="auto"/>
              <w:bottom w:val="single" w:sz="4" w:space="0" w:color="auto"/>
            </w:tcBorders>
            <w:vAlign w:val="center"/>
          </w:tcPr>
          <w:p w14:paraId="57E97D2B" w14:textId="77777777" w:rsidR="0044478E" w:rsidRPr="00747E35" w:rsidRDefault="0044478E" w:rsidP="0044478E">
            <w:pPr>
              <w:pStyle w:val="Tabletext"/>
              <w:spacing w:before="0" w:after="0"/>
              <w:rPr>
                <w:rFonts w:cstheme="minorHAnsi"/>
                <w:sz w:val="16"/>
              </w:rPr>
            </w:pPr>
            <w:r w:rsidRPr="00747E35">
              <w:rPr>
                <w:rFonts w:cstheme="minorHAnsi"/>
                <w:sz w:val="16"/>
              </w:rPr>
              <w:t>Broad supergroup</w:t>
            </w:r>
          </w:p>
        </w:tc>
      </w:tr>
      <w:tr w:rsidR="0044478E" w:rsidRPr="00747E35" w14:paraId="7AF6760F" w14:textId="77777777" w:rsidTr="0044478E">
        <w:trPr>
          <w:trHeight w:val="20"/>
        </w:trPr>
        <w:tc>
          <w:tcPr>
            <w:tcW w:w="964" w:type="dxa"/>
            <w:shd w:val="clear" w:color="auto" w:fill="auto"/>
            <w:noWrap/>
            <w:hideMark/>
          </w:tcPr>
          <w:p w14:paraId="78DEE489"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19F25B86"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01ADF1FC"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0928FCE8"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047B1825"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0159EEF8" w14:textId="77777777" w:rsidR="0044478E" w:rsidRPr="00747E35" w:rsidRDefault="0044478E" w:rsidP="0044478E">
            <w:pPr>
              <w:pStyle w:val="Tabletext"/>
              <w:spacing w:before="0" w:after="0"/>
              <w:rPr>
                <w:rFonts w:cstheme="minorHAnsi"/>
                <w:sz w:val="16"/>
              </w:rPr>
            </w:pPr>
            <w:r w:rsidRPr="00747E35">
              <w:rPr>
                <w:rFonts w:cstheme="minorHAnsi"/>
                <w:i/>
                <w:sz w:val="16"/>
              </w:rPr>
              <w:t xml:space="preserve">Fonscochlea expandolabra </w:t>
            </w:r>
            <w:r w:rsidRPr="00747E35">
              <w:rPr>
                <w:rFonts w:cstheme="minorHAnsi"/>
                <w:sz w:val="16"/>
              </w:rPr>
              <w:t>Clade B</w:t>
            </w:r>
          </w:p>
        </w:tc>
        <w:tc>
          <w:tcPr>
            <w:tcW w:w="1134" w:type="dxa"/>
            <w:shd w:val="clear" w:color="auto" w:fill="auto"/>
            <w:noWrap/>
            <w:hideMark/>
          </w:tcPr>
          <w:p w14:paraId="723158C4" w14:textId="77777777" w:rsidR="0044478E" w:rsidRPr="00747E35" w:rsidRDefault="0044478E" w:rsidP="0044478E">
            <w:pPr>
              <w:pStyle w:val="Tabletext"/>
              <w:spacing w:before="0" w:after="0"/>
              <w:rPr>
                <w:rFonts w:cstheme="minorHAnsi"/>
                <w:sz w:val="16"/>
              </w:rPr>
            </w:pPr>
            <w:r w:rsidRPr="00747E35">
              <w:rPr>
                <w:rFonts w:cstheme="minorHAnsi"/>
                <w:sz w:val="16"/>
              </w:rPr>
              <w:t>M_FoexpaB</w:t>
            </w:r>
          </w:p>
        </w:tc>
        <w:tc>
          <w:tcPr>
            <w:tcW w:w="567" w:type="dxa"/>
          </w:tcPr>
          <w:p w14:paraId="6A2744BD" w14:textId="77777777" w:rsidR="0044478E" w:rsidRPr="00747E35" w:rsidRDefault="0044478E" w:rsidP="0044478E">
            <w:pPr>
              <w:pStyle w:val="Tabletext"/>
              <w:spacing w:before="0" w:after="0"/>
              <w:rPr>
                <w:rFonts w:cstheme="minorHAnsi"/>
                <w:sz w:val="16"/>
              </w:rPr>
            </w:pPr>
            <w:r w:rsidRPr="00747E35">
              <w:rPr>
                <w:rFonts w:cstheme="minorHAnsi"/>
                <w:sz w:val="16"/>
              </w:rPr>
              <w:t>6</w:t>
            </w:r>
          </w:p>
        </w:tc>
        <w:tc>
          <w:tcPr>
            <w:tcW w:w="709" w:type="dxa"/>
          </w:tcPr>
          <w:p w14:paraId="7F84F22E" w14:textId="77777777" w:rsidR="0044478E" w:rsidRPr="00747E35" w:rsidRDefault="0044478E" w:rsidP="0044478E">
            <w:pPr>
              <w:pStyle w:val="Tabletext"/>
              <w:spacing w:before="0" w:after="0"/>
              <w:rPr>
                <w:rFonts w:cstheme="minorHAnsi"/>
                <w:sz w:val="16"/>
              </w:rPr>
            </w:pPr>
            <w:r w:rsidRPr="00747E35">
              <w:rPr>
                <w:rFonts w:cstheme="minorHAnsi"/>
                <w:sz w:val="16"/>
              </w:rPr>
              <w:t>13.2</w:t>
            </w:r>
          </w:p>
        </w:tc>
        <w:tc>
          <w:tcPr>
            <w:tcW w:w="992" w:type="dxa"/>
          </w:tcPr>
          <w:p w14:paraId="2A4BC1A7"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3750EFB9"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left w:val="single" w:sz="4" w:space="0" w:color="auto"/>
              <w:bottom w:val="single" w:sz="4" w:space="0" w:color="auto"/>
            </w:tcBorders>
          </w:tcPr>
          <w:p w14:paraId="37094DB2" w14:textId="77777777" w:rsidR="0044478E" w:rsidRPr="00747E35" w:rsidRDefault="0044478E" w:rsidP="0044478E">
            <w:pPr>
              <w:pStyle w:val="Tabletext"/>
              <w:spacing w:before="0" w:after="0"/>
              <w:rPr>
                <w:rFonts w:cstheme="minorHAnsi"/>
                <w:sz w:val="16"/>
              </w:rPr>
            </w:pPr>
          </w:p>
        </w:tc>
      </w:tr>
      <w:tr w:rsidR="0044478E" w:rsidRPr="00747E35" w14:paraId="37629AFE" w14:textId="77777777" w:rsidTr="0044478E">
        <w:trPr>
          <w:trHeight w:val="20"/>
        </w:trPr>
        <w:tc>
          <w:tcPr>
            <w:tcW w:w="964" w:type="dxa"/>
            <w:shd w:val="clear" w:color="auto" w:fill="auto"/>
            <w:noWrap/>
            <w:hideMark/>
          </w:tcPr>
          <w:p w14:paraId="5C1C19D4"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3D17C7F0"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545E0792"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36554D86"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018BCD39"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6B4CB861" w14:textId="77777777" w:rsidR="0044478E" w:rsidRPr="00747E35" w:rsidRDefault="0044478E" w:rsidP="0044478E">
            <w:pPr>
              <w:pStyle w:val="Tabletext"/>
              <w:spacing w:before="0" w:after="0"/>
              <w:rPr>
                <w:rFonts w:cstheme="minorHAnsi"/>
                <w:sz w:val="16"/>
              </w:rPr>
            </w:pPr>
            <w:r w:rsidRPr="00747E35">
              <w:rPr>
                <w:rFonts w:cstheme="minorHAnsi"/>
                <w:i/>
                <w:sz w:val="16"/>
              </w:rPr>
              <w:t>Fonscochlea variabilis</w:t>
            </w:r>
            <w:r w:rsidRPr="00747E35">
              <w:rPr>
                <w:rFonts w:cstheme="minorHAnsi"/>
                <w:sz w:val="16"/>
              </w:rPr>
              <w:t xml:space="preserve"> Clade A</w:t>
            </w:r>
          </w:p>
        </w:tc>
        <w:tc>
          <w:tcPr>
            <w:tcW w:w="1134" w:type="dxa"/>
            <w:shd w:val="clear" w:color="auto" w:fill="auto"/>
            <w:noWrap/>
            <w:hideMark/>
          </w:tcPr>
          <w:p w14:paraId="794A55AD" w14:textId="77777777" w:rsidR="0044478E" w:rsidRPr="00747E35" w:rsidRDefault="0044478E" w:rsidP="0044478E">
            <w:pPr>
              <w:pStyle w:val="Tabletext"/>
              <w:spacing w:before="0" w:after="0"/>
              <w:rPr>
                <w:rFonts w:cstheme="minorHAnsi"/>
                <w:sz w:val="16"/>
              </w:rPr>
            </w:pPr>
            <w:r w:rsidRPr="00747E35">
              <w:rPr>
                <w:rFonts w:cstheme="minorHAnsi"/>
                <w:sz w:val="16"/>
              </w:rPr>
              <w:t>M_FovariaA</w:t>
            </w:r>
          </w:p>
        </w:tc>
        <w:tc>
          <w:tcPr>
            <w:tcW w:w="567" w:type="dxa"/>
          </w:tcPr>
          <w:p w14:paraId="33C5BD91" w14:textId="77777777" w:rsidR="0044478E" w:rsidRPr="00747E35" w:rsidRDefault="0044478E" w:rsidP="0044478E">
            <w:pPr>
              <w:pStyle w:val="Tabletext"/>
              <w:spacing w:before="0" w:after="0"/>
              <w:rPr>
                <w:rFonts w:cstheme="minorHAnsi"/>
                <w:sz w:val="16"/>
              </w:rPr>
            </w:pPr>
            <w:r w:rsidRPr="00747E35">
              <w:rPr>
                <w:rFonts w:cstheme="minorHAnsi"/>
                <w:sz w:val="16"/>
              </w:rPr>
              <w:t>3</w:t>
            </w:r>
          </w:p>
        </w:tc>
        <w:tc>
          <w:tcPr>
            <w:tcW w:w="709" w:type="dxa"/>
          </w:tcPr>
          <w:p w14:paraId="440636EC" w14:textId="77777777" w:rsidR="0044478E" w:rsidRPr="00747E35" w:rsidRDefault="0044478E" w:rsidP="0044478E">
            <w:pPr>
              <w:pStyle w:val="Tabletext"/>
              <w:spacing w:before="0" w:after="0"/>
              <w:rPr>
                <w:rFonts w:cstheme="minorHAnsi"/>
                <w:sz w:val="16"/>
              </w:rPr>
            </w:pPr>
            <w:r w:rsidRPr="00747E35">
              <w:rPr>
                <w:rFonts w:cstheme="minorHAnsi"/>
                <w:sz w:val="16"/>
              </w:rPr>
              <w:t>2.8</w:t>
            </w:r>
          </w:p>
        </w:tc>
        <w:tc>
          <w:tcPr>
            <w:tcW w:w="992" w:type="dxa"/>
          </w:tcPr>
          <w:p w14:paraId="3D75CE02" w14:textId="77777777" w:rsidR="0044478E" w:rsidRPr="00747E35" w:rsidRDefault="0044478E" w:rsidP="0044478E">
            <w:pPr>
              <w:pStyle w:val="Tabletext"/>
              <w:spacing w:before="0" w:after="0"/>
              <w:rPr>
                <w:rFonts w:cstheme="minorHAnsi"/>
                <w:sz w:val="16"/>
              </w:rPr>
            </w:pPr>
            <w:r w:rsidRPr="00747E35">
              <w:rPr>
                <w:rFonts w:cstheme="minorHAnsi"/>
                <w:sz w:val="16"/>
              </w:rPr>
              <w:t>33</w:t>
            </w:r>
          </w:p>
        </w:tc>
        <w:tc>
          <w:tcPr>
            <w:tcW w:w="851" w:type="dxa"/>
            <w:tcBorders>
              <w:right w:val="single" w:sz="4" w:space="0" w:color="auto"/>
            </w:tcBorders>
          </w:tcPr>
          <w:p w14:paraId="6B6CE722"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val="restart"/>
            <w:tcBorders>
              <w:top w:val="single" w:sz="4" w:space="0" w:color="auto"/>
              <w:left w:val="single" w:sz="4" w:space="0" w:color="auto"/>
              <w:bottom w:val="single" w:sz="4" w:space="0" w:color="auto"/>
            </w:tcBorders>
            <w:vAlign w:val="center"/>
          </w:tcPr>
          <w:p w14:paraId="4BEBFD56" w14:textId="77777777" w:rsidR="0044478E" w:rsidRPr="00747E35" w:rsidRDefault="0044478E" w:rsidP="0044478E">
            <w:pPr>
              <w:pStyle w:val="Tabletext"/>
              <w:spacing w:before="0" w:after="0"/>
              <w:rPr>
                <w:rFonts w:cstheme="minorHAnsi"/>
                <w:sz w:val="16"/>
              </w:rPr>
            </w:pPr>
            <w:r w:rsidRPr="00747E35">
              <w:rPr>
                <w:rFonts w:cstheme="minorHAnsi"/>
                <w:sz w:val="16"/>
              </w:rPr>
              <w:t>Broad supergroup</w:t>
            </w:r>
          </w:p>
        </w:tc>
      </w:tr>
      <w:tr w:rsidR="0044478E" w:rsidRPr="00747E35" w14:paraId="16EC26A7" w14:textId="77777777" w:rsidTr="0044478E">
        <w:trPr>
          <w:trHeight w:val="20"/>
        </w:trPr>
        <w:tc>
          <w:tcPr>
            <w:tcW w:w="964" w:type="dxa"/>
            <w:shd w:val="clear" w:color="auto" w:fill="auto"/>
            <w:noWrap/>
            <w:hideMark/>
          </w:tcPr>
          <w:p w14:paraId="5CE0D871"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38DC3C8B"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740B83FF"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78D3D63A"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71CE745D"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18531963" w14:textId="77777777" w:rsidR="0044478E" w:rsidRPr="00747E35" w:rsidRDefault="0044478E" w:rsidP="0044478E">
            <w:pPr>
              <w:pStyle w:val="Tabletext"/>
              <w:spacing w:before="0" w:after="0"/>
              <w:rPr>
                <w:rFonts w:cstheme="minorHAnsi"/>
                <w:sz w:val="16"/>
              </w:rPr>
            </w:pPr>
            <w:r w:rsidRPr="00747E35">
              <w:rPr>
                <w:rFonts w:cstheme="minorHAnsi"/>
                <w:i/>
                <w:sz w:val="16"/>
              </w:rPr>
              <w:t>Fonscochlea variabilis</w:t>
            </w:r>
            <w:r w:rsidRPr="00747E35">
              <w:rPr>
                <w:rFonts w:cstheme="minorHAnsi"/>
                <w:sz w:val="16"/>
              </w:rPr>
              <w:t xml:space="preserve"> Clade B</w:t>
            </w:r>
          </w:p>
        </w:tc>
        <w:tc>
          <w:tcPr>
            <w:tcW w:w="1134" w:type="dxa"/>
            <w:shd w:val="clear" w:color="auto" w:fill="auto"/>
            <w:noWrap/>
            <w:hideMark/>
          </w:tcPr>
          <w:p w14:paraId="47019958" w14:textId="77777777" w:rsidR="0044478E" w:rsidRPr="00747E35" w:rsidRDefault="0044478E" w:rsidP="0044478E">
            <w:pPr>
              <w:pStyle w:val="Tabletext"/>
              <w:spacing w:before="0" w:after="0"/>
              <w:rPr>
                <w:rFonts w:cstheme="minorHAnsi"/>
                <w:sz w:val="16"/>
              </w:rPr>
            </w:pPr>
            <w:r w:rsidRPr="00747E35">
              <w:rPr>
                <w:rFonts w:cstheme="minorHAnsi"/>
                <w:sz w:val="16"/>
              </w:rPr>
              <w:t>M_FovariaB</w:t>
            </w:r>
          </w:p>
        </w:tc>
        <w:tc>
          <w:tcPr>
            <w:tcW w:w="567" w:type="dxa"/>
          </w:tcPr>
          <w:p w14:paraId="2364AF85" w14:textId="77777777" w:rsidR="0044478E" w:rsidRPr="00747E35" w:rsidRDefault="0044478E" w:rsidP="0044478E">
            <w:pPr>
              <w:pStyle w:val="Tabletext"/>
              <w:spacing w:before="0" w:after="0"/>
              <w:rPr>
                <w:rFonts w:cstheme="minorHAnsi"/>
                <w:sz w:val="16"/>
              </w:rPr>
            </w:pPr>
            <w:r w:rsidRPr="00747E35">
              <w:rPr>
                <w:rFonts w:cstheme="minorHAnsi"/>
                <w:sz w:val="16"/>
              </w:rPr>
              <w:t>12</w:t>
            </w:r>
          </w:p>
        </w:tc>
        <w:tc>
          <w:tcPr>
            <w:tcW w:w="709" w:type="dxa"/>
          </w:tcPr>
          <w:p w14:paraId="68AE4007" w14:textId="77777777" w:rsidR="0044478E" w:rsidRPr="00747E35" w:rsidRDefault="0044478E" w:rsidP="0044478E">
            <w:pPr>
              <w:pStyle w:val="Tabletext"/>
              <w:spacing w:before="0" w:after="0"/>
              <w:rPr>
                <w:rFonts w:cstheme="minorHAnsi"/>
                <w:sz w:val="16"/>
              </w:rPr>
            </w:pPr>
            <w:r w:rsidRPr="00747E35">
              <w:rPr>
                <w:rFonts w:cstheme="minorHAnsi"/>
                <w:sz w:val="16"/>
              </w:rPr>
              <w:t>8.0</w:t>
            </w:r>
          </w:p>
        </w:tc>
        <w:tc>
          <w:tcPr>
            <w:tcW w:w="992" w:type="dxa"/>
          </w:tcPr>
          <w:p w14:paraId="7FDB4E04" w14:textId="77777777" w:rsidR="0044478E" w:rsidRPr="00747E35" w:rsidRDefault="0044478E" w:rsidP="0044478E">
            <w:pPr>
              <w:pStyle w:val="Tabletext"/>
              <w:spacing w:before="0" w:after="0"/>
              <w:rPr>
                <w:rFonts w:cstheme="minorHAnsi"/>
                <w:sz w:val="16"/>
              </w:rPr>
            </w:pPr>
            <w:r w:rsidRPr="00747E35">
              <w:rPr>
                <w:rFonts w:cstheme="minorHAnsi"/>
                <w:sz w:val="16"/>
              </w:rPr>
              <w:t>58</w:t>
            </w:r>
          </w:p>
        </w:tc>
        <w:tc>
          <w:tcPr>
            <w:tcW w:w="851" w:type="dxa"/>
            <w:tcBorders>
              <w:right w:val="single" w:sz="4" w:space="0" w:color="auto"/>
            </w:tcBorders>
          </w:tcPr>
          <w:p w14:paraId="1B4CEADD"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left w:val="single" w:sz="4" w:space="0" w:color="auto"/>
              <w:bottom w:val="single" w:sz="4" w:space="0" w:color="auto"/>
            </w:tcBorders>
          </w:tcPr>
          <w:p w14:paraId="70DADA0D" w14:textId="77777777" w:rsidR="0044478E" w:rsidRPr="00747E35" w:rsidRDefault="0044478E" w:rsidP="0044478E">
            <w:pPr>
              <w:pStyle w:val="Tabletext"/>
              <w:spacing w:before="0" w:after="0"/>
              <w:rPr>
                <w:rFonts w:cstheme="minorHAnsi"/>
                <w:sz w:val="16"/>
              </w:rPr>
            </w:pPr>
          </w:p>
        </w:tc>
      </w:tr>
      <w:tr w:rsidR="0044478E" w:rsidRPr="00747E35" w14:paraId="61C4A97B" w14:textId="77777777" w:rsidTr="0044478E">
        <w:trPr>
          <w:trHeight w:val="20"/>
        </w:trPr>
        <w:tc>
          <w:tcPr>
            <w:tcW w:w="964" w:type="dxa"/>
            <w:shd w:val="clear" w:color="auto" w:fill="auto"/>
            <w:noWrap/>
            <w:hideMark/>
          </w:tcPr>
          <w:p w14:paraId="7C9386F1"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42ACC72F"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796224D2"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452B88D2"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322CB5EF"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784C5CE6" w14:textId="77777777" w:rsidR="0044478E" w:rsidRPr="00747E35" w:rsidRDefault="0044478E" w:rsidP="0044478E">
            <w:pPr>
              <w:pStyle w:val="Tabletext"/>
              <w:spacing w:before="0" w:after="0"/>
              <w:rPr>
                <w:rFonts w:cstheme="minorHAnsi"/>
                <w:sz w:val="16"/>
              </w:rPr>
            </w:pPr>
            <w:r w:rsidRPr="00747E35">
              <w:rPr>
                <w:rFonts w:cstheme="minorHAnsi"/>
                <w:i/>
                <w:sz w:val="16"/>
              </w:rPr>
              <w:t>Fonscochlea zeidleri</w:t>
            </w:r>
            <w:r w:rsidRPr="00747E35">
              <w:rPr>
                <w:rFonts w:cstheme="minorHAnsi"/>
                <w:sz w:val="16"/>
              </w:rPr>
              <w:t xml:space="preserve"> Clade A</w:t>
            </w:r>
          </w:p>
        </w:tc>
        <w:tc>
          <w:tcPr>
            <w:tcW w:w="1134" w:type="dxa"/>
            <w:shd w:val="clear" w:color="auto" w:fill="auto"/>
            <w:noWrap/>
            <w:hideMark/>
          </w:tcPr>
          <w:p w14:paraId="2494E3E9" w14:textId="77777777" w:rsidR="0044478E" w:rsidRPr="00747E35" w:rsidRDefault="0044478E" w:rsidP="0044478E">
            <w:pPr>
              <w:pStyle w:val="Tabletext"/>
              <w:spacing w:before="0" w:after="0"/>
              <w:rPr>
                <w:rFonts w:cstheme="minorHAnsi"/>
                <w:sz w:val="16"/>
              </w:rPr>
            </w:pPr>
            <w:r w:rsidRPr="00747E35">
              <w:rPr>
                <w:rFonts w:cstheme="minorHAnsi"/>
                <w:sz w:val="16"/>
              </w:rPr>
              <w:t>M_FozeiAA</w:t>
            </w:r>
          </w:p>
        </w:tc>
        <w:tc>
          <w:tcPr>
            <w:tcW w:w="567" w:type="dxa"/>
          </w:tcPr>
          <w:p w14:paraId="7EF81AF6"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0F2F4DD9" w14:textId="77777777" w:rsidR="0044478E" w:rsidRPr="00747E35" w:rsidRDefault="0044478E" w:rsidP="0044478E">
            <w:pPr>
              <w:pStyle w:val="Tabletext"/>
              <w:spacing w:before="0" w:after="0"/>
              <w:rPr>
                <w:rFonts w:cstheme="minorHAnsi"/>
                <w:sz w:val="16"/>
              </w:rPr>
            </w:pPr>
            <w:r w:rsidRPr="00747E35">
              <w:rPr>
                <w:rFonts w:cstheme="minorHAnsi"/>
                <w:sz w:val="16"/>
              </w:rPr>
              <w:t>45.2</w:t>
            </w:r>
          </w:p>
        </w:tc>
        <w:tc>
          <w:tcPr>
            <w:tcW w:w="992" w:type="dxa"/>
          </w:tcPr>
          <w:p w14:paraId="24CA48B0"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7F534D05"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val="restart"/>
            <w:tcBorders>
              <w:top w:val="single" w:sz="4" w:space="0" w:color="auto"/>
              <w:left w:val="single" w:sz="4" w:space="0" w:color="auto"/>
              <w:bottom w:val="single" w:sz="4" w:space="0" w:color="auto"/>
            </w:tcBorders>
            <w:vAlign w:val="center"/>
          </w:tcPr>
          <w:p w14:paraId="39BEA4CA" w14:textId="77777777" w:rsidR="0044478E" w:rsidRPr="00747E35" w:rsidRDefault="0044478E" w:rsidP="0044478E">
            <w:pPr>
              <w:pStyle w:val="Tabletext"/>
              <w:spacing w:before="0" w:after="0"/>
              <w:rPr>
                <w:rFonts w:cstheme="minorHAnsi"/>
                <w:sz w:val="16"/>
              </w:rPr>
            </w:pPr>
            <w:r w:rsidRPr="00747E35">
              <w:rPr>
                <w:rFonts w:cstheme="minorHAnsi"/>
                <w:sz w:val="16"/>
              </w:rPr>
              <w:t>Broad supergroup</w:t>
            </w:r>
          </w:p>
        </w:tc>
      </w:tr>
      <w:tr w:rsidR="0044478E" w:rsidRPr="00747E35" w14:paraId="4CC0802E" w14:textId="77777777" w:rsidTr="0044478E">
        <w:trPr>
          <w:trHeight w:val="20"/>
        </w:trPr>
        <w:tc>
          <w:tcPr>
            <w:tcW w:w="964" w:type="dxa"/>
            <w:shd w:val="clear" w:color="auto" w:fill="auto"/>
            <w:noWrap/>
            <w:hideMark/>
          </w:tcPr>
          <w:p w14:paraId="50A6B431"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265B93D8"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2243895B"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13F93144"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59E3C2F0"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11BA44BC" w14:textId="77777777" w:rsidR="0044478E" w:rsidRPr="00747E35" w:rsidRDefault="0044478E" w:rsidP="0044478E">
            <w:pPr>
              <w:pStyle w:val="Tabletext"/>
              <w:spacing w:before="0" w:after="0"/>
              <w:rPr>
                <w:rFonts w:cstheme="minorHAnsi"/>
                <w:sz w:val="16"/>
              </w:rPr>
            </w:pPr>
            <w:r w:rsidRPr="00747E35">
              <w:rPr>
                <w:rFonts w:cstheme="minorHAnsi"/>
                <w:i/>
                <w:sz w:val="16"/>
              </w:rPr>
              <w:t>Fonscochlea zeidleri</w:t>
            </w:r>
            <w:r w:rsidRPr="00747E35">
              <w:rPr>
                <w:rFonts w:cstheme="minorHAnsi"/>
                <w:sz w:val="16"/>
              </w:rPr>
              <w:t xml:space="preserve"> Clade B</w:t>
            </w:r>
          </w:p>
        </w:tc>
        <w:tc>
          <w:tcPr>
            <w:tcW w:w="1134" w:type="dxa"/>
            <w:shd w:val="clear" w:color="auto" w:fill="auto"/>
            <w:noWrap/>
            <w:hideMark/>
          </w:tcPr>
          <w:p w14:paraId="31EBA814" w14:textId="77777777" w:rsidR="0044478E" w:rsidRPr="00747E35" w:rsidRDefault="0044478E" w:rsidP="0044478E">
            <w:pPr>
              <w:pStyle w:val="Tabletext"/>
              <w:spacing w:before="0" w:after="0"/>
              <w:rPr>
                <w:rFonts w:cstheme="minorHAnsi"/>
                <w:sz w:val="16"/>
              </w:rPr>
            </w:pPr>
            <w:r w:rsidRPr="00747E35">
              <w:rPr>
                <w:rFonts w:cstheme="minorHAnsi"/>
                <w:sz w:val="16"/>
              </w:rPr>
              <w:t>M_FozeiBB</w:t>
            </w:r>
          </w:p>
        </w:tc>
        <w:tc>
          <w:tcPr>
            <w:tcW w:w="567" w:type="dxa"/>
          </w:tcPr>
          <w:p w14:paraId="389BE18E" w14:textId="77777777" w:rsidR="0044478E" w:rsidRPr="00747E35" w:rsidRDefault="0044478E" w:rsidP="0044478E">
            <w:pPr>
              <w:pStyle w:val="Tabletext"/>
              <w:spacing w:before="0" w:after="0"/>
              <w:rPr>
                <w:rFonts w:cstheme="minorHAnsi"/>
                <w:sz w:val="16"/>
              </w:rPr>
            </w:pPr>
            <w:r w:rsidRPr="00747E35">
              <w:rPr>
                <w:rFonts w:cstheme="minorHAnsi"/>
                <w:sz w:val="16"/>
              </w:rPr>
              <w:t>12</w:t>
            </w:r>
          </w:p>
        </w:tc>
        <w:tc>
          <w:tcPr>
            <w:tcW w:w="709" w:type="dxa"/>
          </w:tcPr>
          <w:p w14:paraId="4F28D9B4" w14:textId="77777777" w:rsidR="0044478E" w:rsidRPr="00747E35" w:rsidRDefault="0044478E" w:rsidP="0044478E">
            <w:pPr>
              <w:pStyle w:val="Tabletext"/>
              <w:spacing w:before="0" w:after="0"/>
              <w:rPr>
                <w:rFonts w:cstheme="minorHAnsi"/>
                <w:sz w:val="16"/>
              </w:rPr>
            </w:pPr>
            <w:r w:rsidRPr="00747E35">
              <w:rPr>
                <w:rFonts w:cstheme="minorHAnsi"/>
                <w:sz w:val="16"/>
              </w:rPr>
              <w:t>14.1</w:t>
            </w:r>
          </w:p>
        </w:tc>
        <w:tc>
          <w:tcPr>
            <w:tcW w:w="992" w:type="dxa"/>
          </w:tcPr>
          <w:p w14:paraId="6D34B56A"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1A209A59"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left w:val="single" w:sz="4" w:space="0" w:color="auto"/>
              <w:bottom w:val="single" w:sz="4" w:space="0" w:color="auto"/>
            </w:tcBorders>
          </w:tcPr>
          <w:p w14:paraId="6FCDFF1A" w14:textId="77777777" w:rsidR="0044478E" w:rsidRPr="00747E35" w:rsidRDefault="0044478E" w:rsidP="0044478E">
            <w:pPr>
              <w:pStyle w:val="Tabletext"/>
              <w:spacing w:before="0" w:after="0"/>
              <w:rPr>
                <w:rFonts w:cstheme="minorHAnsi"/>
                <w:sz w:val="16"/>
              </w:rPr>
            </w:pPr>
          </w:p>
        </w:tc>
      </w:tr>
      <w:tr w:rsidR="0044478E" w:rsidRPr="00747E35" w14:paraId="6EEC84CB" w14:textId="77777777" w:rsidTr="0044478E">
        <w:trPr>
          <w:trHeight w:val="20"/>
        </w:trPr>
        <w:tc>
          <w:tcPr>
            <w:tcW w:w="964" w:type="dxa"/>
            <w:shd w:val="clear" w:color="auto" w:fill="auto"/>
            <w:noWrap/>
            <w:hideMark/>
          </w:tcPr>
          <w:p w14:paraId="100248BE"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42AD674E"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116103B7"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51D837EE"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6EE684FE"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1C88F4D1" w14:textId="77777777" w:rsidR="0044478E" w:rsidRPr="00747E35" w:rsidRDefault="0044478E" w:rsidP="0044478E">
            <w:pPr>
              <w:pStyle w:val="Tabletext"/>
              <w:spacing w:before="0" w:after="0"/>
              <w:rPr>
                <w:rFonts w:cstheme="minorHAnsi"/>
                <w:sz w:val="16"/>
              </w:rPr>
            </w:pPr>
            <w:r w:rsidRPr="00747E35">
              <w:rPr>
                <w:rFonts w:cstheme="minorHAnsi"/>
                <w:i/>
                <w:sz w:val="16"/>
              </w:rPr>
              <w:t>Fonscochlea zeidleri</w:t>
            </w:r>
            <w:r w:rsidRPr="00747E35">
              <w:rPr>
                <w:rFonts w:cstheme="minorHAnsi"/>
                <w:sz w:val="16"/>
              </w:rPr>
              <w:t xml:space="preserve"> Clade C</w:t>
            </w:r>
          </w:p>
        </w:tc>
        <w:tc>
          <w:tcPr>
            <w:tcW w:w="1134" w:type="dxa"/>
            <w:shd w:val="clear" w:color="auto" w:fill="auto"/>
            <w:noWrap/>
            <w:hideMark/>
          </w:tcPr>
          <w:p w14:paraId="4D24C92C" w14:textId="77777777" w:rsidR="0044478E" w:rsidRPr="00747E35" w:rsidRDefault="0044478E" w:rsidP="0044478E">
            <w:pPr>
              <w:pStyle w:val="Tabletext"/>
              <w:spacing w:before="0" w:after="0"/>
              <w:rPr>
                <w:rFonts w:cstheme="minorHAnsi"/>
                <w:sz w:val="16"/>
              </w:rPr>
            </w:pPr>
            <w:r w:rsidRPr="00747E35">
              <w:rPr>
                <w:rFonts w:cstheme="minorHAnsi"/>
                <w:sz w:val="16"/>
              </w:rPr>
              <w:t>M_FozeiAC</w:t>
            </w:r>
          </w:p>
        </w:tc>
        <w:tc>
          <w:tcPr>
            <w:tcW w:w="567" w:type="dxa"/>
          </w:tcPr>
          <w:p w14:paraId="17466F42" w14:textId="77777777" w:rsidR="0044478E" w:rsidRPr="00747E35" w:rsidRDefault="0044478E" w:rsidP="0044478E">
            <w:pPr>
              <w:pStyle w:val="Tabletext"/>
              <w:spacing w:before="0" w:after="0"/>
              <w:rPr>
                <w:rFonts w:cstheme="minorHAnsi"/>
                <w:sz w:val="16"/>
              </w:rPr>
            </w:pPr>
            <w:r w:rsidRPr="00747E35">
              <w:rPr>
                <w:rFonts w:cstheme="minorHAnsi"/>
                <w:sz w:val="16"/>
              </w:rPr>
              <w:t>2</w:t>
            </w:r>
          </w:p>
        </w:tc>
        <w:tc>
          <w:tcPr>
            <w:tcW w:w="709" w:type="dxa"/>
          </w:tcPr>
          <w:p w14:paraId="0426FB64" w14:textId="77777777" w:rsidR="0044478E" w:rsidRPr="00747E35" w:rsidRDefault="0044478E" w:rsidP="0044478E">
            <w:pPr>
              <w:pStyle w:val="Tabletext"/>
              <w:spacing w:before="0" w:after="0"/>
              <w:rPr>
                <w:rFonts w:cstheme="minorHAnsi"/>
                <w:sz w:val="16"/>
              </w:rPr>
            </w:pPr>
            <w:r w:rsidRPr="00747E35">
              <w:rPr>
                <w:rFonts w:cstheme="minorHAnsi"/>
                <w:sz w:val="16"/>
              </w:rPr>
              <w:t>37.8</w:t>
            </w:r>
          </w:p>
        </w:tc>
        <w:tc>
          <w:tcPr>
            <w:tcW w:w="992" w:type="dxa"/>
          </w:tcPr>
          <w:p w14:paraId="6686D895"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5E2FC13E"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left w:val="single" w:sz="4" w:space="0" w:color="auto"/>
              <w:bottom w:val="single" w:sz="4" w:space="0" w:color="auto"/>
            </w:tcBorders>
          </w:tcPr>
          <w:p w14:paraId="69153DB0" w14:textId="77777777" w:rsidR="0044478E" w:rsidRPr="00747E35" w:rsidRDefault="0044478E" w:rsidP="0044478E">
            <w:pPr>
              <w:pStyle w:val="Tabletext"/>
              <w:spacing w:before="0" w:after="0"/>
              <w:rPr>
                <w:rFonts w:cstheme="minorHAnsi"/>
                <w:sz w:val="16"/>
              </w:rPr>
            </w:pPr>
          </w:p>
        </w:tc>
      </w:tr>
      <w:tr w:rsidR="0044478E" w:rsidRPr="00747E35" w14:paraId="742EFFE5" w14:textId="77777777" w:rsidTr="0044478E">
        <w:trPr>
          <w:trHeight w:val="20"/>
        </w:trPr>
        <w:tc>
          <w:tcPr>
            <w:tcW w:w="964" w:type="dxa"/>
            <w:shd w:val="clear" w:color="auto" w:fill="auto"/>
            <w:noWrap/>
            <w:hideMark/>
          </w:tcPr>
          <w:p w14:paraId="02AF4341"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18B3D07C"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4551DD8C"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70AD0CB0"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39CCAB0F"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7BCB204F" w14:textId="77777777" w:rsidR="0044478E" w:rsidRPr="00747E35" w:rsidRDefault="0044478E" w:rsidP="0044478E">
            <w:pPr>
              <w:pStyle w:val="Tabletext"/>
              <w:spacing w:before="0" w:after="0"/>
              <w:rPr>
                <w:rFonts w:cstheme="minorHAnsi"/>
                <w:sz w:val="16"/>
              </w:rPr>
            </w:pPr>
            <w:r w:rsidRPr="00747E35">
              <w:rPr>
                <w:rFonts w:cstheme="minorHAnsi"/>
                <w:i/>
                <w:sz w:val="16"/>
              </w:rPr>
              <w:t>Fonscochlea zeidleri</w:t>
            </w:r>
            <w:r w:rsidRPr="00747E35">
              <w:rPr>
                <w:rFonts w:cstheme="minorHAnsi"/>
                <w:sz w:val="16"/>
              </w:rPr>
              <w:t xml:space="preserve"> Clade D</w:t>
            </w:r>
          </w:p>
        </w:tc>
        <w:tc>
          <w:tcPr>
            <w:tcW w:w="1134" w:type="dxa"/>
            <w:shd w:val="clear" w:color="auto" w:fill="auto"/>
            <w:noWrap/>
            <w:hideMark/>
          </w:tcPr>
          <w:p w14:paraId="3AA369F1" w14:textId="77777777" w:rsidR="0044478E" w:rsidRPr="00747E35" w:rsidRDefault="0044478E" w:rsidP="0044478E">
            <w:pPr>
              <w:pStyle w:val="Tabletext"/>
              <w:spacing w:before="0" w:after="0"/>
              <w:rPr>
                <w:rFonts w:cstheme="minorHAnsi"/>
                <w:sz w:val="16"/>
              </w:rPr>
            </w:pPr>
            <w:r w:rsidRPr="00747E35">
              <w:rPr>
                <w:rFonts w:cstheme="minorHAnsi"/>
                <w:sz w:val="16"/>
              </w:rPr>
              <w:t>M_FozeiAD</w:t>
            </w:r>
          </w:p>
        </w:tc>
        <w:tc>
          <w:tcPr>
            <w:tcW w:w="567" w:type="dxa"/>
          </w:tcPr>
          <w:p w14:paraId="2A24041D" w14:textId="77777777" w:rsidR="0044478E" w:rsidRPr="00747E35" w:rsidRDefault="0044478E" w:rsidP="0044478E">
            <w:pPr>
              <w:pStyle w:val="Tabletext"/>
              <w:spacing w:before="0" w:after="0"/>
              <w:rPr>
                <w:rFonts w:cstheme="minorHAnsi"/>
                <w:sz w:val="16"/>
              </w:rPr>
            </w:pPr>
            <w:r w:rsidRPr="00747E35">
              <w:rPr>
                <w:rFonts w:cstheme="minorHAnsi"/>
                <w:sz w:val="16"/>
              </w:rPr>
              <w:t>12</w:t>
            </w:r>
          </w:p>
        </w:tc>
        <w:tc>
          <w:tcPr>
            <w:tcW w:w="709" w:type="dxa"/>
          </w:tcPr>
          <w:p w14:paraId="42BEA3E7" w14:textId="77777777" w:rsidR="0044478E" w:rsidRPr="00747E35" w:rsidRDefault="0044478E" w:rsidP="0044478E">
            <w:pPr>
              <w:pStyle w:val="Tabletext"/>
              <w:spacing w:before="0" w:after="0"/>
              <w:rPr>
                <w:rFonts w:cstheme="minorHAnsi"/>
                <w:sz w:val="16"/>
              </w:rPr>
            </w:pPr>
            <w:r w:rsidRPr="00747E35">
              <w:rPr>
                <w:rFonts w:cstheme="minorHAnsi"/>
                <w:sz w:val="16"/>
              </w:rPr>
              <w:t>8.7</w:t>
            </w:r>
          </w:p>
        </w:tc>
        <w:tc>
          <w:tcPr>
            <w:tcW w:w="992" w:type="dxa"/>
          </w:tcPr>
          <w:p w14:paraId="26A2A6D1" w14:textId="77777777" w:rsidR="0044478E" w:rsidRPr="00747E35" w:rsidRDefault="0044478E" w:rsidP="0044478E">
            <w:pPr>
              <w:pStyle w:val="Tabletext"/>
              <w:spacing w:before="0" w:after="0"/>
              <w:rPr>
                <w:rFonts w:cstheme="minorHAnsi"/>
                <w:sz w:val="16"/>
              </w:rPr>
            </w:pPr>
            <w:r w:rsidRPr="00747E35">
              <w:rPr>
                <w:rFonts w:cstheme="minorHAnsi"/>
                <w:sz w:val="16"/>
              </w:rPr>
              <w:t>83</w:t>
            </w:r>
          </w:p>
        </w:tc>
        <w:tc>
          <w:tcPr>
            <w:tcW w:w="851" w:type="dxa"/>
            <w:tcBorders>
              <w:right w:val="single" w:sz="4" w:space="0" w:color="auto"/>
            </w:tcBorders>
          </w:tcPr>
          <w:p w14:paraId="48E667DB"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left w:val="single" w:sz="4" w:space="0" w:color="auto"/>
              <w:bottom w:val="single" w:sz="4" w:space="0" w:color="auto"/>
            </w:tcBorders>
          </w:tcPr>
          <w:p w14:paraId="4A2B24C9" w14:textId="77777777" w:rsidR="0044478E" w:rsidRPr="00747E35" w:rsidRDefault="0044478E" w:rsidP="0044478E">
            <w:pPr>
              <w:pStyle w:val="Tabletext"/>
              <w:spacing w:before="0" w:after="0"/>
              <w:rPr>
                <w:rFonts w:cstheme="minorHAnsi"/>
                <w:sz w:val="16"/>
              </w:rPr>
            </w:pPr>
          </w:p>
        </w:tc>
      </w:tr>
      <w:tr w:rsidR="0044478E" w:rsidRPr="00747E35" w14:paraId="52231DBA" w14:textId="77777777" w:rsidTr="0044478E">
        <w:trPr>
          <w:trHeight w:val="20"/>
        </w:trPr>
        <w:tc>
          <w:tcPr>
            <w:tcW w:w="964" w:type="dxa"/>
            <w:shd w:val="clear" w:color="auto" w:fill="auto"/>
            <w:noWrap/>
            <w:hideMark/>
          </w:tcPr>
          <w:p w14:paraId="4A1BDBF8"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29D2829A"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0BE908B1"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05FF315E"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2A158611"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16C50661" w14:textId="77777777" w:rsidR="0044478E" w:rsidRPr="00747E35" w:rsidRDefault="0044478E" w:rsidP="0044478E">
            <w:pPr>
              <w:pStyle w:val="Tabletext"/>
              <w:spacing w:before="0" w:after="0"/>
              <w:rPr>
                <w:rFonts w:cstheme="minorHAnsi"/>
                <w:sz w:val="16"/>
              </w:rPr>
            </w:pPr>
            <w:r w:rsidRPr="00747E35">
              <w:rPr>
                <w:rFonts w:cstheme="minorHAnsi"/>
                <w:i/>
                <w:sz w:val="16"/>
              </w:rPr>
              <w:t>Fonscochlea zeidleri</w:t>
            </w:r>
            <w:r w:rsidRPr="00747E35">
              <w:rPr>
                <w:rFonts w:cstheme="minorHAnsi"/>
                <w:sz w:val="16"/>
              </w:rPr>
              <w:t xml:space="preserve"> Clade E</w:t>
            </w:r>
          </w:p>
        </w:tc>
        <w:tc>
          <w:tcPr>
            <w:tcW w:w="1134" w:type="dxa"/>
            <w:shd w:val="clear" w:color="auto" w:fill="auto"/>
            <w:noWrap/>
            <w:hideMark/>
          </w:tcPr>
          <w:p w14:paraId="1F9286AA" w14:textId="77777777" w:rsidR="0044478E" w:rsidRPr="00747E35" w:rsidRDefault="0044478E" w:rsidP="0044478E">
            <w:pPr>
              <w:pStyle w:val="Tabletext"/>
              <w:spacing w:before="0" w:after="0"/>
              <w:rPr>
                <w:rFonts w:cstheme="minorHAnsi"/>
                <w:sz w:val="16"/>
              </w:rPr>
            </w:pPr>
            <w:r w:rsidRPr="00747E35">
              <w:rPr>
                <w:rFonts w:cstheme="minorHAnsi"/>
                <w:sz w:val="16"/>
              </w:rPr>
              <w:t>M_FozeiAE</w:t>
            </w:r>
          </w:p>
        </w:tc>
        <w:tc>
          <w:tcPr>
            <w:tcW w:w="567" w:type="dxa"/>
          </w:tcPr>
          <w:p w14:paraId="5344EFEA" w14:textId="77777777" w:rsidR="0044478E" w:rsidRPr="00747E35" w:rsidRDefault="0044478E" w:rsidP="0044478E">
            <w:pPr>
              <w:pStyle w:val="Tabletext"/>
              <w:spacing w:before="0" w:after="0"/>
              <w:rPr>
                <w:rFonts w:cstheme="minorHAnsi"/>
                <w:sz w:val="16"/>
              </w:rPr>
            </w:pPr>
            <w:r w:rsidRPr="00747E35">
              <w:rPr>
                <w:rFonts w:cstheme="minorHAnsi"/>
                <w:sz w:val="16"/>
              </w:rPr>
              <w:t>9</w:t>
            </w:r>
          </w:p>
        </w:tc>
        <w:tc>
          <w:tcPr>
            <w:tcW w:w="709" w:type="dxa"/>
          </w:tcPr>
          <w:p w14:paraId="16B4BAC7" w14:textId="77777777" w:rsidR="0044478E" w:rsidRPr="00747E35" w:rsidRDefault="0044478E" w:rsidP="0044478E">
            <w:pPr>
              <w:pStyle w:val="Tabletext"/>
              <w:spacing w:before="0" w:after="0"/>
              <w:rPr>
                <w:rFonts w:cstheme="minorHAnsi"/>
                <w:sz w:val="16"/>
              </w:rPr>
            </w:pPr>
            <w:r w:rsidRPr="00747E35">
              <w:rPr>
                <w:rFonts w:cstheme="minorHAnsi"/>
                <w:sz w:val="16"/>
              </w:rPr>
              <w:t>4.4</w:t>
            </w:r>
          </w:p>
        </w:tc>
        <w:tc>
          <w:tcPr>
            <w:tcW w:w="992" w:type="dxa"/>
          </w:tcPr>
          <w:p w14:paraId="2E6E24CF"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5286DBBC"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left w:val="single" w:sz="4" w:space="0" w:color="auto"/>
              <w:bottom w:val="single" w:sz="4" w:space="0" w:color="auto"/>
            </w:tcBorders>
          </w:tcPr>
          <w:p w14:paraId="1AA8A087" w14:textId="77777777" w:rsidR="0044478E" w:rsidRPr="00747E35" w:rsidRDefault="0044478E" w:rsidP="0044478E">
            <w:pPr>
              <w:pStyle w:val="Tabletext"/>
              <w:spacing w:before="0" w:after="0"/>
              <w:rPr>
                <w:rFonts w:cstheme="minorHAnsi"/>
                <w:sz w:val="16"/>
              </w:rPr>
            </w:pPr>
          </w:p>
        </w:tc>
      </w:tr>
      <w:tr w:rsidR="0044478E" w:rsidRPr="00747E35" w14:paraId="6806C3A7" w14:textId="77777777" w:rsidTr="0044478E">
        <w:trPr>
          <w:trHeight w:val="20"/>
        </w:trPr>
        <w:tc>
          <w:tcPr>
            <w:tcW w:w="964" w:type="dxa"/>
            <w:shd w:val="clear" w:color="auto" w:fill="auto"/>
            <w:noWrap/>
            <w:hideMark/>
          </w:tcPr>
          <w:p w14:paraId="28385BBD"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15241C1B"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2557055D"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16757430"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32F72024"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4D98E297" w14:textId="77777777" w:rsidR="0044478E" w:rsidRPr="00747E35" w:rsidRDefault="0044478E" w:rsidP="0044478E">
            <w:pPr>
              <w:pStyle w:val="Tabletext"/>
              <w:spacing w:before="0" w:after="0"/>
              <w:rPr>
                <w:rFonts w:cstheme="minorHAnsi"/>
                <w:i/>
                <w:sz w:val="16"/>
              </w:rPr>
            </w:pPr>
            <w:r w:rsidRPr="00747E35">
              <w:rPr>
                <w:rFonts w:cstheme="minorHAnsi"/>
                <w:i/>
                <w:sz w:val="16"/>
              </w:rPr>
              <w:t>Jardinella acuminata</w:t>
            </w:r>
          </w:p>
        </w:tc>
        <w:tc>
          <w:tcPr>
            <w:tcW w:w="1134" w:type="dxa"/>
            <w:shd w:val="clear" w:color="auto" w:fill="auto"/>
            <w:noWrap/>
            <w:hideMark/>
          </w:tcPr>
          <w:p w14:paraId="7D3988B4" w14:textId="77777777" w:rsidR="0044478E" w:rsidRPr="00747E35" w:rsidRDefault="0044478E" w:rsidP="0044478E">
            <w:pPr>
              <w:pStyle w:val="Tabletext"/>
              <w:spacing w:before="0" w:after="0"/>
              <w:rPr>
                <w:rFonts w:cstheme="minorHAnsi"/>
                <w:sz w:val="16"/>
              </w:rPr>
            </w:pPr>
            <w:r w:rsidRPr="00747E35">
              <w:rPr>
                <w:rFonts w:cstheme="minorHAnsi"/>
                <w:sz w:val="16"/>
              </w:rPr>
              <w:t>M_Jaacum</w:t>
            </w:r>
          </w:p>
        </w:tc>
        <w:tc>
          <w:tcPr>
            <w:tcW w:w="567" w:type="dxa"/>
          </w:tcPr>
          <w:p w14:paraId="233E5708"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299D8847" w14:textId="77777777" w:rsidR="0044478E" w:rsidRPr="00747E35" w:rsidRDefault="0044478E" w:rsidP="0044478E">
            <w:pPr>
              <w:pStyle w:val="Tabletext"/>
              <w:spacing w:before="0" w:after="0"/>
              <w:rPr>
                <w:rFonts w:cstheme="minorHAnsi"/>
                <w:sz w:val="16"/>
              </w:rPr>
            </w:pPr>
            <w:r w:rsidRPr="00747E35">
              <w:rPr>
                <w:rFonts w:cstheme="minorHAnsi"/>
                <w:sz w:val="16"/>
              </w:rPr>
              <w:t>29.7</w:t>
            </w:r>
          </w:p>
        </w:tc>
        <w:tc>
          <w:tcPr>
            <w:tcW w:w="992" w:type="dxa"/>
          </w:tcPr>
          <w:p w14:paraId="1B81D261"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5E708AC2"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Borders>
              <w:top w:val="single" w:sz="4" w:space="0" w:color="auto"/>
            </w:tcBorders>
          </w:tcPr>
          <w:p w14:paraId="1E88252C"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3943485D" w14:textId="77777777" w:rsidTr="0044478E">
        <w:trPr>
          <w:trHeight w:val="20"/>
        </w:trPr>
        <w:tc>
          <w:tcPr>
            <w:tcW w:w="964" w:type="dxa"/>
            <w:shd w:val="clear" w:color="auto" w:fill="auto"/>
            <w:noWrap/>
            <w:hideMark/>
          </w:tcPr>
          <w:p w14:paraId="668CC01F"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40B35907"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3B6B2D5F"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19B86876"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528C2D44"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66B15E98" w14:textId="77777777" w:rsidR="0044478E" w:rsidRPr="00747E35" w:rsidRDefault="0044478E" w:rsidP="0044478E">
            <w:pPr>
              <w:pStyle w:val="Tabletext"/>
              <w:spacing w:before="0" w:after="0"/>
              <w:rPr>
                <w:rFonts w:cstheme="minorHAnsi"/>
                <w:i/>
                <w:sz w:val="16"/>
              </w:rPr>
            </w:pPr>
            <w:r w:rsidRPr="00747E35">
              <w:rPr>
                <w:rFonts w:cstheme="minorHAnsi"/>
                <w:i/>
                <w:sz w:val="16"/>
              </w:rPr>
              <w:t>Jardinella colmani</w:t>
            </w:r>
          </w:p>
        </w:tc>
        <w:tc>
          <w:tcPr>
            <w:tcW w:w="1134" w:type="dxa"/>
            <w:shd w:val="clear" w:color="auto" w:fill="auto"/>
            <w:noWrap/>
            <w:hideMark/>
          </w:tcPr>
          <w:p w14:paraId="3D86E5B4" w14:textId="77777777" w:rsidR="0044478E" w:rsidRPr="00747E35" w:rsidRDefault="0044478E" w:rsidP="0044478E">
            <w:pPr>
              <w:pStyle w:val="Tabletext"/>
              <w:spacing w:before="0" w:after="0"/>
              <w:rPr>
                <w:rFonts w:cstheme="minorHAnsi"/>
                <w:sz w:val="16"/>
              </w:rPr>
            </w:pPr>
            <w:r w:rsidRPr="00747E35">
              <w:rPr>
                <w:rFonts w:cstheme="minorHAnsi"/>
                <w:sz w:val="16"/>
              </w:rPr>
              <w:t>M_Jacolm</w:t>
            </w:r>
          </w:p>
        </w:tc>
        <w:tc>
          <w:tcPr>
            <w:tcW w:w="567" w:type="dxa"/>
          </w:tcPr>
          <w:p w14:paraId="7B270739" w14:textId="77777777" w:rsidR="0044478E" w:rsidRPr="00747E35" w:rsidRDefault="0044478E" w:rsidP="0044478E">
            <w:pPr>
              <w:pStyle w:val="Tabletext"/>
              <w:spacing w:before="0" w:after="0"/>
              <w:rPr>
                <w:rFonts w:cstheme="minorHAnsi"/>
                <w:sz w:val="16"/>
              </w:rPr>
            </w:pPr>
            <w:r w:rsidRPr="00747E35">
              <w:rPr>
                <w:rFonts w:cstheme="minorHAnsi"/>
                <w:sz w:val="16"/>
              </w:rPr>
              <w:t>2</w:t>
            </w:r>
          </w:p>
        </w:tc>
        <w:tc>
          <w:tcPr>
            <w:tcW w:w="709" w:type="dxa"/>
          </w:tcPr>
          <w:p w14:paraId="234D17EF" w14:textId="77777777" w:rsidR="0044478E" w:rsidRPr="00747E35" w:rsidRDefault="0044478E" w:rsidP="0044478E">
            <w:pPr>
              <w:pStyle w:val="Tabletext"/>
              <w:spacing w:before="0" w:after="0"/>
              <w:rPr>
                <w:rFonts w:cstheme="minorHAnsi"/>
                <w:sz w:val="16"/>
              </w:rPr>
            </w:pPr>
            <w:r w:rsidRPr="00747E35">
              <w:rPr>
                <w:rFonts w:cstheme="minorHAnsi"/>
                <w:sz w:val="16"/>
              </w:rPr>
              <w:t>43.6</w:t>
            </w:r>
          </w:p>
        </w:tc>
        <w:tc>
          <w:tcPr>
            <w:tcW w:w="992" w:type="dxa"/>
          </w:tcPr>
          <w:p w14:paraId="5F9BF9F9"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7DD1B09A"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7070FA68" w14:textId="77777777" w:rsidR="0044478E" w:rsidRPr="00747E35" w:rsidRDefault="0044478E" w:rsidP="0044478E">
            <w:pPr>
              <w:pStyle w:val="Tabletext"/>
              <w:spacing w:before="0" w:after="0"/>
              <w:rPr>
                <w:rFonts w:cstheme="minorHAnsi"/>
                <w:sz w:val="16"/>
              </w:rPr>
            </w:pPr>
            <w:r w:rsidRPr="00747E35">
              <w:rPr>
                <w:rFonts w:cstheme="minorHAnsi"/>
                <w:sz w:val="16"/>
              </w:rPr>
              <w:t>Narrow supergroup</w:t>
            </w:r>
          </w:p>
        </w:tc>
      </w:tr>
      <w:tr w:rsidR="0044478E" w:rsidRPr="00747E35" w14:paraId="0D3ED9B2" w14:textId="77777777" w:rsidTr="0044478E">
        <w:trPr>
          <w:trHeight w:val="20"/>
        </w:trPr>
        <w:tc>
          <w:tcPr>
            <w:tcW w:w="964" w:type="dxa"/>
            <w:shd w:val="clear" w:color="auto" w:fill="auto"/>
            <w:noWrap/>
            <w:hideMark/>
          </w:tcPr>
          <w:p w14:paraId="653BF6DE"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487A8FBE"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20E957D9"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32DBE1EB"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3876D627"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42027195" w14:textId="77777777" w:rsidR="0044478E" w:rsidRPr="00747E35" w:rsidRDefault="0044478E" w:rsidP="0044478E">
            <w:pPr>
              <w:pStyle w:val="Tabletext"/>
              <w:spacing w:before="0" w:after="0"/>
              <w:rPr>
                <w:rFonts w:cstheme="minorHAnsi"/>
                <w:i/>
                <w:sz w:val="16"/>
              </w:rPr>
            </w:pPr>
            <w:r w:rsidRPr="00747E35">
              <w:rPr>
                <w:rFonts w:cstheme="minorHAnsi"/>
                <w:i/>
                <w:sz w:val="16"/>
              </w:rPr>
              <w:t>Jardinella coreena</w:t>
            </w:r>
          </w:p>
        </w:tc>
        <w:tc>
          <w:tcPr>
            <w:tcW w:w="1134" w:type="dxa"/>
            <w:shd w:val="clear" w:color="auto" w:fill="auto"/>
            <w:noWrap/>
            <w:hideMark/>
          </w:tcPr>
          <w:p w14:paraId="72CC2BAE" w14:textId="77777777" w:rsidR="0044478E" w:rsidRPr="00747E35" w:rsidRDefault="0044478E" w:rsidP="0044478E">
            <w:pPr>
              <w:pStyle w:val="Tabletext"/>
              <w:spacing w:before="0" w:after="0"/>
              <w:rPr>
                <w:rFonts w:cstheme="minorHAnsi"/>
                <w:sz w:val="16"/>
              </w:rPr>
            </w:pPr>
            <w:r w:rsidRPr="00747E35">
              <w:rPr>
                <w:rFonts w:cstheme="minorHAnsi"/>
                <w:sz w:val="16"/>
              </w:rPr>
              <w:t>M_Jacore</w:t>
            </w:r>
          </w:p>
        </w:tc>
        <w:tc>
          <w:tcPr>
            <w:tcW w:w="567" w:type="dxa"/>
          </w:tcPr>
          <w:p w14:paraId="1DB4A827"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36A3900C" w14:textId="77777777" w:rsidR="0044478E" w:rsidRPr="00747E35" w:rsidRDefault="0044478E" w:rsidP="0044478E">
            <w:pPr>
              <w:pStyle w:val="Tabletext"/>
              <w:spacing w:before="0" w:after="0"/>
              <w:rPr>
                <w:rFonts w:cstheme="minorHAnsi"/>
                <w:sz w:val="16"/>
              </w:rPr>
            </w:pPr>
            <w:r w:rsidRPr="00747E35">
              <w:rPr>
                <w:rFonts w:cstheme="minorHAnsi"/>
                <w:sz w:val="16"/>
              </w:rPr>
              <w:t>2.8</w:t>
            </w:r>
          </w:p>
        </w:tc>
        <w:tc>
          <w:tcPr>
            <w:tcW w:w="992" w:type="dxa"/>
          </w:tcPr>
          <w:p w14:paraId="3BD9F8D2"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342B6FAC"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0167FC18"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33BD8E29" w14:textId="77777777" w:rsidTr="0044478E">
        <w:trPr>
          <w:trHeight w:val="20"/>
        </w:trPr>
        <w:tc>
          <w:tcPr>
            <w:tcW w:w="964" w:type="dxa"/>
            <w:shd w:val="clear" w:color="auto" w:fill="auto"/>
            <w:noWrap/>
            <w:hideMark/>
          </w:tcPr>
          <w:p w14:paraId="3F324540"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06978773"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7E3404D1"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2CA9AF0D"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04AD5992"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0951F356" w14:textId="77777777" w:rsidR="0044478E" w:rsidRPr="00747E35" w:rsidRDefault="0044478E" w:rsidP="0044478E">
            <w:pPr>
              <w:pStyle w:val="Tabletext"/>
              <w:spacing w:before="0" w:after="0"/>
              <w:rPr>
                <w:rFonts w:cstheme="minorHAnsi"/>
                <w:i/>
                <w:sz w:val="16"/>
              </w:rPr>
            </w:pPr>
            <w:r w:rsidRPr="00747E35">
              <w:rPr>
                <w:rFonts w:cstheme="minorHAnsi"/>
                <w:i/>
                <w:sz w:val="16"/>
              </w:rPr>
              <w:t>Jardinella corrugata</w:t>
            </w:r>
          </w:p>
        </w:tc>
        <w:tc>
          <w:tcPr>
            <w:tcW w:w="1134" w:type="dxa"/>
            <w:shd w:val="clear" w:color="auto" w:fill="auto"/>
            <w:noWrap/>
            <w:hideMark/>
          </w:tcPr>
          <w:p w14:paraId="27F0CDAF" w14:textId="77777777" w:rsidR="0044478E" w:rsidRPr="00747E35" w:rsidRDefault="0044478E" w:rsidP="0044478E">
            <w:pPr>
              <w:pStyle w:val="Tabletext"/>
              <w:spacing w:before="0" w:after="0"/>
              <w:rPr>
                <w:rFonts w:cstheme="minorHAnsi"/>
                <w:sz w:val="16"/>
              </w:rPr>
            </w:pPr>
            <w:r w:rsidRPr="00747E35">
              <w:rPr>
                <w:rFonts w:cstheme="minorHAnsi"/>
                <w:sz w:val="16"/>
              </w:rPr>
              <w:t>M_Jacorr</w:t>
            </w:r>
          </w:p>
        </w:tc>
        <w:tc>
          <w:tcPr>
            <w:tcW w:w="567" w:type="dxa"/>
          </w:tcPr>
          <w:p w14:paraId="5C0F8931"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5B0EF5BD" w14:textId="77777777" w:rsidR="0044478E" w:rsidRPr="00747E35" w:rsidRDefault="0044478E" w:rsidP="0044478E">
            <w:pPr>
              <w:pStyle w:val="Tabletext"/>
              <w:spacing w:before="0" w:after="0"/>
              <w:rPr>
                <w:rFonts w:cstheme="minorHAnsi"/>
                <w:sz w:val="16"/>
              </w:rPr>
            </w:pPr>
            <w:r w:rsidRPr="00747E35">
              <w:rPr>
                <w:rFonts w:cstheme="minorHAnsi"/>
                <w:sz w:val="16"/>
              </w:rPr>
              <w:t>29.7</w:t>
            </w:r>
          </w:p>
        </w:tc>
        <w:tc>
          <w:tcPr>
            <w:tcW w:w="992" w:type="dxa"/>
          </w:tcPr>
          <w:p w14:paraId="67F644CD"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6DBA50F3"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1FC06A5F"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1FE7F2D6" w14:textId="77777777" w:rsidTr="0044478E">
        <w:trPr>
          <w:trHeight w:val="20"/>
        </w:trPr>
        <w:tc>
          <w:tcPr>
            <w:tcW w:w="964" w:type="dxa"/>
            <w:shd w:val="clear" w:color="auto" w:fill="auto"/>
            <w:noWrap/>
            <w:hideMark/>
          </w:tcPr>
          <w:p w14:paraId="0A0397F6"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46E95C68"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018AE9C9"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49377BFE"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709C8D0C"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40DBFF7E" w14:textId="77777777" w:rsidR="0044478E" w:rsidRPr="00747E35" w:rsidRDefault="0044478E" w:rsidP="0044478E">
            <w:pPr>
              <w:pStyle w:val="Tabletext"/>
              <w:spacing w:before="0" w:after="0"/>
              <w:rPr>
                <w:rFonts w:cstheme="minorHAnsi"/>
                <w:i/>
                <w:sz w:val="16"/>
              </w:rPr>
            </w:pPr>
            <w:r w:rsidRPr="00747E35">
              <w:rPr>
                <w:rFonts w:cstheme="minorHAnsi"/>
                <w:i/>
                <w:sz w:val="16"/>
              </w:rPr>
              <w:t>Jardinella edgbastonensis</w:t>
            </w:r>
          </w:p>
        </w:tc>
        <w:tc>
          <w:tcPr>
            <w:tcW w:w="1134" w:type="dxa"/>
            <w:shd w:val="clear" w:color="auto" w:fill="auto"/>
            <w:noWrap/>
            <w:hideMark/>
          </w:tcPr>
          <w:p w14:paraId="52E5619C" w14:textId="77777777" w:rsidR="0044478E" w:rsidRPr="00747E35" w:rsidRDefault="0044478E" w:rsidP="0044478E">
            <w:pPr>
              <w:pStyle w:val="Tabletext"/>
              <w:spacing w:before="0" w:after="0"/>
              <w:rPr>
                <w:rFonts w:cstheme="minorHAnsi"/>
                <w:sz w:val="16"/>
              </w:rPr>
            </w:pPr>
            <w:r w:rsidRPr="00747E35">
              <w:rPr>
                <w:rFonts w:cstheme="minorHAnsi"/>
                <w:sz w:val="16"/>
              </w:rPr>
              <w:t>M_Jaedgb</w:t>
            </w:r>
          </w:p>
        </w:tc>
        <w:tc>
          <w:tcPr>
            <w:tcW w:w="567" w:type="dxa"/>
          </w:tcPr>
          <w:p w14:paraId="44DE7989"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25E94AC6" w14:textId="77777777" w:rsidR="0044478E" w:rsidRPr="00747E35" w:rsidRDefault="0044478E" w:rsidP="0044478E">
            <w:pPr>
              <w:pStyle w:val="Tabletext"/>
              <w:spacing w:before="0" w:after="0"/>
              <w:rPr>
                <w:rFonts w:cstheme="minorHAnsi"/>
                <w:sz w:val="16"/>
              </w:rPr>
            </w:pPr>
            <w:r w:rsidRPr="00747E35">
              <w:rPr>
                <w:rFonts w:cstheme="minorHAnsi"/>
                <w:sz w:val="16"/>
              </w:rPr>
              <w:t>29.7</w:t>
            </w:r>
          </w:p>
        </w:tc>
        <w:tc>
          <w:tcPr>
            <w:tcW w:w="992" w:type="dxa"/>
          </w:tcPr>
          <w:p w14:paraId="01E644C8"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79E95EA1"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08E04C9E"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16B959F0" w14:textId="77777777" w:rsidTr="0044478E">
        <w:trPr>
          <w:trHeight w:val="20"/>
        </w:trPr>
        <w:tc>
          <w:tcPr>
            <w:tcW w:w="964" w:type="dxa"/>
            <w:shd w:val="clear" w:color="auto" w:fill="auto"/>
            <w:noWrap/>
            <w:hideMark/>
          </w:tcPr>
          <w:p w14:paraId="205BC061"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7AF00B66"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65F230CD"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17472648"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1F944AA9"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1700F935" w14:textId="77777777" w:rsidR="0044478E" w:rsidRPr="00747E35" w:rsidRDefault="0044478E" w:rsidP="0044478E">
            <w:pPr>
              <w:pStyle w:val="Tabletext"/>
              <w:spacing w:before="0" w:after="0"/>
              <w:rPr>
                <w:rFonts w:cstheme="minorHAnsi"/>
                <w:i/>
                <w:sz w:val="16"/>
              </w:rPr>
            </w:pPr>
            <w:r w:rsidRPr="00747E35">
              <w:rPr>
                <w:rFonts w:cstheme="minorHAnsi"/>
                <w:i/>
                <w:sz w:val="16"/>
              </w:rPr>
              <w:t>Jardinella eulo</w:t>
            </w:r>
          </w:p>
        </w:tc>
        <w:tc>
          <w:tcPr>
            <w:tcW w:w="1134" w:type="dxa"/>
            <w:shd w:val="clear" w:color="auto" w:fill="auto"/>
            <w:noWrap/>
            <w:hideMark/>
          </w:tcPr>
          <w:p w14:paraId="1B65287E" w14:textId="77777777" w:rsidR="0044478E" w:rsidRPr="00747E35" w:rsidRDefault="0044478E" w:rsidP="0044478E">
            <w:pPr>
              <w:pStyle w:val="Tabletext"/>
              <w:spacing w:before="0" w:after="0"/>
              <w:rPr>
                <w:rFonts w:cstheme="minorHAnsi"/>
                <w:sz w:val="16"/>
              </w:rPr>
            </w:pPr>
            <w:r w:rsidRPr="00747E35">
              <w:rPr>
                <w:rFonts w:cstheme="minorHAnsi"/>
                <w:sz w:val="16"/>
              </w:rPr>
              <w:t>M_Jaeulo</w:t>
            </w:r>
          </w:p>
        </w:tc>
        <w:tc>
          <w:tcPr>
            <w:tcW w:w="567" w:type="dxa"/>
          </w:tcPr>
          <w:p w14:paraId="12CF3322" w14:textId="77777777" w:rsidR="0044478E" w:rsidRPr="00747E35" w:rsidRDefault="0044478E" w:rsidP="0044478E">
            <w:pPr>
              <w:pStyle w:val="Tabletext"/>
              <w:spacing w:before="0" w:after="0"/>
              <w:rPr>
                <w:rFonts w:cstheme="minorHAnsi"/>
                <w:sz w:val="16"/>
              </w:rPr>
            </w:pPr>
            <w:r w:rsidRPr="00747E35">
              <w:rPr>
                <w:rFonts w:cstheme="minorHAnsi"/>
                <w:sz w:val="16"/>
              </w:rPr>
              <w:t>2</w:t>
            </w:r>
          </w:p>
        </w:tc>
        <w:tc>
          <w:tcPr>
            <w:tcW w:w="709" w:type="dxa"/>
          </w:tcPr>
          <w:p w14:paraId="31E94C29" w14:textId="77777777" w:rsidR="0044478E" w:rsidRPr="00747E35" w:rsidRDefault="0044478E" w:rsidP="0044478E">
            <w:pPr>
              <w:pStyle w:val="Tabletext"/>
              <w:spacing w:before="0" w:after="0"/>
              <w:rPr>
                <w:rFonts w:cstheme="minorHAnsi"/>
                <w:sz w:val="16"/>
              </w:rPr>
            </w:pPr>
            <w:r w:rsidRPr="00747E35">
              <w:rPr>
                <w:rFonts w:cstheme="minorHAnsi"/>
                <w:sz w:val="16"/>
              </w:rPr>
              <w:t>5.6</w:t>
            </w:r>
          </w:p>
        </w:tc>
        <w:tc>
          <w:tcPr>
            <w:tcW w:w="992" w:type="dxa"/>
          </w:tcPr>
          <w:p w14:paraId="5E1B8C32"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61DE490E"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27A597B2" w14:textId="77777777" w:rsidR="0044478E" w:rsidRPr="00747E35" w:rsidRDefault="0044478E" w:rsidP="0044478E">
            <w:pPr>
              <w:pStyle w:val="Tabletext"/>
              <w:spacing w:before="0" w:after="0"/>
              <w:rPr>
                <w:rFonts w:cstheme="minorHAnsi"/>
                <w:sz w:val="16"/>
              </w:rPr>
            </w:pPr>
            <w:r w:rsidRPr="00747E35">
              <w:rPr>
                <w:rFonts w:cstheme="minorHAnsi"/>
                <w:sz w:val="16"/>
              </w:rPr>
              <w:t>Narrow supergroup</w:t>
            </w:r>
          </w:p>
        </w:tc>
      </w:tr>
      <w:tr w:rsidR="0044478E" w:rsidRPr="00747E35" w14:paraId="157FD964" w14:textId="77777777" w:rsidTr="0044478E">
        <w:trPr>
          <w:trHeight w:val="20"/>
        </w:trPr>
        <w:tc>
          <w:tcPr>
            <w:tcW w:w="964" w:type="dxa"/>
            <w:shd w:val="clear" w:color="auto" w:fill="auto"/>
            <w:noWrap/>
            <w:hideMark/>
          </w:tcPr>
          <w:p w14:paraId="5FBC1098"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4CD59134"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383046A4"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2F12D7BF"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00EB8FE2"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67FB8E3E" w14:textId="77777777" w:rsidR="0044478E" w:rsidRPr="00747E35" w:rsidRDefault="0044478E" w:rsidP="0044478E">
            <w:pPr>
              <w:pStyle w:val="Tabletext"/>
              <w:spacing w:before="0" w:after="0"/>
              <w:rPr>
                <w:rFonts w:cstheme="minorHAnsi"/>
                <w:i/>
                <w:sz w:val="16"/>
              </w:rPr>
            </w:pPr>
            <w:r w:rsidRPr="00747E35">
              <w:rPr>
                <w:rFonts w:cstheme="minorHAnsi"/>
                <w:i/>
                <w:sz w:val="16"/>
              </w:rPr>
              <w:t>Jardinella isolata</w:t>
            </w:r>
          </w:p>
        </w:tc>
        <w:tc>
          <w:tcPr>
            <w:tcW w:w="1134" w:type="dxa"/>
            <w:shd w:val="clear" w:color="auto" w:fill="auto"/>
            <w:noWrap/>
            <w:hideMark/>
          </w:tcPr>
          <w:p w14:paraId="388CC2C2" w14:textId="77777777" w:rsidR="0044478E" w:rsidRPr="00747E35" w:rsidRDefault="0044478E" w:rsidP="0044478E">
            <w:pPr>
              <w:pStyle w:val="Tabletext"/>
              <w:spacing w:before="0" w:after="0"/>
              <w:rPr>
                <w:rFonts w:cstheme="minorHAnsi"/>
                <w:sz w:val="16"/>
              </w:rPr>
            </w:pPr>
            <w:r w:rsidRPr="00747E35">
              <w:rPr>
                <w:rFonts w:cstheme="minorHAnsi"/>
                <w:sz w:val="16"/>
              </w:rPr>
              <w:t>M_Jaisola</w:t>
            </w:r>
          </w:p>
        </w:tc>
        <w:tc>
          <w:tcPr>
            <w:tcW w:w="567" w:type="dxa"/>
          </w:tcPr>
          <w:p w14:paraId="0B185071" w14:textId="77777777" w:rsidR="0044478E" w:rsidRPr="00747E35" w:rsidRDefault="0044478E" w:rsidP="0044478E">
            <w:pPr>
              <w:pStyle w:val="Tabletext"/>
              <w:spacing w:before="0" w:after="0"/>
              <w:rPr>
                <w:rFonts w:cstheme="minorHAnsi"/>
                <w:sz w:val="16"/>
              </w:rPr>
            </w:pPr>
            <w:r w:rsidRPr="00747E35">
              <w:rPr>
                <w:rFonts w:cstheme="minorHAnsi"/>
                <w:sz w:val="16"/>
              </w:rPr>
              <w:t>2</w:t>
            </w:r>
          </w:p>
        </w:tc>
        <w:tc>
          <w:tcPr>
            <w:tcW w:w="709" w:type="dxa"/>
          </w:tcPr>
          <w:p w14:paraId="3ED2A8DC" w14:textId="77777777" w:rsidR="0044478E" w:rsidRPr="00747E35" w:rsidRDefault="0044478E" w:rsidP="0044478E">
            <w:pPr>
              <w:pStyle w:val="Tabletext"/>
              <w:spacing w:before="0" w:after="0"/>
              <w:rPr>
                <w:rFonts w:cstheme="minorHAnsi"/>
                <w:sz w:val="16"/>
              </w:rPr>
            </w:pPr>
            <w:r w:rsidRPr="00747E35">
              <w:rPr>
                <w:rFonts w:cstheme="minorHAnsi"/>
                <w:sz w:val="16"/>
              </w:rPr>
              <w:t>0.5</w:t>
            </w:r>
          </w:p>
        </w:tc>
        <w:tc>
          <w:tcPr>
            <w:tcW w:w="992" w:type="dxa"/>
          </w:tcPr>
          <w:p w14:paraId="32A4E766" w14:textId="77777777" w:rsidR="0044478E" w:rsidRPr="00747E35" w:rsidRDefault="0044478E" w:rsidP="0044478E">
            <w:pPr>
              <w:pStyle w:val="Tabletext"/>
              <w:spacing w:before="0" w:after="0"/>
              <w:rPr>
                <w:rFonts w:cstheme="minorHAnsi"/>
                <w:sz w:val="16"/>
              </w:rPr>
            </w:pPr>
            <w:r w:rsidRPr="00747E35">
              <w:rPr>
                <w:rFonts w:cstheme="minorHAnsi"/>
                <w:sz w:val="16"/>
              </w:rPr>
              <w:t>50</w:t>
            </w:r>
          </w:p>
        </w:tc>
        <w:tc>
          <w:tcPr>
            <w:tcW w:w="851" w:type="dxa"/>
          </w:tcPr>
          <w:p w14:paraId="7B4E07F9"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7B94C614" w14:textId="77777777" w:rsidR="0044478E" w:rsidRPr="00747E35" w:rsidRDefault="0044478E" w:rsidP="0044478E">
            <w:pPr>
              <w:pStyle w:val="Tabletext"/>
              <w:spacing w:before="0" w:after="0"/>
              <w:rPr>
                <w:rFonts w:cstheme="minorHAnsi"/>
                <w:sz w:val="16"/>
              </w:rPr>
            </w:pPr>
            <w:r w:rsidRPr="00747E35">
              <w:rPr>
                <w:rFonts w:cstheme="minorHAnsi"/>
                <w:sz w:val="16"/>
              </w:rPr>
              <w:t>Narrow supergroup</w:t>
            </w:r>
          </w:p>
        </w:tc>
      </w:tr>
      <w:tr w:rsidR="0044478E" w:rsidRPr="00747E35" w14:paraId="7B3941B4" w14:textId="77777777" w:rsidTr="0044478E">
        <w:trPr>
          <w:trHeight w:val="20"/>
        </w:trPr>
        <w:tc>
          <w:tcPr>
            <w:tcW w:w="964" w:type="dxa"/>
            <w:shd w:val="clear" w:color="auto" w:fill="auto"/>
            <w:noWrap/>
            <w:hideMark/>
          </w:tcPr>
          <w:p w14:paraId="64C388FF"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3C6B9D44"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077D127F"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643B4EFA"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5251B98A"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2447D27A" w14:textId="77777777" w:rsidR="0044478E" w:rsidRPr="00747E35" w:rsidRDefault="0044478E" w:rsidP="0044478E">
            <w:pPr>
              <w:pStyle w:val="Tabletext"/>
              <w:spacing w:before="0" w:after="0"/>
              <w:rPr>
                <w:rFonts w:cstheme="minorHAnsi"/>
                <w:i/>
                <w:sz w:val="16"/>
              </w:rPr>
            </w:pPr>
            <w:r w:rsidRPr="00747E35">
              <w:rPr>
                <w:rFonts w:cstheme="minorHAnsi"/>
                <w:i/>
                <w:sz w:val="16"/>
              </w:rPr>
              <w:t>Jardinella jesswiseae</w:t>
            </w:r>
          </w:p>
        </w:tc>
        <w:tc>
          <w:tcPr>
            <w:tcW w:w="1134" w:type="dxa"/>
            <w:shd w:val="clear" w:color="auto" w:fill="auto"/>
            <w:noWrap/>
            <w:hideMark/>
          </w:tcPr>
          <w:p w14:paraId="72626902" w14:textId="77777777" w:rsidR="0044478E" w:rsidRPr="00747E35" w:rsidRDefault="0044478E" w:rsidP="0044478E">
            <w:pPr>
              <w:pStyle w:val="Tabletext"/>
              <w:spacing w:before="0" w:after="0"/>
              <w:rPr>
                <w:rFonts w:cstheme="minorHAnsi"/>
                <w:sz w:val="16"/>
              </w:rPr>
            </w:pPr>
            <w:r w:rsidRPr="00747E35">
              <w:rPr>
                <w:rFonts w:cstheme="minorHAnsi"/>
                <w:sz w:val="16"/>
              </w:rPr>
              <w:t>M_Jajessw</w:t>
            </w:r>
          </w:p>
        </w:tc>
        <w:tc>
          <w:tcPr>
            <w:tcW w:w="567" w:type="dxa"/>
          </w:tcPr>
          <w:p w14:paraId="44637800"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36FF5EA9" w14:textId="77777777" w:rsidR="0044478E" w:rsidRPr="00747E35" w:rsidRDefault="0044478E" w:rsidP="0044478E">
            <w:pPr>
              <w:pStyle w:val="Tabletext"/>
              <w:spacing w:before="0" w:after="0"/>
              <w:rPr>
                <w:rFonts w:cstheme="minorHAnsi"/>
                <w:sz w:val="16"/>
              </w:rPr>
            </w:pPr>
            <w:r w:rsidRPr="00747E35">
              <w:rPr>
                <w:rFonts w:cstheme="minorHAnsi"/>
                <w:sz w:val="16"/>
              </w:rPr>
              <w:t>29.7</w:t>
            </w:r>
          </w:p>
        </w:tc>
        <w:tc>
          <w:tcPr>
            <w:tcW w:w="992" w:type="dxa"/>
          </w:tcPr>
          <w:p w14:paraId="7DDF37E2"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776FC5AB"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15FF38F8"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38D33098" w14:textId="77777777" w:rsidTr="0044478E">
        <w:trPr>
          <w:trHeight w:val="20"/>
        </w:trPr>
        <w:tc>
          <w:tcPr>
            <w:tcW w:w="964" w:type="dxa"/>
            <w:shd w:val="clear" w:color="auto" w:fill="auto"/>
            <w:noWrap/>
            <w:hideMark/>
          </w:tcPr>
          <w:p w14:paraId="5E9A9EC2" w14:textId="77777777" w:rsidR="0044478E" w:rsidRPr="00747E35" w:rsidRDefault="0044478E" w:rsidP="0044478E">
            <w:pPr>
              <w:pStyle w:val="Tabletext"/>
              <w:spacing w:before="0" w:after="0"/>
              <w:rPr>
                <w:rFonts w:cstheme="minorHAnsi"/>
                <w:sz w:val="16"/>
              </w:rPr>
            </w:pPr>
            <w:r w:rsidRPr="00747E35">
              <w:rPr>
                <w:rFonts w:cstheme="minorHAnsi"/>
                <w:sz w:val="16"/>
              </w:rPr>
              <w:lastRenderedPageBreak/>
              <w:t>Animalia</w:t>
            </w:r>
          </w:p>
        </w:tc>
        <w:tc>
          <w:tcPr>
            <w:tcW w:w="1191" w:type="dxa"/>
            <w:shd w:val="clear" w:color="auto" w:fill="auto"/>
            <w:noWrap/>
            <w:hideMark/>
          </w:tcPr>
          <w:p w14:paraId="6CC968CB"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05C6184E"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1B9F12D3"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40A1DBC1"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1C78504F" w14:textId="77777777" w:rsidR="0044478E" w:rsidRPr="00747E35" w:rsidRDefault="0044478E" w:rsidP="0044478E">
            <w:pPr>
              <w:pStyle w:val="Tabletext"/>
              <w:spacing w:before="0" w:after="0"/>
              <w:rPr>
                <w:rFonts w:cstheme="minorHAnsi"/>
                <w:sz w:val="16"/>
              </w:rPr>
            </w:pPr>
            <w:r w:rsidRPr="00747E35">
              <w:rPr>
                <w:rFonts w:cstheme="minorHAnsi"/>
                <w:i/>
                <w:sz w:val="16"/>
              </w:rPr>
              <w:t>Jardinella</w:t>
            </w:r>
            <w:r w:rsidRPr="00747E35">
              <w:rPr>
                <w:rFonts w:cstheme="minorHAnsi"/>
                <w:sz w:val="16"/>
              </w:rPr>
              <w:t xml:space="preserve"> n.sp. AMS C.410721</w:t>
            </w:r>
          </w:p>
        </w:tc>
        <w:tc>
          <w:tcPr>
            <w:tcW w:w="1134" w:type="dxa"/>
            <w:shd w:val="clear" w:color="auto" w:fill="auto"/>
            <w:noWrap/>
            <w:hideMark/>
          </w:tcPr>
          <w:p w14:paraId="4EADAE55" w14:textId="77777777" w:rsidR="0044478E" w:rsidRPr="00747E35" w:rsidRDefault="0044478E" w:rsidP="0044478E">
            <w:pPr>
              <w:pStyle w:val="Tabletext"/>
              <w:spacing w:before="0" w:after="0"/>
              <w:rPr>
                <w:rFonts w:cstheme="minorHAnsi"/>
                <w:sz w:val="16"/>
              </w:rPr>
            </w:pPr>
            <w:r w:rsidRPr="00747E35">
              <w:rPr>
                <w:rFonts w:cstheme="minorHAnsi"/>
                <w:sz w:val="16"/>
              </w:rPr>
              <w:t>M_Jasp1</w:t>
            </w:r>
          </w:p>
        </w:tc>
        <w:tc>
          <w:tcPr>
            <w:tcW w:w="567" w:type="dxa"/>
          </w:tcPr>
          <w:p w14:paraId="7805BF3A"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0F8617CC" w14:textId="77777777" w:rsidR="0044478E" w:rsidRPr="00747E35" w:rsidRDefault="0044478E" w:rsidP="0044478E">
            <w:pPr>
              <w:pStyle w:val="Tabletext"/>
              <w:spacing w:before="0" w:after="0"/>
              <w:rPr>
                <w:rFonts w:cstheme="minorHAnsi"/>
                <w:sz w:val="16"/>
              </w:rPr>
            </w:pPr>
            <w:r w:rsidRPr="00747E35">
              <w:rPr>
                <w:rFonts w:cstheme="minorHAnsi"/>
                <w:sz w:val="16"/>
              </w:rPr>
              <w:t>2.7</w:t>
            </w:r>
          </w:p>
        </w:tc>
        <w:tc>
          <w:tcPr>
            <w:tcW w:w="992" w:type="dxa"/>
          </w:tcPr>
          <w:p w14:paraId="264BAD2D"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403F5670" w14:textId="77777777" w:rsidR="0044478E" w:rsidRPr="00747E35" w:rsidRDefault="0044478E" w:rsidP="0044478E">
            <w:pPr>
              <w:pStyle w:val="Tabletext"/>
              <w:spacing w:before="0" w:after="0"/>
              <w:rPr>
                <w:rFonts w:cstheme="minorHAnsi"/>
                <w:sz w:val="16"/>
              </w:rPr>
            </w:pPr>
            <w:r w:rsidRPr="00747E35">
              <w:rPr>
                <w:rFonts w:cstheme="minorHAnsi"/>
                <w:sz w:val="16"/>
              </w:rPr>
              <w:t>U</w:t>
            </w:r>
          </w:p>
        </w:tc>
        <w:tc>
          <w:tcPr>
            <w:tcW w:w="1542" w:type="dxa"/>
          </w:tcPr>
          <w:p w14:paraId="58E3DE47"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6FC77ADF" w14:textId="77777777" w:rsidTr="0044478E">
        <w:trPr>
          <w:trHeight w:val="20"/>
        </w:trPr>
        <w:tc>
          <w:tcPr>
            <w:tcW w:w="964" w:type="dxa"/>
            <w:shd w:val="clear" w:color="auto" w:fill="auto"/>
            <w:noWrap/>
            <w:hideMark/>
          </w:tcPr>
          <w:p w14:paraId="18FC1927"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1A5DB028"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173BB0D8"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67FC1ECA"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4E3620CB"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0D94FDCA" w14:textId="77777777" w:rsidR="0044478E" w:rsidRPr="00747E35" w:rsidRDefault="0044478E" w:rsidP="0044478E">
            <w:pPr>
              <w:pStyle w:val="Tabletext"/>
              <w:spacing w:before="0" w:after="0"/>
              <w:rPr>
                <w:rFonts w:cstheme="minorHAnsi"/>
                <w:sz w:val="16"/>
              </w:rPr>
            </w:pPr>
            <w:r w:rsidRPr="00747E35">
              <w:rPr>
                <w:rFonts w:cstheme="minorHAnsi"/>
                <w:i/>
                <w:sz w:val="16"/>
              </w:rPr>
              <w:t>Jardinella</w:t>
            </w:r>
            <w:r w:rsidRPr="00747E35">
              <w:rPr>
                <w:rFonts w:cstheme="minorHAnsi"/>
                <w:sz w:val="16"/>
              </w:rPr>
              <w:t xml:space="preserve"> n.sp. AMS C.156780</w:t>
            </w:r>
          </w:p>
        </w:tc>
        <w:tc>
          <w:tcPr>
            <w:tcW w:w="1134" w:type="dxa"/>
            <w:shd w:val="clear" w:color="auto" w:fill="auto"/>
            <w:noWrap/>
            <w:hideMark/>
          </w:tcPr>
          <w:p w14:paraId="27D8F365" w14:textId="77777777" w:rsidR="0044478E" w:rsidRPr="00747E35" w:rsidRDefault="0044478E" w:rsidP="0044478E">
            <w:pPr>
              <w:pStyle w:val="Tabletext"/>
              <w:spacing w:before="0" w:after="0"/>
              <w:rPr>
                <w:rFonts w:cstheme="minorHAnsi"/>
                <w:sz w:val="16"/>
              </w:rPr>
            </w:pPr>
            <w:r w:rsidRPr="00747E35">
              <w:rPr>
                <w:rFonts w:cstheme="minorHAnsi"/>
                <w:sz w:val="16"/>
              </w:rPr>
              <w:t>M_Jasp2</w:t>
            </w:r>
          </w:p>
        </w:tc>
        <w:tc>
          <w:tcPr>
            <w:tcW w:w="567" w:type="dxa"/>
          </w:tcPr>
          <w:p w14:paraId="48FE2855"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595E1906" w14:textId="77777777" w:rsidR="0044478E" w:rsidRPr="00747E35" w:rsidRDefault="0044478E" w:rsidP="0044478E">
            <w:pPr>
              <w:pStyle w:val="Tabletext"/>
              <w:spacing w:before="0" w:after="0"/>
              <w:rPr>
                <w:rFonts w:cstheme="minorHAnsi"/>
                <w:sz w:val="16"/>
              </w:rPr>
            </w:pPr>
            <w:r w:rsidRPr="00747E35">
              <w:rPr>
                <w:rFonts w:cstheme="minorHAnsi"/>
                <w:sz w:val="16"/>
              </w:rPr>
              <w:t>0.7</w:t>
            </w:r>
          </w:p>
        </w:tc>
        <w:tc>
          <w:tcPr>
            <w:tcW w:w="992" w:type="dxa"/>
          </w:tcPr>
          <w:p w14:paraId="09F2D459"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43C913A7" w14:textId="77777777" w:rsidR="0044478E" w:rsidRPr="00747E35" w:rsidRDefault="0044478E" w:rsidP="0044478E">
            <w:pPr>
              <w:pStyle w:val="Tabletext"/>
              <w:spacing w:before="0" w:after="0"/>
              <w:rPr>
                <w:rFonts w:cstheme="minorHAnsi"/>
                <w:sz w:val="16"/>
              </w:rPr>
            </w:pPr>
            <w:r w:rsidRPr="00747E35">
              <w:rPr>
                <w:rFonts w:cstheme="minorHAnsi"/>
                <w:sz w:val="16"/>
              </w:rPr>
              <w:t>U</w:t>
            </w:r>
          </w:p>
        </w:tc>
        <w:tc>
          <w:tcPr>
            <w:tcW w:w="1542" w:type="dxa"/>
          </w:tcPr>
          <w:p w14:paraId="1403C5C9"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1E2FBB7C" w14:textId="77777777" w:rsidTr="0044478E">
        <w:trPr>
          <w:trHeight w:val="20"/>
        </w:trPr>
        <w:tc>
          <w:tcPr>
            <w:tcW w:w="964" w:type="dxa"/>
            <w:shd w:val="clear" w:color="auto" w:fill="auto"/>
            <w:noWrap/>
            <w:hideMark/>
          </w:tcPr>
          <w:p w14:paraId="52C1A875"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6A687CA0"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4581E416"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2317F14B"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689080CB"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0AA9CE95" w14:textId="77777777" w:rsidR="0044478E" w:rsidRPr="00747E35" w:rsidRDefault="0044478E" w:rsidP="0044478E">
            <w:pPr>
              <w:pStyle w:val="Tabletext"/>
              <w:spacing w:before="0" w:after="0"/>
              <w:rPr>
                <w:rFonts w:cstheme="minorHAnsi"/>
                <w:sz w:val="16"/>
              </w:rPr>
            </w:pPr>
            <w:r w:rsidRPr="00747E35">
              <w:rPr>
                <w:rFonts w:cstheme="minorHAnsi"/>
                <w:i/>
                <w:sz w:val="16"/>
              </w:rPr>
              <w:t>Jardinella</w:t>
            </w:r>
            <w:r w:rsidRPr="00747E35">
              <w:rPr>
                <w:rFonts w:cstheme="minorHAnsi"/>
                <w:sz w:val="16"/>
              </w:rPr>
              <w:t xml:space="preserve"> n.sp. AMS C.400131/QMS04_1</w:t>
            </w:r>
          </w:p>
        </w:tc>
        <w:tc>
          <w:tcPr>
            <w:tcW w:w="1134" w:type="dxa"/>
            <w:shd w:val="clear" w:color="auto" w:fill="auto"/>
            <w:noWrap/>
            <w:hideMark/>
          </w:tcPr>
          <w:p w14:paraId="2F66CDA5" w14:textId="77777777" w:rsidR="0044478E" w:rsidRPr="00747E35" w:rsidRDefault="0044478E" w:rsidP="0044478E">
            <w:pPr>
              <w:pStyle w:val="Tabletext"/>
              <w:spacing w:before="0" w:after="0"/>
              <w:rPr>
                <w:rFonts w:cstheme="minorHAnsi"/>
                <w:sz w:val="16"/>
              </w:rPr>
            </w:pPr>
            <w:r w:rsidRPr="00747E35">
              <w:rPr>
                <w:rFonts w:cstheme="minorHAnsi"/>
                <w:sz w:val="16"/>
              </w:rPr>
              <w:t>M_Jasp3</w:t>
            </w:r>
          </w:p>
        </w:tc>
        <w:tc>
          <w:tcPr>
            <w:tcW w:w="567" w:type="dxa"/>
          </w:tcPr>
          <w:p w14:paraId="15EC1088"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1C42DFDD" w14:textId="77777777" w:rsidR="0044478E" w:rsidRPr="00747E35" w:rsidRDefault="0044478E" w:rsidP="0044478E">
            <w:pPr>
              <w:pStyle w:val="Tabletext"/>
              <w:spacing w:before="0" w:after="0"/>
              <w:rPr>
                <w:rFonts w:cstheme="minorHAnsi"/>
                <w:sz w:val="16"/>
              </w:rPr>
            </w:pPr>
            <w:r w:rsidRPr="00747E35">
              <w:rPr>
                <w:rFonts w:cstheme="minorHAnsi"/>
                <w:sz w:val="16"/>
              </w:rPr>
              <w:t>4.4</w:t>
            </w:r>
          </w:p>
        </w:tc>
        <w:tc>
          <w:tcPr>
            <w:tcW w:w="992" w:type="dxa"/>
          </w:tcPr>
          <w:p w14:paraId="4C92EC70"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3B8565A5" w14:textId="77777777" w:rsidR="0044478E" w:rsidRPr="00747E35" w:rsidRDefault="0044478E" w:rsidP="0044478E">
            <w:pPr>
              <w:pStyle w:val="Tabletext"/>
              <w:spacing w:before="0" w:after="0"/>
              <w:rPr>
                <w:rFonts w:cstheme="minorHAnsi"/>
                <w:sz w:val="16"/>
              </w:rPr>
            </w:pPr>
            <w:r w:rsidRPr="00747E35">
              <w:rPr>
                <w:rFonts w:cstheme="minorHAnsi"/>
                <w:sz w:val="16"/>
              </w:rPr>
              <w:t>U</w:t>
            </w:r>
          </w:p>
        </w:tc>
        <w:tc>
          <w:tcPr>
            <w:tcW w:w="1542" w:type="dxa"/>
          </w:tcPr>
          <w:p w14:paraId="0799466F"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4F9960A6" w14:textId="77777777" w:rsidTr="0044478E">
        <w:trPr>
          <w:trHeight w:val="20"/>
        </w:trPr>
        <w:tc>
          <w:tcPr>
            <w:tcW w:w="964" w:type="dxa"/>
            <w:shd w:val="clear" w:color="auto" w:fill="auto"/>
            <w:noWrap/>
            <w:hideMark/>
          </w:tcPr>
          <w:p w14:paraId="28384F80"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134EB7F8"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4DF47019"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357D421B"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215DC32D"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2515661F" w14:textId="77777777" w:rsidR="0044478E" w:rsidRPr="00747E35" w:rsidRDefault="0044478E" w:rsidP="0044478E">
            <w:pPr>
              <w:pStyle w:val="Tabletext"/>
              <w:spacing w:before="0" w:after="0"/>
              <w:rPr>
                <w:rFonts w:cstheme="minorHAnsi"/>
                <w:sz w:val="16"/>
              </w:rPr>
            </w:pPr>
            <w:r w:rsidRPr="00747E35">
              <w:rPr>
                <w:rFonts w:cstheme="minorHAnsi"/>
                <w:i/>
                <w:sz w:val="16"/>
              </w:rPr>
              <w:t>Jardinella</w:t>
            </w:r>
            <w:r w:rsidRPr="00747E35">
              <w:rPr>
                <w:rFonts w:cstheme="minorHAnsi"/>
                <w:sz w:val="16"/>
              </w:rPr>
              <w:t xml:space="preserve"> n.sp. AMS C.400130/QMS05</w:t>
            </w:r>
          </w:p>
        </w:tc>
        <w:tc>
          <w:tcPr>
            <w:tcW w:w="1134" w:type="dxa"/>
            <w:shd w:val="clear" w:color="auto" w:fill="auto"/>
            <w:noWrap/>
            <w:hideMark/>
          </w:tcPr>
          <w:p w14:paraId="40FB85C2" w14:textId="77777777" w:rsidR="0044478E" w:rsidRPr="00747E35" w:rsidRDefault="0044478E" w:rsidP="0044478E">
            <w:pPr>
              <w:pStyle w:val="Tabletext"/>
              <w:spacing w:before="0" w:after="0"/>
              <w:rPr>
                <w:rFonts w:cstheme="minorHAnsi"/>
                <w:sz w:val="16"/>
              </w:rPr>
            </w:pPr>
            <w:r w:rsidRPr="00747E35">
              <w:rPr>
                <w:rFonts w:cstheme="minorHAnsi"/>
                <w:sz w:val="16"/>
              </w:rPr>
              <w:t>M_Jasp4</w:t>
            </w:r>
          </w:p>
        </w:tc>
        <w:tc>
          <w:tcPr>
            <w:tcW w:w="567" w:type="dxa"/>
          </w:tcPr>
          <w:p w14:paraId="0C473CCB"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23F3FF01" w14:textId="77777777" w:rsidR="0044478E" w:rsidRPr="00747E35" w:rsidRDefault="0044478E" w:rsidP="0044478E">
            <w:pPr>
              <w:pStyle w:val="Tabletext"/>
              <w:spacing w:before="0" w:after="0"/>
              <w:rPr>
                <w:rFonts w:cstheme="minorHAnsi"/>
                <w:sz w:val="16"/>
              </w:rPr>
            </w:pPr>
            <w:r w:rsidRPr="00747E35">
              <w:rPr>
                <w:rFonts w:cstheme="minorHAnsi"/>
                <w:sz w:val="16"/>
              </w:rPr>
              <w:t>4.4</w:t>
            </w:r>
          </w:p>
        </w:tc>
        <w:tc>
          <w:tcPr>
            <w:tcW w:w="992" w:type="dxa"/>
          </w:tcPr>
          <w:p w14:paraId="628A993C"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7A2584C2" w14:textId="77777777" w:rsidR="0044478E" w:rsidRPr="00747E35" w:rsidRDefault="0044478E" w:rsidP="0044478E">
            <w:pPr>
              <w:pStyle w:val="Tabletext"/>
              <w:spacing w:before="0" w:after="0"/>
              <w:rPr>
                <w:rFonts w:cstheme="minorHAnsi"/>
                <w:sz w:val="16"/>
              </w:rPr>
            </w:pPr>
            <w:r w:rsidRPr="00747E35">
              <w:rPr>
                <w:rFonts w:cstheme="minorHAnsi"/>
                <w:sz w:val="16"/>
              </w:rPr>
              <w:t>U</w:t>
            </w:r>
          </w:p>
        </w:tc>
        <w:tc>
          <w:tcPr>
            <w:tcW w:w="1542" w:type="dxa"/>
          </w:tcPr>
          <w:p w14:paraId="0C63113F"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738DC8F1" w14:textId="77777777" w:rsidTr="0044478E">
        <w:trPr>
          <w:trHeight w:val="20"/>
        </w:trPr>
        <w:tc>
          <w:tcPr>
            <w:tcW w:w="964" w:type="dxa"/>
            <w:shd w:val="clear" w:color="auto" w:fill="auto"/>
            <w:noWrap/>
            <w:hideMark/>
          </w:tcPr>
          <w:p w14:paraId="4A1D9413"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6BC67996"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383363C8"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2687C5E7"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41BFE504"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79C1A9D5" w14:textId="77777777" w:rsidR="0044478E" w:rsidRPr="00747E35" w:rsidRDefault="0044478E" w:rsidP="0044478E">
            <w:pPr>
              <w:pStyle w:val="Tabletext"/>
              <w:spacing w:before="0" w:after="0"/>
              <w:rPr>
                <w:rFonts w:cstheme="minorHAnsi"/>
                <w:sz w:val="16"/>
              </w:rPr>
            </w:pPr>
            <w:r w:rsidRPr="00747E35">
              <w:rPr>
                <w:rFonts w:cstheme="minorHAnsi"/>
                <w:i/>
                <w:sz w:val="16"/>
              </w:rPr>
              <w:t>Jardinella</w:t>
            </w:r>
            <w:r w:rsidRPr="00747E35">
              <w:rPr>
                <w:rFonts w:cstheme="minorHAnsi"/>
                <w:sz w:val="16"/>
              </w:rPr>
              <w:t xml:space="preserve"> n.sp. AMS C.400133/QMS04</w:t>
            </w:r>
          </w:p>
        </w:tc>
        <w:tc>
          <w:tcPr>
            <w:tcW w:w="1134" w:type="dxa"/>
            <w:shd w:val="clear" w:color="auto" w:fill="auto"/>
            <w:noWrap/>
            <w:hideMark/>
          </w:tcPr>
          <w:p w14:paraId="159D595A" w14:textId="77777777" w:rsidR="0044478E" w:rsidRPr="00747E35" w:rsidRDefault="0044478E" w:rsidP="0044478E">
            <w:pPr>
              <w:pStyle w:val="Tabletext"/>
              <w:spacing w:before="0" w:after="0"/>
              <w:rPr>
                <w:rFonts w:cstheme="minorHAnsi"/>
                <w:sz w:val="16"/>
              </w:rPr>
            </w:pPr>
            <w:r w:rsidRPr="00747E35">
              <w:rPr>
                <w:rFonts w:cstheme="minorHAnsi"/>
                <w:sz w:val="16"/>
              </w:rPr>
              <w:t>M_Jasp5</w:t>
            </w:r>
          </w:p>
        </w:tc>
        <w:tc>
          <w:tcPr>
            <w:tcW w:w="567" w:type="dxa"/>
          </w:tcPr>
          <w:p w14:paraId="507986AB"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61303811" w14:textId="77777777" w:rsidR="0044478E" w:rsidRPr="00747E35" w:rsidRDefault="0044478E" w:rsidP="0044478E">
            <w:pPr>
              <w:pStyle w:val="Tabletext"/>
              <w:spacing w:before="0" w:after="0"/>
              <w:rPr>
                <w:rFonts w:cstheme="minorHAnsi"/>
                <w:sz w:val="16"/>
              </w:rPr>
            </w:pPr>
            <w:r w:rsidRPr="00747E35">
              <w:rPr>
                <w:rFonts w:cstheme="minorHAnsi"/>
                <w:sz w:val="16"/>
              </w:rPr>
              <w:t>4.4</w:t>
            </w:r>
          </w:p>
        </w:tc>
        <w:tc>
          <w:tcPr>
            <w:tcW w:w="992" w:type="dxa"/>
          </w:tcPr>
          <w:p w14:paraId="11E3DE3D"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6DD17983" w14:textId="77777777" w:rsidR="0044478E" w:rsidRPr="00747E35" w:rsidRDefault="0044478E" w:rsidP="0044478E">
            <w:pPr>
              <w:pStyle w:val="Tabletext"/>
              <w:spacing w:before="0" w:after="0"/>
              <w:rPr>
                <w:rFonts w:cstheme="minorHAnsi"/>
                <w:sz w:val="16"/>
              </w:rPr>
            </w:pPr>
            <w:r w:rsidRPr="00747E35">
              <w:rPr>
                <w:rFonts w:cstheme="minorHAnsi"/>
                <w:sz w:val="16"/>
              </w:rPr>
              <w:t>U</w:t>
            </w:r>
          </w:p>
        </w:tc>
        <w:tc>
          <w:tcPr>
            <w:tcW w:w="1542" w:type="dxa"/>
          </w:tcPr>
          <w:p w14:paraId="182F8F01"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76868114" w14:textId="77777777" w:rsidTr="0044478E">
        <w:trPr>
          <w:trHeight w:val="20"/>
        </w:trPr>
        <w:tc>
          <w:tcPr>
            <w:tcW w:w="964" w:type="dxa"/>
            <w:shd w:val="clear" w:color="auto" w:fill="auto"/>
            <w:noWrap/>
            <w:hideMark/>
          </w:tcPr>
          <w:p w14:paraId="2162AC81"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61809A84"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1DB4A900"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36C41FD2"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1D058552"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77D85FF2" w14:textId="77777777" w:rsidR="0044478E" w:rsidRPr="00747E35" w:rsidRDefault="0044478E" w:rsidP="0044478E">
            <w:pPr>
              <w:pStyle w:val="Tabletext"/>
              <w:spacing w:before="0" w:after="0"/>
              <w:rPr>
                <w:rFonts w:cstheme="minorHAnsi"/>
                <w:sz w:val="16"/>
              </w:rPr>
            </w:pPr>
            <w:r w:rsidRPr="00747E35">
              <w:rPr>
                <w:rFonts w:cstheme="minorHAnsi"/>
                <w:i/>
                <w:sz w:val="16"/>
              </w:rPr>
              <w:t>Jardinella</w:t>
            </w:r>
            <w:r w:rsidRPr="00747E35">
              <w:rPr>
                <w:rFonts w:cstheme="minorHAnsi"/>
                <w:sz w:val="16"/>
              </w:rPr>
              <w:t xml:space="preserve"> n.sp. AMS C.400132/QMS04_2</w:t>
            </w:r>
          </w:p>
        </w:tc>
        <w:tc>
          <w:tcPr>
            <w:tcW w:w="1134" w:type="dxa"/>
            <w:shd w:val="clear" w:color="auto" w:fill="auto"/>
            <w:noWrap/>
            <w:hideMark/>
          </w:tcPr>
          <w:p w14:paraId="42E5B9DB" w14:textId="77777777" w:rsidR="0044478E" w:rsidRPr="00747E35" w:rsidRDefault="0044478E" w:rsidP="0044478E">
            <w:pPr>
              <w:pStyle w:val="Tabletext"/>
              <w:spacing w:before="0" w:after="0"/>
              <w:rPr>
                <w:rFonts w:cstheme="minorHAnsi"/>
                <w:sz w:val="16"/>
              </w:rPr>
            </w:pPr>
            <w:r w:rsidRPr="00747E35">
              <w:rPr>
                <w:rFonts w:cstheme="minorHAnsi"/>
                <w:sz w:val="16"/>
              </w:rPr>
              <w:t>M_Jasp6</w:t>
            </w:r>
          </w:p>
        </w:tc>
        <w:tc>
          <w:tcPr>
            <w:tcW w:w="567" w:type="dxa"/>
          </w:tcPr>
          <w:p w14:paraId="0217D29D"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66F79285" w14:textId="77777777" w:rsidR="0044478E" w:rsidRPr="00747E35" w:rsidRDefault="0044478E" w:rsidP="0044478E">
            <w:pPr>
              <w:pStyle w:val="Tabletext"/>
              <w:spacing w:before="0" w:after="0"/>
              <w:rPr>
                <w:rFonts w:cstheme="minorHAnsi"/>
                <w:sz w:val="16"/>
              </w:rPr>
            </w:pPr>
            <w:r w:rsidRPr="00747E35">
              <w:rPr>
                <w:rFonts w:cstheme="minorHAnsi"/>
                <w:sz w:val="16"/>
              </w:rPr>
              <w:t>4.4</w:t>
            </w:r>
          </w:p>
        </w:tc>
        <w:tc>
          <w:tcPr>
            <w:tcW w:w="992" w:type="dxa"/>
          </w:tcPr>
          <w:p w14:paraId="42BCEF15"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652CBF49" w14:textId="77777777" w:rsidR="0044478E" w:rsidRPr="00747E35" w:rsidRDefault="0044478E" w:rsidP="0044478E">
            <w:pPr>
              <w:pStyle w:val="Tabletext"/>
              <w:spacing w:before="0" w:after="0"/>
              <w:rPr>
                <w:rFonts w:cstheme="minorHAnsi"/>
                <w:sz w:val="16"/>
              </w:rPr>
            </w:pPr>
            <w:r w:rsidRPr="00747E35">
              <w:rPr>
                <w:rFonts w:cstheme="minorHAnsi"/>
                <w:sz w:val="16"/>
              </w:rPr>
              <w:t>U</w:t>
            </w:r>
          </w:p>
        </w:tc>
        <w:tc>
          <w:tcPr>
            <w:tcW w:w="1542" w:type="dxa"/>
          </w:tcPr>
          <w:p w14:paraId="00B33861"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1E44720F" w14:textId="77777777" w:rsidTr="0044478E">
        <w:trPr>
          <w:trHeight w:val="20"/>
        </w:trPr>
        <w:tc>
          <w:tcPr>
            <w:tcW w:w="964" w:type="dxa"/>
            <w:shd w:val="clear" w:color="auto" w:fill="auto"/>
            <w:noWrap/>
            <w:hideMark/>
          </w:tcPr>
          <w:p w14:paraId="2112E40A"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6CC317BD"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1372B223"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3228A196"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5BCBCC29"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3464247A" w14:textId="77777777" w:rsidR="0044478E" w:rsidRPr="00747E35" w:rsidRDefault="0044478E" w:rsidP="0044478E">
            <w:pPr>
              <w:pStyle w:val="Tabletext"/>
              <w:spacing w:before="0" w:after="0"/>
              <w:rPr>
                <w:rFonts w:cstheme="minorHAnsi"/>
                <w:sz w:val="16"/>
              </w:rPr>
            </w:pPr>
            <w:r w:rsidRPr="00747E35">
              <w:rPr>
                <w:rFonts w:cstheme="minorHAnsi"/>
                <w:i/>
                <w:sz w:val="16"/>
              </w:rPr>
              <w:t>Jardinella</w:t>
            </w:r>
            <w:r w:rsidRPr="00747E35">
              <w:rPr>
                <w:rFonts w:cstheme="minorHAnsi"/>
                <w:sz w:val="16"/>
              </w:rPr>
              <w:t xml:space="preserve"> sp. AMS C.447677</w:t>
            </w:r>
          </w:p>
        </w:tc>
        <w:tc>
          <w:tcPr>
            <w:tcW w:w="1134" w:type="dxa"/>
            <w:shd w:val="clear" w:color="auto" w:fill="auto"/>
            <w:noWrap/>
            <w:hideMark/>
          </w:tcPr>
          <w:p w14:paraId="00D81F29" w14:textId="77777777" w:rsidR="0044478E" w:rsidRPr="00747E35" w:rsidRDefault="0044478E" w:rsidP="0044478E">
            <w:pPr>
              <w:pStyle w:val="Tabletext"/>
              <w:spacing w:before="0" w:after="0"/>
              <w:rPr>
                <w:rFonts w:cstheme="minorHAnsi"/>
                <w:sz w:val="16"/>
              </w:rPr>
            </w:pPr>
            <w:r w:rsidRPr="00747E35">
              <w:rPr>
                <w:rFonts w:cstheme="minorHAnsi"/>
                <w:sz w:val="16"/>
              </w:rPr>
              <w:t>M_Jasp7</w:t>
            </w:r>
          </w:p>
        </w:tc>
        <w:tc>
          <w:tcPr>
            <w:tcW w:w="567" w:type="dxa"/>
          </w:tcPr>
          <w:p w14:paraId="7E301C44" w14:textId="77777777" w:rsidR="0044478E" w:rsidRPr="00747E35" w:rsidRDefault="0044478E" w:rsidP="0044478E">
            <w:pPr>
              <w:pStyle w:val="Tabletext"/>
              <w:spacing w:before="0" w:after="0"/>
              <w:rPr>
                <w:rFonts w:cstheme="minorHAnsi"/>
                <w:sz w:val="16"/>
              </w:rPr>
            </w:pPr>
            <w:r w:rsidRPr="00747E35">
              <w:rPr>
                <w:rFonts w:cstheme="minorHAnsi"/>
                <w:sz w:val="16"/>
              </w:rPr>
              <w:t>2</w:t>
            </w:r>
          </w:p>
        </w:tc>
        <w:tc>
          <w:tcPr>
            <w:tcW w:w="709" w:type="dxa"/>
          </w:tcPr>
          <w:p w14:paraId="16B95BA3" w14:textId="77777777" w:rsidR="0044478E" w:rsidRPr="00747E35" w:rsidRDefault="0044478E" w:rsidP="0044478E">
            <w:pPr>
              <w:pStyle w:val="Tabletext"/>
              <w:spacing w:before="0" w:after="0"/>
              <w:rPr>
                <w:rFonts w:cstheme="minorHAnsi"/>
                <w:sz w:val="16"/>
              </w:rPr>
            </w:pPr>
            <w:r w:rsidRPr="00747E35">
              <w:rPr>
                <w:rFonts w:cstheme="minorHAnsi"/>
                <w:sz w:val="16"/>
              </w:rPr>
              <w:t>0.9</w:t>
            </w:r>
          </w:p>
        </w:tc>
        <w:tc>
          <w:tcPr>
            <w:tcW w:w="992" w:type="dxa"/>
          </w:tcPr>
          <w:p w14:paraId="5FFD2FB0"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0F1B6AFA" w14:textId="77777777" w:rsidR="0044478E" w:rsidRPr="00747E35" w:rsidRDefault="0044478E" w:rsidP="0044478E">
            <w:pPr>
              <w:pStyle w:val="Tabletext"/>
              <w:spacing w:before="0" w:after="0"/>
              <w:rPr>
                <w:rFonts w:cstheme="minorHAnsi"/>
                <w:sz w:val="16"/>
              </w:rPr>
            </w:pPr>
            <w:r w:rsidRPr="00747E35">
              <w:rPr>
                <w:rFonts w:cstheme="minorHAnsi"/>
                <w:sz w:val="16"/>
              </w:rPr>
              <w:t>U</w:t>
            </w:r>
          </w:p>
        </w:tc>
        <w:tc>
          <w:tcPr>
            <w:tcW w:w="1542" w:type="dxa"/>
          </w:tcPr>
          <w:p w14:paraId="29E3ABD9" w14:textId="77777777" w:rsidR="0044478E" w:rsidRPr="00747E35" w:rsidRDefault="0044478E" w:rsidP="0044478E">
            <w:pPr>
              <w:pStyle w:val="Tabletext"/>
              <w:spacing w:before="0" w:after="0"/>
              <w:rPr>
                <w:rFonts w:cstheme="minorHAnsi"/>
                <w:sz w:val="16"/>
              </w:rPr>
            </w:pPr>
            <w:r w:rsidRPr="00747E35">
              <w:rPr>
                <w:rFonts w:cstheme="minorHAnsi"/>
                <w:sz w:val="16"/>
              </w:rPr>
              <w:t>Narrow supergroup</w:t>
            </w:r>
          </w:p>
        </w:tc>
      </w:tr>
      <w:tr w:rsidR="0044478E" w:rsidRPr="00747E35" w14:paraId="130BF4FF" w14:textId="77777777" w:rsidTr="0044478E">
        <w:trPr>
          <w:trHeight w:val="20"/>
        </w:trPr>
        <w:tc>
          <w:tcPr>
            <w:tcW w:w="964" w:type="dxa"/>
            <w:shd w:val="clear" w:color="auto" w:fill="auto"/>
            <w:noWrap/>
            <w:hideMark/>
          </w:tcPr>
          <w:p w14:paraId="42D87534"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051517DF"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15418089"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0CECB5EE"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700C1ABD"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1B6AB61B" w14:textId="77777777" w:rsidR="0044478E" w:rsidRPr="00747E35" w:rsidRDefault="0044478E" w:rsidP="0044478E">
            <w:pPr>
              <w:pStyle w:val="Tabletext"/>
              <w:spacing w:before="0" w:after="0"/>
              <w:rPr>
                <w:rFonts w:cstheme="minorHAnsi"/>
                <w:i/>
                <w:sz w:val="16"/>
              </w:rPr>
            </w:pPr>
            <w:r w:rsidRPr="00747E35">
              <w:rPr>
                <w:rFonts w:cstheme="minorHAnsi"/>
                <w:i/>
                <w:sz w:val="16"/>
              </w:rPr>
              <w:t>Jardinella pallida</w:t>
            </w:r>
          </w:p>
        </w:tc>
        <w:tc>
          <w:tcPr>
            <w:tcW w:w="1134" w:type="dxa"/>
            <w:shd w:val="clear" w:color="auto" w:fill="auto"/>
            <w:noWrap/>
            <w:hideMark/>
          </w:tcPr>
          <w:p w14:paraId="67D8DD95" w14:textId="77777777" w:rsidR="0044478E" w:rsidRPr="00747E35" w:rsidRDefault="0044478E" w:rsidP="0044478E">
            <w:pPr>
              <w:pStyle w:val="Tabletext"/>
              <w:spacing w:before="0" w:after="0"/>
              <w:rPr>
                <w:rFonts w:cstheme="minorHAnsi"/>
                <w:sz w:val="16"/>
              </w:rPr>
            </w:pPr>
            <w:r w:rsidRPr="00747E35">
              <w:rPr>
                <w:rFonts w:cstheme="minorHAnsi"/>
                <w:sz w:val="16"/>
              </w:rPr>
              <w:t>M_Japall</w:t>
            </w:r>
          </w:p>
        </w:tc>
        <w:tc>
          <w:tcPr>
            <w:tcW w:w="567" w:type="dxa"/>
          </w:tcPr>
          <w:p w14:paraId="05B98AAE"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3A09D7C1" w14:textId="77777777" w:rsidR="0044478E" w:rsidRPr="00747E35" w:rsidRDefault="0044478E" w:rsidP="0044478E">
            <w:pPr>
              <w:pStyle w:val="Tabletext"/>
              <w:spacing w:before="0" w:after="0"/>
              <w:rPr>
                <w:rFonts w:cstheme="minorHAnsi"/>
                <w:sz w:val="16"/>
              </w:rPr>
            </w:pPr>
            <w:r w:rsidRPr="00747E35">
              <w:rPr>
                <w:rFonts w:cstheme="minorHAnsi"/>
                <w:sz w:val="16"/>
              </w:rPr>
              <w:t>29.7</w:t>
            </w:r>
          </w:p>
        </w:tc>
        <w:tc>
          <w:tcPr>
            <w:tcW w:w="992" w:type="dxa"/>
          </w:tcPr>
          <w:p w14:paraId="26A6D6D7"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698CB3C5"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55D97936"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6AB00D11" w14:textId="77777777" w:rsidTr="0044478E">
        <w:trPr>
          <w:trHeight w:val="20"/>
        </w:trPr>
        <w:tc>
          <w:tcPr>
            <w:tcW w:w="964" w:type="dxa"/>
            <w:shd w:val="clear" w:color="auto" w:fill="auto"/>
            <w:noWrap/>
            <w:hideMark/>
          </w:tcPr>
          <w:p w14:paraId="4CC28F16"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5EF81E86"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6FB7EB38"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7DC7BCCD"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72A2EF3E"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6FC11794" w14:textId="77777777" w:rsidR="0044478E" w:rsidRPr="00747E35" w:rsidRDefault="0044478E" w:rsidP="0044478E">
            <w:pPr>
              <w:pStyle w:val="Tabletext"/>
              <w:spacing w:before="0" w:after="0"/>
              <w:rPr>
                <w:rFonts w:cstheme="minorHAnsi"/>
                <w:i/>
                <w:sz w:val="16"/>
              </w:rPr>
            </w:pPr>
            <w:r w:rsidRPr="00747E35">
              <w:rPr>
                <w:rFonts w:cstheme="minorHAnsi"/>
                <w:i/>
                <w:sz w:val="16"/>
              </w:rPr>
              <w:t>Jardinella zeiderorum</w:t>
            </w:r>
          </w:p>
        </w:tc>
        <w:tc>
          <w:tcPr>
            <w:tcW w:w="1134" w:type="dxa"/>
            <w:shd w:val="clear" w:color="auto" w:fill="auto"/>
            <w:noWrap/>
            <w:hideMark/>
          </w:tcPr>
          <w:p w14:paraId="5DB284EC" w14:textId="77777777" w:rsidR="0044478E" w:rsidRPr="00747E35" w:rsidRDefault="0044478E" w:rsidP="0044478E">
            <w:pPr>
              <w:pStyle w:val="Tabletext"/>
              <w:spacing w:before="0" w:after="0"/>
              <w:rPr>
                <w:rFonts w:cstheme="minorHAnsi"/>
                <w:sz w:val="16"/>
              </w:rPr>
            </w:pPr>
            <w:r w:rsidRPr="00747E35">
              <w:rPr>
                <w:rFonts w:cstheme="minorHAnsi"/>
                <w:sz w:val="16"/>
              </w:rPr>
              <w:t>M_Jazeid</w:t>
            </w:r>
          </w:p>
        </w:tc>
        <w:tc>
          <w:tcPr>
            <w:tcW w:w="567" w:type="dxa"/>
          </w:tcPr>
          <w:p w14:paraId="24A22AD3"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7C51B95D" w14:textId="77777777" w:rsidR="0044478E" w:rsidRPr="00747E35" w:rsidRDefault="0044478E" w:rsidP="0044478E">
            <w:pPr>
              <w:pStyle w:val="Tabletext"/>
              <w:spacing w:before="0" w:after="0"/>
              <w:rPr>
                <w:rFonts w:cstheme="minorHAnsi"/>
                <w:sz w:val="16"/>
              </w:rPr>
            </w:pPr>
            <w:r w:rsidRPr="00747E35">
              <w:rPr>
                <w:rFonts w:cstheme="minorHAnsi"/>
                <w:sz w:val="16"/>
              </w:rPr>
              <w:t>29.7</w:t>
            </w:r>
          </w:p>
        </w:tc>
        <w:tc>
          <w:tcPr>
            <w:tcW w:w="992" w:type="dxa"/>
          </w:tcPr>
          <w:p w14:paraId="66412762"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6C90CB84"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09DC7CE5"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553A4227" w14:textId="77777777" w:rsidTr="0044478E">
        <w:trPr>
          <w:trHeight w:val="20"/>
        </w:trPr>
        <w:tc>
          <w:tcPr>
            <w:tcW w:w="964" w:type="dxa"/>
            <w:shd w:val="clear" w:color="auto" w:fill="auto"/>
            <w:noWrap/>
            <w:hideMark/>
          </w:tcPr>
          <w:p w14:paraId="7EF247FF"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2FC10763"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1B451D49"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45813576"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08ECD5B3"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00CEE1BD" w14:textId="77777777" w:rsidR="0044478E" w:rsidRPr="00747E35" w:rsidRDefault="0044478E" w:rsidP="0044478E">
            <w:pPr>
              <w:pStyle w:val="Tabletext"/>
              <w:spacing w:before="0" w:after="0"/>
              <w:rPr>
                <w:rFonts w:cstheme="minorHAnsi"/>
                <w:sz w:val="16"/>
              </w:rPr>
            </w:pPr>
            <w:r w:rsidRPr="00747E35">
              <w:rPr>
                <w:rFonts w:cstheme="minorHAnsi"/>
                <w:i/>
                <w:sz w:val="16"/>
              </w:rPr>
              <w:t>Jardinella</w:t>
            </w:r>
            <w:r w:rsidRPr="00747E35">
              <w:rPr>
                <w:rFonts w:cstheme="minorHAnsi"/>
                <w:sz w:val="16"/>
              </w:rPr>
              <w:t xml:space="preserve"> sp. AMS C.415845_1</w:t>
            </w:r>
          </w:p>
        </w:tc>
        <w:tc>
          <w:tcPr>
            <w:tcW w:w="1134" w:type="dxa"/>
            <w:shd w:val="clear" w:color="auto" w:fill="auto"/>
            <w:noWrap/>
            <w:hideMark/>
          </w:tcPr>
          <w:p w14:paraId="1BB6BB7F" w14:textId="77777777" w:rsidR="0044478E" w:rsidRPr="00747E35" w:rsidRDefault="0044478E" w:rsidP="0044478E">
            <w:pPr>
              <w:pStyle w:val="Tabletext"/>
              <w:spacing w:before="0" w:after="0"/>
              <w:rPr>
                <w:rFonts w:cstheme="minorHAnsi"/>
                <w:sz w:val="16"/>
              </w:rPr>
            </w:pPr>
            <w:r w:rsidRPr="00747E35">
              <w:rPr>
                <w:rFonts w:cstheme="minorHAnsi"/>
                <w:sz w:val="16"/>
              </w:rPr>
              <w:t>M_Jamyros1</w:t>
            </w:r>
          </w:p>
        </w:tc>
        <w:tc>
          <w:tcPr>
            <w:tcW w:w="567" w:type="dxa"/>
          </w:tcPr>
          <w:p w14:paraId="4C43B494"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5C737502" w14:textId="77777777" w:rsidR="0044478E" w:rsidRPr="00747E35" w:rsidRDefault="0044478E" w:rsidP="0044478E">
            <w:pPr>
              <w:pStyle w:val="Tabletext"/>
              <w:spacing w:before="0" w:after="0"/>
              <w:rPr>
                <w:rFonts w:cstheme="minorHAnsi"/>
                <w:sz w:val="16"/>
              </w:rPr>
            </w:pPr>
            <w:r w:rsidRPr="00747E35">
              <w:rPr>
                <w:rFonts w:cstheme="minorHAnsi"/>
                <w:sz w:val="16"/>
              </w:rPr>
              <w:t>29.7</w:t>
            </w:r>
          </w:p>
        </w:tc>
        <w:tc>
          <w:tcPr>
            <w:tcW w:w="992" w:type="dxa"/>
          </w:tcPr>
          <w:p w14:paraId="545CAAC9"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0210D1CA" w14:textId="77777777" w:rsidR="0044478E" w:rsidRPr="00747E35" w:rsidRDefault="0044478E" w:rsidP="0044478E">
            <w:pPr>
              <w:pStyle w:val="Tabletext"/>
              <w:spacing w:before="0" w:after="0"/>
              <w:rPr>
                <w:rFonts w:cstheme="minorHAnsi"/>
                <w:sz w:val="16"/>
              </w:rPr>
            </w:pPr>
            <w:r w:rsidRPr="00747E35">
              <w:rPr>
                <w:rFonts w:cstheme="minorHAnsi"/>
                <w:sz w:val="16"/>
              </w:rPr>
              <w:t>U</w:t>
            </w:r>
          </w:p>
        </w:tc>
        <w:tc>
          <w:tcPr>
            <w:tcW w:w="1542" w:type="dxa"/>
          </w:tcPr>
          <w:p w14:paraId="5A4CF405"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501584FB" w14:textId="77777777" w:rsidTr="0044478E">
        <w:trPr>
          <w:trHeight w:val="20"/>
        </w:trPr>
        <w:tc>
          <w:tcPr>
            <w:tcW w:w="964" w:type="dxa"/>
            <w:shd w:val="clear" w:color="auto" w:fill="auto"/>
            <w:noWrap/>
            <w:hideMark/>
          </w:tcPr>
          <w:p w14:paraId="3708B6F3"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645F4784"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3647787B"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6EE5E53E"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04985E35"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6462D345" w14:textId="77777777" w:rsidR="0044478E" w:rsidRPr="00747E35" w:rsidRDefault="0044478E" w:rsidP="0044478E">
            <w:pPr>
              <w:pStyle w:val="Tabletext"/>
              <w:spacing w:before="0" w:after="0"/>
              <w:rPr>
                <w:rFonts w:cstheme="minorHAnsi"/>
                <w:sz w:val="16"/>
              </w:rPr>
            </w:pPr>
            <w:r w:rsidRPr="00747E35">
              <w:rPr>
                <w:rFonts w:cstheme="minorHAnsi"/>
                <w:i/>
                <w:sz w:val="16"/>
              </w:rPr>
              <w:t>Jardinella</w:t>
            </w:r>
            <w:r w:rsidRPr="00747E35">
              <w:rPr>
                <w:rFonts w:cstheme="minorHAnsi"/>
                <w:sz w:val="16"/>
              </w:rPr>
              <w:t xml:space="preserve"> sp. AMS C.415845_2</w:t>
            </w:r>
          </w:p>
        </w:tc>
        <w:tc>
          <w:tcPr>
            <w:tcW w:w="1134" w:type="dxa"/>
            <w:shd w:val="clear" w:color="auto" w:fill="auto"/>
            <w:noWrap/>
            <w:hideMark/>
          </w:tcPr>
          <w:p w14:paraId="3E4FEADD" w14:textId="77777777" w:rsidR="0044478E" w:rsidRPr="00747E35" w:rsidRDefault="0044478E" w:rsidP="0044478E">
            <w:pPr>
              <w:pStyle w:val="Tabletext"/>
              <w:spacing w:before="0" w:after="0"/>
              <w:rPr>
                <w:rFonts w:cstheme="minorHAnsi"/>
                <w:sz w:val="16"/>
              </w:rPr>
            </w:pPr>
            <w:r w:rsidRPr="00747E35">
              <w:rPr>
                <w:rFonts w:cstheme="minorHAnsi"/>
                <w:sz w:val="16"/>
              </w:rPr>
              <w:t>M_Jamyros2</w:t>
            </w:r>
          </w:p>
        </w:tc>
        <w:tc>
          <w:tcPr>
            <w:tcW w:w="567" w:type="dxa"/>
          </w:tcPr>
          <w:p w14:paraId="1AF1F03C"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4E9A005E" w14:textId="77777777" w:rsidR="0044478E" w:rsidRPr="00747E35" w:rsidRDefault="0044478E" w:rsidP="0044478E">
            <w:pPr>
              <w:pStyle w:val="Tabletext"/>
              <w:spacing w:before="0" w:after="0"/>
              <w:rPr>
                <w:rFonts w:cstheme="minorHAnsi"/>
                <w:sz w:val="16"/>
              </w:rPr>
            </w:pPr>
            <w:r w:rsidRPr="00747E35">
              <w:rPr>
                <w:rFonts w:cstheme="minorHAnsi"/>
                <w:sz w:val="16"/>
              </w:rPr>
              <w:t>29.7</w:t>
            </w:r>
          </w:p>
        </w:tc>
        <w:tc>
          <w:tcPr>
            <w:tcW w:w="992" w:type="dxa"/>
          </w:tcPr>
          <w:p w14:paraId="050CF66F"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5D56C375" w14:textId="77777777" w:rsidR="0044478E" w:rsidRPr="00747E35" w:rsidRDefault="0044478E" w:rsidP="0044478E">
            <w:pPr>
              <w:pStyle w:val="Tabletext"/>
              <w:spacing w:before="0" w:after="0"/>
              <w:rPr>
                <w:rFonts w:cstheme="minorHAnsi"/>
                <w:sz w:val="16"/>
              </w:rPr>
            </w:pPr>
            <w:r w:rsidRPr="00747E35">
              <w:rPr>
                <w:rFonts w:cstheme="minorHAnsi"/>
                <w:sz w:val="16"/>
              </w:rPr>
              <w:t>U</w:t>
            </w:r>
          </w:p>
        </w:tc>
        <w:tc>
          <w:tcPr>
            <w:tcW w:w="1542" w:type="dxa"/>
          </w:tcPr>
          <w:p w14:paraId="6495561D"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76D16A39" w14:textId="77777777" w:rsidTr="0044478E">
        <w:trPr>
          <w:trHeight w:val="20"/>
        </w:trPr>
        <w:tc>
          <w:tcPr>
            <w:tcW w:w="964" w:type="dxa"/>
            <w:shd w:val="clear" w:color="auto" w:fill="auto"/>
            <w:noWrap/>
            <w:hideMark/>
          </w:tcPr>
          <w:p w14:paraId="649B60FB"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37E4682F"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507D953C"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7CD3078B"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46D55D27"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02636C2D" w14:textId="77777777" w:rsidR="0044478E" w:rsidRPr="00747E35" w:rsidRDefault="0044478E" w:rsidP="0044478E">
            <w:pPr>
              <w:pStyle w:val="Tabletext"/>
              <w:spacing w:before="0" w:after="0"/>
              <w:rPr>
                <w:rFonts w:cstheme="minorHAnsi"/>
                <w:i/>
                <w:sz w:val="16"/>
              </w:rPr>
            </w:pPr>
            <w:r w:rsidRPr="00747E35">
              <w:rPr>
                <w:rFonts w:cstheme="minorHAnsi"/>
                <w:i/>
                <w:sz w:val="16"/>
              </w:rPr>
              <w:t>Posticobia ponderi</w:t>
            </w:r>
          </w:p>
        </w:tc>
        <w:tc>
          <w:tcPr>
            <w:tcW w:w="1134" w:type="dxa"/>
            <w:shd w:val="clear" w:color="auto" w:fill="auto"/>
            <w:noWrap/>
            <w:hideMark/>
          </w:tcPr>
          <w:p w14:paraId="3B39A701" w14:textId="77777777" w:rsidR="0044478E" w:rsidRPr="00747E35" w:rsidRDefault="0044478E" w:rsidP="0044478E">
            <w:pPr>
              <w:pStyle w:val="Tabletext"/>
              <w:spacing w:before="0" w:after="0"/>
              <w:rPr>
                <w:rFonts w:cstheme="minorHAnsi"/>
                <w:sz w:val="16"/>
              </w:rPr>
            </w:pPr>
            <w:r w:rsidRPr="00747E35">
              <w:rPr>
                <w:rFonts w:cstheme="minorHAnsi"/>
                <w:sz w:val="16"/>
              </w:rPr>
              <w:t>M_Popond</w:t>
            </w:r>
          </w:p>
        </w:tc>
        <w:tc>
          <w:tcPr>
            <w:tcW w:w="567" w:type="dxa"/>
          </w:tcPr>
          <w:p w14:paraId="2DC8B519"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07D84180" w14:textId="77777777" w:rsidR="0044478E" w:rsidRPr="00747E35" w:rsidRDefault="0044478E" w:rsidP="0044478E">
            <w:pPr>
              <w:pStyle w:val="Tabletext"/>
              <w:spacing w:before="0" w:after="0"/>
              <w:rPr>
                <w:rFonts w:cstheme="minorHAnsi"/>
                <w:sz w:val="16"/>
              </w:rPr>
            </w:pPr>
            <w:r w:rsidRPr="00747E35">
              <w:rPr>
                <w:rFonts w:cstheme="minorHAnsi"/>
                <w:sz w:val="16"/>
              </w:rPr>
              <w:t>&lt;0.1</w:t>
            </w:r>
          </w:p>
        </w:tc>
        <w:tc>
          <w:tcPr>
            <w:tcW w:w="992" w:type="dxa"/>
          </w:tcPr>
          <w:p w14:paraId="0E556E92"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7E7F8AD0"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7DFD3B1B"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0158B96E" w14:textId="77777777" w:rsidTr="0044478E">
        <w:trPr>
          <w:trHeight w:val="20"/>
        </w:trPr>
        <w:tc>
          <w:tcPr>
            <w:tcW w:w="964" w:type="dxa"/>
            <w:shd w:val="clear" w:color="auto" w:fill="auto"/>
            <w:noWrap/>
            <w:hideMark/>
          </w:tcPr>
          <w:p w14:paraId="5AE510CE"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20C291AB"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635B1700"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388E3896"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431DA750"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63A87337" w14:textId="77777777" w:rsidR="0044478E" w:rsidRPr="00747E35" w:rsidRDefault="0044478E" w:rsidP="0044478E">
            <w:pPr>
              <w:pStyle w:val="Tabletext"/>
              <w:spacing w:before="0" w:after="0"/>
              <w:rPr>
                <w:rFonts w:cstheme="minorHAnsi"/>
                <w:i/>
                <w:sz w:val="16"/>
              </w:rPr>
            </w:pPr>
            <w:r w:rsidRPr="00747E35">
              <w:rPr>
                <w:rFonts w:cstheme="minorHAnsi"/>
                <w:i/>
                <w:sz w:val="16"/>
              </w:rPr>
              <w:t>Trochidrobia inflata</w:t>
            </w:r>
          </w:p>
        </w:tc>
        <w:tc>
          <w:tcPr>
            <w:tcW w:w="1134" w:type="dxa"/>
            <w:shd w:val="clear" w:color="auto" w:fill="auto"/>
            <w:noWrap/>
            <w:hideMark/>
          </w:tcPr>
          <w:p w14:paraId="5058E5F0" w14:textId="77777777" w:rsidR="0044478E" w:rsidRPr="00747E35" w:rsidRDefault="0044478E" w:rsidP="0044478E">
            <w:pPr>
              <w:pStyle w:val="Tabletext"/>
              <w:spacing w:before="0" w:after="0"/>
              <w:rPr>
                <w:rFonts w:cstheme="minorHAnsi"/>
                <w:sz w:val="16"/>
              </w:rPr>
            </w:pPr>
            <w:r w:rsidRPr="00747E35">
              <w:rPr>
                <w:rFonts w:cstheme="minorHAnsi"/>
                <w:sz w:val="16"/>
              </w:rPr>
              <w:t>M_Trinfa</w:t>
            </w:r>
          </w:p>
        </w:tc>
        <w:tc>
          <w:tcPr>
            <w:tcW w:w="567" w:type="dxa"/>
          </w:tcPr>
          <w:p w14:paraId="7D7A03AC" w14:textId="77777777" w:rsidR="0044478E" w:rsidRPr="00747E35" w:rsidRDefault="0044478E" w:rsidP="0044478E">
            <w:pPr>
              <w:pStyle w:val="Tabletext"/>
              <w:spacing w:before="0" w:after="0"/>
              <w:rPr>
                <w:rFonts w:cstheme="minorHAnsi"/>
                <w:sz w:val="16"/>
              </w:rPr>
            </w:pPr>
            <w:r w:rsidRPr="00747E35">
              <w:rPr>
                <w:rFonts w:cstheme="minorHAnsi"/>
                <w:sz w:val="16"/>
              </w:rPr>
              <w:t>2</w:t>
            </w:r>
          </w:p>
        </w:tc>
        <w:tc>
          <w:tcPr>
            <w:tcW w:w="709" w:type="dxa"/>
          </w:tcPr>
          <w:p w14:paraId="4CEBD55F" w14:textId="77777777" w:rsidR="0044478E" w:rsidRPr="00747E35" w:rsidRDefault="0044478E" w:rsidP="0044478E">
            <w:pPr>
              <w:pStyle w:val="Tabletext"/>
              <w:spacing w:before="0" w:after="0"/>
              <w:rPr>
                <w:rFonts w:cstheme="minorHAnsi"/>
                <w:sz w:val="16"/>
              </w:rPr>
            </w:pPr>
            <w:r w:rsidRPr="00747E35">
              <w:rPr>
                <w:rFonts w:cstheme="minorHAnsi"/>
                <w:sz w:val="16"/>
              </w:rPr>
              <w:t>0.4</w:t>
            </w:r>
          </w:p>
        </w:tc>
        <w:tc>
          <w:tcPr>
            <w:tcW w:w="992" w:type="dxa"/>
          </w:tcPr>
          <w:p w14:paraId="0E6568F8"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6378A232"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25F34988" w14:textId="77777777" w:rsidR="0044478E" w:rsidRPr="00747E35" w:rsidRDefault="0044478E" w:rsidP="0044478E">
            <w:pPr>
              <w:pStyle w:val="Tabletext"/>
              <w:spacing w:before="0" w:after="0"/>
              <w:rPr>
                <w:rFonts w:cstheme="minorHAnsi"/>
                <w:sz w:val="16"/>
              </w:rPr>
            </w:pPr>
            <w:r w:rsidRPr="00747E35">
              <w:rPr>
                <w:rFonts w:cstheme="minorHAnsi"/>
                <w:sz w:val="16"/>
              </w:rPr>
              <w:t>Narrow supergroup</w:t>
            </w:r>
          </w:p>
        </w:tc>
      </w:tr>
      <w:tr w:rsidR="0044478E" w:rsidRPr="00747E35" w14:paraId="64CD17D9" w14:textId="77777777" w:rsidTr="0044478E">
        <w:trPr>
          <w:trHeight w:val="20"/>
        </w:trPr>
        <w:tc>
          <w:tcPr>
            <w:tcW w:w="964" w:type="dxa"/>
            <w:shd w:val="clear" w:color="auto" w:fill="auto"/>
            <w:noWrap/>
            <w:hideMark/>
          </w:tcPr>
          <w:p w14:paraId="43CE6E54"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616B5D4A"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6EE6BDD7"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250DD8C5"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1F41B431"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36AA7F3D" w14:textId="77777777" w:rsidR="0044478E" w:rsidRPr="00747E35" w:rsidRDefault="0044478E" w:rsidP="0044478E">
            <w:pPr>
              <w:pStyle w:val="Tabletext"/>
              <w:spacing w:before="0" w:after="0"/>
              <w:rPr>
                <w:rFonts w:cstheme="minorHAnsi"/>
                <w:i/>
                <w:sz w:val="16"/>
              </w:rPr>
            </w:pPr>
            <w:r w:rsidRPr="00747E35">
              <w:rPr>
                <w:rFonts w:cstheme="minorHAnsi"/>
                <w:i/>
                <w:sz w:val="16"/>
              </w:rPr>
              <w:t>Trochidrobia minuta</w:t>
            </w:r>
          </w:p>
        </w:tc>
        <w:tc>
          <w:tcPr>
            <w:tcW w:w="1134" w:type="dxa"/>
            <w:shd w:val="clear" w:color="auto" w:fill="auto"/>
            <w:noWrap/>
            <w:hideMark/>
          </w:tcPr>
          <w:p w14:paraId="45E00CEB" w14:textId="77777777" w:rsidR="0044478E" w:rsidRPr="00747E35" w:rsidRDefault="0044478E" w:rsidP="0044478E">
            <w:pPr>
              <w:pStyle w:val="Tabletext"/>
              <w:spacing w:before="0" w:after="0"/>
              <w:rPr>
                <w:rFonts w:cstheme="minorHAnsi"/>
                <w:sz w:val="16"/>
              </w:rPr>
            </w:pPr>
            <w:r w:rsidRPr="00747E35">
              <w:rPr>
                <w:rFonts w:cstheme="minorHAnsi"/>
                <w:sz w:val="16"/>
              </w:rPr>
              <w:t>M_Trminu</w:t>
            </w:r>
          </w:p>
        </w:tc>
        <w:tc>
          <w:tcPr>
            <w:tcW w:w="567" w:type="dxa"/>
          </w:tcPr>
          <w:p w14:paraId="3F5C7155" w14:textId="77777777" w:rsidR="0044478E" w:rsidRPr="00747E35" w:rsidRDefault="0044478E" w:rsidP="0044478E">
            <w:pPr>
              <w:pStyle w:val="Tabletext"/>
              <w:spacing w:before="0" w:after="0"/>
              <w:rPr>
                <w:rFonts w:cstheme="minorHAnsi"/>
                <w:sz w:val="16"/>
              </w:rPr>
            </w:pPr>
            <w:r w:rsidRPr="00747E35">
              <w:rPr>
                <w:rFonts w:cstheme="minorHAnsi"/>
                <w:sz w:val="16"/>
              </w:rPr>
              <w:t>7</w:t>
            </w:r>
          </w:p>
        </w:tc>
        <w:tc>
          <w:tcPr>
            <w:tcW w:w="709" w:type="dxa"/>
          </w:tcPr>
          <w:p w14:paraId="58749B2D" w14:textId="77777777" w:rsidR="0044478E" w:rsidRPr="00747E35" w:rsidRDefault="0044478E" w:rsidP="0044478E">
            <w:pPr>
              <w:pStyle w:val="Tabletext"/>
              <w:spacing w:before="0" w:after="0"/>
              <w:rPr>
                <w:rFonts w:cstheme="minorHAnsi"/>
                <w:sz w:val="16"/>
              </w:rPr>
            </w:pPr>
            <w:r w:rsidRPr="00747E35">
              <w:rPr>
                <w:rFonts w:cstheme="minorHAnsi"/>
                <w:sz w:val="16"/>
              </w:rPr>
              <w:t>1.9</w:t>
            </w:r>
          </w:p>
        </w:tc>
        <w:tc>
          <w:tcPr>
            <w:tcW w:w="992" w:type="dxa"/>
          </w:tcPr>
          <w:p w14:paraId="0C71EA43"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0934C8D0"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Borders>
              <w:bottom w:val="single" w:sz="4" w:space="0" w:color="auto"/>
            </w:tcBorders>
          </w:tcPr>
          <w:p w14:paraId="49087714" w14:textId="77777777" w:rsidR="0044478E" w:rsidRPr="00747E35" w:rsidRDefault="0044478E" w:rsidP="0044478E">
            <w:pPr>
              <w:pStyle w:val="Tabletext"/>
              <w:spacing w:before="0" w:after="0"/>
              <w:rPr>
                <w:rFonts w:cstheme="minorHAnsi"/>
                <w:sz w:val="16"/>
              </w:rPr>
            </w:pPr>
            <w:r w:rsidRPr="00747E35">
              <w:rPr>
                <w:rFonts w:cstheme="minorHAnsi"/>
                <w:sz w:val="16"/>
              </w:rPr>
              <w:t>Broad supergroup</w:t>
            </w:r>
          </w:p>
        </w:tc>
      </w:tr>
      <w:tr w:rsidR="0044478E" w:rsidRPr="00747E35" w14:paraId="70D8C853" w14:textId="77777777" w:rsidTr="0044478E">
        <w:trPr>
          <w:trHeight w:val="20"/>
        </w:trPr>
        <w:tc>
          <w:tcPr>
            <w:tcW w:w="964" w:type="dxa"/>
            <w:shd w:val="clear" w:color="auto" w:fill="auto"/>
            <w:noWrap/>
            <w:hideMark/>
          </w:tcPr>
          <w:p w14:paraId="2B18DB04"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7396F39A"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010C6245"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5322A657"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73543710"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00D155DB" w14:textId="77777777" w:rsidR="0044478E" w:rsidRPr="00747E35" w:rsidRDefault="0044478E" w:rsidP="0044478E">
            <w:pPr>
              <w:pStyle w:val="Tabletext"/>
              <w:spacing w:before="0" w:after="0"/>
              <w:rPr>
                <w:rFonts w:cstheme="minorHAnsi"/>
                <w:sz w:val="16"/>
              </w:rPr>
            </w:pPr>
            <w:r w:rsidRPr="00747E35">
              <w:rPr>
                <w:rFonts w:cstheme="minorHAnsi"/>
                <w:i/>
                <w:sz w:val="16"/>
              </w:rPr>
              <w:t>Trochidrobia punicea</w:t>
            </w:r>
            <w:r w:rsidRPr="00747E35">
              <w:rPr>
                <w:rFonts w:cstheme="minorHAnsi"/>
                <w:sz w:val="16"/>
              </w:rPr>
              <w:t xml:space="preserve"> Clade A</w:t>
            </w:r>
          </w:p>
        </w:tc>
        <w:tc>
          <w:tcPr>
            <w:tcW w:w="1134" w:type="dxa"/>
            <w:shd w:val="clear" w:color="auto" w:fill="auto"/>
            <w:noWrap/>
            <w:hideMark/>
          </w:tcPr>
          <w:p w14:paraId="79D75B8B" w14:textId="77777777" w:rsidR="0044478E" w:rsidRPr="00747E35" w:rsidRDefault="0044478E" w:rsidP="0044478E">
            <w:pPr>
              <w:pStyle w:val="Tabletext"/>
              <w:spacing w:before="0" w:after="0"/>
              <w:rPr>
                <w:rFonts w:cstheme="minorHAnsi"/>
                <w:sz w:val="16"/>
              </w:rPr>
            </w:pPr>
            <w:r w:rsidRPr="00747E35">
              <w:rPr>
                <w:rFonts w:cstheme="minorHAnsi"/>
                <w:sz w:val="16"/>
              </w:rPr>
              <w:t>M_TrpunA</w:t>
            </w:r>
          </w:p>
        </w:tc>
        <w:tc>
          <w:tcPr>
            <w:tcW w:w="567" w:type="dxa"/>
          </w:tcPr>
          <w:p w14:paraId="55DFCB0C" w14:textId="77777777" w:rsidR="0044478E" w:rsidRPr="00747E35" w:rsidRDefault="0044478E" w:rsidP="0044478E">
            <w:pPr>
              <w:pStyle w:val="Tabletext"/>
              <w:spacing w:before="0" w:after="0"/>
              <w:rPr>
                <w:rFonts w:cstheme="minorHAnsi"/>
                <w:sz w:val="16"/>
              </w:rPr>
            </w:pPr>
            <w:r w:rsidRPr="00747E35">
              <w:rPr>
                <w:rFonts w:cstheme="minorHAnsi"/>
                <w:sz w:val="16"/>
              </w:rPr>
              <w:t>10</w:t>
            </w:r>
          </w:p>
        </w:tc>
        <w:tc>
          <w:tcPr>
            <w:tcW w:w="709" w:type="dxa"/>
          </w:tcPr>
          <w:p w14:paraId="057D71CA" w14:textId="77777777" w:rsidR="0044478E" w:rsidRPr="00747E35" w:rsidRDefault="0044478E" w:rsidP="0044478E">
            <w:pPr>
              <w:pStyle w:val="Tabletext"/>
              <w:spacing w:before="0" w:after="0"/>
              <w:rPr>
                <w:rFonts w:cstheme="minorHAnsi"/>
                <w:sz w:val="16"/>
              </w:rPr>
            </w:pPr>
            <w:r w:rsidRPr="00747E35">
              <w:rPr>
                <w:rFonts w:cstheme="minorHAnsi"/>
                <w:sz w:val="16"/>
              </w:rPr>
              <w:t>8.7</w:t>
            </w:r>
          </w:p>
        </w:tc>
        <w:tc>
          <w:tcPr>
            <w:tcW w:w="992" w:type="dxa"/>
          </w:tcPr>
          <w:p w14:paraId="38831179"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Borders>
              <w:right w:val="single" w:sz="4" w:space="0" w:color="auto"/>
            </w:tcBorders>
          </w:tcPr>
          <w:p w14:paraId="1742268D"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val="restart"/>
            <w:tcBorders>
              <w:top w:val="single" w:sz="4" w:space="0" w:color="auto"/>
              <w:left w:val="single" w:sz="4" w:space="0" w:color="auto"/>
              <w:bottom w:val="single" w:sz="4" w:space="0" w:color="auto"/>
            </w:tcBorders>
            <w:vAlign w:val="center"/>
          </w:tcPr>
          <w:p w14:paraId="5FCDAFA9" w14:textId="77777777" w:rsidR="0044478E" w:rsidRPr="00747E35" w:rsidRDefault="0044478E" w:rsidP="0044478E">
            <w:pPr>
              <w:pStyle w:val="Tabletext"/>
              <w:spacing w:before="0" w:after="0"/>
              <w:rPr>
                <w:rFonts w:cstheme="minorHAnsi"/>
                <w:sz w:val="16"/>
              </w:rPr>
            </w:pPr>
            <w:r w:rsidRPr="00747E35">
              <w:rPr>
                <w:rFonts w:cstheme="minorHAnsi"/>
                <w:sz w:val="16"/>
              </w:rPr>
              <w:t>Broad supergroup</w:t>
            </w:r>
          </w:p>
        </w:tc>
      </w:tr>
      <w:tr w:rsidR="0044478E" w:rsidRPr="00747E35" w14:paraId="0001B398" w14:textId="77777777" w:rsidTr="0044478E">
        <w:trPr>
          <w:trHeight w:val="20"/>
        </w:trPr>
        <w:tc>
          <w:tcPr>
            <w:tcW w:w="964" w:type="dxa"/>
            <w:shd w:val="clear" w:color="auto" w:fill="auto"/>
            <w:noWrap/>
            <w:hideMark/>
          </w:tcPr>
          <w:p w14:paraId="478A0180"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14687454"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0643726A"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64891350"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79B6D6D9"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765D4D85" w14:textId="77777777" w:rsidR="0044478E" w:rsidRPr="00747E35" w:rsidRDefault="0044478E" w:rsidP="0044478E">
            <w:pPr>
              <w:pStyle w:val="Tabletext"/>
              <w:spacing w:before="0" w:after="0"/>
              <w:rPr>
                <w:rFonts w:cstheme="minorHAnsi"/>
                <w:sz w:val="16"/>
              </w:rPr>
            </w:pPr>
            <w:r w:rsidRPr="00747E35">
              <w:rPr>
                <w:rFonts w:cstheme="minorHAnsi"/>
                <w:i/>
                <w:sz w:val="16"/>
              </w:rPr>
              <w:t>Trochidrobia punicea</w:t>
            </w:r>
            <w:r w:rsidRPr="00747E35">
              <w:rPr>
                <w:rFonts w:cstheme="minorHAnsi"/>
                <w:sz w:val="16"/>
              </w:rPr>
              <w:t xml:space="preserve"> Clade B</w:t>
            </w:r>
          </w:p>
        </w:tc>
        <w:tc>
          <w:tcPr>
            <w:tcW w:w="1134" w:type="dxa"/>
            <w:shd w:val="clear" w:color="auto" w:fill="auto"/>
            <w:noWrap/>
            <w:hideMark/>
          </w:tcPr>
          <w:p w14:paraId="7473EFE8" w14:textId="77777777" w:rsidR="0044478E" w:rsidRPr="00747E35" w:rsidRDefault="0044478E" w:rsidP="0044478E">
            <w:pPr>
              <w:pStyle w:val="Tabletext"/>
              <w:spacing w:before="0" w:after="0"/>
              <w:rPr>
                <w:rFonts w:cstheme="minorHAnsi"/>
                <w:sz w:val="16"/>
              </w:rPr>
            </w:pPr>
            <w:r w:rsidRPr="00747E35">
              <w:rPr>
                <w:rFonts w:cstheme="minorHAnsi"/>
                <w:sz w:val="16"/>
              </w:rPr>
              <w:t>M_TrpunB</w:t>
            </w:r>
          </w:p>
        </w:tc>
        <w:tc>
          <w:tcPr>
            <w:tcW w:w="567" w:type="dxa"/>
          </w:tcPr>
          <w:p w14:paraId="1EC79C95" w14:textId="77777777" w:rsidR="0044478E" w:rsidRPr="00747E35" w:rsidRDefault="0044478E" w:rsidP="0044478E">
            <w:pPr>
              <w:pStyle w:val="Tabletext"/>
              <w:spacing w:before="0" w:after="0"/>
              <w:rPr>
                <w:rFonts w:cstheme="minorHAnsi"/>
                <w:sz w:val="16"/>
              </w:rPr>
            </w:pPr>
            <w:r w:rsidRPr="00747E35">
              <w:rPr>
                <w:rFonts w:cstheme="minorHAnsi"/>
                <w:sz w:val="16"/>
              </w:rPr>
              <w:t>9</w:t>
            </w:r>
          </w:p>
        </w:tc>
        <w:tc>
          <w:tcPr>
            <w:tcW w:w="709" w:type="dxa"/>
          </w:tcPr>
          <w:p w14:paraId="6ACEB8FF" w14:textId="77777777" w:rsidR="0044478E" w:rsidRPr="00747E35" w:rsidRDefault="0044478E" w:rsidP="0044478E">
            <w:pPr>
              <w:pStyle w:val="Tabletext"/>
              <w:spacing w:before="0" w:after="0"/>
              <w:rPr>
                <w:rFonts w:cstheme="minorHAnsi"/>
                <w:sz w:val="16"/>
              </w:rPr>
            </w:pPr>
            <w:r w:rsidRPr="00747E35">
              <w:rPr>
                <w:rFonts w:cstheme="minorHAnsi"/>
                <w:sz w:val="16"/>
              </w:rPr>
              <w:t>4.4</w:t>
            </w:r>
          </w:p>
        </w:tc>
        <w:tc>
          <w:tcPr>
            <w:tcW w:w="992" w:type="dxa"/>
          </w:tcPr>
          <w:p w14:paraId="179C09AC"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582BC8D9"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top w:val="single" w:sz="4" w:space="0" w:color="auto"/>
              <w:left w:val="single" w:sz="4" w:space="0" w:color="auto"/>
              <w:bottom w:val="single" w:sz="4" w:space="0" w:color="auto"/>
            </w:tcBorders>
          </w:tcPr>
          <w:p w14:paraId="22C523F8" w14:textId="77777777" w:rsidR="0044478E" w:rsidRPr="00747E35" w:rsidRDefault="0044478E" w:rsidP="0044478E">
            <w:pPr>
              <w:pStyle w:val="Tabletext"/>
              <w:spacing w:before="0" w:after="0"/>
              <w:rPr>
                <w:rFonts w:cstheme="minorHAnsi"/>
                <w:sz w:val="16"/>
              </w:rPr>
            </w:pPr>
          </w:p>
        </w:tc>
      </w:tr>
      <w:tr w:rsidR="0044478E" w:rsidRPr="00747E35" w14:paraId="724A3C4C" w14:textId="77777777" w:rsidTr="0044478E">
        <w:trPr>
          <w:trHeight w:val="20"/>
        </w:trPr>
        <w:tc>
          <w:tcPr>
            <w:tcW w:w="964" w:type="dxa"/>
            <w:shd w:val="clear" w:color="auto" w:fill="auto"/>
            <w:noWrap/>
            <w:hideMark/>
          </w:tcPr>
          <w:p w14:paraId="5C53812B"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0A8F3C3F"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3406F443"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09D56ABC"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5B6C7135"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6A3FDFF5" w14:textId="77777777" w:rsidR="0044478E" w:rsidRPr="00747E35" w:rsidRDefault="0044478E" w:rsidP="0044478E">
            <w:pPr>
              <w:pStyle w:val="Tabletext"/>
              <w:spacing w:before="0" w:after="0"/>
              <w:rPr>
                <w:rFonts w:cstheme="minorHAnsi"/>
                <w:sz w:val="16"/>
              </w:rPr>
            </w:pPr>
            <w:r w:rsidRPr="00747E35">
              <w:rPr>
                <w:rFonts w:cstheme="minorHAnsi"/>
                <w:i/>
                <w:sz w:val="16"/>
              </w:rPr>
              <w:t>Trochidrobia smithii</w:t>
            </w:r>
            <w:r w:rsidRPr="00747E35">
              <w:rPr>
                <w:rFonts w:cstheme="minorHAnsi"/>
                <w:sz w:val="16"/>
              </w:rPr>
              <w:t xml:space="preserve"> Clade A</w:t>
            </w:r>
          </w:p>
        </w:tc>
        <w:tc>
          <w:tcPr>
            <w:tcW w:w="1134" w:type="dxa"/>
            <w:shd w:val="clear" w:color="auto" w:fill="auto"/>
            <w:noWrap/>
            <w:hideMark/>
          </w:tcPr>
          <w:p w14:paraId="2F7FB4D0" w14:textId="77777777" w:rsidR="0044478E" w:rsidRPr="00747E35" w:rsidRDefault="0044478E" w:rsidP="0044478E">
            <w:pPr>
              <w:pStyle w:val="Tabletext"/>
              <w:spacing w:before="0" w:after="0"/>
              <w:rPr>
                <w:rFonts w:cstheme="minorHAnsi"/>
                <w:sz w:val="16"/>
              </w:rPr>
            </w:pPr>
            <w:r w:rsidRPr="00747E35">
              <w:rPr>
                <w:rFonts w:cstheme="minorHAnsi"/>
                <w:sz w:val="16"/>
              </w:rPr>
              <w:t>M_TrsmitA</w:t>
            </w:r>
          </w:p>
        </w:tc>
        <w:tc>
          <w:tcPr>
            <w:tcW w:w="567" w:type="dxa"/>
          </w:tcPr>
          <w:p w14:paraId="51485E3D" w14:textId="77777777" w:rsidR="0044478E" w:rsidRPr="00747E35" w:rsidRDefault="0044478E" w:rsidP="0044478E">
            <w:pPr>
              <w:pStyle w:val="Tabletext"/>
              <w:spacing w:before="0" w:after="0"/>
              <w:rPr>
                <w:rFonts w:cstheme="minorHAnsi"/>
                <w:sz w:val="16"/>
              </w:rPr>
            </w:pPr>
            <w:r w:rsidRPr="00747E35">
              <w:rPr>
                <w:rFonts w:cstheme="minorHAnsi"/>
                <w:sz w:val="16"/>
              </w:rPr>
              <w:t>6</w:t>
            </w:r>
          </w:p>
        </w:tc>
        <w:tc>
          <w:tcPr>
            <w:tcW w:w="709" w:type="dxa"/>
          </w:tcPr>
          <w:p w14:paraId="6054195C" w14:textId="77777777" w:rsidR="0044478E" w:rsidRPr="00747E35" w:rsidRDefault="0044478E" w:rsidP="0044478E">
            <w:pPr>
              <w:pStyle w:val="Tabletext"/>
              <w:spacing w:before="0" w:after="0"/>
              <w:rPr>
                <w:rFonts w:cstheme="minorHAnsi"/>
                <w:sz w:val="16"/>
              </w:rPr>
            </w:pPr>
            <w:r w:rsidRPr="00747E35">
              <w:rPr>
                <w:rFonts w:cstheme="minorHAnsi"/>
                <w:sz w:val="16"/>
              </w:rPr>
              <w:t>12.7</w:t>
            </w:r>
          </w:p>
        </w:tc>
        <w:tc>
          <w:tcPr>
            <w:tcW w:w="992" w:type="dxa"/>
          </w:tcPr>
          <w:p w14:paraId="155DB80A"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476A1466"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val="restart"/>
            <w:tcBorders>
              <w:top w:val="single" w:sz="4" w:space="0" w:color="auto"/>
              <w:left w:val="single" w:sz="4" w:space="0" w:color="auto"/>
              <w:bottom w:val="single" w:sz="4" w:space="0" w:color="auto"/>
            </w:tcBorders>
            <w:vAlign w:val="center"/>
          </w:tcPr>
          <w:p w14:paraId="4B9D72CF" w14:textId="77777777" w:rsidR="0044478E" w:rsidRPr="00747E35" w:rsidRDefault="0044478E" w:rsidP="0044478E">
            <w:pPr>
              <w:pStyle w:val="Tabletext"/>
              <w:spacing w:before="0" w:after="0"/>
              <w:rPr>
                <w:rFonts w:cstheme="minorHAnsi"/>
                <w:sz w:val="16"/>
              </w:rPr>
            </w:pPr>
            <w:r w:rsidRPr="00747E35">
              <w:rPr>
                <w:rFonts w:cstheme="minorHAnsi"/>
                <w:sz w:val="16"/>
              </w:rPr>
              <w:t>Broad supergroup</w:t>
            </w:r>
          </w:p>
        </w:tc>
      </w:tr>
      <w:tr w:rsidR="0044478E" w:rsidRPr="00747E35" w14:paraId="09BF9D66" w14:textId="77777777" w:rsidTr="0044478E">
        <w:trPr>
          <w:trHeight w:val="20"/>
        </w:trPr>
        <w:tc>
          <w:tcPr>
            <w:tcW w:w="964" w:type="dxa"/>
            <w:shd w:val="clear" w:color="auto" w:fill="auto"/>
            <w:noWrap/>
            <w:hideMark/>
          </w:tcPr>
          <w:p w14:paraId="24F82C4B"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5FC7F650"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15413654"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01CDF123"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54A87D2B"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5ED6AFF7" w14:textId="77777777" w:rsidR="0044478E" w:rsidRPr="00747E35" w:rsidRDefault="0044478E" w:rsidP="0044478E">
            <w:pPr>
              <w:pStyle w:val="Tabletext"/>
              <w:spacing w:before="0" w:after="0"/>
              <w:rPr>
                <w:rFonts w:cstheme="minorHAnsi"/>
                <w:sz w:val="16"/>
              </w:rPr>
            </w:pPr>
            <w:r w:rsidRPr="00747E35">
              <w:rPr>
                <w:rFonts w:cstheme="minorHAnsi"/>
                <w:i/>
                <w:sz w:val="16"/>
              </w:rPr>
              <w:t>Trochidrobia smithii</w:t>
            </w:r>
            <w:r w:rsidRPr="00747E35">
              <w:rPr>
                <w:rFonts w:cstheme="minorHAnsi"/>
                <w:sz w:val="16"/>
              </w:rPr>
              <w:t xml:space="preserve"> Clade B</w:t>
            </w:r>
          </w:p>
        </w:tc>
        <w:tc>
          <w:tcPr>
            <w:tcW w:w="1134" w:type="dxa"/>
            <w:shd w:val="clear" w:color="auto" w:fill="auto"/>
            <w:noWrap/>
            <w:hideMark/>
          </w:tcPr>
          <w:p w14:paraId="6D29834D" w14:textId="77777777" w:rsidR="0044478E" w:rsidRPr="00747E35" w:rsidRDefault="0044478E" w:rsidP="0044478E">
            <w:pPr>
              <w:pStyle w:val="Tabletext"/>
              <w:spacing w:before="0" w:after="0"/>
              <w:rPr>
                <w:rFonts w:cstheme="minorHAnsi"/>
                <w:sz w:val="16"/>
              </w:rPr>
            </w:pPr>
            <w:r w:rsidRPr="00747E35">
              <w:rPr>
                <w:rFonts w:cstheme="minorHAnsi"/>
                <w:sz w:val="16"/>
              </w:rPr>
              <w:t>M_TrsmitB</w:t>
            </w:r>
          </w:p>
        </w:tc>
        <w:tc>
          <w:tcPr>
            <w:tcW w:w="567" w:type="dxa"/>
          </w:tcPr>
          <w:p w14:paraId="6C9F0261" w14:textId="77777777" w:rsidR="0044478E" w:rsidRPr="00747E35" w:rsidRDefault="0044478E" w:rsidP="0044478E">
            <w:pPr>
              <w:pStyle w:val="Tabletext"/>
              <w:spacing w:before="0" w:after="0"/>
              <w:rPr>
                <w:rFonts w:cstheme="minorHAnsi"/>
                <w:sz w:val="16"/>
              </w:rPr>
            </w:pPr>
            <w:r w:rsidRPr="00747E35">
              <w:rPr>
                <w:rFonts w:cstheme="minorHAnsi"/>
                <w:sz w:val="16"/>
              </w:rPr>
              <w:t>7</w:t>
            </w:r>
          </w:p>
        </w:tc>
        <w:tc>
          <w:tcPr>
            <w:tcW w:w="709" w:type="dxa"/>
          </w:tcPr>
          <w:p w14:paraId="2B2B222D" w14:textId="77777777" w:rsidR="0044478E" w:rsidRPr="00747E35" w:rsidRDefault="0044478E" w:rsidP="0044478E">
            <w:pPr>
              <w:pStyle w:val="Tabletext"/>
              <w:spacing w:before="0" w:after="0"/>
              <w:rPr>
                <w:rFonts w:cstheme="minorHAnsi"/>
                <w:sz w:val="16"/>
              </w:rPr>
            </w:pPr>
            <w:r w:rsidRPr="00747E35">
              <w:rPr>
                <w:rFonts w:cstheme="minorHAnsi"/>
                <w:sz w:val="16"/>
              </w:rPr>
              <w:t>83.6</w:t>
            </w:r>
          </w:p>
        </w:tc>
        <w:tc>
          <w:tcPr>
            <w:tcW w:w="992" w:type="dxa"/>
          </w:tcPr>
          <w:p w14:paraId="30CAD138"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6FC92603"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top w:val="single" w:sz="4" w:space="0" w:color="auto"/>
              <w:left w:val="single" w:sz="4" w:space="0" w:color="auto"/>
              <w:bottom w:val="single" w:sz="4" w:space="0" w:color="auto"/>
            </w:tcBorders>
          </w:tcPr>
          <w:p w14:paraId="12C424AC" w14:textId="77777777" w:rsidR="0044478E" w:rsidRPr="00747E35" w:rsidRDefault="0044478E" w:rsidP="0044478E">
            <w:pPr>
              <w:pStyle w:val="Tabletext"/>
              <w:spacing w:before="0" w:after="0"/>
              <w:rPr>
                <w:rFonts w:cstheme="minorHAnsi"/>
                <w:sz w:val="16"/>
              </w:rPr>
            </w:pPr>
          </w:p>
        </w:tc>
      </w:tr>
      <w:tr w:rsidR="0044478E" w:rsidRPr="00747E35" w14:paraId="59C36B9B" w14:textId="77777777" w:rsidTr="0044478E">
        <w:trPr>
          <w:trHeight w:val="20"/>
        </w:trPr>
        <w:tc>
          <w:tcPr>
            <w:tcW w:w="964" w:type="dxa"/>
            <w:shd w:val="clear" w:color="auto" w:fill="auto"/>
            <w:noWrap/>
            <w:hideMark/>
          </w:tcPr>
          <w:p w14:paraId="17060D67"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5E3CD67F" w14:textId="77777777" w:rsidR="0044478E" w:rsidRPr="00747E35" w:rsidRDefault="0044478E" w:rsidP="0044478E">
            <w:pPr>
              <w:pStyle w:val="Tabletext"/>
              <w:spacing w:before="0" w:after="0"/>
              <w:rPr>
                <w:rFonts w:cstheme="minorHAnsi"/>
                <w:sz w:val="16"/>
              </w:rPr>
            </w:pPr>
            <w:r w:rsidRPr="00747E35">
              <w:rPr>
                <w:rFonts w:cstheme="minorHAnsi"/>
                <w:sz w:val="16"/>
              </w:rPr>
              <w:t>Mollusca</w:t>
            </w:r>
          </w:p>
        </w:tc>
        <w:tc>
          <w:tcPr>
            <w:tcW w:w="1295" w:type="dxa"/>
            <w:shd w:val="clear" w:color="auto" w:fill="auto"/>
            <w:noWrap/>
            <w:hideMark/>
          </w:tcPr>
          <w:p w14:paraId="5EFDBB2C" w14:textId="77777777" w:rsidR="0044478E" w:rsidRPr="00747E35" w:rsidRDefault="0044478E" w:rsidP="0044478E">
            <w:pPr>
              <w:pStyle w:val="Tabletext"/>
              <w:spacing w:before="0" w:after="0"/>
              <w:rPr>
                <w:rFonts w:cstheme="minorHAnsi"/>
                <w:sz w:val="16"/>
              </w:rPr>
            </w:pPr>
            <w:r w:rsidRPr="00747E35">
              <w:rPr>
                <w:rFonts w:cstheme="minorHAnsi"/>
                <w:sz w:val="16"/>
              </w:rPr>
              <w:t>Gastropoda</w:t>
            </w:r>
          </w:p>
        </w:tc>
        <w:tc>
          <w:tcPr>
            <w:tcW w:w="1295" w:type="dxa"/>
            <w:shd w:val="clear" w:color="auto" w:fill="auto"/>
            <w:noWrap/>
            <w:hideMark/>
          </w:tcPr>
          <w:p w14:paraId="47027C8C" w14:textId="77777777" w:rsidR="0044478E" w:rsidRPr="00747E35" w:rsidRDefault="0044478E" w:rsidP="0044478E">
            <w:pPr>
              <w:pStyle w:val="Tabletext"/>
              <w:spacing w:before="0" w:after="0"/>
              <w:rPr>
                <w:rFonts w:cstheme="minorHAnsi"/>
                <w:sz w:val="16"/>
              </w:rPr>
            </w:pPr>
            <w:r w:rsidRPr="00747E35">
              <w:rPr>
                <w:rFonts w:cstheme="minorHAnsi"/>
                <w:sz w:val="16"/>
              </w:rPr>
              <w:t>Littorinimorpha</w:t>
            </w:r>
          </w:p>
        </w:tc>
        <w:tc>
          <w:tcPr>
            <w:tcW w:w="1346" w:type="dxa"/>
            <w:shd w:val="clear" w:color="auto" w:fill="auto"/>
            <w:noWrap/>
            <w:hideMark/>
          </w:tcPr>
          <w:p w14:paraId="4570E079" w14:textId="77777777" w:rsidR="0044478E" w:rsidRPr="00747E35" w:rsidRDefault="0044478E" w:rsidP="0044478E">
            <w:pPr>
              <w:pStyle w:val="Tabletext"/>
              <w:spacing w:before="0" w:after="0"/>
              <w:rPr>
                <w:rFonts w:cstheme="minorHAnsi"/>
                <w:sz w:val="16"/>
              </w:rPr>
            </w:pPr>
            <w:r w:rsidRPr="00747E35">
              <w:rPr>
                <w:rFonts w:cstheme="minorHAnsi"/>
                <w:sz w:val="16"/>
              </w:rPr>
              <w:t>Tatediae</w:t>
            </w:r>
          </w:p>
        </w:tc>
        <w:tc>
          <w:tcPr>
            <w:tcW w:w="2976" w:type="dxa"/>
            <w:shd w:val="clear" w:color="auto" w:fill="auto"/>
            <w:noWrap/>
            <w:hideMark/>
          </w:tcPr>
          <w:p w14:paraId="16606517" w14:textId="77777777" w:rsidR="0044478E" w:rsidRPr="00747E35" w:rsidRDefault="0044478E" w:rsidP="0044478E">
            <w:pPr>
              <w:pStyle w:val="Tabletext"/>
              <w:spacing w:before="0" w:after="0"/>
              <w:rPr>
                <w:rFonts w:cstheme="minorHAnsi"/>
                <w:sz w:val="16"/>
              </w:rPr>
            </w:pPr>
            <w:r w:rsidRPr="00747E35">
              <w:rPr>
                <w:rFonts w:cstheme="minorHAnsi"/>
                <w:i/>
                <w:sz w:val="16"/>
              </w:rPr>
              <w:t>Trochidrobia smithii</w:t>
            </w:r>
            <w:r w:rsidRPr="00747E35">
              <w:rPr>
                <w:rFonts w:cstheme="minorHAnsi"/>
                <w:sz w:val="16"/>
              </w:rPr>
              <w:t xml:space="preserve"> Clade C</w:t>
            </w:r>
          </w:p>
        </w:tc>
        <w:tc>
          <w:tcPr>
            <w:tcW w:w="1134" w:type="dxa"/>
            <w:shd w:val="clear" w:color="auto" w:fill="auto"/>
            <w:noWrap/>
            <w:hideMark/>
          </w:tcPr>
          <w:p w14:paraId="0B12E2C0" w14:textId="77777777" w:rsidR="0044478E" w:rsidRPr="00747E35" w:rsidRDefault="0044478E" w:rsidP="0044478E">
            <w:pPr>
              <w:pStyle w:val="Tabletext"/>
              <w:spacing w:before="0" w:after="0"/>
              <w:rPr>
                <w:rFonts w:cstheme="minorHAnsi"/>
                <w:sz w:val="16"/>
              </w:rPr>
            </w:pPr>
            <w:r w:rsidRPr="00747E35">
              <w:rPr>
                <w:rFonts w:cstheme="minorHAnsi"/>
                <w:sz w:val="16"/>
              </w:rPr>
              <w:t>M_TrsmitC</w:t>
            </w:r>
          </w:p>
        </w:tc>
        <w:tc>
          <w:tcPr>
            <w:tcW w:w="567" w:type="dxa"/>
          </w:tcPr>
          <w:p w14:paraId="6E91867C" w14:textId="77777777" w:rsidR="0044478E" w:rsidRPr="00747E35" w:rsidRDefault="0044478E" w:rsidP="0044478E">
            <w:pPr>
              <w:pStyle w:val="Tabletext"/>
              <w:spacing w:before="0" w:after="0"/>
              <w:rPr>
                <w:rFonts w:cstheme="minorHAnsi"/>
                <w:sz w:val="16"/>
              </w:rPr>
            </w:pPr>
            <w:r w:rsidRPr="00747E35">
              <w:rPr>
                <w:rFonts w:cstheme="minorHAnsi"/>
                <w:sz w:val="16"/>
              </w:rPr>
              <w:t>5</w:t>
            </w:r>
          </w:p>
        </w:tc>
        <w:tc>
          <w:tcPr>
            <w:tcW w:w="709" w:type="dxa"/>
          </w:tcPr>
          <w:p w14:paraId="5FE13FBA" w14:textId="77777777" w:rsidR="0044478E" w:rsidRPr="00747E35" w:rsidRDefault="0044478E" w:rsidP="0044478E">
            <w:pPr>
              <w:pStyle w:val="Tabletext"/>
              <w:spacing w:before="0" w:after="0"/>
              <w:rPr>
                <w:rFonts w:cstheme="minorHAnsi"/>
                <w:sz w:val="16"/>
              </w:rPr>
            </w:pPr>
            <w:r w:rsidRPr="00747E35">
              <w:rPr>
                <w:rFonts w:cstheme="minorHAnsi"/>
                <w:sz w:val="16"/>
              </w:rPr>
              <w:t>2.0</w:t>
            </w:r>
          </w:p>
        </w:tc>
        <w:tc>
          <w:tcPr>
            <w:tcW w:w="992" w:type="dxa"/>
          </w:tcPr>
          <w:p w14:paraId="5F56A600"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Borders>
              <w:right w:val="single" w:sz="4" w:space="0" w:color="auto"/>
            </w:tcBorders>
          </w:tcPr>
          <w:p w14:paraId="1A2B2944"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top w:val="single" w:sz="4" w:space="0" w:color="auto"/>
              <w:left w:val="single" w:sz="4" w:space="0" w:color="auto"/>
              <w:bottom w:val="single" w:sz="4" w:space="0" w:color="auto"/>
            </w:tcBorders>
          </w:tcPr>
          <w:p w14:paraId="04DAD253" w14:textId="77777777" w:rsidR="0044478E" w:rsidRPr="00747E35" w:rsidRDefault="0044478E" w:rsidP="0044478E">
            <w:pPr>
              <w:pStyle w:val="Tabletext"/>
              <w:spacing w:before="0" w:after="0"/>
              <w:rPr>
                <w:rFonts w:cstheme="minorHAnsi"/>
                <w:sz w:val="16"/>
              </w:rPr>
            </w:pPr>
          </w:p>
        </w:tc>
      </w:tr>
      <w:tr w:rsidR="0044478E" w:rsidRPr="00747E35" w14:paraId="35D8B1CB" w14:textId="77777777" w:rsidTr="0044478E">
        <w:trPr>
          <w:trHeight w:val="20"/>
        </w:trPr>
        <w:tc>
          <w:tcPr>
            <w:tcW w:w="964" w:type="dxa"/>
            <w:shd w:val="clear" w:color="auto" w:fill="auto"/>
            <w:noWrap/>
            <w:hideMark/>
          </w:tcPr>
          <w:p w14:paraId="3903EEA7"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66E7523C"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534AB245"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73A5DF2C" w14:textId="77777777" w:rsidR="0044478E" w:rsidRPr="00747E35" w:rsidRDefault="0044478E" w:rsidP="0044478E">
            <w:pPr>
              <w:pStyle w:val="Tabletext"/>
              <w:spacing w:before="0" w:after="0"/>
              <w:rPr>
                <w:rFonts w:cstheme="minorHAnsi"/>
                <w:sz w:val="16"/>
              </w:rPr>
            </w:pPr>
            <w:r w:rsidRPr="00747E35">
              <w:rPr>
                <w:rFonts w:cstheme="minorHAnsi"/>
                <w:sz w:val="16"/>
              </w:rPr>
              <w:t>Amphipoda</w:t>
            </w:r>
          </w:p>
        </w:tc>
        <w:tc>
          <w:tcPr>
            <w:tcW w:w="1346" w:type="dxa"/>
            <w:shd w:val="clear" w:color="auto" w:fill="auto"/>
            <w:noWrap/>
            <w:hideMark/>
          </w:tcPr>
          <w:p w14:paraId="3D6FA095" w14:textId="77777777" w:rsidR="0044478E" w:rsidRPr="00747E35" w:rsidRDefault="0044478E" w:rsidP="0044478E">
            <w:pPr>
              <w:pStyle w:val="Tabletext"/>
              <w:spacing w:before="0" w:after="0"/>
              <w:rPr>
                <w:rFonts w:cstheme="minorHAnsi"/>
                <w:sz w:val="16"/>
              </w:rPr>
            </w:pPr>
            <w:r w:rsidRPr="00747E35">
              <w:rPr>
                <w:rFonts w:cstheme="minorHAnsi"/>
                <w:sz w:val="16"/>
              </w:rPr>
              <w:t>Chiltoniidae</w:t>
            </w:r>
          </w:p>
        </w:tc>
        <w:tc>
          <w:tcPr>
            <w:tcW w:w="2976" w:type="dxa"/>
            <w:shd w:val="clear" w:color="auto" w:fill="auto"/>
            <w:noWrap/>
            <w:hideMark/>
          </w:tcPr>
          <w:p w14:paraId="7E7048DF" w14:textId="77777777" w:rsidR="0044478E" w:rsidRPr="00747E35" w:rsidRDefault="0044478E" w:rsidP="0044478E">
            <w:pPr>
              <w:pStyle w:val="Tabletext"/>
              <w:spacing w:before="0" w:after="0"/>
              <w:rPr>
                <w:rFonts w:cstheme="minorHAnsi"/>
                <w:i/>
                <w:sz w:val="16"/>
              </w:rPr>
            </w:pPr>
            <w:r w:rsidRPr="00747E35">
              <w:rPr>
                <w:rFonts w:cstheme="minorHAnsi"/>
                <w:i/>
                <w:sz w:val="16"/>
              </w:rPr>
              <w:t>Arabunnachiltonia murphyi</w:t>
            </w:r>
          </w:p>
        </w:tc>
        <w:tc>
          <w:tcPr>
            <w:tcW w:w="1134" w:type="dxa"/>
            <w:shd w:val="clear" w:color="auto" w:fill="auto"/>
            <w:noWrap/>
            <w:hideMark/>
          </w:tcPr>
          <w:p w14:paraId="34A87D90" w14:textId="77777777" w:rsidR="0044478E" w:rsidRPr="00747E35" w:rsidRDefault="0044478E" w:rsidP="0044478E">
            <w:pPr>
              <w:pStyle w:val="Tabletext"/>
              <w:spacing w:before="0" w:after="0"/>
              <w:rPr>
                <w:rFonts w:cstheme="minorHAnsi"/>
                <w:sz w:val="16"/>
              </w:rPr>
            </w:pPr>
            <w:r w:rsidRPr="00747E35">
              <w:rPr>
                <w:rFonts w:cstheme="minorHAnsi"/>
                <w:sz w:val="16"/>
              </w:rPr>
              <w:t>A_Armurp</w:t>
            </w:r>
          </w:p>
        </w:tc>
        <w:tc>
          <w:tcPr>
            <w:tcW w:w="567" w:type="dxa"/>
          </w:tcPr>
          <w:p w14:paraId="3EE5BC2D" w14:textId="77777777" w:rsidR="0044478E" w:rsidRPr="00747E35" w:rsidRDefault="0044478E" w:rsidP="0044478E">
            <w:pPr>
              <w:pStyle w:val="Tabletext"/>
              <w:spacing w:before="0" w:after="0"/>
              <w:rPr>
                <w:rFonts w:cstheme="minorHAnsi"/>
                <w:sz w:val="16"/>
              </w:rPr>
            </w:pPr>
            <w:r w:rsidRPr="00747E35">
              <w:rPr>
                <w:rFonts w:cstheme="minorHAnsi"/>
                <w:sz w:val="16"/>
              </w:rPr>
              <w:t>2</w:t>
            </w:r>
          </w:p>
        </w:tc>
        <w:tc>
          <w:tcPr>
            <w:tcW w:w="709" w:type="dxa"/>
          </w:tcPr>
          <w:p w14:paraId="0E70F367" w14:textId="77777777" w:rsidR="0044478E" w:rsidRPr="00747E35" w:rsidRDefault="0044478E" w:rsidP="0044478E">
            <w:pPr>
              <w:pStyle w:val="Tabletext"/>
              <w:spacing w:before="0" w:after="0"/>
              <w:rPr>
                <w:rFonts w:cstheme="minorHAnsi"/>
                <w:sz w:val="16"/>
              </w:rPr>
            </w:pPr>
            <w:r w:rsidRPr="00747E35">
              <w:rPr>
                <w:rFonts w:cstheme="minorHAnsi"/>
                <w:sz w:val="16"/>
              </w:rPr>
              <w:t>37.8</w:t>
            </w:r>
          </w:p>
        </w:tc>
        <w:tc>
          <w:tcPr>
            <w:tcW w:w="992" w:type="dxa"/>
          </w:tcPr>
          <w:p w14:paraId="1E365CDC"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26951E5E"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Borders>
              <w:top w:val="single" w:sz="4" w:space="0" w:color="auto"/>
            </w:tcBorders>
          </w:tcPr>
          <w:p w14:paraId="41BAC9B3" w14:textId="77777777" w:rsidR="0044478E" w:rsidRPr="00747E35" w:rsidRDefault="0044478E" w:rsidP="0044478E">
            <w:pPr>
              <w:pStyle w:val="Tabletext"/>
              <w:spacing w:before="0" w:after="0"/>
              <w:rPr>
                <w:rFonts w:cstheme="minorHAnsi"/>
                <w:sz w:val="16"/>
              </w:rPr>
            </w:pPr>
            <w:r w:rsidRPr="00747E35">
              <w:rPr>
                <w:rFonts w:cstheme="minorHAnsi"/>
                <w:sz w:val="16"/>
              </w:rPr>
              <w:t>Narrow supergroup</w:t>
            </w:r>
          </w:p>
        </w:tc>
      </w:tr>
      <w:tr w:rsidR="0044478E" w:rsidRPr="00747E35" w14:paraId="499270BC" w14:textId="77777777" w:rsidTr="0044478E">
        <w:trPr>
          <w:trHeight w:val="20"/>
        </w:trPr>
        <w:tc>
          <w:tcPr>
            <w:tcW w:w="964" w:type="dxa"/>
            <w:shd w:val="clear" w:color="auto" w:fill="auto"/>
            <w:noWrap/>
            <w:hideMark/>
          </w:tcPr>
          <w:p w14:paraId="55298373"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34A4B04A"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2D0BD4BC"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39ECFF92" w14:textId="77777777" w:rsidR="0044478E" w:rsidRPr="00747E35" w:rsidRDefault="0044478E" w:rsidP="0044478E">
            <w:pPr>
              <w:pStyle w:val="Tabletext"/>
              <w:spacing w:before="0" w:after="0"/>
              <w:rPr>
                <w:rFonts w:cstheme="minorHAnsi"/>
                <w:sz w:val="16"/>
              </w:rPr>
            </w:pPr>
            <w:r w:rsidRPr="00747E35">
              <w:rPr>
                <w:rFonts w:cstheme="minorHAnsi"/>
                <w:sz w:val="16"/>
              </w:rPr>
              <w:t>Amphipoda</w:t>
            </w:r>
          </w:p>
        </w:tc>
        <w:tc>
          <w:tcPr>
            <w:tcW w:w="1346" w:type="dxa"/>
            <w:shd w:val="clear" w:color="auto" w:fill="auto"/>
            <w:noWrap/>
            <w:hideMark/>
          </w:tcPr>
          <w:p w14:paraId="5415649F" w14:textId="77777777" w:rsidR="0044478E" w:rsidRPr="00747E35" w:rsidRDefault="0044478E" w:rsidP="0044478E">
            <w:pPr>
              <w:pStyle w:val="Tabletext"/>
              <w:spacing w:before="0" w:after="0"/>
              <w:rPr>
                <w:rFonts w:cstheme="minorHAnsi"/>
                <w:sz w:val="16"/>
              </w:rPr>
            </w:pPr>
            <w:r w:rsidRPr="00747E35">
              <w:rPr>
                <w:rFonts w:cstheme="minorHAnsi"/>
                <w:sz w:val="16"/>
              </w:rPr>
              <w:t>Chiltoniidae</w:t>
            </w:r>
          </w:p>
        </w:tc>
        <w:tc>
          <w:tcPr>
            <w:tcW w:w="2976" w:type="dxa"/>
            <w:shd w:val="clear" w:color="auto" w:fill="auto"/>
            <w:noWrap/>
            <w:hideMark/>
          </w:tcPr>
          <w:p w14:paraId="53C206C5" w14:textId="77777777" w:rsidR="0044478E" w:rsidRPr="00747E35" w:rsidRDefault="0044478E" w:rsidP="0044478E">
            <w:pPr>
              <w:pStyle w:val="Tabletext"/>
              <w:spacing w:before="0" w:after="0"/>
              <w:rPr>
                <w:rFonts w:cstheme="minorHAnsi"/>
                <w:sz w:val="16"/>
              </w:rPr>
            </w:pPr>
            <w:r w:rsidRPr="00747E35">
              <w:rPr>
                <w:rFonts w:cstheme="minorHAnsi"/>
                <w:i/>
                <w:sz w:val="16"/>
              </w:rPr>
              <w:t>Austrochiltonia</w:t>
            </w:r>
            <w:r w:rsidRPr="00747E35">
              <w:rPr>
                <w:rFonts w:cstheme="minorHAnsi"/>
                <w:sz w:val="16"/>
              </w:rPr>
              <w:t xml:space="preserve"> n.sp. AMSP68165</w:t>
            </w:r>
          </w:p>
        </w:tc>
        <w:tc>
          <w:tcPr>
            <w:tcW w:w="1134" w:type="dxa"/>
            <w:shd w:val="clear" w:color="auto" w:fill="auto"/>
            <w:noWrap/>
            <w:hideMark/>
          </w:tcPr>
          <w:p w14:paraId="558A99B1" w14:textId="77777777" w:rsidR="0044478E" w:rsidRPr="00747E35" w:rsidRDefault="0044478E" w:rsidP="0044478E">
            <w:pPr>
              <w:pStyle w:val="Tabletext"/>
              <w:spacing w:before="0" w:after="0"/>
              <w:rPr>
                <w:rFonts w:cstheme="minorHAnsi"/>
                <w:sz w:val="16"/>
              </w:rPr>
            </w:pPr>
            <w:r w:rsidRPr="00747E35">
              <w:rPr>
                <w:rFonts w:cstheme="minorHAnsi"/>
                <w:sz w:val="16"/>
              </w:rPr>
              <w:t>A_Ausp1</w:t>
            </w:r>
          </w:p>
        </w:tc>
        <w:tc>
          <w:tcPr>
            <w:tcW w:w="567" w:type="dxa"/>
          </w:tcPr>
          <w:p w14:paraId="41370B3E" w14:textId="77777777" w:rsidR="0044478E" w:rsidRPr="00747E35" w:rsidRDefault="0044478E" w:rsidP="0044478E">
            <w:pPr>
              <w:pStyle w:val="Tabletext"/>
              <w:spacing w:before="0" w:after="0"/>
              <w:rPr>
                <w:rFonts w:cstheme="minorHAnsi"/>
                <w:sz w:val="16"/>
              </w:rPr>
            </w:pPr>
            <w:r w:rsidRPr="00747E35">
              <w:rPr>
                <w:rFonts w:cstheme="minorHAnsi"/>
                <w:sz w:val="16"/>
              </w:rPr>
              <w:t>2</w:t>
            </w:r>
          </w:p>
        </w:tc>
        <w:tc>
          <w:tcPr>
            <w:tcW w:w="709" w:type="dxa"/>
          </w:tcPr>
          <w:p w14:paraId="77B73199" w14:textId="77777777" w:rsidR="0044478E" w:rsidRPr="00747E35" w:rsidRDefault="0044478E" w:rsidP="0044478E">
            <w:pPr>
              <w:pStyle w:val="Tabletext"/>
              <w:spacing w:before="0" w:after="0"/>
              <w:rPr>
                <w:rFonts w:cstheme="minorHAnsi"/>
                <w:sz w:val="16"/>
              </w:rPr>
            </w:pPr>
            <w:r w:rsidRPr="00747E35">
              <w:rPr>
                <w:rFonts w:cstheme="minorHAnsi"/>
                <w:sz w:val="16"/>
              </w:rPr>
              <w:t>34.0</w:t>
            </w:r>
          </w:p>
        </w:tc>
        <w:tc>
          <w:tcPr>
            <w:tcW w:w="992" w:type="dxa"/>
          </w:tcPr>
          <w:p w14:paraId="49F69FE3" w14:textId="77777777" w:rsidR="0044478E" w:rsidRPr="00747E35" w:rsidRDefault="0044478E" w:rsidP="0044478E">
            <w:pPr>
              <w:pStyle w:val="Tabletext"/>
              <w:spacing w:before="0" w:after="0"/>
              <w:rPr>
                <w:rFonts w:cstheme="minorHAnsi"/>
                <w:sz w:val="16"/>
              </w:rPr>
            </w:pPr>
            <w:r w:rsidRPr="00747E35">
              <w:rPr>
                <w:rFonts w:cstheme="minorHAnsi"/>
                <w:sz w:val="16"/>
              </w:rPr>
              <w:t>50</w:t>
            </w:r>
          </w:p>
        </w:tc>
        <w:tc>
          <w:tcPr>
            <w:tcW w:w="851" w:type="dxa"/>
          </w:tcPr>
          <w:p w14:paraId="1560911F" w14:textId="77777777" w:rsidR="0044478E" w:rsidRPr="00747E35" w:rsidRDefault="0044478E" w:rsidP="0044478E">
            <w:pPr>
              <w:pStyle w:val="Tabletext"/>
              <w:spacing w:before="0" w:after="0"/>
              <w:rPr>
                <w:rFonts w:cstheme="minorHAnsi"/>
                <w:sz w:val="16"/>
              </w:rPr>
            </w:pPr>
            <w:r w:rsidRPr="00747E35">
              <w:rPr>
                <w:rFonts w:cstheme="minorHAnsi"/>
                <w:sz w:val="16"/>
              </w:rPr>
              <w:t>U</w:t>
            </w:r>
          </w:p>
        </w:tc>
        <w:tc>
          <w:tcPr>
            <w:tcW w:w="1542" w:type="dxa"/>
          </w:tcPr>
          <w:p w14:paraId="34AC1AF1" w14:textId="77777777" w:rsidR="0044478E" w:rsidRPr="00747E35" w:rsidRDefault="0044478E" w:rsidP="0044478E">
            <w:pPr>
              <w:pStyle w:val="Tabletext"/>
              <w:spacing w:before="0" w:after="0"/>
              <w:rPr>
                <w:rFonts w:cstheme="minorHAnsi"/>
                <w:sz w:val="16"/>
              </w:rPr>
            </w:pPr>
            <w:r w:rsidRPr="00747E35">
              <w:rPr>
                <w:rFonts w:cstheme="minorHAnsi"/>
                <w:sz w:val="16"/>
              </w:rPr>
              <w:t>Narrow supergroup</w:t>
            </w:r>
          </w:p>
        </w:tc>
      </w:tr>
      <w:tr w:rsidR="0044478E" w:rsidRPr="00747E35" w14:paraId="14133AB0" w14:textId="77777777" w:rsidTr="0044478E">
        <w:trPr>
          <w:trHeight w:val="20"/>
        </w:trPr>
        <w:tc>
          <w:tcPr>
            <w:tcW w:w="964" w:type="dxa"/>
            <w:shd w:val="clear" w:color="auto" w:fill="auto"/>
            <w:noWrap/>
            <w:hideMark/>
          </w:tcPr>
          <w:p w14:paraId="11FBA654"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7E28A9AC"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79021E6C"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615607A6" w14:textId="77777777" w:rsidR="0044478E" w:rsidRPr="00747E35" w:rsidRDefault="0044478E" w:rsidP="0044478E">
            <w:pPr>
              <w:pStyle w:val="Tabletext"/>
              <w:spacing w:before="0" w:after="0"/>
              <w:rPr>
                <w:rFonts w:cstheme="minorHAnsi"/>
                <w:sz w:val="16"/>
              </w:rPr>
            </w:pPr>
            <w:r w:rsidRPr="00747E35">
              <w:rPr>
                <w:rFonts w:cstheme="minorHAnsi"/>
                <w:sz w:val="16"/>
              </w:rPr>
              <w:t>Amphipoda</w:t>
            </w:r>
          </w:p>
        </w:tc>
        <w:tc>
          <w:tcPr>
            <w:tcW w:w="1346" w:type="dxa"/>
            <w:shd w:val="clear" w:color="auto" w:fill="auto"/>
            <w:noWrap/>
            <w:hideMark/>
          </w:tcPr>
          <w:p w14:paraId="3C70533B" w14:textId="77777777" w:rsidR="0044478E" w:rsidRPr="00747E35" w:rsidRDefault="0044478E" w:rsidP="0044478E">
            <w:pPr>
              <w:pStyle w:val="Tabletext"/>
              <w:spacing w:before="0" w:after="0"/>
              <w:rPr>
                <w:rFonts w:cstheme="minorHAnsi"/>
                <w:sz w:val="16"/>
              </w:rPr>
            </w:pPr>
            <w:r w:rsidRPr="00747E35">
              <w:rPr>
                <w:rFonts w:cstheme="minorHAnsi"/>
                <w:sz w:val="16"/>
              </w:rPr>
              <w:t>Chiltoniidae</w:t>
            </w:r>
          </w:p>
        </w:tc>
        <w:tc>
          <w:tcPr>
            <w:tcW w:w="2976" w:type="dxa"/>
            <w:shd w:val="clear" w:color="auto" w:fill="auto"/>
            <w:noWrap/>
            <w:hideMark/>
          </w:tcPr>
          <w:p w14:paraId="3C35D5CD" w14:textId="77777777" w:rsidR="0044478E" w:rsidRPr="00747E35" w:rsidRDefault="0044478E" w:rsidP="0044478E">
            <w:pPr>
              <w:pStyle w:val="Tabletext"/>
              <w:spacing w:before="0" w:after="0"/>
              <w:rPr>
                <w:rFonts w:cstheme="minorHAnsi"/>
                <w:sz w:val="16"/>
              </w:rPr>
            </w:pPr>
            <w:r w:rsidRPr="00747E35">
              <w:rPr>
                <w:rFonts w:cstheme="minorHAnsi"/>
                <w:i/>
                <w:sz w:val="16"/>
              </w:rPr>
              <w:t>Austrochiltonia</w:t>
            </w:r>
            <w:r w:rsidRPr="00747E35">
              <w:rPr>
                <w:rFonts w:cstheme="minorHAnsi"/>
                <w:sz w:val="16"/>
              </w:rPr>
              <w:t xml:space="preserve"> sp. AMS P68160</w:t>
            </w:r>
          </w:p>
        </w:tc>
        <w:tc>
          <w:tcPr>
            <w:tcW w:w="1134" w:type="dxa"/>
            <w:shd w:val="clear" w:color="auto" w:fill="auto"/>
            <w:noWrap/>
            <w:hideMark/>
          </w:tcPr>
          <w:p w14:paraId="7857EB5E" w14:textId="77777777" w:rsidR="0044478E" w:rsidRPr="00747E35" w:rsidRDefault="0044478E" w:rsidP="0044478E">
            <w:pPr>
              <w:pStyle w:val="Tabletext"/>
              <w:spacing w:before="0" w:after="0"/>
              <w:rPr>
                <w:rFonts w:cstheme="minorHAnsi"/>
                <w:sz w:val="16"/>
              </w:rPr>
            </w:pPr>
            <w:r w:rsidRPr="00747E35">
              <w:rPr>
                <w:rFonts w:cstheme="minorHAnsi"/>
                <w:sz w:val="16"/>
              </w:rPr>
              <w:t>A_Ausp2</w:t>
            </w:r>
          </w:p>
        </w:tc>
        <w:tc>
          <w:tcPr>
            <w:tcW w:w="567" w:type="dxa"/>
          </w:tcPr>
          <w:p w14:paraId="5FED6371"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310CCE47" w14:textId="77777777" w:rsidR="0044478E" w:rsidRPr="00747E35" w:rsidRDefault="0044478E" w:rsidP="0044478E">
            <w:pPr>
              <w:pStyle w:val="Tabletext"/>
              <w:spacing w:before="0" w:after="0"/>
              <w:rPr>
                <w:rFonts w:cstheme="minorHAnsi"/>
                <w:sz w:val="16"/>
              </w:rPr>
            </w:pPr>
            <w:r w:rsidRPr="00747E35">
              <w:rPr>
                <w:rFonts w:cstheme="minorHAnsi"/>
                <w:sz w:val="16"/>
              </w:rPr>
              <w:t>4.4</w:t>
            </w:r>
          </w:p>
        </w:tc>
        <w:tc>
          <w:tcPr>
            <w:tcW w:w="992" w:type="dxa"/>
          </w:tcPr>
          <w:p w14:paraId="535246AB"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166DF5E6" w14:textId="77777777" w:rsidR="0044478E" w:rsidRPr="00747E35" w:rsidRDefault="0044478E" w:rsidP="0044478E">
            <w:pPr>
              <w:pStyle w:val="Tabletext"/>
              <w:spacing w:before="0" w:after="0"/>
              <w:rPr>
                <w:rFonts w:cstheme="minorHAnsi"/>
                <w:sz w:val="16"/>
              </w:rPr>
            </w:pPr>
            <w:r w:rsidRPr="00747E35">
              <w:rPr>
                <w:rFonts w:cstheme="minorHAnsi"/>
                <w:sz w:val="16"/>
              </w:rPr>
              <w:t>U</w:t>
            </w:r>
          </w:p>
        </w:tc>
        <w:tc>
          <w:tcPr>
            <w:tcW w:w="1542" w:type="dxa"/>
          </w:tcPr>
          <w:p w14:paraId="137F41FD"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3DDAF357" w14:textId="77777777" w:rsidTr="0044478E">
        <w:trPr>
          <w:trHeight w:val="20"/>
        </w:trPr>
        <w:tc>
          <w:tcPr>
            <w:tcW w:w="964" w:type="dxa"/>
            <w:shd w:val="clear" w:color="auto" w:fill="auto"/>
            <w:noWrap/>
            <w:hideMark/>
          </w:tcPr>
          <w:p w14:paraId="40BF391F"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02FF232C"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10F4F859"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20E82C01" w14:textId="77777777" w:rsidR="0044478E" w:rsidRPr="00747E35" w:rsidRDefault="0044478E" w:rsidP="0044478E">
            <w:pPr>
              <w:pStyle w:val="Tabletext"/>
              <w:spacing w:before="0" w:after="0"/>
              <w:rPr>
                <w:rFonts w:cstheme="minorHAnsi"/>
                <w:sz w:val="16"/>
              </w:rPr>
            </w:pPr>
            <w:r w:rsidRPr="00747E35">
              <w:rPr>
                <w:rFonts w:cstheme="minorHAnsi"/>
                <w:sz w:val="16"/>
              </w:rPr>
              <w:t>Amphipoda</w:t>
            </w:r>
          </w:p>
        </w:tc>
        <w:tc>
          <w:tcPr>
            <w:tcW w:w="1346" w:type="dxa"/>
            <w:shd w:val="clear" w:color="auto" w:fill="auto"/>
            <w:noWrap/>
            <w:hideMark/>
          </w:tcPr>
          <w:p w14:paraId="05ECD94A" w14:textId="77777777" w:rsidR="0044478E" w:rsidRPr="00747E35" w:rsidRDefault="0044478E" w:rsidP="0044478E">
            <w:pPr>
              <w:pStyle w:val="Tabletext"/>
              <w:spacing w:before="0" w:after="0"/>
              <w:rPr>
                <w:rFonts w:cstheme="minorHAnsi"/>
                <w:sz w:val="16"/>
              </w:rPr>
            </w:pPr>
            <w:r w:rsidRPr="00747E35">
              <w:rPr>
                <w:rFonts w:cstheme="minorHAnsi"/>
                <w:sz w:val="16"/>
              </w:rPr>
              <w:t>Chiltoniidae</w:t>
            </w:r>
          </w:p>
        </w:tc>
        <w:tc>
          <w:tcPr>
            <w:tcW w:w="2976" w:type="dxa"/>
            <w:shd w:val="clear" w:color="auto" w:fill="auto"/>
            <w:noWrap/>
            <w:hideMark/>
          </w:tcPr>
          <w:p w14:paraId="6A58A4D3" w14:textId="77777777" w:rsidR="0044478E" w:rsidRPr="00747E35" w:rsidRDefault="0044478E" w:rsidP="0044478E">
            <w:pPr>
              <w:pStyle w:val="Tabletext"/>
              <w:spacing w:before="0" w:after="0"/>
              <w:rPr>
                <w:rFonts w:cstheme="minorHAnsi"/>
                <w:sz w:val="16"/>
              </w:rPr>
            </w:pPr>
            <w:r w:rsidRPr="00747E35">
              <w:rPr>
                <w:rFonts w:cstheme="minorHAnsi"/>
                <w:i/>
                <w:sz w:val="16"/>
              </w:rPr>
              <w:t>Austrochiltonia dalhousiensis</w:t>
            </w:r>
            <w:r w:rsidRPr="00747E35">
              <w:rPr>
                <w:rFonts w:cstheme="minorHAnsi"/>
                <w:sz w:val="16"/>
              </w:rPr>
              <w:t xml:space="preserve"> sub.sp. </w:t>
            </w:r>
            <w:r w:rsidRPr="00747E35">
              <w:rPr>
                <w:rFonts w:cstheme="minorHAnsi"/>
                <w:i/>
                <w:sz w:val="16"/>
              </w:rPr>
              <w:t>dalhousiensis</w:t>
            </w:r>
          </w:p>
        </w:tc>
        <w:tc>
          <w:tcPr>
            <w:tcW w:w="1134" w:type="dxa"/>
            <w:shd w:val="clear" w:color="auto" w:fill="auto"/>
            <w:noWrap/>
            <w:hideMark/>
          </w:tcPr>
          <w:p w14:paraId="65B834A7" w14:textId="77777777" w:rsidR="0044478E" w:rsidRPr="00747E35" w:rsidRDefault="0044478E" w:rsidP="0044478E">
            <w:pPr>
              <w:pStyle w:val="Tabletext"/>
              <w:spacing w:before="0" w:after="0"/>
              <w:rPr>
                <w:rFonts w:cstheme="minorHAnsi"/>
                <w:sz w:val="16"/>
              </w:rPr>
            </w:pPr>
            <w:r w:rsidRPr="00747E35">
              <w:rPr>
                <w:rFonts w:cstheme="minorHAnsi"/>
                <w:sz w:val="16"/>
              </w:rPr>
              <w:t>A_Audalh</w:t>
            </w:r>
          </w:p>
        </w:tc>
        <w:tc>
          <w:tcPr>
            <w:tcW w:w="567" w:type="dxa"/>
          </w:tcPr>
          <w:p w14:paraId="66C8CA20"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3FFF1733" w14:textId="77777777" w:rsidR="0044478E" w:rsidRPr="00747E35" w:rsidRDefault="0044478E" w:rsidP="0044478E">
            <w:pPr>
              <w:pStyle w:val="Tabletext"/>
              <w:spacing w:before="0" w:after="0"/>
              <w:rPr>
                <w:rFonts w:cstheme="minorHAnsi"/>
                <w:sz w:val="16"/>
              </w:rPr>
            </w:pPr>
            <w:r w:rsidRPr="00747E35">
              <w:rPr>
                <w:rFonts w:cstheme="minorHAnsi"/>
                <w:sz w:val="16"/>
              </w:rPr>
              <w:t>56.8</w:t>
            </w:r>
          </w:p>
        </w:tc>
        <w:tc>
          <w:tcPr>
            <w:tcW w:w="992" w:type="dxa"/>
          </w:tcPr>
          <w:p w14:paraId="3829D6BF"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38202159" w14:textId="77777777" w:rsidR="0044478E" w:rsidRPr="00747E35" w:rsidRDefault="0044478E" w:rsidP="0044478E">
            <w:pPr>
              <w:pStyle w:val="Tabletext"/>
              <w:spacing w:before="0" w:after="0"/>
              <w:rPr>
                <w:rFonts w:cstheme="minorHAnsi"/>
                <w:sz w:val="16"/>
              </w:rPr>
            </w:pPr>
            <w:r w:rsidRPr="00747E35">
              <w:rPr>
                <w:rFonts w:cstheme="minorHAnsi"/>
                <w:sz w:val="16"/>
              </w:rPr>
              <w:t>DS</w:t>
            </w:r>
          </w:p>
        </w:tc>
        <w:tc>
          <w:tcPr>
            <w:tcW w:w="1542" w:type="dxa"/>
          </w:tcPr>
          <w:p w14:paraId="43AC2381"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3DD14F17" w14:textId="77777777" w:rsidTr="0044478E">
        <w:trPr>
          <w:trHeight w:val="20"/>
        </w:trPr>
        <w:tc>
          <w:tcPr>
            <w:tcW w:w="964" w:type="dxa"/>
            <w:shd w:val="clear" w:color="auto" w:fill="auto"/>
            <w:noWrap/>
            <w:hideMark/>
          </w:tcPr>
          <w:p w14:paraId="13B62487"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4DA4134D"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2A855D05"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594E5FCF" w14:textId="77777777" w:rsidR="0044478E" w:rsidRPr="00747E35" w:rsidRDefault="0044478E" w:rsidP="0044478E">
            <w:pPr>
              <w:pStyle w:val="Tabletext"/>
              <w:spacing w:before="0" w:after="0"/>
              <w:rPr>
                <w:rFonts w:cstheme="minorHAnsi"/>
                <w:sz w:val="16"/>
              </w:rPr>
            </w:pPr>
            <w:r w:rsidRPr="00747E35">
              <w:rPr>
                <w:rFonts w:cstheme="minorHAnsi"/>
                <w:sz w:val="16"/>
              </w:rPr>
              <w:t>Amphipoda</w:t>
            </w:r>
          </w:p>
        </w:tc>
        <w:tc>
          <w:tcPr>
            <w:tcW w:w="1346" w:type="dxa"/>
            <w:shd w:val="clear" w:color="auto" w:fill="auto"/>
            <w:noWrap/>
            <w:hideMark/>
          </w:tcPr>
          <w:p w14:paraId="2EBE5D9E" w14:textId="77777777" w:rsidR="0044478E" w:rsidRPr="00747E35" w:rsidRDefault="0044478E" w:rsidP="0044478E">
            <w:pPr>
              <w:pStyle w:val="Tabletext"/>
              <w:spacing w:before="0" w:after="0"/>
              <w:rPr>
                <w:rFonts w:cstheme="minorHAnsi"/>
                <w:sz w:val="16"/>
              </w:rPr>
            </w:pPr>
            <w:r w:rsidRPr="00747E35">
              <w:rPr>
                <w:rFonts w:cstheme="minorHAnsi"/>
                <w:sz w:val="16"/>
              </w:rPr>
              <w:t>Chiltoniidae</w:t>
            </w:r>
          </w:p>
        </w:tc>
        <w:tc>
          <w:tcPr>
            <w:tcW w:w="2976" w:type="dxa"/>
            <w:shd w:val="clear" w:color="auto" w:fill="auto"/>
            <w:noWrap/>
            <w:hideMark/>
          </w:tcPr>
          <w:p w14:paraId="581A52EF" w14:textId="77777777" w:rsidR="0044478E" w:rsidRPr="00747E35" w:rsidRDefault="0044478E" w:rsidP="0044478E">
            <w:pPr>
              <w:pStyle w:val="Tabletext"/>
              <w:spacing w:before="0" w:after="0"/>
              <w:rPr>
                <w:rFonts w:cstheme="minorHAnsi"/>
                <w:sz w:val="16"/>
              </w:rPr>
            </w:pPr>
            <w:r w:rsidRPr="00747E35">
              <w:rPr>
                <w:rFonts w:cstheme="minorHAnsi"/>
                <w:i/>
                <w:sz w:val="16"/>
              </w:rPr>
              <w:t>Austrochiltonia</w:t>
            </w:r>
            <w:r w:rsidRPr="00747E35">
              <w:rPr>
                <w:rFonts w:cstheme="minorHAnsi"/>
                <w:sz w:val="16"/>
              </w:rPr>
              <w:t xml:space="preserve"> n.sp. (North Eyre)</w:t>
            </w:r>
          </w:p>
        </w:tc>
        <w:tc>
          <w:tcPr>
            <w:tcW w:w="1134" w:type="dxa"/>
            <w:shd w:val="clear" w:color="auto" w:fill="auto"/>
            <w:noWrap/>
            <w:hideMark/>
          </w:tcPr>
          <w:p w14:paraId="04EC812E" w14:textId="77777777" w:rsidR="0044478E" w:rsidRPr="00747E35" w:rsidRDefault="0044478E" w:rsidP="0044478E">
            <w:pPr>
              <w:pStyle w:val="Tabletext"/>
              <w:spacing w:before="0" w:after="0"/>
              <w:rPr>
                <w:rFonts w:cstheme="minorHAnsi"/>
                <w:sz w:val="16"/>
              </w:rPr>
            </w:pPr>
            <w:r w:rsidRPr="00747E35">
              <w:rPr>
                <w:rFonts w:cstheme="minorHAnsi"/>
                <w:sz w:val="16"/>
              </w:rPr>
              <w:t>A_AuspNE</w:t>
            </w:r>
          </w:p>
        </w:tc>
        <w:tc>
          <w:tcPr>
            <w:tcW w:w="567" w:type="dxa"/>
          </w:tcPr>
          <w:p w14:paraId="002479D6" w14:textId="77777777" w:rsidR="0044478E" w:rsidRPr="00747E35" w:rsidRDefault="0044478E" w:rsidP="0044478E">
            <w:pPr>
              <w:pStyle w:val="Tabletext"/>
              <w:spacing w:before="0" w:after="0"/>
              <w:rPr>
                <w:rFonts w:cstheme="minorHAnsi"/>
                <w:sz w:val="16"/>
              </w:rPr>
            </w:pPr>
            <w:r w:rsidRPr="00747E35">
              <w:rPr>
                <w:rFonts w:cstheme="minorHAnsi"/>
                <w:sz w:val="16"/>
              </w:rPr>
              <w:t>8</w:t>
            </w:r>
          </w:p>
        </w:tc>
        <w:tc>
          <w:tcPr>
            <w:tcW w:w="709" w:type="dxa"/>
          </w:tcPr>
          <w:p w14:paraId="1262BC18" w14:textId="77777777" w:rsidR="0044478E" w:rsidRPr="00747E35" w:rsidRDefault="0044478E" w:rsidP="0044478E">
            <w:pPr>
              <w:pStyle w:val="Tabletext"/>
              <w:spacing w:before="0" w:after="0"/>
              <w:rPr>
                <w:rFonts w:cstheme="minorHAnsi"/>
                <w:sz w:val="16"/>
              </w:rPr>
            </w:pPr>
            <w:r w:rsidRPr="00747E35">
              <w:rPr>
                <w:rFonts w:cstheme="minorHAnsi"/>
                <w:sz w:val="16"/>
              </w:rPr>
              <w:t>13.5</w:t>
            </w:r>
          </w:p>
        </w:tc>
        <w:tc>
          <w:tcPr>
            <w:tcW w:w="992" w:type="dxa"/>
          </w:tcPr>
          <w:p w14:paraId="70D6A4C8"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757C8079" w14:textId="77777777" w:rsidR="0044478E" w:rsidRPr="00747E35" w:rsidRDefault="0044478E" w:rsidP="0044478E">
            <w:pPr>
              <w:pStyle w:val="Tabletext"/>
              <w:spacing w:before="0" w:after="0"/>
              <w:rPr>
                <w:rFonts w:cstheme="minorHAnsi"/>
                <w:sz w:val="16"/>
              </w:rPr>
            </w:pPr>
            <w:r w:rsidRPr="00747E35">
              <w:rPr>
                <w:rFonts w:cstheme="minorHAnsi"/>
                <w:sz w:val="16"/>
              </w:rPr>
              <w:t>U</w:t>
            </w:r>
          </w:p>
        </w:tc>
        <w:tc>
          <w:tcPr>
            <w:tcW w:w="1542" w:type="dxa"/>
          </w:tcPr>
          <w:p w14:paraId="4459A30F" w14:textId="77777777" w:rsidR="0044478E" w:rsidRPr="00747E35" w:rsidRDefault="0044478E" w:rsidP="0044478E">
            <w:pPr>
              <w:pStyle w:val="Tabletext"/>
              <w:spacing w:before="0" w:after="0"/>
              <w:rPr>
                <w:rFonts w:cstheme="minorHAnsi"/>
                <w:sz w:val="16"/>
              </w:rPr>
            </w:pPr>
            <w:r w:rsidRPr="00747E35">
              <w:rPr>
                <w:rFonts w:cstheme="minorHAnsi"/>
                <w:sz w:val="16"/>
              </w:rPr>
              <w:t>Broad supergroup</w:t>
            </w:r>
          </w:p>
        </w:tc>
      </w:tr>
      <w:tr w:rsidR="0044478E" w:rsidRPr="00747E35" w14:paraId="3BDFC002" w14:textId="77777777" w:rsidTr="0044478E">
        <w:trPr>
          <w:trHeight w:val="20"/>
        </w:trPr>
        <w:tc>
          <w:tcPr>
            <w:tcW w:w="964" w:type="dxa"/>
            <w:shd w:val="clear" w:color="auto" w:fill="auto"/>
            <w:noWrap/>
            <w:hideMark/>
          </w:tcPr>
          <w:p w14:paraId="21D3FAA0"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5C429AB9"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023699CE"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03B72B36" w14:textId="77777777" w:rsidR="0044478E" w:rsidRPr="00747E35" w:rsidRDefault="0044478E" w:rsidP="0044478E">
            <w:pPr>
              <w:pStyle w:val="Tabletext"/>
              <w:spacing w:before="0" w:after="0"/>
              <w:rPr>
                <w:rFonts w:cstheme="minorHAnsi"/>
                <w:sz w:val="16"/>
              </w:rPr>
            </w:pPr>
            <w:r w:rsidRPr="00747E35">
              <w:rPr>
                <w:rFonts w:cstheme="minorHAnsi"/>
                <w:sz w:val="16"/>
              </w:rPr>
              <w:t>Amphipoda</w:t>
            </w:r>
          </w:p>
        </w:tc>
        <w:tc>
          <w:tcPr>
            <w:tcW w:w="1346" w:type="dxa"/>
            <w:shd w:val="clear" w:color="auto" w:fill="auto"/>
            <w:noWrap/>
            <w:hideMark/>
          </w:tcPr>
          <w:p w14:paraId="25017304" w14:textId="77777777" w:rsidR="0044478E" w:rsidRPr="00747E35" w:rsidRDefault="0044478E" w:rsidP="0044478E">
            <w:pPr>
              <w:pStyle w:val="Tabletext"/>
              <w:spacing w:before="0" w:after="0"/>
              <w:rPr>
                <w:rFonts w:cstheme="minorHAnsi"/>
                <w:sz w:val="16"/>
              </w:rPr>
            </w:pPr>
            <w:r w:rsidRPr="00747E35">
              <w:rPr>
                <w:rFonts w:cstheme="minorHAnsi"/>
                <w:sz w:val="16"/>
              </w:rPr>
              <w:t>Chiltoniidae</w:t>
            </w:r>
          </w:p>
        </w:tc>
        <w:tc>
          <w:tcPr>
            <w:tcW w:w="2976" w:type="dxa"/>
            <w:shd w:val="clear" w:color="auto" w:fill="auto"/>
            <w:noWrap/>
            <w:hideMark/>
          </w:tcPr>
          <w:p w14:paraId="43A613FF" w14:textId="77777777" w:rsidR="0044478E" w:rsidRPr="00747E35" w:rsidRDefault="0044478E" w:rsidP="0044478E">
            <w:pPr>
              <w:pStyle w:val="Tabletext"/>
              <w:spacing w:before="0" w:after="0"/>
              <w:rPr>
                <w:rFonts w:cstheme="minorHAnsi"/>
                <w:i/>
                <w:sz w:val="16"/>
              </w:rPr>
            </w:pPr>
            <w:r w:rsidRPr="00747E35">
              <w:rPr>
                <w:rFonts w:cstheme="minorHAnsi"/>
                <w:i/>
                <w:sz w:val="16"/>
              </w:rPr>
              <w:t>Phraetochiltonia anopthalma</w:t>
            </w:r>
          </w:p>
        </w:tc>
        <w:tc>
          <w:tcPr>
            <w:tcW w:w="1134" w:type="dxa"/>
            <w:shd w:val="clear" w:color="auto" w:fill="auto"/>
            <w:noWrap/>
            <w:hideMark/>
          </w:tcPr>
          <w:p w14:paraId="5559E707" w14:textId="77777777" w:rsidR="0044478E" w:rsidRPr="00747E35" w:rsidRDefault="0044478E" w:rsidP="0044478E">
            <w:pPr>
              <w:pStyle w:val="Tabletext"/>
              <w:spacing w:before="0" w:after="0"/>
              <w:rPr>
                <w:rFonts w:cstheme="minorHAnsi"/>
                <w:sz w:val="16"/>
              </w:rPr>
            </w:pPr>
            <w:r w:rsidRPr="00747E35">
              <w:rPr>
                <w:rFonts w:cstheme="minorHAnsi"/>
                <w:sz w:val="16"/>
              </w:rPr>
              <w:t>A_Phanop</w:t>
            </w:r>
          </w:p>
        </w:tc>
        <w:tc>
          <w:tcPr>
            <w:tcW w:w="567" w:type="dxa"/>
          </w:tcPr>
          <w:p w14:paraId="7500E157"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3DD1B2BA" w14:textId="77777777" w:rsidR="0044478E" w:rsidRPr="00747E35" w:rsidRDefault="0044478E" w:rsidP="0044478E">
            <w:pPr>
              <w:pStyle w:val="Tabletext"/>
              <w:spacing w:before="0" w:after="0"/>
              <w:rPr>
                <w:rFonts w:cstheme="minorHAnsi"/>
                <w:sz w:val="16"/>
              </w:rPr>
            </w:pPr>
            <w:r w:rsidRPr="00747E35">
              <w:rPr>
                <w:rFonts w:cstheme="minorHAnsi"/>
                <w:sz w:val="16"/>
              </w:rPr>
              <w:t>56.8</w:t>
            </w:r>
          </w:p>
        </w:tc>
        <w:tc>
          <w:tcPr>
            <w:tcW w:w="992" w:type="dxa"/>
          </w:tcPr>
          <w:p w14:paraId="30C2679B"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2D0D7D93"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79974930"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23ED77BC" w14:textId="77777777" w:rsidTr="0044478E">
        <w:trPr>
          <w:trHeight w:val="20"/>
        </w:trPr>
        <w:tc>
          <w:tcPr>
            <w:tcW w:w="964" w:type="dxa"/>
            <w:shd w:val="clear" w:color="auto" w:fill="auto"/>
            <w:noWrap/>
            <w:hideMark/>
          </w:tcPr>
          <w:p w14:paraId="11D5D316"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530FBBF9"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1DAB1627"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477D8FB6" w14:textId="77777777" w:rsidR="0044478E" w:rsidRPr="00747E35" w:rsidRDefault="0044478E" w:rsidP="0044478E">
            <w:pPr>
              <w:pStyle w:val="Tabletext"/>
              <w:spacing w:before="0" w:after="0"/>
              <w:rPr>
                <w:rFonts w:cstheme="minorHAnsi"/>
                <w:sz w:val="16"/>
              </w:rPr>
            </w:pPr>
            <w:r w:rsidRPr="00747E35">
              <w:rPr>
                <w:rFonts w:cstheme="minorHAnsi"/>
                <w:sz w:val="16"/>
              </w:rPr>
              <w:t>Amphipoda</w:t>
            </w:r>
          </w:p>
        </w:tc>
        <w:tc>
          <w:tcPr>
            <w:tcW w:w="1346" w:type="dxa"/>
            <w:shd w:val="clear" w:color="auto" w:fill="auto"/>
            <w:noWrap/>
            <w:hideMark/>
          </w:tcPr>
          <w:p w14:paraId="36FF2624" w14:textId="77777777" w:rsidR="0044478E" w:rsidRPr="00747E35" w:rsidRDefault="0044478E" w:rsidP="0044478E">
            <w:pPr>
              <w:pStyle w:val="Tabletext"/>
              <w:spacing w:before="0" w:after="0"/>
              <w:rPr>
                <w:rFonts w:cstheme="minorHAnsi"/>
                <w:sz w:val="16"/>
              </w:rPr>
            </w:pPr>
            <w:r w:rsidRPr="00747E35">
              <w:rPr>
                <w:rFonts w:cstheme="minorHAnsi"/>
                <w:sz w:val="16"/>
              </w:rPr>
              <w:t>Chiltoniidae</w:t>
            </w:r>
          </w:p>
        </w:tc>
        <w:tc>
          <w:tcPr>
            <w:tcW w:w="2976" w:type="dxa"/>
            <w:shd w:val="clear" w:color="auto" w:fill="auto"/>
            <w:noWrap/>
            <w:hideMark/>
          </w:tcPr>
          <w:p w14:paraId="7566F191" w14:textId="77777777" w:rsidR="0044478E" w:rsidRPr="00747E35" w:rsidRDefault="0044478E" w:rsidP="0044478E">
            <w:pPr>
              <w:pStyle w:val="Tabletext"/>
              <w:spacing w:before="0" w:after="0"/>
              <w:rPr>
                <w:rFonts w:cstheme="minorHAnsi"/>
                <w:i/>
                <w:sz w:val="16"/>
              </w:rPr>
            </w:pPr>
            <w:r w:rsidRPr="00747E35">
              <w:rPr>
                <w:rFonts w:cstheme="minorHAnsi"/>
                <w:i/>
                <w:sz w:val="16"/>
              </w:rPr>
              <w:t>Wangiannachiltonia ghania</w:t>
            </w:r>
          </w:p>
        </w:tc>
        <w:tc>
          <w:tcPr>
            <w:tcW w:w="1134" w:type="dxa"/>
            <w:shd w:val="clear" w:color="auto" w:fill="auto"/>
            <w:noWrap/>
            <w:hideMark/>
          </w:tcPr>
          <w:p w14:paraId="094E3440" w14:textId="77777777" w:rsidR="0044478E" w:rsidRPr="00747E35" w:rsidRDefault="0044478E" w:rsidP="0044478E">
            <w:pPr>
              <w:pStyle w:val="Tabletext"/>
              <w:spacing w:before="0" w:after="0"/>
              <w:rPr>
                <w:rFonts w:cstheme="minorHAnsi"/>
                <w:sz w:val="16"/>
              </w:rPr>
            </w:pPr>
            <w:r w:rsidRPr="00747E35">
              <w:rPr>
                <w:rFonts w:cstheme="minorHAnsi"/>
                <w:sz w:val="16"/>
              </w:rPr>
              <w:t>A_Waghan</w:t>
            </w:r>
          </w:p>
        </w:tc>
        <w:tc>
          <w:tcPr>
            <w:tcW w:w="567" w:type="dxa"/>
          </w:tcPr>
          <w:p w14:paraId="1837365F" w14:textId="77777777" w:rsidR="0044478E" w:rsidRPr="00747E35" w:rsidRDefault="0044478E" w:rsidP="0044478E">
            <w:pPr>
              <w:pStyle w:val="Tabletext"/>
              <w:spacing w:before="0" w:after="0"/>
              <w:rPr>
                <w:rFonts w:cstheme="minorHAnsi"/>
                <w:sz w:val="16"/>
              </w:rPr>
            </w:pPr>
            <w:r w:rsidRPr="00747E35">
              <w:rPr>
                <w:rFonts w:cstheme="minorHAnsi"/>
                <w:sz w:val="16"/>
              </w:rPr>
              <w:t>5</w:t>
            </w:r>
          </w:p>
        </w:tc>
        <w:tc>
          <w:tcPr>
            <w:tcW w:w="709" w:type="dxa"/>
          </w:tcPr>
          <w:p w14:paraId="192D9A0E" w14:textId="77777777" w:rsidR="0044478E" w:rsidRPr="00747E35" w:rsidRDefault="0044478E" w:rsidP="0044478E">
            <w:pPr>
              <w:pStyle w:val="Tabletext"/>
              <w:spacing w:before="0" w:after="0"/>
              <w:rPr>
                <w:rFonts w:cstheme="minorHAnsi"/>
                <w:sz w:val="16"/>
              </w:rPr>
            </w:pPr>
            <w:r w:rsidRPr="00747E35">
              <w:rPr>
                <w:rFonts w:cstheme="minorHAnsi"/>
                <w:sz w:val="16"/>
              </w:rPr>
              <w:t>2.0</w:t>
            </w:r>
          </w:p>
        </w:tc>
        <w:tc>
          <w:tcPr>
            <w:tcW w:w="992" w:type="dxa"/>
          </w:tcPr>
          <w:p w14:paraId="057BBFC4"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777869E9"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61841A2F" w14:textId="77777777" w:rsidR="0044478E" w:rsidRPr="00747E35" w:rsidRDefault="0044478E" w:rsidP="0044478E">
            <w:pPr>
              <w:pStyle w:val="Tabletext"/>
              <w:spacing w:before="0" w:after="0"/>
              <w:rPr>
                <w:rFonts w:cstheme="minorHAnsi"/>
                <w:sz w:val="16"/>
              </w:rPr>
            </w:pPr>
            <w:r w:rsidRPr="00747E35">
              <w:rPr>
                <w:rFonts w:cstheme="minorHAnsi"/>
                <w:sz w:val="16"/>
              </w:rPr>
              <w:t>Broad supergroup</w:t>
            </w:r>
          </w:p>
        </w:tc>
      </w:tr>
      <w:tr w:rsidR="0044478E" w:rsidRPr="00747E35" w14:paraId="12700840" w14:textId="77777777" w:rsidTr="0044478E">
        <w:trPr>
          <w:trHeight w:val="20"/>
        </w:trPr>
        <w:tc>
          <w:tcPr>
            <w:tcW w:w="964" w:type="dxa"/>
            <w:shd w:val="clear" w:color="auto" w:fill="auto"/>
            <w:noWrap/>
            <w:hideMark/>
          </w:tcPr>
          <w:p w14:paraId="68172808"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5B67B8B6"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3525F6FC"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0C80E55C" w14:textId="77777777" w:rsidR="0044478E" w:rsidRPr="00747E35" w:rsidRDefault="0044478E" w:rsidP="0044478E">
            <w:pPr>
              <w:pStyle w:val="Tabletext"/>
              <w:spacing w:before="0" w:after="0"/>
              <w:rPr>
                <w:rFonts w:cstheme="minorHAnsi"/>
                <w:sz w:val="16"/>
              </w:rPr>
            </w:pPr>
            <w:r w:rsidRPr="00747E35">
              <w:rPr>
                <w:rFonts w:cstheme="minorHAnsi"/>
                <w:sz w:val="16"/>
              </w:rPr>
              <w:t>Amphipoda</w:t>
            </w:r>
          </w:p>
        </w:tc>
        <w:tc>
          <w:tcPr>
            <w:tcW w:w="1346" w:type="dxa"/>
            <w:shd w:val="clear" w:color="auto" w:fill="auto"/>
            <w:noWrap/>
            <w:hideMark/>
          </w:tcPr>
          <w:p w14:paraId="47EBBCA9" w14:textId="77777777" w:rsidR="0044478E" w:rsidRPr="00747E35" w:rsidRDefault="0044478E" w:rsidP="0044478E">
            <w:pPr>
              <w:pStyle w:val="Tabletext"/>
              <w:spacing w:before="0" w:after="0"/>
              <w:rPr>
                <w:rFonts w:cstheme="minorHAnsi"/>
                <w:sz w:val="16"/>
              </w:rPr>
            </w:pPr>
            <w:r w:rsidRPr="00747E35">
              <w:rPr>
                <w:rFonts w:cstheme="minorHAnsi"/>
                <w:sz w:val="16"/>
              </w:rPr>
              <w:t>Chiltoniidae</w:t>
            </w:r>
          </w:p>
        </w:tc>
        <w:tc>
          <w:tcPr>
            <w:tcW w:w="2976" w:type="dxa"/>
            <w:shd w:val="clear" w:color="auto" w:fill="auto"/>
            <w:noWrap/>
            <w:hideMark/>
          </w:tcPr>
          <w:p w14:paraId="39B168C0" w14:textId="77777777" w:rsidR="0044478E" w:rsidRPr="00747E35" w:rsidRDefault="0044478E" w:rsidP="0044478E">
            <w:pPr>
              <w:pStyle w:val="Tabletext"/>
              <w:spacing w:before="0" w:after="0"/>
              <w:rPr>
                <w:rFonts w:cstheme="minorHAnsi"/>
                <w:i/>
                <w:sz w:val="16"/>
              </w:rPr>
            </w:pPr>
            <w:r w:rsidRPr="00747E35">
              <w:rPr>
                <w:rFonts w:cstheme="minorHAnsi"/>
                <w:i/>
                <w:sz w:val="16"/>
              </w:rPr>
              <w:t>Wangiannachiltonia gotchi</w:t>
            </w:r>
          </w:p>
        </w:tc>
        <w:tc>
          <w:tcPr>
            <w:tcW w:w="1134" w:type="dxa"/>
            <w:shd w:val="clear" w:color="auto" w:fill="auto"/>
            <w:noWrap/>
            <w:hideMark/>
          </w:tcPr>
          <w:p w14:paraId="660C60EB" w14:textId="77777777" w:rsidR="0044478E" w:rsidRPr="00747E35" w:rsidRDefault="0044478E" w:rsidP="0044478E">
            <w:pPr>
              <w:pStyle w:val="Tabletext"/>
              <w:spacing w:before="0" w:after="0"/>
              <w:rPr>
                <w:rFonts w:cstheme="minorHAnsi"/>
                <w:sz w:val="16"/>
              </w:rPr>
            </w:pPr>
            <w:r w:rsidRPr="00747E35">
              <w:rPr>
                <w:rFonts w:cstheme="minorHAnsi"/>
                <w:sz w:val="16"/>
              </w:rPr>
              <w:t>A_Wagotc</w:t>
            </w:r>
          </w:p>
        </w:tc>
        <w:tc>
          <w:tcPr>
            <w:tcW w:w="567" w:type="dxa"/>
          </w:tcPr>
          <w:p w14:paraId="03EF090B" w14:textId="77777777" w:rsidR="0044478E" w:rsidRPr="00747E35" w:rsidRDefault="0044478E" w:rsidP="0044478E">
            <w:pPr>
              <w:pStyle w:val="Tabletext"/>
              <w:spacing w:before="0" w:after="0"/>
              <w:rPr>
                <w:rFonts w:cstheme="minorHAnsi"/>
                <w:sz w:val="16"/>
              </w:rPr>
            </w:pPr>
            <w:r w:rsidRPr="00747E35">
              <w:rPr>
                <w:rFonts w:cstheme="minorHAnsi"/>
                <w:sz w:val="16"/>
              </w:rPr>
              <w:t>5</w:t>
            </w:r>
          </w:p>
        </w:tc>
        <w:tc>
          <w:tcPr>
            <w:tcW w:w="709" w:type="dxa"/>
          </w:tcPr>
          <w:p w14:paraId="043A8D2B" w14:textId="77777777" w:rsidR="0044478E" w:rsidRPr="00747E35" w:rsidRDefault="0044478E" w:rsidP="0044478E">
            <w:pPr>
              <w:pStyle w:val="Tabletext"/>
              <w:spacing w:before="0" w:after="0"/>
              <w:rPr>
                <w:rFonts w:cstheme="minorHAnsi"/>
                <w:sz w:val="16"/>
              </w:rPr>
            </w:pPr>
            <w:r w:rsidRPr="00747E35">
              <w:rPr>
                <w:rFonts w:cstheme="minorHAnsi"/>
                <w:sz w:val="16"/>
              </w:rPr>
              <w:t>45.7</w:t>
            </w:r>
          </w:p>
        </w:tc>
        <w:tc>
          <w:tcPr>
            <w:tcW w:w="992" w:type="dxa"/>
          </w:tcPr>
          <w:p w14:paraId="55465781"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0697C223"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06FF7D21" w14:textId="77777777" w:rsidR="0044478E" w:rsidRPr="00747E35" w:rsidRDefault="0044478E" w:rsidP="0044478E">
            <w:pPr>
              <w:pStyle w:val="Tabletext"/>
              <w:spacing w:before="0" w:after="0"/>
              <w:rPr>
                <w:rFonts w:cstheme="minorHAnsi"/>
                <w:sz w:val="16"/>
              </w:rPr>
            </w:pPr>
            <w:r w:rsidRPr="00747E35">
              <w:rPr>
                <w:rFonts w:cstheme="minorHAnsi"/>
                <w:sz w:val="16"/>
              </w:rPr>
              <w:t>Broad supergroup</w:t>
            </w:r>
          </w:p>
        </w:tc>
      </w:tr>
      <w:tr w:rsidR="0044478E" w:rsidRPr="00747E35" w14:paraId="031C751F" w14:textId="77777777" w:rsidTr="0044478E">
        <w:trPr>
          <w:trHeight w:val="20"/>
        </w:trPr>
        <w:tc>
          <w:tcPr>
            <w:tcW w:w="964" w:type="dxa"/>
            <w:shd w:val="clear" w:color="auto" w:fill="auto"/>
            <w:noWrap/>
            <w:hideMark/>
          </w:tcPr>
          <w:p w14:paraId="6EF927A2"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67726E61"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2C017B3F"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4FE1EAF7" w14:textId="77777777" w:rsidR="0044478E" w:rsidRPr="00747E35" w:rsidRDefault="0044478E" w:rsidP="0044478E">
            <w:pPr>
              <w:pStyle w:val="Tabletext"/>
              <w:spacing w:before="0" w:after="0"/>
              <w:rPr>
                <w:rFonts w:cstheme="minorHAnsi"/>
                <w:sz w:val="16"/>
              </w:rPr>
            </w:pPr>
            <w:r w:rsidRPr="00747E35">
              <w:rPr>
                <w:rFonts w:cstheme="minorHAnsi"/>
                <w:sz w:val="16"/>
              </w:rPr>
              <w:t>Amphipoda</w:t>
            </w:r>
          </w:p>
        </w:tc>
        <w:tc>
          <w:tcPr>
            <w:tcW w:w="1346" w:type="dxa"/>
            <w:shd w:val="clear" w:color="auto" w:fill="auto"/>
            <w:noWrap/>
            <w:hideMark/>
          </w:tcPr>
          <w:p w14:paraId="28FFDFB9" w14:textId="77777777" w:rsidR="0044478E" w:rsidRPr="00747E35" w:rsidRDefault="0044478E" w:rsidP="0044478E">
            <w:pPr>
              <w:pStyle w:val="Tabletext"/>
              <w:spacing w:before="0" w:after="0"/>
              <w:rPr>
                <w:rFonts w:cstheme="minorHAnsi"/>
                <w:sz w:val="16"/>
              </w:rPr>
            </w:pPr>
            <w:r w:rsidRPr="00747E35">
              <w:rPr>
                <w:rFonts w:cstheme="minorHAnsi"/>
                <w:sz w:val="16"/>
              </w:rPr>
              <w:t>Chiltoniidae</w:t>
            </w:r>
          </w:p>
        </w:tc>
        <w:tc>
          <w:tcPr>
            <w:tcW w:w="2976" w:type="dxa"/>
            <w:shd w:val="clear" w:color="auto" w:fill="auto"/>
            <w:noWrap/>
            <w:hideMark/>
          </w:tcPr>
          <w:p w14:paraId="7B367573" w14:textId="77777777" w:rsidR="0044478E" w:rsidRPr="00747E35" w:rsidRDefault="0044478E" w:rsidP="0044478E">
            <w:pPr>
              <w:pStyle w:val="Tabletext"/>
              <w:spacing w:before="0" w:after="0"/>
              <w:rPr>
                <w:rFonts w:cstheme="minorHAnsi"/>
                <w:i/>
                <w:sz w:val="16"/>
              </w:rPr>
            </w:pPr>
            <w:r w:rsidRPr="00747E35">
              <w:rPr>
                <w:rFonts w:cstheme="minorHAnsi"/>
                <w:i/>
                <w:sz w:val="16"/>
              </w:rPr>
              <w:t>Wangiannachiltonia guzikae</w:t>
            </w:r>
          </w:p>
        </w:tc>
        <w:tc>
          <w:tcPr>
            <w:tcW w:w="1134" w:type="dxa"/>
            <w:shd w:val="clear" w:color="auto" w:fill="auto"/>
            <w:noWrap/>
            <w:hideMark/>
          </w:tcPr>
          <w:p w14:paraId="7344B449" w14:textId="77777777" w:rsidR="0044478E" w:rsidRPr="00747E35" w:rsidRDefault="0044478E" w:rsidP="0044478E">
            <w:pPr>
              <w:pStyle w:val="Tabletext"/>
              <w:spacing w:before="0" w:after="0"/>
              <w:rPr>
                <w:rFonts w:cstheme="minorHAnsi"/>
                <w:sz w:val="16"/>
              </w:rPr>
            </w:pPr>
            <w:r w:rsidRPr="00747E35">
              <w:rPr>
                <w:rFonts w:cstheme="minorHAnsi"/>
                <w:sz w:val="16"/>
              </w:rPr>
              <w:t>A_Waguzi</w:t>
            </w:r>
          </w:p>
        </w:tc>
        <w:tc>
          <w:tcPr>
            <w:tcW w:w="567" w:type="dxa"/>
          </w:tcPr>
          <w:p w14:paraId="2DC549EF"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04B22195" w14:textId="77777777" w:rsidR="0044478E" w:rsidRPr="00747E35" w:rsidRDefault="0044478E" w:rsidP="0044478E">
            <w:pPr>
              <w:pStyle w:val="Tabletext"/>
              <w:spacing w:before="0" w:after="0"/>
              <w:rPr>
                <w:rFonts w:cstheme="minorHAnsi"/>
                <w:sz w:val="16"/>
              </w:rPr>
            </w:pPr>
            <w:r w:rsidRPr="00747E35">
              <w:rPr>
                <w:rFonts w:cstheme="minorHAnsi"/>
                <w:sz w:val="16"/>
              </w:rPr>
              <w:t>0.9</w:t>
            </w:r>
          </w:p>
        </w:tc>
        <w:tc>
          <w:tcPr>
            <w:tcW w:w="992" w:type="dxa"/>
          </w:tcPr>
          <w:p w14:paraId="40BEF6BE"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790CB7E7"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77F813CC"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4A7585FA" w14:textId="77777777" w:rsidTr="0044478E">
        <w:trPr>
          <w:trHeight w:val="20"/>
        </w:trPr>
        <w:tc>
          <w:tcPr>
            <w:tcW w:w="964" w:type="dxa"/>
            <w:shd w:val="clear" w:color="auto" w:fill="auto"/>
            <w:noWrap/>
            <w:hideMark/>
          </w:tcPr>
          <w:p w14:paraId="75C5CB0C"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400B92AF"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17070FC7"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04F514B9" w14:textId="77777777" w:rsidR="0044478E" w:rsidRPr="00747E35" w:rsidRDefault="0044478E" w:rsidP="0044478E">
            <w:pPr>
              <w:pStyle w:val="Tabletext"/>
              <w:spacing w:before="0" w:after="0"/>
              <w:rPr>
                <w:rFonts w:cstheme="minorHAnsi"/>
                <w:sz w:val="16"/>
              </w:rPr>
            </w:pPr>
            <w:r w:rsidRPr="00747E35">
              <w:rPr>
                <w:rFonts w:cstheme="minorHAnsi"/>
                <w:sz w:val="16"/>
              </w:rPr>
              <w:t>Amphipoda</w:t>
            </w:r>
          </w:p>
        </w:tc>
        <w:tc>
          <w:tcPr>
            <w:tcW w:w="1346" w:type="dxa"/>
            <w:shd w:val="clear" w:color="auto" w:fill="auto"/>
            <w:noWrap/>
            <w:hideMark/>
          </w:tcPr>
          <w:p w14:paraId="49289F00" w14:textId="77777777" w:rsidR="0044478E" w:rsidRPr="00747E35" w:rsidRDefault="0044478E" w:rsidP="0044478E">
            <w:pPr>
              <w:pStyle w:val="Tabletext"/>
              <w:spacing w:before="0" w:after="0"/>
              <w:rPr>
                <w:rFonts w:cstheme="minorHAnsi"/>
                <w:sz w:val="16"/>
              </w:rPr>
            </w:pPr>
            <w:r w:rsidRPr="00747E35">
              <w:rPr>
                <w:rFonts w:cstheme="minorHAnsi"/>
                <w:sz w:val="16"/>
              </w:rPr>
              <w:t>Chiltoniidae</w:t>
            </w:r>
          </w:p>
        </w:tc>
        <w:tc>
          <w:tcPr>
            <w:tcW w:w="2976" w:type="dxa"/>
            <w:shd w:val="clear" w:color="auto" w:fill="auto"/>
            <w:noWrap/>
            <w:hideMark/>
          </w:tcPr>
          <w:p w14:paraId="366899C5" w14:textId="77777777" w:rsidR="0044478E" w:rsidRPr="00747E35" w:rsidRDefault="0044478E" w:rsidP="0044478E">
            <w:pPr>
              <w:pStyle w:val="Tabletext"/>
              <w:spacing w:before="0" w:after="0"/>
              <w:rPr>
                <w:rFonts w:cstheme="minorHAnsi"/>
                <w:i/>
                <w:sz w:val="16"/>
              </w:rPr>
            </w:pPr>
            <w:r w:rsidRPr="00747E35">
              <w:rPr>
                <w:rFonts w:cstheme="minorHAnsi"/>
                <w:i/>
                <w:sz w:val="16"/>
              </w:rPr>
              <w:t>Wangiannachiltonia olympicdamia</w:t>
            </w:r>
          </w:p>
        </w:tc>
        <w:tc>
          <w:tcPr>
            <w:tcW w:w="1134" w:type="dxa"/>
            <w:shd w:val="clear" w:color="auto" w:fill="auto"/>
            <w:noWrap/>
            <w:hideMark/>
          </w:tcPr>
          <w:p w14:paraId="65DFDB14" w14:textId="77777777" w:rsidR="0044478E" w:rsidRPr="00747E35" w:rsidRDefault="0044478E" w:rsidP="0044478E">
            <w:pPr>
              <w:pStyle w:val="Tabletext"/>
              <w:spacing w:before="0" w:after="0"/>
              <w:rPr>
                <w:rFonts w:cstheme="minorHAnsi"/>
                <w:sz w:val="16"/>
              </w:rPr>
            </w:pPr>
            <w:r w:rsidRPr="00747E35">
              <w:rPr>
                <w:rFonts w:cstheme="minorHAnsi"/>
                <w:sz w:val="16"/>
              </w:rPr>
              <w:t>A_Waolym</w:t>
            </w:r>
          </w:p>
        </w:tc>
        <w:tc>
          <w:tcPr>
            <w:tcW w:w="567" w:type="dxa"/>
          </w:tcPr>
          <w:p w14:paraId="57E4772A" w14:textId="77777777" w:rsidR="0044478E" w:rsidRPr="00747E35" w:rsidRDefault="0044478E" w:rsidP="0044478E">
            <w:pPr>
              <w:pStyle w:val="Tabletext"/>
              <w:spacing w:before="0" w:after="0"/>
              <w:rPr>
                <w:rFonts w:cstheme="minorHAnsi"/>
                <w:sz w:val="16"/>
              </w:rPr>
            </w:pPr>
            <w:r w:rsidRPr="00747E35">
              <w:rPr>
                <w:rFonts w:cstheme="minorHAnsi"/>
                <w:sz w:val="16"/>
              </w:rPr>
              <w:t>4</w:t>
            </w:r>
          </w:p>
        </w:tc>
        <w:tc>
          <w:tcPr>
            <w:tcW w:w="709" w:type="dxa"/>
          </w:tcPr>
          <w:p w14:paraId="72BC6B7C" w14:textId="77777777" w:rsidR="0044478E" w:rsidRPr="00747E35" w:rsidRDefault="0044478E" w:rsidP="0044478E">
            <w:pPr>
              <w:pStyle w:val="Tabletext"/>
              <w:spacing w:before="0" w:after="0"/>
              <w:rPr>
                <w:rFonts w:cstheme="minorHAnsi"/>
                <w:sz w:val="16"/>
              </w:rPr>
            </w:pPr>
            <w:r w:rsidRPr="00747E35">
              <w:rPr>
                <w:rFonts w:cstheme="minorHAnsi"/>
                <w:sz w:val="16"/>
              </w:rPr>
              <w:t>1.1</w:t>
            </w:r>
          </w:p>
        </w:tc>
        <w:tc>
          <w:tcPr>
            <w:tcW w:w="992" w:type="dxa"/>
          </w:tcPr>
          <w:p w14:paraId="41745D19"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28245509"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14DF02A7" w14:textId="77777777" w:rsidR="0044478E" w:rsidRPr="00747E35" w:rsidRDefault="0044478E" w:rsidP="0044478E">
            <w:pPr>
              <w:pStyle w:val="Tabletext"/>
              <w:spacing w:before="0" w:after="0"/>
              <w:rPr>
                <w:rFonts w:cstheme="minorHAnsi"/>
                <w:sz w:val="16"/>
              </w:rPr>
            </w:pPr>
            <w:r w:rsidRPr="00747E35">
              <w:rPr>
                <w:rFonts w:cstheme="minorHAnsi"/>
                <w:sz w:val="16"/>
              </w:rPr>
              <w:t>Broad supergroup</w:t>
            </w:r>
          </w:p>
        </w:tc>
      </w:tr>
      <w:tr w:rsidR="0044478E" w:rsidRPr="00747E35" w14:paraId="5151B9D8" w14:textId="77777777" w:rsidTr="0044478E">
        <w:trPr>
          <w:trHeight w:val="20"/>
        </w:trPr>
        <w:tc>
          <w:tcPr>
            <w:tcW w:w="964" w:type="dxa"/>
            <w:shd w:val="clear" w:color="auto" w:fill="auto"/>
            <w:noWrap/>
            <w:hideMark/>
          </w:tcPr>
          <w:p w14:paraId="19A1A256"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68DD80E6"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14A6F896"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649B3DB9" w14:textId="77777777" w:rsidR="0044478E" w:rsidRPr="00747E35" w:rsidRDefault="0044478E" w:rsidP="0044478E">
            <w:pPr>
              <w:pStyle w:val="Tabletext"/>
              <w:spacing w:before="0" w:after="0"/>
              <w:rPr>
                <w:rFonts w:cstheme="minorHAnsi"/>
                <w:sz w:val="16"/>
              </w:rPr>
            </w:pPr>
            <w:r w:rsidRPr="00747E35">
              <w:rPr>
                <w:rFonts w:cstheme="minorHAnsi"/>
                <w:sz w:val="16"/>
              </w:rPr>
              <w:t>Amphipoda</w:t>
            </w:r>
          </w:p>
        </w:tc>
        <w:tc>
          <w:tcPr>
            <w:tcW w:w="1346" w:type="dxa"/>
            <w:shd w:val="clear" w:color="auto" w:fill="auto"/>
            <w:noWrap/>
            <w:hideMark/>
          </w:tcPr>
          <w:p w14:paraId="329BDAFE" w14:textId="77777777" w:rsidR="0044478E" w:rsidRPr="00747E35" w:rsidRDefault="0044478E" w:rsidP="0044478E">
            <w:pPr>
              <w:pStyle w:val="Tabletext"/>
              <w:spacing w:before="0" w:after="0"/>
              <w:rPr>
                <w:rFonts w:cstheme="minorHAnsi"/>
                <w:sz w:val="16"/>
              </w:rPr>
            </w:pPr>
            <w:r w:rsidRPr="00747E35">
              <w:rPr>
                <w:rFonts w:cstheme="minorHAnsi"/>
                <w:sz w:val="16"/>
              </w:rPr>
              <w:t>Chiltoniidae</w:t>
            </w:r>
          </w:p>
        </w:tc>
        <w:tc>
          <w:tcPr>
            <w:tcW w:w="2976" w:type="dxa"/>
            <w:shd w:val="clear" w:color="auto" w:fill="auto"/>
            <w:noWrap/>
            <w:hideMark/>
          </w:tcPr>
          <w:p w14:paraId="202D149F" w14:textId="77777777" w:rsidR="0044478E" w:rsidRPr="00747E35" w:rsidRDefault="0044478E" w:rsidP="0044478E">
            <w:pPr>
              <w:pStyle w:val="Tabletext"/>
              <w:spacing w:before="0" w:after="0"/>
              <w:rPr>
                <w:rFonts w:cstheme="minorHAnsi"/>
                <w:i/>
                <w:sz w:val="16"/>
              </w:rPr>
            </w:pPr>
            <w:r w:rsidRPr="00747E35">
              <w:rPr>
                <w:rFonts w:cstheme="minorHAnsi"/>
                <w:i/>
                <w:sz w:val="16"/>
              </w:rPr>
              <w:t>Wangiannachiltonia stuarti</w:t>
            </w:r>
          </w:p>
        </w:tc>
        <w:tc>
          <w:tcPr>
            <w:tcW w:w="1134" w:type="dxa"/>
            <w:shd w:val="clear" w:color="auto" w:fill="auto"/>
            <w:noWrap/>
            <w:hideMark/>
          </w:tcPr>
          <w:p w14:paraId="7C7CE323" w14:textId="77777777" w:rsidR="0044478E" w:rsidRPr="00747E35" w:rsidRDefault="0044478E" w:rsidP="0044478E">
            <w:pPr>
              <w:pStyle w:val="Tabletext"/>
              <w:spacing w:before="0" w:after="0"/>
              <w:rPr>
                <w:rFonts w:cstheme="minorHAnsi"/>
                <w:sz w:val="16"/>
              </w:rPr>
            </w:pPr>
            <w:r w:rsidRPr="00747E35">
              <w:rPr>
                <w:rFonts w:cstheme="minorHAnsi"/>
                <w:sz w:val="16"/>
              </w:rPr>
              <w:t>A_Wastuar</w:t>
            </w:r>
          </w:p>
        </w:tc>
        <w:tc>
          <w:tcPr>
            <w:tcW w:w="567" w:type="dxa"/>
          </w:tcPr>
          <w:p w14:paraId="5E22AB93" w14:textId="77777777" w:rsidR="0044478E" w:rsidRPr="00747E35" w:rsidRDefault="0044478E" w:rsidP="0044478E">
            <w:pPr>
              <w:pStyle w:val="Tabletext"/>
              <w:spacing w:before="0" w:after="0"/>
              <w:rPr>
                <w:rFonts w:cstheme="minorHAnsi"/>
                <w:sz w:val="16"/>
              </w:rPr>
            </w:pPr>
            <w:r w:rsidRPr="00747E35">
              <w:rPr>
                <w:rFonts w:cstheme="minorHAnsi"/>
                <w:sz w:val="16"/>
              </w:rPr>
              <w:t>4</w:t>
            </w:r>
          </w:p>
        </w:tc>
        <w:tc>
          <w:tcPr>
            <w:tcW w:w="709" w:type="dxa"/>
          </w:tcPr>
          <w:p w14:paraId="731D1BF6" w14:textId="77777777" w:rsidR="0044478E" w:rsidRPr="00747E35" w:rsidRDefault="0044478E" w:rsidP="0044478E">
            <w:pPr>
              <w:pStyle w:val="Tabletext"/>
              <w:spacing w:before="0" w:after="0"/>
              <w:rPr>
                <w:rFonts w:cstheme="minorHAnsi"/>
                <w:sz w:val="16"/>
              </w:rPr>
            </w:pPr>
            <w:r w:rsidRPr="00747E35">
              <w:rPr>
                <w:rFonts w:cstheme="minorHAnsi"/>
                <w:sz w:val="16"/>
              </w:rPr>
              <w:t>7.2</w:t>
            </w:r>
          </w:p>
        </w:tc>
        <w:tc>
          <w:tcPr>
            <w:tcW w:w="992" w:type="dxa"/>
          </w:tcPr>
          <w:p w14:paraId="3EC6AC58"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66CE8F19"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1D5497D6" w14:textId="77777777" w:rsidR="0044478E" w:rsidRPr="00747E35" w:rsidRDefault="0044478E" w:rsidP="0044478E">
            <w:pPr>
              <w:pStyle w:val="Tabletext"/>
              <w:spacing w:before="0" w:after="0"/>
              <w:rPr>
                <w:rFonts w:cstheme="minorHAnsi"/>
                <w:sz w:val="16"/>
              </w:rPr>
            </w:pPr>
            <w:r w:rsidRPr="00747E35">
              <w:rPr>
                <w:rFonts w:cstheme="minorHAnsi"/>
                <w:sz w:val="16"/>
              </w:rPr>
              <w:t>Broad supergroup</w:t>
            </w:r>
          </w:p>
        </w:tc>
      </w:tr>
      <w:tr w:rsidR="0044478E" w:rsidRPr="00747E35" w14:paraId="4200711E" w14:textId="77777777" w:rsidTr="0044478E">
        <w:trPr>
          <w:trHeight w:val="20"/>
        </w:trPr>
        <w:tc>
          <w:tcPr>
            <w:tcW w:w="964" w:type="dxa"/>
            <w:shd w:val="clear" w:color="auto" w:fill="auto"/>
            <w:noWrap/>
            <w:hideMark/>
          </w:tcPr>
          <w:p w14:paraId="475369C9"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660E2773"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480C420A"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194E5C9E" w14:textId="77777777" w:rsidR="0044478E" w:rsidRPr="00747E35" w:rsidRDefault="0044478E" w:rsidP="0044478E">
            <w:pPr>
              <w:pStyle w:val="Tabletext"/>
              <w:spacing w:before="0" w:after="0"/>
              <w:rPr>
                <w:rFonts w:cstheme="minorHAnsi"/>
                <w:sz w:val="16"/>
              </w:rPr>
            </w:pPr>
            <w:r w:rsidRPr="00747E35">
              <w:rPr>
                <w:rFonts w:cstheme="minorHAnsi"/>
                <w:sz w:val="16"/>
              </w:rPr>
              <w:t>Amphipoda</w:t>
            </w:r>
          </w:p>
        </w:tc>
        <w:tc>
          <w:tcPr>
            <w:tcW w:w="1346" w:type="dxa"/>
            <w:shd w:val="clear" w:color="auto" w:fill="auto"/>
            <w:noWrap/>
            <w:hideMark/>
          </w:tcPr>
          <w:p w14:paraId="6E43CAD9" w14:textId="77777777" w:rsidR="0044478E" w:rsidRPr="00747E35" w:rsidRDefault="0044478E" w:rsidP="0044478E">
            <w:pPr>
              <w:pStyle w:val="Tabletext"/>
              <w:spacing w:before="0" w:after="0"/>
              <w:rPr>
                <w:rFonts w:cstheme="minorHAnsi"/>
                <w:sz w:val="16"/>
              </w:rPr>
            </w:pPr>
            <w:r w:rsidRPr="00747E35">
              <w:rPr>
                <w:rFonts w:cstheme="minorHAnsi"/>
                <w:sz w:val="16"/>
              </w:rPr>
              <w:t>Chiltoniidae</w:t>
            </w:r>
          </w:p>
        </w:tc>
        <w:tc>
          <w:tcPr>
            <w:tcW w:w="2976" w:type="dxa"/>
            <w:shd w:val="clear" w:color="auto" w:fill="auto"/>
            <w:noWrap/>
            <w:hideMark/>
          </w:tcPr>
          <w:p w14:paraId="39C9E28A" w14:textId="77777777" w:rsidR="0044478E" w:rsidRPr="00747E35" w:rsidRDefault="0044478E" w:rsidP="0044478E">
            <w:pPr>
              <w:pStyle w:val="Tabletext"/>
              <w:spacing w:before="0" w:after="0"/>
              <w:rPr>
                <w:rFonts w:cstheme="minorHAnsi"/>
                <w:i/>
                <w:sz w:val="16"/>
              </w:rPr>
            </w:pPr>
            <w:r w:rsidRPr="00747E35">
              <w:rPr>
                <w:rFonts w:cstheme="minorHAnsi"/>
                <w:i/>
                <w:sz w:val="16"/>
              </w:rPr>
              <w:t>Wangiannachiltonia wabmakdarbu</w:t>
            </w:r>
          </w:p>
        </w:tc>
        <w:tc>
          <w:tcPr>
            <w:tcW w:w="1134" w:type="dxa"/>
            <w:shd w:val="clear" w:color="auto" w:fill="auto"/>
            <w:noWrap/>
            <w:hideMark/>
          </w:tcPr>
          <w:p w14:paraId="11049DC7" w14:textId="77777777" w:rsidR="0044478E" w:rsidRPr="00747E35" w:rsidRDefault="0044478E" w:rsidP="0044478E">
            <w:pPr>
              <w:pStyle w:val="Tabletext"/>
              <w:spacing w:before="0" w:after="0"/>
              <w:rPr>
                <w:rFonts w:cstheme="minorHAnsi"/>
                <w:sz w:val="16"/>
              </w:rPr>
            </w:pPr>
            <w:r w:rsidRPr="00747E35">
              <w:rPr>
                <w:rFonts w:cstheme="minorHAnsi"/>
                <w:sz w:val="16"/>
              </w:rPr>
              <w:t>A_Wawabm</w:t>
            </w:r>
          </w:p>
        </w:tc>
        <w:tc>
          <w:tcPr>
            <w:tcW w:w="567" w:type="dxa"/>
          </w:tcPr>
          <w:p w14:paraId="7925A65E" w14:textId="77777777" w:rsidR="0044478E" w:rsidRPr="00747E35" w:rsidRDefault="0044478E" w:rsidP="0044478E">
            <w:pPr>
              <w:pStyle w:val="Tabletext"/>
              <w:spacing w:before="0" w:after="0"/>
              <w:rPr>
                <w:rFonts w:cstheme="minorHAnsi"/>
                <w:sz w:val="16"/>
              </w:rPr>
            </w:pPr>
            <w:r w:rsidRPr="00747E35">
              <w:rPr>
                <w:rFonts w:cstheme="minorHAnsi"/>
                <w:sz w:val="16"/>
              </w:rPr>
              <w:t>6</w:t>
            </w:r>
          </w:p>
        </w:tc>
        <w:tc>
          <w:tcPr>
            <w:tcW w:w="709" w:type="dxa"/>
          </w:tcPr>
          <w:p w14:paraId="346C6480" w14:textId="77777777" w:rsidR="0044478E" w:rsidRPr="00747E35" w:rsidRDefault="0044478E" w:rsidP="0044478E">
            <w:pPr>
              <w:pStyle w:val="Tabletext"/>
              <w:spacing w:before="0" w:after="0"/>
              <w:rPr>
                <w:rFonts w:cstheme="minorHAnsi"/>
                <w:sz w:val="16"/>
              </w:rPr>
            </w:pPr>
            <w:r w:rsidRPr="00747E35">
              <w:rPr>
                <w:rFonts w:cstheme="minorHAnsi"/>
                <w:sz w:val="16"/>
              </w:rPr>
              <w:t>1.5</w:t>
            </w:r>
          </w:p>
        </w:tc>
        <w:tc>
          <w:tcPr>
            <w:tcW w:w="992" w:type="dxa"/>
          </w:tcPr>
          <w:p w14:paraId="3D58622F" w14:textId="77777777" w:rsidR="0044478E" w:rsidRPr="00747E35" w:rsidRDefault="0044478E" w:rsidP="0044478E">
            <w:pPr>
              <w:pStyle w:val="Tabletext"/>
              <w:spacing w:before="0" w:after="0"/>
              <w:rPr>
                <w:rFonts w:cstheme="minorHAnsi"/>
                <w:sz w:val="16"/>
              </w:rPr>
            </w:pPr>
            <w:r w:rsidRPr="00747E35">
              <w:rPr>
                <w:rFonts w:cstheme="minorHAnsi"/>
                <w:sz w:val="16"/>
              </w:rPr>
              <w:t>83</w:t>
            </w:r>
          </w:p>
        </w:tc>
        <w:tc>
          <w:tcPr>
            <w:tcW w:w="851" w:type="dxa"/>
          </w:tcPr>
          <w:p w14:paraId="02BB7D32"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Borders>
              <w:bottom w:val="single" w:sz="4" w:space="0" w:color="auto"/>
            </w:tcBorders>
          </w:tcPr>
          <w:p w14:paraId="6DBE8BA7" w14:textId="77777777" w:rsidR="0044478E" w:rsidRPr="00747E35" w:rsidRDefault="0044478E" w:rsidP="0044478E">
            <w:pPr>
              <w:pStyle w:val="Tabletext"/>
              <w:spacing w:before="0" w:after="0"/>
              <w:rPr>
                <w:rFonts w:cstheme="minorHAnsi"/>
                <w:sz w:val="16"/>
              </w:rPr>
            </w:pPr>
            <w:r w:rsidRPr="00747E35">
              <w:rPr>
                <w:rFonts w:cstheme="minorHAnsi"/>
                <w:sz w:val="16"/>
              </w:rPr>
              <w:t>Broad supergroup</w:t>
            </w:r>
          </w:p>
        </w:tc>
      </w:tr>
      <w:tr w:rsidR="0044478E" w:rsidRPr="00747E35" w14:paraId="3D465B77" w14:textId="77777777" w:rsidTr="0044478E">
        <w:trPr>
          <w:trHeight w:val="20"/>
        </w:trPr>
        <w:tc>
          <w:tcPr>
            <w:tcW w:w="964" w:type="dxa"/>
            <w:shd w:val="clear" w:color="auto" w:fill="auto"/>
            <w:noWrap/>
            <w:hideMark/>
          </w:tcPr>
          <w:p w14:paraId="26006896"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78B9106A"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6EB7AF1C"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17C5C813" w14:textId="77777777" w:rsidR="0044478E" w:rsidRPr="00747E35" w:rsidRDefault="0044478E" w:rsidP="0044478E">
            <w:pPr>
              <w:pStyle w:val="Tabletext"/>
              <w:spacing w:before="0" w:after="0"/>
              <w:rPr>
                <w:rFonts w:cstheme="minorHAnsi"/>
                <w:sz w:val="16"/>
              </w:rPr>
            </w:pPr>
            <w:r w:rsidRPr="00747E35">
              <w:rPr>
                <w:rFonts w:cstheme="minorHAnsi"/>
                <w:sz w:val="16"/>
              </w:rPr>
              <w:t>Isopoda</w:t>
            </w:r>
          </w:p>
        </w:tc>
        <w:tc>
          <w:tcPr>
            <w:tcW w:w="1346" w:type="dxa"/>
            <w:shd w:val="clear" w:color="auto" w:fill="auto"/>
            <w:noWrap/>
            <w:hideMark/>
          </w:tcPr>
          <w:p w14:paraId="199940F8" w14:textId="77777777" w:rsidR="0044478E" w:rsidRPr="00747E35" w:rsidRDefault="0044478E" w:rsidP="0044478E">
            <w:pPr>
              <w:pStyle w:val="Tabletext"/>
              <w:spacing w:before="0" w:after="0"/>
              <w:rPr>
                <w:rFonts w:cstheme="minorHAnsi"/>
                <w:sz w:val="16"/>
              </w:rPr>
            </w:pPr>
            <w:r w:rsidRPr="00747E35">
              <w:rPr>
                <w:rFonts w:cstheme="minorHAnsi"/>
                <w:sz w:val="16"/>
              </w:rPr>
              <w:t>Amphisopodidae</w:t>
            </w:r>
          </w:p>
        </w:tc>
        <w:tc>
          <w:tcPr>
            <w:tcW w:w="2976" w:type="dxa"/>
            <w:shd w:val="clear" w:color="auto" w:fill="auto"/>
            <w:noWrap/>
            <w:hideMark/>
          </w:tcPr>
          <w:p w14:paraId="275E292F" w14:textId="77777777" w:rsidR="0044478E" w:rsidRPr="00747E35" w:rsidRDefault="0044478E" w:rsidP="0044478E">
            <w:pPr>
              <w:pStyle w:val="Tabletext"/>
              <w:spacing w:before="0" w:after="0"/>
              <w:rPr>
                <w:rFonts w:cstheme="minorHAnsi"/>
                <w:sz w:val="16"/>
              </w:rPr>
            </w:pPr>
            <w:r w:rsidRPr="00747E35">
              <w:rPr>
                <w:rFonts w:cstheme="minorHAnsi"/>
                <w:i/>
                <w:sz w:val="16"/>
              </w:rPr>
              <w:t xml:space="preserve">Phraetomerus latipes </w:t>
            </w:r>
            <w:r w:rsidRPr="00747E35">
              <w:rPr>
                <w:rFonts w:cstheme="minorHAnsi"/>
                <w:sz w:val="16"/>
              </w:rPr>
              <w:t>Clade 1/C</w:t>
            </w:r>
          </w:p>
        </w:tc>
        <w:tc>
          <w:tcPr>
            <w:tcW w:w="1134" w:type="dxa"/>
            <w:shd w:val="clear" w:color="auto" w:fill="auto"/>
            <w:noWrap/>
            <w:hideMark/>
          </w:tcPr>
          <w:p w14:paraId="625EC7AA" w14:textId="77777777" w:rsidR="0044478E" w:rsidRPr="00747E35" w:rsidRDefault="0044478E" w:rsidP="0044478E">
            <w:pPr>
              <w:pStyle w:val="Tabletext"/>
              <w:spacing w:before="0" w:after="0"/>
              <w:rPr>
                <w:rFonts w:cstheme="minorHAnsi"/>
                <w:sz w:val="16"/>
              </w:rPr>
            </w:pPr>
            <w:r w:rsidRPr="00747E35">
              <w:rPr>
                <w:rFonts w:cstheme="minorHAnsi"/>
                <w:sz w:val="16"/>
              </w:rPr>
              <w:t>I_PhlatC1</w:t>
            </w:r>
          </w:p>
        </w:tc>
        <w:tc>
          <w:tcPr>
            <w:tcW w:w="567" w:type="dxa"/>
          </w:tcPr>
          <w:p w14:paraId="691EAB8F" w14:textId="77777777" w:rsidR="0044478E" w:rsidRPr="00747E35" w:rsidRDefault="0044478E" w:rsidP="0044478E">
            <w:pPr>
              <w:pStyle w:val="Tabletext"/>
              <w:spacing w:before="0" w:after="0"/>
              <w:rPr>
                <w:rFonts w:cstheme="minorHAnsi"/>
                <w:sz w:val="16"/>
              </w:rPr>
            </w:pPr>
            <w:r w:rsidRPr="00747E35">
              <w:rPr>
                <w:rFonts w:cstheme="minorHAnsi"/>
                <w:sz w:val="16"/>
              </w:rPr>
              <w:t>13</w:t>
            </w:r>
          </w:p>
        </w:tc>
        <w:tc>
          <w:tcPr>
            <w:tcW w:w="709" w:type="dxa"/>
          </w:tcPr>
          <w:p w14:paraId="58A86EE1" w14:textId="77777777" w:rsidR="0044478E" w:rsidRPr="00747E35" w:rsidRDefault="0044478E" w:rsidP="0044478E">
            <w:pPr>
              <w:pStyle w:val="Tabletext"/>
              <w:spacing w:before="0" w:after="0"/>
              <w:rPr>
                <w:rFonts w:cstheme="minorHAnsi"/>
                <w:sz w:val="16"/>
              </w:rPr>
            </w:pPr>
            <w:r w:rsidRPr="00747E35">
              <w:rPr>
                <w:rFonts w:cstheme="minorHAnsi"/>
                <w:sz w:val="16"/>
              </w:rPr>
              <w:t>53.9</w:t>
            </w:r>
          </w:p>
        </w:tc>
        <w:tc>
          <w:tcPr>
            <w:tcW w:w="992" w:type="dxa"/>
          </w:tcPr>
          <w:p w14:paraId="50B29716" w14:textId="77777777" w:rsidR="0044478E" w:rsidRPr="00747E35" w:rsidRDefault="0044478E" w:rsidP="0044478E">
            <w:pPr>
              <w:pStyle w:val="Tabletext"/>
              <w:spacing w:before="0" w:after="0"/>
              <w:rPr>
                <w:rFonts w:cstheme="minorHAnsi"/>
                <w:sz w:val="16"/>
              </w:rPr>
            </w:pPr>
            <w:r w:rsidRPr="00747E35">
              <w:rPr>
                <w:rFonts w:cstheme="minorHAnsi"/>
                <w:sz w:val="16"/>
              </w:rPr>
              <w:t>69</w:t>
            </w:r>
          </w:p>
        </w:tc>
        <w:tc>
          <w:tcPr>
            <w:tcW w:w="851" w:type="dxa"/>
            <w:tcBorders>
              <w:right w:val="single" w:sz="4" w:space="0" w:color="auto"/>
            </w:tcBorders>
          </w:tcPr>
          <w:p w14:paraId="6E5B0FAA"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val="restart"/>
            <w:tcBorders>
              <w:top w:val="single" w:sz="4" w:space="0" w:color="auto"/>
              <w:left w:val="single" w:sz="4" w:space="0" w:color="auto"/>
              <w:bottom w:val="single" w:sz="4" w:space="0" w:color="auto"/>
            </w:tcBorders>
            <w:vAlign w:val="center"/>
          </w:tcPr>
          <w:p w14:paraId="3674E372" w14:textId="77777777" w:rsidR="0044478E" w:rsidRPr="00747E35" w:rsidRDefault="0044478E" w:rsidP="0044478E">
            <w:pPr>
              <w:pStyle w:val="Tabletext"/>
              <w:spacing w:before="0" w:after="0"/>
              <w:rPr>
                <w:rFonts w:cstheme="minorHAnsi"/>
                <w:sz w:val="16"/>
              </w:rPr>
            </w:pPr>
            <w:r w:rsidRPr="00747E35">
              <w:rPr>
                <w:rFonts w:cstheme="minorHAnsi"/>
                <w:sz w:val="16"/>
              </w:rPr>
              <w:t>Broad supergroup</w:t>
            </w:r>
          </w:p>
        </w:tc>
      </w:tr>
      <w:tr w:rsidR="0044478E" w:rsidRPr="00747E35" w14:paraId="68C0C782" w14:textId="77777777" w:rsidTr="0044478E">
        <w:trPr>
          <w:trHeight w:val="20"/>
        </w:trPr>
        <w:tc>
          <w:tcPr>
            <w:tcW w:w="964" w:type="dxa"/>
            <w:shd w:val="clear" w:color="auto" w:fill="auto"/>
            <w:noWrap/>
            <w:hideMark/>
          </w:tcPr>
          <w:p w14:paraId="4F2FAFE8"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737C42A7"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0115E5AD"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4018CBA1" w14:textId="77777777" w:rsidR="0044478E" w:rsidRPr="00747E35" w:rsidRDefault="0044478E" w:rsidP="0044478E">
            <w:pPr>
              <w:pStyle w:val="Tabletext"/>
              <w:spacing w:before="0" w:after="0"/>
              <w:rPr>
                <w:rFonts w:cstheme="minorHAnsi"/>
                <w:sz w:val="16"/>
              </w:rPr>
            </w:pPr>
            <w:r w:rsidRPr="00747E35">
              <w:rPr>
                <w:rFonts w:cstheme="minorHAnsi"/>
                <w:sz w:val="16"/>
              </w:rPr>
              <w:t>Isopoda</w:t>
            </w:r>
          </w:p>
        </w:tc>
        <w:tc>
          <w:tcPr>
            <w:tcW w:w="1346" w:type="dxa"/>
            <w:shd w:val="clear" w:color="auto" w:fill="auto"/>
            <w:noWrap/>
            <w:hideMark/>
          </w:tcPr>
          <w:p w14:paraId="1248B8A8" w14:textId="77777777" w:rsidR="0044478E" w:rsidRPr="00747E35" w:rsidRDefault="0044478E" w:rsidP="0044478E">
            <w:pPr>
              <w:pStyle w:val="Tabletext"/>
              <w:spacing w:before="0" w:after="0"/>
              <w:rPr>
                <w:rFonts w:cstheme="minorHAnsi"/>
                <w:sz w:val="16"/>
              </w:rPr>
            </w:pPr>
            <w:r w:rsidRPr="00747E35">
              <w:rPr>
                <w:rFonts w:cstheme="minorHAnsi"/>
                <w:sz w:val="16"/>
              </w:rPr>
              <w:t>Amphisopodidae</w:t>
            </w:r>
          </w:p>
        </w:tc>
        <w:tc>
          <w:tcPr>
            <w:tcW w:w="2976" w:type="dxa"/>
            <w:shd w:val="clear" w:color="auto" w:fill="auto"/>
            <w:noWrap/>
            <w:hideMark/>
          </w:tcPr>
          <w:p w14:paraId="0AE0C9D2" w14:textId="77777777" w:rsidR="0044478E" w:rsidRPr="00747E35" w:rsidRDefault="0044478E" w:rsidP="0044478E">
            <w:pPr>
              <w:pStyle w:val="Tabletext"/>
              <w:spacing w:before="0" w:after="0"/>
              <w:rPr>
                <w:rFonts w:cstheme="minorHAnsi"/>
                <w:sz w:val="16"/>
              </w:rPr>
            </w:pPr>
            <w:r w:rsidRPr="00747E35">
              <w:rPr>
                <w:rFonts w:cstheme="minorHAnsi"/>
                <w:i/>
                <w:sz w:val="16"/>
              </w:rPr>
              <w:t>Phraetomerus latipes</w:t>
            </w:r>
            <w:r w:rsidRPr="00747E35">
              <w:rPr>
                <w:rFonts w:cstheme="minorHAnsi"/>
                <w:sz w:val="16"/>
              </w:rPr>
              <w:t xml:space="preserve"> Clade 2/C</w:t>
            </w:r>
          </w:p>
        </w:tc>
        <w:tc>
          <w:tcPr>
            <w:tcW w:w="1134" w:type="dxa"/>
            <w:shd w:val="clear" w:color="auto" w:fill="auto"/>
            <w:noWrap/>
            <w:hideMark/>
          </w:tcPr>
          <w:p w14:paraId="6CAB2706" w14:textId="77777777" w:rsidR="0044478E" w:rsidRPr="00747E35" w:rsidRDefault="0044478E" w:rsidP="0044478E">
            <w:pPr>
              <w:pStyle w:val="Tabletext"/>
              <w:spacing w:before="0" w:after="0"/>
              <w:rPr>
                <w:rFonts w:cstheme="minorHAnsi"/>
                <w:sz w:val="16"/>
              </w:rPr>
            </w:pPr>
            <w:r w:rsidRPr="00747E35">
              <w:rPr>
                <w:rFonts w:cstheme="minorHAnsi"/>
                <w:sz w:val="16"/>
              </w:rPr>
              <w:t>I_PhlatC2</w:t>
            </w:r>
          </w:p>
        </w:tc>
        <w:tc>
          <w:tcPr>
            <w:tcW w:w="567" w:type="dxa"/>
          </w:tcPr>
          <w:p w14:paraId="7D04F1AF"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41B8C4FA" w14:textId="77777777" w:rsidR="0044478E" w:rsidRPr="00747E35" w:rsidRDefault="0044478E" w:rsidP="0044478E">
            <w:pPr>
              <w:pStyle w:val="Tabletext"/>
              <w:spacing w:before="0" w:after="0"/>
              <w:rPr>
                <w:rFonts w:cstheme="minorHAnsi"/>
                <w:sz w:val="16"/>
              </w:rPr>
            </w:pPr>
            <w:r w:rsidRPr="00747E35">
              <w:rPr>
                <w:rFonts w:cstheme="minorHAnsi"/>
                <w:sz w:val="16"/>
              </w:rPr>
              <w:t>35.6</w:t>
            </w:r>
          </w:p>
        </w:tc>
        <w:tc>
          <w:tcPr>
            <w:tcW w:w="992" w:type="dxa"/>
          </w:tcPr>
          <w:p w14:paraId="68699524"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358B7C9E"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top w:val="single" w:sz="4" w:space="0" w:color="auto"/>
              <w:left w:val="single" w:sz="4" w:space="0" w:color="auto"/>
              <w:bottom w:val="single" w:sz="4" w:space="0" w:color="auto"/>
            </w:tcBorders>
          </w:tcPr>
          <w:p w14:paraId="43387A83" w14:textId="77777777" w:rsidR="0044478E" w:rsidRPr="00747E35" w:rsidRDefault="0044478E" w:rsidP="0044478E">
            <w:pPr>
              <w:pStyle w:val="Tabletext"/>
              <w:spacing w:before="0" w:after="0"/>
              <w:rPr>
                <w:rFonts w:cstheme="minorHAnsi"/>
                <w:sz w:val="16"/>
              </w:rPr>
            </w:pPr>
          </w:p>
        </w:tc>
      </w:tr>
      <w:tr w:rsidR="0044478E" w:rsidRPr="00747E35" w14:paraId="67B46949" w14:textId="77777777" w:rsidTr="0044478E">
        <w:trPr>
          <w:trHeight w:val="20"/>
        </w:trPr>
        <w:tc>
          <w:tcPr>
            <w:tcW w:w="964" w:type="dxa"/>
            <w:shd w:val="clear" w:color="auto" w:fill="auto"/>
            <w:noWrap/>
            <w:hideMark/>
          </w:tcPr>
          <w:p w14:paraId="46B2B0D9"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503760E1"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778C6EBA"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6180D15A" w14:textId="77777777" w:rsidR="0044478E" w:rsidRPr="00747E35" w:rsidRDefault="0044478E" w:rsidP="0044478E">
            <w:pPr>
              <w:pStyle w:val="Tabletext"/>
              <w:spacing w:before="0" w:after="0"/>
              <w:rPr>
                <w:rFonts w:cstheme="minorHAnsi"/>
                <w:sz w:val="16"/>
              </w:rPr>
            </w:pPr>
            <w:r w:rsidRPr="00747E35">
              <w:rPr>
                <w:rFonts w:cstheme="minorHAnsi"/>
                <w:sz w:val="16"/>
              </w:rPr>
              <w:t>Isopoda</w:t>
            </w:r>
          </w:p>
        </w:tc>
        <w:tc>
          <w:tcPr>
            <w:tcW w:w="1346" w:type="dxa"/>
            <w:shd w:val="clear" w:color="auto" w:fill="auto"/>
            <w:noWrap/>
            <w:hideMark/>
          </w:tcPr>
          <w:p w14:paraId="25EC463C" w14:textId="77777777" w:rsidR="0044478E" w:rsidRPr="00747E35" w:rsidRDefault="0044478E" w:rsidP="0044478E">
            <w:pPr>
              <w:pStyle w:val="Tabletext"/>
              <w:spacing w:before="0" w:after="0"/>
              <w:rPr>
                <w:rFonts w:cstheme="minorHAnsi"/>
                <w:sz w:val="16"/>
              </w:rPr>
            </w:pPr>
            <w:r w:rsidRPr="00747E35">
              <w:rPr>
                <w:rFonts w:cstheme="minorHAnsi"/>
                <w:sz w:val="16"/>
              </w:rPr>
              <w:t>Amphisopodidae</w:t>
            </w:r>
          </w:p>
        </w:tc>
        <w:tc>
          <w:tcPr>
            <w:tcW w:w="2976" w:type="dxa"/>
            <w:shd w:val="clear" w:color="auto" w:fill="auto"/>
            <w:noWrap/>
            <w:hideMark/>
          </w:tcPr>
          <w:p w14:paraId="744F2BC8" w14:textId="77777777" w:rsidR="0044478E" w:rsidRPr="00747E35" w:rsidRDefault="0044478E" w:rsidP="0044478E">
            <w:pPr>
              <w:pStyle w:val="Tabletext"/>
              <w:spacing w:before="0" w:after="0"/>
              <w:rPr>
                <w:rFonts w:cstheme="minorHAnsi"/>
                <w:sz w:val="16"/>
              </w:rPr>
            </w:pPr>
            <w:r w:rsidRPr="00747E35">
              <w:rPr>
                <w:rFonts w:cstheme="minorHAnsi"/>
                <w:i/>
                <w:sz w:val="16"/>
              </w:rPr>
              <w:t>Phraetomerus latipes</w:t>
            </w:r>
            <w:r w:rsidRPr="00747E35">
              <w:rPr>
                <w:rFonts w:cstheme="minorHAnsi"/>
                <w:sz w:val="16"/>
              </w:rPr>
              <w:t xml:space="preserve"> Clade 3/C</w:t>
            </w:r>
          </w:p>
        </w:tc>
        <w:tc>
          <w:tcPr>
            <w:tcW w:w="1134" w:type="dxa"/>
            <w:shd w:val="clear" w:color="auto" w:fill="auto"/>
            <w:noWrap/>
            <w:hideMark/>
          </w:tcPr>
          <w:p w14:paraId="1C4F9C82" w14:textId="77777777" w:rsidR="0044478E" w:rsidRPr="00747E35" w:rsidRDefault="0044478E" w:rsidP="0044478E">
            <w:pPr>
              <w:pStyle w:val="Tabletext"/>
              <w:spacing w:before="0" w:after="0"/>
              <w:rPr>
                <w:rFonts w:cstheme="minorHAnsi"/>
                <w:sz w:val="16"/>
              </w:rPr>
            </w:pPr>
            <w:r w:rsidRPr="00747E35">
              <w:rPr>
                <w:rFonts w:cstheme="minorHAnsi"/>
                <w:sz w:val="16"/>
              </w:rPr>
              <w:t>I_PhlatC3</w:t>
            </w:r>
          </w:p>
        </w:tc>
        <w:tc>
          <w:tcPr>
            <w:tcW w:w="567" w:type="dxa"/>
          </w:tcPr>
          <w:p w14:paraId="3533DCA7" w14:textId="77777777" w:rsidR="0044478E" w:rsidRPr="00747E35" w:rsidRDefault="0044478E" w:rsidP="0044478E">
            <w:pPr>
              <w:pStyle w:val="Tabletext"/>
              <w:spacing w:before="0" w:after="0"/>
              <w:rPr>
                <w:rFonts w:cstheme="minorHAnsi"/>
                <w:sz w:val="16"/>
              </w:rPr>
            </w:pPr>
            <w:r w:rsidRPr="00747E35">
              <w:rPr>
                <w:rFonts w:cstheme="minorHAnsi"/>
                <w:sz w:val="16"/>
              </w:rPr>
              <w:t>2</w:t>
            </w:r>
          </w:p>
        </w:tc>
        <w:tc>
          <w:tcPr>
            <w:tcW w:w="709" w:type="dxa"/>
          </w:tcPr>
          <w:p w14:paraId="21A4B9B4" w14:textId="77777777" w:rsidR="0044478E" w:rsidRPr="00747E35" w:rsidRDefault="0044478E" w:rsidP="0044478E">
            <w:pPr>
              <w:pStyle w:val="Tabletext"/>
              <w:spacing w:before="0" w:after="0"/>
              <w:rPr>
                <w:rFonts w:cstheme="minorHAnsi"/>
                <w:sz w:val="16"/>
              </w:rPr>
            </w:pPr>
            <w:r w:rsidRPr="00747E35">
              <w:rPr>
                <w:rFonts w:cstheme="minorHAnsi"/>
                <w:sz w:val="16"/>
              </w:rPr>
              <w:t>0.4</w:t>
            </w:r>
          </w:p>
        </w:tc>
        <w:tc>
          <w:tcPr>
            <w:tcW w:w="992" w:type="dxa"/>
          </w:tcPr>
          <w:p w14:paraId="4774E95C"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6B294663"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top w:val="single" w:sz="4" w:space="0" w:color="auto"/>
              <w:left w:val="single" w:sz="4" w:space="0" w:color="auto"/>
              <w:bottom w:val="single" w:sz="4" w:space="0" w:color="auto"/>
            </w:tcBorders>
          </w:tcPr>
          <w:p w14:paraId="297E273F" w14:textId="77777777" w:rsidR="0044478E" w:rsidRPr="00747E35" w:rsidRDefault="0044478E" w:rsidP="0044478E">
            <w:pPr>
              <w:pStyle w:val="Tabletext"/>
              <w:spacing w:before="0" w:after="0"/>
              <w:rPr>
                <w:rFonts w:cstheme="minorHAnsi"/>
                <w:sz w:val="16"/>
              </w:rPr>
            </w:pPr>
          </w:p>
        </w:tc>
      </w:tr>
      <w:tr w:rsidR="0044478E" w:rsidRPr="00747E35" w14:paraId="559EAD52" w14:textId="77777777" w:rsidTr="0044478E">
        <w:trPr>
          <w:trHeight w:val="20"/>
        </w:trPr>
        <w:tc>
          <w:tcPr>
            <w:tcW w:w="964" w:type="dxa"/>
            <w:shd w:val="clear" w:color="auto" w:fill="auto"/>
            <w:noWrap/>
            <w:hideMark/>
          </w:tcPr>
          <w:p w14:paraId="0F3807B7"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738CA40F"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757ED692"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1DFA9A73" w14:textId="77777777" w:rsidR="0044478E" w:rsidRPr="00747E35" w:rsidRDefault="0044478E" w:rsidP="0044478E">
            <w:pPr>
              <w:pStyle w:val="Tabletext"/>
              <w:spacing w:before="0" w:after="0"/>
              <w:rPr>
                <w:rFonts w:cstheme="minorHAnsi"/>
                <w:sz w:val="16"/>
              </w:rPr>
            </w:pPr>
            <w:r w:rsidRPr="00747E35">
              <w:rPr>
                <w:rFonts w:cstheme="minorHAnsi"/>
                <w:sz w:val="16"/>
              </w:rPr>
              <w:t>Isopoda</w:t>
            </w:r>
          </w:p>
        </w:tc>
        <w:tc>
          <w:tcPr>
            <w:tcW w:w="1346" w:type="dxa"/>
            <w:shd w:val="clear" w:color="auto" w:fill="auto"/>
            <w:noWrap/>
            <w:hideMark/>
          </w:tcPr>
          <w:p w14:paraId="3203E78C" w14:textId="77777777" w:rsidR="0044478E" w:rsidRPr="00747E35" w:rsidRDefault="0044478E" w:rsidP="0044478E">
            <w:pPr>
              <w:pStyle w:val="Tabletext"/>
              <w:spacing w:before="0" w:after="0"/>
              <w:rPr>
                <w:rFonts w:cstheme="minorHAnsi"/>
                <w:sz w:val="16"/>
              </w:rPr>
            </w:pPr>
            <w:r w:rsidRPr="00747E35">
              <w:rPr>
                <w:rFonts w:cstheme="minorHAnsi"/>
                <w:sz w:val="16"/>
              </w:rPr>
              <w:t>Amphisopodidae</w:t>
            </w:r>
          </w:p>
        </w:tc>
        <w:tc>
          <w:tcPr>
            <w:tcW w:w="2976" w:type="dxa"/>
            <w:shd w:val="clear" w:color="auto" w:fill="auto"/>
            <w:noWrap/>
            <w:hideMark/>
          </w:tcPr>
          <w:p w14:paraId="5AD6C16C" w14:textId="77777777" w:rsidR="0044478E" w:rsidRPr="00747E35" w:rsidRDefault="0044478E" w:rsidP="0044478E">
            <w:pPr>
              <w:pStyle w:val="Tabletext"/>
              <w:spacing w:before="0" w:after="0"/>
              <w:rPr>
                <w:rFonts w:cstheme="minorHAnsi"/>
                <w:sz w:val="16"/>
              </w:rPr>
            </w:pPr>
            <w:r w:rsidRPr="00747E35">
              <w:rPr>
                <w:rFonts w:cstheme="minorHAnsi"/>
                <w:i/>
                <w:sz w:val="16"/>
              </w:rPr>
              <w:t>Phraetomerus latipes</w:t>
            </w:r>
            <w:r w:rsidRPr="00747E35">
              <w:rPr>
                <w:rFonts w:cstheme="minorHAnsi"/>
                <w:sz w:val="16"/>
              </w:rPr>
              <w:t xml:space="preserve"> Clade 4/C</w:t>
            </w:r>
          </w:p>
        </w:tc>
        <w:tc>
          <w:tcPr>
            <w:tcW w:w="1134" w:type="dxa"/>
            <w:shd w:val="clear" w:color="auto" w:fill="auto"/>
            <w:noWrap/>
            <w:hideMark/>
          </w:tcPr>
          <w:p w14:paraId="7BC724B9" w14:textId="77777777" w:rsidR="0044478E" w:rsidRPr="00747E35" w:rsidRDefault="0044478E" w:rsidP="0044478E">
            <w:pPr>
              <w:pStyle w:val="Tabletext"/>
              <w:spacing w:before="0" w:after="0"/>
              <w:rPr>
                <w:rFonts w:cstheme="minorHAnsi"/>
                <w:sz w:val="16"/>
              </w:rPr>
            </w:pPr>
            <w:r w:rsidRPr="00747E35">
              <w:rPr>
                <w:rFonts w:cstheme="minorHAnsi"/>
                <w:sz w:val="16"/>
              </w:rPr>
              <w:t>I_PhlatC4</w:t>
            </w:r>
          </w:p>
        </w:tc>
        <w:tc>
          <w:tcPr>
            <w:tcW w:w="567" w:type="dxa"/>
          </w:tcPr>
          <w:p w14:paraId="21D8BAE7"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128706C3" w14:textId="77777777" w:rsidR="0044478E" w:rsidRPr="00747E35" w:rsidRDefault="0044478E" w:rsidP="0044478E">
            <w:pPr>
              <w:pStyle w:val="Tabletext"/>
              <w:spacing w:before="0" w:after="0"/>
              <w:rPr>
                <w:rFonts w:cstheme="minorHAnsi"/>
                <w:sz w:val="16"/>
              </w:rPr>
            </w:pPr>
            <w:r w:rsidRPr="00747E35">
              <w:rPr>
                <w:rFonts w:cstheme="minorHAnsi"/>
                <w:sz w:val="16"/>
              </w:rPr>
              <w:t>2.2</w:t>
            </w:r>
          </w:p>
        </w:tc>
        <w:tc>
          <w:tcPr>
            <w:tcW w:w="992" w:type="dxa"/>
          </w:tcPr>
          <w:p w14:paraId="611B2E52"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6ACCE491"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top w:val="single" w:sz="4" w:space="0" w:color="auto"/>
              <w:left w:val="single" w:sz="4" w:space="0" w:color="auto"/>
              <w:bottom w:val="single" w:sz="4" w:space="0" w:color="auto"/>
            </w:tcBorders>
          </w:tcPr>
          <w:p w14:paraId="51697447" w14:textId="77777777" w:rsidR="0044478E" w:rsidRPr="00747E35" w:rsidRDefault="0044478E" w:rsidP="0044478E">
            <w:pPr>
              <w:pStyle w:val="Tabletext"/>
              <w:spacing w:before="0" w:after="0"/>
              <w:rPr>
                <w:rFonts w:cstheme="minorHAnsi"/>
                <w:sz w:val="16"/>
              </w:rPr>
            </w:pPr>
          </w:p>
        </w:tc>
      </w:tr>
      <w:tr w:rsidR="0044478E" w:rsidRPr="00747E35" w14:paraId="4ADBBA26" w14:textId="77777777" w:rsidTr="0044478E">
        <w:trPr>
          <w:trHeight w:val="20"/>
        </w:trPr>
        <w:tc>
          <w:tcPr>
            <w:tcW w:w="964" w:type="dxa"/>
            <w:shd w:val="clear" w:color="auto" w:fill="auto"/>
            <w:noWrap/>
            <w:hideMark/>
          </w:tcPr>
          <w:p w14:paraId="436C0159"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217C9604"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4393D365"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1921AF86" w14:textId="77777777" w:rsidR="0044478E" w:rsidRPr="00747E35" w:rsidRDefault="0044478E" w:rsidP="0044478E">
            <w:pPr>
              <w:pStyle w:val="Tabletext"/>
              <w:spacing w:before="0" w:after="0"/>
              <w:rPr>
                <w:rFonts w:cstheme="minorHAnsi"/>
                <w:sz w:val="16"/>
              </w:rPr>
            </w:pPr>
            <w:r w:rsidRPr="00747E35">
              <w:rPr>
                <w:rFonts w:cstheme="minorHAnsi"/>
                <w:sz w:val="16"/>
              </w:rPr>
              <w:t>Isopoda</w:t>
            </w:r>
          </w:p>
        </w:tc>
        <w:tc>
          <w:tcPr>
            <w:tcW w:w="1346" w:type="dxa"/>
            <w:shd w:val="clear" w:color="auto" w:fill="auto"/>
            <w:noWrap/>
            <w:hideMark/>
          </w:tcPr>
          <w:p w14:paraId="3C575563" w14:textId="77777777" w:rsidR="0044478E" w:rsidRPr="00747E35" w:rsidRDefault="0044478E" w:rsidP="0044478E">
            <w:pPr>
              <w:pStyle w:val="Tabletext"/>
              <w:spacing w:before="0" w:after="0"/>
              <w:rPr>
                <w:rFonts w:cstheme="minorHAnsi"/>
                <w:sz w:val="16"/>
              </w:rPr>
            </w:pPr>
            <w:r w:rsidRPr="00747E35">
              <w:rPr>
                <w:rFonts w:cstheme="minorHAnsi"/>
                <w:sz w:val="16"/>
              </w:rPr>
              <w:t>Amphisopodidae</w:t>
            </w:r>
          </w:p>
        </w:tc>
        <w:tc>
          <w:tcPr>
            <w:tcW w:w="2976" w:type="dxa"/>
            <w:shd w:val="clear" w:color="auto" w:fill="auto"/>
            <w:noWrap/>
            <w:hideMark/>
          </w:tcPr>
          <w:p w14:paraId="7D738928" w14:textId="77777777" w:rsidR="0044478E" w:rsidRPr="00747E35" w:rsidRDefault="0044478E" w:rsidP="0044478E">
            <w:pPr>
              <w:pStyle w:val="Tabletext"/>
              <w:spacing w:before="0" w:after="0"/>
              <w:rPr>
                <w:rFonts w:cstheme="minorHAnsi"/>
                <w:sz w:val="16"/>
              </w:rPr>
            </w:pPr>
            <w:r w:rsidRPr="00747E35">
              <w:rPr>
                <w:rFonts w:cstheme="minorHAnsi"/>
                <w:i/>
                <w:sz w:val="16"/>
              </w:rPr>
              <w:t>Phraetomerus latipes</w:t>
            </w:r>
            <w:r w:rsidRPr="00747E35">
              <w:rPr>
                <w:rFonts w:cstheme="minorHAnsi"/>
                <w:sz w:val="16"/>
              </w:rPr>
              <w:t xml:space="preserve"> Clade 5/S</w:t>
            </w:r>
          </w:p>
        </w:tc>
        <w:tc>
          <w:tcPr>
            <w:tcW w:w="1134" w:type="dxa"/>
            <w:shd w:val="clear" w:color="auto" w:fill="auto"/>
            <w:noWrap/>
            <w:hideMark/>
          </w:tcPr>
          <w:p w14:paraId="5461CDB3" w14:textId="77777777" w:rsidR="0044478E" w:rsidRPr="00747E35" w:rsidRDefault="0044478E" w:rsidP="0044478E">
            <w:pPr>
              <w:pStyle w:val="Tabletext"/>
              <w:spacing w:before="0" w:after="0"/>
              <w:rPr>
                <w:rFonts w:cstheme="minorHAnsi"/>
                <w:sz w:val="16"/>
              </w:rPr>
            </w:pPr>
            <w:r w:rsidRPr="00747E35">
              <w:rPr>
                <w:rFonts w:cstheme="minorHAnsi"/>
                <w:sz w:val="16"/>
              </w:rPr>
              <w:t>I_PhlatS5</w:t>
            </w:r>
          </w:p>
        </w:tc>
        <w:tc>
          <w:tcPr>
            <w:tcW w:w="567" w:type="dxa"/>
          </w:tcPr>
          <w:p w14:paraId="471D23C5" w14:textId="77777777" w:rsidR="0044478E" w:rsidRPr="00747E35" w:rsidRDefault="0044478E" w:rsidP="0044478E">
            <w:pPr>
              <w:pStyle w:val="Tabletext"/>
              <w:spacing w:before="0" w:after="0"/>
              <w:rPr>
                <w:rFonts w:cstheme="minorHAnsi"/>
                <w:sz w:val="16"/>
              </w:rPr>
            </w:pPr>
            <w:r w:rsidRPr="00747E35">
              <w:rPr>
                <w:rFonts w:cstheme="minorHAnsi"/>
                <w:sz w:val="16"/>
              </w:rPr>
              <w:t>3</w:t>
            </w:r>
          </w:p>
        </w:tc>
        <w:tc>
          <w:tcPr>
            <w:tcW w:w="709" w:type="dxa"/>
          </w:tcPr>
          <w:p w14:paraId="43F20AF1" w14:textId="77777777" w:rsidR="0044478E" w:rsidRPr="00747E35" w:rsidRDefault="0044478E" w:rsidP="0044478E">
            <w:pPr>
              <w:pStyle w:val="Tabletext"/>
              <w:spacing w:before="0" w:after="0"/>
              <w:rPr>
                <w:rFonts w:cstheme="minorHAnsi"/>
                <w:sz w:val="16"/>
              </w:rPr>
            </w:pPr>
            <w:r w:rsidRPr="00747E35">
              <w:rPr>
                <w:rFonts w:cstheme="minorHAnsi"/>
                <w:sz w:val="16"/>
              </w:rPr>
              <w:t>1.4</w:t>
            </w:r>
          </w:p>
        </w:tc>
        <w:tc>
          <w:tcPr>
            <w:tcW w:w="992" w:type="dxa"/>
          </w:tcPr>
          <w:p w14:paraId="379A993E"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40F5A342"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top w:val="single" w:sz="4" w:space="0" w:color="auto"/>
              <w:left w:val="single" w:sz="4" w:space="0" w:color="auto"/>
              <w:bottom w:val="single" w:sz="4" w:space="0" w:color="auto"/>
            </w:tcBorders>
          </w:tcPr>
          <w:p w14:paraId="2A84FC9C" w14:textId="77777777" w:rsidR="0044478E" w:rsidRPr="00747E35" w:rsidRDefault="0044478E" w:rsidP="0044478E">
            <w:pPr>
              <w:pStyle w:val="Tabletext"/>
              <w:spacing w:before="0" w:after="0"/>
              <w:rPr>
                <w:rFonts w:cstheme="minorHAnsi"/>
                <w:sz w:val="16"/>
              </w:rPr>
            </w:pPr>
          </w:p>
        </w:tc>
      </w:tr>
      <w:tr w:rsidR="0044478E" w:rsidRPr="00747E35" w14:paraId="21060722" w14:textId="77777777" w:rsidTr="0044478E">
        <w:trPr>
          <w:trHeight w:val="20"/>
        </w:trPr>
        <w:tc>
          <w:tcPr>
            <w:tcW w:w="964" w:type="dxa"/>
            <w:shd w:val="clear" w:color="auto" w:fill="auto"/>
            <w:noWrap/>
            <w:hideMark/>
          </w:tcPr>
          <w:p w14:paraId="6A811699"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754CE0C4"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2157C2B4"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3ED544D7" w14:textId="77777777" w:rsidR="0044478E" w:rsidRPr="00747E35" w:rsidRDefault="0044478E" w:rsidP="0044478E">
            <w:pPr>
              <w:pStyle w:val="Tabletext"/>
              <w:spacing w:before="0" w:after="0"/>
              <w:rPr>
                <w:rFonts w:cstheme="minorHAnsi"/>
                <w:sz w:val="16"/>
              </w:rPr>
            </w:pPr>
            <w:r w:rsidRPr="00747E35">
              <w:rPr>
                <w:rFonts w:cstheme="minorHAnsi"/>
                <w:sz w:val="16"/>
              </w:rPr>
              <w:t>Isopoda</w:t>
            </w:r>
          </w:p>
        </w:tc>
        <w:tc>
          <w:tcPr>
            <w:tcW w:w="1346" w:type="dxa"/>
            <w:shd w:val="clear" w:color="auto" w:fill="auto"/>
            <w:noWrap/>
            <w:hideMark/>
          </w:tcPr>
          <w:p w14:paraId="16BEB098" w14:textId="77777777" w:rsidR="0044478E" w:rsidRPr="00747E35" w:rsidRDefault="0044478E" w:rsidP="0044478E">
            <w:pPr>
              <w:pStyle w:val="Tabletext"/>
              <w:spacing w:before="0" w:after="0"/>
              <w:rPr>
                <w:rFonts w:cstheme="minorHAnsi"/>
                <w:sz w:val="16"/>
              </w:rPr>
            </w:pPr>
            <w:r w:rsidRPr="00747E35">
              <w:rPr>
                <w:rFonts w:cstheme="minorHAnsi"/>
                <w:sz w:val="16"/>
              </w:rPr>
              <w:t>Amphisopodidae</w:t>
            </w:r>
          </w:p>
        </w:tc>
        <w:tc>
          <w:tcPr>
            <w:tcW w:w="2976" w:type="dxa"/>
            <w:shd w:val="clear" w:color="auto" w:fill="auto"/>
            <w:noWrap/>
            <w:hideMark/>
          </w:tcPr>
          <w:p w14:paraId="2C896B72" w14:textId="77777777" w:rsidR="0044478E" w:rsidRPr="00747E35" w:rsidRDefault="0044478E" w:rsidP="0044478E">
            <w:pPr>
              <w:pStyle w:val="Tabletext"/>
              <w:spacing w:before="0" w:after="0"/>
              <w:rPr>
                <w:rFonts w:cstheme="minorHAnsi"/>
                <w:sz w:val="16"/>
              </w:rPr>
            </w:pPr>
            <w:r w:rsidRPr="00747E35">
              <w:rPr>
                <w:rFonts w:cstheme="minorHAnsi"/>
                <w:i/>
                <w:sz w:val="16"/>
              </w:rPr>
              <w:t>Phraetomerus latipes</w:t>
            </w:r>
            <w:r w:rsidRPr="00747E35">
              <w:rPr>
                <w:rFonts w:cstheme="minorHAnsi"/>
                <w:sz w:val="16"/>
              </w:rPr>
              <w:t xml:space="preserve"> Clade 6/S</w:t>
            </w:r>
          </w:p>
        </w:tc>
        <w:tc>
          <w:tcPr>
            <w:tcW w:w="1134" w:type="dxa"/>
            <w:shd w:val="clear" w:color="auto" w:fill="auto"/>
            <w:noWrap/>
            <w:hideMark/>
          </w:tcPr>
          <w:p w14:paraId="2EEBBF0B" w14:textId="77777777" w:rsidR="0044478E" w:rsidRPr="00747E35" w:rsidRDefault="0044478E" w:rsidP="0044478E">
            <w:pPr>
              <w:pStyle w:val="Tabletext"/>
              <w:spacing w:before="0" w:after="0"/>
              <w:rPr>
                <w:rFonts w:cstheme="minorHAnsi"/>
                <w:sz w:val="16"/>
              </w:rPr>
            </w:pPr>
            <w:r w:rsidRPr="00747E35">
              <w:rPr>
                <w:rFonts w:cstheme="minorHAnsi"/>
                <w:sz w:val="16"/>
              </w:rPr>
              <w:t>I_PhlatS6</w:t>
            </w:r>
          </w:p>
        </w:tc>
        <w:tc>
          <w:tcPr>
            <w:tcW w:w="567" w:type="dxa"/>
          </w:tcPr>
          <w:p w14:paraId="250CDF8A" w14:textId="77777777" w:rsidR="0044478E" w:rsidRPr="00747E35" w:rsidRDefault="0044478E" w:rsidP="0044478E">
            <w:pPr>
              <w:pStyle w:val="Tabletext"/>
              <w:spacing w:before="0" w:after="0"/>
              <w:rPr>
                <w:rFonts w:cstheme="minorHAnsi"/>
                <w:sz w:val="16"/>
              </w:rPr>
            </w:pPr>
            <w:r w:rsidRPr="00747E35">
              <w:rPr>
                <w:rFonts w:cstheme="minorHAnsi"/>
                <w:sz w:val="16"/>
              </w:rPr>
              <w:t>8</w:t>
            </w:r>
          </w:p>
        </w:tc>
        <w:tc>
          <w:tcPr>
            <w:tcW w:w="709" w:type="dxa"/>
          </w:tcPr>
          <w:p w14:paraId="79E8831A" w14:textId="77777777" w:rsidR="0044478E" w:rsidRPr="00747E35" w:rsidRDefault="0044478E" w:rsidP="0044478E">
            <w:pPr>
              <w:pStyle w:val="Tabletext"/>
              <w:spacing w:before="0" w:after="0"/>
              <w:rPr>
                <w:rFonts w:cstheme="minorHAnsi"/>
                <w:sz w:val="16"/>
              </w:rPr>
            </w:pPr>
            <w:r w:rsidRPr="00747E35">
              <w:rPr>
                <w:rFonts w:cstheme="minorHAnsi"/>
                <w:sz w:val="16"/>
              </w:rPr>
              <w:t>2.8</w:t>
            </w:r>
          </w:p>
        </w:tc>
        <w:tc>
          <w:tcPr>
            <w:tcW w:w="992" w:type="dxa"/>
          </w:tcPr>
          <w:p w14:paraId="67FA71B5"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0DE910F0"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top w:val="single" w:sz="4" w:space="0" w:color="auto"/>
              <w:left w:val="single" w:sz="4" w:space="0" w:color="auto"/>
              <w:bottom w:val="single" w:sz="4" w:space="0" w:color="auto"/>
            </w:tcBorders>
          </w:tcPr>
          <w:p w14:paraId="413B750B" w14:textId="77777777" w:rsidR="0044478E" w:rsidRPr="00747E35" w:rsidRDefault="0044478E" w:rsidP="0044478E">
            <w:pPr>
              <w:pStyle w:val="Tabletext"/>
              <w:spacing w:before="0" w:after="0"/>
              <w:rPr>
                <w:rFonts w:cstheme="minorHAnsi"/>
                <w:sz w:val="16"/>
              </w:rPr>
            </w:pPr>
          </w:p>
        </w:tc>
      </w:tr>
      <w:tr w:rsidR="0044478E" w:rsidRPr="00747E35" w14:paraId="08A0C645" w14:textId="77777777" w:rsidTr="0044478E">
        <w:trPr>
          <w:trHeight w:val="20"/>
        </w:trPr>
        <w:tc>
          <w:tcPr>
            <w:tcW w:w="964" w:type="dxa"/>
            <w:shd w:val="clear" w:color="auto" w:fill="auto"/>
            <w:noWrap/>
            <w:hideMark/>
          </w:tcPr>
          <w:p w14:paraId="7F4C588C"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2EEDF1B7"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795EC0E2"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431AA246" w14:textId="77777777" w:rsidR="0044478E" w:rsidRPr="00747E35" w:rsidRDefault="0044478E" w:rsidP="0044478E">
            <w:pPr>
              <w:pStyle w:val="Tabletext"/>
              <w:spacing w:before="0" w:after="0"/>
              <w:rPr>
                <w:rFonts w:cstheme="minorHAnsi"/>
                <w:sz w:val="16"/>
              </w:rPr>
            </w:pPr>
            <w:r w:rsidRPr="00747E35">
              <w:rPr>
                <w:rFonts w:cstheme="minorHAnsi"/>
                <w:sz w:val="16"/>
              </w:rPr>
              <w:t>Isopoda</w:t>
            </w:r>
          </w:p>
        </w:tc>
        <w:tc>
          <w:tcPr>
            <w:tcW w:w="1346" w:type="dxa"/>
            <w:shd w:val="clear" w:color="auto" w:fill="auto"/>
            <w:noWrap/>
            <w:hideMark/>
          </w:tcPr>
          <w:p w14:paraId="6FD04127" w14:textId="77777777" w:rsidR="0044478E" w:rsidRPr="00747E35" w:rsidRDefault="0044478E" w:rsidP="0044478E">
            <w:pPr>
              <w:pStyle w:val="Tabletext"/>
              <w:spacing w:before="0" w:after="0"/>
              <w:rPr>
                <w:rFonts w:cstheme="minorHAnsi"/>
                <w:sz w:val="16"/>
              </w:rPr>
            </w:pPr>
            <w:r w:rsidRPr="00747E35">
              <w:rPr>
                <w:rFonts w:cstheme="minorHAnsi"/>
                <w:sz w:val="16"/>
              </w:rPr>
              <w:t>Amphisopodidae</w:t>
            </w:r>
          </w:p>
        </w:tc>
        <w:tc>
          <w:tcPr>
            <w:tcW w:w="2976" w:type="dxa"/>
            <w:shd w:val="clear" w:color="auto" w:fill="auto"/>
            <w:noWrap/>
            <w:hideMark/>
          </w:tcPr>
          <w:p w14:paraId="23605A53" w14:textId="77777777" w:rsidR="0044478E" w:rsidRPr="00747E35" w:rsidRDefault="0044478E" w:rsidP="0044478E">
            <w:pPr>
              <w:pStyle w:val="Tabletext"/>
              <w:spacing w:before="0" w:after="0"/>
              <w:rPr>
                <w:rFonts w:cstheme="minorHAnsi"/>
                <w:sz w:val="16"/>
              </w:rPr>
            </w:pPr>
            <w:r w:rsidRPr="00747E35">
              <w:rPr>
                <w:rFonts w:cstheme="minorHAnsi"/>
                <w:i/>
                <w:sz w:val="16"/>
              </w:rPr>
              <w:t>Phraetomerus latipes</w:t>
            </w:r>
            <w:r w:rsidRPr="00747E35">
              <w:rPr>
                <w:rFonts w:cstheme="minorHAnsi"/>
                <w:sz w:val="16"/>
              </w:rPr>
              <w:t xml:space="preserve"> Clade 7/N</w:t>
            </w:r>
          </w:p>
        </w:tc>
        <w:tc>
          <w:tcPr>
            <w:tcW w:w="1134" w:type="dxa"/>
            <w:shd w:val="clear" w:color="auto" w:fill="auto"/>
            <w:noWrap/>
            <w:hideMark/>
          </w:tcPr>
          <w:p w14:paraId="4275DE05" w14:textId="77777777" w:rsidR="0044478E" w:rsidRPr="00747E35" w:rsidRDefault="0044478E" w:rsidP="0044478E">
            <w:pPr>
              <w:pStyle w:val="Tabletext"/>
              <w:spacing w:before="0" w:after="0"/>
              <w:rPr>
                <w:rFonts w:cstheme="minorHAnsi"/>
                <w:sz w:val="16"/>
              </w:rPr>
            </w:pPr>
            <w:r w:rsidRPr="00747E35">
              <w:rPr>
                <w:rFonts w:cstheme="minorHAnsi"/>
                <w:sz w:val="16"/>
              </w:rPr>
              <w:t>I_PhlatN7</w:t>
            </w:r>
          </w:p>
        </w:tc>
        <w:tc>
          <w:tcPr>
            <w:tcW w:w="567" w:type="dxa"/>
          </w:tcPr>
          <w:p w14:paraId="3ED344AD" w14:textId="77777777" w:rsidR="0044478E" w:rsidRPr="00747E35" w:rsidRDefault="0044478E" w:rsidP="0044478E">
            <w:pPr>
              <w:pStyle w:val="Tabletext"/>
              <w:spacing w:before="0" w:after="0"/>
              <w:rPr>
                <w:rFonts w:cstheme="minorHAnsi"/>
                <w:sz w:val="16"/>
              </w:rPr>
            </w:pPr>
            <w:r w:rsidRPr="00747E35">
              <w:rPr>
                <w:rFonts w:cstheme="minorHAnsi"/>
                <w:sz w:val="16"/>
              </w:rPr>
              <w:t>2</w:t>
            </w:r>
          </w:p>
        </w:tc>
        <w:tc>
          <w:tcPr>
            <w:tcW w:w="709" w:type="dxa"/>
          </w:tcPr>
          <w:p w14:paraId="49FE790A" w14:textId="77777777" w:rsidR="0044478E" w:rsidRPr="00747E35" w:rsidRDefault="0044478E" w:rsidP="0044478E">
            <w:pPr>
              <w:pStyle w:val="Tabletext"/>
              <w:spacing w:before="0" w:after="0"/>
              <w:rPr>
                <w:rFonts w:cstheme="minorHAnsi"/>
                <w:sz w:val="16"/>
              </w:rPr>
            </w:pPr>
            <w:r w:rsidRPr="00747E35">
              <w:rPr>
                <w:rFonts w:cstheme="minorHAnsi"/>
                <w:sz w:val="16"/>
              </w:rPr>
              <w:t>0.5</w:t>
            </w:r>
          </w:p>
        </w:tc>
        <w:tc>
          <w:tcPr>
            <w:tcW w:w="992" w:type="dxa"/>
          </w:tcPr>
          <w:p w14:paraId="42764674"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4E79B777"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top w:val="single" w:sz="4" w:space="0" w:color="auto"/>
              <w:left w:val="single" w:sz="4" w:space="0" w:color="auto"/>
              <w:bottom w:val="single" w:sz="4" w:space="0" w:color="auto"/>
            </w:tcBorders>
          </w:tcPr>
          <w:p w14:paraId="2E803C94" w14:textId="77777777" w:rsidR="0044478E" w:rsidRPr="00747E35" w:rsidRDefault="0044478E" w:rsidP="0044478E">
            <w:pPr>
              <w:pStyle w:val="Tabletext"/>
              <w:spacing w:before="0" w:after="0"/>
              <w:rPr>
                <w:rFonts w:cstheme="minorHAnsi"/>
                <w:sz w:val="16"/>
              </w:rPr>
            </w:pPr>
          </w:p>
        </w:tc>
      </w:tr>
      <w:tr w:rsidR="0044478E" w:rsidRPr="00747E35" w14:paraId="5F650844" w14:textId="77777777" w:rsidTr="0044478E">
        <w:trPr>
          <w:trHeight w:val="20"/>
        </w:trPr>
        <w:tc>
          <w:tcPr>
            <w:tcW w:w="964" w:type="dxa"/>
            <w:shd w:val="clear" w:color="auto" w:fill="auto"/>
            <w:noWrap/>
            <w:hideMark/>
          </w:tcPr>
          <w:p w14:paraId="1AE30A01"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1303800A"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0853B18A"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0DCEAD90" w14:textId="77777777" w:rsidR="0044478E" w:rsidRPr="00747E35" w:rsidRDefault="0044478E" w:rsidP="0044478E">
            <w:pPr>
              <w:pStyle w:val="Tabletext"/>
              <w:spacing w:before="0" w:after="0"/>
              <w:rPr>
                <w:rFonts w:cstheme="minorHAnsi"/>
                <w:sz w:val="16"/>
              </w:rPr>
            </w:pPr>
            <w:r w:rsidRPr="00747E35">
              <w:rPr>
                <w:rFonts w:cstheme="minorHAnsi"/>
                <w:sz w:val="16"/>
              </w:rPr>
              <w:t>Isopoda</w:t>
            </w:r>
          </w:p>
        </w:tc>
        <w:tc>
          <w:tcPr>
            <w:tcW w:w="1346" w:type="dxa"/>
            <w:shd w:val="clear" w:color="auto" w:fill="auto"/>
            <w:noWrap/>
            <w:hideMark/>
          </w:tcPr>
          <w:p w14:paraId="4CE52A27" w14:textId="77777777" w:rsidR="0044478E" w:rsidRPr="00747E35" w:rsidRDefault="0044478E" w:rsidP="0044478E">
            <w:pPr>
              <w:pStyle w:val="Tabletext"/>
              <w:spacing w:before="0" w:after="0"/>
              <w:rPr>
                <w:rFonts w:cstheme="minorHAnsi"/>
                <w:sz w:val="16"/>
              </w:rPr>
            </w:pPr>
            <w:r w:rsidRPr="00747E35">
              <w:rPr>
                <w:rFonts w:cstheme="minorHAnsi"/>
                <w:sz w:val="16"/>
              </w:rPr>
              <w:t>Amphisopodidae</w:t>
            </w:r>
          </w:p>
        </w:tc>
        <w:tc>
          <w:tcPr>
            <w:tcW w:w="2976" w:type="dxa"/>
            <w:shd w:val="clear" w:color="auto" w:fill="auto"/>
            <w:noWrap/>
            <w:hideMark/>
          </w:tcPr>
          <w:p w14:paraId="0E8F06E4" w14:textId="77777777" w:rsidR="0044478E" w:rsidRPr="00747E35" w:rsidRDefault="0044478E" w:rsidP="0044478E">
            <w:pPr>
              <w:pStyle w:val="Tabletext"/>
              <w:spacing w:before="0" w:after="0"/>
              <w:rPr>
                <w:rFonts w:cstheme="minorHAnsi"/>
                <w:sz w:val="16"/>
              </w:rPr>
            </w:pPr>
            <w:r w:rsidRPr="00747E35">
              <w:rPr>
                <w:rFonts w:cstheme="minorHAnsi"/>
                <w:i/>
                <w:sz w:val="16"/>
              </w:rPr>
              <w:t>Phraetomerus latipes</w:t>
            </w:r>
            <w:r w:rsidRPr="00747E35">
              <w:rPr>
                <w:rFonts w:cstheme="minorHAnsi"/>
                <w:sz w:val="16"/>
              </w:rPr>
              <w:t xml:space="preserve"> Clade 8/N</w:t>
            </w:r>
          </w:p>
        </w:tc>
        <w:tc>
          <w:tcPr>
            <w:tcW w:w="1134" w:type="dxa"/>
            <w:shd w:val="clear" w:color="auto" w:fill="auto"/>
            <w:noWrap/>
            <w:hideMark/>
          </w:tcPr>
          <w:p w14:paraId="200821D0" w14:textId="77777777" w:rsidR="0044478E" w:rsidRPr="00747E35" w:rsidRDefault="0044478E" w:rsidP="0044478E">
            <w:pPr>
              <w:pStyle w:val="Tabletext"/>
              <w:spacing w:before="0" w:after="0"/>
              <w:rPr>
                <w:rFonts w:cstheme="minorHAnsi"/>
                <w:sz w:val="16"/>
              </w:rPr>
            </w:pPr>
            <w:r w:rsidRPr="00747E35">
              <w:rPr>
                <w:rFonts w:cstheme="minorHAnsi"/>
                <w:sz w:val="16"/>
              </w:rPr>
              <w:t>I_PhlatN8</w:t>
            </w:r>
          </w:p>
        </w:tc>
        <w:tc>
          <w:tcPr>
            <w:tcW w:w="567" w:type="dxa"/>
          </w:tcPr>
          <w:p w14:paraId="7305D8E3" w14:textId="77777777" w:rsidR="0044478E" w:rsidRPr="00747E35" w:rsidRDefault="0044478E" w:rsidP="0044478E">
            <w:pPr>
              <w:pStyle w:val="Tabletext"/>
              <w:spacing w:before="0" w:after="0"/>
              <w:rPr>
                <w:rFonts w:cstheme="minorHAnsi"/>
                <w:sz w:val="16"/>
              </w:rPr>
            </w:pPr>
            <w:r w:rsidRPr="00747E35">
              <w:rPr>
                <w:rFonts w:cstheme="minorHAnsi"/>
                <w:sz w:val="16"/>
              </w:rPr>
              <w:t>2</w:t>
            </w:r>
          </w:p>
        </w:tc>
        <w:tc>
          <w:tcPr>
            <w:tcW w:w="709" w:type="dxa"/>
          </w:tcPr>
          <w:p w14:paraId="425E82BD" w14:textId="77777777" w:rsidR="0044478E" w:rsidRPr="00747E35" w:rsidRDefault="0044478E" w:rsidP="0044478E">
            <w:pPr>
              <w:pStyle w:val="Tabletext"/>
              <w:spacing w:before="0" w:after="0"/>
              <w:rPr>
                <w:rFonts w:cstheme="minorHAnsi"/>
                <w:sz w:val="16"/>
              </w:rPr>
            </w:pPr>
            <w:r w:rsidRPr="00747E35">
              <w:rPr>
                <w:rFonts w:cstheme="minorHAnsi"/>
                <w:sz w:val="16"/>
              </w:rPr>
              <w:t>0.1</w:t>
            </w:r>
          </w:p>
        </w:tc>
        <w:tc>
          <w:tcPr>
            <w:tcW w:w="992" w:type="dxa"/>
          </w:tcPr>
          <w:p w14:paraId="3ECA5351"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72EB2F47"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top w:val="single" w:sz="4" w:space="0" w:color="auto"/>
              <w:left w:val="single" w:sz="4" w:space="0" w:color="auto"/>
              <w:bottom w:val="single" w:sz="4" w:space="0" w:color="auto"/>
            </w:tcBorders>
          </w:tcPr>
          <w:p w14:paraId="4381A35D" w14:textId="77777777" w:rsidR="0044478E" w:rsidRPr="00747E35" w:rsidRDefault="0044478E" w:rsidP="0044478E">
            <w:pPr>
              <w:pStyle w:val="Tabletext"/>
              <w:spacing w:before="0" w:after="0"/>
              <w:rPr>
                <w:rFonts w:cstheme="minorHAnsi"/>
                <w:sz w:val="16"/>
              </w:rPr>
            </w:pPr>
          </w:p>
        </w:tc>
      </w:tr>
      <w:tr w:rsidR="0044478E" w:rsidRPr="00747E35" w14:paraId="1862AEED" w14:textId="77777777" w:rsidTr="0044478E">
        <w:trPr>
          <w:trHeight w:val="20"/>
        </w:trPr>
        <w:tc>
          <w:tcPr>
            <w:tcW w:w="964" w:type="dxa"/>
            <w:shd w:val="clear" w:color="auto" w:fill="auto"/>
            <w:noWrap/>
            <w:hideMark/>
          </w:tcPr>
          <w:p w14:paraId="41FAFE9B"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55065B58"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6FEB3368"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2D2000F6" w14:textId="77777777" w:rsidR="0044478E" w:rsidRPr="00747E35" w:rsidRDefault="0044478E" w:rsidP="0044478E">
            <w:pPr>
              <w:pStyle w:val="Tabletext"/>
              <w:spacing w:before="0" w:after="0"/>
              <w:rPr>
                <w:rFonts w:cstheme="minorHAnsi"/>
                <w:sz w:val="16"/>
              </w:rPr>
            </w:pPr>
            <w:r w:rsidRPr="00747E35">
              <w:rPr>
                <w:rFonts w:cstheme="minorHAnsi"/>
                <w:sz w:val="16"/>
              </w:rPr>
              <w:t>Isopoda</w:t>
            </w:r>
          </w:p>
        </w:tc>
        <w:tc>
          <w:tcPr>
            <w:tcW w:w="1346" w:type="dxa"/>
            <w:shd w:val="clear" w:color="auto" w:fill="auto"/>
            <w:noWrap/>
            <w:hideMark/>
          </w:tcPr>
          <w:p w14:paraId="3FD1B1A9" w14:textId="77777777" w:rsidR="0044478E" w:rsidRPr="00747E35" w:rsidRDefault="0044478E" w:rsidP="0044478E">
            <w:pPr>
              <w:pStyle w:val="Tabletext"/>
              <w:spacing w:before="0" w:after="0"/>
              <w:rPr>
                <w:rFonts w:cstheme="minorHAnsi"/>
                <w:sz w:val="16"/>
              </w:rPr>
            </w:pPr>
            <w:r w:rsidRPr="00747E35">
              <w:rPr>
                <w:rFonts w:cstheme="minorHAnsi"/>
                <w:sz w:val="16"/>
              </w:rPr>
              <w:t>Amphisopodidae</w:t>
            </w:r>
          </w:p>
        </w:tc>
        <w:tc>
          <w:tcPr>
            <w:tcW w:w="2976" w:type="dxa"/>
            <w:shd w:val="clear" w:color="auto" w:fill="auto"/>
            <w:noWrap/>
            <w:hideMark/>
          </w:tcPr>
          <w:p w14:paraId="6A99877E" w14:textId="77777777" w:rsidR="0044478E" w:rsidRPr="00747E35" w:rsidRDefault="0044478E" w:rsidP="0044478E">
            <w:pPr>
              <w:pStyle w:val="Tabletext"/>
              <w:spacing w:before="0" w:after="0"/>
              <w:rPr>
                <w:rFonts w:cstheme="minorHAnsi"/>
                <w:sz w:val="16"/>
              </w:rPr>
            </w:pPr>
            <w:r w:rsidRPr="00747E35">
              <w:rPr>
                <w:rFonts w:cstheme="minorHAnsi"/>
                <w:i/>
                <w:sz w:val="16"/>
              </w:rPr>
              <w:t>Phraetomerus latipes</w:t>
            </w:r>
            <w:r w:rsidRPr="00747E35">
              <w:rPr>
                <w:rFonts w:cstheme="minorHAnsi"/>
                <w:sz w:val="16"/>
              </w:rPr>
              <w:t xml:space="preserve"> Clade 9/N</w:t>
            </w:r>
          </w:p>
        </w:tc>
        <w:tc>
          <w:tcPr>
            <w:tcW w:w="1134" w:type="dxa"/>
            <w:shd w:val="clear" w:color="auto" w:fill="auto"/>
            <w:noWrap/>
            <w:hideMark/>
          </w:tcPr>
          <w:p w14:paraId="1EEFEA95" w14:textId="77777777" w:rsidR="0044478E" w:rsidRPr="00747E35" w:rsidRDefault="0044478E" w:rsidP="0044478E">
            <w:pPr>
              <w:pStyle w:val="Tabletext"/>
              <w:spacing w:before="0" w:after="0"/>
              <w:rPr>
                <w:rFonts w:cstheme="minorHAnsi"/>
                <w:sz w:val="16"/>
              </w:rPr>
            </w:pPr>
            <w:r w:rsidRPr="00747E35">
              <w:rPr>
                <w:rFonts w:cstheme="minorHAnsi"/>
                <w:sz w:val="16"/>
              </w:rPr>
              <w:t>I_PhlatN9</w:t>
            </w:r>
          </w:p>
        </w:tc>
        <w:tc>
          <w:tcPr>
            <w:tcW w:w="567" w:type="dxa"/>
          </w:tcPr>
          <w:p w14:paraId="750708A1" w14:textId="77777777" w:rsidR="0044478E" w:rsidRPr="00747E35" w:rsidRDefault="0044478E" w:rsidP="0044478E">
            <w:pPr>
              <w:pStyle w:val="Tabletext"/>
              <w:spacing w:before="0" w:after="0"/>
              <w:rPr>
                <w:rFonts w:cstheme="minorHAnsi"/>
                <w:sz w:val="16"/>
              </w:rPr>
            </w:pPr>
            <w:r w:rsidRPr="00747E35">
              <w:rPr>
                <w:rFonts w:cstheme="minorHAnsi"/>
                <w:sz w:val="16"/>
              </w:rPr>
              <w:t>5</w:t>
            </w:r>
          </w:p>
        </w:tc>
        <w:tc>
          <w:tcPr>
            <w:tcW w:w="709" w:type="dxa"/>
          </w:tcPr>
          <w:p w14:paraId="29E2F2AA" w14:textId="77777777" w:rsidR="0044478E" w:rsidRPr="00747E35" w:rsidRDefault="0044478E" w:rsidP="0044478E">
            <w:pPr>
              <w:pStyle w:val="Tabletext"/>
              <w:spacing w:before="0" w:after="0"/>
              <w:rPr>
                <w:rFonts w:cstheme="minorHAnsi"/>
                <w:sz w:val="16"/>
              </w:rPr>
            </w:pPr>
            <w:r w:rsidRPr="00747E35">
              <w:rPr>
                <w:rFonts w:cstheme="minorHAnsi"/>
                <w:sz w:val="16"/>
              </w:rPr>
              <w:t>12.6</w:t>
            </w:r>
          </w:p>
        </w:tc>
        <w:tc>
          <w:tcPr>
            <w:tcW w:w="992" w:type="dxa"/>
          </w:tcPr>
          <w:p w14:paraId="02842613"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Borders>
              <w:right w:val="single" w:sz="4" w:space="0" w:color="auto"/>
            </w:tcBorders>
          </w:tcPr>
          <w:p w14:paraId="22B550DD" w14:textId="77777777" w:rsidR="0044478E" w:rsidRPr="00747E35" w:rsidRDefault="0044478E" w:rsidP="0044478E">
            <w:pPr>
              <w:pStyle w:val="Tabletext"/>
              <w:spacing w:before="0" w:after="0"/>
              <w:rPr>
                <w:rFonts w:cstheme="minorHAnsi"/>
                <w:sz w:val="16"/>
              </w:rPr>
            </w:pPr>
            <w:r w:rsidRPr="00747E35">
              <w:rPr>
                <w:rFonts w:cstheme="minorHAnsi"/>
                <w:sz w:val="16"/>
              </w:rPr>
              <w:t>PS</w:t>
            </w:r>
          </w:p>
        </w:tc>
        <w:tc>
          <w:tcPr>
            <w:tcW w:w="1542" w:type="dxa"/>
            <w:vMerge/>
            <w:tcBorders>
              <w:top w:val="single" w:sz="4" w:space="0" w:color="auto"/>
              <w:left w:val="single" w:sz="4" w:space="0" w:color="auto"/>
              <w:bottom w:val="single" w:sz="4" w:space="0" w:color="auto"/>
            </w:tcBorders>
          </w:tcPr>
          <w:p w14:paraId="20EBFD57" w14:textId="77777777" w:rsidR="0044478E" w:rsidRPr="00747E35" w:rsidRDefault="0044478E" w:rsidP="0044478E">
            <w:pPr>
              <w:pStyle w:val="Tabletext"/>
              <w:spacing w:before="0" w:after="0"/>
              <w:rPr>
                <w:rFonts w:cstheme="minorHAnsi"/>
                <w:sz w:val="16"/>
              </w:rPr>
            </w:pPr>
          </w:p>
        </w:tc>
      </w:tr>
      <w:tr w:rsidR="0044478E" w:rsidRPr="00747E35" w14:paraId="5B706EB5" w14:textId="77777777" w:rsidTr="0044478E">
        <w:trPr>
          <w:trHeight w:val="20"/>
        </w:trPr>
        <w:tc>
          <w:tcPr>
            <w:tcW w:w="964" w:type="dxa"/>
            <w:shd w:val="clear" w:color="auto" w:fill="auto"/>
            <w:noWrap/>
            <w:hideMark/>
          </w:tcPr>
          <w:p w14:paraId="1CDD760B"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77064375"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4656D9F0"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0CF39E8A" w14:textId="77777777" w:rsidR="0044478E" w:rsidRPr="00747E35" w:rsidRDefault="0044478E" w:rsidP="0044478E">
            <w:pPr>
              <w:pStyle w:val="Tabletext"/>
              <w:spacing w:before="0" w:after="0"/>
              <w:rPr>
                <w:rFonts w:cstheme="minorHAnsi"/>
                <w:sz w:val="16"/>
              </w:rPr>
            </w:pPr>
            <w:r w:rsidRPr="00747E35">
              <w:rPr>
                <w:rFonts w:cstheme="minorHAnsi"/>
                <w:sz w:val="16"/>
              </w:rPr>
              <w:t>Isopoda</w:t>
            </w:r>
          </w:p>
        </w:tc>
        <w:tc>
          <w:tcPr>
            <w:tcW w:w="1346" w:type="dxa"/>
            <w:shd w:val="clear" w:color="auto" w:fill="auto"/>
            <w:noWrap/>
            <w:hideMark/>
          </w:tcPr>
          <w:p w14:paraId="7915B925" w14:textId="77777777" w:rsidR="0044478E" w:rsidRPr="00747E35" w:rsidRDefault="0044478E" w:rsidP="0044478E">
            <w:pPr>
              <w:pStyle w:val="Tabletext"/>
              <w:spacing w:before="0" w:after="0"/>
              <w:rPr>
                <w:rFonts w:cstheme="minorHAnsi"/>
                <w:sz w:val="16"/>
              </w:rPr>
            </w:pPr>
            <w:r w:rsidRPr="00747E35">
              <w:rPr>
                <w:rFonts w:cstheme="minorHAnsi"/>
                <w:sz w:val="16"/>
              </w:rPr>
              <w:t>Ponderellidae</w:t>
            </w:r>
          </w:p>
        </w:tc>
        <w:tc>
          <w:tcPr>
            <w:tcW w:w="2976" w:type="dxa"/>
            <w:shd w:val="clear" w:color="auto" w:fill="auto"/>
            <w:noWrap/>
            <w:hideMark/>
          </w:tcPr>
          <w:p w14:paraId="516CB64E" w14:textId="77777777" w:rsidR="0044478E" w:rsidRPr="00747E35" w:rsidRDefault="0044478E" w:rsidP="0044478E">
            <w:pPr>
              <w:pStyle w:val="Tabletext"/>
              <w:spacing w:before="0" w:after="0"/>
              <w:rPr>
                <w:rFonts w:cstheme="minorHAnsi"/>
                <w:i/>
                <w:sz w:val="16"/>
              </w:rPr>
            </w:pPr>
            <w:r w:rsidRPr="00747E35">
              <w:rPr>
                <w:rFonts w:cstheme="minorHAnsi"/>
                <w:i/>
                <w:sz w:val="16"/>
              </w:rPr>
              <w:t>Ponderiella bundoona</w:t>
            </w:r>
          </w:p>
        </w:tc>
        <w:tc>
          <w:tcPr>
            <w:tcW w:w="1134" w:type="dxa"/>
            <w:shd w:val="clear" w:color="auto" w:fill="auto"/>
            <w:noWrap/>
            <w:hideMark/>
          </w:tcPr>
          <w:p w14:paraId="529A9D89" w14:textId="77777777" w:rsidR="0044478E" w:rsidRPr="00747E35" w:rsidRDefault="0044478E" w:rsidP="0044478E">
            <w:pPr>
              <w:pStyle w:val="Tabletext"/>
              <w:spacing w:before="0" w:after="0"/>
              <w:rPr>
                <w:rFonts w:cstheme="minorHAnsi"/>
                <w:sz w:val="16"/>
              </w:rPr>
            </w:pPr>
            <w:r w:rsidRPr="00747E35">
              <w:rPr>
                <w:rFonts w:cstheme="minorHAnsi"/>
                <w:sz w:val="16"/>
              </w:rPr>
              <w:t>I_Pobund</w:t>
            </w:r>
          </w:p>
        </w:tc>
        <w:tc>
          <w:tcPr>
            <w:tcW w:w="567" w:type="dxa"/>
          </w:tcPr>
          <w:p w14:paraId="109A6A63" w14:textId="77777777" w:rsidR="0044478E" w:rsidRPr="00747E35" w:rsidRDefault="0044478E" w:rsidP="0044478E">
            <w:pPr>
              <w:pStyle w:val="Tabletext"/>
              <w:spacing w:before="0" w:after="0"/>
              <w:rPr>
                <w:rFonts w:cstheme="minorHAnsi"/>
                <w:sz w:val="16"/>
              </w:rPr>
            </w:pPr>
            <w:r w:rsidRPr="00747E35">
              <w:rPr>
                <w:rFonts w:cstheme="minorHAnsi"/>
                <w:sz w:val="16"/>
              </w:rPr>
              <w:t>2</w:t>
            </w:r>
          </w:p>
        </w:tc>
        <w:tc>
          <w:tcPr>
            <w:tcW w:w="709" w:type="dxa"/>
          </w:tcPr>
          <w:p w14:paraId="0EF014BC" w14:textId="77777777" w:rsidR="0044478E" w:rsidRPr="00747E35" w:rsidRDefault="0044478E" w:rsidP="0044478E">
            <w:pPr>
              <w:pStyle w:val="Tabletext"/>
              <w:spacing w:before="0" w:after="0"/>
              <w:rPr>
                <w:rFonts w:cstheme="minorHAnsi"/>
                <w:sz w:val="16"/>
              </w:rPr>
            </w:pPr>
            <w:r w:rsidRPr="00747E35">
              <w:rPr>
                <w:rFonts w:cstheme="minorHAnsi"/>
                <w:sz w:val="16"/>
              </w:rPr>
              <w:t>7.1</w:t>
            </w:r>
          </w:p>
        </w:tc>
        <w:tc>
          <w:tcPr>
            <w:tcW w:w="992" w:type="dxa"/>
          </w:tcPr>
          <w:p w14:paraId="2B582FB0"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712A4009"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Borders>
              <w:top w:val="single" w:sz="4" w:space="0" w:color="auto"/>
            </w:tcBorders>
          </w:tcPr>
          <w:p w14:paraId="7CE795F2" w14:textId="77777777" w:rsidR="0044478E" w:rsidRPr="00747E35" w:rsidRDefault="0044478E" w:rsidP="0044478E">
            <w:pPr>
              <w:pStyle w:val="Tabletext"/>
              <w:spacing w:before="0" w:after="0"/>
              <w:rPr>
                <w:rFonts w:cstheme="minorHAnsi"/>
                <w:sz w:val="16"/>
              </w:rPr>
            </w:pPr>
            <w:r w:rsidRPr="00747E35">
              <w:rPr>
                <w:rFonts w:cstheme="minorHAnsi"/>
                <w:sz w:val="16"/>
              </w:rPr>
              <w:t>Narrow supergroup</w:t>
            </w:r>
          </w:p>
        </w:tc>
      </w:tr>
      <w:tr w:rsidR="0044478E" w:rsidRPr="00747E35" w14:paraId="1E51AF26" w14:textId="77777777" w:rsidTr="0044478E">
        <w:trPr>
          <w:trHeight w:val="20"/>
        </w:trPr>
        <w:tc>
          <w:tcPr>
            <w:tcW w:w="964" w:type="dxa"/>
            <w:shd w:val="clear" w:color="auto" w:fill="auto"/>
            <w:noWrap/>
            <w:hideMark/>
          </w:tcPr>
          <w:p w14:paraId="0353F118" w14:textId="77777777" w:rsidR="0044478E" w:rsidRPr="00747E35" w:rsidRDefault="0044478E" w:rsidP="0044478E">
            <w:pPr>
              <w:pStyle w:val="Tabletext"/>
              <w:spacing w:before="0" w:after="0"/>
              <w:rPr>
                <w:rFonts w:cstheme="minorHAnsi"/>
                <w:sz w:val="16"/>
              </w:rPr>
            </w:pPr>
            <w:r w:rsidRPr="00747E35">
              <w:rPr>
                <w:rFonts w:cstheme="minorHAnsi"/>
                <w:sz w:val="16"/>
              </w:rPr>
              <w:t>Animalia</w:t>
            </w:r>
          </w:p>
        </w:tc>
        <w:tc>
          <w:tcPr>
            <w:tcW w:w="1191" w:type="dxa"/>
            <w:shd w:val="clear" w:color="auto" w:fill="auto"/>
            <w:noWrap/>
            <w:hideMark/>
          </w:tcPr>
          <w:p w14:paraId="4654E94E" w14:textId="77777777" w:rsidR="0044478E" w:rsidRPr="00747E35" w:rsidRDefault="0044478E" w:rsidP="0044478E">
            <w:pPr>
              <w:pStyle w:val="Tabletext"/>
              <w:spacing w:before="0" w:after="0"/>
              <w:rPr>
                <w:rFonts w:cstheme="minorHAnsi"/>
                <w:sz w:val="16"/>
              </w:rPr>
            </w:pPr>
            <w:r w:rsidRPr="00747E35">
              <w:rPr>
                <w:rFonts w:cstheme="minorHAnsi"/>
                <w:sz w:val="16"/>
              </w:rPr>
              <w:t>Arthropoda</w:t>
            </w:r>
          </w:p>
        </w:tc>
        <w:tc>
          <w:tcPr>
            <w:tcW w:w="1295" w:type="dxa"/>
            <w:shd w:val="clear" w:color="auto" w:fill="auto"/>
            <w:noWrap/>
            <w:hideMark/>
          </w:tcPr>
          <w:p w14:paraId="42872909" w14:textId="77777777" w:rsidR="0044478E" w:rsidRPr="00747E35" w:rsidRDefault="0044478E" w:rsidP="0044478E">
            <w:pPr>
              <w:pStyle w:val="Tabletext"/>
              <w:spacing w:before="0" w:after="0"/>
              <w:rPr>
                <w:rFonts w:cstheme="minorHAnsi"/>
                <w:sz w:val="16"/>
              </w:rPr>
            </w:pPr>
            <w:r w:rsidRPr="00747E35">
              <w:rPr>
                <w:rFonts w:cstheme="minorHAnsi"/>
                <w:sz w:val="16"/>
              </w:rPr>
              <w:t>Malacostraca</w:t>
            </w:r>
          </w:p>
        </w:tc>
        <w:tc>
          <w:tcPr>
            <w:tcW w:w="1295" w:type="dxa"/>
            <w:shd w:val="clear" w:color="auto" w:fill="auto"/>
            <w:noWrap/>
            <w:hideMark/>
          </w:tcPr>
          <w:p w14:paraId="563E04A0" w14:textId="77777777" w:rsidR="0044478E" w:rsidRPr="00747E35" w:rsidRDefault="0044478E" w:rsidP="0044478E">
            <w:pPr>
              <w:pStyle w:val="Tabletext"/>
              <w:spacing w:before="0" w:after="0"/>
              <w:rPr>
                <w:rFonts w:cstheme="minorHAnsi"/>
                <w:sz w:val="16"/>
              </w:rPr>
            </w:pPr>
            <w:r w:rsidRPr="00747E35">
              <w:rPr>
                <w:rFonts w:cstheme="minorHAnsi"/>
                <w:sz w:val="16"/>
              </w:rPr>
              <w:t>Isopoda</w:t>
            </w:r>
          </w:p>
        </w:tc>
        <w:tc>
          <w:tcPr>
            <w:tcW w:w="1346" w:type="dxa"/>
            <w:shd w:val="clear" w:color="auto" w:fill="auto"/>
            <w:noWrap/>
            <w:hideMark/>
          </w:tcPr>
          <w:p w14:paraId="24445D78" w14:textId="77777777" w:rsidR="0044478E" w:rsidRPr="00747E35" w:rsidRDefault="0044478E" w:rsidP="0044478E">
            <w:pPr>
              <w:pStyle w:val="Tabletext"/>
              <w:spacing w:before="0" w:after="0"/>
              <w:rPr>
                <w:rFonts w:cstheme="minorHAnsi"/>
                <w:sz w:val="16"/>
              </w:rPr>
            </w:pPr>
            <w:r w:rsidRPr="00747E35">
              <w:rPr>
                <w:rFonts w:cstheme="minorHAnsi"/>
                <w:sz w:val="16"/>
              </w:rPr>
              <w:t>Ponderellidae</w:t>
            </w:r>
          </w:p>
        </w:tc>
        <w:tc>
          <w:tcPr>
            <w:tcW w:w="2976" w:type="dxa"/>
            <w:shd w:val="clear" w:color="auto" w:fill="auto"/>
            <w:noWrap/>
            <w:hideMark/>
          </w:tcPr>
          <w:p w14:paraId="6DC29B49" w14:textId="77777777" w:rsidR="0044478E" w:rsidRPr="00747E35" w:rsidRDefault="0044478E" w:rsidP="0044478E">
            <w:pPr>
              <w:pStyle w:val="Tabletext"/>
              <w:spacing w:before="0" w:after="0"/>
              <w:rPr>
                <w:rFonts w:cstheme="minorHAnsi"/>
                <w:i/>
                <w:sz w:val="16"/>
              </w:rPr>
            </w:pPr>
            <w:r w:rsidRPr="00747E35">
              <w:rPr>
                <w:rFonts w:cstheme="minorHAnsi"/>
                <w:i/>
                <w:sz w:val="16"/>
              </w:rPr>
              <w:t>Ponderiella ecomanufactia</w:t>
            </w:r>
          </w:p>
        </w:tc>
        <w:tc>
          <w:tcPr>
            <w:tcW w:w="1134" w:type="dxa"/>
            <w:shd w:val="clear" w:color="auto" w:fill="auto"/>
            <w:noWrap/>
            <w:hideMark/>
          </w:tcPr>
          <w:p w14:paraId="5DCC1F6D" w14:textId="77777777" w:rsidR="0044478E" w:rsidRPr="00747E35" w:rsidRDefault="0044478E" w:rsidP="0044478E">
            <w:pPr>
              <w:pStyle w:val="Tabletext"/>
              <w:spacing w:before="0" w:after="0"/>
              <w:rPr>
                <w:rFonts w:cstheme="minorHAnsi"/>
                <w:sz w:val="16"/>
              </w:rPr>
            </w:pPr>
            <w:r w:rsidRPr="00747E35">
              <w:rPr>
                <w:rFonts w:cstheme="minorHAnsi"/>
                <w:sz w:val="16"/>
              </w:rPr>
              <w:t>I_Poecum</w:t>
            </w:r>
          </w:p>
        </w:tc>
        <w:tc>
          <w:tcPr>
            <w:tcW w:w="567" w:type="dxa"/>
          </w:tcPr>
          <w:p w14:paraId="7ADE859D" w14:textId="77777777" w:rsidR="0044478E" w:rsidRPr="00747E35" w:rsidRDefault="0044478E" w:rsidP="0044478E">
            <w:pPr>
              <w:pStyle w:val="Tabletext"/>
              <w:spacing w:before="0" w:after="0"/>
              <w:rPr>
                <w:rFonts w:cstheme="minorHAnsi"/>
                <w:sz w:val="16"/>
              </w:rPr>
            </w:pPr>
            <w:r w:rsidRPr="00747E35">
              <w:rPr>
                <w:rFonts w:cstheme="minorHAnsi"/>
                <w:sz w:val="16"/>
              </w:rPr>
              <w:t>2</w:t>
            </w:r>
          </w:p>
        </w:tc>
        <w:tc>
          <w:tcPr>
            <w:tcW w:w="709" w:type="dxa"/>
          </w:tcPr>
          <w:p w14:paraId="45B8E340" w14:textId="77777777" w:rsidR="0044478E" w:rsidRPr="00747E35" w:rsidRDefault="0044478E" w:rsidP="0044478E">
            <w:pPr>
              <w:pStyle w:val="Tabletext"/>
              <w:spacing w:before="0" w:after="0"/>
              <w:rPr>
                <w:rFonts w:cstheme="minorHAnsi"/>
                <w:sz w:val="16"/>
              </w:rPr>
            </w:pPr>
            <w:r w:rsidRPr="00747E35">
              <w:rPr>
                <w:rFonts w:cstheme="minorHAnsi"/>
                <w:sz w:val="16"/>
              </w:rPr>
              <w:t>7.1</w:t>
            </w:r>
          </w:p>
        </w:tc>
        <w:tc>
          <w:tcPr>
            <w:tcW w:w="992" w:type="dxa"/>
          </w:tcPr>
          <w:p w14:paraId="60F2FAF8"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6492EB6F"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735EFE60" w14:textId="77777777" w:rsidR="0044478E" w:rsidRPr="00747E35" w:rsidRDefault="0044478E" w:rsidP="0044478E">
            <w:pPr>
              <w:pStyle w:val="Tabletext"/>
              <w:spacing w:before="0" w:after="0"/>
              <w:rPr>
                <w:rFonts w:cstheme="minorHAnsi"/>
                <w:sz w:val="16"/>
              </w:rPr>
            </w:pPr>
            <w:r w:rsidRPr="00747E35">
              <w:rPr>
                <w:rFonts w:cstheme="minorHAnsi"/>
                <w:sz w:val="16"/>
              </w:rPr>
              <w:t>Narrow supergroup</w:t>
            </w:r>
          </w:p>
        </w:tc>
      </w:tr>
      <w:tr w:rsidR="0044478E" w:rsidRPr="00747E35" w14:paraId="04370127" w14:textId="77777777" w:rsidTr="0044478E">
        <w:trPr>
          <w:trHeight w:val="20"/>
        </w:trPr>
        <w:tc>
          <w:tcPr>
            <w:tcW w:w="964" w:type="dxa"/>
            <w:shd w:val="clear" w:color="auto" w:fill="auto"/>
            <w:noWrap/>
            <w:hideMark/>
          </w:tcPr>
          <w:p w14:paraId="3EB90B76" w14:textId="77777777" w:rsidR="0044478E" w:rsidRPr="00747E35" w:rsidRDefault="0044478E" w:rsidP="0044478E">
            <w:pPr>
              <w:pStyle w:val="Tabletext"/>
              <w:spacing w:before="0" w:after="0"/>
              <w:rPr>
                <w:rFonts w:cstheme="minorHAnsi"/>
                <w:sz w:val="16"/>
              </w:rPr>
            </w:pPr>
            <w:r w:rsidRPr="00747E35">
              <w:rPr>
                <w:rFonts w:cstheme="minorHAnsi"/>
                <w:sz w:val="16"/>
              </w:rPr>
              <w:t>Plantae</w:t>
            </w:r>
          </w:p>
        </w:tc>
        <w:tc>
          <w:tcPr>
            <w:tcW w:w="1191" w:type="dxa"/>
            <w:shd w:val="clear" w:color="auto" w:fill="auto"/>
            <w:noWrap/>
            <w:hideMark/>
          </w:tcPr>
          <w:p w14:paraId="5BF992B8" w14:textId="77777777" w:rsidR="0044478E" w:rsidRPr="00747E35" w:rsidRDefault="0044478E" w:rsidP="0044478E">
            <w:pPr>
              <w:pStyle w:val="Tabletext"/>
              <w:spacing w:before="0" w:after="0"/>
              <w:rPr>
                <w:rFonts w:cstheme="minorHAnsi"/>
                <w:sz w:val="16"/>
              </w:rPr>
            </w:pPr>
            <w:r w:rsidRPr="00747E35">
              <w:rPr>
                <w:rFonts w:cstheme="minorHAnsi"/>
                <w:sz w:val="16"/>
              </w:rPr>
              <w:t>Angiosperms</w:t>
            </w:r>
          </w:p>
        </w:tc>
        <w:tc>
          <w:tcPr>
            <w:tcW w:w="1295" w:type="dxa"/>
            <w:shd w:val="clear" w:color="auto" w:fill="auto"/>
            <w:noWrap/>
            <w:hideMark/>
          </w:tcPr>
          <w:p w14:paraId="107E896B" w14:textId="77777777" w:rsidR="0044478E" w:rsidRPr="00747E35" w:rsidRDefault="0044478E" w:rsidP="0044478E">
            <w:pPr>
              <w:pStyle w:val="Tabletext"/>
              <w:spacing w:before="0" w:after="0"/>
              <w:rPr>
                <w:rFonts w:cstheme="minorHAnsi"/>
                <w:sz w:val="16"/>
              </w:rPr>
            </w:pPr>
            <w:r w:rsidRPr="00747E35">
              <w:rPr>
                <w:rFonts w:cstheme="minorHAnsi"/>
                <w:sz w:val="16"/>
              </w:rPr>
              <w:t>~Eudicots</w:t>
            </w:r>
          </w:p>
        </w:tc>
        <w:tc>
          <w:tcPr>
            <w:tcW w:w="1295" w:type="dxa"/>
            <w:shd w:val="clear" w:color="auto" w:fill="auto"/>
            <w:noWrap/>
            <w:hideMark/>
          </w:tcPr>
          <w:p w14:paraId="616A88EA" w14:textId="77777777" w:rsidR="0044478E" w:rsidRPr="00747E35" w:rsidRDefault="0044478E" w:rsidP="0044478E">
            <w:pPr>
              <w:pStyle w:val="Tabletext"/>
              <w:spacing w:before="0" w:after="0"/>
              <w:rPr>
                <w:rFonts w:cstheme="minorHAnsi"/>
                <w:sz w:val="16"/>
              </w:rPr>
            </w:pPr>
            <w:r w:rsidRPr="00747E35">
              <w:rPr>
                <w:rFonts w:cstheme="minorHAnsi"/>
                <w:sz w:val="16"/>
              </w:rPr>
              <w:t>Apiales</w:t>
            </w:r>
          </w:p>
        </w:tc>
        <w:tc>
          <w:tcPr>
            <w:tcW w:w="1346" w:type="dxa"/>
            <w:shd w:val="clear" w:color="auto" w:fill="auto"/>
            <w:noWrap/>
            <w:hideMark/>
          </w:tcPr>
          <w:p w14:paraId="4F1357F1" w14:textId="77777777" w:rsidR="0044478E" w:rsidRPr="00747E35" w:rsidRDefault="0044478E" w:rsidP="0044478E">
            <w:pPr>
              <w:pStyle w:val="Tabletext"/>
              <w:spacing w:before="0" w:after="0"/>
              <w:rPr>
                <w:rFonts w:cstheme="minorHAnsi"/>
                <w:sz w:val="16"/>
              </w:rPr>
            </w:pPr>
            <w:r w:rsidRPr="00747E35">
              <w:rPr>
                <w:rFonts w:cstheme="minorHAnsi"/>
                <w:sz w:val="16"/>
              </w:rPr>
              <w:t>Apiaceae</w:t>
            </w:r>
          </w:p>
        </w:tc>
        <w:tc>
          <w:tcPr>
            <w:tcW w:w="2976" w:type="dxa"/>
            <w:shd w:val="clear" w:color="auto" w:fill="auto"/>
            <w:noWrap/>
            <w:hideMark/>
          </w:tcPr>
          <w:p w14:paraId="342197B6" w14:textId="77777777" w:rsidR="0044478E" w:rsidRPr="00747E35" w:rsidRDefault="0044478E" w:rsidP="0044478E">
            <w:pPr>
              <w:pStyle w:val="Tabletext"/>
              <w:spacing w:before="0" w:after="0"/>
              <w:rPr>
                <w:rFonts w:cstheme="minorHAnsi"/>
                <w:i/>
                <w:sz w:val="16"/>
              </w:rPr>
            </w:pPr>
            <w:r w:rsidRPr="00747E35">
              <w:rPr>
                <w:rFonts w:cstheme="minorHAnsi"/>
                <w:i/>
                <w:sz w:val="16"/>
              </w:rPr>
              <w:t>Eryngium fontanum</w:t>
            </w:r>
          </w:p>
        </w:tc>
        <w:tc>
          <w:tcPr>
            <w:tcW w:w="1134" w:type="dxa"/>
            <w:shd w:val="clear" w:color="auto" w:fill="auto"/>
            <w:noWrap/>
            <w:hideMark/>
          </w:tcPr>
          <w:p w14:paraId="07C5EED2" w14:textId="77777777" w:rsidR="0044478E" w:rsidRPr="00747E35" w:rsidRDefault="0044478E" w:rsidP="0044478E">
            <w:pPr>
              <w:pStyle w:val="Tabletext"/>
              <w:spacing w:before="0" w:after="0"/>
              <w:rPr>
                <w:rFonts w:cstheme="minorHAnsi"/>
                <w:sz w:val="16"/>
              </w:rPr>
            </w:pPr>
            <w:r w:rsidRPr="00747E35">
              <w:rPr>
                <w:rFonts w:cstheme="minorHAnsi"/>
                <w:sz w:val="16"/>
              </w:rPr>
              <w:t>P_Eryfon</w:t>
            </w:r>
          </w:p>
        </w:tc>
        <w:tc>
          <w:tcPr>
            <w:tcW w:w="567" w:type="dxa"/>
          </w:tcPr>
          <w:p w14:paraId="4F67AFA0" w14:textId="77777777" w:rsidR="0044478E" w:rsidRPr="00747E35" w:rsidRDefault="0044478E" w:rsidP="0044478E">
            <w:pPr>
              <w:pStyle w:val="Tabletext"/>
              <w:spacing w:before="0" w:after="0"/>
              <w:rPr>
                <w:rFonts w:cstheme="minorHAnsi"/>
                <w:sz w:val="16"/>
              </w:rPr>
            </w:pPr>
            <w:r w:rsidRPr="00747E35">
              <w:rPr>
                <w:rFonts w:cstheme="minorHAnsi"/>
                <w:sz w:val="16"/>
              </w:rPr>
              <w:t>2</w:t>
            </w:r>
          </w:p>
        </w:tc>
        <w:tc>
          <w:tcPr>
            <w:tcW w:w="709" w:type="dxa"/>
          </w:tcPr>
          <w:p w14:paraId="57C975F3" w14:textId="77777777" w:rsidR="0044478E" w:rsidRPr="00747E35" w:rsidRDefault="0044478E" w:rsidP="0044478E">
            <w:pPr>
              <w:pStyle w:val="Tabletext"/>
              <w:spacing w:before="0" w:after="0"/>
              <w:rPr>
                <w:rFonts w:cstheme="minorHAnsi"/>
                <w:sz w:val="16"/>
              </w:rPr>
            </w:pPr>
            <w:r w:rsidRPr="00747E35">
              <w:rPr>
                <w:rFonts w:cstheme="minorHAnsi"/>
                <w:sz w:val="16"/>
              </w:rPr>
              <w:t>35.0</w:t>
            </w:r>
          </w:p>
        </w:tc>
        <w:tc>
          <w:tcPr>
            <w:tcW w:w="992" w:type="dxa"/>
          </w:tcPr>
          <w:p w14:paraId="66BEC989"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404679F1"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6AC0DEFA" w14:textId="77777777" w:rsidR="0044478E" w:rsidRPr="00747E35" w:rsidRDefault="0044478E" w:rsidP="0044478E">
            <w:pPr>
              <w:pStyle w:val="Tabletext"/>
              <w:spacing w:before="0" w:after="0"/>
              <w:rPr>
                <w:rFonts w:cstheme="minorHAnsi"/>
                <w:sz w:val="16"/>
              </w:rPr>
            </w:pPr>
            <w:r w:rsidRPr="00747E35">
              <w:rPr>
                <w:rFonts w:cstheme="minorHAnsi"/>
                <w:sz w:val="16"/>
              </w:rPr>
              <w:t>Narrow supergroup</w:t>
            </w:r>
          </w:p>
        </w:tc>
      </w:tr>
      <w:tr w:rsidR="0044478E" w:rsidRPr="00747E35" w14:paraId="6D947AE8" w14:textId="77777777" w:rsidTr="0044478E">
        <w:trPr>
          <w:trHeight w:val="20"/>
        </w:trPr>
        <w:tc>
          <w:tcPr>
            <w:tcW w:w="964" w:type="dxa"/>
            <w:shd w:val="clear" w:color="auto" w:fill="auto"/>
            <w:noWrap/>
            <w:hideMark/>
          </w:tcPr>
          <w:p w14:paraId="4D33F0F6" w14:textId="77777777" w:rsidR="0044478E" w:rsidRPr="00747E35" w:rsidRDefault="0044478E" w:rsidP="0044478E">
            <w:pPr>
              <w:pStyle w:val="Tabletext"/>
              <w:spacing w:before="0" w:after="0"/>
              <w:rPr>
                <w:rFonts w:cstheme="minorHAnsi"/>
                <w:sz w:val="16"/>
              </w:rPr>
            </w:pPr>
            <w:r w:rsidRPr="00747E35">
              <w:rPr>
                <w:rFonts w:cstheme="minorHAnsi"/>
                <w:sz w:val="16"/>
              </w:rPr>
              <w:t>Plantae</w:t>
            </w:r>
          </w:p>
        </w:tc>
        <w:tc>
          <w:tcPr>
            <w:tcW w:w="1191" w:type="dxa"/>
            <w:shd w:val="clear" w:color="auto" w:fill="auto"/>
            <w:noWrap/>
            <w:hideMark/>
          </w:tcPr>
          <w:p w14:paraId="5CAFE542" w14:textId="77777777" w:rsidR="0044478E" w:rsidRPr="00747E35" w:rsidRDefault="0044478E" w:rsidP="0044478E">
            <w:pPr>
              <w:pStyle w:val="Tabletext"/>
              <w:spacing w:before="0" w:after="0"/>
              <w:rPr>
                <w:rFonts w:cstheme="minorHAnsi"/>
                <w:sz w:val="16"/>
              </w:rPr>
            </w:pPr>
            <w:r w:rsidRPr="00747E35">
              <w:rPr>
                <w:rFonts w:cstheme="minorHAnsi"/>
                <w:sz w:val="16"/>
              </w:rPr>
              <w:t>Angiosperms</w:t>
            </w:r>
          </w:p>
        </w:tc>
        <w:tc>
          <w:tcPr>
            <w:tcW w:w="1295" w:type="dxa"/>
            <w:shd w:val="clear" w:color="auto" w:fill="auto"/>
            <w:noWrap/>
            <w:hideMark/>
          </w:tcPr>
          <w:p w14:paraId="62FAF149" w14:textId="77777777" w:rsidR="0044478E" w:rsidRPr="00747E35" w:rsidRDefault="0044478E" w:rsidP="0044478E">
            <w:pPr>
              <w:pStyle w:val="Tabletext"/>
              <w:spacing w:before="0" w:after="0"/>
              <w:rPr>
                <w:rFonts w:cstheme="minorHAnsi"/>
                <w:sz w:val="16"/>
              </w:rPr>
            </w:pPr>
            <w:r w:rsidRPr="00747E35">
              <w:rPr>
                <w:rFonts w:cstheme="minorHAnsi"/>
                <w:sz w:val="16"/>
              </w:rPr>
              <w:t>~Eudicots</w:t>
            </w:r>
          </w:p>
        </w:tc>
        <w:tc>
          <w:tcPr>
            <w:tcW w:w="1295" w:type="dxa"/>
            <w:shd w:val="clear" w:color="auto" w:fill="auto"/>
            <w:noWrap/>
            <w:hideMark/>
          </w:tcPr>
          <w:p w14:paraId="50077554" w14:textId="77777777" w:rsidR="0044478E" w:rsidRPr="00747E35" w:rsidRDefault="0044478E" w:rsidP="0044478E">
            <w:pPr>
              <w:pStyle w:val="Tabletext"/>
              <w:spacing w:before="0" w:after="0"/>
              <w:rPr>
                <w:rFonts w:cstheme="minorHAnsi"/>
                <w:sz w:val="16"/>
              </w:rPr>
            </w:pPr>
            <w:r w:rsidRPr="00747E35">
              <w:rPr>
                <w:rFonts w:cstheme="minorHAnsi"/>
                <w:sz w:val="16"/>
              </w:rPr>
              <w:t>Apiales</w:t>
            </w:r>
          </w:p>
        </w:tc>
        <w:tc>
          <w:tcPr>
            <w:tcW w:w="1346" w:type="dxa"/>
            <w:shd w:val="clear" w:color="auto" w:fill="auto"/>
            <w:noWrap/>
            <w:hideMark/>
          </w:tcPr>
          <w:p w14:paraId="492D025D" w14:textId="77777777" w:rsidR="0044478E" w:rsidRPr="00747E35" w:rsidRDefault="0044478E" w:rsidP="0044478E">
            <w:pPr>
              <w:pStyle w:val="Tabletext"/>
              <w:spacing w:before="0" w:after="0"/>
              <w:rPr>
                <w:rFonts w:cstheme="minorHAnsi"/>
                <w:sz w:val="16"/>
              </w:rPr>
            </w:pPr>
            <w:r w:rsidRPr="00747E35">
              <w:rPr>
                <w:rFonts w:cstheme="minorHAnsi"/>
                <w:sz w:val="16"/>
              </w:rPr>
              <w:t>Araliaceae</w:t>
            </w:r>
          </w:p>
        </w:tc>
        <w:tc>
          <w:tcPr>
            <w:tcW w:w="2976" w:type="dxa"/>
            <w:shd w:val="clear" w:color="auto" w:fill="auto"/>
            <w:noWrap/>
            <w:hideMark/>
          </w:tcPr>
          <w:p w14:paraId="5EC0845F" w14:textId="77777777" w:rsidR="0044478E" w:rsidRPr="00747E35" w:rsidRDefault="0044478E" w:rsidP="0044478E">
            <w:pPr>
              <w:pStyle w:val="Tabletext"/>
              <w:spacing w:before="0" w:after="0"/>
              <w:rPr>
                <w:rFonts w:cstheme="minorHAnsi"/>
                <w:i/>
                <w:sz w:val="16"/>
              </w:rPr>
            </w:pPr>
            <w:r w:rsidRPr="00747E35">
              <w:rPr>
                <w:rFonts w:cstheme="minorHAnsi"/>
                <w:i/>
                <w:sz w:val="16"/>
              </w:rPr>
              <w:t>Hydrocotyle dipleura</w:t>
            </w:r>
          </w:p>
        </w:tc>
        <w:tc>
          <w:tcPr>
            <w:tcW w:w="1134" w:type="dxa"/>
            <w:shd w:val="clear" w:color="auto" w:fill="auto"/>
            <w:noWrap/>
            <w:hideMark/>
          </w:tcPr>
          <w:p w14:paraId="1AA32182" w14:textId="77777777" w:rsidR="0044478E" w:rsidRPr="00747E35" w:rsidRDefault="0044478E" w:rsidP="0044478E">
            <w:pPr>
              <w:pStyle w:val="Tabletext"/>
              <w:spacing w:before="0" w:after="0"/>
              <w:rPr>
                <w:rFonts w:cstheme="minorHAnsi"/>
                <w:sz w:val="16"/>
              </w:rPr>
            </w:pPr>
            <w:r w:rsidRPr="00747E35">
              <w:rPr>
                <w:rFonts w:cstheme="minorHAnsi"/>
                <w:sz w:val="16"/>
              </w:rPr>
              <w:t>P_Hydip</w:t>
            </w:r>
          </w:p>
        </w:tc>
        <w:tc>
          <w:tcPr>
            <w:tcW w:w="567" w:type="dxa"/>
          </w:tcPr>
          <w:p w14:paraId="7F492867" w14:textId="77777777" w:rsidR="0044478E" w:rsidRPr="00747E35" w:rsidRDefault="0044478E" w:rsidP="0044478E">
            <w:pPr>
              <w:pStyle w:val="Tabletext"/>
              <w:spacing w:before="0" w:after="0"/>
              <w:rPr>
                <w:rFonts w:cstheme="minorHAnsi"/>
                <w:sz w:val="16"/>
              </w:rPr>
            </w:pPr>
            <w:r w:rsidRPr="00747E35">
              <w:rPr>
                <w:rFonts w:cstheme="minorHAnsi"/>
                <w:sz w:val="16"/>
              </w:rPr>
              <w:t>8</w:t>
            </w:r>
          </w:p>
        </w:tc>
        <w:tc>
          <w:tcPr>
            <w:tcW w:w="709" w:type="dxa"/>
          </w:tcPr>
          <w:p w14:paraId="349FEFC1" w14:textId="77777777" w:rsidR="0044478E" w:rsidRPr="00747E35" w:rsidRDefault="0044478E" w:rsidP="0044478E">
            <w:pPr>
              <w:pStyle w:val="Tabletext"/>
              <w:spacing w:before="0" w:after="0"/>
              <w:rPr>
                <w:rFonts w:cstheme="minorHAnsi"/>
                <w:sz w:val="16"/>
              </w:rPr>
            </w:pPr>
            <w:r w:rsidRPr="00747E35">
              <w:rPr>
                <w:rFonts w:cstheme="minorHAnsi"/>
                <w:sz w:val="16"/>
              </w:rPr>
              <w:t>80.6</w:t>
            </w:r>
          </w:p>
        </w:tc>
        <w:tc>
          <w:tcPr>
            <w:tcW w:w="992" w:type="dxa"/>
          </w:tcPr>
          <w:p w14:paraId="76BD8E29" w14:textId="77777777" w:rsidR="0044478E" w:rsidRPr="00747E35" w:rsidRDefault="0044478E" w:rsidP="0044478E">
            <w:pPr>
              <w:pStyle w:val="Tabletext"/>
              <w:spacing w:before="0" w:after="0"/>
              <w:rPr>
                <w:rFonts w:cstheme="minorHAnsi"/>
                <w:sz w:val="16"/>
              </w:rPr>
            </w:pPr>
            <w:r w:rsidRPr="00747E35">
              <w:rPr>
                <w:rFonts w:cstheme="minorHAnsi"/>
                <w:sz w:val="16"/>
              </w:rPr>
              <w:t>38</w:t>
            </w:r>
          </w:p>
        </w:tc>
        <w:tc>
          <w:tcPr>
            <w:tcW w:w="851" w:type="dxa"/>
          </w:tcPr>
          <w:p w14:paraId="6103ACEF"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650E3858" w14:textId="77777777" w:rsidR="0044478E" w:rsidRPr="00747E35" w:rsidRDefault="0044478E" w:rsidP="0044478E">
            <w:pPr>
              <w:pStyle w:val="Tabletext"/>
              <w:spacing w:before="0" w:after="0"/>
              <w:rPr>
                <w:rFonts w:cstheme="minorHAnsi"/>
                <w:sz w:val="16"/>
              </w:rPr>
            </w:pPr>
            <w:r w:rsidRPr="00747E35">
              <w:rPr>
                <w:rFonts w:cstheme="minorHAnsi"/>
                <w:sz w:val="16"/>
              </w:rPr>
              <w:t>Broad</w:t>
            </w:r>
          </w:p>
        </w:tc>
      </w:tr>
      <w:tr w:rsidR="0044478E" w:rsidRPr="00747E35" w14:paraId="53FE5778" w14:textId="77777777" w:rsidTr="0044478E">
        <w:trPr>
          <w:trHeight w:val="20"/>
        </w:trPr>
        <w:tc>
          <w:tcPr>
            <w:tcW w:w="964" w:type="dxa"/>
            <w:shd w:val="clear" w:color="auto" w:fill="auto"/>
            <w:noWrap/>
            <w:hideMark/>
          </w:tcPr>
          <w:p w14:paraId="743C088B" w14:textId="77777777" w:rsidR="0044478E" w:rsidRPr="00747E35" w:rsidRDefault="0044478E" w:rsidP="0044478E">
            <w:pPr>
              <w:pStyle w:val="Tabletext"/>
              <w:spacing w:before="0" w:after="0"/>
              <w:rPr>
                <w:rFonts w:cstheme="minorHAnsi"/>
                <w:sz w:val="16"/>
              </w:rPr>
            </w:pPr>
            <w:r w:rsidRPr="00747E35">
              <w:rPr>
                <w:rFonts w:cstheme="minorHAnsi"/>
                <w:sz w:val="16"/>
              </w:rPr>
              <w:lastRenderedPageBreak/>
              <w:t>Plantae</w:t>
            </w:r>
          </w:p>
        </w:tc>
        <w:tc>
          <w:tcPr>
            <w:tcW w:w="1191" w:type="dxa"/>
            <w:shd w:val="clear" w:color="auto" w:fill="auto"/>
            <w:noWrap/>
            <w:hideMark/>
          </w:tcPr>
          <w:p w14:paraId="3E20BCD9" w14:textId="77777777" w:rsidR="0044478E" w:rsidRPr="00747E35" w:rsidRDefault="0044478E" w:rsidP="0044478E">
            <w:pPr>
              <w:pStyle w:val="Tabletext"/>
              <w:spacing w:before="0" w:after="0"/>
              <w:rPr>
                <w:rFonts w:cstheme="minorHAnsi"/>
                <w:sz w:val="16"/>
              </w:rPr>
            </w:pPr>
            <w:r w:rsidRPr="00747E35">
              <w:rPr>
                <w:rFonts w:cstheme="minorHAnsi"/>
                <w:sz w:val="16"/>
              </w:rPr>
              <w:t>Angiosperms</w:t>
            </w:r>
          </w:p>
        </w:tc>
        <w:tc>
          <w:tcPr>
            <w:tcW w:w="1295" w:type="dxa"/>
            <w:shd w:val="clear" w:color="auto" w:fill="auto"/>
            <w:noWrap/>
            <w:hideMark/>
          </w:tcPr>
          <w:p w14:paraId="08F9B085" w14:textId="77777777" w:rsidR="0044478E" w:rsidRPr="00747E35" w:rsidRDefault="0044478E" w:rsidP="0044478E">
            <w:pPr>
              <w:pStyle w:val="Tabletext"/>
              <w:spacing w:before="0" w:after="0"/>
              <w:rPr>
                <w:rFonts w:cstheme="minorHAnsi"/>
                <w:sz w:val="16"/>
              </w:rPr>
            </w:pPr>
            <w:r w:rsidRPr="00747E35">
              <w:rPr>
                <w:rFonts w:cstheme="minorHAnsi"/>
                <w:sz w:val="16"/>
              </w:rPr>
              <w:t>~Eudicots</w:t>
            </w:r>
          </w:p>
        </w:tc>
        <w:tc>
          <w:tcPr>
            <w:tcW w:w="1295" w:type="dxa"/>
            <w:shd w:val="clear" w:color="auto" w:fill="auto"/>
            <w:noWrap/>
            <w:hideMark/>
          </w:tcPr>
          <w:p w14:paraId="6DF59011" w14:textId="77777777" w:rsidR="0044478E" w:rsidRPr="00747E35" w:rsidRDefault="0044478E" w:rsidP="0044478E">
            <w:pPr>
              <w:pStyle w:val="Tabletext"/>
              <w:spacing w:before="0" w:after="0"/>
              <w:rPr>
                <w:rFonts w:cstheme="minorHAnsi"/>
                <w:sz w:val="16"/>
              </w:rPr>
            </w:pPr>
            <w:r w:rsidRPr="00747E35">
              <w:rPr>
                <w:rFonts w:cstheme="minorHAnsi"/>
                <w:sz w:val="16"/>
              </w:rPr>
              <w:t>Asterales</w:t>
            </w:r>
          </w:p>
        </w:tc>
        <w:tc>
          <w:tcPr>
            <w:tcW w:w="1346" w:type="dxa"/>
            <w:shd w:val="clear" w:color="auto" w:fill="auto"/>
            <w:noWrap/>
            <w:hideMark/>
          </w:tcPr>
          <w:p w14:paraId="00A4CD66" w14:textId="77777777" w:rsidR="0044478E" w:rsidRPr="00747E35" w:rsidRDefault="0044478E" w:rsidP="0044478E">
            <w:pPr>
              <w:pStyle w:val="Tabletext"/>
              <w:spacing w:before="0" w:after="0"/>
              <w:rPr>
                <w:rFonts w:cstheme="minorHAnsi"/>
                <w:sz w:val="16"/>
              </w:rPr>
            </w:pPr>
            <w:r w:rsidRPr="00747E35">
              <w:rPr>
                <w:rFonts w:cstheme="minorHAnsi"/>
                <w:sz w:val="16"/>
              </w:rPr>
              <w:t>Campanulacea</w:t>
            </w:r>
          </w:p>
        </w:tc>
        <w:tc>
          <w:tcPr>
            <w:tcW w:w="2976" w:type="dxa"/>
            <w:shd w:val="clear" w:color="auto" w:fill="auto"/>
            <w:noWrap/>
            <w:hideMark/>
          </w:tcPr>
          <w:p w14:paraId="4D6860DA" w14:textId="77777777" w:rsidR="0044478E" w:rsidRPr="00747E35" w:rsidRDefault="0044478E" w:rsidP="0044478E">
            <w:pPr>
              <w:pStyle w:val="Tabletext"/>
              <w:spacing w:before="0" w:after="0"/>
              <w:rPr>
                <w:rFonts w:cstheme="minorHAnsi"/>
                <w:sz w:val="16"/>
              </w:rPr>
            </w:pPr>
            <w:r w:rsidRPr="00747E35">
              <w:rPr>
                <w:rFonts w:cstheme="minorHAnsi"/>
                <w:i/>
                <w:sz w:val="16"/>
              </w:rPr>
              <w:t>Isotoma</w:t>
            </w:r>
            <w:r w:rsidRPr="00747E35">
              <w:rPr>
                <w:rFonts w:cstheme="minorHAnsi"/>
                <w:sz w:val="16"/>
              </w:rPr>
              <w:t xml:space="preserve"> sp. (Edgbaston)</w:t>
            </w:r>
          </w:p>
        </w:tc>
        <w:tc>
          <w:tcPr>
            <w:tcW w:w="1134" w:type="dxa"/>
            <w:shd w:val="clear" w:color="auto" w:fill="auto"/>
            <w:noWrap/>
            <w:hideMark/>
          </w:tcPr>
          <w:p w14:paraId="385857C6" w14:textId="77777777" w:rsidR="0044478E" w:rsidRPr="00747E35" w:rsidRDefault="0044478E" w:rsidP="0044478E">
            <w:pPr>
              <w:pStyle w:val="Tabletext"/>
              <w:spacing w:before="0" w:after="0"/>
              <w:rPr>
                <w:rFonts w:cstheme="minorHAnsi"/>
                <w:sz w:val="16"/>
              </w:rPr>
            </w:pPr>
            <w:r w:rsidRPr="00747E35">
              <w:rPr>
                <w:rFonts w:cstheme="minorHAnsi"/>
                <w:sz w:val="16"/>
              </w:rPr>
              <w:t>P_Isedge</w:t>
            </w:r>
          </w:p>
        </w:tc>
        <w:tc>
          <w:tcPr>
            <w:tcW w:w="567" w:type="dxa"/>
          </w:tcPr>
          <w:p w14:paraId="302C1E4C" w14:textId="77777777" w:rsidR="0044478E" w:rsidRPr="00747E35" w:rsidRDefault="0044478E" w:rsidP="0044478E">
            <w:pPr>
              <w:pStyle w:val="Tabletext"/>
              <w:spacing w:before="0" w:after="0"/>
              <w:rPr>
                <w:rFonts w:cstheme="minorHAnsi"/>
                <w:sz w:val="16"/>
              </w:rPr>
            </w:pPr>
            <w:r w:rsidRPr="00747E35">
              <w:rPr>
                <w:rFonts w:cstheme="minorHAnsi"/>
                <w:sz w:val="16"/>
              </w:rPr>
              <w:t>3</w:t>
            </w:r>
          </w:p>
        </w:tc>
        <w:tc>
          <w:tcPr>
            <w:tcW w:w="709" w:type="dxa"/>
          </w:tcPr>
          <w:p w14:paraId="27931B82" w14:textId="77777777" w:rsidR="0044478E" w:rsidRPr="00747E35" w:rsidRDefault="0044478E" w:rsidP="0044478E">
            <w:pPr>
              <w:pStyle w:val="Tabletext"/>
              <w:spacing w:before="0" w:after="0"/>
              <w:rPr>
                <w:rFonts w:cstheme="minorHAnsi"/>
                <w:sz w:val="16"/>
              </w:rPr>
            </w:pPr>
            <w:r w:rsidRPr="00747E35">
              <w:rPr>
                <w:rFonts w:cstheme="minorHAnsi"/>
                <w:sz w:val="16"/>
              </w:rPr>
              <w:t>39.4</w:t>
            </w:r>
          </w:p>
        </w:tc>
        <w:tc>
          <w:tcPr>
            <w:tcW w:w="992" w:type="dxa"/>
          </w:tcPr>
          <w:p w14:paraId="51931228" w14:textId="77777777" w:rsidR="0044478E" w:rsidRPr="00747E35" w:rsidRDefault="0044478E" w:rsidP="0044478E">
            <w:pPr>
              <w:pStyle w:val="Tabletext"/>
              <w:spacing w:before="0" w:after="0"/>
              <w:rPr>
                <w:rFonts w:cstheme="minorHAnsi"/>
                <w:sz w:val="16"/>
              </w:rPr>
            </w:pPr>
            <w:r w:rsidRPr="00747E35">
              <w:rPr>
                <w:rFonts w:cstheme="minorHAnsi"/>
                <w:sz w:val="16"/>
              </w:rPr>
              <w:t>67</w:t>
            </w:r>
          </w:p>
        </w:tc>
        <w:tc>
          <w:tcPr>
            <w:tcW w:w="851" w:type="dxa"/>
          </w:tcPr>
          <w:p w14:paraId="122C70C2" w14:textId="77777777" w:rsidR="0044478E" w:rsidRPr="00747E35" w:rsidRDefault="0044478E" w:rsidP="0044478E">
            <w:pPr>
              <w:pStyle w:val="Tabletext"/>
              <w:spacing w:before="0" w:after="0"/>
              <w:rPr>
                <w:rFonts w:cstheme="minorHAnsi"/>
                <w:sz w:val="16"/>
              </w:rPr>
            </w:pPr>
            <w:r w:rsidRPr="00747E35">
              <w:rPr>
                <w:rFonts w:cstheme="minorHAnsi"/>
                <w:sz w:val="16"/>
              </w:rPr>
              <w:t>U</w:t>
            </w:r>
          </w:p>
        </w:tc>
        <w:tc>
          <w:tcPr>
            <w:tcW w:w="1542" w:type="dxa"/>
          </w:tcPr>
          <w:p w14:paraId="4DEE8F5A" w14:textId="77777777" w:rsidR="0044478E" w:rsidRPr="00747E35" w:rsidRDefault="0044478E" w:rsidP="0044478E">
            <w:pPr>
              <w:pStyle w:val="Tabletext"/>
              <w:spacing w:before="0" w:after="0"/>
              <w:rPr>
                <w:rFonts w:cstheme="minorHAnsi"/>
                <w:sz w:val="16"/>
              </w:rPr>
            </w:pPr>
            <w:r w:rsidRPr="00747E35">
              <w:rPr>
                <w:rFonts w:cstheme="minorHAnsi"/>
                <w:sz w:val="16"/>
              </w:rPr>
              <w:t>Broad</w:t>
            </w:r>
          </w:p>
        </w:tc>
      </w:tr>
      <w:tr w:rsidR="0044478E" w:rsidRPr="00747E35" w14:paraId="6572E8C3" w14:textId="77777777" w:rsidTr="0044478E">
        <w:trPr>
          <w:trHeight w:val="20"/>
        </w:trPr>
        <w:tc>
          <w:tcPr>
            <w:tcW w:w="964" w:type="dxa"/>
            <w:shd w:val="clear" w:color="auto" w:fill="auto"/>
            <w:noWrap/>
            <w:hideMark/>
          </w:tcPr>
          <w:p w14:paraId="5F6E8663" w14:textId="77777777" w:rsidR="0044478E" w:rsidRPr="00747E35" w:rsidRDefault="0044478E" w:rsidP="0044478E">
            <w:pPr>
              <w:pStyle w:val="Tabletext"/>
              <w:spacing w:before="0" w:after="0"/>
              <w:rPr>
                <w:rFonts w:cstheme="minorHAnsi"/>
                <w:sz w:val="16"/>
              </w:rPr>
            </w:pPr>
            <w:r w:rsidRPr="00747E35">
              <w:rPr>
                <w:rFonts w:cstheme="minorHAnsi"/>
                <w:sz w:val="16"/>
              </w:rPr>
              <w:t>Plantae</w:t>
            </w:r>
          </w:p>
        </w:tc>
        <w:tc>
          <w:tcPr>
            <w:tcW w:w="1191" w:type="dxa"/>
            <w:shd w:val="clear" w:color="auto" w:fill="auto"/>
            <w:noWrap/>
            <w:hideMark/>
          </w:tcPr>
          <w:p w14:paraId="2E265E1B" w14:textId="77777777" w:rsidR="0044478E" w:rsidRPr="00747E35" w:rsidRDefault="0044478E" w:rsidP="0044478E">
            <w:pPr>
              <w:pStyle w:val="Tabletext"/>
              <w:spacing w:before="0" w:after="0"/>
              <w:rPr>
                <w:rFonts w:cstheme="minorHAnsi"/>
                <w:sz w:val="16"/>
              </w:rPr>
            </w:pPr>
            <w:r w:rsidRPr="00747E35">
              <w:rPr>
                <w:rFonts w:cstheme="minorHAnsi"/>
                <w:sz w:val="16"/>
              </w:rPr>
              <w:t>Angiosperms</w:t>
            </w:r>
          </w:p>
        </w:tc>
        <w:tc>
          <w:tcPr>
            <w:tcW w:w="1295" w:type="dxa"/>
            <w:shd w:val="clear" w:color="auto" w:fill="auto"/>
            <w:noWrap/>
            <w:hideMark/>
          </w:tcPr>
          <w:p w14:paraId="10F4F8FE" w14:textId="77777777" w:rsidR="0044478E" w:rsidRPr="00747E35" w:rsidRDefault="0044478E" w:rsidP="0044478E">
            <w:pPr>
              <w:pStyle w:val="Tabletext"/>
              <w:spacing w:before="0" w:after="0"/>
              <w:rPr>
                <w:rFonts w:cstheme="minorHAnsi"/>
                <w:sz w:val="16"/>
              </w:rPr>
            </w:pPr>
            <w:r w:rsidRPr="00747E35">
              <w:rPr>
                <w:rFonts w:cstheme="minorHAnsi"/>
                <w:sz w:val="16"/>
              </w:rPr>
              <w:t>~Eudicots</w:t>
            </w:r>
          </w:p>
        </w:tc>
        <w:tc>
          <w:tcPr>
            <w:tcW w:w="1295" w:type="dxa"/>
            <w:shd w:val="clear" w:color="auto" w:fill="auto"/>
            <w:noWrap/>
            <w:hideMark/>
          </w:tcPr>
          <w:p w14:paraId="2100F12E" w14:textId="77777777" w:rsidR="0044478E" w:rsidRPr="00747E35" w:rsidRDefault="0044478E" w:rsidP="0044478E">
            <w:pPr>
              <w:pStyle w:val="Tabletext"/>
              <w:spacing w:before="0" w:after="0"/>
              <w:rPr>
                <w:rFonts w:cstheme="minorHAnsi"/>
                <w:sz w:val="16"/>
              </w:rPr>
            </w:pPr>
            <w:r w:rsidRPr="00747E35">
              <w:rPr>
                <w:rFonts w:cstheme="minorHAnsi"/>
                <w:sz w:val="16"/>
              </w:rPr>
              <w:t>Asterales</w:t>
            </w:r>
          </w:p>
        </w:tc>
        <w:tc>
          <w:tcPr>
            <w:tcW w:w="1346" w:type="dxa"/>
            <w:shd w:val="clear" w:color="auto" w:fill="auto"/>
            <w:noWrap/>
            <w:hideMark/>
          </w:tcPr>
          <w:p w14:paraId="3C31416F" w14:textId="77777777" w:rsidR="0044478E" w:rsidRPr="00747E35" w:rsidRDefault="0044478E" w:rsidP="0044478E">
            <w:pPr>
              <w:pStyle w:val="Tabletext"/>
              <w:spacing w:before="0" w:after="0"/>
              <w:rPr>
                <w:rFonts w:cstheme="minorHAnsi"/>
                <w:sz w:val="16"/>
              </w:rPr>
            </w:pPr>
            <w:r w:rsidRPr="00747E35">
              <w:rPr>
                <w:rFonts w:cstheme="minorHAnsi"/>
                <w:sz w:val="16"/>
              </w:rPr>
              <w:t>Campanulacea</w:t>
            </w:r>
          </w:p>
        </w:tc>
        <w:tc>
          <w:tcPr>
            <w:tcW w:w="2976" w:type="dxa"/>
            <w:shd w:val="clear" w:color="auto" w:fill="auto"/>
            <w:noWrap/>
            <w:hideMark/>
          </w:tcPr>
          <w:p w14:paraId="48A8235A" w14:textId="77777777" w:rsidR="0044478E" w:rsidRPr="00747E35" w:rsidRDefault="0044478E" w:rsidP="0044478E">
            <w:pPr>
              <w:pStyle w:val="Tabletext"/>
              <w:spacing w:before="0" w:after="0"/>
              <w:rPr>
                <w:rFonts w:cstheme="minorHAnsi"/>
                <w:sz w:val="16"/>
              </w:rPr>
            </w:pPr>
            <w:r w:rsidRPr="00747E35">
              <w:rPr>
                <w:rFonts w:cstheme="minorHAnsi"/>
                <w:i/>
                <w:sz w:val="16"/>
              </w:rPr>
              <w:t>Isotoma</w:t>
            </w:r>
            <w:r w:rsidRPr="00747E35">
              <w:rPr>
                <w:rFonts w:cstheme="minorHAnsi"/>
                <w:sz w:val="16"/>
              </w:rPr>
              <w:t xml:space="preserve"> sp. (Elizabeth)</w:t>
            </w:r>
          </w:p>
        </w:tc>
        <w:tc>
          <w:tcPr>
            <w:tcW w:w="1134" w:type="dxa"/>
            <w:shd w:val="clear" w:color="auto" w:fill="auto"/>
            <w:noWrap/>
            <w:hideMark/>
          </w:tcPr>
          <w:p w14:paraId="75612057" w14:textId="77777777" w:rsidR="0044478E" w:rsidRPr="00747E35" w:rsidRDefault="0044478E" w:rsidP="0044478E">
            <w:pPr>
              <w:pStyle w:val="Tabletext"/>
              <w:spacing w:before="0" w:after="0"/>
              <w:rPr>
                <w:rFonts w:cstheme="minorHAnsi"/>
                <w:sz w:val="16"/>
              </w:rPr>
            </w:pPr>
            <w:r w:rsidRPr="00747E35">
              <w:rPr>
                <w:rFonts w:cstheme="minorHAnsi"/>
                <w:sz w:val="16"/>
              </w:rPr>
              <w:t>P_Iseliza</w:t>
            </w:r>
          </w:p>
        </w:tc>
        <w:tc>
          <w:tcPr>
            <w:tcW w:w="567" w:type="dxa"/>
          </w:tcPr>
          <w:p w14:paraId="2A2291FB"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0B472513" w14:textId="77777777" w:rsidR="0044478E" w:rsidRPr="00747E35" w:rsidRDefault="0044478E" w:rsidP="0044478E">
            <w:pPr>
              <w:pStyle w:val="Tabletext"/>
              <w:spacing w:before="0" w:after="0"/>
              <w:rPr>
                <w:rFonts w:cstheme="minorHAnsi"/>
                <w:sz w:val="16"/>
              </w:rPr>
            </w:pPr>
            <w:r w:rsidRPr="00747E35">
              <w:rPr>
                <w:rFonts w:cstheme="minorHAnsi"/>
                <w:sz w:val="16"/>
              </w:rPr>
              <w:t>0.5</w:t>
            </w:r>
          </w:p>
        </w:tc>
        <w:tc>
          <w:tcPr>
            <w:tcW w:w="992" w:type="dxa"/>
          </w:tcPr>
          <w:p w14:paraId="43660A0B"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3C9C0E0E" w14:textId="77777777" w:rsidR="0044478E" w:rsidRPr="00747E35" w:rsidRDefault="0044478E" w:rsidP="0044478E">
            <w:pPr>
              <w:pStyle w:val="Tabletext"/>
              <w:spacing w:before="0" w:after="0"/>
              <w:rPr>
                <w:rFonts w:cstheme="minorHAnsi"/>
                <w:sz w:val="16"/>
              </w:rPr>
            </w:pPr>
            <w:r w:rsidRPr="00747E35">
              <w:rPr>
                <w:rFonts w:cstheme="minorHAnsi"/>
                <w:sz w:val="16"/>
              </w:rPr>
              <w:t>U</w:t>
            </w:r>
          </w:p>
        </w:tc>
        <w:tc>
          <w:tcPr>
            <w:tcW w:w="1542" w:type="dxa"/>
          </w:tcPr>
          <w:p w14:paraId="49D4028E"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49F37D58" w14:textId="77777777" w:rsidTr="0044478E">
        <w:trPr>
          <w:trHeight w:val="20"/>
        </w:trPr>
        <w:tc>
          <w:tcPr>
            <w:tcW w:w="964" w:type="dxa"/>
            <w:shd w:val="clear" w:color="auto" w:fill="auto"/>
            <w:noWrap/>
            <w:hideMark/>
          </w:tcPr>
          <w:p w14:paraId="04585F41" w14:textId="77777777" w:rsidR="0044478E" w:rsidRPr="00747E35" w:rsidRDefault="0044478E" w:rsidP="0044478E">
            <w:pPr>
              <w:pStyle w:val="Tabletext"/>
              <w:spacing w:before="0" w:after="0"/>
              <w:rPr>
                <w:rFonts w:cstheme="minorHAnsi"/>
                <w:sz w:val="16"/>
              </w:rPr>
            </w:pPr>
            <w:r w:rsidRPr="00747E35">
              <w:rPr>
                <w:rFonts w:cstheme="minorHAnsi"/>
                <w:sz w:val="16"/>
              </w:rPr>
              <w:t>Plantae</w:t>
            </w:r>
          </w:p>
        </w:tc>
        <w:tc>
          <w:tcPr>
            <w:tcW w:w="1191" w:type="dxa"/>
            <w:shd w:val="clear" w:color="auto" w:fill="auto"/>
            <w:noWrap/>
            <w:hideMark/>
          </w:tcPr>
          <w:p w14:paraId="4D4AEEFE" w14:textId="77777777" w:rsidR="0044478E" w:rsidRPr="00747E35" w:rsidRDefault="0044478E" w:rsidP="0044478E">
            <w:pPr>
              <w:pStyle w:val="Tabletext"/>
              <w:spacing w:before="0" w:after="0"/>
              <w:rPr>
                <w:rFonts w:cstheme="minorHAnsi"/>
                <w:sz w:val="16"/>
              </w:rPr>
            </w:pPr>
            <w:r w:rsidRPr="00747E35">
              <w:rPr>
                <w:rFonts w:cstheme="minorHAnsi"/>
                <w:sz w:val="16"/>
              </w:rPr>
              <w:t>Angiosperms</w:t>
            </w:r>
          </w:p>
        </w:tc>
        <w:tc>
          <w:tcPr>
            <w:tcW w:w="1295" w:type="dxa"/>
            <w:shd w:val="clear" w:color="auto" w:fill="auto"/>
            <w:noWrap/>
            <w:hideMark/>
          </w:tcPr>
          <w:p w14:paraId="4EBF70D2" w14:textId="77777777" w:rsidR="0044478E" w:rsidRPr="00747E35" w:rsidRDefault="0044478E" w:rsidP="0044478E">
            <w:pPr>
              <w:pStyle w:val="Tabletext"/>
              <w:spacing w:before="0" w:after="0"/>
              <w:rPr>
                <w:rFonts w:cstheme="minorHAnsi"/>
                <w:sz w:val="16"/>
              </w:rPr>
            </w:pPr>
            <w:r w:rsidRPr="00747E35">
              <w:rPr>
                <w:rFonts w:cstheme="minorHAnsi"/>
                <w:sz w:val="16"/>
              </w:rPr>
              <w:t>~Eudicots</w:t>
            </w:r>
          </w:p>
        </w:tc>
        <w:tc>
          <w:tcPr>
            <w:tcW w:w="1295" w:type="dxa"/>
            <w:shd w:val="clear" w:color="auto" w:fill="auto"/>
            <w:noWrap/>
            <w:hideMark/>
          </w:tcPr>
          <w:p w14:paraId="21580D5F" w14:textId="77777777" w:rsidR="0044478E" w:rsidRPr="00747E35" w:rsidRDefault="0044478E" w:rsidP="0044478E">
            <w:pPr>
              <w:pStyle w:val="Tabletext"/>
              <w:spacing w:before="0" w:after="0"/>
              <w:rPr>
                <w:rFonts w:cstheme="minorHAnsi"/>
                <w:sz w:val="16"/>
              </w:rPr>
            </w:pPr>
            <w:r w:rsidRPr="00747E35">
              <w:rPr>
                <w:rFonts w:cstheme="minorHAnsi"/>
                <w:sz w:val="16"/>
              </w:rPr>
              <w:t>Lamiales</w:t>
            </w:r>
          </w:p>
        </w:tc>
        <w:tc>
          <w:tcPr>
            <w:tcW w:w="1346" w:type="dxa"/>
            <w:shd w:val="clear" w:color="auto" w:fill="auto"/>
            <w:noWrap/>
            <w:hideMark/>
          </w:tcPr>
          <w:p w14:paraId="4A05AA43" w14:textId="77777777" w:rsidR="0044478E" w:rsidRPr="00747E35" w:rsidRDefault="0044478E" w:rsidP="0044478E">
            <w:pPr>
              <w:pStyle w:val="Tabletext"/>
              <w:spacing w:before="0" w:after="0"/>
              <w:rPr>
                <w:rFonts w:cstheme="minorHAnsi"/>
                <w:sz w:val="16"/>
              </w:rPr>
            </w:pPr>
            <w:r w:rsidRPr="00747E35">
              <w:rPr>
                <w:rFonts w:cstheme="minorHAnsi"/>
                <w:sz w:val="16"/>
              </w:rPr>
              <w:t>Lentibulariaceae</w:t>
            </w:r>
          </w:p>
        </w:tc>
        <w:tc>
          <w:tcPr>
            <w:tcW w:w="2976" w:type="dxa"/>
            <w:shd w:val="clear" w:color="auto" w:fill="auto"/>
            <w:noWrap/>
            <w:hideMark/>
          </w:tcPr>
          <w:p w14:paraId="5661A162" w14:textId="77777777" w:rsidR="0044478E" w:rsidRPr="00747E35" w:rsidRDefault="0044478E" w:rsidP="0044478E">
            <w:pPr>
              <w:pStyle w:val="Tabletext"/>
              <w:spacing w:before="0" w:after="0"/>
              <w:rPr>
                <w:rFonts w:cstheme="minorHAnsi"/>
                <w:i/>
                <w:sz w:val="16"/>
              </w:rPr>
            </w:pPr>
            <w:r w:rsidRPr="00747E35">
              <w:rPr>
                <w:rFonts w:cstheme="minorHAnsi"/>
                <w:i/>
                <w:sz w:val="16"/>
              </w:rPr>
              <w:t>Utricularia fenshamii</w:t>
            </w:r>
          </w:p>
        </w:tc>
        <w:tc>
          <w:tcPr>
            <w:tcW w:w="1134" w:type="dxa"/>
            <w:shd w:val="clear" w:color="auto" w:fill="auto"/>
            <w:noWrap/>
            <w:hideMark/>
          </w:tcPr>
          <w:p w14:paraId="7A790CA8" w14:textId="77777777" w:rsidR="0044478E" w:rsidRPr="00747E35" w:rsidRDefault="0044478E" w:rsidP="0044478E">
            <w:pPr>
              <w:pStyle w:val="Tabletext"/>
              <w:spacing w:before="0" w:after="0"/>
              <w:rPr>
                <w:rFonts w:cstheme="minorHAnsi"/>
                <w:sz w:val="16"/>
              </w:rPr>
            </w:pPr>
            <w:r w:rsidRPr="00747E35">
              <w:rPr>
                <w:rFonts w:cstheme="minorHAnsi"/>
                <w:sz w:val="16"/>
              </w:rPr>
              <w:t>P_Utfens</w:t>
            </w:r>
          </w:p>
        </w:tc>
        <w:tc>
          <w:tcPr>
            <w:tcW w:w="567" w:type="dxa"/>
          </w:tcPr>
          <w:p w14:paraId="10E783FE" w14:textId="77777777" w:rsidR="0044478E" w:rsidRPr="00747E35" w:rsidRDefault="0044478E" w:rsidP="0044478E">
            <w:pPr>
              <w:pStyle w:val="Tabletext"/>
              <w:spacing w:before="0" w:after="0"/>
              <w:rPr>
                <w:rFonts w:cstheme="minorHAnsi"/>
                <w:sz w:val="16"/>
              </w:rPr>
            </w:pPr>
            <w:r w:rsidRPr="00747E35">
              <w:rPr>
                <w:rFonts w:cstheme="minorHAnsi"/>
                <w:sz w:val="16"/>
              </w:rPr>
              <w:t>5</w:t>
            </w:r>
          </w:p>
        </w:tc>
        <w:tc>
          <w:tcPr>
            <w:tcW w:w="709" w:type="dxa"/>
          </w:tcPr>
          <w:p w14:paraId="1CBF5D99" w14:textId="77777777" w:rsidR="0044478E" w:rsidRPr="00747E35" w:rsidRDefault="0044478E" w:rsidP="0044478E">
            <w:pPr>
              <w:pStyle w:val="Tabletext"/>
              <w:spacing w:before="0" w:after="0"/>
              <w:rPr>
                <w:rFonts w:cstheme="minorHAnsi"/>
                <w:sz w:val="16"/>
              </w:rPr>
            </w:pPr>
            <w:r w:rsidRPr="00747E35">
              <w:rPr>
                <w:rFonts w:cstheme="minorHAnsi"/>
                <w:sz w:val="16"/>
              </w:rPr>
              <w:t>38.6</w:t>
            </w:r>
          </w:p>
        </w:tc>
        <w:tc>
          <w:tcPr>
            <w:tcW w:w="992" w:type="dxa"/>
          </w:tcPr>
          <w:p w14:paraId="74768481" w14:textId="77777777" w:rsidR="0044478E" w:rsidRPr="00747E35" w:rsidRDefault="0044478E" w:rsidP="0044478E">
            <w:pPr>
              <w:pStyle w:val="Tabletext"/>
              <w:spacing w:before="0" w:after="0"/>
              <w:rPr>
                <w:rFonts w:cstheme="minorHAnsi"/>
                <w:sz w:val="16"/>
              </w:rPr>
            </w:pPr>
            <w:r w:rsidRPr="00747E35">
              <w:rPr>
                <w:rFonts w:cstheme="minorHAnsi"/>
                <w:sz w:val="16"/>
              </w:rPr>
              <w:t>60</w:t>
            </w:r>
          </w:p>
        </w:tc>
        <w:tc>
          <w:tcPr>
            <w:tcW w:w="851" w:type="dxa"/>
          </w:tcPr>
          <w:p w14:paraId="01C64579"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2E63E922" w14:textId="77777777" w:rsidR="0044478E" w:rsidRPr="00747E35" w:rsidRDefault="0044478E" w:rsidP="0044478E">
            <w:pPr>
              <w:pStyle w:val="Tabletext"/>
              <w:spacing w:before="0" w:after="0"/>
              <w:rPr>
                <w:rFonts w:cstheme="minorHAnsi"/>
                <w:sz w:val="16"/>
              </w:rPr>
            </w:pPr>
            <w:r w:rsidRPr="00747E35">
              <w:rPr>
                <w:rFonts w:cstheme="minorHAnsi"/>
                <w:sz w:val="16"/>
              </w:rPr>
              <w:t>Broad</w:t>
            </w:r>
          </w:p>
        </w:tc>
      </w:tr>
      <w:tr w:rsidR="0044478E" w:rsidRPr="00747E35" w14:paraId="12855015" w14:textId="77777777" w:rsidTr="0044478E">
        <w:trPr>
          <w:trHeight w:val="20"/>
        </w:trPr>
        <w:tc>
          <w:tcPr>
            <w:tcW w:w="964" w:type="dxa"/>
            <w:shd w:val="clear" w:color="auto" w:fill="auto"/>
            <w:noWrap/>
            <w:hideMark/>
          </w:tcPr>
          <w:p w14:paraId="1D1C6818" w14:textId="77777777" w:rsidR="0044478E" w:rsidRPr="00747E35" w:rsidRDefault="0044478E" w:rsidP="0044478E">
            <w:pPr>
              <w:pStyle w:val="Tabletext"/>
              <w:spacing w:before="0" w:after="0"/>
              <w:rPr>
                <w:rFonts w:cstheme="minorHAnsi"/>
                <w:sz w:val="16"/>
              </w:rPr>
            </w:pPr>
            <w:r w:rsidRPr="00747E35">
              <w:rPr>
                <w:rFonts w:cstheme="minorHAnsi"/>
                <w:sz w:val="16"/>
              </w:rPr>
              <w:t>Plantae</w:t>
            </w:r>
          </w:p>
        </w:tc>
        <w:tc>
          <w:tcPr>
            <w:tcW w:w="1191" w:type="dxa"/>
            <w:shd w:val="clear" w:color="auto" w:fill="auto"/>
            <w:noWrap/>
            <w:hideMark/>
          </w:tcPr>
          <w:p w14:paraId="65D2335D" w14:textId="77777777" w:rsidR="0044478E" w:rsidRPr="00747E35" w:rsidRDefault="0044478E" w:rsidP="0044478E">
            <w:pPr>
              <w:pStyle w:val="Tabletext"/>
              <w:spacing w:before="0" w:after="0"/>
              <w:rPr>
                <w:rFonts w:cstheme="minorHAnsi"/>
                <w:sz w:val="16"/>
              </w:rPr>
            </w:pPr>
            <w:r w:rsidRPr="00747E35">
              <w:rPr>
                <w:rFonts w:cstheme="minorHAnsi"/>
                <w:sz w:val="16"/>
              </w:rPr>
              <w:t>Angiosperms</w:t>
            </w:r>
          </w:p>
        </w:tc>
        <w:tc>
          <w:tcPr>
            <w:tcW w:w="1295" w:type="dxa"/>
            <w:shd w:val="clear" w:color="auto" w:fill="auto"/>
            <w:noWrap/>
            <w:hideMark/>
          </w:tcPr>
          <w:p w14:paraId="4C095E09" w14:textId="77777777" w:rsidR="0044478E" w:rsidRPr="00747E35" w:rsidRDefault="0044478E" w:rsidP="0044478E">
            <w:pPr>
              <w:pStyle w:val="Tabletext"/>
              <w:spacing w:before="0" w:after="0"/>
              <w:rPr>
                <w:rFonts w:cstheme="minorHAnsi"/>
                <w:sz w:val="16"/>
              </w:rPr>
            </w:pPr>
            <w:r w:rsidRPr="00747E35">
              <w:rPr>
                <w:rFonts w:cstheme="minorHAnsi"/>
                <w:sz w:val="16"/>
              </w:rPr>
              <w:t>~Eudicots</w:t>
            </w:r>
          </w:p>
        </w:tc>
        <w:tc>
          <w:tcPr>
            <w:tcW w:w="1295" w:type="dxa"/>
            <w:shd w:val="clear" w:color="auto" w:fill="auto"/>
            <w:noWrap/>
            <w:hideMark/>
          </w:tcPr>
          <w:p w14:paraId="1E6964A6" w14:textId="77777777" w:rsidR="0044478E" w:rsidRPr="00747E35" w:rsidRDefault="0044478E" w:rsidP="0044478E">
            <w:pPr>
              <w:pStyle w:val="Tabletext"/>
              <w:spacing w:before="0" w:after="0"/>
              <w:rPr>
                <w:rFonts w:cstheme="minorHAnsi"/>
                <w:sz w:val="16"/>
              </w:rPr>
            </w:pPr>
            <w:r w:rsidRPr="00747E35">
              <w:rPr>
                <w:rFonts w:cstheme="minorHAnsi"/>
                <w:sz w:val="16"/>
              </w:rPr>
              <w:t>Lamiales</w:t>
            </w:r>
          </w:p>
        </w:tc>
        <w:tc>
          <w:tcPr>
            <w:tcW w:w="1346" w:type="dxa"/>
            <w:shd w:val="clear" w:color="auto" w:fill="auto"/>
            <w:noWrap/>
            <w:hideMark/>
          </w:tcPr>
          <w:p w14:paraId="4C4704ED" w14:textId="77777777" w:rsidR="0044478E" w:rsidRPr="00747E35" w:rsidRDefault="0044478E" w:rsidP="0044478E">
            <w:pPr>
              <w:pStyle w:val="Tabletext"/>
              <w:spacing w:before="0" w:after="0"/>
              <w:rPr>
                <w:rFonts w:cstheme="minorHAnsi"/>
                <w:sz w:val="16"/>
              </w:rPr>
            </w:pPr>
            <w:r w:rsidRPr="00747E35">
              <w:rPr>
                <w:rFonts w:cstheme="minorHAnsi"/>
                <w:sz w:val="16"/>
              </w:rPr>
              <w:t>Phrymaceae</w:t>
            </w:r>
          </w:p>
        </w:tc>
        <w:tc>
          <w:tcPr>
            <w:tcW w:w="2976" w:type="dxa"/>
            <w:shd w:val="clear" w:color="auto" w:fill="auto"/>
            <w:noWrap/>
            <w:hideMark/>
          </w:tcPr>
          <w:p w14:paraId="5B94E305" w14:textId="77777777" w:rsidR="0044478E" w:rsidRPr="00747E35" w:rsidRDefault="0044478E" w:rsidP="0044478E">
            <w:pPr>
              <w:pStyle w:val="Tabletext"/>
              <w:spacing w:before="0" w:after="0"/>
              <w:rPr>
                <w:rFonts w:cstheme="minorHAnsi"/>
                <w:sz w:val="16"/>
              </w:rPr>
            </w:pPr>
            <w:r w:rsidRPr="00747E35">
              <w:rPr>
                <w:rFonts w:cstheme="minorHAnsi"/>
                <w:i/>
                <w:sz w:val="16"/>
              </w:rPr>
              <w:t>Peplidium</w:t>
            </w:r>
            <w:r w:rsidRPr="00747E35">
              <w:rPr>
                <w:rFonts w:cstheme="minorHAnsi"/>
                <w:sz w:val="16"/>
              </w:rPr>
              <w:t xml:space="preserve"> sp.</w:t>
            </w:r>
          </w:p>
        </w:tc>
        <w:tc>
          <w:tcPr>
            <w:tcW w:w="1134" w:type="dxa"/>
            <w:shd w:val="clear" w:color="auto" w:fill="auto"/>
            <w:noWrap/>
            <w:hideMark/>
          </w:tcPr>
          <w:p w14:paraId="79D6185F" w14:textId="77777777" w:rsidR="0044478E" w:rsidRPr="00747E35" w:rsidRDefault="0044478E" w:rsidP="0044478E">
            <w:pPr>
              <w:pStyle w:val="Tabletext"/>
              <w:spacing w:before="0" w:after="0"/>
              <w:rPr>
                <w:rFonts w:cstheme="minorHAnsi"/>
                <w:sz w:val="16"/>
              </w:rPr>
            </w:pPr>
            <w:r w:rsidRPr="00747E35">
              <w:rPr>
                <w:rFonts w:cstheme="minorHAnsi"/>
                <w:sz w:val="16"/>
              </w:rPr>
              <w:t>P_Pepsp</w:t>
            </w:r>
          </w:p>
        </w:tc>
        <w:tc>
          <w:tcPr>
            <w:tcW w:w="567" w:type="dxa"/>
          </w:tcPr>
          <w:p w14:paraId="2571E162" w14:textId="77777777" w:rsidR="0044478E" w:rsidRPr="00747E35" w:rsidRDefault="0044478E" w:rsidP="0044478E">
            <w:pPr>
              <w:pStyle w:val="Tabletext"/>
              <w:spacing w:before="0" w:after="0"/>
              <w:rPr>
                <w:rFonts w:cstheme="minorHAnsi"/>
                <w:sz w:val="16"/>
              </w:rPr>
            </w:pPr>
            <w:r w:rsidRPr="00747E35">
              <w:rPr>
                <w:rFonts w:cstheme="minorHAnsi"/>
                <w:sz w:val="16"/>
              </w:rPr>
              <w:t>2</w:t>
            </w:r>
          </w:p>
        </w:tc>
        <w:tc>
          <w:tcPr>
            <w:tcW w:w="709" w:type="dxa"/>
          </w:tcPr>
          <w:p w14:paraId="1CE04399" w14:textId="77777777" w:rsidR="0044478E" w:rsidRPr="00747E35" w:rsidRDefault="0044478E" w:rsidP="0044478E">
            <w:pPr>
              <w:pStyle w:val="Tabletext"/>
              <w:spacing w:before="0" w:after="0"/>
              <w:rPr>
                <w:rFonts w:cstheme="minorHAnsi"/>
                <w:sz w:val="16"/>
              </w:rPr>
            </w:pPr>
            <w:r w:rsidRPr="00747E35">
              <w:rPr>
                <w:rFonts w:cstheme="minorHAnsi"/>
                <w:sz w:val="16"/>
              </w:rPr>
              <w:t>35.0</w:t>
            </w:r>
          </w:p>
        </w:tc>
        <w:tc>
          <w:tcPr>
            <w:tcW w:w="992" w:type="dxa"/>
          </w:tcPr>
          <w:p w14:paraId="628DF3A3"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7AC890BF" w14:textId="77777777" w:rsidR="0044478E" w:rsidRPr="00747E35" w:rsidRDefault="0044478E" w:rsidP="0044478E">
            <w:pPr>
              <w:pStyle w:val="Tabletext"/>
              <w:spacing w:before="0" w:after="0"/>
              <w:rPr>
                <w:rFonts w:cstheme="minorHAnsi"/>
                <w:sz w:val="16"/>
              </w:rPr>
            </w:pPr>
            <w:r w:rsidRPr="00747E35">
              <w:rPr>
                <w:rFonts w:cstheme="minorHAnsi"/>
                <w:sz w:val="16"/>
              </w:rPr>
              <w:t>U</w:t>
            </w:r>
          </w:p>
        </w:tc>
        <w:tc>
          <w:tcPr>
            <w:tcW w:w="1542" w:type="dxa"/>
          </w:tcPr>
          <w:p w14:paraId="7B65FC19" w14:textId="77777777" w:rsidR="0044478E" w:rsidRPr="00747E35" w:rsidRDefault="0044478E" w:rsidP="0044478E">
            <w:pPr>
              <w:pStyle w:val="Tabletext"/>
              <w:spacing w:before="0" w:after="0"/>
              <w:rPr>
                <w:rFonts w:cstheme="minorHAnsi"/>
                <w:sz w:val="16"/>
              </w:rPr>
            </w:pPr>
            <w:r w:rsidRPr="00747E35">
              <w:rPr>
                <w:rFonts w:cstheme="minorHAnsi"/>
                <w:sz w:val="16"/>
              </w:rPr>
              <w:t>Narrow supergroup</w:t>
            </w:r>
          </w:p>
        </w:tc>
      </w:tr>
      <w:tr w:rsidR="0044478E" w:rsidRPr="00747E35" w14:paraId="4B93597C" w14:textId="77777777" w:rsidTr="0044478E">
        <w:trPr>
          <w:trHeight w:val="20"/>
        </w:trPr>
        <w:tc>
          <w:tcPr>
            <w:tcW w:w="964" w:type="dxa"/>
            <w:shd w:val="clear" w:color="auto" w:fill="auto"/>
            <w:noWrap/>
            <w:hideMark/>
          </w:tcPr>
          <w:p w14:paraId="1F5DF8FE" w14:textId="77777777" w:rsidR="0044478E" w:rsidRPr="00747E35" w:rsidRDefault="0044478E" w:rsidP="0044478E">
            <w:pPr>
              <w:pStyle w:val="Tabletext"/>
              <w:spacing w:before="0" w:after="0"/>
              <w:rPr>
                <w:rFonts w:cstheme="minorHAnsi"/>
                <w:sz w:val="16"/>
              </w:rPr>
            </w:pPr>
            <w:r w:rsidRPr="00747E35">
              <w:rPr>
                <w:rFonts w:cstheme="minorHAnsi"/>
                <w:sz w:val="16"/>
              </w:rPr>
              <w:t>Plantae</w:t>
            </w:r>
          </w:p>
        </w:tc>
        <w:tc>
          <w:tcPr>
            <w:tcW w:w="1191" w:type="dxa"/>
            <w:shd w:val="clear" w:color="auto" w:fill="auto"/>
            <w:noWrap/>
            <w:hideMark/>
          </w:tcPr>
          <w:p w14:paraId="7325E710" w14:textId="77777777" w:rsidR="0044478E" w:rsidRPr="00747E35" w:rsidRDefault="0044478E" w:rsidP="0044478E">
            <w:pPr>
              <w:pStyle w:val="Tabletext"/>
              <w:spacing w:before="0" w:after="0"/>
              <w:rPr>
                <w:rFonts w:cstheme="minorHAnsi"/>
                <w:sz w:val="16"/>
              </w:rPr>
            </w:pPr>
            <w:r w:rsidRPr="00747E35">
              <w:rPr>
                <w:rFonts w:cstheme="minorHAnsi"/>
                <w:sz w:val="16"/>
              </w:rPr>
              <w:t>Angiosperms</w:t>
            </w:r>
          </w:p>
        </w:tc>
        <w:tc>
          <w:tcPr>
            <w:tcW w:w="1295" w:type="dxa"/>
            <w:shd w:val="clear" w:color="auto" w:fill="auto"/>
            <w:noWrap/>
            <w:hideMark/>
          </w:tcPr>
          <w:p w14:paraId="101E32E6" w14:textId="77777777" w:rsidR="0044478E" w:rsidRPr="00747E35" w:rsidRDefault="0044478E" w:rsidP="0044478E">
            <w:pPr>
              <w:pStyle w:val="Tabletext"/>
              <w:spacing w:before="0" w:after="0"/>
              <w:rPr>
                <w:rFonts w:cstheme="minorHAnsi"/>
                <w:sz w:val="16"/>
              </w:rPr>
            </w:pPr>
            <w:r w:rsidRPr="00747E35">
              <w:rPr>
                <w:rFonts w:cstheme="minorHAnsi"/>
                <w:sz w:val="16"/>
              </w:rPr>
              <w:t>~Eudicots</w:t>
            </w:r>
          </w:p>
        </w:tc>
        <w:tc>
          <w:tcPr>
            <w:tcW w:w="1295" w:type="dxa"/>
            <w:shd w:val="clear" w:color="auto" w:fill="auto"/>
            <w:noWrap/>
            <w:hideMark/>
          </w:tcPr>
          <w:p w14:paraId="71934C30" w14:textId="77777777" w:rsidR="0044478E" w:rsidRPr="00747E35" w:rsidRDefault="0044478E" w:rsidP="0044478E">
            <w:pPr>
              <w:pStyle w:val="Tabletext"/>
              <w:spacing w:before="0" w:after="0"/>
              <w:rPr>
                <w:rFonts w:cstheme="minorHAnsi"/>
                <w:sz w:val="16"/>
              </w:rPr>
            </w:pPr>
            <w:r w:rsidRPr="00747E35">
              <w:rPr>
                <w:rFonts w:cstheme="minorHAnsi"/>
                <w:sz w:val="16"/>
              </w:rPr>
              <w:t>Saxifragales</w:t>
            </w:r>
          </w:p>
        </w:tc>
        <w:tc>
          <w:tcPr>
            <w:tcW w:w="1346" w:type="dxa"/>
            <w:shd w:val="clear" w:color="auto" w:fill="auto"/>
            <w:noWrap/>
            <w:hideMark/>
          </w:tcPr>
          <w:p w14:paraId="3ADEB4D7" w14:textId="77777777" w:rsidR="0044478E" w:rsidRPr="00747E35" w:rsidRDefault="0044478E" w:rsidP="0044478E">
            <w:pPr>
              <w:pStyle w:val="Tabletext"/>
              <w:spacing w:before="0" w:after="0"/>
              <w:rPr>
                <w:rFonts w:cstheme="minorHAnsi"/>
                <w:sz w:val="16"/>
              </w:rPr>
            </w:pPr>
            <w:r w:rsidRPr="00747E35">
              <w:rPr>
                <w:rFonts w:cstheme="minorHAnsi"/>
                <w:sz w:val="16"/>
              </w:rPr>
              <w:t>Haloragaceae</w:t>
            </w:r>
          </w:p>
        </w:tc>
        <w:tc>
          <w:tcPr>
            <w:tcW w:w="2976" w:type="dxa"/>
            <w:shd w:val="clear" w:color="auto" w:fill="auto"/>
            <w:noWrap/>
            <w:hideMark/>
          </w:tcPr>
          <w:p w14:paraId="0CCC690F" w14:textId="77777777" w:rsidR="0044478E" w:rsidRPr="00747E35" w:rsidRDefault="0044478E" w:rsidP="0044478E">
            <w:pPr>
              <w:pStyle w:val="Tabletext"/>
              <w:spacing w:before="0" w:after="0"/>
              <w:rPr>
                <w:rFonts w:cstheme="minorHAnsi"/>
                <w:i/>
                <w:sz w:val="16"/>
              </w:rPr>
            </w:pPr>
            <w:r w:rsidRPr="00747E35">
              <w:rPr>
                <w:rFonts w:cstheme="minorHAnsi"/>
                <w:i/>
                <w:sz w:val="16"/>
              </w:rPr>
              <w:t>Myriophyllum artesium</w:t>
            </w:r>
          </w:p>
        </w:tc>
        <w:tc>
          <w:tcPr>
            <w:tcW w:w="1134" w:type="dxa"/>
            <w:shd w:val="clear" w:color="auto" w:fill="auto"/>
            <w:noWrap/>
            <w:hideMark/>
          </w:tcPr>
          <w:p w14:paraId="18E72CD5" w14:textId="77777777" w:rsidR="0044478E" w:rsidRPr="00747E35" w:rsidRDefault="0044478E" w:rsidP="0044478E">
            <w:pPr>
              <w:pStyle w:val="Tabletext"/>
              <w:spacing w:before="0" w:after="0"/>
              <w:rPr>
                <w:rFonts w:cstheme="minorHAnsi"/>
                <w:sz w:val="16"/>
              </w:rPr>
            </w:pPr>
            <w:r w:rsidRPr="00747E35">
              <w:rPr>
                <w:rFonts w:cstheme="minorHAnsi"/>
                <w:sz w:val="16"/>
              </w:rPr>
              <w:t>P_Myarte</w:t>
            </w:r>
          </w:p>
        </w:tc>
        <w:tc>
          <w:tcPr>
            <w:tcW w:w="567" w:type="dxa"/>
          </w:tcPr>
          <w:p w14:paraId="77AFACAF" w14:textId="77777777" w:rsidR="0044478E" w:rsidRPr="00747E35" w:rsidRDefault="0044478E" w:rsidP="0044478E">
            <w:pPr>
              <w:pStyle w:val="Tabletext"/>
              <w:spacing w:before="0" w:after="0"/>
              <w:rPr>
                <w:rFonts w:cstheme="minorHAnsi"/>
                <w:sz w:val="16"/>
              </w:rPr>
            </w:pPr>
            <w:r w:rsidRPr="00747E35">
              <w:rPr>
                <w:rFonts w:cstheme="minorHAnsi"/>
                <w:sz w:val="16"/>
              </w:rPr>
              <w:t>19</w:t>
            </w:r>
          </w:p>
        </w:tc>
        <w:tc>
          <w:tcPr>
            <w:tcW w:w="709" w:type="dxa"/>
          </w:tcPr>
          <w:p w14:paraId="2980B674" w14:textId="77777777" w:rsidR="0044478E" w:rsidRPr="00747E35" w:rsidRDefault="0044478E" w:rsidP="0044478E">
            <w:pPr>
              <w:pStyle w:val="Tabletext"/>
              <w:spacing w:before="0" w:after="0"/>
              <w:rPr>
                <w:rFonts w:cstheme="minorHAnsi"/>
                <w:sz w:val="16"/>
              </w:rPr>
            </w:pPr>
            <w:r w:rsidRPr="00747E35">
              <w:rPr>
                <w:rFonts w:cstheme="minorHAnsi"/>
                <w:sz w:val="16"/>
              </w:rPr>
              <w:t>126.4</w:t>
            </w:r>
          </w:p>
        </w:tc>
        <w:tc>
          <w:tcPr>
            <w:tcW w:w="992" w:type="dxa"/>
          </w:tcPr>
          <w:p w14:paraId="49E443CD" w14:textId="77777777" w:rsidR="0044478E" w:rsidRPr="00747E35" w:rsidRDefault="0044478E" w:rsidP="0044478E">
            <w:pPr>
              <w:pStyle w:val="Tabletext"/>
              <w:spacing w:before="0" w:after="0"/>
              <w:rPr>
                <w:rFonts w:cstheme="minorHAnsi"/>
                <w:sz w:val="16"/>
              </w:rPr>
            </w:pPr>
            <w:r w:rsidRPr="00747E35">
              <w:rPr>
                <w:rFonts w:cstheme="minorHAnsi"/>
                <w:sz w:val="16"/>
              </w:rPr>
              <w:t>21</w:t>
            </w:r>
          </w:p>
        </w:tc>
        <w:tc>
          <w:tcPr>
            <w:tcW w:w="851" w:type="dxa"/>
          </w:tcPr>
          <w:p w14:paraId="5509EA23"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7868124F" w14:textId="77777777" w:rsidR="0044478E" w:rsidRPr="00747E35" w:rsidRDefault="0044478E" w:rsidP="0044478E">
            <w:pPr>
              <w:pStyle w:val="Tabletext"/>
              <w:spacing w:before="0" w:after="0"/>
              <w:rPr>
                <w:rFonts w:cstheme="minorHAnsi"/>
                <w:sz w:val="16"/>
              </w:rPr>
            </w:pPr>
            <w:r w:rsidRPr="00747E35">
              <w:rPr>
                <w:rFonts w:cstheme="minorHAnsi"/>
                <w:sz w:val="16"/>
              </w:rPr>
              <w:t>Broad</w:t>
            </w:r>
          </w:p>
        </w:tc>
      </w:tr>
      <w:tr w:rsidR="0044478E" w:rsidRPr="00747E35" w14:paraId="583456DB" w14:textId="77777777" w:rsidTr="0044478E">
        <w:trPr>
          <w:trHeight w:val="20"/>
        </w:trPr>
        <w:tc>
          <w:tcPr>
            <w:tcW w:w="964" w:type="dxa"/>
            <w:shd w:val="clear" w:color="auto" w:fill="auto"/>
            <w:noWrap/>
            <w:hideMark/>
          </w:tcPr>
          <w:p w14:paraId="6EDCBC64" w14:textId="77777777" w:rsidR="0044478E" w:rsidRPr="00747E35" w:rsidRDefault="0044478E" w:rsidP="0044478E">
            <w:pPr>
              <w:pStyle w:val="Tabletext"/>
              <w:spacing w:before="0" w:after="0"/>
              <w:rPr>
                <w:rFonts w:cstheme="minorHAnsi"/>
                <w:sz w:val="16"/>
              </w:rPr>
            </w:pPr>
            <w:r w:rsidRPr="00747E35">
              <w:rPr>
                <w:rFonts w:cstheme="minorHAnsi"/>
                <w:sz w:val="16"/>
              </w:rPr>
              <w:t>Plantae</w:t>
            </w:r>
          </w:p>
        </w:tc>
        <w:tc>
          <w:tcPr>
            <w:tcW w:w="1191" w:type="dxa"/>
            <w:shd w:val="clear" w:color="auto" w:fill="auto"/>
            <w:noWrap/>
            <w:hideMark/>
          </w:tcPr>
          <w:p w14:paraId="25343A12" w14:textId="77777777" w:rsidR="0044478E" w:rsidRPr="00747E35" w:rsidRDefault="0044478E" w:rsidP="0044478E">
            <w:pPr>
              <w:pStyle w:val="Tabletext"/>
              <w:spacing w:before="0" w:after="0"/>
              <w:rPr>
                <w:rFonts w:cstheme="minorHAnsi"/>
                <w:sz w:val="16"/>
              </w:rPr>
            </w:pPr>
            <w:r w:rsidRPr="00747E35">
              <w:rPr>
                <w:rFonts w:cstheme="minorHAnsi"/>
                <w:sz w:val="16"/>
              </w:rPr>
              <w:t>Angiosperms</w:t>
            </w:r>
          </w:p>
        </w:tc>
        <w:tc>
          <w:tcPr>
            <w:tcW w:w="1295" w:type="dxa"/>
            <w:shd w:val="clear" w:color="auto" w:fill="auto"/>
            <w:noWrap/>
            <w:hideMark/>
          </w:tcPr>
          <w:p w14:paraId="5FA49430" w14:textId="77777777" w:rsidR="0044478E" w:rsidRPr="00747E35" w:rsidRDefault="0044478E" w:rsidP="0044478E">
            <w:pPr>
              <w:pStyle w:val="Tabletext"/>
              <w:spacing w:before="0" w:after="0"/>
              <w:rPr>
                <w:rFonts w:cstheme="minorHAnsi"/>
                <w:sz w:val="16"/>
              </w:rPr>
            </w:pPr>
            <w:r w:rsidRPr="00747E35">
              <w:rPr>
                <w:rFonts w:cstheme="minorHAnsi"/>
                <w:sz w:val="16"/>
              </w:rPr>
              <w:t>~Monocots</w:t>
            </w:r>
          </w:p>
        </w:tc>
        <w:tc>
          <w:tcPr>
            <w:tcW w:w="1295" w:type="dxa"/>
            <w:shd w:val="clear" w:color="auto" w:fill="auto"/>
            <w:noWrap/>
            <w:hideMark/>
          </w:tcPr>
          <w:p w14:paraId="47D5D280" w14:textId="77777777" w:rsidR="0044478E" w:rsidRPr="00747E35" w:rsidRDefault="0044478E" w:rsidP="0044478E">
            <w:pPr>
              <w:pStyle w:val="Tabletext"/>
              <w:spacing w:before="0" w:after="0"/>
              <w:rPr>
                <w:rFonts w:cstheme="minorHAnsi"/>
                <w:sz w:val="16"/>
              </w:rPr>
            </w:pPr>
            <w:r w:rsidRPr="00747E35">
              <w:rPr>
                <w:rFonts w:cstheme="minorHAnsi"/>
                <w:sz w:val="16"/>
              </w:rPr>
              <w:t>Poales</w:t>
            </w:r>
          </w:p>
        </w:tc>
        <w:tc>
          <w:tcPr>
            <w:tcW w:w="1346" w:type="dxa"/>
            <w:shd w:val="clear" w:color="auto" w:fill="auto"/>
            <w:noWrap/>
            <w:hideMark/>
          </w:tcPr>
          <w:p w14:paraId="70F942E7" w14:textId="77777777" w:rsidR="0044478E" w:rsidRPr="00747E35" w:rsidRDefault="0044478E" w:rsidP="0044478E">
            <w:pPr>
              <w:pStyle w:val="Tabletext"/>
              <w:spacing w:before="0" w:after="0"/>
              <w:rPr>
                <w:rFonts w:cstheme="minorHAnsi"/>
                <w:sz w:val="16"/>
              </w:rPr>
            </w:pPr>
            <w:r w:rsidRPr="00747E35">
              <w:rPr>
                <w:rFonts w:cstheme="minorHAnsi"/>
                <w:sz w:val="16"/>
              </w:rPr>
              <w:t>Eriocaulaceae</w:t>
            </w:r>
          </w:p>
        </w:tc>
        <w:tc>
          <w:tcPr>
            <w:tcW w:w="2976" w:type="dxa"/>
            <w:shd w:val="clear" w:color="auto" w:fill="auto"/>
            <w:noWrap/>
            <w:hideMark/>
          </w:tcPr>
          <w:p w14:paraId="25887FEC" w14:textId="77777777" w:rsidR="0044478E" w:rsidRPr="00747E35" w:rsidRDefault="0044478E" w:rsidP="0044478E">
            <w:pPr>
              <w:pStyle w:val="Tabletext"/>
              <w:spacing w:before="0" w:after="0"/>
              <w:rPr>
                <w:rFonts w:cstheme="minorHAnsi"/>
                <w:i/>
                <w:sz w:val="16"/>
              </w:rPr>
            </w:pPr>
            <w:r w:rsidRPr="00747E35">
              <w:rPr>
                <w:rFonts w:cstheme="minorHAnsi"/>
                <w:i/>
                <w:sz w:val="16"/>
              </w:rPr>
              <w:t>Eriocaulon aloefolium</w:t>
            </w:r>
          </w:p>
        </w:tc>
        <w:tc>
          <w:tcPr>
            <w:tcW w:w="1134" w:type="dxa"/>
            <w:shd w:val="clear" w:color="auto" w:fill="auto"/>
            <w:noWrap/>
            <w:hideMark/>
          </w:tcPr>
          <w:p w14:paraId="00A038B6" w14:textId="77777777" w:rsidR="0044478E" w:rsidRPr="00747E35" w:rsidRDefault="0044478E" w:rsidP="0044478E">
            <w:pPr>
              <w:pStyle w:val="Tabletext"/>
              <w:spacing w:before="0" w:after="0"/>
              <w:rPr>
                <w:rFonts w:cstheme="minorHAnsi"/>
                <w:sz w:val="16"/>
              </w:rPr>
            </w:pPr>
            <w:r w:rsidRPr="00747E35">
              <w:rPr>
                <w:rFonts w:cstheme="minorHAnsi"/>
                <w:sz w:val="16"/>
              </w:rPr>
              <w:t>P_Eraloe</w:t>
            </w:r>
          </w:p>
        </w:tc>
        <w:tc>
          <w:tcPr>
            <w:tcW w:w="567" w:type="dxa"/>
          </w:tcPr>
          <w:p w14:paraId="1DAC4588"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74F43AB6" w14:textId="77777777" w:rsidR="0044478E" w:rsidRPr="00747E35" w:rsidRDefault="0044478E" w:rsidP="0044478E">
            <w:pPr>
              <w:pStyle w:val="Tabletext"/>
              <w:spacing w:before="0" w:after="0"/>
              <w:rPr>
                <w:rFonts w:cstheme="minorHAnsi"/>
                <w:sz w:val="16"/>
              </w:rPr>
            </w:pPr>
            <w:r w:rsidRPr="00747E35">
              <w:rPr>
                <w:rFonts w:cstheme="minorHAnsi"/>
                <w:sz w:val="16"/>
              </w:rPr>
              <w:t>29.7</w:t>
            </w:r>
          </w:p>
        </w:tc>
        <w:tc>
          <w:tcPr>
            <w:tcW w:w="992" w:type="dxa"/>
          </w:tcPr>
          <w:p w14:paraId="587D4852"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594C5F1C"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61E98F89"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67B4B7A6" w14:textId="77777777" w:rsidTr="0044478E">
        <w:trPr>
          <w:trHeight w:val="20"/>
        </w:trPr>
        <w:tc>
          <w:tcPr>
            <w:tcW w:w="964" w:type="dxa"/>
            <w:shd w:val="clear" w:color="auto" w:fill="auto"/>
            <w:noWrap/>
            <w:hideMark/>
          </w:tcPr>
          <w:p w14:paraId="6AF4F276" w14:textId="77777777" w:rsidR="0044478E" w:rsidRPr="00747E35" w:rsidRDefault="0044478E" w:rsidP="0044478E">
            <w:pPr>
              <w:pStyle w:val="Tabletext"/>
              <w:spacing w:before="0" w:after="0"/>
              <w:rPr>
                <w:rFonts w:cstheme="minorHAnsi"/>
                <w:sz w:val="16"/>
              </w:rPr>
            </w:pPr>
            <w:r w:rsidRPr="00747E35">
              <w:rPr>
                <w:rFonts w:cstheme="minorHAnsi"/>
                <w:sz w:val="16"/>
              </w:rPr>
              <w:t>Plantae</w:t>
            </w:r>
          </w:p>
        </w:tc>
        <w:tc>
          <w:tcPr>
            <w:tcW w:w="1191" w:type="dxa"/>
            <w:shd w:val="clear" w:color="auto" w:fill="auto"/>
            <w:noWrap/>
            <w:hideMark/>
          </w:tcPr>
          <w:p w14:paraId="52069014" w14:textId="77777777" w:rsidR="0044478E" w:rsidRPr="00747E35" w:rsidRDefault="0044478E" w:rsidP="0044478E">
            <w:pPr>
              <w:pStyle w:val="Tabletext"/>
              <w:spacing w:before="0" w:after="0"/>
              <w:rPr>
                <w:rFonts w:cstheme="minorHAnsi"/>
                <w:sz w:val="16"/>
              </w:rPr>
            </w:pPr>
            <w:r w:rsidRPr="00747E35">
              <w:rPr>
                <w:rFonts w:cstheme="minorHAnsi"/>
                <w:sz w:val="16"/>
              </w:rPr>
              <w:t>Angiosperms</w:t>
            </w:r>
          </w:p>
        </w:tc>
        <w:tc>
          <w:tcPr>
            <w:tcW w:w="1295" w:type="dxa"/>
            <w:shd w:val="clear" w:color="auto" w:fill="auto"/>
            <w:noWrap/>
            <w:hideMark/>
          </w:tcPr>
          <w:p w14:paraId="60D228CE" w14:textId="77777777" w:rsidR="0044478E" w:rsidRPr="00747E35" w:rsidRDefault="0044478E" w:rsidP="0044478E">
            <w:pPr>
              <w:pStyle w:val="Tabletext"/>
              <w:spacing w:before="0" w:after="0"/>
              <w:rPr>
                <w:rFonts w:cstheme="minorHAnsi"/>
                <w:sz w:val="16"/>
              </w:rPr>
            </w:pPr>
            <w:r w:rsidRPr="00747E35">
              <w:rPr>
                <w:rFonts w:cstheme="minorHAnsi"/>
                <w:sz w:val="16"/>
              </w:rPr>
              <w:t>~Monocots</w:t>
            </w:r>
          </w:p>
        </w:tc>
        <w:tc>
          <w:tcPr>
            <w:tcW w:w="1295" w:type="dxa"/>
            <w:shd w:val="clear" w:color="auto" w:fill="auto"/>
            <w:noWrap/>
            <w:hideMark/>
          </w:tcPr>
          <w:p w14:paraId="797442FF" w14:textId="77777777" w:rsidR="0044478E" w:rsidRPr="00747E35" w:rsidRDefault="0044478E" w:rsidP="0044478E">
            <w:pPr>
              <w:pStyle w:val="Tabletext"/>
              <w:spacing w:before="0" w:after="0"/>
              <w:rPr>
                <w:rFonts w:cstheme="minorHAnsi"/>
                <w:sz w:val="16"/>
              </w:rPr>
            </w:pPr>
            <w:r w:rsidRPr="00747E35">
              <w:rPr>
                <w:rFonts w:cstheme="minorHAnsi"/>
                <w:sz w:val="16"/>
              </w:rPr>
              <w:t>Poales</w:t>
            </w:r>
          </w:p>
        </w:tc>
        <w:tc>
          <w:tcPr>
            <w:tcW w:w="1346" w:type="dxa"/>
            <w:shd w:val="clear" w:color="auto" w:fill="auto"/>
            <w:noWrap/>
            <w:hideMark/>
          </w:tcPr>
          <w:p w14:paraId="7C3B1A82" w14:textId="77777777" w:rsidR="0044478E" w:rsidRPr="00747E35" w:rsidRDefault="0044478E" w:rsidP="0044478E">
            <w:pPr>
              <w:pStyle w:val="Tabletext"/>
              <w:spacing w:before="0" w:after="0"/>
              <w:rPr>
                <w:rFonts w:cstheme="minorHAnsi"/>
                <w:sz w:val="16"/>
              </w:rPr>
            </w:pPr>
            <w:r w:rsidRPr="00747E35">
              <w:rPr>
                <w:rFonts w:cstheme="minorHAnsi"/>
                <w:sz w:val="16"/>
              </w:rPr>
              <w:t>Eriocaulaceae</w:t>
            </w:r>
          </w:p>
        </w:tc>
        <w:tc>
          <w:tcPr>
            <w:tcW w:w="2976" w:type="dxa"/>
            <w:shd w:val="clear" w:color="auto" w:fill="auto"/>
            <w:noWrap/>
            <w:hideMark/>
          </w:tcPr>
          <w:p w14:paraId="0274E065" w14:textId="77777777" w:rsidR="0044478E" w:rsidRPr="00747E35" w:rsidRDefault="0044478E" w:rsidP="0044478E">
            <w:pPr>
              <w:pStyle w:val="Tabletext"/>
              <w:spacing w:before="0" w:after="0"/>
              <w:rPr>
                <w:rFonts w:cstheme="minorHAnsi"/>
                <w:sz w:val="16"/>
              </w:rPr>
            </w:pPr>
            <w:r w:rsidRPr="00747E35">
              <w:rPr>
                <w:rFonts w:cstheme="minorHAnsi"/>
                <w:i/>
                <w:sz w:val="16"/>
              </w:rPr>
              <w:t>Eriocaulon carsonii</w:t>
            </w:r>
            <w:r w:rsidRPr="00747E35">
              <w:rPr>
                <w:rFonts w:cstheme="minorHAnsi"/>
                <w:sz w:val="16"/>
              </w:rPr>
              <w:t xml:space="preserve"> sub.sp. </w:t>
            </w:r>
            <w:r w:rsidRPr="00747E35">
              <w:rPr>
                <w:rFonts w:cstheme="minorHAnsi"/>
                <w:i/>
                <w:sz w:val="16"/>
              </w:rPr>
              <w:t>orientalis</w:t>
            </w:r>
          </w:p>
        </w:tc>
        <w:tc>
          <w:tcPr>
            <w:tcW w:w="1134" w:type="dxa"/>
            <w:shd w:val="clear" w:color="auto" w:fill="auto"/>
            <w:noWrap/>
            <w:hideMark/>
          </w:tcPr>
          <w:p w14:paraId="58D13D36" w14:textId="77777777" w:rsidR="0044478E" w:rsidRPr="00747E35" w:rsidRDefault="0044478E" w:rsidP="0044478E">
            <w:pPr>
              <w:pStyle w:val="Tabletext"/>
              <w:spacing w:before="0" w:after="0"/>
              <w:rPr>
                <w:rFonts w:cstheme="minorHAnsi"/>
                <w:sz w:val="16"/>
              </w:rPr>
            </w:pPr>
            <w:r w:rsidRPr="00747E35">
              <w:rPr>
                <w:rFonts w:cstheme="minorHAnsi"/>
                <w:sz w:val="16"/>
              </w:rPr>
              <w:t>P_Ercarori</w:t>
            </w:r>
          </w:p>
        </w:tc>
        <w:tc>
          <w:tcPr>
            <w:tcW w:w="567" w:type="dxa"/>
          </w:tcPr>
          <w:p w14:paraId="6E261523" w14:textId="77777777" w:rsidR="0044478E" w:rsidRPr="00747E35" w:rsidRDefault="0044478E" w:rsidP="0044478E">
            <w:pPr>
              <w:pStyle w:val="Tabletext"/>
              <w:spacing w:before="0" w:after="0"/>
              <w:rPr>
                <w:rFonts w:cstheme="minorHAnsi"/>
                <w:sz w:val="16"/>
              </w:rPr>
            </w:pPr>
            <w:r w:rsidRPr="00747E35">
              <w:rPr>
                <w:rFonts w:cstheme="minorHAnsi"/>
                <w:sz w:val="16"/>
              </w:rPr>
              <w:t>9</w:t>
            </w:r>
          </w:p>
        </w:tc>
        <w:tc>
          <w:tcPr>
            <w:tcW w:w="709" w:type="dxa"/>
          </w:tcPr>
          <w:p w14:paraId="4605CC5C" w14:textId="77777777" w:rsidR="0044478E" w:rsidRPr="00747E35" w:rsidRDefault="0044478E" w:rsidP="0044478E">
            <w:pPr>
              <w:pStyle w:val="Tabletext"/>
              <w:spacing w:before="0" w:after="0"/>
              <w:rPr>
                <w:rFonts w:cstheme="minorHAnsi"/>
                <w:sz w:val="16"/>
              </w:rPr>
            </w:pPr>
            <w:r w:rsidRPr="00747E35">
              <w:rPr>
                <w:rFonts w:cstheme="minorHAnsi"/>
                <w:sz w:val="16"/>
              </w:rPr>
              <w:t>65.3</w:t>
            </w:r>
          </w:p>
        </w:tc>
        <w:tc>
          <w:tcPr>
            <w:tcW w:w="992" w:type="dxa"/>
          </w:tcPr>
          <w:p w14:paraId="677DCDF2" w14:textId="77777777" w:rsidR="0044478E" w:rsidRPr="00747E35" w:rsidRDefault="0044478E" w:rsidP="0044478E">
            <w:pPr>
              <w:pStyle w:val="Tabletext"/>
              <w:spacing w:before="0" w:after="0"/>
              <w:rPr>
                <w:rFonts w:cstheme="minorHAnsi"/>
                <w:sz w:val="16"/>
              </w:rPr>
            </w:pPr>
            <w:r w:rsidRPr="00747E35">
              <w:rPr>
                <w:rFonts w:cstheme="minorHAnsi"/>
                <w:sz w:val="16"/>
              </w:rPr>
              <w:t>44</w:t>
            </w:r>
          </w:p>
        </w:tc>
        <w:tc>
          <w:tcPr>
            <w:tcW w:w="851" w:type="dxa"/>
          </w:tcPr>
          <w:p w14:paraId="6052A5AA" w14:textId="77777777" w:rsidR="0044478E" w:rsidRPr="00747E35" w:rsidRDefault="0044478E" w:rsidP="0044478E">
            <w:pPr>
              <w:pStyle w:val="Tabletext"/>
              <w:spacing w:before="0" w:after="0"/>
              <w:rPr>
                <w:rFonts w:cstheme="minorHAnsi"/>
                <w:sz w:val="16"/>
              </w:rPr>
            </w:pPr>
            <w:r w:rsidRPr="00747E35">
              <w:rPr>
                <w:rFonts w:cstheme="minorHAnsi"/>
                <w:sz w:val="16"/>
              </w:rPr>
              <w:t>DS</w:t>
            </w:r>
          </w:p>
        </w:tc>
        <w:tc>
          <w:tcPr>
            <w:tcW w:w="1542" w:type="dxa"/>
          </w:tcPr>
          <w:p w14:paraId="5DAA420C" w14:textId="77777777" w:rsidR="0044478E" w:rsidRPr="00747E35" w:rsidRDefault="0044478E" w:rsidP="0044478E">
            <w:pPr>
              <w:pStyle w:val="Tabletext"/>
              <w:spacing w:before="0" w:after="0"/>
              <w:rPr>
                <w:rFonts w:cstheme="minorHAnsi"/>
                <w:sz w:val="16"/>
              </w:rPr>
            </w:pPr>
            <w:r w:rsidRPr="00747E35">
              <w:rPr>
                <w:rFonts w:cstheme="minorHAnsi"/>
                <w:sz w:val="16"/>
              </w:rPr>
              <w:t>Broad</w:t>
            </w:r>
          </w:p>
        </w:tc>
      </w:tr>
      <w:tr w:rsidR="0044478E" w:rsidRPr="00747E35" w14:paraId="0BDA182C" w14:textId="77777777" w:rsidTr="0044478E">
        <w:trPr>
          <w:trHeight w:val="20"/>
        </w:trPr>
        <w:tc>
          <w:tcPr>
            <w:tcW w:w="964" w:type="dxa"/>
            <w:shd w:val="clear" w:color="auto" w:fill="auto"/>
            <w:noWrap/>
            <w:hideMark/>
          </w:tcPr>
          <w:p w14:paraId="1AF64DB9" w14:textId="77777777" w:rsidR="0044478E" w:rsidRPr="00747E35" w:rsidRDefault="0044478E" w:rsidP="0044478E">
            <w:pPr>
              <w:pStyle w:val="Tabletext"/>
              <w:spacing w:before="0" w:after="0"/>
              <w:rPr>
                <w:rFonts w:cstheme="minorHAnsi"/>
                <w:sz w:val="16"/>
              </w:rPr>
            </w:pPr>
            <w:r w:rsidRPr="00747E35">
              <w:rPr>
                <w:rFonts w:cstheme="minorHAnsi"/>
                <w:sz w:val="16"/>
              </w:rPr>
              <w:t>Plantae</w:t>
            </w:r>
          </w:p>
        </w:tc>
        <w:tc>
          <w:tcPr>
            <w:tcW w:w="1191" w:type="dxa"/>
            <w:shd w:val="clear" w:color="auto" w:fill="auto"/>
            <w:noWrap/>
            <w:hideMark/>
          </w:tcPr>
          <w:p w14:paraId="761073B1" w14:textId="77777777" w:rsidR="0044478E" w:rsidRPr="00747E35" w:rsidRDefault="0044478E" w:rsidP="0044478E">
            <w:pPr>
              <w:pStyle w:val="Tabletext"/>
              <w:spacing w:before="0" w:after="0"/>
              <w:rPr>
                <w:rFonts w:cstheme="minorHAnsi"/>
                <w:sz w:val="16"/>
              </w:rPr>
            </w:pPr>
            <w:r w:rsidRPr="00747E35">
              <w:rPr>
                <w:rFonts w:cstheme="minorHAnsi"/>
                <w:sz w:val="16"/>
              </w:rPr>
              <w:t>Angiosperms</w:t>
            </w:r>
          </w:p>
        </w:tc>
        <w:tc>
          <w:tcPr>
            <w:tcW w:w="1295" w:type="dxa"/>
            <w:shd w:val="clear" w:color="auto" w:fill="auto"/>
            <w:noWrap/>
            <w:hideMark/>
          </w:tcPr>
          <w:p w14:paraId="7033440F" w14:textId="77777777" w:rsidR="0044478E" w:rsidRPr="00747E35" w:rsidRDefault="0044478E" w:rsidP="0044478E">
            <w:pPr>
              <w:pStyle w:val="Tabletext"/>
              <w:spacing w:before="0" w:after="0"/>
              <w:rPr>
                <w:rFonts w:cstheme="minorHAnsi"/>
                <w:sz w:val="16"/>
              </w:rPr>
            </w:pPr>
            <w:r w:rsidRPr="00747E35">
              <w:rPr>
                <w:rFonts w:cstheme="minorHAnsi"/>
                <w:sz w:val="16"/>
              </w:rPr>
              <w:t>~Monocots</w:t>
            </w:r>
          </w:p>
        </w:tc>
        <w:tc>
          <w:tcPr>
            <w:tcW w:w="1295" w:type="dxa"/>
            <w:shd w:val="clear" w:color="auto" w:fill="auto"/>
            <w:noWrap/>
            <w:hideMark/>
          </w:tcPr>
          <w:p w14:paraId="79C6EFE7" w14:textId="77777777" w:rsidR="0044478E" w:rsidRPr="00747E35" w:rsidRDefault="0044478E" w:rsidP="0044478E">
            <w:pPr>
              <w:pStyle w:val="Tabletext"/>
              <w:spacing w:before="0" w:after="0"/>
              <w:rPr>
                <w:rFonts w:cstheme="minorHAnsi"/>
                <w:sz w:val="16"/>
              </w:rPr>
            </w:pPr>
            <w:r w:rsidRPr="00747E35">
              <w:rPr>
                <w:rFonts w:cstheme="minorHAnsi"/>
                <w:sz w:val="16"/>
              </w:rPr>
              <w:t>Poales</w:t>
            </w:r>
          </w:p>
        </w:tc>
        <w:tc>
          <w:tcPr>
            <w:tcW w:w="1346" w:type="dxa"/>
            <w:shd w:val="clear" w:color="auto" w:fill="auto"/>
            <w:noWrap/>
            <w:hideMark/>
          </w:tcPr>
          <w:p w14:paraId="5FEE65E1" w14:textId="77777777" w:rsidR="0044478E" w:rsidRPr="00747E35" w:rsidRDefault="0044478E" w:rsidP="0044478E">
            <w:pPr>
              <w:pStyle w:val="Tabletext"/>
              <w:spacing w:before="0" w:after="0"/>
              <w:rPr>
                <w:rFonts w:cstheme="minorHAnsi"/>
                <w:sz w:val="16"/>
              </w:rPr>
            </w:pPr>
            <w:r w:rsidRPr="00747E35">
              <w:rPr>
                <w:rFonts w:cstheme="minorHAnsi"/>
                <w:sz w:val="16"/>
              </w:rPr>
              <w:t>Eriocaulaceae</w:t>
            </w:r>
          </w:p>
        </w:tc>
        <w:tc>
          <w:tcPr>
            <w:tcW w:w="2976" w:type="dxa"/>
            <w:shd w:val="clear" w:color="auto" w:fill="auto"/>
            <w:noWrap/>
            <w:hideMark/>
          </w:tcPr>
          <w:p w14:paraId="57C75768" w14:textId="77777777" w:rsidR="0044478E" w:rsidRPr="00747E35" w:rsidRDefault="0044478E" w:rsidP="0044478E">
            <w:pPr>
              <w:pStyle w:val="Tabletext"/>
              <w:spacing w:before="0" w:after="0"/>
              <w:rPr>
                <w:rFonts w:cstheme="minorHAnsi"/>
                <w:sz w:val="16"/>
              </w:rPr>
            </w:pPr>
            <w:r w:rsidRPr="00747E35">
              <w:rPr>
                <w:rFonts w:cstheme="minorHAnsi"/>
                <w:i/>
                <w:sz w:val="16"/>
              </w:rPr>
              <w:t>Eriocaulon carsonii</w:t>
            </w:r>
            <w:r w:rsidRPr="00747E35">
              <w:rPr>
                <w:rFonts w:cstheme="minorHAnsi"/>
                <w:sz w:val="16"/>
              </w:rPr>
              <w:t xml:space="preserve"> sub.sp. </w:t>
            </w:r>
            <w:r w:rsidRPr="00747E35">
              <w:rPr>
                <w:rFonts w:cstheme="minorHAnsi"/>
                <w:i/>
                <w:sz w:val="16"/>
              </w:rPr>
              <w:t>carsonii</w:t>
            </w:r>
          </w:p>
        </w:tc>
        <w:tc>
          <w:tcPr>
            <w:tcW w:w="1134" w:type="dxa"/>
            <w:shd w:val="clear" w:color="auto" w:fill="auto"/>
            <w:noWrap/>
            <w:hideMark/>
          </w:tcPr>
          <w:p w14:paraId="1571157D" w14:textId="77777777" w:rsidR="0044478E" w:rsidRPr="00747E35" w:rsidRDefault="0044478E" w:rsidP="0044478E">
            <w:pPr>
              <w:pStyle w:val="Tabletext"/>
              <w:spacing w:before="0" w:after="0"/>
              <w:rPr>
                <w:rFonts w:cstheme="minorHAnsi"/>
                <w:sz w:val="16"/>
              </w:rPr>
            </w:pPr>
            <w:r w:rsidRPr="00747E35">
              <w:rPr>
                <w:rFonts w:cstheme="minorHAnsi"/>
                <w:sz w:val="16"/>
              </w:rPr>
              <w:t>P_Ercarcar</w:t>
            </w:r>
          </w:p>
        </w:tc>
        <w:tc>
          <w:tcPr>
            <w:tcW w:w="567" w:type="dxa"/>
          </w:tcPr>
          <w:p w14:paraId="2E5214AF" w14:textId="77777777" w:rsidR="0044478E" w:rsidRPr="00747E35" w:rsidRDefault="0044478E" w:rsidP="0044478E">
            <w:pPr>
              <w:pStyle w:val="Tabletext"/>
              <w:spacing w:before="0" w:after="0"/>
              <w:rPr>
                <w:rFonts w:cstheme="minorHAnsi"/>
                <w:sz w:val="16"/>
              </w:rPr>
            </w:pPr>
            <w:r w:rsidRPr="00747E35">
              <w:rPr>
                <w:rFonts w:cstheme="minorHAnsi"/>
                <w:sz w:val="16"/>
              </w:rPr>
              <w:t>9</w:t>
            </w:r>
          </w:p>
        </w:tc>
        <w:tc>
          <w:tcPr>
            <w:tcW w:w="709" w:type="dxa"/>
          </w:tcPr>
          <w:p w14:paraId="1DF040DD" w14:textId="77777777" w:rsidR="0044478E" w:rsidRPr="00747E35" w:rsidRDefault="0044478E" w:rsidP="0044478E">
            <w:pPr>
              <w:pStyle w:val="Tabletext"/>
              <w:spacing w:before="0" w:after="0"/>
              <w:rPr>
                <w:rFonts w:cstheme="minorHAnsi"/>
                <w:sz w:val="16"/>
              </w:rPr>
            </w:pPr>
            <w:r w:rsidRPr="00747E35">
              <w:rPr>
                <w:rFonts w:cstheme="minorHAnsi"/>
                <w:sz w:val="16"/>
              </w:rPr>
              <w:t>7.7</w:t>
            </w:r>
          </w:p>
        </w:tc>
        <w:tc>
          <w:tcPr>
            <w:tcW w:w="992" w:type="dxa"/>
          </w:tcPr>
          <w:p w14:paraId="24F5161C" w14:textId="77777777" w:rsidR="0044478E" w:rsidRPr="00747E35" w:rsidRDefault="0044478E" w:rsidP="0044478E">
            <w:pPr>
              <w:pStyle w:val="Tabletext"/>
              <w:spacing w:before="0" w:after="0"/>
              <w:rPr>
                <w:rFonts w:cstheme="minorHAnsi"/>
                <w:sz w:val="16"/>
              </w:rPr>
            </w:pPr>
            <w:r w:rsidRPr="00747E35">
              <w:rPr>
                <w:rFonts w:cstheme="minorHAnsi"/>
                <w:sz w:val="16"/>
              </w:rPr>
              <w:t>11</w:t>
            </w:r>
          </w:p>
        </w:tc>
        <w:tc>
          <w:tcPr>
            <w:tcW w:w="851" w:type="dxa"/>
          </w:tcPr>
          <w:p w14:paraId="695DF002" w14:textId="77777777" w:rsidR="0044478E" w:rsidRPr="00747E35" w:rsidRDefault="0044478E" w:rsidP="0044478E">
            <w:pPr>
              <w:pStyle w:val="Tabletext"/>
              <w:spacing w:before="0" w:after="0"/>
              <w:rPr>
                <w:rFonts w:cstheme="minorHAnsi"/>
                <w:sz w:val="16"/>
              </w:rPr>
            </w:pPr>
            <w:r w:rsidRPr="00747E35">
              <w:rPr>
                <w:rFonts w:cstheme="minorHAnsi"/>
                <w:sz w:val="16"/>
              </w:rPr>
              <w:t>DS</w:t>
            </w:r>
          </w:p>
        </w:tc>
        <w:tc>
          <w:tcPr>
            <w:tcW w:w="1542" w:type="dxa"/>
          </w:tcPr>
          <w:p w14:paraId="53CD73A3" w14:textId="77777777" w:rsidR="0044478E" w:rsidRPr="00747E35" w:rsidRDefault="0044478E" w:rsidP="0044478E">
            <w:pPr>
              <w:pStyle w:val="Tabletext"/>
              <w:spacing w:before="0" w:after="0"/>
              <w:rPr>
                <w:rFonts w:cstheme="minorHAnsi"/>
                <w:sz w:val="16"/>
              </w:rPr>
            </w:pPr>
            <w:r w:rsidRPr="00747E35">
              <w:rPr>
                <w:rFonts w:cstheme="minorHAnsi"/>
                <w:sz w:val="16"/>
              </w:rPr>
              <w:t>Broad</w:t>
            </w:r>
          </w:p>
        </w:tc>
      </w:tr>
      <w:tr w:rsidR="0044478E" w:rsidRPr="00747E35" w14:paraId="4CF0B3B6" w14:textId="77777777" w:rsidTr="0044478E">
        <w:trPr>
          <w:trHeight w:val="20"/>
        </w:trPr>
        <w:tc>
          <w:tcPr>
            <w:tcW w:w="964" w:type="dxa"/>
            <w:shd w:val="clear" w:color="auto" w:fill="auto"/>
            <w:noWrap/>
            <w:hideMark/>
          </w:tcPr>
          <w:p w14:paraId="48DE0F4C" w14:textId="77777777" w:rsidR="0044478E" w:rsidRPr="00747E35" w:rsidRDefault="0044478E" w:rsidP="0044478E">
            <w:pPr>
              <w:pStyle w:val="Tabletext"/>
              <w:spacing w:before="0" w:after="0"/>
              <w:rPr>
                <w:rFonts w:cstheme="minorHAnsi"/>
                <w:sz w:val="16"/>
              </w:rPr>
            </w:pPr>
            <w:r w:rsidRPr="00747E35">
              <w:rPr>
                <w:rFonts w:cstheme="minorHAnsi"/>
                <w:sz w:val="16"/>
              </w:rPr>
              <w:t>Plantae</w:t>
            </w:r>
          </w:p>
        </w:tc>
        <w:tc>
          <w:tcPr>
            <w:tcW w:w="1191" w:type="dxa"/>
            <w:shd w:val="clear" w:color="auto" w:fill="auto"/>
            <w:noWrap/>
            <w:hideMark/>
          </w:tcPr>
          <w:p w14:paraId="09FDC31C" w14:textId="77777777" w:rsidR="0044478E" w:rsidRPr="00747E35" w:rsidRDefault="0044478E" w:rsidP="0044478E">
            <w:pPr>
              <w:pStyle w:val="Tabletext"/>
              <w:spacing w:before="0" w:after="0"/>
              <w:rPr>
                <w:rFonts w:cstheme="minorHAnsi"/>
                <w:sz w:val="16"/>
              </w:rPr>
            </w:pPr>
            <w:r w:rsidRPr="00747E35">
              <w:rPr>
                <w:rFonts w:cstheme="minorHAnsi"/>
                <w:sz w:val="16"/>
              </w:rPr>
              <w:t>Angiosperms</w:t>
            </w:r>
          </w:p>
        </w:tc>
        <w:tc>
          <w:tcPr>
            <w:tcW w:w="1295" w:type="dxa"/>
            <w:shd w:val="clear" w:color="auto" w:fill="auto"/>
            <w:noWrap/>
            <w:hideMark/>
          </w:tcPr>
          <w:p w14:paraId="6732BD3F" w14:textId="77777777" w:rsidR="0044478E" w:rsidRPr="00747E35" w:rsidRDefault="0044478E" w:rsidP="0044478E">
            <w:pPr>
              <w:pStyle w:val="Tabletext"/>
              <w:spacing w:before="0" w:after="0"/>
              <w:rPr>
                <w:rFonts w:cstheme="minorHAnsi"/>
                <w:sz w:val="16"/>
              </w:rPr>
            </w:pPr>
            <w:r w:rsidRPr="00747E35">
              <w:rPr>
                <w:rFonts w:cstheme="minorHAnsi"/>
                <w:sz w:val="16"/>
              </w:rPr>
              <w:t>~Monocots</w:t>
            </w:r>
          </w:p>
        </w:tc>
        <w:tc>
          <w:tcPr>
            <w:tcW w:w="1295" w:type="dxa"/>
            <w:shd w:val="clear" w:color="auto" w:fill="auto"/>
            <w:noWrap/>
            <w:hideMark/>
          </w:tcPr>
          <w:p w14:paraId="2092FCF2" w14:textId="77777777" w:rsidR="0044478E" w:rsidRPr="00747E35" w:rsidRDefault="0044478E" w:rsidP="0044478E">
            <w:pPr>
              <w:pStyle w:val="Tabletext"/>
              <w:spacing w:before="0" w:after="0"/>
              <w:rPr>
                <w:rFonts w:cstheme="minorHAnsi"/>
                <w:sz w:val="16"/>
              </w:rPr>
            </w:pPr>
            <w:r w:rsidRPr="00747E35">
              <w:rPr>
                <w:rFonts w:cstheme="minorHAnsi"/>
                <w:sz w:val="16"/>
              </w:rPr>
              <w:t>Poales</w:t>
            </w:r>
          </w:p>
        </w:tc>
        <w:tc>
          <w:tcPr>
            <w:tcW w:w="1346" w:type="dxa"/>
            <w:shd w:val="clear" w:color="auto" w:fill="auto"/>
            <w:noWrap/>
            <w:hideMark/>
          </w:tcPr>
          <w:p w14:paraId="41FE8856" w14:textId="77777777" w:rsidR="0044478E" w:rsidRPr="00747E35" w:rsidRDefault="0044478E" w:rsidP="0044478E">
            <w:pPr>
              <w:pStyle w:val="Tabletext"/>
              <w:spacing w:before="0" w:after="0"/>
              <w:rPr>
                <w:rFonts w:cstheme="minorHAnsi"/>
                <w:sz w:val="16"/>
              </w:rPr>
            </w:pPr>
            <w:r w:rsidRPr="00747E35">
              <w:rPr>
                <w:rFonts w:cstheme="minorHAnsi"/>
                <w:sz w:val="16"/>
              </w:rPr>
              <w:t>Eriocaulaceae</w:t>
            </w:r>
          </w:p>
        </w:tc>
        <w:tc>
          <w:tcPr>
            <w:tcW w:w="2976" w:type="dxa"/>
            <w:shd w:val="clear" w:color="auto" w:fill="auto"/>
            <w:noWrap/>
            <w:hideMark/>
          </w:tcPr>
          <w:p w14:paraId="5CC11C77" w14:textId="77777777" w:rsidR="0044478E" w:rsidRPr="00747E35" w:rsidRDefault="0044478E" w:rsidP="0044478E">
            <w:pPr>
              <w:pStyle w:val="Tabletext"/>
              <w:spacing w:before="0" w:after="0"/>
              <w:rPr>
                <w:rFonts w:cstheme="minorHAnsi"/>
                <w:sz w:val="16"/>
              </w:rPr>
            </w:pPr>
            <w:r w:rsidRPr="00747E35">
              <w:rPr>
                <w:rFonts w:cstheme="minorHAnsi"/>
                <w:i/>
                <w:sz w:val="16"/>
              </w:rPr>
              <w:t>Eriocaulon carsonii</w:t>
            </w:r>
            <w:r w:rsidRPr="00747E35">
              <w:rPr>
                <w:rFonts w:cstheme="minorHAnsi"/>
                <w:sz w:val="16"/>
              </w:rPr>
              <w:t xml:space="preserve"> sub.sp. </w:t>
            </w:r>
            <w:r w:rsidRPr="00747E35">
              <w:rPr>
                <w:rFonts w:cstheme="minorHAnsi"/>
                <w:i/>
                <w:sz w:val="16"/>
              </w:rPr>
              <w:t>euloense</w:t>
            </w:r>
          </w:p>
        </w:tc>
        <w:tc>
          <w:tcPr>
            <w:tcW w:w="1134" w:type="dxa"/>
            <w:shd w:val="clear" w:color="auto" w:fill="auto"/>
            <w:noWrap/>
            <w:hideMark/>
          </w:tcPr>
          <w:p w14:paraId="776DD72C" w14:textId="77777777" w:rsidR="0044478E" w:rsidRPr="00747E35" w:rsidRDefault="0044478E" w:rsidP="0044478E">
            <w:pPr>
              <w:pStyle w:val="Tabletext"/>
              <w:spacing w:before="0" w:after="0"/>
              <w:rPr>
                <w:rFonts w:cstheme="minorHAnsi"/>
                <w:sz w:val="16"/>
              </w:rPr>
            </w:pPr>
            <w:r w:rsidRPr="00747E35">
              <w:rPr>
                <w:rFonts w:cstheme="minorHAnsi"/>
                <w:sz w:val="16"/>
              </w:rPr>
              <w:t>P_Ercareul</w:t>
            </w:r>
          </w:p>
        </w:tc>
        <w:tc>
          <w:tcPr>
            <w:tcW w:w="567" w:type="dxa"/>
          </w:tcPr>
          <w:p w14:paraId="4BE499EF"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1BF255D8" w14:textId="77777777" w:rsidR="0044478E" w:rsidRPr="00747E35" w:rsidRDefault="0044478E" w:rsidP="0044478E">
            <w:pPr>
              <w:pStyle w:val="Tabletext"/>
              <w:spacing w:before="0" w:after="0"/>
              <w:rPr>
                <w:rFonts w:cstheme="minorHAnsi"/>
                <w:sz w:val="16"/>
              </w:rPr>
            </w:pPr>
            <w:r w:rsidRPr="00747E35">
              <w:rPr>
                <w:rFonts w:cstheme="minorHAnsi"/>
                <w:sz w:val="16"/>
              </w:rPr>
              <w:t>4.4</w:t>
            </w:r>
          </w:p>
        </w:tc>
        <w:tc>
          <w:tcPr>
            <w:tcW w:w="992" w:type="dxa"/>
          </w:tcPr>
          <w:p w14:paraId="3AD40826" w14:textId="77777777" w:rsidR="0044478E" w:rsidRPr="00747E35" w:rsidRDefault="0044478E" w:rsidP="0044478E">
            <w:pPr>
              <w:pStyle w:val="Tabletext"/>
              <w:spacing w:before="0" w:after="0"/>
              <w:rPr>
                <w:rFonts w:cstheme="minorHAnsi"/>
                <w:sz w:val="16"/>
              </w:rPr>
            </w:pPr>
            <w:r w:rsidRPr="00747E35">
              <w:rPr>
                <w:rFonts w:cstheme="minorHAnsi"/>
                <w:sz w:val="16"/>
              </w:rPr>
              <w:t>0</w:t>
            </w:r>
          </w:p>
        </w:tc>
        <w:tc>
          <w:tcPr>
            <w:tcW w:w="851" w:type="dxa"/>
          </w:tcPr>
          <w:p w14:paraId="73497AFC" w14:textId="77777777" w:rsidR="0044478E" w:rsidRPr="00747E35" w:rsidRDefault="0044478E" w:rsidP="0044478E">
            <w:pPr>
              <w:pStyle w:val="Tabletext"/>
              <w:spacing w:before="0" w:after="0"/>
              <w:rPr>
                <w:rFonts w:cstheme="minorHAnsi"/>
                <w:sz w:val="16"/>
              </w:rPr>
            </w:pPr>
            <w:r w:rsidRPr="00747E35">
              <w:rPr>
                <w:rFonts w:cstheme="minorHAnsi"/>
                <w:sz w:val="16"/>
              </w:rPr>
              <w:t>DS</w:t>
            </w:r>
          </w:p>
        </w:tc>
        <w:tc>
          <w:tcPr>
            <w:tcW w:w="1542" w:type="dxa"/>
          </w:tcPr>
          <w:p w14:paraId="650005F0"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7CCE3E0A" w14:textId="77777777" w:rsidTr="0044478E">
        <w:trPr>
          <w:trHeight w:val="20"/>
        </w:trPr>
        <w:tc>
          <w:tcPr>
            <w:tcW w:w="964" w:type="dxa"/>
            <w:shd w:val="clear" w:color="auto" w:fill="auto"/>
            <w:noWrap/>
            <w:hideMark/>
          </w:tcPr>
          <w:p w14:paraId="492B19B2" w14:textId="77777777" w:rsidR="0044478E" w:rsidRPr="00747E35" w:rsidRDefault="0044478E" w:rsidP="0044478E">
            <w:pPr>
              <w:pStyle w:val="Tabletext"/>
              <w:spacing w:before="0" w:after="0"/>
              <w:rPr>
                <w:rFonts w:cstheme="minorHAnsi"/>
                <w:sz w:val="16"/>
              </w:rPr>
            </w:pPr>
            <w:r w:rsidRPr="00747E35">
              <w:rPr>
                <w:rFonts w:cstheme="minorHAnsi"/>
                <w:sz w:val="16"/>
              </w:rPr>
              <w:t>Plantae</w:t>
            </w:r>
          </w:p>
        </w:tc>
        <w:tc>
          <w:tcPr>
            <w:tcW w:w="1191" w:type="dxa"/>
            <w:shd w:val="clear" w:color="auto" w:fill="auto"/>
            <w:noWrap/>
            <w:hideMark/>
          </w:tcPr>
          <w:p w14:paraId="15858D92" w14:textId="77777777" w:rsidR="0044478E" w:rsidRPr="00747E35" w:rsidRDefault="0044478E" w:rsidP="0044478E">
            <w:pPr>
              <w:pStyle w:val="Tabletext"/>
              <w:spacing w:before="0" w:after="0"/>
              <w:rPr>
                <w:rFonts w:cstheme="minorHAnsi"/>
                <w:sz w:val="16"/>
              </w:rPr>
            </w:pPr>
            <w:r w:rsidRPr="00747E35">
              <w:rPr>
                <w:rFonts w:cstheme="minorHAnsi"/>
                <w:sz w:val="16"/>
              </w:rPr>
              <w:t>Angiosperms</w:t>
            </w:r>
          </w:p>
        </w:tc>
        <w:tc>
          <w:tcPr>
            <w:tcW w:w="1295" w:type="dxa"/>
            <w:shd w:val="clear" w:color="auto" w:fill="auto"/>
            <w:noWrap/>
            <w:hideMark/>
          </w:tcPr>
          <w:p w14:paraId="3F94CD97" w14:textId="77777777" w:rsidR="0044478E" w:rsidRPr="00747E35" w:rsidRDefault="0044478E" w:rsidP="0044478E">
            <w:pPr>
              <w:pStyle w:val="Tabletext"/>
              <w:spacing w:before="0" w:after="0"/>
              <w:rPr>
                <w:rFonts w:cstheme="minorHAnsi"/>
                <w:sz w:val="16"/>
              </w:rPr>
            </w:pPr>
            <w:r w:rsidRPr="00747E35">
              <w:rPr>
                <w:rFonts w:cstheme="minorHAnsi"/>
                <w:sz w:val="16"/>
              </w:rPr>
              <w:t>~Monocots</w:t>
            </w:r>
          </w:p>
        </w:tc>
        <w:tc>
          <w:tcPr>
            <w:tcW w:w="1295" w:type="dxa"/>
            <w:shd w:val="clear" w:color="auto" w:fill="auto"/>
            <w:noWrap/>
            <w:hideMark/>
          </w:tcPr>
          <w:p w14:paraId="4A9FF27F" w14:textId="77777777" w:rsidR="0044478E" w:rsidRPr="00747E35" w:rsidRDefault="0044478E" w:rsidP="0044478E">
            <w:pPr>
              <w:pStyle w:val="Tabletext"/>
              <w:spacing w:before="0" w:after="0"/>
              <w:rPr>
                <w:rFonts w:cstheme="minorHAnsi"/>
                <w:sz w:val="16"/>
              </w:rPr>
            </w:pPr>
            <w:r w:rsidRPr="00747E35">
              <w:rPr>
                <w:rFonts w:cstheme="minorHAnsi"/>
                <w:sz w:val="16"/>
              </w:rPr>
              <w:t>Poales</w:t>
            </w:r>
          </w:p>
        </w:tc>
        <w:tc>
          <w:tcPr>
            <w:tcW w:w="1346" w:type="dxa"/>
            <w:shd w:val="clear" w:color="auto" w:fill="auto"/>
            <w:noWrap/>
            <w:hideMark/>
          </w:tcPr>
          <w:p w14:paraId="7526C767" w14:textId="77777777" w:rsidR="0044478E" w:rsidRPr="00747E35" w:rsidRDefault="0044478E" w:rsidP="0044478E">
            <w:pPr>
              <w:pStyle w:val="Tabletext"/>
              <w:spacing w:before="0" w:after="0"/>
              <w:rPr>
                <w:rFonts w:cstheme="minorHAnsi"/>
                <w:sz w:val="16"/>
              </w:rPr>
            </w:pPr>
            <w:r w:rsidRPr="00747E35">
              <w:rPr>
                <w:rFonts w:cstheme="minorHAnsi"/>
                <w:sz w:val="16"/>
              </w:rPr>
              <w:t>Eriocaulaceae</w:t>
            </w:r>
          </w:p>
        </w:tc>
        <w:tc>
          <w:tcPr>
            <w:tcW w:w="2976" w:type="dxa"/>
            <w:shd w:val="clear" w:color="auto" w:fill="auto"/>
            <w:noWrap/>
            <w:hideMark/>
          </w:tcPr>
          <w:p w14:paraId="6BBCAF61" w14:textId="77777777" w:rsidR="0044478E" w:rsidRPr="00747E35" w:rsidRDefault="0044478E" w:rsidP="0044478E">
            <w:pPr>
              <w:pStyle w:val="Tabletext"/>
              <w:spacing w:before="0" w:after="0"/>
              <w:rPr>
                <w:rFonts w:cstheme="minorHAnsi"/>
                <w:i/>
                <w:sz w:val="16"/>
              </w:rPr>
            </w:pPr>
            <w:r w:rsidRPr="00747E35">
              <w:rPr>
                <w:rFonts w:cstheme="minorHAnsi"/>
                <w:i/>
                <w:sz w:val="16"/>
              </w:rPr>
              <w:t>Eriocaulon giganticum</w:t>
            </w:r>
          </w:p>
        </w:tc>
        <w:tc>
          <w:tcPr>
            <w:tcW w:w="1134" w:type="dxa"/>
            <w:shd w:val="clear" w:color="auto" w:fill="auto"/>
            <w:noWrap/>
            <w:hideMark/>
          </w:tcPr>
          <w:p w14:paraId="40A10AE8" w14:textId="77777777" w:rsidR="0044478E" w:rsidRPr="00747E35" w:rsidRDefault="0044478E" w:rsidP="0044478E">
            <w:pPr>
              <w:pStyle w:val="Tabletext"/>
              <w:spacing w:before="0" w:after="0"/>
              <w:rPr>
                <w:rFonts w:cstheme="minorHAnsi"/>
                <w:sz w:val="16"/>
              </w:rPr>
            </w:pPr>
            <w:r w:rsidRPr="00747E35">
              <w:rPr>
                <w:rFonts w:cstheme="minorHAnsi"/>
                <w:sz w:val="16"/>
              </w:rPr>
              <w:t>P_Ergiga</w:t>
            </w:r>
          </w:p>
        </w:tc>
        <w:tc>
          <w:tcPr>
            <w:tcW w:w="567" w:type="dxa"/>
          </w:tcPr>
          <w:p w14:paraId="7D2C4B0E"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2748640E" w14:textId="77777777" w:rsidR="0044478E" w:rsidRPr="00747E35" w:rsidRDefault="0044478E" w:rsidP="0044478E">
            <w:pPr>
              <w:pStyle w:val="Tabletext"/>
              <w:spacing w:before="0" w:after="0"/>
              <w:rPr>
                <w:rFonts w:cstheme="minorHAnsi"/>
                <w:sz w:val="16"/>
              </w:rPr>
            </w:pPr>
            <w:r w:rsidRPr="00747E35">
              <w:rPr>
                <w:rFonts w:cstheme="minorHAnsi"/>
                <w:sz w:val="16"/>
              </w:rPr>
              <w:t>29.7</w:t>
            </w:r>
          </w:p>
        </w:tc>
        <w:tc>
          <w:tcPr>
            <w:tcW w:w="992" w:type="dxa"/>
          </w:tcPr>
          <w:p w14:paraId="1F332C41"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093571D0" w14:textId="77777777" w:rsidR="0044478E" w:rsidRPr="00747E35" w:rsidRDefault="0044478E" w:rsidP="0044478E">
            <w:pPr>
              <w:pStyle w:val="Tabletext"/>
              <w:spacing w:before="0" w:after="0"/>
              <w:rPr>
                <w:rFonts w:cstheme="minorHAnsi"/>
                <w:sz w:val="16"/>
              </w:rPr>
            </w:pPr>
            <w:r w:rsidRPr="00747E35">
              <w:rPr>
                <w:rFonts w:cstheme="minorHAnsi"/>
                <w:sz w:val="16"/>
              </w:rPr>
              <w:t>DS</w:t>
            </w:r>
          </w:p>
        </w:tc>
        <w:tc>
          <w:tcPr>
            <w:tcW w:w="1542" w:type="dxa"/>
          </w:tcPr>
          <w:p w14:paraId="625BF4E1"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330BFA40" w14:textId="77777777" w:rsidTr="0044478E">
        <w:trPr>
          <w:trHeight w:val="20"/>
        </w:trPr>
        <w:tc>
          <w:tcPr>
            <w:tcW w:w="964" w:type="dxa"/>
            <w:shd w:val="clear" w:color="auto" w:fill="auto"/>
            <w:noWrap/>
            <w:hideMark/>
          </w:tcPr>
          <w:p w14:paraId="0F2F11D4" w14:textId="77777777" w:rsidR="0044478E" w:rsidRPr="00747E35" w:rsidRDefault="0044478E" w:rsidP="0044478E">
            <w:pPr>
              <w:pStyle w:val="Tabletext"/>
              <w:spacing w:before="0" w:after="0"/>
              <w:rPr>
                <w:rFonts w:cstheme="minorHAnsi"/>
                <w:sz w:val="16"/>
              </w:rPr>
            </w:pPr>
            <w:r w:rsidRPr="00747E35">
              <w:rPr>
                <w:rFonts w:cstheme="minorHAnsi"/>
                <w:sz w:val="16"/>
              </w:rPr>
              <w:t>Plantae</w:t>
            </w:r>
          </w:p>
        </w:tc>
        <w:tc>
          <w:tcPr>
            <w:tcW w:w="1191" w:type="dxa"/>
            <w:shd w:val="clear" w:color="auto" w:fill="auto"/>
            <w:noWrap/>
            <w:hideMark/>
          </w:tcPr>
          <w:p w14:paraId="1BCB9FCD" w14:textId="77777777" w:rsidR="0044478E" w:rsidRPr="00747E35" w:rsidRDefault="0044478E" w:rsidP="0044478E">
            <w:pPr>
              <w:pStyle w:val="Tabletext"/>
              <w:spacing w:before="0" w:after="0"/>
              <w:rPr>
                <w:rFonts w:cstheme="minorHAnsi"/>
                <w:sz w:val="16"/>
              </w:rPr>
            </w:pPr>
            <w:r w:rsidRPr="00747E35">
              <w:rPr>
                <w:rFonts w:cstheme="minorHAnsi"/>
                <w:sz w:val="16"/>
              </w:rPr>
              <w:t>Angiosperms</w:t>
            </w:r>
          </w:p>
        </w:tc>
        <w:tc>
          <w:tcPr>
            <w:tcW w:w="1295" w:type="dxa"/>
            <w:shd w:val="clear" w:color="auto" w:fill="auto"/>
            <w:noWrap/>
            <w:hideMark/>
          </w:tcPr>
          <w:p w14:paraId="6DBE2E46" w14:textId="77777777" w:rsidR="0044478E" w:rsidRPr="00747E35" w:rsidRDefault="0044478E" w:rsidP="0044478E">
            <w:pPr>
              <w:pStyle w:val="Tabletext"/>
              <w:spacing w:before="0" w:after="0"/>
              <w:rPr>
                <w:rFonts w:cstheme="minorHAnsi"/>
                <w:sz w:val="16"/>
              </w:rPr>
            </w:pPr>
            <w:r w:rsidRPr="00747E35">
              <w:rPr>
                <w:rFonts w:cstheme="minorHAnsi"/>
                <w:sz w:val="16"/>
              </w:rPr>
              <w:t>~Monocots</w:t>
            </w:r>
          </w:p>
        </w:tc>
        <w:tc>
          <w:tcPr>
            <w:tcW w:w="1295" w:type="dxa"/>
            <w:shd w:val="clear" w:color="auto" w:fill="auto"/>
            <w:noWrap/>
            <w:hideMark/>
          </w:tcPr>
          <w:p w14:paraId="3402131D" w14:textId="77777777" w:rsidR="0044478E" w:rsidRPr="00747E35" w:rsidRDefault="0044478E" w:rsidP="0044478E">
            <w:pPr>
              <w:pStyle w:val="Tabletext"/>
              <w:spacing w:before="0" w:after="0"/>
              <w:rPr>
                <w:rFonts w:cstheme="minorHAnsi"/>
                <w:sz w:val="16"/>
              </w:rPr>
            </w:pPr>
            <w:r w:rsidRPr="00747E35">
              <w:rPr>
                <w:rFonts w:cstheme="minorHAnsi"/>
                <w:sz w:val="16"/>
              </w:rPr>
              <w:t>Poales</w:t>
            </w:r>
          </w:p>
        </w:tc>
        <w:tc>
          <w:tcPr>
            <w:tcW w:w="1346" w:type="dxa"/>
            <w:shd w:val="clear" w:color="auto" w:fill="auto"/>
            <w:noWrap/>
            <w:hideMark/>
          </w:tcPr>
          <w:p w14:paraId="4EA417BA" w14:textId="77777777" w:rsidR="0044478E" w:rsidRPr="00747E35" w:rsidRDefault="0044478E" w:rsidP="0044478E">
            <w:pPr>
              <w:pStyle w:val="Tabletext"/>
              <w:spacing w:before="0" w:after="0"/>
              <w:rPr>
                <w:rFonts w:cstheme="minorHAnsi"/>
                <w:sz w:val="16"/>
              </w:rPr>
            </w:pPr>
            <w:r w:rsidRPr="00747E35">
              <w:rPr>
                <w:rFonts w:cstheme="minorHAnsi"/>
                <w:sz w:val="16"/>
              </w:rPr>
              <w:t>Poaceae</w:t>
            </w:r>
          </w:p>
        </w:tc>
        <w:tc>
          <w:tcPr>
            <w:tcW w:w="2976" w:type="dxa"/>
            <w:shd w:val="clear" w:color="auto" w:fill="auto"/>
            <w:noWrap/>
            <w:hideMark/>
          </w:tcPr>
          <w:p w14:paraId="082F0C65" w14:textId="77777777" w:rsidR="0044478E" w:rsidRPr="00747E35" w:rsidRDefault="0044478E" w:rsidP="0044478E">
            <w:pPr>
              <w:pStyle w:val="Tabletext"/>
              <w:spacing w:before="0" w:after="0"/>
              <w:rPr>
                <w:rFonts w:cstheme="minorHAnsi"/>
                <w:sz w:val="16"/>
              </w:rPr>
            </w:pPr>
            <w:r w:rsidRPr="00747E35">
              <w:rPr>
                <w:rFonts w:cstheme="minorHAnsi"/>
                <w:i/>
                <w:sz w:val="16"/>
              </w:rPr>
              <w:t>Chloris</w:t>
            </w:r>
            <w:r w:rsidRPr="00747E35">
              <w:rPr>
                <w:rFonts w:cstheme="minorHAnsi"/>
                <w:sz w:val="16"/>
              </w:rPr>
              <w:t xml:space="preserve"> sp.</w:t>
            </w:r>
          </w:p>
        </w:tc>
        <w:tc>
          <w:tcPr>
            <w:tcW w:w="1134" w:type="dxa"/>
            <w:shd w:val="clear" w:color="auto" w:fill="auto"/>
            <w:noWrap/>
            <w:hideMark/>
          </w:tcPr>
          <w:p w14:paraId="0FFB3FA8" w14:textId="77777777" w:rsidR="0044478E" w:rsidRPr="00747E35" w:rsidRDefault="0044478E" w:rsidP="0044478E">
            <w:pPr>
              <w:pStyle w:val="Tabletext"/>
              <w:spacing w:before="0" w:after="0"/>
              <w:rPr>
                <w:rFonts w:cstheme="minorHAnsi"/>
                <w:sz w:val="16"/>
              </w:rPr>
            </w:pPr>
            <w:r w:rsidRPr="00747E35">
              <w:rPr>
                <w:rFonts w:cstheme="minorHAnsi"/>
                <w:sz w:val="16"/>
              </w:rPr>
              <w:t>P_Chlsp</w:t>
            </w:r>
          </w:p>
        </w:tc>
        <w:tc>
          <w:tcPr>
            <w:tcW w:w="567" w:type="dxa"/>
          </w:tcPr>
          <w:p w14:paraId="34C5D604" w14:textId="77777777" w:rsidR="0044478E" w:rsidRPr="00747E35" w:rsidRDefault="0044478E" w:rsidP="0044478E">
            <w:pPr>
              <w:pStyle w:val="Tabletext"/>
              <w:spacing w:before="0" w:after="0"/>
              <w:rPr>
                <w:rFonts w:cstheme="minorHAnsi"/>
                <w:sz w:val="16"/>
              </w:rPr>
            </w:pPr>
            <w:r w:rsidRPr="00747E35">
              <w:rPr>
                <w:rFonts w:cstheme="minorHAnsi"/>
                <w:sz w:val="16"/>
              </w:rPr>
              <w:t>2</w:t>
            </w:r>
          </w:p>
        </w:tc>
        <w:tc>
          <w:tcPr>
            <w:tcW w:w="709" w:type="dxa"/>
          </w:tcPr>
          <w:p w14:paraId="24B023F5" w14:textId="77777777" w:rsidR="0044478E" w:rsidRPr="00747E35" w:rsidRDefault="0044478E" w:rsidP="0044478E">
            <w:pPr>
              <w:pStyle w:val="Tabletext"/>
              <w:spacing w:before="0" w:after="0"/>
              <w:rPr>
                <w:rFonts w:cstheme="minorHAnsi"/>
                <w:sz w:val="16"/>
              </w:rPr>
            </w:pPr>
            <w:r w:rsidRPr="00747E35">
              <w:rPr>
                <w:rFonts w:cstheme="minorHAnsi"/>
                <w:sz w:val="16"/>
              </w:rPr>
              <w:t>35.0</w:t>
            </w:r>
          </w:p>
        </w:tc>
        <w:tc>
          <w:tcPr>
            <w:tcW w:w="992" w:type="dxa"/>
          </w:tcPr>
          <w:p w14:paraId="146032F1"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498EFF39" w14:textId="77777777" w:rsidR="0044478E" w:rsidRPr="00747E35" w:rsidRDefault="0044478E" w:rsidP="0044478E">
            <w:pPr>
              <w:pStyle w:val="Tabletext"/>
              <w:spacing w:before="0" w:after="0"/>
              <w:rPr>
                <w:rFonts w:cstheme="minorHAnsi"/>
                <w:sz w:val="16"/>
              </w:rPr>
            </w:pPr>
            <w:r w:rsidRPr="00747E35">
              <w:rPr>
                <w:rFonts w:cstheme="minorHAnsi"/>
                <w:sz w:val="16"/>
              </w:rPr>
              <w:t>U</w:t>
            </w:r>
          </w:p>
        </w:tc>
        <w:tc>
          <w:tcPr>
            <w:tcW w:w="1542" w:type="dxa"/>
          </w:tcPr>
          <w:p w14:paraId="0DE205FA" w14:textId="77777777" w:rsidR="0044478E" w:rsidRPr="00747E35" w:rsidRDefault="0044478E" w:rsidP="0044478E">
            <w:pPr>
              <w:pStyle w:val="Tabletext"/>
              <w:spacing w:before="0" w:after="0"/>
              <w:rPr>
                <w:rFonts w:cstheme="minorHAnsi"/>
                <w:sz w:val="16"/>
              </w:rPr>
            </w:pPr>
            <w:r w:rsidRPr="00747E35">
              <w:rPr>
                <w:rFonts w:cstheme="minorHAnsi"/>
                <w:sz w:val="16"/>
              </w:rPr>
              <w:t>Narrow supergroup</w:t>
            </w:r>
          </w:p>
        </w:tc>
      </w:tr>
      <w:tr w:rsidR="0044478E" w:rsidRPr="00747E35" w14:paraId="6EDA049C" w14:textId="77777777" w:rsidTr="0044478E">
        <w:trPr>
          <w:trHeight w:val="20"/>
        </w:trPr>
        <w:tc>
          <w:tcPr>
            <w:tcW w:w="964" w:type="dxa"/>
            <w:shd w:val="clear" w:color="auto" w:fill="auto"/>
            <w:noWrap/>
            <w:hideMark/>
          </w:tcPr>
          <w:p w14:paraId="6D8C2617" w14:textId="77777777" w:rsidR="0044478E" w:rsidRPr="00747E35" w:rsidRDefault="0044478E" w:rsidP="0044478E">
            <w:pPr>
              <w:pStyle w:val="Tabletext"/>
              <w:spacing w:before="0" w:after="0"/>
              <w:rPr>
                <w:rFonts w:cstheme="minorHAnsi"/>
                <w:sz w:val="16"/>
              </w:rPr>
            </w:pPr>
            <w:r w:rsidRPr="00747E35">
              <w:rPr>
                <w:rFonts w:cstheme="minorHAnsi"/>
                <w:sz w:val="16"/>
              </w:rPr>
              <w:t>Plantae</w:t>
            </w:r>
          </w:p>
        </w:tc>
        <w:tc>
          <w:tcPr>
            <w:tcW w:w="1191" w:type="dxa"/>
            <w:shd w:val="clear" w:color="auto" w:fill="auto"/>
            <w:noWrap/>
            <w:hideMark/>
          </w:tcPr>
          <w:p w14:paraId="349E2D14" w14:textId="77777777" w:rsidR="0044478E" w:rsidRPr="00747E35" w:rsidRDefault="0044478E" w:rsidP="0044478E">
            <w:pPr>
              <w:pStyle w:val="Tabletext"/>
              <w:spacing w:before="0" w:after="0"/>
              <w:rPr>
                <w:rFonts w:cstheme="minorHAnsi"/>
                <w:sz w:val="16"/>
              </w:rPr>
            </w:pPr>
            <w:r w:rsidRPr="00747E35">
              <w:rPr>
                <w:rFonts w:cstheme="minorHAnsi"/>
                <w:sz w:val="16"/>
              </w:rPr>
              <w:t>Angiosperms</w:t>
            </w:r>
          </w:p>
        </w:tc>
        <w:tc>
          <w:tcPr>
            <w:tcW w:w="1295" w:type="dxa"/>
            <w:shd w:val="clear" w:color="auto" w:fill="auto"/>
            <w:noWrap/>
            <w:hideMark/>
          </w:tcPr>
          <w:p w14:paraId="33342152" w14:textId="77777777" w:rsidR="0044478E" w:rsidRPr="00747E35" w:rsidRDefault="0044478E" w:rsidP="0044478E">
            <w:pPr>
              <w:pStyle w:val="Tabletext"/>
              <w:spacing w:before="0" w:after="0"/>
              <w:rPr>
                <w:rFonts w:cstheme="minorHAnsi"/>
                <w:sz w:val="16"/>
              </w:rPr>
            </w:pPr>
            <w:r w:rsidRPr="00747E35">
              <w:rPr>
                <w:rFonts w:cstheme="minorHAnsi"/>
                <w:sz w:val="16"/>
              </w:rPr>
              <w:t>~Monocots</w:t>
            </w:r>
          </w:p>
        </w:tc>
        <w:tc>
          <w:tcPr>
            <w:tcW w:w="1295" w:type="dxa"/>
            <w:shd w:val="clear" w:color="auto" w:fill="auto"/>
            <w:noWrap/>
            <w:hideMark/>
          </w:tcPr>
          <w:p w14:paraId="71EF2472" w14:textId="77777777" w:rsidR="0044478E" w:rsidRPr="00747E35" w:rsidRDefault="0044478E" w:rsidP="0044478E">
            <w:pPr>
              <w:pStyle w:val="Tabletext"/>
              <w:spacing w:before="0" w:after="0"/>
              <w:rPr>
                <w:rFonts w:cstheme="minorHAnsi"/>
                <w:sz w:val="16"/>
              </w:rPr>
            </w:pPr>
            <w:r w:rsidRPr="00747E35">
              <w:rPr>
                <w:rFonts w:cstheme="minorHAnsi"/>
                <w:sz w:val="16"/>
              </w:rPr>
              <w:t>Poales</w:t>
            </w:r>
          </w:p>
        </w:tc>
        <w:tc>
          <w:tcPr>
            <w:tcW w:w="1346" w:type="dxa"/>
            <w:shd w:val="clear" w:color="auto" w:fill="auto"/>
            <w:noWrap/>
            <w:hideMark/>
          </w:tcPr>
          <w:p w14:paraId="7E562B90" w14:textId="77777777" w:rsidR="0044478E" w:rsidRPr="00747E35" w:rsidRDefault="0044478E" w:rsidP="0044478E">
            <w:pPr>
              <w:pStyle w:val="Tabletext"/>
              <w:spacing w:before="0" w:after="0"/>
              <w:rPr>
                <w:rFonts w:cstheme="minorHAnsi"/>
                <w:sz w:val="16"/>
              </w:rPr>
            </w:pPr>
            <w:r w:rsidRPr="00747E35">
              <w:rPr>
                <w:rFonts w:cstheme="minorHAnsi"/>
                <w:sz w:val="16"/>
              </w:rPr>
              <w:t>Poaceae</w:t>
            </w:r>
          </w:p>
        </w:tc>
        <w:tc>
          <w:tcPr>
            <w:tcW w:w="2976" w:type="dxa"/>
            <w:shd w:val="clear" w:color="auto" w:fill="auto"/>
            <w:noWrap/>
            <w:hideMark/>
          </w:tcPr>
          <w:p w14:paraId="4AD220C8" w14:textId="77777777" w:rsidR="0044478E" w:rsidRPr="00747E35" w:rsidRDefault="0044478E" w:rsidP="0044478E">
            <w:pPr>
              <w:pStyle w:val="Tabletext"/>
              <w:spacing w:before="0" w:after="0"/>
              <w:rPr>
                <w:rFonts w:cstheme="minorHAnsi"/>
                <w:i/>
                <w:sz w:val="16"/>
              </w:rPr>
            </w:pPr>
            <w:r w:rsidRPr="00747E35">
              <w:rPr>
                <w:rFonts w:cstheme="minorHAnsi"/>
                <w:i/>
                <w:sz w:val="16"/>
              </w:rPr>
              <w:t>Erogrostis fenshamii</w:t>
            </w:r>
          </w:p>
        </w:tc>
        <w:tc>
          <w:tcPr>
            <w:tcW w:w="1134" w:type="dxa"/>
            <w:shd w:val="clear" w:color="auto" w:fill="auto"/>
            <w:noWrap/>
            <w:hideMark/>
          </w:tcPr>
          <w:p w14:paraId="7A408107" w14:textId="77777777" w:rsidR="0044478E" w:rsidRPr="00747E35" w:rsidRDefault="0044478E" w:rsidP="0044478E">
            <w:pPr>
              <w:pStyle w:val="Tabletext"/>
              <w:spacing w:before="0" w:after="0"/>
              <w:rPr>
                <w:rFonts w:cstheme="minorHAnsi"/>
                <w:sz w:val="16"/>
              </w:rPr>
            </w:pPr>
            <w:r w:rsidRPr="00747E35">
              <w:rPr>
                <w:rFonts w:cstheme="minorHAnsi"/>
                <w:sz w:val="16"/>
              </w:rPr>
              <w:t>P_Erofens</w:t>
            </w:r>
          </w:p>
        </w:tc>
        <w:tc>
          <w:tcPr>
            <w:tcW w:w="567" w:type="dxa"/>
          </w:tcPr>
          <w:p w14:paraId="17A2EAB9" w14:textId="77777777" w:rsidR="0044478E" w:rsidRPr="00747E35" w:rsidRDefault="0044478E" w:rsidP="0044478E">
            <w:pPr>
              <w:pStyle w:val="Tabletext"/>
              <w:spacing w:before="0" w:after="0"/>
              <w:rPr>
                <w:rFonts w:cstheme="minorHAnsi"/>
                <w:sz w:val="16"/>
              </w:rPr>
            </w:pPr>
            <w:r w:rsidRPr="00747E35">
              <w:rPr>
                <w:rFonts w:cstheme="minorHAnsi"/>
                <w:sz w:val="16"/>
              </w:rPr>
              <w:t>2</w:t>
            </w:r>
          </w:p>
        </w:tc>
        <w:tc>
          <w:tcPr>
            <w:tcW w:w="709" w:type="dxa"/>
          </w:tcPr>
          <w:p w14:paraId="60137460" w14:textId="77777777" w:rsidR="0044478E" w:rsidRPr="00747E35" w:rsidRDefault="0044478E" w:rsidP="0044478E">
            <w:pPr>
              <w:pStyle w:val="Tabletext"/>
              <w:spacing w:before="0" w:after="0"/>
              <w:rPr>
                <w:rFonts w:cstheme="minorHAnsi"/>
                <w:sz w:val="16"/>
              </w:rPr>
            </w:pPr>
            <w:r w:rsidRPr="00747E35">
              <w:rPr>
                <w:rFonts w:cstheme="minorHAnsi"/>
                <w:sz w:val="16"/>
              </w:rPr>
              <w:t>1.3</w:t>
            </w:r>
          </w:p>
        </w:tc>
        <w:tc>
          <w:tcPr>
            <w:tcW w:w="992" w:type="dxa"/>
          </w:tcPr>
          <w:p w14:paraId="6564776A" w14:textId="77777777" w:rsidR="0044478E" w:rsidRPr="00747E35" w:rsidRDefault="0044478E" w:rsidP="0044478E">
            <w:pPr>
              <w:pStyle w:val="Tabletext"/>
              <w:spacing w:before="0" w:after="0"/>
              <w:rPr>
                <w:rFonts w:cstheme="minorHAnsi"/>
                <w:sz w:val="16"/>
              </w:rPr>
            </w:pPr>
            <w:r w:rsidRPr="00747E35">
              <w:rPr>
                <w:rFonts w:cstheme="minorHAnsi"/>
                <w:sz w:val="16"/>
              </w:rPr>
              <w:t>50</w:t>
            </w:r>
          </w:p>
        </w:tc>
        <w:tc>
          <w:tcPr>
            <w:tcW w:w="851" w:type="dxa"/>
          </w:tcPr>
          <w:p w14:paraId="5A4616F7"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Pr>
          <w:p w14:paraId="4DEBEC6E" w14:textId="77777777" w:rsidR="0044478E" w:rsidRPr="00747E35" w:rsidRDefault="0044478E" w:rsidP="0044478E">
            <w:pPr>
              <w:pStyle w:val="Tabletext"/>
              <w:spacing w:before="0" w:after="0"/>
              <w:rPr>
                <w:rFonts w:cstheme="minorHAnsi"/>
                <w:sz w:val="16"/>
              </w:rPr>
            </w:pPr>
            <w:r w:rsidRPr="00747E35">
              <w:rPr>
                <w:rFonts w:cstheme="minorHAnsi"/>
                <w:sz w:val="16"/>
              </w:rPr>
              <w:t>Narrow supergroup</w:t>
            </w:r>
          </w:p>
        </w:tc>
      </w:tr>
      <w:tr w:rsidR="0044478E" w:rsidRPr="00747E35" w14:paraId="50F7DADA" w14:textId="77777777" w:rsidTr="0044478E">
        <w:trPr>
          <w:trHeight w:val="20"/>
        </w:trPr>
        <w:tc>
          <w:tcPr>
            <w:tcW w:w="964" w:type="dxa"/>
            <w:shd w:val="clear" w:color="auto" w:fill="auto"/>
            <w:noWrap/>
            <w:hideMark/>
          </w:tcPr>
          <w:p w14:paraId="3CEFCDE8" w14:textId="77777777" w:rsidR="0044478E" w:rsidRPr="00747E35" w:rsidRDefault="0044478E" w:rsidP="0044478E">
            <w:pPr>
              <w:pStyle w:val="Tabletext"/>
              <w:spacing w:before="0" w:after="0"/>
              <w:rPr>
                <w:rFonts w:cstheme="minorHAnsi"/>
                <w:sz w:val="16"/>
              </w:rPr>
            </w:pPr>
            <w:r w:rsidRPr="00747E35">
              <w:rPr>
                <w:rFonts w:cstheme="minorHAnsi"/>
                <w:sz w:val="16"/>
              </w:rPr>
              <w:t>Plantae</w:t>
            </w:r>
          </w:p>
        </w:tc>
        <w:tc>
          <w:tcPr>
            <w:tcW w:w="1191" w:type="dxa"/>
            <w:shd w:val="clear" w:color="auto" w:fill="auto"/>
            <w:noWrap/>
            <w:hideMark/>
          </w:tcPr>
          <w:p w14:paraId="56BB1339" w14:textId="77777777" w:rsidR="0044478E" w:rsidRPr="00747E35" w:rsidRDefault="0044478E" w:rsidP="0044478E">
            <w:pPr>
              <w:pStyle w:val="Tabletext"/>
              <w:spacing w:before="0" w:after="0"/>
              <w:rPr>
                <w:rFonts w:cstheme="minorHAnsi"/>
                <w:sz w:val="16"/>
              </w:rPr>
            </w:pPr>
            <w:r w:rsidRPr="00747E35">
              <w:rPr>
                <w:rFonts w:cstheme="minorHAnsi"/>
                <w:sz w:val="16"/>
              </w:rPr>
              <w:t>Angiosperms</w:t>
            </w:r>
          </w:p>
        </w:tc>
        <w:tc>
          <w:tcPr>
            <w:tcW w:w="1295" w:type="dxa"/>
            <w:shd w:val="clear" w:color="auto" w:fill="auto"/>
            <w:noWrap/>
            <w:hideMark/>
          </w:tcPr>
          <w:p w14:paraId="61DD58A8" w14:textId="77777777" w:rsidR="0044478E" w:rsidRPr="00747E35" w:rsidRDefault="0044478E" w:rsidP="0044478E">
            <w:pPr>
              <w:pStyle w:val="Tabletext"/>
              <w:spacing w:before="0" w:after="0"/>
              <w:rPr>
                <w:rFonts w:cstheme="minorHAnsi"/>
                <w:sz w:val="16"/>
              </w:rPr>
            </w:pPr>
            <w:r w:rsidRPr="00747E35">
              <w:rPr>
                <w:rFonts w:cstheme="minorHAnsi"/>
                <w:sz w:val="16"/>
              </w:rPr>
              <w:t>~Monocots</w:t>
            </w:r>
          </w:p>
        </w:tc>
        <w:tc>
          <w:tcPr>
            <w:tcW w:w="1295" w:type="dxa"/>
            <w:shd w:val="clear" w:color="auto" w:fill="auto"/>
            <w:noWrap/>
            <w:hideMark/>
          </w:tcPr>
          <w:p w14:paraId="039F14E7" w14:textId="77777777" w:rsidR="0044478E" w:rsidRPr="00747E35" w:rsidRDefault="0044478E" w:rsidP="0044478E">
            <w:pPr>
              <w:pStyle w:val="Tabletext"/>
              <w:spacing w:before="0" w:after="0"/>
              <w:rPr>
                <w:rFonts w:cstheme="minorHAnsi"/>
                <w:sz w:val="16"/>
              </w:rPr>
            </w:pPr>
            <w:r w:rsidRPr="00747E35">
              <w:rPr>
                <w:rFonts w:cstheme="minorHAnsi"/>
                <w:sz w:val="16"/>
              </w:rPr>
              <w:t>Poales</w:t>
            </w:r>
          </w:p>
        </w:tc>
        <w:tc>
          <w:tcPr>
            <w:tcW w:w="1346" w:type="dxa"/>
            <w:shd w:val="clear" w:color="auto" w:fill="auto"/>
            <w:noWrap/>
            <w:hideMark/>
          </w:tcPr>
          <w:p w14:paraId="08F19CAA" w14:textId="77777777" w:rsidR="0044478E" w:rsidRPr="00747E35" w:rsidRDefault="0044478E" w:rsidP="0044478E">
            <w:pPr>
              <w:pStyle w:val="Tabletext"/>
              <w:spacing w:before="0" w:after="0"/>
              <w:rPr>
                <w:rFonts w:cstheme="minorHAnsi"/>
                <w:sz w:val="16"/>
              </w:rPr>
            </w:pPr>
            <w:r w:rsidRPr="00747E35">
              <w:rPr>
                <w:rFonts w:cstheme="minorHAnsi"/>
                <w:sz w:val="16"/>
              </w:rPr>
              <w:t>Poaceae</w:t>
            </w:r>
          </w:p>
        </w:tc>
        <w:tc>
          <w:tcPr>
            <w:tcW w:w="2976" w:type="dxa"/>
            <w:shd w:val="clear" w:color="auto" w:fill="auto"/>
            <w:noWrap/>
            <w:hideMark/>
          </w:tcPr>
          <w:p w14:paraId="3813E8D2" w14:textId="77777777" w:rsidR="0044478E" w:rsidRPr="00747E35" w:rsidRDefault="0044478E" w:rsidP="0044478E">
            <w:pPr>
              <w:pStyle w:val="Tabletext"/>
              <w:spacing w:before="0" w:after="0"/>
              <w:rPr>
                <w:rFonts w:cstheme="minorHAnsi"/>
                <w:sz w:val="16"/>
              </w:rPr>
            </w:pPr>
            <w:r w:rsidRPr="00747E35">
              <w:rPr>
                <w:rFonts w:cstheme="minorHAnsi"/>
                <w:i/>
                <w:sz w:val="16"/>
              </w:rPr>
              <w:t>Panicum</w:t>
            </w:r>
            <w:r w:rsidRPr="00747E35">
              <w:rPr>
                <w:rFonts w:cstheme="minorHAnsi"/>
                <w:sz w:val="16"/>
              </w:rPr>
              <w:t xml:space="preserve"> n.sp.</w:t>
            </w:r>
          </w:p>
        </w:tc>
        <w:tc>
          <w:tcPr>
            <w:tcW w:w="1134" w:type="dxa"/>
            <w:shd w:val="clear" w:color="auto" w:fill="auto"/>
            <w:noWrap/>
            <w:hideMark/>
          </w:tcPr>
          <w:p w14:paraId="6ED78991" w14:textId="77777777" w:rsidR="0044478E" w:rsidRPr="00747E35" w:rsidRDefault="0044478E" w:rsidP="0044478E">
            <w:pPr>
              <w:pStyle w:val="Tabletext"/>
              <w:spacing w:before="0" w:after="0"/>
              <w:rPr>
                <w:rFonts w:cstheme="minorHAnsi"/>
                <w:sz w:val="16"/>
              </w:rPr>
            </w:pPr>
            <w:r w:rsidRPr="00747E35">
              <w:rPr>
                <w:rFonts w:cstheme="minorHAnsi"/>
                <w:sz w:val="16"/>
              </w:rPr>
              <w:t>P_Pansp</w:t>
            </w:r>
          </w:p>
        </w:tc>
        <w:tc>
          <w:tcPr>
            <w:tcW w:w="567" w:type="dxa"/>
          </w:tcPr>
          <w:p w14:paraId="5DC5723D" w14:textId="77777777" w:rsidR="0044478E" w:rsidRPr="00747E35" w:rsidRDefault="0044478E" w:rsidP="0044478E">
            <w:pPr>
              <w:pStyle w:val="Tabletext"/>
              <w:spacing w:before="0" w:after="0"/>
              <w:rPr>
                <w:rFonts w:cstheme="minorHAnsi"/>
                <w:sz w:val="16"/>
              </w:rPr>
            </w:pPr>
            <w:r w:rsidRPr="00747E35">
              <w:rPr>
                <w:rFonts w:cstheme="minorHAnsi"/>
                <w:sz w:val="16"/>
              </w:rPr>
              <w:t>1</w:t>
            </w:r>
          </w:p>
        </w:tc>
        <w:tc>
          <w:tcPr>
            <w:tcW w:w="709" w:type="dxa"/>
          </w:tcPr>
          <w:p w14:paraId="7ABC8405" w14:textId="77777777" w:rsidR="0044478E" w:rsidRPr="00747E35" w:rsidRDefault="0044478E" w:rsidP="0044478E">
            <w:pPr>
              <w:pStyle w:val="Tabletext"/>
              <w:spacing w:before="0" w:after="0"/>
              <w:rPr>
                <w:rFonts w:cstheme="minorHAnsi"/>
                <w:sz w:val="16"/>
              </w:rPr>
            </w:pPr>
            <w:r w:rsidRPr="00747E35">
              <w:rPr>
                <w:rFonts w:cstheme="minorHAnsi"/>
                <w:sz w:val="16"/>
              </w:rPr>
              <w:t>5.3</w:t>
            </w:r>
          </w:p>
        </w:tc>
        <w:tc>
          <w:tcPr>
            <w:tcW w:w="992" w:type="dxa"/>
          </w:tcPr>
          <w:p w14:paraId="2D21A94E" w14:textId="77777777" w:rsidR="0044478E" w:rsidRPr="00747E35" w:rsidRDefault="0044478E" w:rsidP="0044478E">
            <w:pPr>
              <w:pStyle w:val="Tabletext"/>
              <w:spacing w:before="0" w:after="0"/>
              <w:rPr>
                <w:rFonts w:cstheme="minorHAnsi"/>
                <w:sz w:val="16"/>
              </w:rPr>
            </w:pPr>
            <w:r w:rsidRPr="00747E35">
              <w:rPr>
                <w:rFonts w:cstheme="minorHAnsi"/>
                <w:sz w:val="16"/>
              </w:rPr>
              <w:t>100</w:t>
            </w:r>
          </w:p>
        </w:tc>
        <w:tc>
          <w:tcPr>
            <w:tcW w:w="851" w:type="dxa"/>
          </w:tcPr>
          <w:p w14:paraId="7F68E7FA" w14:textId="77777777" w:rsidR="0044478E" w:rsidRPr="00747E35" w:rsidRDefault="0044478E" w:rsidP="0044478E">
            <w:pPr>
              <w:pStyle w:val="Tabletext"/>
              <w:spacing w:before="0" w:after="0"/>
              <w:rPr>
                <w:rFonts w:cstheme="minorHAnsi"/>
                <w:sz w:val="16"/>
              </w:rPr>
            </w:pPr>
            <w:r w:rsidRPr="00747E35">
              <w:rPr>
                <w:rFonts w:cstheme="minorHAnsi"/>
                <w:sz w:val="16"/>
              </w:rPr>
              <w:t>U</w:t>
            </w:r>
          </w:p>
        </w:tc>
        <w:tc>
          <w:tcPr>
            <w:tcW w:w="1542" w:type="dxa"/>
          </w:tcPr>
          <w:p w14:paraId="76986F6F" w14:textId="77777777" w:rsidR="0044478E" w:rsidRPr="00747E35" w:rsidRDefault="0044478E" w:rsidP="0044478E">
            <w:pPr>
              <w:pStyle w:val="Tabletext"/>
              <w:spacing w:before="0" w:after="0"/>
              <w:rPr>
                <w:rFonts w:cstheme="minorHAnsi"/>
                <w:sz w:val="16"/>
              </w:rPr>
            </w:pPr>
            <w:r w:rsidRPr="00747E35">
              <w:rPr>
                <w:rFonts w:cstheme="minorHAnsi"/>
                <w:sz w:val="16"/>
              </w:rPr>
              <w:t>Narrow</w:t>
            </w:r>
          </w:p>
        </w:tc>
      </w:tr>
      <w:tr w:rsidR="0044478E" w:rsidRPr="00747E35" w14:paraId="39AF65E7" w14:textId="77777777" w:rsidTr="0044478E">
        <w:trPr>
          <w:trHeight w:val="20"/>
        </w:trPr>
        <w:tc>
          <w:tcPr>
            <w:tcW w:w="964" w:type="dxa"/>
            <w:tcBorders>
              <w:bottom w:val="single" w:sz="4" w:space="0" w:color="auto"/>
            </w:tcBorders>
            <w:shd w:val="clear" w:color="auto" w:fill="auto"/>
            <w:noWrap/>
            <w:hideMark/>
          </w:tcPr>
          <w:p w14:paraId="4F93BBD4" w14:textId="77777777" w:rsidR="0044478E" w:rsidRPr="00747E35" w:rsidRDefault="0044478E" w:rsidP="0044478E">
            <w:pPr>
              <w:pStyle w:val="Tabletext"/>
              <w:spacing w:before="0" w:after="0"/>
              <w:rPr>
                <w:rFonts w:cstheme="minorHAnsi"/>
                <w:sz w:val="16"/>
              </w:rPr>
            </w:pPr>
            <w:r w:rsidRPr="00747E35">
              <w:rPr>
                <w:rFonts w:cstheme="minorHAnsi"/>
                <w:sz w:val="16"/>
              </w:rPr>
              <w:t>Plantae</w:t>
            </w:r>
          </w:p>
        </w:tc>
        <w:tc>
          <w:tcPr>
            <w:tcW w:w="1191" w:type="dxa"/>
            <w:tcBorders>
              <w:bottom w:val="single" w:sz="4" w:space="0" w:color="auto"/>
            </w:tcBorders>
            <w:shd w:val="clear" w:color="auto" w:fill="auto"/>
            <w:noWrap/>
            <w:hideMark/>
          </w:tcPr>
          <w:p w14:paraId="71999DA9" w14:textId="77777777" w:rsidR="0044478E" w:rsidRPr="00747E35" w:rsidRDefault="0044478E" w:rsidP="0044478E">
            <w:pPr>
              <w:pStyle w:val="Tabletext"/>
              <w:spacing w:before="0" w:after="0"/>
              <w:rPr>
                <w:rFonts w:cstheme="minorHAnsi"/>
                <w:sz w:val="16"/>
              </w:rPr>
            </w:pPr>
            <w:r w:rsidRPr="00747E35">
              <w:rPr>
                <w:rFonts w:cstheme="minorHAnsi"/>
                <w:sz w:val="16"/>
              </w:rPr>
              <w:t>Angiosperms</w:t>
            </w:r>
          </w:p>
        </w:tc>
        <w:tc>
          <w:tcPr>
            <w:tcW w:w="1295" w:type="dxa"/>
            <w:tcBorders>
              <w:bottom w:val="single" w:sz="4" w:space="0" w:color="auto"/>
            </w:tcBorders>
            <w:shd w:val="clear" w:color="auto" w:fill="auto"/>
            <w:noWrap/>
            <w:hideMark/>
          </w:tcPr>
          <w:p w14:paraId="2D4260F2" w14:textId="77777777" w:rsidR="0044478E" w:rsidRPr="00747E35" w:rsidRDefault="0044478E" w:rsidP="0044478E">
            <w:pPr>
              <w:pStyle w:val="Tabletext"/>
              <w:spacing w:before="0" w:after="0"/>
              <w:rPr>
                <w:rFonts w:cstheme="minorHAnsi"/>
                <w:sz w:val="16"/>
              </w:rPr>
            </w:pPr>
            <w:r w:rsidRPr="00747E35">
              <w:rPr>
                <w:rFonts w:cstheme="minorHAnsi"/>
                <w:sz w:val="16"/>
              </w:rPr>
              <w:t>~Monocots</w:t>
            </w:r>
          </w:p>
        </w:tc>
        <w:tc>
          <w:tcPr>
            <w:tcW w:w="1295" w:type="dxa"/>
            <w:tcBorders>
              <w:bottom w:val="single" w:sz="4" w:space="0" w:color="auto"/>
            </w:tcBorders>
            <w:shd w:val="clear" w:color="auto" w:fill="auto"/>
            <w:noWrap/>
            <w:hideMark/>
          </w:tcPr>
          <w:p w14:paraId="668DE3D3" w14:textId="77777777" w:rsidR="0044478E" w:rsidRPr="00747E35" w:rsidRDefault="0044478E" w:rsidP="0044478E">
            <w:pPr>
              <w:pStyle w:val="Tabletext"/>
              <w:spacing w:before="0" w:after="0"/>
              <w:rPr>
                <w:rFonts w:cstheme="minorHAnsi"/>
                <w:sz w:val="16"/>
              </w:rPr>
            </w:pPr>
            <w:r w:rsidRPr="00747E35">
              <w:rPr>
                <w:rFonts w:cstheme="minorHAnsi"/>
                <w:sz w:val="16"/>
              </w:rPr>
              <w:t>Poales</w:t>
            </w:r>
          </w:p>
        </w:tc>
        <w:tc>
          <w:tcPr>
            <w:tcW w:w="1346" w:type="dxa"/>
            <w:tcBorders>
              <w:bottom w:val="single" w:sz="4" w:space="0" w:color="auto"/>
            </w:tcBorders>
            <w:shd w:val="clear" w:color="auto" w:fill="auto"/>
            <w:noWrap/>
            <w:hideMark/>
          </w:tcPr>
          <w:p w14:paraId="6C6A1388" w14:textId="77777777" w:rsidR="0044478E" w:rsidRPr="00747E35" w:rsidRDefault="0044478E" w:rsidP="0044478E">
            <w:pPr>
              <w:pStyle w:val="Tabletext"/>
              <w:spacing w:before="0" w:after="0"/>
              <w:rPr>
                <w:rFonts w:cstheme="minorHAnsi"/>
                <w:sz w:val="16"/>
              </w:rPr>
            </w:pPr>
            <w:r w:rsidRPr="00747E35">
              <w:rPr>
                <w:rFonts w:cstheme="minorHAnsi"/>
                <w:sz w:val="16"/>
              </w:rPr>
              <w:t>Poaceae</w:t>
            </w:r>
          </w:p>
        </w:tc>
        <w:tc>
          <w:tcPr>
            <w:tcW w:w="2976" w:type="dxa"/>
            <w:tcBorders>
              <w:bottom w:val="single" w:sz="4" w:space="0" w:color="auto"/>
            </w:tcBorders>
            <w:shd w:val="clear" w:color="auto" w:fill="auto"/>
            <w:noWrap/>
            <w:hideMark/>
          </w:tcPr>
          <w:p w14:paraId="3C7C283D" w14:textId="77777777" w:rsidR="0044478E" w:rsidRPr="00747E35" w:rsidRDefault="0044478E" w:rsidP="0044478E">
            <w:pPr>
              <w:pStyle w:val="Tabletext"/>
              <w:spacing w:before="0" w:after="0"/>
              <w:rPr>
                <w:rFonts w:cstheme="minorHAnsi"/>
                <w:i/>
                <w:sz w:val="16"/>
              </w:rPr>
            </w:pPr>
            <w:r w:rsidRPr="00747E35">
              <w:rPr>
                <w:rFonts w:cstheme="minorHAnsi"/>
                <w:i/>
                <w:sz w:val="16"/>
              </w:rPr>
              <w:t>Sporobolus pamelae</w:t>
            </w:r>
          </w:p>
        </w:tc>
        <w:tc>
          <w:tcPr>
            <w:tcW w:w="1134" w:type="dxa"/>
            <w:tcBorders>
              <w:bottom w:val="single" w:sz="4" w:space="0" w:color="auto"/>
            </w:tcBorders>
            <w:shd w:val="clear" w:color="auto" w:fill="auto"/>
            <w:noWrap/>
            <w:hideMark/>
          </w:tcPr>
          <w:p w14:paraId="0220924B" w14:textId="77777777" w:rsidR="0044478E" w:rsidRPr="00747E35" w:rsidRDefault="0044478E" w:rsidP="0044478E">
            <w:pPr>
              <w:pStyle w:val="Tabletext"/>
              <w:spacing w:before="0" w:after="0"/>
              <w:rPr>
                <w:rFonts w:cstheme="minorHAnsi"/>
                <w:sz w:val="16"/>
              </w:rPr>
            </w:pPr>
            <w:r w:rsidRPr="00747E35">
              <w:rPr>
                <w:rFonts w:cstheme="minorHAnsi"/>
                <w:sz w:val="16"/>
              </w:rPr>
              <w:t>P_Sppame</w:t>
            </w:r>
          </w:p>
        </w:tc>
        <w:tc>
          <w:tcPr>
            <w:tcW w:w="567" w:type="dxa"/>
            <w:tcBorders>
              <w:bottom w:val="single" w:sz="4" w:space="0" w:color="auto"/>
            </w:tcBorders>
          </w:tcPr>
          <w:p w14:paraId="3698EA77" w14:textId="77777777" w:rsidR="0044478E" w:rsidRPr="00747E35" w:rsidRDefault="0044478E" w:rsidP="0044478E">
            <w:pPr>
              <w:pStyle w:val="Tabletext"/>
              <w:spacing w:before="0" w:after="0"/>
              <w:rPr>
                <w:rFonts w:cstheme="minorHAnsi"/>
                <w:sz w:val="16"/>
              </w:rPr>
            </w:pPr>
            <w:r w:rsidRPr="00747E35">
              <w:rPr>
                <w:rFonts w:cstheme="minorHAnsi"/>
                <w:sz w:val="16"/>
              </w:rPr>
              <w:t>8</w:t>
            </w:r>
          </w:p>
        </w:tc>
        <w:tc>
          <w:tcPr>
            <w:tcW w:w="709" w:type="dxa"/>
            <w:tcBorders>
              <w:bottom w:val="single" w:sz="4" w:space="0" w:color="auto"/>
            </w:tcBorders>
          </w:tcPr>
          <w:p w14:paraId="236798F2" w14:textId="77777777" w:rsidR="0044478E" w:rsidRPr="00747E35" w:rsidRDefault="0044478E" w:rsidP="0044478E">
            <w:pPr>
              <w:pStyle w:val="Tabletext"/>
              <w:spacing w:before="0" w:after="0"/>
              <w:rPr>
                <w:rFonts w:cstheme="minorHAnsi"/>
                <w:sz w:val="16"/>
              </w:rPr>
            </w:pPr>
            <w:r w:rsidRPr="00747E35">
              <w:rPr>
                <w:rFonts w:cstheme="minorHAnsi"/>
                <w:sz w:val="16"/>
              </w:rPr>
              <w:t>83.3</w:t>
            </w:r>
          </w:p>
        </w:tc>
        <w:tc>
          <w:tcPr>
            <w:tcW w:w="992" w:type="dxa"/>
            <w:tcBorders>
              <w:bottom w:val="single" w:sz="4" w:space="0" w:color="auto"/>
            </w:tcBorders>
          </w:tcPr>
          <w:p w14:paraId="586351DB" w14:textId="77777777" w:rsidR="0044478E" w:rsidRPr="00747E35" w:rsidRDefault="0044478E" w:rsidP="0044478E">
            <w:pPr>
              <w:pStyle w:val="Tabletext"/>
              <w:spacing w:before="0" w:after="0"/>
              <w:rPr>
                <w:rFonts w:cstheme="minorHAnsi"/>
                <w:sz w:val="16"/>
              </w:rPr>
            </w:pPr>
            <w:r w:rsidRPr="00747E35">
              <w:rPr>
                <w:rFonts w:cstheme="minorHAnsi"/>
                <w:sz w:val="16"/>
              </w:rPr>
              <w:t>38</w:t>
            </w:r>
          </w:p>
        </w:tc>
        <w:tc>
          <w:tcPr>
            <w:tcW w:w="851" w:type="dxa"/>
            <w:tcBorders>
              <w:bottom w:val="single" w:sz="4" w:space="0" w:color="auto"/>
            </w:tcBorders>
          </w:tcPr>
          <w:p w14:paraId="75482582" w14:textId="77777777" w:rsidR="0044478E" w:rsidRPr="00747E35" w:rsidRDefault="0044478E" w:rsidP="0044478E">
            <w:pPr>
              <w:pStyle w:val="Tabletext"/>
              <w:spacing w:before="0" w:after="0"/>
              <w:rPr>
                <w:rFonts w:cstheme="minorHAnsi"/>
                <w:sz w:val="16"/>
              </w:rPr>
            </w:pPr>
            <w:r w:rsidRPr="00747E35">
              <w:rPr>
                <w:rFonts w:cstheme="minorHAnsi"/>
                <w:sz w:val="16"/>
              </w:rPr>
              <w:t>D</w:t>
            </w:r>
          </w:p>
        </w:tc>
        <w:tc>
          <w:tcPr>
            <w:tcW w:w="1542" w:type="dxa"/>
            <w:tcBorders>
              <w:bottom w:val="single" w:sz="4" w:space="0" w:color="auto"/>
            </w:tcBorders>
          </w:tcPr>
          <w:p w14:paraId="6BD3DC18" w14:textId="77777777" w:rsidR="0044478E" w:rsidRPr="00747E35" w:rsidRDefault="0044478E" w:rsidP="0044478E">
            <w:pPr>
              <w:pStyle w:val="Tabletext"/>
              <w:spacing w:before="0" w:after="0"/>
              <w:rPr>
                <w:rFonts w:cstheme="minorHAnsi"/>
                <w:sz w:val="16"/>
              </w:rPr>
            </w:pPr>
            <w:r w:rsidRPr="00747E35">
              <w:rPr>
                <w:rFonts w:cstheme="minorHAnsi"/>
                <w:sz w:val="16"/>
              </w:rPr>
              <w:t>Broad</w:t>
            </w:r>
          </w:p>
        </w:tc>
      </w:tr>
    </w:tbl>
    <w:p w14:paraId="18E51906" w14:textId="77777777" w:rsidR="0044478E" w:rsidRPr="00747E35" w:rsidRDefault="0044478E" w:rsidP="0044478E">
      <w:pPr>
        <w:rPr>
          <w:rFonts w:asciiTheme="minorHAnsi" w:hAnsiTheme="minorHAnsi" w:cstheme="minorHAnsi"/>
        </w:rPr>
      </w:pPr>
    </w:p>
    <w:p w14:paraId="27FDC74F" w14:textId="77777777" w:rsidR="0044478E" w:rsidRPr="00747E35" w:rsidRDefault="0044478E" w:rsidP="0044478E">
      <w:pPr>
        <w:rPr>
          <w:rFonts w:asciiTheme="minorHAnsi" w:hAnsiTheme="minorHAnsi" w:cstheme="minorHAnsi"/>
        </w:rPr>
      </w:pPr>
    </w:p>
    <w:p w14:paraId="4DD3EA28" w14:textId="77777777" w:rsidR="0044478E" w:rsidRPr="00747E35" w:rsidRDefault="0044478E" w:rsidP="0044478E">
      <w:pPr>
        <w:rPr>
          <w:rFonts w:asciiTheme="minorHAnsi" w:hAnsiTheme="minorHAnsi" w:cstheme="minorHAnsi"/>
        </w:rPr>
      </w:pPr>
    </w:p>
    <w:p w14:paraId="55CACCCF" w14:textId="77777777" w:rsidR="0044478E" w:rsidRPr="00747E35" w:rsidRDefault="0044478E" w:rsidP="0044478E">
      <w:pPr>
        <w:rPr>
          <w:rFonts w:asciiTheme="minorHAnsi" w:hAnsiTheme="minorHAnsi" w:cstheme="minorHAnsi"/>
        </w:rPr>
        <w:sectPr w:rsidR="0044478E" w:rsidRPr="00747E35" w:rsidSect="0044478E">
          <w:pgSz w:w="16838" w:h="11906" w:orient="landscape"/>
          <w:pgMar w:top="1134" w:right="1134" w:bottom="1134" w:left="1134" w:header="709" w:footer="709" w:gutter="0"/>
          <w:cols w:space="708"/>
          <w:docGrid w:linePitch="360"/>
        </w:sectPr>
      </w:pPr>
    </w:p>
    <w:p w14:paraId="601FF797"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lastRenderedPageBreak/>
        <w:t>Biodiversity of spring complexes - types of endemism, spatial patterns and relationships with environmental characteristics</w:t>
      </w:r>
    </w:p>
    <w:p w14:paraId="456A4641"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There was a diverse range of distribution patterns across taxa that were distilled into four main types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_Ref453232405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137</w:t>
      </w:r>
      <w:r w:rsidRPr="00747E35">
        <w:rPr>
          <w:rFonts w:asciiTheme="minorHAnsi" w:hAnsiTheme="minorHAnsi" w:cstheme="minorHAnsi"/>
        </w:rPr>
        <w:fldChar w:fldCharType="end"/>
      </w:r>
      <w:r w:rsidRPr="00747E35">
        <w:rPr>
          <w:rFonts w:asciiTheme="minorHAnsi" w:hAnsiTheme="minorHAnsi" w:cstheme="minorHAnsi"/>
        </w:rPr>
        <w:t xml:space="preserve">a,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_Ref453232381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35</w:t>
      </w:r>
      <w:r w:rsidRPr="00747E35">
        <w:rPr>
          <w:rFonts w:asciiTheme="minorHAnsi" w:hAnsiTheme="minorHAnsi" w:cstheme="minorHAnsi"/>
        </w:rPr>
        <w:fldChar w:fldCharType="end"/>
      </w:r>
      <w:r w:rsidRPr="00747E35">
        <w:rPr>
          <w:rFonts w:asciiTheme="minorHAnsi" w:hAnsiTheme="minorHAnsi" w:cstheme="minorHAnsi"/>
        </w:rPr>
        <w:t>).  The most frequent was ‘narrow’ endemism (44% of taxa), whereby a taxon is found in only one complex having on average a full extent of occurrence of ~61 ± 11km</w:t>
      </w:r>
      <w:r w:rsidRPr="00747E35">
        <w:rPr>
          <w:rFonts w:asciiTheme="minorHAnsi" w:hAnsiTheme="minorHAnsi" w:cstheme="minorHAnsi"/>
          <w:vertAlign w:val="superscript"/>
        </w:rPr>
        <w:t>2</w:t>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_Ref453232405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137</w:t>
      </w:r>
      <w:r w:rsidRPr="00747E35">
        <w:rPr>
          <w:rFonts w:asciiTheme="minorHAnsi" w:hAnsiTheme="minorHAnsi" w:cstheme="minorHAnsi"/>
        </w:rPr>
        <w:fldChar w:fldCharType="end"/>
      </w:r>
      <w:r w:rsidRPr="00747E35">
        <w:rPr>
          <w:rFonts w:asciiTheme="minorHAnsi" w:hAnsiTheme="minorHAnsi" w:cstheme="minorHAnsi"/>
        </w:rPr>
        <w:t>a).  This is followed by ‘narrow supergroup’ and ‘broad supergroup’ endemism whereby a taxon occupies few (≤5) or many complexes (&gt;5), respectively, but is restricted to a single supergroup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_Ref453232405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137</w:t>
      </w:r>
      <w:r w:rsidRPr="00747E35">
        <w:rPr>
          <w:rFonts w:asciiTheme="minorHAnsi" w:hAnsiTheme="minorHAnsi" w:cstheme="minorHAnsi"/>
        </w:rPr>
        <w:fldChar w:fldCharType="end"/>
      </w:r>
      <w:r w:rsidRPr="00747E35">
        <w:rPr>
          <w:rFonts w:asciiTheme="minorHAnsi" w:hAnsiTheme="minorHAnsi" w:cstheme="minorHAnsi"/>
        </w:rPr>
        <w:t xml:space="preserve">b and c, respectively).  Finally, ‘broad’ endemism refers to widespread taxa occurring across many complexes and supergroups (including 6 plant taxa,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_Ref453232405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137</w:t>
      </w:r>
      <w:r w:rsidRPr="00747E35">
        <w:rPr>
          <w:rFonts w:asciiTheme="minorHAnsi" w:hAnsiTheme="minorHAnsi" w:cstheme="minorHAnsi"/>
        </w:rPr>
        <w:fldChar w:fldCharType="end"/>
      </w:r>
      <w:r w:rsidRPr="00747E35">
        <w:rPr>
          <w:rFonts w:asciiTheme="minorHAnsi" w:hAnsiTheme="minorHAnsi" w:cstheme="minorHAnsi"/>
        </w:rPr>
        <w:t xml:space="preserve">d).  The only exception to these groups is one undescribed </w:t>
      </w:r>
      <w:r w:rsidRPr="00747E35">
        <w:rPr>
          <w:rFonts w:asciiTheme="minorHAnsi" w:hAnsiTheme="minorHAnsi" w:cstheme="minorHAnsi"/>
          <w:i/>
        </w:rPr>
        <w:t xml:space="preserve">Isotoma </w:t>
      </w:r>
      <w:r w:rsidRPr="00747E35">
        <w:rPr>
          <w:rFonts w:asciiTheme="minorHAnsi" w:hAnsiTheme="minorHAnsi" w:cstheme="minorHAnsi"/>
        </w:rPr>
        <w:t xml:space="preserve">(sp. Edgbaston), which is spread across two supergroups but occupies only three complexes. </w:t>
      </w:r>
    </w:p>
    <w:p w14:paraId="191602C2"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Molluscs make up 52% of the listed taxa and the majority of these are narrow-range endemics (57%)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_Ref453232405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137</w:t>
      </w:r>
      <w:r w:rsidRPr="00747E35">
        <w:rPr>
          <w:rFonts w:asciiTheme="minorHAnsi" w:hAnsiTheme="minorHAnsi" w:cstheme="minorHAnsi"/>
        </w:rPr>
        <w:fldChar w:fldCharType="end"/>
      </w:r>
      <w:r w:rsidRPr="00747E35">
        <w:rPr>
          <w:rFonts w:asciiTheme="minorHAnsi" w:hAnsiTheme="minorHAnsi" w:cstheme="minorHAnsi"/>
        </w:rPr>
        <w:t>e).  The arthropods considered here collectively account for the next largest contribution to the overall count (23%) with amphipods and Isopods accounting for 11 and 12% respectively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_Ref453232405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137</w:t>
      </w:r>
      <w:r w:rsidRPr="00747E35">
        <w:rPr>
          <w:rFonts w:asciiTheme="minorHAnsi" w:hAnsiTheme="minorHAnsi" w:cstheme="minorHAnsi"/>
        </w:rPr>
        <w:fldChar w:fldCharType="end"/>
      </w:r>
      <w:r w:rsidRPr="00747E35">
        <w:rPr>
          <w:rFonts w:asciiTheme="minorHAnsi" w:hAnsiTheme="minorHAnsi" w:cstheme="minorHAnsi"/>
        </w:rPr>
        <w:t>e).  A third of amphipods and isopods have narrow range status, with the majority being narrow range supergroup endemics.  The fishes contribute 8% of the taxa on the final list, with 7 of the 8 taxa having narrow ranges and one broadly distributed supergroup endemics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_Ref453232405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137</w:t>
      </w:r>
      <w:r w:rsidRPr="00747E35">
        <w:rPr>
          <w:rFonts w:asciiTheme="minorHAnsi" w:hAnsiTheme="minorHAnsi" w:cstheme="minorHAnsi"/>
        </w:rPr>
        <w:fldChar w:fldCharType="end"/>
      </w:r>
      <w:r w:rsidRPr="00747E35">
        <w:rPr>
          <w:rFonts w:asciiTheme="minorHAnsi" w:hAnsiTheme="minorHAnsi" w:cstheme="minorHAnsi"/>
        </w:rPr>
        <w:t>e).  Vascular plants make up 16% of the final list, but differ from the fauna in being composed of approximately equal parts of all types of endemism including broad range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_Ref453232405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137</w:t>
      </w:r>
      <w:r w:rsidRPr="00747E35">
        <w:rPr>
          <w:rFonts w:asciiTheme="minorHAnsi" w:hAnsiTheme="minorHAnsi" w:cstheme="minorHAnsi"/>
        </w:rPr>
        <w:fldChar w:fldCharType="end"/>
      </w:r>
      <w:r w:rsidRPr="00747E35">
        <w:rPr>
          <w:rFonts w:asciiTheme="minorHAnsi" w:hAnsiTheme="minorHAnsi" w:cstheme="minorHAnsi"/>
        </w:rPr>
        <w:t>e).</w:t>
      </w:r>
    </w:p>
    <w:p w14:paraId="7C748977"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 xml:space="preserve">Seventy-six of 326 complexes contained one or more endemic taxa. There was considerable spatial variation in taxon richness, diversity, endemism and beta diversity of spring complexes, but spatial patterns in biodiversity attributes were generally consistent and most attributes were highly correlated with one another (Pearson’s r &gt; 0.5, </w:t>
      </w:r>
      <w:r w:rsidRPr="00747E35">
        <w:rPr>
          <w:rFonts w:asciiTheme="minorHAnsi" w:hAnsiTheme="minorHAnsi" w:cstheme="minorHAnsi"/>
        </w:rPr>
        <w:fldChar w:fldCharType="begin"/>
      </w:r>
      <w:r w:rsidRPr="00747E35">
        <w:rPr>
          <w:rFonts w:asciiTheme="minorHAnsi" w:hAnsiTheme="minorHAnsi" w:cstheme="minorHAnsi"/>
        </w:rPr>
        <w:instrText xml:space="preserve"> REF _Ref453259474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Table 36</w:t>
      </w:r>
      <w:r w:rsidRPr="00747E35">
        <w:rPr>
          <w:rFonts w:asciiTheme="minorHAnsi" w:hAnsiTheme="minorHAnsi" w:cstheme="minorHAnsi"/>
        </w:rPr>
        <w:fldChar w:fldCharType="end"/>
      </w:r>
      <w:r w:rsidRPr="00747E35">
        <w:rPr>
          <w:rFonts w:asciiTheme="minorHAnsi" w:hAnsiTheme="minorHAnsi" w:cstheme="minorHAnsi"/>
        </w:rPr>
        <w:t>).  Complexes within the Barcaldine, Dalhousie, Lake Eyre and Eulo supergroups had the highest taxonomic richness and diversity (</w:t>
      </w:r>
      <w:r w:rsidRPr="00747E35">
        <w:rPr>
          <w:rFonts w:asciiTheme="minorHAnsi" w:hAnsiTheme="minorHAnsi" w:cstheme="minorHAnsi"/>
        </w:rPr>
        <w:fldChar w:fldCharType="begin"/>
      </w:r>
      <w:r w:rsidRPr="00747E35">
        <w:rPr>
          <w:rFonts w:asciiTheme="minorHAnsi" w:hAnsiTheme="minorHAnsi" w:cstheme="minorHAnsi"/>
        </w:rPr>
        <w:instrText xml:space="preserve"> REF _Ref453340534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138</w:t>
      </w:r>
      <w:r w:rsidRPr="00747E35">
        <w:rPr>
          <w:rFonts w:asciiTheme="minorHAnsi" w:hAnsiTheme="minorHAnsi" w:cstheme="minorHAnsi"/>
        </w:rPr>
        <w:fldChar w:fldCharType="end"/>
      </w:r>
      <w:r w:rsidRPr="00747E35">
        <w:rPr>
          <w:rFonts w:asciiTheme="minorHAnsi" w:hAnsiTheme="minorHAnsi" w:cstheme="minorHAnsi"/>
        </w:rPr>
        <w:t>).  Assemblage beta diversity was also relatively high in these supergroups, as well as in the Springvale supergroup.  The Lake Eyre supergroup is distinct because complexes there are taxon-rich but have low phylogenetic richness and endemism (</w:t>
      </w:r>
      <w:r w:rsidRPr="00747E35">
        <w:rPr>
          <w:rFonts w:asciiTheme="minorHAnsi" w:hAnsiTheme="minorHAnsi" w:cstheme="minorHAnsi"/>
        </w:rPr>
        <w:fldChar w:fldCharType="begin"/>
      </w:r>
      <w:r w:rsidRPr="00747E35">
        <w:rPr>
          <w:rFonts w:asciiTheme="minorHAnsi" w:hAnsiTheme="minorHAnsi" w:cstheme="minorHAnsi"/>
        </w:rPr>
        <w:instrText xml:space="preserve"> REF _Ref453340534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138</w:t>
      </w:r>
      <w:r w:rsidRPr="00747E35">
        <w:rPr>
          <w:rFonts w:asciiTheme="minorHAnsi" w:hAnsiTheme="minorHAnsi" w:cstheme="minorHAnsi"/>
        </w:rPr>
        <w:fldChar w:fldCharType="end"/>
      </w:r>
      <w:r w:rsidRPr="00747E35">
        <w:rPr>
          <w:rFonts w:asciiTheme="minorHAnsi" w:hAnsiTheme="minorHAnsi" w:cstheme="minorHAnsi"/>
        </w:rPr>
        <w:t>).  The Lake Eyre supergroup contrasts to complexes with high taxonomic richness, phylogenetic richness and endemism in the east (Barcaldine and Eulo supergroups) and Dalhousie (</w:t>
      </w:r>
      <w:r w:rsidRPr="00747E35">
        <w:rPr>
          <w:rFonts w:asciiTheme="minorHAnsi" w:hAnsiTheme="minorHAnsi" w:cstheme="minorHAnsi"/>
        </w:rPr>
        <w:fldChar w:fldCharType="begin"/>
      </w:r>
      <w:r w:rsidRPr="00747E35">
        <w:rPr>
          <w:rFonts w:asciiTheme="minorHAnsi" w:hAnsiTheme="minorHAnsi" w:cstheme="minorHAnsi"/>
        </w:rPr>
        <w:instrText xml:space="preserve"> REF _Ref453340534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138</w:t>
      </w:r>
      <w:r w:rsidRPr="00747E35">
        <w:rPr>
          <w:rFonts w:asciiTheme="minorHAnsi" w:hAnsiTheme="minorHAnsi" w:cstheme="minorHAnsi"/>
        </w:rPr>
        <w:fldChar w:fldCharType="end"/>
      </w:r>
      <w:r w:rsidRPr="00747E35">
        <w:rPr>
          <w:rFonts w:asciiTheme="minorHAnsi" w:hAnsiTheme="minorHAnsi" w:cstheme="minorHAnsi"/>
        </w:rPr>
        <w:t>).  The highest taxonomic richness, taxonomic endemism, and overall phylogenetic diversity and endemism were recorded at the Pelican Creek complex (containing Edgbaston and Myross springs) in the Barcaldine supergroup (26 taxa) (</w:t>
      </w:r>
      <w:r w:rsidRPr="00747E35">
        <w:rPr>
          <w:rFonts w:asciiTheme="minorHAnsi" w:hAnsiTheme="minorHAnsi" w:cstheme="minorHAnsi"/>
        </w:rPr>
        <w:fldChar w:fldCharType="begin"/>
      </w:r>
      <w:r w:rsidRPr="00747E35">
        <w:rPr>
          <w:rFonts w:asciiTheme="minorHAnsi" w:hAnsiTheme="minorHAnsi" w:cstheme="minorHAnsi"/>
        </w:rPr>
        <w:instrText xml:space="preserve"> REF _Ref453340534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138</w:t>
      </w:r>
      <w:r w:rsidRPr="00747E35">
        <w:rPr>
          <w:rFonts w:asciiTheme="minorHAnsi" w:hAnsiTheme="minorHAnsi" w:cstheme="minorHAnsi"/>
        </w:rPr>
        <w:fldChar w:fldCharType="end"/>
      </w:r>
      <w:r w:rsidRPr="00747E35">
        <w:rPr>
          <w:rFonts w:asciiTheme="minorHAnsi" w:hAnsiTheme="minorHAnsi" w:cstheme="minorHAnsi"/>
        </w:rPr>
        <w:t xml:space="preserve">).  This complex contains almost exclusively narrow range endemic species from most taxonomic classes considered here.  The relative conservation rank of spring complexes (Fensham and Price 2004) was strongly correlated with all other biodiversity attributes (Pearson’s r &gt; 0.62, </w:t>
      </w:r>
      <w:r w:rsidRPr="00747E35">
        <w:rPr>
          <w:rFonts w:asciiTheme="minorHAnsi" w:hAnsiTheme="minorHAnsi" w:cstheme="minorHAnsi"/>
        </w:rPr>
        <w:fldChar w:fldCharType="begin"/>
      </w:r>
      <w:r w:rsidRPr="00747E35">
        <w:rPr>
          <w:rFonts w:asciiTheme="minorHAnsi" w:hAnsiTheme="minorHAnsi" w:cstheme="minorHAnsi"/>
        </w:rPr>
        <w:instrText xml:space="preserve"> REF _Ref453259474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Table 36</w:t>
      </w:r>
      <w:r w:rsidRPr="00747E35">
        <w:rPr>
          <w:rFonts w:asciiTheme="minorHAnsi" w:hAnsiTheme="minorHAnsi" w:cstheme="minorHAnsi"/>
        </w:rPr>
        <w:fldChar w:fldCharType="end"/>
      </w:r>
      <w:r w:rsidRPr="00747E35">
        <w:rPr>
          <w:rFonts w:asciiTheme="minorHAnsi" w:hAnsiTheme="minorHAnsi" w:cstheme="minorHAnsi"/>
        </w:rPr>
        <w:t xml:space="preserve">).  </w:t>
      </w:r>
    </w:p>
    <w:p w14:paraId="1DCA94E4" w14:textId="77777777" w:rsidR="0044478E" w:rsidRPr="00747E35" w:rsidRDefault="0044478E" w:rsidP="0044478E">
      <w:pPr>
        <w:rPr>
          <w:rFonts w:asciiTheme="minorHAnsi" w:hAnsiTheme="minorHAnsi" w:cstheme="minorHAnsi"/>
          <w:noProof/>
          <w:lang w:eastAsia="en-AU"/>
        </w:rPr>
      </w:pPr>
    </w:p>
    <w:p w14:paraId="7FBEAFA3" w14:textId="77777777" w:rsidR="0044478E" w:rsidRPr="00747E35" w:rsidRDefault="0044478E" w:rsidP="0044478E">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4A2F632A" wp14:editId="169A1DD6">
            <wp:extent cx="5969719" cy="6242428"/>
            <wp:effectExtent l="0" t="0" r="0" b="6350"/>
            <wp:docPr id="35" name="Picture 35" descr="Maps and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cstate="screen">
                      <a:extLst>
                        <a:ext uri="{28A0092B-C50C-407E-A947-70E740481C1C}">
                          <a14:useLocalDpi xmlns:a14="http://schemas.microsoft.com/office/drawing/2010/main"/>
                        </a:ext>
                      </a:extLst>
                    </a:blip>
                    <a:stretch>
                      <a:fillRect/>
                    </a:stretch>
                  </pic:blipFill>
                  <pic:spPr bwMode="auto">
                    <a:xfrm>
                      <a:off x="0" y="0"/>
                      <a:ext cx="5973285" cy="6246157"/>
                    </a:xfrm>
                    <a:prstGeom prst="rect">
                      <a:avLst/>
                    </a:prstGeom>
                    <a:noFill/>
                  </pic:spPr>
                </pic:pic>
              </a:graphicData>
            </a:graphic>
          </wp:inline>
        </w:drawing>
      </w:r>
    </w:p>
    <w:p w14:paraId="516504FD" w14:textId="77777777" w:rsidR="0044478E" w:rsidRPr="00747E35" w:rsidRDefault="0044478E" w:rsidP="00566456">
      <w:pPr>
        <w:pStyle w:val="Caption"/>
        <w:numPr>
          <w:ilvl w:val="0"/>
          <w:numId w:val="0"/>
        </w:numPr>
        <w:rPr>
          <w:rFonts w:cstheme="minorHAnsi"/>
          <w:highlight w:val="green"/>
        </w:rPr>
      </w:pPr>
      <w:bookmarkStart w:id="399" w:name="_Ref453232405"/>
      <w:bookmarkStart w:id="400" w:name="_Ref45323242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137</w:t>
      </w:r>
      <w:r w:rsidR="009D6600" w:rsidRPr="00747E35">
        <w:rPr>
          <w:rFonts w:cstheme="minorHAnsi"/>
          <w:noProof/>
        </w:rPr>
        <w:fldChar w:fldCharType="end"/>
      </w:r>
      <w:bookmarkEnd w:id="399"/>
      <w:r w:rsidRPr="00747E35">
        <w:rPr>
          <w:rFonts w:cstheme="minorHAnsi"/>
        </w:rPr>
        <w:t xml:space="preserve">: Examples of each of the four identified types of endemism as distribution maps of four representative taxa from each type: a) narrow, the fish </w:t>
      </w:r>
      <w:r w:rsidRPr="00747E35">
        <w:rPr>
          <w:rFonts w:cstheme="minorHAnsi"/>
          <w:i w:val="0"/>
        </w:rPr>
        <w:t>Scaturiginichthys vermeillipinnis</w:t>
      </w:r>
      <w:r w:rsidRPr="00747E35">
        <w:rPr>
          <w:rFonts w:cstheme="minorHAnsi"/>
        </w:rPr>
        <w:t xml:space="preserve">, b) narrow supergroup, the isopod </w:t>
      </w:r>
      <w:r w:rsidRPr="00747E35">
        <w:rPr>
          <w:rFonts w:cstheme="minorHAnsi"/>
          <w:i w:val="0"/>
        </w:rPr>
        <w:t>Ponderiella bundoona</w:t>
      </w:r>
      <w:r w:rsidRPr="00747E35">
        <w:rPr>
          <w:rFonts w:cstheme="minorHAnsi"/>
        </w:rPr>
        <w:t xml:space="preserve">, c) broad supergroup, the mollusc </w:t>
      </w:r>
      <w:r w:rsidRPr="00747E35">
        <w:rPr>
          <w:rFonts w:cstheme="minorHAnsi"/>
          <w:i w:val="0"/>
        </w:rPr>
        <w:t>Trochidrobia minuta</w:t>
      </w:r>
      <w:r w:rsidRPr="00747E35">
        <w:rPr>
          <w:rFonts w:cstheme="minorHAnsi"/>
        </w:rPr>
        <w:t xml:space="preserve"> and d) broad, the plant </w:t>
      </w:r>
      <w:r w:rsidRPr="00747E35">
        <w:rPr>
          <w:rFonts w:cstheme="minorHAnsi"/>
          <w:i w:val="0"/>
        </w:rPr>
        <w:t>Myriophyllum artesium</w:t>
      </w:r>
      <w:r w:rsidRPr="00747E35">
        <w:rPr>
          <w:rFonts w:cstheme="minorHAnsi"/>
        </w:rPr>
        <w:t xml:space="preserve"> (the most broadly distributed taxon from this analysis).  The Great Artesian Basin is indicated with grey shading, dashed lines indicate supergroup boundaries (for supergroup names see </w:t>
      </w:r>
      <w:r w:rsidRPr="00747E35">
        <w:rPr>
          <w:rFonts w:cstheme="minorHAnsi"/>
        </w:rPr>
        <w:fldChar w:fldCharType="begin"/>
      </w:r>
      <w:r w:rsidRPr="00747E35">
        <w:rPr>
          <w:rFonts w:cstheme="minorHAnsi"/>
        </w:rPr>
        <w:instrText xml:space="preserve"> REF _Ref453232254 \h  \* MERGEFORMAT </w:instrText>
      </w:r>
      <w:r w:rsidRPr="00747E35">
        <w:rPr>
          <w:rFonts w:cstheme="minorHAnsi"/>
        </w:rPr>
      </w:r>
      <w:r w:rsidRPr="00747E35">
        <w:rPr>
          <w:rFonts w:cstheme="minorHAnsi"/>
        </w:rPr>
        <w:fldChar w:fldCharType="separate"/>
      </w:r>
      <w:r w:rsidR="00D023DD" w:rsidRPr="00747E35">
        <w:rPr>
          <w:rFonts w:cstheme="minorHAnsi"/>
        </w:rPr>
        <w:t xml:space="preserve">Figure </w:t>
      </w:r>
      <w:r w:rsidR="00D023DD">
        <w:rPr>
          <w:rFonts w:cstheme="minorHAnsi"/>
          <w:noProof/>
        </w:rPr>
        <w:t>136</w:t>
      </w:r>
      <w:r w:rsidRPr="00747E35">
        <w:rPr>
          <w:rFonts w:cstheme="minorHAnsi"/>
        </w:rPr>
        <w:fldChar w:fldCharType="end"/>
      </w:r>
      <w:r w:rsidRPr="00747E35">
        <w:rPr>
          <w:rFonts w:cstheme="minorHAnsi"/>
        </w:rPr>
        <w:t xml:space="preserve">) and black circles indicate complexes within those supergroups occupied by the species. </w:t>
      </w:r>
      <w:bookmarkEnd w:id="400"/>
      <w:r w:rsidRPr="00747E35">
        <w:rPr>
          <w:rFonts w:cstheme="minorHAnsi"/>
        </w:rPr>
        <w:t>e) The relative contributions to the list of 98 taxa within each group of organisms assessed here and the proportion of each endemism type within each organisms group (see legend for colour codes of each respective organism group and endemism type). Note that there are no examples of ‘Broad’ endemism type in any animal, and no examples of ‘Broad supergroup’ endemism in plants.</w:t>
      </w:r>
    </w:p>
    <w:p w14:paraId="2B7D32A8"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br w:type="page"/>
      </w:r>
    </w:p>
    <w:p w14:paraId="7D0D1B36" w14:textId="77777777" w:rsidR="0044478E" w:rsidRPr="00747E35" w:rsidRDefault="0044478E" w:rsidP="00566456">
      <w:pPr>
        <w:pStyle w:val="Caption"/>
        <w:numPr>
          <w:ilvl w:val="0"/>
          <w:numId w:val="0"/>
        </w:numPr>
        <w:rPr>
          <w:rFonts w:cstheme="minorHAnsi"/>
          <w:b/>
        </w:rPr>
      </w:pPr>
      <w:bookmarkStart w:id="401" w:name="_Ref453259474"/>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36</w:t>
      </w:r>
      <w:r w:rsidR="009D6600" w:rsidRPr="00747E35">
        <w:rPr>
          <w:rFonts w:cstheme="minorHAnsi"/>
          <w:noProof/>
        </w:rPr>
        <w:fldChar w:fldCharType="end"/>
      </w:r>
      <w:bookmarkEnd w:id="401"/>
      <w:r w:rsidRPr="00747E35">
        <w:rPr>
          <w:rFonts w:cstheme="minorHAnsi"/>
        </w:rPr>
        <w:t>: Correlation coefficients (Pearson’s r) among biodiversity attributes of spring complexes (n=326).</w:t>
      </w:r>
    </w:p>
    <w:tbl>
      <w:tblPr>
        <w:tblW w:w="0" w:type="auto"/>
        <w:jc w:val="center"/>
        <w:tblLook w:val="04A0" w:firstRow="1" w:lastRow="0" w:firstColumn="1" w:lastColumn="0" w:noHBand="0" w:noVBand="1"/>
      </w:tblPr>
      <w:tblGrid>
        <w:gridCol w:w="3345"/>
        <w:gridCol w:w="737"/>
        <w:gridCol w:w="737"/>
        <w:gridCol w:w="737"/>
        <w:gridCol w:w="737"/>
        <w:gridCol w:w="737"/>
        <w:gridCol w:w="737"/>
      </w:tblGrid>
      <w:tr w:rsidR="0044478E" w:rsidRPr="00747E35" w14:paraId="63FBAA0C" w14:textId="77777777" w:rsidTr="00B004E4">
        <w:trPr>
          <w:trHeight w:val="300"/>
          <w:jc w:val="center"/>
        </w:trPr>
        <w:tc>
          <w:tcPr>
            <w:tcW w:w="3345" w:type="dxa"/>
            <w:tcBorders>
              <w:top w:val="single" w:sz="4" w:space="0" w:color="auto"/>
              <w:left w:val="nil"/>
              <w:bottom w:val="single" w:sz="4" w:space="0" w:color="auto"/>
              <w:right w:val="nil"/>
            </w:tcBorders>
            <w:shd w:val="clear" w:color="auto" w:fill="DEEAF6" w:themeFill="accent1" w:themeFillTint="33"/>
            <w:noWrap/>
            <w:vAlign w:val="bottom"/>
            <w:hideMark/>
          </w:tcPr>
          <w:p w14:paraId="7AD9F20E"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Biodiversity attribute</w:t>
            </w:r>
          </w:p>
        </w:tc>
        <w:tc>
          <w:tcPr>
            <w:tcW w:w="737" w:type="dxa"/>
            <w:tcBorders>
              <w:top w:val="single" w:sz="4" w:space="0" w:color="auto"/>
              <w:left w:val="nil"/>
              <w:bottom w:val="single" w:sz="4" w:space="0" w:color="auto"/>
              <w:right w:val="nil"/>
            </w:tcBorders>
            <w:shd w:val="clear" w:color="auto" w:fill="DEEAF6" w:themeFill="accent1" w:themeFillTint="33"/>
            <w:noWrap/>
            <w:vAlign w:val="bottom"/>
            <w:hideMark/>
          </w:tcPr>
          <w:p w14:paraId="162804A4"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S</w:t>
            </w:r>
          </w:p>
        </w:tc>
        <w:tc>
          <w:tcPr>
            <w:tcW w:w="737" w:type="dxa"/>
            <w:tcBorders>
              <w:top w:val="single" w:sz="4" w:space="0" w:color="auto"/>
              <w:left w:val="nil"/>
              <w:bottom w:val="single" w:sz="4" w:space="0" w:color="auto"/>
              <w:right w:val="nil"/>
            </w:tcBorders>
            <w:shd w:val="clear" w:color="auto" w:fill="DEEAF6" w:themeFill="accent1" w:themeFillTint="33"/>
            <w:noWrap/>
            <w:vAlign w:val="bottom"/>
            <w:hideMark/>
          </w:tcPr>
          <w:p w14:paraId="1846BD4E"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H'</w:t>
            </w:r>
          </w:p>
        </w:tc>
        <w:tc>
          <w:tcPr>
            <w:tcW w:w="737" w:type="dxa"/>
            <w:tcBorders>
              <w:top w:val="single" w:sz="4" w:space="0" w:color="auto"/>
              <w:left w:val="nil"/>
              <w:bottom w:val="single" w:sz="4" w:space="0" w:color="auto"/>
              <w:right w:val="nil"/>
            </w:tcBorders>
            <w:shd w:val="clear" w:color="auto" w:fill="DEEAF6" w:themeFill="accent1" w:themeFillTint="33"/>
            <w:noWrap/>
            <w:vAlign w:val="bottom"/>
            <w:hideMark/>
          </w:tcPr>
          <w:p w14:paraId="6CD915E0"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TE</w:t>
            </w:r>
          </w:p>
        </w:tc>
        <w:tc>
          <w:tcPr>
            <w:tcW w:w="737" w:type="dxa"/>
            <w:tcBorders>
              <w:top w:val="single" w:sz="4" w:space="0" w:color="auto"/>
              <w:left w:val="nil"/>
              <w:bottom w:val="single" w:sz="4" w:space="0" w:color="auto"/>
              <w:right w:val="nil"/>
            </w:tcBorders>
            <w:shd w:val="clear" w:color="auto" w:fill="DEEAF6" w:themeFill="accent1" w:themeFillTint="33"/>
            <w:noWrap/>
            <w:vAlign w:val="bottom"/>
            <w:hideMark/>
          </w:tcPr>
          <w:p w14:paraId="5F292996"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PD</w:t>
            </w:r>
          </w:p>
        </w:tc>
        <w:tc>
          <w:tcPr>
            <w:tcW w:w="737" w:type="dxa"/>
            <w:tcBorders>
              <w:top w:val="single" w:sz="4" w:space="0" w:color="auto"/>
              <w:left w:val="nil"/>
              <w:bottom w:val="single" w:sz="4" w:space="0" w:color="auto"/>
              <w:right w:val="nil"/>
            </w:tcBorders>
            <w:shd w:val="clear" w:color="auto" w:fill="DEEAF6" w:themeFill="accent1" w:themeFillTint="33"/>
            <w:noWrap/>
            <w:vAlign w:val="bottom"/>
            <w:hideMark/>
          </w:tcPr>
          <w:p w14:paraId="492D3908"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PE</w:t>
            </w:r>
          </w:p>
        </w:tc>
        <w:tc>
          <w:tcPr>
            <w:tcW w:w="737" w:type="dxa"/>
            <w:tcBorders>
              <w:top w:val="single" w:sz="4" w:space="0" w:color="auto"/>
              <w:left w:val="nil"/>
              <w:bottom w:val="single" w:sz="4" w:space="0" w:color="auto"/>
              <w:right w:val="nil"/>
            </w:tcBorders>
            <w:shd w:val="clear" w:color="auto" w:fill="DEEAF6" w:themeFill="accent1" w:themeFillTint="33"/>
            <w:noWrap/>
            <w:vAlign w:val="bottom"/>
            <w:hideMark/>
          </w:tcPr>
          <w:p w14:paraId="66F1C411"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BD</w:t>
            </w:r>
          </w:p>
        </w:tc>
      </w:tr>
      <w:tr w:rsidR="0044478E" w:rsidRPr="00747E35" w14:paraId="7E4619D2" w14:textId="77777777" w:rsidTr="0044478E">
        <w:trPr>
          <w:trHeight w:val="300"/>
          <w:jc w:val="center"/>
        </w:trPr>
        <w:tc>
          <w:tcPr>
            <w:tcW w:w="3345" w:type="dxa"/>
            <w:tcBorders>
              <w:top w:val="single" w:sz="4" w:space="0" w:color="auto"/>
              <w:left w:val="nil"/>
              <w:bottom w:val="nil"/>
              <w:right w:val="nil"/>
            </w:tcBorders>
            <w:shd w:val="clear" w:color="auto" w:fill="auto"/>
            <w:noWrap/>
            <w:vAlign w:val="bottom"/>
            <w:hideMark/>
          </w:tcPr>
          <w:p w14:paraId="48B78173"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Taxonomic Richness (S)</w:t>
            </w:r>
          </w:p>
        </w:tc>
        <w:tc>
          <w:tcPr>
            <w:tcW w:w="737" w:type="dxa"/>
            <w:tcBorders>
              <w:top w:val="single" w:sz="4" w:space="0" w:color="auto"/>
              <w:left w:val="nil"/>
              <w:bottom w:val="nil"/>
              <w:right w:val="nil"/>
            </w:tcBorders>
            <w:shd w:val="clear" w:color="auto" w:fill="auto"/>
            <w:noWrap/>
            <w:vAlign w:val="bottom"/>
            <w:hideMark/>
          </w:tcPr>
          <w:p w14:paraId="42EDF29E" w14:textId="77777777" w:rsidR="0044478E" w:rsidRPr="00747E35" w:rsidRDefault="0044478E" w:rsidP="0044478E">
            <w:pPr>
              <w:pStyle w:val="Tabletext"/>
              <w:spacing w:before="0" w:after="0"/>
              <w:rPr>
                <w:rFonts w:cstheme="minorHAnsi"/>
                <w:lang w:eastAsia="en-AU"/>
              </w:rPr>
            </w:pPr>
          </w:p>
        </w:tc>
        <w:tc>
          <w:tcPr>
            <w:tcW w:w="737" w:type="dxa"/>
            <w:tcBorders>
              <w:top w:val="single" w:sz="4" w:space="0" w:color="auto"/>
              <w:left w:val="nil"/>
              <w:bottom w:val="nil"/>
              <w:right w:val="nil"/>
            </w:tcBorders>
            <w:shd w:val="clear" w:color="auto" w:fill="auto"/>
            <w:noWrap/>
            <w:vAlign w:val="bottom"/>
            <w:hideMark/>
          </w:tcPr>
          <w:p w14:paraId="3D816912" w14:textId="77777777" w:rsidR="0044478E" w:rsidRPr="00747E35" w:rsidRDefault="0044478E" w:rsidP="0044478E">
            <w:pPr>
              <w:pStyle w:val="Tabletext"/>
              <w:spacing w:before="0" w:after="0"/>
              <w:rPr>
                <w:rFonts w:cstheme="minorHAnsi"/>
                <w:lang w:eastAsia="en-AU"/>
              </w:rPr>
            </w:pPr>
          </w:p>
        </w:tc>
        <w:tc>
          <w:tcPr>
            <w:tcW w:w="737" w:type="dxa"/>
            <w:tcBorders>
              <w:top w:val="single" w:sz="4" w:space="0" w:color="auto"/>
              <w:left w:val="nil"/>
              <w:bottom w:val="nil"/>
              <w:right w:val="nil"/>
            </w:tcBorders>
            <w:shd w:val="clear" w:color="auto" w:fill="auto"/>
            <w:noWrap/>
            <w:vAlign w:val="bottom"/>
            <w:hideMark/>
          </w:tcPr>
          <w:p w14:paraId="28A8B0EE" w14:textId="77777777" w:rsidR="0044478E" w:rsidRPr="00747E35" w:rsidRDefault="0044478E" w:rsidP="0044478E">
            <w:pPr>
              <w:pStyle w:val="Tabletext"/>
              <w:spacing w:before="0" w:after="0"/>
              <w:rPr>
                <w:rFonts w:cstheme="minorHAnsi"/>
                <w:lang w:eastAsia="en-AU"/>
              </w:rPr>
            </w:pPr>
          </w:p>
        </w:tc>
        <w:tc>
          <w:tcPr>
            <w:tcW w:w="737" w:type="dxa"/>
            <w:tcBorders>
              <w:top w:val="single" w:sz="4" w:space="0" w:color="auto"/>
              <w:left w:val="nil"/>
              <w:bottom w:val="nil"/>
              <w:right w:val="nil"/>
            </w:tcBorders>
            <w:shd w:val="clear" w:color="auto" w:fill="auto"/>
            <w:noWrap/>
            <w:vAlign w:val="bottom"/>
            <w:hideMark/>
          </w:tcPr>
          <w:p w14:paraId="6A9868AF" w14:textId="77777777" w:rsidR="0044478E" w:rsidRPr="00747E35" w:rsidRDefault="0044478E" w:rsidP="0044478E">
            <w:pPr>
              <w:pStyle w:val="Tabletext"/>
              <w:spacing w:before="0" w:after="0"/>
              <w:rPr>
                <w:rFonts w:cstheme="minorHAnsi"/>
                <w:lang w:eastAsia="en-AU"/>
              </w:rPr>
            </w:pPr>
          </w:p>
        </w:tc>
        <w:tc>
          <w:tcPr>
            <w:tcW w:w="737" w:type="dxa"/>
            <w:tcBorders>
              <w:top w:val="single" w:sz="4" w:space="0" w:color="auto"/>
              <w:left w:val="nil"/>
              <w:bottom w:val="nil"/>
              <w:right w:val="nil"/>
            </w:tcBorders>
            <w:shd w:val="clear" w:color="auto" w:fill="auto"/>
            <w:noWrap/>
            <w:vAlign w:val="bottom"/>
            <w:hideMark/>
          </w:tcPr>
          <w:p w14:paraId="73F4F3B0" w14:textId="77777777" w:rsidR="0044478E" w:rsidRPr="00747E35" w:rsidRDefault="0044478E" w:rsidP="0044478E">
            <w:pPr>
              <w:pStyle w:val="Tabletext"/>
              <w:spacing w:before="0" w:after="0"/>
              <w:rPr>
                <w:rFonts w:cstheme="minorHAnsi"/>
                <w:lang w:eastAsia="en-AU"/>
              </w:rPr>
            </w:pPr>
          </w:p>
        </w:tc>
        <w:tc>
          <w:tcPr>
            <w:tcW w:w="737" w:type="dxa"/>
            <w:tcBorders>
              <w:top w:val="single" w:sz="4" w:space="0" w:color="auto"/>
              <w:left w:val="nil"/>
              <w:bottom w:val="nil"/>
              <w:right w:val="nil"/>
            </w:tcBorders>
            <w:shd w:val="clear" w:color="auto" w:fill="auto"/>
            <w:noWrap/>
            <w:vAlign w:val="bottom"/>
            <w:hideMark/>
          </w:tcPr>
          <w:p w14:paraId="17359948" w14:textId="77777777" w:rsidR="0044478E" w:rsidRPr="00747E35" w:rsidRDefault="0044478E" w:rsidP="0044478E">
            <w:pPr>
              <w:pStyle w:val="Tabletext"/>
              <w:spacing w:before="0" w:after="0"/>
              <w:rPr>
                <w:rFonts w:cstheme="minorHAnsi"/>
                <w:lang w:eastAsia="en-AU"/>
              </w:rPr>
            </w:pPr>
          </w:p>
        </w:tc>
      </w:tr>
      <w:tr w:rsidR="0044478E" w:rsidRPr="00747E35" w14:paraId="2926D95C" w14:textId="77777777" w:rsidTr="0044478E">
        <w:trPr>
          <w:trHeight w:val="300"/>
          <w:jc w:val="center"/>
        </w:trPr>
        <w:tc>
          <w:tcPr>
            <w:tcW w:w="3345" w:type="dxa"/>
            <w:tcBorders>
              <w:top w:val="nil"/>
              <w:left w:val="nil"/>
              <w:bottom w:val="nil"/>
              <w:right w:val="nil"/>
            </w:tcBorders>
            <w:shd w:val="clear" w:color="auto" w:fill="auto"/>
            <w:noWrap/>
            <w:vAlign w:val="bottom"/>
            <w:hideMark/>
          </w:tcPr>
          <w:p w14:paraId="6259961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Taxonomic Diversity (H')</w:t>
            </w:r>
          </w:p>
        </w:tc>
        <w:tc>
          <w:tcPr>
            <w:tcW w:w="737" w:type="dxa"/>
            <w:tcBorders>
              <w:top w:val="nil"/>
              <w:left w:val="nil"/>
              <w:bottom w:val="nil"/>
              <w:right w:val="nil"/>
            </w:tcBorders>
            <w:shd w:val="clear" w:color="auto" w:fill="auto"/>
            <w:noWrap/>
            <w:vAlign w:val="bottom"/>
            <w:hideMark/>
          </w:tcPr>
          <w:p w14:paraId="21E07DB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0.944</w:t>
            </w:r>
          </w:p>
        </w:tc>
        <w:tc>
          <w:tcPr>
            <w:tcW w:w="737" w:type="dxa"/>
            <w:tcBorders>
              <w:top w:val="nil"/>
              <w:left w:val="nil"/>
              <w:bottom w:val="nil"/>
              <w:right w:val="nil"/>
            </w:tcBorders>
            <w:shd w:val="clear" w:color="auto" w:fill="auto"/>
            <w:noWrap/>
            <w:vAlign w:val="bottom"/>
            <w:hideMark/>
          </w:tcPr>
          <w:p w14:paraId="3C43FBF9" w14:textId="77777777" w:rsidR="0044478E" w:rsidRPr="00747E35" w:rsidRDefault="0044478E" w:rsidP="0044478E">
            <w:pPr>
              <w:pStyle w:val="Tabletext"/>
              <w:spacing w:before="0" w:after="0"/>
              <w:rPr>
                <w:rFonts w:cstheme="minorHAnsi"/>
                <w:lang w:eastAsia="en-AU"/>
              </w:rPr>
            </w:pPr>
          </w:p>
        </w:tc>
        <w:tc>
          <w:tcPr>
            <w:tcW w:w="737" w:type="dxa"/>
            <w:tcBorders>
              <w:top w:val="nil"/>
              <w:left w:val="nil"/>
              <w:bottom w:val="nil"/>
              <w:right w:val="nil"/>
            </w:tcBorders>
            <w:shd w:val="clear" w:color="auto" w:fill="auto"/>
            <w:noWrap/>
            <w:vAlign w:val="bottom"/>
            <w:hideMark/>
          </w:tcPr>
          <w:p w14:paraId="17264A2A" w14:textId="77777777" w:rsidR="0044478E" w:rsidRPr="00747E35" w:rsidRDefault="0044478E" w:rsidP="0044478E">
            <w:pPr>
              <w:pStyle w:val="Tabletext"/>
              <w:spacing w:before="0" w:after="0"/>
              <w:rPr>
                <w:rFonts w:cstheme="minorHAnsi"/>
                <w:lang w:eastAsia="en-AU"/>
              </w:rPr>
            </w:pPr>
          </w:p>
        </w:tc>
        <w:tc>
          <w:tcPr>
            <w:tcW w:w="737" w:type="dxa"/>
            <w:tcBorders>
              <w:top w:val="nil"/>
              <w:left w:val="nil"/>
              <w:bottom w:val="nil"/>
              <w:right w:val="nil"/>
            </w:tcBorders>
            <w:shd w:val="clear" w:color="auto" w:fill="auto"/>
            <w:noWrap/>
            <w:vAlign w:val="bottom"/>
            <w:hideMark/>
          </w:tcPr>
          <w:p w14:paraId="32F7E468" w14:textId="77777777" w:rsidR="0044478E" w:rsidRPr="00747E35" w:rsidRDefault="0044478E" w:rsidP="0044478E">
            <w:pPr>
              <w:pStyle w:val="Tabletext"/>
              <w:spacing w:before="0" w:after="0"/>
              <w:rPr>
                <w:rFonts w:cstheme="minorHAnsi"/>
                <w:lang w:eastAsia="en-AU"/>
              </w:rPr>
            </w:pPr>
          </w:p>
        </w:tc>
        <w:tc>
          <w:tcPr>
            <w:tcW w:w="737" w:type="dxa"/>
            <w:tcBorders>
              <w:top w:val="nil"/>
              <w:left w:val="nil"/>
              <w:bottom w:val="nil"/>
              <w:right w:val="nil"/>
            </w:tcBorders>
            <w:shd w:val="clear" w:color="auto" w:fill="auto"/>
            <w:noWrap/>
            <w:vAlign w:val="bottom"/>
            <w:hideMark/>
          </w:tcPr>
          <w:p w14:paraId="6B0237A1" w14:textId="77777777" w:rsidR="0044478E" w:rsidRPr="00747E35" w:rsidRDefault="0044478E" w:rsidP="0044478E">
            <w:pPr>
              <w:pStyle w:val="Tabletext"/>
              <w:spacing w:before="0" w:after="0"/>
              <w:rPr>
                <w:rFonts w:cstheme="minorHAnsi"/>
                <w:lang w:eastAsia="en-AU"/>
              </w:rPr>
            </w:pPr>
          </w:p>
        </w:tc>
        <w:tc>
          <w:tcPr>
            <w:tcW w:w="737" w:type="dxa"/>
            <w:tcBorders>
              <w:top w:val="nil"/>
              <w:left w:val="nil"/>
              <w:bottom w:val="nil"/>
              <w:right w:val="nil"/>
            </w:tcBorders>
            <w:shd w:val="clear" w:color="auto" w:fill="auto"/>
            <w:noWrap/>
            <w:vAlign w:val="bottom"/>
            <w:hideMark/>
          </w:tcPr>
          <w:p w14:paraId="4F1D1120" w14:textId="77777777" w:rsidR="0044478E" w:rsidRPr="00747E35" w:rsidRDefault="0044478E" w:rsidP="0044478E">
            <w:pPr>
              <w:pStyle w:val="Tabletext"/>
              <w:spacing w:before="0" w:after="0"/>
              <w:rPr>
                <w:rFonts w:cstheme="minorHAnsi"/>
                <w:lang w:eastAsia="en-AU"/>
              </w:rPr>
            </w:pPr>
          </w:p>
        </w:tc>
      </w:tr>
      <w:tr w:rsidR="0044478E" w:rsidRPr="00747E35" w14:paraId="4357F272" w14:textId="77777777" w:rsidTr="0044478E">
        <w:trPr>
          <w:trHeight w:val="300"/>
          <w:jc w:val="center"/>
        </w:trPr>
        <w:tc>
          <w:tcPr>
            <w:tcW w:w="3345" w:type="dxa"/>
            <w:tcBorders>
              <w:top w:val="nil"/>
              <w:left w:val="nil"/>
              <w:bottom w:val="nil"/>
              <w:right w:val="nil"/>
            </w:tcBorders>
            <w:shd w:val="clear" w:color="auto" w:fill="auto"/>
            <w:noWrap/>
            <w:vAlign w:val="bottom"/>
            <w:hideMark/>
          </w:tcPr>
          <w:p w14:paraId="526D650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Taxonomic Endemism (TE)</w:t>
            </w:r>
          </w:p>
        </w:tc>
        <w:tc>
          <w:tcPr>
            <w:tcW w:w="737" w:type="dxa"/>
            <w:tcBorders>
              <w:top w:val="nil"/>
              <w:left w:val="nil"/>
              <w:bottom w:val="nil"/>
              <w:right w:val="nil"/>
            </w:tcBorders>
            <w:shd w:val="clear" w:color="auto" w:fill="auto"/>
            <w:noWrap/>
            <w:vAlign w:val="bottom"/>
            <w:hideMark/>
          </w:tcPr>
          <w:p w14:paraId="49C8B54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0.807</w:t>
            </w:r>
          </w:p>
        </w:tc>
        <w:tc>
          <w:tcPr>
            <w:tcW w:w="737" w:type="dxa"/>
            <w:tcBorders>
              <w:top w:val="nil"/>
              <w:left w:val="nil"/>
              <w:bottom w:val="nil"/>
              <w:right w:val="nil"/>
            </w:tcBorders>
            <w:shd w:val="clear" w:color="auto" w:fill="auto"/>
            <w:noWrap/>
            <w:vAlign w:val="bottom"/>
            <w:hideMark/>
          </w:tcPr>
          <w:p w14:paraId="33DE229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0.617</w:t>
            </w:r>
          </w:p>
        </w:tc>
        <w:tc>
          <w:tcPr>
            <w:tcW w:w="737" w:type="dxa"/>
            <w:tcBorders>
              <w:top w:val="nil"/>
              <w:left w:val="nil"/>
              <w:bottom w:val="nil"/>
              <w:right w:val="nil"/>
            </w:tcBorders>
            <w:shd w:val="clear" w:color="auto" w:fill="auto"/>
            <w:noWrap/>
            <w:vAlign w:val="bottom"/>
            <w:hideMark/>
          </w:tcPr>
          <w:p w14:paraId="6BE168CC" w14:textId="77777777" w:rsidR="0044478E" w:rsidRPr="00747E35" w:rsidRDefault="0044478E" w:rsidP="0044478E">
            <w:pPr>
              <w:pStyle w:val="Tabletext"/>
              <w:spacing w:before="0" w:after="0"/>
              <w:rPr>
                <w:rFonts w:cstheme="minorHAnsi"/>
                <w:lang w:eastAsia="en-AU"/>
              </w:rPr>
            </w:pPr>
          </w:p>
        </w:tc>
        <w:tc>
          <w:tcPr>
            <w:tcW w:w="737" w:type="dxa"/>
            <w:tcBorders>
              <w:top w:val="nil"/>
              <w:left w:val="nil"/>
              <w:bottom w:val="nil"/>
              <w:right w:val="nil"/>
            </w:tcBorders>
            <w:shd w:val="clear" w:color="auto" w:fill="auto"/>
            <w:noWrap/>
            <w:vAlign w:val="bottom"/>
            <w:hideMark/>
          </w:tcPr>
          <w:p w14:paraId="417E3C91" w14:textId="77777777" w:rsidR="0044478E" w:rsidRPr="00747E35" w:rsidRDefault="0044478E" w:rsidP="0044478E">
            <w:pPr>
              <w:pStyle w:val="Tabletext"/>
              <w:spacing w:before="0" w:after="0"/>
              <w:rPr>
                <w:rFonts w:cstheme="minorHAnsi"/>
                <w:lang w:eastAsia="en-AU"/>
              </w:rPr>
            </w:pPr>
          </w:p>
        </w:tc>
        <w:tc>
          <w:tcPr>
            <w:tcW w:w="737" w:type="dxa"/>
            <w:tcBorders>
              <w:top w:val="nil"/>
              <w:left w:val="nil"/>
              <w:bottom w:val="nil"/>
              <w:right w:val="nil"/>
            </w:tcBorders>
            <w:shd w:val="clear" w:color="auto" w:fill="auto"/>
            <w:noWrap/>
            <w:vAlign w:val="bottom"/>
            <w:hideMark/>
          </w:tcPr>
          <w:p w14:paraId="22E6543B" w14:textId="77777777" w:rsidR="0044478E" w:rsidRPr="00747E35" w:rsidRDefault="0044478E" w:rsidP="0044478E">
            <w:pPr>
              <w:pStyle w:val="Tabletext"/>
              <w:spacing w:before="0" w:after="0"/>
              <w:rPr>
                <w:rFonts w:cstheme="minorHAnsi"/>
                <w:lang w:eastAsia="en-AU"/>
              </w:rPr>
            </w:pPr>
          </w:p>
        </w:tc>
        <w:tc>
          <w:tcPr>
            <w:tcW w:w="737" w:type="dxa"/>
            <w:tcBorders>
              <w:top w:val="nil"/>
              <w:left w:val="nil"/>
              <w:bottom w:val="nil"/>
              <w:right w:val="nil"/>
            </w:tcBorders>
            <w:shd w:val="clear" w:color="auto" w:fill="auto"/>
            <w:noWrap/>
            <w:vAlign w:val="bottom"/>
            <w:hideMark/>
          </w:tcPr>
          <w:p w14:paraId="793A0ED5" w14:textId="77777777" w:rsidR="0044478E" w:rsidRPr="00747E35" w:rsidRDefault="0044478E" w:rsidP="0044478E">
            <w:pPr>
              <w:pStyle w:val="Tabletext"/>
              <w:spacing w:before="0" w:after="0"/>
              <w:rPr>
                <w:rFonts w:cstheme="minorHAnsi"/>
                <w:lang w:eastAsia="en-AU"/>
              </w:rPr>
            </w:pPr>
          </w:p>
        </w:tc>
      </w:tr>
      <w:tr w:rsidR="0044478E" w:rsidRPr="00747E35" w14:paraId="3348D4F8" w14:textId="77777777" w:rsidTr="0044478E">
        <w:trPr>
          <w:trHeight w:val="300"/>
          <w:jc w:val="center"/>
        </w:trPr>
        <w:tc>
          <w:tcPr>
            <w:tcW w:w="3345" w:type="dxa"/>
            <w:tcBorders>
              <w:top w:val="nil"/>
              <w:left w:val="nil"/>
              <w:bottom w:val="nil"/>
              <w:right w:val="nil"/>
            </w:tcBorders>
            <w:shd w:val="clear" w:color="auto" w:fill="auto"/>
            <w:noWrap/>
            <w:vAlign w:val="bottom"/>
            <w:hideMark/>
          </w:tcPr>
          <w:p w14:paraId="1FFCDD0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Phylogenetic Diversity (PD)</w:t>
            </w:r>
          </w:p>
        </w:tc>
        <w:tc>
          <w:tcPr>
            <w:tcW w:w="737" w:type="dxa"/>
            <w:tcBorders>
              <w:top w:val="nil"/>
              <w:left w:val="nil"/>
              <w:bottom w:val="nil"/>
              <w:right w:val="nil"/>
            </w:tcBorders>
            <w:shd w:val="clear" w:color="auto" w:fill="auto"/>
            <w:noWrap/>
            <w:vAlign w:val="bottom"/>
            <w:hideMark/>
          </w:tcPr>
          <w:p w14:paraId="42B71DD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0.965</w:t>
            </w:r>
          </w:p>
        </w:tc>
        <w:tc>
          <w:tcPr>
            <w:tcW w:w="737" w:type="dxa"/>
            <w:tcBorders>
              <w:top w:val="nil"/>
              <w:left w:val="nil"/>
              <w:bottom w:val="nil"/>
              <w:right w:val="nil"/>
            </w:tcBorders>
            <w:shd w:val="clear" w:color="auto" w:fill="auto"/>
            <w:noWrap/>
            <w:vAlign w:val="bottom"/>
            <w:hideMark/>
          </w:tcPr>
          <w:p w14:paraId="05FFCC7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0.978</w:t>
            </w:r>
          </w:p>
        </w:tc>
        <w:tc>
          <w:tcPr>
            <w:tcW w:w="737" w:type="dxa"/>
            <w:tcBorders>
              <w:top w:val="nil"/>
              <w:left w:val="nil"/>
              <w:bottom w:val="nil"/>
              <w:right w:val="nil"/>
            </w:tcBorders>
            <w:shd w:val="clear" w:color="auto" w:fill="auto"/>
            <w:noWrap/>
            <w:vAlign w:val="bottom"/>
            <w:hideMark/>
          </w:tcPr>
          <w:p w14:paraId="4152EC0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0.676</w:t>
            </w:r>
          </w:p>
        </w:tc>
        <w:tc>
          <w:tcPr>
            <w:tcW w:w="737" w:type="dxa"/>
            <w:tcBorders>
              <w:top w:val="nil"/>
              <w:left w:val="nil"/>
              <w:bottom w:val="nil"/>
              <w:right w:val="nil"/>
            </w:tcBorders>
            <w:shd w:val="clear" w:color="auto" w:fill="auto"/>
            <w:noWrap/>
            <w:vAlign w:val="bottom"/>
            <w:hideMark/>
          </w:tcPr>
          <w:p w14:paraId="2534E437" w14:textId="77777777" w:rsidR="0044478E" w:rsidRPr="00747E35" w:rsidRDefault="0044478E" w:rsidP="0044478E">
            <w:pPr>
              <w:pStyle w:val="Tabletext"/>
              <w:spacing w:before="0" w:after="0"/>
              <w:rPr>
                <w:rFonts w:cstheme="minorHAnsi"/>
                <w:lang w:eastAsia="en-AU"/>
              </w:rPr>
            </w:pPr>
          </w:p>
        </w:tc>
        <w:tc>
          <w:tcPr>
            <w:tcW w:w="737" w:type="dxa"/>
            <w:tcBorders>
              <w:top w:val="nil"/>
              <w:left w:val="nil"/>
              <w:bottom w:val="nil"/>
              <w:right w:val="nil"/>
            </w:tcBorders>
            <w:shd w:val="clear" w:color="auto" w:fill="auto"/>
            <w:noWrap/>
            <w:vAlign w:val="bottom"/>
            <w:hideMark/>
          </w:tcPr>
          <w:p w14:paraId="7923E380" w14:textId="77777777" w:rsidR="0044478E" w:rsidRPr="00747E35" w:rsidRDefault="0044478E" w:rsidP="0044478E">
            <w:pPr>
              <w:pStyle w:val="Tabletext"/>
              <w:spacing w:before="0" w:after="0"/>
              <w:rPr>
                <w:rFonts w:cstheme="minorHAnsi"/>
                <w:lang w:eastAsia="en-AU"/>
              </w:rPr>
            </w:pPr>
          </w:p>
        </w:tc>
        <w:tc>
          <w:tcPr>
            <w:tcW w:w="737" w:type="dxa"/>
            <w:tcBorders>
              <w:top w:val="nil"/>
              <w:left w:val="nil"/>
              <w:bottom w:val="nil"/>
              <w:right w:val="nil"/>
            </w:tcBorders>
            <w:shd w:val="clear" w:color="auto" w:fill="auto"/>
            <w:noWrap/>
            <w:vAlign w:val="bottom"/>
            <w:hideMark/>
          </w:tcPr>
          <w:p w14:paraId="70DB9750" w14:textId="77777777" w:rsidR="0044478E" w:rsidRPr="00747E35" w:rsidRDefault="0044478E" w:rsidP="0044478E">
            <w:pPr>
              <w:pStyle w:val="Tabletext"/>
              <w:spacing w:before="0" w:after="0"/>
              <w:rPr>
                <w:rFonts w:cstheme="minorHAnsi"/>
                <w:lang w:eastAsia="en-AU"/>
              </w:rPr>
            </w:pPr>
          </w:p>
        </w:tc>
      </w:tr>
      <w:tr w:rsidR="0044478E" w:rsidRPr="00747E35" w14:paraId="2C105503" w14:textId="77777777" w:rsidTr="0044478E">
        <w:trPr>
          <w:trHeight w:val="300"/>
          <w:jc w:val="center"/>
        </w:trPr>
        <w:tc>
          <w:tcPr>
            <w:tcW w:w="3345" w:type="dxa"/>
            <w:tcBorders>
              <w:top w:val="nil"/>
              <w:left w:val="nil"/>
              <w:bottom w:val="nil"/>
              <w:right w:val="nil"/>
            </w:tcBorders>
            <w:shd w:val="clear" w:color="auto" w:fill="auto"/>
            <w:noWrap/>
            <w:vAlign w:val="bottom"/>
            <w:hideMark/>
          </w:tcPr>
          <w:p w14:paraId="0C1F002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Phylogenetic Endemism (PE)</w:t>
            </w:r>
          </w:p>
        </w:tc>
        <w:tc>
          <w:tcPr>
            <w:tcW w:w="737" w:type="dxa"/>
            <w:tcBorders>
              <w:top w:val="nil"/>
              <w:left w:val="nil"/>
              <w:bottom w:val="nil"/>
              <w:right w:val="nil"/>
            </w:tcBorders>
            <w:shd w:val="clear" w:color="auto" w:fill="auto"/>
            <w:noWrap/>
            <w:vAlign w:val="bottom"/>
            <w:hideMark/>
          </w:tcPr>
          <w:p w14:paraId="1C553AF3"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0.829</w:t>
            </w:r>
          </w:p>
        </w:tc>
        <w:tc>
          <w:tcPr>
            <w:tcW w:w="737" w:type="dxa"/>
            <w:tcBorders>
              <w:top w:val="nil"/>
              <w:left w:val="nil"/>
              <w:bottom w:val="nil"/>
              <w:right w:val="nil"/>
            </w:tcBorders>
            <w:shd w:val="clear" w:color="auto" w:fill="auto"/>
            <w:noWrap/>
            <w:vAlign w:val="bottom"/>
            <w:hideMark/>
          </w:tcPr>
          <w:p w14:paraId="0CC335E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0.649</w:t>
            </w:r>
          </w:p>
        </w:tc>
        <w:tc>
          <w:tcPr>
            <w:tcW w:w="737" w:type="dxa"/>
            <w:tcBorders>
              <w:top w:val="nil"/>
              <w:left w:val="nil"/>
              <w:bottom w:val="nil"/>
              <w:right w:val="nil"/>
            </w:tcBorders>
            <w:shd w:val="clear" w:color="auto" w:fill="auto"/>
            <w:noWrap/>
            <w:vAlign w:val="bottom"/>
            <w:hideMark/>
          </w:tcPr>
          <w:p w14:paraId="37F7862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0.998</w:t>
            </w:r>
          </w:p>
        </w:tc>
        <w:tc>
          <w:tcPr>
            <w:tcW w:w="737" w:type="dxa"/>
            <w:tcBorders>
              <w:top w:val="nil"/>
              <w:left w:val="nil"/>
              <w:bottom w:val="nil"/>
              <w:right w:val="nil"/>
            </w:tcBorders>
            <w:shd w:val="clear" w:color="auto" w:fill="auto"/>
            <w:noWrap/>
            <w:vAlign w:val="bottom"/>
            <w:hideMark/>
          </w:tcPr>
          <w:p w14:paraId="2DE3737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0.707</w:t>
            </w:r>
          </w:p>
        </w:tc>
        <w:tc>
          <w:tcPr>
            <w:tcW w:w="737" w:type="dxa"/>
            <w:tcBorders>
              <w:top w:val="nil"/>
              <w:left w:val="nil"/>
              <w:bottom w:val="nil"/>
              <w:right w:val="nil"/>
            </w:tcBorders>
            <w:shd w:val="clear" w:color="auto" w:fill="auto"/>
            <w:noWrap/>
            <w:vAlign w:val="bottom"/>
            <w:hideMark/>
          </w:tcPr>
          <w:p w14:paraId="09D0A300" w14:textId="77777777" w:rsidR="0044478E" w:rsidRPr="00747E35" w:rsidRDefault="0044478E" w:rsidP="0044478E">
            <w:pPr>
              <w:pStyle w:val="Tabletext"/>
              <w:spacing w:before="0" w:after="0"/>
              <w:rPr>
                <w:rFonts w:cstheme="minorHAnsi"/>
                <w:lang w:eastAsia="en-AU"/>
              </w:rPr>
            </w:pPr>
          </w:p>
        </w:tc>
        <w:tc>
          <w:tcPr>
            <w:tcW w:w="737" w:type="dxa"/>
            <w:tcBorders>
              <w:top w:val="nil"/>
              <w:left w:val="nil"/>
              <w:bottom w:val="nil"/>
              <w:right w:val="nil"/>
            </w:tcBorders>
            <w:shd w:val="clear" w:color="auto" w:fill="auto"/>
            <w:noWrap/>
            <w:vAlign w:val="bottom"/>
            <w:hideMark/>
          </w:tcPr>
          <w:p w14:paraId="2409EE86" w14:textId="77777777" w:rsidR="0044478E" w:rsidRPr="00747E35" w:rsidRDefault="0044478E" w:rsidP="0044478E">
            <w:pPr>
              <w:pStyle w:val="Tabletext"/>
              <w:spacing w:before="0" w:after="0"/>
              <w:rPr>
                <w:rFonts w:cstheme="minorHAnsi"/>
                <w:lang w:eastAsia="en-AU"/>
              </w:rPr>
            </w:pPr>
          </w:p>
        </w:tc>
      </w:tr>
      <w:tr w:rsidR="0044478E" w:rsidRPr="00747E35" w14:paraId="5D368B7D" w14:textId="77777777" w:rsidTr="0044478E">
        <w:trPr>
          <w:trHeight w:val="300"/>
          <w:jc w:val="center"/>
        </w:trPr>
        <w:tc>
          <w:tcPr>
            <w:tcW w:w="3345" w:type="dxa"/>
            <w:tcBorders>
              <w:top w:val="nil"/>
              <w:left w:val="nil"/>
              <w:right w:val="nil"/>
            </w:tcBorders>
            <w:shd w:val="clear" w:color="auto" w:fill="auto"/>
            <w:noWrap/>
            <w:vAlign w:val="bottom"/>
            <w:hideMark/>
          </w:tcPr>
          <w:p w14:paraId="099A0EC3"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Assemblage Beta Diversity (BD)</w:t>
            </w:r>
          </w:p>
        </w:tc>
        <w:tc>
          <w:tcPr>
            <w:tcW w:w="737" w:type="dxa"/>
            <w:tcBorders>
              <w:top w:val="nil"/>
              <w:left w:val="nil"/>
              <w:right w:val="nil"/>
            </w:tcBorders>
            <w:shd w:val="clear" w:color="auto" w:fill="auto"/>
            <w:noWrap/>
            <w:vAlign w:val="bottom"/>
            <w:hideMark/>
          </w:tcPr>
          <w:p w14:paraId="76350AE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0.878</w:t>
            </w:r>
          </w:p>
        </w:tc>
        <w:tc>
          <w:tcPr>
            <w:tcW w:w="737" w:type="dxa"/>
            <w:tcBorders>
              <w:top w:val="nil"/>
              <w:left w:val="nil"/>
              <w:right w:val="nil"/>
            </w:tcBorders>
            <w:shd w:val="clear" w:color="auto" w:fill="auto"/>
            <w:noWrap/>
            <w:vAlign w:val="bottom"/>
            <w:hideMark/>
          </w:tcPr>
          <w:p w14:paraId="6BF14039"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0.949</w:t>
            </w:r>
          </w:p>
        </w:tc>
        <w:tc>
          <w:tcPr>
            <w:tcW w:w="737" w:type="dxa"/>
            <w:tcBorders>
              <w:top w:val="nil"/>
              <w:left w:val="nil"/>
              <w:right w:val="nil"/>
            </w:tcBorders>
            <w:shd w:val="clear" w:color="auto" w:fill="auto"/>
            <w:noWrap/>
            <w:vAlign w:val="bottom"/>
            <w:hideMark/>
          </w:tcPr>
          <w:p w14:paraId="2139BCF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0.519</w:t>
            </w:r>
          </w:p>
        </w:tc>
        <w:tc>
          <w:tcPr>
            <w:tcW w:w="737" w:type="dxa"/>
            <w:tcBorders>
              <w:top w:val="nil"/>
              <w:left w:val="nil"/>
              <w:right w:val="nil"/>
            </w:tcBorders>
            <w:shd w:val="clear" w:color="auto" w:fill="auto"/>
            <w:noWrap/>
            <w:vAlign w:val="bottom"/>
            <w:hideMark/>
          </w:tcPr>
          <w:p w14:paraId="3F13767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0.957</w:t>
            </w:r>
          </w:p>
        </w:tc>
        <w:tc>
          <w:tcPr>
            <w:tcW w:w="737" w:type="dxa"/>
            <w:tcBorders>
              <w:top w:val="nil"/>
              <w:left w:val="nil"/>
              <w:right w:val="nil"/>
            </w:tcBorders>
            <w:shd w:val="clear" w:color="auto" w:fill="auto"/>
            <w:noWrap/>
            <w:vAlign w:val="bottom"/>
            <w:hideMark/>
          </w:tcPr>
          <w:p w14:paraId="68B3D30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0.557</w:t>
            </w:r>
          </w:p>
        </w:tc>
        <w:tc>
          <w:tcPr>
            <w:tcW w:w="737" w:type="dxa"/>
            <w:tcBorders>
              <w:top w:val="nil"/>
              <w:left w:val="nil"/>
              <w:right w:val="nil"/>
            </w:tcBorders>
            <w:shd w:val="clear" w:color="auto" w:fill="auto"/>
            <w:noWrap/>
            <w:vAlign w:val="bottom"/>
            <w:hideMark/>
          </w:tcPr>
          <w:p w14:paraId="55B35E53" w14:textId="77777777" w:rsidR="0044478E" w:rsidRPr="00747E35" w:rsidRDefault="0044478E" w:rsidP="0044478E">
            <w:pPr>
              <w:pStyle w:val="Tabletext"/>
              <w:spacing w:before="0" w:after="0"/>
              <w:rPr>
                <w:rFonts w:cstheme="minorHAnsi"/>
                <w:lang w:eastAsia="en-AU"/>
              </w:rPr>
            </w:pPr>
          </w:p>
        </w:tc>
      </w:tr>
      <w:tr w:rsidR="0044478E" w:rsidRPr="00747E35" w14:paraId="08875CDD" w14:textId="77777777" w:rsidTr="0044478E">
        <w:trPr>
          <w:trHeight w:val="300"/>
          <w:jc w:val="center"/>
        </w:trPr>
        <w:tc>
          <w:tcPr>
            <w:tcW w:w="3345" w:type="dxa"/>
            <w:tcBorders>
              <w:top w:val="nil"/>
              <w:left w:val="nil"/>
              <w:bottom w:val="single" w:sz="4" w:space="0" w:color="auto"/>
              <w:right w:val="nil"/>
            </w:tcBorders>
            <w:shd w:val="clear" w:color="auto" w:fill="auto"/>
            <w:noWrap/>
            <w:vAlign w:val="bottom"/>
            <w:hideMark/>
          </w:tcPr>
          <w:p w14:paraId="1092257C"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Conservation Rank (CR)</w:t>
            </w:r>
          </w:p>
        </w:tc>
        <w:tc>
          <w:tcPr>
            <w:tcW w:w="737" w:type="dxa"/>
            <w:tcBorders>
              <w:top w:val="nil"/>
              <w:left w:val="nil"/>
              <w:bottom w:val="single" w:sz="4" w:space="0" w:color="auto"/>
              <w:right w:val="nil"/>
            </w:tcBorders>
            <w:shd w:val="clear" w:color="auto" w:fill="auto"/>
            <w:noWrap/>
            <w:vAlign w:val="bottom"/>
            <w:hideMark/>
          </w:tcPr>
          <w:p w14:paraId="51B4CF2D"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0.877</w:t>
            </w:r>
          </w:p>
        </w:tc>
        <w:tc>
          <w:tcPr>
            <w:tcW w:w="737" w:type="dxa"/>
            <w:tcBorders>
              <w:top w:val="nil"/>
              <w:left w:val="nil"/>
              <w:bottom w:val="single" w:sz="4" w:space="0" w:color="auto"/>
              <w:right w:val="nil"/>
            </w:tcBorders>
            <w:shd w:val="clear" w:color="auto" w:fill="auto"/>
            <w:noWrap/>
            <w:vAlign w:val="bottom"/>
            <w:hideMark/>
          </w:tcPr>
          <w:p w14:paraId="207CD5F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0.714</w:t>
            </w:r>
          </w:p>
        </w:tc>
        <w:tc>
          <w:tcPr>
            <w:tcW w:w="737" w:type="dxa"/>
            <w:tcBorders>
              <w:top w:val="nil"/>
              <w:left w:val="nil"/>
              <w:bottom w:val="single" w:sz="4" w:space="0" w:color="auto"/>
              <w:right w:val="nil"/>
            </w:tcBorders>
            <w:shd w:val="clear" w:color="auto" w:fill="auto"/>
            <w:noWrap/>
            <w:vAlign w:val="bottom"/>
            <w:hideMark/>
          </w:tcPr>
          <w:p w14:paraId="7029AF7C"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0.989</w:t>
            </w:r>
          </w:p>
        </w:tc>
        <w:tc>
          <w:tcPr>
            <w:tcW w:w="737" w:type="dxa"/>
            <w:tcBorders>
              <w:top w:val="nil"/>
              <w:left w:val="nil"/>
              <w:bottom w:val="single" w:sz="4" w:space="0" w:color="auto"/>
              <w:right w:val="nil"/>
            </w:tcBorders>
            <w:shd w:val="clear" w:color="auto" w:fill="auto"/>
            <w:noWrap/>
            <w:vAlign w:val="bottom"/>
            <w:hideMark/>
          </w:tcPr>
          <w:p w14:paraId="0A3E15D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0.764</w:t>
            </w:r>
          </w:p>
        </w:tc>
        <w:tc>
          <w:tcPr>
            <w:tcW w:w="737" w:type="dxa"/>
            <w:tcBorders>
              <w:top w:val="nil"/>
              <w:left w:val="nil"/>
              <w:bottom w:val="single" w:sz="4" w:space="0" w:color="auto"/>
              <w:right w:val="nil"/>
            </w:tcBorders>
            <w:shd w:val="clear" w:color="auto" w:fill="auto"/>
            <w:noWrap/>
            <w:vAlign w:val="bottom"/>
            <w:hideMark/>
          </w:tcPr>
          <w:p w14:paraId="0AD7D0D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0.993</w:t>
            </w:r>
          </w:p>
        </w:tc>
        <w:tc>
          <w:tcPr>
            <w:tcW w:w="737" w:type="dxa"/>
            <w:tcBorders>
              <w:top w:val="nil"/>
              <w:left w:val="nil"/>
              <w:bottom w:val="single" w:sz="4" w:space="0" w:color="auto"/>
              <w:right w:val="nil"/>
            </w:tcBorders>
            <w:shd w:val="clear" w:color="auto" w:fill="auto"/>
            <w:noWrap/>
            <w:vAlign w:val="bottom"/>
            <w:hideMark/>
          </w:tcPr>
          <w:p w14:paraId="147285E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0.618</w:t>
            </w:r>
          </w:p>
        </w:tc>
      </w:tr>
    </w:tbl>
    <w:p w14:paraId="4C024661" w14:textId="77777777" w:rsidR="0044478E" w:rsidRPr="00747E35" w:rsidRDefault="0044478E" w:rsidP="0044478E">
      <w:pPr>
        <w:rPr>
          <w:rFonts w:asciiTheme="minorHAnsi" w:hAnsiTheme="minorHAnsi" w:cstheme="minorHAnsi"/>
        </w:rPr>
      </w:pPr>
    </w:p>
    <w:p w14:paraId="0E52C4A4"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Multiple regression modelling to explain spatial variation in biodiversity attributes of spring complexes according to their environmental characteristics revealed good model accuracy for predicting the presence or absence of endemic species (binomial component) among spring complexes, with the most probable model having a correct classification rate of 0.73, and an area under the ROC curve of 0.78.  The most probable models for predicting variation in biodiversity attributes at the subset of 76 spring complexes containing one or more taxa (non-zero component), showed weak to moderate fits to the data, with pseudo-r</w:t>
      </w:r>
      <w:r w:rsidRPr="00747E35">
        <w:rPr>
          <w:rFonts w:asciiTheme="minorHAnsi" w:hAnsiTheme="minorHAnsi" w:cstheme="minorHAnsi"/>
          <w:vertAlign w:val="superscript"/>
        </w:rPr>
        <w:t>2</w:t>
      </w:r>
      <w:r w:rsidRPr="00747E35">
        <w:rPr>
          <w:rFonts w:asciiTheme="minorHAnsi" w:hAnsiTheme="minorHAnsi" w:cstheme="minorHAnsi"/>
        </w:rPr>
        <w:t xml:space="preserve"> values ranging from 0.26 to 0.38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_Ref453232673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37</w:t>
      </w:r>
      <w:r w:rsidRPr="00747E35">
        <w:rPr>
          <w:rFonts w:asciiTheme="minorHAnsi" w:hAnsiTheme="minorHAnsi" w:cstheme="minorHAnsi"/>
        </w:rPr>
        <w:fldChar w:fldCharType="end"/>
      </w:r>
      <w:r w:rsidRPr="00747E35">
        <w:rPr>
          <w:rFonts w:asciiTheme="minorHAnsi" w:hAnsiTheme="minorHAnsi" w:cstheme="minorHAnsi"/>
        </w:rPr>
        <w:t>).  Environmental variables selected for predicting the presence or absence (binomial component) of biodiversity across spring complexes were the total number of springs per complex, spatial isolation of complexes, drainage network connectivity and mean annual rainfall.  Environmental predictors of variation in biodiversity at complexes containing one more taxa (non-zero component), were broadly similar among biodiversity attributes and included measures of complex size, and mean annual temperature, which were selected in all models.  The degree of spatial isolation, drainage network connectivity and rainfall erosivity were also included in the most probable models for all biodiversity attributes except those describing taxonomic endemism and phylogenetic endemism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_Ref453232673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37</w:t>
      </w:r>
      <w:r w:rsidRPr="00747E35">
        <w:rPr>
          <w:rFonts w:asciiTheme="minorHAnsi" w:hAnsiTheme="minorHAnsi" w:cstheme="minorHAnsi"/>
        </w:rPr>
        <w:fldChar w:fldCharType="end"/>
      </w:r>
      <w:r w:rsidRPr="00747E35">
        <w:rPr>
          <w:rFonts w:asciiTheme="minorHAnsi" w:hAnsiTheme="minorHAnsi" w:cstheme="minorHAnsi"/>
        </w:rPr>
        <w:t xml:space="preserve">).  Biodiversity attributes were negatively associated with increasing geographic isolation and increasing hydrologic connectivity among complexes. In contrast, complex area and mean annual temperature were positively associated with biodiversity for most attributes.  The broadly similar sets of environmental attributes selected for each model, and similarities in the direction of the environment-response relationships (as indicated by the sign of model parameter estimates,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_Ref453232673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37</w:t>
      </w:r>
      <w:r w:rsidRPr="00747E35">
        <w:rPr>
          <w:rFonts w:asciiTheme="minorHAnsi" w:hAnsiTheme="minorHAnsi" w:cstheme="minorHAnsi"/>
        </w:rPr>
        <w:fldChar w:fldCharType="end"/>
      </w:r>
      <w:r w:rsidRPr="00747E35">
        <w:rPr>
          <w:rFonts w:asciiTheme="minorHAnsi" w:hAnsiTheme="minorHAnsi" w:cstheme="minorHAnsi"/>
        </w:rPr>
        <w:t>), are unsurprising given the generally high correlations among biodiversity attributes (</w:t>
      </w:r>
      <w:r w:rsidRPr="00747E35">
        <w:rPr>
          <w:rFonts w:asciiTheme="minorHAnsi" w:hAnsiTheme="minorHAnsi" w:cstheme="minorHAnsi"/>
        </w:rPr>
        <w:fldChar w:fldCharType="begin"/>
      </w:r>
      <w:r w:rsidRPr="00747E35">
        <w:rPr>
          <w:rFonts w:asciiTheme="minorHAnsi" w:hAnsiTheme="minorHAnsi" w:cstheme="minorHAnsi"/>
        </w:rPr>
        <w:instrText xml:space="preserve"> REF _Ref453259474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Table 36</w:t>
      </w:r>
      <w:r w:rsidRPr="00747E35">
        <w:rPr>
          <w:rFonts w:asciiTheme="minorHAnsi" w:hAnsiTheme="minorHAnsi" w:cstheme="minorHAnsi"/>
        </w:rPr>
        <w:fldChar w:fldCharType="end"/>
      </w:r>
      <w:r w:rsidRPr="00747E35">
        <w:rPr>
          <w:rFonts w:asciiTheme="minorHAnsi" w:hAnsiTheme="minorHAnsi" w:cstheme="minorHAnsi"/>
        </w:rPr>
        <w:t>).</w:t>
      </w:r>
    </w:p>
    <w:p w14:paraId="184E9369" w14:textId="77D92A56" w:rsidR="0044478E" w:rsidRPr="00747E35" w:rsidRDefault="0044478E" w:rsidP="0044478E">
      <w:pPr>
        <w:rPr>
          <w:rFonts w:asciiTheme="minorHAnsi" w:hAnsiTheme="minorHAnsi" w:cstheme="minorHAnsi"/>
        </w:rPr>
      </w:pPr>
      <w:r w:rsidRPr="00747E35">
        <w:rPr>
          <w:rFonts w:asciiTheme="minorHAnsi" w:hAnsiTheme="minorHAnsi" w:cstheme="minorHAnsi"/>
        </w:rPr>
        <w:t>Cluster analysis identified 33 distinct “assemblages” (</w:t>
      </w:r>
      <w:r w:rsidRPr="00747E35">
        <w:rPr>
          <w:rFonts w:asciiTheme="minorHAnsi" w:hAnsiTheme="minorHAnsi" w:cstheme="minorHAnsi"/>
        </w:rPr>
        <w:fldChar w:fldCharType="begin"/>
      </w:r>
      <w:r w:rsidRPr="00747E35">
        <w:rPr>
          <w:rFonts w:asciiTheme="minorHAnsi" w:hAnsiTheme="minorHAnsi" w:cstheme="minorHAnsi"/>
        </w:rPr>
        <w:instrText xml:space="preserve"> REF _Ref467076473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139</w:t>
      </w:r>
      <w:r w:rsidRPr="00747E35">
        <w:rPr>
          <w:rFonts w:asciiTheme="minorHAnsi" w:hAnsiTheme="minorHAnsi" w:cstheme="minorHAnsi"/>
        </w:rPr>
        <w:fldChar w:fldCharType="end"/>
      </w:r>
      <w:r w:rsidRPr="00747E35">
        <w:rPr>
          <w:rFonts w:asciiTheme="minorHAnsi" w:hAnsiTheme="minorHAnsi" w:cstheme="minorHAnsi"/>
        </w:rPr>
        <w:t xml:space="preserve">a).  Few complexes possess the same </w:t>
      </w:r>
      <w:r w:rsidR="00966A0B">
        <w:rPr>
          <w:rFonts w:asciiTheme="minorHAnsi" w:hAnsiTheme="minorHAnsi" w:cstheme="minorHAnsi"/>
        </w:rPr>
        <w:t>set</w:t>
      </w:r>
      <w:r w:rsidRPr="00747E35">
        <w:rPr>
          <w:rFonts w:asciiTheme="minorHAnsi" w:hAnsiTheme="minorHAnsi" w:cstheme="minorHAnsi"/>
        </w:rPr>
        <w:t xml:space="preserve"> of taxa (</w:t>
      </w:r>
      <w:r w:rsidRPr="00747E35">
        <w:rPr>
          <w:rFonts w:asciiTheme="minorHAnsi" w:hAnsiTheme="minorHAnsi" w:cstheme="minorHAnsi"/>
        </w:rPr>
        <w:fldChar w:fldCharType="begin"/>
      </w:r>
      <w:r w:rsidRPr="00747E35">
        <w:rPr>
          <w:rFonts w:asciiTheme="minorHAnsi" w:hAnsiTheme="minorHAnsi" w:cstheme="minorHAnsi"/>
        </w:rPr>
        <w:instrText xml:space="preserve"> REF _Ref467076473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139</w:t>
      </w:r>
      <w:r w:rsidRPr="00747E35">
        <w:rPr>
          <w:rFonts w:asciiTheme="minorHAnsi" w:hAnsiTheme="minorHAnsi" w:cstheme="minorHAnsi"/>
        </w:rPr>
        <w:fldChar w:fldCharType="end"/>
      </w:r>
      <w:r w:rsidRPr="00747E35">
        <w:rPr>
          <w:rFonts w:asciiTheme="minorHAnsi" w:hAnsiTheme="minorHAnsi" w:cstheme="minorHAnsi"/>
        </w:rPr>
        <w:t>b) and seventeen assemblages occur at only one complex (</w:t>
      </w:r>
      <w:r w:rsidRPr="00747E35">
        <w:rPr>
          <w:rFonts w:asciiTheme="minorHAnsi" w:hAnsiTheme="minorHAnsi" w:cstheme="minorHAnsi"/>
        </w:rPr>
        <w:fldChar w:fldCharType="begin"/>
      </w:r>
      <w:r w:rsidRPr="00747E35">
        <w:rPr>
          <w:rFonts w:asciiTheme="minorHAnsi" w:hAnsiTheme="minorHAnsi" w:cstheme="minorHAnsi"/>
        </w:rPr>
        <w:instrText xml:space="preserve"> REF _Ref467076473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139</w:t>
      </w:r>
      <w:r w:rsidRPr="00747E35">
        <w:rPr>
          <w:rFonts w:asciiTheme="minorHAnsi" w:hAnsiTheme="minorHAnsi" w:cstheme="minorHAnsi"/>
        </w:rPr>
        <w:fldChar w:fldCharType="end"/>
      </w:r>
      <w:r w:rsidRPr="00747E35">
        <w:rPr>
          <w:rFonts w:asciiTheme="minorHAnsi" w:hAnsiTheme="minorHAnsi" w:cstheme="minorHAnsi"/>
        </w:rPr>
        <w:t>b).  Many complexes from Lake Eyre contain the same assemblage or contain assemblages that are highly similar (</w:t>
      </w:r>
      <w:r w:rsidRPr="00747E35">
        <w:rPr>
          <w:rFonts w:asciiTheme="minorHAnsi" w:hAnsiTheme="minorHAnsi" w:cstheme="minorHAnsi"/>
        </w:rPr>
        <w:fldChar w:fldCharType="begin"/>
      </w:r>
      <w:r w:rsidRPr="00747E35">
        <w:rPr>
          <w:rFonts w:asciiTheme="minorHAnsi" w:hAnsiTheme="minorHAnsi" w:cstheme="minorHAnsi"/>
        </w:rPr>
        <w:instrText xml:space="preserve"> REF _Ref467076473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139</w:t>
      </w:r>
      <w:r w:rsidRPr="00747E35">
        <w:rPr>
          <w:rFonts w:asciiTheme="minorHAnsi" w:hAnsiTheme="minorHAnsi" w:cstheme="minorHAnsi"/>
        </w:rPr>
        <w:fldChar w:fldCharType="end"/>
      </w:r>
      <w:r w:rsidRPr="00747E35">
        <w:rPr>
          <w:rFonts w:asciiTheme="minorHAnsi" w:hAnsiTheme="minorHAnsi" w:cstheme="minorHAnsi"/>
        </w:rPr>
        <w:t>a, b; assemblages 1, 2, 3 and 4 or assemblages 31, 32 and 33).  Complexes from the Eulo, Barcaldine and Dalhousie supergroups host assemblages that are generally dissimilar to all others (</w:t>
      </w:r>
      <w:r w:rsidRPr="00747E35">
        <w:rPr>
          <w:rFonts w:asciiTheme="minorHAnsi" w:hAnsiTheme="minorHAnsi" w:cstheme="minorHAnsi"/>
        </w:rPr>
        <w:fldChar w:fldCharType="begin"/>
      </w:r>
      <w:r w:rsidRPr="00747E35">
        <w:rPr>
          <w:rFonts w:asciiTheme="minorHAnsi" w:hAnsiTheme="minorHAnsi" w:cstheme="minorHAnsi"/>
        </w:rPr>
        <w:instrText xml:space="preserve"> REF _Ref467076473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139</w:t>
      </w:r>
      <w:r w:rsidRPr="00747E35">
        <w:rPr>
          <w:rFonts w:asciiTheme="minorHAnsi" w:hAnsiTheme="minorHAnsi" w:cstheme="minorHAnsi"/>
        </w:rPr>
        <w:fldChar w:fldCharType="end"/>
      </w:r>
      <w:r w:rsidRPr="00747E35">
        <w:rPr>
          <w:rFonts w:asciiTheme="minorHAnsi" w:hAnsiTheme="minorHAnsi" w:cstheme="minorHAnsi"/>
        </w:rPr>
        <w:t xml:space="preserve">a, b; assemblages 12 - 25), though a small number of equally distinctive examples exists in Lake Eyre (assemblages 8, 9, 10 and 13).  One assemblage that is found at complexes from different supergroups (assemblage 19), contains a broadly distributed plant species (UFEN, </w:t>
      </w:r>
      <w:r w:rsidRPr="00747E35">
        <w:rPr>
          <w:rFonts w:asciiTheme="minorHAnsi" w:hAnsiTheme="minorHAnsi" w:cstheme="minorHAnsi"/>
          <w:i/>
        </w:rPr>
        <w:t>Utricularia fenshamii</w:t>
      </w:r>
      <w:r w:rsidRPr="00747E35">
        <w:rPr>
          <w:rFonts w:asciiTheme="minorHAnsi" w:hAnsiTheme="minorHAnsi" w:cstheme="minorHAnsi"/>
        </w:rPr>
        <w:t>) and little else (</w:t>
      </w:r>
      <w:r w:rsidRPr="00747E35">
        <w:rPr>
          <w:rFonts w:asciiTheme="minorHAnsi" w:hAnsiTheme="minorHAnsi" w:cstheme="minorHAnsi"/>
        </w:rPr>
        <w:fldChar w:fldCharType="begin"/>
      </w:r>
      <w:r w:rsidRPr="00747E35">
        <w:rPr>
          <w:rFonts w:asciiTheme="minorHAnsi" w:hAnsiTheme="minorHAnsi" w:cstheme="minorHAnsi"/>
        </w:rPr>
        <w:instrText xml:space="preserve"> REF _Ref467076473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139</w:t>
      </w:r>
      <w:r w:rsidRPr="00747E35">
        <w:rPr>
          <w:rFonts w:asciiTheme="minorHAnsi" w:hAnsiTheme="minorHAnsi" w:cstheme="minorHAnsi"/>
        </w:rPr>
        <w:fldChar w:fldCharType="end"/>
      </w:r>
      <w:r w:rsidRPr="00747E35">
        <w:rPr>
          <w:rFonts w:asciiTheme="minorHAnsi" w:hAnsiTheme="minorHAnsi" w:cstheme="minorHAnsi"/>
        </w:rPr>
        <w:t>c).</w:t>
      </w:r>
    </w:p>
    <w:p w14:paraId="1979CFBB" w14:textId="77777777" w:rsidR="0044478E" w:rsidRPr="00747E35" w:rsidRDefault="0044478E" w:rsidP="0044478E">
      <w:pPr>
        <w:pStyle w:val="BRNormal11pt0"/>
        <w:rPr>
          <w:rFonts w:asciiTheme="minorHAnsi" w:hAnsiTheme="minorHAnsi" w:cstheme="minorHAnsi"/>
        </w:rPr>
      </w:pPr>
      <w:bookmarkStart w:id="402" w:name="_Ref453232595"/>
      <w:r w:rsidRPr="00747E35">
        <w:rPr>
          <w:rFonts w:asciiTheme="minorHAnsi" w:hAnsiTheme="minorHAnsi" w:cstheme="minorHAnsi"/>
          <w:noProof/>
          <w:lang w:val="en-AU" w:eastAsia="en-AU"/>
        </w:rPr>
        <w:lastRenderedPageBreak/>
        <w:drawing>
          <wp:inline distT="0" distB="0" distL="0" distR="0" wp14:anchorId="5F8CCB3D" wp14:editId="70B6C1C1">
            <wp:extent cx="6162675" cy="8502790"/>
            <wp:effectExtent l="0" t="0" r="0" b="0"/>
            <wp:docPr id="6" name="Picture 6" descr="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cstate="screen">
                      <a:extLst>
                        <a:ext uri="{28A0092B-C50C-407E-A947-70E740481C1C}">
                          <a14:useLocalDpi xmlns:a14="http://schemas.microsoft.com/office/drawing/2010/main"/>
                        </a:ext>
                      </a:extLst>
                    </a:blip>
                    <a:srcRect/>
                    <a:stretch>
                      <a:fillRect/>
                    </a:stretch>
                  </pic:blipFill>
                  <pic:spPr bwMode="auto">
                    <a:xfrm>
                      <a:off x="0" y="0"/>
                      <a:ext cx="6170928" cy="8514177"/>
                    </a:xfrm>
                    <a:prstGeom prst="rect">
                      <a:avLst/>
                    </a:prstGeom>
                    <a:noFill/>
                  </pic:spPr>
                </pic:pic>
              </a:graphicData>
            </a:graphic>
          </wp:inline>
        </w:drawing>
      </w:r>
    </w:p>
    <w:p w14:paraId="7122EF54" w14:textId="77777777" w:rsidR="0044478E" w:rsidRPr="00747E35" w:rsidRDefault="0044478E" w:rsidP="00566456">
      <w:pPr>
        <w:pStyle w:val="Caption"/>
        <w:numPr>
          <w:ilvl w:val="0"/>
          <w:numId w:val="0"/>
        </w:numPr>
        <w:rPr>
          <w:rFonts w:cstheme="minorHAnsi"/>
        </w:rPr>
      </w:pPr>
      <w:bookmarkStart w:id="403" w:name="_Ref453340534"/>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138</w:t>
      </w:r>
      <w:r w:rsidR="009D6600" w:rsidRPr="00747E35">
        <w:rPr>
          <w:rFonts w:cstheme="minorHAnsi"/>
          <w:noProof/>
        </w:rPr>
        <w:fldChar w:fldCharType="end"/>
      </w:r>
      <w:bookmarkEnd w:id="402"/>
      <w:bookmarkEnd w:id="403"/>
      <w:r w:rsidRPr="00747E35">
        <w:rPr>
          <w:rFonts w:cstheme="minorHAnsi"/>
        </w:rPr>
        <w:t xml:space="preserve">: Spatial variation in biodiversity attributes of spring complexes.  Spring complexes belonging to each supergroup are enclosed by dashed lines. </w:t>
      </w:r>
    </w:p>
    <w:p w14:paraId="644464C5" w14:textId="77777777" w:rsidR="0044478E" w:rsidRPr="00747E35" w:rsidRDefault="0044478E" w:rsidP="0044478E">
      <w:pPr>
        <w:rPr>
          <w:rFonts w:asciiTheme="minorHAnsi" w:hAnsiTheme="minorHAnsi" w:cstheme="minorHAnsi"/>
        </w:rPr>
      </w:pPr>
    </w:p>
    <w:p w14:paraId="2EDAD221" w14:textId="77777777" w:rsidR="0044478E" w:rsidRPr="00747E35" w:rsidRDefault="0044478E" w:rsidP="0044478E">
      <w:pPr>
        <w:rPr>
          <w:rFonts w:asciiTheme="minorHAnsi" w:hAnsiTheme="minorHAnsi" w:cstheme="minorHAnsi"/>
        </w:rPr>
        <w:sectPr w:rsidR="0044478E" w:rsidRPr="00747E35" w:rsidSect="0044478E">
          <w:pgSz w:w="11906" w:h="16838"/>
          <w:pgMar w:top="1134" w:right="1134" w:bottom="1134" w:left="1134" w:header="709" w:footer="709" w:gutter="0"/>
          <w:cols w:space="708"/>
          <w:docGrid w:linePitch="360"/>
        </w:sectPr>
      </w:pPr>
    </w:p>
    <w:p w14:paraId="1BBBF96F" w14:textId="77777777" w:rsidR="0044478E" w:rsidRPr="00747E35" w:rsidRDefault="0044478E" w:rsidP="00566456">
      <w:pPr>
        <w:pStyle w:val="Caption"/>
        <w:numPr>
          <w:ilvl w:val="0"/>
          <w:numId w:val="0"/>
        </w:numPr>
        <w:rPr>
          <w:rFonts w:cstheme="minorHAnsi"/>
        </w:rPr>
      </w:pPr>
      <w:bookmarkStart w:id="404" w:name="_Ref453232673"/>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37</w:t>
      </w:r>
      <w:r w:rsidR="009D6600" w:rsidRPr="00747E35">
        <w:rPr>
          <w:rFonts w:cstheme="minorHAnsi"/>
          <w:noProof/>
        </w:rPr>
        <w:fldChar w:fldCharType="end"/>
      </w:r>
      <w:bookmarkEnd w:id="404"/>
      <w:r w:rsidRPr="00747E35">
        <w:rPr>
          <w:rFonts w:cstheme="minorHAnsi"/>
        </w:rPr>
        <w:t xml:space="preserve">: </w:t>
      </w:r>
      <w:r w:rsidRPr="00747E35">
        <w:rPr>
          <w:rFonts w:cstheme="minorHAnsi"/>
          <w:b/>
        </w:rPr>
        <w:t xml:space="preserve"> </w:t>
      </w:r>
      <w:r w:rsidRPr="00747E35">
        <w:rPr>
          <w:rFonts w:cstheme="minorHAnsi"/>
        </w:rPr>
        <w:t>Parameter estimates (± SE) and significance levels from the hurdle multiple regression models relating environmental variables to biodiversity attributes. Also shown are measures of model performance including the correct classification rate and AUC value for the binomial (0/1) component of the model, and the pseudo R</w:t>
      </w:r>
      <w:r w:rsidRPr="00747E35">
        <w:rPr>
          <w:rFonts w:cstheme="minorHAnsi"/>
          <w:vertAlign w:val="superscript"/>
        </w:rPr>
        <w:t>2</w:t>
      </w:r>
      <w:r w:rsidRPr="00747E35">
        <w:rPr>
          <w:rFonts w:cstheme="minorHAnsi"/>
        </w:rPr>
        <w:t xml:space="preserve"> for the non-zero components (biodiversity attributes). (AUC = area under the receiver operating characteristic curve)</w:t>
      </w:r>
    </w:p>
    <w:tbl>
      <w:tblPr>
        <w:tblW w:w="0" w:type="auto"/>
        <w:tblLayout w:type="fixed"/>
        <w:tblCellMar>
          <w:left w:w="57" w:type="dxa"/>
          <w:right w:w="57" w:type="dxa"/>
        </w:tblCellMar>
        <w:tblLook w:val="04A0" w:firstRow="1" w:lastRow="0" w:firstColumn="1" w:lastColumn="0" w:noHBand="0" w:noVBand="1"/>
      </w:tblPr>
      <w:tblGrid>
        <w:gridCol w:w="2098"/>
        <w:gridCol w:w="992"/>
        <w:gridCol w:w="567"/>
        <w:gridCol w:w="992"/>
        <w:gridCol w:w="567"/>
        <w:gridCol w:w="992"/>
        <w:gridCol w:w="567"/>
        <w:gridCol w:w="992"/>
        <w:gridCol w:w="567"/>
        <w:gridCol w:w="992"/>
        <w:gridCol w:w="567"/>
        <w:gridCol w:w="992"/>
        <w:gridCol w:w="567"/>
        <w:gridCol w:w="992"/>
        <w:gridCol w:w="567"/>
        <w:gridCol w:w="992"/>
        <w:gridCol w:w="567"/>
      </w:tblGrid>
      <w:tr w:rsidR="0044478E" w:rsidRPr="00747E35" w14:paraId="260B93EE" w14:textId="77777777" w:rsidTr="00C6582F">
        <w:trPr>
          <w:trHeight w:val="20"/>
        </w:trPr>
        <w:tc>
          <w:tcPr>
            <w:tcW w:w="2098" w:type="dxa"/>
            <w:tcBorders>
              <w:top w:val="single" w:sz="4" w:space="0" w:color="auto"/>
            </w:tcBorders>
            <w:shd w:val="clear" w:color="auto" w:fill="DEEAF6" w:themeFill="accent1" w:themeFillTint="33"/>
            <w:noWrap/>
            <w:vAlign w:val="bottom"/>
          </w:tcPr>
          <w:p w14:paraId="155CC8B4" w14:textId="77777777" w:rsidR="0044478E" w:rsidRPr="00747E35" w:rsidRDefault="0044478E" w:rsidP="0044478E">
            <w:pPr>
              <w:pStyle w:val="TableHead"/>
              <w:spacing w:before="0" w:after="0"/>
              <w:rPr>
                <w:rFonts w:asciiTheme="minorHAnsi" w:hAnsiTheme="minorHAnsi" w:cstheme="minorHAnsi"/>
              </w:rPr>
            </w:pPr>
          </w:p>
        </w:tc>
        <w:tc>
          <w:tcPr>
            <w:tcW w:w="1559" w:type="dxa"/>
            <w:gridSpan w:val="2"/>
            <w:tcBorders>
              <w:top w:val="single" w:sz="4" w:space="0" w:color="auto"/>
            </w:tcBorders>
            <w:shd w:val="clear" w:color="auto" w:fill="DEEAF6" w:themeFill="accent1" w:themeFillTint="33"/>
            <w:noWrap/>
            <w:vAlign w:val="bottom"/>
          </w:tcPr>
          <w:p w14:paraId="238C6FC5" w14:textId="77777777" w:rsidR="0044478E" w:rsidRPr="00747E35" w:rsidRDefault="0044478E" w:rsidP="0044478E">
            <w:pPr>
              <w:pStyle w:val="TableHead"/>
              <w:spacing w:before="0" w:after="0"/>
              <w:rPr>
                <w:rFonts w:asciiTheme="minorHAnsi" w:hAnsiTheme="minorHAnsi" w:cstheme="minorHAnsi"/>
              </w:rPr>
            </w:pPr>
          </w:p>
        </w:tc>
        <w:tc>
          <w:tcPr>
            <w:tcW w:w="10913" w:type="dxa"/>
            <w:gridSpan w:val="14"/>
            <w:tcBorders>
              <w:top w:val="single" w:sz="4" w:space="0" w:color="auto"/>
              <w:bottom w:val="single" w:sz="4" w:space="0" w:color="auto"/>
            </w:tcBorders>
            <w:shd w:val="clear" w:color="auto" w:fill="DEEAF6" w:themeFill="accent1" w:themeFillTint="33"/>
            <w:vAlign w:val="bottom"/>
          </w:tcPr>
          <w:p w14:paraId="5DA88BE4"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non-zero component</w:t>
            </w:r>
          </w:p>
        </w:tc>
      </w:tr>
      <w:tr w:rsidR="0044478E" w:rsidRPr="00747E35" w14:paraId="0A660F4F" w14:textId="77777777" w:rsidTr="00C6582F">
        <w:trPr>
          <w:trHeight w:val="20"/>
        </w:trPr>
        <w:tc>
          <w:tcPr>
            <w:tcW w:w="2098" w:type="dxa"/>
            <w:vMerge w:val="restart"/>
            <w:shd w:val="clear" w:color="auto" w:fill="DEEAF6" w:themeFill="accent1" w:themeFillTint="33"/>
            <w:noWrap/>
            <w:vAlign w:val="bottom"/>
            <w:hideMark/>
          </w:tcPr>
          <w:p w14:paraId="2536CCBB"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Predictor variable</w:t>
            </w:r>
          </w:p>
        </w:tc>
        <w:tc>
          <w:tcPr>
            <w:tcW w:w="1559" w:type="dxa"/>
            <w:gridSpan w:val="2"/>
            <w:tcBorders>
              <w:bottom w:val="single" w:sz="4" w:space="0" w:color="auto"/>
            </w:tcBorders>
            <w:shd w:val="clear" w:color="auto" w:fill="DEEAF6" w:themeFill="accent1" w:themeFillTint="33"/>
            <w:noWrap/>
            <w:vAlign w:val="bottom"/>
            <w:hideMark/>
          </w:tcPr>
          <w:p w14:paraId="4258EF69"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0/1 component</w:t>
            </w:r>
          </w:p>
        </w:tc>
        <w:tc>
          <w:tcPr>
            <w:tcW w:w="1559" w:type="dxa"/>
            <w:gridSpan w:val="2"/>
            <w:tcBorders>
              <w:top w:val="single" w:sz="4" w:space="0" w:color="auto"/>
              <w:bottom w:val="single" w:sz="4" w:space="0" w:color="auto"/>
            </w:tcBorders>
            <w:shd w:val="clear" w:color="auto" w:fill="DEEAF6" w:themeFill="accent1" w:themeFillTint="33"/>
            <w:vAlign w:val="bottom"/>
            <w:hideMark/>
          </w:tcPr>
          <w:p w14:paraId="68E561F0"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Taxonomic Richness (S)</w:t>
            </w:r>
          </w:p>
        </w:tc>
        <w:tc>
          <w:tcPr>
            <w:tcW w:w="1559" w:type="dxa"/>
            <w:gridSpan w:val="2"/>
            <w:tcBorders>
              <w:top w:val="single" w:sz="4" w:space="0" w:color="auto"/>
              <w:bottom w:val="single" w:sz="4" w:space="0" w:color="auto"/>
            </w:tcBorders>
            <w:shd w:val="clear" w:color="auto" w:fill="DEEAF6" w:themeFill="accent1" w:themeFillTint="33"/>
            <w:vAlign w:val="bottom"/>
            <w:hideMark/>
          </w:tcPr>
          <w:p w14:paraId="42EB2960"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Taxonomic Diversity (H')</w:t>
            </w:r>
          </w:p>
        </w:tc>
        <w:tc>
          <w:tcPr>
            <w:tcW w:w="1559" w:type="dxa"/>
            <w:gridSpan w:val="2"/>
            <w:tcBorders>
              <w:top w:val="single" w:sz="4" w:space="0" w:color="auto"/>
              <w:bottom w:val="single" w:sz="4" w:space="0" w:color="auto"/>
            </w:tcBorders>
            <w:shd w:val="clear" w:color="auto" w:fill="DEEAF6" w:themeFill="accent1" w:themeFillTint="33"/>
            <w:vAlign w:val="bottom"/>
            <w:hideMark/>
          </w:tcPr>
          <w:p w14:paraId="529F2503"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Taxonomic Endemism (TE)</w:t>
            </w:r>
          </w:p>
        </w:tc>
        <w:tc>
          <w:tcPr>
            <w:tcW w:w="1559" w:type="dxa"/>
            <w:gridSpan w:val="2"/>
            <w:tcBorders>
              <w:top w:val="single" w:sz="4" w:space="0" w:color="auto"/>
              <w:bottom w:val="single" w:sz="4" w:space="0" w:color="auto"/>
            </w:tcBorders>
            <w:shd w:val="clear" w:color="auto" w:fill="DEEAF6" w:themeFill="accent1" w:themeFillTint="33"/>
            <w:vAlign w:val="bottom"/>
            <w:hideMark/>
          </w:tcPr>
          <w:p w14:paraId="3E5BB576"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Phylogenetic Diversity (PD)</w:t>
            </w:r>
          </w:p>
        </w:tc>
        <w:tc>
          <w:tcPr>
            <w:tcW w:w="1559" w:type="dxa"/>
            <w:gridSpan w:val="2"/>
            <w:tcBorders>
              <w:top w:val="single" w:sz="4" w:space="0" w:color="auto"/>
              <w:bottom w:val="single" w:sz="4" w:space="0" w:color="auto"/>
            </w:tcBorders>
            <w:shd w:val="clear" w:color="auto" w:fill="DEEAF6" w:themeFill="accent1" w:themeFillTint="33"/>
            <w:vAlign w:val="bottom"/>
            <w:hideMark/>
          </w:tcPr>
          <w:p w14:paraId="5F4D53BF"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Phylogenetic Endemism (PE)</w:t>
            </w:r>
          </w:p>
        </w:tc>
        <w:tc>
          <w:tcPr>
            <w:tcW w:w="1559" w:type="dxa"/>
            <w:gridSpan w:val="2"/>
            <w:tcBorders>
              <w:top w:val="single" w:sz="4" w:space="0" w:color="auto"/>
              <w:bottom w:val="single" w:sz="4" w:space="0" w:color="auto"/>
            </w:tcBorders>
            <w:shd w:val="clear" w:color="auto" w:fill="DEEAF6" w:themeFill="accent1" w:themeFillTint="33"/>
            <w:vAlign w:val="bottom"/>
            <w:hideMark/>
          </w:tcPr>
          <w:p w14:paraId="3492A519"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Assemblage Beta Diversity (BD)</w:t>
            </w:r>
          </w:p>
        </w:tc>
        <w:tc>
          <w:tcPr>
            <w:tcW w:w="1559" w:type="dxa"/>
            <w:gridSpan w:val="2"/>
            <w:tcBorders>
              <w:top w:val="single" w:sz="4" w:space="0" w:color="auto"/>
              <w:bottom w:val="single" w:sz="4" w:space="0" w:color="auto"/>
            </w:tcBorders>
            <w:shd w:val="clear" w:color="auto" w:fill="DEEAF6" w:themeFill="accent1" w:themeFillTint="33"/>
            <w:vAlign w:val="bottom"/>
            <w:hideMark/>
          </w:tcPr>
          <w:p w14:paraId="78D47A55"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Conservation Rank (CR)</w:t>
            </w:r>
          </w:p>
        </w:tc>
      </w:tr>
      <w:tr w:rsidR="0044478E" w:rsidRPr="00747E35" w14:paraId="6E631DD8" w14:textId="77777777" w:rsidTr="00B004E4">
        <w:trPr>
          <w:trHeight w:val="20"/>
        </w:trPr>
        <w:tc>
          <w:tcPr>
            <w:tcW w:w="2098" w:type="dxa"/>
            <w:vMerge/>
            <w:tcBorders>
              <w:bottom w:val="single" w:sz="4" w:space="0" w:color="auto"/>
            </w:tcBorders>
            <w:shd w:val="clear" w:color="auto" w:fill="DEEAF6" w:themeFill="accent1" w:themeFillTint="33"/>
            <w:noWrap/>
            <w:vAlign w:val="bottom"/>
            <w:hideMark/>
          </w:tcPr>
          <w:p w14:paraId="08660A11" w14:textId="77777777" w:rsidR="0044478E" w:rsidRPr="00747E35" w:rsidRDefault="0044478E" w:rsidP="0044478E">
            <w:pPr>
              <w:pStyle w:val="TableHead"/>
              <w:spacing w:before="0" w:after="0"/>
              <w:rPr>
                <w:rFonts w:asciiTheme="minorHAnsi" w:hAnsiTheme="minorHAnsi" w:cstheme="minorHAnsi"/>
              </w:rPr>
            </w:pPr>
          </w:p>
        </w:tc>
        <w:tc>
          <w:tcPr>
            <w:tcW w:w="992" w:type="dxa"/>
            <w:tcBorders>
              <w:top w:val="single" w:sz="4" w:space="0" w:color="auto"/>
              <w:bottom w:val="single" w:sz="4" w:space="0" w:color="auto"/>
            </w:tcBorders>
            <w:shd w:val="clear" w:color="auto" w:fill="DEEAF6" w:themeFill="accent1" w:themeFillTint="33"/>
            <w:noWrap/>
            <w:vAlign w:val="bottom"/>
            <w:hideMark/>
          </w:tcPr>
          <w:p w14:paraId="4D9CE2C6"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Estimate</w:t>
            </w:r>
          </w:p>
        </w:tc>
        <w:tc>
          <w:tcPr>
            <w:tcW w:w="567" w:type="dxa"/>
            <w:tcBorders>
              <w:top w:val="single" w:sz="4" w:space="0" w:color="auto"/>
              <w:bottom w:val="single" w:sz="4" w:space="0" w:color="auto"/>
            </w:tcBorders>
            <w:shd w:val="clear" w:color="auto" w:fill="DEEAF6" w:themeFill="accent1" w:themeFillTint="33"/>
            <w:noWrap/>
            <w:vAlign w:val="bottom"/>
            <w:hideMark/>
          </w:tcPr>
          <w:p w14:paraId="16B4B367"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P</w:t>
            </w:r>
          </w:p>
        </w:tc>
        <w:tc>
          <w:tcPr>
            <w:tcW w:w="992" w:type="dxa"/>
            <w:tcBorders>
              <w:top w:val="single" w:sz="4" w:space="0" w:color="auto"/>
              <w:bottom w:val="single" w:sz="4" w:space="0" w:color="auto"/>
            </w:tcBorders>
            <w:shd w:val="clear" w:color="auto" w:fill="DEEAF6" w:themeFill="accent1" w:themeFillTint="33"/>
            <w:noWrap/>
            <w:vAlign w:val="bottom"/>
            <w:hideMark/>
          </w:tcPr>
          <w:p w14:paraId="2D53385B"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Estimate</w:t>
            </w:r>
          </w:p>
        </w:tc>
        <w:tc>
          <w:tcPr>
            <w:tcW w:w="567" w:type="dxa"/>
            <w:tcBorders>
              <w:top w:val="single" w:sz="4" w:space="0" w:color="auto"/>
              <w:bottom w:val="single" w:sz="4" w:space="0" w:color="auto"/>
            </w:tcBorders>
            <w:shd w:val="clear" w:color="auto" w:fill="DEEAF6" w:themeFill="accent1" w:themeFillTint="33"/>
            <w:noWrap/>
            <w:vAlign w:val="bottom"/>
            <w:hideMark/>
          </w:tcPr>
          <w:p w14:paraId="6CA5CEE7"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P</w:t>
            </w:r>
          </w:p>
        </w:tc>
        <w:tc>
          <w:tcPr>
            <w:tcW w:w="992" w:type="dxa"/>
            <w:tcBorders>
              <w:top w:val="single" w:sz="4" w:space="0" w:color="auto"/>
              <w:bottom w:val="single" w:sz="4" w:space="0" w:color="auto"/>
            </w:tcBorders>
            <w:shd w:val="clear" w:color="auto" w:fill="DEEAF6" w:themeFill="accent1" w:themeFillTint="33"/>
            <w:noWrap/>
            <w:vAlign w:val="bottom"/>
            <w:hideMark/>
          </w:tcPr>
          <w:p w14:paraId="2FFF5793"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Estimate</w:t>
            </w:r>
          </w:p>
        </w:tc>
        <w:tc>
          <w:tcPr>
            <w:tcW w:w="567" w:type="dxa"/>
            <w:tcBorders>
              <w:top w:val="single" w:sz="4" w:space="0" w:color="auto"/>
              <w:bottom w:val="single" w:sz="4" w:space="0" w:color="auto"/>
            </w:tcBorders>
            <w:shd w:val="clear" w:color="auto" w:fill="DEEAF6" w:themeFill="accent1" w:themeFillTint="33"/>
            <w:noWrap/>
            <w:vAlign w:val="bottom"/>
            <w:hideMark/>
          </w:tcPr>
          <w:p w14:paraId="71CF6C5B"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P</w:t>
            </w:r>
          </w:p>
        </w:tc>
        <w:tc>
          <w:tcPr>
            <w:tcW w:w="992" w:type="dxa"/>
            <w:tcBorders>
              <w:top w:val="single" w:sz="4" w:space="0" w:color="auto"/>
              <w:bottom w:val="single" w:sz="4" w:space="0" w:color="auto"/>
            </w:tcBorders>
            <w:shd w:val="clear" w:color="auto" w:fill="DEEAF6" w:themeFill="accent1" w:themeFillTint="33"/>
            <w:noWrap/>
            <w:vAlign w:val="bottom"/>
            <w:hideMark/>
          </w:tcPr>
          <w:p w14:paraId="3D7CC39D"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Estimate</w:t>
            </w:r>
          </w:p>
        </w:tc>
        <w:tc>
          <w:tcPr>
            <w:tcW w:w="567" w:type="dxa"/>
            <w:tcBorders>
              <w:top w:val="single" w:sz="4" w:space="0" w:color="auto"/>
              <w:bottom w:val="single" w:sz="4" w:space="0" w:color="auto"/>
            </w:tcBorders>
            <w:shd w:val="clear" w:color="auto" w:fill="DEEAF6" w:themeFill="accent1" w:themeFillTint="33"/>
            <w:noWrap/>
            <w:vAlign w:val="bottom"/>
            <w:hideMark/>
          </w:tcPr>
          <w:p w14:paraId="76692EE1"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P</w:t>
            </w:r>
          </w:p>
        </w:tc>
        <w:tc>
          <w:tcPr>
            <w:tcW w:w="992" w:type="dxa"/>
            <w:tcBorders>
              <w:top w:val="single" w:sz="4" w:space="0" w:color="auto"/>
              <w:bottom w:val="single" w:sz="4" w:space="0" w:color="auto"/>
            </w:tcBorders>
            <w:shd w:val="clear" w:color="auto" w:fill="DEEAF6" w:themeFill="accent1" w:themeFillTint="33"/>
            <w:noWrap/>
            <w:vAlign w:val="bottom"/>
            <w:hideMark/>
          </w:tcPr>
          <w:p w14:paraId="3C386D91"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Estimate</w:t>
            </w:r>
          </w:p>
        </w:tc>
        <w:tc>
          <w:tcPr>
            <w:tcW w:w="567" w:type="dxa"/>
            <w:tcBorders>
              <w:top w:val="single" w:sz="4" w:space="0" w:color="auto"/>
              <w:bottom w:val="single" w:sz="4" w:space="0" w:color="auto"/>
            </w:tcBorders>
            <w:shd w:val="clear" w:color="auto" w:fill="DEEAF6" w:themeFill="accent1" w:themeFillTint="33"/>
            <w:noWrap/>
            <w:vAlign w:val="bottom"/>
            <w:hideMark/>
          </w:tcPr>
          <w:p w14:paraId="5BD02905"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P</w:t>
            </w:r>
          </w:p>
        </w:tc>
        <w:tc>
          <w:tcPr>
            <w:tcW w:w="992" w:type="dxa"/>
            <w:tcBorders>
              <w:top w:val="single" w:sz="4" w:space="0" w:color="auto"/>
              <w:bottom w:val="single" w:sz="4" w:space="0" w:color="auto"/>
            </w:tcBorders>
            <w:shd w:val="clear" w:color="auto" w:fill="DEEAF6" w:themeFill="accent1" w:themeFillTint="33"/>
            <w:noWrap/>
            <w:vAlign w:val="bottom"/>
            <w:hideMark/>
          </w:tcPr>
          <w:p w14:paraId="5BC27A62"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Estimate</w:t>
            </w:r>
          </w:p>
        </w:tc>
        <w:tc>
          <w:tcPr>
            <w:tcW w:w="567" w:type="dxa"/>
            <w:tcBorders>
              <w:top w:val="single" w:sz="4" w:space="0" w:color="auto"/>
              <w:bottom w:val="single" w:sz="4" w:space="0" w:color="auto"/>
            </w:tcBorders>
            <w:shd w:val="clear" w:color="auto" w:fill="DEEAF6" w:themeFill="accent1" w:themeFillTint="33"/>
            <w:noWrap/>
            <w:vAlign w:val="bottom"/>
            <w:hideMark/>
          </w:tcPr>
          <w:p w14:paraId="4EDDEC13"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P</w:t>
            </w:r>
          </w:p>
        </w:tc>
        <w:tc>
          <w:tcPr>
            <w:tcW w:w="992" w:type="dxa"/>
            <w:tcBorders>
              <w:top w:val="single" w:sz="4" w:space="0" w:color="auto"/>
              <w:bottom w:val="single" w:sz="4" w:space="0" w:color="auto"/>
            </w:tcBorders>
            <w:shd w:val="clear" w:color="auto" w:fill="DEEAF6" w:themeFill="accent1" w:themeFillTint="33"/>
            <w:noWrap/>
            <w:vAlign w:val="bottom"/>
            <w:hideMark/>
          </w:tcPr>
          <w:p w14:paraId="32B67303"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Estimate</w:t>
            </w:r>
          </w:p>
        </w:tc>
        <w:tc>
          <w:tcPr>
            <w:tcW w:w="567" w:type="dxa"/>
            <w:tcBorders>
              <w:top w:val="single" w:sz="4" w:space="0" w:color="auto"/>
              <w:bottom w:val="single" w:sz="4" w:space="0" w:color="auto"/>
            </w:tcBorders>
            <w:shd w:val="clear" w:color="auto" w:fill="DEEAF6" w:themeFill="accent1" w:themeFillTint="33"/>
            <w:noWrap/>
            <w:vAlign w:val="bottom"/>
            <w:hideMark/>
          </w:tcPr>
          <w:p w14:paraId="1C671954"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P</w:t>
            </w:r>
          </w:p>
        </w:tc>
        <w:tc>
          <w:tcPr>
            <w:tcW w:w="992" w:type="dxa"/>
            <w:tcBorders>
              <w:top w:val="single" w:sz="4" w:space="0" w:color="auto"/>
              <w:bottom w:val="single" w:sz="4" w:space="0" w:color="auto"/>
            </w:tcBorders>
            <w:shd w:val="clear" w:color="auto" w:fill="DEEAF6" w:themeFill="accent1" w:themeFillTint="33"/>
            <w:noWrap/>
            <w:vAlign w:val="bottom"/>
            <w:hideMark/>
          </w:tcPr>
          <w:p w14:paraId="3A4359D2"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Estimate</w:t>
            </w:r>
          </w:p>
        </w:tc>
        <w:tc>
          <w:tcPr>
            <w:tcW w:w="567" w:type="dxa"/>
            <w:tcBorders>
              <w:top w:val="single" w:sz="4" w:space="0" w:color="auto"/>
              <w:bottom w:val="single" w:sz="4" w:space="0" w:color="auto"/>
            </w:tcBorders>
            <w:shd w:val="clear" w:color="auto" w:fill="DEEAF6" w:themeFill="accent1" w:themeFillTint="33"/>
            <w:noWrap/>
            <w:vAlign w:val="bottom"/>
            <w:hideMark/>
          </w:tcPr>
          <w:p w14:paraId="44D9B0DE" w14:textId="77777777" w:rsidR="0044478E" w:rsidRPr="00747E35" w:rsidRDefault="0044478E" w:rsidP="0044478E">
            <w:pPr>
              <w:pStyle w:val="TableHead"/>
              <w:spacing w:before="0" w:after="0"/>
              <w:rPr>
                <w:rFonts w:asciiTheme="minorHAnsi" w:hAnsiTheme="minorHAnsi" w:cstheme="minorHAnsi"/>
              </w:rPr>
            </w:pPr>
            <w:r w:rsidRPr="00747E35">
              <w:rPr>
                <w:rFonts w:asciiTheme="minorHAnsi" w:hAnsiTheme="minorHAnsi" w:cstheme="minorHAnsi"/>
              </w:rPr>
              <w:t>P</w:t>
            </w:r>
          </w:p>
        </w:tc>
      </w:tr>
      <w:tr w:rsidR="0044478E" w:rsidRPr="00747E35" w14:paraId="20695A08" w14:textId="77777777" w:rsidTr="0044478E">
        <w:trPr>
          <w:trHeight w:val="20"/>
        </w:trPr>
        <w:tc>
          <w:tcPr>
            <w:tcW w:w="2098" w:type="dxa"/>
            <w:tcBorders>
              <w:top w:val="single" w:sz="4" w:space="0" w:color="auto"/>
            </w:tcBorders>
            <w:shd w:val="clear" w:color="auto" w:fill="auto"/>
            <w:noWrap/>
            <w:vAlign w:val="center"/>
            <w:hideMark/>
          </w:tcPr>
          <w:p w14:paraId="6B7CE89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Number of springs per complex</w:t>
            </w:r>
          </w:p>
        </w:tc>
        <w:tc>
          <w:tcPr>
            <w:tcW w:w="992" w:type="dxa"/>
            <w:tcBorders>
              <w:top w:val="single" w:sz="4" w:space="0" w:color="auto"/>
            </w:tcBorders>
            <w:shd w:val="clear" w:color="auto" w:fill="auto"/>
            <w:noWrap/>
            <w:vAlign w:val="center"/>
            <w:hideMark/>
          </w:tcPr>
          <w:p w14:paraId="31F301A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0.03 ± 0.01</w:t>
            </w:r>
          </w:p>
        </w:tc>
        <w:tc>
          <w:tcPr>
            <w:tcW w:w="567" w:type="dxa"/>
            <w:tcBorders>
              <w:top w:val="single" w:sz="4" w:space="0" w:color="auto"/>
            </w:tcBorders>
            <w:shd w:val="clear" w:color="auto" w:fill="auto"/>
            <w:noWrap/>
            <w:vAlign w:val="center"/>
            <w:hideMark/>
          </w:tcPr>
          <w:p w14:paraId="5294458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0.000</w:t>
            </w:r>
          </w:p>
        </w:tc>
        <w:tc>
          <w:tcPr>
            <w:tcW w:w="992" w:type="dxa"/>
            <w:tcBorders>
              <w:top w:val="single" w:sz="4" w:space="0" w:color="auto"/>
            </w:tcBorders>
            <w:shd w:val="clear" w:color="auto" w:fill="auto"/>
            <w:noWrap/>
            <w:vAlign w:val="center"/>
            <w:hideMark/>
          </w:tcPr>
          <w:p w14:paraId="1D3D2E28" w14:textId="77777777" w:rsidR="0044478E" w:rsidRPr="00747E35" w:rsidRDefault="0044478E" w:rsidP="0044478E">
            <w:pPr>
              <w:pStyle w:val="Tabletext"/>
              <w:spacing w:before="0" w:after="0"/>
              <w:rPr>
                <w:rFonts w:cstheme="minorHAnsi"/>
                <w:lang w:eastAsia="en-AU"/>
              </w:rPr>
            </w:pPr>
          </w:p>
        </w:tc>
        <w:tc>
          <w:tcPr>
            <w:tcW w:w="567" w:type="dxa"/>
            <w:tcBorders>
              <w:top w:val="single" w:sz="4" w:space="0" w:color="auto"/>
            </w:tcBorders>
            <w:shd w:val="clear" w:color="auto" w:fill="auto"/>
            <w:noWrap/>
            <w:vAlign w:val="center"/>
            <w:hideMark/>
          </w:tcPr>
          <w:p w14:paraId="4F2078A4" w14:textId="77777777" w:rsidR="0044478E" w:rsidRPr="00747E35" w:rsidRDefault="0044478E" w:rsidP="0044478E">
            <w:pPr>
              <w:pStyle w:val="Tabletext"/>
              <w:spacing w:before="0" w:after="0"/>
              <w:rPr>
                <w:rFonts w:cstheme="minorHAnsi"/>
                <w:lang w:eastAsia="en-AU"/>
              </w:rPr>
            </w:pPr>
          </w:p>
        </w:tc>
        <w:tc>
          <w:tcPr>
            <w:tcW w:w="992" w:type="dxa"/>
            <w:tcBorders>
              <w:top w:val="single" w:sz="4" w:space="0" w:color="auto"/>
            </w:tcBorders>
            <w:shd w:val="clear" w:color="auto" w:fill="auto"/>
            <w:noWrap/>
            <w:vAlign w:val="center"/>
            <w:hideMark/>
          </w:tcPr>
          <w:p w14:paraId="2BC109B1" w14:textId="77777777" w:rsidR="0044478E" w:rsidRPr="00747E35" w:rsidRDefault="0044478E" w:rsidP="0044478E">
            <w:pPr>
              <w:pStyle w:val="Tabletext"/>
              <w:spacing w:before="0" w:after="0"/>
              <w:rPr>
                <w:rFonts w:cstheme="minorHAnsi"/>
                <w:lang w:eastAsia="en-AU"/>
              </w:rPr>
            </w:pPr>
          </w:p>
        </w:tc>
        <w:tc>
          <w:tcPr>
            <w:tcW w:w="567" w:type="dxa"/>
            <w:tcBorders>
              <w:top w:val="single" w:sz="4" w:space="0" w:color="auto"/>
            </w:tcBorders>
            <w:shd w:val="clear" w:color="auto" w:fill="auto"/>
            <w:noWrap/>
            <w:vAlign w:val="center"/>
            <w:hideMark/>
          </w:tcPr>
          <w:p w14:paraId="279D842C" w14:textId="77777777" w:rsidR="0044478E" w:rsidRPr="00747E35" w:rsidRDefault="0044478E" w:rsidP="0044478E">
            <w:pPr>
              <w:pStyle w:val="Tabletext"/>
              <w:spacing w:before="0" w:after="0"/>
              <w:rPr>
                <w:rFonts w:cstheme="minorHAnsi"/>
                <w:lang w:eastAsia="en-AU"/>
              </w:rPr>
            </w:pPr>
          </w:p>
        </w:tc>
        <w:tc>
          <w:tcPr>
            <w:tcW w:w="992" w:type="dxa"/>
            <w:tcBorders>
              <w:top w:val="single" w:sz="4" w:space="0" w:color="auto"/>
            </w:tcBorders>
            <w:shd w:val="clear" w:color="auto" w:fill="auto"/>
            <w:noWrap/>
            <w:vAlign w:val="center"/>
            <w:hideMark/>
          </w:tcPr>
          <w:p w14:paraId="60E460A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0.01 ± 0.00</w:t>
            </w:r>
          </w:p>
        </w:tc>
        <w:tc>
          <w:tcPr>
            <w:tcW w:w="567" w:type="dxa"/>
            <w:tcBorders>
              <w:top w:val="single" w:sz="4" w:space="0" w:color="auto"/>
            </w:tcBorders>
            <w:shd w:val="clear" w:color="auto" w:fill="auto"/>
            <w:noWrap/>
            <w:vAlign w:val="center"/>
            <w:hideMark/>
          </w:tcPr>
          <w:p w14:paraId="345CCA4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0.10</w:t>
            </w:r>
          </w:p>
        </w:tc>
        <w:tc>
          <w:tcPr>
            <w:tcW w:w="992" w:type="dxa"/>
            <w:tcBorders>
              <w:top w:val="single" w:sz="4" w:space="0" w:color="auto"/>
            </w:tcBorders>
            <w:shd w:val="clear" w:color="auto" w:fill="auto"/>
            <w:noWrap/>
            <w:vAlign w:val="center"/>
            <w:hideMark/>
          </w:tcPr>
          <w:p w14:paraId="66C7BC16" w14:textId="77777777" w:rsidR="0044478E" w:rsidRPr="00747E35" w:rsidRDefault="0044478E" w:rsidP="0044478E">
            <w:pPr>
              <w:pStyle w:val="Tabletext"/>
              <w:spacing w:before="0" w:after="0"/>
              <w:rPr>
                <w:rFonts w:cstheme="minorHAnsi"/>
                <w:lang w:eastAsia="en-AU"/>
              </w:rPr>
            </w:pPr>
          </w:p>
        </w:tc>
        <w:tc>
          <w:tcPr>
            <w:tcW w:w="567" w:type="dxa"/>
            <w:tcBorders>
              <w:top w:val="single" w:sz="4" w:space="0" w:color="auto"/>
            </w:tcBorders>
            <w:shd w:val="clear" w:color="auto" w:fill="auto"/>
            <w:noWrap/>
            <w:vAlign w:val="center"/>
            <w:hideMark/>
          </w:tcPr>
          <w:p w14:paraId="178772BC" w14:textId="77777777" w:rsidR="0044478E" w:rsidRPr="00747E35" w:rsidRDefault="0044478E" w:rsidP="0044478E">
            <w:pPr>
              <w:pStyle w:val="Tabletext"/>
              <w:spacing w:before="0" w:after="0"/>
              <w:rPr>
                <w:rFonts w:cstheme="minorHAnsi"/>
                <w:lang w:eastAsia="en-AU"/>
              </w:rPr>
            </w:pPr>
          </w:p>
        </w:tc>
        <w:tc>
          <w:tcPr>
            <w:tcW w:w="992" w:type="dxa"/>
            <w:tcBorders>
              <w:top w:val="single" w:sz="4" w:space="0" w:color="auto"/>
            </w:tcBorders>
            <w:shd w:val="clear" w:color="auto" w:fill="auto"/>
            <w:noWrap/>
            <w:vAlign w:val="center"/>
            <w:hideMark/>
          </w:tcPr>
          <w:p w14:paraId="42494880" w14:textId="77777777" w:rsidR="0044478E" w:rsidRPr="00747E35" w:rsidRDefault="0044478E" w:rsidP="0044478E">
            <w:pPr>
              <w:pStyle w:val="Tabletext"/>
              <w:spacing w:before="0" w:after="0"/>
              <w:rPr>
                <w:rFonts w:cstheme="minorHAnsi"/>
                <w:lang w:eastAsia="en-AU"/>
              </w:rPr>
            </w:pPr>
          </w:p>
        </w:tc>
        <w:tc>
          <w:tcPr>
            <w:tcW w:w="567" w:type="dxa"/>
            <w:tcBorders>
              <w:top w:val="single" w:sz="4" w:space="0" w:color="auto"/>
            </w:tcBorders>
            <w:shd w:val="clear" w:color="auto" w:fill="auto"/>
            <w:noWrap/>
            <w:vAlign w:val="center"/>
            <w:hideMark/>
          </w:tcPr>
          <w:p w14:paraId="106F24CE" w14:textId="77777777" w:rsidR="0044478E" w:rsidRPr="00747E35" w:rsidRDefault="0044478E" w:rsidP="0044478E">
            <w:pPr>
              <w:pStyle w:val="Tabletext"/>
              <w:spacing w:before="0" w:after="0"/>
              <w:rPr>
                <w:rFonts w:cstheme="minorHAnsi"/>
                <w:lang w:eastAsia="en-AU"/>
              </w:rPr>
            </w:pPr>
          </w:p>
        </w:tc>
        <w:tc>
          <w:tcPr>
            <w:tcW w:w="992" w:type="dxa"/>
            <w:tcBorders>
              <w:top w:val="single" w:sz="4" w:space="0" w:color="auto"/>
            </w:tcBorders>
            <w:shd w:val="clear" w:color="auto" w:fill="auto"/>
            <w:noWrap/>
            <w:vAlign w:val="center"/>
            <w:hideMark/>
          </w:tcPr>
          <w:p w14:paraId="12E39F32" w14:textId="77777777" w:rsidR="0044478E" w:rsidRPr="00747E35" w:rsidRDefault="0044478E" w:rsidP="0044478E">
            <w:pPr>
              <w:pStyle w:val="Tabletext"/>
              <w:spacing w:before="0" w:after="0"/>
              <w:rPr>
                <w:rFonts w:cstheme="minorHAnsi"/>
                <w:lang w:eastAsia="en-AU"/>
              </w:rPr>
            </w:pPr>
          </w:p>
        </w:tc>
        <w:tc>
          <w:tcPr>
            <w:tcW w:w="567" w:type="dxa"/>
            <w:tcBorders>
              <w:top w:val="single" w:sz="4" w:space="0" w:color="auto"/>
            </w:tcBorders>
            <w:shd w:val="clear" w:color="auto" w:fill="auto"/>
            <w:noWrap/>
            <w:vAlign w:val="center"/>
            <w:hideMark/>
          </w:tcPr>
          <w:p w14:paraId="415F0905" w14:textId="77777777" w:rsidR="0044478E" w:rsidRPr="00747E35" w:rsidRDefault="0044478E" w:rsidP="0044478E">
            <w:pPr>
              <w:pStyle w:val="Tabletext"/>
              <w:spacing w:before="0" w:after="0"/>
              <w:rPr>
                <w:rFonts w:cstheme="minorHAnsi"/>
                <w:lang w:eastAsia="en-AU"/>
              </w:rPr>
            </w:pPr>
          </w:p>
        </w:tc>
        <w:tc>
          <w:tcPr>
            <w:tcW w:w="992" w:type="dxa"/>
            <w:tcBorders>
              <w:top w:val="single" w:sz="4" w:space="0" w:color="auto"/>
            </w:tcBorders>
            <w:shd w:val="clear" w:color="auto" w:fill="auto"/>
            <w:noWrap/>
            <w:vAlign w:val="center"/>
            <w:hideMark/>
          </w:tcPr>
          <w:p w14:paraId="75E9E612" w14:textId="77777777" w:rsidR="0044478E" w:rsidRPr="00747E35" w:rsidRDefault="0044478E" w:rsidP="0044478E">
            <w:pPr>
              <w:pStyle w:val="Tabletext"/>
              <w:spacing w:before="0" w:after="0"/>
              <w:rPr>
                <w:rFonts w:cstheme="minorHAnsi"/>
                <w:lang w:eastAsia="en-AU"/>
              </w:rPr>
            </w:pPr>
          </w:p>
        </w:tc>
        <w:tc>
          <w:tcPr>
            <w:tcW w:w="567" w:type="dxa"/>
            <w:tcBorders>
              <w:top w:val="single" w:sz="4" w:space="0" w:color="auto"/>
            </w:tcBorders>
            <w:shd w:val="clear" w:color="auto" w:fill="auto"/>
            <w:noWrap/>
            <w:vAlign w:val="center"/>
            <w:hideMark/>
          </w:tcPr>
          <w:p w14:paraId="292C37E7" w14:textId="77777777" w:rsidR="0044478E" w:rsidRPr="00747E35" w:rsidRDefault="0044478E" w:rsidP="0044478E">
            <w:pPr>
              <w:pStyle w:val="Tabletext"/>
              <w:spacing w:before="0" w:after="0"/>
              <w:rPr>
                <w:rFonts w:cstheme="minorHAnsi"/>
                <w:lang w:eastAsia="en-AU"/>
              </w:rPr>
            </w:pPr>
          </w:p>
        </w:tc>
      </w:tr>
      <w:tr w:rsidR="0044478E" w:rsidRPr="00747E35" w14:paraId="3F9CB321" w14:textId="77777777" w:rsidTr="0044478E">
        <w:trPr>
          <w:trHeight w:val="20"/>
        </w:trPr>
        <w:tc>
          <w:tcPr>
            <w:tcW w:w="2098" w:type="dxa"/>
            <w:shd w:val="clear" w:color="auto" w:fill="auto"/>
            <w:noWrap/>
            <w:vAlign w:val="center"/>
            <w:hideMark/>
          </w:tcPr>
          <w:p w14:paraId="04AFB8D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Complex area</w:t>
            </w:r>
          </w:p>
        </w:tc>
        <w:tc>
          <w:tcPr>
            <w:tcW w:w="992" w:type="dxa"/>
            <w:shd w:val="clear" w:color="auto" w:fill="auto"/>
            <w:noWrap/>
            <w:vAlign w:val="center"/>
            <w:hideMark/>
          </w:tcPr>
          <w:p w14:paraId="64526146"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476AA67A"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61816D4F"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0.33 ± 0.05</w:t>
            </w:r>
          </w:p>
        </w:tc>
        <w:tc>
          <w:tcPr>
            <w:tcW w:w="567" w:type="dxa"/>
            <w:shd w:val="clear" w:color="auto" w:fill="auto"/>
            <w:noWrap/>
            <w:vAlign w:val="center"/>
            <w:hideMark/>
          </w:tcPr>
          <w:p w14:paraId="3D4B6B7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11672A39"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0.10 ± 0.03</w:t>
            </w:r>
          </w:p>
        </w:tc>
        <w:tc>
          <w:tcPr>
            <w:tcW w:w="567" w:type="dxa"/>
            <w:shd w:val="clear" w:color="auto" w:fill="auto"/>
            <w:noWrap/>
            <w:vAlign w:val="center"/>
            <w:hideMark/>
          </w:tcPr>
          <w:p w14:paraId="3DCB8CB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0.000</w:t>
            </w:r>
          </w:p>
        </w:tc>
        <w:tc>
          <w:tcPr>
            <w:tcW w:w="992" w:type="dxa"/>
            <w:shd w:val="clear" w:color="auto" w:fill="auto"/>
            <w:noWrap/>
            <w:vAlign w:val="center"/>
            <w:hideMark/>
          </w:tcPr>
          <w:p w14:paraId="44E1672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0.37 ± 0.13</w:t>
            </w:r>
          </w:p>
        </w:tc>
        <w:tc>
          <w:tcPr>
            <w:tcW w:w="567" w:type="dxa"/>
            <w:shd w:val="clear" w:color="auto" w:fill="auto"/>
            <w:noWrap/>
            <w:vAlign w:val="center"/>
            <w:hideMark/>
          </w:tcPr>
          <w:p w14:paraId="163EF88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0.01</w:t>
            </w:r>
          </w:p>
        </w:tc>
        <w:tc>
          <w:tcPr>
            <w:tcW w:w="992" w:type="dxa"/>
            <w:shd w:val="clear" w:color="auto" w:fill="auto"/>
            <w:noWrap/>
            <w:vAlign w:val="center"/>
            <w:hideMark/>
          </w:tcPr>
          <w:p w14:paraId="08D0C66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0.23 ± 0.06</w:t>
            </w:r>
          </w:p>
        </w:tc>
        <w:tc>
          <w:tcPr>
            <w:tcW w:w="567" w:type="dxa"/>
            <w:shd w:val="clear" w:color="auto" w:fill="auto"/>
            <w:noWrap/>
            <w:vAlign w:val="center"/>
            <w:hideMark/>
          </w:tcPr>
          <w:p w14:paraId="4C575CB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4E8BC9E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0.49 ± 0.10</w:t>
            </w:r>
          </w:p>
        </w:tc>
        <w:tc>
          <w:tcPr>
            <w:tcW w:w="567" w:type="dxa"/>
            <w:shd w:val="clear" w:color="auto" w:fill="auto"/>
            <w:noWrap/>
            <w:vAlign w:val="center"/>
            <w:hideMark/>
          </w:tcPr>
          <w:p w14:paraId="63CD16A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4DEA006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0.13 ± 0.03</w:t>
            </w:r>
          </w:p>
        </w:tc>
        <w:tc>
          <w:tcPr>
            <w:tcW w:w="567" w:type="dxa"/>
            <w:shd w:val="clear" w:color="auto" w:fill="auto"/>
            <w:noWrap/>
            <w:vAlign w:val="center"/>
            <w:hideMark/>
          </w:tcPr>
          <w:p w14:paraId="251EF239"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2F3F370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0.54 ± 0.10</w:t>
            </w:r>
          </w:p>
        </w:tc>
        <w:tc>
          <w:tcPr>
            <w:tcW w:w="567" w:type="dxa"/>
            <w:shd w:val="clear" w:color="auto" w:fill="auto"/>
            <w:noWrap/>
            <w:vAlign w:val="center"/>
            <w:hideMark/>
          </w:tcPr>
          <w:p w14:paraId="272E8B2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r>
      <w:tr w:rsidR="0044478E" w:rsidRPr="00747E35" w14:paraId="672FB0E0" w14:textId="77777777" w:rsidTr="0044478E">
        <w:trPr>
          <w:trHeight w:val="20"/>
        </w:trPr>
        <w:tc>
          <w:tcPr>
            <w:tcW w:w="2098" w:type="dxa"/>
            <w:shd w:val="clear" w:color="auto" w:fill="auto"/>
            <w:noWrap/>
            <w:vAlign w:val="center"/>
            <w:hideMark/>
          </w:tcPr>
          <w:p w14:paraId="7990C4AA" w14:textId="77777777" w:rsidR="0044478E" w:rsidRPr="00747E35" w:rsidRDefault="0044478E" w:rsidP="0044478E">
            <w:pPr>
              <w:pStyle w:val="Tabletext"/>
              <w:spacing w:before="0" w:after="0"/>
              <w:rPr>
                <w:rFonts w:eastAsia="Times New Roman" w:cstheme="minorHAnsi"/>
                <w:color w:val="000000"/>
                <w:lang w:eastAsia="en-AU"/>
              </w:rPr>
            </w:pPr>
            <w:r w:rsidRPr="00747E35">
              <w:rPr>
                <w:rFonts w:cstheme="minorHAnsi"/>
              </w:rPr>
              <w:t>Mean Euclidean distance</w:t>
            </w:r>
          </w:p>
        </w:tc>
        <w:tc>
          <w:tcPr>
            <w:tcW w:w="992" w:type="dxa"/>
            <w:shd w:val="clear" w:color="auto" w:fill="auto"/>
            <w:noWrap/>
            <w:vAlign w:val="center"/>
            <w:hideMark/>
          </w:tcPr>
          <w:p w14:paraId="41D5992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-0.77 ± 0.44</w:t>
            </w:r>
          </w:p>
        </w:tc>
        <w:tc>
          <w:tcPr>
            <w:tcW w:w="567" w:type="dxa"/>
            <w:shd w:val="clear" w:color="auto" w:fill="auto"/>
            <w:noWrap/>
            <w:vAlign w:val="center"/>
            <w:hideMark/>
          </w:tcPr>
          <w:p w14:paraId="3A606C1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0.080</w:t>
            </w:r>
          </w:p>
        </w:tc>
        <w:tc>
          <w:tcPr>
            <w:tcW w:w="992" w:type="dxa"/>
            <w:shd w:val="clear" w:color="auto" w:fill="auto"/>
            <w:noWrap/>
            <w:vAlign w:val="center"/>
            <w:hideMark/>
          </w:tcPr>
          <w:p w14:paraId="201EA34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-1.29 ± 0.32</w:t>
            </w:r>
          </w:p>
        </w:tc>
        <w:tc>
          <w:tcPr>
            <w:tcW w:w="567" w:type="dxa"/>
            <w:shd w:val="clear" w:color="auto" w:fill="auto"/>
            <w:noWrap/>
            <w:vAlign w:val="center"/>
            <w:hideMark/>
          </w:tcPr>
          <w:p w14:paraId="526B22ED"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7327BE2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-0.23 ± 0.07</w:t>
            </w:r>
          </w:p>
        </w:tc>
        <w:tc>
          <w:tcPr>
            <w:tcW w:w="567" w:type="dxa"/>
            <w:shd w:val="clear" w:color="auto" w:fill="auto"/>
            <w:noWrap/>
            <w:vAlign w:val="center"/>
            <w:hideMark/>
          </w:tcPr>
          <w:p w14:paraId="56B6D92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0.002</w:t>
            </w:r>
          </w:p>
        </w:tc>
        <w:tc>
          <w:tcPr>
            <w:tcW w:w="992" w:type="dxa"/>
            <w:shd w:val="clear" w:color="auto" w:fill="auto"/>
            <w:noWrap/>
            <w:vAlign w:val="center"/>
            <w:hideMark/>
          </w:tcPr>
          <w:p w14:paraId="3FB47D50"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0A3833FE"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292F472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-0.56 ± 0.17</w:t>
            </w:r>
          </w:p>
        </w:tc>
        <w:tc>
          <w:tcPr>
            <w:tcW w:w="567" w:type="dxa"/>
            <w:shd w:val="clear" w:color="auto" w:fill="auto"/>
            <w:noWrap/>
            <w:vAlign w:val="center"/>
            <w:hideMark/>
          </w:tcPr>
          <w:p w14:paraId="15C97FA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6E3222DF"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-1.00 ± 0.51</w:t>
            </w:r>
          </w:p>
        </w:tc>
        <w:tc>
          <w:tcPr>
            <w:tcW w:w="567" w:type="dxa"/>
            <w:shd w:val="clear" w:color="auto" w:fill="auto"/>
            <w:noWrap/>
            <w:vAlign w:val="center"/>
            <w:hideMark/>
          </w:tcPr>
          <w:p w14:paraId="1470A79F"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0.05</w:t>
            </w:r>
          </w:p>
        </w:tc>
        <w:tc>
          <w:tcPr>
            <w:tcW w:w="992" w:type="dxa"/>
            <w:shd w:val="clear" w:color="auto" w:fill="auto"/>
            <w:noWrap/>
            <w:vAlign w:val="center"/>
            <w:hideMark/>
          </w:tcPr>
          <w:p w14:paraId="40DB33BC"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-0.32 ± 0.10</w:t>
            </w:r>
          </w:p>
        </w:tc>
        <w:tc>
          <w:tcPr>
            <w:tcW w:w="567" w:type="dxa"/>
            <w:shd w:val="clear" w:color="auto" w:fill="auto"/>
            <w:noWrap/>
            <w:vAlign w:val="center"/>
            <w:hideMark/>
          </w:tcPr>
          <w:p w14:paraId="345C9D3F"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60094D9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-1.51 ± 0.46</w:t>
            </w:r>
          </w:p>
        </w:tc>
        <w:tc>
          <w:tcPr>
            <w:tcW w:w="567" w:type="dxa"/>
            <w:shd w:val="clear" w:color="auto" w:fill="auto"/>
            <w:noWrap/>
            <w:vAlign w:val="center"/>
            <w:hideMark/>
          </w:tcPr>
          <w:p w14:paraId="5FF222D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r>
      <w:tr w:rsidR="0044478E" w:rsidRPr="00747E35" w14:paraId="4A28050E" w14:textId="77777777" w:rsidTr="0044478E">
        <w:trPr>
          <w:trHeight w:val="20"/>
        </w:trPr>
        <w:tc>
          <w:tcPr>
            <w:tcW w:w="2098" w:type="dxa"/>
            <w:shd w:val="clear" w:color="auto" w:fill="auto"/>
            <w:noWrap/>
            <w:vAlign w:val="center"/>
            <w:hideMark/>
          </w:tcPr>
          <w:p w14:paraId="2BA17D9C" w14:textId="77777777" w:rsidR="0044478E" w:rsidRPr="00747E35" w:rsidRDefault="0044478E" w:rsidP="0044478E">
            <w:pPr>
              <w:pStyle w:val="Tabletext"/>
              <w:spacing w:before="0" w:after="0"/>
              <w:rPr>
                <w:rFonts w:eastAsia="Times New Roman" w:cstheme="minorHAnsi"/>
                <w:color w:val="000000"/>
                <w:lang w:eastAsia="en-AU"/>
              </w:rPr>
            </w:pPr>
            <w:r w:rsidRPr="00747E35">
              <w:rPr>
                <w:rFonts w:cstheme="minorHAnsi"/>
              </w:rPr>
              <w:t>Count connected by drainage network</w:t>
            </w:r>
          </w:p>
        </w:tc>
        <w:tc>
          <w:tcPr>
            <w:tcW w:w="992" w:type="dxa"/>
            <w:shd w:val="clear" w:color="auto" w:fill="auto"/>
            <w:noWrap/>
            <w:vAlign w:val="center"/>
            <w:hideMark/>
          </w:tcPr>
          <w:p w14:paraId="6D5C834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-0.54 ± 0.20</w:t>
            </w:r>
          </w:p>
        </w:tc>
        <w:tc>
          <w:tcPr>
            <w:tcW w:w="567" w:type="dxa"/>
            <w:shd w:val="clear" w:color="auto" w:fill="auto"/>
            <w:noWrap/>
            <w:vAlign w:val="center"/>
            <w:hideMark/>
          </w:tcPr>
          <w:p w14:paraId="1125A1E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0.007</w:t>
            </w:r>
          </w:p>
        </w:tc>
        <w:tc>
          <w:tcPr>
            <w:tcW w:w="992" w:type="dxa"/>
            <w:shd w:val="clear" w:color="auto" w:fill="auto"/>
            <w:noWrap/>
            <w:vAlign w:val="center"/>
            <w:hideMark/>
          </w:tcPr>
          <w:p w14:paraId="6BBFC8B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-0.37 ± 0.10</w:t>
            </w:r>
          </w:p>
        </w:tc>
        <w:tc>
          <w:tcPr>
            <w:tcW w:w="567" w:type="dxa"/>
            <w:shd w:val="clear" w:color="auto" w:fill="auto"/>
            <w:noWrap/>
            <w:vAlign w:val="center"/>
            <w:hideMark/>
          </w:tcPr>
          <w:p w14:paraId="37850DF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0675C12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-0.10 ± 0.03</w:t>
            </w:r>
          </w:p>
        </w:tc>
        <w:tc>
          <w:tcPr>
            <w:tcW w:w="567" w:type="dxa"/>
            <w:shd w:val="clear" w:color="auto" w:fill="auto"/>
            <w:noWrap/>
            <w:vAlign w:val="center"/>
            <w:hideMark/>
          </w:tcPr>
          <w:p w14:paraId="6E7EE74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0.000</w:t>
            </w:r>
          </w:p>
        </w:tc>
        <w:tc>
          <w:tcPr>
            <w:tcW w:w="992" w:type="dxa"/>
            <w:shd w:val="clear" w:color="auto" w:fill="auto"/>
            <w:noWrap/>
            <w:vAlign w:val="center"/>
            <w:hideMark/>
          </w:tcPr>
          <w:p w14:paraId="157A8168"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17C32FB3"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3609B35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-0.31 ± 0.06</w:t>
            </w:r>
          </w:p>
        </w:tc>
        <w:tc>
          <w:tcPr>
            <w:tcW w:w="567" w:type="dxa"/>
            <w:shd w:val="clear" w:color="auto" w:fill="auto"/>
            <w:noWrap/>
            <w:vAlign w:val="center"/>
            <w:hideMark/>
          </w:tcPr>
          <w:p w14:paraId="2D326EE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02D6047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-0.36 ± 0.16</w:t>
            </w:r>
          </w:p>
        </w:tc>
        <w:tc>
          <w:tcPr>
            <w:tcW w:w="567" w:type="dxa"/>
            <w:shd w:val="clear" w:color="auto" w:fill="auto"/>
            <w:noWrap/>
            <w:vAlign w:val="center"/>
            <w:hideMark/>
          </w:tcPr>
          <w:p w14:paraId="6775191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0.03</w:t>
            </w:r>
          </w:p>
        </w:tc>
        <w:tc>
          <w:tcPr>
            <w:tcW w:w="992" w:type="dxa"/>
            <w:shd w:val="clear" w:color="auto" w:fill="auto"/>
            <w:noWrap/>
            <w:vAlign w:val="center"/>
            <w:hideMark/>
          </w:tcPr>
          <w:p w14:paraId="124FC653"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-0.13 ± 0.04</w:t>
            </w:r>
          </w:p>
        </w:tc>
        <w:tc>
          <w:tcPr>
            <w:tcW w:w="567" w:type="dxa"/>
            <w:shd w:val="clear" w:color="auto" w:fill="auto"/>
            <w:noWrap/>
            <w:vAlign w:val="center"/>
            <w:hideMark/>
          </w:tcPr>
          <w:p w14:paraId="19780F2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2DEA436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-0.38 ± 0.11</w:t>
            </w:r>
          </w:p>
        </w:tc>
        <w:tc>
          <w:tcPr>
            <w:tcW w:w="567" w:type="dxa"/>
            <w:shd w:val="clear" w:color="auto" w:fill="auto"/>
            <w:noWrap/>
            <w:vAlign w:val="center"/>
            <w:hideMark/>
          </w:tcPr>
          <w:p w14:paraId="0F299AE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r>
      <w:tr w:rsidR="0044478E" w:rsidRPr="00747E35" w14:paraId="45C1F79D" w14:textId="77777777" w:rsidTr="0044478E">
        <w:trPr>
          <w:trHeight w:val="20"/>
        </w:trPr>
        <w:tc>
          <w:tcPr>
            <w:tcW w:w="2098" w:type="dxa"/>
            <w:shd w:val="clear" w:color="auto" w:fill="auto"/>
            <w:noWrap/>
            <w:vAlign w:val="center"/>
            <w:hideMark/>
          </w:tcPr>
          <w:p w14:paraId="7C56B6F6" w14:textId="77777777" w:rsidR="0044478E" w:rsidRPr="00747E35" w:rsidRDefault="0044478E" w:rsidP="0044478E">
            <w:pPr>
              <w:pStyle w:val="Tabletext"/>
              <w:spacing w:before="0" w:after="0"/>
              <w:rPr>
                <w:rFonts w:eastAsia="Times New Roman" w:cstheme="minorHAnsi"/>
                <w:color w:val="000000"/>
                <w:lang w:eastAsia="en-AU"/>
              </w:rPr>
            </w:pPr>
            <w:r w:rsidRPr="00747E35">
              <w:rPr>
                <w:rFonts w:cstheme="minorHAnsi"/>
              </w:rPr>
              <w:t>Count connected by surface water inundation areas</w:t>
            </w:r>
          </w:p>
        </w:tc>
        <w:tc>
          <w:tcPr>
            <w:tcW w:w="992" w:type="dxa"/>
            <w:shd w:val="clear" w:color="auto" w:fill="auto"/>
            <w:noWrap/>
            <w:vAlign w:val="center"/>
            <w:hideMark/>
          </w:tcPr>
          <w:p w14:paraId="25B5E325"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4DD7CBF2"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6AB7E40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0.10 ± 0.06</w:t>
            </w:r>
          </w:p>
        </w:tc>
        <w:tc>
          <w:tcPr>
            <w:tcW w:w="567" w:type="dxa"/>
            <w:shd w:val="clear" w:color="auto" w:fill="auto"/>
            <w:noWrap/>
            <w:vAlign w:val="center"/>
            <w:hideMark/>
          </w:tcPr>
          <w:p w14:paraId="2BB37D3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0.11</w:t>
            </w:r>
          </w:p>
        </w:tc>
        <w:tc>
          <w:tcPr>
            <w:tcW w:w="992" w:type="dxa"/>
            <w:shd w:val="clear" w:color="auto" w:fill="auto"/>
            <w:noWrap/>
            <w:vAlign w:val="center"/>
            <w:hideMark/>
          </w:tcPr>
          <w:p w14:paraId="1FD87CCE"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4F38B70A"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4DD2CA0E"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2A9E699B"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1A46361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0.08 ± 0.06</w:t>
            </w:r>
          </w:p>
        </w:tc>
        <w:tc>
          <w:tcPr>
            <w:tcW w:w="567" w:type="dxa"/>
            <w:shd w:val="clear" w:color="auto" w:fill="auto"/>
            <w:noWrap/>
            <w:vAlign w:val="center"/>
            <w:hideMark/>
          </w:tcPr>
          <w:p w14:paraId="12955DC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0.17</w:t>
            </w:r>
          </w:p>
        </w:tc>
        <w:tc>
          <w:tcPr>
            <w:tcW w:w="992" w:type="dxa"/>
            <w:shd w:val="clear" w:color="auto" w:fill="auto"/>
            <w:noWrap/>
            <w:vAlign w:val="center"/>
            <w:hideMark/>
          </w:tcPr>
          <w:p w14:paraId="073B843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0.22 ± 0.11</w:t>
            </w:r>
          </w:p>
        </w:tc>
        <w:tc>
          <w:tcPr>
            <w:tcW w:w="567" w:type="dxa"/>
            <w:shd w:val="clear" w:color="auto" w:fill="auto"/>
            <w:noWrap/>
            <w:vAlign w:val="center"/>
            <w:hideMark/>
          </w:tcPr>
          <w:p w14:paraId="114B310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0.04</w:t>
            </w:r>
          </w:p>
        </w:tc>
        <w:tc>
          <w:tcPr>
            <w:tcW w:w="992" w:type="dxa"/>
            <w:shd w:val="clear" w:color="auto" w:fill="auto"/>
            <w:noWrap/>
            <w:vAlign w:val="center"/>
            <w:hideMark/>
          </w:tcPr>
          <w:p w14:paraId="0CA4C299"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27CA0E06"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0D88B6A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0.22 ± 0.10</w:t>
            </w:r>
          </w:p>
        </w:tc>
        <w:tc>
          <w:tcPr>
            <w:tcW w:w="567" w:type="dxa"/>
            <w:shd w:val="clear" w:color="auto" w:fill="auto"/>
            <w:noWrap/>
            <w:vAlign w:val="center"/>
            <w:hideMark/>
          </w:tcPr>
          <w:p w14:paraId="50D2E5AD"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0.04</w:t>
            </w:r>
          </w:p>
        </w:tc>
      </w:tr>
      <w:tr w:rsidR="0044478E" w:rsidRPr="00747E35" w14:paraId="7E90F1CB" w14:textId="77777777" w:rsidTr="0044478E">
        <w:trPr>
          <w:trHeight w:val="20"/>
        </w:trPr>
        <w:tc>
          <w:tcPr>
            <w:tcW w:w="2098" w:type="dxa"/>
            <w:shd w:val="clear" w:color="auto" w:fill="auto"/>
            <w:noWrap/>
            <w:vAlign w:val="center"/>
            <w:hideMark/>
          </w:tcPr>
          <w:p w14:paraId="3D450CBD" w14:textId="77777777" w:rsidR="0044478E" w:rsidRPr="00747E35" w:rsidRDefault="0044478E" w:rsidP="0044478E">
            <w:pPr>
              <w:pStyle w:val="Tabletext"/>
              <w:spacing w:before="0" w:after="0"/>
              <w:rPr>
                <w:rFonts w:cstheme="minorHAnsi"/>
              </w:rPr>
            </w:pPr>
            <w:r w:rsidRPr="00747E35">
              <w:rPr>
                <w:rFonts w:cstheme="minorHAnsi"/>
              </w:rPr>
              <w:t>Elevation</w:t>
            </w:r>
          </w:p>
        </w:tc>
        <w:tc>
          <w:tcPr>
            <w:tcW w:w="992" w:type="dxa"/>
            <w:shd w:val="clear" w:color="auto" w:fill="auto"/>
            <w:noWrap/>
            <w:vAlign w:val="center"/>
            <w:hideMark/>
          </w:tcPr>
          <w:p w14:paraId="1D068C2C"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1F3C41D6"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65B67E0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-0.44 ± 0.19</w:t>
            </w:r>
          </w:p>
        </w:tc>
        <w:tc>
          <w:tcPr>
            <w:tcW w:w="567" w:type="dxa"/>
            <w:shd w:val="clear" w:color="auto" w:fill="auto"/>
            <w:noWrap/>
            <w:vAlign w:val="center"/>
            <w:hideMark/>
          </w:tcPr>
          <w:p w14:paraId="250D400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0.02</w:t>
            </w:r>
          </w:p>
        </w:tc>
        <w:tc>
          <w:tcPr>
            <w:tcW w:w="992" w:type="dxa"/>
            <w:shd w:val="clear" w:color="auto" w:fill="auto"/>
            <w:noWrap/>
            <w:vAlign w:val="center"/>
            <w:hideMark/>
          </w:tcPr>
          <w:p w14:paraId="085E7848"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2B3921EC"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49D72450"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5D98F923"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509A9904"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55ED1E78"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04B6D0A4"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746EDE65"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5C56B915"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06074628"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601B12BE"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09AAF54B" w14:textId="77777777" w:rsidR="0044478E" w:rsidRPr="00747E35" w:rsidRDefault="0044478E" w:rsidP="0044478E">
            <w:pPr>
              <w:pStyle w:val="Tabletext"/>
              <w:spacing w:before="0" w:after="0"/>
              <w:rPr>
                <w:rFonts w:cstheme="minorHAnsi"/>
                <w:lang w:eastAsia="en-AU"/>
              </w:rPr>
            </w:pPr>
          </w:p>
        </w:tc>
      </w:tr>
      <w:tr w:rsidR="0044478E" w:rsidRPr="00747E35" w14:paraId="465CADEE" w14:textId="77777777" w:rsidTr="0044478E">
        <w:trPr>
          <w:trHeight w:val="20"/>
        </w:trPr>
        <w:tc>
          <w:tcPr>
            <w:tcW w:w="2098" w:type="dxa"/>
            <w:shd w:val="clear" w:color="auto" w:fill="auto"/>
            <w:noWrap/>
            <w:vAlign w:val="center"/>
            <w:hideMark/>
          </w:tcPr>
          <w:p w14:paraId="1998F7C1" w14:textId="77777777" w:rsidR="0044478E" w:rsidRPr="00747E35" w:rsidRDefault="0044478E" w:rsidP="0044478E">
            <w:pPr>
              <w:pStyle w:val="Tabletext"/>
              <w:spacing w:before="0" w:after="0"/>
              <w:rPr>
                <w:rFonts w:cstheme="minorHAnsi"/>
              </w:rPr>
            </w:pPr>
            <w:r w:rsidRPr="00747E35">
              <w:rPr>
                <w:rFonts w:cstheme="minorHAnsi"/>
              </w:rPr>
              <w:t>Mean annual solar radiation</w:t>
            </w:r>
          </w:p>
        </w:tc>
        <w:tc>
          <w:tcPr>
            <w:tcW w:w="992" w:type="dxa"/>
            <w:shd w:val="clear" w:color="auto" w:fill="auto"/>
            <w:noWrap/>
            <w:vAlign w:val="center"/>
            <w:hideMark/>
          </w:tcPr>
          <w:p w14:paraId="1C655619"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76A4AC49"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267256FF"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0B802C76"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4F366AB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-0.32 ± 0.09</w:t>
            </w:r>
          </w:p>
        </w:tc>
        <w:tc>
          <w:tcPr>
            <w:tcW w:w="567" w:type="dxa"/>
            <w:shd w:val="clear" w:color="auto" w:fill="auto"/>
            <w:noWrap/>
            <w:vAlign w:val="center"/>
            <w:hideMark/>
          </w:tcPr>
          <w:p w14:paraId="75A8724D"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0.001</w:t>
            </w:r>
          </w:p>
        </w:tc>
        <w:tc>
          <w:tcPr>
            <w:tcW w:w="992" w:type="dxa"/>
            <w:shd w:val="clear" w:color="auto" w:fill="auto"/>
            <w:noWrap/>
            <w:vAlign w:val="center"/>
            <w:hideMark/>
          </w:tcPr>
          <w:p w14:paraId="5A35D7ED"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5EA984EC"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285D4C2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-0.72 ± 0.22</w:t>
            </w:r>
          </w:p>
        </w:tc>
        <w:tc>
          <w:tcPr>
            <w:tcW w:w="567" w:type="dxa"/>
            <w:shd w:val="clear" w:color="auto" w:fill="auto"/>
            <w:noWrap/>
            <w:vAlign w:val="center"/>
            <w:hideMark/>
          </w:tcPr>
          <w:p w14:paraId="1E3FDFD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137A38BC"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52DF35AC"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581AFC39"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-0.44 ± 0.12</w:t>
            </w:r>
          </w:p>
        </w:tc>
        <w:tc>
          <w:tcPr>
            <w:tcW w:w="567" w:type="dxa"/>
            <w:shd w:val="clear" w:color="auto" w:fill="auto"/>
            <w:noWrap/>
            <w:vAlign w:val="center"/>
            <w:hideMark/>
          </w:tcPr>
          <w:p w14:paraId="1E4AF06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3BF53CC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-0.61 ± 0.29</w:t>
            </w:r>
          </w:p>
        </w:tc>
        <w:tc>
          <w:tcPr>
            <w:tcW w:w="567" w:type="dxa"/>
            <w:shd w:val="clear" w:color="auto" w:fill="auto"/>
            <w:noWrap/>
            <w:vAlign w:val="center"/>
            <w:hideMark/>
          </w:tcPr>
          <w:p w14:paraId="4A29F30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0.04</w:t>
            </w:r>
          </w:p>
        </w:tc>
      </w:tr>
      <w:tr w:rsidR="0044478E" w:rsidRPr="00747E35" w14:paraId="60639E76" w14:textId="77777777" w:rsidTr="0044478E">
        <w:trPr>
          <w:trHeight w:val="20"/>
        </w:trPr>
        <w:tc>
          <w:tcPr>
            <w:tcW w:w="2098" w:type="dxa"/>
            <w:shd w:val="clear" w:color="auto" w:fill="auto"/>
            <w:noWrap/>
            <w:vAlign w:val="center"/>
            <w:hideMark/>
          </w:tcPr>
          <w:p w14:paraId="6C895641" w14:textId="77777777" w:rsidR="0044478E" w:rsidRPr="00747E35" w:rsidRDefault="0044478E" w:rsidP="0044478E">
            <w:pPr>
              <w:pStyle w:val="Tabletext"/>
              <w:spacing w:before="0" w:after="0"/>
              <w:rPr>
                <w:rFonts w:cstheme="minorHAnsi"/>
              </w:rPr>
            </w:pPr>
            <w:r w:rsidRPr="00747E35">
              <w:rPr>
                <w:rFonts w:cstheme="minorHAnsi"/>
              </w:rPr>
              <w:t>Mean annual temperature</w:t>
            </w:r>
          </w:p>
        </w:tc>
        <w:tc>
          <w:tcPr>
            <w:tcW w:w="992" w:type="dxa"/>
            <w:shd w:val="clear" w:color="auto" w:fill="auto"/>
            <w:noWrap/>
            <w:vAlign w:val="center"/>
            <w:hideMark/>
          </w:tcPr>
          <w:p w14:paraId="6BBEF0CC"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1728C59D"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1231C31F"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0.52 ± 0.10</w:t>
            </w:r>
          </w:p>
        </w:tc>
        <w:tc>
          <w:tcPr>
            <w:tcW w:w="567" w:type="dxa"/>
            <w:shd w:val="clear" w:color="auto" w:fill="auto"/>
            <w:noWrap/>
            <w:vAlign w:val="center"/>
            <w:hideMark/>
          </w:tcPr>
          <w:p w14:paraId="1A1740C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091BB9F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0.37 ± 0.09</w:t>
            </w:r>
          </w:p>
        </w:tc>
        <w:tc>
          <w:tcPr>
            <w:tcW w:w="567" w:type="dxa"/>
            <w:shd w:val="clear" w:color="auto" w:fill="auto"/>
            <w:noWrap/>
            <w:vAlign w:val="center"/>
            <w:hideMark/>
          </w:tcPr>
          <w:p w14:paraId="07BA767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0.000</w:t>
            </w:r>
          </w:p>
        </w:tc>
        <w:tc>
          <w:tcPr>
            <w:tcW w:w="992" w:type="dxa"/>
            <w:shd w:val="clear" w:color="auto" w:fill="auto"/>
            <w:noWrap/>
            <w:vAlign w:val="center"/>
            <w:hideMark/>
          </w:tcPr>
          <w:p w14:paraId="175EF053"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0.58 ± 0.13</w:t>
            </w:r>
          </w:p>
        </w:tc>
        <w:tc>
          <w:tcPr>
            <w:tcW w:w="567" w:type="dxa"/>
            <w:shd w:val="clear" w:color="auto" w:fill="auto"/>
            <w:noWrap/>
            <w:vAlign w:val="center"/>
            <w:hideMark/>
          </w:tcPr>
          <w:p w14:paraId="30364BC3"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2E0546B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0.95 ± 0.23</w:t>
            </w:r>
          </w:p>
        </w:tc>
        <w:tc>
          <w:tcPr>
            <w:tcW w:w="567" w:type="dxa"/>
            <w:shd w:val="clear" w:color="auto" w:fill="auto"/>
            <w:noWrap/>
            <w:vAlign w:val="center"/>
            <w:hideMark/>
          </w:tcPr>
          <w:p w14:paraId="1B77A4C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57F8C07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0.51 ± 0.12</w:t>
            </w:r>
          </w:p>
        </w:tc>
        <w:tc>
          <w:tcPr>
            <w:tcW w:w="567" w:type="dxa"/>
            <w:shd w:val="clear" w:color="auto" w:fill="auto"/>
            <w:noWrap/>
            <w:vAlign w:val="center"/>
            <w:hideMark/>
          </w:tcPr>
          <w:p w14:paraId="7CFC066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6B8E2BE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0.50 ± 0.13</w:t>
            </w:r>
          </w:p>
        </w:tc>
        <w:tc>
          <w:tcPr>
            <w:tcW w:w="567" w:type="dxa"/>
            <w:shd w:val="clear" w:color="auto" w:fill="auto"/>
            <w:noWrap/>
            <w:vAlign w:val="center"/>
            <w:hideMark/>
          </w:tcPr>
          <w:p w14:paraId="483632D3"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6248ABA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1.26 ± 0.35</w:t>
            </w:r>
          </w:p>
        </w:tc>
        <w:tc>
          <w:tcPr>
            <w:tcW w:w="567" w:type="dxa"/>
            <w:shd w:val="clear" w:color="auto" w:fill="auto"/>
            <w:noWrap/>
            <w:vAlign w:val="center"/>
            <w:hideMark/>
          </w:tcPr>
          <w:p w14:paraId="18ED3DAC"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r>
      <w:tr w:rsidR="0044478E" w:rsidRPr="00747E35" w14:paraId="3DEF9863" w14:textId="77777777" w:rsidTr="0044478E">
        <w:trPr>
          <w:trHeight w:val="20"/>
        </w:trPr>
        <w:tc>
          <w:tcPr>
            <w:tcW w:w="2098" w:type="dxa"/>
            <w:shd w:val="clear" w:color="auto" w:fill="auto"/>
            <w:noWrap/>
            <w:vAlign w:val="center"/>
            <w:hideMark/>
          </w:tcPr>
          <w:p w14:paraId="68C310CC" w14:textId="77777777" w:rsidR="0044478E" w:rsidRPr="00747E35" w:rsidRDefault="0044478E" w:rsidP="0044478E">
            <w:pPr>
              <w:pStyle w:val="Tabletext"/>
              <w:spacing w:before="0" w:after="0"/>
              <w:rPr>
                <w:rFonts w:cstheme="minorHAnsi"/>
              </w:rPr>
            </w:pPr>
            <w:r w:rsidRPr="00747E35">
              <w:rPr>
                <w:rFonts w:cstheme="minorHAnsi"/>
              </w:rPr>
              <w:t>Mean annual rainfall</w:t>
            </w:r>
          </w:p>
        </w:tc>
        <w:tc>
          <w:tcPr>
            <w:tcW w:w="992" w:type="dxa"/>
            <w:shd w:val="clear" w:color="auto" w:fill="auto"/>
            <w:noWrap/>
            <w:vAlign w:val="center"/>
            <w:hideMark/>
          </w:tcPr>
          <w:p w14:paraId="1E684C9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0.73 ± 0.47</w:t>
            </w:r>
          </w:p>
        </w:tc>
        <w:tc>
          <w:tcPr>
            <w:tcW w:w="567" w:type="dxa"/>
            <w:shd w:val="clear" w:color="auto" w:fill="auto"/>
            <w:noWrap/>
            <w:vAlign w:val="center"/>
            <w:hideMark/>
          </w:tcPr>
          <w:p w14:paraId="224ECE3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0.118</w:t>
            </w:r>
          </w:p>
        </w:tc>
        <w:tc>
          <w:tcPr>
            <w:tcW w:w="992" w:type="dxa"/>
            <w:shd w:val="clear" w:color="auto" w:fill="auto"/>
            <w:noWrap/>
            <w:vAlign w:val="center"/>
            <w:hideMark/>
          </w:tcPr>
          <w:p w14:paraId="444AD96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2.12 ± 0.48</w:t>
            </w:r>
          </w:p>
        </w:tc>
        <w:tc>
          <w:tcPr>
            <w:tcW w:w="567" w:type="dxa"/>
            <w:shd w:val="clear" w:color="auto" w:fill="auto"/>
            <w:noWrap/>
            <w:vAlign w:val="center"/>
            <w:hideMark/>
          </w:tcPr>
          <w:p w14:paraId="0682CC5D"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62E6C900"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4AB9EE33"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59F3F544"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7F150A44"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6537C75D"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27E833F2"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121D99B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0.76 ± 0.51</w:t>
            </w:r>
          </w:p>
        </w:tc>
        <w:tc>
          <w:tcPr>
            <w:tcW w:w="567" w:type="dxa"/>
            <w:shd w:val="clear" w:color="auto" w:fill="auto"/>
            <w:noWrap/>
            <w:vAlign w:val="center"/>
            <w:hideMark/>
          </w:tcPr>
          <w:p w14:paraId="149FC4CD"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0.14</w:t>
            </w:r>
          </w:p>
        </w:tc>
        <w:tc>
          <w:tcPr>
            <w:tcW w:w="992" w:type="dxa"/>
            <w:shd w:val="clear" w:color="auto" w:fill="auto"/>
            <w:noWrap/>
            <w:vAlign w:val="center"/>
            <w:hideMark/>
          </w:tcPr>
          <w:p w14:paraId="504D977B"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4BB92D90"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1A15CC06"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5140CC6F" w14:textId="77777777" w:rsidR="0044478E" w:rsidRPr="00747E35" w:rsidRDefault="0044478E" w:rsidP="0044478E">
            <w:pPr>
              <w:pStyle w:val="Tabletext"/>
              <w:spacing w:before="0" w:after="0"/>
              <w:rPr>
                <w:rFonts w:cstheme="minorHAnsi"/>
                <w:lang w:eastAsia="en-AU"/>
              </w:rPr>
            </w:pPr>
          </w:p>
        </w:tc>
      </w:tr>
      <w:tr w:rsidR="0044478E" w:rsidRPr="00747E35" w14:paraId="183D5E88" w14:textId="77777777" w:rsidTr="0044478E">
        <w:trPr>
          <w:trHeight w:val="20"/>
        </w:trPr>
        <w:tc>
          <w:tcPr>
            <w:tcW w:w="2098" w:type="dxa"/>
            <w:shd w:val="clear" w:color="auto" w:fill="auto"/>
            <w:noWrap/>
            <w:vAlign w:val="center"/>
            <w:hideMark/>
          </w:tcPr>
          <w:p w14:paraId="2BB5F48B" w14:textId="77777777" w:rsidR="0044478E" w:rsidRPr="00747E35" w:rsidRDefault="0044478E" w:rsidP="0044478E">
            <w:pPr>
              <w:pStyle w:val="Tabletext"/>
              <w:spacing w:before="0" w:after="0"/>
              <w:rPr>
                <w:rFonts w:cstheme="minorHAnsi"/>
              </w:rPr>
            </w:pPr>
            <w:r w:rsidRPr="00747E35">
              <w:rPr>
                <w:rFonts w:cstheme="minorHAnsi"/>
              </w:rPr>
              <w:t>Rainfall erosivity</w:t>
            </w:r>
          </w:p>
        </w:tc>
        <w:tc>
          <w:tcPr>
            <w:tcW w:w="992" w:type="dxa"/>
            <w:shd w:val="clear" w:color="auto" w:fill="auto"/>
            <w:noWrap/>
            <w:vAlign w:val="center"/>
            <w:hideMark/>
          </w:tcPr>
          <w:p w14:paraId="7E734585"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273EF508"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354AF52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-0.81 ± 0.28</w:t>
            </w:r>
          </w:p>
        </w:tc>
        <w:tc>
          <w:tcPr>
            <w:tcW w:w="567" w:type="dxa"/>
            <w:shd w:val="clear" w:color="auto" w:fill="auto"/>
            <w:noWrap/>
            <w:vAlign w:val="center"/>
            <w:hideMark/>
          </w:tcPr>
          <w:p w14:paraId="17AC547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4931AEB3"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-0.15 ± 0.08</w:t>
            </w:r>
          </w:p>
        </w:tc>
        <w:tc>
          <w:tcPr>
            <w:tcW w:w="567" w:type="dxa"/>
            <w:shd w:val="clear" w:color="auto" w:fill="auto"/>
            <w:noWrap/>
            <w:vAlign w:val="center"/>
            <w:hideMark/>
          </w:tcPr>
          <w:p w14:paraId="1207F5D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0.055</w:t>
            </w:r>
          </w:p>
        </w:tc>
        <w:tc>
          <w:tcPr>
            <w:tcW w:w="992" w:type="dxa"/>
            <w:shd w:val="clear" w:color="auto" w:fill="auto"/>
            <w:noWrap/>
            <w:vAlign w:val="center"/>
            <w:hideMark/>
          </w:tcPr>
          <w:p w14:paraId="566E6F9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-0.41 ± 0.13</w:t>
            </w:r>
          </w:p>
        </w:tc>
        <w:tc>
          <w:tcPr>
            <w:tcW w:w="567" w:type="dxa"/>
            <w:shd w:val="clear" w:color="auto" w:fill="auto"/>
            <w:noWrap/>
            <w:vAlign w:val="center"/>
            <w:hideMark/>
          </w:tcPr>
          <w:p w14:paraId="65BC398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0.00</w:t>
            </w:r>
          </w:p>
        </w:tc>
        <w:tc>
          <w:tcPr>
            <w:tcW w:w="992" w:type="dxa"/>
            <w:shd w:val="clear" w:color="auto" w:fill="auto"/>
            <w:noWrap/>
            <w:vAlign w:val="center"/>
            <w:hideMark/>
          </w:tcPr>
          <w:p w14:paraId="00F75D3D"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-0.40 ± 0.19</w:t>
            </w:r>
          </w:p>
        </w:tc>
        <w:tc>
          <w:tcPr>
            <w:tcW w:w="567" w:type="dxa"/>
            <w:shd w:val="clear" w:color="auto" w:fill="auto"/>
            <w:noWrap/>
            <w:vAlign w:val="center"/>
            <w:hideMark/>
          </w:tcPr>
          <w:p w14:paraId="2CC0B04C"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0.04</w:t>
            </w:r>
          </w:p>
        </w:tc>
        <w:tc>
          <w:tcPr>
            <w:tcW w:w="992" w:type="dxa"/>
            <w:shd w:val="clear" w:color="auto" w:fill="auto"/>
            <w:noWrap/>
            <w:vAlign w:val="center"/>
            <w:hideMark/>
          </w:tcPr>
          <w:p w14:paraId="773823DB"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3FC48281"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center"/>
            <w:hideMark/>
          </w:tcPr>
          <w:p w14:paraId="70CF6D5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-0.20 ± 0.10</w:t>
            </w:r>
          </w:p>
        </w:tc>
        <w:tc>
          <w:tcPr>
            <w:tcW w:w="567" w:type="dxa"/>
            <w:shd w:val="clear" w:color="auto" w:fill="auto"/>
            <w:noWrap/>
            <w:vAlign w:val="center"/>
            <w:hideMark/>
          </w:tcPr>
          <w:p w14:paraId="60A2CB0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0.06</w:t>
            </w:r>
          </w:p>
        </w:tc>
        <w:tc>
          <w:tcPr>
            <w:tcW w:w="992" w:type="dxa"/>
            <w:shd w:val="clear" w:color="auto" w:fill="auto"/>
            <w:noWrap/>
            <w:vAlign w:val="center"/>
            <w:hideMark/>
          </w:tcPr>
          <w:p w14:paraId="60544B6C"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center"/>
            <w:hideMark/>
          </w:tcPr>
          <w:p w14:paraId="1CDE53B1" w14:textId="77777777" w:rsidR="0044478E" w:rsidRPr="00747E35" w:rsidRDefault="0044478E" w:rsidP="0044478E">
            <w:pPr>
              <w:pStyle w:val="Tabletext"/>
              <w:spacing w:before="0" w:after="0"/>
              <w:rPr>
                <w:rFonts w:cstheme="minorHAnsi"/>
                <w:lang w:eastAsia="en-AU"/>
              </w:rPr>
            </w:pPr>
          </w:p>
        </w:tc>
      </w:tr>
      <w:tr w:rsidR="0044478E" w:rsidRPr="00747E35" w14:paraId="6E211E5F" w14:textId="77777777" w:rsidTr="0044478E">
        <w:trPr>
          <w:trHeight w:val="20"/>
        </w:trPr>
        <w:tc>
          <w:tcPr>
            <w:tcW w:w="2098" w:type="dxa"/>
            <w:tcBorders>
              <w:bottom w:val="single" w:sz="4" w:space="0" w:color="auto"/>
            </w:tcBorders>
            <w:shd w:val="clear" w:color="auto" w:fill="auto"/>
            <w:noWrap/>
            <w:vAlign w:val="center"/>
            <w:hideMark/>
          </w:tcPr>
          <w:p w14:paraId="056047D9" w14:textId="77777777" w:rsidR="0044478E" w:rsidRPr="00747E35" w:rsidRDefault="0044478E" w:rsidP="0044478E">
            <w:pPr>
              <w:pStyle w:val="Tabletext"/>
              <w:spacing w:before="0" w:after="0"/>
              <w:rPr>
                <w:rFonts w:cstheme="minorHAnsi"/>
              </w:rPr>
            </w:pPr>
            <w:r w:rsidRPr="00747E35">
              <w:rPr>
                <w:rFonts w:cstheme="minorHAnsi"/>
              </w:rPr>
              <w:t>Net terrestrial primary productivity</w:t>
            </w:r>
          </w:p>
        </w:tc>
        <w:tc>
          <w:tcPr>
            <w:tcW w:w="992" w:type="dxa"/>
            <w:tcBorders>
              <w:bottom w:val="single" w:sz="4" w:space="0" w:color="auto"/>
            </w:tcBorders>
            <w:shd w:val="clear" w:color="auto" w:fill="auto"/>
            <w:noWrap/>
            <w:vAlign w:val="center"/>
            <w:hideMark/>
          </w:tcPr>
          <w:p w14:paraId="59B10B66" w14:textId="77777777" w:rsidR="0044478E" w:rsidRPr="00747E35" w:rsidRDefault="0044478E" w:rsidP="0044478E">
            <w:pPr>
              <w:pStyle w:val="Tabletext"/>
              <w:spacing w:before="0" w:after="0"/>
              <w:rPr>
                <w:rFonts w:cstheme="minorHAnsi"/>
                <w:lang w:eastAsia="en-AU"/>
              </w:rPr>
            </w:pPr>
          </w:p>
        </w:tc>
        <w:tc>
          <w:tcPr>
            <w:tcW w:w="567" w:type="dxa"/>
            <w:tcBorders>
              <w:bottom w:val="single" w:sz="4" w:space="0" w:color="auto"/>
            </w:tcBorders>
            <w:shd w:val="clear" w:color="auto" w:fill="auto"/>
            <w:noWrap/>
            <w:vAlign w:val="center"/>
            <w:hideMark/>
          </w:tcPr>
          <w:p w14:paraId="780F3167" w14:textId="77777777" w:rsidR="0044478E" w:rsidRPr="00747E35" w:rsidRDefault="0044478E" w:rsidP="0044478E">
            <w:pPr>
              <w:pStyle w:val="Tabletext"/>
              <w:spacing w:before="0" w:after="0"/>
              <w:rPr>
                <w:rFonts w:cstheme="minorHAnsi"/>
                <w:lang w:eastAsia="en-AU"/>
              </w:rPr>
            </w:pPr>
          </w:p>
        </w:tc>
        <w:tc>
          <w:tcPr>
            <w:tcW w:w="992" w:type="dxa"/>
            <w:tcBorders>
              <w:bottom w:val="single" w:sz="4" w:space="0" w:color="auto"/>
            </w:tcBorders>
            <w:shd w:val="clear" w:color="auto" w:fill="auto"/>
            <w:noWrap/>
            <w:vAlign w:val="center"/>
            <w:hideMark/>
          </w:tcPr>
          <w:p w14:paraId="79E72517" w14:textId="77777777" w:rsidR="0044478E" w:rsidRPr="00747E35" w:rsidRDefault="0044478E" w:rsidP="0044478E">
            <w:pPr>
              <w:pStyle w:val="Tabletext"/>
              <w:spacing w:before="0" w:after="0"/>
              <w:rPr>
                <w:rFonts w:cstheme="minorHAnsi"/>
                <w:lang w:eastAsia="en-AU"/>
              </w:rPr>
            </w:pPr>
          </w:p>
        </w:tc>
        <w:tc>
          <w:tcPr>
            <w:tcW w:w="567" w:type="dxa"/>
            <w:tcBorders>
              <w:bottom w:val="single" w:sz="4" w:space="0" w:color="auto"/>
            </w:tcBorders>
            <w:shd w:val="clear" w:color="auto" w:fill="auto"/>
            <w:noWrap/>
            <w:vAlign w:val="center"/>
            <w:hideMark/>
          </w:tcPr>
          <w:p w14:paraId="3386DA1E" w14:textId="77777777" w:rsidR="0044478E" w:rsidRPr="00747E35" w:rsidRDefault="0044478E" w:rsidP="0044478E">
            <w:pPr>
              <w:pStyle w:val="Tabletext"/>
              <w:spacing w:before="0" w:after="0"/>
              <w:rPr>
                <w:rFonts w:cstheme="minorHAnsi"/>
                <w:lang w:eastAsia="en-AU"/>
              </w:rPr>
            </w:pPr>
          </w:p>
        </w:tc>
        <w:tc>
          <w:tcPr>
            <w:tcW w:w="992" w:type="dxa"/>
            <w:tcBorders>
              <w:bottom w:val="single" w:sz="4" w:space="0" w:color="auto"/>
            </w:tcBorders>
            <w:shd w:val="clear" w:color="auto" w:fill="auto"/>
            <w:noWrap/>
            <w:vAlign w:val="center"/>
            <w:hideMark/>
          </w:tcPr>
          <w:p w14:paraId="576A86FD" w14:textId="77777777" w:rsidR="0044478E" w:rsidRPr="00747E35" w:rsidRDefault="0044478E" w:rsidP="0044478E">
            <w:pPr>
              <w:pStyle w:val="Tabletext"/>
              <w:spacing w:before="0" w:after="0"/>
              <w:rPr>
                <w:rFonts w:cstheme="minorHAnsi"/>
                <w:lang w:eastAsia="en-AU"/>
              </w:rPr>
            </w:pPr>
          </w:p>
        </w:tc>
        <w:tc>
          <w:tcPr>
            <w:tcW w:w="567" w:type="dxa"/>
            <w:tcBorders>
              <w:bottom w:val="single" w:sz="4" w:space="0" w:color="auto"/>
            </w:tcBorders>
            <w:shd w:val="clear" w:color="auto" w:fill="auto"/>
            <w:noWrap/>
            <w:vAlign w:val="center"/>
            <w:hideMark/>
          </w:tcPr>
          <w:p w14:paraId="2CC98CCD" w14:textId="77777777" w:rsidR="0044478E" w:rsidRPr="00747E35" w:rsidRDefault="0044478E" w:rsidP="0044478E">
            <w:pPr>
              <w:pStyle w:val="Tabletext"/>
              <w:spacing w:before="0" w:after="0"/>
              <w:rPr>
                <w:rFonts w:cstheme="minorHAnsi"/>
                <w:lang w:eastAsia="en-AU"/>
              </w:rPr>
            </w:pPr>
          </w:p>
        </w:tc>
        <w:tc>
          <w:tcPr>
            <w:tcW w:w="992" w:type="dxa"/>
            <w:tcBorders>
              <w:bottom w:val="single" w:sz="4" w:space="0" w:color="auto"/>
            </w:tcBorders>
            <w:shd w:val="clear" w:color="auto" w:fill="auto"/>
            <w:noWrap/>
            <w:vAlign w:val="center"/>
            <w:hideMark/>
          </w:tcPr>
          <w:p w14:paraId="4B2B55BC" w14:textId="77777777" w:rsidR="0044478E" w:rsidRPr="00747E35" w:rsidRDefault="0044478E" w:rsidP="0044478E">
            <w:pPr>
              <w:pStyle w:val="Tabletext"/>
              <w:spacing w:before="0" w:after="0"/>
              <w:rPr>
                <w:rFonts w:cstheme="minorHAnsi"/>
                <w:lang w:eastAsia="en-AU"/>
              </w:rPr>
            </w:pPr>
          </w:p>
        </w:tc>
        <w:tc>
          <w:tcPr>
            <w:tcW w:w="567" w:type="dxa"/>
            <w:tcBorders>
              <w:bottom w:val="single" w:sz="4" w:space="0" w:color="auto"/>
            </w:tcBorders>
            <w:shd w:val="clear" w:color="auto" w:fill="auto"/>
            <w:noWrap/>
            <w:vAlign w:val="center"/>
            <w:hideMark/>
          </w:tcPr>
          <w:p w14:paraId="5884EF27" w14:textId="77777777" w:rsidR="0044478E" w:rsidRPr="00747E35" w:rsidRDefault="0044478E" w:rsidP="0044478E">
            <w:pPr>
              <w:pStyle w:val="Tabletext"/>
              <w:spacing w:before="0" w:after="0"/>
              <w:rPr>
                <w:rFonts w:cstheme="minorHAnsi"/>
                <w:lang w:eastAsia="en-AU"/>
              </w:rPr>
            </w:pPr>
          </w:p>
        </w:tc>
        <w:tc>
          <w:tcPr>
            <w:tcW w:w="992" w:type="dxa"/>
            <w:tcBorders>
              <w:bottom w:val="single" w:sz="4" w:space="0" w:color="auto"/>
            </w:tcBorders>
            <w:shd w:val="clear" w:color="auto" w:fill="auto"/>
            <w:noWrap/>
            <w:vAlign w:val="center"/>
            <w:hideMark/>
          </w:tcPr>
          <w:p w14:paraId="7ED78D8C" w14:textId="77777777" w:rsidR="0044478E" w:rsidRPr="00747E35" w:rsidRDefault="0044478E" w:rsidP="0044478E">
            <w:pPr>
              <w:pStyle w:val="Tabletext"/>
              <w:spacing w:before="0" w:after="0"/>
              <w:rPr>
                <w:rFonts w:cstheme="minorHAnsi"/>
                <w:lang w:eastAsia="en-AU"/>
              </w:rPr>
            </w:pPr>
          </w:p>
        </w:tc>
        <w:tc>
          <w:tcPr>
            <w:tcW w:w="567" w:type="dxa"/>
            <w:tcBorders>
              <w:bottom w:val="single" w:sz="4" w:space="0" w:color="auto"/>
            </w:tcBorders>
            <w:shd w:val="clear" w:color="auto" w:fill="auto"/>
            <w:noWrap/>
            <w:vAlign w:val="center"/>
            <w:hideMark/>
          </w:tcPr>
          <w:p w14:paraId="2E5E20A8" w14:textId="77777777" w:rsidR="0044478E" w:rsidRPr="00747E35" w:rsidRDefault="0044478E" w:rsidP="0044478E">
            <w:pPr>
              <w:pStyle w:val="Tabletext"/>
              <w:spacing w:before="0" w:after="0"/>
              <w:rPr>
                <w:rFonts w:cstheme="minorHAnsi"/>
                <w:lang w:eastAsia="en-AU"/>
              </w:rPr>
            </w:pPr>
          </w:p>
        </w:tc>
        <w:tc>
          <w:tcPr>
            <w:tcW w:w="992" w:type="dxa"/>
            <w:tcBorders>
              <w:bottom w:val="single" w:sz="4" w:space="0" w:color="auto"/>
            </w:tcBorders>
            <w:shd w:val="clear" w:color="auto" w:fill="auto"/>
            <w:noWrap/>
            <w:vAlign w:val="center"/>
            <w:hideMark/>
          </w:tcPr>
          <w:p w14:paraId="6C179CFA" w14:textId="77777777" w:rsidR="0044478E" w:rsidRPr="00747E35" w:rsidRDefault="0044478E" w:rsidP="0044478E">
            <w:pPr>
              <w:pStyle w:val="Tabletext"/>
              <w:spacing w:before="0" w:after="0"/>
              <w:rPr>
                <w:rFonts w:cstheme="minorHAnsi"/>
                <w:lang w:eastAsia="en-AU"/>
              </w:rPr>
            </w:pPr>
          </w:p>
        </w:tc>
        <w:tc>
          <w:tcPr>
            <w:tcW w:w="567" w:type="dxa"/>
            <w:tcBorders>
              <w:bottom w:val="single" w:sz="4" w:space="0" w:color="auto"/>
            </w:tcBorders>
            <w:shd w:val="clear" w:color="auto" w:fill="auto"/>
            <w:noWrap/>
            <w:vAlign w:val="center"/>
            <w:hideMark/>
          </w:tcPr>
          <w:p w14:paraId="60EE1BC1" w14:textId="77777777" w:rsidR="0044478E" w:rsidRPr="00747E35" w:rsidRDefault="0044478E" w:rsidP="0044478E">
            <w:pPr>
              <w:pStyle w:val="Tabletext"/>
              <w:spacing w:before="0" w:after="0"/>
              <w:rPr>
                <w:rFonts w:cstheme="minorHAnsi"/>
                <w:lang w:eastAsia="en-AU"/>
              </w:rPr>
            </w:pPr>
          </w:p>
        </w:tc>
        <w:tc>
          <w:tcPr>
            <w:tcW w:w="992" w:type="dxa"/>
            <w:tcBorders>
              <w:bottom w:val="single" w:sz="4" w:space="0" w:color="auto"/>
            </w:tcBorders>
            <w:shd w:val="clear" w:color="auto" w:fill="auto"/>
            <w:noWrap/>
            <w:vAlign w:val="center"/>
            <w:hideMark/>
          </w:tcPr>
          <w:p w14:paraId="29AB9B8C" w14:textId="77777777" w:rsidR="0044478E" w:rsidRPr="00747E35" w:rsidRDefault="0044478E" w:rsidP="0044478E">
            <w:pPr>
              <w:pStyle w:val="Tabletext"/>
              <w:spacing w:before="0" w:after="0"/>
              <w:rPr>
                <w:rFonts w:cstheme="minorHAnsi"/>
                <w:lang w:eastAsia="en-AU"/>
              </w:rPr>
            </w:pPr>
          </w:p>
        </w:tc>
        <w:tc>
          <w:tcPr>
            <w:tcW w:w="567" w:type="dxa"/>
            <w:tcBorders>
              <w:bottom w:val="single" w:sz="4" w:space="0" w:color="auto"/>
            </w:tcBorders>
            <w:shd w:val="clear" w:color="auto" w:fill="auto"/>
            <w:noWrap/>
            <w:vAlign w:val="center"/>
            <w:hideMark/>
          </w:tcPr>
          <w:p w14:paraId="377B1AEF" w14:textId="77777777" w:rsidR="0044478E" w:rsidRPr="00747E35" w:rsidRDefault="0044478E" w:rsidP="0044478E">
            <w:pPr>
              <w:pStyle w:val="Tabletext"/>
              <w:spacing w:before="0" w:after="0"/>
              <w:rPr>
                <w:rFonts w:cstheme="minorHAnsi"/>
                <w:lang w:eastAsia="en-AU"/>
              </w:rPr>
            </w:pPr>
          </w:p>
        </w:tc>
        <w:tc>
          <w:tcPr>
            <w:tcW w:w="992" w:type="dxa"/>
            <w:tcBorders>
              <w:bottom w:val="single" w:sz="4" w:space="0" w:color="auto"/>
            </w:tcBorders>
            <w:shd w:val="clear" w:color="auto" w:fill="auto"/>
            <w:noWrap/>
            <w:vAlign w:val="center"/>
            <w:hideMark/>
          </w:tcPr>
          <w:p w14:paraId="08C50AD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0.62 ± 0.31</w:t>
            </w:r>
          </w:p>
        </w:tc>
        <w:tc>
          <w:tcPr>
            <w:tcW w:w="567" w:type="dxa"/>
            <w:tcBorders>
              <w:bottom w:val="single" w:sz="4" w:space="0" w:color="auto"/>
            </w:tcBorders>
            <w:shd w:val="clear" w:color="auto" w:fill="auto"/>
            <w:noWrap/>
            <w:vAlign w:val="center"/>
            <w:hideMark/>
          </w:tcPr>
          <w:p w14:paraId="0A3D563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0.05</w:t>
            </w:r>
          </w:p>
        </w:tc>
      </w:tr>
      <w:tr w:rsidR="0044478E" w:rsidRPr="00747E35" w14:paraId="1522685E" w14:textId="77777777" w:rsidTr="0044478E">
        <w:trPr>
          <w:trHeight w:val="20"/>
        </w:trPr>
        <w:tc>
          <w:tcPr>
            <w:tcW w:w="2098" w:type="dxa"/>
            <w:tcBorders>
              <w:top w:val="single" w:sz="4" w:space="0" w:color="auto"/>
              <w:bottom w:val="single" w:sz="4" w:space="0" w:color="auto"/>
            </w:tcBorders>
            <w:shd w:val="clear" w:color="auto" w:fill="auto"/>
            <w:noWrap/>
            <w:vAlign w:val="bottom"/>
          </w:tcPr>
          <w:p w14:paraId="07970AA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Model performance</w:t>
            </w:r>
          </w:p>
        </w:tc>
        <w:tc>
          <w:tcPr>
            <w:tcW w:w="1559" w:type="dxa"/>
            <w:gridSpan w:val="2"/>
            <w:tcBorders>
              <w:top w:val="single" w:sz="4" w:space="0" w:color="auto"/>
            </w:tcBorders>
            <w:shd w:val="clear" w:color="auto" w:fill="auto"/>
            <w:noWrap/>
            <w:vAlign w:val="bottom"/>
          </w:tcPr>
          <w:p w14:paraId="4880E1D1" w14:textId="77777777" w:rsidR="0044478E" w:rsidRPr="00747E35" w:rsidRDefault="0044478E" w:rsidP="0044478E">
            <w:pPr>
              <w:pStyle w:val="Tabletext"/>
              <w:spacing w:before="0" w:after="0"/>
              <w:rPr>
                <w:rFonts w:cstheme="minorHAnsi"/>
                <w:lang w:eastAsia="en-AU"/>
              </w:rPr>
            </w:pPr>
          </w:p>
        </w:tc>
        <w:tc>
          <w:tcPr>
            <w:tcW w:w="992" w:type="dxa"/>
            <w:tcBorders>
              <w:top w:val="single" w:sz="4" w:space="0" w:color="auto"/>
            </w:tcBorders>
            <w:shd w:val="clear" w:color="auto" w:fill="auto"/>
            <w:noWrap/>
            <w:vAlign w:val="bottom"/>
          </w:tcPr>
          <w:p w14:paraId="1363E266" w14:textId="77777777" w:rsidR="0044478E" w:rsidRPr="00747E35" w:rsidRDefault="0044478E" w:rsidP="0044478E">
            <w:pPr>
              <w:pStyle w:val="Tabletext"/>
              <w:spacing w:before="0" w:after="0"/>
              <w:rPr>
                <w:rFonts w:cstheme="minorHAnsi"/>
                <w:lang w:eastAsia="en-AU"/>
              </w:rPr>
            </w:pPr>
          </w:p>
        </w:tc>
        <w:tc>
          <w:tcPr>
            <w:tcW w:w="567" w:type="dxa"/>
            <w:tcBorders>
              <w:top w:val="single" w:sz="4" w:space="0" w:color="auto"/>
            </w:tcBorders>
            <w:shd w:val="clear" w:color="auto" w:fill="auto"/>
            <w:noWrap/>
            <w:vAlign w:val="bottom"/>
          </w:tcPr>
          <w:p w14:paraId="79F123DD" w14:textId="77777777" w:rsidR="0044478E" w:rsidRPr="00747E35" w:rsidRDefault="0044478E" w:rsidP="0044478E">
            <w:pPr>
              <w:pStyle w:val="Tabletext"/>
              <w:spacing w:before="0" w:after="0"/>
              <w:rPr>
                <w:rFonts w:cstheme="minorHAnsi"/>
                <w:lang w:eastAsia="en-AU"/>
              </w:rPr>
            </w:pPr>
          </w:p>
        </w:tc>
        <w:tc>
          <w:tcPr>
            <w:tcW w:w="992" w:type="dxa"/>
            <w:tcBorders>
              <w:top w:val="single" w:sz="4" w:space="0" w:color="auto"/>
            </w:tcBorders>
            <w:shd w:val="clear" w:color="auto" w:fill="auto"/>
            <w:noWrap/>
            <w:vAlign w:val="bottom"/>
          </w:tcPr>
          <w:p w14:paraId="32F9DA0F" w14:textId="77777777" w:rsidR="0044478E" w:rsidRPr="00747E35" w:rsidRDefault="0044478E" w:rsidP="0044478E">
            <w:pPr>
              <w:pStyle w:val="Tabletext"/>
              <w:spacing w:before="0" w:after="0"/>
              <w:rPr>
                <w:rFonts w:cstheme="minorHAnsi"/>
                <w:lang w:eastAsia="en-AU"/>
              </w:rPr>
            </w:pPr>
          </w:p>
        </w:tc>
        <w:tc>
          <w:tcPr>
            <w:tcW w:w="567" w:type="dxa"/>
            <w:tcBorders>
              <w:top w:val="single" w:sz="4" w:space="0" w:color="auto"/>
            </w:tcBorders>
            <w:shd w:val="clear" w:color="auto" w:fill="auto"/>
            <w:noWrap/>
            <w:vAlign w:val="bottom"/>
          </w:tcPr>
          <w:p w14:paraId="362F4632" w14:textId="77777777" w:rsidR="0044478E" w:rsidRPr="00747E35" w:rsidRDefault="0044478E" w:rsidP="0044478E">
            <w:pPr>
              <w:pStyle w:val="Tabletext"/>
              <w:spacing w:before="0" w:after="0"/>
              <w:rPr>
                <w:rFonts w:cstheme="minorHAnsi"/>
                <w:lang w:eastAsia="en-AU"/>
              </w:rPr>
            </w:pPr>
          </w:p>
        </w:tc>
        <w:tc>
          <w:tcPr>
            <w:tcW w:w="992" w:type="dxa"/>
            <w:tcBorders>
              <w:top w:val="single" w:sz="4" w:space="0" w:color="auto"/>
            </w:tcBorders>
            <w:shd w:val="clear" w:color="auto" w:fill="auto"/>
            <w:noWrap/>
            <w:vAlign w:val="bottom"/>
          </w:tcPr>
          <w:p w14:paraId="4EA4B059" w14:textId="77777777" w:rsidR="0044478E" w:rsidRPr="00747E35" w:rsidRDefault="0044478E" w:rsidP="0044478E">
            <w:pPr>
              <w:pStyle w:val="Tabletext"/>
              <w:spacing w:before="0" w:after="0"/>
              <w:rPr>
                <w:rFonts w:cstheme="minorHAnsi"/>
                <w:lang w:eastAsia="en-AU"/>
              </w:rPr>
            </w:pPr>
          </w:p>
        </w:tc>
        <w:tc>
          <w:tcPr>
            <w:tcW w:w="567" w:type="dxa"/>
            <w:tcBorders>
              <w:top w:val="single" w:sz="4" w:space="0" w:color="auto"/>
            </w:tcBorders>
            <w:shd w:val="clear" w:color="auto" w:fill="auto"/>
            <w:noWrap/>
            <w:vAlign w:val="bottom"/>
          </w:tcPr>
          <w:p w14:paraId="1F0E2B6A" w14:textId="77777777" w:rsidR="0044478E" w:rsidRPr="00747E35" w:rsidRDefault="0044478E" w:rsidP="0044478E">
            <w:pPr>
              <w:pStyle w:val="Tabletext"/>
              <w:spacing w:before="0" w:after="0"/>
              <w:rPr>
                <w:rFonts w:cstheme="minorHAnsi"/>
                <w:lang w:eastAsia="en-AU"/>
              </w:rPr>
            </w:pPr>
          </w:p>
        </w:tc>
        <w:tc>
          <w:tcPr>
            <w:tcW w:w="992" w:type="dxa"/>
            <w:tcBorders>
              <w:top w:val="single" w:sz="4" w:space="0" w:color="auto"/>
            </w:tcBorders>
            <w:shd w:val="clear" w:color="auto" w:fill="auto"/>
            <w:noWrap/>
            <w:vAlign w:val="bottom"/>
          </w:tcPr>
          <w:p w14:paraId="7DA43641" w14:textId="77777777" w:rsidR="0044478E" w:rsidRPr="00747E35" w:rsidRDefault="0044478E" w:rsidP="0044478E">
            <w:pPr>
              <w:pStyle w:val="Tabletext"/>
              <w:spacing w:before="0" w:after="0"/>
              <w:rPr>
                <w:rFonts w:cstheme="minorHAnsi"/>
                <w:lang w:eastAsia="en-AU"/>
              </w:rPr>
            </w:pPr>
          </w:p>
        </w:tc>
        <w:tc>
          <w:tcPr>
            <w:tcW w:w="567" w:type="dxa"/>
            <w:tcBorders>
              <w:top w:val="single" w:sz="4" w:space="0" w:color="auto"/>
            </w:tcBorders>
            <w:shd w:val="clear" w:color="auto" w:fill="auto"/>
            <w:noWrap/>
            <w:vAlign w:val="bottom"/>
          </w:tcPr>
          <w:p w14:paraId="1FC25706" w14:textId="77777777" w:rsidR="0044478E" w:rsidRPr="00747E35" w:rsidRDefault="0044478E" w:rsidP="0044478E">
            <w:pPr>
              <w:pStyle w:val="Tabletext"/>
              <w:spacing w:before="0" w:after="0"/>
              <w:rPr>
                <w:rFonts w:cstheme="minorHAnsi"/>
                <w:lang w:eastAsia="en-AU"/>
              </w:rPr>
            </w:pPr>
          </w:p>
        </w:tc>
        <w:tc>
          <w:tcPr>
            <w:tcW w:w="992" w:type="dxa"/>
            <w:tcBorders>
              <w:top w:val="single" w:sz="4" w:space="0" w:color="auto"/>
            </w:tcBorders>
            <w:shd w:val="clear" w:color="auto" w:fill="auto"/>
            <w:noWrap/>
            <w:vAlign w:val="bottom"/>
          </w:tcPr>
          <w:p w14:paraId="7D913AF2" w14:textId="77777777" w:rsidR="0044478E" w:rsidRPr="00747E35" w:rsidRDefault="0044478E" w:rsidP="0044478E">
            <w:pPr>
              <w:pStyle w:val="Tabletext"/>
              <w:spacing w:before="0" w:after="0"/>
              <w:rPr>
                <w:rFonts w:cstheme="minorHAnsi"/>
                <w:lang w:eastAsia="en-AU"/>
              </w:rPr>
            </w:pPr>
          </w:p>
        </w:tc>
        <w:tc>
          <w:tcPr>
            <w:tcW w:w="567" w:type="dxa"/>
            <w:tcBorders>
              <w:top w:val="single" w:sz="4" w:space="0" w:color="auto"/>
            </w:tcBorders>
            <w:shd w:val="clear" w:color="auto" w:fill="auto"/>
            <w:noWrap/>
            <w:vAlign w:val="bottom"/>
          </w:tcPr>
          <w:p w14:paraId="478F57D7" w14:textId="77777777" w:rsidR="0044478E" w:rsidRPr="00747E35" w:rsidRDefault="0044478E" w:rsidP="0044478E">
            <w:pPr>
              <w:pStyle w:val="Tabletext"/>
              <w:spacing w:before="0" w:after="0"/>
              <w:rPr>
                <w:rFonts w:cstheme="minorHAnsi"/>
                <w:lang w:eastAsia="en-AU"/>
              </w:rPr>
            </w:pPr>
          </w:p>
        </w:tc>
        <w:tc>
          <w:tcPr>
            <w:tcW w:w="992" w:type="dxa"/>
            <w:tcBorders>
              <w:top w:val="single" w:sz="4" w:space="0" w:color="auto"/>
            </w:tcBorders>
            <w:shd w:val="clear" w:color="auto" w:fill="auto"/>
            <w:noWrap/>
            <w:vAlign w:val="bottom"/>
          </w:tcPr>
          <w:p w14:paraId="6129ABBE" w14:textId="77777777" w:rsidR="0044478E" w:rsidRPr="00747E35" w:rsidRDefault="0044478E" w:rsidP="0044478E">
            <w:pPr>
              <w:pStyle w:val="Tabletext"/>
              <w:spacing w:before="0" w:after="0"/>
              <w:rPr>
                <w:rFonts w:cstheme="minorHAnsi"/>
                <w:lang w:eastAsia="en-AU"/>
              </w:rPr>
            </w:pPr>
          </w:p>
        </w:tc>
        <w:tc>
          <w:tcPr>
            <w:tcW w:w="567" w:type="dxa"/>
            <w:tcBorders>
              <w:top w:val="single" w:sz="4" w:space="0" w:color="auto"/>
            </w:tcBorders>
            <w:shd w:val="clear" w:color="auto" w:fill="auto"/>
            <w:noWrap/>
            <w:vAlign w:val="bottom"/>
          </w:tcPr>
          <w:p w14:paraId="16AE93A8" w14:textId="77777777" w:rsidR="0044478E" w:rsidRPr="00747E35" w:rsidRDefault="0044478E" w:rsidP="0044478E">
            <w:pPr>
              <w:pStyle w:val="Tabletext"/>
              <w:spacing w:before="0" w:after="0"/>
              <w:rPr>
                <w:rFonts w:cstheme="minorHAnsi"/>
                <w:lang w:eastAsia="en-AU"/>
              </w:rPr>
            </w:pPr>
          </w:p>
        </w:tc>
        <w:tc>
          <w:tcPr>
            <w:tcW w:w="992" w:type="dxa"/>
            <w:tcBorders>
              <w:top w:val="single" w:sz="4" w:space="0" w:color="auto"/>
            </w:tcBorders>
            <w:shd w:val="clear" w:color="auto" w:fill="auto"/>
            <w:noWrap/>
            <w:vAlign w:val="bottom"/>
          </w:tcPr>
          <w:p w14:paraId="426362A2" w14:textId="77777777" w:rsidR="0044478E" w:rsidRPr="00747E35" w:rsidRDefault="0044478E" w:rsidP="0044478E">
            <w:pPr>
              <w:pStyle w:val="Tabletext"/>
              <w:spacing w:before="0" w:after="0"/>
              <w:rPr>
                <w:rFonts w:cstheme="minorHAnsi"/>
                <w:lang w:eastAsia="en-AU"/>
              </w:rPr>
            </w:pPr>
          </w:p>
        </w:tc>
        <w:tc>
          <w:tcPr>
            <w:tcW w:w="567" w:type="dxa"/>
            <w:tcBorders>
              <w:top w:val="single" w:sz="4" w:space="0" w:color="auto"/>
            </w:tcBorders>
            <w:shd w:val="clear" w:color="auto" w:fill="auto"/>
            <w:noWrap/>
            <w:vAlign w:val="bottom"/>
          </w:tcPr>
          <w:p w14:paraId="79CBA914" w14:textId="77777777" w:rsidR="0044478E" w:rsidRPr="00747E35" w:rsidRDefault="0044478E" w:rsidP="0044478E">
            <w:pPr>
              <w:pStyle w:val="Tabletext"/>
              <w:spacing w:before="0" w:after="0"/>
              <w:rPr>
                <w:rFonts w:cstheme="minorHAnsi"/>
                <w:lang w:eastAsia="en-AU"/>
              </w:rPr>
            </w:pPr>
          </w:p>
        </w:tc>
      </w:tr>
      <w:tr w:rsidR="0044478E" w:rsidRPr="00747E35" w14:paraId="7DEE0C47" w14:textId="77777777" w:rsidTr="0044478E">
        <w:trPr>
          <w:trHeight w:val="20"/>
        </w:trPr>
        <w:tc>
          <w:tcPr>
            <w:tcW w:w="2098" w:type="dxa"/>
            <w:tcBorders>
              <w:top w:val="single" w:sz="4" w:space="0" w:color="auto"/>
            </w:tcBorders>
            <w:shd w:val="clear" w:color="auto" w:fill="auto"/>
            <w:noWrap/>
            <w:vAlign w:val="bottom"/>
            <w:hideMark/>
          </w:tcPr>
          <w:p w14:paraId="640A9A9D"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Classification rate</w:t>
            </w:r>
          </w:p>
        </w:tc>
        <w:tc>
          <w:tcPr>
            <w:tcW w:w="1559" w:type="dxa"/>
            <w:gridSpan w:val="2"/>
            <w:shd w:val="clear" w:color="auto" w:fill="auto"/>
            <w:noWrap/>
            <w:vAlign w:val="bottom"/>
            <w:hideMark/>
          </w:tcPr>
          <w:p w14:paraId="05DA694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0.73</w:t>
            </w:r>
          </w:p>
        </w:tc>
        <w:tc>
          <w:tcPr>
            <w:tcW w:w="992" w:type="dxa"/>
            <w:shd w:val="clear" w:color="auto" w:fill="auto"/>
            <w:noWrap/>
            <w:vAlign w:val="bottom"/>
            <w:hideMark/>
          </w:tcPr>
          <w:p w14:paraId="2705A661"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bottom"/>
            <w:hideMark/>
          </w:tcPr>
          <w:p w14:paraId="1ECCAC0F"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bottom"/>
            <w:hideMark/>
          </w:tcPr>
          <w:p w14:paraId="2CF1869B"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bottom"/>
            <w:hideMark/>
          </w:tcPr>
          <w:p w14:paraId="48C5A2E7"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bottom"/>
            <w:hideMark/>
          </w:tcPr>
          <w:p w14:paraId="61075367"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bottom"/>
            <w:hideMark/>
          </w:tcPr>
          <w:p w14:paraId="71178E4D"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bottom"/>
            <w:hideMark/>
          </w:tcPr>
          <w:p w14:paraId="2FBB11CA"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bottom"/>
            <w:hideMark/>
          </w:tcPr>
          <w:p w14:paraId="36A648ED"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bottom"/>
            <w:hideMark/>
          </w:tcPr>
          <w:p w14:paraId="24487E12"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bottom"/>
            <w:hideMark/>
          </w:tcPr>
          <w:p w14:paraId="0C194771"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bottom"/>
            <w:hideMark/>
          </w:tcPr>
          <w:p w14:paraId="40D677CB"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bottom"/>
            <w:hideMark/>
          </w:tcPr>
          <w:p w14:paraId="7EBE73FE"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bottom"/>
            <w:hideMark/>
          </w:tcPr>
          <w:p w14:paraId="6B74E1E3"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bottom"/>
            <w:hideMark/>
          </w:tcPr>
          <w:p w14:paraId="7E0AC32A" w14:textId="77777777" w:rsidR="0044478E" w:rsidRPr="00747E35" w:rsidRDefault="0044478E" w:rsidP="0044478E">
            <w:pPr>
              <w:pStyle w:val="Tabletext"/>
              <w:spacing w:before="0" w:after="0"/>
              <w:rPr>
                <w:rFonts w:cstheme="minorHAnsi"/>
                <w:lang w:eastAsia="en-AU"/>
              </w:rPr>
            </w:pPr>
          </w:p>
        </w:tc>
      </w:tr>
      <w:tr w:rsidR="0044478E" w:rsidRPr="00747E35" w14:paraId="740157D2" w14:textId="77777777" w:rsidTr="0044478E">
        <w:trPr>
          <w:trHeight w:val="20"/>
        </w:trPr>
        <w:tc>
          <w:tcPr>
            <w:tcW w:w="2098" w:type="dxa"/>
            <w:tcBorders>
              <w:bottom w:val="single" w:sz="4" w:space="0" w:color="auto"/>
            </w:tcBorders>
            <w:shd w:val="clear" w:color="auto" w:fill="auto"/>
            <w:noWrap/>
            <w:vAlign w:val="bottom"/>
            <w:hideMark/>
          </w:tcPr>
          <w:p w14:paraId="305A00E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AUC</w:t>
            </w:r>
          </w:p>
        </w:tc>
        <w:tc>
          <w:tcPr>
            <w:tcW w:w="1559" w:type="dxa"/>
            <w:gridSpan w:val="2"/>
            <w:tcBorders>
              <w:bottom w:val="single" w:sz="4" w:space="0" w:color="auto"/>
            </w:tcBorders>
            <w:shd w:val="clear" w:color="auto" w:fill="auto"/>
            <w:noWrap/>
            <w:vAlign w:val="bottom"/>
            <w:hideMark/>
          </w:tcPr>
          <w:p w14:paraId="07E129D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0.78</w:t>
            </w:r>
          </w:p>
        </w:tc>
        <w:tc>
          <w:tcPr>
            <w:tcW w:w="992" w:type="dxa"/>
            <w:shd w:val="clear" w:color="auto" w:fill="auto"/>
            <w:noWrap/>
            <w:vAlign w:val="bottom"/>
            <w:hideMark/>
          </w:tcPr>
          <w:p w14:paraId="640EA5A5"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bottom"/>
            <w:hideMark/>
          </w:tcPr>
          <w:p w14:paraId="20F59FE8"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bottom"/>
            <w:hideMark/>
          </w:tcPr>
          <w:p w14:paraId="0A044F84"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bottom"/>
            <w:hideMark/>
          </w:tcPr>
          <w:p w14:paraId="626B3253"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bottom"/>
            <w:hideMark/>
          </w:tcPr>
          <w:p w14:paraId="45767CE8"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bottom"/>
            <w:hideMark/>
          </w:tcPr>
          <w:p w14:paraId="6DA2B98E"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bottom"/>
            <w:hideMark/>
          </w:tcPr>
          <w:p w14:paraId="16B55E4C"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bottom"/>
            <w:hideMark/>
          </w:tcPr>
          <w:p w14:paraId="46EF37B1"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bottom"/>
            <w:hideMark/>
          </w:tcPr>
          <w:p w14:paraId="62384FF9"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bottom"/>
            <w:hideMark/>
          </w:tcPr>
          <w:p w14:paraId="2560F905"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bottom"/>
            <w:hideMark/>
          </w:tcPr>
          <w:p w14:paraId="143E0E6F"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bottom"/>
            <w:hideMark/>
          </w:tcPr>
          <w:p w14:paraId="2BBC7518" w14:textId="77777777" w:rsidR="0044478E" w:rsidRPr="00747E35" w:rsidRDefault="0044478E" w:rsidP="0044478E">
            <w:pPr>
              <w:pStyle w:val="Tabletext"/>
              <w:spacing w:before="0" w:after="0"/>
              <w:rPr>
                <w:rFonts w:cstheme="minorHAnsi"/>
                <w:lang w:eastAsia="en-AU"/>
              </w:rPr>
            </w:pPr>
          </w:p>
        </w:tc>
        <w:tc>
          <w:tcPr>
            <w:tcW w:w="992" w:type="dxa"/>
            <w:shd w:val="clear" w:color="auto" w:fill="auto"/>
            <w:noWrap/>
            <w:vAlign w:val="bottom"/>
            <w:hideMark/>
          </w:tcPr>
          <w:p w14:paraId="77E4D91B" w14:textId="77777777" w:rsidR="0044478E" w:rsidRPr="00747E35" w:rsidRDefault="0044478E" w:rsidP="0044478E">
            <w:pPr>
              <w:pStyle w:val="Tabletext"/>
              <w:spacing w:before="0" w:after="0"/>
              <w:rPr>
                <w:rFonts w:cstheme="minorHAnsi"/>
                <w:lang w:eastAsia="en-AU"/>
              </w:rPr>
            </w:pPr>
          </w:p>
        </w:tc>
        <w:tc>
          <w:tcPr>
            <w:tcW w:w="567" w:type="dxa"/>
            <w:shd w:val="clear" w:color="auto" w:fill="auto"/>
            <w:noWrap/>
            <w:vAlign w:val="bottom"/>
            <w:hideMark/>
          </w:tcPr>
          <w:p w14:paraId="2169D446" w14:textId="77777777" w:rsidR="0044478E" w:rsidRPr="00747E35" w:rsidRDefault="0044478E" w:rsidP="0044478E">
            <w:pPr>
              <w:pStyle w:val="Tabletext"/>
              <w:spacing w:before="0" w:after="0"/>
              <w:rPr>
                <w:rFonts w:cstheme="minorHAnsi"/>
                <w:lang w:eastAsia="en-AU"/>
              </w:rPr>
            </w:pPr>
          </w:p>
        </w:tc>
      </w:tr>
      <w:tr w:rsidR="0044478E" w:rsidRPr="00747E35" w14:paraId="27B7B8D0" w14:textId="77777777" w:rsidTr="0044478E">
        <w:trPr>
          <w:trHeight w:val="20"/>
        </w:trPr>
        <w:tc>
          <w:tcPr>
            <w:tcW w:w="2098" w:type="dxa"/>
            <w:tcBorders>
              <w:top w:val="single" w:sz="4" w:space="0" w:color="auto"/>
              <w:bottom w:val="single" w:sz="4" w:space="0" w:color="auto"/>
            </w:tcBorders>
            <w:shd w:val="clear" w:color="auto" w:fill="auto"/>
            <w:noWrap/>
            <w:vAlign w:val="bottom"/>
            <w:hideMark/>
          </w:tcPr>
          <w:p w14:paraId="7292FDAF"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Pseudo R</w:t>
            </w:r>
            <w:r w:rsidRPr="00747E35">
              <w:rPr>
                <w:rFonts w:cstheme="minorHAnsi"/>
                <w:vertAlign w:val="superscript"/>
                <w:lang w:eastAsia="en-AU"/>
              </w:rPr>
              <w:t>2</w:t>
            </w:r>
          </w:p>
        </w:tc>
        <w:tc>
          <w:tcPr>
            <w:tcW w:w="992" w:type="dxa"/>
            <w:tcBorders>
              <w:top w:val="single" w:sz="4" w:space="0" w:color="auto"/>
              <w:bottom w:val="single" w:sz="4" w:space="0" w:color="auto"/>
            </w:tcBorders>
            <w:shd w:val="clear" w:color="auto" w:fill="auto"/>
            <w:noWrap/>
            <w:vAlign w:val="bottom"/>
            <w:hideMark/>
          </w:tcPr>
          <w:p w14:paraId="0C1B2015" w14:textId="77777777" w:rsidR="0044478E" w:rsidRPr="00747E35" w:rsidRDefault="0044478E" w:rsidP="0044478E">
            <w:pPr>
              <w:pStyle w:val="Tabletext"/>
              <w:spacing w:before="0" w:after="0"/>
              <w:rPr>
                <w:rFonts w:cstheme="minorHAnsi"/>
                <w:lang w:eastAsia="en-AU"/>
              </w:rPr>
            </w:pPr>
          </w:p>
        </w:tc>
        <w:tc>
          <w:tcPr>
            <w:tcW w:w="567" w:type="dxa"/>
            <w:tcBorders>
              <w:top w:val="single" w:sz="4" w:space="0" w:color="auto"/>
              <w:bottom w:val="single" w:sz="4" w:space="0" w:color="auto"/>
            </w:tcBorders>
            <w:shd w:val="clear" w:color="auto" w:fill="auto"/>
            <w:noWrap/>
            <w:vAlign w:val="bottom"/>
            <w:hideMark/>
          </w:tcPr>
          <w:p w14:paraId="07AA82B3" w14:textId="77777777" w:rsidR="0044478E" w:rsidRPr="00747E35" w:rsidRDefault="0044478E" w:rsidP="0044478E">
            <w:pPr>
              <w:pStyle w:val="Tabletext"/>
              <w:spacing w:before="0" w:after="0"/>
              <w:rPr>
                <w:rFonts w:cstheme="minorHAnsi"/>
                <w:lang w:eastAsia="en-AU"/>
              </w:rPr>
            </w:pPr>
          </w:p>
        </w:tc>
        <w:tc>
          <w:tcPr>
            <w:tcW w:w="1559" w:type="dxa"/>
            <w:gridSpan w:val="2"/>
            <w:tcBorders>
              <w:bottom w:val="single" w:sz="4" w:space="0" w:color="auto"/>
            </w:tcBorders>
            <w:shd w:val="clear" w:color="auto" w:fill="auto"/>
            <w:noWrap/>
            <w:vAlign w:val="bottom"/>
            <w:hideMark/>
          </w:tcPr>
          <w:p w14:paraId="3364C1E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0.38</w:t>
            </w:r>
          </w:p>
        </w:tc>
        <w:tc>
          <w:tcPr>
            <w:tcW w:w="1559" w:type="dxa"/>
            <w:gridSpan w:val="2"/>
            <w:tcBorders>
              <w:bottom w:val="single" w:sz="4" w:space="0" w:color="auto"/>
            </w:tcBorders>
            <w:shd w:val="clear" w:color="auto" w:fill="auto"/>
            <w:noWrap/>
            <w:vAlign w:val="bottom"/>
            <w:hideMark/>
          </w:tcPr>
          <w:p w14:paraId="3B70841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0.37</w:t>
            </w:r>
          </w:p>
        </w:tc>
        <w:tc>
          <w:tcPr>
            <w:tcW w:w="1559" w:type="dxa"/>
            <w:gridSpan w:val="2"/>
            <w:tcBorders>
              <w:bottom w:val="single" w:sz="4" w:space="0" w:color="auto"/>
            </w:tcBorders>
            <w:shd w:val="clear" w:color="auto" w:fill="auto"/>
            <w:noWrap/>
            <w:vAlign w:val="bottom"/>
            <w:hideMark/>
          </w:tcPr>
          <w:p w14:paraId="6687CB1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0.26</w:t>
            </w:r>
          </w:p>
        </w:tc>
        <w:tc>
          <w:tcPr>
            <w:tcW w:w="1559" w:type="dxa"/>
            <w:gridSpan w:val="2"/>
            <w:tcBorders>
              <w:bottom w:val="single" w:sz="4" w:space="0" w:color="auto"/>
            </w:tcBorders>
            <w:shd w:val="clear" w:color="auto" w:fill="auto"/>
            <w:noWrap/>
            <w:vAlign w:val="bottom"/>
            <w:hideMark/>
          </w:tcPr>
          <w:p w14:paraId="0286B9F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0.38</w:t>
            </w:r>
          </w:p>
        </w:tc>
        <w:tc>
          <w:tcPr>
            <w:tcW w:w="1559" w:type="dxa"/>
            <w:gridSpan w:val="2"/>
            <w:tcBorders>
              <w:bottom w:val="single" w:sz="4" w:space="0" w:color="auto"/>
            </w:tcBorders>
            <w:shd w:val="clear" w:color="auto" w:fill="auto"/>
            <w:noWrap/>
            <w:vAlign w:val="bottom"/>
            <w:hideMark/>
          </w:tcPr>
          <w:p w14:paraId="05995B0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0.38</w:t>
            </w:r>
          </w:p>
        </w:tc>
        <w:tc>
          <w:tcPr>
            <w:tcW w:w="1559" w:type="dxa"/>
            <w:gridSpan w:val="2"/>
            <w:tcBorders>
              <w:bottom w:val="single" w:sz="4" w:space="0" w:color="auto"/>
            </w:tcBorders>
            <w:shd w:val="clear" w:color="auto" w:fill="auto"/>
            <w:noWrap/>
            <w:vAlign w:val="bottom"/>
            <w:hideMark/>
          </w:tcPr>
          <w:p w14:paraId="6745DFA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0.36</w:t>
            </w:r>
          </w:p>
        </w:tc>
        <w:tc>
          <w:tcPr>
            <w:tcW w:w="1559" w:type="dxa"/>
            <w:gridSpan w:val="2"/>
            <w:tcBorders>
              <w:bottom w:val="single" w:sz="4" w:space="0" w:color="auto"/>
            </w:tcBorders>
            <w:shd w:val="clear" w:color="auto" w:fill="auto"/>
            <w:noWrap/>
            <w:vAlign w:val="bottom"/>
            <w:hideMark/>
          </w:tcPr>
          <w:p w14:paraId="7EA1FEC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0.30</w:t>
            </w:r>
          </w:p>
        </w:tc>
      </w:tr>
    </w:tbl>
    <w:p w14:paraId="4E39D71B" w14:textId="77777777" w:rsidR="0044478E" w:rsidRPr="00747E35" w:rsidRDefault="0044478E" w:rsidP="0044478E">
      <w:pPr>
        <w:rPr>
          <w:rFonts w:asciiTheme="minorHAnsi" w:hAnsiTheme="minorHAnsi" w:cstheme="minorHAnsi"/>
        </w:rPr>
      </w:pPr>
    </w:p>
    <w:p w14:paraId="1BFE14F5" w14:textId="77777777" w:rsidR="0044478E" w:rsidRPr="00747E35" w:rsidRDefault="0044478E" w:rsidP="0044478E">
      <w:pPr>
        <w:rPr>
          <w:rFonts w:asciiTheme="minorHAnsi" w:hAnsiTheme="minorHAnsi" w:cstheme="minorHAnsi"/>
        </w:rPr>
      </w:pPr>
    </w:p>
    <w:p w14:paraId="7D76AEED" w14:textId="77777777" w:rsidR="0044478E" w:rsidRPr="00747E35" w:rsidRDefault="0044478E" w:rsidP="0044478E">
      <w:pPr>
        <w:rPr>
          <w:rFonts w:asciiTheme="minorHAnsi" w:hAnsiTheme="minorHAnsi" w:cstheme="minorHAnsi"/>
        </w:rPr>
        <w:sectPr w:rsidR="0044478E" w:rsidRPr="00747E35" w:rsidSect="0044478E">
          <w:pgSz w:w="16838" w:h="11906" w:orient="landscape"/>
          <w:pgMar w:top="1134" w:right="1134" w:bottom="1134" w:left="1134" w:header="709" w:footer="709" w:gutter="0"/>
          <w:cols w:space="708"/>
          <w:docGrid w:linePitch="360"/>
        </w:sectPr>
      </w:pPr>
    </w:p>
    <w:p w14:paraId="4D21B594" w14:textId="77777777" w:rsidR="0044478E" w:rsidRPr="00747E35" w:rsidRDefault="0044478E" w:rsidP="0044478E">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22453961" wp14:editId="0FADF995">
            <wp:extent cx="4252125" cy="7724775"/>
            <wp:effectExtent l="0" t="0" r="0" b="0"/>
            <wp:docPr id="52" name="Picture 52"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cstate="screen">
                      <a:extLst>
                        <a:ext uri="{28A0092B-C50C-407E-A947-70E740481C1C}">
                          <a14:useLocalDpi xmlns:a14="http://schemas.microsoft.com/office/drawing/2010/main"/>
                        </a:ext>
                      </a:extLst>
                    </a:blip>
                    <a:srcRect/>
                    <a:stretch>
                      <a:fillRect/>
                    </a:stretch>
                  </pic:blipFill>
                  <pic:spPr bwMode="auto">
                    <a:xfrm>
                      <a:off x="0" y="0"/>
                      <a:ext cx="4264658" cy="7747544"/>
                    </a:xfrm>
                    <a:prstGeom prst="rect">
                      <a:avLst/>
                    </a:prstGeom>
                    <a:noFill/>
                  </pic:spPr>
                </pic:pic>
              </a:graphicData>
            </a:graphic>
          </wp:inline>
        </w:drawing>
      </w:r>
    </w:p>
    <w:p w14:paraId="213FD5CB" w14:textId="77777777" w:rsidR="0044478E" w:rsidRPr="00747E35" w:rsidRDefault="0044478E" w:rsidP="00566456">
      <w:pPr>
        <w:pStyle w:val="Caption"/>
        <w:numPr>
          <w:ilvl w:val="0"/>
          <w:numId w:val="0"/>
        </w:numPr>
        <w:rPr>
          <w:rFonts w:cstheme="minorHAnsi"/>
        </w:rPr>
      </w:pPr>
      <w:bookmarkStart w:id="405" w:name="_Ref467076473"/>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139</w:t>
      </w:r>
      <w:r w:rsidR="009D6600" w:rsidRPr="00747E35">
        <w:rPr>
          <w:rFonts w:cstheme="minorHAnsi"/>
          <w:noProof/>
        </w:rPr>
        <w:fldChar w:fldCharType="end"/>
      </w:r>
      <w:bookmarkEnd w:id="405"/>
      <w:r w:rsidRPr="00747E35">
        <w:rPr>
          <w:rFonts w:cstheme="minorHAnsi"/>
        </w:rPr>
        <w:t xml:space="preserve">: Assemblages of endemic organisms across complexes identified using a) clustering based on species presence/absence across complexes with each complex denoted by a 3 letter code (see Appendix 4: </w:t>
      </w:r>
      <w:r w:rsidRPr="00747E35">
        <w:rPr>
          <w:rFonts w:cstheme="minorHAnsi"/>
        </w:rPr>
        <w:fldChar w:fldCharType="begin"/>
      </w:r>
      <w:r w:rsidRPr="00747E35">
        <w:rPr>
          <w:rFonts w:cstheme="minorHAnsi"/>
        </w:rPr>
        <w:instrText xml:space="preserve"> REF _Ref467224914 \h  \* MERGEFORMAT </w:instrText>
      </w:r>
      <w:r w:rsidRPr="00747E35">
        <w:rPr>
          <w:rFonts w:cstheme="minorHAnsi"/>
        </w:rPr>
      </w:r>
      <w:r w:rsidRPr="00747E35">
        <w:rPr>
          <w:rFonts w:cstheme="minorHAnsi"/>
        </w:rPr>
        <w:fldChar w:fldCharType="separate"/>
      </w:r>
      <w:r w:rsidR="00D023DD" w:rsidRPr="00747E35">
        <w:rPr>
          <w:rFonts w:cstheme="minorHAnsi"/>
        </w:rPr>
        <w:t xml:space="preserve">Table </w:t>
      </w:r>
      <w:r w:rsidR="00D023DD">
        <w:rPr>
          <w:rFonts w:cstheme="minorHAnsi"/>
        </w:rPr>
        <w:t>61</w:t>
      </w:r>
      <w:r w:rsidRPr="00747E35">
        <w:rPr>
          <w:rFonts w:cstheme="minorHAnsi"/>
        </w:rPr>
        <w:fldChar w:fldCharType="end"/>
      </w:r>
      <w:r w:rsidRPr="00747E35">
        <w:rPr>
          <w:rFonts w:cstheme="minorHAnsi"/>
        </w:rPr>
        <w:t xml:space="preserve"> for full name and location) and the identity assigned to the assemblage as a number, b) the similarities within and across these assemblages displayed as a heat-map (red= most similar – light yellow= most dissimilar), and c) taxon occurrences in each complex.</w:t>
      </w:r>
    </w:p>
    <w:p w14:paraId="28F99D39" w14:textId="77777777" w:rsidR="0044478E" w:rsidRPr="00747E35" w:rsidRDefault="0044478E" w:rsidP="0044478E">
      <w:pPr>
        <w:rPr>
          <w:rFonts w:asciiTheme="minorHAnsi" w:hAnsiTheme="minorHAnsi" w:cstheme="minorHAnsi"/>
        </w:rPr>
      </w:pPr>
    </w:p>
    <w:p w14:paraId="0B114A55"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lastRenderedPageBreak/>
        <w:t xml:space="preserve">Current state of knowledge and key data deficiencies </w:t>
      </w:r>
    </w:p>
    <w:p w14:paraId="315D6251" w14:textId="42B46906" w:rsidR="0044478E" w:rsidRPr="00747E35" w:rsidRDefault="0044478E" w:rsidP="0044478E">
      <w:pPr>
        <w:rPr>
          <w:rFonts w:asciiTheme="minorHAnsi" w:hAnsiTheme="minorHAnsi" w:cstheme="minorHAnsi"/>
        </w:rPr>
      </w:pPr>
      <w:r w:rsidRPr="00747E35">
        <w:rPr>
          <w:rFonts w:asciiTheme="minorHAnsi" w:hAnsiTheme="minorHAnsi" w:cstheme="minorHAnsi"/>
        </w:rPr>
        <w:t>Across all taxa there are differences in the types of data available (</w:t>
      </w:r>
      <w:r w:rsidRPr="00747E35">
        <w:rPr>
          <w:rFonts w:asciiTheme="minorHAnsi" w:hAnsiTheme="minorHAnsi" w:cstheme="minorHAnsi"/>
          <w:color w:val="FF0000"/>
          <w:highlight w:val="yellow"/>
        </w:rPr>
        <w:fldChar w:fldCharType="begin"/>
      </w:r>
      <w:r w:rsidRPr="00747E35">
        <w:rPr>
          <w:rFonts w:asciiTheme="minorHAnsi" w:hAnsiTheme="minorHAnsi" w:cstheme="minorHAnsi"/>
        </w:rPr>
        <w:instrText xml:space="preserve"> REF _Ref466443290 \h </w:instrText>
      </w:r>
      <w:r w:rsidR="000E4B99" w:rsidRPr="00747E35">
        <w:rPr>
          <w:rFonts w:asciiTheme="minorHAnsi" w:hAnsiTheme="minorHAnsi" w:cstheme="minorHAnsi"/>
          <w:color w:val="FF0000"/>
          <w:highlight w:val="yellow"/>
        </w:rPr>
        <w:instrText xml:space="preserve"> \* MERGEFORMAT </w:instrText>
      </w:r>
      <w:r w:rsidRPr="00747E35">
        <w:rPr>
          <w:rFonts w:asciiTheme="minorHAnsi" w:hAnsiTheme="minorHAnsi" w:cstheme="minorHAnsi"/>
          <w:color w:val="FF0000"/>
          <w:highlight w:val="yellow"/>
        </w:rPr>
      </w:r>
      <w:r w:rsidRPr="00747E35">
        <w:rPr>
          <w:rFonts w:asciiTheme="minorHAnsi" w:hAnsiTheme="minorHAnsi" w:cstheme="minorHAnsi"/>
          <w:color w:val="FF0000"/>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140</w:t>
      </w:r>
      <w:r w:rsidRPr="00747E35">
        <w:rPr>
          <w:rFonts w:asciiTheme="minorHAnsi" w:hAnsiTheme="minorHAnsi" w:cstheme="minorHAnsi"/>
          <w:color w:val="FF0000"/>
          <w:highlight w:val="yellow"/>
        </w:rPr>
        <w:fldChar w:fldCharType="end"/>
      </w:r>
      <w:r w:rsidRPr="00747E35">
        <w:rPr>
          <w:rFonts w:asciiTheme="minorHAnsi" w:hAnsiTheme="minorHAnsi" w:cstheme="minorHAnsi"/>
        </w:rPr>
        <w:t>).  For 30% of taxa, a published taxonomic description is yet to be made.  Relatively sound information is available regarding the presence or absence of taxa among spring complexes, but knowledge concerning taxon distributions at finer spatial scales (i.e. individual springs within complexes) is available for only ~70% of taxa.  In addition, for &gt;75% of organisms there are no published estimates of abundance anywhere within the range.  Nor is there information regarding the connectivity between populations of most taxa.  Literature regarding the basic ecology of &gt;50% of taxa is completely absent and the vast majority of species have little information available regarding how they respond to threatening processes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_Ref466443290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140</w:t>
      </w:r>
      <w:r w:rsidRPr="00747E35">
        <w:rPr>
          <w:rFonts w:asciiTheme="minorHAnsi" w:hAnsiTheme="minorHAnsi" w:cstheme="minorHAnsi"/>
        </w:rPr>
        <w:fldChar w:fldCharType="end"/>
      </w:r>
      <w:r w:rsidRPr="00747E35">
        <w:rPr>
          <w:rFonts w:asciiTheme="minorHAnsi" w:hAnsiTheme="minorHAnsi" w:cstheme="minorHAnsi"/>
        </w:rPr>
        <w:t>).</w:t>
      </w:r>
    </w:p>
    <w:p w14:paraId="6691832F" w14:textId="77777777" w:rsidR="0044478E" w:rsidRPr="00747E35" w:rsidRDefault="0044478E" w:rsidP="0044478E">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0EA50EA2" wp14:editId="7359A691">
            <wp:extent cx="3752757" cy="3638550"/>
            <wp:effectExtent l="0" t="0" r="635" b="0"/>
            <wp:docPr id="2084" name="Picture 2084" descr="Stacked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7">
                      <a:extLst>
                        <a:ext uri="{28A0092B-C50C-407E-A947-70E740481C1C}">
                          <a14:useLocalDpi xmlns:a14="http://schemas.microsoft.com/office/drawing/2010/main"/>
                        </a:ext>
                      </a:extLst>
                    </a:blip>
                    <a:srcRect/>
                    <a:stretch>
                      <a:fillRect/>
                    </a:stretch>
                  </pic:blipFill>
                  <pic:spPr bwMode="auto">
                    <a:xfrm>
                      <a:off x="0" y="0"/>
                      <a:ext cx="3767780" cy="3653116"/>
                    </a:xfrm>
                    <a:prstGeom prst="rect">
                      <a:avLst/>
                    </a:prstGeom>
                    <a:noFill/>
                  </pic:spPr>
                </pic:pic>
              </a:graphicData>
            </a:graphic>
          </wp:inline>
        </w:drawing>
      </w:r>
    </w:p>
    <w:p w14:paraId="77628008" w14:textId="77777777" w:rsidR="0044478E" w:rsidRPr="00747E35" w:rsidRDefault="0044478E" w:rsidP="00566456">
      <w:pPr>
        <w:pStyle w:val="Caption"/>
        <w:numPr>
          <w:ilvl w:val="0"/>
          <w:numId w:val="0"/>
        </w:numPr>
        <w:rPr>
          <w:rFonts w:cstheme="minorHAnsi"/>
        </w:rPr>
      </w:pPr>
      <w:bookmarkStart w:id="406" w:name="_Ref466443290"/>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140</w:t>
      </w:r>
      <w:r w:rsidR="009D6600" w:rsidRPr="00747E35">
        <w:rPr>
          <w:rFonts w:cstheme="minorHAnsi"/>
          <w:noProof/>
        </w:rPr>
        <w:fldChar w:fldCharType="end"/>
      </w:r>
      <w:bookmarkEnd w:id="406"/>
      <w:r w:rsidRPr="00747E35">
        <w:rPr>
          <w:rFonts w:cstheme="minorHAnsi"/>
        </w:rPr>
        <w:t>: The varying levels of data deficiency for different information types (taxonomy, distribution, abundance, connectivity, ecology, threats) identified across all taxa (red = data deficient, orange = basic data, yellow = good data and green = extensive data).</w:t>
      </w:r>
    </w:p>
    <w:p w14:paraId="18D6AA92" w14:textId="77777777" w:rsidR="0044478E" w:rsidRPr="00747E35" w:rsidRDefault="0044478E" w:rsidP="0044478E">
      <w:pPr>
        <w:rPr>
          <w:rFonts w:asciiTheme="minorHAnsi" w:hAnsiTheme="minorHAnsi" w:cstheme="minorHAnsi"/>
        </w:rPr>
      </w:pPr>
    </w:p>
    <w:p w14:paraId="7E5A59A9"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The relative quantity and nature of available data differs considerably across taxonomic groups.  Of all groups the fishes have the best scores overall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_Ref466443332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141</w:t>
      </w:r>
      <w:r w:rsidRPr="00747E35">
        <w:rPr>
          <w:rFonts w:asciiTheme="minorHAnsi" w:hAnsiTheme="minorHAnsi" w:cstheme="minorHAnsi"/>
        </w:rPr>
        <w:fldChar w:fldCharType="end"/>
      </w:r>
      <w:r w:rsidRPr="00747E35">
        <w:rPr>
          <w:rFonts w:asciiTheme="minorHAnsi" w:hAnsiTheme="minorHAnsi" w:cstheme="minorHAnsi"/>
        </w:rPr>
        <w:t xml:space="preserve">), but there is considerable variation among taxa.  For example, the red-finned blue-eye </w:t>
      </w:r>
      <w:r w:rsidRPr="00747E35">
        <w:rPr>
          <w:rFonts w:asciiTheme="minorHAnsi" w:hAnsiTheme="minorHAnsi" w:cstheme="minorHAnsi"/>
          <w:i/>
        </w:rPr>
        <w:t>Scaturiginichthys vermeilipinnis</w:t>
      </w:r>
      <w:r w:rsidRPr="00747E35">
        <w:rPr>
          <w:rFonts w:asciiTheme="minorHAnsi" w:hAnsiTheme="minorHAnsi" w:cstheme="minorHAnsi"/>
        </w:rPr>
        <w:t xml:space="preserve"> scored the best of any taxon while the Dalhousie catfish </w:t>
      </w:r>
      <w:r w:rsidRPr="00747E35">
        <w:rPr>
          <w:rFonts w:asciiTheme="minorHAnsi" w:hAnsiTheme="minorHAnsi" w:cstheme="minorHAnsi"/>
          <w:i/>
        </w:rPr>
        <w:t>Neosilurus gloveri</w:t>
      </w:r>
      <w:r w:rsidRPr="00747E35">
        <w:rPr>
          <w:rFonts w:asciiTheme="minorHAnsi" w:hAnsiTheme="minorHAnsi" w:cstheme="minorHAnsi"/>
        </w:rPr>
        <w:t xml:space="preserve"> remains little more than a morphological description.  The molluscs have the broadest range of data scores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_Ref466443332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141</w:t>
      </w:r>
      <w:r w:rsidRPr="00747E35">
        <w:rPr>
          <w:rFonts w:asciiTheme="minorHAnsi" w:hAnsiTheme="minorHAnsi" w:cstheme="minorHAnsi"/>
        </w:rPr>
        <w:fldChar w:fldCharType="end"/>
      </w:r>
      <w:r w:rsidRPr="00747E35">
        <w:rPr>
          <w:rFonts w:asciiTheme="minorHAnsi" w:hAnsiTheme="minorHAnsi" w:cstheme="minorHAnsi"/>
        </w:rPr>
        <w:t xml:space="preserve">), with equal numbers scoring the highest (e.g. </w:t>
      </w:r>
      <w:r w:rsidRPr="00747E35">
        <w:rPr>
          <w:rFonts w:asciiTheme="minorHAnsi" w:hAnsiTheme="minorHAnsi" w:cstheme="minorHAnsi"/>
          <w:i/>
        </w:rPr>
        <w:t>Fonscochlea</w:t>
      </w:r>
      <w:r w:rsidRPr="00747E35">
        <w:rPr>
          <w:rFonts w:asciiTheme="minorHAnsi" w:hAnsiTheme="minorHAnsi" w:cstheme="minorHAnsi"/>
        </w:rPr>
        <w:t xml:space="preserve"> and </w:t>
      </w:r>
      <w:r w:rsidRPr="00747E35">
        <w:rPr>
          <w:rFonts w:asciiTheme="minorHAnsi" w:hAnsiTheme="minorHAnsi" w:cstheme="minorHAnsi"/>
          <w:i/>
        </w:rPr>
        <w:t>Trochidrobia</w:t>
      </w:r>
      <w:r w:rsidRPr="00747E35">
        <w:rPr>
          <w:rFonts w:asciiTheme="minorHAnsi" w:hAnsiTheme="minorHAnsi" w:cstheme="minorHAnsi"/>
        </w:rPr>
        <w:t xml:space="preserve">) and the lowest (e.g. </w:t>
      </w:r>
      <w:r w:rsidRPr="00747E35">
        <w:rPr>
          <w:rFonts w:asciiTheme="minorHAnsi" w:hAnsiTheme="minorHAnsi" w:cstheme="minorHAnsi"/>
          <w:i/>
        </w:rPr>
        <w:t>Glyptophysa</w:t>
      </w:r>
      <w:r w:rsidRPr="00747E35">
        <w:rPr>
          <w:rFonts w:asciiTheme="minorHAnsi" w:hAnsiTheme="minorHAnsi" w:cstheme="minorHAnsi"/>
        </w:rPr>
        <w:t xml:space="preserve"> and </w:t>
      </w:r>
      <w:r w:rsidRPr="00747E35">
        <w:rPr>
          <w:rFonts w:asciiTheme="minorHAnsi" w:hAnsiTheme="minorHAnsi" w:cstheme="minorHAnsi"/>
          <w:i/>
        </w:rPr>
        <w:t>Gabbia</w:t>
      </w:r>
      <w:r w:rsidRPr="00747E35">
        <w:rPr>
          <w:rFonts w:asciiTheme="minorHAnsi" w:hAnsiTheme="minorHAnsi" w:cstheme="minorHAnsi"/>
        </w:rPr>
        <w:t>)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_Ref466443332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141</w:t>
      </w:r>
      <w:r w:rsidRPr="00747E35">
        <w:rPr>
          <w:rFonts w:asciiTheme="minorHAnsi" w:hAnsiTheme="minorHAnsi" w:cstheme="minorHAnsi"/>
        </w:rPr>
        <w:fldChar w:fldCharType="end"/>
      </w:r>
      <w:r w:rsidRPr="00747E35">
        <w:rPr>
          <w:rFonts w:asciiTheme="minorHAnsi" w:hAnsiTheme="minorHAnsi" w:cstheme="minorHAnsi"/>
        </w:rPr>
        <w:t xml:space="preserve">).  The low-scoring taxa tend to be within the less speciose families (e.g. the only species of bivalve scored lowest as well as a large swathe of undescribed </w:t>
      </w:r>
      <w:r w:rsidRPr="00747E35">
        <w:rPr>
          <w:rFonts w:asciiTheme="minorHAnsi" w:hAnsiTheme="minorHAnsi" w:cstheme="minorHAnsi"/>
          <w:i/>
        </w:rPr>
        <w:t>Jardinella</w:t>
      </w:r>
      <w:r w:rsidRPr="00747E35">
        <w:rPr>
          <w:rFonts w:asciiTheme="minorHAnsi" w:hAnsiTheme="minorHAnsi" w:cstheme="minorHAnsi"/>
        </w:rPr>
        <w:t xml:space="preserve"> from the eastern supergroups).  Both groups of Malacostraca considered here scored moderately in general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_Ref466443332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141</w:t>
      </w:r>
      <w:r w:rsidRPr="00747E35">
        <w:rPr>
          <w:rFonts w:asciiTheme="minorHAnsi" w:hAnsiTheme="minorHAnsi" w:cstheme="minorHAnsi"/>
        </w:rPr>
        <w:fldChar w:fldCharType="end"/>
      </w:r>
      <w:r w:rsidRPr="00747E35">
        <w:rPr>
          <w:rFonts w:asciiTheme="minorHAnsi" w:hAnsiTheme="minorHAnsi" w:cstheme="minorHAnsi"/>
        </w:rPr>
        <w:t xml:space="preserve">).  As with molluscs, low scoring taxa are from radiations outside of the popular Lake Eyre model system (both species of </w:t>
      </w:r>
      <w:r w:rsidRPr="00747E35">
        <w:rPr>
          <w:rFonts w:asciiTheme="minorHAnsi" w:hAnsiTheme="minorHAnsi" w:cstheme="minorHAnsi"/>
          <w:i/>
        </w:rPr>
        <w:t>Ponderiella</w:t>
      </w:r>
      <w:r w:rsidRPr="00747E35">
        <w:rPr>
          <w:rFonts w:asciiTheme="minorHAnsi" w:hAnsiTheme="minorHAnsi" w:cstheme="minorHAnsi"/>
        </w:rPr>
        <w:t xml:space="preserve"> and an undescribed </w:t>
      </w:r>
      <w:r w:rsidRPr="00747E35">
        <w:rPr>
          <w:rFonts w:asciiTheme="minorHAnsi" w:hAnsiTheme="minorHAnsi" w:cstheme="minorHAnsi"/>
          <w:i/>
        </w:rPr>
        <w:t>Austrochiltonia</w:t>
      </w:r>
      <w:r w:rsidRPr="00747E35">
        <w:rPr>
          <w:rFonts w:asciiTheme="minorHAnsi" w:hAnsiTheme="minorHAnsi" w:cstheme="minorHAnsi"/>
        </w:rPr>
        <w:t xml:space="preserve"> from Queensland).  Most plant taxa fall within the moderate range of scores, though three species have low scores (</w:t>
      </w:r>
      <w:r w:rsidRPr="00747E35">
        <w:rPr>
          <w:rFonts w:asciiTheme="minorHAnsi" w:hAnsiTheme="minorHAnsi" w:cstheme="minorHAnsi"/>
          <w:i/>
        </w:rPr>
        <w:t>Isotoma</w:t>
      </w:r>
      <w:r w:rsidRPr="00747E35">
        <w:rPr>
          <w:rFonts w:asciiTheme="minorHAnsi" w:hAnsiTheme="minorHAnsi" w:cstheme="minorHAnsi"/>
        </w:rPr>
        <w:t xml:space="preserve">, </w:t>
      </w:r>
      <w:r w:rsidRPr="00747E35">
        <w:rPr>
          <w:rFonts w:asciiTheme="minorHAnsi" w:hAnsiTheme="minorHAnsi" w:cstheme="minorHAnsi"/>
          <w:i/>
        </w:rPr>
        <w:t>Chloris</w:t>
      </w:r>
      <w:r w:rsidRPr="00747E35">
        <w:rPr>
          <w:rFonts w:asciiTheme="minorHAnsi" w:hAnsiTheme="minorHAnsi" w:cstheme="minorHAnsi"/>
        </w:rPr>
        <w:t xml:space="preserve"> and </w:t>
      </w:r>
      <w:r w:rsidRPr="00747E35">
        <w:rPr>
          <w:rFonts w:asciiTheme="minorHAnsi" w:hAnsiTheme="minorHAnsi" w:cstheme="minorHAnsi"/>
          <w:i/>
        </w:rPr>
        <w:t>Peplidium</w:t>
      </w:r>
      <w:r w:rsidRPr="00747E35">
        <w:rPr>
          <w:rFonts w:asciiTheme="minorHAnsi" w:hAnsiTheme="minorHAnsi" w:cstheme="minorHAnsi"/>
        </w:rPr>
        <w:t>)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_Ref466443332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141</w:t>
      </w:r>
      <w:r w:rsidRPr="00747E35">
        <w:rPr>
          <w:rFonts w:asciiTheme="minorHAnsi" w:hAnsiTheme="minorHAnsi" w:cstheme="minorHAnsi"/>
        </w:rPr>
        <w:fldChar w:fldCharType="end"/>
      </w:r>
      <w:r w:rsidRPr="00747E35">
        <w:rPr>
          <w:rFonts w:asciiTheme="minorHAnsi" w:hAnsiTheme="minorHAnsi" w:cstheme="minorHAnsi"/>
        </w:rPr>
        <w:t xml:space="preserve">).  </w:t>
      </w:r>
      <w:r w:rsidRPr="00747E35">
        <w:rPr>
          <w:rFonts w:asciiTheme="minorHAnsi" w:hAnsiTheme="minorHAnsi" w:cstheme="minorHAnsi"/>
        </w:rPr>
        <w:br w:type="page"/>
      </w:r>
    </w:p>
    <w:p w14:paraId="6B2E9231" w14:textId="77777777" w:rsidR="0044478E" w:rsidRPr="00747E35" w:rsidRDefault="0044478E" w:rsidP="0044478E">
      <w:pPr>
        <w:spacing w:after="0"/>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3FEE8B12" wp14:editId="047D21C6">
            <wp:extent cx="6000750" cy="7780478"/>
            <wp:effectExtent l="0" t="0" r="0" b="0"/>
            <wp:docPr id="64" name="Picture 64"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a:ext>
                      </a:extLst>
                    </a:blip>
                    <a:srcRect/>
                    <a:stretch>
                      <a:fillRect/>
                    </a:stretch>
                  </pic:blipFill>
                  <pic:spPr bwMode="auto">
                    <a:xfrm>
                      <a:off x="0" y="0"/>
                      <a:ext cx="6005638" cy="7786815"/>
                    </a:xfrm>
                    <a:prstGeom prst="rect">
                      <a:avLst/>
                    </a:prstGeom>
                    <a:noFill/>
                  </pic:spPr>
                </pic:pic>
              </a:graphicData>
            </a:graphic>
          </wp:inline>
        </w:drawing>
      </w:r>
    </w:p>
    <w:p w14:paraId="74AB4DEB" w14:textId="77777777" w:rsidR="0044478E" w:rsidRPr="00747E35" w:rsidRDefault="0044478E" w:rsidP="00566456">
      <w:pPr>
        <w:pStyle w:val="Caption"/>
        <w:numPr>
          <w:ilvl w:val="0"/>
          <w:numId w:val="0"/>
        </w:numPr>
        <w:rPr>
          <w:rFonts w:cstheme="minorHAnsi"/>
        </w:rPr>
      </w:pPr>
      <w:bookmarkStart w:id="407" w:name="_Ref46644333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141</w:t>
      </w:r>
      <w:r w:rsidR="009D6600" w:rsidRPr="00747E35">
        <w:rPr>
          <w:rFonts w:cstheme="minorHAnsi"/>
          <w:noProof/>
        </w:rPr>
        <w:fldChar w:fldCharType="end"/>
      </w:r>
      <w:bookmarkEnd w:id="407"/>
      <w:r w:rsidRPr="00747E35">
        <w:rPr>
          <w:rFonts w:cstheme="minorHAnsi"/>
        </w:rPr>
        <w:t xml:space="preserve">: Composite figure showing information for each taxon at species level regarding the narrowness of its range, the amount of information currently available about it, the percentage of populations within a conservation area and the alignment of four different types of legislative conservation protection.  GAB represents species named within the EPBC “threatened community”, with light grey signifying that they are currently absent, dark grey signifying they are listed as a single species when there is evidence for numerous species and black that they are included.  The other three (IUCN, EPBC and State) represent different types of conservation assessment with the representative levels of each in the legend. Codes are: NL - not listed, CD - conservation dependent, VU - vulnerable, EN - endangered, CE - critically endangered, DD - data deficient, LC - least concern, NT - near threatened, CR - critically endangered. </w:t>
      </w:r>
      <w:r w:rsidRPr="00747E35">
        <w:rPr>
          <w:rFonts w:cstheme="minorHAnsi"/>
        </w:rPr>
        <w:br w:type="page"/>
      </w:r>
    </w:p>
    <w:p w14:paraId="29CA41E9"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lastRenderedPageBreak/>
        <w:t xml:space="preserve">Representation within protected areas and current taxon conservation listings </w:t>
      </w:r>
    </w:p>
    <w:p w14:paraId="4F4F411D"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Sixty-six of the 326 spring complexes contain at least one spring occurring within a designated protected area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_Ref453232714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142</w:t>
      </w:r>
      <w:r w:rsidRPr="00747E35">
        <w:rPr>
          <w:rFonts w:asciiTheme="minorHAnsi" w:hAnsiTheme="minorHAnsi" w:cstheme="minorHAnsi"/>
        </w:rPr>
        <w:fldChar w:fldCharType="end"/>
      </w:r>
      <w:r w:rsidRPr="00747E35">
        <w:rPr>
          <w:rFonts w:asciiTheme="minorHAnsi" w:hAnsiTheme="minorHAnsi" w:cstheme="minorHAnsi"/>
        </w:rPr>
        <w:t>), although only 17 of the 66 partially-protected complexes contain any of the endemic taxa considered here.  Of these, very few complexes are completely encompassed within conservation reserves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_Ref453232714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142</w:t>
      </w:r>
      <w:r w:rsidRPr="00747E35">
        <w:rPr>
          <w:rFonts w:asciiTheme="minorHAnsi" w:hAnsiTheme="minorHAnsi" w:cstheme="minorHAnsi"/>
        </w:rPr>
        <w:fldChar w:fldCharType="end"/>
      </w:r>
      <w:r w:rsidRPr="00747E35">
        <w:rPr>
          <w:rFonts w:asciiTheme="minorHAnsi" w:hAnsiTheme="minorHAnsi" w:cstheme="minorHAnsi"/>
        </w:rPr>
        <w:t xml:space="preserve">).  The Dalhousie complex (Dalhousie supergroup), Elizabeth Springs complex (Springvale supergroup), Scotts Creek complex (Springsure supergroup), Peery complex (Bourke supergroup) and ten complexes from Lake Eyre are completely encompassed in national parks or other protected area designations.  Two other complexes within the Barcaldine supergroup have high biodiversity values and are partly within conservation reserves: part of the Pelican Creek complex (76% of springs) is conserved within the Edgbaston Reserve and part of the Moses complex (53% of springs) is conserved within the Doongmabulla Mound Springs Nature Refuge. </w:t>
      </w:r>
    </w:p>
    <w:p w14:paraId="2E81DB97" w14:textId="77777777" w:rsidR="0044478E" w:rsidRPr="00747E35" w:rsidRDefault="0044478E" w:rsidP="0044478E">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40906FA3" wp14:editId="5AA6D480">
            <wp:extent cx="4546142" cy="4167963"/>
            <wp:effectExtent l="0" t="0" r="6985" b="4445"/>
            <wp:docPr id="65" name="Picture 65"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cstate="screen">
                      <a:extLst>
                        <a:ext uri="{28A0092B-C50C-407E-A947-70E740481C1C}">
                          <a14:useLocalDpi xmlns:a14="http://schemas.microsoft.com/office/drawing/2010/main"/>
                        </a:ext>
                      </a:extLst>
                    </a:blip>
                    <a:srcRect/>
                    <a:stretch>
                      <a:fillRect/>
                    </a:stretch>
                  </pic:blipFill>
                  <pic:spPr bwMode="auto">
                    <a:xfrm>
                      <a:off x="0" y="0"/>
                      <a:ext cx="4555337" cy="4176393"/>
                    </a:xfrm>
                    <a:prstGeom prst="rect">
                      <a:avLst/>
                    </a:prstGeom>
                    <a:noFill/>
                  </pic:spPr>
                </pic:pic>
              </a:graphicData>
            </a:graphic>
          </wp:inline>
        </w:drawing>
      </w:r>
    </w:p>
    <w:p w14:paraId="46D1F277" w14:textId="77777777" w:rsidR="0044478E" w:rsidRPr="00747E35" w:rsidRDefault="0044478E" w:rsidP="00566456">
      <w:pPr>
        <w:pStyle w:val="Caption"/>
        <w:numPr>
          <w:ilvl w:val="0"/>
          <w:numId w:val="0"/>
        </w:numPr>
        <w:rPr>
          <w:rFonts w:cstheme="minorHAnsi"/>
        </w:rPr>
      </w:pPr>
      <w:bookmarkStart w:id="408" w:name="_Ref453232714"/>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142</w:t>
      </w:r>
      <w:r w:rsidR="009D6600" w:rsidRPr="00747E35">
        <w:rPr>
          <w:rFonts w:cstheme="minorHAnsi"/>
          <w:noProof/>
        </w:rPr>
        <w:fldChar w:fldCharType="end"/>
      </w:r>
      <w:bookmarkEnd w:id="408"/>
      <w:r w:rsidRPr="00747E35">
        <w:rPr>
          <w:rFonts w:cstheme="minorHAnsi"/>
        </w:rPr>
        <w:t xml:space="preserve">: Map of GAB (shaded area) and spring complexes characterised by their level of protection (% springs within IUCN protected areas; source: CAPAD 2014). Spring complexes belonging to each supergroup are enclosed by dashed lines. </w:t>
      </w:r>
    </w:p>
    <w:p w14:paraId="7F4FAB6C" w14:textId="77777777" w:rsidR="0044478E" w:rsidRPr="00747E35" w:rsidRDefault="0044478E" w:rsidP="0044478E">
      <w:pPr>
        <w:rPr>
          <w:rFonts w:asciiTheme="minorHAnsi" w:hAnsiTheme="minorHAnsi" w:cstheme="minorHAnsi"/>
        </w:rPr>
      </w:pPr>
    </w:p>
    <w:p w14:paraId="2E705987" w14:textId="3A8F2CBE" w:rsidR="0044478E" w:rsidRPr="00747E35" w:rsidRDefault="0044478E" w:rsidP="0044478E">
      <w:pPr>
        <w:rPr>
          <w:rFonts w:asciiTheme="minorHAnsi" w:hAnsiTheme="minorHAnsi" w:cstheme="minorHAnsi"/>
        </w:rPr>
      </w:pPr>
      <w:r w:rsidRPr="00747E35">
        <w:rPr>
          <w:rFonts w:asciiTheme="minorHAnsi" w:hAnsiTheme="minorHAnsi" w:cstheme="minorHAnsi"/>
        </w:rPr>
        <w:t xml:space="preserve">When considering the conservation of individual species, the conservation status assigned within the four types of conservation listing considered here did not align </w:t>
      </w:r>
      <w:r w:rsidR="00966A0B">
        <w:rPr>
          <w:rFonts w:asciiTheme="minorHAnsi" w:hAnsiTheme="minorHAnsi" w:cstheme="minorHAnsi"/>
        </w:rPr>
        <w:t>for</w:t>
      </w:r>
      <w:r w:rsidRPr="00747E35">
        <w:rPr>
          <w:rFonts w:asciiTheme="minorHAnsi" w:hAnsiTheme="minorHAnsi" w:cstheme="minorHAnsi"/>
        </w:rPr>
        <w:t xml:space="preserve"> each taxon and the listings are biased toward fish and plant taxa (</w:t>
      </w:r>
      <w:r w:rsidRPr="00747E35">
        <w:rPr>
          <w:rFonts w:asciiTheme="minorHAnsi" w:hAnsiTheme="minorHAnsi" w:cstheme="minorHAnsi"/>
          <w:color w:val="FF0000"/>
          <w:highlight w:val="yellow"/>
        </w:rPr>
        <w:fldChar w:fldCharType="begin"/>
      </w:r>
      <w:r w:rsidRPr="00747E35">
        <w:rPr>
          <w:rFonts w:asciiTheme="minorHAnsi" w:hAnsiTheme="minorHAnsi" w:cstheme="minorHAnsi"/>
        </w:rPr>
        <w:instrText xml:space="preserve"> REF _Ref466443332 \h </w:instrText>
      </w:r>
      <w:r w:rsidRPr="00747E35">
        <w:rPr>
          <w:rFonts w:asciiTheme="minorHAnsi" w:hAnsiTheme="minorHAnsi" w:cstheme="minorHAnsi"/>
          <w:color w:val="FF0000"/>
          <w:highlight w:val="yellow"/>
        </w:rPr>
        <w:instrText xml:space="preserve"> \* MERGEFORMAT </w:instrText>
      </w:r>
      <w:r w:rsidRPr="00747E35">
        <w:rPr>
          <w:rFonts w:asciiTheme="minorHAnsi" w:hAnsiTheme="minorHAnsi" w:cstheme="minorHAnsi"/>
          <w:color w:val="FF0000"/>
          <w:highlight w:val="yellow"/>
        </w:rPr>
      </w:r>
      <w:r w:rsidRPr="00747E35">
        <w:rPr>
          <w:rFonts w:asciiTheme="minorHAnsi" w:hAnsiTheme="minorHAnsi" w:cstheme="minorHAnsi"/>
          <w:color w:val="FF0000"/>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141</w:t>
      </w:r>
      <w:r w:rsidRPr="00747E35">
        <w:rPr>
          <w:rFonts w:asciiTheme="minorHAnsi" w:hAnsiTheme="minorHAnsi" w:cstheme="minorHAnsi"/>
          <w:color w:val="FF0000"/>
          <w:highlight w:val="yellow"/>
        </w:rPr>
        <w:fldChar w:fldCharType="end"/>
      </w:r>
      <w:r w:rsidRPr="00747E35">
        <w:rPr>
          <w:rFonts w:asciiTheme="minorHAnsi" w:hAnsiTheme="minorHAnsi" w:cstheme="minorHAnsi"/>
        </w:rPr>
        <w:t>).  Plants and fishes are relatively well assessed and represented in conservation listings (</w:t>
      </w:r>
      <w:r w:rsidRPr="00747E35">
        <w:rPr>
          <w:rFonts w:asciiTheme="minorHAnsi" w:hAnsiTheme="minorHAnsi" w:cstheme="minorHAnsi"/>
          <w:color w:val="FF0000"/>
          <w:highlight w:val="yellow"/>
        </w:rPr>
        <w:fldChar w:fldCharType="begin"/>
      </w:r>
      <w:r w:rsidRPr="00747E35">
        <w:rPr>
          <w:rFonts w:asciiTheme="minorHAnsi" w:hAnsiTheme="minorHAnsi" w:cstheme="minorHAnsi"/>
        </w:rPr>
        <w:instrText xml:space="preserve"> REF _Ref466443332 \h </w:instrText>
      </w:r>
      <w:r w:rsidRPr="00747E35">
        <w:rPr>
          <w:rFonts w:asciiTheme="minorHAnsi" w:hAnsiTheme="minorHAnsi" w:cstheme="minorHAnsi"/>
          <w:color w:val="FF0000"/>
          <w:highlight w:val="yellow"/>
        </w:rPr>
        <w:instrText xml:space="preserve"> \* MERGEFORMAT </w:instrText>
      </w:r>
      <w:r w:rsidRPr="00747E35">
        <w:rPr>
          <w:rFonts w:asciiTheme="minorHAnsi" w:hAnsiTheme="minorHAnsi" w:cstheme="minorHAnsi"/>
          <w:color w:val="FF0000"/>
          <w:highlight w:val="yellow"/>
        </w:rPr>
      </w:r>
      <w:r w:rsidRPr="00747E35">
        <w:rPr>
          <w:rFonts w:asciiTheme="minorHAnsi" w:hAnsiTheme="minorHAnsi" w:cstheme="minorHAnsi"/>
          <w:color w:val="FF0000"/>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141</w:t>
      </w:r>
      <w:r w:rsidRPr="00747E35">
        <w:rPr>
          <w:rFonts w:asciiTheme="minorHAnsi" w:hAnsiTheme="minorHAnsi" w:cstheme="minorHAnsi"/>
          <w:color w:val="FF0000"/>
          <w:highlight w:val="yellow"/>
        </w:rPr>
        <w:fldChar w:fldCharType="end"/>
      </w:r>
      <w:r w:rsidRPr="00747E35">
        <w:rPr>
          <w:rFonts w:asciiTheme="minorHAnsi" w:hAnsiTheme="minorHAnsi" w:cstheme="minorHAnsi"/>
        </w:rPr>
        <w:t xml:space="preserve">).  All taxa have all or at least some populations within protected areas except for </w:t>
      </w:r>
      <w:r w:rsidRPr="00747E35">
        <w:rPr>
          <w:rFonts w:asciiTheme="minorHAnsi" w:hAnsiTheme="minorHAnsi" w:cstheme="minorHAnsi"/>
          <w:i/>
        </w:rPr>
        <w:t xml:space="preserve">E. carsoni </w:t>
      </w:r>
      <w:r w:rsidRPr="00747E35">
        <w:rPr>
          <w:rFonts w:asciiTheme="minorHAnsi" w:hAnsiTheme="minorHAnsi" w:cstheme="minorHAnsi"/>
        </w:rPr>
        <w:t>sub sp</w:t>
      </w:r>
      <w:r w:rsidRPr="00747E35">
        <w:rPr>
          <w:rFonts w:asciiTheme="minorHAnsi" w:hAnsiTheme="minorHAnsi" w:cstheme="minorHAnsi"/>
          <w:i/>
        </w:rPr>
        <w:t>. euloense</w:t>
      </w:r>
      <w:r w:rsidRPr="00747E35">
        <w:rPr>
          <w:rFonts w:asciiTheme="minorHAnsi" w:hAnsiTheme="minorHAnsi" w:cstheme="minorHAnsi"/>
        </w:rPr>
        <w:t xml:space="preserve"> (</w:t>
      </w:r>
      <w:r w:rsidRPr="00747E35">
        <w:rPr>
          <w:rFonts w:asciiTheme="minorHAnsi" w:hAnsiTheme="minorHAnsi" w:cstheme="minorHAnsi"/>
          <w:color w:val="FF0000"/>
          <w:highlight w:val="yellow"/>
        </w:rPr>
        <w:fldChar w:fldCharType="begin"/>
      </w:r>
      <w:r w:rsidRPr="00747E35">
        <w:rPr>
          <w:rFonts w:asciiTheme="minorHAnsi" w:hAnsiTheme="minorHAnsi" w:cstheme="minorHAnsi"/>
        </w:rPr>
        <w:instrText xml:space="preserve"> REF _Ref466443332 \h </w:instrText>
      </w:r>
      <w:r w:rsidRPr="00747E35">
        <w:rPr>
          <w:rFonts w:asciiTheme="minorHAnsi" w:hAnsiTheme="minorHAnsi" w:cstheme="minorHAnsi"/>
          <w:color w:val="FF0000"/>
          <w:highlight w:val="yellow"/>
        </w:rPr>
        <w:instrText xml:space="preserve"> \* MERGEFORMAT </w:instrText>
      </w:r>
      <w:r w:rsidRPr="00747E35">
        <w:rPr>
          <w:rFonts w:asciiTheme="minorHAnsi" w:hAnsiTheme="minorHAnsi" w:cstheme="minorHAnsi"/>
          <w:color w:val="FF0000"/>
          <w:highlight w:val="yellow"/>
        </w:rPr>
      </w:r>
      <w:r w:rsidRPr="00747E35">
        <w:rPr>
          <w:rFonts w:asciiTheme="minorHAnsi" w:hAnsiTheme="minorHAnsi" w:cstheme="minorHAnsi"/>
          <w:color w:val="FF0000"/>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141</w:t>
      </w:r>
      <w:r w:rsidRPr="00747E35">
        <w:rPr>
          <w:rFonts w:asciiTheme="minorHAnsi" w:hAnsiTheme="minorHAnsi" w:cstheme="minorHAnsi"/>
          <w:color w:val="FF0000"/>
          <w:highlight w:val="yellow"/>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_Ref453232714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142</w:t>
      </w:r>
      <w:r w:rsidRPr="00747E35">
        <w:rPr>
          <w:rFonts w:asciiTheme="minorHAnsi" w:hAnsiTheme="minorHAnsi" w:cstheme="minorHAnsi"/>
        </w:rPr>
        <w:fldChar w:fldCharType="end"/>
      </w:r>
      <w:r w:rsidRPr="00747E35">
        <w:rPr>
          <w:rFonts w:asciiTheme="minorHAnsi" w:hAnsiTheme="minorHAnsi" w:cstheme="minorHAnsi"/>
        </w:rPr>
        <w:t>).  Three of the fishes are federally listed across varying levels (</w:t>
      </w:r>
      <w:r w:rsidRPr="00747E35">
        <w:rPr>
          <w:rFonts w:asciiTheme="minorHAnsi" w:hAnsiTheme="minorHAnsi" w:cstheme="minorHAnsi"/>
          <w:i/>
        </w:rPr>
        <w:t>S. vermeilipinnis, C. micropterus and C. squamigenus</w:t>
      </w:r>
      <w:r w:rsidRPr="00747E35">
        <w:rPr>
          <w:rFonts w:asciiTheme="minorHAnsi" w:hAnsiTheme="minorHAnsi" w:cstheme="minorHAnsi"/>
        </w:rPr>
        <w:t>), though none match the IUCN level (all critically endangered) (</w:t>
      </w:r>
      <w:r w:rsidRPr="00747E35">
        <w:rPr>
          <w:rFonts w:asciiTheme="minorHAnsi" w:hAnsiTheme="minorHAnsi" w:cstheme="minorHAnsi"/>
          <w:color w:val="FF0000"/>
          <w:highlight w:val="yellow"/>
        </w:rPr>
        <w:fldChar w:fldCharType="begin"/>
      </w:r>
      <w:r w:rsidRPr="00747E35">
        <w:rPr>
          <w:rFonts w:asciiTheme="minorHAnsi" w:hAnsiTheme="minorHAnsi" w:cstheme="minorHAnsi"/>
        </w:rPr>
        <w:instrText xml:space="preserve"> REF _Ref466443332 \h </w:instrText>
      </w:r>
      <w:r w:rsidRPr="00747E35">
        <w:rPr>
          <w:rFonts w:asciiTheme="minorHAnsi" w:hAnsiTheme="minorHAnsi" w:cstheme="minorHAnsi"/>
          <w:color w:val="FF0000"/>
          <w:highlight w:val="yellow"/>
        </w:rPr>
        <w:instrText xml:space="preserve"> \* MERGEFORMAT </w:instrText>
      </w:r>
      <w:r w:rsidRPr="00747E35">
        <w:rPr>
          <w:rFonts w:asciiTheme="minorHAnsi" w:hAnsiTheme="minorHAnsi" w:cstheme="minorHAnsi"/>
          <w:color w:val="FF0000"/>
          <w:highlight w:val="yellow"/>
        </w:rPr>
      </w:r>
      <w:r w:rsidRPr="00747E35">
        <w:rPr>
          <w:rFonts w:asciiTheme="minorHAnsi" w:hAnsiTheme="minorHAnsi" w:cstheme="minorHAnsi"/>
          <w:color w:val="FF0000"/>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141</w:t>
      </w:r>
      <w:r w:rsidRPr="00747E35">
        <w:rPr>
          <w:rFonts w:asciiTheme="minorHAnsi" w:hAnsiTheme="minorHAnsi" w:cstheme="minorHAnsi"/>
          <w:color w:val="FF0000"/>
          <w:highlight w:val="yellow"/>
        </w:rPr>
        <w:fldChar w:fldCharType="end"/>
      </w:r>
      <w:r w:rsidRPr="00747E35">
        <w:rPr>
          <w:rFonts w:asciiTheme="minorHAnsi" w:hAnsiTheme="minorHAnsi" w:cstheme="minorHAnsi"/>
        </w:rPr>
        <w:t xml:space="preserve">).  In many cases species remain unassessed and receive no listing under state or federal legislation (e.g. </w:t>
      </w:r>
      <w:r w:rsidRPr="00747E35">
        <w:rPr>
          <w:rFonts w:asciiTheme="minorHAnsi" w:hAnsiTheme="minorHAnsi" w:cstheme="minorHAnsi"/>
          <w:i/>
        </w:rPr>
        <w:t>N. gloveri and M. thermophila</w:t>
      </w:r>
      <w:r w:rsidRPr="00747E35">
        <w:rPr>
          <w:rFonts w:asciiTheme="minorHAnsi" w:hAnsiTheme="minorHAnsi" w:cstheme="minorHAnsi"/>
        </w:rPr>
        <w:t>) (</w:t>
      </w:r>
      <w:r w:rsidRPr="00747E35">
        <w:rPr>
          <w:rFonts w:asciiTheme="minorHAnsi" w:hAnsiTheme="minorHAnsi" w:cstheme="minorHAnsi"/>
          <w:color w:val="FF0000"/>
          <w:highlight w:val="yellow"/>
        </w:rPr>
        <w:fldChar w:fldCharType="begin"/>
      </w:r>
      <w:r w:rsidRPr="00747E35">
        <w:rPr>
          <w:rFonts w:asciiTheme="minorHAnsi" w:hAnsiTheme="minorHAnsi" w:cstheme="minorHAnsi"/>
        </w:rPr>
        <w:instrText xml:space="preserve"> REF _Ref466443332 \h </w:instrText>
      </w:r>
      <w:r w:rsidRPr="00747E35">
        <w:rPr>
          <w:rFonts w:asciiTheme="minorHAnsi" w:hAnsiTheme="minorHAnsi" w:cstheme="minorHAnsi"/>
          <w:color w:val="FF0000"/>
          <w:highlight w:val="yellow"/>
        </w:rPr>
        <w:instrText xml:space="preserve"> \* MERGEFORMAT </w:instrText>
      </w:r>
      <w:r w:rsidRPr="00747E35">
        <w:rPr>
          <w:rFonts w:asciiTheme="minorHAnsi" w:hAnsiTheme="minorHAnsi" w:cstheme="minorHAnsi"/>
          <w:color w:val="FF0000"/>
          <w:highlight w:val="yellow"/>
        </w:rPr>
      </w:r>
      <w:r w:rsidRPr="00747E35">
        <w:rPr>
          <w:rFonts w:asciiTheme="minorHAnsi" w:hAnsiTheme="minorHAnsi" w:cstheme="minorHAnsi"/>
          <w:color w:val="FF0000"/>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141</w:t>
      </w:r>
      <w:r w:rsidRPr="00747E35">
        <w:rPr>
          <w:rFonts w:asciiTheme="minorHAnsi" w:hAnsiTheme="minorHAnsi" w:cstheme="minorHAnsi"/>
          <w:color w:val="FF0000"/>
          <w:highlight w:val="yellow"/>
        </w:rPr>
        <w:fldChar w:fldCharType="end"/>
      </w:r>
      <w:r w:rsidRPr="00747E35">
        <w:rPr>
          <w:rFonts w:asciiTheme="minorHAnsi" w:hAnsiTheme="minorHAnsi" w:cstheme="minorHAnsi"/>
        </w:rPr>
        <w:t>).  In contrast, many endemic plants have better protection under national and state level listing than what is recommended under the IUCN (</w:t>
      </w:r>
      <w:r w:rsidRPr="00747E35">
        <w:rPr>
          <w:rFonts w:asciiTheme="minorHAnsi" w:hAnsiTheme="minorHAnsi" w:cstheme="minorHAnsi"/>
          <w:color w:val="FF0000"/>
          <w:highlight w:val="yellow"/>
        </w:rPr>
        <w:fldChar w:fldCharType="begin"/>
      </w:r>
      <w:r w:rsidRPr="00747E35">
        <w:rPr>
          <w:rFonts w:asciiTheme="minorHAnsi" w:hAnsiTheme="minorHAnsi" w:cstheme="minorHAnsi"/>
        </w:rPr>
        <w:instrText xml:space="preserve"> REF _Ref466443332 \h </w:instrText>
      </w:r>
      <w:r w:rsidRPr="00747E35">
        <w:rPr>
          <w:rFonts w:asciiTheme="minorHAnsi" w:hAnsiTheme="minorHAnsi" w:cstheme="minorHAnsi"/>
          <w:color w:val="FF0000"/>
          <w:highlight w:val="yellow"/>
        </w:rPr>
        <w:instrText xml:space="preserve"> \* MERGEFORMAT </w:instrText>
      </w:r>
      <w:r w:rsidRPr="00747E35">
        <w:rPr>
          <w:rFonts w:asciiTheme="minorHAnsi" w:hAnsiTheme="minorHAnsi" w:cstheme="minorHAnsi"/>
          <w:color w:val="FF0000"/>
          <w:highlight w:val="yellow"/>
        </w:rPr>
      </w:r>
      <w:r w:rsidRPr="00747E35">
        <w:rPr>
          <w:rFonts w:asciiTheme="minorHAnsi" w:hAnsiTheme="minorHAnsi" w:cstheme="minorHAnsi"/>
          <w:color w:val="FF0000"/>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141</w:t>
      </w:r>
      <w:r w:rsidRPr="00747E35">
        <w:rPr>
          <w:rFonts w:asciiTheme="minorHAnsi" w:hAnsiTheme="minorHAnsi" w:cstheme="minorHAnsi"/>
          <w:color w:val="FF0000"/>
          <w:highlight w:val="yellow"/>
        </w:rPr>
        <w:fldChar w:fldCharType="end"/>
      </w:r>
      <w:r w:rsidRPr="00747E35">
        <w:rPr>
          <w:rFonts w:asciiTheme="minorHAnsi" w:hAnsiTheme="minorHAnsi" w:cstheme="minorHAnsi"/>
        </w:rPr>
        <w:t>).  Many are listed as endangered under the EPBC (</w:t>
      </w:r>
      <w:r w:rsidRPr="00747E35">
        <w:rPr>
          <w:rFonts w:asciiTheme="minorHAnsi" w:hAnsiTheme="minorHAnsi" w:cstheme="minorHAnsi"/>
          <w:i/>
        </w:rPr>
        <w:t>Eriocaulon carsonii</w:t>
      </w:r>
      <w:r w:rsidRPr="00747E35">
        <w:rPr>
          <w:rFonts w:asciiTheme="minorHAnsi" w:hAnsiTheme="minorHAnsi" w:cstheme="minorHAnsi"/>
        </w:rPr>
        <w:t xml:space="preserve"> excluding sub species, </w:t>
      </w:r>
      <w:r w:rsidRPr="00747E35">
        <w:rPr>
          <w:rFonts w:asciiTheme="minorHAnsi" w:hAnsiTheme="minorHAnsi" w:cstheme="minorHAnsi"/>
          <w:i/>
        </w:rPr>
        <w:t>Eryngium fontanum</w:t>
      </w:r>
      <w:r w:rsidRPr="00747E35">
        <w:rPr>
          <w:rFonts w:asciiTheme="minorHAnsi" w:hAnsiTheme="minorHAnsi" w:cstheme="minorHAnsi"/>
        </w:rPr>
        <w:t xml:space="preserve">), which aligns with their state listing, though state legislation in Queensland </w:t>
      </w:r>
      <w:r w:rsidRPr="00747E35">
        <w:rPr>
          <w:rFonts w:asciiTheme="minorHAnsi" w:hAnsiTheme="minorHAnsi" w:cstheme="minorHAnsi"/>
        </w:rPr>
        <w:lastRenderedPageBreak/>
        <w:t>recognises two additional endangered species (</w:t>
      </w:r>
      <w:r w:rsidRPr="00747E35">
        <w:rPr>
          <w:rFonts w:asciiTheme="minorHAnsi" w:hAnsiTheme="minorHAnsi" w:cstheme="minorHAnsi"/>
          <w:i/>
        </w:rPr>
        <w:t>Myriophyllum artesium</w:t>
      </w:r>
      <w:r w:rsidRPr="00747E35">
        <w:rPr>
          <w:rFonts w:asciiTheme="minorHAnsi" w:hAnsiTheme="minorHAnsi" w:cstheme="minorHAnsi"/>
        </w:rPr>
        <w:t xml:space="preserve"> and </w:t>
      </w:r>
      <w:r w:rsidRPr="00747E35">
        <w:rPr>
          <w:rFonts w:asciiTheme="minorHAnsi" w:hAnsiTheme="minorHAnsi" w:cstheme="minorHAnsi"/>
          <w:i/>
        </w:rPr>
        <w:t>Sporobolus pamelae</w:t>
      </w:r>
      <w:r w:rsidRPr="00747E35">
        <w:rPr>
          <w:rFonts w:asciiTheme="minorHAnsi" w:hAnsiTheme="minorHAnsi" w:cstheme="minorHAnsi"/>
        </w:rPr>
        <w:t>), one of which is not recognised in other states where it occurs (</w:t>
      </w:r>
      <w:r w:rsidRPr="00747E35">
        <w:rPr>
          <w:rFonts w:asciiTheme="minorHAnsi" w:hAnsiTheme="minorHAnsi" w:cstheme="minorHAnsi"/>
          <w:i/>
        </w:rPr>
        <w:t>M. artesium</w:t>
      </w:r>
      <w:r w:rsidRPr="00747E35">
        <w:rPr>
          <w:rFonts w:asciiTheme="minorHAnsi" w:hAnsiTheme="minorHAnsi" w:cstheme="minorHAnsi"/>
        </w:rPr>
        <w:t>) (</w:t>
      </w:r>
      <w:r w:rsidRPr="00747E35">
        <w:rPr>
          <w:rFonts w:asciiTheme="minorHAnsi" w:hAnsiTheme="minorHAnsi" w:cstheme="minorHAnsi"/>
          <w:color w:val="FF0000"/>
          <w:highlight w:val="yellow"/>
        </w:rPr>
        <w:fldChar w:fldCharType="begin"/>
      </w:r>
      <w:r w:rsidRPr="00747E35">
        <w:rPr>
          <w:rFonts w:asciiTheme="minorHAnsi" w:hAnsiTheme="minorHAnsi" w:cstheme="minorHAnsi"/>
        </w:rPr>
        <w:instrText xml:space="preserve"> REF _Ref466443332 \h </w:instrText>
      </w:r>
      <w:r w:rsidRPr="00747E35">
        <w:rPr>
          <w:rFonts w:asciiTheme="minorHAnsi" w:hAnsiTheme="minorHAnsi" w:cstheme="minorHAnsi"/>
          <w:color w:val="FF0000"/>
          <w:highlight w:val="yellow"/>
        </w:rPr>
        <w:instrText xml:space="preserve"> \* MERGEFORMAT </w:instrText>
      </w:r>
      <w:r w:rsidRPr="00747E35">
        <w:rPr>
          <w:rFonts w:asciiTheme="minorHAnsi" w:hAnsiTheme="minorHAnsi" w:cstheme="minorHAnsi"/>
          <w:color w:val="FF0000"/>
          <w:highlight w:val="yellow"/>
        </w:rPr>
      </w:r>
      <w:r w:rsidRPr="00747E35">
        <w:rPr>
          <w:rFonts w:asciiTheme="minorHAnsi" w:hAnsiTheme="minorHAnsi" w:cstheme="minorHAnsi"/>
          <w:color w:val="FF0000"/>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141</w:t>
      </w:r>
      <w:r w:rsidRPr="00747E35">
        <w:rPr>
          <w:rFonts w:asciiTheme="minorHAnsi" w:hAnsiTheme="minorHAnsi" w:cstheme="minorHAnsi"/>
          <w:color w:val="FF0000"/>
          <w:highlight w:val="yellow"/>
        </w:rPr>
        <w:fldChar w:fldCharType="end"/>
      </w:r>
      <w:r w:rsidRPr="00747E35">
        <w:rPr>
          <w:rFonts w:asciiTheme="minorHAnsi" w:hAnsiTheme="minorHAnsi" w:cstheme="minorHAnsi"/>
        </w:rPr>
        <w:t xml:space="preserve">).  However, newly discovered and undescribed species with very narrow distributions are currently not assessed or listed even though many of them have much narrower ranges than those that are listed (e.g. both species of undescribed </w:t>
      </w:r>
      <w:r w:rsidRPr="00747E35">
        <w:rPr>
          <w:rFonts w:asciiTheme="minorHAnsi" w:hAnsiTheme="minorHAnsi" w:cstheme="minorHAnsi"/>
          <w:i/>
        </w:rPr>
        <w:t>Isotoma</w:t>
      </w:r>
      <w:r w:rsidRPr="00747E35">
        <w:rPr>
          <w:rFonts w:asciiTheme="minorHAnsi" w:hAnsiTheme="minorHAnsi" w:cstheme="minorHAnsi"/>
        </w:rPr>
        <w:t xml:space="preserve">, the undescribed </w:t>
      </w:r>
      <w:r w:rsidRPr="00747E35">
        <w:rPr>
          <w:rFonts w:asciiTheme="minorHAnsi" w:hAnsiTheme="minorHAnsi" w:cstheme="minorHAnsi"/>
          <w:i/>
        </w:rPr>
        <w:t>Chloris</w:t>
      </w:r>
      <w:r w:rsidRPr="00747E35">
        <w:rPr>
          <w:rFonts w:asciiTheme="minorHAnsi" w:hAnsiTheme="minorHAnsi" w:cstheme="minorHAnsi"/>
        </w:rPr>
        <w:t xml:space="preserve"> and </w:t>
      </w:r>
      <w:r w:rsidRPr="00747E35">
        <w:rPr>
          <w:rFonts w:asciiTheme="minorHAnsi" w:hAnsiTheme="minorHAnsi" w:cstheme="minorHAnsi"/>
          <w:i/>
        </w:rPr>
        <w:t>Eriocaulon aloefolium</w:t>
      </w:r>
      <w:r w:rsidRPr="00747E35">
        <w:rPr>
          <w:rFonts w:asciiTheme="minorHAnsi" w:hAnsiTheme="minorHAnsi" w:cstheme="minorHAnsi"/>
        </w:rPr>
        <w:t xml:space="preserve"> and </w:t>
      </w:r>
      <w:r w:rsidRPr="00747E35">
        <w:rPr>
          <w:rFonts w:asciiTheme="minorHAnsi" w:hAnsiTheme="minorHAnsi" w:cstheme="minorHAnsi"/>
          <w:i/>
        </w:rPr>
        <w:t>E. giganticum</w:t>
      </w:r>
      <w:r w:rsidRPr="00747E35">
        <w:rPr>
          <w:rFonts w:asciiTheme="minorHAnsi" w:hAnsiTheme="minorHAnsi" w:cstheme="minorHAnsi"/>
        </w:rPr>
        <w:t>) (</w:t>
      </w:r>
      <w:r w:rsidRPr="00747E35">
        <w:rPr>
          <w:rFonts w:asciiTheme="minorHAnsi" w:hAnsiTheme="minorHAnsi" w:cstheme="minorHAnsi"/>
          <w:color w:val="FF0000"/>
          <w:highlight w:val="yellow"/>
        </w:rPr>
        <w:fldChar w:fldCharType="begin"/>
      </w:r>
      <w:r w:rsidRPr="00747E35">
        <w:rPr>
          <w:rFonts w:asciiTheme="minorHAnsi" w:hAnsiTheme="minorHAnsi" w:cstheme="minorHAnsi"/>
        </w:rPr>
        <w:instrText xml:space="preserve"> REF _Ref466443332 \h </w:instrText>
      </w:r>
      <w:r w:rsidRPr="00747E35">
        <w:rPr>
          <w:rFonts w:asciiTheme="minorHAnsi" w:hAnsiTheme="minorHAnsi" w:cstheme="minorHAnsi"/>
          <w:color w:val="FF0000"/>
          <w:highlight w:val="yellow"/>
        </w:rPr>
        <w:instrText xml:space="preserve"> \* MERGEFORMAT </w:instrText>
      </w:r>
      <w:r w:rsidRPr="00747E35">
        <w:rPr>
          <w:rFonts w:asciiTheme="minorHAnsi" w:hAnsiTheme="minorHAnsi" w:cstheme="minorHAnsi"/>
          <w:color w:val="FF0000"/>
          <w:highlight w:val="yellow"/>
        </w:rPr>
      </w:r>
      <w:r w:rsidRPr="00747E35">
        <w:rPr>
          <w:rFonts w:asciiTheme="minorHAnsi" w:hAnsiTheme="minorHAnsi" w:cstheme="minorHAnsi"/>
          <w:color w:val="FF0000"/>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141</w:t>
      </w:r>
      <w:r w:rsidRPr="00747E35">
        <w:rPr>
          <w:rFonts w:asciiTheme="minorHAnsi" w:hAnsiTheme="minorHAnsi" w:cstheme="minorHAnsi"/>
          <w:color w:val="FF0000"/>
          <w:highlight w:val="yellow"/>
        </w:rPr>
        <w:fldChar w:fldCharType="end"/>
      </w:r>
      <w:r w:rsidRPr="00747E35">
        <w:rPr>
          <w:rFonts w:asciiTheme="minorHAnsi" w:hAnsiTheme="minorHAnsi" w:cstheme="minorHAnsi"/>
        </w:rPr>
        <w:t>).</w:t>
      </w:r>
    </w:p>
    <w:p w14:paraId="27275D4C"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In contrast, the invertebrates are poorly represented in any conservation listing (</w:t>
      </w:r>
      <w:r w:rsidRPr="00747E35">
        <w:rPr>
          <w:rFonts w:asciiTheme="minorHAnsi" w:hAnsiTheme="minorHAnsi" w:cstheme="minorHAnsi"/>
          <w:color w:val="FF0000"/>
        </w:rPr>
        <w:fldChar w:fldCharType="begin"/>
      </w:r>
      <w:r w:rsidRPr="00747E35">
        <w:rPr>
          <w:rFonts w:asciiTheme="minorHAnsi" w:hAnsiTheme="minorHAnsi" w:cstheme="minorHAnsi"/>
        </w:rPr>
        <w:instrText xml:space="preserve"> REF _Ref466443332 \h </w:instrText>
      </w:r>
      <w:r w:rsidRPr="00747E35">
        <w:rPr>
          <w:rFonts w:asciiTheme="minorHAnsi" w:hAnsiTheme="minorHAnsi" w:cstheme="minorHAnsi"/>
          <w:color w:val="FF0000"/>
        </w:rPr>
        <w:instrText xml:space="preserve"> \* MERGEFORMAT </w:instrText>
      </w:r>
      <w:r w:rsidRPr="00747E35">
        <w:rPr>
          <w:rFonts w:asciiTheme="minorHAnsi" w:hAnsiTheme="minorHAnsi" w:cstheme="minorHAnsi"/>
          <w:color w:val="FF0000"/>
        </w:rPr>
      </w:r>
      <w:r w:rsidRPr="00747E35">
        <w:rPr>
          <w:rFonts w:asciiTheme="minorHAnsi" w:hAnsiTheme="minorHAnsi" w:cstheme="minorHAnsi"/>
          <w:color w:val="FF0000"/>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141</w:t>
      </w:r>
      <w:r w:rsidRPr="00747E35">
        <w:rPr>
          <w:rFonts w:asciiTheme="minorHAnsi" w:hAnsiTheme="minorHAnsi" w:cstheme="minorHAnsi"/>
          <w:color w:val="FF0000"/>
        </w:rPr>
        <w:fldChar w:fldCharType="end"/>
      </w:r>
      <w:r w:rsidRPr="00747E35">
        <w:rPr>
          <w:rFonts w:asciiTheme="minorHAnsi" w:hAnsiTheme="minorHAnsi" w:cstheme="minorHAnsi"/>
        </w:rPr>
        <w:t>).  All invertebrate groups are composed primarily of taxa with no populations within a protected area.  No taxa of endemic spring invertebrate are listed individually under the EPBC act or under any state-level legislation even though, according to the IUCN, a large number of gastropods are threatened (</w:t>
      </w:r>
      <w:r w:rsidRPr="00747E35">
        <w:rPr>
          <w:rFonts w:asciiTheme="minorHAnsi" w:hAnsiTheme="minorHAnsi" w:cstheme="minorHAnsi"/>
          <w:color w:val="FF0000"/>
        </w:rPr>
        <w:fldChar w:fldCharType="begin"/>
      </w:r>
      <w:r w:rsidRPr="00747E35">
        <w:rPr>
          <w:rFonts w:asciiTheme="minorHAnsi" w:hAnsiTheme="minorHAnsi" w:cstheme="minorHAnsi"/>
        </w:rPr>
        <w:instrText xml:space="preserve"> REF _Ref466443332 \h </w:instrText>
      </w:r>
      <w:r w:rsidRPr="00747E35">
        <w:rPr>
          <w:rFonts w:asciiTheme="minorHAnsi" w:hAnsiTheme="minorHAnsi" w:cstheme="minorHAnsi"/>
          <w:color w:val="FF0000"/>
        </w:rPr>
        <w:instrText xml:space="preserve"> \* MERGEFORMAT </w:instrText>
      </w:r>
      <w:r w:rsidRPr="00747E35">
        <w:rPr>
          <w:rFonts w:asciiTheme="minorHAnsi" w:hAnsiTheme="minorHAnsi" w:cstheme="minorHAnsi"/>
          <w:color w:val="FF0000"/>
        </w:rPr>
      </w:r>
      <w:r w:rsidRPr="00747E35">
        <w:rPr>
          <w:rFonts w:asciiTheme="minorHAnsi" w:hAnsiTheme="minorHAnsi" w:cstheme="minorHAnsi"/>
          <w:color w:val="FF0000"/>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141</w:t>
      </w:r>
      <w:r w:rsidRPr="00747E35">
        <w:rPr>
          <w:rFonts w:asciiTheme="minorHAnsi" w:hAnsiTheme="minorHAnsi" w:cstheme="minorHAnsi"/>
          <w:color w:val="FF0000"/>
        </w:rPr>
        <w:fldChar w:fldCharType="end"/>
      </w:r>
      <w:r w:rsidRPr="00747E35">
        <w:rPr>
          <w:rFonts w:asciiTheme="minorHAnsi" w:hAnsiTheme="minorHAnsi" w:cstheme="minorHAnsi"/>
        </w:rPr>
        <w:t xml:space="preserve">).  </w:t>
      </w:r>
      <w:r w:rsidRPr="00747E35">
        <w:rPr>
          <w:rFonts w:asciiTheme="minorHAnsi" w:hAnsiTheme="minorHAnsi" w:cstheme="minorHAnsi"/>
          <w:i/>
        </w:rPr>
        <w:t>Jardinella colmani</w:t>
      </w:r>
      <w:r w:rsidRPr="00747E35">
        <w:rPr>
          <w:rFonts w:asciiTheme="minorHAnsi" w:hAnsiTheme="minorHAnsi" w:cstheme="minorHAnsi"/>
        </w:rPr>
        <w:t xml:space="preserve"> is considered critically endangered, and most species of described </w:t>
      </w:r>
      <w:r w:rsidRPr="00747E35">
        <w:rPr>
          <w:rFonts w:asciiTheme="minorHAnsi" w:hAnsiTheme="minorHAnsi" w:cstheme="minorHAnsi"/>
          <w:i/>
        </w:rPr>
        <w:t>Fonscochlea</w:t>
      </w:r>
      <w:r w:rsidRPr="00747E35">
        <w:rPr>
          <w:rFonts w:asciiTheme="minorHAnsi" w:hAnsiTheme="minorHAnsi" w:cstheme="minorHAnsi"/>
        </w:rPr>
        <w:t xml:space="preserve"> and </w:t>
      </w:r>
      <w:r w:rsidRPr="00747E35">
        <w:rPr>
          <w:rFonts w:asciiTheme="minorHAnsi" w:hAnsiTheme="minorHAnsi" w:cstheme="minorHAnsi"/>
          <w:i/>
        </w:rPr>
        <w:t>Jardinella</w:t>
      </w:r>
      <w:r w:rsidRPr="00747E35">
        <w:rPr>
          <w:rFonts w:asciiTheme="minorHAnsi" w:hAnsiTheme="minorHAnsi" w:cstheme="minorHAnsi"/>
        </w:rPr>
        <w:t xml:space="preserve"> are endangered or vulnerable (</w:t>
      </w:r>
      <w:r w:rsidRPr="00747E35">
        <w:rPr>
          <w:rFonts w:asciiTheme="minorHAnsi" w:hAnsiTheme="minorHAnsi" w:cstheme="minorHAnsi"/>
          <w:color w:val="FF0000"/>
        </w:rPr>
        <w:fldChar w:fldCharType="begin"/>
      </w:r>
      <w:r w:rsidRPr="00747E35">
        <w:rPr>
          <w:rFonts w:asciiTheme="minorHAnsi" w:hAnsiTheme="minorHAnsi" w:cstheme="minorHAnsi"/>
        </w:rPr>
        <w:instrText xml:space="preserve"> REF _Ref466443332 \h </w:instrText>
      </w:r>
      <w:r w:rsidRPr="00747E35">
        <w:rPr>
          <w:rFonts w:asciiTheme="minorHAnsi" w:hAnsiTheme="minorHAnsi" w:cstheme="minorHAnsi"/>
          <w:color w:val="FF0000"/>
        </w:rPr>
        <w:instrText xml:space="preserve"> \* MERGEFORMAT </w:instrText>
      </w:r>
      <w:r w:rsidRPr="00747E35">
        <w:rPr>
          <w:rFonts w:asciiTheme="minorHAnsi" w:hAnsiTheme="minorHAnsi" w:cstheme="minorHAnsi"/>
          <w:color w:val="FF0000"/>
        </w:rPr>
      </w:r>
      <w:r w:rsidRPr="00747E35">
        <w:rPr>
          <w:rFonts w:asciiTheme="minorHAnsi" w:hAnsiTheme="minorHAnsi" w:cstheme="minorHAnsi"/>
          <w:color w:val="FF0000"/>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141</w:t>
      </w:r>
      <w:r w:rsidRPr="00747E35">
        <w:rPr>
          <w:rFonts w:asciiTheme="minorHAnsi" w:hAnsiTheme="minorHAnsi" w:cstheme="minorHAnsi"/>
          <w:color w:val="FF0000"/>
        </w:rPr>
        <w:fldChar w:fldCharType="end"/>
      </w:r>
      <w:r w:rsidRPr="00747E35">
        <w:rPr>
          <w:rFonts w:asciiTheme="minorHAnsi" w:hAnsiTheme="minorHAnsi" w:cstheme="minorHAnsi"/>
        </w:rPr>
        <w:t xml:space="preserve">).  While the majority of species that are yet to be assessed or listed under any legislation are undescribed, many described species (primarily those within the Bythiniidae and Planorbidae) are yet to be evaluated.  The species within a recent expansion of a complex of </w:t>
      </w:r>
      <w:r w:rsidRPr="00747E35">
        <w:rPr>
          <w:rFonts w:asciiTheme="minorHAnsi" w:hAnsiTheme="minorHAnsi" w:cstheme="minorHAnsi"/>
          <w:i/>
        </w:rPr>
        <w:t>Wangiannachiltonia</w:t>
      </w:r>
      <w:r w:rsidRPr="00747E35">
        <w:rPr>
          <w:rFonts w:asciiTheme="minorHAnsi" w:hAnsiTheme="minorHAnsi" w:cstheme="minorHAnsi"/>
        </w:rPr>
        <w:t xml:space="preserve"> are yet to be assessed or added to the GAB “threatened community” list.  Unfortunately, no arthropod has been assessed under the IUCN at the time of writing.</w:t>
      </w:r>
    </w:p>
    <w:p w14:paraId="2C32EA80" w14:textId="77777777" w:rsidR="0044478E" w:rsidRPr="00747E35" w:rsidRDefault="0044478E" w:rsidP="0044478E">
      <w:pPr>
        <w:rPr>
          <w:rFonts w:asciiTheme="minorHAnsi" w:hAnsiTheme="minorHAnsi" w:cstheme="minorHAnsi"/>
        </w:rPr>
      </w:pPr>
    </w:p>
    <w:p w14:paraId="385B0BB0" w14:textId="5E9B6054" w:rsidR="0044478E" w:rsidRPr="00747E35" w:rsidRDefault="0044478E" w:rsidP="0044478E">
      <w:pPr>
        <w:pStyle w:val="Heading3"/>
        <w:rPr>
          <w:rFonts w:asciiTheme="minorHAnsi" w:hAnsiTheme="minorHAnsi" w:cstheme="minorHAnsi"/>
        </w:rPr>
      </w:pPr>
      <w:bookmarkStart w:id="409" w:name="_Toc467244821"/>
      <w:bookmarkStart w:id="410" w:name="_Toc470004903"/>
      <w:r w:rsidRPr="00747E35">
        <w:rPr>
          <w:rFonts w:asciiTheme="minorHAnsi" w:hAnsiTheme="minorHAnsi" w:cstheme="minorHAnsi"/>
        </w:rPr>
        <w:t>Discussion</w:t>
      </w:r>
      <w:bookmarkEnd w:id="409"/>
      <w:bookmarkEnd w:id="410"/>
    </w:p>
    <w:p w14:paraId="17DC3AF4"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 xml:space="preserve">Endemic organisms that inhabit GAB springs are varied and represent a broad range of taxa, the full diversity of which is yet to be discovered.  Most have highly restricted distributions and much of the biodiversity is concentrated in particular parts of the basin.  Whilst physical characteristics of spring complexes are useful for explaining the presence or absence of endemic species, they are not useful for predicting the locations of biodiversity ‘hot spots’.  We know very little about the majority of species in the system, particularly regarding their ecology and response to threats.  These knowledge gaps are worrying as the species with the least available information are often those with narrow ranges that are not currently included within protected areas or national conservation legislation.  </w:t>
      </w:r>
    </w:p>
    <w:p w14:paraId="76CE5836" w14:textId="64F1AA3F" w:rsidR="0044478E" w:rsidRPr="00747E35" w:rsidRDefault="0044478E" w:rsidP="0044478E">
      <w:pPr>
        <w:rPr>
          <w:rFonts w:asciiTheme="minorHAnsi" w:hAnsiTheme="minorHAnsi" w:cstheme="minorHAnsi"/>
        </w:rPr>
      </w:pPr>
      <w:r w:rsidRPr="00747E35">
        <w:rPr>
          <w:rFonts w:asciiTheme="minorHAnsi" w:hAnsiTheme="minorHAnsi" w:cstheme="minorHAnsi"/>
        </w:rPr>
        <w:t>We expect that complexes with more springs in close proximity that are well connected to other complexes should foster higher diversity (Davis et al</w:t>
      </w:r>
      <w:r w:rsidR="005E04D7">
        <w:rPr>
          <w:rFonts w:asciiTheme="minorHAnsi" w:hAnsiTheme="minorHAnsi" w:cstheme="minorHAnsi"/>
        </w:rPr>
        <w:t>.</w:t>
      </w:r>
      <w:r w:rsidRPr="00747E35">
        <w:rPr>
          <w:rFonts w:asciiTheme="minorHAnsi" w:hAnsiTheme="minorHAnsi" w:cstheme="minorHAnsi"/>
        </w:rPr>
        <w:t xml:space="preserve"> 2013). We found that some environmental characteristics of spring complexes (e.g. spring surface water persistence; relative spatial proximity and hydrologic connectivity) were good predictors of the likelihood of spring complexes containing any endemic taxa (correct classification rate of 0.73). However, spatial variation in biodiversity at springs containing one or more endemic taxa was generally weakly related to environmental characteristics (pseudo-r</w:t>
      </w:r>
      <w:r w:rsidRPr="00747E35">
        <w:rPr>
          <w:rFonts w:asciiTheme="minorHAnsi" w:hAnsiTheme="minorHAnsi" w:cstheme="minorHAnsi"/>
          <w:vertAlign w:val="superscript"/>
        </w:rPr>
        <w:t>2</w:t>
      </w:r>
      <w:r w:rsidRPr="00747E35">
        <w:rPr>
          <w:rFonts w:asciiTheme="minorHAnsi" w:hAnsiTheme="minorHAnsi" w:cstheme="minorHAnsi"/>
        </w:rPr>
        <w:t xml:space="preserve"> values ranging from 0.26 to 0.38).  This data suggests that spring complexes with many well connected springs contain endemic species, however the environmental conditions of each complex cannot necessarily explain the biodiversity it holds.  There are numerous potential reasons why this may be the case.  There may be unmeasured elements of spring environments that are important determinants of species distributions, or different species respond to different mechanisms, masking overall patterns.  Historical processes may be more important than contemporary ones (as seen in other spring systems, see for example Horsak et al. 2007).  Geological and past hydrological processes are likely to have led to alternate phases of isolation and connection of springs (Bauzà-Ribot et al. 2011), which may explain the co-occurrence or disjunct distribution of some species that are now isolated (Fattorini et al. 2016).  The ancestors of some species that are currently present in springs were once broadly distributed, but as aridity intensified they were left ‘stranded’ in springs (Ponder, 1986; Murphy et al. 2012).  Some of these species have likely gone extinct, while others have diversified but not necessarily where they are currently found (e.g. Ponder and Colgan, 1989).  Quantifying these historic connectivity pathways was beyond the scope of this study but has demonstrated the diverse evolutionary narratives of some endemic taxa (e.g. the amphipoda, see Murphy </w:t>
      </w:r>
      <w:r w:rsidRPr="00747E35">
        <w:rPr>
          <w:rFonts w:asciiTheme="minorHAnsi" w:hAnsiTheme="minorHAnsi" w:cstheme="minorHAnsi"/>
          <w:i/>
        </w:rPr>
        <w:t xml:space="preserve">et al. </w:t>
      </w:r>
      <w:r w:rsidRPr="00747E35">
        <w:rPr>
          <w:rFonts w:asciiTheme="minorHAnsi" w:hAnsiTheme="minorHAnsi" w:cstheme="minorHAnsi"/>
        </w:rPr>
        <w:t xml:space="preserve">2009).  Finally, supergroups with low diversity happen to be those that have experienced considerable loss of springs (e.g. Flinders River, Eulo and Bourke;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_Ref453232254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136</w:t>
      </w:r>
      <w:r w:rsidRPr="00747E35">
        <w:rPr>
          <w:rFonts w:asciiTheme="minorHAnsi" w:hAnsiTheme="minorHAnsi" w:cstheme="minorHAnsi"/>
        </w:rPr>
        <w:fldChar w:fldCharType="end"/>
      </w:r>
      <w:r w:rsidRPr="00747E35">
        <w:rPr>
          <w:rFonts w:asciiTheme="minorHAnsi" w:hAnsiTheme="minorHAnsi" w:cstheme="minorHAnsi"/>
        </w:rPr>
        <w:t xml:space="preserve">; Fairfax and Fensham 2002, Fensham and Fairfax 2003).  Considering the prevalence of species with ranges restricted to a single complex, and that numerous whole complexes have disappeared since the late 1800s, the diversity we see now is unlikely to be that which persisted before </w:t>
      </w:r>
      <w:r w:rsidR="00966A0B">
        <w:rPr>
          <w:rFonts w:asciiTheme="minorHAnsi" w:hAnsiTheme="minorHAnsi" w:cstheme="minorHAnsi"/>
        </w:rPr>
        <w:t xml:space="preserve">European </w:t>
      </w:r>
      <w:r w:rsidRPr="00747E35">
        <w:rPr>
          <w:rFonts w:asciiTheme="minorHAnsi" w:hAnsiTheme="minorHAnsi" w:cstheme="minorHAnsi"/>
        </w:rPr>
        <w:t>colon</w:t>
      </w:r>
      <w:r w:rsidR="00966A0B">
        <w:rPr>
          <w:rFonts w:asciiTheme="minorHAnsi" w:hAnsiTheme="minorHAnsi" w:cstheme="minorHAnsi"/>
        </w:rPr>
        <w:t>isation</w:t>
      </w:r>
      <w:r w:rsidRPr="00747E35">
        <w:rPr>
          <w:rFonts w:asciiTheme="minorHAnsi" w:hAnsiTheme="minorHAnsi" w:cstheme="minorHAnsi"/>
        </w:rPr>
        <w:t xml:space="preserve">.  </w:t>
      </w:r>
    </w:p>
    <w:p w14:paraId="651B0AF2" w14:textId="33B15270" w:rsidR="0044478E" w:rsidRPr="00747E35" w:rsidRDefault="0044478E" w:rsidP="0044478E">
      <w:pPr>
        <w:rPr>
          <w:rFonts w:asciiTheme="minorHAnsi" w:hAnsiTheme="minorHAnsi" w:cstheme="minorHAnsi"/>
        </w:rPr>
      </w:pPr>
      <w:r w:rsidRPr="00747E35">
        <w:rPr>
          <w:rFonts w:asciiTheme="minorHAnsi" w:hAnsiTheme="minorHAnsi" w:cstheme="minorHAnsi"/>
        </w:rPr>
        <w:lastRenderedPageBreak/>
        <w:t>The history of species discovery in GAB springs is a recent one and will continue to be updated as new techniques are employed.  Since the 1980s, there has been a rapid increase in the number of species recognised to be endemic to springs, but this is by no means representative of the full diversity of taxa that remain undescribed (</w:t>
      </w:r>
      <w:r w:rsidRPr="00747E35">
        <w:rPr>
          <w:rFonts w:asciiTheme="minorHAnsi" w:hAnsiTheme="minorHAnsi" w:cstheme="minorHAnsi"/>
          <w:color w:val="FF0000"/>
          <w:highlight w:val="yellow"/>
        </w:rPr>
        <w:fldChar w:fldCharType="begin"/>
      </w:r>
      <w:r w:rsidRPr="00747E35">
        <w:rPr>
          <w:rFonts w:asciiTheme="minorHAnsi" w:hAnsiTheme="minorHAnsi" w:cstheme="minorHAnsi"/>
        </w:rPr>
        <w:instrText xml:space="preserve"> REF _Ref466443581 \h </w:instrText>
      </w:r>
      <w:r w:rsidRPr="00747E35">
        <w:rPr>
          <w:rFonts w:asciiTheme="minorHAnsi" w:hAnsiTheme="minorHAnsi" w:cstheme="minorHAnsi"/>
          <w:color w:val="FF0000"/>
          <w:highlight w:val="yellow"/>
        </w:rPr>
        <w:instrText xml:space="preserve"> \* MERGEFORMAT </w:instrText>
      </w:r>
      <w:r w:rsidRPr="00747E35">
        <w:rPr>
          <w:rFonts w:asciiTheme="minorHAnsi" w:hAnsiTheme="minorHAnsi" w:cstheme="minorHAnsi"/>
          <w:color w:val="FF0000"/>
          <w:highlight w:val="yellow"/>
        </w:rPr>
      </w:r>
      <w:r w:rsidRPr="00747E35">
        <w:rPr>
          <w:rFonts w:asciiTheme="minorHAnsi" w:hAnsiTheme="minorHAnsi" w:cstheme="minorHAnsi"/>
          <w:color w:val="FF0000"/>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143</w:t>
      </w:r>
      <w:r w:rsidRPr="00747E35">
        <w:rPr>
          <w:rFonts w:asciiTheme="minorHAnsi" w:hAnsiTheme="minorHAnsi" w:cstheme="minorHAnsi"/>
          <w:color w:val="FF0000"/>
          <w:highlight w:val="yellow"/>
        </w:rPr>
        <w:fldChar w:fldCharType="end"/>
      </w:r>
      <w:r w:rsidRPr="00747E35">
        <w:rPr>
          <w:rFonts w:asciiTheme="minorHAnsi" w:hAnsiTheme="minorHAnsi" w:cstheme="minorHAnsi"/>
        </w:rPr>
        <w:t xml:space="preserve">).  For larger and more charismatic taxa such as fishes, the rate of description was relatively rapid and the species currently described or in collections awaiting description could be considered a fair estimate of the diversity within the system.  For amphipods, recent molecular investigations have revealed that many populations once thought to be a single species are in fact a complex of morphologically similar species (e.g. the </w:t>
      </w:r>
      <w:r w:rsidRPr="00747E35">
        <w:rPr>
          <w:rFonts w:asciiTheme="minorHAnsi" w:hAnsiTheme="minorHAnsi" w:cstheme="minorHAnsi"/>
          <w:i/>
        </w:rPr>
        <w:t>Wangiannachiltonia</w:t>
      </w:r>
      <w:r w:rsidRPr="00747E35">
        <w:rPr>
          <w:rFonts w:asciiTheme="minorHAnsi" w:hAnsiTheme="minorHAnsi" w:cstheme="minorHAnsi"/>
        </w:rPr>
        <w:t xml:space="preserve"> radiation; King 2009).  Wide arrays of taxa still await basic investigation.  The algae for example are completely overlooked even though they form a large component of endemic spring diversity in other systems (Cantonati et al. 2012</w:t>
      </w:r>
      <w:r w:rsidR="00A15951">
        <w:rPr>
          <w:rFonts w:asciiTheme="minorHAnsi" w:hAnsiTheme="minorHAnsi" w:cstheme="minorHAnsi"/>
        </w:rPr>
        <w:t>a</w:t>
      </w:r>
      <w:r w:rsidRPr="00747E35">
        <w:rPr>
          <w:rFonts w:asciiTheme="minorHAnsi" w:hAnsiTheme="minorHAnsi" w:cstheme="minorHAnsi"/>
        </w:rPr>
        <w:t>).  The same can be said for Acari and Ostracoda, both of which are proposed to contain endemics (Ponder et al. 2010) and can be abundant in springs (Rossini et al. 2015).  The sampling of seasonal fauna with ecologically distinct life-stages such as damselflies and caddis flies is also needed to gain a more robust idea of diversity within the Insecta, especially considering at least one dragonfly has been identified as a putative endemic (Ponder et al. 2010).  Sampling for each of these diverse types of fauna will require specialised methods and targeted sampling to ensure the full diversity is captured (Cantonati et al. 2007, Rossini et al. 2015).  It should also be noted that this review has made no account of the diverse flora and fauna that utilise springs but are not endemic to them (see Fensham et al. 2011).  While the adaptations of these species mean they are not tied to springs, they would still be affected if springs failed to act as permanent water sources in an arid landscape.  Thus, although our estimate of diversity is considerably larger than previous accounts (</w:t>
      </w:r>
      <w:r w:rsidRPr="00747E35">
        <w:rPr>
          <w:rFonts w:asciiTheme="minorHAnsi" w:hAnsiTheme="minorHAnsi" w:cstheme="minorHAnsi"/>
          <w:color w:val="FF0000"/>
          <w:highlight w:val="yellow"/>
        </w:rPr>
        <w:fldChar w:fldCharType="begin"/>
      </w:r>
      <w:r w:rsidRPr="00747E35">
        <w:rPr>
          <w:rFonts w:asciiTheme="minorHAnsi" w:hAnsiTheme="minorHAnsi" w:cstheme="minorHAnsi"/>
        </w:rPr>
        <w:instrText xml:space="preserve"> REF _Ref466443581 \h </w:instrText>
      </w:r>
      <w:r w:rsidRPr="00747E35">
        <w:rPr>
          <w:rFonts w:asciiTheme="minorHAnsi" w:hAnsiTheme="minorHAnsi" w:cstheme="minorHAnsi"/>
          <w:color w:val="FF0000"/>
          <w:highlight w:val="yellow"/>
        </w:rPr>
        <w:instrText xml:space="preserve"> \* MERGEFORMAT </w:instrText>
      </w:r>
      <w:r w:rsidRPr="00747E35">
        <w:rPr>
          <w:rFonts w:asciiTheme="minorHAnsi" w:hAnsiTheme="minorHAnsi" w:cstheme="minorHAnsi"/>
          <w:color w:val="FF0000"/>
          <w:highlight w:val="yellow"/>
        </w:rPr>
      </w:r>
      <w:r w:rsidRPr="00747E35">
        <w:rPr>
          <w:rFonts w:asciiTheme="minorHAnsi" w:hAnsiTheme="minorHAnsi" w:cstheme="minorHAnsi"/>
          <w:color w:val="FF0000"/>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143</w:t>
      </w:r>
      <w:r w:rsidRPr="00747E35">
        <w:rPr>
          <w:rFonts w:asciiTheme="minorHAnsi" w:hAnsiTheme="minorHAnsi" w:cstheme="minorHAnsi"/>
          <w:color w:val="FF0000"/>
          <w:highlight w:val="yellow"/>
        </w:rPr>
        <w:fldChar w:fldCharType="end"/>
      </w:r>
      <w:r w:rsidRPr="00747E35">
        <w:rPr>
          <w:rFonts w:asciiTheme="minorHAnsi" w:hAnsiTheme="minorHAnsi" w:cstheme="minorHAnsi"/>
        </w:rPr>
        <w:t>), it is by no means a proper representation of the full diversity in the GAB system.</w:t>
      </w:r>
    </w:p>
    <w:p w14:paraId="597FE584" w14:textId="77777777" w:rsidR="0044478E" w:rsidRPr="00747E35" w:rsidRDefault="0044478E" w:rsidP="0044478E">
      <w:pPr>
        <w:rPr>
          <w:rFonts w:asciiTheme="minorHAnsi" w:hAnsiTheme="minorHAnsi" w:cstheme="minorHAnsi"/>
        </w:rPr>
      </w:pPr>
    </w:p>
    <w:p w14:paraId="1A94DF9C" w14:textId="77777777" w:rsidR="0044478E" w:rsidRPr="00747E35" w:rsidRDefault="0044478E" w:rsidP="0044478E">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24B19A6F" wp14:editId="1D2557C8">
            <wp:extent cx="6120130" cy="3013710"/>
            <wp:effectExtent l="0" t="0" r="0" b="0"/>
            <wp:docPr id="54" name="Picture 54" descr="Time serie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Species richness v2.png"/>
                    <pic:cNvPicPr/>
                  </pic:nvPicPr>
                  <pic:blipFill>
                    <a:blip r:embed="rId210">
                      <a:extLst>
                        <a:ext uri="{28A0092B-C50C-407E-A947-70E740481C1C}">
                          <a14:useLocalDpi xmlns:a14="http://schemas.microsoft.com/office/drawing/2010/main"/>
                        </a:ext>
                      </a:extLst>
                    </a:blip>
                    <a:stretch>
                      <a:fillRect/>
                    </a:stretch>
                  </pic:blipFill>
                  <pic:spPr>
                    <a:xfrm>
                      <a:off x="0" y="0"/>
                      <a:ext cx="6120130" cy="3013710"/>
                    </a:xfrm>
                    <a:prstGeom prst="rect">
                      <a:avLst/>
                    </a:prstGeom>
                  </pic:spPr>
                </pic:pic>
              </a:graphicData>
            </a:graphic>
          </wp:inline>
        </w:drawing>
      </w:r>
    </w:p>
    <w:p w14:paraId="5C53114D" w14:textId="77777777" w:rsidR="0044478E" w:rsidRPr="00747E35" w:rsidRDefault="0044478E" w:rsidP="00566456">
      <w:pPr>
        <w:pStyle w:val="Caption"/>
        <w:numPr>
          <w:ilvl w:val="0"/>
          <w:numId w:val="0"/>
        </w:numPr>
        <w:rPr>
          <w:rFonts w:cstheme="minorHAnsi"/>
        </w:rPr>
      </w:pPr>
      <w:bookmarkStart w:id="411" w:name="_Ref466443581"/>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143</w:t>
      </w:r>
      <w:r w:rsidR="009D6600" w:rsidRPr="00747E35">
        <w:rPr>
          <w:rFonts w:cstheme="minorHAnsi"/>
          <w:noProof/>
        </w:rPr>
        <w:fldChar w:fldCharType="end"/>
      </w:r>
      <w:bookmarkEnd w:id="411"/>
      <w:r w:rsidRPr="00747E35">
        <w:rPr>
          <w:rFonts w:cstheme="minorHAnsi"/>
        </w:rPr>
        <w:t xml:space="preserve">:  Graphical representation of the rapid rate at which species endemic to GAB springs have been described, broken up into broad taxonomic groups denoted by colour: fishes (blue), molluscs (purple), amphipods and isopods (grey) and plants (green).  The estimates of taxa richness made by this review are added as a dark expanded column in 2016.  </w:t>
      </w:r>
    </w:p>
    <w:p w14:paraId="79CBA890" w14:textId="77777777" w:rsidR="0044478E" w:rsidRPr="00747E35" w:rsidRDefault="0044478E" w:rsidP="0044478E">
      <w:pPr>
        <w:rPr>
          <w:rFonts w:asciiTheme="minorHAnsi" w:hAnsiTheme="minorHAnsi" w:cstheme="minorHAnsi"/>
        </w:rPr>
      </w:pPr>
    </w:p>
    <w:p w14:paraId="150E843E"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t>Conservation implications</w:t>
      </w:r>
    </w:p>
    <w:p w14:paraId="68F3EF99"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 xml:space="preserve">If conservation of GAB springs is approached from a perspective focussed on spring complexes and the assemblages of species within them, this review demonstrates that the ‘community’ of species dependent on GAB springs is by no means spatially homogenous.  This heterogeneity has implications for how the system is currently conserved.  High diversity is concentrated in particular regions.  Over 70% of GAB spring </w:t>
      </w:r>
      <w:r w:rsidRPr="00747E35">
        <w:rPr>
          <w:rFonts w:asciiTheme="minorHAnsi" w:hAnsiTheme="minorHAnsi" w:cstheme="minorHAnsi"/>
        </w:rPr>
        <w:lastRenderedPageBreak/>
        <w:t>complexes host none of the endemic species included in this review, and those that do host endemics generally contain complex-specific assemblages. Therefore the protection of an arbitrary proportion of springs cannot guarantee the persistence of diversity in the ‘community’ as a whole.  For example, large national parks and conservation reserves at Dalhousie or Edgbaston, whilst containing considerable numbers of species, do not guarantee the protection of the portion of the ‘community’ in the Yowah complex.  Likewise, offsetting the conservation of one complex at the expense of another needs to be thoroughly reviewed, as very few complexes are analogous.</w:t>
      </w:r>
    </w:p>
    <w:p w14:paraId="713BBFCF" w14:textId="1C889B7F" w:rsidR="0044478E" w:rsidRPr="00747E35" w:rsidRDefault="0044478E" w:rsidP="0044478E">
      <w:pPr>
        <w:autoSpaceDE/>
        <w:autoSpaceDN/>
        <w:rPr>
          <w:rFonts w:asciiTheme="minorHAnsi" w:hAnsiTheme="minorHAnsi" w:cstheme="minorHAnsi"/>
        </w:rPr>
      </w:pPr>
      <w:r w:rsidRPr="00747E35">
        <w:rPr>
          <w:rFonts w:asciiTheme="minorHAnsi" w:hAnsiTheme="minorHAnsi" w:cstheme="minorHAnsi"/>
        </w:rPr>
        <w:t>A basin-wide approach that acknowledges the distinctive biodiversity in each complex is needed and is likely to involve a broad range of stakeholders. Many endemic assemblages are found on private property.  This does not necessarily hinder their preservation, however landholders need to be engaged and supported for good conservation behaviour.  For example, property managers in the Barcaldine complex currently manage a recently discovered population of the Edgbaston Goby (</w:t>
      </w:r>
      <w:r w:rsidRPr="00747E35">
        <w:rPr>
          <w:rFonts w:asciiTheme="minorHAnsi" w:hAnsiTheme="minorHAnsi" w:cstheme="minorHAnsi"/>
          <w:i/>
        </w:rPr>
        <w:t>C. squamigenus</w:t>
      </w:r>
      <w:r w:rsidRPr="00747E35">
        <w:rPr>
          <w:rFonts w:asciiTheme="minorHAnsi" w:hAnsiTheme="minorHAnsi" w:cstheme="minorHAnsi"/>
        </w:rPr>
        <w:t xml:space="preserve">). Indigenous custodians play a vital role in actively managing springs within Indigenous Protected Areas, for example the Arabunna community manage Finniss Springs in the Lake Eyre region and the Lower Southern Arrernte people and Wangkangurru people participate in the eradication of invasive </w:t>
      </w:r>
      <w:r w:rsidR="001737C6">
        <w:rPr>
          <w:rFonts w:asciiTheme="minorHAnsi" w:hAnsiTheme="minorHAnsi" w:cstheme="minorHAnsi"/>
        </w:rPr>
        <w:t>d</w:t>
      </w:r>
      <w:r w:rsidRPr="00747E35">
        <w:rPr>
          <w:rFonts w:asciiTheme="minorHAnsi" w:hAnsiTheme="minorHAnsi" w:cstheme="minorHAnsi"/>
        </w:rPr>
        <w:t xml:space="preserve">ate </w:t>
      </w:r>
      <w:r w:rsidR="001737C6">
        <w:rPr>
          <w:rFonts w:asciiTheme="minorHAnsi" w:hAnsiTheme="minorHAnsi" w:cstheme="minorHAnsi"/>
        </w:rPr>
        <w:t>p</w:t>
      </w:r>
      <w:r w:rsidRPr="00747E35">
        <w:rPr>
          <w:rFonts w:asciiTheme="minorHAnsi" w:hAnsiTheme="minorHAnsi" w:cstheme="minorHAnsi"/>
        </w:rPr>
        <w:t>alm in springs at Witjera National Park (T. Gotch, pers. comm.).  In cases where very high biodiversity values exist however, springs need to be protected.  In the past decade, strong actions have been taken to safeguard this diversity.  For example, joint action of both the Federal Government and the not-for-profit conservation organisation ‘Bush Heritage Australia’ guaranteed the annexing of the most diverse complex in the GAB within a protected area (the Edgbaston portion of the Pelican Creek springs complex).  The Elizabeth Springs complex (Springsure supergroup) and Witjira-Dalhousie spring (Dalhousie supergroup) were annexed for conservation in 2009. However, many spring supergroups still remain outside of protected areas.</w:t>
      </w:r>
    </w:p>
    <w:p w14:paraId="1C3A5260" w14:textId="77777777" w:rsidR="0044478E" w:rsidRPr="00747E35" w:rsidRDefault="0044478E" w:rsidP="0044478E">
      <w:pPr>
        <w:autoSpaceDE/>
        <w:autoSpaceDN/>
        <w:rPr>
          <w:rFonts w:asciiTheme="minorHAnsi" w:hAnsiTheme="minorHAnsi" w:cstheme="minorHAnsi"/>
        </w:rPr>
      </w:pPr>
      <w:r w:rsidRPr="00747E35">
        <w:rPr>
          <w:rFonts w:asciiTheme="minorHAnsi" w:hAnsiTheme="minorHAnsi" w:cstheme="minorHAnsi"/>
        </w:rPr>
        <w:t>On-ground actions undertaken in protected areas offer protection from terrestrial threats (e.g. disturbance by ungulate grazers, physical modification by property owners) but they are pointless if the groundwater resources that maintain springs are not also safeguarded.  Groundwater drawdown is considered the primary driver of the loss of springs that has occurred since the 1890s (Fairfax and Fensham 2002, Fairfax and Fensham 2003).  Drawdown is a long-term and broad-scale process and thus requires long-term commitment to basin-wide rehabilitation and management.  Recent successes from basin-wide programs such as the GABSI (Great Artesian Basin Sustainability Initiative) have led to the revival of some previously extinct springs and an increase in basin pressure (Hassall &amp; Associates Pty Ltd. 2003, Sinclair, Knight, Merz Pty Ltd. 2014).  These results show that both the number of springs and their size and permanence are correlated with the presence of endemic taxa.  In groups where assessments have been made, the majority of species rely on permanent deep groundwater-fed pools for persistence of fishes (e.g. Kodric-Brown and Brown, 1993) and snails from Lake Eyre (Ponder and Colgan, 1989). Groundwater resources in the GAB need to be safeguarded and sustainably managed to ensure that broad-scale reductions in groundwater pressure and resulting loss of springs does not continue.</w:t>
      </w:r>
    </w:p>
    <w:p w14:paraId="0476EF31" w14:textId="5A6B8F99" w:rsidR="0044478E" w:rsidRPr="00747E35" w:rsidRDefault="00AD1769" w:rsidP="0044478E">
      <w:pPr>
        <w:autoSpaceDE/>
        <w:autoSpaceDN/>
        <w:rPr>
          <w:rFonts w:asciiTheme="minorHAnsi" w:hAnsiTheme="minorHAnsi" w:cstheme="minorHAnsi"/>
        </w:rPr>
      </w:pPr>
      <w:r w:rsidRPr="00AD1769">
        <w:rPr>
          <w:rFonts w:asciiTheme="minorHAnsi" w:hAnsiTheme="minorHAnsi" w:cstheme="minorHAnsi"/>
        </w:rPr>
        <w:t>Our research suggests that there is scope to update</w:t>
      </w:r>
      <w:r w:rsidR="0044478E" w:rsidRPr="00747E35">
        <w:rPr>
          <w:rFonts w:asciiTheme="minorHAnsi" w:hAnsiTheme="minorHAnsi" w:cstheme="minorHAnsi"/>
        </w:rPr>
        <w:t xml:space="preserve"> </w:t>
      </w:r>
      <w:r>
        <w:rPr>
          <w:rFonts w:asciiTheme="minorHAnsi" w:hAnsiTheme="minorHAnsi" w:cstheme="minorHAnsi"/>
        </w:rPr>
        <w:t>t</w:t>
      </w:r>
      <w:r w:rsidR="0044478E" w:rsidRPr="00747E35">
        <w:rPr>
          <w:rFonts w:asciiTheme="minorHAnsi" w:hAnsiTheme="minorHAnsi" w:cstheme="minorHAnsi"/>
        </w:rPr>
        <w:t xml:space="preserve">he list of taxa that form the ‘community’ </w:t>
      </w:r>
      <w:r w:rsidRPr="00AD1769">
        <w:rPr>
          <w:rFonts w:asciiTheme="minorHAnsi" w:hAnsiTheme="minorHAnsi" w:cstheme="minorHAnsi"/>
        </w:rPr>
        <w:t xml:space="preserve">listed under </w:t>
      </w:r>
      <w:r>
        <w:rPr>
          <w:rFonts w:asciiTheme="minorHAnsi" w:hAnsiTheme="minorHAnsi" w:cstheme="minorHAnsi"/>
        </w:rPr>
        <w:t>threatened</w:t>
      </w:r>
      <w:r w:rsidRPr="00AD1769">
        <w:rPr>
          <w:rFonts w:asciiTheme="minorHAnsi" w:hAnsiTheme="minorHAnsi" w:cstheme="minorHAnsi"/>
        </w:rPr>
        <w:t xml:space="preserve"> species legislation</w:t>
      </w:r>
      <w:r w:rsidR="0044478E" w:rsidRPr="00747E35">
        <w:rPr>
          <w:rFonts w:asciiTheme="minorHAnsi" w:hAnsiTheme="minorHAnsi" w:cstheme="minorHAnsi"/>
        </w:rPr>
        <w:t xml:space="preserve">.  For example, at present no species within the </w:t>
      </w:r>
      <w:r w:rsidR="0044478E" w:rsidRPr="00747E35">
        <w:rPr>
          <w:rFonts w:asciiTheme="minorHAnsi" w:hAnsiTheme="minorHAnsi" w:cstheme="minorHAnsi"/>
          <w:i/>
        </w:rPr>
        <w:t>Wangiannachiltonia</w:t>
      </w:r>
      <w:r w:rsidR="0044478E" w:rsidRPr="00747E35">
        <w:rPr>
          <w:rFonts w:asciiTheme="minorHAnsi" w:hAnsiTheme="minorHAnsi" w:cstheme="minorHAnsi"/>
        </w:rPr>
        <w:t xml:space="preserve"> complex delineated in 2015 are included in the description of the ‘community’.  </w:t>
      </w:r>
      <w:r>
        <w:rPr>
          <w:rFonts w:asciiTheme="minorHAnsi" w:hAnsiTheme="minorHAnsi" w:cstheme="minorHAnsi"/>
        </w:rPr>
        <w:t>T</w:t>
      </w:r>
      <w:r w:rsidR="0044478E" w:rsidRPr="00747E35">
        <w:rPr>
          <w:rFonts w:asciiTheme="minorHAnsi" w:hAnsiTheme="minorHAnsi" w:cstheme="minorHAnsi"/>
        </w:rPr>
        <w:t xml:space="preserve">his list </w:t>
      </w:r>
      <w:r>
        <w:rPr>
          <w:rFonts w:asciiTheme="minorHAnsi" w:hAnsiTheme="minorHAnsi" w:cstheme="minorHAnsi"/>
        </w:rPr>
        <w:t xml:space="preserve">could also </w:t>
      </w:r>
      <w:r w:rsidR="0044478E" w:rsidRPr="00747E35">
        <w:rPr>
          <w:rFonts w:asciiTheme="minorHAnsi" w:hAnsiTheme="minorHAnsi" w:cstheme="minorHAnsi"/>
        </w:rPr>
        <w:t>incorporate genetic diversity within species (Murphy et al. 2015).  Describing species requires time and support – for example, six years elapsed between the publication that delineated clades (Murphy et al. 2009) and the official description of the most recently described set of species (Murphy et al. 2015</w:t>
      </w:r>
      <w:r w:rsidR="001737C6">
        <w:rPr>
          <w:rFonts w:asciiTheme="minorHAnsi" w:hAnsiTheme="minorHAnsi" w:cstheme="minorHAnsi"/>
        </w:rPr>
        <w:t>b</w:t>
      </w:r>
      <w:r w:rsidR="0044478E" w:rsidRPr="00747E35">
        <w:rPr>
          <w:rFonts w:asciiTheme="minorHAnsi" w:hAnsiTheme="minorHAnsi" w:cstheme="minorHAnsi"/>
        </w:rPr>
        <w:t>).  This provides one reason for incorporating knowledge regarding discret</w:t>
      </w:r>
      <w:r w:rsidR="004842FF">
        <w:rPr>
          <w:rFonts w:asciiTheme="minorHAnsi" w:hAnsiTheme="minorHAnsi" w:cstheme="minorHAnsi"/>
        </w:rPr>
        <w:t>e</w:t>
      </w:r>
      <w:r w:rsidR="0044478E" w:rsidRPr="00747E35">
        <w:rPr>
          <w:rFonts w:asciiTheme="minorHAnsi" w:hAnsiTheme="minorHAnsi" w:cstheme="minorHAnsi"/>
        </w:rPr>
        <w:t xml:space="preserve"> units within species as they are published – as a pre-emption of species to be incorporated.  Another reason to include taxonomic units below species level, either as sub-species or distinct clades within species, is to preserve the genetic diversity and adaptive potential within the system (Moritz 2002, Frankham 2005, Smith &amp; Grether 2008).  Regarding distinct clades or sub-species as evolutionary distinct units (ESU) in order to conceptualise the importance of preserving genetic diversity is highly applicable to GAB springs (Murphy et al. 2015a, b) and general species conservation (Fraser and Bernatchez 2001).  This approach would involve incorporation of sub-species (e.g. </w:t>
      </w:r>
      <w:r w:rsidR="0044478E" w:rsidRPr="00747E35">
        <w:rPr>
          <w:rFonts w:asciiTheme="minorHAnsi" w:hAnsiTheme="minorHAnsi" w:cstheme="minorHAnsi"/>
          <w:i/>
        </w:rPr>
        <w:t>Eriocaulon carsoni</w:t>
      </w:r>
      <w:r w:rsidR="0044478E" w:rsidRPr="00747E35">
        <w:rPr>
          <w:rFonts w:asciiTheme="minorHAnsi" w:hAnsiTheme="minorHAnsi" w:cstheme="minorHAnsi"/>
        </w:rPr>
        <w:t xml:space="preserve"> comprises 3 sub-species), taxa identified as putative species or sub-species yet to be described (e.g. </w:t>
      </w:r>
      <w:r w:rsidR="0044478E" w:rsidRPr="00747E35">
        <w:rPr>
          <w:rFonts w:asciiTheme="minorHAnsi" w:hAnsiTheme="minorHAnsi" w:cstheme="minorHAnsi"/>
          <w:i/>
        </w:rPr>
        <w:t>Phraetomerus latipes</w:t>
      </w:r>
      <w:r w:rsidR="0044478E" w:rsidRPr="00747E35">
        <w:rPr>
          <w:rFonts w:asciiTheme="minorHAnsi" w:hAnsiTheme="minorHAnsi" w:cstheme="minorHAnsi"/>
        </w:rPr>
        <w:t xml:space="preserve"> comprises between 3 and 9 species (N. Murphy and B. Wilson, pers. </w:t>
      </w:r>
      <w:r w:rsidR="0044478E" w:rsidRPr="00747E35">
        <w:rPr>
          <w:rFonts w:asciiTheme="minorHAnsi" w:hAnsiTheme="minorHAnsi" w:cstheme="minorHAnsi"/>
        </w:rPr>
        <w:lastRenderedPageBreak/>
        <w:t xml:space="preserve">com), and clades within species known to be distinct (e.g. the five clades of </w:t>
      </w:r>
      <w:r w:rsidR="0044478E" w:rsidRPr="00747E35">
        <w:rPr>
          <w:rFonts w:asciiTheme="minorHAnsi" w:hAnsiTheme="minorHAnsi" w:cstheme="minorHAnsi"/>
          <w:i/>
        </w:rPr>
        <w:t>F. zeidleri</w:t>
      </w:r>
      <w:r w:rsidR="0044478E" w:rsidRPr="00747E35">
        <w:rPr>
          <w:rFonts w:asciiTheme="minorHAnsi" w:hAnsiTheme="minorHAnsi" w:cstheme="minorHAnsi"/>
        </w:rPr>
        <w:t xml:space="preserve">).  Without protecting ESUs, the conservation of other processes associated with intraspecific diversity like ecological function (Hughes et al. 2008) and the potential for further speciation are not assured. </w:t>
      </w:r>
    </w:p>
    <w:p w14:paraId="61C2D4C2" w14:textId="50ED8CA0" w:rsidR="0044478E" w:rsidRPr="00747E35" w:rsidRDefault="00AD1769" w:rsidP="0044478E">
      <w:pPr>
        <w:rPr>
          <w:rFonts w:asciiTheme="minorHAnsi" w:hAnsiTheme="minorHAnsi" w:cstheme="minorHAnsi"/>
        </w:rPr>
      </w:pPr>
      <w:r>
        <w:rPr>
          <w:rFonts w:asciiTheme="minorHAnsi" w:hAnsiTheme="minorHAnsi" w:cstheme="minorHAnsi"/>
        </w:rPr>
        <w:t>Our research highlights</w:t>
      </w:r>
      <w:r w:rsidR="0044478E" w:rsidRPr="00747E35">
        <w:rPr>
          <w:rFonts w:asciiTheme="minorHAnsi" w:hAnsiTheme="minorHAnsi" w:cstheme="minorHAnsi"/>
        </w:rPr>
        <w:t xml:space="preserve"> the lack of invertebrate fauna listed as threatened.  The majority of endemic species in GAB springs are invertebrates. At present the only species of invertebrate afforded the same level of conservation protection as the fishes and plants in GAB springs is a terrestrial species of snail associated with tertiary springs (the Boggomoss snail, </w:t>
      </w:r>
      <w:r w:rsidR="0044478E" w:rsidRPr="00747E35">
        <w:rPr>
          <w:rFonts w:asciiTheme="minorHAnsi" w:hAnsiTheme="minorHAnsi" w:cstheme="minorHAnsi"/>
          <w:i/>
        </w:rPr>
        <w:t>Adclarkia dawsonensis</w:t>
      </w:r>
      <w:r w:rsidR="0044478E" w:rsidRPr="00747E35">
        <w:rPr>
          <w:rFonts w:asciiTheme="minorHAnsi" w:hAnsiTheme="minorHAnsi" w:cstheme="minorHAnsi"/>
        </w:rPr>
        <w:t xml:space="preserve">).  Numerous invertebrates have been deemed of considerable conservation concern in IUCN assessments.  There is evidence that some of these are currently at risk of extinction.  For example, the freshwater snail </w:t>
      </w:r>
      <w:r w:rsidR="0044478E" w:rsidRPr="00747E35">
        <w:rPr>
          <w:rFonts w:asciiTheme="minorHAnsi" w:hAnsiTheme="minorHAnsi" w:cstheme="minorHAnsi"/>
          <w:i/>
        </w:rPr>
        <w:t>Jardinella colmani</w:t>
      </w:r>
      <w:r w:rsidR="0044478E" w:rsidRPr="00747E35">
        <w:rPr>
          <w:rFonts w:asciiTheme="minorHAnsi" w:hAnsiTheme="minorHAnsi" w:cstheme="minorHAnsi"/>
        </w:rPr>
        <w:t xml:space="preserve"> is listed as critically endangered under the IUCN; it is a narrow range endemic for which 100% of its population remains outside of conservation reserves, is data deficient and recent surveys have failed to find any live individuals (Laffineur, pers coms).  This means it is technically of equal or greater conservation concern than the GAB systems’ most heavily protected species, the red-finned blue-eye (</w:t>
      </w:r>
      <w:r w:rsidR="0044478E" w:rsidRPr="00747E35">
        <w:rPr>
          <w:rFonts w:asciiTheme="minorHAnsi" w:hAnsiTheme="minorHAnsi" w:cstheme="minorHAnsi"/>
          <w:i/>
        </w:rPr>
        <w:t>Scaturiginichthys vermeilipinnis</w:t>
      </w:r>
      <w:r w:rsidR="0044478E" w:rsidRPr="00747E35">
        <w:rPr>
          <w:rFonts w:asciiTheme="minorHAnsi" w:hAnsiTheme="minorHAnsi" w:cstheme="minorHAnsi"/>
        </w:rPr>
        <w:t xml:space="preserve">).  Many invertebrate taxa may be in a similar situation. Most remain unassessed under the IUCN or EPBC, are data deficient, have narrow ranges, and have no part of that range within conservation reserves.  </w:t>
      </w:r>
      <w:r w:rsidRPr="00AD1769">
        <w:rPr>
          <w:rFonts w:asciiTheme="minorHAnsi" w:hAnsiTheme="minorHAnsi" w:cstheme="minorHAnsi"/>
        </w:rPr>
        <w:t>We note that a number of research studies have suggested that</w:t>
      </w:r>
      <w:r>
        <w:rPr>
          <w:rFonts w:asciiTheme="minorHAnsi" w:hAnsiTheme="minorHAnsi" w:cstheme="minorHAnsi"/>
        </w:rPr>
        <w:t xml:space="preserve"> </w:t>
      </w:r>
      <w:r w:rsidR="0044478E" w:rsidRPr="00747E35">
        <w:rPr>
          <w:rFonts w:asciiTheme="minorHAnsi" w:hAnsiTheme="minorHAnsi" w:cstheme="minorHAnsi"/>
        </w:rPr>
        <w:t>a greater priority be placed on conserving threatened invertebrates (e.g. Ponder 1994, Hutchings 2004, Strayer and Dudgeon 2010, Cardoso et al. 2011, Bland et al. 2012).</w:t>
      </w:r>
    </w:p>
    <w:p w14:paraId="0A690BE5" w14:textId="77777777" w:rsidR="0044478E" w:rsidRPr="00747E35" w:rsidRDefault="0044478E" w:rsidP="0044478E">
      <w:pPr>
        <w:rPr>
          <w:rFonts w:asciiTheme="minorHAnsi" w:hAnsiTheme="minorHAnsi" w:cstheme="minorHAnsi"/>
        </w:rPr>
      </w:pPr>
    </w:p>
    <w:p w14:paraId="7AF9F581" w14:textId="4DB7E8EB" w:rsidR="0044478E" w:rsidRPr="00747E35" w:rsidRDefault="0044478E" w:rsidP="0044478E">
      <w:pPr>
        <w:pStyle w:val="Heading3"/>
        <w:rPr>
          <w:rFonts w:asciiTheme="minorHAnsi" w:hAnsiTheme="minorHAnsi" w:cstheme="minorHAnsi"/>
        </w:rPr>
      </w:pPr>
      <w:bookmarkStart w:id="412" w:name="_Toc467244822"/>
      <w:bookmarkStart w:id="413" w:name="_Toc470004904"/>
      <w:r w:rsidRPr="00747E35">
        <w:rPr>
          <w:rFonts w:asciiTheme="minorHAnsi" w:hAnsiTheme="minorHAnsi" w:cstheme="minorHAnsi"/>
        </w:rPr>
        <w:t>Key findings</w:t>
      </w:r>
      <w:bookmarkEnd w:id="412"/>
      <w:bookmarkEnd w:id="413"/>
    </w:p>
    <w:p w14:paraId="624C413C" w14:textId="368FBF05" w:rsidR="0044478E" w:rsidRPr="00747E35" w:rsidRDefault="0044478E" w:rsidP="0044478E">
      <w:pPr>
        <w:rPr>
          <w:rFonts w:asciiTheme="minorHAnsi" w:hAnsiTheme="minorHAnsi" w:cstheme="minorHAnsi"/>
        </w:rPr>
      </w:pPr>
      <w:r w:rsidRPr="00747E35">
        <w:rPr>
          <w:rFonts w:asciiTheme="minorHAnsi" w:hAnsiTheme="minorHAnsi" w:cstheme="minorHAnsi"/>
        </w:rPr>
        <w:t xml:space="preserve">To conclude this section, we present five </w:t>
      </w:r>
      <w:r w:rsidR="00AD1769">
        <w:rPr>
          <w:rFonts w:asciiTheme="minorHAnsi" w:hAnsiTheme="minorHAnsi" w:cstheme="minorHAnsi"/>
        </w:rPr>
        <w:t>areas,</w:t>
      </w:r>
      <w:r w:rsidRPr="00747E35">
        <w:rPr>
          <w:rFonts w:asciiTheme="minorHAnsi" w:hAnsiTheme="minorHAnsi" w:cstheme="minorHAnsi"/>
        </w:rPr>
        <w:t xml:space="preserve"> informed by our assessment</w:t>
      </w:r>
      <w:r w:rsidR="00C55603">
        <w:rPr>
          <w:rFonts w:asciiTheme="minorHAnsi" w:hAnsiTheme="minorHAnsi" w:cstheme="minorHAnsi"/>
        </w:rPr>
        <w:t>, which</w:t>
      </w:r>
      <w:r w:rsidRPr="00747E35">
        <w:rPr>
          <w:rFonts w:asciiTheme="minorHAnsi" w:hAnsiTheme="minorHAnsi" w:cstheme="minorHAnsi"/>
        </w:rPr>
        <w:t xml:space="preserve"> </w:t>
      </w:r>
      <w:r w:rsidR="00AD1769">
        <w:rPr>
          <w:rFonts w:asciiTheme="minorHAnsi" w:hAnsiTheme="minorHAnsi" w:cstheme="minorHAnsi"/>
        </w:rPr>
        <w:t>could</w:t>
      </w:r>
      <w:r w:rsidRPr="00747E35">
        <w:rPr>
          <w:rFonts w:asciiTheme="minorHAnsi" w:hAnsiTheme="minorHAnsi" w:cstheme="minorHAnsi"/>
        </w:rPr>
        <w:t xml:space="preserve"> be the focus for future GAB springs research and conservation management.</w:t>
      </w:r>
    </w:p>
    <w:p w14:paraId="226F7FE1" w14:textId="77777777" w:rsidR="0044478E" w:rsidRPr="00747E35" w:rsidRDefault="0044478E" w:rsidP="0083624F">
      <w:pPr>
        <w:pStyle w:val="ListParagraph"/>
        <w:numPr>
          <w:ilvl w:val="0"/>
          <w:numId w:val="23"/>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Describing and revealing undocumented diversity will help to preserve its evolutionary potential</w:t>
      </w:r>
    </w:p>
    <w:p w14:paraId="2A898F7D"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ab/>
        <w:t xml:space="preserve">Taxonomy is key to conservation of GAB spring flora and fauna.  Numerous species are collected and await description.  Whole phyla remain unexplored.  Understanding the distribution and ecology of endemic taxa cannot progress until species are described.  For conservation of GAB springs to progress, efforts need to be made to ensure taxonomists are supported.  Effective conservation also needs to embrace the fact that diversity is not fixed – species have and will continue to diverge in springs as geographical isolation and environmental change shape their evolution.  Conserving biodiversity and understanding species will be complicated if cryptic species complexes are present but remain unidentified. Therefore, understanding species is not only about diversity across taxa, but also within them.  </w:t>
      </w:r>
    </w:p>
    <w:p w14:paraId="7A528373" w14:textId="06595766" w:rsidR="0044478E" w:rsidRPr="00747E35" w:rsidRDefault="00C55603" w:rsidP="0083624F">
      <w:pPr>
        <w:pStyle w:val="ListParagraph"/>
        <w:numPr>
          <w:ilvl w:val="0"/>
          <w:numId w:val="23"/>
        </w:numPr>
        <w:adjustRightInd w:val="0"/>
        <w:spacing w:before="60" w:after="240" w:line="240" w:lineRule="auto"/>
        <w:contextualSpacing w:val="0"/>
        <w:jc w:val="both"/>
        <w:rPr>
          <w:rFonts w:asciiTheme="minorHAnsi" w:hAnsiTheme="minorHAnsi" w:cstheme="minorHAnsi"/>
        </w:rPr>
      </w:pPr>
      <w:r>
        <w:rPr>
          <w:rFonts w:asciiTheme="minorHAnsi" w:hAnsiTheme="minorHAnsi" w:cstheme="minorHAnsi"/>
        </w:rPr>
        <w:t>Updat</w:t>
      </w:r>
      <w:r w:rsidR="009B4677">
        <w:rPr>
          <w:rFonts w:asciiTheme="minorHAnsi" w:hAnsiTheme="minorHAnsi" w:cstheme="minorHAnsi"/>
        </w:rPr>
        <w:t>e</w:t>
      </w:r>
      <w:r w:rsidR="0044478E" w:rsidRPr="00747E35">
        <w:rPr>
          <w:rFonts w:asciiTheme="minorHAnsi" w:hAnsiTheme="minorHAnsi" w:cstheme="minorHAnsi"/>
        </w:rPr>
        <w:t xml:space="preserve"> conservation listing </w:t>
      </w:r>
    </w:p>
    <w:p w14:paraId="08384AC4" w14:textId="2E5C4D0E" w:rsidR="002175E9" w:rsidRPr="00747E35" w:rsidRDefault="0044478E" w:rsidP="0044478E">
      <w:pPr>
        <w:rPr>
          <w:rFonts w:asciiTheme="minorHAnsi" w:hAnsiTheme="minorHAnsi" w:cstheme="minorHAnsi"/>
        </w:rPr>
      </w:pPr>
      <w:r w:rsidRPr="00747E35">
        <w:rPr>
          <w:rFonts w:asciiTheme="minorHAnsi" w:hAnsiTheme="minorHAnsi" w:cstheme="minorHAnsi"/>
        </w:rPr>
        <w:tab/>
      </w:r>
      <w:r w:rsidR="002175E9" w:rsidRPr="00747E35">
        <w:rPr>
          <w:rFonts w:asciiTheme="minorHAnsi" w:hAnsiTheme="minorHAnsi" w:cstheme="minorHAnsi"/>
        </w:rPr>
        <w:t xml:space="preserve">This review has highlighted </w:t>
      </w:r>
      <w:r w:rsidR="00C55603">
        <w:rPr>
          <w:rFonts w:asciiTheme="minorHAnsi" w:hAnsiTheme="minorHAnsi" w:cstheme="minorHAnsi"/>
        </w:rPr>
        <w:t>that</w:t>
      </w:r>
      <w:r w:rsidR="002175E9" w:rsidRPr="00747E35">
        <w:rPr>
          <w:rFonts w:asciiTheme="minorHAnsi" w:hAnsiTheme="minorHAnsi" w:cstheme="minorHAnsi"/>
        </w:rPr>
        <w:t xml:space="preserve"> GAB-dependent species</w:t>
      </w:r>
      <w:r w:rsidR="00C55603">
        <w:rPr>
          <w:rFonts w:asciiTheme="minorHAnsi" w:hAnsiTheme="minorHAnsi" w:cstheme="minorHAnsi"/>
        </w:rPr>
        <w:t xml:space="preserve"> </w:t>
      </w:r>
      <w:r w:rsidR="002175E9" w:rsidRPr="00747E35">
        <w:rPr>
          <w:rFonts w:asciiTheme="minorHAnsi" w:hAnsiTheme="minorHAnsi" w:cstheme="minorHAnsi"/>
        </w:rPr>
        <w:t xml:space="preserve">that are listed individually as well as being listed as part of the ‘threatened community’ are the focus of more dedicated conservation attention and efforts than those species that are not presently listed.  </w:t>
      </w:r>
      <w:r w:rsidR="002175E9">
        <w:rPr>
          <w:rFonts w:asciiTheme="minorHAnsi" w:hAnsiTheme="minorHAnsi" w:cstheme="minorHAnsi"/>
        </w:rPr>
        <w:t>O</w:t>
      </w:r>
      <w:r w:rsidR="002175E9" w:rsidRPr="00747E35">
        <w:rPr>
          <w:rFonts w:asciiTheme="minorHAnsi" w:hAnsiTheme="minorHAnsi" w:cstheme="minorHAnsi"/>
        </w:rPr>
        <w:t>ur study highlights additional taxa belonging to the ‘community of native species dependent on natural discharge of groundwater from the GAB’</w:t>
      </w:r>
      <w:r w:rsidRPr="00747E35">
        <w:rPr>
          <w:rFonts w:asciiTheme="minorHAnsi" w:hAnsiTheme="minorHAnsi" w:cstheme="minorHAnsi"/>
        </w:rPr>
        <w:t xml:space="preserve"> (</w:t>
      </w:r>
      <w:r w:rsidRPr="00747E35">
        <w:rPr>
          <w:rFonts w:asciiTheme="minorHAnsi" w:hAnsiTheme="minorHAnsi" w:cstheme="minorHAnsi"/>
          <w:color w:val="FF0000"/>
          <w:highlight w:val="yellow"/>
        </w:rPr>
        <w:fldChar w:fldCharType="begin"/>
      </w:r>
      <w:r w:rsidRPr="00747E35">
        <w:rPr>
          <w:rFonts w:asciiTheme="minorHAnsi" w:hAnsiTheme="minorHAnsi" w:cstheme="minorHAnsi"/>
        </w:rPr>
        <w:instrText xml:space="preserve"> REF _Ref466443332 \h </w:instrText>
      </w:r>
      <w:r w:rsidRPr="00747E35">
        <w:rPr>
          <w:rFonts w:asciiTheme="minorHAnsi" w:hAnsiTheme="minorHAnsi" w:cstheme="minorHAnsi"/>
          <w:color w:val="FF0000"/>
          <w:highlight w:val="yellow"/>
        </w:rPr>
        <w:instrText xml:space="preserve"> \* MERGEFORMAT </w:instrText>
      </w:r>
      <w:r w:rsidRPr="00747E35">
        <w:rPr>
          <w:rFonts w:asciiTheme="minorHAnsi" w:hAnsiTheme="minorHAnsi" w:cstheme="minorHAnsi"/>
          <w:color w:val="FF0000"/>
          <w:highlight w:val="yellow"/>
        </w:rPr>
      </w:r>
      <w:r w:rsidRPr="00747E35">
        <w:rPr>
          <w:rFonts w:asciiTheme="minorHAnsi" w:hAnsiTheme="minorHAnsi" w:cstheme="minorHAnsi"/>
          <w:color w:val="FF0000"/>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141</w:t>
      </w:r>
      <w:r w:rsidRPr="00747E35">
        <w:rPr>
          <w:rFonts w:asciiTheme="minorHAnsi" w:hAnsiTheme="minorHAnsi" w:cstheme="minorHAnsi"/>
          <w:color w:val="FF0000"/>
          <w:highlight w:val="yellow"/>
        </w:rPr>
        <w:fldChar w:fldCharType="end"/>
      </w:r>
      <w:r w:rsidRPr="00747E35">
        <w:rPr>
          <w:rFonts w:asciiTheme="minorHAnsi" w:hAnsiTheme="minorHAnsi" w:cstheme="minorHAnsi"/>
        </w:rPr>
        <w:t xml:space="preserve">).  </w:t>
      </w:r>
      <w:r w:rsidR="002175E9">
        <w:rPr>
          <w:rFonts w:asciiTheme="minorHAnsi" w:hAnsiTheme="minorHAnsi" w:cstheme="minorHAnsi"/>
        </w:rPr>
        <w:t>There is a scientific basis for a</w:t>
      </w:r>
      <w:r w:rsidR="002175E9" w:rsidRPr="00747E35">
        <w:rPr>
          <w:rFonts w:asciiTheme="minorHAnsi" w:hAnsiTheme="minorHAnsi" w:cstheme="minorHAnsi"/>
        </w:rPr>
        <w:t>n assessment and re-evaluation of all taxa (in addition to those considered here but excluding plants reviewed previously by Silcock et al. 2011) using EPBC and IUCN guidelines</w:t>
      </w:r>
      <w:r w:rsidR="002175E9">
        <w:rPr>
          <w:rFonts w:asciiTheme="minorHAnsi" w:hAnsiTheme="minorHAnsi" w:cstheme="minorHAnsi"/>
        </w:rPr>
        <w:t xml:space="preserve"> for consideration by the Threatened Species Scientific Committee</w:t>
      </w:r>
      <w:r w:rsidR="002175E9" w:rsidRPr="00747E35">
        <w:rPr>
          <w:rFonts w:asciiTheme="minorHAnsi" w:hAnsiTheme="minorHAnsi" w:cstheme="minorHAnsi"/>
        </w:rPr>
        <w:t>.  This assessment was beyond the scope of our study but should now be readily achievable for some taxon groups (particularly the invertebrates)</w:t>
      </w:r>
      <w:r w:rsidRPr="00747E35">
        <w:rPr>
          <w:rFonts w:asciiTheme="minorHAnsi" w:hAnsiTheme="minorHAnsi" w:cstheme="minorHAnsi"/>
        </w:rPr>
        <w:t xml:space="preserve"> </w:t>
      </w:r>
    </w:p>
    <w:p w14:paraId="255E4E46" w14:textId="77777777" w:rsidR="0044478E" w:rsidRPr="00747E35" w:rsidRDefault="0044478E" w:rsidP="0083624F">
      <w:pPr>
        <w:pStyle w:val="ListParagraph"/>
        <w:numPr>
          <w:ilvl w:val="0"/>
          <w:numId w:val="23"/>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Broaden the focus to other organisms and increase the spatial resolution of the assessments</w:t>
      </w:r>
    </w:p>
    <w:p w14:paraId="2DED979E" w14:textId="2356195A" w:rsidR="0044478E" w:rsidRPr="00747E35" w:rsidRDefault="0044478E" w:rsidP="0044478E">
      <w:pPr>
        <w:rPr>
          <w:rFonts w:asciiTheme="minorHAnsi" w:hAnsiTheme="minorHAnsi" w:cstheme="minorHAnsi"/>
        </w:rPr>
      </w:pPr>
      <w:r w:rsidRPr="00747E35">
        <w:rPr>
          <w:rFonts w:asciiTheme="minorHAnsi" w:hAnsiTheme="minorHAnsi" w:cstheme="minorHAnsi"/>
        </w:rPr>
        <w:tab/>
        <w:t xml:space="preserve">The data we have regarding endemic GAB species is focussed on particular groups of taxa and their complex-scale distributions.  Finer-resolution distribution data (i.e. springs within complexes) and information concerning abundance for a broader range of taxon groups is required for effective </w:t>
      </w:r>
      <w:r w:rsidRPr="00747E35">
        <w:rPr>
          <w:rFonts w:asciiTheme="minorHAnsi" w:hAnsiTheme="minorHAnsi" w:cstheme="minorHAnsi"/>
        </w:rPr>
        <w:lastRenderedPageBreak/>
        <w:t xml:space="preserve">conservation management of springs.  There are also uneven levels of knowledge available on the ecology and conservation of taxon groups in different parts of the GAB.  For example, five publications regarding the ecology and conservation of the red-finned blue-eye are available (Wager and Unmack 2004, Fensham et al. 2006, Fairfax et al. 2007, Kerezsy and Fensham 2013, Nicol et al. 2015) while we lack basic information for the narrow range snail </w:t>
      </w:r>
      <w:r w:rsidRPr="00747E35">
        <w:rPr>
          <w:rFonts w:asciiTheme="minorHAnsi" w:hAnsiTheme="minorHAnsi" w:cstheme="minorHAnsi"/>
          <w:i/>
        </w:rPr>
        <w:t>J. colmani</w:t>
      </w:r>
      <w:r w:rsidRPr="00747E35">
        <w:rPr>
          <w:rFonts w:asciiTheme="minorHAnsi" w:hAnsiTheme="minorHAnsi" w:cstheme="minorHAnsi"/>
        </w:rPr>
        <w:t>.  A considerable body of work concerning the population genetics of species endemic to Lake Eyre forms the foundation of all of our understanding of dispersal and connectivity (</w:t>
      </w:r>
      <w:r w:rsidR="001737C6">
        <w:rPr>
          <w:rFonts w:asciiTheme="minorHAnsi" w:hAnsiTheme="minorHAnsi"/>
        </w:rPr>
        <w:t>Worthington-</w:t>
      </w:r>
      <w:r w:rsidRPr="00747E35">
        <w:rPr>
          <w:rFonts w:asciiTheme="minorHAnsi" w:hAnsiTheme="minorHAnsi" w:cstheme="minorHAnsi"/>
        </w:rPr>
        <w:t xml:space="preserve">Wilmer and Wilcox 2007, </w:t>
      </w:r>
      <w:r w:rsidR="001737C6">
        <w:rPr>
          <w:rFonts w:asciiTheme="minorHAnsi" w:hAnsiTheme="minorHAnsi"/>
        </w:rPr>
        <w:t>Worthington-</w:t>
      </w:r>
      <w:r w:rsidRPr="00747E35">
        <w:rPr>
          <w:rFonts w:asciiTheme="minorHAnsi" w:hAnsiTheme="minorHAnsi" w:cstheme="minorHAnsi"/>
        </w:rPr>
        <w:t xml:space="preserve">Wilmer et al. 2008, Murphy et al. 2010, </w:t>
      </w:r>
      <w:r w:rsidR="001737C6">
        <w:rPr>
          <w:rFonts w:asciiTheme="minorHAnsi" w:hAnsiTheme="minorHAnsi"/>
        </w:rPr>
        <w:t>Worthington-</w:t>
      </w:r>
      <w:r w:rsidRPr="00747E35">
        <w:rPr>
          <w:rFonts w:asciiTheme="minorHAnsi" w:hAnsiTheme="minorHAnsi" w:cstheme="minorHAnsi"/>
        </w:rPr>
        <w:t>Wilmer et al. 2011, Robertson et al. 2014).  Extensive surveys and reviews within the Tanteinae snails reveal patterns of diversity and divergence (Ponder et al. 1989, Ponder and Clark 1990, Ponder et al. 1995, Perez et al. 2005, Ponder et al. 2008), while despite evidence of considerable diversity, we still have no full account of endemic ostracods.  This review has highlighted types of data we currently lack, and the locations and species for which this data is most urgently needed.  It has also highlighted that such efforts need not be dispersed across the entire basin, but can be focussed upon biodiversity ‘hot-spots’.  Emphasis needs to be placed on prioritising research that fills these knowledge gaps.</w:t>
      </w:r>
    </w:p>
    <w:p w14:paraId="0EDE471E" w14:textId="77777777" w:rsidR="0044478E" w:rsidRPr="00747E35" w:rsidRDefault="0044478E" w:rsidP="0083624F">
      <w:pPr>
        <w:pStyle w:val="ListParagraph"/>
        <w:numPr>
          <w:ilvl w:val="0"/>
          <w:numId w:val="23"/>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Improve collaboration across research effort</w:t>
      </w:r>
    </w:p>
    <w:p w14:paraId="005AFEA7" w14:textId="25ABB6D8" w:rsidR="0044478E" w:rsidRPr="00747E35" w:rsidRDefault="0044478E" w:rsidP="0044478E">
      <w:pPr>
        <w:rPr>
          <w:rFonts w:asciiTheme="minorHAnsi" w:hAnsiTheme="minorHAnsi" w:cstheme="minorHAnsi"/>
        </w:rPr>
      </w:pPr>
      <w:r w:rsidRPr="00747E35">
        <w:rPr>
          <w:rFonts w:asciiTheme="minorHAnsi" w:hAnsiTheme="minorHAnsi" w:cstheme="minorHAnsi"/>
        </w:rPr>
        <w:tab/>
        <w:t>For organisms or complexes where research programs currently exist, the types of questions being asked are contingent on the interests of the research group.  In the Lake Eyre complex, molecular biologists are providing detailed information about species boundaries and population connectivity (Ponder et al. 1995, Murphy et al. 2010, Murphy et al. 2013) but there is little ecological data to complement these models.  The opposite can be said for the northern complexes, where conservation, diversity and biogeography are a focus (Fensham et al. 2004, Fensham and Price 2004, Fensham et al. 2011, Silcock et al. 2011, Powell et al. 2015).  This research divide extends beyond biology, with those that study the organisms that live in the surface manifestation of springs and those that study the hydrodynamics of the GAB.  Likewise, those assessing potential impacts on springs are not necessarily engaging with taxonomists or ecologists with the expertise to identify potential new species, comment on sampling designs or provide comment on the ecological mechanisms behind biodiversity patterns. This lack of collaboration means surveys of spring complexes may be overlooking diversity.  It also means we still cannot answer vital questions about the relationship between groundwater pressure within the GAB and the size of springs or the species that occupy them.  Collaborations across on-ground managers, consultants and research groups with interest in springs need to be fostered and will facilit</w:t>
      </w:r>
      <w:r w:rsidR="00C80858" w:rsidRPr="00747E35">
        <w:rPr>
          <w:rFonts w:asciiTheme="minorHAnsi" w:hAnsiTheme="minorHAnsi" w:cstheme="minorHAnsi"/>
        </w:rPr>
        <w:t>at</w:t>
      </w:r>
      <w:r w:rsidRPr="00747E35">
        <w:rPr>
          <w:rFonts w:asciiTheme="minorHAnsi" w:hAnsiTheme="minorHAnsi" w:cstheme="minorHAnsi"/>
        </w:rPr>
        <w:t xml:space="preserve">e identification of knowledge gaps and research priorities.  </w:t>
      </w:r>
    </w:p>
    <w:p w14:paraId="3DE7FB59" w14:textId="77777777" w:rsidR="0044478E" w:rsidRPr="00747E35" w:rsidRDefault="0044478E" w:rsidP="0083624F">
      <w:pPr>
        <w:pStyle w:val="ListParagraph"/>
        <w:numPr>
          <w:ilvl w:val="0"/>
          <w:numId w:val="23"/>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Focus on the ecology of species and their responses to threats</w:t>
      </w:r>
    </w:p>
    <w:p w14:paraId="7C18904E" w14:textId="6C747A94" w:rsidR="0044478E" w:rsidRPr="00747E35" w:rsidRDefault="0044478E" w:rsidP="0044478E">
      <w:pPr>
        <w:rPr>
          <w:rFonts w:asciiTheme="minorHAnsi" w:hAnsiTheme="minorHAnsi" w:cstheme="minorHAnsi"/>
        </w:rPr>
      </w:pPr>
      <w:r w:rsidRPr="00747E35">
        <w:rPr>
          <w:rFonts w:asciiTheme="minorHAnsi" w:hAnsiTheme="minorHAnsi" w:cstheme="minorHAnsi"/>
        </w:rPr>
        <w:tab/>
        <w:t xml:space="preserve">Information regarding the ecology of GAB spring endemic species, their potential responses to threats, and even variation in the nature and intensity of threats themselves, are the most deficient.  Even basic information regarding abundance, environmental requirements (beyond the need for GAB fed springs), the effects of introduced species, or changes in spring flow are deficient for most species, even though these threats have been emphasised as major threats to the system since its conservation listing (Fensham et al. 2010).  This lack of information limits our ability to prioritise species for conservation or manage species persistence. Endemic GAB spring taxa have restricted distributions, have very few populations within protected areas, and may have high exposure to threats meaning they may be at substantial risk from the cumulative impacts of a range of threats. The lack of data, the size of the GAB, and the diversity of species in question, has previously precluded efforts to systematically evaluate threat exposure to endemic species, understand species’ vulnerability to threatening processes and prioritiese risks.  These knowledge gaps are evaluated in the next section of this report. </w:t>
      </w:r>
      <w:r w:rsidRPr="00747E35">
        <w:rPr>
          <w:rFonts w:asciiTheme="minorHAnsi" w:hAnsiTheme="minorHAnsi" w:cstheme="minorHAnsi"/>
        </w:rPr>
        <w:br w:type="page"/>
      </w:r>
    </w:p>
    <w:p w14:paraId="5564FE84" w14:textId="40698550" w:rsidR="0044478E" w:rsidRPr="00747E35" w:rsidRDefault="0044478E" w:rsidP="0044478E">
      <w:pPr>
        <w:pStyle w:val="Heading2"/>
        <w:rPr>
          <w:rFonts w:asciiTheme="minorHAnsi" w:hAnsiTheme="minorHAnsi" w:cstheme="minorHAnsi"/>
        </w:rPr>
      </w:pPr>
      <w:bookmarkStart w:id="414" w:name="_Toc470004905"/>
      <w:bookmarkStart w:id="415" w:name="_Toc466980538"/>
      <w:bookmarkStart w:id="416" w:name="_Toc467244823"/>
      <w:r w:rsidRPr="00747E35">
        <w:rPr>
          <w:rFonts w:asciiTheme="minorHAnsi" w:hAnsiTheme="minorHAnsi" w:cstheme="minorHAnsi"/>
        </w:rPr>
        <w:lastRenderedPageBreak/>
        <w:t xml:space="preserve">Assessment of the cumulative risks of groundwater drawdown and other stressors on </w:t>
      </w:r>
      <w:r w:rsidR="009A08A3" w:rsidRPr="00747E35">
        <w:rPr>
          <w:rFonts w:asciiTheme="minorHAnsi" w:hAnsiTheme="minorHAnsi" w:cstheme="minorHAnsi"/>
        </w:rPr>
        <w:t xml:space="preserve">endemic flora and fauna </w:t>
      </w:r>
      <w:r w:rsidR="009A08A3">
        <w:rPr>
          <w:rFonts w:asciiTheme="minorHAnsi" w:hAnsiTheme="minorHAnsi" w:cstheme="minorHAnsi"/>
        </w:rPr>
        <w:t xml:space="preserve">of </w:t>
      </w:r>
      <w:r w:rsidR="009A08A3" w:rsidRPr="00747E35">
        <w:rPr>
          <w:rFonts w:asciiTheme="minorHAnsi" w:hAnsiTheme="minorHAnsi" w:cstheme="minorHAnsi"/>
        </w:rPr>
        <w:t xml:space="preserve">Great Artesian Basin </w:t>
      </w:r>
      <w:r w:rsidRPr="00747E35">
        <w:rPr>
          <w:rFonts w:asciiTheme="minorHAnsi" w:hAnsiTheme="minorHAnsi" w:cstheme="minorHAnsi"/>
        </w:rPr>
        <w:t>spring</w:t>
      </w:r>
      <w:r w:rsidR="009A08A3">
        <w:rPr>
          <w:rFonts w:asciiTheme="minorHAnsi" w:hAnsiTheme="minorHAnsi" w:cstheme="minorHAnsi"/>
        </w:rPr>
        <w:t>s</w:t>
      </w:r>
      <w:bookmarkEnd w:id="414"/>
      <w:r w:rsidRPr="00747E35">
        <w:rPr>
          <w:rFonts w:asciiTheme="minorHAnsi" w:hAnsiTheme="minorHAnsi" w:cstheme="minorHAnsi"/>
        </w:rPr>
        <w:t xml:space="preserve"> </w:t>
      </w:r>
      <w:bookmarkEnd w:id="415"/>
      <w:bookmarkEnd w:id="416"/>
    </w:p>
    <w:p w14:paraId="1E84E34C" w14:textId="77777777" w:rsidR="0044478E" w:rsidRPr="00747E35" w:rsidRDefault="0044478E" w:rsidP="0044478E">
      <w:pPr>
        <w:rPr>
          <w:rFonts w:asciiTheme="minorHAnsi" w:hAnsiTheme="minorHAnsi" w:cstheme="minorHAnsi"/>
        </w:rPr>
      </w:pPr>
    </w:p>
    <w:p w14:paraId="6B10B02D"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Mark Kennard, Renee Rossini, Rod Fensham, &amp; Doug Ward</w:t>
      </w:r>
    </w:p>
    <w:p w14:paraId="7A4398D1" w14:textId="77777777" w:rsidR="0044478E" w:rsidRPr="00747E35" w:rsidRDefault="0044478E" w:rsidP="0044478E">
      <w:pPr>
        <w:rPr>
          <w:rFonts w:asciiTheme="minorHAnsi" w:hAnsiTheme="minorHAnsi" w:cstheme="minorHAnsi"/>
        </w:rPr>
      </w:pPr>
    </w:p>
    <w:p w14:paraId="0E4A8E7A" w14:textId="7C47C264" w:rsidR="0044478E" w:rsidRPr="00747E35" w:rsidRDefault="0044478E" w:rsidP="0044478E">
      <w:pPr>
        <w:pStyle w:val="Heading3"/>
        <w:rPr>
          <w:rFonts w:asciiTheme="minorHAnsi" w:hAnsiTheme="minorHAnsi" w:cstheme="minorHAnsi"/>
        </w:rPr>
      </w:pPr>
      <w:bookmarkStart w:id="417" w:name="_Toc467244824"/>
      <w:bookmarkStart w:id="418" w:name="_Toc470004906"/>
      <w:r w:rsidRPr="00747E35">
        <w:rPr>
          <w:rFonts w:asciiTheme="minorHAnsi" w:hAnsiTheme="minorHAnsi" w:cstheme="minorHAnsi"/>
        </w:rPr>
        <w:t>Key objectives:</w:t>
      </w:r>
      <w:bookmarkEnd w:id="417"/>
      <w:bookmarkEnd w:id="418"/>
    </w:p>
    <w:p w14:paraId="5D489E3C" w14:textId="77777777" w:rsidR="0044478E" w:rsidRPr="00747E35" w:rsidRDefault="0044478E" w:rsidP="0083624F">
      <w:pPr>
        <w:pStyle w:val="ListParagraph"/>
        <w:numPr>
          <w:ilvl w:val="0"/>
          <w:numId w:val="16"/>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Identify key threats to endemic flora and fauna of GAB spring wetlands (including groundwater drawdown and other stressors)</w:t>
      </w:r>
    </w:p>
    <w:p w14:paraId="45EB3B50" w14:textId="77777777" w:rsidR="0044478E" w:rsidRPr="00747E35" w:rsidRDefault="0044478E" w:rsidP="0083624F">
      <w:pPr>
        <w:pStyle w:val="ListParagraph"/>
        <w:numPr>
          <w:ilvl w:val="0"/>
          <w:numId w:val="16"/>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Assess taxa vulnerability to threats (incorporating measures of resistance, resilience and certainty) using literature, ecological theory, unpublished data and expert knowledge</w:t>
      </w:r>
    </w:p>
    <w:p w14:paraId="6C4F4BE5" w14:textId="77777777" w:rsidR="0044478E" w:rsidRPr="00747E35" w:rsidRDefault="0044478E" w:rsidP="0083624F">
      <w:pPr>
        <w:pStyle w:val="ListParagraph"/>
        <w:numPr>
          <w:ilvl w:val="0"/>
          <w:numId w:val="16"/>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Conduct risk assessment to assess cumulative impacts of threats and evaluate:</w:t>
      </w:r>
    </w:p>
    <w:p w14:paraId="391F763F" w14:textId="77777777" w:rsidR="0044478E" w:rsidRPr="00747E35" w:rsidRDefault="0044478E" w:rsidP="0083624F">
      <w:pPr>
        <w:pStyle w:val="ListParagraph"/>
        <w:numPr>
          <w:ilvl w:val="2"/>
          <w:numId w:val="16"/>
        </w:numPr>
        <w:adjustRightInd w:val="0"/>
        <w:spacing w:before="60" w:after="240" w:line="240" w:lineRule="auto"/>
        <w:contextualSpacing w:val="0"/>
        <w:jc w:val="both"/>
        <w:rPr>
          <w:rFonts w:asciiTheme="minorHAnsi" w:hAnsiTheme="minorHAnsi" w:cstheme="minorHAnsi"/>
        </w:rPr>
      </w:pPr>
      <w:r w:rsidRPr="00747E35">
        <w:rPr>
          <w:rFonts w:asciiTheme="minorHAnsi" w:eastAsiaTheme="minorEastAsia" w:hAnsiTheme="minorHAnsi" w:cstheme="minorHAnsi"/>
        </w:rPr>
        <w:t>which complexes are exposed to the greatest number and intensity of threats</w:t>
      </w:r>
      <w:r w:rsidRPr="00747E35">
        <w:rPr>
          <w:rFonts w:asciiTheme="minorHAnsi" w:hAnsiTheme="minorHAnsi" w:cstheme="minorHAnsi"/>
        </w:rPr>
        <w:t>,</w:t>
      </w:r>
    </w:p>
    <w:p w14:paraId="070811A7" w14:textId="77777777" w:rsidR="0044478E" w:rsidRPr="00747E35" w:rsidRDefault="0044478E" w:rsidP="0083624F">
      <w:pPr>
        <w:pStyle w:val="ListParagraph"/>
        <w:numPr>
          <w:ilvl w:val="2"/>
          <w:numId w:val="16"/>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how vulnerability to threats varies among species and</w:t>
      </w:r>
    </w:p>
    <w:p w14:paraId="5B99E113" w14:textId="77777777" w:rsidR="0044478E" w:rsidRPr="00747E35" w:rsidRDefault="0044478E" w:rsidP="0083624F">
      <w:pPr>
        <w:pStyle w:val="ListParagraph"/>
        <w:numPr>
          <w:ilvl w:val="2"/>
          <w:numId w:val="16"/>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which complexes are at the highest risk (i.e. contain high number of vulnerable species and are exposed to the highest threat intensities)</w:t>
      </w:r>
    </w:p>
    <w:p w14:paraId="395C7297" w14:textId="77777777" w:rsidR="0044478E" w:rsidRPr="00747E35" w:rsidRDefault="0044478E" w:rsidP="0083624F">
      <w:pPr>
        <w:pStyle w:val="ListParagraph"/>
        <w:numPr>
          <w:ilvl w:val="0"/>
          <w:numId w:val="16"/>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Synthesise on-ground management and monitoring of GAB springs in the context of risk assessment results</w:t>
      </w:r>
    </w:p>
    <w:p w14:paraId="2AA4D8C8" w14:textId="77777777" w:rsidR="0044478E" w:rsidRPr="00747E35" w:rsidRDefault="0044478E" w:rsidP="0044478E">
      <w:pPr>
        <w:rPr>
          <w:rFonts w:asciiTheme="minorHAnsi" w:hAnsiTheme="minorHAnsi" w:cstheme="minorHAnsi"/>
        </w:rPr>
      </w:pPr>
    </w:p>
    <w:p w14:paraId="111D46E7" w14:textId="53CBAF8E" w:rsidR="0044478E" w:rsidRPr="00747E35" w:rsidRDefault="0044478E" w:rsidP="0044478E">
      <w:pPr>
        <w:pStyle w:val="Heading3"/>
        <w:rPr>
          <w:rFonts w:asciiTheme="minorHAnsi" w:hAnsiTheme="minorHAnsi" w:cstheme="minorHAnsi"/>
        </w:rPr>
      </w:pPr>
      <w:bookmarkStart w:id="419" w:name="_Toc467244825"/>
      <w:bookmarkStart w:id="420" w:name="_Toc470004907"/>
      <w:r w:rsidRPr="00747E35">
        <w:rPr>
          <w:rFonts w:asciiTheme="minorHAnsi" w:hAnsiTheme="minorHAnsi" w:cstheme="minorHAnsi"/>
        </w:rPr>
        <w:t>Background</w:t>
      </w:r>
      <w:bookmarkEnd w:id="419"/>
      <w:bookmarkEnd w:id="420"/>
    </w:p>
    <w:p w14:paraId="2B35C205" w14:textId="0BA7ED37" w:rsidR="0044478E" w:rsidRPr="00747E35" w:rsidRDefault="0044478E" w:rsidP="0044478E">
      <w:pPr>
        <w:rPr>
          <w:rFonts w:asciiTheme="minorHAnsi" w:hAnsiTheme="minorHAnsi" w:cstheme="minorHAnsi"/>
        </w:rPr>
      </w:pPr>
      <w:r w:rsidRPr="00747E35">
        <w:rPr>
          <w:rFonts w:asciiTheme="minorHAnsi" w:hAnsiTheme="minorHAnsi" w:cstheme="minorHAnsi"/>
        </w:rPr>
        <w:t>Acknowledgement of the uniqueness of GAB springs and the severity of the threats they face has been a relatively recent phenomenon.  Akin to arid-zone springs globally, the unique flora and fauna of the GAB have experienced considerable habitat loss and extinction due to the unrestricted extraction of water from their source aquifer and physical modification (Fensham et al</w:t>
      </w:r>
      <w:r w:rsidR="005E04D7">
        <w:rPr>
          <w:rFonts w:asciiTheme="minorHAnsi" w:hAnsiTheme="minorHAnsi" w:cstheme="minorHAnsi"/>
        </w:rPr>
        <w:t>.</w:t>
      </w:r>
      <w:r w:rsidRPr="00747E35">
        <w:rPr>
          <w:rFonts w:asciiTheme="minorHAnsi" w:hAnsiTheme="minorHAnsi" w:cstheme="minorHAnsi"/>
        </w:rPr>
        <w:t xml:space="preserve"> 2010).  Spring flora and fauna continue to face threats from a range of processes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_Ref453232758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144</w:t>
      </w:r>
      <w:r w:rsidRPr="00747E35">
        <w:rPr>
          <w:rFonts w:asciiTheme="minorHAnsi" w:hAnsiTheme="minorHAnsi" w:cstheme="minorHAnsi"/>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_Ref453232771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38</w:t>
      </w:r>
      <w:r w:rsidRPr="00747E35">
        <w:rPr>
          <w:rFonts w:asciiTheme="minorHAnsi" w:hAnsiTheme="minorHAnsi" w:cstheme="minorHAnsi"/>
        </w:rPr>
        <w:fldChar w:fldCharType="end"/>
      </w:r>
      <w:r w:rsidRPr="00747E35">
        <w:rPr>
          <w:rFonts w:asciiTheme="minorHAnsi" w:hAnsiTheme="minorHAnsi" w:cstheme="minorHAnsi"/>
        </w:rPr>
        <w:t>) including reduced habitat caused by the depletion of groundwater pressure (e.g. due to water extraction from artesian bores, mining operations, etc.) to physical alteration of the spring environment (i.e. construction of drains and slabs) to the introduction of invasive species, either to the spring directly (e.g. the ponded pasture, para grass (</w:t>
      </w:r>
      <w:r w:rsidRPr="00747E35">
        <w:rPr>
          <w:rFonts w:asciiTheme="minorHAnsi" w:hAnsiTheme="minorHAnsi" w:cstheme="minorHAnsi"/>
          <w:i/>
        </w:rPr>
        <w:t>Urochloa mutica</w:t>
      </w:r>
      <w:r w:rsidRPr="00747E35">
        <w:rPr>
          <w:rFonts w:asciiTheme="minorHAnsi" w:hAnsiTheme="minorHAnsi" w:cstheme="minorHAnsi"/>
        </w:rPr>
        <w:t>), date palms (</w:t>
      </w:r>
      <w:r w:rsidRPr="00747E35">
        <w:rPr>
          <w:rFonts w:asciiTheme="minorHAnsi" w:hAnsiTheme="minorHAnsi" w:cstheme="minorHAnsi"/>
          <w:i/>
        </w:rPr>
        <w:t>Phoenix dactylifera</w:t>
      </w:r>
      <w:r w:rsidRPr="00747E35">
        <w:rPr>
          <w:rFonts w:asciiTheme="minorHAnsi" w:hAnsiTheme="minorHAnsi" w:cstheme="minorHAnsi"/>
        </w:rPr>
        <w:t xml:space="preserve">), and introduced fish such as </w:t>
      </w:r>
      <w:r w:rsidRPr="00747E35">
        <w:rPr>
          <w:rFonts w:asciiTheme="minorHAnsi" w:hAnsiTheme="minorHAnsi" w:cstheme="minorHAnsi"/>
          <w:i/>
        </w:rPr>
        <w:t>Gambusia holbrooki</w:t>
      </w:r>
      <w:r w:rsidRPr="00747E35">
        <w:rPr>
          <w:rFonts w:asciiTheme="minorHAnsi" w:hAnsiTheme="minorHAnsi" w:cstheme="minorHAnsi"/>
        </w:rPr>
        <w:t xml:space="preserve">) or via disturbance associated with introduced ungulates (e.g. physical disturbance caused by cows, pigs and camels).  Cumulative impacts from these potentially interacting threats are likely to be compounded under future climate change scenarios.  For example, basin-wide hydrogeology (i.e. changed recharge regimes) and local processes (i.e. altered evapotranspiration rates) are likely to change the seasonal dynamics of springs while climatic shifts will impact on the distribution and abundance of endemic taxa and the invasive organisms that threaten them. Some threats may be more pertinent to particular taxa, or in particular regions, and poor taxonomic understanding or data deficiency regarding species distributions, may lead to underestimation of extinction risks (Bland et al. 2012). </w:t>
      </w:r>
    </w:p>
    <w:p w14:paraId="4860F2D6"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 xml:space="preserve">The spatial distributions of threats are varied, but in many places little is known about which stressors are having the biggest impact on spring ecosystems or their cumulative effects (i.e. combined effects of multiple, potentially interacting threats). </w:t>
      </w:r>
      <w:r w:rsidRPr="00747E35">
        <w:rPr>
          <w:rFonts w:asciiTheme="minorHAnsi" w:eastAsiaTheme="minorHAnsi" w:hAnsiTheme="minorHAnsi" w:cstheme="minorHAnsi"/>
        </w:rPr>
        <w:t xml:space="preserve"> Mapping where threats occur is important for management, but </w:t>
      </w:r>
      <w:r w:rsidRPr="00747E35">
        <w:rPr>
          <w:rFonts w:asciiTheme="minorHAnsi" w:eastAsiaTheme="minorHAnsi" w:hAnsiTheme="minorHAnsi" w:cstheme="minorHAnsi"/>
        </w:rPr>
        <w:lastRenderedPageBreak/>
        <w:t xml:space="preserve">does not explicitly account for differences in the extent and nature of species’ responses to threats (Halpern et al. 2007, 2015).  Understanding these differences in species’ responses is critical to identifying which threats have the biggest impact on spring ecosystems as a whole (i.e. incorporates the cumulative effect of each threat on every species in the area) and how to best address them at different scales.  Quantifying these differences allows threats to be ranked on the severity of their impact on species as well as allowing springs to be ranked on their overall risk (by combining threat exposure and relative species vulnerability).  Such assessments </w:t>
      </w:r>
      <w:r w:rsidRPr="00747E35">
        <w:rPr>
          <w:rFonts w:asciiTheme="minorHAnsi" w:hAnsiTheme="minorHAnsi" w:cstheme="minorHAnsi"/>
        </w:rPr>
        <w:t xml:space="preserve">in turn can inform biodiversity conservation, threat mitigation and spatial planning of decision-making. </w:t>
      </w:r>
    </w:p>
    <w:p w14:paraId="4A50DE59" w14:textId="39175176" w:rsidR="0044478E" w:rsidRPr="00747E35" w:rsidRDefault="0044478E" w:rsidP="0044478E">
      <w:pPr>
        <w:rPr>
          <w:rFonts w:asciiTheme="minorHAnsi" w:hAnsiTheme="minorHAnsi" w:cstheme="minorHAnsi"/>
        </w:rPr>
      </w:pPr>
      <w:r w:rsidRPr="00747E35">
        <w:rPr>
          <w:rFonts w:asciiTheme="minorHAnsi" w:hAnsiTheme="minorHAnsi" w:cstheme="minorHAnsi"/>
        </w:rPr>
        <w:t>Several formal risk assessments for GAB springs have been done in the past or are currently underway. Green et al. (2013) developed a risk assessment framework to evaluate risk factors associated with reductions in groundwater pressure in the GAB and applied the framework to a small number of GAB springs in South Australia.  Miles et al. (2012) undertook a basin-wide assessment of spring supergroups at risk from modelled changes in climate and groundwater development. The Office of Groundwater Impact Assessment (2016</w:t>
      </w:r>
      <w:r w:rsidR="001737C6">
        <w:rPr>
          <w:rFonts w:asciiTheme="minorHAnsi" w:hAnsiTheme="minorHAnsi" w:cstheme="minorHAnsi"/>
        </w:rPr>
        <w:t>a</w:t>
      </w:r>
      <w:r w:rsidRPr="00747E35">
        <w:rPr>
          <w:rFonts w:asciiTheme="minorHAnsi" w:hAnsiTheme="minorHAnsi" w:cstheme="minorHAnsi"/>
        </w:rPr>
        <w:t xml:space="preserve">) assessed risks to springs in the Surat Cumulative Management Area from groundwater drawdown. Finally, Barrett et al. (2013) provided a broad overview of the risk assessment approach currently being undertaken for the Bioregional Assessment Program to evaluate risks associated with impacts from coal seam gas and coal mining development on water-dependent assets (including some GAB springs).  The risk assessment approach being undertaken in this project contains elements common to these other risk assessments but complements and extends them because: it is whole of GAB scale, is species focussed, explicitly incorporates ecological response mechanisms and acknowledges the diversity of species and potential differences in their response to different threats, and does not use qualitative approaches to establish discretised risk ratings (instead, uses quantitative continuous data to estimate exposure and risk). </w:t>
      </w:r>
    </w:p>
    <w:p w14:paraId="1B6ED7AC"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 xml:space="preserve">This section outlines the development and application of a cumulative risk assessment framework to estimate the cumulative impacts of current threats to the endemic flora and fauna of GAB spring wetlands. The term ‘cumulative risk assessment’ is defined as an analysis, characterization, and quantification of the combined (additive or interactive) risks to the environment from multiple anthropogenic threats over time (U.S. EPA 2003). Our approach follows most elements of this definition except that we do not assess the effects of interacting threats due to insufficient knowledge and we assess present-day, not future changes in threats.  The assessment accommodates uncertainty and data paucity, integrates multiple threats, ecological and habitat processes, and considers the species-specific attributes that confer resistance and resilience to disturbance. The assessment uses best available data to quantify threat exposure, and uses literature, unpublished data, ecological theory and expert knowledge to estimate species vulnerability to threats. </w:t>
      </w:r>
    </w:p>
    <w:p w14:paraId="0654A513" w14:textId="77777777" w:rsidR="0044478E" w:rsidRPr="00747E35" w:rsidRDefault="0044478E" w:rsidP="0044478E">
      <w:pPr>
        <w:rPr>
          <w:rFonts w:asciiTheme="minorHAnsi" w:hAnsiTheme="minorHAnsi" w:cstheme="minorHAnsi"/>
        </w:rPr>
      </w:pPr>
    </w:p>
    <w:p w14:paraId="784D773B"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br w:type="page"/>
      </w:r>
    </w:p>
    <w:p w14:paraId="4EE40E84" w14:textId="52EEBD1E" w:rsidR="0044478E" w:rsidRPr="00747E35" w:rsidRDefault="004842FF" w:rsidP="0044478E">
      <w:pPr>
        <w:jc w:val="center"/>
        <w:rPr>
          <w:rFonts w:asciiTheme="minorHAnsi" w:hAnsiTheme="minorHAnsi" w:cstheme="minorHAnsi"/>
          <w:highlight w:val="yellow"/>
        </w:rPr>
      </w:pPr>
      <w:r w:rsidRPr="004842FF">
        <w:rPr>
          <w:noProof/>
          <w:lang w:val="en-AU" w:eastAsia="en-AU"/>
        </w:rPr>
        <w:lastRenderedPageBreak/>
        <w:drawing>
          <wp:inline distT="0" distB="0" distL="0" distR="0" wp14:anchorId="2BDA1B4A" wp14:editId="10480A36">
            <wp:extent cx="6120130" cy="8198485"/>
            <wp:effectExtent l="0" t="0" r="0" b="0"/>
            <wp:docPr id="3" name="Picture 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a:ext>
                      </a:extLst>
                    </a:blip>
                    <a:stretch>
                      <a:fillRect/>
                    </a:stretch>
                  </pic:blipFill>
                  <pic:spPr>
                    <a:xfrm>
                      <a:off x="0" y="0"/>
                      <a:ext cx="6120130" cy="8198485"/>
                    </a:xfrm>
                    <a:prstGeom prst="rect">
                      <a:avLst/>
                    </a:prstGeom>
                  </pic:spPr>
                </pic:pic>
              </a:graphicData>
            </a:graphic>
          </wp:inline>
        </w:drawing>
      </w:r>
    </w:p>
    <w:p w14:paraId="1E0DB001" w14:textId="77777777" w:rsidR="0044478E" w:rsidRPr="00747E35" w:rsidRDefault="0044478E" w:rsidP="00566456">
      <w:pPr>
        <w:pStyle w:val="Caption"/>
        <w:numPr>
          <w:ilvl w:val="0"/>
          <w:numId w:val="0"/>
        </w:numPr>
        <w:rPr>
          <w:rFonts w:cstheme="minorHAnsi"/>
          <w:color w:val="auto"/>
        </w:rPr>
      </w:pPr>
      <w:bookmarkStart w:id="421" w:name="_Ref453232758"/>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144</w:t>
      </w:r>
      <w:r w:rsidR="009D6600" w:rsidRPr="00747E35">
        <w:rPr>
          <w:rFonts w:cstheme="minorHAnsi"/>
          <w:noProof/>
        </w:rPr>
        <w:fldChar w:fldCharType="end"/>
      </w:r>
      <w:bookmarkEnd w:id="421"/>
      <w:r w:rsidRPr="00747E35">
        <w:rPr>
          <w:rFonts w:cstheme="minorHAnsi"/>
        </w:rPr>
        <w:t>: Conceptual model of hypothesised responses of discharge springs to cumulative groundwater drawdown and interactions with other threats.</w:t>
      </w:r>
    </w:p>
    <w:p w14:paraId="0E25C5DF"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br w:type="page"/>
      </w:r>
    </w:p>
    <w:p w14:paraId="5A24B5A1" w14:textId="01F8B4AE" w:rsidR="0044478E" w:rsidRPr="00747E35" w:rsidRDefault="0044478E" w:rsidP="00566456">
      <w:pPr>
        <w:pStyle w:val="Caption"/>
        <w:numPr>
          <w:ilvl w:val="0"/>
          <w:numId w:val="0"/>
        </w:numPr>
        <w:rPr>
          <w:rFonts w:cstheme="minorHAnsi"/>
        </w:rPr>
      </w:pPr>
      <w:bookmarkStart w:id="422" w:name="_Ref453232771"/>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38</w:t>
      </w:r>
      <w:r w:rsidR="009D6600" w:rsidRPr="00747E35">
        <w:rPr>
          <w:rFonts w:cstheme="minorHAnsi"/>
          <w:noProof/>
        </w:rPr>
        <w:fldChar w:fldCharType="end"/>
      </w:r>
      <w:bookmarkEnd w:id="422"/>
      <w:r w:rsidRPr="00747E35">
        <w:rPr>
          <w:rFonts w:cstheme="minorHAnsi"/>
        </w:rPr>
        <w:t>: Summary of mechanisms of impact of different threats to GAB spring wetlands and potential ecological consequences.</w:t>
      </w:r>
      <w:r w:rsidRPr="00747E35">
        <w:rPr>
          <w:rFonts w:cstheme="minorHAnsi"/>
          <w:b/>
        </w:rPr>
        <w:t xml:space="preserve"> </w:t>
      </w:r>
      <w:r w:rsidRPr="00747E35">
        <w:rPr>
          <w:rFonts w:cstheme="minorHAnsi"/>
        </w:rPr>
        <w:t>(Sources: Noble et al</w:t>
      </w:r>
      <w:r w:rsidR="005E04D7">
        <w:rPr>
          <w:rFonts w:cstheme="minorHAnsi"/>
        </w:rPr>
        <w:t>.</w:t>
      </w:r>
      <w:r w:rsidRPr="00747E35">
        <w:rPr>
          <w:rFonts w:cstheme="minorHAnsi"/>
        </w:rPr>
        <w:t xml:space="preserve"> 1998, Fensham &amp; Fairfax 2003, Box et al</w:t>
      </w:r>
      <w:r w:rsidR="005E04D7">
        <w:rPr>
          <w:rFonts w:cstheme="minorHAnsi"/>
        </w:rPr>
        <w:t>.</w:t>
      </w:r>
      <w:r w:rsidRPr="00747E35">
        <w:rPr>
          <w:rFonts w:cstheme="minorHAnsi"/>
        </w:rPr>
        <w:t xml:space="preserve"> 2008, Silcock 2009, Fensham et al. 2010, OGIA 2016</w:t>
      </w:r>
      <w:r w:rsidR="001737C6">
        <w:rPr>
          <w:rFonts w:cstheme="minorHAnsi"/>
        </w:rPr>
        <w:t>b</w:t>
      </w:r>
      <w:r w:rsidRPr="00747E35">
        <w:rPr>
          <w:rFonts w:cstheme="minorHAnsi"/>
        </w:rPr>
        <w:t xml:space="preserve">). The type of disturbance (pulse, press or ramp; after Lake 2000) for each threat is also indicated.  </w:t>
      </w:r>
    </w:p>
    <w:tbl>
      <w:tblPr>
        <w:tblW w:w="9214" w:type="dxa"/>
        <w:tblLook w:val="04A0" w:firstRow="1" w:lastRow="0" w:firstColumn="1" w:lastColumn="0" w:noHBand="0" w:noVBand="1"/>
      </w:tblPr>
      <w:tblGrid>
        <w:gridCol w:w="3969"/>
        <w:gridCol w:w="5245"/>
      </w:tblGrid>
      <w:tr w:rsidR="0044478E" w:rsidRPr="00747E35" w14:paraId="507701AB" w14:textId="77777777" w:rsidTr="001379E4">
        <w:trPr>
          <w:trHeight w:val="20"/>
          <w:tblHeader/>
        </w:trPr>
        <w:tc>
          <w:tcPr>
            <w:tcW w:w="3969" w:type="dxa"/>
            <w:tcBorders>
              <w:top w:val="single" w:sz="4" w:space="0" w:color="auto"/>
              <w:bottom w:val="single" w:sz="4" w:space="0" w:color="auto"/>
            </w:tcBorders>
            <w:shd w:val="clear" w:color="auto" w:fill="DEEAF6" w:themeFill="accent1" w:themeFillTint="33"/>
            <w:hideMark/>
          </w:tcPr>
          <w:p w14:paraId="4D58D57A"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Primary threat and mechanisms of impact</w:t>
            </w:r>
          </w:p>
        </w:tc>
        <w:tc>
          <w:tcPr>
            <w:tcW w:w="5245" w:type="dxa"/>
            <w:tcBorders>
              <w:top w:val="single" w:sz="4" w:space="0" w:color="auto"/>
              <w:bottom w:val="single" w:sz="4" w:space="0" w:color="auto"/>
            </w:tcBorders>
            <w:shd w:val="clear" w:color="auto" w:fill="DEEAF6" w:themeFill="accent1" w:themeFillTint="33"/>
            <w:hideMark/>
          </w:tcPr>
          <w:p w14:paraId="64028A0D"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Ecological consequences</w:t>
            </w:r>
          </w:p>
        </w:tc>
      </w:tr>
      <w:tr w:rsidR="0044478E" w:rsidRPr="00747E35" w14:paraId="7C94481E" w14:textId="77777777" w:rsidTr="0044478E">
        <w:trPr>
          <w:trHeight w:val="20"/>
        </w:trPr>
        <w:tc>
          <w:tcPr>
            <w:tcW w:w="3969" w:type="dxa"/>
            <w:tcBorders>
              <w:top w:val="single" w:sz="4" w:space="0" w:color="auto"/>
              <w:bottom w:val="single" w:sz="4" w:space="0" w:color="D9D9D9" w:themeColor="background1" w:themeShade="D9"/>
            </w:tcBorders>
            <w:shd w:val="clear" w:color="auto" w:fill="auto"/>
          </w:tcPr>
          <w:p w14:paraId="0087DB03" w14:textId="77777777" w:rsidR="0044478E" w:rsidRPr="00747E35" w:rsidRDefault="0044478E" w:rsidP="0044478E">
            <w:pPr>
              <w:pStyle w:val="Tabletext"/>
              <w:spacing w:before="0" w:after="0"/>
              <w:rPr>
                <w:rFonts w:cstheme="minorHAnsi"/>
                <w:b/>
                <w:lang w:eastAsia="en-AU"/>
              </w:rPr>
            </w:pPr>
            <w:r w:rsidRPr="00747E35">
              <w:rPr>
                <w:rFonts w:cstheme="minorHAnsi"/>
                <w:b/>
                <w:lang w:eastAsia="en-AU"/>
              </w:rPr>
              <w:t>Aquifer drawdown (</w:t>
            </w:r>
            <w:r w:rsidRPr="00747E35">
              <w:rPr>
                <w:rFonts w:cstheme="minorHAnsi"/>
                <w:b/>
                <w:i/>
                <w:lang w:eastAsia="en-AU"/>
              </w:rPr>
              <w:t>Ramp disturbance</w:t>
            </w:r>
            <w:r w:rsidRPr="00747E35">
              <w:rPr>
                <w:rFonts w:cstheme="minorHAnsi"/>
                <w:b/>
                <w:lang w:eastAsia="en-AU"/>
              </w:rPr>
              <w:t>)</w:t>
            </w:r>
          </w:p>
        </w:tc>
        <w:tc>
          <w:tcPr>
            <w:tcW w:w="5245" w:type="dxa"/>
            <w:tcBorders>
              <w:top w:val="single" w:sz="4" w:space="0" w:color="auto"/>
              <w:bottom w:val="single" w:sz="4" w:space="0" w:color="D9D9D9" w:themeColor="background1" w:themeShade="D9"/>
            </w:tcBorders>
            <w:shd w:val="clear" w:color="auto" w:fill="auto"/>
          </w:tcPr>
          <w:p w14:paraId="76E9A60D" w14:textId="77777777" w:rsidR="0044478E" w:rsidRPr="00747E35" w:rsidRDefault="0044478E" w:rsidP="0044478E">
            <w:pPr>
              <w:pStyle w:val="Tabletext"/>
              <w:spacing w:before="0" w:after="0"/>
              <w:rPr>
                <w:rFonts w:cstheme="minorHAnsi"/>
                <w:b/>
                <w:lang w:eastAsia="en-AU"/>
              </w:rPr>
            </w:pPr>
          </w:p>
        </w:tc>
      </w:tr>
      <w:tr w:rsidR="0044478E" w:rsidRPr="00747E35" w14:paraId="3865B89E" w14:textId="77777777" w:rsidTr="0044478E">
        <w:trPr>
          <w:trHeight w:val="20"/>
        </w:trPr>
        <w:tc>
          <w:tcPr>
            <w:tcW w:w="3969" w:type="dxa"/>
            <w:vMerge w:val="restart"/>
            <w:tcBorders>
              <w:top w:val="single" w:sz="4" w:space="0" w:color="D9D9D9" w:themeColor="background1" w:themeShade="D9"/>
            </w:tcBorders>
            <w:shd w:val="clear" w:color="auto" w:fill="auto"/>
            <w:hideMark/>
          </w:tcPr>
          <w:p w14:paraId="5F9F94F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Reduction in groundwater discharge to springs causing reduction in seasonal persistence, extent, and depth of aquatic habitat</w:t>
            </w:r>
          </w:p>
        </w:tc>
        <w:tc>
          <w:tcPr>
            <w:tcW w:w="5245" w:type="dxa"/>
            <w:tcBorders>
              <w:top w:val="single" w:sz="4" w:space="0" w:color="D9D9D9" w:themeColor="background1" w:themeShade="D9"/>
            </w:tcBorders>
            <w:shd w:val="clear" w:color="auto" w:fill="auto"/>
            <w:hideMark/>
          </w:tcPr>
          <w:p w14:paraId="0822C17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Loss of habitat for fully aquatic plants &amp; animals</w:t>
            </w:r>
          </w:p>
        </w:tc>
      </w:tr>
      <w:tr w:rsidR="0044478E" w:rsidRPr="00747E35" w14:paraId="66825815" w14:textId="77777777" w:rsidTr="0044478E">
        <w:trPr>
          <w:trHeight w:val="20"/>
        </w:trPr>
        <w:tc>
          <w:tcPr>
            <w:tcW w:w="3969" w:type="dxa"/>
            <w:vMerge/>
            <w:tcBorders>
              <w:bottom w:val="single" w:sz="4" w:space="0" w:color="D9D9D9" w:themeColor="background1" w:themeShade="D9"/>
            </w:tcBorders>
            <w:shd w:val="clear" w:color="auto" w:fill="auto"/>
            <w:hideMark/>
          </w:tcPr>
          <w:p w14:paraId="316867EE" w14:textId="77777777" w:rsidR="0044478E" w:rsidRPr="00747E35" w:rsidRDefault="0044478E" w:rsidP="0044478E">
            <w:pPr>
              <w:pStyle w:val="Tabletext"/>
              <w:spacing w:before="0" w:after="0"/>
              <w:rPr>
                <w:rFonts w:cstheme="minorHAnsi"/>
                <w:lang w:eastAsia="en-AU"/>
              </w:rPr>
            </w:pPr>
          </w:p>
        </w:tc>
        <w:tc>
          <w:tcPr>
            <w:tcW w:w="5245" w:type="dxa"/>
            <w:tcBorders>
              <w:bottom w:val="single" w:sz="4" w:space="0" w:color="D9D9D9" w:themeColor="background1" w:themeShade="D9"/>
            </w:tcBorders>
            <w:shd w:val="clear" w:color="auto" w:fill="auto"/>
            <w:hideMark/>
          </w:tcPr>
          <w:p w14:paraId="0D67E9D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Changes in number &amp; connectivity of local aquatic habitat patches (vents) affecting local meta-population persistence (springs/complexes)</w:t>
            </w:r>
          </w:p>
        </w:tc>
      </w:tr>
      <w:tr w:rsidR="0044478E" w:rsidRPr="00747E35" w14:paraId="47B93DA0" w14:textId="77777777" w:rsidTr="0044478E">
        <w:trPr>
          <w:trHeight w:val="20"/>
        </w:trPr>
        <w:tc>
          <w:tcPr>
            <w:tcW w:w="3969" w:type="dxa"/>
            <w:tcBorders>
              <w:top w:val="single" w:sz="4" w:space="0" w:color="D9D9D9" w:themeColor="background1" w:themeShade="D9"/>
              <w:bottom w:val="single" w:sz="4" w:space="0" w:color="D9D9D9" w:themeColor="background1" w:themeShade="D9"/>
            </w:tcBorders>
            <w:shd w:val="clear" w:color="auto" w:fill="auto"/>
            <w:hideMark/>
          </w:tcPr>
          <w:p w14:paraId="317A175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Reduction in soil moisture in marginal zones</w:t>
            </w:r>
          </w:p>
        </w:tc>
        <w:tc>
          <w:tcPr>
            <w:tcW w:w="5245" w:type="dxa"/>
            <w:tcBorders>
              <w:top w:val="single" w:sz="4" w:space="0" w:color="D9D9D9" w:themeColor="background1" w:themeShade="D9"/>
              <w:bottom w:val="single" w:sz="4" w:space="0" w:color="D9D9D9" w:themeColor="background1" w:themeShade="D9"/>
            </w:tcBorders>
            <w:shd w:val="clear" w:color="auto" w:fill="auto"/>
            <w:hideMark/>
          </w:tcPr>
          <w:p w14:paraId="33DD314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Loss of habitat for rooted semi-aquatic plants</w:t>
            </w:r>
          </w:p>
        </w:tc>
      </w:tr>
      <w:tr w:rsidR="0044478E" w:rsidRPr="00747E35" w14:paraId="1A574257" w14:textId="77777777" w:rsidTr="0044478E">
        <w:trPr>
          <w:trHeight w:val="20"/>
        </w:trPr>
        <w:tc>
          <w:tcPr>
            <w:tcW w:w="3969" w:type="dxa"/>
            <w:vMerge w:val="restart"/>
            <w:tcBorders>
              <w:top w:val="single" w:sz="4" w:space="0" w:color="D9D9D9" w:themeColor="background1" w:themeShade="D9"/>
            </w:tcBorders>
            <w:shd w:val="clear" w:color="auto" w:fill="auto"/>
            <w:hideMark/>
          </w:tcPr>
          <w:p w14:paraId="287DF71F"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Changes in water chemistry (e.g. salinity, pH, dissolved ions) in pooled water due to reduced spring discharge and flushing; increased concentration of solutes</w:t>
            </w:r>
          </w:p>
        </w:tc>
        <w:tc>
          <w:tcPr>
            <w:tcW w:w="5245" w:type="dxa"/>
            <w:tcBorders>
              <w:top w:val="single" w:sz="4" w:space="0" w:color="D9D9D9" w:themeColor="background1" w:themeShade="D9"/>
            </w:tcBorders>
            <w:shd w:val="clear" w:color="auto" w:fill="auto"/>
            <w:hideMark/>
          </w:tcPr>
          <w:p w14:paraId="037E2B7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Exceedance of physiological tolerance limits for some plants &amp; animals</w:t>
            </w:r>
          </w:p>
        </w:tc>
      </w:tr>
      <w:tr w:rsidR="0044478E" w:rsidRPr="00747E35" w14:paraId="777E26F8" w14:textId="77777777" w:rsidTr="0044478E">
        <w:trPr>
          <w:trHeight w:val="20"/>
        </w:trPr>
        <w:tc>
          <w:tcPr>
            <w:tcW w:w="3969" w:type="dxa"/>
            <w:vMerge/>
            <w:tcBorders>
              <w:bottom w:val="single" w:sz="4" w:space="0" w:color="D9D9D9" w:themeColor="background1" w:themeShade="D9"/>
            </w:tcBorders>
            <w:shd w:val="clear" w:color="auto" w:fill="auto"/>
            <w:hideMark/>
          </w:tcPr>
          <w:p w14:paraId="2098B49C" w14:textId="77777777" w:rsidR="0044478E" w:rsidRPr="00747E35" w:rsidRDefault="0044478E" w:rsidP="0044478E">
            <w:pPr>
              <w:pStyle w:val="Tabletext"/>
              <w:spacing w:before="0" w:after="0"/>
              <w:rPr>
                <w:rFonts w:cstheme="minorHAnsi"/>
                <w:lang w:eastAsia="en-AU"/>
              </w:rPr>
            </w:pPr>
          </w:p>
        </w:tc>
        <w:tc>
          <w:tcPr>
            <w:tcW w:w="5245" w:type="dxa"/>
            <w:tcBorders>
              <w:bottom w:val="single" w:sz="4" w:space="0" w:color="D9D9D9" w:themeColor="background1" w:themeShade="D9"/>
            </w:tcBorders>
            <w:shd w:val="clear" w:color="auto" w:fill="auto"/>
            <w:hideMark/>
          </w:tcPr>
          <w:p w14:paraId="1D55969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Reduction in dissolved calcium carbonate critical for shell formation in molluscs and exoskeleton development in crustaceans</w:t>
            </w:r>
          </w:p>
        </w:tc>
      </w:tr>
      <w:tr w:rsidR="0044478E" w:rsidRPr="00747E35" w14:paraId="214B1F68" w14:textId="77777777" w:rsidTr="0044478E">
        <w:trPr>
          <w:trHeight w:val="20"/>
        </w:trPr>
        <w:tc>
          <w:tcPr>
            <w:tcW w:w="3969" w:type="dxa"/>
            <w:tcBorders>
              <w:top w:val="single" w:sz="4" w:space="0" w:color="D9D9D9" w:themeColor="background1" w:themeShade="D9"/>
              <w:bottom w:val="single" w:sz="4" w:space="0" w:color="D9D9D9" w:themeColor="background1" w:themeShade="D9"/>
            </w:tcBorders>
            <w:shd w:val="clear" w:color="auto" w:fill="auto"/>
            <w:hideMark/>
          </w:tcPr>
          <w:p w14:paraId="3DA9E05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Reduction in water temperature (in thermal springs)</w:t>
            </w:r>
          </w:p>
        </w:tc>
        <w:tc>
          <w:tcPr>
            <w:tcW w:w="5245" w:type="dxa"/>
            <w:tcBorders>
              <w:top w:val="single" w:sz="4" w:space="0" w:color="D9D9D9" w:themeColor="background1" w:themeShade="D9"/>
              <w:bottom w:val="single" w:sz="4" w:space="0" w:color="D9D9D9" w:themeColor="background1" w:themeShade="D9"/>
            </w:tcBorders>
            <w:shd w:val="clear" w:color="auto" w:fill="auto"/>
            <w:hideMark/>
          </w:tcPr>
          <w:p w14:paraId="390F76B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xml:space="preserve">Increased potential for colonisation by non-indigenous plant &amp; animal species with lower thermal tolerances leading to negative impacts (e.g. competition, predation) on indigenous species </w:t>
            </w:r>
          </w:p>
        </w:tc>
      </w:tr>
      <w:tr w:rsidR="0044478E" w:rsidRPr="00747E35" w14:paraId="5C83D8AC" w14:textId="77777777" w:rsidTr="0044478E">
        <w:trPr>
          <w:trHeight w:val="20"/>
        </w:trPr>
        <w:tc>
          <w:tcPr>
            <w:tcW w:w="3969" w:type="dxa"/>
            <w:vMerge w:val="restart"/>
            <w:tcBorders>
              <w:top w:val="single" w:sz="4" w:space="0" w:color="D9D9D9" w:themeColor="background1" w:themeShade="D9"/>
            </w:tcBorders>
            <w:shd w:val="clear" w:color="auto" w:fill="auto"/>
            <w:hideMark/>
          </w:tcPr>
          <w:p w14:paraId="5A009E1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Increase in exposure of wetland soils around margins leading to changes in soil chemistry (e.g. increased salt accumulation; oxidization of peaty wetland soils and potential acid production)</w:t>
            </w:r>
          </w:p>
        </w:tc>
        <w:tc>
          <w:tcPr>
            <w:tcW w:w="5245" w:type="dxa"/>
            <w:tcBorders>
              <w:top w:val="single" w:sz="4" w:space="0" w:color="D9D9D9" w:themeColor="background1" w:themeShade="D9"/>
            </w:tcBorders>
            <w:shd w:val="clear" w:color="auto" w:fill="auto"/>
            <w:hideMark/>
          </w:tcPr>
          <w:p w14:paraId="64BDB2D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Exceedance of physiological tolerance limits for some plants &amp; animals</w:t>
            </w:r>
          </w:p>
        </w:tc>
      </w:tr>
      <w:tr w:rsidR="0044478E" w:rsidRPr="00747E35" w14:paraId="7CCC79D6" w14:textId="77777777" w:rsidTr="0044478E">
        <w:trPr>
          <w:trHeight w:val="20"/>
        </w:trPr>
        <w:tc>
          <w:tcPr>
            <w:tcW w:w="3969" w:type="dxa"/>
            <w:vMerge/>
            <w:tcBorders>
              <w:bottom w:val="single" w:sz="4" w:space="0" w:color="D9D9D9" w:themeColor="background1" w:themeShade="D9"/>
            </w:tcBorders>
            <w:shd w:val="clear" w:color="auto" w:fill="auto"/>
            <w:hideMark/>
          </w:tcPr>
          <w:p w14:paraId="491C1926" w14:textId="77777777" w:rsidR="0044478E" w:rsidRPr="00747E35" w:rsidRDefault="0044478E" w:rsidP="0044478E">
            <w:pPr>
              <w:pStyle w:val="Tabletext"/>
              <w:spacing w:before="0" w:after="0"/>
              <w:rPr>
                <w:rFonts w:cstheme="minorHAnsi"/>
                <w:lang w:eastAsia="en-AU"/>
              </w:rPr>
            </w:pPr>
          </w:p>
        </w:tc>
        <w:tc>
          <w:tcPr>
            <w:tcW w:w="5245" w:type="dxa"/>
            <w:tcBorders>
              <w:bottom w:val="single" w:sz="4" w:space="0" w:color="D9D9D9" w:themeColor="background1" w:themeShade="D9"/>
            </w:tcBorders>
            <w:shd w:val="clear" w:color="auto" w:fill="auto"/>
            <w:hideMark/>
          </w:tcPr>
          <w:p w14:paraId="55FD986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Changes in nutrient availability for plants</w:t>
            </w:r>
          </w:p>
        </w:tc>
      </w:tr>
      <w:tr w:rsidR="0044478E" w:rsidRPr="00747E35" w14:paraId="660D2DAF" w14:textId="77777777" w:rsidTr="0044478E">
        <w:trPr>
          <w:trHeight w:val="20"/>
        </w:trPr>
        <w:tc>
          <w:tcPr>
            <w:tcW w:w="3969" w:type="dxa"/>
            <w:vMerge w:val="restart"/>
            <w:tcBorders>
              <w:top w:val="single" w:sz="4" w:space="0" w:color="D9D9D9" w:themeColor="background1" w:themeShade="D9"/>
            </w:tcBorders>
            <w:shd w:val="clear" w:color="auto" w:fill="auto"/>
            <w:hideMark/>
          </w:tcPr>
          <w:p w14:paraId="4B6AFF7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Slumping of mound as the saturated organic rich wetland soil dries and shrinks. Oxidation of peaty wetland soils, alteration of soil structure. Potential increase in erosion of the former wetland soil due to reduced soil stability</w:t>
            </w:r>
          </w:p>
        </w:tc>
        <w:tc>
          <w:tcPr>
            <w:tcW w:w="5245" w:type="dxa"/>
            <w:tcBorders>
              <w:top w:val="single" w:sz="4" w:space="0" w:color="D9D9D9" w:themeColor="background1" w:themeShade="D9"/>
            </w:tcBorders>
            <w:shd w:val="clear" w:color="auto" w:fill="auto"/>
            <w:hideMark/>
          </w:tcPr>
          <w:p w14:paraId="62D6D09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Loss of semi-aquatic and terrestrial vegetation within the discharge tailwater zone.</w:t>
            </w:r>
          </w:p>
        </w:tc>
      </w:tr>
      <w:tr w:rsidR="0044478E" w:rsidRPr="00747E35" w14:paraId="31B5CFC5" w14:textId="77777777" w:rsidTr="0044478E">
        <w:trPr>
          <w:trHeight w:val="20"/>
        </w:trPr>
        <w:tc>
          <w:tcPr>
            <w:tcW w:w="3969" w:type="dxa"/>
            <w:vMerge/>
            <w:tcBorders>
              <w:bottom w:val="single" w:sz="4" w:space="0" w:color="auto"/>
            </w:tcBorders>
            <w:shd w:val="clear" w:color="auto" w:fill="auto"/>
            <w:hideMark/>
          </w:tcPr>
          <w:p w14:paraId="229E83F1" w14:textId="77777777" w:rsidR="0044478E" w:rsidRPr="00747E35" w:rsidRDefault="0044478E" w:rsidP="0044478E">
            <w:pPr>
              <w:pStyle w:val="Tabletext"/>
              <w:spacing w:before="0" w:after="0"/>
              <w:rPr>
                <w:rFonts w:cstheme="minorHAnsi"/>
                <w:lang w:eastAsia="en-AU"/>
              </w:rPr>
            </w:pPr>
          </w:p>
        </w:tc>
        <w:tc>
          <w:tcPr>
            <w:tcW w:w="5245" w:type="dxa"/>
            <w:tcBorders>
              <w:bottom w:val="single" w:sz="4" w:space="0" w:color="auto"/>
            </w:tcBorders>
            <w:shd w:val="clear" w:color="auto" w:fill="auto"/>
            <w:hideMark/>
          </w:tcPr>
          <w:p w14:paraId="3638879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Degradation and ultimate collapse of large mounds composed of peat</w:t>
            </w:r>
          </w:p>
        </w:tc>
      </w:tr>
      <w:tr w:rsidR="0044478E" w:rsidRPr="00747E35" w14:paraId="74D1A119" w14:textId="77777777" w:rsidTr="0044478E">
        <w:trPr>
          <w:trHeight w:val="20"/>
        </w:trPr>
        <w:tc>
          <w:tcPr>
            <w:tcW w:w="9214" w:type="dxa"/>
            <w:gridSpan w:val="2"/>
            <w:tcBorders>
              <w:top w:val="single" w:sz="4" w:space="0" w:color="auto"/>
              <w:bottom w:val="single" w:sz="4" w:space="0" w:color="D9D9D9" w:themeColor="background1" w:themeShade="D9"/>
            </w:tcBorders>
            <w:shd w:val="clear" w:color="auto" w:fill="auto"/>
          </w:tcPr>
          <w:p w14:paraId="26F08957" w14:textId="77777777" w:rsidR="0044478E" w:rsidRPr="00747E35" w:rsidRDefault="0044478E" w:rsidP="0044478E">
            <w:pPr>
              <w:pStyle w:val="Tabletext"/>
              <w:spacing w:before="0" w:after="0"/>
              <w:rPr>
                <w:rFonts w:cstheme="minorHAnsi"/>
                <w:b/>
                <w:lang w:eastAsia="en-AU"/>
              </w:rPr>
            </w:pPr>
            <w:r w:rsidRPr="00747E35">
              <w:rPr>
                <w:rFonts w:cstheme="minorHAnsi"/>
                <w:b/>
                <w:lang w:eastAsia="en-AU"/>
              </w:rPr>
              <w:t>Human modification of springs (</w:t>
            </w:r>
            <w:r w:rsidRPr="00747E35">
              <w:rPr>
                <w:rFonts w:cstheme="minorHAnsi"/>
                <w:b/>
                <w:i/>
                <w:lang w:eastAsia="en-AU"/>
              </w:rPr>
              <w:t>Press disturbance</w:t>
            </w:r>
            <w:r w:rsidRPr="00747E35">
              <w:rPr>
                <w:rFonts w:cstheme="minorHAnsi"/>
                <w:b/>
                <w:lang w:eastAsia="en-AU"/>
              </w:rPr>
              <w:t>)</w:t>
            </w:r>
          </w:p>
        </w:tc>
      </w:tr>
      <w:tr w:rsidR="0044478E" w:rsidRPr="00747E35" w14:paraId="549DE1F4" w14:textId="77777777" w:rsidTr="0044478E">
        <w:trPr>
          <w:trHeight w:val="20"/>
        </w:trPr>
        <w:tc>
          <w:tcPr>
            <w:tcW w:w="3969" w:type="dxa"/>
            <w:vMerge w:val="restart"/>
            <w:tcBorders>
              <w:top w:val="single" w:sz="4" w:space="0" w:color="D9D9D9" w:themeColor="background1" w:themeShade="D9"/>
            </w:tcBorders>
            <w:shd w:val="clear" w:color="auto" w:fill="auto"/>
            <w:hideMark/>
          </w:tcPr>
          <w:p w14:paraId="291E3BC3"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Excavation to increase size &amp; permanence of waterbodies (i.e. for human / stock water use) and associated disturbance within and surrounding spring wetland</w:t>
            </w:r>
          </w:p>
        </w:tc>
        <w:tc>
          <w:tcPr>
            <w:tcW w:w="5245" w:type="dxa"/>
            <w:tcBorders>
              <w:top w:val="single" w:sz="4" w:space="0" w:color="D9D9D9" w:themeColor="background1" w:themeShade="D9"/>
            </w:tcBorders>
            <w:shd w:val="clear" w:color="auto" w:fill="auto"/>
            <w:hideMark/>
          </w:tcPr>
          <w:p w14:paraId="07E76F1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Increased seasonal persistence, extent, and depth of aquatic habitat, favouring a sub-set of species</w:t>
            </w:r>
          </w:p>
        </w:tc>
      </w:tr>
      <w:tr w:rsidR="0044478E" w:rsidRPr="00747E35" w14:paraId="2A718C3E" w14:textId="77777777" w:rsidTr="0044478E">
        <w:trPr>
          <w:trHeight w:val="20"/>
        </w:trPr>
        <w:tc>
          <w:tcPr>
            <w:tcW w:w="3969" w:type="dxa"/>
            <w:vMerge/>
            <w:shd w:val="clear" w:color="auto" w:fill="auto"/>
            <w:hideMark/>
          </w:tcPr>
          <w:p w14:paraId="47F23F9B" w14:textId="77777777" w:rsidR="0044478E" w:rsidRPr="00747E35" w:rsidRDefault="0044478E" w:rsidP="0044478E">
            <w:pPr>
              <w:pStyle w:val="Tabletext"/>
              <w:spacing w:before="0" w:after="0"/>
              <w:rPr>
                <w:rFonts w:cstheme="minorHAnsi"/>
                <w:lang w:eastAsia="en-AU"/>
              </w:rPr>
            </w:pPr>
          </w:p>
        </w:tc>
        <w:tc>
          <w:tcPr>
            <w:tcW w:w="5245" w:type="dxa"/>
            <w:shd w:val="clear" w:color="auto" w:fill="auto"/>
            <w:hideMark/>
          </w:tcPr>
          <w:p w14:paraId="337F01B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Direct removal/stranding of plants &amp; animals</w:t>
            </w:r>
          </w:p>
        </w:tc>
      </w:tr>
      <w:tr w:rsidR="0044478E" w:rsidRPr="00747E35" w14:paraId="6EC2FDBF" w14:textId="77777777" w:rsidTr="0044478E">
        <w:trPr>
          <w:trHeight w:val="20"/>
        </w:trPr>
        <w:tc>
          <w:tcPr>
            <w:tcW w:w="3969" w:type="dxa"/>
            <w:vMerge/>
            <w:tcBorders>
              <w:bottom w:val="single" w:sz="4" w:space="0" w:color="D9D9D9" w:themeColor="background1" w:themeShade="D9"/>
            </w:tcBorders>
            <w:shd w:val="clear" w:color="auto" w:fill="auto"/>
            <w:hideMark/>
          </w:tcPr>
          <w:p w14:paraId="611DFA4B" w14:textId="77777777" w:rsidR="0044478E" w:rsidRPr="00747E35" w:rsidRDefault="0044478E" w:rsidP="0044478E">
            <w:pPr>
              <w:pStyle w:val="Tabletext"/>
              <w:spacing w:before="0" w:after="0"/>
              <w:rPr>
                <w:rFonts w:cstheme="minorHAnsi"/>
                <w:lang w:eastAsia="en-AU"/>
              </w:rPr>
            </w:pPr>
          </w:p>
        </w:tc>
        <w:tc>
          <w:tcPr>
            <w:tcW w:w="5245" w:type="dxa"/>
            <w:tcBorders>
              <w:bottom w:val="single" w:sz="4" w:space="0" w:color="D9D9D9" w:themeColor="background1" w:themeShade="D9"/>
            </w:tcBorders>
            <w:shd w:val="clear" w:color="auto" w:fill="auto"/>
            <w:hideMark/>
          </w:tcPr>
          <w:p w14:paraId="5617EBE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Increase turbidity &amp; other negative WQ changes</w:t>
            </w:r>
          </w:p>
        </w:tc>
      </w:tr>
      <w:tr w:rsidR="0044478E" w:rsidRPr="00747E35" w14:paraId="42444B8D" w14:textId="77777777" w:rsidTr="0044478E">
        <w:trPr>
          <w:trHeight w:val="20"/>
        </w:trPr>
        <w:tc>
          <w:tcPr>
            <w:tcW w:w="3969" w:type="dxa"/>
            <w:vMerge w:val="restart"/>
            <w:tcBorders>
              <w:top w:val="single" w:sz="4" w:space="0" w:color="D9D9D9" w:themeColor="background1" w:themeShade="D9"/>
            </w:tcBorders>
            <w:shd w:val="clear" w:color="auto" w:fill="auto"/>
            <w:hideMark/>
          </w:tcPr>
          <w:p w14:paraId="498D84F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Construction of raised concrete structures that limit surface flow (i.e. box bores)</w:t>
            </w:r>
          </w:p>
        </w:tc>
        <w:tc>
          <w:tcPr>
            <w:tcW w:w="5245" w:type="dxa"/>
            <w:tcBorders>
              <w:top w:val="single" w:sz="4" w:space="0" w:color="D9D9D9" w:themeColor="background1" w:themeShade="D9"/>
            </w:tcBorders>
            <w:shd w:val="clear" w:color="auto" w:fill="auto"/>
            <w:hideMark/>
          </w:tcPr>
          <w:p w14:paraId="5533E0CF"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Increased depth &amp; complete change in aquatic habitat structure</w:t>
            </w:r>
          </w:p>
        </w:tc>
      </w:tr>
      <w:tr w:rsidR="0044478E" w:rsidRPr="00747E35" w14:paraId="06C898A9" w14:textId="77777777" w:rsidTr="0044478E">
        <w:trPr>
          <w:trHeight w:val="20"/>
        </w:trPr>
        <w:tc>
          <w:tcPr>
            <w:tcW w:w="3969" w:type="dxa"/>
            <w:vMerge/>
            <w:shd w:val="clear" w:color="auto" w:fill="auto"/>
            <w:hideMark/>
          </w:tcPr>
          <w:p w14:paraId="51133EB5" w14:textId="77777777" w:rsidR="0044478E" w:rsidRPr="00747E35" w:rsidRDefault="0044478E" w:rsidP="0044478E">
            <w:pPr>
              <w:pStyle w:val="Tabletext"/>
              <w:spacing w:before="0" w:after="0"/>
              <w:rPr>
                <w:rFonts w:cstheme="minorHAnsi"/>
                <w:lang w:eastAsia="en-AU"/>
              </w:rPr>
            </w:pPr>
          </w:p>
        </w:tc>
        <w:tc>
          <w:tcPr>
            <w:tcW w:w="5245" w:type="dxa"/>
            <w:shd w:val="clear" w:color="auto" w:fill="auto"/>
            <w:hideMark/>
          </w:tcPr>
          <w:p w14:paraId="6A59817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Direct removal/stranding of plants &amp; animals</w:t>
            </w:r>
          </w:p>
        </w:tc>
      </w:tr>
      <w:tr w:rsidR="0044478E" w:rsidRPr="00747E35" w14:paraId="1A70AA05" w14:textId="77777777" w:rsidTr="0044478E">
        <w:trPr>
          <w:trHeight w:val="20"/>
        </w:trPr>
        <w:tc>
          <w:tcPr>
            <w:tcW w:w="3969" w:type="dxa"/>
            <w:vMerge/>
            <w:tcBorders>
              <w:bottom w:val="single" w:sz="4" w:space="0" w:color="D9D9D9" w:themeColor="background1" w:themeShade="D9"/>
            </w:tcBorders>
            <w:shd w:val="clear" w:color="auto" w:fill="auto"/>
            <w:hideMark/>
          </w:tcPr>
          <w:p w14:paraId="58954A7C" w14:textId="77777777" w:rsidR="0044478E" w:rsidRPr="00747E35" w:rsidRDefault="0044478E" w:rsidP="0044478E">
            <w:pPr>
              <w:pStyle w:val="Tabletext"/>
              <w:spacing w:before="0" w:after="0"/>
              <w:rPr>
                <w:rFonts w:cstheme="minorHAnsi"/>
                <w:lang w:eastAsia="en-AU"/>
              </w:rPr>
            </w:pPr>
          </w:p>
        </w:tc>
        <w:tc>
          <w:tcPr>
            <w:tcW w:w="5245" w:type="dxa"/>
            <w:tcBorders>
              <w:bottom w:val="single" w:sz="4" w:space="0" w:color="D9D9D9" w:themeColor="background1" w:themeShade="D9"/>
            </w:tcBorders>
            <w:shd w:val="clear" w:color="auto" w:fill="auto"/>
            <w:hideMark/>
          </w:tcPr>
          <w:p w14:paraId="72574EA3"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Increase turbidity &amp; other negative WQ changes</w:t>
            </w:r>
          </w:p>
        </w:tc>
      </w:tr>
      <w:tr w:rsidR="0044478E" w:rsidRPr="00747E35" w14:paraId="2A2F701B" w14:textId="77777777" w:rsidTr="0044478E">
        <w:trPr>
          <w:trHeight w:val="20"/>
        </w:trPr>
        <w:tc>
          <w:tcPr>
            <w:tcW w:w="3969" w:type="dxa"/>
            <w:tcBorders>
              <w:top w:val="single" w:sz="4" w:space="0" w:color="D9D9D9" w:themeColor="background1" w:themeShade="D9"/>
              <w:bottom w:val="single" w:sz="4" w:space="0" w:color="D9D9D9" w:themeColor="background1" w:themeShade="D9"/>
            </w:tcBorders>
            <w:shd w:val="clear" w:color="auto" w:fill="auto"/>
            <w:hideMark/>
          </w:tcPr>
          <w:p w14:paraId="6F373D6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Inundation/impoundment (damming)</w:t>
            </w:r>
          </w:p>
        </w:tc>
        <w:tc>
          <w:tcPr>
            <w:tcW w:w="5245" w:type="dxa"/>
            <w:tcBorders>
              <w:top w:val="single" w:sz="4" w:space="0" w:color="D9D9D9" w:themeColor="background1" w:themeShade="D9"/>
              <w:bottom w:val="single" w:sz="4" w:space="0" w:color="D9D9D9" w:themeColor="background1" w:themeShade="D9"/>
            </w:tcBorders>
            <w:shd w:val="clear" w:color="auto" w:fill="auto"/>
            <w:hideMark/>
          </w:tcPr>
          <w:p w14:paraId="353AC1F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xml:space="preserve">Major transformation of spring habitat </w:t>
            </w:r>
          </w:p>
        </w:tc>
      </w:tr>
      <w:tr w:rsidR="0044478E" w:rsidRPr="00747E35" w14:paraId="345239D1" w14:textId="77777777" w:rsidTr="0044478E">
        <w:trPr>
          <w:trHeight w:val="20"/>
        </w:trPr>
        <w:tc>
          <w:tcPr>
            <w:tcW w:w="3969" w:type="dxa"/>
            <w:tcBorders>
              <w:top w:val="single" w:sz="4" w:space="0" w:color="D9D9D9" w:themeColor="background1" w:themeShade="D9"/>
              <w:bottom w:val="single" w:sz="4" w:space="0" w:color="D9D9D9" w:themeColor="background1" w:themeShade="D9"/>
            </w:tcBorders>
            <w:shd w:val="clear" w:color="auto" w:fill="auto"/>
            <w:hideMark/>
          </w:tcPr>
          <w:p w14:paraId="78EC73B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Physical modifications (i.e. troughing, infilling)</w:t>
            </w:r>
          </w:p>
        </w:tc>
        <w:tc>
          <w:tcPr>
            <w:tcW w:w="5245" w:type="dxa"/>
            <w:tcBorders>
              <w:top w:val="single" w:sz="4" w:space="0" w:color="D9D9D9" w:themeColor="background1" w:themeShade="D9"/>
              <w:bottom w:val="single" w:sz="4" w:space="0" w:color="D9D9D9" w:themeColor="background1" w:themeShade="D9"/>
            </w:tcBorders>
            <w:shd w:val="clear" w:color="auto" w:fill="auto"/>
            <w:hideMark/>
          </w:tcPr>
          <w:p w14:paraId="221FAD9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Drying of aquatic habitat, reductions in soil moisture, change in mound structure, exposure/desiccation of aquatic fauna</w:t>
            </w:r>
          </w:p>
        </w:tc>
      </w:tr>
      <w:tr w:rsidR="0044478E" w:rsidRPr="00747E35" w14:paraId="51745345" w14:textId="77777777" w:rsidTr="0044478E">
        <w:trPr>
          <w:trHeight w:val="20"/>
        </w:trPr>
        <w:tc>
          <w:tcPr>
            <w:tcW w:w="3969" w:type="dxa"/>
            <w:tcBorders>
              <w:top w:val="single" w:sz="4" w:space="0" w:color="D9D9D9" w:themeColor="background1" w:themeShade="D9"/>
              <w:bottom w:val="single" w:sz="4" w:space="0" w:color="auto"/>
            </w:tcBorders>
            <w:shd w:val="clear" w:color="auto" w:fill="auto"/>
            <w:hideMark/>
          </w:tcPr>
          <w:p w14:paraId="5180CBDC"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Tourist access</w:t>
            </w:r>
          </w:p>
        </w:tc>
        <w:tc>
          <w:tcPr>
            <w:tcW w:w="5245" w:type="dxa"/>
            <w:tcBorders>
              <w:top w:val="single" w:sz="4" w:space="0" w:color="D9D9D9" w:themeColor="background1" w:themeShade="D9"/>
              <w:bottom w:val="single" w:sz="4" w:space="0" w:color="auto"/>
            </w:tcBorders>
            <w:shd w:val="clear" w:color="auto" w:fill="auto"/>
            <w:hideMark/>
          </w:tcPr>
          <w:p w14:paraId="551994F5" w14:textId="601E2B65" w:rsidR="0044478E" w:rsidRPr="00747E35" w:rsidRDefault="0044478E" w:rsidP="001737C6">
            <w:pPr>
              <w:pStyle w:val="Tabletext"/>
              <w:spacing w:before="0" w:after="0"/>
              <w:rPr>
                <w:rFonts w:cstheme="minorHAnsi"/>
                <w:lang w:eastAsia="en-AU"/>
              </w:rPr>
            </w:pPr>
            <w:r w:rsidRPr="00747E35">
              <w:rPr>
                <w:rFonts w:cstheme="minorHAnsi"/>
                <w:lang w:eastAsia="en-AU"/>
              </w:rPr>
              <w:t>Trampling, nutrient addition, physical removal (e.g. plant specimens), introduction of invasive flora, fauna</w:t>
            </w:r>
            <w:r w:rsidR="001737C6">
              <w:rPr>
                <w:rFonts w:cstheme="minorHAnsi"/>
                <w:lang w:eastAsia="en-AU"/>
              </w:rPr>
              <w:t xml:space="preserve"> and</w:t>
            </w:r>
            <w:r w:rsidRPr="00747E35">
              <w:rPr>
                <w:rFonts w:cstheme="minorHAnsi"/>
                <w:lang w:eastAsia="en-AU"/>
              </w:rPr>
              <w:t xml:space="preserve"> pathogens</w:t>
            </w:r>
          </w:p>
        </w:tc>
      </w:tr>
      <w:tr w:rsidR="0044478E" w:rsidRPr="00747E35" w14:paraId="262FF2C4" w14:textId="77777777" w:rsidTr="0044478E">
        <w:trPr>
          <w:trHeight w:val="20"/>
        </w:trPr>
        <w:tc>
          <w:tcPr>
            <w:tcW w:w="9214" w:type="dxa"/>
            <w:gridSpan w:val="2"/>
            <w:tcBorders>
              <w:top w:val="single" w:sz="4" w:space="0" w:color="auto"/>
              <w:bottom w:val="single" w:sz="4" w:space="0" w:color="D9D9D9" w:themeColor="background1" w:themeShade="D9"/>
            </w:tcBorders>
            <w:shd w:val="clear" w:color="auto" w:fill="auto"/>
            <w:hideMark/>
          </w:tcPr>
          <w:p w14:paraId="76AB56DA" w14:textId="77777777" w:rsidR="0044478E" w:rsidRPr="00747E35" w:rsidRDefault="0044478E" w:rsidP="0044478E">
            <w:pPr>
              <w:pStyle w:val="Tabletext"/>
              <w:spacing w:before="0" w:after="0"/>
              <w:rPr>
                <w:rFonts w:cstheme="minorHAnsi"/>
                <w:b/>
                <w:lang w:eastAsia="en-AU"/>
              </w:rPr>
            </w:pPr>
            <w:r w:rsidRPr="00747E35">
              <w:rPr>
                <w:rFonts w:cstheme="minorHAnsi"/>
                <w:b/>
                <w:lang w:eastAsia="en-AU"/>
              </w:rPr>
              <w:t>Disturbance from livestock and feral animals (e.g. cattle, pigs, sheep, goats, camels) (</w:t>
            </w:r>
            <w:r w:rsidRPr="00747E35">
              <w:rPr>
                <w:rFonts w:cstheme="minorHAnsi"/>
                <w:b/>
                <w:i/>
                <w:lang w:eastAsia="en-AU"/>
              </w:rPr>
              <w:t>Pulse or Ramp disturbance</w:t>
            </w:r>
            <w:r w:rsidRPr="00747E35">
              <w:rPr>
                <w:rFonts w:cstheme="minorHAnsi"/>
                <w:b/>
                <w:lang w:eastAsia="en-AU"/>
              </w:rPr>
              <w:t>)</w:t>
            </w:r>
          </w:p>
        </w:tc>
      </w:tr>
      <w:tr w:rsidR="0044478E" w:rsidRPr="00747E35" w14:paraId="46C9A3F0" w14:textId="77777777" w:rsidTr="0044478E">
        <w:trPr>
          <w:trHeight w:val="20"/>
        </w:trPr>
        <w:tc>
          <w:tcPr>
            <w:tcW w:w="3969" w:type="dxa"/>
            <w:vMerge w:val="restart"/>
            <w:tcBorders>
              <w:top w:val="single" w:sz="4" w:space="0" w:color="D9D9D9" w:themeColor="background1" w:themeShade="D9"/>
            </w:tcBorders>
            <w:shd w:val="clear" w:color="auto" w:fill="auto"/>
            <w:hideMark/>
          </w:tcPr>
          <w:p w14:paraId="18810F9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Trampling, rooting, browsing</w:t>
            </w:r>
          </w:p>
        </w:tc>
        <w:tc>
          <w:tcPr>
            <w:tcW w:w="5245" w:type="dxa"/>
            <w:tcBorders>
              <w:top w:val="single" w:sz="4" w:space="0" w:color="D9D9D9" w:themeColor="background1" w:themeShade="D9"/>
            </w:tcBorders>
            <w:shd w:val="clear" w:color="auto" w:fill="auto"/>
            <w:hideMark/>
          </w:tcPr>
          <w:p w14:paraId="2A3ED04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Suspension of sediments leading to elevated turbidity and reduced primary production</w:t>
            </w:r>
          </w:p>
        </w:tc>
      </w:tr>
      <w:tr w:rsidR="0044478E" w:rsidRPr="00747E35" w14:paraId="77438683" w14:textId="77777777" w:rsidTr="0044478E">
        <w:trPr>
          <w:trHeight w:val="20"/>
        </w:trPr>
        <w:tc>
          <w:tcPr>
            <w:tcW w:w="3969" w:type="dxa"/>
            <w:vMerge/>
            <w:shd w:val="clear" w:color="auto" w:fill="auto"/>
            <w:hideMark/>
          </w:tcPr>
          <w:p w14:paraId="40A30E19" w14:textId="77777777" w:rsidR="0044478E" w:rsidRPr="00747E35" w:rsidRDefault="0044478E" w:rsidP="0044478E">
            <w:pPr>
              <w:pStyle w:val="Tabletext"/>
              <w:spacing w:before="0" w:after="0"/>
              <w:rPr>
                <w:rFonts w:cstheme="minorHAnsi"/>
                <w:lang w:eastAsia="en-AU"/>
              </w:rPr>
            </w:pPr>
          </w:p>
        </w:tc>
        <w:tc>
          <w:tcPr>
            <w:tcW w:w="5245" w:type="dxa"/>
            <w:shd w:val="clear" w:color="auto" w:fill="auto"/>
            <w:hideMark/>
          </w:tcPr>
          <w:p w14:paraId="4A609BBD"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Direct damage to nests and all life stages of aquatic fauna (eggs/juveniles/adults)</w:t>
            </w:r>
          </w:p>
        </w:tc>
      </w:tr>
      <w:tr w:rsidR="0044478E" w:rsidRPr="00747E35" w14:paraId="124F92DB" w14:textId="77777777" w:rsidTr="0044478E">
        <w:trPr>
          <w:trHeight w:val="20"/>
        </w:trPr>
        <w:tc>
          <w:tcPr>
            <w:tcW w:w="3969" w:type="dxa"/>
            <w:vMerge/>
            <w:shd w:val="clear" w:color="auto" w:fill="auto"/>
            <w:hideMark/>
          </w:tcPr>
          <w:p w14:paraId="748C3C28" w14:textId="77777777" w:rsidR="0044478E" w:rsidRPr="00747E35" w:rsidRDefault="0044478E" w:rsidP="0044478E">
            <w:pPr>
              <w:pStyle w:val="Tabletext"/>
              <w:spacing w:before="0" w:after="0"/>
              <w:rPr>
                <w:rFonts w:cstheme="minorHAnsi"/>
                <w:lang w:eastAsia="en-AU"/>
              </w:rPr>
            </w:pPr>
          </w:p>
        </w:tc>
        <w:tc>
          <w:tcPr>
            <w:tcW w:w="5245" w:type="dxa"/>
            <w:shd w:val="clear" w:color="auto" w:fill="auto"/>
            <w:hideMark/>
          </w:tcPr>
          <w:p w14:paraId="42ECD26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Accelerated soil erosion on land and in riparian zone leading to increased sedimentation of aquatic habitats, reduced water depth and/or destruction of mound spring structure</w:t>
            </w:r>
          </w:p>
        </w:tc>
      </w:tr>
      <w:tr w:rsidR="0044478E" w:rsidRPr="00747E35" w14:paraId="06199607" w14:textId="77777777" w:rsidTr="0044478E">
        <w:trPr>
          <w:trHeight w:val="20"/>
        </w:trPr>
        <w:tc>
          <w:tcPr>
            <w:tcW w:w="3969" w:type="dxa"/>
            <w:vMerge/>
            <w:shd w:val="clear" w:color="auto" w:fill="auto"/>
            <w:hideMark/>
          </w:tcPr>
          <w:p w14:paraId="11C19734" w14:textId="77777777" w:rsidR="0044478E" w:rsidRPr="00747E35" w:rsidRDefault="0044478E" w:rsidP="0044478E">
            <w:pPr>
              <w:pStyle w:val="Tabletext"/>
              <w:spacing w:before="0" w:after="0"/>
              <w:rPr>
                <w:rFonts w:cstheme="minorHAnsi"/>
                <w:lang w:eastAsia="en-AU"/>
              </w:rPr>
            </w:pPr>
          </w:p>
        </w:tc>
        <w:tc>
          <w:tcPr>
            <w:tcW w:w="5245" w:type="dxa"/>
            <w:shd w:val="clear" w:color="auto" w:fill="auto"/>
            <w:hideMark/>
          </w:tcPr>
          <w:p w14:paraId="4AD26FD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xml:space="preserve">Direct damage to aquatic and riparian vegetation </w:t>
            </w:r>
          </w:p>
        </w:tc>
      </w:tr>
      <w:tr w:rsidR="0044478E" w:rsidRPr="00747E35" w14:paraId="47407923" w14:textId="77777777" w:rsidTr="0044478E">
        <w:trPr>
          <w:trHeight w:val="20"/>
        </w:trPr>
        <w:tc>
          <w:tcPr>
            <w:tcW w:w="3969" w:type="dxa"/>
            <w:vMerge/>
            <w:shd w:val="clear" w:color="auto" w:fill="auto"/>
            <w:hideMark/>
          </w:tcPr>
          <w:p w14:paraId="1E9D34E1" w14:textId="77777777" w:rsidR="0044478E" w:rsidRPr="00747E35" w:rsidRDefault="0044478E" w:rsidP="0044478E">
            <w:pPr>
              <w:pStyle w:val="Tabletext"/>
              <w:spacing w:before="0" w:after="0"/>
              <w:rPr>
                <w:rFonts w:cstheme="minorHAnsi"/>
                <w:lang w:eastAsia="en-AU"/>
              </w:rPr>
            </w:pPr>
          </w:p>
        </w:tc>
        <w:tc>
          <w:tcPr>
            <w:tcW w:w="5245" w:type="dxa"/>
            <w:shd w:val="clear" w:color="auto" w:fill="auto"/>
            <w:hideMark/>
          </w:tcPr>
          <w:p w14:paraId="10026745" w14:textId="6F3C3567" w:rsidR="0044478E" w:rsidRPr="00747E35" w:rsidRDefault="0044478E" w:rsidP="001737C6">
            <w:pPr>
              <w:pStyle w:val="Tabletext"/>
              <w:spacing w:before="0" w:after="0"/>
              <w:rPr>
                <w:rFonts w:cstheme="minorHAnsi"/>
                <w:lang w:eastAsia="en-AU"/>
              </w:rPr>
            </w:pPr>
            <w:r w:rsidRPr="00747E35">
              <w:rPr>
                <w:rFonts w:cstheme="minorHAnsi"/>
                <w:lang w:eastAsia="en-AU"/>
              </w:rPr>
              <w:t xml:space="preserve">Reduced abundance of native </w:t>
            </w:r>
            <w:r w:rsidR="001737C6" w:rsidRPr="001737C6">
              <w:rPr>
                <w:rFonts w:cstheme="minorHAnsi"/>
                <w:i/>
                <w:lang w:eastAsia="en-AU"/>
              </w:rPr>
              <w:t>P</w:t>
            </w:r>
            <w:r w:rsidRPr="001737C6">
              <w:rPr>
                <w:rFonts w:cstheme="minorHAnsi"/>
                <w:i/>
                <w:lang w:eastAsia="en-AU"/>
              </w:rPr>
              <w:t>hragmites</w:t>
            </w:r>
            <w:r w:rsidRPr="00747E35">
              <w:rPr>
                <w:rFonts w:cstheme="minorHAnsi"/>
                <w:lang w:eastAsia="en-AU"/>
              </w:rPr>
              <w:t xml:space="preserve"> and hence favours increases in other plants (through reduced competition for light/space)</w:t>
            </w:r>
          </w:p>
        </w:tc>
      </w:tr>
      <w:tr w:rsidR="0044478E" w:rsidRPr="00747E35" w14:paraId="1A24290D" w14:textId="77777777" w:rsidTr="0044478E">
        <w:trPr>
          <w:trHeight w:val="20"/>
        </w:trPr>
        <w:tc>
          <w:tcPr>
            <w:tcW w:w="3969" w:type="dxa"/>
            <w:vMerge/>
            <w:shd w:val="clear" w:color="auto" w:fill="auto"/>
            <w:hideMark/>
          </w:tcPr>
          <w:p w14:paraId="0F7420F7" w14:textId="77777777" w:rsidR="0044478E" w:rsidRPr="00747E35" w:rsidRDefault="0044478E" w:rsidP="0044478E">
            <w:pPr>
              <w:pStyle w:val="Tabletext"/>
              <w:spacing w:before="0" w:after="0"/>
              <w:rPr>
                <w:rFonts w:cstheme="minorHAnsi"/>
                <w:lang w:eastAsia="en-AU"/>
              </w:rPr>
            </w:pPr>
          </w:p>
        </w:tc>
        <w:tc>
          <w:tcPr>
            <w:tcW w:w="5245" w:type="dxa"/>
            <w:shd w:val="clear" w:color="auto" w:fill="auto"/>
            <w:hideMark/>
          </w:tcPr>
          <w:p w14:paraId="752150C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Cascading negative consequences include major changes in spring structure/depth/extent</w:t>
            </w:r>
          </w:p>
        </w:tc>
      </w:tr>
      <w:tr w:rsidR="0044478E" w:rsidRPr="00747E35" w14:paraId="69BA7A62" w14:textId="77777777" w:rsidTr="0044478E">
        <w:trPr>
          <w:trHeight w:val="20"/>
        </w:trPr>
        <w:tc>
          <w:tcPr>
            <w:tcW w:w="3969" w:type="dxa"/>
            <w:vMerge/>
            <w:shd w:val="clear" w:color="auto" w:fill="auto"/>
            <w:hideMark/>
          </w:tcPr>
          <w:p w14:paraId="784793E3" w14:textId="77777777" w:rsidR="0044478E" w:rsidRPr="00747E35" w:rsidRDefault="0044478E" w:rsidP="0044478E">
            <w:pPr>
              <w:pStyle w:val="Tabletext"/>
              <w:spacing w:before="0" w:after="0"/>
              <w:rPr>
                <w:rFonts w:cstheme="minorHAnsi"/>
                <w:lang w:eastAsia="en-AU"/>
              </w:rPr>
            </w:pPr>
          </w:p>
        </w:tc>
        <w:tc>
          <w:tcPr>
            <w:tcW w:w="5245" w:type="dxa"/>
            <w:shd w:val="clear" w:color="auto" w:fill="auto"/>
            <w:hideMark/>
          </w:tcPr>
          <w:p w14:paraId="6D01663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Reductions in food resources for aquatic fauna via loss of aquatic and riparian vegetation that are substrates for algae and provide organic detritus</w:t>
            </w:r>
          </w:p>
        </w:tc>
      </w:tr>
      <w:tr w:rsidR="0044478E" w:rsidRPr="00747E35" w14:paraId="14B0A2AA" w14:textId="77777777" w:rsidTr="0044478E">
        <w:trPr>
          <w:trHeight w:val="20"/>
        </w:trPr>
        <w:tc>
          <w:tcPr>
            <w:tcW w:w="3969" w:type="dxa"/>
            <w:vMerge/>
            <w:tcBorders>
              <w:bottom w:val="single" w:sz="4" w:space="0" w:color="D9D9D9" w:themeColor="background1" w:themeShade="D9"/>
            </w:tcBorders>
            <w:shd w:val="clear" w:color="auto" w:fill="auto"/>
            <w:hideMark/>
          </w:tcPr>
          <w:p w14:paraId="31F5E2EF" w14:textId="77777777" w:rsidR="0044478E" w:rsidRPr="00747E35" w:rsidRDefault="0044478E" w:rsidP="0044478E">
            <w:pPr>
              <w:pStyle w:val="Tabletext"/>
              <w:spacing w:before="0" w:after="0"/>
              <w:rPr>
                <w:rFonts w:cstheme="minorHAnsi"/>
                <w:lang w:eastAsia="en-AU"/>
              </w:rPr>
            </w:pPr>
          </w:p>
        </w:tc>
        <w:tc>
          <w:tcPr>
            <w:tcW w:w="5245" w:type="dxa"/>
            <w:tcBorders>
              <w:bottom w:val="single" w:sz="4" w:space="0" w:color="D9D9D9" w:themeColor="background1" w:themeShade="D9"/>
            </w:tcBorders>
            <w:shd w:val="clear" w:color="auto" w:fill="auto"/>
            <w:hideMark/>
          </w:tcPr>
          <w:p w14:paraId="410FC2C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Loss of habitat structure for aquatic fauna (i.e. refuge, foraging, growth, attachment substrate) via loss of aquatic and semi-aquatic vegetation</w:t>
            </w:r>
          </w:p>
        </w:tc>
      </w:tr>
      <w:tr w:rsidR="0044478E" w:rsidRPr="00747E35" w14:paraId="70F155B9" w14:textId="77777777" w:rsidTr="0044478E">
        <w:trPr>
          <w:trHeight w:val="20"/>
        </w:trPr>
        <w:tc>
          <w:tcPr>
            <w:tcW w:w="3969" w:type="dxa"/>
            <w:tcBorders>
              <w:top w:val="single" w:sz="4" w:space="0" w:color="D9D9D9" w:themeColor="background1" w:themeShade="D9"/>
              <w:bottom w:val="single" w:sz="4" w:space="0" w:color="D9D9D9" w:themeColor="background1" w:themeShade="D9"/>
            </w:tcBorders>
            <w:shd w:val="clear" w:color="auto" w:fill="auto"/>
            <w:hideMark/>
          </w:tcPr>
          <w:p w14:paraId="575D211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Defecating &amp; Urinating</w:t>
            </w:r>
          </w:p>
        </w:tc>
        <w:tc>
          <w:tcPr>
            <w:tcW w:w="5245" w:type="dxa"/>
            <w:tcBorders>
              <w:top w:val="single" w:sz="4" w:space="0" w:color="D9D9D9" w:themeColor="background1" w:themeShade="D9"/>
              <w:bottom w:val="single" w:sz="4" w:space="0" w:color="D9D9D9" w:themeColor="background1" w:themeShade="D9"/>
            </w:tcBorders>
            <w:shd w:val="clear" w:color="auto" w:fill="auto"/>
            <w:hideMark/>
          </w:tcPr>
          <w:p w14:paraId="2ACB0DD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Addition of fine particulate organic matter leading to smothering of benthic aquatic habitat</w:t>
            </w:r>
          </w:p>
          <w:p w14:paraId="4ADF3B43"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Nutrient enrichment and increased unpalatable algal growth (e.g. filamentous algae)</w:t>
            </w:r>
          </w:p>
        </w:tc>
      </w:tr>
      <w:tr w:rsidR="0044478E" w:rsidRPr="00747E35" w14:paraId="4863E246" w14:textId="77777777" w:rsidTr="0044478E">
        <w:trPr>
          <w:trHeight w:val="20"/>
        </w:trPr>
        <w:tc>
          <w:tcPr>
            <w:tcW w:w="9214" w:type="dxa"/>
            <w:gridSpan w:val="2"/>
            <w:tcBorders>
              <w:top w:val="single" w:sz="4" w:space="0" w:color="auto"/>
              <w:bottom w:val="single" w:sz="4" w:space="0" w:color="D9D9D9" w:themeColor="background1" w:themeShade="D9"/>
            </w:tcBorders>
            <w:shd w:val="clear" w:color="auto" w:fill="auto"/>
            <w:hideMark/>
          </w:tcPr>
          <w:p w14:paraId="757298FC" w14:textId="68D56BBD" w:rsidR="0044478E" w:rsidRPr="00747E35" w:rsidRDefault="0044478E" w:rsidP="001737C6">
            <w:pPr>
              <w:pStyle w:val="Tabletext"/>
              <w:spacing w:before="0" w:after="0"/>
              <w:rPr>
                <w:rFonts w:cstheme="minorHAnsi"/>
                <w:b/>
                <w:lang w:eastAsia="en-AU"/>
              </w:rPr>
            </w:pPr>
            <w:r w:rsidRPr="00747E35">
              <w:rPr>
                <w:rFonts w:cstheme="minorHAnsi"/>
                <w:b/>
                <w:lang w:eastAsia="en-AU"/>
              </w:rPr>
              <w:t xml:space="preserve">Introduced aquatic flora (para grass, </w:t>
            </w:r>
            <w:r w:rsidR="001737C6" w:rsidRPr="001737C6">
              <w:rPr>
                <w:rFonts w:cstheme="minorHAnsi"/>
                <w:b/>
                <w:i/>
                <w:lang w:eastAsia="en-AU"/>
              </w:rPr>
              <w:t>H</w:t>
            </w:r>
            <w:r w:rsidRPr="001737C6">
              <w:rPr>
                <w:rFonts w:cstheme="minorHAnsi"/>
                <w:b/>
                <w:i/>
                <w:lang w:eastAsia="en-AU"/>
              </w:rPr>
              <w:t>ymenachne</w:t>
            </w:r>
            <w:r w:rsidRPr="00747E35">
              <w:rPr>
                <w:rFonts w:cstheme="minorHAnsi"/>
                <w:b/>
                <w:lang w:eastAsia="en-AU"/>
              </w:rPr>
              <w:t xml:space="preserve">, rubber vine, date palm, bamboo, </w:t>
            </w:r>
            <w:r w:rsidR="001737C6">
              <w:rPr>
                <w:rFonts w:cstheme="minorHAnsi"/>
                <w:b/>
                <w:lang w:eastAsia="en-AU"/>
              </w:rPr>
              <w:t>a</w:t>
            </w:r>
            <w:r w:rsidRPr="00747E35">
              <w:rPr>
                <w:rFonts w:cstheme="minorHAnsi"/>
                <w:b/>
                <w:lang w:eastAsia="en-AU"/>
              </w:rPr>
              <w:t>thel pine) (</w:t>
            </w:r>
            <w:r w:rsidRPr="00747E35">
              <w:rPr>
                <w:rFonts w:cstheme="minorHAnsi"/>
                <w:b/>
                <w:i/>
                <w:lang w:eastAsia="en-AU"/>
              </w:rPr>
              <w:t>Press disturbance</w:t>
            </w:r>
            <w:r w:rsidRPr="00747E35">
              <w:rPr>
                <w:rFonts w:cstheme="minorHAnsi"/>
                <w:b/>
                <w:lang w:eastAsia="en-AU"/>
              </w:rPr>
              <w:t>)</w:t>
            </w:r>
          </w:p>
        </w:tc>
      </w:tr>
      <w:tr w:rsidR="0044478E" w:rsidRPr="00747E35" w14:paraId="68FB0B4C" w14:textId="77777777" w:rsidTr="0044478E">
        <w:trPr>
          <w:trHeight w:val="20"/>
        </w:trPr>
        <w:tc>
          <w:tcPr>
            <w:tcW w:w="3969" w:type="dxa"/>
            <w:tcBorders>
              <w:top w:val="single" w:sz="4" w:space="0" w:color="D9D9D9" w:themeColor="background1" w:themeShade="D9"/>
              <w:bottom w:val="single" w:sz="4" w:space="0" w:color="D9D9D9" w:themeColor="background1" w:themeShade="D9"/>
            </w:tcBorders>
            <w:shd w:val="clear" w:color="auto" w:fill="auto"/>
            <w:hideMark/>
          </w:tcPr>
          <w:p w14:paraId="3AEC727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lastRenderedPageBreak/>
              <w:t>Shading due to riparian infestation or overgrowth (e.g. rubbervine, date palm, prickly acacia, bamboo)</w:t>
            </w:r>
          </w:p>
        </w:tc>
        <w:tc>
          <w:tcPr>
            <w:tcW w:w="5245" w:type="dxa"/>
            <w:tcBorders>
              <w:top w:val="single" w:sz="4" w:space="0" w:color="D9D9D9" w:themeColor="background1" w:themeShade="D9"/>
              <w:bottom w:val="single" w:sz="4" w:space="0" w:color="D9D9D9" w:themeColor="background1" w:themeShade="D9"/>
            </w:tcBorders>
            <w:shd w:val="clear" w:color="auto" w:fill="auto"/>
            <w:hideMark/>
          </w:tcPr>
          <w:p w14:paraId="1BF033AC"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Reduced light transmission into water column, curtailing photosynthesis and primary production (algae and native macrophytes)</w:t>
            </w:r>
          </w:p>
        </w:tc>
      </w:tr>
      <w:tr w:rsidR="0044478E" w:rsidRPr="00747E35" w14:paraId="15B9AC64" w14:textId="77777777" w:rsidTr="0044478E">
        <w:trPr>
          <w:trHeight w:val="20"/>
        </w:trPr>
        <w:tc>
          <w:tcPr>
            <w:tcW w:w="3969" w:type="dxa"/>
            <w:vMerge w:val="restart"/>
            <w:tcBorders>
              <w:top w:val="single" w:sz="4" w:space="0" w:color="D9D9D9" w:themeColor="background1" w:themeShade="D9"/>
            </w:tcBorders>
            <w:shd w:val="clear" w:color="auto" w:fill="auto"/>
            <w:hideMark/>
          </w:tcPr>
          <w:p w14:paraId="01ED5D32" w14:textId="4D605151" w:rsidR="0044478E" w:rsidRPr="00747E35" w:rsidRDefault="0044478E" w:rsidP="001737C6">
            <w:pPr>
              <w:pStyle w:val="Tabletext"/>
              <w:spacing w:before="0" w:after="0"/>
              <w:rPr>
                <w:rFonts w:cstheme="minorHAnsi"/>
                <w:lang w:eastAsia="en-AU"/>
              </w:rPr>
            </w:pPr>
            <w:r w:rsidRPr="00747E35">
              <w:rPr>
                <w:rFonts w:cstheme="minorHAnsi"/>
                <w:lang w:eastAsia="en-AU"/>
              </w:rPr>
              <w:t xml:space="preserve">Proliferation across waterbody &amp; margins (e.g. para grass, </w:t>
            </w:r>
            <w:r w:rsidR="001737C6" w:rsidRPr="001737C6">
              <w:rPr>
                <w:rFonts w:cstheme="minorHAnsi"/>
                <w:i/>
                <w:lang w:eastAsia="en-AU"/>
              </w:rPr>
              <w:t>H</w:t>
            </w:r>
            <w:r w:rsidRPr="001737C6">
              <w:rPr>
                <w:rFonts w:cstheme="minorHAnsi"/>
                <w:i/>
                <w:lang w:eastAsia="en-AU"/>
              </w:rPr>
              <w:t>ymenachne</w:t>
            </w:r>
            <w:r w:rsidRPr="00747E35">
              <w:rPr>
                <w:rFonts w:cstheme="minorHAnsi"/>
                <w:lang w:eastAsia="en-AU"/>
              </w:rPr>
              <w:t>, prickly acacia, and most other large plants)</w:t>
            </w:r>
          </w:p>
        </w:tc>
        <w:tc>
          <w:tcPr>
            <w:tcW w:w="5245" w:type="dxa"/>
            <w:tcBorders>
              <w:top w:val="single" w:sz="4" w:space="0" w:color="D9D9D9" w:themeColor="background1" w:themeShade="D9"/>
            </w:tcBorders>
            <w:shd w:val="clear" w:color="auto" w:fill="auto"/>
            <w:hideMark/>
          </w:tcPr>
          <w:p w14:paraId="0A1D00F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xml:space="preserve">Dense thickets monopolise space, light and nutrients leading to increased competition with native flora and </w:t>
            </w:r>
          </w:p>
        </w:tc>
      </w:tr>
      <w:tr w:rsidR="0044478E" w:rsidRPr="00747E35" w14:paraId="6EC420C3" w14:textId="77777777" w:rsidTr="0044478E">
        <w:trPr>
          <w:trHeight w:val="20"/>
        </w:trPr>
        <w:tc>
          <w:tcPr>
            <w:tcW w:w="3969" w:type="dxa"/>
            <w:vMerge/>
            <w:tcBorders>
              <w:bottom w:val="single" w:sz="4" w:space="0" w:color="D9D9D9" w:themeColor="background1" w:themeShade="D9"/>
            </w:tcBorders>
            <w:shd w:val="clear" w:color="auto" w:fill="auto"/>
            <w:hideMark/>
          </w:tcPr>
          <w:p w14:paraId="0F174174" w14:textId="77777777" w:rsidR="0044478E" w:rsidRPr="00747E35" w:rsidRDefault="0044478E" w:rsidP="0044478E">
            <w:pPr>
              <w:pStyle w:val="Tabletext"/>
              <w:spacing w:before="0" w:after="0"/>
              <w:rPr>
                <w:rFonts w:cstheme="minorHAnsi"/>
                <w:lang w:eastAsia="en-AU"/>
              </w:rPr>
            </w:pPr>
          </w:p>
        </w:tc>
        <w:tc>
          <w:tcPr>
            <w:tcW w:w="5245" w:type="dxa"/>
            <w:tcBorders>
              <w:bottom w:val="single" w:sz="4" w:space="0" w:color="D9D9D9" w:themeColor="background1" w:themeShade="D9"/>
            </w:tcBorders>
            <w:shd w:val="clear" w:color="auto" w:fill="auto"/>
            <w:hideMark/>
          </w:tcPr>
          <w:p w14:paraId="0A36AE29"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Habitat transformation (e.g. reduction in open water habitat) for aquatic fauna</w:t>
            </w:r>
          </w:p>
        </w:tc>
      </w:tr>
      <w:tr w:rsidR="0044478E" w:rsidRPr="00747E35" w14:paraId="6139153E" w14:textId="77777777" w:rsidTr="0044478E">
        <w:trPr>
          <w:trHeight w:val="20"/>
        </w:trPr>
        <w:tc>
          <w:tcPr>
            <w:tcW w:w="3969" w:type="dxa"/>
            <w:vMerge w:val="restart"/>
            <w:tcBorders>
              <w:top w:val="single" w:sz="4" w:space="0" w:color="D9D9D9" w:themeColor="background1" w:themeShade="D9"/>
            </w:tcBorders>
            <w:shd w:val="clear" w:color="auto" w:fill="auto"/>
            <w:hideMark/>
          </w:tcPr>
          <w:p w14:paraId="7529D46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Groundwater drawdown &amp; surface dewatering by large deep-rooted trees</w:t>
            </w:r>
          </w:p>
        </w:tc>
        <w:tc>
          <w:tcPr>
            <w:tcW w:w="5245" w:type="dxa"/>
            <w:tcBorders>
              <w:top w:val="single" w:sz="4" w:space="0" w:color="D9D9D9" w:themeColor="background1" w:themeShade="D9"/>
            </w:tcBorders>
            <w:shd w:val="clear" w:color="auto" w:fill="auto"/>
            <w:hideMark/>
          </w:tcPr>
          <w:p w14:paraId="60C784A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Loss of aquatic habitat for aquatic plants and fauna</w:t>
            </w:r>
          </w:p>
        </w:tc>
      </w:tr>
      <w:tr w:rsidR="0044478E" w:rsidRPr="00747E35" w14:paraId="0303A155" w14:textId="77777777" w:rsidTr="0044478E">
        <w:trPr>
          <w:trHeight w:val="20"/>
        </w:trPr>
        <w:tc>
          <w:tcPr>
            <w:tcW w:w="3969" w:type="dxa"/>
            <w:vMerge/>
            <w:tcBorders>
              <w:bottom w:val="single" w:sz="4" w:space="0" w:color="D9D9D9" w:themeColor="background1" w:themeShade="D9"/>
            </w:tcBorders>
            <w:shd w:val="clear" w:color="auto" w:fill="auto"/>
            <w:hideMark/>
          </w:tcPr>
          <w:p w14:paraId="65F0E129" w14:textId="77777777" w:rsidR="0044478E" w:rsidRPr="00747E35" w:rsidRDefault="0044478E" w:rsidP="0044478E">
            <w:pPr>
              <w:pStyle w:val="Tabletext"/>
              <w:spacing w:before="0" w:after="0"/>
              <w:rPr>
                <w:rFonts w:cstheme="minorHAnsi"/>
                <w:lang w:eastAsia="en-AU"/>
              </w:rPr>
            </w:pPr>
          </w:p>
        </w:tc>
        <w:tc>
          <w:tcPr>
            <w:tcW w:w="5245" w:type="dxa"/>
            <w:tcBorders>
              <w:bottom w:val="single" w:sz="4" w:space="0" w:color="D9D9D9" w:themeColor="background1" w:themeShade="D9"/>
            </w:tcBorders>
            <w:shd w:val="clear" w:color="auto" w:fill="auto"/>
            <w:hideMark/>
          </w:tcPr>
          <w:p w14:paraId="64FAC27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Reduction in soil moisture impact on semi-aquatic plants</w:t>
            </w:r>
          </w:p>
        </w:tc>
      </w:tr>
      <w:tr w:rsidR="0044478E" w:rsidRPr="00747E35" w14:paraId="3C9C0565" w14:textId="77777777" w:rsidTr="0044478E">
        <w:trPr>
          <w:trHeight w:val="20"/>
        </w:trPr>
        <w:tc>
          <w:tcPr>
            <w:tcW w:w="3969" w:type="dxa"/>
            <w:tcBorders>
              <w:top w:val="single" w:sz="4" w:space="0" w:color="D9D9D9" w:themeColor="background1" w:themeShade="D9"/>
              <w:bottom w:val="single" w:sz="4" w:space="0" w:color="auto"/>
            </w:tcBorders>
            <w:shd w:val="clear" w:color="auto" w:fill="auto"/>
            <w:hideMark/>
          </w:tcPr>
          <w:p w14:paraId="3D50F9A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Organic matter build-up from increased allochthonous inputs (e.g. leaves)</w:t>
            </w:r>
          </w:p>
        </w:tc>
        <w:tc>
          <w:tcPr>
            <w:tcW w:w="5245" w:type="dxa"/>
            <w:tcBorders>
              <w:top w:val="single" w:sz="4" w:space="0" w:color="D9D9D9" w:themeColor="background1" w:themeShade="D9"/>
              <w:bottom w:val="single" w:sz="4" w:space="0" w:color="auto"/>
            </w:tcBorders>
            <w:shd w:val="clear" w:color="auto" w:fill="auto"/>
            <w:hideMark/>
          </w:tcPr>
          <w:p w14:paraId="6685F88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Declines in water quality &amp; habitat availability for aquatic fauna</w:t>
            </w:r>
          </w:p>
        </w:tc>
      </w:tr>
      <w:tr w:rsidR="0044478E" w:rsidRPr="00747E35" w14:paraId="1D40A7F1" w14:textId="77777777" w:rsidTr="0044478E">
        <w:trPr>
          <w:trHeight w:val="20"/>
        </w:trPr>
        <w:tc>
          <w:tcPr>
            <w:tcW w:w="9214" w:type="dxa"/>
            <w:gridSpan w:val="2"/>
            <w:tcBorders>
              <w:top w:val="single" w:sz="4" w:space="0" w:color="auto"/>
              <w:bottom w:val="single" w:sz="4" w:space="0" w:color="D9D9D9" w:themeColor="background1" w:themeShade="D9"/>
            </w:tcBorders>
            <w:shd w:val="clear" w:color="auto" w:fill="auto"/>
            <w:hideMark/>
          </w:tcPr>
          <w:p w14:paraId="4887CFEE" w14:textId="45AA7420" w:rsidR="0044478E" w:rsidRPr="00747E35" w:rsidRDefault="0044478E" w:rsidP="001737C6">
            <w:pPr>
              <w:pStyle w:val="Tabletext"/>
              <w:spacing w:before="0" w:after="0"/>
              <w:rPr>
                <w:rFonts w:cstheme="minorHAnsi"/>
                <w:b/>
                <w:lang w:eastAsia="en-AU"/>
              </w:rPr>
            </w:pPr>
            <w:r w:rsidRPr="00747E35">
              <w:rPr>
                <w:rFonts w:cstheme="minorHAnsi"/>
                <w:b/>
                <w:lang w:eastAsia="en-AU"/>
              </w:rPr>
              <w:t xml:space="preserve">Introduced aquatic fauna (e.g. </w:t>
            </w:r>
            <w:r w:rsidR="001737C6">
              <w:rPr>
                <w:rFonts w:cstheme="minorHAnsi"/>
                <w:b/>
                <w:lang w:eastAsia="en-AU"/>
              </w:rPr>
              <w:t>c</w:t>
            </w:r>
            <w:r w:rsidRPr="00747E35">
              <w:rPr>
                <w:rFonts w:cstheme="minorHAnsi"/>
                <w:b/>
                <w:lang w:eastAsia="en-AU"/>
              </w:rPr>
              <w:t xml:space="preserve">ane toad, </w:t>
            </w:r>
            <w:r w:rsidR="001737C6">
              <w:rPr>
                <w:rFonts w:cstheme="minorHAnsi"/>
                <w:b/>
                <w:lang w:eastAsia="en-AU"/>
              </w:rPr>
              <w:t>r</w:t>
            </w:r>
            <w:r w:rsidRPr="00747E35">
              <w:rPr>
                <w:rFonts w:cstheme="minorHAnsi"/>
                <w:b/>
                <w:lang w:eastAsia="en-AU"/>
              </w:rPr>
              <w:t xml:space="preserve">ed-claw, </w:t>
            </w:r>
            <w:r w:rsidRPr="00747E35">
              <w:rPr>
                <w:rFonts w:cstheme="minorHAnsi"/>
                <w:b/>
                <w:i/>
                <w:lang w:eastAsia="en-AU"/>
              </w:rPr>
              <w:t>Gambusia</w:t>
            </w:r>
            <w:r w:rsidRPr="00747E35">
              <w:rPr>
                <w:rFonts w:cstheme="minorHAnsi"/>
                <w:b/>
                <w:lang w:eastAsia="en-AU"/>
              </w:rPr>
              <w:t>) (</w:t>
            </w:r>
            <w:r w:rsidRPr="00747E35">
              <w:rPr>
                <w:rFonts w:cstheme="minorHAnsi"/>
                <w:b/>
                <w:i/>
                <w:lang w:eastAsia="en-AU"/>
              </w:rPr>
              <w:t>Press disturbance</w:t>
            </w:r>
            <w:r w:rsidRPr="00747E35">
              <w:rPr>
                <w:rFonts w:cstheme="minorHAnsi"/>
                <w:b/>
                <w:lang w:eastAsia="en-AU"/>
              </w:rPr>
              <w:t>)</w:t>
            </w:r>
          </w:p>
        </w:tc>
      </w:tr>
      <w:tr w:rsidR="0044478E" w:rsidRPr="00747E35" w14:paraId="03FFBE8A" w14:textId="77777777" w:rsidTr="0044478E">
        <w:trPr>
          <w:trHeight w:val="20"/>
        </w:trPr>
        <w:tc>
          <w:tcPr>
            <w:tcW w:w="3969" w:type="dxa"/>
            <w:tcBorders>
              <w:top w:val="single" w:sz="4" w:space="0" w:color="D9D9D9" w:themeColor="background1" w:themeShade="D9"/>
              <w:bottom w:val="single" w:sz="4" w:space="0" w:color="D9D9D9" w:themeColor="background1" w:themeShade="D9"/>
            </w:tcBorders>
            <w:shd w:val="clear" w:color="auto" w:fill="auto"/>
            <w:hideMark/>
          </w:tcPr>
          <w:p w14:paraId="5477912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Predation</w:t>
            </w:r>
          </w:p>
        </w:tc>
        <w:tc>
          <w:tcPr>
            <w:tcW w:w="5245" w:type="dxa"/>
            <w:tcBorders>
              <w:top w:val="single" w:sz="4" w:space="0" w:color="D9D9D9" w:themeColor="background1" w:themeShade="D9"/>
              <w:bottom w:val="single" w:sz="4" w:space="0" w:color="D9D9D9" w:themeColor="background1" w:themeShade="D9"/>
            </w:tcBorders>
            <w:shd w:val="clear" w:color="auto" w:fill="auto"/>
            <w:hideMark/>
          </w:tcPr>
          <w:p w14:paraId="0A0885C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Direct predation on eggs, juveniles &amp; adult aquatic fauna</w:t>
            </w:r>
          </w:p>
        </w:tc>
      </w:tr>
      <w:tr w:rsidR="0044478E" w:rsidRPr="00747E35" w14:paraId="23769F1A" w14:textId="77777777" w:rsidTr="0044478E">
        <w:trPr>
          <w:trHeight w:val="20"/>
        </w:trPr>
        <w:tc>
          <w:tcPr>
            <w:tcW w:w="3969" w:type="dxa"/>
            <w:vMerge w:val="restart"/>
            <w:tcBorders>
              <w:top w:val="single" w:sz="4" w:space="0" w:color="D9D9D9" w:themeColor="background1" w:themeShade="D9"/>
            </w:tcBorders>
            <w:shd w:val="clear" w:color="auto" w:fill="auto"/>
            <w:hideMark/>
          </w:tcPr>
          <w:p w14:paraId="053D78EC"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Competition for food</w:t>
            </w:r>
          </w:p>
        </w:tc>
        <w:tc>
          <w:tcPr>
            <w:tcW w:w="5245" w:type="dxa"/>
            <w:tcBorders>
              <w:top w:val="single" w:sz="4" w:space="0" w:color="D9D9D9" w:themeColor="background1" w:themeShade="D9"/>
            </w:tcBorders>
            <w:shd w:val="clear" w:color="auto" w:fill="auto"/>
            <w:hideMark/>
          </w:tcPr>
          <w:p w14:paraId="22549F79" w14:textId="77777777" w:rsidR="0044478E" w:rsidRPr="00747E35" w:rsidRDefault="0044478E" w:rsidP="0044478E">
            <w:pPr>
              <w:pStyle w:val="Tabletext"/>
              <w:spacing w:before="0" w:after="0"/>
              <w:rPr>
                <w:rFonts w:cstheme="minorHAnsi"/>
                <w:lang w:eastAsia="en-AU"/>
              </w:rPr>
            </w:pPr>
            <w:r w:rsidRPr="00747E35">
              <w:rPr>
                <w:rFonts w:cstheme="minorHAnsi"/>
                <w:i/>
                <w:lang w:eastAsia="en-AU"/>
              </w:rPr>
              <w:t>Gambusia</w:t>
            </w:r>
            <w:r w:rsidRPr="00747E35">
              <w:rPr>
                <w:rFonts w:cstheme="minorHAnsi"/>
                <w:lang w:eastAsia="en-AU"/>
              </w:rPr>
              <w:t xml:space="preserve"> and/or toad tadpole consumption of organic detritus, algae</w:t>
            </w:r>
          </w:p>
        </w:tc>
      </w:tr>
      <w:tr w:rsidR="0044478E" w:rsidRPr="00747E35" w14:paraId="2B99CFD1" w14:textId="77777777" w:rsidTr="0044478E">
        <w:trPr>
          <w:trHeight w:val="20"/>
        </w:trPr>
        <w:tc>
          <w:tcPr>
            <w:tcW w:w="3969" w:type="dxa"/>
            <w:vMerge/>
            <w:tcBorders>
              <w:bottom w:val="single" w:sz="4" w:space="0" w:color="D9D9D9" w:themeColor="background1" w:themeShade="D9"/>
            </w:tcBorders>
            <w:shd w:val="clear" w:color="auto" w:fill="auto"/>
            <w:hideMark/>
          </w:tcPr>
          <w:p w14:paraId="18C2807D" w14:textId="77777777" w:rsidR="0044478E" w:rsidRPr="00747E35" w:rsidRDefault="0044478E" w:rsidP="0044478E">
            <w:pPr>
              <w:pStyle w:val="Tabletext"/>
              <w:spacing w:before="0" w:after="0"/>
              <w:rPr>
                <w:rFonts w:cstheme="minorHAnsi"/>
                <w:lang w:eastAsia="en-AU"/>
              </w:rPr>
            </w:pPr>
          </w:p>
        </w:tc>
        <w:tc>
          <w:tcPr>
            <w:tcW w:w="5245" w:type="dxa"/>
            <w:tcBorders>
              <w:bottom w:val="single" w:sz="4" w:space="0" w:color="D9D9D9" w:themeColor="background1" w:themeShade="D9"/>
            </w:tcBorders>
            <w:shd w:val="clear" w:color="auto" w:fill="auto"/>
            <w:hideMark/>
          </w:tcPr>
          <w:p w14:paraId="78C7FF4B" w14:textId="77777777" w:rsidR="0044478E" w:rsidRPr="00747E35" w:rsidRDefault="0044478E" w:rsidP="0044478E">
            <w:pPr>
              <w:pStyle w:val="Tabletext"/>
              <w:spacing w:before="0" w:after="0"/>
              <w:rPr>
                <w:rFonts w:cstheme="minorHAnsi"/>
                <w:lang w:eastAsia="en-AU"/>
              </w:rPr>
            </w:pPr>
            <w:r w:rsidRPr="00747E35">
              <w:rPr>
                <w:rFonts w:cstheme="minorHAnsi"/>
                <w:i/>
                <w:lang w:eastAsia="en-AU"/>
              </w:rPr>
              <w:t>Gambusia</w:t>
            </w:r>
            <w:r w:rsidRPr="00747E35">
              <w:rPr>
                <w:rFonts w:cstheme="minorHAnsi"/>
                <w:lang w:eastAsia="en-AU"/>
              </w:rPr>
              <w:t xml:space="preserve"> and/or toad adult consumption of aquatic and riparian animals (e.g. crustaceans, insects)</w:t>
            </w:r>
          </w:p>
        </w:tc>
      </w:tr>
      <w:tr w:rsidR="0044478E" w:rsidRPr="00747E35" w14:paraId="5C6A52B9" w14:textId="77777777" w:rsidTr="0044478E">
        <w:trPr>
          <w:trHeight w:val="20"/>
        </w:trPr>
        <w:tc>
          <w:tcPr>
            <w:tcW w:w="3969" w:type="dxa"/>
            <w:tcBorders>
              <w:top w:val="single" w:sz="4" w:space="0" w:color="D9D9D9" w:themeColor="background1" w:themeShade="D9"/>
              <w:bottom w:val="single" w:sz="4" w:space="0" w:color="auto"/>
            </w:tcBorders>
            <w:shd w:val="clear" w:color="auto" w:fill="auto"/>
            <w:hideMark/>
          </w:tcPr>
          <w:p w14:paraId="46C64A3C"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Poisoning</w:t>
            </w:r>
          </w:p>
        </w:tc>
        <w:tc>
          <w:tcPr>
            <w:tcW w:w="5245" w:type="dxa"/>
            <w:tcBorders>
              <w:top w:val="single" w:sz="4" w:space="0" w:color="D9D9D9" w:themeColor="background1" w:themeShade="D9"/>
              <w:bottom w:val="single" w:sz="4" w:space="0" w:color="auto"/>
            </w:tcBorders>
            <w:shd w:val="clear" w:color="auto" w:fill="auto"/>
            <w:hideMark/>
          </w:tcPr>
          <w:p w14:paraId="401ABA5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xml:space="preserve">Predation by native fish and crustaceans on toad eggs &amp; tadpoles </w:t>
            </w:r>
          </w:p>
        </w:tc>
      </w:tr>
    </w:tbl>
    <w:p w14:paraId="75F45DDE" w14:textId="77777777" w:rsidR="0044478E" w:rsidRPr="00747E35" w:rsidRDefault="0044478E" w:rsidP="0044478E">
      <w:pPr>
        <w:rPr>
          <w:rFonts w:asciiTheme="minorHAnsi" w:hAnsiTheme="minorHAnsi" w:cstheme="minorHAnsi"/>
        </w:rPr>
      </w:pPr>
    </w:p>
    <w:p w14:paraId="3AC2059C" w14:textId="0559D975" w:rsidR="0044478E" w:rsidRPr="00747E35" w:rsidRDefault="0044478E" w:rsidP="0044478E">
      <w:pPr>
        <w:pStyle w:val="Heading3"/>
        <w:rPr>
          <w:rFonts w:asciiTheme="minorHAnsi" w:hAnsiTheme="minorHAnsi" w:cstheme="minorHAnsi"/>
        </w:rPr>
      </w:pPr>
      <w:bookmarkStart w:id="423" w:name="_Toc470004908"/>
      <w:r w:rsidRPr="00747E35">
        <w:rPr>
          <w:rFonts w:asciiTheme="minorHAnsi" w:hAnsiTheme="minorHAnsi" w:cstheme="minorHAnsi"/>
        </w:rPr>
        <w:t>Categorising threats</w:t>
      </w:r>
      <w:bookmarkEnd w:id="423"/>
    </w:p>
    <w:p w14:paraId="405E042B" w14:textId="29A8AF67" w:rsidR="0044478E" w:rsidRPr="00747E35" w:rsidRDefault="0044478E" w:rsidP="0044478E">
      <w:pPr>
        <w:rPr>
          <w:rFonts w:asciiTheme="minorHAnsi" w:hAnsiTheme="minorHAnsi" w:cstheme="minorHAnsi"/>
        </w:rPr>
      </w:pPr>
      <w:r w:rsidRPr="00747E35">
        <w:rPr>
          <w:rFonts w:asciiTheme="minorHAnsi" w:hAnsiTheme="minorHAnsi" w:cstheme="minorHAnsi"/>
        </w:rPr>
        <w:t>Each of the threats described earlier constitutes an anthropogenic disturbance to GAB spring flora and fauna. Disturbances can be characterized by the temporal nature of the stressor and the ecological responses to the stressor (Lake 2000, 2003) and three</w:t>
      </w:r>
      <w:r w:rsidRPr="00747E35">
        <w:rPr>
          <w:rFonts w:asciiTheme="minorHAnsi" w:eastAsiaTheme="minorHAnsi" w:hAnsiTheme="minorHAnsi" w:cstheme="minorHAnsi"/>
        </w:rPr>
        <w:t xml:space="preserve"> types of disturbance have been recognised: pulse, press and ramp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_Ref453232811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145</w:t>
      </w:r>
      <w:r w:rsidRPr="00747E35">
        <w:rPr>
          <w:rFonts w:asciiTheme="minorHAnsi" w:hAnsiTheme="minorHAnsi" w:cstheme="minorHAnsi"/>
        </w:rPr>
        <w:fldChar w:fldCharType="end"/>
      </w:r>
      <w:r w:rsidRPr="00747E35">
        <w:rPr>
          <w:rFonts w:asciiTheme="minorHAnsi" w:hAnsiTheme="minorHAnsi" w:cstheme="minorHAnsi"/>
        </w:rPr>
        <w:t>)</w:t>
      </w:r>
      <w:r w:rsidRPr="00747E35">
        <w:rPr>
          <w:rFonts w:asciiTheme="minorHAnsi" w:eastAsiaTheme="minorHAnsi" w:hAnsiTheme="minorHAnsi" w:cstheme="minorHAnsi"/>
        </w:rPr>
        <w:t>.</w:t>
      </w:r>
      <w:r w:rsidRPr="00747E35">
        <w:rPr>
          <w:rFonts w:asciiTheme="minorHAnsi" w:hAnsiTheme="minorHAnsi" w:cstheme="minorHAnsi"/>
        </w:rPr>
        <w:t xml:space="preserve"> Pulse disturbances are short-term and sharply delineated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_Ref453232811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145</w:t>
      </w:r>
      <w:r w:rsidRPr="00747E35">
        <w:rPr>
          <w:rFonts w:asciiTheme="minorHAnsi" w:hAnsiTheme="minorHAnsi" w:cstheme="minorHAnsi"/>
        </w:rPr>
        <w:fldChar w:fldCharType="end"/>
      </w:r>
      <w:r w:rsidRPr="00747E35">
        <w:rPr>
          <w:rFonts w:asciiTheme="minorHAnsi" w:hAnsiTheme="minorHAnsi" w:cstheme="minorHAnsi"/>
        </w:rPr>
        <w:t>a) such as from occasional livestock, feral animal or tourist visitation. Press disturbances arise sharply and then maintain a relatively constant level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_Ref453232811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145</w:t>
      </w:r>
      <w:r w:rsidRPr="00747E35">
        <w:rPr>
          <w:rFonts w:asciiTheme="minorHAnsi" w:hAnsiTheme="minorHAnsi" w:cstheme="minorHAnsi"/>
        </w:rPr>
        <w:fldChar w:fldCharType="end"/>
      </w:r>
      <w:r w:rsidRPr="00747E35">
        <w:rPr>
          <w:rFonts w:asciiTheme="minorHAnsi" w:hAnsiTheme="minorHAnsi" w:cstheme="minorHAnsi"/>
        </w:rPr>
        <w:t>b); for example, human modification of springs and invasion by introduced plants and aquatic animals. Ramp disturbances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_Ref453232811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145</w:t>
      </w:r>
      <w:r w:rsidRPr="00747E35">
        <w:rPr>
          <w:rFonts w:asciiTheme="minorHAnsi" w:hAnsiTheme="minorHAnsi" w:cstheme="minorHAnsi"/>
        </w:rPr>
        <w:fldChar w:fldCharType="end"/>
      </w:r>
      <w:r w:rsidRPr="00747E35">
        <w:rPr>
          <w:rFonts w:asciiTheme="minorHAnsi" w:hAnsiTheme="minorHAnsi" w:cstheme="minorHAnsi"/>
        </w:rPr>
        <w:t>c),</w:t>
      </w:r>
      <w:r w:rsidRPr="00747E35">
        <w:rPr>
          <w:rFonts w:asciiTheme="minorHAnsi" w:eastAsiaTheme="minorHAnsi" w:hAnsiTheme="minorHAnsi" w:cstheme="minorHAnsi"/>
        </w:rPr>
        <w:t xml:space="preserve"> increase in strength (and often spatial extent) over time</w:t>
      </w:r>
      <w:r w:rsidRPr="00747E35">
        <w:rPr>
          <w:rFonts w:asciiTheme="minorHAnsi" w:hAnsiTheme="minorHAnsi" w:cstheme="minorHAnsi"/>
        </w:rPr>
        <w:t>.  Ramps may steadily increase in time without an endpoint, or reach an asymptote after an extended period. Examples of ramps include the effects of groundwater drawdown and climate changes. Ecological responses to these different types of disturbances can also have a pulse, press, or ramp trajectory.  For example, a pulse disturbance can elicit a pulse or press response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_Ref453232811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145</w:t>
      </w:r>
      <w:r w:rsidRPr="00747E35">
        <w:rPr>
          <w:rFonts w:asciiTheme="minorHAnsi" w:hAnsiTheme="minorHAnsi" w:cstheme="minorHAnsi"/>
        </w:rPr>
        <w:fldChar w:fldCharType="end"/>
      </w:r>
      <w:r w:rsidRPr="00747E35">
        <w:rPr>
          <w:rFonts w:asciiTheme="minorHAnsi" w:hAnsiTheme="minorHAnsi" w:cstheme="minorHAnsi"/>
        </w:rPr>
        <w:t>a), a press disturbance can yield a press response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_Ref453232811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145</w:t>
      </w:r>
      <w:r w:rsidRPr="00747E35">
        <w:rPr>
          <w:rFonts w:asciiTheme="minorHAnsi" w:hAnsiTheme="minorHAnsi" w:cstheme="minorHAnsi"/>
        </w:rPr>
        <w:fldChar w:fldCharType="end"/>
      </w:r>
      <w:r w:rsidRPr="00747E35">
        <w:rPr>
          <w:rFonts w:asciiTheme="minorHAnsi" w:hAnsiTheme="minorHAnsi" w:cstheme="minorHAnsi"/>
        </w:rPr>
        <w:t>b) and a ramp disturbance can produce a ramp response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_Ref453232811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145</w:t>
      </w:r>
      <w:r w:rsidRPr="00747E35">
        <w:rPr>
          <w:rFonts w:asciiTheme="minorHAnsi" w:hAnsiTheme="minorHAnsi" w:cstheme="minorHAnsi"/>
        </w:rPr>
        <w:fldChar w:fldCharType="end"/>
      </w:r>
      <w:r w:rsidRPr="00747E35">
        <w:rPr>
          <w:rFonts w:asciiTheme="minorHAnsi" w:hAnsiTheme="minorHAnsi" w:cstheme="minorHAnsi"/>
        </w:rPr>
        <w:t xml:space="preserve">c). </w:t>
      </w:r>
    </w:p>
    <w:p w14:paraId="71D2BEEF" w14:textId="77777777" w:rsidR="0044478E" w:rsidRPr="00747E35" w:rsidRDefault="0044478E" w:rsidP="0044478E">
      <w:pPr>
        <w:rPr>
          <w:rFonts w:asciiTheme="minorHAnsi" w:hAnsiTheme="minorHAnsi" w:cstheme="minorHAnsi"/>
        </w:rPr>
      </w:pPr>
    </w:p>
    <w:p w14:paraId="3CF3C472" w14:textId="77777777" w:rsidR="0044478E" w:rsidRPr="00747E35" w:rsidRDefault="0044478E" w:rsidP="0044478E">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091BD863" wp14:editId="4FD9E61B">
            <wp:extent cx="5924550" cy="1905173"/>
            <wp:effectExtent l="0" t="0" r="0" b="0"/>
            <wp:docPr id="59" name="Picture 59" descr="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cstate="screen">
                      <a:extLst>
                        <a:ext uri="{28A0092B-C50C-407E-A947-70E740481C1C}">
                          <a14:useLocalDpi xmlns:a14="http://schemas.microsoft.com/office/drawing/2010/main"/>
                        </a:ext>
                      </a:extLst>
                    </a:blip>
                    <a:srcRect/>
                    <a:stretch>
                      <a:fillRect/>
                    </a:stretch>
                  </pic:blipFill>
                  <pic:spPr bwMode="auto">
                    <a:xfrm>
                      <a:off x="0" y="0"/>
                      <a:ext cx="5952440" cy="1914142"/>
                    </a:xfrm>
                    <a:prstGeom prst="rect">
                      <a:avLst/>
                    </a:prstGeom>
                    <a:noFill/>
                  </pic:spPr>
                </pic:pic>
              </a:graphicData>
            </a:graphic>
          </wp:inline>
        </w:drawing>
      </w:r>
    </w:p>
    <w:p w14:paraId="6EC4195C" w14:textId="77777777" w:rsidR="0044478E" w:rsidRPr="00747E35" w:rsidRDefault="0044478E" w:rsidP="00566456">
      <w:pPr>
        <w:pStyle w:val="Caption"/>
        <w:numPr>
          <w:ilvl w:val="0"/>
          <w:numId w:val="0"/>
        </w:numPr>
        <w:rPr>
          <w:rFonts w:cstheme="minorHAnsi"/>
        </w:rPr>
      </w:pPr>
      <w:bookmarkStart w:id="424" w:name="_Ref453232811"/>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145</w:t>
      </w:r>
      <w:r w:rsidR="009D6600" w:rsidRPr="00747E35">
        <w:rPr>
          <w:rFonts w:cstheme="minorHAnsi"/>
          <w:noProof/>
        </w:rPr>
        <w:fldChar w:fldCharType="end"/>
      </w:r>
      <w:bookmarkEnd w:id="424"/>
      <w:r w:rsidRPr="00747E35">
        <w:rPr>
          <w:rFonts w:cstheme="minorHAnsi"/>
        </w:rPr>
        <w:t>:</w:t>
      </w:r>
      <w:r w:rsidRPr="00747E35">
        <w:rPr>
          <w:rFonts w:cstheme="minorHAnsi"/>
          <w:b/>
        </w:rPr>
        <w:t xml:space="preserve"> </w:t>
      </w:r>
      <w:r w:rsidRPr="00747E35">
        <w:rPr>
          <w:rFonts w:cstheme="minorHAnsi"/>
        </w:rPr>
        <w:t>Pulse (a), press (b) and ramp (c) disturbances (solid lines), and potential ecological responses (dashed lines) (Source: adapted from Lake 2000, 2003).</w:t>
      </w:r>
    </w:p>
    <w:p w14:paraId="740DD75A" w14:textId="77777777" w:rsidR="0044478E" w:rsidRPr="00747E35" w:rsidRDefault="0044478E" w:rsidP="0044478E">
      <w:pPr>
        <w:rPr>
          <w:rFonts w:asciiTheme="minorHAnsi" w:hAnsiTheme="minorHAnsi" w:cstheme="minorHAnsi"/>
        </w:rPr>
      </w:pPr>
    </w:p>
    <w:p w14:paraId="520B9E7E" w14:textId="77777777" w:rsidR="0044478E" w:rsidRPr="00747E35" w:rsidRDefault="0044478E" w:rsidP="0044478E">
      <w:pPr>
        <w:rPr>
          <w:rFonts w:asciiTheme="minorHAnsi" w:eastAsia="Times New Roman" w:hAnsiTheme="minorHAnsi" w:cstheme="minorHAnsi"/>
          <w:color w:val="000000"/>
          <w:lang w:eastAsia="en-AU"/>
        </w:rPr>
      </w:pPr>
      <w:r w:rsidRPr="00747E35">
        <w:rPr>
          <w:rFonts w:asciiTheme="minorHAnsi" w:hAnsiTheme="minorHAnsi" w:cstheme="minorHAnsi"/>
        </w:rPr>
        <w:t xml:space="preserve">The nature of the ecological response is linked with the capacity of the species to withstand a disturbance (resistance), and capacity of the species to recover from disturbance (resilience) (Lake 2000).  Resistance and resilience of a species are </w:t>
      </w:r>
      <w:r w:rsidRPr="00747E35">
        <w:rPr>
          <w:rFonts w:asciiTheme="minorHAnsi" w:eastAsia="Times New Roman" w:hAnsiTheme="minorHAnsi" w:cstheme="minorHAnsi"/>
          <w:color w:val="000000"/>
          <w:lang w:eastAsia="en-AU"/>
        </w:rPr>
        <w:t xml:space="preserve">governed by such factors as resource requirements, physiological tolerances, </w:t>
      </w:r>
      <w:r w:rsidRPr="00747E35">
        <w:rPr>
          <w:rFonts w:asciiTheme="minorHAnsi" w:eastAsia="Times New Roman" w:hAnsiTheme="minorHAnsi" w:cstheme="minorHAnsi"/>
          <w:color w:val="000000"/>
          <w:lang w:eastAsia="en-AU"/>
        </w:rPr>
        <w:lastRenderedPageBreak/>
        <w:t>behavioural attributes and life history characteristics, which collectively determine the ability of populations of a given species to persist through and/or recover from disturbance (</w:t>
      </w:r>
      <w:r w:rsidRPr="00747E35">
        <w:rPr>
          <w:rFonts w:asciiTheme="minorHAnsi" w:eastAsia="Times New Roman" w:hAnsiTheme="minorHAnsi" w:cstheme="minorHAnsi"/>
          <w:color w:val="000000"/>
          <w:lang w:eastAsia="en-AU"/>
        </w:rPr>
        <w:fldChar w:fldCharType="begin"/>
      </w:r>
      <w:r w:rsidRPr="00747E35">
        <w:rPr>
          <w:rFonts w:asciiTheme="minorHAnsi" w:eastAsia="Times New Roman" w:hAnsiTheme="minorHAnsi" w:cstheme="minorHAnsi"/>
          <w:color w:val="000000"/>
          <w:lang w:eastAsia="en-AU"/>
        </w:rPr>
        <w:instrText xml:space="preserve"> REF _Ref453232872 \h  \* MERGEFORMAT </w:instrText>
      </w:r>
      <w:r w:rsidRPr="00747E35">
        <w:rPr>
          <w:rFonts w:asciiTheme="minorHAnsi" w:eastAsia="Times New Roman" w:hAnsiTheme="minorHAnsi" w:cstheme="minorHAnsi"/>
          <w:color w:val="000000"/>
          <w:lang w:eastAsia="en-AU"/>
        </w:rPr>
      </w:r>
      <w:r w:rsidRPr="00747E35">
        <w:rPr>
          <w:rFonts w:asciiTheme="minorHAnsi" w:eastAsia="Times New Roman" w:hAnsiTheme="minorHAnsi" w:cstheme="minorHAnsi"/>
          <w:color w:val="000000"/>
          <w:lang w:eastAsia="en-AU"/>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39</w:t>
      </w:r>
      <w:r w:rsidRPr="00747E35">
        <w:rPr>
          <w:rFonts w:asciiTheme="minorHAnsi" w:eastAsia="Times New Roman" w:hAnsiTheme="minorHAnsi" w:cstheme="minorHAnsi"/>
          <w:color w:val="000000"/>
          <w:lang w:eastAsia="en-AU"/>
        </w:rPr>
        <w:fldChar w:fldCharType="end"/>
      </w:r>
      <w:r w:rsidRPr="00747E35">
        <w:rPr>
          <w:rFonts w:asciiTheme="minorHAnsi" w:eastAsia="Times New Roman" w:hAnsiTheme="minorHAnsi" w:cstheme="minorHAnsi"/>
          <w:color w:val="000000"/>
          <w:lang w:eastAsia="en-AU"/>
        </w:rPr>
        <w:t xml:space="preserve">). Together, resistance and resilience summarise both the likely short- and longer-term impacts of disturbance on species’ populations with resistant species likely to show only minor, or delayed responses, and resilient species likely to recover well after a disturbance even if they may be severely affected at the time (Lake 2003, Crook et al. 2010). </w:t>
      </w:r>
    </w:p>
    <w:p w14:paraId="22CC18EC" w14:textId="77777777" w:rsidR="0044478E" w:rsidRPr="00747E35" w:rsidRDefault="0044478E" w:rsidP="0044478E">
      <w:pPr>
        <w:rPr>
          <w:rFonts w:asciiTheme="minorHAnsi" w:hAnsiTheme="minorHAnsi" w:cstheme="minorHAnsi"/>
          <w:lang w:eastAsia="en-AU"/>
        </w:rPr>
      </w:pPr>
    </w:p>
    <w:p w14:paraId="0AE4E4B6" w14:textId="77777777" w:rsidR="0044478E" w:rsidRPr="00747E35" w:rsidRDefault="0044478E" w:rsidP="00566456">
      <w:pPr>
        <w:pStyle w:val="Caption"/>
        <w:numPr>
          <w:ilvl w:val="0"/>
          <w:numId w:val="0"/>
        </w:numPr>
        <w:rPr>
          <w:rFonts w:cstheme="minorHAnsi"/>
        </w:rPr>
      </w:pPr>
      <w:bookmarkStart w:id="425" w:name="_Ref453232872"/>
      <w:r w:rsidRPr="00747E35">
        <w:rPr>
          <w:rFonts w:cstheme="minorHAnsi"/>
        </w:rPr>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39</w:t>
      </w:r>
      <w:r w:rsidR="009D6600" w:rsidRPr="00747E35">
        <w:rPr>
          <w:rFonts w:cstheme="minorHAnsi"/>
          <w:noProof/>
        </w:rPr>
        <w:fldChar w:fldCharType="end"/>
      </w:r>
      <w:bookmarkEnd w:id="425"/>
      <w:r w:rsidRPr="00747E35">
        <w:rPr>
          <w:rFonts w:cstheme="minorHAnsi"/>
        </w:rPr>
        <w:t>: Species’ traits hypothesised to confer resistance and/or resilience to environmental stress for GAB spring endemic flora and fauna.</w:t>
      </w:r>
    </w:p>
    <w:tbl>
      <w:tblPr>
        <w:tblW w:w="9686" w:type="dxa"/>
        <w:tblLook w:val="04A0" w:firstRow="1" w:lastRow="0" w:firstColumn="1" w:lastColumn="0" w:noHBand="0" w:noVBand="1"/>
      </w:tblPr>
      <w:tblGrid>
        <w:gridCol w:w="7083"/>
        <w:gridCol w:w="1328"/>
        <w:gridCol w:w="1275"/>
      </w:tblGrid>
      <w:tr w:rsidR="0044478E" w:rsidRPr="00747E35" w14:paraId="64660E34" w14:textId="77777777" w:rsidTr="00D062C2">
        <w:trPr>
          <w:trHeight w:val="20"/>
        </w:trPr>
        <w:tc>
          <w:tcPr>
            <w:tcW w:w="7083" w:type="dxa"/>
            <w:tcBorders>
              <w:top w:val="single" w:sz="4" w:space="0" w:color="auto"/>
              <w:bottom w:val="single" w:sz="4" w:space="0" w:color="auto"/>
            </w:tcBorders>
            <w:shd w:val="clear" w:color="auto" w:fill="DEEAF6" w:themeFill="accent1" w:themeFillTint="33"/>
            <w:noWrap/>
            <w:hideMark/>
          </w:tcPr>
          <w:p w14:paraId="0A26DED4"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Species traits conferring resistance and/or resilience</w:t>
            </w:r>
          </w:p>
        </w:tc>
        <w:tc>
          <w:tcPr>
            <w:tcW w:w="1328" w:type="dxa"/>
            <w:tcBorders>
              <w:top w:val="single" w:sz="4" w:space="0" w:color="auto"/>
              <w:bottom w:val="single" w:sz="4" w:space="0" w:color="auto"/>
            </w:tcBorders>
            <w:shd w:val="clear" w:color="auto" w:fill="DEEAF6" w:themeFill="accent1" w:themeFillTint="33"/>
            <w:noWrap/>
            <w:hideMark/>
          </w:tcPr>
          <w:p w14:paraId="103F3426"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Resistance</w:t>
            </w:r>
          </w:p>
        </w:tc>
        <w:tc>
          <w:tcPr>
            <w:tcW w:w="1275" w:type="dxa"/>
            <w:tcBorders>
              <w:top w:val="single" w:sz="4" w:space="0" w:color="auto"/>
              <w:bottom w:val="single" w:sz="4" w:space="0" w:color="auto"/>
            </w:tcBorders>
            <w:shd w:val="clear" w:color="auto" w:fill="DEEAF6" w:themeFill="accent1" w:themeFillTint="33"/>
            <w:noWrap/>
            <w:hideMark/>
          </w:tcPr>
          <w:p w14:paraId="63C05411"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Resilience</w:t>
            </w:r>
          </w:p>
        </w:tc>
      </w:tr>
      <w:tr w:rsidR="0044478E" w:rsidRPr="00747E35" w14:paraId="3CA64F30" w14:textId="77777777" w:rsidTr="0044478E">
        <w:trPr>
          <w:trHeight w:val="20"/>
        </w:trPr>
        <w:tc>
          <w:tcPr>
            <w:tcW w:w="7083" w:type="dxa"/>
            <w:tcBorders>
              <w:top w:val="single" w:sz="4" w:space="0" w:color="auto"/>
              <w:bottom w:val="single" w:sz="4" w:space="0" w:color="D9D9D9" w:themeColor="background1" w:themeShade="D9"/>
            </w:tcBorders>
            <w:shd w:val="clear" w:color="auto" w:fill="auto"/>
            <w:hideMark/>
          </w:tcPr>
          <w:p w14:paraId="3A3BCEA9"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Low resource specialisation (breadth of food resources consumed and habitat conditions occupied)</w:t>
            </w:r>
          </w:p>
        </w:tc>
        <w:tc>
          <w:tcPr>
            <w:tcW w:w="1328" w:type="dxa"/>
            <w:tcBorders>
              <w:top w:val="single" w:sz="4" w:space="0" w:color="auto"/>
              <w:bottom w:val="single" w:sz="4" w:space="0" w:color="D9D9D9" w:themeColor="background1" w:themeShade="D9"/>
            </w:tcBorders>
            <w:shd w:val="clear" w:color="auto" w:fill="auto"/>
            <w:noWrap/>
          </w:tcPr>
          <w:p w14:paraId="2374073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yes</w:t>
            </w:r>
          </w:p>
        </w:tc>
        <w:tc>
          <w:tcPr>
            <w:tcW w:w="1275" w:type="dxa"/>
            <w:tcBorders>
              <w:top w:val="single" w:sz="4" w:space="0" w:color="auto"/>
              <w:bottom w:val="single" w:sz="4" w:space="0" w:color="D9D9D9" w:themeColor="background1" w:themeShade="D9"/>
            </w:tcBorders>
            <w:shd w:val="clear" w:color="auto" w:fill="auto"/>
            <w:noWrap/>
            <w:hideMark/>
          </w:tcPr>
          <w:p w14:paraId="35453F9E" w14:textId="77777777" w:rsidR="0044478E" w:rsidRPr="00747E35" w:rsidRDefault="0044478E" w:rsidP="0044478E">
            <w:pPr>
              <w:pStyle w:val="Tabletext"/>
              <w:spacing w:before="0" w:after="0"/>
              <w:rPr>
                <w:rFonts w:cstheme="minorHAnsi"/>
                <w:lang w:eastAsia="en-AU"/>
              </w:rPr>
            </w:pPr>
          </w:p>
        </w:tc>
      </w:tr>
      <w:tr w:rsidR="0044478E" w:rsidRPr="00747E35" w14:paraId="5E3FE14A" w14:textId="77777777" w:rsidTr="0044478E">
        <w:trPr>
          <w:trHeight w:val="20"/>
        </w:trPr>
        <w:tc>
          <w:tcPr>
            <w:tcW w:w="7083" w:type="dxa"/>
            <w:tcBorders>
              <w:top w:val="single" w:sz="4" w:space="0" w:color="D9D9D9" w:themeColor="background1" w:themeShade="D9"/>
              <w:bottom w:val="single" w:sz="4" w:space="0" w:color="D9D9D9" w:themeColor="background1" w:themeShade="D9"/>
            </w:tcBorders>
            <w:shd w:val="clear" w:color="auto" w:fill="auto"/>
            <w:hideMark/>
          </w:tcPr>
          <w:p w14:paraId="5338C68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Growth form flexibility (plants)</w:t>
            </w:r>
          </w:p>
        </w:tc>
        <w:tc>
          <w:tcPr>
            <w:tcW w:w="1328" w:type="dxa"/>
            <w:tcBorders>
              <w:top w:val="single" w:sz="4" w:space="0" w:color="D9D9D9" w:themeColor="background1" w:themeShade="D9"/>
              <w:bottom w:val="single" w:sz="4" w:space="0" w:color="D9D9D9" w:themeColor="background1" w:themeShade="D9"/>
            </w:tcBorders>
            <w:shd w:val="clear" w:color="auto" w:fill="auto"/>
            <w:noWrap/>
          </w:tcPr>
          <w:p w14:paraId="4424AD3D"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yes</w:t>
            </w:r>
          </w:p>
        </w:tc>
        <w:tc>
          <w:tcPr>
            <w:tcW w:w="1275" w:type="dxa"/>
            <w:tcBorders>
              <w:top w:val="single" w:sz="4" w:space="0" w:color="D9D9D9" w:themeColor="background1" w:themeShade="D9"/>
              <w:bottom w:val="single" w:sz="4" w:space="0" w:color="D9D9D9" w:themeColor="background1" w:themeShade="D9"/>
            </w:tcBorders>
            <w:shd w:val="clear" w:color="auto" w:fill="auto"/>
            <w:noWrap/>
            <w:hideMark/>
          </w:tcPr>
          <w:p w14:paraId="4E16DD98" w14:textId="77777777" w:rsidR="0044478E" w:rsidRPr="00747E35" w:rsidRDefault="0044478E" w:rsidP="0044478E">
            <w:pPr>
              <w:pStyle w:val="Tabletext"/>
              <w:spacing w:before="0" w:after="0"/>
              <w:rPr>
                <w:rFonts w:cstheme="minorHAnsi"/>
                <w:lang w:eastAsia="en-AU"/>
              </w:rPr>
            </w:pPr>
          </w:p>
        </w:tc>
      </w:tr>
      <w:tr w:rsidR="0044478E" w:rsidRPr="00747E35" w14:paraId="738BFFC5" w14:textId="77777777" w:rsidTr="0044478E">
        <w:trPr>
          <w:trHeight w:val="20"/>
        </w:trPr>
        <w:tc>
          <w:tcPr>
            <w:tcW w:w="7083" w:type="dxa"/>
            <w:tcBorders>
              <w:top w:val="single" w:sz="4" w:space="0" w:color="D9D9D9" w:themeColor="background1" w:themeShade="D9"/>
              <w:bottom w:val="single" w:sz="4" w:space="0" w:color="D9D9D9" w:themeColor="background1" w:themeShade="D9"/>
            </w:tcBorders>
            <w:shd w:val="clear" w:color="auto" w:fill="auto"/>
            <w:hideMark/>
          </w:tcPr>
          <w:p w14:paraId="53B2C24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High physiological tolerance (e.g. temperature, salinity, turbidity, water stress)</w:t>
            </w:r>
          </w:p>
        </w:tc>
        <w:tc>
          <w:tcPr>
            <w:tcW w:w="1328" w:type="dxa"/>
            <w:tcBorders>
              <w:top w:val="single" w:sz="4" w:space="0" w:color="D9D9D9" w:themeColor="background1" w:themeShade="D9"/>
              <w:bottom w:val="single" w:sz="4" w:space="0" w:color="D9D9D9" w:themeColor="background1" w:themeShade="D9"/>
            </w:tcBorders>
            <w:shd w:val="clear" w:color="auto" w:fill="auto"/>
            <w:noWrap/>
          </w:tcPr>
          <w:p w14:paraId="0BD3007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yes</w:t>
            </w:r>
          </w:p>
        </w:tc>
        <w:tc>
          <w:tcPr>
            <w:tcW w:w="1275" w:type="dxa"/>
            <w:tcBorders>
              <w:top w:val="single" w:sz="4" w:space="0" w:color="D9D9D9" w:themeColor="background1" w:themeShade="D9"/>
              <w:bottom w:val="single" w:sz="4" w:space="0" w:color="D9D9D9" w:themeColor="background1" w:themeShade="D9"/>
            </w:tcBorders>
            <w:shd w:val="clear" w:color="auto" w:fill="auto"/>
            <w:noWrap/>
            <w:hideMark/>
          </w:tcPr>
          <w:p w14:paraId="38C4DE2C" w14:textId="77777777" w:rsidR="0044478E" w:rsidRPr="00747E35" w:rsidRDefault="0044478E" w:rsidP="0044478E">
            <w:pPr>
              <w:pStyle w:val="Tabletext"/>
              <w:spacing w:before="0" w:after="0"/>
              <w:rPr>
                <w:rFonts w:cstheme="minorHAnsi"/>
                <w:lang w:eastAsia="en-AU"/>
              </w:rPr>
            </w:pPr>
          </w:p>
        </w:tc>
      </w:tr>
      <w:tr w:rsidR="0044478E" w:rsidRPr="00747E35" w14:paraId="1DC20368" w14:textId="77777777" w:rsidTr="0044478E">
        <w:trPr>
          <w:trHeight w:val="20"/>
        </w:trPr>
        <w:tc>
          <w:tcPr>
            <w:tcW w:w="7083" w:type="dxa"/>
            <w:tcBorders>
              <w:top w:val="single" w:sz="4" w:space="0" w:color="D9D9D9" w:themeColor="background1" w:themeShade="D9"/>
              <w:bottom w:val="single" w:sz="4" w:space="0" w:color="D9D9D9" w:themeColor="background1" w:themeShade="D9"/>
            </w:tcBorders>
            <w:shd w:val="clear" w:color="auto" w:fill="auto"/>
            <w:hideMark/>
          </w:tcPr>
          <w:p w14:paraId="5CE014D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Low vulnerability to predation (e.g. ability to avoid or survive the effects of predation/browsing)</w:t>
            </w:r>
          </w:p>
        </w:tc>
        <w:tc>
          <w:tcPr>
            <w:tcW w:w="1328" w:type="dxa"/>
            <w:tcBorders>
              <w:top w:val="single" w:sz="4" w:space="0" w:color="D9D9D9" w:themeColor="background1" w:themeShade="D9"/>
              <w:bottom w:val="single" w:sz="4" w:space="0" w:color="D9D9D9" w:themeColor="background1" w:themeShade="D9"/>
            </w:tcBorders>
            <w:shd w:val="clear" w:color="auto" w:fill="auto"/>
            <w:noWrap/>
          </w:tcPr>
          <w:p w14:paraId="1B8C41B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yes</w:t>
            </w:r>
          </w:p>
        </w:tc>
        <w:tc>
          <w:tcPr>
            <w:tcW w:w="1275" w:type="dxa"/>
            <w:tcBorders>
              <w:top w:val="single" w:sz="4" w:space="0" w:color="D9D9D9" w:themeColor="background1" w:themeShade="D9"/>
              <w:bottom w:val="single" w:sz="4" w:space="0" w:color="D9D9D9" w:themeColor="background1" w:themeShade="D9"/>
            </w:tcBorders>
            <w:shd w:val="clear" w:color="auto" w:fill="auto"/>
            <w:noWrap/>
            <w:hideMark/>
          </w:tcPr>
          <w:p w14:paraId="6EC1D980" w14:textId="77777777" w:rsidR="0044478E" w:rsidRPr="00747E35" w:rsidRDefault="0044478E" w:rsidP="0044478E">
            <w:pPr>
              <w:pStyle w:val="Tabletext"/>
              <w:spacing w:before="0" w:after="0"/>
              <w:rPr>
                <w:rFonts w:cstheme="minorHAnsi"/>
                <w:lang w:eastAsia="en-AU"/>
              </w:rPr>
            </w:pPr>
          </w:p>
        </w:tc>
      </w:tr>
      <w:tr w:rsidR="0044478E" w:rsidRPr="00747E35" w14:paraId="147FB375" w14:textId="77777777" w:rsidTr="0044478E">
        <w:trPr>
          <w:trHeight w:val="20"/>
        </w:trPr>
        <w:tc>
          <w:tcPr>
            <w:tcW w:w="7083" w:type="dxa"/>
            <w:tcBorders>
              <w:top w:val="single" w:sz="4" w:space="0" w:color="D9D9D9" w:themeColor="background1" w:themeShade="D9"/>
              <w:bottom w:val="single" w:sz="4" w:space="0" w:color="D9D9D9" w:themeColor="background1" w:themeShade="D9"/>
            </w:tcBorders>
            <w:shd w:val="clear" w:color="auto" w:fill="auto"/>
            <w:hideMark/>
          </w:tcPr>
          <w:p w14:paraId="370962A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Low vulnerability to diseases and parasites</w:t>
            </w:r>
          </w:p>
        </w:tc>
        <w:tc>
          <w:tcPr>
            <w:tcW w:w="1328" w:type="dxa"/>
            <w:tcBorders>
              <w:top w:val="single" w:sz="4" w:space="0" w:color="D9D9D9" w:themeColor="background1" w:themeShade="D9"/>
              <w:bottom w:val="single" w:sz="4" w:space="0" w:color="D9D9D9" w:themeColor="background1" w:themeShade="D9"/>
            </w:tcBorders>
            <w:shd w:val="clear" w:color="auto" w:fill="auto"/>
            <w:noWrap/>
          </w:tcPr>
          <w:p w14:paraId="7E1A918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yes</w:t>
            </w:r>
          </w:p>
        </w:tc>
        <w:tc>
          <w:tcPr>
            <w:tcW w:w="1275" w:type="dxa"/>
            <w:tcBorders>
              <w:top w:val="single" w:sz="4" w:space="0" w:color="D9D9D9" w:themeColor="background1" w:themeShade="D9"/>
              <w:bottom w:val="single" w:sz="4" w:space="0" w:color="D9D9D9" w:themeColor="background1" w:themeShade="D9"/>
            </w:tcBorders>
            <w:shd w:val="clear" w:color="auto" w:fill="auto"/>
            <w:noWrap/>
            <w:hideMark/>
          </w:tcPr>
          <w:p w14:paraId="5C4D1732" w14:textId="77777777" w:rsidR="0044478E" w:rsidRPr="00747E35" w:rsidRDefault="0044478E" w:rsidP="0044478E">
            <w:pPr>
              <w:pStyle w:val="Tabletext"/>
              <w:spacing w:before="0" w:after="0"/>
              <w:rPr>
                <w:rFonts w:cstheme="minorHAnsi"/>
                <w:lang w:eastAsia="en-AU"/>
              </w:rPr>
            </w:pPr>
          </w:p>
        </w:tc>
      </w:tr>
      <w:tr w:rsidR="0044478E" w:rsidRPr="00747E35" w14:paraId="5DFFFCBB" w14:textId="77777777" w:rsidTr="0044478E">
        <w:trPr>
          <w:trHeight w:val="20"/>
        </w:trPr>
        <w:tc>
          <w:tcPr>
            <w:tcW w:w="7083" w:type="dxa"/>
            <w:tcBorders>
              <w:top w:val="single" w:sz="4" w:space="0" w:color="D9D9D9" w:themeColor="background1" w:themeShade="D9"/>
              <w:bottom w:val="single" w:sz="4" w:space="0" w:color="D9D9D9" w:themeColor="background1" w:themeShade="D9"/>
            </w:tcBorders>
            <w:shd w:val="clear" w:color="auto" w:fill="auto"/>
            <w:hideMark/>
          </w:tcPr>
          <w:p w14:paraId="02143E43"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High competitive ability (ability to out-compete other species for food, habitat and other resources)</w:t>
            </w:r>
          </w:p>
        </w:tc>
        <w:tc>
          <w:tcPr>
            <w:tcW w:w="1328" w:type="dxa"/>
            <w:tcBorders>
              <w:top w:val="single" w:sz="4" w:space="0" w:color="D9D9D9" w:themeColor="background1" w:themeShade="D9"/>
              <w:bottom w:val="single" w:sz="4" w:space="0" w:color="D9D9D9" w:themeColor="background1" w:themeShade="D9"/>
            </w:tcBorders>
            <w:shd w:val="clear" w:color="auto" w:fill="auto"/>
            <w:noWrap/>
          </w:tcPr>
          <w:p w14:paraId="5DA5510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yes</w:t>
            </w:r>
          </w:p>
        </w:tc>
        <w:tc>
          <w:tcPr>
            <w:tcW w:w="1275" w:type="dxa"/>
            <w:tcBorders>
              <w:top w:val="single" w:sz="4" w:space="0" w:color="D9D9D9" w:themeColor="background1" w:themeShade="D9"/>
              <w:bottom w:val="single" w:sz="4" w:space="0" w:color="D9D9D9" w:themeColor="background1" w:themeShade="D9"/>
            </w:tcBorders>
            <w:shd w:val="clear" w:color="auto" w:fill="auto"/>
            <w:noWrap/>
            <w:hideMark/>
          </w:tcPr>
          <w:p w14:paraId="2A2163D7" w14:textId="77777777" w:rsidR="0044478E" w:rsidRPr="00747E35" w:rsidRDefault="0044478E" w:rsidP="0044478E">
            <w:pPr>
              <w:pStyle w:val="Tabletext"/>
              <w:spacing w:before="0" w:after="0"/>
              <w:rPr>
                <w:rFonts w:cstheme="minorHAnsi"/>
                <w:lang w:eastAsia="en-AU"/>
              </w:rPr>
            </w:pPr>
          </w:p>
        </w:tc>
      </w:tr>
      <w:tr w:rsidR="0044478E" w:rsidRPr="00747E35" w14:paraId="70CBD91F" w14:textId="77777777" w:rsidTr="0044478E">
        <w:trPr>
          <w:trHeight w:val="20"/>
        </w:trPr>
        <w:tc>
          <w:tcPr>
            <w:tcW w:w="7083" w:type="dxa"/>
            <w:tcBorders>
              <w:top w:val="single" w:sz="4" w:space="0" w:color="D9D9D9" w:themeColor="background1" w:themeShade="D9"/>
              <w:bottom w:val="single" w:sz="4" w:space="0" w:color="D9D9D9" w:themeColor="background1" w:themeShade="D9"/>
            </w:tcBorders>
            <w:shd w:val="clear" w:color="auto" w:fill="auto"/>
            <w:hideMark/>
          </w:tcPr>
          <w:p w14:paraId="408F72A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Low reproductive specialisation (i.e. range of environmental conditions over which reproduction and recruitment can occur)</w:t>
            </w:r>
          </w:p>
        </w:tc>
        <w:tc>
          <w:tcPr>
            <w:tcW w:w="1328" w:type="dxa"/>
            <w:tcBorders>
              <w:top w:val="single" w:sz="4" w:space="0" w:color="D9D9D9" w:themeColor="background1" w:themeShade="D9"/>
              <w:bottom w:val="single" w:sz="4" w:space="0" w:color="D9D9D9" w:themeColor="background1" w:themeShade="D9"/>
            </w:tcBorders>
            <w:shd w:val="clear" w:color="auto" w:fill="auto"/>
            <w:noWrap/>
          </w:tcPr>
          <w:p w14:paraId="5A2ED0B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yes</w:t>
            </w:r>
          </w:p>
        </w:tc>
        <w:tc>
          <w:tcPr>
            <w:tcW w:w="1275" w:type="dxa"/>
            <w:tcBorders>
              <w:top w:val="single" w:sz="4" w:space="0" w:color="D9D9D9" w:themeColor="background1" w:themeShade="D9"/>
              <w:bottom w:val="single" w:sz="4" w:space="0" w:color="D9D9D9" w:themeColor="background1" w:themeShade="D9"/>
            </w:tcBorders>
            <w:shd w:val="clear" w:color="auto" w:fill="auto"/>
            <w:noWrap/>
            <w:hideMark/>
          </w:tcPr>
          <w:p w14:paraId="51096746" w14:textId="77777777" w:rsidR="0044478E" w:rsidRPr="00747E35" w:rsidRDefault="0044478E" w:rsidP="0044478E">
            <w:pPr>
              <w:pStyle w:val="Tabletext"/>
              <w:spacing w:before="0" w:after="0"/>
              <w:rPr>
                <w:rFonts w:cstheme="minorHAnsi"/>
                <w:lang w:eastAsia="en-AU"/>
              </w:rPr>
            </w:pPr>
          </w:p>
        </w:tc>
      </w:tr>
      <w:tr w:rsidR="0044478E" w:rsidRPr="00747E35" w14:paraId="68DEAD77" w14:textId="77777777" w:rsidTr="0044478E">
        <w:trPr>
          <w:trHeight w:val="20"/>
        </w:trPr>
        <w:tc>
          <w:tcPr>
            <w:tcW w:w="7083" w:type="dxa"/>
            <w:tcBorders>
              <w:top w:val="single" w:sz="4" w:space="0" w:color="D9D9D9" w:themeColor="background1" w:themeShade="D9"/>
              <w:bottom w:val="single" w:sz="4" w:space="0" w:color="D9D9D9" w:themeColor="background1" w:themeShade="D9"/>
            </w:tcBorders>
            <w:shd w:val="clear" w:color="auto" w:fill="auto"/>
            <w:hideMark/>
          </w:tcPr>
          <w:p w14:paraId="57555B4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High abundance/biomass/ area of occurrence</w:t>
            </w:r>
          </w:p>
        </w:tc>
        <w:tc>
          <w:tcPr>
            <w:tcW w:w="1328" w:type="dxa"/>
            <w:tcBorders>
              <w:top w:val="single" w:sz="4" w:space="0" w:color="D9D9D9" w:themeColor="background1" w:themeShade="D9"/>
              <w:bottom w:val="single" w:sz="4" w:space="0" w:color="D9D9D9" w:themeColor="background1" w:themeShade="D9"/>
            </w:tcBorders>
            <w:shd w:val="clear" w:color="auto" w:fill="auto"/>
            <w:noWrap/>
          </w:tcPr>
          <w:p w14:paraId="009C2EC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yes</w:t>
            </w:r>
          </w:p>
        </w:tc>
        <w:tc>
          <w:tcPr>
            <w:tcW w:w="1275" w:type="dxa"/>
            <w:tcBorders>
              <w:top w:val="single" w:sz="4" w:space="0" w:color="D9D9D9" w:themeColor="background1" w:themeShade="D9"/>
              <w:bottom w:val="single" w:sz="4" w:space="0" w:color="D9D9D9" w:themeColor="background1" w:themeShade="D9"/>
            </w:tcBorders>
            <w:shd w:val="clear" w:color="auto" w:fill="auto"/>
            <w:noWrap/>
            <w:hideMark/>
          </w:tcPr>
          <w:p w14:paraId="02BB5CA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yes</w:t>
            </w:r>
          </w:p>
        </w:tc>
      </w:tr>
      <w:tr w:rsidR="0044478E" w:rsidRPr="00747E35" w14:paraId="63CE01F2" w14:textId="77777777" w:rsidTr="0044478E">
        <w:trPr>
          <w:trHeight w:val="20"/>
        </w:trPr>
        <w:tc>
          <w:tcPr>
            <w:tcW w:w="7083" w:type="dxa"/>
            <w:tcBorders>
              <w:top w:val="single" w:sz="4" w:space="0" w:color="D9D9D9" w:themeColor="background1" w:themeShade="D9"/>
              <w:bottom w:val="single" w:sz="4" w:space="0" w:color="D9D9D9" w:themeColor="background1" w:themeShade="D9"/>
            </w:tcBorders>
            <w:shd w:val="clear" w:color="auto" w:fill="auto"/>
            <w:hideMark/>
          </w:tcPr>
          <w:p w14:paraId="41B18D0D"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Physical/behavioural strategies to avoid/withstand disturbance (e.g. high mobility, desiccation resistance through dormancy, trampling resistance, etc.)</w:t>
            </w:r>
          </w:p>
        </w:tc>
        <w:tc>
          <w:tcPr>
            <w:tcW w:w="1328" w:type="dxa"/>
            <w:tcBorders>
              <w:top w:val="single" w:sz="4" w:space="0" w:color="D9D9D9" w:themeColor="background1" w:themeShade="D9"/>
              <w:bottom w:val="single" w:sz="4" w:space="0" w:color="D9D9D9" w:themeColor="background1" w:themeShade="D9"/>
            </w:tcBorders>
            <w:shd w:val="clear" w:color="auto" w:fill="auto"/>
            <w:noWrap/>
          </w:tcPr>
          <w:p w14:paraId="537CFCA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yes</w:t>
            </w:r>
          </w:p>
        </w:tc>
        <w:tc>
          <w:tcPr>
            <w:tcW w:w="1275" w:type="dxa"/>
            <w:tcBorders>
              <w:top w:val="single" w:sz="4" w:space="0" w:color="D9D9D9" w:themeColor="background1" w:themeShade="D9"/>
              <w:bottom w:val="single" w:sz="4" w:space="0" w:color="D9D9D9" w:themeColor="background1" w:themeShade="D9"/>
            </w:tcBorders>
            <w:shd w:val="clear" w:color="auto" w:fill="auto"/>
            <w:noWrap/>
            <w:hideMark/>
          </w:tcPr>
          <w:p w14:paraId="7CF5265F"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yes</w:t>
            </w:r>
          </w:p>
        </w:tc>
      </w:tr>
      <w:tr w:rsidR="0044478E" w:rsidRPr="00747E35" w14:paraId="5B56A126" w14:textId="77777777" w:rsidTr="0044478E">
        <w:trPr>
          <w:trHeight w:val="20"/>
        </w:trPr>
        <w:tc>
          <w:tcPr>
            <w:tcW w:w="7083" w:type="dxa"/>
            <w:tcBorders>
              <w:top w:val="single" w:sz="4" w:space="0" w:color="D9D9D9" w:themeColor="background1" w:themeShade="D9"/>
              <w:bottom w:val="single" w:sz="4" w:space="0" w:color="D9D9D9" w:themeColor="background1" w:themeShade="D9"/>
            </w:tcBorders>
            <w:shd w:val="clear" w:color="auto" w:fill="auto"/>
            <w:hideMark/>
          </w:tcPr>
          <w:p w14:paraId="712D8F6E"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High dispersal/recolonisation ability</w:t>
            </w:r>
          </w:p>
        </w:tc>
        <w:tc>
          <w:tcPr>
            <w:tcW w:w="1328" w:type="dxa"/>
            <w:tcBorders>
              <w:top w:val="single" w:sz="4" w:space="0" w:color="D9D9D9" w:themeColor="background1" w:themeShade="D9"/>
              <w:bottom w:val="single" w:sz="4" w:space="0" w:color="D9D9D9" w:themeColor="background1" w:themeShade="D9"/>
            </w:tcBorders>
            <w:shd w:val="clear" w:color="auto" w:fill="auto"/>
            <w:noWrap/>
            <w:hideMark/>
          </w:tcPr>
          <w:p w14:paraId="7BE46C16" w14:textId="77777777" w:rsidR="0044478E" w:rsidRPr="00747E35" w:rsidRDefault="0044478E" w:rsidP="0044478E">
            <w:pPr>
              <w:pStyle w:val="Tabletext"/>
              <w:spacing w:before="0" w:after="0"/>
              <w:rPr>
                <w:rFonts w:cstheme="minorHAnsi"/>
                <w:lang w:eastAsia="en-AU"/>
              </w:rPr>
            </w:pPr>
          </w:p>
        </w:tc>
        <w:tc>
          <w:tcPr>
            <w:tcW w:w="1275" w:type="dxa"/>
            <w:tcBorders>
              <w:top w:val="single" w:sz="4" w:space="0" w:color="D9D9D9" w:themeColor="background1" w:themeShade="D9"/>
              <w:bottom w:val="single" w:sz="4" w:space="0" w:color="D9D9D9" w:themeColor="background1" w:themeShade="D9"/>
            </w:tcBorders>
            <w:shd w:val="clear" w:color="auto" w:fill="auto"/>
            <w:noWrap/>
            <w:hideMark/>
          </w:tcPr>
          <w:p w14:paraId="05139563"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yes</w:t>
            </w:r>
          </w:p>
        </w:tc>
      </w:tr>
      <w:tr w:rsidR="0044478E" w:rsidRPr="00747E35" w14:paraId="79609A31" w14:textId="77777777" w:rsidTr="0044478E">
        <w:trPr>
          <w:trHeight w:val="20"/>
        </w:trPr>
        <w:tc>
          <w:tcPr>
            <w:tcW w:w="7083" w:type="dxa"/>
            <w:tcBorders>
              <w:top w:val="single" w:sz="4" w:space="0" w:color="D9D9D9" w:themeColor="background1" w:themeShade="D9"/>
              <w:bottom w:val="single" w:sz="4" w:space="0" w:color="D9D9D9" w:themeColor="background1" w:themeShade="D9"/>
            </w:tcBorders>
            <w:shd w:val="clear" w:color="auto" w:fill="auto"/>
            <w:hideMark/>
          </w:tcPr>
          <w:p w14:paraId="257112C3"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High reproductive capacity (i.e. based on fecundity, frequency &amp; duration of reproduction events, generation time, degree of parental care, reproductive mode (e.g. vegetative vs seeds), seed store persistence?)</w:t>
            </w:r>
          </w:p>
        </w:tc>
        <w:tc>
          <w:tcPr>
            <w:tcW w:w="1328" w:type="dxa"/>
            <w:tcBorders>
              <w:top w:val="single" w:sz="4" w:space="0" w:color="D9D9D9" w:themeColor="background1" w:themeShade="D9"/>
              <w:bottom w:val="single" w:sz="4" w:space="0" w:color="D9D9D9" w:themeColor="background1" w:themeShade="D9"/>
            </w:tcBorders>
            <w:shd w:val="clear" w:color="auto" w:fill="auto"/>
            <w:noWrap/>
            <w:hideMark/>
          </w:tcPr>
          <w:p w14:paraId="7DE98227" w14:textId="77777777" w:rsidR="0044478E" w:rsidRPr="00747E35" w:rsidRDefault="0044478E" w:rsidP="0044478E">
            <w:pPr>
              <w:pStyle w:val="Tabletext"/>
              <w:spacing w:before="0" w:after="0"/>
              <w:rPr>
                <w:rFonts w:cstheme="minorHAnsi"/>
                <w:lang w:eastAsia="en-AU"/>
              </w:rPr>
            </w:pPr>
          </w:p>
        </w:tc>
        <w:tc>
          <w:tcPr>
            <w:tcW w:w="1275" w:type="dxa"/>
            <w:tcBorders>
              <w:top w:val="single" w:sz="4" w:space="0" w:color="D9D9D9" w:themeColor="background1" w:themeShade="D9"/>
              <w:bottom w:val="single" w:sz="4" w:space="0" w:color="D9D9D9" w:themeColor="background1" w:themeShade="D9"/>
            </w:tcBorders>
            <w:shd w:val="clear" w:color="auto" w:fill="auto"/>
            <w:noWrap/>
            <w:hideMark/>
          </w:tcPr>
          <w:p w14:paraId="0232FEA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yes</w:t>
            </w:r>
          </w:p>
        </w:tc>
      </w:tr>
      <w:tr w:rsidR="0044478E" w:rsidRPr="00747E35" w14:paraId="4F5C64E2" w14:textId="77777777" w:rsidTr="0044478E">
        <w:trPr>
          <w:trHeight w:val="20"/>
        </w:trPr>
        <w:tc>
          <w:tcPr>
            <w:tcW w:w="7083" w:type="dxa"/>
            <w:tcBorders>
              <w:top w:val="single" w:sz="4" w:space="0" w:color="D9D9D9" w:themeColor="background1" w:themeShade="D9"/>
              <w:bottom w:val="single" w:sz="4" w:space="0" w:color="auto"/>
            </w:tcBorders>
            <w:shd w:val="clear" w:color="auto" w:fill="auto"/>
            <w:hideMark/>
          </w:tcPr>
          <w:p w14:paraId="0A08533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Longevity</w:t>
            </w:r>
          </w:p>
        </w:tc>
        <w:tc>
          <w:tcPr>
            <w:tcW w:w="1328" w:type="dxa"/>
            <w:tcBorders>
              <w:top w:val="single" w:sz="4" w:space="0" w:color="D9D9D9" w:themeColor="background1" w:themeShade="D9"/>
              <w:bottom w:val="single" w:sz="4" w:space="0" w:color="auto"/>
            </w:tcBorders>
            <w:shd w:val="clear" w:color="auto" w:fill="auto"/>
            <w:noWrap/>
            <w:hideMark/>
          </w:tcPr>
          <w:p w14:paraId="7C6D8134" w14:textId="77777777" w:rsidR="0044478E" w:rsidRPr="00747E35" w:rsidRDefault="0044478E" w:rsidP="0044478E">
            <w:pPr>
              <w:pStyle w:val="Tabletext"/>
              <w:spacing w:before="0" w:after="0"/>
              <w:rPr>
                <w:rFonts w:cstheme="minorHAnsi"/>
                <w:lang w:eastAsia="en-AU"/>
              </w:rPr>
            </w:pPr>
          </w:p>
        </w:tc>
        <w:tc>
          <w:tcPr>
            <w:tcW w:w="1275" w:type="dxa"/>
            <w:tcBorders>
              <w:top w:val="single" w:sz="4" w:space="0" w:color="D9D9D9" w:themeColor="background1" w:themeShade="D9"/>
              <w:bottom w:val="single" w:sz="4" w:space="0" w:color="auto"/>
            </w:tcBorders>
            <w:shd w:val="clear" w:color="auto" w:fill="auto"/>
            <w:noWrap/>
            <w:hideMark/>
          </w:tcPr>
          <w:p w14:paraId="10029D6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yes</w:t>
            </w:r>
          </w:p>
        </w:tc>
      </w:tr>
    </w:tbl>
    <w:p w14:paraId="2697195B" w14:textId="77777777" w:rsidR="0044478E" w:rsidRPr="00747E35" w:rsidRDefault="0044478E" w:rsidP="0044478E">
      <w:pPr>
        <w:rPr>
          <w:rFonts w:asciiTheme="minorHAnsi" w:hAnsiTheme="minorHAnsi" w:cstheme="minorHAnsi"/>
        </w:rPr>
      </w:pPr>
    </w:p>
    <w:p w14:paraId="0DB47714" w14:textId="77777777" w:rsidR="0044478E" w:rsidRPr="00747E35" w:rsidRDefault="0044478E" w:rsidP="0044478E">
      <w:pPr>
        <w:rPr>
          <w:rFonts w:asciiTheme="minorHAnsi" w:hAnsiTheme="minorHAnsi" w:cstheme="minorHAnsi"/>
        </w:rPr>
      </w:pPr>
    </w:p>
    <w:p w14:paraId="5F48E486" w14:textId="3302507E" w:rsidR="0044478E" w:rsidRPr="00747E35" w:rsidRDefault="0044478E" w:rsidP="0044478E">
      <w:pPr>
        <w:pStyle w:val="Heading3"/>
        <w:rPr>
          <w:rFonts w:asciiTheme="minorHAnsi" w:hAnsiTheme="minorHAnsi" w:cstheme="minorHAnsi"/>
        </w:rPr>
      </w:pPr>
      <w:bookmarkStart w:id="426" w:name="_Toc467244826"/>
      <w:bookmarkStart w:id="427" w:name="_Toc470004909"/>
      <w:r w:rsidRPr="00747E35">
        <w:rPr>
          <w:rFonts w:asciiTheme="minorHAnsi" w:hAnsiTheme="minorHAnsi" w:cstheme="minorHAnsi"/>
        </w:rPr>
        <w:t>Risk assessment approach</w:t>
      </w:r>
      <w:bookmarkEnd w:id="426"/>
      <w:bookmarkEnd w:id="427"/>
    </w:p>
    <w:p w14:paraId="0A73D39B" w14:textId="475DCFF8" w:rsidR="0044478E" w:rsidRPr="00747E35" w:rsidRDefault="0044478E" w:rsidP="0044478E">
      <w:pPr>
        <w:rPr>
          <w:rFonts w:asciiTheme="minorHAnsi" w:hAnsiTheme="minorHAnsi" w:cstheme="minorHAnsi"/>
        </w:rPr>
      </w:pPr>
      <w:r w:rsidRPr="00747E35">
        <w:rPr>
          <w:rFonts w:asciiTheme="minorHAnsi" w:hAnsiTheme="minorHAnsi" w:cstheme="minorHAnsi"/>
        </w:rPr>
        <w:t xml:space="preserve">The approach used to assess risks to GAB spring wetlands and their endemic flora and fauna from cumulative impacts of current threats (described in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_Ref453232771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38</w:t>
      </w:r>
      <w:r w:rsidRPr="00747E35">
        <w:rPr>
          <w:rFonts w:asciiTheme="minorHAnsi" w:hAnsiTheme="minorHAnsi" w:cstheme="minorHAnsi"/>
        </w:rPr>
        <w:fldChar w:fldCharType="end"/>
      </w:r>
      <w:r w:rsidRPr="00747E35">
        <w:rPr>
          <w:rFonts w:asciiTheme="minorHAnsi" w:hAnsiTheme="minorHAnsi" w:cstheme="minorHAnsi"/>
        </w:rPr>
        <w:t>) is modified from Halpern et al. (2007, 2008, 2015). Cumulative impacts (</w:t>
      </w:r>
      <w:r w:rsidRPr="00747E35">
        <w:rPr>
          <w:rFonts w:asciiTheme="minorHAnsi" w:hAnsiTheme="minorHAnsi" w:cstheme="minorHAnsi"/>
          <w:i/>
        </w:rPr>
        <w:t>I</w:t>
      </w:r>
      <w:r w:rsidRPr="00747E35">
        <w:rPr>
          <w:rFonts w:asciiTheme="minorHAnsi" w:hAnsiTheme="minorHAnsi" w:cstheme="minorHAnsi"/>
          <w:i/>
          <w:vertAlign w:val="subscript"/>
        </w:rPr>
        <w:t>C</w:t>
      </w:r>
      <w:r w:rsidRPr="00747E35">
        <w:rPr>
          <w:rFonts w:asciiTheme="minorHAnsi" w:hAnsiTheme="minorHAnsi" w:cstheme="minorHAnsi"/>
        </w:rPr>
        <w:t>) are calculated for each spring complex as follows:</w:t>
      </w:r>
    </w:p>
    <w:p w14:paraId="18899C81" w14:textId="77777777" w:rsidR="0044478E" w:rsidRPr="00747E35" w:rsidRDefault="006E6498" w:rsidP="0044478E">
      <w:pPr>
        <w:rPr>
          <w:rFonts w:asciiTheme="minorHAnsi" w:hAnsiTheme="minorHAnsi" w:cstheme="minorHAnsi"/>
        </w:rPr>
      </w:pPr>
      <m:oMathPara>
        <m:oMath>
          <m:sSub>
            <m:sSubPr>
              <m:ctrlPr>
                <w:rPr>
                  <w:rFonts w:ascii="Cambria Math" w:hAnsi="Cambria Math" w:cstheme="minorHAnsi"/>
                </w:rPr>
              </m:ctrlPr>
            </m:sSubPr>
            <m:e>
              <m:r>
                <w:rPr>
                  <w:rFonts w:ascii="Cambria Math" w:hAnsi="Cambria Math" w:cstheme="minorHAnsi"/>
                </w:rPr>
                <m:t>I</m:t>
              </m:r>
            </m:e>
            <m:sub>
              <m:r>
                <w:rPr>
                  <w:rFonts w:ascii="Cambria Math" w:hAnsi="Cambria Math" w:cstheme="minorHAnsi"/>
                </w:rPr>
                <m:t>C</m:t>
              </m:r>
            </m:sub>
          </m:sSub>
          <m:r>
            <m:rPr>
              <m:sty m:val="p"/>
            </m:rPr>
            <w:rPr>
              <w:rFonts w:ascii="Cambria Math" w:hAnsi="Cambria Math" w:cstheme="minorHAnsi"/>
            </w:rPr>
            <m:t>=</m:t>
          </m:r>
          <m:nary>
            <m:naryPr>
              <m:chr m:val="∑"/>
              <m:grow m:val="1"/>
              <m:ctrlPr>
                <w:rPr>
                  <w:rFonts w:ascii="Cambria Math" w:hAnsi="Cambria Math" w:cstheme="minorHAnsi"/>
                </w:rPr>
              </m:ctrlPr>
            </m:naryPr>
            <m:sub>
              <m:r>
                <w:rPr>
                  <w:rFonts w:ascii="Cambria Math" w:eastAsia="Cambria Math" w:hAnsi="Cambria Math" w:cstheme="minorHAnsi"/>
                </w:rPr>
                <m:t>i</m:t>
              </m:r>
              <m:r>
                <m:rPr>
                  <m:sty m:val="p"/>
                </m:rPr>
                <w:rPr>
                  <w:rFonts w:ascii="Cambria Math" w:eastAsia="Cambria Math" w:hAnsi="Cambria Math" w:cstheme="minorHAnsi"/>
                </w:rPr>
                <m:t>=1</m:t>
              </m:r>
            </m:sub>
            <m:sup>
              <m:r>
                <w:rPr>
                  <w:rFonts w:ascii="Cambria Math" w:eastAsia="Cambria Math" w:hAnsi="Cambria Math" w:cstheme="minorHAnsi"/>
                </w:rPr>
                <m:t>n</m:t>
              </m:r>
            </m:sup>
            <m:e>
              <m:f>
                <m:fPr>
                  <m:ctrlPr>
                    <w:rPr>
                      <w:rFonts w:ascii="Cambria Math" w:hAnsi="Cambria Math" w:cstheme="minorHAnsi"/>
                    </w:rPr>
                  </m:ctrlPr>
                </m:fPr>
                <m:num>
                  <m:r>
                    <m:rPr>
                      <m:sty m:val="p"/>
                    </m:rPr>
                    <w:rPr>
                      <w:rFonts w:ascii="Cambria Math" w:hAnsi="Cambria Math" w:cstheme="minorHAnsi"/>
                    </w:rPr>
                    <m:t>1</m:t>
                  </m:r>
                </m:num>
                <m:den>
                  <m:r>
                    <w:rPr>
                      <w:rFonts w:ascii="Cambria Math" w:hAnsi="Cambria Math" w:cstheme="minorHAnsi"/>
                    </w:rPr>
                    <m:t>m</m:t>
                  </m:r>
                </m:den>
              </m:f>
            </m:e>
          </m:nary>
          <m:nary>
            <m:naryPr>
              <m:chr m:val="∑"/>
              <m:grow m:val="1"/>
              <m:ctrlPr>
                <w:rPr>
                  <w:rFonts w:ascii="Cambria Math" w:hAnsi="Cambria Math" w:cstheme="minorHAnsi"/>
                </w:rPr>
              </m:ctrlPr>
            </m:naryPr>
            <m:sub>
              <m:r>
                <w:rPr>
                  <w:rFonts w:ascii="Cambria Math" w:eastAsia="Cambria Math" w:hAnsi="Cambria Math" w:cstheme="minorHAnsi"/>
                </w:rPr>
                <m:t>j</m:t>
              </m:r>
              <m:r>
                <m:rPr>
                  <m:sty m:val="p"/>
                </m:rPr>
                <w:rPr>
                  <w:rFonts w:ascii="Cambria Math" w:eastAsia="Cambria Math" w:hAnsi="Cambria Math" w:cstheme="minorHAnsi"/>
                </w:rPr>
                <m:t>=1</m:t>
              </m:r>
            </m:sub>
            <m:sup>
              <m:r>
                <w:rPr>
                  <w:rFonts w:ascii="Cambria Math" w:eastAsia="Cambria Math" w:hAnsi="Cambria Math" w:cstheme="minorHAnsi"/>
                </w:rPr>
                <m:t>m</m:t>
              </m:r>
            </m:sup>
            <m:e>
              <m:sSub>
                <m:sSubPr>
                  <m:ctrlPr>
                    <w:rPr>
                      <w:rFonts w:ascii="Cambria Math" w:hAnsi="Cambria Math" w:cstheme="minorHAnsi"/>
                    </w:rPr>
                  </m:ctrlPr>
                </m:sSubPr>
                <m:e>
                  <m:r>
                    <w:rPr>
                      <w:rFonts w:ascii="Cambria Math" w:hAnsi="Cambria Math" w:cstheme="minorHAnsi"/>
                    </w:rPr>
                    <m:t>T</m:t>
                  </m:r>
                </m:e>
                <m:sub>
                  <m:r>
                    <w:rPr>
                      <w:rFonts w:ascii="Cambria Math" w:hAnsi="Cambria Math" w:cstheme="minorHAnsi"/>
                    </w:rPr>
                    <m:t>i</m:t>
                  </m:r>
                </m:sub>
              </m:sSub>
              <m:r>
                <m:rPr>
                  <m:sty m:val="p"/>
                </m:rPr>
                <w:rPr>
                  <w:rFonts w:ascii="Cambria Math" w:hAnsi="Cambria Math" w:cstheme="minorHAnsi"/>
                </w:rPr>
                <m:t>*</m:t>
              </m:r>
              <m:sSub>
                <m:sSubPr>
                  <m:ctrlPr>
                    <w:rPr>
                      <w:rFonts w:ascii="Cambria Math" w:hAnsi="Cambria Math" w:cstheme="minorHAnsi"/>
                    </w:rPr>
                  </m:ctrlPr>
                </m:sSubPr>
                <m:e>
                  <m:r>
                    <w:rPr>
                      <w:rFonts w:ascii="Cambria Math" w:hAnsi="Cambria Math" w:cstheme="minorHAnsi"/>
                    </w:rPr>
                    <m:t>S</m:t>
                  </m:r>
                </m:e>
                <m:sub>
                  <m:r>
                    <w:rPr>
                      <w:rFonts w:ascii="Cambria Math" w:hAnsi="Cambria Math" w:cstheme="minorHAnsi"/>
                    </w:rPr>
                    <m:t>j</m:t>
                  </m:r>
                </m:sub>
              </m:sSub>
              <m:r>
                <m:rPr>
                  <m:sty m:val="p"/>
                </m:rPr>
                <w:rPr>
                  <w:rFonts w:ascii="Cambria Math" w:hAnsi="Cambria Math" w:cstheme="minorHAnsi"/>
                </w:rPr>
                <m:t>*</m:t>
              </m:r>
              <m:sSub>
                <m:sSubPr>
                  <m:ctrlPr>
                    <w:rPr>
                      <w:rFonts w:ascii="Cambria Math" w:hAnsi="Cambria Math" w:cstheme="minorHAnsi"/>
                    </w:rPr>
                  </m:ctrlPr>
                </m:sSubPr>
                <m:e>
                  <m:r>
                    <w:rPr>
                      <w:rFonts w:ascii="Cambria Math" w:hAnsi="Cambria Math" w:cstheme="minorHAnsi"/>
                    </w:rPr>
                    <m:t>μ</m:t>
                  </m:r>
                </m:e>
                <m:sub>
                  <m:r>
                    <w:rPr>
                      <w:rFonts w:ascii="Cambria Math" w:hAnsi="Cambria Math" w:cstheme="minorHAnsi"/>
                    </w:rPr>
                    <m:t>i</m:t>
                  </m:r>
                  <m:r>
                    <m:rPr>
                      <m:sty m:val="p"/>
                    </m:rPr>
                    <w:rPr>
                      <w:rFonts w:ascii="Cambria Math" w:hAnsi="Cambria Math" w:cstheme="minorHAnsi"/>
                    </w:rPr>
                    <m:t>,</m:t>
                  </m:r>
                  <m:r>
                    <w:rPr>
                      <w:rFonts w:ascii="Cambria Math" w:hAnsi="Cambria Math" w:cstheme="minorHAnsi"/>
                    </w:rPr>
                    <m:t>j</m:t>
                  </m:r>
                </m:sub>
              </m:sSub>
            </m:e>
          </m:nary>
          <m:r>
            <m:rPr>
              <m:sty m:val="p"/>
            </m:rPr>
            <w:rPr>
              <w:rFonts w:ascii="Cambria Math" w:hAnsi="Cambria Math" w:cstheme="minorHAnsi"/>
            </w:rPr>
            <m:t xml:space="preserve"> </m:t>
          </m:r>
        </m:oMath>
      </m:oMathPara>
    </w:p>
    <w:p w14:paraId="7245C75E" w14:textId="77777777" w:rsidR="0044478E" w:rsidRPr="00747E35" w:rsidRDefault="0044478E" w:rsidP="0044478E">
      <w:pPr>
        <w:rPr>
          <w:rFonts w:asciiTheme="minorHAnsi" w:hAnsiTheme="minorHAnsi" w:cstheme="minorHAnsi"/>
        </w:rPr>
      </w:pPr>
    </w:p>
    <w:p w14:paraId="79FE5E6D"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 xml:space="preserve">where </w:t>
      </w:r>
      <w:r w:rsidRPr="00747E35">
        <w:rPr>
          <w:rFonts w:asciiTheme="minorHAnsi" w:hAnsiTheme="minorHAnsi" w:cstheme="minorHAnsi"/>
          <w:i/>
        </w:rPr>
        <w:t>T</w:t>
      </w:r>
      <w:r w:rsidRPr="00747E35">
        <w:rPr>
          <w:rFonts w:asciiTheme="minorHAnsi" w:hAnsiTheme="minorHAnsi" w:cstheme="minorHAnsi"/>
          <w:i/>
          <w:vertAlign w:val="subscript"/>
        </w:rPr>
        <w:t>i</w:t>
      </w:r>
      <w:r w:rsidRPr="00747E35">
        <w:rPr>
          <w:rFonts w:asciiTheme="minorHAnsi" w:hAnsiTheme="minorHAnsi" w:cstheme="minorHAnsi"/>
        </w:rPr>
        <w:t xml:space="preserve"> is the log(x+1)-transformed normalised value (scaled between 0 and 1) of a threat at spring complex </w:t>
      </w:r>
      <w:r w:rsidRPr="00747E35">
        <w:rPr>
          <w:rFonts w:asciiTheme="minorHAnsi" w:hAnsiTheme="minorHAnsi" w:cstheme="minorHAnsi"/>
          <w:i/>
        </w:rPr>
        <w:t>i</w:t>
      </w:r>
      <w:r w:rsidRPr="00747E35">
        <w:rPr>
          <w:rFonts w:asciiTheme="minorHAnsi" w:hAnsiTheme="minorHAnsi" w:cstheme="minorHAnsi"/>
        </w:rPr>
        <w:t xml:space="preserve">, </w:t>
      </w:r>
      <w:r w:rsidRPr="00747E35">
        <w:rPr>
          <w:rFonts w:asciiTheme="minorHAnsi" w:hAnsiTheme="minorHAnsi" w:cstheme="minorHAnsi"/>
          <w:i/>
        </w:rPr>
        <w:t>S</w:t>
      </w:r>
      <w:r w:rsidRPr="00747E35">
        <w:rPr>
          <w:rFonts w:asciiTheme="minorHAnsi" w:hAnsiTheme="minorHAnsi" w:cstheme="minorHAnsi"/>
          <w:i/>
          <w:vertAlign w:val="subscript"/>
        </w:rPr>
        <w:t>j</w:t>
      </w:r>
      <w:r w:rsidRPr="00747E35">
        <w:rPr>
          <w:rFonts w:asciiTheme="minorHAnsi" w:hAnsiTheme="minorHAnsi" w:cstheme="minorHAnsi"/>
        </w:rPr>
        <w:t xml:space="preserve"> is the presence or absence of species </w:t>
      </w:r>
      <w:r w:rsidRPr="00747E35">
        <w:rPr>
          <w:rFonts w:asciiTheme="minorHAnsi" w:hAnsiTheme="minorHAnsi" w:cstheme="minorHAnsi"/>
          <w:i/>
        </w:rPr>
        <w:t>j</w:t>
      </w:r>
      <w:r w:rsidRPr="00747E35">
        <w:rPr>
          <w:rFonts w:asciiTheme="minorHAnsi" w:hAnsiTheme="minorHAnsi" w:cstheme="minorHAnsi"/>
        </w:rPr>
        <w:t xml:space="preserve"> (either 1 or 0, respectively), and </w:t>
      </w:r>
      <w:r w:rsidRPr="00747E35">
        <w:rPr>
          <w:rFonts w:asciiTheme="minorHAnsi" w:hAnsiTheme="minorHAnsi" w:cstheme="minorHAnsi"/>
          <w:i/>
        </w:rPr>
        <w:t>µ</w:t>
      </w:r>
      <w:r w:rsidRPr="00747E35">
        <w:rPr>
          <w:rFonts w:asciiTheme="minorHAnsi" w:hAnsiTheme="minorHAnsi" w:cstheme="minorHAnsi"/>
          <w:i/>
          <w:vertAlign w:val="subscript"/>
        </w:rPr>
        <w:t>ij</w:t>
      </w:r>
      <w:r w:rsidRPr="00747E35">
        <w:rPr>
          <w:rFonts w:asciiTheme="minorHAnsi" w:hAnsiTheme="minorHAnsi" w:cstheme="minorHAnsi"/>
        </w:rPr>
        <w:t xml:space="preserve"> is the vulnerability weight for the threat </w:t>
      </w:r>
      <w:r w:rsidRPr="00747E35">
        <w:rPr>
          <w:rFonts w:asciiTheme="minorHAnsi" w:hAnsiTheme="minorHAnsi" w:cstheme="minorHAnsi"/>
          <w:i/>
        </w:rPr>
        <w:t>i</w:t>
      </w:r>
      <w:r w:rsidRPr="00747E35">
        <w:rPr>
          <w:rFonts w:asciiTheme="minorHAnsi" w:hAnsiTheme="minorHAnsi" w:cstheme="minorHAnsi"/>
        </w:rPr>
        <w:t xml:space="preserve"> and species </w:t>
      </w:r>
      <w:r w:rsidRPr="00747E35">
        <w:rPr>
          <w:rFonts w:asciiTheme="minorHAnsi" w:hAnsiTheme="minorHAnsi" w:cstheme="minorHAnsi"/>
          <w:i/>
        </w:rPr>
        <w:t>j</w:t>
      </w:r>
      <w:r w:rsidRPr="00747E35">
        <w:rPr>
          <w:rFonts w:asciiTheme="minorHAnsi" w:hAnsiTheme="minorHAnsi" w:cstheme="minorHAnsi"/>
        </w:rPr>
        <w:t xml:space="preserve"> (range 1 to 3,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_Ref453232904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40</w:t>
      </w:r>
      <w:r w:rsidRPr="00747E35">
        <w:rPr>
          <w:rFonts w:asciiTheme="minorHAnsi" w:hAnsiTheme="minorHAnsi" w:cstheme="minorHAnsi"/>
        </w:rPr>
        <w:fldChar w:fldCharType="end"/>
      </w:r>
      <w:r w:rsidRPr="00747E35">
        <w:rPr>
          <w:rFonts w:asciiTheme="minorHAnsi" w:hAnsiTheme="minorHAnsi" w:cstheme="minorHAnsi"/>
        </w:rPr>
        <w:t xml:space="preserve">), given </w:t>
      </w:r>
      <w:r w:rsidRPr="00747E35">
        <w:rPr>
          <w:rFonts w:asciiTheme="minorHAnsi" w:hAnsiTheme="minorHAnsi" w:cstheme="minorHAnsi"/>
          <w:i/>
        </w:rPr>
        <w:t>n</w:t>
      </w:r>
      <w:r w:rsidRPr="00747E35">
        <w:rPr>
          <w:rFonts w:asciiTheme="minorHAnsi" w:hAnsiTheme="minorHAnsi" w:cstheme="minorHAnsi"/>
        </w:rPr>
        <w:t xml:space="preserve"> = 5 threats and </w:t>
      </w:r>
      <w:r w:rsidRPr="00747E35">
        <w:rPr>
          <w:rFonts w:asciiTheme="minorHAnsi" w:hAnsiTheme="minorHAnsi" w:cstheme="minorHAnsi"/>
          <w:i/>
        </w:rPr>
        <w:t>m</w:t>
      </w:r>
      <w:r w:rsidRPr="00747E35">
        <w:rPr>
          <w:rFonts w:asciiTheme="minorHAnsi" w:hAnsiTheme="minorHAnsi" w:cstheme="minorHAnsi"/>
        </w:rPr>
        <w:t xml:space="preserve"> = 98 species. </w:t>
      </w:r>
    </w:p>
    <w:p w14:paraId="2E79706A"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Vulnerability weights are calculated by combining expert scores for two vulnerability measures (resistance and resilience) and the certainty measure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_Ref453232904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40</w:t>
      </w:r>
      <w:r w:rsidRPr="00747E35">
        <w:rPr>
          <w:rFonts w:asciiTheme="minorHAnsi" w:hAnsiTheme="minorHAnsi" w:cstheme="minorHAnsi"/>
        </w:rPr>
        <w:fldChar w:fldCharType="end"/>
      </w:r>
      <w:r w:rsidRPr="00747E35">
        <w:rPr>
          <w:rFonts w:asciiTheme="minorHAnsi" w:hAnsiTheme="minorHAnsi" w:cstheme="minorHAnsi"/>
        </w:rPr>
        <w:t>) into a single weighted-average vulnerability score that represents (in relative terms) how vulnerable a given species is to a given threat.  We used expert judgment to estimate the vulnerability weights (</w:t>
      </w:r>
      <w:r w:rsidRPr="00747E35">
        <w:rPr>
          <w:rFonts w:asciiTheme="minorHAnsi" w:hAnsiTheme="minorHAnsi" w:cstheme="minorHAnsi"/>
          <w:i/>
        </w:rPr>
        <w:t>µ</w:t>
      </w:r>
      <w:r w:rsidRPr="00747E35">
        <w:rPr>
          <w:rFonts w:asciiTheme="minorHAnsi" w:hAnsiTheme="minorHAnsi" w:cstheme="minorHAnsi"/>
          <w:i/>
          <w:vertAlign w:val="subscript"/>
        </w:rPr>
        <w:t>ij</w:t>
      </w:r>
      <w:r w:rsidRPr="00747E35">
        <w:rPr>
          <w:rFonts w:asciiTheme="minorHAnsi" w:hAnsiTheme="minorHAnsi" w:cstheme="minorHAnsi"/>
        </w:rPr>
        <w:t xml:space="preserve">) because empirical data on GAB endemic species’ responses to threats are lacking. Practitioners often rely on expert knowledge is such situations (Burgman et al. 2005; Runge et al. 2011; Martin et al. 2012).  However, expert knowledge is uncertain, as it is based on an expert’s own observations and judgment (Regan et al. 2002). Management decisions that do not account </w:t>
      </w:r>
      <w:r w:rsidRPr="00747E35">
        <w:rPr>
          <w:rFonts w:asciiTheme="minorHAnsi" w:hAnsiTheme="minorHAnsi" w:cstheme="minorHAnsi"/>
        </w:rPr>
        <w:lastRenderedPageBreak/>
        <w:t xml:space="preserve">for parameter uncertainty can lead to suboptimal outcomes, which might increase species risk of extinctions (McDonald-Madden et al. 2010).  </w:t>
      </w:r>
    </w:p>
    <w:p w14:paraId="03DA4CE2" w14:textId="77777777" w:rsidR="0044478E" w:rsidRPr="00747E35" w:rsidRDefault="0044478E" w:rsidP="0044478E">
      <w:pPr>
        <w:rPr>
          <w:rFonts w:asciiTheme="minorHAnsi" w:hAnsiTheme="minorHAnsi" w:cstheme="minorHAnsi"/>
        </w:rPr>
      </w:pPr>
    </w:p>
    <w:p w14:paraId="68C41A52" w14:textId="3D382165" w:rsidR="0044478E" w:rsidRPr="00747E35" w:rsidRDefault="0044478E" w:rsidP="00566456">
      <w:pPr>
        <w:pStyle w:val="Caption"/>
        <w:numPr>
          <w:ilvl w:val="0"/>
          <w:numId w:val="0"/>
        </w:numPr>
        <w:rPr>
          <w:rFonts w:cstheme="minorHAnsi"/>
        </w:rPr>
      </w:pPr>
      <w:bookmarkStart w:id="428" w:name="_Ref453232904"/>
      <w:r w:rsidRPr="00747E35">
        <w:rPr>
          <w:rFonts w:cstheme="minorHAnsi"/>
        </w:rPr>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40</w:t>
      </w:r>
      <w:r w:rsidR="009D6600" w:rsidRPr="00747E35">
        <w:rPr>
          <w:rFonts w:cstheme="minorHAnsi"/>
          <w:noProof/>
        </w:rPr>
        <w:fldChar w:fldCharType="end"/>
      </w:r>
      <w:bookmarkEnd w:id="428"/>
      <w:r w:rsidRPr="00747E35">
        <w:rPr>
          <w:rFonts w:cstheme="minorHAnsi"/>
        </w:rPr>
        <w:t>: Ranking system for each vulnerability measure used to assess how threats affect GAB spring endemic flora and fauna (modified from Halpern et al</w:t>
      </w:r>
      <w:r w:rsidR="005E04D7">
        <w:rPr>
          <w:rFonts w:cstheme="minorHAnsi"/>
        </w:rPr>
        <w:t>.</w:t>
      </w:r>
      <w:r w:rsidRPr="00747E35">
        <w:rPr>
          <w:rFonts w:cstheme="minorHAnsi"/>
        </w:rPr>
        <w:t xml:space="preserve"> 2007).</w:t>
      </w:r>
    </w:p>
    <w:tbl>
      <w:tblPr>
        <w:tblW w:w="9634" w:type="dxa"/>
        <w:tblLook w:val="04A0" w:firstRow="1" w:lastRow="0" w:firstColumn="1" w:lastColumn="0" w:noHBand="0" w:noVBand="1"/>
      </w:tblPr>
      <w:tblGrid>
        <w:gridCol w:w="1413"/>
        <w:gridCol w:w="8221"/>
      </w:tblGrid>
      <w:tr w:rsidR="0044478E" w:rsidRPr="00747E35" w14:paraId="56FD3B61" w14:textId="77777777" w:rsidTr="00D062C2">
        <w:trPr>
          <w:trHeight w:val="20"/>
        </w:trPr>
        <w:tc>
          <w:tcPr>
            <w:tcW w:w="1413" w:type="dxa"/>
            <w:tcBorders>
              <w:top w:val="single" w:sz="4" w:space="0" w:color="auto"/>
              <w:bottom w:val="single" w:sz="4" w:space="0" w:color="auto"/>
            </w:tcBorders>
            <w:shd w:val="clear" w:color="auto" w:fill="DEEAF6" w:themeFill="accent1" w:themeFillTint="33"/>
            <w:noWrap/>
            <w:hideMark/>
          </w:tcPr>
          <w:p w14:paraId="463299AD"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Vulnerability measure</w:t>
            </w:r>
          </w:p>
        </w:tc>
        <w:tc>
          <w:tcPr>
            <w:tcW w:w="8221" w:type="dxa"/>
            <w:tcBorders>
              <w:top w:val="single" w:sz="4" w:space="0" w:color="auto"/>
              <w:bottom w:val="single" w:sz="4" w:space="0" w:color="auto"/>
            </w:tcBorders>
            <w:shd w:val="clear" w:color="auto" w:fill="DEEAF6" w:themeFill="accent1" w:themeFillTint="33"/>
            <w:noWrap/>
            <w:hideMark/>
          </w:tcPr>
          <w:p w14:paraId="1E3E4C2E"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Definition</w:t>
            </w:r>
          </w:p>
        </w:tc>
      </w:tr>
      <w:tr w:rsidR="0044478E" w:rsidRPr="00747E35" w14:paraId="5A12D400" w14:textId="77777777" w:rsidTr="0044478E">
        <w:trPr>
          <w:trHeight w:val="20"/>
        </w:trPr>
        <w:tc>
          <w:tcPr>
            <w:tcW w:w="1413" w:type="dxa"/>
            <w:tcBorders>
              <w:top w:val="single" w:sz="4" w:space="0" w:color="auto"/>
            </w:tcBorders>
            <w:shd w:val="clear" w:color="auto" w:fill="auto"/>
            <w:noWrap/>
            <w:hideMark/>
          </w:tcPr>
          <w:p w14:paraId="4BDBDAB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xml:space="preserve">Resistance </w:t>
            </w:r>
          </w:p>
        </w:tc>
        <w:tc>
          <w:tcPr>
            <w:tcW w:w="8221" w:type="dxa"/>
            <w:tcBorders>
              <w:top w:val="single" w:sz="4" w:space="0" w:color="auto"/>
            </w:tcBorders>
            <w:shd w:val="clear" w:color="auto" w:fill="auto"/>
            <w:hideMark/>
          </w:tcPr>
          <w:p w14:paraId="4C61AC1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Ability of a species to withstand a disturbance (i.e. resist changing its “natural” state in response to a threat)</w:t>
            </w:r>
          </w:p>
        </w:tc>
      </w:tr>
      <w:tr w:rsidR="0044478E" w:rsidRPr="00747E35" w14:paraId="69AC2FC2" w14:textId="77777777" w:rsidTr="0044478E">
        <w:trPr>
          <w:trHeight w:val="20"/>
        </w:trPr>
        <w:tc>
          <w:tcPr>
            <w:tcW w:w="1413" w:type="dxa"/>
            <w:shd w:val="clear" w:color="auto" w:fill="auto"/>
            <w:noWrap/>
          </w:tcPr>
          <w:p w14:paraId="1F5BFD5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No threat (0)</w:t>
            </w:r>
          </w:p>
        </w:tc>
        <w:tc>
          <w:tcPr>
            <w:tcW w:w="8221" w:type="dxa"/>
            <w:shd w:val="clear" w:color="auto" w:fill="auto"/>
            <w:noWrap/>
          </w:tcPr>
          <w:p w14:paraId="27119C76" w14:textId="77777777" w:rsidR="0044478E" w:rsidRPr="00747E35" w:rsidRDefault="0044478E" w:rsidP="0044478E">
            <w:pPr>
              <w:pStyle w:val="Tabletext"/>
              <w:spacing w:before="0" w:after="0"/>
              <w:rPr>
                <w:rFonts w:cstheme="minorHAnsi"/>
                <w:lang w:eastAsia="en-AU"/>
              </w:rPr>
            </w:pPr>
          </w:p>
        </w:tc>
      </w:tr>
      <w:tr w:rsidR="0044478E" w:rsidRPr="00747E35" w14:paraId="0339FDC2" w14:textId="77777777" w:rsidTr="0044478E">
        <w:trPr>
          <w:trHeight w:val="20"/>
        </w:trPr>
        <w:tc>
          <w:tcPr>
            <w:tcW w:w="1413" w:type="dxa"/>
            <w:shd w:val="clear" w:color="auto" w:fill="auto"/>
            <w:noWrap/>
            <w:hideMark/>
          </w:tcPr>
          <w:p w14:paraId="0DB11DF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High (1)</w:t>
            </w:r>
          </w:p>
        </w:tc>
        <w:tc>
          <w:tcPr>
            <w:tcW w:w="8221" w:type="dxa"/>
            <w:shd w:val="clear" w:color="auto" w:fill="auto"/>
            <w:noWrap/>
            <w:hideMark/>
          </w:tcPr>
          <w:p w14:paraId="5ED7433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No significant change in abundance/biomass until extreme threat levels</w:t>
            </w:r>
          </w:p>
        </w:tc>
      </w:tr>
      <w:tr w:rsidR="0044478E" w:rsidRPr="00747E35" w14:paraId="4B26CABB" w14:textId="77777777" w:rsidTr="0044478E">
        <w:trPr>
          <w:trHeight w:val="20"/>
        </w:trPr>
        <w:tc>
          <w:tcPr>
            <w:tcW w:w="1413" w:type="dxa"/>
            <w:shd w:val="clear" w:color="auto" w:fill="auto"/>
            <w:noWrap/>
            <w:hideMark/>
          </w:tcPr>
          <w:p w14:paraId="62C8A31D"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Medium (2)</w:t>
            </w:r>
          </w:p>
        </w:tc>
        <w:tc>
          <w:tcPr>
            <w:tcW w:w="8221" w:type="dxa"/>
            <w:shd w:val="clear" w:color="auto" w:fill="auto"/>
            <w:noWrap/>
            <w:hideMark/>
          </w:tcPr>
          <w:p w14:paraId="46266CC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Moderate intensities or frequencies of a threat lead to change</w:t>
            </w:r>
          </w:p>
        </w:tc>
      </w:tr>
      <w:tr w:rsidR="0044478E" w:rsidRPr="00747E35" w14:paraId="54DFFFED" w14:textId="77777777" w:rsidTr="0044478E">
        <w:trPr>
          <w:trHeight w:val="20"/>
        </w:trPr>
        <w:tc>
          <w:tcPr>
            <w:tcW w:w="1413" w:type="dxa"/>
            <w:tcBorders>
              <w:bottom w:val="single" w:sz="4" w:space="0" w:color="auto"/>
            </w:tcBorders>
            <w:shd w:val="clear" w:color="auto" w:fill="auto"/>
            <w:noWrap/>
            <w:hideMark/>
          </w:tcPr>
          <w:p w14:paraId="2A3C3EA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Low (3)</w:t>
            </w:r>
          </w:p>
        </w:tc>
        <w:tc>
          <w:tcPr>
            <w:tcW w:w="8221" w:type="dxa"/>
            <w:tcBorders>
              <w:bottom w:val="single" w:sz="4" w:space="0" w:color="auto"/>
            </w:tcBorders>
            <w:shd w:val="clear" w:color="auto" w:fill="auto"/>
            <w:noWrap/>
            <w:hideMark/>
          </w:tcPr>
          <w:p w14:paraId="643B600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Slightest occurrence of a threat causes a change, or all-or-nothing threats</w:t>
            </w:r>
          </w:p>
        </w:tc>
      </w:tr>
      <w:tr w:rsidR="0044478E" w:rsidRPr="00747E35" w14:paraId="513F473D" w14:textId="77777777" w:rsidTr="0044478E">
        <w:trPr>
          <w:trHeight w:val="20"/>
        </w:trPr>
        <w:tc>
          <w:tcPr>
            <w:tcW w:w="1413" w:type="dxa"/>
            <w:tcBorders>
              <w:top w:val="single" w:sz="4" w:space="0" w:color="auto"/>
            </w:tcBorders>
            <w:shd w:val="clear" w:color="auto" w:fill="auto"/>
            <w:noWrap/>
            <w:hideMark/>
          </w:tcPr>
          <w:p w14:paraId="306A0BF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Resilience</w:t>
            </w:r>
          </w:p>
        </w:tc>
        <w:tc>
          <w:tcPr>
            <w:tcW w:w="8221" w:type="dxa"/>
            <w:tcBorders>
              <w:top w:val="single" w:sz="4" w:space="0" w:color="auto"/>
            </w:tcBorders>
            <w:shd w:val="clear" w:color="auto" w:fill="auto"/>
            <w:hideMark/>
          </w:tcPr>
          <w:p w14:paraId="6F5955D9"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Ability of affected species to recover from disturbance (i.e. return to its pre-threat state following disturbance).  For persistent threats, assumes removal of the threat.</w:t>
            </w:r>
          </w:p>
        </w:tc>
      </w:tr>
      <w:tr w:rsidR="0044478E" w:rsidRPr="00747E35" w14:paraId="2E077E71" w14:textId="77777777" w:rsidTr="0044478E">
        <w:trPr>
          <w:trHeight w:val="20"/>
        </w:trPr>
        <w:tc>
          <w:tcPr>
            <w:tcW w:w="1413" w:type="dxa"/>
            <w:shd w:val="clear" w:color="auto" w:fill="auto"/>
            <w:noWrap/>
          </w:tcPr>
          <w:p w14:paraId="039CCE19"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No threat (0)</w:t>
            </w:r>
          </w:p>
        </w:tc>
        <w:tc>
          <w:tcPr>
            <w:tcW w:w="8221" w:type="dxa"/>
            <w:shd w:val="clear" w:color="auto" w:fill="auto"/>
            <w:noWrap/>
          </w:tcPr>
          <w:p w14:paraId="319B4DE1" w14:textId="77777777" w:rsidR="0044478E" w:rsidRPr="00747E35" w:rsidRDefault="0044478E" w:rsidP="0044478E">
            <w:pPr>
              <w:pStyle w:val="Tabletext"/>
              <w:spacing w:before="0" w:after="0"/>
              <w:rPr>
                <w:rFonts w:cstheme="minorHAnsi"/>
                <w:lang w:eastAsia="en-AU"/>
              </w:rPr>
            </w:pPr>
          </w:p>
        </w:tc>
      </w:tr>
      <w:tr w:rsidR="0044478E" w:rsidRPr="00747E35" w14:paraId="3247CFB8" w14:textId="77777777" w:rsidTr="0044478E">
        <w:trPr>
          <w:trHeight w:val="20"/>
        </w:trPr>
        <w:tc>
          <w:tcPr>
            <w:tcW w:w="1413" w:type="dxa"/>
            <w:shd w:val="clear" w:color="auto" w:fill="auto"/>
            <w:noWrap/>
            <w:hideMark/>
          </w:tcPr>
          <w:p w14:paraId="708A7663"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High (1)</w:t>
            </w:r>
          </w:p>
        </w:tc>
        <w:tc>
          <w:tcPr>
            <w:tcW w:w="8221" w:type="dxa"/>
            <w:shd w:val="clear" w:color="auto" w:fill="auto"/>
            <w:hideMark/>
          </w:tcPr>
          <w:p w14:paraId="0AEC9CC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Short duration before species can recolonise or recover from threat</w:t>
            </w:r>
          </w:p>
        </w:tc>
      </w:tr>
      <w:tr w:rsidR="0044478E" w:rsidRPr="00747E35" w14:paraId="5A3687E1" w14:textId="77777777" w:rsidTr="0044478E">
        <w:trPr>
          <w:trHeight w:val="20"/>
        </w:trPr>
        <w:tc>
          <w:tcPr>
            <w:tcW w:w="1413" w:type="dxa"/>
            <w:shd w:val="clear" w:color="auto" w:fill="auto"/>
            <w:noWrap/>
            <w:hideMark/>
          </w:tcPr>
          <w:p w14:paraId="07F893A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Medium (2)</w:t>
            </w:r>
          </w:p>
        </w:tc>
        <w:tc>
          <w:tcPr>
            <w:tcW w:w="8221" w:type="dxa"/>
            <w:shd w:val="clear" w:color="auto" w:fill="auto"/>
            <w:hideMark/>
          </w:tcPr>
          <w:p w14:paraId="6644031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Moderate duration before species can recolonise or recover from threat</w:t>
            </w:r>
          </w:p>
        </w:tc>
      </w:tr>
      <w:tr w:rsidR="0044478E" w:rsidRPr="00747E35" w14:paraId="436E3A3B" w14:textId="77777777" w:rsidTr="0044478E">
        <w:trPr>
          <w:trHeight w:val="20"/>
        </w:trPr>
        <w:tc>
          <w:tcPr>
            <w:tcW w:w="1413" w:type="dxa"/>
            <w:tcBorders>
              <w:bottom w:val="single" w:sz="4" w:space="0" w:color="auto"/>
            </w:tcBorders>
            <w:shd w:val="clear" w:color="auto" w:fill="auto"/>
            <w:noWrap/>
            <w:hideMark/>
          </w:tcPr>
          <w:p w14:paraId="7907A15F"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Low (3)</w:t>
            </w:r>
          </w:p>
        </w:tc>
        <w:tc>
          <w:tcPr>
            <w:tcW w:w="8221" w:type="dxa"/>
            <w:tcBorders>
              <w:bottom w:val="single" w:sz="4" w:space="0" w:color="auto"/>
            </w:tcBorders>
            <w:shd w:val="clear" w:color="auto" w:fill="auto"/>
            <w:hideMark/>
          </w:tcPr>
          <w:p w14:paraId="34C6A329"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xml:space="preserve">Long duration before species can recover from threat </w:t>
            </w:r>
          </w:p>
        </w:tc>
      </w:tr>
      <w:tr w:rsidR="0044478E" w:rsidRPr="00747E35" w14:paraId="2125F484" w14:textId="77777777" w:rsidTr="0044478E">
        <w:trPr>
          <w:trHeight w:val="20"/>
        </w:trPr>
        <w:tc>
          <w:tcPr>
            <w:tcW w:w="1413" w:type="dxa"/>
            <w:tcBorders>
              <w:top w:val="single" w:sz="4" w:space="0" w:color="auto"/>
            </w:tcBorders>
            <w:shd w:val="clear" w:color="auto" w:fill="auto"/>
            <w:noWrap/>
            <w:hideMark/>
          </w:tcPr>
          <w:p w14:paraId="76BCB73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Certainty</w:t>
            </w:r>
          </w:p>
        </w:tc>
        <w:tc>
          <w:tcPr>
            <w:tcW w:w="8221" w:type="dxa"/>
            <w:tcBorders>
              <w:top w:val="single" w:sz="4" w:space="0" w:color="auto"/>
            </w:tcBorders>
            <w:shd w:val="clear" w:color="auto" w:fill="auto"/>
            <w:noWrap/>
            <w:hideMark/>
          </w:tcPr>
          <w:p w14:paraId="40CD5AEC"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Relative confidence that the assessment is true, given the state of data and knowledge available</w:t>
            </w:r>
          </w:p>
        </w:tc>
      </w:tr>
      <w:tr w:rsidR="0044478E" w:rsidRPr="00747E35" w14:paraId="64146113" w14:textId="77777777" w:rsidTr="0044478E">
        <w:trPr>
          <w:trHeight w:val="20"/>
        </w:trPr>
        <w:tc>
          <w:tcPr>
            <w:tcW w:w="1413" w:type="dxa"/>
            <w:shd w:val="clear" w:color="auto" w:fill="auto"/>
            <w:noWrap/>
            <w:hideMark/>
          </w:tcPr>
          <w:p w14:paraId="48222B3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Low (1)</w:t>
            </w:r>
          </w:p>
        </w:tc>
        <w:tc>
          <w:tcPr>
            <w:tcW w:w="8221" w:type="dxa"/>
            <w:shd w:val="clear" w:color="auto" w:fill="auto"/>
            <w:noWrap/>
            <w:hideMark/>
          </w:tcPr>
          <w:p w14:paraId="61DFDC5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Very little or no empirical work exists</w:t>
            </w:r>
          </w:p>
        </w:tc>
      </w:tr>
      <w:tr w:rsidR="0044478E" w:rsidRPr="00747E35" w14:paraId="6582DE26" w14:textId="77777777" w:rsidTr="0044478E">
        <w:trPr>
          <w:trHeight w:val="20"/>
        </w:trPr>
        <w:tc>
          <w:tcPr>
            <w:tcW w:w="1413" w:type="dxa"/>
            <w:shd w:val="clear" w:color="auto" w:fill="auto"/>
            <w:noWrap/>
            <w:hideMark/>
          </w:tcPr>
          <w:p w14:paraId="7CDCF89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Medium (2)</w:t>
            </w:r>
          </w:p>
        </w:tc>
        <w:tc>
          <w:tcPr>
            <w:tcW w:w="8221" w:type="dxa"/>
            <w:shd w:val="clear" w:color="auto" w:fill="auto"/>
            <w:noWrap/>
            <w:hideMark/>
          </w:tcPr>
          <w:p w14:paraId="44394E6F"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Some empirical work exists and/or expert has some personal experience</w:t>
            </w:r>
          </w:p>
        </w:tc>
      </w:tr>
      <w:tr w:rsidR="0044478E" w:rsidRPr="00747E35" w14:paraId="463C46DD" w14:textId="77777777" w:rsidTr="0044478E">
        <w:trPr>
          <w:trHeight w:val="20"/>
        </w:trPr>
        <w:tc>
          <w:tcPr>
            <w:tcW w:w="1413" w:type="dxa"/>
            <w:tcBorders>
              <w:bottom w:val="single" w:sz="4" w:space="0" w:color="auto"/>
            </w:tcBorders>
            <w:shd w:val="clear" w:color="auto" w:fill="auto"/>
            <w:noWrap/>
            <w:hideMark/>
          </w:tcPr>
          <w:p w14:paraId="6891523C"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High (3)</w:t>
            </w:r>
          </w:p>
        </w:tc>
        <w:tc>
          <w:tcPr>
            <w:tcW w:w="8221" w:type="dxa"/>
            <w:tcBorders>
              <w:bottom w:val="single" w:sz="4" w:space="0" w:color="auto"/>
            </w:tcBorders>
            <w:shd w:val="clear" w:color="auto" w:fill="auto"/>
            <w:noWrap/>
            <w:hideMark/>
          </w:tcPr>
          <w:p w14:paraId="2A0CC05C"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Body of empirical work exists and/or the expert has direct personal experience</w:t>
            </w:r>
          </w:p>
        </w:tc>
      </w:tr>
    </w:tbl>
    <w:p w14:paraId="11776408" w14:textId="77777777" w:rsidR="0044478E" w:rsidRPr="00747E35" w:rsidRDefault="0044478E" w:rsidP="0044478E">
      <w:pPr>
        <w:rPr>
          <w:rFonts w:asciiTheme="minorHAnsi" w:hAnsiTheme="minorHAnsi" w:cstheme="minorHAnsi"/>
        </w:rPr>
      </w:pPr>
    </w:p>
    <w:p w14:paraId="2C452EEB"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We used a quasi-Delphi method (Burgman 2005) to estimate species’ vulnerability to threats by asking each expert to independently assess and score each taxon for which they felt they had sufficient ecological knowledge and expertise. Uncertainty in expert judgment regarding the true value of the responses was also estimated for each species-by-threat combination.  The experts were then presented with all scores and asked to consider whether they wished to revise or query any scores. A final consensus on the most appropriate scores was reached by group discussion and email.</w:t>
      </w:r>
    </w:p>
    <w:p w14:paraId="7525C70F"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For each threat-and-species combination, each 1–3 rank is multiplied by the certainty value, and the sum of these weighted values for each vulnerability measure is divided by the sum of the certainty values. This weighted average gives greater importance to values with higher certainty (and presumably higher precision), but may down-weight scores for poorly understood threat-and-species combinations.</w:t>
      </w:r>
    </w:p>
    <w:p w14:paraId="4552748C"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The cumulative impact of a particular threat (</w:t>
      </w:r>
      <w:r w:rsidRPr="00747E35">
        <w:rPr>
          <w:rFonts w:asciiTheme="minorHAnsi" w:hAnsiTheme="minorHAnsi" w:cstheme="minorHAnsi"/>
          <w:i/>
        </w:rPr>
        <w:t>I</w:t>
      </w:r>
      <w:r w:rsidRPr="00747E35">
        <w:rPr>
          <w:rFonts w:asciiTheme="minorHAnsi" w:hAnsiTheme="minorHAnsi" w:cstheme="minorHAnsi"/>
          <w:i/>
          <w:vertAlign w:val="subscript"/>
        </w:rPr>
        <w:t>D</w:t>
      </w:r>
      <w:r w:rsidRPr="00747E35">
        <w:rPr>
          <w:rFonts w:asciiTheme="minorHAnsi" w:hAnsiTheme="minorHAnsi" w:cstheme="minorHAnsi"/>
        </w:rPr>
        <w:t xml:space="preserve">) across all species is calculated as: </w:t>
      </w:r>
    </w:p>
    <w:p w14:paraId="074E007F" w14:textId="77777777" w:rsidR="0044478E" w:rsidRPr="00747E35" w:rsidRDefault="006E6498" w:rsidP="0044478E">
      <w:pPr>
        <w:rPr>
          <w:rFonts w:asciiTheme="minorHAnsi" w:hAnsiTheme="minorHAnsi" w:cstheme="minorHAnsi"/>
        </w:rPr>
      </w:pPr>
      <m:oMathPara>
        <m:oMath>
          <m:sSub>
            <m:sSubPr>
              <m:ctrlPr>
                <w:rPr>
                  <w:rFonts w:ascii="Cambria Math" w:hAnsi="Cambria Math" w:cstheme="minorHAnsi"/>
                </w:rPr>
              </m:ctrlPr>
            </m:sSubPr>
            <m:e>
              <m:r>
                <w:rPr>
                  <w:rFonts w:ascii="Cambria Math" w:hAnsi="Cambria Math" w:cstheme="minorHAnsi"/>
                </w:rPr>
                <m:t>I</m:t>
              </m:r>
            </m:e>
            <m:sub>
              <m:r>
                <w:rPr>
                  <w:rFonts w:ascii="Cambria Math" w:hAnsi="Cambria Math" w:cstheme="minorHAnsi"/>
                </w:rPr>
                <m:t>T</m:t>
              </m:r>
            </m:sub>
          </m:sSub>
          <m:r>
            <m:rPr>
              <m:sty m:val="p"/>
            </m:rPr>
            <w:rPr>
              <w:rFonts w:ascii="Cambria Math" w:hAnsi="Cambria Math" w:cstheme="minorHAnsi"/>
            </w:rPr>
            <m:t>=</m:t>
          </m:r>
          <m:nary>
            <m:naryPr>
              <m:chr m:val="∑"/>
              <m:grow m:val="1"/>
              <m:ctrlPr>
                <w:rPr>
                  <w:rFonts w:ascii="Cambria Math" w:hAnsi="Cambria Math" w:cstheme="minorHAnsi"/>
                </w:rPr>
              </m:ctrlPr>
            </m:naryPr>
            <m:sub>
              <m:r>
                <w:rPr>
                  <w:rFonts w:ascii="Cambria Math" w:eastAsia="Cambria Math" w:hAnsi="Cambria Math" w:cstheme="minorHAnsi"/>
                </w:rPr>
                <m:t>j</m:t>
              </m:r>
              <m:r>
                <m:rPr>
                  <m:sty m:val="p"/>
                </m:rPr>
                <w:rPr>
                  <w:rFonts w:ascii="Cambria Math" w:eastAsia="Cambria Math" w:hAnsi="Cambria Math" w:cstheme="minorHAnsi"/>
                </w:rPr>
                <m:t>=1</m:t>
              </m:r>
            </m:sub>
            <m:sup>
              <m:r>
                <w:rPr>
                  <w:rFonts w:ascii="Cambria Math" w:eastAsia="Cambria Math" w:hAnsi="Cambria Math" w:cstheme="minorHAnsi"/>
                </w:rPr>
                <m:t>m</m:t>
              </m:r>
            </m:sup>
            <m:e>
              <m:sSub>
                <m:sSubPr>
                  <m:ctrlPr>
                    <w:rPr>
                      <w:rFonts w:ascii="Cambria Math" w:hAnsi="Cambria Math" w:cstheme="minorHAnsi"/>
                    </w:rPr>
                  </m:ctrlPr>
                </m:sSubPr>
                <m:e>
                  <m:r>
                    <w:rPr>
                      <w:rFonts w:ascii="Cambria Math" w:hAnsi="Cambria Math" w:cstheme="minorHAnsi"/>
                    </w:rPr>
                    <m:t>T</m:t>
                  </m:r>
                </m:e>
                <m:sub>
                  <m:r>
                    <w:rPr>
                      <w:rFonts w:ascii="Cambria Math" w:hAnsi="Cambria Math" w:cstheme="minorHAnsi"/>
                    </w:rPr>
                    <m:t>i</m:t>
                  </m:r>
                </m:sub>
              </m:sSub>
              <m:r>
                <m:rPr>
                  <m:sty m:val="p"/>
                </m:rPr>
                <w:rPr>
                  <w:rFonts w:ascii="Cambria Math" w:hAnsi="Cambria Math" w:cstheme="minorHAnsi"/>
                </w:rPr>
                <m:t>*</m:t>
              </m:r>
              <m:sSub>
                <m:sSubPr>
                  <m:ctrlPr>
                    <w:rPr>
                      <w:rFonts w:ascii="Cambria Math" w:hAnsi="Cambria Math" w:cstheme="minorHAnsi"/>
                    </w:rPr>
                  </m:ctrlPr>
                </m:sSubPr>
                <m:e>
                  <m:r>
                    <w:rPr>
                      <w:rFonts w:ascii="Cambria Math" w:hAnsi="Cambria Math" w:cstheme="minorHAnsi"/>
                    </w:rPr>
                    <m:t>S</m:t>
                  </m:r>
                </m:e>
                <m:sub>
                  <m:r>
                    <w:rPr>
                      <w:rFonts w:ascii="Cambria Math" w:hAnsi="Cambria Math" w:cstheme="minorHAnsi"/>
                    </w:rPr>
                    <m:t>j</m:t>
                  </m:r>
                </m:sub>
              </m:sSub>
              <m:r>
                <m:rPr>
                  <m:sty m:val="p"/>
                </m:rPr>
                <w:rPr>
                  <w:rFonts w:ascii="Cambria Math" w:hAnsi="Cambria Math" w:cstheme="minorHAnsi"/>
                </w:rPr>
                <m:t>*</m:t>
              </m:r>
              <m:sSub>
                <m:sSubPr>
                  <m:ctrlPr>
                    <w:rPr>
                      <w:rFonts w:ascii="Cambria Math" w:hAnsi="Cambria Math" w:cstheme="minorHAnsi"/>
                    </w:rPr>
                  </m:ctrlPr>
                </m:sSubPr>
                <m:e>
                  <m:r>
                    <w:rPr>
                      <w:rFonts w:ascii="Cambria Math" w:hAnsi="Cambria Math" w:cstheme="minorHAnsi"/>
                    </w:rPr>
                    <m:t>μ</m:t>
                  </m:r>
                </m:e>
                <m:sub>
                  <m:r>
                    <w:rPr>
                      <w:rFonts w:ascii="Cambria Math" w:hAnsi="Cambria Math" w:cstheme="minorHAnsi"/>
                    </w:rPr>
                    <m:t>i</m:t>
                  </m:r>
                  <m:r>
                    <m:rPr>
                      <m:sty m:val="p"/>
                    </m:rPr>
                    <w:rPr>
                      <w:rFonts w:ascii="Cambria Math" w:hAnsi="Cambria Math" w:cstheme="minorHAnsi"/>
                    </w:rPr>
                    <m:t>,</m:t>
                  </m:r>
                  <m:r>
                    <w:rPr>
                      <w:rFonts w:ascii="Cambria Math" w:hAnsi="Cambria Math" w:cstheme="minorHAnsi"/>
                    </w:rPr>
                    <m:t>j</m:t>
                  </m:r>
                </m:sub>
              </m:sSub>
            </m:e>
          </m:nary>
          <m:r>
            <m:rPr>
              <m:sty m:val="p"/>
            </m:rPr>
            <w:rPr>
              <w:rFonts w:ascii="Cambria Math" w:hAnsi="Cambria Math" w:cstheme="minorHAnsi"/>
            </w:rPr>
            <m:t xml:space="preserve"> </m:t>
          </m:r>
        </m:oMath>
      </m:oMathPara>
    </w:p>
    <w:p w14:paraId="5675AF40" w14:textId="77777777" w:rsidR="0044478E" w:rsidRPr="00747E35" w:rsidRDefault="0044478E" w:rsidP="0044478E">
      <w:pPr>
        <w:rPr>
          <w:rFonts w:asciiTheme="minorHAnsi" w:hAnsiTheme="minorHAnsi" w:cstheme="minorHAnsi"/>
        </w:rPr>
      </w:pPr>
    </w:p>
    <w:p w14:paraId="7BD0FD0B"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and the cumulative impact of all threats on a particular species (</w:t>
      </w:r>
      <w:r w:rsidRPr="00747E35">
        <w:rPr>
          <w:rFonts w:asciiTheme="minorHAnsi" w:hAnsiTheme="minorHAnsi" w:cstheme="minorHAnsi"/>
          <w:i/>
        </w:rPr>
        <w:t>I</w:t>
      </w:r>
      <w:r w:rsidRPr="00747E35">
        <w:rPr>
          <w:rFonts w:asciiTheme="minorHAnsi" w:hAnsiTheme="minorHAnsi" w:cstheme="minorHAnsi"/>
          <w:i/>
          <w:vertAlign w:val="subscript"/>
        </w:rPr>
        <w:t>S</w:t>
      </w:r>
      <w:r w:rsidRPr="00747E35">
        <w:rPr>
          <w:rFonts w:asciiTheme="minorHAnsi" w:hAnsiTheme="minorHAnsi" w:cstheme="minorHAnsi"/>
        </w:rPr>
        <w:t xml:space="preserve">) is calculated as: </w:t>
      </w:r>
    </w:p>
    <w:p w14:paraId="1B888430" w14:textId="77777777" w:rsidR="0044478E" w:rsidRPr="00747E35" w:rsidRDefault="006E6498" w:rsidP="0044478E">
      <w:pPr>
        <w:rPr>
          <w:rFonts w:asciiTheme="minorHAnsi" w:hAnsiTheme="minorHAnsi" w:cstheme="minorHAnsi"/>
        </w:rPr>
      </w:pPr>
      <m:oMathPara>
        <m:oMath>
          <m:sSub>
            <m:sSubPr>
              <m:ctrlPr>
                <w:rPr>
                  <w:rFonts w:ascii="Cambria Math" w:hAnsi="Cambria Math" w:cstheme="minorHAnsi"/>
                </w:rPr>
              </m:ctrlPr>
            </m:sSubPr>
            <m:e>
              <m:r>
                <w:rPr>
                  <w:rFonts w:ascii="Cambria Math" w:hAnsi="Cambria Math" w:cstheme="minorHAnsi"/>
                </w:rPr>
                <m:t>I</m:t>
              </m:r>
            </m:e>
            <m:sub>
              <m:r>
                <w:rPr>
                  <w:rFonts w:ascii="Cambria Math" w:hAnsi="Cambria Math" w:cstheme="minorHAnsi"/>
                </w:rPr>
                <m:t>S</m:t>
              </m:r>
            </m:sub>
          </m:sSub>
          <m:r>
            <m:rPr>
              <m:sty m:val="p"/>
            </m:rPr>
            <w:rPr>
              <w:rFonts w:ascii="Cambria Math" w:hAnsi="Cambria Math" w:cstheme="minorHAnsi"/>
            </w:rPr>
            <m:t>=</m:t>
          </m:r>
          <m:nary>
            <m:naryPr>
              <m:chr m:val="∑"/>
              <m:grow m:val="1"/>
              <m:ctrlPr>
                <w:rPr>
                  <w:rFonts w:ascii="Cambria Math" w:hAnsi="Cambria Math" w:cstheme="minorHAnsi"/>
                </w:rPr>
              </m:ctrlPr>
            </m:naryPr>
            <m:sub>
              <m:r>
                <w:rPr>
                  <w:rFonts w:ascii="Cambria Math" w:eastAsia="Cambria Math" w:hAnsi="Cambria Math" w:cstheme="minorHAnsi"/>
                </w:rPr>
                <m:t>i</m:t>
              </m:r>
              <m:r>
                <m:rPr>
                  <m:sty m:val="p"/>
                </m:rPr>
                <w:rPr>
                  <w:rFonts w:ascii="Cambria Math" w:eastAsia="Cambria Math" w:hAnsi="Cambria Math" w:cstheme="minorHAnsi"/>
                </w:rPr>
                <m:t>=1</m:t>
              </m:r>
            </m:sub>
            <m:sup>
              <m:r>
                <w:rPr>
                  <w:rFonts w:ascii="Cambria Math" w:eastAsia="Cambria Math" w:hAnsi="Cambria Math" w:cstheme="minorHAnsi"/>
                </w:rPr>
                <m:t>n</m:t>
              </m:r>
            </m:sup>
            <m:e>
              <m:sSub>
                <m:sSubPr>
                  <m:ctrlPr>
                    <w:rPr>
                      <w:rFonts w:ascii="Cambria Math" w:hAnsi="Cambria Math" w:cstheme="minorHAnsi"/>
                    </w:rPr>
                  </m:ctrlPr>
                </m:sSubPr>
                <m:e>
                  <m:r>
                    <w:rPr>
                      <w:rFonts w:ascii="Cambria Math" w:hAnsi="Cambria Math" w:cstheme="minorHAnsi"/>
                    </w:rPr>
                    <m:t>T</m:t>
                  </m:r>
                </m:e>
                <m:sub>
                  <m:r>
                    <w:rPr>
                      <w:rFonts w:ascii="Cambria Math" w:hAnsi="Cambria Math" w:cstheme="minorHAnsi"/>
                    </w:rPr>
                    <m:t>i</m:t>
                  </m:r>
                </m:sub>
              </m:sSub>
              <m:r>
                <m:rPr>
                  <m:sty m:val="p"/>
                </m:rPr>
                <w:rPr>
                  <w:rFonts w:ascii="Cambria Math" w:hAnsi="Cambria Math" w:cstheme="minorHAnsi"/>
                </w:rPr>
                <m:t>*</m:t>
              </m:r>
              <m:sSub>
                <m:sSubPr>
                  <m:ctrlPr>
                    <w:rPr>
                      <w:rFonts w:ascii="Cambria Math" w:hAnsi="Cambria Math" w:cstheme="minorHAnsi"/>
                    </w:rPr>
                  </m:ctrlPr>
                </m:sSubPr>
                <m:e>
                  <m:r>
                    <w:rPr>
                      <w:rFonts w:ascii="Cambria Math" w:hAnsi="Cambria Math" w:cstheme="minorHAnsi"/>
                    </w:rPr>
                    <m:t>S</m:t>
                  </m:r>
                </m:e>
                <m:sub>
                  <m:r>
                    <w:rPr>
                      <w:rFonts w:ascii="Cambria Math" w:hAnsi="Cambria Math" w:cstheme="minorHAnsi"/>
                    </w:rPr>
                    <m:t>j</m:t>
                  </m:r>
                </m:sub>
              </m:sSub>
              <m:r>
                <m:rPr>
                  <m:sty m:val="p"/>
                </m:rPr>
                <w:rPr>
                  <w:rFonts w:ascii="Cambria Math" w:hAnsi="Cambria Math" w:cstheme="minorHAnsi"/>
                </w:rPr>
                <m:t>*</m:t>
              </m:r>
              <m:sSub>
                <m:sSubPr>
                  <m:ctrlPr>
                    <w:rPr>
                      <w:rFonts w:ascii="Cambria Math" w:hAnsi="Cambria Math" w:cstheme="minorHAnsi"/>
                    </w:rPr>
                  </m:ctrlPr>
                </m:sSubPr>
                <m:e>
                  <m:r>
                    <w:rPr>
                      <w:rFonts w:ascii="Cambria Math" w:hAnsi="Cambria Math" w:cstheme="minorHAnsi"/>
                    </w:rPr>
                    <m:t>μ</m:t>
                  </m:r>
                </m:e>
                <m:sub>
                  <m:r>
                    <w:rPr>
                      <w:rFonts w:ascii="Cambria Math" w:hAnsi="Cambria Math" w:cstheme="minorHAnsi"/>
                    </w:rPr>
                    <m:t>i</m:t>
                  </m:r>
                  <m:r>
                    <m:rPr>
                      <m:sty m:val="p"/>
                    </m:rPr>
                    <w:rPr>
                      <w:rFonts w:ascii="Cambria Math" w:hAnsi="Cambria Math" w:cstheme="minorHAnsi"/>
                    </w:rPr>
                    <m:t>,</m:t>
                  </m:r>
                  <m:r>
                    <w:rPr>
                      <w:rFonts w:ascii="Cambria Math" w:hAnsi="Cambria Math" w:cstheme="minorHAnsi"/>
                    </w:rPr>
                    <m:t>j</m:t>
                  </m:r>
                </m:sub>
              </m:sSub>
            </m:e>
          </m:nary>
          <m:r>
            <m:rPr>
              <m:sty m:val="p"/>
            </m:rPr>
            <w:rPr>
              <w:rFonts w:ascii="Cambria Math" w:hAnsi="Cambria Math" w:cstheme="minorHAnsi"/>
            </w:rPr>
            <m:t xml:space="preserve"> </m:t>
          </m:r>
        </m:oMath>
      </m:oMathPara>
    </w:p>
    <w:p w14:paraId="5F43DC35" w14:textId="77777777" w:rsidR="0044478E" w:rsidRPr="00747E35" w:rsidRDefault="0044478E" w:rsidP="0044478E">
      <w:pPr>
        <w:rPr>
          <w:rFonts w:asciiTheme="minorHAnsi" w:hAnsiTheme="minorHAnsi" w:cstheme="minorHAnsi"/>
        </w:rPr>
      </w:pPr>
    </w:p>
    <w:p w14:paraId="4963D4FD" w14:textId="5A8F9F91" w:rsidR="0044478E" w:rsidRPr="00747E35" w:rsidRDefault="0044478E" w:rsidP="0044478E">
      <w:pPr>
        <w:rPr>
          <w:rFonts w:asciiTheme="minorHAnsi" w:hAnsiTheme="minorHAnsi" w:cstheme="minorHAnsi"/>
        </w:rPr>
      </w:pPr>
      <w:r w:rsidRPr="00747E35">
        <w:rPr>
          <w:rFonts w:asciiTheme="minorHAnsi" w:hAnsiTheme="minorHAnsi" w:cstheme="minorHAnsi"/>
        </w:rPr>
        <w:t>Cumulative exposure to all threats (E</w:t>
      </w:r>
      <w:r w:rsidRPr="00747E35">
        <w:rPr>
          <w:rFonts w:asciiTheme="minorHAnsi" w:hAnsiTheme="minorHAnsi" w:cstheme="minorHAnsi"/>
          <w:i/>
          <w:vertAlign w:val="subscript"/>
        </w:rPr>
        <w:t>T</w:t>
      </w:r>
      <w:r w:rsidRPr="00747E35">
        <w:rPr>
          <w:rFonts w:asciiTheme="minorHAnsi" w:hAnsiTheme="minorHAnsi" w:cstheme="minorHAnsi"/>
        </w:rPr>
        <w:t>) for each spring complex (unweighted by species’ occurrence/vulnerability) is ca</w:t>
      </w:r>
      <w:r w:rsidR="00593412" w:rsidRPr="00747E35">
        <w:rPr>
          <w:rFonts w:asciiTheme="minorHAnsi" w:hAnsiTheme="minorHAnsi" w:cstheme="minorHAnsi"/>
        </w:rPr>
        <w:t>lc</w:t>
      </w:r>
      <w:r w:rsidRPr="00747E35">
        <w:rPr>
          <w:rFonts w:asciiTheme="minorHAnsi" w:hAnsiTheme="minorHAnsi" w:cstheme="minorHAnsi"/>
        </w:rPr>
        <w:t xml:space="preserve">ulated as: </w:t>
      </w:r>
    </w:p>
    <w:p w14:paraId="15EED1CB" w14:textId="77777777" w:rsidR="0044478E" w:rsidRPr="00747E35" w:rsidRDefault="006E6498" w:rsidP="0044478E">
      <w:pPr>
        <w:rPr>
          <w:rFonts w:asciiTheme="minorHAnsi" w:hAnsiTheme="minorHAnsi" w:cstheme="minorHAnsi"/>
        </w:rPr>
      </w:pPr>
      <m:oMathPara>
        <m:oMath>
          <m:sSub>
            <m:sSubPr>
              <m:ctrlPr>
                <w:rPr>
                  <w:rFonts w:ascii="Cambria Math" w:hAnsi="Cambria Math" w:cstheme="minorHAnsi"/>
                </w:rPr>
              </m:ctrlPr>
            </m:sSubPr>
            <m:e>
              <m:r>
                <w:rPr>
                  <w:rFonts w:ascii="Cambria Math" w:hAnsi="Cambria Math" w:cstheme="minorHAnsi"/>
                </w:rPr>
                <m:t>E</m:t>
              </m:r>
            </m:e>
            <m:sub>
              <m:r>
                <w:rPr>
                  <w:rFonts w:ascii="Cambria Math" w:hAnsi="Cambria Math" w:cstheme="minorHAnsi"/>
                </w:rPr>
                <m:t>T</m:t>
              </m:r>
            </m:sub>
          </m:sSub>
          <m:r>
            <m:rPr>
              <m:sty m:val="p"/>
            </m:rPr>
            <w:rPr>
              <w:rFonts w:ascii="Cambria Math" w:hAnsi="Cambria Math" w:cstheme="minorHAnsi"/>
            </w:rPr>
            <m:t>=</m:t>
          </m:r>
          <m:nary>
            <m:naryPr>
              <m:chr m:val="∑"/>
              <m:grow m:val="1"/>
              <m:ctrlPr>
                <w:rPr>
                  <w:rFonts w:ascii="Cambria Math" w:hAnsi="Cambria Math" w:cstheme="minorHAnsi"/>
                </w:rPr>
              </m:ctrlPr>
            </m:naryPr>
            <m:sub>
              <m:r>
                <w:rPr>
                  <w:rFonts w:ascii="Cambria Math" w:eastAsia="Cambria Math" w:hAnsi="Cambria Math" w:cstheme="minorHAnsi"/>
                </w:rPr>
                <m:t>i</m:t>
              </m:r>
              <m:r>
                <m:rPr>
                  <m:sty m:val="p"/>
                </m:rPr>
                <w:rPr>
                  <w:rFonts w:ascii="Cambria Math" w:eastAsia="Cambria Math" w:hAnsi="Cambria Math" w:cstheme="minorHAnsi"/>
                </w:rPr>
                <m:t>=1</m:t>
              </m:r>
            </m:sub>
            <m:sup>
              <m:r>
                <w:rPr>
                  <w:rFonts w:ascii="Cambria Math" w:eastAsia="Cambria Math" w:hAnsi="Cambria Math" w:cstheme="minorHAnsi"/>
                </w:rPr>
                <m:t>n</m:t>
              </m:r>
            </m:sup>
            <m:e>
              <m:sSub>
                <m:sSubPr>
                  <m:ctrlPr>
                    <w:rPr>
                      <w:rFonts w:ascii="Cambria Math" w:hAnsi="Cambria Math" w:cstheme="minorHAnsi"/>
                    </w:rPr>
                  </m:ctrlPr>
                </m:sSubPr>
                <m:e>
                  <m:r>
                    <w:rPr>
                      <w:rFonts w:ascii="Cambria Math" w:hAnsi="Cambria Math" w:cstheme="minorHAnsi"/>
                    </w:rPr>
                    <m:t>T</m:t>
                  </m:r>
                </m:e>
                <m:sub>
                  <m:r>
                    <w:rPr>
                      <w:rFonts w:ascii="Cambria Math" w:hAnsi="Cambria Math" w:cstheme="minorHAnsi"/>
                    </w:rPr>
                    <m:t>i</m:t>
                  </m:r>
                </m:sub>
              </m:sSub>
            </m:e>
          </m:nary>
        </m:oMath>
      </m:oMathPara>
    </w:p>
    <w:p w14:paraId="05F31119" w14:textId="77777777" w:rsidR="0044478E" w:rsidRPr="00747E35" w:rsidRDefault="0044478E" w:rsidP="0044478E">
      <w:pPr>
        <w:rPr>
          <w:rFonts w:asciiTheme="minorHAnsi" w:hAnsiTheme="minorHAnsi" w:cstheme="minorHAnsi"/>
        </w:rPr>
      </w:pPr>
    </w:p>
    <w:p w14:paraId="58E38FF9"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By combining information on weighted species vulnerabilities to threats, species distributions, and relative threat intensities across spring complexes, the sum of these vulnerability-weighted threat-by-species combinations then represents the relative cumulative impact of threats on all species in a particular complex.</w:t>
      </w:r>
    </w:p>
    <w:p w14:paraId="2D171D86" w14:textId="77777777" w:rsidR="0044478E" w:rsidRPr="00747E35" w:rsidRDefault="0044478E" w:rsidP="0044478E">
      <w:pPr>
        <w:rPr>
          <w:rFonts w:asciiTheme="minorHAnsi" w:hAnsiTheme="minorHAnsi" w:cstheme="minorHAnsi"/>
        </w:rPr>
      </w:pPr>
    </w:p>
    <w:p w14:paraId="6AD45DE4"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From these data, we can evaluate:</w:t>
      </w:r>
    </w:p>
    <w:p w14:paraId="7022E737" w14:textId="77777777" w:rsidR="0044478E" w:rsidRPr="00747E35" w:rsidRDefault="0044478E" w:rsidP="0083624F">
      <w:pPr>
        <w:pStyle w:val="ListParagraph"/>
        <w:numPr>
          <w:ilvl w:val="0"/>
          <w:numId w:val="12"/>
        </w:numPr>
        <w:adjustRightInd w:val="0"/>
        <w:spacing w:before="60" w:after="240" w:line="240" w:lineRule="auto"/>
        <w:contextualSpacing w:val="0"/>
        <w:jc w:val="both"/>
        <w:rPr>
          <w:rFonts w:asciiTheme="minorHAnsi" w:hAnsiTheme="minorHAnsi" w:cstheme="minorHAnsi"/>
        </w:rPr>
      </w:pPr>
      <w:r w:rsidRPr="00747E35">
        <w:rPr>
          <w:rFonts w:asciiTheme="minorHAnsi" w:eastAsiaTheme="minorEastAsia" w:hAnsiTheme="minorHAnsi" w:cstheme="minorHAnsi"/>
        </w:rPr>
        <w:t>which complexes are exposed to the greatest number and intensity of threats</w:t>
      </w:r>
    </w:p>
    <w:p w14:paraId="060D1EB2" w14:textId="77777777" w:rsidR="0044478E" w:rsidRPr="00747E35" w:rsidRDefault="0044478E" w:rsidP="0083624F">
      <w:pPr>
        <w:pStyle w:val="ListParagraph"/>
        <w:numPr>
          <w:ilvl w:val="0"/>
          <w:numId w:val="12"/>
        </w:numPr>
        <w:adjustRightInd w:val="0"/>
        <w:spacing w:before="60" w:after="240" w:line="240" w:lineRule="auto"/>
        <w:contextualSpacing w:val="0"/>
        <w:jc w:val="both"/>
        <w:rPr>
          <w:rFonts w:asciiTheme="minorHAnsi" w:hAnsiTheme="minorHAnsi" w:cstheme="minorHAnsi"/>
        </w:rPr>
      </w:pPr>
      <w:r w:rsidRPr="00747E35">
        <w:rPr>
          <w:rFonts w:asciiTheme="minorHAnsi" w:eastAsiaTheme="minorEastAsia" w:hAnsiTheme="minorHAnsi" w:cstheme="minorHAnsi"/>
        </w:rPr>
        <w:t>how vulnerability to threats</w:t>
      </w:r>
      <w:r w:rsidRPr="00747E35">
        <w:rPr>
          <w:rFonts w:asciiTheme="minorHAnsi" w:hAnsiTheme="minorHAnsi" w:cstheme="minorHAnsi"/>
        </w:rPr>
        <w:t xml:space="preserve"> varies among species and,</w:t>
      </w:r>
    </w:p>
    <w:p w14:paraId="405F53ED" w14:textId="77777777" w:rsidR="0044478E" w:rsidRPr="00747E35" w:rsidRDefault="0044478E" w:rsidP="0083624F">
      <w:pPr>
        <w:pStyle w:val="ListParagraph"/>
        <w:numPr>
          <w:ilvl w:val="0"/>
          <w:numId w:val="12"/>
        </w:numPr>
        <w:adjustRightInd w:val="0"/>
        <w:spacing w:before="60" w:after="240" w:line="240" w:lineRule="auto"/>
        <w:contextualSpacing w:val="0"/>
        <w:jc w:val="both"/>
        <w:rPr>
          <w:rFonts w:asciiTheme="minorHAnsi" w:hAnsiTheme="minorHAnsi" w:cstheme="minorHAnsi"/>
        </w:rPr>
      </w:pPr>
      <w:r w:rsidRPr="00747E35">
        <w:rPr>
          <w:rFonts w:asciiTheme="minorHAnsi" w:eastAsiaTheme="minorEastAsia" w:hAnsiTheme="minorHAnsi" w:cstheme="minorHAnsi"/>
        </w:rPr>
        <w:t>which complexes are at the highest risk (i.e. contain high number of vulnerable species and are exposed to the highest threat intensities)</w:t>
      </w:r>
    </w:p>
    <w:p w14:paraId="24238CF5" w14:textId="77777777" w:rsidR="0044478E" w:rsidRPr="00747E35" w:rsidRDefault="0044478E" w:rsidP="0044478E">
      <w:pPr>
        <w:rPr>
          <w:rFonts w:asciiTheme="minorHAnsi" w:hAnsiTheme="minorHAnsi" w:cstheme="minorHAnsi"/>
        </w:rPr>
      </w:pPr>
    </w:p>
    <w:p w14:paraId="02E34F07" w14:textId="2D6603A6" w:rsidR="0044478E" w:rsidRPr="00747E35" w:rsidRDefault="0044478E" w:rsidP="0044478E">
      <w:pPr>
        <w:rPr>
          <w:rFonts w:asciiTheme="minorHAnsi" w:hAnsiTheme="minorHAnsi" w:cstheme="minorHAnsi"/>
        </w:rPr>
      </w:pPr>
      <w:r w:rsidRPr="00747E35">
        <w:rPr>
          <w:rFonts w:asciiTheme="minorHAnsi" w:hAnsiTheme="minorHAnsi" w:cstheme="minorHAnsi"/>
        </w:rPr>
        <w:t>The relative exposure of each complex to the five major current threats identified by Fensham et al</w:t>
      </w:r>
      <w:r w:rsidR="005E04D7">
        <w:rPr>
          <w:rFonts w:asciiTheme="minorHAnsi" w:hAnsiTheme="minorHAnsi" w:cstheme="minorHAnsi"/>
        </w:rPr>
        <w:t>.</w:t>
      </w:r>
      <w:r w:rsidRPr="00747E35">
        <w:rPr>
          <w:rFonts w:asciiTheme="minorHAnsi" w:hAnsiTheme="minorHAnsi" w:cstheme="minorHAnsi"/>
        </w:rPr>
        <w:t xml:space="preserve"> (2010), comprising aquifer (groundwater) drawdown, human modification of springs, disturbance from livestock and feral animals, introduced flora and introduced aquatic fauna, was cal</w:t>
      </w:r>
      <w:r w:rsidR="00C6582F" w:rsidRPr="00747E35">
        <w:rPr>
          <w:rFonts w:asciiTheme="minorHAnsi" w:hAnsiTheme="minorHAnsi" w:cstheme="minorHAnsi"/>
        </w:rPr>
        <w:t>c</w:t>
      </w:r>
      <w:r w:rsidRPr="00747E35">
        <w:rPr>
          <w:rFonts w:asciiTheme="minorHAnsi" w:hAnsiTheme="minorHAnsi" w:cstheme="minorHAnsi"/>
        </w:rPr>
        <w:t xml:space="preserve">ulated.  This calculation was undertaken using a range of existing and readily available data layers (described in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_Ref453232966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41</w:t>
      </w:r>
      <w:r w:rsidRPr="00747E35">
        <w:rPr>
          <w:rFonts w:asciiTheme="minorHAnsi" w:hAnsiTheme="minorHAnsi" w:cstheme="minorHAnsi"/>
        </w:rPr>
        <w:fldChar w:fldCharType="end"/>
      </w:r>
      <w:r w:rsidRPr="00747E35">
        <w:rPr>
          <w:rFonts w:asciiTheme="minorHAnsi" w:hAnsiTheme="minorHAnsi" w:cstheme="minorHAnsi"/>
        </w:rPr>
        <w:t>) and Arc GIS. Spring complex polygons or spring points (depending on the nature of the threat data) were intersected with each threat layer. For each major threat type, multiple individual threat layers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_Ref453232966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41</w:t>
      </w:r>
      <w:r w:rsidRPr="00747E35">
        <w:rPr>
          <w:rFonts w:asciiTheme="minorHAnsi" w:hAnsiTheme="minorHAnsi" w:cstheme="minorHAnsi"/>
        </w:rPr>
        <w:fldChar w:fldCharType="end"/>
      </w:r>
      <w:r w:rsidRPr="00747E35">
        <w:rPr>
          <w:rFonts w:asciiTheme="minorHAnsi" w:hAnsiTheme="minorHAnsi" w:cstheme="minorHAnsi"/>
        </w:rPr>
        <w:t xml:space="preserve">) were integrated into composite threat exposure indices by taking the average of the log(x+1) transformed and normalized (scaled between 0 and 1) individual threat layers and then renormalizing to range between 0 and 1.  There are many ways to integrate different data layers; we chose a simple averaging method to integrate individual threat layers as this approach has been demonstrated to be the least prone to bias, missing values and other potential problems (Robinson &amp; Kennard 2010). Examples of data layers used to characterise exposure associated with the threat of potential groundwater drawdown are shown in </w:t>
      </w:r>
      <w:r w:rsidR="00C6582F" w:rsidRPr="00747E35">
        <w:rPr>
          <w:rFonts w:asciiTheme="minorHAnsi" w:hAnsiTheme="minorHAnsi" w:cstheme="minorHAnsi"/>
        </w:rPr>
        <w:fldChar w:fldCharType="begin"/>
      </w:r>
      <w:r w:rsidR="00C6582F" w:rsidRPr="00747E35">
        <w:rPr>
          <w:rFonts w:asciiTheme="minorHAnsi" w:hAnsiTheme="minorHAnsi" w:cstheme="minorHAnsi"/>
        </w:rPr>
        <w:instrText xml:space="preserve"> REF _Ref469067829 \h  \* MERGEFORMAT </w:instrText>
      </w:r>
      <w:r w:rsidR="00C6582F" w:rsidRPr="00747E35">
        <w:rPr>
          <w:rFonts w:asciiTheme="minorHAnsi" w:hAnsiTheme="minorHAnsi" w:cstheme="minorHAnsi"/>
        </w:rPr>
      </w:r>
      <w:r w:rsidR="00C6582F"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146</w:t>
      </w:r>
      <w:r w:rsidR="00C6582F" w:rsidRPr="00747E35">
        <w:rPr>
          <w:rFonts w:asciiTheme="minorHAnsi" w:hAnsiTheme="minorHAnsi" w:cstheme="minorHAnsi"/>
        </w:rPr>
        <w:fldChar w:fldCharType="end"/>
      </w:r>
      <w:r w:rsidR="00C6582F" w:rsidRPr="00747E35">
        <w:rPr>
          <w:rFonts w:asciiTheme="minorHAnsi" w:hAnsiTheme="minorHAnsi" w:cstheme="minorHAnsi"/>
        </w:rPr>
        <w:t>.</w:t>
      </w:r>
    </w:p>
    <w:p w14:paraId="655B5F9C"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br w:type="page"/>
      </w:r>
    </w:p>
    <w:p w14:paraId="7D6FD9FC" w14:textId="77777777" w:rsidR="0044478E" w:rsidRPr="00747E35" w:rsidRDefault="0044478E" w:rsidP="00566456">
      <w:pPr>
        <w:pStyle w:val="Caption"/>
        <w:numPr>
          <w:ilvl w:val="0"/>
          <w:numId w:val="0"/>
        </w:numPr>
        <w:rPr>
          <w:rFonts w:cstheme="minorHAnsi"/>
        </w:rPr>
      </w:pPr>
      <w:bookmarkStart w:id="429" w:name="_Ref453232966"/>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41</w:t>
      </w:r>
      <w:r w:rsidR="009D6600" w:rsidRPr="00747E35">
        <w:rPr>
          <w:rFonts w:cstheme="minorHAnsi"/>
          <w:noProof/>
        </w:rPr>
        <w:fldChar w:fldCharType="end"/>
      </w:r>
      <w:bookmarkEnd w:id="429"/>
      <w:r w:rsidRPr="00747E35">
        <w:rPr>
          <w:rFonts w:cstheme="minorHAnsi"/>
        </w:rPr>
        <w:t>: Data layers used to characterise threats.</w:t>
      </w:r>
    </w:p>
    <w:tbl>
      <w:tblPr>
        <w:tblW w:w="9072" w:type="dxa"/>
        <w:tblLook w:val="04A0" w:firstRow="1" w:lastRow="0" w:firstColumn="1" w:lastColumn="0" w:noHBand="0" w:noVBand="1"/>
      </w:tblPr>
      <w:tblGrid>
        <w:gridCol w:w="3686"/>
        <w:gridCol w:w="5386"/>
      </w:tblGrid>
      <w:tr w:rsidR="0044478E" w:rsidRPr="00747E35" w14:paraId="101E3084" w14:textId="77777777" w:rsidTr="00D062C2">
        <w:trPr>
          <w:trHeight w:val="20"/>
        </w:trPr>
        <w:tc>
          <w:tcPr>
            <w:tcW w:w="3686" w:type="dxa"/>
            <w:tcBorders>
              <w:top w:val="single" w:sz="4" w:space="0" w:color="auto"/>
              <w:left w:val="nil"/>
              <w:bottom w:val="single" w:sz="4" w:space="0" w:color="auto"/>
              <w:right w:val="nil"/>
            </w:tcBorders>
            <w:shd w:val="clear" w:color="auto" w:fill="DEEAF6" w:themeFill="accent1" w:themeFillTint="33"/>
            <w:hideMark/>
          </w:tcPr>
          <w:p w14:paraId="470A821F"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Threat</w:t>
            </w:r>
          </w:p>
        </w:tc>
        <w:tc>
          <w:tcPr>
            <w:tcW w:w="5386" w:type="dxa"/>
            <w:tcBorders>
              <w:top w:val="single" w:sz="4" w:space="0" w:color="auto"/>
              <w:left w:val="nil"/>
              <w:bottom w:val="single" w:sz="4" w:space="0" w:color="auto"/>
              <w:right w:val="nil"/>
            </w:tcBorders>
            <w:shd w:val="clear" w:color="auto" w:fill="DEEAF6" w:themeFill="accent1" w:themeFillTint="33"/>
            <w:hideMark/>
          </w:tcPr>
          <w:p w14:paraId="792EB68D"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Source data layer(s)</w:t>
            </w:r>
          </w:p>
        </w:tc>
      </w:tr>
      <w:tr w:rsidR="0044478E" w:rsidRPr="00747E35" w14:paraId="1AD64888" w14:textId="77777777" w:rsidTr="0044478E">
        <w:trPr>
          <w:trHeight w:val="20"/>
        </w:trPr>
        <w:tc>
          <w:tcPr>
            <w:tcW w:w="3686" w:type="dxa"/>
            <w:tcBorders>
              <w:top w:val="single" w:sz="4" w:space="0" w:color="auto"/>
              <w:left w:val="nil"/>
              <w:bottom w:val="single" w:sz="4" w:space="0" w:color="D9D9D9" w:themeColor="background1" w:themeShade="D9"/>
              <w:right w:val="nil"/>
            </w:tcBorders>
            <w:shd w:val="clear" w:color="auto" w:fill="auto"/>
            <w:hideMark/>
          </w:tcPr>
          <w:p w14:paraId="7138040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xml:space="preserve">Aquifer (GW) drawdown </w:t>
            </w:r>
          </w:p>
        </w:tc>
        <w:tc>
          <w:tcPr>
            <w:tcW w:w="5386" w:type="dxa"/>
            <w:tcBorders>
              <w:top w:val="single" w:sz="4" w:space="0" w:color="auto"/>
              <w:left w:val="nil"/>
              <w:bottom w:val="single" w:sz="4" w:space="0" w:color="D9D9D9" w:themeColor="background1" w:themeShade="D9"/>
              <w:right w:val="nil"/>
            </w:tcBorders>
            <w:shd w:val="clear" w:color="auto" w:fill="auto"/>
            <w:hideMark/>
          </w:tcPr>
          <w:p w14:paraId="0CFE823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Includes direct measures &amp; indirect surrogates</w:t>
            </w:r>
          </w:p>
        </w:tc>
      </w:tr>
      <w:tr w:rsidR="0044478E" w:rsidRPr="00747E35" w14:paraId="7B680B8E" w14:textId="77777777" w:rsidTr="0044478E">
        <w:trPr>
          <w:trHeight w:val="20"/>
        </w:trPr>
        <w:tc>
          <w:tcPr>
            <w:tcW w:w="3686" w:type="dxa"/>
            <w:tcBorders>
              <w:top w:val="single" w:sz="4" w:space="0" w:color="D9D9D9" w:themeColor="background1" w:themeShade="D9"/>
              <w:left w:val="nil"/>
              <w:bottom w:val="nil"/>
              <w:right w:val="nil"/>
            </w:tcBorders>
            <w:shd w:val="clear" w:color="auto" w:fill="auto"/>
            <w:hideMark/>
          </w:tcPr>
          <w:p w14:paraId="29A94700" w14:textId="77777777" w:rsidR="0044478E" w:rsidRPr="00747E35" w:rsidRDefault="0044478E" w:rsidP="0044478E">
            <w:pPr>
              <w:pStyle w:val="Tabletext"/>
              <w:spacing w:before="0" w:after="0"/>
              <w:rPr>
                <w:rFonts w:cstheme="minorHAnsi"/>
                <w:lang w:eastAsia="en-AU"/>
              </w:rPr>
            </w:pPr>
          </w:p>
        </w:tc>
        <w:tc>
          <w:tcPr>
            <w:tcW w:w="5386" w:type="dxa"/>
            <w:tcBorders>
              <w:top w:val="single" w:sz="4" w:space="0" w:color="D9D9D9" w:themeColor="background1" w:themeShade="D9"/>
              <w:left w:val="nil"/>
              <w:bottom w:val="single" w:sz="4" w:space="0" w:color="D9D9D9" w:themeColor="background1" w:themeShade="D9"/>
              <w:right w:val="nil"/>
            </w:tcBorders>
            <w:shd w:val="clear" w:color="auto" w:fill="auto"/>
            <w:hideMark/>
          </w:tcPr>
          <w:p w14:paraId="5E158A5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Spring activity status from GAB springs database</w:t>
            </w:r>
          </w:p>
        </w:tc>
      </w:tr>
      <w:tr w:rsidR="0044478E" w:rsidRPr="00747E35" w14:paraId="294B7279" w14:textId="77777777" w:rsidTr="0044478E">
        <w:trPr>
          <w:trHeight w:val="20"/>
        </w:trPr>
        <w:tc>
          <w:tcPr>
            <w:tcW w:w="3686" w:type="dxa"/>
            <w:tcBorders>
              <w:top w:val="nil"/>
              <w:left w:val="nil"/>
              <w:right w:val="nil"/>
            </w:tcBorders>
            <w:shd w:val="clear" w:color="auto" w:fill="auto"/>
            <w:hideMark/>
          </w:tcPr>
          <w:p w14:paraId="61904763" w14:textId="77777777" w:rsidR="0044478E" w:rsidRPr="00747E35" w:rsidRDefault="0044478E" w:rsidP="0044478E">
            <w:pPr>
              <w:pStyle w:val="Tabletext"/>
              <w:spacing w:before="0" w:after="0"/>
              <w:rPr>
                <w:rFonts w:cstheme="minorHAnsi"/>
                <w:lang w:eastAsia="en-AU"/>
              </w:rPr>
            </w:pPr>
          </w:p>
        </w:tc>
        <w:tc>
          <w:tcPr>
            <w:tcW w:w="5386" w:type="dxa"/>
            <w:tcBorders>
              <w:top w:val="single" w:sz="4" w:space="0" w:color="D9D9D9" w:themeColor="background1" w:themeShade="D9"/>
              <w:left w:val="nil"/>
              <w:bottom w:val="single" w:sz="4" w:space="0" w:color="D9D9D9" w:themeColor="background1" w:themeShade="D9"/>
              <w:right w:val="nil"/>
            </w:tcBorders>
            <w:shd w:val="clear" w:color="auto" w:fill="auto"/>
            <w:hideMark/>
          </w:tcPr>
          <w:p w14:paraId="770F841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Bore density (bores/km</w:t>
            </w:r>
            <w:r w:rsidRPr="00747E35">
              <w:rPr>
                <w:rFonts w:cstheme="minorHAnsi"/>
                <w:vertAlign w:val="superscript"/>
                <w:lang w:eastAsia="en-AU"/>
              </w:rPr>
              <w:t>2</w:t>
            </w:r>
            <w:r w:rsidRPr="00747E35">
              <w:rPr>
                <w:rFonts w:cstheme="minorHAnsi"/>
                <w:lang w:eastAsia="en-AU"/>
              </w:rPr>
              <w:t>) for those uncapped bores within 6km buffer surrounding each complex polygon. Source: National Groundwater Information System (BOM 2016). Used as a measure of potential for local and regional groundwater drawdown.</w:t>
            </w:r>
          </w:p>
        </w:tc>
      </w:tr>
      <w:tr w:rsidR="0044478E" w:rsidRPr="00747E35" w14:paraId="3195986A" w14:textId="77777777" w:rsidTr="0044478E">
        <w:trPr>
          <w:trHeight w:val="20"/>
        </w:trPr>
        <w:tc>
          <w:tcPr>
            <w:tcW w:w="3686" w:type="dxa"/>
            <w:tcBorders>
              <w:top w:val="nil"/>
              <w:left w:val="nil"/>
              <w:right w:val="nil"/>
            </w:tcBorders>
            <w:shd w:val="clear" w:color="auto" w:fill="auto"/>
            <w:hideMark/>
          </w:tcPr>
          <w:p w14:paraId="4E735935" w14:textId="77777777" w:rsidR="0044478E" w:rsidRPr="00747E35" w:rsidRDefault="0044478E" w:rsidP="0044478E">
            <w:pPr>
              <w:pStyle w:val="Tabletext"/>
              <w:spacing w:before="0" w:after="0"/>
              <w:rPr>
                <w:rFonts w:cstheme="minorHAnsi"/>
                <w:lang w:eastAsia="en-AU"/>
              </w:rPr>
            </w:pPr>
          </w:p>
        </w:tc>
        <w:tc>
          <w:tcPr>
            <w:tcW w:w="5386" w:type="dxa"/>
            <w:tcBorders>
              <w:top w:val="single" w:sz="4" w:space="0" w:color="D9D9D9" w:themeColor="background1" w:themeShade="D9"/>
              <w:left w:val="nil"/>
              <w:bottom w:val="single" w:sz="4" w:space="0" w:color="D9D9D9" w:themeColor="background1" w:themeShade="D9"/>
              <w:right w:val="nil"/>
            </w:tcBorders>
            <w:shd w:val="clear" w:color="auto" w:fill="auto"/>
            <w:hideMark/>
          </w:tcPr>
          <w:p w14:paraId="3A322A82" w14:textId="3DA6CD9F" w:rsidR="0044478E" w:rsidRPr="00747E35" w:rsidRDefault="0044478E" w:rsidP="0044478E">
            <w:pPr>
              <w:pStyle w:val="Tabletext"/>
              <w:spacing w:before="0" w:after="0"/>
              <w:rPr>
                <w:rFonts w:cstheme="minorHAnsi"/>
                <w:lang w:eastAsia="en-AU"/>
              </w:rPr>
            </w:pPr>
            <w:r w:rsidRPr="00747E35">
              <w:rPr>
                <w:rFonts w:cstheme="minorHAnsi"/>
                <w:lang w:eastAsia="en-AU"/>
              </w:rPr>
              <w:t>Projected change in groundwater level under current climate and current groundwater development (Scenario A). Source: Great Artesian Basin Water Resource Assessment (Welsh et al</w:t>
            </w:r>
            <w:r w:rsidR="005E04D7">
              <w:rPr>
                <w:rFonts w:cstheme="minorHAnsi"/>
                <w:lang w:eastAsia="en-AU"/>
              </w:rPr>
              <w:t>.</w:t>
            </w:r>
            <w:r w:rsidRPr="00747E35">
              <w:rPr>
                <w:rFonts w:cstheme="minorHAnsi"/>
                <w:lang w:eastAsia="en-AU"/>
              </w:rPr>
              <w:t xml:space="preserve"> 2012). </w:t>
            </w:r>
          </w:p>
        </w:tc>
      </w:tr>
      <w:tr w:rsidR="0044478E" w:rsidRPr="00747E35" w14:paraId="367F1A95" w14:textId="77777777" w:rsidTr="0044478E">
        <w:trPr>
          <w:trHeight w:val="20"/>
        </w:trPr>
        <w:tc>
          <w:tcPr>
            <w:tcW w:w="3686" w:type="dxa"/>
            <w:tcBorders>
              <w:top w:val="nil"/>
              <w:left w:val="nil"/>
              <w:bottom w:val="single" w:sz="4" w:space="0" w:color="auto"/>
              <w:right w:val="nil"/>
            </w:tcBorders>
            <w:shd w:val="clear" w:color="auto" w:fill="auto"/>
            <w:hideMark/>
          </w:tcPr>
          <w:p w14:paraId="5304F685" w14:textId="77777777" w:rsidR="0044478E" w:rsidRPr="00747E35" w:rsidRDefault="0044478E" w:rsidP="0044478E">
            <w:pPr>
              <w:pStyle w:val="Tabletext"/>
              <w:spacing w:before="0" w:after="0"/>
              <w:rPr>
                <w:rFonts w:cstheme="minorHAnsi"/>
                <w:lang w:eastAsia="en-AU"/>
              </w:rPr>
            </w:pPr>
          </w:p>
        </w:tc>
        <w:tc>
          <w:tcPr>
            <w:tcW w:w="5386" w:type="dxa"/>
            <w:tcBorders>
              <w:top w:val="single" w:sz="4" w:space="0" w:color="D9D9D9" w:themeColor="background1" w:themeShade="D9"/>
              <w:left w:val="nil"/>
              <w:bottom w:val="single" w:sz="4" w:space="0" w:color="auto"/>
              <w:right w:val="nil"/>
            </w:tcBorders>
            <w:shd w:val="clear" w:color="auto" w:fill="auto"/>
            <w:hideMark/>
          </w:tcPr>
          <w:p w14:paraId="00722842"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Existing coal and petroleum mining production activity (excludes Exploration &amp; Tenement Licenses). Source: Energy &amp; Resource Insights (2016)</w:t>
            </w:r>
          </w:p>
        </w:tc>
      </w:tr>
      <w:tr w:rsidR="0044478E" w:rsidRPr="00747E35" w14:paraId="3F2EE7E6" w14:textId="77777777" w:rsidTr="0044478E">
        <w:trPr>
          <w:trHeight w:val="20"/>
        </w:trPr>
        <w:tc>
          <w:tcPr>
            <w:tcW w:w="3686" w:type="dxa"/>
            <w:tcBorders>
              <w:top w:val="single" w:sz="4" w:space="0" w:color="auto"/>
              <w:left w:val="nil"/>
              <w:bottom w:val="single" w:sz="4" w:space="0" w:color="D9D9D9" w:themeColor="background1" w:themeShade="D9"/>
              <w:right w:val="nil"/>
            </w:tcBorders>
            <w:shd w:val="clear" w:color="auto" w:fill="auto"/>
            <w:hideMark/>
          </w:tcPr>
          <w:p w14:paraId="452B9F3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Human modification of springs</w:t>
            </w:r>
          </w:p>
        </w:tc>
        <w:tc>
          <w:tcPr>
            <w:tcW w:w="5386" w:type="dxa"/>
            <w:tcBorders>
              <w:top w:val="single" w:sz="4" w:space="0" w:color="auto"/>
              <w:left w:val="nil"/>
              <w:bottom w:val="single" w:sz="4" w:space="0" w:color="D9D9D9" w:themeColor="background1" w:themeShade="D9"/>
              <w:right w:val="nil"/>
            </w:tcBorders>
            <w:shd w:val="clear" w:color="auto" w:fill="auto"/>
            <w:hideMark/>
          </w:tcPr>
          <w:p w14:paraId="35880B8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Includes direct measures</w:t>
            </w:r>
          </w:p>
        </w:tc>
      </w:tr>
      <w:tr w:rsidR="0044478E" w:rsidRPr="00747E35" w14:paraId="44EB47FE" w14:textId="77777777" w:rsidTr="0044478E">
        <w:trPr>
          <w:trHeight w:val="20"/>
        </w:trPr>
        <w:tc>
          <w:tcPr>
            <w:tcW w:w="3686" w:type="dxa"/>
            <w:tcBorders>
              <w:top w:val="single" w:sz="4" w:space="0" w:color="D9D9D9" w:themeColor="background1" w:themeShade="D9"/>
              <w:left w:val="nil"/>
              <w:bottom w:val="nil"/>
              <w:right w:val="nil"/>
            </w:tcBorders>
            <w:shd w:val="clear" w:color="auto" w:fill="auto"/>
            <w:hideMark/>
          </w:tcPr>
          <w:p w14:paraId="058342B1" w14:textId="77777777" w:rsidR="0044478E" w:rsidRPr="00747E35" w:rsidRDefault="0044478E" w:rsidP="0044478E">
            <w:pPr>
              <w:pStyle w:val="Tabletext"/>
              <w:spacing w:before="0" w:after="0"/>
              <w:rPr>
                <w:rFonts w:cstheme="minorHAnsi"/>
                <w:lang w:eastAsia="en-AU"/>
              </w:rPr>
            </w:pPr>
          </w:p>
        </w:tc>
        <w:tc>
          <w:tcPr>
            <w:tcW w:w="5386" w:type="dxa"/>
            <w:tcBorders>
              <w:top w:val="single" w:sz="4" w:space="0" w:color="D9D9D9" w:themeColor="background1" w:themeShade="D9"/>
              <w:left w:val="nil"/>
              <w:bottom w:val="single" w:sz="4" w:space="0" w:color="D9D9D9" w:themeColor="background1" w:themeShade="D9"/>
              <w:right w:val="nil"/>
            </w:tcBorders>
            <w:shd w:val="clear" w:color="auto" w:fill="auto"/>
            <w:hideMark/>
          </w:tcPr>
          <w:p w14:paraId="17A23581"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Lake Eyre Basin Springs Assessment database (Excavation damage) (data for 170 Qld complexes only)</w:t>
            </w:r>
          </w:p>
        </w:tc>
      </w:tr>
      <w:tr w:rsidR="0044478E" w:rsidRPr="00747E35" w14:paraId="4B68FEA6" w14:textId="77777777" w:rsidTr="0044478E">
        <w:trPr>
          <w:trHeight w:val="20"/>
        </w:trPr>
        <w:tc>
          <w:tcPr>
            <w:tcW w:w="3686" w:type="dxa"/>
            <w:tcBorders>
              <w:top w:val="single" w:sz="4" w:space="0" w:color="auto"/>
              <w:left w:val="nil"/>
              <w:bottom w:val="single" w:sz="4" w:space="0" w:color="D9D9D9" w:themeColor="background1" w:themeShade="D9"/>
              <w:right w:val="nil"/>
            </w:tcBorders>
            <w:shd w:val="clear" w:color="auto" w:fill="auto"/>
            <w:hideMark/>
          </w:tcPr>
          <w:p w14:paraId="1135A29C"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Disturbance from livestock and feral animals (cattle, pigs, sheep, goats, camels)</w:t>
            </w:r>
          </w:p>
        </w:tc>
        <w:tc>
          <w:tcPr>
            <w:tcW w:w="5386" w:type="dxa"/>
            <w:tcBorders>
              <w:top w:val="single" w:sz="4" w:space="0" w:color="auto"/>
              <w:left w:val="nil"/>
              <w:bottom w:val="single" w:sz="4" w:space="0" w:color="D9D9D9" w:themeColor="background1" w:themeShade="D9"/>
              <w:right w:val="nil"/>
            </w:tcBorders>
            <w:shd w:val="clear" w:color="auto" w:fill="auto"/>
            <w:hideMark/>
          </w:tcPr>
          <w:p w14:paraId="51ABEB2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Includes direct measures &amp; indirect surrogates</w:t>
            </w:r>
          </w:p>
        </w:tc>
      </w:tr>
      <w:tr w:rsidR="0044478E" w:rsidRPr="00747E35" w14:paraId="59215EF6" w14:textId="77777777" w:rsidTr="0044478E">
        <w:trPr>
          <w:trHeight w:val="20"/>
        </w:trPr>
        <w:tc>
          <w:tcPr>
            <w:tcW w:w="3686" w:type="dxa"/>
            <w:tcBorders>
              <w:top w:val="single" w:sz="4" w:space="0" w:color="D9D9D9" w:themeColor="background1" w:themeShade="D9"/>
              <w:left w:val="nil"/>
              <w:bottom w:val="nil"/>
              <w:right w:val="nil"/>
            </w:tcBorders>
            <w:shd w:val="clear" w:color="auto" w:fill="auto"/>
            <w:hideMark/>
          </w:tcPr>
          <w:p w14:paraId="15FE0B16" w14:textId="77777777" w:rsidR="0044478E" w:rsidRPr="00747E35" w:rsidRDefault="0044478E" w:rsidP="0044478E">
            <w:pPr>
              <w:pStyle w:val="Tabletext"/>
              <w:spacing w:before="0" w:after="0"/>
              <w:rPr>
                <w:rFonts w:cstheme="minorHAnsi"/>
                <w:lang w:eastAsia="en-AU"/>
              </w:rPr>
            </w:pPr>
          </w:p>
        </w:tc>
        <w:tc>
          <w:tcPr>
            <w:tcW w:w="5386" w:type="dxa"/>
            <w:tcBorders>
              <w:top w:val="single" w:sz="4" w:space="0" w:color="D9D9D9" w:themeColor="background1" w:themeShade="D9"/>
              <w:left w:val="nil"/>
              <w:bottom w:val="single" w:sz="4" w:space="0" w:color="D9D9D9" w:themeColor="background1" w:themeShade="D9"/>
              <w:right w:val="nil"/>
            </w:tcBorders>
            <w:shd w:val="clear" w:color="auto" w:fill="auto"/>
            <w:hideMark/>
          </w:tcPr>
          <w:p w14:paraId="4DFC0A3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xml:space="preserve">Australian Collaborative Land Use and Management Program (ACLUMP) (2014) Land Use of Australia Interim Version 5, 2010-11 (grazing native vegetation or modified pastures). </w:t>
            </w:r>
          </w:p>
        </w:tc>
      </w:tr>
      <w:tr w:rsidR="0044478E" w:rsidRPr="00747E35" w14:paraId="0A156BAD" w14:textId="77777777" w:rsidTr="0044478E">
        <w:trPr>
          <w:trHeight w:val="20"/>
        </w:trPr>
        <w:tc>
          <w:tcPr>
            <w:tcW w:w="3686" w:type="dxa"/>
            <w:tcBorders>
              <w:top w:val="nil"/>
              <w:left w:val="nil"/>
              <w:right w:val="nil"/>
            </w:tcBorders>
            <w:shd w:val="clear" w:color="auto" w:fill="auto"/>
            <w:hideMark/>
          </w:tcPr>
          <w:p w14:paraId="7044E1ED" w14:textId="77777777" w:rsidR="0044478E" w:rsidRPr="00747E35" w:rsidRDefault="0044478E" w:rsidP="0044478E">
            <w:pPr>
              <w:pStyle w:val="Tabletext"/>
              <w:spacing w:before="0" w:after="0"/>
              <w:rPr>
                <w:rFonts w:cstheme="minorHAnsi"/>
                <w:lang w:eastAsia="en-AU"/>
              </w:rPr>
            </w:pPr>
          </w:p>
        </w:tc>
        <w:tc>
          <w:tcPr>
            <w:tcW w:w="5386" w:type="dxa"/>
            <w:tcBorders>
              <w:top w:val="single" w:sz="4" w:space="0" w:color="D9D9D9" w:themeColor="background1" w:themeShade="D9"/>
              <w:left w:val="nil"/>
              <w:bottom w:val="single" w:sz="4" w:space="0" w:color="D9D9D9" w:themeColor="background1" w:themeShade="D9"/>
              <w:right w:val="nil"/>
            </w:tcBorders>
            <w:shd w:val="clear" w:color="auto" w:fill="auto"/>
            <w:hideMark/>
          </w:tcPr>
          <w:p w14:paraId="1D9C23C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Lake Eyre Basin Springs Assessment database (stock &amp; pig damage) (data for 170 Qld complexes only)</w:t>
            </w:r>
          </w:p>
        </w:tc>
      </w:tr>
      <w:tr w:rsidR="0044478E" w:rsidRPr="00747E35" w14:paraId="030C7275" w14:textId="77777777" w:rsidTr="0044478E">
        <w:trPr>
          <w:trHeight w:val="20"/>
        </w:trPr>
        <w:tc>
          <w:tcPr>
            <w:tcW w:w="3686" w:type="dxa"/>
            <w:tcBorders>
              <w:top w:val="nil"/>
              <w:left w:val="nil"/>
              <w:bottom w:val="single" w:sz="4" w:space="0" w:color="auto"/>
              <w:right w:val="nil"/>
            </w:tcBorders>
            <w:shd w:val="clear" w:color="auto" w:fill="auto"/>
            <w:hideMark/>
          </w:tcPr>
          <w:p w14:paraId="72D0924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European cattle (</w:t>
            </w:r>
            <w:r w:rsidRPr="00747E35">
              <w:rPr>
                <w:rFonts w:cstheme="minorHAnsi"/>
                <w:i/>
                <w:lang w:eastAsia="en-AU"/>
              </w:rPr>
              <w:t>Bos taurus</w:t>
            </w:r>
            <w:r w:rsidRPr="00747E35">
              <w:rPr>
                <w:rFonts w:cstheme="minorHAnsi"/>
                <w:lang w:eastAsia="en-AU"/>
              </w:rPr>
              <w:t>), feral pig (</w:t>
            </w:r>
            <w:r w:rsidRPr="00747E35">
              <w:rPr>
                <w:rFonts w:cstheme="minorHAnsi"/>
                <w:i/>
                <w:lang w:eastAsia="en-AU"/>
              </w:rPr>
              <w:t>Sus scrofa</w:t>
            </w:r>
            <w:r w:rsidRPr="00747E35">
              <w:rPr>
                <w:rFonts w:cstheme="minorHAnsi"/>
                <w:lang w:eastAsia="en-AU"/>
              </w:rPr>
              <w:t>), sheep (</w:t>
            </w:r>
            <w:r w:rsidRPr="00747E35">
              <w:rPr>
                <w:rFonts w:cstheme="minorHAnsi"/>
                <w:i/>
                <w:lang w:eastAsia="en-AU"/>
              </w:rPr>
              <w:t>Ovis aries</w:t>
            </w:r>
            <w:r w:rsidRPr="00747E35">
              <w:rPr>
                <w:rFonts w:cstheme="minorHAnsi"/>
                <w:lang w:eastAsia="en-AU"/>
              </w:rPr>
              <w:t>), goat (</w:t>
            </w:r>
            <w:r w:rsidRPr="00747E35">
              <w:rPr>
                <w:rFonts w:cstheme="minorHAnsi"/>
                <w:i/>
                <w:lang w:eastAsia="en-AU"/>
              </w:rPr>
              <w:t>Capra hircus</w:t>
            </w:r>
            <w:r w:rsidRPr="00747E35">
              <w:rPr>
                <w:rFonts w:cstheme="minorHAnsi"/>
                <w:lang w:eastAsia="en-AU"/>
              </w:rPr>
              <w:t>), camel (</w:t>
            </w:r>
            <w:r w:rsidRPr="00747E35">
              <w:rPr>
                <w:rFonts w:cstheme="minorHAnsi"/>
                <w:i/>
                <w:lang w:eastAsia="en-AU"/>
              </w:rPr>
              <w:t>Camelus dromedaries</w:t>
            </w:r>
            <w:r w:rsidRPr="00747E35">
              <w:rPr>
                <w:rFonts w:cstheme="minorHAnsi"/>
                <w:lang w:eastAsia="en-AU"/>
              </w:rPr>
              <w:t>)</w:t>
            </w:r>
          </w:p>
        </w:tc>
        <w:tc>
          <w:tcPr>
            <w:tcW w:w="5386" w:type="dxa"/>
            <w:tcBorders>
              <w:top w:val="single" w:sz="4" w:space="0" w:color="D9D9D9" w:themeColor="background1" w:themeShade="D9"/>
              <w:left w:val="nil"/>
              <w:bottom w:val="single" w:sz="4" w:space="0" w:color="auto"/>
              <w:right w:val="nil"/>
            </w:tcBorders>
            <w:shd w:val="clear" w:color="auto" w:fill="auto"/>
            <w:hideMark/>
          </w:tcPr>
          <w:p w14:paraId="4688A41B"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Atlas of Living Australia occurrence records (individual records within a 1km buffer of spring complex polygons)</w:t>
            </w:r>
          </w:p>
        </w:tc>
      </w:tr>
      <w:tr w:rsidR="0044478E" w:rsidRPr="00747E35" w14:paraId="73A94F60" w14:textId="77777777" w:rsidTr="0044478E">
        <w:trPr>
          <w:trHeight w:val="20"/>
        </w:trPr>
        <w:tc>
          <w:tcPr>
            <w:tcW w:w="3686" w:type="dxa"/>
            <w:tcBorders>
              <w:top w:val="single" w:sz="4" w:space="0" w:color="auto"/>
              <w:left w:val="nil"/>
              <w:bottom w:val="single" w:sz="4" w:space="0" w:color="D9D9D9" w:themeColor="background1" w:themeShade="D9"/>
              <w:right w:val="nil"/>
            </w:tcBorders>
            <w:shd w:val="clear" w:color="auto" w:fill="auto"/>
            <w:hideMark/>
          </w:tcPr>
          <w:p w14:paraId="0F8FB365"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Introduced flora</w:t>
            </w:r>
          </w:p>
        </w:tc>
        <w:tc>
          <w:tcPr>
            <w:tcW w:w="5386" w:type="dxa"/>
            <w:tcBorders>
              <w:top w:val="single" w:sz="4" w:space="0" w:color="auto"/>
              <w:left w:val="nil"/>
              <w:bottom w:val="single" w:sz="4" w:space="0" w:color="D9D9D9" w:themeColor="background1" w:themeShade="D9"/>
              <w:right w:val="nil"/>
            </w:tcBorders>
            <w:shd w:val="clear" w:color="auto" w:fill="auto"/>
            <w:hideMark/>
          </w:tcPr>
          <w:p w14:paraId="16E1E8B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Includes direct measures</w:t>
            </w:r>
          </w:p>
        </w:tc>
      </w:tr>
      <w:tr w:rsidR="0044478E" w:rsidRPr="00747E35" w14:paraId="62E1A89E" w14:textId="77777777" w:rsidTr="0044478E">
        <w:trPr>
          <w:trHeight w:val="20"/>
        </w:trPr>
        <w:tc>
          <w:tcPr>
            <w:tcW w:w="3686" w:type="dxa"/>
            <w:tcBorders>
              <w:top w:val="single" w:sz="4" w:space="0" w:color="D9D9D9" w:themeColor="background1" w:themeShade="D9"/>
              <w:left w:val="nil"/>
              <w:bottom w:val="single" w:sz="4" w:space="0" w:color="auto"/>
              <w:right w:val="nil"/>
            </w:tcBorders>
            <w:shd w:val="clear" w:color="auto" w:fill="auto"/>
            <w:hideMark/>
          </w:tcPr>
          <w:p w14:paraId="41571E18"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Para grass (Urochloa mutica), olive Hymenachne (Hymenachne amplexicaulis), rubber vine (Cryptostegia grandiflora), date palm (Phoenix dactylifera), bamboo (Arundo donax), athel pine (Tamarix aphylla)</w:t>
            </w:r>
          </w:p>
        </w:tc>
        <w:tc>
          <w:tcPr>
            <w:tcW w:w="5386" w:type="dxa"/>
            <w:tcBorders>
              <w:top w:val="single" w:sz="4" w:space="0" w:color="D9D9D9" w:themeColor="background1" w:themeShade="D9"/>
              <w:left w:val="nil"/>
              <w:bottom w:val="single" w:sz="4" w:space="0" w:color="auto"/>
              <w:right w:val="nil"/>
            </w:tcBorders>
            <w:shd w:val="clear" w:color="auto" w:fill="auto"/>
            <w:hideMark/>
          </w:tcPr>
          <w:p w14:paraId="462A614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Atlas of Living Australia occurrence records (method described above).</w:t>
            </w:r>
          </w:p>
        </w:tc>
      </w:tr>
      <w:tr w:rsidR="0044478E" w:rsidRPr="00747E35" w14:paraId="34C9BB40" w14:textId="77777777" w:rsidTr="0044478E">
        <w:trPr>
          <w:trHeight w:val="20"/>
        </w:trPr>
        <w:tc>
          <w:tcPr>
            <w:tcW w:w="3686" w:type="dxa"/>
            <w:tcBorders>
              <w:top w:val="single" w:sz="4" w:space="0" w:color="auto"/>
              <w:left w:val="nil"/>
              <w:bottom w:val="single" w:sz="4" w:space="0" w:color="D9D9D9" w:themeColor="background1" w:themeShade="D9"/>
              <w:right w:val="nil"/>
            </w:tcBorders>
            <w:shd w:val="clear" w:color="auto" w:fill="auto"/>
            <w:hideMark/>
          </w:tcPr>
          <w:p w14:paraId="060EA379"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Introduced aquatic fauna</w:t>
            </w:r>
          </w:p>
        </w:tc>
        <w:tc>
          <w:tcPr>
            <w:tcW w:w="5386" w:type="dxa"/>
            <w:tcBorders>
              <w:top w:val="single" w:sz="4" w:space="0" w:color="auto"/>
              <w:left w:val="nil"/>
              <w:bottom w:val="single" w:sz="4" w:space="0" w:color="D9D9D9" w:themeColor="background1" w:themeShade="D9"/>
              <w:right w:val="nil"/>
            </w:tcBorders>
            <w:shd w:val="clear" w:color="auto" w:fill="auto"/>
            <w:hideMark/>
          </w:tcPr>
          <w:p w14:paraId="7AA205E9"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Includes direct measures</w:t>
            </w:r>
          </w:p>
        </w:tc>
      </w:tr>
      <w:tr w:rsidR="0044478E" w:rsidRPr="00747E35" w14:paraId="4C9E571B" w14:textId="77777777" w:rsidTr="0044478E">
        <w:trPr>
          <w:trHeight w:val="20"/>
        </w:trPr>
        <w:tc>
          <w:tcPr>
            <w:tcW w:w="3686" w:type="dxa"/>
            <w:tcBorders>
              <w:top w:val="single" w:sz="4" w:space="0" w:color="D9D9D9" w:themeColor="background1" w:themeShade="D9"/>
              <w:left w:val="nil"/>
              <w:bottom w:val="single" w:sz="4" w:space="0" w:color="auto"/>
              <w:right w:val="nil"/>
            </w:tcBorders>
            <w:shd w:val="clear" w:color="auto" w:fill="auto"/>
            <w:hideMark/>
          </w:tcPr>
          <w:p w14:paraId="3A21469D"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Gambusia (Gambusia holbrooki),</w:t>
            </w:r>
            <w:r w:rsidRPr="00747E35">
              <w:rPr>
                <w:rFonts w:cstheme="minorHAnsi"/>
              </w:rPr>
              <w:t xml:space="preserve"> </w:t>
            </w:r>
            <w:r w:rsidRPr="00747E35">
              <w:rPr>
                <w:rFonts w:cstheme="minorHAnsi"/>
                <w:lang w:eastAsia="en-AU"/>
              </w:rPr>
              <w:t>Red-claw crayfish (Cherax quadricarinatus), Cane toad (Rhinella marina)</w:t>
            </w:r>
          </w:p>
        </w:tc>
        <w:tc>
          <w:tcPr>
            <w:tcW w:w="5386" w:type="dxa"/>
            <w:tcBorders>
              <w:top w:val="single" w:sz="4" w:space="0" w:color="D9D9D9" w:themeColor="background1" w:themeShade="D9"/>
              <w:left w:val="nil"/>
              <w:bottom w:val="single" w:sz="4" w:space="0" w:color="auto"/>
              <w:right w:val="nil"/>
            </w:tcBorders>
            <w:shd w:val="clear" w:color="auto" w:fill="auto"/>
            <w:hideMark/>
          </w:tcPr>
          <w:p w14:paraId="299ED000" w14:textId="77777777" w:rsidR="0044478E" w:rsidRPr="00747E35" w:rsidRDefault="0044478E" w:rsidP="0044478E">
            <w:pPr>
              <w:pStyle w:val="Tabletext"/>
              <w:spacing w:before="0" w:after="0"/>
              <w:rPr>
                <w:rFonts w:cstheme="minorHAnsi"/>
                <w:lang w:eastAsia="en-AU"/>
              </w:rPr>
            </w:pPr>
            <w:r w:rsidRPr="00747E35">
              <w:rPr>
                <w:rFonts w:cstheme="minorHAnsi"/>
                <w:i/>
                <w:lang w:eastAsia="en-AU"/>
              </w:rPr>
              <w:t>Gambusia holbrooki</w:t>
            </w:r>
            <w:r w:rsidRPr="00747E35">
              <w:rPr>
                <w:rFonts w:cstheme="minorHAnsi"/>
                <w:lang w:eastAsia="en-AU"/>
              </w:rPr>
              <w:t xml:space="preserve"> - Atlas of Living Australia occurrence records (method described above) plus sampling records from the Lake Eyre Basin Springs Assessment database. All other taxa: Atlas of Living Australia occurrence records.</w:t>
            </w:r>
          </w:p>
        </w:tc>
      </w:tr>
    </w:tbl>
    <w:p w14:paraId="71808F1B" w14:textId="77777777" w:rsidR="0044478E" w:rsidRPr="00747E35" w:rsidRDefault="0044478E" w:rsidP="0044478E">
      <w:pPr>
        <w:rPr>
          <w:rFonts w:asciiTheme="minorHAnsi" w:hAnsiTheme="minorHAnsi" w:cstheme="minorHAnsi"/>
        </w:rPr>
      </w:pPr>
    </w:p>
    <w:p w14:paraId="6BFEF904" w14:textId="77777777" w:rsidR="0044478E" w:rsidRPr="00747E35" w:rsidRDefault="0044478E" w:rsidP="0044478E">
      <w:pPr>
        <w:rPr>
          <w:rFonts w:asciiTheme="minorHAnsi" w:hAnsiTheme="minorHAnsi" w:cstheme="minorHAnsi"/>
        </w:rPr>
      </w:pPr>
    </w:p>
    <w:p w14:paraId="2FA3F22F" w14:textId="77777777" w:rsidR="0044478E" w:rsidRPr="00747E35" w:rsidRDefault="0044478E" w:rsidP="0044478E">
      <w:pPr>
        <w:rPr>
          <w:rFonts w:asciiTheme="minorHAnsi" w:hAnsiTheme="minorHAnsi" w:cstheme="minorHAnsi"/>
        </w:rPr>
      </w:pPr>
    </w:p>
    <w:p w14:paraId="3F8EC5EC" w14:textId="77777777" w:rsidR="0044478E" w:rsidRPr="00747E35" w:rsidRDefault="0044478E" w:rsidP="0044478E">
      <w:pPr>
        <w:rPr>
          <w:rFonts w:asciiTheme="minorHAnsi" w:hAnsiTheme="minorHAnsi" w:cstheme="minorHAnsi"/>
        </w:rPr>
      </w:pPr>
    </w:p>
    <w:p w14:paraId="634BC832" w14:textId="77777777" w:rsidR="0044478E" w:rsidRPr="00747E35" w:rsidRDefault="0044478E" w:rsidP="0044478E">
      <w:pPr>
        <w:rPr>
          <w:rFonts w:asciiTheme="minorHAnsi" w:hAnsiTheme="minorHAnsi" w:cstheme="minorHAnsi"/>
        </w:rPr>
      </w:pPr>
    </w:p>
    <w:p w14:paraId="6D4C21B8" w14:textId="77777777" w:rsidR="0044478E" w:rsidRPr="00747E35" w:rsidRDefault="0044478E" w:rsidP="0044478E">
      <w:pPr>
        <w:rPr>
          <w:rFonts w:asciiTheme="minorHAnsi" w:hAnsiTheme="minorHAnsi" w:cstheme="minorHAnsi"/>
        </w:rPr>
      </w:pPr>
    </w:p>
    <w:p w14:paraId="1CB67DD7" w14:textId="77777777" w:rsidR="0044478E" w:rsidRPr="00747E35" w:rsidRDefault="0044478E" w:rsidP="0044478E">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66DD6853" wp14:editId="3B6438F0">
            <wp:extent cx="6048375" cy="5551198"/>
            <wp:effectExtent l="0" t="0" r="0" b="0"/>
            <wp:docPr id="10" name="Picture 10" descr="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6050731" cy="5553360"/>
                    </a:xfrm>
                    <a:prstGeom prst="rect">
                      <a:avLst/>
                    </a:prstGeom>
                    <a:noFill/>
                  </pic:spPr>
                </pic:pic>
              </a:graphicData>
            </a:graphic>
          </wp:inline>
        </w:drawing>
      </w:r>
    </w:p>
    <w:p w14:paraId="31A1FEDE" w14:textId="64087E8D" w:rsidR="0044478E" w:rsidRPr="00747E35" w:rsidRDefault="00C6582F" w:rsidP="00C6582F">
      <w:pPr>
        <w:pStyle w:val="Caption"/>
        <w:numPr>
          <w:ilvl w:val="0"/>
          <w:numId w:val="0"/>
        </w:numPr>
        <w:rPr>
          <w:rFonts w:cstheme="minorHAnsi"/>
        </w:rPr>
      </w:pPr>
      <w:bookmarkStart w:id="430" w:name="_Ref469067829"/>
      <w:r w:rsidRPr="00747E35">
        <w:rPr>
          <w:rFonts w:cstheme="minorHAnsi"/>
        </w:rPr>
        <w:t xml:space="preserve">Figure </w:t>
      </w:r>
      <w:r w:rsidRPr="00747E35">
        <w:rPr>
          <w:rFonts w:cstheme="minorHAnsi"/>
        </w:rPr>
        <w:fldChar w:fldCharType="begin"/>
      </w:r>
      <w:r w:rsidRPr="00747E35">
        <w:rPr>
          <w:rFonts w:cstheme="minorHAnsi"/>
        </w:rPr>
        <w:instrText xml:space="preserve"> SEQ Figure \* ARABIC </w:instrText>
      </w:r>
      <w:r w:rsidRPr="00747E35">
        <w:rPr>
          <w:rFonts w:cstheme="minorHAnsi"/>
        </w:rPr>
        <w:fldChar w:fldCharType="separate"/>
      </w:r>
      <w:r w:rsidR="00D023DD">
        <w:rPr>
          <w:rFonts w:cstheme="minorHAnsi"/>
          <w:noProof/>
        </w:rPr>
        <w:t>146</w:t>
      </w:r>
      <w:r w:rsidRPr="00747E35">
        <w:rPr>
          <w:rFonts w:cstheme="minorHAnsi"/>
        </w:rPr>
        <w:fldChar w:fldCharType="end"/>
      </w:r>
      <w:bookmarkEnd w:id="430"/>
      <w:r w:rsidRPr="00747E35">
        <w:rPr>
          <w:rFonts w:cstheme="minorHAnsi"/>
        </w:rPr>
        <w:t>: Map of GAB (shaded area) and spring complexes characterised by their relative threat exposure: (a) % inactive springs, (b) bore density, (c) groundwater level reduction and (d) existing coal and petroleum mining production activity (see Table 42 for data sources). Spring complexes belonging to each supergroup are enclosed by dashed lines.</w:t>
      </w:r>
    </w:p>
    <w:p w14:paraId="2EBB4A90" w14:textId="1D736EF3" w:rsidR="0044478E" w:rsidRPr="00747E35" w:rsidRDefault="0044478E" w:rsidP="0044478E">
      <w:pPr>
        <w:pStyle w:val="Heading3"/>
        <w:rPr>
          <w:rFonts w:asciiTheme="minorHAnsi" w:hAnsiTheme="minorHAnsi" w:cstheme="minorHAnsi"/>
        </w:rPr>
      </w:pPr>
      <w:bookmarkStart w:id="431" w:name="_Toc467244827"/>
      <w:bookmarkStart w:id="432" w:name="_Toc470004910"/>
      <w:r w:rsidRPr="00747E35">
        <w:rPr>
          <w:rFonts w:asciiTheme="minorHAnsi" w:hAnsiTheme="minorHAnsi" w:cstheme="minorHAnsi"/>
        </w:rPr>
        <w:t>Results</w:t>
      </w:r>
      <w:bookmarkEnd w:id="431"/>
      <w:bookmarkEnd w:id="432"/>
    </w:p>
    <w:p w14:paraId="62284DD4"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t>Threat exposure</w:t>
      </w:r>
    </w:p>
    <w:p w14:paraId="3F3E9DD9" w14:textId="40392CE4" w:rsidR="0044478E" w:rsidRPr="00747E35" w:rsidRDefault="0044478E" w:rsidP="0044478E">
      <w:pPr>
        <w:rPr>
          <w:rFonts w:asciiTheme="minorHAnsi" w:hAnsiTheme="minorHAnsi" w:cstheme="minorHAnsi"/>
        </w:rPr>
      </w:pPr>
      <w:r w:rsidRPr="00747E35">
        <w:rPr>
          <w:rFonts w:asciiTheme="minorHAnsi" w:hAnsiTheme="minorHAnsi" w:cstheme="minorHAnsi"/>
        </w:rPr>
        <w:t>All supergroups contained one or more spring complexes exposed to a high number and high intensity of threats (e.g. cumulat</w:t>
      </w:r>
      <w:r w:rsidR="00E947EA">
        <w:rPr>
          <w:rFonts w:asciiTheme="minorHAnsi" w:hAnsiTheme="minorHAnsi" w:cstheme="minorHAnsi"/>
        </w:rPr>
        <w:t>iv</w:t>
      </w:r>
      <w:r w:rsidRPr="00747E35">
        <w:rPr>
          <w:rFonts w:asciiTheme="minorHAnsi" w:hAnsiTheme="minorHAnsi" w:cstheme="minorHAnsi"/>
        </w:rPr>
        <w:t xml:space="preserve">e threat exposure scores &gt; 1.5,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_Ref466442575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147</w:t>
      </w:r>
      <w:r w:rsidRPr="00747E35">
        <w:rPr>
          <w:rFonts w:asciiTheme="minorHAnsi" w:hAnsiTheme="minorHAnsi" w:cstheme="minorHAnsi"/>
        </w:rPr>
        <w:fldChar w:fldCharType="end"/>
      </w:r>
      <w:r w:rsidRPr="00747E35">
        <w:rPr>
          <w:rFonts w:asciiTheme="minorHAnsi" w:hAnsiTheme="minorHAnsi" w:cstheme="minorHAnsi"/>
        </w:rPr>
        <w:t>) but there was substantial variation in threat type and degree of exposure within and among supergroups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_Ref466442575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147</w:t>
      </w:r>
      <w:r w:rsidRPr="00747E35">
        <w:rPr>
          <w:rFonts w:asciiTheme="minorHAnsi" w:hAnsiTheme="minorHAnsi" w:cstheme="minorHAnsi"/>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_Ref466442668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148</w:t>
      </w:r>
      <w:r w:rsidRPr="00747E35">
        <w:rPr>
          <w:rFonts w:asciiTheme="minorHAnsi" w:hAnsiTheme="minorHAnsi" w:cstheme="minorHAnsi"/>
        </w:rPr>
        <w:fldChar w:fldCharType="end"/>
      </w:r>
      <w:r w:rsidRPr="00747E35">
        <w:rPr>
          <w:rFonts w:asciiTheme="minorHAnsi" w:hAnsiTheme="minorHAnsi" w:cstheme="minorHAnsi"/>
        </w:rPr>
        <w:t>). Threats posed by groundwater drawdown and animal disturbance were most widespread (occurring at 99.7% and 82.5% of complexes, respectively) whereas human modifications, introduced flora and introduced aquatic fauna were patchily distributed but often of high intensity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_Ref466442575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147</w:t>
      </w:r>
      <w:r w:rsidRPr="00747E35">
        <w:rPr>
          <w:rFonts w:asciiTheme="minorHAnsi" w:hAnsiTheme="minorHAnsi" w:cstheme="minorHAnsi"/>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_Ref466442668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148</w:t>
      </w:r>
      <w:r w:rsidRPr="00747E35">
        <w:rPr>
          <w:rFonts w:asciiTheme="minorHAnsi" w:hAnsiTheme="minorHAnsi" w:cstheme="minorHAnsi"/>
        </w:rPr>
        <w:fldChar w:fldCharType="end"/>
      </w:r>
      <w:r w:rsidRPr="00747E35">
        <w:rPr>
          <w:rFonts w:asciiTheme="minorHAnsi" w:hAnsiTheme="minorHAnsi" w:cstheme="minorHAnsi"/>
        </w:rPr>
        <w:t xml:space="preserve">). </w:t>
      </w:r>
    </w:p>
    <w:p w14:paraId="603A73E2" w14:textId="77777777" w:rsidR="0044478E" w:rsidRPr="00747E35" w:rsidRDefault="0044478E" w:rsidP="0044478E">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0A6BDA2F" wp14:editId="1353A865">
            <wp:extent cx="6110582" cy="2966403"/>
            <wp:effectExtent l="0" t="0" r="5080" b="0"/>
            <wp:docPr id="2105" name="Picture 2105"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4" cstate="screen">
                      <a:extLst>
                        <a:ext uri="{28A0092B-C50C-407E-A947-70E740481C1C}">
                          <a14:useLocalDpi xmlns:a14="http://schemas.microsoft.com/office/drawing/2010/main"/>
                        </a:ext>
                      </a:extLst>
                    </a:blip>
                    <a:srcRect/>
                    <a:stretch>
                      <a:fillRect/>
                    </a:stretch>
                  </pic:blipFill>
                  <pic:spPr bwMode="auto">
                    <a:xfrm>
                      <a:off x="0" y="0"/>
                      <a:ext cx="6136682" cy="2979073"/>
                    </a:xfrm>
                    <a:prstGeom prst="rect">
                      <a:avLst/>
                    </a:prstGeom>
                    <a:noFill/>
                  </pic:spPr>
                </pic:pic>
              </a:graphicData>
            </a:graphic>
          </wp:inline>
        </w:drawing>
      </w:r>
    </w:p>
    <w:p w14:paraId="3D7C8E14" w14:textId="77777777" w:rsidR="0044478E" w:rsidRPr="00747E35" w:rsidRDefault="0044478E" w:rsidP="00566456">
      <w:pPr>
        <w:pStyle w:val="Caption"/>
        <w:numPr>
          <w:ilvl w:val="0"/>
          <w:numId w:val="0"/>
        </w:numPr>
        <w:rPr>
          <w:rFonts w:cstheme="minorHAnsi"/>
        </w:rPr>
      </w:pPr>
      <w:bookmarkStart w:id="433" w:name="_Ref466442575"/>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147</w:t>
      </w:r>
      <w:r w:rsidR="009D6600" w:rsidRPr="00747E35">
        <w:rPr>
          <w:rFonts w:cstheme="minorHAnsi"/>
          <w:noProof/>
        </w:rPr>
        <w:fldChar w:fldCharType="end"/>
      </w:r>
      <w:bookmarkEnd w:id="433"/>
      <w:r w:rsidRPr="00747E35">
        <w:rPr>
          <w:rFonts w:cstheme="minorHAnsi"/>
        </w:rPr>
        <w:t>:</w:t>
      </w:r>
      <w:r w:rsidRPr="00747E35">
        <w:rPr>
          <w:rStyle w:val="CaptionChar"/>
          <w:rFonts w:cstheme="minorHAnsi"/>
        </w:rPr>
        <w:t xml:space="preserve"> Cumulative exposure to each threat for all 326 wetland complexes (arranged by supergroup). Each threat can have a maximum exposure score of 1 at a given complex and the combined exposure to all threats can have a maximum score of 5 at a given complex</w:t>
      </w:r>
      <w:r w:rsidRPr="00747E35">
        <w:rPr>
          <w:rFonts w:cstheme="minorHAnsi"/>
        </w:rPr>
        <w:t>.</w:t>
      </w:r>
    </w:p>
    <w:p w14:paraId="6E635B19" w14:textId="77777777" w:rsidR="0044478E" w:rsidRPr="00747E35" w:rsidRDefault="0044478E" w:rsidP="0044478E">
      <w:pPr>
        <w:rPr>
          <w:rFonts w:asciiTheme="minorHAnsi" w:hAnsiTheme="minorHAnsi" w:cstheme="minorHAnsi"/>
        </w:rPr>
      </w:pPr>
    </w:p>
    <w:p w14:paraId="74AAB302"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t>Taxon vulnerability</w:t>
      </w:r>
    </w:p>
    <w:p w14:paraId="53A24757" w14:textId="52E95D82" w:rsidR="0044478E" w:rsidRPr="00747E35" w:rsidRDefault="0044478E" w:rsidP="0044478E">
      <w:pPr>
        <w:rPr>
          <w:rFonts w:asciiTheme="minorHAnsi" w:hAnsiTheme="minorHAnsi" w:cstheme="minorHAnsi"/>
        </w:rPr>
      </w:pPr>
      <w:r w:rsidRPr="00747E35">
        <w:rPr>
          <w:rFonts w:asciiTheme="minorHAnsi" w:hAnsiTheme="minorHAnsi" w:cstheme="minorHAnsi"/>
        </w:rPr>
        <w:t>Expert elicitation resulted in all fish, mollusc and crustacean taxa being estimated to be vulnerable to varying degrees to all threats, whereas plants, unsurprisingly, were not regarded as being vulnerable to introduced aquatic fauna but were vulnerable to all other threats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_Ref466442716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149</w:t>
      </w:r>
      <w:r w:rsidRPr="00747E35">
        <w:rPr>
          <w:rFonts w:asciiTheme="minorHAnsi" w:hAnsiTheme="minorHAnsi" w:cstheme="minorHAnsi"/>
        </w:rPr>
        <w:fldChar w:fldCharType="end"/>
      </w:r>
      <w:r w:rsidRPr="00747E35">
        <w:rPr>
          <w:rFonts w:asciiTheme="minorHAnsi" w:hAnsiTheme="minorHAnsi" w:cstheme="minorHAnsi"/>
        </w:rPr>
        <w:t>a).  Taxa with the highest overall vulnerability in each taxon group were the red-finned blue-eye (</w:t>
      </w:r>
      <w:r w:rsidRPr="00747E35">
        <w:rPr>
          <w:rFonts w:asciiTheme="minorHAnsi" w:hAnsiTheme="minorHAnsi" w:cstheme="minorHAnsi"/>
          <w:i/>
        </w:rPr>
        <w:t>Scaturiginichthys vermeilipinnis</w:t>
      </w:r>
      <w:r w:rsidRPr="00747E35">
        <w:rPr>
          <w:rFonts w:asciiTheme="minorHAnsi" w:hAnsiTheme="minorHAnsi" w:cstheme="minorHAnsi"/>
        </w:rPr>
        <w:t>), the mud snail from Lake Frome (</w:t>
      </w:r>
      <w:r w:rsidRPr="00747E35">
        <w:rPr>
          <w:rFonts w:asciiTheme="minorHAnsi" w:hAnsiTheme="minorHAnsi" w:cstheme="minorHAnsi"/>
          <w:i/>
        </w:rPr>
        <w:t>Posticobia ponderi</w:t>
      </w:r>
      <w:r w:rsidRPr="00747E35">
        <w:rPr>
          <w:rFonts w:asciiTheme="minorHAnsi" w:hAnsiTheme="minorHAnsi" w:cstheme="minorHAnsi"/>
        </w:rPr>
        <w:t>), an amphipod shrimp with stygobiotic origins endemic to the Dalhousie spring complex (</w:t>
      </w:r>
      <w:r w:rsidRPr="00747E35">
        <w:rPr>
          <w:rFonts w:asciiTheme="minorHAnsi" w:hAnsiTheme="minorHAnsi" w:cstheme="minorHAnsi"/>
          <w:i/>
        </w:rPr>
        <w:t>Phraetochiltonia anopthalma</w:t>
      </w:r>
      <w:r w:rsidRPr="00747E35">
        <w:rPr>
          <w:rFonts w:asciiTheme="minorHAnsi" w:hAnsiTheme="minorHAnsi" w:cstheme="minorHAnsi"/>
        </w:rPr>
        <w:t>) and a herbaceous perennial plant (</w:t>
      </w:r>
      <w:r w:rsidRPr="00747E35">
        <w:rPr>
          <w:rFonts w:asciiTheme="minorHAnsi" w:hAnsiTheme="minorHAnsi" w:cstheme="minorHAnsi"/>
          <w:i/>
        </w:rPr>
        <w:t>Eryngium fontanum</w:t>
      </w:r>
      <w:r w:rsidRPr="00747E35">
        <w:rPr>
          <w:rFonts w:asciiTheme="minorHAnsi" w:hAnsiTheme="minorHAnsi" w:cstheme="minorHAnsi"/>
        </w:rPr>
        <w:t>)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_Ref466442716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149</w:t>
      </w:r>
      <w:r w:rsidRPr="00747E35">
        <w:rPr>
          <w:rFonts w:asciiTheme="minorHAnsi" w:hAnsiTheme="minorHAnsi" w:cstheme="minorHAnsi"/>
        </w:rPr>
        <w:fldChar w:fldCharType="end"/>
      </w:r>
      <w:r w:rsidRPr="00747E35">
        <w:rPr>
          <w:rFonts w:asciiTheme="minorHAnsi" w:hAnsiTheme="minorHAnsi" w:cstheme="minorHAnsi"/>
        </w:rPr>
        <w:t xml:space="preserve">a, </w:t>
      </w:r>
      <w:r w:rsidRPr="00747E35">
        <w:rPr>
          <w:rFonts w:asciiTheme="minorHAnsi" w:hAnsiTheme="minorHAnsi" w:cstheme="minorHAnsi"/>
          <w:color w:val="FF0000"/>
          <w:highlight w:val="yellow"/>
        </w:rPr>
        <w:fldChar w:fldCharType="begin"/>
      </w:r>
      <w:r w:rsidRPr="00747E35">
        <w:rPr>
          <w:rFonts w:asciiTheme="minorHAnsi" w:hAnsiTheme="minorHAnsi" w:cstheme="minorHAnsi"/>
        </w:rPr>
        <w:instrText xml:space="preserve"> REF _Ref466635694 \h </w:instrText>
      </w:r>
      <w:r w:rsidR="000E4B99" w:rsidRPr="00747E35">
        <w:rPr>
          <w:rFonts w:asciiTheme="minorHAnsi" w:hAnsiTheme="minorHAnsi" w:cstheme="minorHAnsi"/>
          <w:color w:val="FF0000"/>
          <w:highlight w:val="yellow"/>
        </w:rPr>
        <w:instrText xml:space="preserve"> \* MERGEFORMAT </w:instrText>
      </w:r>
      <w:r w:rsidRPr="00747E35">
        <w:rPr>
          <w:rFonts w:asciiTheme="minorHAnsi" w:hAnsiTheme="minorHAnsi" w:cstheme="minorHAnsi"/>
          <w:color w:val="FF0000"/>
          <w:highlight w:val="yellow"/>
        </w:rPr>
      </w:r>
      <w:r w:rsidRPr="00747E35">
        <w:rPr>
          <w:rFonts w:asciiTheme="minorHAnsi" w:hAnsiTheme="minorHAnsi" w:cstheme="minorHAnsi"/>
          <w:color w:val="FF0000"/>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150</w:t>
      </w:r>
      <w:r w:rsidRPr="00747E35">
        <w:rPr>
          <w:rFonts w:asciiTheme="minorHAnsi" w:hAnsiTheme="minorHAnsi" w:cstheme="minorHAnsi"/>
          <w:color w:val="FF0000"/>
          <w:highlight w:val="yellow"/>
        </w:rPr>
        <w:fldChar w:fldCharType="end"/>
      </w:r>
      <w:r w:rsidRPr="00747E35">
        <w:rPr>
          <w:rFonts w:asciiTheme="minorHAnsi" w:hAnsiTheme="minorHAnsi" w:cstheme="minorHAnsi"/>
        </w:rPr>
        <w:t>).  Certainty in taxon vulnerability scores varied substantially among and within taxon groups, and among threat types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_Ref466442716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149</w:t>
      </w:r>
      <w:r w:rsidRPr="00747E35">
        <w:rPr>
          <w:rFonts w:asciiTheme="minorHAnsi" w:hAnsiTheme="minorHAnsi" w:cstheme="minorHAnsi"/>
        </w:rPr>
        <w:fldChar w:fldCharType="end"/>
      </w:r>
      <w:r w:rsidRPr="00747E35">
        <w:rPr>
          <w:rFonts w:asciiTheme="minorHAnsi" w:hAnsiTheme="minorHAnsi" w:cstheme="minorHAnsi"/>
        </w:rPr>
        <w:t>b). Across all threats, certainty in vulnerability to threats was highest among molluscs (</w:t>
      </w:r>
      <w:r w:rsidRPr="00747E35">
        <w:rPr>
          <w:rFonts w:asciiTheme="minorHAnsi" w:hAnsiTheme="minorHAnsi" w:cstheme="minorHAnsi"/>
          <w:i/>
        </w:rPr>
        <w:t>Edgbastonia</w:t>
      </w:r>
      <w:r w:rsidRPr="00747E35">
        <w:rPr>
          <w:rFonts w:asciiTheme="minorHAnsi" w:hAnsiTheme="minorHAnsi" w:cstheme="minorHAnsi"/>
        </w:rPr>
        <w:t xml:space="preserve">, </w:t>
      </w:r>
      <w:r w:rsidRPr="00747E35">
        <w:rPr>
          <w:rFonts w:asciiTheme="minorHAnsi" w:hAnsiTheme="minorHAnsi" w:cstheme="minorHAnsi"/>
          <w:i/>
        </w:rPr>
        <w:t>Gyraleus</w:t>
      </w:r>
      <w:r w:rsidRPr="00747E35">
        <w:rPr>
          <w:rFonts w:asciiTheme="minorHAnsi" w:hAnsiTheme="minorHAnsi" w:cstheme="minorHAnsi"/>
        </w:rPr>
        <w:t xml:space="preserve">, </w:t>
      </w:r>
      <w:r w:rsidRPr="00747E35">
        <w:rPr>
          <w:rFonts w:asciiTheme="minorHAnsi" w:hAnsiTheme="minorHAnsi" w:cstheme="minorHAnsi"/>
          <w:i/>
        </w:rPr>
        <w:t>Glyptophysa</w:t>
      </w:r>
      <w:r w:rsidRPr="00747E35">
        <w:rPr>
          <w:rFonts w:asciiTheme="minorHAnsi" w:hAnsiTheme="minorHAnsi" w:cstheme="minorHAnsi"/>
        </w:rPr>
        <w:t xml:space="preserve">, </w:t>
      </w:r>
      <w:r w:rsidRPr="00747E35">
        <w:rPr>
          <w:rFonts w:asciiTheme="minorHAnsi" w:hAnsiTheme="minorHAnsi" w:cstheme="minorHAnsi"/>
          <w:i/>
        </w:rPr>
        <w:t>Gabbia</w:t>
      </w:r>
      <w:r w:rsidRPr="00747E35">
        <w:rPr>
          <w:rFonts w:asciiTheme="minorHAnsi" w:hAnsiTheme="minorHAnsi" w:cstheme="minorHAnsi"/>
        </w:rPr>
        <w:t xml:space="preserve"> and 14 </w:t>
      </w:r>
      <w:r w:rsidRPr="00747E35">
        <w:rPr>
          <w:rFonts w:asciiTheme="minorHAnsi" w:hAnsiTheme="minorHAnsi" w:cstheme="minorHAnsi"/>
          <w:i/>
        </w:rPr>
        <w:t>Jardinella</w:t>
      </w:r>
      <w:r w:rsidRPr="00747E35">
        <w:rPr>
          <w:rFonts w:asciiTheme="minorHAnsi" w:hAnsiTheme="minorHAnsi" w:cstheme="minorHAnsi"/>
        </w:rPr>
        <w:t xml:space="preserve"> taxa) and fish (</w:t>
      </w:r>
      <w:r w:rsidRPr="00747E35">
        <w:rPr>
          <w:rFonts w:asciiTheme="minorHAnsi" w:hAnsiTheme="minorHAnsi" w:cstheme="minorHAnsi"/>
          <w:i/>
        </w:rPr>
        <w:t>Scaturiginichthys</w:t>
      </w:r>
      <w:r w:rsidRPr="00747E35">
        <w:rPr>
          <w:rFonts w:asciiTheme="minorHAnsi" w:hAnsiTheme="minorHAnsi" w:cstheme="minorHAnsi"/>
        </w:rPr>
        <w:t>) and lowest among the crustacea and some molluscs (</w:t>
      </w:r>
      <w:r w:rsidRPr="00747E35">
        <w:rPr>
          <w:rFonts w:asciiTheme="minorHAnsi" w:hAnsiTheme="minorHAnsi" w:cstheme="minorHAnsi"/>
          <w:i/>
        </w:rPr>
        <w:t>Arthritica</w:t>
      </w:r>
      <w:r w:rsidRPr="00747E35">
        <w:rPr>
          <w:rFonts w:asciiTheme="minorHAnsi" w:hAnsiTheme="minorHAnsi" w:cstheme="minorHAnsi"/>
        </w:rPr>
        <w:t xml:space="preserve">, </w:t>
      </w:r>
      <w:r w:rsidRPr="00747E35">
        <w:rPr>
          <w:rFonts w:asciiTheme="minorHAnsi" w:hAnsiTheme="minorHAnsi" w:cstheme="minorHAnsi"/>
          <w:i/>
        </w:rPr>
        <w:t>Austropyrgus</w:t>
      </w:r>
      <w:r w:rsidRPr="00747E35">
        <w:rPr>
          <w:rFonts w:asciiTheme="minorHAnsi" w:hAnsiTheme="minorHAnsi" w:cstheme="minorHAnsi"/>
        </w:rPr>
        <w:t xml:space="preserve">, </w:t>
      </w:r>
      <w:r w:rsidRPr="00747E35">
        <w:rPr>
          <w:rFonts w:asciiTheme="minorHAnsi" w:hAnsiTheme="minorHAnsi" w:cstheme="minorHAnsi"/>
          <w:i/>
        </w:rPr>
        <w:t>Posticobia</w:t>
      </w:r>
      <w:r w:rsidRPr="00747E35">
        <w:rPr>
          <w:rFonts w:asciiTheme="minorHAnsi" w:hAnsiTheme="minorHAnsi" w:cstheme="minorHAnsi"/>
        </w:rPr>
        <w:t xml:space="preserve"> and 10 </w:t>
      </w:r>
      <w:r w:rsidRPr="00747E35">
        <w:rPr>
          <w:rFonts w:asciiTheme="minorHAnsi" w:hAnsiTheme="minorHAnsi" w:cstheme="minorHAnsi"/>
          <w:i/>
        </w:rPr>
        <w:t>Jardinella</w:t>
      </w:r>
      <w:r w:rsidRPr="00747E35">
        <w:rPr>
          <w:rFonts w:asciiTheme="minorHAnsi" w:hAnsiTheme="minorHAnsi" w:cstheme="minorHAnsi"/>
        </w:rPr>
        <w:t xml:space="preserve"> taxa).  Across all taxa, certainty in taxon vulnerability to threats was highest for effects of groundwater drawdown, human disturbance and introduced aquatic fauna, and least certain for animal disturbance and introduced aquatic flora. </w:t>
      </w:r>
    </w:p>
    <w:p w14:paraId="1397B8F0" w14:textId="72AD1CE9" w:rsidR="0044478E" w:rsidRPr="00747E35" w:rsidRDefault="0044478E" w:rsidP="0044478E">
      <w:pPr>
        <w:rPr>
          <w:rFonts w:asciiTheme="minorHAnsi" w:hAnsiTheme="minorHAnsi" w:cstheme="minorHAnsi"/>
        </w:rPr>
      </w:pPr>
      <w:r w:rsidRPr="00747E35">
        <w:rPr>
          <w:rFonts w:asciiTheme="minorHAnsi" w:hAnsiTheme="minorHAnsi" w:cstheme="minorHAnsi"/>
        </w:rPr>
        <w:t>On average, fish were estimated to be most vulnerable to groundwater drawdown, slightly less vulnerable to human modifications, animal disturbance and introduced aquatic fauna, and were least vulnerable to introduced flora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_Ref466442775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151</w:t>
      </w:r>
      <w:r w:rsidRPr="00747E35">
        <w:rPr>
          <w:rFonts w:asciiTheme="minorHAnsi" w:hAnsiTheme="minorHAnsi" w:cstheme="minorHAnsi"/>
        </w:rPr>
        <w:fldChar w:fldCharType="end"/>
      </w:r>
      <w:r w:rsidRPr="00747E35">
        <w:rPr>
          <w:rFonts w:asciiTheme="minorHAnsi" w:hAnsiTheme="minorHAnsi" w:cstheme="minorHAnsi"/>
        </w:rPr>
        <w:t>).  These trends were generally similar for molluscs and crustaceans but vulnerability scores were lower overall for all threats in comparison to fish. Plants were most vulnerable to groundwater drawdown, human modifications and animal disturbance and had similar vulnerability to introduced fauna as for fish, molluscs and crustaceans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_Ref466442775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151</w:t>
      </w:r>
      <w:r w:rsidRPr="00747E35">
        <w:rPr>
          <w:rFonts w:asciiTheme="minorHAnsi" w:hAnsiTheme="minorHAnsi" w:cstheme="minorHAnsi"/>
        </w:rPr>
        <w:fldChar w:fldCharType="end"/>
      </w:r>
      <w:r w:rsidRPr="00747E35">
        <w:rPr>
          <w:rFonts w:asciiTheme="minorHAnsi" w:hAnsiTheme="minorHAnsi" w:cstheme="minorHAnsi"/>
        </w:rPr>
        <w:t>).</w:t>
      </w:r>
    </w:p>
    <w:p w14:paraId="3E9E8AFB" w14:textId="77777777" w:rsidR="0044478E" w:rsidRPr="00747E35" w:rsidRDefault="0044478E" w:rsidP="0044478E">
      <w:pPr>
        <w:rPr>
          <w:rFonts w:asciiTheme="minorHAnsi" w:hAnsiTheme="minorHAnsi" w:cstheme="minorHAnsi"/>
        </w:rPr>
      </w:pPr>
    </w:p>
    <w:p w14:paraId="63469713" w14:textId="77777777" w:rsidR="0044478E" w:rsidRPr="00747E35" w:rsidRDefault="0044478E" w:rsidP="0044478E">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550DD84A" wp14:editId="75168D43">
            <wp:extent cx="6128794" cy="8458200"/>
            <wp:effectExtent l="0" t="0" r="5715" b="0"/>
            <wp:docPr id="67" name="Picture 67" descr="Maps with shaded areas for total threat exposure, groundwater drawdown, human modifications, animal disturbance, introduced flora, and introduced aquatic fa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cstate="screen">
                      <a:extLst>
                        <a:ext uri="{28A0092B-C50C-407E-A947-70E740481C1C}">
                          <a14:useLocalDpi xmlns:a14="http://schemas.microsoft.com/office/drawing/2010/main"/>
                        </a:ext>
                      </a:extLst>
                    </a:blip>
                    <a:srcRect/>
                    <a:stretch>
                      <a:fillRect/>
                    </a:stretch>
                  </pic:blipFill>
                  <pic:spPr bwMode="auto">
                    <a:xfrm>
                      <a:off x="0" y="0"/>
                      <a:ext cx="6143494" cy="8478487"/>
                    </a:xfrm>
                    <a:prstGeom prst="rect">
                      <a:avLst/>
                    </a:prstGeom>
                    <a:noFill/>
                  </pic:spPr>
                </pic:pic>
              </a:graphicData>
            </a:graphic>
          </wp:inline>
        </w:drawing>
      </w:r>
    </w:p>
    <w:p w14:paraId="261E9037" w14:textId="77777777" w:rsidR="0044478E" w:rsidRPr="00747E35" w:rsidRDefault="0044478E" w:rsidP="00566456">
      <w:pPr>
        <w:pStyle w:val="Caption"/>
        <w:numPr>
          <w:ilvl w:val="0"/>
          <w:numId w:val="0"/>
        </w:numPr>
        <w:rPr>
          <w:rFonts w:cstheme="minorHAnsi"/>
        </w:rPr>
      </w:pPr>
      <w:bookmarkStart w:id="434" w:name="_Ref466442668"/>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148</w:t>
      </w:r>
      <w:r w:rsidR="009D6600" w:rsidRPr="00747E35">
        <w:rPr>
          <w:rFonts w:cstheme="minorHAnsi"/>
          <w:noProof/>
        </w:rPr>
        <w:fldChar w:fldCharType="end"/>
      </w:r>
      <w:bookmarkEnd w:id="434"/>
      <w:r w:rsidRPr="00747E35">
        <w:rPr>
          <w:rFonts w:cstheme="minorHAnsi"/>
        </w:rPr>
        <w:t>: Spatial variation in cumulative threat exposure of spring complexes (upper left plot) and relative exposure to each threat. Spring complexes belonging to each supergroup are enclosed by dashed lines.</w:t>
      </w:r>
    </w:p>
    <w:p w14:paraId="7D8F5F6D" w14:textId="77777777" w:rsidR="0044478E" w:rsidRPr="00747E35" w:rsidRDefault="0044478E" w:rsidP="0044478E">
      <w:pPr>
        <w:rPr>
          <w:rFonts w:asciiTheme="minorHAnsi" w:hAnsiTheme="minorHAnsi" w:cstheme="minorHAnsi"/>
        </w:rPr>
      </w:pPr>
    </w:p>
    <w:p w14:paraId="004CC373" w14:textId="77777777" w:rsidR="0044478E" w:rsidRPr="00747E35" w:rsidRDefault="0044478E" w:rsidP="0044478E">
      <w:pPr>
        <w:rPr>
          <w:rFonts w:asciiTheme="minorHAnsi" w:hAnsiTheme="minorHAnsi" w:cstheme="minorHAnsi"/>
        </w:rPr>
      </w:pPr>
    </w:p>
    <w:p w14:paraId="1BF2C728" w14:textId="77777777" w:rsidR="0044478E" w:rsidRPr="00747E35" w:rsidRDefault="0044478E" w:rsidP="0044478E">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29D9C6FC" wp14:editId="13B447AE">
            <wp:extent cx="6162757" cy="5516206"/>
            <wp:effectExtent l="0" t="0" r="0" b="0"/>
            <wp:docPr id="2107" name="Picture 2107" descr="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cstate="screen">
                      <a:extLst>
                        <a:ext uri="{28A0092B-C50C-407E-A947-70E740481C1C}">
                          <a14:useLocalDpi xmlns:a14="http://schemas.microsoft.com/office/drawing/2010/main"/>
                        </a:ext>
                      </a:extLst>
                    </a:blip>
                    <a:srcRect/>
                    <a:stretch>
                      <a:fillRect/>
                    </a:stretch>
                  </pic:blipFill>
                  <pic:spPr bwMode="auto">
                    <a:xfrm>
                      <a:off x="0" y="0"/>
                      <a:ext cx="6173847" cy="5526132"/>
                    </a:xfrm>
                    <a:prstGeom prst="rect">
                      <a:avLst/>
                    </a:prstGeom>
                    <a:noFill/>
                  </pic:spPr>
                </pic:pic>
              </a:graphicData>
            </a:graphic>
          </wp:inline>
        </w:drawing>
      </w:r>
    </w:p>
    <w:p w14:paraId="4BCEFBBC" w14:textId="77777777" w:rsidR="0044478E" w:rsidRPr="00747E35" w:rsidRDefault="0044478E" w:rsidP="00566456">
      <w:pPr>
        <w:pStyle w:val="Caption"/>
        <w:numPr>
          <w:ilvl w:val="0"/>
          <w:numId w:val="0"/>
        </w:numPr>
        <w:rPr>
          <w:rFonts w:cstheme="minorHAnsi"/>
        </w:rPr>
      </w:pPr>
      <w:bookmarkStart w:id="435" w:name="_Ref466442716"/>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149</w:t>
      </w:r>
      <w:r w:rsidR="009D6600" w:rsidRPr="00747E35">
        <w:rPr>
          <w:rFonts w:cstheme="minorHAnsi"/>
          <w:noProof/>
        </w:rPr>
        <w:fldChar w:fldCharType="end"/>
      </w:r>
      <w:bookmarkEnd w:id="435"/>
      <w:r w:rsidRPr="00747E35">
        <w:rPr>
          <w:rFonts w:cstheme="minorHAnsi"/>
        </w:rPr>
        <w:t>: Expert elicited scores for (a) vulnerability to each threat for all 98 endemic taxa (arranged by taxonomic group) and (b) certainty in taxon vulnerability to threats. Vulnerability to each threat ranges from 0 (no threat) to 3 (high), respectively. Certainty ranges from 1 (low certainty) to 3 (high certainty). Each taxon can have a maximum potential vulnerability and certainty score of 15.</w:t>
      </w:r>
    </w:p>
    <w:p w14:paraId="5E9C37FB" w14:textId="77777777" w:rsidR="0044478E" w:rsidRPr="00747E35" w:rsidRDefault="0044478E" w:rsidP="0044478E">
      <w:pPr>
        <w:rPr>
          <w:rFonts w:asciiTheme="minorHAnsi" w:hAnsiTheme="minorHAnsi" w:cstheme="minorHAnsi"/>
        </w:rPr>
      </w:pPr>
    </w:p>
    <w:p w14:paraId="2A1C8C79" w14:textId="77777777" w:rsidR="0044478E" w:rsidRPr="00747E35" w:rsidRDefault="0044478E" w:rsidP="0044478E">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57D2A1DE" wp14:editId="6171119C">
            <wp:extent cx="4911722" cy="7962900"/>
            <wp:effectExtent l="0" t="0" r="3810" b="0"/>
            <wp:docPr id="62" name="Picture 62" descr="Photographs and/or drawings of organisms adjacent to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cstate="screen">
                      <a:extLst>
                        <a:ext uri="{28A0092B-C50C-407E-A947-70E740481C1C}">
                          <a14:useLocalDpi xmlns:a14="http://schemas.microsoft.com/office/drawing/2010/main"/>
                        </a:ext>
                      </a:extLst>
                    </a:blip>
                    <a:srcRect/>
                    <a:stretch>
                      <a:fillRect/>
                    </a:stretch>
                  </pic:blipFill>
                  <pic:spPr bwMode="auto">
                    <a:xfrm>
                      <a:off x="0" y="0"/>
                      <a:ext cx="4915252" cy="7968624"/>
                    </a:xfrm>
                    <a:prstGeom prst="rect">
                      <a:avLst/>
                    </a:prstGeom>
                    <a:noFill/>
                  </pic:spPr>
                </pic:pic>
              </a:graphicData>
            </a:graphic>
          </wp:inline>
        </w:drawing>
      </w:r>
    </w:p>
    <w:p w14:paraId="2445D434" w14:textId="432B3031" w:rsidR="0044478E" w:rsidRPr="00747E35" w:rsidRDefault="0044478E" w:rsidP="00566456">
      <w:pPr>
        <w:pStyle w:val="Caption"/>
        <w:numPr>
          <w:ilvl w:val="0"/>
          <w:numId w:val="0"/>
        </w:numPr>
        <w:rPr>
          <w:rFonts w:cstheme="minorHAnsi"/>
        </w:rPr>
      </w:pPr>
      <w:bookmarkStart w:id="436" w:name="_Ref466635694"/>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150</w:t>
      </w:r>
      <w:r w:rsidR="009D6600" w:rsidRPr="00747E35">
        <w:rPr>
          <w:rFonts w:cstheme="minorHAnsi"/>
          <w:noProof/>
        </w:rPr>
        <w:fldChar w:fldCharType="end"/>
      </w:r>
      <w:bookmarkEnd w:id="436"/>
      <w:r w:rsidRPr="00747E35">
        <w:rPr>
          <w:rFonts w:cstheme="minorHAnsi"/>
        </w:rPr>
        <w:t xml:space="preserve">. Images of taxa with the highest overall vulnerability in each taxon group (left panel) and their distribution among spring complexes (right panel). (a) red-finned blue-eye – </w:t>
      </w:r>
      <w:r w:rsidRPr="00747E35">
        <w:rPr>
          <w:rFonts w:cstheme="minorHAnsi"/>
          <w:i w:val="0"/>
        </w:rPr>
        <w:t>Scaturiginichthys vermeilipinnis</w:t>
      </w:r>
      <w:r w:rsidRPr="00747E35">
        <w:rPr>
          <w:rFonts w:cstheme="minorHAnsi"/>
        </w:rPr>
        <w:t xml:space="preserve">, (source: Kerezsy and Fensham 2013), (b) the mud snail from Lake Frome – </w:t>
      </w:r>
      <w:r w:rsidRPr="00747E35">
        <w:rPr>
          <w:rFonts w:cstheme="minorHAnsi"/>
          <w:i w:val="0"/>
        </w:rPr>
        <w:t>Posticobia ponderi</w:t>
      </w:r>
      <w:r w:rsidRPr="00747E35">
        <w:rPr>
          <w:rFonts w:cstheme="minorHAnsi"/>
        </w:rPr>
        <w:t xml:space="preserve"> (source Ponder et al</w:t>
      </w:r>
      <w:r w:rsidR="005E04D7">
        <w:rPr>
          <w:rFonts w:cstheme="minorHAnsi"/>
        </w:rPr>
        <w:t>.</w:t>
      </w:r>
      <w:r w:rsidRPr="00747E35">
        <w:rPr>
          <w:rFonts w:cstheme="minorHAnsi"/>
        </w:rPr>
        <w:t xml:space="preserve"> 2016), (c) an amphipod shrimp endemic to the Dalhousie spring complex – </w:t>
      </w:r>
      <w:r w:rsidRPr="00747E35">
        <w:rPr>
          <w:rFonts w:cstheme="minorHAnsi"/>
          <w:i w:val="0"/>
        </w:rPr>
        <w:t>Phraetochiltonia anopthalma</w:t>
      </w:r>
      <w:r w:rsidRPr="00747E35">
        <w:rPr>
          <w:rFonts w:cstheme="minorHAnsi"/>
        </w:rPr>
        <w:t xml:space="preserve"> (source: Zeidler 1991), and (d) the herbaceous perennial plant – </w:t>
      </w:r>
      <w:r w:rsidRPr="00747E35">
        <w:rPr>
          <w:rFonts w:cstheme="minorHAnsi"/>
          <w:i w:val="0"/>
        </w:rPr>
        <w:t>Eryngium fontanum</w:t>
      </w:r>
      <w:r w:rsidRPr="00747E35">
        <w:rPr>
          <w:rFonts w:cstheme="minorHAnsi"/>
        </w:rPr>
        <w:t xml:space="preserve"> (source: Queensland Herbarium). </w:t>
      </w:r>
    </w:p>
    <w:p w14:paraId="25EA84FE" w14:textId="77777777" w:rsidR="0044478E" w:rsidRPr="00747E35" w:rsidRDefault="0044478E" w:rsidP="0044478E">
      <w:pPr>
        <w:rPr>
          <w:rFonts w:asciiTheme="minorHAnsi" w:hAnsiTheme="minorHAnsi" w:cstheme="minorHAnsi"/>
        </w:rPr>
      </w:pPr>
    </w:p>
    <w:p w14:paraId="30FCBD4C" w14:textId="77777777" w:rsidR="0044478E" w:rsidRPr="00747E35" w:rsidRDefault="0044478E" w:rsidP="0044478E">
      <w:pPr>
        <w:rPr>
          <w:rFonts w:asciiTheme="minorHAnsi" w:hAnsiTheme="minorHAnsi" w:cstheme="minorHAnsi"/>
        </w:rPr>
      </w:pPr>
    </w:p>
    <w:p w14:paraId="6AF6C8D9" w14:textId="77777777" w:rsidR="0044478E" w:rsidRPr="00747E35" w:rsidRDefault="0044478E" w:rsidP="0044478E">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68A5CFAA" wp14:editId="49B5EC0F">
            <wp:extent cx="6068291" cy="3344105"/>
            <wp:effectExtent l="0" t="0" r="8890" b="0"/>
            <wp:docPr id="2108" name="Picture 2108" descr="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cstate="screen">
                      <a:extLst>
                        <a:ext uri="{28A0092B-C50C-407E-A947-70E740481C1C}">
                          <a14:useLocalDpi xmlns:a14="http://schemas.microsoft.com/office/drawing/2010/main"/>
                        </a:ext>
                      </a:extLst>
                    </a:blip>
                    <a:srcRect/>
                    <a:stretch>
                      <a:fillRect/>
                    </a:stretch>
                  </pic:blipFill>
                  <pic:spPr bwMode="auto">
                    <a:xfrm>
                      <a:off x="0" y="0"/>
                      <a:ext cx="6080141" cy="3350635"/>
                    </a:xfrm>
                    <a:prstGeom prst="rect">
                      <a:avLst/>
                    </a:prstGeom>
                    <a:noFill/>
                  </pic:spPr>
                </pic:pic>
              </a:graphicData>
            </a:graphic>
          </wp:inline>
        </w:drawing>
      </w:r>
    </w:p>
    <w:p w14:paraId="18842E89" w14:textId="77777777" w:rsidR="0044478E" w:rsidRPr="00747E35" w:rsidRDefault="0044478E" w:rsidP="00566456">
      <w:pPr>
        <w:pStyle w:val="Caption"/>
        <w:numPr>
          <w:ilvl w:val="0"/>
          <w:numId w:val="0"/>
        </w:numPr>
        <w:rPr>
          <w:rFonts w:cstheme="minorHAnsi"/>
        </w:rPr>
      </w:pPr>
      <w:bookmarkStart w:id="437" w:name="_Ref466442775"/>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151</w:t>
      </w:r>
      <w:r w:rsidR="009D6600" w:rsidRPr="00747E35">
        <w:rPr>
          <w:rFonts w:cstheme="minorHAnsi"/>
          <w:noProof/>
        </w:rPr>
        <w:fldChar w:fldCharType="end"/>
      </w:r>
      <w:bookmarkEnd w:id="437"/>
      <w:r w:rsidRPr="00747E35">
        <w:rPr>
          <w:rFonts w:cstheme="minorHAnsi"/>
        </w:rPr>
        <w:t>: Certainty-weighted average vulnerability (± SD) to each threat for each taxon group. Vulnerability to each threat ranges from 0 (no threat) to 3 (high), respectively.</w:t>
      </w:r>
    </w:p>
    <w:p w14:paraId="21FA016F" w14:textId="77777777" w:rsidR="0044478E" w:rsidRPr="00747E35" w:rsidRDefault="0044478E" w:rsidP="0044478E">
      <w:pPr>
        <w:rPr>
          <w:rFonts w:asciiTheme="minorHAnsi" w:hAnsiTheme="minorHAnsi" w:cstheme="minorHAnsi"/>
        </w:rPr>
      </w:pPr>
    </w:p>
    <w:p w14:paraId="0F15B3A1"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t>Cumulative risk</w:t>
      </w:r>
    </w:p>
    <w:p w14:paraId="4E98D2B9" w14:textId="5DB52A47" w:rsidR="0044478E" w:rsidRPr="00747E35" w:rsidRDefault="0044478E" w:rsidP="0044478E">
      <w:pPr>
        <w:rPr>
          <w:rFonts w:asciiTheme="minorHAnsi" w:hAnsiTheme="minorHAnsi" w:cstheme="minorHAnsi"/>
        </w:rPr>
      </w:pPr>
      <w:r w:rsidRPr="00747E35">
        <w:rPr>
          <w:rFonts w:asciiTheme="minorHAnsi" w:hAnsiTheme="minorHAnsi" w:cstheme="minorHAnsi"/>
        </w:rPr>
        <w:t>Cumulative risk assessment for the subset of 76 spring complexes containing one or more endemic taxa of fish, molluscs, crustaceans and plants, revealed that the Pelican Creek complex (containing Ed</w:t>
      </w:r>
      <w:r w:rsidR="000E4B99" w:rsidRPr="00747E35">
        <w:rPr>
          <w:rFonts w:asciiTheme="minorHAnsi" w:hAnsiTheme="minorHAnsi" w:cstheme="minorHAnsi"/>
        </w:rPr>
        <w:t>g</w:t>
      </w:r>
      <w:r w:rsidRPr="00747E35">
        <w:rPr>
          <w:rFonts w:asciiTheme="minorHAnsi" w:hAnsiTheme="minorHAnsi" w:cstheme="minorHAnsi"/>
        </w:rPr>
        <w:t>baston and Myross Springs) in the Barcaldine supergroup in Queensland was at substantially higher risk from threats than all others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_Ref466442851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152</w:t>
      </w:r>
      <w:r w:rsidRPr="00747E35">
        <w:rPr>
          <w:rFonts w:asciiTheme="minorHAnsi" w:hAnsiTheme="minorHAnsi" w:cstheme="minorHAnsi"/>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_Ref466442858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153</w:t>
      </w:r>
      <w:r w:rsidRPr="00747E35">
        <w:rPr>
          <w:rFonts w:asciiTheme="minorHAnsi" w:hAnsiTheme="minorHAnsi" w:cstheme="minorHAnsi"/>
        </w:rPr>
        <w:fldChar w:fldCharType="end"/>
      </w:r>
      <w:r w:rsidRPr="00747E35">
        <w:rPr>
          <w:rFonts w:asciiTheme="minorHAnsi" w:hAnsiTheme="minorHAnsi" w:cstheme="minorHAnsi"/>
        </w:rPr>
        <w:t xml:space="preserve">, Appendix 4: </w:t>
      </w:r>
      <w:r w:rsidRPr="00747E35">
        <w:rPr>
          <w:rFonts w:asciiTheme="minorHAnsi" w:hAnsiTheme="minorHAnsi" w:cstheme="minorHAnsi"/>
        </w:rPr>
        <w:fldChar w:fldCharType="begin"/>
      </w:r>
      <w:r w:rsidRPr="00747E35">
        <w:rPr>
          <w:rFonts w:asciiTheme="minorHAnsi" w:hAnsiTheme="minorHAnsi" w:cstheme="minorHAnsi"/>
        </w:rPr>
        <w:instrText xml:space="preserve"> REF _Ref467224914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Table 61</w:t>
      </w:r>
      <w:r w:rsidRPr="00747E35">
        <w:rPr>
          <w:rFonts w:asciiTheme="minorHAnsi" w:hAnsiTheme="minorHAnsi" w:cstheme="minorHAnsi"/>
        </w:rPr>
        <w:fldChar w:fldCharType="end"/>
      </w:r>
      <w:r w:rsidRPr="00747E35">
        <w:rPr>
          <w:rFonts w:asciiTheme="minorHAnsi" w:hAnsiTheme="minorHAnsi" w:cstheme="minorHAnsi"/>
        </w:rPr>
        <w:t>).  This complex is exposed to all five threats with the highest cumulative intensity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_Ref466442851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152</w:t>
      </w:r>
      <w:r w:rsidRPr="00747E35">
        <w:rPr>
          <w:rFonts w:asciiTheme="minorHAnsi" w:hAnsiTheme="minorHAnsi" w:cstheme="minorHAnsi"/>
        </w:rPr>
        <w:fldChar w:fldCharType="end"/>
      </w:r>
      <w:r w:rsidRPr="00747E35">
        <w:rPr>
          <w:rFonts w:asciiTheme="minorHAnsi" w:hAnsiTheme="minorHAnsi" w:cstheme="minorHAnsi"/>
        </w:rPr>
        <w:t>a) and contains 26 species with representatives from all four taxon groups (</w:t>
      </w:r>
      <w:r w:rsidRPr="00747E35">
        <w:rPr>
          <w:rFonts w:asciiTheme="minorHAnsi" w:hAnsiTheme="minorHAnsi" w:cstheme="minorHAnsi"/>
          <w:color w:val="FF0000"/>
          <w:highlight w:val="yellow"/>
        </w:rPr>
        <w:fldChar w:fldCharType="begin"/>
      </w:r>
      <w:r w:rsidRPr="00747E35">
        <w:rPr>
          <w:rFonts w:asciiTheme="minorHAnsi" w:hAnsiTheme="minorHAnsi" w:cstheme="minorHAnsi"/>
        </w:rPr>
        <w:instrText xml:space="preserve"> REF _Ref466442851 \h </w:instrText>
      </w:r>
      <w:r w:rsidR="000E4B99" w:rsidRPr="00747E35">
        <w:rPr>
          <w:rFonts w:asciiTheme="minorHAnsi" w:hAnsiTheme="minorHAnsi" w:cstheme="minorHAnsi"/>
          <w:color w:val="FF0000"/>
          <w:highlight w:val="yellow"/>
        </w:rPr>
        <w:instrText xml:space="preserve"> \* MERGEFORMAT </w:instrText>
      </w:r>
      <w:r w:rsidRPr="00747E35">
        <w:rPr>
          <w:rFonts w:asciiTheme="minorHAnsi" w:hAnsiTheme="minorHAnsi" w:cstheme="minorHAnsi"/>
          <w:color w:val="FF0000"/>
          <w:highlight w:val="yellow"/>
        </w:rPr>
      </w:r>
      <w:r w:rsidRPr="00747E35">
        <w:rPr>
          <w:rFonts w:asciiTheme="minorHAnsi" w:hAnsiTheme="minorHAnsi" w:cstheme="minorHAnsi"/>
          <w:color w:val="FF0000"/>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152</w:t>
      </w:r>
      <w:r w:rsidRPr="00747E35">
        <w:rPr>
          <w:rFonts w:asciiTheme="minorHAnsi" w:hAnsiTheme="minorHAnsi" w:cstheme="minorHAnsi"/>
          <w:color w:val="FF0000"/>
          <w:highlight w:val="yellow"/>
        </w:rPr>
        <w:fldChar w:fldCharType="end"/>
      </w:r>
      <w:r w:rsidRPr="00747E35">
        <w:rPr>
          <w:rFonts w:asciiTheme="minorHAnsi" w:hAnsiTheme="minorHAnsi" w:cstheme="minorHAnsi"/>
        </w:rPr>
        <w:t>b) that were vulnerable to all five threats (</w:t>
      </w:r>
      <w:r w:rsidRPr="00747E35">
        <w:rPr>
          <w:rFonts w:asciiTheme="minorHAnsi" w:hAnsiTheme="minorHAnsi" w:cstheme="minorHAnsi"/>
          <w:color w:val="FF0000"/>
          <w:highlight w:val="yellow"/>
        </w:rPr>
        <w:fldChar w:fldCharType="begin"/>
      </w:r>
      <w:r w:rsidRPr="00747E35">
        <w:rPr>
          <w:rFonts w:asciiTheme="minorHAnsi" w:hAnsiTheme="minorHAnsi" w:cstheme="minorHAnsi"/>
        </w:rPr>
        <w:instrText xml:space="preserve"> REF _Ref466442851 \h </w:instrText>
      </w:r>
      <w:r w:rsidR="000E4B99" w:rsidRPr="00747E35">
        <w:rPr>
          <w:rFonts w:asciiTheme="minorHAnsi" w:hAnsiTheme="minorHAnsi" w:cstheme="minorHAnsi"/>
          <w:color w:val="FF0000"/>
          <w:highlight w:val="yellow"/>
        </w:rPr>
        <w:instrText xml:space="preserve"> \* MERGEFORMAT </w:instrText>
      </w:r>
      <w:r w:rsidRPr="00747E35">
        <w:rPr>
          <w:rFonts w:asciiTheme="minorHAnsi" w:hAnsiTheme="minorHAnsi" w:cstheme="minorHAnsi"/>
          <w:color w:val="FF0000"/>
          <w:highlight w:val="yellow"/>
        </w:rPr>
      </w:r>
      <w:r w:rsidRPr="00747E35">
        <w:rPr>
          <w:rFonts w:asciiTheme="minorHAnsi" w:hAnsiTheme="minorHAnsi" w:cstheme="minorHAnsi"/>
          <w:color w:val="FF0000"/>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152</w:t>
      </w:r>
      <w:r w:rsidRPr="00747E35">
        <w:rPr>
          <w:rFonts w:asciiTheme="minorHAnsi" w:hAnsiTheme="minorHAnsi" w:cstheme="minorHAnsi"/>
          <w:color w:val="FF0000"/>
          <w:highlight w:val="yellow"/>
        </w:rPr>
        <w:fldChar w:fldCharType="end"/>
      </w:r>
      <w:r w:rsidRPr="00747E35">
        <w:rPr>
          <w:rFonts w:asciiTheme="minorHAnsi" w:hAnsiTheme="minorHAnsi" w:cstheme="minorHAnsi"/>
        </w:rPr>
        <w:t>c). Thus, the Pelican Creek complex can be considered to be of extremely high conservation concern.  Other complexes at relatively high risk (i.e. &gt; upper 25</w:t>
      </w:r>
      <w:r w:rsidRPr="00747E35">
        <w:rPr>
          <w:rFonts w:asciiTheme="minorHAnsi" w:hAnsiTheme="minorHAnsi" w:cstheme="minorHAnsi"/>
          <w:vertAlign w:val="superscript"/>
        </w:rPr>
        <w:t>th</w:t>
      </w:r>
      <w:r w:rsidRPr="00747E35">
        <w:rPr>
          <w:rFonts w:asciiTheme="minorHAnsi" w:hAnsiTheme="minorHAnsi" w:cstheme="minorHAnsi"/>
        </w:rPr>
        <w:t xml:space="preserve"> percentile of total cumulative risk scores) included Moses complex (Barcaldine supergroup), Yowah Mud complex (Eulo supergroup), Dalhousie springs complex (Dalhousie supergroup) and 15 complexes from the Lake Eyre supergroup (</w:t>
      </w:r>
      <w:r w:rsidRPr="00747E35">
        <w:rPr>
          <w:rFonts w:asciiTheme="minorHAnsi" w:hAnsiTheme="minorHAnsi" w:cstheme="minorHAnsi"/>
          <w:color w:val="FF0000"/>
          <w:highlight w:val="yellow"/>
        </w:rPr>
        <w:fldChar w:fldCharType="begin"/>
      </w:r>
      <w:r w:rsidRPr="00747E35">
        <w:rPr>
          <w:rFonts w:asciiTheme="minorHAnsi" w:hAnsiTheme="minorHAnsi" w:cstheme="minorHAnsi"/>
        </w:rPr>
        <w:instrText xml:space="preserve"> REF _Ref466442851 \h </w:instrText>
      </w:r>
      <w:r w:rsidR="000E4B99" w:rsidRPr="00747E35">
        <w:rPr>
          <w:rFonts w:asciiTheme="minorHAnsi" w:hAnsiTheme="minorHAnsi" w:cstheme="minorHAnsi"/>
          <w:color w:val="FF0000"/>
          <w:highlight w:val="yellow"/>
        </w:rPr>
        <w:instrText xml:space="preserve"> \* MERGEFORMAT </w:instrText>
      </w:r>
      <w:r w:rsidRPr="00747E35">
        <w:rPr>
          <w:rFonts w:asciiTheme="minorHAnsi" w:hAnsiTheme="minorHAnsi" w:cstheme="minorHAnsi"/>
          <w:color w:val="FF0000"/>
          <w:highlight w:val="yellow"/>
        </w:rPr>
      </w:r>
      <w:r w:rsidRPr="00747E35">
        <w:rPr>
          <w:rFonts w:asciiTheme="minorHAnsi" w:hAnsiTheme="minorHAnsi" w:cstheme="minorHAnsi"/>
          <w:color w:val="FF0000"/>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152</w:t>
      </w:r>
      <w:r w:rsidRPr="00747E35">
        <w:rPr>
          <w:rFonts w:asciiTheme="minorHAnsi" w:hAnsiTheme="minorHAnsi" w:cstheme="minorHAnsi"/>
          <w:color w:val="FF0000"/>
          <w:highlight w:val="yellow"/>
        </w:rPr>
        <w:fldChar w:fldCharType="end"/>
      </w:r>
      <w:r w:rsidRPr="00747E35">
        <w:rPr>
          <w:rFonts w:asciiTheme="minorHAnsi" w:hAnsiTheme="minorHAnsi" w:cstheme="minorHAnsi"/>
        </w:rPr>
        <w:t xml:space="preserve">,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_Ref466442858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153</w:t>
      </w:r>
      <w:r w:rsidRPr="00747E35">
        <w:rPr>
          <w:rFonts w:asciiTheme="minorHAnsi" w:hAnsiTheme="minorHAnsi" w:cstheme="minorHAnsi"/>
        </w:rPr>
        <w:fldChar w:fldCharType="end"/>
      </w:r>
      <w:r w:rsidRPr="00747E35">
        <w:rPr>
          <w:rFonts w:asciiTheme="minorHAnsi" w:hAnsiTheme="minorHAnsi" w:cstheme="minorHAnsi"/>
        </w:rPr>
        <w:t>).  All 76 complexes were identified as being at risk from groundwater drawdown and 86% were at risk from animal disturbance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_Ref466442851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152</w:t>
      </w:r>
      <w:r w:rsidRPr="00747E35">
        <w:rPr>
          <w:rFonts w:asciiTheme="minorHAnsi" w:hAnsiTheme="minorHAnsi" w:cstheme="minorHAnsi"/>
        </w:rPr>
        <w:fldChar w:fldCharType="end"/>
      </w:r>
      <w:r w:rsidRPr="00747E35">
        <w:rPr>
          <w:rFonts w:asciiTheme="minorHAnsi" w:hAnsiTheme="minorHAnsi" w:cstheme="minorHAnsi"/>
        </w:rPr>
        <w:t>).  Human modifications, introduced flora and introduced aquatic fauna posed risks to endemic species at 10 or fewer complexes.  Some spring complexes in the Lake Eyre and Lake Frome supergroups had a relatively high number of vulnerable species but were assessed as being at relatively low risk because they had comparatively low exposure to threats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_Ref466442851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152</w:t>
      </w:r>
      <w:r w:rsidRPr="00747E35">
        <w:rPr>
          <w:rFonts w:asciiTheme="minorHAnsi" w:hAnsiTheme="minorHAnsi" w:cstheme="minorHAnsi"/>
        </w:rPr>
        <w:fldChar w:fldCharType="end"/>
      </w:r>
      <w:r w:rsidRPr="00747E35">
        <w:rPr>
          <w:rFonts w:asciiTheme="minorHAnsi" w:hAnsiTheme="minorHAnsi" w:cstheme="minorHAnsi"/>
        </w:rPr>
        <w:t>). No spring complexes from the Bogan River, Mulligan and Flinders River supergroups were identified as being at risk as they did not contain any endemic taxa (</w:t>
      </w:r>
      <w:r w:rsidRPr="00747E35">
        <w:rPr>
          <w:rFonts w:asciiTheme="minorHAnsi" w:hAnsiTheme="minorHAnsi" w:cstheme="minorHAnsi"/>
          <w:color w:val="000000" w:themeColor="text1"/>
        </w:rPr>
        <w:fldChar w:fldCharType="begin"/>
      </w:r>
      <w:r w:rsidRPr="00747E35">
        <w:rPr>
          <w:rFonts w:asciiTheme="minorHAnsi" w:hAnsiTheme="minorHAnsi" w:cstheme="minorHAnsi"/>
          <w:color w:val="000000" w:themeColor="text1"/>
        </w:rPr>
        <w:instrText xml:space="preserve"> REF _Ref453340534 \h </w:instrText>
      </w:r>
      <w:r w:rsidR="000E4B99" w:rsidRPr="00747E35">
        <w:rPr>
          <w:rFonts w:asciiTheme="minorHAnsi" w:hAnsiTheme="minorHAnsi" w:cstheme="minorHAnsi"/>
          <w:color w:val="000000" w:themeColor="text1"/>
        </w:rPr>
        <w:instrText xml:space="preserve"> \* MERGEFORMAT </w:instrText>
      </w:r>
      <w:r w:rsidRPr="00747E35">
        <w:rPr>
          <w:rFonts w:asciiTheme="minorHAnsi" w:hAnsiTheme="minorHAnsi" w:cstheme="minorHAnsi"/>
          <w:color w:val="000000" w:themeColor="text1"/>
        </w:rPr>
      </w:r>
      <w:r w:rsidRPr="00747E35">
        <w:rPr>
          <w:rFonts w:asciiTheme="minorHAnsi" w:hAnsiTheme="minorHAnsi" w:cstheme="minorHAnsi"/>
          <w:color w:val="000000" w:themeColor="text1"/>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138</w:t>
      </w:r>
      <w:r w:rsidRPr="00747E35">
        <w:rPr>
          <w:rFonts w:asciiTheme="minorHAnsi" w:hAnsiTheme="minorHAnsi" w:cstheme="minorHAnsi"/>
          <w:color w:val="000000" w:themeColor="text1"/>
        </w:rPr>
        <w:fldChar w:fldCharType="end"/>
      </w:r>
      <w:r w:rsidRPr="00747E35">
        <w:rPr>
          <w:rFonts w:asciiTheme="minorHAnsi" w:hAnsiTheme="minorHAnsi" w:cstheme="minorHAnsi"/>
          <w:color w:val="000000" w:themeColor="text1"/>
        </w:rPr>
        <w:t xml:space="preserve">), </w:t>
      </w:r>
      <w:r w:rsidRPr="00747E35">
        <w:rPr>
          <w:rFonts w:asciiTheme="minorHAnsi" w:hAnsiTheme="minorHAnsi" w:cstheme="minorHAnsi"/>
        </w:rPr>
        <w:t>despite being exposed to a variety of threats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_Ref466442575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147</w:t>
      </w:r>
      <w:r w:rsidRPr="00747E35">
        <w:rPr>
          <w:rFonts w:asciiTheme="minorHAnsi" w:hAnsiTheme="minorHAnsi" w:cstheme="minorHAnsi"/>
        </w:rPr>
        <w:fldChar w:fldCharType="end"/>
      </w:r>
      <w:r w:rsidRPr="00747E35">
        <w:rPr>
          <w:rFonts w:asciiTheme="minorHAnsi" w:hAnsiTheme="minorHAnsi" w:cstheme="minorHAnsi"/>
        </w:rPr>
        <w:t xml:space="preserve">). </w:t>
      </w:r>
    </w:p>
    <w:p w14:paraId="57D8D5A1" w14:textId="77777777" w:rsidR="0044478E" w:rsidRPr="00747E35" w:rsidRDefault="0044478E" w:rsidP="0044478E">
      <w:pPr>
        <w:rPr>
          <w:rFonts w:asciiTheme="minorHAnsi" w:hAnsiTheme="minorHAnsi" w:cstheme="minorHAnsi"/>
        </w:rPr>
      </w:pPr>
    </w:p>
    <w:p w14:paraId="348853D6" w14:textId="77777777" w:rsidR="0044478E" w:rsidRPr="00747E35" w:rsidRDefault="0044478E" w:rsidP="0044478E">
      <w:pPr>
        <w:rPr>
          <w:rFonts w:asciiTheme="minorHAnsi" w:hAnsiTheme="minorHAnsi" w:cstheme="minorHAnsi"/>
        </w:rPr>
        <w:sectPr w:rsidR="0044478E" w:rsidRPr="00747E35" w:rsidSect="0044478E">
          <w:pgSz w:w="11906" w:h="16838"/>
          <w:pgMar w:top="1134" w:right="1134" w:bottom="1134" w:left="1134" w:header="709" w:footer="709" w:gutter="0"/>
          <w:cols w:space="708"/>
          <w:docGrid w:linePitch="360"/>
        </w:sectPr>
      </w:pPr>
    </w:p>
    <w:p w14:paraId="6D05041E" w14:textId="77777777" w:rsidR="0044478E" w:rsidRPr="00747E35" w:rsidRDefault="0044478E" w:rsidP="0044478E">
      <w:pPr>
        <w:spacing w:after="0"/>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31470082" wp14:editId="704BB917">
            <wp:extent cx="9078767" cy="5238750"/>
            <wp:effectExtent l="0" t="0" r="8255" b="0"/>
            <wp:docPr id="2109" name="Picture 2109" descr="Stacked bar ch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9" cstate="screen">
                      <a:extLst>
                        <a:ext uri="{28A0092B-C50C-407E-A947-70E740481C1C}">
                          <a14:useLocalDpi xmlns:a14="http://schemas.microsoft.com/office/drawing/2010/main"/>
                        </a:ext>
                      </a:extLst>
                    </a:blip>
                    <a:srcRect/>
                    <a:stretch/>
                  </pic:blipFill>
                  <pic:spPr bwMode="auto">
                    <a:xfrm>
                      <a:off x="0" y="0"/>
                      <a:ext cx="9102579" cy="5252491"/>
                    </a:xfrm>
                    <a:prstGeom prst="rect">
                      <a:avLst/>
                    </a:prstGeom>
                    <a:noFill/>
                    <a:ln>
                      <a:noFill/>
                    </a:ln>
                    <a:extLst>
                      <a:ext uri="{53640926-AAD7-44D8-BBD7-CCE9431645EC}">
                        <a14:shadowObscured xmlns:a14="http://schemas.microsoft.com/office/drawing/2010/main"/>
                      </a:ext>
                    </a:extLst>
                  </pic:spPr>
                </pic:pic>
              </a:graphicData>
            </a:graphic>
          </wp:inline>
        </w:drawing>
      </w:r>
    </w:p>
    <w:p w14:paraId="747BE8C2" w14:textId="77777777" w:rsidR="0044478E" w:rsidRPr="00747E35" w:rsidRDefault="0044478E" w:rsidP="00566456">
      <w:pPr>
        <w:pStyle w:val="Caption"/>
        <w:numPr>
          <w:ilvl w:val="0"/>
          <w:numId w:val="0"/>
        </w:numPr>
        <w:rPr>
          <w:rFonts w:cstheme="minorHAnsi"/>
          <w:color w:val="FF0000"/>
        </w:rPr>
        <w:sectPr w:rsidR="0044478E" w:rsidRPr="00747E35" w:rsidSect="0044478E">
          <w:pgSz w:w="16838" w:h="11906" w:orient="landscape"/>
          <w:pgMar w:top="1134" w:right="1134" w:bottom="1134" w:left="1134" w:header="709" w:footer="709" w:gutter="0"/>
          <w:cols w:space="708"/>
          <w:docGrid w:linePitch="360"/>
        </w:sectPr>
      </w:pPr>
      <w:bookmarkStart w:id="438" w:name="_Ref466442851"/>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152</w:t>
      </w:r>
      <w:r w:rsidR="009D6600" w:rsidRPr="00747E35">
        <w:rPr>
          <w:rFonts w:cstheme="minorHAnsi"/>
          <w:noProof/>
        </w:rPr>
        <w:fldChar w:fldCharType="end"/>
      </w:r>
      <w:bookmarkEnd w:id="438"/>
      <w:r w:rsidRPr="00747E35">
        <w:rPr>
          <w:rFonts w:cstheme="minorHAnsi"/>
        </w:rPr>
        <w:t>: Cumulative risk scores for the 76 wetland complexes (arranged by supergroup) containing one or more endemic species. Risk combines threat exposure data (inset a) with taxon occurrences (inset b) and certainty-weighted taxon vulnerability to threats (inset c) for each complex (note – ordering of complexes in the inset charts is the same as for the main chart).  A high risk score for a given complex could be attained by that complex having high exposure to many threats and containing a high number of highly vulnerable species estimated with high certainty (maximum possible risk score = 15). Dashed arrow indicates a notional ‘high risk’ threshold (corresponding to the upper 25</w:t>
      </w:r>
      <w:r w:rsidRPr="00747E35">
        <w:rPr>
          <w:rFonts w:cstheme="minorHAnsi"/>
          <w:vertAlign w:val="superscript"/>
        </w:rPr>
        <w:t>th</w:t>
      </w:r>
      <w:r w:rsidRPr="00747E35">
        <w:rPr>
          <w:rFonts w:cstheme="minorHAnsi"/>
        </w:rPr>
        <w:t xml:space="preserve"> percentile of risk scores). </w:t>
      </w:r>
    </w:p>
    <w:p w14:paraId="509D500A" w14:textId="77777777" w:rsidR="0044478E" w:rsidRPr="00747E35" w:rsidRDefault="0044478E" w:rsidP="0044478E">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5D22CABF" wp14:editId="7D450722">
            <wp:extent cx="6116663" cy="8429625"/>
            <wp:effectExtent l="0" t="0" r="0" b="0"/>
            <wp:docPr id="14" name="Picture 14" descr="Maps with shaded areas for total risk, groundwater drawdown, human modifications, animal disturbance, introduced flora, and introduced aquatic fa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cstate="screen">
                      <a:extLst>
                        <a:ext uri="{28A0092B-C50C-407E-A947-70E740481C1C}">
                          <a14:useLocalDpi xmlns:a14="http://schemas.microsoft.com/office/drawing/2010/main"/>
                        </a:ext>
                      </a:extLst>
                    </a:blip>
                    <a:srcRect/>
                    <a:stretch>
                      <a:fillRect/>
                    </a:stretch>
                  </pic:blipFill>
                  <pic:spPr bwMode="auto">
                    <a:xfrm>
                      <a:off x="0" y="0"/>
                      <a:ext cx="6129293" cy="8447031"/>
                    </a:xfrm>
                    <a:prstGeom prst="rect">
                      <a:avLst/>
                    </a:prstGeom>
                    <a:noFill/>
                  </pic:spPr>
                </pic:pic>
              </a:graphicData>
            </a:graphic>
          </wp:inline>
        </w:drawing>
      </w:r>
    </w:p>
    <w:p w14:paraId="3E146953" w14:textId="77777777" w:rsidR="0044478E" w:rsidRPr="00747E35" w:rsidRDefault="0044478E" w:rsidP="00566456">
      <w:pPr>
        <w:pStyle w:val="Caption"/>
        <w:numPr>
          <w:ilvl w:val="0"/>
          <w:numId w:val="0"/>
        </w:numPr>
        <w:rPr>
          <w:rFonts w:cstheme="minorHAnsi"/>
        </w:rPr>
      </w:pPr>
      <w:bookmarkStart w:id="439" w:name="_Ref466442858"/>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153</w:t>
      </w:r>
      <w:r w:rsidR="009D6600" w:rsidRPr="00747E35">
        <w:rPr>
          <w:rFonts w:cstheme="minorHAnsi"/>
          <w:noProof/>
        </w:rPr>
        <w:fldChar w:fldCharType="end"/>
      </w:r>
      <w:bookmarkEnd w:id="439"/>
      <w:r w:rsidRPr="00747E35">
        <w:rPr>
          <w:rFonts w:cstheme="minorHAnsi"/>
        </w:rPr>
        <w:t>: Spatial variation in cumulative risks of threats to spring complexes (upper left plot) and relative risks of each threat. Spring complexes belonging to each supergroup are enclosed by dashed lines. The spring complex with the highest cumulative risk (Pelican Creek) is indicated with an arrow.</w:t>
      </w:r>
      <w:r w:rsidRPr="00747E35">
        <w:rPr>
          <w:rFonts w:cstheme="minorHAnsi"/>
        </w:rPr>
        <w:br w:type="page"/>
      </w:r>
    </w:p>
    <w:p w14:paraId="301958E4" w14:textId="455D2E14" w:rsidR="0044478E" w:rsidRPr="00747E35" w:rsidRDefault="0044478E" w:rsidP="0044478E">
      <w:pPr>
        <w:pStyle w:val="Heading3"/>
        <w:rPr>
          <w:rFonts w:asciiTheme="minorHAnsi" w:hAnsiTheme="minorHAnsi" w:cstheme="minorHAnsi"/>
        </w:rPr>
      </w:pPr>
      <w:bookmarkStart w:id="440" w:name="_Toc467244828"/>
      <w:bookmarkStart w:id="441" w:name="_Toc470004911"/>
      <w:r w:rsidRPr="00747E35">
        <w:rPr>
          <w:rFonts w:asciiTheme="minorHAnsi" w:hAnsiTheme="minorHAnsi" w:cstheme="minorHAnsi"/>
        </w:rPr>
        <w:lastRenderedPageBreak/>
        <w:t>Discussion</w:t>
      </w:r>
      <w:bookmarkEnd w:id="440"/>
      <w:bookmarkEnd w:id="441"/>
    </w:p>
    <w:p w14:paraId="5773DE18"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t>Risks to GAB spring wetlands and their endemic flora and fauna</w:t>
      </w:r>
    </w:p>
    <w:p w14:paraId="131C3290" w14:textId="6AE4A310" w:rsidR="0044478E" w:rsidRPr="00747E35" w:rsidRDefault="0044478E" w:rsidP="0044478E">
      <w:pPr>
        <w:rPr>
          <w:rFonts w:asciiTheme="minorHAnsi" w:hAnsiTheme="minorHAnsi" w:cstheme="minorHAnsi"/>
        </w:rPr>
      </w:pPr>
      <w:r w:rsidRPr="00747E35">
        <w:rPr>
          <w:rFonts w:asciiTheme="minorHAnsi" w:hAnsiTheme="minorHAnsi" w:cstheme="minorHAnsi"/>
        </w:rPr>
        <w:t>Our quantitative assessment of threat exposure to GAB spring complexes revealed that all supergroups contained one or more complexes that were exposed to a high number and high intensity of threats, but spatial patterns in threat type and degree of exposure varied widely.  Threats posed by groundwater drawdown and animal disturbance were most widespread (occurring in almost all complexes) whereas human modifications, introduced flora and introduced aquatic fauna were patchily distributed but often of high intensity.  These findings complement and extend previous assessments of nature and distribution of threats to GAB springs and their resident flora and fauna (e.g. Fensham and Fairfax 2003, Fensham et al</w:t>
      </w:r>
      <w:r w:rsidR="005E04D7">
        <w:rPr>
          <w:rFonts w:asciiTheme="minorHAnsi" w:hAnsiTheme="minorHAnsi" w:cstheme="minorHAnsi"/>
        </w:rPr>
        <w:t>.</w:t>
      </w:r>
      <w:r w:rsidRPr="00747E35">
        <w:rPr>
          <w:rFonts w:asciiTheme="minorHAnsi" w:hAnsiTheme="minorHAnsi" w:cstheme="minorHAnsi"/>
        </w:rPr>
        <w:t xml:space="preserve"> 2010, Powell et al. 2015).  </w:t>
      </w:r>
    </w:p>
    <w:p w14:paraId="3BCC6ABF" w14:textId="30A2FADC" w:rsidR="0044478E" w:rsidRPr="00747E35" w:rsidRDefault="0044478E" w:rsidP="0044478E">
      <w:pPr>
        <w:rPr>
          <w:rFonts w:asciiTheme="minorHAnsi" w:hAnsiTheme="minorHAnsi" w:cstheme="minorHAnsi"/>
        </w:rPr>
      </w:pPr>
      <w:r w:rsidRPr="00747E35">
        <w:rPr>
          <w:rFonts w:asciiTheme="minorHAnsi" w:hAnsiTheme="minorHAnsi" w:cstheme="minorHAnsi"/>
        </w:rPr>
        <w:t>Our cumulative risk assessment (combining threat exposure, taxon occurrences and taxon vulnerability) for the subset of 76 spring complexes containing one or more endemic taxa revealed that the Pelican Creek complex (containing Ed</w:t>
      </w:r>
      <w:r w:rsidR="000E4B99" w:rsidRPr="00747E35">
        <w:rPr>
          <w:rFonts w:asciiTheme="minorHAnsi" w:hAnsiTheme="minorHAnsi" w:cstheme="minorHAnsi"/>
        </w:rPr>
        <w:t>g</w:t>
      </w:r>
      <w:r w:rsidRPr="00747E35">
        <w:rPr>
          <w:rFonts w:asciiTheme="minorHAnsi" w:hAnsiTheme="minorHAnsi" w:cstheme="minorHAnsi"/>
        </w:rPr>
        <w:t xml:space="preserve">baston and Myross Springs) in the Barcaldine supergroup in Queensland was at substantially higher risk of threats than all others. This complex is exposed to all five threats with the highest cumulative intensity and contains 26 species with representatives from all four taxon groups that were vulnerable to all five threats.  Thus, the Pelican Creek complex can be considered to be of extremely high conservation concern.  Other complexes at relatively high risk included Moses complex (Barcaldine supergroup), Yowah Mud complex (Eulo supergroup), Dalhousie springs complex (Dalhousie supergroup) and 15 complexes from the Lake Eyre supergroup.  </w:t>
      </w:r>
    </w:p>
    <w:p w14:paraId="2C27F036" w14:textId="60507FCB" w:rsidR="0044478E" w:rsidRPr="00747E35" w:rsidRDefault="0044478E" w:rsidP="0044478E">
      <w:pPr>
        <w:rPr>
          <w:rFonts w:asciiTheme="minorHAnsi" w:hAnsiTheme="minorHAnsi" w:cstheme="minorHAnsi"/>
        </w:rPr>
      </w:pPr>
      <w:r w:rsidRPr="00747E35">
        <w:rPr>
          <w:rFonts w:asciiTheme="minorHAnsi" w:hAnsiTheme="minorHAnsi" w:cstheme="minorHAnsi"/>
        </w:rPr>
        <w:t xml:space="preserve">Groundwater draw down was one of the most pervasive basin-wide threats and is likely to amplify the effect of other threats already affecting endemic GAB species.  For example, reduced groundwater pressure is likely to result in springs being more seasonally variable, is likely to decrease the amount of available spring pools potentially increasing competition or predation by invasive species (e.g. </w:t>
      </w:r>
      <w:r w:rsidR="001737C6" w:rsidRPr="001737C6">
        <w:rPr>
          <w:rFonts w:asciiTheme="minorHAnsi" w:hAnsiTheme="minorHAnsi" w:cstheme="minorHAnsi"/>
          <w:i/>
        </w:rPr>
        <w:t>Gambusia</w:t>
      </w:r>
      <w:r w:rsidRPr="00747E35">
        <w:rPr>
          <w:rFonts w:asciiTheme="minorHAnsi" w:hAnsiTheme="minorHAnsi" w:cstheme="minorHAnsi"/>
        </w:rPr>
        <w:t xml:space="preserve"> have been shown to be more efficient predators and more aggressive competitors when water availability is low (Pyke, 2008)), or increasing the effect of trampling and disturbance by introduced ungulates as the spring becomes smaller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_Ref453232758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144</w:t>
      </w:r>
      <w:r w:rsidRPr="00747E35">
        <w:rPr>
          <w:rFonts w:asciiTheme="minorHAnsi" w:hAnsiTheme="minorHAnsi" w:cstheme="minorHAnsi"/>
        </w:rPr>
        <w:fldChar w:fldCharType="end"/>
      </w:r>
      <w:r w:rsidRPr="00747E35">
        <w:rPr>
          <w:rFonts w:asciiTheme="minorHAnsi" w:hAnsiTheme="minorHAnsi" w:cstheme="minorHAnsi"/>
        </w:rPr>
        <w:t>).  Many GAB spring wetlands occur in areas of current and potential future coal seam gas and coal mining developments (Fensham et al. 2010, Energy &amp; Resource Insights 2016). The ecological consequences of groundwater decline for GAB springs and the resident biota may be substantial but difficult to detect (e.g. due to time lags and long response times) and potentially difficult to reverse (e.g. aquifer collapse, salinity intrusion, shifts in ecosystem type/function; Kath et al</w:t>
      </w:r>
      <w:r w:rsidR="005E04D7">
        <w:rPr>
          <w:rFonts w:asciiTheme="minorHAnsi" w:hAnsiTheme="minorHAnsi" w:cstheme="minorHAnsi"/>
        </w:rPr>
        <w:t>.</w:t>
      </w:r>
      <w:r w:rsidRPr="00747E35">
        <w:rPr>
          <w:rFonts w:asciiTheme="minorHAnsi" w:hAnsiTheme="minorHAnsi" w:cstheme="minorHAnsi"/>
        </w:rPr>
        <w:t xml:space="preserve"> 2014).  </w:t>
      </w:r>
    </w:p>
    <w:p w14:paraId="133724C2"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t>Management of threats and monitoring efficacy</w:t>
      </w:r>
    </w:p>
    <w:p w14:paraId="4589D17C" w14:textId="5F3B6FE2" w:rsidR="0044478E" w:rsidRPr="00747E35" w:rsidRDefault="0044478E" w:rsidP="0044478E">
      <w:pPr>
        <w:rPr>
          <w:rFonts w:asciiTheme="minorHAnsi" w:hAnsiTheme="minorHAnsi" w:cstheme="minorHAnsi"/>
        </w:rPr>
      </w:pPr>
      <w:r w:rsidRPr="00747E35">
        <w:rPr>
          <w:rFonts w:asciiTheme="minorHAnsi" w:hAnsiTheme="minorHAnsi" w:cstheme="minorHAnsi"/>
        </w:rPr>
        <w:t xml:space="preserve">Complexes and species with high cumulative risks are subject to varying degrees of active on-ground management – whilst the conservation attention afforded some locations and species matches their threat exposure (e.g. red-finned blue-eye) many locations and species receive little to no attention.  Effective management of GAB springs will require a set of conservation management actions to be identified and implemented to effectively mitigate or prevent current and future threatening processes.  Candidate management actions to ameliorate/mitigate threats to GAB springs are listed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_Ref467013417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42</w:t>
      </w:r>
      <w:r w:rsidRPr="00747E35">
        <w:rPr>
          <w:rFonts w:asciiTheme="minorHAnsi" w:hAnsiTheme="minorHAnsi" w:cstheme="minorHAnsi"/>
        </w:rPr>
        <w:fldChar w:fldCharType="end"/>
      </w:r>
      <w:r w:rsidRPr="00747E35">
        <w:rPr>
          <w:rFonts w:asciiTheme="minorHAnsi" w:hAnsiTheme="minorHAnsi" w:cstheme="minorHAnsi"/>
        </w:rPr>
        <w:t xml:space="preserve">.  Some of these actions are currently being implemented on-ground to ameliorate or mitigate threats to GAB springs within complexes we identified as being at high risk.  All of these actions vary in their ease of implementation, cost-effectiveness and likelihood of being applied. For those threats that are more difficult to control (e.g. the pervasive effects of groundwater drawdown and climate change), it may more feasible and realistic to control other threats in order to improve the resilience of GAB springs and their resident species.  Even if such threats can be controlled, it may take years for some springs to regain their native species composition through natural recolonisation processes due to their extreme isolation, particularly for obligate freshwater taxa without strong dispersal abilities.  </w:t>
      </w:r>
    </w:p>
    <w:p w14:paraId="533665ED" w14:textId="397C60A7" w:rsidR="0044478E" w:rsidRPr="00747E35" w:rsidRDefault="0044478E" w:rsidP="0044478E">
      <w:pPr>
        <w:rPr>
          <w:rFonts w:asciiTheme="minorHAnsi" w:hAnsiTheme="minorHAnsi" w:cstheme="minorHAnsi"/>
        </w:rPr>
      </w:pPr>
      <w:r w:rsidRPr="00747E35">
        <w:rPr>
          <w:rFonts w:asciiTheme="minorHAnsi" w:hAnsiTheme="minorHAnsi" w:cstheme="minorHAnsi"/>
        </w:rPr>
        <w:t xml:space="preserve">Monitoring to detect ecological responses is critical to effective and efficient on-ground management, but alone is not sufficient to understand threats.  Monitoring allows evaluation of the effectiveness of management actions and facilitates modification if required (i.e. adaptive management).  For some species, </w:t>
      </w:r>
      <w:r w:rsidRPr="00747E35">
        <w:rPr>
          <w:rFonts w:asciiTheme="minorHAnsi" w:hAnsiTheme="minorHAnsi" w:cstheme="minorHAnsi"/>
        </w:rPr>
        <w:lastRenderedPageBreak/>
        <w:t xml:space="preserve">such monitoring, management and intervention are well developed and documented (e.g. red-finned blue-eye; Kerezsy </w:t>
      </w:r>
      <w:r w:rsidR="001737C6">
        <w:rPr>
          <w:rFonts w:asciiTheme="minorHAnsi" w:hAnsiTheme="minorHAnsi"/>
        </w:rPr>
        <w:t>and Fensham</w:t>
      </w:r>
      <w:r w:rsidR="001737C6" w:rsidRPr="00747E35">
        <w:rPr>
          <w:rFonts w:asciiTheme="minorHAnsi" w:hAnsiTheme="minorHAnsi" w:cstheme="minorHAnsi"/>
        </w:rPr>
        <w:t xml:space="preserve"> </w:t>
      </w:r>
      <w:r w:rsidRPr="00747E35">
        <w:rPr>
          <w:rFonts w:asciiTheme="minorHAnsi" w:hAnsiTheme="minorHAnsi" w:cstheme="minorHAnsi"/>
        </w:rPr>
        <w:t xml:space="preserve">2013).  This is related to their threatened species listing and emphasises the importance of remedying such conservation legislation.  For some species, long-term monitoring programs have detected extinctions (e.g. associated with Olympic Dam bore fields; see Fensham et al. 2010) or revealed long and short-term spatiotemporal changes in diversity (Worthington-Wilmer et al. 2011; Rossini et al. in press). This emphasises the utility of targeted monitoring programs, particularly given that research that directly documents the effect of threats on endemic species is rare (for some examples to date see Munro et al. 2009, Davies et al. 2010 and Nicol et al. 2015).  Monitoring can be implemented to detect changes in the intensity of the key threatening processes listed in </w:t>
      </w:r>
      <w:r w:rsidRPr="00747E35">
        <w:rPr>
          <w:rFonts w:asciiTheme="minorHAnsi" w:hAnsiTheme="minorHAnsi" w:cstheme="minorHAnsi"/>
        </w:rPr>
        <w:fldChar w:fldCharType="begin"/>
      </w:r>
      <w:r w:rsidRPr="00747E35">
        <w:rPr>
          <w:rFonts w:asciiTheme="minorHAnsi" w:hAnsiTheme="minorHAnsi" w:cstheme="minorHAnsi"/>
        </w:rPr>
        <w:instrText xml:space="preserve"> REF _Ref467013417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42</w:t>
      </w:r>
      <w:r w:rsidRPr="00747E35">
        <w:rPr>
          <w:rFonts w:asciiTheme="minorHAnsi" w:hAnsiTheme="minorHAnsi" w:cstheme="minorHAnsi"/>
        </w:rPr>
        <w:fldChar w:fldCharType="end"/>
      </w:r>
      <w:r w:rsidRPr="00747E35">
        <w:rPr>
          <w:rFonts w:asciiTheme="minorHAnsi" w:hAnsiTheme="minorHAnsi" w:cstheme="minorHAnsi"/>
        </w:rPr>
        <w:t>, particularly those that remain data deficient or in areas where the effects of threats remain under-studied (e.g. monitoring groundwater levels and spring discharge regimes in the context of historic regimes in areas at risk from new mining developments). However, such monitoring needs to be designed in a way that is able to detect changes in abundance and diversity over spatial and temporal scales of relevance – all factors that have been shown to be sensitive to the methodology used (Cantonati et al. 2007, Rossini et al. 2015, Rossini et al. in press).  As threatening processes are compounded in particular areas and natural fluctuation in endemic species populations may remain undocumented, manipulative experiments are needed to disentangle the effects of different threats from natural spatiotemporal variability.</w:t>
      </w:r>
    </w:p>
    <w:p w14:paraId="68F113CE" w14:textId="2F016E82" w:rsidR="0044478E" w:rsidRPr="00747E35" w:rsidRDefault="0044478E" w:rsidP="00566456">
      <w:pPr>
        <w:pStyle w:val="Caption"/>
        <w:numPr>
          <w:ilvl w:val="0"/>
          <w:numId w:val="0"/>
        </w:numPr>
        <w:rPr>
          <w:rFonts w:cstheme="minorHAnsi"/>
        </w:rPr>
      </w:pPr>
      <w:bookmarkStart w:id="442" w:name="_Ref467013417"/>
      <w:r w:rsidRPr="00747E35">
        <w:rPr>
          <w:rFonts w:cstheme="minorHAnsi"/>
        </w:rPr>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42</w:t>
      </w:r>
      <w:r w:rsidR="009D6600" w:rsidRPr="00747E35">
        <w:rPr>
          <w:rFonts w:cstheme="minorHAnsi"/>
          <w:noProof/>
        </w:rPr>
        <w:fldChar w:fldCharType="end"/>
      </w:r>
      <w:bookmarkEnd w:id="442"/>
      <w:r w:rsidRPr="00747E35">
        <w:rPr>
          <w:rFonts w:cstheme="minorHAnsi"/>
        </w:rPr>
        <w:t>: Candidate management actions to ameliorate/mitigate threats to GAB springs. (Source: modified from Fensham et al. 2010</w:t>
      </w:r>
      <w:r w:rsidR="001737C6">
        <w:rPr>
          <w:rFonts w:cstheme="minorHAnsi"/>
        </w:rPr>
        <w:t>,</w:t>
      </w:r>
      <w:r w:rsidRPr="00747E35">
        <w:rPr>
          <w:rFonts w:cstheme="minorHAnsi"/>
        </w:rPr>
        <w:t xml:space="preserve"> Firn et al. 2015a,b</w:t>
      </w:r>
      <w:r w:rsidR="001737C6">
        <w:rPr>
          <w:rFonts w:cstheme="minorHAnsi"/>
        </w:rPr>
        <w:t>,c and</w:t>
      </w:r>
      <w:r w:rsidRPr="00747E35">
        <w:rPr>
          <w:rFonts w:cstheme="minorHAnsi"/>
        </w:rPr>
        <w:t xml:space="preserve"> OGIA 2016</w:t>
      </w:r>
      <w:r w:rsidR="001737C6">
        <w:rPr>
          <w:rFonts w:cstheme="minorHAnsi"/>
        </w:rPr>
        <w:t>b</w:t>
      </w:r>
      <w:r w:rsidRPr="00747E35">
        <w:rPr>
          <w:rFonts w:cstheme="minorHAnsi"/>
        </w:rPr>
        <w:t>)</w:t>
      </w:r>
    </w:p>
    <w:tbl>
      <w:tblPr>
        <w:tblW w:w="9639" w:type="dxa"/>
        <w:tblLook w:val="04A0" w:firstRow="1" w:lastRow="0" w:firstColumn="1" w:lastColumn="0" w:noHBand="0" w:noVBand="1"/>
      </w:tblPr>
      <w:tblGrid>
        <w:gridCol w:w="2127"/>
        <w:gridCol w:w="7512"/>
      </w:tblGrid>
      <w:tr w:rsidR="0044478E" w:rsidRPr="00747E35" w14:paraId="1CBE6378" w14:textId="77777777" w:rsidTr="00D062C2">
        <w:trPr>
          <w:trHeight w:val="20"/>
        </w:trPr>
        <w:tc>
          <w:tcPr>
            <w:tcW w:w="2127" w:type="dxa"/>
            <w:tcBorders>
              <w:top w:val="single" w:sz="4" w:space="0" w:color="auto"/>
              <w:bottom w:val="single" w:sz="4" w:space="0" w:color="auto"/>
            </w:tcBorders>
            <w:shd w:val="clear" w:color="auto" w:fill="DEEAF6" w:themeFill="accent1" w:themeFillTint="33"/>
            <w:noWrap/>
            <w:vAlign w:val="bottom"/>
            <w:hideMark/>
          </w:tcPr>
          <w:p w14:paraId="0391B675"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Threat</w:t>
            </w:r>
          </w:p>
        </w:tc>
        <w:tc>
          <w:tcPr>
            <w:tcW w:w="7512" w:type="dxa"/>
            <w:tcBorders>
              <w:top w:val="single" w:sz="4" w:space="0" w:color="auto"/>
              <w:bottom w:val="single" w:sz="4" w:space="0" w:color="auto"/>
            </w:tcBorders>
            <w:shd w:val="clear" w:color="auto" w:fill="DEEAF6" w:themeFill="accent1" w:themeFillTint="33"/>
            <w:noWrap/>
            <w:vAlign w:val="bottom"/>
            <w:hideMark/>
          </w:tcPr>
          <w:p w14:paraId="08115A35" w14:textId="77777777" w:rsidR="0044478E" w:rsidRPr="00747E35" w:rsidRDefault="0044478E" w:rsidP="0044478E">
            <w:pPr>
              <w:pStyle w:val="TableHead"/>
              <w:spacing w:before="0" w:after="0"/>
              <w:rPr>
                <w:rFonts w:asciiTheme="minorHAnsi" w:hAnsiTheme="minorHAnsi" w:cstheme="minorHAnsi"/>
                <w:b w:val="0"/>
              </w:rPr>
            </w:pPr>
            <w:r w:rsidRPr="00747E35">
              <w:rPr>
                <w:rFonts w:asciiTheme="minorHAnsi" w:hAnsiTheme="minorHAnsi" w:cstheme="minorHAnsi"/>
              </w:rPr>
              <w:t>Candidate management action</w:t>
            </w:r>
          </w:p>
        </w:tc>
      </w:tr>
      <w:tr w:rsidR="0044478E" w:rsidRPr="00747E35" w14:paraId="0A7547BA" w14:textId="77777777" w:rsidTr="0044478E">
        <w:trPr>
          <w:trHeight w:val="20"/>
        </w:trPr>
        <w:tc>
          <w:tcPr>
            <w:tcW w:w="2127" w:type="dxa"/>
            <w:tcBorders>
              <w:top w:val="single" w:sz="4" w:space="0" w:color="auto"/>
            </w:tcBorders>
            <w:shd w:val="clear" w:color="auto" w:fill="auto"/>
            <w:noWrap/>
            <w:hideMark/>
          </w:tcPr>
          <w:p w14:paraId="4EFABF9F"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Aquifer drawdown</w:t>
            </w:r>
          </w:p>
        </w:tc>
        <w:tc>
          <w:tcPr>
            <w:tcW w:w="7512" w:type="dxa"/>
            <w:tcBorders>
              <w:top w:val="single" w:sz="4" w:space="0" w:color="auto"/>
            </w:tcBorders>
            <w:shd w:val="clear" w:color="auto" w:fill="auto"/>
            <w:vAlign w:val="center"/>
          </w:tcPr>
          <w:p w14:paraId="0496061D" w14:textId="77777777" w:rsidR="0044478E" w:rsidRPr="00747E35" w:rsidRDefault="0044478E" w:rsidP="0083624F">
            <w:pPr>
              <w:pStyle w:val="Tabletext"/>
              <w:numPr>
                <w:ilvl w:val="0"/>
                <w:numId w:val="9"/>
              </w:numPr>
              <w:spacing w:before="0" w:after="0"/>
              <w:rPr>
                <w:rFonts w:cstheme="minorHAnsi"/>
                <w:lang w:eastAsia="en-AU"/>
              </w:rPr>
            </w:pPr>
            <w:r w:rsidRPr="00747E35">
              <w:rPr>
                <w:rFonts w:cstheme="minorHAnsi"/>
                <w:lang w:eastAsia="en-AU"/>
              </w:rPr>
              <w:t>Control flow from bores in strategic locations (including capping of bores in close proximity to high priority springs)</w:t>
            </w:r>
          </w:p>
        </w:tc>
      </w:tr>
      <w:tr w:rsidR="0044478E" w:rsidRPr="00747E35" w14:paraId="6FD00AC3" w14:textId="77777777" w:rsidTr="0044478E">
        <w:trPr>
          <w:trHeight w:val="20"/>
        </w:trPr>
        <w:tc>
          <w:tcPr>
            <w:tcW w:w="2127" w:type="dxa"/>
            <w:tcBorders>
              <w:bottom w:val="single" w:sz="4" w:space="0" w:color="auto"/>
            </w:tcBorders>
            <w:shd w:val="clear" w:color="auto" w:fill="auto"/>
            <w:noWrap/>
            <w:hideMark/>
          </w:tcPr>
          <w:p w14:paraId="504D5F18" w14:textId="77777777" w:rsidR="0044478E" w:rsidRPr="00747E35" w:rsidRDefault="0044478E" w:rsidP="0044478E">
            <w:pPr>
              <w:pStyle w:val="Tabletext"/>
              <w:spacing w:before="0" w:after="0"/>
              <w:rPr>
                <w:rFonts w:cstheme="minorHAnsi"/>
                <w:lang w:eastAsia="en-AU"/>
              </w:rPr>
            </w:pPr>
          </w:p>
        </w:tc>
        <w:tc>
          <w:tcPr>
            <w:tcW w:w="7512" w:type="dxa"/>
            <w:tcBorders>
              <w:bottom w:val="single" w:sz="4" w:space="0" w:color="auto"/>
            </w:tcBorders>
            <w:shd w:val="clear" w:color="auto" w:fill="auto"/>
            <w:vAlign w:val="center"/>
          </w:tcPr>
          <w:p w14:paraId="43460239" w14:textId="77777777" w:rsidR="0044478E" w:rsidRPr="00747E35" w:rsidRDefault="0044478E" w:rsidP="0083624F">
            <w:pPr>
              <w:pStyle w:val="Tabletext"/>
              <w:numPr>
                <w:ilvl w:val="0"/>
                <w:numId w:val="9"/>
              </w:numPr>
              <w:spacing w:before="0" w:after="0"/>
              <w:rPr>
                <w:rFonts w:cstheme="minorHAnsi"/>
                <w:lang w:eastAsia="en-AU"/>
              </w:rPr>
            </w:pPr>
            <w:r w:rsidRPr="00747E35">
              <w:rPr>
                <w:rFonts w:cstheme="minorHAnsi"/>
                <w:lang w:eastAsia="en-AU"/>
              </w:rPr>
              <w:t>Control new groundwater allocations and unlicensed groundwater extraction</w:t>
            </w:r>
          </w:p>
        </w:tc>
      </w:tr>
      <w:tr w:rsidR="0044478E" w:rsidRPr="00747E35" w14:paraId="73D23E8B" w14:textId="77777777" w:rsidTr="0044478E">
        <w:trPr>
          <w:trHeight w:val="20"/>
        </w:trPr>
        <w:tc>
          <w:tcPr>
            <w:tcW w:w="2127" w:type="dxa"/>
            <w:vMerge w:val="restart"/>
            <w:tcBorders>
              <w:top w:val="single" w:sz="4" w:space="0" w:color="auto"/>
            </w:tcBorders>
            <w:shd w:val="clear" w:color="auto" w:fill="auto"/>
            <w:noWrap/>
            <w:hideMark/>
          </w:tcPr>
          <w:p w14:paraId="1B39D4AD"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Disturbance from livestock and feral animals</w:t>
            </w:r>
          </w:p>
        </w:tc>
        <w:tc>
          <w:tcPr>
            <w:tcW w:w="7512" w:type="dxa"/>
            <w:tcBorders>
              <w:top w:val="single" w:sz="4" w:space="0" w:color="auto"/>
            </w:tcBorders>
            <w:shd w:val="clear" w:color="auto" w:fill="auto"/>
            <w:vAlign w:val="center"/>
          </w:tcPr>
          <w:p w14:paraId="14A0B1D0" w14:textId="77777777" w:rsidR="0044478E" w:rsidRPr="00747E35" w:rsidRDefault="0044478E" w:rsidP="0083624F">
            <w:pPr>
              <w:pStyle w:val="Tabletext"/>
              <w:numPr>
                <w:ilvl w:val="0"/>
                <w:numId w:val="9"/>
              </w:numPr>
              <w:spacing w:before="0" w:after="0"/>
              <w:rPr>
                <w:rFonts w:cstheme="minorHAnsi"/>
                <w:lang w:eastAsia="en-AU"/>
              </w:rPr>
            </w:pPr>
            <w:r w:rsidRPr="00747E35">
              <w:rPr>
                <w:rFonts w:cstheme="minorHAnsi"/>
                <w:lang w:eastAsia="en-AU"/>
              </w:rPr>
              <w:t>Implement and maintain appropriate grazing management; fencing of selected springs to exclude stock and feral animals</w:t>
            </w:r>
          </w:p>
        </w:tc>
      </w:tr>
      <w:tr w:rsidR="0044478E" w:rsidRPr="00747E35" w14:paraId="3E9229C0" w14:textId="77777777" w:rsidTr="0044478E">
        <w:trPr>
          <w:trHeight w:val="20"/>
        </w:trPr>
        <w:tc>
          <w:tcPr>
            <w:tcW w:w="2127" w:type="dxa"/>
            <w:vMerge/>
            <w:tcBorders>
              <w:bottom w:val="single" w:sz="4" w:space="0" w:color="auto"/>
            </w:tcBorders>
            <w:shd w:val="clear" w:color="auto" w:fill="auto"/>
            <w:noWrap/>
            <w:hideMark/>
          </w:tcPr>
          <w:p w14:paraId="63B64D5C" w14:textId="77777777" w:rsidR="0044478E" w:rsidRPr="00747E35" w:rsidRDefault="0044478E" w:rsidP="0044478E">
            <w:pPr>
              <w:pStyle w:val="Tabletext"/>
              <w:spacing w:before="0" w:after="0"/>
              <w:rPr>
                <w:rFonts w:cstheme="minorHAnsi"/>
                <w:lang w:eastAsia="en-AU"/>
              </w:rPr>
            </w:pPr>
          </w:p>
        </w:tc>
        <w:tc>
          <w:tcPr>
            <w:tcW w:w="7512" w:type="dxa"/>
            <w:tcBorders>
              <w:bottom w:val="single" w:sz="4" w:space="0" w:color="auto"/>
            </w:tcBorders>
            <w:shd w:val="clear" w:color="auto" w:fill="auto"/>
            <w:vAlign w:val="center"/>
            <w:hideMark/>
          </w:tcPr>
          <w:p w14:paraId="63C2ADCB" w14:textId="77777777" w:rsidR="0044478E" w:rsidRPr="00747E35" w:rsidRDefault="0044478E" w:rsidP="0083624F">
            <w:pPr>
              <w:pStyle w:val="Tabletext"/>
              <w:numPr>
                <w:ilvl w:val="0"/>
                <w:numId w:val="9"/>
              </w:numPr>
              <w:spacing w:before="0" w:after="0"/>
              <w:rPr>
                <w:rFonts w:cstheme="minorHAnsi"/>
                <w:lang w:eastAsia="en-AU"/>
              </w:rPr>
            </w:pPr>
            <w:r w:rsidRPr="00747E35">
              <w:rPr>
                <w:rFonts w:cstheme="minorHAnsi"/>
                <w:lang w:eastAsia="en-AU"/>
              </w:rPr>
              <w:t>Control feral animal species (e.g. shooting, poisoning, trapping, biocontrol)</w:t>
            </w:r>
          </w:p>
        </w:tc>
      </w:tr>
      <w:tr w:rsidR="0044478E" w:rsidRPr="00747E35" w14:paraId="5FF9B2BE" w14:textId="77777777" w:rsidTr="0044478E">
        <w:trPr>
          <w:trHeight w:val="20"/>
        </w:trPr>
        <w:tc>
          <w:tcPr>
            <w:tcW w:w="2127" w:type="dxa"/>
            <w:tcBorders>
              <w:top w:val="single" w:sz="4" w:space="0" w:color="auto"/>
            </w:tcBorders>
            <w:shd w:val="clear" w:color="auto" w:fill="auto"/>
            <w:noWrap/>
            <w:hideMark/>
          </w:tcPr>
          <w:p w14:paraId="08587EE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Human modification of springs</w:t>
            </w:r>
          </w:p>
        </w:tc>
        <w:tc>
          <w:tcPr>
            <w:tcW w:w="7512" w:type="dxa"/>
            <w:tcBorders>
              <w:top w:val="single" w:sz="4" w:space="0" w:color="auto"/>
            </w:tcBorders>
            <w:shd w:val="clear" w:color="auto" w:fill="auto"/>
            <w:vAlign w:val="center"/>
            <w:hideMark/>
          </w:tcPr>
          <w:p w14:paraId="4608F05B" w14:textId="77777777" w:rsidR="0044478E" w:rsidRPr="00747E35" w:rsidRDefault="0044478E" w:rsidP="0083624F">
            <w:pPr>
              <w:pStyle w:val="Tabletext"/>
              <w:numPr>
                <w:ilvl w:val="0"/>
                <w:numId w:val="9"/>
              </w:numPr>
              <w:spacing w:before="0" w:after="0"/>
              <w:rPr>
                <w:rFonts w:cstheme="minorHAnsi"/>
                <w:lang w:eastAsia="en-AU"/>
              </w:rPr>
            </w:pPr>
            <w:r w:rsidRPr="00747E35">
              <w:rPr>
                <w:rFonts w:cstheme="minorHAnsi"/>
                <w:lang w:eastAsia="en-AU"/>
              </w:rPr>
              <w:t>Protect high conservation value discharge springs from excavation, and manage them through perpetual agreements</w:t>
            </w:r>
          </w:p>
        </w:tc>
      </w:tr>
      <w:tr w:rsidR="0044478E" w:rsidRPr="00747E35" w14:paraId="0FF3BBE9" w14:textId="77777777" w:rsidTr="0044478E">
        <w:trPr>
          <w:trHeight w:val="20"/>
        </w:trPr>
        <w:tc>
          <w:tcPr>
            <w:tcW w:w="2127" w:type="dxa"/>
            <w:shd w:val="clear" w:color="auto" w:fill="auto"/>
            <w:noWrap/>
            <w:hideMark/>
          </w:tcPr>
          <w:p w14:paraId="094AFB25" w14:textId="77777777" w:rsidR="0044478E" w:rsidRPr="00747E35" w:rsidRDefault="0044478E" w:rsidP="0044478E">
            <w:pPr>
              <w:pStyle w:val="Tabletext"/>
              <w:spacing w:before="0" w:after="0"/>
              <w:rPr>
                <w:rFonts w:cstheme="minorHAnsi"/>
                <w:lang w:eastAsia="en-AU"/>
              </w:rPr>
            </w:pPr>
          </w:p>
        </w:tc>
        <w:tc>
          <w:tcPr>
            <w:tcW w:w="7512" w:type="dxa"/>
            <w:shd w:val="clear" w:color="auto" w:fill="auto"/>
            <w:vAlign w:val="center"/>
            <w:hideMark/>
          </w:tcPr>
          <w:p w14:paraId="1C915EEF" w14:textId="77777777" w:rsidR="0044478E" w:rsidRPr="00747E35" w:rsidRDefault="0044478E" w:rsidP="0083624F">
            <w:pPr>
              <w:pStyle w:val="Tabletext"/>
              <w:numPr>
                <w:ilvl w:val="0"/>
                <w:numId w:val="9"/>
              </w:numPr>
              <w:spacing w:before="0" w:after="0"/>
              <w:rPr>
                <w:rFonts w:cstheme="minorHAnsi"/>
                <w:lang w:eastAsia="en-AU"/>
              </w:rPr>
            </w:pPr>
            <w:r w:rsidRPr="00747E35">
              <w:rPr>
                <w:rFonts w:cstheme="minorHAnsi"/>
                <w:lang w:eastAsia="en-AU"/>
              </w:rPr>
              <w:t>Prohibit the inundation of springs</w:t>
            </w:r>
          </w:p>
        </w:tc>
      </w:tr>
      <w:tr w:rsidR="0044478E" w:rsidRPr="00747E35" w14:paraId="038056C2" w14:textId="77777777" w:rsidTr="0044478E">
        <w:trPr>
          <w:trHeight w:val="20"/>
        </w:trPr>
        <w:tc>
          <w:tcPr>
            <w:tcW w:w="2127" w:type="dxa"/>
            <w:shd w:val="clear" w:color="auto" w:fill="auto"/>
            <w:noWrap/>
            <w:hideMark/>
          </w:tcPr>
          <w:p w14:paraId="147C9F42" w14:textId="77777777" w:rsidR="0044478E" w:rsidRPr="00747E35" w:rsidRDefault="0044478E" w:rsidP="0044478E">
            <w:pPr>
              <w:pStyle w:val="Tabletext"/>
              <w:spacing w:before="0" w:after="0"/>
              <w:rPr>
                <w:rFonts w:cstheme="minorHAnsi"/>
                <w:lang w:eastAsia="en-AU"/>
              </w:rPr>
            </w:pPr>
          </w:p>
        </w:tc>
        <w:tc>
          <w:tcPr>
            <w:tcW w:w="7512" w:type="dxa"/>
            <w:shd w:val="clear" w:color="auto" w:fill="auto"/>
            <w:vAlign w:val="center"/>
            <w:hideMark/>
          </w:tcPr>
          <w:p w14:paraId="0BF650A4" w14:textId="77777777" w:rsidR="0044478E" w:rsidRPr="00747E35" w:rsidRDefault="0044478E" w:rsidP="0083624F">
            <w:pPr>
              <w:pStyle w:val="Tabletext"/>
              <w:numPr>
                <w:ilvl w:val="0"/>
                <w:numId w:val="9"/>
              </w:numPr>
              <w:spacing w:before="0" w:after="0"/>
              <w:rPr>
                <w:rFonts w:cstheme="minorHAnsi"/>
                <w:lang w:eastAsia="en-AU"/>
              </w:rPr>
            </w:pPr>
            <w:r w:rsidRPr="00747E35">
              <w:rPr>
                <w:rFonts w:cstheme="minorHAnsi"/>
                <w:lang w:eastAsia="en-AU"/>
              </w:rPr>
              <w:t>Manage tourist access, and develop and implement visitor management plans for selected sites subject to tourism</w:t>
            </w:r>
          </w:p>
        </w:tc>
      </w:tr>
      <w:tr w:rsidR="0044478E" w:rsidRPr="00747E35" w14:paraId="070A9E24" w14:textId="77777777" w:rsidTr="0044478E">
        <w:trPr>
          <w:trHeight w:val="20"/>
        </w:trPr>
        <w:tc>
          <w:tcPr>
            <w:tcW w:w="2127" w:type="dxa"/>
            <w:shd w:val="clear" w:color="auto" w:fill="auto"/>
            <w:noWrap/>
            <w:hideMark/>
          </w:tcPr>
          <w:p w14:paraId="6D8D064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w:t>
            </w:r>
          </w:p>
        </w:tc>
        <w:tc>
          <w:tcPr>
            <w:tcW w:w="7512" w:type="dxa"/>
            <w:shd w:val="clear" w:color="auto" w:fill="auto"/>
            <w:noWrap/>
            <w:vAlign w:val="bottom"/>
            <w:hideMark/>
          </w:tcPr>
          <w:p w14:paraId="5636954D" w14:textId="77777777" w:rsidR="0044478E" w:rsidRPr="00747E35" w:rsidRDefault="0044478E" w:rsidP="0083624F">
            <w:pPr>
              <w:pStyle w:val="Tabletext"/>
              <w:numPr>
                <w:ilvl w:val="0"/>
                <w:numId w:val="9"/>
              </w:numPr>
              <w:spacing w:before="0" w:after="0"/>
              <w:rPr>
                <w:rFonts w:cstheme="minorHAnsi"/>
                <w:lang w:eastAsia="en-AU"/>
              </w:rPr>
            </w:pPr>
            <w:r w:rsidRPr="00747E35">
              <w:rPr>
                <w:rFonts w:cstheme="minorHAnsi"/>
                <w:lang w:eastAsia="en-AU"/>
              </w:rPr>
              <w:t xml:space="preserve">Continue to raise awareness of issue with </w:t>
            </w:r>
            <w:r w:rsidRPr="00747E35">
              <w:rPr>
                <w:rFonts w:eastAsiaTheme="minorHAnsi" w:cstheme="minorHAnsi"/>
              </w:rPr>
              <w:t>landholders/managers</w:t>
            </w:r>
          </w:p>
        </w:tc>
      </w:tr>
      <w:tr w:rsidR="0044478E" w:rsidRPr="00747E35" w14:paraId="43563833" w14:textId="77777777" w:rsidTr="0044478E">
        <w:trPr>
          <w:trHeight w:val="20"/>
        </w:trPr>
        <w:tc>
          <w:tcPr>
            <w:tcW w:w="2127" w:type="dxa"/>
            <w:tcBorders>
              <w:top w:val="single" w:sz="4" w:space="0" w:color="auto"/>
            </w:tcBorders>
            <w:shd w:val="clear" w:color="auto" w:fill="auto"/>
            <w:hideMark/>
          </w:tcPr>
          <w:p w14:paraId="3D618586"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Introduced aquatic flora</w:t>
            </w:r>
          </w:p>
        </w:tc>
        <w:tc>
          <w:tcPr>
            <w:tcW w:w="7512" w:type="dxa"/>
            <w:tcBorders>
              <w:top w:val="single" w:sz="4" w:space="0" w:color="auto"/>
            </w:tcBorders>
            <w:shd w:val="clear" w:color="auto" w:fill="auto"/>
            <w:vAlign w:val="center"/>
            <w:hideMark/>
          </w:tcPr>
          <w:p w14:paraId="614C333B" w14:textId="77777777" w:rsidR="0044478E" w:rsidRPr="00747E35" w:rsidRDefault="0044478E" w:rsidP="0083624F">
            <w:pPr>
              <w:pStyle w:val="Tabletext"/>
              <w:numPr>
                <w:ilvl w:val="0"/>
                <w:numId w:val="9"/>
              </w:numPr>
              <w:spacing w:before="0" w:after="0"/>
              <w:rPr>
                <w:rFonts w:cstheme="minorHAnsi"/>
                <w:lang w:eastAsia="en-AU"/>
              </w:rPr>
            </w:pPr>
            <w:r w:rsidRPr="00747E35">
              <w:rPr>
                <w:rFonts w:cstheme="minorHAnsi"/>
                <w:lang w:eastAsia="en-AU"/>
              </w:rPr>
              <w:t>Control invasive weed species (e.g. manual removal, herbicides, fire management)</w:t>
            </w:r>
          </w:p>
        </w:tc>
      </w:tr>
      <w:tr w:rsidR="0044478E" w:rsidRPr="00747E35" w14:paraId="2938B4C4" w14:textId="77777777" w:rsidTr="0044478E">
        <w:trPr>
          <w:trHeight w:val="20"/>
        </w:trPr>
        <w:tc>
          <w:tcPr>
            <w:tcW w:w="2127" w:type="dxa"/>
            <w:shd w:val="clear" w:color="auto" w:fill="auto"/>
            <w:noWrap/>
            <w:hideMark/>
          </w:tcPr>
          <w:p w14:paraId="5DB6C73B" w14:textId="77777777" w:rsidR="0044478E" w:rsidRPr="00747E35" w:rsidRDefault="0044478E" w:rsidP="0044478E">
            <w:pPr>
              <w:pStyle w:val="Tabletext"/>
              <w:spacing w:before="0" w:after="0"/>
              <w:rPr>
                <w:rFonts w:cstheme="minorHAnsi"/>
                <w:lang w:eastAsia="en-AU"/>
              </w:rPr>
            </w:pPr>
          </w:p>
        </w:tc>
        <w:tc>
          <w:tcPr>
            <w:tcW w:w="7512" w:type="dxa"/>
            <w:shd w:val="clear" w:color="auto" w:fill="auto"/>
            <w:vAlign w:val="center"/>
            <w:hideMark/>
          </w:tcPr>
          <w:p w14:paraId="4805FFF2" w14:textId="77777777" w:rsidR="0044478E" w:rsidRPr="00747E35" w:rsidRDefault="0044478E" w:rsidP="0083624F">
            <w:pPr>
              <w:pStyle w:val="Tabletext"/>
              <w:numPr>
                <w:ilvl w:val="0"/>
                <w:numId w:val="9"/>
              </w:numPr>
              <w:spacing w:before="0" w:after="0"/>
              <w:rPr>
                <w:rFonts w:cstheme="minorHAnsi"/>
                <w:lang w:eastAsia="en-AU"/>
              </w:rPr>
            </w:pPr>
            <w:r w:rsidRPr="00747E35">
              <w:rPr>
                <w:rFonts w:cstheme="minorHAnsi"/>
                <w:lang w:eastAsia="en-AU"/>
              </w:rPr>
              <w:t>Put in place secure, tenure-based agreements to prohibit the establishment of exotic ponded pasture species in discharge spring wetlands</w:t>
            </w:r>
          </w:p>
        </w:tc>
      </w:tr>
      <w:tr w:rsidR="0044478E" w:rsidRPr="00747E35" w14:paraId="5640A700" w14:textId="77777777" w:rsidTr="0044478E">
        <w:trPr>
          <w:trHeight w:val="20"/>
        </w:trPr>
        <w:tc>
          <w:tcPr>
            <w:tcW w:w="2127" w:type="dxa"/>
            <w:shd w:val="clear" w:color="auto" w:fill="auto"/>
            <w:noWrap/>
            <w:hideMark/>
          </w:tcPr>
          <w:p w14:paraId="7F7B9279" w14:textId="77777777" w:rsidR="0044478E" w:rsidRPr="00747E35" w:rsidRDefault="0044478E" w:rsidP="0044478E">
            <w:pPr>
              <w:pStyle w:val="Tabletext"/>
              <w:spacing w:before="0" w:after="0"/>
              <w:rPr>
                <w:rFonts w:cstheme="minorHAnsi"/>
                <w:lang w:eastAsia="en-AU"/>
              </w:rPr>
            </w:pPr>
          </w:p>
        </w:tc>
        <w:tc>
          <w:tcPr>
            <w:tcW w:w="7512" w:type="dxa"/>
            <w:shd w:val="clear" w:color="auto" w:fill="auto"/>
            <w:vAlign w:val="center"/>
            <w:hideMark/>
          </w:tcPr>
          <w:p w14:paraId="42AF32E7" w14:textId="77777777" w:rsidR="0044478E" w:rsidRPr="00747E35" w:rsidRDefault="0044478E" w:rsidP="0083624F">
            <w:pPr>
              <w:pStyle w:val="Tabletext"/>
              <w:numPr>
                <w:ilvl w:val="0"/>
                <w:numId w:val="9"/>
              </w:numPr>
              <w:spacing w:before="0" w:after="0"/>
              <w:rPr>
                <w:rFonts w:cstheme="minorHAnsi"/>
                <w:lang w:eastAsia="en-AU"/>
              </w:rPr>
            </w:pPr>
            <w:r w:rsidRPr="00747E35">
              <w:rPr>
                <w:rFonts w:cstheme="minorHAnsi"/>
                <w:lang w:eastAsia="en-AU"/>
              </w:rPr>
              <w:t>Implement protocols to avoid transportation of organisms from one location to another</w:t>
            </w:r>
          </w:p>
        </w:tc>
      </w:tr>
      <w:tr w:rsidR="0044478E" w:rsidRPr="00747E35" w14:paraId="5593E295" w14:textId="77777777" w:rsidTr="0044478E">
        <w:trPr>
          <w:trHeight w:val="20"/>
        </w:trPr>
        <w:tc>
          <w:tcPr>
            <w:tcW w:w="2127" w:type="dxa"/>
            <w:shd w:val="clear" w:color="auto" w:fill="auto"/>
            <w:noWrap/>
            <w:hideMark/>
          </w:tcPr>
          <w:p w14:paraId="09539819" w14:textId="77777777" w:rsidR="0044478E" w:rsidRPr="00747E35" w:rsidRDefault="0044478E" w:rsidP="0044478E">
            <w:pPr>
              <w:pStyle w:val="Tabletext"/>
              <w:spacing w:before="0" w:after="0"/>
              <w:rPr>
                <w:rFonts w:cstheme="minorHAnsi"/>
                <w:lang w:eastAsia="en-AU"/>
              </w:rPr>
            </w:pPr>
          </w:p>
        </w:tc>
        <w:tc>
          <w:tcPr>
            <w:tcW w:w="7512" w:type="dxa"/>
            <w:shd w:val="clear" w:color="auto" w:fill="auto"/>
            <w:vAlign w:val="center"/>
            <w:hideMark/>
          </w:tcPr>
          <w:p w14:paraId="66FEBC8A" w14:textId="77777777" w:rsidR="0044478E" w:rsidRPr="00747E35" w:rsidRDefault="0044478E" w:rsidP="0083624F">
            <w:pPr>
              <w:pStyle w:val="Tabletext"/>
              <w:numPr>
                <w:ilvl w:val="0"/>
                <w:numId w:val="9"/>
              </w:numPr>
              <w:spacing w:before="0" w:after="0"/>
              <w:rPr>
                <w:rFonts w:cstheme="minorHAnsi"/>
                <w:lang w:eastAsia="en-AU"/>
              </w:rPr>
            </w:pPr>
            <w:r w:rsidRPr="00747E35">
              <w:rPr>
                <w:rFonts w:cstheme="minorHAnsi"/>
                <w:lang w:eastAsia="en-AU"/>
              </w:rPr>
              <w:t>Buffer habitat areas from the impacts of activities like cultivation</w:t>
            </w:r>
          </w:p>
        </w:tc>
      </w:tr>
      <w:tr w:rsidR="0044478E" w:rsidRPr="00747E35" w14:paraId="6506FF00" w14:textId="77777777" w:rsidTr="0044478E">
        <w:trPr>
          <w:trHeight w:val="20"/>
        </w:trPr>
        <w:tc>
          <w:tcPr>
            <w:tcW w:w="2127" w:type="dxa"/>
            <w:tcBorders>
              <w:bottom w:val="single" w:sz="4" w:space="0" w:color="auto"/>
            </w:tcBorders>
            <w:shd w:val="clear" w:color="auto" w:fill="auto"/>
            <w:noWrap/>
            <w:hideMark/>
          </w:tcPr>
          <w:p w14:paraId="25684FEA"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w:t>
            </w:r>
          </w:p>
        </w:tc>
        <w:tc>
          <w:tcPr>
            <w:tcW w:w="7512" w:type="dxa"/>
            <w:tcBorders>
              <w:bottom w:val="single" w:sz="4" w:space="0" w:color="auto"/>
            </w:tcBorders>
            <w:shd w:val="clear" w:color="auto" w:fill="auto"/>
            <w:noWrap/>
            <w:vAlign w:val="bottom"/>
            <w:hideMark/>
          </w:tcPr>
          <w:p w14:paraId="2DCE790F" w14:textId="77777777" w:rsidR="0044478E" w:rsidRPr="00747E35" w:rsidRDefault="0044478E" w:rsidP="0083624F">
            <w:pPr>
              <w:pStyle w:val="Tabletext"/>
              <w:numPr>
                <w:ilvl w:val="0"/>
                <w:numId w:val="9"/>
              </w:numPr>
              <w:spacing w:before="0" w:after="0"/>
              <w:rPr>
                <w:rFonts w:cstheme="minorHAnsi"/>
                <w:lang w:eastAsia="en-AU"/>
              </w:rPr>
            </w:pPr>
            <w:r w:rsidRPr="00747E35">
              <w:rPr>
                <w:rFonts w:cstheme="minorHAnsi"/>
                <w:lang w:eastAsia="en-AU"/>
              </w:rPr>
              <w:t xml:space="preserve">Continue to raise awareness of issue with </w:t>
            </w:r>
            <w:r w:rsidRPr="00747E35">
              <w:rPr>
                <w:rFonts w:eastAsiaTheme="minorHAnsi" w:cstheme="minorHAnsi"/>
              </w:rPr>
              <w:t>landholders/managers</w:t>
            </w:r>
          </w:p>
        </w:tc>
      </w:tr>
      <w:tr w:rsidR="0044478E" w:rsidRPr="00747E35" w14:paraId="70A869AE" w14:textId="77777777" w:rsidTr="0044478E">
        <w:trPr>
          <w:trHeight w:val="20"/>
        </w:trPr>
        <w:tc>
          <w:tcPr>
            <w:tcW w:w="2127" w:type="dxa"/>
            <w:shd w:val="clear" w:color="auto" w:fill="auto"/>
            <w:noWrap/>
            <w:hideMark/>
          </w:tcPr>
          <w:p w14:paraId="587198F0"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Introduced aquatic fauna</w:t>
            </w:r>
          </w:p>
        </w:tc>
        <w:tc>
          <w:tcPr>
            <w:tcW w:w="7512" w:type="dxa"/>
            <w:shd w:val="clear" w:color="auto" w:fill="auto"/>
            <w:noWrap/>
            <w:vAlign w:val="bottom"/>
            <w:hideMark/>
          </w:tcPr>
          <w:p w14:paraId="19050548" w14:textId="77777777" w:rsidR="0044478E" w:rsidRPr="00747E35" w:rsidRDefault="0044478E" w:rsidP="0083624F">
            <w:pPr>
              <w:pStyle w:val="Tabletext"/>
              <w:numPr>
                <w:ilvl w:val="0"/>
                <w:numId w:val="9"/>
              </w:numPr>
              <w:spacing w:before="0" w:after="0"/>
              <w:rPr>
                <w:rFonts w:cstheme="minorHAnsi"/>
                <w:lang w:eastAsia="en-AU"/>
              </w:rPr>
            </w:pPr>
            <w:r w:rsidRPr="00747E35">
              <w:rPr>
                <w:rFonts w:cstheme="minorHAnsi"/>
                <w:lang w:eastAsia="en-AU"/>
              </w:rPr>
              <w:t xml:space="preserve">Direct eradication and preventing further spread of </w:t>
            </w:r>
            <w:r w:rsidRPr="00747E35">
              <w:rPr>
                <w:rFonts w:cstheme="minorHAnsi"/>
                <w:i/>
                <w:iCs/>
                <w:lang w:eastAsia="en-AU"/>
              </w:rPr>
              <w:t xml:space="preserve">Gambusia </w:t>
            </w:r>
            <w:r w:rsidRPr="00747E35">
              <w:rPr>
                <w:rFonts w:cstheme="minorHAnsi"/>
                <w:lang w:eastAsia="en-AU"/>
              </w:rPr>
              <w:t xml:space="preserve">and other exotic fauna, including through the control of bores to reduce stream flows in bore drains (which will greatly reduce the habitat for aquatic pests including </w:t>
            </w:r>
            <w:r w:rsidRPr="00747E35">
              <w:rPr>
                <w:rFonts w:cstheme="minorHAnsi"/>
                <w:i/>
                <w:iCs/>
                <w:lang w:eastAsia="en-AU"/>
              </w:rPr>
              <w:t>Gambusia</w:t>
            </w:r>
            <w:r w:rsidRPr="00747E35">
              <w:rPr>
                <w:rFonts w:cstheme="minorHAnsi"/>
                <w:lang w:eastAsia="en-AU"/>
              </w:rPr>
              <w:t>, and reduce their capacity to disperse into spring wetlands)</w:t>
            </w:r>
          </w:p>
        </w:tc>
      </w:tr>
      <w:tr w:rsidR="0044478E" w:rsidRPr="00747E35" w14:paraId="150B4DD6" w14:textId="77777777" w:rsidTr="0044478E">
        <w:trPr>
          <w:trHeight w:val="20"/>
        </w:trPr>
        <w:tc>
          <w:tcPr>
            <w:tcW w:w="2127" w:type="dxa"/>
            <w:shd w:val="clear" w:color="auto" w:fill="auto"/>
            <w:noWrap/>
            <w:hideMark/>
          </w:tcPr>
          <w:p w14:paraId="07EB1FD7"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w:t>
            </w:r>
          </w:p>
        </w:tc>
        <w:tc>
          <w:tcPr>
            <w:tcW w:w="7512" w:type="dxa"/>
            <w:shd w:val="clear" w:color="auto" w:fill="auto"/>
            <w:noWrap/>
            <w:vAlign w:val="bottom"/>
            <w:hideMark/>
          </w:tcPr>
          <w:p w14:paraId="623136AC" w14:textId="77777777" w:rsidR="0044478E" w:rsidRPr="00747E35" w:rsidRDefault="0044478E" w:rsidP="0083624F">
            <w:pPr>
              <w:pStyle w:val="Tabletext"/>
              <w:numPr>
                <w:ilvl w:val="0"/>
                <w:numId w:val="9"/>
              </w:numPr>
              <w:spacing w:before="0" w:after="0"/>
              <w:rPr>
                <w:rFonts w:cstheme="minorHAnsi"/>
                <w:lang w:eastAsia="en-AU"/>
              </w:rPr>
            </w:pPr>
            <w:r w:rsidRPr="00747E35">
              <w:rPr>
                <w:rFonts w:cstheme="minorHAnsi"/>
                <w:lang w:eastAsia="en-AU"/>
              </w:rPr>
              <w:t>Implement protocols to avoid transportation of organisms from one location to another</w:t>
            </w:r>
          </w:p>
        </w:tc>
      </w:tr>
      <w:tr w:rsidR="0044478E" w:rsidRPr="00747E35" w14:paraId="75342531" w14:textId="77777777" w:rsidTr="0044478E">
        <w:trPr>
          <w:trHeight w:val="20"/>
        </w:trPr>
        <w:tc>
          <w:tcPr>
            <w:tcW w:w="2127" w:type="dxa"/>
            <w:shd w:val="clear" w:color="auto" w:fill="auto"/>
            <w:noWrap/>
          </w:tcPr>
          <w:p w14:paraId="6DB5CD0D" w14:textId="77777777" w:rsidR="0044478E" w:rsidRPr="00747E35" w:rsidRDefault="0044478E" w:rsidP="0044478E">
            <w:pPr>
              <w:pStyle w:val="Tabletext"/>
              <w:spacing w:before="0" w:after="0"/>
              <w:rPr>
                <w:rFonts w:cstheme="minorHAnsi"/>
                <w:lang w:eastAsia="en-AU"/>
              </w:rPr>
            </w:pPr>
          </w:p>
        </w:tc>
        <w:tc>
          <w:tcPr>
            <w:tcW w:w="7512" w:type="dxa"/>
            <w:shd w:val="clear" w:color="auto" w:fill="auto"/>
            <w:noWrap/>
            <w:vAlign w:val="bottom"/>
          </w:tcPr>
          <w:p w14:paraId="72886268" w14:textId="77777777" w:rsidR="0044478E" w:rsidRPr="00747E35" w:rsidRDefault="0044478E" w:rsidP="0083624F">
            <w:pPr>
              <w:pStyle w:val="Tabletext"/>
              <w:numPr>
                <w:ilvl w:val="0"/>
                <w:numId w:val="9"/>
              </w:numPr>
              <w:spacing w:before="0" w:after="0"/>
              <w:rPr>
                <w:rFonts w:cstheme="minorHAnsi"/>
                <w:lang w:eastAsia="en-AU"/>
              </w:rPr>
            </w:pPr>
            <w:r w:rsidRPr="00747E35">
              <w:rPr>
                <w:rFonts w:cstheme="minorHAnsi"/>
              </w:rPr>
              <w:t>Surveillance and biosecurity hotspots</w:t>
            </w:r>
          </w:p>
        </w:tc>
      </w:tr>
      <w:tr w:rsidR="0044478E" w:rsidRPr="00747E35" w14:paraId="55BF3829" w14:textId="77777777" w:rsidTr="0044478E">
        <w:trPr>
          <w:trHeight w:val="20"/>
        </w:trPr>
        <w:tc>
          <w:tcPr>
            <w:tcW w:w="2127" w:type="dxa"/>
            <w:shd w:val="clear" w:color="auto" w:fill="auto"/>
            <w:noWrap/>
          </w:tcPr>
          <w:p w14:paraId="6C83BAEA" w14:textId="77777777" w:rsidR="0044478E" w:rsidRPr="00747E35" w:rsidRDefault="0044478E" w:rsidP="0044478E">
            <w:pPr>
              <w:pStyle w:val="Tabletext"/>
              <w:spacing w:before="0" w:after="0"/>
              <w:rPr>
                <w:rFonts w:cstheme="minorHAnsi"/>
                <w:lang w:eastAsia="en-AU"/>
              </w:rPr>
            </w:pPr>
          </w:p>
        </w:tc>
        <w:tc>
          <w:tcPr>
            <w:tcW w:w="7512" w:type="dxa"/>
            <w:shd w:val="clear" w:color="auto" w:fill="auto"/>
            <w:noWrap/>
            <w:vAlign w:val="bottom"/>
          </w:tcPr>
          <w:p w14:paraId="14A6956D" w14:textId="77777777" w:rsidR="0044478E" w:rsidRPr="00747E35" w:rsidRDefault="0044478E" w:rsidP="0083624F">
            <w:pPr>
              <w:pStyle w:val="Tabletext"/>
              <w:numPr>
                <w:ilvl w:val="0"/>
                <w:numId w:val="9"/>
              </w:numPr>
              <w:spacing w:before="0" w:after="0"/>
              <w:rPr>
                <w:rFonts w:cstheme="minorHAnsi"/>
                <w:lang w:eastAsia="en-AU"/>
              </w:rPr>
            </w:pPr>
            <w:r w:rsidRPr="00747E35">
              <w:rPr>
                <w:rFonts w:cstheme="minorHAnsi"/>
              </w:rPr>
              <w:t>Education</w:t>
            </w:r>
          </w:p>
        </w:tc>
      </w:tr>
      <w:tr w:rsidR="0044478E" w:rsidRPr="00747E35" w14:paraId="597BCC17" w14:textId="77777777" w:rsidTr="0044478E">
        <w:trPr>
          <w:trHeight w:val="20"/>
        </w:trPr>
        <w:tc>
          <w:tcPr>
            <w:tcW w:w="2127" w:type="dxa"/>
            <w:tcBorders>
              <w:bottom w:val="single" w:sz="4" w:space="0" w:color="auto"/>
            </w:tcBorders>
            <w:shd w:val="clear" w:color="auto" w:fill="auto"/>
            <w:noWrap/>
            <w:hideMark/>
          </w:tcPr>
          <w:p w14:paraId="23DA5443"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w:t>
            </w:r>
          </w:p>
        </w:tc>
        <w:tc>
          <w:tcPr>
            <w:tcW w:w="7512" w:type="dxa"/>
            <w:tcBorders>
              <w:bottom w:val="single" w:sz="4" w:space="0" w:color="auto"/>
            </w:tcBorders>
            <w:shd w:val="clear" w:color="auto" w:fill="auto"/>
            <w:noWrap/>
            <w:vAlign w:val="bottom"/>
            <w:hideMark/>
          </w:tcPr>
          <w:p w14:paraId="09DF603D" w14:textId="77777777" w:rsidR="0044478E" w:rsidRPr="00747E35" w:rsidRDefault="0044478E" w:rsidP="0083624F">
            <w:pPr>
              <w:pStyle w:val="Tabletext"/>
              <w:numPr>
                <w:ilvl w:val="0"/>
                <w:numId w:val="9"/>
              </w:numPr>
              <w:spacing w:before="0" w:after="0"/>
              <w:rPr>
                <w:rFonts w:cstheme="minorHAnsi"/>
                <w:lang w:eastAsia="en-AU"/>
              </w:rPr>
            </w:pPr>
            <w:r w:rsidRPr="00747E35">
              <w:rPr>
                <w:rFonts w:cstheme="minorHAnsi"/>
              </w:rPr>
              <w:t>Chemical control (e.g. rotenone)</w:t>
            </w:r>
          </w:p>
        </w:tc>
      </w:tr>
      <w:tr w:rsidR="0044478E" w:rsidRPr="00747E35" w14:paraId="40C9B14A" w14:textId="77777777" w:rsidTr="0044478E">
        <w:trPr>
          <w:trHeight w:val="20"/>
        </w:trPr>
        <w:tc>
          <w:tcPr>
            <w:tcW w:w="2127" w:type="dxa"/>
            <w:tcBorders>
              <w:top w:val="single" w:sz="4" w:space="0" w:color="auto"/>
              <w:bottom w:val="single" w:sz="4" w:space="0" w:color="auto"/>
            </w:tcBorders>
            <w:shd w:val="clear" w:color="auto" w:fill="auto"/>
            <w:noWrap/>
            <w:hideMark/>
          </w:tcPr>
          <w:p w14:paraId="7D517694" w14:textId="77777777" w:rsidR="0044478E" w:rsidRPr="00747E35" w:rsidRDefault="0044478E" w:rsidP="0044478E">
            <w:pPr>
              <w:pStyle w:val="Tabletext"/>
              <w:spacing w:before="0" w:after="0"/>
              <w:rPr>
                <w:rFonts w:cstheme="minorHAnsi"/>
                <w:lang w:eastAsia="en-AU"/>
              </w:rPr>
            </w:pPr>
            <w:r w:rsidRPr="00747E35">
              <w:rPr>
                <w:rFonts w:cstheme="minorHAnsi"/>
                <w:lang w:eastAsia="en-AU"/>
              </w:rPr>
              <w:t> Climate change</w:t>
            </w:r>
          </w:p>
        </w:tc>
        <w:tc>
          <w:tcPr>
            <w:tcW w:w="7512" w:type="dxa"/>
            <w:tcBorders>
              <w:top w:val="single" w:sz="4" w:space="0" w:color="auto"/>
              <w:bottom w:val="single" w:sz="4" w:space="0" w:color="auto"/>
            </w:tcBorders>
            <w:shd w:val="clear" w:color="auto" w:fill="auto"/>
            <w:noWrap/>
            <w:vAlign w:val="bottom"/>
            <w:hideMark/>
          </w:tcPr>
          <w:p w14:paraId="393EFF02" w14:textId="77777777" w:rsidR="0044478E" w:rsidRPr="00747E35" w:rsidRDefault="0044478E" w:rsidP="0083624F">
            <w:pPr>
              <w:pStyle w:val="Tabletext"/>
              <w:numPr>
                <w:ilvl w:val="0"/>
                <w:numId w:val="9"/>
              </w:numPr>
              <w:spacing w:before="0" w:after="0"/>
              <w:rPr>
                <w:rFonts w:cstheme="minorHAnsi"/>
                <w:lang w:eastAsia="en-AU"/>
              </w:rPr>
            </w:pPr>
            <w:r w:rsidRPr="00747E35">
              <w:rPr>
                <w:rFonts w:cstheme="minorHAnsi"/>
                <w:lang w:eastAsia="en-AU"/>
              </w:rPr>
              <w:t>Reduce intensity of other threats (e.g. relocate stock water supply bores)</w:t>
            </w:r>
          </w:p>
        </w:tc>
      </w:tr>
    </w:tbl>
    <w:p w14:paraId="14A33B41" w14:textId="77777777" w:rsidR="0044478E" w:rsidRPr="00747E35" w:rsidRDefault="0044478E" w:rsidP="0044478E">
      <w:pPr>
        <w:rPr>
          <w:rFonts w:asciiTheme="minorHAnsi" w:hAnsiTheme="minorHAnsi" w:cstheme="minorHAnsi"/>
        </w:rPr>
      </w:pPr>
    </w:p>
    <w:p w14:paraId="5524D825" w14:textId="7CFE1752" w:rsidR="0044478E" w:rsidRPr="00747E35" w:rsidRDefault="0044478E" w:rsidP="0044478E">
      <w:pPr>
        <w:tabs>
          <w:tab w:val="left" w:pos="5565"/>
        </w:tabs>
        <w:spacing w:after="0"/>
        <w:rPr>
          <w:rFonts w:asciiTheme="minorHAnsi" w:hAnsiTheme="minorHAnsi" w:cstheme="minorHAnsi"/>
        </w:rPr>
      </w:pPr>
      <w:r w:rsidRPr="00747E35">
        <w:rPr>
          <w:rFonts w:asciiTheme="minorHAnsi" w:hAnsiTheme="minorHAnsi" w:cstheme="minorHAnsi"/>
        </w:rPr>
        <w:t>Different management actions will likely be needed to achieve the conservation goals (e.g. protection, threat mitigation, rehabilitation), and therefore monetary estimates of management cost should ideally be linked to decision-making concerning which management actions to implement in which places (e.g. Firn et al. 2015</w:t>
      </w:r>
      <w:r w:rsidR="001737C6">
        <w:rPr>
          <w:rFonts w:asciiTheme="minorHAnsi" w:hAnsiTheme="minorHAnsi" w:cstheme="minorHAnsi"/>
        </w:rPr>
        <w:t>c</w:t>
      </w:r>
      <w:r w:rsidRPr="00747E35">
        <w:rPr>
          <w:rFonts w:asciiTheme="minorHAnsi" w:hAnsiTheme="minorHAnsi" w:cstheme="minorHAnsi"/>
        </w:rPr>
        <w:t>).  The incorporation of realistic and spatially explicit cost estimates for different management actions would allow cost–benefit trade-offs to identify the most efficient combination of actions and where they should be spatially prioritised to achieve the conservat</w:t>
      </w:r>
      <w:r w:rsidR="001737C6">
        <w:rPr>
          <w:rFonts w:asciiTheme="minorHAnsi" w:hAnsiTheme="minorHAnsi" w:cstheme="minorHAnsi"/>
        </w:rPr>
        <w:t>ion goals (Carwardine et al</w:t>
      </w:r>
      <w:r w:rsidR="005E04D7">
        <w:rPr>
          <w:rFonts w:asciiTheme="minorHAnsi" w:hAnsiTheme="minorHAnsi" w:cstheme="minorHAnsi"/>
        </w:rPr>
        <w:t>.</w:t>
      </w:r>
      <w:r w:rsidR="001737C6">
        <w:rPr>
          <w:rFonts w:asciiTheme="minorHAnsi" w:hAnsiTheme="minorHAnsi" w:cstheme="minorHAnsi"/>
        </w:rPr>
        <w:t xml:space="preserve"> 2012</w:t>
      </w:r>
      <w:r w:rsidRPr="00747E35">
        <w:rPr>
          <w:rFonts w:asciiTheme="minorHAnsi" w:hAnsiTheme="minorHAnsi" w:cstheme="minorHAnsi"/>
        </w:rPr>
        <w:t xml:space="preserve">). However, the cost of each management action must include an estimate of each action’s efficacy, which usually relies on expert knowledge and information regarding the ecology of the species in question (e.g. Cattarino et al. </w:t>
      </w:r>
      <w:r w:rsidRPr="00747E35">
        <w:rPr>
          <w:rFonts w:asciiTheme="minorHAnsi" w:hAnsiTheme="minorHAnsi" w:cstheme="minorHAnsi"/>
        </w:rPr>
        <w:lastRenderedPageBreak/>
        <w:t xml:space="preserve">2016).  More objectively derived estimates of conservation benefits that are gained through monitoring programs could help increase the efficacy of a management plan.  Adaptive management plans, where information is gained through well-defined monitoring programs (see </w:t>
      </w:r>
      <w:r w:rsidR="00623F21" w:rsidRPr="00747E35">
        <w:rPr>
          <w:rFonts w:asciiTheme="minorHAnsi" w:hAnsiTheme="minorHAnsi" w:cstheme="minorHAnsi"/>
        </w:rPr>
        <w:t xml:space="preserve">Section </w:t>
      </w:r>
      <w:r w:rsidR="004C011D">
        <w:rPr>
          <w:rFonts w:asciiTheme="minorHAnsi" w:hAnsiTheme="minorHAnsi" w:cstheme="minorHAnsi"/>
        </w:rPr>
        <w:t>6</w:t>
      </w:r>
      <w:r w:rsidRPr="00747E35">
        <w:rPr>
          <w:rFonts w:asciiTheme="minorHAnsi" w:hAnsiTheme="minorHAnsi" w:cstheme="minorHAnsi"/>
        </w:rPr>
        <w:t xml:space="preserve"> Summary: application of the research and implications) in the early stages of the plan or from previous experiences, can be incorporated in the decision-making process and would greatly improve the cost-efficiency of conservation management.  The basin-wide assessment presented here represents an opportunity to prioritise such monitoring at complexes where the diversity of vulnerable taxa is high and the cumulative exposure to threatening processes is high.</w:t>
      </w:r>
    </w:p>
    <w:p w14:paraId="0184F1BD" w14:textId="77777777" w:rsidR="0044478E" w:rsidRPr="00747E35" w:rsidRDefault="0044478E" w:rsidP="0044478E">
      <w:pPr>
        <w:tabs>
          <w:tab w:val="left" w:pos="5565"/>
        </w:tabs>
        <w:spacing w:after="0"/>
        <w:rPr>
          <w:rFonts w:asciiTheme="minorHAnsi" w:hAnsiTheme="minorHAnsi" w:cstheme="minorHAnsi"/>
        </w:rPr>
      </w:pPr>
    </w:p>
    <w:p w14:paraId="643AA185" w14:textId="79E2CD2C" w:rsidR="0044478E" w:rsidRPr="00747E35" w:rsidRDefault="0044478E" w:rsidP="0044478E">
      <w:pPr>
        <w:tabs>
          <w:tab w:val="left" w:pos="5565"/>
        </w:tabs>
        <w:spacing w:after="0"/>
        <w:rPr>
          <w:rFonts w:asciiTheme="minorHAnsi" w:hAnsiTheme="minorHAnsi" w:cstheme="minorHAnsi"/>
        </w:rPr>
      </w:pPr>
      <w:r w:rsidRPr="00747E35">
        <w:rPr>
          <w:rFonts w:asciiTheme="minorHAnsi" w:hAnsiTheme="minorHAnsi" w:cstheme="minorHAnsi"/>
        </w:rPr>
        <w:t>Biodiversity offsets have developed as a mitigation measure and economic instrument to compensate for biodiversity losses from development.  The foundation of offsetting logic is that equivalent gains can be made elsewhere, once avoidance and mitigation strategies have been exhausted through the environmental impact assessment process (</w:t>
      </w:r>
      <w:r w:rsidR="001737C6" w:rsidRPr="00A11A34">
        <w:rPr>
          <w:rFonts w:asciiTheme="minorHAnsi" w:hAnsiTheme="minorHAnsi"/>
        </w:rPr>
        <w:t xml:space="preserve">Gibbons </w:t>
      </w:r>
      <w:r w:rsidR="001737C6">
        <w:rPr>
          <w:rFonts w:asciiTheme="minorHAnsi" w:hAnsiTheme="minorHAnsi"/>
        </w:rPr>
        <w:t xml:space="preserve">2012, </w:t>
      </w:r>
      <w:r w:rsidRPr="00747E35">
        <w:rPr>
          <w:rFonts w:asciiTheme="minorHAnsi" w:hAnsiTheme="minorHAnsi" w:cstheme="minorHAnsi"/>
        </w:rPr>
        <w:t xml:space="preserve">Bull et al. 2013, Maron et al. 2016).  However, we do not consider ‘biodiversity offsets’ as an effective risk management strategy for springs exposed to current or future threats.  This is because many taxa endemic to GAB springs have extremely restricted distributions (i.e. occur in only a single spring – see </w:t>
      </w:r>
      <w:r w:rsidRPr="00747E35">
        <w:rPr>
          <w:rFonts w:asciiTheme="minorHAnsi" w:hAnsiTheme="minorHAnsi" w:cstheme="minorHAnsi"/>
        </w:rPr>
        <w:fldChar w:fldCharType="begin"/>
      </w:r>
      <w:r w:rsidRPr="00747E35">
        <w:rPr>
          <w:rFonts w:asciiTheme="minorHAnsi" w:hAnsiTheme="minorHAnsi" w:cstheme="minorHAnsi"/>
        </w:rPr>
        <w:instrText xml:space="preserve"> REF _Ref466443332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141</w:t>
      </w:r>
      <w:r w:rsidRPr="00747E35">
        <w:rPr>
          <w:rFonts w:asciiTheme="minorHAnsi" w:hAnsiTheme="minorHAnsi" w:cstheme="minorHAnsi"/>
        </w:rPr>
        <w:fldChar w:fldCharType="end"/>
      </w:r>
      <w:r w:rsidRPr="00747E35">
        <w:rPr>
          <w:rFonts w:asciiTheme="minorHAnsi" w:hAnsiTheme="minorHAnsi" w:cstheme="minorHAnsi"/>
        </w:rPr>
        <w:t xml:space="preserve">) and thus there are no other ‘equivalent’ springs that could be conserved or managed to protect lost species. In these cases, ‘managed relocation’ of species at high risk of exposure to threats may be considered a candidate management action to avoid species extinction.  However this management approach is not without considerable challenges for conserving freshwater species (see Olden et al. 2011). In the GAB systems captive breeding had little success (e.g. failure to maintain captive bred populations of red-finned blue-eye; see Fairfax et al. 2007), and like managed relocations, will remain a risky measure to rely upon without better knowledge concerning the life-history, ecology and environmental requirements of threatened species. </w:t>
      </w:r>
    </w:p>
    <w:p w14:paraId="38535E8F" w14:textId="77777777" w:rsidR="0044478E" w:rsidRPr="00747E35" w:rsidRDefault="0044478E" w:rsidP="0044478E">
      <w:pPr>
        <w:rPr>
          <w:rFonts w:asciiTheme="minorHAnsi" w:hAnsiTheme="minorHAnsi" w:cstheme="minorHAnsi"/>
        </w:rPr>
      </w:pPr>
    </w:p>
    <w:p w14:paraId="715F60D3" w14:textId="77777777" w:rsidR="0044478E" w:rsidRPr="00747E35" w:rsidRDefault="0044478E" w:rsidP="0044478E">
      <w:pPr>
        <w:pStyle w:val="Heading4"/>
        <w:rPr>
          <w:rFonts w:asciiTheme="minorHAnsi" w:hAnsiTheme="minorHAnsi" w:cstheme="minorHAnsi"/>
        </w:rPr>
      </w:pPr>
      <w:r w:rsidRPr="00747E35">
        <w:rPr>
          <w:rFonts w:asciiTheme="minorHAnsi" w:hAnsiTheme="minorHAnsi" w:cstheme="minorHAnsi"/>
        </w:rPr>
        <w:t>Assumptions, challenges, and future directions</w:t>
      </w:r>
    </w:p>
    <w:p w14:paraId="7312666D"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 xml:space="preserve">There are several limitations and assumptions of the cumulative risk assessment approach used here that are common to most spatially explicit cumulative risk assessments (reviewed in Halpern and Fujita 2013).  The most relevant to our study include: </w:t>
      </w:r>
    </w:p>
    <w:p w14:paraId="23F05378" w14:textId="77777777" w:rsidR="0044478E" w:rsidRPr="00747E35" w:rsidRDefault="0044478E" w:rsidP="0083624F">
      <w:pPr>
        <w:pStyle w:val="ListParagraph"/>
        <w:numPr>
          <w:ilvl w:val="0"/>
          <w:numId w:val="24"/>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i/>
        </w:rPr>
        <w:t>Threat layers are assumed to be of equal importance</w:t>
      </w:r>
      <w:r w:rsidRPr="00747E35">
        <w:rPr>
          <w:rFonts w:asciiTheme="minorHAnsi" w:hAnsiTheme="minorHAnsi" w:cstheme="minorHAnsi"/>
        </w:rPr>
        <w:t xml:space="preserve">.  Decisions about which threats to include in the assessment, and how to combine or split related threats, can have important implications for how much of a potential impact any given threat or group of threats can contribute to overall cumulative risk. We used expert knowledge to combine individual threat layers into meaningful groups that directly corresponded to the major threatening processes identified in the literature as affecting spring endemic species. </w:t>
      </w:r>
    </w:p>
    <w:p w14:paraId="55BEDD69" w14:textId="72082358" w:rsidR="0044478E" w:rsidRPr="00747E35" w:rsidRDefault="0044478E" w:rsidP="0083624F">
      <w:pPr>
        <w:pStyle w:val="ListParagraph"/>
        <w:numPr>
          <w:ilvl w:val="0"/>
          <w:numId w:val="24"/>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i/>
        </w:rPr>
        <w:t>Appropriate characterisation of threat exposure</w:t>
      </w:r>
      <w:r w:rsidRPr="00747E35">
        <w:rPr>
          <w:rFonts w:asciiTheme="minorHAnsi" w:hAnsiTheme="minorHAnsi" w:cstheme="minorHAnsi"/>
        </w:rPr>
        <w:t xml:space="preserve">. This is dependent on such factors as: the accuracy, currency and spatial grain size of the individual threat data layers, the appropriate choice of spatial extent of threats relative to springs/complexes for calculation of exposure (this necessarily varied with each threat layer – see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_Ref453232966 \h </w:instrText>
      </w:r>
      <w:r w:rsidR="000E4B99" w:rsidRPr="00747E35">
        <w:rPr>
          <w:rFonts w:asciiTheme="minorHAnsi" w:hAnsiTheme="minorHAnsi" w:cstheme="minorHAnsi"/>
        </w:rPr>
        <w:instrText xml:space="preserve">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Table </w:t>
      </w:r>
      <w:r w:rsidR="00D023DD" w:rsidRPr="00D023DD">
        <w:rPr>
          <w:rFonts w:asciiTheme="minorHAnsi" w:hAnsiTheme="minorHAnsi" w:cstheme="minorHAnsi"/>
          <w:noProof/>
        </w:rPr>
        <w:t>41</w:t>
      </w:r>
      <w:r w:rsidRPr="00747E35">
        <w:rPr>
          <w:rFonts w:asciiTheme="minorHAnsi" w:hAnsiTheme="minorHAnsi" w:cstheme="minorHAnsi"/>
        </w:rPr>
        <w:fldChar w:fldCharType="end"/>
      </w:r>
      <w:r w:rsidRPr="00747E35">
        <w:rPr>
          <w:rFonts w:asciiTheme="minorHAnsi" w:hAnsiTheme="minorHAnsi" w:cstheme="minorHAnsi"/>
        </w:rPr>
        <w:t xml:space="preserve">), and the methods used for integration of individual data layers within each threat type and their subsequent transformation. </w:t>
      </w:r>
    </w:p>
    <w:p w14:paraId="1640F58A" w14:textId="77777777" w:rsidR="0044478E" w:rsidRPr="00747E35" w:rsidRDefault="0044478E" w:rsidP="0083624F">
      <w:pPr>
        <w:pStyle w:val="ListParagraph"/>
        <w:numPr>
          <w:ilvl w:val="0"/>
          <w:numId w:val="24"/>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i/>
        </w:rPr>
        <w:t>Accurate estimation of species distributions</w:t>
      </w:r>
      <w:r w:rsidRPr="00747E35">
        <w:rPr>
          <w:rFonts w:asciiTheme="minorHAnsi" w:hAnsiTheme="minorHAnsi" w:cstheme="minorHAnsi"/>
        </w:rPr>
        <w:t xml:space="preserve">.  Our taxon distribution data represented the best available and most up-to-date information available on the presence-absence of taxa across spring complexes (see earlier section). </w:t>
      </w:r>
    </w:p>
    <w:p w14:paraId="5518744A" w14:textId="77777777" w:rsidR="0044478E" w:rsidRPr="00747E35" w:rsidRDefault="0044478E" w:rsidP="0083624F">
      <w:pPr>
        <w:pStyle w:val="ListParagraph"/>
        <w:numPr>
          <w:ilvl w:val="0"/>
          <w:numId w:val="24"/>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i/>
        </w:rPr>
        <w:t>Transforming and normalizing threat layers</w:t>
      </w:r>
      <w:r w:rsidRPr="00747E35">
        <w:rPr>
          <w:rFonts w:asciiTheme="minorHAnsi" w:hAnsiTheme="minorHAnsi" w:cstheme="minorHAnsi"/>
        </w:rPr>
        <w:t>.  This was required so that very different kinds of threat data layers with variable distributions and unique measurement units could be compared to each other.  However, decisions about if or how to transform (which determines whether skew in data is preserved, minimized or removed altogether) and whether or not to normalize (resulting in every other intensity value for the stressor being rescaled to the maximum value) the data layers may have important but unevaluated consequences for the resulting risk assessment.</w:t>
      </w:r>
    </w:p>
    <w:p w14:paraId="26322DD3" w14:textId="77777777" w:rsidR="0044478E" w:rsidRPr="00747E35" w:rsidRDefault="0044478E" w:rsidP="0083624F">
      <w:pPr>
        <w:pStyle w:val="ListParagraph"/>
        <w:numPr>
          <w:ilvl w:val="0"/>
          <w:numId w:val="24"/>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i/>
        </w:rPr>
        <w:lastRenderedPageBreak/>
        <w:t>Linear response of species to threats</w:t>
      </w:r>
      <w:r w:rsidRPr="00747E35">
        <w:rPr>
          <w:rFonts w:asciiTheme="minorHAnsi" w:hAnsiTheme="minorHAnsi" w:cstheme="minorHAnsi"/>
        </w:rPr>
        <w:t>. Our cumulative risk assessment relied on assumptions of linear and additive responses of species to increasing intensity of threats. However, threshold or non-linear responses to intense or cumulative stress are also possible but are difficult to quantify.</w:t>
      </w:r>
    </w:p>
    <w:p w14:paraId="6E14C38D" w14:textId="77777777" w:rsidR="0044478E" w:rsidRPr="00747E35" w:rsidRDefault="0044478E" w:rsidP="0083624F">
      <w:pPr>
        <w:pStyle w:val="ListParagraph"/>
        <w:numPr>
          <w:ilvl w:val="0"/>
          <w:numId w:val="24"/>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i/>
        </w:rPr>
        <w:t>Consistent species responses</w:t>
      </w:r>
      <w:r w:rsidRPr="00747E35">
        <w:rPr>
          <w:rFonts w:asciiTheme="minorHAnsi" w:hAnsiTheme="minorHAnsi" w:cstheme="minorHAnsi"/>
        </w:rPr>
        <w:t>. The development and application of the vulnerability weights that defined how each species responds to a particular threat requires a fundamental assumption that all individuals (within a taxon) respond the same way to a threat, and that any given individual responds in the same way at all points in time.</w:t>
      </w:r>
    </w:p>
    <w:p w14:paraId="2D9EF880" w14:textId="77777777" w:rsidR="0044478E" w:rsidRPr="00747E35" w:rsidRDefault="0044478E" w:rsidP="0083624F">
      <w:pPr>
        <w:pStyle w:val="ListParagraph"/>
        <w:numPr>
          <w:ilvl w:val="0"/>
          <w:numId w:val="24"/>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i/>
        </w:rPr>
        <w:t>Vulnerability weights are sufficiently accurate</w:t>
      </w:r>
      <w:r w:rsidRPr="00747E35">
        <w:rPr>
          <w:rFonts w:asciiTheme="minorHAnsi" w:hAnsiTheme="minorHAnsi" w:cstheme="minorHAnsi"/>
        </w:rPr>
        <w:t>. Extremely limited available knowledge required that expert judgement was used to estimate taxon vulnerability to threats. We assumed our estimates to be representative and accurate and we explicitly represented the certainty of our estimates. However, the estimates be could be refined through surveying a broader pool of experts and improving the approach to estimating and representing uncertainty (e.g. see McBride et al. 2012).</w:t>
      </w:r>
    </w:p>
    <w:p w14:paraId="46B01F24" w14:textId="77777777" w:rsidR="0044478E" w:rsidRPr="00747E35" w:rsidRDefault="0044478E" w:rsidP="0083624F">
      <w:pPr>
        <w:pStyle w:val="ListParagraph"/>
        <w:numPr>
          <w:ilvl w:val="0"/>
          <w:numId w:val="24"/>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i/>
        </w:rPr>
        <w:t>Linear response of species to cumulative threats</w:t>
      </w:r>
      <w:r w:rsidRPr="00747E35">
        <w:rPr>
          <w:rFonts w:asciiTheme="minorHAnsi" w:hAnsiTheme="minorHAnsi" w:cstheme="minorHAnsi"/>
        </w:rPr>
        <w:t>. We assumed linear responses of species to increasing intensity of threats. However, threshold or non-linear responses to intense or cumulative stress are also possible (e.g. Poff et al. 2010) but are difficult to quantify due to lack of knowledge.</w:t>
      </w:r>
    </w:p>
    <w:p w14:paraId="6DA77D58" w14:textId="77777777" w:rsidR="0044478E" w:rsidRPr="00747E35" w:rsidRDefault="0044478E" w:rsidP="0083624F">
      <w:pPr>
        <w:pStyle w:val="ListParagraph"/>
        <w:numPr>
          <w:ilvl w:val="0"/>
          <w:numId w:val="24"/>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i/>
        </w:rPr>
        <w:t>Additive model</w:t>
      </w:r>
      <w:r w:rsidRPr="00747E35">
        <w:rPr>
          <w:rFonts w:asciiTheme="minorHAnsi" w:hAnsiTheme="minorHAnsi" w:cstheme="minorHAnsi"/>
        </w:rPr>
        <w:t>. We assumed additive responses of species to increasing numbers of threats. We did not consider responses to interactions among threats (i.e. antagonistic or synergistic – see Brown et al. 2014) due to the rapidly escalating complexity and uncertainty in eliciting those responses for more than one threat at a time.</w:t>
      </w:r>
    </w:p>
    <w:p w14:paraId="57D1D221"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The assumptions described above were necessary due to the challenges arising from data limitations and knowledge uncertainties.  Many additional challenges remain that are common to most cumulative risk assessment approaches.  For example, characterising some of the major threatening processes was challenging in our study because of missing or imperfect data and some threats lacked direct measures so surrogates were used instead (e.g. data on surrounding bore density and existing coal and petroleum mining production activity near spring complexes were used as indirect measures of potential for local and regional groundwater drawdown).  We also assumed that threats were fixed in space and time as we had little knowledge of how threats may propagate across the landscape, or how they may vary in intensity and distribution historically.  Collectively, these factors may have had a bearing on our risk assessment results, given we used static present-day threat exposure data.</w:t>
      </w:r>
    </w:p>
    <w:p w14:paraId="277720B2" w14:textId="77777777" w:rsidR="0044478E" w:rsidRPr="00747E35" w:rsidRDefault="0044478E" w:rsidP="0044478E">
      <w:pPr>
        <w:rPr>
          <w:rFonts w:asciiTheme="minorHAnsi" w:hAnsiTheme="minorHAnsi" w:cstheme="minorHAnsi"/>
        </w:rPr>
      </w:pPr>
      <w:r w:rsidRPr="00747E35">
        <w:rPr>
          <w:rFonts w:asciiTheme="minorHAnsi" w:hAnsiTheme="minorHAnsi" w:cstheme="minorHAnsi"/>
        </w:rPr>
        <w:t>Notwithstanding these assumptions, our assessment of the cumulative risks posed by groundwater drawdown and other threats to GAB springs and their endemic species is the most up-to-date, comprehensive (in terms of spatial extent, number of threatening processes and number of taxa assessed), ecologically relevant (as it is species-focussed and explicitly incorporates ecological-response mechanisms with a solid grounding in ecological theory), quantitative (i.e. uses continuous data to estimate exposure and risk instead of qualitative and discretised risk ratings) and scientifically robust (incorporates uncertainty and uses a transparent, repeatable and well established method supported by recent high quality scientific literature), yet undertaken.</w:t>
      </w:r>
    </w:p>
    <w:p w14:paraId="202E04F0" w14:textId="2B86D486" w:rsidR="0044478E" w:rsidRPr="00747E35" w:rsidRDefault="0044478E" w:rsidP="0044478E">
      <w:pPr>
        <w:rPr>
          <w:rFonts w:asciiTheme="minorHAnsi" w:hAnsiTheme="minorHAnsi" w:cstheme="minorHAnsi"/>
        </w:rPr>
      </w:pPr>
      <w:r w:rsidRPr="00747E35">
        <w:rPr>
          <w:rFonts w:asciiTheme="minorHAnsi" w:hAnsiTheme="minorHAnsi" w:cstheme="minorHAnsi"/>
        </w:rPr>
        <w:t>Our cumulative risk assessment of GAB endemic species could be extended and improved in a number of ways.  The assessment was made for 96 taxa from five groups of organisms endemic to the GAB (fishes, molluscs, amphipods, isopods and plants).  As more reliable data become available, the approach could be readily extended to include other non-endemic taxa for which GAB springs are nevertheless an important habitat and for other major groups of organisms (see previous section).  It would also be relatively straightforward to assess species’ vulnerability and risks to projected future environmental changes associated with climate change and groundwater development (e.g. using the approach outlined in Halpern et al. (2015) and the modelled threat scenario projections available from the Great Artesian Basin Water Resource</w:t>
      </w:r>
      <w:r w:rsidR="00AB6396">
        <w:rPr>
          <w:rFonts w:asciiTheme="minorHAnsi" w:hAnsiTheme="minorHAnsi" w:cstheme="minorHAnsi"/>
        </w:rPr>
        <w:t xml:space="preserve"> Assessment</w:t>
      </w:r>
      <w:r w:rsidRPr="00747E35">
        <w:rPr>
          <w:rFonts w:asciiTheme="minorHAnsi" w:hAnsiTheme="minorHAnsi" w:cstheme="minorHAnsi"/>
        </w:rPr>
        <w:t xml:space="preserve"> (Welsh et al. 2012)).</w:t>
      </w:r>
    </w:p>
    <w:p w14:paraId="20802E7A" w14:textId="77777777" w:rsidR="0044478E" w:rsidRPr="00747E35" w:rsidRDefault="0044478E" w:rsidP="0044478E">
      <w:pPr>
        <w:rPr>
          <w:rFonts w:asciiTheme="minorHAnsi" w:hAnsiTheme="minorHAnsi" w:cstheme="minorHAnsi"/>
        </w:rPr>
      </w:pPr>
    </w:p>
    <w:p w14:paraId="7083B624" w14:textId="6B7E8CC5" w:rsidR="0044478E" w:rsidRPr="00747E35" w:rsidRDefault="0044478E" w:rsidP="0044478E">
      <w:pPr>
        <w:pStyle w:val="Heading3"/>
        <w:rPr>
          <w:rFonts w:asciiTheme="minorHAnsi" w:hAnsiTheme="minorHAnsi" w:cstheme="minorHAnsi"/>
        </w:rPr>
      </w:pPr>
      <w:bookmarkStart w:id="443" w:name="_Toc467244829"/>
      <w:bookmarkStart w:id="444" w:name="_Toc470004912"/>
      <w:r w:rsidRPr="00747E35">
        <w:rPr>
          <w:rFonts w:asciiTheme="minorHAnsi" w:hAnsiTheme="minorHAnsi" w:cstheme="minorHAnsi"/>
        </w:rPr>
        <w:lastRenderedPageBreak/>
        <w:t>Key findings</w:t>
      </w:r>
      <w:bookmarkEnd w:id="443"/>
      <w:bookmarkEnd w:id="444"/>
    </w:p>
    <w:p w14:paraId="07EF6949" w14:textId="20DDB22A" w:rsidR="0044478E" w:rsidRPr="00747E35" w:rsidRDefault="0044478E" w:rsidP="0044478E">
      <w:pPr>
        <w:rPr>
          <w:rFonts w:asciiTheme="minorHAnsi" w:hAnsiTheme="minorHAnsi" w:cstheme="minorHAnsi"/>
        </w:rPr>
      </w:pPr>
      <w:r w:rsidRPr="00747E35">
        <w:rPr>
          <w:rFonts w:asciiTheme="minorHAnsi" w:hAnsiTheme="minorHAnsi" w:cstheme="minorHAnsi"/>
        </w:rPr>
        <w:t xml:space="preserve">To conclude this section, we present three </w:t>
      </w:r>
      <w:r w:rsidR="00C55603">
        <w:rPr>
          <w:rFonts w:asciiTheme="minorHAnsi" w:hAnsiTheme="minorHAnsi" w:cstheme="minorHAnsi"/>
        </w:rPr>
        <w:t>areas,</w:t>
      </w:r>
      <w:r w:rsidRPr="00747E35">
        <w:rPr>
          <w:rFonts w:asciiTheme="minorHAnsi" w:hAnsiTheme="minorHAnsi" w:cstheme="minorHAnsi"/>
        </w:rPr>
        <w:t xml:space="preserve"> informed by our assessment</w:t>
      </w:r>
      <w:r w:rsidR="00C55603">
        <w:rPr>
          <w:rFonts w:asciiTheme="minorHAnsi" w:hAnsiTheme="minorHAnsi" w:cstheme="minorHAnsi"/>
        </w:rPr>
        <w:t>,</w:t>
      </w:r>
      <w:r w:rsidRPr="00747E35">
        <w:rPr>
          <w:rFonts w:asciiTheme="minorHAnsi" w:hAnsiTheme="minorHAnsi" w:cstheme="minorHAnsi"/>
        </w:rPr>
        <w:t xml:space="preserve"> </w:t>
      </w:r>
      <w:r w:rsidR="00C55603">
        <w:rPr>
          <w:rFonts w:asciiTheme="minorHAnsi" w:hAnsiTheme="minorHAnsi" w:cstheme="minorHAnsi"/>
        </w:rPr>
        <w:t>which</w:t>
      </w:r>
      <w:r w:rsidRPr="00747E35">
        <w:rPr>
          <w:rFonts w:asciiTheme="minorHAnsi" w:hAnsiTheme="minorHAnsi" w:cstheme="minorHAnsi"/>
        </w:rPr>
        <w:t xml:space="preserve"> </w:t>
      </w:r>
      <w:r w:rsidR="00C55603">
        <w:rPr>
          <w:rFonts w:asciiTheme="minorHAnsi" w:hAnsiTheme="minorHAnsi" w:cstheme="minorHAnsi"/>
        </w:rPr>
        <w:t>could</w:t>
      </w:r>
      <w:r w:rsidRPr="00747E35">
        <w:rPr>
          <w:rFonts w:asciiTheme="minorHAnsi" w:hAnsiTheme="minorHAnsi" w:cstheme="minorHAnsi"/>
        </w:rPr>
        <w:t xml:space="preserve"> be the focus for the future of GAB springs research and conservation management.</w:t>
      </w:r>
    </w:p>
    <w:p w14:paraId="46154058" w14:textId="77777777" w:rsidR="0044478E" w:rsidRPr="00747E35" w:rsidRDefault="0044478E" w:rsidP="0083624F">
      <w:pPr>
        <w:pStyle w:val="ListParagraph"/>
        <w:numPr>
          <w:ilvl w:val="0"/>
          <w:numId w:val="30"/>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 xml:space="preserve">Some GAB springs and their endemic species are clearly at high risk – strategic, coordinated, inclusive and committed management is urgently required to address current and future threats </w:t>
      </w:r>
    </w:p>
    <w:p w14:paraId="385255A6" w14:textId="77777777" w:rsidR="0044478E" w:rsidRPr="00747E35" w:rsidRDefault="0044478E" w:rsidP="0044478E">
      <w:pPr>
        <w:spacing w:after="0"/>
        <w:rPr>
          <w:rFonts w:asciiTheme="minorHAnsi" w:hAnsiTheme="minorHAnsi" w:cstheme="minorHAnsi"/>
        </w:rPr>
      </w:pPr>
      <w:r w:rsidRPr="00747E35">
        <w:rPr>
          <w:rFonts w:asciiTheme="minorHAnsi" w:hAnsiTheme="minorHAnsi" w:cstheme="minorHAnsi"/>
        </w:rPr>
        <w:t>Evidence from past practices reveals that unrestricted and unmanaged access to groundwater (through bore extraction) and other threats led to a high proportion of springs to go extinct (</w:t>
      </w:r>
      <w:r w:rsidRPr="00747E35">
        <w:rPr>
          <w:rFonts w:asciiTheme="minorHAnsi" w:hAnsiTheme="minorHAnsi" w:cstheme="minorHAnsi"/>
        </w:rPr>
        <w:fldChar w:fldCharType="begin"/>
      </w:r>
      <w:r w:rsidRPr="00747E35">
        <w:rPr>
          <w:rFonts w:asciiTheme="minorHAnsi" w:hAnsiTheme="minorHAnsi" w:cstheme="minorHAnsi"/>
        </w:rPr>
        <w:instrText xml:space="preserve"> REF _Ref453232254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136</w:t>
      </w:r>
      <w:r w:rsidRPr="00747E35">
        <w:rPr>
          <w:rFonts w:asciiTheme="minorHAnsi" w:hAnsiTheme="minorHAnsi" w:cstheme="minorHAnsi"/>
        </w:rPr>
        <w:fldChar w:fldCharType="end"/>
      </w:r>
      <w:r w:rsidRPr="00747E35">
        <w:rPr>
          <w:rFonts w:asciiTheme="minorHAnsi" w:hAnsiTheme="minorHAnsi" w:cstheme="minorHAnsi"/>
        </w:rPr>
        <w:t xml:space="preserve">).  Many of these historical impacts were concentrated in particular areas that still contain highly restricted endemic taxa (i.e. to a single spring), so it is extremely likely that undocumented biodiversity has already been driven to extinction.  Our cumulative threat exposure analysis and risk assessment results further highlight the urgency of the problem, given the continued, widespread, and pervasive threats that springs are currently exposed and the likelihood of these threats being exacerbated by climate change and expansion of the coal seam gas and coal mining industry. </w:t>
      </w:r>
    </w:p>
    <w:p w14:paraId="49AC8770" w14:textId="77777777" w:rsidR="0044478E" w:rsidRPr="00747E35" w:rsidRDefault="0044478E" w:rsidP="0044478E">
      <w:pPr>
        <w:spacing w:after="0"/>
        <w:rPr>
          <w:rFonts w:asciiTheme="minorHAnsi" w:hAnsiTheme="minorHAnsi" w:cstheme="minorHAnsi"/>
        </w:rPr>
      </w:pPr>
    </w:p>
    <w:p w14:paraId="7AD4AE1F" w14:textId="77777777" w:rsidR="0044478E" w:rsidRPr="00747E35" w:rsidRDefault="0044478E" w:rsidP="0044478E">
      <w:pPr>
        <w:spacing w:after="0"/>
        <w:rPr>
          <w:rFonts w:asciiTheme="minorHAnsi" w:hAnsiTheme="minorHAnsi" w:cstheme="minorHAnsi"/>
        </w:rPr>
      </w:pPr>
      <w:r w:rsidRPr="00747E35">
        <w:rPr>
          <w:rFonts w:asciiTheme="minorHAnsi" w:hAnsiTheme="minorHAnsi" w:cstheme="minorHAnsi"/>
        </w:rPr>
        <w:t xml:space="preserve">Threat management is required at different tiers with different stakeholders. For example, feral animals can be easily managed by on-ground practices like fencing, trapping and shooting. In contrast, groundwater drawdown is a basin-wide problem that needs national leadership and management to complement state-based and regional initiatives because losses in one place can lead to drawdown in another.  Some localities stand as testament to the ability of multiple stake-holders to work together to preserve ‘hot-spots’ of biodiversity in this system (e.g. the Edgbaston portion of the Pelican Creek complex).  However, this report emphasises that such activities need to be fostered elsewhere and provides a basin-wide perspective for facilitating this process. </w:t>
      </w:r>
    </w:p>
    <w:p w14:paraId="4C28E4AE" w14:textId="77777777" w:rsidR="0044478E" w:rsidRPr="00747E35" w:rsidRDefault="0044478E" w:rsidP="0044478E">
      <w:pPr>
        <w:spacing w:after="0"/>
        <w:rPr>
          <w:rFonts w:asciiTheme="minorHAnsi" w:hAnsiTheme="minorHAnsi" w:cstheme="minorHAnsi"/>
        </w:rPr>
      </w:pPr>
    </w:p>
    <w:p w14:paraId="57D9C625" w14:textId="1F574A1B" w:rsidR="0044478E" w:rsidRPr="00747E35" w:rsidRDefault="0044478E" w:rsidP="0044478E">
      <w:pPr>
        <w:spacing w:after="0"/>
        <w:rPr>
          <w:rFonts w:asciiTheme="minorHAnsi" w:hAnsiTheme="minorHAnsi" w:cstheme="minorHAnsi"/>
        </w:rPr>
      </w:pPr>
      <w:r w:rsidRPr="00747E35">
        <w:rPr>
          <w:rFonts w:asciiTheme="minorHAnsi" w:hAnsiTheme="minorHAnsi" w:cstheme="minorHAnsi"/>
        </w:rPr>
        <w:t>On-ground action to mitigate threats cannot be effective without complementary efforts to protect from further losses of groundwater GAB pressure.  A number of initiatives currently exist to facilitate more effective and strategic management, including the Great Artesian Basin Sustainability Initiative (GABSI), the Great Artesian Basin Strategic Management Planning process currently underway involving federal and state/territory governments and the Great Artesian Basin Coordinating C</w:t>
      </w:r>
      <w:r w:rsidR="00C55603">
        <w:rPr>
          <w:rFonts w:asciiTheme="minorHAnsi" w:hAnsiTheme="minorHAnsi" w:cstheme="minorHAnsi"/>
        </w:rPr>
        <w:t xml:space="preserve">ommittee (GABCC). </w:t>
      </w:r>
    </w:p>
    <w:p w14:paraId="58935899" w14:textId="77777777" w:rsidR="0044478E" w:rsidRPr="00747E35" w:rsidRDefault="0044478E" w:rsidP="0044478E">
      <w:pPr>
        <w:tabs>
          <w:tab w:val="left" w:pos="5692"/>
        </w:tabs>
        <w:spacing w:after="0"/>
        <w:rPr>
          <w:rFonts w:asciiTheme="minorHAnsi" w:hAnsiTheme="minorHAnsi" w:cstheme="minorHAnsi"/>
        </w:rPr>
      </w:pPr>
    </w:p>
    <w:p w14:paraId="27BAD9A6" w14:textId="77777777" w:rsidR="0044478E" w:rsidRPr="00747E35" w:rsidRDefault="0044478E" w:rsidP="0083624F">
      <w:pPr>
        <w:pStyle w:val="ListParagraph"/>
        <w:numPr>
          <w:ilvl w:val="0"/>
          <w:numId w:val="30"/>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Science is needed to establish ecological responses to threats and benefits of actions</w:t>
      </w:r>
    </w:p>
    <w:p w14:paraId="463C76A4" w14:textId="77777777" w:rsidR="0044478E" w:rsidRPr="00747E35" w:rsidRDefault="0044478E" w:rsidP="0044478E">
      <w:pPr>
        <w:spacing w:after="0"/>
        <w:rPr>
          <w:rFonts w:asciiTheme="minorHAnsi" w:hAnsiTheme="minorHAnsi" w:cstheme="minorHAnsi"/>
        </w:rPr>
      </w:pPr>
      <w:r w:rsidRPr="00747E35">
        <w:rPr>
          <w:rFonts w:asciiTheme="minorHAnsi" w:hAnsiTheme="minorHAnsi" w:cstheme="minorHAnsi"/>
        </w:rPr>
        <w:t xml:space="preserve">This review has highlighted that quantitative data is lacking concerning population trends, responses to threats and benefits of management actions to mitigate those threats for most GAB endemic species.  Targeted monitoring of population trends is needed in order to understand natural temporal variation within spring systems (e.g. Rossini et al. in press) and populations within springs act as metapopulations that shift across the landscape (Murphy et al. 2010).  Targeted monitoring can in turn inform managers on how species are or are likely to be responding to environmental changes and highlight conservation concerns that would require management actions.  Examples of ongoing monitoring programs exist in some South Australian springs and at Edgbaston springs.  However these programs concern only two of 33 unique ‘assemblages’ of species that exist in GAB springs.  Fostering a basin-wide approach to monitoring that ensures that biodiversity ‘hot-spots’ and localities with the most pertinent exposure to threats will help to expand on these past successes and fill knowledge gaps.  Our expert elicitation revealed that most species are highly vulnerable to groundwater drawdown.  However, we lack precise evidence of actual species responses and how cumulative interacting threats may exacerbate vulnerability.  Some of these knowledge gaps are relative straightforward to address, at least for some species and threats (e.g. using experimental mesocosms to simulate water drawdown and recovery and monitoring ecological responses such as physiology and behaviour).  These questions come hand-in-hand with research regarding the ecology of endemic GAB species – another literature gap at a basin-wide scale. </w:t>
      </w:r>
    </w:p>
    <w:p w14:paraId="18A05A68" w14:textId="77777777" w:rsidR="0044478E" w:rsidRPr="00747E35" w:rsidRDefault="0044478E" w:rsidP="0044478E">
      <w:pPr>
        <w:spacing w:after="0"/>
        <w:rPr>
          <w:rFonts w:asciiTheme="minorHAnsi" w:hAnsiTheme="minorHAnsi" w:cstheme="minorHAnsi"/>
        </w:rPr>
      </w:pPr>
    </w:p>
    <w:p w14:paraId="5AB8FFAD" w14:textId="77777777" w:rsidR="0044478E" w:rsidRPr="00747E35" w:rsidRDefault="0044478E" w:rsidP="0044478E">
      <w:pPr>
        <w:spacing w:after="0"/>
        <w:rPr>
          <w:rFonts w:asciiTheme="minorHAnsi" w:hAnsiTheme="minorHAnsi" w:cstheme="minorHAnsi"/>
        </w:rPr>
      </w:pPr>
      <w:r w:rsidRPr="00747E35">
        <w:rPr>
          <w:rFonts w:asciiTheme="minorHAnsi" w:hAnsiTheme="minorHAnsi" w:cstheme="minorHAnsi"/>
        </w:rPr>
        <w:t xml:space="preserve">Monitoring programs are not only important for management; they provide knowledge that is useful to both academic science and community conservation.  Long-term monitoring programs in Lake Eyre have </w:t>
      </w:r>
      <w:r w:rsidRPr="00747E35">
        <w:rPr>
          <w:rFonts w:asciiTheme="minorHAnsi" w:hAnsiTheme="minorHAnsi" w:cstheme="minorHAnsi"/>
        </w:rPr>
        <w:lastRenderedPageBreak/>
        <w:t>facilitated cutting-edge research into the evolutionary origins (e.g. Murphy et al. 2012) and patterns of population connectivity at landscape scales (e.g. Worthington-Wilmer et al. 2008).  They have allowed ecologists and taxonomists to officially describe over 50 species that prior to the 1980’s were unknown to science, and to continue to identify at least 50 more.  These species are ecologically and taxonomically diverse – some have transitioned from rainforest creek-dwelling species to arid-zone spring specialists (e.g. Ponder et al. 1989; Perez et al. 2005) others have colonised the surface after persisting within underground aquifers (e.g. Murphy et al. 2009).  By understanding them, researchers have been able to document the quaternary changes in Australia’s climate (Ponder and Colgan 1990; Murphy et al. 2012), document speciation (e.g. Murphy et al. 2015b) and document the adaptations needed to persist in the Australian arid-zone.  This in turn provides information and understanding about species that increases the concern of the general public for their conservation (e.g. ‘friends of the mound springs’ are a voluntary organisation that conserve South Australian mound springs, ~20 individuals volunteer every year to aid in conserving the red-finned blue-eye, and numerous property owners manage populations of threatened species or have entered into voluntary conservation agreements).  Greater understanding and awareness also facilitates community learning and cultural well-being (e.g. undergraduate science students from the University of Queensland facilitate annual invertebrate sampling at Edgbaston and Indigenous Custodians are strongly involved in the management of Witjera and Finniss Springs in South Australia).</w:t>
      </w:r>
    </w:p>
    <w:p w14:paraId="06357D06" w14:textId="77777777" w:rsidR="0044478E" w:rsidRPr="00747E35" w:rsidRDefault="0044478E" w:rsidP="0044478E">
      <w:pPr>
        <w:spacing w:after="0"/>
        <w:rPr>
          <w:rFonts w:asciiTheme="minorHAnsi" w:hAnsiTheme="minorHAnsi" w:cstheme="minorHAnsi"/>
        </w:rPr>
      </w:pPr>
    </w:p>
    <w:p w14:paraId="4D09F53E" w14:textId="77777777" w:rsidR="0044478E" w:rsidRPr="00747E35" w:rsidRDefault="0044478E" w:rsidP="0083624F">
      <w:pPr>
        <w:pStyle w:val="ListParagraph"/>
        <w:numPr>
          <w:ilvl w:val="0"/>
          <w:numId w:val="30"/>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 xml:space="preserve"> Many on-ground management actions to mitigate threats can be implemented now</w:t>
      </w:r>
    </w:p>
    <w:p w14:paraId="12122FDB" w14:textId="30E10084" w:rsidR="0044478E" w:rsidRDefault="0044478E" w:rsidP="0044478E">
      <w:pPr>
        <w:rPr>
          <w:rFonts w:asciiTheme="minorHAnsi" w:hAnsiTheme="minorHAnsi" w:cstheme="minorHAnsi"/>
        </w:rPr>
      </w:pPr>
      <w:r w:rsidRPr="00747E35">
        <w:rPr>
          <w:rFonts w:asciiTheme="minorHAnsi" w:hAnsiTheme="minorHAnsi" w:cstheme="minorHAnsi"/>
        </w:rPr>
        <w:t xml:space="preserve">The high concentration of endemic species in relatively small areas means that it should be feasible to identify appropriate threat management strategies and successfully implement them (notwithstanding the challenges identified above).  Our research identified a small set of highest risk spring complexes that could be prioritised for the establishment of monitoring programs and targeted management in the short term (see Appendix 4: </w:t>
      </w:r>
      <w:r w:rsidRPr="00747E35">
        <w:rPr>
          <w:rFonts w:asciiTheme="minorHAnsi" w:hAnsiTheme="minorHAnsi" w:cstheme="minorHAnsi"/>
        </w:rPr>
        <w:fldChar w:fldCharType="begin"/>
      </w:r>
      <w:r w:rsidRPr="00747E35">
        <w:rPr>
          <w:rFonts w:asciiTheme="minorHAnsi" w:hAnsiTheme="minorHAnsi" w:cstheme="minorHAnsi"/>
        </w:rPr>
        <w:instrText xml:space="preserve"> REF _Ref467224914 \h  \* MERGEFORMAT </w:instrText>
      </w:r>
      <w:r w:rsidRPr="00747E35">
        <w:rPr>
          <w:rFonts w:asciiTheme="minorHAnsi" w:hAnsiTheme="minorHAnsi" w:cstheme="minorHAnsi"/>
        </w:rPr>
      </w:r>
      <w:r w:rsidRPr="00747E35">
        <w:rPr>
          <w:rFonts w:asciiTheme="minorHAnsi" w:hAnsiTheme="minorHAnsi" w:cstheme="minorHAnsi"/>
        </w:rPr>
        <w:fldChar w:fldCharType="separate"/>
      </w:r>
      <w:r w:rsidR="00D023DD" w:rsidRPr="00D023DD">
        <w:rPr>
          <w:rFonts w:asciiTheme="minorHAnsi" w:hAnsiTheme="minorHAnsi" w:cstheme="minorHAnsi"/>
        </w:rPr>
        <w:t>Table 61</w:t>
      </w:r>
      <w:r w:rsidRPr="00747E35">
        <w:rPr>
          <w:rFonts w:asciiTheme="minorHAnsi" w:hAnsiTheme="minorHAnsi" w:cstheme="minorHAnsi"/>
        </w:rPr>
        <w:fldChar w:fldCharType="end"/>
      </w:r>
      <w:r w:rsidRPr="00747E35">
        <w:rPr>
          <w:rFonts w:asciiTheme="minorHAnsi" w:hAnsiTheme="minorHAnsi" w:cstheme="minorHAnsi"/>
        </w:rPr>
        <w:t xml:space="preserve">).  So many springs of conservation importance are on private property (freehold and leasehold) and many threats are localised and can be relatively easily managed at a local scale.  Engaging and incentivising private property owners about values of their own springs and the need to protect and monitor them would be a major leap forward in this regard.  </w:t>
      </w:r>
    </w:p>
    <w:p w14:paraId="42DD8DDD" w14:textId="77777777" w:rsidR="00825D9D" w:rsidRPr="00747E35" w:rsidRDefault="00825D9D" w:rsidP="0044478E">
      <w:pPr>
        <w:rPr>
          <w:rFonts w:asciiTheme="minorHAnsi" w:hAnsiTheme="minorHAnsi" w:cstheme="minorHAnsi"/>
        </w:rPr>
      </w:pPr>
    </w:p>
    <w:p w14:paraId="5EC2A05A" w14:textId="45D1D732" w:rsidR="0044478E" w:rsidRPr="00747E35" w:rsidRDefault="0044478E" w:rsidP="0044478E">
      <w:pPr>
        <w:pStyle w:val="Heading2"/>
        <w:rPr>
          <w:rFonts w:asciiTheme="minorHAnsi" w:hAnsiTheme="minorHAnsi" w:cstheme="minorHAnsi"/>
        </w:rPr>
      </w:pPr>
      <w:bookmarkStart w:id="445" w:name="_Toc466980540"/>
      <w:bookmarkStart w:id="446" w:name="_Toc467244830"/>
      <w:bookmarkStart w:id="447" w:name="_Toc470004913"/>
      <w:r w:rsidRPr="00747E35">
        <w:rPr>
          <w:rFonts w:asciiTheme="minorHAnsi" w:hAnsiTheme="minorHAnsi" w:cstheme="minorHAnsi"/>
        </w:rPr>
        <w:t>References – Component 4</w:t>
      </w:r>
      <w:bookmarkEnd w:id="445"/>
      <w:bookmarkEnd w:id="446"/>
      <w:bookmarkEnd w:id="447"/>
    </w:p>
    <w:p w14:paraId="4031B5C1" w14:textId="2A7EE08C" w:rsidR="00A15951" w:rsidRPr="00925BFC" w:rsidRDefault="00A15951" w:rsidP="00A15951">
      <w:pPr>
        <w:pStyle w:val="References"/>
        <w:ind w:left="284" w:hanging="284"/>
        <w:rPr>
          <w:rFonts w:asciiTheme="minorHAnsi" w:hAnsiTheme="minorHAnsi"/>
        </w:rPr>
      </w:pPr>
      <w:r w:rsidRPr="00925BFC">
        <w:rPr>
          <w:rFonts w:asciiTheme="minorHAnsi" w:hAnsiTheme="minorHAnsi"/>
        </w:rPr>
        <w:t>Anderson M</w:t>
      </w:r>
      <w:r w:rsidR="000E6ED8">
        <w:rPr>
          <w:rFonts w:asciiTheme="minorHAnsi" w:hAnsiTheme="minorHAnsi"/>
        </w:rPr>
        <w:t>.</w:t>
      </w:r>
      <w:r w:rsidRPr="00925BFC">
        <w:rPr>
          <w:rFonts w:asciiTheme="minorHAnsi" w:hAnsiTheme="minorHAnsi"/>
        </w:rPr>
        <w:t>J</w:t>
      </w:r>
      <w:r w:rsidR="000E6ED8">
        <w:rPr>
          <w:rFonts w:asciiTheme="minorHAnsi" w:hAnsiTheme="minorHAnsi"/>
        </w:rPr>
        <w:t>.</w:t>
      </w:r>
      <w:r w:rsidRPr="00925BFC">
        <w:rPr>
          <w:rFonts w:asciiTheme="minorHAnsi" w:hAnsiTheme="minorHAnsi"/>
        </w:rPr>
        <w:t>, Ellingsen K</w:t>
      </w:r>
      <w:r w:rsidR="000E6ED8">
        <w:rPr>
          <w:rFonts w:asciiTheme="minorHAnsi" w:hAnsiTheme="minorHAnsi"/>
        </w:rPr>
        <w:t>.</w:t>
      </w:r>
      <w:r w:rsidRPr="00925BFC">
        <w:rPr>
          <w:rFonts w:asciiTheme="minorHAnsi" w:hAnsiTheme="minorHAnsi"/>
        </w:rPr>
        <w:t>E</w:t>
      </w:r>
      <w:r w:rsidR="000E6ED8">
        <w:rPr>
          <w:rFonts w:asciiTheme="minorHAnsi" w:hAnsiTheme="minorHAnsi"/>
        </w:rPr>
        <w:t>.</w:t>
      </w:r>
      <w:r w:rsidRPr="00925BFC">
        <w:rPr>
          <w:rFonts w:asciiTheme="minorHAnsi" w:hAnsiTheme="minorHAnsi"/>
        </w:rPr>
        <w:t xml:space="preserve"> &amp; McArdle B</w:t>
      </w:r>
      <w:r w:rsidR="000E6ED8">
        <w:rPr>
          <w:rFonts w:asciiTheme="minorHAnsi" w:hAnsiTheme="minorHAnsi"/>
        </w:rPr>
        <w:t>.</w:t>
      </w:r>
      <w:r w:rsidRPr="00925BFC">
        <w:rPr>
          <w:rFonts w:asciiTheme="minorHAnsi" w:hAnsiTheme="minorHAnsi"/>
        </w:rPr>
        <w:t>H</w:t>
      </w:r>
      <w:r w:rsidR="000E6ED8">
        <w:rPr>
          <w:rFonts w:asciiTheme="minorHAnsi" w:hAnsiTheme="minorHAnsi"/>
        </w:rPr>
        <w:t>.</w:t>
      </w:r>
      <w:r w:rsidRPr="00925BFC">
        <w:rPr>
          <w:rFonts w:asciiTheme="minorHAnsi" w:hAnsiTheme="minorHAnsi"/>
        </w:rPr>
        <w:t xml:space="preserve"> (2006). Multivariate dispersion as a measure of beta diversity. </w:t>
      </w:r>
      <w:r w:rsidRPr="00925BFC">
        <w:rPr>
          <w:rFonts w:asciiTheme="minorHAnsi" w:hAnsiTheme="minorHAnsi"/>
          <w:i/>
        </w:rPr>
        <w:t>Ecology Letters</w:t>
      </w:r>
      <w:r w:rsidRPr="00925BFC">
        <w:rPr>
          <w:rFonts w:asciiTheme="minorHAnsi" w:hAnsiTheme="minorHAnsi"/>
        </w:rPr>
        <w:t xml:space="preserve"> 9: 683–693.</w:t>
      </w:r>
    </w:p>
    <w:p w14:paraId="4E168035" w14:textId="77777777" w:rsidR="00A15951" w:rsidRPr="00925BFC" w:rsidRDefault="00A15951" w:rsidP="00A15951">
      <w:pPr>
        <w:pStyle w:val="References"/>
        <w:ind w:left="284" w:hanging="284"/>
        <w:rPr>
          <w:rFonts w:asciiTheme="minorHAnsi" w:hAnsiTheme="minorHAnsi"/>
        </w:rPr>
      </w:pPr>
      <w:r w:rsidRPr="00925BFC">
        <w:rPr>
          <w:rFonts w:asciiTheme="minorHAnsi" w:hAnsiTheme="minorHAnsi"/>
        </w:rPr>
        <w:t xml:space="preserve">Australian Collaborative Land Use and Management Program (ACLUMP) (2014). Land Use of Australia, Interim Version 5, 2010-11; Australian Bureau of Agricultural and Resource Economics and Sciences, Canberra. Available at: </w:t>
      </w:r>
      <w:hyperlink r:id="rId221" w:history="1">
        <w:r w:rsidRPr="00925BFC">
          <w:rPr>
            <w:rStyle w:val="Hyperlink"/>
            <w:rFonts w:asciiTheme="minorHAnsi" w:hAnsiTheme="minorHAnsi"/>
          </w:rPr>
          <w:t>http://data.daff.gov.au/anrdl/metadata_files/pb_ilua5g9ablu20140708_11a.xml</w:t>
        </w:r>
      </w:hyperlink>
      <w:r w:rsidRPr="00925BFC">
        <w:rPr>
          <w:rFonts w:asciiTheme="minorHAnsi" w:hAnsiTheme="minorHAnsi"/>
        </w:rPr>
        <w:t xml:space="preserve"> </w:t>
      </w:r>
    </w:p>
    <w:p w14:paraId="50415BF3" w14:textId="0F8E040A" w:rsidR="00A15951" w:rsidRPr="00925BFC" w:rsidRDefault="00A15951" w:rsidP="00A15951">
      <w:pPr>
        <w:pStyle w:val="References"/>
        <w:ind w:left="284" w:hanging="284"/>
        <w:rPr>
          <w:rFonts w:asciiTheme="minorHAnsi" w:hAnsiTheme="minorHAnsi"/>
        </w:rPr>
      </w:pPr>
      <w:r w:rsidRPr="00925BFC">
        <w:rPr>
          <w:rFonts w:asciiTheme="minorHAnsi" w:hAnsiTheme="minorHAnsi"/>
        </w:rPr>
        <w:t>Barrett D</w:t>
      </w:r>
      <w:r w:rsidR="000E6ED8">
        <w:rPr>
          <w:rFonts w:asciiTheme="minorHAnsi" w:hAnsiTheme="minorHAnsi"/>
        </w:rPr>
        <w:t>.</w:t>
      </w:r>
      <w:r w:rsidRPr="00925BFC">
        <w:rPr>
          <w:rFonts w:asciiTheme="minorHAnsi" w:hAnsiTheme="minorHAnsi"/>
        </w:rPr>
        <w:t>J</w:t>
      </w:r>
      <w:r w:rsidR="000E6ED8">
        <w:rPr>
          <w:rFonts w:asciiTheme="minorHAnsi" w:hAnsiTheme="minorHAnsi"/>
        </w:rPr>
        <w:t>.</w:t>
      </w:r>
      <w:r w:rsidRPr="00925BFC">
        <w:rPr>
          <w:rFonts w:asciiTheme="minorHAnsi" w:hAnsiTheme="minorHAnsi"/>
        </w:rPr>
        <w:t>, Couch C</w:t>
      </w:r>
      <w:r w:rsidR="000E6ED8">
        <w:rPr>
          <w:rFonts w:asciiTheme="minorHAnsi" w:hAnsiTheme="minorHAnsi"/>
        </w:rPr>
        <w:t>.</w:t>
      </w:r>
      <w:r w:rsidRPr="00925BFC">
        <w:rPr>
          <w:rFonts w:asciiTheme="minorHAnsi" w:hAnsiTheme="minorHAnsi"/>
        </w:rPr>
        <w:t>A</w:t>
      </w:r>
      <w:r w:rsidR="000E6ED8">
        <w:rPr>
          <w:rFonts w:asciiTheme="minorHAnsi" w:hAnsiTheme="minorHAnsi"/>
        </w:rPr>
        <w:t>.</w:t>
      </w:r>
      <w:r w:rsidRPr="00925BFC">
        <w:rPr>
          <w:rFonts w:asciiTheme="minorHAnsi" w:hAnsiTheme="minorHAnsi"/>
        </w:rPr>
        <w:t>, Metcalfe DJ</w:t>
      </w:r>
      <w:r w:rsidR="000E6ED8">
        <w:rPr>
          <w:rFonts w:asciiTheme="minorHAnsi" w:hAnsiTheme="minorHAnsi"/>
        </w:rPr>
        <w:t>.</w:t>
      </w:r>
      <w:r w:rsidRPr="00925BFC">
        <w:rPr>
          <w:rFonts w:asciiTheme="minorHAnsi" w:hAnsiTheme="minorHAnsi"/>
        </w:rPr>
        <w:t>, Lytton L</w:t>
      </w:r>
      <w:r w:rsidR="000E6ED8">
        <w:rPr>
          <w:rFonts w:asciiTheme="minorHAnsi" w:hAnsiTheme="minorHAnsi"/>
        </w:rPr>
        <w:t>.</w:t>
      </w:r>
      <w:r w:rsidRPr="00925BFC">
        <w:rPr>
          <w:rFonts w:asciiTheme="minorHAnsi" w:hAnsiTheme="minorHAnsi"/>
        </w:rPr>
        <w:t>, Adhikary D</w:t>
      </w:r>
      <w:r w:rsidR="000E6ED8">
        <w:rPr>
          <w:rFonts w:asciiTheme="minorHAnsi" w:hAnsiTheme="minorHAnsi"/>
        </w:rPr>
        <w:t>.</w:t>
      </w:r>
      <w:r w:rsidRPr="00925BFC">
        <w:rPr>
          <w:rFonts w:asciiTheme="minorHAnsi" w:hAnsiTheme="minorHAnsi"/>
        </w:rPr>
        <w:t>P</w:t>
      </w:r>
      <w:r w:rsidR="000E6ED8">
        <w:rPr>
          <w:rFonts w:asciiTheme="minorHAnsi" w:hAnsiTheme="minorHAnsi"/>
        </w:rPr>
        <w:t>.</w:t>
      </w:r>
      <w:r w:rsidRPr="00925BFC">
        <w:rPr>
          <w:rFonts w:asciiTheme="minorHAnsi" w:hAnsiTheme="minorHAnsi"/>
        </w:rPr>
        <w:t xml:space="preserve"> &amp; Schmidt R</w:t>
      </w:r>
      <w:r w:rsidR="000E6ED8">
        <w:rPr>
          <w:rFonts w:asciiTheme="minorHAnsi" w:hAnsiTheme="minorHAnsi"/>
        </w:rPr>
        <w:t>.</w:t>
      </w:r>
      <w:r w:rsidRPr="00925BFC">
        <w:rPr>
          <w:rFonts w:asciiTheme="minorHAnsi" w:hAnsiTheme="minorHAnsi"/>
        </w:rPr>
        <w:t>K</w:t>
      </w:r>
      <w:r w:rsidR="000E6ED8">
        <w:rPr>
          <w:rFonts w:asciiTheme="minorHAnsi" w:hAnsiTheme="minorHAnsi"/>
        </w:rPr>
        <w:t>.</w:t>
      </w:r>
      <w:r w:rsidRPr="00925BFC">
        <w:rPr>
          <w:rFonts w:asciiTheme="minorHAnsi" w:hAnsiTheme="minorHAnsi"/>
        </w:rPr>
        <w:t xml:space="preserve"> (2013). Methodology for bioregional assessments of the impacts of coal seam gas and coal mining development on water resources. A report prepared for the Independent Expert Scientific Committee on Coal Seam Gas and Large Coal Mining Development through the Department of the Environment.</w:t>
      </w:r>
    </w:p>
    <w:p w14:paraId="76716C4A" w14:textId="13A604B2" w:rsidR="00A15951" w:rsidRPr="00925BFC" w:rsidRDefault="00A15951" w:rsidP="00A15951">
      <w:pPr>
        <w:pStyle w:val="References"/>
        <w:ind w:left="284" w:hanging="284"/>
        <w:rPr>
          <w:rFonts w:asciiTheme="minorHAnsi" w:hAnsiTheme="minorHAnsi"/>
        </w:rPr>
      </w:pPr>
      <w:r w:rsidRPr="00925BFC">
        <w:rPr>
          <w:rFonts w:asciiTheme="minorHAnsi" w:hAnsiTheme="minorHAnsi"/>
        </w:rPr>
        <w:t>Bauzà-Ribot M</w:t>
      </w:r>
      <w:r w:rsidR="000E6ED8">
        <w:rPr>
          <w:rFonts w:asciiTheme="minorHAnsi" w:hAnsiTheme="minorHAnsi"/>
        </w:rPr>
        <w:t>.</w:t>
      </w:r>
      <w:r w:rsidRPr="00925BFC">
        <w:rPr>
          <w:rFonts w:asciiTheme="minorHAnsi" w:hAnsiTheme="minorHAnsi"/>
        </w:rPr>
        <w:t>M</w:t>
      </w:r>
      <w:r w:rsidR="000E6ED8">
        <w:rPr>
          <w:rFonts w:asciiTheme="minorHAnsi" w:hAnsiTheme="minorHAnsi"/>
        </w:rPr>
        <w:t>.</w:t>
      </w:r>
      <w:r w:rsidRPr="00925BFC">
        <w:rPr>
          <w:rFonts w:asciiTheme="minorHAnsi" w:hAnsiTheme="minorHAnsi"/>
        </w:rPr>
        <w:t>, Jaume D</w:t>
      </w:r>
      <w:r w:rsidR="000E6ED8">
        <w:rPr>
          <w:rFonts w:asciiTheme="minorHAnsi" w:hAnsiTheme="minorHAnsi"/>
        </w:rPr>
        <w:t>.</w:t>
      </w:r>
      <w:r w:rsidRPr="00925BFC">
        <w:rPr>
          <w:rFonts w:asciiTheme="minorHAnsi" w:hAnsiTheme="minorHAnsi"/>
        </w:rPr>
        <w:t>, Fornós J</w:t>
      </w:r>
      <w:r w:rsidR="000E6ED8">
        <w:rPr>
          <w:rFonts w:asciiTheme="minorHAnsi" w:hAnsiTheme="minorHAnsi"/>
        </w:rPr>
        <w:t>.</w:t>
      </w:r>
      <w:r w:rsidRPr="00925BFC">
        <w:rPr>
          <w:rFonts w:asciiTheme="minorHAnsi" w:hAnsiTheme="minorHAnsi"/>
        </w:rPr>
        <w:t>J</w:t>
      </w:r>
      <w:r w:rsidR="000E6ED8">
        <w:rPr>
          <w:rFonts w:asciiTheme="minorHAnsi" w:hAnsiTheme="minorHAnsi"/>
        </w:rPr>
        <w:t>.</w:t>
      </w:r>
      <w:r w:rsidRPr="00925BFC">
        <w:rPr>
          <w:rFonts w:asciiTheme="minorHAnsi" w:hAnsiTheme="minorHAnsi"/>
        </w:rPr>
        <w:t>, Juan C</w:t>
      </w:r>
      <w:r w:rsidR="000E6ED8">
        <w:rPr>
          <w:rFonts w:asciiTheme="minorHAnsi" w:hAnsiTheme="minorHAnsi"/>
        </w:rPr>
        <w:t>.</w:t>
      </w:r>
      <w:r w:rsidRPr="00925BFC">
        <w:rPr>
          <w:rFonts w:asciiTheme="minorHAnsi" w:hAnsiTheme="minorHAnsi"/>
        </w:rPr>
        <w:t xml:space="preserve"> &amp; Pons J. (2011). Islands beneath islands: Phylogeography of a groundwater amphipod crustacean in the Balearic archipelago. </w:t>
      </w:r>
      <w:r w:rsidRPr="00BB6AA1">
        <w:rPr>
          <w:rFonts w:asciiTheme="minorHAnsi" w:hAnsiTheme="minorHAnsi"/>
          <w:i/>
        </w:rPr>
        <w:t>BMC Evolutionary Biology</w:t>
      </w:r>
      <w:r w:rsidRPr="00925BFC">
        <w:rPr>
          <w:rFonts w:asciiTheme="minorHAnsi" w:hAnsiTheme="minorHAnsi"/>
        </w:rPr>
        <w:t xml:space="preserve"> 11: 221. </w:t>
      </w:r>
    </w:p>
    <w:p w14:paraId="78544C1D" w14:textId="32372A31" w:rsidR="00A15951" w:rsidRPr="00925BFC" w:rsidRDefault="00A15951" w:rsidP="00A15951">
      <w:pPr>
        <w:pStyle w:val="References"/>
        <w:ind w:left="284" w:hanging="284"/>
        <w:rPr>
          <w:rFonts w:asciiTheme="minorHAnsi" w:hAnsiTheme="minorHAnsi"/>
        </w:rPr>
      </w:pPr>
      <w:r w:rsidRPr="00925BFC">
        <w:rPr>
          <w:rFonts w:asciiTheme="minorHAnsi" w:hAnsiTheme="minorHAnsi"/>
        </w:rPr>
        <w:t>Bland L</w:t>
      </w:r>
      <w:r w:rsidR="000E6ED8">
        <w:rPr>
          <w:rFonts w:asciiTheme="minorHAnsi" w:hAnsiTheme="minorHAnsi"/>
        </w:rPr>
        <w:t>.</w:t>
      </w:r>
      <w:r w:rsidRPr="00925BFC">
        <w:rPr>
          <w:rFonts w:asciiTheme="minorHAnsi" w:hAnsiTheme="minorHAnsi"/>
        </w:rPr>
        <w:t>M</w:t>
      </w:r>
      <w:r w:rsidR="000E6ED8">
        <w:rPr>
          <w:rFonts w:asciiTheme="minorHAnsi" w:hAnsiTheme="minorHAnsi"/>
        </w:rPr>
        <w:t>.</w:t>
      </w:r>
      <w:r w:rsidRPr="00925BFC">
        <w:rPr>
          <w:rFonts w:asciiTheme="minorHAnsi" w:hAnsiTheme="minorHAnsi"/>
        </w:rPr>
        <w:t>, Collen</w:t>
      </w:r>
      <w:r>
        <w:rPr>
          <w:rFonts w:asciiTheme="minorHAnsi" w:hAnsiTheme="minorHAnsi"/>
        </w:rPr>
        <w:t xml:space="preserve"> B</w:t>
      </w:r>
      <w:r w:rsidR="000E6ED8">
        <w:rPr>
          <w:rFonts w:asciiTheme="minorHAnsi" w:hAnsiTheme="minorHAnsi"/>
        </w:rPr>
        <w:t>.</w:t>
      </w:r>
      <w:r w:rsidRPr="00925BFC">
        <w:rPr>
          <w:rFonts w:asciiTheme="minorHAnsi" w:hAnsiTheme="minorHAnsi"/>
        </w:rPr>
        <w:t xml:space="preserve">, Orme </w:t>
      </w:r>
      <w:r>
        <w:rPr>
          <w:rFonts w:asciiTheme="minorHAnsi" w:hAnsiTheme="minorHAnsi"/>
        </w:rPr>
        <w:t>C</w:t>
      </w:r>
      <w:r w:rsidR="000E6ED8">
        <w:rPr>
          <w:rFonts w:asciiTheme="minorHAnsi" w:hAnsiTheme="minorHAnsi"/>
        </w:rPr>
        <w:t>.</w:t>
      </w:r>
      <w:r>
        <w:rPr>
          <w:rFonts w:asciiTheme="minorHAnsi" w:hAnsiTheme="minorHAnsi"/>
        </w:rPr>
        <w:t>D</w:t>
      </w:r>
      <w:r w:rsidR="000E6ED8">
        <w:rPr>
          <w:rFonts w:asciiTheme="minorHAnsi" w:hAnsiTheme="minorHAnsi"/>
        </w:rPr>
        <w:t>.</w:t>
      </w:r>
      <w:r>
        <w:rPr>
          <w:rFonts w:asciiTheme="minorHAnsi" w:hAnsiTheme="minorHAnsi"/>
        </w:rPr>
        <w:t xml:space="preserve">L &amp; </w:t>
      </w:r>
      <w:r w:rsidRPr="00925BFC">
        <w:rPr>
          <w:rFonts w:asciiTheme="minorHAnsi" w:hAnsiTheme="minorHAnsi"/>
        </w:rPr>
        <w:t xml:space="preserve">Bielby </w:t>
      </w:r>
      <w:r>
        <w:rPr>
          <w:rFonts w:asciiTheme="minorHAnsi" w:hAnsiTheme="minorHAnsi"/>
        </w:rPr>
        <w:t xml:space="preserve">J. </w:t>
      </w:r>
      <w:r w:rsidRPr="00925BFC">
        <w:rPr>
          <w:rFonts w:asciiTheme="minorHAnsi" w:hAnsiTheme="minorHAnsi"/>
        </w:rPr>
        <w:t xml:space="preserve">(2012). Data uncertainty and the selectivity of extinction risk in freshwater invertebrates. </w:t>
      </w:r>
      <w:r w:rsidRPr="00BB6AA1">
        <w:rPr>
          <w:rFonts w:asciiTheme="minorHAnsi" w:hAnsiTheme="minorHAnsi"/>
          <w:i/>
        </w:rPr>
        <w:t>Diversity and Distributions</w:t>
      </w:r>
      <w:r w:rsidRPr="00925BFC">
        <w:rPr>
          <w:rFonts w:asciiTheme="minorHAnsi" w:hAnsiTheme="minorHAnsi"/>
        </w:rPr>
        <w:t xml:space="preserve"> 18: 1211-1220.</w:t>
      </w:r>
    </w:p>
    <w:p w14:paraId="54F8F0D7" w14:textId="6A5BC28E" w:rsidR="00A15951" w:rsidRPr="00925BFC" w:rsidRDefault="00A15951" w:rsidP="00A15951">
      <w:pPr>
        <w:pStyle w:val="References"/>
        <w:ind w:left="284" w:hanging="284"/>
        <w:rPr>
          <w:rFonts w:asciiTheme="minorHAnsi" w:hAnsiTheme="minorHAnsi"/>
        </w:rPr>
      </w:pPr>
      <w:r w:rsidRPr="00925BFC">
        <w:rPr>
          <w:rFonts w:asciiTheme="minorHAnsi" w:hAnsiTheme="minorHAnsi"/>
        </w:rPr>
        <w:t>Borcard</w:t>
      </w:r>
      <w:r>
        <w:rPr>
          <w:rFonts w:asciiTheme="minorHAnsi" w:hAnsiTheme="minorHAnsi"/>
        </w:rPr>
        <w:t xml:space="preserve"> </w:t>
      </w:r>
      <w:r w:rsidRPr="00925BFC">
        <w:rPr>
          <w:rFonts w:asciiTheme="minorHAnsi" w:hAnsiTheme="minorHAnsi"/>
        </w:rPr>
        <w:t>D</w:t>
      </w:r>
      <w:r w:rsidR="000E6ED8">
        <w:rPr>
          <w:rFonts w:asciiTheme="minorHAnsi" w:hAnsiTheme="minorHAnsi"/>
        </w:rPr>
        <w:t>.</w:t>
      </w:r>
      <w:r w:rsidRPr="00925BFC">
        <w:rPr>
          <w:rFonts w:asciiTheme="minorHAnsi" w:hAnsiTheme="minorHAnsi"/>
        </w:rPr>
        <w:t xml:space="preserve">, Gillet </w:t>
      </w:r>
      <w:r>
        <w:rPr>
          <w:rFonts w:asciiTheme="minorHAnsi" w:hAnsiTheme="minorHAnsi"/>
        </w:rPr>
        <w:t>F</w:t>
      </w:r>
      <w:r w:rsidR="000E6ED8">
        <w:rPr>
          <w:rFonts w:asciiTheme="minorHAnsi" w:hAnsiTheme="minorHAnsi"/>
        </w:rPr>
        <w:t>.</w:t>
      </w:r>
      <w:r>
        <w:rPr>
          <w:rFonts w:asciiTheme="minorHAnsi" w:hAnsiTheme="minorHAnsi"/>
        </w:rPr>
        <w:t xml:space="preserve"> &amp; </w:t>
      </w:r>
      <w:r w:rsidRPr="00925BFC">
        <w:rPr>
          <w:rFonts w:asciiTheme="minorHAnsi" w:hAnsiTheme="minorHAnsi"/>
        </w:rPr>
        <w:t xml:space="preserve">Legendre </w:t>
      </w:r>
      <w:r>
        <w:rPr>
          <w:rFonts w:asciiTheme="minorHAnsi" w:hAnsiTheme="minorHAnsi"/>
        </w:rPr>
        <w:t xml:space="preserve">P. </w:t>
      </w:r>
      <w:r w:rsidRPr="00925BFC">
        <w:rPr>
          <w:rFonts w:asciiTheme="minorHAnsi" w:hAnsiTheme="minorHAnsi"/>
        </w:rPr>
        <w:t>(2011). Numerical Ecology with R. Springer.</w:t>
      </w:r>
    </w:p>
    <w:p w14:paraId="6D3C4F21" w14:textId="1F409496" w:rsidR="00A15951" w:rsidRPr="00925BFC" w:rsidRDefault="00A15951" w:rsidP="00A15951">
      <w:pPr>
        <w:pStyle w:val="References"/>
        <w:ind w:left="284" w:hanging="284"/>
        <w:rPr>
          <w:rFonts w:asciiTheme="minorHAnsi" w:hAnsiTheme="minorHAnsi"/>
        </w:rPr>
      </w:pPr>
      <w:r w:rsidRPr="00925BFC">
        <w:rPr>
          <w:rFonts w:asciiTheme="minorHAnsi" w:hAnsiTheme="minorHAnsi"/>
        </w:rPr>
        <w:t>Box J</w:t>
      </w:r>
      <w:r w:rsidR="000E6ED8">
        <w:rPr>
          <w:rFonts w:asciiTheme="minorHAnsi" w:hAnsiTheme="minorHAnsi"/>
        </w:rPr>
        <w:t>.</w:t>
      </w:r>
      <w:r w:rsidRPr="00925BFC">
        <w:rPr>
          <w:rFonts w:asciiTheme="minorHAnsi" w:hAnsiTheme="minorHAnsi"/>
        </w:rPr>
        <w:t>B</w:t>
      </w:r>
      <w:r w:rsidR="000E6ED8">
        <w:rPr>
          <w:rFonts w:asciiTheme="minorHAnsi" w:hAnsiTheme="minorHAnsi"/>
        </w:rPr>
        <w:t>.</w:t>
      </w:r>
      <w:r w:rsidRPr="00925BFC">
        <w:rPr>
          <w:rFonts w:asciiTheme="minorHAnsi" w:hAnsiTheme="minorHAnsi"/>
        </w:rPr>
        <w:t>, Duguid A</w:t>
      </w:r>
      <w:r w:rsidR="000E6ED8">
        <w:rPr>
          <w:rFonts w:asciiTheme="minorHAnsi" w:hAnsiTheme="minorHAnsi"/>
        </w:rPr>
        <w:t>.</w:t>
      </w:r>
      <w:r w:rsidRPr="00925BFC">
        <w:rPr>
          <w:rFonts w:asciiTheme="minorHAnsi" w:hAnsiTheme="minorHAnsi"/>
        </w:rPr>
        <w:t>, Read R</w:t>
      </w:r>
      <w:r w:rsidR="000E6ED8">
        <w:rPr>
          <w:rFonts w:asciiTheme="minorHAnsi" w:hAnsiTheme="minorHAnsi"/>
        </w:rPr>
        <w:t>.</w:t>
      </w:r>
      <w:r w:rsidRPr="00925BFC">
        <w:rPr>
          <w:rFonts w:asciiTheme="minorHAnsi" w:hAnsiTheme="minorHAnsi"/>
        </w:rPr>
        <w:t>E</w:t>
      </w:r>
      <w:r w:rsidR="000E6ED8">
        <w:rPr>
          <w:rFonts w:asciiTheme="minorHAnsi" w:hAnsiTheme="minorHAnsi"/>
        </w:rPr>
        <w:t>.</w:t>
      </w:r>
      <w:r w:rsidRPr="00925BFC">
        <w:rPr>
          <w:rFonts w:asciiTheme="minorHAnsi" w:hAnsiTheme="minorHAnsi"/>
        </w:rPr>
        <w:t>, Kimber R</w:t>
      </w:r>
      <w:r w:rsidR="000E6ED8">
        <w:rPr>
          <w:rFonts w:asciiTheme="minorHAnsi" w:hAnsiTheme="minorHAnsi"/>
        </w:rPr>
        <w:t>.</w:t>
      </w:r>
      <w:r w:rsidRPr="00925BFC">
        <w:rPr>
          <w:rFonts w:asciiTheme="minorHAnsi" w:hAnsiTheme="minorHAnsi"/>
        </w:rPr>
        <w:t>G</w:t>
      </w:r>
      <w:r w:rsidR="000E6ED8">
        <w:rPr>
          <w:rFonts w:asciiTheme="minorHAnsi" w:hAnsiTheme="minorHAnsi"/>
        </w:rPr>
        <w:t>.</w:t>
      </w:r>
      <w:r w:rsidRPr="00925BFC">
        <w:rPr>
          <w:rFonts w:asciiTheme="minorHAnsi" w:hAnsiTheme="minorHAnsi"/>
        </w:rPr>
        <w:t>, Knapton A</w:t>
      </w:r>
      <w:r w:rsidR="000E6ED8">
        <w:rPr>
          <w:rFonts w:asciiTheme="minorHAnsi" w:hAnsiTheme="minorHAnsi"/>
        </w:rPr>
        <w:t>.</w:t>
      </w:r>
      <w:r w:rsidRPr="00925BFC">
        <w:rPr>
          <w:rFonts w:asciiTheme="minorHAnsi" w:hAnsiTheme="minorHAnsi"/>
        </w:rPr>
        <w:t>, Davis J</w:t>
      </w:r>
      <w:r w:rsidR="000E6ED8">
        <w:rPr>
          <w:rFonts w:asciiTheme="minorHAnsi" w:hAnsiTheme="minorHAnsi"/>
        </w:rPr>
        <w:t>.</w:t>
      </w:r>
      <w:r w:rsidRPr="00925BFC">
        <w:rPr>
          <w:rFonts w:asciiTheme="minorHAnsi" w:hAnsiTheme="minorHAnsi"/>
        </w:rPr>
        <w:t xml:space="preserve"> &amp; Bowland AE. (2008). Central Australian waterbodies: the importance of permanence in a desert landscape. </w:t>
      </w:r>
      <w:r w:rsidRPr="00925BFC">
        <w:rPr>
          <w:rFonts w:asciiTheme="minorHAnsi" w:hAnsiTheme="minorHAnsi"/>
          <w:i/>
        </w:rPr>
        <w:t>Journal of Arid Environments</w:t>
      </w:r>
      <w:r w:rsidRPr="00925BFC">
        <w:rPr>
          <w:rFonts w:asciiTheme="minorHAnsi" w:hAnsiTheme="minorHAnsi"/>
        </w:rPr>
        <w:t xml:space="preserve"> 72: 1395–1413. </w:t>
      </w:r>
    </w:p>
    <w:p w14:paraId="3DB49BD3" w14:textId="2DFD41D5" w:rsidR="00A15951" w:rsidRPr="00925BFC" w:rsidRDefault="00A15951" w:rsidP="00A15951">
      <w:pPr>
        <w:pStyle w:val="References"/>
        <w:ind w:left="284" w:hanging="284"/>
        <w:rPr>
          <w:rFonts w:asciiTheme="minorHAnsi" w:hAnsiTheme="minorHAnsi"/>
        </w:rPr>
      </w:pPr>
      <w:r w:rsidRPr="00925BFC">
        <w:rPr>
          <w:rFonts w:asciiTheme="minorHAnsi" w:hAnsiTheme="minorHAnsi"/>
        </w:rPr>
        <w:t>Bull J</w:t>
      </w:r>
      <w:r w:rsidR="000E6ED8">
        <w:rPr>
          <w:rFonts w:asciiTheme="minorHAnsi" w:hAnsiTheme="minorHAnsi"/>
        </w:rPr>
        <w:t>.</w:t>
      </w:r>
      <w:r w:rsidRPr="00925BFC">
        <w:rPr>
          <w:rFonts w:asciiTheme="minorHAnsi" w:hAnsiTheme="minorHAnsi"/>
        </w:rPr>
        <w:t>W</w:t>
      </w:r>
      <w:r w:rsidR="000E6ED8">
        <w:rPr>
          <w:rFonts w:asciiTheme="minorHAnsi" w:hAnsiTheme="minorHAnsi"/>
        </w:rPr>
        <w:t>.</w:t>
      </w:r>
      <w:r w:rsidRPr="00925BFC">
        <w:rPr>
          <w:rFonts w:asciiTheme="minorHAnsi" w:hAnsiTheme="minorHAnsi"/>
        </w:rPr>
        <w:t>, Suttle K</w:t>
      </w:r>
      <w:r w:rsidR="000E6ED8">
        <w:rPr>
          <w:rFonts w:asciiTheme="minorHAnsi" w:hAnsiTheme="minorHAnsi"/>
        </w:rPr>
        <w:t>.</w:t>
      </w:r>
      <w:r w:rsidRPr="00925BFC">
        <w:rPr>
          <w:rFonts w:asciiTheme="minorHAnsi" w:hAnsiTheme="minorHAnsi"/>
        </w:rPr>
        <w:t>B</w:t>
      </w:r>
      <w:r w:rsidR="000E6ED8">
        <w:rPr>
          <w:rFonts w:asciiTheme="minorHAnsi" w:hAnsiTheme="minorHAnsi"/>
        </w:rPr>
        <w:t>.</w:t>
      </w:r>
      <w:r w:rsidRPr="00925BFC">
        <w:rPr>
          <w:rFonts w:asciiTheme="minorHAnsi" w:hAnsiTheme="minorHAnsi"/>
        </w:rPr>
        <w:t>, Gordon A</w:t>
      </w:r>
      <w:r w:rsidR="000E6ED8">
        <w:rPr>
          <w:rFonts w:asciiTheme="minorHAnsi" w:hAnsiTheme="minorHAnsi"/>
        </w:rPr>
        <w:t>.</w:t>
      </w:r>
      <w:r w:rsidRPr="00925BFC">
        <w:rPr>
          <w:rFonts w:asciiTheme="minorHAnsi" w:hAnsiTheme="minorHAnsi"/>
        </w:rPr>
        <w:t>, Singh N</w:t>
      </w:r>
      <w:r w:rsidR="000E6ED8">
        <w:rPr>
          <w:rFonts w:asciiTheme="minorHAnsi" w:hAnsiTheme="minorHAnsi"/>
        </w:rPr>
        <w:t>.</w:t>
      </w:r>
      <w:r w:rsidRPr="00925BFC">
        <w:rPr>
          <w:rFonts w:asciiTheme="minorHAnsi" w:hAnsiTheme="minorHAnsi"/>
        </w:rPr>
        <w:t>J</w:t>
      </w:r>
      <w:r w:rsidR="000E6ED8">
        <w:rPr>
          <w:rFonts w:asciiTheme="minorHAnsi" w:hAnsiTheme="minorHAnsi"/>
        </w:rPr>
        <w:t>.</w:t>
      </w:r>
      <w:r>
        <w:rPr>
          <w:rFonts w:asciiTheme="minorHAnsi" w:hAnsiTheme="minorHAnsi"/>
        </w:rPr>
        <w:t xml:space="preserve"> &amp;</w:t>
      </w:r>
      <w:r w:rsidRPr="00925BFC">
        <w:rPr>
          <w:rFonts w:asciiTheme="minorHAnsi" w:hAnsiTheme="minorHAnsi"/>
        </w:rPr>
        <w:t xml:space="preserve"> Milner-Gulland E</w:t>
      </w:r>
      <w:r w:rsidR="000E6ED8">
        <w:rPr>
          <w:rFonts w:asciiTheme="minorHAnsi" w:hAnsiTheme="minorHAnsi"/>
        </w:rPr>
        <w:t>.</w:t>
      </w:r>
      <w:r w:rsidRPr="00925BFC">
        <w:rPr>
          <w:rFonts w:asciiTheme="minorHAnsi" w:hAnsiTheme="minorHAnsi"/>
        </w:rPr>
        <w:t>J</w:t>
      </w:r>
      <w:r>
        <w:rPr>
          <w:rFonts w:asciiTheme="minorHAnsi" w:hAnsiTheme="minorHAnsi"/>
        </w:rPr>
        <w:t>.</w:t>
      </w:r>
      <w:r w:rsidRPr="00925BFC">
        <w:rPr>
          <w:rFonts w:asciiTheme="minorHAnsi" w:hAnsiTheme="minorHAnsi"/>
        </w:rPr>
        <w:t xml:space="preserve"> (2013). Biodiversity offsets in theory and practice. </w:t>
      </w:r>
      <w:r w:rsidRPr="00BB6AA1">
        <w:rPr>
          <w:rFonts w:asciiTheme="minorHAnsi" w:hAnsiTheme="minorHAnsi"/>
          <w:i/>
        </w:rPr>
        <w:t>Oryx</w:t>
      </w:r>
      <w:r w:rsidRPr="00925BFC">
        <w:rPr>
          <w:rFonts w:asciiTheme="minorHAnsi" w:hAnsiTheme="minorHAnsi"/>
        </w:rPr>
        <w:t xml:space="preserve"> 47: 369-380.</w:t>
      </w:r>
    </w:p>
    <w:p w14:paraId="54CACACA" w14:textId="77777777" w:rsidR="00A15951" w:rsidRDefault="00A15951" w:rsidP="00A15951">
      <w:pPr>
        <w:pStyle w:val="References"/>
        <w:ind w:left="284" w:hanging="284"/>
        <w:rPr>
          <w:rFonts w:asciiTheme="minorHAnsi" w:hAnsiTheme="minorHAnsi"/>
        </w:rPr>
      </w:pPr>
      <w:r>
        <w:rPr>
          <w:rFonts w:asciiTheme="minorHAnsi" w:hAnsiTheme="minorHAnsi"/>
        </w:rPr>
        <w:t>Bureau of Meterology (</w:t>
      </w:r>
      <w:r w:rsidRPr="00A76D67">
        <w:rPr>
          <w:rFonts w:asciiTheme="minorHAnsi" w:hAnsiTheme="minorHAnsi"/>
        </w:rPr>
        <w:t>BOM</w:t>
      </w:r>
      <w:r>
        <w:rPr>
          <w:rFonts w:asciiTheme="minorHAnsi" w:hAnsiTheme="minorHAnsi"/>
        </w:rPr>
        <w:t>)</w:t>
      </w:r>
      <w:r w:rsidRPr="00A76D67">
        <w:rPr>
          <w:rFonts w:asciiTheme="minorHAnsi" w:hAnsiTheme="minorHAnsi"/>
        </w:rPr>
        <w:t xml:space="preserve"> </w:t>
      </w:r>
      <w:r>
        <w:rPr>
          <w:rFonts w:asciiTheme="minorHAnsi" w:hAnsiTheme="minorHAnsi"/>
        </w:rPr>
        <w:t>(</w:t>
      </w:r>
      <w:r w:rsidRPr="00A76D67">
        <w:rPr>
          <w:rFonts w:asciiTheme="minorHAnsi" w:hAnsiTheme="minorHAnsi"/>
        </w:rPr>
        <w:t>2016</w:t>
      </w:r>
      <w:r>
        <w:rPr>
          <w:rFonts w:asciiTheme="minorHAnsi" w:hAnsiTheme="minorHAnsi"/>
        </w:rPr>
        <w:t xml:space="preserve">). </w:t>
      </w:r>
      <w:r w:rsidRPr="00A76D67">
        <w:rPr>
          <w:rFonts w:asciiTheme="minorHAnsi" w:hAnsiTheme="minorHAnsi"/>
        </w:rPr>
        <w:t xml:space="preserve">National </w:t>
      </w:r>
      <w:r>
        <w:rPr>
          <w:rFonts w:asciiTheme="minorHAnsi" w:hAnsiTheme="minorHAnsi"/>
        </w:rPr>
        <w:t xml:space="preserve">Groundwater Information System. Available at: </w:t>
      </w:r>
      <w:hyperlink r:id="rId222" w:history="1">
        <w:r w:rsidRPr="00B406C4">
          <w:rPr>
            <w:rStyle w:val="Hyperlink"/>
            <w:rFonts w:asciiTheme="minorHAnsi" w:hAnsiTheme="minorHAnsi"/>
          </w:rPr>
          <w:t>http://www.bom.gov.au/water/groundwater/ngis/</w:t>
        </w:r>
      </w:hyperlink>
      <w:r>
        <w:rPr>
          <w:rFonts w:asciiTheme="minorHAnsi" w:hAnsiTheme="minorHAnsi"/>
        </w:rPr>
        <w:t xml:space="preserve"> </w:t>
      </w:r>
    </w:p>
    <w:p w14:paraId="02D278C2" w14:textId="77777777" w:rsidR="00A15951" w:rsidRPr="00925BFC" w:rsidRDefault="00A15951" w:rsidP="00A15951">
      <w:pPr>
        <w:pStyle w:val="References"/>
        <w:ind w:left="284" w:hanging="284"/>
        <w:rPr>
          <w:rFonts w:asciiTheme="minorHAnsi" w:hAnsiTheme="minorHAnsi"/>
        </w:rPr>
      </w:pPr>
      <w:r w:rsidRPr="00925BFC">
        <w:rPr>
          <w:rFonts w:asciiTheme="minorHAnsi" w:hAnsiTheme="minorHAnsi"/>
        </w:rPr>
        <w:t>Burgman M</w:t>
      </w:r>
      <w:r>
        <w:rPr>
          <w:rFonts w:asciiTheme="minorHAnsi" w:hAnsiTheme="minorHAnsi"/>
        </w:rPr>
        <w:t>.</w:t>
      </w:r>
      <w:r w:rsidRPr="00925BFC">
        <w:rPr>
          <w:rFonts w:asciiTheme="minorHAnsi" w:hAnsiTheme="minorHAnsi"/>
        </w:rPr>
        <w:t xml:space="preserve"> (2005). Risks and decisions for conservation and environmental management. Cambridge University Press.</w:t>
      </w:r>
    </w:p>
    <w:p w14:paraId="5F6F67FE" w14:textId="2A270093" w:rsidR="00A15951" w:rsidRPr="00925BFC" w:rsidRDefault="00A15951" w:rsidP="00A15951">
      <w:pPr>
        <w:pStyle w:val="References"/>
        <w:ind w:left="284" w:hanging="284"/>
        <w:rPr>
          <w:rFonts w:asciiTheme="minorHAnsi" w:hAnsiTheme="minorHAnsi"/>
        </w:rPr>
      </w:pPr>
      <w:r w:rsidRPr="00925BFC">
        <w:rPr>
          <w:rFonts w:asciiTheme="minorHAnsi" w:hAnsiTheme="minorHAnsi"/>
        </w:rPr>
        <w:lastRenderedPageBreak/>
        <w:t>Burgman M</w:t>
      </w:r>
      <w:r w:rsidR="000E6ED8">
        <w:rPr>
          <w:rFonts w:asciiTheme="minorHAnsi" w:hAnsiTheme="minorHAnsi"/>
        </w:rPr>
        <w:t>.</w:t>
      </w:r>
      <w:r w:rsidRPr="00925BFC">
        <w:rPr>
          <w:rFonts w:asciiTheme="minorHAnsi" w:hAnsiTheme="minorHAnsi"/>
        </w:rPr>
        <w:t>A</w:t>
      </w:r>
      <w:r w:rsidR="000E6ED8">
        <w:rPr>
          <w:rFonts w:asciiTheme="minorHAnsi" w:hAnsiTheme="minorHAnsi"/>
        </w:rPr>
        <w:t>.</w:t>
      </w:r>
      <w:r w:rsidRPr="00925BFC">
        <w:rPr>
          <w:rFonts w:asciiTheme="minorHAnsi" w:hAnsiTheme="minorHAnsi"/>
        </w:rPr>
        <w:t>, Lindenmayer D</w:t>
      </w:r>
      <w:r w:rsidR="000E6ED8">
        <w:rPr>
          <w:rFonts w:asciiTheme="minorHAnsi" w:hAnsiTheme="minorHAnsi"/>
        </w:rPr>
        <w:t>.</w:t>
      </w:r>
      <w:r w:rsidRPr="00925BFC">
        <w:rPr>
          <w:rFonts w:asciiTheme="minorHAnsi" w:hAnsiTheme="minorHAnsi"/>
        </w:rPr>
        <w:t>B</w:t>
      </w:r>
      <w:r w:rsidR="000E6ED8">
        <w:rPr>
          <w:rFonts w:asciiTheme="minorHAnsi" w:hAnsiTheme="minorHAnsi"/>
        </w:rPr>
        <w:t>.</w:t>
      </w:r>
      <w:r>
        <w:rPr>
          <w:rFonts w:asciiTheme="minorHAnsi" w:hAnsiTheme="minorHAnsi"/>
        </w:rPr>
        <w:t xml:space="preserve"> &amp;</w:t>
      </w:r>
      <w:r w:rsidRPr="00925BFC">
        <w:rPr>
          <w:rFonts w:asciiTheme="minorHAnsi" w:hAnsiTheme="minorHAnsi"/>
        </w:rPr>
        <w:t xml:space="preserve"> Elith J. (2005). Managing landscapes for conservation under uncertainty. </w:t>
      </w:r>
      <w:r w:rsidRPr="00BB6AA1">
        <w:rPr>
          <w:rFonts w:asciiTheme="minorHAnsi" w:hAnsiTheme="minorHAnsi"/>
          <w:i/>
        </w:rPr>
        <w:t>Ecology</w:t>
      </w:r>
      <w:r w:rsidRPr="00925BFC">
        <w:rPr>
          <w:rFonts w:asciiTheme="minorHAnsi" w:hAnsiTheme="minorHAnsi"/>
        </w:rPr>
        <w:t xml:space="preserve"> 86: 2007-2017.</w:t>
      </w:r>
    </w:p>
    <w:p w14:paraId="4FF559FC" w14:textId="354DDD0C" w:rsidR="00A15951" w:rsidRPr="00925BFC" w:rsidRDefault="00A15951" w:rsidP="00A15951">
      <w:pPr>
        <w:pStyle w:val="References"/>
        <w:ind w:left="284" w:hanging="284"/>
        <w:rPr>
          <w:rFonts w:asciiTheme="minorHAnsi" w:hAnsiTheme="minorHAnsi"/>
        </w:rPr>
      </w:pPr>
      <w:r w:rsidRPr="00925BFC">
        <w:rPr>
          <w:rFonts w:asciiTheme="minorHAnsi" w:hAnsiTheme="minorHAnsi"/>
        </w:rPr>
        <w:t>Calcagno V</w:t>
      </w:r>
      <w:r w:rsidR="000E6ED8">
        <w:rPr>
          <w:rFonts w:asciiTheme="minorHAnsi" w:hAnsiTheme="minorHAnsi"/>
        </w:rPr>
        <w:t>.</w:t>
      </w:r>
      <w:r w:rsidRPr="00925BFC">
        <w:rPr>
          <w:rFonts w:asciiTheme="minorHAnsi" w:hAnsiTheme="minorHAnsi"/>
        </w:rPr>
        <w:t xml:space="preserve"> &amp; de Mazancourt C. (2010). glmulti: An R Package for Easy Automated Model Selection with (Generalized) Linear Models. </w:t>
      </w:r>
      <w:r w:rsidRPr="00BB6AA1">
        <w:rPr>
          <w:rFonts w:asciiTheme="minorHAnsi" w:hAnsiTheme="minorHAnsi"/>
          <w:i/>
        </w:rPr>
        <w:t>Journal of Statistical Software</w:t>
      </w:r>
      <w:r w:rsidRPr="00925BFC">
        <w:rPr>
          <w:rFonts w:asciiTheme="minorHAnsi" w:hAnsiTheme="minorHAnsi"/>
        </w:rPr>
        <w:t xml:space="preserve"> 34</w:t>
      </w:r>
      <w:r>
        <w:rPr>
          <w:rFonts w:asciiTheme="minorHAnsi" w:hAnsiTheme="minorHAnsi"/>
        </w:rPr>
        <w:t>:</w:t>
      </w:r>
      <w:r w:rsidRPr="00925BFC">
        <w:rPr>
          <w:rFonts w:asciiTheme="minorHAnsi" w:hAnsiTheme="minorHAnsi"/>
        </w:rPr>
        <w:t xml:space="preserve"> 1-29.</w:t>
      </w:r>
    </w:p>
    <w:p w14:paraId="1289F9CF" w14:textId="532002AD" w:rsidR="00A15951" w:rsidRPr="00925BFC" w:rsidRDefault="00A15951" w:rsidP="00A15951">
      <w:pPr>
        <w:pStyle w:val="References"/>
        <w:ind w:left="284" w:hanging="284"/>
        <w:rPr>
          <w:rFonts w:asciiTheme="minorHAnsi" w:hAnsiTheme="minorHAnsi"/>
        </w:rPr>
      </w:pPr>
      <w:r w:rsidRPr="00925BFC">
        <w:rPr>
          <w:rFonts w:asciiTheme="minorHAnsi" w:hAnsiTheme="minorHAnsi"/>
        </w:rPr>
        <w:t>Cantonati M</w:t>
      </w:r>
      <w:r w:rsidR="000E6ED8">
        <w:rPr>
          <w:rFonts w:asciiTheme="minorHAnsi" w:hAnsiTheme="minorHAnsi"/>
        </w:rPr>
        <w:t>.</w:t>
      </w:r>
      <w:r w:rsidRPr="00925BFC">
        <w:rPr>
          <w:rFonts w:asciiTheme="minorHAnsi" w:hAnsiTheme="minorHAnsi"/>
        </w:rPr>
        <w:t xml:space="preserve">, Bertuzzi </w:t>
      </w:r>
      <w:r>
        <w:rPr>
          <w:rFonts w:asciiTheme="minorHAnsi" w:hAnsiTheme="minorHAnsi"/>
        </w:rPr>
        <w:t>E</w:t>
      </w:r>
      <w:r w:rsidR="000E6ED8">
        <w:rPr>
          <w:rFonts w:asciiTheme="minorHAnsi" w:hAnsiTheme="minorHAnsi"/>
        </w:rPr>
        <w:t>.</w:t>
      </w:r>
      <w:r>
        <w:rPr>
          <w:rFonts w:asciiTheme="minorHAnsi" w:hAnsiTheme="minorHAnsi"/>
        </w:rPr>
        <w:t xml:space="preserve"> &amp; </w:t>
      </w:r>
      <w:r w:rsidRPr="00925BFC">
        <w:rPr>
          <w:rFonts w:asciiTheme="minorHAnsi" w:hAnsiTheme="minorHAnsi"/>
        </w:rPr>
        <w:t xml:space="preserve">Spitale </w:t>
      </w:r>
      <w:r>
        <w:rPr>
          <w:rFonts w:asciiTheme="minorHAnsi" w:hAnsiTheme="minorHAnsi"/>
        </w:rPr>
        <w:t xml:space="preserve">D. </w:t>
      </w:r>
      <w:r w:rsidRPr="00925BFC">
        <w:rPr>
          <w:rFonts w:asciiTheme="minorHAnsi" w:hAnsiTheme="minorHAnsi"/>
        </w:rPr>
        <w:t>(2007). The spring habitat: biota and sampling methods, Museo tridentino di scienze naturali.</w:t>
      </w:r>
    </w:p>
    <w:p w14:paraId="524124D5" w14:textId="281C5EA7" w:rsidR="00A15951" w:rsidRPr="00925BFC" w:rsidRDefault="00A15951" w:rsidP="00A15951">
      <w:pPr>
        <w:pStyle w:val="References"/>
        <w:ind w:left="284" w:hanging="284"/>
        <w:rPr>
          <w:rFonts w:asciiTheme="minorHAnsi" w:hAnsiTheme="minorHAnsi"/>
        </w:rPr>
      </w:pPr>
      <w:r w:rsidRPr="00925BFC">
        <w:rPr>
          <w:rFonts w:asciiTheme="minorHAnsi" w:hAnsiTheme="minorHAnsi"/>
        </w:rPr>
        <w:t>Cantonati M</w:t>
      </w:r>
      <w:r w:rsidR="000E6ED8">
        <w:rPr>
          <w:rFonts w:asciiTheme="minorHAnsi" w:hAnsiTheme="minorHAnsi"/>
        </w:rPr>
        <w:t>.</w:t>
      </w:r>
      <w:r w:rsidRPr="00925BFC">
        <w:rPr>
          <w:rFonts w:asciiTheme="minorHAnsi" w:hAnsiTheme="minorHAnsi"/>
        </w:rPr>
        <w:t>, Angeli</w:t>
      </w:r>
      <w:r>
        <w:rPr>
          <w:rFonts w:asciiTheme="minorHAnsi" w:hAnsiTheme="minorHAnsi"/>
        </w:rPr>
        <w:t xml:space="preserve"> N</w:t>
      </w:r>
      <w:r w:rsidR="000E6ED8">
        <w:rPr>
          <w:rFonts w:asciiTheme="minorHAnsi" w:hAnsiTheme="minorHAnsi"/>
        </w:rPr>
        <w:t>.</w:t>
      </w:r>
      <w:r w:rsidRPr="00925BFC">
        <w:rPr>
          <w:rFonts w:asciiTheme="minorHAnsi" w:hAnsiTheme="minorHAnsi"/>
        </w:rPr>
        <w:t>, Bertuzzi</w:t>
      </w:r>
      <w:r>
        <w:rPr>
          <w:rFonts w:asciiTheme="minorHAnsi" w:hAnsiTheme="minorHAnsi"/>
        </w:rPr>
        <w:t xml:space="preserve"> E</w:t>
      </w:r>
      <w:r w:rsidR="000E6ED8">
        <w:rPr>
          <w:rFonts w:asciiTheme="minorHAnsi" w:hAnsiTheme="minorHAnsi"/>
        </w:rPr>
        <w:t>.</w:t>
      </w:r>
      <w:r w:rsidRPr="00925BFC">
        <w:rPr>
          <w:rFonts w:asciiTheme="minorHAnsi" w:hAnsiTheme="minorHAnsi"/>
        </w:rPr>
        <w:t xml:space="preserve">, Spitale </w:t>
      </w:r>
      <w:r>
        <w:rPr>
          <w:rFonts w:asciiTheme="minorHAnsi" w:hAnsiTheme="minorHAnsi"/>
        </w:rPr>
        <w:t>D</w:t>
      </w:r>
      <w:r w:rsidR="000E6ED8">
        <w:rPr>
          <w:rFonts w:asciiTheme="minorHAnsi" w:hAnsiTheme="minorHAnsi"/>
        </w:rPr>
        <w:t>.</w:t>
      </w:r>
      <w:r>
        <w:rPr>
          <w:rFonts w:asciiTheme="minorHAnsi" w:hAnsiTheme="minorHAnsi"/>
        </w:rPr>
        <w:t xml:space="preserve"> &amp;</w:t>
      </w:r>
      <w:r w:rsidRPr="00925BFC">
        <w:rPr>
          <w:rFonts w:asciiTheme="minorHAnsi" w:hAnsiTheme="minorHAnsi"/>
        </w:rPr>
        <w:t xml:space="preserve"> Lange-Bertalot </w:t>
      </w:r>
      <w:r>
        <w:rPr>
          <w:rFonts w:asciiTheme="minorHAnsi" w:hAnsiTheme="minorHAnsi"/>
        </w:rPr>
        <w:t xml:space="preserve">H. </w:t>
      </w:r>
      <w:r w:rsidRPr="00925BFC">
        <w:rPr>
          <w:rFonts w:asciiTheme="minorHAnsi" w:hAnsiTheme="minorHAnsi"/>
        </w:rPr>
        <w:t>(2012</w:t>
      </w:r>
      <w:r>
        <w:rPr>
          <w:rFonts w:asciiTheme="minorHAnsi" w:hAnsiTheme="minorHAnsi"/>
        </w:rPr>
        <w:t xml:space="preserve">a). </w:t>
      </w:r>
      <w:r w:rsidRPr="00925BFC">
        <w:rPr>
          <w:rFonts w:asciiTheme="minorHAnsi" w:hAnsiTheme="minorHAnsi"/>
        </w:rPr>
        <w:t>Diatoms in springs of the Alps: spring types, environmental determinants, and substratum. Freshwater Science 31: 499-524.</w:t>
      </w:r>
    </w:p>
    <w:p w14:paraId="282EE6C8" w14:textId="1E04518C" w:rsidR="00A15951" w:rsidRPr="00925BFC" w:rsidRDefault="00A15951" w:rsidP="00A15951">
      <w:pPr>
        <w:pStyle w:val="References"/>
        <w:ind w:left="284" w:hanging="284"/>
        <w:rPr>
          <w:rFonts w:asciiTheme="minorHAnsi" w:hAnsiTheme="minorHAnsi"/>
        </w:rPr>
      </w:pPr>
      <w:r w:rsidRPr="00925BFC">
        <w:rPr>
          <w:rFonts w:asciiTheme="minorHAnsi" w:hAnsiTheme="minorHAnsi"/>
        </w:rPr>
        <w:t>Cantonati M</w:t>
      </w:r>
      <w:r w:rsidR="000E6ED8">
        <w:rPr>
          <w:rFonts w:asciiTheme="minorHAnsi" w:hAnsiTheme="minorHAnsi"/>
        </w:rPr>
        <w:t>.</w:t>
      </w:r>
      <w:r w:rsidRPr="00925BFC">
        <w:rPr>
          <w:rFonts w:asciiTheme="minorHAnsi" w:hAnsiTheme="minorHAnsi"/>
        </w:rPr>
        <w:t>, Fureder L</w:t>
      </w:r>
      <w:r w:rsidR="000E6ED8">
        <w:rPr>
          <w:rFonts w:asciiTheme="minorHAnsi" w:hAnsiTheme="minorHAnsi"/>
        </w:rPr>
        <w:t>.</w:t>
      </w:r>
      <w:r w:rsidRPr="00925BFC">
        <w:rPr>
          <w:rFonts w:asciiTheme="minorHAnsi" w:hAnsiTheme="minorHAnsi"/>
        </w:rPr>
        <w:t>, Gerecke R</w:t>
      </w:r>
      <w:r w:rsidR="000E6ED8">
        <w:rPr>
          <w:rFonts w:asciiTheme="minorHAnsi" w:hAnsiTheme="minorHAnsi"/>
        </w:rPr>
        <w:t>.</w:t>
      </w:r>
      <w:r w:rsidRPr="00925BFC">
        <w:rPr>
          <w:rFonts w:asciiTheme="minorHAnsi" w:hAnsiTheme="minorHAnsi"/>
        </w:rPr>
        <w:t>, Juttner I</w:t>
      </w:r>
      <w:r w:rsidR="000E6ED8">
        <w:rPr>
          <w:rFonts w:asciiTheme="minorHAnsi" w:hAnsiTheme="minorHAnsi"/>
        </w:rPr>
        <w:t>.</w:t>
      </w:r>
      <w:r w:rsidRPr="00925BFC">
        <w:rPr>
          <w:rFonts w:asciiTheme="minorHAnsi" w:hAnsiTheme="minorHAnsi"/>
        </w:rPr>
        <w:t xml:space="preserve"> &amp; Cox E</w:t>
      </w:r>
      <w:r w:rsidR="000E6ED8">
        <w:rPr>
          <w:rFonts w:asciiTheme="minorHAnsi" w:hAnsiTheme="minorHAnsi"/>
        </w:rPr>
        <w:t>.</w:t>
      </w:r>
      <w:r w:rsidRPr="00925BFC">
        <w:rPr>
          <w:rFonts w:asciiTheme="minorHAnsi" w:hAnsiTheme="minorHAnsi"/>
        </w:rPr>
        <w:t>J. (2012</w:t>
      </w:r>
      <w:r>
        <w:rPr>
          <w:rFonts w:asciiTheme="minorHAnsi" w:hAnsiTheme="minorHAnsi"/>
        </w:rPr>
        <w:t>b</w:t>
      </w:r>
      <w:r w:rsidRPr="00925BFC">
        <w:rPr>
          <w:rFonts w:asciiTheme="minorHAnsi" w:hAnsiTheme="minorHAnsi"/>
        </w:rPr>
        <w:t xml:space="preserve">). Crenic habitats, hotspots for freshwater biodiversity conservation: toward an understanding of their ecology. </w:t>
      </w:r>
      <w:r w:rsidRPr="00925BFC">
        <w:rPr>
          <w:rFonts w:asciiTheme="minorHAnsi" w:hAnsiTheme="minorHAnsi"/>
          <w:i/>
        </w:rPr>
        <w:t>Freshwater Science</w:t>
      </w:r>
      <w:r w:rsidRPr="00925BFC">
        <w:rPr>
          <w:rFonts w:asciiTheme="minorHAnsi" w:hAnsiTheme="minorHAnsi"/>
        </w:rPr>
        <w:t xml:space="preserve"> 31: 463–480.</w:t>
      </w:r>
    </w:p>
    <w:p w14:paraId="2A58539C" w14:textId="44293DA9" w:rsidR="00A15951" w:rsidRPr="00925BFC" w:rsidRDefault="00A15951" w:rsidP="00A15951">
      <w:pPr>
        <w:pStyle w:val="References"/>
        <w:ind w:left="284" w:hanging="284"/>
        <w:rPr>
          <w:rFonts w:asciiTheme="minorHAnsi" w:hAnsiTheme="minorHAnsi"/>
        </w:rPr>
      </w:pPr>
      <w:r w:rsidRPr="00925BFC">
        <w:rPr>
          <w:rFonts w:asciiTheme="minorHAnsi" w:hAnsiTheme="minorHAnsi"/>
        </w:rPr>
        <w:t>Cantonati M</w:t>
      </w:r>
      <w:r w:rsidR="000E6ED8">
        <w:rPr>
          <w:rFonts w:asciiTheme="minorHAnsi" w:hAnsiTheme="minorHAnsi"/>
        </w:rPr>
        <w:t>.</w:t>
      </w:r>
      <w:r w:rsidRPr="00925BFC">
        <w:rPr>
          <w:rFonts w:asciiTheme="minorHAnsi" w:hAnsiTheme="minorHAnsi"/>
        </w:rPr>
        <w:t>, Segadelli</w:t>
      </w:r>
      <w:r>
        <w:rPr>
          <w:rFonts w:asciiTheme="minorHAnsi" w:hAnsiTheme="minorHAnsi"/>
        </w:rPr>
        <w:t xml:space="preserve"> S</w:t>
      </w:r>
      <w:r w:rsidR="000E6ED8">
        <w:rPr>
          <w:rFonts w:asciiTheme="minorHAnsi" w:hAnsiTheme="minorHAnsi"/>
        </w:rPr>
        <w:t>.</w:t>
      </w:r>
      <w:r w:rsidRPr="00925BFC">
        <w:rPr>
          <w:rFonts w:asciiTheme="minorHAnsi" w:hAnsiTheme="minorHAnsi"/>
        </w:rPr>
        <w:t>, Ogata</w:t>
      </w:r>
      <w:r>
        <w:rPr>
          <w:rFonts w:asciiTheme="minorHAnsi" w:hAnsiTheme="minorHAnsi"/>
        </w:rPr>
        <w:t xml:space="preserve"> K</w:t>
      </w:r>
      <w:r w:rsidR="000E6ED8">
        <w:rPr>
          <w:rFonts w:asciiTheme="minorHAnsi" w:hAnsiTheme="minorHAnsi"/>
        </w:rPr>
        <w:t>.</w:t>
      </w:r>
      <w:r w:rsidRPr="00925BFC">
        <w:rPr>
          <w:rFonts w:asciiTheme="minorHAnsi" w:hAnsiTheme="minorHAnsi"/>
        </w:rPr>
        <w:t>, Tran</w:t>
      </w:r>
      <w:r>
        <w:rPr>
          <w:rFonts w:asciiTheme="minorHAnsi" w:hAnsiTheme="minorHAnsi"/>
        </w:rPr>
        <w:t xml:space="preserve"> H</w:t>
      </w:r>
      <w:r w:rsidR="000E6ED8">
        <w:rPr>
          <w:rFonts w:asciiTheme="minorHAnsi" w:hAnsiTheme="minorHAnsi"/>
        </w:rPr>
        <w:t>.</w:t>
      </w:r>
      <w:r w:rsidRPr="00925BFC">
        <w:rPr>
          <w:rFonts w:asciiTheme="minorHAnsi" w:hAnsiTheme="minorHAnsi"/>
        </w:rPr>
        <w:t>, Sanders</w:t>
      </w:r>
      <w:r>
        <w:rPr>
          <w:rFonts w:asciiTheme="minorHAnsi" w:hAnsiTheme="minorHAnsi"/>
        </w:rPr>
        <w:t xml:space="preserve"> D</w:t>
      </w:r>
      <w:r w:rsidR="000E6ED8">
        <w:rPr>
          <w:rFonts w:asciiTheme="minorHAnsi" w:hAnsiTheme="minorHAnsi"/>
        </w:rPr>
        <w:t>.</w:t>
      </w:r>
      <w:r>
        <w:rPr>
          <w:rFonts w:asciiTheme="minorHAnsi" w:hAnsiTheme="minorHAnsi"/>
        </w:rPr>
        <w:t xml:space="preserve">, </w:t>
      </w:r>
      <w:r w:rsidRPr="00925BFC">
        <w:rPr>
          <w:rFonts w:asciiTheme="minorHAnsi" w:hAnsiTheme="minorHAnsi"/>
        </w:rPr>
        <w:t>Gerecke</w:t>
      </w:r>
      <w:r>
        <w:rPr>
          <w:rFonts w:asciiTheme="minorHAnsi" w:hAnsiTheme="minorHAnsi"/>
        </w:rPr>
        <w:t xml:space="preserve"> R</w:t>
      </w:r>
      <w:r w:rsidR="000E6ED8">
        <w:rPr>
          <w:rFonts w:asciiTheme="minorHAnsi" w:hAnsiTheme="minorHAnsi"/>
        </w:rPr>
        <w:t>.</w:t>
      </w:r>
      <w:r w:rsidRPr="00925BFC">
        <w:rPr>
          <w:rFonts w:asciiTheme="minorHAnsi" w:hAnsiTheme="minorHAnsi"/>
        </w:rPr>
        <w:t>, Rott</w:t>
      </w:r>
      <w:r>
        <w:rPr>
          <w:rFonts w:asciiTheme="minorHAnsi" w:hAnsiTheme="minorHAnsi"/>
        </w:rPr>
        <w:t xml:space="preserve"> E</w:t>
      </w:r>
      <w:r w:rsidR="000E6ED8">
        <w:rPr>
          <w:rFonts w:asciiTheme="minorHAnsi" w:hAnsiTheme="minorHAnsi"/>
        </w:rPr>
        <w:t>.</w:t>
      </w:r>
      <w:r w:rsidRPr="00925BFC">
        <w:rPr>
          <w:rFonts w:asciiTheme="minorHAnsi" w:hAnsiTheme="minorHAnsi"/>
        </w:rPr>
        <w:t>, Filippini</w:t>
      </w:r>
      <w:r>
        <w:rPr>
          <w:rFonts w:asciiTheme="minorHAnsi" w:hAnsiTheme="minorHAnsi"/>
        </w:rPr>
        <w:t xml:space="preserve"> M</w:t>
      </w:r>
      <w:r w:rsidR="000E6ED8">
        <w:rPr>
          <w:rFonts w:asciiTheme="minorHAnsi" w:hAnsiTheme="minorHAnsi"/>
        </w:rPr>
        <w:t>.</w:t>
      </w:r>
      <w:r w:rsidRPr="00925BFC">
        <w:rPr>
          <w:rFonts w:asciiTheme="minorHAnsi" w:hAnsiTheme="minorHAnsi"/>
        </w:rPr>
        <w:t>, Gargini</w:t>
      </w:r>
      <w:r>
        <w:rPr>
          <w:rFonts w:asciiTheme="minorHAnsi" w:hAnsiTheme="minorHAnsi"/>
        </w:rPr>
        <w:t xml:space="preserve"> A</w:t>
      </w:r>
      <w:r w:rsidR="000E6ED8">
        <w:rPr>
          <w:rFonts w:asciiTheme="minorHAnsi" w:hAnsiTheme="minorHAnsi"/>
        </w:rPr>
        <w:t>.</w:t>
      </w:r>
      <w:r>
        <w:rPr>
          <w:rFonts w:asciiTheme="minorHAnsi" w:hAnsiTheme="minorHAnsi"/>
        </w:rPr>
        <w:t xml:space="preserve"> &amp;</w:t>
      </w:r>
      <w:r w:rsidRPr="00925BFC">
        <w:rPr>
          <w:rFonts w:asciiTheme="minorHAnsi" w:hAnsiTheme="minorHAnsi"/>
        </w:rPr>
        <w:t xml:space="preserve"> Celico</w:t>
      </w:r>
      <w:r>
        <w:rPr>
          <w:rFonts w:asciiTheme="minorHAnsi" w:hAnsiTheme="minorHAnsi"/>
        </w:rPr>
        <w:t xml:space="preserve"> F. (2016). </w:t>
      </w:r>
      <w:r w:rsidRPr="00925BFC">
        <w:rPr>
          <w:rFonts w:asciiTheme="minorHAnsi" w:hAnsiTheme="minorHAnsi"/>
        </w:rPr>
        <w:t>A global review on ambient Limestone-Precipitating Springs (LPS): Hydrogeological sett</w:t>
      </w:r>
      <w:r>
        <w:rPr>
          <w:rFonts w:asciiTheme="minorHAnsi" w:hAnsiTheme="minorHAnsi"/>
        </w:rPr>
        <w:t>ing, ecology, and conservation.</w:t>
      </w:r>
      <w:r w:rsidRPr="00925BFC">
        <w:rPr>
          <w:rFonts w:asciiTheme="minorHAnsi" w:hAnsiTheme="minorHAnsi"/>
        </w:rPr>
        <w:t xml:space="preserve"> </w:t>
      </w:r>
      <w:r w:rsidRPr="00BB6AA1">
        <w:rPr>
          <w:rFonts w:asciiTheme="minorHAnsi" w:hAnsiTheme="minorHAnsi"/>
          <w:i/>
        </w:rPr>
        <w:t>Science of The Total Environment</w:t>
      </w:r>
      <w:r>
        <w:rPr>
          <w:rFonts w:asciiTheme="minorHAnsi" w:hAnsiTheme="minorHAnsi"/>
          <w:i/>
        </w:rPr>
        <w:t>.</w:t>
      </w:r>
    </w:p>
    <w:p w14:paraId="198C500E" w14:textId="54E97BD6" w:rsidR="00A15951" w:rsidRPr="00925BFC" w:rsidRDefault="00A15951" w:rsidP="00A15951">
      <w:pPr>
        <w:pStyle w:val="References"/>
        <w:ind w:left="284" w:hanging="284"/>
        <w:rPr>
          <w:rFonts w:asciiTheme="minorHAnsi" w:hAnsiTheme="minorHAnsi"/>
        </w:rPr>
      </w:pPr>
      <w:r w:rsidRPr="00925BFC">
        <w:rPr>
          <w:rFonts w:asciiTheme="minorHAnsi" w:hAnsiTheme="minorHAnsi"/>
        </w:rPr>
        <w:t>Cardoso P</w:t>
      </w:r>
      <w:r w:rsidR="000E6ED8">
        <w:rPr>
          <w:rFonts w:asciiTheme="minorHAnsi" w:hAnsiTheme="minorHAnsi"/>
        </w:rPr>
        <w:t>.</w:t>
      </w:r>
      <w:r w:rsidRPr="00925BFC">
        <w:rPr>
          <w:rFonts w:asciiTheme="minorHAnsi" w:hAnsiTheme="minorHAnsi"/>
        </w:rPr>
        <w:t>, Erwin</w:t>
      </w:r>
      <w:r w:rsidR="000E6ED8">
        <w:rPr>
          <w:rFonts w:asciiTheme="minorHAnsi" w:hAnsiTheme="minorHAnsi"/>
        </w:rPr>
        <w:t xml:space="preserve"> T.</w:t>
      </w:r>
      <w:r>
        <w:rPr>
          <w:rFonts w:asciiTheme="minorHAnsi" w:hAnsiTheme="minorHAnsi"/>
        </w:rPr>
        <w:t>L</w:t>
      </w:r>
      <w:r w:rsidRPr="00925BFC">
        <w:rPr>
          <w:rFonts w:asciiTheme="minorHAnsi" w:hAnsiTheme="minorHAnsi"/>
        </w:rPr>
        <w:t>, Borges</w:t>
      </w:r>
      <w:r>
        <w:rPr>
          <w:rFonts w:asciiTheme="minorHAnsi" w:hAnsiTheme="minorHAnsi"/>
        </w:rPr>
        <w:t xml:space="preserve"> P</w:t>
      </w:r>
      <w:r w:rsidR="000E6ED8">
        <w:rPr>
          <w:rFonts w:asciiTheme="minorHAnsi" w:hAnsiTheme="minorHAnsi"/>
        </w:rPr>
        <w:t>.</w:t>
      </w:r>
      <w:r>
        <w:rPr>
          <w:rFonts w:asciiTheme="minorHAnsi" w:hAnsiTheme="minorHAnsi"/>
        </w:rPr>
        <w:t>A</w:t>
      </w:r>
      <w:r w:rsidR="000E6ED8">
        <w:rPr>
          <w:rFonts w:asciiTheme="minorHAnsi" w:hAnsiTheme="minorHAnsi"/>
        </w:rPr>
        <w:t>.</w:t>
      </w:r>
      <w:r>
        <w:rPr>
          <w:rFonts w:asciiTheme="minorHAnsi" w:hAnsiTheme="minorHAnsi"/>
        </w:rPr>
        <w:t>V</w:t>
      </w:r>
      <w:r w:rsidR="000E6ED8">
        <w:rPr>
          <w:rFonts w:asciiTheme="minorHAnsi" w:hAnsiTheme="minorHAnsi"/>
        </w:rPr>
        <w:t>.</w:t>
      </w:r>
      <w:r w:rsidRPr="00925BFC">
        <w:rPr>
          <w:rFonts w:asciiTheme="minorHAnsi" w:hAnsiTheme="minorHAnsi"/>
        </w:rPr>
        <w:t xml:space="preserve"> </w:t>
      </w:r>
      <w:r>
        <w:rPr>
          <w:rFonts w:asciiTheme="minorHAnsi" w:hAnsiTheme="minorHAnsi"/>
        </w:rPr>
        <w:t>&amp;</w:t>
      </w:r>
      <w:r w:rsidRPr="00925BFC">
        <w:rPr>
          <w:rFonts w:asciiTheme="minorHAnsi" w:hAnsiTheme="minorHAnsi"/>
        </w:rPr>
        <w:t xml:space="preserve"> New </w:t>
      </w:r>
      <w:r>
        <w:rPr>
          <w:rFonts w:asciiTheme="minorHAnsi" w:hAnsiTheme="minorHAnsi"/>
        </w:rPr>
        <w:t>T</w:t>
      </w:r>
      <w:r w:rsidR="000E6ED8">
        <w:rPr>
          <w:rFonts w:asciiTheme="minorHAnsi" w:hAnsiTheme="minorHAnsi"/>
        </w:rPr>
        <w:t>.</w:t>
      </w:r>
      <w:r>
        <w:rPr>
          <w:rFonts w:asciiTheme="minorHAnsi" w:hAnsiTheme="minorHAnsi"/>
        </w:rPr>
        <w:t xml:space="preserve">R. (2011). </w:t>
      </w:r>
      <w:r w:rsidRPr="00925BFC">
        <w:rPr>
          <w:rFonts w:asciiTheme="minorHAnsi" w:hAnsiTheme="minorHAnsi"/>
        </w:rPr>
        <w:t>The seven impediments in invertebrate conserv</w:t>
      </w:r>
      <w:r>
        <w:rPr>
          <w:rFonts w:asciiTheme="minorHAnsi" w:hAnsiTheme="minorHAnsi"/>
        </w:rPr>
        <w:t xml:space="preserve">ation and how to overcome them. </w:t>
      </w:r>
      <w:r w:rsidRPr="00BB6AA1">
        <w:rPr>
          <w:rFonts w:asciiTheme="minorHAnsi" w:hAnsiTheme="minorHAnsi"/>
          <w:i/>
        </w:rPr>
        <w:t>Biological Conservation</w:t>
      </w:r>
      <w:r>
        <w:rPr>
          <w:rFonts w:asciiTheme="minorHAnsi" w:hAnsiTheme="minorHAnsi"/>
        </w:rPr>
        <w:t xml:space="preserve"> 144</w:t>
      </w:r>
      <w:r w:rsidRPr="00925BFC">
        <w:rPr>
          <w:rFonts w:asciiTheme="minorHAnsi" w:hAnsiTheme="minorHAnsi"/>
        </w:rPr>
        <w:t>: 2647-2655.</w:t>
      </w:r>
    </w:p>
    <w:p w14:paraId="36E7EE65" w14:textId="4906C71B" w:rsidR="00A15951" w:rsidRDefault="00A15951" w:rsidP="00A15951">
      <w:pPr>
        <w:pStyle w:val="References"/>
        <w:ind w:left="284" w:hanging="284"/>
        <w:rPr>
          <w:rFonts w:asciiTheme="minorHAnsi" w:hAnsiTheme="minorHAnsi"/>
        </w:rPr>
      </w:pPr>
      <w:r w:rsidRPr="0063398A">
        <w:rPr>
          <w:rFonts w:asciiTheme="minorHAnsi" w:hAnsiTheme="minorHAnsi"/>
        </w:rPr>
        <w:t>Carwardine J</w:t>
      </w:r>
      <w:r w:rsidR="000E6ED8">
        <w:rPr>
          <w:rFonts w:asciiTheme="minorHAnsi" w:hAnsiTheme="minorHAnsi"/>
        </w:rPr>
        <w:t>.</w:t>
      </w:r>
      <w:r w:rsidRPr="0063398A">
        <w:rPr>
          <w:rFonts w:asciiTheme="minorHAnsi" w:hAnsiTheme="minorHAnsi"/>
        </w:rPr>
        <w:t>, O'Connor T</w:t>
      </w:r>
      <w:r w:rsidR="000E6ED8">
        <w:rPr>
          <w:rFonts w:asciiTheme="minorHAnsi" w:hAnsiTheme="minorHAnsi"/>
        </w:rPr>
        <w:t>.</w:t>
      </w:r>
      <w:r w:rsidRPr="0063398A">
        <w:rPr>
          <w:rFonts w:asciiTheme="minorHAnsi" w:hAnsiTheme="minorHAnsi"/>
        </w:rPr>
        <w:t>, L</w:t>
      </w:r>
      <w:r>
        <w:rPr>
          <w:rFonts w:asciiTheme="minorHAnsi" w:hAnsiTheme="minorHAnsi"/>
        </w:rPr>
        <w:t>egge S</w:t>
      </w:r>
      <w:r w:rsidR="000E6ED8">
        <w:rPr>
          <w:rFonts w:asciiTheme="minorHAnsi" w:hAnsiTheme="minorHAnsi"/>
        </w:rPr>
        <w:t>.</w:t>
      </w:r>
      <w:r>
        <w:rPr>
          <w:rFonts w:asciiTheme="minorHAnsi" w:hAnsiTheme="minorHAnsi"/>
        </w:rPr>
        <w:t>, Mackey B</w:t>
      </w:r>
      <w:r w:rsidR="000E6ED8">
        <w:rPr>
          <w:rFonts w:asciiTheme="minorHAnsi" w:hAnsiTheme="minorHAnsi"/>
        </w:rPr>
        <w:t>.</w:t>
      </w:r>
      <w:r>
        <w:rPr>
          <w:rFonts w:asciiTheme="minorHAnsi" w:hAnsiTheme="minorHAnsi"/>
        </w:rPr>
        <w:t>, Possingham H</w:t>
      </w:r>
      <w:r w:rsidR="000E6ED8">
        <w:rPr>
          <w:rFonts w:asciiTheme="minorHAnsi" w:hAnsiTheme="minorHAnsi"/>
        </w:rPr>
        <w:t>.</w:t>
      </w:r>
      <w:r>
        <w:rPr>
          <w:rFonts w:asciiTheme="minorHAnsi" w:hAnsiTheme="minorHAnsi"/>
        </w:rPr>
        <w:t>P</w:t>
      </w:r>
      <w:r w:rsidR="000E6ED8">
        <w:rPr>
          <w:rFonts w:asciiTheme="minorHAnsi" w:hAnsiTheme="minorHAnsi"/>
        </w:rPr>
        <w:t>.</w:t>
      </w:r>
      <w:r>
        <w:rPr>
          <w:rFonts w:asciiTheme="minorHAnsi" w:hAnsiTheme="minorHAnsi"/>
        </w:rPr>
        <w:t xml:space="preserve"> &amp;</w:t>
      </w:r>
      <w:r w:rsidRPr="0063398A">
        <w:rPr>
          <w:rFonts w:asciiTheme="minorHAnsi" w:hAnsiTheme="minorHAnsi"/>
        </w:rPr>
        <w:t xml:space="preserve"> Martin T</w:t>
      </w:r>
      <w:r w:rsidR="000E6ED8">
        <w:rPr>
          <w:rFonts w:asciiTheme="minorHAnsi" w:hAnsiTheme="minorHAnsi"/>
        </w:rPr>
        <w:t>.</w:t>
      </w:r>
      <w:r w:rsidRPr="0063398A">
        <w:rPr>
          <w:rFonts w:asciiTheme="minorHAnsi" w:hAnsiTheme="minorHAnsi"/>
        </w:rPr>
        <w:t xml:space="preserve">G. </w:t>
      </w:r>
      <w:r>
        <w:rPr>
          <w:rFonts w:asciiTheme="minorHAnsi" w:hAnsiTheme="minorHAnsi"/>
        </w:rPr>
        <w:t>(</w:t>
      </w:r>
      <w:r w:rsidRPr="0063398A">
        <w:rPr>
          <w:rFonts w:asciiTheme="minorHAnsi" w:hAnsiTheme="minorHAnsi"/>
        </w:rPr>
        <w:t>2012</w:t>
      </w:r>
      <w:r>
        <w:rPr>
          <w:rFonts w:asciiTheme="minorHAnsi" w:hAnsiTheme="minorHAnsi"/>
        </w:rPr>
        <w:t>).</w:t>
      </w:r>
      <w:r w:rsidRPr="0063398A">
        <w:rPr>
          <w:rFonts w:asciiTheme="minorHAnsi" w:hAnsiTheme="minorHAnsi"/>
        </w:rPr>
        <w:t xml:space="preserve"> Prioritizing threat management</w:t>
      </w:r>
      <w:r>
        <w:rPr>
          <w:rFonts w:asciiTheme="minorHAnsi" w:hAnsiTheme="minorHAnsi"/>
        </w:rPr>
        <w:t xml:space="preserve"> </w:t>
      </w:r>
      <w:r w:rsidRPr="0063398A">
        <w:rPr>
          <w:rFonts w:asciiTheme="minorHAnsi" w:hAnsiTheme="minorHAnsi"/>
        </w:rPr>
        <w:t>for biodiversity con</w:t>
      </w:r>
      <w:r>
        <w:rPr>
          <w:rFonts w:asciiTheme="minorHAnsi" w:hAnsiTheme="minorHAnsi"/>
        </w:rPr>
        <w:t xml:space="preserve">servation. </w:t>
      </w:r>
      <w:r w:rsidRPr="00BB6AA1">
        <w:rPr>
          <w:rFonts w:asciiTheme="minorHAnsi" w:hAnsiTheme="minorHAnsi"/>
          <w:i/>
        </w:rPr>
        <w:t>Conservation Letters</w:t>
      </w:r>
      <w:r w:rsidRPr="0063398A">
        <w:rPr>
          <w:rFonts w:asciiTheme="minorHAnsi" w:hAnsiTheme="minorHAnsi"/>
        </w:rPr>
        <w:t xml:space="preserve"> 5:</w:t>
      </w:r>
      <w:r>
        <w:rPr>
          <w:rFonts w:asciiTheme="minorHAnsi" w:hAnsiTheme="minorHAnsi"/>
        </w:rPr>
        <w:t xml:space="preserve"> </w:t>
      </w:r>
      <w:r w:rsidRPr="0063398A">
        <w:rPr>
          <w:rFonts w:asciiTheme="minorHAnsi" w:hAnsiTheme="minorHAnsi"/>
        </w:rPr>
        <w:t xml:space="preserve">196–204 </w:t>
      </w:r>
    </w:p>
    <w:p w14:paraId="7AB17334" w14:textId="5FB2CF87" w:rsidR="00A15951" w:rsidRDefault="00A15951" w:rsidP="00A15951">
      <w:pPr>
        <w:pStyle w:val="References"/>
        <w:ind w:left="284" w:hanging="284"/>
        <w:rPr>
          <w:rFonts w:asciiTheme="minorHAnsi" w:hAnsiTheme="minorHAnsi"/>
        </w:rPr>
      </w:pPr>
      <w:r w:rsidRPr="0063398A">
        <w:rPr>
          <w:rFonts w:asciiTheme="minorHAnsi" w:hAnsiTheme="minorHAnsi"/>
        </w:rPr>
        <w:t>Cattarino L</w:t>
      </w:r>
      <w:r w:rsidR="000E6ED8">
        <w:rPr>
          <w:rFonts w:asciiTheme="minorHAnsi" w:hAnsiTheme="minorHAnsi"/>
        </w:rPr>
        <w:t>.</w:t>
      </w:r>
      <w:r w:rsidRPr="0063398A">
        <w:rPr>
          <w:rFonts w:asciiTheme="minorHAnsi" w:hAnsiTheme="minorHAnsi"/>
        </w:rPr>
        <w:t>, Hermoso V</w:t>
      </w:r>
      <w:r w:rsidR="000E6ED8">
        <w:rPr>
          <w:rFonts w:asciiTheme="minorHAnsi" w:hAnsiTheme="minorHAnsi"/>
        </w:rPr>
        <w:t>.</w:t>
      </w:r>
      <w:r w:rsidRPr="0063398A">
        <w:rPr>
          <w:rFonts w:asciiTheme="minorHAnsi" w:hAnsiTheme="minorHAnsi"/>
        </w:rPr>
        <w:t>, Carwardine J</w:t>
      </w:r>
      <w:r w:rsidR="000E6ED8">
        <w:rPr>
          <w:rFonts w:asciiTheme="minorHAnsi" w:hAnsiTheme="minorHAnsi"/>
        </w:rPr>
        <w:t>.</w:t>
      </w:r>
      <w:r w:rsidRPr="0063398A">
        <w:rPr>
          <w:rFonts w:asciiTheme="minorHAnsi" w:hAnsiTheme="minorHAnsi"/>
        </w:rPr>
        <w:t>, Wilson K</w:t>
      </w:r>
      <w:r w:rsidR="000E6ED8">
        <w:rPr>
          <w:rFonts w:asciiTheme="minorHAnsi" w:hAnsiTheme="minorHAnsi"/>
        </w:rPr>
        <w:t>.</w:t>
      </w:r>
      <w:r w:rsidRPr="0063398A">
        <w:rPr>
          <w:rFonts w:asciiTheme="minorHAnsi" w:hAnsiTheme="minorHAnsi"/>
        </w:rPr>
        <w:t>A</w:t>
      </w:r>
      <w:r w:rsidR="000E6ED8">
        <w:rPr>
          <w:rFonts w:asciiTheme="minorHAnsi" w:hAnsiTheme="minorHAnsi"/>
        </w:rPr>
        <w:t>.</w:t>
      </w:r>
      <w:r w:rsidRPr="0063398A">
        <w:rPr>
          <w:rFonts w:asciiTheme="minorHAnsi" w:hAnsiTheme="minorHAnsi"/>
        </w:rPr>
        <w:t>, Kennard M</w:t>
      </w:r>
      <w:r w:rsidR="000E6ED8">
        <w:rPr>
          <w:rFonts w:asciiTheme="minorHAnsi" w:hAnsiTheme="minorHAnsi"/>
        </w:rPr>
        <w:t>.</w:t>
      </w:r>
      <w:r w:rsidRPr="0063398A">
        <w:rPr>
          <w:rFonts w:asciiTheme="minorHAnsi" w:hAnsiTheme="minorHAnsi"/>
        </w:rPr>
        <w:t>J</w:t>
      </w:r>
      <w:r w:rsidR="000E6ED8">
        <w:rPr>
          <w:rFonts w:asciiTheme="minorHAnsi" w:hAnsiTheme="minorHAnsi"/>
        </w:rPr>
        <w:t>.</w:t>
      </w:r>
      <w:r w:rsidRPr="0063398A">
        <w:rPr>
          <w:rFonts w:asciiTheme="minorHAnsi" w:hAnsiTheme="minorHAnsi"/>
        </w:rPr>
        <w:t xml:space="preserve"> &amp; Linke S. (2016). Accounting for species’ responses and management effort enhances cost-effectiveness of conservation decisions. </w:t>
      </w:r>
      <w:r w:rsidRPr="00BB6AA1">
        <w:rPr>
          <w:rFonts w:asciiTheme="minorHAnsi" w:hAnsiTheme="minorHAnsi"/>
          <w:i/>
        </w:rPr>
        <w:t>Biological Conservation</w:t>
      </w:r>
      <w:r w:rsidRPr="0063398A">
        <w:rPr>
          <w:rFonts w:asciiTheme="minorHAnsi" w:hAnsiTheme="minorHAnsi"/>
        </w:rPr>
        <w:t xml:space="preserve"> 197: 116–123.</w:t>
      </w:r>
    </w:p>
    <w:p w14:paraId="049D7BEB" w14:textId="77777777" w:rsidR="00A15951" w:rsidRPr="00925BFC" w:rsidRDefault="00A15951" w:rsidP="00A15951">
      <w:pPr>
        <w:pStyle w:val="References"/>
        <w:ind w:left="284" w:hanging="284"/>
        <w:rPr>
          <w:rFonts w:asciiTheme="minorHAnsi" w:hAnsiTheme="minorHAnsi"/>
        </w:rPr>
      </w:pPr>
      <w:r w:rsidRPr="00925BFC">
        <w:rPr>
          <w:rFonts w:asciiTheme="minorHAnsi" w:hAnsiTheme="minorHAnsi"/>
        </w:rPr>
        <w:t xml:space="preserve">Collaborative Australian Protected Areas Database (CAPAD) (2014). Commonwealth of Australia 2014. Available at: </w:t>
      </w:r>
      <w:hyperlink r:id="rId223" w:history="1">
        <w:r w:rsidRPr="00925BFC">
          <w:rPr>
            <w:rStyle w:val="Hyperlink"/>
            <w:rFonts w:asciiTheme="minorHAnsi" w:hAnsiTheme="minorHAnsi"/>
          </w:rPr>
          <w:t>https://www.environment.gov.au/land/nrs/science/capad</w:t>
        </w:r>
      </w:hyperlink>
    </w:p>
    <w:p w14:paraId="28A79ABF" w14:textId="62664988" w:rsidR="00A15951" w:rsidRPr="00925BFC" w:rsidRDefault="00A15951" w:rsidP="00A15951">
      <w:pPr>
        <w:pStyle w:val="References"/>
        <w:ind w:left="284" w:hanging="284"/>
        <w:rPr>
          <w:rFonts w:asciiTheme="minorHAnsi" w:hAnsiTheme="minorHAnsi"/>
        </w:rPr>
      </w:pPr>
      <w:r w:rsidRPr="00925BFC">
        <w:rPr>
          <w:rFonts w:asciiTheme="minorHAnsi" w:hAnsiTheme="minorHAnsi"/>
        </w:rPr>
        <w:t>Crook D</w:t>
      </w:r>
      <w:r w:rsidR="000E6ED8">
        <w:rPr>
          <w:rFonts w:asciiTheme="minorHAnsi" w:hAnsiTheme="minorHAnsi"/>
        </w:rPr>
        <w:t>.</w:t>
      </w:r>
      <w:r w:rsidRPr="00925BFC">
        <w:rPr>
          <w:rFonts w:asciiTheme="minorHAnsi" w:hAnsiTheme="minorHAnsi"/>
        </w:rPr>
        <w:t>A</w:t>
      </w:r>
      <w:r w:rsidR="000E6ED8">
        <w:rPr>
          <w:rFonts w:asciiTheme="minorHAnsi" w:hAnsiTheme="minorHAnsi"/>
        </w:rPr>
        <w:t>.</w:t>
      </w:r>
      <w:r w:rsidRPr="00925BFC">
        <w:rPr>
          <w:rFonts w:asciiTheme="minorHAnsi" w:hAnsiTheme="minorHAnsi"/>
        </w:rPr>
        <w:t>, Reich P</w:t>
      </w:r>
      <w:r w:rsidR="000E6ED8">
        <w:rPr>
          <w:rFonts w:asciiTheme="minorHAnsi" w:hAnsiTheme="minorHAnsi"/>
        </w:rPr>
        <w:t>.</w:t>
      </w:r>
      <w:r w:rsidRPr="00925BFC">
        <w:rPr>
          <w:rFonts w:asciiTheme="minorHAnsi" w:hAnsiTheme="minorHAnsi"/>
        </w:rPr>
        <w:t>, Bond N</w:t>
      </w:r>
      <w:r w:rsidR="000E6ED8">
        <w:rPr>
          <w:rFonts w:asciiTheme="minorHAnsi" w:hAnsiTheme="minorHAnsi"/>
        </w:rPr>
        <w:t>.</w:t>
      </w:r>
      <w:r w:rsidRPr="00925BFC">
        <w:rPr>
          <w:rFonts w:asciiTheme="minorHAnsi" w:hAnsiTheme="minorHAnsi"/>
        </w:rPr>
        <w:t>R</w:t>
      </w:r>
      <w:r w:rsidR="000E6ED8">
        <w:rPr>
          <w:rFonts w:asciiTheme="minorHAnsi" w:hAnsiTheme="minorHAnsi"/>
        </w:rPr>
        <w:t>.</w:t>
      </w:r>
      <w:r w:rsidRPr="00925BFC">
        <w:rPr>
          <w:rFonts w:asciiTheme="minorHAnsi" w:hAnsiTheme="minorHAnsi"/>
        </w:rPr>
        <w:t>, McMaster D</w:t>
      </w:r>
      <w:r w:rsidR="000E6ED8">
        <w:rPr>
          <w:rFonts w:asciiTheme="minorHAnsi" w:hAnsiTheme="minorHAnsi"/>
        </w:rPr>
        <w:t>.</w:t>
      </w:r>
      <w:r w:rsidRPr="00925BFC">
        <w:rPr>
          <w:rFonts w:asciiTheme="minorHAnsi" w:hAnsiTheme="minorHAnsi"/>
        </w:rPr>
        <w:t>, Koehn J</w:t>
      </w:r>
      <w:r w:rsidR="000E6ED8">
        <w:rPr>
          <w:rFonts w:asciiTheme="minorHAnsi" w:hAnsiTheme="minorHAnsi"/>
        </w:rPr>
        <w:t>.</w:t>
      </w:r>
      <w:r w:rsidRPr="00925BFC">
        <w:rPr>
          <w:rFonts w:asciiTheme="minorHAnsi" w:hAnsiTheme="minorHAnsi"/>
        </w:rPr>
        <w:t>D</w:t>
      </w:r>
      <w:r w:rsidR="000E6ED8">
        <w:rPr>
          <w:rFonts w:asciiTheme="minorHAnsi" w:hAnsiTheme="minorHAnsi"/>
        </w:rPr>
        <w:t>.</w:t>
      </w:r>
      <w:r w:rsidRPr="00925BFC">
        <w:rPr>
          <w:rFonts w:asciiTheme="minorHAnsi" w:hAnsiTheme="minorHAnsi"/>
        </w:rPr>
        <w:t xml:space="preserve"> &amp; Lake P</w:t>
      </w:r>
      <w:r w:rsidR="000E6ED8">
        <w:rPr>
          <w:rFonts w:asciiTheme="minorHAnsi" w:hAnsiTheme="minorHAnsi"/>
        </w:rPr>
        <w:t>.</w:t>
      </w:r>
      <w:r w:rsidRPr="00925BFC">
        <w:rPr>
          <w:rFonts w:asciiTheme="minorHAnsi" w:hAnsiTheme="minorHAnsi"/>
        </w:rPr>
        <w:t xml:space="preserve">S. (2010). Using biological information to support proactive strategies for managing freshwater fish during drought. </w:t>
      </w:r>
      <w:r w:rsidRPr="00925BFC">
        <w:rPr>
          <w:rFonts w:asciiTheme="minorHAnsi" w:hAnsiTheme="minorHAnsi"/>
          <w:i/>
        </w:rPr>
        <w:t>Marine and Freshwater Research</w:t>
      </w:r>
      <w:r w:rsidRPr="00925BFC">
        <w:rPr>
          <w:rFonts w:asciiTheme="minorHAnsi" w:hAnsiTheme="minorHAnsi"/>
        </w:rPr>
        <w:t xml:space="preserve"> 61: 379–387. </w:t>
      </w:r>
    </w:p>
    <w:p w14:paraId="40E869F4" w14:textId="5EF6C712" w:rsidR="00A15951" w:rsidRPr="00925BFC" w:rsidRDefault="00A15951" w:rsidP="00A15951">
      <w:pPr>
        <w:pStyle w:val="References"/>
        <w:ind w:left="284" w:hanging="284"/>
        <w:rPr>
          <w:rFonts w:asciiTheme="minorHAnsi" w:hAnsiTheme="minorHAnsi"/>
        </w:rPr>
      </w:pPr>
      <w:r w:rsidRPr="00925BFC">
        <w:rPr>
          <w:rFonts w:asciiTheme="minorHAnsi" w:hAnsiTheme="minorHAnsi"/>
        </w:rPr>
        <w:t>Cunningham R</w:t>
      </w:r>
      <w:r w:rsidR="000E6ED8">
        <w:rPr>
          <w:rFonts w:asciiTheme="minorHAnsi" w:hAnsiTheme="minorHAnsi"/>
        </w:rPr>
        <w:t>.</w:t>
      </w:r>
      <w:r w:rsidRPr="00925BFC">
        <w:rPr>
          <w:rFonts w:asciiTheme="minorHAnsi" w:hAnsiTheme="minorHAnsi"/>
        </w:rPr>
        <w:t>B</w:t>
      </w:r>
      <w:r w:rsidR="000E6ED8">
        <w:rPr>
          <w:rFonts w:asciiTheme="minorHAnsi" w:hAnsiTheme="minorHAnsi"/>
        </w:rPr>
        <w:t>.</w:t>
      </w:r>
      <w:r w:rsidRPr="00925BFC">
        <w:rPr>
          <w:rFonts w:asciiTheme="minorHAnsi" w:hAnsiTheme="minorHAnsi"/>
        </w:rPr>
        <w:t xml:space="preserve"> &amp; Lindenmayer D</w:t>
      </w:r>
      <w:r w:rsidR="000E6ED8">
        <w:rPr>
          <w:rFonts w:asciiTheme="minorHAnsi" w:hAnsiTheme="minorHAnsi"/>
        </w:rPr>
        <w:t>.</w:t>
      </w:r>
      <w:r w:rsidRPr="00925BFC">
        <w:rPr>
          <w:rFonts w:asciiTheme="minorHAnsi" w:hAnsiTheme="minorHAnsi"/>
        </w:rPr>
        <w:t>B</w:t>
      </w:r>
      <w:r>
        <w:rPr>
          <w:rFonts w:asciiTheme="minorHAnsi" w:hAnsiTheme="minorHAnsi"/>
        </w:rPr>
        <w:t>.</w:t>
      </w:r>
      <w:r w:rsidRPr="00925BFC">
        <w:rPr>
          <w:rFonts w:asciiTheme="minorHAnsi" w:hAnsiTheme="minorHAnsi"/>
        </w:rPr>
        <w:t xml:space="preserve"> (2005)</w:t>
      </w:r>
      <w:r>
        <w:rPr>
          <w:rFonts w:asciiTheme="minorHAnsi" w:hAnsiTheme="minorHAnsi"/>
        </w:rPr>
        <w:t>.</w:t>
      </w:r>
      <w:r w:rsidRPr="00925BFC">
        <w:rPr>
          <w:rFonts w:asciiTheme="minorHAnsi" w:hAnsiTheme="minorHAnsi"/>
        </w:rPr>
        <w:t xml:space="preserve"> Modeling count data of rare species: Some statistical issues. </w:t>
      </w:r>
      <w:r w:rsidRPr="00BB6AA1">
        <w:rPr>
          <w:rFonts w:asciiTheme="minorHAnsi" w:hAnsiTheme="minorHAnsi"/>
          <w:i/>
        </w:rPr>
        <w:t>Ecology</w:t>
      </w:r>
      <w:r w:rsidRPr="00925BFC">
        <w:rPr>
          <w:rFonts w:asciiTheme="minorHAnsi" w:hAnsiTheme="minorHAnsi"/>
        </w:rPr>
        <w:t xml:space="preserve"> 86</w:t>
      </w:r>
      <w:r>
        <w:rPr>
          <w:rFonts w:asciiTheme="minorHAnsi" w:hAnsiTheme="minorHAnsi"/>
        </w:rPr>
        <w:t>:</w:t>
      </w:r>
      <w:r w:rsidRPr="00925BFC">
        <w:rPr>
          <w:rFonts w:asciiTheme="minorHAnsi" w:hAnsiTheme="minorHAnsi"/>
        </w:rPr>
        <w:t xml:space="preserve"> 1135-1142.</w:t>
      </w:r>
    </w:p>
    <w:p w14:paraId="2F3583F1" w14:textId="3B210149" w:rsidR="00A15951" w:rsidRDefault="00A15951" w:rsidP="00A15951">
      <w:pPr>
        <w:pStyle w:val="References"/>
        <w:ind w:left="284" w:hanging="284"/>
        <w:rPr>
          <w:rFonts w:asciiTheme="minorHAnsi" w:hAnsiTheme="minorHAnsi"/>
        </w:rPr>
      </w:pPr>
      <w:r w:rsidRPr="00630EBC">
        <w:rPr>
          <w:rFonts w:asciiTheme="minorHAnsi" w:hAnsiTheme="minorHAnsi"/>
        </w:rPr>
        <w:t xml:space="preserve">Davies </w:t>
      </w:r>
      <w:r>
        <w:rPr>
          <w:rFonts w:asciiTheme="minorHAnsi" w:hAnsiTheme="minorHAnsi"/>
        </w:rPr>
        <w:t>R</w:t>
      </w:r>
      <w:r w:rsidR="000E6ED8">
        <w:rPr>
          <w:rFonts w:asciiTheme="minorHAnsi" w:hAnsiTheme="minorHAnsi"/>
        </w:rPr>
        <w:t>.</w:t>
      </w:r>
      <w:r w:rsidRPr="00630EBC">
        <w:rPr>
          <w:rFonts w:asciiTheme="minorHAnsi" w:hAnsiTheme="minorHAnsi"/>
        </w:rPr>
        <w:t>J</w:t>
      </w:r>
      <w:r w:rsidR="000E6ED8">
        <w:rPr>
          <w:rFonts w:asciiTheme="minorHAnsi" w:hAnsiTheme="minorHAnsi"/>
        </w:rPr>
        <w:t>.</w:t>
      </w:r>
      <w:r w:rsidRPr="00630EBC">
        <w:rPr>
          <w:rFonts w:asciiTheme="minorHAnsi" w:hAnsiTheme="minorHAnsi"/>
        </w:rPr>
        <w:t>P</w:t>
      </w:r>
      <w:r w:rsidR="000E6ED8">
        <w:rPr>
          <w:rFonts w:asciiTheme="minorHAnsi" w:hAnsiTheme="minorHAnsi"/>
        </w:rPr>
        <w:t>.</w:t>
      </w:r>
      <w:r>
        <w:rPr>
          <w:rFonts w:asciiTheme="minorHAnsi" w:hAnsiTheme="minorHAnsi"/>
        </w:rPr>
        <w:t xml:space="preserve">, </w:t>
      </w:r>
      <w:r w:rsidRPr="00630EBC">
        <w:rPr>
          <w:rFonts w:asciiTheme="minorHAnsi" w:hAnsiTheme="minorHAnsi"/>
        </w:rPr>
        <w:t>Mackay D</w:t>
      </w:r>
      <w:r w:rsidR="000E6ED8">
        <w:rPr>
          <w:rFonts w:asciiTheme="minorHAnsi" w:hAnsiTheme="minorHAnsi"/>
        </w:rPr>
        <w:t>.</w:t>
      </w:r>
      <w:r w:rsidRPr="00630EBC">
        <w:rPr>
          <w:rFonts w:asciiTheme="minorHAnsi" w:hAnsiTheme="minorHAnsi"/>
        </w:rPr>
        <w:t>A</w:t>
      </w:r>
      <w:r w:rsidR="000E6ED8">
        <w:rPr>
          <w:rFonts w:asciiTheme="minorHAnsi" w:hAnsiTheme="minorHAnsi"/>
        </w:rPr>
        <w:t>.</w:t>
      </w:r>
      <w:r>
        <w:rPr>
          <w:rFonts w:asciiTheme="minorHAnsi" w:hAnsiTheme="minorHAnsi"/>
        </w:rPr>
        <w:t xml:space="preserve"> &amp; </w:t>
      </w:r>
      <w:r w:rsidRPr="00630EBC">
        <w:rPr>
          <w:rFonts w:asciiTheme="minorHAnsi" w:hAnsiTheme="minorHAnsi"/>
        </w:rPr>
        <w:t>Whalen M</w:t>
      </w:r>
      <w:r w:rsidR="000E6ED8">
        <w:rPr>
          <w:rFonts w:asciiTheme="minorHAnsi" w:hAnsiTheme="minorHAnsi"/>
        </w:rPr>
        <w:t>.</w:t>
      </w:r>
      <w:r w:rsidRPr="00630EBC">
        <w:rPr>
          <w:rFonts w:asciiTheme="minorHAnsi" w:hAnsiTheme="minorHAnsi"/>
        </w:rPr>
        <w:t xml:space="preserve">A. </w:t>
      </w:r>
      <w:r>
        <w:rPr>
          <w:rFonts w:asciiTheme="minorHAnsi" w:hAnsiTheme="minorHAnsi"/>
        </w:rPr>
        <w:t xml:space="preserve">(2010). </w:t>
      </w:r>
      <w:r w:rsidRPr="00630EBC">
        <w:rPr>
          <w:rFonts w:asciiTheme="minorHAnsi" w:hAnsiTheme="minorHAnsi"/>
        </w:rPr>
        <w:t xml:space="preserve">Competitive effects of </w:t>
      </w:r>
      <w:r w:rsidRPr="00BB6AA1">
        <w:rPr>
          <w:rFonts w:asciiTheme="minorHAnsi" w:hAnsiTheme="minorHAnsi"/>
          <w:i/>
        </w:rPr>
        <w:t>Phragmites australis</w:t>
      </w:r>
      <w:r w:rsidRPr="00630EBC">
        <w:rPr>
          <w:rFonts w:asciiTheme="minorHAnsi" w:hAnsiTheme="minorHAnsi"/>
        </w:rPr>
        <w:t xml:space="preserve"> on the endangered artesian spring endemic </w:t>
      </w:r>
      <w:r w:rsidRPr="00630EBC">
        <w:rPr>
          <w:rFonts w:asciiTheme="minorHAnsi" w:hAnsiTheme="minorHAnsi"/>
          <w:i/>
        </w:rPr>
        <w:t>Eriocaulon carsonii</w:t>
      </w:r>
      <w:r>
        <w:rPr>
          <w:rFonts w:asciiTheme="minorHAnsi" w:hAnsiTheme="minorHAnsi"/>
        </w:rPr>
        <w:t xml:space="preserve">. </w:t>
      </w:r>
      <w:r w:rsidRPr="00BB6AA1">
        <w:rPr>
          <w:rFonts w:asciiTheme="minorHAnsi" w:hAnsiTheme="minorHAnsi"/>
          <w:i/>
        </w:rPr>
        <w:t>Aquatic Botany</w:t>
      </w:r>
      <w:r>
        <w:rPr>
          <w:rFonts w:asciiTheme="minorHAnsi" w:hAnsiTheme="minorHAnsi"/>
        </w:rPr>
        <w:t xml:space="preserve"> 92: </w:t>
      </w:r>
      <w:r w:rsidRPr="00630EBC">
        <w:rPr>
          <w:rFonts w:asciiTheme="minorHAnsi" w:hAnsiTheme="minorHAnsi"/>
        </w:rPr>
        <w:t>245-249</w:t>
      </w:r>
      <w:r>
        <w:rPr>
          <w:rFonts w:asciiTheme="minorHAnsi" w:hAnsiTheme="minorHAnsi"/>
        </w:rPr>
        <w:t>.</w:t>
      </w:r>
    </w:p>
    <w:p w14:paraId="33138746" w14:textId="6D0D0693" w:rsidR="00A15951" w:rsidRPr="00925BFC" w:rsidRDefault="00A15951" w:rsidP="00A15951">
      <w:pPr>
        <w:pStyle w:val="References"/>
        <w:ind w:left="284" w:hanging="284"/>
        <w:rPr>
          <w:rFonts w:asciiTheme="minorHAnsi" w:hAnsiTheme="minorHAnsi"/>
        </w:rPr>
      </w:pPr>
      <w:r w:rsidRPr="00925BFC">
        <w:rPr>
          <w:rFonts w:asciiTheme="minorHAnsi" w:hAnsiTheme="minorHAnsi"/>
        </w:rPr>
        <w:t>Davis D</w:t>
      </w:r>
      <w:r w:rsidR="000E6ED8">
        <w:rPr>
          <w:rFonts w:asciiTheme="minorHAnsi" w:hAnsiTheme="minorHAnsi"/>
        </w:rPr>
        <w:t>.</w:t>
      </w:r>
      <w:r w:rsidRPr="00925BFC">
        <w:rPr>
          <w:rFonts w:asciiTheme="minorHAnsi" w:hAnsiTheme="minorHAnsi"/>
        </w:rPr>
        <w:t>, Pavlova A</w:t>
      </w:r>
      <w:r w:rsidR="000E6ED8">
        <w:rPr>
          <w:rFonts w:asciiTheme="minorHAnsi" w:hAnsiTheme="minorHAnsi"/>
        </w:rPr>
        <w:t>.</w:t>
      </w:r>
      <w:r w:rsidRPr="00925BFC">
        <w:rPr>
          <w:rFonts w:asciiTheme="minorHAnsi" w:hAnsiTheme="minorHAnsi"/>
        </w:rPr>
        <w:t>, Thompson R</w:t>
      </w:r>
      <w:r w:rsidR="000E6ED8">
        <w:rPr>
          <w:rFonts w:asciiTheme="minorHAnsi" w:hAnsiTheme="minorHAnsi"/>
        </w:rPr>
        <w:t>.</w:t>
      </w:r>
      <w:r w:rsidRPr="00925BFC">
        <w:rPr>
          <w:rFonts w:asciiTheme="minorHAnsi" w:hAnsiTheme="minorHAnsi"/>
        </w:rPr>
        <w:t xml:space="preserve"> &amp; Sunnucks P. (2013). Evolutionary refugia and ecological refuges: key concepts for conserving Australian arid zone freshwater biodiversity under climate change. </w:t>
      </w:r>
      <w:r w:rsidRPr="00925BFC">
        <w:rPr>
          <w:rFonts w:asciiTheme="minorHAnsi" w:hAnsiTheme="minorHAnsi"/>
          <w:i/>
        </w:rPr>
        <w:t>Global Change Biology</w:t>
      </w:r>
      <w:r w:rsidRPr="00925BFC">
        <w:rPr>
          <w:rFonts w:asciiTheme="minorHAnsi" w:hAnsiTheme="minorHAnsi"/>
        </w:rPr>
        <w:t xml:space="preserve"> 19: 1970–1984.</w:t>
      </w:r>
    </w:p>
    <w:p w14:paraId="0F39504A" w14:textId="77777777" w:rsidR="00A15951" w:rsidRPr="00925BFC" w:rsidRDefault="00A15951" w:rsidP="00A15951">
      <w:pPr>
        <w:pStyle w:val="References"/>
        <w:ind w:left="284" w:hanging="284"/>
        <w:rPr>
          <w:rFonts w:asciiTheme="minorHAnsi" w:hAnsiTheme="minorHAnsi"/>
        </w:rPr>
      </w:pPr>
      <w:r w:rsidRPr="00925BFC">
        <w:rPr>
          <w:rFonts w:asciiTheme="minorHAnsi" w:hAnsiTheme="minorHAnsi"/>
        </w:rPr>
        <w:t>De'ath G</w:t>
      </w:r>
      <w:r>
        <w:rPr>
          <w:rFonts w:asciiTheme="minorHAnsi" w:hAnsiTheme="minorHAnsi"/>
        </w:rPr>
        <w:t>.</w:t>
      </w:r>
      <w:r w:rsidRPr="00925BFC">
        <w:rPr>
          <w:rFonts w:asciiTheme="minorHAnsi" w:hAnsiTheme="minorHAnsi"/>
        </w:rPr>
        <w:t xml:space="preserve"> (2002) Multivariate Regression Trees: A New Technique for Constrained Classification Analysis. </w:t>
      </w:r>
      <w:r w:rsidRPr="00BB6AA1">
        <w:rPr>
          <w:rFonts w:asciiTheme="minorHAnsi" w:hAnsiTheme="minorHAnsi"/>
          <w:i/>
        </w:rPr>
        <w:t>Ecology</w:t>
      </w:r>
      <w:r w:rsidRPr="00925BFC">
        <w:rPr>
          <w:rFonts w:asciiTheme="minorHAnsi" w:hAnsiTheme="minorHAnsi"/>
        </w:rPr>
        <w:t xml:space="preserve"> 83: 1103-1117. </w:t>
      </w:r>
    </w:p>
    <w:p w14:paraId="24C9E1C7" w14:textId="77777777" w:rsidR="00A15951" w:rsidRPr="00925BFC" w:rsidRDefault="00A15951" w:rsidP="00A15951">
      <w:pPr>
        <w:pStyle w:val="References"/>
        <w:ind w:left="284" w:hanging="284"/>
        <w:rPr>
          <w:rFonts w:asciiTheme="minorHAnsi" w:hAnsiTheme="minorHAnsi"/>
        </w:rPr>
      </w:pPr>
      <w:r w:rsidRPr="00925BFC">
        <w:rPr>
          <w:rFonts w:asciiTheme="minorHAnsi" w:hAnsiTheme="minorHAnsi"/>
        </w:rPr>
        <w:t xml:space="preserve">Department of the Environment (2016). The community of native species dependent on natural discharge of groundwater from the Great Artesian Basin in Community and Species Profile and Threats Database, Department of the Environment, Canberra. Available from: </w:t>
      </w:r>
      <w:hyperlink r:id="rId224" w:history="1">
        <w:r w:rsidRPr="00925BFC">
          <w:rPr>
            <w:rStyle w:val="Hyperlink"/>
            <w:rFonts w:asciiTheme="minorHAnsi" w:hAnsiTheme="minorHAnsi"/>
          </w:rPr>
          <w:t>http://www.environment.gov.au/sprat. Accessed 28/05/2016</w:t>
        </w:r>
      </w:hyperlink>
      <w:r w:rsidRPr="00925BFC">
        <w:rPr>
          <w:rFonts w:asciiTheme="minorHAnsi" w:hAnsiTheme="minorHAnsi"/>
        </w:rPr>
        <w:t>.</w:t>
      </w:r>
    </w:p>
    <w:p w14:paraId="6FE7604A" w14:textId="77777777" w:rsidR="00A15951" w:rsidRPr="00925BFC" w:rsidRDefault="00A15951" w:rsidP="00A15951">
      <w:pPr>
        <w:pStyle w:val="References"/>
        <w:ind w:left="284" w:hanging="284"/>
        <w:rPr>
          <w:rFonts w:asciiTheme="minorHAnsi" w:hAnsiTheme="minorHAnsi"/>
        </w:rPr>
      </w:pPr>
      <w:r w:rsidRPr="00925BFC">
        <w:rPr>
          <w:rFonts w:asciiTheme="minorHAnsi" w:hAnsiTheme="minorHAnsi"/>
        </w:rPr>
        <w:t xml:space="preserve">Energy &amp; Resource Insights (ERI) (2016). Extent of Fossil Fuel Tenements in Australia. Available at: </w:t>
      </w:r>
      <w:hyperlink r:id="rId225" w:history="1">
        <w:r w:rsidRPr="00925BFC">
          <w:rPr>
            <w:rStyle w:val="Hyperlink"/>
            <w:rFonts w:asciiTheme="minorHAnsi" w:eastAsia="Times New Roman" w:hAnsiTheme="minorHAnsi"/>
          </w:rPr>
          <w:t>http://data.erinsights.com/maps/fossilfuels-au.html</w:t>
        </w:r>
      </w:hyperlink>
      <w:r w:rsidRPr="00925BFC">
        <w:rPr>
          <w:rFonts w:asciiTheme="minorHAnsi" w:hAnsiTheme="minorHAnsi"/>
        </w:rPr>
        <w:t xml:space="preserve">. </w:t>
      </w:r>
    </w:p>
    <w:p w14:paraId="1A65DE49" w14:textId="460FA508" w:rsidR="00A15951" w:rsidRPr="00925BFC" w:rsidRDefault="00A15951" w:rsidP="00A15951">
      <w:pPr>
        <w:pStyle w:val="References"/>
        <w:ind w:left="284" w:hanging="284"/>
        <w:rPr>
          <w:rFonts w:asciiTheme="minorHAnsi" w:hAnsiTheme="minorHAnsi"/>
        </w:rPr>
      </w:pPr>
      <w:r w:rsidRPr="00925BFC">
        <w:rPr>
          <w:rFonts w:asciiTheme="minorHAnsi" w:hAnsiTheme="minorHAnsi"/>
        </w:rPr>
        <w:t>Fairfax R</w:t>
      </w:r>
      <w:r w:rsidR="000E6ED8">
        <w:rPr>
          <w:rFonts w:asciiTheme="minorHAnsi" w:hAnsiTheme="minorHAnsi"/>
        </w:rPr>
        <w:t>.</w:t>
      </w:r>
      <w:r>
        <w:rPr>
          <w:rFonts w:asciiTheme="minorHAnsi" w:hAnsiTheme="minorHAnsi"/>
        </w:rPr>
        <w:t>J</w:t>
      </w:r>
      <w:r w:rsidR="000E6ED8">
        <w:rPr>
          <w:rFonts w:asciiTheme="minorHAnsi" w:hAnsiTheme="minorHAnsi"/>
        </w:rPr>
        <w:t>.</w:t>
      </w:r>
      <w:r>
        <w:rPr>
          <w:rFonts w:asciiTheme="minorHAnsi" w:hAnsiTheme="minorHAnsi"/>
        </w:rPr>
        <w:t xml:space="preserve"> &amp; Fensham R</w:t>
      </w:r>
      <w:r w:rsidR="000E6ED8">
        <w:rPr>
          <w:rFonts w:asciiTheme="minorHAnsi" w:hAnsiTheme="minorHAnsi"/>
        </w:rPr>
        <w:t>.</w:t>
      </w:r>
      <w:r>
        <w:rPr>
          <w:rFonts w:asciiTheme="minorHAnsi" w:hAnsiTheme="minorHAnsi"/>
        </w:rPr>
        <w:t xml:space="preserve">J. (2002). </w:t>
      </w:r>
      <w:r w:rsidRPr="00925BFC">
        <w:rPr>
          <w:rFonts w:asciiTheme="minorHAnsi" w:hAnsiTheme="minorHAnsi"/>
        </w:rPr>
        <w:t xml:space="preserve">In the Footsteps of J. Alfred Griffiths: a cataclysmic History of Great Artesian Basin Springs in Queensland. </w:t>
      </w:r>
      <w:r w:rsidRPr="00BB6AA1">
        <w:rPr>
          <w:rFonts w:asciiTheme="minorHAnsi" w:hAnsiTheme="minorHAnsi"/>
          <w:i/>
        </w:rPr>
        <w:t>Australian Geographical Studies</w:t>
      </w:r>
      <w:r w:rsidRPr="00925BFC">
        <w:rPr>
          <w:rFonts w:asciiTheme="minorHAnsi" w:hAnsiTheme="minorHAnsi"/>
        </w:rPr>
        <w:t xml:space="preserve"> 40: 210-230.</w:t>
      </w:r>
    </w:p>
    <w:p w14:paraId="510D6378" w14:textId="77C03380" w:rsidR="00A15951" w:rsidRPr="00925BFC" w:rsidRDefault="00A15951" w:rsidP="00A15951">
      <w:pPr>
        <w:pStyle w:val="References"/>
        <w:ind w:left="284" w:hanging="284"/>
        <w:rPr>
          <w:rFonts w:asciiTheme="minorHAnsi" w:hAnsiTheme="minorHAnsi"/>
        </w:rPr>
      </w:pPr>
      <w:r w:rsidRPr="00925BFC">
        <w:rPr>
          <w:rFonts w:asciiTheme="minorHAnsi" w:hAnsiTheme="minorHAnsi"/>
        </w:rPr>
        <w:t>Fairfax R</w:t>
      </w:r>
      <w:r w:rsidR="000E6ED8">
        <w:rPr>
          <w:rFonts w:asciiTheme="minorHAnsi" w:hAnsiTheme="minorHAnsi"/>
        </w:rPr>
        <w:t>.</w:t>
      </w:r>
      <w:r w:rsidRPr="00925BFC">
        <w:rPr>
          <w:rFonts w:asciiTheme="minorHAnsi" w:hAnsiTheme="minorHAnsi"/>
        </w:rPr>
        <w:t>J</w:t>
      </w:r>
      <w:r w:rsidR="000E6ED8">
        <w:rPr>
          <w:rFonts w:asciiTheme="minorHAnsi" w:hAnsiTheme="minorHAnsi"/>
        </w:rPr>
        <w:t>.</w:t>
      </w:r>
      <w:r>
        <w:rPr>
          <w:rFonts w:asciiTheme="minorHAnsi" w:hAnsiTheme="minorHAnsi"/>
        </w:rPr>
        <w:t xml:space="preserve"> &amp;</w:t>
      </w:r>
      <w:r w:rsidRPr="00925BFC">
        <w:rPr>
          <w:rFonts w:asciiTheme="minorHAnsi" w:hAnsiTheme="minorHAnsi"/>
        </w:rPr>
        <w:t xml:space="preserve"> Fensham </w:t>
      </w:r>
      <w:r>
        <w:rPr>
          <w:rFonts w:asciiTheme="minorHAnsi" w:hAnsiTheme="minorHAnsi"/>
        </w:rPr>
        <w:t>R</w:t>
      </w:r>
      <w:r w:rsidR="000E6ED8">
        <w:rPr>
          <w:rFonts w:asciiTheme="minorHAnsi" w:hAnsiTheme="minorHAnsi"/>
        </w:rPr>
        <w:t>.</w:t>
      </w:r>
      <w:r>
        <w:rPr>
          <w:rFonts w:asciiTheme="minorHAnsi" w:hAnsiTheme="minorHAnsi"/>
        </w:rPr>
        <w:t xml:space="preserve">J. (2003). </w:t>
      </w:r>
      <w:r w:rsidRPr="00925BFC">
        <w:rPr>
          <w:rFonts w:asciiTheme="minorHAnsi" w:hAnsiTheme="minorHAnsi"/>
        </w:rPr>
        <w:t xml:space="preserve">Great Artesian Basin springs in </w:t>
      </w:r>
      <w:r>
        <w:rPr>
          <w:rFonts w:asciiTheme="minorHAnsi" w:hAnsiTheme="minorHAnsi"/>
        </w:rPr>
        <w:t xml:space="preserve">Southern Queensland 1911-2000. </w:t>
      </w:r>
      <w:r w:rsidRPr="00BB6AA1">
        <w:rPr>
          <w:rFonts w:asciiTheme="minorHAnsi" w:hAnsiTheme="minorHAnsi"/>
          <w:i/>
        </w:rPr>
        <w:t>Memoirs of the Queensland Museum</w:t>
      </w:r>
      <w:r w:rsidRPr="00925BFC">
        <w:rPr>
          <w:rFonts w:asciiTheme="minorHAnsi" w:hAnsiTheme="minorHAnsi"/>
        </w:rPr>
        <w:t xml:space="preserve"> 49: 285-293.</w:t>
      </w:r>
    </w:p>
    <w:p w14:paraId="09ADE157" w14:textId="0A9E99BE" w:rsidR="00A15951" w:rsidRPr="00925BFC" w:rsidRDefault="00A15951" w:rsidP="00A15951">
      <w:pPr>
        <w:pStyle w:val="References"/>
        <w:ind w:left="284" w:hanging="284"/>
        <w:rPr>
          <w:rFonts w:asciiTheme="minorHAnsi" w:hAnsiTheme="minorHAnsi"/>
        </w:rPr>
      </w:pPr>
      <w:r w:rsidRPr="00925BFC">
        <w:rPr>
          <w:rFonts w:asciiTheme="minorHAnsi" w:hAnsiTheme="minorHAnsi"/>
        </w:rPr>
        <w:t>Fairfax R</w:t>
      </w:r>
      <w:r w:rsidR="000E6ED8">
        <w:rPr>
          <w:rFonts w:asciiTheme="minorHAnsi" w:hAnsiTheme="minorHAnsi"/>
        </w:rPr>
        <w:t>.</w:t>
      </w:r>
      <w:r w:rsidRPr="00925BFC">
        <w:rPr>
          <w:rFonts w:asciiTheme="minorHAnsi" w:hAnsiTheme="minorHAnsi"/>
        </w:rPr>
        <w:t>J</w:t>
      </w:r>
      <w:r w:rsidR="000E6ED8">
        <w:rPr>
          <w:rFonts w:asciiTheme="minorHAnsi" w:hAnsiTheme="minorHAnsi"/>
        </w:rPr>
        <w:t>.</w:t>
      </w:r>
      <w:r w:rsidRPr="00925BFC">
        <w:rPr>
          <w:rFonts w:asciiTheme="minorHAnsi" w:hAnsiTheme="minorHAnsi"/>
        </w:rPr>
        <w:t>, Fensham R</w:t>
      </w:r>
      <w:r w:rsidR="000E6ED8">
        <w:rPr>
          <w:rFonts w:asciiTheme="minorHAnsi" w:hAnsiTheme="minorHAnsi"/>
        </w:rPr>
        <w:t>.</w:t>
      </w:r>
      <w:r w:rsidRPr="00925BFC">
        <w:rPr>
          <w:rFonts w:asciiTheme="minorHAnsi" w:hAnsiTheme="minorHAnsi"/>
        </w:rPr>
        <w:t>, Wager R</w:t>
      </w:r>
      <w:r w:rsidR="000E6ED8">
        <w:rPr>
          <w:rFonts w:asciiTheme="minorHAnsi" w:hAnsiTheme="minorHAnsi"/>
        </w:rPr>
        <w:t>.</w:t>
      </w:r>
      <w:r w:rsidRPr="00925BFC">
        <w:rPr>
          <w:rFonts w:asciiTheme="minorHAnsi" w:hAnsiTheme="minorHAnsi"/>
        </w:rPr>
        <w:t>, Brooks S</w:t>
      </w:r>
      <w:r w:rsidR="000E6ED8">
        <w:rPr>
          <w:rFonts w:asciiTheme="minorHAnsi" w:hAnsiTheme="minorHAnsi"/>
        </w:rPr>
        <w:t>.</w:t>
      </w:r>
      <w:r w:rsidRPr="00925BFC">
        <w:rPr>
          <w:rFonts w:asciiTheme="minorHAnsi" w:hAnsiTheme="minorHAnsi"/>
        </w:rPr>
        <w:t>, Webb A</w:t>
      </w:r>
      <w:r w:rsidR="000E6ED8">
        <w:rPr>
          <w:rFonts w:asciiTheme="minorHAnsi" w:hAnsiTheme="minorHAnsi"/>
        </w:rPr>
        <w:t>.</w:t>
      </w:r>
      <w:r w:rsidRPr="00925BFC">
        <w:rPr>
          <w:rFonts w:asciiTheme="minorHAnsi" w:hAnsiTheme="minorHAnsi"/>
        </w:rPr>
        <w:t xml:space="preserve"> &amp; Unmack P. (2007). Recovery of the red-finned blue-eye: an endangered fish from springs of the Great Artesian Basin. </w:t>
      </w:r>
      <w:r w:rsidRPr="00925BFC">
        <w:rPr>
          <w:rFonts w:asciiTheme="minorHAnsi" w:hAnsiTheme="minorHAnsi"/>
          <w:i/>
        </w:rPr>
        <w:t>Wildlife Research</w:t>
      </w:r>
      <w:r w:rsidRPr="00925BFC">
        <w:rPr>
          <w:rFonts w:asciiTheme="minorHAnsi" w:hAnsiTheme="minorHAnsi"/>
        </w:rPr>
        <w:t xml:space="preserve"> 34: 156–166.</w:t>
      </w:r>
    </w:p>
    <w:p w14:paraId="6EAA8BE9" w14:textId="017CD79B" w:rsidR="00A15951" w:rsidRPr="00925BFC" w:rsidRDefault="00A15951" w:rsidP="00A15951">
      <w:pPr>
        <w:pStyle w:val="References"/>
        <w:ind w:left="284" w:hanging="284"/>
        <w:rPr>
          <w:rFonts w:asciiTheme="minorHAnsi" w:hAnsiTheme="minorHAnsi"/>
        </w:rPr>
      </w:pPr>
      <w:r w:rsidRPr="00925BFC">
        <w:rPr>
          <w:rFonts w:asciiTheme="minorHAnsi" w:hAnsiTheme="minorHAnsi"/>
        </w:rPr>
        <w:t>Faith D</w:t>
      </w:r>
      <w:r w:rsidR="000E6ED8">
        <w:rPr>
          <w:rFonts w:asciiTheme="minorHAnsi" w:hAnsiTheme="minorHAnsi"/>
        </w:rPr>
        <w:t>.</w:t>
      </w:r>
      <w:r w:rsidRPr="00925BFC">
        <w:rPr>
          <w:rFonts w:asciiTheme="minorHAnsi" w:hAnsiTheme="minorHAnsi"/>
        </w:rPr>
        <w:t xml:space="preserve">P. (1992). Conservation evaluation and phylogenetic diversity. </w:t>
      </w:r>
      <w:r w:rsidRPr="00925BFC">
        <w:rPr>
          <w:rFonts w:asciiTheme="minorHAnsi" w:hAnsiTheme="minorHAnsi"/>
          <w:i/>
        </w:rPr>
        <w:t>Biological Conservation</w:t>
      </w:r>
      <w:r w:rsidRPr="00925BFC">
        <w:rPr>
          <w:rFonts w:asciiTheme="minorHAnsi" w:hAnsiTheme="minorHAnsi"/>
        </w:rPr>
        <w:t xml:space="preserve"> 61: 1–10.</w:t>
      </w:r>
    </w:p>
    <w:p w14:paraId="1FC66A86" w14:textId="6E04B01E" w:rsidR="00A15951" w:rsidRPr="00925BFC" w:rsidRDefault="00A15951" w:rsidP="00A15951">
      <w:pPr>
        <w:pStyle w:val="References"/>
        <w:ind w:left="284" w:hanging="284"/>
        <w:rPr>
          <w:rFonts w:asciiTheme="minorHAnsi" w:hAnsiTheme="minorHAnsi"/>
        </w:rPr>
      </w:pPr>
      <w:r w:rsidRPr="00925BFC">
        <w:rPr>
          <w:rFonts w:asciiTheme="minorHAnsi" w:hAnsiTheme="minorHAnsi"/>
        </w:rPr>
        <w:t>Faith D</w:t>
      </w:r>
      <w:r w:rsidR="000E6ED8">
        <w:rPr>
          <w:rFonts w:asciiTheme="minorHAnsi" w:hAnsiTheme="minorHAnsi"/>
        </w:rPr>
        <w:t>.</w:t>
      </w:r>
      <w:r w:rsidRPr="00925BFC">
        <w:rPr>
          <w:rFonts w:asciiTheme="minorHAnsi" w:hAnsiTheme="minorHAnsi"/>
        </w:rPr>
        <w:t>P</w:t>
      </w:r>
      <w:r w:rsidR="000E6ED8">
        <w:rPr>
          <w:rFonts w:asciiTheme="minorHAnsi" w:hAnsiTheme="minorHAnsi"/>
        </w:rPr>
        <w:t>.</w:t>
      </w:r>
      <w:r w:rsidRPr="00925BFC">
        <w:rPr>
          <w:rFonts w:asciiTheme="minorHAnsi" w:hAnsiTheme="minorHAnsi"/>
        </w:rPr>
        <w:t>, Reid C</w:t>
      </w:r>
      <w:r w:rsidR="000E6ED8">
        <w:rPr>
          <w:rFonts w:asciiTheme="minorHAnsi" w:hAnsiTheme="minorHAnsi"/>
        </w:rPr>
        <w:t>.</w:t>
      </w:r>
      <w:r w:rsidRPr="00925BFC">
        <w:rPr>
          <w:rFonts w:asciiTheme="minorHAnsi" w:hAnsiTheme="minorHAnsi"/>
        </w:rPr>
        <w:t>A</w:t>
      </w:r>
      <w:r w:rsidR="000E6ED8">
        <w:rPr>
          <w:rFonts w:asciiTheme="minorHAnsi" w:hAnsiTheme="minorHAnsi"/>
        </w:rPr>
        <w:t>.</w:t>
      </w:r>
      <w:r w:rsidRPr="00925BFC">
        <w:rPr>
          <w:rFonts w:asciiTheme="minorHAnsi" w:hAnsiTheme="minorHAnsi"/>
        </w:rPr>
        <w:t>M</w:t>
      </w:r>
      <w:r w:rsidR="000E6ED8">
        <w:rPr>
          <w:rFonts w:asciiTheme="minorHAnsi" w:hAnsiTheme="minorHAnsi"/>
        </w:rPr>
        <w:t>.</w:t>
      </w:r>
      <w:r w:rsidRPr="00925BFC">
        <w:rPr>
          <w:rFonts w:asciiTheme="minorHAnsi" w:hAnsiTheme="minorHAnsi"/>
        </w:rPr>
        <w:t xml:space="preserve"> &amp; Hunter J. (2004). Integrating phylogenetic diversity, complementarity, and endemism for conservation assessment. </w:t>
      </w:r>
      <w:r w:rsidRPr="00925BFC">
        <w:rPr>
          <w:rFonts w:asciiTheme="minorHAnsi" w:hAnsiTheme="minorHAnsi"/>
          <w:i/>
        </w:rPr>
        <w:t>Conservation Biology</w:t>
      </w:r>
      <w:r w:rsidRPr="00925BFC">
        <w:rPr>
          <w:rFonts w:asciiTheme="minorHAnsi" w:hAnsiTheme="minorHAnsi"/>
        </w:rPr>
        <w:t xml:space="preserve"> 18: 255–261.</w:t>
      </w:r>
    </w:p>
    <w:p w14:paraId="19F15A58" w14:textId="4A508A30" w:rsidR="00A15951" w:rsidRDefault="00A15951" w:rsidP="00A15951">
      <w:pPr>
        <w:pStyle w:val="References"/>
        <w:ind w:left="284" w:hanging="284"/>
        <w:rPr>
          <w:rFonts w:asciiTheme="minorHAnsi" w:hAnsiTheme="minorHAnsi"/>
        </w:rPr>
      </w:pPr>
      <w:r w:rsidRPr="001056C5">
        <w:rPr>
          <w:rFonts w:asciiTheme="minorHAnsi" w:hAnsiTheme="minorHAnsi"/>
        </w:rPr>
        <w:t>Fattorini S</w:t>
      </w:r>
      <w:r w:rsidR="000E6ED8">
        <w:rPr>
          <w:rFonts w:asciiTheme="minorHAnsi" w:hAnsiTheme="minorHAnsi"/>
        </w:rPr>
        <w:t>.</w:t>
      </w:r>
      <w:r w:rsidRPr="001056C5">
        <w:rPr>
          <w:rFonts w:asciiTheme="minorHAnsi" w:hAnsiTheme="minorHAnsi"/>
        </w:rPr>
        <w:t>, Borges P</w:t>
      </w:r>
      <w:r w:rsidR="000E6ED8">
        <w:rPr>
          <w:rFonts w:asciiTheme="minorHAnsi" w:hAnsiTheme="minorHAnsi"/>
        </w:rPr>
        <w:t>.</w:t>
      </w:r>
      <w:r w:rsidRPr="001056C5">
        <w:rPr>
          <w:rFonts w:asciiTheme="minorHAnsi" w:hAnsiTheme="minorHAnsi"/>
        </w:rPr>
        <w:t>A</w:t>
      </w:r>
      <w:r w:rsidR="000E6ED8">
        <w:rPr>
          <w:rFonts w:asciiTheme="minorHAnsi" w:hAnsiTheme="minorHAnsi"/>
        </w:rPr>
        <w:t>.</w:t>
      </w:r>
      <w:r w:rsidRPr="001056C5">
        <w:rPr>
          <w:rFonts w:asciiTheme="minorHAnsi" w:hAnsiTheme="minorHAnsi"/>
        </w:rPr>
        <w:t>V</w:t>
      </w:r>
      <w:r w:rsidR="000E6ED8">
        <w:rPr>
          <w:rFonts w:asciiTheme="minorHAnsi" w:hAnsiTheme="minorHAnsi"/>
        </w:rPr>
        <w:t>.</w:t>
      </w:r>
      <w:r w:rsidRPr="001056C5">
        <w:rPr>
          <w:rFonts w:asciiTheme="minorHAnsi" w:hAnsiTheme="minorHAnsi"/>
        </w:rPr>
        <w:t>, Fiasca B</w:t>
      </w:r>
      <w:r w:rsidR="000E6ED8">
        <w:rPr>
          <w:rFonts w:asciiTheme="minorHAnsi" w:hAnsiTheme="minorHAnsi"/>
        </w:rPr>
        <w:t>.</w:t>
      </w:r>
      <w:r>
        <w:rPr>
          <w:rFonts w:asciiTheme="minorHAnsi" w:hAnsiTheme="minorHAnsi"/>
        </w:rPr>
        <w:t xml:space="preserve"> &amp; </w:t>
      </w:r>
      <w:r w:rsidRPr="001056C5">
        <w:rPr>
          <w:rFonts w:asciiTheme="minorHAnsi" w:hAnsiTheme="minorHAnsi"/>
        </w:rPr>
        <w:t>Galassi D</w:t>
      </w:r>
      <w:r w:rsidR="000E6ED8">
        <w:rPr>
          <w:rFonts w:asciiTheme="minorHAnsi" w:hAnsiTheme="minorHAnsi"/>
        </w:rPr>
        <w:t>.</w:t>
      </w:r>
      <w:r w:rsidRPr="001056C5">
        <w:rPr>
          <w:rFonts w:asciiTheme="minorHAnsi" w:hAnsiTheme="minorHAnsi"/>
        </w:rPr>
        <w:t>M</w:t>
      </w:r>
      <w:r w:rsidR="000E6ED8">
        <w:rPr>
          <w:rFonts w:asciiTheme="minorHAnsi" w:hAnsiTheme="minorHAnsi"/>
        </w:rPr>
        <w:t>.</w:t>
      </w:r>
      <w:r w:rsidRPr="001056C5">
        <w:rPr>
          <w:rFonts w:asciiTheme="minorHAnsi" w:hAnsiTheme="minorHAnsi"/>
        </w:rPr>
        <w:t>P. (2016)</w:t>
      </w:r>
      <w:r>
        <w:rPr>
          <w:rFonts w:asciiTheme="minorHAnsi" w:hAnsiTheme="minorHAnsi"/>
        </w:rPr>
        <w:t>.</w:t>
      </w:r>
      <w:r w:rsidRPr="001056C5">
        <w:rPr>
          <w:rFonts w:asciiTheme="minorHAnsi" w:hAnsiTheme="minorHAnsi"/>
        </w:rPr>
        <w:t xml:space="preserve"> Trapped in the web of water: Groundwater-fed springs are island-like ecosystems for the meiofauna. </w:t>
      </w:r>
      <w:r w:rsidRPr="001A4EB1">
        <w:rPr>
          <w:rFonts w:asciiTheme="minorHAnsi" w:hAnsiTheme="minorHAnsi"/>
          <w:i/>
        </w:rPr>
        <w:t>Ecology and Evolution</w:t>
      </w:r>
      <w:r w:rsidRPr="001056C5">
        <w:rPr>
          <w:rFonts w:asciiTheme="minorHAnsi" w:hAnsiTheme="minorHAnsi"/>
        </w:rPr>
        <w:t>, doi:10.1002/ece3.2535</w:t>
      </w:r>
      <w:r>
        <w:rPr>
          <w:rFonts w:asciiTheme="minorHAnsi" w:hAnsiTheme="minorHAnsi"/>
        </w:rPr>
        <w:t>.</w:t>
      </w:r>
    </w:p>
    <w:p w14:paraId="5B239644" w14:textId="7AEAD2A0" w:rsidR="00A15951" w:rsidRPr="00925BFC" w:rsidRDefault="00A15951" w:rsidP="00A15951">
      <w:pPr>
        <w:pStyle w:val="References"/>
        <w:ind w:left="284" w:hanging="284"/>
        <w:rPr>
          <w:rFonts w:asciiTheme="minorHAnsi" w:hAnsiTheme="minorHAnsi"/>
        </w:rPr>
      </w:pPr>
      <w:r w:rsidRPr="00925BFC">
        <w:rPr>
          <w:rFonts w:asciiTheme="minorHAnsi" w:hAnsiTheme="minorHAnsi"/>
        </w:rPr>
        <w:t>Fensham R</w:t>
      </w:r>
      <w:r w:rsidR="000E6ED8">
        <w:rPr>
          <w:rFonts w:asciiTheme="minorHAnsi" w:hAnsiTheme="minorHAnsi"/>
        </w:rPr>
        <w:t>.</w:t>
      </w:r>
      <w:r w:rsidRPr="00925BFC">
        <w:rPr>
          <w:rFonts w:asciiTheme="minorHAnsi" w:hAnsiTheme="minorHAnsi"/>
        </w:rPr>
        <w:t>J</w:t>
      </w:r>
      <w:r w:rsidR="000E6ED8">
        <w:rPr>
          <w:rFonts w:asciiTheme="minorHAnsi" w:hAnsiTheme="minorHAnsi"/>
        </w:rPr>
        <w:t>.</w:t>
      </w:r>
      <w:r w:rsidRPr="00925BFC">
        <w:rPr>
          <w:rFonts w:asciiTheme="minorHAnsi" w:hAnsiTheme="minorHAnsi"/>
        </w:rPr>
        <w:t xml:space="preserve"> &amp; Fairfax R</w:t>
      </w:r>
      <w:r w:rsidR="000E6ED8">
        <w:rPr>
          <w:rFonts w:asciiTheme="minorHAnsi" w:hAnsiTheme="minorHAnsi"/>
        </w:rPr>
        <w:t>.</w:t>
      </w:r>
      <w:r w:rsidRPr="00925BFC">
        <w:rPr>
          <w:rFonts w:asciiTheme="minorHAnsi" w:hAnsiTheme="minorHAnsi"/>
        </w:rPr>
        <w:t xml:space="preserve">J. (2003). Spring wetlands of the Great Artesian Basin, Queensland, Australia. </w:t>
      </w:r>
      <w:r w:rsidRPr="00925BFC">
        <w:rPr>
          <w:rFonts w:asciiTheme="minorHAnsi" w:hAnsiTheme="minorHAnsi"/>
          <w:i/>
        </w:rPr>
        <w:t>Wetlands Ecology and Management</w:t>
      </w:r>
      <w:r w:rsidRPr="00925BFC">
        <w:rPr>
          <w:rFonts w:asciiTheme="minorHAnsi" w:hAnsiTheme="minorHAnsi"/>
        </w:rPr>
        <w:t xml:space="preserve"> 11: 343–362. </w:t>
      </w:r>
    </w:p>
    <w:p w14:paraId="7F48A6A9" w14:textId="6F7731CE" w:rsidR="00A15951" w:rsidRPr="00925BFC" w:rsidRDefault="00A15951" w:rsidP="00A15951">
      <w:pPr>
        <w:pStyle w:val="References"/>
        <w:ind w:left="284" w:hanging="284"/>
        <w:rPr>
          <w:rFonts w:asciiTheme="minorHAnsi" w:hAnsiTheme="minorHAnsi"/>
        </w:rPr>
      </w:pPr>
      <w:r w:rsidRPr="00925BFC">
        <w:rPr>
          <w:rFonts w:asciiTheme="minorHAnsi" w:hAnsiTheme="minorHAnsi"/>
        </w:rPr>
        <w:t>Fensham R</w:t>
      </w:r>
      <w:r w:rsidR="000E6ED8">
        <w:rPr>
          <w:rFonts w:asciiTheme="minorHAnsi" w:hAnsiTheme="minorHAnsi"/>
        </w:rPr>
        <w:t xml:space="preserve">.J. </w:t>
      </w:r>
      <w:r w:rsidRPr="00925BFC">
        <w:rPr>
          <w:rFonts w:asciiTheme="minorHAnsi" w:hAnsiTheme="minorHAnsi"/>
        </w:rPr>
        <w:t>&amp; Price R</w:t>
      </w:r>
      <w:r w:rsidR="000E6ED8">
        <w:rPr>
          <w:rFonts w:asciiTheme="minorHAnsi" w:hAnsiTheme="minorHAnsi"/>
        </w:rPr>
        <w:t>.</w:t>
      </w:r>
      <w:r w:rsidRPr="00925BFC">
        <w:rPr>
          <w:rFonts w:asciiTheme="minorHAnsi" w:hAnsiTheme="minorHAnsi"/>
        </w:rPr>
        <w:t xml:space="preserve">J. (2004). Ranking spring wetlands in the Great Artesian Basin of Australia using endemicity and isolation of plant species. </w:t>
      </w:r>
      <w:r w:rsidRPr="00925BFC">
        <w:rPr>
          <w:rFonts w:asciiTheme="minorHAnsi" w:hAnsiTheme="minorHAnsi"/>
          <w:i/>
        </w:rPr>
        <w:t>Biological Conservation</w:t>
      </w:r>
      <w:r w:rsidRPr="00925BFC">
        <w:rPr>
          <w:rFonts w:asciiTheme="minorHAnsi" w:hAnsiTheme="minorHAnsi"/>
        </w:rPr>
        <w:t xml:space="preserve"> 119: 41–50. </w:t>
      </w:r>
    </w:p>
    <w:p w14:paraId="212E9A2E" w14:textId="4F1CB5DF" w:rsidR="00A15951" w:rsidRPr="00925BFC" w:rsidRDefault="00A15951" w:rsidP="00A15951">
      <w:pPr>
        <w:pStyle w:val="References"/>
        <w:ind w:left="284" w:hanging="284"/>
        <w:rPr>
          <w:rFonts w:asciiTheme="minorHAnsi" w:hAnsiTheme="minorHAnsi"/>
        </w:rPr>
      </w:pPr>
      <w:r w:rsidRPr="00925BFC">
        <w:rPr>
          <w:rFonts w:asciiTheme="minorHAnsi" w:hAnsiTheme="minorHAnsi"/>
        </w:rPr>
        <w:t>Fensham R</w:t>
      </w:r>
      <w:r w:rsidR="000E6ED8">
        <w:rPr>
          <w:rFonts w:asciiTheme="minorHAnsi" w:hAnsiTheme="minorHAnsi"/>
        </w:rPr>
        <w:t>.</w:t>
      </w:r>
      <w:r w:rsidRPr="00925BFC">
        <w:rPr>
          <w:rFonts w:asciiTheme="minorHAnsi" w:hAnsiTheme="minorHAnsi"/>
        </w:rPr>
        <w:t>J</w:t>
      </w:r>
      <w:r w:rsidR="000E6ED8">
        <w:rPr>
          <w:rFonts w:asciiTheme="minorHAnsi" w:hAnsiTheme="minorHAnsi"/>
        </w:rPr>
        <w:t>.</w:t>
      </w:r>
      <w:r w:rsidRPr="00925BFC">
        <w:rPr>
          <w:rFonts w:asciiTheme="minorHAnsi" w:hAnsiTheme="minorHAnsi"/>
        </w:rPr>
        <w:t>, Fairfax R</w:t>
      </w:r>
      <w:r w:rsidR="000E6ED8">
        <w:rPr>
          <w:rFonts w:asciiTheme="minorHAnsi" w:hAnsiTheme="minorHAnsi"/>
        </w:rPr>
        <w:t>.</w:t>
      </w:r>
      <w:r w:rsidRPr="00925BFC">
        <w:rPr>
          <w:rFonts w:asciiTheme="minorHAnsi" w:hAnsiTheme="minorHAnsi"/>
        </w:rPr>
        <w:t>J</w:t>
      </w:r>
      <w:r w:rsidR="000E6ED8">
        <w:rPr>
          <w:rFonts w:asciiTheme="minorHAnsi" w:hAnsiTheme="minorHAnsi"/>
        </w:rPr>
        <w:t>.</w:t>
      </w:r>
      <w:r w:rsidRPr="00925BFC">
        <w:rPr>
          <w:rFonts w:asciiTheme="minorHAnsi" w:hAnsiTheme="minorHAnsi"/>
        </w:rPr>
        <w:t xml:space="preserve"> &amp; Sharpe P</w:t>
      </w:r>
      <w:r w:rsidR="000E6ED8">
        <w:rPr>
          <w:rFonts w:asciiTheme="minorHAnsi" w:hAnsiTheme="minorHAnsi"/>
        </w:rPr>
        <w:t>.</w:t>
      </w:r>
      <w:r w:rsidRPr="00925BFC">
        <w:rPr>
          <w:rFonts w:asciiTheme="minorHAnsi" w:hAnsiTheme="minorHAnsi"/>
        </w:rPr>
        <w:t xml:space="preserve">R. (2004). Spring wetlands in seasonally arid Queensland. Floristics, environmental relations, classification and conservation values. </w:t>
      </w:r>
      <w:r w:rsidRPr="00925BFC">
        <w:rPr>
          <w:rFonts w:asciiTheme="minorHAnsi" w:hAnsiTheme="minorHAnsi"/>
          <w:i/>
        </w:rPr>
        <w:t>Australian Journal of Botany</w:t>
      </w:r>
      <w:r w:rsidRPr="00925BFC">
        <w:rPr>
          <w:rFonts w:asciiTheme="minorHAnsi" w:hAnsiTheme="minorHAnsi"/>
        </w:rPr>
        <w:t xml:space="preserve"> 52: 583–595. </w:t>
      </w:r>
    </w:p>
    <w:p w14:paraId="13DDA90F" w14:textId="613732EB" w:rsidR="00A15951" w:rsidRPr="00925BFC" w:rsidRDefault="00A15951" w:rsidP="00A15951">
      <w:pPr>
        <w:pStyle w:val="References"/>
        <w:ind w:left="284" w:hanging="284"/>
        <w:rPr>
          <w:rFonts w:asciiTheme="minorHAnsi" w:hAnsiTheme="minorHAnsi"/>
        </w:rPr>
      </w:pPr>
      <w:r w:rsidRPr="00925BFC">
        <w:rPr>
          <w:rFonts w:asciiTheme="minorHAnsi" w:hAnsiTheme="minorHAnsi"/>
        </w:rPr>
        <w:t>Fensham R</w:t>
      </w:r>
      <w:r w:rsidR="000E6ED8">
        <w:rPr>
          <w:rFonts w:asciiTheme="minorHAnsi" w:hAnsiTheme="minorHAnsi"/>
        </w:rPr>
        <w:t>.</w:t>
      </w:r>
      <w:r w:rsidRPr="00925BFC">
        <w:rPr>
          <w:rFonts w:asciiTheme="minorHAnsi" w:hAnsiTheme="minorHAnsi"/>
        </w:rPr>
        <w:t>J</w:t>
      </w:r>
      <w:r w:rsidR="000E6ED8">
        <w:rPr>
          <w:rFonts w:asciiTheme="minorHAnsi" w:hAnsiTheme="minorHAnsi"/>
        </w:rPr>
        <w:t>.</w:t>
      </w:r>
      <w:r w:rsidRPr="00925BFC">
        <w:rPr>
          <w:rFonts w:asciiTheme="minorHAnsi" w:hAnsiTheme="minorHAnsi"/>
        </w:rPr>
        <w:t xml:space="preserve">, Fairfax </w:t>
      </w:r>
      <w:r>
        <w:rPr>
          <w:rFonts w:asciiTheme="minorHAnsi" w:hAnsiTheme="minorHAnsi"/>
        </w:rPr>
        <w:t>R</w:t>
      </w:r>
      <w:r w:rsidR="000E6ED8">
        <w:rPr>
          <w:rFonts w:asciiTheme="minorHAnsi" w:hAnsiTheme="minorHAnsi"/>
        </w:rPr>
        <w:t>.</w:t>
      </w:r>
      <w:r>
        <w:rPr>
          <w:rFonts w:asciiTheme="minorHAnsi" w:hAnsiTheme="minorHAnsi"/>
        </w:rPr>
        <w:t xml:space="preserve"> &amp; </w:t>
      </w:r>
      <w:r w:rsidRPr="00925BFC">
        <w:rPr>
          <w:rFonts w:asciiTheme="minorHAnsi" w:hAnsiTheme="minorHAnsi"/>
        </w:rPr>
        <w:t>Wager</w:t>
      </w:r>
      <w:r>
        <w:rPr>
          <w:rFonts w:asciiTheme="minorHAnsi" w:hAnsiTheme="minorHAnsi"/>
        </w:rPr>
        <w:t xml:space="preserve"> R.</w:t>
      </w:r>
      <w:r w:rsidRPr="00925BFC">
        <w:rPr>
          <w:rFonts w:asciiTheme="minorHAnsi" w:hAnsiTheme="minorHAnsi"/>
        </w:rPr>
        <w:t xml:space="preserve"> (2006). Recovery Plan for the red-finned blue-eye </w:t>
      </w:r>
      <w:r w:rsidRPr="001A4EB1">
        <w:rPr>
          <w:rFonts w:asciiTheme="minorHAnsi" w:hAnsiTheme="minorHAnsi"/>
          <w:i/>
        </w:rPr>
        <w:t>Scaturiginichthys vermeilipinnis</w:t>
      </w:r>
      <w:r w:rsidRPr="00925BFC">
        <w:rPr>
          <w:rFonts w:asciiTheme="minorHAnsi" w:hAnsiTheme="minorHAnsi"/>
        </w:rPr>
        <w:t xml:space="preserve"> 2007-2011.</w:t>
      </w:r>
      <w:r w:rsidRPr="001A4EB1">
        <w:t xml:space="preserve"> </w:t>
      </w:r>
      <w:r w:rsidRPr="001A4EB1">
        <w:rPr>
          <w:rFonts w:asciiTheme="minorHAnsi" w:hAnsiTheme="minorHAnsi"/>
        </w:rPr>
        <w:t>Queensland Parks and Wildlife Service</w:t>
      </w:r>
      <w:r>
        <w:rPr>
          <w:rFonts w:asciiTheme="minorHAnsi" w:hAnsiTheme="minorHAnsi"/>
        </w:rPr>
        <w:t>, Brisbane.</w:t>
      </w:r>
    </w:p>
    <w:p w14:paraId="39AB6FD4" w14:textId="0D054F25" w:rsidR="00A15951" w:rsidRPr="00925BFC" w:rsidRDefault="00A15951" w:rsidP="00A15951">
      <w:pPr>
        <w:pStyle w:val="References"/>
        <w:ind w:left="284" w:hanging="284"/>
        <w:rPr>
          <w:rFonts w:asciiTheme="minorHAnsi" w:hAnsiTheme="minorHAnsi"/>
        </w:rPr>
      </w:pPr>
      <w:r w:rsidRPr="00925BFC">
        <w:rPr>
          <w:rFonts w:asciiTheme="minorHAnsi" w:hAnsiTheme="minorHAnsi"/>
        </w:rPr>
        <w:t>Fensham R</w:t>
      </w:r>
      <w:r w:rsidR="000E6ED8">
        <w:rPr>
          <w:rFonts w:asciiTheme="minorHAnsi" w:hAnsiTheme="minorHAnsi"/>
        </w:rPr>
        <w:t>.</w:t>
      </w:r>
      <w:r w:rsidRPr="00925BFC">
        <w:rPr>
          <w:rFonts w:asciiTheme="minorHAnsi" w:hAnsiTheme="minorHAnsi"/>
        </w:rPr>
        <w:t>J</w:t>
      </w:r>
      <w:r w:rsidR="000E6ED8">
        <w:rPr>
          <w:rFonts w:asciiTheme="minorHAnsi" w:hAnsiTheme="minorHAnsi"/>
        </w:rPr>
        <w:t>.</w:t>
      </w:r>
      <w:r w:rsidRPr="00925BFC">
        <w:rPr>
          <w:rFonts w:asciiTheme="minorHAnsi" w:hAnsiTheme="minorHAnsi"/>
        </w:rPr>
        <w:t>, Ponder W</w:t>
      </w:r>
      <w:r w:rsidR="000E6ED8">
        <w:rPr>
          <w:rFonts w:asciiTheme="minorHAnsi" w:hAnsiTheme="minorHAnsi"/>
        </w:rPr>
        <w:t>.</w:t>
      </w:r>
      <w:r w:rsidRPr="00925BFC">
        <w:rPr>
          <w:rFonts w:asciiTheme="minorHAnsi" w:hAnsiTheme="minorHAnsi"/>
        </w:rPr>
        <w:t>F</w:t>
      </w:r>
      <w:r w:rsidR="000E6ED8">
        <w:rPr>
          <w:rFonts w:asciiTheme="minorHAnsi" w:hAnsiTheme="minorHAnsi"/>
        </w:rPr>
        <w:t>.</w:t>
      </w:r>
      <w:r w:rsidRPr="00925BFC">
        <w:rPr>
          <w:rFonts w:asciiTheme="minorHAnsi" w:hAnsiTheme="minorHAnsi"/>
        </w:rPr>
        <w:t xml:space="preserve"> &amp; Fairfax R</w:t>
      </w:r>
      <w:r w:rsidR="000E6ED8">
        <w:rPr>
          <w:rFonts w:asciiTheme="minorHAnsi" w:hAnsiTheme="minorHAnsi"/>
        </w:rPr>
        <w:t>.</w:t>
      </w:r>
      <w:r w:rsidRPr="00925BFC">
        <w:rPr>
          <w:rFonts w:asciiTheme="minorHAnsi" w:hAnsiTheme="minorHAnsi"/>
        </w:rPr>
        <w:t xml:space="preserve">J. (2010). Recovery plan for the community of native species dependent on natural discharge of groundwater from the Great Artesian Basin. Report to Department of the Environment, </w:t>
      </w:r>
      <w:r w:rsidRPr="00925BFC">
        <w:rPr>
          <w:rFonts w:asciiTheme="minorHAnsi" w:hAnsiTheme="minorHAnsi"/>
        </w:rPr>
        <w:lastRenderedPageBreak/>
        <w:t xml:space="preserve">Water, Heritage and the Arts, Canberra. Queensland Department of Environment and Resource Management, Brisbane. </w:t>
      </w:r>
    </w:p>
    <w:p w14:paraId="00EDE785" w14:textId="61959E99" w:rsidR="00A15951" w:rsidRPr="00925BFC" w:rsidRDefault="00A15951" w:rsidP="00A15951">
      <w:pPr>
        <w:pStyle w:val="References"/>
        <w:ind w:left="284" w:hanging="284"/>
        <w:rPr>
          <w:rFonts w:asciiTheme="minorHAnsi" w:hAnsiTheme="minorHAnsi"/>
        </w:rPr>
      </w:pPr>
      <w:r w:rsidRPr="00925BFC">
        <w:rPr>
          <w:rFonts w:asciiTheme="minorHAnsi" w:hAnsiTheme="minorHAnsi"/>
        </w:rPr>
        <w:t>Fensham R</w:t>
      </w:r>
      <w:r w:rsidR="000E6ED8">
        <w:rPr>
          <w:rFonts w:asciiTheme="minorHAnsi" w:hAnsiTheme="minorHAnsi"/>
        </w:rPr>
        <w:t>.</w:t>
      </w:r>
      <w:r w:rsidRPr="00925BFC">
        <w:rPr>
          <w:rFonts w:asciiTheme="minorHAnsi" w:hAnsiTheme="minorHAnsi"/>
        </w:rPr>
        <w:t>J</w:t>
      </w:r>
      <w:r w:rsidR="000E6ED8">
        <w:rPr>
          <w:rFonts w:asciiTheme="minorHAnsi" w:hAnsiTheme="minorHAnsi"/>
        </w:rPr>
        <w:t>.</w:t>
      </w:r>
      <w:r w:rsidRPr="00925BFC">
        <w:rPr>
          <w:rFonts w:asciiTheme="minorHAnsi" w:hAnsiTheme="minorHAnsi"/>
        </w:rPr>
        <w:t>, Silcock J</w:t>
      </w:r>
      <w:r w:rsidR="000E6ED8">
        <w:rPr>
          <w:rFonts w:asciiTheme="minorHAnsi" w:hAnsiTheme="minorHAnsi"/>
        </w:rPr>
        <w:t>.</w:t>
      </w:r>
      <w:r w:rsidRPr="00925BFC">
        <w:rPr>
          <w:rFonts w:asciiTheme="minorHAnsi" w:hAnsiTheme="minorHAnsi"/>
        </w:rPr>
        <w:t>L</w:t>
      </w:r>
      <w:r w:rsidR="000E6ED8">
        <w:rPr>
          <w:rFonts w:asciiTheme="minorHAnsi" w:hAnsiTheme="minorHAnsi"/>
        </w:rPr>
        <w:t>.</w:t>
      </w:r>
      <w:r w:rsidRPr="00925BFC">
        <w:rPr>
          <w:rFonts w:asciiTheme="minorHAnsi" w:hAnsiTheme="minorHAnsi"/>
        </w:rPr>
        <w:t>, Kerezsy A</w:t>
      </w:r>
      <w:r w:rsidR="000E6ED8">
        <w:rPr>
          <w:rFonts w:asciiTheme="minorHAnsi" w:hAnsiTheme="minorHAnsi"/>
        </w:rPr>
        <w:t>.</w:t>
      </w:r>
      <w:r w:rsidRPr="00925BFC">
        <w:rPr>
          <w:rFonts w:asciiTheme="minorHAnsi" w:hAnsiTheme="minorHAnsi"/>
        </w:rPr>
        <w:t xml:space="preserve"> &amp; Ponder W. (2011). Four desert waters: setting arid zone wetland conservation priorities through understanding patterns of endemism. </w:t>
      </w:r>
      <w:r w:rsidRPr="00925BFC">
        <w:rPr>
          <w:rFonts w:asciiTheme="minorHAnsi" w:hAnsiTheme="minorHAnsi"/>
          <w:i/>
        </w:rPr>
        <w:t>Biological Conservation</w:t>
      </w:r>
      <w:r w:rsidRPr="00925BFC">
        <w:rPr>
          <w:rFonts w:asciiTheme="minorHAnsi" w:hAnsiTheme="minorHAnsi"/>
        </w:rPr>
        <w:t xml:space="preserve"> 144: 2459–2467.</w:t>
      </w:r>
    </w:p>
    <w:p w14:paraId="41D78214" w14:textId="0B733176" w:rsidR="00A15951" w:rsidRPr="00925BFC" w:rsidRDefault="00A15951" w:rsidP="00A15951">
      <w:pPr>
        <w:pStyle w:val="References"/>
        <w:ind w:left="284" w:hanging="284"/>
        <w:rPr>
          <w:rFonts w:asciiTheme="minorHAnsi" w:hAnsiTheme="minorHAnsi"/>
        </w:rPr>
      </w:pPr>
      <w:r w:rsidRPr="00925BFC">
        <w:rPr>
          <w:rFonts w:asciiTheme="minorHAnsi" w:hAnsiTheme="minorHAnsi"/>
        </w:rPr>
        <w:t>Fielding A</w:t>
      </w:r>
      <w:r w:rsidR="000E6ED8">
        <w:rPr>
          <w:rFonts w:asciiTheme="minorHAnsi" w:hAnsiTheme="minorHAnsi"/>
        </w:rPr>
        <w:t>.</w:t>
      </w:r>
      <w:r w:rsidRPr="00925BFC">
        <w:rPr>
          <w:rFonts w:asciiTheme="minorHAnsi" w:hAnsiTheme="minorHAnsi"/>
        </w:rPr>
        <w:t>H</w:t>
      </w:r>
      <w:r w:rsidR="000E6ED8">
        <w:rPr>
          <w:rFonts w:asciiTheme="minorHAnsi" w:hAnsiTheme="minorHAnsi"/>
        </w:rPr>
        <w:t>.</w:t>
      </w:r>
      <w:r>
        <w:rPr>
          <w:rFonts w:asciiTheme="minorHAnsi" w:hAnsiTheme="minorHAnsi"/>
        </w:rPr>
        <w:t xml:space="preserve"> &amp;</w:t>
      </w:r>
      <w:r w:rsidRPr="00925BFC">
        <w:rPr>
          <w:rFonts w:asciiTheme="minorHAnsi" w:hAnsiTheme="minorHAnsi"/>
        </w:rPr>
        <w:t xml:space="preserve"> Bell J</w:t>
      </w:r>
      <w:r w:rsidR="000E6ED8">
        <w:rPr>
          <w:rFonts w:asciiTheme="minorHAnsi" w:hAnsiTheme="minorHAnsi"/>
        </w:rPr>
        <w:t>.</w:t>
      </w:r>
      <w:r w:rsidRPr="00925BFC">
        <w:rPr>
          <w:rFonts w:asciiTheme="minorHAnsi" w:hAnsiTheme="minorHAnsi"/>
        </w:rPr>
        <w:t xml:space="preserve">F. (1997). A review of methods for the assessment of prediction errors in conservation presence/absence models. </w:t>
      </w:r>
      <w:r w:rsidRPr="001A4EB1">
        <w:rPr>
          <w:rFonts w:asciiTheme="minorHAnsi" w:hAnsiTheme="minorHAnsi"/>
          <w:i/>
        </w:rPr>
        <w:t>Environmental Conservation</w:t>
      </w:r>
      <w:r w:rsidRPr="00925BFC">
        <w:rPr>
          <w:rFonts w:asciiTheme="minorHAnsi" w:hAnsiTheme="minorHAnsi"/>
        </w:rPr>
        <w:t xml:space="preserve"> 24: 38–49.</w:t>
      </w:r>
    </w:p>
    <w:p w14:paraId="1765D9E9" w14:textId="77777777" w:rsidR="00360CB3" w:rsidRPr="00925BFC" w:rsidRDefault="00360CB3" w:rsidP="00360CB3">
      <w:pPr>
        <w:pStyle w:val="References"/>
        <w:ind w:left="284" w:hanging="284"/>
        <w:rPr>
          <w:rFonts w:asciiTheme="minorHAnsi" w:hAnsiTheme="minorHAnsi"/>
        </w:rPr>
      </w:pPr>
      <w:r w:rsidRPr="00360CB3">
        <w:rPr>
          <w:rFonts w:asciiTheme="minorHAnsi" w:hAnsiTheme="minorHAnsi"/>
        </w:rPr>
        <w:t xml:space="preserve">Firn J., Martin T.G., Chadès I., Walters B., Hayes J., Nicol S. </w:t>
      </w:r>
      <w:r>
        <w:rPr>
          <w:rFonts w:asciiTheme="minorHAnsi" w:hAnsiTheme="minorHAnsi"/>
        </w:rPr>
        <w:t>&amp;</w:t>
      </w:r>
      <w:r w:rsidRPr="00360CB3">
        <w:rPr>
          <w:rFonts w:asciiTheme="minorHAnsi" w:hAnsiTheme="minorHAnsi"/>
        </w:rPr>
        <w:t xml:space="preserve"> Carwardine J. </w:t>
      </w:r>
      <w:r w:rsidRPr="00925BFC">
        <w:rPr>
          <w:rFonts w:asciiTheme="minorHAnsi" w:hAnsiTheme="minorHAnsi"/>
        </w:rPr>
        <w:t xml:space="preserve">(2015b). Priority threat management of non-native plants to maintain ecosystem integrity across heterogeneous landscapes. </w:t>
      </w:r>
      <w:r w:rsidRPr="00925BFC">
        <w:rPr>
          <w:rFonts w:asciiTheme="minorHAnsi" w:hAnsiTheme="minorHAnsi"/>
          <w:i/>
        </w:rPr>
        <w:t>Journal of Applied Ecology</w:t>
      </w:r>
      <w:r w:rsidRPr="00925BFC">
        <w:rPr>
          <w:rFonts w:asciiTheme="minorHAnsi" w:hAnsiTheme="minorHAnsi"/>
        </w:rPr>
        <w:t xml:space="preserve"> 52: 1135–1144.</w:t>
      </w:r>
    </w:p>
    <w:p w14:paraId="03A60BEB" w14:textId="121860D5" w:rsidR="00A15951" w:rsidRPr="00925BFC" w:rsidRDefault="00360CB3" w:rsidP="00A15951">
      <w:pPr>
        <w:pStyle w:val="References"/>
        <w:ind w:left="284" w:hanging="284"/>
        <w:rPr>
          <w:rFonts w:asciiTheme="minorHAnsi" w:hAnsiTheme="minorHAnsi"/>
        </w:rPr>
      </w:pPr>
      <w:r w:rsidRPr="00360CB3">
        <w:rPr>
          <w:rFonts w:asciiTheme="minorHAnsi" w:hAnsiTheme="minorHAnsi"/>
        </w:rPr>
        <w:t>Firn J., Maggini R., Chadès I., Nicol S., Walters B., Reeson A., Martin</w:t>
      </w:r>
      <w:r>
        <w:rPr>
          <w:rFonts w:asciiTheme="minorHAnsi" w:hAnsiTheme="minorHAnsi"/>
        </w:rPr>
        <w:t xml:space="preserve"> T.</w:t>
      </w:r>
      <w:r w:rsidRPr="00360CB3">
        <w:rPr>
          <w:rFonts w:asciiTheme="minorHAnsi" w:hAnsiTheme="minorHAnsi"/>
        </w:rPr>
        <w:t>G., Possingham</w:t>
      </w:r>
      <w:r>
        <w:rPr>
          <w:rFonts w:asciiTheme="minorHAnsi" w:hAnsiTheme="minorHAnsi"/>
        </w:rPr>
        <w:t xml:space="preserve"> H.</w:t>
      </w:r>
      <w:r w:rsidRPr="00360CB3">
        <w:rPr>
          <w:rFonts w:asciiTheme="minorHAnsi" w:hAnsiTheme="minorHAnsi"/>
        </w:rPr>
        <w:t xml:space="preserve">P., Pichancourt J.-B., Ponce-Reyes R. </w:t>
      </w:r>
      <w:r>
        <w:rPr>
          <w:rFonts w:asciiTheme="minorHAnsi" w:hAnsiTheme="minorHAnsi"/>
        </w:rPr>
        <w:t>&amp;</w:t>
      </w:r>
      <w:r w:rsidRPr="00360CB3">
        <w:rPr>
          <w:rFonts w:asciiTheme="minorHAnsi" w:hAnsiTheme="minorHAnsi"/>
        </w:rPr>
        <w:t xml:space="preserve"> Carwardine J</w:t>
      </w:r>
      <w:r w:rsidR="00A15951" w:rsidRPr="00925BFC">
        <w:rPr>
          <w:rFonts w:asciiTheme="minorHAnsi" w:hAnsiTheme="minorHAnsi"/>
        </w:rPr>
        <w:t xml:space="preserve">. (2015a). Priority threat management of invasive animals to protect biodiversity under climate change. </w:t>
      </w:r>
      <w:r w:rsidR="00A15951" w:rsidRPr="00925BFC">
        <w:rPr>
          <w:rFonts w:asciiTheme="minorHAnsi" w:hAnsiTheme="minorHAnsi"/>
          <w:i/>
        </w:rPr>
        <w:t>Global Change Biology</w:t>
      </w:r>
      <w:r w:rsidR="00A15951" w:rsidRPr="00925BFC">
        <w:rPr>
          <w:rFonts w:asciiTheme="minorHAnsi" w:hAnsiTheme="minorHAnsi"/>
        </w:rPr>
        <w:t xml:space="preserve"> 21: 3917–3930.</w:t>
      </w:r>
    </w:p>
    <w:p w14:paraId="3EC992C8" w14:textId="712FE984" w:rsidR="00A15951" w:rsidRPr="00925BFC" w:rsidRDefault="00A15951" w:rsidP="00A15951">
      <w:pPr>
        <w:pStyle w:val="References"/>
        <w:ind w:left="284" w:hanging="284"/>
        <w:rPr>
          <w:rFonts w:asciiTheme="minorHAnsi" w:hAnsiTheme="minorHAnsi"/>
        </w:rPr>
      </w:pPr>
      <w:r w:rsidRPr="00925BFC">
        <w:rPr>
          <w:rFonts w:asciiTheme="minorHAnsi" w:hAnsiTheme="minorHAnsi"/>
        </w:rPr>
        <w:t>Firn J</w:t>
      </w:r>
      <w:r w:rsidR="00360CB3">
        <w:rPr>
          <w:rFonts w:asciiTheme="minorHAnsi" w:hAnsiTheme="minorHAnsi"/>
        </w:rPr>
        <w:t>.</w:t>
      </w:r>
      <w:r w:rsidRPr="00925BFC">
        <w:rPr>
          <w:rFonts w:asciiTheme="minorHAnsi" w:hAnsiTheme="minorHAnsi"/>
        </w:rPr>
        <w:t>, Maggini R</w:t>
      </w:r>
      <w:r w:rsidR="00360CB3">
        <w:rPr>
          <w:rFonts w:asciiTheme="minorHAnsi" w:hAnsiTheme="minorHAnsi"/>
        </w:rPr>
        <w:t>.</w:t>
      </w:r>
      <w:r w:rsidRPr="00925BFC">
        <w:rPr>
          <w:rFonts w:asciiTheme="minorHAnsi" w:hAnsiTheme="minorHAnsi"/>
        </w:rPr>
        <w:t>, Chades I</w:t>
      </w:r>
      <w:r w:rsidR="00360CB3">
        <w:rPr>
          <w:rFonts w:asciiTheme="minorHAnsi" w:hAnsiTheme="minorHAnsi"/>
        </w:rPr>
        <w:t>.</w:t>
      </w:r>
      <w:r w:rsidRPr="00925BFC">
        <w:rPr>
          <w:rFonts w:asciiTheme="minorHAnsi" w:hAnsiTheme="minorHAnsi"/>
        </w:rPr>
        <w:t>, Nicol S</w:t>
      </w:r>
      <w:r w:rsidR="00360CB3">
        <w:rPr>
          <w:rFonts w:asciiTheme="minorHAnsi" w:hAnsiTheme="minorHAnsi"/>
        </w:rPr>
        <w:t>.</w:t>
      </w:r>
      <w:r w:rsidRPr="00925BFC">
        <w:rPr>
          <w:rFonts w:asciiTheme="minorHAnsi" w:hAnsiTheme="minorHAnsi"/>
        </w:rPr>
        <w:t>, Walters B</w:t>
      </w:r>
      <w:r w:rsidR="00360CB3">
        <w:rPr>
          <w:rFonts w:asciiTheme="minorHAnsi" w:hAnsiTheme="minorHAnsi"/>
        </w:rPr>
        <w:t>.</w:t>
      </w:r>
      <w:r w:rsidRPr="00925BFC">
        <w:rPr>
          <w:rFonts w:asciiTheme="minorHAnsi" w:hAnsiTheme="minorHAnsi"/>
        </w:rPr>
        <w:t>, Reeson A</w:t>
      </w:r>
      <w:r w:rsidR="00360CB3">
        <w:rPr>
          <w:rFonts w:asciiTheme="minorHAnsi" w:hAnsiTheme="minorHAnsi"/>
        </w:rPr>
        <w:t>.</w:t>
      </w:r>
      <w:r w:rsidRPr="00925BFC">
        <w:rPr>
          <w:rFonts w:asciiTheme="minorHAnsi" w:hAnsiTheme="minorHAnsi"/>
        </w:rPr>
        <w:t>, Martin T</w:t>
      </w:r>
      <w:r w:rsidR="00360CB3">
        <w:rPr>
          <w:rFonts w:asciiTheme="minorHAnsi" w:hAnsiTheme="minorHAnsi"/>
        </w:rPr>
        <w:t>.</w:t>
      </w:r>
      <w:r w:rsidRPr="00925BFC">
        <w:rPr>
          <w:rFonts w:asciiTheme="minorHAnsi" w:hAnsiTheme="minorHAnsi"/>
        </w:rPr>
        <w:t>G</w:t>
      </w:r>
      <w:r w:rsidR="00360CB3">
        <w:rPr>
          <w:rFonts w:asciiTheme="minorHAnsi" w:hAnsiTheme="minorHAnsi"/>
        </w:rPr>
        <w:t>.</w:t>
      </w:r>
      <w:r w:rsidRPr="00925BFC">
        <w:rPr>
          <w:rFonts w:asciiTheme="minorHAnsi" w:hAnsiTheme="minorHAnsi"/>
        </w:rPr>
        <w:t>, Possingham H</w:t>
      </w:r>
      <w:r w:rsidR="00360CB3">
        <w:rPr>
          <w:rFonts w:asciiTheme="minorHAnsi" w:hAnsiTheme="minorHAnsi"/>
        </w:rPr>
        <w:t>.</w:t>
      </w:r>
      <w:r w:rsidRPr="00925BFC">
        <w:rPr>
          <w:rFonts w:asciiTheme="minorHAnsi" w:hAnsiTheme="minorHAnsi"/>
        </w:rPr>
        <w:t>P</w:t>
      </w:r>
      <w:r w:rsidR="00360CB3">
        <w:rPr>
          <w:rFonts w:asciiTheme="minorHAnsi" w:hAnsiTheme="minorHAnsi"/>
        </w:rPr>
        <w:t>.</w:t>
      </w:r>
      <w:r w:rsidRPr="00925BFC">
        <w:rPr>
          <w:rFonts w:asciiTheme="minorHAnsi" w:hAnsiTheme="minorHAnsi"/>
        </w:rPr>
        <w:t>, Pichancourt J</w:t>
      </w:r>
      <w:r w:rsidR="00360CB3">
        <w:rPr>
          <w:rFonts w:asciiTheme="minorHAnsi" w:hAnsiTheme="minorHAnsi"/>
        </w:rPr>
        <w:t>.</w:t>
      </w:r>
      <w:r w:rsidRPr="00925BFC">
        <w:rPr>
          <w:rFonts w:asciiTheme="minorHAnsi" w:hAnsiTheme="minorHAnsi"/>
        </w:rPr>
        <w:t>, Ponce</w:t>
      </w:r>
      <w:r w:rsidRPr="00925BFC">
        <w:rPr>
          <w:rFonts w:ascii="MS Gothic" w:eastAsia="MS Gothic" w:hAnsi="MS Gothic" w:cs="MS Gothic" w:hint="eastAsia"/>
        </w:rPr>
        <w:t>‑</w:t>
      </w:r>
      <w:r>
        <w:rPr>
          <w:rFonts w:asciiTheme="minorHAnsi" w:hAnsiTheme="minorHAnsi"/>
        </w:rPr>
        <w:t>Reyes R</w:t>
      </w:r>
      <w:r w:rsidR="00360CB3">
        <w:rPr>
          <w:rFonts w:asciiTheme="minorHAnsi" w:hAnsiTheme="minorHAnsi"/>
        </w:rPr>
        <w:t>.</w:t>
      </w:r>
      <w:r>
        <w:rPr>
          <w:rFonts w:asciiTheme="minorHAnsi" w:hAnsiTheme="minorHAnsi"/>
        </w:rPr>
        <w:t xml:space="preserve"> &amp;</w:t>
      </w:r>
      <w:r w:rsidRPr="00925BFC">
        <w:rPr>
          <w:rFonts w:asciiTheme="minorHAnsi" w:hAnsiTheme="minorHAnsi"/>
        </w:rPr>
        <w:t xml:space="preserve"> Carwardine J</w:t>
      </w:r>
      <w:r>
        <w:rPr>
          <w:rFonts w:asciiTheme="minorHAnsi" w:hAnsiTheme="minorHAnsi"/>
        </w:rPr>
        <w:t>.</w:t>
      </w:r>
      <w:r w:rsidRPr="00925BFC">
        <w:rPr>
          <w:rFonts w:asciiTheme="minorHAnsi" w:hAnsiTheme="minorHAnsi"/>
        </w:rPr>
        <w:t xml:space="preserve"> (2015</w:t>
      </w:r>
      <w:r>
        <w:rPr>
          <w:rFonts w:asciiTheme="minorHAnsi" w:hAnsiTheme="minorHAnsi"/>
        </w:rPr>
        <w:t>c</w:t>
      </w:r>
      <w:r w:rsidRPr="00925BFC">
        <w:rPr>
          <w:rFonts w:asciiTheme="minorHAnsi" w:hAnsiTheme="minorHAnsi"/>
        </w:rPr>
        <w:t>). Priority Threat Management of Invasive Animals to Protect Biodiversity in the Lake Eyre Basin CSIRO, Brisbane.</w:t>
      </w:r>
    </w:p>
    <w:p w14:paraId="5610E8EF" w14:textId="77777777" w:rsidR="00A15951" w:rsidRPr="00925BFC" w:rsidRDefault="00A15951" w:rsidP="00A15951">
      <w:pPr>
        <w:pStyle w:val="References"/>
        <w:ind w:left="284" w:hanging="284"/>
        <w:rPr>
          <w:rFonts w:asciiTheme="minorHAnsi" w:hAnsiTheme="minorHAnsi"/>
        </w:rPr>
      </w:pPr>
      <w:r w:rsidRPr="00925BFC">
        <w:rPr>
          <w:rFonts w:asciiTheme="minorHAnsi" w:hAnsiTheme="minorHAnsi"/>
        </w:rPr>
        <w:t>Frankham</w:t>
      </w:r>
      <w:r>
        <w:rPr>
          <w:rFonts w:asciiTheme="minorHAnsi" w:hAnsiTheme="minorHAnsi"/>
        </w:rPr>
        <w:t xml:space="preserve"> R. (2005). </w:t>
      </w:r>
      <w:r w:rsidRPr="00925BFC">
        <w:rPr>
          <w:rFonts w:asciiTheme="minorHAnsi" w:hAnsiTheme="minorHAnsi"/>
        </w:rPr>
        <w:t>Genetics and extinction.</w:t>
      </w:r>
      <w:r>
        <w:rPr>
          <w:rFonts w:asciiTheme="minorHAnsi" w:hAnsiTheme="minorHAnsi"/>
        </w:rPr>
        <w:t xml:space="preserve"> </w:t>
      </w:r>
      <w:r w:rsidRPr="001A4EB1">
        <w:rPr>
          <w:rFonts w:asciiTheme="minorHAnsi" w:hAnsiTheme="minorHAnsi"/>
          <w:i/>
        </w:rPr>
        <w:t>Biological Conservation</w:t>
      </w:r>
      <w:r>
        <w:rPr>
          <w:rFonts w:asciiTheme="minorHAnsi" w:hAnsiTheme="minorHAnsi"/>
        </w:rPr>
        <w:t xml:space="preserve"> 126</w:t>
      </w:r>
      <w:r w:rsidRPr="00925BFC">
        <w:rPr>
          <w:rFonts w:asciiTheme="minorHAnsi" w:hAnsiTheme="minorHAnsi"/>
        </w:rPr>
        <w:t>: 131-140.</w:t>
      </w:r>
    </w:p>
    <w:p w14:paraId="61C4F057" w14:textId="657CE9A9" w:rsidR="00A15951" w:rsidRPr="00925BFC" w:rsidRDefault="00A15951" w:rsidP="00A15951">
      <w:pPr>
        <w:pStyle w:val="References"/>
        <w:ind w:left="284" w:hanging="284"/>
        <w:rPr>
          <w:rFonts w:asciiTheme="minorHAnsi" w:hAnsiTheme="minorHAnsi"/>
        </w:rPr>
      </w:pPr>
      <w:r>
        <w:rPr>
          <w:rFonts w:asciiTheme="minorHAnsi" w:hAnsiTheme="minorHAnsi"/>
        </w:rPr>
        <w:t>Fraser</w:t>
      </w:r>
      <w:r w:rsidRPr="00925BFC">
        <w:rPr>
          <w:rFonts w:asciiTheme="minorHAnsi" w:hAnsiTheme="minorHAnsi"/>
        </w:rPr>
        <w:t xml:space="preserve"> D</w:t>
      </w:r>
      <w:r w:rsidR="00360CB3">
        <w:rPr>
          <w:rFonts w:asciiTheme="minorHAnsi" w:hAnsiTheme="minorHAnsi"/>
        </w:rPr>
        <w:t>.</w:t>
      </w:r>
      <w:r w:rsidRPr="00925BFC">
        <w:rPr>
          <w:rFonts w:asciiTheme="minorHAnsi" w:hAnsiTheme="minorHAnsi"/>
        </w:rPr>
        <w:t>J</w:t>
      </w:r>
      <w:r w:rsidR="00360CB3">
        <w:rPr>
          <w:rFonts w:asciiTheme="minorHAnsi" w:hAnsiTheme="minorHAnsi"/>
        </w:rPr>
        <w:t>.</w:t>
      </w:r>
      <w:r>
        <w:rPr>
          <w:rFonts w:asciiTheme="minorHAnsi" w:hAnsiTheme="minorHAnsi"/>
        </w:rPr>
        <w:t xml:space="preserve"> &amp;</w:t>
      </w:r>
      <w:r w:rsidRPr="00925BFC">
        <w:rPr>
          <w:rFonts w:asciiTheme="minorHAnsi" w:hAnsiTheme="minorHAnsi"/>
        </w:rPr>
        <w:t xml:space="preserve"> Bernatchez </w:t>
      </w:r>
      <w:r>
        <w:rPr>
          <w:rFonts w:asciiTheme="minorHAnsi" w:hAnsiTheme="minorHAnsi"/>
        </w:rPr>
        <w:t xml:space="preserve">L. </w:t>
      </w:r>
      <w:r w:rsidRPr="00925BFC">
        <w:rPr>
          <w:rFonts w:asciiTheme="minorHAnsi" w:hAnsiTheme="minorHAnsi"/>
        </w:rPr>
        <w:t>(2001). Adaptive evolutionary conservation: towards a unified concept fo</w:t>
      </w:r>
      <w:r>
        <w:rPr>
          <w:rFonts w:asciiTheme="minorHAnsi" w:hAnsiTheme="minorHAnsi"/>
        </w:rPr>
        <w:t xml:space="preserve">r defining conservation units. </w:t>
      </w:r>
      <w:r w:rsidRPr="001A4EB1">
        <w:rPr>
          <w:rFonts w:asciiTheme="minorHAnsi" w:hAnsiTheme="minorHAnsi"/>
          <w:i/>
        </w:rPr>
        <w:t>Molecular Ecology</w:t>
      </w:r>
      <w:r>
        <w:rPr>
          <w:rFonts w:asciiTheme="minorHAnsi" w:hAnsiTheme="minorHAnsi"/>
        </w:rPr>
        <w:t xml:space="preserve"> 10</w:t>
      </w:r>
      <w:r w:rsidRPr="00925BFC">
        <w:rPr>
          <w:rFonts w:asciiTheme="minorHAnsi" w:hAnsiTheme="minorHAnsi"/>
        </w:rPr>
        <w:t>: 2741-2752.</w:t>
      </w:r>
    </w:p>
    <w:p w14:paraId="5B451970" w14:textId="26635ABD" w:rsidR="00A15951" w:rsidRDefault="00A15951" w:rsidP="00A15951">
      <w:pPr>
        <w:pStyle w:val="References"/>
        <w:ind w:left="284" w:hanging="284"/>
        <w:rPr>
          <w:rFonts w:asciiTheme="minorHAnsi" w:hAnsiTheme="minorHAnsi"/>
        </w:rPr>
      </w:pPr>
      <w:r w:rsidRPr="00953F98">
        <w:rPr>
          <w:rFonts w:asciiTheme="minorHAnsi" w:hAnsiTheme="minorHAnsi"/>
        </w:rPr>
        <w:t>Freeman E</w:t>
      </w:r>
      <w:r w:rsidR="00360CB3">
        <w:rPr>
          <w:rFonts w:asciiTheme="minorHAnsi" w:hAnsiTheme="minorHAnsi"/>
        </w:rPr>
        <w:t>.</w:t>
      </w:r>
      <w:r w:rsidRPr="00953F98">
        <w:rPr>
          <w:rFonts w:asciiTheme="minorHAnsi" w:hAnsiTheme="minorHAnsi"/>
        </w:rPr>
        <w:t>A</w:t>
      </w:r>
      <w:r w:rsidR="00360CB3">
        <w:rPr>
          <w:rFonts w:asciiTheme="minorHAnsi" w:hAnsiTheme="minorHAnsi"/>
        </w:rPr>
        <w:t>.</w:t>
      </w:r>
      <w:r w:rsidRPr="00953F98">
        <w:rPr>
          <w:rFonts w:asciiTheme="minorHAnsi" w:hAnsiTheme="minorHAnsi"/>
        </w:rPr>
        <w:t xml:space="preserve"> &amp; Moisen G</w:t>
      </w:r>
      <w:r w:rsidR="00360CB3">
        <w:rPr>
          <w:rFonts w:asciiTheme="minorHAnsi" w:hAnsiTheme="minorHAnsi"/>
        </w:rPr>
        <w:t>.</w:t>
      </w:r>
      <w:r w:rsidRPr="00953F98">
        <w:rPr>
          <w:rFonts w:asciiTheme="minorHAnsi" w:hAnsiTheme="minorHAnsi"/>
        </w:rPr>
        <w:t>G. (2008)</w:t>
      </w:r>
      <w:r>
        <w:rPr>
          <w:rFonts w:asciiTheme="minorHAnsi" w:hAnsiTheme="minorHAnsi"/>
        </w:rPr>
        <w:t>.</w:t>
      </w:r>
      <w:r w:rsidRPr="00953F98">
        <w:rPr>
          <w:rFonts w:asciiTheme="minorHAnsi" w:hAnsiTheme="minorHAnsi"/>
        </w:rPr>
        <w:t xml:space="preserve"> A comparison of the performance of threshold criteria for binary classification in terms of predicted prevalence and kappa. </w:t>
      </w:r>
      <w:r w:rsidRPr="001A4EB1">
        <w:rPr>
          <w:rFonts w:asciiTheme="minorHAnsi" w:hAnsiTheme="minorHAnsi"/>
          <w:i/>
        </w:rPr>
        <w:t>Ecological Modelling</w:t>
      </w:r>
      <w:r w:rsidRPr="00953F98">
        <w:rPr>
          <w:rFonts w:asciiTheme="minorHAnsi" w:hAnsiTheme="minorHAnsi"/>
        </w:rPr>
        <w:t xml:space="preserve"> 217</w:t>
      </w:r>
      <w:r>
        <w:rPr>
          <w:rFonts w:asciiTheme="minorHAnsi" w:hAnsiTheme="minorHAnsi"/>
        </w:rPr>
        <w:t>:</w:t>
      </w:r>
      <w:r w:rsidRPr="00953F98">
        <w:rPr>
          <w:rFonts w:asciiTheme="minorHAnsi" w:hAnsiTheme="minorHAnsi"/>
        </w:rPr>
        <w:t xml:space="preserve"> 48–58. </w:t>
      </w:r>
    </w:p>
    <w:p w14:paraId="04EDC3BE" w14:textId="77777777" w:rsidR="00A15951" w:rsidRPr="00925BFC" w:rsidRDefault="00A15951" w:rsidP="00A15951">
      <w:pPr>
        <w:pStyle w:val="References"/>
        <w:ind w:left="284" w:hanging="284"/>
        <w:rPr>
          <w:rFonts w:asciiTheme="minorHAnsi" w:hAnsiTheme="minorHAnsi"/>
        </w:rPr>
      </w:pPr>
      <w:r w:rsidRPr="00925BFC">
        <w:rPr>
          <w:rFonts w:asciiTheme="minorHAnsi" w:hAnsiTheme="minorHAnsi"/>
        </w:rPr>
        <w:t>Gibbons P</w:t>
      </w:r>
      <w:r>
        <w:rPr>
          <w:rFonts w:asciiTheme="minorHAnsi" w:hAnsiTheme="minorHAnsi"/>
        </w:rPr>
        <w:t>.</w:t>
      </w:r>
      <w:r w:rsidRPr="00925BFC">
        <w:rPr>
          <w:rFonts w:asciiTheme="minorHAnsi" w:hAnsiTheme="minorHAnsi"/>
        </w:rPr>
        <w:t xml:space="preserve"> (2012). Are biodiversity offsets good for biodiversity? </w:t>
      </w:r>
      <w:r w:rsidRPr="001A4EB1">
        <w:rPr>
          <w:rFonts w:asciiTheme="minorHAnsi" w:hAnsiTheme="minorHAnsi"/>
          <w:i/>
        </w:rPr>
        <w:t>Australasian Science</w:t>
      </w:r>
      <w:r w:rsidRPr="00925BFC">
        <w:rPr>
          <w:rFonts w:asciiTheme="minorHAnsi" w:hAnsiTheme="minorHAnsi"/>
        </w:rPr>
        <w:t xml:space="preserve"> 31: 46</w:t>
      </w:r>
    </w:p>
    <w:p w14:paraId="307B12A3" w14:textId="31BFEDFD" w:rsidR="00A15951" w:rsidRPr="00925BFC" w:rsidRDefault="00A15951" w:rsidP="00A15951">
      <w:pPr>
        <w:pStyle w:val="References"/>
        <w:ind w:left="284" w:hanging="284"/>
        <w:rPr>
          <w:rFonts w:asciiTheme="minorHAnsi" w:hAnsiTheme="minorHAnsi"/>
        </w:rPr>
      </w:pPr>
      <w:r w:rsidRPr="00925BFC">
        <w:rPr>
          <w:rFonts w:asciiTheme="minorHAnsi" w:hAnsiTheme="minorHAnsi"/>
        </w:rPr>
        <w:t>Green G</w:t>
      </w:r>
      <w:r w:rsidR="00360CB3">
        <w:rPr>
          <w:rFonts w:asciiTheme="minorHAnsi" w:hAnsiTheme="minorHAnsi"/>
        </w:rPr>
        <w:t>.</w:t>
      </w:r>
      <w:r w:rsidRPr="00925BFC">
        <w:rPr>
          <w:rFonts w:asciiTheme="minorHAnsi" w:hAnsiTheme="minorHAnsi"/>
        </w:rPr>
        <w:t>, White M</w:t>
      </w:r>
      <w:r w:rsidR="00360CB3">
        <w:rPr>
          <w:rFonts w:asciiTheme="minorHAnsi" w:hAnsiTheme="minorHAnsi"/>
        </w:rPr>
        <w:t>.</w:t>
      </w:r>
      <w:r w:rsidRPr="00925BFC">
        <w:rPr>
          <w:rFonts w:asciiTheme="minorHAnsi" w:hAnsiTheme="minorHAnsi"/>
        </w:rPr>
        <w:t>, Gotch T</w:t>
      </w:r>
      <w:r w:rsidR="00360CB3">
        <w:rPr>
          <w:rFonts w:asciiTheme="minorHAnsi" w:hAnsiTheme="minorHAnsi"/>
        </w:rPr>
        <w:t>.</w:t>
      </w:r>
      <w:r w:rsidRPr="00925BFC">
        <w:rPr>
          <w:rFonts w:asciiTheme="minorHAnsi" w:hAnsiTheme="minorHAnsi"/>
        </w:rPr>
        <w:t xml:space="preserve"> &amp; Scholz G. (2013). Allocating Water and Maintaining Springs in the Great Artesian Basin, Volume VI: Risk Assessment Process for Evaluating Water Use Impacts on the Great Artesian Basin Springs, National Water Commission, Canberra</w:t>
      </w:r>
    </w:p>
    <w:p w14:paraId="7C86BD0B" w14:textId="77777777" w:rsidR="00A15951" w:rsidRPr="00925BFC" w:rsidRDefault="00A15951" w:rsidP="00A15951">
      <w:pPr>
        <w:pStyle w:val="References"/>
        <w:ind w:left="284" w:hanging="284"/>
        <w:rPr>
          <w:rFonts w:asciiTheme="minorHAnsi" w:hAnsiTheme="minorHAnsi"/>
        </w:rPr>
      </w:pPr>
      <w:r w:rsidRPr="00925BFC">
        <w:rPr>
          <w:rFonts w:asciiTheme="minorHAnsi" w:hAnsiTheme="minorHAnsi"/>
        </w:rPr>
        <w:t>Habermehl M. (1982). Springs in the Great Artesian Basin, Australia: their origin and nature. Canberra, Australia, Australian Government Publishing Service for the Bureau of Mineral Resources, Geology and Geophysics</w:t>
      </w:r>
      <w:r>
        <w:rPr>
          <w:rFonts w:asciiTheme="minorHAnsi" w:hAnsiTheme="minorHAnsi"/>
        </w:rPr>
        <w:t xml:space="preserve">, </w:t>
      </w:r>
      <w:r w:rsidRPr="00925BFC">
        <w:rPr>
          <w:rFonts w:asciiTheme="minorHAnsi" w:hAnsiTheme="minorHAnsi"/>
        </w:rPr>
        <w:t>Canberra.</w:t>
      </w:r>
    </w:p>
    <w:p w14:paraId="580F5A49" w14:textId="19FFE5E2" w:rsidR="00A15951" w:rsidRPr="00925BFC" w:rsidRDefault="00A15951" w:rsidP="00A15951">
      <w:pPr>
        <w:pStyle w:val="References"/>
        <w:ind w:left="284" w:hanging="284"/>
        <w:rPr>
          <w:rFonts w:asciiTheme="minorHAnsi" w:hAnsiTheme="minorHAnsi"/>
        </w:rPr>
      </w:pPr>
      <w:r w:rsidRPr="00925BFC">
        <w:rPr>
          <w:rFonts w:asciiTheme="minorHAnsi" w:hAnsiTheme="minorHAnsi"/>
        </w:rPr>
        <w:t>Halpern B</w:t>
      </w:r>
      <w:r w:rsidR="00360CB3">
        <w:rPr>
          <w:rFonts w:asciiTheme="minorHAnsi" w:hAnsiTheme="minorHAnsi"/>
        </w:rPr>
        <w:t>.</w:t>
      </w:r>
      <w:r w:rsidRPr="00925BFC">
        <w:rPr>
          <w:rFonts w:asciiTheme="minorHAnsi" w:hAnsiTheme="minorHAnsi"/>
        </w:rPr>
        <w:t>S</w:t>
      </w:r>
      <w:r w:rsidR="00360CB3">
        <w:rPr>
          <w:rFonts w:asciiTheme="minorHAnsi" w:hAnsiTheme="minorHAnsi"/>
        </w:rPr>
        <w:t>.</w:t>
      </w:r>
      <w:r>
        <w:rPr>
          <w:rFonts w:asciiTheme="minorHAnsi" w:hAnsiTheme="minorHAnsi"/>
        </w:rPr>
        <w:t xml:space="preserve"> &amp;</w:t>
      </w:r>
      <w:r w:rsidRPr="00925BFC">
        <w:rPr>
          <w:rFonts w:asciiTheme="minorHAnsi" w:hAnsiTheme="minorHAnsi"/>
        </w:rPr>
        <w:t xml:space="preserve"> Fujita</w:t>
      </w:r>
      <w:r>
        <w:rPr>
          <w:rFonts w:asciiTheme="minorHAnsi" w:hAnsiTheme="minorHAnsi"/>
        </w:rPr>
        <w:t xml:space="preserve"> R</w:t>
      </w:r>
      <w:r w:rsidRPr="00925BFC">
        <w:rPr>
          <w:rFonts w:asciiTheme="minorHAnsi" w:hAnsiTheme="minorHAnsi"/>
        </w:rPr>
        <w:t xml:space="preserve">. </w:t>
      </w:r>
      <w:r>
        <w:rPr>
          <w:rFonts w:asciiTheme="minorHAnsi" w:hAnsiTheme="minorHAnsi"/>
        </w:rPr>
        <w:t>(</w:t>
      </w:r>
      <w:r w:rsidRPr="00925BFC">
        <w:rPr>
          <w:rFonts w:asciiTheme="minorHAnsi" w:hAnsiTheme="minorHAnsi"/>
        </w:rPr>
        <w:t>2013</w:t>
      </w:r>
      <w:r>
        <w:rPr>
          <w:rFonts w:asciiTheme="minorHAnsi" w:hAnsiTheme="minorHAnsi"/>
        </w:rPr>
        <w:t>)</w:t>
      </w:r>
      <w:r w:rsidRPr="00925BFC">
        <w:rPr>
          <w:rFonts w:asciiTheme="minorHAnsi" w:hAnsiTheme="minorHAnsi"/>
        </w:rPr>
        <w:t xml:space="preserve">. Assumptions, challenges, and future directions in cumulative impact analysis. </w:t>
      </w:r>
      <w:r w:rsidRPr="001A4EB1">
        <w:rPr>
          <w:rFonts w:asciiTheme="minorHAnsi" w:hAnsiTheme="minorHAnsi"/>
          <w:i/>
        </w:rPr>
        <w:t>Ecosphere</w:t>
      </w:r>
      <w:r w:rsidRPr="00925BFC">
        <w:rPr>
          <w:rFonts w:asciiTheme="minorHAnsi" w:hAnsiTheme="minorHAnsi"/>
        </w:rPr>
        <w:t xml:space="preserve"> 4: 131.</w:t>
      </w:r>
      <w:r>
        <w:rPr>
          <w:rFonts w:asciiTheme="minorHAnsi" w:hAnsiTheme="minorHAnsi"/>
        </w:rPr>
        <w:t xml:space="preserve"> </w:t>
      </w:r>
      <w:r w:rsidRPr="001A4EB1">
        <w:rPr>
          <w:rFonts w:asciiTheme="minorHAnsi" w:hAnsiTheme="minorHAnsi"/>
        </w:rPr>
        <w:t>http://dx.doi.org/10.1890/ES13-00181.1</w:t>
      </w:r>
    </w:p>
    <w:p w14:paraId="60079622" w14:textId="6C04B39D" w:rsidR="00A15951" w:rsidRPr="00925BFC" w:rsidRDefault="00A15951" w:rsidP="00A15951">
      <w:pPr>
        <w:pStyle w:val="References"/>
        <w:ind w:left="284" w:hanging="284"/>
        <w:rPr>
          <w:rFonts w:asciiTheme="minorHAnsi" w:hAnsiTheme="minorHAnsi"/>
        </w:rPr>
      </w:pPr>
      <w:r w:rsidRPr="00925BFC">
        <w:rPr>
          <w:rFonts w:asciiTheme="minorHAnsi" w:hAnsiTheme="minorHAnsi"/>
        </w:rPr>
        <w:t>Halpern B</w:t>
      </w:r>
      <w:r w:rsidR="00360CB3">
        <w:rPr>
          <w:rFonts w:asciiTheme="minorHAnsi" w:hAnsiTheme="minorHAnsi"/>
        </w:rPr>
        <w:t>.</w:t>
      </w:r>
      <w:r w:rsidRPr="00925BFC">
        <w:rPr>
          <w:rFonts w:asciiTheme="minorHAnsi" w:hAnsiTheme="minorHAnsi"/>
        </w:rPr>
        <w:t>S</w:t>
      </w:r>
      <w:r w:rsidR="00360CB3">
        <w:rPr>
          <w:rFonts w:asciiTheme="minorHAnsi" w:hAnsiTheme="minorHAnsi"/>
        </w:rPr>
        <w:t>.</w:t>
      </w:r>
      <w:r w:rsidRPr="00925BFC">
        <w:rPr>
          <w:rFonts w:asciiTheme="minorHAnsi" w:hAnsiTheme="minorHAnsi"/>
        </w:rPr>
        <w:t>, Selkoe K</w:t>
      </w:r>
      <w:r w:rsidR="00360CB3">
        <w:rPr>
          <w:rFonts w:asciiTheme="minorHAnsi" w:hAnsiTheme="minorHAnsi"/>
        </w:rPr>
        <w:t>.</w:t>
      </w:r>
      <w:r w:rsidRPr="00925BFC">
        <w:rPr>
          <w:rFonts w:asciiTheme="minorHAnsi" w:hAnsiTheme="minorHAnsi"/>
        </w:rPr>
        <w:t>A</w:t>
      </w:r>
      <w:r w:rsidR="00360CB3">
        <w:rPr>
          <w:rFonts w:asciiTheme="minorHAnsi" w:hAnsiTheme="minorHAnsi"/>
        </w:rPr>
        <w:t>.</w:t>
      </w:r>
      <w:r w:rsidRPr="00925BFC">
        <w:rPr>
          <w:rFonts w:asciiTheme="minorHAnsi" w:hAnsiTheme="minorHAnsi"/>
        </w:rPr>
        <w:t>, Micheli F</w:t>
      </w:r>
      <w:r w:rsidR="00360CB3">
        <w:rPr>
          <w:rFonts w:asciiTheme="minorHAnsi" w:hAnsiTheme="minorHAnsi"/>
        </w:rPr>
        <w:t>.</w:t>
      </w:r>
      <w:r w:rsidRPr="00925BFC">
        <w:rPr>
          <w:rFonts w:asciiTheme="minorHAnsi" w:hAnsiTheme="minorHAnsi"/>
        </w:rPr>
        <w:t xml:space="preserve"> &amp; Kappel C</w:t>
      </w:r>
      <w:r w:rsidR="00360CB3">
        <w:rPr>
          <w:rFonts w:asciiTheme="minorHAnsi" w:hAnsiTheme="minorHAnsi"/>
        </w:rPr>
        <w:t>.</w:t>
      </w:r>
      <w:r w:rsidRPr="00925BFC">
        <w:rPr>
          <w:rFonts w:asciiTheme="minorHAnsi" w:hAnsiTheme="minorHAnsi"/>
        </w:rPr>
        <w:t xml:space="preserve">V. (2007). Evaluating and ranking the vulnerability of global marine ecosystems to anthropogenic threats. </w:t>
      </w:r>
      <w:r w:rsidRPr="00925BFC">
        <w:rPr>
          <w:rFonts w:asciiTheme="minorHAnsi" w:hAnsiTheme="minorHAnsi"/>
          <w:i/>
        </w:rPr>
        <w:t>Conservation Biology</w:t>
      </w:r>
      <w:r w:rsidRPr="00925BFC">
        <w:rPr>
          <w:rFonts w:asciiTheme="minorHAnsi" w:hAnsiTheme="minorHAnsi"/>
        </w:rPr>
        <w:t xml:space="preserve"> 21</w:t>
      </w:r>
      <w:r>
        <w:rPr>
          <w:rFonts w:asciiTheme="minorHAnsi" w:hAnsiTheme="minorHAnsi"/>
        </w:rPr>
        <w:t>:</w:t>
      </w:r>
      <w:r w:rsidRPr="00925BFC">
        <w:rPr>
          <w:rFonts w:asciiTheme="minorHAnsi" w:hAnsiTheme="minorHAnsi"/>
        </w:rPr>
        <w:t xml:space="preserve"> 1301-1315</w:t>
      </w:r>
    </w:p>
    <w:p w14:paraId="1E177A9C" w14:textId="4EFDAADD" w:rsidR="00A15951" w:rsidRPr="00925BFC" w:rsidRDefault="00A15951" w:rsidP="00A15951">
      <w:pPr>
        <w:pStyle w:val="References"/>
        <w:ind w:left="284" w:hanging="284"/>
        <w:rPr>
          <w:rFonts w:asciiTheme="minorHAnsi" w:hAnsiTheme="minorHAnsi"/>
        </w:rPr>
      </w:pPr>
      <w:r w:rsidRPr="00925BFC">
        <w:rPr>
          <w:rFonts w:asciiTheme="minorHAnsi" w:hAnsiTheme="minorHAnsi"/>
        </w:rPr>
        <w:t>Halpern B</w:t>
      </w:r>
      <w:r w:rsidR="00360CB3">
        <w:rPr>
          <w:rFonts w:asciiTheme="minorHAnsi" w:hAnsiTheme="minorHAnsi"/>
        </w:rPr>
        <w:t>.</w:t>
      </w:r>
      <w:r w:rsidRPr="00925BFC">
        <w:rPr>
          <w:rFonts w:asciiTheme="minorHAnsi" w:hAnsiTheme="minorHAnsi"/>
        </w:rPr>
        <w:t>S</w:t>
      </w:r>
      <w:r w:rsidR="00360CB3">
        <w:rPr>
          <w:rFonts w:asciiTheme="minorHAnsi" w:hAnsiTheme="minorHAnsi"/>
        </w:rPr>
        <w:t>.</w:t>
      </w:r>
      <w:r w:rsidRPr="00925BFC">
        <w:rPr>
          <w:rFonts w:asciiTheme="minorHAnsi" w:hAnsiTheme="minorHAnsi"/>
        </w:rPr>
        <w:t>, Frazier M</w:t>
      </w:r>
      <w:r w:rsidR="00360CB3">
        <w:rPr>
          <w:rFonts w:asciiTheme="minorHAnsi" w:hAnsiTheme="minorHAnsi"/>
        </w:rPr>
        <w:t>.</w:t>
      </w:r>
      <w:r w:rsidRPr="00925BFC">
        <w:rPr>
          <w:rFonts w:asciiTheme="minorHAnsi" w:hAnsiTheme="minorHAnsi"/>
        </w:rPr>
        <w:t>, Potapenko J</w:t>
      </w:r>
      <w:r w:rsidR="00360CB3">
        <w:rPr>
          <w:rFonts w:asciiTheme="minorHAnsi" w:hAnsiTheme="minorHAnsi"/>
        </w:rPr>
        <w:t>.</w:t>
      </w:r>
      <w:r w:rsidRPr="00925BFC">
        <w:rPr>
          <w:rFonts w:asciiTheme="minorHAnsi" w:hAnsiTheme="minorHAnsi"/>
        </w:rPr>
        <w:t>, Casey K</w:t>
      </w:r>
      <w:r w:rsidR="00360CB3">
        <w:rPr>
          <w:rFonts w:asciiTheme="minorHAnsi" w:hAnsiTheme="minorHAnsi"/>
        </w:rPr>
        <w:t>.</w:t>
      </w:r>
      <w:r w:rsidRPr="00925BFC">
        <w:rPr>
          <w:rFonts w:asciiTheme="minorHAnsi" w:hAnsiTheme="minorHAnsi"/>
        </w:rPr>
        <w:t>S</w:t>
      </w:r>
      <w:r w:rsidR="00360CB3">
        <w:rPr>
          <w:rFonts w:asciiTheme="minorHAnsi" w:hAnsiTheme="minorHAnsi"/>
        </w:rPr>
        <w:t>.</w:t>
      </w:r>
      <w:r w:rsidRPr="00925BFC">
        <w:rPr>
          <w:rFonts w:asciiTheme="minorHAnsi" w:hAnsiTheme="minorHAnsi"/>
        </w:rPr>
        <w:t>, Koenig K</w:t>
      </w:r>
      <w:r w:rsidR="00360CB3">
        <w:rPr>
          <w:rFonts w:asciiTheme="minorHAnsi" w:hAnsiTheme="minorHAnsi"/>
        </w:rPr>
        <w:t>.</w:t>
      </w:r>
      <w:r w:rsidRPr="00925BFC">
        <w:rPr>
          <w:rFonts w:asciiTheme="minorHAnsi" w:hAnsiTheme="minorHAnsi"/>
        </w:rPr>
        <w:t>, Longo C</w:t>
      </w:r>
      <w:r w:rsidR="00360CB3">
        <w:rPr>
          <w:rFonts w:asciiTheme="minorHAnsi" w:hAnsiTheme="minorHAnsi"/>
        </w:rPr>
        <w:t>.</w:t>
      </w:r>
      <w:r w:rsidRPr="00925BFC">
        <w:rPr>
          <w:rFonts w:asciiTheme="minorHAnsi" w:hAnsiTheme="minorHAnsi"/>
        </w:rPr>
        <w:t>, Lowndes J</w:t>
      </w:r>
      <w:r w:rsidR="00360CB3">
        <w:rPr>
          <w:rFonts w:asciiTheme="minorHAnsi" w:hAnsiTheme="minorHAnsi"/>
        </w:rPr>
        <w:t>.</w:t>
      </w:r>
      <w:r w:rsidRPr="00925BFC">
        <w:rPr>
          <w:rFonts w:asciiTheme="minorHAnsi" w:hAnsiTheme="minorHAnsi"/>
        </w:rPr>
        <w:t>S</w:t>
      </w:r>
      <w:r w:rsidR="00360CB3">
        <w:rPr>
          <w:rFonts w:asciiTheme="minorHAnsi" w:hAnsiTheme="minorHAnsi"/>
        </w:rPr>
        <w:t>.</w:t>
      </w:r>
      <w:r w:rsidRPr="00925BFC">
        <w:rPr>
          <w:rFonts w:asciiTheme="minorHAnsi" w:hAnsiTheme="minorHAnsi"/>
        </w:rPr>
        <w:t>, Cotton Rockwood R</w:t>
      </w:r>
      <w:r w:rsidR="00360CB3">
        <w:rPr>
          <w:rFonts w:asciiTheme="minorHAnsi" w:hAnsiTheme="minorHAnsi"/>
        </w:rPr>
        <w:t>.</w:t>
      </w:r>
      <w:r w:rsidRPr="00925BFC">
        <w:rPr>
          <w:rFonts w:asciiTheme="minorHAnsi" w:hAnsiTheme="minorHAnsi"/>
        </w:rPr>
        <w:t>, Selig E</w:t>
      </w:r>
      <w:r w:rsidR="00360CB3">
        <w:rPr>
          <w:rFonts w:asciiTheme="minorHAnsi" w:hAnsiTheme="minorHAnsi"/>
        </w:rPr>
        <w:t>.</w:t>
      </w:r>
      <w:r w:rsidRPr="00925BFC">
        <w:rPr>
          <w:rFonts w:asciiTheme="minorHAnsi" w:hAnsiTheme="minorHAnsi"/>
        </w:rPr>
        <w:t>R</w:t>
      </w:r>
      <w:r w:rsidR="00360CB3">
        <w:rPr>
          <w:rFonts w:asciiTheme="minorHAnsi" w:hAnsiTheme="minorHAnsi"/>
        </w:rPr>
        <w:t>.</w:t>
      </w:r>
      <w:r w:rsidRPr="00925BFC">
        <w:rPr>
          <w:rFonts w:asciiTheme="minorHAnsi" w:hAnsiTheme="minorHAnsi"/>
        </w:rPr>
        <w:t>, Selkoe K</w:t>
      </w:r>
      <w:r w:rsidR="00360CB3">
        <w:rPr>
          <w:rFonts w:asciiTheme="minorHAnsi" w:hAnsiTheme="minorHAnsi"/>
        </w:rPr>
        <w:t>.</w:t>
      </w:r>
      <w:r w:rsidRPr="00925BFC">
        <w:rPr>
          <w:rFonts w:asciiTheme="minorHAnsi" w:hAnsiTheme="minorHAnsi"/>
        </w:rPr>
        <w:t>A</w:t>
      </w:r>
      <w:r w:rsidR="00360CB3">
        <w:rPr>
          <w:rFonts w:asciiTheme="minorHAnsi" w:hAnsiTheme="minorHAnsi"/>
        </w:rPr>
        <w:t>.</w:t>
      </w:r>
      <w:r w:rsidRPr="00925BFC">
        <w:rPr>
          <w:rFonts w:asciiTheme="minorHAnsi" w:hAnsiTheme="minorHAnsi"/>
        </w:rPr>
        <w:t xml:space="preserve"> &amp; Walbridge S. (2015). Spatial and temporal changes in cumulative human impacts on the world's ocean. </w:t>
      </w:r>
      <w:r w:rsidRPr="00925BFC">
        <w:rPr>
          <w:rFonts w:asciiTheme="minorHAnsi" w:hAnsiTheme="minorHAnsi"/>
          <w:i/>
        </w:rPr>
        <w:t>Nature Communications</w:t>
      </w:r>
      <w:r w:rsidRPr="00925BFC">
        <w:rPr>
          <w:rFonts w:asciiTheme="minorHAnsi" w:hAnsiTheme="minorHAnsi"/>
        </w:rPr>
        <w:t xml:space="preserve"> 6: 7615. doi: 10.1038/ncomms8615 </w:t>
      </w:r>
    </w:p>
    <w:p w14:paraId="05C76780" w14:textId="75617DF1" w:rsidR="00A15951" w:rsidRPr="00925BFC" w:rsidRDefault="00A15951" w:rsidP="00A15951">
      <w:pPr>
        <w:pStyle w:val="References"/>
        <w:ind w:left="284" w:hanging="284"/>
        <w:rPr>
          <w:rFonts w:asciiTheme="minorHAnsi" w:hAnsiTheme="minorHAnsi"/>
        </w:rPr>
      </w:pPr>
      <w:r w:rsidRPr="00925BFC">
        <w:rPr>
          <w:rFonts w:asciiTheme="minorHAnsi" w:hAnsiTheme="minorHAnsi"/>
        </w:rPr>
        <w:t>Halpern B</w:t>
      </w:r>
      <w:r w:rsidR="00360CB3">
        <w:rPr>
          <w:rFonts w:asciiTheme="minorHAnsi" w:hAnsiTheme="minorHAnsi"/>
        </w:rPr>
        <w:t>.</w:t>
      </w:r>
      <w:r w:rsidRPr="00925BFC">
        <w:rPr>
          <w:rFonts w:asciiTheme="minorHAnsi" w:hAnsiTheme="minorHAnsi"/>
        </w:rPr>
        <w:t>S</w:t>
      </w:r>
      <w:r w:rsidR="00360CB3">
        <w:rPr>
          <w:rFonts w:asciiTheme="minorHAnsi" w:hAnsiTheme="minorHAnsi"/>
        </w:rPr>
        <w:t>.</w:t>
      </w:r>
      <w:r w:rsidRPr="00925BFC">
        <w:rPr>
          <w:rFonts w:asciiTheme="minorHAnsi" w:hAnsiTheme="minorHAnsi"/>
        </w:rPr>
        <w:t>, Walbridge S</w:t>
      </w:r>
      <w:r w:rsidR="00360CB3">
        <w:rPr>
          <w:rFonts w:asciiTheme="minorHAnsi" w:hAnsiTheme="minorHAnsi"/>
        </w:rPr>
        <w:t>.</w:t>
      </w:r>
      <w:r w:rsidRPr="00925BFC">
        <w:rPr>
          <w:rFonts w:asciiTheme="minorHAnsi" w:hAnsiTheme="minorHAnsi"/>
        </w:rPr>
        <w:t>, Selkoe K</w:t>
      </w:r>
      <w:r w:rsidR="00360CB3">
        <w:rPr>
          <w:rFonts w:asciiTheme="minorHAnsi" w:hAnsiTheme="minorHAnsi"/>
        </w:rPr>
        <w:t>.</w:t>
      </w:r>
      <w:r w:rsidRPr="00925BFC">
        <w:rPr>
          <w:rFonts w:asciiTheme="minorHAnsi" w:hAnsiTheme="minorHAnsi"/>
        </w:rPr>
        <w:t>A</w:t>
      </w:r>
      <w:r w:rsidR="00360CB3">
        <w:rPr>
          <w:rFonts w:asciiTheme="minorHAnsi" w:hAnsiTheme="minorHAnsi"/>
        </w:rPr>
        <w:t>.</w:t>
      </w:r>
      <w:r w:rsidRPr="00925BFC">
        <w:rPr>
          <w:rFonts w:asciiTheme="minorHAnsi" w:hAnsiTheme="minorHAnsi"/>
        </w:rPr>
        <w:t>, Kappel C</w:t>
      </w:r>
      <w:r w:rsidR="00360CB3">
        <w:rPr>
          <w:rFonts w:asciiTheme="minorHAnsi" w:hAnsiTheme="minorHAnsi"/>
        </w:rPr>
        <w:t>.</w:t>
      </w:r>
      <w:r w:rsidRPr="00925BFC">
        <w:rPr>
          <w:rFonts w:asciiTheme="minorHAnsi" w:hAnsiTheme="minorHAnsi"/>
        </w:rPr>
        <w:t>V</w:t>
      </w:r>
      <w:r w:rsidR="00360CB3">
        <w:rPr>
          <w:rFonts w:asciiTheme="minorHAnsi" w:hAnsiTheme="minorHAnsi"/>
        </w:rPr>
        <w:t>.</w:t>
      </w:r>
      <w:r w:rsidRPr="00925BFC">
        <w:rPr>
          <w:rFonts w:asciiTheme="minorHAnsi" w:hAnsiTheme="minorHAnsi"/>
        </w:rPr>
        <w:t>, Micheli F</w:t>
      </w:r>
      <w:r w:rsidR="00360CB3">
        <w:rPr>
          <w:rFonts w:asciiTheme="minorHAnsi" w:hAnsiTheme="minorHAnsi"/>
        </w:rPr>
        <w:t>.</w:t>
      </w:r>
      <w:r w:rsidRPr="00925BFC">
        <w:rPr>
          <w:rFonts w:asciiTheme="minorHAnsi" w:hAnsiTheme="minorHAnsi"/>
        </w:rPr>
        <w:t>, D'Agrosa C</w:t>
      </w:r>
      <w:r w:rsidR="00360CB3">
        <w:rPr>
          <w:rFonts w:asciiTheme="minorHAnsi" w:hAnsiTheme="minorHAnsi"/>
        </w:rPr>
        <w:t>.</w:t>
      </w:r>
      <w:r w:rsidRPr="00925BFC">
        <w:rPr>
          <w:rFonts w:asciiTheme="minorHAnsi" w:hAnsiTheme="minorHAnsi"/>
        </w:rPr>
        <w:t>, Bruno J</w:t>
      </w:r>
      <w:r w:rsidR="00360CB3">
        <w:rPr>
          <w:rFonts w:asciiTheme="minorHAnsi" w:hAnsiTheme="minorHAnsi"/>
        </w:rPr>
        <w:t>.</w:t>
      </w:r>
      <w:r w:rsidRPr="00925BFC">
        <w:rPr>
          <w:rFonts w:asciiTheme="minorHAnsi" w:hAnsiTheme="minorHAnsi"/>
        </w:rPr>
        <w:t>F</w:t>
      </w:r>
      <w:r w:rsidR="00360CB3">
        <w:rPr>
          <w:rFonts w:asciiTheme="minorHAnsi" w:hAnsiTheme="minorHAnsi"/>
        </w:rPr>
        <w:t>.</w:t>
      </w:r>
      <w:r w:rsidRPr="00925BFC">
        <w:rPr>
          <w:rFonts w:asciiTheme="minorHAnsi" w:hAnsiTheme="minorHAnsi"/>
        </w:rPr>
        <w:t>, Casey K</w:t>
      </w:r>
      <w:r w:rsidR="00360CB3">
        <w:rPr>
          <w:rFonts w:asciiTheme="minorHAnsi" w:hAnsiTheme="minorHAnsi"/>
        </w:rPr>
        <w:t>.</w:t>
      </w:r>
      <w:r w:rsidRPr="00925BFC">
        <w:rPr>
          <w:rFonts w:asciiTheme="minorHAnsi" w:hAnsiTheme="minorHAnsi"/>
        </w:rPr>
        <w:t>S</w:t>
      </w:r>
      <w:r w:rsidR="00360CB3">
        <w:rPr>
          <w:rFonts w:asciiTheme="minorHAnsi" w:hAnsiTheme="minorHAnsi"/>
        </w:rPr>
        <w:t>.</w:t>
      </w:r>
      <w:r w:rsidRPr="00925BFC">
        <w:rPr>
          <w:rFonts w:asciiTheme="minorHAnsi" w:hAnsiTheme="minorHAnsi"/>
        </w:rPr>
        <w:t>, Ebert C</w:t>
      </w:r>
      <w:r w:rsidR="00360CB3">
        <w:rPr>
          <w:rFonts w:asciiTheme="minorHAnsi" w:hAnsiTheme="minorHAnsi"/>
        </w:rPr>
        <w:t>.</w:t>
      </w:r>
      <w:r w:rsidRPr="00925BFC">
        <w:rPr>
          <w:rFonts w:asciiTheme="minorHAnsi" w:hAnsiTheme="minorHAnsi"/>
        </w:rPr>
        <w:t>, Fox H</w:t>
      </w:r>
      <w:r w:rsidR="00360CB3">
        <w:rPr>
          <w:rFonts w:asciiTheme="minorHAnsi" w:hAnsiTheme="minorHAnsi"/>
        </w:rPr>
        <w:t>.</w:t>
      </w:r>
      <w:r w:rsidRPr="00925BFC">
        <w:rPr>
          <w:rFonts w:asciiTheme="minorHAnsi" w:hAnsiTheme="minorHAnsi"/>
        </w:rPr>
        <w:t>E</w:t>
      </w:r>
      <w:r w:rsidR="00360CB3">
        <w:rPr>
          <w:rFonts w:asciiTheme="minorHAnsi" w:hAnsiTheme="minorHAnsi"/>
        </w:rPr>
        <w:t>.</w:t>
      </w:r>
      <w:r w:rsidRPr="00925BFC">
        <w:rPr>
          <w:rFonts w:asciiTheme="minorHAnsi" w:hAnsiTheme="minorHAnsi"/>
        </w:rPr>
        <w:t>, Fujita R</w:t>
      </w:r>
      <w:r w:rsidR="00360CB3">
        <w:rPr>
          <w:rFonts w:asciiTheme="minorHAnsi" w:hAnsiTheme="minorHAnsi"/>
        </w:rPr>
        <w:t>.</w:t>
      </w:r>
      <w:r w:rsidRPr="00925BFC">
        <w:rPr>
          <w:rFonts w:asciiTheme="minorHAnsi" w:hAnsiTheme="minorHAnsi"/>
        </w:rPr>
        <w:t>, Heinemann D</w:t>
      </w:r>
      <w:r w:rsidR="00360CB3">
        <w:rPr>
          <w:rFonts w:asciiTheme="minorHAnsi" w:hAnsiTheme="minorHAnsi"/>
        </w:rPr>
        <w:t>.</w:t>
      </w:r>
      <w:r w:rsidRPr="00925BFC">
        <w:rPr>
          <w:rFonts w:asciiTheme="minorHAnsi" w:hAnsiTheme="minorHAnsi"/>
        </w:rPr>
        <w:t>, Lenihan H</w:t>
      </w:r>
      <w:r w:rsidR="00360CB3">
        <w:rPr>
          <w:rFonts w:asciiTheme="minorHAnsi" w:hAnsiTheme="minorHAnsi"/>
        </w:rPr>
        <w:t>.</w:t>
      </w:r>
      <w:r w:rsidRPr="00925BFC">
        <w:rPr>
          <w:rFonts w:asciiTheme="minorHAnsi" w:hAnsiTheme="minorHAnsi"/>
        </w:rPr>
        <w:t>S</w:t>
      </w:r>
      <w:r w:rsidR="00360CB3">
        <w:rPr>
          <w:rFonts w:asciiTheme="minorHAnsi" w:hAnsiTheme="minorHAnsi"/>
        </w:rPr>
        <w:t>.</w:t>
      </w:r>
      <w:r w:rsidRPr="00925BFC">
        <w:rPr>
          <w:rFonts w:asciiTheme="minorHAnsi" w:hAnsiTheme="minorHAnsi"/>
        </w:rPr>
        <w:t>, Madin E</w:t>
      </w:r>
      <w:r w:rsidR="00360CB3">
        <w:rPr>
          <w:rFonts w:asciiTheme="minorHAnsi" w:hAnsiTheme="minorHAnsi"/>
        </w:rPr>
        <w:t>.</w:t>
      </w:r>
      <w:r w:rsidRPr="00925BFC">
        <w:rPr>
          <w:rFonts w:asciiTheme="minorHAnsi" w:hAnsiTheme="minorHAnsi"/>
        </w:rPr>
        <w:t>M</w:t>
      </w:r>
      <w:r w:rsidR="00360CB3">
        <w:rPr>
          <w:rFonts w:asciiTheme="minorHAnsi" w:hAnsiTheme="minorHAnsi"/>
        </w:rPr>
        <w:t>.</w:t>
      </w:r>
      <w:r w:rsidRPr="00925BFC">
        <w:rPr>
          <w:rFonts w:asciiTheme="minorHAnsi" w:hAnsiTheme="minorHAnsi"/>
        </w:rPr>
        <w:t>, Perry M</w:t>
      </w:r>
      <w:r w:rsidR="00360CB3">
        <w:rPr>
          <w:rFonts w:asciiTheme="minorHAnsi" w:hAnsiTheme="minorHAnsi"/>
        </w:rPr>
        <w:t>.</w:t>
      </w:r>
      <w:r w:rsidRPr="00925BFC">
        <w:rPr>
          <w:rFonts w:asciiTheme="minorHAnsi" w:hAnsiTheme="minorHAnsi"/>
        </w:rPr>
        <w:t>T</w:t>
      </w:r>
      <w:r w:rsidR="00360CB3">
        <w:rPr>
          <w:rFonts w:asciiTheme="minorHAnsi" w:hAnsiTheme="minorHAnsi"/>
        </w:rPr>
        <w:t>.</w:t>
      </w:r>
      <w:r w:rsidRPr="00925BFC">
        <w:rPr>
          <w:rFonts w:asciiTheme="minorHAnsi" w:hAnsiTheme="minorHAnsi"/>
        </w:rPr>
        <w:t>, Selig E</w:t>
      </w:r>
      <w:r w:rsidR="00360CB3">
        <w:rPr>
          <w:rFonts w:asciiTheme="minorHAnsi" w:hAnsiTheme="minorHAnsi"/>
        </w:rPr>
        <w:t>.</w:t>
      </w:r>
      <w:r w:rsidRPr="00925BFC">
        <w:rPr>
          <w:rFonts w:asciiTheme="minorHAnsi" w:hAnsiTheme="minorHAnsi"/>
        </w:rPr>
        <w:t>R</w:t>
      </w:r>
      <w:r w:rsidR="00360CB3">
        <w:rPr>
          <w:rFonts w:asciiTheme="minorHAnsi" w:hAnsiTheme="minorHAnsi"/>
        </w:rPr>
        <w:t>.</w:t>
      </w:r>
      <w:r w:rsidRPr="00925BFC">
        <w:rPr>
          <w:rFonts w:asciiTheme="minorHAnsi" w:hAnsiTheme="minorHAnsi"/>
        </w:rPr>
        <w:t>, Spalding M</w:t>
      </w:r>
      <w:r w:rsidR="00360CB3">
        <w:rPr>
          <w:rFonts w:asciiTheme="minorHAnsi" w:hAnsiTheme="minorHAnsi"/>
        </w:rPr>
        <w:t>.</w:t>
      </w:r>
      <w:r w:rsidRPr="00925BFC">
        <w:rPr>
          <w:rFonts w:asciiTheme="minorHAnsi" w:hAnsiTheme="minorHAnsi"/>
        </w:rPr>
        <w:t>, Steneck R</w:t>
      </w:r>
      <w:r w:rsidR="00360CB3">
        <w:rPr>
          <w:rFonts w:asciiTheme="minorHAnsi" w:hAnsiTheme="minorHAnsi"/>
        </w:rPr>
        <w:t>.</w:t>
      </w:r>
      <w:r w:rsidRPr="00925BFC">
        <w:rPr>
          <w:rFonts w:asciiTheme="minorHAnsi" w:hAnsiTheme="minorHAnsi"/>
        </w:rPr>
        <w:t xml:space="preserve"> &amp; Watson R. (2008). A global map of human impact on marine ecosystems. </w:t>
      </w:r>
      <w:r w:rsidRPr="00925BFC">
        <w:rPr>
          <w:rFonts w:asciiTheme="minorHAnsi" w:hAnsiTheme="minorHAnsi"/>
          <w:i/>
        </w:rPr>
        <w:t>Science</w:t>
      </w:r>
      <w:r w:rsidRPr="00925BFC">
        <w:rPr>
          <w:rFonts w:asciiTheme="minorHAnsi" w:hAnsiTheme="minorHAnsi"/>
        </w:rPr>
        <w:t xml:space="preserve"> 319: 948-952.</w:t>
      </w:r>
    </w:p>
    <w:p w14:paraId="4DDA4F26" w14:textId="77777777" w:rsidR="00A15951" w:rsidRPr="00925BFC" w:rsidRDefault="00A15951" w:rsidP="00A15951">
      <w:pPr>
        <w:pStyle w:val="References"/>
        <w:ind w:left="284" w:hanging="284"/>
        <w:rPr>
          <w:rFonts w:asciiTheme="minorHAnsi" w:hAnsiTheme="minorHAnsi"/>
        </w:rPr>
      </w:pPr>
      <w:r w:rsidRPr="00925BFC">
        <w:rPr>
          <w:rFonts w:asciiTheme="minorHAnsi" w:hAnsiTheme="minorHAnsi"/>
        </w:rPr>
        <w:t>Hassall &amp; Associates Pty Ltd. (2003). Review of the Great Artesian Basin Sustainability Initiative. Final Report to the Department of Agriculture, Fisheries and Forestry.</w:t>
      </w:r>
    </w:p>
    <w:p w14:paraId="4B1B40BE" w14:textId="447DAC5C" w:rsidR="00A15951" w:rsidRDefault="00A15951" w:rsidP="00A15951">
      <w:pPr>
        <w:pStyle w:val="References"/>
        <w:ind w:left="284" w:hanging="284"/>
        <w:rPr>
          <w:rFonts w:asciiTheme="minorHAnsi" w:hAnsiTheme="minorHAnsi"/>
        </w:rPr>
      </w:pPr>
      <w:r w:rsidRPr="001056C5">
        <w:rPr>
          <w:rFonts w:asciiTheme="minorHAnsi" w:hAnsiTheme="minorHAnsi"/>
        </w:rPr>
        <w:t>Horsák M</w:t>
      </w:r>
      <w:r w:rsidR="00360CB3">
        <w:rPr>
          <w:rFonts w:asciiTheme="minorHAnsi" w:hAnsiTheme="minorHAnsi"/>
        </w:rPr>
        <w:t>.</w:t>
      </w:r>
      <w:r w:rsidRPr="001056C5">
        <w:rPr>
          <w:rFonts w:asciiTheme="minorHAnsi" w:hAnsiTheme="minorHAnsi"/>
        </w:rPr>
        <w:t>, Hájek M</w:t>
      </w:r>
      <w:r w:rsidR="00360CB3">
        <w:rPr>
          <w:rFonts w:asciiTheme="minorHAnsi" w:hAnsiTheme="minorHAnsi"/>
        </w:rPr>
        <w:t>.</w:t>
      </w:r>
      <w:r w:rsidRPr="001056C5">
        <w:rPr>
          <w:rFonts w:asciiTheme="minorHAnsi" w:hAnsiTheme="minorHAnsi"/>
        </w:rPr>
        <w:t>, Díte</w:t>
      </w:r>
      <w:r>
        <w:rPr>
          <w:rFonts w:asciiTheme="minorHAnsi" w:hAnsiTheme="minorHAnsi"/>
        </w:rPr>
        <w:t xml:space="preserve"> D</w:t>
      </w:r>
      <w:r w:rsidR="00360CB3">
        <w:rPr>
          <w:rFonts w:asciiTheme="minorHAnsi" w:hAnsiTheme="minorHAnsi"/>
        </w:rPr>
        <w:t>.</w:t>
      </w:r>
      <w:r>
        <w:rPr>
          <w:rFonts w:asciiTheme="minorHAnsi" w:hAnsiTheme="minorHAnsi"/>
        </w:rPr>
        <w:t xml:space="preserve"> &amp;</w:t>
      </w:r>
      <w:r w:rsidRPr="001056C5">
        <w:rPr>
          <w:rFonts w:asciiTheme="minorHAnsi" w:hAnsiTheme="minorHAnsi"/>
        </w:rPr>
        <w:t xml:space="preserve"> Tichý L. </w:t>
      </w:r>
      <w:r>
        <w:rPr>
          <w:rFonts w:asciiTheme="minorHAnsi" w:hAnsiTheme="minorHAnsi"/>
        </w:rPr>
        <w:t>(</w:t>
      </w:r>
      <w:r w:rsidRPr="001056C5">
        <w:rPr>
          <w:rFonts w:asciiTheme="minorHAnsi" w:hAnsiTheme="minorHAnsi"/>
        </w:rPr>
        <w:t>2007</w:t>
      </w:r>
      <w:r>
        <w:rPr>
          <w:rFonts w:asciiTheme="minorHAnsi" w:hAnsiTheme="minorHAnsi"/>
        </w:rPr>
        <w:t>)</w:t>
      </w:r>
      <w:r w:rsidRPr="001056C5">
        <w:rPr>
          <w:rFonts w:asciiTheme="minorHAnsi" w:hAnsiTheme="minorHAnsi"/>
        </w:rPr>
        <w:t>.</w:t>
      </w:r>
      <w:r>
        <w:rPr>
          <w:rFonts w:asciiTheme="minorHAnsi" w:hAnsiTheme="minorHAnsi"/>
        </w:rPr>
        <w:t xml:space="preserve"> </w:t>
      </w:r>
      <w:r w:rsidRPr="001056C5">
        <w:rPr>
          <w:rFonts w:asciiTheme="minorHAnsi" w:hAnsiTheme="minorHAnsi"/>
        </w:rPr>
        <w:t>Modern distribution patterns of snails and plants in the western</w:t>
      </w:r>
      <w:r>
        <w:rPr>
          <w:rFonts w:asciiTheme="minorHAnsi" w:hAnsiTheme="minorHAnsi"/>
        </w:rPr>
        <w:t xml:space="preserve"> </w:t>
      </w:r>
      <w:r w:rsidRPr="001056C5">
        <w:rPr>
          <w:rFonts w:asciiTheme="minorHAnsi" w:hAnsiTheme="minorHAnsi"/>
        </w:rPr>
        <w:t>Carpathian spring fens: is it a result of historical development?</w:t>
      </w:r>
      <w:r>
        <w:rPr>
          <w:rFonts w:asciiTheme="minorHAnsi" w:hAnsiTheme="minorHAnsi"/>
        </w:rPr>
        <w:t xml:space="preserve"> </w:t>
      </w:r>
      <w:r w:rsidRPr="009905CA">
        <w:rPr>
          <w:rFonts w:asciiTheme="minorHAnsi" w:hAnsiTheme="minorHAnsi"/>
          <w:i/>
        </w:rPr>
        <w:t>Journal of Molluscan Studies</w:t>
      </w:r>
      <w:r w:rsidRPr="001056C5">
        <w:rPr>
          <w:rFonts w:asciiTheme="minorHAnsi" w:hAnsiTheme="minorHAnsi"/>
        </w:rPr>
        <w:t xml:space="preserve"> 73</w:t>
      </w:r>
      <w:r>
        <w:rPr>
          <w:rFonts w:asciiTheme="minorHAnsi" w:hAnsiTheme="minorHAnsi"/>
        </w:rPr>
        <w:t>:</w:t>
      </w:r>
      <w:r w:rsidRPr="001056C5">
        <w:rPr>
          <w:rFonts w:asciiTheme="minorHAnsi" w:hAnsiTheme="minorHAnsi"/>
        </w:rPr>
        <w:t xml:space="preserve"> 53-60</w:t>
      </w:r>
      <w:r>
        <w:rPr>
          <w:rFonts w:asciiTheme="minorHAnsi" w:hAnsiTheme="minorHAnsi"/>
        </w:rPr>
        <w:t>.</w:t>
      </w:r>
    </w:p>
    <w:p w14:paraId="6F8F8DFD" w14:textId="27C25FE8" w:rsidR="00A15951" w:rsidRPr="00925BFC" w:rsidRDefault="00A15951" w:rsidP="00A15951">
      <w:pPr>
        <w:pStyle w:val="References"/>
        <w:ind w:left="284" w:hanging="284"/>
        <w:rPr>
          <w:rFonts w:asciiTheme="minorHAnsi" w:hAnsiTheme="minorHAnsi"/>
        </w:rPr>
      </w:pPr>
      <w:r w:rsidRPr="00925BFC">
        <w:rPr>
          <w:rFonts w:asciiTheme="minorHAnsi" w:hAnsiTheme="minorHAnsi"/>
        </w:rPr>
        <w:t>Hughes A</w:t>
      </w:r>
      <w:r w:rsidR="00360CB3">
        <w:rPr>
          <w:rFonts w:asciiTheme="minorHAnsi" w:hAnsiTheme="minorHAnsi"/>
        </w:rPr>
        <w:t>.</w:t>
      </w:r>
      <w:r w:rsidRPr="00925BFC">
        <w:rPr>
          <w:rFonts w:asciiTheme="minorHAnsi" w:hAnsiTheme="minorHAnsi"/>
        </w:rPr>
        <w:t>R</w:t>
      </w:r>
      <w:r w:rsidR="00360CB3">
        <w:rPr>
          <w:rFonts w:asciiTheme="minorHAnsi" w:hAnsiTheme="minorHAnsi"/>
        </w:rPr>
        <w:t>.</w:t>
      </w:r>
      <w:r w:rsidRPr="00925BFC">
        <w:rPr>
          <w:rFonts w:asciiTheme="minorHAnsi" w:hAnsiTheme="minorHAnsi"/>
        </w:rPr>
        <w:t>, Inouye</w:t>
      </w:r>
      <w:r>
        <w:rPr>
          <w:rFonts w:asciiTheme="minorHAnsi" w:hAnsiTheme="minorHAnsi"/>
        </w:rPr>
        <w:t xml:space="preserve"> B</w:t>
      </w:r>
      <w:r w:rsidR="00360CB3">
        <w:rPr>
          <w:rFonts w:asciiTheme="minorHAnsi" w:hAnsiTheme="minorHAnsi"/>
        </w:rPr>
        <w:t>.</w:t>
      </w:r>
      <w:r>
        <w:rPr>
          <w:rFonts w:asciiTheme="minorHAnsi" w:hAnsiTheme="minorHAnsi"/>
        </w:rPr>
        <w:t>D</w:t>
      </w:r>
      <w:r w:rsidR="00360CB3">
        <w:rPr>
          <w:rFonts w:asciiTheme="minorHAnsi" w:hAnsiTheme="minorHAnsi"/>
        </w:rPr>
        <w:t>.</w:t>
      </w:r>
      <w:r w:rsidRPr="00925BFC">
        <w:rPr>
          <w:rFonts w:asciiTheme="minorHAnsi" w:hAnsiTheme="minorHAnsi"/>
        </w:rPr>
        <w:t>, Johnson</w:t>
      </w:r>
      <w:r>
        <w:rPr>
          <w:rFonts w:asciiTheme="minorHAnsi" w:hAnsiTheme="minorHAnsi"/>
        </w:rPr>
        <w:t xml:space="preserve"> M</w:t>
      </w:r>
      <w:r w:rsidR="00360CB3">
        <w:rPr>
          <w:rFonts w:asciiTheme="minorHAnsi" w:hAnsiTheme="minorHAnsi"/>
        </w:rPr>
        <w:t>.</w:t>
      </w:r>
      <w:r>
        <w:rPr>
          <w:rFonts w:asciiTheme="minorHAnsi" w:hAnsiTheme="minorHAnsi"/>
        </w:rPr>
        <w:t>T</w:t>
      </w:r>
      <w:r w:rsidR="00360CB3">
        <w:rPr>
          <w:rFonts w:asciiTheme="minorHAnsi" w:hAnsiTheme="minorHAnsi"/>
        </w:rPr>
        <w:t>.</w:t>
      </w:r>
      <w:r>
        <w:rPr>
          <w:rFonts w:asciiTheme="minorHAnsi" w:hAnsiTheme="minorHAnsi"/>
        </w:rPr>
        <w:t>J</w:t>
      </w:r>
      <w:r w:rsidR="00360CB3">
        <w:rPr>
          <w:rFonts w:asciiTheme="minorHAnsi" w:hAnsiTheme="minorHAnsi"/>
        </w:rPr>
        <w:t>.</w:t>
      </w:r>
      <w:r w:rsidRPr="00925BFC">
        <w:rPr>
          <w:rFonts w:asciiTheme="minorHAnsi" w:hAnsiTheme="minorHAnsi"/>
        </w:rPr>
        <w:t xml:space="preserve">, Underwood </w:t>
      </w:r>
      <w:r>
        <w:rPr>
          <w:rFonts w:asciiTheme="minorHAnsi" w:hAnsiTheme="minorHAnsi"/>
        </w:rPr>
        <w:t>N</w:t>
      </w:r>
      <w:r w:rsidR="00360CB3">
        <w:rPr>
          <w:rFonts w:asciiTheme="minorHAnsi" w:hAnsiTheme="minorHAnsi"/>
        </w:rPr>
        <w:t>.</w:t>
      </w:r>
      <w:r>
        <w:rPr>
          <w:rFonts w:asciiTheme="minorHAnsi" w:hAnsiTheme="minorHAnsi"/>
        </w:rPr>
        <w:t xml:space="preserve"> &amp; </w:t>
      </w:r>
      <w:r w:rsidRPr="00925BFC">
        <w:rPr>
          <w:rFonts w:asciiTheme="minorHAnsi" w:hAnsiTheme="minorHAnsi"/>
        </w:rPr>
        <w:t xml:space="preserve">Vellend </w:t>
      </w:r>
      <w:r>
        <w:rPr>
          <w:rFonts w:asciiTheme="minorHAnsi" w:hAnsiTheme="minorHAnsi"/>
        </w:rPr>
        <w:t xml:space="preserve">M. (2008). </w:t>
      </w:r>
      <w:r w:rsidRPr="00925BFC">
        <w:rPr>
          <w:rFonts w:asciiTheme="minorHAnsi" w:hAnsiTheme="minorHAnsi"/>
        </w:rPr>
        <w:t>Ecological con</w:t>
      </w:r>
      <w:r>
        <w:rPr>
          <w:rFonts w:asciiTheme="minorHAnsi" w:hAnsiTheme="minorHAnsi"/>
        </w:rPr>
        <w:t xml:space="preserve">sequences of genetic diversity. </w:t>
      </w:r>
      <w:r w:rsidRPr="009905CA">
        <w:rPr>
          <w:rFonts w:asciiTheme="minorHAnsi" w:hAnsiTheme="minorHAnsi"/>
          <w:i/>
        </w:rPr>
        <w:t>Ecology Letters</w:t>
      </w:r>
      <w:r>
        <w:rPr>
          <w:rFonts w:asciiTheme="minorHAnsi" w:hAnsiTheme="minorHAnsi"/>
        </w:rPr>
        <w:t xml:space="preserve"> 11</w:t>
      </w:r>
      <w:r w:rsidRPr="00925BFC">
        <w:rPr>
          <w:rFonts w:asciiTheme="minorHAnsi" w:hAnsiTheme="minorHAnsi"/>
        </w:rPr>
        <w:t>: 609-623.</w:t>
      </w:r>
    </w:p>
    <w:p w14:paraId="7147225C" w14:textId="77777777" w:rsidR="00A15951" w:rsidRPr="00925BFC" w:rsidRDefault="00A15951" w:rsidP="00A15951">
      <w:pPr>
        <w:pStyle w:val="References"/>
        <w:ind w:left="284" w:hanging="284"/>
        <w:rPr>
          <w:rFonts w:asciiTheme="minorHAnsi" w:hAnsiTheme="minorHAnsi"/>
        </w:rPr>
      </w:pPr>
      <w:r w:rsidRPr="00925BFC">
        <w:rPr>
          <w:rFonts w:asciiTheme="minorHAnsi" w:hAnsiTheme="minorHAnsi"/>
        </w:rPr>
        <w:t>H</w:t>
      </w:r>
      <w:r>
        <w:rPr>
          <w:rFonts w:asciiTheme="minorHAnsi" w:hAnsiTheme="minorHAnsi"/>
        </w:rPr>
        <w:t>utchings</w:t>
      </w:r>
      <w:r w:rsidRPr="00925BFC">
        <w:rPr>
          <w:rFonts w:asciiTheme="minorHAnsi" w:hAnsiTheme="minorHAnsi"/>
        </w:rPr>
        <w:t xml:space="preserve"> P. (2004). Invertebrates and threatened species legislation. Mosman Nsw, Royal Zoological Soc New South Wales.</w:t>
      </w:r>
    </w:p>
    <w:p w14:paraId="50FE2293" w14:textId="2E702D43" w:rsidR="00A15951" w:rsidRPr="00925BFC" w:rsidRDefault="00A15951" w:rsidP="00A15951">
      <w:pPr>
        <w:pStyle w:val="References"/>
        <w:ind w:left="284" w:hanging="284"/>
        <w:rPr>
          <w:rFonts w:asciiTheme="minorHAnsi" w:hAnsiTheme="minorHAnsi"/>
        </w:rPr>
      </w:pPr>
      <w:r w:rsidRPr="00925BFC">
        <w:rPr>
          <w:rFonts w:asciiTheme="minorHAnsi" w:hAnsiTheme="minorHAnsi"/>
        </w:rPr>
        <w:t>Kath J</w:t>
      </w:r>
      <w:r w:rsidR="00360CB3">
        <w:rPr>
          <w:rFonts w:asciiTheme="minorHAnsi" w:hAnsiTheme="minorHAnsi"/>
        </w:rPr>
        <w:t>.</w:t>
      </w:r>
      <w:r w:rsidRPr="00925BFC">
        <w:rPr>
          <w:rFonts w:asciiTheme="minorHAnsi" w:hAnsiTheme="minorHAnsi"/>
        </w:rPr>
        <w:t>, Reardon-Smith K</w:t>
      </w:r>
      <w:r w:rsidR="00360CB3">
        <w:rPr>
          <w:rFonts w:asciiTheme="minorHAnsi" w:hAnsiTheme="minorHAnsi"/>
        </w:rPr>
        <w:t>.</w:t>
      </w:r>
      <w:r w:rsidRPr="00925BFC">
        <w:rPr>
          <w:rFonts w:asciiTheme="minorHAnsi" w:hAnsiTheme="minorHAnsi"/>
        </w:rPr>
        <w:t>, Le Brocque A</w:t>
      </w:r>
      <w:r w:rsidR="00360CB3">
        <w:rPr>
          <w:rFonts w:asciiTheme="minorHAnsi" w:hAnsiTheme="minorHAnsi"/>
        </w:rPr>
        <w:t>.</w:t>
      </w:r>
      <w:r w:rsidRPr="00925BFC">
        <w:rPr>
          <w:rFonts w:asciiTheme="minorHAnsi" w:hAnsiTheme="minorHAnsi"/>
        </w:rPr>
        <w:t>F</w:t>
      </w:r>
      <w:r w:rsidR="00360CB3">
        <w:rPr>
          <w:rFonts w:asciiTheme="minorHAnsi" w:hAnsiTheme="minorHAnsi"/>
        </w:rPr>
        <w:t>.</w:t>
      </w:r>
      <w:r w:rsidRPr="00925BFC">
        <w:rPr>
          <w:rFonts w:asciiTheme="minorHAnsi" w:hAnsiTheme="minorHAnsi"/>
        </w:rPr>
        <w:t>, Dyer F</w:t>
      </w:r>
      <w:r w:rsidR="00360CB3">
        <w:rPr>
          <w:rFonts w:asciiTheme="minorHAnsi" w:hAnsiTheme="minorHAnsi"/>
        </w:rPr>
        <w:t>.</w:t>
      </w:r>
      <w:r w:rsidRPr="00925BFC">
        <w:rPr>
          <w:rFonts w:asciiTheme="minorHAnsi" w:hAnsiTheme="minorHAnsi"/>
        </w:rPr>
        <w:t>J, Dafny E</w:t>
      </w:r>
      <w:r w:rsidR="00360CB3">
        <w:rPr>
          <w:rFonts w:asciiTheme="minorHAnsi" w:hAnsiTheme="minorHAnsi"/>
        </w:rPr>
        <w:t>.</w:t>
      </w:r>
      <w:r w:rsidRPr="00925BFC">
        <w:rPr>
          <w:rFonts w:asciiTheme="minorHAnsi" w:hAnsiTheme="minorHAnsi"/>
        </w:rPr>
        <w:t>, Fritz L</w:t>
      </w:r>
      <w:r w:rsidR="00360CB3">
        <w:rPr>
          <w:rFonts w:asciiTheme="minorHAnsi" w:hAnsiTheme="minorHAnsi"/>
        </w:rPr>
        <w:t>.</w:t>
      </w:r>
      <w:r w:rsidRPr="00925BFC">
        <w:rPr>
          <w:rFonts w:asciiTheme="minorHAnsi" w:hAnsiTheme="minorHAnsi"/>
        </w:rPr>
        <w:t xml:space="preserve"> &amp; Batterham M. (2014). Groundwater decline and tree change in floodplain landscapes: Identifying non-linear threshold responses in canopy condition. </w:t>
      </w:r>
      <w:r w:rsidRPr="00925BFC">
        <w:rPr>
          <w:rFonts w:asciiTheme="minorHAnsi" w:hAnsiTheme="minorHAnsi"/>
          <w:i/>
        </w:rPr>
        <w:t>Global Ecology and Conservation</w:t>
      </w:r>
      <w:r w:rsidRPr="00925BFC">
        <w:rPr>
          <w:rFonts w:asciiTheme="minorHAnsi" w:hAnsiTheme="minorHAnsi"/>
        </w:rPr>
        <w:t xml:space="preserve"> 2: 148 – 160.</w:t>
      </w:r>
    </w:p>
    <w:p w14:paraId="408144AF" w14:textId="2085238E" w:rsidR="00A15951" w:rsidRPr="00925BFC" w:rsidRDefault="00A15951" w:rsidP="00A15951">
      <w:pPr>
        <w:pStyle w:val="References"/>
        <w:ind w:left="284" w:hanging="284"/>
        <w:rPr>
          <w:rFonts w:asciiTheme="minorHAnsi" w:hAnsiTheme="minorHAnsi"/>
        </w:rPr>
      </w:pPr>
      <w:r w:rsidRPr="00925BFC">
        <w:rPr>
          <w:rFonts w:asciiTheme="minorHAnsi" w:hAnsiTheme="minorHAnsi"/>
        </w:rPr>
        <w:t>Kerezsy A</w:t>
      </w:r>
      <w:r w:rsidR="00360CB3">
        <w:rPr>
          <w:rFonts w:asciiTheme="minorHAnsi" w:hAnsiTheme="minorHAnsi"/>
        </w:rPr>
        <w:t>.</w:t>
      </w:r>
      <w:r w:rsidRPr="00925BFC">
        <w:rPr>
          <w:rFonts w:asciiTheme="minorHAnsi" w:hAnsiTheme="minorHAnsi"/>
        </w:rPr>
        <w:t xml:space="preserve"> &amp; Fensham R.J. (2013). Conservation of the endangered red-finned blue-eye, </w:t>
      </w:r>
      <w:r w:rsidRPr="00925BFC">
        <w:rPr>
          <w:rFonts w:asciiTheme="minorHAnsi" w:hAnsiTheme="minorHAnsi"/>
          <w:i/>
        </w:rPr>
        <w:t>Scaturiginichthys vermeilipinnis</w:t>
      </w:r>
      <w:r w:rsidRPr="00925BFC">
        <w:rPr>
          <w:rFonts w:asciiTheme="minorHAnsi" w:hAnsiTheme="minorHAnsi"/>
        </w:rPr>
        <w:t xml:space="preserve">, and control of alien eastern gambusia, </w:t>
      </w:r>
      <w:r w:rsidRPr="00925BFC">
        <w:rPr>
          <w:rFonts w:asciiTheme="minorHAnsi" w:hAnsiTheme="minorHAnsi"/>
          <w:i/>
        </w:rPr>
        <w:t>Gambusia holbrooki</w:t>
      </w:r>
      <w:r w:rsidRPr="00925BFC">
        <w:rPr>
          <w:rFonts w:asciiTheme="minorHAnsi" w:hAnsiTheme="minorHAnsi"/>
        </w:rPr>
        <w:t xml:space="preserve">, in a spring wetland complex. </w:t>
      </w:r>
      <w:r w:rsidRPr="00925BFC">
        <w:rPr>
          <w:rFonts w:asciiTheme="minorHAnsi" w:hAnsiTheme="minorHAnsi"/>
          <w:i/>
        </w:rPr>
        <w:t>Marine and Freshwater Research</w:t>
      </w:r>
      <w:r w:rsidRPr="00925BFC">
        <w:rPr>
          <w:rFonts w:asciiTheme="minorHAnsi" w:hAnsiTheme="minorHAnsi"/>
        </w:rPr>
        <w:t xml:space="preserve"> 64: 851–863.</w:t>
      </w:r>
    </w:p>
    <w:p w14:paraId="3A34BAE7" w14:textId="2EB1CB9D" w:rsidR="00A15951" w:rsidRPr="00925BFC" w:rsidRDefault="00A15951" w:rsidP="00A15951">
      <w:pPr>
        <w:pStyle w:val="References"/>
        <w:ind w:left="284" w:hanging="284"/>
        <w:rPr>
          <w:rFonts w:asciiTheme="minorHAnsi" w:hAnsiTheme="minorHAnsi"/>
        </w:rPr>
      </w:pPr>
      <w:r w:rsidRPr="00925BFC">
        <w:rPr>
          <w:rFonts w:asciiTheme="minorHAnsi" w:hAnsiTheme="minorHAnsi"/>
        </w:rPr>
        <w:t>King R</w:t>
      </w:r>
      <w:r w:rsidR="00360CB3">
        <w:rPr>
          <w:rFonts w:asciiTheme="minorHAnsi" w:hAnsiTheme="minorHAnsi"/>
        </w:rPr>
        <w:t>.</w:t>
      </w:r>
      <w:r w:rsidRPr="00925BFC">
        <w:rPr>
          <w:rFonts w:asciiTheme="minorHAnsi" w:hAnsiTheme="minorHAnsi"/>
        </w:rPr>
        <w:t>A</w:t>
      </w:r>
      <w:r>
        <w:rPr>
          <w:rFonts w:asciiTheme="minorHAnsi" w:hAnsiTheme="minorHAnsi"/>
        </w:rPr>
        <w:t>.</w:t>
      </w:r>
      <w:r w:rsidRPr="00925BFC">
        <w:rPr>
          <w:rFonts w:asciiTheme="minorHAnsi" w:hAnsiTheme="minorHAnsi"/>
        </w:rPr>
        <w:t xml:space="preserve"> (2009). Two new genera and species of chiltoniid amphipods (Crustacea: Amphipoda: Talitroidea) from freshwater mound springs in South Australia. </w:t>
      </w:r>
      <w:r w:rsidRPr="009905CA">
        <w:rPr>
          <w:rFonts w:asciiTheme="minorHAnsi" w:hAnsiTheme="minorHAnsi"/>
          <w:i/>
        </w:rPr>
        <w:t>Zootaxa</w:t>
      </w:r>
      <w:r w:rsidRPr="00925BFC">
        <w:rPr>
          <w:rFonts w:asciiTheme="minorHAnsi" w:hAnsiTheme="minorHAnsi"/>
        </w:rPr>
        <w:t xml:space="preserve"> 2293: 35-52.</w:t>
      </w:r>
    </w:p>
    <w:p w14:paraId="13F2F4C8" w14:textId="3D8A3827" w:rsidR="00A15951" w:rsidRDefault="00A15951" w:rsidP="00A15951">
      <w:pPr>
        <w:pStyle w:val="References"/>
        <w:ind w:left="284" w:hanging="284"/>
        <w:rPr>
          <w:rFonts w:asciiTheme="minorHAnsi" w:hAnsiTheme="minorHAnsi"/>
        </w:rPr>
      </w:pPr>
      <w:r w:rsidRPr="004235C9">
        <w:rPr>
          <w:rFonts w:asciiTheme="minorHAnsi" w:hAnsiTheme="minorHAnsi"/>
        </w:rPr>
        <w:t>Kodric-Brown A</w:t>
      </w:r>
      <w:r w:rsidR="00360CB3">
        <w:rPr>
          <w:rFonts w:asciiTheme="minorHAnsi" w:hAnsiTheme="minorHAnsi"/>
        </w:rPr>
        <w:t>.</w:t>
      </w:r>
      <w:r w:rsidRPr="004235C9">
        <w:rPr>
          <w:rFonts w:asciiTheme="minorHAnsi" w:hAnsiTheme="minorHAnsi"/>
        </w:rPr>
        <w:t xml:space="preserve"> </w:t>
      </w:r>
      <w:r>
        <w:rPr>
          <w:rFonts w:asciiTheme="minorHAnsi" w:hAnsiTheme="minorHAnsi"/>
        </w:rPr>
        <w:t>&amp;</w:t>
      </w:r>
      <w:r w:rsidRPr="004235C9">
        <w:rPr>
          <w:rFonts w:asciiTheme="minorHAnsi" w:hAnsiTheme="minorHAnsi"/>
        </w:rPr>
        <w:t xml:space="preserve"> Brown J</w:t>
      </w:r>
      <w:r w:rsidR="00360CB3">
        <w:rPr>
          <w:rFonts w:asciiTheme="minorHAnsi" w:hAnsiTheme="minorHAnsi"/>
        </w:rPr>
        <w:t>.</w:t>
      </w:r>
      <w:r w:rsidRPr="004235C9">
        <w:rPr>
          <w:rFonts w:asciiTheme="minorHAnsi" w:hAnsiTheme="minorHAnsi"/>
        </w:rPr>
        <w:t>H</w:t>
      </w:r>
      <w:r>
        <w:rPr>
          <w:rFonts w:asciiTheme="minorHAnsi" w:hAnsiTheme="minorHAnsi"/>
        </w:rPr>
        <w:t>.</w:t>
      </w:r>
      <w:r w:rsidRPr="004235C9">
        <w:rPr>
          <w:rFonts w:asciiTheme="minorHAnsi" w:hAnsiTheme="minorHAnsi"/>
        </w:rPr>
        <w:t xml:space="preserve"> (1993)</w:t>
      </w:r>
      <w:r>
        <w:rPr>
          <w:rFonts w:asciiTheme="minorHAnsi" w:hAnsiTheme="minorHAnsi"/>
        </w:rPr>
        <w:t>.</w:t>
      </w:r>
      <w:r w:rsidRPr="004235C9">
        <w:rPr>
          <w:rFonts w:asciiTheme="minorHAnsi" w:hAnsiTheme="minorHAnsi"/>
        </w:rPr>
        <w:t xml:space="preserve"> Highly structured fish communities in Australian desert springs. </w:t>
      </w:r>
      <w:r w:rsidRPr="009905CA">
        <w:rPr>
          <w:rFonts w:asciiTheme="minorHAnsi" w:hAnsiTheme="minorHAnsi"/>
          <w:i/>
        </w:rPr>
        <w:t>Ecology</w:t>
      </w:r>
      <w:r>
        <w:rPr>
          <w:rFonts w:asciiTheme="minorHAnsi" w:hAnsiTheme="minorHAnsi"/>
        </w:rPr>
        <w:t xml:space="preserve"> 74</w:t>
      </w:r>
      <w:r w:rsidRPr="004235C9">
        <w:rPr>
          <w:rFonts w:asciiTheme="minorHAnsi" w:hAnsiTheme="minorHAnsi"/>
        </w:rPr>
        <w:t>: 1847-1855.</w:t>
      </w:r>
    </w:p>
    <w:p w14:paraId="6AA54D5B" w14:textId="7A4580D7" w:rsidR="00A15951" w:rsidRPr="00925BFC" w:rsidRDefault="00A15951" w:rsidP="00A15951">
      <w:pPr>
        <w:pStyle w:val="References"/>
        <w:ind w:left="284" w:hanging="284"/>
        <w:rPr>
          <w:rFonts w:asciiTheme="minorHAnsi" w:hAnsiTheme="minorHAnsi"/>
        </w:rPr>
      </w:pPr>
      <w:r>
        <w:rPr>
          <w:rFonts w:asciiTheme="minorHAnsi" w:hAnsiTheme="minorHAnsi"/>
        </w:rPr>
        <w:t>Kreamer</w:t>
      </w:r>
      <w:r w:rsidRPr="00925BFC">
        <w:rPr>
          <w:rFonts w:asciiTheme="minorHAnsi" w:hAnsiTheme="minorHAnsi"/>
        </w:rPr>
        <w:t xml:space="preserve"> D</w:t>
      </w:r>
      <w:r w:rsidR="00360CB3">
        <w:rPr>
          <w:rFonts w:asciiTheme="minorHAnsi" w:hAnsiTheme="minorHAnsi"/>
        </w:rPr>
        <w:t>.</w:t>
      </w:r>
      <w:r w:rsidRPr="00925BFC">
        <w:rPr>
          <w:rFonts w:asciiTheme="minorHAnsi" w:hAnsiTheme="minorHAnsi"/>
        </w:rPr>
        <w:t>K</w:t>
      </w:r>
      <w:r w:rsidR="00360CB3">
        <w:rPr>
          <w:rFonts w:asciiTheme="minorHAnsi" w:hAnsiTheme="minorHAnsi"/>
        </w:rPr>
        <w:t>.</w:t>
      </w:r>
      <w:r>
        <w:rPr>
          <w:rFonts w:asciiTheme="minorHAnsi" w:hAnsiTheme="minorHAnsi"/>
        </w:rPr>
        <w:t xml:space="preserve"> &amp; </w:t>
      </w:r>
      <w:r w:rsidRPr="00925BFC">
        <w:rPr>
          <w:rFonts w:asciiTheme="minorHAnsi" w:hAnsiTheme="minorHAnsi"/>
        </w:rPr>
        <w:t xml:space="preserve">Springer </w:t>
      </w:r>
      <w:r>
        <w:rPr>
          <w:rFonts w:asciiTheme="minorHAnsi" w:hAnsiTheme="minorHAnsi"/>
        </w:rPr>
        <w:t>A</w:t>
      </w:r>
      <w:r w:rsidR="00360CB3">
        <w:rPr>
          <w:rFonts w:asciiTheme="minorHAnsi" w:hAnsiTheme="minorHAnsi"/>
        </w:rPr>
        <w:t>.</w:t>
      </w:r>
      <w:r>
        <w:rPr>
          <w:rFonts w:asciiTheme="minorHAnsi" w:hAnsiTheme="minorHAnsi"/>
        </w:rPr>
        <w:t xml:space="preserve">E. </w:t>
      </w:r>
      <w:r w:rsidRPr="00925BFC">
        <w:rPr>
          <w:rFonts w:asciiTheme="minorHAnsi" w:hAnsiTheme="minorHAnsi"/>
        </w:rPr>
        <w:t>(2008). The Hydrology of Desert Springs in North America. Aridland Springs in North America; Ecology and Conservation. L. E. Stevens and V. J. Meretsky. Tucson, The University of Arizona Press: 35-48.</w:t>
      </w:r>
    </w:p>
    <w:p w14:paraId="62959ECF" w14:textId="576CC0A0" w:rsidR="00A15951" w:rsidRPr="00925BFC" w:rsidRDefault="00A15951" w:rsidP="00A15951">
      <w:pPr>
        <w:pStyle w:val="References"/>
        <w:ind w:left="284" w:hanging="284"/>
        <w:rPr>
          <w:rFonts w:asciiTheme="minorHAnsi" w:hAnsiTheme="minorHAnsi"/>
        </w:rPr>
      </w:pPr>
      <w:r w:rsidRPr="00925BFC">
        <w:rPr>
          <w:rFonts w:asciiTheme="minorHAnsi" w:hAnsiTheme="minorHAnsi"/>
        </w:rPr>
        <w:lastRenderedPageBreak/>
        <w:t>Lake P</w:t>
      </w:r>
      <w:r w:rsidR="00360CB3">
        <w:rPr>
          <w:rFonts w:asciiTheme="minorHAnsi" w:hAnsiTheme="minorHAnsi"/>
        </w:rPr>
        <w:t>.</w:t>
      </w:r>
      <w:r w:rsidRPr="00925BFC">
        <w:rPr>
          <w:rFonts w:asciiTheme="minorHAnsi" w:hAnsiTheme="minorHAnsi"/>
        </w:rPr>
        <w:t xml:space="preserve">S. (2000). Disturbance, patchiness, and diversity in streams. </w:t>
      </w:r>
      <w:r w:rsidRPr="00925BFC">
        <w:rPr>
          <w:rFonts w:asciiTheme="minorHAnsi" w:hAnsiTheme="minorHAnsi"/>
          <w:i/>
        </w:rPr>
        <w:t>Journal of the North American Benthological Society</w:t>
      </w:r>
      <w:r w:rsidRPr="00925BFC">
        <w:rPr>
          <w:rFonts w:asciiTheme="minorHAnsi" w:hAnsiTheme="minorHAnsi"/>
        </w:rPr>
        <w:t xml:space="preserve"> 19: 573–592.</w:t>
      </w:r>
    </w:p>
    <w:p w14:paraId="20FA439E" w14:textId="0226922B" w:rsidR="00A15951" w:rsidRPr="00925BFC" w:rsidRDefault="00A15951" w:rsidP="00A15951">
      <w:pPr>
        <w:pStyle w:val="References"/>
        <w:ind w:left="284" w:hanging="284"/>
        <w:rPr>
          <w:rFonts w:asciiTheme="minorHAnsi" w:hAnsiTheme="minorHAnsi"/>
        </w:rPr>
      </w:pPr>
      <w:r w:rsidRPr="00925BFC">
        <w:rPr>
          <w:rFonts w:asciiTheme="minorHAnsi" w:hAnsiTheme="minorHAnsi"/>
        </w:rPr>
        <w:t>Lake P</w:t>
      </w:r>
      <w:r w:rsidR="00360CB3">
        <w:rPr>
          <w:rFonts w:asciiTheme="minorHAnsi" w:hAnsiTheme="minorHAnsi"/>
        </w:rPr>
        <w:t>.</w:t>
      </w:r>
      <w:r w:rsidRPr="00925BFC">
        <w:rPr>
          <w:rFonts w:asciiTheme="minorHAnsi" w:hAnsiTheme="minorHAnsi"/>
        </w:rPr>
        <w:t xml:space="preserve">S. (2003). Ecological effects of perturbation by drought in flowing waters. </w:t>
      </w:r>
      <w:r w:rsidRPr="00925BFC">
        <w:rPr>
          <w:rFonts w:asciiTheme="minorHAnsi" w:hAnsiTheme="minorHAnsi"/>
          <w:i/>
        </w:rPr>
        <w:t>Freshwater Biology</w:t>
      </w:r>
      <w:r w:rsidRPr="00925BFC">
        <w:rPr>
          <w:rFonts w:asciiTheme="minorHAnsi" w:hAnsiTheme="minorHAnsi"/>
        </w:rPr>
        <w:t xml:space="preserve"> 48: 1161–1172.</w:t>
      </w:r>
    </w:p>
    <w:p w14:paraId="3C00C4C3" w14:textId="6D790B59" w:rsidR="00A15951" w:rsidRPr="00925BFC" w:rsidRDefault="00A15951" w:rsidP="00A15951">
      <w:pPr>
        <w:pStyle w:val="References"/>
        <w:ind w:left="284" w:hanging="284"/>
        <w:rPr>
          <w:rFonts w:asciiTheme="minorHAnsi" w:hAnsiTheme="minorHAnsi"/>
        </w:rPr>
      </w:pPr>
      <w:r w:rsidRPr="00925BFC">
        <w:rPr>
          <w:rFonts w:asciiTheme="minorHAnsi" w:hAnsiTheme="minorHAnsi"/>
        </w:rPr>
        <w:t>Leathwick J</w:t>
      </w:r>
      <w:r w:rsidR="00360CB3">
        <w:rPr>
          <w:rFonts w:asciiTheme="minorHAnsi" w:hAnsiTheme="minorHAnsi"/>
        </w:rPr>
        <w:t>.</w:t>
      </w:r>
      <w:r w:rsidRPr="00925BFC">
        <w:rPr>
          <w:rFonts w:asciiTheme="minorHAnsi" w:hAnsiTheme="minorHAnsi"/>
        </w:rPr>
        <w:t>R</w:t>
      </w:r>
      <w:r w:rsidR="00360CB3">
        <w:rPr>
          <w:rFonts w:asciiTheme="minorHAnsi" w:hAnsiTheme="minorHAnsi"/>
        </w:rPr>
        <w:t>.</w:t>
      </w:r>
      <w:r w:rsidRPr="00925BFC">
        <w:rPr>
          <w:rFonts w:asciiTheme="minorHAnsi" w:hAnsiTheme="minorHAnsi"/>
        </w:rPr>
        <w:t>, Rowe D</w:t>
      </w:r>
      <w:r w:rsidR="00360CB3">
        <w:rPr>
          <w:rFonts w:asciiTheme="minorHAnsi" w:hAnsiTheme="minorHAnsi"/>
        </w:rPr>
        <w:t>.</w:t>
      </w:r>
      <w:r w:rsidRPr="00925BFC">
        <w:rPr>
          <w:rFonts w:asciiTheme="minorHAnsi" w:hAnsiTheme="minorHAnsi"/>
        </w:rPr>
        <w:t>, Richardson J</w:t>
      </w:r>
      <w:r w:rsidR="00360CB3">
        <w:rPr>
          <w:rFonts w:asciiTheme="minorHAnsi" w:hAnsiTheme="minorHAnsi"/>
        </w:rPr>
        <w:t>.</w:t>
      </w:r>
      <w:r w:rsidRPr="00925BFC">
        <w:rPr>
          <w:rFonts w:asciiTheme="minorHAnsi" w:hAnsiTheme="minorHAnsi"/>
        </w:rPr>
        <w:t>, Elith J</w:t>
      </w:r>
      <w:r w:rsidR="00360CB3">
        <w:rPr>
          <w:rFonts w:asciiTheme="minorHAnsi" w:hAnsiTheme="minorHAnsi"/>
        </w:rPr>
        <w:t>.</w:t>
      </w:r>
      <w:r w:rsidRPr="00925BFC">
        <w:rPr>
          <w:rFonts w:asciiTheme="minorHAnsi" w:hAnsiTheme="minorHAnsi"/>
        </w:rPr>
        <w:t xml:space="preserve"> &amp; Hastie T. (2005)</w:t>
      </w:r>
      <w:r>
        <w:rPr>
          <w:rFonts w:asciiTheme="minorHAnsi" w:hAnsiTheme="minorHAnsi"/>
        </w:rPr>
        <w:t>.</w:t>
      </w:r>
      <w:r w:rsidRPr="00925BFC">
        <w:rPr>
          <w:rFonts w:asciiTheme="minorHAnsi" w:hAnsiTheme="minorHAnsi"/>
        </w:rPr>
        <w:t xml:space="preserve"> Using multivariate adaptive regression splines to predict the distribution of New Zealand´s freshwater diadromous fish. </w:t>
      </w:r>
      <w:r w:rsidRPr="009905CA">
        <w:rPr>
          <w:rFonts w:asciiTheme="minorHAnsi" w:hAnsiTheme="minorHAnsi"/>
          <w:i/>
        </w:rPr>
        <w:t>Freshwater Biology</w:t>
      </w:r>
      <w:r w:rsidRPr="00925BFC">
        <w:rPr>
          <w:rFonts w:asciiTheme="minorHAnsi" w:hAnsiTheme="minorHAnsi"/>
        </w:rPr>
        <w:t xml:space="preserve"> 50: 2034–2052.</w:t>
      </w:r>
    </w:p>
    <w:p w14:paraId="048947CF" w14:textId="62B079BD" w:rsidR="00A15951" w:rsidRPr="00925BFC" w:rsidRDefault="00A15951" w:rsidP="00A15951">
      <w:pPr>
        <w:pStyle w:val="References"/>
        <w:ind w:left="284" w:hanging="284"/>
        <w:rPr>
          <w:rFonts w:asciiTheme="minorHAnsi" w:hAnsiTheme="minorHAnsi"/>
        </w:rPr>
      </w:pPr>
      <w:r w:rsidRPr="00925BFC">
        <w:rPr>
          <w:rFonts w:asciiTheme="minorHAnsi" w:hAnsiTheme="minorHAnsi"/>
        </w:rPr>
        <w:t>Legendre P</w:t>
      </w:r>
      <w:r w:rsidR="00360CB3">
        <w:rPr>
          <w:rFonts w:asciiTheme="minorHAnsi" w:hAnsiTheme="minorHAnsi"/>
        </w:rPr>
        <w:t>.</w:t>
      </w:r>
      <w:r>
        <w:rPr>
          <w:rFonts w:asciiTheme="minorHAnsi" w:hAnsiTheme="minorHAnsi"/>
        </w:rPr>
        <w:t xml:space="preserve"> &amp; </w:t>
      </w:r>
      <w:r w:rsidRPr="00925BFC">
        <w:rPr>
          <w:rFonts w:asciiTheme="minorHAnsi" w:hAnsiTheme="minorHAnsi"/>
        </w:rPr>
        <w:t xml:space="preserve">Legendre </w:t>
      </w:r>
      <w:r>
        <w:rPr>
          <w:rFonts w:asciiTheme="minorHAnsi" w:hAnsiTheme="minorHAnsi"/>
        </w:rPr>
        <w:t>L</w:t>
      </w:r>
      <w:r w:rsidR="00360CB3">
        <w:rPr>
          <w:rFonts w:asciiTheme="minorHAnsi" w:hAnsiTheme="minorHAnsi"/>
        </w:rPr>
        <w:t>.</w:t>
      </w:r>
      <w:r>
        <w:rPr>
          <w:rFonts w:asciiTheme="minorHAnsi" w:hAnsiTheme="minorHAnsi"/>
        </w:rPr>
        <w:t xml:space="preserve">F. </w:t>
      </w:r>
      <w:r w:rsidRPr="00925BFC">
        <w:rPr>
          <w:rFonts w:asciiTheme="minorHAnsi" w:hAnsiTheme="minorHAnsi"/>
        </w:rPr>
        <w:t>(2012). Numerical ecology, Elsevier.</w:t>
      </w:r>
    </w:p>
    <w:p w14:paraId="219470F2" w14:textId="74284656" w:rsidR="00A15951" w:rsidRDefault="00A15951" w:rsidP="00A15951">
      <w:pPr>
        <w:pStyle w:val="References"/>
        <w:ind w:left="284" w:hanging="284"/>
        <w:rPr>
          <w:rFonts w:asciiTheme="minorHAnsi" w:hAnsiTheme="minorHAnsi"/>
        </w:rPr>
      </w:pPr>
      <w:r w:rsidRPr="00953F98">
        <w:rPr>
          <w:rFonts w:asciiTheme="minorHAnsi" w:hAnsiTheme="minorHAnsi"/>
        </w:rPr>
        <w:t>Liu C</w:t>
      </w:r>
      <w:r w:rsidR="00360CB3">
        <w:rPr>
          <w:rFonts w:asciiTheme="minorHAnsi" w:hAnsiTheme="minorHAnsi"/>
        </w:rPr>
        <w:t>.</w:t>
      </w:r>
      <w:r w:rsidRPr="00953F98">
        <w:rPr>
          <w:rFonts w:asciiTheme="minorHAnsi" w:hAnsiTheme="minorHAnsi"/>
        </w:rPr>
        <w:t>, Berry P</w:t>
      </w:r>
      <w:r w:rsidR="00360CB3">
        <w:rPr>
          <w:rFonts w:asciiTheme="minorHAnsi" w:hAnsiTheme="minorHAnsi"/>
        </w:rPr>
        <w:t>.</w:t>
      </w:r>
      <w:r w:rsidRPr="00953F98">
        <w:rPr>
          <w:rFonts w:asciiTheme="minorHAnsi" w:hAnsiTheme="minorHAnsi"/>
        </w:rPr>
        <w:t>M</w:t>
      </w:r>
      <w:r w:rsidR="00360CB3">
        <w:rPr>
          <w:rFonts w:asciiTheme="minorHAnsi" w:hAnsiTheme="minorHAnsi"/>
        </w:rPr>
        <w:t>.</w:t>
      </w:r>
      <w:r w:rsidRPr="00953F98">
        <w:rPr>
          <w:rFonts w:asciiTheme="minorHAnsi" w:hAnsiTheme="minorHAnsi"/>
        </w:rPr>
        <w:t>, Dawson T</w:t>
      </w:r>
      <w:r w:rsidR="00360CB3">
        <w:rPr>
          <w:rFonts w:asciiTheme="minorHAnsi" w:hAnsiTheme="minorHAnsi"/>
        </w:rPr>
        <w:t>.</w:t>
      </w:r>
      <w:r w:rsidRPr="00953F98">
        <w:rPr>
          <w:rFonts w:asciiTheme="minorHAnsi" w:hAnsiTheme="minorHAnsi"/>
        </w:rPr>
        <w:t>P</w:t>
      </w:r>
      <w:r w:rsidR="00360CB3">
        <w:rPr>
          <w:rFonts w:asciiTheme="minorHAnsi" w:hAnsiTheme="minorHAnsi"/>
        </w:rPr>
        <w:t>.</w:t>
      </w:r>
      <w:r w:rsidRPr="00953F98">
        <w:rPr>
          <w:rFonts w:asciiTheme="minorHAnsi" w:hAnsiTheme="minorHAnsi"/>
        </w:rPr>
        <w:t xml:space="preserve"> &amp; Pearson R</w:t>
      </w:r>
      <w:r w:rsidR="00360CB3">
        <w:rPr>
          <w:rFonts w:asciiTheme="minorHAnsi" w:hAnsiTheme="minorHAnsi"/>
        </w:rPr>
        <w:t>.</w:t>
      </w:r>
      <w:r w:rsidRPr="00953F98">
        <w:rPr>
          <w:rFonts w:asciiTheme="minorHAnsi" w:hAnsiTheme="minorHAnsi"/>
        </w:rPr>
        <w:t>G. (2005)</w:t>
      </w:r>
      <w:r>
        <w:rPr>
          <w:rFonts w:asciiTheme="minorHAnsi" w:hAnsiTheme="minorHAnsi"/>
        </w:rPr>
        <w:t>.</w:t>
      </w:r>
      <w:r w:rsidRPr="00953F98">
        <w:rPr>
          <w:rFonts w:asciiTheme="minorHAnsi" w:hAnsiTheme="minorHAnsi"/>
        </w:rPr>
        <w:t xml:space="preserve"> Selecting thresholds of occurrence in the prediction of species distributions. </w:t>
      </w:r>
      <w:r w:rsidRPr="009905CA">
        <w:rPr>
          <w:rFonts w:asciiTheme="minorHAnsi" w:hAnsiTheme="minorHAnsi"/>
          <w:i/>
        </w:rPr>
        <w:t>Ecography</w:t>
      </w:r>
      <w:r w:rsidRPr="00953F98">
        <w:rPr>
          <w:rFonts w:asciiTheme="minorHAnsi" w:hAnsiTheme="minorHAnsi"/>
        </w:rPr>
        <w:t xml:space="preserve"> 28</w:t>
      </w:r>
      <w:r>
        <w:rPr>
          <w:rFonts w:asciiTheme="minorHAnsi" w:hAnsiTheme="minorHAnsi"/>
        </w:rPr>
        <w:t>:</w:t>
      </w:r>
      <w:r w:rsidRPr="00953F98">
        <w:rPr>
          <w:rFonts w:asciiTheme="minorHAnsi" w:hAnsiTheme="minorHAnsi"/>
        </w:rPr>
        <w:t xml:space="preserve"> 385–393.</w:t>
      </w:r>
    </w:p>
    <w:p w14:paraId="56BDB5DA" w14:textId="3DC65FCA" w:rsidR="00A15951" w:rsidRPr="00925BFC" w:rsidRDefault="00A15951" w:rsidP="00A15951">
      <w:pPr>
        <w:pStyle w:val="References"/>
        <w:ind w:left="284" w:hanging="284"/>
        <w:rPr>
          <w:rFonts w:asciiTheme="minorHAnsi" w:hAnsiTheme="minorHAnsi"/>
        </w:rPr>
      </w:pPr>
      <w:r w:rsidRPr="00925BFC">
        <w:rPr>
          <w:rFonts w:asciiTheme="minorHAnsi" w:hAnsiTheme="minorHAnsi"/>
        </w:rPr>
        <w:t>Maron</w:t>
      </w:r>
      <w:r>
        <w:rPr>
          <w:rFonts w:asciiTheme="minorHAnsi" w:hAnsiTheme="minorHAnsi"/>
        </w:rPr>
        <w:t xml:space="preserve"> M</w:t>
      </w:r>
      <w:r w:rsidR="00360CB3">
        <w:rPr>
          <w:rFonts w:asciiTheme="minorHAnsi" w:hAnsiTheme="minorHAnsi"/>
        </w:rPr>
        <w:t>.</w:t>
      </w:r>
      <w:r>
        <w:rPr>
          <w:rFonts w:asciiTheme="minorHAnsi" w:hAnsiTheme="minorHAnsi"/>
        </w:rPr>
        <w:t>,</w:t>
      </w:r>
      <w:r w:rsidRPr="00925BFC">
        <w:rPr>
          <w:rFonts w:asciiTheme="minorHAnsi" w:hAnsiTheme="minorHAnsi"/>
        </w:rPr>
        <w:t xml:space="preserve"> Ives C</w:t>
      </w:r>
      <w:r w:rsidR="00360CB3">
        <w:rPr>
          <w:rFonts w:asciiTheme="minorHAnsi" w:hAnsiTheme="minorHAnsi"/>
        </w:rPr>
        <w:t>.</w:t>
      </w:r>
      <w:r w:rsidRPr="00925BFC">
        <w:rPr>
          <w:rFonts w:asciiTheme="minorHAnsi" w:hAnsiTheme="minorHAnsi"/>
        </w:rPr>
        <w:t>D</w:t>
      </w:r>
      <w:r w:rsidR="00360CB3">
        <w:rPr>
          <w:rFonts w:asciiTheme="minorHAnsi" w:hAnsiTheme="minorHAnsi"/>
        </w:rPr>
        <w:t>.</w:t>
      </w:r>
      <w:r w:rsidRPr="00925BFC">
        <w:rPr>
          <w:rFonts w:asciiTheme="minorHAnsi" w:hAnsiTheme="minorHAnsi"/>
        </w:rPr>
        <w:t>, Kujala H</w:t>
      </w:r>
      <w:r w:rsidR="00360CB3">
        <w:rPr>
          <w:rFonts w:asciiTheme="minorHAnsi" w:hAnsiTheme="minorHAnsi"/>
        </w:rPr>
        <w:t>.</w:t>
      </w:r>
      <w:r w:rsidRPr="00925BFC">
        <w:rPr>
          <w:rFonts w:asciiTheme="minorHAnsi" w:hAnsiTheme="minorHAnsi"/>
        </w:rPr>
        <w:t>, Bull J</w:t>
      </w:r>
      <w:r w:rsidR="00360CB3">
        <w:rPr>
          <w:rFonts w:asciiTheme="minorHAnsi" w:hAnsiTheme="minorHAnsi"/>
        </w:rPr>
        <w:t>.</w:t>
      </w:r>
      <w:r w:rsidRPr="00925BFC">
        <w:rPr>
          <w:rFonts w:asciiTheme="minorHAnsi" w:hAnsiTheme="minorHAnsi"/>
        </w:rPr>
        <w:t>W</w:t>
      </w:r>
      <w:r w:rsidR="00360CB3">
        <w:rPr>
          <w:rFonts w:asciiTheme="minorHAnsi" w:hAnsiTheme="minorHAnsi"/>
        </w:rPr>
        <w:t>.</w:t>
      </w:r>
      <w:r w:rsidRPr="00925BFC">
        <w:rPr>
          <w:rFonts w:asciiTheme="minorHAnsi" w:hAnsiTheme="minorHAnsi"/>
        </w:rPr>
        <w:t>, Maseyk F</w:t>
      </w:r>
      <w:r w:rsidR="00360CB3">
        <w:rPr>
          <w:rFonts w:asciiTheme="minorHAnsi" w:hAnsiTheme="minorHAnsi"/>
        </w:rPr>
        <w:t>.</w:t>
      </w:r>
      <w:r w:rsidRPr="00925BFC">
        <w:rPr>
          <w:rFonts w:asciiTheme="minorHAnsi" w:hAnsiTheme="minorHAnsi"/>
        </w:rPr>
        <w:t>J</w:t>
      </w:r>
      <w:r w:rsidR="00360CB3">
        <w:rPr>
          <w:rFonts w:asciiTheme="minorHAnsi" w:hAnsiTheme="minorHAnsi"/>
        </w:rPr>
        <w:t>.</w:t>
      </w:r>
      <w:r w:rsidRPr="00925BFC">
        <w:rPr>
          <w:rFonts w:asciiTheme="minorHAnsi" w:hAnsiTheme="minorHAnsi"/>
        </w:rPr>
        <w:t xml:space="preserve"> Bekessy S</w:t>
      </w:r>
      <w:r w:rsidR="00360CB3">
        <w:rPr>
          <w:rFonts w:asciiTheme="minorHAnsi" w:hAnsiTheme="minorHAnsi"/>
        </w:rPr>
        <w:t>.</w:t>
      </w:r>
      <w:r w:rsidRPr="00925BFC">
        <w:rPr>
          <w:rFonts w:asciiTheme="minorHAnsi" w:hAnsiTheme="minorHAnsi"/>
        </w:rPr>
        <w:t>, Gordon A</w:t>
      </w:r>
      <w:r w:rsidR="00360CB3">
        <w:rPr>
          <w:rFonts w:asciiTheme="minorHAnsi" w:hAnsiTheme="minorHAnsi"/>
        </w:rPr>
        <w:t>.</w:t>
      </w:r>
      <w:r w:rsidRPr="00925BFC">
        <w:rPr>
          <w:rFonts w:asciiTheme="minorHAnsi" w:hAnsiTheme="minorHAnsi"/>
        </w:rPr>
        <w:t>, Watson J</w:t>
      </w:r>
      <w:r w:rsidR="00360CB3">
        <w:rPr>
          <w:rFonts w:asciiTheme="minorHAnsi" w:hAnsiTheme="minorHAnsi"/>
        </w:rPr>
        <w:t>.</w:t>
      </w:r>
      <w:r w:rsidRPr="00925BFC">
        <w:rPr>
          <w:rFonts w:asciiTheme="minorHAnsi" w:hAnsiTheme="minorHAnsi"/>
        </w:rPr>
        <w:t>E</w:t>
      </w:r>
      <w:r w:rsidR="00360CB3">
        <w:rPr>
          <w:rFonts w:asciiTheme="minorHAnsi" w:hAnsiTheme="minorHAnsi"/>
        </w:rPr>
        <w:t>.</w:t>
      </w:r>
      <w:r w:rsidRPr="00925BFC">
        <w:rPr>
          <w:rFonts w:asciiTheme="minorHAnsi" w:hAnsiTheme="minorHAnsi"/>
        </w:rPr>
        <w:t>, Lentini P</w:t>
      </w:r>
      <w:r w:rsidR="00360CB3">
        <w:rPr>
          <w:rFonts w:asciiTheme="minorHAnsi" w:hAnsiTheme="minorHAnsi"/>
        </w:rPr>
        <w:t>.</w:t>
      </w:r>
      <w:r w:rsidRPr="00925BFC">
        <w:rPr>
          <w:rFonts w:asciiTheme="minorHAnsi" w:hAnsiTheme="minorHAnsi"/>
        </w:rPr>
        <w:t>E</w:t>
      </w:r>
      <w:r w:rsidR="00360CB3">
        <w:rPr>
          <w:rFonts w:asciiTheme="minorHAnsi" w:hAnsiTheme="minorHAnsi"/>
        </w:rPr>
        <w:t>.</w:t>
      </w:r>
      <w:r>
        <w:rPr>
          <w:rFonts w:asciiTheme="minorHAnsi" w:hAnsiTheme="minorHAnsi"/>
        </w:rPr>
        <w:t xml:space="preserve"> &amp;</w:t>
      </w:r>
      <w:r w:rsidRPr="00925BFC">
        <w:rPr>
          <w:rFonts w:asciiTheme="minorHAnsi" w:hAnsiTheme="minorHAnsi"/>
        </w:rPr>
        <w:t xml:space="preserve"> Gibbons P</w:t>
      </w:r>
      <w:r>
        <w:rPr>
          <w:rFonts w:asciiTheme="minorHAnsi" w:hAnsiTheme="minorHAnsi"/>
        </w:rPr>
        <w:t>.</w:t>
      </w:r>
      <w:r w:rsidRPr="00925BFC">
        <w:rPr>
          <w:rFonts w:asciiTheme="minorHAnsi" w:hAnsiTheme="minorHAnsi"/>
        </w:rPr>
        <w:t xml:space="preserve"> (2016). Taming a Wicked Problem: Resolving Controversies in Biodiversity Offsetting. </w:t>
      </w:r>
      <w:r w:rsidRPr="009905CA">
        <w:rPr>
          <w:rFonts w:asciiTheme="minorHAnsi" w:hAnsiTheme="minorHAnsi"/>
          <w:i/>
        </w:rPr>
        <w:t>BioScience</w:t>
      </w:r>
      <w:r w:rsidRPr="00925BFC">
        <w:rPr>
          <w:rFonts w:asciiTheme="minorHAnsi" w:hAnsiTheme="minorHAnsi"/>
        </w:rPr>
        <w:t>, doi: 10.1093/biosci/biw038.</w:t>
      </w:r>
    </w:p>
    <w:p w14:paraId="46F6400A" w14:textId="7A7500A8" w:rsidR="00A15951" w:rsidRPr="00925BFC" w:rsidRDefault="00A15951" w:rsidP="00A15951">
      <w:pPr>
        <w:pStyle w:val="References"/>
        <w:ind w:left="284" w:hanging="284"/>
        <w:rPr>
          <w:rFonts w:asciiTheme="minorHAnsi" w:hAnsiTheme="minorHAnsi"/>
        </w:rPr>
      </w:pPr>
      <w:r w:rsidRPr="00925BFC">
        <w:rPr>
          <w:rFonts w:asciiTheme="minorHAnsi" w:hAnsiTheme="minorHAnsi"/>
        </w:rPr>
        <w:t>Martin T</w:t>
      </w:r>
      <w:r w:rsidR="00360CB3">
        <w:rPr>
          <w:rFonts w:asciiTheme="minorHAnsi" w:hAnsiTheme="minorHAnsi"/>
        </w:rPr>
        <w:t>.</w:t>
      </w:r>
      <w:r w:rsidRPr="00925BFC">
        <w:rPr>
          <w:rFonts w:asciiTheme="minorHAnsi" w:hAnsiTheme="minorHAnsi"/>
        </w:rPr>
        <w:t>G</w:t>
      </w:r>
      <w:r w:rsidR="00360CB3">
        <w:rPr>
          <w:rFonts w:asciiTheme="minorHAnsi" w:hAnsiTheme="minorHAnsi"/>
        </w:rPr>
        <w:t>.</w:t>
      </w:r>
      <w:r w:rsidRPr="00925BFC">
        <w:rPr>
          <w:rFonts w:asciiTheme="minorHAnsi" w:hAnsiTheme="minorHAnsi"/>
        </w:rPr>
        <w:t>, Burgman M</w:t>
      </w:r>
      <w:r w:rsidR="00360CB3">
        <w:rPr>
          <w:rFonts w:asciiTheme="minorHAnsi" w:hAnsiTheme="minorHAnsi"/>
        </w:rPr>
        <w:t>.</w:t>
      </w:r>
      <w:r w:rsidRPr="00925BFC">
        <w:rPr>
          <w:rFonts w:asciiTheme="minorHAnsi" w:hAnsiTheme="minorHAnsi"/>
        </w:rPr>
        <w:t>A</w:t>
      </w:r>
      <w:r w:rsidR="00360CB3">
        <w:rPr>
          <w:rFonts w:asciiTheme="minorHAnsi" w:hAnsiTheme="minorHAnsi"/>
        </w:rPr>
        <w:t>.</w:t>
      </w:r>
      <w:r w:rsidRPr="00925BFC">
        <w:rPr>
          <w:rFonts w:asciiTheme="minorHAnsi" w:hAnsiTheme="minorHAnsi"/>
        </w:rPr>
        <w:t>, Fidler F</w:t>
      </w:r>
      <w:r w:rsidR="00360CB3">
        <w:rPr>
          <w:rFonts w:asciiTheme="minorHAnsi" w:hAnsiTheme="minorHAnsi"/>
        </w:rPr>
        <w:t>.</w:t>
      </w:r>
      <w:r w:rsidRPr="00925BFC">
        <w:rPr>
          <w:rFonts w:asciiTheme="minorHAnsi" w:hAnsiTheme="minorHAnsi"/>
        </w:rPr>
        <w:t>, Kuhnert P</w:t>
      </w:r>
      <w:r w:rsidR="00360CB3">
        <w:rPr>
          <w:rFonts w:asciiTheme="minorHAnsi" w:hAnsiTheme="minorHAnsi"/>
        </w:rPr>
        <w:t>.</w:t>
      </w:r>
      <w:r w:rsidRPr="00925BFC">
        <w:rPr>
          <w:rFonts w:asciiTheme="minorHAnsi" w:hAnsiTheme="minorHAnsi"/>
        </w:rPr>
        <w:t>M</w:t>
      </w:r>
      <w:r w:rsidR="00360CB3">
        <w:rPr>
          <w:rFonts w:asciiTheme="minorHAnsi" w:hAnsiTheme="minorHAnsi"/>
        </w:rPr>
        <w:t>.</w:t>
      </w:r>
      <w:r w:rsidRPr="00925BFC">
        <w:rPr>
          <w:rFonts w:asciiTheme="minorHAnsi" w:hAnsiTheme="minorHAnsi"/>
        </w:rPr>
        <w:t>, Low-Choy S</w:t>
      </w:r>
      <w:r w:rsidR="00360CB3">
        <w:rPr>
          <w:rFonts w:asciiTheme="minorHAnsi" w:hAnsiTheme="minorHAnsi"/>
        </w:rPr>
        <w:t>.</w:t>
      </w:r>
      <w:r w:rsidRPr="00925BFC">
        <w:rPr>
          <w:rFonts w:asciiTheme="minorHAnsi" w:hAnsiTheme="minorHAnsi"/>
        </w:rPr>
        <w:t>, McBride M</w:t>
      </w:r>
      <w:r w:rsidR="00360CB3">
        <w:rPr>
          <w:rFonts w:asciiTheme="minorHAnsi" w:hAnsiTheme="minorHAnsi"/>
        </w:rPr>
        <w:t>.</w:t>
      </w:r>
      <w:r>
        <w:rPr>
          <w:rFonts w:asciiTheme="minorHAnsi" w:hAnsiTheme="minorHAnsi"/>
        </w:rPr>
        <w:t xml:space="preserve"> &amp;</w:t>
      </w:r>
      <w:r w:rsidRPr="00925BFC">
        <w:rPr>
          <w:rFonts w:asciiTheme="minorHAnsi" w:hAnsiTheme="minorHAnsi"/>
        </w:rPr>
        <w:t xml:space="preserve"> Mengersen K. (2012). Eliciting Expert Knowledge in Conservation Science. </w:t>
      </w:r>
      <w:r w:rsidRPr="00925BFC">
        <w:rPr>
          <w:rFonts w:asciiTheme="minorHAnsi" w:hAnsiTheme="minorHAnsi"/>
          <w:i/>
        </w:rPr>
        <w:t>Conservation Biology</w:t>
      </w:r>
      <w:r w:rsidRPr="00925BFC">
        <w:rPr>
          <w:rFonts w:asciiTheme="minorHAnsi" w:hAnsiTheme="minorHAnsi"/>
        </w:rPr>
        <w:t xml:space="preserve"> 26: 29-38.</w:t>
      </w:r>
    </w:p>
    <w:p w14:paraId="7003A349" w14:textId="3800CEAC" w:rsidR="00A15951" w:rsidRPr="00925BFC" w:rsidRDefault="00A15951" w:rsidP="00A15951">
      <w:pPr>
        <w:pStyle w:val="References"/>
        <w:ind w:left="284" w:hanging="284"/>
        <w:rPr>
          <w:rFonts w:asciiTheme="minorHAnsi" w:hAnsiTheme="minorHAnsi"/>
        </w:rPr>
      </w:pPr>
      <w:r w:rsidRPr="00925BFC">
        <w:rPr>
          <w:rFonts w:asciiTheme="minorHAnsi" w:hAnsiTheme="minorHAnsi"/>
        </w:rPr>
        <w:t>Martin T</w:t>
      </w:r>
      <w:r w:rsidR="00360CB3">
        <w:rPr>
          <w:rFonts w:asciiTheme="minorHAnsi" w:hAnsiTheme="minorHAnsi"/>
        </w:rPr>
        <w:t>.</w:t>
      </w:r>
      <w:r w:rsidRPr="00925BFC">
        <w:rPr>
          <w:rFonts w:asciiTheme="minorHAnsi" w:hAnsiTheme="minorHAnsi"/>
        </w:rPr>
        <w:t>G</w:t>
      </w:r>
      <w:r w:rsidR="00360CB3">
        <w:rPr>
          <w:rFonts w:asciiTheme="minorHAnsi" w:hAnsiTheme="minorHAnsi"/>
        </w:rPr>
        <w:t>.</w:t>
      </w:r>
      <w:r w:rsidRPr="00925BFC">
        <w:rPr>
          <w:rFonts w:asciiTheme="minorHAnsi" w:hAnsiTheme="minorHAnsi"/>
        </w:rPr>
        <w:t>, Wintle B</w:t>
      </w:r>
      <w:r w:rsidR="00360CB3">
        <w:rPr>
          <w:rFonts w:asciiTheme="minorHAnsi" w:hAnsiTheme="minorHAnsi"/>
        </w:rPr>
        <w:t>.</w:t>
      </w:r>
      <w:r w:rsidRPr="00925BFC">
        <w:rPr>
          <w:rFonts w:asciiTheme="minorHAnsi" w:hAnsiTheme="minorHAnsi"/>
        </w:rPr>
        <w:t>A</w:t>
      </w:r>
      <w:r w:rsidR="00360CB3">
        <w:rPr>
          <w:rFonts w:asciiTheme="minorHAnsi" w:hAnsiTheme="minorHAnsi"/>
        </w:rPr>
        <w:t>.</w:t>
      </w:r>
      <w:r w:rsidRPr="00925BFC">
        <w:rPr>
          <w:rFonts w:asciiTheme="minorHAnsi" w:hAnsiTheme="minorHAnsi"/>
        </w:rPr>
        <w:t>, Rhodes J</w:t>
      </w:r>
      <w:r w:rsidR="00360CB3">
        <w:rPr>
          <w:rFonts w:asciiTheme="minorHAnsi" w:hAnsiTheme="minorHAnsi"/>
        </w:rPr>
        <w:t>.</w:t>
      </w:r>
      <w:r w:rsidRPr="00925BFC">
        <w:rPr>
          <w:rFonts w:asciiTheme="minorHAnsi" w:hAnsiTheme="minorHAnsi"/>
        </w:rPr>
        <w:t>R</w:t>
      </w:r>
      <w:r w:rsidR="00360CB3">
        <w:rPr>
          <w:rFonts w:asciiTheme="minorHAnsi" w:hAnsiTheme="minorHAnsi"/>
        </w:rPr>
        <w:t>.</w:t>
      </w:r>
      <w:r>
        <w:rPr>
          <w:rFonts w:asciiTheme="minorHAnsi" w:hAnsiTheme="minorHAnsi"/>
        </w:rPr>
        <w:t>,</w:t>
      </w:r>
      <w:r w:rsidRPr="00925BFC">
        <w:rPr>
          <w:rFonts w:asciiTheme="minorHAnsi" w:hAnsiTheme="minorHAnsi"/>
        </w:rPr>
        <w:t xml:space="preserve"> Kuhnert P</w:t>
      </w:r>
      <w:r w:rsidR="00360CB3">
        <w:rPr>
          <w:rFonts w:asciiTheme="minorHAnsi" w:hAnsiTheme="minorHAnsi"/>
        </w:rPr>
        <w:t>.</w:t>
      </w:r>
      <w:r w:rsidRPr="00925BFC">
        <w:rPr>
          <w:rFonts w:asciiTheme="minorHAnsi" w:hAnsiTheme="minorHAnsi"/>
        </w:rPr>
        <w:t>M</w:t>
      </w:r>
      <w:r w:rsidR="00360CB3">
        <w:rPr>
          <w:rFonts w:asciiTheme="minorHAnsi" w:hAnsiTheme="minorHAnsi"/>
        </w:rPr>
        <w:t>.</w:t>
      </w:r>
      <w:r>
        <w:rPr>
          <w:rFonts w:asciiTheme="minorHAnsi" w:hAnsiTheme="minorHAnsi"/>
        </w:rPr>
        <w:t>,</w:t>
      </w:r>
      <w:r w:rsidRPr="00925BFC">
        <w:rPr>
          <w:rFonts w:asciiTheme="minorHAnsi" w:hAnsiTheme="minorHAnsi"/>
        </w:rPr>
        <w:t xml:space="preserve"> Field S</w:t>
      </w:r>
      <w:r w:rsidR="00360CB3">
        <w:rPr>
          <w:rFonts w:asciiTheme="minorHAnsi" w:hAnsiTheme="minorHAnsi"/>
        </w:rPr>
        <w:t>.</w:t>
      </w:r>
      <w:r w:rsidRPr="00925BFC">
        <w:rPr>
          <w:rFonts w:asciiTheme="minorHAnsi" w:hAnsiTheme="minorHAnsi"/>
        </w:rPr>
        <w:t>A</w:t>
      </w:r>
      <w:r w:rsidR="00360CB3">
        <w:rPr>
          <w:rFonts w:asciiTheme="minorHAnsi" w:hAnsiTheme="minorHAnsi"/>
        </w:rPr>
        <w:t>.</w:t>
      </w:r>
      <w:r w:rsidRPr="00925BFC">
        <w:rPr>
          <w:rFonts w:asciiTheme="minorHAnsi" w:hAnsiTheme="minorHAnsi"/>
        </w:rPr>
        <w:t>, Low-Choy S</w:t>
      </w:r>
      <w:r w:rsidR="00360CB3">
        <w:rPr>
          <w:rFonts w:asciiTheme="minorHAnsi" w:hAnsiTheme="minorHAnsi"/>
        </w:rPr>
        <w:t>.</w:t>
      </w:r>
      <w:r w:rsidRPr="00925BFC">
        <w:rPr>
          <w:rFonts w:asciiTheme="minorHAnsi" w:hAnsiTheme="minorHAnsi"/>
        </w:rPr>
        <w:t>J</w:t>
      </w:r>
      <w:r w:rsidR="00360CB3">
        <w:rPr>
          <w:rFonts w:asciiTheme="minorHAnsi" w:hAnsiTheme="minorHAnsi"/>
        </w:rPr>
        <w:t>.</w:t>
      </w:r>
      <w:r w:rsidRPr="00925BFC">
        <w:rPr>
          <w:rFonts w:asciiTheme="minorHAnsi" w:hAnsiTheme="minorHAnsi"/>
        </w:rPr>
        <w:t>, Tyre A</w:t>
      </w:r>
      <w:r w:rsidR="00360CB3">
        <w:rPr>
          <w:rFonts w:asciiTheme="minorHAnsi" w:hAnsiTheme="minorHAnsi"/>
        </w:rPr>
        <w:t>.</w:t>
      </w:r>
      <w:r w:rsidRPr="00925BFC">
        <w:rPr>
          <w:rFonts w:asciiTheme="minorHAnsi" w:hAnsiTheme="minorHAnsi"/>
        </w:rPr>
        <w:t>J</w:t>
      </w:r>
      <w:r w:rsidR="00360CB3">
        <w:rPr>
          <w:rFonts w:asciiTheme="minorHAnsi" w:hAnsiTheme="minorHAnsi"/>
        </w:rPr>
        <w:t>.</w:t>
      </w:r>
      <w:r w:rsidRPr="00925BFC">
        <w:rPr>
          <w:rFonts w:asciiTheme="minorHAnsi" w:hAnsiTheme="minorHAnsi"/>
        </w:rPr>
        <w:t xml:space="preserve"> &amp; Possingham H</w:t>
      </w:r>
      <w:r w:rsidR="00360CB3">
        <w:rPr>
          <w:rFonts w:asciiTheme="minorHAnsi" w:hAnsiTheme="minorHAnsi"/>
        </w:rPr>
        <w:t>.</w:t>
      </w:r>
      <w:r w:rsidRPr="00925BFC">
        <w:rPr>
          <w:rFonts w:asciiTheme="minorHAnsi" w:hAnsiTheme="minorHAnsi"/>
        </w:rPr>
        <w:t>P. (2005)</w:t>
      </w:r>
      <w:r>
        <w:rPr>
          <w:rFonts w:asciiTheme="minorHAnsi" w:hAnsiTheme="minorHAnsi"/>
        </w:rPr>
        <w:t>.</w:t>
      </w:r>
      <w:r w:rsidRPr="00925BFC">
        <w:rPr>
          <w:rFonts w:asciiTheme="minorHAnsi" w:hAnsiTheme="minorHAnsi"/>
        </w:rPr>
        <w:t xml:space="preserve"> Zero tolerance ecology: improving ecological inference by modelling the source of zero observations. </w:t>
      </w:r>
      <w:r w:rsidRPr="009905CA">
        <w:rPr>
          <w:rFonts w:asciiTheme="minorHAnsi" w:hAnsiTheme="minorHAnsi"/>
          <w:i/>
        </w:rPr>
        <w:t>Ecology Letters</w:t>
      </w:r>
      <w:r w:rsidRPr="00925BFC">
        <w:rPr>
          <w:rFonts w:asciiTheme="minorHAnsi" w:hAnsiTheme="minorHAnsi"/>
        </w:rPr>
        <w:t xml:space="preserve"> 8</w:t>
      </w:r>
      <w:r>
        <w:rPr>
          <w:rFonts w:asciiTheme="minorHAnsi" w:hAnsiTheme="minorHAnsi"/>
        </w:rPr>
        <w:t>:</w:t>
      </w:r>
      <w:r w:rsidRPr="00925BFC">
        <w:rPr>
          <w:rFonts w:asciiTheme="minorHAnsi" w:hAnsiTheme="minorHAnsi"/>
        </w:rPr>
        <w:t xml:space="preserve"> 1235- 1246.</w:t>
      </w:r>
    </w:p>
    <w:p w14:paraId="569C17B0" w14:textId="0EB78042" w:rsidR="00A15951" w:rsidRPr="00925BFC" w:rsidRDefault="00360CB3" w:rsidP="00A15951">
      <w:pPr>
        <w:pStyle w:val="References"/>
        <w:ind w:left="284" w:hanging="284"/>
        <w:rPr>
          <w:rFonts w:asciiTheme="minorHAnsi" w:hAnsiTheme="minorHAnsi"/>
        </w:rPr>
      </w:pPr>
      <w:r w:rsidRPr="00360CB3">
        <w:rPr>
          <w:rFonts w:asciiTheme="minorHAnsi" w:hAnsiTheme="minorHAnsi"/>
        </w:rPr>
        <w:t>McBride M.F., Garnett</w:t>
      </w:r>
      <w:r>
        <w:rPr>
          <w:rFonts w:asciiTheme="minorHAnsi" w:hAnsiTheme="minorHAnsi"/>
        </w:rPr>
        <w:t xml:space="preserve"> S.</w:t>
      </w:r>
      <w:r w:rsidRPr="00360CB3">
        <w:rPr>
          <w:rFonts w:asciiTheme="minorHAnsi" w:hAnsiTheme="minorHAnsi"/>
        </w:rPr>
        <w:t>T., Szabo J.K., Burbidge A.H., Butchart</w:t>
      </w:r>
      <w:r>
        <w:rPr>
          <w:rFonts w:asciiTheme="minorHAnsi" w:hAnsiTheme="minorHAnsi"/>
        </w:rPr>
        <w:t xml:space="preserve"> S.H.</w:t>
      </w:r>
      <w:r w:rsidRPr="00360CB3">
        <w:rPr>
          <w:rFonts w:asciiTheme="minorHAnsi" w:hAnsiTheme="minorHAnsi"/>
        </w:rPr>
        <w:t xml:space="preserve">M., Christidis L., Dutson G., Ford H.A., Loyn R.H., Watson D.M. </w:t>
      </w:r>
      <w:r>
        <w:rPr>
          <w:rFonts w:asciiTheme="minorHAnsi" w:hAnsiTheme="minorHAnsi"/>
        </w:rPr>
        <w:t>&amp;</w:t>
      </w:r>
      <w:r w:rsidRPr="00360CB3">
        <w:rPr>
          <w:rFonts w:asciiTheme="minorHAnsi" w:hAnsiTheme="minorHAnsi"/>
        </w:rPr>
        <w:t xml:space="preserve"> Burgman M.A. </w:t>
      </w:r>
      <w:r w:rsidR="00A15951">
        <w:rPr>
          <w:rFonts w:asciiTheme="minorHAnsi" w:hAnsiTheme="minorHAnsi"/>
        </w:rPr>
        <w:t>(</w:t>
      </w:r>
      <w:r w:rsidR="00A15951" w:rsidRPr="00925BFC">
        <w:rPr>
          <w:rFonts w:asciiTheme="minorHAnsi" w:hAnsiTheme="minorHAnsi"/>
        </w:rPr>
        <w:t>2012</w:t>
      </w:r>
      <w:r w:rsidR="00A15951">
        <w:rPr>
          <w:rFonts w:asciiTheme="minorHAnsi" w:hAnsiTheme="minorHAnsi"/>
        </w:rPr>
        <w:t>)</w:t>
      </w:r>
      <w:r w:rsidR="00A15951" w:rsidRPr="00925BFC">
        <w:rPr>
          <w:rFonts w:asciiTheme="minorHAnsi" w:hAnsiTheme="minorHAnsi"/>
        </w:rPr>
        <w:t xml:space="preserve">. Structured elicitation of expert judgments for threatened species assessment: a case study on a continental scale using email. </w:t>
      </w:r>
      <w:r w:rsidR="00A15951" w:rsidRPr="009905CA">
        <w:rPr>
          <w:rFonts w:asciiTheme="minorHAnsi" w:hAnsiTheme="minorHAnsi"/>
          <w:i/>
        </w:rPr>
        <w:t>Methods in Ecology and Evolution</w:t>
      </w:r>
      <w:r w:rsidR="00A15951" w:rsidRPr="00925BFC">
        <w:rPr>
          <w:rFonts w:asciiTheme="minorHAnsi" w:hAnsiTheme="minorHAnsi"/>
        </w:rPr>
        <w:t xml:space="preserve"> 3: 906-920. </w:t>
      </w:r>
    </w:p>
    <w:p w14:paraId="3D4591A1" w14:textId="6619A7CD" w:rsidR="00A15951" w:rsidRPr="00925BFC" w:rsidRDefault="00A15951" w:rsidP="00A15951">
      <w:pPr>
        <w:pStyle w:val="References"/>
        <w:ind w:left="284" w:hanging="284"/>
        <w:rPr>
          <w:rFonts w:asciiTheme="minorHAnsi" w:hAnsiTheme="minorHAnsi"/>
        </w:rPr>
      </w:pPr>
      <w:r w:rsidRPr="00925BFC">
        <w:rPr>
          <w:rFonts w:asciiTheme="minorHAnsi" w:hAnsiTheme="minorHAnsi"/>
        </w:rPr>
        <w:t>McDonald-Madden E</w:t>
      </w:r>
      <w:r w:rsidR="00360CB3">
        <w:rPr>
          <w:rFonts w:asciiTheme="minorHAnsi" w:hAnsiTheme="minorHAnsi"/>
        </w:rPr>
        <w:t>.</w:t>
      </w:r>
      <w:r w:rsidRPr="00925BFC">
        <w:rPr>
          <w:rFonts w:asciiTheme="minorHAnsi" w:hAnsiTheme="minorHAnsi"/>
        </w:rPr>
        <w:t>, Probert W</w:t>
      </w:r>
      <w:r w:rsidR="00360CB3">
        <w:rPr>
          <w:rFonts w:asciiTheme="minorHAnsi" w:hAnsiTheme="minorHAnsi"/>
        </w:rPr>
        <w:t>.</w:t>
      </w:r>
      <w:r w:rsidRPr="00925BFC">
        <w:rPr>
          <w:rFonts w:asciiTheme="minorHAnsi" w:hAnsiTheme="minorHAnsi"/>
        </w:rPr>
        <w:t>J</w:t>
      </w:r>
      <w:r w:rsidR="00360CB3">
        <w:rPr>
          <w:rFonts w:asciiTheme="minorHAnsi" w:hAnsiTheme="minorHAnsi"/>
        </w:rPr>
        <w:t>.</w:t>
      </w:r>
      <w:r w:rsidRPr="00925BFC">
        <w:rPr>
          <w:rFonts w:asciiTheme="minorHAnsi" w:hAnsiTheme="minorHAnsi"/>
        </w:rPr>
        <w:t>M</w:t>
      </w:r>
      <w:r w:rsidR="00360CB3">
        <w:rPr>
          <w:rFonts w:asciiTheme="minorHAnsi" w:hAnsiTheme="minorHAnsi"/>
        </w:rPr>
        <w:t>.</w:t>
      </w:r>
      <w:r w:rsidRPr="00925BFC">
        <w:rPr>
          <w:rFonts w:asciiTheme="minorHAnsi" w:hAnsiTheme="minorHAnsi"/>
        </w:rPr>
        <w:t>, Hauser C</w:t>
      </w:r>
      <w:r w:rsidR="00360CB3">
        <w:rPr>
          <w:rFonts w:asciiTheme="minorHAnsi" w:hAnsiTheme="minorHAnsi"/>
        </w:rPr>
        <w:t>.</w:t>
      </w:r>
      <w:r w:rsidRPr="00925BFC">
        <w:rPr>
          <w:rFonts w:asciiTheme="minorHAnsi" w:hAnsiTheme="minorHAnsi"/>
        </w:rPr>
        <w:t>E</w:t>
      </w:r>
      <w:r w:rsidR="00360CB3">
        <w:rPr>
          <w:rFonts w:asciiTheme="minorHAnsi" w:hAnsiTheme="minorHAnsi"/>
        </w:rPr>
        <w:t>.</w:t>
      </w:r>
      <w:r w:rsidRPr="00925BFC">
        <w:rPr>
          <w:rFonts w:asciiTheme="minorHAnsi" w:hAnsiTheme="minorHAnsi"/>
        </w:rPr>
        <w:t>, Runge M</w:t>
      </w:r>
      <w:r w:rsidR="00360CB3">
        <w:rPr>
          <w:rFonts w:asciiTheme="minorHAnsi" w:hAnsiTheme="minorHAnsi"/>
        </w:rPr>
        <w:t>.</w:t>
      </w:r>
      <w:r w:rsidRPr="00925BFC">
        <w:rPr>
          <w:rFonts w:asciiTheme="minorHAnsi" w:hAnsiTheme="minorHAnsi"/>
        </w:rPr>
        <w:t>C</w:t>
      </w:r>
      <w:r w:rsidR="00360CB3">
        <w:rPr>
          <w:rFonts w:asciiTheme="minorHAnsi" w:hAnsiTheme="minorHAnsi"/>
        </w:rPr>
        <w:t>.</w:t>
      </w:r>
      <w:r w:rsidRPr="00925BFC">
        <w:rPr>
          <w:rFonts w:asciiTheme="minorHAnsi" w:hAnsiTheme="minorHAnsi"/>
        </w:rPr>
        <w:t>, Possingham H</w:t>
      </w:r>
      <w:r w:rsidR="00360CB3">
        <w:rPr>
          <w:rFonts w:asciiTheme="minorHAnsi" w:hAnsiTheme="minorHAnsi"/>
        </w:rPr>
        <w:t>.</w:t>
      </w:r>
      <w:r w:rsidRPr="00925BFC">
        <w:rPr>
          <w:rFonts w:asciiTheme="minorHAnsi" w:hAnsiTheme="minorHAnsi"/>
        </w:rPr>
        <w:t>P</w:t>
      </w:r>
      <w:r w:rsidR="00360CB3">
        <w:rPr>
          <w:rFonts w:asciiTheme="minorHAnsi" w:hAnsiTheme="minorHAnsi"/>
        </w:rPr>
        <w:t>.</w:t>
      </w:r>
      <w:r w:rsidRPr="00925BFC">
        <w:rPr>
          <w:rFonts w:asciiTheme="minorHAnsi" w:hAnsiTheme="minorHAnsi"/>
        </w:rPr>
        <w:t>, Jones M</w:t>
      </w:r>
      <w:r w:rsidR="00360CB3">
        <w:rPr>
          <w:rFonts w:asciiTheme="minorHAnsi" w:hAnsiTheme="minorHAnsi"/>
        </w:rPr>
        <w:t>.</w:t>
      </w:r>
      <w:r w:rsidRPr="00925BFC">
        <w:rPr>
          <w:rFonts w:asciiTheme="minorHAnsi" w:hAnsiTheme="minorHAnsi"/>
        </w:rPr>
        <w:t>E</w:t>
      </w:r>
      <w:r w:rsidR="00360CB3">
        <w:rPr>
          <w:rFonts w:asciiTheme="minorHAnsi" w:hAnsiTheme="minorHAnsi"/>
        </w:rPr>
        <w:t>.</w:t>
      </w:r>
      <w:r w:rsidRPr="00925BFC">
        <w:rPr>
          <w:rFonts w:asciiTheme="minorHAnsi" w:hAnsiTheme="minorHAnsi"/>
        </w:rPr>
        <w:t>, Moore J</w:t>
      </w:r>
      <w:r w:rsidR="00360CB3">
        <w:rPr>
          <w:rFonts w:asciiTheme="minorHAnsi" w:hAnsiTheme="minorHAnsi"/>
        </w:rPr>
        <w:t>.</w:t>
      </w:r>
      <w:r w:rsidRPr="00925BFC">
        <w:rPr>
          <w:rFonts w:asciiTheme="minorHAnsi" w:hAnsiTheme="minorHAnsi"/>
        </w:rPr>
        <w:t>L</w:t>
      </w:r>
      <w:r w:rsidR="00360CB3">
        <w:rPr>
          <w:rFonts w:asciiTheme="minorHAnsi" w:hAnsiTheme="minorHAnsi"/>
        </w:rPr>
        <w:t>.</w:t>
      </w:r>
      <w:r w:rsidRPr="00925BFC">
        <w:rPr>
          <w:rFonts w:asciiTheme="minorHAnsi" w:hAnsiTheme="minorHAnsi"/>
        </w:rPr>
        <w:t>, Rout T</w:t>
      </w:r>
      <w:r w:rsidR="00360CB3">
        <w:rPr>
          <w:rFonts w:asciiTheme="minorHAnsi" w:hAnsiTheme="minorHAnsi"/>
        </w:rPr>
        <w:t>.</w:t>
      </w:r>
      <w:r w:rsidRPr="00925BFC">
        <w:rPr>
          <w:rFonts w:asciiTheme="minorHAnsi" w:hAnsiTheme="minorHAnsi"/>
        </w:rPr>
        <w:t>M</w:t>
      </w:r>
      <w:r w:rsidR="00360CB3">
        <w:rPr>
          <w:rFonts w:asciiTheme="minorHAnsi" w:hAnsiTheme="minorHAnsi"/>
        </w:rPr>
        <w:t>.</w:t>
      </w:r>
      <w:r w:rsidRPr="00925BFC">
        <w:rPr>
          <w:rFonts w:asciiTheme="minorHAnsi" w:hAnsiTheme="minorHAnsi"/>
        </w:rPr>
        <w:t>, Vesk P</w:t>
      </w:r>
      <w:r w:rsidR="00360CB3">
        <w:rPr>
          <w:rFonts w:asciiTheme="minorHAnsi" w:hAnsiTheme="minorHAnsi"/>
        </w:rPr>
        <w:t>.</w:t>
      </w:r>
      <w:r w:rsidRPr="00925BFC">
        <w:rPr>
          <w:rFonts w:asciiTheme="minorHAnsi" w:hAnsiTheme="minorHAnsi"/>
        </w:rPr>
        <w:t>A</w:t>
      </w:r>
      <w:r w:rsidR="00360CB3">
        <w:rPr>
          <w:rFonts w:asciiTheme="minorHAnsi" w:hAnsiTheme="minorHAnsi"/>
        </w:rPr>
        <w:t>.</w:t>
      </w:r>
      <w:r>
        <w:rPr>
          <w:rFonts w:asciiTheme="minorHAnsi" w:hAnsiTheme="minorHAnsi"/>
        </w:rPr>
        <w:t xml:space="preserve"> &amp;</w:t>
      </w:r>
      <w:r w:rsidRPr="00925BFC">
        <w:rPr>
          <w:rFonts w:asciiTheme="minorHAnsi" w:hAnsiTheme="minorHAnsi"/>
        </w:rPr>
        <w:t xml:space="preserve"> Wintle B</w:t>
      </w:r>
      <w:r w:rsidR="00360CB3">
        <w:rPr>
          <w:rFonts w:asciiTheme="minorHAnsi" w:hAnsiTheme="minorHAnsi"/>
        </w:rPr>
        <w:t>.</w:t>
      </w:r>
      <w:r w:rsidRPr="00925BFC">
        <w:rPr>
          <w:rFonts w:asciiTheme="minorHAnsi" w:hAnsiTheme="minorHAnsi"/>
        </w:rPr>
        <w:t xml:space="preserve">A. </w:t>
      </w:r>
      <w:r>
        <w:rPr>
          <w:rFonts w:asciiTheme="minorHAnsi" w:hAnsiTheme="minorHAnsi"/>
        </w:rPr>
        <w:t>(</w:t>
      </w:r>
      <w:r w:rsidRPr="00925BFC">
        <w:rPr>
          <w:rFonts w:asciiTheme="minorHAnsi" w:hAnsiTheme="minorHAnsi"/>
        </w:rPr>
        <w:t>2010</w:t>
      </w:r>
      <w:r>
        <w:rPr>
          <w:rFonts w:asciiTheme="minorHAnsi" w:hAnsiTheme="minorHAnsi"/>
        </w:rPr>
        <w:t>)</w:t>
      </w:r>
      <w:r w:rsidRPr="00925BFC">
        <w:rPr>
          <w:rFonts w:asciiTheme="minorHAnsi" w:hAnsiTheme="minorHAnsi"/>
        </w:rPr>
        <w:t xml:space="preserve">. Active adaptive conservation of threatened species in the face of uncertainty. </w:t>
      </w:r>
      <w:r w:rsidRPr="00925BFC">
        <w:rPr>
          <w:rFonts w:asciiTheme="minorHAnsi" w:hAnsiTheme="minorHAnsi"/>
          <w:i/>
        </w:rPr>
        <w:t>Ecological Applications</w:t>
      </w:r>
      <w:r w:rsidRPr="00925BFC">
        <w:rPr>
          <w:rFonts w:asciiTheme="minorHAnsi" w:hAnsiTheme="minorHAnsi"/>
        </w:rPr>
        <w:t xml:space="preserve"> 20: 1476-1489.</w:t>
      </w:r>
    </w:p>
    <w:p w14:paraId="30F0AD66" w14:textId="2677E72F" w:rsidR="00A15951" w:rsidRPr="00925BFC" w:rsidRDefault="00A15951" w:rsidP="00A15951">
      <w:pPr>
        <w:pStyle w:val="References"/>
        <w:ind w:left="284" w:hanging="284"/>
        <w:rPr>
          <w:rFonts w:asciiTheme="minorHAnsi" w:hAnsiTheme="minorHAnsi"/>
        </w:rPr>
      </w:pPr>
      <w:r w:rsidRPr="00925BFC">
        <w:rPr>
          <w:rFonts w:asciiTheme="minorHAnsi" w:hAnsiTheme="minorHAnsi"/>
        </w:rPr>
        <w:t>Miles C</w:t>
      </w:r>
      <w:r w:rsidR="00360CB3">
        <w:rPr>
          <w:rFonts w:asciiTheme="minorHAnsi" w:hAnsiTheme="minorHAnsi"/>
        </w:rPr>
        <w:t>.</w:t>
      </w:r>
      <w:r w:rsidRPr="00925BFC">
        <w:rPr>
          <w:rFonts w:asciiTheme="minorHAnsi" w:hAnsiTheme="minorHAnsi"/>
        </w:rPr>
        <w:t>, White M</w:t>
      </w:r>
      <w:r w:rsidR="00360CB3">
        <w:rPr>
          <w:rFonts w:asciiTheme="minorHAnsi" w:hAnsiTheme="minorHAnsi"/>
        </w:rPr>
        <w:t>.</w:t>
      </w:r>
      <w:r w:rsidRPr="00925BFC">
        <w:rPr>
          <w:rFonts w:asciiTheme="minorHAnsi" w:hAnsiTheme="minorHAnsi"/>
        </w:rPr>
        <w:t xml:space="preserve"> &amp; Scholz G. (2012). Assessment of the impacts of future climate and groundwater development on Great Artesian Basin springs. A technical report to the Australian Government from the CSIRO Great Artesian Basin Water Resource Assessment. CSIRO Water for a Healthy Country Flagship, Australia.</w:t>
      </w:r>
    </w:p>
    <w:p w14:paraId="1C38E8B7" w14:textId="2FF116CA" w:rsidR="00A15951" w:rsidRPr="00925BFC" w:rsidRDefault="00A15951" w:rsidP="00A15951">
      <w:pPr>
        <w:pStyle w:val="References"/>
        <w:ind w:left="284" w:hanging="284"/>
        <w:rPr>
          <w:rFonts w:asciiTheme="minorHAnsi" w:hAnsiTheme="minorHAnsi"/>
        </w:rPr>
      </w:pPr>
      <w:r w:rsidRPr="00925BFC">
        <w:rPr>
          <w:rFonts w:asciiTheme="minorHAnsi" w:hAnsiTheme="minorHAnsi"/>
        </w:rPr>
        <w:t>Morán-Ordóñez A</w:t>
      </w:r>
      <w:r w:rsidR="00360CB3">
        <w:rPr>
          <w:rFonts w:asciiTheme="minorHAnsi" w:hAnsiTheme="minorHAnsi"/>
        </w:rPr>
        <w:t>.</w:t>
      </w:r>
      <w:r w:rsidRPr="00925BFC">
        <w:rPr>
          <w:rFonts w:asciiTheme="minorHAnsi" w:hAnsiTheme="minorHAnsi"/>
        </w:rPr>
        <w:t>, Pavlova</w:t>
      </w:r>
      <w:r>
        <w:rPr>
          <w:rFonts w:asciiTheme="minorHAnsi" w:hAnsiTheme="minorHAnsi"/>
        </w:rPr>
        <w:t xml:space="preserve"> A</w:t>
      </w:r>
      <w:r w:rsidR="00360CB3">
        <w:rPr>
          <w:rFonts w:asciiTheme="minorHAnsi" w:hAnsiTheme="minorHAnsi"/>
        </w:rPr>
        <w:t>.</w:t>
      </w:r>
      <w:r w:rsidRPr="00925BFC">
        <w:rPr>
          <w:rFonts w:asciiTheme="minorHAnsi" w:hAnsiTheme="minorHAnsi"/>
        </w:rPr>
        <w:t>, Pinder</w:t>
      </w:r>
      <w:r>
        <w:rPr>
          <w:rFonts w:asciiTheme="minorHAnsi" w:hAnsiTheme="minorHAnsi"/>
        </w:rPr>
        <w:t xml:space="preserve"> A</w:t>
      </w:r>
      <w:r w:rsidR="00360CB3">
        <w:rPr>
          <w:rFonts w:asciiTheme="minorHAnsi" w:hAnsiTheme="minorHAnsi"/>
        </w:rPr>
        <w:t>.</w:t>
      </w:r>
      <w:r>
        <w:rPr>
          <w:rFonts w:asciiTheme="minorHAnsi" w:hAnsiTheme="minorHAnsi"/>
        </w:rPr>
        <w:t>M</w:t>
      </w:r>
      <w:r w:rsidR="00360CB3">
        <w:rPr>
          <w:rFonts w:asciiTheme="minorHAnsi" w:hAnsiTheme="minorHAnsi"/>
        </w:rPr>
        <w:t>.</w:t>
      </w:r>
      <w:r w:rsidRPr="00925BFC">
        <w:rPr>
          <w:rFonts w:asciiTheme="minorHAnsi" w:hAnsiTheme="minorHAnsi"/>
        </w:rPr>
        <w:t>, Sim</w:t>
      </w:r>
      <w:r>
        <w:rPr>
          <w:rFonts w:asciiTheme="minorHAnsi" w:hAnsiTheme="minorHAnsi"/>
        </w:rPr>
        <w:t xml:space="preserve"> L</w:t>
      </w:r>
      <w:r w:rsidR="00360CB3">
        <w:rPr>
          <w:rFonts w:asciiTheme="minorHAnsi" w:hAnsiTheme="minorHAnsi"/>
        </w:rPr>
        <w:t>.</w:t>
      </w:r>
      <w:r w:rsidRPr="00925BFC">
        <w:rPr>
          <w:rFonts w:asciiTheme="minorHAnsi" w:hAnsiTheme="minorHAnsi"/>
        </w:rPr>
        <w:t>, Sunnucks</w:t>
      </w:r>
      <w:r>
        <w:rPr>
          <w:rFonts w:asciiTheme="minorHAnsi" w:hAnsiTheme="minorHAnsi"/>
        </w:rPr>
        <w:t xml:space="preserve"> P</w:t>
      </w:r>
      <w:r w:rsidR="00360CB3">
        <w:rPr>
          <w:rFonts w:asciiTheme="minorHAnsi" w:hAnsiTheme="minorHAnsi"/>
        </w:rPr>
        <w:t>.</w:t>
      </w:r>
      <w:r w:rsidRPr="00925BFC">
        <w:rPr>
          <w:rFonts w:asciiTheme="minorHAnsi" w:hAnsiTheme="minorHAnsi"/>
        </w:rPr>
        <w:t xml:space="preserve">, Thompson </w:t>
      </w:r>
      <w:r>
        <w:rPr>
          <w:rFonts w:asciiTheme="minorHAnsi" w:hAnsiTheme="minorHAnsi"/>
        </w:rPr>
        <w:t>R</w:t>
      </w:r>
      <w:r w:rsidR="00360CB3">
        <w:rPr>
          <w:rFonts w:asciiTheme="minorHAnsi" w:hAnsiTheme="minorHAnsi"/>
        </w:rPr>
        <w:t>.</w:t>
      </w:r>
      <w:r>
        <w:rPr>
          <w:rFonts w:asciiTheme="minorHAnsi" w:hAnsiTheme="minorHAnsi"/>
        </w:rPr>
        <w:t>M</w:t>
      </w:r>
      <w:r w:rsidR="00360CB3">
        <w:rPr>
          <w:rFonts w:asciiTheme="minorHAnsi" w:hAnsiTheme="minorHAnsi"/>
        </w:rPr>
        <w:t>.</w:t>
      </w:r>
      <w:r>
        <w:rPr>
          <w:rFonts w:asciiTheme="minorHAnsi" w:hAnsiTheme="minorHAnsi"/>
        </w:rPr>
        <w:t xml:space="preserve"> &amp; </w:t>
      </w:r>
      <w:r w:rsidRPr="00925BFC">
        <w:rPr>
          <w:rFonts w:asciiTheme="minorHAnsi" w:hAnsiTheme="minorHAnsi"/>
        </w:rPr>
        <w:t xml:space="preserve">Davis </w:t>
      </w:r>
      <w:r>
        <w:rPr>
          <w:rFonts w:asciiTheme="minorHAnsi" w:hAnsiTheme="minorHAnsi"/>
        </w:rPr>
        <w:t xml:space="preserve">J. (2015). </w:t>
      </w:r>
      <w:r w:rsidRPr="00925BFC">
        <w:rPr>
          <w:rFonts w:asciiTheme="minorHAnsi" w:hAnsiTheme="minorHAnsi"/>
        </w:rPr>
        <w:t>Aquatic communities in arid landscapes: local conditions, dispersal traits and landscape configuration determine</w:t>
      </w:r>
      <w:r>
        <w:rPr>
          <w:rFonts w:asciiTheme="minorHAnsi" w:hAnsiTheme="minorHAnsi"/>
        </w:rPr>
        <w:t xml:space="preserve"> local biodiversity.</w:t>
      </w:r>
      <w:r w:rsidRPr="00925BFC">
        <w:rPr>
          <w:rFonts w:asciiTheme="minorHAnsi" w:hAnsiTheme="minorHAnsi"/>
        </w:rPr>
        <w:t xml:space="preserve"> </w:t>
      </w:r>
      <w:r w:rsidRPr="009905CA">
        <w:rPr>
          <w:rFonts w:asciiTheme="minorHAnsi" w:hAnsiTheme="minorHAnsi"/>
          <w:i/>
        </w:rPr>
        <w:t>Diversity and Distributions</w:t>
      </w:r>
      <w:r>
        <w:rPr>
          <w:rFonts w:asciiTheme="minorHAnsi" w:hAnsiTheme="minorHAnsi"/>
        </w:rPr>
        <w:t xml:space="preserve"> 21</w:t>
      </w:r>
      <w:r w:rsidRPr="00925BFC">
        <w:rPr>
          <w:rFonts w:asciiTheme="minorHAnsi" w:hAnsiTheme="minorHAnsi"/>
        </w:rPr>
        <w:t>: 1230-1241.</w:t>
      </w:r>
    </w:p>
    <w:p w14:paraId="4E4472F8" w14:textId="77777777" w:rsidR="00A15951" w:rsidRPr="00925BFC" w:rsidRDefault="00A15951" w:rsidP="00A15951">
      <w:pPr>
        <w:pStyle w:val="References"/>
        <w:ind w:left="284" w:hanging="284"/>
        <w:rPr>
          <w:rFonts w:asciiTheme="minorHAnsi" w:eastAsia="Times New Roman" w:hAnsiTheme="minorHAnsi"/>
        </w:rPr>
      </w:pPr>
      <w:r w:rsidRPr="00925BFC">
        <w:rPr>
          <w:rFonts w:asciiTheme="minorHAnsi" w:hAnsiTheme="minorHAnsi"/>
        </w:rPr>
        <w:t>Moritz C. (2002)</w:t>
      </w:r>
      <w:r>
        <w:rPr>
          <w:rFonts w:asciiTheme="minorHAnsi" w:hAnsiTheme="minorHAnsi"/>
        </w:rPr>
        <w:t>.</w:t>
      </w:r>
      <w:r w:rsidRPr="00925BFC">
        <w:rPr>
          <w:rFonts w:asciiTheme="minorHAnsi" w:hAnsiTheme="minorHAnsi"/>
        </w:rPr>
        <w:t xml:space="preserve"> Strategies to protect biological diversity and the evolutionary processes that sustain it. </w:t>
      </w:r>
      <w:r w:rsidRPr="00925BFC">
        <w:rPr>
          <w:rFonts w:asciiTheme="minorHAnsi" w:hAnsiTheme="minorHAnsi"/>
          <w:i/>
        </w:rPr>
        <w:t>Systematic Biology</w:t>
      </w:r>
      <w:r w:rsidRPr="00925BFC">
        <w:rPr>
          <w:rFonts w:asciiTheme="minorHAnsi" w:hAnsiTheme="minorHAnsi"/>
        </w:rPr>
        <w:t xml:space="preserve"> 51: 238–254.</w:t>
      </w:r>
    </w:p>
    <w:p w14:paraId="32FB80AA" w14:textId="4F040E3C" w:rsidR="00A15951" w:rsidRPr="00925BFC" w:rsidRDefault="00A15951" w:rsidP="00A15951">
      <w:pPr>
        <w:pStyle w:val="References"/>
        <w:ind w:left="284" w:hanging="284"/>
        <w:rPr>
          <w:rFonts w:asciiTheme="minorHAnsi" w:hAnsiTheme="minorHAnsi"/>
        </w:rPr>
      </w:pPr>
      <w:r w:rsidRPr="00925BFC">
        <w:rPr>
          <w:rFonts w:asciiTheme="minorHAnsi" w:hAnsiTheme="minorHAnsi"/>
        </w:rPr>
        <w:t>Mudd G</w:t>
      </w:r>
      <w:r w:rsidR="00360CB3">
        <w:rPr>
          <w:rFonts w:asciiTheme="minorHAnsi" w:hAnsiTheme="minorHAnsi"/>
        </w:rPr>
        <w:t>.</w:t>
      </w:r>
      <w:r w:rsidRPr="00925BFC">
        <w:rPr>
          <w:rFonts w:asciiTheme="minorHAnsi" w:hAnsiTheme="minorHAnsi"/>
        </w:rPr>
        <w:t xml:space="preserve">M. (2000). Mound springs of the Great Artesian Basin in South Australia: a case study from Olympic Dam. </w:t>
      </w:r>
      <w:r w:rsidRPr="00925BFC">
        <w:rPr>
          <w:rFonts w:asciiTheme="minorHAnsi" w:hAnsiTheme="minorHAnsi"/>
          <w:i/>
        </w:rPr>
        <w:t>Environmental Geology</w:t>
      </w:r>
      <w:r w:rsidRPr="00925BFC">
        <w:rPr>
          <w:rFonts w:asciiTheme="minorHAnsi" w:hAnsiTheme="minorHAnsi"/>
        </w:rPr>
        <w:t xml:space="preserve"> 39: 463</w:t>
      </w:r>
      <w:r>
        <w:rPr>
          <w:rFonts w:asciiTheme="minorHAnsi" w:hAnsiTheme="minorHAnsi"/>
        </w:rPr>
        <w:t>-</w:t>
      </w:r>
      <w:r w:rsidRPr="00925BFC">
        <w:rPr>
          <w:rFonts w:asciiTheme="minorHAnsi" w:hAnsiTheme="minorHAnsi"/>
        </w:rPr>
        <w:t>476.</w:t>
      </w:r>
    </w:p>
    <w:p w14:paraId="7583DB29" w14:textId="25CAD8FD" w:rsidR="00A15951" w:rsidRPr="00925BFC" w:rsidRDefault="00A15951" w:rsidP="00A15951">
      <w:pPr>
        <w:pStyle w:val="References"/>
        <w:ind w:left="284" w:hanging="284"/>
        <w:rPr>
          <w:rFonts w:asciiTheme="minorHAnsi" w:hAnsiTheme="minorHAnsi"/>
        </w:rPr>
      </w:pPr>
      <w:r w:rsidRPr="00925BFC">
        <w:rPr>
          <w:rFonts w:asciiTheme="minorHAnsi" w:hAnsiTheme="minorHAnsi"/>
        </w:rPr>
        <w:t>Mueller N</w:t>
      </w:r>
      <w:r w:rsidR="00360CB3">
        <w:rPr>
          <w:rFonts w:asciiTheme="minorHAnsi" w:hAnsiTheme="minorHAnsi"/>
        </w:rPr>
        <w:t>.</w:t>
      </w:r>
      <w:r w:rsidRPr="00925BFC">
        <w:rPr>
          <w:rFonts w:asciiTheme="minorHAnsi" w:hAnsiTheme="minorHAnsi"/>
        </w:rPr>
        <w:t>, Lewis A</w:t>
      </w:r>
      <w:r w:rsidR="00360CB3">
        <w:rPr>
          <w:rFonts w:asciiTheme="minorHAnsi" w:hAnsiTheme="minorHAnsi"/>
        </w:rPr>
        <w:t>.</w:t>
      </w:r>
      <w:r w:rsidRPr="00925BFC">
        <w:rPr>
          <w:rFonts w:asciiTheme="minorHAnsi" w:hAnsiTheme="minorHAnsi"/>
        </w:rPr>
        <w:t>, Roberts D</w:t>
      </w:r>
      <w:r w:rsidR="00360CB3">
        <w:rPr>
          <w:rFonts w:asciiTheme="minorHAnsi" w:hAnsiTheme="minorHAnsi"/>
        </w:rPr>
        <w:t>.</w:t>
      </w:r>
      <w:r w:rsidRPr="00925BFC">
        <w:rPr>
          <w:rFonts w:asciiTheme="minorHAnsi" w:hAnsiTheme="minorHAnsi"/>
        </w:rPr>
        <w:t>, Ring S</w:t>
      </w:r>
      <w:r w:rsidR="00360CB3">
        <w:rPr>
          <w:rFonts w:asciiTheme="minorHAnsi" w:hAnsiTheme="minorHAnsi"/>
        </w:rPr>
        <w:t>.</w:t>
      </w:r>
      <w:r w:rsidRPr="00925BFC">
        <w:rPr>
          <w:rFonts w:asciiTheme="minorHAnsi" w:hAnsiTheme="minorHAnsi"/>
        </w:rPr>
        <w:t>, Melrose R</w:t>
      </w:r>
      <w:r w:rsidR="00360CB3">
        <w:rPr>
          <w:rFonts w:asciiTheme="minorHAnsi" w:hAnsiTheme="minorHAnsi"/>
        </w:rPr>
        <w:t>.</w:t>
      </w:r>
      <w:r w:rsidRPr="00925BFC">
        <w:rPr>
          <w:rFonts w:asciiTheme="minorHAnsi" w:hAnsiTheme="minorHAnsi"/>
        </w:rPr>
        <w:t>, Sixsmith J</w:t>
      </w:r>
      <w:r w:rsidR="00360CB3">
        <w:rPr>
          <w:rFonts w:asciiTheme="minorHAnsi" w:hAnsiTheme="minorHAnsi"/>
        </w:rPr>
        <w:t>.</w:t>
      </w:r>
      <w:r w:rsidRPr="00925BFC">
        <w:rPr>
          <w:rFonts w:asciiTheme="minorHAnsi" w:hAnsiTheme="minorHAnsi"/>
        </w:rPr>
        <w:t>, Lymburner L</w:t>
      </w:r>
      <w:r w:rsidR="00360CB3">
        <w:rPr>
          <w:rFonts w:asciiTheme="minorHAnsi" w:hAnsiTheme="minorHAnsi"/>
        </w:rPr>
        <w:t>.</w:t>
      </w:r>
      <w:r w:rsidRPr="00925BFC">
        <w:rPr>
          <w:rFonts w:asciiTheme="minorHAnsi" w:hAnsiTheme="minorHAnsi"/>
        </w:rPr>
        <w:t>, McIntyre A</w:t>
      </w:r>
      <w:r w:rsidR="00360CB3">
        <w:rPr>
          <w:rFonts w:asciiTheme="minorHAnsi" w:hAnsiTheme="minorHAnsi"/>
        </w:rPr>
        <w:t>.</w:t>
      </w:r>
      <w:r w:rsidRPr="00925BFC">
        <w:rPr>
          <w:rFonts w:asciiTheme="minorHAnsi" w:hAnsiTheme="minorHAnsi"/>
        </w:rPr>
        <w:t>, Tan P</w:t>
      </w:r>
      <w:r w:rsidR="00360CB3">
        <w:rPr>
          <w:rFonts w:asciiTheme="minorHAnsi" w:hAnsiTheme="minorHAnsi"/>
        </w:rPr>
        <w:t>.</w:t>
      </w:r>
      <w:r w:rsidRPr="00925BFC">
        <w:rPr>
          <w:rFonts w:asciiTheme="minorHAnsi" w:hAnsiTheme="minorHAnsi"/>
        </w:rPr>
        <w:t>, Curnow S</w:t>
      </w:r>
      <w:r w:rsidR="00360CB3">
        <w:rPr>
          <w:rFonts w:asciiTheme="minorHAnsi" w:hAnsiTheme="minorHAnsi"/>
        </w:rPr>
        <w:t>.</w:t>
      </w:r>
      <w:r w:rsidRPr="00925BFC">
        <w:rPr>
          <w:rFonts w:asciiTheme="minorHAnsi" w:hAnsiTheme="minorHAnsi"/>
        </w:rPr>
        <w:t xml:space="preserve"> &amp; Ip A. (2016). Water observations from space: mapping surface water from 25 years of Landsat imagery across Australia. </w:t>
      </w:r>
      <w:r w:rsidRPr="00925BFC">
        <w:rPr>
          <w:rFonts w:asciiTheme="minorHAnsi" w:hAnsiTheme="minorHAnsi"/>
          <w:i/>
        </w:rPr>
        <w:t>Remote Sensing of Environment</w:t>
      </w:r>
      <w:r w:rsidRPr="00925BFC">
        <w:rPr>
          <w:rFonts w:asciiTheme="minorHAnsi" w:hAnsiTheme="minorHAnsi"/>
        </w:rPr>
        <w:t xml:space="preserve"> 174: 341–352. </w:t>
      </w:r>
    </w:p>
    <w:p w14:paraId="5E7BB931" w14:textId="0552D334" w:rsidR="00A15951" w:rsidRDefault="00A15951" w:rsidP="00A15951">
      <w:pPr>
        <w:pStyle w:val="References"/>
        <w:ind w:left="284" w:hanging="284"/>
        <w:rPr>
          <w:rFonts w:asciiTheme="minorHAnsi" w:hAnsiTheme="minorHAnsi"/>
        </w:rPr>
      </w:pPr>
      <w:r w:rsidRPr="00630EBC">
        <w:rPr>
          <w:rFonts w:asciiTheme="minorHAnsi" w:hAnsiTheme="minorHAnsi"/>
        </w:rPr>
        <w:t>Munro N</w:t>
      </w:r>
      <w:r w:rsidR="00360CB3">
        <w:rPr>
          <w:rFonts w:asciiTheme="minorHAnsi" w:hAnsiTheme="minorHAnsi"/>
        </w:rPr>
        <w:t>.</w:t>
      </w:r>
      <w:r w:rsidRPr="00630EBC">
        <w:rPr>
          <w:rFonts w:asciiTheme="minorHAnsi" w:hAnsiTheme="minorHAnsi"/>
        </w:rPr>
        <w:t>T</w:t>
      </w:r>
      <w:r w:rsidR="00360CB3">
        <w:rPr>
          <w:rFonts w:asciiTheme="minorHAnsi" w:hAnsiTheme="minorHAnsi"/>
        </w:rPr>
        <w:t>.</w:t>
      </w:r>
      <w:r>
        <w:rPr>
          <w:rFonts w:asciiTheme="minorHAnsi" w:hAnsiTheme="minorHAnsi"/>
        </w:rPr>
        <w:t xml:space="preserve">, </w:t>
      </w:r>
      <w:r w:rsidRPr="00630EBC">
        <w:rPr>
          <w:rFonts w:asciiTheme="minorHAnsi" w:hAnsiTheme="minorHAnsi"/>
        </w:rPr>
        <w:t>Kovac K</w:t>
      </w:r>
      <w:r w:rsidR="00360CB3">
        <w:rPr>
          <w:rFonts w:asciiTheme="minorHAnsi" w:hAnsiTheme="minorHAnsi"/>
        </w:rPr>
        <w:t>.</w:t>
      </w:r>
      <w:r w:rsidRPr="00630EBC">
        <w:rPr>
          <w:rFonts w:asciiTheme="minorHAnsi" w:hAnsiTheme="minorHAnsi"/>
        </w:rPr>
        <w:t>J</w:t>
      </w:r>
      <w:r w:rsidR="00360CB3">
        <w:rPr>
          <w:rFonts w:asciiTheme="minorHAnsi" w:hAnsiTheme="minorHAnsi"/>
        </w:rPr>
        <w:t>.</w:t>
      </w:r>
      <w:r>
        <w:rPr>
          <w:rFonts w:asciiTheme="minorHAnsi" w:hAnsiTheme="minorHAnsi"/>
        </w:rPr>
        <w:t xml:space="preserve">, </w:t>
      </w:r>
      <w:r w:rsidRPr="00630EBC">
        <w:rPr>
          <w:rFonts w:asciiTheme="minorHAnsi" w:hAnsiTheme="minorHAnsi"/>
        </w:rPr>
        <w:t>Niejalke D</w:t>
      </w:r>
      <w:r w:rsidR="00360CB3">
        <w:rPr>
          <w:rFonts w:asciiTheme="minorHAnsi" w:hAnsiTheme="minorHAnsi"/>
        </w:rPr>
        <w:t>.</w:t>
      </w:r>
      <w:r>
        <w:rPr>
          <w:rFonts w:asciiTheme="minorHAnsi" w:hAnsiTheme="minorHAnsi"/>
        </w:rPr>
        <w:t xml:space="preserve"> &amp; </w:t>
      </w:r>
      <w:r w:rsidRPr="00630EBC">
        <w:rPr>
          <w:rFonts w:asciiTheme="minorHAnsi" w:hAnsiTheme="minorHAnsi"/>
        </w:rPr>
        <w:t>Cunningham R</w:t>
      </w:r>
      <w:r w:rsidR="00360CB3">
        <w:rPr>
          <w:rFonts w:asciiTheme="minorHAnsi" w:hAnsiTheme="minorHAnsi"/>
        </w:rPr>
        <w:t>.</w:t>
      </w:r>
      <w:r w:rsidRPr="00630EBC">
        <w:rPr>
          <w:rFonts w:asciiTheme="minorHAnsi" w:hAnsiTheme="minorHAnsi"/>
        </w:rPr>
        <w:t>B.</w:t>
      </w:r>
      <w:r>
        <w:rPr>
          <w:rFonts w:asciiTheme="minorHAnsi" w:hAnsiTheme="minorHAnsi"/>
        </w:rPr>
        <w:t xml:space="preserve"> (2009). </w:t>
      </w:r>
      <w:r w:rsidRPr="00630EBC">
        <w:rPr>
          <w:rFonts w:asciiTheme="minorHAnsi" w:hAnsiTheme="minorHAnsi"/>
        </w:rPr>
        <w:t>The effect of a single burn event on the aquatic invertebrates in artesian springs</w:t>
      </w:r>
      <w:r>
        <w:rPr>
          <w:rFonts w:asciiTheme="minorHAnsi" w:hAnsiTheme="minorHAnsi"/>
        </w:rPr>
        <w:t xml:space="preserve">. </w:t>
      </w:r>
      <w:r w:rsidRPr="009905CA">
        <w:rPr>
          <w:rFonts w:asciiTheme="minorHAnsi" w:hAnsiTheme="minorHAnsi"/>
          <w:i/>
        </w:rPr>
        <w:t>Austral Ecology</w:t>
      </w:r>
      <w:r>
        <w:rPr>
          <w:rFonts w:asciiTheme="minorHAnsi" w:hAnsiTheme="minorHAnsi"/>
        </w:rPr>
        <w:t xml:space="preserve"> 34: </w:t>
      </w:r>
      <w:r w:rsidRPr="00630EBC">
        <w:rPr>
          <w:rFonts w:asciiTheme="minorHAnsi" w:hAnsiTheme="minorHAnsi"/>
        </w:rPr>
        <w:t>837-847</w:t>
      </w:r>
      <w:r>
        <w:rPr>
          <w:rFonts w:asciiTheme="minorHAnsi" w:hAnsiTheme="minorHAnsi"/>
        </w:rPr>
        <w:t>.</w:t>
      </w:r>
    </w:p>
    <w:p w14:paraId="4B7C6C09" w14:textId="0463E67A" w:rsidR="00A15951" w:rsidRPr="00925BFC" w:rsidRDefault="00A15951" w:rsidP="00A15951">
      <w:pPr>
        <w:pStyle w:val="References"/>
        <w:ind w:left="284" w:hanging="284"/>
        <w:rPr>
          <w:rFonts w:asciiTheme="minorHAnsi" w:hAnsiTheme="minorHAnsi"/>
        </w:rPr>
      </w:pPr>
      <w:r w:rsidRPr="00925BFC">
        <w:rPr>
          <w:rFonts w:asciiTheme="minorHAnsi" w:hAnsiTheme="minorHAnsi"/>
        </w:rPr>
        <w:t>Murphy N</w:t>
      </w:r>
      <w:r w:rsidR="00360CB3">
        <w:rPr>
          <w:rFonts w:asciiTheme="minorHAnsi" w:hAnsiTheme="minorHAnsi"/>
        </w:rPr>
        <w:t>.</w:t>
      </w:r>
      <w:r w:rsidRPr="00925BFC">
        <w:rPr>
          <w:rFonts w:asciiTheme="minorHAnsi" w:hAnsiTheme="minorHAnsi"/>
        </w:rPr>
        <w:t>P</w:t>
      </w:r>
      <w:r w:rsidR="00360CB3">
        <w:rPr>
          <w:rFonts w:asciiTheme="minorHAnsi" w:hAnsiTheme="minorHAnsi"/>
        </w:rPr>
        <w:t>.</w:t>
      </w:r>
      <w:r w:rsidRPr="00925BFC">
        <w:rPr>
          <w:rFonts w:asciiTheme="minorHAnsi" w:hAnsiTheme="minorHAnsi"/>
        </w:rPr>
        <w:t xml:space="preserve">, Adams </w:t>
      </w:r>
      <w:r>
        <w:rPr>
          <w:rFonts w:asciiTheme="minorHAnsi" w:hAnsiTheme="minorHAnsi"/>
        </w:rPr>
        <w:t>M</w:t>
      </w:r>
      <w:r w:rsidR="00360CB3">
        <w:rPr>
          <w:rFonts w:asciiTheme="minorHAnsi" w:hAnsiTheme="minorHAnsi"/>
        </w:rPr>
        <w:t>.</w:t>
      </w:r>
      <w:r>
        <w:rPr>
          <w:rFonts w:asciiTheme="minorHAnsi" w:hAnsiTheme="minorHAnsi"/>
        </w:rPr>
        <w:t xml:space="preserve"> &amp; </w:t>
      </w:r>
      <w:r w:rsidRPr="00925BFC">
        <w:rPr>
          <w:rFonts w:asciiTheme="minorHAnsi" w:hAnsiTheme="minorHAnsi"/>
        </w:rPr>
        <w:t xml:space="preserve">Austin </w:t>
      </w:r>
      <w:r>
        <w:rPr>
          <w:rFonts w:asciiTheme="minorHAnsi" w:hAnsiTheme="minorHAnsi"/>
        </w:rPr>
        <w:t>A</w:t>
      </w:r>
      <w:r w:rsidR="00360CB3">
        <w:rPr>
          <w:rFonts w:asciiTheme="minorHAnsi" w:hAnsiTheme="minorHAnsi"/>
        </w:rPr>
        <w:t>.</w:t>
      </w:r>
      <w:r>
        <w:rPr>
          <w:rFonts w:asciiTheme="minorHAnsi" w:hAnsiTheme="minorHAnsi"/>
        </w:rPr>
        <w:t xml:space="preserve">D. (2009). </w:t>
      </w:r>
      <w:r w:rsidRPr="00925BFC">
        <w:rPr>
          <w:rFonts w:asciiTheme="minorHAnsi" w:hAnsiTheme="minorHAnsi"/>
        </w:rPr>
        <w:t>Independent colonization and extensive cryptic speciation of freshwater amphipods in the isolated groundwater springs of Aus</w:t>
      </w:r>
      <w:r>
        <w:rPr>
          <w:rFonts w:asciiTheme="minorHAnsi" w:hAnsiTheme="minorHAnsi"/>
        </w:rPr>
        <w:t xml:space="preserve">tralia's Great Artesian Basin. </w:t>
      </w:r>
      <w:r w:rsidRPr="009905CA">
        <w:rPr>
          <w:rFonts w:asciiTheme="minorHAnsi" w:hAnsiTheme="minorHAnsi"/>
          <w:i/>
        </w:rPr>
        <w:t>Molecular Ecology</w:t>
      </w:r>
      <w:r>
        <w:rPr>
          <w:rFonts w:asciiTheme="minorHAnsi" w:hAnsiTheme="minorHAnsi"/>
        </w:rPr>
        <w:t xml:space="preserve"> 18</w:t>
      </w:r>
      <w:r w:rsidRPr="00925BFC">
        <w:rPr>
          <w:rFonts w:asciiTheme="minorHAnsi" w:hAnsiTheme="minorHAnsi"/>
        </w:rPr>
        <w:t>: 109-122.</w:t>
      </w:r>
    </w:p>
    <w:p w14:paraId="7F4969EF" w14:textId="324A68C0" w:rsidR="00A15951" w:rsidRPr="00925BFC" w:rsidRDefault="00A15951" w:rsidP="00A15951">
      <w:pPr>
        <w:pStyle w:val="References"/>
        <w:ind w:left="284" w:hanging="284"/>
        <w:rPr>
          <w:rFonts w:asciiTheme="minorHAnsi" w:hAnsiTheme="minorHAnsi"/>
        </w:rPr>
      </w:pPr>
      <w:r w:rsidRPr="00925BFC">
        <w:rPr>
          <w:rFonts w:asciiTheme="minorHAnsi" w:hAnsiTheme="minorHAnsi"/>
        </w:rPr>
        <w:t>Murphy N</w:t>
      </w:r>
      <w:r w:rsidR="00360CB3">
        <w:rPr>
          <w:rFonts w:asciiTheme="minorHAnsi" w:hAnsiTheme="minorHAnsi"/>
        </w:rPr>
        <w:t>.</w:t>
      </w:r>
      <w:r w:rsidRPr="00925BFC">
        <w:rPr>
          <w:rFonts w:asciiTheme="minorHAnsi" w:hAnsiTheme="minorHAnsi"/>
        </w:rPr>
        <w:t>P</w:t>
      </w:r>
      <w:r w:rsidR="00360CB3">
        <w:rPr>
          <w:rFonts w:asciiTheme="minorHAnsi" w:hAnsiTheme="minorHAnsi"/>
        </w:rPr>
        <w:t>.</w:t>
      </w:r>
      <w:r w:rsidRPr="00925BFC">
        <w:rPr>
          <w:rFonts w:asciiTheme="minorHAnsi" w:hAnsiTheme="minorHAnsi"/>
        </w:rPr>
        <w:t xml:space="preserve">, Guzik </w:t>
      </w:r>
      <w:r>
        <w:rPr>
          <w:rFonts w:asciiTheme="minorHAnsi" w:hAnsiTheme="minorHAnsi"/>
        </w:rPr>
        <w:t>M</w:t>
      </w:r>
      <w:r w:rsidR="00360CB3">
        <w:rPr>
          <w:rFonts w:asciiTheme="minorHAnsi" w:hAnsiTheme="minorHAnsi"/>
        </w:rPr>
        <w:t>.</w:t>
      </w:r>
      <w:r>
        <w:rPr>
          <w:rFonts w:asciiTheme="minorHAnsi" w:hAnsiTheme="minorHAnsi"/>
        </w:rPr>
        <w:t>T</w:t>
      </w:r>
      <w:r w:rsidR="00360CB3">
        <w:rPr>
          <w:rFonts w:asciiTheme="minorHAnsi" w:hAnsiTheme="minorHAnsi"/>
        </w:rPr>
        <w:t>.</w:t>
      </w:r>
      <w:r>
        <w:rPr>
          <w:rFonts w:asciiTheme="minorHAnsi" w:hAnsiTheme="minorHAnsi"/>
        </w:rPr>
        <w:t xml:space="preserve"> &amp; </w:t>
      </w:r>
      <w:r w:rsidRPr="00925BFC">
        <w:rPr>
          <w:rFonts w:asciiTheme="minorHAnsi" w:hAnsiTheme="minorHAnsi"/>
        </w:rPr>
        <w:t xml:space="preserve">Wilmer </w:t>
      </w:r>
      <w:r>
        <w:rPr>
          <w:rFonts w:asciiTheme="minorHAnsi" w:hAnsiTheme="minorHAnsi"/>
        </w:rPr>
        <w:t>J</w:t>
      </w:r>
      <w:r w:rsidR="00360CB3">
        <w:rPr>
          <w:rFonts w:asciiTheme="minorHAnsi" w:hAnsiTheme="minorHAnsi"/>
        </w:rPr>
        <w:t>.</w:t>
      </w:r>
      <w:r>
        <w:rPr>
          <w:rFonts w:asciiTheme="minorHAnsi" w:hAnsiTheme="minorHAnsi"/>
        </w:rPr>
        <w:t xml:space="preserve">W. </w:t>
      </w:r>
      <w:r w:rsidRPr="00925BFC">
        <w:rPr>
          <w:rFonts w:asciiTheme="minorHAnsi" w:hAnsiTheme="minorHAnsi"/>
        </w:rPr>
        <w:t>(2010). The influence of landscape on population structure of four invertebrates in groundwater springs.</w:t>
      </w:r>
      <w:r>
        <w:rPr>
          <w:rFonts w:asciiTheme="minorHAnsi" w:hAnsiTheme="minorHAnsi"/>
        </w:rPr>
        <w:t xml:space="preserve"> </w:t>
      </w:r>
      <w:r w:rsidRPr="009905CA">
        <w:rPr>
          <w:rFonts w:asciiTheme="minorHAnsi" w:hAnsiTheme="minorHAnsi"/>
          <w:i/>
        </w:rPr>
        <w:t>Freshwater Biology</w:t>
      </w:r>
      <w:r>
        <w:rPr>
          <w:rFonts w:asciiTheme="minorHAnsi" w:hAnsiTheme="minorHAnsi"/>
        </w:rPr>
        <w:t xml:space="preserve"> 55</w:t>
      </w:r>
      <w:r w:rsidRPr="00925BFC">
        <w:rPr>
          <w:rFonts w:asciiTheme="minorHAnsi" w:hAnsiTheme="minorHAnsi"/>
        </w:rPr>
        <w:t>: 2499-2509.</w:t>
      </w:r>
    </w:p>
    <w:p w14:paraId="3E71FFC5" w14:textId="0B765AFD" w:rsidR="00A15951" w:rsidRPr="00925BFC" w:rsidRDefault="00A15951" w:rsidP="00A15951">
      <w:pPr>
        <w:pStyle w:val="References"/>
        <w:ind w:left="284" w:hanging="284"/>
        <w:rPr>
          <w:rFonts w:asciiTheme="minorHAnsi" w:hAnsiTheme="minorHAnsi"/>
        </w:rPr>
      </w:pPr>
      <w:r w:rsidRPr="00925BFC">
        <w:rPr>
          <w:rFonts w:asciiTheme="minorHAnsi" w:hAnsiTheme="minorHAnsi"/>
        </w:rPr>
        <w:t>Murphy N</w:t>
      </w:r>
      <w:r w:rsidR="00360CB3">
        <w:rPr>
          <w:rFonts w:asciiTheme="minorHAnsi" w:hAnsiTheme="minorHAnsi"/>
        </w:rPr>
        <w:t>.</w:t>
      </w:r>
      <w:r w:rsidRPr="00925BFC">
        <w:rPr>
          <w:rFonts w:asciiTheme="minorHAnsi" w:hAnsiTheme="minorHAnsi"/>
        </w:rPr>
        <w:t>P</w:t>
      </w:r>
      <w:r w:rsidR="00360CB3">
        <w:rPr>
          <w:rFonts w:asciiTheme="minorHAnsi" w:hAnsiTheme="minorHAnsi"/>
        </w:rPr>
        <w:t>.</w:t>
      </w:r>
      <w:r w:rsidRPr="00925BFC">
        <w:rPr>
          <w:rFonts w:asciiTheme="minorHAnsi" w:hAnsiTheme="minorHAnsi"/>
        </w:rPr>
        <w:t>, King</w:t>
      </w:r>
      <w:r>
        <w:rPr>
          <w:rFonts w:asciiTheme="minorHAnsi" w:hAnsiTheme="minorHAnsi"/>
        </w:rPr>
        <w:t xml:space="preserve"> R</w:t>
      </w:r>
      <w:r w:rsidR="00360CB3">
        <w:rPr>
          <w:rFonts w:asciiTheme="minorHAnsi" w:hAnsiTheme="minorHAnsi"/>
        </w:rPr>
        <w:t>.</w:t>
      </w:r>
      <w:r>
        <w:rPr>
          <w:rFonts w:asciiTheme="minorHAnsi" w:hAnsiTheme="minorHAnsi"/>
        </w:rPr>
        <w:t>A</w:t>
      </w:r>
      <w:r w:rsidR="00360CB3">
        <w:rPr>
          <w:rFonts w:asciiTheme="minorHAnsi" w:hAnsiTheme="minorHAnsi"/>
        </w:rPr>
        <w:t>.</w:t>
      </w:r>
      <w:r>
        <w:rPr>
          <w:rFonts w:asciiTheme="minorHAnsi" w:hAnsiTheme="minorHAnsi"/>
        </w:rPr>
        <w:t xml:space="preserve"> &amp; </w:t>
      </w:r>
      <w:r w:rsidRPr="00925BFC">
        <w:rPr>
          <w:rFonts w:asciiTheme="minorHAnsi" w:hAnsiTheme="minorHAnsi"/>
        </w:rPr>
        <w:t xml:space="preserve">Delean </w:t>
      </w:r>
      <w:r>
        <w:rPr>
          <w:rFonts w:asciiTheme="minorHAnsi" w:hAnsiTheme="minorHAnsi"/>
        </w:rPr>
        <w:t xml:space="preserve">S. </w:t>
      </w:r>
      <w:r w:rsidRPr="00925BFC">
        <w:rPr>
          <w:rFonts w:asciiTheme="minorHAnsi" w:hAnsiTheme="minorHAnsi"/>
        </w:rPr>
        <w:t xml:space="preserve">(2015b). Species, ESUs or populations? Delimiting and describing morphologically cryptic diversity in Australian desert spring amphipods. </w:t>
      </w:r>
      <w:r w:rsidRPr="00AE423E">
        <w:rPr>
          <w:rFonts w:asciiTheme="minorHAnsi" w:hAnsiTheme="minorHAnsi"/>
          <w:i/>
        </w:rPr>
        <w:t>Invertebrate Systematics</w:t>
      </w:r>
      <w:r w:rsidRPr="00925BFC">
        <w:rPr>
          <w:rFonts w:asciiTheme="minorHAnsi" w:hAnsiTheme="minorHAnsi"/>
        </w:rPr>
        <w:t xml:space="preserve"> 29: 457-467.</w:t>
      </w:r>
    </w:p>
    <w:p w14:paraId="366DEB7A" w14:textId="0C9E5577" w:rsidR="00A15951" w:rsidRPr="00925BFC" w:rsidRDefault="00A15951" w:rsidP="00A15951">
      <w:pPr>
        <w:pStyle w:val="References"/>
        <w:ind w:left="284" w:hanging="284"/>
        <w:rPr>
          <w:rFonts w:asciiTheme="minorHAnsi" w:hAnsiTheme="minorHAnsi"/>
        </w:rPr>
      </w:pPr>
      <w:r w:rsidRPr="00925BFC">
        <w:rPr>
          <w:rFonts w:asciiTheme="minorHAnsi" w:hAnsiTheme="minorHAnsi"/>
        </w:rPr>
        <w:t>Murphy N</w:t>
      </w:r>
      <w:r w:rsidR="00360CB3">
        <w:rPr>
          <w:rFonts w:asciiTheme="minorHAnsi" w:hAnsiTheme="minorHAnsi"/>
        </w:rPr>
        <w:t>.</w:t>
      </w:r>
      <w:r w:rsidRPr="00925BFC">
        <w:rPr>
          <w:rFonts w:asciiTheme="minorHAnsi" w:hAnsiTheme="minorHAnsi"/>
        </w:rPr>
        <w:t>P</w:t>
      </w:r>
      <w:r w:rsidR="00360CB3">
        <w:rPr>
          <w:rFonts w:asciiTheme="minorHAnsi" w:hAnsiTheme="minorHAnsi"/>
        </w:rPr>
        <w:t>.</w:t>
      </w:r>
      <w:r w:rsidRPr="00925BFC">
        <w:rPr>
          <w:rFonts w:asciiTheme="minorHAnsi" w:hAnsiTheme="minorHAnsi"/>
        </w:rPr>
        <w:t>, Adams</w:t>
      </w:r>
      <w:r>
        <w:rPr>
          <w:rFonts w:asciiTheme="minorHAnsi" w:hAnsiTheme="minorHAnsi"/>
        </w:rPr>
        <w:t xml:space="preserve"> M</w:t>
      </w:r>
      <w:r w:rsidR="00360CB3">
        <w:rPr>
          <w:rFonts w:asciiTheme="minorHAnsi" w:hAnsiTheme="minorHAnsi"/>
        </w:rPr>
        <w:t>.</w:t>
      </w:r>
      <w:r>
        <w:rPr>
          <w:rFonts w:asciiTheme="minorHAnsi" w:hAnsiTheme="minorHAnsi"/>
        </w:rPr>
        <w:t xml:space="preserve">, </w:t>
      </w:r>
      <w:r w:rsidRPr="00925BFC">
        <w:rPr>
          <w:rFonts w:asciiTheme="minorHAnsi" w:hAnsiTheme="minorHAnsi"/>
        </w:rPr>
        <w:t>Guzik</w:t>
      </w:r>
      <w:r>
        <w:rPr>
          <w:rFonts w:asciiTheme="minorHAnsi" w:hAnsiTheme="minorHAnsi"/>
        </w:rPr>
        <w:t xml:space="preserve"> M</w:t>
      </w:r>
      <w:r w:rsidR="00360CB3">
        <w:rPr>
          <w:rFonts w:asciiTheme="minorHAnsi" w:hAnsiTheme="minorHAnsi"/>
        </w:rPr>
        <w:t>.</w:t>
      </w:r>
      <w:r>
        <w:rPr>
          <w:rFonts w:asciiTheme="minorHAnsi" w:hAnsiTheme="minorHAnsi"/>
        </w:rPr>
        <w:t>T</w:t>
      </w:r>
      <w:r w:rsidR="00360CB3">
        <w:rPr>
          <w:rFonts w:asciiTheme="minorHAnsi" w:hAnsiTheme="minorHAnsi"/>
        </w:rPr>
        <w:t>.</w:t>
      </w:r>
      <w:r>
        <w:rPr>
          <w:rFonts w:asciiTheme="minorHAnsi" w:hAnsiTheme="minorHAnsi"/>
        </w:rPr>
        <w:t xml:space="preserve"> &amp; </w:t>
      </w:r>
      <w:r w:rsidRPr="00925BFC">
        <w:rPr>
          <w:rFonts w:asciiTheme="minorHAnsi" w:hAnsiTheme="minorHAnsi"/>
        </w:rPr>
        <w:t xml:space="preserve">Austin </w:t>
      </w:r>
      <w:r>
        <w:rPr>
          <w:rFonts w:asciiTheme="minorHAnsi" w:hAnsiTheme="minorHAnsi"/>
        </w:rPr>
        <w:t>A</w:t>
      </w:r>
      <w:r w:rsidR="00360CB3">
        <w:rPr>
          <w:rFonts w:asciiTheme="minorHAnsi" w:hAnsiTheme="minorHAnsi"/>
        </w:rPr>
        <w:t>.</w:t>
      </w:r>
      <w:r>
        <w:rPr>
          <w:rFonts w:asciiTheme="minorHAnsi" w:hAnsiTheme="minorHAnsi"/>
        </w:rPr>
        <w:t xml:space="preserve">D. (2013). </w:t>
      </w:r>
      <w:r w:rsidRPr="00925BFC">
        <w:rPr>
          <w:rFonts w:asciiTheme="minorHAnsi" w:hAnsiTheme="minorHAnsi"/>
        </w:rPr>
        <w:t>Extraordinary micro-endemism in Aust</w:t>
      </w:r>
      <w:r>
        <w:rPr>
          <w:rFonts w:asciiTheme="minorHAnsi" w:hAnsiTheme="minorHAnsi"/>
        </w:rPr>
        <w:t>ralian desert spring amphipods.</w:t>
      </w:r>
      <w:r w:rsidRPr="00925BFC">
        <w:rPr>
          <w:rFonts w:asciiTheme="minorHAnsi" w:hAnsiTheme="minorHAnsi"/>
        </w:rPr>
        <w:t xml:space="preserve"> </w:t>
      </w:r>
      <w:r w:rsidRPr="009905CA">
        <w:rPr>
          <w:rFonts w:asciiTheme="minorHAnsi" w:hAnsiTheme="minorHAnsi"/>
          <w:i/>
        </w:rPr>
        <w:t>Molecular Phylogenetics and Evolution</w:t>
      </w:r>
      <w:r>
        <w:rPr>
          <w:rFonts w:asciiTheme="minorHAnsi" w:hAnsiTheme="minorHAnsi"/>
        </w:rPr>
        <w:t xml:space="preserve"> 66</w:t>
      </w:r>
      <w:r w:rsidRPr="00925BFC">
        <w:rPr>
          <w:rFonts w:asciiTheme="minorHAnsi" w:hAnsiTheme="minorHAnsi"/>
        </w:rPr>
        <w:t>: 645-653.</w:t>
      </w:r>
    </w:p>
    <w:p w14:paraId="31EF8907" w14:textId="38E4B7F2" w:rsidR="00A15951" w:rsidRPr="00925BFC" w:rsidRDefault="00A15951" w:rsidP="00A15951">
      <w:pPr>
        <w:pStyle w:val="References"/>
        <w:ind w:left="284" w:hanging="284"/>
        <w:rPr>
          <w:rFonts w:asciiTheme="minorHAnsi" w:hAnsiTheme="minorHAnsi"/>
        </w:rPr>
      </w:pPr>
      <w:r w:rsidRPr="00925BFC">
        <w:rPr>
          <w:rFonts w:asciiTheme="minorHAnsi" w:hAnsiTheme="minorHAnsi"/>
        </w:rPr>
        <w:t>Murphy N</w:t>
      </w:r>
      <w:r w:rsidR="00360CB3">
        <w:rPr>
          <w:rFonts w:asciiTheme="minorHAnsi" w:hAnsiTheme="minorHAnsi"/>
        </w:rPr>
        <w:t>.</w:t>
      </w:r>
      <w:r w:rsidRPr="00925BFC">
        <w:rPr>
          <w:rFonts w:asciiTheme="minorHAnsi" w:hAnsiTheme="minorHAnsi"/>
        </w:rPr>
        <w:t>P</w:t>
      </w:r>
      <w:r w:rsidR="00360CB3">
        <w:rPr>
          <w:rFonts w:asciiTheme="minorHAnsi" w:hAnsiTheme="minorHAnsi"/>
        </w:rPr>
        <w:t>.</w:t>
      </w:r>
      <w:r w:rsidRPr="00925BFC">
        <w:rPr>
          <w:rFonts w:asciiTheme="minorHAnsi" w:hAnsiTheme="minorHAnsi"/>
        </w:rPr>
        <w:t>, Guzik</w:t>
      </w:r>
      <w:r>
        <w:rPr>
          <w:rFonts w:asciiTheme="minorHAnsi" w:hAnsiTheme="minorHAnsi"/>
        </w:rPr>
        <w:t xml:space="preserve"> M</w:t>
      </w:r>
      <w:r w:rsidR="00360CB3">
        <w:rPr>
          <w:rFonts w:asciiTheme="minorHAnsi" w:hAnsiTheme="minorHAnsi"/>
        </w:rPr>
        <w:t>.</w:t>
      </w:r>
      <w:r>
        <w:rPr>
          <w:rFonts w:asciiTheme="minorHAnsi" w:hAnsiTheme="minorHAnsi"/>
        </w:rPr>
        <w:t>T</w:t>
      </w:r>
      <w:r w:rsidR="00360CB3">
        <w:rPr>
          <w:rFonts w:asciiTheme="minorHAnsi" w:hAnsiTheme="minorHAnsi"/>
        </w:rPr>
        <w:t>.</w:t>
      </w:r>
      <w:r w:rsidRPr="00925BFC">
        <w:rPr>
          <w:rFonts w:asciiTheme="minorHAnsi" w:hAnsiTheme="minorHAnsi"/>
        </w:rPr>
        <w:t xml:space="preserve">, Cooper </w:t>
      </w:r>
      <w:r>
        <w:rPr>
          <w:rFonts w:asciiTheme="minorHAnsi" w:hAnsiTheme="minorHAnsi"/>
        </w:rPr>
        <w:t>S</w:t>
      </w:r>
      <w:r w:rsidR="00360CB3">
        <w:rPr>
          <w:rFonts w:asciiTheme="minorHAnsi" w:hAnsiTheme="minorHAnsi"/>
        </w:rPr>
        <w:t>.</w:t>
      </w:r>
      <w:r>
        <w:rPr>
          <w:rFonts w:asciiTheme="minorHAnsi" w:hAnsiTheme="minorHAnsi"/>
        </w:rPr>
        <w:t>J</w:t>
      </w:r>
      <w:r w:rsidR="00360CB3">
        <w:rPr>
          <w:rFonts w:asciiTheme="minorHAnsi" w:hAnsiTheme="minorHAnsi"/>
        </w:rPr>
        <w:t>.</w:t>
      </w:r>
      <w:r>
        <w:rPr>
          <w:rFonts w:asciiTheme="minorHAnsi" w:hAnsiTheme="minorHAnsi"/>
        </w:rPr>
        <w:t>B</w:t>
      </w:r>
      <w:r w:rsidR="00360CB3">
        <w:rPr>
          <w:rFonts w:asciiTheme="minorHAnsi" w:hAnsiTheme="minorHAnsi"/>
        </w:rPr>
        <w:t>.</w:t>
      </w:r>
      <w:r>
        <w:rPr>
          <w:rFonts w:asciiTheme="minorHAnsi" w:hAnsiTheme="minorHAnsi"/>
        </w:rPr>
        <w:t xml:space="preserve"> &amp; </w:t>
      </w:r>
      <w:r w:rsidRPr="00925BFC">
        <w:rPr>
          <w:rFonts w:asciiTheme="minorHAnsi" w:hAnsiTheme="minorHAnsi"/>
        </w:rPr>
        <w:t xml:space="preserve">Austin </w:t>
      </w:r>
      <w:r>
        <w:rPr>
          <w:rFonts w:asciiTheme="minorHAnsi" w:hAnsiTheme="minorHAnsi"/>
        </w:rPr>
        <w:t>A</w:t>
      </w:r>
      <w:r w:rsidR="00360CB3">
        <w:rPr>
          <w:rFonts w:asciiTheme="minorHAnsi" w:hAnsiTheme="minorHAnsi"/>
        </w:rPr>
        <w:t>.</w:t>
      </w:r>
      <w:r>
        <w:rPr>
          <w:rFonts w:asciiTheme="minorHAnsi" w:hAnsiTheme="minorHAnsi"/>
        </w:rPr>
        <w:t xml:space="preserve">D. (2015a). </w:t>
      </w:r>
      <w:r w:rsidRPr="00925BFC">
        <w:rPr>
          <w:rFonts w:asciiTheme="minorHAnsi" w:hAnsiTheme="minorHAnsi"/>
        </w:rPr>
        <w:t>Desert spring refugia: museums of div</w:t>
      </w:r>
      <w:r>
        <w:rPr>
          <w:rFonts w:asciiTheme="minorHAnsi" w:hAnsiTheme="minorHAnsi"/>
        </w:rPr>
        <w:t>ersity or evolutionary cradles?</w:t>
      </w:r>
      <w:r w:rsidRPr="00925BFC">
        <w:rPr>
          <w:rFonts w:asciiTheme="minorHAnsi" w:hAnsiTheme="minorHAnsi"/>
        </w:rPr>
        <w:t xml:space="preserve"> </w:t>
      </w:r>
      <w:r w:rsidRPr="00AE423E">
        <w:rPr>
          <w:rFonts w:asciiTheme="minorHAnsi" w:hAnsiTheme="minorHAnsi"/>
          <w:i/>
        </w:rPr>
        <w:t>Zoologica Scripta</w:t>
      </w:r>
      <w:r>
        <w:rPr>
          <w:rFonts w:asciiTheme="minorHAnsi" w:hAnsiTheme="minorHAnsi"/>
          <w:i/>
        </w:rPr>
        <w:t xml:space="preserve"> </w:t>
      </w:r>
      <w:r w:rsidRPr="00AE423E">
        <w:t>44</w:t>
      </w:r>
      <w:r>
        <w:t>:</w:t>
      </w:r>
      <w:r w:rsidRPr="00AE423E">
        <w:t xml:space="preserve"> 693–701.</w:t>
      </w:r>
    </w:p>
    <w:p w14:paraId="4D68A5FD" w14:textId="0C9CD9A4" w:rsidR="00A15951" w:rsidRPr="00925BFC" w:rsidRDefault="00A15951" w:rsidP="00A15951">
      <w:pPr>
        <w:pStyle w:val="References"/>
        <w:ind w:left="284" w:hanging="284"/>
        <w:rPr>
          <w:rFonts w:asciiTheme="minorHAnsi" w:hAnsiTheme="minorHAnsi"/>
        </w:rPr>
      </w:pPr>
      <w:r w:rsidRPr="00925BFC">
        <w:rPr>
          <w:rFonts w:asciiTheme="minorHAnsi" w:hAnsiTheme="minorHAnsi"/>
        </w:rPr>
        <w:t>Murphy N</w:t>
      </w:r>
      <w:r w:rsidR="00360CB3">
        <w:rPr>
          <w:rFonts w:asciiTheme="minorHAnsi" w:hAnsiTheme="minorHAnsi"/>
        </w:rPr>
        <w:t>.</w:t>
      </w:r>
      <w:r w:rsidRPr="00925BFC">
        <w:rPr>
          <w:rFonts w:asciiTheme="minorHAnsi" w:hAnsiTheme="minorHAnsi"/>
        </w:rPr>
        <w:t>P</w:t>
      </w:r>
      <w:r w:rsidR="00360CB3">
        <w:rPr>
          <w:rFonts w:asciiTheme="minorHAnsi" w:hAnsiTheme="minorHAnsi"/>
        </w:rPr>
        <w:t>.</w:t>
      </w:r>
      <w:r w:rsidRPr="00925BFC">
        <w:rPr>
          <w:rFonts w:asciiTheme="minorHAnsi" w:hAnsiTheme="minorHAnsi"/>
        </w:rPr>
        <w:t>, Breed M</w:t>
      </w:r>
      <w:r w:rsidR="00360CB3">
        <w:rPr>
          <w:rFonts w:asciiTheme="minorHAnsi" w:hAnsiTheme="minorHAnsi"/>
        </w:rPr>
        <w:t>.</w:t>
      </w:r>
      <w:r w:rsidRPr="00925BFC">
        <w:rPr>
          <w:rFonts w:asciiTheme="minorHAnsi" w:hAnsiTheme="minorHAnsi"/>
        </w:rPr>
        <w:t>F</w:t>
      </w:r>
      <w:r w:rsidR="00360CB3">
        <w:rPr>
          <w:rFonts w:asciiTheme="minorHAnsi" w:hAnsiTheme="minorHAnsi"/>
        </w:rPr>
        <w:t>.</w:t>
      </w:r>
      <w:r w:rsidRPr="00925BFC">
        <w:rPr>
          <w:rFonts w:asciiTheme="minorHAnsi" w:hAnsiTheme="minorHAnsi"/>
        </w:rPr>
        <w:t>, Guzik MT</w:t>
      </w:r>
      <w:r w:rsidR="00360CB3">
        <w:rPr>
          <w:rFonts w:asciiTheme="minorHAnsi" w:hAnsiTheme="minorHAnsi"/>
        </w:rPr>
        <w:t>.</w:t>
      </w:r>
      <w:r w:rsidRPr="00925BFC">
        <w:rPr>
          <w:rFonts w:asciiTheme="minorHAnsi" w:hAnsiTheme="minorHAnsi"/>
        </w:rPr>
        <w:t>, Cooper S</w:t>
      </w:r>
      <w:r w:rsidR="00360CB3">
        <w:rPr>
          <w:rFonts w:asciiTheme="minorHAnsi" w:hAnsiTheme="minorHAnsi"/>
        </w:rPr>
        <w:t>.</w:t>
      </w:r>
      <w:r w:rsidRPr="00925BFC">
        <w:rPr>
          <w:rFonts w:asciiTheme="minorHAnsi" w:hAnsiTheme="minorHAnsi"/>
        </w:rPr>
        <w:t>J</w:t>
      </w:r>
      <w:r w:rsidR="00360CB3">
        <w:rPr>
          <w:rFonts w:asciiTheme="minorHAnsi" w:hAnsiTheme="minorHAnsi"/>
        </w:rPr>
        <w:t>.</w:t>
      </w:r>
      <w:r w:rsidRPr="00925BFC">
        <w:rPr>
          <w:rFonts w:asciiTheme="minorHAnsi" w:hAnsiTheme="minorHAnsi"/>
        </w:rPr>
        <w:t>B &amp; Austin A</w:t>
      </w:r>
      <w:r w:rsidR="00360CB3">
        <w:rPr>
          <w:rFonts w:asciiTheme="minorHAnsi" w:hAnsiTheme="minorHAnsi"/>
        </w:rPr>
        <w:t>.</w:t>
      </w:r>
      <w:r w:rsidRPr="00925BFC">
        <w:rPr>
          <w:rFonts w:asciiTheme="minorHAnsi" w:hAnsiTheme="minorHAnsi"/>
        </w:rPr>
        <w:t xml:space="preserve">D. (2012). Trapped in desert springs: phylogeography of Australian desert spring snails. </w:t>
      </w:r>
      <w:r w:rsidRPr="00925BFC">
        <w:rPr>
          <w:rFonts w:asciiTheme="minorHAnsi" w:hAnsiTheme="minorHAnsi"/>
          <w:i/>
        </w:rPr>
        <w:t>Journal of Biogeography</w:t>
      </w:r>
      <w:r w:rsidRPr="00925BFC">
        <w:rPr>
          <w:rFonts w:asciiTheme="minorHAnsi" w:hAnsiTheme="minorHAnsi"/>
        </w:rPr>
        <w:t xml:space="preserve"> 39: 1573–1582.</w:t>
      </w:r>
    </w:p>
    <w:p w14:paraId="42B4A996" w14:textId="2E5E8265" w:rsidR="00A15951" w:rsidRPr="00925BFC" w:rsidRDefault="00A15951" w:rsidP="00A15951">
      <w:pPr>
        <w:pStyle w:val="References"/>
        <w:ind w:left="284" w:hanging="284"/>
        <w:rPr>
          <w:rFonts w:asciiTheme="minorHAnsi" w:hAnsiTheme="minorHAnsi"/>
        </w:rPr>
      </w:pPr>
      <w:r w:rsidRPr="00925BFC">
        <w:rPr>
          <w:rFonts w:asciiTheme="minorHAnsi" w:hAnsiTheme="minorHAnsi"/>
        </w:rPr>
        <w:t>Myers M</w:t>
      </w:r>
      <w:r w:rsidR="00360CB3">
        <w:rPr>
          <w:rFonts w:asciiTheme="minorHAnsi" w:hAnsiTheme="minorHAnsi"/>
        </w:rPr>
        <w:t>.</w:t>
      </w:r>
      <w:r w:rsidRPr="00925BFC">
        <w:rPr>
          <w:rFonts w:asciiTheme="minorHAnsi" w:hAnsiTheme="minorHAnsi"/>
        </w:rPr>
        <w:t>J</w:t>
      </w:r>
      <w:r w:rsidR="00360CB3">
        <w:rPr>
          <w:rFonts w:asciiTheme="minorHAnsi" w:hAnsiTheme="minorHAnsi"/>
        </w:rPr>
        <w:t>.</w:t>
      </w:r>
      <w:r w:rsidRPr="00925BFC">
        <w:rPr>
          <w:rFonts w:asciiTheme="minorHAnsi" w:hAnsiTheme="minorHAnsi"/>
        </w:rPr>
        <w:t xml:space="preserve"> &amp; Resh V</w:t>
      </w:r>
      <w:r w:rsidR="00360CB3">
        <w:rPr>
          <w:rFonts w:asciiTheme="minorHAnsi" w:hAnsiTheme="minorHAnsi"/>
        </w:rPr>
        <w:t>.</w:t>
      </w:r>
      <w:r w:rsidRPr="00925BFC">
        <w:rPr>
          <w:rFonts w:asciiTheme="minorHAnsi" w:hAnsiTheme="minorHAnsi"/>
        </w:rPr>
        <w:t>H. (1999). Spring-formed wetlands of the arid west – islands of aquatic invertebrate biodiversity. In ‘Invertebrates in Freshwater Wetlands of North America’. (Eds R. B. Rader and S. A. Wissinger.) pp. 811–828. (Wiley: New York.)</w:t>
      </w:r>
    </w:p>
    <w:p w14:paraId="27DAAEB1" w14:textId="472893BD" w:rsidR="00A15951" w:rsidRPr="00925BFC" w:rsidRDefault="00A15951" w:rsidP="00A15951">
      <w:pPr>
        <w:pStyle w:val="References"/>
        <w:ind w:left="284" w:hanging="284"/>
        <w:rPr>
          <w:rFonts w:asciiTheme="minorHAnsi" w:hAnsiTheme="minorHAnsi"/>
        </w:rPr>
      </w:pPr>
      <w:r w:rsidRPr="00925BFC">
        <w:rPr>
          <w:rFonts w:asciiTheme="minorHAnsi" w:hAnsiTheme="minorHAnsi"/>
        </w:rPr>
        <w:t>Nicol S</w:t>
      </w:r>
      <w:r w:rsidR="00360CB3">
        <w:rPr>
          <w:rFonts w:asciiTheme="minorHAnsi" w:hAnsiTheme="minorHAnsi"/>
        </w:rPr>
        <w:t>.</w:t>
      </w:r>
      <w:r w:rsidRPr="00925BFC">
        <w:rPr>
          <w:rFonts w:asciiTheme="minorHAnsi" w:hAnsiTheme="minorHAnsi"/>
        </w:rPr>
        <w:t>, Haynes</w:t>
      </w:r>
      <w:r>
        <w:rPr>
          <w:rFonts w:asciiTheme="minorHAnsi" w:hAnsiTheme="minorHAnsi"/>
        </w:rPr>
        <w:t xml:space="preserve"> T</w:t>
      </w:r>
      <w:r w:rsidR="00360CB3">
        <w:rPr>
          <w:rFonts w:asciiTheme="minorHAnsi" w:hAnsiTheme="minorHAnsi"/>
        </w:rPr>
        <w:t>.</w:t>
      </w:r>
      <w:r>
        <w:rPr>
          <w:rFonts w:asciiTheme="minorHAnsi" w:hAnsiTheme="minorHAnsi"/>
        </w:rPr>
        <w:t>B</w:t>
      </w:r>
      <w:r w:rsidR="00360CB3">
        <w:rPr>
          <w:rFonts w:asciiTheme="minorHAnsi" w:hAnsiTheme="minorHAnsi"/>
        </w:rPr>
        <w:t>.</w:t>
      </w:r>
      <w:r>
        <w:rPr>
          <w:rFonts w:asciiTheme="minorHAnsi" w:hAnsiTheme="minorHAnsi"/>
        </w:rPr>
        <w:t xml:space="preserve">, </w:t>
      </w:r>
      <w:r w:rsidRPr="00925BFC">
        <w:rPr>
          <w:rFonts w:asciiTheme="minorHAnsi" w:hAnsiTheme="minorHAnsi"/>
        </w:rPr>
        <w:t xml:space="preserve">Fensham </w:t>
      </w:r>
      <w:r>
        <w:rPr>
          <w:rFonts w:asciiTheme="minorHAnsi" w:hAnsiTheme="minorHAnsi"/>
        </w:rPr>
        <w:t>R</w:t>
      </w:r>
      <w:r w:rsidR="00360CB3">
        <w:rPr>
          <w:rFonts w:asciiTheme="minorHAnsi" w:hAnsiTheme="minorHAnsi"/>
        </w:rPr>
        <w:t>.</w:t>
      </w:r>
      <w:r>
        <w:rPr>
          <w:rFonts w:asciiTheme="minorHAnsi" w:hAnsiTheme="minorHAnsi"/>
        </w:rPr>
        <w:t xml:space="preserve"> &amp; </w:t>
      </w:r>
      <w:r w:rsidRPr="00925BFC">
        <w:rPr>
          <w:rFonts w:asciiTheme="minorHAnsi" w:hAnsiTheme="minorHAnsi"/>
        </w:rPr>
        <w:t xml:space="preserve">Kerezsy </w:t>
      </w:r>
      <w:r>
        <w:rPr>
          <w:rFonts w:asciiTheme="minorHAnsi" w:hAnsiTheme="minorHAnsi"/>
        </w:rPr>
        <w:t xml:space="preserve">A. </w:t>
      </w:r>
      <w:r w:rsidRPr="00925BFC">
        <w:rPr>
          <w:rFonts w:asciiTheme="minorHAnsi" w:hAnsiTheme="minorHAnsi"/>
        </w:rPr>
        <w:t>(2015).</w:t>
      </w:r>
      <w:r>
        <w:rPr>
          <w:rFonts w:asciiTheme="minorHAnsi" w:hAnsiTheme="minorHAnsi"/>
        </w:rPr>
        <w:t xml:space="preserve"> </w:t>
      </w:r>
      <w:r w:rsidRPr="00925BFC">
        <w:rPr>
          <w:rFonts w:asciiTheme="minorHAnsi" w:hAnsiTheme="minorHAnsi"/>
        </w:rPr>
        <w:t xml:space="preserve">Quantifying the impact of </w:t>
      </w:r>
      <w:r w:rsidRPr="00AE423E">
        <w:rPr>
          <w:rFonts w:asciiTheme="minorHAnsi" w:hAnsiTheme="minorHAnsi"/>
          <w:i/>
        </w:rPr>
        <w:t>Gambusia holbrooki</w:t>
      </w:r>
      <w:r w:rsidRPr="00925BFC">
        <w:rPr>
          <w:rFonts w:asciiTheme="minorHAnsi" w:hAnsiTheme="minorHAnsi"/>
        </w:rPr>
        <w:t xml:space="preserve"> on the extinction risk of the critically endangered red-finned blue-eye. Ecosphere 6: 1-18.</w:t>
      </w:r>
    </w:p>
    <w:p w14:paraId="0B6C95EB" w14:textId="37930354" w:rsidR="00A15951" w:rsidRPr="00925BFC" w:rsidRDefault="00A15951" w:rsidP="00A15951">
      <w:pPr>
        <w:pStyle w:val="References"/>
        <w:ind w:left="284" w:hanging="284"/>
        <w:rPr>
          <w:rFonts w:asciiTheme="minorHAnsi" w:hAnsiTheme="minorHAnsi"/>
        </w:rPr>
      </w:pPr>
      <w:r w:rsidRPr="00925BFC">
        <w:rPr>
          <w:rFonts w:asciiTheme="minorHAnsi" w:hAnsiTheme="minorHAnsi"/>
        </w:rPr>
        <w:t>Noble J</w:t>
      </w:r>
      <w:r w:rsidR="00360CB3">
        <w:rPr>
          <w:rFonts w:asciiTheme="minorHAnsi" w:hAnsiTheme="minorHAnsi"/>
        </w:rPr>
        <w:t>.</w:t>
      </w:r>
      <w:r w:rsidRPr="00925BFC">
        <w:rPr>
          <w:rFonts w:asciiTheme="minorHAnsi" w:hAnsiTheme="minorHAnsi"/>
        </w:rPr>
        <w:t>C</w:t>
      </w:r>
      <w:r w:rsidR="00360CB3">
        <w:rPr>
          <w:rFonts w:asciiTheme="minorHAnsi" w:hAnsiTheme="minorHAnsi"/>
        </w:rPr>
        <w:t>.</w:t>
      </w:r>
      <w:r w:rsidRPr="00925BFC">
        <w:rPr>
          <w:rFonts w:asciiTheme="minorHAnsi" w:hAnsiTheme="minorHAnsi"/>
        </w:rPr>
        <w:t>, Habermehl M</w:t>
      </w:r>
      <w:r w:rsidR="00360CB3">
        <w:rPr>
          <w:rFonts w:asciiTheme="minorHAnsi" w:hAnsiTheme="minorHAnsi"/>
        </w:rPr>
        <w:t>.</w:t>
      </w:r>
      <w:r w:rsidRPr="00925BFC">
        <w:rPr>
          <w:rFonts w:asciiTheme="minorHAnsi" w:hAnsiTheme="minorHAnsi"/>
        </w:rPr>
        <w:t>A</w:t>
      </w:r>
      <w:r w:rsidR="00360CB3">
        <w:rPr>
          <w:rFonts w:asciiTheme="minorHAnsi" w:hAnsiTheme="minorHAnsi"/>
        </w:rPr>
        <w:t>.</w:t>
      </w:r>
      <w:r w:rsidRPr="00925BFC">
        <w:rPr>
          <w:rFonts w:asciiTheme="minorHAnsi" w:hAnsiTheme="minorHAnsi"/>
        </w:rPr>
        <w:t>, James C</w:t>
      </w:r>
      <w:r w:rsidR="00360CB3">
        <w:rPr>
          <w:rFonts w:asciiTheme="minorHAnsi" w:hAnsiTheme="minorHAnsi"/>
        </w:rPr>
        <w:t>.</w:t>
      </w:r>
      <w:r w:rsidRPr="00925BFC">
        <w:rPr>
          <w:rFonts w:asciiTheme="minorHAnsi" w:hAnsiTheme="minorHAnsi"/>
        </w:rPr>
        <w:t>D</w:t>
      </w:r>
      <w:r w:rsidR="00360CB3">
        <w:rPr>
          <w:rFonts w:asciiTheme="minorHAnsi" w:hAnsiTheme="minorHAnsi"/>
        </w:rPr>
        <w:t>.</w:t>
      </w:r>
      <w:r w:rsidRPr="00925BFC">
        <w:rPr>
          <w:rFonts w:asciiTheme="minorHAnsi" w:hAnsiTheme="minorHAnsi"/>
        </w:rPr>
        <w:t>, Landsberg J</w:t>
      </w:r>
      <w:r w:rsidR="00360CB3">
        <w:rPr>
          <w:rFonts w:asciiTheme="minorHAnsi" w:hAnsiTheme="minorHAnsi"/>
        </w:rPr>
        <w:t>.</w:t>
      </w:r>
      <w:r w:rsidRPr="00925BFC">
        <w:rPr>
          <w:rFonts w:asciiTheme="minorHAnsi" w:hAnsiTheme="minorHAnsi"/>
        </w:rPr>
        <w:t xml:space="preserve"> &amp; Langton A</w:t>
      </w:r>
      <w:r w:rsidR="00360CB3">
        <w:rPr>
          <w:rFonts w:asciiTheme="minorHAnsi" w:hAnsiTheme="minorHAnsi"/>
        </w:rPr>
        <w:t>.</w:t>
      </w:r>
      <w:r w:rsidRPr="00925BFC">
        <w:rPr>
          <w:rFonts w:asciiTheme="minorHAnsi" w:hAnsiTheme="minorHAnsi"/>
        </w:rPr>
        <w:t xml:space="preserve">C. (1998). Biodiversity implications of water management in the Great Artesian Basin. </w:t>
      </w:r>
      <w:r w:rsidRPr="00925BFC">
        <w:rPr>
          <w:rFonts w:asciiTheme="minorHAnsi" w:hAnsiTheme="minorHAnsi"/>
          <w:i/>
        </w:rPr>
        <w:t>Rangeland Journal</w:t>
      </w:r>
      <w:r w:rsidRPr="00925BFC">
        <w:rPr>
          <w:rFonts w:asciiTheme="minorHAnsi" w:hAnsiTheme="minorHAnsi"/>
        </w:rPr>
        <w:t xml:space="preserve"> 20: 275–300.</w:t>
      </w:r>
    </w:p>
    <w:p w14:paraId="5FC01523" w14:textId="77777777" w:rsidR="00A15951" w:rsidRPr="00925BFC" w:rsidRDefault="00A15951" w:rsidP="00A15951">
      <w:pPr>
        <w:pStyle w:val="References"/>
        <w:ind w:left="284" w:hanging="284"/>
        <w:rPr>
          <w:rFonts w:asciiTheme="minorHAnsi" w:hAnsiTheme="minorHAnsi"/>
        </w:rPr>
      </w:pPr>
      <w:r w:rsidRPr="00925BFC">
        <w:rPr>
          <w:rFonts w:asciiTheme="minorHAnsi" w:hAnsiTheme="minorHAnsi"/>
        </w:rPr>
        <w:t>Office of Groundwater Impact Assessment (OGIA) (2016a). Underground Water Impact Report for the Surat Cumulative Management Area. Consultation draft. March 2016.</w:t>
      </w:r>
    </w:p>
    <w:p w14:paraId="66F7C577" w14:textId="77777777" w:rsidR="00A15951" w:rsidRPr="00925BFC" w:rsidRDefault="00A15951" w:rsidP="00A15951">
      <w:pPr>
        <w:pStyle w:val="References"/>
        <w:ind w:left="284" w:hanging="284"/>
        <w:rPr>
          <w:rFonts w:asciiTheme="minorHAnsi" w:hAnsiTheme="minorHAnsi"/>
        </w:rPr>
      </w:pPr>
      <w:r w:rsidRPr="00925BFC">
        <w:rPr>
          <w:rFonts w:asciiTheme="minorHAnsi" w:hAnsiTheme="minorHAnsi"/>
        </w:rPr>
        <w:lastRenderedPageBreak/>
        <w:t>Office of Groundwater Impact Assessment (OGIA) (2016b). Springs in the Surat Cumulative Management Area: A summary report on spring research and knowledge. June 2016.</w:t>
      </w:r>
    </w:p>
    <w:p w14:paraId="4A5F59B2" w14:textId="1FBAD166" w:rsidR="00A15951" w:rsidRPr="00925BFC" w:rsidRDefault="00A15951" w:rsidP="00A15951">
      <w:pPr>
        <w:pStyle w:val="References"/>
        <w:ind w:left="284" w:hanging="284"/>
        <w:rPr>
          <w:rFonts w:asciiTheme="minorHAnsi" w:hAnsiTheme="minorHAnsi"/>
        </w:rPr>
      </w:pPr>
      <w:r w:rsidRPr="00925BFC">
        <w:rPr>
          <w:rFonts w:asciiTheme="minorHAnsi" w:hAnsiTheme="minorHAnsi"/>
        </w:rPr>
        <w:t>Olden J</w:t>
      </w:r>
      <w:r w:rsidR="00360CB3">
        <w:rPr>
          <w:rFonts w:asciiTheme="minorHAnsi" w:hAnsiTheme="minorHAnsi"/>
        </w:rPr>
        <w:t>.</w:t>
      </w:r>
      <w:r w:rsidRPr="00925BFC">
        <w:rPr>
          <w:rFonts w:asciiTheme="minorHAnsi" w:hAnsiTheme="minorHAnsi"/>
        </w:rPr>
        <w:t>D</w:t>
      </w:r>
      <w:r w:rsidR="00360CB3">
        <w:rPr>
          <w:rFonts w:asciiTheme="minorHAnsi" w:hAnsiTheme="minorHAnsi"/>
        </w:rPr>
        <w:t>.</w:t>
      </w:r>
      <w:r w:rsidRPr="00925BFC">
        <w:rPr>
          <w:rFonts w:asciiTheme="minorHAnsi" w:hAnsiTheme="minorHAnsi"/>
        </w:rPr>
        <w:t>, Kennard M</w:t>
      </w:r>
      <w:r w:rsidR="00360CB3">
        <w:rPr>
          <w:rFonts w:asciiTheme="minorHAnsi" w:hAnsiTheme="minorHAnsi"/>
        </w:rPr>
        <w:t>.</w:t>
      </w:r>
      <w:r w:rsidRPr="00925BFC">
        <w:rPr>
          <w:rFonts w:asciiTheme="minorHAnsi" w:hAnsiTheme="minorHAnsi"/>
        </w:rPr>
        <w:t>J</w:t>
      </w:r>
      <w:r w:rsidR="00360CB3">
        <w:rPr>
          <w:rFonts w:asciiTheme="minorHAnsi" w:hAnsiTheme="minorHAnsi"/>
        </w:rPr>
        <w:t>.</w:t>
      </w:r>
      <w:r w:rsidRPr="00925BFC">
        <w:rPr>
          <w:rFonts w:asciiTheme="minorHAnsi" w:hAnsiTheme="minorHAnsi"/>
        </w:rPr>
        <w:t>, Poff N</w:t>
      </w:r>
      <w:r w:rsidR="00360CB3">
        <w:rPr>
          <w:rFonts w:asciiTheme="minorHAnsi" w:hAnsiTheme="minorHAnsi"/>
        </w:rPr>
        <w:t>.</w:t>
      </w:r>
      <w:r w:rsidRPr="00925BFC">
        <w:rPr>
          <w:rFonts w:asciiTheme="minorHAnsi" w:hAnsiTheme="minorHAnsi"/>
        </w:rPr>
        <w:t>L</w:t>
      </w:r>
      <w:r w:rsidR="00360CB3">
        <w:rPr>
          <w:rFonts w:asciiTheme="minorHAnsi" w:hAnsiTheme="minorHAnsi"/>
        </w:rPr>
        <w:t>.</w:t>
      </w:r>
      <w:r w:rsidRPr="00925BFC">
        <w:rPr>
          <w:rFonts w:asciiTheme="minorHAnsi" w:hAnsiTheme="minorHAnsi"/>
        </w:rPr>
        <w:t xml:space="preserve"> &amp; Lawler J</w:t>
      </w:r>
      <w:r w:rsidR="00360CB3">
        <w:rPr>
          <w:rFonts w:asciiTheme="minorHAnsi" w:hAnsiTheme="minorHAnsi"/>
        </w:rPr>
        <w:t>.</w:t>
      </w:r>
      <w:r w:rsidRPr="00925BFC">
        <w:rPr>
          <w:rFonts w:asciiTheme="minorHAnsi" w:hAnsiTheme="minorHAnsi"/>
        </w:rPr>
        <w:t xml:space="preserve">J. (2011). Challenges and opportunities in implementing managed relocation for conservation of freshwater species. </w:t>
      </w:r>
      <w:r w:rsidRPr="00AE423E">
        <w:rPr>
          <w:rFonts w:asciiTheme="minorHAnsi" w:hAnsiTheme="minorHAnsi"/>
          <w:i/>
        </w:rPr>
        <w:t>Conservation Biology</w:t>
      </w:r>
      <w:r w:rsidRPr="00925BFC">
        <w:rPr>
          <w:rFonts w:asciiTheme="minorHAnsi" w:hAnsiTheme="minorHAnsi"/>
        </w:rPr>
        <w:t xml:space="preserve"> 25: 40-47. </w:t>
      </w:r>
    </w:p>
    <w:p w14:paraId="4700D7FB" w14:textId="683E33B8" w:rsidR="00A15951" w:rsidRPr="00925BFC" w:rsidRDefault="00A15951" w:rsidP="00A15951">
      <w:pPr>
        <w:pStyle w:val="References"/>
        <w:ind w:left="284" w:hanging="284"/>
        <w:rPr>
          <w:rFonts w:asciiTheme="minorHAnsi" w:hAnsiTheme="minorHAnsi"/>
        </w:rPr>
      </w:pPr>
      <w:r w:rsidRPr="00925BFC">
        <w:rPr>
          <w:rFonts w:asciiTheme="minorHAnsi" w:hAnsiTheme="minorHAnsi"/>
        </w:rPr>
        <w:t>Perez K</w:t>
      </w:r>
      <w:r w:rsidR="00360CB3">
        <w:rPr>
          <w:rFonts w:asciiTheme="minorHAnsi" w:hAnsiTheme="minorHAnsi"/>
        </w:rPr>
        <w:t>.</w:t>
      </w:r>
      <w:r w:rsidRPr="00925BFC">
        <w:rPr>
          <w:rFonts w:asciiTheme="minorHAnsi" w:hAnsiTheme="minorHAnsi"/>
        </w:rPr>
        <w:t>E</w:t>
      </w:r>
      <w:r w:rsidR="00360CB3">
        <w:rPr>
          <w:rFonts w:asciiTheme="minorHAnsi" w:hAnsiTheme="minorHAnsi"/>
        </w:rPr>
        <w:t>.</w:t>
      </w:r>
      <w:r w:rsidRPr="00925BFC">
        <w:rPr>
          <w:rFonts w:asciiTheme="minorHAnsi" w:hAnsiTheme="minorHAnsi"/>
        </w:rPr>
        <w:t>, Ponder</w:t>
      </w:r>
      <w:r>
        <w:rPr>
          <w:rFonts w:asciiTheme="minorHAnsi" w:hAnsiTheme="minorHAnsi"/>
        </w:rPr>
        <w:t xml:space="preserve"> W</w:t>
      </w:r>
      <w:r w:rsidR="00360CB3">
        <w:rPr>
          <w:rFonts w:asciiTheme="minorHAnsi" w:hAnsiTheme="minorHAnsi"/>
        </w:rPr>
        <w:t>.</w:t>
      </w:r>
      <w:r>
        <w:rPr>
          <w:rFonts w:asciiTheme="minorHAnsi" w:hAnsiTheme="minorHAnsi"/>
        </w:rPr>
        <w:t>F</w:t>
      </w:r>
      <w:r w:rsidR="00360CB3">
        <w:rPr>
          <w:rFonts w:asciiTheme="minorHAnsi" w:hAnsiTheme="minorHAnsi"/>
        </w:rPr>
        <w:t>.</w:t>
      </w:r>
      <w:r w:rsidRPr="00925BFC">
        <w:rPr>
          <w:rFonts w:asciiTheme="minorHAnsi" w:hAnsiTheme="minorHAnsi"/>
        </w:rPr>
        <w:t>, Colgan</w:t>
      </w:r>
      <w:r>
        <w:rPr>
          <w:rFonts w:asciiTheme="minorHAnsi" w:hAnsiTheme="minorHAnsi"/>
        </w:rPr>
        <w:t xml:space="preserve"> D</w:t>
      </w:r>
      <w:r w:rsidR="00360CB3">
        <w:rPr>
          <w:rFonts w:asciiTheme="minorHAnsi" w:hAnsiTheme="minorHAnsi"/>
        </w:rPr>
        <w:t>.</w:t>
      </w:r>
      <w:r>
        <w:rPr>
          <w:rFonts w:asciiTheme="minorHAnsi" w:hAnsiTheme="minorHAnsi"/>
        </w:rPr>
        <w:t>J</w:t>
      </w:r>
      <w:r w:rsidR="00360CB3">
        <w:rPr>
          <w:rFonts w:asciiTheme="minorHAnsi" w:hAnsiTheme="minorHAnsi"/>
        </w:rPr>
        <w:t>.</w:t>
      </w:r>
      <w:r w:rsidRPr="00925BFC">
        <w:rPr>
          <w:rFonts w:asciiTheme="minorHAnsi" w:hAnsiTheme="minorHAnsi"/>
        </w:rPr>
        <w:t xml:space="preserve">, Clark </w:t>
      </w:r>
      <w:r>
        <w:rPr>
          <w:rFonts w:asciiTheme="minorHAnsi" w:hAnsiTheme="minorHAnsi"/>
        </w:rPr>
        <w:t>S</w:t>
      </w:r>
      <w:r w:rsidR="00360CB3">
        <w:rPr>
          <w:rFonts w:asciiTheme="minorHAnsi" w:hAnsiTheme="minorHAnsi"/>
        </w:rPr>
        <w:t>.</w:t>
      </w:r>
      <w:r>
        <w:rPr>
          <w:rFonts w:asciiTheme="minorHAnsi" w:hAnsiTheme="minorHAnsi"/>
        </w:rPr>
        <w:t>A</w:t>
      </w:r>
      <w:r w:rsidR="00360CB3">
        <w:rPr>
          <w:rFonts w:asciiTheme="minorHAnsi" w:hAnsiTheme="minorHAnsi"/>
        </w:rPr>
        <w:t>.</w:t>
      </w:r>
      <w:r>
        <w:rPr>
          <w:rFonts w:asciiTheme="minorHAnsi" w:hAnsiTheme="minorHAnsi"/>
        </w:rPr>
        <w:t xml:space="preserve"> &amp; </w:t>
      </w:r>
      <w:r w:rsidRPr="00925BFC">
        <w:rPr>
          <w:rFonts w:asciiTheme="minorHAnsi" w:hAnsiTheme="minorHAnsi"/>
        </w:rPr>
        <w:t xml:space="preserve">Lydeard </w:t>
      </w:r>
      <w:r>
        <w:rPr>
          <w:rFonts w:asciiTheme="minorHAnsi" w:hAnsiTheme="minorHAnsi"/>
        </w:rPr>
        <w:t xml:space="preserve">C. (2005). </w:t>
      </w:r>
      <w:r w:rsidRPr="00925BFC">
        <w:rPr>
          <w:rFonts w:asciiTheme="minorHAnsi" w:hAnsiTheme="minorHAnsi"/>
        </w:rPr>
        <w:t>Molecular phylogeny and biogeography of spring-associated hydrobild snails of the G</w:t>
      </w:r>
      <w:r>
        <w:rPr>
          <w:rFonts w:asciiTheme="minorHAnsi" w:hAnsiTheme="minorHAnsi"/>
        </w:rPr>
        <w:t>reat Artesian Basin, Australia.</w:t>
      </w:r>
      <w:r w:rsidRPr="00925BFC">
        <w:rPr>
          <w:rFonts w:asciiTheme="minorHAnsi" w:hAnsiTheme="minorHAnsi"/>
        </w:rPr>
        <w:t xml:space="preserve"> </w:t>
      </w:r>
      <w:r w:rsidRPr="00AE423E">
        <w:rPr>
          <w:rFonts w:asciiTheme="minorHAnsi" w:hAnsiTheme="minorHAnsi"/>
          <w:i/>
        </w:rPr>
        <w:t>Molecular Phylogenetics and Evolution</w:t>
      </w:r>
      <w:r>
        <w:rPr>
          <w:rFonts w:asciiTheme="minorHAnsi" w:hAnsiTheme="minorHAnsi"/>
        </w:rPr>
        <w:t xml:space="preserve"> 34</w:t>
      </w:r>
      <w:r w:rsidRPr="00925BFC">
        <w:rPr>
          <w:rFonts w:asciiTheme="minorHAnsi" w:hAnsiTheme="minorHAnsi"/>
        </w:rPr>
        <w:t>: 545-556.</w:t>
      </w:r>
    </w:p>
    <w:p w14:paraId="066A9B9E" w14:textId="5EE2C6DD" w:rsidR="00A15951" w:rsidRPr="00925BFC" w:rsidRDefault="00A15951" w:rsidP="00A15951">
      <w:pPr>
        <w:pStyle w:val="References"/>
        <w:ind w:left="284" w:hanging="284"/>
        <w:rPr>
          <w:rFonts w:asciiTheme="minorHAnsi" w:hAnsiTheme="minorHAnsi"/>
        </w:rPr>
      </w:pPr>
      <w:r w:rsidRPr="00925BFC">
        <w:rPr>
          <w:rFonts w:asciiTheme="minorHAnsi" w:hAnsiTheme="minorHAnsi"/>
        </w:rPr>
        <w:t>Poff N</w:t>
      </w:r>
      <w:r w:rsidR="00360CB3">
        <w:rPr>
          <w:rFonts w:asciiTheme="minorHAnsi" w:hAnsiTheme="minorHAnsi"/>
        </w:rPr>
        <w:t>.</w:t>
      </w:r>
      <w:r w:rsidRPr="00925BFC">
        <w:rPr>
          <w:rFonts w:asciiTheme="minorHAnsi" w:hAnsiTheme="minorHAnsi"/>
        </w:rPr>
        <w:t>L</w:t>
      </w:r>
      <w:r w:rsidR="00360CB3">
        <w:rPr>
          <w:rFonts w:asciiTheme="minorHAnsi" w:hAnsiTheme="minorHAnsi"/>
        </w:rPr>
        <w:t>.</w:t>
      </w:r>
      <w:r w:rsidRPr="00925BFC">
        <w:rPr>
          <w:rFonts w:asciiTheme="minorHAnsi" w:hAnsiTheme="minorHAnsi"/>
        </w:rPr>
        <w:t>, Richter B</w:t>
      </w:r>
      <w:r w:rsidR="00360CB3">
        <w:rPr>
          <w:rFonts w:asciiTheme="minorHAnsi" w:hAnsiTheme="minorHAnsi"/>
        </w:rPr>
        <w:t>.</w:t>
      </w:r>
      <w:r w:rsidRPr="00925BFC">
        <w:rPr>
          <w:rFonts w:asciiTheme="minorHAnsi" w:hAnsiTheme="minorHAnsi"/>
        </w:rPr>
        <w:t>, Arthington A</w:t>
      </w:r>
      <w:r w:rsidR="00360CB3">
        <w:rPr>
          <w:rFonts w:asciiTheme="minorHAnsi" w:hAnsiTheme="minorHAnsi"/>
        </w:rPr>
        <w:t>.</w:t>
      </w:r>
      <w:r w:rsidRPr="00925BFC">
        <w:rPr>
          <w:rFonts w:asciiTheme="minorHAnsi" w:hAnsiTheme="minorHAnsi"/>
        </w:rPr>
        <w:t>H</w:t>
      </w:r>
      <w:r w:rsidR="00360CB3">
        <w:rPr>
          <w:rFonts w:asciiTheme="minorHAnsi" w:hAnsiTheme="minorHAnsi"/>
        </w:rPr>
        <w:t>.</w:t>
      </w:r>
      <w:r w:rsidRPr="00925BFC">
        <w:rPr>
          <w:rFonts w:asciiTheme="minorHAnsi" w:hAnsiTheme="minorHAnsi"/>
        </w:rPr>
        <w:t>, Bunn S</w:t>
      </w:r>
      <w:r w:rsidR="00360CB3">
        <w:rPr>
          <w:rFonts w:asciiTheme="minorHAnsi" w:hAnsiTheme="minorHAnsi"/>
        </w:rPr>
        <w:t>.</w:t>
      </w:r>
      <w:r w:rsidRPr="00925BFC">
        <w:rPr>
          <w:rFonts w:asciiTheme="minorHAnsi" w:hAnsiTheme="minorHAnsi"/>
        </w:rPr>
        <w:t>E</w:t>
      </w:r>
      <w:r w:rsidR="00360CB3">
        <w:rPr>
          <w:rFonts w:asciiTheme="minorHAnsi" w:hAnsiTheme="minorHAnsi"/>
        </w:rPr>
        <w:t>.</w:t>
      </w:r>
      <w:r w:rsidRPr="00925BFC">
        <w:rPr>
          <w:rFonts w:asciiTheme="minorHAnsi" w:hAnsiTheme="minorHAnsi"/>
        </w:rPr>
        <w:t>, Naiman R</w:t>
      </w:r>
      <w:r w:rsidR="00360CB3">
        <w:rPr>
          <w:rFonts w:asciiTheme="minorHAnsi" w:hAnsiTheme="minorHAnsi"/>
        </w:rPr>
        <w:t>.</w:t>
      </w:r>
      <w:r w:rsidRPr="00925BFC">
        <w:rPr>
          <w:rFonts w:asciiTheme="minorHAnsi" w:hAnsiTheme="minorHAnsi"/>
        </w:rPr>
        <w:t>J</w:t>
      </w:r>
      <w:r w:rsidR="00360CB3">
        <w:rPr>
          <w:rFonts w:asciiTheme="minorHAnsi" w:hAnsiTheme="minorHAnsi"/>
        </w:rPr>
        <w:t>.</w:t>
      </w:r>
      <w:r w:rsidRPr="00925BFC">
        <w:rPr>
          <w:rFonts w:asciiTheme="minorHAnsi" w:hAnsiTheme="minorHAnsi"/>
        </w:rPr>
        <w:t>, Kendy E</w:t>
      </w:r>
      <w:r w:rsidR="00360CB3">
        <w:rPr>
          <w:rFonts w:asciiTheme="minorHAnsi" w:hAnsiTheme="minorHAnsi"/>
        </w:rPr>
        <w:t>.</w:t>
      </w:r>
      <w:r w:rsidRPr="00925BFC">
        <w:rPr>
          <w:rFonts w:asciiTheme="minorHAnsi" w:hAnsiTheme="minorHAnsi"/>
        </w:rPr>
        <w:t>, Acreman M</w:t>
      </w:r>
      <w:r w:rsidR="00360CB3">
        <w:rPr>
          <w:rFonts w:asciiTheme="minorHAnsi" w:hAnsiTheme="minorHAnsi"/>
        </w:rPr>
        <w:t>.</w:t>
      </w:r>
      <w:r w:rsidRPr="00925BFC">
        <w:rPr>
          <w:rFonts w:asciiTheme="minorHAnsi" w:hAnsiTheme="minorHAnsi"/>
        </w:rPr>
        <w:t>, Apse C</w:t>
      </w:r>
      <w:r w:rsidR="00360CB3">
        <w:rPr>
          <w:rFonts w:asciiTheme="minorHAnsi" w:hAnsiTheme="minorHAnsi"/>
        </w:rPr>
        <w:t>.</w:t>
      </w:r>
      <w:r w:rsidRPr="00925BFC">
        <w:rPr>
          <w:rFonts w:asciiTheme="minorHAnsi" w:hAnsiTheme="minorHAnsi"/>
        </w:rPr>
        <w:t>, Bledsoe B</w:t>
      </w:r>
      <w:r w:rsidR="00360CB3">
        <w:rPr>
          <w:rFonts w:asciiTheme="minorHAnsi" w:hAnsiTheme="minorHAnsi"/>
        </w:rPr>
        <w:t>.</w:t>
      </w:r>
      <w:r w:rsidRPr="00925BFC">
        <w:rPr>
          <w:rFonts w:asciiTheme="minorHAnsi" w:hAnsiTheme="minorHAnsi"/>
        </w:rPr>
        <w:t>P</w:t>
      </w:r>
      <w:r w:rsidR="00360CB3">
        <w:rPr>
          <w:rFonts w:asciiTheme="minorHAnsi" w:hAnsiTheme="minorHAnsi"/>
        </w:rPr>
        <w:t>.</w:t>
      </w:r>
      <w:r w:rsidRPr="00925BFC">
        <w:rPr>
          <w:rFonts w:asciiTheme="minorHAnsi" w:hAnsiTheme="minorHAnsi"/>
        </w:rPr>
        <w:t>, Freeman M</w:t>
      </w:r>
      <w:r w:rsidR="00360CB3">
        <w:rPr>
          <w:rFonts w:asciiTheme="minorHAnsi" w:hAnsiTheme="minorHAnsi"/>
        </w:rPr>
        <w:t>.</w:t>
      </w:r>
      <w:r w:rsidRPr="00925BFC">
        <w:rPr>
          <w:rFonts w:asciiTheme="minorHAnsi" w:hAnsiTheme="minorHAnsi"/>
        </w:rPr>
        <w:t>, Henriksen J</w:t>
      </w:r>
      <w:r w:rsidR="00360CB3">
        <w:rPr>
          <w:rFonts w:asciiTheme="minorHAnsi" w:hAnsiTheme="minorHAnsi"/>
        </w:rPr>
        <w:t>.</w:t>
      </w:r>
      <w:r w:rsidRPr="00925BFC">
        <w:rPr>
          <w:rFonts w:asciiTheme="minorHAnsi" w:hAnsiTheme="minorHAnsi"/>
        </w:rPr>
        <w:t>, Jacobson R</w:t>
      </w:r>
      <w:r w:rsidR="00360CB3">
        <w:rPr>
          <w:rFonts w:asciiTheme="minorHAnsi" w:hAnsiTheme="minorHAnsi"/>
        </w:rPr>
        <w:t>.</w:t>
      </w:r>
      <w:r w:rsidRPr="00925BFC">
        <w:rPr>
          <w:rFonts w:asciiTheme="minorHAnsi" w:hAnsiTheme="minorHAnsi"/>
        </w:rPr>
        <w:t>B</w:t>
      </w:r>
      <w:r w:rsidR="00360CB3">
        <w:rPr>
          <w:rFonts w:asciiTheme="minorHAnsi" w:hAnsiTheme="minorHAnsi"/>
        </w:rPr>
        <w:t>.</w:t>
      </w:r>
      <w:r w:rsidRPr="00925BFC">
        <w:rPr>
          <w:rFonts w:asciiTheme="minorHAnsi" w:hAnsiTheme="minorHAnsi"/>
        </w:rPr>
        <w:t>, Kennen J</w:t>
      </w:r>
      <w:r w:rsidR="00360CB3">
        <w:rPr>
          <w:rFonts w:asciiTheme="minorHAnsi" w:hAnsiTheme="minorHAnsi"/>
        </w:rPr>
        <w:t>.</w:t>
      </w:r>
      <w:r w:rsidRPr="00925BFC">
        <w:rPr>
          <w:rFonts w:asciiTheme="minorHAnsi" w:hAnsiTheme="minorHAnsi"/>
        </w:rPr>
        <w:t>, Merritt D</w:t>
      </w:r>
      <w:r w:rsidR="00360CB3">
        <w:rPr>
          <w:rFonts w:asciiTheme="minorHAnsi" w:hAnsiTheme="minorHAnsi"/>
        </w:rPr>
        <w:t>.</w:t>
      </w:r>
      <w:r w:rsidRPr="00925BFC">
        <w:rPr>
          <w:rFonts w:asciiTheme="minorHAnsi" w:hAnsiTheme="minorHAnsi"/>
        </w:rPr>
        <w:t>M</w:t>
      </w:r>
      <w:r w:rsidR="00360CB3">
        <w:rPr>
          <w:rFonts w:asciiTheme="minorHAnsi" w:hAnsiTheme="minorHAnsi"/>
        </w:rPr>
        <w:t>.</w:t>
      </w:r>
      <w:r w:rsidRPr="00925BFC">
        <w:rPr>
          <w:rFonts w:asciiTheme="minorHAnsi" w:hAnsiTheme="minorHAnsi"/>
        </w:rPr>
        <w:t>, O'Keefe J</w:t>
      </w:r>
      <w:r w:rsidR="00360CB3">
        <w:rPr>
          <w:rFonts w:asciiTheme="minorHAnsi" w:hAnsiTheme="minorHAnsi"/>
        </w:rPr>
        <w:t>.</w:t>
      </w:r>
      <w:r w:rsidRPr="00925BFC">
        <w:rPr>
          <w:rFonts w:asciiTheme="minorHAnsi" w:hAnsiTheme="minorHAnsi"/>
        </w:rPr>
        <w:t>, Olden J</w:t>
      </w:r>
      <w:r w:rsidR="00360CB3">
        <w:rPr>
          <w:rFonts w:asciiTheme="minorHAnsi" w:hAnsiTheme="minorHAnsi"/>
        </w:rPr>
        <w:t>.</w:t>
      </w:r>
      <w:r w:rsidRPr="00925BFC">
        <w:rPr>
          <w:rFonts w:asciiTheme="minorHAnsi" w:hAnsiTheme="minorHAnsi"/>
        </w:rPr>
        <w:t>, Rogers K</w:t>
      </w:r>
      <w:r w:rsidR="00360CB3">
        <w:rPr>
          <w:rFonts w:asciiTheme="minorHAnsi" w:hAnsiTheme="minorHAnsi"/>
        </w:rPr>
        <w:t>.</w:t>
      </w:r>
      <w:r w:rsidRPr="00925BFC">
        <w:rPr>
          <w:rFonts w:asciiTheme="minorHAnsi" w:hAnsiTheme="minorHAnsi"/>
        </w:rPr>
        <w:t>, Tharme R</w:t>
      </w:r>
      <w:r w:rsidR="00360CB3">
        <w:rPr>
          <w:rFonts w:asciiTheme="minorHAnsi" w:hAnsiTheme="minorHAnsi"/>
        </w:rPr>
        <w:t>.</w:t>
      </w:r>
      <w:r w:rsidRPr="00925BFC">
        <w:rPr>
          <w:rFonts w:asciiTheme="minorHAnsi" w:hAnsiTheme="minorHAnsi"/>
        </w:rPr>
        <w:t>E</w:t>
      </w:r>
      <w:r w:rsidR="00360CB3">
        <w:rPr>
          <w:rFonts w:asciiTheme="minorHAnsi" w:hAnsiTheme="minorHAnsi"/>
        </w:rPr>
        <w:t>.</w:t>
      </w:r>
      <w:r>
        <w:rPr>
          <w:rFonts w:asciiTheme="minorHAnsi" w:hAnsiTheme="minorHAnsi"/>
        </w:rPr>
        <w:t xml:space="preserve"> &amp; </w:t>
      </w:r>
      <w:r w:rsidRPr="00925BFC">
        <w:rPr>
          <w:rFonts w:asciiTheme="minorHAnsi" w:hAnsiTheme="minorHAnsi"/>
        </w:rPr>
        <w:t xml:space="preserve">Warner A. (2010). The Ecological Limits of Hydrologic Alteration (ELOHA): a new framework for developing regional environmental flow standards. </w:t>
      </w:r>
      <w:r w:rsidRPr="00AE423E">
        <w:rPr>
          <w:rFonts w:asciiTheme="minorHAnsi" w:hAnsiTheme="minorHAnsi"/>
          <w:i/>
        </w:rPr>
        <w:t>Freshwater Biology</w:t>
      </w:r>
      <w:r w:rsidRPr="00925BFC">
        <w:rPr>
          <w:rFonts w:asciiTheme="minorHAnsi" w:hAnsiTheme="minorHAnsi"/>
        </w:rPr>
        <w:t xml:space="preserve"> 55: 147-170</w:t>
      </w:r>
      <w:r w:rsidR="00E84163">
        <w:rPr>
          <w:rFonts w:asciiTheme="minorHAnsi" w:hAnsiTheme="minorHAnsi"/>
        </w:rPr>
        <w:t>.</w:t>
      </w:r>
      <w:r w:rsidRPr="00925BFC">
        <w:rPr>
          <w:rFonts w:asciiTheme="minorHAnsi" w:hAnsiTheme="minorHAnsi"/>
        </w:rPr>
        <w:t xml:space="preserve"> </w:t>
      </w:r>
    </w:p>
    <w:p w14:paraId="42E0B14C" w14:textId="3CF3ECF1" w:rsidR="00A15951" w:rsidRPr="00CD5F3F" w:rsidRDefault="00A15951" w:rsidP="00A15951">
      <w:pPr>
        <w:pStyle w:val="References"/>
        <w:ind w:left="284" w:hanging="284"/>
        <w:rPr>
          <w:rFonts w:asciiTheme="minorHAnsi" w:hAnsiTheme="minorHAnsi"/>
          <w:color w:val="auto"/>
        </w:rPr>
      </w:pPr>
      <w:r w:rsidRPr="00CD5F3F">
        <w:rPr>
          <w:rFonts w:asciiTheme="minorHAnsi" w:hAnsiTheme="minorHAnsi"/>
          <w:color w:val="auto"/>
        </w:rPr>
        <w:t>Ponder W</w:t>
      </w:r>
      <w:r w:rsidR="00360CB3">
        <w:rPr>
          <w:rFonts w:asciiTheme="minorHAnsi" w:hAnsiTheme="minorHAnsi"/>
          <w:color w:val="auto"/>
        </w:rPr>
        <w:t>.</w:t>
      </w:r>
      <w:r w:rsidRPr="00CD5F3F">
        <w:rPr>
          <w:rFonts w:asciiTheme="minorHAnsi" w:hAnsiTheme="minorHAnsi"/>
          <w:color w:val="auto"/>
        </w:rPr>
        <w:t xml:space="preserve">F. (1985). South Australian mound springs. Relict faunas in the desert. </w:t>
      </w:r>
      <w:r w:rsidRPr="00CD5F3F">
        <w:rPr>
          <w:rFonts w:asciiTheme="minorHAnsi" w:hAnsiTheme="minorHAnsi"/>
          <w:i/>
          <w:color w:val="auto"/>
        </w:rPr>
        <w:t>Australian Natural History</w:t>
      </w:r>
      <w:r w:rsidRPr="00CD5F3F">
        <w:rPr>
          <w:color w:val="auto"/>
        </w:rPr>
        <w:t xml:space="preserve"> </w:t>
      </w:r>
      <w:r w:rsidRPr="00CD5F3F">
        <w:rPr>
          <w:rFonts w:asciiTheme="minorHAnsi" w:hAnsiTheme="minorHAnsi"/>
          <w:color w:val="auto"/>
        </w:rPr>
        <w:t>21: 352-355.</w:t>
      </w:r>
    </w:p>
    <w:p w14:paraId="40FE9397" w14:textId="74D5BF86" w:rsidR="00A15951" w:rsidRDefault="00A15951" w:rsidP="00A15951">
      <w:pPr>
        <w:pStyle w:val="References"/>
        <w:ind w:left="284" w:hanging="284"/>
        <w:rPr>
          <w:rFonts w:asciiTheme="minorHAnsi" w:hAnsiTheme="minorHAnsi"/>
        </w:rPr>
      </w:pPr>
      <w:r w:rsidRPr="001056C5">
        <w:rPr>
          <w:rFonts w:asciiTheme="minorHAnsi" w:hAnsiTheme="minorHAnsi"/>
        </w:rPr>
        <w:t>Ponder W</w:t>
      </w:r>
      <w:r w:rsidR="00360CB3">
        <w:rPr>
          <w:rFonts w:asciiTheme="minorHAnsi" w:hAnsiTheme="minorHAnsi"/>
        </w:rPr>
        <w:t>.</w:t>
      </w:r>
      <w:r w:rsidRPr="001056C5">
        <w:rPr>
          <w:rFonts w:asciiTheme="minorHAnsi" w:hAnsiTheme="minorHAnsi"/>
        </w:rPr>
        <w:t>F</w:t>
      </w:r>
      <w:r>
        <w:rPr>
          <w:rFonts w:asciiTheme="minorHAnsi" w:hAnsiTheme="minorHAnsi"/>
        </w:rPr>
        <w:t>.</w:t>
      </w:r>
      <w:r w:rsidRPr="001056C5">
        <w:rPr>
          <w:rFonts w:asciiTheme="minorHAnsi" w:hAnsiTheme="minorHAnsi"/>
        </w:rPr>
        <w:t xml:space="preserve"> (1986) Mound springs of the Great Artesian Basin. In P De Decker and WD Williams (eds), Limnology in Australia, CSIRO, Melbourne and Dr W Junk Publishers, Dortrecht, pp 403-420.</w:t>
      </w:r>
    </w:p>
    <w:p w14:paraId="0170DFAD" w14:textId="4721800D" w:rsidR="00A15951" w:rsidRPr="00925BFC" w:rsidRDefault="00A15951" w:rsidP="00A15951">
      <w:pPr>
        <w:pStyle w:val="References"/>
        <w:ind w:left="284" w:hanging="284"/>
        <w:rPr>
          <w:rFonts w:asciiTheme="minorHAnsi" w:hAnsiTheme="minorHAnsi"/>
        </w:rPr>
      </w:pPr>
      <w:r w:rsidRPr="00925BFC">
        <w:rPr>
          <w:rFonts w:asciiTheme="minorHAnsi" w:hAnsiTheme="minorHAnsi"/>
        </w:rPr>
        <w:t>Ponder</w:t>
      </w:r>
      <w:r>
        <w:rPr>
          <w:rFonts w:asciiTheme="minorHAnsi" w:hAnsiTheme="minorHAnsi"/>
        </w:rPr>
        <w:t xml:space="preserve"> W</w:t>
      </w:r>
      <w:r w:rsidR="00360CB3">
        <w:rPr>
          <w:rFonts w:asciiTheme="minorHAnsi" w:hAnsiTheme="minorHAnsi"/>
        </w:rPr>
        <w:t>.</w:t>
      </w:r>
      <w:r w:rsidRPr="00925BFC">
        <w:rPr>
          <w:rFonts w:asciiTheme="minorHAnsi" w:hAnsiTheme="minorHAnsi"/>
        </w:rPr>
        <w:t>F</w:t>
      </w:r>
      <w:r>
        <w:rPr>
          <w:rFonts w:asciiTheme="minorHAnsi" w:hAnsiTheme="minorHAnsi"/>
        </w:rPr>
        <w:t xml:space="preserve">. (1994). </w:t>
      </w:r>
      <w:r w:rsidRPr="00925BFC">
        <w:rPr>
          <w:rFonts w:asciiTheme="minorHAnsi" w:hAnsiTheme="minorHAnsi"/>
        </w:rPr>
        <w:t>Australian freshwater mollusca: Conservation pr</w:t>
      </w:r>
      <w:r>
        <w:rPr>
          <w:rFonts w:asciiTheme="minorHAnsi" w:hAnsiTheme="minorHAnsi"/>
        </w:rPr>
        <w:t>iorities and indicator species.</w:t>
      </w:r>
      <w:r w:rsidRPr="00925BFC">
        <w:rPr>
          <w:rFonts w:asciiTheme="minorHAnsi" w:hAnsiTheme="minorHAnsi"/>
        </w:rPr>
        <w:t xml:space="preserve"> </w:t>
      </w:r>
      <w:r w:rsidRPr="00CD5F3F">
        <w:rPr>
          <w:rFonts w:asciiTheme="minorHAnsi" w:hAnsiTheme="minorHAnsi"/>
          <w:i/>
        </w:rPr>
        <w:t>Memoirs of the Queensland Museum</w:t>
      </w:r>
      <w:r>
        <w:rPr>
          <w:rFonts w:asciiTheme="minorHAnsi" w:hAnsiTheme="minorHAnsi"/>
        </w:rPr>
        <w:t xml:space="preserve"> 36:</w:t>
      </w:r>
      <w:r w:rsidRPr="00925BFC">
        <w:rPr>
          <w:rFonts w:asciiTheme="minorHAnsi" w:hAnsiTheme="minorHAnsi"/>
        </w:rPr>
        <w:t xml:space="preserve"> 191-196.</w:t>
      </w:r>
    </w:p>
    <w:p w14:paraId="62419ED3" w14:textId="6B3A3CAD" w:rsidR="00A15951" w:rsidRPr="00925BFC" w:rsidRDefault="00A15951" w:rsidP="00A15951">
      <w:pPr>
        <w:pStyle w:val="References"/>
        <w:ind w:left="284" w:hanging="284"/>
        <w:rPr>
          <w:rFonts w:asciiTheme="minorHAnsi" w:hAnsiTheme="minorHAnsi"/>
        </w:rPr>
      </w:pPr>
      <w:r w:rsidRPr="00925BFC">
        <w:rPr>
          <w:rFonts w:asciiTheme="minorHAnsi" w:hAnsiTheme="minorHAnsi"/>
        </w:rPr>
        <w:t>Ponder W</w:t>
      </w:r>
      <w:r w:rsidR="00360CB3">
        <w:rPr>
          <w:rFonts w:asciiTheme="minorHAnsi" w:hAnsiTheme="minorHAnsi"/>
        </w:rPr>
        <w:t>.</w:t>
      </w:r>
      <w:r w:rsidRPr="00925BFC">
        <w:rPr>
          <w:rFonts w:asciiTheme="minorHAnsi" w:hAnsiTheme="minorHAnsi"/>
        </w:rPr>
        <w:t>F. (1995) Mound spring snails of the Australian Great Artesian Basin. In EA Kay (Ed.), IUCN Species Survival Commission on the Conservation Biology of Molluscs, Edinburgh, Scotland, IUCN/SSC Mollusc Specialist Group.</w:t>
      </w:r>
    </w:p>
    <w:p w14:paraId="0A770097" w14:textId="34369D67" w:rsidR="00A15951" w:rsidRPr="00925BFC" w:rsidRDefault="00A15951" w:rsidP="00A15951">
      <w:pPr>
        <w:pStyle w:val="References"/>
        <w:ind w:left="284" w:hanging="284"/>
        <w:rPr>
          <w:rFonts w:asciiTheme="minorHAnsi" w:hAnsiTheme="minorHAnsi"/>
        </w:rPr>
      </w:pPr>
      <w:r w:rsidRPr="00925BFC">
        <w:rPr>
          <w:rFonts w:asciiTheme="minorHAnsi" w:hAnsiTheme="minorHAnsi"/>
        </w:rPr>
        <w:t>Ponder W</w:t>
      </w:r>
      <w:r w:rsidR="00360CB3">
        <w:rPr>
          <w:rFonts w:asciiTheme="minorHAnsi" w:hAnsiTheme="minorHAnsi"/>
        </w:rPr>
        <w:t>.</w:t>
      </w:r>
      <w:r w:rsidRPr="00925BFC">
        <w:rPr>
          <w:rFonts w:asciiTheme="minorHAnsi" w:hAnsiTheme="minorHAnsi"/>
        </w:rPr>
        <w:t xml:space="preserve">F. (2004). Endemic aquatic macroinvertebrates of artesian springs of the Great Artesian Basin: progress and future directions. </w:t>
      </w:r>
      <w:r w:rsidRPr="00925BFC">
        <w:rPr>
          <w:rFonts w:asciiTheme="minorHAnsi" w:hAnsiTheme="minorHAnsi"/>
          <w:i/>
        </w:rPr>
        <w:t>Records of the South Australian Museum</w:t>
      </w:r>
      <w:r w:rsidRPr="00925BFC">
        <w:rPr>
          <w:rFonts w:asciiTheme="minorHAnsi" w:hAnsiTheme="minorHAnsi"/>
        </w:rPr>
        <w:t xml:space="preserve"> 7: 101–110.</w:t>
      </w:r>
    </w:p>
    <w:p w14:paraId="125E4A12" w14:textId="19A48F2C" w:rsidR="00A15951" w:rsidRPr="00925BFC" w:rsidRDefault="00A15951" w:rsidP="00A15951">
      <w:pPr>
        <w:pStyle w:val="References"/>
        <w:ind w:left="284" w:hanging="284"/>
        <w:rPr>
          <w:rFonts w:asciiTheme="minorHAnsi" w:hAnsiTheme="minorHAnsi"/>
        </w:rPr>
      </w:pPr>
      <w:r w:rsidRPr="00925BFC">
        <w:rPr>
          <w:rFonts w:asciiTheme="minorHAnsi" w:hAnsiTheme="minorHAnsi"/>
        </w:rPr>
        <w:t>Pon</w:t>
      </w:r>
      <w:r>
        <w:rPr>
          <w:rFonts w:asciiTheme="minorHAnsi" w:hAnsiTheme="minorHAnsi"/>
        </w:rPr>
        <w:t xml:space="preserve">der </w:t>
      </w:r>
      <w:r w:rsidRPr="00925BFC">
        <w:rPr>
          <w:rFonts w:asciiTheme="minorHAnsi" w:hAnsiTheme="minorHAnsi"/>
        </w:rPr>
        <w:t>W</w:t>
      </w:r>
      <w:r w:rsidR="00360CB3">
        <w:rPr>
          <w:rFonts w:asciiTheme="minorHAnsi" w:hAnsiTheme="minorHAnsi"/>
        </w:rPr>
        <w:t>.</w:t>
      </w:r>
      <w:r w:rsidRPr="00925BFC">
        <w:rPr>
          <w:rFonts w:asciiTheme="minorHAnsi" w:hAnsiTheme="minorHAnsi"/>
        </w:rPr>
        <w:t>F</w:t>
      </w:r>
      <w:r>
        <w:rPr>
          <w:rFonts w:asciiTheme="minorHAnsi" w:hAnsiTheme="minorHAnsi"/>
        </w:rPr>
        <w:t xml:space="preserve"> &amp;</w:t>
      </w:r>
      <w:r w:rsidRPr="00925BFC">
        <w:rPr>
          <w:rFonts w:asciiTheme="minorHAnsi" w:hAnsiTheme="minorHAnsi"/>
        </w:rPr>
        <w:t xml:space="preserve"> Clark </w:t>
      </w:r>
      <w:r>
        <w:rPr>
          <w:rFonts w:asciiTheme="minorHAnsi" w:hAnsiTheme="minorHAnsi"/>
        </w:rPr>
        <w:t>G</w:t>
      </w:r>
      <w:r w:rsidR="00360CB3">
        <w:rPr>
          <w:rFonts w:asciiTheme="minorHAnsi" w:hAnsiTheme="minorHAnsi"/>
        </w:rPr>
        <w:t>.</w:t>
      </w:r>
      <w:r>
        <w:rPr>
          <w:rFonts w:asciiTheme="minorHAnsi" w:hAnsiTheme="minorHAnsi"/>
        </w:rPr>
        <w:t xml:space="preserve">A. (1990). </w:t>
      </w:r>
      <w:r w:rsidRPr="00925BFC">
        <w:rPr>
          <w:rFonts w:asciiTheme="minorHAnsi" w:hAnsiTheme="minorHAnsi"/>
        </w:rPr>
        <w:t xml:space="preserve">A radiation of hydrobiid Snails in threatened artesian </w:t>
      </w:r>
      <w:r>
        <w:rPr>
          <w:rFonts w:asciiTheme="minorHAnsi" w:hAnsiTheme="minorHAnsi"/>
        </w:rPr>
        <w:t>springs in western Queensland.</w:t>
      </w:r>
      <w:r w:rsidRPr="00925BFC">
        <w:rPr>
          <w:rFonts w:asciiTheme="minorHAnsi" w:hAnsiTheme="minorHAnsi"/>
        </w:rPr>
        <w:t xml:space="preserve"> </w:t>
      </w:r>
      <w:r w:rsidRPr="00CD5F3F">
        <w:rPr>
          <w:rFonts w:asciiTheme="minorHAnsi" w:hAnsiTheme="minorHAnsi"/>
          <w:i/>
        </w:rPr>
        <w:t>Records of the Australian Museum</w:t>
      </w:r>
      <w:r>
        <w:rPr>
          <w:rFonts w:asciiTheme="minorHAnsi" w:hAnsiTheme="minorHAnsi"/>
        </w:rPr>
        <w:t xml:space="preserve"> 42</w:t>
      </w:r>
      <w:r w:rsidRPr="00925BFC">
        <w:rPr>
          <w:rFonts w:asciiTheme="minorHAnsi" w:hAnsiTheme="minorHAnsi"/>
        </w:rPr>
        <w:t>: 301-363.</w:t>
      </w:r>
    </w:p>
    <w:p w14:paraId="464C4445" w14:textId="299C104E" w:rsidR="00A15951" w:rsidRPr="00925BFC" w:rsidRDefault="00A15951" w:rsidP="00A15951">
      <w:pPr>
        <w:pStyle w:val="References"/>
        <w:ind w:left="284" w:hanging="284"/>
        <w:rPr>
          <w:rFonts w:asciiTheme="minorHAnsi" w:hAnsiTheme="minorHAnsi"/>
        </w:rPr>
      </w:pPr>
      <w:r w:rsidRPr="00925BFC">
        <w:rPr>
          <w:rFonts w:asciiTheme="minorHAnsi" w:hAnsiTheme="minorHAnsi"/>
        </w:rPr>
        <w:t>Ponder W</w:t>
      </w:r>
      <w:r w:rsidR="00360CB3">
        <w:rPr>
          <w:rFonts w:asciiTheme="minorHAnsi" w:hAnsiTheme="minorHAnsi"/>
        </w:rPr>
        <w:t>.</w:t>
      </w:r>
      <w:r w:rsidRPr="00925BFC">
        <w:rPr>
          <w:rFonts w:asciiTheme="minorHAnsi" w:hAnsiTheme="minorHAnsi"/>
        </w:rPr>
        <w:t>F</w:t>
      </w:r>
      <w:r w:rsidR="00360CB3">
        <w:rPr>
          <w:rFonts w:asciiTheme="minorHAnsi" w:hAnsiTheme="minorHAnsi"/>
        </w:rPr>
        <w:t>.</w:t>
      </w:r>
      <w:r w:rsidRPr="00925BFC">
        <w:rPr>
          <w:rFonts w:asciiTheme="minorHAnsi" w:hAnsiTheme="minorHAnsi"/>
        </w:rPr>
        <w:t xml:space="preserve">, Hershler </w:t>
      </w:r>
      <w:r>
        <w:rPr>
          <w:rFonts w:asciiTheme="minorHAnsi" w:hAnsiTheme="minorHAnsi"/>
        </w:rPr>
        <w:t>R</w:t>
      </w:r>
      <w:r w:rsidR="00360CB3">
        <w:rPr>
          <w:rFonts w:asciiTheme="minorHAnsi" w:hAnsiTheme="minorHAnsi"/>
        </w:rPr>
        <w:t>.</w:t>
      </w:r>
      <w:r>
        <w:rPr>
          <w:rFonts w:asciiTheme="minorHAnsi" w:hAnsiTheme="minorHAnsi"/>
        </w:rPr>
        <w:t xml:space="preserve"> &amp; </w:t>
      </w:r>
      <w:r w:rsidRPr="00925BFC">
        <w:rPr>
          <w:rFonts w:asciiTheme="minorHAnsi" w:hAnsiTheme="minorHAnsi"/>
        </w:rPr>
        <w:t xml:space="preserve">Jenkins </w:t>
      </w:r>
      <w:r>
        <w:rPr>
          <w:rFonts w:asciiTheme="minorHAnsi" w:hAnsiTheme="minorHAnsi"/>
        </w:rPr>
        <w:t xml:space="preserve">B. (1989). </w:t>
      </w:r>
      <w:r w:rsidRPr="00925BFC">
        <w:rPr>
          <w:rFonts w:asciiTheme="minorHAnsi" w:hAnsiTheme="minorHAnsi"/>
        </w:rPr>
        <w:t>An endemic radiation of Hydrobiid snails from Artesian Springs in Northern South Australia - their taxonomy, physio</w:t>
      </w:r>
      <w:r>
        <w:rPr>
          <w:rFonts w:asciiTheme="minorHAnsi" w:hAnsiTheme="minorHAnsi"/>
        </w:rPr>
        <w:t xml:space="preserve">logy, distribution and anatomy. </w:t>
      </w:r>
      <w:r w:rsidRPr="00CD5F3F">
        <w:rPr>
          <w:rFonts w:asciiTheme="minorHAnsi" w:hAnsiTheme="minorHAnsi"/>
          <w:i/>
        </w:rPr>
        <w:t>Malacologia</w:t>
      </w:r>
      <w:r>
        <w:rPr>
          <w:rFonts w:asciiTheme="minorHAnsi" w:hAnsiTheme="minorHAnsi"/>
        </w:rPr>
        <w:t xml:space="preserve"> 31</w:t>
      </w:r>
      <w:r w:rsidRPr="00925BFC">
        <w:rPr>
          <w:rFonts w:asciiTheme="minorHAnsi" w:hAnsiTheme="minorHAnsi"/>
        </w:rPr>
        <w:t>: 1-140.</w:t>
      </w:r>
    </w:p>
    <w:p w14:paraId="76E3D997" w14:textId="4DED7831" w:rsidR="00A15951" w:rsidRPr="00925BFC" w:rsidRDefault="00A15951" w:rsidP="00A15951">
      <w:pPr>
        <w:pStyle w:val="References"/>
        <w:ind w:left="284" w:hanging="284"/>
        <w:rPr>
          <w:rFonts w:asciiTheme="minorHAnsi" w:hAnsiTheme="minorHAnsi"/>
        </w:rPr>
      </w:pPr>
      <w:r>
        <w:rPr>
          <w:rFonts w:asciiTheme="minorHAnsi" w:hAnsiTheme="minorHAnsi"/>
        </w:rPr>
        <w:t>Ponder</w:t>
      </w:r>
      <w:r w:rsidRPr="00925BFC">
        <w:rPr>
          <w:rFonts w:asciiTheme="minorHAnsi" w:hAnsiTheme="minorHAnsi"/>
        </w:rPr>
        <w:t xml:space="preserve"> W</w:t>
      </w:r>
      <w:r w:rsidR="00360CB3">
        <w:rPr>
          <w:rFonts w:asciiTheme="minorHAnsi" w:hAnsiTheme="minorHAnsi"/>
        </w:rPr>
        <w:t>.</w:t>
      </w:r>
      <w:r w:rsidRPr="00925BFC">
        <w:rPr>
          <w:rFonts w:asciiTheme="minorHAnsi" w:hAnsiTheme="minorHAnsi"/>
        </w:rPr>
        <w:t>F</w:t>
      </w:r>
      <w:r w:rsidR="00360CB3">
        <w:rPr>
          <w:rFonts w:asciiTheme="minorHAnsi" w:hAnsiTheme="minorHAnsi"/>
        </w:rPr>
        <w:t>.</w:t>
      </w:r>
      <w:r w:rsidRPr="00925BFC">
        <w:rPr>
          <w:rFonts w:asciiTheme="minorHAnsi" w:hAnsiTheme="minorHAnsi"/>
        </w:rPr>
        <w:t>, Eggler</w:t>
      </w:r>
      <w:r>
        <w:rPr>
          <w:rFonts w:asciiTheme="minorHAnsi" w:hAnsiTheme="minorHAnsi"/>
        </w:rPr>
        <w:t xml:space="preserve"> P</w:t>
      </w:r>
      <w:r w:rsidR="00360CB3">
        <w:rPr>
          <w:rFonts w:asciiTheme="minorHAnsi" w:hAnsiTheme="minorHAnsi"/>
        </w:rPr>
        <w:t>.</w:t>
      </w:r>
      <w:r>
        <w:rPr>
          <w:rFonts w:asciiTheme="minorHAnsi" w:hAnsiTheme="minorHAnsi"/>
        </w:rPr>
        <w:t xml:space="preserve"> &amp; </w:t>
      </w:r>
      <w:r w:rsidRPr="00925BFC">
        <w:rPr>
          <w:rFonts w:asciiTheme="minorHAnsi" w:hAnsiTheme="minorHAnsi"/>
        </w:rPr>
        <w:t xml:space="preserve">Colgan </w:t>
      </w:r>
      <w:r>
        <w:rPr>
          <w:rFonts w:asciiTheme="minorHAnsi" w:hAnsiTheme="minorHAnsi"/>
        </w:rPr>
        <w:t>D</w:t>
      </w:r>
      <w:r w:rsidR="00360CB3">
        <w:rPr>
          <w:rFonts w:asciiTheme="minorHAnsi" w:hAnsiTheme="minorHAnsi"/>
        </w:rPr>
        <w:t>.</w:t>
      </w:r>
      <w:r>
        <w:rPr>
          <w:rFonts w:asciiTheme="minorHAnsi" w:hAnsiTheme="minorHAnsi"/>
        </w:rPr>
        <w:t xml:space="preserve">J. (1995). </w:t>
      </w:r>
      <w:r w:rsidRPr="00925BFC">
        <w:rPr>
          <w:rFonts w:asciiTheme="minorHAnsi" w:hAnsiTheme="minorHAnsi"/>
        </w:rPr>
        <w:t>Genetic differentiation of aquatic snails (Gastropoda:Hydrobiidae) from arte</w:t>
      </w:r>
      <w:r>
        <w:rPr>
          <w:rFonts w:asciiTheme="minorHAnsi" w:hAnsiTheme="minorHAnsi"/>
        </w:rPr>
        <w:t>sian springs in arid Australia.</w:t>
      </w:r>
      <w:r w:rsidRPr="00925BFC">
        <w:rPr>
          <w:rFonts w:asciiTheme="minorHAnsi" w:hAnsiTheme="minorHAnsi"/>
        </w:rPr>
        <w:t xml:space="preserve"> </w:t>
      </w:r>
      <w:r w:rsidRPr="00CD5F3F">
        <w:rPr>
          <w:rFonts w:asciiTheme="minorHAnsi" w:hAnsiTheme="minorHAnsi"/>
          <w:i/>
        </w:rPr>
        <w:t>Biological Journal of the Linnean Society</w:t>
      </w:r>
      <w:r>
        <w:rPr>
          <w:rFonts w:asciiTheme="minorHAnsi" w:hAnsiTheme="minorHAnsi"/>
        </w:rPr>
        <w:t xml:space="preserve"> 56</w:t>
      </w:r>
      <w:r w:rsidRPr="00925BFC">
        <w:rPr>
          <w:rFonts w:asciiTheme="minorHAnsi" w:hAnsiTheme="minorHAnsi"/>
        </w:rPr>
        <w:t>: 553-596.</w:t>
      </w:r>
    </w:p>
    <w:p w14:paraId="1E1F5D7C" w14:textId="7BA0F52B" w:rsidR="00A15951" w:rsidRPr="00925BFC" w:rsidRDefault="00A15951" w:rsidP="00A15951">
      <w:pPr>
        <w:pStyle w:val="References"/>
        <w:ind w:left="284" w:hanging="284"/>
        <w:rPr>
          <w:rFonts w:asciiTheme="minorHAnsi" w:hAnsiTheme="minorHAnsi"/>
        </w:rPr>
      </w:pPr>
      <w:r w:rsidRPr="00925BFC">
        <w:rPr>
          <w:rFonts w:asciiTheme="minorHAnsi" w:hAnsiTheme="minorHAnsi"/>
        </w:rPr>
        <w:t>Ponder W</w:t>
      </w:r>
      <w:r w:rsidR="00360CB3">
        <w:rPr>
          <w:rFonts w:asciiTheme="minorHAnsi" w:hAnsiTheme="minorHAnsi"/>
        </w:rPr>
        <w:t>.</w:t>
      </w:r>
      <w:r w:rsidRPr="00925BFC">
        <w:rPr>
          <w:rFonts w:asciiTheme="minorHAnsi" w:hAnsiTheme="minorHAnsi"/>
        </w:rPr>
        <w:t xml:space="preserve">, Vial </w:t>
      </w:r>
      <w:r>
        <w:rPr>
          <w:rFonts w:asciiTheme="minorHAnsi" w:hAnsiTheme="minorHAnsi"/>
        </w:rPr>
        <w:t>M</w:t>
      </w:r>
      <w:r w:rsidR="00360CB3">
        <w:rPr>
          <w:rFonts w:asciiTheme="minorHAnsi" w:hAnsiTheme="minorHAnsi"/>
        </w:rPr>
        <w:t>.</w:t>
      </w:r>
      <w:r>
        <w:rPr>
          <w:rFonts w:asciiTheme="minorHAnsi" w:hAnsiTheme="minorHAnsi"/>
        </w:rPr>
        <w:t xml:space="preserve"> &amp; </w:t>
      </w:r>
      <w:r w:rsidRPr="00925BFC">
        <w:rPr>
          <w:rFonts w:asciiTheme="minorHAnsi" w:hAnsiTheme="minorHAnsi"/>
        </w:rPr>
        <w:t xml:space="preserve">Jefferys </w:t>
      </w:r>
      <w:r>
        <w:rPr>
          <w:rFonts w:asciiTheme="minorHAnsi" w:hAnsiTheme="minorHAnsi"/>
        </w:rPr>
        <w:t xml:space="preserve">E. </w:t>
      </w:r>
      <w:r w:rsidRPr="00925BFC">
        <w:rPr>
          <w:rFonts w:asciiTheme="minorHAnsi" w:hAnsiTheme="minorHAnsi"/>
        </w:rPr>
        <w:t>(2010). The aquatic macroinvertebrates in the springs on Edgbaston Station, Queensland, Queensland Museum.</w:t>
      </w:r>
    </w:p>
    <w:p w14:paraId="3452199E" w14:textId="3E0E6971" w:rsidR="00A15951" w:rsidRPr="00925BFC" w:rsidRDefault="00A15951" w:rsidP="00A15951">
      <w:pPr>
        <w:pStyle w:val="References"/>
        <w:ind w:left="284" w:hanging="284"/>
        <w:rPr>
          <w:rFonts w:asciiTheme="minorHAnsi" w:hAnsiTheme="minorHAnsi"/>
        </w:rPr>
      </w:pPr>
      <w:r w:rsidRPr="00925BFC">
        <w:rPr>
          <w:rFonts w:asciiTheme="minorHAnsi" w:hAnsiTheme="minorHAnsi"/>
        </w:rPr>
        <w:t>Ponder W</w:t>
      </w:r>
      <w:r w:rsidR="00360CB3">
        <w:rPr>
          <w:rFonts w:asciiTheme="minorHAnsi" w:hAnsiTheme="minorHAnsi"/>
        </w:rPr>
        <w:t>.</w:t>
      </w:r>
      <w:r w:rsidRPr="00925BFC">
        <w:rPr>
          <w:rFonts w:asciiTheme="minorHAnsi" w:hAnsiTheme="minorHAnsi"/>
        </w:rPr>
        <w:t>F</w:t>
      </w:r>
      <w:r w:rsidR="00360CB3">
        <w:rPr>
          <w:rFonts w:asciiTheme="minorHAnsi" w:hAnsiTheme="minorHAnsi"/>
        </w:rPr>
        <w:t>.</w:t>
      </w:r>
      <w:r w:rsidRPr="00925BFC">
        <w:rPr>
          <w:rFonts w:asciiTheme="minorHAnsi" w:hAnsiTheme="minorHAnsi"/>
        </w:rPr>
        <w:t>, Hallan A</w:t>
      </w:r>
      <w:r w:rsidR="00360CB3">
        <w:rPr>
          <w:rFonts w:asciiTheme="minorHAnsi" w:hAnsiTheme="minorHAnsi"/>
        </w:rPr>
        <w:t>.</w:t>
      </w:r>
      <w:r w:rsidRPr="00925BFC">
        <w:rPr>
          <w:rFonts w:asciiTheme="minorHAnsi" w:hAnsiTheme="minorHAnsi"/>
        </w:rPr>
        <w:t>, Shea M</w:t>
      </w:r>
      <w:r w:rsidR="00360CB3">
        <w:rPr>
          <w:rFonts w:asciiTheme="minorHAnsi" w:hAnsiTheme="minorHAnsi"/>
        </w:rPr>
        <w:t>.</w:t>
      </w:r>
      <w:r>
        <w:rPr>
          <w:rFonts w:asciiTheme="minorHAnsi" w:hAnsiTheme="minorHAnsi"/>
        </w:rPr>
        <w:t xml:space="preserve"> &amp; </w:t>
      </w:r>
      <w:r w:rsidRPr="00925BFC">
        <w:rPr>
          <w:rFonts w:asciiTheme="minorHAnsi" w:hAnsiTheme="minorHAnsi"/>
        </w:rPr>
        <w:t>Clark S</w:t>
      </w:r>
      <w:r w:rsidR="00360CB3">
        <w:rPr>
          <w:rFonts w:asciiTheme="minorHAnsi" w:hAnsiTheme="minorHAnsi"/>
        </w:rPr>
        <w:t>.</w:t>
      </w:r>
      <w:r w:rsidRPr="00925BFC">
        <w:rPr>
          <w:rFonts w:asciiTheme="minorHAnsi" w:hAnsiTheme="minorHAnsi"/>
        </w:rPr>
        <w:t xml:space="preserve">A. (2016). Key to Australian Freshwater Molluscs. </w:t>
      </w:r>
      <w:hyperlink r:id="rId226" w:history="1">
        <w:r w:rsidRPr="00925BFC">
          <w:rPr>
            <w:rStyle w:val="Hyperlink"/>
            <w:rFonts w:asciiTheme="minorHAnsi" w:hAnsiTheme="minorHAnsi"/>
          </w:rPr>
          <w:t>http://keys.lucidcentral.org/keys/v3/freshwater_molluscs/</w:t>
        </w:r>
      </w:hyperlink>
    </w:p>
    <w:p w14:paraId="4CAD8562" w14:textId="11059207" w:rsidR="00A15951" w:rsidRPr="00925BFC" w:rsidRDefault="00A15951" w:rsidP="00A15951">
      <w:pPr>
        <w:pStyle w:val="References"/>
        <w:ind w:left="284" w:hanging="284"/>
        <w:rPr>
          <w:rFonts w:asciiTheme="minorHAnsi" w:hAnsiTheme="minorHAnsi"/>
        </w:rPr>
      </w:pPr>
      <w:r w:rsidRPr="00925BFC">
        <w:rPr>
          <w:rFonts w:asciiTheme="minorHAnsi" w:hAnsiTheme="minorHAnsi"/>
        </w:rPr>
        <w:t>Ponder W</w:t>
      </w:r>
      <w:r w:rsidR="00360CB3">
        <w:rPr>
          <w:rFonts w:asciiTheme="minorHAnsi" w:hAnsiTheme="minorHAnsi"/>
        </w:rPr>
        <w:t>.</w:t>
      </w:r>
      <w:r w:rsidRPr="00925BFC">
        <w:rPr>
          <w:rFonts w:asciiTheme="minorHAnsi" w:hAnsiTheme="minorHAnsi"/>
        </w:rPr>
        <w:t>F</w:t>
      </w:r>
      <w:r w:rsidR="00360CB3">
        <w:rPr>
          <w:rFonts w:asciiTheme="minorHAnsi" w:hAnsiTheme="minorHAnsi"/>
        </w:rPr>
        <w:t>.</w:t>
      </w:r>
      <w:r w:rsidRPr="00925BFC">
        <w:rPr>
          <w:rFonts w:asciiTheme="minorHAnsi" w:hAnsiTheme="minorHAnsi"/>
        </w:rPr>
        <w:t>, Wilke</w:t>
      </w:r>
      <w:r>
        <w:rPr>
          <w:rFonts w:asciiTheme="minorHAnsi" w:hAnsiTheme="minorHAnsi"/>
        </w:rPr>
        <w:t xml:space="preserve"> T</w:t>
      </w:r>
      <w:r w:rsidR="00360CB3">
        <w:rPr>
          <w:rFonts w:asciiTheme="minorHAnsi" w:hAnsiTheme="minorHAnsi"/>
        </w:rPr>
        <w:t>.</w:t>
      </w:r>
      <w:r w:rsidRPr="00925BFC">
        <w:rPr>
          <w:rFonts w:asciiTheme="minorHAnsi" w:hAnsiTheme="minorHAnsi"/>
        </w:rPr>
        <w:t>, Zhang</w:t>
      </w:r>
      <w:r>
        <w:rPr>
          <w:rFonts w:asciiTheme="minorHAnsi" w:hAnsiTheme="minorHAnsi"/>
        </w:rPr>
        <w:t xml:space="preserve"> W</w:t>
      </w:r>
      <w:r w:rsidR="00360CB3">
        <w:rPr>
          <w:rFonts w:asciiTheme="minorHAnsi" w:hAnsiTheme="minorHAnsi"/>
        </w:rPr>
        <w:t>.</w:t>
      </w:r>
      <w:r>
        <w:rPr>
          <w:rFonts w:asciiTheme="minorHAnsi" w:hAnsiTheme="minorHAnsi"/>
        </w:rPr>
        <w:t>H</w:t>
      </w:r>
      <w:r w:rsidR="00360CB3">
        <w:rPr>
          <w:rFonts w:asciiTheme="minorHAnsi" w:hAnsiTheme="minorHAnsi"/>
        </w:rPr>
        <w:t>.</w:t>
      </w:r>
      <w:r w:rsidRPr="00925BFC">
        <w:rPr>
          <w:rFonts w:asciiTheme="minorHAnsi" w:hAnsiTheme="minorHAnsi"/>
        </w:rPr>
        <w:t>, Golding</w:t>
      </w:r>
      <w:r>
        <w:rPr>
          <w:rFonts w:asciiTheme="minorHAnsi" w:hAnsiTheme="minorHAnsi"/>
        </w:rPr>
        <w:t xml:space="preserve"> R</w:t>
      </w:r>
      <w:r w:rsidR="00A958F5">
        <w:rPr>
          <w:rFonts w:asciiTheme="minorHAnsi" w:hAnsiTheme="minorHAnsi"/>
        </w:rPr>
        <w:t>.</w:t>
      </w:r>
      <w:r>
        <w:rPr>
          <w:rFonts w:asciiTheme="minorHAnsi" w:hAnsiTheme="minorHAnsi"/>
        </w:rPr>
        <w:t>E</w:t>
      </w:r>
      <w:r w:rsidR="00A958F5">
        <w:rPr>
          <w:rFonts w:asciiTheme="minorHAnsi" w:hAnsiTheme="minorHAnsi"/>
        </w:rPr>
        <w:t>.</w:t>
      </w:r>
      <w:r w:rsidRPr="00925BFC">
        <w:rPr>
          <w:rFonts w:asciiTheme="minorHAnsi" w:hAnsiTheme="minorHAnsi"/>
        </w:rPr>
        <w:t xml:space="preserve">, Fukuda </w:t>
      </w:r>
      <w:r>
        <w:rPr>
          <w:rFonts w:asciiTheme="minorHAnsi" w:hAnsiTheme="minorHAnsi"/>
        </w:rPr>
        <w:t xml:space="preserve">H. &amp; </w:t>
      </w:r>
      <w:r w:rsidRPr="00925BFC">
        <w:rPr>
          <w:rFonts w:asciiTheme="minorHAnsi" w:hAnsiTheme="minorHAnsi"/>
        </w:rPr>
        <w:t xml:space="preserve">Mason </w:t>
      </w:r>
      <w:r>
        <w:rPr>
          <w:rFonts w:asciiTheme="minorHAnsi" w:hAnsiTheme="minorHAnsi"/>
        </w:rPr>
        <w:t>R</w:t>
      </w:r>
      <w:r w:rsidR="00A958F5">
        <w:rPr>
          <w:rFonts w:asciiTheme="minorHAnsi" w:hAnsiTheme="minorHAnsi"/>
        </w:rPr>
        <w:t>.</w:t>
      </w:r>
      <w:r>
        <w:rPr>
          <w:rFonts w:asciiTheme="minorHAnsi" w:hAnsiTheme="minorHAnsi"/>
        </w:rPr>
        <w:t>A</w:t>
      </w:r>
      <w:r w:rsidR="00A958F5">
        <w:rPr>
          <w:rFonts w:asciiTheme="minorHAnsi" w:hAnsiTheme="minorHAnsi"/>
        </w:rPr>
        <w:t>.</w:t>
      </w:r>
      <w:r>
        <w:rPr>
          <w:rFonts w:asciiTheme="minorHAnsi" w:hAnsiTheme="minorHAnsi"/>
        </w:rPr>
        <w:t xml:space="preserve">B. (2008). </w:t>
      </w:r>
      <w:r w:rsidRPr="00CD5F3F">
        <w:rPr>
          <w:rFonts w:asciiTheme="minorHAnsi" w:hAnsiTheme="minorHAnsi"/>
          <w:i/>
        </w:rPr>
        <w:t>Edgbastonia alanwillsi</w:t>
      </w:r>
      <w:r w:rsidRPr="00925BFC">
        <w:rPr>
          <w:rFonts w:asciiTheme="minorHAnsi" w:hAnsiTheme="minorHAnsi"/>
        </w:rPr>
        <w:t xml:space="preserve"> n. gen &amp; n. sp (Tateinae : Hydrobiidae s.l.: Rissooidea : Caenogastropoda); a snail from an artesian spring group in western Queensland, Australia, convergent with some Asian Amnicolidae. </w:t>
      </w:r>
      <w:r w:rsidRPr="00CD5F3F">
        <w:rPr>
          <w:rFonts w:asciiTheme="minorHAnsi" w:hAnsiTheme="minorHAnsi"/>
          <w:i/>
        </w:rPr>
        <w:t>Molluscan Research</w:t>
      </w:r>
      <w:r w:rsidRPr="00925BFC">
        <w:rPr>
          <w:rFonts w:asciiTheme="minorHAnsi" w:hAnsiTheme="minorHAnsi"/>
        </w:rPr>
        <w:t xml:space="preserve"> 28(2): 89-106.</w:t>
      </w:r>
    </w:p>
    <w:p w14:paraId="37E2E947" w14:textId="638A7E68" w:rsidR="00A15951" w:rsidRPr="00925BFC" w:rsidRDefault="00A15951" w:rsidP="00A15951">
      <w:pPr>
        <w:pStyle w:val="References"/>
        <w:ind w:left="284" w:hanging="284"/>
        <w:rPr>
          <w:rFonts w:asciiTheme="minorHAnsi" w:hAnsiTheme="minorHAnsi"/>
        </w:rPr>
      </w:pPr>
      <w:r w:rsidRPr="00925BFC">
        <w:rPr>
          <w:rFonts w:asciiTheme="minorHAnsi" w:hAnsiTheme="minorHAnsi"/>
        </w:rPr>
        <w:t>Powell O</w:t>
      </w:r>
      <w:r w:rsidR="00A958F5">
        <w:rPr>
          <w:rFonts w:asciiTheme="minorHAnsi" w:hAnsiTheme="minorHAnsi"/>
        </w:rPr>
        <w:t>.</w:t>
      </w:r>
      <w:r w:rsidRPr="00925BFC">
        <w:rPr>
          <w:rFonts w:asciiTheme="minorHAnsi" w:hAnsiTheme="minorHAnsi"/>
        </w:rPr>
        <w:t xml:space="preserve">, Silcock </w:t>
      </w:r>
      <w:r>
        <w:rPr>
          <w:rFonts w:asciiTheme="minorHAnsi" w:hAnsiTheme="minorHAnsi"/>
        </w:rPr>
        <w:t>J</w:t>
      </w:r>
      <w:r w:rsidR="00A958F5">
        <w:rPr>
          <w:rFonts w:asciiTheme="minorHAnsi" w:hAnsiTheme="minorHAnsi"/>
        </w:rPr>
        <w:t>.</w:t>
      </w:r>
      <w:r>
        <w:rPr>
          <w:rFonts w:asciiTheme="minorHAnsi" w:hAnsiTheme="minorHAnsi"/>
        </w:rPr>
        <w:t xml:space="preserve"> &amp; </w:t>
      </w:r>
      <w:r w:rsidRPr="00925BFC">
        <w:rPr>
          <w:rFonts w:asciiTheme="minorHAnsi" w:hAnsiTheme="minorHAnsi"/>
        </w:rPr>
        <w:t xml:space="preserve">Fensham </w:t>
      </w:r>
      <w:r>
        <w:rPr>
          <w:rFonts w:asciiTheme="minorHAnsi" w:hAnsiTheme="minorHAnsi"/>
        </w:rPr>
        <w:t xml:space="preserve">R. (2015). </w:t>
      </w:r>
      <w:r w:rsidRPr="00925BFC">
        <w:rPr>
          <w:rFonts w:asciiTheme="minorHAnsi" w:hAnsiTheme="minorHAnsi"/>
        </w:rPr>
        <w:t>Oases to Oblivion: The Rapid Demise of Springs in the South-Eastern G</w:t>
      </w:r>
      <w:r>
        <w:rPr>
          <w:rFonts w:asciiTheme="minorHAnsi" w:hAnsiTheme="minorHAnsi"/>
        </w:rPr>
        <w:t xml:space="preserve">reat Artesian Basin, Australia. </w:t>
      </w:r>
      <w:r w:rsidRPr="00CD5F3F">
        <w:rPr>
          <w:rFonts w:asciiTheme="minorHAnsi" w:hAnsiTheme="minorHAnsi"/>
          <w:i/>
        </w:rPr>
        <w:t>Groundwater</w:t>
      </w:r>
      <w:r>
        <w:rPr>
          <w:rFonts w:asciiTheme="minorHAnsi" w:hAnsiTheme="minorHAnsi"/>
        </w:rPr>
        <w:t xml:space="preserve"> 53</w:t>
      </w:r>
      <w:r w:rsidRPr="00925BFC">
        <w:rPr>
          <w:rFonts w:asciiTheme="minorHAnsi" w:hAnsiTheme="minorHAnsi"/>
        </w:rPr>
        <w:t>: 171-178.</w:t>
      </w:r>
    </w:p>
    <w:p w14:paraId="171C191E" w14:textId="77777777" w:rsidR="00A15951" w:rsidRPr="00925BFC" w:rsidRDefault="00A15951" w:rsidP="00A15951">
      <w:pPr>
        <w:pStyle w:val="References"/>
        <w:ind w:left="284" w:hanging="284"/>
        <w:rPr>
          <w:rFonts w:asciiTheme="minorHAnsi" w:hAnsiTheme="minorHAnsi"/>
        </w:rPr>
      </w:pPr>
      <w:r>
        <w:rPr>
          <w:rFonts w:asciiTheme="minorHAnsi" w:hAnsiTheme="minorHAnsi"/>
        </w:rPr>
        <w:t>Pyke G</w:t>
      </w:r>
      <w:r w:rsidRPr="00925BFC">
        <w:rPr>
          <w:rFonts w:asciiTheme="minorHAnsi" w:hAnsiTheme="minorHAnsi"/>
        </w:rPr>
        <w:t xml:space="preserve">H. (2008). Plague minnow or mosquito fish? A review of the biology and impacts of introduced </w:t>
      </w:r>
      <w:r w:rsidRPr="00925BFC">
        <w:rPr>
          <w:rFonts w:asciiTheme="minorHAnsi" w:hAnsiTheme="minorHAnsi"/>
          <w:i/>
        </w:rPr>
        <w:t>Gambusia</w:t>
      </w:r>
      <w:r w:rsidRPr="00925BFC">
        <w:rPr>
          <w:rFonts w:asciiTheme="minorHAnsi" w:hAnsiTheme="minorHAnsi"/>
        </w:rPr>
        <w:t xml:space="preserve"> species. </w:t>
      </w:r>
      <w:r w:rsidRPr="00CD5F3F">
        <w:rPr>
          <w:rFonts w:asciiTheme="minorHAnsi" w:hAnsiTheme="minorHAnsi"/>
          <w:i/>
        </w:rPr>
        <w:t>Annual Review of Ecology, Evolution, and Systematics</w:t>
      </w:r>
      <w:r w:rsidRPr="00925BFC">
        <w:rPr>
          <w:rFonts w:asciiTheme="minorHAnsi" w:hAnsiTheme="minorHAnsi"/>
        </w:rPr>
        <w:t xml:space="preserve"> 39: 171-191.</w:t>
      </w:r>
    </w:p>
    <w:p w14:paraId="2BFC62F3" w14:textId="77777777" w:rsidR="00A15951" w:rsidRPr="00925BFC" w:rsidRDefault="00A15951" w:rsidP="00A15951">
      <w:pPr>
        <w:pStyle w:val="References"/>
        <w:ind w:left="284" w:hanging="284"/>
        <w:rPr>
          <w:rFonts w:asciiTheme="minorHAnsi" w:hAnsiTheme="minorHAnsi"/>
        </w:rPr>
      </w:pPr>
      <w:r w:rsidRPr="00925BFC">
        <w:rPr>
          <w:rFonts w:asciiTheme="minorHAnsi" w:hAnsiTheme="minorHAnsi"/>
        </w:rPr>
        <w:t xml:space="preserve">R Core Team (2016). R: A language and environment for statistical computing. R Foundation for Statistical Computing, Vienna, Austria.  </w:t>
      </w:r>
      <w:hyperlink r:id="rId227" w:history="1">
        <w:r w:rsidRPr="00B406C4">
          <w:rPr>
            <w:rStyle w:val="Hyperlink"/>
            <w:rFonts w:asciiTheme="minorHAnsi" w:hAnsiTheme="minorHAnsi"/>
          </w:rPr>
          <w:t>https://www.R-project.org/</w:t>
        </w:r>
      </w:hyperlink>
    </w:p>
    <w:p w14:paraId="0C6CCFF5" w14:textId="07B960EE" w:rsidR="00A15951" w:rsidRPr="00925BFC" w:rsidRDefault="00A15951" w:rsidP="00A15951">
      <w:pPr>
        <w:pStyle w:val="References"/>
        <w:ind w:left="284" w:hanging="284"/>
        <w:rPr>
          <w:rFonts w:asciiTheme="minorHAnsi" w:hAnsiTheme="minorHAnsi"/>
        </w:rPr>
      </w:pPr>
      <w:r w:rsidRPr="00925BFC">
        <w:rPr>
          <w:rFonts w:asciiTheme="minorHAnsi" w:hAnsiTheme="minorHAnsi"/>
        </w:rPr>
        <w:t>Rebelo A</w:t>
      </w:r>
      <w:r w:rsidR="00A958F5">
        <w:rPr>
          <w:rFonts w:asciiTheme="minorHAnsi" w:hAnsiTheme="minorHAnsi"/>
        </w:rPr>
        <w:t>.</w:t>
      </w:r>
      <w:r w:rsidRPr="00925BFC">
        <w:rPr>
          <w:rFonts w:asciiTheme="minorHAnsi" w:hAnsiTheme="minorHAnsi"/>
        </w:rPr>
        <w:t>G</w:t>
      </w:r>
      <w:r w:rsidR="00A958F5">
        <w:rPr>
          <w:rFonts w:asciiTheme="minorHAnsi" w:hAnsiTheme="minorHAnsi"/>
        </w:rPr>
        <w:t>.</w:t>
      </w:r>
      <w:r w:rsidRPr="00925BFC">
        <w:rPr>
          <w:rFonts w:asciiTheme="minorHAnsi" w:hAnsiTheme="minorHAnsi"/>
        </w:rPr>
        <w:t xml:space="preserve"> &amp; Siegfried W</w:t>
      </w:r>
      <w:r w:rsidR="00A958F5">
        <w:rPr>
          <w:rFonts w:asciiTheme="minorHAnsi" w:hAnsiTheme="minorHAnsi"/>
        </w:rPr>
        <w:t>.</w:t>
      </w:r>
      <w:r w:rsidRPr="00925BFC">
        <w:rPr>
          <w:rFonts w:asciiTheme="minorHAnsi" w:hAnsiTheme="minorHAnsi"/>
        </w:rPr>
        <w:t xml:space="preserve">R. (1992). Where should nature reserves be located in the Cape Floristic Region, South Africa? Models for the spatial configuration of a reserve network aimed at maximizing the protection of floral diversity. </w:t>
      </w:r>
      <w:r w:rsidRPr="00925BFC">
        <w:rPr>
          <w:rFonts w:asciiTheme="minorHAnsi" w:hAnsiTheme="minorHAnsi"/>
          <w:i/>
        </w:rPr>
        <w:t>Conservation Biology</w:t>
      </w:r>
      <w:r w:rsidRPr="00925BFC">
        <w:rPr>
          <w:rFonts w:asciiTheme="minorHAnsi" w:hAnsiTheme="minorHAnsi"/>
        </w:rPr>
        <w:t xml:space="preserve"> 6: 243-252.</w:t>
      </w:r>
    </w:p>
    <w:p w14:paraId="4572AF03" w14:textId="50005A9D" w:rsidR="00A15951" w:rsidRPr="00925BFC" w:rsidRDefault="00A15951" w:rsidP="00A15951">
      <w:pPr>
        <w:pStyle w:val="References"/>
        <w:ind w:left="284" w:hanging="284"/>
        <w:rPr>
          <w:rFonts w:asciiTheme="minorHAnsi" w:hAnsiTheme="minorHAnsi"/>
        </w:rPr>
      </w:pPr>
      <w:r w:rsidRPr="00925BFC">
        <w:rPr>
          <w:rFonts w:asciiTheme="minorHAnsi" w:hAnsiTheme="minorHAnsi"/>
        </w:rPr>
        <w:t>Regan H</w:t>
      </w:r>
      <w:r w:rsidR="00A958F5">
        <w:rPr>
          <w:rFonts w:asciiTheme="minorHAnsi" w:hAnsiTheme="minorHAnsi"/>
        </w:rPr>
        <w:t>.</w:t>
      </w:r>
      <w:r w:rsidRPr="00925BFC">
        <w:rPr>
          <w:rFonts w:asciiTheme="minorHAnsi" w:hAnsiTheme="minorHAnsi"/>
        </w:rPr>
        <w:t>M</w:t>
      </w:r>
      <w:r w:rsidR="00A958F5">
        <w:rPr>
          <w:rFonts w:asciiTheme="minorHAnsi" w:hAnsiTheme="minorHAnsi"/>
        </w:rPr>
        <w:t>.</w:t>
      </w:r>
      <w:r w:rsidRPr="00925BFC">
        <w:rPr>
          <w:rFonts w:asciiTheme="minorHAnsi" w:hAnsiTheme="minorHAnsi"/>
        </w:rPr>
        <w:t>, Colyvan M</w:t>
      </w:r>
      <w:r w:rsidR="00A958F5">
        <w:rPr>
          <w:rFonts w:asciiTheme="minorHAnsi" w:hAnsiTheme="minorHAnsi"/>
        </w:rPr>
        <w:t>.</w:t>
      </w:r>
      <w:r>
        <w:rPr>
          <w:rFonts w:asciiTheme="minorHAnsi" w:hAnsiTheme="minorHAnsi"/>
        </w:rPr>
        <w:t xml:space="preserve"> &amp;</w:t>
      </w:r>
      <w:r w:rsidRPr="00925BFC">
        <w:rPr>
          <w:rFonts w:asciiTheme="minorHAnsi" w:hAnsiTheme="minorHAnsi"/>
        </w:rPr>
        <w:t xml:space="preserve"> Burgman M</w:t>
      </w:r>
      <w:r w:rsidR="00A958F5">
        <w:rPr>
          <w:rFonts w:asciiTheme="minorHAnsi" w:hAnsiTheme="minorHAnsi"/>
        </w:rPr>
        <w:t>.</w:t>
      </w:r>
      <w:r w:rsidRPr="00925BFC">
        <w:rPr>
          <w:rFonts w:asciiTheme="minorHAnsi" w:hAnsiTheme="minorHAnsi"/>
        </w:rPr>
        <w:t xml:space="preserve">A. (2002). A taxonomy and treatment of uncertainty for ecology and conservation biology. </w:t>
      </w:r>
      <w:r w:rsidRPr="00925BFC">
        <w:rPr>
          <w:rFonts w:asciiTheme="minorHAnsi" w:hAnsiTheme="minorHAnsi"/>
          <w:i/>
        </w:rPr>
        <w:t>Ecological Applications</w:t>
      </w:r>
      <w:r w:rsidRPr="00925BFC">
        <w:rPr>
          <w:rFonts w:asciiTheme="minorHAnsi" w:hAnsiTheme="minorHAnsi"/>
        </w:rPr>
        <w:t xml:space="preserve"> 12: 618-628.</w:t>
      </w:r>
    </w:p>
    <w:p w14:paraId="5BB0EB18" w14:textId="2C79D0BC" w:rsidR="00A15951" w:rsidRPr="00925BFC" w:rsidRDefault="00A15951" w:rsidP="00A15951">
      <w:pPr>
        <w:pStyle w:val="References"/>
        <w:ind w:left="284" w:hanging="284"/>
        <w:rPr>
          <w:rFonts w:asciiTheme="minorHAnsi" w:hAnsiTheme="minorHAnsi"/>
        </w:rPr>
      </w:pPr>
      <w:r w:rsidRPr="00925BFC">
        <w:rPr>
          <w:rFonts w:asciiTheme="minorHAnsi" w:hAnsiTheme="minorHAnsi"/>
        </w:rPr>
        <w:t>Robertson H</w:t>
      </w:r>
      <w:r w:rsidR="00A958F5">
        <w:rPr>
          <w:rFonts w:asciiTheme="minorHAnsi" w:hAnsiTheme="minorHAnsi"/>
        </w:rPr>
        <w:t>.</w:t>
      </w:r>
      <w:r w:rsidRPr="00925BFC">
        <w:rPr>
          <w:rFonts w:asciiTheme="minorHAnsi" w:hAnsiTheme="minorHAnsi"/>
        </w:rPr>
        <w:t>L</w:t>
      </w:r>
      <w:r w:rsidR="00A958F5">
        <w:rPr>
          <w:rFonts w:asciiTheme="minorHAnsi" w:hAnsiTheme="minorHAnsi"/>
        </w:rPr>
        <w:t>.</w:t>
      </w:r>
      <w:r w:rsidRPr="00925BFC">
        <w:rPr>
          <w:rFonts w:asciiTheme="minorHAnsi" w:hAnsiTheme="minorHAnsi"/>
        </w:rPr>
        <w:t xml:space="preserve">, Guzik </w:t>
      </w:r>
      <w:r>
        <w:rPr>
          <w:rFonts w:asciiTheme="minorHAnsi" w:hAnsiTheme="minorHAnsi"/>
        </w:rPr>
        <w:t>M</w:t>
      </w:r>
      <w:r w:rsidR="00A958F5">
        <w:rPr>
          <w:rFonts w:asciiTheme="minorHAnsi" w:hAnsiTheme="minorHAnsi"/>
        </w:rPr>
        <w:t>.</w:t>
      </w:r>
      <w:r>
        <w:rPr>
          <w:rFonts w:asciiTheme="minorHAnsi" w:hAnsiTheme="minorHAnsi"/>
        </w:rPr>
        <w:t>T</w:t>
      </w:r>
      <w:r w:rsidR="00A958F5">
        <w:rPr>
          <w:rFonts w:asciiTheme="minorHAnsi" w:hAnsiTheme="minorHAnsi"/>
        </w:rPr>
        <w:t>.</w:t>
      </w:r>
      <w:r>
        <w:rPr>
          <w:rFonts w:asciiTheme="minorHAnsi" w:hAnsiTheme="minorHAnsi"/>
        </w:rPr>
        <w:t xml:space="preserve"> &amp; </w:t>
      </w:r>
      <w:r w:rsidRPr="00925BFC">
        <w:rPr>
          <w:rFonts w:asciiTheme="minorHAnsi" w:hAnsiTheme="minorHAnsi"/>
        </w:rPr>
        <w:t xml:space="preserve">Murphy </w:t>
      </w:r>
      <w:r>
        <w:rPr>
          <w:rFonts w:asciiTheme="minorHAnsi" w:hAnsiTheme="minorHAnsi"/>
        </w:rPr>
        <w:t>N</w:t>
      </w:r>
      <w:r w:rsidR="00A958F5">
        <w:rPr>
          <w:rFonts w:asciiTheme="minorHAnsi" w:hAnsiTheme="minorHAnsi"/>
        </w:rPr>
        <w:t>.</w:t>
      </w:r>
      <w:r>
        <w:rPr>
          <w:rFonts w:asciiTheme="minorHAnsi" w:hAnsiTheme="minorHAnsi"/>
        </w:rPr>
        <w:t>P</w:t>
      </w:r>
      <w:r w:rsidR="00A958F5">
        <w:rPr>
          <w:rFonts w:asciiTheme="minorHAnsi" w:hAnsiTheme="minorHAnsi"/>
        </w:rPr>
        <w:t>.</w:t>
      </w:r>
      <w:r>
        <w:rPr>
          <w:rFonts w:asciiTheme="minorHAnsi" w:hAnsiTheme="minorHAnsi"/>
        </w:rPr>
        <w:t xml:space="preserve"> </w:t>
      </w:r>
      <w:r w:rsidRPr="00925BFC">
        <w:rPr>
          <w:rFonts w:asciiTheme="minorHAnsi" w:hAnsiTheme="minorHAnsi"/>
        </w:rPr>
        <w:t xml:space="preserve">(2014). Persistence in the desert: ephemeral waterways and small-scale gene flow in the desert spring amphipod, </w:t>
      </w:r>
      <w:r w:rsidRPr="00CD5F3F">
        <w:rPr>
          <w:rFonts w:asciiTheme="minorHAnsi" w:hAnsiTheme="minorHAnsi"/>
          <w:i/>
        </w:rPr>
        <w:t>Wangiannachiltonia guzikae</w:t>
      </w:r>
      <w:r w:rsidRPr="00925BFC">
        <w:rPr>
          <w:rFonts w:asciiTheme="minorHAnsi" w:hAnsiTheme="minorHAnsi"/>
        </w:rPr>
        <w:t xml:space="preserve">. </w:t>
      </w:r>
      <w:r w:rsidRPr="00CD5F3F">
        <w:rPr>
          <w:rFonts w:asciiTheme="minorHAnsi" w:hAnsiTheme="minorHAnsi"/>
          <w:i/>
        </w:rPr>
        <w:t>Freshwater Biology</w:t>
      </w:r>
      <w:r w:rsidRPr="00925BFC">
        <w:rPr>
          <w:rFonts w:asciiTheme="minorHAnsi" w:hAnsiTheme="minorHAnsi"/>
        </w:rPr>
        <w:t xml:space="preserve"> 59: 653-665.</w:t>
      </w:r>
    </w:p>
    <w:p w14:paraId="2D37CBDD" w14:textId="2FF287A1" w:rsidR="00A15951" w:rsidRPr="00925BFC" w:rsidRDefault="00A15951" w:rsidP="00A15951">
      <w:pPr>
        <w:pStyle w:val="References"/>
        <w:ind w:left="284" w:hanging="284"/>
        <w:rPr>
          <w:rFonts w:asciiTheme="minorHAnsi" w:eastAsia="Times New Roman" w:hAnsiTheme="minorHAnsi"/>
        </w:rPr>
      </w:pPr>
      <w:r w:rsidRPr="00925BFC">
        <w:rPr>
          <w:rFonts w:asciiTheme="minorHAnsi" w:hAnsiTheme="minorHAnsi"/>
        </w:rPr>
        <w:t>Robin X</w:t>
      </w:r>
      <w:r w:rsidR="00A958F5">
        <w:rPr>
          <w:rFonts w:asciiTheme="minorHAnsi" w:hAnsiTheme="minorHAnsi"/>
        </w:rPr>
        <w:t>.</w:t>
      </w:r>
      <w:r w:rsidRPr="00925BFC">
        <w:rPr>
          <w:rFonts w:asciiTheme="minorHAnsi" w:hAnsiTheme="minorHAnsi"/>
        </w:rPr>
        <w:t>, Turck N</w:t>
      </w:r>
      <w:r w:rsidR="00A958F5">
        <w:rPr>
          <w:rFonts w:asciiTheme="minorHAnsi" w:hAnsiTheme="minorHAnsi"/>
        </w:rPr>
        <w:t>.</w:t>
      </w:r>
      <w:r w:rsidRPr="00925BFC">
        <w:rPr>
          <w:rFonts w:asciiTheme="minorHAnsi" w:hAnsiTheme="minorHAnsi"/>
        </w:rPr>
        <w:t>, Hainard A</w:t>
      </w:r>
      <w:r w:rsidR="00A958F5">
        <w:rPr>
          <w:rFonts w:asciiTheme="minorHAnsi" w:hAnsiTheme="minorHAnsi"/>
        </w:rPr>
        <w:t>.</w:t>
      </w:r>
      <w:r w:rsidRPr="00925BFC">
        <w:rPr>
          <w:rFonts w:asciiTheme="minorHAnsi" w:hAnsiTheme="minorHAnsi"/>
        </w:rPr>
        <w:t>, Tiberti N</w:t>
      </w:r>
      <w:r w:rsidR="00A958F5">
        <w:rPr>
          <w:rFonts w:asciiTheme="minorHAnsi" w:hAnsiTheme="minorHAnsi"/>
        </w:rPr>
        <w:t>.</w:t>
      </w:r>
      <w:r w:rsidRPr="00925BFC">
        <w:rPr>
          <w:rFonts w:asciiTheme="minorHAnsi" w:hAnsiTheme="minorHAnsi"/>
        </w:rPr>
        <w:t>, Lisacek F</w:t>
      </w:r>
      <w:r w:rsidR="00520771">
        <w:rPr>
          <w:rFonts w:asciiTheme="minorHAnsi" w:hAnsiTheme="minorHAnsi"/>
        </w:rPr>
        <w:t>.</w:t>
      </w:r>
      <w:r w:rsidRPr="00925BFC">
        <w:rPr>
          <w:rFonts w:asciiTheme="minorHAnsi" w:hAnsiTheme="minorHAnsi"/>
        </w:rPr>
        <w:t xml:space="preserve">, Sanchez J-C. &amp; Müller M. (2011). pROC: an open-source package for R and S+ to analyze and compare ROC curves. </w:t>
      </w:r>
      <w:r w:rsidRPr="00CD5F3F">
        <w:rPr>
          <w:rFonts w:asciiTheme="minorHAnsi" w:hAnsiTheme="minorHAnsi"/>
          <w:i/>
        </w:rPr>
        <w:t>BMC Bioinformatics</w:t>
      </w:r>
      <w:r w:rsidRPr="00925BFC">
        <w:rPr>
          <w:rFonts w:asciiTheme="minorHAnsi" w:hAnsiTheme="minorHAnsi"/>
        </w:rPr>
        <w:t xml:space="preserve"> 12, 77.  DOI: 10.1186/1471-2105-12-77</w:t>
      </w:r>
    </w:p>
    <w:p w14:paraId="5094B673" w14:textId="6139B37F" w:rsidR="00A15951" w:rsidRDefault="00A15951" w:rsidP="00A15951">
      <w:pPr>
        <w:pStyle w:val="References"/>
        <w:ind w:left="284" w:hanging="284"/>
        <w:rPr>
          <w:rFonts w:asciiTheme="minorHAnsi" w:hAnsiTheme="minorHAnsi"/>
        </w:rPr>
      </w:pPr>
      <w:r>
        <w:rPr>
          <w:rFonts w:asciiTheme="minorHAnsi" w:hAnsiTheme="minorHAnsi"/>
        </w:rPr>
        <w:t>Robinson W</w:t>
      </w:r>
      <w:r w:rsidR="00520771">
        <w:rPr>
          <w:rFonts w:asciiTheme="minorHAnsi" w:hAnsiTheme="minorHAnsi"/>
        </w:rPr>
        <w:t>.</w:t>
      </w:r>
      <w:r>
        <w:rPr>
          <w:rFonts w:asciiTheme="minorHAnsi" w:hAnsiTheme="minorHAnsi"/>
        </w:rPr>
        <w:t xml:space="preserve"> &amp; Kennard M</w:t>
      </w:r>
      <w:r w:rsidR="00520771">
        <w:rPr>
          <w:rFonts w:asciiTheme="minorHAnsi" w:hAnsiTheme="minorHAnsi"/>
        </w:rPr>
        <w:t>.</w:t>
      </w:r>
      <w:r>
        <w:rPr>
          <w:rFonts w:asciiTheme="minorHAnsi" w:hAnsiTheme="minorHAnsi"/>
        </w:rPr>
        <w:t xml:space="preserve">J. (2010).  Assigning conservation value using the framework criteria: attribute redundancy and sensitivity to methods of scoring, weighting and integration. Chapter 8 in: </w:t>
      </w:r>
      <w:r w:rsidRPr="00A76D67">
        <w:rPr>
          <w:rFonts w:asciiTheme="minorHAnsi" w:hAnsiTheme="minorHAnsi"/>
        </w:rPr>
        <w:t xml:space="preserve">Kennard, M.J. (ed) (2010). Identifying high conservation value aquatic ecosystems in northern Australia.  Interim Report for the Department of Environment, Water, Heritage and the Arts and the National Water Commission. Tropical Rivers and Coastal Knowledge (TRaCK) Commonwealth Environmental Research Facility, Charles Darwin University, Darwin. ISBN: 978‐1‐921576‐23‐2. </w:t>
      </w:r>
      <w:r>
        <w:rPr>
          <w:rFonts w:asciiTheme="minorHAnsi" w:hAnsiTheme="minorHAnsi"/>
        </w:rPr>
        <w:t xml:space="preserve"> </w:t>
      </w:r>
      <w:r w:rsidRPr="00A76D67">
        <w:rPr>
          <w:rFonts w:asciiTheme="minorHAnsi" w:hAnsiTheme="minorHAnsi"/>
        </w:rPr>
        <w:t xml:space="preserve">Available at: </w:t>
      </w:r>
      <w:hyperlink r:id="rId228" w:history="1">
        <w:r w:rsidRPr="00B406C4">
          <w:rPr>
            <w:rStyle w:val="Hyperlink"/>
            <w:rFonts w:asciiTheme="minorHAnsi" w:hAnsiTheme="minorHAnsi"/>
          </w:rPr>
          <w:t>http://track.org.au/publications/registry/track843</w:t>
        </w:r>
      </w:hyperlink>
      <w:r w:rsidRPr="00A76D67">
        <w:rPr>
          <w:rFonts w:asciiTheme="minorHAnsi" w:hAnsiTheme="minorHAnsi"/>
        </w:rPr>
        <w:t xml:space="preserve"> </w:t>
      </w:r>
    </w:p>
    <w:p w14:paraId="74283975" w14:textId="707813A7" w:rsidR="00A15951" w:rsidRPr="00925BFC" w:rsidRDefault="00A15951" w:rsidP="00A15951">
      <w:pPr>
        <w:pStyle w:val="References"/>
        <w:ind w:left="284" w:hanging="284"/>
        <w:rPr>
          <w:rFonts w:asciiTheme="minorHAnsi" w:hAnsiTheme="minorHAnsi"/>
        </w:rPr>
      </w:pPr>
      <w:r w:rsidRPr="00925BFC">
        <w:rPr>
          <w:rFonts w:asciiTheme="minorHAnsi" w:hAnsiTheme="minorHAnsi"/>
        </w:rPr>
        <w:t>Rosauer D</w:t>
      </w:r>
      <w:r w:rsidR="00520771">
        <w:rPr>
          <w:rFonts w:asciiTheme="minorHAnsi" w:hAnsiTheme="minorHAnsi"/>
        </w:rPr>
        <w:t>.</w:t>
      </w:r>
      <w:r w:rsidRPr="00925BFC">
        <w:rPr>
          <w:rFonts w:asciiTheme="minorHAnsi" w:hAnsiTheme="minorHAnsi"/>
        </w:rPr>
        <w:t>, Laffan S</w:t>
      </w:r>
      <w:r w:rsidR="00520771">
        <w:rPr>
          <w:rFonts w:asciiTheme="minorHAnsi" w:hAnsiTheme="minorHAnsi"/>
        </w:rPr>
        <w:t>.</w:t>
      </w:r>
      <w:r w:rsidRPr="00925BFC">
        <w:rPr>
          <w:rFonts w:asciiTheme="minorHAnsi" w:hAnsiTheme="minorHAnsi"/>
        </w:rPr>
        <w:t>, Crisp M</w:t>
      </w:r>
      <w:r w:rsidR="00520771">
        <w:rPr>
          <w:rFonts w:asciiTheme="minorHAnsi" w:hAnsiTheme="minorHAnsi"/>
        </w:rPr>
        <w:t>.</w:t>
      </w:r>
      <w:r w:rsidRPr="00925BFC">
        <w:rPr>
          <w:rFonts w:asciiTheme="minorHAnsi" w:hAnsiTheme="minorHAnsi"/>
        </w:rPr>
        <w:t xml:space="preserve">, Donnellan S </w:t>
      </w:r>
      <w:r w:rsidR="00520771">
        <w:rPr>
          <w:rFonts w:asciiTheme="minorHAnsi" w:hAnsiTheme="minorHAnsi"/>
        </w:rPr>
        <w:t>.</w:t>
      </w:r>
      <w:r w:rsidRPr="00925BFC">
        <w:rPr>
          <w:rFonts w:asciiTheme="minorHAnsi" w:hAnsiTheme="minorHAnsi"/>
        </w:rPr>
        <w:t xml:space="preserve">&amp; Cook L. (2009). Phylogenetic endemism: a new approach for identifying geographical concentrations of evolutionary history. </w:t>
      </w:r>
      <w:r w:rsidRPr="00925BFC">
        <w:rPr>
          <w:rFonts w:asciiTheme="minorHAnsi" w:hAnsiTheme="minorHAnsi"/>
          <w:i/>
        </w:rPr>
        <w:t>Molecular Ecology</w:t>
      </w:r>
      <w:r w:rsidRPr="00925BFC">
        <w:rPr>
          <w:rFonts w:asciiTheme="minorHAnsi" w:hAnsiTheme="minorHAnsi"/>
        </w:rPr>
        <w:t xml:space="preserve"> 18: 4061-4072.</w:t>
      </w:r>
    </w:p>
    <w:p w14:paraId="46313BFC" w14:textId="39165D80" w:rsidR="00A15951" w:rsidRPr="00925BFC" w:rsidRDefault="00A15951" w:rsidP="00A15951">
      <w:pPr>
        <w:pStyle w:val="References"/>
        <w:ind w:left="284" w:hanging="284"/>
        <w:rPr>
          <w:rFonts w:asciiTheme="minorHAnsi" w:hAnsiTheme="minorHAnsi"/>
        </w:rPr>
      </w:pPr>
      <w:r w:rsidRPr="00925BFC">
        <w:rPr>
          <w:rFonts w:asciiTheme="minorHAnsi" w:hAnsiTheme="minorHAnsi"/>
        </w:rPr>
        <w:t>Rossini R</w:t>
      </w:r>
      <w:r w:rsidR="00520771">
        <w:rPr>
          <w:rFonts w:asciiTheme="minorHAnsi" w:hAnsiTheme="minorHAnsi"/>
        </w:rPr>
        <w:t>.</w:t>
      </w:r>
      <w:r w:rsidRPr="00925BFC">
        <w:rPr>
          <w:rFonts w:asciiTheme="minorHAnsi" w:hAnsiTheme="minorHAnsi"/>
        </w:rPr>
        <w:t>A</w:t>
      </w:r>
      <w:r w:rsidR="00520771">
        <w:rPr>
          <w:rFonts w:asciiTheme="minorHAnsi" w:hAnsiTheme="minorHAnsi"/>
        </w:rPr>
        <w:t>.</w:t>
      </w:r>
      <w:r w:rsidRPr="00925BFC">
        <w:rPr>
          <w:rFonts w:asciiTheme="minorHAnsi" w:hAnsiTheme="minorHAnsi"/>
        </w:rPr>
        <w:t xml:space="preserve">, Fensham </w:t>
      </w:r>
      <w:r>
        <w:rPr>
          <w:rFonts w:asciiTheme="minorHAnsi" w:hAnsiTheme="minorHAnsi"/>
        </w:rPr>
        <w:t>R</w:t>
      </w:r>
      <w:r w:rsidR="00520771">
        <w:rPr>
          <w:rFonts w:asciiTheme="minorHAnsi" w:hAnsiTheme="minorHAnsi"/>
        </w:rPr>
        <w:t>.</w:t>
      </w:r>
      <w:r>
        <w:rPr>
          <w:rFonts w:asciiTheme="minorHAnsi" w:hAnsiTheme="minorHAnsi"/>
        </w:rPr>
        <w:t xml:space="preserve"> &amp; </w:t>
      </w:r>
      <w:r w:rsidRPr="00925BFC">
        <w:rPr>
          <w:rFonts w:asciiTheme="minorHAnsi" w:hAnsiTheme="minorHAnsi"/>
        </w:rPr>
        <w:t xml:space="preserve">Walter </w:t>
      </w:r>
      <w:r>
        <w:rPr>
          <w:rFonts w:asciiTheme="minorHAnsi" w:hAnsiTheme="minorHAnsi"/>
        </w:rPr>
        <w:t>G</w:t>
      </w:r>
      <w:r w:rsidR="00520771">
        <w:rPr>
          <w:rFonts w:asciiTheme="minorHAnsi" w:hAnsiTheme="minorHAnsi"/>
        </w:rPr>
        <w:t>.</w:t>
      </w:r>
      <w:r>
        <w:rPr>
          <w:rFonts w:asciiTheme="minorHAnsi" w:hAnsiTheme="minorHAnsi"/>
        </w:rPr>
        <w:t xml:space="preserve">H. (2015). </w:t>
      </w:r>
      <w:r w:rsidRPr="00925BFC">
        <w:rPr>
          <w:rFonts w:asciiTheme="minorHAnsi" w:hAnsiTheme="minorHAnsi"/>
        </w:rPr>
        <w:t>Determining optimal sampling strategies for monitoring threatened endemic mancro-invertebrates i</w:t>
      </w:r>
      <w:r>
        <w:rPr>
          <w:rFonts w:asciiTheme="minorHAnsi" w:hAnsiTheme="minorHAnsi"/>
        </w:rPr>
        <w:t>n Australia's artesian springs.</w:t>
      </w:r>
      <w:r w:rsidRPr="00925BFC">
        <w:rPr>
          <w:rFonts w:asciiTheme="minorHAnsi" w:hAnsiTheme="minorHAnsi"/>
        </w:rPr>
        <w:t xml:space="preserve"> </w:t>
      </w:r>
      <w:r w:rsidRPr="00340067">
        <w:rPr>
          <w:rFonts w:asciiTheme="minorHAnsi" w:hAnsiTheme="minorHAnsi"/>
          <w:i/>
        </w:rPr>
        <w:t>Marine and Freshwater Research</w:t>
      </w:r>
      <w:r w:rsidRPr="00925BFC">
        <w:rPr>
          <w:rFonts w:asciiTheme="minorHAnsi" w:hAnsiTheme="minorHAnsi"/>
        </w:rPr>
        <w:t xml:space="preserve"> 67: 653 – 665.</w:t>
      </w:r>
    </w:p>
    <w:p w14:paraId="69D6FD66" w14:textId="012633BE" w:rsidR="00A15951" w:rsidRPr="00925BFC" w:rsidRDefault="00A15951" w:rsidP="00A15951">
      <w:pPr>
        <w:pStyle w:val="References"/>
        <w:ind w:left="284" w:hanging="284"/>
        <w:rPr>
          <w:rFonts w:asciiTheme="minorHAnsi" w:hAnsiTheme="minorHAnsi"/>
        </w:rPr>
      </w:pPr>
      <w:r w:rsidRPr="00925BFC">
        <w:rPr>
          <w:rFonts w:asciiTheme="minorHAnsi" w:hAnsiTheme="minorHAnsi"/>
        </w:rPr>
        <w:lastRenderedPageBreak/>
        <w:t>Rossini R</w:t>
      </w:r>
      <w:r w:rsidR="00520771">
        <w:rPr>
          <w:rFonts w:asciiTheme="minorHAnsi" w:hAnsiTheme="minorHAnsi"/>
        </w:rPr>
        <w:t>.</w:t>
      </w:r>
      <w:r w:rsidRPr="00925BFC">
        <w:rPr>
          <w:rFonts w:asciiTheme="minorHAnsi" w:hAnsiTheme="minorHAnsi"/>
        </w:rPr>
        <w:t>A</w:t>
      </w:r>
      <w:r w:rsidR="00520771">
        <w:rPr>
          <w:rFonts w:asciiTheme="minorHAnsi" w:hAnsiTheme="minorHAnsi"/>
        </w:rPr>
        <w:t>.</w:t>
      </w:r>
      <w:r w:rsidRPr="00925BFC">
        <w:rPr>
          <w:rFonts w:asciiTheme="minorHAnsi" w:hAnsiTheme="minorHAnsi"/>
        </w:rPr>
        <w:t>, Fensham R</w:t>
      </w:r>
      <w:r w:rsidR="00520771">
        <w:rPr>
          <w:rFonts w:asciiTheme="minorHAnsi" w:hAnsiTheme="minorHAnsi"/>
        </w:rPr>
        <w:t>.</w:t>
      </w:r>
      <w:r w:rsidRPr="00925BFC">
        <w:rPr>
          <w:rFonts w:asciiTheme="minorHAnsi" w:hAnsiTheme="minorHAnsi"/>
        </w:rPr>
        <w:t>J</w:t>
      </w:r>
      <w:r w:rsidR="00520771">
        <w:rPr>
          <w:rFonts w:asciiTheme="minorHAnsi" w:hAnsiTheme="minorHAnsi"/>
        </w:rPr>
        <w:t>.</w:t>
      </w:r>
      <w:r>
        <w:rPr>
          <w:rFonts w:asciiTheme="minorHAnsi" w:hAnsiTheme="minorHAnsi"/>
        </w:rPr>
        <w:t xml:space="preserve"> &amp; </w:t>
      </w:r>
      <w:r w:rsidRPr="00925BFC">
        <w:rPr>
          <w:rFonts w:asciiTheme="minorHAnsi" w:hAnsiTheme="minorHAnsi"/>
        </w:rPr>
        <w:t>Walter G</w:t>
      </w:r>
      <w:r w:rsidR="00520771">
        <w:rPr>
          <w:rFonts w:asciiTheme="minorHAnsi" w:hAnsiTheme="minorHAnsi"/>
        </w:rPr>
        <w:t>.</w:t>
      </w:r>
      <w:r w:rsidRPr="00925BFC">
        <w:rPr>
          <w:rFonts w:asciiTheme="minorHAnsi" w:hAnsiTheme="minorHAnsi"/>
        </w:rPr>
        <w:t xml:space="preserve">H. (in press). The effect of spatiotemporal variance on the abundance and distribution of six endemic snail species from Australian artesian springs. </w:t>
      </w:r>
      <w:r w:rsidRPr="00340067">
        <w:rPr>
          <w:rFonts w:asciiTheme="minorHAnsi" w:hAnsiTheme="minorHAnsi"/>
          <w:i/>
        </w:rPr>
        <w:t>Aquatic Ecology</w:t>
      </w:r>
    </w:p>
    <w:p w14:paraId="77C41D80" w14:textId="12B04F58" w:rsidR="00A15951" w:rsidRPr="00925BFC" w:rsidRDefault="00A15951" w:rsidP="00A15951">
      <w:pPr>
        <w:pStyle w:val="References"/>
        <w:ind w:left="284" w:hanging="284"/>
        <w:rPr>
          <w:rFonts w:asciiTheme="minorHAnsi" w:hAnsiTheme="minorHAnsi"/>
        </w:rPr>
      </w:pPr>
      <w:r w:rsidRPr="00925BFC">
        <w:rPr>
          <w:rFonts w:asciiTheme="minorHAnsi" w:hAnsiTheme="minorHAnsi"/>
        </w:rPr>
        <w:t>Runge M</w:t>
      </w:r>
      <w:r w:rsidR="00520771">
        <w:rPr>
          <w:rFonts w:asciiTheme="minorHAnsi" w:hAnsiTheme="minorHAnsi"/>
        </w:rPr>
        <w:t>.</w:t>
      </w:r>
      <w:r w:rsidRPr="00925BFC">
        <w:rPr>
          <w:rFonts w:asciiTheme="minorHAnsi" w:hAnsiTheme="minorHAnsi"/>
        </w:rPr>
        <w:t>C</w:t>
      </w:r>
      <w:r w:rsidR="00520771">
        <w:rPr>
          <w:rFonts w:asciiTheme="minorHAnsi" w:hAnsiTheme="minorHAnsi"/>
        </w:rPr>
        <w:t>.</w:t>
      </w:r>
      <w:r w:rsidRPr="00925BFC">
        <w:rPr>
          <w:rFonts w:asciiTheme="minorHAnsi" w:hAnsiTheme="minorHAnsi"/>
        </w:rPr>
        <w:t>, Converse S</w:t>
      </w:r>
      <w:r w:rsidR="00520771">
        <w:rPr>
          <w:rFonts w:asciiTheme="minorHAnsi" w:hAnsiTheme="minorHAnsi"/>
        </w:rPr>
        <w:t>.</w:t>
      </w:r>
      <w:r w:rsidRPr="00925BFC">
        <w:rPr>
          <w:rFonts w:asciiTheme="minorHAnsi" w:hAnsiTheme="minorHAnsi"/>
        </w:rPr>
        <w:t>J</w:t>
      </w:r>
      <w:r w:rsidR="00520771">
        <w:rPr>
          <w:rFonts w:asciiTheme="minorHAnsi" w:hAnsiTheme="minorHAnsi"/>
        </w:rPr>
        <w:t>.</w:t>
      </w:r>
      <w:r>
        <w:rPr>
          <w:rFonts w:asciiTheme="minorHAnsi" w:hAnsiTheme="minorHAnsi"/>
        </w:rPr>
        <w:t xml:space="preserve"> &amp;</w:t>
      </w:r>
      <w:r w:rsidRPr="00925BFC">
        <w:rPr>
          <w:rFonts w:asciiTheme="minorHAnsi" w:hAnsiTheme="minorHAnsi"/>
        </w:rPr>
        <w:t xml:space="preserve"> Lyons J</w:t>
      </w:r>
      <w:r w:rsidR="00520771">
        <w:rPr>
          <w:rFonts w:asciiTheme="minorHAnsi" w:hAnsiTheme="minorHAnsi"/>
        </w:rPr>
        <w:t>.</w:t>
      </w:r>
      <w:r w:rsidRPr="00925BFC">
        <w:rPr>
          <w:rFonts w:asciiTheme="minorHAnsi" w:hAnsiTheme="minorHAnsi"/>
        </w:rPr>
        <w:t xml:space="preserve">E. (2011). Which uncertainty? Using expert elicitation and expected value of information to design an adaptive program. </w:t>
      </w:r>
      <w:r w:rsidRPr="00925BFC">
        <w:rPr>
          <w:rFonts w:asciiTheme="minorHAnsi" w:hAnsiTheme="minorHAnsi"/>
          <w:i/>
        </w:rPr>
        <w:t>Biological Conservation</w:t>
      </w:r>
      <w:r w:rsidRPr="00925BFC">
        <w:rPr>
          <w:rFonts w:asciiTheme="minorHAnsi" w:hAnsiTheme="minorHAnsi"/>
        </w:rPr>
        <w:t xml:space="preserve"> 144: 1214-1223</w:t>
      </w:r>
    </w:p>
    <w:p w14:paraId="39ACA379" w14:textId="10E0A3B6" w:rsidR="00A15951" w:rsidRPr="00925BFC" w:rsidRDefault="00A15951" w:rsidP="00A15951">
      <w:pPr>
        <w:pStyle w:val="References"/>
        <w:ind w:left="284" w:hanging="284"/>
        <w:rPr>
          <w:rFonts w:asciiTheme="minorHAnsi" w:hAnsiTheme="minorHAnsi"/>
        </w:rPr>
      </w:pPr>
      <w:r w:rsidRPr="00925BFC">
        <w:rPr>
          <w:rFonts w:asciiTheme="minorHAnsi" w:hAnsiTheme="minorHAnsi"/>
        </w:rPr>
        <w:t>Shannon C</w:t>
      </w:r>
      <w:r w:rsidR="00520771">
        <w:rPr>
          <w:rFonts w:asciiTheme="minorHAnsi" w:hAnsiTheme="minorHAnsi"/>
        </w:rPr>
        <w:t>.</w:t>
      </w:r>
      <w:r w:rsidRPr="00925BFC">
        <w:rPr>
          <w:rFonts w:asciiTheme="minorHAnsi" w:hAnsiTheme="minorHAnsi"/>
        </w:rPr>
        <w:t xml:space="preserve">E. (1948). A mathematical theory of communication. </w:t>
      </w:r>
      <w:r w:rsidRPr="00925BFC">
        <w:rPr>
          <w:rFonts w:asciiTheme="minorHAnsi" w:hAnsiTheme="minorHAnsi"/>
          <w:i/>
        </w:rPr>
        <w:t>Bell System Technical Journal</w:t>
      </w:r>
      <w:r w:rsidRPr="00925BFC">
        <w:rPr>
          <w:rFonts w:asciiTheme="minorHAnsi" w:hAnsiTheme="minorHAnsi"/>
        </w:rPr>
        <w:t xml:space="preserve"> 27: 379–423, 623–656.</w:t>
      </w:r>
    </w:p>
    <w:p w14:paraId="2F08290F" w14:textId="14F52E33" w:rsidR="00A15951" w:rsidRPr="00925BFC" w:rsidRDefault="00A15951" w:rsidP="00A15951">
      <w:pPr>
        <w:pStyle w:val="References"/>
        <w:ind w:left="284" w:hanging="284"/>
        <w:rPr>
          <w:rFonts w:asciiTheme="minorHAnsi" w:hAnsiTheme="minorHAnsi"/>
        </w:rPr>
      </w:pPr>
      <w:r w:rsidRPr="00925BFC">
        <w:rPr>
          <w:rFonts w:asciiTheme="minorHAnsi" w:hAnsiTheme="minorHAnsi"/>
        </w:rPr>
        <w:t>Shepard W</w:t>
      </w:r>
      <w:r w:rsidR="00520771">
        <w:rPr>
          <w:rFonts w:asciiTheme="minorHAnsi" w:hAnsiTheme="minorHAnsi"/>
        </w:rPr>
        <w:t>.</w:t>
      </w:r>
      <w:r w:rsidRPr="00925BFC">
        <w:rPr>
          <w:rFonts w:asciiTheme="minorHAnsi" w:hAnsiTheme="minorHAnsi"/>
        </w:rPr>
        <w:t xml:space="preserve">D. (1993). Desert springs - both rare and endangered. </w:t>
      </w:r>
      <w:r w:rsidRPr="00925BFC">
        <w:rPr>
          <w:rFonts w:asciiTheme="minorHAnsi" w:hAnsiTheme="minorHAnsi"/>
          <w:i/>
        </w:rPr>
        <w:t>Aquatic Conservation: Marine and Freshwater Ecosystems</w:t>
      </w:r>
      <w:r w:rsidRPr="00925BFC">
        <w:rPr>
          <w:rFonts w:asciiTheme="minorHAnsi" w:hAnsiTheme="minorHAnsi"/>
        </w:rPr>
        <w:t xml:space="preserve"> 3: 351–359.</w:t>
      </w:r>
    </w:p>
    <w:p w14:paraId="671BDE97" w14:textId="77777777" w:rsidR="00A15951" w:rsidRPr="00925BFC" w:rsidRDefault="00A15951" w:rsidP="00A15951">
      <w:pPr>
        <w:pStyle w:val="References"/>
        <w:ind w:left="284" w:hanging="284"/>
        <w:rPr>
          <w:rFonts w:asciiTheme="minorHAnsi" w:hAnsiTheme="minorHAnsi"/>
        </w:rPr>
      </w:pPr>
      <w:r w:rsidRPr="00925BFC">
        <w:rPr>
          <w:rFonts w:asciiTheme="minorHAnsi" w:hAnsiTheme="minorHAnsi"/>
        </w:rPr>
        <w:t>Silcock J. (2009). Identification of Permanent Refuge Waterbodies in the Cooper Creek &amp; Georgina-Diamantina catchments. South Australia Arid Lands Natural Resource Management Board, Adelaide.</w:t>
      </w:r>
    </w:p>
    <w:p w14:paraId="33374543" w14:textId="2DF336FC" w:rsidR="00A15951" w:rsidRPr="00925BFC" w:rsidRDefault="00A15951" w:rsidP="00A15951">
      <w:pPr>
        <w:pStyle w:val="References"/>
        <w:ind w:left="284" w:hanging="284"/>
        <w:rPr>
          <w:rFonts w:asciiTheme="minorHAnsi" w:hAnsiTheme="minorHAnsi"/>
        </w:rPr>
      </w:pPr>
      <w:r w:rsidRPr="00925BFC">
        <w:rPr>
          <w:rFonts w:asciiTheme="minorHAnsi" w:hAnsiTheme="minorHAnsi"/>
        </w:rPr>
        <w:t>Silcock J</w:t>
      </w:r>
      <w:r w:rsidR="00520771">
        <w:rPr>
          <w:rFonts w:asciiTheme="minorHAnsi" w:hAnsiTheme="minorHAnsi"/>
        </w:rPr>
        <w:t>.</w:t>
      </w:r>
      <w:r w:rsidRPr="00925BFC">
        <w:rPr>
          <w:rFonts w:asciiTheme="minorHAnsi" w:hAnsiTheme="minorHAnsi"/>
        </w:rPr>
        <w:t xml:space="preserve">L, Fensham </w:t>
      </w:r>
      <w:r>
        <w:rPr>
          <w:rFonts w:asciiTheme="minorHAnsi" w:hAnsiTheme="minorHAnsi"/>
        </w:rPr>
        <w:t>R</w:t>
      </w:r>
      <w:r w:rsidR="00520771">
        <w:rPr>
          <w:rFonts w:asciiTheme="minorHAnsi" w:hAnsiTheme="minorHAnsi"/>
        </w:rPr>
        <w:t>.</w:t>
      </w:r>
      <w:r>
        <w:rPr>
          <w:rFonts w:asciiTheme="minorHAnsi" w:hAnsiTheme="minorHAnsi"/>
        </w:rPr>
        <w:t>J</w:t>
      </w:r>
      <w:r w:rsidR="00520771">
        <w:rPr>
          <w:rFonts w:asciiTheme="minorHAnsi" w:hAnsiTheme="minorHAnsi"/>
        </w:rPr>
        <w:t>.</w:t>
      </w:r>
      <w:r>
        <w:rPr>
          <w:rFonts w:asciiTheme="minorHAnsi" w:hAnsiTheme="minorHAnsi"/>
        </w:rPr>
        <w:t xml:space="preserve"> &amp; </w:t>
      </w:r>
      <w:r w:rsidRPr="00925BFC">
        <w:rPr>
          <w:rFonts w:asciiTheme="minorHAnsi" w:hAnsiTheme="minorHAnsi"/>
        </w:rPr>
        <w:t xml:space="preserve">Martin </w:t>
      </w:r>
      <w:r>
        <w:rPr>
          <w:rFonts w:asciiTheme="minorHAnsi" w:hAnsiTheme="minorHAnsi"/>
        </w:rPr>
        <w:t>T</w:t>
      </w:r>
      <w:r w:rsidR="00520771">
        <w:rPr>
          <w:rFonts w:asciiTheme="minorHAnsi" w:hAnsiTheme="minorHAnsi"/>
        </w:rPr>
        <w:t>.</w:t>
      </w:r>
      <w:r>
        <w:rPr>
          <w:rFonts w:asciiTheme="minorHAnsi" w:hAnsiTheme="minorHAnsi"/>
        </w:rPr>
        <w:t xml:space="preserve">G. (2011). </w:t>
      </w:r>
      <w:r w:rsidRPr="00925BFC">
        <w:rPr>
          <w:rFonts w:asciiTheme="minorHAnsi" w:hAnsiTheme="minorHAnsi"/>
        </w:rPr>
        <w:t>Assessing rarity an</w:t>
      </w:r>
      <w:r>
        <w:rPr>
          <w:rFonts w:asciiTheme="minorHAnsi" w:hAnsiTheme="minorHAnsi"/>
        </w:rPr>
        <w:t>d threat in an arid-zone flora.</w:t>
      </w:r>
      <w:r w:rsidRPr="00925BFC">
        <w:rPr>
          <w:rFonts w:asciiTheme="minorHAnsi" w:hAnsiTheme="minorHAnsi"/>
        </w:rPr>
        <w:t xml:space="preserve"> </w:t>
      </w:r>
      <w:r w:rsidRPr="00340067">
        <w:rPr>
          <w:rFonts w:asciiTheme="minorHAnsi" w:hAnsiTheme="minorHAnsi"/>
          <w:i/>
        </w:rPr>
        <w:t>Australian Journal of Botany</w:t>
      </w:r>
      <w:r w:rsidRPr="00925BFC">
        <w:rPr>
          <w:rFonts w:asciiTheme="minorHAnsi" w:hAnsiTheme="minorHAnsi"/>
        </w:rPr>
        <w:t xml:space="preserve"> 59: 336-350.</w:t>
      </w:r>
    </w:p>
    <w:p w14:paraId="6A68DF39" w14:textId="3E79DA7D" w:rsidR="00A15951" w:rsidRPr="00925BFC" w:rsidRDefault="00A15951" w:rsidP="00A15951">
      <w:pPr>
        <w:pStyle w:val="References"/>
        <w:ind w:left="284" w:hanging="284"/>
        <w:rPr>
          <w:rFonts w:asciiTheme="minorHAnsi" w:hAnsiTheme="minorHAnsi"/>
        </w:rPr>
      </w:pPr>
      <w:r w:rsidRPr="00925BFC">
        <w:rPr>
          <w:rFonts w:asciiTheme="minorHAnsi" w:hAnsiTheme="minorHAnsi"/>
        </w:rPr>
        <w:t>Silcock J</w:t>
      </w:r>
      <w:r w:rsidR="00520771">
        <w:rPr>
          <w:rFonts w:asciiTheme="minorHAnsi" w:hAnsiTheme="minorHAnsi"/>
        </w:rPr>
        <w:t>.</w:t>
      </w:r>
      <w:r w:rsidRPr="00925BFC">
        <w:rPr>
          <w:rFonts w:asciiTheme="minorHAnsi" w:hAnsiTheme="minorHAnsi"/>
        </w:rPr>
        <w:t>L</w:t>
      </w:r>
      <w:r w:rsidR="00520771">
        <w:rPr>
          <w:rFonts w:asciiTheme="minorHAnsi" w:hAnsiTheme="minorHAnsi"/>
        </w:rPr>
        <w:t>.</w:t>
      </w:r>
      <w:r w:rsidRPr="00925BFC">
        <w:rPr>
          <w:rFonts w:asciiTheme="minorHAnsi" w:hAnsiTheme="minorHAnsi"/>
        </w:rPr>
        <w:t>, Macdermott</w:t>
      </w:r>
      <w:r>
        <w:rPr>
          <w:rFonts w:asciiTheme="minorHAnsi" w:hAnsiTheme="minorHAnsi"/>
        </w:rPr>
        <w:t xml:space="preserve"> H.</w:t>
      </w:r>
      <w:r w:rsidRPr="00925BFC">
        <w:rPr>
          <w:rFonts w:asciiTheme="minorHAnsi" w:hAnsiTheme="minorHAnsi"/>
        </w:rPr>
        <w:t xml:space="preserve"> Laffineur </w:t>
      </w:r>
      <w:r>
        <w:rPr>
          <w:rFonts w:asciiTheme="minorHAnsi" w:hAnsiTheme="minorHAnsi"/>
        </w:rPr>
        <w:t>B</w:t>
      </w:r>
      <w:r w:rsidR="00520771">
        <w:rPr>
          <w:rFonts w:asciiTheme="minorHAnsi" w:hAnsiTheme="minorHAnsi"/>
        </w:rPr>
        <w:t>.</w:t>
      </w:r>
      <w:r>
        <w:rPr>
          <w:rFonts w:asciiTheme="minorHAnsi" w:hAnsiTheme="minorHAnsi"/>
        </w:rPr>
        <w:t xml:space="preserve"> &amp; </w:t>
      </w:r>
      <w:r w:rsidRPr="00925BFC">
        <w:rPr>
          <w:rFonts w:asciiTheme="minorHAnsi" w:hAnsiTheme="minorHAnsi"/>
        </w:rPr>
        <w:t xml:space="preserve">Fensham </w:t>
      </w:r>
      <w:r>
        <w:rPr>
          <w:rFonts w:asciiTheme="minorHAnsi" w:hAnsiTheme="minorHAnsi"/>
        </w:rPr>
        <w:t>R</w:t>
      </w:r>
      <w:r w:rsidR="00520771">
        <w:rPr>
          <w:rFonts w:asciiTheme="minorHAnsi" w:hAnsiTheme="minorHAnsi"/>
        </w:rPr>
        <w:t>.</w:t>
      </w:r>
      <w:r>
        <w:rPr>
          <w:rFonts w:asciiTheme="minorHAnsi" w:hAnsiTheme="minorHAnsi"/>
        </w:rPr>
        <w:t xml:space="preserve">J. (2016). </w:t>
      </w:r>
      <w:r w:rsidRPr="00925BFC">
        <w:rPr>
          <w:rFonts w:asciiTheme="minorHAnsi" w:hAnsiTheme="minorHAnsi"/>
        </w:rPr>
        <w:t>Obscure oases: natural, cultural and historical geography of western Queenslan</w:t>
      </w:r>
      <w:r>
        <w:rPr>
          <w:rFonts w:asciiTheme="minorHAnsi" w:hAnsiTheme="minorHAnsi"/>
        </w:rPr>
        <w:t>d's Tertiary sandstone springs.</w:t>
      </w:r>
      <w:r w:rsidRPr="00925BFC">
        <w:rPr>
          <w:rFonts w:asciiTheme="minorHAnsi" w:hAnsiTheme="minorHAnsi"/>
        </w:rPr>
        <w:t xml:space="preserve"> </w:t>
      </w:r>
      <w:r w:rsidRPr="00340067">
        <w:rPr>
          <w:rFonts w:asciiTheme="minorHAnsi" w:hAnsiTheme="minorHAnsi"/>
          <w:i/>
        </w:rPr>
        <w:t>Geographical Research</w:t>
      </w:r>
      <w:r w:rsidRPr="00925BFC">
        <w:rPr>
          <w:rFonts w:asciiTheme="minorHAnsi" w:hAnsiTheme="minorHAnsi"/>
        </w:rPr>
        <w:t xml:space="preserve"> 54: 187-202.</w:t>
      </w:r>
    </w:p>
    <w:p w14:paraId="54487D46" w14:textId="77777777" w:rsidR="00A15951" w:rsidRPr="00925BFC" w:rsidRDefault="00A15951" w:rsidP="00A15951">
      <w:pPr>
        <w:pStyle w:val="References"/>
        <w:ind w:left="284" w:hanging="284"/>
        <w:rPr>
          <w:rFonts w:asciiTheme="minorHAnsi" w:hAnsiTheme="minorHAnsi"/>
        </w:rPr>
      </w:pPr>
      <w:r w:rsidRPr="00925BFC">
        <w:rPr>
          <w:rFonts w:asciiTheme="minorHAnsi" w:hAnsiTheme="minorHAnsi"/>
        </w:rPr>
        <w:t xml:space="preserve">Sinclair, Knight, Merz Pty Ltd. (2014). Great Artesian Basin Sustainability Initiative (GABSI) Value for Money Review. Final report to the Department of the Environment. </w:t>
      </w:r>
    </w:p>
    <w:p w14:paraId="7BFAD206" w14:textId="4E2C40DB" w:rsidR="00A15951" w:rsidRPr="00925BFC" w:rsidRDefault="00A15951" w:rsidP="00A15951">
      <w:pPr>
        <w:pStyle w:val="References"/>
        <w:ind w:left="284" w:hanging="284"/>
        <w:rPr>
          <w:rFonts w:asciiTheme="minorHAnsi" w:hAnsiTheme="minorHAnsi"/>
        </w:rPr>
      </w:pPr>
      <w:r w:rsidRPr="00925BFC">
        <w:rPr>
          <w:rFonts w:asciiTheme="minorHAnsi" w:hAnsiTheme="minorHAnsi"/>
        </w:rPr>
        <w:t>Smith T</w:t>
      </w:r>
      <w:r w:rsidR="00520771">
        <w:rPr>
          <w:rFonts w:asciiTheme="minorHAnsi" w:hAnsiTheme="minorHAnsi"/>
        </w:rPr>
        <w:t>.</w:t>
      </w:r>
      <w:r w:rsidRPr="00925BFC">
        <w:rPr>
          <w:rFonts w:asciiTheme="minorHAnsi" w:hAnsiTheme="minorHAnsi"/>
        </w:rPr>
        <w:t>B</w:t>
      </w:r>
      <w:r w:rsidR="00520771">
        <w:rPr>
          <w:rFonts w:asciiTheme="minorHAnsi" w:hAnsiTheme="minorHAnsi"/>
        </w:rPr>
        <w:t>.</w:t>
      </w:r>
      <w:r w:rsidRPr="00925BFC">
        <w:rPr>
          <w:rFonts w:asciiTheme="minorHAnsi" w:hAnsiTheme="minorHAnsi"/>
        </w:rPr>
        <w:t xml:space="preserve"> &amp; Grether G. (2008). The importance of conserving evolutionary processes. In Conservation Biology: Evolution in Action (Eds S.P. Carroll &amp; C.W. Fox), pp. 85–98. Oxford University Press, Oxford, UK.</w:t>
      </w:r>
    </w:p>
    <w:p w14:paraId="60582A16" w14:textId="2B966E0D" w:rsidR="00A15951" w:rsidRPr="00925BFC" w:rsidRDefault="00A15951" w:rsidP="00A15951">
      <w:pPr>
        <w:pStyle w:val="References"/>
        <w:ind w:left="284" w:hanging="284"/>
        <w:rPr>
          <w:rFonts w:asciiTheme="minorHAnsi" w:hAnsiTheme="minorHAnsi"/>
        </w:rPr>
      </w:pPr>
      <w:r w:rsidRPr="00925BFC">
        <w:rPr>
          <w:rFonts w:asciiTheme="minorHAnsi" w:hAnsiTheme="minorHAnsi"/>
        </w:rPr>
        <w:t>Stein J</w:t>
      </w:r>
      <w:r w:rsidR="00520771">
        <w:rPr>
          <w:rFonts w:asciiTheme="minorHAnsi" w:hAnsiTheme="minorHAnsi"/>
        </w:rPr>
        <w:t>.</w:t>
      </w:r>
      <w:r w:rsidRPr="00925BFC">
        <w:rPr>
          <w:rFonts w:asciiTheme="minorHAnsi" w:hAnsiTheme="minorHAnsi"/>
        </w:rPr>
        <w:t>L</w:t>
      </w:r>
      <w:r w:rsidR="00520771">
        <w:rPr>
          <w:rFonts w:asciiTheme="minorHAnsi" w:hAnsiTheme="minorHAnsi"/>
        </w:rPr>
        <w:t>.</w:t>
      </w:r>
      <w:r w:rsidRPr="00925BFC">
        <w:rPr>
          <w:rFonts w:asciiTheme="minorHAnsi" w:hAnsiTheme="minorHAnsi"/>
        </w:rPr>
        <w:t>, Hutchinson M</w:t>
      </w:r>
      <w:r w:rsidR="00520771">
        <w:rPr>
          <w:rFonts w:asciiTheme="minorHAnsi" w:hAnsiTheme="minorHAnsi"/>
        </w:rPr>
        <w:t>.</w:t>
      </w:r>
      <w:r w:rsidRPr="00925BFC">
        <w:rPr>
          <w:rFonts w:asciiTheme="minorHAnsi" w:hAnsiTheme="minorHAnsi"/>
        </w:rPr>
        <w:t>F</w:t>
      </w:r>
      <w:r w:rsidR="00520771">
        <w:rPr>
          <w:rFonts w:asciiTheme="minorHAnsi" w:hAnsiTheme="minorHAnsi"/>
        </w:rPr>
        <w:t>.</w:t>
      </w:r>
      <w:r w:rsidRPr="00925BFC">
        <w:rPr>
          <w:rFonts w:asciiTheme="minorHAnsi" w:hAnsiTheme="minorHAnsi"/>
        </w:rPr>
        <w:t xml:space="preserve"> &amp; Stein J</w:t>
      </w:r>
      <w:r w:rsidR="00520771">
        <w:rPr>
          <w:rFonts w:asciiTheme="minorHAnsi" w:hAnsiTheme="minorHAnsi"/>
        </w:rPr>
        <w:t>.</w:t>
      </w:r>
      <w:r w:rsidRPr="00925BFC">
        <w:rPr>
          <w:rFonts w:asciiTheme="minorHAnsi" w:hAnsiTheme="minorHAnsi"/>
        </w:rPr>
        <w:t xml:space="preserve">A. (2014). A new stream and nested catchment framework for Australia. </w:t>
      </w:r>
      <w:r w:rsidRPr="00925BFC">
        <w:rPr>
          <w:rFonts w:asciiTheme="minorHAnsi" w:hAnsiTheme="minorHAnsi"/>
          <w:i/>
        </w:rPr>
        <w:t>Hydrology and Earth System Sciences</w:t>
      </w:r>
      <w:r w:rsidRPr="00925BFC">
        <w:rPr>
          <w:rFonts w:asciiTheme="minorHAnsi" w:hAnsiTheme="minorHAnsi"/>
        </w:rPr>
        <w:t xml:space="preserve"> 18: 1917–1933</w:t>
      </w:r>
    </w:p>
    <w:p w14:paraId="31537C37" w14:textId="10B57059" w:rsidR="00A15951" w:rsidRPr="00925BFC" w:rsidRDefault="00A15951" w:rsidP="00A15951">
      <w:pPr>
        <w:pStyle w:val="References"/>
        <w:ind w:left="284" w:hanging="284"/>
        <w:rPr>
          <w:rFonts w:asciiTheme="minorHAnsi" w:hAnsiTheme="minorHAnsi"/>
        </w:rPr>
      </w:pPr>
      <w:r w:rsidRPr="00925BFC">
        <w:rPr>
          <w:rFonts w:asciiTheme="minorHAnsi" w:hAnsiTheme="minorHAnsi"/>
        </w:rPr>
        <w:t>Stevens L</w:t>
      </w:r>
      <w:r w:rsidR="00520771">
        <w:rPr>
          <w:rFonts w:asciiTheme="minorHAnsi" w:hAnsiTheme="minorHAnsi"/>
        </w:rPr>
        <w:t>.</w:t>
      </w:r>
      <w:r w:rsidRPr="00925BFC">
        <w:rPr>
          <w:rFonts w:asciiTheme="minorHAnsi" w:hAnsiTheme="minorHAnsi"/>
        </w:rPr>
        <w:t>E</w:t>
      </w:r>
      <w:r w:rsidR="00520771">
        <w:rPr>
          <w:rFonts w:asciiTheme="minorHAnsi" w:hAnsiTheme="minorHAnsi"/>
        </w:rPr>
        <w:t>.</w:t>
      </w:r>
      <w:r w:rsidRPr="00925BFC">
        <w:rPr>
          <w:rFonts w:asciiTheme="minorHAnsi" w:hAnsiTheme="minorHAnsi"/>
        </w:rPr>
        <w:t xml:space="preserve"> &amp; Meretsky V</w:t>
      </w:r>
      <w:r w:rsidR="00520771">
        <w:rPr>
          <w:rFonts w:asciiTheme="minorHAnsi" w:hAnsiTheme="minorHAnsi"/>
        </w:rPr>
        <w:t>.</w:t>
      </w:r>
      <w:r w:rsidRPr="00925BFC">
        <w:rPr>
          <w:rFonts w:asciiTheme="minorHAnsi" w:hAnsiTheme="minorHAnsi"/>
        </w:rPr>
        <w:t>J. (2008). Springs ecosystem ecology and conservation. In ‘Aridland Springs in North America; Ecology and Conservation’. (Eds L. E. Stevens and V. J. Meretsky.) pp. 3–10. (The University of Arizona Press: Tucson, AZ.)</w:t>
      </w:r>
    </w:p>
    <w:p w14:paraId="6AD104DF" w14:textId="64630EFC" w:rsidR="00A15951" w:rsidRPr="00925BFC" w:rsidRDefault="00A15951" w:rsidP="00A15951">
      <w:pPr>
        <w:pStyle w:val="References"/>
        <w:ind w:left="284" w:hanging="284"/>
        <w:rPr>
          <w:rFonts w:asciiTheme="minorHAnsi" w:hAnsiTheme="minorHAnsi"/>
        </w:rPr>
      </w:pPr>
      <w:r w:rsidRPr="00925BFC">
        <w:rPr>
          <w:rFonts w:asciiTheme="minorHAnsi" w:hAnsiTheme="minorHAnsi"/>
        </w:rPr>
        <w:t>Strayer D</w:t>
      </w:r>
      <w:r w:rsidR="00520771">
        <w:rPr>
          <w:rFonts w:asciiTheme="minorHAnsi" w:hAnsiTheme="minorHAnsi"/>
        </w:rPr>
        <w:t>.</w:t>
      </w:r>
      <w:r w:rsidRPr="00925BFC">
        <w:rPr>
          <w:rFonts w:asciiTheme="minorHAnsi" w:hAnsiTheme="minorHAnsi"/>
        </w:rPr>
        <w:t>L</w:t>
      </w:r>
      <w:r w:rsidR="00520771">
        <w:rPr>
          <w:rFonts w:asciiTheme="minorHAnsi" w:hAnsiTheme="minorHAnsi"/>
        </w:rPr>
        <w:t>.</w:t>
      </w:r>
      <w:r>
        <w:rPr>
          <w:rFonts w:asciiTheme="minorHAnsi" w:hAnsiTheme="minorHAnsi"/>
        </w:rPr>
        <w:t xml:space="preserve"> &amp; </w:t>
      </w:r>
      <w:r w:rsidRPr="00925BFC">
        <w:rPr>
          <w:rFonts w:asciiTheme="minorHAnsi" w:hAnsiTheme="minorHAnsi"/>
        </w:rPr>
        <w:t xml:space="preserve">Dudgeon </w:t>
      </w:r>
      <w:r>
        <w:rPr>
          <w:rFonts w:asciiTheme="minorHAnsi" w:hAnsiTheme="minorHAnsi"/>
        </w:rPr>
        <w:t>D</w:t>
      </w:r>
      <w:r w:rsidR="00520771">
        <w:rPr>
          <w:rFonts w:asciiTheme="minorHAnsi" w:hAnsiTheme="minorHAnsi"/>
        </w:rPr>
        <w:t>.</w:t>
      </w:r>
      <w:r>
        <w:rPr>
          <w:rFonts w:asciiTheme="minorHAnsi" w:hAnsiTheme="minorHAnsi"/>
        </w:rPr>
        <w:t xml:space="preserve"> (2010). </w:t>
      </w:r>
      <w:r w:rsidRPr="00925BFC">
        <w:rPr>
          <w:rFonts w:asciiTheme="minorHAnsi" w:hAnsiTheme="minorHAnsi"/>
        </w:rPr>
        <w:t xml:space="preserve">Freshwater biodiversity conservation: recent progress and future challenges. </w:t>
      </w:r>
      <w:r w:rsidRPr="00340067">
        <w:rPr>
          <w:rFonts w:asciiTheme="minorHAnsi" w:hAnsiTheme="minorHAnsi"/>
          <w:i/>
        </w:rPr>
        <w:t>Journal of the North American Benthological Society</w:t>
      </w:r>
      <w:r>
        <w:rPr>
          <w:rFonts w:asciiTheme="minorHAnsi" w:hAnsiTheme="minorHAnsi"/>
        </w:rPr>
        <w:t xml:space="preserve"> 29</w:t>
      </w:r>
      <w:r w:rsidRPr="00925BFC">
        <w:rPr>
          <w:rFonts w:asciiTheme="minorHAnsi" w:hAnsiTheme="minorHAnsi"/>
        </w:rPr>
        <w:t>: 344-358.</w:t>
      </w:r>
    </w:p>
    <w:p w14:paraId="6FB4D65F" w14:textId="31F0D20D" w:rsidR="00A15951" w:rsidRPr="00925BFC" w:rsidRDefault="00A15951" w:rsidP="00A15951">
      <w:pPr>
        <w:pStyle w:val="References"/>
        <w:ind w:left="284" w:hanging="284"/>
        <w:rPr>
          <w:rFonts w:asciiTheme="minorHAnsi" w:hAnsiTheme="minorHAnsi"/>
        </w:rPr>
      </w:pPr>
      <w:r w:rsidRPr="00925BFC">
        <w:rPr>
          <w:rFonts w:asciiTheme="minorHAnsi" w:hAnsiTheme="minorHAnsi"/>
        </w:rPr>
        <w:t>Unmack P</w:t>
      </w:r>
      <w:r w:rsidR="00520771">
        <w:rPr>
          <w:rFonts w:asciiTheme="minorHAnsi" w:hAnsiTheme="minorHAnsi"/>
        </w:rPr>
        <w:t>.</w:t>
      </w:r>
      <w:r w:rsidRPr="00925BFC">
        <w:rPr>
          <w:rFonts w:asciiTheme="minorHAnsi" w:hAnsiTheme="minorHAnsi"/>
        </w:rPr>
        <w:t xml:space="preserve"> &amp; Minckley W</w:t>
      </w:r>
      <w:r w:rsidR="00520771">
        <w:rPr>
          <w:rFonts w:asciiTheme="minorHAnsi" w:hAnsiTheme="minorHAnsi"/>
        </w:rPr>
        <w:t>.</w:t>
      </w:r>
      <w:r w:rsidRPr="00925BFC">
        <w:rPr>
          <w:rFonts w:asciiTheme="minorHAnsi" w:hAnsiTheme="minorHAnsi"/>
        </w:rPr>
        <w:t>L. (2008). The demise of desert springs. In ‘Aridland Springs in North America; Eco</w:t>
      </w:r>
      <w:r w:rsidR="00520771">
        <w:rPr>
          <w:rFonts w:asciiTheme="minorHAnsi" w:hAnsiTheme="minorHAnsi"/>
        </w:rPr>
        <w:t>logy and Conservation’. (Eds L.E. Stevens and V.</w:t>
      </w:r>
      <w:r w:rsidRPr="00925BFC">
        <w:rPr>
          <w:rFonts w:asciiTheme="minorHAnsi" w:hAnsiTheme="minorHAnsi"/>
        </w:rPr>
        <w:t>J. Meretsky.) pp. 11–34. (The University of Arizona Press: Tucson, AZ.)</w:t>
      </w:r>
    </w:p>
    <w:p w14:paraId="0790E1FE" w14:textId="77777777" w:rsidR="00A15951" w:rsidRPr="00925BFC" w:rsidRDefault="00A15951" w:rsidP="00A15951">
      <w:pPr>
        <w:pStyle w:val="References"/>
        <w:ind w:left="284" w:hanging="284"/>
        <w:rPr>
          <w:rFonts w:asciiTheme="minorHAnsi" w:hAnsiTheme="minorHAnsi"/>
        </w:rPr>
      </w:pPr>
      <w:r w:rsidRPr="00925BFC">
        <w:rPr>
          <w:rFonts w:asciiTheme="minorHAnsi" w:hAnsiTheme="minorHAnsi"/>
        </w:rPr>
        <w:t xml:space="preserve">U.S. EPA. (2003).  Framework for Cumulative Risk Assessment. U.S. Environmental Protection Agency, Office of Research and Development, National Center for Environmental Assessment, Washington Office, Washington, DC, EPA/600/P-02/001F, 2003. Available at: </w:t>
      </w:r>
      <w:hyperlink r:id="rId229" w:history="1">
        <w:r w:rsidRPr="00925BFC">
          <w:rPr>
            <w:rStyle w:val="Hyperlink"/>
            <w:rFonts w:asciiTheme="minorHAnsi" w:hAnsiTheme="minorHAnsi"/>
          </w:rPr>
          <w:t>https://www.epa.gov/risk/framework-cumulative-risk-assessment</w:t>
        </w:r>
      </w:hyperlink>
      <w:r w:rsidRPr="00925BFC">
        <w:rPr>
          <w:rFonts w:asciiTheme="minorHAnsi" w:hAnsiTheme="minorHAnsi"/>
        </w:rPr>
        <w:t xml:space="preserve">. </w:t>
      </w:r>
    </w:p>
    <w:p w14:paraId="5C3A7AE7" w14:textId="526EF667" w:rsidR="00A15951" w:rsidRPr="00925BFC" w:rsidRDefault="00A15951" w:rsidP="00A15951">
      <w:pPr>
        <w:pStyle w:val="References"/>
        <w:ind w:left="284" w:hanging="284"/>
        <w:rPr>
          <w:rFonts w:asciiTheme="minorHAnsi" w:hAnsiTheme="minorHAnsi"/>
        </w:rPr>
      </w:pPr>
      <w:r w:rsidRPr="00925BFC">
        <w:rPr>
          <w:rFonts w:asciiTheme="minorHAnsi" w:hAnsiTheme="minorHAnsi"/>
        </w:rPr>
        <w:t>Wager R</w:t>
      </w:r>
      <w:r w:rsidR="00520771">
        <w:rPr>
          <w:rFonts w:asciiTheme="minorHAnsi" w:hAnsiTheme="minorHAnsi"/>
        </w:rPr>
        <w:t>.</w:t>
      </w:r>
      <w:r w:rsidRPr="00925BFC">
        <w:rPr>
          <w:rFonts w:asciiTheme="minorHAnsi" w:hAnsiTheme="minorHAnsi"/>
        </w:rPr>
        <w:t>N</w:t>
      </w:r>
      <w:r w:rsidR="00520771">
        <w:rPr>
          <w:rFonts w:asciiTheme="minorHAnsi" w:hAnsiTheme="minorHAnsi"/>
        </w:rPr>
        <w:t>.</w:t>
      </w:r>
      <w:r w:rsidRPr="00925BFC">
        <w:rPr>
          <w:rFonts w:asciiTheme="minorHAnsi" w:hAnsiTheme="minorHAnsi"/>
        </w:rPr>
        <w:t>E</w:t>
      </w:r>
      <w:r>
        <w:rPr>
          <w:rFonts w:asciiTheme="minorHAnsi" w:hAnsiTheme="minorHAnsi"/>
        </w:rPr>
        <w:t xml:space="preserve"> &amp; </w:t>
      </w:r>
      <w:r w:rsidRPr="00925BFC">
        <w:rPr>
          <w:rFonts w:asciiTheme="minorHAnsi" w:hAnsiTheme="minorHAnsi"/>
        </w:rPr>
        <w:t xml:space="preserve">Unmack </w:t>
      </w:r>
      <w:r>
        <w:rPr>
          <w:rFonts w:asciiTheme="minorHAnsi" w:hAnsiTheme="minorHAnsi"/>
        </w:rPr>
        <w:t>P</w:t>
      </w:r>
      <w:r w:rsidR="00520771">
        <w:rPr>
          <w:rFonts w:asciiTheme="minorHAnsi" w:hAnsiTheme="minorHAnsi"/>
        </w:rPr>
        <w:t>.</w:t>
      </w:r>
      <w:r>
        <w:rPr>
          <w:rFonts w:asciiTheme="minorHAnsi" w:hAnsiTheme="minorHAnsi"/>
        </w:rPr>
        <w:t>J</w:t>
      </w:r>
      <w:r w:rsidR="00520771">
        <w:rPr>
          <w:rFonts w:asciiTheme="minorHAnsi" w:hAnsiTheme="minorHAnsi"/>
        </w:rPr>
        <w:t>.</w:t>
      </w:r>
      <w:r>
        <w:rPr>
          <w:rFonts w:asciiTheme="minorHAnsi" w:hAnsiTheme="minorHAnsi"/>
        </w:rPr>
        <w:t xml:space="preserve"> (2004). </w:t>
      </w:r>
      <w:r w:rsidRPr="00925BFC">
        <w:rPr>
          <w:rFonts w:asciiTheme="minorHAnsi" w:hAnsiTheme="minorHAnsi"/>
        </w:rPr>
        <w:t xml:space="preserve">Threatened fishes of the world: </w:t>
      </w:r>
      <w:r w:rsidRPr="00340067">
        <w:rPr>
          <w:rFonts w:asciiTheme="minorHAnsi" w:hAnsiTheme="minorHAnsi"/>
          <w:i/>
        </w:rPr>
        <w:t>Scaturiginichthys vermeilipinnis</w:t>
      </w:r>
      <w:r w:rsidRPr="00925BFC">
        <w:rPr>
          <w:rFonts w:asciiTheme="minorHAnsi" w:hAnsiTheme="minorHAnsi"/>
        </w:rPr>
        <w:t xml:space="preserve"> (Ivantsoff, Unmack, Saeed &amp; Crowley 1991)</w:t>
      </w:r>
      <w:r>
        <w:rPr>
          <w:rFonts w:asciiTheme="minorHAnsi" w:hAnsiTheme="minorHAnsi"/>
        </w:rPr>
        <w:t xml:space="preserve"> </w:t>
      </w:r>
      <w:r w:rsidRPr="00925BFC">
        <w:rPr>
          <w:rFonts w:asciiTheme="minorHAnsi" w:hAnsiTheme="minorHAnsi"/>
        </w:rPr>
        <w:t xml:space="preserve">(Pseudomugilidae). </w:t>
      </w:r>
      <w:r w:rsidRPr="00340067">
        <w:rPr>
          <w:rFonts w:asciiTheme="minorHAnsi" w:hAnsiTheme="minorHAnsi"/>
          <w:i/>
        </w:rPr>
        <w:t>Environmental Biology of Fishes</w:t>
      </w:r>
      <w:r>
        <w:rPr>
          <w:rFonts w:asciiTheme="minorHAnsi" w:hAnsiTheme="minorHAnsi"/>
        </w:rPr>
        <w:t xml:space="preserve"> 70</w:t>
      </w:r>
      <w:r w:rsidRPr="00925BFC">
        <w:rPr>
          <w:rFonts w:asciiTheme="minorHAnsi" w:hAnsiTheme="minorHAnsi"/>
        </w:rPr>
        <w:t>: 330-330.</w:t>
      </w:r>
    </w:p>
    <w:p w14:paraId="4A89E182" w14:textId="25ADB165" w:rsidR="00A15951" w:rsidRPr="00925BFC" w:rsidRDefault="00A15951" w:rsidP="00A15951">
      <w:pPr>
        <w:pStyle w:val="References"/>
        <w:ind w:left="284" w:hanging="284"/>
        <w:rPr>
          <w:rFonts w:asciiTheme="minorHAnsi" w:hAnsiTheme="minorHAnsi"/>
        </w:rPr>
      </w:pPr>
      <w:r w:rsidRPr="00925BFC">
        <w:rPr>
          <w:rFonts w:asciiTheme="minorHAnsi" w:hAnsiTheme="minorHAnsi"/>
        </w:rPr>
        <w:t>Welsh W</w:t>
      </w:r>
      <w:r w:rsidR="00520771">
        <w:rPr>
          <w:rFonts w:asciiTheme="minorHAnsi" w:hAnsiTheme="minorHAnsi"/>
        </w:rPr>
        <w:t>.</w:t>
      </w:r>
      <w:r w:rsidRPr="00925BFC">
        <w:rPr>
          <w:rFonts w:asciiTheme="minorHAnsi" w:hAnsiTheme="minorHAnsi"/>
        </w:rPr>
        <w:t>D</w:t>
      </w:r>
      <w:r w:rsidR="00520771">
        <w:rPr>
          <w:rFonts w:asciiTheme="minorHAnsi" w:hAnsiTheme="minorHAnsi"/>
        </w:rPr>
        <w:t>.</w:t>
      </w:r>
      <w:r w:rsidRPr="00925BFC">
        <w:rPr>
          <w:rFonts w:asciiTheme="minorHAnsi" w:hAnsiTheme="minorHAnsi"/>
        </w:rPr>
        <w:t>, Moore C</w:t>
      </w:r>
      <w:r w:rsidR="00520771">
        <w:rPr>
          <w:rFonts w:asciiTheme="minorHAnsi" w:hAnsiTheme="minorHAnsi"/>
        </w:rPr>
        <w:t>.</w:t>
      </w:r>
      <w:r w:rsidRPr="00925BFC">
        <w:rPr>
          <w:rFonts w:asciiTheme="minorHAnsi" w:hAnsiTheme="minorHAnsi"/>
        </w:rPr>
        <w:t>R</w:t>
      </w:r>
      <w:r w:rsidR="00520771">
        <w:rPr>
          <w:rFonts w:asciiTheme="minorHAnsi" w:hAnsiTheme="minorHAnsi"/>
        </w:rPr>
        <w:t>.</w:t>
      </w:r>
      <w:r w:rsidRPr="00925BFC">
        <w:rPr>
          <w:rFonts w:asciiTheme="minorHAnsi" w:hAnsiTheme="minorHAnsi"/>
        </w:rPr>
        <w:t>, Turnadge C</w:t>
      </w:r>
      <w:r w:rsidR="00520771">
        <w:rPr>
          <w:rFonts w:asciiTheme="minorHAnsi" w:hAnsiTheme="minorHAnsi"/>
        </w:rPr>
        <w:t>.</w:t>
      </w:r>
      <w:r w:rsidRPr="00925BFC">
        <w:rPr>
          <w:rFonts w:asciiTheme="minorHAnsi" w:hAnsiTheme="minorHAnsi"/>
        </w:rPr>
        <w:t>J</w:t>
      </w:r>
      <w:r w:rsidR="00520771">
        <w:rPr>
          <w:rFonts w:asciiTheme="minorHAnsi" w:hAnsiTheme="minorHAnsi"/>
        </w:rPr>
        <w:t>.</w:t>
      </w:r>
      <w:r w:rsidRPr="00925BFC">
        <w:rPr>
          <w:rFonts w:asciiTheme="minorHAnsi" w:hAnsiTheme="minorHAnsi"/>
        </w:rPr>
        <w:t>, Smith A</w:t>
      </w:r>
      <w:r w:rsidR="00520771">
        <w:rPr>
          <w:rFonts w:asciiTheme="minorHAnsi" w:hAnsiTheme="minorHAnsi"/>
        </w:rPr>
        <w:t>.</w:t>
      </w:r>
      <w:r w:rsidRPr="00925BFC">
        <w:rPr>
          <w:rFonts w:asciiTheme="minorHAnsi" w:hAnsiTheme="minorHAnsi"/>
        </w:rPr>
        <w:t>J</w:t>
      </w:r>
      <w:r w:rsidR="00520771">
        <w:rPr>
          <w:rFonts w:asciiTheme="minorHAnsi" w:hAnsiTheme="minorHAnsi"/>
        </w:rPr>
        <w:t>.</w:t>
      </w:r>
      <w:r w:rsidRPr="00925BFC">
        <w:rPr>
          <w:rFonts w:asciiTheme="minorHAnsi" w:hAnsiTheme="minorHAnsi"/>
        </w:rPr>
        <w:t xml:space="preserve"> &amp; Barr T</w:t>
      </w:r>
      <w:r w:rsidR="00520771">
        <w:rPr>
          <w:rFonts w:asciiTheme="minorHAnsi" w:hAnsiTheme="minorHAnsi"/>
        </w:rPr>
        <w:t>.</w:t>
      </w:r>
      <w:r w:rsidRPr="00925BFC">
        <w:rPr>
          <w:rFonts w:asciiTheme="minorHAnsi" w:hAnsiTheme="minorHAnsi"/>
        </w:rPr>
        <w:t>M</w:t>
      </w:r>
      <w:r>
        <w:rPr>
          <w:rFonts w:asciiTheme="minorHAnsi" w:hAnsiTheme="minorHAnsi"/>
        </w:rPr>
        <w:t>.</w:t>
      </w:r>
      <w:r w:rsidRPr="00925BFC">
        <w:rPr>
          <w:rFonts w:asciiTheme="minorHAnsi" w:hAnsiTheme="minorHAnsi"/>
        </w:rPr>
        <w:t xml:space="preserve"> (2012). Modelling of climate and groundwater development. A technical report to the Australian Government from the CSIRO Great Artesian Basin Water Resource Assessment. CSIRO Water for a Healthy Country Flagship, Australia.</w:t>
      </w:r>
    </w:p>
    <w:p w14:paraId="269D2027" w14:textId="137B476F" w:rsidR="00A15951" w:rsidRPr="00925BFC" w:rsidRDefault="00A15951" w:rsidP="00A15951">
      <w:pPr>
        <w:pStyle w:val="References"/>
        <w:ind w:left="284" w:hanging="284"/>
        <w:rPr>
          <w:rFonts w:asciiTheme="minorHAnsi" w:hAnsiTheme="minorHAnsi"/>
        </w:rPr>
      </w:pPr>
      <w:r w:rsidRPr="00925BFC">
        <w:rPr>
          <w:rFonts w:asciiTheme="minorHAnsi" w:hAnsiTheme="minorHAnsi"/>
        </w:rPr>
        <w:t>Worthington-Wilmer J</w:t>
      </w:r>
      <w:r w:rsidR="00520771">
        <w:rPr>
          <w:rFonts w:asciiTheme="minorHAnsi" w:hAnsiTheme="minorHAnsi"/>
        </w:rPr>
        <w:t>.</w:t>
      </w:r>
      <w:r>
        <w:rPr>
          <w:rFonts w:asciiTheme="minorHAnsi" w:hAnsiTheme="minorHAnsi"/>
        </w:rPr>
        <w:t xml:space="preserve"> &amp;</w:t>
      </w:r>
      <w:r w:rsidRPr="00925BFC">
        <w:rPr>
          <w:rFonts w:asciiTheme="minorHAnsi" w:hAnsiTheme="minorHAnsi"/>
        </w:rPr>
        <w:t xml:space="preserve"> Wilcox </w:t>
      </w:r>
      <w:r>
        <w:rPr>
          <w:rFonts w:asciiTheme="minorHAnsi" w:hAnsiTheme="minorHAnsi"/>
        </w:rPr>
        <w:t xml:space="preserve">C. </w:t>
      </w:r>
      <w:r w:rsidRPr="00925BFC">
        <w:rPr>
          <w:rFonts w:asciiTheme="minorHAnsi" w:hAnsiTheme="minorHAnsi"/>
        </w:rPr>
        <w:t xml:space="preserve">(2007). Fine scale patterns of migration and gene flow in the endangered mound spring snail, Fonscochlea accepta (Mollusca : Hydrobiidae) </w:t>
      </w:r>
      <w:r>
        <w:rPr>
          <w:rFonts w:asciiTheme="minorHAnsi" w:hAnsiTheme="minorHAnsi"/>
        </w:rPr>
        <w:t>in arid Australia.</w:t>
      </w:r>
      <w:r w:rsidRPr="00925BFC">
        <w:rPr>
          <w:rFonts w:asciiTheme="minorHAnsi" w:hAnsiTheme="minorHAnsi"/>
        </w:rPr>
        <w:t xml:space="preserve"> </w:t>
      </w:r>
      <w:r w:rsidRPr="00340067">
        <w:rPr>
          <w:rFonts w:asciiTheme="minorHAnsi" w:hAnsiTheme="minorHAnsi"/>
          <w:i/>
        </w:rPr>
        <w:t>Conservation Genetics</w:t>
      </w:r>
      <w:r>
        <w:rPr>
          <w:rFonts w:asciiTheme="minorHAnsi" w:hAnsiTheme="minorHAnsi"/>
        </w:rPr>
        <w:t xml:space="preserve"> 8</w:t>
      </w:r>
      <w:r w:rsidRPr="00925BFC">
        <w:rPr>
          <w:rFonts w:asciiTheme="minorHAnsi" w:hAnsiTheme="minorHAnsi"/>
        </w:rPr>
        <w:t>: 617-628.</w:t>
      </w:r>
    </w:p>
    <w:p w14:paraId="74E74F88" w14:textId="7606006B" w:rsidR="00A15951" w:rsidRPr="00925BFC" w:rsidRDefault="00A15951" w:rsidP="00A15951">
      <w:pPr>
        <w:pStyle w:val="References"/>
        <w:ind w:left="284" w:hanging="284"/>
        <w:rPr>
          <w:rFonts w:asciiTheme="minorHAnsi" w:hAnsiTheme="minorHAnsi"/>
        </w:rPr>
      </w:pPr>
      <w:r w:rsidRPr="00925BFC">
        <w:rPr>
          <w:rFonts w:asciiTheme="minorHAnsi" w:hAnsiTheme="minorHAnsi"/>
        </w:rPr>
        <w:t>Worthington-Wilmer</w:t>
      </w:r>
      <w:r>
        <w:rPr>
          <w:rFonts w:asciiTheme="minorHAnsi" w:hAnsiTheme="minorHAnsi"/>
        </w:rPr>
        <w:t xml:space="preserve"> J</w:t>
      </w:r>
      <w:r w:rsidR="00520771">
        <w:rPr>
          <w:rFonts w:asciiTheme="minorHAnsi" w:hAnsiTheme="minorHAnsi"/>
        </w:rPr>
        <w:t>.</w:t>
      </w:r>
      <w:r w:rsidRPr="00925BFC">
        <w:rPr>
          <w:rFonts w:asciiTheme="minorHAnsi" w:hAnsiTheme="minorHAnsi"/>
        </w:rPr>
        <w:t>, Elkin</w:t>
      </w:r>
      <w:r>
        <w:rPr>
          <w:rFonts w:asciiTheme="minorHAnsi" w:hAnsiTheme="minorHAnsi"/>
        </w:rPr>
        <w:t xml:space="preserve"> C</w:t>
      </w:r>
      <w:r w:rsidR="00520771">
        <w:rPr>
          <w:rFonts w:asciiTheme="minorHAnsi" w:hAnsiTheme="minorHAnsi"/>
        </w:rPr>
        <w:t>.</w:t>
      </w:r>
      <w:r w:rsidRPr="00925BFC">
        <w:rPr>
          <w:rFonts w:asciiTheme="minorHAnsi" w:hAnsiTheme="minorHAnsi"/>
        </w:rPr>
        <w:t>, Wilcox</w:t>
      </w:r>
      <w:r>
        <w:rPr>
          <w:rFonts w:asciiTheme="minorHAnsi" w:hAnsiTheme="minorHAnsi"/>
        </w:rPr>
        <w:t xml:space="preserve"> C</w:t>
      </w:r>
      <w:r w:rsidR="00520771">
        <w:rPr>
          <w:rFonts w:asciiTheme="minorHAnsi" w:hAnsiTheme="minorHAnsi"/>
        </w:rPr>
        <w:t>.</w:t>
      </w:r>
      <w:r>
        <w:rPr>
          <w:rFonts w:asciiTheme="minorHAnsi" w:hAnsiTheme="minorHAnsi"/>
        </w:rPr>
        <w:t xml:space="preserve">, </w:t>
      </w:r>
      <w:r w:rsidRPr="00925BFC">
        <w:rPr>
          <w:rFonts w:asciiTheme="minorHAnsi" w:hAnsiTheme="minorHAnsi"/>
        </w:rPr>
        <w:t>Murray</w:t>
      </w:r>
      <w:r>
        <w:rPr>
          <w:rFonts w:asciiTheme="minorHAnsi" w:hAnsiTheme="minorHAnsi"/>
        </w:rPr>
        <w:t xml:space="preserve"> L</w:t>
      </w:r>
      <w:r w:rsidR="00520771">
        <w:rPr>
          <w:rFonts w:asciiTheme="minorHAnsi" w:hAnsiTheme="minorHAnsi"/>
        </w:rPr>
        <w:t>.</w:t>
      </w:r>
      <w:r w:rsidRPr="00925BFC">
        <w:rPr>
          <w:rFonts w:asciiTheme="minorHAnsi" w:hAnsiTheme="minorHAnsi"/>
        </w:rPr>
        <w:t>, Niejalke</w:t>
      </w:r>
      <w:r>
        <w:rPr>
          <w:rFonts w:asciiTheme="minorHAnsi" w:hAnsiTheme="minorHAnsi"/>
        </w:rPr>
        <w:t xml:space="preserve"> D</w:t>
      </w:r>
      <w:r w:rsidR="00520771">
        <w:rPr>
          <w:rFonts w:asciiTheme="minorHAnsi" w:hAnsiTheme="minorHAnsi"/>
        </w:rPr>
        <w:t>.</w:t>
      </w:r>
      <w:r>
        <w:rPr>
          <w:rFonts w:asciiTheme="minorHAnsi" w:hAnsiTheme="minorHAnsi"/>
        </w:rPr>
        <w:t xml:space="preserve"> &amp; </w:t>
      </w:r>
      <w:r w:rsidRPr="00925BFC">
        <w:rPr>
          <w:rFonts w:asciiTheme="minorHAnsi" w:hAnsiTheme="minorHAnsi"/>
        </w:rPr>
        <w:t xml:space="preserve">Possingham </w:t>
      </w:r>
      <w:r>
        <w:rPr>
          <w:rFonts w:asciiTheme="minorHAnsi" w:hAnsiTheme="minorHAnsi"/>
        </w:rPr>
        <w:t xml:space="preserve">H. (2008). </w:t>
      </w:r>
      <w:r w:rsidRPr="00925BFC">
        <w:rPr>
          <w:rFonts w:asciiTheme="minorHAnsi" w:hAnsiTheme="minorHAnsi"/>
        </w:rPr>
        <w:t>The influence of multiple dispersal mechanisms and landscape structure on population clustering and connectivity in fragmented artesian spring snail populations.</w:t>
      </w:r>
      <w:r>
        <w:rPr>
          <w:rFonts w:asciiTheme="minorHAnsi" w:hAnsiTheme="minorHAnsi"/>
        </w:rPr>
        <w:t xml:space="preserve"> </w:t>
      </w:r>
      <w:r w:rsidRPr="00340067">
        <w:rPr>
          <w:rFonts w:asciiTheme="minorHAnsi" w:hAnsiTheme="minorHAnsi"/>
          <w:i/>
        </w:rPr>
        <w:t>Molecular Ecology</w:t>
      </w:r>
      <w:r>
        <w:rPr>
          <w:rFonts w:asciiTheme="minorHAnsi" w:hAnsiTheme="minorHAnsi"/>
        </w:rPr>
        <w:t xml:space="preserve"> 17</w:t>
      </w:r>
      <w:r w:rsidRPr="00925BFC">
        <w:rPr>
          <w:rFonts w:asciiTheme="minorHAnsi" w:hAnsiTheme="minorHAnsi"/>
        </w:rPr>
        <w:t>: 3733-3751.</w:t>
      </w:r>
    </w:p>
    <w:p w14:paraId="68E30CAA" w14:textId="49CB1CC6" w:rsidR="00A15951" w:rsidRPr="00925BFC" w:rsidRDefault="00A15951" w:rsidP="00A15951">
      <w:pPr>
        <w:pStyle w:val="References"/>
        <w:ind w:left="284" w:hanging="284"/>
        <w:rPr>
          <w:rFonts w:asciiTheme="minorHAnsi" w:hAnsiTheme="minorHAnsi"/>
        </w:rPr>
      </w:pPr>
      <w:r w:rsidRPr="00925BFC">
        <w:rPr>
          <w:rFonts w:asciiTheme="minorHAnsi" w:hAnsiTheme="minorHAnsi"/>
        </w:rPr>
        <w:t>Worthington-Wilmer J</w:t>
      </w:r>
      <w:r w:rsidR="00520771">
        <w:rPr>
          <w:rFonts w:asciiTheme="minorHAnsi" w:hAnsiTheme="minorHAnsi"/>
        </w:rPr>
        <w:t>.</w:t>
      </w:r>
      <w:r w:rsidRPr="00925BFC">
        <w:rPr>
          <w:rFonts w:asciiTheme="minorHAnsi" w:hAnsiTheme="minorHAnsi"/>
        </w:rPr>
        <w:t>, Murray</w:t>
      </w:r>
      <w:r>
        <w:rPr>
          <w:rFonts w:asciiTheme="minorHAnsi" w:hAnsiTheme="minorHAnsi"/>
        </w:rPr>
        <w:t xml:space="preserve"> L</w:t>
      </w:r>
      <w:r w:rsidR="00520771">
        <w:rPr>
          <w:rFonts w:asciiTheme="minorHAnsi" w:hAnsiTheme="minorHAnsi"/>
        </w:rPr>
        <w:t>.</w:t>
      </w:r>
      <w:r w:rsidRPr="00925BFC">
        <w:rPr>
          <w:rFonts w:asciiTheme="minorHAnsi" w:hAnsiTheme="minorHAnsi"/>
        </w:rPr>
        <w:t>, Elkin</w:t>
      </w:r>
      <w:r>
        <w:rPr>
          <w:rFonts w:asciiTheme="minorHAnsi" w:hAnsiTheme="minorHAnsi"/>
        </w:rPr>
        <w:t xml:space="preserve"> C</w:t>
      </w:r>
      <w:r w:rsidR="00520771">
        <w:rPr>
          <w:rFonts w:asciiTheme="minorHAnsi" w:hAnsiTheme="minorHAnsi"/>
        </w:rPr>
        <w:t>.</w:t>
      </w:r>
      <w:r>
        <w:rPr>
          <w:rFonts w:asciiTheme="minorHAnsi" w:hAnsiTheme="minorHAnsi"/>
        </w:rPr>
        <w:t xml:space="preserve">, </w:t>
      </w:r>
      <w:r w:rsidRPr="00925BFC">
        <w:rPr>
          <w:rFonts w:asciiTheme="minorHAnsi" w:hAnsiTheme="minorHAnsi"/>
        </w:rPr>
        <w:t>Wilcox</w:t>
      </w:r>
      <w:r>
        <w:rPr>
          <w:rFonts w:asciiTheme="minorHAnsi" w:hAnsiTheme="minorHAnsi"/>
        </w:rPr>
        <w:t xml:space="preserve"> C</w:t>
      </w:r>
      <w:r w:rsidR="00520771">
        <w:rPr>
          <w:rFonts w:asciiTheme="minorHAnsi" w:hAnsiTheme="minorHAnsi"/>
        </w:rPr>
        <w:t>.</w:t>
      </w:r>
      <w:r w:rsidRPr="00925BFC">
        <w:rPr>
          <w:rFonts w:asciiTheme="minorHAnsi" w:hAnsiTheme="minorHAnsi"/>
        </w:rPr>
        <w:t xml:space="preserve">, Niejalke </w:t>
      </w:r>
      <w:r>
        <w:rPr>
          <w:rFonts w:asciiTheme="minorHAnsi" w:hAnsiTheme="minorHAnsi"/>
        </w:rPr>
        <w:t>D</w:t>
      </w:r>
      <w:r w:rsidR="00520771">
        <w:rPr>
          <w:rFonts w:asciiTheme="minorHAnsi" w:hAnsiTheme="minorHAnsi"/>
        </w:rPr>
        <w:t>.</w:t>
      </w:r>
      <w:r>
        <w:rPr>
          <w:rFonts w:asciiTheme="minorHAnsi" w:hAnsiTheme="minorHAnsi"/>
        </w:rPr>
        <w:t xml:space="preserve"> &amp; </w:t>
      </w:r>
      <w:r w:rsidRPr="00925BFC">
        <w:rPr>
          <w:rFonts w:asciiTheme="minorHAnsi" w:hAnsiTheme="minorHAnsi"/>
        </w:rPr>
        <w:t xml:space="preserve">Possingham </w:t>
      </w:r>
      <w:r>
        <w:rPr>
          <w:rFonts w:asciiTheme="minorHAnsi" w:hAnsiTheme="minorHAnsi"/>
        </w:rPr>
        <w:t xml:space="preserve">H. (2011). </w:t>
      </w:r>
      <w:r w:rsidRPr="00925BFC">
        <w:rPr>
          <w:rFonts w:asciiTheme="minorHAnsi" w:hAnsiTheme="minorHAnsi"/>
        </w:rPr>
        <w:t xml:space="preserve">Catastrophic </w:t>
      </w:r>
      <w:r>
        <w:rPr>
          <w:rFonts w:asciiTheme="minorHAnsi" w:hAnsiTheme="minorHAnsi"/>
        </w:rPr>
        <w:t>f</w:t>
      </w:r>
      <w:r w:rsidRPr="00925BFC">
        <w:rPr>
          <w:rFonts w:asciiTheme="minorHAnsi" w:hAnsiTheme="minorHAnsi"/>
        </w:rPr>
        <w:t xml:space="preserve">loods </w:t>
      </w:r>
      <w:r>
        <w:rPr>
          <w:rFonts w:asciiTheme="minorHAnsi" w:hAnsiTheme="minorHAnsi"/>
        </w:rPr>
        <w:t>may pave the way for increased genetic diversity in endemic a</w:t>
      </w:r>
      <w:r w:rsidRPr="00925BFC">
        <w:rPr>
          <w:rFonts w:asciiTheme="minorHAnsi" w:hAnsiTheme="minorHAnsi"/>
        </w:rPr>
        <w:t>rt</w:t>
      </w:r>
      <w:r>
        <w:rPr>
          <w:rFonts w:asciiTheme="minorHAnsi" w:hAnsiTheme="minorHAnsi"/>
        </w:rPr>
        <w:t>esian spring snail populations.</w:t>
      </w:r>
      <w:r w:rsidRPr="00925BFC">
        <w:rPr>
          <w:rFonts w:asciiTheme="minorHAnsi" w:hAnsiTheme="minorHAnsi"/>
        </w:rPr>
        <w:t xml:space="preserve"> </w:t>
      </w:r>
      <w:r w:rsidRPr="00340067">
        <w:rPr>
          <w:rFonts w:asciiTheme="minorHAnsi" w:hAnsiTheme="minorHAnsi"/>
          <w:i/>
        </w:rPr>
        <w:t>Plos One</w:t>
      </w:r>
      <w:r w:rsidRPr="00925BFC">
        <w:rPr>
          <w:rFonts w:asciiTheme="minorHAnsi" w:hAnsiTheme="minorHAnsi"/>
        </w:rPr>
        <w:t xml:space="preserve"> 6(12).</w:t>
      </w:r>
      <w:r w:rsidRPr="00340067">
        <w:t xml:space="preserve"> </w:t>
      </w:r>
      <w:r w:rsidRPr="00340067">
        <w:rPr>
          <w:rFonts w:asciiTheme="minorHAnsi" w:hAnsiTheme="minorHAnsi"/>
        </w:rPr>
        <w:t>e28645. doi:10.1371/journal.pone.0028645</w:t>
      </w:r>
      <w:r>
        <w:rPr>
          <w:rFonts w:asciiTheme="minorHAnsi" w:hAnsiTheme="minorHAnsi"/>
        </w:rPr>
        <w:t>.</w:t>
      </w:r>
    </w:p>
    <w:p w14:paraId="6969C420" w14:textId="77777777" w:rsidR="00A15951" w:rsidRPr="00925BFC" w:rsidRDefault="00A15951" w:rsidP="00A15951">
      <w:pPr>
        <w:pStyle w:val="References"/>
        <w:ind w:left="284" w:hanging="284"/>
        <w:rPr>
          <w:rFonts w:asciiTheme="minorHAnsi" w:hAnsiTheme="minorHAnsi"/>
        </w:rPr>
      </w:pPr>
      <w:r w:rsidRPr="00925BFC">
        <w:rPr>
          <w:rFonts w:asciiTheme="minorHAnsi" w:hAnsiTheme="minorHAnsi"/>
        </w:rPr>
        <w:t>Zeidler</w:t>
      </w:r>
      <w:r>
        <w:rPr>
          <w:rFonts w:asciiTheme="minorHAnsi" w:hAnsiTheme="minorHAnsi"/>
        </w:rPr>
        <w:t xml:space="preserve"> W. (1991). </w:t>
      </w:r>
      <w:r w:rsidRPr="00925BFC">
        <w:rPr>
          <w:rFonts w:asciiTheme="minorHAnsi" w:hAnsiTheme="minorHAnsi"/>
        </w:rPr>
        <w:t xml:space="preserve">A new genus and species of phreatic amphipod (Crustacea; Amphipoda) belonging to the “chiltonia” generic group, from Dalhousie Springs, South Australia. </w:t>
      </w:r>
      <w:r w:rsidRPr="00340067">
        <w:rPr>
          <w:rFonts w:asciiTheme="minorHAnsi" w:hAnsiTheme="minorHAnsi"/>
          <w:i/>
        </w:rPr>
        <w:t>Transactions of the Royal Society of South Australia</w:t>
      </w:r>
      <w:r w:rsidRPr="00925BFC">
        <w:rPr>
          <w:rFonts w:asciiTheme="minorHAnsi" w:hAnsiTheme="minorHAnsi"/>
        </w:rPr>
        <w:t xml:space="preserve"> 115: 177–187.</w:t>
      </w:r>
    </w:p>
    <w:p w14:paraId="48FD4550" w14:textId="77777777" w:rsidR="0044478E" w:rsidRPr="00747E35" w:rsidRDefault="0044478E" w:rsidP="0044478E">
      <w:pPr>
        <w:rPr>
          <w:rFonts w:asciiTheme="minorHAnsi" w:hAnsiTheme="minorHAnsi" w:cstheme="minorHAnsi"/>
        </w:rPr>
      </w:pPr>
    </w:p>
    <w:p w14:paraId="66F653CD"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br w:type="page"/>
      </w:r>
    </w:p>
    <w:p w14:paraId="12F9C142" w14:textId="6687553E" w:rsidR="003D3694" w:rsidRPr="00747E35" w:rsidRDefault="003D3694" w:rsidP="00566456">
      <w:pPr>
        <w:pStyle w:val="Heading1"/>
        <w:rPr>
          <w:rFonts w:asciiTheme="minorHAnsi" w:eastAsiaTheme="majorEastAsia" w:hAnsiTheme="minorHAnsi" w:cstheme="minorHAnsi"/>
        </w:rPr>
      </w:pPr>
      <w:bookmarkStart w:id="448" w:name="_Toc470004914"/>
      <w:r w:rsidRPr="00747E35">
        <w:rPr>
          <w:rFonts w:asciiTheme="minorHAnsi" w:eastAsiaTheme="majorEastAsia" w:hAnsiTheme="minorHAnsi" w:cstheme="minorHAnsi"/>
        </w:rPr>
        <w:lastRenderedPageBreak/>
        <w:t>Synthesis: application of the research, key findings and project outcomes</w:t>
      </w:r>
      <w:bookmarkEnd w:id="448"/>
    </w:p>
    <w:p w14:paraId="1277B607" w14:textId="77777777" w:rsidR="003D3694" w:rsidRPr="00747E35" w:rsidRDefault="003D3694" w:rsidP="003D3694">
      <w:pPr>
        <w:rPr>
          <w:rFonts w:asciiTheme="minorHAnsi" w:hAnsiTheme="minorHAnsi" w:cstheme="minorHAnsi"/>
        </w:rPr>
      </w:pPr>
    </w:p>
    <w:p w14:paraId="158EF519"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Mark Kennard, Martin Andersen, Nick Bond, Ryan Burrows, Stefan Eberhard, Ray Froend, Neil Pettit and Helen Rutlidge</w:t>
      </w:r>
    </w:p>
    <w:p w14:paraId="285D8FA8" w14:textId="77777777" w:rsidR="003D3694" w:rsidRPr="00747E35" w:rsidRDefault="003D3694" w:rsidP="003D3694">
      <w:pPr>
        <w:rPr>
          <w:rFonts w:asciiTheme="minorHAnsi" w:hAnsiTheme="minorHAnsi" w:cstheme="minorHAnsi"/>
        </w:rPr>
      </w:pPr>
    </w:p>
    <w:p w14:paraId="285CF620" w14:textId="54185A8D" w:rsidR="003D3694" w:rsidRPr="00747E35" w:rsidRDefault="003D3694" w:rsidP="00566456">
      <w:pPr>
        <w:pStyle w:val="Heading2"/>
        <w:rPr>
          <w:rFonts w:asciiTheme="minorHAnsi" w:hAnsiTheme="minorHAnsi" w:cstheme="minorHAnsi"/>
        </w:rPr>
      </w:pPr>
      <w:bookmarkStart w:id="449" w:name="_Toc470004915"/>
      <w:r w:rsidRPr="00747E35">
        <w:rPr>
          <w:rFonts w:asciiTheme="minorHAnsi" w:hAnsiTheme="minorHAnsi" w:cstheme="minorHAnsi"/>
        </w:rPr>
        <w:t>Background</w:t>
      </w:r>
      <w:bookmarkEnd w:id="449"/>
    </w:p>
    <w:p w14:paraId="115AF827"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This project set out to quantify </w:t>
      </w:r>
      <w:r w:rsidRPr="00747E35">
        <w:rPr>
          <w:rFonts w:asciiTheme="minorHAnsi" w:hAnsiTheme="minorHAnsi" w:cstheme="minorHAnsi"/>
          <w:shd w:val="clear" w:color="auto" w:fill="FFFFFF"/>
        </w:rPr>
        <w:t xml:space="preserve">ecological responses to changes in surface water and groundwater hydrology in a range of regions and environmental settings.  </w:t>
      </w:r>
      <w:r w:rsidRPr="00747E35">
        <w:rPr>
          <w:rFonts w:asciiTheme="minorHAnsi" w:hAnsiTheme="minorHAnsi" w:cstheme="minorHAnsi"/>
        </w:rPr>
        <w:t xml:space="preserve">We anticipate the methods and key findings from our research </w:t>
      </w:r>
      <w:r w:rsidRPr="00747E35">
        <w:rPr>
          <w:rFonts w:asciiTheme="minorHAnsi" w:hAnsiTheme="minorHAnsi" w:cstheme="minorHAnsi"/>
          <w:shd w:val="clear" w:color="auto" w:fill="FFFFFF"/>
        </w:rPr>
        <w:t xml:space="preserve">will be valuable </w:t>
      </w:r>
      <w:r w:rsidRPr="00747E35">
        <w:rPr>
          <w:rFonts w:asciiTheme="minorHAnsi" w:hAnsiTheme="minorHAnsi" w:cstheme="minorHAnsi"/>
        </w:rPr>
        <w:t xml:space="preserve">for OWS, IESC, proponents of </w:t>
      </w:r>
      <w:r w:rsidRPr="00747E35">
        <w:rPr>
          <w:rFonts w:asciiTheme="minorHAnsi" w:eastAsia="Times New Roman" w:hAnsiTheme="minorHAnsi" w:cstheme="minorHAnsi"/>
          <w:lang w:eastAsia="en-AU"/>
        </w:rPr>
        <w:t>coal seam gas (</w:t>
      </w:r>
      <w:r w:rsidRPr="00747E35">
        <w:rPr>
          <w:rFonts w:asciiTheme="minorHAnsi" w:hAnsiTheme="minorHAnsi" w:cstheme="minorHAnsi"/>
          <w:shd w:val="clear" w:color="auto" w:fill="FFFFFF"/>
        </w:rPr>
        <w:t>CSG) or large coal mining development</w:t>
      </w:r>
      <w:r w:rsidRPr="00747E35">
        <w:rPr>
          <w:rFonts w:asciiTheme="minorHAnsi" w:hAnsiTheme="minorHAnsi" w:cstheme="minorHAnsi"/>
        </w:rPr>
        <w:t xml:space="preserve"> projects, the broader scientific community and other stakeholders.  This section outlines key considerations when applying this knowledge (i.e. how transferable our findings are to other situations and scales).  We detail specific issues associated with transferability and scaling for each of the key ecological response themes examined in the project (relating to biogeochemistry, ecosystem processes, groundwater dependent vegetation, hyporheic fauna, macroinvertebrates and fish).  We also outline how our methods and research findings can inform the development and implementation of monitoring programs</w:t>
      </w:r>
      <w:r w:rsidRPr="00747E35">
        <w:rPr>
          <w:rFonts w:asciiTheme="minorHAnsi" w:eastAsia="Times New Roman" w:hAnsiTheme="minorHAnsi" w:cstheme="minorHAnsi"/>
          <w:lang w:eastAsia="en-AU"/>
        </w:rPr>
        <w:t xml:space="preserve"> aimed at assessing performance of proposed measures to mitigate potential impacts of </w:t>
      </w:r>
      <w:r w:rsidRPr="00747E35">
        <w:rPr>
          <w:rFonts w:asciiTheme="minorHAnsi" w:hAnsiTheme="minorHAnsi" w:cstheme="minorHAnsi"/>
          <w:shd w:val="clear" w:color="auto" w:fill="FFFFFF"/>
        </w:rPr>
        <w:t xml:space="preserve">CSG or large coal mining development.  In particular, </w:t>
      </w:r>
      <w:r w:rsidRPr="00747E35">
        <w:rPr>
          <w:rFonts w:asciiTheme="minorHAnsi" w:hAnsiTheme="minorHAnsi" w:cstheme="minorHAnsi"/>
        </w:rPr>
        <w:t xml:space="preserve">we highlight ways in which some of our findings and research methods offer potential for monitoring impacts of water-related threats associated with </w:t>
      </w:r>
      <w:r w:rsidRPr="00747E35">
        <w:rPr>
          <w:rFonts w:asciiTheme="minorHAnsi" w:eastAsia="Times New Roman" w:hAnsiTheme="minorHAnsi" w:cstheme="minorHAnsi"/>
          <w:color w:val="222222"/>
          <w:lang w:eastAsia="en-AU"/>
        </w:rPr>
        <w:t>coal seam gas extraction and coal mining.</w:t>
      </w:r>
      <w:r w:rsidRPr="00747E35">
        <w:rPr>
          <w:rFonts w:asciiTheme="minorHAnsi" w:hAnsiTheme="minorHAnsi" w:cstheme="minorHAnsi"/>
        </w:rPr>
        <w:t xml:space="preserve">  We conclude with a synthesis of key project findings and describe expected outcomes of the project.</w:t>
      </w:r>
    </w:p>
    <w:p w14:paraId="69EEB16E" w14:textId="77777777" w:rsidR="003D3694" w:rsidRPr="00747E35" w:rsidRDefault="003D3694" w:rsidP="003D3694">
      <w:pPr>
        <w:rPr>
          <w:rFonts w:asciiTheme="minorHAnsi" w:hAnsiTheme="minorHAnsi" w:cstheme="minorHAnsi"/>
        </w:rPr>
      </w:pPr>
    </w:p>
    <w:p w14:paraId="0519AAD2" w14:textId="0D9937F3" w:rsidR="003D3694" w:rsidRPr="00747E35" w:rsidRDefault="003D3694" w:rsidP="00566456">
      <w:pPr>
        <w:pStyle w:val="Heading2"/>
        <w:rPr>
          <w:rFonts w:asciiTheme="minorHAnsi" w:hAnsiTheme="minorHAnsi" w:cstheme="minorHAnsi"/>
        </w:rPr>
      </w:pPr>
      <w:bookmarkStart w:id="450" w:name="_Toc470004916"/>
      <w:r w:rsidRPr="00747E35">
        <w:rPr>
          <w:rFonts w:asciiTheme="minorHAnsi" w:hAnsiTheme="minorHAnsi" w:cstheme="minorHAnsi"/>
        </w:rPr>
        <w:t>Inferential strength, transfer and scaling of ecological response relationships</w:t>
      </w:r>
      <w:bookmarkEnd w:id="450"/>
      <w:r w:rsidRPr="00747E35">
        <w:rPr>
          <w:rFonts w:asciiTheme="minorHAnsi" w:hAnsiTheme="minorHAnsi" w:cstheme="minorHAnsi"/>
        </w:rPr>
        <w:t xml:space="preserve">  </w:t>
      </w:r>
    </w:p>
    <w:p w14:paraId="44BAF64F" w14:textId="77777777" w:rsidR="003D3694" w:rsidRPr="00747E35" w:rsidRDefault="003D3694" w:rsidP="003D3694">
      <w:pPr>
        <w:rPr>
          <w:rFonts w:asciiTheme="minorHAnsi" w:hAnsiTheme="minorHAnsi" w:cstheme="minorHAnsi"/>
          <w:shd w:val="clear" w:color="auto" w:fill="FFFFFF"/>
        </w:rPr>
      </w:pPr>
      <w:r w:rsidRPr="00747E35">
        <w:rPr>
          <w:rFonts w:asciiTheme="minorHAnsi" w:hAnsiTheme="minorHAnsi" w:cstheme="minorHAnsi"/>
          <w:shd w:val="clear" w:color="auto" w:fill="FFFFFF"/>
        </w:rPr>
        <w:t xml:space="preserve">This section concerns the inferential strength and potential broader application of the research concerning ecological responses to changes in surface water and groundwater hydrology (hereafter termed ‘ecological response relationships’).  It is intended to provide general background and key considerations about how our key findings can be applied in new contexts.  Inferential strength and transferability of research is especially relevant to environmental assessments for new coal seam gas (CSG) or large coal mining development proposals (either greenfield or brownfield). These assessments usually draw on past research conducted in different areas to conceptualise ecological responses, to predict potential impacts of the development and to design monitoring programs to detect those impacts as a condition of project approval (IESC 2015). Our research findings, if appropriately applied, can strengthen the scientific basis for these assessment and monitoring designs.  </w:t>
      </w:r>
    </w:p>
    <w:p w14:paraId="5387FB22" w14:textId="77777777" w:rsidR="003D3694" w:rsidRPr="00747E35" w:rsidRDefault="003D3694" w:rsidP="003D3694">
      <w:pPr>
        <w:rPr>
          <w:rFonts w:asciiTheme="minorHAnsi" w:hAnsiTheme="minorHAnsi" w:cstheme="minorHAnsi"/>
          <w:shd w:val="clear" w:color="auto" w:fill="FFFFFF"/>
        </w:rPr>
      </w:pPr>
    </w:p>
    <w:p w14:paraId="22BA174D" w14:textId="41313AD2" w:rsidR="003D3694" w:rsidRPr="00747E35" w:rsidRDefault="003D3694" w:rsidP="00566456">
      <w:pPr>
        <w:pStyle w:val="Heading3"/>
        <w:rPr>
          <w:rFonts w:asciiTheme="minorHAnsi" w:hAnsiTheme="minorHAnsi" w:cstheme="minorHAnsi"/>
          <w:lang w:eastAsia="en-AU"/>
        </w:rPr>
      </w:pPr>
      <w:bookmarkStart w:id="451" w:name="_Toc470004917"/>
      <w:r w:rsidRPr="00747E35">
        <w:rPr>
          <w:rFonts w:asciiTheme="minorHAnsi" w:hAnsiTheme="minorHAnsi" w:cstheme="minorHAnsi"/>
          <w:lang w:eastAsia="en-AU"/>
        </w:rPr>
        <w:t>Inferential strength of ecological response relationships and issues of scope and scale</w:t>
      </w:r>
      <w:bookmarkEnd w:id="451"/>
    </w:p>
    <w:p w14:paraId="581CB78B"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inferential strength of an ecological response relationship reflects the quantity and quality of ‘evidence’ available that supports that relationship.  In other words, how true is the relationship (i.e. is there demonstrated cause and effect) and where else and when could the relationship be validly applied (how </w:t>
      </w:r>
      <w:r w:rsidRPr="00747E35">
        <w:rPr>
          <w:rFonts w:asciiTheme="minorHAnsi" w:hAnsiTheme="minorHAnsi" w:cstheme="minorHAnsi"/>
        </w:rPr>
        <w:lastRenderedPageBreak/>
        <w:t xml:space="preserve">general is the relationship)? The type of scientific evidence used to generate ecological response relationships varies widely, is usually based on a blend of inductive and deductive reasoning (Susser 1986), and may include correlative / observational data, manipulative experimental data (laboratory or field), expert opinion derived through elicitation and multiple lines and levels of evidence, combining some or all of the above (see Norris et al. 2011).  Each approach is valid but each has strengths and weaknesses in terms of the inferential strength of an ecological response relationship.  </w:t>
      </w:r>
    </w:p>
    <w:p w14:paraId="60BA2FC7" w14:textId="0B4366A4" w:rsidR="003D3694" w:rsidRPr="00747E35" w:rsidRDefault="003D3694" w:rsidP="003D3694">
      <w:pPr>
        <w:rPr>
          <w:rFonts w:asciiTheme="minorHAnsi" w:hAnsiTheme="minorHAnsi" w:cstheme="minorHAnsi"/>
        </w:rPr>
      </w:pPr>
      <w:r w:rsidRPr="00747E35">
        <w:rPr>
          <w:rFonts w:asciiTheme="minorHAnsi" w:hAnsiTheme="minorHAnsi" w:cstheme="minorHAnsi"/>
        </w:rPr>
        <w:t>Key considerations concerning the inferential strength of information to draw conclusions or make predictions in new contexts also relate to issues of scope and scale (Mac Nally 2002, Corwin et al. 2006).  Scope and scale typically concern the spatial extent of environmental or ecological systems and the duration of processes associated with them (</w:t>
      </w:r>
      <w:r w:rsidRPr="00747E35">
        <w:rPr>
          <w:rFonts w:asciiTheme="minorHAnsi" w:hAnsiTheme="minorHAnsi" w:cstheme="minorHAnsi"/>
          <w:highlight w:val="yellow"/>
        </w:rPr>
        <w:fldChar w:fldCharType="begin"/>
      </w:r>
      <w:r w:rsidRPr="00747E35">
        <w:rPr>
          <w:rFonts w:asciiTheme="minorHAnsi" w:hAnsiTheme="minorHAnsi" w:cstheme="minorHAnsi"/>
        </w:rPr>
        <w:instrText xml:space="preserve"> REF _Ref467058721 \h </w:instrText>
      </w:r>
      <w:r w:rsidRPr="00747E35">
        <w:rPr>
          <w:rFonts w:asciiTheme="minorHAnsi" w:hAnsiTheme="minorHAnsi" w:cstheme="minorHAnsi"/>
          <w:highlight w:val="yellow"/>
        </w:rPr>
        <w:instrText xml:space="preserve"> \* MERGEFORMAT </w:instrText>
      </w:r>
      <w:r w:rsidRPr="00747E35">
        <w:rPr>
          <w:rFonts w:asciiTheme="minorHAnsi" w:hAnsiTheme="minorHAnsi" w:cstheme="minorHAnsi"/>
          <w:highlight w:val="yellow"/>
        </w:rPr>
      </w:r>
      <w:r w:rsidRPr="00747E35">
        <w:rPr>
          <w:rFonts w:asciiTheme="minorHAnsi" w:hAnsiTheme="minorHAnsi" w:cstheme="minorHAnsi"/>
          <w:highlight w:val="yellow"/>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154</w:t>
      </w:r>
      <w:r w:rsidRPr="00747E35">
        <w:rPr>
          <w:rFonts w:asciiTheme="minorHAnsi" w:hAnsiTheme="minorHAnsi" w:cstheme="minorHAnsi"/>
          <w:highlight w:val="yellow"/>
        </w:rPr>
        <w:fldChar w:fldCharType="end"/>
      </w:r>
      <w:r w:rsidRPr="00747E35">
        <w:rPr>
          <w:rFonts w:asciiTheme="minorHAnsi" w:hAnsiTheme="minorHAnsi" w:cstheme="minorHAnsi"/>
        </w:rPr>
        <w:t>).  Large systems tend to have long histories and long-period dynamics, whereas small systems may respond over shorter time frames, within the constraints imposed at larger/longer scales.  Cross-scale interactions also mean that small-scale processes may have non-linear effects on large scale processes and vice versa (Corwin et al</w:t>
      </w:r>
      <w:r w:rsidR="005E04D7">
        <w:rPr>
          <w:rFonts w:asciiTheme="minorHAnsi" w:hAnsiTheme="minorHAnsi" w:cstheme="minorHAnsi"/>
        </w:rPr>
        <w:t>.</w:t>
      </w:r>
      <w:r w:rsidRPr="00747E35">
        <w:rPr>
          <w:rFonts w:asciiTheme="minorHAnsi" w:hAnsiTheme="minorHAnsi" w:cstheme="minorHAnsi"/>
        </w:rPr>
        <w:t xml:space="preserve"> 2006). </w:t>
      </w:r>
    </w:p>
    <w:p w14:paraId="61C7CECA" w14:textId="77777777" w:rsidR="003D3694" w:rsidRPr="00747E35" w:rsidRDefault="003D3694" w:rsidP="003D3694">
      <w:pPr>
        <w:rPr>
          <w:rFonts w:asciiTheme="minorHAnsi" w:hAnsiTheme="minorHAnsi" w:cstheme="minorHAnsi"/>
        </w:rPr>
      </w:pPr>
    </w:p>
    <w:p w14:paraId="495511FE" w14:textId="77777777" w:rsidR="003D3694" w:rsidRPr="00747E35" w:rsidRDefault="003D3694" w:rsidP="003D3694">
      <w:pPr>
        <w:spacing w:before="200"/>
        <w:jc w:val="center"/>
        <w:rPr>
          <w:rFonts w:asciiTheme="minorHAnsi" w:hAnsiTheme="minorHAnsi" w:cstheme="minorHAnsi"/>
          <w:color w:val="000000"/>
          <w:lang w:val="en-GB"/>
        </w:rPr>
      </w:pPr>
      <w:r w:rsidRPr="00747E35">
        <w:rPr>
          <w:rFonts w:asciiTheme="minorHAnsi" w:hAnsiTheme="minorHAnsi" w:cstheme="minorHAnsi"/>
          <w:noProof/>
          <w:color w:val="000000"/>
          <w:lang w:val="en-AU" w:eastAsia="en-AU"/>
        </w:rPr>
        <w:drawing>
          <wp:inline distT="0" distB="0" distL="0" distR="0" wp14:anchorId="2B9B9FA1" wp14:editId="2EF233CE">
            <wp:extent cx="5777450" cy="5132705"/>
            <wp:effectExtent l="0" t="0" r="0" b="0"/>
            <wp:docPr id="7187" name="Picture 7187"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0" cstate="screen">
                      <a:extLst>
                        <a:ext uri="{28A0092B-C50C-407E-A947-70E740481C1C}">
                          <a14:useLocalDpi xmlns:a14="http://schemas.microsoft.com/office/drawing/2010/main"/>
                        </a:ext>
                      </a:extLst>
                    </a:blip>
                    <a:srcRect/>
                    <a:stretch>
                      <a:fillRect/>
                    </a:stretch>
                  </pic:blipFill>
                  <pic:spPr bwMode="auto">
                    <a:xfrm>
                      <a:off x="0" y="0"/>
                      <a:ext cx="5784545" cy="5139008"/>
                    </a:xfrm>
                    <a:prstGeom prst="rect">
                      <a:avLst/>
                    </a:prstGeom>
                    <a:noFill/>
                  </pic:spPr>
                </pic:pic>
              </a:graphicData>
            </a:graphic>
          </wp:inline>
        </w:drawing>
      </w:r>
    </w:p>
    <w:p w14:paraId="5FA02BB7" w14:textId="77777777" w:rsidR="003D3694" w:rsidRPr="00747E35" w:rsidRDefault="003D3694" w:rsidP="003D3694">
      <w:pPr>
        <w:keepNext/>
        <w:keepLines/>
        <w:spacing w:after="0"/>
        <w:outlineLvl w:val="4"/>
        <w:rPr>
          <w:rFonts w:asciiTheme="minorHAnsi" w:hAnsiTheme="minorHAnsi" w:cstheme="minorHAnsi"/>
          <w:i/>
          <w:color w:val="5B9BD5" w:themeColor="accent1"/>
          <w:sz w:val="20"/>
          <w:szCs w:val="20"/>
        </w:rPr>
      </w:pPr>
      <w:bookmarkStart w:id="452" w:name="_Ref467058721"/>
      <w:r w:rsidRPr="00747E35">
        <w:rPr>
          <w:rFonts w:asciiTheme="minorHAnsi" w:hAnsiTheme="minorHAnsi" w:cstheme="minorHAnsi"/>
          <w:i/>
          <w:color w:val="5B9BD5" w:themeColor="accent1"/>
          <w:sz w:val="20"/>
          <w:szCs w:val="20"/>
        </w:rPr>
        <w:t xml:space="preserve">Figure </w:t>
      </w:r>
      <w:r w:rsidRPr="00747E35">
        <w:rPr>
          <w:rFonts w:asciiTheme="minorHAnsi" w:hAnsiTheme="minorHAnsi" w:cstheme="minorHAnsi"/>
          <w:i/>
          <w:color w:val="5B9BD5" w:themeColor="accent1"/>
          <w:sz w:val="20"/>
          <w:szCs w:val="20"/>
        </w:rPr>
        <w:fldChar w:fldCharType="begin"/>
      </w:r>
      <w:r w:rsidRPr="00747E35">
        <w:rPr>
          <w:rFonts w:asciiTheme="minorHAnsi" w:hAnsiTheme="minorHAnsi" w:cstheme="minorHAnsi"/>
          <w:i/>
          <w:color w:val="5B9BD5" w:themeColor="accent1"/>
          <w:sz w:val="20"/>
          <w:szCs w:val="20"/>
        </w:rPr>
        <w:instrText xml:space="preserve"> SEQ Figure \* ARABIC </w:instrText>
      </w:r>
      <w:r w:rsidRPr="00747E35">
        <w:rPr>
          <w:rFonts w:asciiTheme="minorHAnsi" w:hAnsiTheme="minorHAnsi" w:cstheme="minorHAnsi"/>
          <w:i/>
          <w:color w:val="5B9BD5" w:themeColor="accent1"/>
          <w:sz w:val="20"/>
          <w:szCs w:val="20"/>
        </w:rPr>
        <w:fldChar w:fldCharType="separate"/>
      </w:r>
      <w:r w:rsidR="00D023DD">
        <w:rPr>
          <w:rFonts w:asciiTheme="minorHAnsi" w:hAnsiTheme="minorHAnsi" w:cstheme="minorHAnsi"/>
          <w:i/>
          <w:noProof/>
          <w:color w:val="5B9BD5" w:themeColor="accent1"/>
          <w:sz w:val="20"/>
          <w:szCs w:val="20"/>
        </w:rPr>
        <w:t>154</w:t>
      </w:r>
      <w:r w:rsidRPr="00747E35">
        <w:rPr>
          <w:rFonts w:asciiTheme="minorHAnsi" w:hAnsiTheme="minorHAnsi" w:cstheme="minorHAnsi"/>
          <w:i/>
          <w:noProof/>
          <w:color w:val="5B9BD5" w:themeColor="accent1"/>
          <w:sz w:val="20"/>
          <w:szCs w:val="20"/>
        </w:rPr>
        <w:fldChar w:fldCharType="end"/>
      </w:r>
      <w:bookmarkEnd w:id="452"/>
      <w:r w:rsidRPr="00747E35">
        <w:rPr>
          <w:rFonts w:asciiTheme="minorHAnsi" w:hAnsiTheme="minorHAnsi" w:cstheme="minorHAnsi"/>
          <w:i/>
          <w:color w:val="5B9BD5" w:themeColor="accent1"/>
          <w:sz w:val="20"/>
          <w:szCs w:val="20"/>
        </w:rPr>
        <w:t>.  Conceptualisation of general spatial and temporal domains associated with environmental or ecological systems relating to groundwater influenced streams, rivers and spring wetlands.  The inferential strength of ecological response relationships generated at a particular scale will decline with increasing departure from the spatio-temporal domain(s) from which data were collected and the ecological response generated (Source: modified from Boulton and Brock 1999 and Mac Nally 2002).</w:t>
      </w:r>
    </w:p>
    <w:p w14:paraId="1EBA01A5" w14:textId="77777777" w:rsidR="003D3694" w:rsidRPr="00747E35" w:rsidRDefault="003D3694" w:rsidP="003D3694">
      <w:pPr>
        <w:rPr>
          <w:rFonts w:asciiTheme="minorHAnsi" w:hAnsiTheme="minorHAnsi" w:cstheme="minorHAnsi"/>
        </w:rPr>
      </w:pPr>
    </w:p>
    <w:p w14:paraId="60DDDB93"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lastRenderedPageBreak/>
        <w:t>Issues of scope and scale highlights questions of whether ecological research is conducted at inappropriate scales for many ecological objects, especially in temporal terms (studies too short in duration), whether the choice of scale matches the needs of natural resource and conservation managers, or whether inferences drawn from restricted scales can be transferred to other situations and scales (upscaling for example).  It is relatively straightforward to identify the overall spatial extent and duration of a particular study system (e.g. in this project, the upper Bremer River catchment was studied for one year), the size of sampling units in which data is collected (e.g. habitat patches within stream reaches), and the sampling frequency used (e.g. surveys were conducted bimonthly).  While specification of sampling details provides precise information on the implied relevance of the study, it does not necessarily help to identify the extent to which this information can be transferred or scaled up (or down).</w:t>
      </w:r>
    </w:p>
    <w:p w14:paraId="3A3D7EEE" w14:textId="77777777" w:rsidR="003D3694" w:rsidRPr="00747E35" w:rsidRDefault="003D3694" w:rsidP="003D3694">
      <w:pPr>
        <w:rPr>
          <w:rFonts w:asciiTheme="minorHAnsi" w:hAnsiTheme="minorHAnsi" w:cstheme="minorHAnsi"/>
        </w:rPr>
      </w:pPr>
    </w:p>
    <w:p w14:paraId="643B32D8" w14:textId="7808CDF6" w:rsidR="003D3694" w:rsidRPr="00747E35" w:rsidRDefault="003D3694" w:rsidP="00566456">
      <w:pPr>
        <w:pStyle w:val="Heading3"/>
        <w:rPr>
          <w:rFonts w:asciiTheme="minorHAnsi" w:hAnsiTheme="minorHAnsi" w:cstheme="minorHAnsi"/>
          <w:lang w:eastAsia="en-AU"/>
        </w:rPr>
      </w:pPr>
      <w:bookmarkStart w:id="453" w:name="_Toc470004918"/>
      <w:r w:rsidRPr="00747E35">
        <w:rPr>
          <w:rFonts w:asciiTheme="minorHAnsi" w:hAnsiTheme="minorHAnsi" w:cstheme="minorHAnsi"/>
          <w:lang w:eastAsia="en-AU"/>
        </w:rPr>
        <w:t>Transfer and scaling of responses through space and time</w:t>
      </w:r>
      <w:bookmarkEnd w:id="453"/>
      <w:r w:rsidRPr="00747E35">
        <w:rPr>
          <w:rFonts w:asciiTheme="minorHAnsi" w:hAnsiTheme="minorHAnsi" w:cstheme="minorHAnsi"/>
          <w:lang w:eastAsia="en-AU"/>
        </w:rPr>
        <w:t xml:space="preserve"> </w:t>
      </w:r>
    </w:p>
    <w:p w14:paraId="4E1A861F"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 xml:space="preserve">Ecologists have long sought to distinguish relationships that are general from those that are idiosyncratic to a narrow range of conditions (Peters 1991, Wenger and Olden 2012).  Although relationships that are limited in scope and scale may be interesting and informative, they are not necessarily broadly applicable, or likely to constitute a general rule, or hence be useful for environmental management. Instead, models are sought that are variously (and interchangeably) said to have generality, generalisability and/or transferability to datasets or situations other than the one for which they were developed (Wenger and Olden 2012). Most ecologists view the generality of a model as being proportional to the number of biological systems or environmental conditions that a model can capture or to which its conclusions can be applied (Evans et al. 2013). </w:t>
      </w:r>
    </w:p>
    <w:p w14:paraId="6A98448D"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 xml:space="preserve">The issue of transferability has been the subject of ecological interest for a number of years, but has greatly increased with the rise of the field of species distribution modelling in the 2000s (Elith and Leathwick 2009). Researchers have investigated whether a species distribution model developed in one region can successfully predict distributions in a different region (e.g. Kennard et al. 2007) and whether models developed in one time period can predict distributions in a different time period with different weather or climatic conditions (e.g. Kennard et al. 2006). In some places, climates will shift to entirely novel ones that lack current analogues (Williams, et al. 2007), potentially further limiting transferability of a species distribution model calibrated under an entirely different set of environmental conditions.  Such questions of generality are equally applicable to models of physical phenomena (e.g. models of temperature), of ecological processes (e.g. denitrification rates), or of population parameters (e.g. growth rates) (Wenger and Olden 2012). The key challenge is that there can be considerable spatial or temporal heterogeneity in environment-ecology response relationships, and this heterogeneity can limit model generality (Wenger and Olden 2012).  </w:t>
      </w:r>
    </w:p>
    <w:p w14:paraId="6E8AC7A3" w14:textId="646ACD08"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Key to the issue of transferability is that ecological response relationships can most reliably be transferred to situations with environmental conditions (through space and time) within the scale and scope (</w:t>
      </w:r>
      <w:r w:rsidRPr="00747E35">
        <w:rPr>
          <w:rFonts w:asciiTheme="minorHAnsi" w:hAnsiTheme="minorHAnsi" w:cstheme="minorHAnsi"/>
          <w:highlight w:val="yellow"/>
          <w:lang w:val="en-GB" w:eastAsia="en-AU"/>
        </w:rPr>
        <w:fldChar w:fldCharType="begin"/>
      </w:r>
      <w:r w:rsidRPr="00747E35">
        <w:rPr>
          <w:rFonts w:asciiTheme="minorHAnsi" w:hAnsiTheme="minorHAnsi" w:cstheme="minorHAnsi"/>
          <w:lang w:val="en-GB" w:eastAsia="en-AU"/>
        </w:rPr>
        <w:instrText xml:space="preserve"> REF _Ref467058721 \h </w:instrText>
      </w:r>
      <w:r w:rsidRPr="00747E35">
        <w:rPr>
          <w:rFonts w:asciiTheme="minorHAnsi" w:hAnsiTheme="minorHAnsi" w:cstheme="minorHAnsi"/>
          <w:highlight w:val="yellow"/>
          <w:lang w:val="en-GB" w:eastAsia="en-AU"/>
        </w:rPr>
        <w:instrText xml:space="preserve"> \* MERGEFORMAT </w:instrText>
      </w:r>
      <w:r w:rsidRPr="00747E35">
        <w:rPr>
          <w:rFonts w:asciiTheme="minorHAnsi" w:hAnsiTheme="minorHAnsi" w:cstheme="minorHAnsi"/>
          <w:highlight w:val="yellow"/>
          <w:lang w:val="en-GB" w:eastAsia="en-AU"/>
        </w:rPr>
      </w:r>
      <w:r w:rsidRPr="00747E35">
        <w:rPr>
          <w:rFonts w:asciiTheme="minorHAnsi" w:hAnsiTheme="minorHAnsi" w:cstheme="minorHAnsi"/>
          <w:highlight w:val="yellow"/>
          <w:lang w:val="en-GB"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154</w:t>
      </w:r>
      <w:r w:rsidRPr="00747E35">
        <w:rPr>
          <w:rFonts w:asciiTheme="minorHAnsi" w:hAnsiTheme="minorHAnsi" w:cstheme="minorHAnsi"/>
          <w:highlight w:val="yellow"/>
          <w:lang w:val="en-GB" w:eastAsia="en-AU"/>
        </w:rPr>
        <w:fldChar w:fldCharType="end"/>
      </w:r>
      <w:r w:rsidRPr="00747E35">
        <w:rPr>
          <w:rFonts w:asciiTheme="minorHAnsi" w:hAnsiTheme="minorHAnsi" w:cstheme="minorHAnsi"/>
          <w:lang w:val="en-GB" w:eastAsia="en-AU"/>
        </w:rPr>
        <w:t xml:space="preserve">) </w:t>
      </w:r>
      <w:r w:rsidRPr="00747E35">
        <w:rPr>
          <w:rFonts w:asciiTheme="minorHAnsi" w:hAnsiTheme="minorHAnsi" w:cstheme="minorHAnsi"/>
          <w:lang w:eastAsia="en-AU"/>
        </w:rPr>
        <w:t>of the conditions in which the relationship was developed.  Transfer beyond this range should be made with caution. Environmental or biological regionalisations or classifications (e.g. of hydrology, groundwater dependent ecosystem type, climate, bioregion; see Olden et al. 2012) can assist with deciding on appropriate situations for model/knowledge transfer, provided that the environmental attributes used to inform the assessment are functionally/mechanistically related to the response variables of interest (Poff et al. 2010).</w:t>
      </w:r>
    </w:p>
    <w:p w14:paraId="5D19A010"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 xml:space="preserve">Importantly, different ecological response variables likely vary in their transferability, and for different reasons. For example, measures of ecological processes (e.g. organic matter decomposition) </w:t>
      </w:r>
      <w:r w:rsidRPr="00747E35">
        <w:rPr>
          <w:rFonts w:asciiTheme="minorHAnsi" w:hAnsiTheme="minorHAnsi" w:cstheme="minorHAnsi"/>
        </w:rPr>
        <w:t xml:space="preserve">may vary due to changes in resource supply and local physical properties of the environment, which are in turn linked to seasonal climate conditions and the nature of land–water connections, </w:t>
      </w:r>
      <w:r w:rsidRPr="00747E35">
        <w:rPr>
          <w:rFonts w:asciiTheme="minorHAnsi" w:hAnsiTheme="minorHAnsi" w:cstheme="minorHAnsi"/>
          <w:lang w:eastAsia="en-AU"/>
        </w:rPr>
        <w:t xml:space="preserve">functional attributes of biotic communities (e.g. based on species’ traits describing morphology, resource use, life history, etc.) may be constrained by phylogenetic history (Sternberg and Kennard 2013), and species distributions may be </w:t>
      </w:r>
      <w:r w:rsidRPr="00747E35">
        <w:rPr>
          <w:rFonts w:asciiTheme="minorHAnsi" w:hAnsiTheme="minorHAnsi" w:cstheme="minorHAnsi"/>
          <w:lang w:eastAsia="en-AU"/>
        </w:rPr>
        <w:lastRenderedPageBreak/>
        <w:t>constrained by biogeographic factors such as regional species pools and spatial connectivity (Poff 1997, Sternberg et al. 2014).</w:t>
      </w:r>
    </w:p>
    <w:p w14:paraId="3B1E7CB9" w14:textId="77777777" w:rsidR="003D3694" w:rsidRPr="00747E35" w:rsidRDefault="003D3694" w:rsidP="003D3694">
      <w:pPr>
        <w:rPr>
          <w:rFonts w:asciiTheme="minorHAnsi" w:hAnsiTheme="minorHAnsi" w:cstheme="minorHAnsi"/>
        </w:rPr>
      </w:pPr>
      <w:r w:rsidRPr="00747E35">
        <w:rPr>
          <w:rFonts w:asciiTheme="minorHAnsi" w:hAnsiTheme="minorHAnsi" w:cstheme="minorHAnsi"/>
          <w:lang w:eastAsia="en-AU"/>
        </w:rPr>
        <w:t>These issues highlight the need to understand the factors responsible for shaping ecological responses generated in a particular setting</w:t>
      </w:r>
      <w:r w:rsidRPr="00747E35">
        <w:rPr>
          <w:rFonts w:asciiTheme="minorHAnsi" w:hAnsiTheme="minorHAnsi" w:cstheme="minorHAnsi"/>
        </w:rPr>
        <w:t xml:space="preserve"> and </w:t>
      </w:r>
      <w:r w:rsidRPr="00747E35">
        <w:rPr>
          <w:rFonts w:asciiTheme="minorHAnsi" w:hAnsiTheme="minorHAnsi" w:cstheme="minorHAnsi"/>
          <w:lang w:eastAsia="en-AU"/>
        </w:rPr>
        <w:t>potential confounding influences, before the response relationship can be reliably applied elsewhere (e.g. to predict ecological responses to groundwater drawdown).  Conceptual models that articulate ecological response relationships and include key drivers and potential confounding factors can aid in this process (</w:t>
      </w:r>
      <w:r w:rsidRPr="00747E35">
        <w:rPr>
          <w:rFonts w:asciiTheme="minorHAnsi" w:hAnsiTheme="minorHAnsi" w:cstheme="minorHAnsi"/>
        </w:rPr>
        <w:t xml:space="preserve">Commonwealth of Australia 2015).  The improved understanding of </w:t>
      </w:r>
      <w:r w:rsidRPr="00747E35">
        <w:rPr>
          <w:rFonts w:asciiTheme="minorHAnsi" w:hAnsiTheme="minorHAnsi" w:cstheme="minorHAnsi"/>
          <w:shd w:val="clear" w:color="auto" w:fill="FFFFFF"/>
        </w:rPr>
        <w:t>ecological responses to changes in surface water and groundwater hydrology generated through our project</w:t>
      </w:r>
      <w:r w:rsidRPr="00747E35">
        <w:rPr>
          <w:rFonts w:asciiTheme="minorHAnsi" w:hAnsiTheme="minorHAnsi" w:cstheme="minorHAnsi"/>
        </w:rPr>
        <w:t xml:space="preserve"> enabled the development of conceptual models that can facilitate the transferability of the findings from this research program to other situations for use by scientists, OWS, IESC, and development proponents. More detailed information is provided below regarding the potential transferability and scalability of findings for different ecological responses examined in this project. </w:t>
      </w:r>
    </w:p>
    <w:p w14:paraId="1BA3A92A" w14:textId="77777777" w:rsidR="003D3694" w:rsidRPr="00747E35" w:rsidRDefault="003D3694" w:rsidP="003D3694">
      <w:pPr>
        <w:rPr>
          <w:rFonts w:asciiTheme="minorHAnsi" w:hAnsiTheme="minorHAnsi" w:cstheme="minorHAnsi"/>
          <w:lang w:eastAsia="en-AU"/>
        </w:rPr>
      </w:pPr>
    </w:p>
    <w:p w14:paraId="709D6F92" w14:textId="4B13F1CE" w:rsidR="003D3694" w:rsidRPr="00747E35" w:rsidRDefault="003D3694" w:rsidP="00566456">
      <w:pPr>
        <w:pStyle w:val="Heading3"/>
        <w:rPr>
          <w:rFonts w:asciiTheme="minorHAnsi" w:eastAsia="Times New Roman" w:hAnsiTheme="minorHAnsi" w:cstheme="minorHAnsi"/>
          <w:lang w:eastAsia="en-AU"/>
        </w:rPr>
      </w:pPr>
      <w:bookmarkStart w:id="454" w:name="_Toc470004919"/>
      <w:r w:rsidRPr="00747E35">
        <w:rPr>
          <w:rFonts w:asciiTheme="minorHAnsi" w:hAnsiTheme="minorHAnsi" w:cstheme="minorHAnsi"/>
          <w:lang w:eastAsia="en-AU"/>
        </w:rPr>
        <w:t>Transferability and scalability of findings for different ecological responses</w:t>
      </w:r>
      <w:bookmarkEnd w:id="454"/>
    </w:p>
    <w:p w14:paraId="62CE2089" w14:textId="77777777" w:rsidR="003D3694" w:rsidRPr="00747E35" w:rsidRDefault="003D3694" w:rsidP="00566456">
      <w:pPr>
        <w:pStyle w:val="Heading4"/>
        <w:rPr>
          <w:rFonts w:asciiTheme="minorHAnsi" w:hAnsiTheme="minorHAnsi" w:cstheme="minorHAnsi"/>
        </w:rPr>
      </w:pPr>
      <w:r w:rsidRPr="00747E35">
        <w:rPr>
          <w:rFonts w:asciiTheme="minorHAnsi" w:hAnsiTheme="minorHAnsi" w:cstheme="minorHAnsi"/>
        </w:rPr>
        <w:t>Hydrology and Biogeochemistry</w:t>
      </w:r>
    </w:p>
    <w:p w14:paraId="18C30236"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The two locations studied in this project had differences in terms of input and chemistry of the regional groundwater. The regional groundwater discharge to the perennial gaining section of the Maules Creek catchment maintains continuous surface flow in this section of the system. In the Bremer River catchment the groundwater input and its chemical composition are temporally more variable and localised. Also, the regional groundwater in the Maules Creek Catchment is oxic, which has been observed in other groundwater basins (Winograd and Robertson, 1982). Despite these differences, both catchments showed similar trends in regard to biogeochemical processes related to OM mineralisation, nitrification and denitrification in the hyporheic zone. The studied sites in the Bremer River catchment were also generally oxic. The results obtained in this study support the conceptual models that have been developed for biogeochemical processes related to OM mineralisation, nitrification and denitrification in the hyporheic zone (for example Zarnetske et al., 2011), which highlights the generality and transferability of these processes.</w:t>
      </w:r>
    </w:p>
    <w:p w14:paraId="0C388E50" w14:textId="77777777" w:rsidR="003D3694" w:rsidRPr="00747E35" w:rsidRDefault="003D3694" w:rsidP="003D3694">
      <w:pPr>
        <w:rPr>
          <w:rFonts w:asciiTheme="minorHAnsi" w:hAnsiTheme="minorHAnsi" w:cstheme="minorHAnsi"/>
        </w:rPr>
      </w:pPr>
    </w:p>
    <w:p w14:paraId="70B84B7B" w14:textId="77777777" w:rsidR="003D3694" w:rsidRPr="00747E35" w:rsidRDefault="003D3694" w:rsidP="00566456">
      <w:pPr>
        <w:pStyle w:val="Heading4"/>
        <w:rPr>
          <w:rFonts w:asciiTheme="minorHAnsi" w:hAnsiTheme="minorHAnsi" w:cstheme="minorHAnsi"/>
        </w:rPr>
      </w:pPr>
      <w:bookmarkStart w:id="455" w:name="_Toc466837650"/>
      <w:r w:rsidRPr="00747E35">
        <w:rPr>
          <w:rFonts w:asciiTheme="minorHAnsi" w:hAnsiTheme="minorHAnsi" w:cstheme="minorHAnsi"/>
        </w:rPr>
        <w:t>Ecosystem processes</w:t>
      </w:r>
      <w:bookmarkEnd w:id="455"/>
    </w:p>
    <w:p w14:paraId="6934A544" w14:textId="77777777" w:rsidR="003D3694" w:rsidRPr="00747E35" w:rsidRDefault="003D3694" w:rsidP="003D3694">
      <w:pPr>
        <w:rPr>
          <w:rFonts w:asciiTheme="minorHAnsi" w:hAnsiTheme="minorHAnsi" w:cstheme="minorHAnsi"/>
        </w:rPr>
      </w:pPr>
      <w:r w:rsidRPr="00747E35">
        <w:rPr>
          <w:rFonts w:asciiTheme="minorHAnsi" w:hAnsiTheme="minorHAnsi" w:cstheme="minorHAnsi"/>
          <w:lang w:eastAsia="en-AU"/>
        </w:rPr>
        <w:t xml:space="preserve">In this study, we used complementary experimental measures of organic matter processing that integrate the detrital processes of many organisms to maximise the transferability and upscaling of the findings. Organic matter processing, and more specifically decomposition of leaf litter, is a fundamental process occurring in aquatic ecosystems, has been widely studied globally, and has previously been shown to alter in response to altered hydrologic regimes. </w:t>
      </w:r>
      <w:r w:rsidRPr="00747E35">
        <w:rPr>
          <w:rFonts w:asciiTheme="minorHAnsi" w:hAnsiTheme="minorHAnsi" w:cstheme="minorHAnsi"/>
        </w:rPr>
        <w:t xml:space="preserve">Leaf litter decay experiments are </w:t>
      </w:r>
      <w:r w:rsidRPr="00747E35">
        <w:rPr>
          <w:rFonts w:asciiTheme="minorHAnsi" w:hAnsiTheme="minorHAnsi" w:cstheme="minorHAnsi"/>
          <w:lang w:eastAsia="en-AU"/>
        </w:rPr>
        <w:t xml:space="preserve">representative of natural detrital processes, and decomposition can be represented by a </w:t>
      </w:r>
      <w:r w:rsidRPr="00747E35">
        <w:rPr>
          <w:rFonts w:asciiTheme="minorHAnsi" w:hAnsiTheme="minorHAnsi" w:cstheme="minorHAnsi"/>
        </w:rPr>
        <w:t>decay rate (</w:t>
      </w:r>
      <w:r w:rsidRPr="00747E35">
        <w:rPr>
          <w:rFonts w:asciiTheme="minorHAnsi" w:hAnsiTheme="minorHAnsi" w:cstheme="minorHAnsi"/>
          <w:i/>
        </w:rPr>
        <w:t>k</w:t>
      </w:r>
      <w:r w:rsidRPr="00747E35">
        <w:rPr>
          <w:rFonts w:asciiTheme="minorHAnsi" w:hAnsiTheme="minorHAnsi" w:cstheme="minorHAnsi"/>
        </w:rPr>
        <w:t>) that takes into account the length of the incubation, which often varies among studies. Decay rates are thus commonly used to compare rates of detrital processing among research from various biomes. However, because different studies often use leaves from local tree species to maximise biological relevance, and the chemical composition (i.e. quality or palatability for biota) of these leaves differs, caution is often required when making comparisons among studies. To overcome this concern, we combined leaf litter experiments with cotton strip assays. Cotton strip assays evaluate the decomposition of cellulose (constitutes 91% of cotton) which does not vary in its chemical composition. Together, these methods: a) assess biologically relevant detrital processes; and, b) employ spatially and temporally standardised approaches.</w:t>
      </w:r>
    </w:p>
    <w:p w14:paraId="23B51E03" w14:textId="77777777" w:rsidR="003D3694" w:rsidRPr="00747E35" w:rsidRDefault="003D3694" w:rsidP="003D3694">
      <w:pPr>
        <w:rPr>
          <w:rFonts w:asciiTheme="minorHAnsi" w:hAnsiTheme="minorHAnsi" w:cstheme="minorHAnsi"/>
        </w:rPr>
      </w:pPr>
      <w:r w:rsidRPr="00747E35">
        <w:rPr>
          <w:rFonts w:asciiTheme="minorHAnsi" w:hAnsiTheme="minorHAnsi" w:cstheme="minorHAnsi"/>
          <w:lang w:eastAsia="en-AU"/>
        </w:rPr>
        <w:t xml:space="preserve">The key findings from the organic matter processing experiment lend support to its transferability to other regions and the upscaling from these patch and reach-scale experiments. </w:t>
      </w:r>
      <w:r w:rsidRPr="00747E35">
        <w:rPr>
          <w:rFonts w:asciiTheme="minorHAnsi" w:hAnsiTheme="minorHAnsi" w:cstheme="minorHAnsi"/>
        </w:rPr>
        <w:t xml:space="preserve">Despite the climatic and ecological differences between our two study regions, we found the same ecological trends in response to hydrological changes. </w:t>
      </w:r>
      <w:r w:rsidRPr="00747E35">
        <w:rPr>
          <w:rFonts w:asciiTheme="minorHAnsi" w:hAnsiTheme="minorHAnsi" w:cstheme="minorHAnsi"/>
          <w:lang w:eastAsia="en-AU"/>
        </w:rPr>
        <w:t xml:space="preserve">The </w:t>
      </w:r>
      <w:r w:rsidRPr="00747E35">
        <w:rPr>
          <w:rFonts w:asciiTheme="minorHAnsi" w:hAnsiTheme="minorHAnsi" w:cstheme="minorHAnsi"/>
        </w:rPr>
        <w:t xml:space="preserve">breakdown of particulate organic matter was primarily driven by the degree of </w:t>
      </w:r>
      <w:r w:rsidRPr="00747E35">
        <w:rPr>
          <w:rFonts w:asciiTheme="minorHAnsi" w:hAnsiTheme="minorHAnsi" w:cstheme="minorHAnsi"/>
        </w:rPr>
        <w:lastRenderedPageBreak/>
        <w:t>substrate saturation, with both habitat-scale and patch-scale measures of hydrological variability predicting variation in detrital processes. Consequently, cotton strip assays and leaf litter incubations should transfer well under diverse ecological settings. Furthermore, there is potential to upscale our patch- and reach-scale findings because hydrological variability was a key predictor of variation in detrital processes. Understanding the temporal and spatial variability in flow regime, and wetted habitat persistence, will enable the prediction of variation in rates of detrital processes throughout river networks.  For example, this prediction could be achieved by combining local-scale estimates of organic matter processing rates during wet and dry periods with hydraulic and hydrologic models to estimate processing potential at larger spatial scales (e.g. stream reaches or river networks). This ‘upscaling’ will allow inferences about the outcomes of altered flow regimes for these particular measurements.</w:t>
      </w:r>
    </w:p>
    <w:p w14:paraId="764D19AD" w14:textId="77777777" w:rsidR="003D3694" w:rsidRPr="00747E35" w:rsidRDefault="003D3694" w:rsidP="003D3694">
      <w:pPr>
        <w:rPr>
          <w:rFonts w:asciiTheme="minorHAnsi" w:hAnsiTheme="minorHAnsi" w:cstheme="minorHAnsi"/>
        </w:rPr>
      </w:pPr>
    </w:p>
    <w:p w14:paraId="06DEF1B8" w14:textId="77777777" w:rsidR="003D3694" w:rsidRPr="00747E35" w:rsidRDefault="003D3694" w:rsidP="00566456">
      <w:pPr>
        <w:pStyle w:val="Heading4"/>
        <w:rPr>
          <w:rFonts w:asciiTheme="minorHAnsi" w:hAnsiTheme="minorHAnsi" w:cstheme="minorHAnsi"/>
        </w:rPr>
      </w:pPr>
      <w:bookmarkStart w:id="456" w:name="_Toc466837651"/>
      <w:r w:rsidRPr="00747E35">
        <w:rPr>
          <w:rFonts w:asciiTheme="minorHAnsi" w:hAnsiTheme="minorHAnsi" w:cstheme="minorHAnsi"/>
        </w:rPr>
        <w:t>Groundwater-dependent vegetation</w:t>
      </w:r>
      <w:bookmarkEnd w:id="456"/>
    </w:p>
    <w:p w14:paraId="1262D297" w14:textId="0715DE70" w:rsidR="00925BFC" w:rsidRPr="00747E35" w:rsidRDefault="00925BFC" w:rsidP="00925BFC">
      <w:pPr>
        <w:rPr>
          <w:rFonts w:asciiTheme="minorHAnsi" w:hAnsiTheme="minorHAnsi" w:cstheme="minorHAnsi"/>
        </w:rPr>
      </w:pPr>
      <w:r w:rsidRPr="00747E35">
        <w:rPr>
          <w:rFonts w:asciiTheme="minorHAnsi" w:hAnsiTheme="minorHAnsi" w:cstheme="minorHAnsi"/>
        </w:rPr>
        <w:t>The relationship of plant functional types to environmental conditions has been widely researched and developed (Lavorel et al. 2011).  Categorising species into plant functional types provides a convenient way of relating plants to their environment as it combines attributes of plant physiology, plant communities and ecosystem processes (Diaz et al. 2007). These plant functional groups based on attributes such as life form, life span, method of propagation, height, cover/function, leaf shape and texture can therefore be used as general indicators of responses to the environment systems (Dansereau 1959, Hutchison 1975). In general, classifications of plant functional groups are relatively easily transferable to any plant community given a reasonable botanical knowledge but does not require extensive or local knowledge of taxonomy. Our approach of developing a typology of plant hydrotypes can be used as part of a field assessment of plant community vulnerability to changes in hydrology such as groundwater drawdown. The development of a typology of plant hydrotypes will assist in assessing potential ecological impacts of changes to groundwater availability, as measuring the proportion of different hydrotypes within a habitat will provide an indication of the degree of reliance on groundwater. Using plant traits to understand ecosystem response is broadly applicable, although caution must be exercised to use trait linkages and trade-offs appropriate to the scale and environmental conditions. Therefore, other local or regional conditions other than groundwater and hydrology, such as soil type or disturbances including fire or herbivory are also likely to effect the distribution and classification of plant functional types.</w:t>
      </w:r>
    </w:p>
    <w:p w14:paraId="403075CA" w14:textId="0DD17075" w:rsidR="003D3694" w:rsidRPr="00747E35" w:rsidRDefault="003D3694" w:rsidP="003D3694">
      <w:pPr>
        <w:rPr>
          <w:rFonts w:asciiTheme="minorHAnsi" w:hAnsiTheme="minorHAnsi" w:cstheme="minorHAnsi"/>
        </w:rPr>
      </w:pPr>
      <w:r w:rsidRPr="00747E35">
        <w:rPr>
          <w:rFonts w:asciiTheme="minorHAnsi" w:hAnsiTheme="minorHAnsi" w:cstheme="minorHAnsi"/>
        </w:rPr>
        <w:t>Results presented here on use of groundwater by river red gum (</w:t>
      </w:r>
      <w:r w:rsidRPr="00747E35">
        <w:rPr>
          <w:rFonts w:asciiTheme="minorHAnsi" w:hAnsiTheme="minorHAnsi" w:cstheme="minorHAnsi"/>
          <w:i/>
        </w:rPr>
        <w:t>Eucalyptus camaldulensis</w:t>
      </w:r>
      <w:r w:rsidRPr="00747E35">
        <w:rPr>
          <w:rFonts w:asciiTheme="minorHAnsi" w:hAnsiTheme="minorHAnsi" w:cstheme="minorHAnsi"/>
        </w:rPr>
        <w:t xml:space="preserve">) are generally applicable for this wide-ranging species.  Red gums are the dominant tree of river systems and floodplains throughout mainland Australia. Our results suggest that with some knowledge of depth and range in groundwater levels, stream </w:t>
      </w:r>
      <w:r w:rsidR="00AB6396">
        <w:rPr>
          <w:rFonts w:asciiTheme="minorHAnsi" w:hAnsiTheme="minorHAnsi" w:cstheme="minorHAnsi"/>
        </w:rPr>
        <w:t>flow regime</w:t>
      </w:r>
      <w:r w:rsidRPr="00747E35">
        <w:rPr>
          <w:rFonts w:asciiTheme="minorHAnsi" w:hAnsiTheme="minorHAnsi" w:cstheme="minorHAnsi"/>
        </w:rPr>
        <w:t xml:space="preserve"> and river and floodplain flood regime, together with knowledge of climate, geology, landscape position and soils we can make some assumptions on their likely dependence on groundwater.  Similarly, from the analysis of plant communities provided here, with some knowledge of plant functional groups we can make an assessment of the likely proportion of a vegetation community that will be groundwater dependent.  </w:t>
      </w:r>
    </w:p>
    <w:p w14:paraId="1E238B8B"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remote sensing analysis indicated that decadal variability of rainfall led to some reduction in vegetation greenness during the particularly dry periods (such as during the Millennium Drought of mid 2000s). During this time the groundwater levels also dropped, in some bores up to 4 m. However, both groundwater levels and vegetation greenness recovered in the wetter periods following the droughts. This recovery is likely to indicate that vegetation is well adapted to the decadal variability of the climatic conditions and variation in water availability associated with it. This remote sensing analysis can assist in the development of a baseline for investigation of the potential impacts of groundwater drawdown from mining activities on vegetation. Small-scale on-ground data can also be used to ‘ground-truth’ the remotely sensed data.  The combination of on-ground studies and remote sensing provides a critical linkage in understanding how plant communities respond to groundwater drawdown at the local and catchment scales. Particular advantages of RS techniques include the availability of historical satellite datasets and the ability to monitor large areas at low cost. The remote sensing techniques we used here can assist in the development of a </w:t>
      </w:r>
      <w:r w:rsidRPr="00747E35">
        <w:rPr>
          <w:rFonts w:asciiTheme="minorHAnsi" w:hAnsiTheme="minorHAnsi" w:cstheme="minorHAnsi"/>
        </w:rPr>
        <w:lastRenderedPageBreak/>
        <w:t>baseline for investigation of the potential impacts of groundwater drawdown from mining activities on vegetation. Small-scale on-ground data can also be used to ‘ground-truth’ the remotely sensed data.</w:t>
      </w:r>
    </w:p>
    <w:p w14:paraId="54AD2012" w14:textId="77777777" w:rsidR="003D3694" w:rsidRPr="00747E35" w:rsidRDefault="003D3694" w:rsidP="003D3694">
      <w:pPr>
        <w:rPr>
          <w:rFonts w:asciiTheme="minorHAnsi" w:hAnsiTheme="minorHAnsi" w:cstheme="minorHAnsi"/>
        </w:rPr>
      </w:pPr>
    </w:p>
    <w:p w14:paraId="10B444CF" w14:textId="77777777" w:rsidR="003D3694" w:rsidRPr="00747E35" w:rsidRDefault="003D3694" w:rsidP="00566456">
      <w:pPr>
        <w:pStyle w:val="Heading4"/>
        <w:rPr>
          <w:rFonts w:asciiTheme="minorHAnsi" w:hAnsiTheme="minorHAnsi" w:cstheme="minorHAnsi"/>
        </w:rPr>
      </w:pPr>
      <w:bookmarkStart w:id="457" w:name="_Toc466837652"/>
      <w:r w:rsidRPr="00747E35">
        <w:rPr>
          <w:rFonts w:asciiTheme="minorHAnsi" w:hAnsiTheme="minorHAnsi" w:cstheme="minorHAnsi"/>
        </w:rPr>
        <w:t>Hyporheic fauna</w:t>
      </w:r>
      <w:bookmarkEnd w:id="457"/>
    </w:p>
    <w:p w14:paraId="6EC06CBF" w14:textId="77777777" w:rsidR="003D3694" w:rsidRPr="00747E35" w:rsidRDefault="003D3694" w:rsidP="003D3694">
      <w:pPr>
        <w:rPr>
          <w:rFonts w:asciiTheme="minorHAnsi" w:hAnsiTheme="minorHAnsi" w:cstheme="minorHAnsi"/>
          <w:lang w:val="en-GB" w:eastAsia="en-AU"/>
        </w:rPr>
      </w:pPr>
      <w:r w:rsidRPr="00747E35">
        <w:rPr>
          <w:rFonts w:asciiTheme="minorHAnsi" w:hAnsiTheme="minorHAnsi" w:cstheme="minorHAnsi"/>
          <w:lang w:val="en-GB" w:eastAsia="en-AU"/>
        </w:rPr>
        <w:t xml:space="preserve">While we expect that the subset of our key findings that is supported in the published literature (refer Component 3 key findings) will be transferable and scalable in a general sense, we advocate a precautionary approach when considering the transferability and scalability of the site-specific findings from our study, because we expect that local context is likely to be fundamentally important. We found that hyporheic invertebrate assemblages were locally highly variable across small vertical and lateral spatial scales. At sub-metre habitat patch scales, taxonomic richness may vary by one order of magnitude, and overall abundance by two orders, and the dispersion of individual taxa may be extremely “clumped” between neighbouring patches. This high localized variability in assemblages is associated with inherent habitat patchiness, the enormous ‘invisible’ heterogeneity that challenges groundwater ecologists worldwide (Griebler et al. 2014). This heterogeneity and variability across all spatio-temporal scales demands a careful approach be taken when considering the transferability and scalability of findings from this study. Additionally, the general paucity of baseline hyporheic ecology studies in Australia means there is little existing benchmark context against which to make comparisons and assessments. Notwithstanding these limitations, </w:t>
      </w:r>
      <w:r w:rsidRPr="00747E35">
        <w:rPr>
          <w:rFonts w:asciiTheme="minorHAnsi" w:hAnsiTheme="minorHAnsi" w:cstheme="minorHAnsi"/>
        </w:rPr>
        <w:t xml:space="preserve">because biodiversity is typically positively correlated with rates of ecosystem function (e.g. Boulton et al. 2008), hyporheic invertebrate diversity indices such as richness, abundance, assemblage structure and functional group composition ought to be a useful tool for assessing and monitoring stream and groundwater ecosystem health and function.  </w:t>
      </w:r>
    </w:p>
    <w:p w14:paraId="6718DA63" w14:textId="34DA0459"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While local and regional taxonomic differences limit comparisons of subsurface assemblages at generic or species level, classifications based on habitat affinities provide a ‘common currency’ that facilitates understanding of parallels and contrasts among different locations, as well as spatio-temporal changes within locations (Claret et al. 1999). Hyporheic invertebrate assemblages (hyporheos) and aquifer invertebrate assemblages (stygofauna) comprise a mixture of taxa with varying functional affinities to surface (epigean) and groundwater (h</w:t>
      </w:r>
      <w:r w:rsidR="006D75D4" w:rsidRPr="00747E35">
        <w:rPr>
          <w:rFonts w:asciiTheme="minorHAnsi" w:hAnsiTheme="minorHAnsi" w:cstheme="minorHAnsi"/>
          <w:lang w:eastAsia="en-AU"/>
        </w:rPr>
        <w:t>ypogean) habitats respectively (</w:t>
      </w:r>
      <w:r w:rsidR="006D75D4" w:rsidRPr="00747E35">
        <w:rPr>
          <w:rFonts w:asciiTheme="minorHAnsi" w:hAnsiTheme="minorHAnsi" w:cstheme="minorHAnsi"/>
          <w:lang w:eastAsia="en-AU"/>
        </w:rPr>
        <w:fldChar w:fldCharType="begin"/>
      </w:r>
      <w:r w:rsidR="006D75D4" w:rsidRPr="00747E35">
        <w:rPr>
          <w:rFonts w:asciiTheme="minorHAnsi" w:hAnsiTheme="minorHAnsi" w:cstheme="minorHAnsi"/>
          <w:lang w:eastAsia="en-AU"/>
        </w:rPr>
        <w:instrText xml:space="preserve"> REF _Ref469043228 \h </w:instrText>
      </w:r>
      <w:r w:rsidR="00925BFC" w:rsidRPr="00747E35">
        <w:rPr>
          <w:rFonts w:asciiTheme="minorHAnsi" w:hAnsiTheme="minorHAnsi" w:cstheme="minorHAnsi"/>
          <w:lang w:eastAsia="en-AU"/>
        </w:rPr>
        <w:instrText xml:space="preserve"> \* MERGEFORMAT </w:instrText>
      </w:r>
      <w:r w:rsidR="006D75D4" w:rsidRPr="00747E35">
        <w:rPr>
          <w:rFonts w:asciiTheme="minorHAnsi" w:hAnsiTheme="minorHAnsi" w:cstheme="minorHAnsi"/>
          <w:lang w:eastAsia="en-AU"/>
        </w:rPr>
      </w:r>
      <w:r w:rsidR="006D75D4" w:rsidRPr="00747E35">
        <w:rPr>
          <w:rFonts w:asciiTheme="minorHAnsi" w:hAnsiTheme="minorHAnsi" w:cstheme="minorHAnsi"/>
          <w:lang w:eastAsia="en-AU"/>
        </w:rPr>
        <w:fldChar w:fldCharType="separate"/>
      </w:r>
      <w:r w:rsidR="00D023DD" w:rsidRPr="00D023DD">
        <w:rPr>
          <w:rFonts w:asciiTheme="minorHAnsi" w:hAnsiTheme="minorHAnsi" w:cstheme="minorHAnsi"/>
        </w:rPr>
        <w:t xml:space="preserve">Figure </w:t>
      </w:r>
      <w:r w:rsidR="00D023DD" w:rsidRPr="00D023DD">
        <w:rPr>
          <w:rFonts w:asciiTheme="minorHAnsi" w:hAnsiTheme="minorHAnsi" w:cstheme="minorHAnsi"/>
          <w:noProof/>
        </w:rPr>
        <w:t>63</w:t>
      </w:r>
      <w:r w:rsidR="006D75D4" w:rsidRPr="00747E35">
        <w:rPr>
          <w:rFonts w:asciiTheme="minorHAnsi" w:hAnsiTheme="minorHAnsi" w:cstheme="minorHAnsi"/>
          <w:lang w:eastAsia="en-AU"/>
        </w:rPr>
        <w:fldChar w:fldCharType="end"/>
      </w:r>
      <w:r w:rsidR="006D75D4" w:rsidRPr="00747E35">
        <w:rPr>
          <w:rFonts w:asciiTheme="minorHAnsi" w:hAnsiTheme="minorHAnsi" w:cstheme="minorHAnsi"/>
          <w:lang w:eastAsia="en-AU"/>
        </w:rPr>
        <w:t>)</w:t>
      </w:r>
      <w:r w:rsidRPr="00747E35">
        <w:rPr>
          <w:rFonts w:asciiTheme="minorHAnsi" w:hAnsiTheme="minorHAnsi" w:cstheme="minorHAnsi"/>
          <w:lang w:eastAsia="en-AU"/>
        </w:rPr>
        <w:t xml:space="preserve">. Specialised stygofauna (stygophiles and stygobites) are taxa that, respectively, have an obligate or facultative, dependence on groundwater. They are universally characterized by the possession of conservative and convergent morphological characters that are adaptive for subterranean life (termed stygomorphic characters), such as reduced pigment and eyes and elongation of appendages. Stygoxenes are taxa that have specializations for life in surface waters, and they are typically pigmented and have functional eyes. Changes in conditions in subsurface habitats (e.g. through groundwater extraction and sedimentation) can alter the proportions of these categories, providing a potential indicator of subsurface community dynamics (Claret et al. 1999). </w:t>
      </w:r>
    </w:p>
    <w:p w14:paraId="3F7F03AC"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In the Maules Creek catchment it was observed that invertebrate abundance and richness decreased dramatically as conditions became more hypoxic, and invertebrates almost disappeared completely when streambed redox hydrochemistry suggested anoxic conditions. Anoxic conditions</w:t>
      </w:r>
      <w:r w:rsidRPr="00747E35" w:rsidDel="0058491F">
        <w:rPr>
          <w:rFonts w:asciiTheme="minorHAnsi" w:hAnsiTheme="minorHAnsi" w:cstheme="minorHAnsi"/>
          <w:lang w:eastAsia="en-AU"/>
        </w:rPr>
        <w:t xml:space="preserve"> </w:t>
      </w:r>
      <w:r w:rsidRPr="00747E35">
        <w:rPr>
          <w:rFonts w:asciiTheme="minorHAnsi" w:hAnsiTheme="minorHAnsi" w:cstheme="minorHAnsi"/>
          <w:lang w:eastAsia="en-AU"/>
        </w:rPr>
        <w:t>were reliably predicted by an increase in dissolved reduced iron (ferrous iron: Fe</w:t>
      </w:r>
      <w:r w:rsidRPr="00747E35">
        <w:rPr>
          <w:rFonts w:asciiTheme="minorHAnsi" w:hAnsiTheme="minorHAnsi" w:cstheme="minorHAnsi"/>
          <w:vertAlign w:val="superscript"/>
          <w:lang w:eastAsia="en-AU"/>
        </w:rPr>
        <w:t>2+</w:t>
      </w:r>
      <w:r w:rsidRPr="00747E35">
        <w:rPr>
          <w:rFonts w:asciiTheme="minorHAnsi" w:hAnsiTheme="minorHAnsi" w:cstheme="minorHAnsi"/>
          <w:lang w:eastAsia="en-AU"/>
        </w:rPr>
        <w:t>). Because specialised groundwater invertebrates are tolerant of low DO concentrations (DO &lt; 0.5 mg/L) (Malard and Hervant 1999, Hahn 2006) including concentrations below most field instrument detection limits (ca. &lt; 0.2 mg/L), we suggest that ferrous iron</w:t>
      </w:r>
      <w:r w:rsidRPr="00747E35" w:rsidDel="00772B80">
        <w:rPr>
          <w:rFonts w:asciiTheme="minorHAnsi" w:hAnsiTheme="minorHAnsi" w:cstheme="minorHAnsi"/>
          <w:lang w:eastAsia="en-AU"/>
        </w:rPr>
        <w:t xml:space="preserve"> </w:t>
      </w:r>
      <w:r w:rsidRPr="00747E35">
        <w:rPr>
          <w:rFonts w:asciiTheme="minorHAnsi" w:hAnsiTheme="minorHAnsi" w:cstheme="minorHAnsi"/>
          <w:lang w:eastAsia="en-AU"/>
        </w:rPr>
        <w:t>may be a reliable indicator of completely anoxic conditions and therefore unsuitable habitat for invertebrates. As redox-sequences are well described globally, for a range of saturated subsurface aquatic environments (streams, estuaries, lakebeds – Appelo and Postma 2005), we expect that our observations in relation to ferrous iron</w:t>
      </w:r>
      <w:r w:rsidRPr="00747E35" w:rsidDel="00772B80">
        <w:rPr>
          <w:rFonts w:asciiTheme="minorHAnsi" w:hAnsiTheme="minorHAnsi" w:cstheme="minorHAnsi"/>
          <w:lang w:eastAsia="en-AU"/>
        </w:rPr>
        <w:t xml:space="preserve"> </w:t>
      </w:r>
      <w:r w:rsidRPr="00747E35">
        <w:rPr>
          <w:rFonts w:asciiTheme="minorHAnsi" w:hAnsiTheme="minorHAnsi" w:cstheme="minorHAnsi"/>
          <w:lang w:eastAsia="en-AU"/>
        </w:rPr>
        <w:t xml:space="preserve">and anoxia have general transferability. Nonetheless we recommend further field studies to test the wider applicability of our observed associations between ferrous iron and groundwater invertebrate richness and abundance. </w:t>
      </w:r>
    </w:p>
    <w:p w14:paraId="06BCB30E" w14:textId="77777777" w:rsidR="003D3694" w:rsidRPr="00747E35" w:rsidRDefault="003D3694" w:rsidP="003D3694">
      <w:pPr>
        <w:rPr>
          <w:rFonts w:asciiTheme="minorHAnsi" w:hAnsiTheme="minorHAnsi" w:cstheme="minorHAnsi"/>
          <w:lang w:eastAsia="en-AU"/>
        </w:rPr>
      </w:pPr>
    </w:p>
    <w:p w14:paraId="102DE433" w14:textId="77777777" w:rsidR="003D3694" w:rsidRPr="00747E35" w:rsidRDefault="003D3694" w:rsidP="00566456">
      <w:pPr>
        <w:pStyle w:val="Heading4"/>
        <w:rPr>
          <w:rFonts w:asciiTheme="minorHAnsi" w:hAnsiTheme="minorHAnsi" w:cstheme="minorHAnsi"/>
        </w:rPr>
      </w:pPr>
      <w:bookmarkStart w:id="458" w:name="_Toc466837653"/>
      <w:r w:rsidRPr="00747E35">
        <w:rPr>
          <w:rFonts w:asciiTheme="minorHAnsi" w:hAnsiTheme="minorHAnsi" w:cstheme="minorHAnsi"/>
          <w:lang w:eastAsia="en-AU"/>
        </w:rPr>
        <w:lastRenderedPageBreak/>
        <w:t>Surface m</w:t>
      </w:r>
      <w:r w:rsidRPr="00747E35">
        <w:rPr>
          <w:rFonts w:asciiTheme="minorHAnsi" w:hAnsiTheme="minorHAnsi" w:cstheme="minorHAnsi"/>
        </w:rPr>
        <w:t>acroinvertebrates and fish</w:t>
      </w:r>
      <w:bookmarkEnd w:id="458"/>
    </w:p>
    <w:p w14:paraId="4B983046" w14:textId="2BBF7EC3"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 xml:space="preserve">The transferability and scaling of information collected for surface biotic assemblages is limited by the spatial and temporal extent of the sampling effort. For example, variation in fish and invertebrate assemblage composition among study sites in both the upper Bremer River and Maules Creek catchments was influenced by differences in the short and longer-term flow-regime characteristics: therefore, a comparison to other datasets would require a similar level of understanding of longer-term flow-regime characteristics as well as differences in shorter-term antecedent conditions. </w:t>
      </w:r>
      <w:r w:rsidR="00623F21" w:rsidRPr="00747E35">
        <w:rPr>
          <w:rFonts w:asciiTheme="minorHAnsi" w:hAnsiTheme="minorHAnsi" w:cstheme="minorHAnsi"/>
          <w:lang w:eastAsia="en-AU"/>
        </w:rPr>
        <w:t xml:space="preserve">It can therefore be </w:t>
      </w:r>
      <w:r w:rsidRPr="00747E35">
        <w:rPr>
          <w:rFonts w:asciiTheme="minorHAnsi" w:hAnsiTheme="minorHAnsi" w:cstheme="minorHAnsi"/>
          <w:lang w:eastAsia="en-AU"/>
        </w:rPr>
        <w:t xml:space="preserve">difficult to interpret compositional datasets, as recent flow history may in some cases have an over-riding influence, thus masking longer-term differences. Furthermore, the transferability of many indicator scores generated from macroinvertebrate assemblage datasets, such as the SIGNAL score, requires caution because they typically show values indicative of impairment (i.e. anthropogenic disturbance) when calculated for intermittent streams. From prior studies a more suitable approach to developing transferable relationships for fish and invertebrates may be to exploit large databases to develop statistical models of likelihood of occurrence based on average hydrologic conditions, and to use those models to predict the effects from modelled hydrologic changes. </w:t>
      </w:r>
    </w:p>
    <w:p w14:paraId="2880CCAA" w14:textId="4156BB71" w:rsidR="003D3694" w:rsidRPr="00747E35" w:rsidRDefault="003D3694" w:rsidP="003D3694">
      <w:pPr>
        <w:autoSpaceDE/>
        <w:autoSpaceDN/>
        <w:spacing w:line="276" w:lineRule="auto"/>
        <w:rPr>
          <w:rFonts w:asciiTheme="minorHAnsi" w:hAnsiTheme="minorHAnsi" w:cstheme="minorHAnsi"/>
          <w:lang w:eastAsia="en-AU"/>
        </w:rPr>
      </w:pPr>
    </w:p>
    <w:p w14:paraId="70386A6D" w14:textId="5F18E77D" w:rsidR="003D3694" w:rsidRPr="00747E35" w:rsidRDefault="003D3694" w:rsidP="00566456">
      <w:pPr>
        <w:pStyle w:val="Heading2"/>
        <w:rPr>
          <w:rFonts w:asciiTheme="minorHAnsi" w:hAnsiTheme="minorHAnsi" w:cstheme="minorHAnsi"/>
          <w:lang w:eastAsia="en-AU"/>
        </w:rPr>
      </w:pPr>
      <w:bookmarkStart w:id="459" w:name="_Toc470004920"/>
      <w:r w:rsidRPr="00747E35">
        <w:rPr>
          <w:rFonts w:asciiTheme="minorHAnsi" w:hAnsiTheme="minorHAnsi" w:cstheme="minorHAnsi"/>
        </w:rPr>
        <w:t>Monitoring and assessment</w:t>
      </w:r>
      <w:bookmarkEnd w:id="459"/>
      <w:r w:rsidRPr="00747E35">
        <w:rPr>
          <w:rFonts w:asciiTheme="minorHAnsi" w:hAnsiTheme="minorHAnsi" w:cstheme="minorHAnsi"/>
        </w:rPr>
        <w:t xml:space="preserve"> </w:t>
      </w:r>
    </w:p>
    <w:p w14:paraId="3F57BB2D" w14:textId="77777777" w:rsidR="003D3694" w:rsidRPr="00747E35" w:rsidRDefault="003D3694" w:rsidP="003D3694">
      <w:pPr>
        <w:rPr>
          <w:rFonts w:asciiTheme="minorHAnsi" w:hAnsiTheme="minorHAnsi" w:cstheme="minorHAnsi"/>
          <w:lang w:eastAsia="en-AU"/>
        </w:rPr>
      </w:pPr>
    </w:p>
    <w:p w14:paraId="23B496A0" w14:textId="6044CD91" w:rsidR="003D3694" w:rsidRPr="00747E35" w:rsidRDefault="003D3694" w:rsidP="00566456">
      <w:pPr>
        <w:pStyle w:val="Heading3"/>
        <w:rPr>
          <w:rFonts w:asciiTheme="minorHAnsi" w:hAnsiTheme="minorHAnsi" w:cstheme="minorHAnsi"/>
          <w:lang w:eastAsia="en-AU"/>
        </w:rPr>
      </w:pPr>
      <w:bookmarkStart w:id="460" w:name="_Toc470004921"/>
      <w:r w:rsidRPr="00747E35">
        <w:rPr>
          <w:rFonts w:asciiTheme="minorHAnsi" w:hAnsiTheme="minorHAnsi" w:cstheme="minorHAnsi"/>
          <w:lang w:eastAsia="en-AU"/>
        </w:rPr>
        <w:t>Key principles for effective monitoring</w:t>
      </w:r>
      <w:bookmarkEnd w:id="460"/>
    </w:p>
    <w:p w14:paraId="62033377"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Monitoring can be useful for detecting trends in ecological condition, identifying emerging threats, testing hypotheses, and evaluating the efficacy of management interventions (Orians and Soule 2001).  It is important however, to distinguish between different types of monitoring programs for environmental management, namely targeted (or focused) monitoring and surveillance monitoring (Nichols and Williams 2006). Targeted monitoring is defined by its integration into management practice, with monitoring design and implementation based on a-priori hypotheses and associated models of system responses to management. Surveillance monitoring on the other hand, is not guided by a-priori hypotheses and corresponding models and risks an inefficient use of funds and effort (Nichols and Williams 2006).  </w:t>
      </w:r>
    </w:p>
    <w:p w14:paraId="2FDA570A"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color w:val="222222"/>
          <w:lang w:eastAsia="en-AU"/>
        </w:rPr>
        <w:t xml:space="preserve">Monitoring is a key component of adaptive management and can help management agencies make </w:t>
      </w:r>
      <w:r w:rsidRPr="00747E35">
        <w:rPr>
          <w:rFonts w:asciiTheme="minorHAnsi" w:hAnsiTheme="minorHAnsi" w:cstheme="minorHAnsi"/>
          <w:lang w:eastAsia="en-AU"/>
        </w:rPr>
        <w:t xml:space="preserve">decisions. Unfortunately, however, monitoring practices have generally been poorly connected with decision making, and this disconnection has led to an inability to assess the effectiveness or efficiency of the management actions (Field et al. 2007). </w:t>
      </w:r>
      <w:r w:rsidRPr="00747E35">
        <w:rPr>
          <w:rFonts w:asciiTheme="minorHAnsi" w:hAnsiTheme="minorHAnsi" w:cstheme="minorHAnsi"/>
          <w:shd w:val="clear" w:color="auto" w:fill="FFFFFF"/>
        </w:rPr>
        <w:t xml:space="preserve">As part of the environmental assessment for a new CSG or large coal mining development proposal, </w:t>
      </w:r>
      <w:r w:rsidRPr="00747E35">
        <w:rPr>
          <w:rFonts w:asciiTheme="minorHAnsi" w:hAnsiTheme="minorHAnsi" w:cstheme="minorHAnsi"/>
          <w:lang w:eastAsia="en-AU"/>
        </w:rPr>
        <w:t xml:space="preserve">proponents are required, </w:t>
      </w:r>
      <w:r w:rsidRPr="00747E35">
        <w:rPr>
          <w:rFonts w:asciiTheme="minorHAnsi" w:hAnsiTheme="minorHAnsi" w:cstheme="minorHAnsi"/>
          <w:shd w:val="clear" w:color="auto" w:fill="FFFFFF"/>
        </w:rPr>
        <w:t>as a condition of project approval,</w:t>
      </w:r>
      <w:r w:rsidRPr="00747E35">
        <w:rPr>
          <w:rFonts w:asciiTheme="minorHAnsi" w:hAnsiTheme="minorHAnsi" w:cstheme="minorHAnsi"/>
          <w:lang w:eastAsia="en-AU"/>
        </w:rPr>
        <w:t xml:space="preserve"> to develop a monitoring plan that details how they will assess performance of proposed measures to mitigate potential impacts of the development (IESC 2015). In this context, clear articulation of the monitoring programs’ goals is critical to its success. Monitoring goals relating to groundwater drawdown, changes to subsurface and surface flows, and other threats associated with </w:t>
      </w:r>
      <w:r w:rsidRPr="00747E35">
        <w:rPr>
          <w:rFonts w:asciiTheme="minorHAnsi" w:hAnsiTheme="minorHAnsi" w:cstheme="minorHAnsi"/>
          <w:shd w:val="clear" w:color="auto" w:fill="FFFFFF"/>
        </w:rPr>
        <w:t>CSG extraction or large coal mining</w:t>
      </w:r>
      <w:r w:rsidRPr="00747E35">
        <w:rPr>
          <w:rFonts w:asciiTheme="minorHAnsi" w:hAnsiTheme="minorHAnsi" w:cstheme="minorHAnsi"/>
          <w:lang w:eastAsia="en-AU"/>
        </w:rPr>
        <w:t xml:space="preserve"> may include (but are not limited to):</w:t>
      </w:r>
    </w:p>
    <w:p w14:paraId="6649E94E" w14:textId="48300B62" w:rsidR="003D3694" w:rsidRPr="00747E35" w:rsidRDefault="003D3694" w:rsidP="0083624F">
      <w:pPr>
        <w:numPr>
          <w:ilvl w:val="0"/>
          <w:numId w:val="5"/>
        </w:numPr>
        <w:adjustRightInd w:val="0"/>
        <w:spacing w:before="60" w:after="240"/>
        <w:jc w:val="both"/>
        <w:rPr>
          <w:rFonts w:asciiTheme="minorHAnsi" w:eastAsia="Times New Roman" w:hAnsiTheme="minorHAnsi" w:cstheme="minorHAnsi"/>
          <w:lang w:eastAsia="en-AU"/>
        </w:rPr>
      </w:pPr>
      <w:r w:rsidRPr="00747E35">
        <w:rPr>
          <w:rFonts w:asciiTheme="minorHAnsi" w:eastAsia="Times New Roman" w:hAnsiTheme="minorHAnsi" w:cstheme="minorHAnsi"/>
          <w:lang w:eastAsia="en-AU"/>
        </w:rPr>
        <w:t>maintaining the ecological or conservation values in priority areas identified as being at risk from impacts (e.g. Component 4)</w:t>
      </w:r>
      <w:r w:rsidR="00C45598" w:rsidRPr="00747E35">
        <w:rPr>
          <w:rFonts w:asciiTheme="minorHAnsi" w:eastAsia="Times New Roman" w:hAnsiTheme="minorHAnsi" w:cstheme="minorHAnsi"/>
          <w:lang w:eastAsia="en-AU"/>
        </w:rPr>
        <w:t>,</w:t>
      </w:r>
    </w:p>
    <w:p w14:paraId="3C884AE6" w14:textId="763185BD" w:rsidR="003D3694" w:rsidRPr="00747E35" w:rsidRDefault="003D3694" w:rsidP="0083624F">
      <w:pPr>
        <w:numPr>
          <w:ilvl w:val="0"/>
          <w:numId w:val="5"/>
        </w:numPr>
        <w:adjustRightInd w:val="0"/>
        <w:spacing w:before="60" w:after="240"/>
        <w:jc w:val="both"/>
        <w:rPr>
          <w:rFonts w:asciiTheme="minorHAnsi" w:eastAsia="Times New Roman" w:hAnsiTheme="minorHAnsi" w:cstheme="minorHAnsi"/>
          <w:lang w:eastAsia="en-AU"/>
        </w:rPr>
      </w:pPr>
      <w:r w:rsidRPr="00747E35">
        <w:rPr>
          <w:rFonts w:asciiTheme="minorHAnsi" w:eastAsia="Times New Roman" w:hAnsiTheme="minorHAnsi" w:cstheme="minorHAnsi"/>
          <w:lang w:eastAsia="en-AU"/>
        </w:rPr>
        <w:t>identifying threatening processes that might pose risks to ecological or conservation values</w:t>
      </w:r>
      <w:r w:rsidR="00C45598" w:rsidRPr="00747E35">
        <w:rPr>
          <w:rFonts w:asciiTheme="minorHAnsi" w:eastAsia="Times New Roman" w:hAnsiTheme="minorHAnsi" w:cstheme="minorHAnsi"/>
          <w:lang w:eastAsia="en-AU"/>
        </w:rPr>
        <w:t>,</w:t>
      </w:r>
      <w:r w:rsidRPr="00747E35">
        <w:rPr>
          <w:rFonts w:asciiTheme="minorHAnsi" w:eastAsia="Times New Roman" w:hAnsiTheme="minorHAnsi" w:cstheme="minorHAnsi"/>
          <w:lang w:eastAsia="en-AU"/>
        </w:rPr>
        <w:t xml:space="preserve"> </w:t>
      </w:r>
    </w:p>
    <w:p w14:paraId="53AE332B" w14:textId="37941D2D" w:rsidR="003D3694" w:rsidRPr="00747E35" w:rsidRDefault="003D3694" w:rsidP="0083624F">
      <w:pPr>
        <w:numPr>
          <w:ilvl w:val="0"/>
          <w:numId w:val="5"/>
        </w:numPr>
        <w:adjustRightInd w:val="0"/>
        <w:spacing w:before="60" w:after="240"/>
        <w:jc w:val="both"/>
        <w:rPr>
          <w:rFonts w:asciiTheme="minorHAnsi" w:eastAsia="Times New Roman" w:hAnsiTheme="minorHAnsi" w:cstheme="minorHAnsi"/>
          <w:lang w:eastAsia="en-AU"/>
        </w:rPr>
      </w:pPr>
      <w:r w:rsidRPr="00747E35">
        <w:rPr>
          <w:rFonts w:asciiTheme="minorHAnsi" w:eastAsia="Times New Roman" w:hAnsiTheme="minorHAnsi" w:cstheme="minorHAnsi"/>
          <w:lang w:eastAsia="en-AU"/>
        </w:rPr>
        <w:t>assessing responses to management interventions intended to protect or restore ecological or conservation values or mitigate threats to those values</w:t>
      </w:r>
      <w:r w:rsidR="00C45598" w:rsidRPr="00747E35">
        <w:rPr>
          <w:rFonts w:asciiTheme="minorHAnsi" w:eastAsia="Times New Roman" w:hAnsiTheme="minorHAnsi" w:cstheme="minorHAnsi"/>
          <w:lang w:eastAsia="en-AU"/>
        </w:rPr>
        <w:t>.</w:t>
      </w:r>
    </w:p>
    <w:p w14:paraId="5CEDDBC0"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lastRenderedPageBreak/>
        <w:t>The choice of candidate monitoring indicators will vary depending on the goal of the monitoring program, as will constraints to implementation imposed by available budget, human resources and technical capacity (see next section).</w:t>
      </w:r>
    </w:p>
    <w:p w14:paraId="2C143A81"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The design of an effective monitoring program should ideally follow a series of systematic steps (Possingham et al. 2001):</w:t>
      </w:r>
    </w:p>
    <w:p w14:paraId="1F1533F8" w14:textId="77777777" w:rsidR="003D3694" w:rsidRPr="00747E35" w:rsidRDefault="003D3694" w:rsidP="0083624F">
      <w:pPr>
        <w:numPr>
          <w:ilvl w:val="0"/>
          <w:numId w:val="4"/>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 xml:space="preserve">Specify goals </w:t>
      </w:r>
    </w:p>
    <w:p w14:paraId="0B77610D" w14:textId="77777777" w:rsidR="003D3694" w:rsidRPr="00747E35" w:rsidRDefault="003D3694" w:rsidP="0083624F">
      <w:pPr>
        <w:numPr>
          <w:ilvl w:val="0"/>
          <w:numId w:val="4"/>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Identify stressors</w:t>
      </w:r>
    </w:p>
    <w:p w14:paraId="7DD2ECC9" w14:textId="77777777" w:rsidR="003D3694" w:rsidRPr="00747E35" w:rsidRDefault="003D3694" w:rsidP="0083624F">
      <w:pPr>
        <w:numPr>
          <w:ilvl w:val="0"/>
          <w:numId w:val="4"/>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 xml:space="preserve">Develop conceptual models </w:t>
      </w:r>
    </w:p>
    <w:p w14:paraId="1FD2DCA6" w14:textId="77777777" w:rsidR="003D3694" w:rsidRPr="00747E35" w:rsidRDefault="003D3694" w:rsidP="0083624F">
      <w:pPr>
        <w:numPr>
          <w:ilvl w:val="0"/>
          <w:numId w:val="4"/>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Select indicators</w:t>
      </w:r>
    </w:p>
    <w:p w14:paraId="77678912" w14:textId="77777777" w:rsidR="003D3694" w:rsidRPr="00747E35" w:rsidRDefault="003D3694" w:rsidP="0083624F">
      <w:pPr>
        <w:numPr>
          <w:ilvl w:val="0"/>
          <w:numId w:val="4"/>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Establish sampling design</w:t>
      </w:r>
    </w:p>
    <w:p w14:paraId="5A025D4A" w14:textId="77777777" w:rsidR="003D3694" w:rsidRPr="00747E35" w:rsidRDefault="003D3694" w:rsidP="0083624F">
      <w:pPr>
        <w:numPr>
          <w:ilvl w:val="0"/>
          <w:numId w:val="4"/>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Define methods of analysis</w:t>
      </w:r>
    </w:p>
    <w:p w14:paraId="27C1D380" w14:textId="77777777" w:rsidR="003D3694" w:rsidRPr="00747E35" w:rsidRDefault="003D3694" w:rsidP="0083624F">
      <w:pPr>
        <w:numPr>
          <w:ilvl w:val="0"/>
          <w:numId w:val="4"/>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Ensure links with decision making</w:t>
      </w:r>
    </w:p>
    <w:p w14:paraId="51DB9364"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An explicit statement of the goals of the monitoring program is essential and may include goals relating to detecting trends, identifying emerging problems, testing hypotheses, or evaluating the efficacy of particular management interventions.  A conceptual model describing the role of natural and human-induced stressors and ecosystem responses provides an overview of scientific understanding of how the system works and is useful to determine what measures of system performance are likely to be useful monitoring indicators.  For monitoring programs to be useful they must be informative, reliable and be linked with decision-making objectives in a cost-efficient manner (i.e. in an adaptive management framework).</w:t>
      </w:r>
    </w:p>
    <w:p w14:paraId="6FB23E83"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Active adaptive management places an explicit value on learning about the effectiveness of management by monitoring its outcomes and differs from passive adaptive management in which learning occurs serendipitously and is then incorporated into management plans (McCarthy and Possingham 2007).  Monitoring programs designed and embedded in an active adaptive management framework offer the best chances of effectively detecting negative impacts on water resources and water-dependent assets.  These can then be targeted for effective management and mitigation and to reduce the uncertainty of predicted impacts (IESC 2015).</w:t>
      </w:r>
    </w:p>
    <w:p w14:paraId="241529F8" w14:textId="77777777" w:rsidR="003D3694" w:rsidRPr="00747E35" w:rsidRDefault="003D3694" w:rsidP="003D3694">
      <w:pPr>
        <w:rPr>
          <w:rFonts w:asciiTheme="minorHAnsi" w:hAnsiTheme="minorHAnsi" w:cstheme="minorHAnsi"/>
        </w:rPr>
      </w:pPr>
    </w:p>
    <w:p w14:paraId="5AF7C4AB" w14:textId="224569CE" w:rsidR="003D3694" w:rsidRPr="00747E35" w:rsidRDefault="003D3694" w:rsidP="00566456">
      <w:pPr>
        <w:pStyle w:val="Heading3"/>
        <w:rPr>
          <w:rFonts w:asciiTheme="minorHAnsi" w:hAnsiTheme="minorHAnsi" w:cstheme="minorHAnsi"/>
          <w:lang w:eastAsia="en-AU"/>
        </w:rPr>
      </w:pPr>
      <w:bookmarkStart w:id="461" w:name="_Toc466837658"/>
      <w:bookmarkStart w:id="462" w:name="_Toc470004922"/>
      <w:r w:rsidRPr="00747E35">
        <w:rPr>
          <w:rFonts w:asciiTheme="minorHAnsi" w:hAnsiTheme="minorHAnsi" w:cstheme="minorHAnsi"/>
          <w:lang w:eastAsia="en-AU"/>
        </w:rPr>
        <w:t>Monitoring indicators</w:t>
      </w:r>
      <w:bookmarkEnd w:id="461"/>
      <w:bookmarkEnd w:id="462"/>
    </w:p>
    <w:p w14:paraId="6E40A916"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design of a monitoring program requires careful consideration of candidate species (or species assemblages), ecosystem processes and/or threats for measurement, as well as possible confounding variables.  Selection of indicators should therefore be informed by the overall goals and underlying conceptual models of the ecosystem, as well as constraints on their implementation (Possingham et al. 2001). Some candidate indicators are likely to be more or less responsive to the key drivers of interest (e.g. responses to threats or management interventions), vary in their ease and or cost of data collection and interpretation, and differ in their sensitivity to other factors (e.g. natural or unrelated factors that influence spatio-temporal variation in the indicator) that may confound or obscure their interpretation.  </w:t>
      </w:r>
    </w:p>
    <w:p w14:paraId="41A3B072"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One example of this issue in our study was the potential confounding effect of livestock access to the study streams and/or the catchment upstream.  Livestock have a detrimental effect on streams (Armour et al. 2001) in many ways including: a) eroding channel banks, thus increasing sedimentation in streams; b) defecating and urinating in the wetted channel, leading to altered carbon inputs and elevated in-stream concentrations of dissolved and organic nutrients; and, c) spreading non-native plants and pathogens. All these factors can influence stream ecosystem structure and function, and are considered a confounding </w:t>
      </w:r>
      <w:r w:rsidRPr="00747E35">
        <w:rPr>
          <w:rFonts w:asciiTheme="minorHAnsi" w:hAnsiTheme="minorHAnsi" w:cstheme="minorHAnsi"/>
        </w:rPr>
        <w:lastRenderedPageBreak/>
        <w:t>factor when investigating ecosystem responses to reduced baseflow.  However, in many instances, these confounding factors can be assessed, or accounted for, during monitoring or in experiments.  For example, nearby streams impacted and not impacted on by livestock can be incorporated into experimental designs in order to quantify livestock impact and account for these differences. In the present study, however, it is clear that changes in surface water persistence was the primary mechanism causing changes in many of the structural and functional response variables assessed.  This notion is supported by the fact that most ecological response variables responded most to changes in substrate moisture rather than those parameters altered by livestock access (i.e. dissolved and organic nutrient concentrations).</w:t>
      </w:r>
    </w:p>
    <w:p w14:paraId="3FB4DE34"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Indicators can also differ in their ability to integrate processes and impacts that are occurring over different spatial and temporal scales. For example, water quality can degrade and recover almost instantaneously in response to local point-source pollution inputs, but such impacts may be reflected in invertebrate assemblages days or weeks after a pollution event.  Monitoring and assessment of aquatic ecosystem health traditionally focuses on changes in structural indicators, such as physico-chemistry or species assemblage composition. However, streams and rivers also have functional components, whose rates, patterns, and relative importance can offer a greater level of understanding of ecosystem responses to perturbations. Increasingly, research advocates the use of both structural and functional measures for the assessment of monitoring of streams and rivers, because stressors may cause changes in ecosystem function but not structure, and vice versa (Gessner and Chauvet, 2002; Young et al., 2008). </w:t>
      </w:r>
    </w:p>
    <w:p w14:paraId="18BD5419"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Below we highlight ways in which some of our findings and research methods offer potential for monitoring impacts of water-related threats associated with </w:t>
      </w:r>
      <w:r w:rsidRPr="00747E35">
        <w:rPr>
          <w:rFonts w:asciiTheme="minorHAnsi" w:eastAsia="Times New Roman" w:hAnsiTheme="minorHAnsi" w:cstheme="minorHAnsi"/>
          <w:color w:val="222222"/>
          <w:lang w:eastAsia="en-AU"/>
        </w:rPr>
        <w:t>CSG extraction and coal mining.</w:t>
      </w:r>
      <w:r w:rsidRPr="00747E35">
        <w:rPr>
          <w:rFonts w:asciiTheme="minorHAnsi" w:hAnsiTheme="minorHAnsi" w:cstheme="minorHAnsi"/>
        </w:rPr>
        <w:t xml:space="preserve">  </w:t>
      </w:r>
    </w:p>
    <w:p w14:paraId="2A69DD2A" w14:textId="77777777" w:rsidR="00566456" w:rsidRPr="00747E35" w:rsidRDefault="00566456" w:rsidP="003D3694">
      <w:pPr>
        <w:rPr>
          <w:rFonts w:asciiTheme="minorHAnsi" w:hAnsiTheme="minorHAnsi" w:cstheme="minorHAnsi"/>
        </w:rPr>
      </w:pPr>
    </w:p>
    <w:p w14:paraId="32500971" w14:textId="7B89A6D6" w:rsidR="003D3694" w:rsidRPr="004A72AC" w:rsidRDefault="003D3694" w:rsidP="004A72AC">
      <w:pPr>
        <w:pStyle w:val="Heading4"/>
        <w:rPr>
          <w:rFonts w:asciiTheme="minorHAnsi" w:hAnsiTheme="minorHAnsi"/>
        </w:rPr>
      </w:pPr>
      <w:r w:rsidRPr="004A72AC">
        <w:rPr>
          <w:rFonts w:asciiTheme="minorHAnsi" w:hAnsiTheme="minorHAnsi"/>
        </w:rPr>
        <w:t>Hydrochemistry</w:t>
      </w:r>
    </w:p>
    <w:p w14:paraId="4386FD08" w14:textId="2DAF9F8E" w:rsidR="003D3694" w:rsidRPr="00747E35" w:rsidRDefault="003D3694" w:rsidP="003D3694">
      <w:pPr>
        <w:rPr>
          <w:rFonts w:asciiTheme="minorHAnsi" w:hAnsiTheme="minorHAnsi" w:cstheme="minorHAnsi"/>
        </w:rPr>
      </w:pPr>
      <w:r w:rsidRPr="00747E35">
        <w:rPr>
          <w:rFonts w:asciiTheme="minorHAnsi" w:hAnsiTheme="minorHAnsi" w:cstheme="minorHAnsi"/>
        </w:rPr>
        <w:t>In Maules Creek catchment existing infrastructure allowed for sampling from a range of monitoring bores and hence the regional groundwater chemistry could be characterised.</w:t>
      </w:r>
      <w:r w:rsidR="00C45598" w:rsidRPr="00747E35">
        <w:rPr>
          <w:rFonts w:asciiTheme="minorHAnsi" w:hAnsiTheme="minorHAnsi" w:cstheme="minorHAnsi"/>
        </w:rPr>
        <w:t xml:space="preserve">  I</w:t>
      </w:r>
      <w:r w:rsidRPr="00747E35">
        <w:rPr>
          <w:rFonts w:asciiTheme="minorHAnsi" w:hAnsiTheme="minorHAnsi" w:cstheme="minorHAnsi"/>
        </w:rPr>
        <w:t xml:space="preserve">n addition to being able to sample different depths in the hyporheic zone, </w:t>
      </w:r>
      <w:r w:rsidR="00C45598" w:rsidRPr="00747E35">
        <w:rPr>
          <w:rFonts w:asciiTheme="minorHAnsi" w:hAnsiTheme="minorHAnsi" w:cstheme="minorHAnsi"/>
        </w:rPr>
        <w:t xml:space="preserve">our sampling regime </w:t>
      </w:r>
      <w:r w:rsidRPr="00747E35">
        <w:rPr>
          <w:rFonts w:asciiTheme="minorHAnsi" w:hAnsiTheme="minorHAnsi" w:cstheme="minorHAnsi"/>
        </w:rPr>
        <w:t xml:space="preserve">enabled understanding of redox processes that were occurring as a function of hydrologic regime and in some cases hyporheic flow direction. </w:t>
      </w:r>
      <w:r w:rsidR="00C45598" w:rsidRPr="00747E35">
        <w:rPr>
          <w:rFonts w:asciiTheme="minorHAnsi" w:hAnsiTheme="minorHAnsi" w:cstheme="minorHAnsi"/>
        </w:rPr>
        <w:t>F</w:t>
      </w:r>
      <w:r w:rsidRPr="00747E35">
        <w:rPr>
          <w:rFonts w:asciiTheme="minorHAnsi" w:hAnsiTheme="minorHAnsi" w:cstheme="minorHAnsi"/>
        </w:rPr>
        <w:t xml:space="preserve">or the Bremer River catchment </w:t>
      </w:r>
      <w:r w:rsidR="00C45598" w:rsidRPr="00747E35">
        <w:rPr>
          <w:rFonts w:asciiTheme="minorHAnsi" w:hAnsiTheme="minorHAnsi" w:cstheme="minorHAnsi"/>
        </w:rPr>
        <w:t xml:space="preserve">however, </w:t>
      </w:r>
      <w:r w:rsidRPr="00747E35">
        <w:rPr>
          <w:rFonts w:asciiTheme="minorHAnsi" w:hAnsiTheme="minorHAnsi" w:cstheme="minorHAnsi"/>
        </w:rPr>
        <w:t>the absence of nearby groundwater bores meant that the regional groundwater chemistry could not be characterised. Therefore, groundwater characterisation (through bore sampling or use of existing groundwater databases if available) is an important step in evaluating the potential linkages between regional aquifers and adjacent hyporheic zones.</w:t>
      </w:r>
    </w:p>
    <w:p w14:paraId="2CA5F29A" w14:textId="7A2359B5"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For this project, paired fauna and hydrochemistry sampling was conducted, as opposed to separate collection (time and site) of fauna and hydrochemistry samples for each location. The advantage of </w:t>
      </w:r>
      <w:r w:rsidR="00C45598" w:rsidRPr="00747E35">
        <w:rPr>
          <w:rFonts w:asciiTheme="minorHAnsi" w:hAnsiTheme="minorHAnsi" w:cstheme="minorHAnsi"/>
        </w:rPr>
        <w:t xml:space="preserve">paired fauna and hydrochemistry sampling </w:t>
      </w:r>
      <w:r w:rsidRPr="00747E35">
        <w:rPr>
          <w:rFonts w:asciiTheme="minorHAnsi" w:hAnsiTheme="minorHAnsi" w:cstheme="minorHAnsi"/>
        </w:rPr>
        <w:t>is strengthened interpretation of the associations between biotic and abiotic variables. Also, physico-chemistry parameters (DO, EC, pH) were measured in the field with an in-line flow cell. This setup ensures the accuracy of the measurements by minimising any interaction with the atmosphere, which is of particular importance for obtaining accurate low DO measurements.</w:t>
      </w:r>
    </w:p>
    <w:p w14:paraId="7558B77D" w14:textId="68B70BEE" w:rsidR="003D3694" w:rsidRPr="00747E35" w:rsidRDefault="003D3694" w:rsidP="003D3694">
      <w:pPr>
        <w:rPr>
          <w:rFonts w:asciiTheme="minorHAnsi" w:hAnsiTheme="minorHAnsi" w:cstheme="minorHAnsi"/>
        </w:rPr>
      </w:pPr>
      <w:r w:rsidRPr="00747E35">
        <w:rPr>
          <w:rFonts w:asciiTheme="minorHAnsi" w:hAnsiTheme="minorHAnsi" w:cstheme="minorHAnsi"/>
        </w:rPr>
        <w:t>As mentioned previously</w:t>
      </w:r>
      <w:r w:rsidR="00E947EA">
        <w:rPr>
          <w:rFonts w:asciiTheme="minorHAnsi" w:hAnsiTheme="minorHAnsi" w:cstheme="minorHAnsi"/>
        </w:rPr>
        <w:t>,</w:t>
      </w:r>
      <w:r w:rsidRPr="00747E35">
        <w:rPr>
          <w:rFonts w:asciiTheme="minorHAnsi" w:hAnsiTheme="minorHAnsi" w:cstheme="minorHAnsi"/>
        </w:rPr>
        <w:t xml:space="preserve"> our results indicated that the presence of ferrous iron was a better predictor of the absence of fauna (or very low abundance) than DO depletion. This finding indicates that field testing for ferrous iron using a ferrozine-based assay could be used as a screening test for the likely absence of fauna in a collected sample.</w:t>
      </w:r>
    </w:p>
    <w:p w14:paraId="41210281" w14:textId="77777777" w:rsidR="00566456" w:rsidRPr="00747E35" w:rsidRDefault="00566456" w:rsidP="003D3694">
      <w:pPr>
        <w:rPr>
          <w:rFonts w:asciiTheme="minorHAnsi" w:hAnsiTheme="minorHAnsi" w:cstheme="minorHAnsi"/>
        </w:rPr>
      </w:pPr>
    </w:p>
    <w:p w14:paraId="535017E3" w14:textId="4961D701" w:rsidR="003D3694" w:rsidRPr="004A72AC" w:rsidRDefault="003D3694" w:rsidP="004A72AC">
      <w:pPr>
        <w:pStyle w:val="Heading4"/>
        <w:rPr>
          <w:rFonts w:asciiTheme="minorHAnsi" w:hAnsiTheme="minorHAnsi"/>
        </w:rPr>
      </w:pPr>
      <w:r w:rsidRPr="004A72AC">
        <w:rPr>
          <w:rFonts w:asciiTheme="minorHAnsi" w:hAnsiTheme="minorHAnsi"/>
        </w:rPr>
        <w:t>Cotton strip assays and leaf litter incubations</w:t>
      </w:r>
    </w:p>
    <w:p w14:paraId="42B15301" w14:textId="0C84C2CE"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Ecosystem process-based methods, such as cotton strip assays and leaf litter incubations, are ideal for detecting natural and anthropogenic disturbances, as well as for monitoring spatial and temporal trends in ecosystem functioning, because they integrate the activity of many taxa and are often primarily affected by the </w:t>
      </w:r>
      <w:r w:rsidR="006B2C7A">
        <w:rPr>
          <w:rFonts w:asciiTheme="minorHAnsi" w:hAnsiTheme="minorHAnsi" w:cstheme="minorHAnsi"/>
        </w:rPr>
        <w:t>physicochemical</w:t>
      </w:r>
      <w:r w:rsidRPr="00747E35">
        <w:rPr>
          <w:rFonts w:asciiTheme="minorHAnsi" w:hAnsiTheme="minorHAnsi" w:cstheme="minorHAnsi"/>
        </w:rPr>
        <w:t xml:space="preserve"> changes that result from perturbations. In this research, both cotton strip assays and </w:t>
      </w:r>
      <w:r w:rsidRPr="00747E35">
        <w:rPr>
          <w:rFonts w:asciiTheme="minorHAnsi" w:hAnsiTheme="minorHAnsi" w:cstheme="minorHAnsi"/>
        </w:rPr>
        <w:lastRenderedPageBreak/>
        <w:t xml:space="preserve">leaf litter incubations were ideal for assessing spatial and temporal patterns in ecosystem functioning in response to baseflow reductions and drying conditions. </w:t>
      </w:r>
      <w:r w:rsidR="00C45598" w:rsidRPr="00747E35">
        <w:rPr>
          <w:rFonts w:asciiTheme="minorHAnsi" w:hAnsiTheme="minorHAnsi" w:cstheme="minorHAnsi"/>
        </w:rPr>
        <w:t>Therefore</w:t>
      </w:r>
      <w:r w:rsidRPr="00747E35">
        <w:rPr>
          <w:rFonts w:asciiTheme="minorHAnsi" w:hAnsiTheme="minorHAnsi" w:cstheme="minorHAnsi"/>
        </w:rPr>
        <w:t>, they are recommended for assessing ecological impacts associated with anthropogenic perturbations in freshwater environments. Cotton strip assays (cellulose decomposition potential) have been advocated for freshwater monitoring purposes because they are economical, easy to deploy, quantify the decomposition of naturally occurring cellulose (a major component of leaves), and use a standard cloth substrate (less chemical variability than leaf litter) that results in less within-site variability and thus greater power to detect spatial and temporal patterns in ecosystem functioning (Boulton and Quinn 2000, Young et al. 2008, Tiegs et al. 2013). Despite variation in composition and hence breakdown rates in leaves within a single species, leaf litter incubations are a common technique for assessing ecosystem functioning in streams because leaves can be an important food resource that fuels many aquatic food webs. Young et al</w:t>
      </w:r>
      <w:r w:rsidR="005E04D7">
        <w:rPr>
          <w:rFonts w:asciiTheme="minorHAnsi" w:hAnsiTheme="minorHAnsi" w:cstheme="minorHAnsi"/>
        </w:rPr>
        <w:t>.</w:t>
      </w:r>
      <w:r w:rsidRPr="00747E35">
        <w:rPr>
          <w:rFonts w:asciiTheme="minorHAnsi" w:hAnsiTheme="minorHAnsi" w:cstheme="minorHAnsi"/>
        </w:rPr>
        <w:t xml:space="preserve"> (2008), however, suggest that indicators of ecosystem function should be complementary to traditional measures of ecosystem structure, because measurements of both structural and functional attributes provide a more holistic view of ecosystem health.</w:t>
      </w:r>
    </w:p>
    <w:p w14:paraId="27CA2AA7" w14:textId="77777777" w:rsidR="003D3694" w:rsidRPr="00747E35" w:rsidRDefault="003D3694" w:rsidP="003D3694">
      <w:pPr>
        <w:rPr>
          <w:rFonts w:asciiTheme="minorHAnsi" w:hAnsiTheme="minorHAnsi" w:cstheme="minorHAnsi"/>
        </w:rPr>
      </w:pPr>
    </w:p>
    <w:p w14:paraId="11D3019E" w14:textId="21FBD712" w:rsidR="003D3694" w:rsidRPr="004A72AC" w:rsidRDefault="003D3694" w:rsidP="004A72AC">
      <w:pPr>
        <w:pStyle w:val="Heading4"/>
        <w:rPr>
          <w:rFonts w:asciiTheme="minorHAnsi" w:hAnsiTheme="minorHAnsi"/>
        </w:rPr>
      </w:pPr>
      <w:r w:rsidRPr="004A72AC">
        <w:rPr>
          <w:rFonts w:asciiTheme="minorHAnsi" w:hAnsiTheme="minorHAnsi"/>
        </w:rPr>
        <w:t>Stable isotope analyses</w:t>
      </w:r>
    </w:p>
    <w:p w14:paraId="66F1BFAC"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While stable isotope analyses are appropriate for investigating connections between organisms and their food sources in streams, sample collection is time consuming and laboratory preparation and analysis are relatively expensive. Therefore, we recommend stable isotope analyses be used only to characterise differences in food webs among distinct flow regime types (i.e. intermittent versus perennial) and/or following press disturbances (i.e. long-lived anthropogenic perturbations). We do not recommend stable isotopes analyses for regular monitoring purposes.</w:t>
      </w:r>
    </w:p>
    <w:p w14:paraId="635308F1" w14:textId="77777777" w:rsidR="003D3694" w:rsidRPr="00747E35" w:rsidRDefault="003D3694" w:rsidP="003D3694">
      <w:pPr>
        <w:rPr>
          <w:rFonts w:asciiTheme="minorHAnsi" w:hAnsiTheme="minorHAnsi" w:cstheme="minorHAnsi"/>
        </w:rPr>
      </w:pPr>
    </w:p>
    <w:p w14:paraId="038AEF21" w14:textId="3A483B65" w:rsidR="003D3694" w:rsidRPr="004A72AC" w:rsidRDefault="003D3694" w:rsidP="004A72AC">
      <w:pPr>
        <w:pStyle w:val="Heading4"/>
        <w:rPr>
          <w:rFonts w:asciiTheme="minorHAnsi" w:hAnsiTheme="minorHAnsi"/>
        </w:rPr>
      </w:pPr>
      <w:r w:rsidRPr="004A72AC">
        <w:rPr>
          <w:rFonts w:asciiTheme="minorHAnsi" w:hAnsiTheme="minorHAnsi"/>
        </w:rPr>
        <w:t>Groundwater-dependent vegetation</w:t>
      </w:r>
    </w:p>
    <w:p w14:paraId="040475D8" w14:textId="77777777" w:rsidR="003D3694" w:rsidRPr="00747E35" w:rsidRDefault="003D3694" w:rsidP="003D3694">
      <w:pPr>
        <w:rPr>
          <w:rFonts w:asciiTheme="minorHAnsi" w:hAnsiTheme="minorHAnsi" w:cstheme="minorHAnsi"/>
        </w:rPr>
      </w:pPr>
      <w:r w:rsidRPr="00747E35">
        <w:rPr>
          <w:rFonts w:asciiTheme="minorHAnsi" w:hAnsiTheme="minorHAnsi" w:cstheme="minorHAnsi"/>
          <w:lang w:val="en-GB"/>
        </w:rPr>
        <w:t xml:space="preserve">We suggest a simple and rapid method for the assessment of groundwater-dependent vegetation </w:t>
      </w:r>
      <w:r w:rsidRPr="00747E35">
        <w:rPr>
          <w:rFonts w:asciiTheme="minorHAnsi" w:hAnsiTheme="minorHAnsi" w:cstheme="minorHAnsi"/>
        </w:rPr>
        <w:t>based on a number of relatively easily observable factors including landscape position, climate, soil, geology, groundwater depth and proportion of plant hydrotypes within a plant community. However, the degree of certainty will increase with the level of knowledge of plant traits and physiology, such as root morphology, xylem anatomy, water use efficiency and productivity. As a first step in assessment we provide a decision tree for broadly categorising plants within a community into hydrotype functional groups, and identifying potential groundwater-dependent plants. Caveats on the development of a plant hydrotypes typology are the requirement for good taxonomic and ecological knowledge of species, as well as information on ecophysiological traits and responses. However, the typology developed here can work as a general guide to categories of hydrological plant types in a continuum of groundwater dependence at the plant community level.  Our approach of developing a typology of plant hydrotypes can be used as part of a field assessment of plant community vulnerability to changes in hydrology such as groundwater drawdown. The development of a typology of plant hydrotypes will assist in assessing potential ecological impacts of changes to groundwater availability, as measuring the proportion of different hydrotypes within a habitat will provide an indication of the degree of reliance on groundwater. Furthermore, detected changes over time in the proportion of different hydrotypes in a community will indicate possible changes in the hydrological regime (e.g. groundwater drawdown) operating within that area.</w:t>
      </w:r>
    </w:p>
    <w:p w14:paraId="3761BE8F" w14:textId="580EB96C" w:rsidR="00925BFC" w:rsidRPr="00747E35" w:rsidRDefault="00925BFC" w:rsidP="00925BFC">
      <w:pPr>
        <w:rPr>
          <w:rFonts w:asciiTheme="minorHAnsi" w:hAnsiTheme="minorHAnsi" w:cstheme="minorHAnsi"/>
        </w:rPr>
      </w:pPr>
      <w:r w:rsidRPr="00747E35">
        <w:rPr>
          <w:rFonts w:asciiTheme="minorHAnsi" w:hAnsiTheme="minorHAnsi" w:cstheme="minorHAnsi"/>
          <w:lang w:val="en-GB"/>
        </w:rPr>
        <w:t xml:space="preserve">Some of the methods used here are more suitable for long-term measurement of plant dependency on groundwater such as water stable isotope analysis and tree dendrometers. Also, specialist equipment and knowledge are required to analyse and interpret results.  These methods are therefore probably not appropriate as direct management tools for environmental impact assessment. </w:t>
      </w:r>
      <w:r w:rsidRPr="00747E35">
        <w:rPr>
          <w:rFonts w:asciiTheme="minorHAnsi" w:hAnsiTheme="minorHAnsi" w:cstheme="minorHAnsi"/>
        </w:rPr>
        <w:t xml:space="preserve">To assess potential groundwater use by trees we suggest that ideally sources of tree water use must be assessed over several different seasons and years.  Clearly this is rarely practical for environmental impact assessments and a possible compromise is to substitute space for time, so that assessment of groundwater use by trees can be </w:t>
      </w:r>
      <w:r w:rsidRPr="00747E35">
        <w:rPr>
          <w:rFonts w:asciiTheme="minorHAnsi" w:hAnsiTheme="minorHAnsi" w:cstheme="minorHAnsi"/>
        </w:rPr>
        <w:lastRenderedPageBreak/>
        <w:t>done at different locations with a gradient of groundwater depths.  Although measuring groundwater use of a plant species at different groundwater depths is possible and will provide a range of depths at which this species can access groundwater, it will not provide information on the effects of the rate of groundwater change.  To assess plant species resilience to rapid and long-term groundwater drawdown would require the setting up of groundwater drawdown experiments.</w:t>
      </w:r>
    </w:p>
    <w:p w14:paraId="47EC4498" w14:textId="36D3F87E" w:rsidR="00925BFC" w:rsidRPr="00747E35" w:rsidRDefault="00925BFC" w:rsidP="00925BFC">
      <w:pPr>
        <w:rPr>
          <w:rFonts w:asciiTheme="minorHAnsi" w:hAnsiTheme="minorHAnsi" w:cstheme="minorHAnsi"/>
          <w:lang w:val="en-GB" w:eastAsia="en-AU"/>
        </w:rPr>
      </w:pPr>
      <w:r w:rsidRPr="00747E35">
        <w:rPr>
          <w:rFonts w:asciiTheme="minorHAnsi" w:hAnsiTheme="minorHAnsi" w:cstheme="minorHAnsi"/>
        </w:rPr>
        <w:t xml:space="preserve">The abundance of the naturally occurring stable isotopes </w:t>
      </w:r>
      <w:r w:rsidRPr="00747E35">
        <w:rPr>
          <w:rFonts w:asciiTheme="minorHAnsi" w:hAnsiTheme="minorHAnsi" w:cstheme="minorHAnsi"/>
          <w:vertAlign w:val="superscript"/>
        </w:rPr>
        <w:t>18</w:t>
      </w:r>
      <w:r w:rsidRPr="00747E35">
        <w:rPr>
          <w:rFonts w:asciiTheme="minorHAnsi" w:hAnsiTheme="minorHAnsi" w:cstheme="minorHAnsi"/>
        </w:rPr>
        <w:t>O</w:t>
      </w:r>
      <w:r w:rsidRPr="00747E35" w:rsidDel="00D30201">
        <w:rPr>
          <w:rFonts w:asciiTheme="minorHAnsi" w:hAnsiTheme="minorHAnsi" w:cstheme="minorHAnsi"/>
          <w:i/>
          <w:iCs/>
        </w:rPr>
        <w:t xml:space="preserve"> </w:t>
      </w:r>
      <w:r w:rsidRPr="00747E35">
        <w:rPr>
          <w:rFonts w:asciiTheme="minorHAnsi" w:hAnsiTheme="minorHAnsi" w:cstheme="minorHAnsi"/>
        </w:rPr>
        <w:t xml:space="preserve">and </w:t>
      </w:r>
      <w:r w:rsidRPr="00747E35">
        <w:rPr>
          <w:rFonts w:asciiTheme="minorHAnsi" w:hAnsiTheme="minorHAnsi" w:cstheme="minorHAnsi"/>
          <w:vertAlign w:val="superscript"/>
        </w:rPr>
        <w:t>2</w:t>
      </w:r>
      <w:r w:rsidRPr="00747E35">
        <w:rPr>
          <w:rFonts w:asciiTheme="minorHAnsi" w:hAnsiTheme="minorHAnsi" w:cstheme="minorHAnsi"/>
        </w:rPr>
        <w:t xml:space="preserve">H can also be used to represent the relative importance of groundwater as a plant water source in different hydrological conditions (Dawson and Ehleringer, 1991, Adams and Grierson, 2001). </w:t>
      </w:r>
      <w:r w:rsidRPr="00747E35">
        <w:rPr>
          <w:rFonts w:asciiTheme="minorHAnsi" w:hAnsiTheme="minorHAnsi" w:cstheme="minorHAnsi"/>
          <w:lang w:val="en-GB" w:eastAsia="en-AU"/>
        </w:rPr>
        <w:t>Assessing the importance of groundwater for plants can be done by measuring</w:t>
      </w:r>
      <w:r w:rsidRPr="00747E35">
        <w:rPr>
          <w:rFonts w:asciiTheme="minorHAnsi" w:hAnsiTheme="minorHAnsi" w:cstheme="minorHAnsi"/>
        </w:rPr>
        <w:t xml:space="preserve"> spatial variability of the isotope ratios </w:t>
      </w:r>
      <w:r w:rsidRPr="00747E35">
        <w:rPr>
          <w:rFonts w:asciiTheme="minorHAnsi" w:hAnsiTheme="minorHAnsi" w:cstheme="minorHAnsi"/>
          <w:i/>
          <w:iCs/>
        </w:rPr>
        <w:t>δ</w:t>
      </w:r>
      <w:r w:rsidRPr="00747E35">
        <w:rPr>
          <w:rFonts w:asciiTheme="minorHAnsi" w:hAnsiTheme="minorHAnsi" w:cstheme="minorHAnsi"/>
          <w:vertAlign w:val="superscript"/>
        </w:rPr>
        <w:t>18</w:t>
      </w:r>
      <w:r w:rsidRPr="00747E35">
        <w:rPr>
          <w:rFonts w:asciiTheme="minorHAnsi" w:hAnsiTheme="minorHAnsi" w:cstheme="minorHAnsi"/>
        </w:rPr>
        <w:t>O</w:t>
      </w:r>
      <w:r w:rsidRPr="00747E35" w:rsidDel="00D30201">
        <w:rPr>
          <w:rFonts w:asciiTheme="minorHAnsi" w:hAnsiTheme="minorHAnsi" w:cstheme="minorHAnsi"/>
          <w:i/>
          <w:iCs/>
        </w:rPr>
        <w:t xml:space="preserve"> </w:t>
      </w:r>
      <w:r w:rsidRPr="00747E35">
        <w:rPr>
          <w:rFonts w:asciiTheme="minorHAnsi" w:hAnsiTheme="minorHAnsi" w:cstheme="minorHAnsi"/>
        </w:rPr>
        <w:t xml:space="preserve">and </w:t>
      </w:r>
      <w:r w:rsidRPr="00747E35">
        <w:rPr>
          <w:rFonts w:asciiTheme="minorHAnsi" w:hAnsiTheme="minorHAnsi" w:cstheme="minorHAnsi"/>
          <w:i/>
          <w:iCs/>
        </w:rPr>
        <w:t>δ</w:t>
      </w:r>
      <w:r w:rsidRPr="00747E35">
        <w:rPr>
          <w:rFonts w:asciiTheme="minorHAnsi" w:hAnsiTheme="minorHAnsi" w:cstheme="minorHAnsi"/>
          <w:vertAlign w:val="superscript"/>
        </w:rPr>
        <w:t>2</w:t>
      </w:r>
      <w:r w:rsidRPr="00747E35">
        <w:rPr>
          <w:rFonts w:asciiTheme="minorHAnsi" w:hAnsiTheme="minorHAnsi" w:cstheme="minorHAnsi"/>
        </w:rPr>
        <w:t>H in plant xylem water, soil water and groundwater. As for food web analysis, it can be a relatively time consuming and costly method. Hydrogen and ox</w:t>
      </w:r>
      <w:r w:rsidR="00AB6396">
        <w:rPr>
          <w:rFonts w:asciiTheme="minorHAnsi" w:hAnsiTheme="minorHAnsi" w:cstheme="minorHAnsi"/>
        </w:rPr>
        <w:t>y</w:t>
      </w:r>
      <w:r w:rsidRPr="00747E35">
        <w:rPr>
          <w:rFonts w:asciiTheme="minorHAnsi" w:hAnsiTheme="minorHAnsi" w:cstheme="minorHAnsi"/>
        </w:rPr>
        <w:t xml:space="preserve">gen isotopes can also be used to measure the relative importance of groundwater in maintaining stream pools. </w:t>
      </w:r>
    </w:p>
    <w:p w14:paraId="530696D4"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Remote sensing analysis of vegetation condition using such measures as Normalised Difference Vegetation Index (NDVI) and Normalised Difference Wetness Index (NDWI) can assist in the development of a baseline for investigation of the potential impacts of groundwater drawdown from mining activities on vegetation. Small-scale on-ground data can also be used to ‘ground-truth’ these remotely sensed data.  The combination of on-ground studies and remote sensing will provide a critical linkage in understanding how plant communities respond to groundwater drawdown at the local and catchment scales.</w:t>
      </w:r>
    </w:p>
    <w:p w14:paraId="7D058AEC" w14:textId="4580C941" w:rsidR="00E21EAF" w:rsidRPr="00E21EAF" w:rsidRDefault="003D3694" w:rsidP="00E21EAF">
      <w:pPr>
        <w:rPr>
          <w:rFonts w:asciiTheme="minorHAnsi" w:hAnsiTheme="minorHAnsi" w:cstheme="minorHAnsi"/>
        </w:rPr>
      </w:pPr>
      <w:r w:rsidRPr="00E21EAF">
        <w:rPr>
          <w:rFonts w:asciiTheme="minorHAnsi" w:hAnsiTheme="minorHAnsi" w:cstheme="minorHAnsi"/>
        </w:rPr>
        <w:t>The development and application of a web-based toolset to support the analyses provided</w:t>
      </w:r>
      <w:r w:rsidR="004C011D" w:rsidRPr="00E21EAF">
        <w:rPr>
          <w:rFonts w:asciiTheme="minorHAnsi" w:hAnsiTheme="minorHAnsi" w:cstheme="minorHAnsi"/>
        </w:rPr>
        <w:t xml:space="preserve"> in this report (</w:t>
      </w:r>
      <w:r w:rsidR="00E21EAF" w:rsidRPr="00E21EAF">
        <w:rPr>
          <w:rFonts w:asciiTheme="minorHAnsi" w:hAnsiTheme="minorHAnsi" w:cstheme="minorHAnsi"/>
        </w:rPr>
        <w:t>see Section 7.1, Appendix 1 for full description</w:t>
      </w:r>
      <w:r w:rsidRPr="00E21EAF">
        <w:rPr>
          <w:rFonts w:asciiTheme="minorHAnsi" w:hAnsiTheme="minorHAnsi" w:cstheme="minorHAnsi"/>
        </w:rPr>
        <w:t>) can enable non-specialists to remotely assess vegetation condition. This toolset adapted the methodology for GDV mapping (CSIRO-GDV), previously developed by CSIRO for the Pilbara Water Resources Assessment (PWRA) project. It is implemented in the Google Earth Engine (GEE) environment, an open source monitoring platform for development of web-based Earth observation applications.</w:t>
      </w:r>
      <w:r w:rsidR="00E21EAF" w:rsidRPr="00E21EAF">
        <w:rPr>
          <w:rFonts w:asciiTheme="minorHAnsi" w:hAnsiTheme="minorHAnsi" w:cstheme="minorHAnsi"/>
        </w:rPr>
        <w:t xml:space="preserve"> The developed GEE-CSIRO-GDV tools include: </w:t>
      </w:r>
    </w:p>
    <w:p w14:paraId="58AF840E" w14:textId="77777777" w:rsidR="00E21EAF" w:rsidRPr="00E21EAF" w:rsidRDefault="00E21EAF" w:rsidP="00E21EAF">
      <w:pPr>
        <w:spacing w:after="0"/>
        <w:ind w:left="567" w:hanging="567"/>
        <w:rPr>
          <w:rFonts w:asciiTheme="minorHAnsi" w:hAnsiTheme="minorHAnsi" w:cstheme="minorHAnsi"/>
        </w:rPr>
      </w:pPr>
      <w:r w:rsidRPr="00E21EAF">
        <w:rPr>
          <w:rFonts w:asciiTheme="minorHAnsi" w:hAnsiTheme="minorHAnsi" w:cstheme="minorHAnsi"/>
        </w:rPr>
        <w:t xml:space="preserve">Tool 1 - creating image thumbnails for image quality control; </w:t>
      </w:r>
    </w:p>
    <w:p w14:paraId="606A04E5" w14:textId="77777777" w:rsidR="00E21EAF" w:rsidRPr="00E21EAF" w:rsidRDefault="00E21EAF" w:rsidP="00E21EAF">
      <w:pPr>
        <w:spacing w:after="0"/>
        <w:ind w:left="567" w:hanging="567"/>
        <w:rPr>
          <w:rFonts w:asciiTheme="minorHAnsi" w:hAnsiTheme="minorHAnsi" w:cstheme="minorHAnsi"/>
        </w:rPr>
      </w:pPr>
      <w:r w:rsidRPr="00E21EAF">
        <w:rPr>
          <w:rFonts w:asciiTheme="minorHAnsi" w:hAnsiTheme="minorHAnsi" w:cstheme="minorHAnsi"/>
        </w:rPr>
        <w:t xml:space="preserve">Tool 2 - identification of dates of cloud-free Landsat imagery from the GEE remote sensing database and generation of cloud free NDVI and NDWI data cubes covering the selected time periods; </w:t>
      </w:r>
    </w:p>
    <w:p w14:paraId="5E4AB00A" w14:textId="77777777" w:rsidR="00E21EAF" w:rsidRPr="00E21EAF" w:rsidRDefault="00E21EAF" w:rsidP="00E21EAF">
      <w:pPr>
        <w:spacing w:after="0"/>
        <w:ind w:left="567" w:hanging="567"/>
        <w:rPr>
          <w:rFonts w:asciiTheme="minorHAnsi" w:hAnsiTheme="minorHAnsi" w:cstheme="minorHAnsi"/>
        </w:rPr>
      </w:pPr>
      <w:r w:rsidRPr="00E21EAF">
        <w:rPr>
          <w:rFonts w:asciiTheme="minorHAnsi" w:hAnsiTheme="minorHAnsi" w:cstheme="minorHAnsi"/>
        </w:rPr>
        <w:t xml:space="preserve">Tool 3 - NDVI and NDWI time series extraction at selected point locations; </w:t>
      </w:r>
    </w:p>
    <w:p w14:paraId="72504A38" w14:textId="77777777" w:rsidR="00E21EAF" w:rsidRPr="00E21EAF" w:rsidRDefault="00E21EAF" w:rsidP="00E21EAF">
      <w:pPr>
        <w:spacing w:after="0"/>
        <w:ind w:left="567" w:hanging="567"/>
        <w:rPr>
          <w:rFonts w:asciiTheme="minorHAnsi" w:hAnsiTheme="minorHAnsi" w:cstheme="minorHAnsi"/>
        </w:rPr>
      </w:pPr>
      <w:r w:rsidRPr="00E21EAF">
        <w:rPr>
          <w:rFonts w:asciiTheme="minorHAnsi" w:hAnsiTheme="minorHAnsi" w:cstheme="minorHAnsi"/>
        </w:rPr>
        <w:t xml:space="preserve">Tool 4 - Principal Component Analysis of multi-temporal NDVI and NDWI datasets; </w:t>
      </w:r>
    </w:p>
    <w:p w14:paraId="0D3C3757" w14:textId="77777777" w:rsidR="00E21EAF" w:rsidRPr="00E21EAF" w:rsidRDefault="00E21EAF" w:rsidP="00E21EAF">
      <w:pPr>
        <w:ind w:left="567" w:hanging="567"/>
        <w:rPr>
          <w:rFonts w:asciiTheme="minorHAnsi" w:hAnsiTheme="minorHAnsi" w:cstheme="minorHAnsi"/>
        </w:rPr>
      </w:pPr>
      <w:r w:rsidRPr="00E21EAF">
        <w:rPr>
          <w:rFonts w:asciiTheme="minorHAnsi" w:hAnsiTheme="minorHAnsi" w:cstheme="minorHAnsi"/>
        </w:rPr>
        <w:t>Tool 5 - Multiple Linear Regression Analysis to model relationships between NDVI temporal profiles at each NDVI grid pixel location and local climate parameters (e.g. temperature, rainfall).</w:t>
      </w:r>
    </w:p>
    <w:p w14:paraId="5ABA557F" w14:textId="77777777" w:rsidR="00E21EAF" w:rsidRPr="00747E35" w:rsidRDefault="00E21EAF" w:rsidP="003D3694">
      <w:pPr>
        <w:rPr>
          <w:rFonts w:asciiTheme="minorHAnsi" w:hAnsiTheme="minorHAnsi" w:cstheme="minorHAnsi"/>
        </w:rPr>
      </w:pPr>
    </w:p>
    <w:p w14:paraId="48203676" w14:textId="4A7CB0EC" w:rsidR="003D3694" w:rsidRPr="004A72AC" w:rsidRDefault="003D3694" w:rsidP="004A72AC">
      <w:pPr>
        <w:pStyle w:val="Heading4"/>
        <w:rPr>
          <w:rFonts w:asciiTheme="minorHAnsi" w:hAnsiTheme="minorHAnsi"/>
        </w:rPr>
      </w:pPr>
      <w:r w:rsidRPr="004A72AC">
        <w:rPr>
          <w:rFonts w:asciiTheme="minorHAnsi" w:hAnsiTheme="minorHAnsi"/>
        </w:rPr>
        <w:t>Hyporheic fauna</w:t>
      </w:r>
    </w:p>
    <w:p w14:paraId="16D623DD" w14:textId="77777777" w:rsidR="003D3694" w:rsidRPr="00747E35" w:rsidRDefault="003D3694" w:rsidP="003D3694">
      <w:pPr>
        <w:rPr>
          <w:rFonts w:asciiTheme="minorHAnsi" w:hAnsiTheme="minorHAnsi" w:cstheme="minorHAnsi"/>
          <w:lang w:val="en-GB" w:eastAsia="en-AU"/>
        </w:rPr>
      </w:pPr>
      <w:r w:rsidRPr="00747E35">
        <w:rPr>
          <w:rFonts w:asciiTheme="minorHAnsi" w:hAnsiTheme="minorHAnsi" w:cstheme="minorHAnsi"/>
          <w:lang w:val="en-GB" w:eastAsia="en-AU"/>
        </w:rPr>
        <w:t>The paucity of hyporheic ecology studies in Australia means there is little existing baseline or benchmark information against which to plan monitoring studies and interpret the results. However, the methods are well established and published in numerous studies conducted in Europe and North America (e.g. Gibert et al. 1994). The inherent heterogeneity in hyporheic habitats and localized high variability in hyporheos assemblages means that surveys and monitoring need to ensure adequate spatio-temporal replication within and across sites, supported by pilot studies and progressive, iterative evaluation of results along the way. We advocate a flexible and adaptive approach that is responsive to site-specific conditions and context, rather than a prescribed survey effort. Good practice would require that each location is assessed on a case-by-case basis, and initial desktop studies are validated by field study. For data analysis, non-parametric permutational analysis of multivariate data is appropriate for typically highly variable and patchy invertebrate abundance and distribution patterns, and complements parametric treatment of univariate indices such as richness and abundance. Evaluation of sampling adequacy and completeness during surveys and monitoring is effectively undertaken using taxon accumulation curves, and the various commonly used estimators of total species richness (e.g. Colwell et al. 2004).</w:t>
      </w:r>
    </w:p>
    <w:p w14:paraId="302A8457" w14:textId="77777777" w:rsidR="003D3694" w:rsidRPr="00747E35" w:rsidRDefault="003D3694" w:rsidP="003D3694">
      <w:pPr>
        <w:rPr>
          <w:rFonts w:asciiTheme="minorHAnsi" w:hAnsiTheme="minorHAnsi" w:cstheme="minorHAnsi"/>
          <w:lang w:val="en-GB" w:eastAsia="en-AU"/>
        </w:rPr>
      </w:pPr>
    </w:p>
    <w:p w14:paraId="6A23DA24" w14:textId="7F81EB2C" w:rsidR="003D3694" w:rsidRPr="004A72AC" w:rsidRDefault="003D3694" w:rsidP="004A72AC">
      <w:pPr>
        <w:pStyle w:val="Heading4"/>
        <w:rPr>
          <w:rFonts w:asciiTheme="minorHAnsi" w:hAnsiTheme="minorHAnsi"/>
        </w:rPr>
      </w:pPr>
      <w:r w:rsidRPr="004A72AC">
        <w:rPr>
          <w:rFonts w:asciiTheme="minorHAnsi" w:hAnsiTheme="minorHAnsi"/>
        </w:rPr>
        <w:lastRenderedPageBreak/>
        <w:t>Surface macroinvertebrates and fish</w:t>
      </w:r>
    </w:p>
    <w:p w14:paraId="7C747D6D" w14:textId="77777777" w:rsidR="003D3694" w:rsidRPr="00747E35" w:rsidRDefault="003D3694" w:rsidP="003D3694">
      <w:pPr>
        <w:rPr>
          <w:rFonts w:asciiTheme="minorHAnsi" w:hAnsiTheme="minorHAnsi" w:cstheme="minorHAnsi"/>
          <w:lang w:val="en-GB" w:eastAsia="en-AU"/>
        </w:rPr>
      </w:pPr>
      <w:r w:rsidRPr="00747E35">
        <w:rPr>
          <w:rFonts w:asciiTheme="minorHAnsi" w:hAnsiTheme="minorHAnsi" w:cstheme="minorHAnsi"/>
          <w:lang w:val="en-GB" w:eastAsia="en-AU"/>
        </w:rPr>
        <w:t xml:space="preserve">Fish and macroinvertebrate sampling are traditional measures of aquatic ecosystem condition. The use of these indicators has been based on their demonstrated success in detecting a range of human impacts, especially those resulting from pollution, catchment land-use change, and flow reductions. </w:t>
      </w:r>
      <w:r w:rsidRPr="00747E35">
        <w:rPr>
          <w:rFonts w:asciiTheme="minorHAnsi" w:hAnsiTheme="minorHAnsi" w:cstheme="minorHAnsi"/>
        </w:rPr>
        <w:t>However, in spite of the demonstrable sensitivity of invertebrate assemblages to land-use change in many regions, the use of invertebrates as indicators in intermittent and ephemeral streams has proved problematic (Sheldon 2005). Two particular issues are that: a) the often harsh environmental conditions during the dry phase in intermittent streams can mean that the fauna is typically dominated by those same types of taxa that can also cope with the physio-chemical changes often caused by human impacts; and, b) the high temporal variability of intermittent and ephemeral streams means that defining an appropriate reference condition can be extremely difficult. A number of studies have evaluated the ability of standard invertebrate biomonitoring approaches applied to intermittent streams, and found them to be inadequate to differentiate impaired sites (e.g. Chessman et al. 2006, 2010).</w:t>
      </w:r>
      <w:r w:rsidRPr="00747E35">
        <w:rPr>
          <w:rFonts w:asciiTheme="minorHAnsi" w:hAnsiTheme="minorHAnsi" w:cstheme="minorHAnsi"/>
          <w:lang w:val="en-GB" w:eastAsia="en-AU"/>
        </w:rPr>
        <w:t xml:space="preserve"> It is thus perhaps not surprising that we could not detect clear patterns in macroinvertebrate and fish assemblages in relation to short-term hydrological changes in the current study. </w:t>
      </w:r>
    </w:p>
    <w:p w14:paraId="1BFCC373" w14:textId="77777777" w:rsidR="003D3694" w:rsidRPr="00747E35" w:rsidRDefault="003D3694" w:rsidP="003D3694">
      <w:pPr>
        <w:rPr>
          <w:rFonts w:asciiTheme="minorHAnsi" w:hAnsiTheme="minorHAnsi" w:cstheme="minorHAnsi"/>
          <w:lang w:val="en-GB" w:eastAsia="en-AU"/>
        </w:rPr>
      </w:pPr>
      <w:r w:rsidRPr="00747E35">
        <w:rPr>
          <w:rFonts w:asciiTheme="minorHAnsi" w:hAnsiTheme="minorHAnsi" w:cstheme="minorHAnsi"/>
          <w:lang w:val="en-GB" w:eastAsia="en-AU"/>
        </w:rPr>
        <w:t>One alternative approach to using fish and invertebrate datasets would be to use model-based predictions in the planning phase of assessing potential ecological impacts. For example, despite considerable short-term variation in abundance within individual sites, over the long-term the distribution and abundance of both fish and invertebrates are often strongly related to the degree of flow permanence (Bond et al. 2011, 2012), and such patterns can (on average) be quite predictable. Our findings support this notion, with fish and macroinvertebrate assemblage structure being influenced by longer-term discharge characteristics. Thus, rather than seeking to test for impacts from altered hydrology, an alternative approach would be to use models built using existing large-scale datasets to set limits to hydrologic alteration, and to focus investment on monitoring and modelling efforts to better understand the likely hydrologic impacts that may arise from CSG and coal mining developments. Such approaches have been advocated for setting environmental flow targets for regulated rivers (e.g. Poff et al. 2010) but in fact may be more appropriate for unregulated rivers subjected to broad-scale water withdrawals where the patterns of flow change may be far less complex than in regulated systems where flows can be manipulated via reservoir releases.</w:t>
      </w:r>
    </w:p>
    <w:p w14:paraId="4AE2C833" w14:textId="77777777" w:rsidR="003D3694" w:rsidRPr="00747E35" w:rsidRDefault="003D3694" w:rsidP="003D3694">
      <w:pPr>
        <w:autoSpaceDE/>
        <w:autoSpaceDN/>
        <w:spacing w:line="276" w:lineRule="auto"/>
        <w:rPr>
          <w:rFonts w:asciiTheme="minorHAnsi" w:hAnsiTheme="minorHAnsi" w:cstheme="minorHAnsi"/>
          <w:lang w:val="en-GB" w:eastAsia="en-AU"/>
        </w:rPr>
      </w:pPr>
      <w:r w:rsidRPr="00747E35">
        <w:rPr>
          <w:rFonts w:asciiTheme="minorHAnsi" w:hAnsiTheme="minorHAnsi" w:cstheme="minorHAnsi"/>
          <w:lang w:val="en-GB" w:eastAsia="en-AU"/>
        </w:rPr>
        <w:br w:type="page"/>
      </w:r>
    </w:p>
    <w:p w14:paraId="792739EB" w14:textId="4E7723C1" w:rsidR="003D3694" w:rsidRPr="00824472" w:rsidRDefault="003D3694" w:rsidP="00824472">
      <w:pPr>
        <w:pStyle w:val="Heading2"/>
        <w:rPr>
          <w:rFonts w:asciiTheme="minorHAnsi" w:hAnsiTheme="minorHAnsi"/>
        </w:rPr>
      </w:pPr>
      <w:bookmarkStart w:id="463" w:name="_Toc470004923"/>
      <w:r w:rsidRPr="00824472">
        <w:rPr>
          <w:rFonts w:asciiTheme="minorHAnsi" w:hAnsiTheme="minorHAnsi"/>
        </w:rPr>
        <w:lastRenderedPageBreak/>
        <w:t>Key project findings</w:t>
      </w:r>
      <w:bookmarkEnd w:id="463"/>
    </w:p>
    <w:p w14:paraId="70E5F410"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Here we consolidate the key findings from each project component.</w:t>
      </w:r>
    </w:p>
    <w:p w14:paraId="5C6AD8F2" w14:textId="45C41B1B" w:rsidR="004651AD" w:rsidRPr="00747E35" w:rsidRDefault="0087451A" w:rsidP="003D3694">
      <w:pPr>
        <w:rPr>
          <w:rFonts w:asciiTheme="minorHAnsi" w:eastAsia="Times New Roman" w:hAnsiTheme="minorHAnsi" w:cstheme="minorHAnsi"/>
        </w:rPr>
      </w:pPr>
      <w:r w:rsidRPr="00747E35">
        <w:rPr>
          <w:rFonts w:asciiTheme="minorHAnsi" w:eastAsia="Times New Roman" w:hAnsiTheme="minorHAnsi" w:cstheme="minorHAnsi"/>
        </w:rPr>
        <w:t xml:space="preserve">A key step in developing suitable experimental approaches for this multi-disciplinary project was through the creation and revision of a series of conceptual models. </w:t>
      </w:r>
      <w:r w:rsidR="004651AD" w:rsidRPr="00747E35">
        <w:rPr>
          <w:rFonts w:asciiTheme="minorHAnsi" w:eastAsia="Times New Roman" w:hAnsiTheme="minorHAnsi" w:cstheme="minorHAnsi"/>
        </w:rPr>
        <w:t>In addition to helping formalize the experimental design, w</w:t>
      </w:r>
      <w:r w:rsidRPr="00747E35">
        <w:rPr>
          <w:rFonts w:asciiTheme="minorHAnsi" w:eastAsia="Times New Roman" w:hAnsiTheme="minorHAnsi" w:cstheme="minorHAnsi"/>
        </w:rPr>
        <w:t xml:space="preserve">e found </w:t>
      </w:r>
      <w:r w:rsidR="004651AD" w:rsidRPr="00747E35">
        <w:rPr>
          <w:rFonts w:asciiTheme="minorHAnsi" w:eastAsia="Times New Roman" w:hAnsiTheme="minorHAnsi" w:cstheme="minorHAnsi"/>
        </w:rPr>
        <w:t>that reviewing and refining those conceptual models at key stages in the project to be an efficient way to consolidate our collective findings.</w:t>
      </w:r>
    </w:p>
    <w:p w14:paraId="2E35104E" w14:textId="77777777" w:rsidR="003D3694" w:rsidRPr="00747E35" w:rsidRDefault="003D3694" w:rsidP="003D3694">
      <w:pPr>
        <w:rPr>
          <w:rFonts w:asciiTheme="minorHAnsi" w:hAnsiTheme="minorHAnsi" w:cstheme="minorHAnsi"/>
        </w:rPr>
      </w:pPr>
      <w:r w:rsidRPr="00747E35">
        <w:rPr>
          <w:rFonts w:asciiTheme="minorHAnsi" w:hAnsiTheme="minorHAnsi" w:cstheme="minorHAnsi"/>
          <w:b/>
        </w:rPr>
        <w:t>Component 1</w:t>
      </w:r>
      <w:r w:rsidRPr="00747E35">
        <w:rPr>
          <w:rFonts w:asciiTheme="minorHAnsi" w:hAnsiTheme="minorHAnsi" w:cstheme="minorHAnsi"/>
        </w:rPr>
        <w:t xml:space="preserve"> – Ecohydrology of groundwater dependent terrestrial vegetation. (Short title: Groundwater dependent vegetation).</w:t>
      </w:r>
    </w:p>
    <w:p w14:paraId="620988D3" w14:textId="113FB953" w:rsidR="00925BFC" w:rsidRPr="00747E35" w:rsidRDefault="00925BFC" w:rsidP="00925BFC">
      <w:pPr>
        <w:pStyle w:val="ListParagraph"/>
        <w:numPr>
          <w:ilvl w:val="0"/>
          <w:numId w:val="33"/>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We developed a typology of plant functional groups from the international literature that characterised plant communities as a mix of hydrotypes indicative of hydrological requirements and associated with landscape position. We then applied this typology to plant communities from the study sites at Maules Creek and the Bremer River. The typology provides us with a convenient first step in identifying the water sources important to maintaining vegetation and the potential for groundwater dependence for EIA. Using this typology, it is possible to predict, for management purposes, the importance of groundwater to a given plant community. The typology can be based on a number of somewhat easily observable factors including landscape position, climate, soil, geology, groundwater depth and proportion of plant hydrotypes within a plant community.</w:t>
      </w:r>
    </w:p>
    <w:p w14:paraId="7A8072B3" w14:textId="77777777" w:rsidR="003D3694" w:rsidRPr="00747E35" w:rsidRDefault="003D3694" w:rsidP="0083624F">
      <w:pPr>
        <w:numPr>
          <w:ilvl w:val="0"/>
          <w:numId w:val="33"/>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We provide a decision tree for broadly categorising plants within a community into hydrotype functional groups, and identifying potential phreatophytes. The decision tree uses life history traits (annual or perennials) and life form (woody or herbaceous) as well as habitat, depth to groundwater, duration of inundation and drought adaptation to identify the different hydrotypes. Consequently, this type of approach can be used to assess potential ecological impacts of groundwater drawdown as a result of coal seam gas (CSG) and coal mining developments in a variety of biophysical settings.</w:t>
      </w:r>
    </w:p>
    <w:p w14:paraId="2CBD3750" w14:textId="407A381A" w:rsidR="003D3694" w:rsidRPr="00747E35" w:rsidRDefault="003D3694" w:rsidP="0083624F">
      <w:pPr>
        <w:numPr>
          <w:ilvl w:val="0"/>
          <w:numId w:val="33"/>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 xml:space="preserve">Our results indicate the importance of antecedent </w:t>
      </w:r>
      <w:r w:rsidR="00925BFC" w:rsidRPr="00747E35">
        <w:rPr>
          <w:rFonts w:asciiTheme="minorHAnsi" w:hAnsiTheme="minorHAnsi" w:cstheme="minorHAnsi"/>
        </w:rPr>
        <w:t xml:space="preserve">weather </w:t>
      </w:r>
      <w:r w:rsidRPr="00747E35">
        <w:rPr>
          <w:rFonts w:asciiTheme="minorHAnsi" w:eastAsia="Times New Roman" w:hAnsiTheme="minorHAnsi" w:cstheme="minorHAnsi"/>
        </w:rPr>
        <w:t>(particularly rainfall) and hydrological conditions to the ecohydrological state of the trees and their water sources. Our dendrometer study of red gum trees in different landscape positions suggests that sites with shallow groundwater for most of the year had greater growth rates over the year and larger daily stem changes indicating greater short-term growth rates. Although these trees have responded to rainfall events (and corresponding flow), they show less response to drought periods, suggesting they are less dependent on rainfall and may also be accessing groundwater continuously.  Riparian trees at the intermittent site, where groundwater is seasonally deeper, may also be accessing groundwater at some periods during the year. Stable isotope analysis provided further evidence that there were strong links to groundwater</w:t>
      </w:r>
      <w:r w:rsidRPr="00747E35" w:rsidDel="00D8571B">
        <w:rPr>
          <w:rFonts w:asciiTheme="minorHAnsi" w:eastAsia="Times New Roman" w:hAnsiTheme="minorHAnsi" w:cstheme="minorHAnsi"/>
        </w:rPr>
        <w:t xml:space="preserve"> </w:t>
      </w:r>
      <w:r w:rsidRPr="00747E35">
        <w:rPr>
          <w:rFonts w:asciiTheme="minorHAnsi" w:eastAsia="Times New Roman" w:hAnsiTheme="minorHAnsi" w:cstheme="minorHAnsi"/>
        </w:rPr>
        <w:t>for trees in the riparian area of Maules Creek at the site of a perennial pool as well for trees on the nearby floodplain.</w:t>
      </w:r>
    </w:p>
    <w:p w14:paraId="71FFBC52" w14:textId="565770F8" w:rsidR="003D3694" w:rsidRPr="00747E35" w:rsidRDefault="003D3694" w:rsidP="0083624F">
      <w:pPr>
        <w:numPr>
          <w:ilvl w:val="0"/>
          <w:numId w:val="33"/>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Plants using groundwater (phreatophytes) are generally restricted to environments with permanent groundwater supplies within a depth accessible to plant roots. Therefore, phreatophytes can occur i</w:t>
      </w:r>
      <w:r w:rsidR="00E947EA">
        <w:rPr>
          <w:rFonts w:asciiTheme="minorHAnsi" w:eastAsia="Times New Roman" w:hAnsiTheme="minorHAnsi" w:cstheme="minorHAnsi"/>
        </w:rPr>
        <w:t>n</w:t>
      </w:r>
      <w:r w:rsidRPr="00747E35">
        <w:rPr>
          <w:rFonts w:asciiTheme="minorHAnsi" w:eastAsia="Times New Roman" w:hAnsiTheme="minorHAnsi" w:cstheme="minorHAnsi"/>
        </w:rPr>
        <w:t xml:space="preserve"> most habitats where groundwater</w:t>
      </w:r>
      <w:r w:rsidRPr="00747E35" w:rsidDel="005B5911">
        <w:rPr>
          <w:rFonts w:asciiTheme="minorHAnsi" w:eastAsia="Times New Roman" w:hAnsiTheme="minorHAnsi" w:cstheme="minorHAnsi"/>
        </w:rPr>
        <w:t xml:space="preserve"> </w:t>
      </w:r>
      <w:r w:rsidRPr="00747E35">
        <w:rPr>
          <w:rFonts w:asciiTheme="minorHAnsi" w:eastAsia="Times New Roman" w:hAnsiTheme="minorHAnsi" w:cstheme="minorHAnsi"/>
        </w:rPr>
        <w:t>is shallow enough for roots to reach and plants opportunistically use groundwater</w:t>
      </w:r>
      <w:r w:rsidRPr="00747E35" w:rsidDel="005B5911">
        <w:rPr>
          <w:rFonts w:asciiTheme="minorHAnsi" w:eastAsia="Times New Roman" w:hAnsiTheme="minorHAnsi" w:cstheme="minorHAnsi"/>
        </w:rPr>
        <w:t xml:space="preserve"> </w:t>
      </w:r>
      <w:r w:rsidRPr="00747E35">
        <w:rPr>
          <w:rFonts w:asciiTheme="minorHAnsi" w:eastAsia="Times New Roman" w:hAnsiTheme="minorHAnsi" w:cstheme="minorHAnsi"/>
        </w:rPr>
        <w:t>to a greater or lesser extent when the energetic balance is favourable to extracting deeper soil water at the capillary fringe of the water table, rather than from the soil water. It is generally assumed therefore that if plants can access groundwater then some plants within the ecosystem will develop some degree of dependence.  Therefore, phreatophytic behaviour seems to be more related to the prevailing environmental conditions than to the capabilities of a given plant species.</w:t>
      </w:r>
    </w:p>
    <w:p w14:paraId="7E1EA86E" w14:textId="77777777" w:rsidR="00925BFC" w:rsidRPr="00747E35" w:rsidRDefault="00925BFC" w:rsidP="00925BFC">
      <w:pPr>
        <w:pStyle w:val="ListParagraph"/>
        <w:numPr>
          <w:ilvl w:val="0"/>
          <w:numId w:val="33"/>
        </w:numPr>
        <w:adjustRightInd w:val="0"/>
        <w:spacing w:before="60" w:after="240" w:line="240" w:lineRule="auto"/>
        <w:contextualSpacing w:val="0"/>
        <w:jc w:val="both"/>
        <w:rPr>
          <w:rFonts w:asciiTheme="minorHAnsi" w:hAnsiTheme="minorHAnsi" w:cstheme="minorHAnsi"/>
        </w:rPr>
      </w:pPr>
      <w:r w:rsidRPr="00747E35">
        <w:rPr>
          <w:rFonts w:asciiTheme="minorHAnsi" w:hAnsiTheme="minorHAnsi" w:cstheme="minorHAnsi"/>
        </w:rPr>
        <w:t xml:space="preserve">Remote sensing analysis indicated that riparian and floodplain vegetation in the study area is likely to have access to groundwater, though at various depths: more than 8m below ground level (BGL) in the north-west and within a few meters below ground level in the south-east. Decadal variability of </w:t>
      </w:r>
      <w:r w:rsidRPr="00747E35">
        <w:rPr>
          <w:rFonts w:asciiTheme="minorHAnsi" w:hAnsiTheme="minorHAnsi" w:cstheme="minorHAnsi"/>
        </w:rPr>
        <w:lastRenderedPageBreak/>
        <w:t>rainfall in the study area led to some reduction in vegetation greenness during the particularly dry periods (such as during the Millennium Drought of mid 2000s). During this time the groundwater levels also dropped, in some bores up to 4 m. However, both groundwater levels and vegetation greenness recovered in the wetter periods following the droughts. This recovery is likely to indicate that vegetation are somewhat resilient to the decadal variability of the climatic conditions and variation in water availability associated with it.</w:t>
      </w:r>
    </w:p>
    <w:p w14:paraId="44C9C5E2" w14:textId="77777777" w:rsidR="003D3694" w:rsidRPr="00747E35" w:rsidRDefault="003D3694" w:rsidP="0083624F">
      <w:pPr>
        <w:numPr>
          <w:ilvl w:val="0"/>
          <w:numId w:val="33"/>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This remote sensing analysis can assist in the development of a baseline for investigation of the potential impacts of groundwater drawdown from mining activities on vegetation. Small-scale on-ground data can also be used to ‘ground-truth’ remotely sensed data.  The combination of on-ground studies and remote sensing will provide a critical linkage in understanding how plant communities respond to groundwater drawdown at the local and catchment scales.</w:t>
      </w:r>
    </w:p>
    <w:p w14:paraId="1B2F3338" w14:textId="438FBF62" w:rsidR="00E21EAF" w:rsidRDefault="003D3694" w:rsidP="00E21EAF">
      <w:pPr>
        <w:numPr>
          <w:ilvl w:val="0"/>
          <w:numId w:val="33"/>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We also developed and applied a web-based toolset to support the analyses (</w:t>
      </w:r>
      <w:r w:rsidR="00E21EAF" w:rsidRPr="00E21EAF">
        <w:rPr>
          <w:rFonts w:asciiTheme="minorHAnsi" w:eastAsia="Times New Roman" w:hAnsiTheme="minorHAnsi" w:cstheme="minorHAnsi"/>
        </w:rPr>
        <w:t>see Section 7.1, Appendix 1 for full description</w:t>
      </w:r>
      <w:r w:rsidRPr="00747E35">
        <w:rPr>
          <w:rFonts w:asciiTheme="minorHAnsi" w:eastAsia="Times New Roman" w:hAnsiTheme="minorHAnsi" w:cstheme="minorHAnsi"/>
        </w:rPr>
        <w:t>). This toolset adapted the methodology for GDV mapping (CSIRO-GDV), previously developed by CSIRO for the Pilbara Water Resources Assessment (PWRA) project. It was implemented in the Google Earth Engine (GEE) environment, an open source monitoring platform for development of web-based Earth observation applications.</w:t>
      </w:r>
      <w:r w:rsidR="00E21EAF">
        <w:rPr>
          <w:rFonts w:asciiTheme="minorHAnsi" w:eastAsia="Times New Roman" w:hAnsiTheme="minorHAnsi" w:cstheme="minorHAnsi"/>
        </w:rPr>
        <w:t xml:space="preserve"> </w:t>
      </w:r>
    </w:p>
    <w:p w14:paraId="0BB95289" w14:textId="34943C69" w:rsidR="003D3694" w:rsidRPr="00747E35" w:rsidRDefault="003D3694" w:rsidP="00E21EAF">
      <w:pPr>
        <w:adjustRightInd w:val="0"/>
        <w:spacing w:before="60" w:after="240"/>
        <w:ind w:left="720"/>
        <w:jc w:val="both"/>
        <w:rPr>
          <w:rFonts w:asciiTheme="minorHAnsi" w:eastAsia="Times New Roman" w:hAnsiTheme="minorHAnsi" w:cstheme="minorHAnsi"/>
        </w:rPr>
      </w:pPr>
    </w:p>
    <w:p w14:paraId="5FA006AB" w14:textId="77777777" w:rsidR="003D3694" w:rsidRPr="00747E35" w:rsidRDefault="003D3694" w:rsidP="003D3694">
      <w:pPr>
        <w:rPr>
          <w:rFonts w:asciiTheme="minorHAnsi" w:hAnsiTheme="minorHAnsi" w:cstheme="minorHAnsi"/>
        </w:rPr>
      </w:pPr>
      <w:r w:rsidRPr="00747E35">
        <w:rPr>
          <w:rFonts w:asciiTheme="minorHAnsi" w:hAnsiTheme="minorHAnsi" w:cstheme="minorHAnsi"/>
          <w:b/>
        </w:rPr>
        <w:t>Component 2</w:t>
      </w:r>
      <w:r w:rsidRPr="00747E35">
        <w:rPr>
          <w:rFonts w:asciiTheme="minorHAnsi" w:hAnsiTheme="minorHAnsi" w:cstheme="minorHAnsi"/>
        </w:rPr>
        <w:t xml:space="preserve"> – Ecological values of baseflow and surface water-groundwater connectivity regimes in non-perennial streams. (Short title: Baseflows).</w:t>
      </w:r>
    </w:p>
    <w:p w14:paraId="192CB11B" w14:textId="77777777" w:rsidR="003D3694" w:rsidRPr="00747E35" w:rsidRDefault="003D3694" w:rsidP="0083624F">
      <w:pPr>
        <w:numPr>
          <w:ilvl w:val="0"/>
          <w:numId w:val="21"/>
        </w:numPr>
        <w:adjustRightInd w:val="0"/>
        <w:spacing w:before="60" w:after="240"/>
        <w:jc w:val="both"/>
        <w:rPr>
          <w:rFonts w:asciiTheme="minorHAnsi" w:eastAsia="Times New Roman" w:hAnsiTheme="minorHAnsi" w:cstheme="minorHAnsi"/>
          <w:lang w:eastAsia="en-AU"/>
        </w:rPr>
      </w:pPr>
      <w:r w:rsidRPr="00747E35">
        <w:rPr>
          <w:rFonts w:asciiTheme="minorHAnsi" w:eastAsia="Times New Roman" w:hAnsiTheme="minorHAnsi" w:cstheme="minorHAnsi"/>
          <w:lang w:eastAsia="en-AU"/>
        </w:rPr>
        <w:t>Intermittent river systems are important locations for detrital processes and the hyporheic zone sustains critical ecosystem processes even when surface flow-paths cease.</w:t>
      </w:r>
    </w:p>
    <w:p w14:paraId="62930A42" w14:textId="77777777" w:rsidR="003D3694" w:rsidRPr="00747E35" w:rsidRDefault="003D3694" w:rsidP="0083624F">
      <w:pPr>
        <w:numPr>
          <w:ilvl w:val="0"/>
          <w:numId w:val="21"/>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Short-term and long-term reductions in flow may affect the availability and nutritional quality of important sources of energy for aquatic food webs. Given that algae require wetted environments, extended periods of reduced flow (and cease-to-flow events) may reduce the availability of preferred energy sources for consumers, leading to less productive food webs.</w:t>
      </w:r>
    </w:p>
    <w:p w14:paraId="3DFD81AF" w14:textId="088EB506" w:rsidR="003D3694" w:rsidRPr="00747E35" w:rsidRDefault="003D3694" w:rsidP="0083624F">
      <w:pPr>
        <w:numPr>
          <w:ilvl w:val="0"/>
          <w:numId w:val="21"/>
        </w:numPr>
        <w:adjustRightInd w:val="0"/>
        <w:spacing w:before="60" w:after="240"/>
        <w:jc w:val="both"/>
        <w:rPr>
          <w:rFonts w:asciiTheme="minorHAnsi" w:eastAsia="Times New Roman" w:hAnsiTheme="minorHAnsi" w:cstheme="minorHAnsi"/>
          <w:lang w:eastAsia="en-AU"/>
        </w:rPr>
      </w:pPr>
      <w:r w:rsidRPr="00747E35">
        <w:rPr>
          <w:rFonts w:asciiTheme="minorHAnsi" w:eastAsia="Times New Roman" w:hAnsiTheme="minorHAnsi" w:cstheme="minorHAnsi"/>
          <w:lang w:eastAsia="en-AU"/>
        </w:rPr>
        <w:t xml:space="preserve">The intermittent streams studied contained diverse biotic assemblages, and continual </w:t>
      </w:r>
      <w:r w:rsidR="006B2C7A">
        <w:rPr>
          <w:rFonts w:asciiTheme="minorHAnsi" w:eastAsia="Times New Roman" w:hAnsiTheme="minorHAnsi" w:cstheme="minorHAnsi"/>
          <w:lang w:eastAsia="en-AU"/>
        </w:rPr>
        <w:t>subsurface</w:t>
      </w:r>
      <w:r w:rsidRPr="00747E35">
        <w:rPr>
          <w:rFonts w:asciiTheme="minorHAnsi" w:eastAsia="Times New Roman" w:hAnsiTheme="minorHAnsi" w:cstheme="minorHAnsi"/>
          <w:lang w:eastAsia="en-AU"/>
        </w:rPr>
        <w:t xml:space="preserve"> baseflow appears to be instrumental in sustaining these assemblages.</w:t>
      </w:r>
      <w:r w:rsidRPr="00747E35">
        <w:rPr>
          <w:rFonts w:asciiTheme="minorHAnsi" w:eastAsia="Times New Roman" w:hAnsiTheme="minorHAnsi" w:cstheme="minorHAnsi"/>
        </w:rPr>
        <w:t xml:space="preserve"> </w:t>
      </w:r>
      <w:r w:rsidRPr="00747E35">
        <w:rPr>
          <w:rFonts w:asciiTheme="minorHAnsi" w:eastAsia="Times New Roman" w:hAnsiTheme="minorHAnsi" w:cstheme="minorHAnsi"/>
          <w:lang w:eastAsia="en-AU"/>
        </w:rPr>
        <w:t>This finding challenges the commonly held assumption that intermittent rivers and ephemeral streams do not contribute to local and regional aquatic biodiversity.</w:t>
      </w:r>
      <w:r w:rsidRPr="00747E35">
        <w:rPr>
          <w:rFonts w:asciiTheme="minorHAnsi" w:eastAsia="Times New Roman" w:hAnsiTheme="minorHAnsi" w:cstheme="minorHAnsi"/>
        </w:rPr>
        <w:t xml:space="preserve"> </w:t>
      </w:r>
    </w:p>
    <w:p w14:paraId="4164EC24" w14:textId="54BE376A" w:rsidR="003D3694" w:rsidRPr="00747E35" w:rsidRDefault="003D3694" w:rsidP="0083624F">
      <w:pPr>
        <w:numPr>
          <w:ilvl w:val="0"/>
          <w:numId w:val="21"/>
        </w:numPr>
        <w:adjustRightInd w:val="0"/>
        <w:spacing w:before="60" w:after="240"/>
        <w:jc w:val="both"/>
        <w:rPr>
          <w:rFonts w:asciiTheme="minorHAnsi" w:eastAsia="Times New Roman" w:hAnsiTheme="minorHAnsi" w:cstheme="minorHAnsi"/>
          <w:lang w:eastAsia="en-AU"/>
        </w:rPr>
      </w:pPr>
      <w:r w:rsidRPr="00747E35">
        <w:rPr>
          <w:rFonts w:asciiTheme="minorHAnsi" w:eastAsia="Times New Roman" w:hAnsiTheme="minorHAnsi" w:cstheme="minorHAnsi"/>
          <w:lang w:eastAsia="en-AU"/>
        </w:rPr>
        <w:t xml:space="preserve">Longer-term patterns in flow variability are an important predictor of fish assemblage structure. Streams with a lower discharge will likely be more intermittent and have low wetted habitat persistence and longitudinal connectivity, which may act as a broad-scale filter in determining fish </w:t>
      </w:r>
      <w:r w:rsidR="00925BFC" w:rsidRPr="00747E35">
        <w:rPr>
          <w:rFonts w:asciiTheme="minorHAnsi" w:eastAsia="Times New Roman" w:hAnsiTheme="minorHAnsi" w:cstheme="minorHAnsi"/>
          <w:lang w:eastAsia="en-AU"/>
        </w:rPr>
        <w:t xml:space="preserve">species composition and </w:t>
      </w:r>
      <w:r w:rsidRPr="00747E35">
        <w:rPr>
          <w:rFonts w:asciiTheme="minorHAnsi" w:eastAsia="Times New Roman" w:hAnsiTheme="minorHAnsi" w:cstheme="minorHAnsi"/>
          <w:lang w:eastAsia="en-AU"/>
        </w:rPr>
        <w:t>assemblage structure. However, groundwater contributions to baseflow may play an important role in sustaining fish populations by buffering against periods of flow cessation by maintaining residual wetted habitats.</w:t>
      </w:r>
    </w:p>
    <w:p w14:paraId="57C40B8D" w14:textId="77777777" w:rsidR="003D3694" w:rsidRPr="00747E35" w:rsidRDefault="003D3694" w:rsidP="003D3694">
      <w:pPr>
        <w:rPr>
          <w:rFonts w:asciiTheme="minorHAnsi" w:hAnsiTheme="minorHAnsi" w:cstheme="minorHAnsi"/>
        </w:rPr>
      </w:pPr>
    </w:p>
    <w:p w14:paraId="16FBFE56" w14:textId="77777777" w:rsidR="003D3694" w:rsidRPr="00747E35" w:rsidRDefault="003D3694" w:rsidP="003D3694">
      <w:pPr>
        <w:rPr>
          <w:rFonts w:asciiTheme="minorHAnsi" w:hAnsiTheme="minorHAnsi" w:cstheme="minorHAnsi"/>
        </w:rPr>
      </w:pPr>
      <w:r w:rsidRPr="00747E35">
        <w:rPr>
          <w:rFonts w:asciiTheme="minorHAnsi" w:hAnsiTheme="minorHAnsi" w:cstheme="minorHAnsi"/>
          <w:b/>
        </w:rPr>
        <w:t>Component 3</w:t>
      </w:r>
      <w:r w:rsidRPr="00747E35">
        <w:rPr>
          <w:rFonts w:asciiTheme="minorHAnsi" w:hAnsiTheme="minorHAnsi" w:cstheme="minorHAnsi"/>
        </w:rPr>
        <w:t xml:space="preserve"> – Hydrogeochemistry, biogeochemical processes and the hyporheos / stygofauna (Short title: Subsurface ecology).</w:t>
      </w:r>
    </w:p>
    <w:p w14:paraId="5C58E21D" w14:textId="77777777" w:rsidR="003D3694" w:rsidRPr="00747E35" w:rsidRDefault="003D3694" w:rsidP="0083624F">
      <w:pPr>
        <w:numPr>
          <w:ilvl w:val="0"/>
          <w:numId w:val="29"/>
        </w:numPr>
        <w:adjustRightInd w:val="0"/>
        <w:spacing w:before="60" w:after="240"/>
        <w:jc w:val="both"/>
        <w:rPr>
          <w:rFonts w:asciiTheme="minorHAnsi" w:eastAsia="Times New Roman" w:hAnsiTheme="minorHAnsi" w:cstheme="minorHAnsi"/>
          <w:b/>
        </w:rPr>
      </w:pPr>
      <w:r w:rsidRPr="00747E35">
        <w:rPr>
          <w:rFonts w:asciiTheme="minorHAnsi" w:eastAsia="Times New Roman" w:hAnsiTheme="minorHAnsi" w:cstheme="minorHAnsi"/>
        </w:rPr>
        <w:t>Baseflow is important. Groundwater is essential for sustaining baseflow, hydroecological processes and ecosystem structure and function in surface and subsurface (hyporheic) habitats in both intermittent and perennial streams.</w:t>
      </w:r>
    </w:p>
    <w:p w14:paraId="58E74734" w14:textId="77777777" w:rsidR="003D3694" w:rsidRPr="00747E35" w:rsidRDefault="003D3694" w:rsidP="0083624F">
      <w:pPr>
        <w:numPr>
          <w:ilvl w:val="0"/>
          <w:numId w:val="29"/>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lastRenderedPageBreak/>
        <w:t>Hyporheic exchange flows are important. The hyporheic zone plays an important role in hydroecological processes and stream ecosystem functioning in both intermittent and perennial streams.</w:t>
      </w:r>
    </w:p>
    <w:p w14:paraId="3BA37979" w14:textId="77777777" w:rsidR="003D3694" w:rsidRPr="00747E35" w:rsidRDefault="003D3694" w:rsidP="0083624F">
      <w:pPr>
        <w:numPr>
          <w:ilvl w:val="0"/>
          <w:numId w:val="29"/>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Groundwater recession (drawdown) is a stressor. Groundwater recession/drawdown reduces baseflow and changes hyporheic exchange flows, which may deplete ecological values and the hydroecological functioning of streams and associated groundwater-dependent ecosystems (GDEs). The very narrow vertical range (generally &lt; 1 to 2 m depth) of the hyporheic zone means that only small amounts of groundwater drawdown may have a significant impact on the ecological functioning and baseflow connectivity of streams.</w:t>
      </w:r>
    </w:p>
    <w:p w14:paraId="0977D9CC" w14:textId="7B5114DB" w:rsidR="003D3694" w:rsidRPr="00747E35" w:rsidRDefault="003D3694" w:rsidP="0083624F">
      <w:pPr>
        <w:numPr>
          <w:ilvl w:val="0"/>
          <w:numId w:val="29"/>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Ecosystem assets and services that are potentially depleted by groundwater drawdown include biodiversity, detrital processes, and important biogeochemical processes mediated by microbes such as carbon and nutrient transformations.</w:t>
      </w:r>
    </w:p>
    <w:p w14:paraId="55EB1B7C" w14:textId="3646AA76" w:rsidR="003D3694" w:rsidRPr="00747E35" w:rsidRDefault="003D3694" w:rsidP="0083624F">
      <w:pPr>
        <w:numPr>
          <w:ilvl w:val="0"/>
          <w:numId w:val="29"/>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Conceptual models were useful for integrating and synthesizing the mu</w:t>
      </w:r>
      <w:r w:rsidR="00424FDD">
        <w:rPr>
          <w:rFonts w:asciiTheme="minorHAnsi" w:eastAsia="Times New Roman" w:hAnsiTheme="minorHAnsi" w:cstheme="minorHAnsi"/>
        </w:rPr>
        <w:t>l</w:t>
      </w:r>
      <w:r w:rsidRPr="00747E35">
        <w:rPr>
          <w:rFonts w:asciiTheme="minorHAnsi" w:eastAsia="Times New Roman" w:hAnsiTheme="minorHAnsi" w:cstheme="minorHAnsi"/>
        </w:rPr>
        <w:t>tidis</w:t>
      </w:r>
      <w:r w:rsidR="00424FDD">
        <w:rPr>
          <w:rFonts w:asciiTheme="minorHAnsi" w:eastAsia="Times New Roman" w:hAnsiTheme="minorHAnsi" w:cstheme="minorHAnsi"/>
        </w:rPr>
        <w:t>ci</w:t>
      </w:r>
      <w:r w:rsidRPr="00747E35">
        <w:rPr>
          <w:rFonts w:asciiTheme="minorHAnsi" w:eastAsia="Times New Roman" w:hAnsiTheme="minorHAnsi" w:cstheme="minorHAnsi"/>
        </w:rPr>
        <w:t xml:space="preserve">plinary findings to aid understanding of hydroecological responses in streams due to changes in groundwater regime.  </w:t>
      </w:r>
    </w:p>
    <w:p w14:paraId="378A3C9D"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The additional key findings below are context-specific to the case studies at Maules Creek and Bremer River, and are expanded and generalised, with precautionary inferences, where possible.</w:t>
      </w:r>
    </w:p>
    <w:p w14:paraId="4D442156" w14:textId="77777777" w:rsidR="003D3694" w:rsidRPr="00747E35" w:rsidRDefault="003D3694" w:rsidP="0083624F">
      <w:pPr>
        <w:numPr>
          <w:ilvl w:val="0"/>
          <w:numId w:val="29"/>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Intermittent streams are ecologically important. Intermittent streams with a groundwater baseflow component harbor a rich biodiversity in both surface and subsurface (hyporheic) habitats.</w:t>
      </w:r>
    </w:p>
    <w:p w14:paraId="49BFB2F6" w14:textId="77777777" w:rsidR="003D3694" w:rsidRPr="00747E35" w:rsidRDefault="003D3694" w:rsidP="0083624F">
      <w:pPr>
        <w:numPr>
          <w:ilvl w:val="0"/>
          <w:numId w:val="29"/>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Even when surface flow has ceased, important ecosystem processes still occur in the subsurface (hyporheic) zone of intermittent streams.</w:t>
      </w:r>
    </w:p>
    <w:p w14:paraId="5A417596" w14:textId="77777777" w:rsidR="003D3694" w:rsidRPr="00747E35" w:rsidRDefault="003D3694" w:rsidP="0083624F">
      <w:pPr>
        <w:numPr>
          <w:ilvl w:val="0"/>
          <w:numId w:val="29"/>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 xml:space="preserve">Obligate groundwater invertebrates (stygobites) are an ecological functional group that are ‘signature’ indicators of baseflow connectivity between streams and permanent groundwater (aquifers), and they respond to changes in </w:t>
      </w:r>
      <w:r w:rsidRPr="00747E35">
        <w:rPr>
          <w:rFonts w:asciiTheme="minorHAnsi" w:eastAsia="Times New Roman" w:hAnsiTheme="minorHAnsi" w:cstheme="minorHAnsi"/>
          <w:lang w:eastAsia="en-AU"/>
        </w:rPr>
        <w:t xml:space="preserve">groundwater condition and quality (DO and redox state), </w:t>
      </w:r>
      <w:r w:rsidRPr="00747E35">
        <w:rPr>
          <w:rFonts w:asciiTheme="minorHAnsi" w:eastAsia="Times New Roman" w:hAnsiTheme="minorHAnsi" w:cstheme="minorHAnsi"/>
        </w:rPr>
        <w:t xml:space="preserve">hyporheic exchange and stream flow regime. </w:t>
      </w:r>
    </w:p>
    <w:p w14:paraId="1C48DCC0" w14:textId="77777777" w:rsidR="003D3694" w:rsidRPr="00747E35" w:rsidRDefault="003D3694" w:rsidP="0083624F">
      <w:pPr>
        <w:numPr>
          <w:ilvl w:val="0"/>
          <w:numId w:val="29"/>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Streams with only a thin alluvial cover and hence shallow hyporheic / groundwater habitat may harbor a rich hyporheos. At Bremer River, we found a rich hyporheos inhabiting thin veneers of saturated alluvium (&lt; 1m) overlying relatively impermeable and uninhabitable strata (clay or tight bedrock). In contrast at Maules Creek, the hyporheic habitat is comparatively deep (&gt; 10m) alluvium. The shallow hyporheic habitats are likely to be more sensitive and vulnerable to changes in groundwater levels.</w:t>
      </w:r>
    </w:p>
    <w:p w14:paraId="324982C0" w14:textId="77777777" w:rsidR="003D3694" w:rsidRPr="00747E35" w:rsidRDefault="003D3694" w:rsidP="0083624F">
      <w:pPr>
        <w:numPr>
          <w:ilvl w:val="0"/>
          <w:numId w:val="29"/>
        </w:numPr>
        <w:adjustRightInd w:val="0"/>
        <w:spacing w:before="60" w:after="240"/>
        <w:jc w:val="both"/>
        <w:rPr>
          <w:rFonts w:asciiTheme="minorHAnsi" w:eastAsia="Times New Roman" w:hAnsiTheme="minorHAnsi" w:cstheme="minorHAnsi"/>
          <w:b/>
        </w:rPr>
      </w:pPr>
      <w:r w:rsidRPr="00747E35">
        <w:rPr>
          <w:rFonts w:asciiTheme="minorHAnsi" w:eastAsia="Times New Roman" w:hAnsiTheme="minorHAnsi" w:cstheme="minorHAnsi"/>
        </w:rPr>
        <w:t xml:space="preserve">Groundwater (baseflow) connectivity confers resistance and resilience in stream ecosystems, but resistance and resilience is dependent on the nature, context and regime of stream, baseflow and aquifer connectivity. At Maules Creek, compared with Bremer River, enhanced resistance and resilience is inferred from the deep alluvium and strong baseflow inputs of oxic regional groundwater. </w:t>
      </w:r>
    </w:p>
    <w:p w14:paraId="4929C0CA" w14:textId="77777777" w:rsidR="003D3694" w:rsidRPr="00747E35" w:rsidRDefault="003D3694" w:rsidP="003D3694">
      <w:pPr>
        <w:rPr>
          <w:rFonts w:asciiTheme="minorHAnsi" w:hAnsiTheme="minorHAnsi" w:cstheme="minorHAnsi"/>
        </w:rPr>
      </w:pPr>
    </w:p>
    <w:p w14:paraId="61D5D255" w14:textId="538F2432" w:rsidR="003D3694" w:rsidRPr="00747E35" w:rsidRDefault="003D3694" w:rsidP="003D3694">
      <w:pPr>
        <w:rPr>
          <w:rFonts w:asciiTheme="minorHAnsi" w:hAnsiTheme="minorHAnsi" w:cstheme="minorHAnsi"/>
        </w:rPr>
      </w:pPr>
      <w:r w:rsidRPr="00747E35">
        <w:rPr>
          <w:rFonts w:asciiTheme="minorHAnsi" w:hAnsiTheme="minorHAnsi" w:cstheme="minorHAnsi"/>
          <w:b/>
        </w:rPr>
        <w:t>Component 4</w:t>
      </w:r>
      <w:r w:rsidRPr="00747E35">
        <w:rPr>
          <w:rFonts w:asciiTheme="minorHAnsi" w:hAnsiTheme="minorHAnsi" w:cstheme="minorHAnsi"/>
        </w:rPr>
        <w:t xml:space="preserve"> – </w:t>
      </w:r>
      <w:r w:rsidR="00650DEE" w:rsidRPr="00650DEE">
        <w:rPr>
          <w:rFonts w:asciiTheme="minorHAnsi" w:hAnsiTheme="minorHAnsi" w:cstheme="minorHAnsi"/>
        </w:rPr>
        <w:t xml:space="preserve">Biodiversity and risk assessment of Great Artesian Basin spring wetlands </w:t>
      </w:r>
      <w:r w:rsidRPr="00747E35">
        <w:rPr>
          <w:rFonts w:asciiTheme="minorHAnsi" w:hAnsiTheme="minorHAnsi" w:cstheme="minorHAnsi"/>
        </w:rPr>
        <w:t>(Short title: GAB springs).</w:t>
      </w:r>
    </w:p>
    <w:p w14:paraId="62F2F59F"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Biodiversity assessment of GAB springs</w:t>
      </w:r>
    </w:p>
    <w:p w14:paraId="1DC5C070" w14:textId="77777777" w:rsidR="003D3694" w:rsidRPr="00747E35" w:rsidRDefault="003D3694" w:rsidP="0083624F">
      <w:pPr>
        <w:numPr>
          <w:ilvl w:val="0"/>
          <w:numId w:val="27"/>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Describing and revealing undocumented diversity will help to preserve its evolutionary potential</w:t>
      </w:r>
    </w:p>
    <w:p w14:paraId="46743CD6" w14:textId="332BFB16" w:rsidR="003D3694" w:rsidRPr="00747E35" w:rsidRDefault="003D3694" w:rsidP="003D3694">
      <w:pPr>
        <w:rPr>
          <w:rFonts w:asciiTheme="minorHAnsi" w:hAnsiTheme="minorHAnsi" w:cstheme="minorHAnsi"/>
        </w:rPr>
      </w:pPr>
      <w:r w:rsidRPr="00747E35">
        <w:rPr>
          <w:rFonts w:asciiTheme="minorHAnsi" w:hAnsiTheme="minorHAnsi" w:cstheme="minorHAnsi"/>
        </w:rPr>
        <w:lastRenderedPageBreak/>
        <w:t>Taxonomy is key to conservation of GAB spring flora and fauna.  Numerous species are collected and await description.  Whole phyla remain unexplored.  Understanding the distribution and ecology of endemic taxa cannot progress until species are described.  For conservation of GAB springs to progress, efforts need to be made to ensure taxonomists are supported.  Effective con</w:t>
      </w:r>
      <w:r w:rsidR="00E947EA">
        <w:rPr>
          <w:rFonts w:asciiTheme="minorHAnsi" w:hAnsiTheme="minorHAnsi" w:cstheme="minorHAnsi"/>
        </w:rPr>
        <w:t>s</w:t>
      </w:r>
      <w:r w:rsidRPr="00747E35">
        <w:rPr>
          <w:rFonts w:asciiTheme="minorHAnsi" w:hAnsiTheme="minorHAnsi" w:cstheme="minorHAnsi"/>
        </w:rPr>
        <w:t xml:space="preserve">ervation also needs to embrace the fact that diversity is not fixed – species have diverged and will continue to diverge in springs as geographical isolation and environmental change shape their evolution.  Conserving biodiversity and understanding species will be complicated if cryptic species complexes are present but remain unidentified. Therefore, understanding species is not only about diversity across taxa, but also within them.  </w:t>
      </w:r>
    </w:p>
    <w:p w14:paraId="744EC7C3" w14:textId="69575606" w:rsidR="003D3694" w:rsidRPr="00747E35" w:rsidRDefault="009B4677" w:rsidP="0083624F">
      <w:pPr>
        <w:numPr>
          <w:ilvl w:val="0"/>
          <w:numId w:val="27"/>
        </w:numPr>
        <w:adjustRightInd w:val="0"/>
        <w:spacing w:before="60" w:after="240"/>
        <w:jc w:val="both"/>
        <w:rPr>
          <w:rFonts w:asciiTheme="minorHAnsi" w:eastAsia="Times New Roman" w:hAnsiTheme="minorHAnsi" w:cstheme="minorHAnsi"/>
        </w:rPr>
      </w:pPr>
      <w:r>
        <w:rPr>
          <w:rFonts w:asciiTheme="minorHAnsi" w:eastAsia="Times New Roman" w:hAnsiTheme="minorHAnsi" w:cstheme="minorHAnsi"/>
        </w:rPr>
        <w:t>Update</w:t>
      </w:r>
      <w:r w:rsidR="003D3694" w:rsidRPr="00747E35">
        <w:rPr>
          <w:rFonts w:asciiTheme="minorHAnsi" w:eastAsia="Times New Roman" w:hAnsiTheme="minorHAnsi" w:cstheme="minorHAnsi"/>
        </w:rPr>
        <w:t xml:space="preserve"> conservation listing </w:t>
      </w:r>
    </w:p>
    <w:p w14:paraId="0D5284DF" w14:textId="7D2A6FAD" w:rsidR="003D3694" w:rsidRPr="00747E35" w:rsidRDefault="009B4677" w:rsidP="003D3694">
      <w:pPr>
        <w:rPr>
          <w:rFonts w:asciiTheme="minorHAnsi" w:hAnsiTheme="minorHAnsi" w:cstheme="minorHAnsi"/>
        </w:rPr>
      </w:pPr>
      <w:r w:rsidRPr="00747E35">
        <w:rPr>
          <w:rFonts w:asciiTheme="minorHAnsi" w:hAnsiTheme="minorHAnsi" w:cstheme="minorHAnsi"/>
        </w:rPr>
        <w:t xml:space="preserve">This review has highlighted </w:t>
      </w:r>
      <w:r>
        <w:rPr>
          <w:rFonts w:asciiTheme="minorHAnsi" w:hAnsiTheme="minorHAnsi" w:cstheme="minorHAnsi"/>
        </w:rPr>
        <w:t>that</w:t>
      </w:r>
      <w:r w:rsidRPr="00747E35">
        <w:rPr>
          <w:rFonts w:asciiTheme="minorHAnsi" w:hAnsiTheme="minorHAnsi" w:cstheme="minorHAnsi"/>
        </w:rPr>
        <w:t xml:space="preserve"> GAB-dependent species</w:t>
      </w:r>
      <w:r>
        <w:rPr>
          <w:rFonts w:asciiTheme="minorHAnsi" w:hAnsiTheme="minorHAnsi" w:cstheme="minorHAnsi"/>
        </w:rPr>
        <w:t xml:space="preserve"> </w:t>
      </w:r>
      <w:r w:rsidRPr="00747E35">
        <w:rPr>
          <w:rFonts w:asciiTheme="minorHAnsi" w:hAnsiTheme="minorHAnsi" w:cstheme="minorHAnsi"/>
        </w:rPr>
        <w:t xml:space="preserve">that are listed individually as well as being listed as part of the ‘threatened community’ are the focus of more dedicated conservation attention and efforts than those species that are not presently listed.  </w:t>
      </w:r>
      <w:r w:rsidR="00FD3508">
        <w:rPr>
          <w:rFonts w:asciiTheme="minorHAnsi" w:hAnsiTheme="minorHAnsi" w:cstheme="minorHAnsi"/>
        </w:rPr>
        <w:t>O</w:t>
      </w:r>
      <w:r w:rsidR="003D3694" w:rsidRPr="00747E35">
        <w:rPr>
          <w:rFonts w:asciiTheme="minorHAnsi" w:hAnsiTheme="minorHAnsi" w:cstheme="minorHAnsi"/>
        </w:rPr>
        <w:t xml:space="preserve">ur study highlights additional taxa belonging to the ‘community of native species dependent on natural discharge of groundwater from the GAB’.  </w:t>
      </w:r>
      <w:r w:rsidR="00FD3508">
        <w:rPr>
          <w:rFonts w:asciiTheme="minorHAnsi" w:hAnsiTheme="minorHAnsi" w:cstheme="minorHAnsi"/>
        </w:rPr>
        <w:t>There is a scientific basis for a</w:t>
      </w:r>
      <w:r w:rsidR="003D3694" w:rsidRPr="00747E35">
        <w:rPr>
          <w:rFonts w:asciiTheme="minorHAnsi" w:hAnsiTheme="minorHAnsi" w:cstheme="minorHAnsi"/>
        </w:rPr>
        <w:t>n assessment and re-evaluation of all taxa (in addition to those considered here but excluding plants reviewed previously by Silcock et al. 2011) using EPBC and IUCN guidelines</w:t>
      </w:r>
      <w:r w:rsidR="00FD3508">
        <w:rPr>
          <w:rFonts w:asciiTheme="minorHAnsi" w:hAnsiTheme="minorHAnsi" w:cstheme="minorHAnsi"/>
        </w:rPr>
        <w:t xml:space="preserve"> for consideration by the Threatened Species Scientific Committee</w:t>
      </w:r>
      <w:r w:rsidR="003D3694" w:rsidRPr="00747E35">
        <w:rPr>
          <w:rFonts w:asciiTheme="minorHAnsi" w:hAnsiTheme="minorHAnsi" w:cstheme="minorHAnsi"/>
        </w:rPr>
        <w:t xml:space="preserve">.  This assessment was beyond the scope of our study but should now be readily achievable for some taxon groups (particularly the invertebrates). </w:t>
      </w:r>
    </w:p>
    <w:p w14:paraId="31C00A65" w14:textId="77777777" w:rsidR="003D3694" w:rsidRPr="00747E35" w:rsidRDefault="003D3694" w:rsidP="0083624F">
      <w:pPr>
        <w:numPr>
          <w:ilvl w:val="0"/>
          <w:numId w:val="27"/>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Broaden the focus to other organisms and increase the spatial resolution of the assessments</w:t>
      </w:r>
    </w:p>
    <w:p w14:paraId="2F5BA50D"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The data we have regarding endemic GAB species are focussed on particular groups of taxa and their complex-scale distributions.  Finer-resolution distribution data (i.e. springs within complexes) for a broader range of taxon groups is required for effective conservation management of springs and their resident biodiversity.  There are also uneven levels of knowledge available on the ecology and conservation of taxon groups in different parts of the GAB (see Component 4 for further details).  This review has highlighted types of data we currently lack, and the locations and species for which this data is most urgently needed.  It has also highlighted that such efforts need not be dispersed across the entire basin, but can be focussed upon biodiversity ‘hot-spots’.  Emphasis needs to be placed on prioritising research that fills these knowledge gaps.</w:t>
      </w:r>
    </w:p>
    <w:p w14:paraId="69D7ADD3" w14:textId="77777777" w:rsidR="003D3694" w:rsidRPr="00747E35" w:rsidRDefault="003D3694" w:rsidP="0083624F">
      <w:pPr>
        <w:numPr>
          <w:ilvl w:val="0"/>
          <w:numId w:val="27"/>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Improve collaboration across research effort</w:t>
      </w:r>
    </w:p>
    <w:p w14:paraId="12346A25" w14:textId="669B24BA" w:rsidR="003D3694" w:rsidRPr="00747E35" w:rsidRDefault="003D3694" w:rsidP="003D3694">
      <w:pPr>
        <w:rPr>
          <w:rFonts w:asciiTheme="minorHAnsi" w:hAnsiTheme="minorHAnsi" w:cstheme="minorHAnsi"/>
        </w:rPr>
      </w:pPr>
      <w:r w:rsidRPr="00747E35">
        <w:rPr>
          <w:rFonts w:asciiTheme="minorHAnsi" w:hAnsiTheme="minorHAnsi" w:cstheme="minorHAnsi"/>
        </w:rPr>
        <w:t>For organisms or complexes where research programs currently exist, the types of questions being asked are contingent on the interests of the research group.  In the Lake Eyre complexes, molecular biologists are providing detailed information about species boundaries and population connectivity but there is little ecological data to complement these models.  The opposite can be said for the northern complexes, where conservation, diversity and biogeography are a focus.  This research divide extends beyond biology, with those that study the organisms that live in the surface manifestation of springs and those that study the hydrodynamics of the GAB.  Likewise, those assessing potential impacts on springs are not necessarily engaging with taxonomists or ecologists with the expertise to identify potential new species, comment on sampling designs or provide comment on the ecological mechanisms behind biodiversity patterns. This lack of collaboration means surveys of spring complexes may be overlooking diversity.  It also means we still cannot answer vital questions about the relationship between groundwater pressure within the GAB and the size of springs or the species that occupy them.  Collaborations across on-ground managers, consultants and research groups with interest in springs need to be fostered and will facilit</w:t>
      </w:r>
      <w:r w:rsidR="00C80858" w:rsidRPr="00747E35">
        <w:rPr>
          <w:rFonts w:asciiTheme="minorHAnsi" w:hAnsiTheme="minorHAnsi" w:cstheme="minorHAnsi"/>
        </w:rPr>
        <w:t>at</w:t>
      </w:r>
      <w:r w:rsidRPr="00747E35">
        <w:rPr>
          <w:rFonts w:asciiTheme="minorHAnsi" w:hAnsiTheme="minorHAnsi" w:cstheme="minorHAnsi"/>
        </w:rPr>
        <w:t xml:space="preserve">e identification of knowledge gaps and research priorities.  </w:t>
      </w:r>
    </w:p>
    <w:p w14:paraId="7FD8D5E5" w14:textId="77777777" w:rsidR="003D3694" w:rsidRPr="00747E35" w:rsidRDefault="003D3694" w:rsidP="0083624F">
      <w:pPr>
        <w:numPr>
          <w:ilvl w:val="0"/>
          <w:numId w:val="27"/>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Focus on the ecology of species and their responses to threats</w:t>
      </w:r>
    </w:p>
    <w:p w14:paraId="3C92A4D5"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Information regarding the ecology of GAB spring endemic species, their potential responses to threats, and even variation in the nature and intensity of threats themselves, are the most deficient.  Even basic information regarding abundance, environmental requirements (beyond the need for GAB fed springs), the effects of introduced species, or changes in spring flow is deficient for most species, even though these </w:t>
      </w:r>
      <w:r w:rsidRPr="00747E35">
        <w:rPr>
          <w:rFonts w:asciiTheme="minorHAnsi" w:hAnsiTheme="minorHAnsi" w:cstheme="minorHAnsi"/>
        </w:rPr>
        <w:lastRenderedPageBreak/>
        <w:t xml:space="preserve">threats have been emphasised as major threats to the system since its conservation listing.  This lack of information limits our ability to prioritise species for conservation or manage species persistence. Endemic GAB spring taxa have restricted distributions, have very few populations within protected areas, and may have high exposure to threats meaning they may be at substantial risk from the cumulative impacts of a range of threats. The lack of data, the size of the GAB, and the diversity of species in question, has previously precluded efforts to systematically evaluate threat exposure to endemic species, understand species’ vulnerability to threatening processes and prioritiese risks. </w:t>
      </w:r>
    </w:p>
    <w:p w14:paraId="60CA55EB" w14:textId="77777777" w:rsidR="003D3694" w:rsidRPr="00747E35" w:rsidRDefault="003D3694" w:rsidP="003D3694">
      <w:pPr>
        <w:rPr>
          <w:rFonts w:asciiTheme="minorHAnsi" w:hAnsiTheme="minorHAnsi" w:cstheme="minorHAnsi"/>
        </w:rPr>
      </w:pPr>
    </w:p>
    <w:p w14:paraId="4D4F10B5"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Cumulative risk assessment of GAB springs</w:t>
      </w:r>
    </w:p>
    <w:p w14:paraId="6D40BEA7" w14:textId="77777777" w:rsidR="003D3694" w:rsidRPr="00747E35" w:rsidRDefault="003D3694" w:rsidP="0083624F">
      <w:pPr>
        <w:numPr>
          <w:ilvl w:val="0"/>
          <w:numId w:val="28"/>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 xml:space="preserve">Some GAB springs and their endemic species at clearly at high risk – strategic, coordinated, inclusive and committed management is urgently required to address current and future threats </w:t>
      </w:r>
    </w:p>
    <w:p w14:paraId="67DEF0C5" w14:textId="77777777" w:rsidR="003D3694" w:rsidRPr="00747E35" w:rsidRDefault="003D3694" w:rsidP="003D3694">
      <w:pPr>
        <w:spacing w:after="0"/>
        <w:rPr>
          <w:rFonts w:asciiTheme="minorHAnsi" w:hAnsiTheme="minorHAnsi" w:cstheme="minorHAnsi"/>
        </w:rPr>
      </w:pPr>
      <w:r w:rsidRPr="00747E35">
        <w:rPr>
          <w:rFonts w:asciiTheme="minorHAnsi" w:hAnsiTheme="minorHAnsi" w:cstheme="minorHAnsi"/>
        </w:rPr>
        <w:t xml:space="preserve">Evidence from past practices reveals that unrestricted and unmanaged access to groundwater (through bore extraction) and other threats led to a high proportion of springs to go extinct.  Many of these historical impacts were concentrated in particular areas that still contain highly restricted endemic taxa (i.e. to a single spring), so it is extremely likely that undocumented biodiversity has already been driven to extinction.  Our cumulative threat exposure analysis and risk assessment results further highlight the urgency of the problem, given the continued, widespread, and pervasive threats that springs are currently exposed and the likelihood of these threats being exacerbated by climate change and expansion of the coal seam gas and coal mining industry. </w:t>
      </w:r>
    </w:p>
    <w:p w14:paraId="6EC7A92E" w14:textId="77777777" w:rsidR="003D3694" w:rsidRPr="00747E35" w:rsidRDefault="003D3694" w:rsidP="003D3694">
      <w:pPr>
        <w:spacing w:after="0"/>
        <w:rPr>
          <w:rFonts w:asciiTheme="minorHAnsi" w:hAnsiTheme="minorHAnsi" w:cstheme="minorHAnsi"/>
        </w:rPr>
      </w:pPr>
    </w:p>
    <w:p w14:paraId="7CB22DF6" w14:textId="77777777" w:rsidR="003D3694" w:rsidRPr="00747E35" w:rsidRDefault="003D3694" w:rsidP="003D3694">
      <w:pPr>
        <w:spacing w:after="0"/>
        <w:rPr>
          <w:rFonts w:asciiTheme="minorHAnsi" w:hAnsiTheme="minorHAnsi" w:cstheme="minorHAnsi"/>
        </w:rPr>
      </w:pPr>
      <w:r w:rsidRPr="00747E35">
        <w:rPr>
          <w:rFonts w:asciiTheme="minorHAnsi" w:hAnsiTheme="minorHAnsi" w:cstheme="minorHAnsi"/>
        </w:rPr>
        <w:t xml:space="preserve">Threat management is required at different tiers with different stakeholders. For example, feral animals can be easily managed by on-ground practices like fencing, trapping and shooting. In contrast, groundwater drawdown is a basin-wide problem that needs national leadership and management to complement state-based and regional initiatives because losses in one place can lead to drawdown in another.  Some localities stand as testament to the ability of multiple stake-holders to work together to preserve ‘hot-spots’ of biodiversity in this system (e.g. the Edgbaston portion of the Pelican Creek complex).  However, this report emphasises that such activities need to be fostered elsewhere and provides a basin-wide perspective for facilitating this process. </w:t>
      </w:r>
    </w:p>
    <w:p w14:paraId="5A9A3811" w14:textId="77777777" w:rsidR="003D3694" w:rsidRPr="00747E35" w:rsidRDefault="003D3694" w:rsidP="003D3694">
      <w:pPr>
        <w:spacing w:after="0"/>
        <w:rPr>
          <w:rFonts w:asciiTheme="minorHAnsi" w:hAnsiTheme="minorHAnsi" w:cstheme="minorHAnsi"/>
        </w:rPr>
      </w:pPr>
    </w:p>
    <w:p w14:paraId="6965CE32" w14:textId="0767EADE" w:rsidR="003D3694" w:rsidRPr="00747E35" w:rsidRDefault="003D3694" w:rsidP="003D3694">
      <w:pPr>
        <w:rPr>
          <w:rFonts w:asciiTheme="minorHAnsi" w:hAnsiTheme="minorHAnsi" w:cstheme="minorHAnsi"/>
        </w:rPr>
      </w:pPr>
      <w:r w:rsidRPr="00747E35">
        <w:rPr>
          <w:rFonts w:asciiTheme="minorHAnsi" w:hAnsiTheme="minorHAnsi" w:cstheme="minorHAnsi"/>
        </w:rPr>
        <w:t>On-ground action to mitigate threats cannot be effective without complementary efforts to protect from further losses of groundwater GAB pressure.  A number of initiatives currently exist to facilitate more effective and strategic management, including the Great Artesian Basin Sustainability Initiative (GABSI), the Great Artesian Basin Strategic Management Planning process currently underway involving federal and state/territory governments and the Great Artesian Basin C</w:t>
      </w:r>
      <w:r w:rsidR="009B4677">
        <w:rPr>
          <w:rFonts w:asciiTheme="minorHAnsi" w:hAnsiTheme="minorHAnsi" w:cstheme="minorHAnsi"/>
        </w:rPr>
        <w:t xml:space="preserve">oordinating Committee (GABCC). </w:t>
      </w:r>
    </w:p>
    <w:p w14:paraId="01A45532" w14:textId="77777777" w:rsidR="003D3694" w:rsidRPr="00747E35" w:rsidRDefault="003D3694" w:rsidP="0083624F">
      <w:pPr>
        <w:numPr>
          <w:ilvl w:val="0"/>
          <w:numId w:val="28"/>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 xml:space="preserve">Science is needed to establish ecological responses to threats and benefits of actions </w:t>
      </w:r>
    </w:p>
    <w:p w14:paraId="18650A67" w14:textId="50921991" w:rsidR="003D3694" w:rsidRPr="00747E35" w:rsidRDefault="003D3694" w:rsidP="003D3694">
      <w:pPr>
        <w:spacing w:after="0"/>
        <w:rPr>
          <w:rFonts w:asciiTheme="minorHAnsi" w:hAnsiTheme="minorHAnsi" w:cstheme="minorHAnsi"/>
        </w:rPr>
      </w:pPr>
      <w:r w:rsidRPr="00747E35">
        <w:rPr>
          <w:rFonts w:asciiTheme="minorHAnsi" w:hAnsiTheme="minorHAnsi" w:cstheme="minorHAnsi"/>
        </w:rPr>
        <w:t>This review has highlighted that quantitative data is lacking concerning population trends, responses to threats and benefits of management actions to mitigate those threats for most GAB endemic species.  Targeted monitoring of population trends is needed in order to understand natural temporal variation within spring systems and populations within springs act as metapopulations that shift across the landscap</w:t>
      </w:r>
      <w:r w:rsidR="00BB7A91">
        <w:rPr>
          <w:rFonts w:asciiTheme="minorHAnsi" w:hAnsiTheme="minorHAnsi" w:cstheme="minorHAnsi"/>
        </w:rPr>
        <w:t>e</w:t>
      </w:r>
      <w:r w:rsidRPr="00747E35">
        <w:rPr>
          <w:rFonts w:asciiTheme="minorHAnsi" w:hAnsiTheme="minorHAnsi" w:cstheme="minorHAnsi"/>
        </w:rPr>
        <w:t xml:space="preserve">.  Targeted monitoring can in turn inform managers on how species are or are likely to be responding to environmental changes and highlight conservation concerns that would require management actions.  Examples of ongoing monitoring programs exist in some South Australian springs and at Edgbaston springs.  However these programs concern only two of 33 unique ‘assemblages’ of species that exist in GAB springs.  Fostering a basin-wide approach to monitoring that ensures that biodiversity ‘hot-spots’ and localities with the most pertinent exposure to threats will help to expand on these past successes and fill knowledge gaps.  Our expert elicitation revealed that most species are highly vulnerable to groundwater drawdown.  However, we lack precise evidence of actual species responses and how cumulative interacting threats may exacerbate vulnerability.  Some of these knowledge gaps are relative straightforward to address, at least for some species and threats (e.g. using experimental mesocosms to simulate water </w:t>
      </w:r>
      <w:r w:rsidRPr="00747E35">
        <w:rPr>
          <w:rFonts w:asciiTheme="minorHAnsi" w:hAnsiTheme="minorHAnsi" w:cstheme="minorHAnsi"/>
        </w:rPr>
        <w:lastRenderedPageBreak/>
        <w:t xml:space="preserve">drawdown and recovery and monitoring ecological responses such as physiology and behaviour).  These questions come hand-in-hand with research regarding the ecology of endemic GAB species – another literature gap at a basin-wide scale. </w:t>
      </w:r>
    </w:p>
    <w:p w14:paraId="774CBD79" w14:textId="77777777" w:rsidR="003D3694" w:rsidRPr="00747E35" w:rsidRDefault="003D3694" w:rsidP="003D3694">
      <w:pPr>
        <w:spacing w:after="0"/>
        <w:rPr>
          <w:rFonts w:asciiTheme="minorHAnsi" w:hAnsiTheme="minorHAnsi" w:cstheme="minorHAnsi"/>
        </w:rPr>
      </w:pPr>
    </w:p>
    <w:p w14:paraId="560DCF2B" w14:textId="77777777" w:rsidR="003D3694" w:rsidRPr="00747E35" w:rsidRDefault="003D3694" w:rsidP="003D3694">
      <w:pPr>
        <w:spacing w:after="0"/>
        <w:rPr>
          <w:rFonts w:asciiTheme="minorHAnsi" w:hAnsiTheme="minorHAnsi" w:cstheme="minorHAnsi"/>
        </w:rPr>
      </w:pPr>
      <w:r w:rsidRPr="00747E35">
        <w:rPr>
          <w:rFonts w:asciiTheme="minorHAnsi" w:hAnsiTheme="minorHAnsi" w:cstheme="minorHAnsi"/>
        </w:rPr>
        <w:t>Monitoring programs are not only important for management; they provide knowledge that is useful to both academic science and community conservation.  Long-term monitoring programs in Lake Eyre have facilitated cutting-edge research into the evolutionary origins and patterns of population connectivity at landscape scales.  They have allowed ecologists and taxonomists to officially describe over 50 species that prior to the 1980’s were unknown to science, and to continue to identify at least 50 more.  These species are ecologically and taxonomically diverse – some have transitioned from rainforest creek-dwelling species to arid-zone spring specialists others have colonised the surface after persisting within underground aquifers.  By understanding them, researchers have been able to document the quaternary changes in Australia’s climate, document speciation and document the adaptations needed to persist in the Australian arid-zone.  This in turn provides information and understanding about species that increases the concern of the general public for their conservation (e.g. ‘friends of the mound springs’ are a voluntary organisation that conserve South Australian mound springs, ~20 individuals volunteer every year to aid in conserving the red-finned blue-eye, and numerous property owners manage populations of threatened species or have entered into voluntary conservation agreements).  Greater understanding and awareness also facilitates community learning and cultural well-being (e.g. undergraduate science students from the University of Queensland facilitate annual invertebrate sampling at Edgbaston and Indigenous Custodians are strongly involved in the management of Witjera and Finniss Springs in South Australia).</w:t>
      </w:r>
    </w:p>
    <w:p w14:paraId="6AD17EC2" w14:textId="77777777" w:rsidR="003D3694" w:rsidRPr="00747E35" w:rsidRDefault="003D3694" w:rsidP="003D3694">
      <w:pPr>
        <w:rPr>
          <w:rFonts w:asciiTheme="minorHAnsi" w:hAnsiTheme="minorHAnsi" w:cstheme="minorHAnsi"/>
        </w:rPr>
      </w:pPr>
    </w:p>
    <w:p w14:paraId="01F8C607" w14:textId="77777777" w:rsidR="003D3694" w:rsidRPr="00747E35" w:rsidRDefault="003D3694" w:rsidP="0083624F">
      <w:pPr>
        <w:numPr>
          <w:ilvl w:val="0"/>
          <w:numId w:val="28"/>
        </w:numPr>
        <w:adjustRightInd w:val="0"/>
        <w:spacing w:before="60" w:after="240"/>
        <w:jc w:val="both"/>
        <w:rPr>
          <w:rFonts w:asciiTheme="minorHAnsi" w:eastAsia="Times New Roman" w:hAnsiTheme="minorHAnsi" w:cstheme="minorHAnsi"/>
        </w:rPr>
      </w:pPr>
      <w:r w:rsidRPr="00747E35">
        <w:rPr>
          <w:rFonts w:asciiTheme="minorHAnsi" w:eastAsia="Times New Roman" w:hAnsiTheme="minorHAnsi" w:cstheme="minorHAnsi"/>
        </w:rPr>
        <w:t>Many on-ground management actions to mitigate threats can be implemented now</w:t>
      </w:r>
    </w:p>
    <w:p w14:paraId="3FD19D3C"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 xml:space="preserve">The high concentration of endemic species in relatively small areas means that it should be feasible to identify appropriate threat management strategies and successfully implement them (notwithstanding the challenges identified above).  Our research identified a small set of highest risk spring complexes that could be prioritised for targeted management in the short term.  So many springs of conservation importance are on private property (freehold and leasehold) and many threats are localised and can be relatively easily managed at a local scale. Engaging and incentivising private property owners about values of their own springs and the need to protect and monitor them would be a major leap forward in this regard.  </w:t>
      </w:r>
    </w:p>
    <w:p w14:paraId="6789E475" w14:textId="77777777" w:rsidR="003D3694" w:rsidRPr="00747E35" w:rsidRDefault="003D3694" w:rsidP="003D3694">
      <w:pPr>
        <w:rPr>
          <w:rFonts w:asciiTheme="minorHAnsi" w:hAnsiTheme="minorHAnsi" w:cstheme="minorHAnsi"/>
        </w:rPr>
      </w:pPr>
    </w:p>
    <w:p w14:paraId="300E4F4C" w14:textId="554BCC2D" w:rsidR="003D3694" w:rsidRPr="00747E35" w:rsidRDefault="003D3694" w:rsidP="00566456">
      <w:pPr>
        <w:pStyle w:val="Heading2"/>
        <w:rPr>
          <w:rFonts w:asciiTheme="minorHAnsi" w:hAnsiTheme="minorHAnsi" w:cstheme="minorHAnsi"/>
          <w:lang w:eastAsia="en-AU"/>
        </w:rPr>
      </w:pPr>
      <w:bookmarkStart w:id="464" w:name="_Toc470004924"/>
      <w:r w:rsidRPr="00747E35">
        <w:rPr>
          <w:rFonts w:asciiTheme="minorHAnsi" w:hAnsiTheme="minorHAnsi" w:cstheme="minorHAnsi"/>
          <w:lang w:eastAsia="en-AU"/>
        </w:rPr>
        <w:t>Project outcomes</w:t>
      </w:r>
      <w:bookmarkEnd w:id="464"/>
    </w:p>
    <w:p w14:paraId="3004D494"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The expected outcomes from the project are:</w:t>
      </w:r>
    </w:p>
    <w:p w14:paraId="445BED8F" w14:textId="77777777" w:rsidR="003D3694" w:rsidRPr="00747E35" w:rsidRDefault="003D3694" w:rsidP="0083624F">
      <w:pPr>
        <w:numPr>
          <w:ilvl w:val="0"/>
          <w:numId w:val="26"/>
        </w:numPr>
        <w:spacing w:after="113" w:line="280" w:lineRule="atLeast"/>
        <w:jc w:val="both"/>
        <w:rPr>
          <w:rFonts w:asciiTheme="minorHAnsi" w:hAnsiTheme="minorHAnsi" w:cstheme="minorHAnsi"/>
        </w:rPr>
      </w:pPr>
      <w:r w:rsidRPr="00747E35">
        <w:rPr>
          <w:rFonts w:asciiTheme="minorHAnsi" w:hAnsiTheme="minorHAnsi" w:cstheme="minorHAnsi"/>
        </w:rPr>
        <w:t>improved identification and understanding of the potential water-related ecological responses to coal seam gas extraction and coal mining in Australia.</w:t>
      </w:r>
    </w:p>
    <w:p w14:paraId="15B55ED8" w14:textId="77777777" w:rsidR="003D3694" w:rsidRPr="00747E35" w:rsidRDefault="003D3694" w:rsidP="0083624F">
      <w:pPr>
        <w:numPr>
          <w:ilvl w:val="0"/>
          <w:numId w:val="26"/>
        </w:numPr>
        <w:spacing w:after="113" w:line="280" w:lineRule="atLeast"/>
        <w:jc w:val="both"/>
        <w:rPr>
          <w:rFonts w:asciiTheme="minorHAnsi" w:hAnsiTheme="minorHAnsi" w:cstheme="minorHAnsi"/>
        </w:rPr>
      </w:pPr>
      <w:r w:rsidRPr="00747E35">
        <w:rPr>
          <w:rFonts w:asciiTheme="minorHAnsi" w:hAnsiTheme="minorHAnsi" w:cstheme="minorHAnsi"/>
        </w:rPr>
        <w:t>information that will strengthen IESC advice on project proposals concerning the adequacy of methods of prediction, assessment and mitigation of impacts on:</w:t>
      </w:r>
    </w:p>
    <w:p w14:paraId="6A043A6A" w14:textId="77777777" w:rsidR="003D3694" w:rsidRPr="00747E35" w:rsidRDefault="003D3694" w:rsidP="0083624F">
      <w:pPr>
        <w:numPr>
          <w:ilvl w:val="1"/>
          <w:numId w:val="26"/>
        </w:numPr>
        <w:spacing w:after="113" w:line="280" w:lineRule="atLeast"/>
        <w:jc w:val="both"/>
        <w:rPr>
          <w:rFonts w:asciiTheme="minorHAnsi" w:hAnsiTheme="minorHAnsi" w:cstheme="minorHAnsi"/>
        </w:rPr>
      </w:pPr>
      <w:r w:rsidRPr="00747E35">
        <w:rPr>
          <w:rFonts w:asciiTheme="minorHAnsi" w:hAnsiTheme="minorHAnsi" w:cstheme="minorHAnsi"/>
        </w:rPr>
        <w:t xml:space="preserve">subsurface biogeochemistry and water quality, </w:t>
      </w:r>
    </w:p>
    <w:p w14:paraId="3F41EC52" w14:textId="77777777" w:rsidR="003D3694" w:rsidRPr="00747E35" w:rsidRDefault="003D3694" w:rsidP="0083624F">
      <w:pPr>
        <w:numPr>
          <w:ilvl w:val="1"/>
          <w:numId w:val="26"/>
        </w:numPr>
        <w:spacing w:after="113" w:line="280" w:lineRule="atLeast"/>
        <w:jc w:val="both"/>
        <w:rPr>
          <w:rFonts w:asciiTheme="minorHAnsi" w:hAnsiTheme="minorHAnsi" w:cstheme="minorHAnsi"/>
        </w:rPr>
      </w:pPr>
      <w:r w:rsidRPr="00747E35">
        <w:rPr>
          <w:rFonts w:asciiTheme="minorHAnsi" w:hAnsiTheme="minorHAnsi" w:cstheme="minorHAnsi"/>
        </w:rPr>
        <w:t xml:space="preserve">groundwater dependent vegetation, </w:t>
      </w:r>
    </w:p>
    <w:p w14:paraId="5F13CA46" w14:textId="77777777" w:rsidR="003D3694" w:rsidRPr="00747E35" w:rsidRDefault="003D3694" w:rsidP="0083624F">
      <w:pPr>
        <w:numPr>
          <w:ilvl w:val="1"/>
          <w:numId w:val="26"/>
        </w:numPr>
        <w:spacing w:after="113" w:line="280" w:lineRule="atLeast"/>
        <w:jc w:val="both"/>
        <w:rPr>
          <w:rFonts w:asciiTheme="minorHAnsi" w:hAnsiTheme="minorHAnsi" w:cstheme="minorHAnsi"/>
        </w:rPr>
      </w:pPr>
      <w:r w:rsidRPr="00747E35">
        <w:rPr>
          <w:rFonts w:asciiTheme="minorHAnsi" w:hAnsiTheme="minorHAnsi" w:cstheme="minorHAnsi"/>
        </w:rPr>
        <w:t>ecological values of non-perennial streams (including ecosystem processes, and hyporehic and surface fauna),</w:t>
      </w:r>
    </w:p>
    <w:p w14:paraId="1543BA05" w14:textId="77777777" w:rsidR="003D3694" w:rsidRPr="00747E35" w:rsidRDefault="003D3694" w:rsidP="0083624F">
      <w:pPr>
        <w:numPr>
          <w:ilvl w:val="1"/>
          <w:numId w:val="26"/>
        </w:numPr>
        <w:spacing w:after="113" w:line="280" w:lineRule="atLeast"/>
        <w:jc w:val="both"/>
        <w:rPr>
          <w:rFonts w:asciiTheme="minorHAnsi" w:hAnsiTheme="minorHAnsi" w:cstheme="minorHAnsi"/>
        </w:rPr>
      </w:pPr>
      <w:r w:rsidRPr="00747E35">
        <w:rPr>
          <w:rFonts w:asciiTheme="minorHAnsi" w:hAnsiTheme="minorHAnsi" w:cstheme="minorHAnsi"/>
        </w:rPr>
        <w:t>GAB springs and the biodiversity they sustain.</w:t>
      </w:r>
    </w:p>
    <w:p w14:paraId="62441C71" w14:textId="77777777" w:rsidR="003D3694" w:rsidRPr="00747E35" w:rsidRDefault="003D3694" w:rsidP="0083624F">
      <w:pPr>
        <w:numPr>
          <w:ilvl w:val="0"/>
          <w:numId w:val="26"/>
        </w:numPr>
        <w:spacing w:after="113" w:line="280" w:lineRule="atLeast"/>
        <w:jc w:val="both"/>
        <w:rPr>
          <w:rFonts w:asciiTheme="minorHAnsi" w:hAnsiTheme="minorHAnsi" w:cstheme="minorHAnsi"/>
        </w:rPr>
      </w:pPr>
      <w:r w:rsidRPr="00747E35">
        <w:rPr>
          <w:rFonts w:asciiTheme="minorHAnsi" w:hAnsiTheme="minorHAnsi" w:cstheme="minorHAnsi"/>
        </w:rPr>
        <w:t>strengthened regulator and industry understanding of:</w:t>
      </w:r>
    </w:p>
    <w:p w14:paraId="6A0417F4" w14:textId="77777777" w:rsidR="003D3694" w:rsidRPr="00747E35" w:rsidRDefault="003D3694" w:rsidP="0083624F">
      <w:pPr>
        <w:numPr>
          <w:ilvl w:val="1"/>
          <w:numId w:val="26"/>
        </w:numPr>
        <w:spacing w:after="113" w:line="280" w:lineRule="atLeast"/>
        <w:jc w:val="both"/>
        <w:rPr>
          <w:rFonts w:asciiTheme="minorHAnsi" w:hAnsiTheme="minorHAnsi" w:cstheme="minorHAnsi"/>
        </w:rPr>
      </w:pPr>
      <w:r w:rsidRPr="00747E35">
        <w:rPr>
          <w:rFonts w:asciiTheme="minorHAnsi" w:hAnsiTheme="minorHAnsi" w:cstheme="minorHAnsi"/>
        </w:rPr>
        <w:t>the water-related requirements of, and impacts on, groundwater dependent vegetation</w:t>
      </w:r>
    </w:p>
    <w:p w14:paraId="3A17E3FA" w14:textId="77777777" w:rsidR="003D3694" w:rsidRPr="00747E35" w:rsidRDefault="003D3694" w:rsidP="0083624F">
      <w:pPr>
        <w:numPr>
          <w:ilvl w:val="1"/>
          <w:numId w:val="26"/>
        </w:numPr>
        <w:spacing w:after="113" w:line="280" w:lineRule="atLeast"/>
        <w:jc w:val="both"/>
        <w:rPr>
          <w:rFonts w:asciiTheme="minorHAnsi" w:hAnsiTheme="minorHAnsi" w:cstheme="minorHAnsi"/>
        </w:rPr>
      </w:pPr>
      <w:r w:rsidRPr="00747E35">
        <w:rPr>
          <w:rFonts w:asciiTheme="minorHAnsi" w:hAnsiTheme="minorHAnsi" w:cstheme="minorHAnsi"/>
        </w:rPr>
        <w:lastRenderedPageBreak/>
        <w:t>the ecological importance of groundwater discharge and surface water-groundwater connectivity regimes in non-perennial streams,</w:t>
      </w:r>
    </w:p>
    <w:p w14:paraId="4191BCB8" w14:textId="77777777" w:rsidR="003D3694" w:rsidRPr="00747E35" w:rsidRDefault="003D3694" w:rsidP="0083624F">
      <w:pPr>
        <w:numPr>
          <w:ilvl w:val="1"/>
          <w:numId w:val="26"/>
        </w:numPr>
        <w:spacing w:after="113" w:line="280" w:lineRule="atLeast"/>
        <w:jc w:val="both"/>
        <w:rPr>
          <w:rFonts w:asciiTheme="minorHAnsi" w:hAnsiTheme="minorHAnsi" w:cstheme="minorHAnsi"/>
        </w:rPr>
      </w:pPr>
      <w:r w:rsidRPr="00747E35">
        <w:rPr>
          <w:rFonts w:asciiTheme="minorHAnsi" w:hAnsiTheme="minorHAnsi" w:cstheme="minorHAnsi"/>
        </w:rPr>
        <w:t>the ecological relevance of subsurface fauna and biogeochemistry,</w:t>
      </w:r>
    </w:p>
    <w:p w14:paraId="0F01C2F4" w14:textId="77777777" w:rsidR="003D3694" w:rsidRPr="00747E35" w:rsidRDefault="003D3694" w:rsidP="0083624F">
      <w:pPr>
        <w:numPr>
          <w:ilvl w:val="1"/>
          <w:numId w:val="26"/>
        </w:numPr>
        <w:spacing w:after="113" w:line="280" w:lineRule="atLeast"/>
        <w:jc w:val="both"/>
        <w:rPr>
          <w:rFonts w:asciiTheme="minorHAnsi" w:hAnsiTheme="minorHAnsi" w:cstheme="minorHAnsi"/>
        </w:rPr>
      </w:pPr>
      <w:r w:rsidRPr="00747E35">
        <w:rPr>
          <w:rFonts w:asciiTheme="minorHAnsi" w:hAnsiTheme="minorHAnsi" w:cstheme="minorHAnsi"/>
        </w:rPr>
        <w:t>the biodiversity and conservation values of GAB spring wetlands and the vulnerability of resident taxa to hydrological changes and other threats.</w:t>
      </w:r>
    </w:p>
    <w:p w14:paraId="51A0B187" w14:textId="77777777" w:rsidR="003D3694" w:rsidRPr="00747E35" w:rsidRDefault="003D3694" w:rsidP="0083624F">
      <w:pPr>
        <w:numPr>
          <w:ilvl w:val="0"/>
          <w:numId w:val="26"/>
        </w:numPr>
        <w:spacing w:after="113" w:line="280" w:lineRule="atLeast"/>
        <w:jc w:val="both"/>
        <w:rPr>
          <w:rFonts w:asciiTheme="minorHAnsi" w:hAnsiTheme="minorHAnsi" w:cstheme="minorHAnsi"/>
        </w:rPr>
      </w:pPr>
      <w:r w:rsidRPr="00747E35">
        <w:rPr>
          <w:rFonts w:asciiTheme="minorHAnsi" w:hAnsiTheme="minorHAnsi" w:cstheme="minorHAnsi"/>
        </w:rPr>
        <w:t>research that complements the bioregional assessments and other research activities coordinated by OWS that will collectively improve the knowledge base regarding the potential water-related impacts of CSG extraction and coal mining,</w:t>
      </w:r>
    </w:p>
    <w:p w14:paraId="1CC76C4D" w14:textId="77777777" w:rsidR="003D3694" w:rsidRPr="00747E35" w:rsidRDefault="003D3694" w:rsidP="0083624F">
      <w:pPr>
        <w:numPr>
          <w:ilvl w:val="0"/>
          <w:numId w:val="26"/>
        </w:numPr>
        <w:spacing w:after="113" w:line="280" w:lineRule="atLeast"/>
        <w:jc w:val="both"/>
        <w:rPr>
          <w:rFonts w:asciiTheme="minorHAnsi" w:hAnsiTheme="minorHAnsi" w:cstheme="minorHAnsi"/>
        </w:rPr>
      </w:pPr>
      <w:r w:rsidRPr="00747E35">
        <w:rPr>
          <w:rFonts w:asciiTheme="minorHAnsi" w:hAnsiTheme="minorHAnsi" w:cstheme="minorHAnsi"/>
        </w:rPr>
        <w:t xml:space="preserve">a rigorous foundation for future research to fill critical research gaps, </w:t>
      </w:r>
    </w:p>
    <w:p w14:paraId="29927ACC" w14:textId="77777777" w:rsidR="003D3694" w:rsidRPr="00747E35" w:rsidRDefault="003D3694" w:rsidP="0083624F">
      <w:pPr>
        <w:numPr>
          <w:ilvl w:val="0"/>
          <w:numId w:val="26"/>
        </w:numPr>
        <w:spacing w:before="100" w:beforeAutospacing="1" w:after="113" w:line="280" w:lineRule="atLeast"/>
        <w:ind w:left="714" w:hanging="357"/>
        <w:jc w:val="both"/>
        <w:rPr>
          <w:rFonts w:asciiTheme="minorHAnsi" w:hAnsiTheme="minorHAnsi" w:cstheme="minorHAnsi"/>
        </w:rPr>
      </w:pPr>
      <w:r w:rsidRPr="00747E35">
        <w:rPr>
          <w:rFonts w:asciiTheme="minorHAnsi" w:hAnsiTheme="minorHAnsi" w:cstheme="minorHAnsi"/>
        </w:rPr>
        <w:t>improved capacity to evaluate relative ecological and biodiversity values of an area subject to proposed mining development compared with elsewhere,</w:t>
      </w:r>
    </w:p>
    <w:p w14:paraId="737DC01E" w14:textId="77777777" w:rsidR="003D3694" w:rsidRPr="00747E35" w:rsidRDefault="003D3694" w:rsidP="0083624F">
      <w:pPr>
        <w:numPr>
          <w:ilvl w:val="0"/>
          <w:numId w:val="26"/>
        </w:numPr>
        <w:spacing w:before="100" w:beforeAutospacing="1" w:after="113" w:line="280" w:lineRule="atLeast"/>
        <w:ind w:left="714" w:hanging="357"/>
        <w:jc w:val="both"/>
        <w:rPr>
          <w:rFonts w:asciiTheme="minorHAnsi" w:hAnsiTheme="minorHAnsi" w:cstheme="minorHAnsi"/>
        </w:rPr>
      </w:pPr>
      <w:r w:rsidRPr="00747E35">
        <w:rPr>
          <w:rFonts w:asciiTheme="minorHAnsi" w:hAnsiTheme="minorHAnsi" w:cstheme="minorHAnsi"/>
        </w:rPr>
        <w:t>information for future updates to conservation listing of GAB discharge spring ecological community (and individual species) by DoE Threatened Species Scientific Committee.</w:t>
      </w:r>
    </w:p>
    <w:p w14:paraId="3A404133" w14:textId="77777777" w:rsidR="003D3694" w:rsidRPr="00747E35" w:rsidRDefault="003D3694" w:rsidP="003D3694">
      <w:pPr>
        <w:spacing w:before="200"/>
        <w:rPr>
          <w:rFonts w:asciiTheme="minorHAnsi" w:hAnsiTheme="minorHAnsi" w:cstheme="minorHAnsi"/>
          <w:color w:val="000000"/>
        </w:rPr>
      </w:pPr>
    </w:p>
    <w:p w14:paraId="4E121692"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br w:type="page"/>
      </w:r>
    </w:p>
    <w:p w14:paraId="26F8BF19" w14:textId="2A92ECD7" w:rsidR="003D3694" w:rsidRPr="00747E35" w:rsidRDefault="003D3694" w:rsidP="00566456">
      <w:pPr>
        <w:pStyle w:val="Heading2"/>
        <w:rPr>
          <w:rFonts w:asciiTheme="minorHAnsi" w:hAnsiTheme="minorHAnsi" w:cstheme="minorHAnsi"/>
          <w:lang w:eastAsia="en-AU"/>
        </w:rPr>
      </w:pPr>
      <w:bookmarkStart w:id="465" w:name="_Toc466837661"/>
      <w:bookmarkStart w:id="466" w:name="_Toc470004925"/>
      <w:r w:rsidRPr="00747E35">
        <w:rPr>
          <w:rFonts w:asciiTheme="minorHAnsi" w:hAnsiTheme="minorHAnsi" w:cstheme="minorHAnsi"/>
          <w:lang w:eastAsia="en-AU"/>
        </w:rPr>
        <w:lastRenderedPageBreak/>
        <w:t>References</w:t>
      </w:r>
      <w:bookmarkEnd w:id="465"/>
      <w:r w:rsidRPr="00747E35">
        <w:rPr>
          <w:rFonts w:asciiTheme="minorHAnsi" w:hAnsiTheme="minorHAnsi" w:cstheme="minorHAnsi"/>
          <w:lang w:eastAsia="en-AU"/>
        </w:rPr>
        <w:t>: Synthesis</w:t>
      </w:r>
      <w:bookmarkEnd w:id="466"/>
    </w:p>
    <w:p w14:paraId="2FC7F6AD" w14:textId="25D746A2"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Adams M</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A</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 xml:space="preserve"> &amp; </w:t>
      </w:r>
      <w:r w:rsidRPr="00747E35">
        <w:rPr>
          <w:rFonts w:asciiTheme="minorHAnsi" w:hAnsiTheme="minorHAnsi" w:cstheme="minorHAnsi"/>
          <w:noProof/>
          <w:color w:val="000000"/>
          <w:sz w:val="20"/>
          <w:szCs w:val="20"/>
          <w:lang w:eastAsia="en-AU"/>
        </w:rPr>
        <w:t>Grierson P</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F. (2001). Stable isotopes at natural abundance in terrestrial plant ecology and ecophysiology. </w:t>
      </w:r>
      <w:r w:rsidRPr="00572B99">
        <w:rPr>
          <w:rFonts w:asciiTheme="minorHAnsi" w:hAnsiTheme="minorHAnsi" w:cstheme="minorHAnsi"/>
          <w:i/>
          <w:noProof/>
          <w:color w:val="000000"/>
          <w:sz w:val="20"/>
          <w:szCs w:val="20"/>
          <w:lang w:eastAsia="en-AU"/>
        </w:rPr>
        <w:t>Plant Biology</w:t>
      </w:r>
      <w:r w:rsidRPr="00747E35">
        <w:rPr>
          <w:rFonts w:asciiTheme="minorHAnsi" w:hAnsiTheme="minorHAnsi" w:cstheme="minorHAnsi"/>
          <w:noProof/>
          <w:color w:val="000000"/>
          <w:sz w:val="20"/>
          <w:szCs w:val="20"/>
          <w:lang w:eastAsia="en-AU"/>
        </w:rPr>
        <w:t xml:space="preserve"> 3</w:t>
      </w:r>
      <w:r w:rsidR="00572B99">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299–310.</w:t>
      </w:r>
    </w:p>
    <w:p w14:paraId="254F2776" w14:textId="582F1872"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Appelo C</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A</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J</w:t>
      </w:r>
      <w:r w:rsidR="00572B99">
        <w:rPr>
          <w:rFonts w:asciiTheme="minorHAnsi" w:hAnsiTheme="minorHAnsi" w:cstheme="minorHAnsi"/>
          <w:noProof/>
          <w:color w:val="000000"/>
          <w:sz w:val="20"/>
          <w:szCs w:val="20"/>
          <w:lang w:eastAsia="en-AU"/>
        </w:rPr>
        <w:t xml:space="preserve"> &amp; </w:t>
      </w:r>
      <w:r w:rsidRPr="00747E35">
        <w:rPr>
          <w:rFonts w:asciiTheme="minorHAnsi" w:hAnsiTheme="minorHAnsi" w:cstheme="minorHAnsi"/>
          <w:noProof/>
          <w:color w:val="000000"/>
          <w:sz w:val="20"/>
          <w:szCs w:val="20"/>
          <w:lang w:eastAsia="en-AU"/>
        </w:rPr>
        <w:t>Postma D.</w:t>
      </w:r>
      <w:r w:rsidR="00572B99">
        <w:rPr>
          <w:rFonts w:asciiTheme="minorHAnsi" w:hAnsiTheme="minorHAnsi" w:cstheme="minorHAnsi"/>
          <w:noProof/>
          <w:color w:val="000000"/>
          <w:sz w:val="20"/>
          <w:szCs w:val="20"/>
          <w:lang w:eastAsia="en-AU"/>
        </w:rPr>
        <w:t xml:space="preserve"> (</w:t>
      </w:r>
      <w:r w:rsidRPr="00747E35">
        <w:rPr>
          <w:rFonts w:asciiTheme="minorHAnsi" w:hAnsiTheme="minorHAnsi" w:cstheme="minorHAnsi"/>
          <w:noProof/>
          <w:color w:val="000000"/>
          <w:sz w:val="20"/>
          <w:szCs w:val="20"/>
          <w:lang w:eastAsia="en-AU"/>
        </w:rPr>
        <w:t>2005</w:t>
      </w:r>
      <w:r w:rsidR="00572B99">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Geochemistry, Groundwater and Pollution, 2</w:t>
      </w:r>
      <w:r w:rsidRPr="00747E35">
        <w:rPr>
          <w:rFonts w:asciiTheme="minorHAnsi" w:hAnsiTheme="minorHAnsi" w:cstheme="minorHAnsi"/>
          <w:noProof/>
          <w:color w:val="000000"/>
          <w:sz w:val="20"/>
          <w:szCs w:val="20"/>
          <w:vertAlign w:val="superscript"/>
          <w:lang w:eastAsia="en-AU"/>
        </w:rPr>
        <w:t>nd</w:t>
      </w:r>
      <w:r w:rsidRPr="00747E35">
        <w:rPr>
          <w:rFonts w:asciiTheme="minorHAnsi" w:hAnsiTheme="minorHAnsi" w:cstheme="minorHAnsi"/>
          <w:noProof/>
          <w:color w:val="000000"/>
          <w:sz w:val="20"/>
          <w:szCs w:val="20"/>
          <w:lang w:eastAsia="en-AU"/>
        </w:rPr>
        <w:t xml:space="preserve"> ed. A.A. Balkema, Rotterdam. 649 pp. </w:t>
      </w:r>
    </w:p>
    <w:p w14:paraId="68A9A0D2" w14:textId="7C95DF71"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Armour C</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L</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Duff D</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A</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 xml:space="preserve"> &amp; </w:t>
      </w:r>
      <w:r w:rsidRPr="00747E35">
        <w:rPr>
          <w:rFonts w:asciiTheme="minorHAnsi" w:hAnsiTheme="minorHAnsi" w:cstheme="minorHAnsi"/>
          <w:noProof/>
          <w:color w:val="000000"/>
          <w:sz w:val="20"/>
          <w:szCs w:val="20"/>
          <w:lang w:eastAsia="en-AU"/>
        </w:rPr>
        <w:t xml:space="preserve">Elmore W. (1991). Effects of livestock grazing on riparian and stream ecosystems. </w:t>
      </w:r>
      <w:r w:rsidRPr="00572B99">
        <w:rPr>
          <w:rFonts w:asciiTheme="minorHAnsi" w:hAnsiTheme="minorHAnsi" w:cstheme="minorHAnsi"/>
          <w:i/>
          <w:noProof/>
          <w:color w:val="000000"/>
          <w:sz w:val="20"/>
          <w:szCs w:val="20"/>
          <w:lang w:eastAsia="en-AU"/>
        </w:rPr>
        <w:t>Fisheries</w:t>
      </w:r>
      <w:r w:rsidRPr="00747E35">
        <w:rPr>
          <w:rFonts w:asciiTheme="minorHAnsi" w:hAnsiTheme="minorHAnsi" w:cstheme="minorHAnsi"/>
          <w:noProof/>
          <w:color w:val="000000"/>
          <w:sz w:val="20"/>
          <w:szCs w:val="20"/>
          <w:lang w:eastAsia="en-AU"/>
        </w:rPr>
        <w:t xml:space="preserve"> 16: 7-11. </w:t>
      </w:r>
    </w:p>
    <w:p w14:paraId="38D1187D" w14:textId="64356697" w:rsidR="00E84163" w:rsidRPr="00747E35" w:rsidRDefault="00E84163"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Bond N</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R</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Thomson 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M</w:t>
      </w:r>
      <w:r w:rsidR="00520771">
        <w:rPr>
          <w:rFonts w:asciiTheme="minorHAnsi" w:hAnsiTheme="minorHAnsi" w:cstheme="minorHAnsi"/>
          <w:noProof/>
          <w:color w:val="000000"/>
          <w:sz w:val="20"/>
          <w:szCs w:val="20"/>
          <w:lang w:eastAsia="en-AU"/>
        </w:rPr>
        <w:t>.</w:t>
      </w:r>
      <w:r>
        <w:rPr>
          <w:rFonts w:asciiTheme="minorHAnsi" w:hAnsiTheme="minorHAnsi" w:cstheme="minorHAnsi"/>
          <w:noProof/>
          <w:color w:val="000000"/>
          <w:sz w:val="20"/>
          <w:szCs w:val="20"/>
          <w:lang w:eastAsia="en-AU"/>
        </w:rPr>
        <w:t xml:space="preserve"> &amp; </w:t>
      </w:r>
      <w:r w:rsidRPr="00747E35">
        <w:rPr>
          <w:rFonts w:asciiTheme="minorHAnsi" w:hAnsiTheme="minorHAnsi" w:cstheme="minorHAnsi"/>
          <w:noProof/>
          <w:color w:val="000000"/>
          <w:sz w:val="20"/>
          <w:szCs w:val="20"/>
          <w:lang w:eastAsia="en-AU"/>
        </w:rPr>
        <w:t>Reich P</w:t>
      </w:r>
      <w:r>
        <w:rPr>
          <w:rFonts w:asciiTheme="minorHAnsi" w:hAnsiTheme="minorHAnsi" w:cstheme="minorHAnsi"/>
          <w:noProof/>
          <w:color w:val="000000"/>
          <w:sz w:val="20"/>
          <w:szCs w:val="20"/>
          <w:lang w:eastAsia="en-AU"/>
        </w:rPr>
        <w:t>. (</w:t>
      </w:r>
      <w:r w:rsidRPr="00747E35">
        <w:rPr>
          <w:rFonts w:asciiTheme="minorHAnsi" w:hAnsiTheme="minorHAnsi" w:cstheme="minorHAnsi"/>
          <w:noProof/>
          <w:color w:val="000000"/>
          <w:sz w:val="20"/>
          <w:szCs w:val="20"/>
          <w:lang w:eastAsia="en-AU"/>
        </w:rPr>
        <w:t>2012</w:t>
      </w:r>
      <w:r>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Macroinvertebrate responses to antecedent flow, long-term flow regime characteristics and landscape context in Victorian rivers. National Water Commission, Canberra.</w:t>
      </w:r>
    </w:p>
    <w:p w14:paraId="4E8B9904" w14:textId="7D5003AF"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Bond N</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R</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Thomson 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Reich P</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 xml:space="preserve"> &amp;</w:t>
      </w:r>
      <w:r w:rsidRPr="00747E35">
        <w:rPr>
          <w:rFonts w:asciiTheme="minorHAnsi" w:hAnsiTheme="minorHAnsi" w:cstheme="minorHAnsi"/>
          <w:noProof/>
          <w:color w:val="000000"/>
          <w:sz w:val="20"/>
          <w:szCs w:val="20"/>
          <w:lang w:eastAsia="en-AU"/>
        </w:rPr>
        <w:t xml:space="preserve"> Stein J.</w:t>
      </w:r>
      <w:r w:rsidR="00572B99">
        <w:rPr>
          <w:rFonts w:asciiTheme="minorHAnsi" w:hAnsiTheme="minorHAnsi" w:cstheme="minorHAnsi"/>
          <w:noProof/>
          <w:color w:val="000000"/>
          <w:sz w:val="20"/>
          <w:szCs w:val="20"/>
          <w:lang w:eastAsia="en-AU"/>
        </w:rPr>
        <w:t xml:space="preserve"> (</w:t>
      </w:r>
      <w:r w:rsidRPr="00747E35">
        <w:rPr>
          <w:rFonts w:asciiTheme="minorHAnsi" w:hAnsiTheme="minorHAnsi" w:cstheme="minorHAnsi"/>
          <w:noProof/>
          <w:color w:val="000000"/>
          <w:sz w:val="20"/>
          <w:szCs w:val="20"/>
          <w:lang w:eastAsia="en-AU"/>
        </w:rPr>
        <w:t>2011</w:t>
      </w:r>
      <w:r w:rsidR="00572B99">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Using species distribution models to infer potential climate change-induced range shifts of freshwater fish in south-eastern Australia. </w:t>
      </w:r>
      <w:r w:rsidRPr="00572B99">
        <w:rPr>
          <w:rFonts w:asciiTheme="minorHAnsi" w:hAnsiTheme="minorHAnsi" w:cstheme="minorHAnsi"/>
          <w:i/>
          <w:noProof/>
          <w:color w:val="000000"/>
          <w:sz w:val="20"/>
          <w:szCs w:val="20"/>
          <w:lang w:eastAsia="en-AU"/>
        </w:rPr>
        <w:t>Marine and Freshwater Research</w:t>
      </w:r>
      <w:r w:rsidRPr="00747E35">
        <w:rPr>
          <w:rFonts w:asciiTheme="minorHAnsi" w:hAnsiTheme="minorHAnsi" w:cstheme="minorHAnsi"/>
          <w:noProof/>
          <w:color w:val="000000"/>
          <w:sz w:val="20"/>
          <w:szCs w:val="20"/>
          <w:lang w:eastAsia="en-AU"/>
        </w:rPr>
        <w:t xml:space="preserve"> 62</w:t>
      </w:r>
      <w:r w:rsidR="00572B99">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1043-1061. </w:t>
      </w:r>
    </w:p>
    <w:p w14:paraId="50F3330A" w14:textId="1F91798D"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Boulton A</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J</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 xml:space="preserve"> &amp; </w:t>
      </w:r>
      <w:r w:rsidRPr="00747E35">
        <w:rPr>
          <w:rFonts w:asciiTheme="minorHAnsi" w:hAnsiTheme="minorHAnsi" w:cstheme="minorHAnsi"/>
          <w:noProof/>
          <w:color w:val="000000"/>
          <w:sz w:val="20"/>
          <w:szCs w:val="20"/>
          <w:lang w:eastAsia="en-AU"/>
        </w:rPr>
        <w:t>Brock M</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A. (1999). Australian Freshwater Ecology: Processes and Management. Gleneagles Publishing. Glen Osmond.</w:t>
      </w:r>
    </w:p>
    <w:p w14:paraId="1CF9D77C" w14:textId="3511035E"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Boulton A</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J</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 xml:space="preserve"> &amp;</w:t>
      </w:r>
      <w:r w:rsidRPr="00747E35">
        <w:rPr>
          <w:rFonts w:asciiTheme="minorHAnsi" w:hAnsiTheme="minorHAnsi" w:cstheme="minorHAnsi"/>
          <w:noProof/>
          <w:color w:val="000000"/>
          <w:sz w:val="20"/>
          <w:szCs w:val="20"/>
          <w:lang w:eastAsia="en-AU"/>
        </w:rPr>
        <w:t xml:space="preserve"> Quinn 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M</w:t>
      </w:r>
      <w:r w:rsidR="00572B99">
        <w:rPr>
          <w:rFonts w:asciiTheme="minorHAnsi" w:hAnsiTheme="minorHAnsi" w:cstheme="minorHAnsi"/>
          <w:noProof/>
          <w:color w:val="000000"/>
          <w:sz w:val="20"/>
          <w:szCs w:val="20"/>
          <w:lang w:eastAsia="en-AU"/>
        </w:rPr>
        <w:t>. (</w:t>
      </w:r>
      <w:r w:rsidRPr="00747E35">
        <w:rPr>
          <w:rFonts w:asciiTheme="minorHAnsi" w:hAnsiTheme="minorHAnsi" w:cstheme="minorHAnsi"/>
          <w:noProof/>
          <w:color w:val="000000"/>
          <w:sz w:val="20"/>
          <w:szCs w:val="20"/>
          <w:lang w:eastAsia="en-AU"/>
        </w:rPr>
        <w:t>2000</w:t>
      </w:r>
      <w:r w:rsidR="00572B99">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A simple and versatile technique for assessing cellulose decomposition potential in floodplain and riverine sediments. </w:t>
      </w:r>
      <w:r w:rsidRPr="00572B99">
        <w:rPr>
          <w:rFonts w:asciiTheme="minorHAnsi" w:hAnsiTheme="minorHAnsi" w:cstheme="minorHAnsi"/>
          <w:i/>
          <w:noProof/>
          <w:color w:val="000000"/>
          <w:sz w:val="20"/>
          <w:szCs w:val="20"/>
          <w:lang w:eastAsia="en-AU"/>
        </w:rPr>
        <w:t>Archiv fur Hydrobiologie</w:t>
      </w:r>
      <w:r w:rsidRPr="00747E35">
        <w:rPr>
          <w:rFonts w:asciiTheme="minorHAnsi" w:hAnsiTheme="minorHAnsi" w:cstheme="minorHAnsi"/>
          <w:noProof/>
          <w:color w:val="000000"/>
          <w:sz w:val="20"/>
          <w:szCs w:val="20"/>
          <w:lang w:eastAsia="en-AU"/>
        </w:rPr>
        <w:t xml:space="preserve"> 150</w:t>
      </w:r>
      <w:r w:rsidR="00572B99">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133-151. </w:t>
      </w:r>
    </w:p>
    <w:p w14:paraId="37CC6326" w14:textId="425EDEB3"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Chessman B</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C</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Thurtell</w:t>
      </w:r>
      <w:r w:rsidR="00572B99">
        <w:rPr>
          <w:rFonts w:asciiTheme="minorHAnsi" w:hAnsiTheme="minorHAnsi" w:cstheme="minorHAnsi"/>
          <w:noProof/>
          <w:color w:val="000000"/>
          <w:sz w:val="20"/>
          <w:szCs w:val="20"/>
          <w:lang w:eastAsia="en-AU"/>
        </w:rPr>
        <w:t xml:space="preserve"> L</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A</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 xml:space="preserve"> &amp; </w:t>
      </w:r>
      <w:r w:rsidRPr="00747E35">
        <w:rPr>
          <w:rFonts w:asciiTheme="minorHAnsi" w:hAnsiTheme="minorHAnsi" w:cstheme="minorHAnsi"/>
          <w:noProof/>
          <w:color w:val="000000"/>
          <w:sz w:val="20"/>
          <w:szCs w:val="20"/>
          <w:lang w:eastAsia="en-AU"/>
        </w:rPr>
        <w:t>Royal</w:t>
      </w:r>
      <w:r w:rsidR="00572B99">
        <w:rPr>
          <w:rFonts w:asciiTheme="minorHAnsi" w:hAnsiTheme="minorHAnsi" w:cstheme="minorHAnsi"/>
          <w:noProof/>
          <w:color w:val="000000"/>
          <w:sz w:val="20"/>
          <w:szCs w:val="20"/>
          <w:lang w:eastAsia="en-AU"/>
        </w:rPr>
        <w:t xml:space="preserve"> M</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J</w:t>
      </w:r>
      <w:r w:rsidRPr="00747E35">
        <w:rPr>
          <w:rFonts w:asciiTheme="minorHAnsi" w:hAnsiTheme="minorHAnsi" w:cstheme="minorHAnsi"/>
          <w:noProof/>
          <w:color w:val="000000"/>
          <w:sz w:val="20"/>
          <w:szCs w:val="20"/>
          <w:lang w:eastAsia="en-AU"/>
        </w:rPr>
        <w:t xml:space="preserve">. </w:t>
      </w:r>
      <w:r w:rsidR="00572B99">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2006</w:t>
      </w:r>
      <w:r w:rsidR="00572B99">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Bioassessment in A Harsh Environment: A Comparison of Macroinvertebrate Assemblages at Reference and Assessment Sites in An Australian Inland River System. </w:t>
      </w:r>
      <w:r w:rsidRPr="00572B99">
        <w:rPr>
          <w:rFonts w:asciiTheme="minorHAnsi" w:hAnsiTheme="minorHAnsi" w:cstheme="minorHAnsi"/>
          <w:i/>
          <w:noProof/>
          <w:color w:val="000000"/>
          <w:sz w:val="20"/>
          <w:szCs w:val="20"/>
          <w:lang w:eastAsia="en-AU"/>
        </w:rPr>
        <w:t>Environmental Modeling &amp; Assessment</w:t>
      </w:r>
      <w:r w:rsidRPr="00747E35">
        <w:rPr>
          <w:rFonts w:asciiTheme="minorHAnsi" w:hAnsiTheme="minorHAnsi" w:cstheme="minorHAnsi"/>
          <w:noProof/>
          <w:color w:val="000000"/>
          <w:sz w:val="20"/>
          <w:szCs w:val="20"/>
          <w:lang w:eastAsia="en-AU"/>
        </w:rPr>
        <w:t xml:space="preserve"> 119:</w:t>
      </w:r>
      <w:r w:rsidR="00572B99">
        <w:rPr>
          <w:rFonts w:asciiTheme="minorHAnsi" w:hAnsiTheme="minorHAnsi" w:cstheme="minorHAnsi"/>
          <w:noProof/>
          <w:color w:val="000000"/>
          <w:sz w:val="20"/>
          <w:szCs w:val="20"/>
          <w:lang w:eastAsia="en-AU"/>
        </w:rPr>
        <w:t xml:space="preserve"> </w:t>
      </w:r>
      <w:r w:rsidRPr="00747E35">
        <w:rPr>
          <w:rFonts w:asciiTheme="minorHAnsi" w:hAnsiTheme="minorHAnsi" w:cstheme="minorHAnsi"/>
          <w:noProof/>
          <w:color w:val="000000"/>
          <w:sz w:val="20"/>
          <w:szCs w:val="20"/>
          <w:lang w:eastAsia="en-AU"/>
        </w:rPr>
        <w:t>303–330.</w:t>
      </w:r>
    </w:p>
    <w:p w14:paraId="37047E00" w14:textId="2CE2A57D"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Chessman B</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C</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Jones</w:t>
      </w:r>
      <w:r w:rsidR="00572B99">
        <w:rPr>
          <w:rFonts w:asciiTheme="minorHAnsi" w:hAnsiTheme="minorHAnsi" w:cstheme="minorHAnsi"/>
          <w:noProof/>
          <w:color w:val="000000"/>
          <w:sz w:val="20"/>
          <w:szCs w:val="20"/>
          <w:lang w:eastAsia="en-AU"/>
        </w:rPr>
        <w:t xml:space="preserve"> H</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A</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S</w:t>
      </w:r>
      <w:r w:rsidR="00572B99">
        <w:rPr>
          <w:rFonts w:asciiTheme="minorHAnsi" w:hAnsiTheme="minorHAnsi" w:cstheme="minorHAnsi"/>
          <w:noProof/>
          <w:color w:val="000000"/>
          <w:sz w:val="20"/>
          <w:szCs w:val="20"/>
          <w:lang w:eastAsia="en-AU"/>
        </w:rPr>
        <w:t>earle N</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K</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Growns</w:t>
      </w:r>
      <w:r w:rsidR="00572B99">
        <w:rPr>
          <w:rFonts w:asciiTheme="minorHAnsi" w:hAnsiTheme="minorHAnsi" w:cstheme="minorHAnsi"/>
          <w:noProof/>
          <w:color w:val="000000"/>
          <w:sz w:val="20"/>
          <w:szCs w:val="20"/>
          <w:lang w:eastAsia="en-AU"/>
        </w:rPr>
        <w:t xml:space="preserve"> I</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O</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 xml:space="preserve"> &amp; </w:t>
      </w:r>
      <w:r w:rsidRPr="00747E35">
        <w:rPr>
          <w:rFonts w:asciiTheme="minorHAnsi" w:hAnsiTheme="minorHAnsi" w:cstheme="minorHAnsi"/>
          <w:noProof/>
          <w:color w:val="000000"/>
          <w:sz w:val="20"/>
          <w:szCs w:val="20"/>
          <w:lang w:eastAsia="en-AU"/>
        </w:rPr>
        <w:t>Pearson</w:t>
      </w:r>
      <w:r w:rsidR="00572B99">
        <w:rPr>
          <w:rFonts w:asciiTheme="minorHAnsi" w:hAnsiTheme="minorHAnsi" w:cstheme="minorHAnsi"/>
          <w:noProof/>
          <w:color w:val="000000"/>
          <w:sz w:val="20"/>
          <w:szCs w:val="20"/>
          <w:lang w:eastAsia="en-AU"/>
        </w:rPr>
        <w:t xml:space="preserve"> M</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R</w:t>
      </w:r>
      <w:r w:rsidRPr="00747E35">
        <w:rPr>
          <w:rFonts w:asciiTheme="minorHAnsi" w:hAnsiTheme="minorHAnsi" w:cstheme="minorHAnsi"/>
          <w:noProof/>
          <w:color w:val="000000"/>
          <w:sz w:val="20"/>
          <w:szCs w:val="20"/>
          <w:lang w:eastAsia="en-AU"/>
        </w:rPr>
        <w:t xml:space="preserve">. </w:t>
      </w:r>
      <w:r w:rsidR="00572B99">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2010</w:t>
      </w:r>
      <w:r w:rsidR="00572B99">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Assessing effects of flow alteration on macroinvertebrate assemblages in Australian dryland rivers. </w:t>
      </w:r>
      <w:r w:rsidRPr="00572B99">
        <w:rPr>
          <w:rFonts w:asciiTheme="minorHAnsi" w:hAnsiTheme="minorHAnsi" w:cstheme="minorHAnsi"/>
          <w:i/>
          <w:noProof/>
          <w:color w:val="000000"/>
          <w:sz w:val="20"/>
          <w:szCs w:val="20"/>
          <w:lang w:eastAsia="en-AU"/>
        </w:rPr>
        <w:t>Freshwater Biology</w:t>
      </w:r>
      <w:r w:rsidRPr="00747E35">
        <w:rPr>
          <w:rFonts w:asciiTheme="minorHAnsi" w:hAnsiTheme="minorHAnsi" w:cstheme="minorHAnsi"/>
          <w:noProof/>
          <w:color w:val="000000"/>
          <w:sz w:val="20"/>
          <w:szCs w:val="20"/>
          <w:lang w:eastAsia="en-AU"/>
        </w:rPr>
        <w:t xml:space="preserve"> 55:</w:t>
      </w:r>
      <w:r w:rsidR="00572B99">
        <w:rPr>
          <w:rFonts w:asciiTheme="minorHAnsi" w:hAnsiTheme="minorHAnsi" w:cstheme="minorHAnsi"/>
          <w:noProof/>
          <w:color w:val="000000"/>
          <w:sz w:val="20"/>
          <w:szCs w:val="20"/>
          <w:lang w:eastAsia="en-AU"/>
        </w:rPr>
        <w:t xml:space="preserve"> </w:t>
      </w:r>
      <w:r w:rsidRPr="00747E35">
        <w:rPr>
          <w:rFonts w:asciiTheme="minorHAnsi" w:hAnsiTheme="minorHAnsi" w:cstheme="minorHAnsi"/>
          <w:noProof/>
          <w:color w:val="000000"/>
          <w:sz w:val="20"/>
          <w:szCs w:val="20"/>
          <w:lang w:eastAsia="en-AU"/>
        </w:rPr>
        <w:t>1780–1800.</w:t>
      </w:r>
    </w:p>
    <w:p w14:paraId="42628DA2" w14:textId="77777777"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Commonwealth of Australia (2015). Modelling water-related ecological responses to coal seam gas extraction and coal mining, prepared by Auricht Projects and the Commonwealth Scientific and Industrial Research Organisation (CSIRO) for the Department of the Environment, Commonwealth of Australia’.</w:t>
      </w:r>
    </w:p>
    <w:p w14:paraId="59E04C34" w14:textId="0EFDD1B3"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Dansereau P. (1959)</w:t>
      </w:r>
      <w:r w:rsidR="00572B99">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Vascular aquatic plant communities of southern Quebec. A preliminary analysis. </w:t>
      </w:r>
      <w:r w:rsidRPr="00572B99">
        <w:rPr>
          <w:rFonts w:asciiTheme="minorHAnsi" w:hAnsiTheme="minorHAnsi" w:cstheme="minorHAnsi"/>
          <w:i/>
          <w:noProof/>
          <w:color w:val="000000"/>
          <w:sz w:val="20"/>
          <w:szCs w:val="20"/>
          <w:lang w:eastAsia="en-AU"/>
        </w:rPr>
        <w:t xml:space="preserve">Transactions of the Northeast Wildlife </w:t>
      </w:r>
      <w:r w:rsidR="00572B99">
        <w:rPr>
          <w:rFonts w:asciiTheme="minorHAnsi" w:hAnsiTheme="minorHAnsi" w:cstheme="minorHAnsi"/>
          <w:i/>
          <w:noProof/>
          <w:color w:val="000000"/>
          <w:sz w:val="20"/>
          <w:szCs w:val="20"/>
          <w:lang w:eastAsia="en-AU"/>
        </w:rPr>
        <w:t>C</w:t>
      </w:r>
      <w:r w:rsidRPr="00572B99">
        <w:rPr>
          <w:rFonts w:asciiTheme="minorHAnsi" w:hAnsiTheme="minorHAnsi" w:cstheme="minorHAnsi"/>
          <w:i/>
          <w:noProof/>
          <w:color w:val="000000"/>
          <w:sz w:val="20"/>
          <w:szCs w:val="20"/>
          <w:lang w:eastAsia="en-AU"/>
        </w:rPr>
        <w:t>onference</w:t>
      </w:r>
      <w:r w:rsidRPr="00747E35">
        <w:rPr>
          <w:rFonts w:asciiTheme="minorHAnsi" w:hAnsiTheme="minorHAnsi" w:cstheme="minorHAnsi"/>
          <w:noProof/>
          <w:color w:val="000000"/>
          <w:sz w:val="20"/>
          <w:szCs w:val="20"/>
          <w:lang w:eastAsia="en-AU"/>
        </w:rPr>
        <w:t xml:space="preserve"> 10</w:t>
      </w:r>
      <w:r w:rsidR="00572B99">
        <w:rPr>
          <w:rFonts w:asciiTheme="minorHAnsi" w:hAnsiTheme="minorHAnsi" w:cstheme="minorHAnsi"/>
          <w:noProof/>
          <w:color w:val="000000"/>
          <w:sz w:val="20"/>
          <w:szCs w:val="20"/>
          <w:lang w:eastAsia="en-AU"/>
        </w:rPr>
        <w:t xml:space="preserve">: </w:t>
      </w:r>
      <w:r w:rsidRPr="00747E35">
        <w:rPr>
          <w:rFonts w:asciiTheme="minorHAnsi" w:hAnsiTheme="minorHAnsi" w:cstheme="minorHAnsi"/>
          <w:noProof/>
          <w:color w:val="000000"/>
          <w:sz w:val="20"/>
          <w:szCs w:val="20"/>
          <w:lang w:eastAsia="en-AU"/>
        </w:rPr>
        <w:t xml:space="preserve">27-54. </w:t>
      </w:r>
    </w:p>
    <w:p w14:paraId="0CD84441" w14:textId="0A679379"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Dawson T</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E</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 xml:space="preserve"> &amp;</w:t>
      </w:r>
      <w:r w:rsidRPr="00747E35">
        <w:rPr>
          <w:rFonts w:asciiTheme="minorHAnsi" w:hAnsiTheme="minorHAnsi" w:cstheme="minorHAnsi"/>
          <w:noProof/>
          <w:color w:val="000000"/>
          <w:sz w:val="20"/>
          <w:szCs w:val="20"/>
          <w:lang w:eastAsia="en-AU"/>
        </w:rPr>
        <w:t xml:space="preserve"> Ehleringer 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R. (1991)</w:t>
      </w:r>
      <w:r w:rsidR="00572B99">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Streamside trees that do not use stream water. </w:t>
      </w:r>
      <w:r w:rsidRPr="00572B99">
        <w:rPr>
          <w:rFonts w:asciiTheme="minorHAnsi" w:hAnsiTheme="minorHAnsi" w:cstheme="minorHAnsi"/>
          <w:i/>
          <w:noProof/>
          <w:color w:val="000000"/>
          <w:sz w:val="20"/>
          <w:szCs w:val="20"/>
          <w:lang w:eastAsia="en-AU"/>
        </w:rPr>
        <w:t>Nature</w:t>
      </w:r>
      <w:r w:rsidRPr="00747E35">
        <w:rPr>
          <w:rFonts w:asciiTheme="minorHAnsi" w:hAnsiTheme="minorHAnsi" w:cstheme="minorHAnsi"/>
          <w:noProof/>
          <w:color w:val="000000"/>
          <w:sz w:val="20"/>
          <w:szCs w:val="20"/>
          <w:lang w:eastAsia="en-AU"/>
        </w:rPr>
        <w:t xml:space="preserve"> 350</w:t>
      </w:r>
      <w:r w:rsidR="00572B99">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335–337.</w:t>
      </w:r>
    </w:p>
    <w:p w14:paraId="5FBF3187" w14:textId="7BD0F746"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Díaz S</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Lavorel S</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De Bello F</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Quetier F</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Grigulis K</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 xml:space="preserve"> &amp;</w:t>
      </w:r>
      <w:r w:rsidRPr="00747E35">
        <w:rPr>
          <w:rFonts w:asciiTheme="minorHAnsi" w:hAnsiTheme="minorHAnsi" w:cstheme="minorHAnsi"/>
          <w:noProof/>
          <w:color w:val="000000"/>
          <w:sz w:val="20"/>
          <w:szCs w:val="20"/>
          <w:lang w:eastAsia="en-AU"/>
        </w:rPr>
        <w:t xml:space="preserve"> Robson T</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M. (2007)</w:t>
      </w:r>
      <w:r w:rsidR="00572B99">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Incorporating plant functional diversity effects in ecosystem service assessments. </w:t>
      </w:r>
      <w:r w:rsidRPr="00572B99">
        <w:rPr>
          <w:rFonts w:asciiTheme="minorHAnsi" w:hAnsiTheme="minorHAnsi" w:cstheme="minorHAnsi"/>
          <w:i/>
          <w:noProof/>
          <w:color w:val="000000"/>
          <w:sz w:val="20"/>
          <w:szCs w:val="20"/>
          <w:lang w:eastAsia="en-AU"/>
        </w:rPr>
        <w:t>Proceedings of the National Academy of Sciences</w:t>
      </w:r>
      <w:r w:rsidRPr="00747E35">
        <w:rPr>
          <w:rFonts w:asciiTheme="minorHAnsi" w:hAnsiTheme="minorHAnsi" w:cstheme="minorHAnsi"/>
          <w:noProof/>
          <w:color w:val="000000"/>
          <w:sz w:val="20"/>
          <w:szCs w:val="20"/>
          <w:lang w:eastAsia="en-AU"/>
        </w:rPr>
        <w:t xml:space="preserve"> 104</w:t>
      </w:r>
      <w:r w:rsidR="00572B99">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20684–20689.</w:t>
      </w:r>
    </w:p>
    <w:p w14:paraId="44DBDF8F" w14:textId="1AAB2681"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Elith J. &amp; Leathwick 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R. (2009). Species distribution models: ecological explanation and prediction across space and time. </w:t>
      </w:r>
      <w:r w:rsidRPr="00572B99">
        <w:rPr>
          <w:rFonts w:asciiTheme="minorHAnsi" w:hAnsiTheme="minorHAnsi" w:cstheme="minorHAnsi"/>
          <w:i/>
          <w:noProof/>
          <w:color w:val="000000"/>
          <w:sz w:val="20"/>
          <w:szCs w:val="20"/>
          <w:lang w:eastAsia="en-AU"/>
        </w:rPr>
        <w:t>Annual Review of Ecology, Evolution, and Systematics</w:t>
      </w:r>
      <w:r w:rsidRPr="00747E35">
        <w:rPr>
          <w:rFonts w:asciiTheme="minorHAnsi" w:hAnsiTheme="minorHAnsi" w:cstheme="minorHAnsi"/>
          <w:noProof/>
          <w:color w:val="000000"/>
          <w:sz w:val="20"/>
          <w:szCs w:val="20"/>
          <w:lang w:eastAsia="en-AU"/>
        </w:rPr>
        <w:t xml:space="preserve"> 40: 677–697.</w:t>
      </w:r>
    </w:p>
    <w:p w14:paraId="421C50C8" w14:textId="51BB6BEB"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Evans M</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R</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Grimm</w:t>
      </w:r>
      <w:r w:rsidR="00572B99">
        <w:rPr>
          <w:rFonts w:asciiTheme="minorHAnsi" w:hAnsiTheme="minorHAnsi" w:cstheme="minorHAnsi"/>
          <w:noProof/>
          <w:color w:val="000000"/>
          <w:sz w:val="20"/>
          <w:szCs w:val="20"/>
          <w:lang w:eastAsia="en-AU"/>
        </w:rPr>
        <w:t xml:space="preserve"> V</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Johst</w:t>
      </w:r>
      <w:r w:rsidR="00572B99">
        <w:rPr>
          <w:rFonts w:asciiTheme="minorHAnsi" w:hAnsiTheme="minorHAnsi" w:cstheme="minorHAnsi"/>
          <w:noProof/>
          <w:color w:val="000000"/>
          <w:sz w:val="20"/>
          <w:szCs w:val="20"/>
          <w:lang w:eastAsia="en-AU"/>
        </w:rPr>
        <w:t xml:space="preserve"> K</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Knuuttila</w:t>
      </w:r>
      <w:r w:rsidR="00572B99">
        <w:rPr>
          <w:rFonts w:asciiTheme="minorHAnsi" w:hAnsiTheme="minorHAnsi" w:cstheme="minorHAnsi"/>
          <w:noProof/>
          <w:color w:val="000000"/>
          <w:sz w:val="20"/>
          <w:szCs w:val="20"/>
          <w:lang w:eastAsia="en-AU"/>
        </w:rPr>
        <w:t xml:space="preserve"> T</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de Langhe</w:t>
      </w:r>
      <w:r w:rsidR="00572B99">
        <w:rPr>
          <w:rFonts w:asciiTheme="minorHAnsi" w:hAnsiTheme="minorHAnsi" w:cstheme="minorHAnsi"/>
          <w:noProof/>
          <w:color w:val="000000"/>
          <w:sz w:val="20"/>
          <w:szCs w:val="20"/>
          <w:lang w:eastAsia="en-AU"/>
        </w:rPr>
        <w:t xml:space="preserve"> R</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Lessells</w:t>
      </w:r>
      <w:r w:rsidR="00572B99">
        <w:rPr>
          <w:rFonts w:asciiTheme="minorHAnsi" w:hAnsiTheme="minorHAnsi" w:cstheme="minorHAnsi"/>
          <w:noProof/>
          <w:color w:val="000000"/>
          <w:sz w:val="20"/>
          <w:szCs w:val="20"/>
          <w:lang w:eastAsia="en-AU"/>
        </w:rPr>
        <w:t xml:space="preserve"> C</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M</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Merz</w:t>
      </w:r>
      <w:r w:rsidR="00572B99">
        <w:rPr>
          <w:rFonts w:asciiTheme="minorHAnsi" w:hAnsiTheme="minorHAnsi" w:cstheme="minorHAnsi"/>
          <w:noProof/>
          <w:color w:val="000000"/>
          <w:sz w:val="20"/>
          <w:szCs w:val="20"/>
          <w:lang w:eastAsia="en-AU"/>
        </w:rPr>
        <w:t xml:space="preserve"> M</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O’Malley</w:t>
      </w:r>
      <w:r w:rsidR="00572B99">
        <w:rPr>
          <w:rFonts w:asciiTheme="minorHAnsi" w:hAnsiTheme="minorHAnsi" w:cstheme="minorHAnsi"/>
          <w:noProof/>
          <w:color w:val="000000"/>
          <w:sz w:val="20"/>
          <w:szCs w:val="20"/>
          <w:lang w:eastAsia="en-AU"/>
        </w:rPr>
        <w:t xml:space="preserve"> M</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A</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Orzack</w:t>
      </w:r>
      <w:r w:rsidR="00572B99">
        <w:rPr>
          <w:rFonts w:asciiTheme="minorHAnsi" w:hAnsiTheme="minorHAnsi" w:cstheme="minorHAnsi"/>
          <w:noProof/>
          <w:color w:val="000000"/>
          <w:sz w:val="20"/>
          <w:szCs w:val="20"/>
          <w:lang w:eastAsia="en-AU"/>
        </w:rPr>
        <w:t xml:space="preserve"> S</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H</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Weisberg</w:t>
      </w:r>
      <w:r w:rsidR="00572B99">
        <w:rPr>
          <w:rFonts w:asciiTheme="minorHAnsi" w:hAnsiTheme="minorHAnsi" w:cstheme="minorHAnsi"/>
          <w:noProof/>
          <w:color w:val="000000"/>
          <w:sz w:val="20"/>
          <w:szCs w:val="20"/>
          <w:lang w:eastAsia="en-AU"/>
        </w:rPr>
        <w:t xml:space="preserve"> M</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Wilkinson</w:t>
      </w:r>
      <w:r w:rsidR="00572B99">
        <w:rPr>
          <w:rFonts w:asciiTheme="minorHAnsi" w:hAnsiTheme="minorHAnsi" w:cstheme="minorHAnsi"/>
          <w:noProof/>
          <w:color w:val="000000"/>
          <w:sz w:val="20"/>
          <w:szCs w:val="20"/>
          <w:lang w:eastAsia="en-AU"/>
        </w:rPr>
        <w:t xml:space="preserve"> D</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Wolkenhauer</w:t>
      </w:r>
      <w:r w:rsidR="00572B99">
        <w:rPr>
          <w:rFonts w:asciiTheme="minorHAnsi" w:hAnsiTheme="minorHAnsi" w:cstheme="minorHAnsi"/>
          <w:noProof/>
          <w:color w:val="000000"/>
          <w:sz w:val="20"/>
          <w:szCs w:val="20"/>
          <w:lang w:eastAsia="en-AU"/>
        </w:rPr>
        <w:t xml:space="preserve"> O</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 xml:space="preserve"> &amp; </w:t>
      </w:r>
      <w:r w:rsidRPr="00747E35">
        <w:rPr>
          <w:rFonts w:asciiTheme="minorHAnsi" w:hAnsiTheme="minorHAnsi" w:cstheme="minorHAnsi"/>
          <w:noProof/>
          <w:color w:val="000000"/>
          <w:sz w:val="20"/>
          <w:szCs w:val="20"/>
          <w:lang w:eastAsia="en-AU"/>
        </w:rPr>
        <w:t xml:space="preserve">Benton </w:t>
      </w:r>
      <w:r w:rsidR="00572B99">
        <w:rPr>
          <w:rFonts w:asciiTheme="minorHAnsi" w:hAnsiTheme="minorHAnsi" w:cstheme="minorHAnsi"/>
          <w:noProof/>
          <w:color w:val="000000"/>
          <w:sz w:val="20"/>
          <w:szCs w:val="20"/>
          <w:lang w:eastAsia="en-AU"/>
        </w:rPr>
        <w:t>T</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 xml:space="preserve">G. </w:t>
      </w:r>
      <w:r w:rsidRPr="00747E35">
        <w:rPr>
          <w:rFonts w:asciiTheme="minorHAnsi" w:hAnsiTheme="minorHAnsi" w:cstheme="minorHAnsi"/>
          <w:noProof/>
          <w:color w:val="000000"/>
          <w:sz w:val="20"/>
          <w:szCs w:val="20"/>
          <w:lang w:eastAsia="en-AU"/>
        </w:rPr>
        <w:t xml:space="preserve">(2013). Do simple models lead to generality in ecology? </w:t>
      </w:r>
      <w:r w:rsidRPr="00572B99">
        <w:rPr>
          <w:rFonts w:asciiTheme="minorHAnsi" w:hAnsiTheme="minorHAnsi" w:cstheme="minorHAnsi"/>
          <w:i/>
          <w:noProof/>
          <w:color w:val="000000"/>
          <w:sz w:val="20"/>
          <w:szCs w:val="20"/>
          <w:lang w:eastAsia="en-AU"/>
        </w:rPr>
        <w:t>Trends in Ecology &amp; Evolution</w:t>
      </w:r>
      <w:r w:rsidRPr="00747E35">
        <w:rPr>
          <w:rFonts w:asciiTheme="minorHAnsi" w:hAnsiTheme="minorHAnsi" w:cstheme="minorHAnsi"/>
          <w:noProof/>
          <w:color w:val="000000"/>
          <w:sz w:val="20"/>
          <w:szCs w:val="20"/>
          <w:lang w:eastAsia="en-AU"/>
        </w:rPr>
        <w:t xml:space="preserve"> 28: 578 – 583.</w:t>
      </w:r>
    </w:p>
    <w:p w14:paraId="5353EEB5" w14:textId="3F75936E"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Field S</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A</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O’Connor P</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Tyre A</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&amp; Possingham H</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P. (2007). Making monitoring meaningful. </w:t>
      </w:r>
      <w:r w:rsidRPr="00572B99">
        <w:rPr>
          <w:rFonts w:asciiTheme="minorHAnsi" w:hAnsiTheme="minorHAnsi" w:cstheme="minorHAnsi"/>
          <w:i/>
          <w:noProof/>
          <w:color w:val="000000"/>
          <w:sz w:val="20"/>
          <w:szCs w:val="20"/>
          <w:lang w:eastAsia="en-AU"/>
        </w:rPr>
        <w:t>Austral Ecology</w:t>
      </w:r>
      <w:r w:rsidRPr="00747E35">
        <w:rPr>
          <w:rFonts w:asciiTheme="minorHAnsi" w:hAnsiTheme="minorHAnsi" w:cstheme="minorHAnsi"/>
          <w:noProof/>
          <w:color w:val="000000"/>
          <w:sz w:val="20"/>
          <w:szCs w:val="20"/>
          <w:lang w:eastAsia="en-AU"/>
        </w:rPr>
        <w:t xml:space="preserve"> 32: 485-491.</w:t>
      </w:r>
    </w:p>
    <w:p w14:paraId="55F97EBA" w14:textId="1B9C896B"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Gessner M</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O</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 xml:space="preserve"> &amp;</w:t>
      </w:r>
      <w:r w:rsidRPr="00747E35">
        <w:rPr>
          <w:rFonts w:asciiTheme="minorHAnsi" w:hAnsiTheme="minorHAnsi" w:cstheme="minorHAnsi"/>
          <w:noProof/>
          <w:color w:val="000000"/>
          <w:sz w:val="20"/>
          <w:szCs w:val="20"/>
          <w:lang w:eastAsia="en-AU"/>
        </w:rPr>
        <w:t xml:space="preserve"> Chauvet E.</w:t>
      </w:r>
      <w:r w:rsidR="00572B99">
        <w:rPr>
          <w:rFonts w:asciiTheme="minorHAnsi" w:hAnsiTheme="minorHAnsi" w:cstheme="minorHAnsi"/>
          <w:noProof/>
          <w:color w:val="000000"/>
          <w:sz w:val="20"/>
          <w:szCs w:val="20"/>
          <w:lang w:eastAsia="en-AU"/>
        </w:rPr>
        <w:t xml:space="preserve"> (</w:t>
      </w:r>
      <w:r w:rsidRPr="00747E35">
        <w:rPr>
          <w:rFonts w:asciiTheme="minorHAnsi" w:hAnsiTheme="minorHAnsi" w:cstheme="minorHAnsi"/>
          <w:noProof/>
          <w:color w:val="000000"/>
          <w:sz w:val="20"/>
          <w:szCs w:val="20"/>
          <w:lang w:eastAsia="en-AU"/>
        </w:rPr>
        <w:t>2002</w:t>
      </w:r>
      <w:r w:rsidR="00572B99">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A case for using litter breakdown to assess functional stream integrity. </w:t>
      </w:r>
      <w:r w:rsidR="00572B99">
        <w:rPr>
          <w:rFonts w:asciiTheme="minorHAnsi" w:hAnsiTheme="minorHAnsi" w:cstheme="minorHAnsi"/>
          <w:i/>
          <w:noProof/>
          <w:color w:val="000000"/>
          <w:sz w:val="20"/>
          <w:szCs w:val="20"/>
          <w:lang w:eastAsia="en-AU"/>
        </w:rPr>
        <w:t xml:space="preserve">Ecological Applications </w:t>
      </w:r>
      <w:r w:rsidRPr="00747E35">
        <w:rPr>
          <w:rFonts w:asciiTheme="minorHAnsi" w:hAnsiTheme="minorHAnsi" w:cstheme="minorHAnsi"/>
          <w:noProof/>
          <w:color w:val="000000"/>
          <w:sz w:val="20"/>
          <w:szCs w:val="20"/>
          <w:lang w:eastAsia="en-AU"/>
        </w:rPr>
        <w:t>12</w:t>
      </w:r>
      <w:r w:rsidR="00572B99">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498-510. </w:t>
      </w:r>
    </w:p>
    <w:p w14:paraId="5F7F91C4" w14:textId="5F50811F"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Hutchinson G</w:t>
      </w:r>
      <w:r w:rsidR="00520771">
        <w:rPr>
          <w:rFonts w:asciiTheme="minorHAnsi" w:hAnsiTheme="minorHAnsi" w:cstheme="minorHAnsi"/>
          <w:noProof/>
          <w:color w:val="000000"/>
          <w:sz w:val="20"/>
          <w:szCs w:val="20"/>
          <w:lang w:eastAsia="en-AU"/>
        </w:rPr>
        <w:t>.</w:t>
      </w:r>
      <w:r w:rsidR="00572B99">
        <w:rPr>
          <w:rFonts w:asciiTheme="minorHAnsi" w:hAnsiTheme="minorHAnsi" w:cstheme="minorHAnsi"/>
          <w:noProof/>
          <w:color w:val="000000"/>
          <w:sz w:val="20"/>
          <w:szCs w:val="20"/>
          <w:lang w:eastAsia="en-AU"/>
        </w:rPr>
        <w:t xml:space="preserve">E. (1975). </w:t>
      </w:r>
      <w:r w:rsidRPr="00747E35">
        <w:rPr>
          <w:rFonts w:asciiTheme="minorHAnsi" w:hAnsiTheme="minorHAnsi" w:cstheme="minorHAnsi"/>
          <w:noProof/>
          <w:color w:val="000000"/>
          <w:sz w:val="20"/>
          <w:szCs w:val="20"/>
          <w:lang w:eastAsia="en-AU"/>
        </w:rPr>
        <w:t>A treatise on limnology. Volume 3. Limnological Botany, John Wiley, New York, USA.</w:t>
      </w:r>
    </w:p>
    <w:p w14:paraId="3C07F122" w14:textId="1D0B0D77" w:rsidR="003D3694" w:rsidRPr="00572B99"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 xml:space="preserve">Independent Expert Scientific Committee on Coal Seam Gas and Large Coal Mining Development (IESC). (2015). Information Guidelines for the Independent Expert Scientific Committee advice on coal seam gas and large coal mining development proposals. Available at: </w:t>
      </w:r>
      <w:hyperlink r:id="rId231" w:history="1">
        <w:r w:rsidRPr="00572B99">
          <w:rPr>
            <w:rFonts w:asciiTheme="minorHAnsi" w:hAnsiTheme="minorHAnsi" w:cstheme="minorHAnsi"/>
            <w:noProof/>
            <w:color w:val="0000FF"/>
            <w:sz w:val="20"/>
            <w:szCs w:val="20"/>
            <w:u w:val="single"/>
            <w:lang w:eastAsia="en-AU"/>
          </w:rPr>
          <w:t>http://www.iesc.environment.gov.au/publications/information-guidelines-independent-expert-scientific-committee-advice-coal-seam-gas</w:t>
        </w:r>
      </w:hyperlink>
      <w:r w:rsidRPr="00572B99">
        <w:rPr>
          <w:rFonts w:asciiTheme="minorHAnsi" w:hAnsiTheme="minorHAnsi" w:cstheme="minorHAnsi"/>
          <w:noProof/>
          <w:color w:val="000000"/>
          <w:sz w:val="20"/>
          <w:szCs w:val="20"/>
          <w:lang w:eastAsia="en-AU"/>
        </w:rPr>
        <w:t xml:space="preserve"> </w:t>
      </w:r>
    </w:p>
    <w:p w14:paraId="17BA7288" w14:textId="7F863FE8"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Kennard M</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Pusey B</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Arthington A</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H</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Harch B</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D</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&amp; Mackay S</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J. (2006). Development and application of a predictive model of freshwater fish assemblage composition to evaluate river health in eastern Australia. </w:t>
      </w:r>
      <w:r w:rsidRPr="00572B99">
        <w:rPr>
          <w:rFonts w:asciiTheme="minorHAnsi" w:hAnsiTheme="minorHAnsi" w:cstheme="minorHAnsi"/>
          <w:i/>
          <w:noProof/>
          <w:color w:val="000000"/>
          <w:sz w:val="20"/>
          <w:szCs w:val="20"/>
          <w:lang w:eastAsia="en-AU"/>
        </w:rPr>
        <w:t>Hydrobiologia</w:t>
      </w:r>
      <w:r w:rsidRPr="00747E35">
        <w:rPr>
          <w:rFonts w:asciiTheme="minorHAnsi" w:hAnsiTheme="minorHAnsi" w:cstheme="minorHAnsi"/>
          <w:noProof/>
          <w:color w:val="000000"/>
          <w:sz w:val="20"/>
          <w:szCs w:val="20"/>
          <w:lang w:eastAsia="en-AU"/>
        </w:rPr>
        <w:t xml:space="preserve"> 572: 33–57</w:t>
      </w:r>
    </w:p>
    <w:p w14:paraId="66C88254" w14:textId="02E1E2BB"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Kennard M</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Olden 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D</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Arthington A</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H</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Pusey B</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&amp; Poff N</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L. (2007). Multiscale effects of flow regime, habitat, and their interaction on fish assemblage structure in eastern Australia. </w:t>
      </w:r>
      <w:r w:rsidRPr="00E84163">
        <w:rPr>
          <w:rFonts w:asciiTheme="minorHAnsi" w:hAnsiTheme="minorHAnsi" w:cstheme="minorHAnsi"/>
          <w:i/>
          <w:noProof/>
          <w:color w:val="000000"/>
          <w:sz w:val="20"/>
          <w:szCs w:val="20"/>
          <w:lang w:eastAsia="en-AU"/>
        </w:rPr>
        <w:t>Canadian Journal of Fisheries and Aquatic Sciences</w:t>
      </w:r>
      <w:r w:rsidRPr="00747E35">
        <w:rPr>
          <w:rFonts w:asciiTheme="minorHAnsi" w:hAnsiTheme="minorHAnsi" w:cstheme="minorHAnsi"/>
          <w:noProof/>
          <w:color w:val="000000"/>
          <w:sz w:val="20"/>
          <w:szCs w:val="20"/>
          <w:lang w:eastAsia="en-AU"/>
        </w:rPr>
        <w:t xml:space="preserve"> 64: 1346–1359</w:t>
      </w:r>
    </w:p>
    <w:p w14:paraId="353CAFD3" w14:textId="483EE3CE"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Lavorel S</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Grigulis K</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Lamarque P</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Colace M.</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Garden D</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Girel 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Pellet G</w:t>
      </w:r>
      <w:r w:rsidR="00520771">
        <w:rPr>
          <w:rFonts w:asciiTheme="minorHAnsi" w:hAnsiTheme="minorHAnsi" w:cstheme="minorHAnsi"/>
          <w:noProof/>
          <w:color w:val="000000"/>
          <w:sz w:val="20"/>
          <w:szCs w:val="20"/>
          <w:lang w:eastAsia="en-AU"/>
        </w:rPr>
        <w:t>.</w:t>
      </w:r>
      <w:r w:rsidR="00E84163">
        <w:rPr>
          <w:rFonts w:asciiTheme="minorHAnsi" w:hAnsiTheme="minorHAnsi" w:cstheme="minorHAnsi"/>
          <w:noProof/>
          <w:color w:val="000000"/>
          <w:sz w:val="20"/>
          <w:szCs w:val="20"/>
          <w:lang w:eastAsia="en-AU"/>
        </w:rPr>
        <w:t xml:space="preserve"> &amp; </w:t>
      </w:r>
      <w:r w:rsidRPr="00747E35">
        <w:rPr>
          <w:rFonts w:asciiTheme="minorHAnsi" w:hAnsiTheme="minorHAnsi" w:cstheme="minorHAnsi"/>
          <w:noProof/>
          <w:color w:val="000000"/>
          <w:sz w:val="20"/>
          <w:szCs w:val="20"/>
          <w:lang w:eastAsia="en-AU"/>
        </w:rPr>
        <w:t>Douzet R. (2011)</w:t>
      </w:r>
      <w:r w:rsidR="00E84163">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Using plant traits to understand the landscape distribution of multiple ecosystem services. </w:t>
      </w:r>
      <w:r w:rsidRPr="00E84163">
        <w:rPr>
          <w:rFonts w:asciiTheme="minorHAnsi" w:hAnsiTheme="minorHAnsi" w:cstheme="minorHAnsi"/>
          <w:i/>
          <w:noProof/>
          <w:color w:val="000000"/>
          <w:sz w:val="20"/>
          <w:szCs w:val="20"/>
          <w:lang w:eastAsia="en-AU"/>
        </w:rPr>
        <w:t>Journal of Ecology</w:t>
      </w:r>
      <w:r w:rsidRPr="00747E35">
        <w:rPr>
          <w:rFonts w:asciiTheme="minorHAnsi" w:hAnsiTheme="minorHAnsi" w:cstheme="minorHAnsi"/>
          <w:noProof/>
          <w:color w:val="000000"/>
          <w:sz w:val="20"/>
          <w:szCs w:val="20"/>
          <w:lang w:eastAsia="en-AU"/>
        </w:rPr>
        <w:t xml:space="preserve"> 99</w:t>
      </w:r>
      <w:r w:rsidR="00E84163">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135-147.</w:t>
      </w:r>
    </w:p>
    <w:p w14:paraId="74320D49" w14:textId="48047834"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 xml:space="preserve">Mac Nally R. (2002). Improving inference in ecological research: issues of scope, scale, and model validation. </w:t>
      </w:r>
      <w:r w:rsidRPr="00747E35">
        <w:rPr>
          <w:rFonts w:asciiTheme="minorHAnsi" w:hAnsiTheme="minorHAnsi" w:cstheme="minorHAnsi"/>
          <w:i/>
          <w:noProof/>
          <w:color w:val="000000"/>
          <w:sz w:val="20"/>
          <w:szCs w:val="20"/>
          <w:lang w:eastAsia="en-AU"/>
        </w:rPr>
        <w:t>Comments on Theoretical Biology</w:t>
      </w:r>
      <w:r w:rsidRPr="00747E35">
        <w:rPr>
          <w:rFonts w:asciiTheme="minorHAnsi" w:hAnsiTheme="minorHAnsi" w:cstheme="minorHAnsi"/>
          <w:noProof/>
          <w:color w:val="000000"/>
          <w:sz w:val="20"/>
          <w:szCs w:val="20"/>
          <w:lang w:eastAsia="en-AU"/>
        </w:rPr>
        <w:t xml:space="preserve"> 7: 237–256.</w:t>
      </w:r>
    </w:p>
    <w:p w14:paraId="3F34AF58" w14:textId="7CCEEA2E"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McCarthy M</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A</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&amp; Possingham</w:t>
      </w:r>
      <w:r w:rsidR="00E84163">
        <w:rPr>
          <w:rFonts w:asciiTheme="minorHAnsi" w:hAnsiTheme="minorHAnsi" w:cstheme="minorHAnsi"/>
          <w:noProof/>
          <w:color w:val="000000"/>
          <w:sz w:val="20"/>
          <w:szCs w:val="20"/>
          <w:lang w:eastAsia="en-AU"/>
        </w:rPr>
        <w:t xml:space="preserve"> </w:t>
      </w:r>
      <w:r w:rsidRPr="00747E35">
        <w:rPr>
          <w:rFonts w:asciiTheme="minorHAnsi" w:hAnsiTheme="minorHAnsi" w:cstheme="minorHAnsi"/>
          <w:noProof/>
          <w:color w:val="000000"/>
          <w:sz w:val="20"/>
          <w:szCs w:val="20"/>
          <w:lang w:eastAsia="en-AU"/>
        </w:rPr>
        <w:t>H</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P. (2007). Active adaptive management for conservation. </w:t>
      </w:r>
      <w:r w:rsidRPr="00E84163">
        <w:rPr>
          <w:rFonts w:asciiTheme="minorHAnsi" w:hAnsiTheme="minorHAnsi" w:cstheme="minorHAnsi"/>
          <w:i/>
          <w:noProof/>
          <w:color w:val="000000"/>
          <w:sz w:val="20"/>
          <w:szCs w:val="20"/>
          <w:lang w:eastAsia="en-AU"/>
        </w:rPr>
        <w:t>Conservation Biology</w:t>
      </w:r>
      <w:r w:rsidRPr="00747E35">
        <w:rPr>
          <w:rFonts w:asciiTheme="minorHAnsi" w:hAnsiTheme="minorHAnsi" w:cstheme="minorHAnsi"/>
          <w:noProof/>
          <w:color w:val="000000"/>
          <w:sz w:val="20"/>
          <w:szCs w:val="20"/>
          <w:lang w:eastAsia="en-AU"/>
        </w:rPr>
        <w:t xml:space="preserve"> 21: 956-963.</w:t>
      </w:r>
    </w:p>
    <w:p w14:paraId="63378654" w14:textId="593244A7"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Nichols 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D</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&amp; Williams B</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K. (1996). Monitoring for conservation. </w:t>
      </w:r>
      <w:r w:rsidRPr="00E84163">
        <w:rPr>
          <w:rFonts w:asciiTheme="minorHAnsi" w:hAnsiTheme="minorHAnsi" w:cstheme="minorHAnsi"/>
          <w:i/>
          <w:noProof/>
          <w:color w:val="000000"/>
          <w:sz w:val="20"/>
          <w:szCs w:val="20"/>
          <w:lang w:eastAsia="en-AU"/>
        </w:rPr>
        <w:t>Trends in Ecology and Evolution</w:t>
      </w:r>
      <w:r w:rsidRPr="00747E35">
        <w:rPr>
          <w:rFonts w:asciiTheme="minorHAnsi" w:hAnsiTheme="minorHAnsi" w:cstheme="minorHAnsi"/>
          <w:noProof/>
          <w:color w:val="000000"/>
          <w:sz w:val="20"/>
          <w:szCs w:val="20"/>
          <w:lang w:eastAsia="en-AU"/>
        </w:rPr>
        <w:t xml:space="preserve"> 21: 668-673.</w:t>
      </w:r>
    </w:p>
    <w:p w14:paraId="642929AB" w14:textId="66A88A20"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Norris R</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H</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Webb</w:t>
      </w:r>
      <w:r w:rsidR="00E84163">
        <w:rPr>
          <w:rFonts w:asciiTheme="minorHAnsi" w:hAnsiTheme="minorHAnsi" w:cstheme="minorHAnsi"/>
          <w:noProof/>
          <w:color w:val="000000"/>
          <w:sz w:val="20"/>
          <w:szCs w:val="20"/>
          <w:lang w:eastAsia="en-AU"/>
        </w:rPr>
        <w:t xml:space="preserve"> J</w:t>
      </w:r>
      <w:r w:rsidR="00520771">
        <w:rPr>
          <w:rFonts w:asciiTheme="minorHAnsi" w:hAnsiTheme="minorHAnsi" w:cstheme="minorHAnsi"/>
          <w:noProof/>
          <w:color w:val="000000"/>
          <w:sz w:val="20"/>
          <w:szCs w:val="20"/>
          <w:lang w:eastAsia="en-AU"/>
        </w:rPr>
        <w:t>.</w:t>
      </w:r>
      <w:r w:rsidR="00E84163">
        <w:rPr>
          <w:rFonts w:asciiTheme="minorHAnsi" w:hAnsiTheme="minorHAnsi" w:cstheme="minorHAnsi"/>
          <w:noProof/>
          <w:color w:val="000000"/>
          <w:sz w:val="20"/>
          <w:szCs w:val="20"/>
          <w:lang w:eastAsia="en-AU"/>
        </w:rPr>
        <w:t>A</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Nichols</w:t>
      </w:r>
      <w:r w:rsidR="00E84163">
        <w:rPr>
          <w:rFonts w:asciiTheme="minorHAnsi" w:hAnsiTheme="minorHAnsi" w:cstheme="minorHAnsi"/>
          <w:noProof/>
          <w:color w:val="000000"/>
          <w:sz w:val="20"/>
          <w:szCs w:val="20"/>
          <w:lang w:eastAsia="en-AU"/>
        </w:rPr>
        <w:t xml:space="preserve"> S</w:t>
      </w:r>
      <w:r w:rsidR="00520771">
        <w:rPr>
          <w:rFonts w:asciiTheme="minorHAnsi" w:hAnsiTheme="minorHAnsi" w:cstheme="minorHAnsi"/>
          <w:noProof/>
          <w:color w:val="000000"/>
          <w:sz w:val="20"/>
          <w:szCs w:val="20"/>
          <w:lang w:eastAsia="en-AU"/>
        </w:rPr>
        <w:t>.</w:t>
      </w:r>
      <w:r w:rsidR="00E84163">
        <w:rPr>
          <w:rFonts w:asciiTheme="minorHAnsi" w:hAnsiTheme="minorHAnsi" w:cstheme="minorHAnsi"/>
          <w:noProof/>
          <w:color w:val="000000"/>
          <w:sz w:val="20"/>
          <w:szCs w:val="20"/>
          <w:lang w:eastAsia="en-AU"/>
        </w:rPr>
        <w:t>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Stewardson </w:t>
      </w:r>
      <w:r w:rsidR="00E84163">
        <w:rPr>
          <w:rFonts w:asciiTheme="minorHAnsi" w:hAnsiTheme="minorHAnsi" w:cstheme="minorHAnsi"/>
          <w:noProof/>
          <w:color w:val="000000"/>
          <w:sz w:val="20"/>
          <w:szCs w:val="20"/>
          <w:lang w:eastAsia="en-AU"/>
        </w:rPr>
        <w:t>M</w:t>
      </w:r>
      <w:r w:rsidR="00520771">
        <w:rPr>
          <w:rFonts w:asciiTheme="minorHAnsi" w:hAnsiTheme="minorHAnsi" w:cstheme="minorHAnsi"/>
          <w:noProof/>
          <w:color w:val="000000"/>
          <w:sz w:val="20"/>
          <w:szCs w:val="20"/>
          <w:lang w:eastAsia="en-AU"/>
        </w:rPr>
        <w:t>.</w:t>
      </w:r>
      <w:r w:rsidR="00E84163">
        <w:rPr>
          <w:rFonts w:asciiTheme="minorHAnsi" w:hAnsiTheme="minorHAnsi" w:cstheme="minorHAnsi"/>
          <w:noProof/>
          <w:color w:val="000000"/>
          <w:sz w:val="20"/>
          <w:szCs w:val="20"/>
          <w:lang w:eastAsia="en-AU"/>
        </w:rPr>
        <w:t>J</w:t>
      </w:r>
      <w:r w:rsidR="00520771">
        <w:rPr>
          <w:rFonts w:asciiTheme="minorHAnsi" w:hAnsiTheme="minorHAnsi" w:cstheme="minorHAnsi"/>
          <w:noProof/>
          <w:color w:val="000000"/>
          <w:sz w:val="20"/>
          <w:szCs w:val="20"/>
          <w:lang w:eastAsia="en-AU"/>
        </w:rPr>
        <w:t>.</w:t>
      </w:r>
      <w:r w:rsidR="00E84163">
        <w:rPr>
          <w:rFonts w:asciiTheme="minorHAnsi" w:hAnsiTheme="minorHAnsi" w:cstheme="minorHAnsi"/>
          <w:noProof/>
          <w:color w:val="000000"/>
          <w:sz w:val="20"/>
          <w:szCs w:val="20"/>
          <w:lang w:eastAsia="en-AU"/>
        </w:rPr>
        <w:t xml:space="preserve"> &amp; </w:t>
      </w:r>
      <w:r w:rsidRPr="00747E35">
        <w:rPr>
          <w:rFonts w:asciiTheme="minorHAnsi" w:hAnsiTheme="minorHAnsi" w:cstheme="minorHAnsi"/>
          <w:noProof/>
          <w:color w:val="000000"/>
          <w:sz w:val="20"/>
          <w:szCs w:val="20"/>
          <w:lang w:eastAsia="en-AU"/>
        </w:rPr>
        <w:t xml:space="preserve">Harrison </w:t>
      </w:r>
      <w:r w:rsidR="00E84163">
        <w:rPr>
          <w:rFonts w:asciiTheme="minorHAnsi" w:hAnsiTheme="minorHAnsi" w:cstheme="minorHAnsi"/>
          <w:noProof/>
          <w:color w:val="000000"/>
          <w:sz w:val="20"/>
          <w:szCs w:val="20"/>
          <w:lang w:eastAsia="en-AU"/>
        </w:rPr>
        <w:t>E</w:t>
      </w:r>
      <w:r w:rsidR="00520771">
        <w:rPr>
          <w:rFonts w:asciiTheme="minorHAnsi" w:hAnsiTheme="minorHAnsi" w:cstheme="minorHAnsi"/>
          <w:noProof/>
          <w:color w:val="000000"/>
          <w:sz w:val="20"/>
          <w:szCs w:val="20"/>
          <w:lang w:eastAsia="en-AU"/>
        </w:rPr>
        <w:t>.</w:t>
      </w:r>
      <w:r w:rsidR="00E84163">
        <w:rPr>
          <w:rFonts w:asciiTheme="minorHAnsi" w:hAnsiTheme="minorHAnsi" w:cstheme="minorHAnsi"/>
          <w:noProof/>
          <w:color w:val="000000"/>
          <w:sz w:val="20"/>
          <w:szCs w:val="20"/>
          <w:lang w:eastAsia="en-AU"/>
        </w:rPr>
        <w:t xml:space="preserve">T. </w:t>
      </w:r>
      <w:r w:rsidRPr="00747E35">
        <w:rPr>
          <w:rFonts w:asciiTheme="minorHAnsi" w:hAnsiTheme="minorHAnsi" w:cstheme="minorHAnsi"/>
          <w:noProof/>
          <w:color w:val="000000"/>
          <w:sz w:val="20"/>
          <w:szCs w:val="20"/>
          <w:lang w:eastAsia="en-AU"/>
        </w:rPr>
        <w:t xml:space="preserve">(2011). Analyzing cause and effect in environmental assessments: using weighted evidence from the literature. </w:t>
      </w:r>
      <w:r w:rsidRPr="00E84163">
        <w:rPr>
          <w:rFonts w:asciiTheme="minorHAnsi" w:hAnsiTheme="minorHAnsi" w:cstheme="minorHAnsi"/>
          <w:i/>
          <w:noProof/>
          <w:color w:val="000000"/>
          <w:sz w:val="20"/>
          <w:szCs w:val="20"/>
          <w:lang w:eastAsia="en-AU"/>
        </w:rPr>
        <w:t>Freshwater Science</w:t>
      </w:r>
      <w:r w:rsidRPr="00747E35">
        <w:rPr>
          <w:rFonts w:asciiTheme="minorHAnsi" w:hAnsiTheme="minorHAnsi" w:cstheme="minorHAnsi"/>
          <w:noProof/>
          <w:color w:val="000000"/>
          <w:sz w:val="20"/>
          <w:szCs w:val="20"/>
          <w:lang w:eastAsia="en-AU"/>
        </w:rPr>
        <w:t xml:space="preserve"> 31: 5-21</w:t>
      </w:r>
      <w:r w:rsidR="00E84163">
        <w:rPr>
          <w:rFonts w:asciiTheme="minorHAnsi" w:hAnsiTheme="minorHAnsi" w:cstheme="minorHAnsi"/>
          <w:noProof/>
          <w:color w:val="000000"/>
          <w:sz w:val="20"/>
          <w:szCs w:val="20"/>
          <w:lang w:eastAsia="en-AU"/>
        </w:rPr>
        <w:t>.</w:t>
      </w:r>
    </w:p>
    <w:p w14:paraId="1A306734" w14:textId="3009ABDB"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Olden 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D</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Kennard M</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&amp; Pusey B</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J</w:t>
      </w:r>
      <w:r w:rsidR="00E84163">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(2012). A framework for hydrologic classification with a review of methodologies and applications in ecohydrology. </w:t>
      </w:r>
      <w:r w:rsidRPr="00E84163">
        <w:rPr>
          <w:rFonts w:asciiTheme="minorHAnsi" w:hAnsiTheme="minorHAnsi" w:cstheme="minorHAnsi"/>
          <w:i/>
          <w:noProof/>
          <w:color w:val="000000"/>
          <w:sz w:val="20"/>
          <w:szCs w:val="20"/>
          <w:lang w:eastAsia="en-AU"/>
        </w:rPr>
        <w:t>Ecohydrology</w:t>
      </w:r>
      <w:r w:rsidRPr="00747E35">
        <w:rPr>
          <w:rFonts w:asciiTheme="minorHAnsi" w:hAnsiTheme="minorHAnsi" w:cstheme="minorHAnsi"/>
          <w:noProof/>
          <w:color w:val="000000"/>
          <w:sz w:val="20"/>
          <w:szCs w:val="20"/>
          <w:lang w:eastAsia="en-AU"/>
        </w:rPr>
        <w:t>. 5: 503–518</w:t>
      </w:r>
    </w:p>
    <w:p w14:paraId="4DF406D0" w14:textId="3089ECA3" w:rsidR="003D3694" w:rsidRPr="00747E35" w:rsidRDefault="00520771" w:rsidP="00520771">
      <w:pPr>
        <w:autoSpaceDE/>
        <w:autoSpaceDN/>
        <w:spacing w:after="0"/>
        <w:ind w:left="284" w:hanging="284"/>
        <w:rPr>
          <w:rFonts w:asciiTheme="minorHAnsi" w:hAnsiTheme="minorHAnsi" w:cstheme="minorHAnsi"/>
          <w:noProof/>
          <w:color w:val="000000"/>
          <w:sz w:val="20"/>
          <w:szCs w:val="20"/>
          <w:lang w:eastAsia="en-AU"/>
        </w:rPr>
      </w:pPr>
      <w:r>
        <w:rPr>
          <w:rFonts w:asciiTheme="minorHAnsi" w:hAnsiTheme="minorHAnsi" w:cstheme="minorHAnsi"/>
          <w:noProof/>
          <w:color w:val="000000"/>
          <w:sz w:val="20"/>
          <w:szCs w:val="20"/>
          <w:lang w:eastAsia="en-AU"/>
        </w:rPr>
        <w:lastRenderedPageBreak/>
        <w:t xml:space="preserve">Orians G. </w:t>
      </w:r>
      <w:r w:rsidR="003D3694" w:rsidRPr="00747E35">
        <w:rPr>
          <w:rFonts w:asciiTheme="minorHAnsi" w:hAnsiTheme="minorHAnsi" w:cstheme="minorHAnsi"/>
          <w:noProof/>
          <w:color w:val="000000"/>
          <w:sz w:val="20"/>
          <w:szCs w:val="20"/>
          <w:lang w:eastAsia="en-AU"/>
        </w:rPr>
        <w:t>&amp; Soulé M. (Eds.). (2001). Conservation biology. Research priorities for the next decade. Island Press.</w:t>
      </w:r>
    </w:p>
    <w:p w14:paraId="08ED5DC9" w14:textId="3647E47C" w:rsidR="00E84163" w:rsidRPr="00747E35" w:rsidRDefault="00E84163"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Peters R</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H. (1991). A Critique of Ecology. Cambridge University Press, Cambridge, UK.</w:t>
      </w:r>
    </w:p>
    <w:p w14:paraId="25B639FF" w14:textId="7F153685"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Poff N</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L. (1997). Landscape filters and species traits: towards mechanistic understanding and prediction in stream ecology. </w:t>
      </w:r>
      <w:r w:rsidRPr="00E84163">
        <w:rPr>
          <w:rFonts w:asciiTheme="minorHAnsi" w:hAnsiTheme="minorHAnsi" w:cstheme="minorHAnsi"/>
          <w:i/>
          <w:noProof/>
          <w:color w:val="000000"/>
          <w:sz w:val="20"/>
          <w:szCs w:val="20"/>
          <w:lang w:eastAsia="en-AU"/>
        </w:rPr>
        <w:t>Journal of the North American Benthological Society</w:t>
      </w:r>
      <w:r w:rsidRPr="00747E35">
        <w:rPr>
          <w:rFonts w:asciiTheme="minorHAnsi" w:hAnsiTheme="minorHAnsi" w:cstheme="minorHAnsi"/>
          <w:noProof/>
          <w:color w:val="000000"/>
          <w:sz w:val="20"/>
          <w:szCs w:val="20"/>
          <w:lang w:eastAsia="en-AU"/>
        </w:rPr>
        <w:t xml:space="preserve"> 16</w:t>
      </w:r>
      <w:r w:rsidR="00E84163">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391–409.</w:t>
      </w:r>
    </w:p>
    <w:p w14:paraId="37920578" w14:textId="6841F0B6" w:rsidR="00E84163" w:rsidRDefault="00E84163" w:rsidP="00520771">
      <w:pPr>
        <w:autoSpaceDE/>
        <w:autoSpaceDN/>
        <w:spacing w:after="0"/>
        <w:ind w:left="284" w:hanging="284"/>
        <w:rPr>
          <w:rFonts w:asciiTheme="minorHAnsi" w:hAnsiTheme="minorHAnsi" w:cstheme="minorHAnsi"/>
          <w:noProof/>
          <w:color w:val="000000"/>
          <w:sz w:val="20"/>
          <w:szCs w:val="20"/>
          <w:lang w:eastAsia="en-AU"/>
        </w:rPr>
      </w:pPr>
      <w:r w:rsidRPr="00E84163">
        <w:rPr>
          <w:rFonts w:asciiTheme="minorHAnsi" w:hAnsiTheme="minorHAnsi" w:cstheme="minorHAnsi"/>
          <w:noProof/>
          <w:color w:val="000000"/>
          <w:sz w:val="20"/>
          <w:szCs w:val="20"/>
          <w:lang w:eastAsia="en-AU"/>
        </w:rPr>
        <w:t>Poff N</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L</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 Richter B</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 Arthington A</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H</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 Bunn S</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E</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 Naiman R</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J</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 Kendy E</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 Acreman M</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 Apse C</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 Bledsoe B</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P</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 Freeman M</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 Henriksen J</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 Jacobson R</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B</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 Kennen J</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 Merritt D</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M</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 O'Keefe J</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 Olden J</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 Rogers K</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 Tharme R</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E</w:t>
      </w:r>
      <w:r w:rsidR="00520771">
        <w:rPr>
          <w:rFonts w:asciiTheme="minorHAnsi" w:hAnsiTheme="minorHAnsi" w:cstheme="minorHAnsi"/>
          <w:noProof/>
          <w:color w:val="000000"/>
          <w:sz w:val="20"/>
          <w:szCs w:val="20"/>
          <w:lang w:eastAsia="en-AU"/>
        </w:rPr>
        <w:t>.</w:t>
      </w:r>
      <w:r w:rsidRPr="00E84163">
        <w:rPr>
          <w:rFonts w:asciiTheme="minorHAnsi" w:hAnsiTheme="minorHAnsi" w:cstheme="minorHAnsi"/>
          <w:noProof/>
          <w:color w:val="000000"/>
          <w:sz w:val="20"/>
          <w:szCs w:val="20"/>
          <w:lang w:eastAsia="en-AU"/>
        </w:rPr>
        <w:t xml:space="preserve"> &amp; Warner A. (2010). The Ecological Limits of Hydrologic Alteration (ELOHA): a new framework for developing regional environmental flow standards. </w:t>
      </w:r>
      <w:r w:rsidRPr="00E84163">
        <w:rPr>
          <w:rFonts w:asciiTheme="minorHAnsi" w:hAnsiTheme="minorHAnsi" w:cstheme="minorHAnsi"/>
          <w:i/>
          <w:noProof/>
          <w:color w:val="000000"/>
          <w:sz w:val="20"/>
          <w:szCs w:val="20"/>
          <w:lang w:eastAsia="en-AU"/>
        </w:rPr>
        <w:t>Freshwater Biology</w:t>
      </w:r>
      <w:r w:rsidRPr="00E84163">
        <w:rPr>
          <w:rFonts w:asciiTheme="minorHAnsi" w:hAnsiTheme="minorHAnsi" w:cstheme="minorHAnsi"/>
          <w:noProof/>
          <w:color w:val="000000"/>
          <w:sz w:val="20"/>
          <w:szCs w:val="20"/>
          <w:lang w:eastAsia="en-AU"/>
        </w:rPr>
        <w:t xml:space="preserve"> 55: 147-170. </w:t>
      </w:r>
    </w:p>
    <w:p w14:paraId="486CBF42" w14:textId="32A9CBD2"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Possingham H</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P</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Andleman S</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Noon B</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R</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Trombulak S</w:t>
      </w:r>
      <w:r w:rsidR="00520771">
        <w:rPr>
          <w:rFonts w:asciiTheme="minorHAnsi" w:hAnsiTheme="minorHAnsi" w:cstheme="minorHAnsi"/>
          <w:noProof/>
          <w:color w:val="000000"/>
          <w:sz w:val="20"/>
          <w:szCs w:val="20"/>
          <w:lang w:eastAsia="en-AU"/>
        </w:rPr>
        <w:t>.</w:t>
      </w:r>
      <w:r w:rsidR="00E84163">
        <w:rPr>
          <w:rFonts w:asciiTheme="minorHAnsi" w:hAnsiTheme="minorHAnsi" w:cstheme="minorHAnsi"/>
          <w:noProof/>
          <w:color w:val="000000"/>
          <w:sz w:val="20"/>
          <w:szCs w:val="20"/>
          <w:lang w:eastAsia="en-AU"/>
        </w:rPr>
        <w:t xml:space="preserve"> &amp; Pulliam </w:t>
      </w:r>
      <w:r w:rsidRPr="00747E35">
        <w:rPr>
          <w:rFonts w:asciiTheme="minorHAnsi" w:hAnsiTheme="minorHAnsi" w:cstheme="minorHAnsi"/>
          <w:noProof/>
          <w:color w:val="000000"/>
          <w:sz w:val="20"/>
          <w:szCs w:val="20"/>
          <w:lang w:eastAsia="en-AU"/>
        </w:rPr>
        <w:t>H</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R. (2001). Making smart conservation decisions. In Conservation Biology: Research Priorities for the Next Decade (Soule, M.E. and Orians, G.H., eds), Island Press.</w:t>
      </w:r>
    </w:p>
    <w:p w14:paraId="0EF22F21" w14:textId="5A665B8F"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Roberts B</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Mulholland P</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J</w:t>
      </w:r>
      <w:r w:rsidR="00520771">
        <w:rPr>
          <w:rFonts w:asciiTheme="minorHAnsi" w:hAnsiTheme="minorHAnsi" w:cstheme="minorHAnsi"/>
          <w:noProof/>
          <w:color w:val="000000"/>
          <w:sz w:val="20"/>
          <w:szCs w:val="20"/>
          <w:lang w:eastAsia="en-AU"/>
        </w:rPr>
        <w:t>.</w:t>
      </w:r>
      <w:r w:rsidR="00E84163">
        <w:rPr>
          <w:rFonts w:asciiTheme="minorHAnsi" w:hAnsiTheme="minorHAnsi" w:cstheme="minorHAnsi"/>
          <w:noProof/>
          <w:color w:val="000000"/>
          <w:sz w:val="20"/>
          <w:szCs w:val="20"/>
          <w:lang w:eastAsia="en-AU"/>
        </w:rPr>
        <w:t xml:space="preserve"> &amp;</w:t>
      </w:r>
      <w:r w:rsidRPr="00747E35">
        <w:rPr>
          <w:rFonts w:asciiTheme="minorHAnsi" w:hAnsiTheme="minorHAnsi" w:cstheme="minorHAnsi"/>
          <w:noProof/>
          <w:color w:val="000000"/>
          <w:sz w:val="20"/>
          <w:szCs w:val="20"/>
          <w:lang w:eastAsia="en-AU"/>
        </w:rPr>
        <w:t xml:space="preserve"> Hill W</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R.</w:t>
      </w:r>
      <w:r w:rsidR="00E84163">
        <w:rPr>
          <w:rFonts w:asciiTheme="minorHAnsi" w:hAnsiTheme="minorHAnsi" w:cstheme="minorHAnsi"/>
          <w:noProof/>
          <w:color w:val="000000"/>
          <w:sz w:val="20"/>
          <w:szCs w:val="20"/>
          <w:lang w:eastAsia="en-AU"/>
        </w:rPr>
        <w:t xml:space="preserve"> (</w:t>
      </w:r>
      <w:r w:rsidRPr="00747E35">
        <w:rPr>
          <w:rFonts w:asciiTheme="minorHAnsi" w:hAnsiTheme="minorHAnsi" w:cstheme="minorHAnsi"/>
          <w:noProof/>
          <w:color w:val="000000"/>
          <w:sz w:val="20"/>
          <w:szCs w:val="20"/>
          <w:lang w:eastAsia="en-AU"/>
        </w:rPr>
        <w:t>2007</w:t>
      </w:r>
      <w:r w:rsidR="00E84163">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Multiple scales of temporal variability in ecosystem metabolism rates: Results from 2 years of continuous monitoring in a forested headwater s</w:t>
      </w:r>
      <w:r w:rsidR="00E84163">
        <w:rPr>
          <w:rFonts w:asciiTheme="minorHAnsi" w:hAnsiTheme="minorHAnsi" w:cstheme="minorHAnsi"/>
          <w:noProof/>
          <w:color w:val="000000"/>
          <w:sz w:val="20"/>
          <w:szCs w:val="20"/>
          <w:lang w:eastAsia="en-AU"/>
        </w:rPr>
        <w:t xml:space="preserve">tream. </w:t>
      </w:r>
      <w:r w:rsidR="00E84163" w:rsidRPr="00E84163">
        <w:rPr>
          <w:rFonts w:asciiTheme="minorHAnsi" w:hAnsiTheme="minorHAnsi" w:cstheme="minorHAnsi"/>
          <w:i/>
          <w:noProof/>
          <w:color w:val="000000"/>
          <w:sz w:val="20"/>
          <w:szCs w:val="20"/>
          <w:lang w:eastAsia="en-AU"/>
        </w:rPr>
        <w:t>Ecosystems</w:t>
      </w:r>
      <w:r w:rsidR="00E84163">
        <w:rPr>
          <w:rFonts w:asciiTheme="minorHAnsi" w:hAnsiTheme="minorHAnsi" w:cstheme="minorHAnsi"/>
          <w:noProof/>
          <w:color w:val="000000"/>
          <w:sz w:val="20"/>
          <w:szCs w:val="20"/>
          <w:lang w:eastAsia="en-AU"/>
        </w:rPr>
        <w:t xml:space="preserve"> 10: 588-606.</w:t>
      </w:r>
    </w:p>
    <w:p w14:paraId="7C06CAE5" w14:textId="23D36A7F"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Salzer D</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&amp; Salafsky N. (2006). Allocating resources between taking action, assessing status, and measuring effectiveness of conservation actions. </w:t>
      </w:r>
      <w:r w:rsidRPr="00E84163">
        <w:rPr>
          <w:rFonts w:asciiTheme="minorHAnsi" w:hAnsiTheme="minorHAnsi" w:cstheme="minorHAnsi"/>
          <w:i/>
          <w:noProof/>
          <w:color w:val="000000"/>
          <w:sz w:val="20"/>
          <w:szCs w:val="20"/>
          <w:lang w:eastAsia="en-AU"/>
        </w:rPr>
        <w:t>Natural Areas Journal</w:t>
      </w:r>
      <w:r w:rsidRPr="00747E35">
        <w:rPr>
          <w:rFonts w:asciiTheme="minorHAnsi" w:hAnsiTheme="minorHAnsi" w:cstheme="minorHAnsi"/>
          <w:noProof/>
          <w:color w:val="000000"/>
          <w:sz w:val="20"/>
          <w:szCs w:val="20"/>
          <w:lang w:eastAsia="en-AU"/>
        </w:rPr>
        <w:t xml:space="preserve"> 26: 310-329.</w:t>
      </w:r>
    </w:p>
    <w:p w14:paraId="2BA29F17" w14:textId="47E07528"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 xml:space="preserve">Sheldon F. </w:t>
      </w:r>
      <w:r w:rsidR="00E84163">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2005</w:t>
      </w:r>
      <w:r w:rsidR="00E84163">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Incorporating Natural Variability into the Assessment of Ecological Health in Australian Dryland Rivers. </w:t>
      </w:r>
      <w:r w:rsidRPr="00E84163">
        <w:rPr>
          <w:rFonts w:asciiTheme="minorHAnsi" w:hAnsiTheme="minorHAnsi" w:cstheme="minorHAnsi"/>
          <w:i/>
          <w:noProof/>
          <w:color w:val="000000"/>
          <w:sz w:val="20"/>
          <w:szCs w:val="20"/>
          <w:lang w:eastAsia="en-AU"/>
        </w:rPr>
        <w:t>Hydrobiologia</w:t>
      </w:r>
      <w:r w:rsidRPr="00747E35">
        <w:rPr>
          <w:rFonts w:asciiTheme="minorHAnsi" w:hAnsiTheme="minorHAnsi" w:cstheme="minorHAnsi"/>
          <w:noProof/>
          <w:color w:val="000000"/>
          <w:sz w:val="20"/>
          <w:szCs w:val="20"/>
          <w:lang w:eastAsia="en-AU"/>
        </w:rPr>
        <w:t xml:space="preserve"> 552:</w:t>
      </w:r>
      <w:r w:rsidR="00E84163">
        <w:rPr>
          <w:rFonts w:asciiTheme="minorHAnsi" w:hAnsiTheme="minorHAnsi" w:cstheme="minorHAnsi"/>
          <w:noProof/>
          <w:color w:val="000000"/>
          <w:sz w:val="20"/>
          <w:szCs w:val="20"/>
          <w:lang w:eastAsia="en-AU"/>
        </w:rPr>
        <w:t xml:space="preserve"> </w:t>
      </w:r>
      <w:r w:rsidRPr="00747E35">
        <w:rPr>
          <w:rFonts w:asciiTheme="minorHAnsi" w:hAnsiTheme="minorHAnsi" w:cstheme="minorHAnsi"/>
          <w:noProof/>
          <w:color w:val="000000"/>
          <w:sz w:val="20"/>
          <w:szCs w:val="20"/>
          <w:lang w:eastAsia="en-AU"/>
        </w:rPr>
        <w:t>45–56.</w:t>
      </w:r>
    </w:p>
    <w:p w14:paraId="18BDFE6A" w14:textId="7AE39CB7"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Sternberg D</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&amp; Kennard M</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J. (2014). Phylogenetic effects on functional traits and life history strategies of Australian freshwater fish. </w:t>
      </w:r>
      <w:r w:rsidRPr="00E84163">
        <w:rPr>
          <w:rFonts w:asciiTheme="minorHAnsi" w:hAnsiTheme="minorHAnsi" w:cstheme="minorHAnsi"/>
          <w:i/>
          <w:noProof/>
          <w:color w:val="000000"/>
          <w:sz w:val="20"/>
          <w:szCs w:val="20"/>
          <w:lang w:eastAsia="en-AU"/>
        </w:rPr>
        <w:t>Ecography</w:t>
      </w:r>
      <w:r w:rsidRPr="00747E35">
        <w:rPr>
          <w:rFonts w:asciiTheme="minorHAnsi" w:hAnsiTheme="minorHAnsi" w:cstheme="minorHAnsi"/>
          <w:noProof/>
          <w:color w:val="000000"/>
          <w:sz w:val="20"/>
          <w:szCs w:val="20"/>
          <w:lang w:eastAsia="en-AU"/>
        </w:rPr>
        <w:t xml:space="preserve"> 37: 54–64.</w:t>
      </w:r>
    </w:p>
    <w:p w14:paraId="4BD5DFCE" w14:textId="27E027A6"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Sternberg D</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Kennard M</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&amp; Balcombe S</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R. (2014). Biogeographic determinants of Australian freshwater fish life-history indices assessed within a spatio-phylogenetic framework. </w:t>
      </w:r>
      <w:r w:rsidRPr="00E84163">
        <w:rPr>
          <w:rFonts w:asciiTheme="minorHAnsi" w:hAnsiTheme="minorHAnsi" w:cstheme="minorHAnsi"/>
          <w:i/>
          <w:noProof/>
          <w:color w:val="000000"/>
          <w:sz w:val="20"/>
          <w:szCs w:val="20"/>
          <w:lang w:eastAsia="en-AU"/>
        </w:rPr>
        <w:t>Global Ecology and Biogeography</w:t>
      </w:r>
      <w:r w:rsidRPr="00747E35">
        <w:rPr>
          <w:rFonts w:asciiTheme="minorHAnsi" w:hAnsiTheme="minorHAnsi" w:cstheme="minorHAnsi"/>
          <w:noProof/>
          <w:color w:val="000000"/>
          <w:sz w:val="20"/>
          <w:szCs w:val="20"/>
          <w:lang w:eastAsia="en-AU"/>
        </w:rPr>
        <w:t xml:space="preserve"> 23: 1387–1397</w:t>
      </w:r>
      <w:r w:rsidR="00E84163">
        <w:rPr>
          <w:rFonts w:asciiTheme="minorHAnsi" w:hAnsiTheme="minorHAnsi" w:cstheme="minorHAnsi"/>
          <w:noProof/>
          <w:color w:val="000000"/>
          <w:sz w:val="20"/>
          <w:szCs w:val="20"/>
          <w:lang w:eastAsia="en-AU"/>
        </w:rPr>
        <w:t>.</w:t>
      </w:r>
    </w:p>
    <w:p w14:paraId="66F7BD9F" w14:textId="261C0D95"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 xml:space="preserve">Susser M. (1986). The logic of Sir Karl Popper and the practice of epidemiology. </w:t>
      </w:r>
      <w:r w:rsidRPr="00E84163">
        <w:rPr>
          <w:rFonts w:asciiTheme="minorHAnsi" w:hAnsiTheme="minorHAnsi" w:cstheme="minorHAnsi"/>
          <w:i/>
          <w:noProof/>
          <w:color w:val="000000"/>
          <w:sz w:val="20"/>
          <w:szCs w:val="20"/>
          <w:lang w:eastAsia="en-AU"/>
        </w:rPr>
        <w:t>American Journal of Epidemiology</w:t>
      </w:r>
      <w:r w:rsidRPr="00747E35">
        <w:rPr>
          <w:rFonts w:asciiTheme="minorHAnsi" w:hAnsiTheme="minorHAnsi" w:cstheme="minorHAnsi"/>
          <w:noProof/>
          <w:color w:val="000000"/>
          <w:sz w:val="20"/>
          <w:szCs w:val="20"/>
          <w:lang w:eastAsia="en-AU"/>
        </w:rPr>
        <w:t xml:space="preserve"> 124: 711–718.</w:t>
      </w:r>
    </w:p>
    <w:p w14:paraId="49326A28" w14:textId="6F5F9E23"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Tiegs S</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D</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Clapcott 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E</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Griffiths N</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A</w:t>
      </w:r>
      <w:r w:rsidR="00520771">
        <w:rPr>
          <w:rFonts w:asciiTheme="minorHAnsi" w:hAnsiTheme="minorHAnsi" w:cstheme="minorHAnsi"/>
          <w:noProof/>
          <w:color w:val="000000"/>
          <w:sz w:val="20"/>
          <w:szCs w:val="20"/>
          <w:lang w:eastAsia="en-AU"/>
        </w:rPr>
        <w:t>.</w:t>
      </w:r>
      <w:r w:rsidR="00E84163">
        <w:rPr>
          <w:rFonts w:asciiTheme="minorHAnsi" w:hAnsiTheme="minorHAnsi" w:cstheme="minorHAnsi"/>
          <w:noProof/>
          <w:color w:val="000000"/>
          <w:sz w:val="20"/>
          <w:szCs w:val="20"/>
          <w:lang w:eastAsia="en-AU"/>
        </w:rPr>
        <w:t xml:space="preserve"> &amp;</w:t>
      </w:r>
      <w:r w:rsidRPr="00747E35">
        <w:rPr>
          <w:rFonts w:asciiTheme="minorHAnsi" w:hAnsiTheme="minorHAnsi" w:cstheme="minorHAnsi"/>
          <w:noProof/>
          <w:color w:val="000000"/>
          <w:sz w:val="20"/>
          <w:szCs w:val="20"/>
          <w:lang w:eastAsia="en-AU"/>
        </w:rPr>
        <w:t xml:space="preserve"> Boulton A</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J</w:t>
      </w:r>
      <w:r w:rsidR="00E84163">
        <w:rPr>
          <w:rFonts w:asciiTheme="minorHAnsi" w:hAnsiTheme="minorHAnsi" w:cstheme="minorHAnsi"/>
          <w:noProof/>
          <w:color w:val="000000"/>
          <w:sz w:val="20"/>
          <w:szCs w:val="20"/>
          <w:lang w:eastAsia="en-AU"/>
        </w:rPr>
        <w:t>. (</w:t>
      </w:r>
      <w:r w:rsidRPr="00747E35">
        <w:rPr>
          <w:rFonts w:asciiTheme="minorHAnsi" w:hAnsiTheme="minorHAnsi" w:cstheme="minorHAnsi"/>
          <w:noProof/>
          <w:color w:val="000000"/>
          <w:sz w:val="20"/>
          <w:szCs w:val="20"/>
          <w:lang w:eastAsia="en-AU"/>
        </w:rPr>
        <w:t>2013</w:t>
      </w:r>
      <w:r w:rsidR="00E84163">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A standardized cotton-strip assay for measuring organic-matter decomposition in streams. </w:t>
      </w:r>
      <w:r w:rsidRPr="00E84163">
        <w:rPr>
          <w:rFonts w:asciiTheme="minorHAnsi" w:hAnsiTheme="minorHAnsi" w:cstheme="minorHAnsi"/>
          <w:i/>
          <w:noProof/>
          <w:color w:val="000000"/>
          <w:sz w:val="20"/>
          <w:szCs w:val="20"/>
          <w:lang w:eastAsia="en-AU"/>
        </w:rPr>
        <w:t>Ecological Indicators</w:t>
      </w:r>
      <w:r w:rsidRPr="00747E35">
        <w:rPr>
          <w:rFonts w:asciiTheme="minorHAnsi" w:hAnsiTheme="minorHAnsi" w:cstheme="minorHAnsi"/>
          <w:noProof/>
          <w:color w:val="000000"/>
          <w:sz w:val="20"/>
          <w:szCs w:val="20"/>
          <w:lang w:eastAsia="en-AU"/>
        </w:rPr>
        <w:t xml:space="preserve"> 32</w:t>
      </w:r>
      <w:r w:rsidR="00E84163">
        <w:rPr>
          <w:rFonts w:asciiTheme="minorHAnsi" w:hAnsiTheme="minorHAnsi" w:cstheme="minorHAnsi"/>
          <w:noProof/>
          <w:color w:val="000000"/>
          <w:sz w:val="20"/>
          <w:szCs w:val="20"/>
          <w:lang w:eastAsia="en-AU"/>
        </w:rPr>
        <w:t>: 131-139.</w:t>
      </w:r>
    </w:p>
    <w:p w14:paraId="2E1F61DD" w14:textId="3AD5E15E"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Wenger S</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&amp; Olden 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D. (2012). Assessing transferability of ecological models: an underappreciated aspect of statistical validation. </w:t>
      </w:r>
      <w:r w:rsidRPr="00E84163">
        <w:rPr>
          <w:rFonts w:asciiTheme="minorHAnsi" w:hAnsiTheme="minorHAnsi" w:cstheme="minorHAnsi"/>
          <w:i/>
          <w:noProof/>
          <w:color w:val="000000"/>
          <w:sz w:val="20"/>
          <w:szCs w:val="20"/>
          <w:lang w:eastAsia="en-AU"/>
        </w:rPr>
        <w:t>Methods in Ecology and Evolution</w:t>
      </w:r>
      <w:r w:rsidRPr="00747E35">
        <w:rPr>
          <w:rFonts w:asciiTheme="minorHAnsi" w:hAnsiTheme="minorHAnsi" w:cstheme="minorHAnsi"/>
          <w:noProof/>
          <w:color w:val="000000"/>
          <w:sz w:val="20"/>
          <w:szCs w:val="20"/>
          <w:lang w:eastAsia="en-AU"/>
        </w:rPr>
        <w:t xml:space="preserve"> 3: 260–267.</w:t>
      </w:r>
    </w:p>
    <w:p w14:paraId="04FA3341" w14:textId="2EDDDE9F"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Williams 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W</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Jackson S</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T</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&amp; Kutzbacht J</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E. (2007)</w:t>
      </w:r>
      <w:r w:rsidR="00E84163">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Projected distributions of novel and disappearing climates by 2100 AD. </w:t>
      </w:r>
      <w:r w:rsidRPr="00E84163">
        <w:rPr>
          <w:rFonts w:asciiTheme="minorHAnsi" w:hAnsiTheme="minorHAnsi" w:cstheme="minorHAnsi"/>
          <w:i/>
          <w:noProof/>
          <w:color w:val="000000"/>
          <w:sz w:val="20"/>
          <w:szCs w:val="20"/>
          <w:lang w:eastAsia="en-AU"/>
        </w:rPr>
        <w:t>Proceedings of the National Academy of Sciences of the United States of America</w:t>
      </w:r>
      <w:r w:rsidRPr="00747E35">
        <w:rPr>
          <w:rFonts w:asciiTheme="minorHAnsi" w:hAnsiTheme="minorHAnsi" w:cstheme="minorHAnsi"/>
          <w:noProof/>
          <w:color w:val="000000"/>
          <w:sz w:val="20"/>
          <w:szCs w:val="20"/>
          <w:lang w:eastAsia="en-AU"/>
        </w:rPr>
        <w:t xml:space="preserve"> 104</w:t>
      </w:r>
      <w:r w:rsidR="00E84163">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5738–5742.</w:t>
      </w:r>
    </w:p>
    <w:p w14:paraId="0D8D0189" w14:textId="62B43865" w:rsidR="003D3694" w:rsidRPr="00747E35" w:rsidRDefault="003D3694" w:rsidP="00520771">
      <w:pPr>
        <w:autoSpaceDE/>
        <w:autoSpaceDN/>
        <w:spacing w:after="0"/>
        <w:ind w:left="284" w:hanging="284"/>
        <w:rPr>
          <w:rFonts w:asciiTheme="minorHAnsi" w:hAnsiTheme="minorHAnsi" w:cstheme="minorHAnsi"/>
          <w:noProof/>
          <w:color w:val="000000"/>
          <w:sz w:val="20"/>
          <w:szCs w:val="20"/>
          <w:lang w:eastAsia="en-AU"/>
        </w:rPr>
      </w:pPr>
      <w:r w:rsidRPr="00747E35">
        <w:rPr>
          <w:rFonts w:asciiTheme="minorHAnsi" w:hAnsiTheme="minorHAnsi" w:cstheme="minorHAnsi"/>
          <w:noProof/>
          <w:color w:val="000000"/>
          <w:sz w:val="20"/>
          <w:szCs w:val="20"/>
          <w:lang w:eastAsia="en-AU"/>
        </w:rPr>
        <w:t>Young R</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G</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Matthaei C</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D</w:t>
      </w:r>
      <w:r w:rsidR="00520771">
        <w:rPr>
          <w:rFonts w:asciiTheme="minorHAnsi" w:hAnsiTheme="minorHAnsi" w:cstheme="minorHAnsi"/>
          <w:noProof/>
          <w:color w:val="000000"/>
          <w:sz w:val="20"/>
          <w:szCs w:val="20"/>
          <w:lang w:eastAsia="en-AU"/>
        </w:rPr>
        <w:t>.</w:t>
      </w:r>
      <w:r w:rsidR="00E84163">
        <w:rPr>
          <w:rFonts w:asciiTheme="minorHAnsi" w:hAnsiTheme="minorHAnsi" w:cstheme="minorHAnsi"/>
          <w:noProof/>
          <w:color w:val="000000"/>
          <w:sz w:val="20"/>
          <w:szCs w:val="20"/>
          <w:lang w:eastAsia="en-AU"/>
        </w:rPr>
        <w:t xml:space="preserve"> &amp;</w:t>
      </w:r>
      <w:r w:rsidRPr="00747E35">
        <w:rPr>
          <w:rFonts w:asciiTheme="minorHAnsi" w:hAnsiTheme="minorHAnsi" w:cstheme="minorHAnsi"/>
          <w:noProof/>
          <w:color w:val="000000"/>
          <w:sz w:val="20"/>
          <w:szCs w:val="20"/>
          <w:lang w:eastAsia="en-AU"/>
        </w:rPr>
        <w:t xml:space="preserve"> Townsend C</w:t>
      </w:r>
      <w:r w:rsidR="00520771">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R</w:t>
      </w:r>
      <w:r w:rsidR="00E84163">
        <w:rPr>
          <w:rFonts w:asciiTheme="minorHAnsi" w:hAnsiTheme="minorHAnsi" w:cstheme="minorHAnsi"/>
          <w:noProof/>
          <w:color w:val="000000"/>
          <w:sz w:val="20"/>
          <w:szCs w:val="20"/>
          <w:lang w:eastAsia="en-AU"/>
        </w:rPr>
        <w:t>. (</w:t>
      </w:r>
      <w:r w:rsidRPr="00747E35">
        <w:rPr>
          <w:rFonts w:asciiTheme="minorHAnsi" w:hAnsiTheme="minorHAnsi" w:cstheme="minorHAnsi"/>
          <w:noProof/>
          <w:color w:val="000000"/>
          <w:sz w:val="20"/>
          <w:szCs w:val="20"/>
          <w:lang w:eastAsia="en-AU"/>
        </w:rPr>
        <w:t>2008</w:t>
      </w:r>
      <w:r w:rsidR="00E84163">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Organic matter breakdown and ecosystem metabolism: Functional indicators for assessing river ecosystem health. </w:t>
      </w:r>
      <w:r w:rsidRPr="00E84163">
        <w:rPr>
          <w:rFonts w:asciiTheme="minorHAnsi" w:hAnsiTheme="minorHAnsi" w:cstheme="minorHAnsi"/>
          <w:i/>
          <w:noProof/>
          <w:color w:val="000000"/>
          <w:sz w:val="20"/>
          <w:szCs w:val="20"/>
          <w:lang w:eastAsia="en-AU"/>
        </w:rPr>
        <w:t>Journal of the North American Benthological Society</w:t>
      </w:r>
      <w:r w:rsidRPr="00747E35">
        <w:rPr>
          <w:rFonts w:asciiTheme="minorHAnsi" w:hAnsiTheme="minorHAnsi" w:cstheme="minorHAnsi"/>
          <w:noProof/>
          <w:color w:val="000000"/>
          <w:sz w:val="20"/>
          <w:szCs w:val="20"/>
          <w:lang w:eastAsia="en-AU"/>
        </w:rPr>
        <w:t xml:space="preserve"> 27</w:t>
      </w:r>
      <w:r w:rsidR="00E84163">
        <w:rPr>
          <w:rFonts w:asciiTheme="minorHAnsi" w:hAnsiTheme="minorHAnsi" w:cstheme="minorHAnsi"/>
          <w:noProof/>
          <w:color w:val="000000"/>
          <w:sz w:val="20"/>
          <w:szCs w:val="20"/>
          <w:lang w:eastAsia="en-AU"/>
        </w:rPr>
        <w:t>:</w:t>
      </w:r>
      <w:r w:rsidRPr="00747E35">
        <w:rPr>
          <w:rFonts w:asciiTheme="minorHAnsi" w:hAnsiTheme="minorHAnsi" w:cstheme="minorHAnsi"/>
          <w:noProof/>
          <w:color w:val="000000"/>
          <w:sz w:val="20"/>
          <w:szCs w:val="20"/>
          <w:lang w:eastAsia="en-AU"/>
        </w:rPr>
        <w:t xml:space="preserve"> 605-625. </w:t>
      </w:r>
    </w:p>
    <w:p w14:paraId="75808BBB" w14:textId="77777777" w:rsidR="003D3694" w:rsidRPr="00747E35" w:rsidRDefault="003D3694" w:rsidP="00520771">
      <w:pPr>
        <w:autoSpaceDE/>
        <w:autoSpaceDN/>
        <w:spacing w:after="0"/>
        <w:ind w:left="284" w:hanging="284"/>
        <w:rPr>
          <w:rFonts w:asciiTheme="minorHAnsi" w:hAnsiTheme="minorHAnsi" w:cstheme="minorHAnsi"/>
        </w:rPr>
      </w:pPr>
    </w:p>
    <w:p w14:paraId="5F7D7028" w14:textId="77777777" w:rsidR="003D3694" w:rsidRPr="00747E35" w:rsidRDefault="003D3694" w:rsidP="003D3694">
      <w:pPr>
        <w:rPr>
          <w:rFonts w:asciiTheme="minorHAnsi" w:hAnsiTheme="minorHAnsi" w:cstheme="minorHAnsi"/>
        </w:rPr>
      </w:pPr>
    </w:p>
    <w:p w14:paraId="6A4485AC" w14:textId="77777777" w:rsidR="003D3694" w:rsidRPr="00747E35" w:rsidRDefault="003D3694" w:rsidP="003D3694">
      <w:pPr>
        <w:rPr>
          <w:rFonts w:asciiTheme="minorHAnsi" w:hAnsiTheme="minorHAnsi" w:cstheme="minorHAnsi"/>
        </w:rPr>
        <w:sectPr w:rsidR="003D3694" w:rsidRPr="00747E35" w:rsidSect="0096743A">
          <w:footerReference w:type="even" r:id="rId232"/>
          <w:pgSz w:w="11906" w:h="16838"/>
          <w:pgMar w:top="1134" w:right="1134" w:bottom="1134" w:left="1134" w:header="708" w:footer="708" w:gutter="0"/>
          <w:cols w:space="708"/>
          <w:docGrid w:linePitch="360"/>
        </w:sectPr>
      </w:pPr>
    </w:p>
    <w:p w14:paraId="764BDE66" w14:textId="394C4966" w:rsidR="003D3694" w:rsidRPr="00747E35" w:rsidRDefault="003D3694" w:rsidP="003D3694">
      <w:pPr>
        <w:pStyle w:val="Heading1"/>
        <w:rPr>
          <w:rFonts w:asciiTheme="minorHAnsi" w:hAnsiTheme="minorHAnsi" w:cstheme="minorHAnsi"/>
        </w:rPr>
      </w:pPr>
      <w:bookmarkStart w:id="467" w:name="_Toc470004926"/>
      <w:r w:rsidRPr="00747E35">
        <w:rPr>
          <w:rFonts w:asciiTheme="minorHAnsi" w:hAnsiTheme="minorHAnsi" w:cstheme="minorHAnsi"/>
        </w:rPr>
        <w:lastRenderedPageBreak/>
        <w:t>Appendices</w:t>
      </w:r>
      <w:bookmarkEnd w:id="467"/>
    </w:p>
    <w:p w14:paraId="579FD628" w14:textId="77777777" w:rsidR="003D3694" w:rsidRPr="00747E35" w:rsidRDefault="003D3694" w:rsidP="003D3694">
      <w:pPr>
        <w:rPr>
          <w:rFonts w:asciiTheme="minorHAnsi" w:hAnsiTheme="minorHAnsi" w:cstheme="minorHAnsi"/>
        </w:rPr>
      </w:pPr>
    </w:p>
    <w:p w14:paraId="29E793F9"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br w:type="page"/>
      </w:r>
    </w:p>
    <w:p w14:paraId="34249053" w14:textId="1B3087EA" w:rsidR="003D3694" w:rsidRPr="00747E35" w:rsidRDefault="003D3694" w:rsidP="003D3694">
      <w:pPr>
        <w:pStyle w:val="Heading2"/>
        <w:rPr>
          <w:rFonts w:asciiTheme="minorHAnsi" w:hAnsiTheme="minorHAnsi" w:cstheme="minorHAnsi"/>
        </w:rPr>
      </w:pPr>
      <w:bookmarkStart w:id="468" w:name="_Toc470004927"/>
      <w:r w:rsidRPr="00747E35">
        <w:rPr>
          <w:rFonts w:asciiTheme="minorHAnsi" w:hAnsiTheme="minorHAnsi" w:cstheme="minorHAnsi"/>
        </w:rPr>
        <w:lastRenderedPageBreak/>
        <w:t>Appendix 1: Component 1: Groundwater dependent vegetation supplementary material</w:t>
      </w:r>
      <w:bookmarkEnd w:id="468"/>
    </w:p>
    <w:p w14:paraId="79C183F6" w14:textId="77777777" w:rsidR="003D3694" w:rsidRPr="00747E35" w:rsidRDefault="003D3694" w:rsidP="003D3694">
      <w:pPr>
        <w:rPr>
          <w:rFonts w:asciiTheme="minorHAnsi" w:hAnsiTheme="minorHAnsi" w:cstheme="minorHAnsi"/>
        </w:rPr>
      </w:pPr>
    </w:p>
    <w:p w14:paraId="0FF05CF8" w14:textId="3424DD6D" w:rsidR="003D3694" w:rsidRPr="00747E35" w:rsidRDefault="003D3694" w:rsidP="003D3694">
      <w:pPr>
        <w:pStyle w:val="Heading3"/>
        <w:rPr>
          <w:rFonts w:asciiTheme="minorHAnsi" w:hAnsiTheme="minorHAnsi" w:cstheme="minorHAnsi"/>
        </w:rPr>
      </w:pPr>
      <w:bookmarkStart w:id="469" w:name="_Toc470004928"/>
      <w:r w:rsidRPr="00747E35">
        <w:rPr>
          <w:rFonts w:asciiTheme="minorHAnsi" w:hAnsiTheme="minorHAnsi" w:cstheme="minorHAnsi"/>
        </w:rPr>
        <w:t>Remote sensing report commissioned as part of this project</w:t>
      </w:r>
      <w:bookmarkEnd w:id="469"/>
    </w:p>
    <w:p w14:paraId="132B5F74" w14:textId="77777777" w:rsidR="003D3694" w:rsidRPr="00747E35" w:rsidRDefault="003D3694" w:rsidP="003D3694">
      <w:pPr>
        <w:rPr>
          <w:rFonts w:asciiTheme="minorHAnsi" w:hAnsiTheme="minorHAnsi" w:cstheme="minorHAnsi"/>
        </w:rPr>
      </w:pPr>
    </w:p>
    <w:p w14:paraId="01F991F4"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The full report can be accessed via CSIRO or by directly contacting the authors:</w:t>
      </w:r>
    </w:p>
    <w:p w14:paraId="5E60E294"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t>Emelyanova I., Barron O., Vleeshouwer J. and Bridgart R. (2016) Application of remote sensing techniques to support delineation and characterisation of groundwater dependent vegetation: Technical report. CSIRO, Australia.</w:t>
      </w:r>
    </w:p>
    <w:p w14:paraId="45E136A9" w14:textId="77777777" w:rsidR="003D3694" w:rsidRPr="00747E35" w:rsidRDefault="003D3694" w:rsidP="003D3694">
      <w:pPr>
        <w:rPr>
          <w:rFonts w:asciiTheme="minorHAnsi" w:hAnsiTheme="minorHAnsi" w:cstheme="minorHAnsi"/>
        </w:rPr>
      </w:pPr>
    </w:p>
    <w:p w14:paraId="6BFADBA4" w14:textId="77777777" w:rsidR="003D3694" w:rsidRPr="00747E35" w:rsidRDefault="003D3694" w:rsidP="003D3694">
      <w:pPr>
        <w:rPr>
          <w:rFonts w:asciiTheme="minorHAnsi" w:hAnsiTheme="minorHAnsi" w:cstheme="minorHAnsi"/>
          <w:b/>
          <w:sz w:val="32"/>
        </w:rPr>
      </w:pPr>
      <w:r w:rsidRPr="00747E35">
        <w:rPr>
          <w:rFonts w:asciiTheme="minorHAnsi" w:hAnsiTheme="minorHAnsi" w:cstheme="minorHAnsi"/>
          <w:b/>
          <w:sz w:val="32"/>
        </w:rPr>
        <w:t>Executive Summary</w:t>
      </w:r>
    </w:p>
    <w:p w14:paraId="1765BD49" w14:textId="77777777" w:rsidR="00925BFC" w:rsidRPr="00747E35" w:rsidRDefault="00925BFC" w:rsidP="00925BFC">
      <w:pPr>
        <w:pStyle w:val="BodyText"/>
        <w:rPr>
          <w:rFonts w:cstheme="minorHAnsi"/>
        </w:rPr>
      </w:pPr>
      <w:r w:rsidRPr="00747E35">
        <w:rPr>
          <w:rFonts w:cstheme="minorHAnsi"/>
        </w:rPr>
        <w:t xml:space="preserve">The reported research is contributing to the project “Research to inform the assessment of eco-hydrological responses to coal seam gas (CSG) extraction and coal mining” funded by the Office of Water Science (the Department of Environment) and particularly to Component 1 – “Eco-hydrology of groundwater dependent vegetation”, led by the Edith Cowan University, WA. This component aims to understand the impacts of altered groundwater regimes as a result of CSG and coal mining developments on groundwater‐dependent vegetation (GDV) in different biophysical settings. </w:t>
      </w:r>
    </w:p>
    <w:p w14:paraId="351B66EC" w14:textId="77777777" w:rsidR="00925BFC" w:rsidRPr="00747E35" w:rsidRDefault="00925BFC" w:rsidP="00925BFC">
      <w:pPr>
        <w:pStyle w:val="BodyText"/>
        <w:rPr>
          <w:rFonts w:cstheme="minorHAnsi"/>
        </w:rPr>
      </w:pPr>
      <w:r w:rsidRPr="00747E35">
        <w:rPr>
          <w:rFonts w:cstheme="minorHAnsi"/>
        </w:rPr>
        <w:t>This component of the project uses remote sensing (RS) data to delineate GDVs and their dependency on various elements of the water regime in selected areas of New South Wales (NSW) and Queensland (QLD).  The RS analysis includes identification of the determinants of vegetation resilience and recovery following altered groundwater regimes in different biophysical settings and at different scales.</w:t>
      </w:r>
    </w:p>
    <w:p w14:paraId="7748378F" w14:textId="77777777" w:rsidR="00925BFC" w:rsidRPr="00747E35" w:rsidRDefault="00925BFC" w:rsidP="00925BFC">
      <w:pPr>
        <w:pStyle w:val="BodyText"/>
        <w:rPr>
          <w:rFonts w:cstheme="minorHAnsi"/>
        </w:rPr>
      </w:pPr>
      <w:r w:rsidRPr="00747E35">
        <w:rPr>
          <w:rFonts w:cstheme="minorHAnsi"/>
        </w:rPr>
        <w:t>Particular advantages of RS techniques include the availability of historical satellite datasets and the ability to monitor large areas at low cost. The combination of on-ground studies and remote sensing provides a critical linkage in understanding how plant communities respond to groundwater drawdown at the local and catchment scales.</w:t>
      </w:r>
    </w:p>
    <w:p w14:paraId="28886243" w14:textId="77777777" w:rsidR="00925BFC" w:rsidRPr="00747E35" w:rsidRDefault="00925BFC" w:rsidP="00925BFC">
      <w:pPr>
        <w:pStyle w:val="BodyText"/>
        <w:rPr>
          <w:rFonts w:cstheme="minorHAnsi"/>
        </w:rPr>
      </w:pPr>
      <w:r w:rsidRPr="00747E35">
        <w:rPr>
          <w:rFonts w:cstheme="minorHAnsi"/>
        </w:rPr>
        <w:t xml:space="preserve">The GDV’s relationship with water regime (and particularly with groundwater) results in distinct signatures in remotely sensed surface reflectance images, which differ spatially and/or temporally. Remotely sensed reflectance data allow analysis of ‘active greenness’ provided by the multispectral NDVI (Normalised Difference Vegetation Index) time series. Time series RS data are well suited for exploration of differences in the ‘phenology’, or cyclical growth rate, of terrestrial vegetation with and without access to groundwater.  This analysis makes use of time series of NDVI and NDWI (Normalised Difference Wetness Index) as indicators of vegetation greenness and wetness patterns, respectively. In this study, we mainly used Landsat data, which has the longest record of data acquisition. </w:t>
      </w:r>
    </w:p>
    <w:p w14:paraId="132E5AD1" w14:textId="77777777" w:rsidR="00925BFC" w:rsidRPr="00747E35" w:rsidRDefault="00925BFC" w:rsidP="00925BFC">
      <w:pPr>
        <w:pStyle w:val="BodyText"/>
        <w:rPr>
          <w:rFonts w:cstheme="minorHAnsi"/>
        </w:rPr>
      </w:pPr>
      <w:r w:rsidRPr="00747E35">
        <w:rPr>
          <w:rFonts w:cstheme="minorHAnsi"/>
        </w:rPr>
        <w:t>This report presents the outcomes of analysis undertaken within two selected study areas: the Maules Creek and Bremer River regions located in northern NSW and South East QLD, respectively. As more on-ground information was available for the Maules Creek study area, a wider range of analyses was carried out for this region. Some interpretations presented in this report were based on general knowledge of the eco-hydrological conditions in the region. More localised ecological analysis would add value to the reported outcomes.</w:t>
      </w:r>
    </w:p>
    <w:p w14:paraId="745EB96C" w14:textId="77777777" w:rsidR="00925BFC" w:rsidRPr="00747E35" w:rsidRDefault="00925BFC" w:rsidP="00925BFC">
      <w:pPr>
        <w:pStyle w:val="BodyText"/>
        <w:rPr>
          <w:rFonts w:cstheme="minorHAnsi"/>
        </w:rPr>
      </w:pPr>
      <w:r w:rsidRPr="00747E35">
        <w:rPr>
          <w:rFonts w:cstheme="minorHAnsi"/>
        </w:rPr>
        <w:t xml:space="preserve">Most of the identified remnant vegetation is associated with the riverine systems, including riparian and foodplain vegetation. In the Maules Creek study area, the depth to groundwater reduces from the north west to the south east. Following this pattern, the ephemeral Maules Creek becomes perennial, providing annual </w:t>
      </w:r>
      <w:r w:rsidRPr="00747E35">
        <w:rPr>
          <w:rFonts w:cstheme="minorHAnsi"/>
        </w:rPr>
        <w:lastRenderedPageBreak/>
        <w:t xml:space="preserve">recharge to groundwater in the north west and being a gaining stream in the south east. As a result, all riparian and floodplain vegetation in the study area is likely to have access to groundwater, though at various depths: more than 8 mBGL in the north west and within a few metres BGL in the south east. </w:t>
      </w:r>
    </w:p>
    <w:p w14:paraId="70FC5898" w14:textId="77777777" w:rsidR="00925BFC" w:rsidRPr="00747E35" w:rsidRDefault="00925BFC" w:rsidP="00925BFC">
      <w:pPr>
        <w:pStyle w:val="BodyText"/>
        <w:rPr>
          <w:rFonts w:cstheme="minorHAnsi"/>
        </w:rPr>
      </w:pPr>
      <w:r w:rsidRPr="00747E35">
        <w:rPr>
          <w:rFonts w:cstheme="minorHAnsi"/>
        </w:rPr>
        <w:t xml:space="preserve">All analysis indicated that vegetation wetness (NDWI) is a more sensitive variable to spatiotemporal variation in groundwater levels than NDVI, likely due to a greater effect of depth to groundwater on evapotranspiration rates by plants than on their greenness. </w:t>
      </w:r>
    </w:p>
    <w:p w14:paraId="1BDFC2DF" w14:textId="77777777" w:rsidR="00925BFC" w:rsidRPr="00747E35" w:rsidRDefault="00925BFC" w:rsidP="00925BFC">
      <w:pPr>
        <w:pStyle w:val="BodyText"/>
        <w:rPr>
          <w:rFonts w:cstheme="minorHAnsi"/>
        </w:rPr>
      </w:pPr>
      <w:r w:rsidRPr="00747E35">
        <w:rPr>
          <w:rFonts w:cstheme="minorHAnsi"/>
        </w:rPr>
        <w:t xml:space="preserve">Decadal variability of rainfall led to some reduction in vegetation greenness during particularly dry periods (such as during the Millennium Drought of mid 2000s). During this time groundwater levels also dropped, in some bores by up to 4 m. However, both groundwater levels and vegetation greenness recovered in the wetter periods following the droughts. This recovery suggests that the vegetation is well adapted to the decadal variability of climatic conditions and the variation in water availability associated with it. </w:t>
      </w:r>
    </w:p>
    <w:p w14:paraId="72439E08" w14:textId="77777777" w:rsidR="00925BFC" w:rsidRPr="00747E35" w:rsidRDefault="00925BFC" w:rsidP="00925BFC">
      <w:pPr>
        <w:pStyle w:val="BodyText"/>
        <w:rPr>
          <w:rFonts w:cstheme="minorHAnsi"/>
        </w:rPr>
      </w:pPr>
      <w:r w:rsidRPr="00747E35">
        <w:rPr>
          <w:rFonts w:cstheme="minorHAnsi"/>
        </w:rPr>
        <w:t xml:space="preserve">Groundwater is locally used for irrigation, which has an effect on groundwater levels in the south west of the study area outside of the riverine systems. Seasonal changes in the groundwater level may be more than 7 m, and there is a long-term trend in the groundwater drawdown in this area. However, this trend has not had an impact on vegetation greenness within the study area.    </w:t>
      </w:r>
    </w:p>
    <w:p w14:paraId="27127B84" w14:textId="77777777" w:rsidR="00925BFC" w:rsidRPr="00747E35" w:rsidRDefault="00925BFC" w:rsidP="00925BFC">
      <w:pPr>
        <w:pStyle w:val="BodyText"/>
        <w:rPr>
          <w:rFonts w:cstheme="minorHAnsi"/>
        </w:rPr>
      </w:pPr>
      <w:r w:rsidRPr="00747E35">
        <w:rPr>
          <w:rFonts w:cstheme="minorHAnsi"/>
        </w:rPr>
        <w:t xml:space="preserve">In conclusion, decadal and seasonal variations in groundwater levels, even when induced by groundwater use for irrigation, did not have a detectable impact on remnant riverine vegetation. The lack of impact is likely to be due to position in the landscape of the vegetation (within groundwater discharge zone or localised groundwater discharge zone associated with the riverine systems). Unless groundwater abstraction, climate change or their combination lead to substantial changes surface and groundwater interaction processes (e.g. reversing streams from gaining to losing), seasonal river flow and regional groundwater discharge will provide a sufficient water source for vegetation within the riverine systems. </w:t>
      </w:r>
    </w:p>
    <w:p w14:paraId="0B192BEE" w14:textId="77777777" w:rsidR="00925BFC" w:rsidRPr="00747E35" w:rsidRDefault="00925BFC" w:rsidP="00925BFC">
      <w:pPr>
        <w:pStyle w:val="BodyText"/>
        <w:rPr>
          <w:rFonts w:cstheme="minorHAnsi"/>
        </w:rPr>
      </w:pPr>
      <w:r w:rsidRPr="00747E35">
        <w:rPr>
          <w:rFonts w:cstheme="minorHAnsi"/>
        </w:rPr>
        <w:t xml:space="preserve">The main results for the two study areas can be summarized as follows. </w:t>
      </w:r>
    </w:p>
    <w:p w14:paraId="5FB70D0B" w14:textId="77777777" w:rsidR="00925BFC" w:rsidRPr="00747E35" w:rsidRDefault="00925BFC" w:rsidP="00925BFC">
      <w:pPr>
        <w:pStyle w:val="BodyText"/>
        <w:numPr>
          <w:ilvl w:val="0"/>
          <w:numId w:val="32"/>
        </w:numPr>
        <w:rPr>
          <w:rFonts w:cstheme="minorHAnsi"/>
        </w:rPr>
      </w:pPr>
      <w:r w:rsidRPr="00747E35">
        <w:rPr>
          <w:rFonts w:cstheme="minorHAnsi"/>
        </w:rPr>
        <w:t>Maules Creek study area:</w:t>
      </w:r>
    </w:p>
    <w:p w14:paraId="0C7C590F" w14:textId="77777777" w:rsidR="00925BFC" w:rsidRPr="00747E35" w:rsidRDefault="00925BFC" w:rsidP="00925BFC">
      <w:pPr>
        <w:pStyle w:val="BodyText"/>
        <w:numPr>
          <w:ilvl w:val="0"/>
          <w:numId w:val="31"/>
        </w:numPr>
        <w:rPr>
          <w:rFonts w:cstheme="minorHAnsi"/>
        </w:rPr>
      </w:pPr>
      <w:r w:rsidRPr="00747E35">
        <w:rPr>
          <w:rFonts w:cstheme="minorHAnsi"/>
        </w:rPr>
        <w:t>The spatial extent of remnant vegetation including riparian, floodplain and terrestrial was delineated. Seven types (classes) of remnant vegetation were defined by eco-hydrological conditions with a suite of spatiotemporal statistical techniques applied to multi-date Landsat imagery. These classes were perennial vegetation along perennial creeks, perennial vegetation along intermittent creeks, remnant floodplain vegetation within along perennial creeks, remnant floodplain vegetation along intermittent creeks,  and terrestrial vegetation outside of the riverine systems.</w:t>
      </w:r>
    </w:p>
    <w:p w14:paraId="197143CE" w14:textId="77777777" w:rsidR="00925BFC" w:rsidRPr="00747E35" w:rsidRDefault="00925BFC" w:rsidP="00925BFC">
      <w:pPr>
        <w:pStyle w:val="BodyText"/>
        <w:numPr>
          <w:ilvl w:val="0"/>
          <w:numId w:val="31"/>
        </w:numPr>
        <w:rPr>
          <w:rFonts w:cstheme="minorHAnsi"/>
        </w:rPr>
      </w:pPr>
      <w:r w:rsidRPr="00747E35">
        <w:rPr>
          <w:rFonts w:cstheme="minorHAnsi"/>
        </w:rPr>
        <w:t xml:space="preserve">The NDWI range indicated that this index is more sensitive to variability in depth to groundwater than NDVI. However, both RS indices are substantially lower where groundwater is deep. Vegetation with access to groundwater (or permanent surface water) can be characterised by high intercept and low slope parameters in linear regression models describing relationships between vegetation greenness (NDVI) and wetness (NDWI). </w:t>
      </w:r>
    </w:p>
    <w:p w14:paraId="294307E2" w14:textId="77777777" w:rsidR="00925BFC" w:rsidRPr="00747E35" w:rsidRDefault="00925BFC" w:rsidP="00925BFC">
      <w:pPr>
        <w:pStyle w:val="BodyText"/>
        <w:numPr>
          <w:ilvl w:val="0"/>
          <w:numId w:val="31"/>
        </w:numPr>
        <w:rPr>
          <w:rFonts w:cstheme="minorHAnsi"/>
        </w:rPr>
      </w:pPr>
      <w:r w:rsidRPr="00747E35">
        <w:rPr>
          <w:rFonts w:cstheme="minorHAnsi"/>
        </w:rPr>
        <w:t xml:space="preserve">The mapped vegetation has greater productivity in the early winter (June-July) than in late spring–early summer (November-December). The greenness of remnant vegetation is more sensitive to annual than to concurrent meteorological conditions. Sensitivity to changes in vapour pressure deficit, maximum temperature, vapour pressure and pan evaporation is greater for vegetation associated with the riverine system. </w:t>
      </w:r>
    </w:p>
    <w:p w14:paraId="0B923EF9" w14:textId="77777777" w:rsidR="00925BFC" w:rsidRPr="00747E35" w:rsidRDefault="00925BFC" w:rsidP="00925BFC">
      <w:pPr>
        <w:pStyle w:val="BodyText"/>
        <w:numPr>
          <w:ilvl w:val="0"/>
          <w:numId w:val="31"/>
        </w:numPr>
        <w:rPr>
          <w:rFonts w:cstheme="minorHAnsi"/>
        </w:rPr>
      </w:pPr>
      <w:r w:rsidRPr="00747E35">
        <w:rPr>
          <w:rFonts w:cstheme="minorHAnsi"/>
        </w:rPr>
        <w:t xml:space="preserve">At a decadal scale, reduction in vegetation greenness and wetness was detected at the end of the prolonged dry periods (1992 to 1995, 2001 to 2006 and 2012 to the present time).  After such dry periods, the NDVI and NDWI values recovered to their previous levels. Greenness of vegetation dependent on deeper groundwater was more sensitive to historical regional variability in </w:t>
      </w:r>
      <w:r w:rsidRPr="00747E35">
        <w:rPr>
          <w:rFonts w:cstheme="minorHAnsi"/>
        </w:rPr>
        <w:lastRenderedPageBreak/>
        <w:t>groundwater levels. Changes in groundwater levels due to groundwater abstraction for irrigation did not affect remnant vegetation.</w:t>
      </w:r>
    </w:p>
    <w:p w14:paraId="04869015" w14:textId="77777777" w:rsidR="00925BFC" w:rsidRPr="00747E35" w:rsidRDefault="00925BFC" w:rsidP="00925BFC">
      <w:pPr>
        <w:pStyle w:val="BodyText"/>
        <w:numPr>
          <w:ilvl w:val="0"/>
          <w:numId w:val="32"/>
        </w:numPr>
        <w:rPr>
          <w:rFonts w:cstheme="minorHAnsi"/>
        </w:rPr>
      </w:pPr>
      <w:r w:rsidRPr="00747E35">
        <w:rPr>
          <w:rFonts w:cstheme="minorHAnsi"/>
        </w:rPr>
        <w:t>Bremer River study area:</w:t>
      </w:r>
    </w:p>
    <w:p w14:paraId="39521CE4" w14:textId="77777777" w:rsidR="00925BFC" w:rsidRPr="00747E35" w:rsidRDefault="00925BFC" w:rsidP="00925BFC">
      <w:pPr>
        <w:pStyle w:val="BodyText"/>
        <w:numPr>
          <w:ilvl w:val="0"/>
          <w:numId w:val="31"/>
        </w:numPr>
        <w:rPr>
          <w:rFonts w:cstheme="minorHAnsi"/>
        </w:rPr>
      </w:pPr>
      <w:r w:rsidRPr="00747E35">
        <w:rPr>
          <w:rFonts w:cstheme="minorHAnsi"/>
        </w:rPr>
        <w:t>Five types (classes) of remnant vegetation were delineated and described in terms of their eco-hydrological conditions with a suite of spatiotemporal statistical techniques applied to multi-date Landsat imagery. These classes included riparian vegetation and terrestrial vegetation outside of the riverine systems.</w:t>
      </w:r>
    </w:p>
    <w:p w14:paraId="1E2B3790" w14:textId="77777777" w:rsidR="00925BFC" w:rsidRPr="00747E35" w:rsidRDefault="00925BFC" w:rsidP="00925BFC">
      <w:pPr>
        <w:pStyle w:val="BodyText"/>
        <w:numPr>
          <w:ilvl w:val="0"/>
          <w:numId w:val="31"/>
        </w:numPr>
        <w:rPr>
          <w:rFonts w:cstheme="minorHAnsi"/>
        </w:rPr>
      </w:pPr>
      <w:r w:rsidRPr="00747E35">
        <w:rPr>
          <w:rFonts w:cstheme="minorHAnsi"/>
        </w:rPr>
        <w:t>The mapped vegetation has greatest productivity in the late summer (February-March) and lowest in spring (September-October). This phenology differs from that in the Maules study area.</w:t>
      </w:r>
    </w:p>
    <w:p w14:paraId="7AFF55E4" w14:textId="77777777" w:rsidR="00925BFC" w:rsidRPr="00747E35" w:rsidRDefault="00925BFC" w:rsidP="00925BFC">
      <w:pPr>
        <w:pStyle w:val="BodyText"/>
        <w:rPr>
          <w:rFonts w:cstheme="minorHAnsi"/>
        </w:rPr>
      </w:pPr>
      <w:r w:rsidRPr="00747E35">
        <w:rPr>
          <w:rFonts w:cstheme="minorHAnsi"/>
        </w:rPr>
        <w:t xml:space="preserve">The research activities also included the development and application of a web-based toolset to support the analyses. This toolset adapted the methodology for GDV mapping (CSIRO-GDV), previously developed by CSIRO for the Pilbara Water Resources Assessment (PWRA) project. It was implemented in the Google Earth Engine (GEE) environment, an open source monitoring platform for development of web-based Earth observation applications. </w:t>
      </w:r>
    </w:p>
    <w:p w14:paraId="20DD6B01" w14:textId="77777777" w:rsidR="003D3694" w:rsidRPr="00747E35" w:rsidRDefault="003D3694" w:rsidP="003D3694">
      <w:pPr>
        <w:rPr>
          <w:rFonts w:asciiTheme="minorHAnsi" w:hAnsiTheme="minorHAnsi" w:cstheme="minorHAnsi"/>
        </w:rPr>
      </w:pPr>
    </w:p>
    <w:p w14:paraId="695EB816"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br w:type="page"/>
      </w:r>
    </w:p>
    <w:p w14:paraId="71C92311" w14:textId="77777777" w:rsidR="003D3694" w:rsidRPr="00747E35" w:rsidRDefault="003D3694" w:rsidP="003D3694">
      <w:pPr>
        <w:rPr>
          <w:rFonts w:asciiTheme="minorHAnsi" w:hAnsiTheme="minorHAnsi" w:cstheme="minorHAnsi"/>
        </w:rPr>
      </w:pPr>
    </w:p>
    <w:p w14:paraId="4C5345C6" w14:textId="77777777" w:rsidR="003D3694" w:rsidRPr="00747E35" w:rsidRDefault="003D3694" w:rsidP="00551FB9">
      <w:pPr>
        <w:pStyle w:val="Caption"/>
        <w:numPr>
          <w:ilvl w:val="0"/>
          <w:numId w:val="0"/>
        </w:numPr>
        <w:rPr>
          <w:rFonts w:cstheme="minorHAnsi"/>
        </w:rPr>
      </w:pPr>
      <w:bookmarkStart w:id="470" w:name="_Ref467227826"/>
      <w:r w:rsidRPr="00747E35">
        <w:rPr>
          <w:rFonts w:cstheme="minorHAnsi"/>
        </w:rPr>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43</w:t>
      </w:r>
      <w:r w:rsidR="009D6600" w:rsidRPr="00747E35">
        <w:rPr>
          <w:rFonts w:cstheme="minorHAnsi"/>
          <w:noProof/>
        </w:rPr>
        <w:fldChar w:fldCharType="end"/>
      </w:r>
      <w:bookmarkEnd w:id="470"/>
      <w:r w:rsidRPr="00747E35">
        <w:rPr>
          <w:rFonts w:cstheme="minorHAnsi"/>
        </w:rPr>
        <w:t>: Location of the vegetation overstorey and understorey plots at the study sites on Maules Creek (NSW) and the Bremer River (Qld).</w:t>
      </w:r>
    </w:p>
    <w:tbl>
      <w:tblPr>
        <w:tblStyle w:val="TableGrid1"/>
        <w:tblW w:w="103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7"/>
        <w:gridCol w:w="1134"/>
        <w:gridCol w:w="1104"/>
        <w:gridCol w:w="992"/>
        <w:gridCol w:w="993"/>
        <w:gridCol w:w="992"/>
        <w:gridCol w:w="1134"/>
        <w:gridCol w:w="1134"/>
        <w:gridCol w:w="992"/>
        <w:gridCol w:w="992"/>
      </w:tblGrid>
      <w:tr w:rsidR="00C80858" w:rsidRPr="00747E35" w14:paraId="00D59842" w14:textId="77777777" w:rsidTr="00D062C2">
        <w:trPr>
          <w:tblHeader/>
        </w:trPr>
        <w:tc>
          <w:tcPr>
            <w:tcW w:w="1981" w:type="dxa"/>
            <w:gridSpan w:val="2"/>
            <w:tcBorders>
              <w:top w:val="single" w:sz="4" w:space="0" w:color="auto"/>
              <w:bottom w:val="single" w:sz="4" w:space="0" w:color="auto"/>
            </w:tcBorders>
            <w:shd w:val="clear" w:color="auto" w:fill="DEEAF6" w:themeFill="accent1" w:themeFillTint="33"/>
            <w:vAlign w:val="bottom"/>
          </w:tcPr>
          <w:p w14:paraId="31A8ADD9" w14:textId="77777777" w:rsidR="00C80858" w:rsidRPr="00747E35" w:rsidRDefault="00C80858" w:rsidP="00C80858">
            <w:pPr>
              <w:pStyle w:val="TableHead"/>
              <w:spacing w:before="0" w:after="0"/>
              <w:rPr>
                <w:rFonts w:asciiTheme="minorHAnsi" w:hAnsiTheme="minorHAnsi" w:cstheme="minorHAnsi"/>
                <w:sz w:val="18"/>
                <w:szCs w:val="18"/>
              </w:rPr>
            </w:pPr>
            <w:r w:rsidRPr="00747E35">
              <w:rPr>
                <w:rFonts w:asciiTheme="minorHAnsi" w:hAnsiTheme="minorHAnsi" w:cstheme="minorHAnsi"/>
              </w:rPr>
              <w:t>Maules Creek</w:t>
            </w:r>
          </w:p>
        </w:tc>
        <w:tc>
          <w:tcPr>
            <w:tcW w:w="1104" w:type="dxa"/>
            <w:tcBorders>
              <w:top w:val="single" w:sz="4" w:space="0" w:color="auto"/>
              <w:bottom w:val="single" w:sz="4" w:space="0" w:color="auto"/>
            </w:tcBorders>
            <w:shd w:val="clear" w:color="auto" w:fill="DEEAF6" w:themeFill="accent1" w:themeFillTint="33"/>
            <w:vAlign w:val="bottom"/>
          </w:tcPr>
          <w:p w14:paraId="2F222D68" w14:textId="77777777" w:rsidR="00C80858" w:rsidRPr="00747E35" w:rsidRDefault="00C80858" w:rsidP="00C80858">
            <w:pPr>
              <w:pStyle w:val="TableHead"/>
              <w:spacing w:before="0" w:after="0"/>
              <w:rPr>
                <w:rFonts w:asciiTheme="minorHAnsi" w:hAnsiTheme="minorHAnsi" w:cstheme="minorHAnsi"/>
              </w:rPr>
            </w:pPr>
          </w:p>
        </w:tc>
        <w:tc>
          <w:tcPr>
            <w:tcW w:w="992" w:type="dxa"/>
            <w:tcBorders>
              <w:top w:val="single" w:sz="4" w:space="0" w:color="auto"/>
              <w:bottom w:val="single" w:sz="4" w:space="0" w:color="auto"/>
            </w:tcBorders>
            <w:shd w:val="clear" w:color="auto" w:fill="DEEAF6" w:themeFill="accent1" w:themeFillTint="33"/>
          </w:tcPr>
          <w:p w14:paraId="4D34C4E0" w14:textId="47B62351" w:rsidR="00C80858" w:rsidRPr="00747E35" w:rsidRDefault="00C80858" w:rsidP="00C80858">
            <w:pPr>
              <w:pStyle w:val="TableHead"/>
              <w:spacing w:before="0" w:after="0"/>
              <w:rPr>
                <w:rFonts w:asciiTheme="minorHAnsi" w:hAnsiTheme="minorHAnsi" w:cstheme="minorHAnsi"/>
              </w:rPr>
            </w:pPr>
          </w:p>
        </w:tc>
        <w:tc>
          <w:tcPr>
            <w:tcW w:w="993" w:type="dxa"/>
            <w:tcBorders>
              <w:top w:val="single" w:sz="4" w:space="0" w:color="auto"/>
              <w:bottom w:val="single" w:sz="4" w:space="0" w:color="auto"/>
              <w:right w:val="single" w:sz="4" w:space="0" w:color="auto"/>
            </w:tcBorders>
            <w:shd w:val="clear" w:color="auto" w:fill="DEEAF6" w:themeFill="accent1" w:themeFillTint="33"/>
          </w:tcPr>
          <w:p w14:paraId="7C7193E6" w14:textId="40DF0B02" w:rsidR="00C80858" w:rsidRPr="00747E35" w:rsidRDefault="00C80858" w:rsidP="00C80858">
            <w:pPr>
              <w:pStyle w:val="TableHead"/>
              <w:spacing w:before="0" w:after="0"/>
              <w:rPr>
                <w:rFonts w:asciiTheme="minorHAnsi" w:hAnsiTheme="minorHAnsi" w:cstheme="minorHAnsi"/>
              </w:rPr>
            </w:pPr>
          </w:p>
        </w:tc>
        <w:tc>
          <w:tcPr>
            <w:tcW w:w="2126" w:type="dxa"/>
            <w:gridSpan w:val="2"/>
            <w:tcBorders>
              <w:top w:val="single" w:sz="4" w:space="0" w:color="auto"/>
              <w:left w:val="single" w:sz="4" w:space="0" w:color="auto"/>
              <w:bottom w:val="single" w:sz="4" w:space="0" w:color="auto"/>
            </w:tcBorders>
            <w:shd w:val="clear" w:color="auto" w:fill="DEEAF6" w:themeFill="accent1" w:themeFillTint="33"/>
            <w:vAlign w:val="bottom"/>
          </w:tcPr>
          <w:p w14:paraId="2C43C62F" w14:textId="77777777" w:rsidR="00C80858" w:rsidRPr="00747E35" w:rsidRDefault="00C80858" w:rsidP="00C80858">
            <w:pPr>
              <w:pStyle w:val="TableHead"/>
              <w:spacing w:before="0" w:after="0"/>
              <w:rPr>
                <w:rFonts w:asciiTheme="minorHAnsi" w:hAnsiTheme="minorHAnsi" w:cstheme="minorHAnsi"/>
                <w:sz w:val="18"/>
                <w:szCs w:val="18"/>
              </w:rPr>
            </w:pPr>
            <w:r w:rsidRPr="00747E35">
              <w:rPr>
                <w:rFonts w:asciiTheme="minorHAnsi" w:hAnsiTheme="minorHAnsi" w:cstheme="minorHAnsi"/>
              </w:rPr>
              <w:t>Bremer River</w:t>
            </w:r>
          </w:p>
        </w:tc>
        <w:tc>
          <w:tcPr>
            <w:tcW w:w="1134" w:type="dxa"/>
            <w:tcBorders>
              <w:top w:val="single" w:sz="4" w:space="0" w:color="auto"/>
              <w:bottom w:val="single" w:sz="4" w:space="0" w:color="auto"/>
            </w:tcBorders>
            <w:shd w:val="clear" w:color="auto" w:fill="DEEAF6" w:themeFill="accent1" w:themeFillTint="33"/>
            <w:vAlign w:val="bottom"/>
          </w:tcPr>
          <w:p w14:paraId="3F16B4A5" w14:textId="77777777" w:rsidR="00C80858" w:rsidRPr="00747E35" w:rsidRDefault="00C80858" w:rsidP="00C80858">
            <w:pPr>
              <w:pStyle w:val="TableHead"/>
              <w:spacing w:before="0" w:after="0"/>
              <w:rPr>
                <w:rFonts w:asciiTheme="minorHAnsi" w:hAnsiTheme="minorHAnsi" w:cstheme="minorHAnsi"/>
              </w:rPr>
            </w:pPr>
          </w:p>
        </w:tc>
        <w:tc>
          <w:tcPr>
            <w:tcW w:w="992" w:type="dxa"/>
            <w:tcBorders>
              <w:top w:val="single" w:sz="4" w:space="0" w:color="auto"/>
              <w:bottom w:val="single" w:sz="4" w:space="0" w:color="auto"/>
            </w:tcBorders>
            <w:shd w:val="clear" w:color="auto" w:fill="DEEAF6" w:themeFill="accent1" w:themeFillTint="33"/>
          </w:tcPr>
          <w:p w14:paraId="651CE0ED" w14:textId="3ED0214B" w:rsidR="00C80858" w:rsidRPr="00747E35" w:rsidRDefault="00C80858" w:rsidP="00C80858">
            <w:pPr>
              <w:pStyle w:val="TableHead"/>
              <w:spacing w:before="0" w:after="0"/>
              <w:rPr>
                <w:rFonts w:asciiTheme="minorHAnsi" w:hAnsiTheme="minorHAnsi" w:cstheme="minorHAnsi"/>
              </w:rPr>
            </w:pPr>
          </w:p>
        </w:tc>
        <w:tc>
          <w:tcPr>
            <w:tcW w:w="992" w:type="dxa"/>
            <w:tcBorders>
              <w:top w:val="single" w:sz="4" w:space="0" w:color="auto"/>
              <w:bottom w:val="single" w:sz="4" w:space="0" w:color="auto"/>
            </w:tcBorders>
            <w:shd w:val="clear" w:color="auto" w:fill="DEEAF6" w:themeFill="accent1" w:themeFillTint="33"/>
          </w:tcPr>
          <w:p w14:paraId="1FEDCCC6" w14:textId="379DE111" w:rsidR="00C80858" w:rsidRPr="00747E35" w:rsidRDefault="00C80858" w:rsidP="00C80858">
            <w:pPr>
              <w:pStyle w:val="TableHead"/>
              <w:spacing w:before="0" w:after="0"/>
              <w:rPr>
                <w:rFonts w:asciiTheme="minorHAnsi" w:hAnsiTheme="minorHAnsi" w:cstheme="minorHAnsi"/>
              </w:rPr>
            </w:pPr>
          </w:p>
        </w:tc>
      </w:tr>
      <w:tr w:rsidR="00C80858" w:rsidRPr="00747E35" w14:paraId="22033680" w14:textId="77777777" w:rsidTr="00D062C2">
        <w:trPr>
          <w:trHeight w:val="512"/>
          <w:tblHeader/>
        </w:trPr>
        <w:tc>
          <w:tcPr>
            <w:tcW w:w="847" w:type="dxa"/>
            <w:tcBorders>
              <w:top w:val="single" w:sz="4" w:space="0" w:color="auto"/>
              <w:bottom w:val="single" w:sz="4" w:space="0" w:color="auto"/>
            </w:tcBorders>
            <w:shd w:val="clear" w:color="auto" w:fill="DEEAF6" w:themeFill="accent1" w:themeFillTint="33"/>
            <w:vAlign w:val="bottom"/>
          </w:tcPr>
          <w:p w14:paraId="1D3EC4AA" w14:textId="77777777" w:rsidR="00C80858" w:rsidRPr="00747E35" w:rsidRDefault="00C80858" w:rsidP="00C80858">
            <w:pPr>
              <w:pStyle w:val="TableHead"/>
              <w:spacing w:before="0" w:after="0"/>
              <w:rPr>
                <w:rFonts w:asciiTheme="minorHAnsi" w:eastAsia="MS Mincho" w:hAnsiTheme="minorHAnsi" w:cstheme="minorHAnsi"/>
              </w:rPr>
            </w:pPr>
            <w:r w:rsidRPr="00747E35">
              <w:rPr>
                <w:rFonts w:asciiTheme="minorHAnsi" w:hAnsiTheme="minorHAnsi" w:cstheme="minorHAnsi"/>
              </w:rPr>
              <w:t>Site Code</w:t>
            </w:r>
          </w:p>
        </w:tc>
        <w:tc>
          <w:tcPr>
            <w:tcW w:w="1134" w:type="dxa"/>
            <w:tcBorders>
              <w:top w:val="single" w:sz="4" w:space="0" w:color="auto"/>
              <w:bottom w:val="single" w:sz="4" w:space="0" w:color="auto"/>
            </w:tcBorders>
            <w:shd w:val="clear" w:color="auto" w:fill="DEEAF6" w:themeFill="accent1" w:themeFillTint="33"/>
            <w:vAlign w:val="bottom"/>
          </w:tcPr>
          <w:p w14:paraId="0C0B7971" w14:textId="77777777" w:rsidR="00C80858" w:rsidRPr="00747E35" w:rsidRDefault="00C80858" w:rsidP="00C80858">
            <w:pPr>
              <w:pStyle w:val="TableHead"/>
              <w:spacing w:before="0" w:after="0"/>
              <w:rPr>
                <w:rFonts w:asciiTheme="minorHAnsi" w:eastAsia="MS Mincho" w:hAnsiTheme="minorHAnsi" w:cstheme="minorHAnsi"/>
              </w:rPr>
            </w:pPr>
            <w:r w:rsidRPr="00747E35">
              <w:rPr>
                <w:rFonts w:asciiTheme="minorHAnsi" w:hAnsiTheme="minorHAnsi" w:cstheme="minorHAnsi"/>
              </w:rPr>
              <w:t>Stream Type</w:t>
            </w:r>
          </w:p>
        </w:tc>
        <w:tc>
          <w:tcPr>
            <w:tcW w:w="1104" w:type="dxa"/>
            <w:tcBorders>
              <w:top w:val="single" w:sz="4" w:space="0" w:color="auto"/>
              <w:bottom w:val="single" w:sz="4" w:space="0" w:color="auto"/>
            </w:tcBorders>
            <w:shd w:val="clear" w:color="auto" w:fill="DEEAF6" w:themeFill="accent1" w:themeFillTint="33"/>
            <w:vAlign w:val="bottom"/>
          </w:tcPr>
          <w:p w14:paraId="2F3E8E33" w14:textId="77777777" w:rsidR="00C80858" w:rsidRPr="00747E35" w:rsidRDefault="00C80858" w:rsidP="00C80858">
            <w:pPr>
              <w:pStyle w:val="TableHead"/>
              <w:spacing w:before="0" w:after="0"/>
              <w:rPr>
                <w:rFonts w:asciiTheme="minorHAnsi" w:hAnsiTheme="minorHAnsi" w:cstheme="minorHAnsi"/>
              </w:rPr>
            </w:pPr>
            <w:r w:rsidRPr="00747E35">
              <w:rPr>
                <w:rFonts w:asciiTheme="minorHAnsi" w:hAnsiTheme="minorHAnsi" w:cstheme="minorHAnsi"/>
              </w:rPr>
              <w:t>Landscape Position</w:t>
            </w:r>
          </w:p>
        </w:tc>
        <w:tc>
          <w:tcPr>
            <w:tcW w:w="992" w:type="dxa"/>
            <w:tcBorders>
              <w:top w:val="single" w:sz="4" w:space="0" w:color="auto"/>
              <w:bottom w:val="single" w:sz="4" w:space="0" w:color="auto"/>
            </w:tcBorders>
            <w:shd w:val="clear" w:color="auto" w:fill="DEEAF6" w:themeFill="accent1" w:themeFillTint="33"/>
          </w:tcPr>
          <w:p w14:paraId="0DE207D2" w14:textId="4F08FEC5" w:rsidR="00C80858" w:rsidRPr="00747E35" w:rsidRDefault="00C80858" w:rsidP="00C80858">
            <w:pPr>
              <w:pStyle w:val="TableHead"/>
              <w:spacing w:before="0" w:after="0"/>
              <w:jc w:val="center"/>
              <w:rPr>
                <w:rFonts w:asciiTheme="minorHAnsi" w:hAnsiTheme="minorHAnsi" w:cstheme="minorHAnsi"/>
                <w:sz w:val="18"/>
                <w:szCs w:val="18"/>
              </w:rPr>
            </w:pPr>
            <w:r w:rsidRPr="00747E35">
              <w:rPr>
                <w:rFonts w:asciiTheme="minorHAnsi" w:hAnsiTheme="minorHAnsi" w:cstheme="minorHAnsi"/>
                <w:sz w:val="18"/>
                <w:szCs w:val="18"/>
              </w:rPr>
              <w:t>Latitude (◦)</w:t>
            </w:r>
          </w:p>
        </w:tc>
        <w:tc>
          <w:tcPr>
            <w:tcW w:w="993" w:type="dxa"/>
            <w:tcBorders>
              <w:top w:val="single" w:sz="4" w:space="0" w:color="auto"/>
              <w:bottom w:val="single" w:sz="4" w:space="0" w:color="auto"/>
              <w:right w:val="single" w:sz="4" w:space="0" w:color="auto"/>
            </w:tcBorders>
            <w:shd w:val="clear" w:color="auto" w:fill="DEEAF6" w:themeFill="accent1" w:themeFillTint="33"/>
          </w:tcPr>
          <w:p w14:paraId="3352B17C" w14:textId="2722BD9C" w:rsidR="00C80858" w:rsidRPr="00747E35" w:rsidRDefault="00C80858" w:rsidP="00C80858">
            <w:pPr>
              <w:pStyle w:val="TableHead"/>
              <w:spacing w:before="0" w:after="0"/>
              <w:jc w:val="center"/>
              <w:rPr>
                <w:rFonts w:asciiTheme="minorHAnsi" w:hAnsiTheme="minorHAnsi" w:cstheme="minorHAnsi"/>
                <w:sz w:val="18"/>
                <w:szCs w:val="18"/>
              </w:rPr>
            </w:pPr>
            <w:r w:rsidRPr="00747E35">
              <w:rPr>
                <w:rFonts w:asciiTheme="minorHAnsi" w:hAnsiTheme="minorHAnsi" w:cstheme="minorHAnsi"/>
                <w:sz w:val="18"/>
                <w:szCs w:val="18"/>
              </w:rPr>
              <w:t>Longitude(◦)</w:t>
            </w:r>
          </w:p>
        </w:tc>
        <w:tc>
          <w:tcPr>
            <w:tcW w:w="992" w:type="dxa"/>
            <w:tcBorders>
              <w:top w:val="single" w:sz="4" w:space="0" w:color="auto"/>
              <w:left w:val="single" w:sz="4" w:space="0" w:color="auto"/>
              <w:bottom w:val="single" w:sz="4" w:space="0" w:color="auto"/>
            </w:tcBorders>
            <w:shd w:val="clear" w:color="auto" w:fill="DEEAF6" w:themeFill="accent1" w:themeFillTint="33"/>
            <w:vAlign w:val="bottom"/>
          </w:tcPr>
          <w:p w14:paraId="066FA7FF" w14:textId="77777777" w:rsidR="00C80858" w:rsidRPr="00747E35" w:rsidRDefault="00C80858" w:rsidP="00C80858">
            <w:pPr>
              <w:pStyle w:val="TableHead"/>
              <w:spacing w:before="0" w:after="0"/>
              <w:rPr>
                <w:rFonts w:asciiTheme="minorHAnsi" w:eastAsia="MS Mincho" w:hAnsiTheme="minorHAnsi" w:cstheme="minorHAnsi"/>
              </w:rPr>
            </w:pPr>
            <w:r w:rsidRPr="00747E35">
              <w:rPr>
                <w:rFonts w:asciiTheme="minorHAnsi" w:hAnsiTheme="minorHAnsi" w:cstheme="minorHAnsi"/>
              </w:rPr>
              <w:t>Site Code</w:t>
            </w:r>
          </w:p>
        </w:tc>
        <w:tc>
          <w:tcPr>
            <w:tcW w:w="1134" w:type="dxa"/>
            <w:tcBorders>
              <w:top w:val="single" w:sz="4" w:space="0" w:color="auto"/>
              <w:bottom w:val="single" w:sz="4" w:space="0" w:color="auto"/>
            </w:tcBorders>
            <w:shd w:val="clear" w:color="auto" w:fill="DEEAF6" w:themeFill="accent1" w:themeFillTint="33"/>
            <w:vAlign w:val="bottom"/>
          </w:tcPr>
          <w:p w14:paraId="048C977A" w14:textId="77777777" w:rsidR="00C80858" w:rsidRPr="00747E35" w:rsidRDefault="00C80858" w:rsidP="00C80858">
            <w:pPr>
              <w:pStyle w:val="TableHead"/>
              <w:spacing w:before="0" w:after="0"/>
              <w:rPr>
                <w:rFonts w:asciiTheme="minorHAnsi" w:eastAsia="MS Mincho" w:hAnsiTheme="minorHAnsi" w:cstheme="minorHAnsi"/>
              </w:rPr>
            </w:pPr>
            <w:r w:rsidRPr="00747E35">
              <w:rPr>
                <w:rFonts w:asciiTheme="minorHAnsi" w:hAnsiTheme="minorHAnsi" w:cstheme="minorHAnsi"/>
              </w:rPr>
              <w:t>Stream Type</w:t>
            </w:r>
          </w:p>
        </w:tc>
        <w:tc>
          <w:tcPr>
            <w:tcW w:w="1134" w:type="dxa"/>
            <w:tcBorders>
              <w:top w:val="single" w:sz="4" w:space="0" w:color="auto"/>
              <w:bottom w:val="single" w:sz="4" w:space="0" w:color="auto"/>
            </w:tcBorders>
            <w:shd w:val="clear" w:color="auto" w:fill="DEEAF6" w:themeFill="accent1" w:themeFillTint="33"/>
            <w:vAlign w:val="bottom"/>
          </w:tcPr>
          <w:p w14:paraId="209BD723" w14:textId="77777777" w:rsidR="00C80858" w:rsidRPr="00747E35" w:rsidRDefault="00C80858" w:rsidP="00C80858">
            <w:pPr>
              <w:pStyle w:val="TableHead"/>
              <w:spacing w:before="0" w:after="0"/>
              <w:rPr>
                <w:rFonts w:asciiTheme="minorHAnsi" w:hAnsiTheme="minorHAnsi" w:cstheme="minorHAnsi"/>
              </w:rPr>
            </w:pPr>
            <w:r w:rsidRPr="00747E35">
              <w:rPr>
                <w:rFonts w:asciiTheme="minorHAnsi" w:hAnsiTheme="minorHAnsi" w:cstheme="minorHAnsi"/>
              </w:rPr>
              <w:t>Landscape Position</w:t>
            </w:r>
          </w:p>
        </w:tc>
        <w:tc>
          <w:tcPr>
            <w:tcW w:w="992" w:type="dxa"/>
            <w:tcBorders>
              <w:top w:val="single" w:sz="4" w:space="0" w:color="auto"/>
              <w:bottom w:val="single" w:sz="4" w:space="0" w:color="auto"/>
            </w:tcBorders>
            <w:shd w:val="clear" w:color="auto" w:fill="DEEAF6" w:themeFill="accent1" w:themeFillTint="33"/>
          </w:tcPr>
          <w:p w14:paraId="15991134" w14:textId="0F72AC5D" w:rsidR="00C80858" w:rsidRPr="00747E35" w:rsidRDefault="00C80858" w:rsidP="00C80858">
            <w:pPr>
              <w:pStyle w:val="TableHead"/>
              <w:spacing w:before="0" w:after="0"/>
              <w:jc w:val="center"/>
              <w:rPr>
                <w:rFonts w:asciiTheme="minorHAnsi" w:hAnsiTheme="minorHAnsi" w:cstheme="minorHAnsi"/>
                <w:sz w:val="18"/>
                <w:szCs w:val="18"/>
              </w:rPr>
            </w:pPr>
            <w:r w:rsidRPr="00747E35">
              <w:rPr>
                <w:rFonts w:asciiTheme="minorHAnsi" w:hAnsiTheme="minorHAnsi" w:cstheme="minorHAnsi"/>
                <w:sz w:val="18"/>
                <w:szCs w:val="18"/>
              </w:rPr>
              <w:t>Latitude (◦)</w:t>
            </w:r>
          </w:p>
        </w:tc>
        <w:tc>
          <w:tcPr>
            <w:tcW w:w="992" w:type="dxa"/>
            <w:tcBorders>
              <w:top w:val="single" w:sz="4" w:space="0" w:color="auto"/>
              <w:bottom w:val="single" w:sz="4" w:space="0" w:color="auto"/>
            </w:tcBorders>
            <w:shd w:val="clear" w:color="auto" w:fill="DEEAF6" w:themeFill="accent1" w:themeFillTint="33"/>
          </w:tcPr>
          <w:p w14:paraId="2C35AB8E" w14:textId="3D4B2EEC" w:rsidR="00C80858" w:rsidRPr="00747E35" w:rsidRDefault="00C80858" w:rsidP="00C80858">
            <w:pPr>
              <w:pStyle w:val="TableHead"/>
              <w:spacing w:before="0" w:after="0"/>
              <w:jc w:val="center"/>
              <w:rPr>
                <w:rFonts w:asciiTheme="minorHAnsi" w:hAnsiTheme="minorHAnsi" w:cstheme="minorHAnsi"/>
                <w:sz w:val="18"/>
                <w:szCs w:val="18"/>
              </w:rPr>
            </w:pPr>
            <w:r w:rsidRPr="00747E35">
              <w:rPr>
                <w:rFonts w:asciiTheme="minorHAnsi" w:hAnsiTheme="minorHAnsi" w:cstheme="minorHAnsi"/>
                <w:sz w:val="18"/>
                <w:szCs w:val="18"/>
              </w:rPr>
              <w:t>Longitude (◦)</w:t>
            </w:r>
          </w:p>
        </w:tc>
      </w:tr>
      <w:tr w:rsidR="003D3694" w:rsidRPr="00747E35" w14:paraId="6A743F98" w14:textId="77777777" w:rsidTr="0096743A">
        <w:tc>
          <w:tcPr>
            <w:tcW w:w="847" w:type="dxa"/>
            <w:tcBorders>
              <w:top w:val="single" w:sz="4" w:space="0" w:color="auto"/>
            </w:tcBorders>
            <w:vAlign w:val="bottom"/>
          </w:tcPr>
          <w:p w14:paraId="3198993A" w14:textId="77777777" w:rsidR="003D3694" w:rsidRPr="00747E35" w:rsidRDefault="003D3694" w:rsidP="0096743A">
            <w:pPr>
              <w:pStyle w:val="Tabletext"/>
              <w:spacing w:before="0" w:after="0"/>
              <w:rPr>
                <w:rFonts w:eastAsia="MS Mincho" w:cstheme="minorHAnsi"/>
              </w:rPr>
            </w:pPr>
            <w:r w:rsidRPr="00747E35">
              <w:rPr>
                <w:rFonts w:cstheme="minorHAnsi"/>
              </w:rPr>
              <w:t>MCI_F1</w:t>
            </w:r>
          </w:p>
        </w:tc>
        <w:tc>
          <w:tcPr>
            <w:tcW w:w="1134" w:type="dxa"/>
            <w:tcBorders>
              <w:top w:val="single" w:sz="4" w:space="0" w:color="auto"/>
            </w:tcBorders>
            <w:vAlign w:val="bottom"/>
          </w:tcPr>
          <w:p w14:paraId="463B1618" w14:textId="77777777" w:rsidR="003D3694" w:rsidRPr="00747E35" w:rsidRDefault="003D3694" w:rsidP="0096743A">
            <w:pPr>
              <w:pStyle w:val="Tabletext"/>
              <w:spacing w:before="0" w:after="0"/>
              <w:rPr>
                <w:rFonts w:eastAsia="MS Mincho" w:cstheme="minorHAnsi"/>
              </w:rPr>
            </w:pPr>
            <w:r w:rsidRPr="00747E35">
              <w:rPr>
                <w:rFonts w:cstheme="minorHAnsi"/>
              </w:rPr>
              <w:t>Intermittent</w:t>
            </w:r>
          </w:p>
        </w:tc>
        <w:tc>
          <w:tcPr>
            <w:tcW w:w="1104" w:type="dxa"/>
            <w:tcBorders>
              <w:top w:val="single" w:sz="4" w:space="0" w:color="auto"/>
            </w:tcBorders>
            <w:vAlign w:val="bottom"/>
          </w:tcPr>
          <w:p w14:paraId="63CB7BC2" w14:textId="77777777" w:rsidR="003D3694" w:rsidRPr="00747E35" w:rsidRDefault="003D3694" w:rsidP="0096743A">
            <w:pPr>
              <w:pStyle w:val="Tabletext"/>
              <w:spacing w:before="0" w:after="0"/>
              <w:rPr>
                <w:rFonts w:eastAsia="MS Mincho" w:cstheme="minorHAnsi"/>
              </w:rPr>
            </w:pPr>
            <w:r w:rsidRPr="00747E35">
              <w:rPr>
                <w:rFonts w:cstheme="minorHAnsi"/>
              </w:rPr>
              <w:t>Floodplain</w:t>
            </w:r>
          </w:p>
        </w:tc>
        <w:tc>
          <w:tcPr>
            <w:tcW w:w="992" w:type="dxa"/>
            <w:tcBorders>
              <w:top w:val="single" w:sz="4" w:space="0" w:color="auto"/>
            </w:tcBorders>
            <w:vAlign w:val="bottom"/>
          </w:tcPr>
          <w:p w14:paraId="1057AC54" w14:textId="77777777" w:rsidR="003D3694" w:rsidRPr="00747E35" w:rsidRDefault="003D3694" w:rsidP="0096743A">
            <w:pPr>
              <w:pStyle w:val="Tabletext"/>
              <w:spacing w:before="0" w:after="0"/>
              <w:rPr>
                <w:rFonts w:eastAsia="MS Mincho" w:cstheme="minorHAnsi"/>
              </w:rPr>
            </w:pPr>
            <w:r w:rsidRPr="00747E35">
              <w:rPr>
                <w:rFonts w:cstheme="minorHAnsi"/>
              </w:rPr>
              <w:t>30.4514</w:t>
            </w:r>
          </w:p>
        </w:tc>
        <w:tc>
          <w:tcPr>
            <w:tcW w:w="993" w:type="dxa"/>
            <w:tcBorders>
              <w:top w:val="single" w:sz="4" w:space="0" w:color="auto"/>
              <w:right w:val="single" w:sz="4" w:space="0" w:color="auto"/>
            </w:tcBorders>
            <w:vAlign w:val="bottom"/>
          </w:tcPr>
          <w:p w14:paraId="0E7AC6BE" w14:textId="77777777" w:rsidR="003D3694" w:rsidRPr="00747E35" w:rsidRDefault="003D3694" w:rsidP="0096743A">
            <w:pPr>
              <w:pStyle w:val="Tabletext"/>
              <w:spacing w:before="0" w:after="0"/>
              <w:rPr>
                <w:rFonts w:eastAsia="MS Mincho" w:cstheme="minorHAnsi"/>
              </w:rPr>
            </w:pPr>
            <w:r w:rsidRPr="00747E35">
              <w:rPr>
                <w:rFonts w:cstheme="minorHAnsi"/>
              </w:rPr>
              <w:t>150.17119</w:t>
            </w:r>
          </w:p>
        </w:tc>
        <w:tc>
          <w:tcPr>
            <w:tcW w:w="992" w:type="dxa"/>
            <w:tcBorders>
              <w:top w:val="single" w:sz="4" w:space="0" w:color="auto"/>
              <w:left w:val="single" w:sz="4" w:space="0" w:color="auto"/>
            </w:tcBorders>
            <w:vAlign w:val="bottom"/>
          </w:tcPr>
          <w:p w14:paraId="172731A8" w14:textId="77777777" w:rsidR="003D3694" w:rsidRPr="00747E35" w:rsidRDefault="003D3694" w:rsidP="0096743A">
            <w:pPr>
              <w:pStyle w:val="Tabletext"/>
              <w:spacing w:before="0" w:after="0"/>
              <w:rPr>
                <w:rFonts w:eastAsia="MS Mincho" w:cstheme="minorHAnsi"/>
              </w:rPr>
            </w:pPr>
            <w:r w:rsidRPr="00747E35">
              <w:rPr>
                <w:rFonts w:cstheme="minorHAnsi"/>
              </w:rPr>
              <w:t>BCCI_F2</w:t>
            </w:r>
          </w:p>
        </w:tc>
        <w:tc>
          <w:tcPr>
            <w:tcW w:w="1134" w:type="dxa"/>
            <w:tcBorders>
              <w:top w:val="single" w:sz="4" w:space="0" w:color="auto"/>
            </w:tcBorders>
            <w:vAlign w:val="bottom"/>
          </w:tcPr>
          <w:p w14:paraId="55A8AA36" w14:textId="77777777" w:rsidR="003D3694" w:rsidRPr="00747E35" w:rsidRDefault="003D3694" w:rsidP="0096743A">
            <w:pPr>
              <w:pStyle w:val="Tabletext"/>
              <w:spacing w:before="0" w:after="0"/>
              <w:rPr>
                <w:rFonts w:eastAsia="MS Mincho" w:cstheme="minorHAnsi"/>
              </w:rPr>
            </w:pPr>
            <w:r w:rsidRPr="00747E35">
              <w:rPr>
                <w:rFonts w:cstheme="minorHAnsi"/>
              </w:rPr>
              <w:t>Intermittent</w:t>
            </w:r>
          </w:p>
        </w:tc>
        <w:tc>
          <w:tcPr>
            <w:tcW w:w="1134" w:type="dxa"/>
            <w:tcBorders>
              <w:top w:val="single" w:sz="4" w:space="0" w:color="auto"/>
            </w:tcBorders>
            <w:vAlign w:val="bottom"/>
          </w:tcPr>
          <w:p w14:paraId="4296AB97" w14:textId="77777777" w:rsidR="003D3694" w:rsidRPr="00747E35" w:rsidRDefault="003D3694" w:rsidP="0096743A">
            <w:pPr>
              <w:pStyle w:val="Tabletext"/>
              <w:spacing w:before="0" w:after="0"/>
              <w:rPr>
                <w:rFonts w:eastAsia="MS Mincho" w:cstheme="minorHAnsi"/>
              </w:rPr>
            </w:pPr>
            <w:r w:rsidRPr="00747E35">
              <w:rPr>
                <w:rFonts w:cstheme="minorHAnsi"/>
              </w:rPr>
              <w:t>Floodplain</w:t>
            </w:r>
          </w:p>
        </w:tc>
        <w:tc>
          <w:tcPr>
            <w:tcW w:w="992" w:type="dxa"/>
            <w:tcBorders>
              <w:top w:val="single" w:sz="4" w:space="0" w:color="auto"/>
            </w:tcBorders>
            <w:vAlign w:val="bottom"/>
          </w:tcPr>
          <w:p w14:paraId="29418EC2" w14:textId="77777777" w:rsidR="003D3694" w:rsidRPr="00747E35" w:rsidRDefault="003D3694" w:rsidP="0096743A">
            <w:pPr>
              <w:pStyle w:val="Tabletext"/>
              <w:spacing w:before="0" w:after="0"/>
              <w:rPr>
                <w:rFonts w:eastAsia="MS Mincho" w:cstheme="minorHAnsi"/>
              </w:rPr>
            </w:pPr>
            <w:r w:rsidRPr="00747E35">
              <w:rPr>
                <w:rFonts w:cstheme="minorHAnsi"/>
              </w:rPr>
              <w:t>28.0866</w:t>
            </w:r>
          </w:p>
        </w:tc>
        <w:tc>
          <w:tcPr>
            <w:tcW w:w="992" w:type="dxa"/>
            <w:tcBorders>
              <w:top w:val="single" w:sz="4" w:space="0" w:color="auto"/>
            </w:tcBorders>
            <w:vAlign w:val="bottom"/>
          </w:tcPr>
          <w:p w14:paraId="530E6637" w14:textId="77777777" w:rsidR="003D3694" w:rsidRPr="00747E35" w:rsidRDefault="003D3694" w:rsidP="0096743A">
            <w:pPr>
              <w:pStyle w:val="Tabletext"/>
              <w:spacing w:before="0" w:after="0"/>
              <w:rPr>
                <w:rFonts w:eastAsia="MS Mincho" w:cstheme="minorHAnsi"/>
              </w:rPr>
            </w:pPr>
            <w:r w:rsidRPr="00747E35">
              <w:rPr>
                <w:rFonts w:cstheme="minorHAnsi"/>
              </w:rPr>
              <w:t>152.45766</w:t>
            </w:r>
          </w:p>
        </w:tc>
      </w:tr>
      <w:tr w:rsidR="003D3694" w:rsidRPr="00747E35" w14:paraId="11418BA9" w14:textId="77777777" w:rsidTr="0096743A">
        <w:tc>
          <w:tcPr>
            <w:tcW w:w="847" w:type="dxa"/>
            <w:vAlign w:val="bottom"/>
          </w:tcPr>
          <w:p w14:paraId="08B88E7A" w14:textId="77777777" w:rsidR="003D3694" w:rsidRPr="00747E35" w:rsidRDefault="003D3694" w:rsidP="0096743A">
            <w:pPr>
              <w:pStyle w:val="Tabletext"/>
              <w:spacing w:before="0" w:after="0"/>
              <w:rPr>
                <w:rFonts w:eastAsia="MS Mincho" w:cstheme="minorHAnsi"/>
              </w:rPr>
            </w:pPr>
            <w:r w:rsidRPr="00747E35">
              <w:rPr>
                <w:rFonts w:cstheme="minorHAnsi"/>
              </w:rPr>
              <w:t>MCI_F2</w:t>
            </w:r>
          </w:p>
        </w:tc>
        <w:tc>
          <w:tcPr>
            <w:tcW w:w="1134" w:type="dxa"/>
          </w:tcPr>
          <w:p w14:paraId="2B3E9325" w14:textId="77777777" w:rsidR="003D3694" w:rsidRPr="00747E35" w:rsidRDefault="003D3694" w:rsidP="0096743A">
            <w:pPr>
              <w:pStyle w:val="Tabletext"/>
              <w:spacing w:before="0" w:after="0"/>
              <w:rPr>
                <w:rFonts w:eastAsia="MS Mincho" w:cstheme="minorHAnsi"/>
              </w:rPr>
            </w:pPr>
            <w:r w:rsidRPr="00747E35">
              <w:rPr>
                <w:rFonts w:cstheme="minorHAnsi"/>
              </w:rPr>
              <w:t>Intermittent</w:t>
            </w:r>
          </w:p>
        </w:tc>
        <w:tc>
          <w:tcPr>
            <w:tcW w:w="1104" w:type="dxa"/>
            <w:vAlign w:val="bottom"/>
          </w:tcPr>
          <w:p w14:paraId="1A9FCE75" w14:textId="77777777" w:rsidR="003D3694" w:rsidRPr="00747E35" w:rsidRDefault="003D3694" w:rsidP="0096743A">
            <w:pPr>
              <w:pStyle w:val="Tabletext"/>
              <w:spacing w:before="0" w:after="0"/>
              <w:rPr>
                <w:rFonts w:eastAsia="MS Mincho" w:cstheme="minorHAnsi"/>
              </w:rPr>
            </w:pPr>
            <w:r w:rsidRPr="00747E35">
              <w:rPr>
                <w:rFonts w:cstheme="minorHAnsi"/>
              </w:rPr>
              <w:t>Floodplain</w:t>
            </w:r>
          </w:p>
        </w:tc>
        <w:tc>
          <w:tcPr>
            <w:tcW w:w="992" w:type="dxa"/>
            <w:vAlign w:val="bottom"/>
          </w:tcPr>
          <w:p w14:paraId="7FC01413" w14:textId="77777777" w:rsidR="003D3694" w:rsidRPr="00747E35" w:rsidRDefault="003D3694" w:rsidP="0096743A">
            <w:pPr>
              <w:pStyle w:val="Tabletext"/>
              <w:spacing w:before="0" w:after="0"/>
              <w:rPr>
                <w:rFonts w:eastAsia="MS Mincho" w:cstheme="minorHAnsi"/>
              </w:rPr>
            </w:pPr>
            <w:r w:rsidRPr="00747E35">
              <w:rPr>
                <w:rFonts w:cstheme="minorHAnsi"/>
              </w:rPr>
              <w:t>30.45132</w:t>
            </w:r>
          </w:p>
        </w:tc>
        <w:tc>
          <w:tcPr>
            <w:tcW w:w="993" w:type="dxa"/>
            <w:tcBorders>
              <w:right w:val="single" w:sz="4" w:space="0" w:color="auto"/>
            </w:tcBorders>
            <w:vAlign w:val="bottom"/>
          </w:tcPr>
          <w:p w14:paraId="06CF183D" w14:textId="77777777" w:rsidR="003D3694" w:rsidRPr="00747E35" w:rsidRDefault="003D3694" w:rsidP="0096743A">
            <w:pPr>
              <w:pStyle w:val="Tabletext"/>
              <w:spacing w:before="0" w:after="0"/>
              <w:rPr>
                <w:rFonts w:eastAsia="MS Mincho" w:cstheme="minorHAnsi"/>
              </w:rPr>
            </w:pPr>
            <w:r w:rsidRPr="00747E35">
              <w:rPr>
                <w:rFonts w:cstheme="minorHAnsi"/>
              </w:rPr>
              <w:t>150.17165</w:t>
            </w:r>
          </w:p>
        </w:tc>
        <w:tc>
          <w:tcPr>
            <w:tcW w:w="992" w:type="dxa"/>
            <w:tcBorders>
              <w:left w:val="single" w:sz="4" w:space="0" w:color="auto"/>
            </w:tcBorders>
            <w:vAlign w:val="bottom"/>
          </w:tcPr>
          <w:p w14:paraId="51E18F09" w14:textId="77777777" w:rsidR="003D3694" w:rsidRPr="00747E35" w:rsidRDefault="003D3694" w:rsidP="0096743A">
            <w:pPr>
              <w:pStyle w:val="Tabletext"/>
              <w:spacing w:before="0" w:after="0"/>
              <w:rPr>
                <w:rFonts w:cstheme="minorHAnsi"/>
              </w:rPr>
            </w:pPr>
            <w:r w:rsidRPr="00747E35">
              <w:rPr>
                <w:rFonts w:cstheme="minorHAnsi"/>
              </w:rPr>
              <w:t>BWCI_F1</w:t>
            </w:r>
          </w:p>
        </w:tc>
        <w:tc>
          <w:tcPr>
            <w:tcW w:w="1134" w:type="dxa"/>
            <w:vAlign w:val="bottom"/>
          </w:tcPr>
          <w:p w14:paraId="553932EC"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134" w:type="dxa"/>
            <w:vAlign w:val="bottom"/>
          </w:tcPr>
          <w:p w14:paraId="0E635BBB" w14:textId="77777777" w:rsidR="003D3694" w:rsidRPr="00747E35" w:rsidRDefault="003D3694" w:rsidP="0096743A">
            <w:pPr>
              <w:pStyle w:val="Tabletext"/>
              <w:spacing w:before="0" w:after="0"/>
              <w:rPr>
                <w:rFonts w:cstheme="minorHAnsi"/>
              </w:rPr>
            </w:pPr>
            <w:r w:rsidRPr="00747E35">
              <w:rPr>
                <w:rFonts w:cstheme="minorHAnsi"/>
              </w:rPr>
              <w:t>Floodplain</w:t>
            </w:r>
          </w:p>
        </w:tc>
        <w:tc>
          <w:tcPr>
            <w:tcW w:w="992" w:type="dxa"/>
            <w:vAlign w:val="bottom"/>
          </w:tcPr>
          <w:p w14:paraId="14C2E02A" w14:textId="77777777" w:rsidR="003D3694" w:rsidRPr="00747E35" w:rsidRDefault="003D3694" w:rsidP="0096743A">
            <w:pPr>
              <w:pStyle w:val="Tabletext"/>
              <w:spacing w:before="0" w:after="0"/>
              <w:rPr>
                <w:rFonts w:cstheme="minorHAnsi"/>
              </w:rPr>
            </w:pPr>
            <w:r w:rsidRPr="00747E35">
              <w:rPr>
                <w:rFonts w:cstheme="minorHAnsi"/>
              </w:rPr>
              <w:t>28.10538</w:t>
            </w:r>
          </w:p>
        </w:tc>
        <w:tc>
          <w:tcPr>
            <w:tcW w:w="992" w:type="dxa"/>
            <w:vAlign w:val="bottom"/>
          </w:tcPr>
          <w:p w14:paraId="131E6CD3" w14:textId="5297AA49" w:rsidR="003D3694" w:rsidRPr="00747E35" w:rsidRDefault="003D3694" w:rsidP="0096743A">
            <w:pPr>
              <w:pStyle w:val="Tabletext"/>
              <w:spacing w:before="0" w:after="0"/>
              <w:rPr>
                <w:rFonts w:cstheme="minorHAnsi"/>
              </w:rPr>
            </w:pPr>
            <w:r w:rsidRPr="00747E35">
              <w:rPr>
                <w:rFonts w:cstheme="minorHAnsi"/>
              </w:rPr>
              <w:t>152.5146</w:t>
            </w:r>
            <w:r w:rsidR="00C80858" w:rsidRPr="00747E35">
              <w:rPr>
                <w:rFonts w:cstheme="minorHAnsi"/>
              </w:rPr>
              <w:t>0</w:t>
            </w:r>
          </w:p>
        </w:tc>
      </w:tr>
      <w:tr w:rsidR="003D3694" w:rsidRPr="00747E35" w14:paraId="430105A7" w14:textId="77777777" w:rsidTr="0096743A">
        <w:tc>
          <w:tcPr>
            <w:tcW w:w="847" w:type="dxa"/>
            <w:vAlign w:val="bottom"/>
          </w:tcPr>
          <w:p w14:paraId="1A977DEE" w14:textId="77777777" w:rsidR="003D3694" w:rsidRPr="00747E35" w:rsidRDefault="003D3694" w:rsidP="0096743A">
            <w:pPr>
              <w:pStyle w:val="Tabletext"/>
              <w:spacing w:before="0" w:after="0"/>
              <w:rPr>
                <w:rFonts w:eastAsia="MS Mincho" w:cstheme="minorHAnsi"/>
              </w:rPr>
            </w:pPr>
            <w:r w:rsidRPr="00747E35">
              <w:rPr>
                <w:rFonts w:cstheme="minorHAnsi"/>
              </w:rPr>
              <w:t>MCI_F3</w:t>
            </w:r>
          </w:p>
        </w:tc>
        <w:tc>
          <w:tcPr>
            <w:tcW w:w="1134" w:type="dxa"/>
          </w:tcPr>
          <w:p w14:paraId="40C6DB64" w14:textId="77777777" w:rsidR="003D3694" w:rsidRPr="00747E35" w:rsidRDefault="003D3694" w:rsidP="0096743A">
            <w:pPr>
              <w:pStyle w:val="Tabletext"/>
              <w:spacing w:before="0" w:after="0"/>
              <w:rPr>
                <w:rFonts w:eastAsia="MS Mincho" w:cstheme="minorHAnsi"/>
              </w:rPr>
            </w:pPr>
            <w:r w:rsidRPr="00747E35">
              <w:rPr>
                <w:rFonts w:cstheme="minorHAnsi"/>
              </w:rPr>
              <w:t>Intermittent</w:t>
            </w:r>
          </w:p>
        </w:tc>
        <w:tc>
          <w:tcPr>
            <w:tcW w:w="1104" w:type="dxa"/>
            <w:vAlign w:val="bottom"/>
          </w:tcPr>
          <w:p w14:paraId="27DB738E" w14:textId="77777777" w:rsidR="003D3694" w:rsidRPr="00747E35" w:rsidRDefault="003D3694" w:rsidP="0096743A">
            <w:pPr>
              <w:pStyle w:val="Tabletext"/>
              <w:spacing w:before="0" w:after="0"/>
              <w:rPr>
                <w:rFonts w:eastAsia="MS Mincho" w:cstheme="minorHAnsi"/>
              </w:rPr>
            </w:pPr>
            <w:r w:rsidRPr="00747E35">
              <w:rPr>
                <w:rFonts w:cstheme="minorHAnsi"/>
              </w:rPr>
              <w:t>Floodplain</w:t>
            </w:r>
          </w:p>
        </w:tc>
        <w:tc>
          <w:tcPr>
            <w:tcW w:w="992" w:type="dxa"/>
            <w:vAlign w:val="bottom"/>
          </w:tcPr>
          <w:p w14:paraId="28ECDB77" w14:textId="77777777" w:rsidR="003D3694" w:rsidRPr="00747E35" w:rsidRDefault="003D3694" w:rsidP="0096743A">
            <w:pPr>
              <w:pStyle w:val="Tabletext"/>
              <w:spacing w:before="0" w:after="0"/>
              <w:rPr>
                <w:rFonts w:eastAsia="MS Mincho" w:cstheme="minorHAnsi"/>
              </w:rPr>
            </w:pPr>
            <w:r w:rsidRPr="00747E35">
              <w:rPr>
                <w:rFonts w:cstheme="minorHAnsi"/>
              </w:rPr>
              <w:t>30.45149</w:t>
            </w:r>
          </w:p>
        </w:tc>
        <w:tc>
          <w:tcPr>
            <w:tcW w:w="993" w:type="dxa"/>
            <w:tcBorders>
              <w:right w:val="single" w:sz="4" w:space="0" w:color="auto"/>
            </w:tcBorders>
            <w:vAlign w:val="bottom"/>
          </w:tcPr>
          <w:p w14:paraId="21AC25A5" w14:textId="77777777" w:rsidR="003D3694" w:rsidRPr="00747E35" w:rsidRDefault="003D3694" w:rsidP="0096743A">
            <w:pPr>
              <w:pStyle w:val="Tabletext"/>
              <w:spacing w:before="0" w:after="0"/>
              <w:rPr>
                <w:rFonts w:eastAsia="MS Mincho" w:cstheme="minorHAnsi"/>
              </w:rPr>
            </w:pPr>
            <w:r w:rsidRPr="00747E35">
              <w:rPr>
                <w:rFonts w:cstheme="minorHAnsi"/>
              </w:rPr>
              <w:t>150.17215</w:t>
            </w:r>
          </w:p>
        </w:tc>
        <w:tc>
          <w:tcPr>
            <w:tcW w:w="992" w:type="dxa"/>
            <w:tcBorders>
              <w:left w:val="single" w:sz="4" w:space="0" w:color="auto"/>
            </w:tcBorders>
            <w:vAlign w:val="bottom"/>
          </w:tcPr>
          <w:p w14:paraId="642CF45F" w14:textId="77777777" w:rsidR="003D3694" w:rsidRPr="00747E35" w:rsidRDefault="003D3694" w:rsidP="0096743A">
            <w:pPr>
              <w:pStyle w:val="Tabletext"/>
              <w:spacing w:before="0" w:after="0"/>
              <w:rPr>
                <w:rFonts w:cstheme="minorHAnsi"/>
              </w:rPr>
            </w:pPr>
            <w:r w:rsidRPr="00747E35">
              <w:rPr>
                <w:rFonts w:cstheme="minorHAnsi"/>
              </w:rPr>
              <w:t>BCCI_F3</w:t>
            </w:r>
          </w:p>
        </w:tc>
        <w:tc>
          <w:tcPr>
            <w:tcW w:w="1134" w:type="dxa"/>
            <w:vAlign w:val="bottom"/>
          </w:tcPr>
          <w:p w14:paraId="2BA7BAA7"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134" w:type="dxa"/>
            <w:vAlign w:val="bottom"/>
          </w:tcPr>
          <w:p w14:paraId="5CB05FD9" w14:textId="77777777" w:rsidR="003D3694" w:rsidRPr="00747E35" w:rsidRDefault="003D3694" w:rsidP="0096743A">
            <w:pPr>
              <w:pStyle w:val="Tabletext"/>
              <w:spacing w:before="0" w:after="0"/>
              <w:rPr>
                <w:rFonts w:cstheme="minorHAnsi"/>
              </w:rPr>
            </w:pPr>
            <w:r w:rsidRPr="00747E35">
              <w:rPr>
                <w:rFonts w:cstheme="minorHAnsi"/>
              </w:rPr>
              <w:t>Floodplain</w:t>
            </w:r>
          </w:p>
        </w:tc>
        <w:tc>
          <w:tcPr>
            <w:tcW w:w="992" w:type="dxa"/>
            <w:vAlign w:val="bottom"/>
          </w:tcPr>
          <w:p w14:paraId="7559F719" w14:textId="77777777" w:rsidR="003D3694" w:rsidRPr="00747E35" w:rsidRDefault="003D3694" w:rsidP="0096743A">
            <w:pPr>
              <w:pStyle w:val="Tabletext"/>
              <w:spacing w:before="0" w:after="0"/>
              <w:rPr>
                <w:rFonts w:cstheme="minorHAnsi"/>
              </w:rPr>
            </w:pPr>
            <w:r w:rsidRPr="00747E35">
              <w:rPr>
                <w:rFonts w:cstheme="minorHAnsi"/>
              </w:rPr>
              <w:t>28.08571</w:t>
            </w:r>
          </w:p>
        </w:tc>
        <w:tc>
          <w:tcPr>
            <w:tcW w:w="992" w:type="dxa"/>
            <w:vAlign w:val="bottom"/>
          </w:tcPr>
          <w:p w14:paraId="1769702C" w14:textId="77777777" w:rsidR="003D3694" w:rsidRPr="00747E35" w:rsidRDefault="003D3694" w:rsidP="0096743A">
            <w:pPr>
              <w:pStyle w:val="Tabletext"/>
              <w:spacing w:before="0" w:after="0"/>
              <w:rPr>
                <w:rFonts w:cstheme="minorHAnsi"/>
              </w:rPr>
            </w:pPr>
            <w:r w:rsidRPr="00747E35">
              <w:rPr>
                <w:rFonts w:cstheme="minorHAnsi"/>
              </w:rPr>
              <w:t>152.45796</w:t>
            </w:r>
          </w:p>
        </w:tc>
      </w:tr>
      <w:tr w:rsidR="003D3694" w:rsidRPr="00747E35" w14:paraId="2D717ADB" w14:textId="77777777" w:rsidTr="0096743A">
        <w:tc>
          <w:tcPr>
            <w:tcW w:w="847" w:type="dxa"/>
            <w:vAlign w:val="bottom"/>
          </w:tcPr>
          <w:p w14:paraId="19429DF4" w14:textId="77777777" w:rsidR="003D3694" w:rsidRPr="00747E35" w:rsidRDefault="003D3694" w:rsidP="0096743A">
            <w:pPr>
              <w:pStyle w:val="Tabletext"/>
              <w:spacing w:before="0" w:after="0"/>
              <w:rPr>
                <w:rFonts w:eastAsia="MS Mincho" w:cstheme="minorHAnsi"/>
              </w:rPr>
            </w:pPr>
            <w:r w:rsidRPr="00747E35">
              <w:rPr>
                <w:rFonts w:cstheme="minorHAnsi"/>
              </w:rPr>
              <w:t>MCI_F4</w:t>
            </w:r>
          </w:p>
        </w:tc>
        <w:tc>
          <w:tcPr>
            <w:tcW w:w="1134" w:type="dxa"/>
          </w:tcPr>
          <w:p w14:paraId="2BB25BA7" w14:textId="77777777" w:rsidR="003D3694" w:rsidRPr="00747E35" w:rsidRDefault="003D3694" w:rsidP="0096743A">
            <w:pPr>
              <w:pStyle w:val="Tabletext"/>
              <w:spacing w:before="0" w:after="0"/>
              <w:rPr>
                <w:rFonts w:eastAsia="MS Mincho" w:cstheme="minorHAnsi"/>
              </w:rPr>
            </w:pPr>
            <w:r w:rsidRPr="00747E35">
              <w:rPr>
                <w:rFonts w:cstheme="minorHAnsi"/>
              </w:rPr>
              <w:t>Intermittent</w:t>
            </w:r>
          </w:p>
        </w:tc>
        <w:tc>
          <w:tcPr>
            <w:tcW w:w="1104" w:type="dxa"/>
            <w:vAlign w:val="bottom"/>
          </w:tcPr>
          <w:p w14:paraId="7472F07A" w14:textId="77777777" w:rsidR="003D3694" w:rsidRPr="00747E35" w:rsidRDefault="003D3694" w:rsidP="0096743A">
            <w:pPr>
              <w:pStyle w:val="Tabletext"/>
              <w:spacing w:before="0" w:after="0"/>
              <w:rPr>
                <w:rFonts w:eastAsia="MS Mincho" w:cstheme="minorHAnsi"/>
              </w:rPr>
            </w:pPr>
            <w:r w:rsidRPr="00747E35">
              <w:rPr>
                <w:rFonts w:cstheme="minorHAnsi"/>
              </w:rPr>
              <w:t>Floodplain</w:t>
            </w:r>
          </w:p>
        </w:tc>
        <w:tc>
          <w:tcPr>
            <w:tcW w:w="992" w:type="dxa"/>
            <w:vAlign w:val="bottom"/>
          </w:tcPr>
          <w:p w14:paraId="78807E37" w14:textId="77777777" w:rsidR="003D3694" w:rsidRPr="00747E35" w:rsidRDefault="003D3694" w:rsidP="0096743A">
            <w:pPr>
              <w:pStyle w:val="Tabletext"/>
              <w:spacing w:before="0" w:after="0"/>
              <w:rPr>
                <w:rFonts w:eastAsia="MS Mincho" w:cstheme="minorHAnsi"/>
              </w:rPr>
            </w:pPr>
            <w:r w:rsidRPr="00747E35">
              <w:rPr>
                <w:rFonts w:cstheme="minorHAnsi"/>
              </w:rPr>
              <w:t>30.4942</w:t>
            </w:r>
          </w:p>
        </w:tc>
        <w:tc>
          <w:tcPr>
            <w:tcW w:w="993" w:type="dxa"/>
            <w:tcBorders>
              <w:right w:val="single" w:sz="4" w:space="0" w:color="auto"/>
            </w:tcBorders>
            <w:vAlign w:val="bottom"/>
          </w:tcPr>
          <w:p w14:paraId="7476F498" w14:textId="77777777" w:rsidR="003D3694" w:rsidRPr="00747E35" w:rsidRDefault="003D3694" w:rsidP="0096743A">
            <w:pPr>
              <w:pStyle w:val="Tabletext"/>
              <w:spacing w:before="0" w:after="0"/>
              <w:rPr>
                <w:rFonts w:eastAsia="MS Mincho" w:cstheme="minorHAnsi"/>
              </w:rPr>
            </w:pPr>
            <w:r w:rsidRPr="00747E35">
              <w:rPr>
                <w:rFonts w:cstheme="minorHAnsi"/>
              </w:rPr>
              <w:t>150.11879</w:t>
            </w:r>
          </w:p>
        </w:tc>
        <w:tc>
          <w:tcPr>
            <w:tcW w:w="992" w:type="dxa"/>
            <w:tcBorders>
              <w:left w:val="single" w:sz="4" w:space="0" w:color="auto"/>
            </w:tcBorders>
            <w:vAlign w:val="bottom"/>
          </w:tcPr>
          <w:p w14:paraId="12926BB9" w14:textId="77777777" w:rsidR="003D3694" w:rsidRPr="00747E35" w:rsidRDefault="003D3694" w:rsidP="0096743A">
            <w:pPr>
              <w:pStyle w:val="Tabletext"/>
              <w:spacing w:before="0" w:after="0"/>
              <w:rPr>
                <w:rFonts w:cstheme="minorHAnsi"/>
              </w:rPr>
            </w:pPr>
            <w:r w:rsidRPr="00747E35">
              <w:rPr>
                <w:rFonts w:cstheme="minorHAnsi"/>
              </w:rPr>
              <w:t>BWCI_F4</w:t>
            </w:r>
          </w:p>
        </w:tc>
        <w:tc>
          <w:tcPr>
            <w:tcW w:w="1134" w:type="dxa"/>
            <w:vAlign w:val="bottom"/>
          </w:tcPr>
          <w:p w14:paraId="163B5F77"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134" w:type="dxa"/>
            <w:vAlign w:val="bottom"/>
          </w:tcPr>
          <w:p w14:paraId="7ECA281A" w14:textId="77777777" w:rsidR="003D3694" w:rsidRPr="00747E35" w:rsidRDefault="003D3694" w:rsidP="0096743A">
            <w:pPr>
              <w:pStyle w:val="Tabletext"/>
              <w:spacing w:before="0" w:after="0"/>
              <w:rPr>
                <w:rFonts w:cstheme="minorHAnsi"/>
              </w:rPr>
            </w:pPr>
            <w:r w:rsidRPr="00747E35">
              <w:rPr>
                <w:rFonts w:cstheme="minorHAnsi"/>
              </w:rPr>
              <w:t>Floodplain</w:t>
            </w:r>
          </w:p>
        </w:tc>
        <w:tc>
          <w:tcPr>
            <w:tcW w:w="992" w:type="dxa"/>
            <w:vAlign w:val="bottom"/>
          </w:tcPr>
          <w:p w14:paraId="2C715F6A" w14:textId="77777777" w:rsidR="003D3694" w:rsidRPr="00747E35" w:rsidRDefault="003D3694" w:rsidP="0096743A">
            <w:pPr>
              <w:pStyle w:val="Tabletext"/>
              <w:spacing w:before="0" w:after="0"/>
              <w:rPr>
                <w:rFonts w:cstheme="minorHAnsi"/>
              </w:rPr>
            </w:pPr>
            <w:r w:rsidRPr="00747E35">
              <w:rPr>
                <w:rFonts w:cstheme="minorHAnsi"/>
              </w:rPr>
              <w:t>27.98433</w:t>
            </w:r>
          </w:p>
        </w:tc>
        <w:tc>
          <w:tcPr>
            <w:tcW w:w="992" w:type="dxa"/>
            <w:vAlign w:val="bottom"/>
          </w:tcPr>
          <w:p w14:paraId="146623A0" w14:textId="77777777" w:rsidR="003D3694" w:rsidRPr="00747E35" w:rsidRDefault="003D3694" w:rsidP="0096743A">
            <w:pPr>
              <w:pStyle w:val="Tabletext"/>
              <w:spacing w:before="0" w:after="0"/>
              <w:rPr>
                <w:rFonts w:cstheme="minorHAnsi"/>
              </w:rPr>
            </w:pPr>
            <w:r w:rsidRPr="00747E35">
              <w:rPr>
                <w:rFonts w:cstheme="minorHAnsi"/>
              </w:rPr>
              <w:t>152.44293</w:t>
            </w:r>
          </w:p>
        </w:tc>
      </w:tr>
      <w:tr w:rsidR="003D3694" w:rsidRPr="00747E35" w14:paraId="21E78E6F" w14:textId="77777777" w:rsidTr="0096743A">
        <w:tc>
          <w:tcPr>
            <w:tcW w:w="847" w:type="dxa"/>
            <w:vAlign w:val="bottom"/>
          </w:tcPr>
          <w:p w14:paraId="7582F334" w14:textId="77777777" w:rsidR="003D3694" w:rsidRPr="00747E35" w:rsidRDefault="003D3694" w:rsidP="0096743A">
            <w:pPr>
              <w:pStyle w:val="Tabletext"/>
              <w:spacing w:before="0" w:after="0"/>
              <w:rPr>
                <w:rFonts w:eastAsia="MS Mincho" w:cstheme="minorHAnsi"/>
              </w:rPr>
            </w:pPr>
            <w:r w:rsidRPr="00747E35">
              <w:rPr>
                <w:rFonts w:cstheme="minorHAnsi"/>
              </w:rPr>
              <w:t>MCI_F5</w:t>
            </w:r>
          </w:p>
        </w:tc>
        <w:tc>
          <w:tcPr>
            <w:tcW w:w="1134" w:type="dxa"/>
          </w:tcPr>
          <w:p w14:paraId="3BB91551" w14:textId="77777777" w:rsidR="003D3694" w:rsidRPr="00747E35" w:rsidRDefault="003D3694" w:rsidP="0096743A">
            <w:pPr>
              <w:pStyle w:val="Tabletext"/>
              <w:spacing w:before="0" w:after="0"/>
              <w:rPr>
                <w:rFonts w:eastAsia="MS Mincho" w:cstheme="minorHAnsi"/>
              </w:rPr>
            </w:pPr>
            <w:r w:rsidRPr="00747E35">
              <w:rPr>
                <w:rFonts w:cstheme="minorHAnsi"/>
              </w:rPr>
              <w:t>Intermittent</w:t>
            </w:r>
          </w:p>
        </w:tc>
        <w:tc>
          <w:tcPr>
            <w:tcW w:w="1104" w:type="dxa"/>
            <w:vAlign w:val="bottom"/>
          </w:tcPr>
          <w:p w14:paraId="46738EFB" w14:textId="77777777" w:rsidR="003D3694" w:rsidRPr="00747E35" w:rsidRDefault="003D3694" w:rsidP="0096743A">
            <w:pPr>
              <w:pStyle w:val="Tabletext"/>
              <w:spacing w:before="0" w:after="0"/>
              <w:rPr>
                <w:rFonts w:eastAsia="MS Mincho" w:cstheme="minorHAnsi"/>
              </w:rPr>
            </w:pPr>
            <w:r w:rsidRPr="00747E35">
              <w:rPr>
                <w:rFonts w:cstheme="minorHAnsi"/>
              </w:rPr>
              <w:t>Floodplain</w:t>
            </w:r>
          </w:p>
        </w:tc>
        <w:tc>
          <w:tcPr>
            <w:tcW w:w="992" w:type="dxa"/>
            <w:vAlign w:val="bottom"/>
          </w:tcPr>
          <w:p w14:paraId="5A4102C2" w14:textId="77777777" w:rsidR="003D3694" w:rsidRPr="00747E35" w:rsidRDefault="003D3694" w:rsidP="0096743A">
            <w:pPr>
              <w:pStyle w:val="Tabletext"/>
              <w:spacing w:before="0" w:after="0"/>
              <w:rPr>
                <w:rFonts w:eastAsia="MS Mincho" w:cstheme="minorHAnsi"/>
              </w:rPr>
            </w:pPr>
            <w:r w:rsidRPr="00747E35">
              <w:rPr>
                <w:rFonts w:cstheme="minorHAnsi"/>
              </w:rPr>
              <w:t>30.49398</w:t>
            </w:r>
          </w:p>
        </w:tc>
        <w:tc>
          <w:tcPr>
            <w:tcW w:w="993" w:type="dxa"/>
            <w:tcBorders>
              <w:right w:val="single" w:sz="4" w:space="0" w:color="auto"/>
            </w:tcBorders>
            <w:vAlign w:val="bottom"/>
          </w:tcPr>
          <w:p w14:paraId="0B13A293" w14:textId="77777777" w:rsidR="003D3694" w:rsidRPr="00747E35" w:rsidRDefault="003D3694" w:rsidP="0096743A">
            <w:pPr>
              <w:pStyle w:val="Tabletext"/>
              <w:spacing w:before="0" w:after="0"/>
              <w:rPr>
                <w:rFonts w:eastAsia="MS Mincho" w:cstheme="minorHAnsi"/>
              </w:rPr>
            </w:pPr>
            <w:r w:rsidRPr="00747E35">
              <w:rPr>
                <w:rFonts w:cstheme="minorHAnsi"/>
              </w:rPr>
              <w:t>150.11816</w:t>
            </w:r>
          </w:p>
        </w:tc>
        <w:tc>
          <w:tcPr>
            <w:tcW w:w="992" w:type="dxa"/>
            <w:tcBorders>
              <w:left w:val="single" w:sz="4" w:space="0" w:color="auto"/>
            </w:tcBorders>
            <w:vAlign w:val="bottom"/>
          </w:tcPr>
          <w:p w14:paraId="0B508991" w14:textId="77777777" w:rsidR="003D3694" w:rsidRPr="00747E35" w:rsidRDefault="003D3694" w:rsidP="0096743A">
            <w:pPr>
              <w:pStyle w:val="Tabletext"/>
              <w:spacing w:before="0" w:after="0"/>
              <w:rPr>
                <w:rFonts w:cstheme="minorHAnsi"/>
              </w:rPr>
            </w:pPr>
            <w:r w:rsidRPr="00747E35">
              <w:rPr>
                <w:rFonts w:cstheme="minorHAnsi"/>
              </w:rPr>
              <w:t>BWCI_F5</w:t>
            </w:r>
          </w:p>
        </w:tc>
        <w:tc>
          <w:tcPr>
            <w:tcW w:w="1134" w:type="dxa"/>
            <w:vAlign w:val="bottom"/>
          </w:tcPr>
          <w:p w14:paraId="2BBA40F1"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134" w:type="dxa"/>
            <w:vAlign w:val="bottom"/>
          </w:tcPr>
          <w:p w14:paraId="235A190C" w14:textId="77777777" w:rsidR="003D3694" w:rsidRPr="00747E35" w:rsidRDefault="003D3694" w:rsidP="0096743A">
            <w:pPr>
              <w:pStyle w:val="Tabletext"/>
              <w:spacing w:before="0" w:after="0"/>
              <w:rPr>
                <w:rFonts w:cstheme="minorHAnsi"/>
              </w:rPr>
            </w:pPr>
            <w:r w:rsidRPr="00747E35">
              <w:rPr>
                <w:rFonts w:cstheme="minorHAnsi"/>
              </w:rPr>
              <w:t>Floodplain</w:t>
            </w:r>
          </w:p>
        </w:tc>
        <w:tc>
          <w:tcPr>
            <w:tcW w:w="992" w:type="dxa"/>
            <w:vAlign w:val="bottom"/>
          </w:tcPr>
          <w:p w14:paraId="527F9D60" w14:textId="77777777" w:rsidR="003D3694" w:rsidRPr="00747E35" w:rsidRDefault="003D3694" w:rsidP="0096743A">
            <w:pPr>
              <w:pStyle w:val="Tabletext"/>
              <w:spacing w:before="0" w:after="0"/>
              <w:rPr>
                <w:rFonts w:cstheme="minorHAnsi"/>
              </w:rPr>
            </w:pPr>
            <w:r w:rsidRPr="00747E35">
              <w:rPr>
                <w:rFonts w:cstheme="minorHAnsi"/>
              </w:rPr>
              <w:t>27.98445</w:t>
            </w:r>
          </w:p>
        </w:tc>
        <w:tc>
          <w:tcPr>
            <w:tcW w:w="992" w:type="dxa"/>
            <w:vAlign w:val="bottom"/>
          </w:tcPr>
          <w:p w14:paraId="04C558AD" w14:textId="77777777" w:rsidR="003D3694" w:rsidRPr="00747E35" w:rsidRDefault="003D3694" w:rsidP="0096743A">
            <w:pPr>
              <w:pStyle w:val="Tabletext"/>
              <w:spacing w:before="0" w:after="0"/>
              <w:rPr>
                <w:rFonts w:cstheme="minorHAnsi"/>
              </w:rPr>
            </w:pPr>
            <w:r w:rsidRPr="00747E35">
              <w:rPr>
                <w:rFonts w:cstheme="minorHAnsi"/>
              </w:rPr>
              <w:t>152.44469</w:t>
            </w:r>
          </w:p>
        </w:tc>
      </w:tr>
      <w:tr w:rsidR="003D3694" w:rsidRPr="00747E35" w14:paraId="3633E278" w14:textId="77777777" w:rsidTr="0096743A">
        <w:tc>
          <w:tcPr>
            <w:tcW w:w="847" w:type="dxa"/>
            <w:vAlign w:val="bottom"/>
          </w:tcPr>
          <w:p w14:paraId="4B500AE5" w14:textId="77777777" w:rsidR="003D3694" w:rsidRPr="00747E35" w:rsidRDefault="003D3694" w:rsidP="0096743A">
            <w:pPr>
              <w:pStyle w:val="Tabletext"/>
              <w:spacing w:before="0" w:after="0"/>
              <w:rPr>
                <w:rFonts w:eastAsia="MS Mincho" w:cstheme="minorHAnsi"/>
              </w:rPr>
            </w:pPr>
            <w:r w:rsidRPr="00747E35">
              <w:rPr>
                <w:rFonts w:cstheme="minorHAnsi"/>
              </w:rPr>
              <w:t>MCI_R1</w:t>
            </w:r>
          </w:p>
        </w:tc>
        <w:tc>
          <w:tcPr>
            <w:tcW w:w="1134" w:type="dxa"/>
          </w:tcPr>
          <w:p w14:paraId="58BED379" w14:textId="77777777" w:rsidR="003D3694" w:rsidRPr="00747E35" w:rsidRDefault="003D3694" w:rsidP="0096743A">
            <w:pPr>
              <w:pStyle w:val="Tabletext"/>
              <w:spacing w:before="0" w:after="0"/>
              <w:rPr>
                <w:rFonts w:eastAsia="MS Mincho" w:cstheme="minorHAnsi"/>
              </w:rPr>
            </w:pPr>
            <w:r w:rsidRPr="00747E35">
              <w:rPr>
                <w:rFonts w:cstheme="minorHAnsi"/>
              </w:rPr>
              <w:t>Intermittent</w:t>
            </w:r>
          </w:p>
        </w:tc>
        <w:tc>
          <w:tcPr>
            <w:tcW w:w="1104" w:type="dxa"/>
            <w:vAlign w:val="bottom"/>
          </w:tcPr>
          <w:p w14:paraId="2BC3B275" w14:textId="77777777" w:rsidR="003D3694" w:rsidRPr="00747E35" w:rsidRDefault="003D3694" w:rsidP="0096743A">
            <w:pPr>
              <w:pStyle w:val="Tabletext"/>
              <w:spacing w:before="0" w:after="0"/>
              <w:rPr>
                <w:rFonts w:eastAsia="MS Mincho" w:cstheme="minorHAnsi"/>
              </w:rPr>
            </w:pPr>
            <w:r w:rsidRPr="00747E35">
              <w:rPr>
                <w:rFonts w:cstheme="minorHAnsi"/>
              </w:rPr>
              <w:t>Riparian</w:t>
            </w:r>
          </w:p>
        </w:tc>
        <w:tc>
          <w:tcPr>
            <w:tcW w:w="992" w:type="dxa"/>
            <w:vAlign w:val="bottom"/>
          </w:tcPr>
          <w:p w14:paraId="0DA202C1" w14:textId="77777777" w:rsidR="003D3694" w:rsidRPr="00747E35" w:rsidRDefault="003D3694" w:rsidP="0096743A">
            <w:pPr>
              <w:pStyle w:val="Tabletext"/>
              <w:spacing w:before="0" w:after="0"/>
              <w:rPr>
                <w:rFonts w:eastAsia="MS Mincho" w:cstheme="minorHAnsi"/>
              </w:rPr>
            </w:pPr>
            <w:r w:rsidRPr="00747E35">
              <w:rPr>
                <w:rFonts w:cstheme="minorHAnsi"/>
              </w:rPr>
              <w:t>30.45121</w:t>
            </w:r>
          </w:p>
        </w:tc>
        <w:tc>
          <w:tcPr>
            <w:tcW w:w="993" w:type="dxa"/>
            <w:tcBorders>
              <w:right w:val="single" w:sz="4" w:space="0" w:color="auto"/>
            </w:tcBorders>
            <w:vAlign w:val="bottom"/>
          </w:tcPr>
          <w:p w14:paraId="1B506E32" w14:textId="340B97D5" w:rsidR="003D3694" w:rsidRPr="00747E35" w:rsidRDefault="003D3694" w:rsidP="0096743A">
            <w:pPr>
              <w:pStyle w:val="Tabletext"/>
              <w:spacing w:before="0" w:after="0"/>
              <w:rPr>
                <w:rFonts w:eastAsia="MS Mincho" w:cstheme="minorHAnsi"/>
              </w:rPr>
            </w:pPr>
            <w:r w:rsidRPr="00747E35">
              <w:rPr>
                <w:rFonts w:cstheme="minorHAnsi"/>
              </w:rPr>
              <w:t>150.1756</w:t>
            </w:r>
            <w:r w:rsidR="00C80858" w:rsidRPr="00747E35">
              <w:rPr>
                <w:rFonts w:cstheme="minorHAnsi"/>
              </w:rPr>
              <w:t>0</w:t>
            </w:r>
          </w:p>
        </w:tc>
        <w:tc>
          <w:tcPr>
            <w:tcW w:w="992" w:type="dxa"/>
            <w:tcBorders>
              <w:left w:val="single" w:sz="4" w:space="0" w:color="auto"/>
            </w:tcBorders>
            <w:vAlign w:val="bottom"/>
          </w:tcPr>
          <w:p w14:paraId="77A043F6" w14:textId="77777777" w:rsidR="003D3694" w:rsidRPr="00747E35" w:rsidRDefault="003D3694" w:rsidP="0096743A">
            <w:pPr>
              <w:pStyle w:val="Tabletext"/>
              <w:spacing w:before="0" w:after="0"/>
              <w:rPr>
                <w:rFonts w:cstheme="minorHAnsi"/>
              </w:rPr>
            </w:pPr>
            <w:r w:rsidRPr="00747E35">
              <w:rPr>
                <w:rFonts w:cstheme="minorHAnsi"/>
              </w:rPr>
              <w:t>BCCI_R4</w:t>
            </w:r>
          </w:p>
        </w:tc>
        <w:tc>
          <w:tcPr>
            <w:tcW w:w="1134" w:type="dxa"/>
            <w:vAlign w:val="bottom"/>
          </w:tcPr>
          <w:p w14:paraId="5A5C1F5D"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134" w:type="dxa"/>
            <w:vAlign w:val="bottom"/>
          </w:tcPr>
          <w:p w14:paraId="1B2C1B50" w14:textId="77777777" w:rsidR="003D3694" w:rsidRPr="00747E35" w:rsidRDefault="003D3694" w:rsidP="0096743A">
            <w:pPr>
              <w:pStyle w:val="Tabletext"/>
              <w:spacing w:before="0" w:after="0"/>
              <w:rPr>
                <w:rFonts w:cstheme="minorHAnsi"/>
              </w:rPr>
            </w:pPr>
            <w:r w:rsidRPr="00747E35">
              <w:rPr>
                <w:rFonts w:cstheme="minorHAnsi"/>
              </w:rPr>
              <w:t>Riparian</w:t>
            </w:r>
          </w:p>
        </w:tc>
        <w:tc>
          <w:tcPr>
            <w:tcW w:w="992" w:type="dxa"/>
            <w:vAlign w:val="bottom"/>
          </w:tcPr>
          <w:p w14:paraId="06208E74" w14:textId="77777777" w:rsidR="003D3694" w:rsidRPr="00747E35" w:rsidRDefault="003D3694" w:rsidP="0096743A">
            <w:pPr>
              <w:pStyle w:val="Tabletext"/>
              <w:spacing w:before="0" w:after="0"/>
              <w:rPr>
                <w:rFonts w:cstheme="minorHAnsi"/>
              </w:rPr>
            </w:pPr>
            <w:r w:rsidRPr="00747E35">
              <w:rPr>
                <w:rFonts w:cstheme="minorHAnsi"/>
              </w:rPr>
              <w:t>28.08681</w:t>
            </w:r>
          </w:p>
        </w:tc>
        <w:tc>
          <w:tcPr>
            <w:tcW w:w="992" w:type="dxa"/>
            <w:vAlign w:val="bottom"/>
          </w:tcPr>
          <w:p w14:paraId="2A05A912" w14:textId="77777777" w:rsidR="003D3694" w:rsidRPr="00747E35" w:rsidRDefault="003D3694" w:rsidP="0096743A">
            <w:pPr>
              <w:pStyle w:val="Tabletext"/>
              <w:spacing w:before="0" w:after="0"/>
              <w:rPr>
                <w:rFonts w:cstheme="minorHAnsi"/>
              </w:rPr>
            </w:pPr>
            <w:r w:rsidRPr="00747E35">
              <w:rPr>
                <w:rFonts w:cstheme="minorHAnsi"/>
              </w:rPr>
              <w:t>152.45735</w:t>
            </w:r>
          </w:p>
        </w:tc>
      </w:tr>
      <w:tr w:rsidR="003D3694" w:rsidRPr="00747E35" w14:paraId="02C85DFC" w14:textId="77777777" w:rsidTr="0096743A">
        <w:tc>
          <w:tcPr>
            <w:tcW w:w="847" w:type="dxa"/>
            <w:vAlign w:val="bottom"/>
          </w:tcPr>
          <w:p w14:paraId="7F83E1A4" w14:textId="77777777" w:rsidR="003D3694" w:rsidRPr="00747E35" w:rsidRDefault="003D3694" w:rsidP="0096743A">
            <w:pPr>
              <w:pStyle w:val="Tabletext"/>
              <w:spacing w:before="0" w:after="0"/>
              <w:rPr>
                <w:rFonts w:eastAsia="MS Mincho" w:cstheme="minorHAnsi"/>
              </w:rPr>
            </w:pPr>
            <w:r w:rsidRPr="00747E35">
              <w:rPr>
                <w:rFonts w:cstheme="minorHAnsi"/>
              </w:rPr>
              <w:t>MCI_R2</w:t>
            </w:r>
          </w:p>
        </w:tc>
        <w:tc>
          <w:tcPr>
            <w:tcW w:w="1134" w:type="dxa"/>
          </w:tcPr>
          <w:p w14:paraId="01745ECC" w14:textId="77777777" w:rsidR="003D3694" w:rsidRPr="00747E35" w:rsidRDefault="003D3694" w:rsidP="0096743A">
            <w:pPr>
              <w:pStyle w:val="Tabletext"/>
              <w:spacing w:before="0" w:after="0"/>
              <w:rPr>
                <w:rFonts w:eastAsia="MS Mincho" w:cstheme="minorHAnsi"/>
              </w:rPr>
            </w:pPr>
            <w:r w:rsidRPr="00747E35">
              <w:rPr>
                <w:rFonts w:cstheme="minorHAnsi"/>
              </w:rPr>
              <w:t>Intermittent</w:t>
            </w:r>
          </w:p>
        </w:tc>
        <w:tc>
          <w:tcPr>
            <w:tcW w:w="1104" w:type="dxa"/>
            <w:vAlign w:val="bottom"/>
          </w:tcPr>
          <w:p w14:paraId="6865624B" w14:textId="77777777" w:rsidR="003D3694" w:rsidRPr="00747E35" w:rsidRDefault="003D3694" w:rsidP="0096743A">
            <w:pPr>
              <w:pStyle w:val="Tabletext"/>
              <w:spacing w:before="0" w:after="0"/>
              <w:rPr>
                <w:rFonts w:eastAsia="MS Mincho" w:cstheme="minorHAnsi"/>
              </w:rPr>
            </w:pPr>
            <w:r w:rsidRPr="00747E35">
              <w:rPr>
                <w:rFonts w:cstheme="minorHAnsi"/>
              </w:rPr>
              <w:t>Riparian</w:t>
            </w:r>
          </w:p>
        </w:tc>
        <w:tc>
          <w:tcPr>
            <w:tcW w:w="992" w:type="dxa"/>
            <w:vAlign w:val="bottom"/>
          </w:tcPr>
          <w:p w14:paraId="1478BB34" w14:textId="77777777" w:rsidR="003D3694" w:rsidRPr="00747E35" w:rsidRDefault="003D3694" w:rsidP="0096743A">
            <w:pPr>
              <w:pStyle w:val="Tabletext"/>
              <w:spacing w:before="0" w:after="0"/>
              <w:rPr>
                <w:rFonts w:eastAsia="MS Mincho" w:cstheme="minorHAnsi"/>
              </w:rPr>
            </w:pPr>
            <w:r w:rsidRPr="00747E35">
              <w:rPr>
                <w:rFonts w:cstheme="minorHAnsi"/>
              </w:rPr>
              <w:t>30.45183</w:t>
            </w:r>
          </w:p>
        </w:tc>
        <w:tc>
          <w:tcPr>
            <w:tcW w:w="993" w:type="dxa"/>
            <w:tcBorders>
              <w:right w:val="single" w:sz="4" w:space="0" w:color="auto"/>
            </w:tcBorders>
            <w:vAlign w:val="bottom"/>
          </w:tcPr>
          <w:p w14:paraId="76B284AB" w14:textId="77777777" w:rsidR="003D3694" w:rsidRPr="00747E35" w:rsidRDefault="003D3694" w:rsidP="0096743A">
            <w:pPr>
              <w:pStyle w:val="Tabletext"/>
              <w:spacing w:before="0" w:after="0"/>
              <w:rPr>
                <w:rFonts w:eastAsia="MS Mincho" w:cstheme="minorHAnsi"/>
              </w:rPr>
            </w:pPr>
            <w:r w:rsidRPr="00747E35">
              <w:rPr>
                <w:rFonts w:cstheme="minorHAnsi"/>
              </w:rPr>
              <w:t>150.17488</w:t>
            </w:r>
          </w:p>
        </w:tc>
        <w:tc>
          <w:tcPr>
            <w:tcW w:w="992" w:type="dxa"/>
            <w:tcBorders>
              <w:left w:val="single" w:sz="4" w:space="0" w:color="auto"/>
            </w:tcBorders>
            <w:vAlign w:val="bottom"/>
          </w:tcPr>
          <w:p w14:paraId="3998789A" w14:textId="77777777" w:rsidR="003D3694" w:rsidRPr="00747E35" w:rsidRDefault="003D3694" w:rsidP="0096743A">
            <w:pPr>
              <w:pStyle w:val="Tabletext"/>
              <w:spacing w:before="0" w:after="0"/>
              <w:rPr>
                <w:rFonts w:cstheme="minorHAnsi"/>
              </w:rPr>
            </w:pPr>
            <w:r w:rsidRPr="00747E35">
              <w:rPr>
                <w:rFonts w:cstheme="minorHAnsi"/>
              </w:rPr>
              <w:t>BUBI_R1</w:t>
            </w:r>
          </w:p>
        </w:tc>
        <w:tc>
          <w:tcPr>
            <w:tcW w:w="1134" w:type="dxa"/>
            <w:vAlign w:val="bottom"/>
          </w:tcPr>
          <w:p w14:paraId="295775C0"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134" w:type="dxa"/>
            <w:vAlign w:val="bottom"/>
          </w:tcPr>
          <w:p w14:paraId="1B4D1D5F" w14:textId="77777777" w:rsidR="003D3694" w:rsidRPr="00747E35" w:rsidRDefault="003D3694" w:rsidP="0096743A">
            <w:pPr>
              <w:pStyle w:val="Tabletext"/>
              <w:spacing w:before="0" w:after="0"/>
              <w:rPr>
                <w:rFonts w:cstheme="minorHAnsi"/>
              </w:rPr>
            </w:pPr>
            <w:r w:rsidRPr="00747E35">
              <w:rPr>
                <w:rFonts w:cstheme="minorHAnsi"/>
              </w:rPr>
              <w:t>Riparian</w:t>
            </w:r>
          </w:p>
        </w:tc>
        <w:tc>
          <w:tcPr>
            <w:tcW w:w="992" w:type="dxa"/>
            <w:vAlign w:val="bottom"/>
          </w:tcPr>
          <w:p w14:paraId="786C7816" w14:textId="77777777" w:rsidR="003D3694" w:rsidRPr="00747E35" w:rsidRDefault="003D3694" w:rsidP="0096743A">
            <w:pPr>
              <w:pStyle w:val="Tabletext"/>
              <w:spacing w:before="0" w:after="0"/>
              <w:rPr>
                <w:rFonts w:cstheme="minorHAnsi"/>
              </w:rPr>
            </w:pPr>
            <w:r w:rsidRPr="00747E35">
              <w:rPr>
                <w:rFonts w:cstheme="minorHAnsi"/>
              </w:rPr>
              <w:t>27.94108</w:t>
            </w:r>
          </w:p>
        </w:tc>
        <w:tc>
          <w:tcPr>
            <w:tcW w:w="992" w:type="dxa"/>
            <w:vAlign w:val="bottom"/>
          </w:tcPr>
          <w:p w14:paraId="7447D522" w14:textId="77777777" w:rsidR="003D3694" w:rsidRPr="00747E35" w:rsidRDefault="003D3694" w:rsidP="0096743A">
            <w:pPr>
              <w:pStyle w:val="Tabletext"/>
              <w:spacing w:before="0" w:after="0"/>
              <w:rPr>
                <w:rFonts w:cstheme="minorHAnsi"/>
              </w:rPr>
            </w:pPr>
            <w:r w:rsidRPr="00747E35">
              <w:rPr>
                <w:rFonts w:cstheme="minorHAnsi"/>
              </w:rPr>
              <w:t>152.45604</w:t>
            </w:r>
          </w:p>
        </w:tc>
      </w:tr>
      <w:tr w:rsidR="003D3694" w:rsidRPr="00747E35" w14:paraId="26FD80F4" w14:textId="77777777" w:rsidTr="0096743A">
        <w:tc>
          <w:tcPr>
            <w:tcW w:w="847" w:type="dxa"/>
            <w:vAlign w:val="bottom"/>
          </w:tcPr>
          <w:p w14:paraId="5BCA3DEC" w14:textId="77777777" w:rsidR="003D3694" w:rsidRPr="00747E35" w:rsidRDefault="003D3694" w:rsidP="0096743A">
            <w:pPr>
              <w:pStyle w:val="Tabletext"/>
              <w:spacing w:before="0" w:after="0"/>
              <w:rPr>
                <w:rFonts w:eastAsia="MS Mincho" w:cstheme="minorHAnsi"/>
              </w:rPr>
            </w:pPr>
            <w:r w:rsidRPr="00747E35">
              <w:rPr>
                <w:rFonts w:cstheme="minorHAnsi"/>
              </w:rPr>
              <w:t>MCI_R3</w:t>
            </w:r>
          </w:p>
        </w:tc>
        <w:tc>
          <w:tcPr>
            <w:tcW w:w="1134" w:type="dxa"/>
          </w:tcPr>
          <w:p w14:paraId="78B67B79" w14:textId="77777777" w:rsidR="003D3694" w:rsidRPr="00747E35" w:rsidRDefault="003D3694" w:rsidP="0096743A">
            <w:pPr>
              <w:pStyle w:val="Tabletext"/>
              <w:spacing w:before="0" w:after="0"/>
              <w:rPr>
                <w:rFonts w:eastAsia="MS Mincho" w:cstheme="minorHAnsi"/>
              </w:rPr>
            </w:pPr>
            <w:r w:rsidRPr="00747E35">
              <w:rPr>
                <w:rFonts w:cstheme="minorHAnsi"/>
              </w:rPr>
              <w:t>Intermittent</w:t>
            </w:r>
          </w:p>
        </w:tc>
        <w:tc>
          <w:tcPr>
            <w:tcW w:w="1104" w:type="dxa"/>
            <w:vAlign w:val="bottom"/>
          </w:tcPr>
          <w:p w14:paraId="0BABC1A7" w14:textId="77777777" w:rsidR="003D3694" w:rsidRPr="00747E35" w:rsidRDefault="003D3694" w:rsidP="0096743A">
            <w:pPr>
              <w:pStyle w:val="Tabletext"/>
              <w:spacing w:before="0" w:after="0"/>
              <w:rPr>
                <w:rFonts w:eastAsia="MS Mincho" w:cstheme="minorHAnsi"/>
              </w:rPr>
            </w:pPr>
            <w:r w:rsidRPr="00747E35">
              <w:rPr>
                <w:rFonts w:cstheme="minorHAnsi"/>
              </w:rPr>
              <w:t>Riparian</w:t>
            </w:r>
          </w:p>
        </w:tc>
        <w:tc>
          <w:tcPr>
            <w:tcW w:w="992" w:type="dxa"/>
            <w:vAlign w:val="bottom"/>
          </w:tcPr>
          <w:p w14:paraId="5730DE56" w14:textId="77777777" w:rsidR="003D3694" w:rsidRPr="00747E35" w:rsidRDefault="003D3694" w:rsidP="0096743A">
            <w:pPr>
              <w:pStyle w:val="Tabletext"/>
              <w:spacing w:before="0" w:after="0"/>
              <w:rPr>
                <w:rFonts w:cstheme="minorHAnsi"/>
              </w:rPr>
            </w:pPr>
            <w:r w:rsidRPr="00747E35">
              <w:rPr>
                <w:rFonts w:cstheme="minorHAnsi"/>
              </w:rPr>
              <w:t>30.45091</w:t>
            </w:r>
          </w:p>
        </w:tc>
        <w:tc>
          <w:tcPr>
            <w:tcW w:w="993" w:type="dxa"/>
            <w:tcBorders>
              <w:right w:val="single" w:sz="4" w:space="0" w:color="auto"/>
            </w:tcBorders>
            <w:vAlign w:val="bottom"/>
          </w:tcPr>
          <w:p w14:paraId="08CE6BB4" w14:textId="77777777" w:rsidR="003D3694" w:rsidRPr="00747E35" w:rsidRDefault="003D3694" w:rsidP="0096743A">
            <w:pPr>
              <w:pStyle w:val="Tabletext"/>
              <w:spacing w:before="0" w:after="0"/>
              <w:rPr>
                <w:rFonts w:cstheme="minorHAnsi"/>
              </w:rPr>
            </w:pPr>
            <w:r w:rsidRPr="00747E35">
              <w:rPr>
                <w:rFonts w:cstheme="minorHAnsi"/>
              </w:rPr>
              <w:t>150.17569</w:t>
            </w:r>
          </w:p>
        </w:tc>
        <w:tc>
          <w:tcPr>
            <w:tcW w:w="992" w:type="dxa"/>
            <w:tcBorders>
              <w:left w:val="single" w:sz="4" w:space="0" w:color="auto"/>
            </w:tcBorders>
            <w:vAlign w:val="bottom"/>
          </w:tcPr>
          <w:p w14:paraId="72067F6D" w14:textId="77777777" w:rsidR="003D3694" w:rsidRPr="00747E35" w:rsidRDefault="003D3694" w:rsidP="0096743A">
            <w:pPr>
              <w:pStyle w:val="Tabletext"/>
              <w:spacing w:before="0" w:after="0"/>
              <w:rPr>
                <w:rFonts w:cstheme="minorHAnsi"/>
              </w:rPr>
            </w:pPr>
            <w:r w:rsidRPr="00747E35">
              <w:rPr>
                <w:rFonts w:cstheme="minorHAnsi"/>
              </w:rPr>
              <w:t>BUBI_R2</w:t>
            </w:r>
          </w:p>
        </w:tc>
        <w:tc>
          <w:tcPr>
            <w:tcW w:w="1134" w:type="dxa"/>
            <w:vAlign w:val="bottom"/>
          </w:tcPr>
          <w:p w14:paraId="7E536AC9"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134" w:type="dxa"/>
            <w:vAlign w:val="bottom"/>
          </w:tcPr>
          <w:p w14:paraId="61349A54" w14:textId="77777777" w:rsidR="003D3694" w:rsidRPr="00747E35" w:rsidRDefault="003D3694" w:rsidP="0096743A">
            <w:pPr>
              <w:pStyle w:val="Tabletext"/>
              <w:spacing w:before="0" w:after="0"/>
              <w:rPr>
                <w:rFonts w:cstheme="minorHAnsi"/>
              </w:rPr>
            </w:pPr>
            <w:r w:rsidRPr="00747E35">
              <w:rPr>
                <w:rFonts w:cstheme="minorHAnsi"/>
              </w:rPr>
              <w:t>Riparian</w:t>
            </w:r>
          </w:p>
        </w:tc>
        <w:tc>
          <w:tcPr>
            <w:tcW w:w="992" w:type="dxa"/>
            <w:vAlign w:val="bottom"/>
          </w:tcPr>
          <w:p w14:paraId="3A11655A" w14:textId="77777777" w:rsidR="003D3694" w:rsidRPr="00747E35" w:rsidRDefault="003D3694" w:rsidP="0096743A">
            <w:pPr>
              <w:pStyle w:val="Tabletext"/>
              <w:spacing w:before="0" w:after="0"/>
              <w:rPr>
                <w:rFonts w:cstheme="minorHAnsi"/>
              </w:rPr>
            </w:pPr>
            <w:r w:rsidRPr="00747E35">
              <w:rPr>
                <w:rFonts w:cstheme="minorHAnsi"/>
              </w:rPr>
              <w:t>27.94185</w:t>
            </w:r>
          </w:p>
        </w:tc>
        <w:tc>
          <w:tcPr>
            <w:tcW w:w="992" w:type="dxa"/>
            <w:vAlign w:val="bottom"/>
          </w:tcPr>
          <w:p w14:paraId="486A098F" w14:textId="1F6C9D85" w:rsidR="003D3694" w:rsidRPr="00747E35" w:rsidRDefault="003D3694" w:rsidP="0096743A">
            <w:pPr>
              <w:pStyle w:val="Tabletext"/>
              <w:spacing w:before="0" w:after="0"/>
              <w:rPr>
                <w:rFonts w:cstheme="minorHAnsi"/>
              </w:rPr>
            </w:pPr>
            <w:r w:rsidRPr="00747E35">
              <w:rPr>
                <w:rFonts w:cstheme="minorHAnsi"/>
              </w:rPr>
              <w:t>152.4558</w:t>
            </w:r>
            <w:r w:rsidR="00C80858" w:rsidRPr="00747E35">
              <w:rPr>
                <w:rFonts w:cstheme="minorHAnsi"/>
              </w:rPr>
              <w:t>0</w:t>
            </w:r>
          </w:p>
        </w:tc>
      </w:tr>
      <w:tr w:rsidR="003D3694" w:rsidRPr="00747E35" w14:paraId="311BB1CA" w14:textId="77777777" w:rsidTr="0096743A">
        <w:tc>
          <w:tcPr>
            <w:tcW w:w="847" w:type="dxa"/>
            <w:vAlign w:val="bottom"/>
          </w:tcPr>
          <w:p w14:paraId="6648C77C" w14:textId="77777777" w:rsidR="003D3694" w:rsidRPr="00747E35" w:rsidRDefault="003D3694" w:rsidP="0096743A">
            <w:pPr>
              <w:pStyle w:val="Tabletext"/>
              <w:spacing w:before="0" w:after="0"/>
              <w:rPr>
                <w:rFonts w:eastAsia="MS Mincho" w:cstheme="minorHAnsi"/>
              </w:rPr>
            </w:pPr>
            <w:r w:rsidRPr="00747E35">
              <w:rPr>
                <w:rFonts w:cstheme="minorHAnsi"/>
              </w:rPr>
              <w:t>MCI_R4</w:t>
            </w:r>
          </w:p>
        </w:tc>
        <w:tc>
          <w:tcPr>
            <w:tcW w:w="1134" w:type="dxa"/>
          </w:tcPr>
          <w:p w14:paraId="1119DEC1" w14:textId="77777777" w:rsidR="003D3694" w:rsidRPr="00747E35" w:rsidRDefault="003D3694" w:rsidP="0096743A">
            <w:pPr>
              <w:pStyle w:val="Tabletext"/>
              <w:spacing w:before="0" w:after="0"/>
              <w:rPr>
                <w:rFonts w:eastAsia="MS Mincho" w:cstheme="minorHAnsi"/>
              </w:rPr>
            </w:pPr>
            <w:r w:rsidRPr="00747E35">
              <w:rPr>
                <w:rFonts w:cstheme="minorHAnsi"/>
              </w:rPr>
              <w:t>Intermittent</w:t>
            </w:r>
          </w:p>
        </w:tc>
        <w:tc>
          <w:tcPr>
            <w:tcW w:w="1104" w:type="dxa"/>
            <w:vAlign w:val="bottom"/>
          </w:tcPr>
          <w:p w14:paraId="28834B83" w14:textId="77777777" w:rsidR="003D3694" w:rsidRPr="00747E35" w:rsidRDefault="003D3694" w:rsidP="0096743A">
            <w:pPr>
              <w:pStyle w:val="Tabletext"/>
              <w:spacing w:before="0" w:after="0"/>
              <w:rPr>
                <w:rFonts w:eastAsia="MS Mincho" w:cstheme="minorHAnsi"/>
              </w:rPr>
            </w:pPr>
            <w:r w:rsidRPr="00747E35">
              <w:rPr>
                <w:rFonts w:cstheme="minorHAnsi"/>
              </w:rPr>
              <w:t>Riparian</w:t>
            </w:r>
          </w:p>
        </w:tc>
        <w:tc>
          <w:tcPr>
            <w:tcW w:w="992" w:type="dxa"/>
            <w:vAlign w:val="bottom"/>
          </w:tcPr>
          <w:p w14:paraId="4FF4994F" w14:textId="77777777" w:rsidR="003D3694" w:rsidRPr="00747E35" w:rsidRDefault="003D3694" w:rsidP="0096743A">
            <w:pPr>
              <w:pStyle w:val="Tabletext"/>
              <w:spacing w:before="0" w:after="0"/>
              <w:rPr>
                <w:rFonts w:cstheme="minorHAnsi"/>
              </w:rPr>
            </w:pPr>
            <w:r w:rsidRPr="00747E35">
              <w:rPr>
                <w:rFonts w:cstheme="minorHAnsi"/>
              </w:rPr>
              <w:t>30.46519</w:t>
            </w:r>
          </w:p>
        </w:tc>
        <w:tc>
          <w:tcPr>
            <w:tcW w:w="993" w:type="dxa"/>
            <w:tcBorders>
              <w:right w:val="single" w:sz="4" w:space="0" w:color="auto"/>
            </w:tcBorders>
            <w:vAlign w:val="bottom"/>
          </w:tcPr>
          <w:p w14:paraId="75AA58CB" w14:textId="77777777" w:rsidR="003D3694" w:rsidRPr="00747E35" w:rsidRDefault="003D3694" w:rsidP="0096743A">
            <w:pPr>
              <w:pStyle w:val="Tabletext"/>
              <w:spacing w:before="0" w:after="0"/>
              <w:rPr>
                <w:rFonts w:cstheme="minorHAnsi"/>
              </w:rPr>
            </w:pPr>
            <w:r w:rsidRPr="00747E35">
              <w:rPr>
                <w:rFonts w:cstheme="minorHAnsi"/>
              </w:rPr>
              <w:t>150.16405</w:t>
            </w:r>
          </w:p>
        </w:tc>
        <w:tc>
          <w:tcPr>
            <w:tcW w:w="992" w:type="dxa"/>
            <w:tcBorders>
              <w:left w:val="single" w:sz="4" w:space="0" w:color="auto"/>
            </w:tcBorders>
            <w:vAlign w:val="bottom"/>
          </w:tcPr>
          <w:p w14:paraId="231D4F92" w14:textId="77777777" w:rsidR="003D3694" w:rsidRPr="00747E35" w:rsidRDefault="003D3694" w:rsidP="0096743A">
            <w:pPr>
              <w:pStyle w:val="Tabletext"/>
              <w:spacing w:before="0" w:after="0"/>
              <w:rPr>
                <w:rFonts w:cstheme="minorHAnsi"/>
              </w:rPr>
            </w:pPr>
            <w:r w:rsidRPr="00747E35">
              <w:rPr>
                <w:rFonts w:cstheme="minorHAnsi"/>
              </w:rPr>
              <w:t>BWCI_R1</w:t>
            </w:r>
          </w:p>
        </w:tc>
        <w:tc>
          <w:tcPr>
            <w:tcW w:w="1134" w:type="dxa"/>
            <w:vAlign w:val="bottom"/>
          </w:tcPr>
          <w:p w14:paraId="36825634"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134" w:type="dxa"/>
            <w:vAlign w:val="bottom"/>
          </w:tcPr>
          <w:p w14:paraId="4131CB47" w14:textId="77777777" w:rsidR="003D3694" w:rsidRPr="00747E35" w:rsidRDefault="003D3694" w:rsidP="0096743A">
            <w:pPr>
              <w:pStyle w:val="Tabletext"/>
              <w:spacing w:before="0" w:after="0"/>
              <w:rPr>
                <w:rFonts w:cstheme="minorHAnsi"/>
              </w:rPr>
            </w:pPr>
            <w:r w:rsidRPr="00747E35">
              <w:rPr>
                <w:rFonts w:cstheme="minorHAnsi"/>
              </w:rPr>
              <w:t>Riparian</w:t>
            </w:r>
          </w:p>
        </w:tc>
        <w:tc>
          <w:tcPr>
            <w:tcW w:w="992" w:type="dxa"/>
            <w:vAlign w:val="bottom"/>
          </w:tcPr>
          <w:p w14:paraId="2E503A16" w14:textId="77777777" w:rsidR="003D3694" w:rsidRPr="00747E35" w:rsidRDefault="003D3694" w:rsidP="0096743A">
            <w:pPr>
              <w:pStyle w:val="Tabletext"/>
              <w:spacing w:before="0" w:after="0"/>
              <w:rPr>
                <w:rFonts w:cstheme="minorHAnsi"/>
              </w:rPr>
            </w:pPr>
            <w:r w:rsidRPr="00747E35">
              <w:rPr>
                <w:rFonts w:cstheme="minorHAnsi"/>
              </w:rPr>
              <w:t>28.10514</w:t>
            </w:r>
          </w:p>
        </w:tc>
        <w:tc>
          <w:tcPr>
            <w:tcW w:w="992" w:type="dxa"/>
            <w:vAlign w:val="bottom"/>
          </w:tcPr>
          <w:p w14:paraId="56D128EB" w14:textId="24E3B97B" w:rsidR="003D3694" w:rsidRPr="00747E35" w:rsidRDefault="003D3694" w:rsidP="0096743A">
            <w:pPr>
              <w:pStyle w:val="Tabletext"/>
              <w:spacing w:before="0" w:after="0"/>
              <w:rPr>
                <w:rFonts w:cstheme="minorHAnsi"/>
              </w:rPr>
            </w:pPr>
            <w:r w:rsidRPr="00747E35">
              <w:rPr>
                <w:rFonts w:cstheme="minorHAnsi"/>
              </w:rPr>
              <w:t>152.5143</w:t>
            </w:r>
            <w:r w:rsidR="00C80858" w:rsidRPr="00747E35">
              <w:rPr>
                <w:rFonts w:cstheme="minorHAnsi"/>
              </w:rPr>
              <w:t>0</w:t>
            </w:r>
          </w:p>
        </w:tc>
      </w:tr>
      <w:tr w:rsidR="003D3694" w:rsidRPr="00747E35" w14:paraId="72B1CA38" w14:textId="77777777" w:rsidTr="0096743A">
        <w:tc>
          <w:tcPr>
            <w:tcW w:w="847" w:type="dxa"/>
            <w:vAlign w:val="bottom"/>
          </w:tcPr>
          <w:p w14:paraId="0E8053E0" w14:textId="77777777" w:rsidR="003D3694" w:rsidRPr="00747E35" w:rsidRDefault="003D3694" w:rsidP="0096743A">
            <w:pPr>
              <w:pStyle w:val="Tabletext"/>
              <w:spacing w:before="0" w:after="0"/>
              <w:rPr>
                <w:rFonts w:eastAsia="MS Mincho" w:cstheme="minorHAnsi"/>
              </w:rPr>
            </w:pPr>
            <w:r w:rsidRPr="00747E35">
              <w:rPr>
                <w:rFonts w:cstheme="minorHAnsi"/>
              </w:rPr>
              <w:t>MCI_R5</w:t>
            </w:r>
          </w:p>
        </w:tc>
        <w:tc>
          <w:tcPr>
            <w:tcW w:w="1134" w:type="dxa"/>
          </w:tcPr>
          <w:p w14:paraId="6C1E6268" w14:textId="77777777" w:rsidR="003D3694" w:rsidRPr="00747E35" w:rsidRDefault="003D3694" w:rsidP="0096743A">
            <w:pPr>
              <w:pStyle w:val="Tabletext"/>
              <w:spacing w:before="0" w:after="0"/>
              <w:rPr>
                <w:rFonts w:eastAsia="MS Mincho" w:cstheme="minorHAnsi"/>
              </w:rPr>
            </w:pPr>
            <w:r w:rsidRPr="00747E35">
              <w:rPr>
                <w:rFonts w:cstheme="minorHAnsi"/>
              </w:rPr>
              <w:t>Intermittent</w:t>
            </w:r>
          </w:p>
        </w:tc>
        <w:tc>
          <w:tcPr>
            <w:tcW w:w="1104" w:type="dxa"/>
            <w:vAlign w:val="bottom"/>
          </w:tcPr>
          <w:p w14:paraId="64B22C29" w14:textId="77777777" w:rsidR="003D3694" w:rsidRPr="00747E35" w:rsidRDefault="003D3694" w:rsidP="0096743A">
            <w:pPr>
              <w:pStyle w:val="Tabletext"/>
              <w:spacing w:before="0" w:after="0"/>
              <w:rPr>
                <w:rFonts w:eastAsia="MS Mincho" w:cstheme="minorHAnsi"/>
              </w:rPr>
            </w:pPr>
            <w:r w:rsidRPr="00747E35">
              <w:rPr>
                <w:rFonts w:cstheme="minorHAnsi"/>
              </w:rPr>
              <w:t>Riparian</w:t>
            </w:r>
          </w:p>
        </w:tc>
        <w:tc>
          <w:tcPr>
            <w:tcW w:w="992" w:type="dxa"/>
            <w:vAlign w:val="bottom"/>
          </w:tcPr>
          <w:p w14:paraId="22550ED1" w14:textId="77777777" w:rsidR="003D3694" w:rsidRPr="00747E35" w:rsidRDefault="003D3694" w:rsidP="0096743A">
            <w:pPr>
              <w:pStyle w:val="Tabletext"/>
              <w:spacing w:before="0" w:after="0"/>
              <w:rPr>
                <w:rFonts w:cstheme="minorHAnsi"/>
              </w:rPr>
            </w:pPr>
            <w:r w:rsidRPr="00747E35">
              <w:rPr>
                <w:rFonts w:cstheme="minorHAnsi"/>
              </w:rPr>
              <w:t>30.49406</w:t>
            </w:r>
          </w:p>
        </w:tc>
        <w:tc>
          <w:tcPr>
            <w:tcW w:w="993" w:type="dxa"/>
            <w:tcBorders>
              <w:right w:val="single" w:sz="4" w:space="0" w:color="auto"/>
            </w:tcBorders>
            <w:vAlign w:val="bottom"/>
          </w:tcPr>
          <w:p w14:paraId="34262D4F" w14:textId="77777777" w:rsidR="003D3694" w:rsidRPr="00747E35" w:rsidRDefault="003D3694" w:rsidP="0096743A">
            <w:pPr>
              <w:pStyle w:val="Tabletext"/>
              <w:spacing w:before="0" w:after="0"/>
              <w:rPr>
                <w:rFonts w:cstheme="minorHAnsi"/>
              </w:rPr>
            </w:pPr>
            <w:r w:rsidRPr="00747E35">
              <w:rPr>
                <w:rFonts w:cstheme="minorHAnsi"/>
              </w:rPr>
              <w:t>150.12006</w:t>
            </w:r>
          </w:p>
        </w:tc>
        <w:tc>
          <w:tcPr>
            <w:tcW w:w="992" w:type="dxa"/>
            <w:tcBorders>
              <w:left w:val="single" w:sz="4" w:space="0" w:color="auto"/>
            </w:tcBorders>
            <w:vAlign w:val="bottom"/>
          </w:tcPr>
          <w:p w14:paraId="37A5112F" w14:textId="77777777" w:rsidR="003D3694" w:rsidRPr="00747E35" w:rsidRDefault="003D3694" w:rsidP="0096743A">
            <w:pPr>
              <w:pStyle w:val="Tabletext"/>
              <w:spacing w:before="0" w:after="0"/>
              <w:rPr>
                <w:rFonts w:cstheme="minorHAnsi"/>
              </w:rPr>
            </w:pPr>
            <w:r w:rsidRPr="00747E35">
              <w:rPr>
                <w:rFonts w:cstheme="minorHAnsi"/>
              </w:rPr>
              <w:t>BWCI_R2</w:t>
            </w:r>
          </w:p>
        </w:tc>
        <w:tc>
          <w:tcPr>
            <w:tcW w:w="1134" w:type="dxa"/>
            <w:vAlign w:val="bottom"/>
          </w:tcPr>
          <w:p w14:paraId="5290F79D"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134" w:type="dxa"/>
            <w:vAlign w:val="bottom"/>
          </w:tcPr>
          <w:p w14:paraId="1E781D13" w14:textId="77777777" w:rsidR="003D3694" w:rsidRPr="00747E35" w:rsidRDefault="003D3694" w:rsidP="0096743A">
            <w:pPr>
              <w:pStyle w:val="Tabletext"/>
              <w:spacing w:before="0" w:after="0"/>
              <w:rPr>
                <w:rFonts w:cstheme="minorHAnsi"/>
              </w:rPr>
            </w:pPr>
            <w:r w:rsidRPr="00747E35">
              <w:rPr>
                <w:rFonts w:cstheme="minorHAnsi"/>
              </w:rPr>
              <w:t>Riparian</w:t>
            </w:r>
          </w:p>
        </w:tc>
        <w:tc>
          <w:tcPr>
            <w:tcW w:w="992" w:type="dxa"/>
            <w:vAlign w:val="bottom"/>
          </w:tcPr>
          <w:p w14:paraId="01002FFB" w14:textId="77777777" w:rsidR="003D3694" w:rsidRPr="00747E35" w:rsidRDefault="003D3694" w:rsidP="0096743A">
            <w:pPr>
              <w:pStyle w:val="Tabletext"/>
              <w:spacing w:before="0" w:after="0"/>
              <w:rPr>
                <w:rFonts w:cstheme="minorHAnsi"/>
              </w:rPr>
            </w:pPr>
            <w:r w:rsidRPr="00747E35">
              <w:rPr>
                <w:rFonts w:cstheme="minorHAnsi"/>
              </w:rPr>
              <w:t>28.10593</w:t>
            </w:r>
          </w:p>
        </w:tc>
        <w:tc>
          <w:tcPr>
            <w:tcW w:w="992" w:type="dxa"/>
            <w:vAlign w:val="bottom"/>
          </w:tcPr>
          <w:p w14:paraId="7F3D6DFF" w14:textId="77777777" w:rsidR="003D3694" w:rsidRPr="00747E35" w:rsidRDefault="003D3694" w:rsidP="0096743A">
            <w:pPr>
              <w:pStyle w:val="Tabletext"/>
              <w:spacing w:before="0" w:after="0"/>
              <w:rPr>
                <w:rFonts w:cstheme="minorHAnsi"/>
              </w:rPr>
            </w:pPr>
            <w:r w:rsidRPr="00747E35">
              <w:rPr>
                <w:rFonts w:cstheme="minorHAnsi"/>
              </w:rPr>
              <w:t>152.51389</w:t>
            </w:r>
          </w:p>
        </w:tc>
      </w:tr>
      <w:tr w:rsidR="003D3694" w:rsidRPr="00747E35" w14:paraId="59F1270D" w14:textId="77777777" w:rsidTr="0096743A">
        <w:tc>
          <w:tcPr>
            <w:tcW w:w="847" w:type="dxa"/>
            <w:vAlign w:val="bottom"/>
          </w:tcPr>
          <w:p w14:paraId="29A7B204" w14:textId="77777777" w:rsidR="003D3694" w:rsidRPr="00747E35" w:rsidRDefault="003D3694" w:rsidP="0096743A">
            <w:pPr>
              <w:pStyle w:val="Tabletext"/>
              <w:spacing w:before="0" w:after="0"/>
              <w:rPr>
                <w:rFonts w:eastAsia="MS Mincho" w:cstheme="minorHAnsi"/>
              </w:rPr>
            </w:pPr>
            <w:r w:rsidRPr="00747E35">
              <w:rPr>
                <w:rFonts w:cstheme="minorHAnsi"/>
              </w:rPr>
              <w:t>MCI_T1</w:t>
            </w:r>
          </w:p>
        </w:tc>
        <w:tc>
          <w:tcPr>
            <w:tcW w:w="1134" w:type="dxa"/>
          </w:tcPr>
          <w:p w14:paraId="21651E0B" w14:textId="77777777" w:rsidR="003D3694" w:rsidRPr="00747E35" w:rsidRDefault="003D3694" w:rsidP="0096743A">
            <w:pPr>
              <w:pStyle w:val="Tabletext"/>
              <w:spacing w:before="0" w:after="0"/>
              <w:rPr>
                <w:rFonts w:cstheme="minorHAnsi"/>
              </w:rPr>
            </w:pPr>
          </w:p>
        </w:tc>
        <w:tc>
          <w:tcPr>
            <w:tcW w:w="1104" w:type="dxa"/>
            <w:vAlign w:val="bottom"/>
          </w:tcPr>
          <w:p w14:paraId="3F3E56A0" w14:textId="77777777" w:rsidR="003D3694" w:rsidRPr="00747E35" w:rsidRDefault="003D3694" w:rsidP="0096743A">
            <w:pPr>
              <w:pStyle w:val="Tabletext"/>
              <w:spacing w:before="0" w:after="0"/>
              <w:rPr>
                <w:rFonts w:eastAsia="MS Mincho" w:cstheme="minorHAnsi"/>
              </w:rPr>
            </w:pPr>
            <w:r w:rsidRPr="00747E35">
              <w:rPr>
                <w:rFonts w:cstheme="minorHAnsi"/>
              </w:rPr>
              <w:t>Terrestrial</w:t>
            </w:r>
          </w:p>
        </w:tc>
        <w:tc>
          <w:tcPr>
            <w:tcW w:w="992" w:type="dxa"/>
            <w:vAlign w:val="bottom"/>
          </w:tcPr>
          <w:p w14:paraId="558E0EAB" w14:textId="77777777" w:rsidR="003D3694" w:rsidRPr="00747E35" w:rsidRDefault="003D3694" w:rsidP="0096743A">
            <w:pPr>
              <w:pStyle w:val="Tabletext"/>
              <w:spacing w:before="0" w:after="0"/>
              <w:rPr>
                <w:rFonts w:cstheme="minorHAnsi"/>
              </w:rPr>
            </w:pPr>
            <w:r w:rsidRPr="00747E35">
              <w:rPr>
                <w:rFonts w:cstheme="minorHAnsi"/>
              </w:rPr>
              <w:t>30.46638</w:t>
            </w:r>
          </w:p>
        </w:tc>
        <w:tc>
          <w:tcPr>
            <w:tcW w:w="993" w:type="dxa"/>
            <w:tcBorders>
              <w:right w:val="single" w:sz="4" w:space="0" w:color="auto"/>
            </w:tcBorders>
            <w:vAlign w:val="bottom"/>
          </w:tcPr>
          <w:p w14:paraId="45D58818" w14:textId="77777777" w:rsidR="003D3694" w:rsidRPr="00747E35" w:rsidRDefault="003D3694" w:rsidP="0096743A">
            <w:pPr>
              <w:pStyle w:val="Tabletext"/>
              <w:spacing w:before="0" w:after="0"/>
              <w:rPr>
                <w:rFonts w:cstheme="minorHAnsi"/>
              </w:rPr>
            </w:pPr>
            <w:r w:rsidRPr="00747E35">
              <w:rPr>
                <w:rFonts w:cstheme="minorHAnsi"/>
              </w:rPr>
              <w:t>150.16743</w:t>
            </w:r>
          </w:p>
        </w:tc>
        <w:tc>
          <w:tcPr>
            <w:tcW w:w="992" w:type="dxa"/>
            <w:tcBorders>
              <w:left w:val="single" w:sz="4" w:space="0" w:color="auto"/>
            </w:tcBorders>
            <w:vAlign w:val="bottom"/>
          </w:tcPr>
          <w:p w14:paraId="2BD2CF9F" w14:textId="77777777" w:rsidR="003D3694" w:rsidRPr="00747E35" w:rsidRDefault="003D3694" w:rsidP="0096743A">
            <w:pPr>
              <w:pStyle w:val="Tabletext"/>
              <w:spacing w:before="0" w:after="0"/>
              <w:rPr>
                <w:rFonts w:cstheme="minorHAnsi"/>
              </w:rPr>
            </w:pPr>
            <w:r w:rsidRPr="00747E35">
              <w:rPr>
                <w:rFonts w:cstheme="minorHAnsi"/>
              </w:rPr>
              <w:t>BWCI_R3</w:t>
            </w:r>
          </w:p>
        </w:tc>
        <w:tc>
          <w:tcPr>
            <w:tcW w:w="1134" w:type="dxa"/>
            <w:vAlign w:val="bottom"/>
          </w:tcPr>
          <w:p w14:paraId="5173C480"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134" w:type="dxa"/>
            <w:vAlign w:val="bottom"/>
          </w:tcPr>
          <w:p w14:paraId="6146561D" w14:textId="77777777" w:rsidR="003D3694" w:rsidRPr="00747E35" w:rsidRDefault="003D3694" w:rsidP="0096743A">
            <w:pPr>
              <w:pStyle w:val="Tabletext"/>
              <w:spacing w:before="0" w:after="0"/>
              <w:rPr>
                <w:rFonts w:cstheme="minorHAnsi"/>
              </w:rPr>
            </w:pPr>
            <w:r w:rsidRPr="00747E35">
              <w:rPr>
                <w:rFonts w:cstheme="minorHAnsi"/>
              </w:rPr>
              <w:t>Riparian</w:t>
            </w:r>
          </w:p>
        </w:tc>
        <w:tc>
          <w:tcPr>
            <w:tcW w:w="992" w:type="dxa"/>
            <w:vAlign w:val="bottom"/>
          </w:tcPr>
          <w:p w14:paraId="62627ACA" w14:textId="77777777" w:rsidR="003D3694" w:rsidRPr="00747E35" w:rsidRDefault="003D3694" w:rsidP="0096743A">
            <w:pPr>
              <w:pStyle w:val="Tabletext"/>
              <w:spacing w:before="0" w:after="0"/>
              <w:rPr>
                <w:rFonts w:cstheme="minorHAnsi"/>
              </w:rPr>
            </w:pPr>
            <w:r w:rsidRPr="00747E35">
              <w:rPr>
                <w:rFonts w:cstheme="minorHAnsi"/>
              </w:rPr>
              <w:t>28.10716</w:t>
            </w:r>
          </w:p>
        </w:tc>
        <w:tc>
          <w:tcPr>
            <w:tcW w:w="992" w:type="dxa"/>
            <w:vAlign w:val="bottom"/>
          </w:tcPr>
          <w:p w14:paraId="770D7291" w14:textId="4F4F6612" w:rsidR="003D3694" w:rsidRPr="00747E35" w:rsidRDefault="003D3694" w:rsidP="0096743A">
            <w:pPr>
              <w:pStyle w:val="Tabletext"/>
              <w:spacing w:before="0" w:after="0"/>
              <w:rPr>
                <w:rFonts w:cstheme="minorHAnsi"/>
              </w:rPr>
            </w:pPr>
            <w:r w:rsidRPr="00747E35">
              <w:rPr>
                <w:rFonts w:cstheme="minorHAnsi"/>
              </w:rPr>
              <w:t>152.5129</w:t>
            </w:r>
            <w:r w:rsidR="00C80858" w:rsidRPr="00747E35">
              <w:rPr>
                <w:rFonts w:cstheme="minorHAnsi"/>
              </w:rPr>
              <w:t>0</w:t>
            </w:r>
          </w:p>
        </w:tc>
      </w:tr>
      <w:tr w:rsidR="003D3694" w:rsidRPr="00747E35" w14:paraId="6AB583FA" w14:textId="77777777" w:rsidTr="0096743A">
        <w:tc>
          <w:tcPr>
            <w:tcW w:w="847" w:type="dxa"/>
            <w:vAlign w:val="bottom"/>
          </w:tcPr>
          <w:p w14:paraId="1373F9AA" w14:textId="77777777" w:rsidR="003D3694" w:rsidRPr="00747E35" w:rsidRDefault="003D3694" w:rsidP="0096743A">
            <w:pPr>
              <w:pStyle w:val="Tabletext"/>
              <w:spacing w:before="0" w:after="0"/>
              <w:rPr>
                <w:rFonts w:eastAsia="MS Mincho" w:cstheme="minorHAnsi"/>
              </w:rPr>
            </w:pPr>
            <w:r w:rsidRPr="00747E35">
              <w:rPr>
                <w:rFonts w:cstheme="minorHAnsi"/>
              </w:rPr>
              <w:t>MCI_T2</w:t>
            </w:r>
          </w:p>
        </w:tc>
        <w:tc>
          <w:tcPr>
            <w:tcW w:w="1134" w:type="dxa"/>
          </w:tcPr>
          <w:p w14:paraId="633D9D5D" w14:textId="77777777" w:rsidR="003D3694" w:rsidRPr="00747E35" w:rsidRDefault="003D3694" w:rsidP="0096743A">
            <w:pPr>
              <w:pStyle w:val="Tabletext"/>
              <w:spacing w:before="0" w:after="0"/>
              <w:rPr>
                <w:rFonts w:cstheme="minorHAnsi"/>
              </w:rPr>
            </w:pPr>
          </w:p>
        </w:tc>
        <w:tc>
          <w:tcPr>
            <w:tcW w:w="1104" w:type="dxa"/>
            <w:vAlign w:val="bottom"/>
          </w:tcPr>
          <w:p w14:paraId="4DCAD1E0" w14:textId="77777777" w:rsidR="003D3694" w:rsidRPr="00747E35" w:rsidRDefault="003D3694" w:rsidP="0096743A">
            <w:pPr>
              <w:pStyle w:val="Tabletext"/>
              <w:spacing w:before="0" w:after="0"/>
              <w:rPr>
                <w:rFonts w:eastAsia="MS Mincho" w:cstheme="minorHAnsi"/>
              </w:rPr>
            </w:pPr>
            <w:r w:rsidRPr="00747E35">
              <w:rPr>
                <w:rFonts w:cstheme="minorHAnsi"/>
              </w:rPr>
              <w:t>Terrestrial</w:t>
            </w:r>
          </w:p>
        </w:tc>
        <w:tc>
          <w:tcPr>
            <w:tcW w:w="992" w:type="dxa"/>
            <w:vAlign w:val="bottom"/>
          </w:tcPr>
          <w:p w14:paraId="78E25716" w14:textId="77777777" w:rsidR="003D3694" w:rsidRPr="00747E35" w:rsidRDefault="003D3694" w:rsidP="0096743A">
            <w:pPr>
              <w:pStyle w:val="Tabletext"/>
              <w:spacing w:before="0" w:after="0"/>
              <w:rPr>
                <w:rFonts w:cstheme="minorHAnsi"/>
              </w:rPr>
            </w:pPr>
            <w:r w:rsidRPr="00747E35">
              <w:rPr>
                <w:rFonts w:cstheme="minorHAnsi"/>
              </w:rPr>
              <w:t>30.46873</w:t>
            </w:r>
          </w:p>
        </w:tc>
        <w:tc>
          <w:tcPr>
            <w:tcW w:w="993" w:type="dxa"/>
            <w:tcBorders>
              <w:right w:val="single" w:sz="4" w:space="0" w:color="auto"/>
            </w:tcBorders>
            <w:vAlign w:val="bottom"/>
          </w:tcPr>
          <w:p w14:paraId="1E33E998" w14:textId="77777777" w:rsidR="003D3694" w:rsidRPr="00747E35" w:rsidRDefault="003D3694" w:rsidP="0096743A">
            <w:pPr>
              <w:pStyle w:val="Tabletext"/>
              <w:spacing w:before="0" w:after="0"/>
              <w:rPr>
                <w:rFonts w:cstheme="minorHAnsi"/>
              </w:rPr>
            </w:pPr>
            <w:r w:rsidRPr="00747E35">
              <w:rPr>
                <w:rFonts w:cstheme="minorHAnsi"/>
              </w:rPr>
              <w:t>150.17416</w:t>
            </w:r>
          </w:p>
        </w:tc>
        <w:tc>
          <w:tcPr>
            <w:tcW w:w="992" w:type="dxa"/>
            <w:tcBorders>
              <w:left w:val="single" w:sz="4" w:space="0" w:color="auto"/>
            </w:tcBorders>
            <w:vAlign w:val="bottom"/>
          </w:tcPr>
          <w:p w14:paraId="489536C6" w14:textId="77777777" w:rsidR="003D3694" w:rsidRPr="00747E35" w:rsidRDefault="003D3694" w:rsidP="0096743A">
            <w:pPr>
              <w:pStyle w:val="Tabletext"/>
              <w:spacing w:before="0" w:after="0"/>
              <w:rPr>
                <w:rFonts w:cstheme="minorHAnsi"/>
              </w:rPr>
            </w:pPr>
            <w:r w:rsidRPr="00747E35">
              <w:rPr>
                <w:rFonts w:cstheme="minorHAnsi"/>
              </w:rPr>
              <w:t>BWRI_R1</w:t>
            </w:r>
          </w:p>
        </w:tc>
        <w:tc>
          <w:tcPr>
            <w:tcW w:w="1134" w:type="dxa"/>
            <w:vAlign w:val="bottom"/>
          </w:tcPr>
          <w:p w14:paraId="1F631981"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134" w:type="dxa"/>
            <w:vAlign w:val="bottom"/>
          </w:tcPr>
          <w:p w14:paraId="37D63FF5" w14:textId="77777777" w:rsidR="003D3694" w:rsidRPr="00747E35" w:rsidRDefault="003D3694" w:rsidP="0096743A">
            <w:pPr>
              <w:pStyle w:val="Tabletext"/>
              <w:spacing w:before="0" w:after="0"/>
              <w:rPr>
                <w:rFonts w:cstheme="minorHAnsi"/>
              </w:rPr>
            </w:pPr>
            <w:r w:rsidRPr="00747E35">
              <w:rPr>
                <w:rFonts w:cstheme="minorHAnsi"/>
              </w:rPr>
              <w:t>Riparian</w:t>
            </w:r>
          </w:p>
        </w:tc>
        <w:tc>
          <w:tcPr>
            <w:tcW w:w="992" w:type="dxa"/>
            <w:vAlign w:val="bottom"/>
          </w:tcPr>
          <w:p w14:paraId="31606888" w14:textId="77777777" w:rsidR="003D3694" w:rsidRPr="00747E35" w:rsidRDefault="003D3694" w:rsidP="0096743A">
            <w:pPr>
              <w:pStyle w:val="Tabletext"/>
              <w:spacing w:before="0" w:after="0"/>
              <w:rPr>
                <w:rFonts w:cstheme="minorHAnsi"/>
              </w:rPr>
            </w:pPr>
            <w:r w:rsidRPr="00747E35">
              <w:rPr>
                <w:rFonts w:cstheme="minorHAnsi"/>
              </w:rPr>
              <w:t>27.98488</w:t>
            </w:r>
          </w:p>
        </w:tc>
        <w:tc>
          <w:tcPr>
            <w:tcW w:w="992" w:type="dxa"/>
            <w:vAlign w:val="bottom"/>
          </w:tcPr>
          <w:p w14:paraId="5A96EAAB" w14:textId="77777777" w:rsidR="003D3694" w:rsidRPr="00747E35" w:rsidRDefault="003D3694" w:rsidP="0096743A">
            <w:pPr>
              <w:pStyle w:val="Tabletext"/>
              <w:spacing w:before="0" w:after="0"/>
              <w:rPr>
                <w:rFonts w:cstheme="minorHAnsi"/>
              </w:rPr>
            </w:pPr>
            <w:r w:rsidRPr="00747E35">
              <w:rPr>
                <w:rFonts w:cstheme="minorHAnsi"/>
              </w:rPr>
              <w:t>152.44682</w:t>
            </w:r>
          </w:p>
        </w:tc>
      </w:tr>
      <w:tr w:rsidR="003D3694" w:rsidRPr="00747E35" w14:paraId="5CE109C6" w14:textId="77777777" w:rsidTr="0096743A">
        <w:tc>
          <w:tcPr>
            <w:tcW w:w="847" w:type="dxa"/>
            <w:vAlign w:val="bottom"/>
          </w:tcPr>
          <w:p w14:paraId="5094F033" w14:textId="77777777" w:rsidR="003D3694" w:rsidRPr="00747E35" w:rsidRDefault="003D3694" w:rsidP="0096743A">
            <w:pPr>
              <w:pStyle w:val="Tabletext"/>
              <w:spacing w:before="0" w:after="0"/>
              <w:rPr>
                <w:rFonts w:eastAsia="MS Mincho" w:cstheme="minorHAnsi"/>
              </w:rPr>
            </w:pPr>
            <w:r w:rsidRPr="00747E35">
              <w:rPr>
                <w:rFonts w:cstheme="minorHAnsi"/>
              </w:rPr>
              <w:t>MCI_T3</w:t>
            </w:r>
          </w:p>
        </w:tc>
        <w:tc>
          <w:tcPr>
            <w:tcW w:w="1134" w:type="dxa"/>
          </w:tcPr>
          <w:p w14:paraId="7CCFC152" w14:textId="77777777" w:rsidR="003D3694" w:rsidRPr="00747E35" w:rsidRDefault="003D3694" w:rsidP="0096743A">
            <w:pPr>
              <w:pStyle w:val="Tabletext"/>
              <w:spacing w:before="0" w:after="0"/>
              <w:rPr>
                <w:rFonts w:cstheme="minorHAnsi"/>
              </w:rPr>
            </w:pPr>
          </w:p>
        </w:tc>
        <w:tc>
          <w:tcPr>
            <w:tcW w:w="1104" w:type="dxa"/>
            <w:vAlign w:val="bottom"/>
          </w:tcPr>
          <w:p w14:paraId="49385D1A" w14:textId="77777777" w:rsidR="003D3694" w:rsidRPr="00747E35" w:rsidRDefault="003D3694" w:rsidP="0096743A">
            <w:pPr>
              <w:pStyle w:val="Tabletext"/>
              <w:spacing w:before="0" w:after="0"/>
              <w:rPr>
                <w:rFonts w:eastAsia="MS Mincho" w:cstheme="minorHAnsi"/>
              </w:rPr>
            </w:pPr>
            <w:r w:rsidRPr="00747E35">
              <w:rPr>
                <w:rFonts w:cstheme="minorHAnsi"/>
              </w:rPr>
              <w:t>Terrestrial</w:t>
            </w:r>
          </w:p>
        </w:tc>
        <w:tc>
          <w:tcPr>
            <w:tcW w:w="992" w:type="dxa"/>
            <w:vAlign w:val="bottom"/>
          </w:tcPr>
          <w:p w14:paraId="12588118" w14:textId="77777777" w:rsidR="003D3694" w:rsidRPr="00747E35" w:rsidRDefault="003D3694" w:rsidP="0096743A">
            <w:pPr>
              <w:pStyle w:val="Tabletext"/>
              <w:spacing w:before="0" w:after="0"/>
              <w:rPr>
                <w:rFonts w:cstheme="minorHAnsi"/>
              </w:rPr>
            </w:pPr>
            <w:r w:rsidRPr="00747E35">
              <w:rPr>
                <w:rFonts w:cstheme="minorHAnsi"/>
              </w:rPr>
              <w:t>30.48102</w:t>
            </w:r>
          </w:p>
        </w:tc>
        <w:tc>
          <w:tcPr>
            <w:tcW w:w="993" w:type="dxa"/>
            <w:tcBorders>
              <w:right w:val="single" w:sz="4" w:space="0" w:color="auto"/>
            </w:tcBorders>
            <w:vAlign w:val="bottom"/>
          </w:tcPr>
          <w:p w14:paraId="685D369B" w14:textId="77777777" w:rsidR="003D3694" w:rsidRPr="00747E35" w:rsidRDefault="003D3694" w:rsidP="0096743A">
            <w:pPr>
              <w:pStyle w:val="Tabletext"/>
              <w:spacing w:before="0" w:after="0"/>
              <w:rPr>
                <w:rFonts w:cstheme="minorHAnsi"/>
              </w:rPr>
            </w:pPr>
            <w:r w:rsidRPr="00747E35">
              <w:rPr>
                <w:rFonts w:cstheme="minorHAnsi"/>
              </w:rPr>
              <w:t>150.12706</w:t>
            </w:r>
          </w:p>
        </w:tc>
        <w:tc>
          <w:tcPr>
            <w:tcW w:w="992" w:type="dxa"/>
            <w:tcBorders>
              <w:left w:val="single" w:sz="4" w:space="0" w:color="auto"/>
            </w:tcBorders>
            <w:vAlign w:val="bottom"/>
          </w:tcPr>
          <w:p w14:paraId="5B04BDAF" w14:textId="77777777" w:rsidR="003D3694" w:rsidRPr="00747E35" w:rsidRDefault="003D3694" w:rsidP="0096743A">
            <w:pPr>
              <w:pStyle w:val="Tabletext"/>
              <w:spacing w:before="0" w:after="0"/>
              <w:rPr>
                <w:rFonts w:cstheme="minorHAnsi"/>
              </w:rPr>
            </w:pPr>
            <w:r w:rsidRPr="00747E35">
              <w:rPr>
                <w:rFonts w:cstheme="minorHAnsi"/>
              </w:rPr>
              <w:t>BCCI_R5</w:t>
            </w:r>
          </w:p>
        </w:tc>
        <w:tc>
          <w:tcPr>
            <w:tcW w:w="1134" w:type="dxa"/>
            <w:vAlign w:val="bottom"/>
          </w:tcPr>
          <w:p w14:paraId="5FEDD98F"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134" w:type="dxa"/>
            <w:vAlign w:val="bottom"/>
          </w:tcPr>
          <w:p w14:paraId="42C02DDF" w14:textId="77777777" w:rsidR="003D3694" w:rsidRPr="00747E35" w:rsidRDefault="003D3694" w:rsidP="0096743A">
            <w:pPr>
              <w:pStyle w:val="Tabletext"/>
              <w:spacing w:before="0" w:after="0"/>
              <w:rPr>
                <w:rFonts w:cstheme="minorHAnsi"/>
              </w:rPr>
            </w:pPr>
            <w:r w:rsidRPr="00747E35">
              <w:rPr>
                <w:rFonts w:cstheme="minorHAnsi"/>
              </w:rPr>
              <w:t>Riparian</w:t>
            </w:r>
          </w:p>
        </w:tc>
        <w:tc>
          <w:tcPr>
            <w:tcW w:w="992" w:type="dxa"/>
            <w:vAlign w:val="bottom"/>
          </w:tcPr>
          <w:p w14:paraId="61ACA591" w14:textId="77777777" w:rsidR="003D3694" w:rsidRPr="00747E35" w:rsidRDefault="003D3694" w:rsidP="0096743A">
            <w:pPr>
              <w:pStyle w:val="Tabletext"/>
              <w:spacing w:before="0" w:after="0"/>
              <w:rPr>
                <w:rFonts w:cstheme="minorHAnsi"/>
              </w:rPr>
            </w:pPr>
            <w:r w:rsidRPr="00747E35">
              <w:rPr>
                <w:rFonts w:cstheme="minorHAnsi"/>
              </w:rPr>
              <w:t>28.08583</w:t>
            </w:r>
          </w:p>
        </w:tc>
        <w:tc>
          <w:tcPr>
            <w:tcW w:w="992" w:type="dxa"/>
            <w:vAlign w:val="bottom"/>
          </w:tcPr>
          <w:p w14:paraId="3758988C" w14:textId="77777777" w:rsidR="003D3694" w:rsidRPr="00747E35" w:rsidRDefault="003D3694" w:rsidP="0096743A">
            <w:pPr>
              <w:pStyle w:val="Tabletext"/>
              <w:spacing w:before="0" w:after="0"/>
              <w:rPr>
                <w:rFonts w:cstheme="minorHAnsi"/>
              </w:rPr>
            </w:pPr>
            <w:r w:rsidRPr="00747E35">
              <w:rPr>
                <w:rFonts w:cstheme="minorHAnsi"/>
              </w:rPr>
              <w:t>152.45781</w:t>
            </w:r>
          </w:p>
        </w:tc>
      </w:tr>
      <w:tr w:rsidR="003D3694" w:rsidRPr="00747E35" w14:paraId="1195DB00" w14:textId="77777777" w:rsidTr="0096743A">
        <w:tc>
          <w:tcPr>
            <w:tcW w:w="847" w:type="dxa"/>
            <w:vAlign w:val="bottom"/>
          </w:tcPr>
          <w:p w14:paraId="4040E5BE" w14:textId="77777777" w:rsidR="003D3694" w:rsidRPr="00747E35" w:rsidRDefault="003D3694" w:rsidP="0096743A">
            <w:pPr>
              <w:pStyle w:val="Tabletext"/>
              <w:spacing w:before="0" w:after="0"/>
              <w:rPr>
                <w:rFonts w:eastAsia="MS Mincho" w:cstheme="minorHAnsi"/>
              </w:rPr>
            </w:pPr>
            <w:r w:rsidRPr="00747E35">
              <w:rPr>
                <w:rFonts w:cstheme="minorHAnsi"/>
              </w:rPr>
              <w:t>MCI_T4</w:t>
            </w:r>
          </w:p>
        </w:tc>
        <w:tc>
          <w:tcPr>
            <w:tcW w:w="1134" w:type="dxa"/>
          </w:tcPr>
          <w:p w14:paraId="14BA8AAF" w14:textId="77777777" w:rsidR="003D3694" w:rsidRPr="00747E35" w:rsidRDefault="003D3694" w:rsidP="0096743A">
            <w:pPr>
              <w:pStyle w:val="Tabletext"/>
              <w:spacing w:before="0" w:after="0"/>
              <w:rPr>
                <w:rFonts w:cstheme="minorHAnsi"/>
              </w:rPr>
            </w:pPr>
          </w:p>
        </w:tc>
        <w:tc>
          <w:tcPr>
            <w:tcW w:w="1104" w:type="dxa"/>
            <w:vAlign w:val="bottom"/>
          </w:tcPr>
          <w:p w14:paraId="53671B30" w14:textId="77777777" w:rsidR="003D3694" w:rsidRPr="00747E35" w:rsidRDefault="003D3694" w:rsidP="0096743A">
            <w:pPr>
              <w:pStyle w:val="Tabletext"/>
              <w:spacing w:before="0" w:after="0"/>
              <w:rPr>
                <w:rFonts w:eastAsia="MS Mincho" w:cstheme="minorHAnsi"/>
              </w:rPr>
            </w:pPr>
            <w:r w:rsidRPr="00747E35">
              <w:rPr>
                <w:rFonts w:cstheme="minorHAnsi"/>
              </w:rPr>
              <w:t>Terrestrial</w:t>
            </w:r>
          </w:p>
        </w:tc>
        <w:tc>
          <w:tcPr>
            <w:tcW w:w="992" w:type="dxa"/>
            <w:vAlign w:val="bottom"/>
          </w:tcPr>
          <w:p w14:paraId="358AE272" w14:textId="77777777" w:rsidR="003D3694" w:rsidRPr="00747E35" w:rsidRDefault="003D3694" w:rsidP="0096743A">
            <w:pPr>
              <w:pStyle w:val="Tabletext"/>
              <w:spacing w:before="0" w:after="0"/>
              <w:rPr>
                <w:rFonts w:cstheme="minorHAnsi"/>
              </w:rPr>
            </w:pPr>
            <w:r w:rsidRPr="00747E35">
              <w:rPr>
                <w:rFonts w:cstheme="minorHAnsi"/>
              </w:rPr>
              <w:t>30.47998</w:t>
            </w:r>
          </w:p>
        </w:tc>
        <w:tc>
          <w:tcPr>
            <w:tcW w:w="993" w:type="dxa"/>
            <w:tcBorders>
              <w:right w:val="single" w:sz="4" w:space="0" w:color="auto"/>
            </w:tcBorders>
            <w:vAlign w:val="bottom"/>
          </w:tcPr>
          <w:p w14:paraId="2C1DF95F" w14:textId="77777777" w:rsidR="003D3694" w:rsidRPr="00747E35" w:rsidRDefault="003D3694" w:rsidP="0096743A">
            <w:pPr>
              <w:pStyle w:val="Tabletext"/>
              <w:spacing w:before="0" w:after="0"/>
              <w:rPr>
                <w:rFonts w:cstheme="minorHAnsi"/>
              </w:rPr>
            </w:pPr>
            <w:r w:rsidRPr="00747E35">
              <w:rPr>
                <w:rFonts w:cstheme="minorHAnsi"/>
              </w:rPr>
              <w:t>150.12794</w:t>
            </w:r>
          </w:p>
        </w:tc>
        <w:tc>
          <w:tcPr>
            <w:tcW w:w="992" w:type="dxa"/>
            <w:tcBorders>
              <w:left w:val="single" w:sz="4" w:space="0" w:color="auto"/>
            </w:tcBorders>
            <w:vAlign w:val="bottom"/>
          </w:tcPr>
          <w:p w14:paraId="14F46FB5" w14:textId="77777777" w:rsidR="003D3694" w:rsidRPr="00747E35" w:rsidRDefault="003D3694" w:rsidP="0096743A">
            <w:pPr>
              <w:pStyle w:val="Tabletext"/>
              <w:spacing w:before="0" w:after="0"/>
              <w:rPr>
                <w:rFonts w:cstheme="minorHAnsi"/>
              </w:rPr>
            </w:pPr>
            <w:r w:rsidRPr="00747E35">
              <w:rPr>
                <w:rFonts w:cstheme="minorHAnsi"/>
              </w:rPr>
              <w:t>BUBI_T1</w:t>
            </w:r>
          </w:p>
        </w:tc>
        <w:tc>
          <w:tcPr>
            <w:tcW w:w="1134" w:type="dxa"/>
            <w:vAlign w:val="bottom"/>
          </w:tcPr>
          <w:p w14:paraId="006E1D18" w14:textId="77777777" w:rsidR="003D3694" w:rsidRPr="00747E35" w:rsidRDefault="003D3694" w:rsidP="0096743A">
            <w:pPr>
              <w:pStyle w:val="Tabletext"/>
              <w:spacing w:before="0" w:after="0"/>
              <w:rPr>
                <w:rFonts w:cstheme="minorHAnsi"/>
              </w:rPr>
            </w:pPr>
          </w:p>
        </w:tc>
        <w:tc>
          <w:tcPr>
            <w:tcW w:w="1134" w:type="dxa"/>
            <w:vAlign w:val="bottom"/>
          </w:tcPr>
          <w:p w14:paraId="1B5EC6E3" w14:textId="77777777" w:rsidR="003D3694" w:rsidRPr="00747E35" w:rsidRDefault="003D3694" w:rsidP="0096743A">
            <w:pPr>
              <w:pStyle w:val="Tabletext"/>
              <w:spacing w:before="0" w:after="0"/>
              <w:rPr>
                <w:rFonts w:cstheme="minorHAnsi"/>
              </w:rPr>
            </w:pPr>
            <w:r w:rsidRPr="00747E35">
              <w:rPr>
                <w:rFonts w:cstheme="minorHAnsi"/>
              </w:rPr>
              <w:t>Terrestrial</w:t>
            </w:r>
          </w:p>
        </w:tc>
        <w:tc>
          <w:tcPr>
            <w:tcW w:w="992" w:type="dxa"/>
            <w:vAlign w:val="bottom"/>
          </w:tcPr>
          <w:p w14:paraId="1E00A98A" w14:textId="77777777" w:rsidR="003D3694" w:rsidRPr="00747E35" w:rsidRDefault="003D3694" w:rsidP="0096743A">
            <w:pPr>
              <w:pStyle w:val="Tabletext"/>
              <w:spacing w:before="0" w:after="0"/>
              <w:rPr>
                <w:rFonts w:cstheme="minorHAnsi"/>
              </w:rPr>
            </w:pPr>
            <w:r w:rsidRPr="00747E35">
              <w:rPr>
                <w:rFonts w:cstheme="minorHAnsi"/>
              </w:rPr>
              <w:t>27.94578</w:t>
            </w:r>
          </w:p>
        </w:tc>
        <w:tc>
          <w:tcPr>
            <w:tcW w:w="992" w:type="dxa"/>
            <w:vAlign w:val="bottom"/>
          </w:tcPr>
          <w:p w14:paraId="1A74E585" w14:textId="77777777" w:rsidR="003D3694" w:rsidRPr="00747E35" w:rsidRDefault="003D3694" w:rsidP="0096743A">
            <w:pPr>
              <w:pStyle w:val="Tabletext"/>
              <w:spacing w:before="0" w:after="0"/>
              <w:rPr>
                <w:rFonts w:cstheme="minorHAnsi"/>
              </w:rPr>
            </w:pPr>
            <w:r w:rsidRPr="00747E35">
              <w:rPr>
                <w:rFonts w:cstheme="minorHAnsi"/>
              </w:rPr>
              <w:t>152.45811</w:t>
            </w:r>
          </w:p>
        </w:tc>
      </w:tr>
      <w:tr w:rsidR="003D3694" w:rsidRPr="00747E35" w14:paraId="43B4C6D5" w14:textId="77777777" w:rsidTr="0096743A">
        <w:tc>
          <w:tcPr>
            <w:tcW w:w="847" w:type="dxa"/>
            <w:vAlign w:val="bottom"/>
          </w:tcPr>
          <w:p w14:paraId="3CFF4942" w14:textId="77777777" w:rsidR="003D3694" w:rsidRPr="00747E35" w:rsidRDefault="003D3694" w:rsidP="0096743A">
            <w:pPr>
              <w:pStyle w:val="Tabletext"/>
              <w:spacing w:before="0" w:after="0"/>
              <w:rPr>
                <w:rFonts w:eastAsia="MS Mincho" w:cstheme="minorHAnsi"/>
              </w:rPr>
            </w:pPr>
            <w:r w:rsidRPr="00747E35">
              <w:rPr>
                <w:rFonts w:cstheme="minorHAnsi"/>
              </w:rPr>
              <w:t>MCI_T5</w:t>
            </w:r>
          </w:p>
        </w:tc>
        <w:tc>
          <w:tcPr>
            <w:tcW w:w="1134" w:type="dxa"/>
          </w:tcPr>
          <w:p w14:paraId="28AA384A" w14:textId="77777777" w:rsidR="003D3694" w:rsidRPr="00747E35" w:rsidRDefault="003D3694" w:rsidP="0096743A">
            <w:pPr>
              <w:pStyle w:val="Tabletext"/>
              <w:spacing w:before="0" w:after="0"/>
              <w:rPr>
                <w:rFonts w:cstheme="minorHAnsi"/>
              </w:rPr>
            </w:pPr>
          </w:p>
        </w:tc>
        <w:tc>
          <w:tcPr>
            <w:tcW w:w="1104" w:type="dxa"/>
            <w:vAlign w:val="bottom"/>
          </w:tcPr>
          <w:p w14:paraId="253E3FCF" w14:textId="77777777" w:rsidR="003D3694" w:rsidRPr="00747E35" w:rsidRDefault="003D3694" w:rsidP="0096743A">
            <w:pPr>
              <w:pStyle w:val="Tabletext"/>
              <w:spacing w:before="0" w:after="0"/>
              <w:rPr>
                <w:rFonts w:eastAsia="MS Mincho" w:cstheme="minorHAnsi"/>
              </w:rPr>
            </w:pPr>
            <w:r w:rsidRPr="00747E35">
              <w:rPr>
                <w:rFonts w:cstheme="minorHAnsi"/>
              </w:rPr>
              <w:t>Terrestrial</w:t>
            </w:r>
          </w:p>
        </w:tc>
        <w:tc>
          <w:tcPr>
            <w:tcW w:w="992" w:type="dxa"/>
            <w:vAlign w:val="bottom"/>
          </w:tcPr>
          <w:p w14:paraId="6022A244" w14:textId="77777777" w:rsidR="003D3694" w:rsidRPr="00747E35" w:rsidRDefault="003D3694" w:rsidP="0096743A">
            <w:pPr>
              <w:pStyle w:val="Tabletext"/>
              <w:spacing w:before="0" w:after="0"/>
              <w:rPr>
                <w:rFonts w:cstheme="minorHAnsi"/>
              </w:rPr>
            </w:pPr>
            <w:r w:rsidRPr="00747E35">
              <w:rPr>
                <w:rFonts w:cstheme="minorHAnsi"/>
              </w:rPr>
              <w:t>30.48037</w:t>
            </w:r>
          </w:p>
        </w:tc>
        <w:tc>
          <w:tcPr>
            <w:tcW w:w="993" w:type="dxa"/>
            <w:tcBorders>
              <w:right w:val="single" w:sz="4" w:space="0" w:color="auto"/>
            </w:tcBorders>
            <w:vAlign w:val="bottom"/>
          </w:tcPr>
          <w:p w14:paraId="2BB80224" w14:textId="3BCC914F" w:rsidR="003D3694" w:rsidRPr="00747E35" w:rsidRDefault="003D3694" w:rsidP="0096743A">
            <w:pPr>
              <w:pStyle w:val="Tabletext"/>
              <w:spacing w:before="0" w:after="0"/>
              <w:rPr>
                <w:rFonts w:cstheme="minorHAnsi"/>
              </w:rPr>
            </w:pPr>
            <w:r w:rsidRPr="00747E35">
              <w:rPr>
                <w:rFonts w:cstheme="minorHAnsi"/>
              </w:rPr>
              <w:t>150.1259</w:t>
            </w:r>
            <w:r w:rsidR="00C80858" w:rsidRPr="00747E35">
              <w:rPr>
                <w:rFonts w:cstheme="minorHAnsi"/>
              </w:rPr>
              <w:t>0</w:t>
            </w:r>
          </w:p>
        </w:tc>
        <w:tc>
          <w:tcPr>
            <w:tcW w:w="992" w:type="dxa"/>
            <w:tcBorders>
              <w:left w:val="single" w:sz="4" w:space="0" w:color="auto"/>
            </w:tcBorders>
            <w:vAlign w:val="bottom"/>
          </w:tcPr>
          <w:p w14:paraId="4D36E715" w14:textId="77777777" w:rsidR="003D3694" w:rsidRPr="00747E35" w:rsidRDefault="003D3694" w:rsidP="0096743A">
            <w:pPr>
              <w:pStyle w:val="Tabletext"/>
              <w:spacing w:before="0" w:after="0"/>
              <w:rPr>
                <w:rFonts w:cstheme="minorHAnsi"/>
              </w:rPr>
            </w:pPr>
            <w:r w:rsidRPr="00747E35">
              <w:rPr>
                <w:rFonts w:cstheme="minorHAnsi"/>
              </w:rPr>
              <w:t>BUBI_T2</w:t>
            </w:r>
          </w:p>
        </w:tc>
        <w:tc>
          <w:tcPr>
            <w:tcW w:w="1134" w:type="dxa"/>
            <w:vAlign w:val="bottom"/>
          </w:tcPr>
          <w:p w14:paraId="4E4BFFD2" w14:textId="77777777" w:rsidR="003D3694" w:rsidRPr="00747E35" w:rsidRDefault="003D3694" w:rsidP="0096743A">
            <w:pPr>
              <w:pStyle w:val="Tabletext"/>
              <w:spacing w:before="0" w:after="0"/>
              <w:rPr>
                <w:rFonts w:cstheme="minorHAnsi"/>
              </w:rPr>
            </w:pPr>
          </w:p>
        </w:tc>
        <w:tc>
          <w:tcPr>
            <w:tcW w:w="1134" w:type="dxa"/>
            <w:vAlign w:val="bottom"/>
          </w:tcPr>
          <w:p w14:paraId="54A20A68" w14:textId="77777777" w:rsidR="003D3694" w:rsidRPr="00747E35" w:rsidRDefault="003D3694" w:rsidP="0096743A">
            <w:pPr>
              <w:pStyle w:val="Tabletext"/>
              <w:spacing w:before="0" w:after="0"/>
              <w:rPr>
                <w:rFonts w:cstheme="minorHAnsi"/>
              </w:rPr>
            </w:pPr>
            <w:r w:rsidRPr="00747E35">
              <w:rPr>
                <w:rFonts w:cstheme="minorHAnsi"/>
              </w:rPr>
              <w:t>Terrestrial</w:t>
            </w:r>
          </w:p>
        </w:tc>
        <w:tc>
          <w:tcPr>
            <w:tcW w:w="992" w:type="dxa"/>
            <w:vAlign w:val="bottom"/>
          </w:tcPr>
          <w:p w14:paraId="67761FEE" w14:textId="77777777" w:rsidR="003D3694" w:rsidRPr="00747E35" w:rsidRDefault="003D3694" w:rsidP="0096743A">
            <w:pPr>
              <w:pStyle w:val="Tabletext"/>
              <w:spacing w:before="0" w:after="0"/>
              <w:rPr>
                <w:rFonts w:cstheme="minorHAnsi"/>
              </w:rPr>
            </w:pPr>
            <w:r w:rsidRPr="00747E35">
              <w:rPr>
                <w:rFonts w:cstheme="minorHAnsi"/>
              </w:rPr>
              <w:t>27.94596</w:t>
            </w:r>
          </w:p>
        </w:tc>
        <w:tc>
          <w:tcPr>
            <w:tcW w:w="992" w:type="dxa"/>
            <w:vAlign w:val="bottom"/>
          </w:tcPr>
          <w:p w14:paraId="39B3D9BC" w14:textId="77777777" w:rsidR="003D3694" w:rsidRPr="00747E35" w:rsidRDefault="003D3694" w:rsidP="0096743A">
            <w:pPr>
              <w:pStyle w:val="Tabletext"/>
              <w:spacing w:before="0" w:after="0"/>
              <w:rPr>
                <w:rFonts w:cstheme="minorHAnsi"/>
              </w:rPr>
            </w:pPr>
            <w:r w:rsidRPr="00747E35">
              <w:rPr>
                <w:rFonts w:cstheme="minorHAnsi"/>
              </w:rPr>
              <w:t>152.45715</w:t>
            </w:r>
          </w:p>
        </w:tc>
      </w:tr>
      <w:tr w:rsidR="003D3694" w:rsidRPr="00747E35" w14:paraId="224F2A3F" w14:textId="77777777" w:rsidTr="0096743A">
        <w:tc>
          <w:tcPr>
            <w:tcW w:w="847" w:type="dxa"/>
            <w:vAlign w:val="bottom"/>
          </w:tcPr>
          <w:p w14:paraId="093CA270" w14:textId="77777777" w:rsidR="003D3694" w:rsidRPr="00747E35" w:rsidRDefault="003D3694" w:rsidP="0096743A">
            <w:pPr>
              <w:pStyle w:val="Tabletext"/>
              <w:spacing w:before="0" w:after="0"/>
              <w:rPr>
                <w:rFonts w:eastAsia="MS Mincho" w:cstheme="minorHAnsi"/>
              </w:rPr>
            </w:pPr>
            <w:r w:rsidRPr="00747E35">
              <w:rPr>
                <w:rFonts w:cstheme="minorHAnsi"/>
              </w:rPr>
              <w:t>MCP_F1</w:t>
            </w:r>
          </w:p>
        </w:tc>
        <w:tc>
          <w:tcPr>
            <w:tcW w:w="1134" w:type="dxa"/>
            <w:vAlign w:val="bottom"/>
          </w:tcPr>
          <w:p w14:paraId="763059FB" w14:textId="77777777" w:rsidR="003D3694" w:rsidRPr="00747E35" w:rsidRDefault="003D3694" w:rsidP="0096743A">
            <w:pPr>
              <w:pStyle w:val="Tabletext"/>
              <w:spacing w:before="0" w:after="0"/>
              <w:rPr>
                <w:rFonts w:eastAsia="MS Mincho" w:cstheme="minorHAnsi"/>
              </w:rPr>
            </w:pPr>
            <w:r w:rsidRPr="00747E35">
              <w:rPr>
                <w:rFonts w:cstheme="minorHAnsi"/>
              </w:rPr>
              <w:t>Perennial</w:t>
            </w:r>
          </w:p>
        </w:tc>
        <w:tc>
          <w:tcPr>
            <w:tcW w:w="1104" w:type="dxa"/>
            <w:vAlign w:val="bottom"/>
          </w:tcPr>
          <w:p w14:paraId="37F8F456" w14:textId="77777777" w:rsidR="003D3694" w:rsidRPr="00747E35" w:rsidRDefault="003D3694" w:rsidP="0096743A">
            <w:pPr>
              <w:pStyle w:val="Tabletext"/>
              <w:spacing w:before="0" w:after="0"/>
              <w:rPr>
                <w:rFonts w:eastAsia="MS Mincho" w:cstheme="minorHAnsi"/>
              </w:rPr>
            </w:pPr>
            <w:r w:rsidRPr="00747E35">
              <w:rPr>
                <w:rFonts w:cstheme="minorHAnsi"/>
              </w:rPr>
              <w:t>Floodplain</w:t>
            </w:r>
          </w:p>
        </w:tc>
        <w:tc>
          <w:tcPr>
            <w:tcW w:w="992" w:type="dxa"/>
            <w:vAlign w:val="bottom"/>
          </w:tcPr>
          <w:p w14:paraId="64C24E59" w14:textId="77777777" w:rsidR="003D3694" w:rsidRPr="00747E35" w:rsidRDefault="003D3694" w:rsidP="0096743A">
            <w:pPr>
              <w:pStyle w:val="Tabletext"/>
              <w:spacing w:before="0" w:after="0"/>
              <w:rPr>
                <w:rFonts w:cstheme="minorHAnsi"/>
              </w:rPr>
            </w:pPr>
            <w:r w:rsidRPr="00747E35">
              <w:rPr>
                <w:rFonts w:cstheme="minorHAnsi"/>
              </w:rPr>
              <w:t>30.48732</w:t>
            </w:r>
          </w:p>
        </w:tc>
        <w:tc>
          <w:tcPr>
            <w:tcW w:w="993" w:type="dxa"/>
            <w:tcBorders>
              <w:right w:val="single" w:sz="4" w:space="0" w:color="auto"/>
            </w:tcBorders>
            <w:vAlign w:val="bottom"/>
          </w:tcPr>
          <w:p w14:paraId="0D4494A3" w14:textId="77777777" w:rsidR="003D3694" w:rsidRPr="00747E35" w:rsidRDefault="003D3694" w:rsidP="0096743A">
            <w:pPr>
              <w:pStyle w:val="Tabletext"/>
              <w:spacing w:before="0" w:after="0"/>
              <w:rPr>
                <w:rFonts w:cstheme="minorHAnsi"/>
              </w:rPr>
            </w:pPr>
            <w:r w:rsidRPr="00747E35">
              <w:rPr>
                <w:rFonts w:cstheme="minorHAnsi"/>
              </w:rPr>
              <w:t>150.08434</w:t>
            </w:r>
          </w:p>
        </w:tc>
        <w:tc>
          <w:tcPr>
            <w:tcW w:w="992" w:type="dxa"/>
            <w:tcBorders>
              <w:left w:val="single" w:sz="4" w:space="0" w:color="auto"/>
            </w:tcBorders>
            <w:vAlign w:val="bottom"/>
          </w:tcPr>
          <w:p w14:paraId="1B06DEB3" w14:textId="77777777" w:rsidR="003D3694" w:rsidRPr="00747E35" w:rsidRDefault="003D3694" w:rsidP="0096743A">
            <w:pPr>
              <w:pStyle w:val="Tabletext"/>
              <w:spacing w:before="0" w:after="0"/>
              <w:rPr>
                <w:rFonts w:cstheme="minorHAnsi"/>
              </w:rPr>
            </w:pPr>
            <w:r w:rsidRPr="00747E35">
              <w:rPr>
                <w:rFonts w:cstheme="minorHAnsi"/>
              </w:rPr>
              <w:t>BWCI_T1</w:t>
            </w:r>
          </w:p>
        </w:tc>
        <w:tc>
          <w:tcPr>
            <w:tcW w:w="1134" w:type="dxa"/>
            <w:vAlign w:val="bottom"/>
          </w:tcPr>
          <w:p w14:paraId="719A3651" w14:textId="77777777" w:rsidR="003D3694" w:rsidRPr="00747E35" w:rsidRDefault="003D3694" w:rsidP="0096743A">
            <w:pPr>
              <w:pStyle w:val="Tabletext"/>
              <w:spacing w:before="0" w:after="0"/>
              <w:rPr>
                <w:rFonts w:cstheme="minorHAnsi"/>
              </w:rPr>
            </w:pPr>
          </w:p>
        </w:tc>
        <w:tc>
          <w:tcPr>
            <w:tcW w:w="1134" w:type="dxa"/>
            <w:vAlign w:val="bottom"/>
          </w:tcPr>
          <w:p w14:paraId="4422B198" w14:textId="77777777" w:rsidR="003D3694" w:rsidRPr="00747E35" w:rsidRDefault="003D3694" w:rsidP="0096743A">
            <w:pPr>
              <w:pStyle w:val="Tabletext"/>
              <w:spacing w:before="0" w:after="0"/>
              <w:rPr>
                <w:rFonts w:cstheme="minorHAnsi"/>
              </w:rPr>
            </w:pPr>
            <w:r w:rsidRPr="00747E35">
              <w:rPr>
                <w:rFonts w:cstheme="minorHAnsi"/>
              </w:rPr>
              <w:t>Terrestrial</w:t>
            </w:r>
          </w:p>
        </w:tc>
        <w:tc>
          <w:tcPr>
            <w:tcW w:w="992" w:type="dxa"/>
            <w:vAlign w:val="bottom"/>
          </w:tcPr>
          <w:p w14:paraId="0203EAEA" w14:textId="77777777" w:rsidR="003D3694" w:rsidRPr="00747E35" w:rsidRDefault="003D3694" w:rsidP="0096743A">
            <w:pPr>
              <w:pStyle w:val="Tabletext"/>
              <w:spacing w:before="0" w:after="0"/>
              <w:rPr>
                <w:rFonts w:cstheme="minorHAnsi"/>
              </w:rPr>
            </w:pPr>
            <w:r w:rsidRPr="00747E35">
              <w:rPr>
                <w:rFonts w:cstheme="minorHAnsi"/>
              </w:rPr>
              <w:t>28.1035</w:t>
            </w:r>
          </w:p>
        </w:tc>
        <w:tc>
          <w:tcPr>
            <w:tcW w:w="992" w:type="dxa"/>
            <w:vAlign w:val="bottom"/>
          </w:tcPr>
          <w:p w14:paraId="6B57CC8D" w14:textId="77777777" w:rsidR="003D3694" w:rsidRPr="00747E35" w:rsidRDefault="003D3694" w:rsidP="0096743A">
            <w:pPr>
              <w:pStyle w:val="Tabletext"/>
              <w:spacing w:before="0" w:after="0"/>
              <w:rPr>
                <w:rFonts w:cstheme="minorHAnsi"/>
              </w:rPr>
            </w:pPr>
            <w:r w:rsidRPr="00747E35">
              <w:rPr>
                <w:rFonts w:cstheme="minorHAnsi"/>
              </w:rPr>
              <w:t>152.51332</w:t>
            </w:r>
          </w:p>
        </w:tc>
      </w:tr>
      <w:tr w:rsidR="003D3694" w:rsidRPr="00747E35" w14:paraId="074F9982" w14:textId="77777777" w:rsidTr="0096743A">
        <w:tc>
          <w:tcPr>
            <w:tcW w:w="847" w:type="dxa"/>
            <w:vAlign w:val="bottom"/>
          </w:tcPr>
          <w:p w14:paraId="52148861" w14:textId="77777777" w:rsidR="003D3694" w:rsidRPr="00747E35" w:rsidRDefault="003D3694" w:rsidP="0096743A">
            <w:pPr>
              <w:pStyle w:val="Tabletext"/>
              <w:spacing w:before="0" w:after="0"/>
              <w:rPr>
                <w:rFonts w:eastAsia="MS Mincho" w:cstheme="minorHAnsi"/>
              </w:rPr>
            </w:pPr>
            <w:r w:rsidRPr="00747E35">
              <w:rPr>
                <w:rFonts w:cstheme="minorHAnsi"/>
              </w:rPr>
              <w:t>MCP_F2</w:t>
            </w:r>
          </w:p>
        </w:tc>
        <w:tc>
          <w:tcPr>
            <w:tcW w:w="1134" w:type="dxa"/>
            <w:vAlign w:val="bottom"/>
          </w:tcPr>
          <w:p w14:paraId="78C0D4BD" w14:textId="77777777" w:rsidR="003D3694" w:rsidRPr="00747E35" w:rsidRDefault="003D3694" w:rsidP="0096743A">
            <w:pPr>
              <w:pStyle w:val="Tabletext"/>
              <w:spacing w:before="0" w:after="0"/>
              <w:rPr>
                <w:rFonts w:eastAsia="MS Mincho" w:cstheme="minorHAnsi"/>
              </w:rPr>
            </w:pPr>
            <w:r w:rsidRPr="00747E35">
              <w:rPr>
                <w:rFonts w:cstheme="minorHAnsi"/>
              </w:rPr>
              <w:t>Perennial</w:t>
            </w:r>
          </w:p>
        </w:tc>
        <w:tc>
          <w:tcPr>
            <w:tcW w:w="1104" w:type="dxa"/>
            <w:vAlign w:val="bottom"/>
          </w:tcPr>
          <w:p w14:paraId="18AE5F42" w14:textId="77777777" w:rsidR="003D3694" w:rsidRPr="00747E35" w:rsidRDefault="003D3694" w:rsidP="0096743A">
            <w:pPr>
              <w:pStyle w:val="Tabletext"/>
              <w:spacing w:before="0" w:after="0"/>
              <w:rPr>
                <w:rFonts w:eastAsia="MS Mincho" w:cstheme="minorHAnsi"/>
              </w:rPr>
            </w:pPr>
            <w:r w:rsidRPr="00747E35">
              <w:rPr>
                <w:rFonts w:cstheme="minorHAnsi"/>
              </w:rPr>
              <w:t>Floodplain</w:t>
            </w:r>
          </w:p>
        </w:tc>
        <w:tc>
          <w:tcPr>
            <w:tcW w:w="992" w:type="dxa"/>
            <w:vAlign w:val="bottom"/>
          </w:tcPr>
          <w:p w14:paraId="74891F8B" w14:textId="77777777" w:rsidR="003D3694" w:rsidRPr="00747E35" w:rsidRDefault="003D3694" w:rsidP="0096743A">
            <w:pPr>
              <w:pStyle w:val="Tabletext"/>
              <w:spacing w:before="0" w:after="0"/>
              <w:rPr>
                <w:rFonts w:cstheme="minorHAnsi"/>
              </w:rPr>
            </w:pPr>
            <w:r w:rsidRPr="00747E35">
              <w:rPr>
                <w:rFonts w:cstheme="minorHAnsi"/>
              </w:rPr>
              <w:t>30.48712</w:t>
            </w:r>
          </w:p>
        </w:tc>
        <w:tc>
          <w:tcPr>
            <w:tcW w:w="993" w:type="dxa"/>
            <w:tcBorders>
              <w:right w:val="single" w:sz="4" w:space="0" w:color="auto"/>
            </w:tcBorders>
            <w:vAlign w:val="bottom"/>
          </w:tcPr>
          <w:p w14:paraId="4B8C1D05" w14:textId="77777777" w:rsidR="003D3694" w:rsidRPr="00747E35" w:rsidRDefault="003D3694" w:rsidP="0096743A">
            <w:pPr>
              <w:pStyle w:val="Tabletext"/>
              <w:spacing w:before="0" w:after="0"/>
              <w:rPr>
                <w:rFonts w:cstheme="minorHAnsi"/>
              </w:rPr>
            </w:pPr>
            <w:r w:rsidRPr="00747E35">
              <w:rPr>
                <w:rFonts w:cstheme="minorHAnsi"/>
              </w:rPr>
              <w:t>150.08459</w:t>
            </w:r>
          </w:p>
        </w:tc>
        <w:tc>
          <w:tcPr>
            <w:tcW w:w="992" w:type="dxa"/>
            <w:tcBorders>
              <w:left w:val="single" w:sz="4" w:space="0" w:color="auto"/>
            </w:tcBorders>
            <w:vAlign w:val="bottom"/>
          </w:tcPr>
          <w:p w14:paraId="594216AA" w14:textId="77777777" w:rsidR="003D3694" w:rsidRPr="00747E35" w:rsidRDefault="003D3694" w:rsidP="0096743A">
            <w:pPr>
              <w:pStyle w:val="Tabletext"/>
              <w:spacing w:before="0" w:after="0"/>
              <w:rPr>
                <w:rFonts w:cstheme="minorHAnsi"/>
              </w:rPr>
            </w:pPr>
            <w:r w:rsidRPr="00747E35">
              <w:rPr>
                <w:rFonts w:cstheme="minorHAnsi"/>
              </w:rPr>
              <w:t>BR7_T1</w:t>
            </w:r>
          </w:p>
        </w:tc>
        <w:tc>
          <w:tcPr>
            <w:tcW w:w="1134" w:type="dxa"/>
            <w:vAlign w:val="bottom"/>
          </w:tcPr>
          <w:p w14:paraId="576C6D65" w14:textId="77777777" w:rsidR="003D3694" w:rsidRPr="00747E35" w:rsidRDefault="003D3694" w:rsidP="0096743A">
            <w:pPr>
              <w:pStyle w:val="Tabletext"/>
              <w:spacing w:before="0" w:after="0"/>
              <w:rPr>
                <w:rFonts w:cstheme="minorHAnsi"/>
              </w:rPr>
            </w:pPr>
          </w:p>
        </w:tc>
        <w:tc>
          <w:tcPr>
            <w:tcW w:w="1134" w:type="dxa"/>
            <w:vAlign w:val="bottom"/>
          </w:tcPr>
          <w:p w14:paraId="75AD9C45" w14:textId="77777777" w:rsidR="003D3694" w:rsidRPr="00747E35" w:rsidRDefault="003D3694" w:rsidP="0096743A">
            <w:pPr>
              <w:pStyle w:val="Tabletext"/>
              <w:spacing w:before="0" w:after="0"/>
              <w:rPr>
                <w:rFonts w:cstheme="minorHAnsi"/>
              </w:rPr>
            </w:pPr>
            <w:r w:rsidRPr="00747E35">
              <w:rPr>
                <w:rFonts w:cstheme="minorHAnsi"/>
              </w:rPr>
              <w:t>Terrestrial</w:t>
            </w:r>
          </w:p>
        </w:tc>
        <w:tc>
          <w:tcPr>
            <w:tcW w:w="992" w:type="dxa"/>
            <w:vAlign w:val="bottom"/>
          </w:tcPr>
          <w:p w14:paraId="20510871" w14:textId="77777777" w:rsidR="003D3694" w:rsidRPr="00747E35" w:rsidRDefault="003D3694" w:rsidP="0096743A">
            <w:pPr>
              <w:pStyle w:val="Tabletext"/>
              <w:spacing w:before="0" w:after="0"/>
              <w:rPr>
                <w:rFonts w:cstheme="minorHAnsi"/>
              </w:rPr>
            </w:pPr>
            <w:r w:rsidRPr="00747E35">
              <w:rPr>
                <w:rFonts w:cstheme="minorHAnsi"/>
              </w:rPr>
              <w:t>27.75654</w:t>
            </w:r>
          </w:p>
        </w:tc>
        <w:tc>
          <w:tcPr>
            <w:tcW w:w="992" w:type="dxa"/>
            <w:vAlign w:val="bottom"/>
          </w:tcPr>
          <w:p w14:paraId="5FBD96D0" w14:textId="77777777" w:rsidR="003D3694" w:rsidRPr="00747E35" w:rsidRDefault="003D3694" w:rsidP="0096743A">
            <w:pPr>
              <w:pStyle w:val="Tabletext"/>
              <w:spacing w:before="0" w:after="0"/>
              <w:rPr>
                <w:rFonts w:cstheme="minorHAnsi"/>
              </w:rPr>
            </w:pPr>
            <w:r w:rsidRPr="00747E35">
              <w:rPr>
                <w:rFonts w:cstheme="minorHAnsi"/>
              </w:rPr>
              <w:t>152.44942</w:t>
            </w:r>
          </w:p>
        </w:tc>
      </w:tr>
      <w:tr w:rsidR="003D3694" w:rsidRPr="00747E35" w14:paraId="60F6987B" w14:textId="77777777" w:rsidTr="0096743A">
        <w:tc>
          <w:tcPr>
            <w:tcW w:w="847" w:type="dxa"/>
            <w:vAlign w:val="bottom"/>
          </w:tcPr>
          <w:p w14:paraId="13C0D1F1" w14:textId="77777777" w:rsidR="003D3694" w:rsidRPr="00747E35" w:rsidRDefault="003D3694" w:rsidP="0096743A">
            <w:pPr>
              <w:pStyle w:val="Tabletext"/>
              <w:spacing w:before="0" w:after="0"/>
              <w:rPr>
                <w:rFonts w:eastAsia="MS Mincho" w:cstheme="minorHAnsi"/>
              </w:rPr>
            </w:pPr>
            <w:r w:rsidRPr="00747E35">
              <w:rPr>
                <w:rFonts w:cstheme="minorHAnsi"/>
              </w:rPr>
              <w:t>MCP_F3</w:t>
            </w:r>
          </w:p>
        </w:tc>
        <w:tc>
          <w:tcPr>
            <w:tcW w:w="1134" w:type="dxa"/>
            <w:vAlign w:val="bottom"/>
          </w:tcPr>
          <w:p w14:paraId="6742C97D" w14:textId="77777777" w:rsidR="003D3694" w:rsidRPr="00747E35" w:rsidRDefault="003D3694" w:rsidP="0096743A">
            <w:pPr>
              <w:pStyle w:val="Tabletext"/>
              <w:spacing w:before="0" w:after="0"/>
              <w:rPr>
                <w:rFonts w:eastAsia="MS Mincho" w:cstheme="minorHAnsi"/>
              </w:rPr>
            </w:pPr>
            <w:r w:rsidRPr="00747E35">
              <w:rPr>
                <w:rFonts w:cstheme="minorHAnsi"/>
              </w:rPr>
              <w:t>Perennial</w:t>
            </w:r>
          </w:p>
        </w:tc>
        <w:tc>
          <w:tcPr>
            <w:tcW w:w="1104" w:type="dxa"/>
            <w:vAlign w:val="bottom"/>
          </w:tcPr>
          <w:p w14:paraId="0838B06F" w14:textId="77777777" w:rsidR="003D3694" w:rsidRPr="00747E35" w:rsidRDefault="003D3694" w:rsidP="0096743A">
            <w:pPr>
              <w:pStyle w:val="Tabletext"/>
              <w:spacing w:before="0" w:after="0"/>
              <w:rPr>
                <w:rFonts w:eastAsia="MS Mincho" w:cstheme="minorHAnsi"/>
              </w:rPr>
            </w:pPr>
            <w:r w:rsidRPr="00747E35">
              <w:rPr>
                <w:rFonts w:cstheme="minorHAnsi"/>
              </w:rPr>
              <w:t>Floodplain</w:t>
            </w:r>
          </w:p>
        </w:tc>
        <w:tc>
          <w:tcPr>
            <w:tcW w:w="992" w:type="dxa"/>
            <w:vAlign w:val="bottom"/>
          </w:tcPr>
          <w:p w14:paraId="01D534A5" w14:textId="77777777" w:rsidR="003D3694" w:rsidRPr="00747E35" w:rsidRDefault="003D3694" w:rsidP="0096743A">
            <w:pPr>
              <w:pStyle w:val="Tabletext"/>
              <w:spacing w:before="0" w:after="0"/>
              <w:rPr>
                <w:rFonts w:cstheme="minorHAnsi"/>
              </w:rPr>
            </w:pPr>
            <w:r w:rsidRPr="00747E35">
              <w:rPr>
                <w:rFonts w:cstheme="minorHAnsi"/>
              </w:rPr>
              <w:t>30.48684</w:t>
            </w:r>
          </w:p>
        </w:tc>
        <w:tc>
          <w:tcPr>
            <w:tcW w:w="993" w:type="dxa"/>
            <w:tcBorders>
              <w:right w:val="single" w:sz="4" w:space="0" w:color="auto"/>
            </w:tcBorders>
            <w:vAlign w:val="bottom"/>
          </w:tcPr>
          <w:p w14:paraId="6B5158C2" w14:textId="77777777" w:rsidR="003D3694" w:rsidRPr="00747E35" w:rsidRDefault="003D3694" w:rsidP="0096743A">
            <w:pPr>
              <w:pStyle w:val="Tabletext"/>
              <w:spacing w:before="0" w:after="0"/>
              <w:rPr>
                <w:rFonts w:cstheme="minorHAnsi"/>
              </w:rPr>
            </w:pPr>
            <w:r w:rsidRPr="00747E35">
              <w:rPr>
                <w:rFonts w:cstheme="minorHAnsi"/>
              </w:rPr>
              <w:t>150.08423</w:t>
            </w:r>
          </w:p>
        </w:tc>
        <w:tc>
          <w:tcPr>
            <w:tcW w:w="992" w:type="dxa"/>
            <w:tcBorders>
              <w:left w:val="single" w:sz="4" w:space="0" w:color="auto"/>
            </w:tcBorders>
            <w:vAlign w:val="bottom"/>
          </w:tcPr>
          <w:p w14:paraId="2AC6FADF" w14:textId="77777777" w:rsidR="003D3694" w:rsidRPr="00747E35" w:rsidRDefault="003D3694" w:rsidP="0096743A">
            <w:pPr>
              <w:pStyle w:val="Tabletext"/>
              <w:spacing w:before="0" w:after="0"/>
              <w:rPr>
                <w:rFonts w:cstheme="minorHAnsi"/>
              </w:rPr>
            </w:pPr>
            <w:r w:rsidRPr="00747E35">
              <w:rPr>
                <w:rFonts w:cstheme="minorHAnsi"/>
              </w:rPr>
              <w:t>BR7_F1</w:t>
            </w:r>
          </w:p>
        </w:tc>
        <w:tc>
          <w:tcPr>
            <w:tcW w:w="1134" w:type="dxa"/>
            <w:vAlign w:val="bottom"/>
          </w:tcPr>
          <w:p w14:paraId="2E931940" w14:textId="77777777" w:rsidR="003D3694" w:rsidRPr="00747E35" w:rsidRDefault="003D3694" w:rsidP="0096743A">
            <w:pPr>
              <w:pStyle w:val="Tabletext"/>
              <w:spacing w:before="0" w:after="0"/>
              <w:rPr>
                <w:rFonts w:cstheme="minorHAnsi"/>
              </w:rPr>
            </w:pPr>
            <w:r w:rsidRPr="00747E35">
              <w:rPr>
                <w:rFonts w:cstheme="minorHAnsi"/>
              </w:rPr>
              <w:t>Perennial</w:t>
            </w:r>
          </w:p>
        </w:tc>
        <w:tc>
          <w:tcPr>
            <w:tcW w:w="1134" w:type="dxa"/>
            <w:vAlign w:val="bottom"/>
          </w:tcPr>
          <w:p w14:paraId="5C3C76BA" w14:textId="77777777" w:rsidR="003D3694" w:rsidRPr="00747E35" w:rsidRDefault="003D3694" w:rsidP="0096743A">
            <w:pPr>
              <w:pStyle w:val="Tabletext"/>
              <w:spacing w:before="0" w:after="0"/>
              <w:rPr>
                <w:rFonts w:cstheme="minorHAnsi"/>
              </w:rPr>
            </w:pPr>
            <w:r w:rsidRPr="00747E35">
              <w:rPr>
                <w:rFonts w:cstheme="minorHAnsi"/>
              </w:rPr>
              <w:t>Floodplain</w:t>
            </w:r>
          </w:p>
        </w:tc>
        <w:tc>
          <w:tcPr>
            <w:tcW w:w="992" w:type="dxa"/>
            <w:vAlign w:val="bottom"/>
          </w:tcPr>
          <w:p w14:paraId="16A3AC8B" w14:textId="77777777" w:rsidR="003D3694" w:rsidRPr="00747E35" w:rsidRDefault="003D3694" w:rsidP="0096743A">
            <w:pPr>
              <w:pStyle w:val="Tabletext"/>
              <w:spacing w:before="0" w:after="0"/>
              <w:rPr>
                <w:rFonts w:cstheme="minorHAnsi"/>
              </w:rPr>
            </w:pPr>
            <w:r w:rsidRPr="00747E35">
              <w:rPr>
                <w:rFonts w:cstheme="minorHAnsi"/>
              </w:rPr>
              <w:t>27.75778</w:t>
            </w:r>
          </w:p>
        </w:tc>
        <w:tc>
          <w:tcPr>
            <w:tcW w:w="992" w:type="dxa"/>
            <w:vAlign w:val="bottom"/>
          </w:tcPr>
          <w:p w14:paraId="201F0459" w14:textId="77777777" w:rsidR="003D3694" w:rsidRPr="00747E35" w:rsidRDefault="003D3694" w:rsidP="0096743A">
            <w:pPr>
              <w:pStyle w:val="Tabletext"/>
              <w:spacing w:before="0" w:after="0"/>
              <w:rPr>
                <w:rFonts w:cstheme="minorHAnsi"/>
              </w:rPr>
            </w:pPr>
            <w:r w:rsidRPr="00747E35">
              <w:rPr>
                <w:rFonts w:cstheme="minorHAnsi"/>
              </w:rPr>
              <w:t>152.45369</w:t>
            </w:r>
          </w:p>
        </w:tc>
      </w:tr>
      <w:tr w:rsidR="003D3694" w:rsidRPr="00747E35" w14:paraId="16FD6A04" w14:textId="77777777" w:rsidTr="0096743A">
        <w:tc>
          <w:tcPr>
            <w:tcW w:w="847" w:type="dxa"/>
            <w:vAlign w:val="bottom"/>
          </w:tcPr>
          <w:p w14:paraId="6F4491D4" w14:textId="77777777" w:rsidR="003D3694" w:rsidRPr="00747E35" w:rsidRDefault="003D3694" w:rsidP="0096743A">
            <w:pPr>
              <w:pStyle w:val="Tabletext"/>
              <w:spacing w:before="0" w:after="0"/>
              <w:rPr>
                <w:rFonts w:eastAsia="MS Mincho" w:cstheme="minorHAnsi"/>
              </w:rPr>
            </w:pPr>
            <w:r w:rsidRPr="00747E35">
              <w:rPr>
                <w:rFonts w:cstheme="minorHAnsi"/>
              </w:rPr>
              <w:t>MCP_F4</w:t>
            </w:r>
          </w:p>
        </w:tc>
        <w:tc>
          <w:tcPr>
            <w:tcW w:w="1134" w:type="dxa"/>
            <w:vAlign w:val="bottom"/>
          </w:tcPr>
          <w:p w14:paraId="349B687A" w14:textId="77777777" w:rsidR="003D3694" w:rsidRPr="00747E35" w:rsidRDefault="003D3694" w:rsidP="0096743A">
            <w:pPr>
              <w:pStyle w:val="Tabletext"/>
              <w:spacing w:before="0" w:after="0"/>
              <w:rPr>
                <w:rFonts w:eastAsia="MS Mincho" w:cstheme="minorHAnsi"/>
              </w:rPr>
            </w:pPr>
            <w:r w:rsidRPr="00747E35">
              <w:rPr>
                <w:rFonts w:cstheme="minorHAnsi"/>
              </w:rPr>
              <w:t>Perennial</w:t>
            </w:r>
          </w:p>
        </w:tc>
        <w:tc>
          <w:tcPr>
            <w:tcW w:w="1104" w:type="dxa"/>
            <w:vAlign w:val="bottom"/>
          </w:tcPr>
          <w:p w14:paraId="4903F0E7" w14:textId="77777777" w:rsidR="003D3694" w:rsidRPr="00747E35" w:rsidRDefault="003D3694" w:rsidP="0096743A">
            <w:pPr>
              <w:pStyle w:val="Tabletext"/>
              <w:spacing w:before="0" w:after="0"/>
              <w:rPr>
                <w:rFonts w:eastAsia="MS Mincho" w:cstheme="minorHAnsi"/>
              </w:rPr>
            </w:pPr>
            <w:r w:rsidRPr="00747E35">
              <w:rPr>
                <w:rFonts w:cstheme="minorHAnsi"/>
              </w:rPr>
              <w:t>Floodplain</w:t>
            </w:r>
          </w:p>
        </w:tc>
        <w:tc>
          <w:tcPr>
            <w:tcW w:w="992" w:type="dxa"/>
            <w:vAlign w:val="bottom"/>
          </w:tcPr>
          <w:p w14:paraId="373DACEE" w14:textId="77777777" w:rsidR="003D3694" w:rsidRPr="00747E35" w:rsidRDefault="003D3694" w:rsidP="0096743A">
            <w:pPr>
              <w:pStyle w:val="Tabletext"/>
              <w:spacing w:before="0" w:after="0"/>
              <w:rPr>
                <w:rFonts w:cstheme="minorHAnsi"/>
              </w:rPr>
            </w:pPr>
            <w:r w:rsidRPr="00747E35">
              <w:rPr>
                <w:rFonts w:cstheme="minorHAnsi"/>
              </w:rPr>
              <w:t>30.49223</w:t>
            </w:r>
          </w:p>
        </w:tc>
        <w:tc>
          <w:tcPr>
            <w:tcW w:w="993" w:type="dxa"/>
            <w:tcBorders>
              <w:right w:val="single" w:sz="4" w:space="0" w:color="auto"/>
            </w:tcBorders>
            <w:vAlign w:val="bottom"/>
          </w:tcPr>
          <w:p w14:paraId="541FE639" w14:textId="77777777" w:rsidR="003D3694" w:rsidRPr="00747E35" w:rsidRDefault="003D3694" w:rsidP="0096743A">
            <w:pPr>
              <w:pStyle w:val="Tabletext"/>
              <w:spacing w:before="0" w:after="0"/>
              <w:rPr>
                <w:rFonts w:cstheme="minorHAnsi"/>
              </w:rPr>
            </w:pPr>
            <w:r w:rsidRPr="00747E35">
              <w:rPr>
                <w:rFonts w:cstheme="minorHAnsi"/>
              </w:rPr>
              <w:t>150.08327</w:t>
            </w:r>
          </w:p>
        </w:tc>
        <w:tc>
          <w:tcPr>
            <w:tcW w:w="992" w:type="dxa"/>
            <w:tcBorders>
              <w:left w:val="single" w:sz="4" w:space="0" w:color="auto"/>
            </w:tcBorders>
            <w:vAlign w:val="bottom"/>
          </w:tcPr>
          <w:p w14:paraId="66D008A6" w14:textId="77777777" w:rsidR="003D3694" w:rsidRPr="00747E35" w:rsidRDefault="003D3694" w:rsidP="0096743A">
            <w:pPr>
              <w:pStyle w:val="Tabletext"/>
              <w:spacing w:before="0" w:after="0"/>
              <w:rPr>
                <w:rFonts w:cstheme="minorHAnsi"/>
              </w:rPr>
            </w:pPr>
            <w:r w:rsidRPr="00747E35">
              <w:rPr>
                <w:rFonts w:cstheme="minorHAnsi"/>
              </w:rPr>
              <w:t>BRCP_F1</w:t>
            </w:r>
          </w:p>
        </w:tc>
        <w:tc>
          <w:tcPr>
            <w:tcW w:w="1134" w:type="dxa"/>
            <w:vAlign w:val="bottom"/>
          </w:tcPr>
          <w:p w14:paraId="55E8B061" w14:textId="77777777" w:rsidR="003D3694" w:rsidRPr="00747E35" w:rsidRDefault="003D3694" w:rsidP="0096743A">
            <w:pPr>
              <w:pStyle w:val="Tabletext"/>
              <w:spacing w:before="0" w:after="0"/>
              <w:rPr>
                <w:rFonts w:cstheme="minorHAnsi"/>
              </w:rPr>
            </w:pPr>
            <w:r w:rsidRPr="00747E35">
              <w:rPr>
                <w:rFonts w:cstheme="minorHAnsi"/>
              </w:rPr>
              <w:t>Perennial</w:t>
            </w:r>
          </w:p>
        </w:tc>
        <w:tc>
          <w:tcPr>
            <w:tcW w:w="1134" w:type="dxa"/>
            <w:vAlign w:val="bottom"/>
          </w:tcPr>
          <w:p w14:paraId="5AC35E8A" w14:textId="77777777" w:rsidR="003D3694" w:rsidRPr="00747E35" w:rsidRDefault="003D3694" w:rsidP="0096743A">
            <w:pPr>
              <w:pStyle w:val="Tabletext"/>
              <w:spacing w:before="0" w:after="0"/>
              <w:rPr>
                <w:rFonts w:cstheme="minorHAnsi"/>
              </w:rPr>
            </w:pPr>
            <w:r w:rsidRPr="00747E35">
              <w:rPr>
                <w:rFonts w:cstheme="minorHAnsi"/>
              </w:rPr>
              <w:t>Floodplain</w:t>
            </w:r>
          </w:p>
        </w:tc>
        <w:tc>
          <w:tcPr>
            <w:tcW w:w="992" w:type="dxa"/>
            <w:vAlign w:val="bottom"/>
          </w:tcPr>
          <w:p w14:paraId="140EC427" w14:textId="77777777" w:rsidR="003D3694" w:rsidRPr="00747E35" w:rsidRDefault="003D3694" w:rsidP="0096743A">
            <w:pPr>
              <w:pStyle w:val="Tabletext"/>
              <w:spacing w:before="0" w:after="0"/>
              <w:rPr>
                <w:rFonts w:cstheme="minorHAnsi"/>
              </w:rPr>
            </w:pPr>
            <w:r w:rsidRPr="00747E35">
              <w:rPr>
                <w:rFonts w:cstheme="minorHAnsi"/>
              </w:rPr>
              <w:t>28.10565</w:t>
            </w:r>
          </w:p>
        </w:tc>
        <w:tc>
          <w:tcPr>
            <w:tcW w:w="992" w:type="dxa"/>
            <w:vAlign w:val="bottom"/>
          </w:tcPr>
          <w:p w14:paraId="1587D4DA" w14:textId="77777777" w:rsidR="003D3694" w:rsidRPr="00747E35" w:rsidRDefault="003D3694" w:rsidP="0096743A">
            <w:pPr>
              <w:pStyle w:val="Tabletext"/>
              <w:spacing w:before="0" w:after="0"/>
              <w:rPr>
                <w:rFonts w:cstheme="minorHAnsi"/>
              </w:rPr>
            </w:pPr>
            <w:r w:rsidRPr="00747E35">
              <w:rPr>
                <w:rFonts w:cstheme="minorHAnsi"/>
              </w:rPr>
              <w:t>152.51677</w:t>
            </w:r>
          </w:p>
        </w:tc>
      </w:tr>
      <w:tr w:rsidR="003D3694" w:rsidRPr="00747E35" w14:paraId="7AABBB4D" w14:textId="77777777" w:rsidTr="0096743A">
        <w:tc>
          <w:tcPr>
            <w:tcW w:w="847" w:type="dxa"/>
            <w:vAlign w:val="bottom"/>
          </w:tcPr>
          <w:p w14:paraId="12D8E57C" w14:textId="77777777" w:rsidR="003D3694" w:rsidRPr="00747E35" w:rsidRDefault="003D3694" w:rsidP="0096743A">
            <w:pPr>
              <w:pStyle w:val="Tabletext"/>
              <w:spacing w:before="0" w:after="0"/>
              <w:rPr>
                <w:rFonts w:eastAsia="MS Mincho" w:cstheme="minorHAnsi"/>
              </w:rPr>
            </w:pPr>
            <w:r w:rsidRPr="00747E35">
              <w:rPr>
                <w:rFonts w:cstheme="minorHAnsi"/>
              </w:rPr>
              <w:t>MCP_F5</w:t>
            </w:r>
          </w:p>
        </w:tc>
        <w:tc>
          <w:tcPr>
            <w:tcW w:w="1134" w:type="dxa"/>
            <w:vAlign w:val="bottom"/>
          </w:tcPr>
          <w:p w14:paraId="25E88B35" w14:textId="77777777" w:rsidR="003D3694" w:rsidRPr="00747E35" w:rsidRDefault="003D3694" w:rsidP="0096743A">
            <w:pPr>
              <w:pStyle w:val="Tabletext"/>
              <w:spacing w:before="0" w:after="0"/>
              <w:rPr>
                <w:rFonts w:eastAsia="MS Mincho" w:cstheme="minorHAnsi"/>
              </w:rPr>
            </w:pPr>
            <w:r w:rsidRPr="00747E35">
              <w:rPr>
                <w:rFonts w:cstheme="minorHAnsi"/>
              </w:rPr>
              <w:t>Perennial</w:t>
            </w:r>
          </w:p>
        </w:tc>
        <w:tc>
          <w:tcPr>
            <w:tcW w:w="1104" w:type="dxa"/>
            <w:vAlign w:val="bottom"/>
          </w:tcPr>
          <w:p w14:paraId="65313CD4" w14:textId="77777777" w:rsidR="003D3694" w:rsidRPr="00747E35" w:rsidRDefault="003D3694" w:rsidP="0096743A">
            <w:pPr>
              <w:pStyle w:val="Tabletext"/>
              <w:spacing w:before="0" w:after="0"/>
              <w:rPr>
                <w:rFonts w:eastAsia="MS Mincho" w:cstheme="minorHAnsi"/>
              </w:rPr>
            </w:pPr>
            <w:r w:rsidRPr="00747E35">
              <w:rPr>
                <w:rFonts w:cstheme="minorHAnsi"/>
              </w:rPr>
              <w:t>Floodplain</w:t>
            </w:r>
          </w:p>
        </w:tc>
        <w:tc>
          <w:tcPr>
            <w:tcW w:w="992" w:type="dxa"/>
            <w:vAlign w:val="bottom"/>
          </w:tcPr>
          <w:p w14:paraId="2CF78348" w14:textId="77777777" w:rsidR="003D3694" w:rsidRPr="00747E35" w:rsidRDefault="003D3694" w:rsidP="0096743A">
            <w:pPr>
              <w:pStyle w:val="Tabletext"/>
              <w:spacing w:before="0" w:after="0"/>
              <w:rPr>
                <w:rFonts w:cstheme="minorHAnsi"/>
              </w:rPr>
            </w:pPr>
            <w:r w:rsidRPr="00747E35">
              <w:rPr>
                <w:rFonts w:cstheme="minorHAnsi"/>
              </w:rPr>
              <w:t>30.49257</w:t>
            </w:r>
          </w:p>
        </w:tc>
        <w:tc>
          <w:tcPr>
            <w:tcW w:w="993" w:type="dxa"/>
            <w:tcBorders>
              <w:right w:val="single" w:sz="4" w:space="0" w:color="auto"/>
            </w:tcBorders>
            <w:vAlign w:val="bottom"/>
          </w:tcPr>
          <w:p w14:paraId="2E743B12" w14:textId="77777777" w:rsidR="003D3694" w:rsidRPr="00747E35" w:rsidRDefault="003D3694" w:rsidP="0096743A">
            <w:pPr>
              <w:pStyle w:val="Tabletext"/>
              <w:spacing w:before="0" w:after="0"/>
              <w:rPr>
                <w:rFonts w:cstheme="minorHAnsi"/>
              </w:rPr>
            </w:pPr>
            <w:r w:rsidRPr="00747E35">
              <w:rPr>
                <w:rFonts w:cstheme="minorHAnsi"/>
              </w:rPr>
              <w:t>150.08369</w:t>
            </w:r>
          </w:p>
        </w:tc>
        <w:tc>
          <w:tcPr>
            <w:tcW w:w="992" w:type="dxa"/>
            <w:tcBorders>
              <w:left w:val="single" w:sz="4" w:space="0" w:color="auto"/>
            </w:tcBorders>
            <w:vAlign w:val="bottom"/>
          </w:tcPr>
          <w:p w14:paraId="3C0AFA2E" w14:textId="77777777" w:rsidR="003D3694" w:rsidRPr="00747E35" w:rsidRDefault="003D3694" w:rsidP="0096743A">
            <w:pPr>
              <w:pStyle w:val="Tabletext"/>
              <w:spacing w:before="0" w:after="0"/>
              <w:rPr>
                <w:rFonts w:cstheme="minorHAnsi"/>
              </w:rPr>
            </w:pPr>
            <w:r w:rsidRPr="00747E35">
              <w:rPr>
                <w:rFonts w:cstheme="minorHAnsi"/>
              </w:rPr>
              <w:t>BRCP_F3</w:t>
            </w:r>
          </w:p>
        </w:tc>
        <w:tc>
          <w:tcPr>
            <w:tcW w:w="1134" w:type="dxa"/>
            <w:vAlign w:val="bottom"/>
          </w:tcPr>
          <w:p w14:paraId="0C2C8BFC" w14:textId="77777777" w:rsidR="003D3694" w:rsidRPr="00747E35" w:rsidRDefault="003D3694" w:rsidP="0096743A">
            <w:pPr>
              <w:pStyle w:val="Tabletext"/>
              <w:spacing w:before="0" w:after="0"/>
              <w:rPr>
                <w:rFonts w:cstheme="minorHAnsi"/>
              </w:rPr>
            </w:pPr>
            <w:r w:rsidRPr="00747E35">
              <w:rPr>
                <w:rFonts w:cstheme="minorHAnsi"/>
              </w:rPr>
              <w:t>Perennial</w:t>
            </w:r>
          </w:p>
        </w:tc>
        <w:tc>
          <w:tcPr>
            <w:tcW w:w="1134" w:type="dxa"/>
            <w:vAlign w:val="bottom"/>
          </w:tcPr>
          <w:p w14:paraId="2402EAC9" w14:textId="77777777" w:rsidR="003D3694" w:rsidRPr="00747E35" w:rsidRDefault="003D3694" w:rsidP="0096743A">
            <w:pPr>
              <w:pStyle w:val="Tabletext"/>
              <w:spacing w:before="0" w:after="0"/>
              <w:rPr>
                <w:rFonts w:cstheme="minorHAnsi"/>
              </w:rPr>
            </w:pPr>
            <w:r w:rsidRPr="00747E35">
              <w:rPr>
                <w:rFonts w:cstheme="minorHAnsi"/>
              </w:rPr>
              <w:t>Floodplain</w:t>
            </w:r>
          </w:p>
        </w:tc>
        <w:tc>
          <w:tcPr>
            <w:tcW w:w="992" w:type="dxa"/>
            <w:vAlign w:val="bottom"/>
          </w:tcPr>
          <w:p w14:paraId="1EF5E941" w14:textId="77777777" w:rsidR="003D3694" w:rsidRPr="00747E35" w:rsidRDefault="003D3694" w:rsidP="0096743A">
            <w:pPr>
              <w:pStyle w:val="Tabletext"/>
              <w:spacing w:before="0" w:after="0"/>
              <w:rPr>
                <w:rFonts w:cstheme="minorHAnsi"/>
              </w:rPr>
            </w:pPr>
            <w:r w:rsidRPr="00747E35">
              <w:rPr>
                <w:rFonts w:cstheme="minorHAnsi"/>
              </w:rPr>
              <w:t>28.10265</w:t>
            </w:r>
          </w:p>
        </w:tc>
        <w:tc>
          <w:tcPr>
            <w:tcW w:w="992" w:type="dxa"/>
            <w:vAlign w:val="bottom"/>
          </w:tcPr>
          <w:p w14:paraId="5B0219FC" w14:textId="77777777" w:rsidR="003D3694" w:rsidRPr="00747E35" w:rsidRDefault="003D3694" w:rsidP="0096743A">
            <w:pPr>
              <w:pStyle w:val="Tabletext"/>
              <w:spacing w:before="0" w:after="0"/>
              <w:rPr>
                <w:rFonts w:cstheme="minorHAnsi"/>
              </w:rPr>
            </w:pPr>
            <w:r w:rsidRPr="00747E35">
              <w:rPr>
                <w:rFonts w:cstheme="minorHAnsi"/>
              </w:rPr>
              <w:t>152.51718</w:t>
            </w:r>
          </w:p>
        </w:tc>
      </w:tr>
      <w:tr w:rsidR="003D3694" w:rsidRPr="00747E35" w14:paraId="07131DF8" w14:textId="77777777" w:rsidTr="0096743A">
        <w:tc>
          <w:tcPr>
            <w:tcW w:w="847" w:type="dxa"/>
            <w:vAlign w:val="bottom"/>
          </w:tcPr>
          <w:p w14:paraId="293D6240" w14:textId="77777777" w:rsidR="003D3694" w:rsidRPr="00747E35" w:rsidRDefault="003D3694" w:rsidP="0096743A">
            <w:pPr>
              <w:pStyle w:val="Tabletext"/>
              <w:spacing w:before="0" w:after="0"/>
              <w:rPr>
                <w:rFonts w:eastAsia="MS Mincho" w:cstheme="minorHAnsi"/>
              </w:rPr>
            </w:pPr>
            <w:r w:rsidRPr="00747E35">
              <w:rPr>
                <w:rFonts w:cstheme="minorHAnsi"/>
              </w:rPr>
              <w:t>MCP_R1</w:t>
            </w:r>
          </w:p>
        </w:tc>
        <w:tc>
          <w:tcPr>
            <w:tcW w:w="1134" w:type="dxa"/>
            <w:vAlign w:val="bottom"/>
          </w:tcPr>
          <w:p w14:paraId="32EEECAB" w14:textId="77777777" w:rsidR="003D3694" w:rsidRPr="00747E35" w:rsidRDefault="003D3694" w:rsidP="0096743A">
            <w:pPr>
              <w:pStyle w:val="Tabletext"/>
              <w:spacing w:before="0" w:after="0"/>
              <w:rPr>
                <w:rFonts w:eastAsia="MS Mincho" w:cstheme="minorHAnsi"/>
              </w:rPr>
            </w:pPr>
            <w:r w:rsidRPr="00747E35">
              <w:rPr>
                <w:rFonts w:cstheme="minorHAnsi"/>
              </w:rPr>
              <w:t>Perennial</w:t>
            </w:r>
          </w:p>
        </w:tc>
        <w:tc>
          <w:tcPr>
            <w:tcW w:w="1104" w:type="dxa"/>
            <w:vAlign w:val="bottom"/>
          </w:tcPr>
          <w:p w14:paraId="12FA3789" w14:textId="77777777" w:rsidR="003D3694" w:rsidRPr="00747E35" w:rsidRDefault="003D3694" w:rsidP="0096743A">
            <w:pPr>
              <w:pStyle w:val="Tabletext"/>
              <w:spacing w:before="0" w:after="0"/>
              <w:rPr>
                <w:rFonts w:eastAsia="MS Mincho" w:cstheme="minorHAnsi"/>
              </w:rPr>
            </w:pPr>
            <w:r w:rsidRPr="00747E35">
              <w:rPr>
                <w:rFonts w:cstheme="minorHAnsi"/>
              </w:rPr>
              <w:t>Riparian</w:t>
            </w:r>
          </w:p>
        </w:tc>
        <w:tc>
          <w:tcPr>
            <w:tcW w:w="992" w:type="dxa"/>
            <w:vAlign w:val="bottom"/>
          </w:tcPr>
          <w:p w14:paraId="24314D53" w14:textId="77777777" w:rsidR="003D3694" w:rsidRPr="00747E35" w:rsidRDefault="003D3694" w:rsidP="0096743A">
            <w:pPr>
              <w:pStyle w:val="Tabletext"/>
              <w:spacing w:before="0" w:after="0"/>
              <w:rPr>
                <w:rFonts w:cstheme="minorHAnsi"/>
              </w:rPr>
            </w:pPr>
            <w:r w:rsidRPr="00747E35">
              <w:rPr>
                <w:rFonts w:cstheme="minorHAnsi"/>
              </w:rPr>
              <w:t>30.49677</w:t>
            </w:r>
          </w:p>
        </w:tc>
        <w:tc>
          <w:tcPr>
            <w:tcW w:w="993" w:type="dxa"/>
            <w:tcBorders>
              <w:right w:val="single" w:sz="4" w:space="0" w:color="auto"/>
            </w:tcBorders>
            <w:vAlign w:val="bottom"/>
          </w:tcPr>
          <w:p w14:paraId="127038BB" w14:textId="77777777" w:rsidR="003D3694" w:rsidRPr="00747E35" w:rsidRDefault="003D3694" w:rsidP="0096743A">
            <w:pPr>
              <w:pStyle w:val="Tabletext"/>
              <w:spacing w:before="0" w:after="0"/>
              <w:rPr>
                <w:rFonts w:cstheme="minorHAnsi"/>
              </w:rPr>
            </w:pPr>
            <w:r w:rsidRPr="00747E35">
              <w:rPr>
                <w:rFonts w:cstheme="minorHAnsi"/>
              </w:rPr>
              <w:t>150.08112</w:t>
            </w:r>
          </w:p>
        </w:tc>
        <w:tc>
          <w:tcPr>
            <w:tcW w:w="992" w:type="dxa"/>
            <w:tcBorders>
              <w:left w:val="single" w:sz="4" w:space="0" w:color="auto"/>
            </w:tcBorders>
            <w:vAlign w:val="bottom"/>
          </w:tcPr>
          <w:p w14:paraId="763D0DA9" w14:textId="77777777" w:rsidR="003D3694" w:rsidRPr="00747E35" w:rsidRDefault="003D3694" w:rsidP="0096743A">
            <w:pPr>
              <w:pStyle w:val="Tabletext"/>
              <w:spacing w:before="0" w:after="0"/>
              <w:rPr>
                <w:rFonts w:cstheme="minorHAnsi"/>
              </w:rPr>
            </w:pPr>
            <w:r w:rsidRPr="00747E35">
              <w:rPr>
                <w:rFonts w:cstheme="minorHAnsi"/>
              </w:rPr>
              <w:t>BRCP_F4</w:t>
            </w:r>
          </w:p>
        </w:tc>
        <w:tc>
          <w:tcPr>
            <w:tcW w:w="1134" w:type="dxa"/>
            <w:vAlign w:val="bottom"/>
          </w:tcPr>
          <w:p w14:paraId="1F420149" w14:textId="77777777" w:rsidR="003D3694" w:rsidRPr="00747E35" w:rsidRDefault="003D3694" w:rsidP="0096743A">
            <w:pPr>
              <w:pStyle w:val="Tabletext"/>
              <w:spacing w:before="0" w:after="0"/>
              <w:rPr>
                <w:rFonts w:cstheme="minorHAnsi"/>
              </w:rPr>
            </w:pPr>
            <w:r w:rsidRPr="00747E35">
              <w:rPr>
                <w:rFonts w:cstheme="minorHAnsi"/>
              </w:rPr>
              <w:t>Perennial</w:t>
            </w:r>
          </w:p>
        </w:tc>
        <w:tc>
          <w:tcPr>
            <w:tcW w:w="1134" w:type="dxa"/>
            <w:vAlign w:val="bottom"/>
          </w:tcPr>
          <w:p w14:paraId="42380EC8" w14:textId="77777777" w:rsidR="003D3694" w:rsidRPr="00747E35" w:rsidRDefault="003D3694" w:rsidP="0096743A">
            <w:pPr>
              <w:pStyle w:val="Tabletext"/>
              <w:spacing w:before="0" w:after="0"/>
              <w:rPr>
                <w:rFonts w:cstheme="minorHAnsi"/>
              </w:rPr>
            </w:pPr>
            <w:r w:rsidRPr="00747E35">
              <w:rPr>
                <w:rFonts w:cstheme="minorHAnsi"/>
              </w:rPr>
              <w:t>Floodplain</w:t>
            </w:r>
          </w:p>
        </w:tc>
        <w:tc>
          <w:tcPr>
            <w:tcW w:w="992" w:type="dxa"/>
            <w:vAlign w:val="bottom"/>
          </w:tcPr>
          <w:p w14:paraId="7B9BF082" w14:textId="77777777" w:rsidR="003D3694" w:rsidRPr="00747E35" w:rsidRDefault="003D3694" w:rsidP="0096743A">
            <w:pPr>
              <w:pStyle w:val="Tabletext"/>
              <w:spacing w:before="0" w:after="0"/>
              <w:rPr>
                <w:rFonts w:cstheme="minorHAnsi"/>
              </w:rPr>
            </w:pPr>
            <w:r w:rsidRPr="00747E35">
              <w:rPr>
                <w:rFonts w:cstheme="minorHAnsi"/>
              </w:rPr>
              <w:t>28.10041</w:t>
            </w:r>
          </w:p>
        </w:tc>
        <w:tc>
          <w:tcPr>
            <w:tcW w:w="992" w:type="dxa"/>
            <w:vAlign w:val="bottom"/>
          </w:tcPr>
          <w:p w14:paraId="2866B3F9" w14:textId="77777777" w:rsidR="003D3694" w:rsidRPr="00747E35" w:rsidRDefault="003D3694" w:rsidP="0096743A">
            <w:pPr>
              <w:pStyle w:val="Tabletext"/>
              <w:spacing w:before="0" w:after="0"/>
              <w:rPr>
                <w:rFonts w:cstheme="minorHAnsi"/>
              </w:rPr>
            </w:pPr>
            <w:r w:rsidRPr="00747E35">
              <w:rPr>
                <w:rFonts w:cstheme="minorHAnsi"/>
              </w:rPr>
              <w:t>152.51816</w:t>
            </w:r>
          </w:p>
        </w:tc>
      </w:tr>
      <w:tr w:rsidR="003D3694" w:rsidRPr="00747E35" w14:paraId="3660637B" w14:textId="77777777" w:rsidTr="0096743A">
        <w:tc>
          <w:tcPr>
            <w:tcW w:w="847" w:type="dxa"/>
            <w:vAlign w:val="bottom"/>
          </w:tcPr>
          <w:p w14:paraId="037163A7" w14:textId="77777777" w:rsidR="003D3694" w:rsidRPr="00747E35" w:rsidRDefault="003D3694" w:rsidP="0096743A">
            <w:pPr>
              <w:pStyle w:val="Tabletext"/>
              <w:spacing w:before="0" w:after="0"/>
              <w:rPr>
                <w:rFonts w:eastAsia="MS Mincho" w:cstheme="minorHAnsi"/>
              </w:rPr>
            </w:pPr>
            <w:r w:rsidRPr="00747E35">
              <w:rPr>
                <w:rFonts w:cstheme="minorHAnsi"/>
              </w:rPr>
              <w:t>MCP_R2</w:t>
            </w:r>
          </w:p>
        </w:tc>
        <w:tc>
          <w:tcPr>
            <w:tcW w:w="1134" w:type="dxa"/>
            <w:vAlign w:val="bottom"/>
          </w:tcPr>
          <w:p w14:paraId="3008A5C2" w14:textId="77777777" w:rsidR="003D3694" w:rsidRPr="00747E35" w:rsidRDefault="003D3694" w:rsidP="0096743A">
            <w:pPr>
              <w:pStyle w:val="Tabletext"/>
              <w:spacing w:before="0" w:after="0"/>
              <w:rPr>
                <w:rFonts w:eastAsia="MS Mincho" w:cstheme="minorHAnsi"/>
              </w:rPr>
            </w:pPr>
            <w:r w:rsidRPr="00747E35">
              <w:rPr>
                <w:rFonts w:cstheme="minorHAnsi"/>
              </w:rPr>
              <w:t>Perennial</w:t>
            </w:r>
          </w:p>
        </w:tc>
        <w:tc>
          <w:tcPr>
            <w:tcW w:w="1104" w:type="dxa"/>
            <w:vAlign w:val="bottom"/>
          </w:tcPr>
          <w:p w14:paraId="56CBBDC5" w14:textId="77777777" w:rsidR="003D3694" w:rsidRPr="00747E35" w:rsidRDefault="003D3694" w:rsidP="0096743A">
            <w:pPr>
              <w:pStyle w:val="Tabletext"/>
              <w:spacing w:before="0" w:after="0"/>
              <w:rPr>
                <w:rFonts w:eastAsia="MS Mincho" w:cstheme="minorHAnsi"/>
              </w:rPr>
            </w:pPr>
            <w:r w:rsidRPr="00747E35">
              <w:rPr>
                <w:rFonts w:cstheme="minorHAnsi"/>
              </w:rPr>
              <w:t>Riparian</w:t>
            </w:r>
          </w:p>
        </w:tc>
        <w:tc>
          <w:tcPr>
            <w:tcW w:w="992" w:type="dxa"/>
            <w:vAlign w:val="bottom"/>
          </w:tcPr>
          <w:p w14:paraId="613C148B" w14:textId="77777777" w:rsidR="003D3694" w:rsidRPr="00747E35" w:rsidRDefault="003D3694" w:rsidP="0096743A">
            <w:pPr>
              <w:pStyle w:val="Tabletext"/>
              <w:spacing w:before="0" w:after="0"/>
              <w:rPr>
                <w:rFonts w:cstheme="minorHAnsi"/>
              </w:rPr>
            </w:pPr>
            <w:r w:rsidRPr="00747E35">
              <w:rPr>
                <w:rFonts w:cstheme="minorHAnsi"/>
              </w:rPr>
              <w:t>30.49588</w:t>
            </w:r>
          </w:p>
        </w:tc>
        <w:tc>
          <w:tcPr>
            <w:tcW w:w="993" w:type="dxa"/>
            <w:tcBorders>
              <w:right w:val="single" w:sz="4" w:space="0" w:color="auto"/>
            </w:tcBorders>
            <w:vAlign w:val="bottom"/>
          </w:tcPr>
          <w:p w14:paraId="58ECFA80" w14:textId="77777777" w:rsidR="003D3694" w:rsidRPr="00747E35" w:rsidRDefault="003D3694" w:rsidP="0096743A">
            <w:pPr>
              <w:pStyle w:val="Tabletext"/>
              <w:spacing w:before="0" w:after="0"/>
              <w:rPr>
                <w:rFonts w:cstheme="minorHAnsi"/>
              </w:rPr>
            </w:pPr>
            <w:r w:rsidRPr="00747E35">
              <w:rPr>
                <w:rFonts w:cstheme="minorHAnsi"/>
              </w:rPr>
              <w:t>150.08295</w:t>
            </w:r>
          </w:p>
        </w:tc>
        <w:tc>
          <w:tcPr>
            <w:tcW w:w="992" w:type="dxa"/>
            <w:tcBorders>
              <w:left w:val="single" w:sz="4" w:space="0" w:color="auto"/>
            </w:tcBorders>
            <w:vAlign w:val="bottom"/>
          </w:tcPr>
          <w:p w14:paraId="1652F0D2" w14:textId="77777777" w:rsidR="003D3694" w:rsidRPr="00747E35" w:rsidRDefault="003D3694" w:rsidP="0096743A">
            <w:pPr>
              <w:pStyle w:val="Tabletext"/>
              <w:spacing w:before="0" w:after="0"/>
              <w:rPr>
                <w:rFonts w:cstheme="minorHAnsi"/>
              </w:rPr>
            </w:pPr>
            <w:r w:rsidRPr="00747E35">
              <w:rPr>
                <w:rFonts w:cstheme="minorHAnsi"/>
              </w:rPr>
              <w:t>BR7_R1</w:t>
            </w:r>
          </w:p>
        </w:tc>
        <w:tc>
          <w:tcPr>
            <w:tcW w:w="1134" w:type="dxa"/>
            <w:vAlign w:val="bottom"/>
          </w:tcPr>
          <w:p w14:paraId="06ED667C" w14:textId="77777777" w:rsidR="003D3694" w:rsidRPr="00747E35" w:rsidRDefault="003D3694" w:rsidP="0096743A">
            <w:pPr>
              <w:pStyle w:val="Tabletext"/>
              <w:spacing w:before="0" w:after="0"/>
              <w:rPr>
                <w:rFonts w:cstheme="minorHAnsi"/>
              </w:rPr>
            </w:pPr>
            <w:r w:rsidRPr="00747E35">
              <w:rPr>
                <w:rFonts w:cstheme="minorHAnsi"/>
              </w:rPr>
              <w:t>Perennial</w:t>
            </w:r>
          </w:p>
        </w:tc>
        <w:tc>
          <w:tcPr>
            <w:tcW w:w="1134" w:type="dxa"/>
            <w:vAlign w:val="bottom"/>
          </w:tcPr>
          <w:p w14:paraId="5C814D61" w14:textId="77777777" w:rsidR="003D3694" w:rsidRPr="00747E35" w:rsidRDefault="003D3694" w:rsidP="0096743A">
            <w:pPr>
              <w:pStyle w:val="Tabletext"/>
              <w:spacing w:before="0" w:after="0"/>
              <w:rPr>
                <w:rFonts w:cstheme="minorHAnsi"/>
              </w:rPr>
            </w:pPr>
            <w:r w:rsidRPr="00747E35">
              <w:rPr>
                <w:rFonts w:cstheme="minorHAnsi"/>
              </w:rPr>
              <w:t>Riparian</w:t>
            </w:r>
          </w:p>
        </w:tc>
        <w:tc>
          <w:tcPr>
            <w:tcW w:w="992" w:type="dxa"/>
            <w:vAlign w:val="bottom"/>
          </w:tcPr>
          <w:p w14:paraId="67827421" w14:textId="77777777" w:rsidR="003D3694" w:rsidRPr="00747E35" w:rsidRDefault="003D3694" w:rsidP="0096743A">
            <w:pPr>
              <w:pStyle w:val="Tabletext"/>
              <w:spacing w:before="0" w:after="0"/>
              <w:rPr>
                <w:rFonts w:cstheme="minorHAnsi"/>
              </w:rPr>
            </w:pPr>
            <w:r w:rsidRPr="00747E35">
              <w:rPr>
                <w:rFonts w:cstheme="minorHAnsi"/>
              </w:rPr>
              <w:t>27.75778</w:t>
            </w:r>
          </w:p>
        </w:tc>
        <w:tc>
          <w:tcPr>
            <w:tcW w:w="992" w:type="dxa"/>
            <w:vAlign w:val="bottom"/>
          </w:tcPr>
          <w:p w14:paraId="12ADF36D" w14:textId="77777777" w:rsidR="003D3694" w:rsidRPr="00747E35" w:rsidRDefault="003D3694" w:rsidP="0096743A">
            <w:pPr>
              <w:pStyle w:val="Tabletext"/>
              <w:spacing w:before="0" w:after="0"/>
              <w:rPr>
                <w:rFonts w:cstheme="minorHAnsi"/>
              </w:rPr>
            </w:pPr>
            <w:r w:rsidRPr="00747E35">
              <w:rPr>
                <w:rFonts w:cstheme="minorHAnsi"/>
              </w:rPr>
              <w:t>152.45418</w:t>
            </w:r>
          </w:p>
        </w:tc>
      </w:tr>
      <w:tr w:rsidR="003D3694" w:rsidRPr="00747E35" w14:paraId="48F52CD9" w14:textId="77777777" w:rsidTr="0096743A">
        <w:tc>
          <w:tcPr>
            <w:tcW w:w="847" w:type="dxa"/>
            <w:vAlign w:val="bottom"/>
          </w:tcPr>
          <w:p w14:paraId="2AD53915" w14:textId="77777777" w:rsidR="003D3694" w:rsidRPr="00747E35" w:rsidRDefault="003D3694" w:rsidP="0096743A">
            <w:pPr>
              <w:pStyle w:val="Tabletext"/>
              <w:spacing w:before="0" w:after="0"/>
              <w:rPr>
                <w:rFonts w:eastAsia="MS Mincho" w:cstheme="minorHAnsi"/>
              </w:rPr>
            </w:pPr>
            <w:r w:rsidRPr="00747E35">
              <w:rPr>
                <w:rFonts w:cstheme="minorHAnsi"/>
              </w:rPr>
              <w:t>MCP_R3</w:t>
            </w:r>
          </w:p>
        </w:tc>
        <w:tc>
          <w:tcPr>
            <w:tcW w:w="1134" w:type="dxa"/>
            <w:vAlign w:val="bottom"/>
          </w:tcPr>
          <w:p w14:paraId="50FB9479" w14:textId="77777777" w:rsidR="003D3694" w:rsidRPr="00747E35" w:rsidRDefault="003D3694" w:rsidP="0096743A">
            <w:pPr>
              <w:pStyle w:val="Tabletext"/>
              <w:spacing w:before="0" w:after="0"/>
              <w:rPr>
                <w:rFonts w:eastAsia="MS Mincho" w:cstheme="minorHAnsi"/>
              </w:rPr>
            </w:pPr>
            <w:r w:rsidRPr="00747E35">
              <w:rPr>
                <w:rFonts w:cstheme="minorHAnsi"/>
              </w:rPr>
              <w:t>Perennial</w:t>
            </w:r>
          </w:p>
        </w:tc>
        <w:tc>
          <w:tcPr>
            <w:tcW w:w="1104" w:type="dxa"/>
            <w:vAlign w:val="bottom"/>
          </w:tcPr>
          <w:p w14:paraId="5E7BC87C" w14:textId="77777777" w:rsidR="003D3694" w:rsidRPr="00747E35" w:rsidRDefault="003D3694" w:rsidP="0096743A">
            <w:pPr>
              <w:pStyle w:val="Tabletext"/>
              <w:spacing w:before="0" w:after="0"/>
              <w:rPr>
                <w:rFonts w:eastAsia="MS Mincho" w:cstheme="minorHAnsi"/>
              </w:rPr>
            </w:pPr>
            <w:r w:rsidRPr="00747E35">
              <w:rPr>
                <w:rFonts w:cstheme="minorHAnsi"/>
              </w:rPr>
              <w:t>Riparian</w:t>
            </w:r>
          </w:p>
        </w:tc>
        <w:tc>
          <w:tcPr>
            <w:tcW w:w="992" w:type="dxa"/>
            <w:vAlign w:val="bottom"/>
          </w:tcPr>
          <w:p w14:paraId="4DC737C7" w14:textId="77777777" w:rsidR="003D3694" w:rsidRPr="00747E35" w:rsidRDefault="003D3694" w:rsidP="0096743A">
            <w:pPr>
              <w:pStyle w:val="Tabletext"/>
              <w:spacing w:before="0" w:after="0"/>
              <w:rPr>
                <w:rFonts w:cstheme="minorHAnsi"/>
              </w:rPr>
            </w:pPr>
            <w:r w:rsidRPr="00747E35">
              <w:rPr>
                <w:rFonts w:cstheme="minorHAnsi"/>
              </w:rPr>
              <w:t>30.49484</w:t>
            </w:r>
          </w:p>
        </w:tc>
        <w:tc>
          <w:tcPr>
            <w:tcW w:w="993" w:type="dxa"/>
            <w:tcBorders>
              <w:right w:val="single" w:sz="4" w:space="0" w:color="auto"/>
            </w:tcBorders>
            <w:vAlign w:val="bottom"/>
          </w:tcPr>
          <w:p w14:paraId="6EB3BB5C" w14:textId="77777777" w:rsidR="003D3694" w:rsidRPr="00747E35" w:rsidRDefault="003D3694" w:rsidP="0096743A">
            <w:pPr>
              <w:pStyle w:val="Tabletext"/>
              <w:spacing w:before="0" w:after="0"/>
              <w:rPr>
                <w:rFonts w:cstheme="minorHAnsi"/>
              </w:rPr>
            </w:pPr>
            <w:r w:rsidRPr="00747E35">
              <w:rPr>
                <w:rFonts w:cstheme="minorHAnsi"/>
              </w:rPr>
              <w:t>150.08441</w:t>
            </w:r>
          </w:p>
        </w:tc>
        <w:tc>
          <w:tcPr>
            <w:tcW w:w="992" w:type="dxa"/>
            <w:tcBorders>
              <w:left w:val="single" w:sz="4" w:space="0" w:color="auto"/>
            </w:tcBorders>
            <w:vAlign w:val="bottom"/>
          </w:tcPr>
          <w:p w14:paraId="0027B21C" w14:textId="77777777" w:rsidR="003D3694" w:rsidRPr="00747E35" w:rsidRDefault="003D3694" w:rsidP="0096743A">
            <w:pPr>
              <w:pStyle w:val="Tabletext"/>
              <w:spacing w:before="0" w:after="0"/>
              <w:rPr>
                <w:rFonts w:cstheme="minorHAnsi"/>
              </w:rPr>
            </w:pPr>
            <w:r w:rsidRPr="00747E35">
              <w:rPr>
                <w:rFonts w:cstheme="minorHAnsi"/>
              </w:rPr>
              <w:t>BRCP_R1</w:t>
            </w:r>
          </w:p>
        </w:tc>
        <w:tc>
          <w:tcPr>
            <w:tcW w:w="1134" w:type="dxa"/>
            <w:vAlign w:val="bottom"/>
          </w:tcPr>
          <w:p w14:paraId="0DE88F0D" w14:textId="77777777" w:rsidR="003D3694" w:rsidRPr="00747E35" w:rsidRDefault="003D3694" w:rsidP="0096743A">
            <w:pPr>
              <w:pStyle w:val="Tabletext"/>
              <w:spacing w:before="0" w:after="0"/>
              <w:rPr>
                <w:rFonts w:cstheme="minorHAnsi"/>
              </w:rPr>
            </w:pPr>
            <w:r w:rsidRPr="00747E35">
              <w:rPr>
                <w:rFonts w:cstheme="minorHAnsi"/>
              </w:rPr>
              <w:t>Perennial</w:t>
            </w:r>
          </w:p>
        </w:tc>
        <w:tc>
          <w:tcPr>
            <w:tcW w:w="1134" w:type="dxa"/>
            <w:vAlign w:val="bottom"/>
          </w:tcPr>
          <w:p w14:paraId="2DC4A604" w14:textId="77777777" w:rsidR="003D3694" w:rsidRPr="00747E35" w:rsidRDefault="003D3694" w:rsidP="0096743A">
            <w:pPr>
              <w:pStyle w:val="Tabletext"/>
              <w:spacing w:before="0" w:after="0"/>
              <w:rPr>
                <w:rFonts w:cstheme="minorHAnsi"/>
              </w:rPr>
            </w:pPr>
            <w:r w:rsidRPr="00747E35">
              <w:rPr>
                <w:rFonts w:cstheme="minorHAnsi"/>
              </w:rPr>
              <w:t>Riparian</w:t>
            </w:r>
          </w:p>
        </w:tc>
        <w:tc>
          <w:tcPr>
            <w:tcW w:w="992" w:type="dxa"/>
            <w:vAlign w:val="bottom"/>
          </w:tcPr>
          <w:p w14:paraId="6C21A373" w14:textId="77777777" w:rsidR="003D3694" w:rsidRPr="00747E35" w:rsidRDefault="003D3694" w:rsidP="0096743A">
            <w:pPr>
              <w:pStyle w:val="Tabletext"/>
              <w:spacing w:before="0" w:after="0"/>
              <w:rPr>
                <w:rFonts w:cstheme="minorHAnsi"/>
              </w:rPr>
            </w:pPr>
            <w:r w:rsidRPr="00747E35">
              <w:rPr>
                <w:rFonts w:cstheme="minorHAnsi"/>
              </w:rPr>
              <w:t>28.10527</w:t>
            </w:r>
          </w:p>
        </w:tc>
        <w:tc>
          <w:tcPr>
            <w:tcW w:w="992" w:type="dxa"/>
            <w:vAlign w:val="bottom"/>
          </w:tcPr>
          <w:p w14:paraId="61886770" w14:textId="31EF4FC1" w:rsidR="003D3694" w:rsidRPr="00747E35" w:rsidRDefault="003D3694" w:rsidP="0096743A">
            <w:pPr>
              <w:pStyle w:val="Tabletext"/>
              <w:spacing w:before="0" w:after="0"/>
              <w:rPr>
                <w:rFonts w:cstheme="minorHAnsi"/>
              </w:rPr>
            </w:pPr>
            <w:r w:rsidRPr="00747E35">
              <w:rPr>
                <w:rFonts w:cstheme="minorHAnsi"/>
              </w:rPr>
              <w:t>152.5179</w:t>
            </w:r>
            <w:r w:rsidR="00C80858" w:rsidRPr="00747E35">
              <w:rPr>
                <w:rFonts w:cstheme="minorHAnsi"/>
              </w:rPr>
              <w:t>0</w:t>
            </w:r>
          </w:p>
        </w:tc>
      </w:tr>
      <w:tr w:rsidR="003D3694" w:rsidRPr="00747E35" w14:paraId="1A11FCB8" w14:textId="77777777" w:rsidTr="0096743A">
        <w:tc>
          <w:tcPr>
            <w:tcW w:w="847" w:type="dxa"/>
            <w:vAlign w:val="bottom"/>
          </w:tcPr>
          <w:p w14:paraId="00C64FA9" w14:textId="77777777" w:rsidR="003D3694" w:rsidRPr="00747E35" w:rsidRDefault="003D3694" w:rsidP="0096743A">
            <w:pPr>
              <w:pStyle w:val="Tabletext"/>
              <w:spacing w:before="0" w:after="0"/>
              <w:rPr>
                <w:rFonts w:eastAsia="MS Mincho" w:cstheme="minorHAnsi"/>
              </w:rPr>
            </w:pPr>
            <w:r w:rsidRPr="00747E35">
              <w:rPr>
                <w:rFonts w:cstheme="minorHAnsi"/>
              </w:rPr>
              <w:t>MCP_R4</w:t>
            </w:r>
          </w:p>
        </w:tc>
        <w:tc>
          <w:tcPr>
            <w:tcW w:w="1134" w:type="dxa"/>
            <w:vAlign w:val="bottom"/>
          </w:tcPr>
          <w:p w14:paraId="52EABD2B" w14:textId="77777777" w:rsidR="003D3694" w:rsidRPr="00747E35" w:rsidRDefault="003D3694" w:rsidP="0096743A">
            <w:pPr>
              <w:pStyle w:val="Tabletext"/>
              <w:spacing w:before="0" w:after="0"/>
              <w:rPr>
                <w:rFonts w:eastAsia="MS Mincho" w:cstheme="minorHAnsi"/>
              </w:rPr>
            </w:pPr>
            <w:r w:rsidRPr="00747E35">
              <w:rPr>
                <w:rFonts w:cstheme="minorHAnsi"/>
              </w:rPr>
              <w:t>Perennial</w:t>
            </w:r>
          </w:p>
        </w:tc>
        <w:tc>
          <w:tcPr>
            <w:tcW w:w="1104" w:type="dxa"/>
            <w:vAlign w:val="bottom"/>
          </w:tcPr>
          <w:p w14:paraId="1267EBFF" w14:textId="77777777" w:rsidR="003D3694" w:rsidRPr="00747E35" w:rsidRDefault="003D3694" w:rsidP="0096743A">
            <w:pPr>
              <w:pStyle w:val="Tabletext"/>
              <w:spacing w:before="0" w:after="0"/>
              <w:rPr>
                <w:rFonts w:eastAsia="MS Mincho" w:cstheme="minorHAnsi"/>
              </w:rPr>
            </w:pPr>
            <w:r w:rsidRPr="00747E35">
              <w:rPr>
                <w:rFonts w:cstheme="minorHAnsi"/>
              </w:rPr>
              <w:t>Riparian</w:t>
            </w:r>
          </w:p>
        </w:tc>
        <w:tc>
          <w:tcPr>
            <w:tcW w:w="992" w:type="dxa"/>
            <w:vAlign w:val="bottom"/>
          </w:tcPr>
          <w:p w14:paraId="37D55E9E" w14:textId="77777777" w:rsidR="003D3694" w:rsidRPr="00747E35" w:rsidRDefault="003D3694" w:rsidP="0096743A">
            <w:pPr>
              <w:pStyle w:val="Tabletext"/>
              <w:spacing w:before="0" w:after="0"/>
              <w:rPr>
                <w:rFonts w:cstheme="minorHAnsi"/>
              </w:rPr>
            </w:pPr>
            <w:r w:rsidRPr="00747E35">
              <w:rPr>
                <w:rFonts w:cstheme="minorHAnsi"/>
              </w:rPr>
              <w:t>30.49752</w:t>
            </w:r>
          </w:p>
        </w:tc>
        <w:tc>
          <w:tcPr>
            <w:tcW w:w="993" w:type="dxa"/>
            <w:tcBorders>
              <w:right w:val="single" w:sz="4" w:space="0" w:color="auto"/>
            </w:tcBorders>
            <w:vAlign w:val="bottom"/>
          </w:tcPr>
          <w:p w14:paraId="0F9BAA18" w14:textId="77777777" w:rsidR="003D3694" w:rsidRPr="00747E35" w:rsidRDefault="003D3694" w:rsidP="0096743A">
            <w:pPr>
              <w:pStyle w:val="Tabletext"/>
              <w:spacing w:before="0" w:after="0"/>
              <w:rPr>
                <w:rFonts w:cstheme="minorHAnsi"/>
              </w:rPr>
            </w:pPr>
            <w:r w:rsidRPr="00747E35">
              <w:rPr>
                <w:rFonts w:cstheme="minorHAnsi"/>
              </w:rPr>
              <w:t>150.07925</w:t>
            </w:r>
          </w:p>
        </w:tc>
        <w:tc>
          <w:tcPr>
            <w:tcW w:w="992" w:type="dxa"/>
            <w:tcBorders>
              <w:left w:val="single" w:sz="4" w:space="0" w:color="auto"/>
            </w:tcBorders>
            <w:vAlign w:val="bottom"/>
          </w:tcPr>
          <w:p w14:paraId="61D91443" w14:textId="77777777" w:rsidR="003D3694" w:rsidRPr="00747E35" w:rsidRDefault="003D3694" w:rsidP="0096743A">
            <w:pPr>
              <w:pStyle w:val="Tabletext"/>
              <w:spacing w:before="0" w:after="0"/>
              <w:rPr>
                <w:rFonts w:cstheme="minorHAnsi"/>
              </w:rPr>
            </w:pPr>
            <w:r w:rsidRPr="00747E35">
              <w:rPr>
                <w:rFonts w:cstheme="minorHAnsi"/>
              </w:rPr>
              <w:t>BRCP_R2</w:t>
            </w:r>
          </w:p>
        </w:tc>
        <w:tc>
          <w:tcPr>
            <w:tcW w:w="1134" w:type="dxa"/>
            <w:vAlign w:val="bottom"/>
          </w:tcPr>
          <w:p w14:paraId="5FEB3B5C" w14:textId="77777777" w:rsidR="003D3694" w:rsidRPr="00747E35" w:rsidRDefault="003D3694" w:rsidP="0096743A">
            <w:pPr>
              <w:pStyle w:val="Tabletext"/>
              <w:spacing w:before="0" w:after="0"/>
              <w:rPr>
                <w:rFonts w:cstheme="minorHAnsi"/>
              </w:rPr>
            </w:pPr>
            <w:r w:rsidRPr="00747E35">
              <w:rPr>
                <w:rFonts w:cstheme="minorHAnsi"/>
              </w:rPr>
              <w:t>Perennial</w:t>
            </w:r>
          </w:p>
        </w:tc>
        <w:tc>
          <w:tcPr>
            <w:tcW w:w="1134" w:type="dxa"/>
            <w:vAlign w:val="bottom"/>
          </w:tcPr>
          <w:p w14:paraId="5E511D46" w14:textId="77777777" w:rsidR="003D3694" w:rsidRPr="00747E35" w:rsidRDefault="003D3694" w:rsidP="0096743A">
            <w:pPr>
              <w:pStyle w:val="Tabletext"/>
              <w:spacing w:before="0" w:after="0"/>
              <w:rPr>
                <w:rFonts w:cstheme="minorHAnsi"/>
              </w:rPr>
            </w:pPr>
            <w:r w:rsidRPr="00747E35">
              <w:rPr>
                <w:rFonts w:cstheme="minorHAnsi"/>
              </w:rPr>
              <w:t>Riparian</w:t>
            </w:r>
          </w:p>
        </w:tc>
        <w:tc>
          <w:tcPr>
            <w:tcW w:w="992" w:type="dxa"/>
            <w:vAlign w:val="bottom"/>
          </w:tcPr>
          <w:p w14:paraId="68DCF300" w14:textId="77777777" w:rsidR="003D3694" w:rsidRPr="00747E35" w:rsidRDefault="003D3694" w:rsidP="0096743A">
            <w:pPr>
              <w:pStyle w:val="Tabletext"/>
              <w:spacing w:before="0" w:after="0"/>
              <w:rPr>
                <w:rFonts w:cstheme="minorHAnsi"/>
              </w:rPr>
            </w:pPr>
            <w:r w:rsidRPr="00747E35">
              <w:rPr>
                <w:rFonts w:cstheme="minorHAnsi"/>
              </w:rPr>
              <w:t>28.10635</w:t>
            </w:r>
          </w:p>
        </w:tc>
        <w:tc>
          <w:tcPr>
            <w:tcW w:w="992" w:type="dxa"/>
            <w:vAlign w:val="bottom"/>
          </w:tcPr>
          <w:p w14:paraId="7F632867" w14:textId="44D3609A" w:rsidR="003D3694" w:rsidRPr="00747E35" w:rsidRDefault="003D3694" w:rsidP="0096743A">
            <w:pPr>
              <w:pStyle w:val="Tabletext"/>
              <w:spacing w:before="0" w:after="0"/>
              <w:rPr>
                <w:rFonts w:cstheme="minorHAnsi"/>
              </w:rPr>
            </w:pPr>
            <w:r w:rsidRPr="00747E35">
              <w:rPr>
                <w:rFonts w:cstheme="minorHAnsi"/>
              </w:rPr>
              <w:t>152.5172</w:t>
            </w:r>
            <w:r w:rsidR="00C80858" w:rsidRPr="00747E35">
              <w:rPr>
                <w:rFonts w:cstheme="minorHAnsi"/>
              </w:rPr>
              <w:t>0</w:t>
            </w:r>
          </w:p>
        </w:tc>
      </w:tr>
      <w:tr w:rsidR="003D3694" w:rsidRPr="00747E35" w14:paraId="52966D10" w14:textId="77777777" w:rsidTr="0096743A">
        <w:tc>
          <w:tcPr>
            <w:tcW w:w="847" w:type="dxa"/>
            <w:vAlign w:val="bottom"/>
          </w:tcPr>
          <w:p w14:paraId="3F18D7B7" w14:textId="77777777" w:rsidR="003D3694" w:rsidRPr="00747E35" w:rsidRDefault="003D3694" w:rsidP="0096743A">
            <w:pPr>
              <w:pStyle w:val="Tabletext"/>
              <w:spacing w:before="0" w:after="0"/>
              <w:rPr>
                <w:rFonts w:cstheme="minorHAnsi"/>
              </w:rPr>
            </w:pPr>
            <w:r w:rsidRPr="00747E35">
              <w:rPr>
                <w:rFonts w:cstheme="minorHAnsi"/>
              </w:rPr>
              <w:t>MCP_R5</w:t>
            </w:r>
          </w:p>
        </w:tc>
        <w:tc>
          <w:tcPr>
            <w:tcW w:w="1134" w:type="dxa"/>
            <w:vAlign w:val="bottom"/>
          </w:tcPr>
          <w:p w14:paraId="37185C26" w14:textId="77777777" w:rsidR="003D3694" w:rsidRPr="00747E35" w:rsidRDefault="003D3694" w:rsidP="0096743A">
            <w:pPr>
              <w:pStyle w:val="Tabletext"/>
              <w:spacing w:before="0" w:after="0"/>
              <w:rPr>
                <w:rFonts w:eastAsia="MS Mincho" w:cstheme="minorHAnsi"/>
              </w:rPr>
            </w:pPr>
            <w:r w:rsidRPr="00747E35">
              <w:rPr>
                <w:rFonts w:cstheme="minorHAnsi"/>
              </w:rPr>
              <w:t>Perennial</w:t>
            </w:r>
          </w:p>
        </w:tc>
        <w:tc>
          <w:tcPr>
            <w:tcW w:w="1104" w:type="dxa"/>
            <w:vAlign w:val="bottom"/>
          </w:tcPr>
          <w:p w14:paraId="3C940163" w14:textId="77777777" w:rsidR="003D3694" w:rsidRPr="00747E35" w:rsidRDefault="003D3694" w:rsidP="0096743A">
            <w:pPr>
              <w:pStyle w:val="Tabletext"/>
              <w:spacing w:before="0" w:after="0"/>
              <w:rPr>
                <w:rFonts w:eastAsia="MS Mincho" w:cstheme="minorHAnsi"/>
              </w:rPr>
            </w:pPr>
            <w:r w:rsidRPr="00747E35">
              <w:rPr>
                <w:rFonts w:cstheme="minorHAnsi"/>
              </w:rPr>
              <w:t>Riparian</w:t>
            </w:r>
          </w:p>
        </w:tc>
        <w:tc>
          <w:tcPr>
            <w:tcW w:w="992" w:type="dxa"/>
            <w:vAlign w:val="bottom"/>
          </w:tcPr>
          <w:p w14:paraId="1505F5CE" w14:textId="77777777" w:rsidR="003D3694" w:rsidRPr="00747E35" w:rsidRDefault="003D3694" w:rsidP="0096743A">
            <w:pPr>
              <w:pStyle w:val="Tabletext"/>
              <w:spacing w:before="0" w:after="0"/>
              <w:rPr>
                <w:rFonts w:cstheme="minorHAnsi"/>
              </w:rPr>
            </w:pPr>
            <w:r w:rsidRPr="00747E35">
              <w:rPr>
                <w:rFonts w:cstheme="minorHAnsi"/>
              </w:rPr>
              <w:t>30.4987</w:t>
            </w:r>
          </w:p>
        </w:tc>
        <w:tc>
          <w:tcPr>
            <w:tcW w:w="993" w:type="dxa"/>
            <w:tcBorders>
              <w:right w:val="single" w:sz="4" w:space="0" w:color="auto"/>
            </w:tcBorders>
            <w:vAlign w:val="bottom"/>
          </w:tcPr>
          <w:p w14:paraId="20B39437" w14:textId="77777777" w:rsidR="003D3694" w:rsidRPr="00747E35" w:rsidRDefault="003D3694" w:rsidP="0096743A">
            <w:pPr>
              <w:pStyle w:val="Tabletext"/>
              <w:spacing w:before="0" w:after="0"/>
              <w:rPr>
                <w:rFonts w:cstheme="minorHAnsi"/>
              </w:rPr>
            </w:pPr>
            <w:r w:rsidRPr="00747E35">
              <w:rPr>
                <w:rFonts w:cstheme="minorHAnsi"/>
              </w:rPr>
              <w:t>150.07637</w:t>
            </w:r>
          </w:p>
        </w:tc>
        <w:tc>
          <w:tcPr>
            <w:tcW w:w="992" w:type="dxa"/>
            <w:tcBorders>
              <w:left w:val="single" w:sz="4" w:space="0" w:color="auto"/>
            </w:tcBorders>
            <w:vAlign w:val="bottom"/>
          </w:tcPr>
          <w:p w14:paraId="2449B42F" w14:textId="77777777" w:rsidR="003D3694" w:rsidRPr="00747E35" w:rsidRDefault="003D3694" w:rsidP="0096743A">
            <w:pPr>
              <w:pStyle w:val="Tabletext"/>
              <w:spacing w:before="0" w:after="0"/>
              <w:rPr>
                <w:rFonts w:cstheme="minorHAnsi"/>
              </w:rPr>
            </w:pPr>
            <w:r w:rsidRPr="00747E35">
              <w:rPr>
                <w:rFonts w:cstheme="minorHAnsi"/>
              </w:rPr>
              <w:t>BRCP_R3</w:t>
            </w:r>
          </w:p>
        </w:tc>
        <w:tc>
          <w:tcPr>
            <w:tcW w:w="1134" w:type="dxa"/>
            <w:vAlign w:val="bottom"/>
          </w:tcPr>
          <w:p w14:paraId="3A923D60" w14:textId="77777777" w:rsidR="003D3694" w:rsidRPr="00747E35" w:rsidRDefault="003D3694" w:rsidP="0096743A">
            <w:pPr>
              <w:pStyle w:val="Tabletext"/>
              <w:spacing w:before="0" w:after="0"/>
              <w:rPr>
                <w:rFonts w:cstheme="minorHAnsi"/>
              </w:rPr>
            </w:pPr>
            <w:r w:rsidRPr="00747E35">
              <w:rPr>
                <w:rFonts w:cstheme="minorHAnsi"/>
              </w:rPr>
              <w:t>Perennial</w:t>
            </w:r>
          </w:p>
        </w:tc>
        <w:tc>
          <w:tcPr>
            <w:tcW w:w="1134" w:type="dxa"/>
            <w:vAlign w:val="bottom"/>
          </w:tcPr>
          <w:p w14:paraId="17495E99" w14:textId="77777777" w:rsidR="003D3694" w:rsidRPr="00747E35" w:rsidRDefault="003D3694" w:rsidP="0096743A">
            <w:pPr>
              <w:pStyle w:val="Tabletext"/>
              <w:spacing w:before="0" w:after="0"/>
              <w:rPr>
                <w:rFonts w:cstheme="minorHAnsi"/>
              </w:rPr>
            </w:pPr>
            <w:r w:rsidRPr="00747E35">
              <w:rPr>
                <w:rFonts w:cstheme="minorHAnsi"/>
              </w:rPr>
              <w:t>Riparian</w:t>
            </w:r>
          </w:p>
        </w:tc>
        <w:tc>
          <w:tcPr>
            <w:tcW w:w="992" w:type="dxa"/>
            <w:vAlign w:val="bottom"/>
          </w:tcPr>
          <w:p w14:paraId="74BEDB6F" w14:textId="77777777" w:rsidR="003D3694" w:rsidRPr="00747E35" w:rsidRDefault="003D3694" w:rsidP="0096743A">
            <w:pPr>
              <w:pStyle w:val="Tabletext"/>
              <w:spacing w:before="0" w:after="0"/>
              <w:rPr>
                <w:rFonts w:cstheme="minorHAnsi"/>
              </w:rPr>
            </w:pPr>
            <w:r w:rsidRPr="00747E35">
              <w:rPr>
                <w:rFonts w:cstheme="minorHAnsi"/>
              </w:rPr>
              <w:t>28.10723</w:t>
            </w:r>
          </w:p>
        </w:tc>
        <w:tc>
          <w:tcPr>
            <w:tcW w:w="992" w:type="dxa"/>
            <w:vAlign w:val="bottom"/>
          </w:tcPr>
          <w:p w14:paraId="58F538F1" w14:textId="77777777" w:rsidR="003D3694" w:rsidRPr="00747E35" w:rsidRDefault="003D3694" w:rsidP="0096743A">
            <w:pPr>
              <w:pStyle w:val="Tabletext"/>
              <w:spacing w:before="0" w:after="0"/>
              <w:rPr>
                <w:rFonts w:cstheme="minorHAnsi"/>
              </w:rPr>
            </w:pPr>
            <w:r w:rsidRPr="00747E35">
              <w:rPr>
                <w:rFonts w:cstheme="minorHAnsi"/>
              </w:rPr>
              <w:t>152.51613</w:t>
            </w:r>
          </w:p>
        </w:tc>
      </w:tr>
      <w:tr w:rsidR="003D3694" w:rsidRPr="00747E35" w14:paraId="4E74AC88" w14:textId="77777777" w:rsidTr="0096743A">
        <w:tc>
          <w:tcPr>
            <w:tcW w:w="847" w:type="dxa"/>
            <w:vAlign w:val="bottom"/>
          </w:tcPr>
          <w:p w14:paraId="6FE2CDC9" w14:textId="77777777" w:rsidR="003D3694" w:rsidRPr="00747E35" w:rsidRDefault="003D3694" w:rsidP="0096743A">
            <w:pPr>
              <w:pStyle w:val="Tabletext"/>
              <w:spacing w:before="0" w:after="0"/>
              <w:rPr>
                <w:rFonts w:cstheme="minorHAnsi"/>
              </w:rPr>
            </w:pPr>
          </w:p>
        </w:tc>
        <w:tc>
          <w:tcPr>
            <w:tcW w:w="1134" w:type="dxa"/>
          </w:tcPr>
          <w:p w14:paraId="6AFD8317" w14:textId="77777777" w:rsidR="003D3694" w:rsidRPr="00747E35" w:rsidRDefault="003D3694" w:rsidP="0096743A">
            <w:pPr>
              <w:pStyle w:val="Tabletext"/>
              <w:spacing w:before="0" w:after="0"/>
              <w:rPr>
                <w:rFonts w:cstheme="minorHAnsi"/>
              </w:rPr>
            </w:pPr>
          </w:p>
        </w:tc>
        <w:tc>
          <w:tcPr>
            <w:tcW w:w="1104" w:type="dxa"/>
            <w:vAlign w:val="bottom"/>
          </w:tcPr>
          <w:p w14:paraId="1A9AF8ED" w14:textId="77777777" w:rsidR="003D3694" w:rsidRPr="00747E35" w:rsidRDefault="003D3694" w:rsidP="0096743A">
            <w:pPr>
              <w:pStyle w:val="Tabletext"/>
              <w:spacing w:before="0" w:after="0"/>
              <w:rPr>
                <w:rFonts w:cstheme="minorHAnsi"/>
              </w:rPr>
            </w:pPr>
          </w:p>
        </w:tc>
        <w:tc>
          <w:tcPr>
            <w:tcW w:w="992" w:type="dxa"/>
            <w:vAlign w:val="bottom"/>
          </w:tcPr>
          <w:p w14:paraId="464C6168" w14:textId="77777777" w:rsidR="003D3694" w:rsidRPr="00747E35" w:rsidRDefault="003D3694" w:rsidP="0096743A">
            <w:pPr>
              <w:pStyle w:val="Tabletext"/>
              <w:spacing w:before="0" w:after="0"/>
              <w:rPr>
                <w:rFonts w:cstheme="minorHAnsi"/>
              </w:rPr>
            </w:pPr>
          </w:p>
        </w:tc>
        <w:tc>
          <w:tcPr>
            <w:tcW w:w="993" w:type="dxa"/>
            <w:tcBorders>
              <w:right w:val="single" w:sz="4" w:space="0" w:color="auto"/>
            </w:tcBorders>
            <w:vAlign w:val="bottom"/>
          </w:tcPr>
          <w:p w14:paraId="7B41AD4B" w14:textId="77777777" w:rsidR="003D3694" w:rsidRPr="00747E35" w:rsidRDefault="003D3694" w:rsidP="0096743A">
            <w:pPr>
              <w:pStyle w:val="Tabletext"/>
              <w:spacing w:before="0" w:after="0"/>
              <w:rPr>
                <w:rFonts w:cstheme="minorHAnsi"/>
              </w:rPr>
            </w:pPr>
          </w:p>
        </w:tc>
        <w:tc>
          <w:tcPr>
            <w:tcW w:w="992" w:type="dxa"/>
            <w:tcBorders>
              <w:left w:val="single" w:sz="4" w:space="0" w:color="auto"/>
            </w:tcBorders>
            <w:vAlign w:val="bottom"/>
          </w:tcPr>
          <w:p w14:paraId="21A20046" w14:textId="77777777" w:rsidR="003D3694" w:rsidRPr="00747E35" w:rsidRDefault="003D3694" w:rsidP="0096743A">
            <w:pPr>
              <w:pStyle w:val="Tabletext"/>
              <w:spacing w:before="0" w:after="0"/>
              <w:rPr>
                <w:rFonts w:cstheme="minorHAnsi"/>
              </w:rPr>
            </w:pPr>
            <w:r w:rsidRPr="00747E35">
              <w:rPr>
                <w:rFonts w:cstheme="minorHAnsi"/>
              </w:rPr>
              <w:t>BRCP_R4</w:t>
            </w:r>
          </w:p>
        </w:tc>
        <w:tc>
          <w:tcPr>
            <w:tcW w:w="1134" w:type="dxa"/>
            <w:vAlign w:val="bottom"/>
          </w:tcPr>
          <w:p w14:paraId="5EF131CE" w14:textId="77777777" w:rsidR="003D3694" w:rsidRPr="00747E35" w:rsidRDefault="003D3694" w:rsidP="0096743A">
            <w:pPr>
              <w:pStyle w:val="Tabletext"/>
              <w:spacing w:before="0" w:after="0"/>
              <w:rPr>
                <w:rFonts w:cstheme="minorHAnsi"/>
              </w:rPr>
            </w:pPr>
            <w:r w:rsidRPr="00747E35">
              <w:rPr>
                <w:rFonts w:cstheme="minorHAnsi"/>
              </w:rPr>
              <w:t>Perennial</w:t>
            </w:r>
          </w:p>
        </w:tc>
        <w:tc>
          <w:tcPr>
            <w:tcW w:w="1134" w:type="dxa"/>
            <w:vAlign w:val="bottom"/>
          </w:tcPr>
          <w:p w14:paraId="66108466" w14:textId="77777777" w:rsidR="003D3694" w:rsidRPr="00747E35" w:rsidRDefault="003D3694" w:rsidP="0096743A">
            <w:pPr>
              <w:pStyle w:val="Tabletext"/>
              <w:spacing w:before="0" w:after="0"/>
              <w:rPr>
                <w:rFonts w:cstheme="minorHAnsi"/>
              </w:rPr>
            </w:pPr>
            <w:r w:rsidRPr="00747E35">
              <w:rPr>
                <w:rFonts w:cstheme="minorHAnsi"/>
              </w:rPr>
              <w:t>Riparian</w:t>
            </w:r>
          </w:p>
        </w:tc>
        <w:tc>
          <w:tcPr>
            <w:tcW w:w="992" w:type="dxa"/>
            <w:vAlign w:val="bottom"/>
          </w:tcPr>
          <w:p w14:paraId="22B431B8" w14:textId="77777777" w:rsidR="003D3694" w:rsidRPr="00747E35" w:rsidRDefault="003D3694" w:rsidP="0096743A">
            <w:pPr>
              <w:pStyle w:val="Tabletext"/>
              <w:spacing w:before="0" w:after="0"/>
              <w:rPr>
                <w:rFonts w:cstheme="minorHAnsi"/>
              </w:rPr>
            </w:pPr>
            <w:r w:rsidRPr="00747E35">
              <w:rPr>
                <w:rFonts w:cstheme="minorHAnsi"/>
              </w:rPr>
              <w:t>28.10265</w:t>
            </w:r>
          </w:p>
        </w:tc>
        <w:tc>
          <w:tcPr>
            <w:tcW w:w="992" w:type="dxa"/>
            <w:vAlign w:val="bottom"/>
          </w:tcPr>
          <w:p w14:paraId="75E43290" w14:textId="77777777" w:rsidR="003D3694" w:rsidRPr="00747E35" w:rsidRDefault="003D3694" w:rsidP="0096743A">
            <w:pPr>
              <w:pStyle w:val="Tabletext"/>
              <w:spacing w:before="0" w:after="0"/>
              <w:rPr>
                <w:rFonts w:cstheme="minorHAnsi"/>
              </w:rPr>
            </w:pPr>
            <w:r w:rsidRPr="00747E35">
              <w:rPr>
                <w:rFonts w:cstheme="minorHAnsi"/>
              </w:rPr>
              <w:t>152.51781</w:t>
            </w:r>
          </w:p>
        </w:tc>
      </w:tr>
      <w:tr w:rsidR="003D3694" w:rsidRPr="00747E35" w14:paraId="57A27DE2" w14:textId="77777777" w:rsidTr="0096743A">
        <w:tc>
          <w:tcPr>
            <w:tcW w:w="847" w:type="dxa"/>
            <w:tcBorders>
              <w:bottom w:val="single" w:sz="4" w:space="0" w:color="auto"/>
            </w:tcBorders>
            <w:vAlign w:val="bottom"/>
          </w:tcPr>
          <w:p w14:paraId="6D0BBEBC" w14:textId="77777777" w:rsidR="003D3694" w:rsidRPr="00747E35" w:rsidRDefault="003D3694" w:rsidP="0096743A">
            <w:pPr>
              <w:pStyle w:val="Tabletext"/>
              <w:spacing w:before="0" w:after="0"/>
              <w:rPr>
                <w:rFonts w:cstheme="minorHAnsi"/>
              </w:rPr>
            </w:pPr>
          </w:p>
        </w:tc>
        <w:tc>
          <w:tcPr>
            <w:tcW w:w="1134" w:type="dxa"/>
            <w:tcBorders>
              <w:bottom w:val="single" w:sz="4" w:space="0" w:color="auto"/>
            </w:tcBorders>
          </w:tcPr>
          <w:p w14:paraId="76A1309F" w14:textId="77777777" w:rsidR="003D3694" w:rsidRPr="00747E35" w:rsidRDefault="003D3694" w:rsidP="0096743A">
            <w:pPr>
              <w:pStyle w:val="Tabletext"/>
              <w:spacing w:before="0" w:after="0"/>
              <w:rPr>
                <w:rFonts w:cstheme="minorHAnsi"/>
              </w:rPr>
            </w:pPr>
          </w:p>
        </w:tc>
        <w:tc>
          <w:tcPr>
            <w:tcW w:w="1104" w:type="dxa"/>
            <w:tcBorders>
              <w:bottom w:val="single" w:sz="4" w:space="0" w:color="auto"/>
            </w:tcBorders>
            <w:vAlign w:val="bottom"/>
          </w:tcPr>
          <w:p w14:paraId="20D34D8F" w14:textId="77777777" w:rsidR="003D3694" w:rsidRPr="00747E35" w:rsidRDefault="003D3694" w:rsidP="0096743A">
            <w:pPr>
              <w:pStyle w:val="Tabletext"/>
              <w:spacing w:before="0" w:after="0"/>
              <w:rPr>
                <w:rFonts w:cstheme="minorHAnsi"/>
              </w:rPr>
            </w:pPr>
          </w:p>
        </w:tc>
        <w:tc>
          <w:tcPr>
            <w:tcW w:w="992" w:type="dxa"/>
            <w:tcBorders>
              <w:bottom w:val="single" w:sz="4" w:space="0" w:color="auto"/>
            </w:tcBorders>
            <w:vAlign w:val="bottom"/>
          </w:tcPr>
          <w:p w14:paraId="65531BEC" w14:textId="77777777" w:rsidR="003D3694" w:rsidRPr="00747E35" w:rsidRDefault="003D3694" w:rsidP="0096743A">
            <w:pPr>
              <w:pStyle w:val="Tabletext"/>
              <w:spacing w:before="0" w:after="0"/>
              <w:rPr>
                <w:rFonts w:cstheme="minorHAnsi"/>
              </w:rPr>
            </w:pPr>
          </w:p>
        </w:tc>
        <w:tc>
          <w:tcPr>
            <w:tcW w:w="993" w:type="dxa"/>
            <w:tcBorders>
              <w:bottom w:val="single" w:sz="4" w:space="0" w:color="auto"/>
              <w:right w:val="single" w:sz="4" w:space="0" w:color="auto"/>
            </w:tcBorders>
            <w:vAlign w:val="bottom"/>
          </w:tcPr>
          <w:p w14:paraId="406316AF" w14:textId="77777777" w:rsidR="003D3694" w:rsidRPr="00747E35" w:rsidRDefault="003D3694" w:rsidP="0096743A">
            <w:pPr>
              <w:pStyle w:val="Tabletext"/>
              <w:spacing w:before="0" w:after="0"/>
              <w:rPr>
                <w:rFonts w:cstheme="minorHAnsi"/>
              </w:rPr>
            </w:pPr>
          </w:p>
        </w:tc>
        <w:tc>
          <w:tcPr>
            <w:tcW w:w="992" w:type="dxa"/>
            <w:tcBorders>
              <w:left w:val="single" w:sz="4" w:space="0" w:color="auto"/>
              <w:bottom w:val="single" w:sz="4" w:space="0" w:color="auto"/>
            </w:tcBorders>
            <w:vAlign w:val="bottom"/>
          </w:tcPr>
          <w:p w14:paraId="346A0B45" w14:textId="77777777" w:rsidR="003D3694" w:rsidRPr="00747E35" w:rsidRDefault="003D3694" w:rsidP="0096743A">
            <w:pPr>
              <w:pStyle w:val="Tabletext"/>
              <w:spacing w:before="0" w:after="0"/>
              <w:rPr>
                <w:rFonts w:cstheme="minorHAnsi"/>
              </w:rPr>
            </w:pPr>
            <w:r w:rsidRPr="00747E35">
              <w:rPr>
                <w:rFonts w:cstheme="minorHAnsi"/>
              </w:rPr>
              <w:t>BRCP_R5</w:t>
            </w:r>
          </w:p>
        </w:tc>
        <w:tc>
          <w:tcPr>
            <w:tcW w:w="1134" w:type="dxa"/>
            <w:tcBorders>
              <w:bottom w:val="single" w:sz="4" w:space="0" w:color="auto"/>
            </w:tcBorders>
            <w:vAlign w:val="bottom"/>
          </w:tcPr>
          <w:p w14:paraId="633F2BC8" w14:textId="77777777" w:rsidR="003D3694" w:rsidRPr="00747E35" w:rsidRDefault="003D3694" w:rsidP="0096743A">
            <w:pPr>
              <w:pStyle w:val="Tabletext"/>
              <w:spacing w:before="0" w:after="0"/>
              <w:rPr>
                <w:rFonts w:cstheme="minorHAnsi"/>
              </w:rPr>
            </w:pPr>
            <w:r w:rsidRPr="00747E35">
              <w:rPr>
                <w:rFonts w:cstheme="minorHAnsi"/>
              </w:rPr>
              <w:t>Perennial</w:t>
            </w:r>
          </w:p>
        </w:tc>
        <w:tc>
          <w:tcPr>
            <w:tcW w:w="1134" w:type="dxa"/>
            <w:tcBorders>
              <w:bottom w:val="single" w:sz="4" w:space="0" w:color="auto"/>
            </w:tcBorders>
            <w:vAlign w:val="bottom"/>
          </w:tcPr>
          <w:p w14:paraId="097F9012" w14:textId="77777777" w:rsidR="003D3694" w:rsidRPr="00747E35" w:rsidRDefault="003D3694" w:rsidP="0096743A">
            <w:pPr>
              <w:pStyle w:val="Tabletext"/>
              <w:spacing w:before="0" w:after="0"/>
              <w:rPr>
                <w:rFonts w:cstheme="minorHAnsi"/>
              </w:rPr>
            </w:pPr>
            <w:r w:rsidRPr="00747E35">
              <w:rPr>
                <w:rFonts w:cstheme="minorHAnsi"/>
              </w:rPr>
              <w:t>Riparian</w:t>
            </w:r>
          </w:p>
        </w:tc>
        <w:tc>
          <w:tcPr>
            <w:tcW w:w="992" w:type="dxa"/>
            <w:tcBorders>
              <w:bottom w:val="single" w:sz="4" w:space="0" w:color="auto"/>
            </w:tcBorders>
            <w:vAlign w:val="bottom"/>
          </w:tcPr>
          <w:p w14:paraId="7DC6B20A" w14:textId="77777777" w:rsidR="003D3694" w:rsidRPr="00747E35" w:rsidRDefault="003D3694" w:rsidP="0096743A">
            <w:pPr>
              <w:pStyle w:val="Tabletext"/>
              <w:spacing w:before="0" w:after="0"/>
              <w:rPr>
                <w:rFonts w:cstheme="minorHAnsi"/>
              </w:rPr>
            </w:pPr>
            <w:r w:rsidRPr="00747E35">
              <w:rPr>
                <w:rFonts w:cstheme="minorHAnsi"/>
              </w:rPr>
              <w:t>28.10052</w:t>
            </w:r>
          </w:p>
        </w:tc>
        <w:tc>
          <w:tcPr>
            <w:tcW w:w="992" w:type="dxa"/>
            <w:tcBorders>
              <w:bottom w:val="single" w:sz="4" w:space="0" w:color="auto"/>
            </w:tcBorders>
            <w:vAlign w:val="bottom"/>
          </w:tcPr>
          <w:p w14:paraId="4AA92FFB" w14:textId="77777777" w:rsidR="003D3694" w:rsidRPr="00747E35" w:rsidRDefault="003D3694" w:rsidP="0096743A">
            <w:pPr>
              <w:pStyle w:val="Tabletext"/>
              <w:spacing w:before="0" w:after="0"/>
              <w:rPr>
                <w:rFonts w:cstheme="minorHAnsi"/>
              </w:rPr>
            </w:pPr>
            <w:r w:rsidRPr="00747E35">
              <w:rPr>
                <w:rFonts w:cstheme="minorHAnsi"/>
              </w:rPr>
              <w:t>152.51782</w:t>
            </w:r>
          </w:p>
        </w:tc>
      </w:tr>
    </w:tbl>
    <w:p w14:paraId="0FC42ECE" w14:textId="77777777" w:rsidR="003D3694" w:rsidRPr="00747E35" w:rsidRDefault="003D3694" w:rsidP="003D3694">
      <w:pPr>
        <w:rPr>
          <w:rFonts w:asciiTheme="minorHAnsi" w:hAnsiTheme="minorHAnsi" w:cstheme="minorHAnsi"/>
        </w:rPr>
      </w:pPr>
    </w:p>
    <w:p w14:paraId="7444574B" w14:textId="77777777" w:rsidR="003D3694" w:rsidRPr="00747E35" w:rsidRDefault="003D3694" w:rsidP="003D3694">
      <w:pPr>
        <w:rPr>
          <w:rFonts w:asciiTheme="minorHAnsi" w:hAnsiTheme="minorHAnsi" w:cstheme="minorHAnsi"/>
        </w:rPr>
      </w:pPr>
    </w:p>
    <w:p w14:paraId="7CD5DCDE" w14:textId="77777777" w:rsidR="003D3694" w:rsidRPr="00747E35" w:rsidRDefault="003D3694" w:rsidP="003D3694">
      <w:pPr>
        <w:rPr>
          <w:rFonts w:asciiTheme="minorHAnsi" w:hAnsiTheme="minorHAnsi" w:cstheme="minorHAnsi"/>
        </w:rPr>
      </w:pPr>
    </w:p>
    <w:p w14:paraId="33871DF8" w14:textId="77777777" w:rsidR="003D3694" w:rsidRPr="00747E35" w:rsidRDefault="003D3694" w:rsidP="003D3694">
      <w:pPr>
        <w:rPr>
          <w:rFonts w:asciiTheme="minorHAnsi" w:hAnsiTheme="minorHAnsi" w:cstheme="minorHAnsi"/>
        </w:rPr>
      </w:pPr>
    </w:p>
    <w:p w14:paraId="61958D88" w14:textId="77777777" w:rsidR="003D3694" w:rsidRPr="00747E35" w:rsidRDefault="003D3694" w:rsidP="003D3694">
      <w:pPr>
        <w:rPr>
          <w:rFonts w:asciiTheme="minorHAnsi" w:hAnsiTheme="minorHAnsi" w:cstheme="minorHAnsi"/>
        </w:rPr>
      </w:pPr>
    </w:p>
    <w:p w14:paraId="41637D76" w14:textId="77777777" w:rsidR="003D3694" w:rsidRPr="00747E35" w:rsidRDefault="003D3694" w:rsidP="003D3694">
      <w:pPr>
        <w:rPr>
          <w:rFonts w:asciiTheme="minorHAnsi" w:hAnsiTheme="minorHAnsi" w:cstheme="minorHAnsi"/>
        </w:rPr>
      </w:pPr>
    </w:p>
    <w:p w14:paraId="20D0F6A7" w14:textId="77777777" w:rsidR="003D3694" w:rsidRPr="00747E35" w:rsidRDefault="003D3694" w:rsidP="003D3694">
      <w:pPr>
        <w:rPr>
          <w:rFonts w:asciiTheme="minorHAnsi" w:hAnsiTheme="minorHAnsi" w:cstheme="minorHAnsi"/>
        </w:rPr>
      </w:pPr>
    </w:p>
    <w:p w14:paraId="0B9335E5" w14:textId="77777777" w:rsidR="003D3694" w:rsidRPr="00747E35" w:rsidRDefault="003D3694" w:rsidP="003D3694">
      <w:pPr>
        <w:rPr>
          <w:rFonts w:asciiTheme="minorHAnsi" w:hAnsiTheme="minorHAnsi" w:cstheme="minorHAnsi"/>
        </w:rPr>
      </w:pPr>
    </w:p>
    <w:p w14:paraId="298741C6" w14:textId="77777777" w:rsidR="003D3694" w:rsidRPr="00747E35" w:rsidRDefault="003D3694" w:rsidP="003D3694">
      <w:pPr>
        <w:rPr>
          <w:rFonts w:asciiTheme="minorHAnsi" w:hAnsiTheme="minorHAnsi" w:cstheme="minorHAnsi"/>
        </w:rPr>
      </w:pPr>
    </w:p>
    <w:p w14:paraId="02D239FE" w14:textId="56076677" w:rsidR="003D3694" w:rsidRPr="00747E35" w:rsidRDefault="00C80858" w:rsidP="00C80858">
      <w:pPr>
        <w:autoSpaceDE/>
        <w:autoSpaceDN/>
        <w:spacing w:after="160" w:line="259" w:lineRule="auto"/>
        <w:rPr>
          <w:rFonts w:asciiTheme="minorHAnsi" w:hAnsiTheme="minorHAnsi" w:cstheme="minorHAnsi"/>
        </w:rPr>
      </w:pPr>
      <w:r w:rsidRPr="00747E35">
        <w:rPr>
          <w:rFonts w:asciiTheme="minorHAnsi" w:hAnsiTheme="minorHAnsi" w:cstheme="minorHAnsi"/>
        </w:rPr>
        <w:br w:type="page"/>
      </w:r>
    </w:p>
    <w:p w14:paraId="18AFE566" w14:textId="77777777" w:rsidR="003D3694" w:rsidRPr="00747E35" w:rsidRDefault="003D3694" w:rsidP="00551FB9">
      <w:pPr>
        <w:pStyle w:val="Caption"/>
        <w:numPr>
          <w:ilvl w:val="0"/>
          <w:numId w:val="0"/>
        </w:numPr>
        <w:rPr>
          <w:rFonts w:cstheme="minorHAnsi"/>
        </w:rPr>
      </w:pPr>
      <w:bookmarkStart w:id="471" w:name="_Ref467225315"/>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44</w:t>
      </w:r>
      <w:r w:rsidR="009D6600" w:rsidRPr="00747E35">
        <w:rPr>
          <w:rFonts w:cstheme="minorHAnsi"/>
          <w:noProof/>
        </w:rPr>
        <w:fldChar w:fldCharType="end"/>
      </w:r>
      <w:bookmarkEnd w:id="471"/>
      <w:r w:rsidRPr="00747E35">
        <w:rPr>
          <w:rFonts w:cstheme="minorHAnsi"/>
        </w:rPr>
        <w:t>: Species list of plants (including hydrotype, life form and landscape position categories) found in quadrats at the Maules Creek and Bremer River study sites (n = 27 and 25 sites, respectively).</w:t>
      </w:r>
    </w:p>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28" w:type="dxa"/>
        </w:tblCellMar>
        <w:tblLook w:val="04A0" w:firstRow="1" w:lastRow="0" w:firstColumn="1" w:lastColumn="0" w:noHBand="0" w:noVBand="1"/>
      </w:tblPr>
      <w:tblGrid>
        <w:gridCol w:w="567"/>
        <w:gridCol w:w="567"/>
        <w:gridCol w:w="1985"/>
        <w:gridCol w:w="709"/>
        <w:gridCol w:w="992"/>
        <w:gridCol w:w="709"/>
        <w:gridCol w:w="708"/>
        <w:gridCol w:w="2268"/>
        <w:gridCol w:w="426"/>
        <w:gridCol w:w="850"/>
      </w:tblGrid>
      <w:tr w:rsidR="003D3694" w:rsidRPr="00747E35" w14:paraId="20130DB2" w14:textId="77777777" w:rsidTr="00D062C2">
        <w:trPr>
          <w:tblHeader/>
        </w:trPr>
        <w:tc>
          <w:tcPr>
            <w:tcW w:w="567" w:type="dxa"/>
            <w:tcBorders>
              <w:top w:val="single" w:sz="4" w:space="0" w:color="auto"/>
              <w:bottom w:val="single" w:sz="4" w:space="0" w:color="auto"/>
            </w:tcBorders>
            <w:shd w:val="clear" w:color="auto" w:fill="DEEAF6" w:themeFill="accent1" w:themeFillTint="33"/>
          </w:tcPr>
          <w:p w14:paraId="2F003D1E" w14:textId="77777777" w:rsidR="003D3694" w:rsidRPr="00747E35" w:rsidRDefault="003D3694" w:rsidP="0096743A">
            <w:pPr>
              <w:pStyle w:val="TableHead"/>
              <w:spacing w:before="0" w:after="0"/>
              <w:rPr>
                <w:rFonts w:asciiTheme="minorHAnsi" w:hAnsiTheme="minorHAnsi" w:cstheme="minorHAnsi"/>
                <w:sz w:val="18"/>
                <w:szCs w:val="18"/>
              </w:rPr>
            </w:pPr>
            <w:r w:rsidRPr="00747E35">
              <w:rPr>
                <w:rFonts w:asciiTheme="minorHAnsi" w:hAnsiTheme="minorHAnsi" w:cstheme="minorHAnsi"/>
                <w:sz w:val="18"/>
                <w:szCs w:val="18"/>
              </w:rPr>
              <w:t>Hydro-type</w:t>
            </w:r>
            <w:r w:rsidRPr="00747E35">
              <w:rPr>
                <w:rFonts w:asciiTheme="minorHAnsi" w:hAnsiTheme="minorHAnsi" w:cstheme="minorHAnsi"/>
                <w:sz w:val="18"/>
                <w:szCs w:val="18"/>
                <w:vertAlign w:val="superscript"/>
              </w:rPr>
              <w:t>1</w:t>
            </w:r>
          </w:p>
        </w:tc>
        <w:tc>
          <w:tcPr>
            <w:tcW w:w="567" w:type="dxa"/>
            <w:tcBorders>
              <w:top w:val="single" w:sz="4" w:space="0" w:color="auto"/>
              <w:bottom w:val="single" w:sz="4" w:space="0" w:color="auto"/>
            </w:tcBorders>
            <w:shd w:val="clear" w:color="auto" w:fill="DEEAF6" w:themeFill="accent1" w:themeFillTint="33"/>
          </w:tcPr>
          <w:p w14:paraId="3735712E" w14:textId="77777777" w:rsidR="003D3694" w:rsidRPr="00747E35" w:rsidRDefault="003D3694" w:rsidP="0096743A">
            <w:pPr>
              <w:pStyle w:val="TableHead"/>
              <w:spacing w:before="0" w:after="0"/>
              <w:rPr>
                <w:rFonts w:asciiTheme="minorHAnsi" w:hAnsiTheme="minorHAnsi" w:cstheme="minorHAnsi"/>
                <w:sz w:val="18"/>
                <w:szCs w:val="18"/>
              </w:rPr>
            </w:pPr>
            <w:r w:rsidRPr="00747E35">
              <w:rPr>
                <w:rFonts w:asciiTheme="minorHAnsi" w:hAnsiTheme="minorHAnsi" w:cstheme="minorHAnsi"/>
                <w:sz w:val="18"/>
                <w:szCs w:val="18"/>
              </w:rPr>
              <w:t>Life Form</w:t>
            </w:r>
            <w:r w:rsidRPr="00747E35">
              <w:rPr>
                <w:rFonts w:asciiTheme="minorHAnsi" w:hAnsiTheme="minorHAnsi" w:cstheme="minorHAnsi"/>
                <w:sz w:val="18"/>
                <w:szCs w:val="18"/>
                <w:vertAlign w:val="superscript"/>
              </w:rPr>
              <w:t>2</w:t>
            </w:r>
          </w:p>
        </w:tc>
        <w:tc>
          <w:tcPr>
            <w:tcW w:w="1985" w:type="dxa"/>
            <w:tcBorders>
              <w:top w:val="single" w:sz="4" w:space="0" w:color="auto"/>
              <w:bottom w:val="single" w:sz="4" w:space="0" w:color="auto"/>
            </w:tcBorders>
            <w:shd w:val="clear" w:color="auto" w:fill="DEEAF6" w:themeFill="accent1" w:themeFillTint="33"/>
          </w:tcPr>
          <w:p w14:paraId="1843BDEA" w14:textId="77777777" w:rsidR="003D3694" w:rsidRPr="00747E35" w:rsidRDefault="003D3694" w:rsidP="0096743A">
            <w:pPr>
              <w:pStyle w:val="TableHead"/>
              <w:spacing w:before="0" w:after="0"/>
              <w:rPr>
                <w:rFonts w:asciiTheme="minorHAnsi" w:hAnsiTheme="minorHAnsi" w:cstheme="minorHAnsi"/>
                <w:sz w:val="18"/>
                <w:szCs w:val="18"/>
              </w:rPr>
            </w:pPr>
            <w:r w:rsidRPr="00747E35">
              <w:rPr>
                <w:rFonts w:asciiTheme="minorHAnsi" w:hAnsiTheme="minorHAnsi" w:cstheme="minorHAnsi"/>
                <w:sz w:val="18"/>
                <w:szCs w:val="18"/>
              </w:rPr>
              <w:t>Species</w:t>
            </w:r>
          </w:p>
        </w:tc>
        <w:tc>
          <w:tcPr>
            <w:tcW w:w="709" w:type="dxa"/>
            <w:tcBorders>
              <w:top w:val="single" w:sz="4" w:space="0" w:color="auto"/>
              <w:bottom w:val="single" w:sz="4" w:space="0" w:color="auto"/>
            </w:tcBorders>
            <w:shd w:val="clear" w:color="auto" w:fill="DEEAF6" w:themeFill="accent1" w:themeFillTint="33"/>
          </w:tcPr>
          <w:p w14:paraId="79D9896E" w14:textId="77777777" w:rsidR="003D3694" w:rsidRPr="00747E35" w:rsidRDefault="003D3694" w:rsidP="0096743A">
            <w:pPr>
              <w:pStyle w:val="TableHead"/>
              <w:spacing w:before="0" w:after="0"/>
              <w:rPr>
                <w:rFonts w:asciiTheme="minorHAnsi" w:hAnsiTheme="minorHAnsi" w:cstheme="minorHAnsi"/>
                <w:sz w:val="18"/>
                <w:szCs w:val="18"/>
              </w:rPr>
            </w:pPr>
            <w:r w:rsidRPr="00747E35">
              <w:rPr>
                <w:rFonts w:asciiTheme="minorHAnsi" w:hAnsiTheme="minorHAnsi" w:cstheme="minorHAnsi"/>
                <w:sz w:val="18"/>
                <w:szCs w:val="18"/>
              </w:rPr>
              <w:t>Sites</w:t>
            </w:r>
            <w:r w:rsidRPr="00747E35">
              <w:rPr>
                <w:rFonts w:asciiTheme="minorHAnsi" w:hAnsiTheme="minorHAnsi" w:cstheme="minorHAnsi"/>
                <w:sz w:val="18"/>
                <w:szCs w:val="18"/>
                <w:vertAlign w:val="superscript"/>
              </w:rPr>
              <w:t>3</w:t>
            </w:r>
          </w:p>
        </w:tc>
        <w:tc>
          <w:tcPr>
            <w:tcW w:w="992" w:type="dxa"/>
            <w:tcBorders>
              <w:top w:val="single" w:sz="4" w:space="0" w:color="auto"/>
              <w:bottom w:val="single" w:sz="4" w:space="0" w:color="auto"/>
              <w:right w:val="single" w:sz="4" w:space="0" w:color="auto"/>
            </w:tcBorders>
            <w:shd w:val="clear" w:color="auto" w:fill="DEEAF6" w:themeFill="accent1" w:themeFillTint="33"/>
          </w:tcPr>
          <w:p w14:paraId="297A2F7B" w14:textId="77777777" w:rsidR="003D3694" w:rsidRPr="00747E35" w:rsidRDefault="003D3694" w:rsidP="0096743A">
            <w:pPr>
              <w:pStyle w:val="TableHead"/>
              <w:spacing w:before="0" w:after="0"/>
              <w:rPr>
                <w:rFonts w:asciiTheme="minorHAnsi" w:hAnsiTheme="minorHAnsi" w:cstheme="minorHAnsi"/>
                <w:sz w:val="18"/>
                <w:szCs w:val="18"/>
              </w:rPr>
            </w:pPr>
            <w:r w:rsidRPr="00747E35">
              <w:rPr>
                <w:rFonts w:asciiTheme="minorHAnsi" w:hAnsiTheme="minorHAnsi" w:cstheme="minorHAnsi"/>
                <w:sz w:val="18"/>
                <w:szCs w:val="18"/>
              </w:rPr>
              <w:t>Landscape position</w:t>
            </w:r>
            <w:r w:rsidRPr="00747E35">
              <w:rPr>
                <w:rFonts w:asciiTheme="minorHAnsi" w:hAnsiTheme="minorHAnsi" w:cstheme="minorHAnsi"/>
                <w:sz w:val="18"/>
                <w:szCs w:val="18"/>
                <w:vertAlign w:val="superscript"/>
              </w:rPr>
              <w:t>4</w:t>
            </w:r>
          </w:p>
        </w:tc>
        <w:tc>
          <w:tcPr>
            <w:tcW w:w="709" w:type="dxa"/>
            <w:tcBorders>
              <w:top w:val="single" w:sz="4" w:space="0" w:color="auto"/>
              <w:left w:val="single" w:sz="4" w:space="0" w:color="auto"/>
              <w:bottom w:val="single" w:sz="4" w:space="0" w:color="auto"/>
            </w:tcBorders>
            <w:shd w:val="clear" w:color="auto" w:fill="DEEAF6" w:themeFill="accent1" w:themeFillTint="33"/>
          </w:tcPr>
          <w:p w14:paraId="4F7C5886" w14:textId="77777777" w:rsidR="003D3694" w:rsidRPr="00747E35" w:rsidRDefault="003D3694" w:rsidP="0096743A">
            <w:pPr>
              <w:pStyle w:val="TableHead"/>
              <w:spacing w:before="0" w:after="0"/>
              <w:rPr>
                <w:rFonts w:asciiTheme="minorHAnsi" w:hAnsiTheme="minorHAnsi" w:cstheme="minorHAnsi"/>
                <w:sz w:val="18"/>
                <w:szCs w:val="18"/>
              </w:rPr>
            </w:pPr>
            <w:r w:rsidRPr="00747E35">
              <w:rPr>
                <w:rFonts w:asciiTheme="minorHAnsi" w:hAnsiTheme="minorHAnsi" w:cstheme="minorHAnsi"/>
                <w:sz w:val="18"/>
                <w:szCs w:val="18"/>
              </w:rPr>
              <w:t>Hydro-type</w:t>
            </w:r>
          </w:p>
        </w:tc>
        <w:tc>
          <w:tcPr>
            <w:tcW w:w="708" w:type="dxa"/>
            <w:tcBorders>
              <w:top w:val="single" w:sz="4" w:space="0" w:color="auto"/>
              <w:bottom w:val="single" w:sz="4" w:space="0" w:color="auto"/>
            </w:tcBorders>
            <w:shd w:val="clear" w:color="auto" w:fill="DEEAF6" w:themeFill="accent1" w:themeFillTint="33"/>
          </w:tcPr>
          <w:p w14:paraId="705CFA86" w14:textId="77777777" w:rsidR="003D3694" w:rsidRPr="00747E35" w:rsidRDefault="003D3694" w:rsidP="0096743A">
            <w:pPr>
              <w:pStyle w:val="TableHead"/>
              <w:spacing w:before="0" w:after="0"/>
              <w:rPr>
                <w:rFonts w:asciiTheme="minorHAnsi" w:hAnsiTheme="minorHAnsi" w:cstheme="minorHAnsi"/>
                <w:sz w:val="18"/>
                <w:szCs w:val="18"/>
              </w:rPr>
            </w:pPr>
            <w:r w:rsidRPr="00747E35">
              <w:rPr>
                <w:rFonts w:asciiTheme="minorHAnsi" w:hAnsiTheme="minorHAnsi" w:cstheme="minorHAnsi"/>
                <w:sz w:val="18"/>
                <w:szCs w:val="18"/>
              </w:rPr>
              <w:t>Life Form</w:t>
            </w:r>
          </w:p>
        </w:tc>
        <w:tc>
          <w:tcPr>
            <w:tcW w:w="2268" w:type="dxa"/>
            <w:tcBorders>
              <w:top w:val="single" w:sz="4" w:space="0" w:color="auto"/>
              <w:bottom w:val="single" w:sz="4" w:space="0" w:color="auto"/>
            </w:tcBorders>
            <w:shd w:val="clear" w:color="auto" w:fill="DEEAF6" w:themeFill="accent1" w:themeFillTint="33"/>
          </w:tcPr>
          <w:p w14:paraId="3A03CB75" w14:textId="77777777" w:rsidR="003D3694" w:rsidRPr="00747E35" w:rsidRDefault="003D3694" w:rsidP="0096743A">
            <w:pPr>
              <w:pStyle w:val="TableHead"/>
              <w:spacing w:before="0" w:after="0"/>
              <w:rPr>
                <w:rFonts w:asciiTheme="minorHAnsi" w:hAnsiTheme="minorHAnsi" w:cstheme="minorHAnsi"/>
                <w:sz w:val="18"/>
                <w:szCs w:val="18"/>
              </w:rPr>
            </w:pPr>
            <w:r w:rsidRPr="00747E35">
              <w:rPr>
                <w:rFonts w:asciiTheme="minorHAnsi" w:hAnsiTheme="minorHAnsi" w:cstheme="minorHAnsi"/>
                <w:sz w:val="18"/>
                <w:szCs w:val="18"/>
              </w:rPr>
              <w:t>Species</w:t>
            </w:r>
          </w:p>
        </w:tc>
        <w:tc>
          <w:tcPr>
            <w:tcW w:w="426" w:type="dxa"/>
            <w:tcBorders>
              <w:top w:val="single" w:sz="4" w:space="0" w:color="auto"/>
              <w:bottom w:val="single" w:sz="4" w:space="0" w:color="auto"/>
            </w:tcBorders>
            <w:shd w:val="clear" w:color="auto" w:fill="DEEAF6" w:themeFill="accent1" w:themeFillTint="33"/>
          </w:tcPr>
          <w:p w14:paraId="3EA12D2F" w14:textId="77777777" w:rsidR="003D3694" w:rsidRPr="00747E35" w:rsidRDefault="003D3694" w:rsidP="0096743A">
            <w:pPr>
              <w:pStyle w:val="TableHead"/>
              <w:spacing w:before="0" w:after="0"/>
              <w:rPr>
                <w:rFonts w:asciiTheme="minorHAnsi" w:hAnsiTheme="minorHAnsi" w:cstheme="minorHAnsi"/>
                <w:sz w:val="18"/>
                <w:szCs w:val="18"/>
              </w:rPr>
            </w:pPr>
            <w:r w:rsidRPr="00747E35">
              <w:rPr>
                <w:rFonts w:asciiTheme="minorHAnsi" w:hAnsiTheme="minorHAnsi" w:cstheme="minorHAnsi"/>
                <w:sz w:val="18"/>
                <w:szCs w:val="18"/>
              </w:rPr>
              <w:t>Sites</w:t>
            </w:r>
          </w:p>
        </w:tc>
        <w:tc>
          <w:tcPr>
            <w:tcW w:w="850" w:type="dxa"/>
            <w:tcBorders>
              <w:top w:val="single" w:sz="4" w:space="0" w:color="auto"/>
              <w:bottom w:val="single" w:sz="4" w:space="0" w:color="auto"/>
            </w:tcBorders>
            <w:shd w:val="clear" w:color="auto" w:fill="DEEAF6" w:themeFill="accent1" w:themeFillTint="33"/>
          </w:tcPr>
          <w:p w14:paraId="484F2A35" w14:textId="77777777" w:rsidR="003D3694" w:rsidRPr="00747E35" w:rsidRDefault="003D3694" w:rsidP="0096743A">
            <w:pPr>
              <w:pStyle w:val="TableHead"/>
              <w:spacing w:before="0" w:after="0"/>
              <w:rPr>
                <w:rFonts w:asciiTheme="minorHAnsi" w:hAnsiTheme="minorHAnsi" w:cstheme="minorHAnsi"/>
                <w:sz w:val="18"/>
                <w:szCs w:val="18"/>
              </w:rPr>
            </w:pPr>
            <w:r w:rsidRPr="00747E35">
              <w:rPr>
                <w:rFonts w:asciiTheme="minorHAnsi" w:hAnsiTheme="minorHAnsi" w:cstheme="minorHAnsi"/>
                <w:sz w:val="18"/>
                <w:szCs w:val="18"/>
              </w:rPr>
              <w:t>Landscape position</w:t>
            </w:r>
          </w:p>
        </w:tc>
      </w:tr>
      <w:tr w:rsidR="00C80858" w:rsidRPr="00747E35" w14:paraId="6CFF8A5B" w14:textId="77777777" w:rsidTr="0096743A">
        <w:tc>
          <w:tcPr>
            <w:tcW w:w="567" w:type="dxa"/>
            <w:tcBorders>
              <w:top w:val="single" w:sz="4" w:space="0" w:color="auto"/>
            </w:tcBorders>
            <w:vAlign w:val="bottom"/>
          </w:tcPr>
          <w:p w14:paraId="1601225C" w14:textId="7587770A" w:rsidR="00C80858" w:rsidRPr="00747E35" w:rsidRDefault="00C80858" w:rsidP="00C80858">
            <w:pPr>
              <w:pStyle w:val="Tabletext"/>
              <w:spacing w:before="0" w:after="0"/>
              <w:rPr>
                <w:rFonts w:cstheme="minorHAnsi"/>
              </w:rPr>
            </w:pPr>
            <w:r w:rsidRPr="00747E35">
              <w:rPr>
                <w:rFonts w:cstheme="minorHAnsi"/>
              </w:rPr>
              <w:t>-</w:t>
            </w:r>
          </w:p>
        </w:tc>
        <w:tc>
          <w:tcPr>
            <w:tcW w:w="567" w:type="dxa"/>
            <w:tcBorders>
              <w:top w:val="single" w:sz="4" w:space="0" w:color="auto"/>
            </w:tcBorders>
            <w:vAlign w:val="bottom"/>
          </w:tcPr>
          <w:p w14:paraId="448FDBD8" w14:textId="286E81E8" w:rsidR="00C80858" w:rsidRPr="00747E35" w:rsidRDefault="00C80858" w:rsidP="00C80858">
            <w:pPr>
              <w:pStyle w:val="Tabletext"/>
              <w:spacing w:before="0" w:after="0"/>
              <w:rPr>
                <w:rFonts w:cstheme="minorHAnsi"/>
              </w:rPr>
            </w:pPr>
            <w:r w:rsidRPr="00747E35">
              <w:rPr>
                <w:rFonts w:cstheme="minorHAnsi"/>
              </w:rPr>
              <w:t>ag*</w:t>
            </w:r>
          </w:p>
        </w:tc>
        <w:tc>
          <w:tcPr>
            <w:tcW w:w="1985" w:type="dxa"/>
            <w:tcBorders>
              <w:top w:val="single" w:sz="4" w:space="0" w:color="auto"/>
            </w:tcBorders>
            <w:vAlign w:val="bottom"/>
          </w:tcPr>
          <w:p w14:paraId="5DF1BEB1" w14:textId="1CD86835" w:rsidR="00C80858" w:rsidRPr="00747E35" w:rsidRDefault="00C80858" w:rsidP="00C80858">
            <w:pPr>
              <w:pStyle w:val="Tabletext"/>
              <w:spacing w:before="0" w:after="0"/>
              <w:rPr>
                <w:rFonts w:cstheme="minorHAnsi"/>
                <w:i/>
              </w:rPr>
            </w:pPr>
            <w:r w:rsidRPr="00747E35">
              <w:rPr>
                <w:rFonts w:cstheme="minorHAnsi"/>
                <w:i/>
              </w:rPr>
              <w:t>Bromus diandrus</w:t>
            </w:r>
          </w:p>
        </w:tc>
        <w:tc>
          <w:tcPr>
            <w:tcW w:w="709" w:type="dxa"/>
            <w:tcBorders>
              <w:top w:val="single" w:sz="4" w:space="0" w:color="auto"/>
            </w:tcBorders>
            <w:vAlign w:val="bottom"/>
          </w:tcPr>
          <w:p w14:paraId="1E2D623F" w14:textId="074FD57A"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top w:val="single" w:sz="4" w:space="0" w:color="auto"/>
              <w:right w:val="single" w:sz="4" w:space="0" w:color="auto"/>
            </w:tcBorders>
            <w:vAlign w:val="bottom"/>
          </w:tcPr>
          <w:p w14:paraId="4E1ECB79" w14:textId="27617280" w:rsidR="00C80858" w:rsidRPr="00747E35" w:rsidRDefault="00C80858" w:rsidP="00C80858">
            <w:pPr>
              <w:pStyle w:val="Tabletext"/>
              <w:spacing w:before="0" w:after="0"/>
              <w:rPr>
                <w:rFonts w:cstheme="minorHAnsi"/>
              </w:rPr>
            </w:pPr>
            <w:r w:rsidRPr="00747E35">
              <w:rPr>
                <w:rFonts w:cstheme="minorHAnsi"/>
              </w:rPr>
              <w:t>Rp</w:t>
            </w:r>
          </w:p>
        </w:tc>
        <w:tc>
          <w:tcPr>
            <w:tcW w:w="709" w:type="dxa"/>
            <w:tcBorders>
              <w:top w:val="single" w:sz="4" w:space="0" w:color="auto"/>
              <w:left w:val="single" w:sz="4" w:space="0" w:color="auto"/>
            </w:tcBorders>
            <w:vAlign w:val="bottom"/>
          </w:tcPr>
          <w:p w14:paraId="0E70D0D4" w14:textId="1D40D754" w:rsidR="00C80858" w:rsidRPr="00747E35" w:rsidRDefault="00C80858" w:rsidP="00C80858">
            <w:pPr>
              <w:pStyle w:val="Tabletext"/>
              <w:spacing w:before="0" w:after="0"/>
              <w:rPr>
                <w:rFonts w:cstheme="minorHAnsi"/>
              </w:rPr>
            </w:pPr>
            <w:r w:rsidRPr="00747E35">
              <w:rPr>
                <w:rFonts w:cstheme="minorHAnsi"/>
              </w:rPr>
              <w:t>2</w:t>
            </w:r>
          </w:p>
        </w:tc>
        <w:tc>
          <w:tcPr>
            <w:tcW w:w="708" w:type="dxa"/>
            <w:tcBorders>
              <w:top w:val="single" w:sz="4" w:space="0" w:color="auto"/>
            </w:tcBorders>
            <w:vAlign w:val="bottom"/>
          </w:tcPr>
          <w:p w14:paraId="19080FC3" w14:textId="771530D3" w:rsidR="00C80858" w:rsidRPr="00747E35" w:rsidRDefault="00C80858" w:rsidP="00C80858">
            <w:pPr>
              <w:pStyle w:val="Tabletext"/>
              <w:spacing w:before="0" w:after="0"/>
              <w:rPr>
                <w:rFonts w:cstheme="minorHAnsi"/>
              </w:rPr>
            </w:pPr>
            <w:r w:rsidRPr="00747E35">
              <w:rPr>
                <w:rFonts w:cstheme="minorHAnsi"/>
              </w:rPr>
              <w:t>ph</w:t>
            </w:r>
          </w:p>
        </w:tc>
        <w:tc>
          <w:tcPr>
            <w:tcW w:w="2268" w:type="dxa"/>
            <w:tcBorders>
              <w:top w:val="single" w:sz="4" w:space="0" w:color="auto"/>
            </w:tcBorders>
            <w:vAlign w:val="bottom"/>
          </w:tcPr>
          <w:p w14:paraId="65516EE6" w14:textId="0ED28EC2" w:rsidR="00C80858" w:rsidRPr="00747E35" w:rsidRDefault="00C80858" w:rsidP="00C80858">
            <w:pPr>
              <w:pStyle w:val="Tabletext"/>
              <w:spacing w:before="0" w:after="0"/>
              <w:rPr>
                <w:rFonts w:cstheme="minorHAnsi"/>
                <w:i/>
              </w:rPr>
            </w:pPr>
            <w:r w:rsidRPr="00747E35">
              <w:rPr>
                <w:rFonts w:cstheme="minorHAnsi"/>
                <w:i/>
              </w:rPr>
              <w:t>Adiantum hispidulum</w:t>
            </w:r>
          </w:p>
        </w:tc>
        <w:tc>
          <w:tcPr>
            <w:tcW w:w="426" w:type="dxa"/>
            <w:tcBorders>
              <w:top w:val="single" w:sz="4" w:space="0" w:color="auto"/>
            </w:tcBorders>
            <w:vAlign w:val="bottom"/>
          </w:tcPr>
          <w:p w14:paraId="00185D34" w14:textId="366A154E" w:rsidR="00C80858" w:rsidRPr="00747E35" w:rsidRDefault="00C80858" w:rsidP="00C80858">
            <w:pPr>
              <w:pStyle w:val="Tabletext"/>
              <w:spacing w:before="0" w:after="0"/>
              <w:rPr>
                <w:rFonts w:cstheme="minorHAnsi"/>
              </w:rPr>
            </w:pPr>
            <w:r w:rsidRPr="00747E35">
              <w:rPr>
                <w:rFonts w:cstheme="minorHAnsi"/>
              </w:rPr>
              <w:t>B, M</w:t>
            </w:r>
          </w:p>
        </w:tc>
        <w:tc>
          <w:tcPr>
            <w:tcW w:w="850" w:type="dxa"/>
            <w:tcBorders>
              <w:top w:val="single" w:sz="4" w:space="0" w:color="auto"/>
            </w:tcBorders>
            <w:vAlign w:val="bottom"/>
          </w:tcPr>
          <w:p w14:paraId="41BC39BB" w14:textId="4D0BB19B" w:rsidR="00C80858" w:rsidRPr="00747E35" w:rsidRDefault="00C80858" w:rsidP="00C80858">
            <w:pPr>
              <w:pStyle w:val="Tabletext"/>
              <w:spacing w:before="0" w:after="0"/>
              <w:rPr>
                <w:rFonts w:cstheme="minorHAnsi"/>
              </w:rPr>
            </w:pPr>
            <w:r w:rsidRPr="00747E35">
              <w:rPr>
                <w:rFonts w:cstheme="minorHAnsi"/>
              </w:rPr>
              <w:t>Ri Rp</w:t>
            </w:r>
          </w:p>
        </w:tc>
      </w:tr>
      <w:tr w:rsidR="00C80858" w:rsidRPr="00747E35" w14:paraId="2AEA9234" w14:textId="77777777" w:rsidTr="0096743A">
        <w:tc>
          <w:tcPr>
            <w:tcW w:w="567" w:type="dxa"/>
            <w:vAlign w:val="bottom"/>
          </w:tcPr>
          <w:p w14:paraId="226BC138" w14:textId="01C9F76E" w:rsidR="00C80858" w:rsidRPr="00747E35" w:rsidRDefault="00C80858" w:rsidP="00C80858">
            <w:pPr>
              <w:pStyle w:val="Tabletext"/>
              <w:spacing w:before="0" w:after="0"/>
              <w:rPr>
                <w:rFonts w:cstheme="minorHAnsi"/>
              </w:rPr>
            </w:pPr>
            <w:r w:rsidRPr="00747E35">
              <w:rPr>
                <w:rFonts w:cstheme="minorHAnsi"/>
              </w:rPr>
              <w:t>-</w:t>
            </w:r>
          </w:p>
        </w:tc>
        <w:tc>
          <w:tcPr>
            <w:tcW w:w="567" w:type="dxa"/>
          </w:tcPr>
          <w:p w14:paraId="1AE03413" w14:textId="1291BF8B" w:rsidR="00C80858" w:rsidRPr="00747E35" w:rsidRDefault="00C80858" w:rsidP="00C80858">
            <w:pPr>
              <w:pStyle w:val="Tabletext"/>
              <w:spacing w:before="0" w:after="0"/>
              <w:rPr>
                <w:rFonts w:cstheme="minorHAnsi"/>
              </w:rPr>
            </w:pPr>
            <w:r w:rsidRPr="00747E35">
              <w:rPr>
                <w:rFonts w:cstheme="minorHAnsi"/>
              </w:rPr>
              <w:t>ag*</w:t>
            </w:r>
          </w:p>
        </w:tc>
        <w:tc>
          <w:tcPr>
            <w:tcW w:w="1985" w:type="dxa"/>
            <w:vAlign w:val="bottom"/>
          </w:tcPr>
          <w:p w14:paraId="263A6F42" w14:textId="1EBF90EF" w:rsidR="00C80858" w:rsidRPr="00747E35" w:rsidRDefault="00C80858" w:rsidP="00C80858">
            <w:pPr>
              <w:pStyle w:val="Tabletext"/>
              <w:spacing w:before="0" w:after="0"/>
              <w:rPr>
                <w:rFonts w:cstheme="minorHAnsi"/>
                <w:i/>
              </w:rPr>
            </w:pPr>
            <w:r w:rsidRPr="00747E35">
              <w:rPr>
                <w:rFonts w:cstheme="minorHAnsi"/>
                <w:i/>
              </w:rPr>
              <w:t>Bromus hordeaceus</w:t>
            </w:r>
          </w:p>
        </w:tc>
        <w:tc>
          <w:tcPr>
            <w:tcW w:w="709" w:type="dxa"/>
            <w:vAlign w:val="bottom"/>
          </w:tcPr>
          <w:p w14:paraId="2ACAECDA" w14:textId="34A03643"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45ED31AD" w14:textId="39ABC9FD" w:rsidR="00C80858" w:rsidRPr="00747E35" w:rsidRDefault="00C80858" w:rsidP="00C80858">
            <w:pPr>
              <w:pStyle w:val="Tabletext"/>
              <w:spacing w:before="0" w:after="0"/>
              <w:rPr>
                <w:rFonts w:cstheme="minorHAnsi"/>
              </w:rPr>
            </w:pPr>
            <w:r w:rsidRPr="00747E35">
              <w:rPr>
                <w:rFonts w:cstheme="minorHAnsi"/>
              </w:rPr>
              <w:t>Rp</w:t>
            </w:r>
          </w:p>
        </w:tc>
        <w:tc>
          <w:tcPr>
            <w:tcW w:w="709" w:type="dxa"/>
            <w:tcBorders>
              <w:left w:val="single" w:sz="4" w:space="0" w:color="auto"/>
            </w:tcBorders>
            <w:vAlign w:val="bottom"/>
          </w:tcPr>
          <w:p w14:paraId="37978274" w14:textId="194DB9D1" w:rsidR="00C80858" w:rsidRPr="00747E35" w:rsidRDefault="00C80858" w:rsidP="00C80858">
            <w:pPr>
              <w:pStyle w:val="Tabletext"/>
              <w:spacing w:before="0" w:after="0"/>
              <w:rPr>
                <w:rFonts w:cstheme="minorHAnsi"/>
              </w:rPr>
            </w:pPr>
            <w:r w:rsidRPr="00747E35">
              <w:rPr>
                <w:rFonts w:cstheme="minorHAnsi"/>
              </w:rPr>
              <w:t>3</w:t>
            </w:r>
          </w:p>
        </w:tc>
        <w:tc>
          <w:tcPr>
            <w:tcW w:w="708" w:type="dxa"/>
          </w:tcPr>
          <w:p w14:paraId="4A74765B" w14:textId="4CE5CB63"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70ED4F35" w14:textId="0C8E05DD" w:rsidR="00C80858" w:rsidRPr="00747E35" w:rsidRDefault="00C80858" w:rsidP="00C80858">
            <w:pPr>
              <w:pStyle w:val="Tabletext"/>
              <w:spacing w:before="0" w:after="0"/>
              <w:rPr>
                <w:rFonts w:cstheme="minorHAnsi"/>
                <w:i/>
              </w:rPr>
            </w:pPr>
            <w:r w:rsidRPr="00747E35">
              <w:rPr>
                <w:rFonts w:cstheme="minorHAnsi"/>
                <w:i/>
              </w:rPr>
              <w:t>Ageratina adenophora</w:t>
            </w:r>
          </w:p>
        </w:tc>
        <w:tc>
          <w:tcPr>
            <w:tcW w:w="426" w:type="dxa"/>
            <w:vAlign w:val="bottom"/>
          </w:tcPr>
          <w:p w14:paraId="5B048F66" w14:textId="3A9FE6A3"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58FE32AA" w14:textId="2F7D2040" w:rsidR="00C80858" w:rsidRPr="00747E35" w:rsidRDefault="00C80858" w:rsidP="00C80858">
            <w:pPr>
              <w:pStyle w:val="Tabletext"/>
              <w:spacing w:before="0" w:after="0"/>
              <w:rPr>
                <w:rFonts w:cstheme="minorHAnsi"/>
              </w:rPr>
            </w:pPr>
            <w:r w:rsidRPr="00747E35">
              <w:rPr>
                <w:rFonts w:cstheme="minorHAnsi"/>
              </w:rPr>
              <w:t>Ri Rp</w:t>
            </w:r>
          </w:p>
        </w:tc>
      </w:tr>
      <w:tr w:rsidR="00C80858" w:rsidRPr="00747E35" w14:paraId="47A3229E" w14:textId="77777777" w:rsidTr="0096743A">
        <w:tc>
          <w:tcPr>
            <w:tcW w:w="567" w:type="dxa"/>
            <w:vAlign w:val="bottom"/>
          </w:tcPr>
          <w:p w14:paraId="03F7A4B1" w14:textId="4D9136EB" w:rsidR="00C80858" w:rsidRPr="00747E35" w:rsidRDefault="00C80858" w:rsidP="00C80858">
            <w:pPr>
              <w:pStyle w:val="Tabletext"/>
              <w:spacing w:before="0" w:after="0"/>
              <w:rPr>
                <w:rFonts w:cstheme="minorHAnsi"/>
              </w:rPr>
            </w:pPr>
            <w:r w:rsidRPr="00747E35">
              <w:rPr>
                <w:rFonts w:cstheme="minorHAnsi"/>
              </w:rPr>
              <w:t>-</w:t>
            </w:r>
          </w:p>
        </w:tc>
        <w:tc>
          <w:tcPr>
            <w:tcW w:w="567" w:type="dxa"/>
          </w:tcPr>
          <w:p w14:paraId="4E75DEEF" w14:textId="069E9D83" w:rsidR="00C80858" w:rsidRPr="00747E35" w:rsidRDefault="00C80858" w:rsidP="00C80858">
            <w:pPr>
              <w:pStyle w:val="Tabletext"/>
              <w:spacing w:before="0" w:after="0"/>
              <w:rPr>
                <w:rFonts w:cstheme="minorHAnsi"/>
              </w:rPr>
            </w:pPr>
            <w:r w:rsidRPr="00747E35">
              <w:rPr>
                <w:rFonts w:cstheme="minorHAnsi"/>
              </w:rPr>
              <w:t>ag*</w:t>
            </w:r>
          </w:p>
        </w:tc>
        <w:tc>
          <w:tcPr>
            <w:tcW w:w="1985" w:type="dxa"/>
            <w:vAlign w:val="bottom"/>
          </w:tcPr>
          <w:p w14:paraId="1AF65F5A" w14:textId="344B67EA" w:rsidR="00C80858" w:rsidRPr="00747E35" w:rsidRDefault="00C80858" w:rsidP="00C80858">
            <w:pPr>
              <w:pStyle w:val="Tabletext"/>
              <w:spacing w:before="0" w:after="0"/>
              <w:rPr>
                <w:rFonts w:cstheme="minorHAnsi"/>
                <w:i/>
              </w:rPr>
            </w:pPr>
            <w:r w:rsidRPr="00747E35">
              <w:rPr>
                <w:rFonts w:cstheme="minorHAnsi"/>
                <w:i/>
              </w:rPr>
              <w:t>Hordeum sp</w:t>
            </w:r>
          </w:p>
        </w:tc>
        <w:tc>
          <w:tcPr>
            <w:tcW w:w="709" w:type="dxa"/>
            <w:vAlign w:val="bottom"/>
          </w:tcPr>
          <w:p w14:paraId="78B4C214" w14:textId="2A5405BB"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498676EC" w14:textId="07A6FA8A" w:rsidR="00C80858" w:rsidRPr="00747E35" w:rsidRDefault="00C80858" w:rsidP="00C80858">
            <w:pPr>
              <w:pStyle w:val="Tabletext"/>
              <w:spacing w:before="0" w:after="0"/>
              <w:rPr>
                <w:rFonts w:cstheme="minorHAnsi"/>
              </w:rPr>
            </w:pPr>
            <w:r w:rsidRPr="00747E35">
              <w:rPr>
                <w:rFonts w:cstheme="minorHAnsi"/>
              </w:rPr>
              <w:t>Ri</w:t>
            </w:r>
          </w:p>
        </w:tc>
        <w:tc>
          <w:tcPr>
            <w:tcW w:w="709" w:type="dxa"/>
            <w:tcBorders>
              <w:left w:val="single" w:sz="4" w:space="0" w:color="auto"/>
            </w:tcBorders>
            <w:vAlign w:val="bottom"/>
          </w:tcPr>
          <w:p w14:paraId="468D06BD" w14:textId="37CFCAEF" w:rsidR="00C80858" w:rsidRPr="00747E35" w:rsidRDefault="00C80858" w:rsidP="00C80858">
            <w:pPr>
              <w:pStyle w:val="Tabletext"/>
              <w:spacing w:before="0" w:after="0"/>
              <w:rPr>
                <w:rFonts w:cstheme="minorHAnsi"/>
              </w:rPr>
            </w:pPr>
            <w:r w:rsidRPr="00747E35">
              <w:rPr>
                <w:rFonts w:cstheme="minorHAnsi"/>
              </w:rPr>
              <w:t>3</w:t>
            </w:r>
          </w:p>
        </w:tc>
        <w:tc>
          <w:tcPr>
            <w:tcW w:w="708" w:type="dxa"/>
          </w:tcPr>
          <w:p w14:paraId="2B4853AF" w14:textId="23078213"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10BF1DF2" w14:textId="4914C126" w:rsidR="00C80858" w:rsidRPr="00747E35" w:rsidRDefault="00C80858" w:rsidP="00C80858">
            <w:pPr>
              <w:pStyle w:val="Tabletext"/>
              <w:spacing w:before="0" w:after="0"/>
              <w:rPr>
                <w:rFonts w:cstheme="minorHAnsi"/>
                <w:i/>
              </w:rPr>
            </w:pPr>
            <w:r w:rsidRPr="00747E35">
              <w:rPr>
                <w:rFonts w:cstheme="minorHAnsi"/>
                <w:i/>
              </w:rPr>
              <w:t xml:space="preserve">Arthropodium </w:t>
            </w:r>
            <w:r w:rsidRPr="00747E35">
              <w:rPr>
                <w:rFonts w:cstheme="minorHAnsi"/>
              </w:rPr>
              <w:t>sp</w:t>
            </w:r>
          </w:p>
        </w:tc>
        <w:tc>
          <w:tcPr>
            <w:tcW w:w="426" w:type="dxa"/>
            <w:vAlign w:val="bottom"/>
          </w:tcPr>
          <w:p w14:paraId="0EEC7754" w14:textId="67716F66" w:rsidR="00C80858" w:rsidRPr="00747E35" w:rsidRDefault="00C80858" w:rsidP="00C80858">
            <w:pPr>
              <w:pStyle w:val="Tabletext"/>
              <w:spacing w:before="0" w:after="0"/>
              <w:rPr>
                <w:rFonts w:cstheme="minorHAnsi"/>
              </w:rPr>
            </w:pPr>
            <w:r w:rsidRPr="00747E35">
              <w:rPr>
                <w:rFonts w:cstheme="minorHAnsi"/>
              </w:rPr>
              <w:t>B, M</w:t>
            </w:r>
          </w:p>
        </w:tc>
        <w:tc>
          <w:tcPr>
            <w:tcW w:w="850" w:type="dxa"/>
            <w:vAlign w:val="bottom"/>
          </w:tcPr>
          <w:p w14:paraId="20AA7DA7" w14:textId="6EB22798" w:rsidR="00C80858" w:rsidRPr="00747E35" w:rsidRDefault="00C80858" w:rsidP="00C80858">
            <w:pPr>
              <w:pStyle w:val="Tabletext"/>
              <w:spacing w:before="0" w:after="0"/>
              <w:rPr>
                <w:rFonts w:cstheme="minorHAnsi"/>
              </w:rPr>
            </w:pPr>
            <w:r w:rsidRPr="00747E35">
              <w:rPr>
                <w:rFonts w:cstheme="minorHAnsi"/>
              </w:rPr>
              <w:t>Fi Fp T</w:t>
            </w:r>
          </w:p>
        </w:tc>
      </w:tr>
      <w:tr w:rsidR="00C80858" w:rsidRPr="00747E35" w14:paraId="2AD49140" w14:textId="77777777" w:rsidTr="0096743A">
        <w:tc>
          <w:tcPr>
            <w:tcW w:w="567" w:type="dxa"/>
            <w:vAlign w:val="bottom"/>
          </w:tcPr>
          <w:p w14:paraId="5873F504" w14:textId="4FEA6FA3" w:rsidR="00C80858" w:rsidRPr="00747E35" w:rsidRDefault="00C80858" w:rsidP="00C80858">
            <w:pPr>
              <w:pStyle w:val="Tabletext"/>
              <w:spacing w:before="0" w:after="0"/>
              <w:rPr>
                <w:rFonts w:cstheme="minorHAnsi"/>
              </w:rPr>
            </w:pPr>
            <w:r w:rsidRPr="00747E35">
              <w:rPr>
                <w:rFonts w:cstheme="minorHAnsi"/>
              </w:rPr>
              <w:t>-</w:t>
            </w:r>
          </w:p>
        </w:tc>
        <w:tc>
          <w:tcPr>
            <w:tcW w:w="567" w:type="dxa"/>
          </w:tcPr>
          <w:p w14:paraId="738B90B0" w14:textId="245E7A4D" w:rsidR="00C80858" w:rsidRPr="00747E35" w:rsidRDefault="00C80858" w:rsidP="00C80858">
            <w:pPr>
              <w:pStyle w:val="Tabletext"/>
              <w:spacing w:before="0" w:after="0"/>
              <w:rPr>
                <w:rFonts w:cstheme="minorHAnsi"/>
              </w:rPr>
            </w:pPr>
            <w:r w:rsidRPr="00747E35">
              <w:rPr>
                <w:rFonts w:cstheme="minorHAnsi"/>
              </w:rPr>
              <w:t>ag*</w:t>
            </w:r>
          </w:p>
        </w:tc>
        <w:tc>
          <w:tcPr>
            <w:tcW w:w="1985" w:type="dxa"/>
            <w:vAlign w:val="bottom"/>
          </w:tcPr>
          <w:p w14:paraId="4C3AA1E7" w14:textId="65AF0198" w:rsidR="00C80858" w:rsidRPr="00747E35" w:rsidRDefault="00C80858" w:rsidP="00C80858">
            <w:pPr>
              <w:pStyle w:val="Tabletext"/>
              <w:spacing w:before="0" w:after="0"/>
              <w:rPr>
                <w:rFonts w:cstheme="minorHAnsi"/>
                <w:i/>
              </w:rPr>
            </w:pPr>
            <w:r w:rsidRPr="00747E35">
              <w:rPr>
                <w:rFonts w:cstheme="minorHAnsi"/>
                <w:i/>
              </w:rPr>
              <w:t>Lolium sp</w:t>
            </w:r>
          </w:p>
        </w:tc>
        <w:tc>
          <w:tcPr>
            <w:tcW w:w="709" w:type="dxa"/>
            <w:vAlign w:val="bottom"/>
          </w:tcPr>
          <w:p w14:paraId="0061FF67" w14:textId="0E892365"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4A8FB5C9" w14:textId="5B943B00" w:rsidR="00C80858" w:rsidRPr="00747E35" w:rsidRDefault="00C80858" w:rsidP="00C80858">
            <w:pPr>
              <w:pStyle w:val="Tabletext"/>
              <w:spacing w:before="0" w:after="0"/>
              <w:rPr>
                <w:rFonts w:cstheme="minorHAnsi"/>
              </w:rPr>
            </w:pPr>
            <w:r w:rsidRPr="00747E35">
              <w:rPr>
                <w:rFonts w:cstheme="minorHAnsi"/>
              </w:rPr>
              <w:t>Fi Fp Ri Rp</w:t>
            </w:r>
          </w:p>
        </w:tc>
        <w:tc>
          <w:tcPr>
            <w:tcW w:w="709" w:type="dxa"/>
            <w:tcBorders>
              <w:left w:val="single" w:sz="4" w:space="0" w:color="auto"/>
            </w:tcBorders>
            <w:vAlign w:val="bottom"/>
          </w:tcPr>
          <w:p w14:paraId="063DAFAC" w14:textId="3280B778" w:rsidR="00C80858" w:rsidRPr="00747E35" w:rsidRDefault="00C80858" w:rsidP="00C80858">
            <w:pPr>
              <w:pStyle w:val="Tabletext"/>
              <w:spacing w:before="0" w:after="0"/>
              <w:rPr>
                <w:rFonts w:cstheme="minorHAnsi"/>
              </w:rPr>
            </w:pPr>
            <w:r w:rsidRPr="00747E35">
              <w:rPr>
                <w:rFonts w:cstheme="minorHAnsi"/>
              </w:rPr>
              <w:t>6</w:t>
            </w:r>
          </w:p>
        </w:tc>
        <w:tc>
          <w:tcPr>
            <w:tcW w:w="708" w:type="dxa"/>
            <w:vAlign w:val="bottom"/>
          </w:tcPr>
          <w:p w14:paraId="07891E92" w14:textId="3E75D6E1" w:rsidR="00C80858" w:rsidRPr="00747E35" w:rsidRDefault="00C80858" w:rsidP="00C80858">
            <w:pPr>
              <w:pStyle w:val="Tabletext"/>
              <w:spacing w:before="0" w:after="0"/>
              <w:rPr>
                <w:rFonts w:cstheme="minorHAnsi"/>
              </w:rPr>
            </w:pPr>
            <w:r w:rsidRPr="00747E35">
              <w:rPr>
                <w:rFonts w:cstheme="minorHAnsi"/>
              </w:rPr>
              <w:t>ph *</w:t>
            </w:r>
          </w:p>
        </w:tc>
        <w:tc>
          <w:tcPr>
            <w:tcW w:w="2268" w:type="dxa"/>
            <w:vAlign w:val="bottom"/>
          </w:tcPr>
          <w:p w14:paraId="32668CA6" w14:textId="1633C82B" w:rsidR="00C80858" w:rsidRPr="00747E35" w:rsidRDefault="00C80858" w:rsidP="00C80858">
            <w:pPr>
              <w:pStyle w:val="Tabletext"/>
              <w:spacing w:before="0" w:after="0"/>
              <w:rPr>
                <w:rFonts w:cstheme="minorHAnsi"/>
                <w:i/>
              </w:rPr>
            </w:pPr>
            <w:r w:rsidRPr="00747E35">
              <w:rPr>
                <w:rFonts w:cstheme="minorHAnsi"/>
                <w:i/>
              </w:rPr>
              <w:t>Asclepias curassavica</w:t>
            </w:r>
          </w:p>
        </w:tc>
        <w:tc>
          <w:tcPr>
            <w:tcW w:w="426" w:type="dxa"/>
            <w:vAlign w:val="bottom"/>
          </w:tcPr>
          <w:p w14:paraId="232E8C55" w14:textId="2A06C76D"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4BCA4C0E" w14:textId="433F68BD" w:rsidR="00C80858" w:rsidRPr="00747E35" w:rsidRDefault="00C80858" w:rsidP="00C80858">
            <w:pPr>
              <w:pStyle w:val="Tabletext"/>
              <w:spacing w:before="0" w:after="0"/>
              <w:rPr>
                <w:rFonts w:cstheme="minorHAnsi"/>
              </w:rPr>
            </w:pPr>
            <w:r w:rsidRPr="00747E35">
              <w:rPr>
                <w:rFonts w:cstheme="minorHAnsi"/>
              </w:rPr>
              <w:t>Fp Ri Rp T</w:t>
            </w:r>
          </w:p>
        </w:tc>
      </w:tr>
      <w:tr w:rsidR="00C80858" w:rsidRPr="00747E35" w14:paraId="1BA4DF90" w14:textId="77777777" w:rsidTr="0096743A">
        <w:tc>
          <w:tcPr>
            <w:tcW w:w="567" w:type="dxa"/>
            <w:vAlign w:val="bottom"/>
          </w:tcPr>
          <w:p w14:paraId="37D507C3" w14:textId="4A10E577" w:rsidR="00C80858" w:rsidRPr="00747E35" w:rsidRDefault="00C80858" w:rsidP="00C80858">
            <w:pPr>
              <w:pStyle w:val="Tabletext"/>
              <w:spacing w:before="0" w:after="0"/>
              <w:rPr>
                <w:rFonts w:cstheme="minorHAnsi"/>
              </w:rPr>
            </w:pPr>
            <w:r w:rsidRPr="00747E35">
              <w:rPr>
                <w:rFonts w:cstheme="minorHAnsi"/>
              </w:rPr>
              <w:t>-</w:t>
            </w:r>
          </w:p>
        </w:tc>
        <w:tc>
          <w:tcPr>
            <w:tcW w:w="567" w:type="dxa"/>
          </w:tcPr>
          <w:p w14:paraId="02979092" w14:textId="7EDFE012" w:rsidR="00C80858" w:rsidRPr="00747E35" w:rsidRDefault="00C80858" w:rsidP="00C80858">
            <w:pPr>
              <w:pStyle w:val="Tabletext"/>
              <w:spacing w:before="0" w:after="0"/>
              <w:rPr>
                <w:rFonts w:cstheme="minorHAnsi"/>
              </w:rPr>
            </w:pPr>
            <w:r w:rsidRPr="00747E35">
              <w:rPr>
                <w:rFonts w:cstheme="minorHAnsi"/>
              </w:rPr>
              <w:t>ag*</w:t>
            </w:r>
          </w:p>
        </w:tc>
        <w:tc>
          <w:tcPr>
            <w:tcW w:w="1985" w:type="dxa"/>
            <w:vAlign w:val="bottom"/>
          </w:tcPr>
          <w:p w14:paraId="0B91E485" w14:textId="47DAB284" w:rsidR="00C80858" w:rsidRPr="00747E35" w:rsidRDefault="00C80858" w:rsidP="00C80858">
            <w:pPr>
              <w:pStyle w:val="Tabletext"/>
              <w:spacing w:before="0" w:after="0"/>
              <w:rPr>
                <w:rFonts w:cstheme="minorHAnsi"/>
                <w:i/>
              </w:rPr>
            </w:pPr>
            <w:r w:rsidRPr="00747E35">
              <w:rPr>
                <w:rFonts w:cstheme="minorHAnsi"/>
                <w:i/>
              </w:rPr>
              <w:t>Anagallis avensis</w:t>
            </w:r>
          </w:p>
        </w:tc>
        <w:tc>
          <w:tcPr>
            <w:tcW w:w="709" w:type="dxa"/>
            <w:vAlign w:val="bottom"/>
          </w:tcPr>
          <w:p w14:paraId="76F86DA0" w14:textId="7B59446F"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33928382" w14:textId="5535E211" w:rsidR="00C80858" w:rsidRPr="00747E35" w:rsidRDefault="00C80858" w:rsidP="00C80858">
            <w:pPr>
              <w:pStyle w:val="Tabletext"/>
              <w:spacing w:before="0" w:after="0"/>
              <w:rPr>
                <w:rFonts w:cstheme="minorHAnsi"/>
              </w:rPr>
            </w:pPr>
            <w:r w:rsidRPr="00747E35">
              <w:rPr>
                <w:rFonts w:cstheme="minorHAnsi"/>
              </w:rPr>
              <w:t>Ri</w:t>
            </w:r>
          </w:p>
        </w:tc>
        <w:tc>
          <w:tcPr>
            <w:tcW w:w="709" w:type="dxa"/>
            <w:tcBorders>
              <w:left w:val="single" w:sz="4" w:space="0" w:color="auto"/>
            </w:tcBorders>
            <w:vAlign w:val="bottom"/>
          </w:tcPr>
          <w:p w14:paraId="16CBEE9E" w14:textId="08DA69A2" w:rsidR="00C80858" w:rsidRPr="00747E35" w:rsidRDefault="00C80858" w:rsidP="00C80858">
            <w:pPr>
              <w:pStyle w:val="Tabletext"/>
              <w:spacing w:before="0" w:after="0"/>
              <w:rPr>
                <w:rFonts w:cstheme="minorHAnsi"/>
              </w:rPr>
            </w:pPr>
            <w:r w:rsidRPr="00747E35">
              <w:rPr>
                <w:rFonts w:cstheme="minorHAnsi"/>
              </w:rPr>
              <w:t>1</w:t>
            </w:r>
          </w:p>
        </w:tc>
        <w:tc>
          <w:tcPr>
            <w:tcW w:w="708" w:type="dxa"/>
          </w:tcPr>
          <w:p w14:paraId="288DD574" w14:textId="7F9A0031"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64428381" w14:textId="579919A0" w:rsidR="00C80858" w:rsidRPr="00747E35" w:rsidRDefault="00C80858" w:rsidP="00C80858">
            <w:pPr>
              <w:pStyle w:val="Tabletext"/>
              <w:spacing w:before="0" w:after="0"/>
              <w:rPr>
                <w:rFonts w:cstheme="minorHAnsi"/>
                <w:i/>
              </w:rPr>
            </w:pPr>
            <w:r w:rsidRPr="00747E35">
              <w:rPr>
                <w:rFonts w:cstheme="minorHAnsi"/>
                <w:i/>
              </w:rPr>
              <w:t>Azolla filiculoides</w:t>
            </w:r>
          </w:p>
        </w:tc>
        <w:tc>
          <w:tcPr>
            <w:tcW w:w="426" w:type="dxa"/>
            <w:vAlign w:val="bottom"/>
          </w:tcPr>
          <w:p w14:paraId="66BBC6D3" w14:textId="65AAB099" w:rsidR="00C80858" w:rsidRPr="00747E35" w:rsidRDefault="00C80858" w:rsidP="00C80858">
            <w:pPr>
              <w:pStyle w:val="Tabletext"/>
              <w:spacing w:before="0" w:after="0"/>
              <w:rPr>
                <w:rFonts w:cstheme="minorHAnsi"/>
              </w:rPr>
            </w:pPr>
            <w:r w:rsidRPr="00747E35">
              <w:rPr>
                <w:rFonts w:cstheme="minorHAnsi"/>
              </w:rPr>
              <w:t>B, M</w:t>
            </w:r>
          </w:p>
        </w:tc>
        <w:tc>
          <w:tcPr>
            <w:tcW w:w="850" w:type="dxa"/>
            <w:vAlign w:val="bottom"/>
          </w:tcPr>
          <w:p w14:paraId="4CC77A1F" w14:textId="6FA2C47F" w:rsidR="00C80858" w:rsidRPr="00747E35" w:rsidRDefault="00C80858" w:rsidP="00C80858">
            <w:pPr>
              <w:pStyle w:val="Tabletext"/>
              <w:spacing w:before="0" w:after="0"/>
              <w:rPr>
                <w:rFonts w:cstheme="minorHAnsi"/>
              </w:rPr>
            </w:pPr>
            <w:r w:rsidRPr="00747E35">
              <w:rPr>
                <w:rFonts w:cstheme="minorHAnsi"/>
              </w:rPr>
              <w:t>Rp</w:t>
            </w:r>
          </w:p>
        </w:tc>
      </w:tr>
      <w:tr w:rsidR="00C80858" w:rsidRPr="00747E35" w14:paraId="332B388C" w14:textId="77777777" w:rsidTr="0096743A">
        <w:tc>
          <w:tcPr>
            <w:tcW w:w="567" w:type="dxa"/>
            <w:vAlign w:val="bottom"/>
          </w:tcPr>
          <w:p w14:paraId="1F216B29" w14:textId="41CEE58F" w:rsidR="00C80858" w:rsidRPr="00747E35" w:rsidRDefault="00C80858" w:rsidP="00C80858">
            <w:pPr>
              <w:pStyle w:val="Tabletext"/>
              <w:spacing w:before="0" w:after="0"/>
              <w:rPr>
                <w:rFonts w:cstheme="minorHAnsi"/>
              </w:rPr>
            </w:pPr>
            <w:r w:rsidRPr="00747E35">
              <w:rPr>
                <w:rFonts w:cstheme="minorHAnsi"/>
              </w:rPr>
              <w:t>-</w:t>
            </w:r>
          </w:p>
        </w:tc>
        <w:tc>
          <w:tcPr>
            <w:tcW w:w="567" w:type="dxa"/>
          </w:tcPr>
          <w:p w14:paraId="6018C12F" w14:textId="54DC35D6" w:rsidR="00C80858" w:rsidRPr="00747E35" w:rsidRDefault="00C80858" w:rsidP="00C80858">
            <w:pPr>
              <w:pStyle w:val="Tabletext"/>
              <w:spacing w:before="0" w:after="0"/>
              <w:rPr>
                <w:rFonts w:cstheme="minorHAnsi"/>
              </w:rPr>
            </w:pPr>
            <w:r w:rsidRPr="00747E35">
              <w:rPr>
                <w:rFonts w:cstheme="minorHAnsi"/>
              </w:rPr>
              <w:t>ag*</w:t>
            </w:r>
          </w:p>
        </w:tc>
        <w:tc>
          <w:tcPr>
            <w:tcW w:w="1985" w:type="dxa"/>
            <w:vAlign w:val="bottom"/>
          </w:tcPr>
          <w:p w14:paraId="30B8183E" w14:textId="64997F15" w:rsidR="00C80858" w:rsidRPr="00747E35" w:rsidRDefault="00C80858" w:rsidP="00C80858">
            <w:pPr>
              <w:pStyle w:val="Tabletext"/>
              <w:spacing w:before="0" w:after="0"/>
              <w:rPr>
                <w:rFonts w:cstheme="minorHAnsi"/>
                <w:i/>
              </w:rPr>
            </w:pPr>
            <w:r w:rsidRPr="00747E35">
              <w:rPr>
                <w:rFonts w:cstheme="minorHAnsi"/>
                <w:i/>
              </w:rPr>
              <w:t>Argemone ochroleuca</w:t>
            </w:r>
          </w:p>
        </w:tc>
        <w:tc>
          <w:tcPr>
            <w:tcW w:w="709" w:type="dxa"/>
            <w:vAlign w:val="bottom"/>
          </w:tcPr>
          <w:p w14:paraId="2186D925" w14:textId="644616C4"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4D451304" w14:textId="253103DB" w:rsidR="00C80858" w:rsidRPr="00747E35" w:rsidRDefault="00C80858" w:rsidP="00C80858">
            <w:pPr>
              <w:pStyle w:val="Tabletext"/>
              <w:spacing w:before="0" w:after="0"/>
              <w:rPr>
                <w:rFonts w:cstheme="minorHAnsi"/>
              </w:rPr>
            </w:pPr>
            <w:r w:rsidRPr="00747E35">
              <w:rPr>
                <w:rFonts w:cstheme="minorHAnsi"/>
              </w:rPr>
              <w:t>Ri</w:t>
            </w:r>
          </w:p>
        </w:tc>
        <w:tc>
          <w:tcPr>
            <w:tcW w:w="709" w:type="dxa"/>
            <w:tcBorders>
              <w:left w:val="single" w:sz="4" w:space="0" w:color="auto"/>
            </w:tcBorders>
            <w:vAlign w:val="bottom"/>
          </w:tcPr>
          <w:p w14:paraId="6DF77198" w14:textId="5C9D5037" w:rsidR="00C80858" w:rsidRPr="00747E35" w:rsidRDefault="00C80858" w:rsidP="00C80858">
            <w:pPr>
              <w:pStyle w:val="Tabletext"/>
              <w:spacing w:before="0" w:after="0"/>
              <w:rPr>
                <w:rFonts w:cstheme="minorHAnsi"/>
              </w:rPr>
            </w:pPr>
            <w:r w:rsidRPr="00747E35">
              <w:rPr>
                <w:rFonts w:cstheme="minorHAnsi"/>
              </w:rPr>
              <w:t>2</w:t>
            </w:r>
          </w:p>
        </w:tc>
        <w:tc>
          <w:tcPr>
            <w:tcW w:w="708" w:type="dxa"/>
          </w:tcPr>
          <w:p w14:paraId="48CDB8B3" w14:textId="21239A52"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173374D6" w14:textId="614F9C78" w:rsidR="00C80858" w:rsidRPr="00747E35" w:rsidRDefault="00C80858" w:rsidP="00C80858">
            <w:pPr>
              <w:pStyle w:val="Tabletext"/>
              <w:spacing w:before="0" w:after="0"/>
              <w:rPr>
                <w:rFonts w:cstheme="minorHAnsi"/>
                <w:i/>
              </w:rPr>
            </w:pPr>
            <w:r w:rsidRPr="00747E35">
              <w:rPr>
                <w:rFonts w:cstheme="minorHAnsi"/>
                <w:i/>
              </w:rPr>
              <w:t>Bolboschoenus fluviatilis</w:t>
            </w:r>
          </w:p>
        </w:tc>
        <w:tc>
          <w:tcPr>
            <w:tcW w:w="426" w:type="dxa"/>
            <w:vAlign w:val="bottom"/>
          </w:tcPr>
          <w:p w14:paraId="2C15E5FF" w14:textId="1EC9A0E4" w:rsidR="00C80858" w:rsidRPr="00747E35" w:rsidRDefault="00C80858" w:rsidP="00C80858">
            <w:pPr>
              <w:pStyle w:val="Tabletext"/>
              <w:spacing w:before="0" w:after="0"/>
              <w:rPr>
                <w:rFonts w:cstheme="minorHAnsi"/>
              </w:rPr>
            </w:pPr>
            <w:r w:rsidRPr="00747E35">
              <w:rPr>
                <w:rFonts w:cstheme="minorHAnsi"/>
              </w:rPr>
              <w:t>B, M</w:t>
            </w:r>
          </w:p>
        </w:tc>
        <w:tc>
          <w:tcPr>
            <w:tcW w:w="850" w:type="dxa"/>
            <w:vAlign w:val="bottom"/>
          </w:tcPr>
          <w:p w14:paraId="5F254093" w14:textId="57AA0632" w:rsidR="00C80858" w:rsidRPr="00747E35" w:rsidRDefault="00C80858" w:rsidP="00C80858">
            <w:pPr>
              <w:pStyle w:val="Tabletext"/>
              <w:spacing w:before="0" w:after="0"/>
              <w:rPr>
                <w:rFonts w:cstheme="minorHAnsi"/>
              </w:rPr>
            </w:pPr>
            <w:r w:rsidRPr="00747E35">
              <w:rPr>
                <w:rFonts w:cstheme="minorHAnsi"/>
              </w:rPr>
              <w:t>Fi Fp Ri Rp</w:t>
            </w:r>
          </w:p>
        </w:tc>
      </w:tr>
      <w:tr w:rsidR="00C80858" w:rsidRPr="00747E35" w14:paraId="0861E4FD" w14:textId="77777777" w:rsidTr="0096743A">
        <w:tc>
          <w:tcPr>
            <w:tcW w:w="567" w:type="dxa"/>
            <w:vAlign w:val="bottom"/>
          </w:tcPr>
          <w:p w14:paraId="1C2510FA" w14:textId="4E3685F6" w:rsidR="00C80858" w:rsidRPr="00747E35" w:rsidRDefault="00C80858" w:rsidP="00C80858">
            <w:pPr>
              <w:pStyle w:val="Tabletext"/>
              <w:spacing w:before="0" w:after="0"/>
              <w:rPr>
                <w:rFonts w:cstheme="minorHAnsi"/>
              </w:rPr>
            </w:pPr>
            <w:r w:rsidRPr="00747E35">
              <w:rPr>
                <w:rFonts w:cstheme="minorHAnsi"/>
              </w:rPr>
              <w:t>-</w:t>
            </w:r>
          </w:p>
        </w:tc>
        <w:tc>
          <w:tcPr>
            <w:tcW w:w="567" w:type="dxa"/>
          </w:tcPr>
          <w:p w14:paraId="5509108C" w14:textId="434D53E8" w:rsidR="00C80858" w:rsidRPr="00747E35" w:rsidRDefault="00C80858" w:rsidP="00C80858">
            <w:pPr>
              <w:pStyle w:val="Tabletext"/>
              <w:spacing w:before="0" w:after="0"/>
              <w:rPr>
                <w:rFonts w:cstheme="minorHAnsi"/>
              </w:rPr>
            </w:pPr>
            <w:r w:rsidRPr="00747E35">
              <w:rPr>
                <w:rFonts w:cstheme="minorHAnsi"/>
              </w:rPr>
              <w:t>ag*</w:t>
            </w:r>
          </w:p>
        </w:tc>
        <w:tc>
          <w:tcPr>
            <w:tcW w:w="1985" w:type="dxa"/>
            <w:vAlign w:val="bottom"/>
          </w:tcPr>
          <w:p w14:paraId="57CCC0DF" w14:textId="670B90BA" w:rsidR="00C80858" w:rsidRPr="00747E35" w:rsidRDefault="00C80858" w:rsidP="00C80858">
            <w:pPr>
              <w:pStyle w:val="Tabletext"/>
              <w:spacing w:before="0" w:after="0"/>
              <w:rPr>
                <w:rFonts w:cstheme="minorHAnsi"/>
                <w:i/>
              </w:rPr>
            </w:pPr>
            <w:r w:rsidRPr="00747E35">
              <w:rPr>
                <w:rFonts w:cstheme="minorHAnsi"/>
                <w:i/>
              </w:rPr>
              <w:t>Aster subulatus</w:t>
            </w:r>
          </w:p>
        </w:tc>
        <w:tc>
          <w:tcPr>
            <w:tcW w:w="709" w:type="dxa"/>
            <w:vAlign w:val="bottom"/>
          </w:tcPr>
          <w:p w14:paraId="65100812" w14:textId="6770FF6A"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33128B4F" w14:textId="22757111" w:rsidR="00C80858" w:rsidRPr="00747E35" w:rsidRDefault="00C80858" w:rsidP="00C80858">
            <w:pPr>
              <w:pStyle w:val="Tabletext"/>
              <w:spacing w:before="0" w:after="0"/>
              <w:rPr>
                <w:rFonts w:cstheme="minorHAnsi"/>
              </w:rPr>
            </w:pPr>
            <w:r w:rsidRPr="00747E35">
              <w:rPr>
                <w:rFonts w:cstheme="minorHAnsi"/>
              </w:rPr>
              <w:t>Rp</w:t>
            </w:r>
          </w:p>
        </w:tc>
        <w:tc>
          <w:tcPr>
            <w:tcW w:w="709" w:type="dxa"/>
            <w:tcBorders>
              <w:left w:val="single" w:sz="4" w:space="0" w:color="auto"/>
            </w:tcBorders>
            <w:vAlign w:val="bottom"/>
          </w:tcPr>
          <w:p w14:paraId="69771756" w14:textId="49A8BAEB" w:rsidR="00C80858" w:rsidRPr="00747E35" w:rsidRDefault="00C80858" w:rsidP="00C80858">
            <w:pPr>
              <w:pStyle w:val="Tabletext"/>
              <w:spacing w:before="0" w:after="0"/>
              <w:rPr>
                <w:rFonts w:cstheme="minorHAnsi"/>
              </w:rPr>
            </w:pPr>
            <w:r w:rsidRPr="00747E35">
              <w:rPr>
                <w:rFonts w:cstheme="minorHAnsi"/>
              </w:rPr>
              <w:t>2</w:t>
            </w:r>
          </w:p>
        </w:tc>
        <w:tc>
          <w:tcPr>
            <w:tcW w:w="708" w:type="dxa"/>
          </w:tcPr>
          <w:p w14:paraId="18C71C94" w14:textId="4C8C4CE4"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29A0278B" w14:textId="575E9A12" w:rsidR="00C80858" w:rsidRPr="00747E35" w:rsidRDefault="00C80858" w:rsidP="00C80858">
            <w:pPr>
              <w:pStyle w:val="Tabletext"/>
              <w:spacing w:before="0" w:after="0"/>
              <w:rPr>
                <w:rFonts w:cstheme="minorHAnsi"/>
                <w:i/>
              </w:rPr>
            </w:pPr>
            <w:r w:rsidRPr="00747E35">
              <w:rPr>
                <w:rFonts w:cstheme="minorHAnsi"/>
                <w:i/>
              </w:rPr>
              <w:t>Carex apressa</w:t>
            </w:r>
          </w:p>
        </w:tc>
        <w:tc>
          <w:tcPr>
            <w:tcW w:w="426" w:type="dxa"/>
            <w:vAlign w:val="bottom"/>
          </w:tcPr>
          <w:p w14:paraId="0019C7CE" w14:textId="14B8E9F7" w:rsidR="00C80858" w:rsidRPr="00747E35" w:rsidRDefault="00C80858" w:rsidP="00C80858">
            <w:pPr>
              <w:pStyle w:val="Tabletext"/>
              <w:spacing w:before="0" w:after="0"/>
              <w:rPr>
                <w:rFonts w:cstheme="minorHAnsi"/>
              </w:rPr>
            </w:pPr>
            <w:r w:rsidRPr="00747E35">
              <w:rPr>
                <w:rFonts w:cstheme="minorHAnsi"/>
              </w:rPr>
              <w:t>B, M</w:t>
            </w:r>
          </w:p>
        </w:tc>
        <w:tc>
          <w:tcPr>
            <w:tcW w:w="850" w:type="dxa"/>
            <w:vAlign w:val="bottom"/>
          </w:tcPr>
          <w:p w14:paraId="7812E82C" w14:textId="006D8D4E"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7595F173" w14:textId="77777777" w:rsidTr="0096743A">
        <w:tc>
          <w:tcPr>
            <w:tcW w:w="567" w:type="dxa"/>
            <w:vAlign w:val="bottom"/>
          </w:tcPr>
          <w:p w14:paraId="2E9A688C" w14:textId="7C2CE55A" w:rsidR="00C80858" w:rsidRPr="00747E35" w:rsidRDefault="00C80858" w:rsidP="00C80858">
            <w:pPr>
              <w:pStyle w:val="Tabletext"/>
              <w:spacing w:before="0" w:after="0"/>
              <w:rPr>
                <w:rFonts w:cstheme="minorHAnsi"/>
              </w:rPr>
            </w:pPr>
            <w:r w:rsidRPr="00747E35">
              <w:rPr>
                <w:rFonts w:cstheme="minorHAnsi"/>
              </w:rPr>
              <w:t>-</w:t>
            </w:r>
          </w:p>
        </w:tc>
        <w:tc>
          <w:tcPr>
            <w:tcW w:w="567" w:type="dxa"/>
          </w:tcPr>
          <w:p w14:paraId="74A983E5" w14:textId="61E74000" w:rsidR="00C80858" w:rsidRPr="00747E35" w:rsidRDefault="00C80858" w:rsidP="00C80858">
            <w:pPr>
              <w:pStyle w:val="Tabletext"/>
              <w:spacing w:before="0" w:after="0"/>
              <w:rPr>
                <w:rFonts w:cstheme="minorHAnsi"/>
              </w:rPr>
            </w:pPr>
            <w:r w:rsidRPr="00747E35">
              <w:rPr>
                <w:rFonts w:cstheme="minorHAnsi"/>
              </w:rPr>
              <w:t>ag*</w:t>
            </w:r>
          </w:p>
        </w:tc>
        <w:tc>
          <w:tcPr>
            <w:tcW w:w="1985" w:type="dxa"/>
            <w:vAlign w:val="bottom"/>
          </w:tcPr>
          <w:p w14:paraId="2635DB82" w14:textId="30A575DB" w:rsidR="00C80858" w:rsidRPr="00747E35" w:rsidRDefault="00C80858" w:rsidP="00C80858">
            <w:pPr>
              <w:pStyle w:val="Tabletext"/>
              <w:spacing w:before="0" w:after="0"/>
              <w:rPr>
                <w:rFonts w:cstheme="minorHAnsi"/>
                <w:i/>
              </w:rPr>
            </w:pPr>
            <w:r w:rsidRPr="00747E35">
              <w:rPr>
                <w:rFonts w:cstheme="minorHAnsi"/>
                <w:i/>
              </w:rPr>
              <w:t>Bidens bipinnata</w:t>
            </w:r>
          </w:p>
        </w:tc>
        <w:tc>
          <w:tcPr>
            <w:tcW w:w="709" w:type="dxa"/>
            <w:vAlign w:val="bottom"/>
          </w:tcPr>
          <w:p w14:paraId="7B32D2AE" w14:textId="63F232A9"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67C94FD9" w14:textId="39CF1DCC" w:rsidR="00C80858" w:rsidRPr="00747E35" w:rsidRDefault="00C80858" w:rsidP="00C80858">
            <w:pPr>
              <w:pStyle w:val="Tabletext"/>
              <w:spacing w:before="0" w:after="0"/>
              <w:rPr>
                <w:rFonts w:cstheme="minorHAnsi"/>
              </w:rPr>
            </w:pPr>
            <w:r w:rsidRPr="00747E35">
              <w:rPr>
                <w:rFonts w:cstheme="minorHAnsi"/>
              </w:rPr>
              <w:t>Fi Ri</w:t>
            </w:r>
          </w:p>
        </w:tc>
        <w:tc>
          <w:tcPr>
            <w:tcW w:w="709" w:type="dxa"/>
            <w:tcBorders>
              <w:left w:val="single" w:sz="4" w:space="0" w:color="auto"/>
            </w:tcBorders>
            <w:vAlign w:val="bottom"/>
          </w:tcPr>
          <w:p w14:paraId="310934BD" w14:textId="57C683A4" w:rsidR="00C80858" w:rsidRPr="00747E35" w:rsidRDefault="00C80858" w:rsidP="00C80858">
            <w:pPr>
              <w:pStyle w:val="Tabletext"/>
              <w:spacing w:before="0" w:after="0"/>
              <w:rPr>
                <w:rFonts w:cstheme="minorHAnsi"/>
              </w:rPr>
            </w:pPr>
            <w:r w:rsidRPr="00747E35">
              <w:rPr>
                <w:rFonts w:cstheme="minorHAnsi"/>
              </w:rPr>
              <w:t>6</w:t>
            </w:r>
          </w:p>
        </w:tc>
        <w:tc>
          <w:tcPr>
            <w:tcW w:w="708" w:type="dxa"/>
          </w:tcPr>
          <w:p w14:paraId="493908A2" w14:textId="40206462"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2C0CFDC1" w14:textId="69890BCA" w:rsidR="00C80858" w:rsidRPr="00747E35" w:rsidRDefault="00C80858" w:rsidP="00C80858">
            <w:pPr>
              <w:pStyle w:val="Tabletext"/>
              <w:spacing w:before="0" w:after="0"/>
              <w:rPr>
                <w:rFonts w:cstheme="minorHAnsi"/>
                <w:i/>
              </w:rPr>
            </w:pPr>
            <w:r w:rsidRPr="00747E35">
              <w:rPr>
                <w:rFonts w:cstheme="minorHAnsi"/>
                <w:i/>
              </w:rPr>
              <w:t xml:space="preserve">Harrisia </w:t>
            </w:r>
            <w:r w:rsidRPr="00747E35">
              <w:rPr>
                <w:rFonts w:cstheme="minorHAnsi"/>
              </w:rPr>
              <w:t>sp</w:t>
            </w:r>
          </w:p>
        </w:tc>
        <w:tc>
          <w:tcPr>
            <w:tcW w:w="426" w:type="dxa"/>
            <w:vAlign w:val="bottom"/>
          </w:tcPr>
          <w:p w14:paraId="096F92DC" w14:textId="2322D391" w:rsidR="00C80858" w:rsidRPr="00747E35" w:rsidRDefault="00C80858" w:rsidP="00C80858">
            <w:pPr>
              <w:pStyle w:val="Tabletext"/>
              <w:spacing w:before="0" w:after="0"/>
              <w:rPr>
                <w:rFonts w:cstheme="minorHAnsi"/>
              </w:rPr>
            </w:pPr>
            <w:r w:rsidRPr="00747E35">
              <w:rPr>
                <w:rFonts w:cstheme="minorHAnsi"/>
              </w:rPr>
              <w:t>M</w:t>
            </w:r>
          </w:p>
        </w:tc>
        <w:tc>
          <w:tcPr>
            <w:tcW w:w="850" w:type="dxa"/>
            <w:vAlign w:val="bottom"/>
          </w:tcPr>
          <w:p w14:paraId="1861A8D0" w14:textId="4C9CC41D" w:rsidR="00C80858" w:rsidRPr="00747E35" w:rsidRDefault="00C80858" w:rsidP="00C80858">
            <w:pPr>
              <w:pStyle w:val="Tabletext"/>
              <w:spacing w:before="0" w:after="0"/>
              <w:rPr>
                <w:rFonts w:cstheme="minorHAnsi"/>
              </w:rPr>
            </w:pPr>
            <w:r w:rsidRPr="00747E35">
              <w:rPr>
                <w:rFonts w:cstheme="minorHAnsi"/>
              </w:rPr>
              <w:t>Ri T</w:t>
            </w:r>
          </w:p>
        </w:tc>
      </w:tr>
      <w:tr w:rsidR="00C80858" w:rsidRPr="00747E35" w14:paraId="6C0CC986" w14:textId="77777777" w:rsidTr="0096743A">
        <w:tc>
          <w:tcPr>
            <w:tcW w:w="567" w:type="dxa"/>
            <w:vAlign w:val="bottom"/>
          </w:tcPr>
          <w:p w14:paraId="145CCA55" w14:textId="1FE067E8" w:rsidR="00C80858" w:rsidRPr="00747E35" w:rsidRDefault="00C80858" w:rsidP="00C80858">
            <w:pPr>
              <w:pStyle w:val="Tabletext"/>
              <w:spacing w:before="0" w:after="0"/>
              <w:rPr>
                <w:rFonts w:cstheme="minorHAnsi"/>
              </w:rPr>
            </w:pPr>
            <w:r w:rsidRPr="00747E35">
              <w:rPr>
                <w:rFonts w:cstheme="minorHAnsi"/>
              </w:rPr>
              <w:t>-</w:t>
            </w:r>
          </w:p>
        </w:tc>
        <w:tc>
          <w:tcPr>
            <w:tcW w:w="567" w:type="dxa"/>
          </w:tcPr>
          <w:p w14:paraId="46CAD49A" w14:textId="183EC53F" w:rsidR="00C80858" w:rsidRPr="00747E35" w:rsidRDefault="00C80858" w:rsidP="00C80858">
            <w:pPr>
              <w:pStyle w:val="Tabletext"/>
              <w:spacing w:before="0" w:after="0"/>
              <w:rPr>
                <w:rFonts w:cstheme="minorHAnsi"/>
              </w:rPr>
            </w:pPr>
            <w:r w:rsidRPr="00747E35">
              <w:rPr>
                <w:rFonts w:cstheme="minorHAnsi"/>
              </w:rPr>
              <w:t>ag*</w:t>
            </w:r>
          </w:p>
        </w:tc>
        <w:tc>
          <w:tcPr>
            <w:tcW w:w="1985" w:type="dxa"/>
            <w:vAlign w:val="bottom"/>
          </w:tcPr>
          <w:p w14:paraId="6E4AFAD9" w14:textId="1B64D25A" w:rsidR="00C80858" w:rsidRPr="00747E35" w:rsidRDefault="00C80858" w:rsidP="00C80858">
            <w:pPr>
              <w:pStyle w:val="Tabletext"/>
              <w:spacing w:before="0" w:after="0"/>
              <w:rPr>
                <w:rFonts w:cstheme="minorHAnsi"/>
                <w:i/>
              </w:rPr>
            </w:pPr>
            <w:r w:rsidRPr="00747E35">
              <w:rPr>
                <w:rFonts w:cstheme="minorHAnsi"/>
                <w:i/>
              </w:rPr>
              <w:t>Bidens pilosa</w:t>
            </w:r>
          </w:p>
        </w:tc>
        <w:tc>
          <w:tcPr>
            <w:tcW w:w="709" w:type="dxa"/>
            <w:vAlign w:val="bottom"/>
          </w:tcPr>
          <w:p w14:paraId="4D864E0B" w14:textId="7611F9D8" w:rsidR="00C80858" w:rsidRPr="00747E35" w:rsidRDefault="00C80858" w:rsidP="00C80858">
            <w:pPr>
              <w:pStyle w:val="Tabletext"/>
              <w:spacing w:before="0" w:after="0"/>
              <w:rPr>
                <w:rFonts w:cstheme="minorHAnsi"/>
              </w:rPr>
            </w:pPr>
            <w:r w:rsidRPr="00747E35">
              <w:rPr>
                <w:rFonts w:cstheme="minorHAnsi"/>
              </w:rPr>
              <w:t>B, M</w:t>
            </w:r>
          </w:p>
        </w:tc>
        <w:tc>
          <w:tcPr>
            <w:tcW w:w="992" w:type="dxa"/>
            <w:tcBorders>
              <w:right w:val="single" w:sz="4" w:space="0" w:color="auto"/>
            </w:tcBorders>
            <w:vAlign w:val="bottom"/>
          </w:tcPr>
          <w:p w14:paraId="346CD589" w14:textId="7390615F" w:rsidR="00C80858" w:rsidRPr="00747E35" w:rsidRDefault="00C80858" w:rsidP="00C80858">
            <w:pPr>
              <w:pStyle w:val="Tabletext"/>
              <w:spacing w:before="0" w:after="0"/>
              <w:rPr>
                <w:rFonts w:cstheme="minorHAnsi"/>
              </w:rPr>
            </w:pPr>
            <w:r w:rsidRPr="00747E35">
              <w:rPr>
                <w:rFonts w:cstheme="minorHAnsi"/>
              </w:rPr>
              <w:t>Fi Fp Ri Rp</w:t>
            </w:r>
          </w:p>
        </w:tc>
        <w:tc>
          <w:tcPr>
            <w:tcW w:w="709" w:type="dxa"/>
            <w:tcBorders>
              <w:left w:val="single" w:sz="4" w:space="0" w:color="auto"/>
            </w:tcBorders>
            <w:vAlign w:val="bottom"/>
          </w:tcPr>
          <w:p w14:paraId="4E48C4EE" w14:textId="2F397279" w:rsidR="00C80858" w:rsidRPr="00747E35" w:rsidRDefault="00C80858" w:rsidP="00C80858">
            <w:pPr>
              <w:pStyle w:val="Tabletext"/>
              <w:spacing w:before="0" w:after="0"/>
              <w:rPr>
                <w:rFonts w:cstheme="minorHAnsi"/>
              </w:rPr>
            </w:pPr>
            <w:r w:rsidRPr="00747E35">
              <w:rPr>
                <w:rFonts w:cstheme="minorHAnsi"/>
              </w:rPr>
              <w:t>3</w:t>
            </w:r>
          </w:p>
        </w:tc>
        <w:tc>
          <w:tcPr>
            <w:tcW w:w="708" w:type="dxa"/>
          </w:tcPr>
          <w:p w14:paraId="58B7C855" w14:textId="1594E718"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1D8D57F9" w14:textId="1371B9B6" w:rsidR="00C80858" w:rsidRPr="00747E35" w:rsidRDefault="00C80858" w:rsidP="00C80858">
            <w:pPr>
              <w:pStyle w:val="Tabletext"/>
              <w:spacing w:before="0" w:after="0"/>
              <w:rPr>
                <w:rFonts w:cstheme="minorHAnsi"/>
                <w:i/>
              </w:rPr>
            </w:pPr>
            <w:r w:rsidRPr="00747E35">
              <w:rPr>
                <w:rFonts w:cstheme="minorHAnsi"/>
                <w:i/>
              </w:rPr>
              <w:t>Commelina cyanea</w:t>
            </w:r>
          </w:p>
        </w:tc>
        <w:tc>
          <w:tcPr>
            <w:tcW w:w="426" w:type="dxa"/>
            <w:vAlign w:val="bottom"/>
          </w:tcPr>
          <w:p w14:paraId="52749EEF" w14:textId="2A755843" w:rsidR="00C80858" w:rsidRPr="00747E35" w:rsidRDefault="00C80858" w:rsidP="00C80858">
            <w:pPr>
              <w:pStyle w:val="Tabletext"/>
              <w:spacing w:before="0" w:after="0"/>
              <w:rPr>
                <w:rFonts w:cstheme="minorHAnsi"/>
              </w:rPr>
            </w:pPr>
            <w:r w:rsidRPr="00747E35">
              <w:rPr>
                <w:rFonts w:cstheme="minorHAnsi"/>
              </w:rPr>
              <w:t>B, M</w:t>
            </w:r>
          </w:p>
        </w:tc>
        <w:tc>
          <w:tcPr>
            <w:tcW w:w="850" w:type="dxa"/>
            <w:vAlign w:val="bottom"/>
          </w:tcPr>
          <w:p w14:paraId="5F02087F" w14:textId="73ADB80D" w:rsidR="00C80858" w:rsidRPr="00747E35" w:rsidRDefault="00C80858" w:rsidP="00C80858">
            <w:pPr>
              <w:pStyle w:val="Tabletext"/>
              <w:spacing w:before="0" w:after="0"/>
              <w:rPr>
                <w:rFonts w:cstheme="minorHAnsi"/>
              </w:rPr>
            </w:pPr>
            <w:r w:rsidRPr="00747E35">
              <w:rPr>
                <w:rFonts w:cstheme="minorHAnsi"/>
              </w:rPr>
              <w:t>Fp Ri Rp</w:t>
            </w:r>
          </w:p>
        </w:tc>
      </w:tr>
      <w:tr w:rsidR="00C80858" w:rsidRPr="00747E35" w14:paraId="750215F7" w14:textId="77777777" w:rsidTr="0096743A">
        <w:tc>
          <w:tcPr>
            <w:tcW w:w="567" w:type="dxa"/>
            <w:vAlign w:val="bottom"/>
          </w:tcPr>
          <w:p w14:paraId="419C0E45" w14:textId="014F544D" w:rsidR="00C80858" w:rsidRPr="00747E35" w:rsidRDefault="00C80858" w:rsidP="00C80858">
            <w:pPr>
              <w:pStyle w:val="Tabletext"/>
              <w:spacing w:before="0" w:after="0"/>
              <w:rPr>
                <w:rFonts w:cstheme="minorHAnsi"/>
              </w:rPr>
            </w:pPr>
            <w:r w:rsidRPr="00747E35">
              <w:rPr>
                <w:rFonts w:cstheme="minorHAnsi"/>
              </w:rPr>
              <w:t>-</w:t>
            </w:r>
          </w:p>
        </w:tc>
        <w:tc>
          <w:tcPr>
            <w:tcW w:w="567" w:type="dxa"/>
          </w:tcPr>
          <w:p w14:paraId="1ADC38D2" w14:textId="4F24D783" w:rsidR="00C80858" w:rsidRPr="00747E35" w:rsidRDefault="00C80858" w:rsidP="00C80858">
            <w:pPr>
              <w:pStyle w:val="Tabletext"/>
              <w:spacing w:before="0" w:after="0"/>
              <w:rPr>
                <w:rFonts w:cstheme="minorHAnsi"/>
              </w:rPr>
            </w:pPr>
            <w:r w:rsidRPr="00747E35">
              <w:rPr>
                <w:rFonts w:cstheme="minorHAnsi"/>
              </w:rPr>
              <w:t>ag*</w:t>
            </w:r>
          </w:p>
        </w:tc>
        <w:tc>
          <w:tcPr>
            <w:tcW w:w="1985" w:type="dxa"/>
            <w:vAlign w:val="bottom"/>
          </w:tcPr>
          <w:p w14:paraId="0D7C9C45" w14:textId="089D0295" w:rsidR="00C80858" w:rsidRPr="00747E35" w:rsidRDefault="00C80858" w:rsidP="00C80858">
            <w:pPr>
              <w:pStyle w:val="Tabletext"/>
              <w:spacing w:before="0" w:after="0"/>
              <w:rPr>
                <w:rFonts w:cstheme="minorHAnsi"/>
                <w:i/>
              </w:rPr>
            </w:pPr>
            <w:r w:rsidRPr="00747E35">
              <w:rPr>
                <w:rFonts w:cstheme="minorHAnsi"/>
                <w:i/>
              </w:rPr>
              <w:t>Conyza bonariensis</w:t>
            </w:r>
          </w:p>
        </w:tc>
        <w:tc>
          <w:tcPr>
            <w:tcW w:w="709" w:type="dxa"/>
            <w:vAlign w:val="bottom"/>
          </w:tcPr>
          <w:p w14:paraId="0083BD97" w14:textId="585A09F1" w:rsidR="00C80858" w:rsidRPr="00747E35" w:rsidRDefault="00C80858" w:rsidP="00C80858">
            <w:pPr>
              <w:pStyle w:val="Tabletext"/>
              <w:spacing w:before="0" w:after="0"/>
              <w:rPr>
                <w:rFonts w:cstheme="minorHAnsi"/>
              </w:rPr>
            </w:pPr>
            <w:r w:rsidRPr="00747E35">
              <w:rPr>
                <w:rFonts w:cstheme="minorHAnsi"/>
              </w:rPr>
              <w:t>B, M</w:t>
            </w:r>
          </w:p>
        </w:tc>
        <w:tc>
          <w:tcPr>
            <w:tcW w:w="992" w:type="dxa"/>
            <w:tcBorders>
              <w:right w:val="single" w:sz="4" w:space="0" w:color="auto"/>
            </w:tcBorders>
            <w:vAlign w:val="bottom"/>
          </w:tcPr>
          <w:p w14:paraId="590CF803" w14:textId="50164C4A" w:rsidR="00C80858" w:rsidRPr="00747E35" w:rsidRDefault="00C80858" w:rsidP="00C80858">
            <w:pPr>
              <w:pStyle w:val="Tabletext"/>
              <w:spacing w:before="0" w:after="0"/>
              <w:rPr>
                <w:rFonts w:cstheme="minorHAnsi"/>
              </w:rPr>
            </w:pPr>
            <w:r w:rsidRPr="00747E35">
              <w:rPr>
                <w:rFonts w:cstheme="minorHAnsi"/>
              </w:rPr>
              <w:t>Fi Fp Ri Rp</w:t>
            </w:r>
          </w:p>
        </w:tc>
        <w:tc>
          <w:tcPr>
            <w:tcW w:w="709" w:type="dxa"/>
            <w:tcBorders>
              <w:left w:val="single" w:sz="4" w:space="0" w:color="auto"/>
            </w:tcBorders>
            <w:vAlign w:val="bottom"/>
          </w:tcPr>
          <w:p w14:paraId="619360BB" w14:textId="0F8DBF0D" w:rsidR="00C80858" w:rsidRPr="00747E35" w:rsidRDefault="00C80858" w:rsidP="00C80858">
            <w:pPr>
              <w:pStyle w:val="Tabletext"/>
              <w:spacing w:before="0" w:after="0"/>
              <w:rPr>
                <w:rFonts w:cstheme="minorHAnsi"/>
              </w:rPr>
            </w:pPr>
            <w:r w:rsidRPr="00747E35">
              <w:rPr>
                <w:rFonts w:cstheme="minorHAnsi"/>
              </w:rPr>
              <w:t>5</w:t>
            </w:r>
          </w:p>
        </w:tc>
        <w:tc>
          <w:tcPr>
            <w:tcW w:w="708" w:type="dxa"/>
            <w:vAlign w:val="bottom"/>
          </w:tcPr>
          <w:p w14:paraId="6DF2E2D6" w14:textId="78C918AA" w:rsidR="00C80858" w:rsidRPr="00747E35" w:rsidRDefault="00C80858" w:rsidP="00C80858">
            <w:pPr>
              <w:pStyle w:val="Tabletext"/>
              <w:spacing w:before="0" w:after="0"/>
              <w:rPr>
                <w:rFonts w:cstheme="minorHAnsi"/>
              </w:rPr>
            </w:pPr>
            <w:r w:rsidRPr="00747E35">
              <w:rPr>
                <w:rFonts w:cstheme="minorHAnsi"/>
              </w:rPr>
              <w:t>ph *</w:t>
            </w:r>
          </w:p>
        </w:tc>
        <w:tc>
          <w:tcPr>
            <w:tcW w:w="2268" w:type="dxa"/>
            <w:vAlign w:val="bottom"/>
          </w:tcPr>
          <w:p w14:paraId="19F52414" w14:textId="6372940A" w:rsidR="00C80858" w:rsidRPr="00747E35" w:rsidRDefault="00C80858" w:rsidP="00C80858">
            <w:pPr>
              <w:pStyle w:val="Tabletext"/>
              <w:spacing w:before="0" w:after="0"/>
              <w:rPr>
                <w:rFonts w:cstheme="minorHAnsi"/>
                <w:i/>
              </w:rPr>
            </w:pPr>
            <w:r w:rsidRPr="00747E35">
              <w:rPr>
                <w:rFonts w:cstheme="minorHAnsi"/>
                <w:i/>
              </w:rPr>
              <w:t>Ipomoea indica</w:t>
            </w:r>
          </w:p>
        </w:tc>
        <w:tc>
          <w:tcPr>
            <w:tcW w:w="426" w:type="dxa"/>
            <w:vAlign w:val="bottom"/>
          </w:tcPr>
          <w:p w14:paraId="6C75E250" w14:textId="2C20F5F6"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0178091C" w14:textId="224F0398" w:rsidR="00C80858" w:rsidRPr="00747E35" w:rsidRDefault="00C80858" w:rsidP="00C80858">
            <w:pPr>
              <w:pStyle w:val="Tabletext"/>
              <w:spacing w:before="0" w:after="0"/>
              <w:rPr>
                <w:rFonts w:cstheme="minorHAnsi"/>
              </w:rPr>
            </w:pPr>
            <w:r w:rsidRPr="00747E35">
              <w:rPr>
                <w:rFonts w:cstheme="minorHAnsi"/>
              </w:rPr>
              <w:t>Fi</w:t>
            </w:r>
          </w:p>
        </w:tc>
      </w:tr>
      <w:tr w:rsidR="00C80858" w:rsidRPr="00747E35" w14:paraId="22485D87" w14:textId="77777777" w:rsidTr="0096743A">
        <w:tc>
          <w:tcPr>
            <w:tcW w:w="567" w:type="dxa"/>
            <w:vAlign w:val="bottom"/>
          </w:tcPr>
          <w:p w14:paraId="6C1197AB" w14:textId="3E783F0D" w:rsidR="00C80858" w:rsidRPr="00747E35" w:rsidRDefault="00C80858" w:rsidP="00C80858">
            <w:pPr>
              <w:pStyle w:val="Tabletext"/>
              <w:spacing w:before="0" w:after="0"/>
              <w:rPr>
                <w:rFonts w:cstheme="minorHAnsi"/>
              </w:rPr>
            </w:pPr>
            <w:r w:rsidRPr="00747E35">
              <w:rPr>
                <w:rFonts w:cstheme="minorHAnsi"/>
              </w:rPr>
              <w:t>-</w:t>
            </w:r>
          </w:p>
        </w:tc>
        <w:tc>
          <w:tcPr>
            <w:tcW w:w="567" w:type="dxa"/>
          </w:tcPr>
          <w:p w14:paraId="79F478EC" w14:textId="7477E756" w:rsidR="00C80858" w:rsidRPr="00747E35" w:rsidRDefault="00C80858" w:rsidP="00C80858">
            <w:pPr>
              <w:pStyle w:val="Tabletext"/>
              <w:spacing w:before="0" w:after="0"/>
              <w:rPr>
                <w:rFonts w:cstheme="minorHAnsi"/>
              </w:rPr>
            </w:pPr>
            <w:r w:rsidRPr="00747E35">
              <w:rPr>
                <w:rFonts w:cstheme="minorHAnsi"/>
              </w:rPr>
              <w:t>ag*</w:t>
            </w:r>
          </w:p>
        </w:tc>
        <w:tc>
          <w:tcPr>
            <w:tcW w:w="1985" w:type="dxa"/>
            <w:vAlign w:val="bottom"/>
          </w:tcPr>
          <w:p w14:paraId="32CFF50A" w14:textId="1B65630F" w:rsidR="00C80858" w:rsidRPr="00747E35" w:rsidRDefault="00C80858" w:rsidP="00C80858">
            <w:pPr>
              <w:pStyle w:val="Tabletext"/>
              <w:spacing w:before="0" w:after="0"/>
              <w:rPr>
                <w:rFonts w:cstheme="minorHAnsi"/>
                <w:i/>
              </w:rPr>
            </w:pPr>
            <w:r w:rsidRPr="00747E35">
              <w:rPr>
                <w:rFonts w:cstheme="minorHAnsi"/>
                <w:i/>
              </w:rPr>
              <w:t xml:space="preserve">Crinum </w:t>
            </w:r>
            <w:r w:rsidRPr="00747E35">
              <w:rPr>
                <w:rFonts w:cstheme="minorHAnsi"/>
              </w:rPr>
              <w:t>sp</w:t>
            </w:r>
          </w:p>
        </w:tc>
        <w:tc>
          <w:tcPr>
            <w:tcW w:w="709" w:type="dxa"/>
            <w:vAlign w:val="bottom"/>
          </w:tcPr>
          <w:p w14:paraId="6EF84B7C" w14:textId="624D0E7B" w:rsidR="00C80858" w:rsidRPr="00747E35" w:rsidRDefault="00C80858" w:rsidP="00C80858">
            <w:pPr>
              <w:pStyle w:val="Tabletext"/>
              <w:spacing w:before="0" w:after="0"/>
              <w:rPr>
                <w:rFonts w:cstheme="minorHAnsi"/>
              </w:rPr>
            </w:pPr>
            <w:r w:rsidRPr="00747E35">
              <w:rPr>
                <w:rFonts w:cstheme="minorHAnsi"/>
              </w:rPr>
              <w:t>B, M</w:t>
            </w:r>
          </w:p>
        </w:tc>
        <w:tc>
          <w:tcPr>
            <w:tcW w:w="992" w:type="dxa"/>
            <w:tcBorders>
              <w:right w:val="single" w:sz="4" w:space="0" w:color="auto"/>
            </w:tcBorders>
            <w:vAlign w:val="bottom"/>
          </w:tcPr>
          <w:p w14:paraId="4674BF7E" w14:textId="2284B87E" w:rsidR="00C80858" w:rsidRPr="00747E35" w:rsidRDefault="00C80858" w:rsidP="00C80858">
            <w:pPr>
              <w:pStyle w:val="Tabletext"/>
              <w:spacing w:before="0" w:after="0"/>
              <w:rPr>
                <w:rFonts w:cstheme="minorHAnsi"/>
              </w:rPr>
            </w:pPr>
            <w:r w:rsidRPr="00747E35">
              <w:rPr>
                <w:rFonts w:cstheme="minorHAnsi"/>
              </w:rPr>
              <w:t>Fi Fp Ri Rp T</w:t>
            </w:r>
          </w:p>
        </w:tc>
        <w:tc>
          <w:tcPr>
            <w:tcW w:w="709" w:type="dxa"/>
            <w:tcBorders>
              <w:left w:val="single" w:sz="4" w:space="0" w:color="auto"/>
            </w:tcBorders>
            <w:vAlign w:val="bottom"/>
          </w:tcPr>
          <w:p w14:paraId="07E330E6" w14:textId="08F86588" w:rsidR="00C80858" w:rsidRPr="00747E35" w:rsidRDefault="00C80858" w:rsidP="00C80858">
            <w:pPr>
              <w:pStyle w:val="Tabletext"/>
              <w:spacing w:before="0" w:after="0"/>
              <w:rPr>
                <w:rFonts w:cstheme="minorHAnsi"/>
              </w:rPr>
            </w:pPr>
            <w:r w:rsidRPr="00747E35">
              <w:rPr>
                <w:rFonts w:cstheme="minorHAnsi"/>
              </w:rPr>
              <w:t>2</w:t>
            </w:r>
          </w:p>
        </w:tc>
        <w:tc>
          <w:tcPr>
            <w:tcW w:w="708" w:type="dxa"/>
          </w:tcPr>
          <w:p w14:paraId="31D79F27" w14:textId="26BDAC8B"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38016C77" w14:textId="3BB62690" w:rsidR="00C80858" w:rsidRPr="00747E35" w:rsidRDefault="00C80858" w:rsidP="00C80858">
            <w:pPr>
              <w:pStyle w:val="Tabletext"/>
              <w:spacing w:before="0" w:after="0"/>
              <w:rPr>
                <w:rFonts w:cstheme="minorHAnsi"/>
                <w:i/>
              </w:rPr>
            </w:pPr>
            <w:r w:rsidRPr="00747E35">
              <w:rPr>
                <w:rFonts w:cstheme="minorHAnsi"/>
                <w:i/>
              </w:rPr>
              <w:t>Cyperus difformis</w:t>
            </w:r>
          </w:p>
        </w:tc>
        <w:tc>
          <w:tcPr>
            <w:tcW w:w="426" w:type="dxa"/>
            <w:vAlign w:val="bottom"/>
          </w:tcPr>
          <w:p w14:paraId="29AAEE25" w14:textId="48E656BF" w:rsidR="00C80858" w:rsidRPr="00747E35" w:rsidRDefault="00C80858" w:rsidP="00C80858">
            <w:pPr>
              <w:pStyle w:val="Tabletext"/>
              <w:spacing w:before="0" w:after="0"/>
              <w:rPr>
                <w:rFonts w:cstheme="minorHAnsi"/>
              </w:rPr>
            </w:pPr>
            <w:r w:rsidRPr="00747E35">
              <w:rPr>
                <w:rFonts w:cstheme="minorHAnsi"/>
              </w:rPr>
              <w:t>B, M</w:t>
            </w:r>
          </w:p>
        </w:tc>
        <w:tc>
          <w:tcPr>
            <w:tcW w:w="850" w:type="dxa"/>
            <w:vAlign w:val="bottom"/>
          </w:tcPr>
          <w:p w14:paraId="1D7EBDE9" w14:textId="13F5AEF2" w:rsidR="00C80858" w:rsidRPr="00747E35" w:rsidRDefault="00C80858" w:rsidP="00C80858">
            <w:pPr>
              <w:pStyle w:val="Tabletext"/>
              <w:spacing w:before="0" w:after="0"/>
              <w:rPr>
                <w:rFonts w:cstheme="minorHAnsi"/>
              </w:rPr>
            </w:pPr>
            <w:r w:rsidRPr="00747E35">
              <w:rPr>
                <w:rFonts w:cstheme="minorHAnsi"/>
              </w:rPr>
              <w:t>Fi Fp Ri Rp</w:t>
            </w:r>
          </w:p>
        </w:tc>
      </w:tr>
      <w:tr w:rsidR="00C80858" w:rsidRPr="00747E35" w14:paraId="111931B3" w14:textId="77777777" w:rsidTr="0096743A">
        <w:tc>
          <w:tcPr>
            <w:tcW w:w="567" w:type="dxa"/>
            <w:vAlign w:val="bottom"/>
          </w:tcPr>
          <w:p w14:paraId="4D38BB44" w14:textId="218074C4"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1474F486" w14:textId="6C716B24" w:rsidR="00C80858" w:rsidRPr="00747E35" w:rsidRDefault="00C80858" w:rsidP="00C80858">
            <w:pPr>
              <w:pStyle w:val="Tabletext"/>
              <w:spacing w:before="0" w:after="0"/>
              <w:rPr>
                <w:rFonts w:cstheme="minorHAnsi"/>
              </w:rPr>
            </w:pPr>
            <w:r w:rsidRPr="00747E35">
              <w:rPr>
                <w:rFonts w:cstheme="minorHAnsi"/>
              </w:rPr>
              <w:t>ah</w:t>
            </w:r>
          </w:p>
        </w:tc>
        <w:tc>
          <w:tcPr>
            <w:tcW w:w="1985" w:type="dxa"/>
            <w:vAlign w:val="bottom"/>
          </w:tcPr>
          <w:p w14:paraId="65D583D5" w14:textId="60074464" w:rsidR="00C80858" w:rsidRPr="00747E35" w:rsidRDefault="00C80858" w:rsidP="00C80858">
            <w:pPr>
              <w:pStyle w:val="Tabletext"/>
              <w:spacing w:before="0" w:after="0"/>
              <w:rPr>
                <w:rFonts w:cstheme="minorHAnsi"/>
                <w:i/>
              </w:rPr>
            </w:pPr>
            <w:r w:rsidRPr="00747E35">
              <w:rPr>
                <w:rFonts w:cstheme="minorHAnsi"/>
                <w:i/>
              </w:rPr>
              <w:t>Asteraceae sp</w:t>
            </w:r>
          </w:p>
        </w:tc>
        <w:tc>
          <w:tcPr>
            <w:tcW w:w="709" w:type="dxa"/>
            <w:vAlign w:val="bottom"/>
          </w:tcPr>
          <w:p w14:paraId="4B2F6356" w14:textId="154100C5"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7402B5BA" w14:textId="6C347D89" w:rsidR="00C80858" w:rsidRPr="00747E35" w:rsidRDefault="00C80858" w:rsidP="00C80858">
            <w:pPr>
              <w:pStyle w:val="Tabletext"/>
              <w:spacing w:before="0" w:after="0"/>
              <w:rPr>
                <w:rFonts w:cstheme="minorHAnsi"/>
              </w:rPr>
            </w:pPr>
            <w:r w:rsidRPr="00747E35">
              <w:rPr>
                <w:rFonts w:cstheme="minorHAnsi"/>
              </w:rPr>
              <w:t>T</w:t>
            </w:r>
          </w:p>
        </w:tc>
        <w:tc>
          <w:tcPr>
            <w:tcW w:w="709" w:type="dxa"/>
            <w:tcBorders>
              <w:left w:val="single" w:sz="4" w:space="0" w:color="auto"/>
            </w:tcBorders>
            <w:vAlign w:val="bottom"/>
          </w:tcPr>
          <w:p w14:paraId="27029875" w14:textId="6596787B" w:rsidR="00C80858" w:rsidRPr="00747E35" w:rsidRDefault="00C80858" w:rsidP="00C80858">
            <w:pPr>
              <w:pStyle w:val="Tabletext"/>
              <w:spacing w:before="0" w:after="0"/>
              <w:rPr>
                <w:rFonts w:cstheme="minorHAnsi"/>
              </w:rPr>
            </w:pPr>
            <w:r w:rsidRPr="00747E35">
              <w:rPr>
                <w:rFonts w:cstheme="minorHAnsi"/>
              </w:rPr>
              <w:t>2</w:t>
            </w:r>
          </w:p>
        </w:tc>
        <w:tc>
          <w:tcPr>
            <w:tcW w:w="708" w:type="dxa"/>
          </w:tcPr>
          <w:p w14:paraId="299F8BF5" w14:textId="01792657"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68C90C78" w14:textId="37936297" w:rsidR="00C80858" w:rsidRPr="00747E35" w:rsidRDefault="00C80858" w:rsidP="00C80858">
            <w:pPr>
              <w:pStyle w:val="Tabletext"/>
              <w:spacing w:before="0" w:after="0"/>
              <w:rPr>
                <w:rFonts w:cstheme="minorHAnsi"/>
                <w:i/>
              </w:rPr>
            </w:pPr>
            <w:r w:rsidRPr="00747E35">
              <w:rPr>
                <w:rFonts w:cstheme="minorHAnsi"/>
                <w:i/>
              </w:rPr>
              <w:t>Cyperus exaltatus</w:t>
            </w:r>
          </w:p>
        </w:tc>
        <w:tc>
          <w:tcPr>
            <w:tcW w:w="426" w:type="dxa"/>
            <w:vAlign w:val="bottom"/>
          </w:tcPr>
          <w:p w14:paraId="03F048F7" w14:textId="484ED3DC" w:rsidR="00C80858" w:rsidRPr="00747E35" w:rsidRDefault="00C80858" w:rsidP="00C80858">
            <w:pPr>
              <w:pStyle w:val="Tabletext"/>
              <w:spacing w:before="0" w:after="0"/>
              <w:rPr>
                <w:rFonts w:cstheme="minorHAnsi"/>
              </w:rPr>
            </w:pPr>
            <w:r w:rsidRPr="00747E35">
              <w:rPr>
                <w:rFonts w:cstheme="minorHAnsi"/>
              </w:rPr>
              <w:t>B, M</w:t>
            </w:r>
          </w:p>
        </w:tc>
        <w:tc>
          <w:tcPr>
            <w:tcW w:w="850" w:type="dxa"/>
            <w:vAlign w:val="bottom"/>
          </w:tcPr>
          <w:p w14:paraId="342BD864" w14:textId="2B323184" w:rsidR="00C80858" w:rsidRPr="00747E35" w:rsidRDefault="00C80858" w:rsidP="00C80858">
            <w:pPr>
              <w:pStyle w:val="Tabletext"/>
              <w:spacing w:before="0" w:after="0"/>
              <w:rPr>
                <w:rFonts w:cstheme="minorHAnsi"/>
              </w:rPr>
            </w:pPr>
            <w:r w:rsidRPr="00747E35">
              <w:rPr>
                <w:rFonts w:cstheme="minorHAnsi"/>
              </w:rPr>
              <w:t>Fi Rp</w:t>
            </w:r>
          </w:p>
        </w:tc>
      </w:tr>
      <w:tr w:rsidR="00C80858" w:rsidRPr="00747E35" w14:paraId="6224AC28" w14:textId="77777777" w:rsidTr="0096743A">
        <w:tc>
          <w:tcPr>
            <w:tcW w:w="567" w:type="dxa"/>
            <w:vAlign w:val="bottom"/>
          </w:tcPr>
          <w:p w14:paraId="0E944A71" w14:textId="525697E3" w:rsidR="00C80858" w:rsidRPr="00747E35" w:rsidRDefault="00C80858" w:rsidP="00C80858">
            <w:pPr>
              <w:pStyle w:val="Tabletext"/>
              <w:spacing w:before="0" w:after="0"/>
              <w:rPr>
                <w:rFonts w:cstheme="minorHAnsi"/>
              </w:rPr>
            </w:pPr>
            <w:r w:rsidRPr="00747E35">
              <w:rPr>
                <w:rFonts w:cstheme="minorHAnsi"/>
              </w:rPr>
              <w:t>2</w:t>
            </w:r>
          </w:p>
        </w:tc>
        <w:tc>
          <w:tcPr>
            <w:tcW w:w="567" w:type="dxa"/>
            <w:vAlign w:val="bottom"/>
          </w:tcPr>
          <w:p w14:paraId="69F87D2E" w14:textId="2E28A463" w:rsidR="00C80858" w:rsidRPr="00747E35" w:rsidRDefault="00C80858" w:rsidP="00C80858">
            <w:pPr>
              <w:pStyle w:val="Tabletext"/>
              <w:spacing w:before="0" w:after="0"/>
              <w:rPr>
                <w:rFonts w:cstheme="minorHAnsi"/>
              </w:rPr>
            </w:pPr>
            <w:r w:rsidRPr="00747E35">
              <w:rPr>
                <w:rFonts w:cstheme="minorHAnsi"/>
              </w:rPr>
              <w:t>ah</w:t>
            </w:r>
          </w:p>
        </w:tc>
        <w:tc>
          <w:tcPr>
            <w:tcW w:w="1985" w:type="dxa"/>
            <w:vAlign w:val="bottom"/>
          </w:tcPr>
          <w:p w14:paraId="7CE74D63" w14:textId="286DE753" w:rsidR="00C80858" w:rsidRPr="00747E35" w:rsidRDefault="00C80858" w:rsidP="00C80858">
            <w:pPr>
              <w:pStyle w:val="Tabletext"/>
              <w:spacing w:before="0" w:after="0"/>
              <w:rPr>
                <w:rFonts w:cstheme="minorHAnsi"/>
                <w:i/>
              </w:rPr>
            </w:pPr>
            <w:r w:rsidRPr="00747E35">
              <w:rPr>
                <w:rFonts w:cstheme="minorHAnsi"/>
                <w:i/>
              </w:rPr>
              <w:t xml:space="preserve">Cyperus </w:t>
            </w:r>
            <w:r w:rsidRPr="00747E35">
              <w:rPr>
                <w:rFonts w:cstheme="minorHAnsi"/>
              </w:rPr>
              <w:t>sp1</w:t>
            </w:r>
          </w:p>
        </w:tc>
        <w:tc>
          <w:tcPr>
            <w:tcW w:w="709" w:type="dxa"/>
            <w:vAlign w:val="bottom"/>
          </w:tcPr>
          <w:p w14:paraId="5090BC96" w14:textId="6BAF6CBE" w:rsidR="00C80858" w:rsidRPr="00747E35" w:rsidRDefault="00C80858" w:rsidP="00C80858">
            <w:pPr>
              <w:pStyle w:val="Tabletext"/>
              <w:spacing w:before="0" w:after="0"/>
              <w:rPr>
                <w:rFonts w:cstheme="minorHAnsi"/>
              </w:rPr>
            </w:pPr>
            <w:r w:rsidRPr="00747E35">
              <w:rPr>
                <w:rFonts w:cstheme="minorHAnsi"/>
              </w:rPr>
              <w:t>B, M</w:t>
            </w:r>
          </w:p>
        </w:tc>
        <w:tc>
          <w:tcPr>
            <w:tcW w:w="992" w:type="dxa"/>
            <w:tcBorders>
              <w:right w:val="single" w:sz="4" w:space="0" w:color="auto"/>
            </w:tcBorders>
            <w:vAlign w:val="bottom"/>
          </w:tcPr>
          <w:p w14:paraId="5B9F9670" w14:textId="4010B7CE" w:rsidR="00C80858" w:rsidRPr="00747E35" w:rsidRDefault="00C80858" w:rsidP="00C80858">
            <w:pPr>
              <w:pStyle w:val="Tabletext"/>
              <w:spacing w:before="0" w:after="0"/>
              <w:rPr>
                <w:rFonts w:cstheme="minorHAnsi"/>
              </w:rPr>
            </w:pPr>
            <w:r w:rsidRPr="00747E35">
              <w:rPr>
                <w:rFonts w:cstheme="minorHAnsi"/>
              </w:rPr>
              <w:t>Fi Fp Ri Rp</w:t>
            </w:r>
          </w:p>
        </w:tc>
        <w:tc>
          <w:tcPr>
            <w:tcW w:w="709" w:type="dxa"/>
            <w:tcBorders>
              <w:left w:val="single" w:sz="4" w:space="0" w:color="auto"/>
            </w:tcBorders>
            <w:vAlign w:val="bottom"/>
          </w:tcPr>
          <w:p w14:paraId="145B3FA0" w14:textId="269B8E1D" w:rsidR="00C80858" w:rsidRPr="00747E35" w:rsidRDefault="00C80858" w:rsidP="00C80858">
            <w:pPr>
              <w:pStyle w:val="Tabletext"/>
              <w:spacing w:before="0" w:after="0"/>
              <w:rPr>
                <w:rFonts w:cstheme="minorHAnsi"/>
              </w:rPr>
            </w:pPr>
            <w:r w:rsidRPr="00747E35">
              <w:rPr>
                <w:rFonts w:cstheme="minorHAnsi"/>
              </w:rPr>
              <w:t>2</w:t>
            </w:r>
          </w:p>
        </w:tc>
        <w:tc>
          <w:tcPr>
            <w:tcW w:w="708" w:type="dxa"/>
          </w:tcPr>
          <w:p w14:paraId="0BA4970C" w14:textId="15211AAF"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44436A7F" w14:textId="2CAA263B" w:rsidR="00C80858" w:rsidRPr="00747E35" w:rsidRDefault="00C80858" w:rsidP="00C80858">
            <w:pPr>
              <w:pStyle w:val="Tabletext"/>
              <w:spacing w:before="0" w:after="0"/>
              <w:rPr>
                <w:rFonts w:cstheme="minorHAnsi"/>
                <w:i/>
              </w:rPr>
            </w:pPr>
            <w:r w:rsidRPr="00747E35">
              <w:rPr>
                <w:rFonts w:cstheme="minorHAnsi"/>
                <w:i/>
              </w:rPr>
              <w:t>Cyperus vaginatus</w:t>
            </w:r>
          </w:p>
        </w:tc>
        <w:tc>
          <w:tcPr>
            <w:tcW w:w="426" w:type="dxa"/>
            <w:vAlign w:val="bottom"/>
          </w:tcPr>
          <w:p w14:paraId="69595A62" w14:textId="340410AE" w:rsidR="00C80858" w:rsidRPr="00747E35" w:rsidRDefault="00C80858" w:rsidP="00C80858">
            <w:pPr>
              <w:pStyle w:val="Tabletext"/>
              <w:spacing w:before="0" w:after="0"/>
              <w:rPr>
                <w:rFonts w:cstheme="minorHAnsi"/>
              </w:rPr>
            </w:pPr>
            <w:r w:rsidRPr="00747E35">
              <w:rPr>
                <w:rFonts w:cstheme="minorHAnsi"/>
              </w:rPr>
              <w:t>M</w:t>
            </w:r>
          </w:p>
        </w:tc>
        <w:tc>
          <w:tcPr>
            <w:tcW w:w="850" w:type="dxa"/>
            <w:vAlign w:val="bottom"/>
          </w:tcPr>
          <w:p w14:paraId="23ED500C" w14:textId="0544DA34" w:rsidR="00C80858" w:rsidRPr="00747E35" w:rsidRDefault="00C80858" w:rsidP="00C80858">
            <w:pPr>
              <w:pStyle w:val="Tabletext"/>
              <w:spacing w:before="0" w:after="0"/>
              <w:rPr>
                <w:rFonts w:cstheme="minorHAnsi"/>
              </w:rPr>
            </w:pPr>
            <w:r w:rsidRPr="00747E35">
              <w:rPr>
                <w:rFonts w:cstheme="minorHAnsi"/>
              </w:rPr>
              <w:t>Rp</w:t>
            </w:r>
          </w:p>
        </w:tc>
      </w:tr>
      <w:tr w:rsidR="00C80858" w:rsidRPr="00747E35" w14:paraId="090051B1" w14:textId="77777777" w:rsidTr="0096743A">
        <w:tc>
          <w:tcPr>
            <w:tcW w:w="567" w:type="dxa"/>
            <w:vAlign w:val="bottom"/>
          </w:tcPr>
          <w:p w14:paraId="33ED6588" w14:textId="181710C8"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355CD492" w14:textId="342AA64E" w:rsidR="00C80858" w:rsidRPr="00747E35" w:rsidRDefault="00C80858" w:rsidP="00C80858">
            <w:pPr>
              <w:pStyle w:val="Tabletext"/>
              <w:spacing w:before="0" w:after="0"/>
              <w:rPr>
                <w:rFonts w:cstheme="minorHAnsi"/>
              </w:rPr>
            </w:pPr>
            <w:r w:rsidRPr="00747E35">
              <w:rPr>
                <w:rFonts w:cstheme="minorHAnsi"/>
              </w:rPr>
              <w:t>ah *</w:t>
            </w:r>
          </w:p>
        </w:tc>
        <w:tc>
          <w:tcPr>
            <w:tcW w:w="1985" w:type="dxa"/>
            <w:vAlign w:val="bottom"/>
          </w:tcPr>
          <w:p w14:paraId="4553A76D" w14:textId="5FC6D315" w:rsidR="00C80858" w:rsidRPr="00747E35" w:rsidRDefault="00C80858" w:rsidP="00C80858">
            <w:pPr>
              <w:pStyle w:val="Tabletext"/>
              <w:spacing w:before="0" w:after="0"/>
              <w:rPr>
                <w:rFonts w:cstheme="minorHAnsi"/>
                <w:i/>
              </w:rPr>
            </w:pPr>
            <w:r w:rsidRPr="00747E35">
              <w:rPr>
                <w:rFonts w:cstheme="minorHAnsi"/>
                <w:i/>
              </w:rPr>
              <w:t>Daucus glochidiatus</w:t>
            </w:r>
          </w:p>
        </w:tc>
        <w:tc>
          <w:tcPr>
            <w:tcW w:w="709" w:type="dxa"/>
            <w:vAlign w:val="bottom"/>
          </w:tcPr>
          <w:p w14:paraId="354AD7E4" w14:textId="3E0948F5" w:rsidR="00C80858" w:rsidRPr="00747E35" w:rsidRDefault="00C80858" w:rsidP="00C80858">
            <w:pPr>
              <w:pStyle w:val="Tabletext"/>
              <w:spacing w:before="0" w:after="0"/>
              <w:rPr>
                <w:rFonts w:cstheme="minorHAnsi"/>
              </w:rPr>
            </w:pPr>
            <w:r w:rsidRPr="00747E35">
              <w:rPr>
                <w:rFonts w:cstheme="minorHAnsi"/>
              </w:rPr>
              <w:t>B, M</w:t>
            </w:r>
          </w:p>
        </w:tc>
        <w:tc>
          <w:tcPr>
            <w:tcW w:w="992" w:type="dxa"/>
            <w:tcBorders>
              <w:right w:val="single" w:sz="4" w:space="0" w:color="auto"/>
            </w:tcBorders>
            <w:vAlign w:val="bottom"/>
          </w:tcPr>
          <w:p w14:paraId="134910C2" w14:textId="20281AD3" w:rsidR="00C80858" w:rsidRPr="00747E35" w:rsidRDefault="00C80858" w:rsidP="00C80858">
            <w:pPr>
              <w:pStyle w:val="Tabletext"/>
              <w:spacing w:before="0" w:after="0"/>
              <w:rPr>
                <w:rFonts w:cstheme="minorHAnsi"/>
              </w:rPr>
            </w:pPr>
            <w:r w:rsidRPr="00747E35">
              <w:rPr>
                <w:rFonts w:cstheme="minorHAnsi"/>
              </w:rPr>
              <w:t>Fp Ri</w:t>
            </w:r>
          </w:p>
        </w:tc>
        <w:tc>
          <w:tcPr>
            <w:tcW w:w="709" w:type="dxa"/>
            <w:tcBorders>
              <w:left w:val="single" w:sz="4" w:space="0" w:color="auto"/>
            </w:tcBorders>
            <w:vAlign w:val="bottom"/>
          </w:tcPr>
          <w:p w14:paraId="7514AE87" w14:textId="4E95DCB4" w:rsidR="00C80858" w:rsidRPr="00747E35" w:rsidRDefault="00C80858" w:rsidP="00C80858">
            <w:pPr>
              <w:pStyle w:val="Tabletext"/>
              <w:spacing w:before="0" w:after="0"/>
              <w:rPr>
                <w:rFonts w:cstheme="minorHAnsi"/>
              </w:rPr>
            </w:pPr>
            <w:r w:rsidRPr="00747E35">
              <w:rPr>
                <w:rFonts w:cstheme="minorHAnsi"/>
              </w:rPr>
              <w:t>3</w:t>
            </w:r>
          </w:p>
        </w:tc>
        <w:tc>
          <w:tcPr>
            <w:tcW w:w="708" w:type="dxa"/>
          </w:tcPr>
          <w:p w14:paraId="357858E5" w14:textId="5DFAA056"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64F719BD" w14:textId="78989233" w:rsidR="00C80858" w:rsidRPr="00747E35" w:rsidRDefault="00C80858" w:rsidP="00C80858">
            <w:pPr>
              <w:pStyle w:val="Tabletext"/>
              <w:spacing w:before="0" w:after="0"/>
              <w:rPr>
                <w:rFonts w:cstheme="minorHAnsi"/>
                <w:i/>
              </w:rPr>
            </w:pPr>
            <w:r w:rsidRPr="00747E35">
              <w:rPr>
                <w:rFonts w:cstheme="minorHAnsi"/>
                <w:i/>
              </w:rPr>
              <w:t>Dichondra repens</w:t>
            </w:r>
          </w:p>
        </w:tc>
        <w:tc>
          <w:tcPr>
            <w:tcW w:w="426" w:type="dxa"/>
            <w:vAlign w:val="bottom"/>
          </w:tcPr>
          <w:p w14:paraId="76A34B9D" w14:textId="4532FB0F" w:rsidR="00C80858" w:rsidRPr="00747E35" w:rsidRDefault="00C80858" w:rsidP="00C80858">
            <w:pPr>
              <w:pStyle w:val="Tabletext"/>
              <w:spacing w:before="0" w:after="0"/>
              <w:rPr>
                <w:rFonts w:cstheme="minorHAnsi"/>
              </w:rPr>
            </w:pPr>
            <w:r w:rsidRPr="00747E35">
              <w:rPr>
                <w:rFonts w:cstheme="minorHAnsi"/>
              </w:rPr>
              <w:t>M</w:t>
            </w:r>
          </w:p>
        </w:tc>
        <w:tc>
          <w:tcPr>
            <w:tcW w:w="850" w:type="dxa"/>
            <w:vAlign w:val="bottom"/>
          </w:tcPr>
          <w:p w14:paraId="7198ABB6" w14:textId="68E84457"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0930EDF5" w14:textId="77777777" w:rsidTr="0096743A">
        <w:tc>
          <w:tcPr>
            <w:tcW w:w="567" w:type="dxa"/>
            <w:vAlign w:val="bottom"/>
          </w:tcPr>
          <w:p w14:paraId="6C4AAE6B" w14:textId="62388605"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081224C7" w14:textId="4B013CD4" w:rsidR="00C80858" w:rsidRPr="00747E35" w:rsidRDefault="00C80858" w:rsidP="00C80858">
            <w:pPr>
              <w:pStyle w:val="Tabletext"/>
              <w:spacing w:before="0" w:after="0"/>
              <w:rPr>
                <w:rFonts w:cstheme="minorHAnsi"/>
              </w:rPr>
            </w:pPr>
            <w:r w:rsidRPr="00747E35">
              <w:rPr>
                <w:rFonts w:cstheme="minorHAnsi"/>
              </w:rPr>
              <w:t>ah *</w:t>
            </w:r>
          </w:p>
        </w:tc>
        <w:tc>
          <w:tcPr>
            <w:tcW w:w="1985" w:type="dxa"/>
            <w:vAlign w:val="bottom"/>
          </w:tcPr>
          <w:p w14:paraId="3B199AF8" w14:textId="2974983E" w:rsidR="00C80858" w:rsidRPr="00747E35" w:rsidRDefault="00C80858" w:rsidP="00C80858">
            <w:pPr>
              <w:pStyle w:val="Tabletext"/>
              <w:spacing w:before="0" w:after="0"/>
              <w:rPr>
                <w:rFonts w:cstheme="minorHAnsi"/>
                <w:i/>
              </w:rPr>
            </w:pPr>
            <w:r w:rsidRPr="00747E35">
              <w:rPr>
                <w:rFonts w:cstheme="minorHAnsi"/>
                <w:i/>
              </w:rPr>
              <w:t>Echium plantagineum</w:t>
            </w:r>
          </w:p>
        </w:tc>
        <w:tc>
          <w:tcPr>
            <w:tcW w:w="709" w:type="dxa"/>
            <w:vAlign w:val="bottom"/>
          </w:tcPr>
          <w:p w14:paraId="605AEA2B" w14:textId="42FC5C12"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1AD657CE" w14:textId="4B572A60" w:rsidR="00C80858" w:rsidRPr="00747E35" w:rsidRDefault="00C80858" w:rsidP="00C80858">
            <w:pPr>
              <w:pStyle w:val="Tabletext"/>
              <w:spacing w:before="0" w:after="0"/>
              <w:rPr>
                <w:rFonts w:cstheme="minorHAnsi"/>
              </w:rPr>
            </w:pPr>
            <w:r w:rsidRPr="00747E35">
              <w:rPr>
                <w:rFonts w:cstheme="minorHAnsi"/>
              </w:rPr>
              <w:t>Ri Rp</w:t>
            </w:r>
          </w:p>
        </w:tc>
        <w:tc>
          <w:tcPr>
            <w:tcW w:w="709" w:type="dxa"/>
            <w:tcBorders>
              <w:left w:val="single" w:sz="4" w:space="0" w:color="auto"/>
            </w:tcBorders>
            <w:vAlign w:val="bottom"/>
          </w:tcPr>
          <w:p w14:paraId="2BF327B2" w14:textId="55D18AE0" w:rsidR="00C80858" w:rsidRPr="00747E35" w:rsidRDefault="00C80858" w:rsidP="00C80858">
            <w:pPr>
              <w:pStyle w:val="Tabletext"/>
              <w:spacing w:before="0" w:after="0"/>
              <w:rPr>
                <w:rFonts w:cstheme="minorHAnsi"/>
              </w:rPr>
            </w:pPr>
            <w:r w:rsidRPr="00747E35">
              <w:rPr>
                <w:rFonts w:cstheme="minorHAnsi"/>
              </w:rPr>
              <w:t>2</w:t>
            </w:r>
          </w:p>
        </w:tc>
        <w:tc>
          <w:tcPr>
            <w:tcW w:w="708" w:type="dxa"/>
          </w:tcPr>
          <w:p w14:paraId="2A46916F" w14:textId="6C8862A1"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70462AE2" w14:textId="7C69115C" w:rsidR="00C80858" w:rsidRPr="00747E35" w:rsidRDefault="00C80858" w:rsidP="00C80858">
            <w:pPr>
              <w:pStyle w:val="Tabletext"/>
              <w:spacing w:before="0" w:after="0"/>
              <w:rPr>
                <w:rFonts w:cstheme="minorHAnsi"/>
                <w:i/>
              </w:rPr>
            </w:pPr>
            <w:r w:rsidRPr="00747E35">
              <w:rPr>
                <w:rFonts w:cstheme="minorHAnsi"/>
                <w:i/>
              </w:rPr>
              <w:t>Eleocharis acuta</w:t>
            </w:r>
          </w:p>
        </w:tc>
        <w:tc>
          <w:tcPr>
            <w:tcW w:w="426" w:type="dxa"/>
            <w:vAlign w:val="bottom"/>
          </w:tcPr>
          <w:p w14:paraId="4EE81EF4" w14:textId="5BC15575" w:rsidR="00C80858" w:rsidRPr="00747E35" w:rsidRDefault="00C80858" w:rsidP="00C80858">
            <w:pPr>
              <w:pStyle w:val="Tabletext"/>
              <w:spacing w:before="0" w:after="0"/>
              <w:rPr>
                <w:rFonts w:cstheme="minorHAnsi"/>
              </w:rPr>
            </w:pPr>
            <w:r w:rsidRPr="00747E35">
              <w:rPr>
                <w:rFonts w:cstheme="minorHAnsi"/>
              </w:rPr>
              <w:t>B, M</w:t>
            </w:r>
          </w:p>
        </w:tc>
        <w:tc>
          <w:tcPr>
            <w:tcW w:w="850" w:type="dxa"/>
            <w:vAlign w:val="bottom"/>
          </w:tcPr>
          <w:p w14:paraId="39F86469" w14:textId="28BAFE76" w:rsidR="00C80858" w:rsidRPr="00747E35" w:rsidRDefault="00C80858" w:rsidP="00C80858">
            <w:pPr>
              <w:pStyle w:val="Tabletext"/>
              <w:spacing w:before="0" w:after="0"/>
              <w:rPr>
                <w:rFonts w:cstheme="minorHAnsi"/>
              </w:rPr>
            </w:pPr>
            <w:r w:rsidRPr="00747E35">
              <w:rPr>
                <w:rFonts w:cstheme="minorHAnsi"/>
              </w:rPr>
              <w:t>Ri Rp</w:t>
            </w:r>
          </w:p>
        </w:tc>
      </w:tr>
      <w:tr w:rsidR="00C80858" w:rsidRPr="00747E35" w14:paraId="04715B84" w14:textId="77777777" w:rsidTr="0096743A">
        <w:tc>
          <w:tcPr>
            <w:tcW w:w="567" w:type="dxa"/>
            <w:vAlign w:val="bottom"/>
          </w:tcPr>
          <w:p w14:paraId="3525935E" w14:textId="06C13333"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7D933BEF" w14:textId="727D2AAE" w:rsidR="00C80858" w:rsidRPr="00747E35" w:rsidRDefault="00C80858" w:rsidP="00C80858">
            <w:pPr>
              <w:pStyle w:val="Tabletext"/>
              <w:spacing w:before="0" w:after="0"/>
              <w:rPr>
                <w:rFonts w:cstheme="minorHAnsi"/>
              </w:rPr>
            </w:pPr>
            <w:r w:rsidRPr="00747E35">
              <w:rPr>
                <w:rFonts w:cstheme="minorHAnsi"/>
              </w:rPr>
              <w:t>ah *</w:t>
            </w:r>
          </w:p>
        </w:tc>
        <w:tc>
          <w:tcPr>
            <w:tcW w:w="1985" w:type="dxa"/>
            <w:vAlign w:val="bottom"/>
          </w:tcPr>
          <w:p w14:paraId="146F4846" w14:textId="67547615" w:rsidR="00C80858" w:rsidRPr="00747E35" w:rsidRDefault="00C80858" w:rsidP="00C80858">
            <w:pPr>
              <w:pStyle w:val="Tabletext"/>
              <w:spacing w:before="0" w:after="0"/>
              <w:rPr>
                <w:rFonts w:cstheme="minorHAnsi"/>
                <w:i/>
              </w:rPr>
            </w:pPr>
            <w:r w:rsidRPr="00747E35">
              <w:rPr>
                <w:rFonts w:cstheme="minorHAnsi"/>
                <w:i/>
              </w:rPr>
              <w:t>Galium aparine</w:t>
            </w:r>
          </w:p>
        </w:tc>
        <w:tc>
          <w:tcPr>
            <w:tcW w:w="709" w:type="dxa"/>
            <w:vAlign w:val="bottom"/>
          </w:tcPr>
          <w:p w14:paraId="0C345011" w14:textId="5A788540"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4DF05D37" w14:textId="06640BCC" w:rsidR="00C80858" w:rsidRPr="00747E35" w:rsidRDefault="00C80858" w:rsidP="00C80858">
            <w:pPr>
              <w:pStyle w:val="Tabletext"/>
              <w:spacing w:before="0" w:after="0"/>
              <w:rPr>
                <w:rFonts w:cstheme="minorHAnsi"/>
              </w:rPr>
            </w:pPr>
            <w:r w:rsidRPr="00747E35">
              <w:rPr>
                <w:rFonts w:cstheme="minorHAnsi"/>
              </w:rPr>
              <w:t>Fp Ri Rp</w:t>
            </w:r>
          </w:p>
        </w:tc>
        <w:tc>
          <w:tcPr>
            <w:tcW w:w="709" w:type="dxa"/>
            <w:tcBorders>
              <w:left w:val="single" w:sz="4" w:space="0" w:color="auto"/>
            </w:tcBorders>
            <w:vAlign w:val="bottom"/>
          </w:tcPr>
          <w:p w14:paraId="1934D3EF" w14:textId="7ADC2AA3" w:rsidR="00C80858" w:rsidRPr="00747E35" w:rsidRDefault="00C80858" w:rsidP="00C80858">
            <w:pPr>
              <w:pStyle w:val="Tabletext"/>
              <w:spacing w:before="0" w:after="0"/>
              <w:rPr>
                <w:rFonts w:cstheme="minorHAnsi"/>
              </w:rPr>
            </w:pPr>
            <w:r w:rsidRPr="00747E35">
              <w:rPr>
                <w:rFonts w:cstheme="minorHAnsi"/>
              </w:rPr>
              <w:t>2</w:t>
            </w:r>
          </w:p>
        </w:tc>
        <w:tc>
          <w:tcPr>
            <w:tcW w:w="708" w:type="dxa"/>
          </w:tcPr>
          <w:p w14:paraId="1AB34035" w14:textId="5BF9621B"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69B2F68F" w14:textId="64D65052" w:rsidR="00C80858" w:rsidRPr="00747E35" w:rsidRDefault="00C80858" w:rsidP="00C80858">
            <w:pPr>
              <w:pStyle w:val="Tabletext"/>
              <w:spacing w:before="0" w:after="0"/>
              <w:rPr>
                <w:rFonts w:cstheme="minorHAnsi"/>
                <w:i/>
              </w:rPr>
            </w:pPr>
            <w:r w:rsidRPr="00747E35">
              <w:rPr>
                <w:rFonts w:cstheme="minorHAnsi"/>
                <w:i/>
              </w:rPr>
              <w:t>Fimbristylis nutans</w:t>
            </w:r>
          </w:p>
        </w:tc>
        <w:tc>
          <w:tcPr>
            <w:tcW w:w="426" w:type="dxa"/>
            <w:vAlign w:val="bottom"/>
          </w:tcPr>
          <w:p w14:paraId="11A9CCD4" w14:textId="447FB124"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3A23A4AD" w14:textId="44D67251" w:rsidR="00C80858" w:rsidRPr="00747E35" w:rsidRDefault="00C80858" w:rsidP="00C80858">
            <w:pPr>
              <w:pStyle w:val="Tabletext"/>
              <w:spacing w:before="0" w:after="0"/>
              <w:rPr>
                <w:rFonts w:cstheme="minorHAnsi"/>
              </w:rPr>
            </w:pPr>
            <w:r w:rsidRPr="00747E35">
              <w:rPr>
                <w:rFonts w:cstheme="minorHAnsi"/>
              </w:rPr>
              <w:t>Rp</w:t>
            </w:r>
          </w:p>
        </w:tc>
      </w:tr>
      <w:tr w:rsidR="00C80858" w:rsidRPr="00747E35" w14:paraId="005F1110" w14:textId="77777777" w:rsidTr="0096743A">
        <w:tc>
          <w:tcPr>
            <w:tcW w:w="567" w:type="dxa"/>
            <w:vAlign w:val="bottom"/>
          </w:tcPr>
          <w:p w14:paraId="0BD08231" w14:textId="14F1F100"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591F3DDB" w14:textId="313159FE" w:rsidR="00C80858" w:rsidRPr="00747E35" w:rsidRDefault="00C80858" w:rsidP="00C80858">
            <w:pPr>
              <w:pStyle w:val="Tabletext"/>
              <w:spacing w:before="0" w:after="0"/>
              <w:rPr>
                <w:rFonts w:cstheme="minorHAnsi"/>
              </w:rPr>
            </w:pPr>
            <w:r w:rsidRPr="00747E35">
              <w:rPr>
                <w:rFonts w:cstheme="minorHAnsi"/>
              </w:rPr>
              <w:t>ah</w:t>
            </w:r>
          </w:p>
        </w:tc>
        <w:tc>
          <w:tcPr>
            <w:tcW w:w="1985" w:type="dxa"/>
            <w:vAlign w:val="bottom"/>
          </w:tcPr>
          <w:p w14:paraId="1E94F345" w14:textId="00AECDFD" w:rsidR="00C80858" w:rsidRPr="00747E35" w:rsidRDefault="00C80858" w:rsidP="00C80858">
            <w:pPr>
              <w:pStyle w:val="Tabletext"/>
              <w:spacing w:before="0" w:after="0"/>
              <w:rPr>
                <w:rFonts w:cstheme="minorHAnsi"/>
                <w:i/>
              </w:rPr>
            </w:pPr>
            <w:r w:rsidRPr="00747E35">
              <w:rPr>
                <w:rFonts w:cstheme="minorHAnsi"/>
                <w:i/>
              </w:rPr>
              <w:t>Gnaphalium luteo-album</w:t>
            </w:r>
          </w:p>
        </w:tc>
        <w:tc>
          <w:tcPr>
            <w:tcW w:w="709" w:type="dxa"/>
            <w:vAlign w:val="bottom"/>
          </w:tcPr>
          <w:p w14:paraId="53456972" w14:textId="07483DF4" w:rsidR="00C80858" w:rsidRPr="00747E35" w:rsidRDefault="00C80858" w:rsidP="00C80858">
            <w:pPr>
              <w:pStyle w:val="Tabletext"/>
              <w:spacing w:before="0" w:after="0"/>
              <w:rPr>
                <w:rFonts w:cstheme="minorHAnsi"/>
              </w:rPr>
            </w:pPr>
            <w:r w:rsidRPr="00747E35">
              <w:rPr>
                <w:rFonts w:cstheme="minorHAnsi"/>
              </w:rPr>
              <w:t>B, M</w:t>
            </w:r>
          </w:p>
        </w:tc>
        <w:tc>
          <w:tcPr>
            <w:tcW w:w="992" w:type="dxa"/>
            <w:tcBorders>
              <w:right w:val="single" w:sz="4" w:space="0" w:color="auto"/>
            </w:tcBorders>
            <w:vAlign w:val="bottom"/>
          </w:tcPr>
          <w:p w14:paraId="28EB09EA" w14:textId="5E95E9A0" w:rsidR="00C80858" w:rsidRPr="00747E35" w:rsidRDefault="00C80858" w:rsidP="00C80858">
            <w:pPr>
              <w:pStyle w:val="Tabletext"/>
              <w:spacing w:before="0" w:after="0"/>
              <w:rPr>
                <w:rFonts w:cstheme="minorHAnsi"/>
              </w:rPr>
            </w:pPr>
            <w:r w:rsidRPr="00747E35">
              <w:rPr>
                <w:rFonts w:cstheme="minorHAnsi"/>
              </w:rPr>
              <w:t>Fi Ri Rp</w:t>
            </w:r>
          </w:p>
        </w:tc>
        <w:tc>
          <w:tcPr>
            <w:tcW w:w="709" w:type="dxa"/>
            <w:tcBorders>
              <w:left w:val="single" w:sz="4" w:space="0" w:color="auto"/>
            </w:tcBorders>
            <w:vAlign w:val="bottom"/>
          </w:tcPr>
          <w:p w14:paraId="5BE82521" w14:textId="393E0F24" w:rsidR="00C80858" w:rsidRPr="00747E35" w:rsidRDefault="00C80858" w:rsidP="00C80858">
            <w:pPr>
              <w:pStyle w:val="Tabletext"/>
              <w:spacing w:before="0" w:after="0"/>
              <w:rPr>
                <w:rFonts w:cstheme="minorHAnsi"/>
              </w:rPr>
            </w:pPr>
            <w:r w:rsidRPr="00747E35">
              <w:rPr>
                <w:rFonts w:cstheme="minorHAnsi"/>
              </w:rPr>
              <w:t>2</w:t>
            </w:r>
          </w:p>
        </w:tc>
        <w:tc>
          <w:tcPr>
            <w:tcW w:w="708" w:type="dxa"/>
          </w:tcPr>
          <w:p w14:paraId="73E55BFF" w14:textId="18F6DFE0"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41072CE3" w14:textId="176C7DC8" w:rsidR="00C80858" w:rsidRPr="00747E35" w:rsidRDefault="00C80858" w:rsidP="00C80858">
            <w:pPr>
              <w:pStyle w:val="Tabletext"/>
              <w:spacing w:before="0" w:after="0"/>
              <w:rPr>
                <w:rFonts w:cstheme="minorHAnsi"/>
                <w:i/>
              </w:rPr>
            </w:pPr>
            <w:r w:rsidRPr="00747E35">
              <w:rPr>
                <w:rFonts w:cstheme="minorHAnsi"/>
                <w:i/>
              </w:rPr>
              <w:t xml:space="preserve">Fimbristylis </w:t>
            </w:r>
            <w:r w:rsidRPr="00747E35">
              <w:rPr>
                <w:rFonts w:cstheme="minorHAnsi"/>
              </w:rPr>
              <w:t>sp</w:t>
            </w:r>
          </w:p>
        </w:tc>
        <w:tc>
          <w:tcPr>
            <w:tcW w:w="426" w:type="dxa"/>
            <w:vAlign w:val="bottom"/>
          </w:tcPr>
          <w:p w14:paraId="4B51E5FE" w14:textId="121262AD"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1FF11FD6" w14:textId="1761F488" w:rsidR="00C80858" w:rsidRPr="00747E35" w:rsidRDefault="00C80858" w:rsidP="00C80858">
            <w:pPr>
              <w:pStyle w:val="Tabletext"/>
              <w:spacing w:before="0" w:after="0"/>
              <w:rPr>
                <w:rFonts w:cstheme="minorHAnsi"/>
              </w:rPr>
            </w:pPr>
            <w:r w:rsidRPr="00747E35">
              <w:rPr>
                <w:rFonts w:cstheme="minorHAnsi"/>
              </w:rPr>
              <w:t>Fi</w:t>
            </w:r>
          </w:p>
        </w:tc>
      </w:tr>
      <w:tr w:rsidR="00C80858" w:rsidRPr="00747E35" w14:paraId="17AF3C58" w14:textId="77777777" w:rsidTr="0096743A">
        <w:tc>
          <w:tcPr>
            <w:tcW w:w="567" w:type="dxa"/>
            <w:vAlign w:val="bottom"/>
          </w:tcPr>
          <w:p w14:paraId="5A1E4EC1" w14:textId="182C084B"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57C027F1" w14:textId="775C2733" w:rsidR="00C80858" w:rsidRPr="00747E35" w:rsidRDefault="00C80858" w:rsidP="00C80858">
            <w:pPr>
              <w:pStyle w:val="Tabletext"/>
              <w:spacing w:before="0" w:after="0"/>
              <w:rPr>
                <w:rFonts w:cstheme="minorHAnsi"/>
              </w:rPr>
            </w:pPr>
            <w:r w:rsidRPr="00747E35">
              <w:rPr>
                <w:rFonts w:cstheme="minorHAnsi"/>
              </w:rPr>
              <w:t>ah *</w:t>
            </w:r>
          </w:p>
        </w:tc>
        <w:tc>
          <w:tcPr>
            <w:tcW w:w="1985" w:type="dxa"/>
            <w:vAlign w:val="bottom"/>
          </w:tcPr>
          <w:p w14:paraId="01C92B03" w14:textId="5B260AAE" w:rsidR="00C80858" w:rsidRPr="00747E35" w:rsidRDefault="00C80858" w:rsidP="00C80858">
            <w:pPr>
              <w:pStyle w:val="Tabletext"/>
              <w:spacing w:before="0" w:after="0"/>
              <w:rPr>
                <w:rFonts w:cstheme="minorHAnsi"/>
                <w:i/>
              </w:rPr>
            </w:pPr>
            <w:r w:rsidRPr="00747E35">
              <w:rPr>
                <w:rFonts w:cstheme="minorHAnsi"/>
                <w:i/>
              </w:rPr>
              <w:t>Hypochaeris glabra</w:t>
            </w:r>
          </w:p>
        </w:tc>
        <w:tc>
          <w:tcPr>
            <w:tcW w:w="709" w:type="dxa"/>
            <w:vAlign w:val="bottom"/>
          </w:tcPr>
          <w:p w14:paraId="1D83B921" w14:textId="5C9ACC24" w:rsidR="00C80858" w:rsidRPr="00747E35" w:rsidRDefault="00C80858" w:rsidP="00C80858">
            <w:pPr>
              <w:pStyle w:val="Tabletext"/>
              <w:spacing w:before="0" w:after="0"/>
              <w:rPr>
                <w:rFonts w:cstheme="minorHAnsi"/>
              </w:rPr>
            </w:pPr>
            <w:r w:rsidRPr="00747E35">
              <w:rPr>
                <w:rFonts w:cstheme="minorHAnsi"/>
              </w:rPr>
              <w:t>B, M</w:t>
            </w:r>
          </w:p>
        </w:tc>
        <w:tc>
          <w:tcPr>
            <w:tcW w:w="992" w:type="dxa"/>
            <w:tcBorders>
              <w:right w:val="single" w:sz="4" w:space="0" w:color="auto"/>
            </w:tcBorders>
            <w:vAlign w:val="bottom"/>
          </w:tcPr>
          <w:p w14:paraId="6161F2D1" w14:textId="5BDC707E" w:rsidR="00C80858" w:rsidRPr="00747E35" w:rsidRDefault="00C80858" w:rsidP="00C80858">
            <w:pPr>
              <w:pStyle w:val="Tabletext"/>
              <w:spacing w:before="0" w:after="0"/>
              <w:rPr>
                <w:rFonts w:cstheme="minorHAnsi"/>
              </w:rPr>
            </w:pPr>
            <w:r w:rsidRPr="00747E35">
              <w:rPr>
                <w:rFonts w:cstheme="minorHAnsi"/>
              </w:rPr>
              <w:t>Fi Ri</w:t>
            </w:r>
          </w:p>
        </w:tc>
        <w:tc>
          <w:tcPr>
            <w:tcW w:w="709" w:type="dxa"/>
            <w:tcBorders>
              <w:left w:val="single" w:sz="4" w:space="0" w:color="auto"/>
            </w:tcBorders>
            <w:vAlign w:val="bottom"/>
          </w:tcPr>
          <w:p w14:paraId="05AD25E1" w14:textId="1DE8ACE7" w:rsidR="00C80858" w:rsidRPr="00747E35" w:rsidRDefault="00C80858" w:rsidP="00C80858">
            <w:pPr>
              <w:pStyle w:val="Tabletext"/>
              <w:spacing w:before="0" w:after="0"/>
              <w:rPr>
                <w:rFonts w:cstheme="minorHAnsi"/>
              </w:rPr>
            </w:pPr>
            <w:r w:rsidRPr="00747E35">
              <w:rPr>
                <w:rFonts w:cstheme="minorHAnsi"/>
              </w:rPr>
              <w:t>6</w:t>
            </w:r>
          </w:p>
        </w:tc>
        <w:tc>
          <w:tcPr>
            <w:tcW w:w="708" w:type="dxa"/>
            <w:vAlign w:val="bottom"/>
          </w:tcPr>
          <w:p w14:paraId="5E92D612" w14:textId="1A78B0C9"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422B4642" w14:textId="08F97A64" w:rsidR="00C80858" w:rsidRPr="00747E35" w:rsidRDefault="00C80858" w:rsidP="00C80858">
            <w:pPr>
              <w:pStyle w:val="Tabletext"/>
              <w:spacing w:before="0" w:after="0"/>
              <w:rPr>
                <w:rFonts w:cstheme="minorHAnsi"/>
                <w:i/>
              </w:rPr>
            </w:pPr>
            <w:r w:rsidRPr="00747E35">
              <w:rPr>
                <w:rFonts w:cstheme="minorHAnsi"/>
                <w:i/>
              </w:rPr>
              <w:t>Gomphocarpus fruticosus</w:t>
            </w:r>
          </w:p>
        </w:tc>
        <w:tc>
          <w:tcPr>
            <w:tcW w:w="426" w:type="dxa"/>
            <w:vAlign w:val="bottom"/>
          </w:tcPr>
          <w:p w14:paraId="11332407" w14:textId="51C80644" w:rsidR="00C80858" w:rsidRPr="00747E35" w:rsidRDefault="00C80858" w:rsidP="00C80858">
            <w:pPr>
              <w:pStyle w:val="Tabletext"/>
              <w:spacing w:before="0" w:after="0"/>
              <w:rPr>
                <w:rFonts w:cstheme="minorHAnsi"/>
              </w:rPr>
            </w:pPr>
            <w:r w:rsidRPr="00747E35">
              <w:rPr>
                <w:rFonts w:cstheme="minorHAnsi"/>
              </w:rPr>
              <w:t>B, M</w:t>
            </w:r>
          </w:p>
        </w:tc>
        <w:tc>
          <w:tcPr>
            <w:tcW w:w="850" w:type="dxa"/>
            <w:vAlign w:val="bottom"/>
          </w:tcPr>
          <w:p w14:paraId="71F9D00B" w14:textId="3A4EBFFB" w:rsidR="00C80858" w:rsidRPr="00747E35" w:rsidRDefault="00C80858" w:rsidP="00C80858">
            <w:pPr>
              <w:pStyle w:val="Tabletext"/>
              <w:spacing w:before="0" w:after="0"/>
              <w:rPr>
                <w:rFonts w:cstheme="minorHAnsi"/>
              </w:rPr>
            </w:pPr>
            <w:r w:rsidRPr="00747E35">
              <w:rPr>
                <w:rFonts w:cstheme="minorHAnsi"/>
              </w:rPr>
              <w:t>Fi Fp Ri</w:t>
            </w:r>
          </w:p>
        </w:tc>
      </w:tr>
      <w:tr w:rsidR="00C80858" w:rsidRPr="00747E35" w14:paraId="611226BE" w14:textId="77777777" w:rsidTr="0096743A">
        <w:tc>
          <w:tcPr>
            <w:tcW w:w="567" w:type="dxa"/>
            <w:vAlign w:val="bottom"/>
          </w:tcPr>
          <w:p w14:paraId="38AAC9AC" w14:textId="62F896F0" w:rsidR="00C80858" w:rsidRPr="00747E35" w:rsidRDefault="00C80858" w:rsidP="00C80858">
            <w:pPr>
              <w:pStyle w:val="Tabletext"/>
              <w:spacing w:before="0" w:after="0"/>
              <w:rPr>
                <w:rFonts w:cstheme="minorHAnsi"/>
              </w:rPr>
            </w:pPr>
            <w:r w:rsidRPr="00747E35">
              <w:rPr>
                <w:rFonts w:cstheme="minorHAnsi"/>
              </w:rPr>
              <w:t>2</w:t>
            </w:r>
          </w:p>
        </w:tc>
        <w:tc>
          <w:tcPr>
            <w:tcW w:w="567" w:type="dxa"/>
            <w:vAlign w:val="bottom"/>
          </w:tcPr>
          <w:p w14:paraId="0B078CD3" w14:textId="64D1E223" w:rsidR="00C80858" w:rsidRPr="00747E35" w:rsidRDefault="00C80858" w:rsidP="00C80858">
            <w:pPr>
              <w:pStyle w:val="Tabletext"/>
              <w:spacing w:before="0" w:after="0"/>
              <w:rPr>
                <w:rFonts w:cstheme="minorHAnsi"/>
              </w:rPr>
            </w:pPr>
            <w:r w:rsidRPr="00747E35">
              <w:rPr>
                <w:rFonts w:cstheme="minorHAnsi"/>
              </w:rPr>
              <w:t>ah</w:t>
            </w:r>
          </w:p>
        </w:tc>
        <w:tc>
          <w:tcPr>
            <w:tcW w:w="1985" w:type="dxa"/>
            <w:vAlign w:val="bottom"/>
          </w:tcPr>
          <w:p w14:paraId="3BB23D1D" w14:textId="60080849" w:rsidR="00C80858" w:rsidRPr="00747E35" w:rsidRDefault="00C80858" w:rsidP="00C80858">
            <w:pPr>
              <w:pStyle w:val="Tabletext"/>
              <w:spacing w:before="0" w:after="0"/>
              <w:rPr>
                <w:rFonts w:cstheme="minorHAnsi"/>
                <w:i/>
              </w:rPr>
            </w:pPr>
            <w:r w:rsidRPr="00747E35">
              <w:rPr>
                <w:rFonts w:cstheme="minorHAnsi"/>
                <w:i/>
              </w:rPr>
              <w:t>Isolepsis sp</w:t>
            </w:r>
          </w:p>
        </w:tc>
        <w:tc>
          <w:tcPr>
            <w:tcW w:w="709" w:type="dxa"/>
            <w:vAlign w:val="bottom"/>
          </w:tcPr>
          <w:p w14:paraId="3FDF5FCC" w14:textId="46F704D6" w:rsidR="00C80858" w:rsidRPr="00747E35" w:rsidRDefault="00C80858" w:rsidP="00C80858">
            <w:pPr>
              <w:pStyle w:val="Tabletext"/>
              <w:spacing w:before="0" w:after="0"/>
              <w:rPr>
                <w:rFonts w:cstheme="minorHAnsi"/>
              </w:rPr>
            </w:pPr>
            <w:r w:rsidRPr="00747E35">
              <w:rPr>
                <w:rFonts w:cstheme="minorHAnsi"/>
              </w:rPr>
              <w:t>B, M</w:t>
            </w:r>
          </w:p>
        </w:tc>
        <w:tc>
          <w:tcPr>
            <w:tcW w:w="992" w:type="dxa"/>
            <w:tcBorders>
              <w:right w:val="single" w:sz="4" w:space="0" w:color="auto"/>
            </w:tcBorders>
            <w:vAlign w:val="bottom"/>
          </w:tcPr>
          <w:p w14:paraId="776ADBEA" w14:textId="35EF37CE" w:rsidR="00C80858" w:rsidRPr="00747E35" w:rsidRDefault="00C80858" w:rsidP="00C80858">
            <w:pPr>
              <w:pStyle w:val="Tabletext"/>
              <w:spacing w:before="0" w:after="0"/>
              <w:rPr>
                <w:rFonts w:cstheme="minorHAnsi"/>
              </w:rPr>
            </w:pPr>
            <w:r w:rsidRPr="00747E35">
              <w:rPr>
                <w:rFonts w:cstheme="minorHAnsi"/>
              </w:rPr>
              <w:t>Fp</w:t>
            </w:r>
          </w:p>
        </w:tc>
        <w:tc>
          <w:tcPr>
            <w:tcW w:w="709" w:type="dxa"/>
            <w:tcBorders>
              <w:left w:val="single" w:sz="4" w:space="0" w:color="auto"/>
            </w:tcBorders>
            <w:vAlign w:val="bottom"/>
          </w:tcPr>
          <w:p w14:paraId="598392CC" w14:textId="719B29FD" w:rsidR="00C80858" w:rsidRPr="00747E35" w:rsidRDefault="00C80858" w:rsidP="00C80858">
            <w:pPr>
              <w:pStyle w:val="Tabletext"/>
              <w:spacing w:before="0" w:after="0"/>
              <w:rPr>
                <w:rFonts w:cstheme="minorHAnsi"/>
              </w:rPr>
            </w:pPr>
            <w:r w:rsidRPr="00747E35">
              <w:rPr>
                <w:rFonts w:cstheme="minorHAnsi"/>
              </w:rPr>
              <w:t>2</w:t>
            </w:r>
          </w:p>
        </w:tc>
        <w:tc>
          <w:tcPr>
            <w:tcW w:w="708" w:type="dxa"/>
          </w:tcPr>
          <w:p w14:paraId="27A38071" w14:textId="5E428CDF"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46832AD8" w14:textId="74B80E70" w:rsidR="00C80858" w:rsidRPr="00747E35" w:rsidRDefault="00C80858" w:rsidP="00C80858">
            <w:pPr>
              <w:pStyle w:val="Tabletext"/>
              <w:spacing w:before="0" w:after="0"/>
              <w:rPr>
                <w:rFonts w:cstheme="minorHAnsi"/>
                <w:i/>
              </w:rPr>
            </w:pPr>
            <w:r w:rsidRPr="00747E35">
              <w:rPr>
                <w:rFonts w:cstheme="minorHAnsi"/>
                <w:i/>
              </w:rPr>
              <w:t>Histiopteris incisa</w:t>
            </w:r>
          </w:p>
        </w:tc>
        <w:tc>
          <w:tcPr>
            <w:tcW w:w="426" w:type="dxa"/>
            <w:vAlign w:val="bottom"/>
          </w:tcPr>
          <w:p w14:paraId="310F785C" w14:textId="5639A8A6"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39893DBC" w14:textId="31954A3D" w:rsidR="00C80858" w:rsidRPr="00747E35" w:rsidRDefault="00C80858" w:rsidP="00C80858">
            <w:pPr>
              <w:pStyle w:val="Tabletext"/>
              <w:spacing w:before="0" w:after="0"/>
              <w:rPr>
                <w:rFonts w:cstheme="minorHAnsi"/>
              </w:rPr>
            </w:pPr>
            <w:r w:rsidRPr="00747E35">
              <w:rPr>
                <w:rFonts w:cstheme="minorHAnsi"/>
              </w:rPr>
              <w:t>Ri Rp</w:t>
            </w:r>
          </w:p>
        </w:tc>
      </w:tr>
      <w:tr w:rsidR="00C80858" w:rsidRPr="00747E35" w14:paraId="5370893B" w14:textId="77777777" w:rsidTr="0096743A">
        <w:tc>
          <w:tcPr>
            <w:tcW w:w="567" w:type="dxa"/>
            <w:vAlign w:val="bottom"/>
          </w:tcPr>
          <w:p w14:paraId="106531E0" w14:textId="0FF3848F"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1537129A" w14:textId="502CDDFF" w:rsidR="00C80858" w:rsidRPr="00747E35" w:rsidRDefault="00C80858" w:rsidP="00C80858">
            <w:pPr>
              <w:pStyle w:val="Tabletext"/>
              <w:spacing w:before="0" w:after="0"/>
              <w:rPr>
                <w:rFonts w:cstheme="minorHAnsi"/>
              </w:rPr>
            </w:pPr>
            <w:r w:rsidRPr="00747E35">
              <w:rPr>
                <w:rFonts w:cstheme="minorHAnsi"/>
              </w:rPr>
              <w:t>ah *</w:t>
            </w:r>
          </w:p>
        </w:tc>
        <w:tc>
          <w:tcPr>
            <w:tcW w:w="1985" w:type="dxa"/>
            <w:vAlign w:val="bottom"/>
          </w:tcPr>
          <w:p w14:paraId="7CD16892" w14:textId="06A22CAB" w:rsidR="00C80858" w:rsidRPr="00747E35" w:rsidRDefault="00C80858" w:rsidP="00C80858">
            <w:pPr>
              <w:pStyle w:val="Tabletext"/>
              <w:spacing w:before="0" w:after="0"/>
              <w:rPr>
                <w:rFonts w:cstheme="minorHAnsi"/>
                <w:i/>
              </w:rPr>
            </w:pPr>
            <w:r w:rsidRPr="00747E35">
              <w:rPr>
                <w:rFonts w:cstheme="minorHAnsi"/>
                <w:i/>
              </w:rPr>
              <w:t>Leonotus nepetifolia</w:t>
            </w:r>
          </w:p>
        </w:tc>
        <w:tc>
          <w:tcPr>
            <w:tcW w:w="709" w:type="dxa"/>
            <w:vAlign w:val="bottom"/>
          </w:tcPr>
          <w:p w14:paraId="08A5A5F3" w14:textId="6C82EEA1"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55DC06F6" w14:textId="68CA1757" w:rsidR="00C80858" w:rsidRPr="00747E35" w:rsidRDefault="00C80858" w:rsidP="00C80858">
            <w:pPr>
              <w:pStyle w:val="Tabletext"/>
              <w:spacing w:before="0" w:after="0"/>
              <w:rPr>
                <w:rFonts w:cstheme="minorHAnsi"/>
              </w:rPr>
            </w:pPr>
            <w:r w:rsidRPr="00747E35">
              <w:rPr>
                <w:rFonts w:cstheme="minorHAnsi"/>
              </w:rPr>
              <w:t>Fi</w:t>
            </w:r>
          </w:p>
        </w:tc>
        <w:tc>
          <w:tcPr>
            <w:tcW w:w="709" w:type="dxa"/>
            <w:tcBorders>
              <w:left w:val="single" w:sz="4" w:space="0" w:color="auto"/>
            </w:tcBorders>
            <w:vAlign w:val="bottom"/>
          </w:tcPr>
          <w:p w14:paraId="7503E13B" w14:textId="6F489CCA" w:rsidR="00C80858" w:rsidRPr="00747E35" w:rsidRDefault="00C80858" w:rsidP="00C80858">
            <w:pPr>
              <w:pStyle w:val="Tabletext"/>
              <w:spacing w:before="0" w:after="0"/>
              <w:rPr>
                <w:rFonts w:cstheme="minorHAnsi"/>
              </w:rPr>
            </w:pPr>
            <w:r w:rsidRPr="00747E35">
              <w:rPr>
                <w:rFonts w:cstheme="minorHAnsi"/>
              </w:rPr>
              <w:t>2</w:t>
            </w:r>
          </w:p>
        </w:tc>
        <w:tc>
          <w:tcPr>
            <w:tcW w:w="708" w:type="dxa"/>
          </w:tcPr>
          <w:p w14:paraId="30E49AC8" w14:textId="4222FD73"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4D12B85B" w14:textId="30C3A21B" w:rsidR="00C80858" w:rsidRPr="00747E35" w:rsidRDefault="00C80858" w:rsidP="00C80858">
            <w:pPr>
              <w:pStyle w:val="Tabletext"/>
              <w:spacing w:before="0" w:after="0"/>
              <w:rPr>
                <w:rFonts w:cstheme="minorHAnsi"/>
                <w:i/>
              </w:rPr>
            </w:pPr>
            <w:r w:rsidRPr="00747E35">
              <w:rPr>
                <w:rFonts w:cstheme="minorHAnsi"/>
                <w:i/>
              </w:rPr>
              <w:t xml:space="preserve">Juncus </w:t>
            </w:r>
            <w:r w:rsidRPr="00747E35">
              <w:rPr>
                <w:rFonts w:cstheme="minorHAnsi"/>
              </w:rPr>
              <w:t>sp</w:t>
            </w:r>
          </w:p>
        </w:tc>
        <w:tc>
          <w:tcPr>
            <w:tcW w:w="426" w:type="dxa"/>
            <w:vAlign w:val="bottom"/>
          </w:tcPr>
          <w:p w14:paraId="623762C2" w14:textId="6D186E6F" w:rsidR="00C80858" w:rsidRPr="00747E35" w:rsidRDefault="00C80858" w:rsidP="00C80858">
            <w:pPr>
              <w:pStyle w:val="Tabletext"/>
              <w:spacing w:before="0" w:after="0"/>
              <w:rPr>
                <w:rFonts w:cstheme="minorHAnsi"/>
              </w:rPr>
            </w:pPr>
            <w:r w:rsidRPr="00747E35">
              <w:rPr>
                <w:rFonts w:cstheme="minorHAnsi"/>
              </w:rPr>
              <w:t>B, M</w:t>
            </w:r>
          </w:p>
        </w:tc>
        <w:tc>
          <w:tcPr>
            <w:tcW w:w="850" w:type="dxa"/>
            <w:vAlign w:val="bottom"/>
          </w:tcPr>
          <w:p w14:paraId="01D4954E" w14:textId="1E2FE68C" w:rsidR="00C80858" w:rsidRPr="00747E35" w:rsidRDefault="00C80858" w:rsidP="00C80858">
            <w:pPr>
              <w:pStyle w:val="Tabletext"/>
              <w:spacing w:before="0" w:after="0"/>
              <w:rPr>
                <w:rFonts w:cstheme="minorHAnsi"/>
              </w:rPr>
            </w:pPr>
            <w:r w:rsidRPr="00747E35">
              <w:rPr>
                <w:rFonts w:cstheme="minorHAnsi"/>
              </w:rPr>
              <w:t>Fp Ri Rp</w:t>
            </w:r>
          </w:p>
        </w:tc>
      </w:tr>
      <w:tr w:rsidR="00C80858" w:rsidRPr="00747E35" w14:paraId="1D563A2C" w14:textId="77777777" w:rsidTr="0096743A">
        <w:tc>
          <w:tcPr>
            <w:tcW w:w="567" w:type="dxa"/>
            <w:vAlign w:val="bottom"/>
          </w:tcPr>
          <w:p w14:paraId="1F4D899C" w14:textId="24E06F62"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7CA4E2BC" w14:textId="00BB96F2" w:rsidR="00C80858" w:rsidRPr="00747E35" w:rsidRDefault="00C80858" w:rsidP="00C80858">
            <w:pPr>
              <w:pStyle w:val="Tabletext"/>
              <w:spacing w:before="0" w:after="0"/>
              <w:rPr>
                <w:rFonts w:cstheme="minorHAnsi"/>
              </w:rPr>
            </w:pPr>
            <w:r w:rsidRPr="00747E35">
              <w:rPr>
                <w:rFonts w:cstheme="minorHAnsi"/>
              </w:rPr>
              <w:t>ah</w:t>
            </w:r>
          </w:p>
        </w:tc>
        <w:tc>
          <w:tcPr>
            <w:tcW w:w="1985" w:type="dxa"/>
            <w:vAlign w:val="bottom"/>
          </w:tcPr>
          <w:p w14:paraId="5C9B47EC" w14:textId="389111CA" w:rsidR="00C80858" w:rsidRPr="00747E35" w:rsidRDefault="00C80858" w:rsidP="00C80858">
            <w:pPr>
              <w:pStyle w:val="Tabletext"/>
              <w:spacing w:before="0" w:after="0"/>
              <w:rPr>
                <w:rFonts w:cstheme="minorHAnsi"/>
                <w:i/>
              </w:rPr>
            </w:pPr>
            <w:r w:rsidRPr="00747E35">
              <w:rPr>
                <w:rFonts w:cstheme="minorHAnsi"/>
                <w:i/>
              </w:rPr>
              <w:t>Lepidium sp</w:t>
            </w:r>
          </w:p>
        </w:tc>
        <w:tc>
          <w:tcPr>
            <w:tcW w:w="709" w:type="dxa"/>
            <w:vAlign w:val="bottom"/>
          </w:tcPr>
          <w:p w14:paraId="4C230BDD" w14:textId="13DB2C3A"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778B0309" w14:textId="58AFB3C6" w:rsidR="00C80858" w:rsidRPr="00747E35" w:rsidRDefault="00C80858" w:rsidP="00C80858">
            <w:pPr>
              <w:pStyle w:val="Tabletext"/>
              <w:spacing w:before="0" w:after="0"/>
              <w:rPr>
                <w:rFonts w:cstheme="minorHAnsi"/>
              </w:rPr>
            </w:pPr>
            <w:r w:rsidRPr="00747E35">
              <w:rPr>
                <w:rFonts w:cstheme="minorHAnsi"/>
              </w:rPr>
              <w:t>Fi Fp</w:t>
            </w:r>
          </w:p>
        </w:tc>
        <w:tc>
          <w:tcPr>
            <w:tcW w:w="709" w:type="dxa"/>
            <w:tcBorders>
              <w:left w:val="single" w:sz="4" w:space="0" w:color="auto"/>
            </w:tcBorders>
            <w:vAlign w:val="bottom"/>
          </w:tcPr>
          <w:p w14:paraId="2B0063BC" w14:textId="2F7AF2FB" w:rsidR="00C80858" w:rsidRPr="00747E35" w:rsidRDefault="00C80858" w:rsidP="00C80858">
            <w:pPr>
              <w:pStyle w:val="Tabletext"/>
              <w:spacing w:before="0" w:after="0"/>
              <w:rPr>
                <w:rFonts w:cstheme="minorHAnsi"/>
              </w:rPr>
            </w:pPr>
            <w:r w:rsidRPr="00747E35">
              <w:rPr>
                <w:rFonts w:cstheme="minorHAnsi"/>
              </w:rPr>
              <w:t>2</w:t>
            </w:r>
          </w:p>
        </w:tc>
        <w:tc>
          <w:tcPr>
            <w:tcW w:w="708" w:type="dxa"/>
          </w:tcPr>
          <w:p w14:paraId="48FEF9B0" w14:textId="12F183DB"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78BDBF55" w14:textId="29417933" w:rsidR="00C80858" w:rsidRPr="00747E35" w:rsidRDefault="00C80858" w:rsidP="00C80858">
            <w:pPr>
              <w:pStyle w:val="Tabletext"/>
              <w:spacing w:before="0" w:after="0"/>
              <w:rPr>
                <w:rFonts w:cstheme="minorHAnsi"/>
                <w:i/>
              </w:rPr>
            </w:pPr>
            <w:r w:rsidRPr="00747E35">
              <w:rPr>
                <w:rFonts w:cstheme="minorHAnsi"/>
                <w:i/>
              </w:rPr>
              <w:t>Lindsaea incisa</w:t>
            </w:r>
          </w:p>
        </w:tc>
        <w:tc>
          <w:tcPr>
            <w:tcW w:w="426" w:type="dxa"/>
            <w:vAlign w:val="bottom"/>
          </w:tcPr>
          <w:p w14:paraId="22621D63" w14:textId="79DBDE69"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290E1C08" w14:textId="5836A1E4"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32DB0CFC" w14:textId="77777777" w:rsidTr="0096743A">
        <w:tc>
          <w:tcPr>
            <w:tcW w:w="567" w:type="dxa"/>
            <w:vAlign w:val="bottom"/>
          </w:tcPr>
          <w:p w14:paraId="1002669B" w14:textId="30011E5A"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4726F9C3" w14:textId="426BE638" w:rsidR="00C80858" w:rsidRPr="00747E35" w:rsidRDefault="00C80858" w:rsidP="00C80858">
            <w:pPr>
              <w:pStyle w:val="Tabletext"/>
              <w:spacing w:before="0" w:after="0"/>
              <w:rPr>
                <w:rFonts w:cstheme="minorHAnsi"/>
              </w:rPr>
            </w:pPr>
            <w:r w:rsidRPr="00747E35">
              <w:rPr>
                <w:rFonts w:cstheme="minorHAnsi"/>
              </w:rPr>
              <w:t>ah *</w:t>
            </w:r>
          </w:p>
        </w:tc>
        <w:tc>
          <w:tcPr>
            <w:tcW w:w="1985" w:type="dxa"/>
            <w:vAlign w:val="bottom"/>
          </w:tcPr>
          <w:p w14:paraId="3D48832F" w14:textId="00689110" w:rsidR="00C80858" w:rsidRPr="00747E35" w:rsidRDefault="00C80858" w:rsidP="00C80858">
            <w:pPr>
              <w:pStyle w:val="Tabletext"/>
              <w:spacing w:before="0" w:after="0"/>
              <w:rPr>
                <w:rFonts w:cstheme="minorHAnsi"/>
                <w:i/>
              </w:rPr>
            </w:pPr>
            <w:r w:rsidRPr="00747E35">
              <w:rPr>
                <w:rFonts w:cstheme="minorHAnsi"/>
                <w:i/>
              </w:rPr>
              <w:t>Medicago polymorpha</w:t>
            </w:r>
          </w:p>
        </w:tc>
        <w:tc>
          <w:tcPr>
            <w:tcW w:w="709" w:type="dxa"/>
            <w:vAlign w:val="bottom"/>
          </w:tcPr>
          <w:p w14:paraId="21DD77A5" w14:textId="627F0A66"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4843B90D" w14:textId="391B4547" w:rsidR="00C80858" w:rsidRPr="00747E35" w:rsidRDefault="00C80858" w:rsidP="00C80858">
            <w:pPr>
              <w:pStyle w:val="Tabletext"/>
              <w:spacing w:before="0" w:after="0"/>
              <w:rPr>
                <w:rFonts w:cstheme="minorHAnsi"/>
              </w:rPr>
            </w:pPr>
            <w:r w:rsidRPr="00747E35">
              <w:rPr>
                <w:rFonts w:cstheme="minorHAnsi"/>
              </w:rPr>
              <w:t>Fi Fp Rp</w:t>
            </w:r>
          </w:p>
        </w:tc>
        <w:tc>
          <w:tcPr>
            <w:tcW w:w="709" w:type="dxa"/>
            <w:tcBorders>
              <w:left w:val="single" w:sz="4" w:space="0" w:color="auto"/>
            </w:tcBorders>
            <w:vAlign w:val="bottom"/>
          </w:tcPr>
          <w:p w14:paraId="691F05D5" w14:textId="5F0397A6" w:rsidR="00C80858" w:rsidRPr="00747E35" w:rsidRDefault="00C80858" w:rsidP="00C80858">
            <w:pPr>
              <w:pStyle w:val="Tabletext"/>
              <w:spacing w:before="0" w:after="0"/>
              <w:rPr>
                <w:rFonts w:cstheme="minorHAnsi"/>
              </w:rPr>
            </w:pPr>
            <w:r w:rsidRPr="00747E35">
              <w:rPr>
                <w:rFonts w:cstheme="minorHAnsi"/>
              </w:rPr>
              <w:t>5</w:t>
            </w:r>
          </w:p>
        </w:tc>
        <w:tc>
          <w:tcPr>
            <w:tcW w:w="708" w:type="dxa"/>
          </w:tcPr>
          <w:p w14:paraId="662F9B9C" w14:textId="7B89F448"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4B71AAB4" w14:textId="5E2CDCCE" w:rsidR="00C80858" w:rsidRPr="00747E35" w:rsidRDefault="00C80858" w:rsidP="00C80858">
            <w:pPr>
              <w:pStyle w:val="Tabletext"/>
              <w:spacing w:before="0" w:after="0"/>
              <w:rPr>
                <w:rFonts w:cstheme="minorHAnsi"/>
                <w:i/>
              </w:rPr>
            </w:pPr>
            <w:r w:rsidRPr="00747E35">
              <w:rPr>
                <w:rFonts w:cstheme="minorHAnsi"/>
                <w:i/>
              </w:rPr>
              <w:t>Lomandra longifolia</w:t>
            </w:r>
          </w:p>
        </w:tc>
        <w:tc>
          <w:tcPr>
            <w:tcW w:w="426" w:type="dxa"/>
            <w:vAlign w:val="bottom"/>
          </w:tcPr>
          <w:p w14:paraId="62AE9EF8" w14:textId="2FD15AE9" w:rsidR="00C80858" w:rsidRPr="00747E35" w:rsidRDefault="00C80858" w:rsidP="00C80858">
            <w:pPr>
              <w:pStyle w:val="Tabletext"/>
              <w:spacing w:before="0" w:after="0"/>
              <w:rPr>
                <w:rFonts w:cstheme="minorHAnsi"/>
              </w:rPr>
            </w:pPr>
            <w:r w:rsidRPr="00747E35">
              <w:rPr>
                <w:rFonts w:cstheme="minorHAnsi"/>
              </w:rPr>
              <w:t>B, M</w:t>
            </w:r>
          </w:p>
        </w:tc>
        <w:tc>
          <w:tcPr>
            <w:tcW w:w="850" w:type="dxa"/>
            <w:vAlign w:val="bottom"/>
          </w:tcPr>
          <w:p w14:paraId="6015794B" w14:textId="5238522B" w:rsidR="00C80858" w:rsidRPr="00747E35" w:rsidRDefault="00C80858" w:rsidP="00C80858">
            <w:pPr>
              <w:pStyle w:val="Tabletext"/>
              <w:spacing w:before="0" w:after="0"/>
              <w:rPr>
                <w:rFonts w:cstheme="minorHAnsi"/>
              </w:rPr>
            </w:pPr>
            <w:r w:rsidRPr="00747E35">
              <w:rPr>
                <w:rFonts w:cstheme="minorHAnsi"/>
              </w:rPr>
              <w:t xml:space="preserve">Fi Fp Ri Rp </w:t>
            </w:r>
          </w:p>
        </w:tc>
      </w:tr>
      <w:tr w:rsidR="00C80858" w:rsidRPr="00747E35" w14:paraId="2A374B87" w14:textId="77777777" w:rsidTr="0096743A">
        <w:tc>
          <w:tcPr>
            <w:tcW w:w="567" w:type="dxa"/>
            <w:vAlign w:val="bottom"/>
          </w:tcPr>
          <w:p w14:paraId="188DF81D" w14:textId="1FF0D6F0" w:rsidR="00C80858" w:rsidRPr="00747E35" w:rsidRDefault="00C80858" w:rsidP="00C80858">
            <w:pPr>
              <w:pStyle w:val="Tabletext"/>
              <w:spacing w:before="0" w:after="0"/>
              <w:rPr>
                <w:rFonts w:cstheme="minorHAnsi"/>
              </w:rPr>
            </w:pPr>
            <w:r w:rsidRPr="00747E35">
              <w:rPr>
                <w:rFonts w:cstheme="minorHAnsi"/>
              </w:rPr>
              <w:t>1</w:t>
            </w:r>
          </w:p>
        </w:tc>
        <w:tc>
          <w:tcPr>
            <w:tcW w:w="567" w:type="dxa"/>
            <w:vAlign w:val="bottom"/>
          </w:tcPr>
          <w:p w14:paraId="19743ED7" w14:textId="422E8788" w:rsidR="00C80858" w:rsidRPr="00747E35" w:rsidRDefault="00C80858" w:rsidP="00C80858">
            <w:pPr>
              <w:pStyle w:val="Tabletext"/>
              <w:spacing w:before="0" w:after="0"/>
              <w:rPr>
                <w:rFonts w:cstheme="minorHAnsi"/>
              </w:rPr>
            </w:pPr>
            <w:r w:rsidRPr="00747E35">
              <w:rPr>
                <w:rFonts w:cstheme="minorHAnsi"/>
              </w:rPr>
              <w:t>ah</w:t>
            </w:r>
          </w:p>
        </w:tc>
        <w:tc>
          <w:tcPr>
            <w:tcW w:w="1985" w:type="dxa"/>
            <w:vAlign w:val="bottom"/>
          </w:tcPr>
          <w:p w14:paraId="1B9B6A77" w14:textId="6EBEA950" w:rsidR="00C80858" w:rsidRPr="00747E35" w:rsidRDefault="00C80858" w:rsidP="00C80858">
            <w:pPr>
              <w:pStyle w:val="Tabletext"/>
              <w:spacing w:before="0" w:after="0"/>
              <w:rPr>
                <w:rFonts w:cstheme="minorHAnsi"/>
                <w:i/>
              </w:rPr>
            </w:pPr>
            <w:r w:rsidRPr="00747E35">
              <w:rPr>
                <w:rFonts w:cstheme="minorHAnsi"/>
                <w:i/>
              </w:rPr>
              <w:t>Najas tenuifolia</w:t>
            </w:r>
          </w:p>
        </w:tc>
        <w:tc>
          <w:tcPr>
            <w:tcW w:w="709" w:type="dxa"/>
            <w:vAlign w:val="bottom"/>
          </w:tcPr>
          <w:p w14:paraId="34501F16" w14:textId="76085E42"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00C57041" w14:textId="52544DFB" w:rsidR="00C80858" w:rsidRPr="00747E35" w:rsidRDefault="00C80858" w:rsidP="00C80858">
            <w:pPr>
              <w:pStyle w:val="Tabletext"/>
              <w:spacing w:before="0" w:after="0"/>
              <w:rPr>
                <w:rFonts w:cstheme="minorHAnsi"/>
              </w:rPr>
            </w:pPr>
            <w:r w:rsidRPr="00747E35">
              <w:rPr>
                <w:rFonts w:cstheme="minorHAnsi"/>
              </w:rPr>
              <w:t>Rp</w:t>
            </w:r>
          </w:p>
        </w:tc>
        <w:tc>
          <w:tcPr>
            <w:tcW w:w="709" w:type="dxa"/>
            <w:tcBorders>
              <w:left w:val="single" w:sz="4" w:space="0" w:color="auto"/>
            </w:tcBorders>
            <w:vAlign w:val="bottom"/>
          </w:tcPr>
          <w:p w14:paraId="31701840" w14:textId="4DAC0CA3" w:rsidR="00C80858" w:rsidRPr="00747E35" w:rsidRDefault="00C80858" w:rsidP="00C80858">
            <w:pPr>
              <w:pStyle w:val="Tabletext"/>
              <w:spacing w:before="0" w:after="0"/>
              <w:rPr>
                <w:rFonts w:cstheme="minorHAnsi"/>
              </w:rPr>
            </w:pPr>
            <w:r w:rsidRPr="00747E35">
              <w:rPr>
                <w:rFonts w:cstheme="minorHAnsi"/>
              </w:rPr>
              <w:t>6</w:t>
            </w:r>
          </w:p>
        </w:tc>
        <w:tc>
          <w:tcPr>
            <w:tcW w:w="708" w:type="dxa"/>
          </w:tcPr>
          <w:p w14:paraId="345F104A" w14:textId="74DE8436"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3E00BF56" w14:textId="1994672C" w:rsidR="00C80858" w:rsidRPr="00747E35" w:rsidRDefault="00C80858" w:rsidP="00C80858">
            <w:pPr>
              <w:pStyle w:val="Tabletext"/>
              <w:spacing w:before="0" w:after="0"/>
              <w:rPr>
                <w:rFonts w:cstheme="minorHAnsi"/>
                <w:i/>
              </w:rPr>
            </w:pPr>
            <w:r w:rsidRPr="00747E35">
              <w:rPr>
                <w:rFonts w:cstheme="minorHAnsi"/>
                <w:i/>
              </w:rPr>
              <w:t>Lomandra elongata</w:t>
            </w:r>
          </w:p>
        </w:tc>
        <w:tc>
          <w:tcPr>
            <w:tcW w:w="426" w:type="dxa"/>
            <w:vAlign w:val="bottom"/>
          </w:tcPr>
          <w:p w14:paraId="3DB91D46" w14:textId="51140D86" w:rsidR="00C80858" w:rsidRPr="00747E35" w:rsidRDefault="00C80858" w:rsidP="00C80858">
            <w:pPr>
              <w:pStyle w:val="Tabletext"/>
              <w:spacing w:before="0" w:after="0"/>
              <w:rPr>
                <w:rFonts w:cstheme="minorHAnsi"/>
              </w:rPr>
            </w:pPr>
            <w:r w:rsidRPr="00747E35">
              <w:rPr>
                <w:rFonts w:cstheme="minorHAnsi"/>
              </w:rPr>
              <w:t>M</w:t>
            </w:r>
          </w:p>
        </w:tc>
        <w:tc>
          <w:tcPr>
            <w:tcW w:w="850" w:type="dxa"/>
            <w:vAlign w:val="bottom"/>
          </w:tcPr>
          <w:p w14:paraId="01A4CC1E" w14:textId="045A98A1" w:rsidR="00C80858" w:rsidRPr="00747E35" w:rsidRDefault="00C80858" w:rsidP="00C80858">
            <w:pPr>
              <w:pStyle w:val="Tabletext"/>
              <w:spacing w:before="0" w:after="0"/>
              <w:rPr>
                <w:rFonts w:cstheme="minorHAnsi"/>
              </w:rPr>
            </w:pPr>
            <w:r w:rsidRPr="00747E35">
              <w:rPr>
                <w:rFonts w:cstheme="minorHAnsi"/>
              </w:rPr>
              <w:t>Fp</w:t>
            </w:r>
          </w:p>
        </w:tc>
      </w:tr>
      <w:tr w:rsidR="00C80858" w:rsidRPr="00747E35" w14:paraId="552C5D4E" w14:textId="77777777" w:rsidTr="0096743A">
        <w:tc>
          <w:tcPr>
            <w:tcW w:w="567" w:type="dxa"/>
            <w:vAlign w:val="bottom"/>
          </w:tcPr>
          <w:p w14:paraId="26594F77" w14:textId="22B6E5FE"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4B4A49E8" w14:textId="2CA6D3DA" w:rsidR="00C80858" w:rsidRPr="00747E35" w:rsidRDefault="00C80858" w:rsidP="00C80858">
            <w:pPr>
              <w:pStyle w:val="Tabletext"/>
              <w:spacing w:before="0" w:after="0"/>
              <w:rPr>
                <w:rFonts w:cstheme="minorHAnsi"/>
              </w:rPr>
            </w:pPr>
            <w:r w:rsidRPr="00747E35">
              <w:rPr>
                <w:rFonts w:cstheme="minorHAnsi"/>
              </w:rPr>
              <w:t>ah</w:t>
            </w:r>
          </w:p>
        </w:tc>
        <w:tc>
          <w:tcPr>
            <w:tcW w:w="1985" w:type="dxa"/>
            <w:vAlign w:val="bottom"/>
          </w:tcPr>
          <w:p w14:paraId="7C0217EA" w14:textId="5D04E165" w:rsidR="00C80858" w:rsidRPr="00747E35" w:rsidRDefault="00C80858" w:rsidP="00C80858">
            <w:pPr>
              <w:pStyle w:val="Tabletext"/>
              <w:spacing w:before="0" w:after="0"/>
              <w:rPr>
                <w:rFonts w:cstheme="minorHAnsi"/>
                <w:i/>
              </w:rPr>
            </w:pPr>
            <w:r w:rsidRPr="00747E35">
              <w:rPr>
                <w:rFonts w:cstheme="minorHAnsi"/>
                <w:i/>
              </w:rPr>
              <w:t>Oxalis corniculatus</w:t>
            </w:r>
          </w:p>
        </w:tc>
        <w:tc>
          <w:tcPr>
            <w:tcW w:w="709" w:type="dxa"/>
            <w:vAlign w:val="bottom"/>
          </w:tcPr>
          <w:p w14:paraId="775C713A" w14:textId="20C48421"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3070BCC6" w14:textId="5B7D33A0" w:rsidR="00C80858" w:rsidRPr="00747E35" w:rsidRDefault="00C80858" w:rsidP="00C80858">
            <w:pPr>
              <w:pStyle w:val="Tabletext"/>
              <w:spacing w:before="0" w:after="0"/>
              <w:rPr>
                <w:rFonts w:cstheme="minorHAnsi"/>
              </w:rPr>
            </w:pPr>
            <w:r w:rsidRPr="00747E35">
              <w:rPr>
                <w:rFonts w:cstheme="minorHAnsi"/>
              </w:rPr>
              <w:t>Fi Fp Ri Rp</w:t>
            </w:r>
          </w:p>
        </w:tc>
        <w:tc>
          <w:tcPr>
            <w:tcW w:w="709" w:type="dxa"/>
            <w:tcBorders>
              <w:left w:val="single" w:sz="4" w:space="0" w:color="auto"/>
            </w:tcBorders>
            <w:vAlign w:val="bottom"/>
          </w:tcPr>
          <w:p w14:paraId="7006D7C3" w14:textId="407F3FE7" w:rsidR="00C80858" w:rsidRPr="00747E35" w:rsidRDefault="00C80858" w:rsidP="00C80858">
            <w:pPr>
              <w:pStyle w:val="Tabletext"/>
              <w:spacing w:before="0" w:after="0"/>
              <w:rPr>
                <w:rFonts w:cstheme="minorHAnsi"/>
              </w:rPr>
            </w:pPr>
            <w:r w:rsidRPr="00747E35">
              <w:rPr>
                <w:rFonts w:cstheme="minorHAnsi"/>
              </w:rPr>
              <w:t>2</w:t>
            </w:r>
          </w:p>
        </w:tc>
        <w:tc>
          <w:tcPr>
            <w:tcW w:w="708" w:type="dxa"/>
          </w:tcPr>
          <w:p w14:paraId="519039E4" w14:textId="1C192630"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2509C8F4" w14:textId="61DA77FC" w:rsidR="00C80858" w:rsidRPr="00747E35" w:rsidRDefault="00C80858" w:rsidP="00C80858">
            <w:pPr>
              <w:pStyle w:val="Tabletext"/>
              <w:spacing w:before="0" w:after="0"/>
              <w:rPr>
                <w:rFonts w:cstheme="minorHAnsi"/>
                <w:i/>
              </w:rPr>
            </w:pPr>
            <w:r w:rsidRPr="00747E35">
              <w:rPr>
                <w:rFonts w:cstheme="minorHAnsi"/>
                <w:i/>
              </w:rPr>
              <w:t>Ludwigia peploides</w:t>
            </w:r>
          </w:p>
        </w:tc>
        <w:tc>
          <w:tcPr>
            <w:tcW w:w="426" w:type="dxa"/>
            <w:vAlign w:val="bottom"/>
          </w:tcPr>
          <w:p w14:paraId="036F0C6A" w14:textId="6BC9AA9C" w:rsidR="00C80858" w:rsidRPr="00747E35" w:rsidRDefault="00C80858" w:rsidP="00C80858">
            <w:pPr>
              <w:pStyle w:val="Tabletext"/>
              <w:spacing w:before="0" w:after="0"/>
              <w:rPr>
                <w:rFonts w:cstheme="minorHAnsi"/>
              </w:rPr>
            </w:pPr>
            <w:r w:rsidRPr="00747E35">
              <w:rPr>
                <w:rFonts w:cstheme="minorHAnsi"/>
              </w:rPr>
              <w:t>M</w:t>
            </w:r>
          </w:p>
        </w:tc>
        <w:tc>
          <w:tcPr>
            <w:tcW w:w="850" w:type="dxa"/>
            <w:vAlign w:val="bottom"/>
          </w:tcPr>
          <w:p w14:paraId="563BF4D4" w14:textId="372D40BE" w:rsidR="00C80858" w:rsidRPr="00747E35" w:rsidRDefault="00C80858" w:rsidP="00C80858">
            <w:pPr>
              <w:pStyle w:val="Tabletext"/>
              <w:spacing w:before="0" w:after="0"/>
              <w:rPr>
                <w:rFonts w:cstheme="minorHAnsi"/>
              </w:rPr>
            </w:pPr>
            <w:r w:rsidRPr="00747E35">
              <w:rPr>
                <w:rFonts w:cstheme="minorHAnsi"/>
              </w:rPr>
              <w:t>Fp Rp</w:t>
            </w:r>
          </w:p>
        </w:tc>
      </w:tr>
      <w:tr w:rsidR="00C80858" w:rsidRPr="00747E35" w14:paraId="709B397A" w14:textId="77777777" w:rsidTr="0096743A">
        <w:tc>
          <w:tcPr>
            <w:tcW w:w="567" w:type="dxa"/>
            <w:vAlign w:val="bottom"/>
          </w:tcPr>
          <w:p w14:paraId="22044F95" w14:textId="17298E31"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1A6DBD3B" w14:textId="3BB1445E" w:rsidR="00C80858" w:rsidRPr="00747E35" w:rsidRDefault="00C80858" w:rsidP="00C80858">
            <w:pPr>
              <w:pStyle w:val="Tabletext"/>
              <w:spacing w:before="0" w:after="0"/>
              <w:rPr>
                <w:rFonts w:cstheme="minorHAnsi"/>
              </w:rPr>
            </w:pPr>
            <w:r w:rsidRPr="00747E35">
              <w:rPr>
                <w:rFonts w:cstheme="minorHAnsi"/>
              </w:rPr>
              <w:t>ah *</w:t>
            </w:r>
          </w:p>
        </w:tc>
        <w:tc>
          <w:tcPr>
            <w:tcW w:w="1985" w:type="dxa"/>
            <w:vAlign w:val="bottom"/>
          </w:tcPr>
          <w:p w14:paraId="7F013973" w14:textId="6E730016" w:rsidR="00C80858" w:rsidRPr="00747E35" w:rsidRDefault="00C80858" w:rsidP="00C80858">
            <w:pPr>
              <w:pStyle w:val="Tabletext"/>
              <w:spacing w:before="0" w:after="0"/>
              <w:rPr>
                <w:rFonts w:cstheme="minorHAnsi"/>
                <w:i/>
              </w:rPr>
            </w:pPr>
            <w:r w:rsidRPr="00747E35">
              <w:rPr>
                <w:rFonts w:cstheme="minorHAnsi"/>
                <w:i/>
              </w:rPr>
              <w:t>Petrorhagia velutina</w:t>
            </w:r>
          </w:p>
        </w:tc>
        <w:tc>
          <w:tcPr>
            <w:tcW w:w="709" w:type="dxa"/>
            <w:vAlign w:val="bottom"/>
          </w:tcPr>
          <w:p w14:paraId="6D05F9BE" w14:textId="786DE489"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194AEFBA" w14:textId="392EF200" w:rsidR="00C80858" w:rsidRPr="00747E35" w:rsidRDefault="00C80858" w:rsidP="00C80858">
            <w:pPr>
              <w:pStyle w:val="Tabletext"/>
              <w:spacing w:before="0" w:after="0"/>
              <w:rPr>
                <w:rFonts w:cstheme="minorHAnsi"/>
              </w:rPr>
            </w:pPr>
            <w:r w:rsidRPr="00747E35">
              <w:rPr>
                <w:rFonts w:cstheme="minorHAnsi"/>
              </w:rPr>
              <w:t>Fi Ri</w:t>
            </w:r>
          </w:p>
        </w:tc>
        <w:tc>
          <w:tcPr>
            <w:tcW w:w="709" w:type="dxa"/>
            <w:tcBorders>
              <w:left w:val="single" w:sz="4" w:space="0" w:color="auto"/>
            </w:tcBorders>
            <w:vAlign w:val="bottom"/>
          </w:tcPr>
          <w:p w14:paraId="6ADB763A" w14:textId="70DF1FF1" w:rsidR="00C80858" w:rsidRPr="00747E35" w:rsidRDefault="00C80858" w:rsidP="00C80858">
            <w:pPr>
              <w:pStyle w:val="Tabletext"/>
              <w:spacing w:before="0" w:after="0"/>
              <w:rPr>
                <w:rFonts w:cstheme="minorHAnsi"/>
              </w:rPr>
            </w:pPr>
            <w:r w:rsidRPr="00747E35">
              <w:rPr>
                <w:rFonts w:cstheme="minorHAnsi"/>
              </w:rPr>
              <w:t>3</w:t>
            </w:r>
          </w:p>
        </w:tc>
        <w:tc>
          <w:tcPr>
            <w:tcW w:w="708" w:type="dxa"/>
          </w:tcPr>
          <w:p w14:paraId="0053901A" w14:textId="3FAC85EF"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20CBE0D5" w14:textId="4B4E2A98" w:rsidR="00C80858" w:rsidRPr="00747E35" w:rsidRDefault="00C80858" w:rsidP="00C80858">
            <w:pPr>
              <w:pStyle w:val="Tabletext"/>
              <w:spacing w:before="0" w:after="0"/>
              <w:rPr>
                <w:rFonts w:cstheme="minorHAnsi"/>
                <w:i/>
              </w:rPr>
            </w:pPr>
            <w:r w:rsidRPr="00747E35">
              <w:rPr>
                <w:rFonts w:cstheme="minorHAnsi"/>
                <w:i/>
              </w:rPr>
              <w:t xml:space="preserve">Marsdenia </w:t>
            </w:r>
            <w:r w:rsidRPr="00747E35">
              <w:rPr>
                <w:rFonts w:cstheme="minorHAnsi"/>
              </w:rPr>
              <w:t>sp</w:t>
            </w:r>
          </w:p>
        </w:tc>
        <w:tc>
          <w:tcPr>
            <w:tcW w:w="426" w:type="dxa"/>
            <w:vAlign w:val="bottom"/>
          </w:tcPr>
          <w:p w14:paraId="487D0560" w14:textId="6EABCC92"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7F440C5D" w14:textId="13451E3C"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45CF5D07" w14:textId="77777777" w:rsidTr="0096743A">
        <w:tc>
          <w:tcPr>
            <w:tcW w:w="567" w:type="dxa"/>
            <w:vAlign w:val="bottom"/>
          </w:tcPr>
          <w:p w14:paraId="0DF8FA87" w14:textId="3735ACBF"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23AFD49A" w14:textId="6BF4FDFE" w:rsidR="00C80858" w:rsidRPr="00747E35" w:rsidRDefault="00C80858" w:rsidP="00C80858">
            <w:pPr>
              <w:pStyle w:val="Tabletext"/>
              <w:spacing w:before="0" w:after="0"/>
              <w:rPr>
                <w:rFonts w:cstheme="minorHAnsi"/>
              </w:rPr>
            </w:pPr>
            <w:r w:rsidRPr="00747E35">
              <w:rPr>
                <w:rFonts w:cstheme="minorHAnsi"/>
              </w:rPr>
              <w:t>ah *</w:t>
            </w:r>
          </w:p>
        </w:tc>
        <w:tc>
          <w:tcPr>
            <w:tcW w:w="1985" w:type="dxa"/>
            <w:vAlign w:val="bottom"/>
          </w:tcPr>
          <w:p w14:paraId="2B7BDD55" w14:textId="7501BCB8" w:rsidR="00C80858" w:rsidRPr="00747E35" w:rsidRDefault="00C80858" w:rsidP="00C80858">
            <w:pPr>
              <w:pStyle w:val="Tabletext"/>
              <w:spacing w:before="0" w:after="0"/>
              <w:rPr>
                <w:rFonts w:cstheme="minorHAnsi"/>
                <w:i/>
              </w:rPr>
            </w:pPr>
            <w:r w:rsidRPr="00747E35">
              <w:rPr>
                <w:rFonts w:cstheme="minorHAnsi"/>
                <w:i/>
              </w:rPr>
              <w:t>Physalis sp</w:t>
            </w:r>
          </w:p>
        </w:tc>
        <w:tc>
          <w:tcPr>
            <w:tcW w:w="709" w:type="dxa"/>
            <w:vAlign w:val="bottom"/>
          </w:tcPr>
          <w:p w14:paraId="49E6C0FF" w14:textId="66A7599F"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3486DC8A" w14:textId="7A01944A" w:rsidR="00C80858" w:rsidRPr="00747E35" w:rsidRDefault="00C80858" w:rsidP="00C80858">
            <w:pPr>
              <w:pStyle w:val="Tabletext"/>
              <w:spacing w:before="0" w:after="0"/>
              <w:rPr>
                <w:rFonts w:cstheme="minorHAnsi"/>
              </w:rPr>
            </w:pPr>
            <w:r w:rsidRPr="00747E35">
              <w:rPr>
                <w:rFonts w:cstheme="minorHAnsi"/>
              </w:rPr>
              <w:t>Fi</w:t>
            </w:r>
          </w:p>
        </w:tc>
        <w:tc>
          <w:tcPr>
            <w:tcW w:w="709" w:type="dxa"/>
            <w:tcBorders>
              <w:left w:val="single" w:sz="4" w:space="0" w:color="auto"/>
            </w:tcBorders>
            <w:vAlign w:val="bottom"/>
          </w:tcPr>
          <w:p w14:paraId="34C7752C" w14:textId="67BE8C88" w:rsidR="00C80858" w:rsidRPr="00747E35" w:rsidRDefault="00C80858" w:rsidP="00C80858">
            <w:pPr>
              <w:pStyle w:val="Tabletext"/>
              <w:spacing w:before="0" w:after="0"/>
              <w:rPr>
                <w:rFonts w:cstheme="minorHAnsi"/>
              </w:rPr>
            </w:pPr>
            <w:r w:rsidRPr="00747E35">
              <w:rPr>
                <w:rFonts w:cstheme="minorHAnsi"/>
              </w:rPr>
              <w:t>1</w:t>
            </w:r>
          </w:p>
        </w:tc>
        <w:tc>
          <w:tcPr>
            <w:tcW w:w="708" w:type="dxa"/>
          </w:tcPr>
          <w:p w14:paraId="62E6E70F" w14:textId="7FF3033B"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4F3B0EA1" w14:textId="495F3347" w:rsidR="00C80858" w:rsidRPr="00747E35" w:rsidRDefault="00C80858" w:rsidP="00C80858">
            <w:pPr>
              <w:pStyle w:val="Tabletext"/>
              <w:spacing w:before="0" w:after="0"/>
              <w:rPr>
                <w:rFonts w:cstheme="minorHAnsi"/>
                <w:i/>
              </w:rPr>
            </w:pPr>
            <w:r w:rsidRPr="00747E35">
              <w:rPr>
                <w:rFonts w:cstheme="minorHAnsi"/>
                <w:i/>
              </w:rPr>
              <w:t>Ottelia ovalifolia</w:t>
            </w:r>
          </w:p>
        </w:tc>
        <w:tc>
          <w:tcPr>
            <w:tcW w:w="426" w:type="dxa"/>
            <w:vAlign w:val="bottom"/>
          </w:tcPr>
          <w:p w14:paraId="27AD0AB6" w14:textId="61F79D22"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3480A1E3" w14:textId="79062AE4" w:rsidR="00C80858" w:rsidRPr="00747E35" w:rsidRDefault="00C80858" w:rsidP="00C80858">
            <w:pPr>
              <w:pStyle w:val="Tabletext"/>
              <w:spacing w:before="0" w:after="0"/>
              <w:rPr>
                <w:rFonts w:cstheme="minorHAnsi"/>
              </w:rPr>
            </w:pPr>
            <w:r w:rsidRPr="00747E35">
              <w:rPr>
                <w:rFonts w:cstheme="minorHAnsi"/>
              </w:rPr>
              <w:t>Rp</w:t>
            </w:r>
          </w:p>
        </w:tc>
      </w:tr>
      <w:tr w:rsidR="00C80858" w:rsidRPr="00747E35" w14:paraId="4935D1B4" w14:textId="77777777" w:rsidTr="0096743A">
        <w:tc>
          <w:tcPr>
            <w:tcW w:w="567" w:type="dxa"/>
            <w:vAlign w:val="bottom"/>
          </w:tcPr>
          <w:p w14:paraId="3F30AE09" w14:textId="62C230CB"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4991569A" w14:textId="1E688883" w:rsidR="00C80858" w:rsidRPr="00747E35" w:rsidRDefault="00C80858" w:rsidP="00C80858">
            <w:pPr>
              <w:pStyle w:val="Tabletext"/>
              <w:spacing w:before="0" w:after="0"/>
              <w:rPr>
                <w:rFonts w:cstheme="minorHAnsi"/>
              </w:rPr>
            </w:pPr>
            <w:r w:rsidRPr="00747E35">
              <w:rPr>
                <w:rFonts w:cstheme="minorHAnsi"/>
              </w:rPr>
              <w:t>ah</w:t>
            </w:r>
          </w:p>
        </w:tc>
        <w:tc>
          <w:tcPr>
            <w:tcW w:w="1985" w:type="dxa"/>
            <w:vAlign w:val="bottom"/>
          </w:tcPr>
          <w:p w14:paraId="67B428C9" w14:textId="47993ED4" w:rsidR="00C80858" w:rsidRPr="00747E35" w:rsidRDefault="00C80858" w:rsidP="00C80858">
            <w:pPr>
              <w:pStyle w:val="Tabletext"/>
              <w:spacing w:before="0" w:after="0"/>
              <w:rPr>
                <w:rFonts w:cstheme="minorHAnsi"/>
                <w:i/>
              </w:rPr>
            </w:pPr>
            <w:r w:rsidRPr="00747E35">
              <w:rPr>
                <w:rFonts w:cstheme="minorHAnsi"/>
                <w:i/>
              </w:rPr>
              <w:t xml:space="preserve">Spermacoce </w:t>
            </w:r>
            <w:r w:rsidRPr="00747E35">
              <w:rPr>
                <w:rFonts w:cstheme="minorHAnsi"/>
              </w:rPr>
              <w:t>sp</w:t>
            </w:r>
          </w:p>
        </w:tc>
        <w:tc>
          <w:tcPr>
            <w:tcW w:w="709" w:type="dxa"/>
            <w:vAlign w:val="bottom"/>
          </w:tcPr>
          <w:p w14:paraId="058D94DE" w14:textId="37D1A181"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2394C711" w14:textId="72CAADF1" w:rsidR="00C80858" w:rsidRPr="00747E35" w:rsidRDefault="00C80858" w:rsidP="00C80858">
            <w:pPr>
              <w:pStyle w:val="Tabletext"/>
              <w:spacing w:before="0" w:after="0"/>
              <w:rPr>
                <w:rFonts w:cstheme="minorHAnsi"/>
              </w:rPr>
            </w:pPr>
            <w:r w:rsidRPr="00747E35">
              <w:rPr>
                <w:rFonts w:cstheme="minorHAnsi"/>
              </w:rPr>
              <w:t>Ri</w:t>
            </w:r>
          </w:p>
        </w:tc>
        <w:tc>
          <w:tcPr>
            <w:tcW w:w="709" w:type="dxa"/>
            <w:tcBorders>
              <w:left w:val="single" w:sz="4" w:space="0" w:color="auto"/>
            </w:tcBorders>
            <w:vAlign w:val="bottom"/>
          </w:tcPr>
          <w:p w14:paraId="1DA5966B" w14:textId="17A0DE7F" w:rsidR="00C80858" w:rsidRPr="00747E35" w:rsidRDefault="00C80858" w:rsidP="00C80858">
            <w:pPr>
              <w:pStyle w:val="Tabletext"/>
              <w:spacing w:before="0" w:after="0"/>
              <w:rPr>
                <w:rFonts w:cstheme="minorHAnsi"/>
              </w:rPr>
            </w:pPr>
            <w:r w:rsidRPr="00747E35">
              <w:rPr>
                <w:rFonts w:cstheme="minorHAnsi"/>
              </w:rPr>
              <w:t>1</w:t>
            </w:r>
          </w:p>
        </w:tc>
        <w:tc>
          <w:tcPr>
            <w:tcW w:w="708" w:type="dxa"/>
          </w:tcPr>
          <w:p w14:paraId="74884608" w14:textId="212E185A"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2AF3A5D5" w14:textId="5717E9B2" w:rsidR="00C80858" w:rsidRPr="00747E35" w:rsidRDefault="00C80858" w:rsidP="00C80858">
            <w:pPr>
              <w:pStyle w:val="Tabletext"/>
              <w:spacing w:before="0" w:after="0"/>
              <w:rPr>
                <w:rFonts w:cstheme="minorHAnsi"/>
                <w:i/>
              </w:rPr>
            </w:pPr>
            <w:r w:rsidRPr="00747E35">
              <w:rPr>
                <w:rFonts w:cstheme="minorHAnsi"/>
                <w:i/>
              </w:rPr>
              <w:t>Persicaria decipiens</w:t>
            </w:r>
          </w:p>
        </w:tc>
        <w:tc>
          <w:tcPr>
            <w:tcW w:w="426" w:type="dxa"/>
            <w:vAlign w:val="bottom"/>
          </w:tcPr>
          <w:p w14:paraId="602D98D8" w14:textId="34FD0180" w:rsidR="00C80858" w:rsidRPr="00747E35" w:rsidRDefault="00C80858" w:rsidP="00C80858">
            <w:pPr>
              <w:pStyle w:val="Tabletext"/>
              <w:spacing w:before="0" w:after="0"/>
              <w:rPr>
                <w:rFonts w:cstheme="minorHAnsi"/>
              </w:rPr>
            </w:pPr>
            <w:r w:rsidRPr="00747E35">
              <w:rPr>
                <w:rFonts w:cstheme="minorHAnsi"/>
              </w:rPr>
              <w:t>B, M</w:t>
            </w:r>
          </w:p>
        </w:tc>
        <w:tc>
          <w:tcPr>
            <w:tcW w:w="850" w:type="dxa"/>
            <w:vAlign w:val="bottom"/>
          </w:tcPr>
          <w:p w14:paraId="504D86B6" w14:textId="5B2162D6" w:rsidR="00C80858" w:rsidRPr="00747E35" w:rsidRDefault="00C80858" w:rsidP="00C80858">
            <w:pPr>
              <w:pStyle w:val="Tabletext"/>
              <w:spacing w:before="0" w:after="0"/>
              <w:rPr>
                <w:rFonts w:cstheme="minorHAnsi"/>
              </w:rPr>
            </w:pPr>
            <w:r w:rsidRPr="00747E35">
              <w:rPr>
                <w:rFonts w:cstheme="minorHAnsi"/>
              </w:rPr>
              <w:t>Fp Ri Rp</w:t>
            </w:r>
          </w:p>
        </w:tc>
      </w:tr>
      <w:tr w:rsidR="00C80858" w:rsidRPr="00747E35" w14:paraId="31ECAFFF" w14:textId="77777777" w:rsidTr="0096743A">
        <w:tc>
          <w:tcPr>
            <w:tcW w:w="567" w:type="dxa"/>
            <w:vAlign w:val="bottom"/>
          </w:tcPr>
          <w:p w14:paraId="30BABB36" w14:textId="76BE0D19" w:rsidR="00C80858" w:rsidRPr="00747E35" w:rsidRDefault="00C80858" w:rsidP="00C80858">
            <w:pPr>
              <w:pStyle w:val="Tabletext"/>
              <w:spacing w:before="0" w:after="0"/>
              <w:rPr>
                <w:rFonts w:cstheme="minorHAnsi"/>
              </w:rPr>
            </w:pPr>
            <w:r w:rsidRPr="00747E35">
              <w:rPr>
                <w:rFonts w:cstheme="minorHAnsi"/>
              </w:rPr>
              <w:t>2</w:t>
            </w:r>
          </w:p>
        </w:tc>
        <w:tc>
          <w:tcPr>
            <w:tcW w:w="567" w:type="dxa"/>
            <w:vAlign w:val="bottom"/>
          </w:tcPr>
          <w:p w14:paraId="06ACD1C6" w14:textId="29F3BEB8" w:rsidR="00C80858" w:rsidRPr="00747E35" w:rsidRDefault="00C80858" w:rsidP="00C80858">
            <w:pPr>
              <w:pStyle w:val="Tabletext"/>
              <w:spacing w:before="0" w:after="0"/>
              <w:rPr>
                <w:rFonts w:cstheme="minorHAnsi"/>
              </w:rPr>
            </w:pPr>
            <w:r w:rsidRPr="00747E35">
              <w:rPr>
                <w:rFonts w:cstheme="minorHAnsi"/>
              </w:rPr>
              <w:t>ah</w:t>
            </w:r>
          </w:p>
        </w:tc>
        <w:tc>
          <w:tcPr>
            <w:tcW w:w="1985" w:type="dxa"/>
            <w:vAlign w:val="bottom"/>
          </w:tcPr>
          <w:p w14:paraId="2EF85386" w14:textId="1D1485CD" w:rsidR="00C80858" w:rsidRPr="00747E35" w:rsidRDefault="00C80858" w:rsidP="00C80858">
            <w:pPr>
              <w:pStyle w:val="Tabletext"/>
              <w:spacing w:before="0" w:after="0"/>
              <w:rPr>
                <w:rFonts w:cstheme="minorHAnsi"/>
                <w:i/>
              </w:rPr>
            </w:pPr>
            <w:r w:rsidRPr="00747E35">
              <w:rPr>
                <w:rFonts w:cstheme="minorHAnsi"/>
                <w:i/>
              </w:rPr>
              <w:t xml:space="preserve">Ranunculus </w:t>
            </w:r>
            <w:r w:rsidRPr="00747E35">
              <w:rPr>
                <w:rFonts w:cstheme="minorHAnsi"/>
              </w:rPr>
              <w:t>sp</w:t>
            </w:r>
          </w:p>
        </w:tc>
        <w:tc>
          <w:tcPr>
            <w:tcW w:w="709" w:type="dxa"/>
            <w:vAlign w:val="bottom"/>
          </w:tcPr>
          <w:p w14:paraId="07A9172C" w14:textId="26651711"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7CEA9E24" w14:textId="259730FE" w:rsidR="00C80858" w:rsidRPr="00747E35" w:rsidRDefault="00C80858" w:rsidP="00C80858">
            <w:pPr>
              <w:pStyle w:val="Tabletext"/>
              <w:spacing w:before="0" w:after="0"/>
              <w:rPr>
                <w:rFonts w:cstheme="minorHAnsi"/>
              </w:rPr>
            </w:pPr>
            <w:r w:rsidRPr="00747E35">
              <w:rPr>
                <w:rFonts w:cstheme="minorHAnsi"/>
              </w:rPr>
              <w:t>Rp</w:t>
            </w:r>
          </w:p>
        </w:tc>
        <w:tc>
          <w:tcPr>
            <w:tcW w:w="709" w:type="dxa"/>
            <w:tcBorders>
              <w:left w:val="single" w:sz="4" w:space="0" w:color="auto"/>
            </w:tcBorders>
            <w:vAlign w:val="bottom"/>
          </w:tcPr>
          <w:p w14:paraId="4FC1BCE5" w14:textId="7D0F209A" w:rsidR="00C80858" w:rsidRPr="00747E35" w:rsidRDefault="00C80858" w:rsidP="00C80858">
            <w:pPr>
              <w:pStyle w:val="Tabletext"/>
              <w:spacing w:before="0" w:after="0"/>
              <w:rPr>
                <w:rFonts w:cstheme="minorHAnsi"/>
              </w:rPr>
            </w:pPr>
            <w:r w:rsidRPr="00747E35">
              <w:rPr>
                <w:rFonts w:cstheme="minorHAnsi"/>
              </w:rPr>
              <w:t>1</w:t>
            </w:r>
          </w:p>
        </w:tc>
        <w:tc>
          <w:tcPr>
            <w:tcW w:w="708" w:type="dxa"/>
          </w:tcPr>
          <w:p w14:paraId="567873BC" w14:textId="0B94FF5A"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65FCC544" w14:textId="2F9734ED" w:rsidR="00C80858" w:rsidRPr="00747E35" w:rsidRDefault="00C80858" w:rsidP="00C80858">
            <w:pPr>
              <w:pStyle w:val="Tabletext"/>
              <w:spacing w:before="0" w:after="0"/>
              <w:rPr>
                <w:rFonts w:cstheme="minorHAnsi"/>
                <w:i/>
              </w:rPr>
            </w:pPr>
            <w:r w:rsidRPr="00747E35">
              <w:rPr>
                <w:rFonts w:cstheme="minorHAnsi"/>
                <w:i/>
              </w:rPr>
              <w:t>Potomageton tricarinatus</w:t>
            </w:r>
          </w:p>
        </w:tc>
        <w:tc>
          <w:tcPr>
            <w:tcW w:w="426" w:type="dxa"/>
            <w:vAlign w:val="bottom"/>
          </w:tcPr>
          <w:p w14:paraId="2D28B6F8" w14:textId="720044A3"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0E0005D7" w14:textId="73BD751A" w:rsidR="00C80858" w:rsidRPr="00747E35" w:rsidRDefault="00C80858" w:rsidP="00C80858">
            <w:pPr>
              <w:pStyle w:val="Tabletext"/>
              <w:spacing w:before="0" w:after="0"/>
              <w:rPr>
                <w:rFonts w:cstheme="minorHAnsi"/>
              </w:rPr>
            </w:pPr>
            <w:r w:rsidRPr="00747E35">
              <w:rPr>
                <w:rFonts w:cstheme="minorHAnsi"/>
              </w:rPr>
              <w:t>Rp</w:t>
            </w:r>
          </w:p>
        </w:tc>
      </w:tr>
      <w:tr w:rsidR="00C80858" w:rsidRPr="00747E35" w14:paraId="0FBB4DF5" w14:textId="77777777" w:rsidTr="0096743A">
        <w:tc>
          <w:tcPr>
            <w:tcW w:w="567" w:type="dxa"/>
            <w:vAlign w:val="bottom"/>
          </w:tcPr>
          <w:p w14:paraId="60288787" w14:textId="7A77767F"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0DE4213C" w14:textId="1A778DB3" w:rsidR="00C80858" w:rsidRPr="00747E35" w:rsidRDefault="00C80858" w:rsidP="00C80858">
            <w:pPr>
              <w:pStyle w:val="Tabletext"/>
              <w:spacing w:before="0" w:after="0"/>
              <w:rPr>
                <w:rFonts w:cstheme="minorHAnsi"/>
              </w:rPr>
            </w:pPr>
            <w:r w:rsidRPr="00747E35">
              <w:rPr>
                <w:rFonts w:cstheme="minorHAnsi"/>
              </w:rPr>
              <w:t>ah *</w:t>
            </w:r>
          </w:p>
        </w:tc>
        <w:tc>
          <w:tcPr>
            <w:tcW w:w="1985" w:type="dxa"/>
            <w:vAlign w:val="bottom"/>
          </w:tcPr>
          <w:p w14:paraId="03DBB073" w14:textId="13BE3064" w:rsidR="00C80858" w:rsidRPr="00747E35" w:rsidRDefault="00C80858" w:rsidP="00C80858">
            <w:pPr>
              <w:pStyle w:val="Tabletext"/>
              <w:spacing w:before="0" w:after="0"/>
              <w:rPr>
                <w:rFonts w:cstheme="minorHAnsi"/>
                <w:i/>
              </w:rPr>
            </w:pPr>
            <w:r w:rsidRPr="00747E35">
              <w:rPr>
                <w:rFonts w:cstheme="minorHAnsi"/>
                <w:i/>
              </w:rPr>
              <w:t xml:space="preserve">Sonchus </w:t>
            </w:r>
            <w:r w:rsidRPr="00747E35">
              <w:rPr>
                <w:rFonts w:cstheme="minorHAnsi"/>
              </w:rPr>
              <w:t>sp</w:t>
            </w:r>
          </w:p>
        </w:tc>
        <w:tc>
          <w:tcPr>
            <w:tcW w:w="709" w:type="dxa"/>
            <w:vAlign w:val="bottom"/>
          </w:tcPr>
          <w:p w14:paraId="1E0CE15A" w14:textId="4DE6063E"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6F2E0EA9" w14:textId="33C58899" w:rsidR="00C80858" w:rsidRPr="00747E35" w:rsidRDefault="00C80858" w:rsidP="00C80858">
            <w:pPr>
              <w:pStyle w:val="Tabletext"/>
              <w:spacing w:before="0" w:after="0"/>
              <w:rPr>
                <w:rFonts w:cstheme="minorHAnsi"/>
              </w:rPr>
            </w:pPr>
            <w:r w:rsidRPr="00747E35">
              <w:rPr>
                <w:rFonts w:cstheme="minorHAnsi"/>
              </w:rPr>
              <w:t>Fi Ri</w:t>
            </w:r>
          </w:p>
        </w:tc>
        <w:tc>
          <w:tcPr>
            <w:tcW w:w="709" w:type="dxa"/>
            <w:tcBorders>
              <w:left w:val="single" w:sz="4" w:space="0" w:color="auto"/>
            </w:tcBorders>
            <w:vAlign w:val="bottom"/>
          </w:tcPr>
          <w:p w14:paraId="54F568D9" w14:textId="35F02468" w:rsidR="00C80858" w:rsidRPr="00747E35" w:rsidRDefault="00C80858" w:rsidP="00C80858">
            <w:pPr>
              <w:pStyle w:val="Tabletext"/>
              <w:spacing w:before="0" w:after="0"/>
              <w:rPr>
                <w:rFonts w:cstheme="minorHAnsi"/>
              </w:rPr>
            </w:pPr>
            <w:r w:rsidRPr="00747E35">
              <w:rPr>
                <w:rFonts w:cstheme="minorHAnsi"/>
              </w:rPr>
              <w:t>1</w:t>
            </w:r>
          </w:p>
        </w:tc>
        <w:tc>
          <w:tcPr>
            <w:tcW w:w="708" w:type="dxa"/>
          </w:tcPr>
          <w:p w14:paraId="65C4259F" w14:textId="28E30CAD"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30E427F8" w14:textId="62552A12" w:rsidR="00C80858" w:rsidRPr="00747E35" w:rsidRDefault="00C80858" w:rsidP="00C80858">
            <w:pPr>
              <w:pStyle w:val="Tabletext"/>
              <w:spacing w:before="0" w:after="0"/>
              <w:rPr>
                <w:rFonts w:cstheme="minorHAnsi"/>
                <w:i/>
              </w:rPr>
            </w:pPr>
            <w:r w:rsidRPr="00747E35">
              <w:rPr>
                <w:rFonts w:cstheme="minorHAnsi"/>
                <w:i/>
              </w:rPr>
              <w:t>Potomegeton perfoliatus</w:t>
            </w:r>
          </w:p>
        </w:tc>
        <w:tc>
          <w:tcPr>
            <w:tcW w:w="426" w:type="dxa"/>
            <w:vAlign w:val="bottom"/>
          </w:tcPr>
          <w:p w14:paraId="3BDE1B74" w14:textId="2E6E171A"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52CFFA1F" w14:textId="50C9F600" w:rsidR="00C80858" w:rsidRPr="00747E35" w:rsidRDefault="00C80858" w:rsidP="00C80858">
            <w:pPr>
              <w:pStyle w:val="Tabletext"/>
              <w:spacing w:before="0" w:after="0"/>
              <w:rPr>
                <w:rFonts w:cstheme="minorHAnsi"/>
              </w:rPr>
            </w:pPr>
            <w:r w:rsidRPr="00747E35">
              <w:rPr>
                <w:rFonts w:cstheme="minorHAnsi"/>
              </w:rPr>
              <w:t>Rp</w:t>
            </w:r>
          </w:p>
        </w:tc>
      </w:tr>
      <w:tr w:rsidR="00C80858" w:rsidRPr="00747E35" w14:paraId="4DE01EEE" w14:textId="77777777" w:rsidTr="0096743A">
        <w:tc>
          <w:tcPr>
            <w:tcW w:w="567" w:type="dxa"/>
            <w:vAlign w:val="bottom"/>
          </w:tcPr>
          <w:p w14:paraId="1FAA698D" w14:textId="6D12642F"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67A00CE1" w14:textId="3DD2FDB7" w:rsidR="00C80858" w:rsidRPr="00747E35" w:rsidRDefault="00C80858" w:rsidP="00C80858">
            <w:pPr>
              <w:pStyle w:val="Tabletext"/>
              <w:spacing w:before="0" w:after="0"/>
              <w:rPr>
                <w:rFonts w:cstheme="minorHAnsi"/>
              </w:rPr>
            </w:pPr>
            <w:r w:rsidRPr="00747E35">
              <w:rPr>
                <w:rFonts w:cstheme="minorHAnsi"/>
              </w:rPr>
              <w:t>ah *</w:t>
            </w:r>
          </w:p>
        </w:tc>
        <w:tc>
          <w:tcPr>
            <w:tcW w:w="1985" w:type="dxa"/>
            <w:vAlign w:val="bottom"/>
          </w:tcPr>
          <w:p w14:paraId="021AF899" w14:textId="028251A4" w:rsidR="00C80858" w:rsidRPr="00747E35" w:rsidRDefault="00C80858" w:rsidP="00C80858">
            <w:pPr>
              <w:pStyle w:val="Tabletext"/>
              <w:spacing w:before="0" w:after="0"/>
              <w:rPr>
                <w:rFonts w:cstheme="minorHAnsi"/>
                <w:i/>
              </w:rPr>
            </w:pPr>
            <w:r w:rsidRPr="00747E35">
              <w:rPr>
                <w:rFonts w:cstheme="minorHAnsi"/>
                <w:i/>
              </w:rPr>
              <w:t>Stellaria media</w:t>
            </w:r>
          </w:p>
        </w:tc>
        <w:tc>
          <w:tcPr>
            <w:tcW w:w="709" w:type="dxa"/>
            <w:vAlign w:val="bottom"/>
          </w:tcPr>
          <w:p w14:paraId="5FBFA56D" w14:textId="1E73010E"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563A2801" w14:textId="31FB5DAA" w:rsidR="00C80858" w:rsidRPr="00747E35" w:rsidRDefault="00C80858" w:rsidP="00C80858">
            <w:pPr>
              <w:pStyle w:val="Tabletext"/>
              <w:spacing w:before="0" w:after="0"/>
              <w:rPr>
                <w:rFonts w:cstheme="minorHAnsi"/>
              </w:rPr>
            </w:pPr>
            <w:r w:rsidRPr="00747E35">
              <w:rPr>
                <w:rFonts w:cstheme="minorHAnsi"/>
              </w:rPr>
              <w:t>Ri</w:t>
            </w:r>
          </w:p>
        </w:tc>
        <w:tc>
          <w:tcPr>
            <w:tcW w:w="709" w:type="dxa"/>
            <w:tcBorders>
              <w:left w:val="single" w:sz="4" w:space="0" w:color="auto"/>
            </w:tcBorders>
            <w:vAlign w:val="bottom"/>
          </w:tcPr>
          <w:p w14:paraId="101DA44E" w14:textId="5CF6D04C" w:rsidR="00C80858" w:rsidRPr="00747E35" w:rsidRDefault="00C80858" w:rsidP="00C80858">
            <w:pPr>
              <w:pStyle w:val="Tabletext"/>
              <w:spacing w:before="0" w:after="0"/>
              <w:rPr>
                <w:rFonts w:cstheme="minorHAnsi"/>
              </w:rPr>
            </w:pPr>
            <w:r w:rsidRPr="00747E35">
              <w:rPr>
                <w:rFonts w:cstheme="minorHAnsi"/>
              </w:rPr>
              <w:t>6</w:t>
            </w:r>
          </w:p>
        </w:tc>
        <w:tc>
          <w:tcPr>
            <w:tcW w:w="708" w:type="dxa"/>
          </w:tcPr>
          <w:p w14:paraId="5C34F410" w14:textId="72591AAE"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7683FEB3" w14:textId="36C1994D" w:rsidR="00C80858" w:rsidRPr="00747E35" w:rsidRDefault="00C80858" w:rsidP="00C80858">
            <w:pPr>
              <w:pStyle w:val="Tabletext"/>
              <w:spacing w:before="0" w:after="0"/>
              <w:rPr>
                <w:rFonts w:cstheme="minorHAnsi"/>
                <w:i/>
              </w:rPr>
            </w:pPr>
            <w:r w:rsidRPr="00747E35">
              <w:rPr>
                <w:rFonts w:cstheme="minorHAnsi"/>
                <w:i/>
              </w:rPr>
              <w:t>Secamone elliptica</w:t>
            </w:r>
          </w:p>
        </w:tc>
        <w:tc>
          <w:tcPr>
            <w:tcW w:w="426" w:type="dxa"/>
            <w:vAlign w:val="bottom"/>
          </w:tcPr>
          <w:p w14:paraId="40CF00A7" w14:textId="208B64F5"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6058E899" w14:textId="67AEFCD7"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0B9F3D31" w14:textId="77777777" w:rsidTr="0096743A">
        <w:tc>
          <w:tcPr>
            <w:tcW w:w="567" w:type="dxa"/>
            <w:vAlign w:val="bottom"/>
          </w:tcPr>
          <w:p w14:paraId="2A0F7923" w14:textId="4A6E9D17"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2EA7040A" w14:textId="19FE85D9" w:rsidR="00C80858" w:rsidRPr="00747E35" w:rsidRDefault="00C80858" w:rsidP="00C80858">
            <w:pPr>
              <w:pStyle w:val="Tabletext"/>
              <w:spacing w:before="0" w:after="0"/>
              <w:rPr>
                <w:rFonts w:cstheme="minorHAnsi"/>
              </w:rPr>
            </w:pPr>
            <w:r w:rsidRPr="00747E35">
              <w:rPr>
                <w:rFonts w:cstheme="minorHAnsi"/>
              </w:rPr>
              <w:t>ah *</w:t>
            </w:r>
          </w:p>
        </w:tc>
        <w:tc>
          <w:tcPr>
            <w:tcW w:w="1985" w:type="dxa"/>
            <w:vAlign w:val="bottom"/>
          </w:tcPr>
          <w:p w14:paraId="5852C2AE" w14:textId="3C0B96D0" w:rsidR="00C80858" w:rsidRPr="00747E35" w:rsidRDefault="00C80858" w:rsidP="00C80858">
            <w:pPr>
              <w:pStyle w:val="Tabletext"/>
              <w:spacing w:before="0" w:after="0"/>
              <w:rPr>
                <w:rFonts w:cstheme="minorHAnsi"/>
                <w:i/>
              </w:rPr>
            </w:pPr>
            <w:r w:rsidRPr="00747E35">
              <w:rPr>
                <w:rFonts w:cstheme="minorHAnsi"/>
                <w:i/>
              </w:rPr>
              <w:t>Tetragonia tetragonoides</w:t>
            </w:r>
          </w:p>
        </w:tc>
        <w:tc>
          <w:tcPr>
            <w:tcW w:w="709" w:type="dxa"/>
            <w:vAlign w:val="bottom"/>
          </w:tcPr>
          <w:p w14:paraId="7A037F40" w14:textId="1EB4C358" w:rsidR="00C80858" w:rsidRPr="00747E35" w:rsidRDefault="00C80858" w:rsidP="00C80858">
            <w:pPr>
              <w:pStyle w:val="Tabletext"/>
              <w:spacing w:before="0" w:after="0"/>
              <w:rPr>
                <w:rFonts w:cstheme="minorHAnsi"/>
              </w:rPr>
            </w:pPr>
            <w:r w:rsidRPr="00747E35">
              <w:rPr>
                <w:rFonts w:cstheme="minorHAnsi"/>
              </w:rPr>
              <w:t>B, M</w:t>
            </w:r>
          </w:p>
        </w:tc>
        <w:tc>
          <w:tcPr>
            <w:tcW w:w="992" w:type="dxa"/>
            <w:tcBorders>
              <w:right w:val="single" w:sz="4" w:space="0" w:color="auto"/>
            </w:tcBorders>
            <w:vAlign w:val="bottom"/>
          </w:tcPr>
          <w:p w14:paraId="7335A59F" w14:textId="5A0702F8" w:rsidR="00C80858" w:rsidRPr="00747E35" w:rsidRDefault="00C80858" w:rsidP="00C80858">
            <w:pPr>
              <w:pStyle w:val="Tabletext"/>
              <w:spacing w:before="0" w:after="0"/>
              <w:rPr>
                <w:rFonts w:cstheme="minorHAnsi"/>
              </w:rPr>
            </w:pPr>
            <w:r w:rsidRPr="00747E35">
              <w:rPr>
                <w:rFonts w:cstheme="minorHAnsi"/>
              </w:rPr>
              <w:t>Fp Ri Rp</w:t>
            </w:r>
          </w:p>
        </w:tc>
        <w:tc>
          <w:tcPr>
            <w:tcW w:w="709" w:type="dxa"/>
            <w:tcBorders>
              <w:left w:val="single" w:sz="4" w:space="0" w:color="auto"/>
            </w:tcBorders>
            <w:vAlign w:val="bottom"/>
          </w:tcPr>
          <w:p w14:paraId="6C1FA9D6" w14:textId="46578280" w:rsidR="00C80858" w:rsidRPr="00747E35" w:rsidRDefault="00C80858" w:rsidP="00C80858">
            <w:pPr>
              <w:pStyle w:val="Tabletext"/>
              <w:spacing w:before="0" w:after="0"/>
              <w:rPr>
                <w:rFonts w:cstheme="minorHAnsi"/>
              </w:rPr>
            </w:pPr>
            <w:r w:rsidRPr="00747E35">
              <w:rPr>
                <w:rFonts w:cstheme="minorHAnsi"/>
              </w:rPr>
              <w:t>4</w:t>
            </w:r>
          </w:p>
        </w:tc>
        <w:tc>
          <w:tcPr>
            <w:tcW w:w="708" w:type="dxa"/>
          </w:tcPr>
          <w:p w14:paraId="15C3784C" w14:textId="0A3CF98C"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06EAB156" w14:textId="4DEF289C" w:rsidR="00C80858" w:rsidRPr="00747E35" w:rsidRDefault="00C80858" w:rsidP="00C80858">
            <w:pPr>
              <w:pStyle w:val="Tabletext"/>
              <w:spacing w:before="0" w:after="0"/>
              <w:rPr>
                <w:rFonts w:cstheme="minorHAnsi"/>
                <w:i/>
              </w:rPr>
            </w:pPr>
            <w:r w:rsidRPr="00747E35">
              <w:rPr>
                <w:rFonts w:cstheme="minorHAnsi"/>
                <w:i/>
              </w:rPr>
              <w:t>Pteridium esculentum</w:t>
            </w:r>
          </w:p>
        </w:tc>
        <w:tc>
          <w:tcPr>
            <w:tcW w:w="426" w:type="dxa"/>
            <w:vAlign w:val="bottom"/>
          </w:tcPr>
          <w:p w14:paraId="74A1ECC8" w14:textId="6F42A3A2"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0305ABDF" w14:textId="285A0D07"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495B7D46" w14:textId="77777777" w:rsidTr="0096743A">
        <w:tc>
          <w:tcPr>
            <w:tcW w:w="567" w:type="dxa"/>
            <w:vAlign w:val="bottom"/>
          </w:tcPr>
          <w:p w14:paraId="76FB3699" w14:textId="5A3ABF8F"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1E6A8C74" w14:textId="490ECDBB" w:rsidR="00C80858" w:rsidRPr="00747E35" w:rsidRDefault="00C80858" w:rsidP="00C80858">
            <w:pPr>
              <w:pStyle w:val="Tabletext"/>
              <w:spacing w:before="0" w:after="0"/>
              <w:rPr>
                <w:rFonts w:cstheme="minorHAnsi"/>
              </w:rPr>
            </w:pPr>
            <w:r w:rsidRPr="00747E35">
              <w:rPr>
                <w:rFonts w:cstheme="minorHAnsi"/>
              </w:rPr>
              <w:t>ah *</w:t>
            </w:r>
          </w:p>
        </w:tc>
        <w:tc>
          <w:tcPr>
            <w:tcW w:w="1985" w:type="dxa"/>
            <w:vAlign w:val="bottom"/>
          </w:tcPr>
          <w:p w14:paraId="789AF2AA" w14:textId="47185579" w:rsidR="00C80858" w:rsidRPr="00747E35" w:rsidRDefault="00C80858" w:rsidP="00C80858">
            <w:pPr>
              <w:pStyle w:val="Tabletext"/>
              <w:spacing w:before="0" w:after="0"/>
              <w:rPr>
                <w:rFonts w:cstheme="minorHAnsi"/>
                <w:i/>
              </w:rPr>
            </w:pPr>
            <w:r w:rsidRPr="00747E35">
              <w:rPr>
                <w:rFonts w:cstheme="minorHAnsi"/>
                <w:i/>
              </w:rPr>
              <w:t>Tridax procumbens</w:t>
            </w:r>
          </w:p>
        </w:tc>
        <w:tc>
          <w:tcPr>
            <w:tcW w:w="709" w:type="dxa"/>
            <w:vAlign w:val="bottom"/>
          </w:tcPr>
          <w:p w14:paraId="6B5C4A42" w14:textId="41DAF7AC"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4E99B266" w14:textId="5784CF37" w:rsidR="00C80858" w:rsidRPr="00747E35" w:rsidRDefault="00C80858" w:rsidP="00C80858">
            <w:pPr>
              <w:pStyle w:val="Tabletext"/>
              <w:spacing w:before="0" w:after="0"/>
              <w:rPr>
                <w:rFonts w:cstheme="minorHAnsi"/>
              </w:rPr>
            </w:pPr>
            <w:r w:rsidRPr="00747E35">
              <w:rPr>
                <w:rFonts w:cstheme="minorHAnsi"/>
              </w:rPr>
              <w:t>Fi Fp</w:t>
            </w:r>
          </w:p>
        </w:tc>
        <w:tc>
          <w:tcPr>
            <w:tcW w:w="709" w:type="dxa"/>
            <w:tcBorders>
              <w:left w:val="single" w:sz="4" w:space="0" w:color="auto"/>
            </w:tcBorders>
            <w:vAlign w:val="bottom"/>
          </w:tcPr>
          <w:p w14:paraId="795DC699" w14:textId="49AF3C92" w:rsidR="00C80858" w:rsidRPr="00747E35" w:rsidRDefault="00C80858" w:rsidP="00C80858">
            <w:pPr>
              <w:pStyle w:val="Tabletext"/>
              <w:spacing w:before="0" w:after="0"/>
              <w:rPr>
                <w:rFonts w:cstheme="minorHAnsi"/>
              </w:rPr>
            </w:pPr>
            <w:r w:rsidRPr="00747E35">
              <w:rPr>
                <w:rFonts w:cstheme="minorHAnsi"/>
              </w:rPr>
              <w:t>3</w:t>
            </w:r>
          </w:p>
        </w:tc>
        <w:tc>
          <w:tcPr>
            <w:tcW w:w="708" w:type="dxa"/>
          </w:tcPr>
          <w:p w14:paraId="1D98C9BB" w14:textId="1D7809D5"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097FBF03" w14:textId="16CE8B4A" w:rsidR="00C80858" w:rsidRPr="00747E35" w:rsidRDefault="00C80858" w:rsidP="00C80858">
            <w:pPr>
              <w:pStyle w:val="Tabletext"/>
              <w:spacing w:before="0" w:after="0"/>
              <w:rPr>
                <w:rFonts w:cstheme="minorHAnsi"/>
                <w:i/>
              </w:rPr>
            </w:pPr>
            <w:r w:rsidRPr="00747E35">
              <w:rPr>
                <w:rFonts w:cstheme="minorHAnsi"/>
                <w:i/>
              </w:rPr>
              <w:t>Rostellularia adscendens</w:t>
            </w:r>
          </w:p>
        </w:tc>
        <w:tc>
          <w:tcPr>
            <w:tcW w:w="426" w:type="dxa"/>
            <w:vAlign w:val="bottom"/>
          </w:tcPr>
          <w:p w14:paraId="04CF92C9" w14:textId="147C807C" w:rsidR="00C80858" w:rsidRPr="00747E35" w:rsidRDefault="00C80858" w:rsidP="00C80858">
            <w:pPr>
              <w:pStyle w:val="Tabletext"/>
              <w:spacing w:before="0" w:after="0"/>
              <w:rPr>
                <w:rFonts w:cstheme="minorHAnsi"/>
              </w:rPr>
            </w:pPr>
            <w:r w:rsidRPr="00747E35">
              <w:rPr>
                <w:rFonts w:cstheme="minorHAnsi"/>
              </w:rPr>
              <w:t>B, M</w:t>
            </w:r>
          </w:p>
        </w:tc>
        <w:tc>
          <w:tcPr>
            <w:tcW w:w="850" w:type="dxa"/>
            <w:vAlign w:val="bottom"/>
          </w:tcPr>
          <w:p w14:paraId="2A3EE171" w14:textId="1C3799CB" w:rsidR="00C80858" w:rsidRPr="00747E35" w:rsidRDefault="00C80858" w:rsidP="00C80858">
            <w:pPr>
              <w:pStyle w:val="Tabletext"/>
              <w:spacing w:before="0" w:after="0"/>
              <w:rPr>
                <w:rFonts w:cstheme="minorHAnsi"/>
              </w:rPr>
            </w:pPr>
            <w:r w:rsidRPr="00747E35">
              <w:rPr>
                <w:rFonts w:cstheme="minorHAnsi"/>
              </w:rPr>
              <w:t>Fi Fp Ri Rp</w:t>
            </w:r>
          </w:p>
        </w:tc>
      </w:tr>
      <w:tr w:rsidR="00C80858" w:rsidRPr="00747E35" w14:paraId="2DACD4BA" w14:textId="77777777" w:rsidTr="0096743A">
        <w:tc>
          <w:tcPr>
            <w:tcW w:w="567" w:type="dxa"/>
            <w:vAlign w:val="bottom"/>
          </w:tcPr>
          <w:p w14:paraId="55E1BC5F" w14:textId="3A6EA675"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50046F76" w14:textId="63548F2E" w:rsidR="00C80858" w:rsidRPr="00747E35" w:rsidRDefault="00C80858" w:rsidP="00C80858">
            <w:pPr>
              <w:pStyle w:val="Tabletext"/>
              <w:spacing w:before="0" w:after="0"/>
              <w:rPr>
                <w:rFonts w:cstheme="minorHAnsi"/>
              </w:rPr>
            </w:pPr>
            <w:r w:rsidRPr="00747E35">
              <w:rPr>
                <w:rFonts w:cstheme="minorHAnsi"/>
              </w:rPr>
              <w:t>ah *</w:t>
            </w:r>
          </w:p>
        </w:tc>
        <w:tc>
          <w:tcPr>
            <w:tcW w:w="1985" w:type="dxa"/>
            <w:vAlign w:val="bottom"/>
          </w:tcPr>
          <w:p w14:paraId="5534F1BC" w14:textId="00EB612D" w:rsidR="00C80858" w:rsidRPr="00747E35" w:rsidRDefault="00C80858" w:rsidP="00C80858">
            <w:pPr>
              <w:pStyle w:val="Tabletext"/>
              <w:spacing w:before="0" w:after="0"/>
              <w:rPr>
                <w:rFonts w:cstheme="minorHAnsi"/>
                <w:i/>
              </w:rPr>
            </w:pPr>
            <w:r w:rsidRPr="00747E35">
              <w:rPr>
                <w:rFonts w:cstheme="minorHAnsi"/>
                <w:i/>
              </w:rPr>
              <w:t>Trifolium arvense</w:t>
            </w:r>
          </w:p>
        </w:tc>
        <w:tc>
          <w:tcPr>
            <w:tcW w:w="709" w:type="dxa"/>
            <w:vAlign w:val="bottom"/>
          </w:tcPr>
          <w:p w14:paraId="6B2A9A67" w14:textId="31CACDB3"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5C724AD7" w14:textId="1D4F6E61" w:rsidR="00C80858" w:rsidRPr="00747E35" w:rsidRDefault="00C80858" w:rsidP="00C80858">
            <w:pPr>
              <w:pStyle w:val="Tabletext"/>
              <w:spacing w:before="0" w:after="0"/>
              <w:rPr>
                <w:rFonts w:cstheme="minorHAnsi"/>
              </w:rPr>
            </w:pPr>
            <w:r w:rsidRPr="00747E35">
              <w:rPr>
                <w:rFonts w:cstheme="minorHAnsi"/>
              </w:rPr>
              <w:t>Fi Fp Rp</w:t>
            </w:r>
          </w:p>
        </w:tc>
        <w:tc>
          <w:tcPr>
            <w:tcW w:w="709" w:type="dxa"/>
            <w:tcBorders>
              <w:left w:val="single" w:sz="4" w:space="0" w:color="auto"/>
            </w:tcBorders>
            <w:vAlign w:val="bottom"/>
          </w:tcPr>
          <w:p w14:paraId="27AE09D3" w14:textId="3B00CBB4" w:rsidR="00C80858" w:rsidRPr="00747E35" w:rsidRDefault="00C80858" w:rsidP="00C80858">
            <w:pPr>
              <w:pStyle w:val="Tabletext"/>
              <w:spacing w:before="0" w:after="0"/>
              <w:rPr>
                <w:rFonts w:cstheme="minorHAnsi"/>
              </w:rPr>
            </w:pPr>
            <w:r w:rsidRPr="00747E35">
              <w:rPr>
                <w:rFonts w:cstheme="minorHAnsi"/>
              </w:rPr>
              <w:t>2</w:t>
            </w:r>
          </w:p>
        </w:tc>
        <w:tc>
          <w:tcPr>
            <w:tcW w:w="708" w:type="dxa"/>
          </w:tcPr>
          <w:p w14:paraId="5ABBB6D2" w14:textId="3CA91DC9"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6E6187F4" w14:textId="758ECBD6" w:rsidR="00C80858" w:rsidRPr="00747E35" w:rsidRDefault="00C80858" w:rsidP="00C80858">
            <w:pPr>
              <w:pStyle w:val="Tabletext"/>
              <w:spacing w:before="0" w:after="0"/>
              <w:rPr>
                <w:rFonts w:cstheme="minorHAnsi"/>
                <w:i/>
              </w:rPr>
            </w:pPr>
            <w:r w:rsidRPr="00747E35">
              <w:rPr>
                <w:rFonts w:cstheme="minorHAnsi"/>
                <w:i/>
              </w:rPr>
              <w:t>Schoenoplectus validus</w:t>
            </w:r>
          </w:p>
        </w:tc>
        <w:tc>
          <w:tcPr>
            <w:tcW w:w="426" w:type="dxa"/>
            <w:vAlign w:val="bottom"/>
          </w:tcPr>
          <w:p w14:paraId="2EA98A89" w14:textId="58A56A93"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39347D04" w14:textId="74BCF983" w:rsidR="00C80858" w:rsidRPr="00747E35" w:rsidRDefault="00C80858" w:rsidP="00C80858">
            <w:pPr>
              <w:pStyle w:val="Tabletext"/>
              <w:spacing w:before="0" w:after="0"/>
              <w:rPr>
                <w:rFonts w:cstheme="minorHAnsi"/>
              </w:rPr>
            </w:pPr>
            <w:r w:rsidRPr="00747E35">
              <w:rPr>
                <w:rFonts w:cstheme="minorHAnsi"/>
              </w:rPr>
              <w:t>Rp</w:t>
            </w:r>
          </w:p>
        </w:tc>
      </w:tr>
      <w:tr w:rsidR="00C80858" w:rsidRPr="00747E35" w14:paraId="675409ED" w14:textId="77777777" w:rsidTr="0096743A">
        <w:tc>
          <w:tcPr>
            <w:tcW w:w="567" w:type="dxa"/>
            <w:vAlign w:val="bottom"/>
          </w:tcPr>
          <w:p w14:paraId="5A69A7FB" w14:textId="4085027A"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225E1BCE" w14:textId="6D2BC481" w:rsidR="00C80858" w:rsidRPr="00747E35" w:rsidRDefault="00C80858" w:rsidP="00C80858">
            <w:pPr>
              <w:pStyle w:val="Tabletext"/>
              <w:spacing w:before="0" w:after="0"/>
              <w:rPr>
                <w:rFonts w:cstheme="minorHAnsi"/>
              </w:rPr>
            </w:pPr>
            <w:r w:rsidRPr="00747E35">
              <w:rPr>
                <w:rFonts w:cstheme="minorHAnsi"/>
              </w:rPr>
              <w:t>ah *</w:t>
            </w:r>
          </w:p>
        </w:tc>
        <w:tc>
          <w:tcPr>
            <w:tcW w:w="1985" w:type="dxa"/>
            <w:vAlign w:val="bottom"/>
          </w:tcPr>
          <w:p w14:paraId="0F5D7C97" w14:textId="032FDD83" w:rsidR="00C80858" w:rsidRPr="00747E35" w:rsidRDefault="00C80858" w:rsidP="00C80858">
            <w:pPr>
              <w:pStyle w:val="Tabletext"/>
              <w:spacing w:before="0" w:after="0"/>
              <w:rPr>
                <w:rFonts w:cstheme="minorHAnsi"/>
                <w:i/>
              </w:rPr>
            </w:pPr>
            <w:r w:rsidRPr="00747E35">
              <w:rPr>
                <w:rFonts w:cstheme="minorHAnsi"/>
                <w:i/>
              </w:rPr>
              <w:t>Urtica incisa</w:t>
            </w:r>
          </w:p>
        </w:tc>
        <w:tc>
          <w:tcPr>
            <w:tcW w:w="709" w:type="dxa"/>
            <w:vAlign w:val="bottom"/>
          </w:tcPr>
          <w:p w14:paraId="10815CAA" w14:textId="7E4ECB25" w:rsidR="00C80858" w:rsidRPr="00747E35" w:rsidRDefault="00C80858" w:rsidP="00C80858">
            <w:pPr>
              <w:pStyle w:val="Tabletext"/>
              <w:spacing w:before="0" w:after="0"/>
              <w:rPr>
                <w:rFonts w:cstheme="minorHAnsi"/>
              </w:rPr>
            </w:pPr>
            <w:r w:rsidRPr="00747E35">
              <w:rPr>
                <w:rFonts w:cstheme="minorHAnsi"/>
              </w:rPr>
              <w:t>B, M</w:t>
            </w:r>
          </w:p>
        </w:tc>
        <w:tc>
          <w:tcPr>
            <w:tcW w:w="992" w:type="dxa"/>
            <w:tcBorders>
              <w:right w:val="single" w:sz="4" w:space="0" w:color="auto"/>
            </w:tcBorders>
            <w:vAlign w:val="bottom"/>
          </w:tcPr>
          <w:p w14:paraId="4DCC94E3" w14:textId="7EA7E907" w:rsidR="00C80858" w:rsidRPr="00747E35" w:rsidRDefault="00C80858" w:rsidP="00C80858">
            <w:pPr>
              <w:pStyle w:val="Tabletext"/>
              <w:spacing w:before="0" w:after="0"/>
              <w:rPr>
                <w:rFonts w:cstheme="minorHAnsi"/>
              </w:rPr>
            </w:pPr>
            <w:r w:rsidRPr="00747E35">
              <w:rPr>
                <w:rFonts w:cstheme="minorHAnsi"/>
              </w:rPr>
              <w:t>Fi Fp Ri Rp</w:t>
            </w:r>
          </w:p>
        </w:tc>
        <w:tc>
          <w:tcPr>
            <w:tcW w:w="709" w:type="dxa"/>
            <w:tcBorders>
              <w:left w:val="single" w:sz="4" w:space="0" w:color="auto"/>
            </w:tcBorders>
            <w:vAlign w:val="bottom"/>
          </w:tcPr>
          <w:p w14:paraId="3C78ABF8" w14:textId="46A44A2A" w:rsidR="00C80858" w:rsidRPr="00747E35" w:rsidRDefault="00C80858" w:rsidP="00C80858">
            <w:pPr>
              <w:pStyle w:val="Tabletext"/>
              <w:spacing w:before="0" w:after="0"/>
              <w:rPr>
                <w:rFonts w:cstheme="minorHAnsi"/>
              </w:rPr>
            </w:pPr>
            <w:r w:rsidRPr="00747E35">
              <w:rPr>
                <w:rFonts w:cstheme="minorHAnsi"/>
              </w:rPr>
              <w:t>6</w:t>
            </w:r>
          </w:p>
        </w:tc>
        <w:tc>
          <w:tcPr>
            <w:tcW w:w="708" w:type="dxa"/>
          </w:tcPr>
          <w:p w14:paraId="7C6A2B52" w14:textId="3E6B4F8B"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100CEE04" w14:textId="1F6DF811" w:rsidR="00C80858" w:rsidRPr="00747E35" w:rsidRDefault="00C80858" w:rsidP="00C80858">
            <w:pPr>
              <w:pStyle w:val="Tabletext"/>
              <w:spacing w:before="0" w:after="0"/>
              <w:rPr>
                <w:rFonts w:cstheme="minorHAnsi"/>
                <w:i/>
              </w:rPr>
            </w:pPr>
            <w:r w:rsidRPr="00747E35">
              <w:rPr>
                <w:rFonts w:cstheme="minorHAnsi"/>
                <w:i/>
              </w:rPr>
              <w:t xml:space="preserve">Solanaceae </w:t>
            </w:r>
            <w:r w:rsidRPr="00747E35">
              <w:rPr>
                <w:rFonts w:cstheme="minorHAnsi"/>
              </w:rPr>
              <w:t>sp</w:t>
            </w:r>
          </w:p>
        </w:tc>
        <w:tc>
          <w:tcPr>
            <w:tcW w:w="426" w:type="dxa"/>
            <w:vAlign w:val="bottom"/>
          </w:tcPr>
          <w:p w14:paraId="5B13C16E" w14:textId="1C5EE677"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1FF078B9" w14:textId="71D92038" w:rsidR="00C80858" w:rsidRPr="00747E35" w:rsidRDefault="00C80858" w:rsidP="00C80858">
            <w:pPr>
              <w:pStyle w:val="Tabletext"/>
              <w:spacing w:before="0" w:after="0"/>
              <w:rPr>
                <w:rFonts w:cstheme="minorHAnsi"/>
              </w:rPr>
            </w:pPr>
            <w:r w:rsidRPr="00747E35">
              <w:rPr>
                <w:rFonts w:cstheme="minorHAnsi"/>
              </w:rPr>
              <w:t>Rp</w:t>
            </w:r>
          </w:p>
        </w:tc>
      </w:tr>
      <w:tr w:rsidR="00C80858" w:rsidRPr="00747E35" w14:paraId="0E6C4CEB" w14:textId="77777777" w:rsidTr="0096743A">
        <w:tc>
          <w:tcPr>
            <w:tcW w:w="567" w:type="dxa"/>
            <w:vAlign w:val="bottom"/>
          </w:tcPr>
          <w:p w14:paraId="1E0DB632" w14:textId="2D974F18" w:rsidR="00C80858" w:rsidRPr="00747E35" w:rsidRDefault="00C80858" w:rsidP="00C80858">
            <w:pPr>
              <w:pStyle w:val="Tabletext"/>
              <w:spacing w:before="0" w:after="0"/>
              <w:rPr>
                <w:rFonts w:cstheme="minorHAnsi"/>
              </w:rPr>
            </w:pPr>
            <w:r w:rsidRPr="00747E35">
              <w:rPr>
                <w:rFonts w:cstheme="minorHAnsi"/>
              </w:rPr>
              <w:t>1</w:t>
            </w:r>
          </w:p>
        </w:tc>
        <w:tc>
          <w:tcPr>
            <w:tcW w:w="567" w:type="dxa"/>
            <w:vAlign w:val="bottom"/>
          </w:tcPr>
          <w:p w14:paraId="0F1361A0" w14:textId="4E900584" w:rsidR="00C80858" w:rsidRPr="00747E35" w:rsidRDefault="00C80858" w:rsidP="00C80858">
            <w:pPr>
              <w:pStyle w:val="Tabletext"/>
              <w:spacing w:before="0" w:after="0"/>
              <w:rPr>
                <w:rFonts w:cstheme="minorHAnsi"/>
              </w:rPr>
            </w:pPr>
            <w:r w:rsidRPr="00747E35">
              <w:rPr>
                <w:rFonts w:cstheme="minorHAnsi"/>
              </w:rPr>
              <w:t>ah</w:t>
            </w:r>
          </w:p>
        </w:tc>
        <w:tc>
          <w:tcPr>
            <w:tcW w:w="1985" w:type="dxa"/>
            <w:vAlign w:val="bottom"/>
          </w:tcPr>
          <w:p w14:paraId="7594F935" w14:textId="0B408C77" w:rsidR="00C80858" w:rsidRPr="00747E35" w:rsidRDefault="00C80858" w:rsidP="00C80858">
            <w:pPr>
              <w:pStyle w:val="Tabletext"/>
              <w:spacing w:before="0" w:after="0"/>
              <w:rPr>
                <w:rFonts w:cstheme="minorHAnsi"/>
                <w:i/>
              </w:rPr>
            </w:pPr>
            <w:r w:rsidRPr="00747E35">
              <w:rPr>
                <w:rFonts w:cstheme="minorHAnsi"/>
                <w:i/>
              </w:rPr>
              <w:t xml:space="preserve">Utricularia </w:t>
            </w:r>
            <w:r w:rsidRPr="00747E35">
              <w:rPr>
                <w:rFonts w:cstheme="minorHAnsi"/>
              </w:rPr>
              <w:t>sp</w:t>
            </w:r>
          </w:p>
        </w:tc>
        <w:tc>
          <w:tcPr>
            <w:tcW w:w="709" w:type="dxa"/>
            <w:vAlign w:val="bottom"/>
          </w:tcPr>
          <w:p w14:paraId="6F296E65" w14:textId="6F7ED9A8"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237D1A8B" w14:textId="35E91D97" w:rsidR="00C80858" w:rsidRPr="00747E35" w:rsidRDefault="00C80858" w:rsidP="00C80858">
            <w:pPr>
              <w:pStyle w:val="Tabletext"/>
              <w:spacing w:before="0" w:after="0"/>
              <w:rPr>
                <w:rFonts w:cstheme="minorHAnsi"/>
              </w:rPr>
            </w:pPr>
            <w:r w:rsidRPr="00747E35">
              <w:rPr>
                <w:rFonts w:cstheme="minorHAnsi"/>
              </w:rPr>
              <w:t>Rp</w:t>
            </w:r>
          </w:p>
        </w:tc>
        <w:tc>
          <w:tcPr>
            <w:tcW w:w="709" w:type="dxa"/>
            <w:tcBorders>
              <w:left w:val="single" w:sz="4" w:space="0" w:color="auto"/>
            </w:tcBorders>
            <w:vAlign w:val="bottom"/>
          </w:tcPr>
          <w:p w14:paraId="11701819" w14:textId="4875C4ED" w:rsidR="00C80858" w:rsidRPr="00747E35" w:rsidRDefault="00C80858" w:rsidP="00C80858">
            <w:pPr>
              <w:pStyle w:val="Tabletext"/>
              <w:spacing w:before="0" w:after="0"/>
              <w:rPr>
                <w:rFonts w:cstheme="minorHAnsi"/>
              </w:rPr>
            </w:pPr>
            <w:r w:rsidRPr="00747E35">
              <w:rPr>
                <w:rFonts w:cstheme="minorHAnsi"/>
              </w:rPr>
              <w:t>6</w:t>
            </w:r>
          </w:p>
        </w:tc>
        <w:tc>
          <w:tcPr>
            <w:tcW w:w="708" w:type="dxa"/>
            <w:vAlign w:val="bottom"/>
          </w:tcPr>
          <w:p w14:paraId="14592325" w14:textId="3EB81376" w:rsidR="00C80858" w:rsidRPr="00747E35" w:rsidRDefault="00C80858" w:rsidP="00C80858">
            <w:pPr>
              <w:pStyle w:val="Tabletext"/>
              <w:spacing w:before="0" w:after="0"/>
              <w:rPr>
                <w:rFonts w:cstheme="minorHAnsi"/>
              </w:rPr>
            </w:pPr>
            <w:r w:rsidRPr="00747E35">
              <w:rPr>
                <w:rFonts w:cstheme="minorHAnsi"/>
              </w:rPr>
              <w:t>ph *</w:t>
            </w:r>
          </w:p>
        </w:tc>
        <w:tc>
          <w:tcPr>
            <w:tcW w:w="2268" w:type="dxa"/>
            <w:vAlign w:val="bottom"/>
          </w:tcPr>
          <w:p w14:paraId="3AA5EE6D" w14:textId="4B9EEB39" w:rsidR="00C80858" w:rsidRPr="00747E35" w:rsidRDefault="00C80858" w:rsidP="00C80858">
            <w:pPr>
              <w:pStyle w:val="Tabletext"/>
              <w:spacing w:before="0" w:after="0"/>
              <w:rPr>
                <w:rFonts w:cstheme="minorHAnsi"/>
                <w:i/>
              </w:rPr>
            </w:pPr>
            <w:r w:rsidRPr="00747E35">
              <w:rPr>
                <w:rFonts w:cstheme="minorHAnsi"/>
                <w:i/>
              </w:rPr>
              <w:t>Stylosanthes humilis</w:t>
            </w:r>
          </w:p>
        </w:tc>
        <w:tc>
          <w:tcPr>
            <w:tcW w:w="426" w:type="dxa"/>
            <w:vAlign w:val="bottom"/>
          </w:tcPr>
          <w:p w14:paraId="0AB896FB" w14:textId="2840D54F"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6684C451" w14:textId="7B9EE3A3" w:rsidR="00C80858" w:rsidRPr="00747E35" w:rsidRDefault="00C80858" w:rsidP="00C80858">
            <w:pPr>
              <w:pStyle w:val="Tabletext"/>
              <w:spacing w:before="0" w:after="0"/>
              <w:rPr>
                <w:rFonts w:cstheme="minorHAnsi"/>
              </w:rPr>
            </w:pPr>
            <w:r w:rsidRPr="00747E35">
              <w:rPr>
                <w:rFonts w:cstheme="minorHAnsi"/>
              </w:rPr>
              <w:t>Fi</w:t>
            </w:r>
          </w:p>
        </w:tc>
      </w:tr>
      <w:tr w:rsidR="00C80858" w:rsidRPr="00747E35" w14:paraId="3F11FFD9" w14:textId="77777777" w:rsidTr="0096743A">
        <w:tc>
          <w:tcPr>
            <w:tcW w:w="567" w:type="dxa"/>
            <w:vAlign w:val="bottom"/>
          </w:tcPr>
          <w:p w14:paraId="6BCF7FA7" w14:textId="3D8E8D66"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126110EC" w14:textId="65F52352" w:rsidR="00C80858" w:rsidRPr="00747E35" w:rsidRDefault="00C80858" w:rsidP="00C80858">
            <w:pPr>
              <w:pStyle w:val="Tabletext"/>
              <w:spacing w:before="0" w:after="0"/>
              <w:rPr>
                <w:rFonts w:cstheme="minorHAnsi"/>
              </w:rPr>
            </w:pPr>
            <w:r w:rsidRPr="00747E35">
              <w:rPr>
                <w:rFonts w:cstheme="minorHAnsi"/>
              </w:rPr>
              <w:t>ah</w:t>
            </w:r>
          </w:p>
        </w:tc>
        <w:tc>
          <w:tcPr>
            <w:tcW w:w="1985" w:type="dxa"/>
            <w:vAlign w:val="bottom"/>
          </w:tcPr>
          <w:p w14:paraId="30D2ECE6" w14:textId="5699A3B3" w:rsidR="00C80858" w:rsidRPr="00747E35" w:rsidRDefault="00C80858" w:rsidP="00C80858">
            <w:pPr>
              <w:pStyle w:val="Tabletext"/>
              <w:spacing w:before="0" w:after="0"/>
              <w:rPr>
                <w:rFonts w:cstheme="minorHAnsi"/>
                <w:i/>
              </w:rPr>
            </w:pPr>
            <w:r w:rsidRPr="00747E35">
              <w:rPr>
                <w:rFonts w:cstheme="minorHAnsi"/>
                <w:i/>
              </w:rPr>
              <w:t>Eclipta prostrata</w:t>
            </w:r>
          </w:p>
        </w:tc>
        <w:tc>
          <w:tcPr>
            <w:tcW w:w="709" w:type="dxa"/>
            <w:vAlign w:val="bottom"/>
          </w:tcPr>
          <w:p w14:paraId="26D7121E" w14:textId="653CEBA3"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23DEC538" w14:textId="4EDE3192" w:rsidR="00C80858" w:rsidRPr="00747E35" w:rsidRDefault="00C80858" w:rsidP="00C80858">
            <w:pPr>
              <w:pStyle w:val="Tabletext"/>
              <w:spacing w:before="0" w:after="0"/>
              <w:rPr>
                <w:rFonts w:cstheme="minorHAnsi"/>
              </w:rPr>
            </w:pPr>
            <w:r w:rsidRPr="00747E35">
              <w:rPr>
                <w:rFonts w:cstheme="minorHAnsi"/>
              </w:rPr>
              <w:t>Ri</w:t>
            </w:r>
          </w:p>
        </w:tc>
        <w:tc>
          <w:tcPr>
            <w:tcW w:w="709" w:type="dxa"/>
            <w:tcBorders>
              <w:left w:val="single" w:sz="4" w:space="0" w:color="auto"/>
            </w:tcBorders>
            <w:vAlign w:val="bottom"/>
          </w:tcPr>
          <w:p w14:paraId="3440B14A" w14:textId="2693372F" w:rsidR="00C80858" w:rsidRPr="00747E35" w:rsidRDefault="00C80858" w:rsidP="00C80858">
            <w:pPr>
              <w:pStyle w:val="Tabletext"/>
              <w:spacing w:before="0" w:after="0"/>
              <w:rPr>
                <w:rFonts w:cstheme="minorHAnsi"/>
              </w:rPr>
            </w:pPr>
            <w:r w:rsidRPr="00747E35">
              <w:rPr>
                <w:rFonts w:cstheme="minorHAnsi"/>
              </w:rPr>
              <w:t>2</w:t>
            </w:r>
          </w:p>
        </w:tc>
        <w:tc>
          <w:tcPr>
            <w:tcW w:w="708" w:type="dxa"/>
          </w:tcPr>
          <w:p w14:paraId="30DE2359" w14:textId="65C978D1"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54FEE167" w14:textId="3E7DCCE7" w:rsidR="00C80858" w:rsidRPr="00747E35" w:rsidRDefault="00C80858" w:rsidP="00C80858">
            <w:pPr>
              <w:pStyle w:val="Tabletext"/>
              <w:spacing w:before="0" w:after="0"/>
              <w:rPr>
                <w:rFonts w:cstheme="minorHAnsi"/>
                <w:i/>
              </w:rPr>
            </w:pPr>
            <w:r w:rsidRPr="00747E35">
              <w:rPr>
                <w:rFonts w:cstheme="minorHAnsi"/>
                <w:i/>
              </w:rPr>
              <w:t>Typha domingensis</w:t>
            </w:r>
          </w:p>
        </w:tc>
        <w:tc>
          <w:tcPr>
            <w:tcW w:w="426" w:type="dxa"/>
            <w:vAlign w:val="bottom"/>
          </w:tcPr>
          <w:p w14:paraId="5119FE9D" w14:textId="2B7ECAA2" w:rsidR="00C80858" w:rsidRPr="00747E35" w:rsidRDefault="00C80858" w:rsidP="00C80858">
            <w:pPr>
              <w:pStyle w:val="Tabletext"/>
              <w:spacing w:before="0" w:after="0"/>
              <w:rPr>
                <w:rFonts w:cstheme="minorHAnsi"/>
              </w:rPr>
            </w:pPr>
            <w:r w:rsidRPr="00747E35">
              <w:rPr>
                <w:rFonts w:cstheme="minorHAnsi"/>
              </w:rPr>
              <w:t>B, M</w:t>
            </w:r>
          </w:p>
        </w:tc>
        <w:tc>
          <w:tcPr>
            <w:tcW w:w="850" w:type="dxa"/>
            <w:vAlign w:val="bottom"/>
          </w:tcPr>
          <w:p w14:paraId="6D49B0D6" w14:textId="6F8EAEF0" w:rsidR="00C80858" w:rsidRPr="00747E35" w:rsidRDefault="00C80858" w:rsidP="00C80858">
            <w:pPr>
              <w:pStyle w:val="Tabletext"/>
              <w:spacing w:before="0" w:after="0"/>
              <w:rPr>
                <w:rFonts w:cstheme="minorHAnsi"/>
              </w:rPr>
            </w:pPr>
            <w:r w:rsidRPr="00747E35">
              <w:rPr>
                <w:rFonts w:cstheme="minorHAnsi"/>
              </w:rPr>
              <w:t>Rp</w:t>
            </w:r>
          </w:p>
        </w:tc>
      </w:tr>
      <w:tr w:rsidR="00C80858" w:rsidRPr="00747E35" w14:paraId="18566574" w14:textId="77777777" w:rsidTr="0096743A">
        <w:tc>
          <w:tcPr>
            <w:tcW w:w="567" w:type="dxa"/>
            <w:vAlign w:val="bottom"/>
          </w:tcPr>
          <w:p w14:paraId="3090F649" w14:textId="0056E3B7"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444508D0" w14:textId="3658CDB8" w:rsidR="00C80858" w:rsidRPr="00747E35" w:rsidRDefault="00C80858" w:rsidP="00C80858">
            <w:pPr>
              <w:pStyle w:val="Tabletext"/>
              <w:spacing w:before="0" w:after="0"/>
              <w:rPr>
                <w:rFonts w:cstheme="minorHAnsi"/>
              </w:rPr>
            </w:pPr>
            <w:r w:rsidRPr="00747E35">
              <w:rPr>
                <w:rFonts w:cstheme="minorHAnsi"/>
              </w:rPr>
              <w:t>ah *</w:t>
            </w:r>
          </w:p>
        </w:tc>
        <w:tc>
          <w:tcPr>
            <w:tcW w:w="1985" w:type="dxa"/>
            <w:vAlign w:val="bottom"/>
          </w:tcPr>
          <w:p w14:paraId="276FF98B" w14:textId="24D0F4B1" w:rsidR="00C80858" w:rsidRPr="00747E35" w:rsidRDefault="00C80858" w:rsidP="00C80858">
            <w:pPr>
              <w:pStyle w:val="Tabletext"/>
              <w:spacing w:before="0" w:after="0"/>
              <w:rPr>
                <w:rFonts w:cstheme="minorHAnsi"/>
                <w:i/>
              </w:rPr>
            </w:pPr>
            <w:r w:rsidRPr="00747E35">
              <w:rPr>
                <w:rFonts w:cstheme="minorHAnsi"/>
                <w:i/>
              </w:rPr>
              <w:t>Xanthium occidentale</w:t>
            </w:r>
          </w:p>
        </w:tc>
        <w:tc>
          <w:tcPr>
            <w:tcW w:w="709" w:type="dxa"/>
            <w:vAlign w:val="bottom"/>
          </w:tcPr>
          <w:p w14:paraId="0DC50524" w14:textId="04C039B3" w:rsidR="00C80858" w:rsidRPr="00747E35" w:rsidRDefault="00C80858" w:rsidP="00C80858">
            <w:pPr>
              <w:pStyle w:val="Tabletext"/>
              <w:spacing w:before="0" w:after="0"/>
              <w:rPr>
                <w:rFonts w:cstheme="minorHAnsi"/>
              </w:rPr>
            </w:pPr>
            <w:r w:rsidRPr="00747E35">
              <w:rPr>
                <w:rFonts w:cstheme="minorHAnsi"/>
              </w:rPr>
              <w:t>B, M</w:t>
            </w:r>
          </w:p>
        </w:tc>
        <w:tc>
          <w:tcPr>
            <w:tcW w:w="992" w:type="dxa"/>
            <w:tcBorders>
              <w:right w:val="single" w:sz="4" w:space="0" w:color="auto"/>
            </w:tcBorders>
            <w:vAlign w:val="bottom"/>
          </w:tcPr>
          <w:p w14:paraId="5A630008" w14:textId="024A9693" w:rsidR="00C80858" w:rsidRPr="00747E35" w:rsidRDefault="00C80858" w:rsidP="00C80858">
            <w:pPr>
              <w:pStyle w:val="Tabletext"/>
              <w:spacing w:before="0" w:after="0"/>
              <w:rPr>
                <w:rFonts w:cstheme="minorHAnsi"/>
              </w:rPr>
            </w:pPr>
            <w:r w:rsidRPr="00747E35">
              <w:rPr>
                <w:rFonts w:cstheme="minorHAnsi"/>
              </w:rPr>
              <w:t>Fp Ri</w:t>
            </w:r>
          </w:p>
        </w:tc>
        <w:tc>
          <w:tcPr>
            <w:tcW w:w="709" w:type="dxa"/>
            <w:tcBorders>
              <w:left w:val="single" w:sz="4" w:space="0" w:color="auto"/>
            </w:tcBorders>
            <w:vAlign w:val="bottom"/>
          </w:tcPr>
          <w:p w14:paraId="23051776" w14:textId="64D5AB7F" w:rsidR="00C80858" w:rsidRPr="00747E35" w:rsidRDefault="00C80858" w:rsidP="00C80858">
            <w:pPr>
              <w:pStyle w:val="Tabletext"/>
              <w:spacing w:before="0" w:after="0"/>
              <w:rPr>
                <w:rFonts w:cstheme="minorHAnsi"/>
              </w:rPr>
            </w:pPr>
            <w:r w:rsidRPr="00747E35">
              <w:rPr>
                <w:rFonts w:cstheme="minorHAnsi"/>
              </w:rPr>
              <w:t>6</w:t>
            </w:r>
          </w:p>
        </w:tc>
        <w:tc>
          <w:tcPr>
            <w:tcW w:w="708" w:type="dxa"/>
          </w:tcPr>
          <w:p w14:paraId="1561DA91" w14:textId="36BDFA79"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660AB834" w14:textId="4D538BDB" w:rsidR="00C80858" w:rsidRPr="00747E35" w:rsidRDefault="00C80858" w:rsidP="00C80858">
            <w:pPr>
              <w:pStyle w:val="Tabletext"/>
              <w:spacing w:before="0" w:after="0"/>
              <w:rPr>
                <w:rFonts w:cstheme="minorHAnsi"/>
                <w:i/>
              </w:rPr>
            </w:pPr>
            <w:r w:rsidRPr="00747E35">
              <w:rPr>
                <w:rFonts w:cstheme="minorHAnsi"/>
                <w:i/>
              </w:rPr>
              <w:t>Vicia sativa</w:t>
            </w:r>
          </w:p>
        </w:tc>
        <w:tc>
          <w:tcPr>
            <w:tcW w:w="426" w:type="dxa"/>
            <w:vAlign w:val="bottom"/>
          </w:tcPr>
          <w:p w14:paraId="44498054" w14:textId="5BD096C7" w:rsidR="00C80858" w:rsidRPr="00747E35" w:rsidRDefault="00C80858" w:rsidP="00C80858">
            <w:pPr>
              <w:pStyle w:val="Tabletext"/>
              <w:spacing w:before="0" w:after="0"/>
              <w:rPr>
                <w:rFonts w:cstheme="minorHAnsi"/>
              </w:rPr>
            </w:pPr>
            <w:r w:rsidRPr="00747E35">
              <w:rPr>
                <w:rFonts w:cstheme="minorHAnsi"/>
              </w:rPr>
              <w:t>M</w:t>
            </w:r>
          </w:p>
        </w:tc>
        <w:tc>
          <w:tcPr>
            <w:tcW w:w="850" w:type="dxa"/>
            <w:vAlign w:val="bottom"/>
          </w:tcPr>
          <w:p w14:paraId="52CCDD66" w14:textId="4EE328EB" w:rsidR="00C80858" w:rsidRPr="00747E35" w:rsidRDefault="00C80858" w:rsidP="00C80858">
            <w:pPr>
              <w:pStyle w:val="Tabletext"/>
              <w:spacing w:before="0" w:after="0"/>
              <w:rPr>
                <w:rFonts w:cstheme="minorHAnsi"/>
              </w:rPr>
            </w:pPr>
            <w:r w:rsidRPr="00747E35">
              <w:rPr>
                <w:rFonts w:cstheme="minorHAnsi"/>
              </w:rPr>
              <w:t>Rp</w:t>
            </w:r>
          </w:p>
        </w:tc>
      </w:tr>
      <w:tr w:rsidR="00C80858" w:rsidRPr="00747E35" w14:paraId="0CE65377" w14:textId="77777777" w:rsidTr="0096743A">
        <w:tc>
          <w:tcPr>
            <w:tcW w:w="567" w:type="dxa"/>
            <w:vAlign w:val="bottom"/>
          </w:tcPr>
          <w:p w14:paraId="457ECCFC" w14:textId="1D54E2E0" w:rsidR="00C80858" w:rsidRPr="00747E35" w:rsidRDefault="00C80858" w:rsidP="00C80858">
            <w:pPr>
              <w:pStyle w:val="Tabletext"/>
              <w:spacing w:before="0" w:after="0"/>
              <w:rPr>
                <w:rFonts w:cstheme="minorHAnsi"/>
              </w:rPr>
            </w:pPr>
            <w:r w:rsidRPr="00747E35">
              <w:rPr>
                <w:rFonts w:cstheme="minorHAnsi"/>
              </w:rPr>
              <w:t>-</w:t>
            </w:r>
          </w:p>
        </w:tc>
        <w:tc>
          <w:tcPr>
            <w:tcW w:w="567" w:type="dxa"/>
            <w:vAlign w:val="bottom"/>
          </w:tcPr>
          <w:p w14:paraId="2C8AC214" w14:textId="2AD59462" w:rsidR="00C80858" w:rsidRPr="00747E35" w:rsidRDefault="00C80858" w:rsidP="00C80858">
            <w:pPr>
              <w:pStyle w:val="Tabletext"/>
              <w:spacing w:before="0" w:after="0"/>
              <w:rPr>
                <w:rFonts w:cstheme="minorHAnsi"/>
              </w:rPr>
            </w:pPr>
            <w:r w:rsidRPr="00747E35">
              <w:rPr>
                <w:rFonts w:cstheme="minorHAnsi"/>
              </w:rPr>
              <w:t>ah</w:t>
            </w:r>
          </w:p>
        </w:tc>
        <w:tc>
          <w:tcPr>
            <w:tcW w:w="1985" w:type="dxa"/>
            <w:vAlign w:val="bottom"/>
          </w:tcPr>
          <w:p w14:paraId="62444DA2" w14:textId="462A7C91" w:rsidR="00C80858" w:rsidRPr="00747E35" w:rsidRDefault="00C80858" w:rsidP="00C80858">
            <w:pPr>
              <w:pStyle w:val="Tabletext"/>
              <w:spacing w:before="0" w:after="0"/>
              <w:rPr>
                <w:rFonts w:cstheme="minorHAnsi"/>
                <w:i/>
              </w:rPr>
            </w:pPr>
            <w:r w:rsidRPr="00747E35">
              <w:rPr>
                <w:rFonts w:cstheme="minorHAnsi"/>
                <w:i/>
              </w:rPr>
              <w:t>Xerochrysum bracteatum</w:t>
            </w:r>
          </w:p>
        </w:tc>
        <w:tc>
          <w:tcPr>
            <w:tcW w:w="709" w:type="dxa"/>
            <w:vAlign w:val="bottom"/>
          </w:tcPr>
          <w:p w14:paraId="71632DEB" w14:textId="13952259"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04E58A0F" w14:textId="2CE8E2AD" w:rsidR="00C80858" w:rsidRPr="00747E35" w:rsidRDefault="00C80858" w:rsidP="00C80858">
            <w:pPr>
              <w:pStyle w:val="Tabletext"/>
              <w:spacing w:before="0" w:after="0"/>
              <w:rPr>
                <w:rFonts w:cstheme="minorHAnsi"/>
              </w:rPr>
            </w:pPr>
            <w:r w:rsidRPr="00747E35">
              <w:rPr>
                <w:rFonts w:cstheme="minorHAnsi"/>
              </w:rPr>
              <w:t>Fi T</w:t>
            </w:r>
          </w:p>
        </w:tc>
        <w:tc>
          <w:tcPr>
            <w:tcW w:w="709" w:type="dxa"/>
            <w:tcBorders>
              <w:left w:val="single" w:sz="4" w:space="0" w:color="auto"/>
            </w:tcBorders>
            <w:vAlign w:val="bottom"/>
          </w:tcPr>
          <w:p w14:paraId="74EE1453" w14:textId="09F58A5F" w:rsidR="00C80858" w:rsidRPr="00747E35" w:rsidRDefault="00C80858" w:rsidP="00C80858">
            <w:pPr>
              <w:pStyle w:val="Tabletext"/>
              <w:spacing w:before="0" w:after="0"/>
              <w:rPr>
                <w:rFonts w:cstheme="minorHAnsi"/>
              </w:rPr>
            </w:pPr>
            <w:r w:rsidRPr="00747E35">
              <w:rPr>
                <w:rFonts w:cstheme="minorHAnsi"/>
              </w:rPr>
              <w:t>6</w:t>
            </w:r>
          </w:p>
        </w:tc>
        <w:tc>
          <w:tcPr>
            <w:tcW w:w="708" w:type="dxa"/>
          </w:tcPr>
          <w:p w14:paraId="6C8E9ACD" w14:textId="01FE6A23" w:rsidR="00C80858" w:rsidRPr="00747E35" w:rsidRDefault="00C80858" w:rsidP="00C80858">
            <w:pPr>
              <w:pStyle w:val="Tabletext"/>
              <w:spacing w:before="0" w:after="0"/>
              <w:rPr>
                <w:rFonts w:cstheme="minorHAnsi"/>
              </w:rPr>
            </w:pPr>
            <w:r w:rsidRPr="00747E35">
              <w:rPr>
                <w:rFonts w:cstheme="minorHAnsi"/>
              </w:rPr>
              <w:t>ph</w:t>
            </w:r>
          </w:p>
        </w:tc>
        <w:tc>
          <w:tcPr>
            <w:tcW w:w="2268" w:type="dxa"/>
            <w:vAlign w:val="bottom"/>
          </w:tcPr>
          <w:p w14:paraId="35D5A4FB" w14:textId="17207B1D" w:rsidR="00C80858" w:rsidRPr="00747E35" w:rsidRDefault="00C80858" w:rsidP="00C80858">
            <w:pPr>
              <w:pStyle w:val="Tabletext"/>
              <w:spacing w:before="0" w:after="0"/>
              <w:rPr>
                <w:rFonts w:cstheme="minorHAnsi"/>
                <w:i/>
              </w:rPr>
            </w:pPr>
            <w:r w:rsidRPr="00747E35">
              <w:rPr>
                <w:rFonts w:cstheme="minorHAnsi"/>
                <w:i/>
              </w:rPr>
              <w:t>Walhenbergia stricta</w:t>
            </w:r>
          </w:p>
        </w:tc>
        <w:tc>
          <w:tcPr>
            <w:tcW w:w="426" w:type="dxa"/>
            <w:vAlign w:val="bottom"/>
          </w:tcPr>
          <w:p w14:paraId="60270A6C" w14:textId="6241BDA5" w:rsidR="00C80858" w:rsidRPr="00747E35" w:rsidRDefault="00C80858" w:rsidP="00C80858">
            <w:pPr>
              <w:pStyle w:val="Tabletext"/>
              <w:spacing w:before="0" w:after="0"/>
              <w:rPr>
                <w:rFonts w:cstheme="minorHAnsi"/>
              </w:rPr>
            </w:pPr>
            <w:r w:rsidRPr="00747E35">
              <w:rPr>
                <w:rFonts w:cstheme="minorHAnsi"/>
              </w:rPr>
              <w:t>M</w:t>
            </w:r>
          </w:p>
        </w:tc>
        <w:tc>
          <w:tcPr>
            <w:tcW w:w="850" w:type="dxa"/>
            <w:vAlign w:val="bottom"/>
          </w:tcPr>
          <w:p w14:paraId="54C7B7E3" w14:textId="4058CD55" w:rsidR="00C80858" w:rsidRPr="00747E35" w:rsidRDefault="00C80858" w:rsidP="00C80858">
            <w:pPr>
              <w:pStyle w:val="Tabletext"/>
              <w:spacing w:before="0" w:after="0"/>
              <w:rPr>
                <w:rFonts w:cstheme="minorHAnsi"/>
              </w:rPr>
            </w:pPr>
            <w:r w:rsidRPr="00747E35">
              <w:rPr>
                <w:rFonts w:cstheme="minorHAnsi"/>
              </w:rPr>
              <w:t>Fi Fp Ri</w:t>
            </w:r>
          </w:p>
        </w:tc>
      </w:tr>
      <w:tr w:rsidR="00C80858" w:rsidRPr="00747E35" w14:paraId="514E87A8" w14:textId="77777777" w:rsidTr="0096743A">
        <w:tc>
          <w:tcPr>
            <w:tcW w:w="567" w:type="dxa"/>
            <w:vAlign w:val="bottom"/>
          </w:tcPr>
          <w:p w14:paraId="7B1CA118" w14:textId="476AFBC9" w:rsidR="00C80858" w:rsidRPr="00747E35" w:rsidRDefault="00C80858" w:rsidP="00C80858">
            <w:pPr>
              <w:pStyle w:val="Tabletext"/>
              <w:spacing w:before="0" w:after="0"/>
              <w:rPr>
                <w:rFonts w:cstheme="minorHAnsi"/>
              </w:rPr>
            </w:pPr>
            <w:r w:rsidRPr="00747E35">
              <w:rPr>
                <w:rFonts w:cstheme="minorHAnsi"/>
              </w:rPr>
              <w:t>5</w:t>
            </w:r>
          </w:p>
        </w:tc>
        <w:tc>
          <w:tcPr>
            <w:tcW w:w="567" w:type="dxa"/>
            <w:vAlign w:val="bottom"/>
          </w:tcPr>
          <w:p w14:paraId="145CFDA6" w14:textId="2B38F381"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4E7B7A62" w14:textId="02DBE250" w:rsidR="00C80858" w:rsidRPr="00747E35" w:rsidRDefault="00C80858" w:rsidP="00C80858">
            <w:pPr>
              <w:pStyle w:val="Tabletext"/>
              <w:spacing w:before="0" w:after="0"/>
              <w:rPr>
                <w:rFonts w:cstheme="minorHAnsi"/>
                <w:i/>
              </w:rPr>
            </w:pPr>
            <w:r w:rsidRPr="00747E35">
              <w:rPr>
                <w:rFonts w:cstheme="minorHAnsi"/>
                <w:i/>
              </w:rPr>
              <w:t>Aristida calycina</w:t>
            </w:r>
          </w:p>
        </w:tc>
        <w:tc>
          <w:tcPr>
            <w:tcW w:w="709" w:type="dxa"/>
            <w:vAlign w:val="bottom"/>
          </w:tcPr>
          <w:p w14:paraId="7212DA77" w14:textId="4CA4453E"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5853F167" w14:textId="2A88A109" w:rsidR="00C80858" w:rsidRPr="00747E35" w:rsidRDefault="00C80858" w:rsidP="00C80858">
            <w:pPr>
              <w:pStyle w:val="Tabletext"/>
              <w:spacing w:before="0" w:after="0"/>
              <w:rPr>
                <w:rFonts w:cstheme="minorHAnsi"/>
              </w:rPr>
            </w:pPr>
            <w:r w:rsidRPr="00747E35">
              <w:rPr>
                <w:rFonts w:cstheme="minorHAnsi"/>
              </w:rPr>
              <w:t>Fi</w:t>
            </w:r>
          </w:p>
        </w:tc>
        <w:tc>
          <w:tcPr>
            <w:tcW w:w="709" w:type="dxa"/>
            <w:tcBorders>
              <w:left w:val="single" w:sz="4" w:space="0" w:color="auto"/>
            </w:tcBorders>
            <w:vAlign w:val="bottom"/>
          </w:tcPr>
          <w:p w14:paraId="2760E518" w14:textId="6CD260A5" w:rsidR="00C80858" w:rsidRPr="00747E35" w:rsidRDefault="00C80858" w:rsidP="00C80858">
            <w:pPr>
              <w:pStyle w:val="Tabletext"/>
              <w:spacing w:before="0" w:after="0"/>
              <w:rPr>
                <w:rFonts w:cstheme="minorHAnsi"/>
              </w:rPr>
            </w:pPr>
            <w:r w:rsidRPr="00747E35">
              <w:rPr>
                <w:rFonts w:cstheme="minorHAnsi"/>
              </w:rPr>
              <w:t>2</w:t>
            </w:r>
          </w:p>
        </w:tc>
        <w:tc>
          <w:tcPr>
            <w:tcW w:w="708" w:type="dxa"/>
            <w:vAlign w:val="bottom"/>
          </w:tcPr>
          <w:p w14:paraId="4B419A0B" w14:textId="71458838" w:rsidR="00C80858" w:rsidRPr="00747E35" w:rsidRDefault="00C80858" w:rsidP="00C80858">
            <w:pPr>
              <w:pStyle w:val="Tabletext"/>
              <w:spacing w:before="0" w:after="0"/>
              <w:rPr>
                <w:rFonts w:cstheme="minorHAnsi"/>
              </w:rPr>
            </w:pPr>
            <w:r w:rsidRPr="00747E35">
              <w:rPr>
                <w:rFonts w:cstheme="minorHAnsi"/>
              </w:rPr>
              <w:t>ph *</w:t>
            </w:r>
          </w:p>
        </w:tc>
        <w:tc>
          <w:tcPr>
            <w:tcW w:w="2268" w:type="dxa"/>
            <w:vAlign w:val="bottom"/>
          </w:tcPr>
          <w:p w14:paraId="2EBF670C" w14:textId="5C3A831E" w:rsidR="00C80858" w:rsidRPr="00747E35" w:rsidRDefault="00C80858" w:rsidP="00C80858">
            <w:pPr>
              <w:pStyle w:val="Tabletext"/>
              <w:spacing w:before="0" w:after="0"/>
              <w:rPr>
                <w:rFonts w:cstheme="minorHAnsi"/>
                <w:i/>
              </w:rPr>
            </w:pPr>
            <w:r w:rsidRPr="00747E35">
              <w:rPr>
                <w:rFonts w:cstheme="minorHAnsi"/>
                <w:i/>
              </w:rPr>
              <w:t>Cyperus polystachyos</w:t>
            </w:r>
          </w:p>
        </w:tc>
        <w:tc>
          <w:tcPr>
            <w:tcW w:w="426" w:type="dxa"/>
            <w:vAlign w:val="bottom"/>
          </w:tcPr>
          <w:p w14:paraId="7FE10309" w14:textId="6163E6D5" w:rsidR="00C80858" w:rsidRPr="00747E35" w:rsidRDefault="00C80858" w:rsidP="00C80858">
            <w:pPr>
              <w:pStyle w:val="Tabletext"/>
              <w:spacing w:before="0" w:after="0"/>
              <w:rPr>
                <w:rFonts w:cstheme="minorHAnsi"/>
              </w:rPr>
            </w:pPr>
            <w:r w:rsidRPr="00747E35">
              <w:rPr>
                <w:rFonts w:cstheme="minorHAnsi"/>
              </w:rPr>
              <w:t>B, M</w:t>
            </w:r>
          </w:p>
        </w:tc>
        <w:tc>
          <w:tcPr>
            <w:tcW w:w="850" w:type="dxa"/>
            <w:vAlign w:val="bottom"/>
          </w:tcPr>
          <w:p w14:paraId="763E5BA4" w14:textId="75E20E53" w:rsidR="00C80858" w:rsidRPr="00747E35" w:rsidRDefault="00C80858" w:rsidP="00C80858">
            <w:pPr>
              <w:pStyle w:val="Tabletext"/>
              <w:spacing w:before="0" w:after="0"/>
              <w:rPr>
                <w:rFonts w:cstheme="minorHAnsi"/>
              </w:rPr>
            </w:pPr>
            <w:r w:rsidRPr="00747E35">
              <w:rPr>
                <w:rFonts w:cstheme="minorHAnsi"/>
              </w:rPr>
              <w:t>Fp Ri Rp</w:t>
            </w:r>
          </w:p>
        </w:tc>
      </w:tr>
      <w:tr w:rsidR="00C80858" w:rsidRPr="00747E35" w14:paraId="60B48E69" w14:textId="77777777" w:rsidTr="0096743A">
        <w:tc>
          <w:tcPr>
            <w:tcW w:w="567" w:type="dxa"/>
            <w:vAlign w:val="bottom"/>
          </w:tcPr>
          <w:p w14:paraId="4CB71338" w14:textId="1FFEB50B" w:rsidR="00C80858" w:rsidRPr="00747E35" w:rsidRDefault="00C80858" w:rsidP="00C80858">
            <w:pPr>
              <w:pStyle w:val="Tabletext"/>
              <w:spacing w:before="0" w:after="0"/>
              <w:rPr>
                <w:rFonts w:cstheme="minorHAnsi"/>
              </w:rPr>
            </w:pPr>
            <w:r w:rsidRPr="00747E35">
              <w:rPr>
                <w:rFonts w:cstheme="minorHAnsi"/>
              </w:rPr>
              <w:t>5</w:t>
            </w:r>
          </w:p>
        </w:tc>
        <w:tc>
          <w:tcPr>
            <w:tcW w:w="567" w:type="dxa"/>
          </w:tcPr>
          <w:p w14:paraId="2669275C" w14:textId="4B192CBA"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2B17A9FF" w14:textId="6305212E" w:rsidR="00C80858" w:rsidRPr="00747E35" w:rsidRDefault="00C80858" w:rsidP="00C80858">
            <w:pPr>
              <w:pStyle w:val="Tabletext"/>
              <w:spacing w:before="0" w:after="0"/>
              <w:rPr>
                <w:rFonts w:cstheme="minorHAnsi"/>
                <w:i/>
              </w:rPr>
            </w:pPr>
            <w:r w:rsidRPr="00747E35">
              <w:rPr>
                <w:rFonts w:cstheme="minorHAnsi"/>
                <w:i/>
              </w:rPr>
              <w:t>Aristida ramosa</w:t>
            </w:r>
          </w:p>
        </w:tc>
        <w:tc>
          <w:tcPr>
            <w:tcW w:w="709" w:type="dxa"/>
            <w:vAlign w:val="bottom"/>
          </w:tcPr>
          <w:p w14:paraId="45E1709B" w14:textId="084A51DD" w:rsidR="00C80858" w:rsidRPr="00747E35" w:rsidRDefault="00C80858" w:rsidP="00C80858">
            <w:pPr>
              <w:pStyle w:val="Tabletext"/>
              <w:spacing w:before="0" w:after="0"/>
              <w:rPr>
                <w:rFonts w:cstheme="minorHAnsi"/>
              </w:rPr>
            </w:pPr>
            <w:r w:rsidRPr="00747E35">
              <w:rPr>
                <w:rFonts w:cstheme="minorHAnsi"/>
              </w:rPr>
              <w:t>B, M</w:t>
            </w:r>
          </w:p>
        </w:tc>
        <w:tc>
          <w:tcPr>
            <w:tcW w:w="992" w:type="dxa"/>
            <w:tcBorders>
              <w:right w:val="single" w:sz="4" w:space="0" w:color="auto"/>
            </w:tcBorders>
            <w:vAlign w:val="bottom"/>
          </w:tcPr>
          <w:p w14:paraId="74A9C365" w14:textId="1512E680" w:rsidR="00C80858" w:rsidRPr="00747E35" w:rsidRDefault="00C80858" w:rsidP="00C80858">
            <w:pPr>
              <w:pStyle w:val="Tabletext"/>
              <w:spacing w:before="0" w:after="0"/>
              <w:rPr>
                <w:rFonts w:cstheme="minorHAnsi"/>
              </w:rPr>
            </w:pPr>
            <w:r w:rsidRPr="00747E35">
              <w:rPr>
                <w:rFonts w:cstheme="minorHAnsi"/>
              </w:rPr>
              <w:t>Fi Fp Ri T</w:t>
            </w:r>
          </w:p>
        </w:tc>
        <w:tc>
          <w:tcPr>
            <w:tcW w:w="709" w:type="dxa"/>
            <w:tcBorders>
              <w:left w:val="single" w:sz="4" w:space="0" w:color="auto"/>
            </w:tcBorders>
            <w:vAlign w:val="bottom"/>
          </w:tcPr>
          <w:p w14:paraId="2FB9F8C5" w14:textId="4C418AF0" w:rsidR="00C80858" w:rsidRPr="00747E35" w:rsidRDefault="00C80858" w:rsidP="00C80858">
            <w:pPr>
              <w:pStyle w:val="Tabletext"/>
              <w:spacing w:before="0" w:after="0"/>
              <w:rPr>
                <w:rFonts w:cstheme="minorHAnsi"/>
              </w:rPr>
            </w:pPr>
            <w:r w:rsidRPr="00747E35">
              <w:rPr>
                <w:rFonts w:cstheme="minorHAnsi"/>
              </w:rPr>
              <w:t>4</w:t>
            </w:r>
          </w:p>
        </w:tc>
        <w:tc>
          <w:tcPr>
            <w:tcW w:w="708" w:type="dxa"/>
            <w:vAlign w:val="bottom"/>
          </w:tcPr>
          <w:p w14:paraId="0C8979CE" w14:textId="7485D56F" w:rsidR="00C80858" w:rsidRPr="00747E35" w:rsidRDefault="00C80858" w:rsidP="00C80858">
            <w:pPr>
              <w:pStyle w:val="Tabletext"/>
              <w:spacing w:before="0" w:after="0"/>
              <w:rPr>
                <w:rFonts w:cstheme="minorHAnsi"/>
              </w:rPr>
            </w:pPr>
            <w:r w:rsidRPr="00747E35">
              <w:rPr>
                <w:rFonts w:cstheme="minorHAnsi"/>
              </w:rPr>
              <w:t>ph *</w:t>
            </w:r>
          </w:p>
        </w:tc>
        <w:tc>
          <w:tcPr>
            <w:tcW w:w="2268" w:type="dxa"/>
            <w:vAlign w:val="bottom"/>
          </w:tcPr>
          <w:p w14:paraId="11129E51" w14:textId="1099AB8D" w:rsidR="00C80858" w:rsidRPr="00747E35" w:rsidRDefault="00C80858" w:rsidP="00C80858">
            <w:pPr>
              <w:pStyle w:val="Tabletext"/>
              <w:spacing w:before="0" w:after="0"/>
              <w:rPr>
                <w:rFonts w:cstheme="minorHAnsi"/>
                <w:i/>
              </w:rPr>
            </w:pPr>
            <w:r w:rsidRPr="00747E35">
              <w:rPr>
                <w:rFonts w:cstheme="minorHAnsi"/>
                <w:i/>
              </w:rPr>
              <w:t>Macroptilium atropurpureum</w:t>
            </w:r>
          </w:p>
        </w:tc>
        <w:tc>
          <w:tcPr>
            <w:tcW w:w="426" w:type="dxa"/>
            <w:vAlign w:val="bottom"/>
          </w:tcPr>
          <w:p w14:paraId="12505209" w14:textId="105962F7"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2E67D71F" w14:textId="4FB665D6" w:rsidR="00C80858" w:rsidRPr="00747E35" w:rsidRDefault="00C80858" w:rsidP="00C80858">
            <w:pPr>
              <w:pStyle w:val="Tabletext"/>
              <w:spacing w:before="0" w:after="0"/>
              <w:rPr>
                <w:rFonts w:cstheme="minorHAnsi"/>
              </w:rPr>
            </w:pPr>
            <w:r w:rsidRPr="00747E35">
              <w:rPr>
                <w:rFonts w:cstheme="minorHAnsi"/>
              </w:rPr>
              <w:t>Fi Ri</w:t>
            </w:r>
          </w:p>
        </w:tc>
      </w:tr>
      <w:tr w:rsidR="00C80858" w:rsidRPr="00747E35" w14:paraId="0185C953" w14:textId="77777777" w:rsidTr="0096743A">
        <w:tc>
          <w:tcPr>
            <w:tcW w:w="567" w:type="dxa"/>
            <w:vAlign w:val="bottom"/>
          </w:tcPr>
          <w:p w14:paraId="09C83D4C" w14:textId="429DA974" w:rsidR="00C80858" w:rsidRPr="00747E35" w:rsidRDefault="00C80858" w:rsidP="00C80858">
            <w:pPr>
              <w:pStyle w:val="Tabletext"/>
              <w:spacing w:before="0" w:after="0"/>
              <w:rPr>
                <w:rFonts w:cstheme="minorHAnsi"/>
              </w:rPr>
            </w:pPr>
            <w:r w:rsidRPr="00747E35">
              <w:rPr>
                <w:rFonts w:cstheme="minorHAnsi"/>
              </w:rPr>
              <w:t>6</w:t>
            </w:r>
          </w:p>
        </w:tc>
        <w:tc>
          <w:tcPr>
            <w:tcW w:w="567" w:type="dxa"/>
          </w:tcPr>
          <w:p w14:paraId="61E43658" w14:textId="397671C6"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0B05AE7B" w14:textId="27BAE1C2" w:rsidR="00C80858" w:rsidRPr="00747E35" w:rsidRDefault="00C80858" w:rsidP="00C80858">
            <w:pPr>
              <w:pStyle w:val="Tabletext"/>
              <w:spacing w:before="0" w:after="0"/>
              <w:rPr>
                <w:rFonts w:cstheme="minorHAnsi"/>
                <w:i/>
              </w:rPr>
            </w:pPr>
            <w:r w:rsidRPr="00747E35">
              <w:rPr>
                <w:rFonts w:cstheme="minorHAnsi"/>
                <w:i/>
              </w:rPr>
              <w:t>Astrostipa scabra</w:t>
            </w:r>
          </w:p>
        </w:tc>
        <w:tc>
          <w:tcPr>
            <w:tcW w:w="709" w:type="dxa"/>
            <w:vAlign w:val="bottom"/>
          </w:tcPr>
          <w:p w14:paraId="7403565C" w14:textId="37DAC0A3" w:rsidR="00C80858" w:rsidRPr="00747E35" w:rsidRDefault="00C80858" w:rsidP="00C80858">
            <w:pPr>
              <w:pStyle w:val="Tabletext"/>
              <w:spacing w:before="0" w:after="0"/>
              <w:rPr>
                <w:rFonts w:cstheme="minorHAnsi"/>
              </w:rPr>
            </w:pPr>
            <w:r w:rsidRPr="00747E35">
              <w:rPr>
                <w:rFonts w:cstheme="minorHAnsi"/>
              </w:rPr>
              <w:t>B, M</w:t>
            </w:r>
          </w:p>
        </w:tc>
        <w:tc>
          <w:tcPr>
            <w:tcW w:w="992" w:type="dxa"/>
            <w:tcBorders>
              <w:right w:val="single" w:sz="4" w:space="0" w:color="auto"/>
            </w:tcBorders>
            <w:vAlign w:val="bottom"/>
          </w:tcPr>
          <w:p w14:paraId="3F14F1AC" w14:textId="1AA475C3" w:rsidR="00C80858" w:rsidRPr="00747E35" w:rsidRDefault="00C80858" w:rsidP="00C80858">
            <w:pPr>
              <w:pStyle w:val="Tabletext"/>
              <w:spacing w:before="0" w:after="0"/>
              <w:rPr>
                <w:rFonts w:cstheme="minorHAnsi"/>
              </w:rPr>
            </w:pPr>
            <w:r w:rsidRPr="00747E35">
              <w:rPr>
                <w:rFonts w:cstheme="minorHAnsi"/>
              </w:rPr>
              <w:t>Fi Fp Ri Rp T</w:t>
            </w:r>
          </w:p>
        </w:tc>
        <w:tc>
          <w:tcPr>
            <w:tcW w:w="709" w:type="dxa"/>
            <w:tcBorders>
              <w:left w:val="single" w:sz="4" w:space="0" w:color="auto"/>
            </w:tcBorders>
            <w:vAlign w:val="bottom"/>
          </w:tcPr>
          <w:p w14:paraId="21881CD7" w14:textId="52CB4EDF" w:rsidR="00C80858" w:rsidRPr="00747E35" w:rsidRDefault="00C80858" w:rsidP="00C80858">
            <w:pPr>
              <w:pStyle w:val="Tabletext"/>
              <w:spacing w:before="0" w:after="0"/>
              <w:rPr>
                <w:rFonts w:cstheme="minorHAnsi"/>
              </w:rPr>
            </w:pPr>
            <w:r w:rsidRPr="00747E35">
              <w:rPr>
                <w:rFonts w:cstheme="minorHAnsi"/>
              </w:rPr>
              <w:t>3</w:t>
            </w:r>
          </w:p>
        </w:tc>
        <w:tc>
          <w:tcPr>
            <w:tcW w:w="708" w:type="dxa"/>
            <w:vAlign w:val="bottom"/>
          </w:tcPr>
          <w:p w14:paraId="7DC73746" w14:textId="28EDC4F8" w:rsidR="00C80858" w:rsidRPr="00747E35" w:rsidRDefault="00C80858" w:rsidP="00C80858">
            <w:pPr>
              <w:pStyle w:val="Tabletext"/>
              <w:spacing w:before="0" w:after="0"/>
              <w:rPr>
                <w:rFonts w:cstheme="minorHAnsi"/>
              </w:rPr>
            </w:pPr>
            <w:r w:rsidRPr="00747E35">
              <w:rPr>
                <w:rFonts w:cstheme="minorHAnsi"/>
              </w:rPr>
              <w:t>ph *</w:t>
            </w:r>
          </w:p>
        </w:tc>
        <w:tc>
          <w:tcPr>
            <w:tcW w:w="2268" w:type="dxa"/>
            <w:vAlign w:val="bottom"/>
          </w:tcPr>
          <w:p w14:paraId="5EA06A18" w14:textId="4C7F138E" w:rsidR="00C80858" w:rsidRPr="00747E35" w:rsidRDefault="00C80858" w:rsidP="00C80858">
            <w:pPr>
              <w:pStyle w:val="Tabletext"/>
              <w:spacing w:before="0" w:after="0"/>
              <w:rPr>
                <w:rFonts w:cstheme="minorHAnsi"/>
                <w:i/>
              </w:rPr>
            </w:pPr>
            <w:r w:rsidRPr="00747E35">
              <w:rPr>
                <w:rFonts w:cstheme="minorHAnsi"/>
                <w:i/>
              </w:rPr>
              <w:t>Melilotus indicus</w:t>
            </w:r>
          </w:p>
        </w:tc>
        <w:tc>
          <w:tcPr>
            <w:tcW w:w="426" w:type="dxa"/>
            <w:vAlign w:val="bottom"/>
          </w:tcPr>
          <w:p w14:paraId="4B1309B0" w14:textId="14951684" w:rsidR="00C80858" w:rsidRPr="00747E35" w:rsidRDefault="00C80858" w:rsidP="00C80858">
            <w:pPr>
              <w:pStyle w:val="Tabletext"/>
              <w:spacing w:before="0" w:after="0"/>
              <w:rPr>
                <w:rFonts w:cstheme="minorHAnsi"/>
              </w:rPr>
            </w:pPr>
            <w:r w:rsidRPr="00747E35">
              <w:rPr>
                <w:rFonts w:cstheme="minorHAnsi"/>
              </w:rPr>
              <w:t>M</w:t>
            </w:r>
          </w:p>
        </w:tc>
        <w:tc>
          <w:tcPr>
            <w:tcW w:w="850" w:type="dxa"/>
            <w:vAlign w:val="bottom"/>
          </w:tcPr>
          <w:p w14:paraId="34677F27" w14:textId="6C7E025F"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5AD9C83F" w14:textId="77777777" w:rsidTr="0096743A">
        <w:tc>
          <w:tcPr>
            <w:tcW w:w="567" w:type="dxa"/>
            <w:vAlign w:val="bottom"/>
          </w:tcPr>
          <w:p w14:paraId="04891394" w14:textId="32112B3B" w:rsidR="00C80858" w:rsidRPr="00747E35" w:rsidRDefault="00C80858" w:rsidP="00C80858">
            <w:pPr>
              <w:pStyle w:val="Tabletext"/>
              <w:spacing w:before="0" w:after="0"/>
              <w:rPr>
                <w:rFonts w:cstheme="minorHAnsi"/>
              </w:rPr>
            </w:pPr>
            <w:r w:rsidRPr="00747E35">
              <w:rPr>
                <w:rFonts w:cstheme="minorHAnsi"/>
              </w:rPr>
              <w:t>3</w:t>
            </w:r>
          </w:p>
        </w:tc>
        <w:tc>
          <w:tcPr>
            <w:tcW w:w="567" w:type="dxa"/>
          </w:tcPr>
          <w:p w14:paraId="19C0BE81" w14:textId="3959178B"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12592082" w14:textId="6DC446A4" w:rsidR="00C80858" w:rsidRPr="00747E35" w:rsidRDefault="00C80858" w:rsidP="00C80858">
            <w:pPr>
              <w:pStyle w:val="Tabletext"/>
              <w:spacing w:before="0" w:after="0"/>
              <w:rPr>
                <w:rFonts w:cstheme="minorHAnsi"/>
                <w:i/>
              </w:rPr>
            </w:pPr>
            <w:r w:rsidRPr="00747E35">
              <w:rPr>
                <w:rFonts w:cstheme="minorHAnsi"/>
                <w:i/>
              </w:rPr>
              <w:t>Bothriochloa bladhii</w:t>
            </w:r>
          </w:p>
        </w:tc>
        <w:tc>
          <w:tcPr>
            <w:tcW w:w="709" w:type="dxa"/>
            <w:vAlign w:val="bottom"/>
          </w:tcPr>
          <w:p w14:paraId="0040D3EF" w14:textId="5C5248A4"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520F200B" w14:textId="7B7A8676" w:rsidR="00C80858" w:rsidRPr="00747E35" w:rsidRDefault="00C80858" w:rsidP="00C80858">
            <w:pPr>
              <w:pStyle w:val="Tabletext"/>
              <w:spacing w:before="0" w:after="0"/>
              <w:rPr>
                <w:rFonts w:cstheme="minorHAnsi"/>
              </w:rPr>
            </w:pPr>
            <w:r w:rsidRPr="00747E35">
              <w:rPr>
                <w:rFonts w:cstheme="minorHAnsi"/>
              </w:rPr>
              <w:t>Fp Rp</w:t>
            </w:r>
          </w:p>
        </w:tc>
        <w:tc>
          <w:tcPr>
            <w:tcW w:w="709" w:type="dxa"/>
            <w:tcBorders>
              <w:left w:val="single" w:sz="4" w:space="0" w:color="auto"/>
            </w:tcBorders>
            <w:vAlign w:val="bottom"/>
          </w:tcPr>
          <w:p w14:paraId="294D1614" w14:textId="6250CFBD" w:rsidR="00C80858" w:rsidRPr="00747E35" w:rsidRDefault="00C80858" w:rsidP="00C80858">
            <w:pPr>
              <w:pStyle w:val="Tabletext"/>
              <w:spacing w:before="0" w:after="0"/>
              <w:rPr>
                <w:rFonts w:cstheme="minorHAnsi"/>
              </w:rPr>
            </w:pPr>
            <w:r w:rsidRPr="00747E35">
              <w:rPr>
                <w:rFonts w:cstheme="minorHAnsi"/>
              </w:rPr>
              <w:t>2</w:t>
            </w:r>
          </w:p>
        </w:tc>
        <w:tc>
          <w:tcPr>
            <w:tcW w:w="708" w:type="dxa"/>
            <w:vAlign w:val="bottom"/>
          </w:tcPr>
          <w:p w14:paraId="0D54CDAB" w14:textId="64BC76D0" w:rsidR="00C80858" w:rsidRPr="00747E35" w:rsidRDefault="00C80858" w:rsidP="00C80858">
            <w:pPr>
              <w:pStyle w:val="Tabletext"/>
              <w:spacing w:before="0" w:after="0"/>
              <w:rPr>
                <w:rFonts w:cstheme="minorHAnsi"/>
              </w:rPr>
            </w:pPr>
            <w:r w:rsidRPr="00747E35">
              <w:rPr>
                <w:rFonts w:cstheme="minorHAnsi"/>
              </w:rPr>
              <w:t>ph *</w:t>
            </w:r>
          </w:p>
        </w:tc>
        <w:tc>
          <w:tcPr>
            <w:tcW w:w="2268" w:type="dxa"/>
            <w:vAlign w:val="bottom"/>
          </w:tcPr>
          <w:p w14:paraId="0962C8C7" w14:textId="48C08EA6" w:rsidR="00C80858" w:rsidRPr="00747E35" w:rsidRDefault="00C80858" w:rsidP="00C80858">
            <w:pPr>
              <w:pStyle w:val="Tabletext"/>
              <w:spacing w:before="0" w:after="0"/>
              <w:rPr>
                <w:rFonts w:cstheme="minorHAnsi"/>
                <w:i/>
              </w:rPr>
            </w:pPr>
            <w:r w:rsidRPr="00747E35">
              <w:rPr>
                <w:rFonts w:cstheme="minorHAnsi"/>
                <w:i/>
              </w:rPr>
              <w:t>Phyla nodiflora</w:t>
            </w:r>
          </w:p>
        </w:tc>
        <w:tc>
          <w:tcPr>
            <w:tcW w:w="426" w:type="dxa"/>
            <w:vAlign w:val="bottom"/>
          </w:tcPr>
          <w:p w14:paraId="2DBD41DA" w14:textId="4C40036A" w:rsidR="00C80858" w:rsidRPr="00747E35" w:rsidRDefault="00C80858" w:rsidP="00C80858">
            <w:pPr>
              <w:pStyle w:val="Tabletext"/>
              <w:spacing w:before="0" w:after="0"/>
              <w:rPr>
                <w:rFonts w:cstheme="minorHAnsi"/>
              </w:rPr>
            </w:pPr>
            <w:r w:rsidRPr="00747E35">
              <w:rPr>
                <w:rFonts w:cstheme="minorHAnsi"/>
              </w:rPr>
              <w:t>M</w:t>
            </w:r>
          </w:p>
        </w:tc>
        <w:tc>
          <w:tcPr>
            <w:tcW w:w="850" w:type="dxa"/>
            <w:vAlign w:val="bottom"/>
          </w:tcPr>
          <w:p w14:paraId="50940D94" w14:textId="15873388"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43AA410F" w14:textId="77777777" w:rsidTr="0096743A">
        <w:tc>
          <w:tcPr>
            <w:tcW w:w="567" w:type="dxa"/>
            <w:vAlign w:val="bottom"/>
          </w:tcPr>
          <w:p w14:paraId="6FE3FEC9" w14:textId="2845ED3E" w:rsidR="00C80858" w:rsidRPr="00747E35" w:rsidRDefault="00C80858" w:rsidP="00C80858">
            <w:pPr>
              <w:pStyle w:val="Tabletext"/>
              <w:spacing w:before="0" w:after="0"/>
              <w:rPr>
                <w:rFonts w:cstheme="minorHAnsi"/>
              </w:rPr>
            </w:pPr>
            <w:r w:rsidRPr="00747E35">
              <w:rPr>
                <w:rFonts w:cstheme="minorHAnsi"/>
              </w:rPr>
              <w:t>6</w:t>
            </w:r>
          </w:p>
        </w:tc>
        <w:tc>
          <w:tcPr>
            <w:tcW w:w="567" w:type="dxa"/>
          </w:tcPr>
          <w:p w14:paraId="18B2666C" w14:textId="4C7DB48B"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0F100B63" w14:textId="20DCA69A" w:rsidR="00C80858" w:rsidRPr="00747E35" w:rsidRDefault="00C80858" w:rsidP="00C80858">
            <w:pPr>
              <w:pStyle w:val="Tabletext"/>
              <w:spacing w:before="0" w:after="0"/>
              <w:rPr>
                <w:rFonts w:cstheme="minorHAnsi"/>
                <w:i/>
              </w:rPr>
            </w:pPr>
            <w:r w:rsidRPr="00747E35">
              <w:rPr>
                <w:rFonts w:cstheme="minorHAnsi"/>
                <w:i/>
              </w:rPr>
              <w:t xml:space="preserve">Bothriochloa </w:t>
            </w:r>
            <w:r w:rsidRPr="00747E35">
              <w:rPr>
                <w:rFonts w:cstheme="minorHAnsi"/>
              </w:rPr>
              <w:t>sp</w:t>
            </w:r>
          </w:p>
        </w:tc>
        <w:tc>
          <w:tcPr>
            <w:tcW w:w="709" w:type="dxa"/>
            <w:vAlign w:val="bottom"/>
          </w:tcPr>
          <w:p w14:paraId="759199BF" w14:textId="5901AD66"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6DC42AD9" w14:textId="55A53908" w:rsidR="00C80858" w:rsidRPr="00747E35" w:rsidRDefault="00C80858" w:rsidP="00C80858">
            <w:pPr>
              <w:pStyle w:val="Tabletext"/>
              <w:spacing w:before="0" w:after="0"/>
              <w:rPr>
                <w:rFonts w:cstheme="minorHAnsi"/>
              </w:rPr>
            </w:pPr>
            <w:r w:rsidRPr="00747E35">
              <w:rPr>
                <w:rFonts w:cstheme="minorHAnsi"/>
              </w:rPr>
              <w:t>Fi Fp Rp T</w:t>
            </w:r>
          </w:p>
        </w:tc>
        <w:tc>
          <w:tcPr>
            <w:tcW w:w="709" w:type="dxa"/>
            <w:tcBorders>
              <w:left w:val="single" w:sz="4" w:space="0" w:color="auto"/>
            </w:tcBorders>
            <w:vAlign w:val="bottom"/>
          </w:tcPr>
          <w:p w14:paraId="19ACA76B" w14:textId="47F13601" w:rsidR="00C80858" w:rsidRPr="00747E35" w:rsidRDefault="00C80858" w:rsidP="00C80858">
            <w:pPr>
              <w:pStyle w:val="Tabletext"/>
              <w:spacing w:before="0" w:after="0"/>
              <w:rPr>
                <w:rFonts w:cstheme="minorHAnsi"/>
              </w:rPr>
            </w:pPr>
            <w:r w:rsidRPr="00747E35">
              <w:rPr>
                <w:rFonts w:cstheme="minorHAnsi"/>
              </w:rPr>
              <w:t>1</w:t>
            </w:r>
          </w:p>
        </w:tc>
        <w:tc>
          <w:tcPr>
            <w:tcW w:w="708" w:type="dxa"/>
            <w:vAlign w:val="bottom"/>
          </w:tcPr>
          <w:p w14:paraId="0F9F6C98" w14:textId="381A820C" w:rsidR="00C80858" w:rsidRPr="00747E35" w:rsidRDefault="00C80858" w:rsidP="00C80858">
            <w:pPr>
              <w:pStyle w:val="Tabletext"/>
              <w:spacing w:before="0" w:after="0"/>
              <w:rPr>
                <w:rFonts w:cstheme="minorHAnsi"/>
              </w:rPr>
            </w:pPr>
            <w:r w:rsidRPr="00747E35">
              <w:rPr>
                <w:rFonts w:cstheme="minorHAnsi"/>
              </w:rPr>
              <w:t>ph *</w:t>
            </w:r>
          </w:p>
        </w:tc>
        <w:tc>
          <w:tcPr>
            <w:tcW w:w="2268" w:type="dxa"/>
            <w:vAlign w:val="bottom"/>
          </w:tcPr>
          <w:p w14:paraId="7215C9F3" w14:textId="364B336E" w:rsidR="00C80858" w:rsidRPr="00747E35" w:rsidRDefault="00C80858" w:rsidP="00C80858">
            <w:pPr>
              <w:pStyle w:val="Tabletext"/>
              <w:spacing w:before="0" w:after="0"/>
              <w:rPr>
                <w:rFonts w:cstheme="minorHAnsi"/>
                <w:i/>
              </w:rPr>
            </w:pPr>
            <w:r w:rsidRPr="00747E35">
              <w:rPr>
                <w:rFonts w:cstheme="minorHAnsi"/>
                <w:i/>
              </w:rPr>
              <w:t>Polygonum aviculare</w:t>
            </w:r>
          </w:p>
        </w:tc>
        <w:tc>
          <w:tcPr>
            <w:tcW w:w="426" w:type="dxa"/>
            <w:vAlign w:val="bottom"/>
          </w:tcPr>
          <w:p w14:paraId="48F15B19" w14:textId="7DEAA6C5"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6E40B69B" w14:textId="3998A72E" w:rsidR="00C80858" w:rsidRPr="00747E35" w:rsidRDefault="00C80858" w:rsidP="00C80858">
            <w:pPr>
              <w:pStyle w:val="Tabletext"/>
              <w:spacing w:before="0" w:after="0"/>
              <w:rPr>
                <w:rFonts w:cstheme="minorHAnsi"/>
              </w:rPr>
            </w:pPr>
            <w:r w:rsidRPr="00747E35">
              <w:rPr>
                <w:rFonts w:cstheme="minorHAnsi"/>
              </w:rPr>
              <w:t>Rp</w:t>
            </w:r>
          </w:p>
        </w:tc>
      </w:tr>
      <w:tr w:rsidR="00C80858" w:rsidRPr="00747E35" w14:paraId="367CD679" w14:textId="77777777" w:rsidTr="0096743A">
        <w:tc>
          <w:tcPr>
            <w:tcW w:w="567" w:type="dxa"/>
            <w:vAlign w:val="bottom"/>
          </w:tcPr>
          <w:p w14:paraId="758EB3E3" w14:textId="6551B043" w:rsidR="00C80858" w:rsidRPr="00747E35" w:rsidRDefault="00C80858" w:rsidP="00C80858">
            <w:pPr>
              <w:pStyle w:val="Tabletext"/>
              <w:spacing w:before="0" w:after="0"/>
              <w:rPr>
                <w:rFonts w:cstheme="minorHAnsi"/>
              </w:rPr>
            </w:pPr>
            <w:r w:rsidRPr="00747E35">
              <w:rPr>
                <w:rFonts w:cstheme="minorHAnsi"/>
              </w:rPr>
              <w:t>3</w:t>
            </w:r>
          </w:p>
        </w:tc>
        <w:tc>
          <w:tcPr>
            <w:tcW w:w="567" w:type="dxa"/>
          </w:tcPr>
          <w:p w14:paraId="7E980AB1" w14:textId="080CEF52"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29DF12A0" w14:textId="5992A405" w:rsidR="00C80858" w:rsidRPr="00747E35" w:rsidRDefault="00C80858" w:rsidP="00C80858">
            <w:pPr>
              <w:pStyle w:val="Tabletext"/>
              <w:spacing w:before="0" w:after="0"/>
              <w:rPr>
                <w:rFonts w:cstheme="minorHAnsi"/>
                <w:i/>
              </w:rPr>
            </w:pPr>
            <w:r w:rsidRPr="00747E35">
              <w:rPr>
                <w:rFonts w:cstheme="minorHAnsi"/>
                <w:i/>
              </w:rPr>
              <w:t>Cynodon dactylis</w:t>
            </w:r>
          </w:p>
        </w:tc>
        <w:tc>
          <w:tcPr>
            <w:tcW w:w="709" w:type="dxa"/>
            <w:vAlign w:val="bottom"/>
          </w:tcPr>
          <w:p w14:paraId="6DDA545F" w14:textId="6765134E" w:rsidR="00C80858" w:rsidRPr="00747E35" w:rsidRDefault="00C80858" w:rsidP="00C80858">
            <w:pPr>
              <w:pStyle w:val="Tabletext"/>
              <w:spacing w:before="0" w:after="0"/>
              <w:rPr>
                <w:rFonts w:cstheme="minorHAnsi"/>
              </w:rPr>
            </w:pPr>
            <w:r w:rsidRPr="00747E35">
              <w:rPr>
                <w:rFonts w:cstheme="minorHAnsi"/>
              </w:rPr>
              <w:t>B, M</w:t>
            </w:r>
          </w:p>
        </w:tc>
        <w:tc>
          <w:tcPr>
            <w:tcW w:w="992" w:type="dxa"/>
            <w:tcBorders>
              <w:right w:val="single" w:sz="4" w:space="0" w:color="auto"/>
            </w:tcBorders>
            <w:vAlign w:val="bottom"/>
          </w:tcPr>
          <w:p w14:paraId="6BE3AEF4" w14:textId="13CB06C7" w:rsidR="00C80858" w:rsidRPr="00747E35" w:rsidRDefault="00C80858" w:rsidP="00C80858">
            <w:pPr>
              <w:pStyle w:val="Tabletext"/>
              <w:spacing w:before="0" w:after="0"/>
              <w:rPr>
                <w:rFonts w:cstheme="minorHAnsi"/>
              </w:rPr>
            </w:pPr>
            <w:r w:rsidRPr="00747E35">
              <w:rPr>
                <w:rFonts w:cstheme="minorHAnsi"/>
              </w:rPr>
              <w:t>Fi Fp Ri Rp</w:t>
            </w:r>
          </w:p>
        </w:tc>
        <w:tc>
          <w:tcPr>
            <w:tcW w:w="709" w:type="dxa"/>
            <w:tcBorders>
              <w:left w:val="single" w:sz="4" w:space="0" w:color="auto"/>
            </w:tcBorders>
            <w:vAlign w:val="bottom"/>
          </w:tcPr>
          <w:p w14:paraId="18BBBCF5" w14:textId="34217C5B" w:rsidR="00C80858" w:rsidRPr="00747E35" w:rsidRDefault="00C80858" w:rsidP="00C80858">
            <w:pPr>
              <w:pStyle w:val="Tabletext"/>
              <w:spacing w:before="0" w:after="0"/>
              <w:rPr>
                <w:rFonts w:cstheme="minorHAnsi"/>
              </w:rPr>
            </w:pPr>
            <w:r w:rsidRPr="00747E35">
              <w:rPr>
                <w:rFonts w:cstheme="minorHAnsi"/>
              </w:rPr>
              <w:t>4</w:t>
            </w:r>
          </w:p>
        </w:tc>
        <w:tc>
          <w:tcPr>
            <w:tcW w:w="708" w:type="dxa"/>
            <w:vAlign w:val="bottom"/>
          </w:tcPr>
          <w:p w14:paraId="754CAF49" w14:textId="0C26BB93" w:rsidR="00C80858" w:rsidRPr="00747E35" w:rsidRDefault="00C80858" w:rsidP="00C80858">
            <w:pPr>
              <w:pStyle w:val="Tabletext"/>
              <w:spacing w:before="0" w:after="0"/>
              <w:rPr>
                <w:rFonts w:cstheme="minorHAnsi"/>
              </w:rPr>
            </w:pPr>
            <w:r w:rsidRPr="00747E35">
              <w:rPr>
                <w:rFonts w:cstheme="minorHAnsi"/>
              </w:rPr>
              <w:t>ah *</w:t>
            </w:r>
          </w:p>
        </w:tc>
        <w:tc>
          <w:tcPr>
            <w:tcW w:w="2268" w:type="dxa"/>
            <w:vAlign w:val="bottom"/>
          </w:tcPr>
          <w:p w14:paraId="19ED6AC6" w14:textId="493887DF" w:rsidR="00C80858" w:rsidRPr="00747E35" w:rsidRDefault="00C80858" w:rsidP="00C80858">
            <w:pPr>
              <w:pStyle w:val="Tabletext"/>
              <w:spacing w:before="0" w:after="0"/>
              <w:rPr>
                <w:rFonts w:cstheme="minorHAnsi"/>
                <w:i/>
              </w:rPr>
            </w:pPr>
            <w:r w:rsidRPr="00747E35">
              <w:rPr>
                <w:rFonts w:cstheme="minorHAnsi"/>
                <w:i/>
              </w:rPr>
              <w:t>Stellaria media</w:t>
            </w:r>
          </w:p>
        </w:tc>
        <w:tc>
          <w:tcPr>
            <w:tcW w:w="426" w:type="dxa"/>
            <w:vAlign w:val="bottom"/>
          </w:tcPr>
          <w:p w14:paraId="4425ED18" w14:textId="4AFEB16B" w:rsidR="00C80858" w:rsidRPr="00747E35" w:rsidRDefault="00C80858" w:rsidP="00C80858">
            <w:pPr>
              <w:pStyle w:val="Tabletext"/>
              <w:spacing w:before="0" w:after="0"/>
              <w:rPr>
                <w:rFonts w:cstheme="minorHAnsi"/>
              </w:rPr>
            </w:pPr>
            <w:r w:rsidRPr="00747E35">
              <w:rPr>
                <w:rFonts w:cstheme="minorHAnsi"/>
              </w:rPr>
              <w:t>M</w:t>
            </w:r>
          </w:p>
        </w:tc>
        <w:tc>
          <w:tcPr>
            <w:tcW w:w="850" w:type="dxa"/>
            <w:vAlign w:val="bottom"/>
          </w:tcPr>
          <w:p w14:paraId="7E059046" w14:textId="3970586D"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480F4684" w14:textId="77777777" w:rsidTr="0096743A">
        <w:tc>
          <w:tcPr>
            <w:tcW w:w="567" w:type="dxa"/>
            <w:vAlign w:val="bottom"/>
          </w:tcPr>
          <w:p w14:paraId="6E3CC256" w14:textId="7A57D6F2" w:rsidR="00C80858" w:rsidRPr="00747E35" w:rsidRDefault="00C80858" w:rsidP="00C80858">
            <w:pPr>
              <w:pStyle w:val="Tabletext"/>
              <w:spacing w:before="0" w:after="0"/>
              <w:rPr>
                <w:rFonts w:cstheme="minorHAnsi"/>
              </w:rPr>
            </w:pPr>
            <w:r w:rsidRPr="00747E35">
              <w:rPr>
                <w:rFonts w:cstheme="minorHAnsi"/>
              </w:rPr>
              <w:t>4</w:t>
            </w:r>
          </w:p>
        </w:tc>
        <w:tc>
          <w:tcPr>
            <w:tcW w:w="567" w:type="dxa"/>
          </w:tcPr>
          <w:p w14:paraId="2BF84A0A" w14:textId="5BB3E549"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6F3D3194" w14:textId="27C2964F" w:rsidR="00C80858" w:rsidRPr="00747E35" w:rsidRDefault="00C80858" w:rsidP="00C80858">
            <w:pPr>
              <w:pStyle w:val="Tabletext"/>
              <w:spacing w:before="0" w:after="0"/>
              <w:rPr>
                <w:rFonts w:cstheme="minorHAnsi"/>
                <w:i/>
              </w:rPr>
            </w:pPr>
            <w:r w:rsidRPr="00747E35">
              <w:rPr>
                <w:rFonts w:cstheme="minorHAnsi"/>
                <w:i/>
              </w:rPr>
              <w:t>Austrodanthonia sp</w:t>
            </w:r>
          </w:p>
        </w:tc>
        <w:tc>
          <w:tcPr>
            <w:tcW w:w="709" w:type="dxa"/>
            <w:vAlign w:val="bottom"/>
          </w:tcPr>
          <w:p w14:paraId="19A3F3B4" w14:textId="652CF36B"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41C8FA76" w14:textId="2E4815BC" w:rsidR="00C80858" w:rsidRPr="00747E35" w:rsidRDefault="00C80858" w:rsidP="00C80858">
            <w:pPr>
              <w:pStyle w:val="Tabletext"/>
              <w:spacing w:before="0" w:after="0"/>
              <w:rPr>
                <w:rFonts w:cstheme="minorHAnsi"/>
              </w:rPr>
            </w:pPr>
            <w:r w:rsidRPr="00747E35">
              <w:rPr>
                <w:rFonts w:cstheme="minorHAnsi"/>
              </w:rPr>
              <w:t>T</w:t>
            </w:r>
          </w:p>
        </w:tc>
        <w:tc>
          <w:tcPr>
            <w:tcW w:w="709" w:type="dxa"/>
            <w:tcBorders>
              <w:left w:val="single" w:sz="4" w:space="0" w:color="auto"/>
            </w:tcBorders>
            <w:vAlign w:val="bottom"/>
          </w:tcPr>
          <w:p w14:paraId="563D51F0" w14:textId="465BD964" w:rsidR="00C80858" w:rsidRPr="00747E35" w:rsidRDefault="00C80858" w:rsidP="00C80858">
            <w:pPr>
              <w:pStyle w:val="Tabletext"/>
              <w:spacing w:before="0" w:after="0"/>
              <w:rPr>
                <w:rFonts w:cstheme="minorHAnsi"/>
              </w:rPr>
            </w:pPr>
            <w:r w:rsidRPr="00747E35">
              <w:rPr>
                <w:rFonts w:cstheme="minorHAnsi"/>
              </w:rPr>
              <w:t>6</w:t>
            </w:r>
          </w:p>
        </w:tc>
        <w:tc>
          <w:tcPr>
            <w:tcW w:w="708" w:type="dxa"/>
            <w:vAlign w:val="bottom"/>
          </w:tcPr>
          <w:p w14:paraId="097D528F" w14:textId="09C2283F" w:rsidR="00C80858" w:rsidRPr="00747E35" w:rsidRDefault="00C80858" w:rsidP="00C80858">
            <w:pPr>
              <w:pStyle w:val="Tabletext"/>
              <w:spacing w:before="0" w:after="0"/>
              <w:rPr>
                <w:rFonts w:cstheme="minorHAnsi"/>
              </w:rPr>
            </w:pPr>
            <w:r w:rsidRPr="00747E35">
              <w:rPr>
                <w:rFonts w:cstheme="minorHAnsi"/>
              </w:rPr>
              <w:t>sh*</w:t>
            </w:r>
          </w:p>
        </w:tc>
        <w:tc>
          <w:tcPr>
            <w:tcW w:w="2268" w:type="dxa"/>
            <w:vAlign w:val="bottom"/>
          </w:tcPr>
          <w:p w14:paraId="27D500C8" w14:textId="140FC21E" w:rsidR="00C80858" w:rsidRPr="00747E35" w:rsidRDefault="00C80858" w:rsidP="00C80858">
            <w:pPr>
              <w:pStyle w:val="Tabletext"/>
              <w:spacing w:before="0" w:after="0"/>
              <w:rPr>
                <w:rFonts w:cstheme="minorHAnsi"/>
                <w:i/>
              </w:rPr>
            </w:pPr>
            <w:r w:rsidRPr="00747E35">
              <w:rPr>
                <w:rFonts w:cstheme="minorHAnsi"/>
                <w:i/>
              </w:rPr>
              <w:t>Asparagus africanus</w:t>
            </w:r>
          </w:p>
        </w:tc>
        <w:tc>
          <w:tcPr>
            <w:tcW w:w="426" w:type="dxa"/>
            <w:vAlign w:val="bottom"/>
          </w:tcPr>
          <w:p w14:paraId="318BC16A" w14:textId="1D90B9DC"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5987C14B" w14:textId="5C730AE0" w:rsidR="00C80858" w:rsidRPr="00747E35" w:rsidRDefault="00C80858" w:rsidP="00C80858">
            <w:pPr>
              <w:pStyle w:val="Tabletext"/>
              <w:spacing w:before="0" w:after="0"/>
              <w:rPr>
                <w:rFonts w:cstheme="minorHAnsi"/>
              </w:rPr>
            </w:pPr>
            <w:r w:rsidRPr="00747E35">
              <w:rPr>
                <w:rFonts w:cstheme="minorHAnsi"/>
              </w:rPr>
              <w:t>Fi Fp Ri</w:t>
            </w:r>
          </w:p>
        </w:tc>
      </w:tr>
      <w:tr w:rsidR="00C80858" w:rsidRPr="00747E35" w14:paraId="5617E0FC" w14:textId="77777777" w:rsidTr="0096743A">
        <w:tc>
          <w:tcPr>
            <w:tcW w:w="567" w:type="dxa"/>
            <w:vAlign w:val="bottom"/>
          </w:tcPr>
          <w:p w14:paraId="0D1121DA" w14:textId="5AED389D" w:rsidR="00C80858" w:rsidRPr="00747E35" w:rsidRDefault="00C80858" w:rsidP="00C80858">
            <w:pPr>
              <w:pStyle w:val="Tabletext"/>
              <w:spacing w:before="0" w:after="0"/>
              <w:rPr>
                <w:rFonts w:cstheme="minorHAnsi"/>
              </w:rPr>
            </w:pPr>
            <w:r w:rsidRPr="00747E35">
              <w:rPr>
                <w:rFonts w:cstheme="minorHAnsi"/>
              </w:rPr>
              <w:t>4</w:t>
            </w:r>
          </w:p>
        </w:tc>
        <w:tc>
          <w:tcPr>
            <w:tcW w:w="567" w:type="dxa"/>
          </w:tcPr>
          <w:p w14:paraId="654C7140" w14:textId="30154ED2"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40A181E9" w14:textId="3757FD52" w:rsidR="00C80858" w:rsidRPr="00747E35" w:rsidRDefault="00C80858" w:rsidP="00C80858">
            <w:pPr>
              <w:pStyle w:val="Tabletext"/>
              <w:spacing w:before="0" w:after="0"/>
              <w:rPr>
                <w:rFonts w:cstheme="minorHAnsi"/>
                <w:i/>
              </w:rPr>
            </w:pPr>
            <w:r w:rsidRPr="00747E35">
              <w:rPr>
                <w:rFonts w:cstheme="minorHAnsi"/>
                <w:i/>
              </w:rPr>
              <w:t>Dichanthium sericeum</w:t>
            </w:r>
          </w:p>
        </w:tc>
        <w:tc>
          <w:tcPr>
            <w:tcW w:w="709" w:type="dxa"/>
            <w:vAlign w:val="bottom"/>
          </w:tcPr>
          <w:p w14:paraId="0F01A36F" w14:textId="5CB5FE62" w:rsidR="00C80858" w:rsidRPr="00747E35" w:rsidRDefault="00C80858" w:rsidP="00C80858">
            <w:pPr>
              <w:pStyle w:val="Tabletext"/>
              <w:spacing w:before="0" w:after="0"/>
              <w:rPr>
                <w:rFonts w:cstheme="minorHAnsi"/>
              </w:rPr>
            </w:pPr>
            <w:r w:rsidRPr="00747E35">
              <w:rPr>
                <w:rFonts w:cstheme="minorHAnsi"/>
              </w:rPr>
              <w:t>B, M</w:t>
            </w:r>
          </w:p>
        </w:tc>
        <w:tc>
          <w:tcPr>
            <w:tcW w:w="992" w:type="dxa"/>
            <w:tcBorders>
              <w:right w:val="single" w:sz="4" w:space="0" w:color="auto"/>
            </w:tcBorders>
            <w:vAlign w:val="bottom"/>
          </w:tcPr>
          <w:p w14:paraId="4CE7A05B" w14:textId="33327B7C" w:rsidR="00C80858" w:rsidRPr="00747E35" w:rsidRDefault="00C80858" w:rsidP="00C80858">
            <w:pPr>
              <w:pStyle w:val="Tabletext"/>
              <w:spacing w:before="0" w:after="0"/>
              <w:rPr>
                <w:rFonts w:cstheme="minorHAnsi"/>
              </w:rPr>
            </w:pPr>
            <w:r w:rsidRPr="00747E35">
              <w:rPr>
                <w:rFonts w:cstheme="minorHAnsi"/>
              </w:rPr>
              <w:t>Rp T</w:t>
            </w:r>
          </w:p>
        </w:tc>
        <w:tc>
          <w:tcPr>
            <w:tcW w:w="709" w:type="dxa"/>
            <w:tcBorders>
              <w:left w:val="single" w:sz="4" w:space="0" w:color="auto"/>
            </w:tcBorders>
            <w:vAlign w:val="bottom"/>
          </w:tcPr>
          <w:p w14:paraId="6CFFA463" w14:textId="591DC4A4" w:rsidR="00C80858" w:rsidRPr="00747E35" w:rsidRDefault="00C80858" w:rsidP="00C80858">
            <w:pPr>
              <w:pStyle w:val="Tabletext"/>
              <w:spacing w:before="0" w:after="0"/>
              <w:rPr>
                <w:rFonts w:cstheme="minorHAnsi"/>
              </w:rPr>
            </w:pPr>
            <w:r w:rsidRPr="00747E35">
              <w:rPr>
                <w:rFonts w:cstheme="minorHAnsi"/>
              </w:rPr>
              <w:t>6</w:t>
            </w:r>
          </w:p>
        </w:tc>
        <w:tc>
          <w:tcPr>
            <w:tcW w:w="708" w:type="dxa"/>
            <w:vAlign w:val="bottom"/>
          </w:tcPr>
          <w:p w14:paraId="2652684C" w14:textId="34C54E3C" w:rsidR="00C80858" w:rsidRPr="00747E35" w:rsidRDefault="00C80858" w:rsidP="00C80858">
            <w:pPr>
              <w:pStyle w:val="Tabletext"/>
              <w:spacing w:before="0" w:after="0"/>
              <w:rPr>
                <w:rFonts w:cstheme="minorHAnsi"/>
              </w:rPr>
            </w:pPr>
            <w:r w:rsidRPr="00747E35">
              <w:rPr>
                <w:rFonts w:cstheme="minorHAnsi"/>
              </w:rPr>
              <w:t>sh</w:t>
            </w:r>
          </w:p>
        </w:tc>
        <w:tc>
          <w:tcPr>
            <w:tcW w:w="2268" w:type="dxa"/>
            <w:vAlign w:val="bottom"/>
          </w:tcPr>
          <w:p w14:paraId="4277E8AD" w14:textId="77348949" w:rsidR="00C80858" w:rsidRPr="00747E35" w:rsidRDefault="00C80858" w:rsidP="00C80858">
            <w:pPr>
              <w:pStyle w:val="Tabletext"/>
              <w:spacing w:before="0" w:after="0"/>
              <w:rPr>
                <w:rFonts w:cstheme="minorHAnsi"/>
                <w:i/>
              </w:rPr>
            </w:pPr>
            <w:r w:rsidRPr="00747E35">
              <w:rPr>
                <w:rFonts w:cstheme="minorHAnsi"/>
                <w:i/>
              </w:rPr>
              <w:t xml:space="preserve">Atriplex </w:t>
            </w:r>
            <w:r w:rsidRPr="00747E35">
              <w:rPr>
                <w:rFonts w:cstheme="minorHAnsi"/>
              </w:rPr>
              <w:t>sp</w:t>
            </w:r>
          </w:p>
        </w:tc>
        <w:tc>
          <w:tcPr>
            <w:tcW w:w="426" w:type="dxa"/>
            <w:vAlign w:val="bottom"/>
          </w:tcPr>
          <w:p w14:paraId="0D26101D" w14:textId="1901CA68" w:rsidR="00C80858" w:rsidRPr="00747E35" w:rsidRDefault="00C80858" w:rsidP="00C80858">
            <w:pPr>
              <w:pStyle w:val="Tabletext"/>
              <w:spacing w:before="0" w:after="0"/>
              <w:rPr>
                <w:rFonts w:cstheme="minorHAnsi"/>
              </w:rPr>
            </w:pPr>
            <w:r w:rsidRPr="00747E35">
              <w:rPr>
                <w:rFonts w:cstheme="minorHAnsi"/>
              </w:rPr>
              <w:t>M</w:t>
            </w:r>
          </w:p>
        </w:tc>
        <w:tc>
          <w:tcPr>
            <w:tcW w:w="850" w:type="dxa"/>
            <w:vAlign w:val="bottom"/>
          </w:tcPr>
          <w:p w14:paraId="0844E528" w14:textId="510D7C89" w:rsidR="00C80858" w:rsidRPr="00747E35" w:rsidRDefault="00C80858" w:rsidP="00C80858">
            <w:pPr>
              <w:pStyle w:val="Tabletext"/>
              <w:spacing w:before="0" w:after="0"/>
              <w:rPr>
                <w:rFonts w:cstheme="minorHAnsi"/>
              </w:rPr>
            </w:pPr>
            <w:r w:rsidRPr="00747E35">
              <w:rPr>
                <w:rFonts w:cstheme="minorHAnsi"/>
              </w:rPr>
              <w:t>Fi Rp T</w:t>
            </w:r>
          </w:p>
        </w:tc>
      </w:tr>
      <w:tr w:rsidR="00C80858" w:rsidRPr="00747E35" w14:paraId="415720AB" w14:textId="77777777" w:rsidTr="0096743A">
        <w:tc>
          <w:tcPr>
            <w:tcW w:w="567" w:type="dxa"/>
            <w:vAlign w:val="bottom"/>
          </w:tcPr>
          <w:p w14:paraId="6D1EF8E3" w14:textId="09EBE765" w:rsidR="00C80858" w:rsidRPr="00747E35" w:rsidRDefault="00C80858" w:rsidP="00C80858">
            <w:pPr>
              <w:pStyle w:val="Tabletext"/>
              <w:spacing w:before="0" w:after="0"/>
              <w:rPr>
                <w:rFonts w:cstheme="minorHAnsi"/>
              </w:rPr>
            </w:pPr>
            <w:r w:rsidRPr="00747E35">
              <w:rPr>
                <w:rFonts w:cstheme="minorHAnsi"/>
              </w:rPr>
              <w:t>6</w:t>
            </w:r>
          </w:p>
        </w:tc>
        <w:tc>
          <w:tcPr>
            <w:tcW w:w="567" w:type="dxa"/>
          </w:tcPr>
          <w:p w14:paraId="583F1865" w14:textId="636F5804"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0797C551" w14:textId="5D17A66A" w:rsidR="00C80858" w:rsidRPr="00747E35" w:rsidRDefault="00C80858" w:rsidP="00C80858">
            <w:pPr>
              <w:pStyle w:val="Tabletext"/>
              <w:spacing w:before="0" w:after="0"/>
              <w:rPr>
                <w:rFonts w:cstheme="minorHAnsi"/>
                <w:i/>
              </w:rPr>
            </w:pPr>
            <w:r w:rsidRPr="00747E35">
              <w:rPr>
                <w:rFonts w:cstheme="minorHAnsi"/>
                <w:i/>
              </w:rPr>
              <w:t>Enteropogon acicularis</w:t>
            </w:r>
          </w:p>
        </w:tc>
        <w:tc>
          <w:tcPr>
            <w:tcW w:w="709" w:type="dxa"/>
            <w:vAlign w:val="bottom"/>
          </w:tcPr>
          <w:p w14:paraId="64797A1B" w14:textId="23ED17D4"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234E5B2A" w14:textId="7E0545C0" w:rsidR="00C80858" w:rsidRPr="00747E35" w:rsidRDefault="00C80858" w:rsidP="00C80858">
            <w:pPr>
              <w:pStyle w:val="Tabletext"/>
              <w:spacing w:before="0" w:after="0"/>
              <w:rPr>
                <w:rFonts w:cstheme="minorHAnsi"/>
              </w:rPr>
            </w:pPr>
            <w:r w:rsidRPr="00747E35">
              <w:rPr>
                <w:rFonts w:cstheme="minorHAnsi"/>
              </w:rPr>
              <w:t>Fp Rp</w:t>
            </w:r>
          </w:p>
        </w:tc>
        <w:tc>
          <w:tcPr>
            <w:tcW w:w="709" w:type="dxa"/>
            <w:tcBorders>
              <w:left w:val="single" w:sz="4" w:space="0" w:color="auto"/>
            </w:tcBorders>
            <w:vAlign w:val="bottom"/>
          </w:tcPr>
          <w:p w14:paraId="100C2FAE" w14:textId="7C8AED93" w:rsidR="00C80858" w:rsidRPr="00747E35" w:rsidRDefault="00C80858" w:rsidP="00C80858">
            <w:pPr>
              <w:pStyle w:val="Tabletext"/>
              <w:spacing w:before="0" w:after="0"/>
              <w:rPr>
                <w:rFonts w:cstheme="minorHAnsi"/>
              </w:rPr>
            </w:pPr>
            <w:r w:rsidRPr="00747E35">
              <w:rPr>
                <w:rFonts w:cstheme="minorHAnsi"/>
              </w:rPr>
              <w:t>4</w:t>
            </w:r>
          </w:p>
        </w:tc>
        <w:tc>
          <w:tcPr>
            <w:tcW w:w="708" w:type="dxa"/>
            <w:vAlign w:val="bottom"/>
          </w:tcPr>
          <w:p w14:paraId="3E8DDC62" w14:textId="57AF8393" w:rsidR="00C80858" w:rsidRPr="00747E35" w:rsidRDefault="00C80858" w:rsidP="00C80858">
            <w:pPr>
              <w:pStyle w:val="Tabletext"/>
              <w:spacing w:before="0" w:after="0"/>
              <w:rPr>
                <w:rFonts w:cstheme="minorHAnsi"/>
              </w:rPr>
            </w:pPr>
            <w:r w:rsidRPr="00747E35">
              <w:rPr>
                <w:rFonts w:cstheme="minorHAnsi"/>
              </w:rPr>
              <w:t>sh</w:t>
            </w:r>
          </w:p>
        </w:tc>
        <w:tc>
          <w:tcPr>
            <w:tcW w:w="2268" w:type="dxa"/>
            <w:vAlign w:val="bottom"/>
          </w:tcPr>
          <w:p w14:paraId="634C81F4" w14:textId="4DB833AD" w:rsidR="00C80858" w:rsidRPr="00747E35" w:rsidRDefault="00C80858" w:rsidP="00C80858">
            <w:pPr>
              <w:pStyle w:val="Tabletext"/>
              <w:spacing w:before="0" w:after="0"/>
              <w:rPr>
                <w:rFonts w:cstheme="minorHAnsi"/>
                <w:i/>
              </w:rPr>
            </w:pPr>
            <w:r w:rsidRPr="00747E35">
              <w:rPr>
                <w:rFonts w:cstheme="minorHAnsi"/>
                <w:i/>
              </w:rPr>
              <w:t>Beyeria viscosa</w:t>
            </w:r>
          </w:p>
        </w:tc>
        <w:tc>
          <w:tcPr>
            <w:tcW w:w="426" w:type="dxa"/>
            <w:vAlign w:val="bottom"/>
          </w:tcPr>
          <w:p w14:paraId="09224C21" w14:textId="4D1E459F" w:rsidR="00C80858" w:rsidRPr="00747E35" w:rsidRDefault="00C80858" w:rsidP="00C80858">
            <w:pPr>
              <w:pStyle w:val="Tabletext"/>
              <w:spacing w:before="0" w:after="0"/>
              <w:rPr>
                <w:rFonts w:cstheme="minorHAnsi"/>
              </w:rPr>
            </w:pPr>
            <w:r w:rsidRPr="00747E35">
              <w:rPr>
                <w:rFonts w:cstheme="minorHAnsi"/>
              </w:rPr>
              <w:t>M</w:t>
            </w:r>
          </w:p>
        </w:tc>
        <w:tc>
          <w:tcPr>
            <w:tcW w:w="850" w:type="dxa"/>
            <w:vAlign w:val="bottom"/>
          </w:tcPr>
          <w:p w14:paraId="03CF4357" w14:textId="4B60DA07" w:rsidR="00C80858" w:rsidRPr="00747E35" w:rsidRDefault="00C80858" w:rsidP="00C80858">
            <w:pPr>
              <w:pStyle w:val="Tabletext"/>
              <w:spacing w:before="0" w:after="0"/>
              <w:rPr>
                <w:rFonts w:cstheme="minorHAnsi"/>
              </w:rPr>
            </w:pPr>
            <w:r w:rsidRPr="00747E35">
              <w:rPr>
                <w:rFonts w:cstheme="minorHAnsi"/>
              </w:rPr>
              <w:t>Fp T</w:t>
            </w:r>
          </w:p>
        </w:tc>
      </w:tr>
      <w:tr w:rsidR="00C80858" w:rsidRPr="00747E35" w14:paraId="3C4E6DB1" w14:textId="77777777" w:rsidTr="0096743A">
        <w:tc>
          <w:tcPr>
            <w:tcW w:w="567" w:type="dxa"/>
            <w:vAlign w:val="bottom"/>
          </w:tcPr>
          <w:p w14:paraId="468D2593" w14:textId="5776E02F" w:rsidR="00C80858" w:rsidRPr="00747E35" w:rsidRDefault="00C80858" w:rsidP="00C80858">
            <w:pPr>
              <w:pStyle w:val="Tabletext"/>
              <w:spacing w:before="0" w:after="0"/>
              <w:rPr>
                <w:rFonts w:cstheme="minorHAnsi"/>
              </w:rPr>
            </w:pPr>
            <w:r w:rsidRPr="00747E35">
              <w:rPr>
                <w:rFonts w:cstheme="minorHAnsi"/>
              </w:rPr>
              <w:t>6</w:t>
            </w:r>
          </w:p>
        </w:tc>
        <w:tc>
          <w:tcPr>
            <w:tcW w:w="567" w:type="dxa"/>
          </w:tcPr>
          <w:p w14:paraId="2FE74FFF" w14:textId="75D20CD9"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57F4AA13" w14:textId="441A33A8" w:rsidR="00C80858" w:rsidRPr="00747E35" w:rsidRDefault="00C80858" w:rsidP="00C80858">
            <w:pPr>
              <w:pStyle w:val="Tabletext"/>
              <w:spacing w:before="0" w:after="0"/>
              <w:rPr>
                <w:rFonts w:cstheme="minorHAnsi"/>
                <w:i/>
              </w:rPr>
            </w:pPr>
            <w:r w:rsidRPr="00747E35">
              <w:rPr>
                <w:rFonts w:cstheme="minorHAnsi"/>
                <w:i/>
              </w:rPr>
              <w:t xml:space="preserve">Bracharia </w:t>
            </w:r>
            <w:r w:rsidRPr="00747E35">
              <w:rPr>
                <w:rFonts w:cstheme="minorHAnsi"/>
              </w:rPr>
              <w:t>sp</w:t>
            </w:r>
          </w:p>
        </w:tc>
        <w:tc>
          <w:tcPr>
            <w:tcW w:w="709" w:type="dxa"/>
            <w:vAlign w:val="bottom"/>
          </w:tcPr>
          <w:p w14:paraId="602D7CD5" w14:textId="792CE06A"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4C1AE0BA" w14:textId="23413847" w:rsidR="00C80858" w:rsidRPr="00747E35" w:rsidRDefault="00C80858" w:rsidP="00C80858">
            <w:pPr>
              <w:pStyle w:val="Tabletext"/>
              <w:spacing w:before="0" w:after="0"/>
              <w:rPr>
                <w:rFonts w:cstheme="minorHAnsi"/>
              </w:rPr>
            </w:pPr>
            <w:r w:rsidRPr="00747E35">
              <w:rPr>
                <w:rFonts w:cstheme="minorHAnsi"/>
              </w:rPr>
              <w:t>Fp</w:t>
            </w:r>
          </w:p>
        </w:tc>
        <w:tc>
          <w:tcPr>
            <w:tcW w:w="709" w:type="dxa"/>
            <w:tcBorders>
              <w:left w:val="single" w:sz="4" w:space="0" w:color="auto"/>
            </w:tcBorders>
            <w:vAlign w:val="bottom"/>
          </w:tcPr>
          <w:p w14:paraId="3E2C283F" w14:textId="09923301" w:rsidR="00C80858" w:rsidRPr="00747E35" w:rsidRDefault="00C80858" w:rsidP="00C80858">
            <w:pPr>
              <w:pStyle w:val="Tabletext"/>
              <w:spacing w:before="0" w:after="0"/>
              <w:rPr>
                <w:rFonts w:cstheme="minorHAnsi"/>
              </w:rPr>
            </w:pPr>
            <w:r w:rsidRPr="00747E35">
              <w:rPr>
                <w:rFonts w:cstheme="minorHAnsi"/>
              </w:rPr>
              <w:t>5</w:t>
            </w:r>
          </w:p>
        </w:tc>
        <w:tc>
          <w:tcPr>
            <w:tcW w:w="708" w:type="dxa"/>
            <w:vAlign w:val="bottom"/>
          </w:tcPr>
          <w:p w14:paraId="3F10C936" w14:textId="585C3FD1" w:rsidR="00C80858" w:rsidRPr="00747E35" w:rsidRDefault="00C80858" w:rsidP="00C80858">
            <w:pPr>
              <w:pStyle w:val="Tabletext"/>
              <w:spacing w:before="0" w:after="0"/>
              <w:rPr>
                <w:rFonts w:cstheme="minorHAnsi"/>
              </w:rPr>
            </w:pPr>
            <w:r w:rsidRPr="00747E35">
              <w:rPr>
                <w:rFonts w:cstheme="minorHAnsi"/>
              </w:rPr>
              <w:t>sh</w:t>
            </w:r>
          </w:p>
        </w:tc>
        <w:tc>
          <w:tcPr>
            <w:tcW w:w="2268" w:type="dxa"/>
            <w:vAlign w:val="bottom"/>
          </w:tcPr>
          <w:p w14:paraId="0203EBAC" w14:textId="08A7376B" w:rsidR="00C80858" w:rsidRPr="00747E35" w:rsidRDefault="00C80858" w:rsidP="00C80858">
            <w:pPr>
              <w:pStyle w:val="Tabletext"/>
              <w:spacing w:before="0" w:after="0"/>
              <w:rPr>
                <w:rFonts w:cstheme="minorHAnsi"/>
                <w:i/>
              </w:rPr>
            </w:pPr>
            <w:r w:rsidRPr="00747E35">
              <w:rPr>
                <w:rFonts w:cstheme="minorHAnsi"/>
                <w:i/>
              </w:rPr>
              <w:t>Breynia oblongifolia</w:t>
            </w:r>
          </w:p>
        </w:tc>
        <w:tc>
          <w:tcPr>
            <w:tcW w:w="426" w:type="dxa"/>
            <w:vAlign w:val="bottom"/>
          </w:tcPr>
          <w:p w14:paraId="6B74CACC" w14:textId="7DD69FD7" w:rsidR="00C80858" w:rsidRPr="00747E35" w:rsidRDefault="00C80858" w:rsidP="00C80858">
            <w:pPr>
              <w:pStyle w:val="Tabletext"/>
              <w:spacing w:before="0" w:after="0"/>
              <w:rPr>
                <w:rFonts w:cstheme="minorHAnsi"/>
              </w:rPr>
            </w:pPr>
            <w:r w:rsidRPr="00747E35">
              <w:rPr>
                <w:rFonts w:cstheme="minorHAnsi"/>
              </w:rPr>
              <w:t>M</w:t>
            </w:r>
          </w:p>
        </w:tc>
        <w:tc>
          <w:tcPr>
            <w:tcW w:w="850" w:type="dxa"/>
            <w:vAlign w:val="bottom"/>
          </w:tcPr>
          <w:p w14:paraId="7A94DF7B" w14:textId="12687B46"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631EC44E" w14:textId="77777777" w:rsidTr="0096743A">
        <w:tc>
          <w:tcPr>
            <w:tcW w:w="567" w:type="dxa"/>
            <w:vAlign w:val="bottom"/>
          </w:tcPr>
          <w:p w14:paraId="27D2EA75" w14:textId="42429A0B" w:rsidR="00C80858" w:rsidRPr="00747E35" w:rsidRDefault="00C80858" w:rsidP="00C80858">
            <w:pPr>
              <w:pStyle w:val="Tabletext"/>
              <w:spacing w:before="0" w:after="0"/>
              <w:rPr>
                <w:rFonts w:cstheme="minorHAnsi"/>
              </w:rPr>
            </w:pPr>
            <w:r w:rsidRPr="00747E35">
              <w:rPr>
                <w:rFonts w:cstheme="minorHAnsi"/>
              </w:rPr>
              <w:t>6</w:t>
            </w:r>
          </w:p>
        </w:tc>
        <w:tc>
          <w:tcPr>
            <w:tcW w:w="567" w:type="dxa"/>
          </w:tcPr>
          <w:p w14:paraId="61794519" w14:textId="3016BB98"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045CAB93" w14:textId="4E0B156D" w:rsidR="00C80858" w:rsidRPr="00747E35" w:rsidRDefault="00C80858" w:rsidP="00C80858">
            <w:pPr>
              <w:pStyle w:val="Tabletext"/>
              <w:spacing w:before="0" w:after="0"/>
              <w:rPr>
                <w:rFonts w:cstheme="minorHAnsi"/>
                <w:i/>
              </w:rPr>
            </w:pPr>
            <w:r w:rsidRPr="00747E35">
              <w:rPr>
                <w:rFonts w:cstheme="minorHAnsi"/>
                <w:i/>
              </w:rPr>
              <w:t>Heteropogon contortus</w:t>
            </w:r>
          </w:p>
        </w:tc>
        <w:tc>
          <w:tcPr>
            <w:tcW w:w="709" w:type="dxa"/>
            <w:vAlign w:val="bottom"/>
          </w:tcPr>
          <w:p w14:paraId="722ED18F" w14:textId="691173ED"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092A4CC5" w14:textId="5C8E9EC8" w:rsidR="00C80858" w:rsidRPr="00747E35" w:rsidRDefault="00C80858" w:rsidP="00C80858">
            <w:pPr>
              <w:pStyle w:val="Tabletext"/>
              <w:spacing w:before="0" w:after="0"/>
              <w:rPr>
                <w:rFonts w:cstheme="minorHAnsi"/>
              </w:rPr>
            </w:pPr>
            <w:r w:rsidRPr="00747E35">
              <w:rPr>
                <w:rFonts w:cstheme="minorHAnsi"/>
              </w:rPr>
              <w:t>Fi T</w:t>
            </w:r>
          </w:p>
        </w:tc>
        <w:tc>
          <w:tcPr>
            <w:tcW w:w="709" w:type="dxa"/>
            <w:tcBorders>
              <w:left w:val="single" w:sz="4" w:space="0" w:color="auto"/>
            </w:tcBorders>
            <w:vAlign w:val="bottom"/>
          </w:tcPr>
          <w:p w14:paraId="36CFD1BF" w14:textId="2FECD59E" w:rsidR="00C80858" w:rsidRPr="00747E35" w:rsidRDefault="00C80858" w:rsidP="00C80858">
            <w:pPr>
              <w:pStyle w:val="Tabletext"/>
              <w:spacing w:before="0" w:after="0"/>
              <w:rPr>
                <w:rFonts w:cstheme="minorHAnsi"/>
              </w:rPr>
            </w:pPr>
            <w:r w:rsidRPr="00747E35">
              <w:rPr>
                <w:rFonts w:cstheme="minorHAnsi"/>
              </w:rPr>
              <w:t>3</w:t>
            </w:r>
          </w:p>
        </w:tc>
        <w:tc>
          <w:tcPr>
            <w:tcW w:w="708" w:type="dxa"/>
            <w:vAlign w:val="bottom"/>
          </w:tcPr>
          <w:p w14:paraId="5DAE5E5B" w14:textId="4620DA49" w:rsidR="00C80858" w:rsidRPr="00747E35" w:rsidRDefault="00C80858" w:rsidP="00C80858">
            <w:pPr>
              <w:pStyle w:val="Tabletext"/>
              <w:spacing w:before="0" w:after="0"/>
              <w:rPr>
                <w:rFonts w:cstheme="minorHAnsi"/>
              </w:rPr>
            </w:pPr>
            <w:r w:rsidRPr="00747E35">
              <w:rPr>
                <w:rFonts w:cstheme="minorHAnsi"/>
              </w:rPr>
              <w:t>sh</w:t>
            </w:r>
          </w:p>
        </w:tc>
        <w:tc>
          <w:tcPr>
            <w:tcW w:w="2268" w:type="dxa"/>
            <w:vAlign w:val="bottom"/>
          </w:tcPr>
          <w:p w14:paraId="0566BE53" w14:textId="6F4A802E" w:rsidR="00C80858" w:rsidRPr="00747E35" w:rsidRDefault="00C80858" w:rsidP="00C80858">
            <w:pPr>
              <w:pStyle w:val="Tabletext"/>
              <w:spacing w:before="0" w:after="0"/>
              <w:rPr>
                <w:rFonts w:cstheme="minorHAnsi"/>
                <w:i/>
              </w:rPr>
            </w:pPr>
            <w:r w:rsidRPr="00747E35">
              <w:rPr>
                <w:rFonts w:cstheme="minorHAnsi"/>
                <w:i/>
              </w:rPr>
              <w:t xml:space="preserve">Caesalpinia </w:t>
            </w:r>
            <w:r w:rsidRPr="00747E35">
              <w:rPr>
                <w:rFonts w:cstheme="minorHAnsi"/>
              </w:rPr>
              <w:t>sp</w:t>
            </w:r>
          </w:p>
        </w:tc>
        <w:tc>
          <w:tcPr>
            <w:tcW w:w="426" w:type="dxa"/>
            <w:vAlign w:val="bottom"/>
          </w:tcPr>
          <w:p w14:paraId="51A033E4" w14:textId="46434223"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09F3A572" w14:textId="2EA2DC38"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2A18C4B7" w14:textId="77777777" w:rsidTr="0096743A">
        <w:tc>
          <w:tcPr>
            <w:tcW w:w="567" w:type="dxa"/>
            <w:vAlign w:val="bottom"/>
          </w:tcPr>
          <w:p w14:paraId="2E5DBF86" w14:textId="15AF113E" w:rsidR="00C80858" w:rsidRPr="00747E35" w:rsidRDefault="00C80858" w:rsidP="00C80858">
            <w:pPr>
              <w:pStyle w:val="Tabletext"/>
              <w:spacing w:before="0" w:after="0"/>
              <w:rPr>
                <w:rFonts w:cstheme="minorHAnsi"/>
              </w:rPr>
            </w:pPr>
            <w:r w:rsidRPr="00747E35">
              <w:rPr>
                <w:rFonts w:cstheme="minorHAnsi"/>
              </w:rPr>
              <w:t>6</w:t>
            </w:r>
          </w:p>
        </w:tc>
        <w:tc>
          <w:tcPr>
            <w:tcW w:w="567" w:type="dxa"/>
            <w:vAlign w:val="bottom"/>
          </w:tcPr>
          <w:p w14:paraId="5D8953B1" w14:textId="2CC1F986" w:rsidR="00C80858" w:rsidRPr="00747E35" w:rsidRDefault="00C80858" w:rsidP="00C80858">
            <w:pPr>
              <w:pStyle w:val="Tabletext"/>
              <w:spacing w:before="0" w:after="0"/>
              <w:rPr>
                <w:rFonts w:cstheme="minorHAnsi"/>
              </w:rPr>
            </w:pPr>
            <w:r w:rsidRPr="00747E35">
              <w:rPr>
                <w:rFonts w:cstheme="minorHAnsi"/>
              </w:rPr>
              <w:t>pg *</w:t>
            </w:r>
          </w:p>
        </w:tc>
        <w:tc>
          <w:tcPr>
            <w:tcW w:w="1985" w:type="dxa"/>
            <w:vAlign w:val="bottom"/>
          </w:tcPr>
          <w:p w14:paraId="785C893C" w14:textId="782E06C3" w:rsidR="00C80858" w:rsidRPr="00747E35" w:rsidRDefault="00C80858" w:rsidP="00C80858">
            <w:pPr>
              <w:pStyle w:val="Tabletext"/>
              <w:spacing w:before="0" w:after="0"/>
              <w:rPr>
                <w:rFonts w:cstheme="minorHAnsi"/>
                <w:i/>
              </w:rPr>
            </w:pPr>
            <w:r w:rsidRPr="00747E35">
              <w:rPr>
                <w:rFonts w:cstheme="minorHAnsi"/>
                <w:i/>
              </w:rPr>
              <w:t>Hyparrhenia hirta</w:t>
            </w:r>
          </w:p>
        </w:tc>
        <w:tc>
          <w:tcPr>
            <w:tcW w:w="709" w:type="dxa"/>
            <w:vAlign w:val="bottom"/>
          </w:tcPr>
          <w:p w14:paraId="1109BE22" w14:textId="0EF5DC8A"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3DCFD13A" w14:textId="51344A70" w:rsidR="00C80858" w:rsidRPr="00747E35" w:rsidRDefault="00C80858" w:rsidP="00C80858">
            <w:pPr>
              <w:pStyle w:val="Tabletext"/>
              <w:spacing w:before="0" w:after="0"/>
              <w:rPr>
                <w:rFonts w:cstheme="minorHAnsi"/>
              </w:rPr>
            </w:pPr>
            <w:r w:rsidRPr="00747E35">
              <w:rPr>
                <w:rFonts w:cstheme="minorHAnsi"/>
              </w:rPr>
              <w:t>Fp</w:t>
            </w:r>
          </w:p>
        </w:tc>
        <w:tc>
          <w:tcPr>
            <w:tcW w:w="709" w:type="dxa"/>
            <w:tcBorders>
              <w:left w:val="single" w:sz="4" w:space="0" w:color="auto"/>
            </w:tcBorders>
            <w:vAlign w:val="bottom"/>
          </w:tcPr>
          <w:p w14:paraId="689A84B8" w14:textId="6EFCD110" w:rsidR="00C80858" w:rsidRPr="00747E35" w:rsidRDefault="00C80858" w:rsidP="00C80858">
            <w:pPr>
              <w:pStyle w:val="Tabletext"/>
              <w:spacing w:before="0" w:after="0"/>
              <w:rPr>
                <w:rFonts w:cstheme="minorHAnsi"/>
              </w:rPr>
            </w:pPr>
            <w:r w:rsidRPr="00747E35">
              <w:rPr>
                <w:rFonts w:cstheme="minorHAnsi"/>
              </w:rPr>
              <w:t>5</w:t>
            </w:r>
          </w:p>
        </w:tc>
        <w:tc>
          <w:tcPr>
            <w:tcW w:w="708" w:type="dxa"/>
            <w:vAlign w:val="bottom"/>
          </w:tcPr>
          <w:p w14:paraId="0AE28135" w14:textId="728832EB" w:rsidR="00C80858" w:rsidRPr="00747E35" w:rsidRDefault="00C80858" w:rsidP="00C80858">
            <w:pPr>
              <w:pStyle w:val="Tabletext"/>
              <w:spacing w:before="0" w:after="0"/>
              <w:rPr>
                <w:rFonts w:cstheme="minorHAnsi"/>
              </w:rPr>
            </w:pPr>
            <w:r w:rsidRPr="00747E35">
              <w:rPr>
                <w:rFonts w:cstheme="minorHAnsi"/>
              </w:rPr>
              <w:t>sh</w:t>
            </w:r>
          </w:p>
        </w:tc>
        <w:tc>
          <w:tcPr>
            <w:tcW w:w="2268" w:type="dxa"/>
            <w:vAlign w:val="bottom"/>
          </w:tcPr>
          <w:p w14:paraId="2E83731F" w14:textId="6B091D64" w:rsidR="00C80858" w:rsidRPr="00747E35" w:rsidRDefault="00C80858" w:rsidP="00C80858">
            <w:pPr>
              <w:pStyle w:val="Tabletext"/>
              <w:spacing w:before="0" w:after="0"/>
              <w:rPr>
                <w:rFonts w:cstheme="minorHAnsi"/>
                <w:i/>
              </w:rPr>
            </w:pPr>
            <w:r w:rsidRPr="00747E35">
              <w:rPr>
                <w:rFonts w:cstheme="minorHAnsi"/>
                <w:i/>
              </w:rPr>
              <w:t xml:space="preserve">Capparis </w:t>
            </w:r>
            <w:r w:rsidRPr="00747E35">
              <w:rPr>
                <w:rFonts w:cstheme="minorHAnsi"/>
              </w:rPr>
              <w:t>sp</w:t>
            </w:r>
          </w:p>
        </w:tc>
        <w:tc>
          <w:tcPr>
            <w:tcW w:w="426" w:type="dxa"/>
            <w:vAlign w:val="bottom"/>
          </w:tcPr>
          <w:p w14:paraId="03E42DD4" w14:textId="7E98B9F3"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63BECF04" w14:textId="7E7B2CF1" w:rsidR="00C80858" w:rsidRPr="00747E35" w:rsidRDefault="00C80858" w:rsidP="00C80858">
            <w:pPr>
              <w:pStyle w:val="Tabletext"/>
              <w:spacing w:before="0" w:after="0"/>
              <w:rPr>
                <w:rFonts w:cstheme="minorHAnsi"/>
              </w:rPr>
            </w:pPr>
            <w:r w:rsidRPr="00747E35">
              <w:rPr>
                <w:rFonts w:cstheme="minorHAnsi"/>
              </w:rPr>
              <w:t>Fp Ri Rp</w:t>
            </w:r>
          </w:p>
        </w:tc>
      </w:tr>
      <w:tr w:rsidR="00C80858" w:rsidRPr="00747E35" w14:paraId="426AA36C" w14:textId="77777777" w:rsidTr="0096743A">
        <w:tc>
          <w:tcPr>
            <w:tcW w:w="567" w:type="dxa"/>
            <w:vAlign w:val="bottom"/>
          </w:tcPr>
          <w:p w14:paraId="133F686A" w14:textId="599D6621" w:rsidR="00C80858" w:rsidRPr="00747E35" w:rsidRDefault="00C80858" w:rsidP="00C80858">
            <w:pPr>
              <w:pStyle w:val="Tabletext"/>
              <w:spacing w:before="0" w:after="0"/>
              <w:rPr>
                <w:rFonts w:cstheme="minorHAnsi"/>
              </w:rPr>
            </w:pPr>
            <w:r w:rsidRPr="00747E35">
              <w:rPr>
                <w:rFonts w:cstheme="minorHAnsi"/>
              </w:rPr>
              <w:t>3</w:t>
            </w:r>
          </w:p>
        </w:tc>
        <w:tc>
          <w:tcPr>
            <w:tcW w:w="567" w:type="dxa"/>
          </w:tcPr>
          <w:p w14:paraId="02956C60" w14:textId="43C75C3A"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396B4564" w14:textId="2C711728" w:rsidR="00C80858" w:rsidRPr="00747E35" w:rsidRDefault="00C80858" w:rsidP="00C80858">
            <w:pPr>
              <w:pStyle w:val="Tabletext"/>
              <w:spacing w:before="0" w:after="0"/>
              <w:rPr>
                <w:rFonts w:cstheme="minorHAnsi"/>
                <w:i/>
              </w:rPr>
            </w:pPr>
            <w:r w:rsidRPr="00747E35">
              <w:rPr>
                <w:rFonts w:cstheme="minorHAnsi"/>
                <w:i/>
              </w:rPr>
              <w:t>Imperata cylindica</w:t>
            </w:r>
          </w:p>
        </w:tc>
        <w:tc>
          <w:tcPr>
            <w:tcW w:w="709" w:type="dxa"/>
            <w:vAlign w:val="bottom"/>
          </w:tcPr>
          <w:p w14:paraId="6351CEBE" w14:textId="487638EF"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54752F75" w14:textId="29D25E94" w:rsidR="00C80858" w:rsidRPr="00747E35" w:rsidRDefault="00C80858" w:rsidP="00C80858">
            <w:pPr>
              <w:pStyle w:val="Tabletext"/>
              <w:spacing w:before="0" w:after="0"/>
              <w:rPr>
                <w:rFonts w:cstheme="minorHAnsi"/>
              </w:rPr>
            </w:pPr>
            <w:r w:rsidRPr="00747E35">
              <w:rPr>
                <w:rFonts w:cstheme="minorHAnsi"/>
              </w:rPr>
              <w:t>Fi Ri Rp</w:t>
            </w:r>
          </w:p>
        </w:tc>
        <w:tc>
          <w:tcPr>
            <w:tcW w:w="709" w:type="dxa"/>
            <w:tcBorders>
              <w:left w:val="single" w:sz="4" w:space="0" w:color="auto"/>
            </w:tcBorders>
            <w:vAlign w:val="bottom"/>
          </w:tcPr>
          <w:p w14:paraId="2EAA6C94" w14:textId="6D6E9389" w:rsidR="00C80858" w:rsidRPr="00747E35" w:rsidRDefault="00C80858" w:rsidP="00C80858">
            <w:pPr>
              <w:pStyle w:val="Tabletext"/>
              <w:spacing w:before="0" w:after="0"/>
              <w:rPr>
                <w:rFonts w:cstheme="minorHAnsi"/>
              </w:rPr>
            </w:pPr>
            <w:r w:rsidRPr="00747E35">
              <w:rPr>
                <w:rFonts w:cstheme="minorHAnsi"/>
              </w:rPr>
              <w:t>6</w:t>
            </w:r>
          </w:p>
        </w:tc>
        <w:tc>
          <w:tcPr>
            <w:tcW w:w="708" w:type="dxa"/>
            <w:vAlign w:val="bottom"/>
          </w:tcPr>
          <w:p w14:paraId="5B1431C5" w14:textId="29CE6EB5" w:rsidR="00C80858" w:rsidRPr="00747E35" w:rsidRDefault="00C80858" w:rsidP="00C80858">
            <w:pPr>
              <w:pStyle w:val="Tabletext"/>
              <w:spacing w:before="0" w:after="0"/>
              <w:rPr>
                <w:rFonts w:cstheme="minorHAnsi"/>
              </w:rPr>
            </w:pPr>
            <w:r w:rsidRPr="00747E35">
              <w:rPr>
                <w:rFonts w:cstheme="minorHAnsi"/>
              </w:rPr>
              <w:t>sh</w:t>
            </w:r>
          </w:p>
        </w:tc>
        <w:tc>
          <w:tcPr>
            <w:tcW w:w="2268" w:type="dxa"/>
            <w:vAlign w:val="bottom"/>
          </w:tcPr>
          <w:p w14:paraId="30C641C3" w14:textId="331D5513" w:rsidR="00C80858" w:rsidRPr="00747E35" w:rsidRDefault="00C80858" w:rsidP="00C80858">
            <w:pPr>
              <w:pStyle w:val="Tabletext"/>
              <w:spacing w:before="0" w:after="0"/>
              <w:rPr>
                <w:rFonts w:cstheme="minorHAnsi"/>
                <w:i/>
              </w:rPr>
            </w:pPr>
            <w:r w:rsidRPr="00747E35">
              <w:rPr>
                <w:rFonts w:cstheme="minorHAnsi"/>
                <w:i/>
              </w:rPr>
              <w:t>Dodonea viscosa</w:t>
            </w:r>
          </w:p>
        </w:tc>
        <w:tc>
          <w:tcPr>
            <w:tcW w:w="426" w:type="dxa"/>
            <w:vAlign w:val="bottom"/>
          </w:tcPr>
          <w:p w14:paraId="40D59E98" w14:textId="76DE4B0A" w:rsidR="00C80858" w:rsidRPr="00747E35" w:rsidRDefault="00C80858" w:rsidP="00C80858">
            <w:pPr>
              <w:pStyle w:val="Tabletext"/>
              <w:spacing w:before="0" w:after="0"/>
              <w:rPr>
                <w:rFonts w:cstheme="minorHAnsi"/>
              </w:rPr>
            </w:pPr>
            <w:r w:rsidRPr="00747E35">
              <w:rPr>
                <w:rFonts w:cstheme="minorHAnsi"/>
              </w:rPr>
              <w:t>M</w:t>
            </w:r>
          </w:p>
        </w:tc>
        <w:tc>
          <w:tcPr>
            <w:tcW w:w="850" w:type="dxa"/>
            <w:vAlign w:val="bottom"/>
          </w:tcPr>
          <w:p w14:paraId="5E32155E" w14:textId="7D7226A4" w:rsidR="00C80858" w:rsidRPr="00747E35" w:rsidRDefault="00C80858" w:rsidP="00C80858">
            <w:pPr>
              <w:pStyle w:val="Tabletext"/>
              <w:spacing w:before="0" w:after="0"/>
              <w:rPr>
                <w:rFonts w:cstheme="minorHAnsi"/>
              </w:rPr>
            </w:pPr>
            <w:r w:rsidRPr="00747E35">
              <w:rPr>
                <w:rFonts w:cstheme="minorHAnsi"/>
              </w:rPr>
              <w:t>Fp Ri</w:t>
            </w:r>
          </w:p>
        </w:tc>
      </w:tr>
      <w:tr w:rsidR="00C80858" w:rsidRPr="00747E35" w14:paraId="00D0A49B" w14:textId="77777777" w:rsidTr="0096743A">
        <w:tc>
          <w:tcPr>
            <w:tcW w:w="567" w:type="dxa"/>
            <w:vAlign w:val="bottom"/>
          </w:tcPr>
          <w:p w14:paraId="100C2BC5" w14:textId="29347422" w:rsidR="00C80858" w:rsidRPr="00747E35" w:rsidRDefault="00C80858" w:rsidP="00C80858">
            <w:pPr>
              <w:pStyle w:val="Tabletext"/>
              <w:spacing w:before="0" w:after="0"/>
              <w:rPr>
                <w:rFonts w:cstheme="minorHAnsi"/>
              </w:rPr>
            </w:pPr>
            <w:r w:rsidRPr="00747E35">
              <w:rPr>
                <w:rFonts w:cstheme="minorHAnsi"/>
              </w:rPr>
              <w:t>6</w:t>
            </w:r>
          </w:p>
        </w:tc>
        <w:tc>
          <w:tcPr>
            <w:tcW w:w="567" w:type="dxa"/>
          </w:tcPr>
          <w:p w14:paraId="3DF7ED9F" w14:textId="382D606F"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6B63CA6B" w14:textId="0F167B6D" w:rsidR="00C80858" w:rsidRPr="00747E35" w:rsidRDefault="00C80858" w:rsidP="00C80858">
            <w:pPr>
              <w:pStyle w:val="Tabletext"/>
              <w:spacing w:before="0" w:after="0"/>
              <w:rPr>
                <w:rFonts w:cstheme="minorHAnsi"/>
                <w:i/>
              </w:rPr>
            </w:pPr>
            <w:r w:rsidRPr="00747E35">
              <w:rPr>
                <w:rFonts w:cstheme="minorHAnsi"/>
                <w:i/>
              </w:rPr>
              <w:t xml:space="preserve">Iseilema </w:t>
            </w:r>
            <w:r w:rsidRPr="00747E35">
              <w:rPr>
                <w:rFonts w:cstheme="minorHAnsi"/>
              </w:rPr>
              <w:t>sp</w:t>
            </w:r>
          </w:p>
        </w:tc>
        <w:tc>
          <w:tcPr>
            <w:tcW w:w="709" w:type="dxa"/>
            <w:vAlign w:val="bottom"/>
          </w:tcPr>
          <w:p w14:paraId="6E596D05" w14:textId="7C6A0B6C"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77B84649" w14:textId="76B4A036" w:rsidR="00C80858" w:rsidRPr="00747E35" w:rsidRDefault="00C80858" w:rsidP="00C80858">
            <w:pPr>
              <w:pStyle w:val="Tabletext"/>
              <w:spacing w:before="0" w:after="0"/>
              <w:rPr>
                <w:rFonts w:cstheme="minorHAnsi"/>
              </w:rPr>
            </w:pPr>
            <w:r w:rsidRPr="00747E35">
              <w:rPr>
                <w:rFonts w:cstheme="minorHAnsi"/>
              </w:rPr>
              <w:t>Fp T</w:t>
            </w:r>
          </w:p>
        </w:tc>
        <w:tc>
          <w:tcPr>
            <w:tcW w:w="709" w:type="dxa"/>
            <w:tcBorders>
              <w:left w:val="single" w:sz="4" w:space="0" w:color="auto"/>
            </w:tcBorders>
            <w:vAlign w:val="bottom"/>
          </w:tcPr>
          <w:p w14:paraId="736D46E4" w14:textId="7D06D4F0" w:rsidR="00C80858" w:rsidRPr="00747E35" w:rsidRDefault="00C80858" w:rsidP="00C80858">
            <w:pPr>
              <w:pStyle w:val="Tabletext"/>
              <w:spacing w:before="0" w:after="0"/>
              <w:rPr>
                <w:rFonts w:cstheme="minorHAnsi"/>
              </w:rPr>
            </w:pPr>
            <w:r w:rsidRPr="00747E35">
              <w:rPr>
                <w:rFonts w:cstheme="minorHAnsi"/>
              </w:rPr>
              <w:t>6</w:t>
            </w:r>
          </w:p>
        </w:tc>
        <w:tc>
          <w:tcPr>
            <w:tcW w:w="708" w:type="dxa"/>
          </w:tcPr>
          <w:p w14:paraId="42459A14" w14:textId="208727A1" w:rsidR="00C80858" w:rsidRPr="00747E35" w:rsidRDefault="00C80858" w:rsidP="00C80858">
            <w:pPr>
              <w:pStyle w:val="Tabletext"/>
              <w:spacing w:before="0" w:after="0"/>
              <w:rPr>
                <w:rFonts w:cstheme="minorHAnsi"/>
              </w:rPr>
            </w:pPr>
            <w:r w:rsidRPr="00747E35">
              <w:rPr>
                <w:rFonts w:cstheme="minorHAnsi"/>
              </w:rPr>
              <w:t>sh</w:t>
            </w:r>
          </w:p>
        </w:tc>
        <w:tc>
          <w:tcPr>
            <w:tcW w:w="2268" w:type="dxa"/>
            <w:vAlign w:val="bottom"/>
          </w:tcPr>
          <w:p w14:paraId="0334D7D9" w14:textId="5A1AB7E9" w:rsidR="00C80858" w:rsidRPr="00747E35" w:rsidRDefault="00C80858" w:rsidP="00C80858">
            <w:pPr>
              <w:pStyle w:val="Tabletext"/>
              <w:spacing w:before="0" w:after="0"/>
              <w:rPr>
                <w:rFonts w:cstheme="minorHAnsi"/>
                <w:i/>
              </w:rPr>
            </w:pPr>
            <w:r w:rsidRPr="00747E35">
              <w:rPr>
                <w:rFonts w:cstheme="minorHAnsi"/>
                <w:i/>
              </w:rPr>
              <w:t>Eremophila debilis</w:t>
            </w:r>
          </w:p>
        </w:tc>
        <w:tc>
          <w:tcPr>
            <w:tcW w:w="426" w:type="dxa"/>
            <w:vAlign w:val="bottom"/>
          </w:tcPr>
          <w:p w14:paraId="1D49467F" w14:textId="142A83C6" w:rsidR="00C80858" w:rsidRPr="00747E35" w:rsidRDefault="00C80858" w:rsidP="00C80858">
            <w:pPr>
              <w:pStyle w:val="Tabletext"/>
              <w:spacing w:before="0" w:after="0"/>
              <w:rPr>
                <w:rFonts w:cstheme="minorHAnsi"/>
              </w:rPr>
            </w:pPr>
            <w:r w:rsidRPr="00747E35">
              <w:rPr>
                <w:rFonts w:cstheme="minorHAnsi"/>
              </w:rPr>
              <w:t>M</w:t>
            </w:r>
          </w:p>
        </w:tc>
        <w:tc>
          <w:tcPr>
            <w:tcW w:w="850" w:type="dxa"/>
            <w:vAlign w:val="bottom"/>
          </w:tcPr>
          <w:p w14:paraId="1F22457E" w14:textId="38F7C25A" w:rsidR="00C80858" w:rsidRPr="00747E35" w:rsidRDefault="00C80858" w:rsidP="00C80858">
            <w:pPr>
              <w:pStyle w:val="Tabletext"/>
              <w:spacing w:before="0" w:after="0"/>
              <w:rPr>
                <w:rFonts w:cstheme="minorHAnsi"/>
              </w:rPr>
            </w:pPr>
            <w:r w:rsidRPr="00747E35">
              <w:rPr>
                <w:rFonts w:cstheme="minorHAnsi"/>
              </w:rPr>
              <w:t>Fp</w:t>
            </w:r>
          </w:p>
        </w:tc>
      </w:tr>
      <w:tr w:rsidR="00C80858" w:rsidRPr="00747E35" w14:paraId="3C9074B0" w14:textId="77777777" w:rsidTr="0096743A">
        <w:tc>
          <w:tcPr>
            <w:tcW w:w="567" w:type="dxa"/>
            <w:vAlign w:val="bottom"/>
          </w:tcPr>
          <w:p w14:paraId="5F4779C4" w14:textId="3BD3D080" w:rsidR="00C80858" w:rsidRPr="00747E35" w:rsidRDefault="00C80858" w:rsidP="00C80858">
            <w:pPr>
              <w:pStyle w:val="Tabletext"/>
              <w:spacing w:before="0" w:after="0"/>
              <w:rPr>
                <w:rFonts w:cstheme="minorHAnsi"/>
              </w:rPr>
            </w:pPr>
            <w:r w:rsidRPr="00747E35">
              <w:rPr>
                <w:rFonts w:cstheme="minorHAnsi"/>
              </w:rPr>
              <w:t>6</w:t>
            </w:r>
          </w:p>
        </w:tc>
        <w:tc>
          <w:tcPr>
            <w:tcW w:w="567" w:type="dxa"/>
            <w:vAlign w:val="bottom"/>
          </w:tcPr>
          <w:p w14:paraId="54173B88" w14:textId="3D83B90A" w:rsidR="00C80858" w:rsidRPr="00747E35" w:rsidRDefault="00C80858" w:rsidP="00C80858">
            <w:pPr>
              <w:pStyle w:val="Tabletext"/>
              <w:spacing w:before="0" w:after="0"/>
              <w:rPr>
                <w:rFonts w:cstheme="minorHAnsi"/>
              </w:rPr>
            </w:pPr>
            <w:r w:rsidRPr="00747E35">
              <w:rPr>
                <w:rFonts w:cstheme="minorHAnsi"/>
              </w:rPr>
              <w:t>pg *</w:t>
            </w:r>
          </w:p>
        </w:tc>
        <w:tc>
          <w:tcPr>
            <w:tcW w:w="1985" w:type="dxa"/>
            <w:vAlign w:val="bottom"/>
          </w:tcPr>
          <w:p w14:paraId="1A53A1DB" w14:textId="2597B218" w:rsidR="00C80858" w:rsidRPr="00747E35" w:rsidRDefault="00C80858" w:rsidP="00C80858">
            <w:pPr>
              <w:pStyle w:val="Tabletext"/>
              <w:spacing w:before="0" w:after="0"/>
              <w:rPr>
                <w:rFonts w:cstheme="minorHAnsi"/>
                <w:i/>
              </w:rPr>
            </w:pPr>
            <w:r w:rsidRPr="00747E35">
              <w:rPr>
                <w:rFonts w:cstheme="minorHAnsi"/>
                <w:i/>
              </w:rPr>
              <w:t>Chloris gayana</w:t>
            </w:r>
          </w:p>
        </w:tc>
        <w:tc>
          <w:tcPr>
            <w:tcW w:w="709" w:type="dxa"/>
            <w:vAlign w:val="bottom"/>
          </w:tcPr>
          <w:p w14:paraId="1575130C" w14:textId="2E509C5F"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47686796" w14:textId="39AF5647" w:rsidR="00C80858" w:rsidRPr="00747E35" w:rsidRDefault="00C80858" w:rsidP="00C80858">
            <w:pPr>
              <w:pStyle w:val="Tabletext"/>
              <w:spacing w:before="0" w:after="0"/>
              <w:rPr>
                <w:rFonts w:cstheme="minorHAnsi"/>
              </w:rPr>
            </w:pPr>
            <w:r w:rsidRPr="00747E35">
              <w:rPr>
                <w:rFonts w:cstheme="minorHAnsi"/>
              </w:rPr>
              <w:t>Fi T</w:t>
            </w:r>
          </w:p>
        </w:tc>
        <w:tc>
          <w:tcPr>
            <w:tcW w:w="709" w:type="dxa"/>
            <w:tcBorders>
              <w:left w:val="single" w:sz="4" w:space="0" w:color="auto"/>
            </w:tcBorders>
            <w:vAlign w:val="bottom"/>
          </w:tcPr>
          <w:p w14:paraId="0B5AB020" w14:textId="57191F60" w:rsidR="00C80858" w:rsidRPr="00747E35" w:rsidRDefault="00C80858" w:rsidP="00C80858">
            <w:pPr>
              <w:pStyle w:val="Tabletext"/>
              <w:spacing w:before="0" w:after="0"/>
              <w:rPr>
                <w:rFonts w:cstheme="minorHAnsi"/>
              </w:rPr>
            </w:pPr>
            <w:r w:rsidRPr="00747E35">
              <w:rPr>
                <w:rFonts w:cstheme="minorHAnsi"/>
              </w:rPr>
              <w:t>6</w:t>
            </w:r>
          </w:p>
        </w:tc>
        <w:tc>
          <w:tcPr>
            <w:tcW w:w="708" w:type="dxa"/>
          </w:tcPr>
          <w:p w14:paraId="31236BCE" w14:textId="0FD6328B" w:rsidR="00C80858" w:rsidRPr="00747E35" w:rsidRDefault="00C80858" w:rsidP="00C80858">
            <w:pPr>
              <w:pStyle w:val="Tabletext"/>
              <w:spacing w:before="0" w:after="0"/>
              <w:rPr>
                <w:rFonts w:cstheme="minorHAnsi"/>
              </w:rPr>
            </w:pPr>
            <w:r w:rsidRPr="00747E35">
              <w:rPr>
                <w:rFonts w:cstheme="minorHAnsi"/>
              </w:rPr>
              <w:t>sh</w:t>
            </w:r>
          </w:p>
        </w:tc>
        <w:tc>
          <w:tcPr>
            <w:tcW w:w="2268" w:type="dxa"/>
            <w:vAlign w:val="bottom"/>
          </w:tcPr>
          <w:p w14:paraId="36EB8FCF" w14:textId="4FA6F8F5" w:rsidR="00C80858" w:rsidRPr="00747E35" w:rsidRDefault="00C80858" w:rsidP="00C80858">
            <w:pPr>
              <w:pStyle w:val="Tabletext"/>
              <w:spacing w:before="0" w:after="0"/>
              <w:rPr>
                <w:rFonts w:cstheme="minorHAnsi"/>
                <w:i/>
              </w:rPr>
            </w:pPr>
            <w:r w:rsidRPr="00747E35">
              <w:rPr>
                <w:rFonts w:cstheme="minorHAnsi"/>
                <w:i/>
              </w:rPr>
              <w:t>Rhynchosia minima</w:t>
            </w:r>
          </w:p>
        </w:tc>
        <w:tc>
          <w:tcPr>
            <w:tcW w:w="426" w:type="dxa"/>
            <w:vAlign w:val="bottom"/>
          </w:tcPr>
          <w:p w14:paraId="05F8C71A" w14:textId="2F9F6E0E"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33FAEE30" w14:textId="4FAEB7A2" w:rsidR="00C80858" w:rsidRPr="00747E35" w:rsidRDefault="00C80858" w:rsidP="00C80858">
            <w:pPr>
              <w:pStyle w:val="Tabletext"/>
              <w:spacing w:before="0" w:after="0"/>
              <w:rPr>
                <w:rFonts w:cstheme="minorHAnsi"/>
              </w:rPr>
            </w:pPr>
            <w:r w:rsidRPr="00747E35">
              <w:rPr>
                <w:rFonts w:cstheme="minorHAnsi"/>
              </w:rPr>
              <w:t>Fi T</w:t>
            </w:r>
          </w:p>
        </w:tc>
      </w:tr>
      <w:tr w:rsidR="00C80858" w:rsidRPr="00747E35" w14:paraId="37C521E2" w14:textId="77777777" w:rsidTr="0096743A">
        <w:tc>
          <w:tcPr>
            <w:tcW w:w="567" w:type="dxa"/>
            <w:vAlign w:val="bottom"/>
          </w:tcPr>
          <w:p w14:paraId="0CD96832" w14:textId="136447AE" w:rsidR="00C80858" w:rsidRPr="00747E35" w:rsidRDefault="00C80858" w:rsidP="00C80858">
            <w:pPr>
              <w:pStyle w:val="Tabletext"/>
              <w:spacing w:before="0" w:after="0"/>
              <w:rPr>
                <w:rFonts w:cstheme="minorHAnsi"/>
              </w:rPr>
            </w:pPr>
            <w:r w:rsidRPr="00747E35">
              <w:rPr>
                <w:rFonts w:cstheme="minorHAnsi"/>
              </w:rPr>
              <w:t>6</w:t>
            </w:r>
          </w:p>
        </w:tc>
        <w:tc>
          <w:tcPr>
            <w:tcW w:w="567" w:type="dxa"/>
            <w:vAlign w:val="bottom"/>
          </w:tcPr>
          <w:p w14:paraId="0B7EFAFE" w14:textId="74BC5F20" w:rsidR="00C80858" w:rsidRPr="00747E35" w:rsidRDefault="00C80858" w:rsidP="00C80858">
            <w:pPr>
              <w:pStyle w:val="Tabletext"/>
              <w:spacing w:before="0" w:after="0"/>
              <w:rPr>
                <w:rFonts w:cstheme="minorHAnsi"/>
              </w:rPr>
            </w:pPr>
            <w:r w:rsidRPr="00747E35">
              <w:rPr>
                <w:rFonts w:cstheme="minorHAnsi"/>
              </w:rPr>
              <w:t>pg *</w:t>
            </w:r>
          </w:p>
        </w:tc>
        <w:tc>
          <w:tcPr>
            <w:tcW w:w="1985" w:type="dxa"/>
            <w:vAlign w:val="bottom"/>
          </w:tcPr>
          <w:p w14:paraId="216F97ED" w14:textId="2C76534E" w:rsidR="00C80858" w:rsidRPr="00747E35" w:rsidRDefault="00C80858" w:rsidP="00C80858">
            <w:pPr>
              <w:pStyle w:val="Tabletext"/>
              <w:spacing w:before="0" w:after="0"/>
              <w:rPr>
                <w:rFonts w:cstheme="minorHAnsi"/>
                <w:i/>
              </w:rPr>
            </w:pPr>
            <w:r w:rsidRPr="00747E35">
              <w:rPr>
                <w:rFonts w:cstheme="minorHAnsi"/>
                <w:i/>
              </w:rPr>
              <w:t>Melinis repens</w:t>
            </w:r>
          </w:p>
        </w:tc>
        <w:tc>
          <w:tcPr>
            <w:tcW w:w="709" w:type="dxa"/>
            <w:vAlign w:val="bottom"/>
          </w:tcPr>
          <w:p w14:paraId="512414AC" w14:textId="43F65314"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7039DF73" w14:textId="6E15E4B8" w:rsidR="00C80858" w:rsidRPr="00747E35" w:rsidRDefault="00C80858" w:rsidP="00C80858">
            <w:pPr>
              <w:pStyle w:val="Tabletext"/>
              <w:spacing w:before="0" w:after="0"/>
              <w:rPr>
                <w:rFonts w:cstheme="minorHAnsi"/>
              </w:rPr>
            </w:pPr>
            <w:r w:rsidRPr="00747E35">
              <w:rPr>
                <w:rFonts w:cstheme="minorHAnsi"/>
              </w:rPr>
              <w:t>Fi</w:t>
            </w:r>
          </w:p>
        </w:tc>
        <w:tc>
          <w:tcPr>
            <w:tcW w:w="709" w:type="dxa"/>
            <w:tcBorders>
              <w:left w:val="single" w:sz="4" w:space="0" w:color="auto"/>
            </w:tcBorders>
            <w:vAlign w:val="bottom"/>
          </w:tcPr>
          <w:p w14:paraId="773E3E3A" w14:textId="3327C8D9" w:rsidR="00C80858" w:rsidRPr="00747E35" w:rsidRDefault="00C80858" w:rsidP="00C80858">
            <w:pPr>
              <w:pStyle w:val="Tabletext"/>
              <w:spacing w:before="0" w:after="0"/>
              <w:rPr>
                <w:rFonts w:cstheme="minorHAnsi"/>
              </w:rPr>
            </w:pPr>
            <w:r w:rsidRPr="00747E35">
              <w:rPr>
                <w:rFonts w:cstheme="minorHAnsi"/>
              </w:rPr>
              <w:t>6</w:t>
            </w:r>
          </w:p>
        </w:tc>
        <w:tc>
          <w:tcPr>
            <w:tcW w:w="708" w:type="dxa"/>
          </w:tcPr>
          <w:p w14:paraId="29E6363A" w14:textId="7737A921" w:rsidR="00C80858" w:rsidRPr="00747E35" w:rsidRDefault="00C80858" w:rsidP="00C80858">
            <w:pPr>
              <w:pStyle w:val="Tabletext"/>
              <w:spacing w:before="0" w:after="0"/>
              <w:rPr>
                <w:rFonts w:cstheme="minorHAnsi"/>
              </w:rPr>
            </w:pPr>
            <w:r w:rsidRPr="00747E35">
              <w:rPr>
                <w:rFonts w:cstheme="minorHAnsi"/>
              </w:rPr>
              <w:t>sh</w:t>
            </w:r>
          </w:p>
        </w:tc>
        <w:tc>
          <w:tcPr>
            <w:tcW w:w="2268" w:type="dxa"/>
            <w:vAlign w:val="bottom"/>
          </w:tcPr>
          <w:p w14:paraId="7FBB0BFC" w14:textId="60E18872" w:rsidR="00C80858" w:rsidRPr="00747E35" w:rsidRDefault="00C80858" w:rsidP="00C80858">
            <w:pPr>
              <w:pStyle w:val="Tabletext"/>
              <w:spacing w:before="0" w:after="0"/>
              <w:rPr>
                <w:rFonts w:cstheme="minorHAnsi"/>
                <w:i/>
              </w:rPr>
            </w:pPr>
            <w:r w:rsidRPr="00747E35">
              <w:rPr>
                <w:rFonts w:cstheme="minorHAnsi"/>
                <w:i/>
              </w:rPr>
              <w:t xml:space="preserve">Croton </w:t>
            </w:r>
            <w:r w:rsidRPr="00747E35">
              <w:rPr>
                <w:rFonts w:cstheme="minorHAnsi"/>
              </w:rPr>
              <w:t>sp</w:t>
            </w:r>
            <w:r w:rsidRPr="00747E35">
              <w:rPr>
                <w:rFonts w:cstheme="minorHAnsi"/>
                <w:i/>
              </w:rPr>
              <w:t xml:space="preserve"> </w:t>
            </w:r>
          </w:p>
        </w:tc>
        <w:tc>
          <w:tcPr>
            <w:tcW w:w="426" w:type="dxa"/>
            <w:vAlign w:val="bottom"/>
          </w:tcPr>
          <w:p w14:paraId="45C7B63C" w14:textId="718A432B"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19A70706" w14:textId="0A7DF307" w:rsidR="00C80858" w:rsidRPr="00747E35" w:rsidRDefault="00C80858" w:rsidP="00C80858">
            <w:pPr>
              <w:pStyle w:val="Tabletext"/>
              <w:spacing w:before="0" w:after="0"/>
              <w:rPr>
                <w:rFonts w:cstheme="minorHAnsi"/>
              </w:rPr>
            </w:pPr>
            <w:r w:rsidRPr="00747E35">
              <w:rPr>
                <w:rFonts w:cstheme="minorHAnsi"/>
              </w:rPr>
              <w:t>Rp</w:t>
            </w:r>
          </w:p>
        </w:tc>
      </w:tr>
      <w:tr w:rsidR="00C80858" w:rsidRPr="00747E35" w14:paraId="627D6718" w14:textId="77777777" w:rsidTr="0096743A">
        <w:tc>
          <w:tcPr>
            <w:tcW w:w="567" w:type="dxa"/>
            <w:vAlign w:val="bottom"/>
          </w:tcPr>
          <w:p w14:paraId="20B1B77E" w14:textId="7D72D808" w:rsidR="00C80858" w:rsidRPr="00747E35" w:rsidRDefault="00C80858" w:rsidP="00C80858">
            <w:pPr>
              <w:pStyle w:val="Tabletext"/>
              <w:spacing w:before="0" w:after="0"/>
              <w:rPr>
                <w:rFonts w:cstheme="minorHAnsi"/>
              </w:rPr>
            </w:pPr>
            <w:r w:rsidRPr="00747E35">
              <w:rPr>
                <w:rFonts w:cstheme="minorHAnsi"/>
              </w:rPr>
              <w:t>4</w:t>
            </w:r>
          </w:p>
        </w:tc>
        <w:tc>
          <w:tcPr>
            <w:tcW w:w="567" w:type="dxa"/>
          </w:tcPr>
          <w:p w14:paraId="5CD90ED3" w14:textId="7AAE8B81"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0E1A9B62" w14:textId="282775B7" w:rsidR="00C80858" w:rsidRPr="00747E35" w:rsidRDefault="00C80858" w:rsidP="00C80858">
            <w:pPr>
              <w:pStyle w:val="Tabletext"/>
              <w:spacing w:before="0" w:after="0"/>
              <w:rPr>
                <w:rFonts w:cstheme="minorHAnsi"/>
                <w:i/>
              </w:rPr>
            </w:pPr>
            <w:r w:rsidRPr="00747E35">
              <w:rPr>
                <w:rFonts w:cstheme="minorHAnsi"/>
                <w:i/>
              </w:rPr>
              <w:t>Panicum decompositum</w:t>
            </w:r>
          </w:p>
        </w:tc>
        <w:tc>
          <w:tcPr>
            <w:tcW w:w="709" w:type="dxa"/>
            <w:vAlign w:val="bottom"/>
          </w:tcPr>
          <w:p w14:paraId="2DC7B334" w14:textId="61923EF9"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613298FF" w14:textId="49814798" w:rsidR="00C80858" w:rsidRPr="00747E35" w:rsidRDefault="00C80858" w:rsidP="00C80858">
            <w:pPr>
              <w:pStyle w:val="Tabletext"/>
              <w:spacing w:before="0" w:after="0"/>
              <w:rPr>
                <w:rFonts w:cstheme="minorHAnsi"/>
              </w:rPr>
            </w:pPr>
            <w:r w:rsidRPr="00747E35">
              <w:rPr>
                <w:rFonts w:cstheme="minorHAnsi"/>
              </w:rPr>
              <w:t>Fi Fp Ri Rp</w:t>
            </w:r>
          </w:p>
        </w:tc>
        <w:tc>
          <w:tcPr>
            <w:tcW w:w="709" w:type="dxa"/>
            <w:tcBorders>
              <w:left w:val="single" w:sz="4" w:space="0" w:color="auto"/>
            </w:tcBorders>
            <w:vAlign w:val="bottom"/>
          </w:tcPr>
          <w:p w14:paraId="6D2456EF" w14:textId="605F7DCD" w:rsidR="00C80858" w:rsidRPr="00747E35" w:rsidRDefault="00C80858" w:rsidP="00C80858">
            <w:pPr>
              <w:pStyle w:val="Tabletext"/>
              <w:spacing w:before="0" w:after="0"/>
              <w:rPr>
                <w:rFonts w:cstheme="minorHAnsi"/>
              </w:rPr>
            </w:pPr>
            <w:r w:rsidRPr="00747E35">
              <w:rPr>
                <w:rFonts w:cstheme="minorHAnsi"/>
              </w:rPr>
              <w:t>6</w:t>
            </w:r>
          </w:p>
        </w:tc>
        <w:tc>
          <w:tcPr>
            <w:tcW w:w="708" w:type="dxa"/>
          </w:tcPr>
          <w:p w14:paraId="26280909" w14:textId="63BA859B" w:rsidR="00C80858" w:rsidRPr="00747E35" w:rsidRDefault="00C80858" w:rsidP="00C80858">
            <w:pPr>
              <w:pStyle w:val="Tabletext"/>
              <w:spacing w:before="0" w:after="0"/>
              <w:rPr>
                <w:rFonts w:cstheme="minorHAnsi"/>
              </w:rPr>
            </w:pPr>
            <w:r w:rsidRPr="00747E35">
              <w:rPr>
                <w:rFonts w:cstheme="minorHAnsi"/>
              </w:rPr>
              <w:t>sh</w:t>
            </w:r>
          </w:p>
        </w:tc>
        <w:tc>
          <w:tcPr>
            <w:tcW w:w="2268" w:type="dxa"/>
            <w:vAlign w:val="bottom"/>
          </w:tcPr>
          <w:p w14:paraId="68EF5BA2" w14:textId="10E59C2B" w:rsidR="00C80858" w:rsidRPr="00747E35" w:rsidRDefault="00C80858" w:rsidP="00C80858">
            <w:pPr>
              <w:pStyle w:val="Tabletext"/>
              <w:spacing w:before="0" w:after="0"/>
              <w:rPr>
                <w:rFonts w:cstheme="minorHAnsi"/>
                <w:i/>
              </w:rPr>
            </w:pPr>
            <w:r w:rsidRPr="00747E35">
              <w:rPr>
                <w:rFonts w:cstheme="minorHAnsi"/>
                <w:i/>
              </w:rPr>
              <w:t xml:space="preserve">Grevillia </w:t>
            </w:r>
            <w:r w:rsidRPr="00747E35">
              <w:rPr>
                <w:rFonts w:cstheme="minorHAnsi"/>
              </w:rPr>
              <w:t>sp</w:t>
            </w:r>
          </w:p>
        </w:tc>
        <w:tc>
          <w:tcPr>
            <w:tcW w:w="426" w:type="dxa"/>
            <w:vAlign w:val="bottom"/>
          </w:tcPr>
          <w:p w14:paraId="419B4CFD" w14:textId="73C5CB76"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7DE55867" w14:textId="61C2A3AB"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16F4FF35" w14:textId="77777777" w:rsidTr="0096743A">
        <w:tc>
          <w:tcPr>
            <w:tcW w:w="567" w:type="dxa"/>
            <w:vAlign w:val="bottom"/>
          </w:tcPr>
          <w:p w14:paraId="7FE8F156" w14:textId="426C9AF5" w:rsidR="00C80858" w:rsidRPr="00747E35" w:rsidRDefault="00C80858" w:rsidP="00C80858">
            <w:pPr>
              <w:pStyle w:val="Tabletext"/>
              <w:spacing w:before="0" w:after="0"/>
              <w:rPr>
                <w:rFonts w:cstheme="minorHAnsi"/>
              </w:rPr>
            </w:pPr>
            <w:r w:rsidRPr="00747E35">
              <w:rPr>
                <w:rFonts w:cstheme="minorHAnsi"/>
              </w:rPr>
              <w:t>6</w:t>
            </w:r>
          </w:p>
        </w:tc>
        <w:tc>
          <w:tcPr>
            <w:tcW w:w="567" w:type="dxa"/>
          </w:tcPr>
          <w:p w14:paraId="267F667B" w14:textId="129F5FFC"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008B4871" w14:textId="22155814" w:rsidR="00C80858" w:rsidRPr="00747E35" w:rsidRDefault="00C80858" w:rsidP="00C80858">
            <w:pPr>
              <w:pStyle w:val="Tabletext"/>
              <w:spacing w:before="0" w:after="0"/>
              <w:rPr>
                <w:rFonts w:cstheme="minorHAnsi"/>
                <w:i/>
              </w:rPr>
            </w:pPr>
            <w:r w:rsidRPr="00747E35">
              <w:rPr>
                <w:rFonts w:cstheme="minorHAnsi"/>
                <w:i/>
              </w:rPr>
              <w:t>Paspalidum jubiflorum</w:t>
            </w:r>
          </w:p>
        </w:tc>
        <w:tc>
          <w:tcPr>
            <w:tcW w:w="709" w:type="dxa"/>
            <w:vAlign w:val="bottom"/>
          </w:tcPr>
          <w:p w14:paraId="7A66BCA9" w14:textId="75A35769" w:rsidR="00C80858" w:rsidRPr="00747E35" w:rsidRDefault="00C80858" w:rsidP="00C80858">
            <w:pPr>
              <w:pStyle w:val="Tabletext"/>
              <w:spacing w:before="0" w:after="0"/>
              <w:rPr>
                <w:rFonts w:cstheme="minorHAnsi"/>
              </w:rPr>
            </w:pPr>
            <w:r w:rsidRPr="00747E35">
              <w:rPr>
                <w:rFonts w:cstheme="minorHAnsi"/>
              </w:rPr>
              <w:t>B, M</w:t>
            </w:r>
          </w:p>
        </w:tc>
        <w:tc>
          <w:tcPr>
            <w:tcW w:w="992" w:type="dxa"/>
            <w:tcBorders>
              <w:right w:val="single" w:sz="4" w:space="0" w:color="auto"/>
            </w:tcBorders>
            <w:vAlign w:val="bottom"/>
          </w:tcPr>
          <w:p w14:paraId="5260A6A4" w14:textId="146014EE" w:rsidR="00C80858" w:rsidRPr="00747E35" w:rsidRDefault="00C80858" w:rsidP="00C80858">
            <w:pPr>
              <w:pStyle w:val="Tabletext"/>
              <w:spacing w:before="0" w:after="0"/>
              <w:rPr>
                <w:rFonts w:cstheme="minorHAnsi"/>
              </w:rPr>
            </w:pPr>
            <w:r w:rsidRPr="00747E35">
              <w:rPr>
                <w:rFonts w:cstheme="minorHAnsi"/>
              </w:rPr>
              <w:t>Fi Rp</w:t>
            </w:r>
          </w:p>
        </w:tc>
        <w:tc>
          <w:tcPr>
            <w:tcW w:w="709" w:type="dxa"/>
            <w:tcBorders>
              <w:left w:val="single" w:sz="4" w:space="0" w:color="auto"/>
            </w:tcBorders>
            <w:vAlign w:val="bottom"/>
          </w:tcPr>
          <w:p w14:paraId="60E5C1B6" w14:textId="03BBA640" w:rsidR="00C80858" w:rsidRPr="00747E35" w:rsidRDefault="00C80858" w:rsidP="00C80858">
            <w:pPr>
              <w:pStyle w:val="Tabletext"/>
              <w:spacing w:before="0" w:after="0"/>
              <w:rPr>
                <w:rFonts w:cstheme="minorHAnsi"/>
              </w:rPr>
            </w:pPr>
            <w:r w:rsidRPr="00747E35">
              <w:rPr>
                <w:rFonts w:cstheme="minorHAnsi"/>
              </w:rPr>
              <w:t>6</w:t>
            </w:r>
          </w:p>
        </w:tc>
        <w:tc>
          <w:tcPr>
            <w:tcW w:w="708" w:type="dxa"/>
          </w:tcPr>
          <w:p w14:paraId="69453EAD" w14:textId="14E9F4AF" w:rsidR="00C80858" w:rsidRPr="00747E35" w:rsidRDefault="00C80858" w:rsidP="00C80858">
            <w:pPr>
              <w:pStyle w:val="Tabletext"/>
              <w:spacing w:before="0" w:after="0"/>
              <w:rPr>
                <w:rFonts w:cstheme="minorHAnsi"/>
              </w:rPr>
            </w:pPr>
            <w:r w:rsidRPr="00747E35">
              <w:rPr>
                <w:rFonts w:cstheme="minorHAnsi"/>
              </w:rPr>
              <w:t>sh</w:t>
            </w:r>
          </w:p>
        </w:tc>
        <w:tc>
          <w:tcPr>
            <w:tcW w:w="2268" w:type="dxa"/>
            <w:vAlign w:val="bottom"/>
          </w:tcPr>
          <w:p w14:paraId="208271B4" w14:textId="6FAE5778" w:rsidR="00C80858" w:rsidRPr="00747E35" w:rsidRDefault="00C80858" w:rsidP="00C80858">
            <w:pPr>
              <w:pStyle w:val="Tabletext"/>
              <w:spacing w:before="0" w:after="0"/>
              <w:rPr>
                <w:rFonts w:cstheme="minorHAnsi"/>
                <w:i/>
              </w:rPr>
            </w:pPr>
            <w:r w:rsidRPr="00747E35">
              <w:rPr>
                <w:rFonts w:cstheme="minorHAnsi"/>
                <w:i/>
              </w:rPr>
              <w:t>Grewia latifolia</w:t>
            </w:r>
          </w:p>
        </w:tc>
        <w:tc>
          <w:tcPr>
            <w:tcW w:w="426" w:type="dxa"/>
            <w:vAlign w:val="bottom"/>
          </w:tcPr>
          <w:p w14:paraId="4750CDB9" w14:textId="5E055F45"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01F1090E" w14:textId="0E363B89"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66C53062" w14:textId="77777777" w:rsidTr="0096743A">
        <w:tc>
          <w:tcPr>
            <w:tcW w:w="567" w:type="dxa"/>
            <w:vAlign w:val="bottom"/>
          </w:tcPr>
          <w:p w14:paraId="4FEF52AC" w14:textId="1AF1715D" w:rsidR="00C80858" w:rsidRPr="00747E35" w:rsidRDefault="00C80858" w:rsidP="00C80858">
            <w:pPr>
              <w:pStyle w:val="Tabletext"/>
              <w:spacing w:before="0" w:after="0"/>
              <w:rPr>
                <w:rFonts w:cstheme="minorHAnsi"/>
              </w:rPr>
            </w:pPr>
            <w:r w:rsidRPr="00747E35">
              <w:rPr>
                <w:rFonts w:cstheme="minorHAnsi"/>
              </w:rPr>
              <w:t>2</w:t>
            </w:r>
          </w:p>
        </w:tc>
        <w:tc>
          <w:tcPr>
            <w:tcW w:w="567" w:type="dxa"/>
          </w:tcPr>
          <w:p w14:paraId="2B4366BA" w14:textId="2289C2C2"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53C8CA08" w14:textId="4123F597" w:rsidR="00C80858" w:rsidRPr="00747E35" w:rsidRDefault="00C80858" w:rsidP="00C80858">
            <w:pPr>
              <w:pStyle w:val="Tabletext"/>
              <w:spacing w:before="0" w:after="0"/>
              <w:rPr>
                <w:rFonts w:cstheme="minorHAnsi"/>
                <w:i/>
              </w:rPr>
            </w:pPr>
            <w:r w:rsidRPr="00747E35">
              <w:rPr>
                <w:rFonts w:cstheme="minorHAnsi"/>
                <w:i/>
              </w:rPr>
              <w:t>Paspalum dischium</w:t>
            </w:r>
          </w:p>
        </w:tc>
        <w:tc>
          <w:tcPr>
            <w:tcW w:w="709" w:type="dxa"/>
            <w:vAlign w:val="bottom"/>
          </w:tcPr>
          <w:p w14:paraId="58FB744A" w14:textId="3945B630" w:rsidR="00C80858" w:rsidRPr="00747E35" w:rsidRDefault="00C80858" w:rsidP="00C80858">
            <w:pPr>
              <w:pStyle w:val="Tabletext"/>
              <w:spacing w:before="0" w:after="0"/>
              <w:rPr>
                <w:rFonts w:cstheme="minorHAnsi"/>
              </w:rPr>
            </w:pPr>
            <w:r w:rsidRPr="00747E35">
              <w:rPr>
                <w:rFonts w:cstheme="minorHAnsi"/>
              </w:rPr>
              <w:t>B, M</w:t>
            </w:r>
          </w:p>
        </w:tc>
        <w:tc>
          <w:tcPr>
            <w:tcW w:w="992" w:type="dxa"/>
            <w:tcBorders>
              <w:right w:val="single" w:sz="4" w:space="0" w:color="auto"/>
            </w:tcBorders>
            <w:vAlign w:val="bottom"/>
          </w:tcPr>
          <w:p w14:paraId="41A91D7D" w14:textId="22B9CA60" w:rsidR="00C80858" w:rsidRPr="00747E35" w:rsidRDefault="00C80858" w:rsidP="00C80858">
            <w:pPr>
              <w:pStyle w:val="Tabletext"/>
              <w:spacing w:before="0" w:after="0"/>
              <w:rPr>
                <w:rFonts w:cstheme="minorHAnsi"/>
              </w:rPr>
            </w:pPr>
            <w:r w:rsidRPr="00747E35">
              <w:rPr>
                <w:rFonts w:cstheme="minorHAnsi"/>
              </w:rPr>
              <w:t>Rp</w:t>
            </w:r>
          </w:p>
        </w:tc>
        <w:tc>
          <w:tcPr>
            <w:tcW w:w="709" w:type="dxa"/>
            <w:tcBorders>
              <w:left w:val="single" w:sz="4" w:space="0" w:color="auto"/>
            </w:tcBorders>
            <w:vAlign w:val="bottom"/>
          </w:tcPr>
          <w:p w14:paraId="0FDD1FC0" w14:textId="1E5EF90D" w:rsidR="00C80858" w:rsidRPr="00747E35" w:rsidRDefault="00C80858" w:rsidP="00C80858">
            <w:pPr>
              <w:pStyle w:val="Tabletext"/>
              <w:spacing w:before="0" w:after="0"/>
              <w:rPr>
                <w:rFonts w:cstheme="minorHAnsi"/>
              </w:rPr>
            </w:pPr>
            <w:r w:rsidRPr="00747E35">
              <w:rPr>
                <w:rFonts w:cstheme="minorHAnsi"/>
              </w:rPr>
              <w:t>2</w:t>
            </w:r>
          </w:p>
        </w:tc>
        <w:tc>
          <w:tcPr>
            <w:tcW w:w="708" w:type="dxa"/>
          </w:tcPr>
          <w:p w14:paraId="3117CC56" w14:textId="59012A3E" w:rsidR="00C80858" w:rsidRPr="00747E35" w:rsidRDefault="00C80858" w:rsidP="00C80858">
            <w:pPr>
              <w:pStyle w:val="Tabletext"/>
              <w:spacing w:before="0" w:after="0"/>
              <w:rPr>
                <w:rFonts w:cstheme="minorHAnsi"/>
              </w:rPr>
            </w:pPr>
            <w:r w:rsidRPr="00747E35">
              <w:rPr>
                <w:rFonts w:cstheme="minorHAnsi"/>
              </w:rPr>
              <w:t>sh</w:t>
            </w:r>
          </w:p>
        </w:tc>
        <w:tc>
          <w:tcPr>
            <w:tcW w:w="2268" w:type="dxa"/>
            <w:vAlign w:val="bottom"/>
          </w:tcPr>
          <w:p w14:paraId="7906D2EF" w14:textId="506F63B0" w:rsidR="00C80858" w:rsidRPr="00747E35" w:rsidRDefault="00C80858" w:rsidP="00C80858">
            <w:pPr>
              <w:pStyle w:val="Tabletext"/>
              <w:spacing w:before="0" w:after="0"/>
              <w:rPr>
                <w:rFonts w:cstheme="minorHAnsi"/>
                <w:i/>
              </w:rPr>
            </w:pPr>
            <w:r w:rsidRPr="00747E35">
              <w:rPr>
                <w:rFonts w:cstheme="minorHAnsi"/>
                <w:i/>
              </w:rPr>
              <w:t>Hardenbergia violacea</w:t>
            </w:r>
          </w:p>
        </w:tc>
        <w:tc>
          <w:tcPr>
            <w:tcW w:w="426" w:type="dxa"/>
            <w:vAlign w:val="bottom"/>
          </w:tcPr>
          <w:p w14:paraId="15D716E9" w14:textId="0CA565DF"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77969453" w14:textId="395CCD97"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3A0E0DCB" w14:textId="77777777" w:rsidTr="0096743A">
        <w:tc>
          <w:tcPr>
            <w:tcW w:w="567" w:type="dxa"/>
            <w:vAlign w:val="bottom"/>
          </w:tcPr>
          <w:p w14:paraId="35DDFFBC" w14:textId="3937BE0A" w:rsidR="00C80858" w:rsidRPr="00747E35" w:rsidRDefault="00C80858" w:rsidP="00C80858">
            <w:pPr>
              <w:pStyle w:val="Tabletext"/>
              <w:spacing w:before="0" w:after="0"/>
              <w:rPr>
                <w:rFonts w:cstheme="minorHAnsi"/>
              </w:rPr>
            </w:pPr>
            <w:r w:rsidRPr="00747E35">
              <w:rPr>
                <w:rFonts w:cstheme="minorHAnsi"/>
              </w:rPr>
              <w:t>4</w:t>
            </w:r>
          </w:p>
        </w:tc>
        <w:tc>
          <w:tcPr>
            <w:tcW w:w="567" w:type="dxa"/>
            <w:vAlign w:val="bottom"/>
          </w:tcPr>
          <w:p w14:paraId="20A8AADD" w14:textId="63BE3759" w:rsidR="00C80858" w:rsidRPr="00747E35" w:rsidRDefault="00C80858" w:rsidP="00C80858">
            <w:pPr>
              <w:pStyle w:val="Tabletext"/>
              <w:spacing w:before="0" w:after="0"/>
              <w:rPr>
                <w:rFonts w:cstheme="minorHAnsi"/>
              </w:rPr>
            </w:pPr>
            <w:r w:rsidRPr="00747E35">
              <w:rPr>
                <w:rFonts w:cstheme="minorHAnsi"/>
              </w:rPr>
              <w:t>pg *</w:t>
            </w:r>
          </w:p>
        </w:tc>
        <w:tc>
          <w:tcPr>
            <w:tcW w:w="1985" w:type="dxa"/>
            <w:vAlign w:val="bottom"/>
          </w:tcPr>
          <w:p w14:paraId="01AF926B" w14:textId="1F9F5DAA" w:rsidR="00C80858" w:rsidRPr="00747E35" w:rsidRDefault="00C80858" w:rsidP="00C80858">
            <w:pPr>
              <w:pStyle w:val="Tabletext"/>
              <w:spacing w:before="0" w:after="0"/>
              <w:rPr>
                <w:rFonts w:cstheme="minorHAnsi"/>
                <w:i/>
              </w:rPr>
            </w:pPr>
            <w:r w:rsidRPr="00747E35">
              <w:rPr>
                <w:rFonts w:cstheme="minorHAnsi"/>
                <w:i/>
              </w:rPr>
              <w:t>Paspalum urvellei</w:t>
            </w:r>
          </w:p>
        </w:tc>
        <w:tc>
          <w:tcPr>
            <w:tcW w:w="709" w:type="dxa"/>
            <w:vAlign w:val="bottom"/>
          </w:tcPr>
          <w:p w14:paraId="4790B3D7" w14:textId="065914B3" w:rsidR="00C80858" w:rsidRPr="00747E35" w:rsidRDefault="00C80858" w:rsidP="00C80858">
            <w:pPr>
              <w:pStyle w:val="Tabletext"/>
              <w:spacing w:before="0" w:after="0"/>
              <w:rPr>
                <w:rFonts w:cstheme="minorHAnsi"/>
              </w:rPr>
            </w:pPr>
            <w:r w:rsidRPr="00747E35">
              <w:rPr>
                <w:rFonts w:cstheme="minorHAnsi"/>
              </w:rPr>
              <w:t>B, M</w:t>
            </w:r>
          </w:p>
        </w:tc>
        <w:tc>
          <w:tcPr>
            <w:tcW w:w="992" w:type="dxa"/>
            <w:tcBorders>
              <w:right w:val="single" w:sz="4" w:space="0" w:color="auto"/>
            </w:tcBorders>
            <w:vAlign w:val="bottom"/>
          </w:tcPr>
          <w:p w14:paraId="155015F4" w14:textId="011A73CA" w:rsidR="00C80858" w:rsidRPr="00747E35" w:rsidRDefault="00C80858" w:rsidP="00C80858">
            <w:pPr>
              <w:pStyle w:val="Tabletext"/>
              <w:spacing w:before="0" w:after="0"/>
              <w:rPr>
                <w:rFonts w:cstheme="minorHAnsi"/>
              </w:rPr>
            </w:pPr>
            <w:r w:rsidRPr="00747E35">
              <w:rPr>
                <w:rFonts w:cstheme="minorHAnsi"/>
              </w:rPr>
              <w:t>Fi Rp</w:t>
            </w:r>
          </w:p>
        </w:tc>
        <w:tc>
          <w:tcPr>
            <w:tcW w:w="709" w:type="dxa"/>
            <w:tcBorders>
              <w:left w:val="single" w:sz="4" w:space="0" w:color="auto"/>
            </w:tcBorders>
            <w:vAlign w:val="bottom"/>
          </w:tcPr>
          <w:p w14:paraId="3C66E9C3" w14:textId="0E30B67C" w:rsidR="00C80858" w:rsidRPr="00747E35" w:rsidRDefault="00C80858" w:rsidP="00C80858">
            <w:pPr>
              <w:pStyle w:val="Tabletext"/>
              <w:spacing w:before="0" w:after="0"/>
              <w:rPr>
                <w:rFonts w:cstheme="minorHAnsi"/>
              </w:rPr>
            </w:pPr>
            <w:r w:rsidRPr="00747E35">
              <w:rPr>
                <w:rFonts w:cstheme="minorHAnsi"/>
              </w:rPr>
              <w:t>5</w:t>
            </w:r>
          </w:p>
        </w:tc>
        <w:tc>
          <w:tcPr>
            <w:tcW w:w="708" w:type="dxa"/>
          </w:tcPr>
          <w:p w14:paraId="5322B98D" w14:textId="7E57F985" w:rsidR="00C80858" w:rsidRPr="00747E35" w:rsidRDefault="00C80858" w:rsidP="00C80858">
            <w:pPr>
              <w:pStyle w:val="Tabletext"/>
              <w:spacing w:before="0" w:after="0"/>
              <w:rPr>
                <w:rFonts w:cstheme="minorHAnsi"/>
              </w:rPr>
            </w:pPr>
            <w:r w:rsidRPr="00747E35">
              <w:rPr>
                <w:rFonts w:cstheme="minorHAnsi"/>
              </w:rPr>
              <w:t>sh</w:t>
            </w:r>
          </w:p>
        </w:tc>
        <w:tc>
          <w:tcPr>
            <w:tcW w:w="2268" w:type="dxa"/>
            <w:vAlign w:val="bottom"/>
          </w:tcPr>
          <w:p w14:paraId="76353CA6" w14:textId="47FC23EC" w:rsidR="00C80858" w:rsidRPr="00747E35" w:rsidRDefault="00C80858" w:rsidP="00C80858">
            <w:pPr>
              <w:pStyle w:val="Tabletext"/>
              <w:spacing w:before="0" w:after="0"/>
              <w:rPr>
                <w:rFonts w:cstheme="minorHAnsi"/>
                <w:i/>
              </w:rPr>
            </w:pPr>
            <w:r w:rsidRPr="00747E35">
              <w:rPr>
                <w:rFonts w:cstheme="minorHAnsi"/>
                <w:i/>
              </w:rPr>
              <w:t xml:space="preserve">Indigofera </w:t>
            </w:r>
            <w:r w:rsidRPr="00747E35">
              <w:rPr>
                <w:rFonts w:cstheme="minorHAnsi"/>
              </w:rPr>
              <w:t>sp</w:t>
            </w:r>
          </w:p>
        </w:tc>
        <w:tc>
          <w:tcPr>
            <w:tcW w:w="426" w:type="dxa"/>
            <w:vAlign w:val="bottom"/>
          </w:tcPr>
          <w:p w14:paraId="736491C1" w14:textId="6D2EDD18" w:rsidR="00C80858" w:rsidRPr="00747E35" w:rsidRDefault="00C80858" w:rsidP="00C80858">
            <w:pPr>
              <w:pStyle w:val="Tabletext"/>
              <w:spacing w:before="0" w:after="0"/>
              <w:rPr>
                <w:rFonts w:cstheme="minorHAnsi"/>
              </w:rPr>
            </w:pPr>
            <w:r w:rsidRPr="00747E35">
              <w:rPr>
                <w:rFonts w:cstheme="minorHAnsi"/>
              </w:rPr>
              <w:t>B, M</w:t>
            </w:r>
          </w:p>
        </w:tc>
        <w:tc>
          <w:tcPr>
            <w:tcW w:w="850" w:type="dxa"/>
            <w:vAlign w:val="bottom"/>
          </w:tcPr>
          <w:p w14:paraId="74389737" w14:textId="1D0F48A9" w:rsidR="00C80858" w:rsidRPr="00747E35" w:rsidRDefault="00C80858" w:rsidP="00C80858">
            <w:pPr>
              <w:pStyle w:val="Tabletext"/>
              <w:spacing w:before="0" w:after="0"/>
              <w:rPr>
                <w:rFonts w:cstheme="minorHAnsi"/>
              </w:rPr>
            </w:pPr>
            <w:r w:rsidRPr="00747E35">
              <w:rPr>
                <w:rFonts w:cstheme="minorHAnsi"/>
              </w:rPr>
              <w:t>Fi Fp</w:t>
            </w:r>
          </w:p>
        </w:tc>
      </w:tr>
      <w:tr w:rsidR="00C80858" w:rsidRPr="00747E35" w14:paraId="04CFC1BA" w14:textId="77777777" w:rsidTr="0096743A">
        <w:tc>
          <w:tcPr>
            <w:tcW w:w="567" w:type="dxa"/>
            <w:vAlign w:val="bottom"/>
          </w:tcPr>
          <w:p w14:paraId="4834057A" w14:textId="6D4F1B16" w:rsidR="00C80858" w:rsidRPr="00747E35" w:rsidRDefault="00C80858" w:rsidP="00C80858">
            <w:pPr>
              <w:pStyle w:val="Tabletext"/>
              <w:spacing w:before="0" w:after="0"/>
              <w:rPr>
                <w:rFonts w:cstheme="minorHAnsi"/>
              </w:rPr>
            </w:pPr>
            <w:r w:rsidRPr="00747E35">
              <w:rPr>
                <w:rFonts w:cstheme="minorHAnsi"/>
              </w:rPr>
              <w:t>5</w:t>
            </w:r>
          </w:p>
        </w:tc>
        <w:tc>
          <w:tcPr>
            <w:tcW w:w="567" w:type="dxa"/>
            <w:vAlign w:val="bottom"/>
          </w:tcPr>
          <w:p w14:paraId="0EC30645" w14:textId="3A2AE0B9" w:rsidR="00C80858" w:rsidRPr="00747E35" w:rsidRDefault="00C80858" w:rsidP="00C80858">
            <w:pPr>
              <w:pStyle w:val="Tabletext"/>
              <w:spacing w:before="0" w:after="0"/>
              <w:rPr>
                <w:rFonts w:cstheme="minorHAnsi"/>
              </w:rPr>
            </w:pPr>
            <w:r w:rsidRPr="00747E35">
              <w:rPr>
                <w:rFonts w:cstheme="minorHAnsi"/>
              </w:rPr>
              <w:t>pg *</w:t>
            </w:r>
          </w:p>
        </w:tc>
        <w:tc>
          <w:tcPr>
            <w:tcW w:w="1985" w:type="dxa"/>
            <w:vAlign w:val="bottom"/>
          </w:tcPr>
          <w:p w14:paraId="6AD43C96" w14:textId="6FC7DAA0" w:rsidR="00C80858" w:rsidRPr="00747E35" w:rsidRDefault="00C80858" w:rsidP="00C80858">
            <w:pPr>
              <w:pStyle w:val="Tabletext"/>
              <w:spacing w:before="0" w:after="0"/>
              <w:rPr>
                <w:rFonts w:cstheme="minorHAnsi"/>
                <w:i/>
              </w:rPr>
            </w:pPr>
            <w:r w:rsidRPr="00747E35">
              <w:rPr>
                <w:rFonts w:cstheme="minorHAnsi"/>
                <w:i/>
              </w:rPr>
              <w:t>Eragrostis curvula</w:t>
            </w:r>
          </w:p>
        </w:tc>
        <w:tc>
          <w:tcPr>
            <w:tcW w:w="709" w:type="dxa"/>
            <w:vAlign w:val="bottom"/>
          </w:tcPr>
          <w:p w14:paraId="6B25372F" w14:textId="6A16091F"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0DC2E71C" w14:textId="5217F585" w:rsidR="00C80858" w:rsidRPr="00747E35" w:rsidRDefault="00C80858" w:rsidP="00C80858">
            <w:pPr>
              <w:pStyle w:val="Tabletext"/>
              <w:spacing w:before="0" w:after="0"/>
              <w:rPr>
                <w:rFonts w:cstheme="minorHAnsi"/>
              </w:rPr>
            </w:pPr>
            <w:r w:rsidRPr="00747E35">
              <w:rPr>
                <w:rFonts w:cstheme="minorHAnsi"/>
              </w:rPr>
              <w:t>Fi Ri T</w:t>
            </w:r>
          </w:p>
        </w:tc>
        <w:tc>
          <w:tcPr>
            <w:tcW w:w="709" w:type="dxa"/>
            <w:tcBorders>
              <w:left w:val="single" w:sz="4" w:space="0" w:color="auto"/>
            </w:tcBorders>
            <w:vAlign w:val="bottom"/>
          </w:tcPr>
          <w:p w14:paraId="0928D958" w14:textId="43A3B1F8" w:rsidR="00C80858" w:rsidRPr="00747E35" w:rsidRDefault="00C80858" w:rsidP="00C80858">
            <w:pPr>
              <w:pStyle w:val="Tabletext"/>
              <w:spacing w:before="0" w:after="0"/>
              <w:rPr>
                <w:rFonts w:cstheme="minorHAnsi"/>
              </w:rPr>
            </w:pPr>
            <w:r w:rsidRPr="00747E35">
              <w:rPr>
                <w:rFonts w:cstheme="minorHAnsi"/>
              </w:rPr>
              <w:t>6</w:t>
            </w:r>
          </w:p>
        </w:tc>
        <w:tc>
          <w:tcPr>
            <w:tcW w:w="708" w:type="dxa"/>
          </w:tcPr>
          <w:p w14:paraId="7F26B2F9" w14:textId="6EC11E52" w:rsidR="00C80858" w:rsidRPr="00747E35" w:rsidRDefault="00C80858" w:rsidP="00C80858">
            <w:pPr>
              <w:pStyle w:val="Tabletext"/>
              <w:spacing w:before="0" w:after="0"/>
              <w:rPr>
                <w:rFonts w:cstheme="minorHAnsi"/>
              </w:rPr>
            </w:pPr>
            <w:r w:rsidRPr="00747E35">
              <w:rPr>
                <w:rFonts w:cstheme="minorHAnsi"/>
              </w:rPr>
              <w:t>sh</w:t>
            </w:r>
          </w:p>
        </w:tc>
        <w:tc>
          <w:tcPr>
            <w:tcW w:w="2268" w:type="dxa"/>
            <w:vAlign w:val="bottom"/>
          </w:tcPr>
          <w:p w14:paraId="0AACE888" w14:textId="1A9827B8" w:rsidR="00C80858" w:rsidRPr="00747E35" w:rsidRDefault="00C80858" w:rsidP="00C80858">
            <w:pPr>
              <w:pStyle w:val="Tabletext"/>
              <w:spacing w:before="0" w:after="0"/>
              <w:rPr>
                <w:rFonts w:cstheme="minorHAnsi"/>
                <w:i/>
              </w:rPr>
            </w:pPr>
            <w:r w:rsidRPr="00747E35">
              <w:rPr>
                <w:rFonts w:cstheme="minorHAnsi"/>
                <w:i/>
              </w:rPr>
              <w:t xml:space="preserve">Cryptandra </w:t>
            </w:r>
            <w:r w:rsidRPr="00747E35">
              <w:rPr>
                <w:rFonts w:cstheme="minorHAnsi"/>
              </w:rPr>
              <w:t>sp</w:t>
            </w:r>
          </w:p>
        </w:tc>
        <w:tc>
          <w:tcPr>
            <w:tcW w:w="426" w:type="dxa"/>
            <w:vAlign w:val="bottom"/>
          </w:tcPr>
          <w:p w14:paraId="26615671" w14:textId="43FB4CF8" w:rsidR="00C80858" w:rsidRPr="00747E35" w:rsidRDefault="00C80858" w:rsidP="00C80858">
            <w:pPr>
              <w:pStyle w:val="Tabletext"/>
              <w:spacing w:before="0" w:after="0"/>
              <w:rPr>
                <w:rFonts w:cstheme="minorHAnsi"/>
              </w:rPr>
            </w:pPr>
            <w:r w:rsidRPr="00747E35">
              <w:rPr>
                <w:rFonts w:cstheme="minorHAnsi"/>
              </w:rPr>
              <w:t>M</w:t>
            </w:r>
          </w:p>
        </w:tc>
        <w:tc>
          <w:tcPr>
            <w:tcW w:w="850" w:type="dxa"/>
            <w:vAlign w:val="bottom"/>
          </w:tcPr>
          <w:p w14:paraId="7F3DE6E4" w14:textId="06774BA2" w:rsidR="00C80858" w:rsidRPr="00747E35" w:rsidRDefault="00C80858" w:rsidP="00C80858">
            <w:pPr>
              <w:pStyle w:val="Tabletext"/>
              <w:spacing w:before="0" w:after="0"/>
              <w:rPr>
                <w:rFonts w:cstheme="minorHAnsi"/>
              </w:rPr>
            </w:pPr>
            <w:r w:rsidRPr="00747E35">
              <w:rPr>
                <w:rFonts w:cstheme="minorHAnsi"/>
              </w:rPr>
              <w:t>Fp T</w:t>
            </w:r>
          </w:p>
        </w:tc>
      </w:tr>
      <w:tr w:rsidR="00C80858" w:rsidRPr="00747E35" w14:paraId="4462DA42" w14:textId="77777777" w:rsidTr="0096743A">
        <w:tc>
          <w:tcPr>
            <w:tcW w:w="567" w:type="dxa"/>
            <w:vAlign w:val="bottom"/>
          </w:tcPr>
          <w:p w14:paraId="3147AAA7" w14:textId="1292BBD3" w:rsidR="00C80858" w:rsidRPr="00747E35" w:rsidRDefault="00C80858" w:rsidP="00C80858">
            <w:pPr>
              <w:pStyle w:val="Tabletext"/>
              <w:spacing w:before="0" w:after="0"/>
              <w:rPr>
                <w:rFonts w:cstheme="minorHAnsi"/>
              </w:rPr>
            </w:pPr>
            <w:r w:rsidRPr="00747E35">
              <w:rPr>
                <w:rFonts w:cstheme="minorHAnsi"/>
              </w:rPr>
              <w:t>6</w:t>
            </w:r>
          </w:p>
        </w:tc>
        <w:tc>
          <w:tcPr>
            <w:tcW w:w="567" w:type="dxa"/>
            <w:vAlign w:val="bottom"/>
          </w:tcPr>
          <w:p w14:paraId="256A9758" w14:textId="7E2DCE8D"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053CDA2C" w14:textId="1C2B25B6" w:rsidR="00C80858" w:rsidRPr="00747E35" w:rsidRDefault="00C80858" w:rsidP="00C80858">
            <w:pPr>
              <w:pStyle w:val="Tabletext"/>
              <w:spacing w:before="0" w:after="0"/>
              <w:rPr>
                <w:rFonts w:cstheme="minorHAnsi"/>
                <w:i/>
              </w:rPr>
            </w:pPr>
            <w:r w:rsidRPr="00747E35">
              <w:rPr>
                <w:rFonts w:cstheme="minorHAnsi"/>
                <w:i/>
              </w:rPr>
              <w:t>Phalaris aquatica</w:t>
            </w:r>
          </w:p>
        </w:tc>
        <w:tc>
          <w:tcPr>
            <w:tcW w:w="709" w:type="dxa"/>
            <w:vAlign w:val="bottom"/>
          </w:tcPr>
          <w:p w14:paraId="0A8A7D3D" w14:textId="7A997D58"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7DF349EC" w14:textId="2DAE1CDE" w:rsidR="00C80858" w:rsidRPr="00747E35" w:rsidRDefault="00C80858" w:rsidP="00C80858">
            <w:pPr>
              <w:pStyle w:val="Tabletext"/>
              <w:spacing w:before="0" w:after="0"/>
              <w:rPr>
                <w:rFonts w:cstheme="minorHAnsi"/>
              </w:rPr>
            </w:pPr>
            <w:r w:rsidRPr="00747E35">
              <w:rPr>
                <w:rFonts w:cstheme="minorHAnsi"/>
              </w:rPr>
              <w:t>Ri Rp</w:t>
            </w:r>
          </w:p>
        </w:tc>
        <w:tc>
          <w:tcPr>
            <w:tcW w:w="709" w:type="dxa"/>
            <w:tcBorders>
              <w:left w:val="single" w:sz="4" w:space="0" w:color="auto"/>
            </w:tcBorders>
            <w:vAlign w:val="bottom"/>
          </w:tcPr>
          <w:p w14:paraId="7967EED9" w14:textId="1E390028" w:rsidR="00C80858" w:rsidRPr="00747E35" w:rsidRDefault="00C80858" w:rsidP="00C80858">
            <w:pPr>
              <w:pStyle w:val="Tabletext"/>
              <w:spacing w:before="0" w:after="0"/>
              <w:rPr>
                <w:rFonts w:cstheme="minorHAnsi"/>
              </w:rPr>
            </w:pPr>
            <w:r w:rsidRPr="00747E35">
              <w:rPr>
                <w:rFonts w:cstheme="minorHAnsi"/>
              </w:rPr>
              <w:t>6</w:t>
            </w:r>
          </w:p>
        </w:tc>
        <w:tc>
          <w:tcPr>
            <w:tcW w:w="708" w:type="dxa"/>
            <w:vAlign w:val="bottom"/>
          </w:tcPr>
          <w:p w14:paraId="2342EE73" w14:textId="07FBFD48" w:rsidR="00C80858" w:rsidRPr="00747E35" w:rsidRDefault="00C80858" w:rsidP="00C80858">
            <w:pPr>
              <w:pStyle w:val="Tabletext"/>
              <w:spacing w:before="0" w:after="0"/>
              <w:rPr>
                <w:rFonts w:cstheme="minorHAnsi"/>
              </w:rPr>
            </w:pPr>
            <w:r w:rsidRPr="00747E35">
              <w:rPr>
                <w:rFonts w:cstheme="minorHAnsi"/>
              </w:rPr>
              <w:t>sh *</w:t>
            </w:r>
          </w:p>
        </w:tc>
        <w:tc>
          <w:tcPr>
            <w:tcW w:w="2268" w:type="dxa"/>
            <w:vAlign w:val="bottom"/>
          </w:tcPr>
          <w:p w14:paraId="59C26FBE" w14:textId="7F6E3713" w:rsidR="00C80858" w:rsidRPr="00747E35" w:rsidRDefault="00C80858" w:rsidP="00C80858">
            <w:pPr>
              <w:pStyle w:val="Tabletext"/>
              <w:spacing w:before="0" w:after="0"/>
              <w:rPr>
                <w:rFonts w:cstheme="minorHAnsi"/>
                <w:i/>
              </w:rPr>
            </w:pPr>
            <w:r w:rsidRPr="00747E35">
              <w:rPr>
                <w:rFonts w:cstheme="minorHAnsi"/>
                <w:i/>
              </w:rPr>
              <w:t>Macfadyena unguis-cati</w:t>
            </w:r>
          </w:p>
        </w:tc>
        <w:tc>
          <w:tcPr>
            <w:tcW w:w="426" w:type="dxa"/>
            <w:vAlign w:val="bottom"/>
          </w:tcPr>
          <w:p w14:paraId="1345AE2F" w14:textId="3DABB2E3"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7337F299" w14:textId="69CAE6D8" w:rsidR="00C80858" w:rsidRPr="00747E35" w:rsidRDefault="00C80858" w:rsidP="00C80858">
            <w:pPr>
              <w:pStyle w:val="Tabletext"/>
              <w:spacing w:before="0" w:after="0"/>
              <w:rPr>
                <w:rFonts w:cstheme="minorHAnsi"/>
              </w:rPr>
            </w:pPr>
            <w:r w:rsidRPr="00747E35">
              <w:rPr>
                <w:rFonts w:cstheme="minorHAnsi"/>
              </w:rPr>
              <w:t>Fp Ri Rp</w:t>
            </w:r>
          </w:p>
        </w:tc>
      </w:tr>
      <w:tr w:rsidR="00C80858" w:rsidRPr="00747E35" w14:paraId="229D19E0" w14:textId="77777777" w:rsidTr="0096743A">
        <w:tc>
          <w:tcPr>
            <w:tcW w:w="567" w:type="dxa"/>
            <w:vAlign w:val="bottom"/>
          </w:tcPr>
          <w:p w14:paraId="1F5BE76D" w14:textId="2C61D7C7" w:rsidR="00C80858" w:rsidRPr="00747E35" w:rsidRDefault="00C80858" w:rsidP="00C80858">
            <w:pPr>
              <w:pStyle w:val="Tabletext"/>
              <w:spacing w:before="0" w:after="0"/>
              <w:rPr>
                <w:rFonts w:cstheme="minorHAnsi"/>
              </w:rPr>
            </w:pPr>
            <w:r w:rsidRPr="00747E35">
              <w:rPr>
                <w:rFonts w:cstheme="minorHAnsi"/>
              </w:rPr>
              <w:t>5</w:t>
            </w:r>
          </w:p>
        </w:tc>
        <w:tc>
          <w:tcPr>
            <w:tcW w:w="567" w:type="dxa"/>
            <w:vAlign w:val="bottom"/>
          </w:tcPr>
          <w:p w14:paraId="23CA0516" w14:textId="4CA17548"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1831D138" w14:textId="1F4C0EDC" w:rsidR="00C80858" w:rsidRPr="00747E35" w:rsidRDefault="00C80858" w:rsidP="00C80858">
            <w:pPr>
              <w:pStyle w:val="Tabletext"/>
              <w:spacing w:before="0" w:after="0"/>
              <w:rPr>
                <w:rFonts w:cstheme="minorHAnsi"/>
                <w:i/>
              </w:rPr>
            </w:pPr>
            <w:r w:rsidRPr="00747E35">
              <w:rPr>
                <w:rFonts w:cstheme="minorHAnsi"/>
                <w:i/>
              </w:rPr>
              <w:t>Sporobolus creber</w:t>
            </w:r>
          </w:p>
        </w:tc>
        <w:tc>
          <w:tcPr>
            <w:tcW w:w="709" w:type="dxa"/>
            <w:vAlign w:val="bottom"/>
          </w:tcPr>
          <w:p w14:paraId="4A341BF9" w14:textId="71D3C1AA"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4C21F600" w14:textId="625FA76C" w:rsidR="00C80858" w:rsidRPr="00747E35" w:rsidRDefault="00C80858" w:rsidP="00C80858">
            <w:pPr>
              <w:pStyle w:val="Tabletext"/>
              <w:spacing w:before="0" w:after="0"/>
              <w:rPr>
                <w:rFonts w:cstheme="minorHAnsi"/>
              </w:rPr>
            </w:pPr>
            <w:r w:rsidRPr="00747E35">
              <w:rPr>
                <w:rFonts w:cstheme="minorHAnsi"/>
              </w:rPr>
              <w:t>Fp Ri Rp</w:t>
            </w:r>
          </w:p>
        </w:tc>
        <w:tc>
          <w:tcPr>
            <w:tcW w:w="709" w:type="dxa"/>
            <w:tcBorders>
              <w:left w:val="single" w:sz="4" w:space="0" w:color="auto"/>
            </w:tcBorders>
            <w:vAlign w:val="bottom"/>
          </w:tcPr>
          <w:p w14:paraId="4DE72FF9" w14:textId="3AE39138" w:rsidR="00C80858" w:rsidRPr="00747E35" w:rsidRDefault="00C80858" w:rsidP="00C80858">
            <w:pPr>
              <w:pStyle w:val="Tabletext"/>
              <w:spacing w:before="0" w:after="0"/>
              <w:rPr>
                <w:rFonts w:cstheme="minorHAnsi"/>
              </w:rPr>
            </w:pPr>
            <w:r w:rsidRPr="00747E35">
              <w:rPr>
                <w:rFonts w:cstheme="minorHAnsi"/>
              </w:rPr>
              <w:t>6</w:t>
            </w:r>
          </w:p>
        </w:tc>
        <w:tc>
          <w:tcPr>
            <w:tcW w:w="708" w:type="dxa"/>
            <w:vAlign w:val="bottom"/>
          </w:tcPr>
          <w:p w14:paraId="3928325B" w14:textId="0471B601" w:rsidR="00C80858" w:rsidRPr="00747E35" w:rsidRDefault="00C80858" w:rsidP="00C80858">
            <w:pPr>
              <w:pStyle w:val="Tabletext"/>
              <w:spacing w:before="0" w:after="0"/>
              <w:rPr>
                <w:rFonts w:cstheme="minorHAnsi"/>
              </w:rPr>
            </w:pPr>
            <w:r w:rsidRPr="00747E35">
              <w:rPr>
                <w:rFonts w:cstheme="minorHAnsi"/>
              </w:rPr>
              <w:t>sh *</w:t>
            </w:r>
          </w:p>
        </w:tc>
        <w:tc>
          <w:tcPr>
            <w:tcW w:w="2268" w:type="dxa"/>
            <w:vAlign w:val="bottom"/>
          </w:tcPr>
          <w:p w14:paraId="5620B129" w14:textId="1085F25C" w:rsidR="00C80858" w:rsidRPr="00747E35" w:rsidRDefault="00C80858" w:rsidP="00C80858">
            <w:pPr>
              <w:pStyle w:val="Tabletext"/>
              <w:spacing w:before="0" w:after="0"/>
              <w:rPr>
                <w:rFonts w:cstheme="minorHAnsi"/>
                <w:i/>
              </w:rPr>
            </w:pPr>
            <w:r w:rsidRPr="00747E35">
              <w:rPr>
                <w:rFonts w:cstheme="minorHAnsi"/>
                <w:i/>
              </w:rPr>
              <w:t>Opuntia stricta</w:t>
            </w:r>
          </w:p>
        </w:tc>
        <w:tc>
          <w:tcPr>
            <w:tcW w:w="426" w:type="dxa"/>
            <w:vAlign w:val="bottom"/>
          </w:tcPr>
          <w:p w14:paraId="3F396582" w14:textId="4E952582" w:rsidR="00C80858" w:rsidRPr="00747E35" w:rsidRDefault="00C80858" w:rsidP="00C80858">
            <w:pPr>
              <w:pStyle w:val="Tabletext"/>
              <w:spacing w:before="0" w:after="0"/>
              <w:rPr>
                <w:rFonts w:cstheme="minorHAnsi"/>
              </w:rPr>
            </w:pPr>
            <w:r w:rsidRPr="00747E35">
              <w:rPr>
                <w:rFonts w:cstheme="minorHAnsi"/>
              </w:rPr>
              <w:t>M</w:t>
            </w:r>
          </w:p>
        </w:tc>
        <w:tc>
          <w:tcPr>
            <w:tcW w:w="850" w:type="dxa"/>
            <w:vAlign w:val="bottom"/>
          </w:tcPr>
          <w:p w14:paraId="17F8107C" w14:textId="2E69B9BE" w:rsidR="00C80858" w:rsidRPr="00747E35" w:rsidRDefault="00C80858" w:rsidP="00C80858">
            <w:pPr>
              <w:pStyle w:val="Tabletext"/>
              <w:spacing w:before="0" w:after="0"/>
              <w:rPr>
                <w:rFonts w:cstheme="minorHAnsi"/>
              </w:rPr>
            </w:pPr>
            <w:r w:rsidRPr="00747E35">
              <w:rPr>
                <w:rFonts w:cstheme="minorHAnsi"/>
              </w:rPr>
              <w:t>Fi</w:t>
            </w:r>
          </w:p>
        </w:tc>
      </w:tr>
      <w:tr w:rsidR="00C80858" w:rsidRPr="00747E35" w14:paraId="2DC988AF" w14:textId="77777777" w:rsidTr="0096743A">
        <w:tc>
          <w:tcPr>
            <w:tcW w:w="567" w:type="dxa"/>
            <w:vAlign w:val="bottom"/>
          </w:tcPr>
          <w:p w14:paraId="7FF65C05" w14:textId="20A93E52" w:rsidR="00C80858" w:rsidRPr="00747E35" w:rsidRDefault="00C80858" w:rsidP="00C80858">
            <w:pPr>
              <w:pStyle w:val="Tabletext"/>
              <w:spacing w:before="0" w:after="0"/>
              <w:rPr>
                <w:rFonts w:cstheme="minorHAnsi"/>
              </w:rPr>
            </w:pPr>
            <w:r w:rsidRPr="00747E35">
              <w:rPr>
                <w:rFonts w:cstheme="minorHAnsi"/>
              </w:rPr>
              <w:lastRenderedPageBreak/>
              <w:t>5</w:t>
            </w:r>
          </w:p>
        </w:tc>
        <w:tc>
          <w:tcPr>
            <w:tcW w:w="567" w:type="dxa"/>
          </w:tcPr>
          <w:p w14:paraId="29352E1E" w14:textId="06DE65A6"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783709F0" w14:textId="7BEE3D08" w:rsidR="00C80858" w:rsidRPr="00747E35" w:rsidRDefault="00C80858" w:rsidP="00C80858">
            <w:pPr>
              <w:pStyle w:val="Tabletext"/>
              <w:spacing w:before="0" w:after="0"/>
              <w:rPr>
                <w:rFonts w:cstheme="minorHAnsi"/>
                <w:i/>
              </w:rPr>
            </w:pPr>
            <w:r w:rsidRPr="00747E35">
              <w:rPr>
                <w:rFonts w:cstheme="minorHAnsi"/>
                <w:i/>
              </w:rPr>
              <w:t>Themeda australis</w:t>
            </w:r>
          </w:p>
        </w:tc>
        <w:tc>
          <w:tcPr>
            <w:tcW w:w="709" w:type="dxa"/>
            <w:vAlign w:val="bottom"/>
          </w:tcPr>
          <w:p w14:paraId="7285429B" w14:textId="3E63F59C" w:rsidR="00C80858" w:rsidRPr="00747E35" w:rsidRDefault="00C80858" w:rsidP="00C80858">
            <w:pPr>
              <w:pStyle w:val="Tabletext"/>
              <w:spacing w:before="0" w:after="0"/>
              <w:rPr>
                <w:rFonts w:cstheme="minorHAnsi"/>
              </w:rPr>
            </w:pPr>
            <w:r w:rsidRPr="00747E35">
              <w:rPr>
                <w:rFonts w:cstheme="minorHAnsi"/>
              </w:rPr>
              <w:t>B</w:t>
            </w:r>
          </w:p>
        </w:tc>
        <w:tc>
          <w:tcPr>
            <w:tcW w:w="992" w:type="dxa"/>
            <w:tcBorders>
              <w:right w:val="single" w:sz="4" w:space="0" w:color="auto"/>
            </w:tcBorders>
            <w:vAlign w:val="bottom"/>
          </w:tcPr>
          <w:p w14:paraId="7D592F6A" w14:textId="6AAC68FC" w:rsidR="00C80858" w:rsidRPr="00747E35" w:rsidRDefault="00C80858" w:rsidP="00C80858">
            <w:pPr>
              <w:pStyle w:val="Tabletext"/>
              <w:spacing w:before="0" w:after="0"/>
              <w:rPr>
                <w:rFonts w:cstheme="minorHAnsi"/>
              </w:rPr>
            </w:pPr>
            <w:r w:rsidRPr="00747E35">
              <w:rPr>
                <w:rFonts w:cstheme="minorHAnsi"/>
              </w:rPr>
              <w:t>Fi Fp Ri T</w:t>
            </w:r>
          </w:p>
        </w:tc>
        <w:tc>
          <w:tcPr>
            <w:tcW w:w="709" w:type="dxa"/>
            <w:tcBorders>
              <w:left w:val="single" w:sz="4" w:space="0" w:color="auto"/>
            </w:tcBorders>
            <w:vAlign w:val="bottom"/>
          </w:tcPr>
          <w:p w14:paraId="617CE021" w14:textId="253F729E" w:rsidR="00C80858" w:rsidRPr="00747E35" w:rsidRDefault="00C80858" w:rsidP="00C80858">
            <w:pPr>
              <w:pStyle w:val="Tabletext"/>
              <w:spacing w:before="0" w:after="0"/>
              <w:rPr>
                <w:rFonts w:cstheme="minorHAnsi"/>
              </w:rPr>
            </w:pPr>
            <w:r w:rsidRPr="00747E35">
              <w:rPr>
                <w:rFonts w:cstheme="minorHAnsi"/>
              </w:rPr>
              <w:t>6</w:t>
            </w:r>
          </w:p>
        </w:tc>
        <w:tc>
          <w:tcPr>
            <w:tcW w:w="708" w:type="dxa"/>
          </w:tcPr>
          <w:p w14:paraId="0EAF3E1D" w14:textId="03F5AA27" w:rsidR="00C80858" w:rsidRPr="00747E35" w:rsidRDefault="00C80858" w:rsidP="00C80858">
            <w:pPr>
              <w:pStyle w:val="Tabletext"/>
              <w:spacing w:before="0" w:after="0"/>
              <w:rPr>
                <w:rFonts w:cstheme="minorHAnsi"/>
              </w:rPr>
            </w:pPr>
            <w:r w:rsidRPr="00747E35">
              <w:rPr>
                <w:rFonts w:cstheme="minorHAnsi"/>
              </w:rPr>
              <w:t>sh</w:t>
            </w:r>
          </w:p>
        </w:tc>
        <w:tc>
          <w:tcPr>
            <w:tcW w:w="2268" w:type="dxa"/>
            <w:vAlign w:val="bottom"/>
          </w:tcPr>
          <w:p w14:paraId="73EE9621" w14:textId="7FDD5C26" w:rsidR="00C80858" w:rsidRPr="00747E35" w:rsidRDefault="00C80858" w:rsidP="00C80858">
            <w:pPr>
              <w:pStyle w:val="Tabletext"/>
              <w:spacing w:before="0" w:after="0"/>
              <w:rPr>
                <w:rFonts w:cstheme="minorHAnsi"/>
                <w:i/>
              </w:rPr>
            </w:pPr>
            <w:r w:rsidRPr="00747E35">
              <w:rPr>
                <w:rFonts w:cstheme="minorHAnsi"/>
                <w:i/>
              </w:rPr>
              <w:t xml:space="preserve">Sclerolaena </w:t>
            </w:r>
            <w:r w:rsidRPr="00747E35">
              <w:rPr>
                <w:rFonts w:cstheme="minorHAnsi"/>
              </w:rPr>
              <w:t>sp</w:t>
            </w:r>
          </w:p>
        </w:tc>
        <w:tc>
          <w:tcPr>
            <w:tcW w:w="426" w:type="dxa"/>
            <w:vAlign w:val="bottom"/>
          </w:tcPr>
          <w:p w14:paraId="230267A7" w14:textId="2A56B9ED" w:rsidR="00C80858" w:rsidRPr="00747E35" w:rsidRDefault="00C80858" w:rsidP="00C80858">
            <w:pPr>
              <w:pStyle w:val="Tabletext"/>
              <w:spacing w:before="0" w:after="0"/>
              <w:rPr>
                <w:rFonts w:cstheme="minorHAnsi"/>
              </w:rPr>
            </w:pPr>
            <w:r w:rsidRPr="00747E35">
              <w:rPr>
                <w:rFonts w:cstheme="minorHAnsi"/>
              </w:rPr>
              <w:t>M</w:t>
            </w:r>
          </w:p>
        </w:tc>
        <w:tc>
          <w:tcPr>
            <w:tcW w:w="850" w:type="dxa"/>
            <w:vAlign w:val="bottom"/>
          </w:tcPr>
          <w:p w14:paraId="2E4F284B" w14:textId="70156E38" w:rsidR="00C80858" w:rsidRPr="00747E35" w:rsidRDefault="00C80858" w:rsidP="00C80858">
            <w:pPr>
              <w:pStyle w:val="Tabletext"/>
              <w:spacing w:before="0" w:after="0"/>
              <w:rPr>
                <w:rFonts w:cstheme="minorHAnsi"/>
              </w:rPr>
            </w:pPr>
            <w:r w:rsidRPr="00747E35">
              <w:rPr>
                <w:rFonts w:cstheme="minorHAnsi"/>
              </w:rPr>
              <w:t>Fi</w:t>
            </w:r>
          </w:p>
        </w:tc>
      </w:tr>
      <w:tr w:rsidR="00C80858" w:rsidRPr="00747E35" w14:paraId="36AFDDF6" w14:textId="77777777" w:rsidTr="0096743A">
        <w:tc>
          <w:tcPr>
            <w:tcW w:w="567" w:type="dxa"/>
            <w:vAlign w:val="bottom"/>
          </w:tcPr>
          <w:p w14:paraId="278D6756" w14:textId="7FBACD5D" w:rsidR="00C80858" w:rsidRPr="00747E35" w:rsidRDefault="00C80858" w:rsidP="00C80858">
            <w:pPr>
              <w:pStyle w:val="Tabletext"/>
              <w:spacing w:before="0" w:after="0"/>
              <w:rPr>
                <w:rFonts w:cstheme="minorHAnsi"/>
              </w:rPr>
            </w:pPr>
            <w:r w:rsidRPr="00747E35">
              <w:rPr>
                <w:rFonts w:cstheme="minorHAnsi"/>
              </w:rPr>
              <w:t>6</w:t>
            </w:r>
          </w:p>
        </w:tc>
        <w:tc>
          <w:tcPr>
            <w:tcW w:w="567" w:type="dxa"/>
          </w:tcPr>
          <w:p w14:paraId="76C205D6" w14:textId="1A3A2675"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0C66DA68" w14:textId="5609A14A" w:rsidR="00C80858" w:rsidRPr="00747E35" w:rsidRDefault="00C80858" w:rsidP="00C80858">
            <w:pPr>
              <w:pStyle w:val="Tabletext"/>
              <w:spacing w:before="0" w:after="0"/>
              <w:rPr>
                <w:rFonts w:cstheme="minorHAnsi"/>
                <w:i/>
              </w:rPr>
            </w:pPr>
            <w:r w:rsidRPr="00747E35">
              <w:rPr>
                <w:rFonts w:cstheme="minorHAnsi"/>
                <w:i/>
              </w:rPr>
              <w:t>Triodia scariosa</w:t>
            </w:r>
          </w:p>
        </w:tc>
        <w:tc>
          <w:tcPr>
            <w:tcW w:w="709" w:type="dxa"/>
            <w:vAlign w:val="bottom"/>
          </w:tcPr>
          <w:p w14:paraId="60D57E67" w14:textId="48D304C9" w:rsidR="00C80858" w:rsidRPr="00747E35" w:rsidRDefault="00C80858" w:rsidP="00C80858">
            <w:pPr>
              <w:pStyle w:val="Tabletext"/>
              <w:spacing w:before="0" w:after="0"/>
              <w:rPr>
                <w:rFonts w:cstheme="minorHAnsi"/>
              </w:rPr>
            </w:pPr>
            <w:r w:rsidRPr="00747E35">
              <w:rPr>
                <w:rFonts w:cstheme="minorHAnsi"/>
              </w:rPr>
              <w:t>M</w:t>
            </w:r>
          </w:p>
        </w:tc>
        <w:tc>
          <w:tcPr>
            <w:tcW w:w="992" w:type="dxa"/>
            <w:tcBorders>
              <w:right w:val="single" w:sz="4" w:space="0" w:color="auto"/>
            </w:tcBorders>
            <w:vAlign w:val="bottom"/>
          </w:tcPr>
          <w:p w14:paraId="795F1F37" w14:textId="4CBDB6CB" w:rsidR="00C80858" w:rsidRPr="00747E35" w:rsidRDefault="00C80858" w:rsidP="00C80858">
            <w:pPr>
              <w:pStyle w:val="Tabletext"/>
              <w:spacing w:before="0" w:after="0"/>
              <w:rPr>
                <w:rFonts w:cstheme="minorHAnsi"/>
              </w:rPr>
            </w:pPr>
            <w:r w:rsidRPr="00747E35">
              <w:rPr>
                <w:rFonts w:cstheme="minorHAnsi"/>
              </w:rPr>
              <w:t>T</w:t>
            </w:r>
          </w:p>
        </w:tc>
        <w:tc>
          <w:tcPr>
            <w:tcW w:w="709" w:type="dxa"/>
            <w:tcBorders>
              <w:left w:val="single" w:sz="4" w:space="0" w:color="auto"/>
            </w:tcBorders>
            <w:vAlign w:val="bottom"/>
          </w:tcPr>
          <w:p w14:paraId="513D6D1A" w14:textId="020090EF" w:rsidR="00C80858" w:rsidRPr="00747E35" w:rsidRDefault="00C80858" w:rsidP="00C80858">
            <w:pPr>
              <w:pStyle w:val="Tabletext"/>
              <w:spacing w:before="0" w:after="0"/>
              <w:rPr>
                <w:rFonts w:cstheme="minorHAnsi"/>
              </w:rPr>
            </w:pPr>
            <w:r w:rsidRPr="00747E35">
              <w:rPr>
                <w:rFonts w:cstheme="minorHAnsi"/>
              </w:rPr>
              <w:t>6</w:t>
            </w:r>
          </w:p>
        </w:tc>
        <w:tc>
          <w:tcPr>
            <w:tcW w:w="708" w:type="dxa"/>
          </w:tcPr>
          <w:p w14:paraId="3C8F5C7B" w14:textId="1B288A20" w:rsidR="00C80858" w:rsidRPr="00747E35" w:rsidRDefault="00C80858" w:rsidP="00C80858">
            <w:pPr>
              <w:pStyle w:val="Tabletext"/>
              <w:spacing w:before="0" w:after="0"/>
              <w:rPr>
                <w:rFonts w:cstheme="minorHAnsi"/>
              </w:rPr>
            </w:pPr>
            <w:r w:rsidRPr="00747E35">
              <w:rPr>
                <w:rFonts w:cstheme="minorHAnsi"/>
              </w:rPr>
              <w:t>sh</w:t>
            </w:r>
          </w:p>
        </w:tc>
        <w:tc>
          <w:tcPr>
            <w:tcW w:w="2268" w:type="dxa"/>
            <w:vAlign w:val="bottom"/>
          </w:tcPr>
          <w:p w14:paraId="62DBB2F3" w14:textId="41A5A0FA" w:rsidR="00C80858" w:rsidRPr="00747E35" w:rsidRDefault="00C80858" w:rsidP="00C80858">
            <w:pPr>
              <w:pStyle w:val="Tabletext"/>
              <w:spacing w:before="0" w:after="0"/>
              <w:rPr>
                <w:rFonts w:cstheme="minorHAnsi"/>
                <w:i/>
              </w:rPr>
            </w:pPr>
            <w:r w:rsidRPr="00747E35">
              <w:rPr>
                <w:rFonts w:cstheme="minorHAnsi"/>
                <w:i/>
              </w:rPr>
              <w:t>Sida acuta</w:t>
            </w:r>
          </w:p>
        </w:tc>
        <w:tc>
          <w:tcPr>
            <w:tcW w:w="426" w:type="dxa"/>
            <w:vAlign w:val="bottom"/>
          </w:tcPr>
          <w:p w14:paraId="216CED12" w14:textId="2701CEDC" w:rsidR="00C80858" w:rsidRPr="00747E35" w:rsidRDefault="00C80858" w:rsidP="00C80858">
            <w:pPr>
              <w:pStyle w:val="Tabletext"/>
              <w:spacing w:before="0" w:after="0"/>
              <w:rPr>
                <w:rFonts w:cstheme="minorHAnsi"/>
              </w:rPr>
            </w:pPr>
            <w:r w:rsidRPr="00747E35">
              <w:rPr>
                <w:rFonts w:cstheme="minorHAnsi"/>
              </w:rPr>
              <w:t>B, M</w:t>
            </w:r>
          </w:p>
        </w:tc>
        <w:tc>
          <w:tcPr>
            <w:tcW w:w="850" w:type="dxa"/>
            <w:vAlign w:val="bottom"/>
          </w:tcPr>
          <w:p w14:paraId="6ACF8861" w14:textId="6E5E80A2" w:rsidR="00C80858" w:rsidRPr="00747E35" w:rsidRDefault="00C80858" w:rsidP="00C80858">
            <w:pPr>
              <w:pStyle w:val="Tabletext"/>
              <w:spacing w:before="0" w:after="0"/>
              <w:rPr>
                <w:rFonts w:cstheme="minorHAnsi"/>
              </w:rPr>
            </w:pPr>
            <w:r w:rsidRPr="00747E35">
              <w:rPr>
                <w:rFonts w:cstheme="minorHAnsi"/>
              </w:rPr>
              <w:t>Fi Fp Ri Rp</w:t>
            </w:r>
          </w:p>
        </w:tc>
      </w:tr>
      <w:tr w:rsidR="00C80858" w:rsidRPr="00747E35" w14:paraId="40BF5CCF" w14:textId="77777777" w:rsidTr="0096743A">
        <w:tc>
          <w:tcPr>
            <w:tcW w:w="567" w:type="dxa"/>
            <w:vAlign w:val="bottom"/>
          </w:tcPr>
          <w:p w14:paraId="13E2EF6D" w14:textId="6863E90B" w:rsidR="00C80858" w:rsidRPr="00747E35" w:rsidRDefault="00C80858" w:rsidP="00C80858">
            <w:pPr>
              <w:pStyle w:val="Tabletext"/>
              <w:spacing w:before="0" w:after="0"/>
              <w:rPr>
                <w:rFonts w:cstheme="minorHAnsi"/>
              </w:rPr>
            </w:pPr>
            <w:r w:rsidRPr="00747E35">
              <w:rPr>
                <w:rFonts w:cstheme="minorHAnsi"/>
              </w:rPr>
              <w:t>4</w:t>
            </w:r>
          </w:p>
        </w:tc>
        <w:tc>
          <w:tcPr>
            <w:tcW w:w="567" w:type="dxa"/>
          </w:tcPr>
          <w:p w14:paraId="0407DFE6" w14:textId="2AD56878" w:rsidR="00C80858" w:rsidRPr="00747E35" w:rsidRDefault="00C80858" w:rsidP="00C80858">
            <w:pPr>
              <w:pStyle w:val="Tabletext"/>
              <w:spacing w:before="0" w:after="0"/>
              <w:rPr>
                <w:rFonts w:cstheme="minorHAnsi"/>
              </w:rPr>
            </w:pPr>
            <w:r w:rsidRPr="00747E35">
              <w:rPr>
                <w:rFonts w:cstheme="minorHAnsi"/>
              </w:rPr>
              <w:t>pg</w:t>
            </w:r>
          </w:p>
        </w:tc>
        <w:tc>
          <w:tcPr>
            <w:tcW w:w="1985" w:type="dxa"/>
            <w:vAlign w:val="bottom"/>
          </w:tcPr>
          <w:p w14:paraId="3D252FFB" w14:textId="503CDD62" w:rsidR="00C80858" w:rsidRPr="00747E35" w:rsidRDefault="00C80858" w:rsidP="00C80858">
            <w:pPr>
              <w:pStyle w:val="Tabletext"/>
              <w:spacing w:before="0" w:after="0"/>
              <w:rPr>
                <w:rFonts w:cstheme="minorHAnsi"/>
                <w:i/>
              </w:rPr>
            </w:pPr>
            <w:r w:rsidRPr="00747E35">
              <w:rPr>
                <w:rFonts w:cstheme="minorHAnsi"/>
                <w:i/>
              </w:rPr>
              <w:t>Leptochloa digitata</w:t>
            </w:r>
          </w:p>
        </w:tc>
        <w:tc>
          <w:tcPr>
            <w:tcW w:w="709" w:type="dxa"/>
            <w:vAlign w:val="bottom"/>
          </w:tcPr>
          <w:p w14:paraId="56AE7737" w14:textId="5E301629" w:rsidR="00C80858" w:rsidRPr="00747E35" w:rsidRDefault="00C80858" w:rsidP="00C80858">
            <w:pPr>
              <w:pStyle w:val="Tabletext"/>
              <w:spacing w:before="0" w:after="0"/>
              <w:rPr>
                <w:rFonts w:cstheme="minorHAnsi"/>
              </w:rPr>
            </w:pPr>
            <w:r w:rsidRPr="00747E35">
              <w:rPr>
                <w:rFonts w:cstheme="minorHAnsi"/>
              </w:rPr>
              <w:t>M, B</w:t>
            </w:r>
          </w:p>
        </w:tc>
        <w:tc>
          <w:tcPr>
            <w:tcW w:w="992" w:type="dxa"/>
            <w:tcBorders>
              <w:right w:val="single" w:sz="4" w:space="0" w:color="auto"/>
            </w:tcBorders>
            <w:vAlign w:val="bottom"/>
          </w:tcPr>
          <w:p w14:paraId="7E205A4F" w14:textId="203B700D" w:rsidR="00C80858" w:rsidRPr="00747E35" w:rsidRDefault="00C80858" w:rsidP="00C80858">
            <w:pPr>
              <w:pStyle w:val="Tabletext"/>
              <w:spacing w:before="0" w:after="0"/>
              <w:rPr>
                <w:rFonts w:cstheme="minorHAnsi"/>
              </w:rPr>
            </w:pPr>
            <w:r w:rsidRPr="00747E35">
              <w:rPr>
                <w:rFonts w:cstheme="minorHAnsi"/>
              </w:rPr>
              <w:t>Fi Ri Rp</w:t>
            </w:r>
          </w:p>
        </w:tc>
        <w:tc>
          <w:tcPr>
            <w:tcW w:w="709" w:type="dxa"/>
            <w:tcBorders>
              <w:left w:val="single" w:sz="4" w:space="0" w:color="auto"/>
            </w:tcBorders>
            <w:vAlign w:val="bottom"/>
          </w:tcPr>
          <w:p w14:paraId="3A358707" w14:textId="5C9F319C" w:rsidR="00C80858" w:rsidRPr="00747E35" w:rsidRDefault="00C80858" w:rsidP="00C80858">
            <w:pPr>
              <w:pStyle w:val="Tabletext"/>
              <w:spacing w:before="0" w:after="0"/>
              <w:rPr>
                <w:rFonts w:cstheme="minorHAnsi"/>
              </w:rPr>
            </w:pPr>
            <w:r w:rsidRPr="00747E35">
              <w:rPr>
                <w:rFonts w:cstheme="minorHAnsi"/>
              </w:rPr>
              <w:t>6</w:t>
            </w:r>
          </w:p>
        </w:tc>
        <w:tc>
          <w:tcPr>
            <w:tcW w:w="708" w:type="dxa"/>
            <w:vAlign w:val="bottom"/>
          </w:tcPr>
          <w:p w14:paraId="3289FAF9" w14:textId="2BE406A7" w:rsidR="00C80858" w:rsidRPr="00747E35" w:rsidRDefault="00C80858" w:rsidP="00C80858">
            <w:pPr>
              <w:pStyle w:val="Tabletext"/>
              <w:spacing w:before="0" w:after="0"/>
              <w:rPr>
                <w:rFonts w:cstheme="minorHAnsi"/>
              </w:rPr>
            </w:pPr>
            <w:r w:rsidRPr="00747E35">
              <w:rPr>
                <w:rFonts w:cstheme="minorHAnsi"/>
              </w:rPr>
              <w:t>sh*</w:t>
            </w:r>
          </w:p>
        </w:tc>
        <w:tc>
          <w:tcPr>
            <w:tcW w:w="2268" w:type="dxa"/>
            <w:vAlign w:val="bottom"/>
          </w:tcPr>
          <w:p w14:paraId="726DFDB8" w14:textId="5E6E7059" w:rsidR="00C80858" w:rsidRPr="00747E35" w:rsidRDefault="00C80858" w:rsidP="00C80858">
            <w:pPr>
              <w:pStyle w:val="Tabletext"/>
              <w:spacing w:before="0" w:after="0"/>
              <w:rPr>
                <w:rFonts w:cstheme="minorHAnsi"/>
                <w:i/>
              </w:rPr>
            </w:pPr>
            <w:r w:rsidRPr="00747E35">
              <w:rPr>
                <w:rFonts w:cstheme="minorHAnsi"/>
                <w:i/>
              </w:rPr>
              <w:t>Abutilon auritum</w:t>
            </w:r>
          </w:p>
        </w:tc>
        <w:tc>
          <w:tcPr>
            <w:tcW w:w="426" w:type="dxa"/>
            <w:vAlign w:val="bottom"/>
          </w:tcPr>
          <w:p w14:paraId="00AB5ED4" w14:textId="15087F0E" w:rsidR="00C80858" w:rsidRPr="00747E35" w:rsidRDefault="00C80858" w:rsidP="00C80858">
            <w:pPr>
              <w:pStyle w:val="Tabletext"/>
              <w:spacing w:before="0" w:after="0"/>
              <w:rPr>
                <w:rFonts w:cstheme="minorHAnsi"/>
              </w:rPr>
            </w:pPr>
            <w:r w:rsidRPr="00747E35">
              <w:rPr>
                <w:rFonts w:cstheme="minorHAnsi"/>
              </w:rPr>
              <w:t>B</w:t>
            </w:r>
          </w:p>
        </w:tc>
        <w:tc>
          <w:tcPr>
            <w:tcW w:w="850" w:type="dxa"/>
            <w:vAlign w:val="bottom"/>
          </w:tcPr>
          <w:p w14:paraId="49619C8B" w14:textId="2D41AD16" w:rsidR="00C80858" w:rsidRPr="00747E35" w:rsidRDefault="00C80858" w:rsidP="00C80858">
            <w:pPr>
              <w:pStyle w:val="Tabletext"/>
              <w:spacing w:before="0" w:after="0"/>
              <w:rPr>
                <w:rFonts w:cstheme="minorHAnsi"/>
              </w:rPr>
            </w:pPr>
            <w:r w:rsidRPr="00747E35">
              <w:rPr>
                <w:rFonts w:cstheme="minorHAnsi"/>
              </w:rPr>
              <w:t>Fp Ri</w:t>
            </w:r>
          </w:p>
        </w:tc>
      </w:tr>
      <w:tr w:rsidR="00C80858" w:rsidRPr="00747E35" w14:paraId="133DD131" w14:textId="77777777" w:rsidTr="0096743A">
        <w:tc>
          <w:tcPr>
            <w:tcW w:w="567" w:type="dxa"/>
            <w:tcBorders>
              <w:bottom w:val="single" w:sz="4" w:space="0" w:color="auto"/>
            </w:tcBorders>
            <w:vAlign w:val="bottom"/>
          </w:tcPr>
          <w:p w14:paraId="08584E1D" w14:textId="6E6D5311" w:rsidR="00C80858" w:rsidRPr="00747E35" w:rsidRDefault="00C80858" w:rsidP="00C80858">
            <w:pPr>
              <w:pStyle w:val="Tabletext"/>
              <w:spacing w:before="0" w:after="0"/>
              <w:rPr>
                <w:rFonts w:cstheme="minorHAnsi"/>
              </w:rPr>
            </w:pPr>
            <w:r w:rsidRPr="00747E35">
              <w:rPr>
                <w:rFonts w:cstheme="minorHAnsi"/>
              </w:rPr>
              <w:t>4</w:t>
            </w:r>
          </w:p>
        </w:tc>
        <w:tc>
          <w:tcPr>
            <w:tcW w:w="567" w:type="dxa"/>
            <w:tcBorders>
              <w:bottom w:val="single" w:sz="4" w:space="0" w:color="auto"/>
            </w:tcBorders>
            <w:vAlign w:val="bottom"/>
          </w:tcPr>
          <w:p w14:paraId="3EB96B01" w14:textId="155E854C" w:rsidR="00C80858" w:rsidRPr="00747E35" w:rsidRDefault="00C80858" w:rsidP="00C80858">
            <w:pPr>
              <w:pStyle w:val="Tabletext"/>
              <w:spacing w:before="0" w:after="0"/>
              <w:rPr>
                <w:rFonts w:cstheme="minorHAnsi"/>
              </w:rPr>
            </w:pPr>
            <w:r w:rsidRPr="00747E35">
              <w:rPr>
                <w:rFonts w:cstheme="minorHAnsi"/>
              </w:rPr>
              <w:t>pg *</w:t>
            </w:r>
          </w:p>
        </w:tc>
        <w:tc>
          <w:tcPr>
            <w:tcW w:w="1985" w:type="dxa"/>
            <w:tcBorders>
              <w:bottom w:val="single" w:sz="4" w:space="0" w:color="auto"/>
            </w:tcBorders>
            <w:vAlign w:val="bottom"/>
          </w:tcPr>
          <w:p w14:paraId="6A4ACF3E" w14:textId="50DB6314" w:rsidR="00C80858" w:rsidRPr="00747E35" w:rsidRDefault="00C80858" w:rsidP="00C80858">
            <w:pPr>
              <w:pStyle w:val="Tabletext"/>
              <w:spacing w:before="0" w:after="0"/>
              <w:rPr>
                <w:rFonts w:cstheme="minorHAnsi"/>
                <w:i/>
              </w:rPr>
            </w:pPr>
            <w:r w:rsidRPr="00747E35">
              <w:rPr>
                <w:rFonts w:cstheme="minorHAnsi"/>
                <w:i/>
              </w:rPr>
              <w:t>Megathyrsus maximus</w:t>
            </w:r>
          </w:p>
        </w:tc>
        <w:tc>
          <w:tcPr>
            <w:tcW w:w="709" w:type="dxa"/>
            <w:tcBorders>
              <w:bottom w:val="single" w:sz="4" w:space="0" w:color="auto"/>
            </w:tcBorders>
            <w:vAlign w:val="bottom"/>
          </w:tcPr>
          <w:p w14:paraId="52FD5B1C" w14:textId="1A74B816" w:rsidR="00C80858" w:rsidRPr="00747E35" w:rsidRDefault="00C80858" w:rsidP="00C80858">
            <w:pPr>
              <w:pStyle w:val="Tabletext"/>
              <w:spacing w:before="0" w:after="0"/>
              <w:rPr>
                <w:rFonts w:cstheme="minorHAnsi"/>
              </w:rPr>
            </w:pPr>
            <w:r w:rsidRPr="00747E35">
              <w:rPr>
                <w:rFonts w:cstheme="minorHAnsi"/>
              </w:rPr>
              <w:t>B, M</w:t>
            </w:r>
          </w:p>
        </w:tc>
        <w:tc>
          <w:tcPr>
            <w:tcW w:w="992" w:type="dxa"/>
            <w:tcBorders>
              <w:bottom w:val="single" w:sz="4" w:space="0" w:color="auto"/>
              <w:right w:val="single" w:sz="4" w:space="0" w:color="auto"/>
            </w:tcBorders>
            <w:vAlign w:val="bottom"/>
          </w:tcPr>
          <w:p w14:paraId="5C9D15FD" w14:textId="0DD9B381" w:rsidR="00C80858" w:rsidRPr="00747E35" w:rsidRDefault="00C80858" w:rsidP="00C80858">
            <w:pPr>
              <w:pStyle w:val="Tabletext"/>
              <w:spacing w:before="0" w:after="0"/>
              <w:rPr>
                <w:rFonts w:cstheme="minorHAnsi"/>
              </w:rPr>
            </w:pPr>
            <w:r w:rsidRPr="00747E35">
              <w:rPr>
                <w:rFonts w:cstheme="minorHAnsi"/>
              </w:rPr>
              <w:t>Fi Fp Ri Rp</w:t>
            </w:r>
          </w:p>
        </w:tc>
        <w:tc>
          <w:tcPr>
            <w:tcW w:w="709" w:type="dxa"/>
            <w:tcBorders>
              <w:left w:val="single" w:sz="4" w:space="0" w:color="auto"/>
              <w:bottom w:val="single" w:sz="4" w:space="0" w:color="auto"/>
            </w:tcBorders>
            <w:vAlign w:val="bottom"/>
          </w:tcPr>
          <w:p w14:paraId="11617C6E" w14:textId="5DED03AC" w:rsidR="00C80858" w:rsidRPr="00747E35" w:rsidRDefault="00C80858" w:rsidP="00C80858">
            <w:pPr>
              <w:pStyle w:val="Tabletext"/>
              <w:spacing w:before="0" w:after="0"/>
              <w:rPr>
                <w:rFonts w:cstheme="minorHAnsi"/>
              </w:rPr>
            </w:pPr>
            <w:r w:rsidRPr="00747E35">
              <w:rPr>
                <w:rFonts w:cstheme="minorHAnsi"/>
              </w:rPr>
              <w:t>3</w:t>
            </w:r>
          </w:p>
        </w:tc>
        <w:tc>
          <w:tcPr>
            <w:tcW w:w="708" w:type="dxa"/>
            <w:tcBorders>
              <w:bottom w:val="single" w:sz="4" w:space="0" w:color="auto"/>
            </w:tcBorders>
            <w:vAlign w:val="bottom"/>
          </w:tcPr>
          <w:p w14:paraId="63EF428E" w14:textId="2C3830EE" w:rsidR="00C80858" w:rsidRPr="00747E35" w:rsidRDefault="00C80858" w:rsidP="00C80858">
            <w:pPr>
              <w:pStyle w:val="Tabletext"/>
              <w:spacing w:before="0" w:after="0"/>
              <w:rPr>
                <w:rFonts w:cstheme="minorHAnsi"/>
              </w:rPr>
            </w:pPr>
            <w:r w:rsidRPr="00747E35">
              <w:rPr>
                <w:rFonts w:cstheme="minorHAnsi"/>
              </w:rPr>
              <w:t>sh</w:t>
            </w:r>
          </w:p>
        </w:tc>
        <w:tc>
          <w:tcPr>
            <w:tcW w:w="2268" w:type="dxa"/>
            <w:tcBorders>
              <w:bottom w:val="single" w:sz="4" w:space="0" w:color="auto"/>
            </w:tcBorders>
            <w:vAlign w:val="bottom"/>
          </w:tcPr>
          <w:p w14:paraId="6CD91D12" w14:textId="2DB97AE1" w:rsidR="00C80858" w:rsidRPr="00747E35" w:rsidRDefault="00C80858" w:rsidP="00C80858">
            <w:pPr>
              <w:pStyle w:val="Tabletext"/>
              <w:spacing w:before="0" w:after="0"/>
              <w:rPr>
                <w:rFonts w:cstheme="minorHAnsi"/>
                <w:i/>
              </w:rPr>
            </w:pPr>
            <w:r w:rsidRPr="00747E35">
              <w:rPr>
                <w:rFonts w:cstheme="minorHAnsi"/>
                <w:i/>
              </w:rPr>
              <w:t>Abutilon oxycarpum</w:t>
            </w:r>
          </w:p>
        </w:tc>
        <w:tc>
          <w:tcPr>
            <w:tcW w:w="426" w:type="dxa"/>
            <w:tcBorders>
              <w:bottom w:val="single" w:sz="4" w:space="0" w:color="auto"/>
            </w:tcBorders>
            <w:vAlign w:val="bottom"/>
          </w:tcPr>
          <w:p w14:paraId="603D336C" w14:textId="3B9AC33E" w:rsidR="00C80858" w:rsidRPr="00747E35" w:rsidRDefault="00C80858" w:rsidP="00C80858">
            <w:pPr>
              <w:pStyle w:val="Tabletext"/>
              <w:spacing w:before="0" w:after="0"/>
              <w:rPr>
                <w:rFonts w:cstheme="minorHAnsi"/>
              </w:rPr>
            </w:pPr>
            <w:r w:rsidRPr="00747E35">
              <w:rPr>
                <w:rFonts w:cstheme="minorHAnsi"/>
              </w:rPr>
              <w:t>B, M</w:t>
            </w:r>
          </w:p>
        </w:tc>
        <w:tc>
          <w:tcPr>
            <w:tcW w:w="850" w:type="dxa"/>
            <w:tcBorders>
              <w:bottom w:val="single" w:sz="4" w:space="0" w:color="auto"/>
            </w:tcBorders>
            <w:vAlign w:val="bottom"/>
          </w:tcPr>
          <w:p w14:paraId="26EAA80D" w14:textId="43BEF593" w:rsidR="00C80858" w:rsidRPr="00747E35" w:rsidRDefault="00C80858" w:rsidP="00C80858">
            <w:pPr>
              <w:pStyle w:val="Tabletext"/>
              <w:spacing w:before="0" w:after="0"/>
              <w:rPr>
                <w:rFonts w:cstheme="minorHAnsi"/>
              </w:rPr>
            </w:pPr>
            <w:r w:rsidRPr="00747E35">
              <w:rPr>
                <w:rFonts w:cstheme="minorHAnsi"/>
              </w:rPr>
              <w:t>Fi Fp Ri</w:t>
            </w:r>
          </w:p>
        </w:tc>
      </w:tr>
    </w:tbl>
    <w:p w14:paraId="458F0FCE" w14:textId="77777777" w:rsidR="003D3694" w:rsidRPr="00747E35" w:rsidRDefault="003D3694" w:rsidP="003D3694">
      <w:pPr>
        <w:pStyle w:val="FootnoteText"/>
        <w:rPr>
          <w:rFonts w:cstheme="minorHAnsi"/>
        </w:rPr>
      </w:pPr>
      <w:r w:rsidRPr="00747E35">
        <w:rPr>
          <w:rFonts w:cstheme="minorHAnsi"/>
        </w:rPr>
        <w:t xml:space="preserve">* introduced species. </w:t>
      </w:r>
      <w:r w:rsidRPr="00747E35">
        <w:rPr>
          <w:rFonts w:cstheme="minorHAnsi"/>
          <w:vertAlign w:val="superscript"/>
        </w:rPr>
        <w:t>1</w:t>
      </w:r>
      <w:r w:rsidRPr="00747E35">
        <w:rPr>
          <w:rFonts w:cstheme="minorHAnsi"/>
        </w:rPr>
        <w:t xml:space="preserve">hydrotypes – 1 = hydrophyte; 2 = helophyte; 3 = mesophyte; 4 = semi-mesophyte; 5 = semi-xerophyte; 6 = xerophyte. </w:t>
      </w:r>
      <w:r w:rsidRPr="00747E35">
        <w:rPr>
          <w:rFonts w:cstheme="minorHAnsi"/>
          <w:vertAlign w:val="superscript"/>
        </w:rPr>
        <w:t xml:space="preserve">2 </w:t>
      </w:r>
      <w:r w:rsidRPr="00747E35">
        <w:rPr>
          <w:rFonts w:cstheme="minorHAnsi"/>
        </w:rPr>
        <w:t xml:space="preserve">Life form – ag = annual grass; ah = annual herb; pg = perennial grass; ph = perennial herb; sh = shrub; t = tree. </w:t>
      </w:r>
      <w:r w:rsidRPr="00747E35">
        <w:rPr>
          <w:rFonts w:cstheme="minorHAnsi"/>
          <w:vertAlign w:val="superscript"/>
        </w:rPr>
        <w:t>3</w:t>
      </w:r>
      <w:r w:rsidRPr="00747E35">
        <w:rPr>
          <w:rFonts w:cstheme="minorHAnsi"/>
        </w:rPr>
        <w:t xml:space="preserve">Sites – M = Maules Creek; B = Bremer River. </w:t>
      </w:r>
      <w:r w:rsidRPr="00747E35">
        <w:rPr>
          <w:rFonts w:cstheme="minorHAnsi"/>
          <w:vertAlign w:val="superscript"/>
        </w:rPr>
        <w:t>4</w:t>
      </w:r>
      <w:r w:rsidRPr="00747E35">
        <w:rPr>
          <w:rFonts w:cstheme="minorHAnsi"/>
        </w:rPr>
        <w:t xml:space="preserve">Landscape position - Rp = riparian perennial; Ri = riparian intermittent; Fp = floodplain perennial; Fi = floodplain intermittent. </w:t>
      </w:r>
    </w:p>
    <w:p w14:paraId="1C5E24DC" w14:textId="77777777" w:rsidR="003D3694" w:rsidRPr="00747E35" w:rsidRDefault="003D3694" w:rsidP="003D3694">
      <w:pPr>
        <w:autoSpaceDE/>
        <w:autoSpaceDN/>
        <w:spacing w:line="276" w:lineRule="auto"/>
        <w:rPr>
          <w:rFonts w:asciiTheme="minorHAnsi" w:hAnsiTheme="minorHAnsi" w:cstheme="minorHAnsi"/>
        </w:rPr>
      </w:pPr>
      <w:r w:rsidRPr="00747E35">
        <w:rPr>
          <w:rFonts w:asciiTheme="minorHAnsi" w:hAnsiTheme="minorHAnsi" w:cstheme="minorHAnsi"/>
        </w:rPr>
        <w:br w:type="page"/>
      </w:r>
    </w:p>
    <w:p w14:paraId="62B8C949" w14:textId="2AE58ED1" w:rsidR="003D3694" w:rsidRPr="00747E35" w:rsidRDefault="003D3694" w:rsidP="00551FB9">
      <w:pPr>
        <w:pStyle w:val="Caption"/>
        <w:numPr>
          <w:ilvl w:val="0"/>
          <w:numId w:val="0"/>
        </w:numPr>
        <w:rPr>
          <w:rFonts w:cstheme="minorHAnsi"/>
          <w:sz w:val="22"/>
          <w:szCs w:val="22"/>
        </w:rPr>
      </w:pPr>
      <w:r w:rsidRPr="00747E35">
        <w:rPr>
          <w:rStyle w:val="CaptionChar"/>
          <w:rFonts w:cstheme="minorHAnsi"/>
        </w:rPr>
        <w:lastRenderedPageBreak/>
        <w:fldChar w:fldCharType="begin"/>
      </w:r>
      <w:r w:rsidRPr="00747E35">
        <w:rPr>
          <w:rStyle w:val="CaptionChar"/>
          <w:rFonts w:cstheme="minorHAnsi"/>
        </w:rPr>
        <w:instrText xml:space="preserve"> REF _Ref467225315 \h </w:instrText>
      </w:r>
      <w:r w:rsidR="00925BFC" w:rsidRPr="00747E35">
        <w:rPr>
          <w:rStyle w:val="CaptionChar"/>
          <w:rFonts w:cstheme="minorHAnsi"/>
        </w:rPr>
        <w:instrText xml:space="preserve"> \* MERGEFORMAT </w:instrText>
      </w:r>
      <w:r w:rsidRPr="00747E35">
        <w:rPr>
          <w:rStyle w:val="CaptionChar"/>
          <w:rFonts w:cstheme="minorHAnsi"/>
        </w:rPr>
      </w:r>
      <w:r w:rsidRPr="00747E35">
        <w:rPr>
          <w:rStyle w:val="CaptionChar"/>
          <w:rFonts w:cstheme="minorHAnsi"/>
        </w:rPr>
        <w:fldChar w:fldCharType="separate"/>
      </w:r>
      <w:r w:rsidR="00D023DD" w:rsidRPr="00747E35">
        <w:rPr>
          <w:rFonts w:cstheme="minorHAnsi"/>
        </w:rPr>
        <w:t xml:space="preserve">Table </w:t>
      </w:r>
      <w:r w:rsidR="00D023DD">
        <w:rPr>
          <w:rFonts w:cstheme="minorHAnsi"/>
          <w:noProof/>
        </w:rPr>
        <w:t>44</w:t>
      </w:r>
      <w:r w:rsidRPr="00747E35">
        <w:rPr>
          <w:rStyle w:val="CaptionChar"/>
          <w:rFonts w:cstheme="minorHAnsi"/>
        </w:rPr>
        <w:fldChar w:fldCharType="end"/>
      </w:r>
      <w:r w:rsidRPr="00747E35">
        <w:rPr>
          <w:rStyle w:val="CaptionChar"/>
          <w:rFonts w:cstheme="minorHAnsi"/>
        </w:rPr>
        <w:t xml:space="preserve"> continued Species list &amp; hydrotypes</w:t>
      </w:r>
    </w:p>
    <w:tbl>
      <w:tblPr>
        <w:tblStyle w:val="TableGrid"/>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28" w:type="dxa"/>
        </w:tblCellMar>
        <w:tblLook w:val="04A0" w:firstRow="1" w:lastRow="0" w:firstColumn="1" w:lastColumn="0" w:noHBand="0" w:noVBand="1"/>
      </w:tblPr>
      <w:tblGrid>
        <w:gridCol w:w="572"/>
        <w:gridCol w:w="704"/>
        <w:gridCol w:w="2552"/>
        <w:gridCol w:w="708"/>
        <w:gridCol w:w="1134"/>
      </w:tblGrid>
      <w:tr w:rsidR="003D3694" w:rsidRPr="00747E35" w14:paraId="1A11AD99" w14:textId="77777777" w:rsidTr="00D062C2">
        <w:trPr>
          <w:tblHeader/>
        </w:trPr>
        <w:tc>
          <w:tcPr>
            <w:tcW w:w="572" w:type="dxa"/>
            <w:tcBorders>
              <w:top w:val="single" w:sz="4" w:space="0" w:color="auto"/>
              <w:bottom w:val="single" w:sz="4" w:space="0" w:color="auto"/>
            </w:tcBorders>
            <w:shd w:val="clear" w:color="auto" w:fill="DEEAF6" w:themeFill="accent1" w:themeFillTint="33"/>
            <w:vAlign w:val="bottom"/>
          </w:tcPr>
          <w:p w14:paraId="660EECA7" w14:textId="77777777" w:rsidR="003D3694" w:rsidRPr="00747E35" w:rsidRDefault="003D3694" w:rsidP="0096743A">
            <w:pPr>
              <w:pStyle w:val="TableHead"/>
              <w:spacing w:before="0" w:after="0"/>
              <w:rPr>
                <w:rFonts w:asciiTheme="minorHAnsi" w:hAnsiTheme="minorHAnsi" w:cstheme="minorHAnsi"/>
                <w:sz w:val="18"/>
                <w:szCs w:val="18"/>
                <w:vertAlign w:val="superscript"/>
              </w:rPr>
            </w:pPr>
            <w:r w:rsidRPr="00747E35">
              <w:rPr>
                <w:rFonts w:asciiTheme="minorHAnsi" w:hAnsiTheme="minorHAnsi" w:cstheme="minorHAnsi"/>
                <w:sz w:val="18"/>
                <w:szCs w:val="18"/>
              </w:rPr>
              <w:t>Hydro-type</w:t>
            </w:r>
            <w:r w:rsidRPr="00747E35">
              <w:rPr>
                <w:rFonts w:asciiTheme="minorHAnsi" w:hAnsiTheme="minorHAnsi" w:cstheme="minorHAnsi"/>
                <w:sz w:val="18"/>
                <w:szCs w:val="18"/>
                <w:vertAlign w:val="superscript"/>
              </w:rPr>
              <w:t>1</w:t>
            </w:r>
          </w:p>
        </w:tc>
        <w:tc>
          <w:tcPr>
            <w:tcW w:w="704" w:type="dxa"/>
            <w:tcBorders>
              <w:top w:val="single" w:sz="4" w:space="0" w:color="auto"/>
              <w:bottom w:val="single" w:sz="4" w:space="0" w:color="auto"/>
            </w:tcBorders>
            <w:shd w:val="clear" w:color="auto" w:fill="DEEAF6" w:themeFill="accent1" w:themeFillTint="33"/>
            <w:vAlign w:val="bottom"/>
          </w:tcPr>
          <w:p w14:paraId="6599BB86" w14:textId="77777777" w:rsidR="003D3694" w:rsidRPr="00747E35" w:rsidRDefault="003D3694" w:rsidP="0096743A">
            <w:pPr>
              <w:pStyle w:val="TableHead"/>
              <w:spacing w:before="0" w:after="0"/>
              <w:rPr>
                <w:rFonts w:asciiTheme="minorHAnsi" w:hAnsiTheme="minorHAnsi" w:cstheme="minorHAnsi"/>
                <w:sz w:val="18"/>
                <w:szCs w:val="18"/>
                <w:vertAlign w:val="superscript"/>
              </w:rPr>
            </w:pPr>
            <w:r w:rsidRPr="00747E35">
              <w:rPr>
                <w:rFonts w:asciiTheme="minorHAnsi" w:hAnsiTheme="minorHAnsi" w:cstheme="minorHAnsi"/>
                <w:sz w:val="18"/>
                <w:szCs w:val="18"/>
              </w:rPr>
              <w:t>Life Form</w:t>
            </w:r>
            <w:r w:rsidRPr="00747E35">
              <w:rPr>
                <w:rFonts w:asciiTheme="minorHAnsi" w:hAnsiTheme="minorHAnsi" w:cstheme="minorHAnsi"/>
                <w:sz w:val="18"/>
                <w:szCs w:val="18"/>
                <w:vertAlign w:val="superscript"/>
              </w:rPr>
              <w:t>2</w:t>
            </w:r>
          </w:p>
        </w:tc>
        <w:tc>
          <w:tcPr>
            <w:tcW w:w="2552" w:type="dxa"/>
            <w:tcBorders>
              <w:top w:val="single" w:sz="4" w:space="0" w:color="auto"/>
              <w:bottom w:val="single" w:sz="4" w:space="0" w:color="auto"/>
            </w:tcBorders>
            <w:shd w:val="clear" w:color="auto" w:fill="DEEAF6" w:themeFill="accent1" w:themeFillTint="33"/>
            <w:vAlign w:val="bottom"/>
          </w:tcPr>
          <w:p w14:paraId="55BC035B" w14:textId="77777777" w:rsidR="003D3694" w:rsidRPr="00747E35" w:rsidRDefault="003D3694" w:rsidP="0096743A">
            <w:pPr>
              <w:pStyle w:val="TableHead"/>
              <w:spacing w:before="0" w:after="0"/>
              <w:rPr>
                <w:rFonts w:asciiTheme="minorHAnsi" w:hAnsiTheme="minorHAnsi" w:cstheme="minorHAnsi"/>
                <w:sz w:val="18"/>
                <w:szCs w:val="18"/>
              </w:rPr>
            </w:pPr>
            <w:r w:rsidRPr="00747E35">
              <w:rPr>
                <w:rFonts w:asciiTheme="minorHAnsi" w:hAnsiTheme="minorHAnsi" w:cstheme="minorHAnsi"/>
                <w:sz w:val="18"/>
                <w:szCs w:val="18"/>
              </w:rPr>
              <w:t>Species</w:t>
            </w:r>
          </w:p>
        </w:tc>
        <w:tc>
          <w:tcPr>
            <w:tcW w:w="708" w:type="dxa"/>
            <w:tcBorders>
              <w:top w:val="single" w:sz="4" w:space="0" w:color="auto"/>
              <w:bottom w:val="single" w:sz="4" w:space="0" w:color="auto"/>
            </w:tcBorders>
            <w:shd w:val="clear" w:color="auto" w:fill="DEEAF6" w:themeFill="accent1" w:themeFillTint="33"/>
            <w:vAlign w:val="bottom"/>
          </w:tcPr>
          <w:p w14:paraId="28D9A7AE" w14:textId="77777777" w:rsidR="003D3694" w:rsidRPr="00747E35" w:rsidRDefault="003D3694" w:rsidP="0096743A">
            <w:pPr>
              <w:pStyle w:val="TableHead"/>
              <w:spacing w:before="0" w:after="0"/>
              <w:rPr>
                <w:rFonts w:asciiTheme="minorHAnsi" w:hAnsiTheme="minorHAnsi" w:cstheme="minorHAnsi"/>
                <w:sz w:val="18"/>
                <w:szCs w:val="18"/>
                <w:vertAlign w:val="superscript"/>
              </w:rPr>
            </w:pPr>
            <w:r w:rsidRPr="00747E35">
              <w:rPr>
                <w:rFonts w:asciiTheme="minorHAnsi" w:hAnsiTheme="minorHAnsi" w:cstheme="minorHAnsi"/>
                <w:sz w:val="18"/>
                <w:szCs w:val="18"/>
              </w:rPr>
              <w:t>Sites</w:t>
            </w:r>
            <w:r w:rsidRPr="00747E35">
              <w:rPr>
                <w:rFonts w:asciiTheme="minorHAnsi" w:hAnsiTheme="minorHAnsi" w:cstheme="minorHAnsi"/>
                <w:sz w:val="18"/>
                <w:szCs w:val="18"/>
                <w:vertAlign w:val="superscript"/>
              </w:rPr>
              <w:t>3</w:t>
            </w:r>
          </w:p>
        </w:tc>
        <w:tc>
          <w:tcPr>
            <w:tcW w:w="1134" w:type="dxa"/>
            <w:tcBorders>
              <w:top w:val="single" w:sz="4" w:space="0" w:color="auto"/>
              <w:bottom w:val="single" w:sz="4" w:space="0" w:color="auto"/>
            </w:tcBorders>
            <w:shd w:val="clear" w:color="auto" w:fill="DEEAF6" w:themeFill="accent1" w:themeFillTint="33"/>
            <w:vAlign w:val="bottom"/>
          </w:tcPr>
          <w:p w14:paraId="41028E16" w14:textId="77777777" w:rsidR="003D3694" w:rsidRPr="00747E35" w:rsidRDefault="003D3694" w:rsidP="0096743A">
            <w:pPr>
              <w:pStyle w:val="TableHead"/>
              <w:spacing w:before="0" w:after="0"/>
              <w:rPr>
                <w:rFonts w:asciiTheme="minorHAnsi" w:hAnsiTheme="minorHAnsi" w:cstheme="minorHAnsi"/>
                <w:sz w:val="18"/>
                <w:szCs w:val="18"/>
                <w:vertAlign w:val="superscript"/>
              </w:rPr>
            </w:pPr>
            <w:r w:rsidRPr="00747E35">
              <w:rPr>
                <w:rFonts w:asciiTheme="minorHAnsi" w:hAnsiTheme="minorHAnsi" w:cstheme="minorHAnsi"/>
                <w:sz w:val="18"/>
                <w:szCs w:val="18"/>
              </w:rPr>
              <w:t>Landscape position</w:t>
            </w:r>
            <w:r w:rsidRPr="00747E35">
              <w:rPr>
                <w:rFonts w:asciiTheme="minorHAnsi" w:hAnsiTheme="minorHAnsi" w:cstheme="minorHAnsi"/>
                <w:sz w:val="18"/>
                <w:szCs w:val="18"/>
                <w:vertAlign w:val="superscript"/>
              </w:rPr>
              <w:t>4</w:t>
            </w:r>
          </w:p>
        </w:tc>
      </w:tr>
      <w:tr w:rsidR="00C80858" w:rsidRPr="00747E35" w14:paraId="186DD2B4" w14:textId="77777777" w:rsidTr="0096743A">
        <w:tc>
          <w:tcPr>
            <w:tcW w:w="572" w:type="dxa"/>
            <w:tcBorders>
              <w:top w:val="single" w:sz="4" w:space="0" w:color="auto"/>
            </w:tcBorders>
            <w:vAlign w:val="bottom"/>
          </w:tcPr>
          <w:p w14:paraId="333D84A0" w14:textId="77777777" w:rsidR="00C80858" w:rsidRPr="00747E35" w:rsidRDefault="00C80858" w:rsidP="00C80858">
            <w:pPr>
              <w:pStyle w:val="Tabletext"/>
              <w:spacing w:before="0" w:after="0"/>
              <w:rPr>
                <w:rFonts w:cstheme="minorHAnsi"/>
              </w:rPr>
            </w:pPr>
            <w:r w:rsidRPr="00747E35">
              <w:rPr>
                <w:rFonts w:cstheme="minorHAnsi"/>
              </w:rPr>
              <w:t>6</w:t>
            </w:r>
          </w:p>
        </w:tc>
        <w:tc>
          <w:tcPr>
            <w:tcW w:w="704" w:type="dxa"/>
            <w:tcBorders>
              <w:top w:val="single" w:sz="4" w:space="0" w:color="auto"/>
            </w:tcBorders>
          </w:tcPr>
          <w:p w14:paraId="5A15B0E3" w14:textId="77777777" w:rsidR="00C80858" w:rsidRPr="00747E35" w:rsidRDefault="00C80858" w:rsidP="00C80858">
            <w:pPr>
              <w:pStyle w:val="Tabletext"/>
              <w:spacing w:before="0" w:after="0"/>
              <w:rPr>
                <w:rFonts w:cstheme="minorHAnsi"/>
              </w:rPr>
            </w:pPr>
            <w:r w:rsidRPr="00747E35">
              <w:rPr>
                <w:rFonts w:cstheme="minorHAnsi"/>
              </w:rPr>
              <w:t>sh</w:t>
            </w:r>
          </w:p>
        </w:tc>
        <w:tc>
          <w:tcPr>
            <w:tcW w:w="2552" w:type="dxa"/>
            <w:tcBorders>
              <w:top w:val="single" w:sz="4" w:space="0" w:color="auto"/>
            </w:tcBorders>
            <w:vAlign w:val="bottom"/>
          </w:tcPr>
          <w:p w14:paraId="0D2FC83D" w14:textId="15C80504" w:rsidR="00C80858" w:rsidRPr="00747E35" w:rsidRDefault="00C80858" w:rsidP="00C80858">
            <w:pPr>
              <w:pStyle w:val="Tabletext"/>
              <w:spacing w:before="0" w:after="0"/>
              <w:rPr>
                <w:rFonts w:cstheme="minorHAnsi"/>
                <w:i/>
              </w:rPr>
            </w:pPr>
            <w:r w:rsidRPr="00747E35">
              <w:rPr>
                <w:rFonts w:cstheme="minorHAnsi"/>
                <w:i/>
              </w:rPr>
              <w:t>Solanum cinereum</w:t>
            </w:r>
          </w:p>
        </w:tc>
        <w:tc>
          <w:tcPr>
            <w:tcW w:w="708" w:type="dxa"/>
            <w:tcBorders>
              <w:top w:val="single" w:sz="4" w:space="0" w:color="auto"/>
            </w:tcBorders>
            <w:vAlign w:val="bottom"/>
          </w:tcPr>
          <w:p w14:paraId="7D21827B" w14:textId="77777777" w:rsidR="00C80858" w:rsidRPr="00747E35" w:rsidRDefault="00C80858" w:rsidP="00C80858">
            <w:pPr>
              <w:pStyle w:val="Tabletext"/>
              <w:spacing w:before="0" w:after="0"/>
              <w:rPr>
                <w:rFonts w:cstheme="minorHAnsi"/>
              </w:rPr>
            </w:pPr>
            <w:r w:rsidRPr="00747E35">
              <w:rPr>
                <w:rFonts w:cstheme="minorHAnsi"/>
              </w:rPr>
              <w:t>M</w:t>
            </w:r>
          </w:p>
        </w:tc>
        <w:tc>
          <w:tcPr>
            <w:tcW w:w="1134" w:type="dxa"/>
            <w:tcBorders>
              <w:top w:val="single" w:sz="4" w:space="0" w:color="auto"/>
            </w:tcBorders>
            <w:vAlign w:val="bottom"/>
          </w:tcPr>
          <w:p w14:paraId="09979CFA" w14:textId="77777777" w:rsidR="00C80858" w:rsidRPr="00747E35" w:rsidRDefault="00C80858" w:rsidP="00C80858">
            <w:pPr>
              <w:pStyle w:val="Tabletext"/>
              <w:spacing w:before="0" w:after="0"/>
              <w:rPr>
                <w:rFonts w:cstheme="minorHAnsi"/>
              </w:rPr>
            </w:pPr>
            <w:r w:rsidRPr="00747E35">
              <w:rPr>
                <w:rFonts w:cstheme="minorHAnsi"/>
              </w:rPr>
              <w:t>Fi Rp</w:t>
            </w:r>
          </w:p>
        </w:tc>
      </w:tr>
      <w:tr w:rsidR="00C80858" w:rsidRPr="00747E35" w14:paraId="1E42AE42" w14:textId="77777777" w:rsidTr="0096743A">
        <w:tc>
          <w:tcPr>
            <w:tcW w:w="572" w:type="dxa"/>
            <w:vAlign w:val="bottom"/>
          </w:tcPr>
          <w:p w14:paraId="4838F97D" w14:textId="77777777" w:rsidR="00C80858" w:rsidRPr="00747E35" w:rsidRDefault="00C80858" w:rsidP="00C80858">
            <w:pPr>
              <w:pStyle w:val="Tabletext"/>
              <w:spacing w:before="0" w:after="0"/>
              <w:rPr>
                <w:rFonts w:cstheme="minorHAnsi"/>
              </w:rPr>
            </w:pPr>
            <w:r w:rsidRPr="00747E35">
              <w:rPr>
                <w:rFonts w:cstheme="minorHAnsi"/>
              </w:rPr>
              <w:t>4</w:t>
            </w:r>
          </w:p>
        </w:tc>
        <w:tc>
          <w:tcPr>
            <w:tcW w:w="704" w:type="dxa"/>
          </w:tcPr>
          <w:p w14:paraId="4CC80FCB" w14:textId="77777777" w:rsidR="00C80858" w:rsidRPr="00747E35" w:rsidRDefault="00C80858" w:rsidP="00C80858">
            <w:pPr>
              <w:pStyle w:val="Tabletext"/>
              <w:spacing w:before="0" w:after="0"/>
              <w:rPr>
                <w:rFonts w:cstheme="minorHAnsi"/>
              </w:rPr>
            </w:pPr>
            <w:r w:rsidRPr="00747E35">
              <w:rPr>
                <w:rFonts w:cstheme="minorHAnsi"/>
              </w:rPr>
              <w:t>sh</w:t>
            </w:r>
          </w:p>
        </w:tc>
        <w:tc>
          <w:tcPr>
            <w:tcW w:w="2552" w:type="dxa"/>
            <w:vAlign w:val="bottom"/>
          </w:tcPr>
          <w:p w14:paraId="3212C15A" w14:textId="69B95D3E" w:rsidR="00C80858" w:rsidRPr="00747E35" w:rsidRDefault="00C80858" w:rsidP="00C80858">
            <w:pPr>
              <w:pStyle w:val="Tabletext"/>
              <w:spacing w:before="0" w:after="0"/>
              <w:rPr>
                <w:rFonts w:cstheme="minorHAnsi"/>
                <w:i/>
              </w:rPr>
            </w:pPr>
            <w:r w:rsidRPr="00747E35">
              <w:rPr>
                <w:rFonts w:cstheme="minorHAnsi"/>
                <w:i/>
              </w:rPr>
              <w:t>Stephania japonica</w:t>
            </w:r>
          </w:p>
        </w:tc>
        <w:tc>
          <w:tcPr>
            <w:tcW w:w="708" w:type="dxa"/>
            <w:vAlign w:val="bottom"/>
          </w:tcPr>
          <w:p w14:paraId="14907509" w14:textId="77777777" w:rsidR="00C80858" w:rsidRPr="00747E35" w:rsidRDefault="00C80858" w:rsidP="00C80858">
            <w:pPr>
              <w:pStyle w:val="Tabletext"/>
              <w:spacing w:before="0" w:after="0"/>
              <w:rPr>
                <w:rFonts w:cstheme="minorHAnsi"/>
              </w:rPr>
            </w:pPr>
            <w:r w:rsidRPr="00747E35">
              <w:rPr>
                <w:rFonts w:cstheme="minorHAnsi"/>
              </w:rPr>
              <w:t>M</w:t>
            </w:r>
          </w:p>
        </w:tc>
        <w:tc>
          <w:tcPr>
            <w:tcW w:w="1134" w:type="dxa"/>
            <w:vAlign w:val="bottom"/>
          </w:tcPr>
          <w:p w14:paraId="04E69DDC" w14:textId="77777777"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6A94097C" w14:textId="77777777" w:rsidTr="0096743A">
        <w:tc>
          <w:tcPr>
            <w:tcW w:w="572" w:type="dxa"/>
            <w:vAlign w:val="bottom"/>
          </w:tcPr>
          <w:p w14:paraId="7F23C954" w14:textId="77777777" w:rsidR="00C80858" w:rsidRPr="00747E35" w:rsidRDefault="00C80858" w:rsidP="00C80858">
            <w:pPr>
              <w:pStyle w:val="Tabletext"/>
              <w:spacing w:before="0" w:after="0"/>
              <w:rPr>
                <w:rFonts w:cstheme="minorHAnsi"/>
              </w:rPr>
            </w:pPr>
            <w:r w:rsidRPr="00747E35">
              <w:rPr>
                <w:rFonts w:cstheme="minorHAnsi"/>
              </w:rPr>
              <w:t>5</w:t>
            </w:r>
          </w:p>
        </w:tc>
        <w:tc>
          <w:tcPr>
            <w:tcW w:w="704" w:type="dxa"/>
          </w:tcPr>
          <w:p w14:paraId="1AEF93EE" w14:textId="77777777" w:rsidR="00C80858" w:rsidRPr="00747E35" w:rsidRDefault="00C80858" w:rsidP="00C80858">
            <w:pPr>
              <w:pStyle w:val="Tabletext"/>
              <w:spacing w:before="0" w:after="0"/>
              <w:rPr>
                <w:rFonts w:cstheme="minorHAnsi"/>
              </w:rPr>
            </w:pPr>
            <w:r w:rsidRPr="00747E35">
              <w:rPr>
                <w:rFonts w:cstheme="minorHAnsi"/>
              </w:rPr>
              <w:t>sh</w:t>
            </w:r>
          </w:p>
        </w:tc>
        <w:tc>
          <w:tcPr>
            <w:tcW w:w="2552" w:type="dxa"/>
            <w:vAlign w:val="bottom"/>
          </w:tcPr>
          <w:p w14:paraId="740AC10A" w14:textId="7D31DD9D" w:rsidR="00C80858" w:rsidRPr="00747E35" w:rsidRDefault="00C80858" w:rsidP="00C80858">
            <w:pPr>
              <w:pStyle w:val="Tabletext"/>
              <w:spacing w:before="0" w:after="0"/>
              <w:rPr>
                <w:rFonts w:cstheme="minorHAnsi"/>
                <w:i/>
              </w:rPr>
            </w:pPr>
            <w:r w:rsidRPr="00747E35">
              <w:rPr>
                <w:rFonts w:cstheme="minorHAnsi"/>
                <w:i/>
              </w:rPr>
              <w:t>Swainsona greyana</w:t>
            </w:r>
          </w:p>
        </w:tc>
        <w:tc>
          <w:tcPr>
            <w:tcW w:w="708" w:type="dxa"/>
            <w:vAlign w:val="bottom"/>
          </w:tcPr>
          <w:p w14:paraId="5B9C8395" w14:textId="77777777" w:rsidR="00C80858" w:rsidRPr="00747E35" w:rsidRDefault="00C80858" w:rsidP="00C80858">
            <w:pPr>
              <w:pStyle w:val="Tabletext"/>
              <w:spacing w:before="0" w:after="0"/>
              <w:rPr>
                <w:rFonts w:cstheme="minorHAnsi"/>
              </w:rPr>
            </w:pPr>
            <w:r w:rsidRPr="00747E35">
              <w:rPr>
                <w:rFonts w:cstheme="minorHAnsi"/>
              </w:rPr>
              <w:t>M</w:t>
            </w:r>
          </w:p>
        </w:tc>
        <w:tc>
          <w:tcPr>
            <w:tcW w:w="1134" w:type="dxa"/>
            <w:vAlign w:val="bottom"/>
          </w:tcPr>
          <w:p w14:paraId="1E70DB26" w14:textId="77777777" w:rsidR="00C80858" w:rsidRPr="00747E35" w:rsidRDefault="00C80858" w:rsidP="00C80858">
            <w:pPr>
              <w:pStyle w:val="Tabletext"/>
              <w:spacing w:before="0" w:after="0"/>
              <w:rPr>
                <w:rFonts w:cstheme="minorHAnsi"/>
              </w:rPr>
            </w:pPr>
            <w:r w:rsidRPr="00747E35">
              <w:rPr>
                <w:rFonts w:cstheme="minorHAnsi"/>
              </w:rPr>
              <w:t>Fi Fp</w:t>
            </w:r>
          </w:p>
        </w:tc>
      </w:tr>
      <w:tr w:rsidR="00C80858" w:rsidRPr="00747E35" w14:paraId="2418CF11" w14:textId="77777777" w:rsidTr="0096743A">
        <w:tc>
          <w:tcPr>
            <w:tcW w:w="572" w:type="dxa"/>
            <w:vAlign w:val="bottom"/>
          </w:tcPr>
          <w:p w14:paraId="4C3CBB3A" w14:textId="77777777" w:rsidR="00C80858" w:rsidRPr="00747E35" w:rsidRDefault="00C80858" w:rsidP="00C80858">
            <w:pPr>
              <w:pStyle w:val="Tabletext"/>
              <w:spacing w:before="0" w:after="0"/>
              <w:rPr>
                <w:rFonts w:cstheme="minorHAnsi"/>
              </w:rPr>
            </w:pPr>
            <w:r w:rsidRPr="00747E35">
              <w:rPr>
                <w:rFonts w:cstheme="minorHAnsi"/>
              </w:rPr>
              <w:t>5</w:t>
            </w:r>
          </w:p>
        </w:tc>
        <w:tc>
          <w:tcPr>
            <w:tcW w:w="704" w:type="dxa"/>
          </w:tcPr>
          <w:p w14:paraId="50E79076" w14:textId="77777777" w:rsidR="00C80858" w:rsidRPr="00747E35" w:rsidRDefault="00C80858" w:rsidP="00C80858">
            <w:pPr>
              <w:pStyle w:val="Tabletext"/>
              <w:spacing w:before="0" w:after="0"/>
              <w:rPr>
                <w:rFonts w:cstheme="minorHAnsi"/>
              </w:rPr>
            </w:pPr>
            <w:r w:rsidRPr="00747E35">
              <w:rPr>
                <w:rFonts w:cstheme="minorHAnsi"/>
              </w:rPr>
              <w:t>sh</w:t>
            </w:r>
          </w:p>
        </w:tc>
        <w:tc>
          <w:tcPr>
            <w:tcW w:w="2552" w:type="dxa"/>
            <w:vAlign w:val="bottom"/>
          </w:tcPr>
          <w:p w14:paraId="5E9DEA63" w14:textId="62E563A2" w:rsidR="00C80858" w:rsidRPr="00747E35" w:rsidRDefault="00C80858" w:rsidP="00C80858">
            <w:pPr>
              <w:pStyle w:val="Tabletext"/>
              <w:spacing w:before="0" w:after="0"/>
              <w:rPr>
                <w:rFonts w:cstheme="minorHAnsi"/>
                <w:i/>
              </w:rPr>
            </w:pPr>
            <w:r w:rsidRPr="00747E35">
              <w:rPr>
                <w:rFonts w:cstheme="minorHAnsi"/>
                <w:i/>
              </w:rPr>
              <w:t>Xanthosia pilosa</w:t>
            </w:r>
          </w:p>
        </w:tc>
        <w:tc>
          <w:tcPr>
            <w:tcW w:w="708" w:type="dxa"/>
            <w:vAlign w:val="bottom"/>
          </w:tcPr>
          <w:p w14:paraId="6B35CAE7" w14:textId="77777777" w:rsidR="00C80858" w:rsidRPr="00747E35" w:rsidRDefault="00C80858" w:rsidP="00C80858">
            <w:pPr>
              <w:pStyle w:val="Tabletext"/>
              <w:spacing w:before="0" w:after="0"/>
              <w:rPr>
                <w:rFonts w:cstheme="minorHAnsi"/>
              </w:rPr>
            </w:pPr>
            <w:r w:rsidRPr="00747E35">
              <w:rPr>
                <w:rFonts w:cstheme="minorHAnsi"/>
              </w:rPr>
              <w:t>M</w:t>
            </w:r>
          </w:p>
        </w:tc>
        <w:tc>
          <w:tcPr>
            <w:tcW w:w="1134" w:type="dxa"/>
            <w:vAlign w:val="bottom"/>
          </w:tcPr>
          <w:p w14:paraId="09B5F230" w14:textId="77777777" w:rsidR="00C80858" w:rsidRPr="00747E35" w:rsidRDefault="00C80858" w:rsidP="00C80858">
            <w:pPr>
              <w:pStyle w:val="Tabletext"/>
              <w:spacing w:before="0" w:after="0"/>
              <w:rPr>
                <w:rFonts w:cstheme="minorHAnsi"/>
              </w:rPr>
            </w:pPr>
            <w:r w:rsidRPr="00747E35">
              <w:rPr>
                <w:rFonts w:cstheme="minorHAnsi"/>
              </w:rPr>
              <w:t>Fp</w:t>
            </w:r>
          </w:p>
        </w:tc>
      </w:tr>
      <w:tr w:rsidR="00C80858" w:rsidRPr="00747E35" w14:paraId="481BBD47" w14:textId="77777777" w:rsidTr="0096743A">
        <w:tc>
          <w:tcPr>
            <w:tcW w:w="572" w:type="dxa"/>
            <w:vAlign w:val="bottom"/>
          </w:tcPr>
          <w:p w14:paraId="66CC786B" w14:textId="77777777" w:rsidR="00C80858" w:rsidRPr="00747E35" w:rsidRDefault="00C80858" w:rsidP="00C80858">
            <w:pPr>
              <w:pStyle w:val="Tabletext"/>
              <w:spacing w:before="0" w:after="0"/>
              <w:rPr>
                <w:rFonts w:cstheme="minorHAnsi"/>
              </w:rPr>
            </w:pPr>
            <w:r w:rsidRPr="00747E35">
              <w:rPr>
                <w:rFonts w:cstheme="minorHAnsi"/>
              </w:rPr>
              <w:t>4</w:t>
            </w:r>
          </w:p>
        </w:tc>
        <w:tc>
          <w:tcPr>
            <w:tcW w:w="704" w:type="dxa"/>
            <w:vAlign w:val="bottom"/>
          </w:tcPr>
          <w:p w14:paraId="4D349862" w14:textId="77777777" w:rsidR="00C80858" w:rsidRPr="00747E35" w:rsidRDefault="00C80858" w:rsidP="00C80858">
            <w:pPr>
              <w:pStyle w:val="Tabletext"/>
              <w:spacing w:before="0" w:after="0"/>
              <w:rPr>
                <w:rFonts w:cstheme="minorHAnsi"/>
              </w:rPr>
            </w:pPr>
            <w:r w:rsidRPr="00747E35">
              <w:rPr>
                <w:rFonts w:eastAsia="Times New Roman" w:cstheme="minorHAnsi"/>
              </w:rPr>
              <w:t>sh</w:t>
            </w:r>
            <w:r w:rsidRPr="00747E35">
              <w:rPr>
                <w:rFonts w:cstheme="minorHAnsi"/>
              </w:rPr>
              <w:t xml:space="preserve"> *</w:t>
            </w:r>
          </w:p>
        </w:tc>
        <w:tc>
          <w:tcPr>
            <w:tcW w:w="2552" w:type="dxa"/>
            <w:vAlign w:val="bottom"/>
          </w:tcPr>
          <w:p w14:paraId="75C6B693" w14:textId="5887281C" w:rsidR="00C80858" w:rsidRPr="00747E35" w:rsidRDefault="00C80858" w:rsidP="00C80858">
            <w:pPr>
              <w:pStyle w:val="Tabletext"/>
              <w:spacing w:before="0" w:after="0"/>
              <w:rPr>
                <w:rFonts w:cstheme="minorHAnsi"/>
                <w:i/>
              </w:rPr>
            </w:pPr>
            <w:r w:rsidRPr="00747E35">
              <w:rPr>
                <w:rFonts w:cstheme="minorHAnsi"/>
                <w:i/>
              </w:rPr>
              <w:t>Lantana camara</w:t>
            </w:r>
          </w:p>
        </w:tc>
        <w:tc>
          <w:tcPr>
            <w:tcW w:w="708" w:type="dxa"/>
            <w:vAlign w:val="bottom"/>
          </w:tcPr>
          <w:p w14:paraId="63571079" w14:textId="77777777" w:rsidR="00C80858" w:rsidRPr="00747E35" w:rsidRDefault="00C80858" w:rsidP="00C80858">
            <w:pPr>
              <w:pStyle w:val="Tabletext"/>
              <w:spacing w:before="0" w:after="0"/>
              <w:rPr>
                <w:rFonts w:cstheme="minorHAnsi"/>
              </w:rPr>
            </w:pPr>
            <w:r w:rsidRPr="00747E35">
              <w:rPr>
                <w:rFonts w:cstheme="minorHAnsi"/>
              </w:rPr>
              <w:t>B</w:t>
            </w:r>
          </w:p>
        </w:tc>
        <w:tc>
          <w:tcPr>
            <w:tcW w:w="1134" w:type="dxa"/>
            <w:vAlign w:val="bottom"/>
          </w:tcPr>
          <w:p w14:paraId="1E1FE187" w14:textId="77777777" w:rsidR="00C80858" w:rsidRPr="00747E35" w:rsidRDefault="00C80858" w:rsidP="00C80858">
            <w:pPr>
              <w:pStyle w:val="Tabletext"/>
              <w:spacing w:before="0" w:after="0"/>
              <w:rPr>
                <w:rFonts w:cstheme="minorHAnsi"/>
              </w:rPr>
            </w:pPr>
            <w:r w:rsidRPr="00747E35">
              <w:rPr>
                <w:rFonts w:cstheme="minorHAnsi"/>
              </w:rPr>
              <w:t xml:space="preserve">Fi Fp Ri Rp  </w:t>
            </w:r>
          </w:p>
        </w:tc>
      </w:tr>
      <w:tr w:rsidR="00C80858" w:rsidRPr="00747E35" w14:paraId="42CA5D52" w14:textId="77777777" w:rsidTr="0096743A">
        <w:tc>
          <w:tcPr>
            <w:tcW w:w="572" w:type="dxa"/>
            <w:vAlign w:val="bottom"/>
          </w:tcPr>
          <w:p w14:paraId="6B392056" w14:textId="77777777" w:rsidR="00C80858" w:rsidRPr="00747E35" w:rsidRDefault="00C80858" w:rsidP="00C80858">
            <w:pPr>
              <w:pStyle w:val="Tabletext"/>
              <w:spacing w:before="0" w:after="0"/>
              <w:rPr>
                <w:rFonts w:cstheme="minorHAnsi"/>
              </w:rPr>
            </w:pPr>
            <w:r w:rsidRPr="00747E35">
              <w:rPr>
                <w:rFonts w:cstheme="minorHAnsi"/>
              </w:rPr>
              <w:t>6</w:t>
            </w:r>
          </w:p>
        </w:tc>
        <w:tc>
          <w:tcPr>
            <w:tcW w:w="704" w:type="dxa"/>
            <w:vAlign w:val="bottom"/>
          </w:tcPr>
          <w:p w14:paraId="099A7164"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04FCBD68" w14:textId="1A794B18" w:rsidR="00C80858" w:rsidRPr="00747E35" w:rsidRDefault="00C80858" w:rsidP="00C80858">
            <w:pPr>
              <w:pStyle w:val="Tabletext"/>
              <w:spacing w:before="0" w:after="0"/>
              <w:rPr>
                <w:rFonts w:cstheme="minorHAnsi"/>
                <w:i/>
              </w:rPr>
            </w:pPr>
            <w:r w:rsidRPr="00747E35">
              <w:rPr>
                <w:rFonts w:cstheme="minorHAnsi"/>
                <w:i/>
              </w:rPr>
              <w:t xml:space="preserve">Acacia </w:t>
            </w:r>
            <w:r w:rsidRPr="00747E35">
              <w:rPr>
                <w:rFonts w:cstheme="minorHAnsi"/>
              </w:rPr>
              <w:t>sp</w:t>
            </w:r>
          </w:p>
        </w:tc>
        <w:tc>
          <w:tcPr>
            <w:tcW w:w="708" w:type="dxa"/>
            <w:vAlign w:val="bottom"/>
          </w:tcPr>
          <w:p w14:paraId="6EFAFB78" w14:textId="77777777" w:rsidR="00C80858" w:rsidRPr="00747E35" w:rsidRDefault="00C80858" w:rsidP="00C80858">
            <w:pPr>
              <w:pStyle w:val="Tabletext"/>
              <w:spacing w:before="0" w:after="0"/>
              <w:rPr>
                <w:rFonts w:cstheme="minorHAnsi"/>
              </w:rPr>
            </w:pPr>
            <w:r w:rsidRPr="00747E35">
              <w:rPr>
                <w:rFonts w:cstheme="minorHAnsi"/>
              </w:rPr>
              <w:t>B, M</w:t>
            </w:r>
          </w:p>
        </w:tc>
        <w:tc>
          <w:tcPr>
            <w:tcW w:w="1134" w:type="dxa"/>
            <w:vAlign w:val="bottom"/>
          </w:tcPr>
          <w:p w14:paraId="2D8E2FBE" w14:textId="77777777" w:rsidR="00C80858" w:rsidRPr="00747E35" w:rsidRDefault="00C80858" w:rsidP="00C80858">
            <w:pPr>
              <w:pStyle w:val="Tabletext"/>
              <w:spacing w:before="0" w:after="0"/>
              <w:rPr>
                <w:rFonts w:cstheme="minorHAnsi"/>
              </w:rPr>
            </w:pPr>
            <w:r w:rsidRPr="00747E35">
              <w:rPr>
                <w:rFonts w:cstheme="minorHAnsi"/>
              </w:rPr>
              <w:t>Fi Rp</w:t>
            </w:r>
          </w:p>
        </w:tc>
      </w:tr>
      <w:tr w:rsidR="00C80858" w:rsidRPr="00747E35" w14:paraId="5CEDF938" w14:textId="77777777" w:rsidTr="0096743A">
        <w:tc>
          <w:tcPr>
            <w:tcW w:w="572" w:type="dxa"/>
            <w:vAlign w:val="bottom"/>
          </w:tcPr>
          <w:p w14:paraId="686AEFB3" w14:textId="77777777" w:rsidR="00C80858" w:rsidRPr="00747E35" w:rsidRDefault="00C80858" w:rsidP="00C80858">
            <w:pPr>
              <w:pStyle w:val="Tabletext"/>
              <w:spacing w:before="0" w:after="0"/>
              <w:rPr>
                <w:rFonts w:cstheme="minorHAnsi"/>
              </w:rPr>
            </w:pPr>
            <w:r w:rsidRPr="00747E35">
              <w:rPr>
                <w:rFonts w:cstheme="minorHAnsi"/>
              </w:rPr>
              <w:t>6</w:t>
            </w:r>
          </w:p>
        </w:tc>
        <w:tc>
          <w:tcPr>
            <w:tcW w:w="704" w:type="dxa"/>
          </w:tcPr>
          <w:p w14:paraId="697A88DB"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1CE129CE" w14:textId="256FD403" w:rsidR="00C80858" w:rsidRPr="00747E35" w:rsidRDefault="00C80858" w:rsidP="00C80858">
            <w:pPr>
              <w:pStyle w:val="Tabletext"/>
              <w:spacing w:before="0" w:after="0"/>
              <w:rPr>
                <w:rFonts w:cstheme="minorHAnsi"/>
                <w:i/>
              </w:rPr>
            </w:pPr>
            <w:r w:rsidRPr="00747E35">
              <w:rPr>
                <w:rFonts w:cstheme="minorHAnsi"/>
                <w:i/>
              </w:rPr>
              <w:t>Acacia deanei</w:t>
            </w:r>
          </w:p>
        </w:tc>
        <w:tc>
          <w:tcPr>
            <w:tcW w:w="708" w:type="dxa"/>
            <w:vAlign w:val="bottom"/>
          </w:tcPr>
          <w:p w14:paraId="050D7B10" w14:textId="77777777" w:rsidR="00C80858" w:rsidRPr="00747E35" w:rsidRDefault="00C80858" w:rsidP="00C80858">
            <w:pPr>
              <w:pStyle w:val="Tabletext"/>
              <w:spacing w:before="0" w:after="0"/>
              <w:rPr>
                <w:rFonts w:cstheme="minorHAnsi"/>
              </w:rPr>
            </w:pPr>
            <w:r w:rsidRPr="00747E35">
              <w:rPr>
                <w:rFonts w:cstheme="minorHAnsi"/>
              </w:rPr>
              <w:t>M</w:t>
            </w:r>
          </w:p>
        </w:tc>
        <w:tc>
          <w:tcPr>
            <w:tcW w:w="1134" w:type="dxa"/>
            <w:vAlign w:val="bottom"/>
          </w:tcPr>
          <w:p w14:paraId="7136C344" w14:textId="77777777" w:rsidR="00C80858" w:rsidRPr="00747E35" w:rsidRDefault="00C80858" w:rsidP="00C80858">
            <w:pPr>
              <w:pStyle w:val="Tabletext"/>
              <w:spacing w:before="0" w:after="0"/>
              <w:rPr>
                <w:rFonts w:cstheme="minorHAnsi"/>
              </w:rPr>
            </w:pPr>
            <w:r w:rsidRPr="00747E35">
              <w:rPr>
                <w:rFonts w:cstheme="minorHAnsi"/>
              </w:rPr>
              <w:t>T</w:t>
            </w:r>
          </w:p>
        </w:tc>
      </w:tr>
      <w:tr w:rsidR="00C80858" w:rsidRPr="00747E35" w14:paraId="2D897289" w14:textId="77777777" w:rsidTr="0096743A">
        <w:tc>
          <w:tcPr>
            <w:tcW w:w="572" w:type="dxa"/>
            <w:vAlign w:val="bottom"/>
          </w:tcPr>
          <w:p w14:paraId="307EBA61" w14:textId="77777777" w:rsidR="00C80858" w:rsidRPr="00747E35" w:rsidRDefault="00C80858" w:rsidP="00C80858">
            <w:pPr>
              <w:pStyle w:val="Tabletext"/>
              <w:spacing w:before="0" w:after="0"/>
              <w:rPr>
                <w:rFonts w:cstheme="minorHAnsi"/>
              </w:rPr>
            </w:pPr>
            <w:r w:rsidRPr="00747E35">
              <w:rPr>
                <w:rFonts w:cstheme="minorHAnsi"/>
              </w:rPr>
              <w:t>4</w:t>
            </w:r>
          </w:p>
        </w:tc>
        <w:tc>
          <w:tcPr>
            <w:tcW w:w="704" w:type="dxa"/>
          </w:tcPr>
          <w:p w14:paraId="08C0D756"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6911A547" w14:textId="04827B78" w:rsidR="00C80858" w:rsidRPr="00747E35" w:rsidRDefault="00C80858" w:rsidP="00C80858">
            <w:pPr>
              <w:pStyle w:val="Tabletext"/>
              <w:spacing w:before="0" w:after="0"/>
              <w:rPr>
                <w:rFonts w:cstheme="minorHAnsi"/>
                <w:i/>
              </w:rPr>
            </w:pPr>
            <w:r w:rsidRPr="00747E35">
              <w:rPr>
                <w:rFonts w:cstheme="minorHAnsi"/>
                <w:i/>
              </w:rPr>
              <w:t>Alectryon oleifolius</w:t>
            </w:r>
          </w:p>
        </w:tc>
        <w:tc>
          <w:tcPr>
            <w:tcW w:w="708" w:type="dxa"/>
            <w:vAlign w:val="bottom"/>
          </w:tcPr>
          <w:p w14:paraId="64FE86FB" w14:textId="77777777" w:rsidR="00C80858" w:rsidRPr="00747E35" w:rsidRDefault="00C80858" w:rsidP="00C80858">
            <w:pPr>
              <w:pStyle w:val="Tabletext"/>
              <w:spacing w:before="0" w:after="0"/>
              <w:rPr>
                <w:rFonts w:cstheme="minorHAnsi"/>
              </w:rPr>
            </w:pPr>
            <w:r w:rsidRPr="00747E35">
              <w:rPr>
                <w:rFonts w:cstheme="minorHAnsi"/>
              </w:rPr>
              <w:t>M</w:t>
            </w:r>
          </w:p>
        </w:tc>
        <w:tc>
          <w:tcPr>
            <w:tcW w:w="1134" w:type="dxa"/>
            <w:vAlign w:val="bottom"/>
          </w:tcPr>
          <w:p w14:paraId="138D447F" w14:textId="77777777" w:rsidR="00C80858" w:rsidRPr="00747E35" w:rsidRDefault="00C80858" w:rsidP="00C80858">
            <w:pPr>
              <w:pStyle w:val="Tabletext"/>
              <w:spacing w:before="0" w:after="0"/>
              <w:rPr>
                <w:rFonts w:cstheme="minorHAnsi"/>
              </w:rPr>
            </w:pPr>
            <w:r w:rsidRPr="00747E35">
              <w:rPr>
                <w:rFonts w:cstheme="minorHAnsi"/>
              </w:rPr>
              <w:t xml:space="preserve">Fp  Fi  Rp  </w:t>
            </w:r>
          </w:p>
        </w:tc>
      </w:tr>
      <w:tr w:rsidR="00C80858" w:rsidRPr="00747E35" w14:paraId="21AE8458" w14:textId="77777777" w:rsidTr="0096743A">
        <w:tc>
          <w:tcPr>
            <w:tcW w:w="572" w:type="dxa"/>
            <w:vAlign w:val="bottom"/>
          </w:tcPr>
          <w:p w14:paraId="0CFBC6AB" w14:textId="77777777" w:rsidR="00C80858" w:rsidRPr="00747E35" w:rsidRDefault="00C80858" w:rsidP="00C80858">
            <w:pPr>
              <w:pStyle w:val="Tabletext"/>
              <w:spacing w:before="0" w:after="0"/>
              <w:rPr>
                <w:rFonts w:cstheme="minorHAnsi"/>
              </w:rPr>
            </w:pPr>
            <w:r w:rsidRPr="00747E35">
              <w:rPr>
                <w:rFonts w:cstheme="minorHAnsi"/>
              </w:rPr>
              <w:t>5</w:t>
            </w:r>
          </w:p>
        </w:tc>
        <w:tc>
          <w:tcPr>
            <w:tcW w:w="704" w:type="dxa"/>
          </w:tcPr>
          <w:p w14:paraId="320139E1"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74164992" w14:textId="2931160A" w:rsidR="00C80858" w:rsidRPr="00747E35" w:rsidRDefault="00C80858" w:rsidP="00C80858">
            <w:pPr>
              <w:pStyle w:val="Tabletext"/>
              <w:spacing w:before="0" w:after="0"/>
              <w:rPr>
                <w:rFonts w:cstheme="minorHAnsi"/>
                <w:i/>
              </w:rPr>
            </w:pPr>
            <w:r w:rsidRPr="00747E35">
              <w:rPr>
                <w:rFonts w:cstheme="minorHAnsi"/>
                <w:i/>
              </w:rPr>
              <w:t>Angophora floribunda</w:t>
            </w:r>
          </w:p>
        </w:tc>
        <w:tc>
          <w:tcPr>
            <w:tcW w:w="708" w:type="dxa"/>
            <w:vAlign w:val="bottom"/>
          </w:tcPr>
          <w:p w14:paraId="16116844" w14:textId="77777777" w:rsidR="00C80858" w:rsidRPr="00747E35" w:rsidRDefault="00C80858" w:rsidP="00C80858">
            <w:pPr>
              <w:pStyle w:val="Tabletext"/>
              <w:spacing w:before="0" w:after="0"/>
              <w:rPr>
                <w:rFonts w:cstheme="minorHAnsi"/>
              </w:rPr>
            </w:pPr>
            <w:r w:rsidRPr="00747E35">
              <w:rPr>
                <w:rFonts w:cstheme="minorHAnsi"/>
              </w:rPr>
              <w:t>B, M</w:t>
            </w:r>
          </w:p>
        </w:tc>
        <w:tc>
          <w:tcPr>
            <w:tcW w:w="1134" w:type="dxa"/>
            <w:vAlign w:val="bottom"/>
          </w:tcPr>
          <w:p w14:paraId="34D9C6DB" w14:textId="77777777" w:rsidR="00C80858" w:rsidRPr="00747E35" w:rsidRDefault="00C80858" w:rsidP="00C80858">
            <w:pPr>
              <w:pStyle w:val="Tabletext"/>
              <w:spacing w:before="0" w:after="0"/>
              <w:rPr>
                <w:rFonts w:cstheme="minorHAnsi"/>
              </w:rPr>
            </w:pPr>
            <w:r w:rsidRPr="00747E35">
              <w:rPr>
                <w:rFonts w:cstheme="minorHAnsi"/>
              </w:rPr>
              <w:t>Fi T</w:t>
            </w:r>
          </w:p>
        </w:tc>
      </w:tr>
      <w:tr w:rsidR="00C80858" w:rsidRPr="00747E35" w14:paraId="32BFB78C" w14:textId="77777777" w:rsidTr="0096743A">
        <w:tc>
          <w:tcPr>
            <w:tcW w:w="572" w:type="dxa"/>
            <w:vAlign w:val="bottom"/>
          </w:tcPr>
          <w:p w14:paraId="3F17F411" w14:textId="77777777" w:rsidR="00C80858" w:rsidRPr="00747E35" w:rsidRDefault="00C80858" w:rsidP="00C80858">
            <w:pPr>
              <w:pStyle w:val="Tabletext"/>
              <w:spacing w:before="0" w:after="0"/>
              <w:rPr>
                <w:rFonts w:cstheme="minorHAnsi"/>
              </w:rPr>
            </w:pPr>
            <w:r w:rsidRPr="00747E35">
              <w:rPr>
                <w:rFonts w:cstheme="minorHAnsi"/>
              </w:rPr>
              <w:t>6</w:t>
            </w:r>
          </w:p>
        </w:tc>
        <w:tc>
          <w:tcPr>
            <w:tcW w:w="704" w:type="dxa"/>
          </w:tcPr>
          <w:p w14:paraId="14FB10B0"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7EBBE19D" w14:textId="0AE70196" w:rsidR="00C80858" w:rsidRPr="00747E35" w:rsidRDefault="00C80858" w:rsidP="00C80858">
            <w:pPr>
              <w:pStyle w:val="Tabletext"/>
              <w:spacing w:before="0" w:after="0"/>
              <w:rPr>
                <w:rFonts w:cstheme="minorHAnsi"/>
                <w:i/>
              </w:rPr>
            </w:pPr>
            <w:r w:rsidRPr="00747E35">
              <w:rPr>
                <w:rFonts w:cstheme="minorHAnsi"/>
                <w:i/>
              </w:rPr>
              <w:t>Archontophoenix cunninghamiana</w:t>
            </w:r>
          </w:p>
        </w:tc>
        <w:tc>
          <w:tcPr>
            <w:tcW w:w="708" w:type="dxa"/>
            <w:vAlign w:val="bottom"/>
          </w:tcPr>
          <w:p w14:paraId="08CB2E4A" w14:textId="77777777" w:rsidR="00C80858" w:rsidRPr="00747E35" w:rsidRDefault="00C80858" w:rsidP="00C80858">
            <w:pPr>
              <w:pStyle w:val="Tabletext"/>
              <w:spacing w:before="0" w:after="0"/>
              <w:rPr>
                <w:rFonts w:cstheme="minorHAnsi"/>
              </w:rPr>
            </w:pPr>
            <w:r w:rsidRPr="00747E35">
              <w:rPr>
                <w:rFonts w:cstheme="minorHAnsi"/>
              </w:rPr>
              <w:t>B</w:t>
            </w:r>
          </w:p>
        </w:tc>
        <w:tc>
          <w:tcPr>
            <w:tcW w:w="1134" w:type="dxa"/>
            <w:vAlign w:val="bottom"/>
          </w:tcPr>
          <w:p w14:paraId="75BB6FDF" w14:textId="77777777"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5EDAA429" w14:textId="77777777" w:rsidTr="0096743A">
        <w:tc>
          <w:tcPr>
            <w:tcW w:w="572" w:type="dxa"/>
            <w:vAlign w:val="bottom"/>
          </w:tcPr>
          <w:p w14:paraId="7FF1414F" w14:textId="77777777" w:rsidR="00C80858" w:rsidRPr="00747E35" w:rsidRDefault="00C80858" w:rsidP="00C80858">
            <w:pPr>
              <w:pStyle w:val="Tabletext"/>
              <w:spacing w:before="0" w:after="0"/>
              <w:rPr>
                <w:rFonts w:cstheme="minorHAnsi"/>
              </w:rPr>
            </w:pPr>
            <w:r w:rsidRPr="00747E35">
              <w:rPr>
                <w:rFonts w:cstheme="minorHAnsi"/>
              </w:rPr>
              <w:t>6</w:t>
            </w:r>
          </w:p>
        </w:tc>
        <w:tc>
          <w:tcPr>
            <w:tcW w:w="704" w:type="dxa"/>
          </w:tcPr>
          <w:p w14:paraId="65637087"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32E0DC8F" w14:textId="0B900914" w:rsidR="00C80858" w:rsidRPr="00747E35" w:rsidRDefault="00C80858" w:rsidP="00C80858">
            <w:pPr>
              <w:pStyle w:val="Tabletext"/>
              <w:spacing w:before="0" w:after="0"/>
              <w:rPr>
                <w:rFonts w:cstheme="minorHAnsi"/>
                <w:i/>
              </w:rPr>
            </w:pPr>
            <w:r w:rsidRPr="00747E35">
              <w:rPr>
                <w:rFonts w:cstheme="minorHAnsi"/>
                <w:i/>
              </w:rPr>
              <w:t>Brachychiton populneus</w:t>
            </w:r>
          </w:p>
        </w:tc>
        <w:tc>
          <w:tcPr>
            <w:tcW w:w="708" w:type="dxa"/>
            <w:vAlign w:val="bottom"/>
          </w:tcPr>
          <w:p w14:paraId="777A3AE7" w14:textId="77777777" w:rsidR="00C80858" w:rsidRPr="00747E35" w:rsidRDefault="00C80858" w:rsidP="00C80858">
            <w:pPr>
              <w:pStyle w:val="Tabletext"/>
              <w:spacing w:before="0" w:after="0"/>
              <w:rPr>
                <w:rFonts w:cstheme="minorHAnsi"/>
              </w:rPr>
            </w:pPr>
            <w:r w:rsidRPr="00747E35">
              <w:rPr>
                <w:rFonts w:cstheme="minorHAnsi"/>
              </w:rPr>
              <w:t>M</w:t>
            </w:r>
          </w:p>
        </w:tc>
        <w:tc>
          <w:tcPr>
            <w:tcW w:w="1134" w:type="dxa"/>
            <w:vAlign w:val="bottom"/>
          </w:tcPr>
          <w:p w14:paraId="2732B1C5" w14:textId="77777777" w:rsidR="00C80858" w:rsidRPr="00747E35" w:rsidRDefault="00C80858" w:rsidP="00C80858">
            <w:pPr>
              <w:pStyle w:val="Tabletext"/>
              <w:spacing w:before="0" w:after="0"/>
              <w:rPr>
                <w:rFonts w:cstheme="minorHAnsi"/>
              </w:rPr>
            </w:pPr>
            <w:r w:rsidRPr="00747E35">
              <w:rPr>
                <w:rFonts w:cstheme="minorHAnsi"/>
              </w:rPr>
              <w:t xml:space="preserve">Fp Rp  </w:t>
            </w:r>
          </w:p>
        </w:tc>
      </w:tr>
      <w:tr w:rsidR="00C80858" w:rsidRPr="00747E35" w14:paraId="2A5FCD6A" w14:textId="77777777" w:rsidTr="0096743A">
        <w:tc>
          <w:tcPr>
            <w:tcW w:w="572" w:type="dxa"/>
            <w:vAlign w:val="bottom"/>
          </w:tcPr>
          <w:p w14:paraId="04D8B1AF" w14:textId="77777777" w:rsidR="00C80858" w:rsidRPr="00747E35" w:rsidRDefault="00C80858" w:rsidP="00C80858">
            <w:pPr>
              <w:pStyle w:val="Tabletext"/>
              <w:spacing w:before="0" w:after="0"/>
              <w:rPr>
                <w:rFonts w:cstheme="minorHAnsi"/>
              </w:rPr>
            </w:pPr>
            <w:r w:rsidRPr="00747E35">
              <w:rPr>
                <w:rFonts w:cstheme="minorHAnsi"/>
              </w:rPr>
              <w:t>6</w:t>
            </w:r>
          </w:p>
        </w:tc>
        <w:tc>
          <w:tcPr>
            <w:tcW w:w="704" w:type="dxa"/>
          </w:tcPr>
          <w:p w14:paraId="08253290"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16116354" w14:textId="64DFD2E2" w:rsidR="00C80858" w:rsidRPr="00747E35" w:rsidRDefault="00C80858" w:rsidP="00C80858">
            <w:pPr>
              <w:pStyle w:val="Tabletext"/>
              <w:spacing w:before="0" w:after="0"/>
              <w:rPr>
                <w:rFonts w:cstheme="minorHAnsi"/>
                <w:i/>
              </w:rPr>
            </w:pPr>
            <w:r w:rsidRPr="00747E35">
              <w:rPr>
                <w:rFonts w:cstheme="minorHAnsi"/>
                <w:i/>
              </w:rPr>
              <w:t>Callitris glaucophylla</w:t>
            </w:r>
          </w:p>
        </w:tc>
        <w:tc>
          <w:tcPr>
            <w:tcW w:w="708" w:type="dxa"/>
            <w:vAlign w:val="bottom"/>
          </w:tcPr>
          <w:p w14:paraId="341C5D04" w14:textId="77777777" w:rsidR="00C80858" w:rsidRPr="00747E35" w:rsidRDefault="00C80858" w:rsidP="00C80858">
            <w:pPr>
              <w:pStyle w:val="Tabletext"/>
              <w:spacing w:before="0" w:after="0"/>
              <w:rPr>
                <w:rFonts w:cstheme="minorHAnsi"/>
              </w:rPr>
            </w:pPr>
            <w:r w:rsidRPr="00747E35">
              <w:rPr>
                <w:rFonts w:cstheme="minorHAnsi"/>
              </w:rPr>
              <w:t>M</w:t>
            </w:r>
          </w:p>
        </w:tc>
        <w:tc>
          <w:tcPr>
            <w:tcW w:w="1134" w:type="dxa"/>
            <w:vAlign w:val="bottom"/>
          </w:tcPr>
          <w:p w14:paraId="3F293194" w14:textId="77777777" w:rsidR="00C80858" w:rsidRPr="00747E35" w:rsidRDefault="00C80858" w:rsidP="00C80858">
            <w:pPr>
              <w:pStyle w:val="Tabletext"/>
              <w:spacing w:before="0" w:after="0"/>
              <w:rPr>
                <w:rFonts w:cstheme="minorHAnsi"/>
              </w:rPr>
            </w:pPr>
            <w:r w:rsidRPr="00747E35">
              <w:rPr>
                <w:rFonts w:cstheme="minorHAnsi"/>
              </w:rPr>
              <w:t>Fi  Ri T</w:t>
            </w:r>
          </w:p>
        </w:tc>
      </w:tr>
      <w:tr w:rsidR="00C80858" w:rsidRPr="00747E35" w14:paraId="7CABAC8D" w14:textId="77777777" w:rsidTr="0096743A">
        <w:tc>
          <w:tcPr>
            <w:tcW w:w="572" w:type="dxa"/>
            <w:vAlign w:val="bottom"/>
          </w:tcPr>
          <w:p w14:paraId="38581C66" w14:textId="77777777" w:rsidR="00C80858" w:rsidRPr="00747E35" w:rsidRDefault="00C80858" w:rsidP="00C80858">
            <w:pPr>
              <w:pStyle w:val="Tabletext"/>
              <w:spacing w:before="0" w:after="0"/>
              <w:rPr>
                <w:rFonts w:cstheme="minorHAnsi"/>
              </w:rPr>
            </w:pPr>
            <w:r w:rsidRPr="00747E35">
              <w:rPr>
                <w:rFonts w:cstheme="minorHAnsi"/>
              </w:rPr>
              <w:t>3</w:t>
            </w:r>
          </w:p>
        </w:tc>
        <w:tc>
          <w:tcPr>
            <w:tcW w:w="704" w:type="dxa"/>
          </w:tcPr>
          <w:p w14:paraId="27463412"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4B486729" w14:textId="0F888DA2" w:rsidR="00C80858" w:rsidRPr="00747E35" w:rsidRDefault="00C80858" w:rsidP="00C80858">
            <w:pPr>
              <w:pStyle w:val="Tabletext"/>
              <w:spacing w:before="0" w:after="0"/>
              <w:rPr>
                <w:rFonts w:cstheme="minorHAnsi"/>
                <w:i/>
              </w:rPr>
            </w:pPr>
            <w:r w:rsidRPr="00747E35">
              <w:rPr>
                <w:rFonts w:cstheme="minorHAnsi"/>
                <w:i/>
              </w:rPr>
              <w:t>Casuarina cunninghamiana</w:t>
            </w:r>
          </w:p>
        </w:tc>
        <w:tc>
          <w:tcPr>
            <w:tcW w:w="708" w:type="dxa"/>
            <w:vAlign w:val="bottom"/>
          </w:tcPr>
          <w:p w14:paraId="33AA7AD1" w14:textId="77777777" w:rsidR="00C80858" w:rsidRPr="00747E35" w:rsidRDefault="00C80858" w:rsidP="00C80858">
            <w:pPr>
              <w:pStyle w:val="Tabletext"/>
              <w:spacing w:before="0" w:after="0"/>
              <w:rPr>
                <w:rFonts w:cstheme="minorHAnsi"/>
              </w:rPr>
            </w:pPr>
            <w:r w:rsidRPr="00747E35">
              <w:rPr>
                <w:rFonts w:cstheme="minorHAnsi"/>
              </w:rPr>
              <w:t>B, M</w:t>
            </w:r>
          </w:p>
        </w:tc>
        <w:tc>
          <w:tcPr>
            <w:tcW w:w="1134" w:type="dxa"/>
            <w:vAlign w:val="bottom"/>
          </w:tcPr>
          <w:p w14:paraId="2E36857C" w14:textId="77777777" w:rsidR="00C80858" w:rsidRPr="00747E35" w:rsidRDefault="00C80858" w:rsidP="00C80858">
            <w:pPr>
              <w:pStyle w:val="Tabletext"/>
              <w:spacing w:before="0" w:after="0"/>
              <w:rPr>
                <w:rFonts w:cstheme="minorHAnsi"/>
              </w:rPr>
            </w:pPr>
            <w:r w:rsidRPr="00747E35">
              <w:rPr>
                <w:rFonts w:cstheme="minorHAnsi"/>
              </w:rPr>
              <w:t xml:space="preserve">Fi Ri Rp  </w:t>
            </w:r>
          </w:p>
        </w:tc>
      </w:tr>
      <w:tr w:rsidR="00C80858" w:rsidRPr="00747E35" w14:paraId="4B164137" w14:textId="77777777" w:rsidTr="0096743A">
        <w:tc>
          <w:tcPr>
            <w:tcW w:w="572" w:type="dxa"/>
            <w:vAlign w:val="bottom"/>
          </w:tcPr>
          <w:p w14:paraId="61079A80" w14:textId="77777777" w:rsidR="00C80858" w:rsidRPr="00747E35" w:rsidRDefault="00C80858" w:rsidP="00C80858">
            <w:pPr>
              <w:pStyle w:val="Tabletext"/>
              <w:spacing w:before="0" w:after="0"/>
              <w:rPr>
                <w:rFonts w:cstheme="minorHAnsi"/>
              </w:rPr>
            </w:pPr>
            <w:r w:rsidRPr="00747E35">
              <w:rPr>
                <w:rFonts w:cstheme="minorHAnsi"/>
              </w:rPr>
              <w:t>4</w:t>
            </w:r>
          </w:p>
        </w:tc>
        <w:tc>
          <w:tcPr>
            <w:tcW w:w="704" w:type="dxa"/>
          </w:tcPr>
          <w:p w14:paraId="7BBF154F"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6CA17EB8" w14:textId="29F3EF30" w:rsidR="00C80858" w:rsidRPr="00747E35" w:rsidRDefault="00C80858" w:rsidP="00C80858">
            <w:pPr>
              <w:pStyle w:val="Tabletext"/>
              <w:spacing w:before="0" w:after="0"/>
              <w:rPr>
                <w:rFonts w:cstheme="minorHAnsi"/>
                <w:i/>
              </w:rPr>
            </w:pPr>
            <w:r w:rsidRPr="00747E35">
              <w:rPr>
                <w:rFonts w:cstheme="minorHAnsi"/>
                <w:i/>
              </w:rPr>
              <w:t>Celtis sinensis</w:t>
            </w:r>
          </w:p>
        </w:tc>
        <w:tc>
          <w:tcPr>
            <w:tcW w:w="708" w:type="dxa"/>
            <w:vAlign w:val="bottom"/>
          </w:tcPr>
          <w:p w14:paraId="0A873EF9" w14:textId="77777777" w:rsidR="00C80858" w:rsidRPr="00747E35" w:rsidRDefault="00C80858" w:rsidP="00C80858">
            <w:pPr>
              <w:pStyle w:val="Tabletext"/>
              <w:spacing w:before="0" w:after="0"/>
              <w:rPr>
                <w:rFonts w:cstheme="minorHAnsi"/>
              </w:rPr>
            </w:pPr>
            <w:r w:rsidRPr="00747E35">
              <w:rPr>
                <w:rFonts w:cstheme="minorHAnsi"/>
              </w:rPr>
              <w:t>B</w:t>
            </w:r>
          </w:p>
        </w:tc>
        <w:tc>
          <w:tcPr>
            <w:tcW w:w="1134" w:type="dxa"/>
            <w:vAlign w:val="bottom"/>
          </w:tcPr>
          <w:p w14:paraId="0187A01E" w14:textId="77777777"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4C5FE7B5" w14:textId="77777777" w:rsidTr="0096743A">
        <w:tc>
          <w:tcPr>
            <w:tcW w:w="572" w:type="dxa"/>
            <w:vAlign w:val="bottom"/>
          </w:tcPr>
          <w:p w14:paraId="2FD0BC2A" w14:textId="77777777" w:rsidR="00C80858" w:rsidRPr="00747E35" w:rsidRDefault="00C80858" w:rsidP="00C80858">
            <w:pPr>
              <w:pStyle w:val="Tabletext"/>
              <w:spacing w:before="0" w:after="0"/>
              <w:rPr>
                <w:rFonts w:cstheme="minorHAnsi"/>
              </w:rPr>
            </w:pPr>
            <w:r w:rsidRPr="00747E35">
              <w:rPr>
                <w:rFonts w:cstheme="minorHAnsi"/>
              </w:rPr>
              <w:t>6</w:t>
            </w:r>
          </w:p>
        </w:tc>
        <w:tc>
          <w:tcPr>
            <w:tcW w:w="704" w:type="dxa"/>
          </w:tcPr>
          <w:p w14:paraId="75CF6CBF"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318BE542" w14:textId="43E9DC3E" w:rsidR="00C80858" w:rsidRPr="00747E35" w:rsidRDefault="00C80858" w:rsidP="00C80858">
            <w:pPr>
              <w:pStyle w:val="Tabletext"/>
              <w:spacing w:before="0" w:after="0"/>
              <w:rPr>
                <w:rFonts w:cstheme="minorHAnsi"/>
                <w:i/>
              </w:rPr>
            </w:pPr>
            <w:r w:rsidRPr="00747E35">
              <w:rPr>
                <w:rFonts w:cstheme="minorHAnsi"/>
                <w:i/>
              </w:rPr>
              <w:t>Corymbia tessellaris</w:t>
            </w:r>
          </w:p>
        </w:tc>
        <w:tc>
          <w:tcPr>
            <w:tcW w:w="708" w:type="dxa"/>
            <w:vAlign w:val="bottom"/>
          </w:tcPr>
          <w:p w14:paraId="5EE6D0D8" w14:textId="77777777" w:rsidR="00C80858" w:rsidRPr="00747E35" w:rsidRDefault="00C80858" w:rsidP="00C80858">
            <w:pPr>
              <w:pStyle w:val="Tabletext"/>
              <w:spacing w:before="0" w:after="0"/>
              <w:rPr>
                <w:rFonts w:cstheme="minorHAnsi"/>
              </w:rPr>
            </w:pPr>
            <w:r w:rsidRPr="00747E35">
              <w:rPr>
                <w:rFonts w:cstheme="minorHAnsi"/>
              </w:rPr>
              <w:t>B</w:t>
            </w:r>
          </w:p>
        </w:tc>
        <w:tc>
          <w:tcPr>
            <w:tcW w:w="1134" w:type="dxa"/>
            <w:vAlign w:val="bottom"/>
          </w:tcPr>
          <w:p w14:paraId="57E6CD54" w14:textId="77777777" w:rsidR="00C80858" w:rsidRPr="00747E35" w:rsidRDefault="00C80858" w:rsidP="00C80858">
            <w:pPr>
              <w:pStyle w:val="Tabletext"/>
              <w:spacing w:before="0" w:after="0"/>
              <w:rPr>
                <w:rFonts w:cstheme="minorHAnsi"/>
              </w:rPr>
            </w:pPr>
            <w:r w:rsidRPr="00747E35">
              <w:rPr>
                <w:rFonts w:cstheme="minorHAnsi"/>
              </w:rPr>
              <w:t>Fi Rp T</w:t>
            </w:r>
          </w:p>
        </w:tc>
      </w:tr>
      <w:tr w:rsidR="00C80858" w:rsidRPr="00747E35" w14:paraId="3B493EBC" w14:textId="77777777" w:rsidTr="0096743A">
        <w:tc>
          <w:tcPr>
            <w:tcW w:w="572" w:type="dxa"/>
            <w:vAlign w:val="bottom"/>
          </w:tcPr>
          <w:p w14:paraId="1648DC94" w14:textId="77777777" w:rsidR="00C80858" w:rsidRPr="00747E35" w:rsidRDefault="00C80858" w:rsidP="00C80858">
            <w:pPr>
              <w:pStyle w:val="Tabletext"/>
              <w:spacing w:before="0" w:after="0"/>
              <w:rPr>
                <w:rFonts w:cstheme="minorHAnsi"/>
              </w:rPr>
            </w:pPr>
            <w:r w:rsidRPr="00747E35">
              <w:rPr>
                <w:rFonts w:cstheme="minorHAnsi"/>
              </w:rPr>
              <w:t>5</w:t>
            </w:r>
          </w:p>
        </w:tc>
        <w:tc>
          <w:tcPr>
            <w:tcW w:w="704" w:type="dxa"/>
          </w:tcPr>
          <w:p w14:paraId="0442DABC"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13CDFDEB" w14:textId="576B29C5" w:rsidR="00C80858" w:rsidRPr="00747E35" w:rsidRDefault="00C80858" w:rsidP="00C80858">
            <w:pPr>
              <w:pStyle w:val="Tabletext"/>
              <w:spacing w:before="0" w:after="0"/>
              <w:rPr>
                <w:rFonts w:cstheme="minorHAnsi"/>
                <w:i/>
              </w:rPr>
            </w:pPr>
            <w:r w:rsidRPr="00747E35">
              <w:rPr>
                <w:rFonts w:cstheme="minorHAnsi"/>
                <w:i/>
              </w:rPr>
              <w:t>Corymbia trachyphloia</w:t>
            </w:r>
          </w:p>
        </w:tc>
        <w:tc>
          <w:tcPr>
            <w:tcW w:w="708" w:type="dxa"/>
            <w:vAlign w:val="bottom"/>
          </w:tcPr>
          <w:p w14:paraId="6092ECDF" w14:textId="77777777" w:rsidR="00C80858" w:rsidRPr="00747E35" w:rsidRDefault="00C80858" w:rsidP="00C80858">
            <w:pPr>
              <w:pStyle w:val="Tabletext"/>
              <w:spacing w:before="0" w:after="0"/>
              <w:rPr>
                <w:rFonts w:cstheme="minorHAnsi"/>
              </w:rPr>
            </w:pPr>
            <w:r w:rsidRPr="00747E35">
              <w:rPr>
                <w:rFonts w:cstheme="minorHAnsi"/>
              </w:rPr>
              <w:t>B</w:t>
            </w:r>
          </w:p>
        </w:tc>
        <w:tc>
          <w:tcPr>
            <w:tcW w:w="1134" w:type="dxa"/>
            <w:vAlign w:val="bottom"/>
          </w:tcPr>
          <w:p w14:paraId="7F96124E" w14:textId="77777777" w:rsidR="00C80858" w:rsidRPr="00747E35" w:rsidRDefault="00C80858" w:rsidP="00C80858">
            <w:pPr>
              <w:pStyle w:val="Tabletext"/>
              <w:spacing w:before="0" w:after="0"/>
              <w:rPr>
                <w:rFonts w:cstheme="minorHAnsi"/>
              </w:rPr>
            </w:pPr>
            <w:r w:rsidRPr="00747E35">
              <w:rPr>
                <w:rFonts w:cstheme="minorHAnsi"/>
              </w:rPr>
              <w:t>Fi T</w:t>
            </w:r>
          </w:p>
        </w:tc>
      </w:tr>
      <w:tr w:rsidR="00C80858" w:rsidRPr="00747E35" w14:paraId="7A72952A" w14:textId="77777777" w:rsidTr="0096743A">
        <w:tc>
          <w:tcPr>
            <w:tcW w:w="572" w:type="dxa"/>
            <w:vAlign w:val="bottom"/>
          </w:tcPr>
          <w:p w14:paraId="03F88AA4" w14:textId="77777777" w:rsidR="00C80858" w:rsidRPr="00747E35" w:rsidRDefault="00C80858" w:rsidP="00C80858">
            <w:pPr>
              <w:pStyle w:val="Tabletext"/>
              <w:spacing w:before="0" w:after="0"/>
              <w:rPr>
                <w:rFonts w:cstheme="minorHAnsi"/>
              </w:rPr>
            </w:pPr>
            <w:r w:rsidRPr="00747E35">
              <w:rPr>
                <w:rFonts w:cstheme="minorHAnsi"/>
              </w:rPr>
              <w:t>5</w:t>
            </w:r>
          </w:p>
        </w:tc>
        <w:tc>
          <w:tcPr>
            <w:tcW w:w="704" w:type="dxa"/>
          </w:tcPr>
          <w:p w14:paraId="70EB6EF8"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130D258B" w14:textId="1C170F0A" w:rsidR="00C80858" w:rsidRPr="00747E35" w:rsidRDefault="00C80858" w:rsidP="00C80858">
            <w:pPr>
              <w:pStyle w:val="Tabletext"/>
              <w:spacing w:before="0" w:after="0"/>
              <w:rPr>
                <w:rFonts w:cstheme="minorHAnsi"/>
                <w:i/>
              </w:rPr>
            </w:pPr>
            <w:r w:rsidRPr="00747E35">
              <w:rPr>
                <w:rFonts w:cstheme="minorHAnsi"/>
                <w:i/>
              </w:rPr>
              <w:t xml:space="preserve">Cupaniopsis </w:t>
            </w:r>
            <w:r w:rsidRPr="00747E35">
              <w:rPr>
                <w:rFonts w:cstheme="minorHAnsi"/>
              </w:rPr>
              <w:t>sp</w:t>
            </w:r>
          </w:p>
        </w:tc>
        <w:tc>
          <w:tcPr>
            <w:tcW w:w="708" w:type="dxa"/>
            <w:vAlign w:val="bottom"/>
          </w:tcPr>
          <w:p w14:paraId="7A660C4D" w14:textId="77777777" w:rsidR="00C80858" w:rsidRPr="00747E35" w:rsidRDefault="00C80858" w:rsidP="00C80858">
            <w:pPr>
              <w:pStyle w:val="Tabletext"/>
              <w:spacing w:before="0" w:after="0"/>
              <w:rPr>
                <w:rFonts w:cstheme="minorHAnsi"/>
              </w:rPr>
            </w:pPr>
            <w:r w:rsidRPr="00747E35">
              <w:rPr>
                <w:rFonts w:cstheme="minorHAnsi"/>
              </w:rPr>
              <w:t>B</w:t>
            </w:r>
          </w:p>
        </w:tc>
        <w:tc>
          <w:tcPr>
            <w:tcW w:w="1134" w:type="dxa"/>
            <w:vAlign w:val="bottom"/>
          </w:tcPr>
          <w:p w14:paraId="37F2D8C3" w14:textId="77777777" w:rsidR="00C80858" w:rsidRPr="00747E35" w:rsidRDefault="00C80858" w:rsidP="00C80858">
            <w:pPr>
              <w:pStyle w:val="Tabletext"/>
              <w:spacing w:before="0" w:after="0"/>
              <w:rPr>
                <w:rFonts w:cstheme="minorHAnsi"/>
              </w:rPr>
            </w:pPr>
            <w:r w:rsidRPr="00747E35">
              <w:rPr>
                <w:rFonts w:cstheme="minorHAnsi"/>
              </w:rPr>
              <w:t>Fp</w:t>
            </w:r>
          </w:p>
        </w:tc>
      </w:tr>
      <w:tr w:rsidR="00C80858" w:rsidRPr="00747E35" w14:paraId="42B39778" w14:textId="77777777" w:rsidTr="0096743A">
        <w:tc>
          <w:tcPr>
            <w:tcW w:w="572" w:type="dxa"/>
            <w:vAlign w:val="bottom"/>
          </w:tcPr>
          <w:p w14:paraId="18D174C8" w14:textId="77777777" w:rsidR="00C80858" w:rsidRPr="00747E35" w:rsidRDefault="00C80858" w:rsidP="00C80858">
            <w:pPr>
              <w:pStyle w:val="Tabletext"/>
              <w:spacing w:before="0" w:after="0"/>
              <w:rPr>
                <w:rFonts w:cstheme="minorHAnsi"/>
              </w:rPr>
            </w:pPr>
            <w:r w:rsidRPr="00747E35">
              <w:rPr>
                <w:rFonts w:cstheme="minorHAnsi"/>
              </w:rPr>
              <w:t>5</w:t>
            </w:r>
          </w:p>
        </w:tc>
        <w:tc>
          <w:tcPr>
            <w:tcW w:w="704" w:type="dxa"/>
          </w:tcPr>
          <w:p w14:paraId="3679CE56"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79ED7D20" w14:textId="53DBE519" w:rsidR="00C80858" w:rsidRPr="00747E35" w:rsidRDefault="00C80858" w:rsidP="00C80858">
            <w:pPr>
              <w:pStyle w:val="Tabletext"/>
              <w:spacing w:before="0" w:after="0"/>
              <w:rPr>
                <w:rFonts w:cstheme="minorHAnsi"/>
                <w:i/>
              </w:rPr>
            </w:pPr>
            <w:r w:rsidRPr="00747E35">
              <w:rPr>
                <w:rFonts w:cstheme="minorHAnsi"/>
                <w:i/>
              </w:rPr>
              <w:t>Eucalyptus albens</w:t>
            </w:r>
          </w:p>
        </w:tc>
        <w:tc>
          <w:tcPr>
            <w:tcW w:w="708" w:type="dxa"/>
            <w:vAlign w:val="bottom"/>
          </w:tcPr>
          <w:p w14:paraId="26E62432" w14:textId="77777777" w:rsidR="00C80858" w:rsidRPr="00747E35" w:rsidRDefault="00C80858" w:rsidP="00C80858">
            <w:pPr>
              <w:pStyle w:val="Tabletext"/>
              <w:spacing w:before="0" w:after="0"/>
              <w:rPr>
                <w:rFonts w:cstheme="minorHAnsi"/>
              </w:rPr>
            </w:pPr>
            <w:r w:rsidRPr="00747E35">
              <w:rPr>
                <w:rFonts w:cstheme="minorHAnsi"/>
              </w:rPr>
              <w:t xml:space="preserve"> </w:t>
            </w:r>
          </w:p>
        </w:tc>
        <w:tc>
          <w:tcPr>
            <w:tcW w:w="1134" w:type="dxa"/>
            <w:vAlign w:val="bottom"/>
          </w:tcPr>
          <w:p w14:paraId="66075779" w14:textId="77777777" w:rsidR="00C80858" w:rsidRPr="00747E35" w:rsidRDefault="00C80858" w:rsidP="00C80858">
            <w:pPr>
              <w:pStyle w:val="Tabletext"/>
              <w:spacing w:before="0" w:after="0"/>
              <w:rPr>
                <w:rFonts w:cstheme="minorHAnsi"/>
              </w:rPr>
            </w:pPr>
            <w:r w:rsidRPr="00747E35">
              <w:rPr>
                <w:rFonts w:cstheme="minorHAnsi"/>
              </w:rPr>
              <w:t>T</w:t>
            </w:r>
          </w:p>
        </w:tc>
      </w:tr>
      <w:tr w:rsidR="00C80858" w:rsidRPr="00747E35" w14:paraId="5C31E409" w14:textId="77777777" w:rsidTr="0096743A">
        <w:tc>
          <w:tcPr>
            <w:tcW w:w="572" w:type="dxa"/>
            <w:vAlign w:val="bottom"/>
          </w:tcPr>
          <w:p w14:paraId="7EC6C09D" w14:textId="77777777" w:rsidR="00C80858" w:rsidRPr="00747E35" w:rsidRDefault="00C80858" w:rsidP="00C80858">
            <w:pPr>
              <w:pStyle w:val="Tabletext"/>
              <w:spacing w:before="0" w:after="0"/>
              <w:rPr>
                <w:rFonts w:cstheme="minorHAnsi"/>
              </w:rPr>
            </w:pPr>
            <w:r w:rsidRPr="00747E35">
              <w:rPr>
                <w:rFonts w:cstheme="minorHAnsi"/>
              </w:rPr>
              <w:t>3</w:t>
            </w:r>
          </w:p>
        </w:tc>
        <w:tc>
          <w:tcPr>
            <w:tcW w:w="704" w:type="dxa"/>
          </w:tcPr>
          <w:p w14:paraId="29D84810"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69515F8F" w14:textId="7076C04D" w:rsidR="00C80858" w:rsidRPr="00747E35" w:rsidRDefault="00C80858" w:rsidP="00C80858">
            <w:pPr>
              <w:pStyle w:val="Tabletext"/>
              <w:spacing w:before="0" w:after="0"/>
              <w:rPr>
                <w:rFonts w:cstheme="minorHAnsi"/>
                <w:i/>
              </w:rPr>
            </w:pPr>
            <w:r w:rsidRPr="00747E35">
              <w:rPr>
                <w:rFonts w:cstheme="minorHAnsi"/>
                <w:i/>
              </w:rPr>
              <w:t>Eucalyptus camaldulensis</w:t>
            </w:r>
          </w:p>
        </w:tc>
        <w:tc>
          <w:tcPr>
            <w:tcW w:w="708" w:type="dxa"/>
            <w:vAlign w:val="bottom"/>
          </w:tcPr>
          <w:p w14:paraId="71CBD14E" w14:textId="77777777" w:rsidR="00C80858" w:rsidRPr="00747E35" w:rsidRDefault="00C80858" w:rsidP="00C80858">
            <w:pPr>
              <w:pStyle w:val="Tabletext"/>
              <w:spacing w:before="0" w:after="0"/>
              <w:rPr>
                <w:rFonts w:cstheme="minorHAnsi"/>
              </w:rPr>
            </w:pPr>
            <w:r w:rsidRPr="00747E35">
              <w:rPr>
                <w:rFonts w:cstheme="minorHAnsi"/>
              </w:rPr>
              <w:t>M</w:t>
            </w:r>
          </w:p>
        </w:tc>
        <w:tc>
          <w:tcPr>
            <w:tcW w:w="1134" w:type="dxa"/>
            <w:vAlign w:val="bottom"/>
          </w:tcPr>
          <w:p w14:paraId="33298DCE" w14:textId="77777777" w:rsidR="00C80858" w:rsidRPr="00747E35" w:rsidRDefault="00C80858" w:rsidP="00C80858">
            <w:pPr>
              <w:pStyle w:val="Tabletext"/>
              <w:spacing w:before="0" w:after="0"/>
              <w:rPr>
                <w:rFonts w:cstheme="minorHAnsi"/>
              </w:rPr>
            </w:pPr>
            <w:r w:rsidRPr="00747E35">
              <w:rPr>
                <w:rFonts w:cstheme="minorHAnsi"/>
              </w:rPr>
              <w:t>Fi Fp Ri Rp</w:t>
            </w:r>
          </w:p>
        </w:tc>
      </w:tr>
      <w:tr w:rsidR="00C80858" w:rsidRPr="00747E35" w14:paraId="1345DF4E" w14:textId="77777777" w:rsidTr="0096743A">
        <w:tc>
          <w:tcPr>
            <w:tcW w:w="572" w:type="dxa"/>
            <w:vAlign w:val="bottom"/>
          </w:tcPr>
          <w:p w14:paraId="01062310" w14:textId="77777777" w:rsidR="00C80858" w:rsidRPr="00747E35" w:rsidRDefault="00C80858" w:rsidP="00C80858">
            <w:pPr>
              <w:pStyle w:val="Tabletext"/>
              <w:spacing w:before="0" w:after="0"/>
              <w:rPr>
                <w:rFonts w:cstheme="minorHAnsi"/>
              </w:rPr>
            </w:pPr>
            <w:r w:rsidRPr="00747E35">
              <w:rPr>
                <w:rFonts w:cstheme="minorHAnsi"/>
              </w:rPr>
              <w:t>6</w:t>
            </w:r>
          </w:p>
        </w:tc>
        <w:tc>
          <w:tcPr>
            <w:tcW w:w="704" w:type="dxa"/>
          </w:tcPr>
          <w:p w14:paraId="637BBE9A"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1D4C1714" w14:textId="4FB8BAA1" w:rsidR="00C80858" w:rsidRPr="00747E35" w:rsidRDefault="00C80858" w:rsidP="00C80858">
            <w:pPr>
              <w:pStyle w:val="Tabletext"/>
              <w:spacing w:before="0" w:after="0"/>
              <w:rPr>
                <w:rFonts w:cstheme="minorHAnsi"/>
                <w:i/>
              </w:rPr>
            </w:pPr>
            <w:r w:rsidRPr="00747E35">
              <w:rPr>
                <w:rFonts w:cstheme="minorHAnsi"/>
                <w:i/>
              </w:rPr>
              <w:t>Eucalyptus dealbata</w:t>
            </w:r>
          </w:p>
        </w:tc>
        <w:tc>
          <w:tcPr>
            <w:tcW w:w="708" w:type="dxa"/>
            <w:vAlign w:val="bottom"/>
          </w:tcPr>
          <w:p w14:paraId="0B1E263F" w14:textId="77777777" w:rsidR="00C80858" w:rsidRPr="00747E35" w:rsidRDefault="00C80858" w:rsidP="00C80858">
            <w:pPr>
              <w:pStyle w:val="Tabletext"/>
              <w:spacing w:before="0" w:after="0"/>
              <w:rPr>
                <w:rFonts w:cstheme="minorHAnsi"/>
              </w:rPr>
            </w:pPr>
            <w:r w:rsidRPr="00747E35">
              <w:rPr>
                <w:rFonts w:cstheme="minorHAnsi"/>
              </w:rPr>
              <w:t>M</w:t>
            </w:r>
          </w:p>
        </w:tc>
        <w:tc>
          <w:tcPr>
            <w:tcW w:w="1134" w:type="dxa"/>
            <w:vAlign w:val="bottom"/>
          </w:tcPr>
          <w:p w14:paraId="1EADF968" w14:textId="77777777" w:rsidR="00C80858" w:rsidRPr="00747E35" w:rsidRDefault="00C80858" w:rsidP="00C80858">
            <w:pPr>
              <w:pStyle w:val="Tabletext"/>
              <w:spacing w:before="0" w:after="0"/>
              <w:rPr>
                <w:rFonts w:cstheme="minorHAnsi"/>
              </w:rPr>
            </w:pPr>
            <w:r w:rsidRPr="00747E35">
              <w:rPr>
                <w:rFonts w:cstheme="minorHAnsi"/>
              </w:rPr>
              <w:t>T</w:t>
            </w:r>
          </w:p>
        </w:tc>
      </w:tr>
      <w:tr w:rsidR="00C80858" w:rsidRPr="00747E35" w14:paraId="35D9E14A" w14:textId="77777777" w:rsidTr="0096743A">
        <w:tc>
          <w:tcPr>
            <w:tcW w:w="572" w:type="dxa"/>
            <w:vAlign w:val="bottom"/>
          </w:tcPr>
          <w:p w14:paraId="7A94629D" w14:textId="77777777" w:rsidR="00C80858" w:rsidRPr="00747E35" w:rsidRDefault="00C80858" w:rsidP="00C80858">
            <w:pPr>
              <w:pStyle w:val="Tabletext"/>
              <w:spacing w:before="0" w:after="0"/>
              <w:rPr>
                <w:rFonts w:cstheme="minorHAnsi"/>
              </w:rPr>
            </w:pPr>
            <w:r w:rsidRPr="00747E35">
              <w:rPr>
                <w:rFonts w:cstheme="minorHAnsi"/>
              </w:rPr>
              <w:t>5</w:t>
            </w:r>
          </w:p>
        </w:tc>
        <w:tc>
          <w:tcPr>
            <w:tcW w:w="704" w:type="dxa"/>
          </w:tcPr>
          <w:p w14:paraId="2998127A"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4A09AC75" w14:textId="357E92FD" w:rsidR="00C80858" w:rsidRPr="00747E35" w:rsidRDefault="00C80858" w:rsidP="00C80858">
            <w:pPr>
              <w:pStyle w:val="Tabletext"/>
              <w:spacing w:before="0" w:after="0"/>
              <w:rPr>
                <w:rFonts w:cstheme="minorHAnsi"/>
                <w:i/>
              </w:rPr>
            </w:pPr>
            <w:r w:rsidRPr="00747E35">
              <w:rPr>
                <w:rFonts w:cstheme="minorHAnsi"/>
                <w:i/>
              </w:rPr>
              <w:t>Eucalyptus melanophloia</w:t>
            </w:r>
          </w:p>
        </w:tc>
        <w:tc>
          <w:tcPr>
            <w:tcW w:w="708" w:type="dxa"/>
            <w:vAlign w:val="bottom"/>
          </w:tcPr>
          <w:p w14:paraId="7029F20C" w14:textId="77777777" w:rsidR="00C80858" w:rsidRPr="00747E35" w:rsidRDefault="00C80858" w:rsidP="00C80858">
            <w:pPr>
              <w:pStyle w:val="Tabletext"/>
              <w:spacing w:before="0" w:after="0"/>
              <w:rPr>
                <w:rFonts w:cstheme="minorHAnsi"/>
              </w:rPr>
            </w:pPr>
            <w:r w:rsidRPr="00747E35">
              <w:rPr>
                <w:rFonts w:cstheme="minorHAnsi"/>
              </w:rPr>
              <w:t>B, M</w:t>
            </w:r>
          </w:p>
        </w:tc>
        <w:tc>
          <w:tcPr>
            <w:tcW w:w="1134" w:type="dxa"/>
            <w:vAlign w:val="bottom"/>
          </w:tcPr>
          <w:p w14:paraId="1437A5A2" w14:textId="77777777" w:rsidR="00C80858" w:rsidRPr="00747E35" w:rsidRDefault="00C80858" w:rsidP="00C80858">
            <w:pPr>
              <w:pStyle w:val="Tabletext"/>
              <w:spacing w:before="0" w:after="0"/>
              <w:rPr>
                <w:rFonts w:cstheme="minorHAnsi"/>
              </w:rPr>
            </w:pPr>
            <w:r w:rsidRPr="00747E35">
              <w:rPr>
                <w:rFonts w:cstheme="minorHAnsi"/>
              </w:rPr>
              <w:t>T</w:t>
            </w:r>
          </w:p>
        </w:tc>
      </w:tr>
      <w:tr w:rsidR="00C80858" w:rsidRPr="00747E35" w14:paraId="6FCE1513" w14:textId="77777777" w:rsidTr="0096743A">
        <w:tc>
          <w:tcPr>
            <w:tcW w:w="572" w:type="dxa"/>
            <w:vAlign w:val="bottom"/>
          </w:tcPr>
          <w:p w14:paraId="02A49885" w14:textId="77777777" w:rsidR="00C80858" w:rsidRPr="00747E35" w:rsidRDefault="00C80858" w:rsidP="00C80858">
            <w:pPr>
              <w:pStyle w:val="Tabletext"/>
              <w:spacing w:before="0" w:after="0"/>
              <w:rPr>
                <w:rFonts w:cstheme="minorHAnsi"/>
              </w:rPr>
            </w:pPr>
            <w:r w:rsidRPr="00747E35">
              <w:rPr>
                <w:rFonts w:cstheme="minorHAnsi"/>
              </w:rPr>
              <w:t>4</w:t>
            </w:r>
          </w:p>
        </w:tc>
        <w:tc>
          <w:tcPr>
            <w:tcW w:w="704" w:type="dxa"/>
          </w:tcPr>
          <w:p w14:paraId="7F7BE879"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4F927912" w14:textId="64022414" w:rsidR="00C80858" w:rsidRPr="00747E35" w:rsidRDefault="00C80858" w:rsidP="00C80858">
            <w:pPr>
              <w:pStyle w:val="Tabletext"/>
              <w:spacing w:before="0" w:after="0"/>
              <w:rPr>
                <w:rFonts w:cstheme="minorHAnsi"/>
                <w:i/>
              </w:rPr>
            </w:pPr>
            <w:r w:rsidRPr="00747E35">
              <w:rPr>
                <w:rFonts w:cstheme="minorHAnsi"/>
                <w:i/>
              </w:rPr>
              <w:t>Eucalyptus populnea</w:t>
            </w:r>
          </w:p>
        </w:tc>
        <w:tc>
          <w:tcPr>
            <w:tcW w:w="708" w:type="dxa"/>
            <w:vAlign w:val="bottom"/>
          </w:tcPr>
          <w:p w14:paraId="413B95E9" w14:textId="77777777" w:rsidR="00C80858" w:rsidRPr="00747E35" w:rsidRDefault="00C80858" w:rsidP="00C80858">
            <w:pPr>
              <w:pStyle w:val="Tabletext"/>
              <w:spacing w:before="0" w:after="0"/>
              <w:rPr>
                <w:rFonts w:cstheme="minorHAnsi"/>
              </w:rPr>
            </w:pPr>
            <w:r w:rsidRPr="00747E35">
              <w:rPr>
                <w:rFonts w:cstheme="minorHAnsi"/>
              </w:rPr>
              <w:t>M</w:t>
            </w:r>
          </w:p>
        </w:tc>
        <w:tc>
          <w:tcPr>
            <w:tcW w:w="1134" w:type="dxa"/>
            <w:vAlign w:val="bottom"/>
          </w:tcPr>
          <w:p w14:paraId="25F2D47A" w14:textId="77777777" w:rsidR="00C80858" w:rsidRPr="00747E35" w:rsidRDefault="00C80858" w:rsidP="00C80858">
            <w:pPr>
              <w:pStyle w:val="Tabletext"/>
              <w:spacing w:before="0" w:after="0"/>
              <w:rPr>
                <w:rFonts w:cstheme="minorHAnsi"/>
              </w:rPr>
            </w:pPr>
            <w:r w:rsidRPr="00747E35">
              <w:rPr>
                <w:rFonts w:cstheme="minorHAnsi"/>
              </w:rPr>
              <w:t>Fi T</w:t>
            </w:r>
          </w:p>
        </w:tc>
      </w:tr>
      <w:tr w:rsidR="00C80858" w:rsidRPr="00747E35" w14:paraId="0409B4DA" w14:textId="77777777" w:rsidTr="0096743A">
        <w:tc>
          <w:tcPr>
            <w:tcW w:w="572" w:type="dxa"/>
            <w:vAlign w:val="bottom"/>
          </w:tcPr>
          <w:p w14:paraId="500B620D" w14:textId="77777777" w:rsidR="00C80858" w:rsidRPr="00747E35" w:rsidRDefault="00C80858" w:rsidP="00C80858">
            <w:pPr>
              <w:pStyle w:val="Tabletext"/>
              <w:spacing w:before="0" w:after="0"/>
              <w:rPr>
                <w:rFonts w:cstheme="minorHAnsi"/>
              </w:rPr>
            </w:pPr>
            <w:r w:rsidRPr="00747E35">
              <w:rPr>
                <w:rFonts w:cstheme="minorHAnsi"/>
              </w:rPr>
              <w:t>4</w:t>
            </w:r>
          </w:p>
        </w:tc>
        <w:tc>
          <w:tcPr>
            <w:tcW w:w="704" w:type="dxa"/>
          </w:tcPr>
          <w:p w14:paraId="5FBD7924"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02DD53EA" w14:textId="421CA188" w:rsidR="00C80858" w:rsidRPr="00747E35" w:rsidRDefault="00C80858" w:rsidP="00C80858">
            <w:pPr>
              <w:pStyle w:val="Tabletext"/>
              <w:spacing w:before="0" w:after="0"/>
              <w:rPr>
                <w:rFonts w:cstheme="minorHAnsi"/>
                <w:i/>
              </w:rPr>
            </w:pPr>
            <w:r w:rsidRPr="00747E35">
              <w:rPr>
                <w:rFonts w:cstheme="minorHAnsi"/>
                <w:i/>
              </w:rPr>
              <w:t>Eucalyptus resinifera</w:t>
            </w:r>
          </w:p>
        </w:tc>
        <w:tc>
          <w:tcPr>
            <w:tcW w:w="708" w:type="dxa"/>
            <w:vAlign w:val="bottom"/>
          </w:tcPr>
          <w:p w14:paraId="7FE8F8D1" w14:textId="77777777" w:rsidR="00C80858" w:rsidRPr="00747E35" w:rsidRDefault="00C80858" w:rsidP="00C80858">
            <w:pPr>
              <w:pStyle w:val="Tabletext"/>
              <w:spacing w:before="0" w:after="0"/>
              <w:rPr>
                <w:rFonts w:cstheme="minorHAnsi"/>
              </w:rPr>
            </w:pPr>
            <w:r w:rsidRPr="00747E35">
              <w:rPr>
                <w:rFonts w:cstheme="minorHAnsi"/>
              </w:rPr>
              <w:t>B</w:t>
            </w:r>
          </w:p>
        </w:tc>
        <w:tc>
          <w:tcPr>
            <w:tcW w:w="1134" w:type="dxa"/>
            <w:vAlign w:val="bottom"/>
          </w:tcPr>
          <w:p w14:paraId="279E6EB4" w14:textId="77777777" w:rsidR="00C80858" w:rsidRPr="00747E35" w:rsidRDefault="00C80858" w:rsidP="00C80858">
            <w:pPr>
              <w:pStyle w:val="Tabletext"/>
              <w:spacing w:before="0" w:after="0"/>
              <w:rPr>
                <w:rFonts w:cstheme="minorHAnsi"/>
              </w:rPr>
            </w:pPr>
            <w:r w:rsidRPr="00747E35">
              <w:rPr>
                <w:rFonts w:cstheme="minorHAnsi"/>
              </w:rPr>
              <w:t>Fi</w:t>
            </w:r>
          </w:p>
        </w:tc>
      </w:tr>
      <w:tr w:rsidR="00C80858" w:rsidRPr="00747E35" w14:paraId="4DE274FF" w14:textId="77777777" w:rsidTr="0096743A">
        <w:tc>
          <w:tcPr>
            <w:tcW w:w="572" w:type="dxa"/>
            <w:vAlign w:val="bottom"/>
          </w:tcPr>
          <w:p w14:paraId="036BD149" w14:textId="77777777" w:rsidR="00C80858" w:rsidRPr="00747E35" w:rsidRDefault="00C80858" w:rsidP="00C80858">
            <w:pPr>
              <w:pStyle w:val="Tabletext"/>
              <w:spacing w:before="0" w:after="0"/>
              <w:rPr>
                <w:rFonts w:cstheme="minorHAnsi"/>
              </w:rPr>
            </w:pPr>
            <w:r w:rsidRPr="00747E35">
              <w:rPr>
                <w:rFonts w:cstheme="minorHAnsi"/>
              </w:rPr>
              <w:t>4</w:t>
            </w:r>
          </w:p>
        </w:tc>
        <w:tc>
          <w:tcPr>
            <w:tcW w:w="704" w:type="dxa"/>
          </w:tcPr>
          <w:p w14:paraId="5A4898F0"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2E200A9A" w14:textId="0CE0B5FB" w:rsidR="00C80858" w:rsidRPr="00747E35" w:rsidRDefault="00C80858" w:rsidP="00C80858">
            <w:pPr>
              <w:pStyle w:val="Tabletext"/>
              <w:spacing w:before="0" w:after="0"/>
              <w:rPr>
                <w:rFonts w:cstheme="minorHAnsi"/>
                <w:i/>
              </w:rPr>
            </w:pPr>
            <w:r w:rsidRPr="00747E35">
              <w:rPr>
                <w:rFonts w:cstheme="minorHAnsi"/>
                <w:i/>
              </w:rPr>
              <w:t>Eucalyptus tereticornis</w:t>
            </w:r>
          </w:p>
        </w:tc>
        <w:tc>
          <w:tcPr>
            <w:tcW w:w="708" w:type="dxa"/>
            <w:vAlign w:val="bottom"/>
          </w:tcPr>
          <w:p w14:paraId="1E438080" w14:textId="77777777" w:rsidR="00C80858" w:rsidRPr="00747E35" w:rsidRDefault="00C80858" w:rsidP="00C80858">
            <w:pPr>
              <w:pStyle w:val="Tabletext"/>
              <w:spacing w:before="0" w:after="0"/>
              <w:rPr>
                <w:rFonts w:cstheme="minorHAnsi"/>
              </w:rPr>
            </w:pPr>
            <w:r w:rsidRPr="00747E35">
              <w:rPr>
                <w:rFonts w:cstheme="minorHAnsi"/>
              </w:rPr>
              <w:t>B</w:t>
            </w:r>
          </w:p>
        </w:tc>
        <w:tc>
          <w:tcPr>
            <w:tcW w:w="1134" w:type="dxa"/>
            <w:vAlign w:val="bottom"/>
          </w:tcPr>
          <w:p w14:paraId="1EA57E14" w14:textId="77777777" w:rsidR="00C80858" w:rsidRPr="00747E35" w:rsidRDefault="00C80858" w:rsidP="00C80858">
            <w:pPr>
              <w:pStyle w:val="Tabletext"/>
              <w:spacing w:before="0" w:after="0"/>
              <w:rPr>
                <w:rFonts w:cstheme="minorHAnsi"/>
              </w:rPr>
            </w:pPr>
            <w:r w:rsidRPr="00747E35">
              <w:rPr>
                <w:rFonts w:cstheme="minorHAnsi"/>
              </w:rPr>
              <w:t>Fi Fp Ri T</w:t>
            </w:r>
          </w:p>
        </w:tc>
      </w:tr>
      <w:tr w:rsidR="00C80858" w:rsidRPr="00747E35" w14:paraId="3E407EDC" w14:textId="77777777" w:rsidTr="0096743A">
        <w:tc>
          <w:tcPr>
            <w:tcW w:w="572" w:type="dxa"/>
            <w:vAlign w:val="bottom"/>
          </w:tcPr>
          <w:p w14:paraId="03AF292A" w14:textId="77777777" w:rsidR="00C80858" w:rsidRPr="00747E35" w:rsidRDefault="00C80858" w:rsidP="00C80858">
            <w:pPr>
              <w:pStyle w:val="Tabletext"/>
              <w:spacing w:before="0" w:after="0"/>
              <w:rPr>
                <w:rFonts w:cstheme="minorHAnsi"/>
              </w:rPr>
            </w:pPr>
            <w:r w:rsidRPr="00747E35">
              <w:rPr>
                <w:rFonts w:cstheme="minorHAnsi"/>
              </w:rPr>
              <w:t>5</w:t>
            </w:r>
          </w:p>
        </w:tc>
        <w:tc>
          <w:tcPr>
            <w:tcW w:w="704" w:type="dxa"/>
          </w:tcPr>
          <w:p w14:paraId="71CAF185"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11A05D2D" w14:textId="7FFDA1D7" w:rsidR="00C80858" w:rsidRPr="00747E35" w:rsidRDefault="00C80858" w:rsidP="00C80858">
            <w:pPr>
              <w:pStyle w:val="Tabletext"/>
              <w:spacing w:before="0" w:after="0"/>
              <w:rPr>
                <w:rFonts w:cstheme="minorHAnsi"/>
                <w:i/>
              </w:rPr>
            </w:pPr>
            <w:r w:rsidRPr="00747E35">
              <w:rPr>
                <w:rFonts w:cstheme="minorHAnsi"/>
                <w:i/>
              </w:rPr>
              <w:t>Flindersia collina</w:t>
            </w:r>
          </w:p>
        </w:tc>
        <w:tc>
          <w:tcPr>
            <w:tcW w:w="708" w:type="dxa"/>
            <w:vAlign w:val="bottom"/>
          </w:tcPr>
          <w:p w14:paraId="50234384" w14:textId="77777777" w:rsidR="00C80858" w:rsidRPr="00747E35" w:rsidRDefault="00C80858" w:rsidP="00C80858">
            <w:pPr>
              <w:pStyle w:val="Tabletext"/>
              <w:spacing w:before="0" w:after="0"/>
              <w:rPr>
                <w:rFonts w:cstheme="minorHAnsi"/>
              </w:rPr>
            </w:pPr>
            <w:r w:rsidRPr="00747E35">
              <w:rPr>
                <w:rFonts w:cstheme="minorHAnsi"/>
              </w:rPr>
              <w:t>B</w:t>
            </w:r>
          </w:p>
        </w:tc>
        <w:tc>
          <w:tcPr>
            <w:tcW w:w="1134" w:type="dxa"/>
            <w:vAlign w:val="bottom"/>
          </w:tcPr>
          <w:p w14:paraId="73E1F352" w14:textId="77777777" w:rsidR="00C80858" w:rsidRPr="00747E35" w:rsidRDefault="00C80858" w:rsidP="00C80858">
            <w:pPr>
              <w:pStyle w:val="Tabletext"/>
              <w:spacing w:before="0" w:after="0"/>
              <w:rPr>
                <w:rFonts w:cstheme="minorHAnsi"/>
              </w:rPr>
            </w:pPr>
            <w:r w:rsidRPr="00747E35">
              <w:rPr>
                <w:rFonts w:cstheme="minorHAnsi"/>
              </w:rPr>
              <w:t>Fp</w:t>
            </w:r>
          </w:p>
        </w:tc>
      </w:tr>
      <w:tr w:rsidR="00C80858" w:rsidRPr="00747E35" w14:paraId="60AE2E94" w14:textId="77777777" w:rsidTr="0096743A">
        <w:tc>
          <w:tcPr>
            <w:tcW w:w="572" w:type="dxa"/>
            <w:vAlign w:val="bottom"/>
          </w:tcPr>
          <w:p w14:paraId="4B4F9151" w14:textId="77777777" w:rsidR="00C80858" w:rsidRPr="00747E35" w:rsidRDefault="00C80858" w:rsidP="00C80858">
            <w:pPr>
              <w:pStyle w:val="Tabletext"/>
              <w:spacing w:before="0" w:after="0"/>
              <w:rPr>
                <w:rFonts w:cstheme="minorHAnsi"/>
              </w:rPr>
            </w:pPr>
            <w:r w:rsidRPr="00747E35">
              <w:rPr>
                <w:rFonts w:cstheme="minorHAnsi"/>
              </w:rPr>
              <w:t>4</w:t>
            </w:r>
          </w:p>
        </w:tc>
        <w:tc>
          <w:tcPr>
            <w:tcW w:w="704" w:type="dxa"/>
          </w:tcPr>
          <w:p w14:paraId="4686B0A2"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38331962" w14:textId="0E60633E" w:rsidR="00C80858" w:rsidRPr="00747E35" w:rsidRDefault="00C80858" w:rsidP="00C80858">
            <w:pPr>
              <w:pStyle w:val="Tabletext"/>
              <w:spacing w:before="0" w:after="0"/>
              <w:rPr>
                <w:rFonts w:cstheme="minorHAnsi"/>
                <w:i/>
              </w:rPr>
            </w:pPr>
            <w:r w:rsidRPr="00747E35">
              <w:rPr>
                <w:rFonts w:cstheme="minorHAnsi"/>
                <w:i/>
              </w:rPr>
              <w:t>Geijera parviflora</w:t>
            </w:r>
          </w:p>
        </w:tc>
        <w:tc>
          <w:tcPr>
            <w:tcW w:w="708" w:type="dxa"/>
            <w:vAlign w:val="bottom"/>
          </w:tcPr>
          <w:p w14:paraId="1B6198F9" w14:textId="77777777" w:rsidR="00C80858" w:rsidRPr="00747E35" w:rsidRDefault="00C80858" w:rsidP="00C80858">
            <w:pPr>
              <w:pStyle w:val="Tabletext"/>
              <w:spacing w:before="0" w:after="0"/>
              <w:rPr>
                <w:rFonts w:cstheme="minorHAnsi"/>
              </w:rPr>
            </w:pPr>
            <w:r w:rsidRPr="00747E35">
              <w:rPr>
                <w:rFonts w:cstheme="minorHAnsi"/>
              </w:rPr>
              <w:t>M</w:t>
            </w:r>
          </w:p>
        </w:tc>
        <w:tc>
          <w:tcPr>
            <w:tcW w:w="1134" w:type="dxa"/>
            <w:vAlign w:val="bottom"/>
          </w:tcPr>
          <w:p w14:paraId="0A36502B" w14:textId="77777777" w:rsidR="00C80858" w:rsidRPr="00747E35" w:rsidRDefault="00C80858" w:rsidP="00C80858">
            <w:pPr>
              <w:pStyle w:val="Tabletext"/>
              <w:spacing w:before="0" w:after="0"/>
              <w:rPr>
                <w:rFonts w:cstheme="minorHAnsi"/>
              </w:rPr>
            </w:pPr>
            <w:r w:rsidRPr="00747E35">
              <w:rPr>
                <w:rFonts w:cstheme="minorHAnsi"/>
              </w:rPr>
              <w:t>Fi Fp T</w:t>
            </w:r>
          </w:p>
        </w:tc>
      </w:tr>
      <w:tr w:rsidR="00C80858" w:rsidRPr="00747E35" w14:paraId="4430A424" w14:textId="77777777" w:rsidTr="0096743A">
        <w:tc>
          <w:tcPr>
            <w:tcW w:w="572" w:type="dxa"/>
            <w:vAlign w:val="bottom"/>
          </w:tcPr>
          <w:p w14:paraId="153DBD02" w14:textId="77777777" w:rsidR="00C80858" w:rsidRPr="00747E35" w:rsidRDefault="00C80858" w:rsidP="00C80858">
            <w:pPr>
              <w:pStyle w:val="Tabletext"/>
              <w:spacing w:before="0" w:after="0"/>
              <w:rPr>
                <w:rFonts w:cstheme="minorHAnsi"/>
              </w:rPr>
            </w:pPr>
            <w:r w:rsidRPr="00747E35">
              <w:rPr>
                <w:rFonts w:cstheme="minorHAnsi"/>
              </w:rPr>
              <w:t>5</w:t>
            </w:r>
          </w:p>
        </w:tc>
        <w:tc>
          <w:tcPr>
            <w:tcW w:w="704" w:type="dxa"/>
          </w:tcPr>
          <w:p w14:paraId="7C88B603"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23BB8B73" w14:textId="0596F1C5" w:rsidR="00C80858" w:rsidRPr="00747E35" w:rsidRDefault="00C80858" w:rsidP="00C80858">
            <w:pPr>
              <w:pStyle w:val="Tabletext"/>
              <w:spacing w:before="0" w:after="0"/>
              <w:rPr>
                <w:rFonts w:cstheme="minorHAnsi"/>
                <w:i/>
              </w:rPr>
            </w:pPr>
            <w:r w:rsidRPr="00747E35">
              <w:rPr>
                <w:rFonts w:cstheme="minorHAnsi"/>
                <w:i/>
              </w:rPr>
              <w:t>Hymenosporum flavum</w:t>
            </w:r>
          </w:p>
        </w:tc>
        <w:tc>
          <w:tcPr>
            <w:tcW w:w="708" w:type="dxa"/>
            <w:vAlign w:val="bottom"/>
          </w:tcPr>
          <w:p w14:paraId="6CE18614" w14:textId="77777777" w:rsidR="00C80858" w:rsidRPr="00747E35" w:rsidRDefault="00C80858" w:rsidP="00C80858">
            <w:pPr>
              <w:pStyle w:val="Tabletext"/>
              <w:spacing w:before="0" w:after="0"/>
              <w:rPr>
                <w:rFonts w:cstheme="minorHAnsi"/>
              </w:rPr>
            </w:pPr>
            <w:r w:rsidRPr="00747E35">
              <w:rPr>
                <w:rFonts w:cstheme="minorHAnsi"/>
              </w:rPr>
              <w:t>B</w:t>
            </w:r>
          </w:p>
        </w:tc>
        <w:tc>
          <w:tcPr>
            <w:tcW w:w="1134" w:type="dxa"/>
            <w:vAlign w:val="bottom"/>
          </w:tcPr>
          <w:p w14:paraId="22E19C29" w14:textId="77777777" w:rsidR="00C80858" w:rsidRPr="00747E35" w:rsidRDefault="00C80858" w:rsidP="00C80858">
            <w:pPr>
              <w:pStyle w:val="Tabletext"/>
              <w:spacing w:before="0" w:after="0"/>
              <w:rPr>
                <w:rFonts w:cstheme="minorHAnsi"/>
              </w:rPr>
            </w:pPr>
            <w:r w:rsidRPr="00747E35">
              <w:rPr>
                <w:rFonts w:cstheme="minorHAnsi"/>
              </w:rPr>
              <w:t>Fp Ri</w:t>
            </w:r>
          </w:p>
        </w:tc>
      </w:tr>
      <w:tr w:rsidR="00C80858" w:rsidRPr="00747E35" w14:paraId="13D6672A" w14:textId="77777777" w:rsidTr="0096743A">
        <w:tc>
          <w:tcPr>
            <w:tcW w:w="572" w:type="dxa"/>
            <w:vAlign w:val="bottom"/>
          </w:tcPr>
          <w:p w14:paraId="1915CB5A" w14:textId="77777777" w:rsidR="00C80858" w:rsidRPr="00747E35" w:rsidRDefault="00C80858" w:rsidP="00C80858">
            <w:pPr>
              <w:pStyle w:val="Tabletext"/>
              <w:spacing w:before="0" w:after="0"/>
              <w:rPr>
                <w:rFonts w:cstheme="minorHAnsi"/>
              </w:rPr>
            </w:pPr>
            <w:r w:rsidRPr="00747E35">
              <w:rPr>
                <w:rFonts w:cstheme="minorHAnsi"/>
              </w:rPr>
              <w:t>6</w:t>
            </w:r>
          </w:p>
        </w:tc>
        <w:tc>
          <w:tcPr>
            <w:tcW w:w="704" w:type="dxa"/>
          </w:tcPr>
          <w:p w14:paraId="7427001A"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173BDF6E" w14:textId="61A73605" w:rsidR="00C80858" w:rsidRPr="00747E35" w:rsidRDefault="00C80858" w:rsidP="00C80858">
            <w:pPr>
              <w:pStyle w:val="Tabletext"/>
              <w:spacing w:before="0" w:after="0"/>
              <w:rPr>
                <w:rFonts w:cstheme="minorHAnsi"/>
                <w:i/>
              </w:rPr>
            </w:pPr>
            <w:r w:rsidRPr="00747E35">
              <w:rPr>
                <w:rFonts w:cstheme="minorHAnsi"/>
                <w:i/>
              </w:rPr>
              <w:t>Jacaranda mimosifolia</w:t>
            </w:r>
          </w:p>
        </w:tc>
        <w:tc>
          <w:tcPr>
            <w:tcW w:w="708" w:type="dxa"/>
            <w:vAlign w:val="bottom"/>
          </w:tcPr>
          <w:p w14:paraId="6EF74DB5" w14:textId="77777777" w:rsidR="00C80858" w:rsidRPr="00747E35" w:rsidRDefault="00C80858" w:rsidP="00C80858">
            <w:pPr>
              <w:pStyle w:val="Tabletext"/>
              <w:spacing w:before="0" w:after="0"/>
              <w:rPr>
                <w:rFonts w:cstheme="minorHAnsi"/>
              </w:rPr>
            </w:pPr>
            <w:r w:rsidRPr="00747E35">
              <w:rPr>
                <w:rFonts w:cstheme="minorHAnsi"/>
              </w:rPr>
              <w:t>B</w:t>
            </w:r>
          </w:p>
        </w:tc>
        <w:tc>
          <w:tcPr>
            <w:tcW w:w="1134" w:type="dxa"/>
            <w:vAlign w:val="bottom"/>
          </w:tcPr>
          <w:p w14:paraId="206D1549" w14:textId="77777777" w:rsidR="00C80858" w:rsidRPr="00747E35" w:rsidRDefault="00C80858" w:rsidP="00C80858">
            <w:pPr>
              <w:pStyle w:val="Tabletext"/>
              <w:spacing w:before="0" w:after="0"/>
              <w:rPr>
                <w:rFonts w:cstheme="minorHAnsi"/>
              </w:rPr>
            </w:pPr>
            <w:r w:rsidRPr="00747E35">
              <w:rPr>
                <w:rFonts w:cstheme="minorHAnsi"/>
              </w:rPr>
              <w:t>Rp</w:t>
            </w:r>
          </w:p>
        </w:tc>
      </w:tr>
      <w:tr w:rsidR="00C80858" w:rsidRPr="00747E35" w14:paraId="7D403B94" w14:textId="77777777" w:rsidTr="0096743A">
        <w:tc>
          <w:tcPr>
            <w:tcW w:w="572" w:type="dxa"/>
            <w:vAlign w:val="bottom"/>
          </w:tcPr>
          <w:p w14:paraId="23408157" w14:textId="77777777" w:rsidR="00C80858" w:rsidRPr="00747E35" w:rsidRDefault="00C80858" w:rsidP="00C80858">
            <w:pPr>
              <w:pStyle w:val="Tabletext"/>
              <w:spacing w:before="0" w:after="0"/>
              <w:rPr>
                <w:rFonts w:cstheme="minorHAnsi"/>
              </w:rPr>
            </w:pPr>
            <w:r w:rsidRPr="00747E35">
              <w:rPr>
                <w:rFonts w:cstheme="minorHAnsi"/>
              </w:rPr>
              <w:t>4</w:t>
            </w:r>
          </w:p>
        </w:tc>
        <w:tc>
          <w:tcPr>
            <w:tcW w:w="704" w:type="dxa"/>
          </w:tcPr>
          <w:p w14:paraId="7CAE9A3A"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515FA90B" w14:textId="5CE59A59" w:rsidR="00C80858" w:rsidRPr="00747E35" w:rsidRDefault="00C80858" w:rsidP="00C80858">
            <w:pPr>
              <w:pStyle w:val="Tabletext"/>
              <w:spacing w:before="0" w:after="0"/>
              <w:rPr>
                <w:rFonts w:cstheme="minorHAnsi"/>
                <w:i/>
              </w:rPr>
            </w:pPr>
            <w:r w:rsidRPr="00747E35">
              <w:rPr>
                <w:rFonts w:cstheme="minorHAnsi"/>
                <w:i/>
              </w:rPr>
              <w:t>Lophostemon suaveolens</w:t>
            </w:r>
          </w:p>
        </w:tc>
        <w:tc>
          <w:tcPr>
            <w:tcW w:w="708" w:type="dxa"/>
            <w:vAlign w:val="bottom"/>
          </w:tcPr>
          <w:p w14:paraId="5DE4DC24" w14:textId="77777777" w:rsidR="00C80858" w:rsidRPr="00747E35" w:rsidRDefault="00C80858" w:rsidP="00C80858">
            <w:pPr>
              <w:pStyle w:val="Tabletext"/>
              <w:spacing w:before="0" w:after="0"/>
              <w:rPr>
                <w:rFonts w:cstheme="minorHAnsi"/>
              </w:rPr>
            </w:pPr>
            <w:r w:rsidRPr="00747E35">
              <w:rPr>
                <w:rFonts w:cstheme="minorHAnsi"/>
              </w:rPr>
              <w:t>B</w:t>
            </w:r>
          </w:p>
        </w:tc>
        <w:tc>
          <w:tcPr>
            <w:tcW w:w="1134" w:type="dxa"/>
            <w:vAlign w:val="bottom"/>
          </w:tcPr>
          <w:p w14:paraId="2FDE466B" w14:textId="77777777"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66F0D230" w14:textId="77777777" w:rsidTr="0096743A">
        <w:tc>
          <w:tcPr>
            <w:tcW w:w="572" w:type="dxa"/>
            <w:vAlign w:val="bottom"/>
          </w:tcPr>
          <w:p w14:paraId="243A8C43" w14:textId="77777777" w:rsidR="00C80858" w:rsidRPr="00747E35" w:rsidRDefault="00C80858" w:rsidP="00C80858">
            <w:pPr>
              <w:pStyle w:val="Tabletext"/>
              <w:spacing w:before="0" w:after="0"/>
              <w:rPr>
                <w:rFonts w:cstheme="minorHAnsi"/>
              </w:rPr>
            </w:pPr>
            <w:r w:rsidRPr="00747E35">
              <w:rPr>
                <w:rFonts w:cstheme="minorHAnsi"/>
              </w:rPr>
              <w:t>5</w:t>
            </w:r>
          </w:p>
        </w:tc>
        <w:tc>
          <w:tcPr>
            <w:tcW w:w="704" w:type="dxa"/>
          </w:tcPr>
          <w:p w14:paraId="7523A49A"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736EA5F9" w14:textId="32B400DE" w:rsidR="00C80858" w:rsidRPr="00747E35" w:rsidRDefault="00C80858" w:rsidP="00C80858">
            <w:pPr>
              <w:pStyle w:val="Tabletext"/>
              <w:spacing w:before="0" w:after="0"/>
              <w:rPr>
                <w:rFonts w:cstheme="minorHAnsi"/>
                <w:i/>
              </w:rPr>
            </w:pPr>
            <w:r w:rsidRPr="00747E35">
              <w:rPr>
                <w:rFonts w:cstheme="minorHAnsi"/>
                <w:i/>
              </w:rPr>
              <w:t xml:space="preserve">Mallotus </w:t>
            </w:r>
            <w:r w:rsidRPr="00747E35">
              <w:rPr>
                <w:rFonts w:cstheme="minorHAnsi"/>
              </w:rPr>
              <w:t>sp</w:t>
            </w:r>
          </w:p>
        </w:tc>
        <w:tc>
          <w:tcPr>
            <w:tcW w:w="708" w:type="dxa"/>
            <w:vAlign w:val="bottom"/>
          </w:tcPr>
          <w:p w14:paraId="76E22F60" w14:textId="77777777" w:rsidR="00C80858" w:rsidRPr="00747E35" w:rsidRDefault="00C80858" w:rsidP="00C80858">
            <w:pPr>
              <w:pStyle w:val="Tabletext"/>
              <w:spacing w:before="0" w:after="0"/>
              <w:rPr>
                <w:rFonts w:cstheme="minorHAnsi"/>
              </w:rPr>
            </w:pPr>
            <w:r w:rsidRPr="00747E35">
              <w:rPr>
                <w:rFonts w:cstheme="minorHAnsi"/>
              </w:rPr>
              <w:t>B</w:t>
            </w:r>
          </w:p>
        </w:tc>
        <w:tc>
          <w:tcPr>
            <w:tcW w:w="1134" w:type="dxa"/>
            <w:vAlign w:val="bottom"/>
          </w:tcPr>
          <w:p w14:paraId="5E4061B2" w14:textId="77777777" w:rsidR="00C80858" w:rsidRPr="00747E35" w:rsidRDefault="00C80858" w:rsidP="00C80858">
            <w:pPr>
              <w:pStyle w:val="Tabletext"/>
              <w:spacing w:before="0" w:after="0"/>
              <w:rPr>
                <w:rFonts w:cstheme="minorHAnsi"/>
              </w:rPr>
            </w:pPr>
            <w:r w:rsidRPr="00747E35">
              <w:rPr>
                <w:rFonts w:cstheme="minorHAnsi"/>
              </w:rPr>
              <w:t>Fp</w:t>
            </w:r>
          </w:p>
        </w:tc>
      </w:tr>
      <w:tr w:rsidR="00C80858" w:rsidRPr="00747E35" w14:paraId="72170E1D" w14:textId="77777777" w:rsidTr="0096743A">
        <w:tc>
          <w:tcPr>
            <w:tcW w:w="572" w:type="dxa"/>
            <w:vAlign w:val="bottom"/>
          </w:tcPr>
          <w:p w14:paraId="3FBC6430" w14:textId="77777777" w:rsidR="00C80858" w:rsidRPr="00747E35" w:rsidRDefault="00C80858" w:rsidP="00C80858">
            <w:pPr>
              <w:pStyle w:val="Tabletext"/>
              <w:spacing w:before="0" w:after="0"/>
              <w:rPr>
                <w:rFonts w:cstheme="minorHAnsi"/>
              </w:rPr>
            </w:pPr>
            <w:r w:rsidRPr="00747E35">
              <w:rPr>
                <w:rFonts w:cstheme="minorHAnsi"/>
              </w:rPr>
              <w:t>3</w:t>
            </w:r>
          </w:p>
        </w:tc>
        <w:tc>
          <w:tcPr>
            <w:tcW w:w="704" w:type="dxa"/>
          </w:tcPr>
          <w:p w14:paraId="395C5CBB"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275E3CDD" w14:textId="07326CE1" w:rsidR="00C80858" w:rsidRPr="00747E35" w:rsidRDefault="00C80858" w:rsidP="00C80858">
            <w:pPr>
              <w:pStyle w:val="Tabletext"/>
              <w:spacing w:before="0" w:after="0"/>
              <w:rPr>
                <w:rFonts w:cstheme="minorHAnsi"/>
                <w:i/>
              </w:rPr>
            </w:pPr>
            <w:r w:rsidRPr="00747E35">
              <w:rPr>
                <w:rFonts w:cstheme="minorHAnsi"/>
                <w:i/>
              </w:rPr>
              <w:t>Melaleuca bracteata</w:t>
            </w:r>
          </w:p>
        </w:tc>
        <w:tc>
          <w:tcPr>
            <w:tcW w:w="708" w:type="dxa"/>
            <w:vAlign w:val="bottom"/>
          </w:tcPr>
          <w:p w14:paraId="6551B656" w14:textId="77777777" w:rsidR="00C80858" w:rsidRPr="00747E35" w:rsidRDefault="00C80858" w:rsidP="00C80858">
            <w:pPr>
              <w:pStyle w:val="Tabletext"/>
              <w:spacing w:before="0" w:after="0"/>
              <w:rPr>
                <w:rFonts w:cstheme="minorHAnsi"/>
              </w:rPr>
            </w:pPr>
            <w:r w:rsidRPr="00747E35">
              <w:rPr>
                <w:rFonts w:cstheme="minorHAnsi"/>
              </w:rPr>
              <w:t>B, M</w:t>
            </w:r>
          </w:p>
        </w:tc>
        <w:tc>
          <w:tcPr>
            <w:tcW w:w="1134" w:type="dxa"/>
            <w:vAlign w:val="bottom"/>
          </w:tcPr>
          <w:p w14:paraId="0ACCE919" w14:textId="77777777" w:rsidR="00C80858" w:rsidRPr="00747E35" w:rsidRDefault="00C80858" w:rsidP="00C80858">
            <w:pPr>
              <w:pStyle w:val="Tabletext"/>
              <w:spacing w:before="0" w:after="0"/>
              <w:rPr>
                <w:rFonts w:cstheme="minorHAnsi"/>
              </w:rPr>
            </w:pPr>
            <w:r w:rsidRPr="00747E35">
              <w:rPr>
                <w:rFonts w:cstheme="minorHAnsi"/>
              </w:rPr>
              <w:t>Fi Fp Ri Rp</w:t>
            </w:r>
          </w:p>
        </w:tc>
      </w:tr>
      <w:tr w:rsidR="00C80858" w:rsidRPr="00747E35" w14:paraId="33994207" w14:textId="77777777" w:rsidTr="0096743A">
        <w:tc>
          <w:tcPr>
            <w:tcW w:w="572" w:type="dxa"/>
            <w:vAlign w:val="bottom"/>
          </w:tcPr>
          <w:p w14:paraId="79856AEA" w14:textId="77777777" w:rsidR="00C80858" w:rsidRPr="00747E35" w:rsidRDefault="00C80858" w:rsidP="00C80858">
            <w:pPr>
              <w:pStyle w:val="Tabletext"/>
              <w:spacing w:before="0" w:after="0"/>
              <w:rPr>
                <w:rFonts w:cstheme="minorHAnsi"/>
              </w:rPr>
            </w:pPr>
            <w:r w:rsidRPr="00747E35">
              <w:rPr>
                <w:rFonts w:cstheme="minorHAnsi"/>
              </w:rPr>
              <w:t>3</w:t>
            </w:r>
          </w:p>
        </w:tc>
        <w:tc>
          <w:tcPr>
            <w:tcW w:w="704" w:type="dxa"/>
          </w:tcPr>
          <w:p w14:paraId="0E6380EE"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1A55EFEC" w14:textId="522F85C6" w:rsidR="00C80858" w:rsidRPr="00747E35" w:rsidRDefault="00C80858" w:rsidP="00C80858">
            <w:pPr>
              <w:pStyle w:val="Tabletext"/>
              <w:spacing w:before="0" w:after="0"/>
              <w:rPr>
                <w:rFonts w:cstheme="minorHAnsi"/>
                <w:i/>
              </w:rPr>
            </w:pPr>
            <w:r w:rsidRPr="00747E35">
              <w:rPr>
                <w:rFonts w:cstheme="minorHAnsi"/>
                <w:i/>
              </w:rPr>
              <w:t>Melaleuca viminalis</w:t>
            </w:r>
          </w:p>
        </w:tc>
        <w:tc>
          <w:tcPr>
            <w:tcW w:w="708" w:type="dxa"/>
            <w:vAlign w:val="bottom"/>
          </w:tcPr>
          <w:p w14:paraId="6DE1F2D2" w14:textId="77777777" w:rsidR="00C80858" w:rsidRPr="00747E35" w:rsidRDefault="00C80858" w:rsidP="00C80858">
            <w:pPr>
              <w:pStyle w:val="Tabletext"/>
              <w:spacing w:before="0" w:after="0"/>
              <w:rPr>
                <w:rFonts w:cstheme="minorHAnsi"/>
              </w:rPr>
            </w:pPr>
            <w:r w:rsidRPr="00747E35">
              <w:rPr>
                <w:rFonts w:cstheme="minorHAnsi"/>
              </w:rPr>
              <w:t>B</w:t>
            </w:r>
          </w:p>
        </w:tc>
        <w:tc>
          <w:tcPr>
            <w:tcW w:w="1134" w:type="dxa"/>
            <w:vAlign w:val="bottom"/>
          </w:tcPr>
          <w:p w14:paraId="102D4413" w14:textId="77777777" w:rsidR="00C80858" w:rsidRPr="00747E35" w:rsidRDefault="00C80858" w:rsidP="00C80858">
            <w:pPr>
              <w:pStyle w:val="Tabletext"/>
              <w:spacing w:before="0" w:after="0"/>
              <w:rPr>
                <w:rFonts w:cstheme="minorHAnsi"/>
              </w:rPr>
            </w:pPr>
            <w:r w:rsidRPr="00747E35">
              <w:rPr>
                <w:rFonts w:cstheme="minorHAnsi"/>
              </w:rPr>
              <w:t>Ri Rp</w:t>
            </w:r>
          </w:p>
        </w:tc>
      </w:tr>
      <w:tr w:rsidR="00C80858" w:rsidRPr="00747E35" w14:paraId="0C4984FE" w14:textId="77777777" w:rsidTr="0096743A">
        <w:tc>
          <w:tcPr>
            <w:tcW w:w="572" w:type="dxa"/>
            <w:vAlign w:val="bottom"/>
          </w:tcPr>
          <w:p w14:paraId="1986D811" w14:textId="77777777" w:rsidR="00C80858" w:rsidRPr="00747E35" w:rsidRDefault="00C80858" w:rsidP="00C80858">
            <w:pPr>
              <w:pStyle w:val="Tabletext"/>
              <w:spacing w:before="0" w:after="0"/>
              <w:rPr>
                <w:rFonts w:cstheme="minorHAnsi"/>
              </w:rPr>
            </w:pPr>
            <w:r w:rsidRPr="00747E35">
              <w:rPr>
                <w:rFonts w:cstheme="minorHAnsi"/>
              </w:rPr>
              <w:t>4</w:t>
            </w:r>
          </w:p>
        </w:tc>
        <w:tc>
          <w:tcPr>
            <w:tcW w:w="704" w:type="dxa"/>
          </w:tcPr>
          <w:p w14:paraId="651BCFA0"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76F929F4" w14:textId="2228863D" w:rsidR="00C80858" w:rsidRPr="00747E35" w:rsidRDefault="00C80858" w:rsidP="00C80858">
            <w:pPr>
              <w:pStyle w:val="Tabletext"/>
              <w:spacing w:before="0" w:after="0"/>
              <w:rPr>
                <w:rFonts w:cstheme="minorHAnsi"/>
                <w:i/>
              </w:rPr>
            </w:pPr>
            <w:r w:rsidRPr="00747E35">
              <w:rPr>
                <w:rFonts w:cstheme="minorHAnsi"/>
                <w:i/>
              </w:rPr>
              <w:t>Melia azedarach</w:t>
            </w:r>
          </w:p>
        </w:tc>
        <w:tc>
          <w:tcPr>
            <w:tcW w:w="708" w:type="dxa"/>
            <w:vAlign w:val="bottom"/>
          </w:tcPr>
          <w:p w14:paraId="4FCB6702" w14:textId="77777777" w:rsidR="00C80858" w:rsidRPr="00747E35" w:rsidRDefault="00C80858" w:rsidP="00C80858">
            <w:pPr>
              <w:pStyle w:val="Tabletext"/>
              <w:spacing w:before="0" w:after="0"/>
              <w:rPr>
                <w:rFonts w:cstheme="minorHAnsi"/>
              </w:rPr>
            </w:pPr>
            <w:r w:rsidRPr="00747E35">
              <w:rPr>
                <w:rFonts w:cstheme="minorHAnsi"/>
              </w:rPr>
              <w:t>B, M</w:t>
            </w:r>
          </w:p>
        </w:tc>
        <w:tc>
          <w:tcPr>
            <w:tcW w:w="1134" w:type="dxa"/>
            <w:vAlign w:val="bottom"/>
          </w:tcPr>
          <w:p w14:paraId="493B8AD2" w14:textId="77777777" w:rsidR="00C80858" w:rsidRPr="00747E35" w:rsidRDefault="00C80858" w:rsidP="00C80858">
            <w:pPr>
              <w:pStyle w:val="Tabletext"/>
              <w:spacing w:before="0" w:after="0"/>
              <w:rPr>
                <w:rFonts w:cstheme="minorHAnsi"/>
              </w:rPr>
            </w:pPr>
            <w:r w:rsidRPr="00747E35">
              <w:rPr>
                <w:rFonts w:cstheme="minorHAnsi"/>
              </w:rPr>
              <w:t>Fi Fp Ri</w:t>
            </w:r>
          </w:p>
        </w:tc>
      </w:tr>
      <w:tr w:rsidR="00C80858" w:rsidRPr="00747E35" w14:paraId="509B1C84" w14:textId="77777777" w:rsidTr="0096743A">
        <w:tc>
          <w:tcPr>
            <w:tcW w:w="572" w:type="dxa"/>
            <w:vAlign w:val="bottom"/>
          </w:tcPr>
          <w:p w14:paraId="7B7FAA8F" w14:textId="77777777" w:rsidR="00C80858" w:rsidRPr="00747E35" w:rsidRDefault="00C80858" w:rsidP="00C80858">
            <w:pPr>
              <w:pStyle w:val="Tabletext"/>
              <w:spacing w:before="0" w:after="0"/>
              <w:rPr>
                <w:rFonts w:cstheme="minorHAnsi"/>
              </w:rPr>
            </w:pPr>
            <w:r w:rsidRPr="00747E35">
              <w:rPr>
                <w:rFonts w:cstheme="minorHAnsi"/>
              </w:rPr>
              <w:t>5</w:t>
            </w:r>
          </w:p>
        </w:tc>
        <w:tc>
          <w:tcPr>
            <w:tcW w:w="704" w:type="dxa"/>
          </w:tcPr>
          <w:p w14:paraId="6BBF292E"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1F9BC605" w14:textId="69C5ACF7" w:rsidR="00C80858" w:rsidRPr="00747E35" w:rsidRDefault="00C80858" w:rsidP="00C80858">
            <w:pPr>
              <w:pStyle w:val="Tabletext"/>
              <w:spacing w:before="0" w:after="0"/>
              <w:rPr>
                <w:rFonts w:cstheme="minorHAnsi"/>
                <w:i/>
              </w:rPr>
            </w:pPr>
            <w:r w:rsidRPr="00747E35">
              <w:rPr>
                <w:rFonts w:cstheme="minorHAnsi"/>
                <w:i/>
              </w:rPr>
              <w:t>Notelaea microcarpa</w:t>
            </w:r>
          </w:p>
        </w:tc>
        <w:tc>
          <w:tcPr>
            <w:tcW w:w="708" w:type="dxa"/>
            <w:vAlign w:val="bottom"/>
          </w:tcPr>
          <w:p w14:paraId="36086E7B" w14:textId="77777777" w:rsidR="00C80858" w:rsidRPr="00747E35" w:rsidRDefault="00C80858" w:rsidP="00C80858">
            <w:pPr>
              <w:pStyle w:val="Tabletext"/>
              <w:spacing w:before="0" w:after="0"/>
              <w:rPr>
                <w:rFonts w:cstheme="minorHAnsi"/>
              </w:rPr>
            </w:pPr>
            <w:r w:rsidRPr="00747E35">
              <w:rPr>
                <w:rFonts w:cstheme="minorHAnsi"/>
              </w:rPr>
              <w:t>M</w:t>
            </w:r>
          </w:p>
        </w:tc>
        <w:tc>
          <w:tcPr>
            <w:tcW w:w="1134" w:type="dxa"/>
            <w:vAlign w:val="bottom"/>
          </w:tcPr>
          <w:p w14:paraId="7C833527" w14:textId="77777777"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6F33D415" w14:textId="77777777" w:rsidTr="0096743A">
        <w:tc>
          <w:tcPr>
            <w:tcW w:w="572" w:type="dxa"/>
            <w:vAlign w:val="bottom"/>
          </w:tcPr>
          <w:p w14:paraId="69A1DDD3" w14:textId="77777777" w:rsidR="00C80858" w:rsidRPr="00747E35" w:rsidRDefault="00C80858" w:rsidP="00C80858">
            <w:pPr>
              <w:pStyle w:val="Tabletext"/>
              <w:spacing w:before="0" w:after="0"/>
              <w:rPr>
                <w:rFonts w:cstheme="minorHAnsi"/>
              </w:rPr>
            </w:pPr>
            <w:r w:rsidRPr="00747E35">
              <w:rPr>
                <w:rFonts w:cstheme="minorHAnsi"/>
              </w:rPr>
              <w:t>5</w:t>
            </w:r>
          </w:p>
        </w:tc>
        <w:tc>
          <w:tcPr>
            <w:tcW w:w="704" w:type="dxa"/>
          </w:tcPr>
          <w:p w14:paraId="01C7DABF"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6B1F84DC" w14:textId="38E6C688" w:rsidR="00C80858" w:rsidRPr="00747E35" w:rsidRDefault="00C80858" w:rsidP="00C80858">
            <w:pPr>
              <w:pStyle w:val="Tabletext"/>
              <w:spacing w:before="0" w:after="0"/>
              <w:rPr>
                <w:rFonts w:cstheme="minorHAnsi"/>
                <w:i/>
              </w:rPr>
            </w:pPr>
            <w:r w:rsidRPr="00747E35">
              <w:rPr>
                <w:rFonts w:cstheme="minorHAnsi"/>
                <w:i/>
              </w:rPr>
              <w:t>Schinus terebinthifolius</w:t>
            </w:r>
          </w:p>
        </w:tc>
        <w:tc>
          <w:tcPr>
            <w:tcW w:w="708" w:type="dxa"/>
            <w:vAlign w:val="bottom"/>
          </w:tcPr>
          <w:p w14:paraId="3338E3F6" w14:textId="77777777" w:rsidR="00C80858" w:rsidRPr="00747E35" w:rsidRDefault="00C80858" w:rsidP="00C80858">
            <w:pPr>
              <w:pStyle w:val="Tabletext"/>
              <w:spacing w:before="0" w:after="0"/>
              <w:rPr>
                <w:rFonts w:cstheme="minorHAnsi"/>
              </w:rPr>
            </w:pPr>
            <w:r w:rsidRPr="00747E35">
              <w:rPr>
                <w:rFonts w:cstheme="minorHAnsi"/>
              </w:rPr>
              <w:t>B</w:t>
            </w:r>
          </w:p>
        </w:tc>
        <w:tc>
          <w:tcPr>
            <w:tcW w:w="1134" w:type="dxa"/>
            <w:vAlign w:val="bottom"/>
          </w:tcPr>
          <w:p w14:paraId="288E1E79" w14:textId="77777777" w:rsidR="00C80858" w:rsidRPr="00747E35" w:rsidRDefault="00C80858" w:rsidP="00C80858">
            <w:pPr>
              <w:pStyle w:val="Tabletext"/>
              <w:spacing w:before="0" w:after="0"/>
              <w:rPr>
                <w:rFonts w:cstheme="minorHAnsi"/>
              </w:rPr>
            </w:pPr>
            <w:r w:rsidRPr="00747E35">
              <w:rPr>
                <w:rFonts w:cstheme="minorHAnsi"/>
              </w:rPr>
              <w:t>Ri Rp</w:t>
            </w:r>
          </w:p>
        </w:tc>
      </w:tr>
      <w:tr w:rsidR="00C80858" w:rsidRPr="00747E35" w14:paraId="19215046" w14:textId="77777777" w:rsidTr="0096743A">
        <w:tc>
          <w:tcPr>
            <w:tcW w:w="572" w:type="dxa"/>
            <w:vAlign w:val="bottom"/>
          </w:tcPr>
          <w:p w14:paraId="325C1873" w14:textId="77777777" w:rsidR="00C80858" w:rsidRPr="00747E35" w:rsidRDefault="00C80858" w:rsidP="00C80858">
            <w:pPr>
              <w:pStyle w:val="Tabletext"/>
              <w:spacing w:before="0" w:after="0"/>
              <w:rPr>
                <w:rFonts w:cstheme="minorHAnsi"/>
              </w:rPr>
            </w:pPr>
            <w:r w:rsidRPr="00747E35">
              <w:rPr>
                <w:rFonts w:cstheme="minorHAnsi"/>
              </w:rPr>
              <w:t>5</w:t>
            </w:r>
          </w:p>
        </w:tc>
        <w:tc>
          <w:tcPr>
            <w:tcW w:w="704" w:type="dxa"/>
          </w:tcPr>
          <w:p w14:paraId="1222C022"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5A318F59" w14:textId="2B69F1A6" w:rsidR="00C80858" w:rsidRPr="00747E35" w:rsidRDefault="00C80858" w:rsidP="00C80858">
            <w:pPr>
              <w:pStyle w:val="Tabletext"/>
              <w:spacing w:before="0" w:after="0"/>
              <w:rPr>
                <w:rFonts w:cstheme="minorHAnsi"/>
                <w:i/>
              </w:rPr>
            </w:pPr>
            <w:r w:rsidRPr="00747E35">
              <w:rPr>
                <w:rFonts w:cstheme="minorHAnsi"/>
                <w:i/>
              </w:rPr>
              <w:t>Streblus brunonianus</w:t>
            </w:r>
          </w:p>
        </w:tc>
        <w:tc>
          <w:tcPr>
            <w:tcW w:w="708" w:type="dxa"/>
            <w:vAlign w:val="bottom"/>
          </w:tcPr>
          <w:p w14:paraId="3A552F9C" w14:textId="77777777" w:rsidR="00C80858" w:rsidRPr="00747E35" w:rsidRDefault="00C80858" w:rsidP="00C80858">
            <w:pPr>
              <w:pStyle w:val="Tabletext"/>
              <w:spacing w:before="0" w:after="0"/>
              <w:rPr>
                <w:rFonts w:cstheme="minorHAnsi"/>
              </w:rPr>
            </w:pPr>
            <w:r w:rsidRPr="00747E35">
              <w:rPr>
                <w:rFonts w:cstheme="minorHAnsi"/>
              </w:rPr>
              <w:t>B</w:t>
            </w:r>
          </w:p>
        </w:tc>
        <w:tc>
          <w:tcPr>
            <w:tcW w:w="1134" w:type="dxa"/>
            <w:vAlign w:val="bottom"/>
          </w:tcPr>
          <w:p w14:paraId="71104B2F" w14:textId="77777777" w:rsidR="00C80858" w:rsidRPr="00747E35" w:rsidRDefault="00C80858" w:rsidP="00C80858">
            <w:pPr>
              <w:pStyle w:val="Tabletext"/>
              <w:spacing w:before="0" w:after="0"/>
              <w:rPr>
                <w:rFonts w:cstheme="minorHAnsi"/>
              </w:rPr>
            </w:pPr>
            <w:r w:rsidRPr="00747E35">
              <w:rPr>
                <w:rFonts w:cstheme="minorHAnsi"/>
              </w:rPr>
              <w:t>Ri</w:t>
            </w:r>
          </w:p>
        </w:tc>
      </w:tr>
      <w:tr w:rsidR="00C80858" w:rsidRPr="00747E35" w14:paraId="16324872" w14:textId="77777777" w:rsidTr="0096743A">
        <w:tc>
          <w:tcPr>
            <w:tcW w:w="572" w:type="dxa"/>
            <w:vAlign w:val="bottom"/>
          </w:tcPr>
          <w:p w14:paraId="2E114D32" w14:textId="77777777" w:rsidR="00C80858" w:rsidRPr="00747E35" w:rsidRDefault="00C80858" w:rsidP="00C80858">
            <w:pPr>
              <w:pStyle w:val="Tabletext"/>
              <w:spacing w:before="0" w:after="0"/>
              <w:rPr>
                <w:rFonts w:cstheme="minorHAnsi"/>
              </w:rPr>
            </w:pPr>
            <w:r w:rsidRPr="00747E35">
              <w:rPr>
                <w:rFonts w:cstheme="minorHAnsi"/>
              </w:rPr>
              <w:t>4</w:t>
            </w:r>
          </w:p>
        </w:tc>
        <w:tc>
          <w:tcPr>
            <w:tcW w:w="704" w:type="dxa"/>
          </w:tcPr>
          <w:p w14:paraId="68CB40BE"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vAlign w:val="bottom"/>
          </w:tcPr>
          <w:p w14:paraId="587FA119" w14:textId="29DAD204" w:rsidR="00C80858" w:rsidRPr="00747E35" w:rsidRDefault="00C80858" w:rsidP="00C80858">
            <w:pPr>
              <w:pStyle w:val="Tabletext"/>
              <w:spacing w:before="0" w:after="0"/>
              <w:rPr>
                <w:rFonts w:cstheme="minorHAnsi"/>
                <w:i/>
              </w:rPr>
            </w:pPr>
            <w:r w:rsidRPr="00747E35">
              <w:rPr>
                <w:rFonts w:cstheme="minorHAnsi"/>
                <w:i/>
              </w:rPr>
              <w:t xml:space="preserve">Syzygium </w:t>
            </w:r>
            <w:r w:rsidRPr="00747E35">
              <w:rPr>
                <w:rFonts w:cstheme="minorHAnsi"/>
              </w:rPr>
              <w:t>sp</w:t>
            </w:r>
          </w:p>
        </w:tc>
        <w:tc>
          <w:tcPr>
            <w:tcW w:w="708" w:type="dxa"/>
            <w:vAlign w:val="bottom"/>
          </w:tcPr>
          <w:p w14:paraId="33542163" w14:textId="77777777" w:rsidR="00C80858" w:rsidRPr="00747E35" w:rsidRDefault="00C80858" w:rsidP="00C80858">
            <w:pPr>
              <w:pStyle w:val="Tabletext"/>
              <w:spacing w:before="0" w:after="0"/>
              <w:rPr>
                <w:rFonts w:cstheme="minorHAnsi"/>
              </w:rPr>
            </w:pPr>
            <w:r w:rsidRPr="00747E35">
              <w:rPr>
                <w:rFonts w:cstheme="minorHAnsi"/>
              </w:rPr>
              <w:t>B</w:t>
            </w:r>
          </w:p>
        </w:tc>
        <w:tc>
          <w:tcPr>
            <w:tcW w:w="1134" w:type="dxa"/>
            <w:vAlign w:val="bottom"/>
          </w:tcPr>
          <w:p w14:paraId="3D919C9F" w14:textId="77777777" w:rsidR="00C80858" w:rsidRPr="00747E35" w:rsidRDefault="00C80858" w:rsidP="00C80858">
            <w:pPr>
              <w:pStyle w:val="Tabletext"/>
              <w:spacing w:before="0" w:after="0"/>
              <w:rPr>
                <w:rFonts w:cstheme="minorHAnsi"/>
              </w:rPr>
            </w:pPr>
            <w:r w:rsidRPr="00747E35">
              <w:rPr>
                <w:rFonts w:cstheme="minorHAnsi"/>
              </w:rPr>
              <w:t>Fi  Ri</w:t>
            </w:r>
          </w:p>
        </w:tc>
      </w:tr>
      <w:tr w:rsidR="00C80858" w:rsidRPr="00747E35" w14:paraId="6AFD04E9" w14:textId="77777777" w:rsidTr="0096743A">
        <w:tc>
          <w:tcPr>
            <w:tcW w:w="572" w:type="dxa"/>
            <w:tcBorders>
              <w:bottom w:val="single" w:sz="4" w:space="0" w:color="auto"/>
            </w:tcBorders>
            <w:vAlign w:val="bottom"/>
          </w:tcPr>
          <w:p w14:paraId="2211F83C" w14:textId="77777777" w:rsidR="00C80858" w:rsidRPr="00747E35" w:rsidRDefault="00C80858" w:rsidP="00C80858">
            <w:pPr>
              <w:pStyle w:val="Tabletext"/>
              <w:spacing w:before="0" w:after="0"/>
              <w:rPr>
                <w:rFonts w:cstheme="minorHAnsi"/>
              </w:rPr>
            </w:pPr>
            <w:r w:rsidRPr="00747E35">
              <w:rPr>
                <w:rFonts w:cstheme="minorHAnsi"/>
              </w:rPr>
              <w:t>5</w:t>
            </w:r>
          </w:p>
        </w:tc>
        <w:tc>
          <w:tcPr>
            <w:tcW w:w="704" w:type="dxa"/>
            <w:tcBorders>
              <w:bottom w:val="single" w:sz="4" w:space="0" w:color="auto"/>
            </w:tcBorders>
          </w:tcPr>
          <w:p w14:paraId="266CDFD4" w14:textId="77777777" w:rsidR="00C80858" w:rsidRPr="00747E35" w:rsidRDefault="00C80858" w:rsidP="00C80858">
            <w:pPr>
              <w:pStyle w:val="Tabletext"/>
              <w:spacing w:before="0" w:after="0"/>
              <w:rPr>
                <w:rFonts w:cstheme="minorHAnsi"/>
              </w:rPr>
            </w:pPr>
            <w:r w:rsidRPr="00747E35">
              <w:rPr>
                <w:rFonts w:cstheme="minorHAnsi"/>
              </w:rPr>
              <w:t>t</w:t>
            </w:r>
          </w:p>
        </w:tc>
        <w:tc>
          <w:tcPr>
            <w:tcW w:w="2552" w:type="dxa"/>
            <w:tcBorders>
              <w:bottom w:val="single" w:sz="4" w:space="0" w:color="auto"/>
            </w:tcBorders>
            <w:vAlign w:val="bottom"/>
          </w:tcPr>
          <w:p w14:paraId="39D38D2D" w14:textId="04B505A1" w:rsidR="00C80858" w:rsidRPr="00747E35" w:rsidRDefault="00C80858" w:rsidP="00C80858">
            <w:pPr>
              <w:pStyle w:val="Tabletext"/>
              <w:spacing w:before="0" w:after="0"/>
              <w:rPr>
                <w:rFonts w:cstheme="minorHAnsi"/>
                <w:i/>
              </w:rPr>
            </w:pPr>
            <w:r w:rsidRPr="00747E35">
              <w:rPr>
                <w:rFonts w:cstheme="minorHAnsi"/>
                <w:i/>
              </w:rPr>
              <w:t>Trema tomentosa</w:t>
            </w:r>
          </w:p>
        </w:tc>
        <w:tc>
          <w:tcPr>
            <w:tcW w:w="708" w:type="dxa"/>
            <w:tcBorders>
              <w:bottom w:val="single" w:sz="4" w:space="0" w:color="auto"/>
            </w:tcBorders>
            <w:vAlign w:val="bottom"/>
          </w:tcPr>
          <w:p w14:paraId="03DBC3EE" w14:textId="77777777" w:rsidR="00C80858" w:rsidRPr="00747E35" w:rsidRDefault="00C80858" w:rsidP="00C80858">
            <w:pPr>
              <w:pStyle w:val="Tabletext"/>
              <w:spacing w:before="0" w:after="0"/>
              <w:rPr>
                <w:rFonts w:cstheme="minorHAnsi"/>
              </w:rPr>
            </w:pPr>
            <w:r w:rsidRPr="00747E35">
              <w:rPr>
                <w:rFonts w:cstheme="minorHAnsi"/>
              </w:rPr>
              <w:t>M</w:t>
            </w:r>
          </w:p>
        </w:tc>
        <w:tc>
          <w:tcPr>
            <w:tcW w:w="1134" w:type="dxa"/>
            <w:tcBorders>
              <w:bottom w:val="single" w:sz="4" w:space="0" w:color="auto"/>
            </w:tcBorders>
            <w:vAlign w:val="bottom"/>
          </w:tcPr>
          <w:p w14:paraId="20F82701" w14:textId="77777777" w:rsidR="00C80858" w:rsidRPr="00747E35" w:rsidRDefault="00C80858" w:rsidP="00C80858">
            <w:pPr>
              <w:pStyle w:val="Tabletext"/>
              <w:spacing w:before="0" w:after="0"/>
              <w:rPr>
                <w:rFonts w:cstheme="minorHAnsi"/>
              </w:rPr>
            </w:pPr>
            <w:r w:rsidRPr="00747E35">
              <w:rPr>
                <w:rFonts w:cstheme="minorHAnsi"/>
              </w:rPr>
              <w:t>Ri</w:t>
            </w:r>
          </w:p>
        </w:tc>
      </w:tr>
    </w:tbl>
    <w:p w14:paraId="625B2204" w14:textId="77777777" w:rsidR="00E565ED" w:rsidRDefault="00E565ED" w:rsidP="003D3694">
      <w:pPr>
        <w:pStyle w:val="FootnoteText"/>
        <w:rPr>
          <w:rFonts w:cstheme="minorHAnsi"/>
        </w:rPr>
      </w:pPr>
    </w:p>
    <w:p w14:paraId="2325DBE0" w14:textId="77777777" w:rsidR="003D3694" w:rsidRPr="00747E35" w:rsidRDefault="003D3694" w:rsidP="003D3694">
      <w:pPr>
        <w:pStyle w:val="FootnoteText"/>
        <w:rPr>
          <w:rFonts w:cstheme="minorHAnsi"/>
        </w:rPr>
      </w:pPr>
      <w:r w:rsidRPr="00747E35">
        <w:rPr>
          <w:rFonts w:cstheme="minorHAnsi"/>
        </w:rPr>
        <w:t xml:space="preserve">* introduced species. </w:t>
      </w:r>
      <w:r w:rsidRPr="00747E35">
        <w:rPr>
          <w:rFonts w:cstheme="minorHAnsi"/>
          <w:vertAlign w:val="superscript"/>
        </w:rPr>
        <w:t>1</w:t>
      </w:r>
      <w:r w:rsidRPr="00747E35">
        <w:rPr>
          <w:rFonts w:cstheme="minorHAnsi"/>
        </w:rPr>
        <w:t xml:space="preserve">hydrotypes – 1 = hydrophyte; 2 = helophyte; 3 = mesophyte; 4 = semi-mesophyte; 5 = semi-xerophyte; 6 = xerophyte. </w:t>
      </w:r>
      <w:r w:rsidRPr="00747E35">
        <w:rPr>
          <w:rFonts w:cstheme="minorHAnsi"/>
          <w:vertAlign w:val="superscript"/>
        </w:rPr>
        <w:t xml:space="preserve">2 </w:t>
      </w:r>
      <w:r w:rsidRPr="00747E35">
        <w:rPr>
          <w:rFonts w:cstheme="minorHAnsi"/>
        </w:rPr>
        <w:t xml:space="preserve">Life form – ag = annual grass; ah = annual herb; pg = perennial grass; ph = perennial herb; sh = shrub; t = tree. </w:t>
      </w:r>
      <w:r w:rsidRPr="00747E35">
        <w:rPr>
          <w:rFonts w:cstheme="minorHAnsi"/>
          <w:vertAlign w:val="superscript"/>
        </w:rPr>
        <w:t>3</w:t>
      </w:r>
      <w:r w:rsidRPr="00747E35">
        <w:rPr>
          <w:rFonts w:cstheme="minorHAnsi"/>
        </w:rPr>
        <w:t xml:space="preserve">Sites – M = Maules Creek; B = Bremer River. </w:t>
      </w:r>
      <w:r w:rsidRPr="00747E35">
        <w:rPr>
          <w:rFonts w:cstheme="minorHAnsi"/>
          <w:vertAlign w:val="superscript"/>
        </w:rPr>
        <w:t>4</w:t>
      </w:r>
      <w:r w:rsidRPr="00747E35">
        <w:rPr>
          <w:rFonts w:cstheme="minorHAnsi"/>
        </w:rPr>
        <w:t xml:space="preserve">Landscape position - Rp = riparian perennial; Ri = riparian intermittent; Fp = floodplain perennial; Fi = floodplain intermittent. </w:t>
      </w:r>
      <w:r w:rsidRPr="00747E35">
        <w:rPr>
          <w:rFonts w:cstheme="minorHAnsi"/>
        </w:rPr>
        <w:br w:type="page"/>
      </w:r>
    </w:p>
    <w:p w14:paraId="7E70DD97" w14:textId="7FCB5DDC" w:rsidR="003D3694" w:rsidRPr="00747E35" w:rsidRDefault="003D3694" w:rsidP="003D3694">
      <w:pPr>
        <w:pStyle w:val="Heading2"/>
        <w:rPr>
          <w:rFonts w:asciiTheme="minorHAnsi" w:hAnsiTheme="minorHAnsi" w:cstheme="minorHAnsi"/>
        </w:rPr>
      </w:pPr>
      <w:bookmarkStart w:id="472" w:name="_Toc466450354"/>
      <w:bookmarkStart w:id="473" w:name="_Toc470004929"/>
      <w:r w:rsidRPr="00747E35">
        <w:rPr>
          <w:rFonts w:asciiTheme="minorHAnsi" w:hAnsiTheme="minorHAnsi" w:cstheme="minorHAnsi"/>
        </w:rPr>
        <w:lastRenderedPageBreak/>
        <w:t>Appendi</w:t>
      </w:r>
      <w:bookmarkEnd w:id="472"/>
      <w:r w:rsidRPr="00747E35">
        <w:rPr>
          <w:rFonts w:asciiTheme="minorHAnsi" w:hAnsiTheme="minorHAnsi" w:cstheme="minorHAnsi"/>
        </w:rPr>
        <w:t>x 2: Component 2 Ecological values of baseflow and surface water-groundwater connectivity regimes in non-perennial streams.</w:t>
      </w:r>
      <w:bookmarkEnd w:id="473"/>
    </w:p>
    <w:p w14:paraId="4AF1D30E" w14:textId="3EA537B0" w:rsidR="003D3694" w:rsidRPr="00747E35" w:rsidRDefault="00AB6396" w:rsidP="00551FB9">
      <w:pPr>
        <w:pStyle w:val="Heading3"/>
        <w:rPr>
          <w:rFonts w:asciiTheme="minorHAnsi" w:hAnsiTheme="minorHAnsi" w:cstheme="minorHAnsi"/>
        </w:rPr>
      </w:pPr>
      <w:bookmarkStart w:id="474" w:name="_Toc470004930"/>
      <w:r>
        <w:rPr>
          <w:rFonts w:asciiTheme="minorHAnsi" w:hAnsiTheme="minorHAnsi" w:cstheme="minorHAnsi"/>
        </w:rPr>
        <w:t>S</w:t>
      </w:r>
      <w:r w:rsidR="003D3694" w:rsidRPr="00747E35">
        <w:rPr>
          <w:rFonts w:asciiTheme="minorHAnsi" w:hAnsiTheme="minorHAnsi" w:cstheme="minorHAnsi"/>
        </w:rPr>
        <w:t>upplementary material</w:t>
      </w:r>
      <w:bookmarkEnd w:id="474"/>
    </w:p>
    <w:p w14:paraId="3A3A9AD3" w14:textId="77777777" w:rsidR="003D3694" w:rsidRPr="00747E35" w:rsidRDefault="003D3694" w:rsidP="00551FB9">
      <w:pPr>
        <w:pStyle w:val="Caption"/>
        <w:numPr>
          <w:ilvl w:val="0"/>
          <w:numId w:val="0"/>
        </w:numPr>
        <w:rPr>
          <w:rFonts w:cstheme="minorHAnsi"/>
          <w:lang w:eastAsia="en-AU"/>
        </w:rPr>
      </w:pPr>
      <w:r w:rsidRPr="00747E35">
        <w:rPr>
          <w:rFonts w:cstheme="minorHAnsi"/>
        </w:rPr>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45</w:t>
      </w:r>
      <w:r w:rsidR="009D6600" w:rsidRPr="00747E35">
        <w:rPr>
          <w:rFonts w:cstheme="minorHAnsi"/>
          <w:noProof/>
        </w:rPr>
        <w:fldChar w:fldCharType="end"/>
      </w:r>
      <w:r w:rsidRPr="00747E35">
        <w:rPr>
          <w:rFonts w:cstheme="minorHAnsi"/>
        </w:rPr>
        <w:t>:</w:t>
      </w:r>
      <w:r w:rsidRPr="00747E35">
        <w:rPr>
          <w:rFonts w:cstheme="minorHAnsi"/>
          <w:lang w:eastAsia="en-AU"/>
        </w:rPr>
        <w:t xml:space="preserve"> Output of two-way analysis of variance (ANOVA) models (for dry gravel bar and pool habitat) and a linear mixed-effect model (LMM; for riffle habitat) investigating the mean differences among depth treatments for cotton strips in each habitat. Tukey multiple comparisons of means are conducted when significant terms are present. The ‘Intercept’ for the LMM represents the term for Surface depth in Experiment One.</w:t>
      </w:r>
    </w:p>
    <w:p w14:paraId="75526937" w14:textId="77777777" w:rsidR="003D3694" w:rsidRPr="00747E35" w:rsidRDefault="003D3694" w:rsidP="003D3694">
      <w:pPr>
        <w:pStyle w:val="TableHead"/>
        <w:rPr>
          <w:rFonts w:asciiTheme="minorHAnsi" w:hAnsiTheme="minorHAnsi" w:cstheme="minorHAnsi"/>
        </w:rPr>
      </w:pPr>
      <w:r w:rsidRPr="00747E35">
        <w:rPr>
          <w:rFonts w:asciiTheme="minorHAnsi" w:hAnsiTheme="minorHAnsi" w:cstheme="minorHAnsi"/>
        </w:rPr>
        <w:t>Cotton strip assays: Pool and gravel bar habitat (Two-way ANOVA)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1"/>
        <w:gridCol w:w="454"/>
        <w:gridCol w:w="737"/>
        <w:gridCol w:w="737"/>
        <w:gridCol w:w="454"/>
        <w:gridCol w:w="672"/>
        <w:gridCol w:w="737"/>
      </w:tblGrid>
      <w:tr w:rsidR="003D3694" w:rsidRPr="00747E35" w14:paraId="6DD0EE0D" w14:textId="77777777" w:rsidTr="00D062C2">
        <w:trPr>
          <w:tblHeader/>
        </w:trPr>
        <w:tc>
          <w:tcPr>
            <w:tcW w:w="2041" w:type="dxa"/>
            <w:tcBorders>
              <w:top w:val="single" w:sz="4" w:space="0" w:color="auto"/>
            </w:tcBorders>
            <w:shd w:val="clear" w:color="auto" w:fill="DEEAF6" w:themeFill="accent1" w:themeFillTint="33"/>
            <w:vAlign w:val="center"/>
          </w:tcPr>
          <w:p w14:paraId="759B57A4" w14:textId="77777777" w:rsidR="003D3694" w:rsidRPr="00747E35" w:rsidRDefault="003D3694" w:rsidP="0096743A">
            <w:pPr>
              <w:pStyle w:val="Tabletext"/>
              <w:spacing w:before="0" w:after="0"/>
              <w:rPr>
                <w:rFonts w:cstheme="minorHAnsi"/>
              </w:rPr>
            </w:pPr>
          </w:p>
        </w:tc>
        <w:tc>
          <w:tcPr>
            <w:tcW w:w="1928" w:type="dxa"/>
            <w:gridSpan w:val="3"/>
            <w:tcBorders>
              <w:top w:val="single" w:sz="4" w:space="0" w:color="auto"/>
              <w:bottom w:val="single" w:sz="4" w:space="0" w:color="auto"/>
            </w:tcBorders>
            <w:shd w:val="clear" w:color="auto" w:fill="DEEAF6" w:themeFill="accent1" w:themeFillTint="33"/>
            <w:vAlign w:val="center"/>
          </w:tcPr>
          <w:p w14:paraId="637E27BC" w14:textId="77777777" w:rsidR="003D3694" w:rsidRPr="00747E35" w:rsidRDefault="003D3694" w:rsidP="0096743A">
            <w:pPr>
              <w:pStyle w:val="Tabletext"/>
              <w:spacing w:before="0" w:after="0"/>
              <w:rPr>
                <w:rFonts w:cstheme="minorHAnsi"/>
              </w:rPr>
            </w:pPr>
            <w:r w:rsidRPr="00747E35">
              <w:rPr>
                <w:rFonts w:cstheme="minorHAnsi"/>
              </w:rPr>
              <w:t>Gravel bar</w:t>
            </w:r>
          </w:p>
        </w:tc>
        <w:tc>
          <w:tcPr>
            <w:tcW w:w="1863" w:type="dxa"/>
            <w:gridSpan w:val="3"/>
            <w:tcBorders>
              <w:top w:val="single" w:sz="4" w:space="0" w:color="auto"/>
              <w:bottom w:val="single" w:sz="4" w:space="0" w:color="auto"/>
            </w:tcBorders>
            <w:shd w:val="clear" w:color="auto" w:fill="DEEAF6" w:themeFill="accent1" w:themeFillTint="33"/>
            <w:vAlign w:val="center"/>
          </w:tcPr>
          <w:p w14:paraId="79C74C8E" w14:textId="77777777" w:rsidR="003D3694" w:rsidRPr="00747E35" w:rsidRDefault="003D3694" w:rsidP="0096743A">
            <w:pPr>
              <w:pStyle w:val="Tabletext"/>
              <w:spacing w:before="0" w:after="0"/>
              <w:rPr>
                <w:rFonts w:cstheme="minorHAnsi"/>
              </w:rPr>
            </w:pPr>
            <w:r w:rsidRPr="00747E35">
              <w:rPr>
                <w:rFonts w:cstheme="minorHAnsi"/>
              </w:rPr>
              <w:t>Pool</w:t>
            </w:r>
          </w:p>
        </w:tc>
      </w:tr>
      <w:tr w:rsidR="003D3694" w:rsidRPr="00747E35" w14:paraId="5D847733" w14:textId="77777777" w:rsidTr="00D062C2">
        <w:trPr>
          <w:tblHeader/>
        </w:trPr>
        <w:tc>
          <w:tcPr>
            <w:tcW w:w="2041" w:type="dxa"/>
            <w:tcBorders>
              <w:bottom w:val="single" w:sz="4" w:space="0" w:color="auto"/>
            </w:tcBorders>
            <w:shd w:val="clear" w:color="auto" w:fill="DEEAF6" w:themeFill="accent1" w:themeFillTint="33"/>
            <w:vAlign w:val="center"/>
          </w:tcPr>
          <w:p w14:paraId="03495C57" w14:textId="77777777" w:rsidR="003D3694" w:rsidRPr="00747E35" w:rsidRDefault="003D3694" w:rsidP="0096743A">
            <w:pPr>
              <w:pStyle w:val="Tabletext"/>
              <w:spacing w:before="0" w:after="0"/>
              <w:rPr>
                <w:rFonts w:cstheme="minorHAnsi"/>
              </w:rPr>
            </w:pPr>
            <w:r w:rsidRPr="00747E35">
              <w:rPr>
                <w:rFonts w:cstheme="minorHAnsi"/>
              </w:rPr>
              <w:t>Treatment</w:t>
            </w:r>
          </w:p>
        </w:tc>
        <w:tc>
          <w:tcPr>
            <w:tcW w:w="454" w:type="dxa"/>
            <w:tcBorders>
              <w:top w:val="single" w:sz="4" w:space="0" w:color="auto"/>
              <w:bottom w:val="single" w:sz="4" w:space="0" w:color="auto"/>
            </w:tcBorders>
            <w:shd w:val="clear" w:color="auto" w:fill="DEEAF6" w:themeFill="accent1" w:themeFillTint="33"/>
            <w:vAlign w:val="center"/>
          </w:tcPr>
          <w:p w14:paraId="30683393" w14:textId="77777777" w:rsidR="003D3694" w:rsidRPr="00747E35" w:rsidRDefault="003D3694" w:rsidP="0096743A">
            <w:pPr>
              <w:pStyle w:val="Tabletext"/>
              <w:spacing w:before="0" w:after="0"/>
              <w:rPr>
                <w:rFonts w:cstheme="minorHAnsi"/>
              </w:rPr>
            </w:pPr>
            <w:r w:rsidRPr="00747E35">
              <w:rPr>
                <w:rFonts w:cstheme="minorHAnsi"/>
              </w:rPr>
              <w:t>df</w:t>
            </w:r>
          </w:p>
        </w:tc>
        <w:tc>
          <w:tcPr>
            <w:tcW w:w="737" w:type="dxa"/>
            <w:tcBorders>
              <w:top w:val="single" w:sz="4" w:space="0" w:color="auto"/>
              <w:bottom w:val="single" w:sz="4" w:space="0" w:color="auto"/>
            </w:tcBorders>
            <w:shd w:val="clear" w:color="auto" w:fill="DEEAF6" w:themeFill="accent1" w:themeFillTint="33"/>
            <w:vAlign w:val="center"/>
          </w:tcPr>
          <w:p w14:paraId="288F4A33" w14:textId="77777777" w:rsidR="003D3694" w:rsidRPr="00747E35" w:rsidRDefault="003D3694" w:rsidP="0096743A">
            <w:pPr>
              <w:pStyle w:val="Tabletext"/>
              <w:spacing w:before="0" w:after="0"/>
              <w:rPr>
                <w:rFonts w:cstheme="minorHAnsi"/>
              </w:rPr>
            </w:pPr>
            <w:r w:rsidRPr="00747E35">
              <w:rPr>
                <w:rFonts w:cstheme="minorHAnsi"/>
              </w:rPr>
              <w:t>F</w:t>
            </w:r>
          </w:p>
        </w:tc>
        <w:tc>
          <w:tcPr>
            <w:tcW w:w="737" w:type="dxa"/>
            <w:tcBorders>
              <w:top w:val="single" w:sz="4" w:space="0" w:color="auto"/>
              <w:bottom w:val="single" w:sz="4" w:space="0" w:color="auto"/>
            </w:tcBorders>
            <w:shd w:val="clear" w:color="auto" w:fill="DEEAF6" w:themeFill="accent1" w:themeFillTint="33"/>
            <w:vAlign w:val="center"/>
          </w:tcPr>
          <w:p w14:paraId="1C1E4F0F" w14:textId="77777777" w:rsidR="003D3694" w:rsidRPr="00747E35" w:rsidRDefault="003D3694" w:rsidP="0096743A">
            <w:pPr>
              <w:pStyle w:val="Tabletext"/>
              <w:spacing w:before="0" w:after="0"/>
              <w:rPr>
                <w:rFonts w:cstheme="minorHAnsi"/>
              </w:rPr>
            </w:pPr>
            <w:r w:rsidRPr="00747E35">
              <w:rPr>
                <w:rFonts w:cstheme="minorHAnsi"/>
              </w:rPr>
              <w:t>P</w:t>
            </w:r>
          </w:p>
        </w:tc>
        <w:tc>
          <w:tcPr>
            <w:tcW w:w="454" w:type="dxa"/>
            <w:tcBorders>
              <w:top w:val="single" w:sz="4" w:space="0" w:color="auto"/>
              <w:bottom w:val="single" w:sz="4" w:space="0" w:color="auto"/>
            </w:tcBorders>
            <w:shd w:val="clear" w:color="auto" w:fill="DEEAF6" w:themeFill="accent1" w:themeFillTint="33"/>
            <w:vAlign w:val="center"/>
          </w:tcPr>
          <w:p w14:paraId="51CBC5B2" w14:textId="77777777" w:rsidR="003D3694" w:rsidRPr="00747E35" w:rsidRDefault="003D3694" w:rsidP="0096743A">
            <w:pPr>
              <w:pStyle w:val="Tabletext"/>
              <w:spacing w:before="0" w:after="0"/>
              <w:rPr>
                <w:rFonts w:cstheme="minorHAnsi"/>
              </w:rPr>
            </w:pPr>
            <w:r w:rsidRPr="00747E35">
              <w:rPr>
                <w:rFonts w:cstheme="minorHAnsi"/>
              </w:rPr>
              <w:t>df</w:t>
            </w:r>
          </w:p>
        </w:tc>
        <w:tc>
          <w:tcPr>
            <w:tcW w:w="672" w:type="dxa"/>
            <w:tcBorders>
              <w:top w:val="single" w:sz="4" w:space="0" w:color="auto"/>
              <w:bottom w:val="single" w:sz="4" w:space="0" w:color="auto"/>
            </w:tcBorders>
            <w:shd w:val="clear" w:color="auto" w:fill="DEEAF6" w:themeFill="accent1" w:themeFillTint="33"/>
            <w:vAlign w:val="center"/>
          </w:tcPr>
          <w:p w14:paraId="116C0FF0" w14:textId="77777777" w:rsidR="003D3694" w:rsidRPr="00747E35" w:rsidRDefault="003D3694" w:rsidP="0096743A">
            <w:pPr>
              <w:pStyle w:val="Tabletext"/>
              <w:spacing w:before="0" w:after="0"/>
              <w:rPr>
                <w:rFonts w:cstheme="minorHAnsi"/>
              </w:rPr>
            </w:pPr>
            <w:r w:rsidRPr="00747E35">
              <w:rPr>
                <w:rFonts w:cstheme="minorHAnsi"/>
              </w:rPr>
              <w:t>F</w:t>
            </w:r>
          </w:p>
        </w:tc>
        <w:tc>
          <w:tcPr>
            <w:tcW w:w="737" w:type="dxa"/>
            <w:tcBorders>
              <w:top w:val="single" w:sz="4" w:space="0" w:color="auto"/>
              <w:bottom w:val="single" w:sz="4" w:space="0" w:color="auto"/>
            </w:tcBorders>
            <w:shd w:val="clear" w:color="auto" w:fill="DEEAF6" w:themeFill="accent1" w:themeFillTint="33"/>
            <w:vAlign w:val="center"/>
          </w:tcPr>
          <w:p w14:paraId="79AC2E98" w14:textId="77777777" w:rsidR="003D3694" w:rsidRPr="00747E35" w:rsidRDefault="003D3694" w:rsidP="0096743A">
            <w:pPr>
              <w:pStyle w:val="Tabletext"/>
              <w:spacing w:before="0" w:after="0"/>
              <w:rPr>
                <w:rFonts w:cstheme="minorHAnsi"/>
              </w:rPr>
            </w:pPr>
            <w:r w:rsidRPr="00747E35">
              <w:rPr>
                <w:rFonts w:cstheme="minorHAnsi"/>
              </w:rPr>
              <w:t>P</w:t>
            </w:r>
          </w:p>
        </w:tc>
      </w:tr>
      <w:tr w:rsidR="003D3694" w:rsidRPr="00747E35" w14:paraId="02832587" w14:textId="77777777" w:rsidTr="0096743A">
        <w:tc>
          <w:tcPr>
            <w:tcW w:w="2041" w:type="dxa"/>
            <w:tcBorders>
              <w:top w:val="single" w:sz="4" w:space="0" w:color="auto"/>
            </w:tcBorders>
            <w:vAlign w:val="center"/>
          </w:tcPr>
          <w:p w14:paraId="3DDDD4A4" w14:textId="77777777" w:rsidR="003D3694" w:rsidRPr="00747E35" w:rsidRDefault="003D3694" w:rsidP="0096743A">
            <w:pPr>
              <w:pStyle w:val="Tabletext"/>
              <w:spacing w:before="0" w:after="0"/>
              <w:rPr>
                <w:rFonts w:cstheme="minorHAnsi"/>
              </w:rPr>
            </w:pPr>
            <w:r w:rsidRPr="00747E35">
              <w:rPr>
                <w:rFonts w:cstheme="minorHAnsi"/>
                <w:lang w:eastAsia="en-AU"/>
              </w:rPr>
              <w:t>Experiment</w:t>
            </w:r>
          </w:p>
        </w:tc>
        <w:tc>
          <w:tcPr>
            <w:tcW w:w="454" w:type="dxa"/>
            <w:tcBorders>
              <w:top w:val="single" w:sz="4" w:space="0" w:color="auto"/>
            </w:tcBorders>
            <w:vAlign w:val="center"/>
          </w:tcPr>
          <w:p w14:paraId="02336DC0" w14:textId="77777777" w:rsidR="003D3694" w:rsidRPr="00747E35" w:rsidRDefault="003D3694" w:rsidP="0096743A">
            <w:pPr>
              <w:pStyle w:val="Tabletext"/>
              <w:spacing w:before="0" w:after="0"/>
              <w:rPr>
                <w:rFonts w:cstheme="minorHAnsi"/>
              </w:rPr>
            </w:pPr>
            <w:r w:rsidRPr="00747E35">
              <w:rPr>
                <w:rFonts w:cstheme="minorHAnsi"/>
              </w:rPr>
              <w:t>3</w:t>
            </w:r>
          </w:p>
        </w:tc>
        <w:tc>
          <w:tcPr>
            <w:tcW w:w="737" w:type="dxa"/>
            <w:tcBorders>
              <w:top w:val="single" w:sz="4" w:space="0" w:color="auto"/>
            </w:tcBorders>
            <w:vAlign w:val="center"/>
          </w:tcPr>
          <w:p w14:paraId="0A060DE2" w14:textId="77777777" w:rsidR="003D3694" w:rsidRPr="00747E35" w:rsidRDefault="003D3694" w:rsidP="0096743A">
            <w:pPr>
              <w:pStyle w:val="Tabletext"/>
              <w:spacing w:before="0" w:after="0"/>
              <w:rPr>
                <w:rFonts w:cstheme="minorHAnsi"/>
              </w:rPr>
            </w:pPr>
            <w:r w:rsidRPr="00747E35">
              <w:rPr>
                <w:rFonts w:cstheme="minorHAnsi"/>
                <w:lang w:eastAsia="en-AU"/>
              </w:rPr>
              <w:t>0.54</w:t>
            </w:r>
          </w:p>
        </w:tc>
        <w:tc>
          <w:tcPr>
            <w:tcW w:w="737" w:type="dxa"/>
            <w:tcBorders>
              <w:top w:val="single" w:sz="4" w:space="0" w:color="auto"/>
            </w:tcBorders>
            <w:vAlign w:val="center"/>
          </w:tcPr>
          <w:p w14:paraId="254F543F" w14:textId="77777777" w:rsidR="003D3694" w:rsidRPr="00747E35" w:rsidRDefault="003D3694" w:rsidP="0096743A">
            <w:pPr>
              <w:pStyle w:val="Tabletext"/>
              <w:spacing w:before="0" w:after="0"/>
              <w:rPr>
                <w:rFonts w:cstheme="minorHAnsi"/>
              </w:rPr>
            </w:pPr>
            <w:r w:rsidRPr="00747E35">
              <w:rPr>
                <w:rFonts w:cstheme="minorHAnsi"/>
                <w:lang w:eastAsia="en-AU"/>
              </w:rPr>
              <w:t>0.655</w:t>
            </w:r>
          </w:p>
        </w:tc>
        <w:tc>
          <w:tcPr>
            <w:tcW w:w="454" w:type="dxa"/>
            <w:tcBorders>
              <w:top w:val="single" w:sz="4" w:space="0" w:color="auto"/>
            </w:tcBorders>
            <w:vAlign w:val="center"/>
          </w:tcPr>
          <w:p w14:paraId="6F5FC7BF" w14:textId="77777777" w:rsidR="003D3694" w:rsidRPr="00747E35" w:rsidRDefault="003D3694" w:rsidP="0096743A">
            <w:pPr>
              <w:pStyle w:val="Tabletext"/>
              <w:spacing w:before="0" w:after="0"/>
              <w:rPr>
                <w:rFonts w:cstheme="minorHAnsi"/>
              </w:rPr>
            </w:pPr>
            <w:r w:rsidRPr="00747E35">
              <w:rPr>
                <w:rFonts w:cstheme="minorHAnsi"/>
              </w:rPr>
              <w:t>3</w:t>
            </w:r>
          </w:p>
        </w:tc>
        <w:tc>
          <w:tcPr>
            <w:tcW w:w="672" w:type="dxa"/>
            <w:tcBorders>
              <w:top w:val="single" w:sz="4" w:space="0" w:color="auto"/>
            </w:tcBorders>
            <w:vAlign w:val="center"/>
          </w:tcPr>
          <w:p w14:paraId="487ED74B" w14:textId="77777777" w:rsidR="003D3694" w:rsidRPr="00747E35" w:rsidRDefault="003D3694" w:rsidP="0096743A">
            <w:pPr>
              <w:pStyle w:val="Tabletext"/>
              <w:spacing w:before="0" w:after="0"/>
              <w:rPr>
                <w:rFonts w:cstheme="minorHAnsi"/>
              </w:rPr>
            </w:pPr>
            <w:r w:rsidRPr="00747E35">
              <w:rPr>
                <w:rFonts w:cstheme="minorHAnsi"/>
                <w:lang w:eastAsia="en-AU"/>
              </w:rPr>
              <w:t>5.66</w:t>
            </w:r>
          </w:p>
        </w:tc>
        <w:tc>
          <w:tcPr>
            <w:tcW w:w="737" w:type="dxa"/>
            <w:tcBorders>
              <w:top w:val="single" w:sz="4" w:space="0" w:color="auto"/>
            </w:tcBorders>
            <w:vAlign w:val="center"/>
          </w:tcPr>
          <w:p w14:paraId="451645DE" w14:textId="77777777" w:rsidR="003D3694" w:rsidRPr="00747E35" w:rsidRDefault="003D3694" w:rsidP="0096743A">
            <w:pPr>
              <w:pStyle w:val="Tabletext"/>
              <w:spacing w:before="0" w:after="0"/>
              <w:rPr>
                <w:rFonts w:cstheme="minorHAnsi"/>
              </w:rPr>
            </w:pPr>
            <w:r w:rsidRPr="00747E35">
              <w:rPr>
                <w:rFonts w:cstheme="minorHAnsi"/>
              </w:rPr>
              <w:t>0.003</w:t>
            </w:r>
          </w:p>
        </w:tc>
      </w:tr>
      <w:tr w:rsidR="003D3694" w:rsidRPr="00747E35" w14:paraId="391DA000" w14:textId="77777777" w:rsidTr="0096743A">
        <w:tc>
          <w:tcPr>
            <w:tcW w:w="2041" w:type="dxa"/>
            <w:vAlign w:val="center"/>
          </w:tcPr>
          <w:p w14:paraId="7C435147" w14:textId="77777777" w:rsidR="003D3694" w:rsidRPr="00747E35" w:rsidRDefault="003D3694" w:rsidP="0096743A">
            <w:pPr>
              <w:pStyle w:val="Tabletext"/>
              <w:spacing w:before="0" w:after="0"/>
              <w:rPr>
                <w:rFonts w:cstheme="minorHAnsi"/>
              </w:rPr>
            </w:pPr>
            <w:r w:rsidRPr="00747E35">
              <w:rPr>
                <w:rFonts w:cstheme="minorHAnsi"/>
                <w:lang w:eastAsia="en-AU"/>
              </w:rPr>
              <w:t>Depth</w:t>
            </w:r>
          </w:p>
        </w:tc>
        <w:tc>
          <w:tcPr>
            <w:tcW w:w="454" w:type="dxa"/>
            <w:vAlign w:val="center"/>
          </w:tcPr>
          <w:p w14:paraId="3D921B90" w14:textId="77777777" w:rsidR="003D3694" w:rsidRPr="00747E35" w:rsidRDefault="003D3694" w:rsidP="0096743A">
            <w:pPr>
              <w:pStyle w:val="Tabletext"/>
              <w:spacing w:before="0" w:after="0"/>
              <w:rPr>
                <w:rFonts w:cstheme="minorHAnsi"/>
              </w:rPr>
            </w:pPr>
            <w:r w:rsidRPr="00747E35">
              <w:rPr>
                <w:rFonts w:cstheme="minorHAnsi"/>
              </w:rPr>
              <w:t>1</w:t>
            </w:r>
          </w:p>
        </w:tc>
        <w:tc>
          <w:tcPr>
            <w:tcW w:w="737" w:type="dxa"/>
            <w:vAlign w:val="center"/>
          </w:tcPr>
          <w:p w14:paraId="29383D27" w14:textId="77777777" w:rsidR="003D3694" w:rsidRPr="00747E35" w:rsidRDefault="003D3694" w:rsidP="0096743A">
            <w:pPr>
              <w:pStyle w:val="Tabletext"/>
              <w:spacing w:before="0" w:after="0"/>
              <w:rPr>
                <w:rFonts w:cstheme="minorHAnsi"/>
              </w:rPr>
            </w:pPr>
            <w:r w:rsidRPr="00747E35">
              <w:rPr>
                <w:rFonts w:cstheme="minorHAnsi"/>
                <w:lang w:eastAsia="en-AU"/>
              </w:rPr>
              <w:t>75.34</w:t>
            </w:r>
          </w:p>
        </w:tc>
        <w:tc>
          <w:tcPr>
            <w:tcW w:w="737" w:type="dxa"/>
            <w:vAlign w:val="center"/>
          </w:tcPr>
          <w:p w14:paraId="6D8ED2D6" w14:textId="77777777" w:rsidR="003D3694" w:rsidRPr="00747E35" w:rsidRDefault="003D3694" w:rsidP="0096743A">
            <w:pPr>
              <w:pStyle w:val="Tabletext"/>
              <w:spacing w:before="0" w:after="0"/>
              <w:rPr>
                <w:rFonts w:cstheme="minorHAnsi"/>
              </w:rPr>
            </w:pPr>
            <w:r w:rsidRPr="00747E35">
              <w:rPr>
                <w:rFonts w:cstheme="minorHAnsi"/>
              </w:rPr>
              <w:t>0.000</w:t>
            </w:r>
          </w:p>
        </w:tc>
        <w:tc>
          <w:tcPr>
            <w:tcW w:w="454" w:type="dxa"/>
            <w:vAlign w:val="center"/>
          </w:tcPr>
          <w:p w14:paraId="1B3B5B7F" w14:textId="77777777" w:rsidR="003D3694" w:rsidRPr="00747E35" w:rsidRDefault="003D3694" w:rsidP="0096743A">
            <w:pPr>
              <w:pStyle w:val="Tabletext"/>
              <w:spacing w:before="0" w:after="0"/>
              <w:rPr>
                <w:rFonts w:cstheme="minorHAnsi"/>
              </w:rPr>
            </w:pPr>
            <w:r w:rsidRPr="00747E35">
              <w:rPr>
                <w:rFonts w:cstheme="minorHAnsi"/>
              </w:rPr>
              <w:t>1</w:t>
            </w:r>
          </w:p>
        </w:tc>
        <w:tc>
          <w:tcPr>
            <w:tcW w:w="672" w:type="dxa"/>
            <w:vAlign w:val="center"/>
          </w:tcPr>
          <w:p w14:paraId="4F31E570" w14:textId="77777777" w:rsidR="003D3694" w:rsidRPr="00747E35" w:rsidRDefault="003D3694" w:rsidP="0096743A">
            <w:pPr>
              <w:pStyle w:val="Tabletext"/>
              <w:spacing w:before="0" w:after="0"/>
              <w:rPr>
                <w:rFonts w:cstheme="minorHAnsi"/>
              </w:rPr>
            </w:pPr>
            <w:r w:rsidRPr="00747E35">
              <w:rPr>
                <w:rFonts w:cstheme="minorHAnsi"/>
                <w:lang w:eastAsia="en-AU"/>
              </w:rPr>
              <w:t>25.09</w:t>
            </w:r>
          </w:p>
        </w:tc>
        <w:tc>
          <w:tcPr>
            <w:tcW w:w="737" w:type="dxa"/>
            <w:vAlign w:val="center"/>
          </w:tcPr>
          <w:p w14:paraId="483BCC68" w14:textId="77777777" w:rsidR="003D3694" w:rsidRPr="00747E35" w:rsidRDefault="003D3694" w:rsidP="0096743A">
            <w:pPr>
              <w:pStyle w:val="Tabletext"/>
              <w:spacing w:before="0" w:after="0"/>
              <w:rPr>
                <w:rFonts w:cstheme="minorHAnsi"/>
              </w:rPr>
            </w:pPr>
            <w:r w:rsidRPr="00747E35">
              <w:rPr>
                <w:rFonts w:cstheme="minorHAnsi"/>
              </w:rPr>
              <w:t>0.000</w:t>
            </w:r>
          </w:p>
        </w:tc>
      </w:tr>
      <w:tr w:rsidR="003D3694" w:rsidRPr="00747E35" w14:paraId="7568E46D" w14:textId="77777777" w:rsidTr="0096743A">
        <w:tc>
          <w:tcPr>
            <w:tcW w:w="2041" w:type="dxa"/>
            <w:vAlign w:val="center"/>
          </w:tcPr>
          <w:p w14:paraId="40900142" w14:textId="77777777" w:rsidR="003D3694" w:rsidRPr="00747E35" w:rsidRDefault="003D3694" w:rsidP="0096743A">
            <w:pPr>
              <w:pStyle w:val="Tabletext"/>
              <w:spacing w:before="0" w:after="0"/>
              <w:rPr>
                <w:rFonts w:cstheme="minorHAnsi"/>
              </w:rPr>
            </w:pPr>
            <w:r w:rsidRPr="00747E35">
              <w:rPr>
                <w:rFonts w:cstheme="minorHAnsi"/>
                <w:lang w:eastAsia="en-AU"/>
              </w:rPr>
              <w:t>Experiment X Depth</w:t>
            </w:r>
          </w:p>
        </w:tc>
        <w:tc>
          <w:tcPr>
            <w:tcW w:w="454" w:type="dxa"/>
            <w:vAlign w:val="center"/>
          </w:tcPr>
          <w:p w14:paraId="6F8D11F9" w14:textId="77777777" w:rsidR="003D3694" w:rsidRPr="00747E35" w:rsidRDefault="003D3694" w:rsidP="0096743A">
            <w:pPr>
              <w:pStyle w:val="Tabletext"/>
              <w:spacing w:before="0" w:after="0"/>
              <w:rPr>
                <w:rFonts w:cstheme="minorHAnsi"/>
              </w:rPr>
            </w:pPr>
            <w:r w:rsidRPr="00747E35">
              <w:rPr>
                <w:rFonts w:cstheme="minorHAnsi"/>
              </w:rPr>
              <w:t>3</w:t>
            </w:r>
          </w:p>
        </w:tc>
        <w:tc>
          <w:tcPr>
            <w:tcW w:w="737" w:type="dxa"/>
            <w:vAlign w:val="center"/>
          </w:tcPr>
          <w:p w14:paraId="11F764DC" w14:textId="77777777" w:rsidR="003D3694" w:rsidRPr="00747E35" w:rsidRDefault="003D3694" w:rsidP="0096743A">
            <w:pPr>
              <w:pStyle w:val="Tabletext"/>
              <w:spacing w:before="0" w:after="0"/>
              <w:rPr>
                <w:rFonts w:cstheme="minorHAnsi"/>
              </w:rPr>
            </w:pPr>
            <w:r w:rsidRPr="00747E35">
              <w:rPr>
                <w:rFonts w:cstheme="minorHAnsi"/>
                <w:lang w:eastAsia="en-AU"/>
              </w:rPr>
              <w:t>1.03</w:t>
            </w:r>
          </w:p>
        </w:tc>
        <w:tc>
          <w:tcPr>
            <w:tcW w:w="737" w:type="dxa"/>
            <w:vAlign w:val="center"/>
          </w:tcPr>
          <w:p w14:paraId="5AE518DF" w14:textId="77777777" w:rsidR="003D3694" w:rsidRPr="00747E35" w:rsidRDefault="003D3694" w:rsidP="0096743A">
            <w:pPr>
              <w:pStyle w:val="Tabletext"/>
              <w:spacing w:before="0" w:after="0"/>
              <w:rPr>
                <w:rFonts w:cstheme="minorHAnsi"/>
              </w:rPr>
            </w:pPr>
            <w:r w:rsidRPr="00747E35">
              <w:rPr>
                <w:rFonts w:cstheme="minorHAnsi"/>
                <w:lang w:eastAsia="en-AU"/>
              </w:rPr>
              <w:t>0.395</w:t>
            </w:r>
          </w:p>
        </w:tc>
        <w:tc>
          <w:tcPr>
            <w:tcW w:w="454" w:type="dxa"/>
            <w:vAlign w:val="center"/>
          </w:tcPr>
          <w:p w14:paraId="21F811C2" w14:textId="77777777" w:rsidR="003D3694" w:rsidRPr="00747E35" w:rsidRDefault="003D3694" w:rsidP="0096743A">
            <w:pPr>
              <w:pStyle w:val="Tabletext"/>
              <w:spacing w:before="0" w:after="0"/>
              <w:rPr>
                <w:rFonts w:cstheme="minorHAnsi"/>
              </w:rPr>
            </w:pPr>
            <w:r w:rsidRPr="00747E35">
              <w:rPr>
                <w:rFonts w:cstheme="minorHAnsi"/>
              </w:rPr>
              <w:t>3</w:t>
            </w:r>
          </w:p>
        </w:tc>
        <w:tc>
          <w:tcPr>
            <w:tcW w:w="672" w:type="dxa"/>
            <w:vAlign w:val="center"/>
          </w:tcPr>
          <w:p w14:paraId="44CE04C9" w14:textId="77777777" w:rsidR="003D3694" w:rsidRPr="00747E35" w:rsidRDefault="003D3694" w:rsidP="0096743A">
            <w:pPr>
              <w:pStyle w:val="Tabletext"/>
              <w:spacing w:before="0" w:after="0"/>
              <w:rPr>
                <w:rFonts w:cstheme="minorHAnsi"/>
              </w:rPr>
            </w:pPr>
            <w:r w:rsidRPr="00747E35">
              <w:rPr>
                <w:rFonts w:cstheme="minorHAnsi"/>
              </w:rPr>
              <w:t>1.03</w:t>
            </w:r>
          </w:p>
        </w:tc>
        <w:tc>
          <w:tcPr>
            <w:tcW w:w="737" w:type="dxa"/>
            <w:vAlign w:val="center"/>
          </w:tcPr>
          <w:p w14:paraId="2E9A6D89" w14:textId="77777777" w:rsidR="003D3694" w:rsidRPr="00747E35" w:rsidRDefault="003D3694" w:rsidP="0096743A">
            <w:pPr>
              <w:pStyle w:val="Tabletext"/>
              <w:spacing w:before="0" w:after="0"/>
              <w:rPr>
                <w:rFonts w:cstheme="minorHAnsi"/>
              </w:rPr>
            </w:pPr>
            <w:r w:rsidRPr="00747E35">
              <w:rPr>
                <w:rFonts w:cstheme="minorHAnsi"/>
              </w:rPr>
              <w:t>0.394</w:t>
            </w:r>
          </w:p>
        </w:tc>
      </w:tr>
      <w:tr w:rsidR="003D3694" w:rsidRPr="00747E35" w14:paraId="277FCCB0" w14:textId="77777777" w:rsidTr="0096743A">
        <w:tc>
          <w:tcPr>
            <w:tcW w:w="2041" w:type="dxa"/>
            <w:tcBorders>
              <w:bottom w:val="single" w:sz="4" w:space="0" w:color="auto"/>
            </w:tcBorders>
            <w:vAlign w:val="center"/>
          </w:tcPr>
          <w:p w14:paraId="54102AA0" w14:textId="77777777" w:rsidR="003D3694" w:rsidRPr="00747E35" w:rsidRDefault="003D3694" w:rsidP="0096743A">
            <w:pPr>
              <w:pStyle w:val="Tabletext"/>
              <w:spacing w:before="0" w:after="0"/>
              <w:rPr>
                <w:rFonts w:cstheme="minorHAnsi"/>
              </w:rPr>
            </w:pPr>
            <w:r w:rsidRPr="00747E35">
              <w:rPr>
                <w:rFonts w:cstheme="minorHAnsi"/>
                <w:lang w:eastAsia="en-AU"/>
              </w:rPr>
              <w:t>Residuals</w:t>
            </w:r>
          </w:p>
        </w:tc>
        <w:tc>
          <w:tcPr>
            <w:tcW w:w="454" w:type="dxa"/>
            <w:tcBorders>
              <w:bottom w:val="single" w:sz="4" w:space="0" w:color="auto"/>
            </w:tcBorders>
            <w:vAlign w:val="center"/>
          </w:tcPr>
          <w:p w14:paraId="0B400DE0" w14:textId="77777777" w:rsidR="003D3694" w:rsidRPr="00747E35" w:rsidRDefault="003D3694" w:rsidP="0096743A">
            <w:pPr>
              <w:pStyle w:val="Tabletext"/>
              <w:spacing w:before="0" w:after="0"/>
              <w:rPr>
                <w:rFonts w:cstheme="minorHAnsi"/>
              </w:rPr>
            </w:pPr>
            <w:r w:rsidRPr="00747E35">
              <w:rPr>
                <w:rFonts w:cstheme="minorHAnsi"/>
              </w:rPr>
              <w:t>32</w:t>
            </w:r>
          </w:p>
        </w:tc>
        <w:tc>
          <w:tcPr>
            <w:tcW w:w="737" w:type="dxa"/>
            <w:tcBorders>
              <w:bottom w:val="single" w:sz="4" w:space="0" w:color="auto"/>
            </w:tcBorders>
            <w:vAlign w:val="center"/>
          </w:tcPr>
          <w:p w14:paraId="3361045F" w14:textId="77777777" w:rsidR="003D3694" w:rsidRPr="00747E35" w:rsidRDefault="003D3694" w:rsidP="0096743A">
            <w:pPr>
              <w:pStyle w:val="Tabletext"/>
              <w:spacing w:before="0" w:after="0"/>
              <w:rPr>
                <w:rFonts w:cstheme="minorHAnsi"/>
              </w:rPr>
            </w:pPr>
          </w:p>
        </w:tc>
        <w:tc>
          <w:tcPr>
            <w:tcW w:w="737" w:type="dxa"/>
            <w:tcBorders>
              <w:bottom w:val="single" w:sz="4" w:space="0" w:color="auto"/>
            </w:tcBorders>
            <w:vAlign w:val="center"/>
          </w:tcPr>
          <w:p w14:paraId="2BF17A9E" w14:textId="77777777" w:rsidR="003D3694" w:rsidRPr="00747E35" w:rsidRDefault="003D3694" w:rsidP="0096743A">
            <w:pPr>
              <w:pStyle w:val="Tabletext"/>
              <w:spacing w:before="0" w:after="0"/>
              <w:rPr>
                <w:rFonts w:cstheme="minorHAnsi"/>
              </w:rPr>
            </w:pPr>
          </w:p>
        </w:tc>
        <w:tc>
          <w:tcPr>
            <w:tcW w:w="454" w:type="dxa"/>
            <w:tcBorders>
              <w:bottom w:val="single" w:sz="4" w:space="0" w:color="auto"/>
            </w:tcBorders>
            <w:vAlign w:val="center"/>
          </w:tcPr>
          <w:p w14:paraId="69F9CB86" w14:textId="77777777" w:rsidR="003D3694" w:rsidRPr="00747E35" w:rsidRDefault="003D3694" w:rsidP="0096743A">
            <w:pPr>
              <w:pStyle w:val="Tabletext"/>
              <w:spacing w:before="0" w:after="0"/>
              <w:rPr>
                <w:rFonts w:cstheme="minorHAnsi"/>
              </w:rPr>
            </w:pPr>
            <w:r w:rsidRPr="00747E35">
              <w:rPr>
                <w:rFonts w:cstheme="minorHAnsi"/>
              </w:rPr>
              <w:t>32</w:t>
            </w:r>
          </w:p>
        </w:tc>
        <w:tc>
          <w:tcPr>
            <w:tcW w:w="672" w:type="dxa"/>
            <w:tcBorders>
              <w:bottom w:val="single" w:sz="4" w:space="0" w:color="auto"/>
            </w:tcBorders>
            <w:vAlign w:val="center"/>
          </w:tcPr>
          <w:p w14:paraId="2F01C280" w14:textId="77777777" w:rsidR="003D3694" w:rsidRPr="00747E35" w:rsidRDefault="003D3694" w:rsidP="0096743A">
            <w:pPr>
              <w:pStyle w:val="Tabletext"/>
              <w:spacing w:before="0" w:after="0"/>
              <w:rPr>
                <w:rFonts w:cstheme="minorHAnsi"/>
              </w:rPr>
            </w:pPr>
          </w:p>
        </w:tc>
        <w:tc>
          <w:tcPr>
            <w:tcW w:w="737" w:type="dxa"/>
            <w:tcBorders>
              <w:bottom w:val="single" w:sz="4" w:space="0" w:color="auto"/>
            </w:tcBorders>
            <w:vAlign w:val="center"/>
          </w:tcPr>
          <w:p w14:paraId="718F74C6" w14:textId="77777777" w:rsidR="003D3694" w:rsidRPr="00747E35" w:rsidRDefault="003D3694" w:rsidP="0096743A">
            <w:pPr>
              <w:pStyle w:val="Tabletext"/>
              <w:spacing w:before="0" w:after="0"/>
              <w:rPr>
                <w:rFonts w:cstheme="minorHAnsi"/>
              </w:rPr>
            </w:pPr>
          </w:p>
        </w:tc>
      </w:tr>
    </w:tbl>
    <w:p w14:paraId="6CDC400B" w14:textId="77777777" w:rsidR="003D3694" w:rsidRPr="00747E35" w:rsidRDefault="003D3694" w:rsidP="003D3694">
      <w:pPr>
        <w:rPr>
          <w:rFonts w:asciiTheme="minorHAnsi" w:hAnsiTheme="minorHAnsi" w:cstheme="minorHAnsi"/>
          <w:lang w:eastAsia="en-AU"/>
        </w:rPr>
      </w:pPr>
    </w:p>
    <w:p w14:paraId="5891EA78" w14:textId="77777777" w:rsidR="003D3694" w:rsidRPr="00747E35" w:rsidRDefault="003D3694" w:rsidP="00C80858">
      <w:pPr>
        <w:spacing w:after="0"/>
        <w:rPr>
          <w:rFonts w:asciiTheme="minorHAnsi" w:hAnsiTheme="minorHAnsi" w:cstheme="minorHAnsi"/>
          <w:lang w:eastAsia="en-AU"/>
        </w:rPr>
      </w:pPr>
      <w:r w:rsidRPr="00747E35">
        <w:rPr>
          <w:rFonts w:asciiTheme="minorHAnsi" w:hAnsiTheme="minorHAnsi" w:cstheme="minorHAnsi"/>
          <w:lang w:eastAsia="en-AU"/>
        </w:rPr>
        <w:t>Cotton strip assays: Riffle habitat</w:t>
      </w:r>
      <w:r w:rsidRPr="00747E35">
        <w:rPr>
          <w:rFonts w:asciiTheme="minorHAnsi" w:hAnsiTheme="minorHAnsi" w:cstheme="minorHAnsi"/>
        </w:rPr>
        <w:t xml:space="preserve"> </w:t>
      </w:r>
      <w:r w:rsidRPr="00747E35">
        <w:rPr>
          <w:rFonts w:asciiTheme="minorHAnsi" w:hAnsiTheme="minorHAnsi" w:cstheme="minorHAnsi"/>
          <w:lang w:eastAsia="en-AU"/>
        </w:rPr>
        <w:t>(LMM)</w:t>
      </w:r>
    </w:p>
    <w:p w14:paraId="70DCDCD3"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 xml:space="preserve">Linear mixed model fit by REML </w:t>
      </w:r>
    </w:p>
    <w:p w14:paraId="641085AF"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t-tests use  Satterthwaite approximations to degrees of freedom ['lmerMod']</w:t>
      </w:r>
    </w:p>
    <w:p w14:paraId="68E56E4D"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REML criterion at convergence: 71.5</w:t>
      </w:r>
    </w:p>
    <w:p w14:paraId="44C5771C" w14:textId="77777777" w:rsidR="003D3694" w:rsidRPr="00747E35" w:rsidRDefault="003D3694" w:rsidP="00C80858">
      <w:pPr>
        <w:spacing w:after="0"/>
        <w:rPr>
          <w:rFonts w:asciiTheme="minorHAnsi" w:hAnsiTheme="minorHAnsi" w:cstheme="minorHAnsi"/>
          <w:sz w:val="20"/>
          <w:szCs w:val="20"/>
          <w:lang w:eastAsia="en-AU"/>
        </w:rPr>
      </w:pPr>
    </w:p>
    <w:p w14:paraId="66773FAA"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Random effects:</w:t>
      </w:r>
    </w:p>
    <w:p w14:paraId="07D25C70"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 xml:space="preserve"> Groups   Name        Variance Std.Dev.</w:t>
      </w:r>
    </w:p>
    <w:p w14:paraId="2C30FBF2"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 xml:space="preserve"> Site     (Intercept) 0.004123 0.06421 </w:t>
      </w:r>
    </w:p>
    <w:p w14:paraId="6E3E42C9"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 xml:space="preserve"> Residual             0.072593 0.26943 </w:t>
      </w:r>
    </w:p>
    <w:p w14:paraId="65950AFC"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Number of obs: 199, groups:  Site, 5</w:t>
      </w:r>
    </w:p>
    <w:p w14:paraId="21D34A07" w14:textId="77777777" w:rsidR="003D3694" w:rsidRPr="00747E35" w:rsidRDefault="003D3694" w:rsidP="00C80858">
      <w:pPr>
        <w:spacing w:after="0"/>
        <w:rPr>
          <w:rFonts w:asciiTheme="minorHAnsi" w:hAnsiTheme="minorHAnsi" w:cstheme="minorHAnsi"/>
          <w:sz w:val="20"/>
          <w:szCs w:val="20"/>
          <w:lang w:eastAsia="en-AU"/>
        </w:rPr>
      </w:pPr>
    </w:p>
    <w:p w14:paraId="41CBB846"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Fixed effects:</w:t>
      </w:r>
    </w:p>
    <w:p w14:paraId="3F692514"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 xml:space="preserve">                                Estimate Std. Error        df t value Pr(&gt;|t|)    </w:t>
      </w:r>
    </w:p>
    <w:p w14:paraId="3FC04D54"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(Intercept)                      0.49754    0.06106  35.73000   8.148 1.15e-09 ***</w:t>
      </w:r>
    </w:p>
    <w:p w14:paraId="4F6359EB"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 xml:space="preserve">ExperimentTwo                    0.20951    0.07621 186.99000   2.749  0.00656 ** </w:t>
      </w:r>
    </w:p>
    <w:p w14:paraId="317D745F"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 xml:space="preserve">ExperimentThree                  0.11955    0.07621 186.99000   1.569  0.11840    </w:t>
      </w:r>
    </w:p>
    <w:p w14:paraId="34E63ED9"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ExperimentFour                   0.35903    0.07621 186.99000   4.711 4.79e-06 ***</w:t>
      </w:r>
    </w:p>
    <w:p w14:paraId="0005D89D"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 xml:space="preserve">DepthHyporheic                  -0.18655    0.07621 186.99000  -2.448  0.01529 *  </w:t>
      </w:r>
    </w:p>
    <w:p w14:paraId="7B53A0F9"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 xml:space="preserve">ExperimentTwo:DepthHyporheic    -0.04497    0.10834 187.02000  -0.415  0.67854    </w:t>
      </w:r>
    </w:p>
    <w:p w14:paraId="52537B86"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 xml:space="preserve">ExperimentThree:DepthHyporheic   0.02942    0.10777 186.99000   0.273  0.78517    </w:t>
      </w:r>
    </w:p>
    <w:p w14:paraId="67B6B040"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 xml:space="preserve">ExperimentFour:DepthHyporheic   -0.32816    0.10777 186.99000  -3.045  0.00266 ** </w:t>
      </w:r>
    </w:p>
    <w:p w14:paraId="669468A8"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w:t>
      </w:r>
    </w:p>
    <w:p w14:paraId="667FD3F7" w14:textId="77777777" w:rsidR="003D3694" w:rsidRPr="00747E35" w:rsidRDefault="003D3694" w:rsidP="00C80858">
      <w:pPr>
        <w:spacing w:after="0"/>
        <w:rPr>
          <w:rFonts w:asciiTheme="minorHAnsi" w:hAnsiTheme="minorHAnsi" w:cstheme="minorHAnsi"/>
          <w:sz w:val="20"/>
          <w:szCs w:val="20"/>
          <w:lang w:eastAsia="en-AU"/>
        </w:rPr>
      </w:pPr>
      <w:r w:rsidRPr="00747E35">
        <w:rPr>
          <w:rFonts w:asciiTheme="minorHAnsi" w:hAnsiTheme="minorHAnsi" w:cstheme="minorHAnsi"/>
          <w:sz w:val="20"/>
          <w:szCs w:val="20"/>
          <w:lang w:eastAsia="en-AU"/>
        </w:rPr>
        <w:t>Signif. codes:  0 ‘***’ 0.001 ‘**’ 0.01 ‘*’ 0.05 ‘.’ 0.1 ‘ ’ 1</w:t>
      </w:r>
    </w:p>
    <w:p w14:paraId="50F389E4" w14:textId="77777777" w:rsidR="003D3694" w:rsidRPr="00747E35" w:rsidRDefault="003D3694" w:rsidP="003D3694">
      <w:pPr>
        <w:rPr>
          <w:rFonts w:asciiTheme="minorHAnsi" w:hAnsiTheme="minorHAnsi" w:cstheme="minorHAnsi"/>
        </w:rPr>
      </w:pPr>
    </w:p>
    <w:p w14:paraId="29FDBD88"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Leaf litter incubations: Pool and gravel bar habitat (Two-way ANOVA)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1"/>
        <w:gridCol w:w="454"/>
        <w:gridCol w:w="737"/>
        <w:gridCol w:w="737"/>
        <w:gridCol w:w="454"/>
        <w:gridCol w:w="672"/>
        <w:gridCol w:w="737"/>
      </w:tblGrid>
      <w:tr w:rsidR="003D3694" w:rsidRPr="00747E35" w14:paraId="65C17686" w14:textId="77777777" w:rsidTr="00D062C2">
        <w:trPr>
          <w:tblHeader/>
        </w:trPr>
        <w:tc>
          <w:tcPr>
            <w:tcW w:w="2041" w:type="dxa"/>
            <w:tcBorders>
              <w:top w:val="single" w:sz="4" w:space="0" w:color="auto"/>
            </w:tcBorders>
            <w:shd w:val="clear" w:color="auto" w:fill="DEEAF6" w:themeFill="accent1" w:themeFillTint="33"/>
            <w:vAlign w:val="center"/>
          </w:tcPr>
          <w:p w14:paraId="065CCBBF" w14:textId="77777777" w:rsidR="003D3694" w:rsidRPr="00747E35" w:rsidRDefault="003D3694" w:rsidP="0096743A">
            <w:pPr>
              <w:pStyle w:val="TableHead"/>
              <w:spacing w:before="0" w:after="0"/>
              <w:rPr>
                <w:rFonts w:asciiTheme="minorHAnsi" w:hAnsiTheme="minorHAnsi" w:cstheme="minorHAnsi"/>
              </w:rPr>
            </w:pPr>
          </w:p>
        </w:tc>
        <w:tc>
          <w:tcPr>
            <w:tcW w:w="1928" w:type="dxa"/>
            <w:gridSpan w:val="3"/>
            <w:tcBorders>
              <w:top w:val="single" w:sz="4" w:space="0" w:color="auto"/>
              <w:bottom w:val="single" w:sz="4" w:space="0" w:color="auto"/>
            </w:tcBorders>
            <w:shd w:val="clear" w:color="auto" w:fill="DEEAF6" w:themeFill="accent1" w:themeFillTint="33"/>
            <w:vAlign w:val="center"/>
          </w:tcPr>
          <w:p w14:paraId="310120D9"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Gravel bar</w:t>
            </w:r>
          </w:p>
        </w:tc>
        <w:tc>
          <w:tcPr>
            <w:tcW w:w="1863" w:type="dxa"/>
            <w:gridSpan w:val="3"/>
            <w:tcBorders>
              <w:top w:val="single" w:sz="4" w:space="0" w:color="auto"/>
              <w:bottom w:val="single" w:sz="4" w:space="0" w:color="auto"/>
            </w:tcBorders>
            <w:shd w:val="clear" w:color="auto" w:fill="DEEAF6" w:themeFill="accent1" w:themeFillTint="33"/>
            <w:vAlign w:val="center"/>
          </w:tcPr>
          <w:p w14:paraId="13560318"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Pool</w:t>
            </w:r>
          </w:p>
        </w:tc>
      </w:tr>
      <w:tr w:rsidR="003D3694" w:rsidRPr="00747E35" w14:paraId="305DEEB6" w14:textId="77777777" w:rsidTr="00D062C2">
        <w:trPr>
          <w:tblHeader/>
        </w:trPr>
        <w:tc>
          <w:tcPr>
            <w:tcW w:w="2041" w:type="dxa"/>
            <w:tcBorders>
              <w:bottom w:val="single" w:sz="4" w:space="0" w:color="auto"/>
            </w:tcBorders>
            <w:shd w:val="clear" w:color="auto" w:fill="DEEAF6" w:themeFill="accent1" w:themeFillTint="33"/>
            <w:vAlign w:val="center"/>
          </w:tcPr>
          <w:p w14:paraId="49ECE578"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Treatment</w:t>
            </w:r>
          </w:p>
        </w:tc>
        <w:tc>
          <w:tcPr>
            <w:tcW w:w="454" w:type="dxa"/>
            <w:tcBorders>
              <w:top w:val="single" w:sz="4" w:space="0" w:color="auto"/>
              <w:bottom w:val="single" w:sz="4" w:space="0" w:color="auto"/>
            </w:tcBorders>
            <w:shd w:val="clear" w:color="auto" w:fill="DEEAF6" w:themeFill="accent1" w:themeFillTint="33"/>
            <w:vAlign w:val="center"/>
          </w:tcPr>
          <w:p w14:paraId="202C10ED"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df</w:t>
            </w:r>
          </w:p>
        </w:tc>
        <w:tc>
          <w:tcPr>
            <w:tcW w:w="737" w:type="dxa"/>
            <w:tcBorders>
              <w:top w:val="single" w:sz="4" w:space="0" w:color="auto"/>
              <w:bottom w:val="single" w:sz="4" w:space="0" w:color="auto"/>
            </w:tcBorders>
            <w:shd w:val="clear" w:color="auto" w:fill="DEEAF6" w:themeFill="accent1" w:themeFillTint="33"/>
            <w:vAlign w:val="center"/>
          </w:tcPr>
          <w:p w14:paraId="55920FE4"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F</w:t>
            </w:r>
          </w:p>
        </w:tc>
        <w:tc>
          <w:tcPr>
            <w:tcW w:w="737" w:type="dxa"/>
            <w:tcBorders>
              <w:top w:val="single" w:sz="4" w:space="0" w:color="auto"/>
              <w:bottom w:val="single" w:sz="4" w:space="0" w:color="auto"/>
            </w:tcBorders>
            <w:shd w:val="clear" w:color="auto" w:fill="DEEAF6" w:themeFill="accent1" w:themeFillTint="33"/>
            <w:vAlign w:val="center"/>
          </w:tcPr>
          <w:p w14:paraId="5F7875B8"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P</w:t>
            </w:r>
          </w:p>
        </w:tc>
        <w:tc>
          <w:tcPr>
            <w:tcW w:w="454" w:type="dxa"/>
            <w:tcBorders>
              <w:top w:val="single" w:sz="4" w:space="0" w:color="auto"/>
              <w:bottom w:val="single" w:sz="4" w:space="0" w:color="auto"/>
            </w:tcBorders>
            <w:shd w:val="clear" w:color="auto" w:fill="DEEAF6" w:themeFill="accent1" w:themeFillTint="33"/>
            <w:vAlign w:val="center"/>
          </w:tcPr>
          <w:p w14:paraId="2B48F028"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df</w:t>
            </w:r>
          </w:p>
        </w:tc>
        <w:tc>
          <w:tcPr>
            <w:tcW w:w="672" w:type="dxa"/>
            <w:tcBorders>
              <w:top w:val="single" w:sz="4" w:space="0" w:color="auto"/>
              <w:bottom w:val="single" w:sz="4" w:space="0" w:color="auto"/>
            </w:tcBorders>
            <w:shd w:val="clear" w:color="auto" w:fill="DEEAF6" w:themeFill="accent1" w:themeFillTint="33"/>
            <w:vAlign w:val="center"/>
          </w:tcPr>
          <w:p w14:paraId="2831FFFB"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F</w:t>
            </w:r>
          </w:p>
        </w:tc>
        <w:tc>
          <w:tcPr>
            <w:tcW w:w="737" w:type="dxa"/>
            <w:tcBorders>
              <w:top w:val="single" w:sz="4" w:space="0" w:color="auto"/>
              <w:bottom w:val="single" w:sz="4" w:space="0" w:color="auto"/>
            </w:tcBorders>
            <w:shd w:val="clear" w:color="auto" w:fill="DEEAF6" w:themeFill="accent1" w:themeFillTint="33"/>
            <w:vAlign w:val="center"/>
          </w:tcPr>
          <w:p w14:paraId="213604AC"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P</w:t>
            </w:r>
          </w:p>
        </w:tc>
      </w:tr>
      <w:tr w:rsidR="003D3694" w:rsidRPr="00747E35" w14:paraId="039EB036" w14:textId="77777777" w:rsidTr="0096743A">
        <w:tc>
          <w:tcPr>
            <w:tcW w:w="2041" w:type="dxa"/>
            <w:tcBorders>
              <w:top w:val="single" w:sz="4" w:space="0" w:color="auto"/>
            </w:tcBorders>
            <w:vAlign w:val="center"/>
          </w:tcPr>
          <w:p w14:paraId="1E9B86C0" w14:textId="77777777" w:rsidR="003D3694" w:rsidRPr="00747E35" w:rsidRDefault="003D3694" w:rsidP="0096743A">
            <w:pPr>
              <w:pStyle w:val="Tabletext"/>
              <w:spacing w:before="0" w:after="0"/>
              <w:rPr>
                <w:rFonts w:cstheme="minorHAnsi"/>
              </w:rPr>
            </w:pPr>
            <w:r w:rsidRPr="00747E35">
              <w:rPr>
                <w:rFonts w:cstheme="minorHAnsi"/>
                <w:lang w:eastAsia="en-AU"/>
              </w:rPr>
              <w:t>Experiment</w:t>
            </w:r>
          </w:p>
        </w:tc>
        <w:tc>
          <w:tcPr>
            <w:tcW w:w="454" w:type="dxa"/>
            <w:tcBorders>
              <w:top w:val="single" w:sz="4" w:space="0" w:color="auto"/>
            </w:tcBorders>
            <w:vAlign w:val="center"/>
          </w:tcPr>
          <w:p w14:paraId="4F8D23EE" w14:textId="77777777" w:rsidR="003D3694" w:rsidRPr="00747E35" w:rsidRDefault="003D3694" w:rsidP="0096743A">
            <w:pPr>
              <w:pStyle w:val="Tabletext"/>
              <w:spacing w:before="0" w:after="0"/>
              <w:rPr>
                <w:rFonts w:cstheme="minorHAnsi"/>
              </w:rPr>
            </w:pPr>
            <w:r w:rsidRPr="00747E35">
              <w:rPr>
                <w:rFonts w:cstheme="minorHAnsi"/>
              </w:rPr>
              <w:t>1</w:t>
            </w:r>
          </w:p>
        </w:tc>
        <w:tc>
          <w:tcPr>
            <w:tcW w:w="737" w:type="dxa"/>
            <w:tcBorders>
              <w:top w:val="single" w:sz="4" w:space="0" w:color="auto"/>
            </w:tcBorders>
            <w:vAlign w:val="center"/>
          </w:tcPr>
          <w:p w14:paraId="74A8336E" w14:textId="77777777" w:rsidR="003D3694" w:rsidRPr="00747E35" w:rsidRDefault="003D3694" w:rsidP="0096743A">
            <w:pPr>
              <w:pStyle w:val="Tabletext"/>
              <w:spacing w:before="0" w:after="0"/>
              <w:rPr>
                <w:rFonts w:cstheme="minorHAnsi"/>
              </w:rPr>
            </w:pPr>
            <w:r w:rsidRPr="00747E35">
              <w:rPr>
                <w:rFonts w:cstheme="minorHAnsi"/>
                <w:lang w:eastAsia="en-AU"/>
              </w:rPr>
              <w:t>53.5</w:t>
            </w:r>
          </w:p>
        </w:tc>
        <w:tc>
          <w:tcPr>
            <w:tcW w:w="737" w:type="dxa"/>
            <w:tcBorders>
              <w:top w:val="single" w:sz="4" w:space="0" w:color="auto"/>
            </w:tcBorders>
            <w:vAlign w:val="center"/>
          </w:tcPr>
          <w:p w14:paraId="73C9F839" w14:textId="77777777" w:rsidR="003D3694" w:rsidRPr="00747E35" w:rsidRDefault="003D3694" w:rsidP="0096743A">
            <w:pPr>
              <w:pStyle w:val="Tabletext"/>
              <w:spacing w:before="0" w:after="0"/>
              <w:rPr>
                <w:rFonts w:cstheme="minorHAnsi"/>
              </w:rPr>
            </w:pPr>
            <w:r w:rsidRPr="00747E35">
              <w:rPr>
                <w:rFonts w:cstheme="minorHAnsi"/>
                <w:lang w:eastAsia="en-AU"/>
              </w:rPr>
              <w:t>0.000</w:t>
            </w:r>
          </w:p>
        </w:tc>
        <w:tc>
          <w:tcPr>
            <w:tcW w:w="454" w:type="dxa"/>
            <w:tcBorders>
              <w:top w:val="single" w:sz="4" w:space="0" w:color="auto"/>
            </w:tcBorders>
            <w:vAlign w:val="center"/>
          </w:tcPr>
          <w:p w14:paraId="264486E3" w14:textId="77777777" w:rsidR="003D3694" w:rsidRPr="00747E35" w:rsidRDefault="003D3694" w:rsidP="0096743A">
            <w:pPr>
              <w:pStyle w:val="Tabletext"/>
              <w:spacing w:before="0" w:after="0"/>
              <w:rPr>
                <w:rFonts w:cstheme="minorHAnsi"/>
              </w:rPr>
            </w:pPr>
            <w:r w:rsidRPr="00747E35">
              <w:rPr>
                <w:rFonts w:cstheme="minorHAnsi"/>
              </w:rPr>
              <w:t>1</w:t>
            </w:r>
          </w:p>
        </w:tc>
        <w:tc>
          <w:tcPr>
            <w:tcW w:w="672" w:type="dxa"/>
            <w:tcBorders>
              <w:top w:val="single" w:sz="4" w:space="0" w:color="auto"/>
            </w:tcBorders>
            <w:vAlign w:val="center"/>
          </w:tcPr>
          <w:p w14:paraId="2DF786C3" w14:textId="77777777" w:rsidR="003D3694" w:rsidRPr="00747E35" w:rsidRDefault="003D3694" w:rsidP="0096743A">
            <w:pPr>
              <w:pStyle w:val="Tabletext"/>
              <w:spacing w:before="0" w:after="0"/>
              <w:rPr>
                <w:rFonts w:cstheme="minorHAnsi"/>
              </w:rPr>
            </w:pPr>
            <w:r w:rsidRPr="00747E35">
              <w:rPr>
                <w:rFonts w:cstheme="minorHAnsi"/>
                <w:lang w:eastAsia="en-AU"/>
              </w:rPr>
              <w:t>21.6</w:t>
            </w:r>
          </w:p>
        </w:tc>
        <w:tc>
          <w:tcPr>
            <w:tcW w:w="737" w:type="dxa"/>
            <w:tcBorders>
              <w:top w:val="single" w:sz="4" w:space="0" w:color="auto"/>
            </w:tcBorders>
            <w:vAlign w:val="center"/>
          </w:tcPr>
          <w:p w14:paraId="0BF9A795" w14:textId="77777777" w:rsidR="003D3694" w:rsidRPr="00747E35" w:rsidRDefault="003D3694" w:rsidP="0096743A">
            <w:pPr>
              <w:pStyle w:val="Tabletext"/>
              <w:spacing w:before="0" w:after="0"/>
              <w:rPr>
                <w:rFonts w:cstheme="minorHAnsi"/>
              </w:rPr>
            </w:pPr>
            <w:r w:rsidRPr="00747E35">
              <w:rPr>
                <w:rFonts w:cstheme="minorHAnsi"/>
              </w:rPr>
              <w:t>0.000</w:t>
            </w:r>
          </w:p>
        </w:tc>
      </w:tr>
      <w:tr w:rsidR="003D3694" w:rsidRPr="00747E35" w14:paraId="35386948" w14:textId="77777777" w:rsidTr="0096743A">
        <w:tc>
          <w:tcPr>
            <w:tcW w:w="2041" w:type="dxa"/>
            <w:vAlign w:val="center"/>
          </w:tcPr>
          <w:p w14:paraId="79DABA1E" w14:textId="77777777" w:rsidR="003D3694" w:rsidRPr="00747E35" w:rsidRDefault="003D3694" w:rsidP="0096743A">
            <w:pPr>
              <w:pStyle w:val="Tabletext"/>
              <w:spacing w:before="0" w:after="0"/>
              <w:rPr>
                <w:rFonts w:cstheme="minorHAnsi"/>
              </w:rPr>
            </w:pPr>
            <w:r w:rsidRPr="00747E35">
              <w:rPr>
                <w:rFonts w:cstheme="minorHAnsi"/>
                <w:lang w:eastAsia="en-AU"/>
              </w:rPr>
              <w:t>Depth</w:t>
            </w:r>
          </w:p>
        </w:tc>
        <w:tc>
          <w:tcPr>
            <w:tcW w:w="454" w:type="dxa"/>
            <w:vAlign w:val="center"/>
          </w:tcPr>
          <w:p w14:paraId="5722FB12" w14:textId="77777777" w:rsidR="003D3694" w:rsidRPr="00747E35" w:rsidRDefault="003D3694" w:rsidP="0096743A">
            <w:pPr>
              <w:pStyle w:val="Tabletext"/>
              <w:spacing w:before="0" w:after="0"/>
              <w:rPr>
                <w:rFonts w:cstheme="minorHAnsi"/>
              </w:rPr>
            </w:pPr>
            <w:r w:rsidRPr="00747E35">
              <w:rPr>
                <w:rFonts w:cstheme="minorHAnsi"/>
              </w:rPr>
              <w:t>1</w:t>
            </w:r>
          </w:p>
        </w:tc>
        <w:tc>
          <w:tcPr>
            <w:tcW w:w="737" w:type="dxa"/>
            <w:vAlign w:val="center"/>
          </w:tcPr>
          <w:p w14:paraId="7406CA36" w14:textId="77777777" w:rsidR="003D3694" w:rsidRPr="00747E35" w:rsidRDefault="003D3694" w:rsidP="0096743A">
            <w:pPr>
              <w:pStyle w:val="Tabletext"/>
              <w:spacing w:before="0" w:after="0"/>
              <w:rPr>
                <w:rFonts w:cstheme="minorHAnsi"/>
              </w:rPr>
            </w:pPr>
            <w:r w:rsidRPr="00747E35">
              <w:rPr>
                <w:rFonts w:cstheme="minorHAnsi"/>
                <w:lang w:eastAsia="en-AU"/>
              </w:rPr>
              <w:t>193</w:t>
            </w:r>
          </w:p>
        </w:tc>
        <w:tc>
          <w:tcPr>
            <w:tcW w:w="737" w:type="dxa"/>
            <w:vAlign w:val="center"/>
          </w:tcPr>
          <w:p w14:paraId="4388704E" w14:textId="77777777" w:rsidR="003D3694" w:rsidRPr="00747E35" w:rsidRDefault="003D3694" w:rsidP="0096743A">
            <w:pPr>
              <w:pStyle w:val="Tabletext"/>
              <w:spacing w:before="0" w:after="0"/>
              <w:rPr>
                <w:rFonts w:cstheme="minorHAnsi"/>
              </w:rPr>
            </w:pPr>
            <w:r w:rsidRPr="00747E35">
              <w:rPr>
                <w:rFonts w:cstheme="minorHAnsi"/>
              </w:rPr>
              <w:t>0.000</w:t>
            </w:r>
          </w:p>
        </w:tc>
        <w:tc>
          <w:tcPr>
            <w:tcW w:w="454" w:type="dxa"/>
            <w:vAlign w:val="center"/>
          </w:tcPr>
          <w:p w14:paraId="64492F62" w14:textId="77777777" w:rsidR="003D3694" w:rsidRPr="00747E35" w:rsidRDefault="003D3694" w:rsidP="0096743A">
            <w:pPr>
              <w:pStyle w:val="Tabletext"/>
              <w:spacing w:before="0" w:after="0"/>
              <w:rPr>
                <w:rFonts w:cstheme="minorHAnsi"/>
              </w:rPr>
            </w:pPr>
            <w:r w:rsidRPr="00747E35">
              <w:rPr>
                <w:rFonts w:cstheme="minorHAnsi"/>
              </w:rPr>
              <w:t>1</w:t>
            </w:r>
          </w:p>
        </w:tc>
        <w:tc>
          <w:tcPr>
            <w:tcW w:w="672" w:type="dxa"/>
            <w:vAlign w:val="center"/>
          </w:tcPr>
          <w:p w14:paraId="66ABB4A4" w14:textId="77777777" w:rsidR="003D3694" w:rsidRPr="00747E35" w:rsidRDefault="003D3694" w:rsidP="0096743A">
            <w:pPr>
              <w:pStyle w:val="Tabletext"/>
              <w:spacing w:before="0" w:after="0"/>
              <w:rPr>
                <w:rFonts w:cstheme="minorHAnsi"/>
              </w:rPr>
            </w:pPr>
            <w:r w:rsidRPr="00747E35">
              <w:rPr>
                <w:rFonts w:cstheme="minorHAnsi"/>
                <w:lang w:eastAsia="en-AU"/>
              </w:rPr>
              <w:t>3.13</w:t>
            </w:r>
          </w:p>
        </w:tc>
        <w:tc>
          <w:tcPr>
            <w:tcW w:w="737" w:type="dxa"/>
            <w:vAlign w:val="center"/>
          </w:tcPr>
          <w:p w14:paraId="643DE2F3" w14:textId="77777777" w:rsidR="003D3694" w:rsidRPr="00747E35" w:rsidRDefault="003D3694" w:rsidP="0096743A">
            <w:pPr>
              <w:pStyle w:val="Tabletext"/>
              <w:spacing w:before="0" w:after="0"/>
              <w:rPr>
                <w:rFonts w:cstheme="minorHAnsi"/>
              </w:rPr>
            </w:pPr>
            <w:r w:rsidRPr="00747E35">
              <w:rPr>
                <w:rFonts w:cstheme="minorHAnsi"/>
              </w:rPr>
              <w:t>0.085</w:t>
            </w:r>
          </w:p>
        </w:tc>
      </w:tr>
      <w:tr w:rsidR="003D3694" w:rsidRPr="00747E35" w14:paraId="7E67052A" w14:textId="77777777" w:rsidTr="0096743A">
        <w:tc>
          <w:tcPr>
            <w:tcW w:w="2041" w:type="dxa"/>
            <w:vAlign w:val="center"/>
          </w:tcPr>
          <w:p w14:paraId="502BC34D" w14:textId="77777777" w:rsidR="003D3694" w:rsidRPr="00747E35" w:rsidRDefault="003D3694" w:rsidP="0096743A">
            <w:pPr>
              <w:pStyle w:val="Tabletext"/>
              <w:spacing w:before="0" w:after="0"/>
              <w:rPr>
                <w:rFonts w:cstheme="minorHAnsi"/>
              </w:rPr>
            </w:pPr>
            <w:r w:rsidRPr="00747E35">
              <w:rPr>
                <w:rFonts w:cstheme="minorHAnsi"/>
                <w:lang w:eastAsia="en-AU"/>
              </w:rPr>
              <w:t>Experiment X Depth</w:t>
            </w:r>
          </w:p>
        </w:tc>
        <w:tc>
          <w:tcPr>
            <w:tcW w:w="454" w:type="dxa"/>
            <w:vAlign w:val="center"/>
          </w:tcPr>
          <w:p w14:paraId="39F03A23" w14:textId="77777777" w:rsidR="003D3694" w:rsidRPr="00747E35" w:rsidRDefault="003D3694" w:rsidP="0096743A">
            <w:pPr>
              <w:pStyle w:val="Tabletext"/>
              <w:spacing w:before="0" w:after="0"/>
              <w:rPr>
                <w:rFonts w:cstheme="minorHAnsi"/>
              </w:rPr>
            </w:pPr>
            <w:r w:rsidRPr="00747E35">
              <w:rPr>
                <w:rFonts w:cstheme="minorHAnsi"/>
              </w:rPr>
              <w:t>1</w:t>
            </w:r>
          </w:p>
        </w:tc>
        <w:tc>
          <w:tcPr>
            <w:tcW w:w="737" w:type="dxa"/>
            <w:vAlign w:val="center"/>
          </w:tcPr>
          <w:p w14:paraId="4FF33066" w14:textId="77777777" w:rsidR="003D3694" w:rsidRPr="00747E35" w:rsidRDefault="003D3694" w:rsidP="0096743A">
            <w:pPr>
              <w:pStyle w:val="Tabletext"/>
              <w:spacing w:before="0" w:after="0"/>
              <w:rPr>
                <w:rFonts w:cstheme="minorHAnsi"/>
              </w:rPr>
            </w:pPr>
            <w:r w:rsidRPr="00747E35">
              <w:rPr>
                <w:rFonts w:cstheme="minorHAnsi"/>
                <w:lang w:eastAsia="en-AU"/>
              </w:rPr>
              <w:t>10.3</w:t>
            </w:r>
          </w:p>
        </w:tc>
        <w:tc>
          <w:tcPr>
            <w:tcW w:w="737" w:type="dxa"/>
            <w:vAlign w:val="center"/>
          </w:tcPr>
          <w:p w14:paraId="3F94912C" w14:textId="77777777" w:rsidR="003D3694" w:rsidRPr="00747E35" w:rsidRDefault="003D3694" w:rsidP="0096743A">
            <w:pPr>
              <w:pStyle w:val="Tabletext"/>
              <w:spacing w:before="0" w:after="0"/>
              <w:rPr>
                <w:rFonts w:cstheme="minorHAnsi"/>
              </w:rPr>
            </w:pPr>
            <w:r w:rsidRPr="00747E35">
              <w:rPr>
                <w:rFonts w:cstheme="minorHAnsi"/>
                <w:lang w:eastAsia="en-AU"/>
              </w:rPr>
              <w:t>0.003</w:t>
            </w:r>
          </w:p>
        </w:tc>
        <w:tc>
          <w:tcPr>
            <w:tcW w:w="454" w:type="dxa"/>
            <w:vAlign w:val="center"/>
          </w:tcPr>
          <w:p w14:paraId="41920FD7" w14:textId="77777777" w:rsidR="003D3694" w:rsidRPr="00747E35" w:rsidRDefault="003D3694" w:rsidP="0096743A">
            <w:pPr>
              <w:pStyle w:val="Tabletext"/>
              <w:spacing w:before="0" w:after="0"/>
              <w:rPr>
                <w:rFonts w:cstheme="minorHAnsi"/>
              </w:rPr>
            </w:pPr>
            <w:r w:rsidRPr="00747E35">
              <w:rPr>
                <w:rFonts w:cstheme="minorHAnsi"/>
              </w:rPr>
              <w:t>1</w:t>
            </w:r>
          </w:p>
        </w:tc>
        <w:tc>
          <w:tcPr>
            <w:tcW w:w="672" w:type="dxa"/>
            <w:vAlign w:val="center"/>
          </w:tcPr>
          <w:p w14:paraId="1B767031" w14:textId="77777777" w:rsidR="003D3694" w:rsidRPr="00747E35" w:rsidRDefault="003D3694" w:rsidP="0096743A">
            <w:pPr>
              <w:pStyle w:val="Tabletext"/>
              <w:spacing w:before="0" w:after="0"/>
              <w:rPr>
                <w:rFonts w:cstheme="minorHAnsi"/>
              </w:rPr>
            </w:pPr>
            <w:r w:rsidRPr="00747E35">
              <w:rPr>
                <w:rFonts w:cstheme="minorHAnsi"/>
              </w:rPr>
              <w:t>7.58</w:t>
            </w:r>
          </w:p>
        </w:tc>
        <w:tc>
          <w:tcPr>
            <w:tcW w:w="737" w:type="dxa"/>
            <w:vAlign w:val="center"/>
          </w:tcPr>
          <w:p w14:paraId="29BACD69" w14:textId="77777777" w:rsidR="003D3694" w:rsidRPr="00747E35" w:rsidRDefault="003D3694" w:rsidP="0096743A">
            <w:pPr>
              <w:pStyle w:val="Tabletext"/>
              <w:spacing w:before="0" w:after="0"/>
              <w:rPr>
                <w:rFonts w:cstheme="minorHAnsi"/>
              </w:rPr>
            </w:pPr>
            <w:r w:rsidRPr="00747E35">
              <w:rPr>
                <w:rFonts w:cstheme="minorHAnsi"/>
              </w:rPr>
              <w:t>0.009</w:t>
            </w:r>
          </w:p>
        </w:tc>
      </w:tr>
      <w:tr w:rsidR="003D3694" w:rsidRPr="00747E35" w14:paraId="1EA6F98D" w14:textId="77777777" w:rsidTr="0096743A">
        <w:tc>
          <w:tcPr>
            <w:tcW w:w="2041" w:type="dxa"/>
            <w:tcBorders>
              <w:bottom w:val="single" w:sz="4" w:space="0" w:color="auto"/>
            </w:tcBorders>
            <w:vAlign w:val="center"/>
          </w:tcPr>
          <w:p w14:paraId="513E1C29" w14:textId="77777777" w:rsidR="003D3694" w:rsidRPr="00747E35" w:rsidRDefault="003D3694" w:rsidP="0096743A">
            <w:pPr>
              <w:pStyle w:val="Tabletext"/>
              <w:spacing w:before="0" w:after="0"/>
              <w:rPr>
                <w:rFonts w:cstheme="minorHAnsi"/>
              </w:rPr>
            </w:pPr>
            <w:r w:rsidRPr="00747E35">
              <w:rPr>
                <w:rFonts w:cstheme="minorHAnsi"/>
                <w:lang w:eastAsia="en-AU"/>
              </w:rPr>
              <w:t>Residuals</w:t>
            </w:r>
          </w:p>
        </w:tc>
        <w:tc>
          <w:tcPr>
            <w:tcW w:w="454" w:type="dxa"/>
            <w:tcBorders>
              <w:bottom w:val="single" w:sz="4" w:space="0" w:color="auto"/>
            </w:tcBorders>
            <w:vAlign w:val="center"/>
          </w:tcPr>
          <w:p w14:paraId="56CB2D21" w14:textId="77777777" w:rsidR="003D3694" w:rsidRPr="00747E35" w:rsidRDefault="003D3694" w:rsidP="0096743A">
            <w:pPr>
              <w:pStyle w:val="Tabletext"/>
              <w:spacing w:before="0" w:after="0"/>
              <w:rPr>
                <w:rFonts w:cstheme="minorHAnsi"/>
              </w:rPr>
            </w:pPr>
            <w:r w:rsidRPr="00747E35">
              <w:rPr>
                <w:rFonts w:cstheme="minorHAnsi"/>
              </w:rPr>
              <w:t>36</w:t>
            </w:r>
          </w:p>
        </w:tc>
        <w:tc>
          <w:tcPr>
            <w:tcW w:w="737" w:type="dxa"/>
            <w:tcBorders>
              <w:bottom w:val="single" w:sz="4" w:space="0" w:color="auto"/>
            </w:tcBorders>
            <w:vAlign w:val="center"/>
          </w:tcPr>
          <w:p w14:paraId="4B8F3BD4" w14:textId="77777777" w:rsidR="003D3694" w:rsidRPr="00747E35" w:rsidRDefault="003D3694" w:rsidP="0096743A">
            <w:pPr>
              <w:pStyle w:val="Tabletext"/>
              <w:spacing w:before="0" w:after="0"/>
              <w:rPr>
                <w:rFonts w:cstheme="minorHAnsi"/>
              </w:rPr>
            </w:pPr>
          </w:p>
        </w:tc>
        <w:tc>
          <w:tcPr>
            <w:tcW w:w="737" w:type="dxa"/>
            <w:tcBorders>
              <w:bottom w:val="single" w:sz="4" w:space="0" w:color="auto"/>
            </w:tcBorders>
            <w:vAlign w:val="center"/>
          </w:tcPr>
          <w:p w14:paraId="50F722FC" w14:textId="77777777" w:rsidR="003D3694" w:rsidRPr="00747E35" w:rsidRDefault="003D3694" w:rsidP="0096743A">
            <w:pPr>
              <w:pStyle w:val="Tabletext"/>
              <w:spacing w:before="0" w:after="0"/>
              <w:rPr>
                <w:rFonts w:cstheme="minorHAnsi"/>
              </w:rPr>
            </w:pPr>
          </w:p>
        </w:tc>
        <w:tc>
          <w:tcPr>
            <w:tcW w:w="454" w:type="dxa"/>
            <w:tcBorders>
              <w:bottom w:val="single" w:sz="4" w:space="0" w:color="auto"/>
            </w:tcBorders>
            <w:vAlign w:val="center"/>
          </w:tcPr>
          <w:p w14:paraId="3405F7C3" w14:textId="77777777" w:rsidR="003D3694" w:rsidRPr="00747E35" w:rsidRDefault="003D3694" w:rsidP="0096743A">
            <w:pPr>
              <w:pStyle w:val="Tabletext"/>
              <w:spacing w:before="0" w:after="0"/>
              <w:rPr>
                <w:rFonts w:cstheme="minorHAnsi"/>
              </w:rPr>
            </w:pPr>
            <w:r w:rsidRPr="00747E35">
              <w:rPr>
                <w:rFonts w:cstheme="minorHAnsi"/>
              </w:rPr>
              <w:t>36</w:t>
            </w:r>
          </w:p>
        </w:tc>
        <w:tc>
          <w:tcPr>
            <w:tcW w:w="672" w:type="dxa"/>
            <w:tcBorders>
              <w:bottom w:val="single" w:sz="4" w:space="0" w:color="auto"/>
            </w:tcBorders>
            <w:vAlign w:val="center"/>
          </w:tcPr>
          <w:p w14:paraId="63FEC1FD" w14:textId="77777777" w:rsidR="003D3694" w:rsidRPr="00747E35" w:rsidRDefault="003D3694" w:rsidP="0096743A">
            <w:pPr>
              <w:pStyle w:val="Tabletext"/>
              <w:spacing w:before="0" w:after="0"/>
              <w:rPr>
                <w:rFonts w:cstheme="minorHAnsi"/>
              </w:rPr>
            </w:pPr>
          </w:p>
        </w:tc>
        <w:tc>
          <w:tcPr>
            <w:tcW w:w="737" w:type="dxa"/>
            <w:tcBorders>
              <w:bottom w:val="single" w:sz="4" w:space="0" w:color="auto"/>
            </w:tcBorders>
            <w:vAlign w:val="center"/>
          </w:tcPr>
          <w:p w14:paraId="3F64F20F" w14:textId="77777777" w:rsidR="003D3694" w:rsidRPr="00747E35" w:rsidRDefault="003D3694" w:rsidP="0096743A">
            <w:pPr>
              <w:pStyle w:val="Tabletext"/>
              <w:spacing w:before="0" w:after="0"/>
              <w:rPr>
                <w:rFonts w:cstheme="minorHAnsi"/>
              </w:rPr>
            </w:pPr>
          </w:p>
        </w:tc>
      </w:tr>
    </w:tbl>
    <w:p w14:paraId="06C0505F" w14:textId="77777777" w:rsidR="003D3694" w:rsidRPr="00747E35" w:rsidRDefault="003D3694" w:rsidP="003D3694">
      <w:pPr>
        <w:rPr>
          <w:rFonts w:asciiTheme="minorHAnsi" w:hAnsiTheme="minorHAnsi" w:cstheme="minorHAnsi"/>
          <w:lang w:eastAsia="en-AU"/>
        </w:rPr>
      </w:pPr>
    </w:p>
    <w:p w14:paraId="1AD7FE31" w14:textId="77777777" w:rsidR="003D3694" w:rsidRPr="00747E35" w:rsidRDefault="003D3694" w:rsidP="003D3694">
      <w:pPr>
        <w:rPr>
          <w:rFonts w:asciiTheme="minorHAnsi" w:hAnsiTheme="minorHAnsi" w:cstheme="minorHAnsi"/>
          <w:lang w:eastAsia="en-AU"/>
        </w:rPr>
      </w:pPr>
    </w:p>
    <w:p w14:paraId="6B3F61AF" w14:textId="77777777" w:rsidR="003D3694" w:rsidRPr="00747E35" w:rsidRDefault="003D3694" w:rsidP="003D3694">
      <w:pPr>
        <w:rPr>
          <w:rFonts w:asciiTheme="minorHAnsi" w:hAnsiTheme="minorHAnsi" w:cstheme="minorHAnsi"/>
          <w:lang w:eastAsia="en-AU"/>
        </w:rPr>
      </w:pPr>
      <w:r w:rsidRPr="00747E35">
        <w:rPr>
          <w:rFonts w:asciiTheme="minorHAnsi" w:hAnsiTheme="minorHAnsi" w:cstheme="minorHAnsi"/>
          <w:lang w:eastAsia="en-AU"/>
        </w:rPr>
        <w:t>Leaf litter incubations: Riffle habitat</w:t>
      </w:r>
      <w:r w:rsidRPr="00747E35">
        <w:rPr>
          <w:rFonts w:asciiTheme="minorHAnsi" w:hAnsiTheme="minorHAnsi" w:cstheme="minorHAnsi"/>
        </w:rPr>
        <w:t xml:space="preserve"> </w:t>
      </w:r>
      <w:r w:rsidRPr="00747E35">
        <w:rPr>
          <w:rFonts w:asciiTheme="minorHAnsi" w:hAnsiTheme="minorHAnsi" w:cstheme="minorHAnsi"/>
          <w:lang w:eastAsia="en-AU"/>
        </w:rPr>
        <w:t>(LMM)</w:t>
      </w:r>
    </w:p>
    <w:p w14:paraId="79936624" w14:textId="77777777" w:rsidR="003D3694" w:rsidRPr="00747E35" w:rsidRDefault="003D3694" w:rsidP="003D3694">
      <w:pPr>
        <w:pStyle w:val="HTMLPreformatted"/>
        <w:rPr>
          <w:rFonts w:asciiTheme="minorHAnsi" w:hAnsiTheme="minorHAnsi" w:cstheme="minorHAnsi"/>
        </w:rPr>
      </w:pPr>
      <w:r w:rsidRPr="00747E35">
        <w:rPr>
          <w:rFonts w:asciiTheme="minorHAnsi" w:hAnsiTheme="minorHAnsi" w:cstheme="minorHAnsi"/>
        </w:rPr>
        <w:t xml:space="preserve">Linear mixed model fit by REML </w:t>
      </w:r>
    </w:p>
    <w:p w14:paraId="26C25EC0" w14:textId="77777777" w:rsidR="003D3694" w:rsidRPr="00747E35" w:rsidRDefault="003D3694" w:rsidP="003D3694">
      <w:pPr>
        <w:pStyle w:val="HTMLPreformatted"/>
        <w:rPr>
          <w:rFonts w:asciiTheme="minorHAnsi" w:hAnsiTheme="minorHAnsi" w:cstheme="minorHAnsi"/>
        </w:rPr>
      </w:pPr>
      <w:r w:rsidRPr="00747E35">
        <w:rPr>
          <w:rFonts w:asciiTheme="minorHAnsi" w:hAnsiTheme="minorHAnsi" w:cstheme="minorHAnsi"/>
        </w:rPr>
        <w:t>t-tests use  Satterthwaite approximations to degrees of freedom ['lmerMod']</w:t>
      </w:r>
    </w:p>
    <w:p w14:paraId="09B9C658" w14:textId="77777777" w:rsidR="003D3694" w:rsidRPr="00747E35" w:rsidRDefault="003D3694" w:rsidP="003D3694">
      <w:pPr>
        <w:pStyle w:val="HTMLPreformatted"/>
        <w:rPr>
          <w:rFonts w:asciiTheme="minorHAnsi" w:hAnsiTheme="minorHAnsi" w:cstheme="minorHAnsi"/>
        </w:rPr>
      </w:pPr>
      <w:r w:rsidRPr="00747E35">
        <w:rPr>
          <w:rFonts w:asciiTheme="minorHAnsi" w:hAnsiTheme="minorHAnsi" w:cstheme="minorHAnsi"/>
        </w:rPr>
        <w:lastRenderedPageBreak/>
        <w:t>REML criterion at convergence: 1406.8</w:t>
      </w:r>
    </w:p>
    <w:p w14:paraId="36FAC23C" w14:textId="77777777" w:rsidR="003D3694" w:rsidRPr="00747E35" w:rsidRDefault="003D3694" w:rsidP="003D3694">
      <w:pPr>
        <w:pStyle w:val="HTMLPreformatted"/>
        <w:rPr>
          <w:rFonts w:asciiTheme="minorHAnsi" w:hAnsiTheme="minorHAnsi" w:cstheme="minorHAnsi"/>
        </w:rPr>
      </w:pPr>
    </w:p>
    <w:p w14:paraId="4CFA4E57" w14:textId="77777777" w:rsidR="003D3694" w:rsidRPr="00747E35" w:rsidRDefault="003D3694" w:rsidP="003D3694">
      <w:pPr>
        <w:pStyle w:val="HTMLPreformatted"/>
        <w:rPr>
          <w:rFonts w:asciiTheme="minorHAnsi" w:hAnsiTheme="minorHAnsi" w:cstheme="minorHAnsi"/>
        </w:rPr>
      </w:pPr>
      <w:r w:rsidRPr="00747E35">
        <w:rPr>
          <w:rFonts w:asciiTheme="minorHAnsi" w:hAnsiTheme="minorHAnsi" w:cstheme="minorHAnsi"/>
        </w:rPr>
        <w:t>Random effects:</w:t>
      </w:r>
    </w:p>
    <w:p w14:paraId="399C3194" w14:textId="77777777" w:rsidR="003D3694" w:rsidRPr="00747E35" w:rsidRDefault="003D3694" w:rsidP="003D3694">
      <w:pPr>
        <w:pStyle w:val="HTMLPreformatted"/>
        <w:rPr>
          <w:rFonts w:asciiTheme="minorHAnsi" w:hAnsiTheme="minorHAnsi" w:cstheme="minorHAnsi"/>
        </w:rPr>
      </w:pPr>
      <w:r w:rsidRPr="00747E35">
        <w:rPr>
          <w:rFonts w:asciiTheme="minorHAnsi" w:hAnsiTheme="minorHAnsi" w:cstheme="minorHAnsi"/>
        </w:rPr>
        <w:t xml:space="preserve"> Groups   Name        Variance Std.Dev.</w:t>
      </w:r>
    </w:p>
    <w:p w14:paraId="3826C9AA" w14:textId="77777777" w:rsidR="003D3694" w:rsidRPr="00747E35" w:rsidRDefault="003D3694" w:rsidP="003D3694">
      <w:pPr>
        <w:pStyle w:val="HTMLPreformatted"/>
        <w:rPr>
          <w:rFonts w:asciiTheme="minorHAnsi" w:hAnsiTheme="minorHAnsi" w:cstheme="minorHAnsi"/>
        </w:rPr>
      </w:pPr>
      <w:r w:rsidRPr="00747E35">
        <w:rPr>
          <w:rFonts w:asciiTheme="minorHAnsi" w:hAnsiTheme="minorHAnsi" w:cstheme="minorHAnsi"/>
        </w:rPr>
        <w:t xml:space="preserve"> Site     (Intercept) 19.23    4.385   </w:t>
      </w:r>
    </w:p>
    <w:p w14:paraId="431362DD" w14:textId="77777777" w:rsidR="003D3694" w:rsidRPr="00747E35" w:rsidRDefault="003D3694" w:rsidP="003D3694">
      <w:pPr>
        <w:pStyle w:val="HTMLPreformatted"/>
        <w:rPr>
          <w:rFonts w:asciiTheme="minorHAnsi" w:hAnsiTheme="minorHAnsi" w:cstheme="minorHAnsi"/>
        </w:rPr>
      </w:pPr>
      <w:r w:rsidRPr="00747E35">
        <w:rPr>
          <w:rFonts w:asciiTheme="minorHAnsi" w:hAnsiTheme="minorHAnsi" w:cstheme="minorHAnsi"/>
        </w:rPr>
        <w:t xml:space="preserve"> Residual             84.49    9.192   </w:t>
      </w:r>
    </w:p>
    <w:p w14:paraId="59C48589" w14:textId="77777777" w:rsidR="003D3694" w:rsidRPr="00747E35" w:rsidRDefault="003D3694" w:rsidP="003D3694">
      <w:pPr>
        <w:pStyle w:val="HTMLPreformatted"/>
        <w:rPr>
          <w:rFonts w:asciiTheme="minorHAnsi" w:hAnsiTheme="minorHAnsi" w:cstheme="minorHAnsi"/>
        </w:rPr>
      </w:pPr>
      <w:r w:rsidRPr="00747E35">
        <w:rPr>
          <w:rFonts w:asciiTheme="minorHAnsi" w:hAnsiTheme="minorHAnsi" w:cstheme="minorHAnsi"/>
        </w:rPr>
        <w:t>Number of obs: 194, groups:  Site, 5</w:t>
      </w:r>
    </w:p>
    <w:p w14:paraId="6343BD06" w14:textId="77777777" w:rsidR="003D3694" w:rsidRPr="00747E35" w:rsidRDefault="003D3694" w:rsidP="003D3694">
      <w:pPr>
        <w:pStyle w:val="HTMLPreformatted"/>
        <w:rPr>
          <w:rFonts w:asciiTheme="minorHAnsi" w:hAnsiTheme="minorHAnsi" w:cstheme="minorHAnsi"/>
        </w:rPr>
      </w:pPr>
    </w:p>
    <w:p w14:paraId="38B76A5E" w14:textId="77777777" w:rsidR="003D3694" w:rsidRPr="00747E35" w:rsidRDefault="003D3694" w:rsidP="003D3694">
      <w:pPr>
        <w:pStyle w:val="HTMLPreformatted"/>
        <w:rPr>
          <w:rFonts w:asciiTheme="minorHAnsi" w:hAnsiTheme="minorHAnsi" w:cstheme="minorHAnsi"/>
        </w:rPr>
      </w:pPr>
      <w:r w:rsidRPr="00747E35">
        <w:rPr>
          <w:rFonts w:asciiTheme="minorHAnsi" w:hAnsiTheme="minorHAnsi" w:cstheme="minorHAnsi"/>
        </w:rPr>
        <w:t>Fixed effects:</w:t>
      </w:r>
    </w:p>
    <w:p w14:paraId="6F787428" w14:textId="77777777" w:rsidR="003D3694" w:rsidRPr="00747E35" w:rsidRDefault="003D3694" w:rsidP="003D3694">
      <w:pPr>
        <w:pStyle w:val="HTMLPreformatted"/>
        <w:rPr>
          <w:rFonts w:asciiTheme="minorHAnsi" w:hAnsiTheme="minorHAnsi" w:cstheme="minorHAnsi"/>
        </w:rPr>
      </w:pPr>
      <w:r w:rsidRPr="00747E35">
        <w:rPr>
          <w:rFonts w:asciiTheme="minorHAnsi" w:hAnsiTheme="minorHAnsi" w:cstheme="minorHAnsi"/>
        </w:rPr>
        <w:t xml:space="preserve">                             Estimate Std. Error      df t value Pr(&gt;|t|)    </w:t>
      </w:r>
    </w:p>
    <w:p w14:paraId="7B0D24D4" w14:textId="77777777" w:rsidR="003D3694" w:rsidRPr="00747E35" w:rsidRDefault="003D3694" w:rsidP="003D3694">
      <w:pPr>
        <w:pStyle w:val="HTMLPreformatted"/>
        <w:rPr>
          <w:rFonts w:asciiTheme="minorHAnsi" w:hAnsiTheme="minorHAnsi" w:cstheme="minorHAnsi"/>
        </w:rPr>
      </w:pPr>
      <w:r w:rsidRPr="00747E35">
        <w:rPr>
          <w:rFonts w:asciiTheme="minorHAnsi" w:hAnsiTheme="minorHAnsi" w:cstheme="minorHAnsi"/>
        </w:rPr>
        <w:t>(Intercept)                    79.952      2.353   6.660  33.981 1.02e-08 ***</w:t>
      </w:r>
    </w:p>
    <w:p w14:paraId="424AD46C" w14:textId="77777777" w:rsidR="003D3694" w:rsidRPr="00747E35" w:rsidRDefault="003D3694" w:rsidP="003D3694">
      <w:pPr>
        <w:pStyle w:val="HTMLPreformatted"/>
        <w:rPr>
          <w:rFonts w:asciiTheme="minorHAnsi" w:hAnsiTheme="minorHAnsi" w:cstheme="minorHAnsi"/>
        </w:rPr>
      </w:pPr>
      <w:r w:rsidRPr="00747E35">
        <w:rPr>
          <w:rFonts w:asciiTheme="minorHAnsi" w:hAnsiTheme="minorHAnsi" w:cstheme="minorHAnsi"/>
        </w:rPr>
        <w:t>ExperimentTwo                 -21.887      1.868 186.030 -11.715  &lt; 2e-16 ***</w:t>
      </w:r>
    </w:p>
    <w:p w14:paraId="4BC4135E" w14:textId="77777777" w:rsidR="003D3694" w:rsidRPr="00747E35" w:rsidRDefault="003D3694" w:rsidP="003D3694">
      <w:pPr>
        <w:pStyle w:val="HTMLPreformatted"/>
        <w:rPr>
          <w:rFonts w:asciiTheme="minorHAnsi" w:hAnsiTheme="minorHAnsi" w:cstheme="minorHAnsi"/>
        </w:rPr>
      </w:pPr>
      <w:r w:rsidRPr="00747E35">
        <w:rPr>
          <w:rFonts w:asciiTheme="minorHAnsi" w:hAnsiTheme="minorHAnsi" w:cstheme="minorHAnsi"/>
        </w:rPr>
        <w:t>DepthHyporheic                -17.026      1.838 185.990  -9.261  &lt; 2e-16 ***</w:t>
      </w:r>
    </w:p>
    <w:p w14:paraId="3C27D8B6" w14:textId="77777777" w:rsidR="003D3694" w:rsidRPr="00747E35" w:rsidRDefault="003D3694" w:rsidP="003D3694">
      <w:pPr>
        <w:pStyle w:val="HTMLPreformatted"/>
        <w:rPr>
          <w:rFonts w:asciiTheme="minorHAnsi" w:hAnsiTheme="minorHAnsi" w:cstheme="minorHAnsi"/>
        </w:rPr>
      </w:pPr>
      <w:r w:rsidRPr="00747E35">
        <w:rPr>
          <w:rFonts w:asciiTheme="minorHAnsi" w:hAnsiTheme="minorHAnsi" w:cstheme="minorHAnsi"/>
        </w:rPr>
        <w:t>ExperimentTwo:DepthHyporheic   12.607      2.643 186.050   4.770 3.71e-06 ***</w:t>
      </w:r>
    </w:p>
    <w:p w14:paraId="5FB1969B" w14:textId="77777777" w:rsidR="003D3694" w:rsidRPr="00747E35" w:rsidRDefault="003D3694" w:rsidP="003D3694">
      <w:pPr>
        <w:pStyle w:val="HTMLPreformatted"/>
        <w:rPr>
          <w:rFonts w:asciiTheme="minorHAnsi" w:hAnsiTheme="minorHAnsi" w:cstheme="minorHAnsi"/>
        </w:rPr>
      </w:pPr>
      <w:r w:rsidRPr="00747E35">
        <w:rPr>
          <w:rFonts w:asciiTheme="minorHAnsi" w:hAnsiTheme="minorHAnsi" w:cstheme="minorHAnsi"/>
        </w:rPr>
        <w:t>---</w:t>
      </w:r>
    </w:p>
    <w:p w14:paraId="3AEBA601" w14:textId="77777777" w:rsidR="003D3694" w:rsidRPr="00747E35" w:rsidRDefault="003D3694" w:rsidP="003D3694">
      <w:pPr>
        <w:pStyle w:val="HTMLPreformatted"/>
        <w:rPr>
          <w:rFonts w:asciiTheme="minorHAnsi" w:hAnsiTheme="minorHAnsi" w:cstheme="minorHAnsi"/>
        </w:rPr>
      </w:pPr>
      <w:r w:rsidRPr="00747E35">
        <w:rPr>
          <w:rFonts w:asciiTheme="minorHAnsi" w:hAnsiTheme="minorHAnsi" w:cstheme="minorHAnsi"/>
        </w:rPr>
        <w:t>Signif. codes:  0 ‘***’ 0.001 ‘**’ 0.01 ‘*’ 0.05 ‘.’ 0.1 ‘ ’ 1</w:t>
      </w:r>
    </w:p>
    <w:p w14:paraId="7D4C4B34" w14:textId="77777777" w:rsidR="003D3694" w:rsidRPr="00747E35" w:rsidRDefault="003D3694" w:rsidP="003D3694">
      <w:pPr>
        <w:autoSpaceDE/>
        <w:autoSpaceDN/>
        <w:spacing w:line="276" w:lineRule="auto"/>
        <w:rPr>
          <w:rFonts w:asciiTheme="minorHAnsi" w:hAnsiTheme="minorHAnsi" w:cstheme="minorHAnsi"/>
          <w:lang w:eastAsia="en-AU"/>
        </w:rPr>
      </w:pPr>
      <w:r w:rsidRPr="00747E35">
        <w:rPr>
          <w:rFonts w:asciiTheme="minorHAnsi" w:hAnsiTheme="minorHAnsi" w:cstheme="minorHAnsi"/>
          <w:lang w:eastAsia="en-AU"/>
        </w:rPr>
        <w:br w:type="page"/>
      </w:r>
    </w:p>
    <w:p w14:paraId="72EDF7BC" w14:textId="0C17CE90" w:rsidR="003D3694" w:rsidRPr="00747E35" w:rsidRDefault="003D3694" w:rsidP="00551FB9">
      <w:pPr>
        <w:pStyle w:val="Caption"/>
        <w:numPr>
          <w:ilvl w:val="0"/>
          <w:numId w:val="0"/>
        </w:numPr>
        <w:rPr>
          <w:rFonts w:cstheme="minorHAnsi"/>
        </w:rPr>
      </w:pPr>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46</w:t>
      </w:r>
      <w:r w:rsidR="009D6600" w:rsidRPr="00747E35">
        <w:rPr>
          <w:rFonts w:cstheme="minorHAnsi"/>
          <w:noProof/>
        </w:rPr>
        <w:fldChar w:fldCharType="end"/>
      </w:r>
      <w:r w:rsidRPr="00747E35">
        <w:rPr>
          <w:rFonts w:cstheme="minorHAnsi"/>
        </w:rPr>
        <w:t xml:space="preserve">: List of macroinvertebrate taxa recorded at sites in the Maules Creek </w:t>
      </w:r>
      <w:r w:rsidR="00AB6396">
        <w:rPr>
          <w:rFonts w:cstheme="minorHAnsi"/>
        </w:rPr>
        <w:t>c</w:t>
      </w:r>
      <w:r w:rsidRPr="00747E35">
        <w:rPr>
          <w:rFonts w:cstheme="minorHAnsi"/>
        </w:rPr>
        <w:t xml:space="preserve">atchment and upper Bremer River </w:t>
      </w:r>
      <w:r w:rsidR="00AB6396">
        <w:rPr>
          <w:rFonts w:cstheme="minorHAnsi"/>
        </w:rPr>
        <w:t>c</w:t>
      </w:r>
      <w:r w:rsidRPr="00747E35">
        <w:rPr>
          <w:rFonts w:cstheme="minorHAnsi"/>
        </w:rPr>
        <w:t>atchment</w:t>
      </w:r>
      <w:r w:rsidR="00AB6396">
        <w:rPr>
          <w:rFonts w:cstheme="minorHAnsi"/>
        </w:rPr>
        <w:t xml:space="preserve"> (NI refers to taxa Not Idenetifiable). </w:t>
      </w:r>
    </w:p>
    <w:tbl>
      <w:tblPr>
        <w:tblStyle w:val="ListTable6Colorful1"/>
        <w:tblW w:w="4981" w:type="pct"/>
        <w:tblLook w:val="0620" w:firstRow="1" w:lastRow="0" w:firstColumn="0" w:lastColumn="0" w:noHBand="1" w:noVBand="1"/>
      </w:tblPr>
      <w:tblGrid>
        <w:gridCol w:w="893"/>
        <w:gridCol w:w="935"/>
        <w:gridCol w:w="893"/>
        <w:gridCol w:w="1011"/>
        <w:gridCol w:w="1339"/>
        <w:gridCol w:w="1315"/>
        <w:gridCol w:w="1092"/>
        <w:gridCol w:w="2123"/>
      </w:tblGrid>
      <w:tr w:rsidR="003D3694" w:rsidRPr="00747E35" w14:paraId="25D40A2E" w14:textId="77777777" w:rsidTr="00D062C2">
        <w:trPr>
          <w:cnfStyle w:val="100000000000" w:firstRow="1" w:lastRow="0" w:firstColumn="0" w:lastColumn="0" w:oddVBand="0" w:evenVBand="0" w:oddHBand="0" w:evenHBand="0" w:firstRowFirstColumn="0" w:firstRowLastColumn="0" w:lastRowFirstColumn="0" w:lastRowLastColumn="0"/>
          <w:trHeight w:val="57"/>
          <w:tblHeader/>
        </w:trPr>
        <w:tc>
          <w:tcPr>
            <w:tcW w:w="473" w:type="pct"/>
            <w:shd w:val="clear" w:color="auto" w:fill="DEEAF6" w:themeFill="accent1" w:themeFillTint="33"/>
            <w:noWrap/>
            <w:hideMark/>
          </w:tcPr>
          <w:p w14:paraId="2E45CC3A" w14:textId="77777777" w:rsidR="003D3694" w:rsidRPr="00747E35" w:rsidRDefault="003D3694" w:rsidP="0096743A">
            <w:pPr>
              <w:pStyle w:val="TableHead"/>
              <w:spacing w:before="0" w:after="0"/>
              <w:rPr>
                <w:rFonts w:asciiTheme="minorHAnsi" w:hAnsiTheme="minorHAnsi" w:cstheme="minorHAnsi"/>
                <w:b/>
              </w:rPr>
            </w:pPr>
            <w:r w:rsidRPr="00747E35">
              <w:rPr>
                <w:rFonts w:asciiTheme="minorHAnsi" w:hAnsiTheme="minorHAnsi" w:cstheme="minorHAnsi"/>
                <w:b/>
              </w:rPr>
              <w:t>Phylum</w:t>
            </w:r>
          </w:p>
        </w:tc>
        <w:tc>
          <w:tcPr>
            <w:tcW w:w="495" w:type="pct"/>
            <w:shd w:val="clear" w:color="auto" w:fill="DEEAF6" w:themeFill="accent1" w:themeFillTint="33"/>
            <w:noWrap/>
            <w:hideMark/>
          </w:tcPr>
          <w:p w14:paraId="46B89A52" w14:textId="77777777" w:rsidR="003D3694" w:rsidRPr="00747E35" w:rsidRDefault="003D3694" w:rsidP="0096743A">
            <w:pPr>
              <w:pStyle w:val="TableHead"/>
              <w:spacing w:before="0" w:after="0"/>
              <w:rPr>
                <w:rFonts w:asciiTheme="minorHAnsi" w:hAnsiTheme="minorHAnsi" w:cstheme="minorHAnsi"/>
                <w:b/>
              </w:rPr>
            </w:pPr>
            <w:r w:rsidRPr="00747E35">
              <w:rPr>
                <w:rFonts w:asciiTheme="minorHAnsi" w:hAnsiTheme="minorHAnsi" w:cstheme="minorHAnsi"/>
                <w:b/>
              </w:rPr>
              <w:t>Class</w:t>
            </w:r>
          </w:p>
        </w:tc>
        <w:tc>
          <w:tcPr>
            <w:tcW w:w="473" w:type="pct"/>
            <w:shd w:val="clear" w:color="auto" w:fill="DEEAF6" w:themeFill="accent1" w:themeFillTint="33"/>
            <w:noWrap/>
            <w:hideMark/>
          </w:tcPr>
          <w:p w14:paraId="3305200B" w14:textId="77777777" w:rsidR="003D3694" w:rsidRPr="00747E35" w:rsidRDefault="003D3694" w:rsidP="0096743A">
            <w:pPr>
              <w:pStyle w:val="TableHead"/>
              <w:spacing w:before="0" w:after="0"/>
              <w:rPr>
                <w:rFonts w:asciiTheme="minorHAnsi" w:hAnsiTheme="minorHAnsi" w:cstheme="minorHAnsi"/>
                <w:b/>
              </w:rPr>
            </w:pPr>
            <w:r w:rsidRPr="00747E35">
              <w:rPr>
                <w:rFonts w:asciiTheme="minorHAnsi" w:hAnsiTheme="minorHAnsi" w:cstheme="minorHAnsi"/>
                <w:b/>
              </w:rPr>
              <w:t>Order</w:t>
            </w:r>
          </w:p>
        </w:tc>
        <w:tc>
          <w:tcPr>
            <w:tcW w:w="473" w:type="pct"/>
            <w:shd w:val="clear" w:color="auto" w:fill="DEEAF6" w:themeFill="accent1" w:themeFillTint="33"/>
            <w:noWrap/>
            <w:hideMark/>
          </w:tcPr>
          <w:p w14:paraId="66AB212F" w14:textId="110E1F7B" w:rsidR="003D3694" w:rsidRPr="00747E35" w:rsidRDefault="00C80858" w:rsidP="00C80858">
            <w:pPr>
              <w:pStyle w:val="TableHead"/>
              <w:spacing w:before="0" w:after="0"/>
              <w:rPr>
                <w:rFonts w:asciiTheme="minorHAnsi" w:hAnsiTheme="minorHAnsi" w:cstheme="minorHAnsi"/>
                <w:b/>
              </w:rPr>
            </w:pPr>
            <w:r w:rsidRPr="00747E35">
              <w:rPr>
                <w:rFonts w:asciiTheme="minorHAnsi" w:hAnsiTheme="minorHAnsi" w:cstheme="minorHAnsi"/>
                <w:b/>
              </w:rPr>
              <w:t>SubO</w:t>
            </w:r>
            <w:r w:rsidR="003D3694" w:rsidRPr="00747E35">
              <w:rPr>
                <w:rFonts w:asciiTheme="minorHAnsi" w:hAnsiTheme="minorHAnsi" w:cstheme="minorHAnsi"/>
                <w:b/>
              </w:rPr>
              <w:t>rder</w:t>
            </w:r>
          </w:p>
        </w:tc>
        <w:tc>
          <w:tcPr>
            <w:tcW w:w="705" w:type="pct"/>
            <w:shd w:val="clear" w:color="auto" w:fill="DEEAF6" w:themeFill="accent1" w:themeFillTint="33"/>
            <w:noWrap/>
            <w:hideMark/>
          </w:tcPr>
          <w:p w14:paraId="4E24E416" w14:textId="77777777" w:rsidR="003D3694" w:rsidRPr="00747E35" w:rsidRDefault="003D3694" w:rsidP="0096743A">
            <w:pPr>
              <w:pStyle w:val="TableHead"/>
              <w:spacing w:before="0" w:after="0"/>
              <w:rPr>
                <w:rFonts w:asciiTheme="minorHAnsi" w:hAnsiTheme="minorHAnsi" w:cstheme="minorHAnsi"/>
                <w:b/>
              </w:rPr>
            </w:pPr>
            <w:r w:rsidRPr="00747E35">
              <w:rPr>
                <w:rFonts w:asciiTheme="minorHAnsi" w:hAnsiTheme="minorHAnsi" w:cstheme="minorHAnsi"/>
                <w:b/>
              </w:rPr>
              <w:t>Common</w:t>
            </w:r>
          </w:p>
        </w:tc>
        <w:tc>
          <w:tcPr>
            <w:tcW w:w="692" w:type="pct"/>
            <w:shd w:val="clear" w:color="auto" w:fill="DEEAF6" w:themeFill="accent1" w:themeFillTint="33"/>
            <w:noWrap/>
            <w:hideMark/>
          </w:tcPr>
          <w:p w14:paraId="784EFBED" w14:textId="77777777" w:rsidR="003D3694" w:rsidRPr="00747E35" w:rsidRDefault="003D3694" w:rsidP="0096743A">
            <w:pPr>
              <w:pStyle w:val="TableHead"/>
              <w:spacing w:before="0" w:after="0"/>
              <w:rPr>
                <w:rFonts w:asciiTheme="minorHAnsi" w:hAnsiTheme="minorHAnsi" w:cstheme="minorHAnsi"/>
                <w:b/>
              </w:rPr>
            </w:pPr>
            <w:r w:rsidRPr="00747E35">
              <w:rPr>
                <w:rFonts w:asciiTheme="minorHAnsi" w:hAnsiTheme="minorHAnsi" w:cstheme="minorHAnsi"/>
                <w:b/>
              </w:rPr>
              <w:t>Family</w:t>
            </w:r>
          </w:p>
        </w:tc>
        <w:tc>
          <w:tcPr>
            <w:tcW w:w="576" w:type="pct"/>
            <w:shd w:val="clear" w:color="auto" w:fill="DEEAF6" w:themeFill="accent1" w:themeFillTint="33"/>
            <w:noWrap/>
            <w:hideMark/>
          </w:tcPr>
          <w:p w14:paraId="0923AE6F" w14:textId="77777777" w:rsidR="003D3694" w:rsidRPr="00747E35" w:rsidRDefault="003D3694" w:rsidP="0096743A">
            <w:pPr>
              <w:pStyle w:val="TableHead"/>
              <w:spacing w:before="0" w:after="0"/>
              <w:rPr>
                <w:rFonts w:asciiTheme="minorHAnsi" w:hAnsiTheme="minorHAnsi" w:cstheme="minorHAnsi"/>
                <w:b/>
              </w:rPr>
            </w:pPr>
            <w:r w:rsidRPr="00747E35">
              <w:rPr>
                <w:rFonts w:asciiTheme="minorHAnsi" w:hAnsiTheme="minorHAnsi" w:cstheme="minorHAnsi"/>
                <w:b/>
              </w:rPr>
              <w:t>SubFamily</w:t>
            </w:r>
          </w:p>
        </w:tc>
        <w:tc>
          <w:tcPr>
            <w:tcW w:w="1112" w:type="pct"/>
            <w:shd w:val="clear" w:color="auto" w:fill="DEEAF6" w:themeFill="accent1" w:themeFillTint="33"/>
            <w:noWrap/>
            <w:hideMark/>
          </w:tcPr>
          <w:p w14:paraId="38E78B34" w14:textId="77777777" w:rsidR="003D3694" w:rsidRPr="00747E35" w:rsidRDefault="003D3694" w:rsidP="0096743A">
            <w:pPr>
              <w:pStyle w:val="TableHead"/>
              <w:spacing w:before="0" w:after="0"/>
              <w:rPr>
                <w:rFonts w:asciiTheme="minorHAnsi" w:hAnsiTheme="minorHAnsi" w:cstheme="minorHAnsi"/>
                <w:b/>
              </w:rPr>
            </w:pPr>
            <w:r w:rsidRPr="00747E35">
              <w:rPr>
                <w:rFonts w:asciiTheme="minorHAnsi" w:hAnsiTheme="minorHAnsi" w:cstheme="minorHAnsi"/>
                <w:b/>
              </w:rPr>
              <w:t>Genus</w:t>
            </w:r>
          </w:p>
        </w:tc>
      </w:tr>
      <w:tr w:rsidR="003D3694" w:rsidRPr="00747E35" w14:paraId="52243D15" w14:textId="77777777" w:rsidTr="00C80858">
        <w:trPr>
          <w:trHeight w:val="57"/>
        </w:trPr>
        <w:tc>
          <w:tcPr>
            <w:tcW w:w="473" w:type="pct"/>
            <w:noWrap/>
            <w:hideMark/>
          </w:tcPr>
          <w:p w14:paraId="52975AB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137F9CF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Acarina</w:t>
            </w:r>
          </w:p>
        </w:tc>
        <w:tc>
          <w:tcPr>
            <w:tcW w:w="473" w:type="pct"/>
            <w:noWrap/>
            <w:hideMark/>
          </w:tcPr>
          <w:p w14:paraId="21B6311C" w14:textId="77777777" w:rsidR="003D3694" w:rsidRPr="00747E35" w:rsidRDefault="003D3694" w:rsidP="0096743A">
            <w:pPr>
              <w:pStyle w:val="Tabletext"/>
              <w:spacing w:before="0" w:after="0"/>
              <w:rPr>
                <w:rFonts w:cstheme="minorHAnsi"/>
                <w:sz w:val="14"/>
                <w:lang w:eastAsia="en-GB"/>
              </w:rPr>
            </w:pPr>
          </w:p>
        </w:tc>
        <w:tc>
          <w:tcPr>
            <w:tcW w:w="473" w:type="pct"/>
            <w:noWrap/>
            <w:hideMark/>
          </w:tcPr>
          <w:p w14:paraId="6586D689"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00E13E0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Mite</w:t>
            </w:r>
          </w:p>
        </w:tc>
        <w:tc>
          <w:tcPr>
            <w:tcW w:w="692" w:type="pct"/>
            <w:noWrap/>
            <w:hideMark/>
          </w:tcPr>
          <w:p w14:paraId="5C1580D6" w14:textId="77777777" w:rsidR="003D3694" w:rsidRPr="00747E35" w:rsidRDefault="003D3694" w:rsidP="0096743A">
            <w:pPr>
              <w:pStyle w:val="Tabletext"/>
              <w:spacing w:before="0" w:after="0"/>
              <w:rPr>
                <w:rFonts w:cstheme="minorHAnsi"/>
                <w:sz w:val="14"/>
                <w:lang w:eastAsia="en-GB"/>
              </w:rPr>
            </w:pPr>
          </w:p>
        </w:tc>
        <w:tc>
          <w:tcPr>
            <w:tcW w:w="576" w:type="pct"/>
            <w:noWrap/>
            <w:hideMark/>
          </w:tcPr>
          <w:p w14:paraId="3FFC79F8"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53DFF76F" w14:textId="77777777" w:rsidR="003D3694" w:rsidRPr="00747E35" w:rsidRDefault="003D3694" w:rsidP="0096743A">
            <w:pPr>
              <w:pStyle w:val="Tabletext"/>
              <w:spacing w:before="0" w:after="0"/>
              <w:rPr>
                <w:rFonts w:cstheme="minorHAnsi"/>
                <w:sz w:val="14"/>
                <w:lang w:eastAsia="en-GB"/>
              </w:rPr>
            </w:pPr>
          </w:p>
        </w:tc>
      </w:tr>
      <w:tr w:rsidR="003D3694" w:rsidRPr="00747E35" w14:paraId="3CC506C7" w14:textId="77777777" w:rsidTr="00C80858">
        <w:trPr>
          <w:trHeight w:val="57"/>
        </w:trPr>
        <w:tc>
          <w:tcPr>
            <w:tcW w:w="473" w:type="pct"/>
            <w:noWrap/>
            <w:hideMark/>
          </w:tcPr>
          <w:p w14:paraId="53482DB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130E8C3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Crustacea</w:t>
            </w:r>
          </w:p>
        </w:tc>
        <w:tc>
          <w:tcPr>
            <w:tcW w:w="946" w:type="pct"/>
            <w:gridSpan w:val="2"/>
            <w:noWrap/>
            <w:hideMark/>
          </w:tcPr>
          <w:p w14:paraId="3025DF7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Cyclopoida</w:t>
            </w:r>
          </w:p>
        </w:tc>
        <w:tc>
          <w:tcPr>
            <w:tcW w:w="705" w:type="pct"/>
            <w:noWrap/>
            <w:hideMark/>
          </w:tcPr>
          <w:p w14:paraId="37F9B42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Cladoceran</w:t>
            </w:r>
          </w:p>
        </w:tc>
        <w:tc>
          <w:tcPr>
            <w:tcW w:w="1268" w:type="pct"/>
            <w:gridSpan w:val="2"/>
            <w:noWrap/>
            <w:hideMark/>
          </w:tcPr>
          <w:p w14:paraId="0180848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Chydoridae</w:t>
            </w:r>
          </w:p>
        </w:tc>
        <w:tc>
          <w:tcPr>
            <w:tcW w:w="1112" w:type="pct"/>
            <w:noWrap/>
            <w:hideMark/>
          </w:tcPr>
          <w:p w14:paraId="3A67D78D" w14:textId="77777777" w:rsidR="003D3694" w:rsidRPr="00747E35" w:rsidRDefault="003D3694" w:rsidP="0096743A">
            <w:pPr>
              <w:pStyle w:val="Tabletext"/>
              <w:spacing w:before="0" w:after="0"/>
              <w:rPr>
                <w:rFonts w:cstheme="minorHAnsi"/>
                <w:sz w:val="14"/>
                <w:lang w:eastAsia="en-GB"/>
              </w:rPr>
            </w:pPr>
          </w:p>
        </w:tc>
      </w:tr>
      <w:tr w:rsidR="003D3694" w:rsidRPr="00747E35" w14:paraId="0F60F6FB" w14:textId="77777777" w:rsidTr="00C80858">
        <w:trPr>
          <w:trHeight w:val="57"/>
        </w:trPr>
        <w:tc>
          <w:tcPr>
            <w:tcW w:w="473" w:type="pct"/>
            <w:noWrap/>
            <w:hideMark/>
          </w:tcPr>
          <w:p w14:paraId="6DA1DB5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756819F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Crustacea</w:t>
            </w:r>
          </w:p>
        </w:tc>
        <w:tc>
          <w:tcPr>
            <w:tcW w:w="946" w:type="pct"/>
            <w:gridSpan w:val="2"/>
            <w:noWrap/>
            <w:hideMark/>
          </w:tcPr>
          <w:p w14:paraId="35B889F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Cyclopoida</w:t>
            </w:r>
          </w:p>
        </w:tc>
        <w:tc>
          <w:tcPr>
            <w:tcW w:w="705" w:type="pct"/>
            <w:noWrap/>
            <w:hideMark/>
          </w:tcPr>
          <w:p w14:paraId="0391D15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Cladoceran</w:t>
            </w:r>
          </w:p>
        </w:tc>
        <w:tc>
          <w:tcPr>
            <w:tcW w:w="1268" w:type="pct"/>
            <w:gridSpan w:val="2"/>
            <w:noWrap/>
            <w:hideMark/>
          </w:tcPr>
          <w:p w14:paraId="0C183C0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Daphniidae</w:t>
            </w:r>
          </w:p>
        </w:tc>
        <w:tc>
          <w:tcPr>
            <w:tcW w:w="1112" w:type="pct"/>
            <w:noWrap/>
            <w:hideMark/>
          </w:tcPr>
          <w:p w14:paraId="18C31748" w14:textId="77777777" w:rsidR="003D3694" w:rsidRPr="00747E35" w:rsidRDefault="003D3694" w:rsidP="0096743A">
            <w:pPr>
              <w:pStyle w:val="Tabletext"/>
              <w:spacing w:before="0" w:after="0"/>
              <w:rPr>
                <w:rFonts w:cstheme="minorHAnsi"/>
                <w:sz w:val="14"/>
                <w:lang w:eastAsia="en-GB"/>
              </w:rPr>
            </w:pPr>
          </w:p>
        </w:tc>
      </w:tr>
      <w:tr w:rsidR="003D3694" w:rsidRPr="00747E35" w14:paraId="4A053E6D" w14:textId="77777777" w:rsidTr="00C80858">
        <w:trPr>
          <w:trHeight w:val="57"/>
        </w:trPr>
        <w:tc>
          <w:tcPr>
            <w:tcW w:w="473" w:type="pct"/>
            <w:noWrap/>
            <w:hideMark/>
          </w:tcPr>
          <w:p w14:paraId="15EFBC2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2911C3C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Crustacea</w:t>
            </w:r>
          </w:p>
        </w:tc>
        <w:tc>
          <w:tcPr>
            <w:tcW w:w="946" w:type="pct"/>
            <w:gridSpan w:val="2"/>
            <w:noWrap/>
            <w:hideMark/>
          </w:tcPr>
          <w:p w14:paraId="2990E8E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Cyclopoida</w:t>
            </w:r>
          </w:p>
        </w:tc>
        <w:tc>
          <w:tcPr>
            <w:tcW w:w="705" w:type="pct"/>
            <w:noWrap/>
            <w:hideMark/>
          </w:tcPr>
          <w:p w14:paraId="3743116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Copepod</w:t>
            </w:r>
          </w:p>
        </w:tc>
        <w:tc>
          <w:tcPr>
            <w:tcW w:w="692" w:type="pct"/>
            <w:noWrap/>
            <w:hideMark/>
          </w:tcPr>
          <w:p w14:paraId="22FF5417" w14:textId="77777777" w:rsidR="003D3694" w:rsidRPr="00747E35" w:rsidRDefault="003D3694" w:rsidP="0096743A">
            <w:pPr>
              <w:pStyle w:val="Tabletext"/>
              <w:spacing w:before="0" w:after="0"/>
              <w:rPr>
                <w:rFonts w:cstheme="minorHAnsi"/>
                <w:sz w:val="14"/>
                <w:lang w:eastAsia="en-GB"/>
              </w:rPr>
            </w:pPr>
          </w:p>
        </w:tc>
        <w:tc>
          <w:tcPr>
            <w:tcW w:w="576" w:type="pct"/>
            <w:noWrap/>
            <w:hideMark/>
          </w:tcPr>
          <w:p w14:paraId="3849CE9F"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0288828E" w14:textId="77777777" w:rsidR="003D3694" w:rsidRPr="00747E35" w:rsidRDefault="003D3694" w:rsidP="0096743A">
            <w:pPr>
              <w:pStyle w:val="Tabletext"/>
              <w:spacing w:before="0" w:after="0"/>
              <w:rPr>
                <w:rFonts w:cstheme="minorHAnsi"/>
                <w:sz w:val="14"/>
                <w:lang w:eastAsia="en-GB"/>
              </w:rPr>
            </w:pPr>
          </w:p>
        </w:tc>
      </w:tr>
      <w:tr w:rsidR="003D3694" w:rsidRPr="00747E35" w14:paraId="1A9DAB8D" w14:textId="77777777" w:rsidTr="00C80858">
        <w:trPr>
          <w:trHeight w:val="57"/>
        </w:trPr>
        <w:tc>
          <w:tcPr>
            <w:tcW w:w="473" w:type="pct"/>
            <w:noWrap/>
            <w:hideMark/>
          </w:tcPr>
          <w:p w14:paraId="4638C85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0B69D1C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Crustacea</w:t>
            </w:r>
          </w:p>
        </w:tc>
        <w:tc>
          <w:tcPr>
            <w:tcW w:w="473" w:type="pct"/>
            <w:noWrap/>
            <w:hideMark/>
          </w:tcPr>
          <w:p w14:paraId="75A1668D"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Decapoda</w:t>
            </w:r>
          </w:p>
        </w:tc>
        <w:tc>
          <w:tcPr>
            <w:tcW w:w="473" w:type="pct"/>
            <w:noWrap/>
            <w:hideMark/>
          </w:tcPr>
          <w:p w14:paraId="4BE83651"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2678AE7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Yabbie/Shrimp</w:t>
            </w:r>
          </w:p>
        </w:tc>
        <w:tc>
          <w:tcPr>
            <w:tcW w:w="692" w:type="pct"/>
            <w:noWrap/>
            <w:hideMark/>
          </w:tcPr>
          <w:p w14:paraId="7EC9304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Atyidae</w:t>
            </w:r>
          </w:p>
        </w:tc>
        <w:tc>
          <w:tcPr>
            <w:tcW w:w="576" w:type="pct"/>
            <w:noWrap/>
            <w:hideMark/>
          </w:tcPr>
          <w:p w14:paraId="074D8D47"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453197E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Paratya</w:t>
            </w:r>
          </w:p>
        </w:tc>
      </w:tr>
      <w:tr w:rsidR="003D3694" w:rsidRPr="00747E35" w14:paraId="724536DB" w14:textId="77777777" w:rsidTr="00C80858">
        <w:trPr>
          <w:trHeight w:val="57"/>
        </w:trPr>
        <w:tc>
          <w:tcPr>
            <w:tcW w:w="473" w:type="pct"/>
            <w:noWrap/>
            <w:hideMark/>
          </w:tcPr>
          <w:p w14:paraId="2DCAF4E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5E21E9A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Crustacea</w:t>
            </w:r>
          </w:p>
        </w:tc>
        <w:tc>
          <w:tcPr>
            <w:tcW w:w="473" w:type="pct"/>
            <w:noWrap/>
            <w:hideMark/>
          </w:tcPr>
          <w:p w14:paraId="560CA9A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Decapoda</w:t>
            </w:r>
          </w:p>
        </w:tc>
        <w:tc>
          <w:tcPr>
            <w:tcW w:w="473" w:type="pct"/>
            <w:noWrap/>
            <w:hideMark/>
          </w:tcPr>
          <w:p w14:paraId="3ED5D957"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2CFFBEBD"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Yabbie/Shrimp</w:t>
            </w:r>
          </w:p>
        </w:tc>
        <w:tc>
          <w:tcPr>
            <w:tcW w:w="1268" w:type="pct"/>
            <w:gridSpan w:val="2"/>
            <w:noWrap/>
            <w:hideMark/>
          </w:tcPr>
          <w:p w14:paraId="6A45343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Parastacidae</w:t>
            </w:r>
          </w:p>
        </w:tc>
        <w:tc>
          <w:tcPr>
            <w:tcW w:w="1112" w:type="pct"/>
            <w:noWrap/>
            <w:hideMark/>
          </w:tcPr>
          <w:p w14:paraId="7BF1473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Cherax</w:t>
            </w:r>
          </w:p>
        </w:tc>
      </w:tr>
      <w:tr w:rsidR="003D3694" w:rsidRPr="00747E35" w14:paraId="34899F18" w14:textId="77777777" w:rsidTr="00C80858">
        <w:trPr>
          <w:trHeight w:val="57"/>
        </w:trPr>
        <w:tc>
          <w:tcPr>
            <w:tcW w:w="473" w:type="pct"/>
            <w:noWrap/>
            <w:hideMark/>
          </w:tcPr>
          <w:p w14:paraId="64566CC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629762C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Crustacea</w:t>
            </w:r>
          </w:p>
        </w:tc>
        <w:tc>
          <w:tcPr>
            <w:tcW w:w="946" w:type="pct"/>
            <w:gridSpan w:val="2"/>
            <w:noWrap/>
            <w:hideMark/>
          </w:tcPr>
          <w:p w14:paraId="64B4983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Podocopida</w:t>
            </w:r>
          </w:p>
        </w:tc>
        <w:tc>
          <w:tcPr>
            <w:tcW w:w="1397" w:type="pct"/>
            <w:gridSpan w:val="2"/>
            <w:noWrap/>
            <w:hideMark/>
          </w:tcPr>
          <w:p w14:paraId="7F40A42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Seed Shrimp</w:t>
            </w:r>
          </w:p>
        </w:tc>
        <w:tc>
          <w:tcPr>
            <w:tcW w:w="576" w:type="pct"/>
            <w:noWrap/>
            <w:hideMark/>
          </w:tcPr>
          <w:p w14:paraId="6DE7AB56"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6BA503A4" w14:textId="77777777" w:rsidR="003D3694" w:rsidRPr="00747E35" w:rsidRDefault="003D3694" w:rsidP="0096743A">
            <w:pPr>
              <w:pStyle w:val="Tabletext"/>
              <w:spacing w:before="0" w:after="0"/>
              <w:rPr>
                <w:rFonts w:cstheme="minorHAnsi"/>
                <w:sz w:val="14"/>
                <w:lang w:eastAsia="en-GB"/>
              </w:rPr>
            </w:pPr>
          </w:p>
        </w:tc>
      </w:tr>
      <w:tr w:rsidR="003D3694" w:rsidRPr="00747E35" w14:paraId="2AB390AB" w14:textId="77777777" w:rsidTr="00C80858">
        <w:trPr>
          <w:trHeight w:val="57"/>
        </w:trPr>
        <w:tc>
          <w:tcPr>
            <w:tcW w:w="473" w:type="pct"/>
            <w:noWrap/>
            <w:hideMark/>
          </w:tcPr>
          <w:p w14:paraId="1EA9209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5953A4D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78E75BC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Coleoptera</w:t>
            </w:r>
          </w:p>
        </w:tc>
        <w:tc>
          <w:tcPr>
            <w:tcW w:w="705" w:type="pct"/>
            <w:noWrap/>
            <w:hideMark/>
          </w:tcPr>
          <w:p w14:paraId="5EB8469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Beetle Adult</w:t>
            </w:r>
          </w:p>
        </w:tc>
        <w:tc>
          <w:tcPr>
            <w:tcW w:w="692" w:type="pct"/>
            <w:noWrap/>
            <w:hideMark/>
          </w:tcPr>
          <w:p w14:paraId="5E7A022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Dytiscidae</w:t>
            </w:r>
          </w:p>
        </w:tc>
        <w:tc>
          <w:tcPr>
            <w:tcW w:w="576" w:type="pct"/>
            <w:noWrap/>
            <w:hideMark/>
          </w:tcPr>
          <w:p w14:paraId="09B06097"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4E7647F6" w14:textId="77777777" w:rsidR="003D3694" w:rsidRPr="00747E35" w:rsidRDefault="003D3694" w:rsidP="0096743A">
            <w:pPr>
              <w:pStyle w:val="Tabletext"/>
              <w:spacing w:before="0" w:after="0"/>
              <w:rPr>
                <w:rFonts w:cstheme="minorHAnsi"/>
                <w:sz w:val="14"/>
                <w:lang w:eastAsia="en-GB"/>
              </w:rPr>
            </w:pPr>
          </w:p>
        </w:tc>
      </w:tr>
      <w:tr w:rsidR="003D3694" w:rsidRPr="00747E35" w14:paraId="4C429EBD" w14:textId="77777777" w:rsidTr="00C80858">
        <w:trPr>
          <w:trHeight w:val="57"/>
        </w:trPr>
        <w:tc>
          <w:tcPr>
            <w:tcW w:w="473" w:type="pct"/>
            <w:noWrap/>
            <w:hideMark/>
          </w:tcPr>
          <w:p w14:paraId="45C1C3F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3587BE6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339FA5C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Coleoptera</w:t>
            </w:r>
          </w:p>
        </w:tc>
        <w:tc>
          <w:tcPr>
            <w:tcW w:w="705" w:type="pct"/>
            <w:noWrap/>
            <w:hideMark/>
          </w:tcPr>
          <w:p w14:paraId="0EA74D3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Beetle Larvae</w:t>
            </w:r>
          </w:p>
        </w:tc>
        <w:tc>
          <w:tcPr>
            <w:tcW w:w="692" w:type="pct"/>
            <w:noWrap/>
            <w:hideMark/>
          </w:tcPr>
          <w:p w14:paraId="4348DD0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Dytiscidae</w:t>
            </w:r>
          </w:p>
        </w:tc>
        <w:tc>
          <w:tcPr>
            <w:tcW w:w="576" w:type="pct"/>
            <w:noWrap/>
            <w:hideMark/>
          </w:tcPr>
          <w:p w14:paraId="5D53AD3B"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6E2994E9" w14:textId="77777777" w:rsidR="003D3694" w:rsidRPr="00747E35" w:rsidRDefault="003D3694" w:rsidP="0096743A">
            <w:pPr>
              <w:pStyle w:val="Tabletext"/>
              <w:spacing w:before="0" w:after="0"/>
              <w:rPr>
                <w:rFonts w:cstheme="minorHAnsi"/>
                <w:sz w:val="14"/>
                <w:lang w:eastAsia="en-GB"/>
              </w:rPr>
            </w:pPr>
          </w:p>
        </w:tc>
      </w:tr>
      <w:tr w:rsidR="003D3694" w:rsidRPr="00747E35" w14:paraId="41EDD45D" w14:textId="77777777" w:rsidTr="00C80858">
        <w:trPr>
          <w:trHeight w:val="57"/>
        </w:trPr>
        <w:tc>
          <w:tcPr>
            <w:tcW w:w="473" w:type="pct"/>
            <w:noWrap/>
            <w:hideMark/>
          </w:tcPr>
          <w:p w14:paraId="32D0884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050A1BC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6FD7D23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Coleoptera</w:t>
            </w:r>
          </w:p>
        </w:tc>
        <w:tc>
          <w:tcPr>
            <w:tcW w:w="705" w:type="pct"/>
            <w:noWrap/>
            <w:hideMark/>
          </w:tcPr>
          <w:p w14:paraId="45A97C8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Beetle Adult</w:t>
            </w:r>
          </w:p>
        </w:tc>
        <w:tc>
          <w:tcPr>
            <w:tcW w:w="692" w:type="pct"/>
            <w:noWrap/>
            <w:hideMark/>
          </w:tcPr>
          <w:p w14:paraId="121AFF0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Elmidae</w:t>
            </w:r>
          </w:p>
        </w:tc>
        <w:tc>
          <w:tcPr>
            <w:tcW w:w="576" w:type="pct"/>
            <w:noWrap/>
            <w:hideMark/>
          </w:tcPr>
          <w:p w14:paraId="30B60A3B"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52B341BD" w14:textId="77777777" w:rsidR="003D3694" w:rsidRPr="00747E35" w:rsidRDefault="003D3694" w:rsidP="0096743A">
            <w:pPr>
              <w:pStyle w:val="Tabletext"/>
              <w:spacing w:before="0" w:after="0"/>
              <w:rPr>
                <w:rFonts w:cstheme="minorHAnsi"/>
                <w:sz w:val="14"/>
                <w:lang w:eastAsia="en-GB"/>
              </w:rPr>
            </w:pPr>
          </w:p>
        </w:tc>
      </w:tr>
      <w:tr w:rsidR="003D3694" w:rsidRPr="00747E35" w14:paraId="675C5DD9" w14:textId="77777777" w:rsidTr="00C80858">
        <w:trPr>
          <w:trHeight w:val="57"/>
        </w:trPr>
        <w:tc>
          <w:tcPr>
            <w:tcW w:w="473" w:type="pct"/>
            <w:noWrap/>
            <w:hideMark/>
          </w:tcPr>
          <w:p w14:paraId="5BF8D26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73AD3C8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57F7988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Coleoptera</w:t>
            </w:r>
          </w:p>
        </w:tc>
        <w:tc>
          <w:tcPr>
            <w:tcW w:w="705" w:type="pct"/>
            <w:noWrap/>
            <w:hideMark/>
          </w:tcPr>
          <w:p w14:paraId="50A24CC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Beetle Larvae</w:t>
            </w:r>
          </w:p>
        </w:tc>
        <w:tc>
          <w:tcPr>
            <w:tcW w:w="692" w:type="pct"/>
            <w:noWrap/>
            <w:hideMark/>
          </w:tcPr>
          <w:p w14:paraId="7D6845C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Elmidae</w:t>
            </w:r>
          </w:p>
        </w:tc>
        <w:tc>
          <w:tcPr>
            <w:tcW w:w="576" w:type="pct"/>
            <w:noWrap/>
            <w:hideMark/>
          </w:tcPr>
          <w:p w14:paraId="244AF609"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6ACD7708" w14:textId="77777777" w:rsidR="003D3694" w:rsidRPr="00747E35" w:rsidRDefault="003D3694" w:rsidP="0096743A">
            <w:pPr>
              <w:pStyle w:val="Tabletext"/>
              <w:spacing w:before="0" w:after="0"/>
              <w:rPr>
                <w:rFonts w:cstheme="minorHAnsi"/>
                <w:sz w:val="14"/>
                <w:lang w:eastAsia="en-GB"/>
              </w:rPr>
            </w:pPr>
          </w:p>
        </w:tc>
      </w:tr>
      <w:tr w:rsidR="003D3694" w:rsidRPr="00747E35" w14:paraId="0DD10B20" w14:textId="77777777" w:rsidTr="00C80858">
        <w:trPr>
          <w:trHeight w:val="57"/>
        </w:trPr>
        <w:tc>
          <w:tcPr>
            <w:tcW w:w="473" w:type="pct"/>
            <w:noWrap/>
            <w:hideMark/>
          </w:tcPr>
          <w:p w14:paraId="5D89360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73EBAA5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32F219E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Coleoptera</w:t>
            </w:r>
          </w:p>
        </w:tc>
        <w:tc>
          <w:tcPr>
            <w:tcW w:w="705" w:type="pct"/>
            <w:noWrap/>
            <w:hideMark/>
          </w:tcPr>
          <w:p w14:paraId="0CD988F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Beetle Larvae</w:t>
            </w:r>
          </w:p>
        </w:tc>
        <w:tc>
          <w:tcPr>
            <w:tcW w:w="692" w:type="pct"/>
            <w:noWrap/>
            <w:hideMark/>
          </w:tcPr>
          <w:p w14:paraId="10684CD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Gyrinidae</w:t>
            </w:r>
          </w:p>
        </w:tc>
        <w:tc>
          <w:tcPr>
            <w:tcW w:w="576" w:type="pct"/>
            <w:noWrap/>
            <w:hideMark/>
          </w:tcPr>
          <w:p w14:paraId="0C58972B"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3DAC15E7" w14:textId="77777777" w:rsidR="003D3694" w:rsidRPr="00747E35" w:rsidRDefault="003D3694" w:rsidP="0096743A">
            <w:pPr>
              <w:pStyle w:val="Tabletext"/>
              <w:spacing w:before="0" w:after="0"/>
              <w:rPr>
                <w:rFonts w:cstheme="minorHAnsi"/>
                <w:sz w:val="14"/>
                <w:lang w:eastAsia="en-GB"/>
              </w:rPr>
            </w:pPr>
          </w:p>
        </w:tc>
      </w:tr>
      <w:tr w:rsidR="003D3694" w:rsidRPr="00747E35" w14:paraId="1F348377" w14:textId="77777777" w:rsidTr="00C80858">
        <w:trPr>
          <w:trHeight w:val="57"/>
        </w:trPr>
        <w:tc>
          <w:tcPr>
            <w:tcW w:w="473" w:type="pct"/>
            <w:noWrap/>
            <w:hideMark/>
          </w:tcPr>
          <w:p w14:paraId="27A473B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6AF6EF1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1E3F427D"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Coleoptera</w:t>
            </w:r>
          </w:p>
        </w:tc>
        <w:tc>
          <w:tcPr>
            <w:tcW w:w="705" w:type="pct"/>
            <w:noWrap/>
            <w:hideMark/>
          </w:tcPr>
          <w:p w14:paraId="7BE6761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Beetle Adult</w:t>
            </w:r>
          </w:p>
        </w:tc>
        <w:tc>
          <w:tcPr>
            <w:tcW w:w="1268" w:type="pct"/>
            <w:gridSpan w:val="2"/>
            <w:noWrap/>
            <w:hideMark/>
          </w:tcPr>
          <w:p w14:paraId="534C876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Hydraenidae</w:t>
            </w:r>
          </w:p>
        </w:tc>
        <w:tc>
          <w:tcPr>
            <w:tcW w:w="1112" w:type="pct"/>
            <w:noWrap/>
            <w:hideMark/>
          </w:tcPr>
          <w:p w14:paraId="39F24B03" w14:textId="77777777" w:rsidR="003D3694" w:rsidRPr="00747E35" w:rsidRDefault="003D3694" w:rsidP="0096743A">
            <w:pPr>
              <w:pStyle w:val="Tabletext"/>
              <w:spacing w:before="0" w:after="0"/>
              <w:rPr>
                <w:rFonts w:cstheme="minorHAnsi"/>
                <w:sz w:val="14"/>
                <w:lang w:eastAsia="en-GB"/>
              </w:rPr>
            </w:pPr>
          </w:p>
        </w:tc>
      </w:tr>
      <w:tr w:rsidR="003D3694" w:rsidRPr="00747E35" w14:paraId="32BB43E0" w14:textId="77777777" w:rsidTr="00C80858">
        <w:trPr>
          <w:trHeight w:val="57"/>
        </w:trPr>
        <w:tc>
          <w:tcPr>
            <w:tcW w:w="473" w:type="pct"/>
            <w:noWrap/>
            <w:hideMark/>
          </w:tcPr>
          <w:p w14:paraId="3CA429B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00E2631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0800805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Coleoptera</w:t>
            </w:r>
          </w:p>
        </w:tc>
        <w:tc>
          <w:tcPr>
            <w:tcW w:w="705" w:type="pct"/>
            <w:noWrap/>
            <w:hideMark/>
          </w:tcPr>
          <w:p w14:paraId="16483D4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Beetle Larvae</w:t>
            </w:r>
          </w:p>
        </w:tc>
        <w:tc>
          <w:tcPr>
            <w:tcW w:w="1268" w:type="pct"/>
            <w:gridSpan w:val="2"/>
            <w:noWrap/>
            <w:hideMark/>
          </w:tcPr>
          <w:p w14:paraId="6C64CB6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Hydrochidae</w:t>
            </w:r>
          </w:p>
        </w:tc>
        <w:tc>
          <w:tcPr>
            <w:tcW w:w="1112" w:type="pct"/>
            <w:noWrap/>
            <w:hideMark/>
          </w:tcPr>
          <w:p w14:paraId="71DC7D2E" w14:textId="77777777" w:rsidR="003D3694" w:rsidRPr="00747E35" w:rsidRDefault="003D3694" w:rsidP="0096743A">
            <w:pPr>
              <w:pStyle w:val="Tabletext"/>
              <w:spacing w:before="0" w:after="0"/>
              <w:rPr>
                <w:rFonts w:cstheme="minorHAnsi"/>
                <w:sz w:val="14"/>
                <w:lang w:eastAsia="en-GB"/>
              </w:rPr>
            </w:pPr>
          </w:p>
        </w:tc>
      </w:tr>
      <w:tr w:rsidR="003D3694" w:rsidRPr="00747E35" w14:paraId="73855442" w14:textId="77777777" w:rsidTr="00C80858">
        <w:trPr>
          <w:trHeight w:val="57"/>
        </w:trPr>
        <w:tc>
          <w:tcPr>
            <w:tcW w:w="473" w:type="pct"/>
            <w:noWrap/>
            <w:hideMark/>
          </w:tcPr>
          <w:p w14:paraId="5527AD1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6E27EE1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0CE6FFE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Coleoptera</w:t>
            </w:r>
          </w:p>
        </w:tc>
        <w:tc>
          <w:tcPr>
            <w:tcW w:w="705" w:type="pct"/>
            <w:noWrap/>
            <w:hideMark/>
          </w:tcPr>
          <w:p w14:paraId="14F3A59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Beetle Adult</w:t>
            </w:r>
          </w:p>
        </w:tc>
        <w:tc>
          <w:tcPr>
            <w:tcW w:w="1268" w:type="pct"/>
            <w:gridSpan w:val="2"/>
            <w:noWrap/>
            <w:hideMark/>
          </w:tcPr>
          <w:p w14:paraId="6223A06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Hydrophilidae</w:t>
            </w:r>
          </w:p>
        </w:tc>
        <w:tc>
          <w:tcPr>
            <w:tcW w:w="1112" w:type="pct"/>
            <w:noWrap/>
            <w:hideMark/>
          </w:tcPr>
          <w:p w14:paraId="0BCDDC33" w14:textId="77777777" w:rsidR="003D3694" w:rsidRPr="00747E35" w:rsidRDefault="003D3694" w:rsidP="0096743A">
            <w:pPr>
              <w:pStyle w:val="Tabletext"/>
              <w:spacing w:before="0" w:after="0"/>
              <w:rPr>
                <w:rFonts w:cstheme="minorHAnsi"/>
                <w:sz w:val="14"/>
                <w:lang w:eastAsia="en-GB"/>
              </w:rPr>
            </w:pPr>
          </w:p>
        </w:tc>
      </w:tr>
      <w:tr w:rsidR="003D3694" w:rsidRPr="00747E35" w14:paraId="060AE7B6" w14:textId="77777777" w:rsidTr="00C80858">
        <w:trPr>
          <w:trHeight w:val="57"/>
        </w:trPr>
        <w:tc>
          <w:tcPr>
            <w:tcW w:w="473" w:type="pct"/>
            <w:noWrap/>
            <w:hideMark/>
          </w:tcPr>
          <w:p w14:paraId="5CFE6FF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281A710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196E337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Coleoptera</w:t>
            </w:r>
          </w:p>
        </w:tc>
        <w:tc>
          <w:tcPr>
            <w:tcW w:w="705" w:type="pct"/>
            <w:noWrap/>
            <w:hideMark/>
          </w:tcPr>
          <w:p w14:paraId="33BA337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Beetle Larvae</w:t>
            </w:r>
          </w:p>
        </w:tc>
        <w:tc>
          <w:tcPr>
            <w:tcW w:w="1268" w:type="pct"/>
            <w:gridSpan w:val="2"/>
            <w:noWrap/>
            <w:hideMark/>
          </w:tcPr>
          <w:p w14:paraId="0955ACD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Hydrophilidae</w:t>
            </w:r>
          </w:p>
        </w:tc>
        <w:tc>
          <w:tcPr>
            <w:tcW w:w="1112" w:type="pct"/>
            <w:noWrap/>
            <w:hideMark/>
          </w:tcPr>
          <w:p w14:paraId="36D4353B" w14:textId="77777777" w:rsidR="003D3694" w:rsidRPr="00747E35" w:rsidRDefault="003D3694" w:rsidP="0096743A">
            <w:pPr>
              <w:pStyle w:val="Tabletext"/>
              <w:spacing w:before="0" w:after="0"/>
              <w:rPr>
                <w:rFonts w:cstheme="minorHAnsi"/>
                <w:sz w:val="14"/>
                <w:lang w:eastAsia="en-GB"/>
              </w:rPr>
            </w:pPr>
          </w:p>
        </w:tc>
      </w:tr>
      <w:tr w:rsidR="003D3694" w:rsidRPr="00747E35" w14:paraId="3AF768FE" w14:textId="77777777" w:rsidTr="00C80858">
        <w:trPr>
          <w:trHeight w:val="57"/>
        </w:trPr>
        <w:tc>
          <w:tcPr>
            <w:tcW w:w="473" w:type="pct"/>
            <w:noWrap/>
            <w:hideMark/>
          </w:tcPr>
          <w:p w14:paraId="6B67EB5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0CBC214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28547A6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Coleoptera</w:t>
            </w:r>
          </w:p>
        </w:tc>
        <w:tc>
          <w:tcPr>
            <w:tcW w:w="705" w:type="pct"/>
            <w:noWrap/>
            <w:hideMark/>
          </w:tcPr>
          <w:p w14:paraId="4BE7A4D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Beetle Larvae</w:t>
            </w:r>
          </w:p>
        </w:tc>
        <w:tc>
          <w:tcPr>
            <w:tcW w:w="1268" w:type="pct"/>
            <w:gridSpan w:val="2"/>
            <w:noWrap/>
            <w:hideMark/>
          </w:tcPr>
          <w:p w14:paraId="10AACE0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Psephenidae</w:t>
            </w:r>
          </w:p>
        </w:tc>
        <w:tc>
          <w:tcPr>
            <w:tcW w:w="1112" w:type="pct"/>
            <w:noWrap/>
            <w:hideMark/>
          </w:tcPr>
          <w:p w14:paraId="03ADBB4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Sclerocyphon</w:t>
            </w:r>
          </w:p>
        </w:tc>
      </w:tr>
      <w:tr w:rsidR="003D3694" w:rsidRPr="00747E35" w14:paraId="572F0D65" w14:textId="77777777" w:rsidTr="00C80858">
        <w:trPr>
          <w:trHeight w:val="57"/>
        </w:trPr>
        <w:tc>
          <w:tcPr>
            <w:tcW w:w="473" w:type="pct"/>
            <w:noWrap/>
            <w:hideMark/>
          </w:tcPr>
          <w:p w14:paraId="4083A0F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14C291D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076115A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Coleoptera</w:t>
            </w:r>
          </w:p>
        </w:tc>
        <w:tc>
          <w:tcPr>
            <w:tcW w:w="705" w:type="pct"/>
            <w:noWrap/>
            <w:hideMark/>
          </w:tcPr>
          <w:p w14:paraId="32899FB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Beetle Larvae</w:t>
            </w:r>
          </w:p>
        </w:tc>
        <w:tc>
          <w:tcPr>
            <w:tcW w:w="692" w:type="pct"/>
            <w:noWrap/>
            <w:hideMark/>
          </w:tcPr>
          <w:p w14:paraId="64C1BBD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Scirtidae</w:t>
            </w:r>
          </w:p>
        </w:tc>
        <w:tc>
          <w:tcPr>
            <w:tcW w:w="576" w:type="pct"/>
            <w:noWrap/>
            <w:hideMark/>
          </w:tcPr>
          <w:p w14:paraId="77514C46"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04E819B6" w14:textId="77777777" w:rsidR="003D3694" w:rsidRPr="00747E35" w:rsidRDefault="003D3694" w:rsidP="0096743A">
            <w:pPr>
              <w:pStyle w:val="Tabletext"/>
              <w:spacing w:before="0" w:after="0"/>
              <w:rPr>
                <w:rFonts w:cstheme="minorHAnsi"/>
                <w:sz w:val="14"/>
                <w:lang w:eastAsia="en-GB"/>
              </w:rPr>
            </w:pPr>
          </w:p>
        </w:tc>
      </w:tr>
      <w:tr w:rsidR="003D3694" w:rsidRPr="00747E35" w14:paraId="6BFCD540" w14:textId="77777777" w:rsidTr="00C80858">
        <w:trPr>
          <w:trHeight w:val="57"/>
        </w:trPr>
        <w:tc>
          <w:tcPr>
            <w:tcW w:w="473" w:type="pct"/>
            <w:noWrap/>
            <w:hideMark/>
          </w:tcPr>
          <w:p w14:paraId="4321B0F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7E8E9BF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4002415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Diptera</w:t>
            </w:r>
          </w:p>
        </w:tc>
        <w:tc>
          <w:tcPr>
            <w:tcW w:w="473" w:type="pct"/>
            <w:noWrap/>
            <w:hideMark/>
          </w:tcPr>
          <w:p w14:paraId="3190EAE4"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1F8FE93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True fly larvae</w:t>
            </w:r>
          </w:p>
        </w:tc>
        <w:tc>
          <w:tcPr>
            <w:tcW w:w="692" w:type="pct"/>
            <w:noWrap/>
            <w:hideMark/>
          </w:tcPr>
          <w:p w14:paraId="6EF2F29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Ceratopogonidae</w:t>
            </w:r>
          </w:p>
        </w:tc>
        <w:tc>
          <w:tcPr>
            <w:tcW w:w="1689" w:type="pct"/>
            <w:gridSpan w:val="2"/>
            <w:noWrap/>
            <w:hideMark/>
          </w:tcPr>
          <w:p w14:paraId="7952791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Ceratopogoninae</w:t>
            </w:r>
          </w:p>
        </w:tc>
      </w:tr>
      <w:tr w:rsidR="003D3694" w:rsidRPr="00747E35" w14:paraId="3D9272A9" w14:textId="77777777" w:rsidTr="00C80858">
        <w:trPr>
          <w:trHeight w:val="57"/>
        </w:trPr>
        <w:tc>
          <w:tcPr>
            <w:tcW w:w="473" w:type="pct"/>
            <w:noWrap/>
            <w:hideMark/>
          </w:tcPr>
          <w:p w14:paraId="5D8DED5D"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28D7DF0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7C93EC0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Diptera</w:t>
            </w:r>
          </w:p>
        </w:tc>
        <w:tc>
          <w:tcPr>
            <w:tcW w:w="473" w:type="pct"/>
            <w:noWrap/>
            <w:hideMark/>
          </w:tcPr>
          <w:p w14:paraId="51D1C1BF"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77029F1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True fly larvae</w:t>
            </w:r>
          </w:p>
        </w:tc>
        <w:tc>
          <w:tcPr>
            <w:tcW w:w="692" w:type="pct"/>
            <w:noWrap/>
            <w:hideMark/>
          </w:tcPr>
          <w:p w14:paraId="3A9D317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Ceratopogonidae</w:t>
            </w:r>
          </w:p>
        </w:tc>
        <w:tc>
          <w:tcPr>
            <w:tcW w:w="1689" w:type="pct"/>
            <w:gridSpan w:val="2"/>
            <w:noWrap/>
            <w:hideMark/>
          </w:tcPr>
          <w:p w14:paraId="3B80218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Forcipomyiinae</w:t>
            </w:r>
          </w:p>
        </w:tc>
      </w:tr>
      <w:tr w:rsidR="003D3694" w:rsidRPr="00747E35" w14:paraId="1912332D" w14:textId="77777777" w:rsidTr="00C80858">
        <w:trPr>
          <w:trHeight w:val="57"/>
        </w:trPr>
        <w:tc>
          <w:tcPr>
            <w:tcW w:w="473" w:type="pct"/>
            <w:noWrap/>
            <w:hideMark/>
          </w:tcPr>
          <w:p w14:paraId="36458F9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25A277A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64D5662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Diptera</w:t>
            </w:r>
          </w:p>
        </w:tc>
        <w:tc>
          <w:tcPr>
            <w:tcW w:w="473" w:type="pct"/>
            <w:noWrap/>
            <w:hideMark/>
          </w:tcPr>
          <w:p w14:paraId="69BC1B16"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70681B0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True fly larvae</w:t>
            </w:r>
          </w:p>
        </w:tc>
        <w:tc>
          <w:tcPr>
            <w:tcW w:w="1268" w:type="pct"/>
            <w:gridSpan w:val="2"/>
            <w:noWrap/>
            <w:hideMark/>
          </w:tcPr>
          <w:p w14:paraId="64E25F1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Chironominae</w:t>
            </w:r>
          </w:p>
        </w:tc>
        <w:tc>
          <w:tcPr>
            <w:tcW w:w="1112" w:type="pct"/>
            <w:noWrap/>
            <w:hideMark/>
          </w:tcPr>
          <w:p w14:paraId="5B66FD59" w14:textId="77777777" w:rsidR="003D3694" w:rsidRPr="00747E35" w:rsidRDefault="003D3694" w:rsidP="0096743A">
            <w:pPr>
              <w:pStyle w:val="Tabletext"/>
              <w:spacing w:before="0" w:after="0"/>
              <w:rPr>
                <w:rFonts w:cstheme="minorHAnsi"/>
                <w:sz w:val="14"/>
                <w:lang w:eastAsia="en-GB"/>
              </w:rPr>
            </w:pPr>
          </w:p>
        </w:tc>
      </w:tr>
      <w:tr w:rsidR="003D3694" w:rsidRPr="00747E35" w14:paraId="18820C50" w14:textId="77777777" w:rsidTr="00C80858">
        <w:trPr>
          <w:trHeight w:val="57"/>
        </w:trPr>
        <w:tc>
          <w:tcPr>
            <w:tcW w:w="473" w:type="pct"/>
            <w:noWrap/>
            <w:hideMark/>
          </w:tcPr>
          <w:p w14:paraId="6A41F1C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7EE5547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3EE6CFD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Diptera</w:t>
            </w:r>
          </w:p>
        </w:tc>
        <w:tc>
          <w:tcPr>
            <w:tcW w:w="473" w:type="pct"/>
            <w:noWrap/>
            <w:hideMark/>
          </w:tcPr>
          <w:p w14:paraId="37BF7CBD"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4821232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True fly larvae</w:t>
            </w:r>
          </w:p>
        </w:tc>
        <w:tc>
          <w:tcPr>
            <w:tcW w:w="692" w:type="pct"/>
            <w:noWrap/>
            <w:hideMark/>
          </w:tcPr>
          <w:p w14:paraId="3A4E1D0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Culicidae</w:t>
            </w:r>
          </w:p>
        </w:tc>
        <w:tc>
          <w:tcPr>
            <w:tcW w:w="1689" w:type="pct"/>
            <w:gridSpan w:val="2"/>
            <w:noWrap/>
            <w:hideMark/>
          </w:tcPr>
          <w:p w14:paraId="61BC868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Anophelinae</w:t>
            </w:r>
          </w:p>
        </w:tc>
      </w:tr>
      <w:tr w:rsidR="003D3694" w:rsidRPr="00747E35" w14:paraId="51D185EF" w14:textId="77777777" w:rsidTr="00C80858">
        <w:trPr>
          <w:trHeight w:val="57"/>
        </w:trPr>
        <w:tc>
          <w:tcPr>
            <w:tcW w:w="473" w:type="pct"/>
            <w:noWrap/>
            <w:hideMark/>
          </w:tcPr>
          <w:p w14:paraId="501F2B0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56C2C72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095FA0B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Diptera</w:t>
            </w:r>
          </w:p>
        </w:tc>
        <w:tc>
          <w:tcPr>
            <w:tcW w:w="473" w:type="pct"/>
            <w:noWrap/>
            <w:hideMark/>
          </w:tcPr>
          <w:p w14:paraId="34A5CCD3"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57AF788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True fly larvae</w:t>
            </w:r>
          </w:p>
        </w:tc>
        <w:tc>
          <w:tcPr>
            <w:tcW w:w="692" w:type="pct"/>
            <w:noWrap/>
            <w:hideMark/>
          </w:tcPr>
          <w:p w14:paraId="01B047B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Culicidae</w:t>
            </w:r>
          </w:p>
        </w:tc>
        <w:tc>
          <w:tcPr>
            <w:tcW w:w="576" w:type="pct"/>
            <w:noWrap/>
            <w:hideMark/>
          </w:tcPr>
          <w:p w14:paraId="62BAE09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Culicinae</w:t>
            </w:r>
          </w:p>
        </w:tc>
        <w:tc>
          <w:tcPr>
            <w:tcW w:w="1112" w:type="pct"/>
            <w:noWrap/>
            <w:hideMark/>
          </w:tcPr>
          <w:p w14:paraId="3646B66F" w14:textId="77777777" w:rsidR="003D3694" w:rsidRPr="00747E35" w:rsidRDefault="003D3694" w:rsidP="0096743A">
            <w:pPr>
              <w:pStyle w:val="Tabletext"/>
              <w:spacing w:before="0" w:after="0"/>
              <w:rPr>
                <w:rFonts w:cstheme="minorHAnsi"/>
                <w:sz w:val="14"/>
                <w:lang w:eastAsia="en-GB"/>
              </w:rPr>
            </w:pPr>
          </w:p>
        </w:tc>
      </w:tr>
      <w:tr w:rsidR="003D3694" w:rsidRPr="00747E35" w14:paraId="01F60E56" w14:textId="77777777" w:rsidTr="00C80858">
        <w:trPr>
          <w:trHeight w:val="57"/>
        </w:trPr>
        <w:tc>
          <w:tcPr>
            <w:tcW w:w="473" w:type="pct"/>
            <w:noWrap/>
            <w:hideMark/>
          </w:tcPr>
          <w:p w14:paraId="6E0BF1D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5B49EB5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3DD777C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Diptera</w:t>
            </w:r>
          </w:p>
        </w:tc>
        <w:tc>
          <w:tcPr>
            <w:tcW w:w="473" w:type="pct"/>
            <w:noWrap/>
            <w:hideMark/>
          </w:tcPr>
          <w:p w14:paraId="0E19CB3B"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0E965F0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True fly larvae</w:t>
            </w:r>
          </w:p>
        </w:tc>
        <w:tc>
          <w:tcPr>
            <w:tcW w:w="1268" w:type="pct"/>
            <w:gridSpan w:val="2"/>
            <w:noWrap/>
            <w:hideMark/>
          </w:tcPr>
          <w:p w14:paraId="39C8DCD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Dolichopodidae</w:t>
            </w:r>
          </w:p>
        </w:tc>
        <w:tc>
          <w:tcPr>
            <w:tcW w:w="1112" w:type="pct"/>
            <w:noWrap/>
            <w:hideMark/>
          </w:tcPr>
          <w:p w14:paraId="69CD3EFB" w14:textId="77777777" w:rsidR="003D3694" w:rsidRPr="00747E35" w:rsidRDefault="003D3694" w:rsidP="0096743A">
            <w:pPr>
              <w:pStyle w:val="Tabletext"/>
              <w:spacing w:before="0" w:after="0"/>
              <w:rPr>
                <w:rFonts w:cstheme="minorHAnsi"/>
                <w:sz w:val="14"/>
                <w:lang w:eastAsia="en-GB"/>
              </w:rPr>
            </w:pPr>
          </w:p>
        </w:tc>
      </w:tr>
      <w:tr w:rsidR="003D3694" w:rsidRPr="00747E35" w14:paraId="36C78CED" w14:textId="77777777" w:rsidTr="00C80858">
        <w:trPr>
          <w:trHeight w:val="57"/>
        </w:trPr>
        <w:tc>
          <w:tcPr>
            <w:tcW w:w="473" w:type="pct"/>
            <w:noWrap/>
            <w:hideMark/>
          </w:tcPr>
          <w:p w14:paraId="5790A2F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62C9315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5B76528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Diptera</w:t>
            </w:r>
          </w:p>
        </w:tc>
        <w:tc>
          <w:tcPr>
            <w:tcW w:w="473" w:type="pct"/>
            <w:noWrap/>
            <w:hideMark/>
          </w:tcPr>
          <w:p w14:paraId="654A1921"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66B2F76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True fly larvae</w:t>
            </w:r>
          </w:p>
        </w:tc>
        <w:tc>
          <w:tcPr>
            <w:tcW w:w="1268" w:type="pct"/>
            <w:gridSpan w:val="2"/>
            <w:noWrap/>
            <w:hideMark/>
          </w:tcPr>
          <w:p w14:paraId="7AC92FC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Empididae</w:t>
            </w:r>
          </w:p>
        </w:tc>
        <w:tc>
          <w:tcPr>
            <w:tcW w:w="1112" w:type="pct"/>
            <w:noWrap/>
            <w:hideMark/>
          </w:tcPr>
          <w:p w14:paraId="133A186B" w14:textId="77777777" w:rsidR="003D3694" w:rsidRPr="00747E35" w:rsidRDefault="003D3694" w:rsidP="0096743A">
            <w:pPr>
              <w:pStyle w:val="Tabletext"/>
              <w:spacing w:before="0" w:after="0"/>
              <w:rPr>
                <w:rFonts w:cstheme="minorHAnsi"/>
                <w:sz w:val="14"/>
                <w:lang w:eastAsia="en-GB"/>
              </w:rPr>
            </w:pPr>
          </w:p>
        </w:tc>
      </w:tr>
      <w:tr w:rsidR="003D3694" w:rsidRPr="00747E35" w14:paraId="4E0E61F5" w14:textId="77777777" w:rsidTr="00C80858">
        <w:trPr>
          <w:trHeight w:val="57"/>
        </w:trPr>
        <w:tc>
          <w:tcPr>
            <w:tcW w:w="473" w:type="pct"/>
            <w:noWrap/>
            <w:hideMark/>
          </w:tcPr>
          <w:p w14:paraId="2076219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6EF347E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0619CBD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Diptera</w:t>
            </w:r>
          </w:p>
        </w:tc>
        <w:tc>
          <w:tcPr>
            <w:tcW w:w="473" w:type="pct"/>
            <w:noWrap/>
            <w:hideMark/>
          </w:tcPr>
          <w:p w14:paraId="26AE0B64"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7DF7C0B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True fly larvae</w:t>
            </w:r>
          </w:p>
        </w:tc>
        <w:tc>
          <w:tcPr>
            <w:tcW w:w="692" w:type="pct"/>
            <w:noWrap/>
            <w:hideMark/>
          </w:tcPr>
          <w:p w14:paraId="24A8E79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Muscidae</w:t>
            </w:r>
          </w:p>
        </w:tc>
        <w:tc>
          <w:tcPr>
            <w:tcW w:w="576" w:type="pct"/>
            <w:noWrap/>
            <w:hideMark/>
          </w:tcPr>
          <w:p w14:paraId="7EC9BE8E"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1CA055F5" w14:textId="77777777" w:rsidR="003D3694" w:rsidRPr="00747E35" w:rsidRDefault="003D3694" w:rsidP="0096743A">
            <w:pPr>
              <w:pStyle w:val="Tabletext"/>
              <w:spacing w:before="0" w:after="0"/>
              <w:rPr>
                <w:rFonts w:cstheme="minorHAnsi"/>
                <w:sz w:val="14"/>
                <w:lang w:eastAsia="en-GB"/>
              </w:rPr>
            </w:pPr>
          </w:p>
        </w:tc>
      </w:tr>
      <w:tr w:rsidR="003D3694" w:rsidRPr="00747E35" w14:paraId="0CBEA293" w14:textId="77777777" w:rsidTr="00C80858">
        <w:trPr>
          <w:trHeight w:val="57"/>
        </w:trPr>
        <w:tc>
          <w:tcPr>
            <w:tcW w:w="473" w:type="pct"/>
            <w:noWrap/>
            <w:hideMark/>
          </w:tcPr>
          <w:p w14:paraId="18D0D88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1F10B6A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5F3BC9D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Diptera</w:t>
            </w:r>
          </w:p>
        </w:tc>
        <w:tc>
          <w:tcPr>
            <w:tcW w:w="473" w:type="pct"/>
            <w:noWrap/>
            <w:hideMark/>
          </w:tcPr>
          <w:p w14:paraId="13BACDD1"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007691D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True fly larvae</w:t>
            </w:r>
          </w:p>
        </w:tc>
        <w:tc>
          <w:tcPr>
            <w:tcW w:w="692" w:type="pct"/>
            <w:noWrap/>
            <w:hideMark/>
          </w:tcPr>
          <w:p w14:paraId="5FC4859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Simuliidae</w:t>
            </w:r>
          </w:p>
        </w:tc>
        <w:tc>
          <w:tcPr>
            <w:tcW w:w="576" w:type="pct"/>
            <w:noWrap/>
            <w:hideMark/>
          </w:tcPr>
          <w:p w14:paraId="1145F86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Simulinae</w:t>
            </w:r>
          </w:p>
        </w:tc>
        <w:tc>
          <w:tcPr>
            <w:tcW w:w="1112" w:type="pct"/>
            <w:noWrap/>
            <w:hideMark/>
          </w:tcPr>
          <w:p w14:paraId="44585B98" w14:textId="77777777" w:rsidR="003D3694" w:rsidRPr="00747E35" w:rsidRDefault="003D3694" w:rsidP="0096743A">
            <w:pPr>
              <w:pStyle w:val="Tabletext"/>
              <w:spacing w:before="0" w:after="0"/>
              <w:rPr>
                <w:rFonts w:cstheme="minorHAnsi"/>
                <w:sz w:val="14"/>
                <w:lang w:eastAsia="en-GB"/>
              </w:rPr>
            </w:pPr>
          </w:p>
        </w:tc>
      </w:tr>
      <w:tr w:rsidR="003D3694" w:rsidRPr="00747E35" w14:paraId="5C1C6E6D" w14:textId="77777777" w:rsidTr="00C80858">
        <w:trPr>
          <w:trHeight w:val="57"/>
        </w:trPr>
        <w:tc>
          <w:tcPr>
            <w:tcW w:w="473" w:type="pct"/>
            <w:noWrap/>
            <w:hideMark/>
          </w:tcPr>
          <w:p w14:paraId="086F986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3C36675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0E26FF6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Diptera</w:t>
            </w:r>
          </w:p>
        </w:tc>
        <w:tc>
          <w:tcPr>
            <w:tcW w:w="473" w:type="pct"/>
            <w:noWrap/>
            <w:hideMark/>
          </w:tcPr>
          <w:p w14:paraId="0920A587"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447AEBB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True fly larvae</w:t>
            </w:r>
          </w:p>
        </w:tc>
        <w:tc>
          <w:tcPr>
            <w:tcW w:w="692" w:type="pct"/>
            <w:noWrap/>
            <w:hideMark/>
          </w:tcPr>
          <w:p w14:paraId="3AB24DE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Stratiomyidae</w:t>
            </w:r>
          </w:p>
        </w:tc>
        <w:tc>
          <w:tcPr>
            <w:tcW w:w="576" w:type="pct"/>
            <w:noWrap/>
            <w:hideMark/>
          </w:tcPr>
          <w:p w14:paraId="6563A97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Stratiomyinae</w:t>
            </w:r>
          </w:p>
        </w:tc>
        <w:tc>
          <w:tcPr>
            <w:tcW w:w="1112" w:type="pct"/>
            <w:noWrap/>
            <w:hideMark/>
          </w:tcPr>
          <w:p w14:paraId="3B69924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Odontomyia</w:t>
            </w:r>
          </w:p>
        </w:tc>
      </w:tr>
      <w:tr w:rsidR="003D3694" w:rsidRPr="00747E35" w14:paraId="50C14BF2" w14:textId="77777777" w:rsidTr="00C80858">
        <w:trPr>
          <w:trHeight w:val="57"/>
        </w:trPr>
        <w:tc>
          <w:tcPr>
            <w:tcW w:w="473" w:type="pct"/>
            <w:noWrap/>
            <w:hideMark/>
          </w:tcPr>
          <w:p w14:paraId="49C528E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2BBE456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3D79A8C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Diptera</w:t>
            </w:r>
          </w:p>
        </w:tc>
        <w:tc>
          <w:tcPr>
            <w:tcW w:w="473" w:type="pct"/>
            <w:noWrap/>
            <w:hideMark/>
          </w:tcPr>
          <w:p w14:paraId="7F4CE01D"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433EA21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True fly larvae</w:t>
            </w:r>
          </w:p>
        </w:tc>
        <w:tc>
          <w:tcPr>
            <w:tcW w:w="1268" w:type="pct"/>
            <w:gridSpan w:val="2"/>
            <w:noWrap/>
            <w:hideMark/>
          </w:tcPr>
          <w:p w14:paraId="54DDE37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Tanyderidae</w:t>
            </w:r>
          </w:p>
        </w:tc>
        <w:tc>
          <w:tcPr>
            <w:tcW w:w="1112" w:type="pct"/>
            <w:noWrap/>
            <w:hideMark/>
          </w:tcPr>
          <w:p w14:paraId="5F6C1728" w14:textId="77777777" w:rsidR="003D3694" w:rsidRPr="00747E35" w:rsidRDefault="003D3694" w:rsidP="0096743A">
            <w:pPr>
              <w:pStyle w:val="Tabletext"/>
              <w:spacing w:before="0" w:after="0"/>
              <w:rPr>
                <w:rFonts w:cstheme="minorHAnsi"/>
                <w:sz w:val="14"/>
                <w:lang w:eastAsia="en-GB"/>
              </w:rPr>
            </w:pPr>
          </w:p>
        </w:tc>
      </w:tr>
      <w:tr w:rsidR="003D3694" w:rsidRPr="00747E35" w14:paraId="27E7CE00" w14:textId="77777777" w:rsidTr="00C80858">
        <w:trPr>
          <w:trHeight w:val="57"/>
        </w:trPr>
        <w:tc>
          <w:tcPr>
            <w:tcW w:w="473" w:type="pct"/>
            <w:noWrap/>
            <w:hideMark/>
          </w:tcPr>
          <w:p w14:paraId="228B6AC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598BB19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5F2936F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Diptera</w:t>
            </w:r>
          </w:p>
        </w:tc>
        <w:tc>
          <w:tcPr>
            <w:tcW w:w="473" w:type="pct"/>
            <w:noWrap/>
            <w:hideMark/>
          </w:tcPr>
          <w:p w14:paraId="4B2E6949"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4E8A014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True fly larvae</w:t>
            </w:r>
          </w:p>
        </w:tc>
        <w:tc>
          <w:tcPr>
            <w:tcW w:w="692" w:type="pct"/>
            <w:noWrap/>
            <w:hideMark/>
          </w:tcPr>
          <w:p w14:paraId="1F5F6F3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Tipulidae</w:t>
            </w:r>
          </w:p>
        </w:tc>
        <w:tc>
          <w:tcPr>
            <w:tcW w:w="576" w:type="pct"/>
            <w:noWrap/>
            <w:hideMark/>
          </w:tcPr>
          <w:p w14:paraId="2B3943FA"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4EF1A8DC" w14:textId="77777777" w:rsidR="003D3694" w:rsidRPr="00747E35" w:rsidRDefault="003D3694" w:rsidP="0096743A">
            <w:pPr>
              <w:pStyle w:val="Tabletext"/>
              <w:spacing w:before="0" w:after="0"/>
              <w:rPr>
                <w:rFonts w:cstheme="minorHAnsi"/>
                <w:sz w:val="14"/>
                <w:lang w:eastAsia="en-GB"/>
              </w:rPr>
            </w:pPr>
          </w:p>
        </w:tc>
      </w:tr>
      <w:tr w:rsidR="003D3694" w:rsidRPr="00747E35" w14:paraId="7A4B9815" w14:textId="77777777" w:rsidTr="00C80858">
        <w:trPr>
          <w:trHeight w:val="57"/>
        </w:trPr>
        <w:tc>
          <w:tcPr>
            <w:tcW w:w="473" w:type="pct"/>
            <w:noWrap/>
            <w:hideMark/>
          </w:tcPr>
          <w:p w14:paraId="02D693D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7CF18D2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59C0A49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Ephemeroptera</w:t>
            </w:r>
          </w:p>
        </w:tc>
        <w:tc>
          <w:tcPr>
            <w:tcW w:w="705" w:type="pct"/>
            <w:noWrap/>
            <w:hideMark/>
          </w:tcPr>
          <w:p w14:paraId="4E768DF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Mayfly</w:t>
            </w:r>
          </w:p>
        </w:tc>
        <w:tc>
          <w:tcPr>
            <w:tcW w:w="692" w:type="pct"/>
            <w:noWrap/>
            <w:hideMark/>
          </w:tcPr>
          <w:p w14:paraId="3531328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Baetidae</w:t>
            </w:r>
          </w:p>
        </w:tc>
        <w:tc>
          <w:tcPr>
            <w:tcW w:w="576" w:type="pct"/>
            <w:noWrap/>
            <w:hideMark/>
          </w:tcPr>
          <w:p w14:paraId="3B6BE079"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348F58B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NI</w:t>
            </w:r>
          </w:p>
        </w:tc>
      </w:tr>
      <w:tr w:rsidR="003D3694" w:rsidRPr="00747E35" w14:paraId="6F2F87F1" w14:textId="77777777" w:rsidTr="00C80858">
        <w:trPr>
          <w:trHeight w:val="57"/>
        </w:trPr>
        <w:tc>
          <w:tcPr>
            <w:tcW w:w="473" w:type="pct"/>
            <w:noWrap/>
            <w:hideMark/>
          </w:tcPr>
          <w:p w14:paraId="4116468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0E9C8E4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270AD61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Ephemeroptera</w:t>
            </w:r>
          </w:p>
        </w:tc>
        <w:tc>
          <w:tcPr>
            <w:tcW w:w="705" w:type="pct"/>
            <w:noWrap/>
            <w:hideMark/>
          </w:tcPr>
          <w:p w14:paraId="65C509B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Mayfly</w:t>
            </w:r>
          </w:p>
        </w:tc>
        <w:tc>
          <w:tcPr>
            <w:tcW w:w="692" w:type="pct"/>
            <w:noWrap/>
            <w:hideMark/>
          </w:tcPr>
          <w:p w14:paraId="5311F8D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Baetidae</w:t>
            </w:r>
          </w:p>
        </w:tc>
        <w:tc>
          <w:tcPr>
            <w:tcW w:w="576" w:type="pct"/>
            <w:noWrap/>
            <w:hideMark/>
          </w:tcPr>
          <w:p w14:paraId="7383F74A"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28B2D20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Bungona</w:t>
            </w:r>
          </w:p>
        </w:tc>
      </w:tr>
      <w:tr w:rsidR="003D3694" w:rsidRPr="00747E35" w14:paraId="3AA578D9" w14:textId="77777777" w:rsidTr="00C80858">
        <w:trPr>
          <w:trHeight w:val="57"/>
        </w:trPr>
        <w:tc>
          <w:tcPr>
            <w:tcW w:w="473" w:type="pct"/>
            <w:noWrap/>
            <w:hideMark/>
          </w:tcPr>
          <w:p w14:paraId="0D7F140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5F2F09C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2A96357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Ephemeroptera</w:t>
            </w:r>
          </w:p>
        </w:tc>
        <w:tc>
          <w:tcPr>
            <w:tcW w:w="705" w:type="pct"/>
            <w:noWrap/>
            <w:hideMark/>
          </w:tcPr>
          <w:p w14:paraId="5F8CDAF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Mayfly</w:t>
            </w:r>
          </w:p>
        </w:tc>
        <w:tc>
          <w:tcPr>
            <w:tcW w:w="692" w:type="pct"/>
            <w:noWrap/>
            <w:hideMark/>
          </w:tcPr>
          <w:p w14:paraId="39B9D27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Baetidae</w:t>
            </w:r>
          </w:p>
        </w:tc>
        <w:tc>
          <w:tcPr>
            <w:tcW w:w="576" w:type="pct"/>
            <w:noWrap/>
            <w:hideMark/>
          </w:tcPr>
          <w:p w14:paraId="28CBB556"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29F86E2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Cloeon</w:t>
            </w:r>
          </w:p>
        </w:tc>
      </w:tr>
      <w:tr w:rsidR="003D3694" w:rsidRPr="00747E35" w14:paraId="34AD0999" w14:textId="77777777" w:rsidTr="00C80858">
        <w:trPr>
          <w:trHeight w:val="57"/>
        </w:trPr>
        <w:tc>
          <w:tcPr>
            <w:tcW w:w="473" w:type="pct"/>
            <w:noWrap/>
            <w:hideMark/>
          </w:tcPr>
          <w:p w14:paraId="7919F1A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73585ED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203A7F5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Ephemeroptera</w:t>
            </w:r>
          </w:p>
        </w:tc>
        <w:tc>
          <w:tcPr>
            <w:tcW w:w="705" w:type="pct"/>
            <w:noWrap/>
            <w:hideMark/>
          </w:tcPr>
          <w:p w14:paraId="7F334F5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Mayfly</w:t>
            </w:r>
          </w:p>
        </w:tc>
        <w:tc>
          <w:tcPr>
            <w:tcW w:w="692" w:type="pct"/>
            <w:noWrap/>
            <w:hideMark/>
          </w:tcPr>
          <w:p w14:paraId="6E76D12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Baetidae</w:t>
            </w:r>
          </w:p>
        </w:tc>
        <w:tc>
          <w:tcPr>
            <w:tcW w:w="576" w:type="pct"/>
            <w:noWrap/>
            <w:hideMark/>
          </w:tcPr>
          <w:p w14:paraId="5F42D9C0"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22A87C1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Jappa</w:t>
            </w:r>
          </w:p>
        </w:tc>
      </w:tr>
      <w:tr w:rsidR="003D3694" w:rsidRPr="00747E35" w14:paraId="3431CA06" w14:textId="77777777" w:rsidTr="00C80858">
        <w:trPr>
          <w:trHeight w:val="57"/>
        </w:trPr>
        <w:tc>
          <w:tcPr>
            <w:tcW w:w="473" w:type="pct"/>
            <w:noWrap/>
            <w:hideMark/>
          </w:tcPr>
          <w:p w14:paraId="6D55EF7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14D1CED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4FF85FE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Ephemeroptera</w:t>
            </w:r>
          </w:p>
        </w:tc>
        <w:tc>
          <w:tcPr>
            <w:tcW w:w="705" w:type="pct"/>
            <w:noWrap/>
            <w:hideMark/>
          </w:tcPr>
          <w:p w14:paraId="0682EB7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Mayfly</w:t>
            </w:r>
          </w:p>
        </w:tc>
        <w:tc>
          <w:tcPr>
            <w:tcW w:w="692" w:type="pct"/>
            <w:noWrap/>
            <w:hideMark/>
          </w:tcPr>
          <w:p w14:paraId="678F2A6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Caenidae</w:t>
            </w:r>
          </w:p>
        </w:tc>
        <w:tc>
          <w:tcPr>
            <w:tcW w:w="576" w:type="pct"/>
            <w:noWrap/>
            <w:hideMark/>
          </w:tcPr>
          <w:p w14:paraId="7A5BE31A"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3224432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NI</w:t>
            </w:r>
          </w:p>
        </w:tc>
      </w:tr>
      <w:tr w:rsidR="003D3694" w:rsidRPr="00747E35" w14:paraId="75FC9029" w14:textId="77777777" w:rsidTr="00C80858">
        <w:trPr>
          <w:trHeight w:val="57"/>
        </w:trPr>
        <w:tc>
          <w:tcPr>
            <w:tcW w:w="473" w:type="pct"/>
            <w:noWrap/>
            <w:hideMark/>
          </w:tcPr>
          <w:p w14:paraId="7520164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6B029FC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5EB9030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Ephemeroptera</w:t>
            </w:r>
          </w:p>
        </w:tc>
        <w:tc>
          <w:tcPr>
            <w:tcW w:w="705" w:type="pct"/>
            <w:noWrap/>
            <w:hideMark/>
          </w:tcPr>
          <w:p w14:paraId="7AB67DC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Mayfly</w:t>
            </w:r>
          </w:p>
        </w:tc>
        <w:tc>
          <w:tcPr>
            <w:tcW w:w="692" w:type="pct"/>
            <w:noWrap/>
            <w:hideMark/>
          </w:tcPr>
          <w:p w14:paraId="46054C9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Caenidae</w:t>
            </w:r>
          </w:p>
        </w:tc>
        <w:tc>
          <w:tcPr>
            <w:tcW w:w="576" w:type="pct"/>
            <w:noWrap/>
            <w:hideMark/>
          </w:tcPr>
          <w:p w14:paraId="5458D16A"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6E66BA0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Irpacaenis</w:t>
            </w:r>
          </w:p>
        </w:tc>
      </w:tr>
      <w:tr w:rsidR="003D3694" w:rsidRPr="00747E35" w14:paraId="70666ADF" w14:textId="77777777" w:rsidTr="00C80858">
        <w:trPr>
          <w:trHeight w:val="57"/>
        </w:trPr>
        <w:tc>
          <w:tcPr>
            <w:tcW w:w="473" w:type="pct"/>
            <w:noWrap/>
            <w:hideMark/>
          </w:tcPr>
          <w:p w14:paraId="7533767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5253CF8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744C447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Ephemeroptera</w:t>
            </w:r>
          </w:p>
        </w:tc>
        <w:tc>
          <w:tcPr>
            <w:tcW w:w="705" w:type="pct"/>
            <w:noWrap/>
            <w:hideMark/>
          </w:tcPr>
          <w:p w14:paraId="2CEBFA8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Mayfly</w:t>
            </w:r>
          </w:p>
        </w:tc>
        <w:tc>
          <w:tcPr>
            <w:tcW w:w="692" w:type="pct"/>
            <w:noWrap/>
            <w:hideMark/>
          </w:tcPr>
          <w:p w14:paraId="73F5D5D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Caenidae</w:t>
            </w:r>
          </w:p>
        </w:tc>
        <w:tc>
          <w:tcPr>
            <w:tcW w:w="576" w:type="pct"/>
            <w:noWrap/>
            <w:hideMark/>
          </w:tcPr>
          <w:p w14:paraId="3919950A"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257764E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Tasmanocoenis</w:t>
            </w:r>
          </w:p>
        </w:tc>
      </w:tr>
      <w:tr w:rsidR="003D3694" w:rsidRPr="00747E35" w14:paraId="68799FA7" w14:textId="77777777" w:rsidTr="00C80858">
        <w:trPr>
          <w:trHeight w:val="57"/>
        </w:trPr>
        <w:tc>
          <w:tcPr>
            <w:tcW w:w="473" w:type="pct"/>
            <w:noWrap/>
            <w:hideMark/>
          </w:tcPr>
          <w:p w14:paraId="241EEA5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5111EDA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37D6901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Ephemeroptera</w:t>
            </w:r>
          </w:p>
        </w:tc>
        <w:tc>
          <w:tcPr>
            <w:tcW w:w="705" w:type="pct"/>
            <w:noWrap/>
            <w:hideMark/>
          </w:tcPr>
          <w:p w14:paraId="3D6257D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Mayfly</w:t>
            </w:r>
          </w:p>
        </w:tc>
        <w:tc>
          <w:tcPr>
            <w:tcW w:w="1268" w:type="pct"/>
            <w:gridSpan w:val="2"/>
            <w:noWrap/>
            <w:hideMark/>
          </w:tcPr>
          <w:p w14:paraId="00D171C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Leptophlebiidae</w:t>
            </w:r>
          </w:p>
        </w:tc>
        <w:tc>
          <w:tcPr>
            <w:tcW w:w="1112" w:type="pct"/>
            <w:noWrap/>
            <w:hideMark/>
          </w:tcPr>
          <w:p w14:paraId="7E06DDD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NI</w:t>
            </w:r>
          </w:p>
        </w:tc>
      </w:tr>
      <w:tr w:rsidR="003D3694" w:rsidRPr="00747E35" w14:paraId="039761EB" w14:textId="77777777" w:rsidTr="00C80858">
        <w:trPr>
          <w:trHeight w:val="57"/>
        </w:trPr>
        <w:tc>
          <w:tcPr>
            <w:tcW w:w="473" w:type="pct"/>
            <w:noWrap/>
            <w:hideMark/>
          </w:tcPr>
          <w:p w14:paraId="1CEEBC8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0DC398B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23C60F6D"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Ephemeroptera</w:t>
            </w:r>
          </w:p>
        </w:tc>
        <w:tc>
          <w:tcPr>
            <w:tcW w:w="705" w:type="pct"/>
            <w:noWrap/>
            <w:hideMark/>
          </w:tcPr>
          <w:p w14:paraId="004AA0D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Mayfly</w:t>
            </w:r>
          </w:p>
        </w:tc>
        <w:tc>
          <w:tcPr>
            <w:tcW w:w="1268" w:type="pct"/>
            <w:gridSpan w:val="2"/>
            <w:noWrap/>
            <w:hideMark/>
          </w:tcPr>
          <w:p w14:paraId="4A0A171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Leptophlebiidae</w:t>
            </w:r>
          </w:p>
        </w:tc>
        <w:tc>
          <w:tcPr>
            <w:tcW w:w="1112" w:type="pct"/>
            <w:noWrap/>
            <w:hideMark/>
          </w:tcPr>
          <w:p w14:paraId="0024171D"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Atalophlebia</w:t>
            </w:r>
          </w:p>
        </w:tc>
      </w:tr>
      <w:tr w:rsidR="003D3694" w:rsidRPr="00747E35" w14:paraId="0C810A10" w14:textId="77777777" w:rsidTr="00C80858">
        <w:trPr>
          <w:trHeight w:val="57"/>
        </w:trPr>
        <w:tc>
          <w:tcPr>
            <w:tcW w:w="473" w:type="pct"/>
            <w:noWrap/>
            <w:hideMark/>
          </w:tcPr>
          <w:p w14:paraId="6194388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0E4A930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5DF7A61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Ephemeroptera</w:t>
            </w:r>
          </w:p>
        </w:tc>
        <w:tc>
          <w:tcPr>
            <w:tcW w:w="705" w:type="pct"/>
            <w:noWrap/>
            <w:hideMark/>
          </w:tcPr>
          <w:p w14:paraId="00ABE12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Mayfly</w:t>
            </w:r>
          </w:p>
        </w:tc>
        <w:tc>
          <w:tcPr>
            <w:tcW w:w="1268" w:type="pct"/>
            <w:gridSpan w:val="2"/>
            <w:noWrap/>
            <w:hideMark/>
          </w:tcPr>
          <w:p w14:paraId="5CE9675D"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Leptophlebiidae</w:t>
            </w:r>
          </w:p>
        </w:tc>
        <w:tc>
          <w:tcPr>
            <w:tcW w:w="1112" w:type="pct"/>
            <w:noWrap/>
            <w:hideMark/>
          </w:tcPr>
          <w:p w14:paraId="012F3E9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Austrophlebioides</w:t>
            </w:r>
          </w:p>
        </w:tc>
      </w:tr>
      <w:tr w:rsidR="003D3694" w:rsidRPr="00747E35" w14:paraId="17644BDA" w14:textId="77777777" w:rsidTr="00C80858">
        <w:trPr>
          <w:trHeight w:val="57"/>
        </w:trPr>
        <w:tc>
          <w:tcPr>
            <w:tcW w:w="473" w:type="pct"/>
            <w:noWrap/>
            <w:hideMark/>
          </w:tcPr>
          <w:p w14:paraId="4D6BCE2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3BD1427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65EFB48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Ephemeroptera</w:t>
            </w:r>
          </w:p>
        </w:tc>
        <w:tc>
          <w:tcPr>
            <w:tcW w:w="705" w:type="pct"/>
            <w:noWrap/>
            <w:hideMark/>
          </w:tcPr>
          <w:p w14:paraId="37EDB56D"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Mayfly</w:t>
            </w:r>
          </w:p>
        </w:tc>
        <w:tc>
          <w:tcPr>
            <w:tcW w:w="1268" w:type="pct"/>
            <w:gridSpan w:val="2"/>
            <w:noWrap/>
            <w:hideMark/>
          </w:tcPr>
          <w:p w14:paraId="3555DF4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Leptophlebiidae</w:t>
            </w:r>
          </w:p>
        </w:tc>
        <w:tc>
          <w:tcPr>
            <w:tcW w:w="1112" w:type="pct"/>
            <w:noWrap/>
            <w:hideMark/>
          </w:tcPr>
          <w:p w14:paraId="3A6387F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Nousia</w:t>
            </w:r>
          </w:p>
        </w:tc>
      </w:tr>
      <w:tr w:rsidR="003D3694" w:rsidRPr="00747E35" w14:paraId="2ED7D504" w14:textId="77777777" w:rsidTr="00C80858">
        <w:trPr>
          <w:trHeight w:val="57"/>
        </w:trPr>
        <w:tc>
          <w:tcPr>
            <w:tcW w:w="473" w:type="pct"/>
            <w:noWrap/>
            <w:hideMark/>
          </w:tcPr>
          <w:p w14:paraId="7DBEAF5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175A02A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7323F34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Ephemeroptera</w:t>
            </w:r>
          </w:p>
        </w:tc>
        <w:tc>
          <w:tcPr>
            <w:tcW w:w="705" w:type="pct"/>
            <w:noWrap/>
            <w:hideMark/>
          </w:tcPr>
          <w:p w14:paraId="45385F8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Mayfly</w:t>
            </w:r>
          </w:p>
        </w:tc>
        <w:tc>
          <w:tcPr>
            <w:tcW w:w="1268" w:type="pct"/>
            <w:gridSpan w:val="2"/>
            <w:noWrap/>
            <w:hideMark/>
          </w:tcPr>
          <w:p w14:paraId="1EB69B2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Leptophlebiidae</w:t>
            </w:r>
          </w:p>
        </w:tc>
        <w:tc>
          <w:tcPr>
            <w:tcW w:w="1112" w:type="pct"/>
            <w:noWrap/>
            <w:hideMark/>
          </w:tcPr>
          <w:p w14:paraId="5E6A4B4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Tillyardophlebia / Riekophlebia</w:t>
            </w:r>
          </w:p>
        </w:tc>
      </w:tr>
      <w:tr w:rsidR="003D3694" w:rsidRPr="00747E35" w14:paraId="6B1200A6" w14:textId="77777777" w:rsidTr="00C80858">
        <w:trPr>
          <w:trHeight w:val="57"/>
        </w:trPr>
        <w:tc>
          <w:tcPr>
            <w:tcW w:w="473" w:type="pct"/>
            <w:noWrap/>
            <w:hideMark/>
          </w:tcPr>
          <w:p w14:paraId="2913C09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75D014ED"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4ABFD18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Hemiptera</w:t>
            </w:r>
          </w:p>
        </w:tc>
        <w:tc>
          <w:tcPr>
            <w:tcW w:w="473" w:type="pct"/>
            <w:noWrap/>
            <w:hideMark/>
          </w:tcPr>
          <w:p w14:paraId="3BD593E3"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0B974AA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Water Boatman</w:t>
            </w:r>
          </w:p>
        </w:tc>
        <w:tc>
          <w:tcPr>
            <w:tcW w:w="692" w:type="pct"/>
            <w:noWrap/>
            <w:hideMark/>
          </w:tcPr>
          <w:p w14:paraId="4616A9D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Corixidae</w:t>
            </w:r>
          </w:p>
        </w:tc>
        <w:tc>
          <w:tcPr>
            <w:tcW w:w="576" w:type="pct"/>
            <w:noWrap/>
            <w:hideMark/>
          </w:tcPr>
          <w:p w14:paraId="6E7DEB5A"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6FBAC48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Agraptocorixa</w:t>
            </w:r>
          </w:p>
        </w:tc>
      </w:tr>
      <w:tr w:rsidR="003D3694" w:rsidRPr="00747E35" w14:paraId="7C301143" w14:textId="77777777" w:rsidTr="00C80858">
        <w:trPr>
          <w:trHeight w:val="57"/>
        </w:trPr>
        <w:tc>
          <w:tcPr>
            <w:tcW w:w="473" w:type="pct"/>
            <w:noWrap/>
            <w:hideMark/>
          </w:tcPr>
          <w:p w14:paraId="2CAFD48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7078C1A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63AA7E4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Hemiptera</w:t>
            </w:r>
          </w:p>
        </w:tc>
        <w:tc>
          <w:tcPr>
            <w:tcW w:w="473" w:type="pct"/>
            <w:noWrap/>
            <w:hideMark/>
          </w:tcPr>
          <w:p w14:paraId="1EBC77BD"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3F4A5BB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Toe Biter</w:t>
            </w:r>
          </w:p>
        </w:tc>
        <w:tc>
          <w:tcPr>
            <w:tcW w:w="1268" w:type="pct"/>
            <w:gridSpan w:val="2"/>
            <w:noWrap/>
            <w:hideMark/>
          </w:tcPr>
          <w:p w14:paraId="22AE1F7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Corydalidae</w:t>
            </w:r>
          </w:p>
        </w:tc>
        <w:tc>
          <w:tcPr>
            <w:tcW w:w="1112" w:type="pct"/>
            <w:noWrap/>
            <w:hideMark/>
          </w:tcPr>
          <w:p w14:paraId="0CFA5F8B" w14:textId="77777777" w:rsidR="003D3694" w:rsidRPr="00747E35" w:rsidRDefault="003D3694" w:rsidP="0096743A">
            <w:pPr>
              <w:pStyle w:val="Tabletext"/>
              <w:spacing w:before="0" w:after="0"/>
              <w:rPr>
                <w:rFonts w:cstheme="minorHAnsi"/>
                <w:sz w:val="14"/>
                <w:lang w:eastAsia="en-GB"/>
              </w:rPr>
            </w:pPr>
          </w:p>
        </w:tc>
      </w:tr>
      <w:tr w:rsidR="003D3694" w:rsidRPr="00747E35" w14:paraId="7DB9AA58" w14:textId="77777777" w:rsidTr="00C80858">
        <w:trPr>
          <w:trHeight w:val="57"/>
        </w:trPr>
        <w:tc>
          <w:tcPr>
            <w:tcW w:w="473" w:type="pct"/>
            <w:noWrap/>
            <w:hideMark/>
          </w:tcPr>
          <w:p w14:paraId="5B13394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0B88BE5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17FB0B3D"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Hemiptera</w:t>
            </w:r>
          </w:p>
        </w:tc>
        <w:tc>
          <w:tcPr>
            <w:tcW w:w="473" w:type="pct"/>
            <w:noWrap/>
            <w:hideMark/>
          </w:tcPr>
          <w:p w14:paraId="14EAF1C3"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14498E1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Toad Bug</w:t>
            </w:r>
          </w:p>
        </w:tc>
        <w:tc>
          <w:tcPr>
            <w:tcW w:w="1268" w:type="pct"/>
            <w:gridSpan w:val="2"/>
            <w:noWrap/>
            <w:hideMark/>
          </w:tcPr>
          <w:p w14:paraId="64DC264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Gelastocoridae</w:t>
            </w:r>
          </w:p>
        </w:tc>
        <w:tc>
          <w:tcPr>
            <w:tcW w:w="1112" w:type="pct"/>
            <w:noWrap/>
            <w:hideMark/>
          </w:tcPr>
          <w:p w14:paraId="6CB52E2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Nerthra</w:t>
            </w:r>
          </w:p>
        </w:tc>
      </w:tr>
      <w:tr w:rsidR="003D3694" w:rsidRPr="00747E35" w14:paraId="7C2BA5FE" w14:textId="77777777" w:rsidTr="00C80858">
        <w:trPr>
          <w:trHeight w:val="57"/>
        </w:trPr>
        <w:tc>
          <w:tcPr>
            <w:tcW w:w="473" w:type="pct"/>
            <w:noWrap/>
            <w:hideMark/>
          </w:tcPr>
          <w:p w14:paraId="56C8FA1D"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7730060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0863E5B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Hemiptera</w:t>
            </w:r>
          </w:p>
        </w:tc>
        <w:tc>
          <w:tcPr>
            <w:tcW w:w="473" w:type="pct"/>
            <w:noWrap/>
            <w:hideMark/>
          </w:tcPr>
          <w:p w14:paraId="7B6FF5D7"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113735F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Water Strider</w:t>
            </w:r>
          </w:p>
        </w:tc>
        <w:tc>
          <w:tcPr>
            <w:tcW w:w="692" w:type="pct"/>
            <w:noWrap/>
            <w:hideMark/>
          </w:tcPr>
          <w:p w14:paraId="0E1D035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Gerridae</w:t>
            </w:r>
          </w:p>
        </w:tc>
        <w:tc>
          <w:tcPr>
            <w:tcW w:w="576" w:type="pct"/>
            <w:noWrap/>
            <w:hideMark/>
          </w:tcPr>
          <w:p w14:paraId="0A160191"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0946CCC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Calyptobates</w:t>
            </w:r>
          </w:p>
        </w:tc>
      </w:tr>
      <w:tr w:rsidR="003D3694" w:rsidRPr="00747E35" w14:paraId="0723F5E5" w14:textId="77777777" w:rsidTr="00C80858">
        <w:trPr>
          <w:trHeight w:val="57"/>
        </w:trPr>
        <w:tc>
          <w:tcPr>
            <w:tcW w:w="473" w:type="pct"/>
            <w:noWrap/>
            <w:hideMark/>
          </w:tcPr>
          <w:p w14:paraId="318BF31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60F98FE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61123C8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Hemiptera</w:t>
            </w:r>
          </w:p>
        </w:tc>
        <w:tc>
          <w:tcPr>
            <w:tcW w:w="473" w:type="pct"/>
            <w:noWrap/>
            <w:hideMark/>
          </w:tcPr>
          <w:p w14:paraId="13A8D5F2"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4F2462A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Water Strider</w:t>
            </w:r>
          </w:p>
        </w:tc>
        <w:tc>
          <w:tcPr>
            <w:tcW w:w="692" w:type="pct"/>
            <w:noWrap/>
            <w:hideMark/>
          </w:tcPr>
          <w:p w14:paraId="41E9944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Gerridae</w:t>
            </w:r>
          </w:p>
        </w:tc>
        <w:tc>
          <w:tcPr>
            <w:tcW w:w="576" w:type="pct"/>
            <w:noWrap/>
            <w:hideMark/>
          </w:tcPr>
          <w:p w14:paraId="38EA7269"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1534015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Rhagadotarsus</w:t>
            </w:r>
          </w:p>
        </w:tc>
      </w:tr>
      <w:tr w:rsidR="003D3694" w:rsidRPr="00747E35" w14:paraId="2ABC9317" w14:textId="77777777" w:rsidTr="00C80858">
        <w:trPr>
          <w:trHeight w:val="57"/>
        </w:trPr>
        <w:tc>
          <w:tcPr>
            <w:tcW w:w="473" w:type="pct"/>
            <w:noWrap/>
            <w:hideMark/>
          </w:tcPr>
          <w:p w14:paraId="099D07C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683FBF2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7095D41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Hemiptera</w:t>
            </w:r>
          </w:p>
        </w:tc>
        <w:tc>
          <w:tcPr>
            <w:tcW w:w="473" w:type="pct"/>
            <w:noWrap/>
            <w:hideMark/>
          </w:tcPr>
          <w:p w14:paraId="3EF5B59E"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73454AA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Water Strider</w:t>
            </w:r>
          </w:p>
        </w:tc>
        <w:tc>
          <w:tcPr>
            <w:tcW w:w="692" w:type="pct"/>
            <w:noWrap/>
            <w:hideMark/>
          </w:tcPr>
          <w:p w14:paraId="444D19B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Gerridae</w:t>
            </w:r>
          </w:p>
        </w:tc>
        <w:tc>
          <w:tcPr>
            <w:tcW w:w="576" w:type="pct"/>
            <w:noWrap/>
            <w:hideMark/>
          </w:tcPr>
          <w:p w14:paraId="5CDF8A6B"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06CE130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Rheumatometra</w:t>
            </w:r>
          </w:p>
        </w:tc>
      </w:tr>
      <w:tr w:rsidR="003D3694" w:rsidRPr="00747E35" w14:paraId="5B012366" w14:textId="77777777" w:rsidTr="00C80858">
        <w:trPr>
          <w:trHeight w:val="57"/>
        </w:trPr>
        <w:tc>
          <w:tcPr>
            <w:tcW w:w="473" w:type="pct"/>
            <w:noWrap/>
            <w:hideMark/>
          </w:tcPr>
          <w:p w14:paraId="1F639EE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4BD359E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062C10C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Hemiptera</w:t>
            </w:r>
          </w:p>
        </w:tc>
        <w:tc>
          <w:tcPr>
            <w:tcW w:w="473" w:type="pct"/>
            <w:noWrap/>
            <w:hideMark/>
          </w:tcPr>
          <w:p w14:paraId="638BE4A0"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08CEBB8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Water Scorpion</w:t>
            </w:r>
          </w:p>
        </w:tc>
        <w:tc>
          <w:tcPr>
            <w:tcW w:w="692" w:type="pct"/>
            <w:noWrap/>
            <w:hideMark/>
          </w:tcPr>
          <w:p w14:paraId="7DFCBEA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Nepidae</w:t>
            </w:r>
          </w:p>
        </w:tc>
        <w:tc>
          <w:tcPr>
            <w:tcW w:w="576" w:type="pct"/>
            <w:noWrap/>
            <w:hideMark/>
          </w:tcPr>
          <w:p w14:paraId="642ABE45"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56D2407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Laccotrephes</w:t>
            </w:r>
          </w:p>
        </w:tc>
      </w:tr>
      <w:tr w:rsidR="003D3694" w:rsidRPr="00747E35" w14:paraId="09D3C14B" w14:textId="77777777" w:rsidTr="00C80858">
        <w:trPr>
          <w:trHeight w:val="57"/>
        </w:trPr>
        <w:tc>
          <w:tcPr>
            <w:tcW w:w="473" w:type="pct"/>
            <w:noWrap/>
            <w:hideMark/>
          </w:tcPr>
          <w:p w14:paraId="55B7E30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0A8DA81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7776295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Hemiptera</w:t>
            </w:r>
          </w:p>
        </w:tc>
        <w:tc>
          <w:tcPr>
            <w:tcW w:w="473" w:type="pct"/>
            <w:noWrap/>
            <w:hideMark/>
          </w:tcPr>
          <w:p w14:paraId="0B1C9DD0"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63DEF8D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Back Swimmer</w:t>
            </w:r>
          </w:p>
        </w:tc>
        <w:tc>
          <w:tcPr>
            <w:tcW w:w="1268" w:type="pct"/>
            <w:gridSpan w:val="2"/>
            <w:noWrap/>
            <w:hideMark/>
          </w:tcPr>
          <w:p w14:paraId="7BFC7C5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Notonectidae</w:t>
            </w:r>
          </w:p>
        </w:tc>
        <w:tc>
          <w:tcPr>
            <w:tcW w:w="1112" w:type="pct"/>
            <w:noWrap/>
            <w:hideMark/>
          </w:tcPr>
          <w:p w14:paraId="203AC63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Anisops</w:t>
            </w:r>
          </w:p>
        </w:tc>
      </w:tr>
      <w:tr w:rsidR="003D3694" w:rsidRPr="00747E35" w14:paraId="389A87AA" w14:textId="77777777" w:rsidTr="00C80858">
        <w:trPr>
          <w:trHeight w:val="57"/>
        </w:trPr>
        <w:tc>
          <w:tcPr>
            <w:tcW w:w="473" w:type="pct"/>
            <w:noWrap/>
            <w:hideMark/>
          </w:tcPr>
          <w:p w14:paraId="1BAB176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0DAD133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43C6440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Hemiptera</w:t>
            </w:r>
          </w:p>
        </w:tc>
        <w:tc>
          <w:tcPr>
            <w:tcW w:w="473" w:type="pct"/>
            <w:noWrap/>
            <w:hideMark/>
          </w:tcPr>
          <w:p w14:paraId="282C725F"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4C2C785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Back Swimmer</w:t>
            </w:r>
          </w:p>
        </w:tc>
        <w:tc>
          <w:tcPr>
            <w:tcW w:w="1268" w:type="pct"/>
            <w:gridSpan w:val="2"/>
            <w:noWrap/>
            <w:hideMark/>
          </w:tcPr>
          <w:p w14:paraId="61113C3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Notonectidae</w:t>
            </w:r>
          </w:p>
        </w:tc>
        <w:tc>
          <w:tcPr>
            <w:tcW w:w="1112" w:type="pct"/>
            <w:noWrap/>
            <w:hideMark/>
          </w:tcPr>
          <w:p w14:paraId="6D3F833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Enithares</w:t>
            </w:r>
          </w:p>
        </w:tc>
      </w:tr>
      <w:tr w:rsidR="003D3694" w:rsidRPr="00747E35" w14:paraId="1C725E56" w14:textId="77777777" w:rsidTr="00C80858">
        <w:trPr>
          <w:trHeight w:val="57"/>
        </w:trPr>
        <w:tc>
          <w:tcPr>
            <w:tcW w:w="473" w:type="pct"/>
            <w:noWrap/>
            <w:hideMark/>
          </w:tcPr>
          <w:p w14:paraId="1B5349C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6541C93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27D0CA6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Hemiptera</w:t>
            </w:r>
          </w:p>
        </w:tc>
        <w:tc>
          <w:tcPr>
            <w:tcW w:w="473" w:type="pct"/>
            <w:noWrap/>
            <w:hideMark/>
          </w:tcPr>
          <w:p w14:paraId="0FF18439"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3F6A380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Back Swimmer</w:t>
            </w:r>
          </w:p>
        </w:tc>
        <w:tc>
          <w:tcPr>
            <w:tcW w:w="1268" w:type="pct"/>
            <w:gridSpan w:val="2"/>
            <w:noWrap/>
            <w:hideMark/>
          </w:tcPr>
          <w:p w14:paraId="68F43CA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Notonectidae</w:t>
            </w:r>
          </w:p>
        </w:tc>
        <w:tc>
          <w:tcPr>
            <w:tcW w:w="1112" w:type="pct"/>
            <w:noWrap/>
            <w:hideMark/>
          </w:tcPr>
          <w:p w14:paraId="7CC7EA3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Paranisops</w:t>
            </w:r>
          </w:p>
        </w:tc>
      </w:tr>
      <w:tr w:rsidR="003D3694" w:rsidRPr="00747E35" w14:paraId="4C7B9AC2" w14:textId="77777777" w:rsidTr="00C80858">
        <w:trPr>
          <w:trHeight w:val="57"/>
        </w:trPr>
        <w:tc>
          <w:tcPr>
            <w:tcW w:w="473" w:type="pct"/>
            <w:noWrap/>
            <w:hideMark/>
          </w:tcPr>
          <w:p w14:paraId="6A99CF0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29A710F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09427EA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Hemiptera</w:t>
            </w:r>
          </w:p>
        </w:tc>
        <w:tc>
          <w:tcPr>
            <w:tcW w:w="473" w:type="pct"/>
            <w:noWrap/>
            <w:hideMark/>
          </w:tcPr>
          <w:p w14:paraId="57021CAB"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0712AEF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Small Water Strider</w:t>
            </w:r>
          </w:p>
        </w:tc>
        <w:tc>
          <w:tcPr>
            <w:tcW w:w="692" w:type="pct"/>
            <w:noWrap/>
            <w:hideMark/>
          </w:tcPr>
          <w:p w14:paraId="72CE908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Veliidae</w:t>
            </w:r>
          </w:p>
        </w:tc>
        <w:tc>
          <w:tcPr>
            <w:tcW w:w="576" w:type="pct"/>
            <w:noWrap/>
            <w:hideMark/>
          </w:tcPr>
          <w:p w14:paraId="798B1BE6"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68BA41C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NI</w:t>
            </w:r>
          </w:p>
        </w:tc>
      </w:tr>
      <w:tr w:rsidR="003D3694" w:rsidRPr="00747E35" w14:paraId="5C035BFA" w14:textId="77777777" w:rsidTr="00C80858">
        <w:trPr>
          <w:trHeight w:val="57"/>
        </w:trPr>
        <w:tc>
          <w:tcPr>
            <w:tcW w:w="473" w:type="pct"/>
            <w:noWrap/>
            <w:hideMark/>
          </w:tcPr>
          <w:p w14:paraId="3CECE84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6797E9E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49F4EAE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Hemiptera</w:t>
            </w:r>
          </w:p>
        </w:tc>
        <w:tc>
          <w:tcPr>
            <w:tcW w:w="473" w:type="pct"/>
            <w:noWrap/>
            <w:hideMark/>
          </w:tcPr>
          <w:p w14:paraId="53E58626"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275849E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Small Water Strider</w:t>
            </w:r>
          </w:p>
        </w:tc>
        <w:tc>
          <w:tcPr>
            <w:tcW w:w="692" w:type="pct"/>
            <w:noWrap/>
            <w:hideMark/>
          </w:tcPr>
          <w:p w14:paraId="0118048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Veliidae</w:t>
            </w:r>
          </w:p>
        </w:tc>
        <w:tc>
          <w:tcPr>
            <w:tcW w:w="576" w:type="pct"/>
            <w:noWrap/>
            <w:hideMark/>
          </w:tcPr>
          <w:p w14:paraId="117362B4"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129E3FD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Drepanovelia</w:t>
            </w:r>
          </w:p>
        </w:tc>
      </w:tr>
      <w:tr w:rsidR="003D3694" w:rsidRPr="00747E35" w14:paraId="46E7A8F4" w14:textId="77777777" w:rsidTr="00C80858">
        <w:trPr>
          <w:trHeight w:val="57"/>
        </w:trPr>
        <w:tc>
          <w:tcPr>
            <w:tcW w:w="473" w:type="pct"/>
            <w:noWrap/>
            <w:hideMark/>
          </w:tcPr>
          <w:p w14:paraId="07EC719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14CF192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6803EE5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Hemiptera</w:t>
            </w:r>
          </w:p>
        </w:tc>
        <w:tc>
          <w:tcPr>
            <w:tcW w:w="473" w:type="pct"/>
            <w:noWrap/>
            <w:hideMark/>
          </w:tcPr>
          <w:p w14:paraId="79DA5F68"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498B0BA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Small Water Strider</w:t>
            </w:r>
          </w:p>
        </w:tc>
        <w:tc>
          <w:tcPr>
            <w:tcW w:w="692" w:type="pct"/>
            <w:noWrap/>
            <w:hideMark/>
          </w:tcPr>
          <w:p w14:paraId="764AA45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Veliidae</w:t>
            </w:r>
          </w:p>
        </w:tc>
        <w:tc>
          <w:tcPr>
            <w:tcW w:w="576" w:type="pct"/>
            <w:noWrap/>
            <w:hideMark/>
          </w:tcPr>
          <w:p w14:paraId="288E7611"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7C543E5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Microvelia</w:t>
            </w:r>
          </w:p>
        </w:tc>
      </w:tr>
      <w:tr w:rsidR="003D3694" w:rsidRPr="00747E35" w14:paraId="2FB0906C" w14:textId="77777777" w:rsidTr="00C80858">
        <w:trPr>
          <w:trHeight w:val="57"/>
        </w:trPr>
        <w:tc>
          <w:tcPr>
            <w:tcW w:w="473" w:type="pct"/>
            <w:noWrap/>
            <w:hideMark/>
          </w:tcPr>
          <w:p w14:paraId="4049787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5D9FA00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4FCA55B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Lepidoptera</w:t>
            </w:r>
          </w:p>
        </w:tc>
        <w:tc>
          <w:tcPr>
            <w:tcW w:w="705" w:type="pct"/>
            <w:noWrap/>
            <w:hideMark/>
          </w:tcPr>
          <w:p w14:paraId="2046A03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Caterpillar</w:t>
            </w:r>
          </w:p>
        </w:tc>
        <w:tc>
          <w:tcPr>
            <w:tcW w:w="692" w:type="pct"/>
            <w:noWrap/>
            <w:hideMark/>
          </w:tcPr>
          <w:p w14:paraId="507D8FA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Pyralidae</w:t>
            </w:r>
          </w:p>
        </w:tc>
        <w:tc>
          <w:tcPr>
            <w:tcW w:w="576" w:type="pct"/>
            <w:noWrap/>
            <w:hideMark/>
          </w:tcPr>
          <w:p w14:paraId="7BFC2D63"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1466329E" w14:textId="77777777" w:rsidR="003D3694" w:rsidRPr="00747E35" w:rsidRDefault="003D3694" w:rsidP="0096743A">
            <w:pPr>
              <w:pStyle w:val="Tabletext"/>
              <w:spacing w:before="0" w:after="0"/>
              <w:rPr>
                <w:rFonts w:cstheme="minorHAnsi"/>
                <w:sz w:val="14"/>
                <w:lang w:eastAsia="en-GB"/>
              </w:rPr>
            </w:pPr>
          </w:p>
        </w:tc>
      </w:tr>
      <w:tr w:rsidR="003D3694" w:rsidRPr="00747E35" w14:paraId="613B3713" w14:textId="77777777" w:rsidTr="00C80858">
        <w:trPr>
          <w:trHeight w:val="57"/>
        </w:trPr>
        <w:tc>
          <w:tcPr>
            <w:tcW w:w="473" w:type="pct"/>
            <w:noWrap/>
            <w:hideMark/>
          </w:tcPr>
          <w:p w14:paraId="23A13B7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7B7392A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1BCE20F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Odonata</w:t>
            </w:r>
          </w:p>
        </w:tc>
        <w:tc>
          <w:tcPr>
            <w:tcW w:w="473" w:type="pct"/>
            <w:noWrap/>
            <w:hideMark/>
          </w:tcPr>
          <w:p w14:paraId="4DD4110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Anisoptera</w:t>
            </w:r>
          </w:p>
        </w:tc>
        <w:tc>
          <w:tcPr>
            <w:tcW w:w="705" w:type="pct"/>
            <w:noWrap/>
            <w:hideMark/>
          </w:tcPr>
          <w:p w14:paraId="5B9E1D3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Dragonfly</w:t>
            </w:r>
          </w:p>
        </w:tc>
        <w:tc>
          <w:tcPr>
            <w:tcW w:w="1268" w:type="pct"/>
            <w:gridSpan w:val="2"/>
            <w:noWrap/>
            <w:hideMark/>
          </w:tcPr>
          <w:p w14:paraId="5BD2F75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Corduliidae</w:t>
            </w:r>
          </w:p>
        </w:tc>
        <w:tc>
          <w:tcPr>
            <w:tcW w:w="1112" w:type="pct"/>
            <w:noWrap/>
            <w:hideMark/>
          </w:tcPr>
          <w:p w14:paraId="47674E7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Hemicordulia</w:t>
            </w:r>
          </w:p>
        </w:tc>
      </w:tr>
      <w:tr w:rsidR="003D3694" w:rsidRPr="00747E35" w14:paraId="7FA2D6BA" w14:textId="77777777" w:rsidTr="00C80858">
        <w:trPr>
          <w:trHeight w:val="57"/>
        </w:trPr>
        <w:tc>
          <w:tcPr>
            <w:tcW w:w="473" w:type="pct"/>
            <w:noWrap/>
            <w:hideMark/>
          </w:tcPr>
          <w:p w14:paraId="37BCC50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5FE01B7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338AE10D"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Odonata</w:t>
            </w:r>
          </w:p>
        </w:tc>
        <w:tc>
          <w:tcPr>
            <w:tcW w:w="473" w:type="pct"/>
            <w:noWrap/>
            <w:hideMark/>
          </w:tcPr>
          <w:p w14:paraId="71E87F5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Anisoptera</w:t>
            </w:r>
          </w:p>
        </w:tc>
        <w:tc>
          <w:tcPr>
            <w:tcW w:w="705" w:type="pct"/>
            <w:noWrap/>
            <w:hideMark/>
          </w:tcPr>
          <w:p w14:paraId="7F6B3C9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Dragonfly</w:t>
            </w:r>
          </w:p>
        </w:tc>
        <w:tc>
          <w:tcPr>
            <w:tcW w:w="1268" w:type="pct"/>
            <w:gridSpan w:val="2"/>
            <w:noWrap/>
            <w:hideMark/>
          </w:tcPr>
          <w:p w14:paraId="4FFF9DF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Gomphidae</w:t>
            </w:r>
          </w:p>
        </w:tc>
        <w:tc>
          <w:tcPr>
            <w:tcW w:w="1112" w:type="pct"/>
            <w:noWrap/>
            <w:hideMark/>
          </w:tcPr>
          <w:p w14:paraId="1C5B8FA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Hemigomphus</w:t>
            </w:r>
          </w:p>
        </w:tc>
      </w:tr>
      <w:tr w:rsidR="003D3694" w:rsidRPr="00747E35" w14:paraId="6EC8D2A4" w14:textId="77777777" w:rsidTr="00C80858">
        <w:trPr>
          <w:trHeight w:val="57"/>
        </w:trPr>
        <w:tc>
          <w:tcPr>
            <w:tcW w:w="473" w:type="pct"/>
            <w:noWrap/>
            <w:hideMark/>
          </w:tcPr>
          <w:p w14:paraId="25148E5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20A5615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039345B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Odonata</w:t>
            </w:r>
          </w:p>
        </w:tc>
        <w:tc>
          <w:tcPr>
            <w:tcW w:w="473" w:type="pct"/>
            <w:noWrap/>
            <w:hideMark/>
          </w:tcPr>
          <w:p w14:paraId="43E6E09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Anisoptera</w:t>
            </w:r>
          </w:p>
        </w:tc>
        <w:tc>
          <w:tcPr>
            <w:tcW w:w="705" w:type="pct"/>
            <w:noWrap/>
            <w:hideMark/>
          </w:tcPr>
          <w:p w14:paraId="0B42C98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Dragonfly</w:t>
            </w:r>
          </w:p>
        </w:tc>
        <w:tc>
          <w:tcPr>
            <w:tcW w:w="1268" w:type="pct"/>
            <w:gridSpan w:val="2"/>
            <w:noWrap/>
            <w:hideMark/>
          </w:tcPr>
          <w:p w14:paraId="1C3A6DF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Gomphidae</w:t>
            </w:r>
          </w:p>
        </w:tc>
        <w:tc>
          <w:tcPr>
            <w:tcW w:w="1112" w:type="pct"/>
            <w:noWrap/>
            <w:hideMark/>
          </w:tcPr>
          <w:p w14:paraId="0898F3A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Austrogomphus</w:t>
            </w:r>
          </w:p>
        </w:tc>
      </w:tr>
      <w:tr w:rsidR="003D3694" w:rsidRPr="00747E35" w14:paraId="47437090" w14:textId="77777777" w:rsidTr="00C80858">
        <w:trPr>
          <w:trHeight w:val="57"/>
        </w:trPr>
        <w:tc>
          <w:tcPr>
            <w:tcW w:w="473" w:type="pct"/>
            <w:noWrap/>
            <w:hideMark/>
          </w:tcPr>
          <w:p w14:paraId="2945D08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765D4A5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73FADFF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Odonata</w:t>
            </w:r>
          </w:p>
        </w:tc>
        <w:tc>
          <w:tcPr>
            <w:tcW w:w="473" w:type="pct"/>
            <w:noWrap/>
            <w:hideMark/>
          </w:tcPr>
          <w:p w14:paraId="7A70308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Anisoptera</w:t>
            </w:r>
          </w:p>
        </w:tc>
        <w:tc>
          <w:tcPr>
            <w:tcW w:w="705" w:type="pct"/>
            <w:noWrap/>
            <w:hideMark/>
          </w:tcPr>
          <w:p w14:paraId="3D034EE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Dragonfly</w:t>
            </w:r>
          </w:p>
        </w:tc>
        <w:tc>
          <w:tcPr>
            <w:tcW w:w="1268" w:type="pct"/>
            <w:gridSpan w:val="2"/>
            <w:noWrap/>
            <w:hideMark/>
          </w:tcPr>
          <w:p w14:paraId="42F6473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Libellulidae</w:t>
            </w:r>
          </w:p>
        </w:tc>
        <w:tc>
          <w:tcPr>
            <w:tcW w:w="1112" w:type="pct"/>
            <w:noWrap/>
            <w:hideMark/>
          </w:tcPr>
          <w:p w14:paraId="7D15C56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Diplacodes</w:t>
            </w:r>
          </w:p>
        </w:tc>
      </w:tr>
      <w:tr w:rsidR="003D3694" w:rsidRPr="00747E35" w14:paraId="2F50CAC2" w14:textId="77777777" w:rsidTr="00C80858">
        <w:trPr>
          <w:trHeight w:val="57"/>
        </w:trPr>
        <w:tc>
          <w:tcPr>
            <w:tcW w:w="473" w:type="pct"/>
            <w:noWrap/>
            <w:hideMark/>
          </w:tcPr>
          <w:p w14:paraId="0142244D"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6177453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37A7EF8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Odonata</w:t>
            </w:r>
          </w:p>
        </w:tc>
        <w:tc>
          <w:tcPr>
            <w:tcW w:w="473" w:type="pct"/>
            <w:noWrap/>
            <w:hideMark/>
          </w:tcPr>
          <w:p w14:paraId="409D067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Anisoptera</w:t>
            </w:r>
          </w:p>
        </w:tc>
        <w:tc>
          <w:tcPr>
            <w:tcW w:w="705" w:type="pct"/>
            <w:noWrap/>
            <w:hideMark/>
          </w:tcPr>
          <w:p w14:paraId="630D660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Dragonfly</w:t>
            </w:r>
          </w:p>
        </w:tc>
        <w:tc>
          <w:tcPr>
            <w:tcW w:w="1268" w:type="pct"/>
            <w:gridSpan w:val="2"/>
            <w:noWrap/>
            <w:hideMark/>
          </w:tcPr>
          <w:p w14:paraId="140F3AB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Libellulidae</w:t>
            </w:r>
          </w:p>
        </w:tc>
        <w:tc>
          <w:tcPr>
            <w:tcW w:w="1112" w:type="pct"/>
            <w:noWrap/>
            <w:hideMark/>
          </w:tcPr>
          <w:p w14:paraId="274C25B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Nannophya</w:t>
            </w:r>
          </w:p>
        </w:tc>
      </w:tr>
      <w:tr w:rsidR="003D3694" w:rsidRPr="00747E35" w14:paraId="714FFFD0" w14:textId="77777777" w:rsidTr="00C80858">
        <w:trPr>
          <w:trHeight w:val="57"/>
        </w:trPr>
        <w:tc>
          <w:tcPr>
            <w:tcW w:w="473" w:type="pct"/>
            <w:noWrap/>
            <w:hideMark/>
          </w:tcPr>
          <w:p w14:paraId="497F3B0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31098C5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5659899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Odonata</w:t>
            </w:r>
          </w:p>
        </w:tc>
        <w:tc>
          <w:tcPr>
            <w:tcW w:w="473" w:type="pct"/>
            <w:noWrap/>
            <w:hideMark/>
          </w:tcPr>
          <w:p w14:paraId="43FF871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Anisoptera</w:t>
            </w:r>
          </w:p>
        </w:tc>
        <w:tc>
          <w:tcPr>
            <w:tcW w:w="705" w:type="pct"/>
            <w:noWrap/>
            <w:hideMark/>
          </w:tcPr>
          <w:p w14:paraId="3CED9FF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Dragonfly</w:t>
            </w:r>
          </w:p>
        </w:tc>
        <w:tc>
          <w:tcPr>
            <w:tcW w:w="1268" w:type="pct"/>
            <w:gridSpan w:val="2"/>
            <w:noWrap/>
            <w:hideMark/>
          </w:tcPr>
          <w:p w14:paraId="031FC70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Synthemistidae</w:t>
            </w:r>
          </w:p>
        </w:tc>
        <w:tc>
          <w:tcPr>
            <w:tcW w:w="1112" w:type="pct"/>
            <w:noWrap/>
            <w:hideMark/>
          </w:tcPr>
          <w:p w14:paraId="7523967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Eusynthemis</w:t>
            </w:r>
          </w:p>
        </w:tc>
      </w:tr>
      <w:tr w:rsidR="003D3694" w:rsidRPr="00747E35" w14:paraId="390CE278" w14:textId="77777777" w:rsidTr="00C80858">
        <w:trPr>
          <w:trHeight w:val="57"/>
        </w:trPr>
        <w:tc>
          <w:tcPr>
            <w:tcW w:w="473" w:type="pct"/>
            <w:noWrap/>
            <w:hideMark/>
          </w:tcPr>
          <w:p w14:paraId="2515C25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4ECCDC6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2430CEC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Odonata</w:t>
            </w:r>
          </w:p>
        </w:tc>
        <w:tc>
          <w:tcPr>
            <w:tcW w:w="473" w:type="pct"/>
            <w:noWrap/>
            <w:hideMark/>
          </w:tcPr>
          <w:p w14:paraId="7F79CDA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Anisoptera</w:t>
            </w:r>
          </w:p>
        </w:tc>
        <w:tc>
          <w:tcPr>
            <w:tcW w:w="705" w:type="pct"/>
            <w:noWrap/>
            <w:hideMark/>
          </w:tcPr>
          <w:p w14:paraId="7ED3A1A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Dragonfly</w:t>
            </w:r>
          </w:p>
        </w:tc>
        <w:tc>
          <w:tcPr>
            <w:tcW w:w="692" w:type="pct"/>
            <w:noWrap/>
            <w:hideMark/>
          </w:tcPr>
          <w:p w14:paraId="17EDC583" w14:textId="77777777" w:rsidR="003D3694" w:rsidRPr="00747E35" w:rsidRDefault="003D3694" w:rsidP="0096743A">
            <w:pPr>
              <w:pStyle w:val="Tabletext"/>
              <w:spacing w:before="0" w:after="0"/>
              <w:rPr>
                <w:rFonts w:cstheme="minorHAnsi"/>
                <w:sz w:val="14"/>
                <w:lang w:eastAsia="en-GB"/>
              </w:rPr>
            </w:pPr>
          </w:p>
        </w:tc>
        <w:tc>
          <w:tcPr>
            <w:tcW w:w="576" w:type="pct"/>
            <w:noWrap/>
            <w:hideMark/>
          </w:tcPr>
          <w:p w14:paraId="17BEE279"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1102F20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NI</w:t>
            </w:r>
          </w:p>
        </w:tc>
      </w:tr>
      <w:tr w:rsidR="003D3694" w:rsidRPr="00747E35" w14:paraId="0FD78D65" w14:textId="77777777" w:rsidTr="00C80858">
        <w:trPr>
          <w:trHeight w:val="57"/>
        </w:trPr>
        <w:tc>
          <w:tcPr>
            <w:tcW w:w="473" w:type="pct"/>
            <w:noWrap/>
            <w:hideMark/>
          </w:tcPr>
          <w:p w14:paraId="3E58F83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763697DD"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473" w:type="pct"/>
            <w:noWrap/>
            <w:hideMark/>
          </w:tcPr>
          <w:p w14:paraId="276CE33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Odonata</w:t>
            </w:r>
          </w:p>
        </w:tc>
        <w:tc>
          <w:tcPr>
            <w:tcW w:w="473" w:type="pct"/>
            <w:noWrap/>
            <w:hideMark/>
          </w:tcPr>
          <w:p w14:paraId="175648A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Zygoptera</w:t>
            </w:r>
          </w:p>
        </w:tc>
        <w:tc>
          <w:tcPr>
            <w:tcW w:w="705" w:type="pct"/>
            <w:noWrap/>
            <w:hideMark/>
          </w:tcPr>
          <w:p w14:paraId="642D9F3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Damselfly</w:t>
            </w:r>
          </w:p>
        </w:tc>
        <w:tc>
          <w:tcPr>
            <w:tcW w:w="692" w:type="pct"/>
            <w:noWrap/>
            <w:hideMark/>
          </w:tcPr>
          <w:p w14:paraId="45428A9A" w14:textId="77777777" w:rsidR="003D3694" w:rsidRPr="00747E35" w:rsidRDefault="003D3694" w:rsidP="0096743A">
            <w:pPr>
              <w:pStyle w:val="Tabletext"/>
              <w:spacing w:before="0" w:after="0"/>
              <w:rPr>
                <w:rFonts w:cstheme="minorHAnsi"/>
                <w:sz w:val="14"/>
                <w:lang w:eastAsia="en-GB"/>
              </w:rPr>
            </w:pPr>
          </w:p>
        </w:tc>
        <w:tc>
          <w:tcPr>
            <w:tcW w:w="576" w:type="pct"/>
            <w:noWrap/>
            <w:hideMark/>
          </w:tcPr>
          <w:p w14:paraId="24CC0C90"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430AC941" w14:textId="77777777" w:rsidR="003D3694" w:rsidRPr="00747E35" w:rsidRDefault="003D3694" w:rsidP="0096743A">
            <w:pPr>
              <w:pStyle w:val="Tabletext"/>
              <w:spacing w:before="0" w:after="0"/>
              <w:rPr>
                <w:rFonts w:cstheme="minorHAnsi"/>
                <w:sz w:val="14"/>
                <w:lang w:eastAsia="en-GB"/>
              </w:rPr>
            </w:pPr>
          </w:p>
        </w:tc>
      </w:tr>
      <w:tr w:rsidR="003D3694" w:rsidRPr="00747E35" w14:paraId="0E990962" w14:textId="77777777" w:rsidTr="00C80858">
        <w:trPr>
          <w:trHeight w:val="57"/>
        </w:trPr>
        <w:tc>
          <w:tcPr>
            <w:tcW w:w="473" w:type="pct"/>
            <w:noWrap/>
            <w:hideMark/>
          </w:tcPr>
          <w:p w14:paraId="5B5819C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5DE2E3ED"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644EF11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Trichoptera</w:t>
            </w:r>
          </w:p>
        </w:tc>
        <w:tc>
          <w:tcPr>
            <w:tcW w:w="705" w:type="pct"/>
            <w:noWrap/>
            <w:hideMark/>
          </w:tcPr>
          <w:p w14:paraId="43849C3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Caddisfly</w:t>
            </w:r>
          </w:p>
        </w:tc>
        <w:tc>
          <w:tcPr>
            <w:tcW w:w="1268" w:type="pct"/>
            <w:gridSpan w:val="2"/>
            <w:noWrap/>
            <w:hideMark/>
          </w:tcPr>
          <w:p w14:paraId="516A743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Calamoceratidae</w:t>
            </w:r>
          </w:p>
        </w:tc>
        <w:tc>
          <w:tcPr>
            <w:tcW w:w="1112" w:type="pct"/>
            <w:noWrap/>
            <w:hideMark/>
          </w:tcPr>
          <w:p w14:paraId="7BF8B08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Anisocentropus</w:t>
            </w:r>
          </w:p>
        </w:tc>
      </w:tr>
      <w:tr w:rsidR="003D3694" w:rsidRPr="00747E35" w14:paraId="7AC099A2" w14:textId="77777777" w:rsidTr="00C80858">
        <w:trPr>
          <w:trHeight w:val="57"/>
        </w:trPr>
        <w:tc>
          <w:tcPr>
            <w:tcW w:w="473" w:type="pct"/>
            <w:noWrap/>
            <w:hideMark/>
          </w:tcPr>
          <w:p w14:paraId="20099C1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2BB5EDA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7D6A1A1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Trichoptera</w:t>
            </w:r>
          </w:p>
        </w:tc>
        <w:tc>
          <w:tcPr>
            <w:tcW w:w="705" w:type="pct"/>
            <w:noWrap/>
            <w:hideMark/>
          </w:tcPr>
          <w:p w14:paraId="6A77038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Caddisfly</w:t>
            </w:r>
          </w:p>
        </w:tc>
        <w:tc>
          <w:tcPr>
            <w:tcW w:w="1268" w:type="pct"/>
            <w:gridSpan w:val="2"/>
            <w:noWrap/>
            <w:hideMark/>
          </w:tcPr>
          <w:p w14:paraId="72CFF7F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Ecnomidae</w:t>
            </w:r>
          </w:p>
        </w:tc>
        <w:tc>
          <w:tcPr>
            <w:tcW w:w="1112" w:type="pct"/>
            <w:noWrap/>
            <w:hideMark/>
          </w:tcPr>
          <w:p w14:paraId="2F696E7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Ecnomus</w:t>
            </w:r>
          </w:p>
        </w:tc>
      </w:tr>
      <w:tr w:rsidR="003D3694" w:rsidRPr="00747E35" w14:paraId="134290B5" w14:textId="77777777" w:rsidTr="00C80858">
        <w:trPr>
          <w:trHeight w:val="57"/>
        </w:trPr>
        <w:tc>
          <w:tcPr>
            <w:tcW w:w="473" w:type="pct"/>
            <w:noWrap/>
            <w:hideMark/>
          </w:tcPr>
          <w:p w14:paraId="49D2CF1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375F8D4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67BBDA8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Trichoptera</w:t>
            </w:r>
          </w:p>
        </w:tc>
        <w:tc>
          <w:tcPr>
            <w:tcW w:w="705" w:type="pct"/>
            <w:noWrap/>
            <w:hideMark/>
          </w:tcPr>
          <w:p w14:paraId="2CBB189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Caddisfly</w:t>
            </w:r>
          </w:p>
        </w:tc>
        <w:tc>
          <w:tcPr>
            <w:tcW w:w="1268" w:type="pct"/>
            <w:gridSpan w:val="2"/>
            <w:noWrap/>
            <w:hideMark/>
          </w:tcPr>
          <w:p w14:paraId="20AAADB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Hydropsychidae</w:t>
            </w:r>
          </w:p>
        </w:tc>
        <w:tc>
          <w:tcPr>
            <w:tcW w:w="1112" w:type="pct"/>
            <w:noWrap/>
            <w:hideMark/>
          </w:tcPr>
          <w:p w14:paraId="4ED66DE4" w14:textId="77777777" w:rsidR="003D3694" w:rsidRPr="00747E35" w:rsidRDefault="003D3694" w:rsidP="0096743A">
            <w:pPr>
              <w:pStyle w:val="Tabletext"/>
              <w:spacing w:before="0" w:after="0"/>
              <w:rPr>
                <w:rFonts w:cstheme="minorHAnsi"/>
                <w:sz w:val="14"/>
                <w:lang w:eastAsia="en-GB"/>
              </w:rPr>
            </w:pPr>
          </w:p>
        </w:tc>
      </w:tr>
      <w:tr w:rsidR="003D3694" w:rsidRPr="00747E35" w14:paraId="5883D984" w14:textId="77777777" w:rsidTr="00C80858">
        <w:trPr>
          <w:trHeight w:val="57"/>
        </w:trPr>
        <w:tc>
          <w:tcPr>
            <w:tcW w:w="473" w:type="pct"/>
            <w:noWrap/>
            <w:hideMark/>
          </w:tcPr>
          <w:p w14:paraId="7BB6312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1789080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7F06B4D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Trichoptera</w:t>
            </w:r>
          </w:p>
        </w:tc>
        <w:tc>
          <w:tcPr>
            <w:tcW w:w="705" w:type="pct"/>
            <w:noWrap/>
            <w:hideMark/>
          </w:tcPr>
          <w:p w14:paraId="3F55497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Caddisfly</w:t>
            </w:r>
          </w:p>
        </w:tc>
        <w:tc>
          <w:tcPr>
            <w:tcW w:w="1268" w:type="pct"/>
            <w:gridSpan w:val="2"/>
            <w:noWrap/>
            <w:hideMark/>
          </w:tcPr>
          <w:p w14:paraId="45F049A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Hydroptilidae</w:t>
            </w:r>
          </w:p>
        </w:tc>
        <w:tc>
          <w:tcPr>
            <w:tcW w:w="1112" w:type="pct"/>
            <w:noWrap/>
            <w:hideMark/>
          </w:tcPr>
          <w:p w14:paraId="2E4642F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Hellyethira</w:t>
            </w:r>
          </w:p>
        </w:tc>
      </w:tr>
      <w:tr w:rsidR="003D3694" w:rsidRPr="00747E35" w14:paraId="0524E447" w14:textId="77777777" w:rsidTr="00C80858">
        <w:trPr>
          <w:trHeight w:val="57"/>
        </w:trPr>
        <w:tc>
          <w:tcPr>
            <w:tcW w:w="473" w:type="pct"/>
            <w:noWrap/>
            <w:hideMark/>
          </w:tcPr>
          <w:p w14:paraId="553C8A5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0E9459A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6C40A6B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Trichoptera</w:t>
            </w:r>
          </w:p>
        </w:tc>
        <w:tc>
          <w:tcPr>
            <w:tcW w:w="705" w:type="pct"/>
            <w:noWrap/>
            <w:hideMark/>
          </w:tcPr>
          <w:p w14:paraId="0748EA7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Caddisfly</w:t>
            </w:r>
          </w:p>
        </w:tc>
        <w:tc>
          <w:tcPr>
            <w:tcW w:w="1268" w:type="pct"/>
            <w:gridSpan w:val="2"/>
            <w:noWrap/>
            <w:hideMark/>
          </w:tcPr>
          <w:p w14:paraId="13588AD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Leptoceridae</w:t>
            </w:r>
          </w:p>
        </w:tc>
        <w:tc>
          <w:tcPr>
            <w:tcW w:w="1112" w:type="pct"/>
            <w:noWrap/>
            <w:hideMark/>
          </w:tcPr>
          <w:p w14:paraId="46D2196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NI</w:t>
            </w:r>
          </w:p>
        </w:tc>
      </w:tr>
      <w:tr w:rsidR="003D3694" w:rsidRPr="00747E35" w14:paraId="30086F61" w14:textId="77777777" w:rsidTr="00C80858">
        <w:trPr>
          <w:trHeight w:val="57"/>
        </w:trPr>
        <w:tc>
          <w:tcPr>
            <w:tcW w:w="473" w:type="pct"/>
            <w:noWrap/>
            <w:hideMark/>
          </w:tcPr>
          <w:p w14:paraId="73562E3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4C36E2B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70A398D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Trichoptera</w:t>
            </w:r>
          </w:p>
        </w:tc>
        <w:tc>
          <w:tcPr>
            <w:tcW w:w="705" w:type="pct"/>
            <w:noWrap/>
            <w:hideMark/>
          </w:tcPr>
          <w:p w14:paraId="4F2C13B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Caddisfly</w:t>
            </w:r>
          </w:p>
        </w:tc>
        <w:tc>
          <w:tcPr>
            <w:tcW w:w="1268" w:type="pct"/>
            <w:gridSpan w:val="2"/>
            <w:noWrap/>
            <w:hideMark/>
          </w:tcPr>
          <w:p w14:paraId="68FD9E4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Leptoceridae</w:t>
            </w:r>
          </w:p>
        </w:tc>
        <w:tc>
          <w:tcPr>
            <w:tcW w:w="1112" w:type="pct"/>
            <w:noWrap/>
            <w:hideMark/>
          </w:tcPr>
          <w:p w14:paraId="64AF3170"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Triplectides</w:t>
            </w:r>
          </w:p>
        </w:tc>
      </w:tr>
      <w:tr w:rsidR="003D3694" w:rsidRPr="00747E35" w14:paraId="316CA2A3" w14:textId="77777777" w:rsidTr="00C80858">
        <w:trPr>
          <w:trHeight w:val="57"/>
        </w:trPr>
        <w:tc>
          <w:tcPr>
            <w:tcW w:w="473" w:type="pct"/>
            <w:noWrap/>
            <w:hideMark/>
          </w:tcPr>
          <w:p w14:paraId="4EA59FF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42F6F51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172540D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Trichoptera</w:t>
            </w:r>
          </w:p>
        </w:tc>
        <w:tc>
          <w:tcPr>
            <w:tcW w:w="705" w:type="pct"/>
            <w:noWrap/>
            <w:hideMark/>
          </w:tcPr>
          <w:p w14:paraId="0B34FE2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Caddisfly</w:t>
            </w:r>
          </w:p>
        </w:tc>
        <w:tc>
          <w:tcPr>
            <w:tcW w:w="1268" w:type="pct"/>
            <w:gridSpan w:val="2"/>
            <w:noWrap/>
            <w:hideMark/>
          </w:tcPr>
          <w:p w14:paraId="0B07D32D"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Leptoceridae</w:t>
            </w:r>
          </w:p>
        </w:tc>
        <w:tc>
          <w:tcPr>
            <w:tcW w:w="1112" w:type="pct"/>
            <w:noWrap/>
            <w:hideMark/>
          </w:tcPr>
          <w:p w14:paraId="463D1C1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Oecetis</w:t>
            </w:r>
          </w:p>
        </w:tc>
      </w:tr>
      <w:tr w:rsidR="003D3694" w:rsidRPr="00747E35" w14:paraId="6248BC02" w14:textId="77777777" w:rsidTr="00C80858">
        <w:trPr>
          <w:trHeight w:val="57"/>
        </w:trPr>
        <w:tc>
          <w:tcPr>
            <w:tcW w:w="473" w:type="pct"/>
            <w:noWrap/>
            <w:hideMark/>
          </w:tcPr>
          <w:p w14:paraId="2FA804B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5BCA58A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7CB77C3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Trichoptera</w:t>
            </w:r>
          </w:p>
        </w:tc>
        <w:tc>
          <w:tcPr>
            <w:tcW w:w="705" w:type="pct"/>
            <w:noWrap/>
            <w:hideMark/>
          </w:tcPr>
          <w:p w14:paraId="2624643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Caddisfly</w:t>
            </w:r>
          </w:p>
        </w:tc>
        <w:tc>
          <w:tcPr>
            <w:tcW w:w="1268" w:type="pct"/>
            <w:gridSpan w:val="2"/>
            <w:noWrap/>
            <w:hideMark/>
          </w:tcPr>
          <w:p w14:paraId="5D25EBC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Philopotamidae</w:t>
            </w:r>
          </w:p>
        </w:tc>
        <w:tc>
          <w:tcPr>
            <w:tcW w:w="1112" w:type="pct"/>
            <w:noWrap/>
            <w:hideMark/>
          </w:tcPr>
          <w:p w14:paraId="12D3CC13"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Chimarra</w:t>
            </w:r>
          </w:p>
        </w:tc>
      </w:tr>
      <w:tr w:rsidR="003D3694" w:rsidRPr="00747E35" w14:paraId="439AB076" w14:textId="77777777" w:rsidTr="00C80858">
        <w:trPr>
          <w:trHeight w:val="57"/>
        </w:trPr>
        <w:tc>
          <w:tcPr>
            <w:tcW w:w="473" w:type="pct"/>
            <w:noWrap/>
            <w:hideMark/>
          </w:tcPr>
          <w:p w14:paraId="1B61810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069FBD64"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Insecta</w:t>
            </w:r>
          </w:p>
        </w:tc>
        <w:tc>
          <w:tcPr>
            <w:tcW w:w="946" w:type="pct"/>
            <w:gridSpan w:val="2"/>
            <w:noWrap/>
            <w:hideMark/>
          </w:tcPr>
          <w:p w14:paraId="3931629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Trichoptera</w:t>
            </w:r>
          </w:p>
        </w:tc>
        <w:tc>
          <w:tcPr>
            <w:tcW w:w="705" w:type="pct"/>
            <w:noWrap/>
            <w:hideMark/>
          </w:tcPr>
          <w:p w14:paraId="36A1379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Caddisfly</w:t>
            </w:r>
          </w:p>
        </w:tc>
        <w:tc>
          <w:tcPr>
            <w:tcW w:w="692" w:type="pct"/>
            <w:noWrap/>
            <w:hideMark/>
          </w:tcPr>
          <w:p w14:paraId="61DD8C4B" w14:textId="77777777" w:rsidR="003D3694" w:rsidRPr="00747E35" w:rsidRDefault="003D3694" w:rsidP="0096743A">
            <w:pPr>
              <w:pStyle w:val="Tabletext"/>
              <w:spacing w:before="0" w:after="0"/>
              <w:rPr>
                <w:rFonts w:cstheme="minorHAnsi"/>
                <w:sz w:val="14"/>
                <w:lang w:eastAsia="en-GB"/>
              </w:rPr>
            </w:pPr>
          </w:p>
        </w:tc>
        <w:tc>
          <w:tcPr>
            <w:tcW w:w="576" w:type="pct"/>
            <w:noWrap/>
            <w:hideMark/>
          </w:tcPr>
          <w:p w14:paraId="0B5BF231"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6166E63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NI</w:t>
            </w:r>
          </w:p>
        </w:tc>
      </w:tr>
      <w:tr w:rsidR="003D3694" w:rsidRPr="00747E35" w14:paraId="05BFB4CA" w14:textId="77777777" w:rsidTr="00C80858">
        <w:trPr>
          <w:trHeight w:val="57"/>
        </w:trPr>
        <w:tc>
          <w:tcPr>
            <w:tcW w:w="473" w:type="pct"/>
            <w:noWrap/>
            <w:hideMark/>
          </w:tcPr>
          <w:p w14:paraId="2070689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Athropoda</w:t>
            </w:r>
          </w:p>
        </w:tc>
        <w:tc>
          <w:tcPr>
            <w:tcW w:w="495" w:type="pct"/>
            <w:noWrap/>
            <w:hideMark/>
          </w:tcPr>
          <w:p w14:paraId="1369853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Ostracoda</w:t>
            </w:r>
          </w:p>
        </w:tc>
        <w:tc>
          <w:tcPr>
            <w:tcW w:w="473" w:type="pct"/>
            <w:noWrap/>
            <w:hideMark/>
          </w:tcPr>
          <w:p w14:paraId="5229057E" w14:textId="77777777" w:rsidR="003D3694" w:rsidRPr="00747E35" w:rsidRDefault="003D3694" w:rsidP="0096743A">
            <w:pPr>
              <w:pStyle w:val="Tabletext"/>
              <w:spacing w:before="0" w:after="0"/>
              <w:rPr>
                <w:rFonts w:cstheme="minorHAnsi"/>
                <w:sz w:val="14"/>
                <w:lang w:eastAsia="en-GB"/>
              </w:rPr>
            </w:pPr>
          </w:p>
        </w:tc>
        <w:tc>
          <w:tcPr>
            <w:tcW w:w="473" w:type="pct"/>
            <w:noWrap/>
            <w:hideMark/>
          </w:tcPr>
          <w:p w14:paraId="0AC4A38B" w14:textId="77777777" w:rsidR="003D3694" w:rsidRPr="00747E35" w:rsidRDefault="003D3694" w:rsidP="0096743A">
            <w:pPr>
              <w:pStyle w:val="Tabletext"/>
              <w:spacing w:before="0" w:after="0"/>
              <w:rPr>
                <w:rFonts w:cstheme="minorHAnsi"/>
                <w:sz w:val="14"/>
                <w:lang w:eastAsia="en-GB"/>
              </w:rPr>
            </w:pPr>
          </w:p>
        </w:tc>
        <w:tc>
          <w:tcPr>
            <w:tcW w:w="1397" w:type="pct"/>
            <w:gridSpan w:val="2"/>
            <w:noWrap/>
            <w:hideMark/>
          </w:tcPr>
          <w:p w14:paraId="34C2CD2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Clam Shrimp</w:t>
            </w:r>
          </w:p>
        </w:tc>
        <w:tc>
          <w:tcPr>
            <w:tcW w:w="576" w:type="pct"/>
            <w:noWrap/>
            <w:hideMark/>
          </w:tcPr>
          <w:p w14:paraId="30446FB0"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4C7D80B6" w14:textId="77777777" w:rsidR="003D3694" w:rsidRPr="00747E35" w:rsidRDefault="003D3694" w:rsidP="0096743A">
            <w:pPr>
              <w:pStyle w:val="Tabletext"/>
              <w:spacing w:before="0" w:after="0"/>
              <w:rPr>
                <w:rFonts w:cstheme="minorHAnsi"/>
                <w:sz w:val="14"/>
                <w:lang w:eastAsia="en-GB"/>
              </w:rPr>
            </w:pPr>
          </w:p>
        </w:tc>
      </w:tr>
      <w:tr w:rsidR="003D3694" w:rsidRPr="00747E35" w14:paraId="06E93D3C" w14:textId="77777777" w:rsidTr="00C80858">
        <w:trPr>
          <w:trHeight w:val="57"/>
        </w:trPr>
        <w:tc>
          <w:tcPr>
            <w:tcW w:w="473" w:type="pct"/>
            <w:noWrap/>
            <w:hideMark/>
          </w:tcPr>
          <w:p w14:paraId="268767B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Mollusca</w:t>
            </w:r>
          </w:p>
        </w:tc>
        <w:tc>
          <w:tcPr>
            <w:tcW w:w="495" w:type="pct"/>
            <w:noWrap/>
            <w:hideMark/>
          </w:tcPr>
          <w:p w14:paraId="33A302D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Bivalvia</w:t>
            </w:r>
          </w:p>
        </w:tc>
        <w:tc>
          <w:tcPr>
            <w:tcW w:w="473" w:type="pct"/>
            <w:noWrap/>
            <w:hideMark/>
          </w:tcPr>
          <w:p w14:paraId="0FB0DBC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Veneroida</w:t>
            </w:r>
          </w:p>
        </w:tc>
        <w:tc>
          <w:tcPr>
            <w:tcW w:w="473" w:type="pct"/>
            <w:noWrap/>
            <w:hideMark/>
          </w:tcPr>
          <w:p w14:paraId="0EEB594D" w14:textId="77777777" w:rsidR="003D3694" w:rsidRPr="00747E35" w:rsidRDefault="003D3694" w:rsidP="0096743A">
            <w:pPr>
              <w:pStyle w:val="Tabletext"/>
              <w:spacing w:before="0" w:after="0"/>
              <w:rPr>
                <w:rFonts w:cstheme="minorHAnsi"/>
                <w:sz w:val="14"/>
                <w:lang w:eastAsia="en-GB"/>
              </w:rPr>
            </w:pPr>
          </w:p>
        </w:tc>
        <w:tc>
          <w:tcPr>
            <w:tcW w:w="705" w:type="pct"/>
            <w:noWrap/>
            <w:hideMark/>
          </w:tcPr>
          <w:p w14:paraId="75CD9EC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Clam</w:t>
            </w:r>
          </w:p>
        </w:tc>
        <w:tc>
          <w:tcPr>
            <w:tcW w:w="692" w:type="pct"/>
            <w:noWrap/>
            <w:hideMark/>
          </w:tcPr>
          <w:p w14:paraId="6C52621C" w14:textId="77777777" w:rsidR="003D3694" w:rsidRPr="00747E35" w:rsidRDefault="003D3694" w:rsidP="0096743A">
            <w:pPr>
              <w:pStyle w:val="Tabletext"/>
              <w:spacing w:before="0" w:after="0"/>
              <w:rPr>
                <w:rFonts w:cstheme="minorHAnsi"/>
                <w:sz w:val="14"/>
                <w:lang w:eastAsia="en-GB"/>
              </w:rPr>
            </w:pPr>
          </w:p>
        </w:tc>
        <w:tc>
          <w:tcPr>
            <w:tcW w:w="576" w:type="pct"/>
            <w:noWrap/>
            <w:hideMark/>
          </w:tcPr>
          <w:p w14:paraId="2F8AB034"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7696813F" w14:textId="77777777" w:rsidR="003D3694" w:rsidRPr="00747E35" w:rsidRDefault="003D3694" w:rsidP="0096743A">
            <w:pPr>
              <w:pStyle w:val="Tabletext"/>
              <w:spacing w:before="0" w:after="0"/>
              <w:rPr>
                <w:rFonts w:cstheme="minorHAnsi"/>
                <w:sz w:val="14"/>
                <w:lang w:eastAsia="en-GB"/>
              </w:rPr>
            </w:pPr>
          </w:p>
        </w:tc>
      </w:tr>
      <w:tr w:rsidR="003D3694" w:rsidRPr="00747E35" w14:paraId="220F330E" w14:textId="77777777" w:rsidTr="00C80858">
        <w:trPr>
          <w:trHeight w:val="57"/>
        </w:trPr>
        <w:tc>
          <w:tcPr>
            <w:tcW w:w="473" w:type="pct"/>
            <w:noWrap/>
            <w:hideMark/>
          </w:tcPr>
          <w:p w14:paraId="3CDED74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Mollusca</w:t>
            </w:r>
          </w:p>
        </w:tc>
        <w:tc>
          <w:tcPr>
            <w:tcW w:w="495" w:type="pct"/>
            <w:noWrap/>
            <w:hideMark/>
          </w:tcPr>
          <w:p w14:paraId="4BF5864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Gastropoda</w:t>
            </w:r>
          </w:p>
        </w:tc>
        <w:tc>
          <w:tcPr>
            <w:tcW w:w="946" w:type="pct"/>
            <w:gridSpan w:val="2"/>
            <w:noWrap/>
            <w:hideMark/>
          </w:tcPr>
          <w:p w14:paraId="252D103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Hygrophila</w:t>
            </w:r>
          </w:p>
        </w:tc>
        <w:tc>
          <w:tcPr>
            <w:tcW w:w="705" w:type="pct"/>
            <w:noWrap/>
            <w:hideMark/>
          </w:tcPr>
          <w:p w14:paraId="4CD3A6DB"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Snail</w:t>
            </w:r>
          </w:p>
        </w:tc>
        <w:tc>
          <w:tcPr>
            <w:tcW w:w="1268" w:type="pct"/>
            <w:gridSpan w:val="2"/>
            <w:noWrap/>
            <w:hideMark/>
          </w:tcPr>
          <w:p w14:paraId="6EB5051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Lymnaeidae</w:t>
            </w:r>
          </w:p>
        </w:tc>
        <w:tc>
          <w:tcPr>
            <w:tcW w:w="1112" w:type="pct"/>
            <w:noWrap/>
            <w:hideMark/>
          </w:tcPr>
          <w:p w14:paraId="3190FB8E" w14:textId="77777777" w:rsidR="003D3694" w:rsidRPr="00747E35" w:rsidRDefault="003D3694" w:rsidP="0096743A">
            <w:pPr>
              <w:pStyle w:val="Tabletext"/>
              <w:spacing w:before="0" w:after="0"/>
              <w:rPr>
                <w:rFonts w:cstheme="minorHAnsi"/>
                <w:sz w:val="14"/>
                <w:lang w:eastAsia="en-GB"/>
              </w:rPr>
            </w:pPr>
          </w:p>
        </w:tc>
      </w:tr>
      <w:tr w:rsidR="003D3694" w:rsidRPr="00747E35" w14:paraId="1A885F3C" w14:textId="77777777" w:rsidTr="00C80858">
        <w:trPr>
          <w:trHeight w:val="57"/>
        </w:trPr>
        <w:tc>
          <w:tcPr>
            <w:tcW w:w="473" w:type="pct"/>
            <w:noWrap/>
            <w:hideMark/>
          </w:tcPr>
          <w:p w14:paraId="3C2669F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Mollusca</w:t>
            </w:r>
          </w:p>
        </w:tc>
        <w:tc>
          <w:tcPr>
            <w:tcW w:w="495" w:type="pct"/>
            <w:noWrap/>
            <w:hideMark/>
          </w:tcPr>
          <w:p w14:paraId="28BC065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Gastropoda</w:t>
            </w:r>
          </w:p>
        </w:tc>
        <w:tc>
          <w:tcPr>
            <w:tcW w:w="946" w:type="pct"/>
            <w:gridSpan w:val="2"/>
            <w:noWrap/>
            <w:hideMark/>
          </w:tcPr>
          <w:p w14:paraId="504B263E"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Hygrophila</w:t>
            </w:r>
          </w:p>
        </w:tc>
        <w:tc>
          <w:tcPr>
            <w:tcW w:w="705" w:type="pct"/>
            <w:noWrap/>
            <w:hideMark/>
          </w:tcPr>
          <w:p w14:paraId="6E070A0A"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Snail</w:t>
            </w:r>
          </w:p>
        </w:tc>
        <w:tc>
          <w:tcPr>
            <w:tcW w:w="1268" w:type="pct"/>
            <w:gridSpan w:val="2"/>
            <w:noWrap/>
            <w:hideMark/>
          </w:tcPr>
          <w:p w14:paraId="1F190298"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Planorbidae</w:t>
            </w:r>
          </w:p>
        </w:tc>
        <w:tc>
          <w:tcPr>
            <w:tcW w:w="1112" w:type="pct"/>
            <w:noWrap/>
            <w:hideMark/>
          </w:tcPr>
          <w:p w14:paraId="1D85367F" w14:textId="77777777" w:rsidR="003D3694" w:rsidRPr="00747E35" w:rsidRDefault="003D3694" w:rsidP="0096743A">
            <w:pPr>
              <w:pStyle w:val="Tabletext"/>
              <w:spacing w:before="0" w:after="0"/>
              <w:rPr>
                <w:rFonts w:cstheme="minorHAnsi"/>
                <w:sz w:val="14"/>
                <w:lang w:eastAsia="en-GB"/>
              </w:rPr>
            </w:pPr>
          </w:p>
        </w:tc>
      </w:tr>
      <w:tr w:rsidR="003D3694" w:rsidRPr="00747E35" w14:paraId="0BDEA385" w14:textId="77777777" w:rsidTr="00C80858">
        <w:trPr>
          <w:trHeight w:val="57"/>
        </w:trPr>
        <w:tc>
          <w:tcPr>
            <w:tcW w:w="473" w:type="pct"/>
            <w:noWrap/>
            <w:hideMark/>
          </w:tcPr>
          <w:p w14:paraId="7CBA440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Mollusca</w:t>
            </w:r>
          </w:p>
        </w:tc>
        <w:tc>
          <w:tcPr>
            <w:tcW w:w="495" w:type="pct"/>
            <w:noWrap/>
            <w:hideMark/>
          </w:tcPr>
          <w:p w14:paraId="10CFD7F2"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Gastropoda</w:t>
            </w:r>
          </w:p>
        </w:tc>
        <w:tc>
          <w:tcPr>
            <w:tcW w:w="946" w:type="pct"/>
            <w:gridSpan w:val="2"/>
            <w:noWrap/>
            <w:hideMark/>
          </w:tcPr>
          <w:p w14:paraId="109C22E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Hygrophila</w:t>
            </w:r>
          </w:p>
        </w:tc>
        <w:tc>
          <w:tcPr>
            <w:tcW w:w="705" w:type="pct"/>
            <w:noWrap/>
            <w:hideMark/>
          </w:tcPr>
          <w:p w14:paraId="50F2BB8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Snail</w:t>
            </w:r>
          </w:p>
        </w:tc>
        <w:tc>
          <w:tcPr>
            <w:tcW w:w="1268" w:type="pct"/>
            <w:gridSpan w:val="2"/>
            <w:noWrap/>
            <w:hideMark/>
          </w:tcPr>
          <w:p w14:paraId="0B11D15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Planorbidae</w:t>
            </w:r>
          </w:p>
        </w:tc>
        <w:tc>
          <w:tcPr>
            <w:tcW w:w="1112" w:type="pct"/>
            <w:noWrap/>
            <w:hideMark/>
          </w:tcPr>
          <w:p w14:paraId="4598A429"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Ferrissia</w:t>
            </w:r>
          </w:p>
        </w:tc>
      </w:tr>
      <w:tr w:rsidR="003D3694" w:rsidRPr="00747E35" w14:paraId="30D26F57" w14:textId="77777777" w:rsidTr="00C80858">
        <w:trPr>
          <w:trHeight w:val="57"/>
        </w:trPr>
        <w:tc>
          <w:tcPr>
            <w:tcW w:w="473" w:type="pct"/>
            <w:noWrap/>
            <w:hideMark/>
          </w:tcPr>
          <w:p w14:paraId="7733EAF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Annelida</w:t>
            </w:r>
          </w:p>
        </w:tc>
        <w:tc>
          <w:tcPr>
            <w:tcW w:w="495" w:type="pct"/>
            <w:noWrap/>
            <w:hideMark/>
          </w:tcPr>
          <w:p w14:paraId="1DCB35F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Hirudinea</w:t>
            </w:r>
          </w:p>
        </w:tc>
        <w:tc>
          <w:tcPr>
            <w:tcW w:w="946" w:type="pct"/>
            <w:gridSpan w:val="2"/>
            <w:noWrap/>
            <w:hideMark/>
          </w:tcPr>
          <w:p w14:paraId="17E326C5"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Rhynchobdellida</w:t>
            </w:r>
          </w:p>
        </w:tc>
        <w:tc>
          <w:tcPr>
            <w:tcW w:w="705" w:type="pct"/>
            <w:noWrap/>
            <w:hideMark/>
          </w:tcPr>
          <w:p w14:paraId="005310B6"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Leech</w:t>
            </w:r>
          </w:p>
        </w:tc>
        <w:tc>
          <w:tcPr>
            <w:tcW w:w="1268" w:type="pct"/>
            <w:gridSpan w:val="2"/>
            <w:noWrap/>
            <w:hideMark/>
          </w:tcPr>
          <w:p w14:paraId="0DB4D1FD"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Glossiphoniidae</w:t>
            </w:r>
          </w:p>
        </w:tc>
        <w:tc>
          <w:tcPr>
            <w:tcW w:w="1112" w:type="pct"/>
            <w:noWrap/>
            <w:hideMark/>
          </w:tcPr>
          <w:p w14:paraId="6CE88F68" w14:textId="77777777" w:rsidR="003D3694" w:rsidRPr="00747E35" w:rsidRDefault="003D3694" w:rsidP="0096743A">
            <w:pPr>
              <w:pStyle w:val="Tabletext"/>
              <w:spacing w:before="0" w:after="0"/>
              <w:rPr>
                <w:rFonts w:cstheme="minorHAnsi"/>
                <w:sz w:val="14"/>
                <w:lang w:eastAsia="en-GB"/>
              </w:rPr>
            </w:pPr>
          </w:p>
        </w:tc>
      </w:tr>
      <w:tr w:rsidR="003D3694" w:rsidRPr="00747E35" w14:paraId="128E4F22" w14:textId="77777777" w:rsidTr="00C80858">
        <w:trPr>
          <w:trHeight w:val="57"/>
        </w:trPr>
        <w:tc>
          <w:tcPr>
            <w:tcW w:w="473" w:type="pct"/>
            <w:noWrap/>
            <w:hideMark/>
          </w:tcPr>
          <w:p w14:paraId="1406318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Annelida</w:t>
            </w:r>
          </w:p>
        </w:tc>
        <w:tc>
          <w:tcPr>
            <w:tcW w:w="968" w:type="pct"/>
            <w:gridSpan w:val="2"/>
            <w:noWrap/>
            <w:hideMark/>
          </w:tcPr>
          <w:p w14:paraId="4CA5CD9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Oligochaeta</w:t>
            </w:r>
          </w:p>
        </w:tc>
        <w:tc>
          <w:tcPr>
            <w:tcW w:w="473" w:type="pct"/>
            <w:noWrap/>
            <w:hideMark/>
          </w:tcPr>
          <w:p w14:paraId="0FCE299A" w14:textId="77777777" w:rsidR="003D3694" w:rsidRPr="00747E35" w:rsidRDefault="003D3694" w:rsidP="0096743A">
            <w:pPr>
              <w:pStyle w:val="Tabletext"/>
              <w:spacing w:before="0" w:after="0"/>
              <w:rPr>
                <w:rFonts w:cstheme="minorHAnsi"/>
                <w:sz w:val="14"/>
                <w:lang w:eastAsia="en-GB"/>
              </w:rPr>
            </w:pPr>
          </w:p>
        </w:tc>
        <w:tc>
          <w:tcPr>
            <w:tcW w:w="1397" w:type="pct"/>
            <w:gridSpan w:val="2"/>
            <w:noWrap/>
            <w:hideMark/>
          </w:tcPr>
          <w:p w14:paraId="731EAE71"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Segemented worms</w:t>
            </w:r>
          </w:p>
        </w:tc>
        <w:tc>
          <w:tcPr>
            <w:tcW w:w="576" w:type="pct"/>
            <w:noWrap/>
            <w:hideMark/>
          </w:tcPr>
          <w:p w14:paraId="7B171969"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4036D4CB" w14:textId="77777777" w:rsidR="003D3694" w:rsidRPr="00747E35" w:rsidRDefault="003D3694" w:rsidP="0096743A">
            <w:pPr>
              <w:pStyle w:val="Tabletext"/>
              <w:spacing w:before="0" w:after="0"/>
              <w:rPr>
                <w:rFonts w:cstheme="minorHAnsi"/>
                <w:sz w:val="14"/>
                <w:lang w:eastAsia="en-GB"/>
              </w:rPr>
            </w:pPr>
          </w:p>
        </w:tc>
      </w:tr>
      <w:tr w:rsidR="003D3694" w:rsidRPr="00747E35" w14:paraId="2EE635F3" w14:textId="77777777" w:rsidTr="00C80858">
        <w:trPr>
          <w:trHeight w:val="57"/>
        </w:trPr>
        <w:tc>
          <w:tcPr>
            <w:tcW w:w="473" w:type="pct"/>
            <w:noWrap/>
            <w:hideMark/>
          </w:tcPr>
          <w:p w14:paraId="787E8797"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lastRenderedPageBreak/>
              <w:t>Nematoda</w:t>
            </w:r>
          </w:p>
        </w:tc>
        <w:tc>
          <w:tcPr>
            <w:tcW w:w="495" w:type="pct"/>
            <w:noWrap/>
            <w:hideMark/>
          </w:tcPr>
          <w:p w14:paraId="2924AD8F"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Nematoda</w:t>
            </w:r>
          </w:p>
        </w:tc>
        <w:tc>
          <w:tcPr>
            <w:tcW w:w="473" w:type="pct"/>
            <w:noWrap/>
            <w:hideMark/>
          </w:tcPr>
          <w:p w14:paraId="7F230A9B" w14:textId="77777777" w:rsidR="003D3694" w:rsidRPr="00747E35" w:rsidRDefault="003D3694" w:rsidP="0096743A">
            <w:pPr>
              <w:pStyle w:val="Tabletext"/>
              <w:spacing w:before="0" w:after="0"/>
              <w:rPr>
                <w:rFonts w:cstheme="minorHAnsi"/>
                <w:sz w:val="14"/>
                <w:lang w:eastAsia="en-GB"/>
              </w:rPr>
            </w:pPr>
          </w:p>
        </w:tc>
        <w:tc>
          <w:tcPr>
            <w:tcW w:w="473" w:type="pct"/>
            <w:noWrap/>
            <w:hideMark/>
          </w:tcPr>
          <w:p w14:paraId="7E5ADD55" w14:textId="77777777" w:rsidR="003D3694" w:rsidRPr="00747E35" w:rsidRDefault="003D3694" w:rsidP="0096743A">
            <w:pPr>
              <w:pStyle w:val="Tabletext"/>
              <w:spacing w:before="0" w:after="0"/>
              <w:rPr>
                <w:rFonts w:cstheme="minorHAnsi"/>
                <w:sz w:val="14"/>
                <w:lang w:eastAsia="en-GB"/>
              </w:rPr>
            </w:pPr>
          </w:p>
        </w:tc>
        <w:tc>
          <w:tcPr>
            <w:tcW w:w="1397" w:type="pct"/>
            <w:gridSpan w:val="2"/>
            <w:noWrap/>
            <w:hideMark/>
          </w:tcPr>
          <w:p w14:paraId="7EE9FDFC" w14:textId="77777777" w:rsidR="003D3694" w:rsidRPr="00747E35" w:rsidRDefault="003D3694" w:rsidP="0096743A">
            <w:pPr>
              <w:pStyle w:val="Tabletext"/>
              <w:spacing w:before="0" w:after="0"/>
              <w:rPr>
                <w:rFonts w:cstheme="minorHAnsi"/>
                <w:sz w:val="14"/>
                <w:lang w:eastAsia="en-GB"/>
              </w:rPr>
            </w:pPr>
            <w:r w:rsidRPr="00747E35">
              <w:rPr>
                <w:rFonts w:cstheme="minorHAnsi"/>
                <w:sz w:val="14"/>
                <w:lang w:eastAsia="en-GB"/>
              </w:rPr>
              <w:t>Round worm</w:t>
            </w:r>
          </w:p>
        </w:tc>
        <w:tc>
          <w:tcPr>
            <w:tcW w:w="576" w:type="pct"/>
            <w:noWrap/>
            <w:hideMark/>
          </w:tcPr>
          <w:p w14:paraId="71C1B357" w14:textId="77777777" w:rsidR="003D3694" w:rsidRPr="00747E35" w:rsidRDefault="003D3694" w:rsidP="0096743A">
            <w:pPr>
              <w:pStyle w:val="Tabletext"/>
              <w:spacing w:before="0" w:after="0"/>
              <w:rPr>
                <w:rFonts w:cstheme="minorHAnsi"/>
                <w:sz w:val="14"/>
                <w:lang w:eastAsia="en-GB"/>
              </w:rPr>
            </w:pPr>
          </w:p>
        </w:tc>
        <w:tc>
          <w:tcPr>
            <w:tcW w:w="1112" w:type="pct"/>
            <w:noWrap/>
            <w:hideMark/>
          </w:tcPr>
          <w:p w14:paraId="2F0A081E" w14:textId="77777777" w:rsidR="003D3694" w:rsidRPr="00747E35" w:rsidRDefault="003D3694" w:rsidP="0096743A">
            <w:pPr>
              <w:pStyle w:val="Tabletext"/>
              <w:spacing w:before="0" w:after="0"/>
              <w:rPr>
                <w:rFonts w:cstheme="minorHAnsi"/>
                <w:sz w:val="14"/>
                <w:lang w:eastAsia="en-GB"/>
              </w:rPr>
            </w:pPr>
          </w:p>
        </w:tc>
      </w:tr>
    </w:tbl>
    <w:p w14:paraId="50B076F4" w14:textId="77777777" w:rsidR="003D3694" w:rsidRPr="00747E35" w:rsidRDefault="003D3694" w:rsidP="003D3694">
      <w:pPr>
        <w:rPr>
          <w:rFonts w:asciiTheme="minorHAnsi" w:hAnsiTheme="minorHAnsi" w:cstheme="minorHAnsi"/>
        </w:rPr>
      </w:pPr>
    </w:p>
    <w:p w14:paraId="1CD05A04"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br w:type="page"/>
      </w:r>
    </w:p>
    <w:p w14:paraId="001A0A19" w14:textId="1FED6318" w:rsidR="003D3694" w:rsidRPr="00747E35" w:rsidRDefault="003D3694" w:rsidP="003D3694">
      <w:pPr>
        <w:pStyle w:val="Heading2"/>
        <w:rPr>
          <w:rFonts w:asciiTheme="minorHAnsi" w:hAnsiTheme="minorHAnsi" w:cstheme="minorHAnsi"/>
        </w:rPr>
      </w:pPr>
      <w:bookmarkStart w:id="475" w:name="_Toc470004931"/>
      <w:r w:rsidRPr="00747E35">
        <w:rPr>
          <w:rFonts w:asciiTheme="minorHAnsi" w:hAnsiTheme="minorHAnsi" w:cstheme="minorHAnsi"/>
        </w:rPr>
        <w:lastRenderedPageBreak/>
        <w:t>Appendix 3: Component 3 – Subsurface ecology supplementary material</w:t>
      </w:r>
      <w:bookmarkEnd w:id="475"/>
    </w:p>
    <w:p w14:paraId="02020EDE" w14:textId="77777777" w:rsidR="003D3694" w:rsidRPr="00747E35" w:rsidRDefault="003D3694" w:rsidP="003D3694">
      <w:pPr>
        <w:rPr>
          <w:rFonts w:asciiTheme="minorHAnsi" w:hAnsiTheme="minorHAnsi" w:cstheme="minorHAnsi"/>
        </w:rPr>
      </w:pPr>
      <w:bookmarkStart w:id="476" w:name="_Ref466449048"/>
      <w:bookmarkStart w:id="477" w:name="_Ref452277377"/>
    </w:p>
    <w:p w14:paraId="24010D74" w14:textId="77777777" w:rsidR="003D3694" w:rsidRPr="00747E35" w:rsidRDefault="003D3694" w:rsidP="00551FB9">
      <w:pPr>
        <w:pStyle w:val="Caption"/>
        <w:numPr>
          <w:ilvl w:val="0"/>
          <w:numId w:val="0"/>
        </w:numPr>
        <w:jc w:val="center"/>
        <w:rPr>
          <w:rFonts w:cstheme="minorHAnsi"/>
          <w:color w:val="auto"/>
          <w:sz w:val="24"/>
          <w:szCs w:val="24"/>
        </w:rPr>
      </w:pPr>
      <w:r w:rsidRPr="00747E35">
        <w:rPr>
          <w:rFonts w:cstheme="minorHAnsi"/>
          <w:noProof/>
          <w:lang w:eastAsia="en-AU"/>
        </w:rPr>
        <w:drawing>
          <wp:inline distT="0" distB="0" distL="0" distR="0" wp14:anchorId="376DC5BC" wp14:editId="24A2F119">
            <wp:extent cx="5225143" cy="5225143"/>
            <wp:effectExtent l="19050" t="19050" r="13970" b="13970"/>
            <wp:docPr id="7189" name="Picture 7189" descr="Aerial/satellite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fan\Documents\PROJECTS\DoE02_OWSProjects\DATA\Mapping Data\Maules Creek Maps\map updates Apr 2016\OWS East Lynne (WGS84).jpg"/>
                    <pic:cNvPicPr>
                      <a:picLocks noChangeAspect="1" noChangeArrowheads="1"/>
                    </pic:cNvPicPr>
                  </pic:nvPicPr>
                  <pic:blipFill>
                    <a:blip r:embed="rId233" cstate="email">
                      <a:extLst>
                        <a:ext uri="{28A0092B-C50C-407E-A947-70E740481C1C}">
                          <a14:useLocalDpi xmlns:a14="http://schemas.microsoft.com/office/drawing/2010/main"/>
                        </a:ext>
                      </a:extLst>
                    </a:blip>
                    <a:stretch>
                      <a:fillRect/>
                    </a:stretch>
                  </pic:blipFill>
                  <pic:spPr bwMode="auto">
                    <a:xfrm>
                      <a:off x="0" y="0"/>
                      <a:ext cx="5234252" cy="523425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76DE2D6" w14:textId="77777777" w:rsidR="003D3694" w:rsidRPr="00747E35" w:rsidRDefault="003D3694" w:rsidP="00551FB9">
      <w:pPr>
        <w:pStyle w:val="Caption"/>
        <w:numPr>
          <w:ilvl w:val="0"/>
          <w:numId w:val="0"/>
        </w:numPr>
        <w:rPr>
          <w:rFonts w:cstheme="minorHAnsi"/>
        </w:rPr>
      </w:pPr>
      <w:bookmarkStart w:id="478" w:name="_Ref467009979"/>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155</w:t>
      </w:r>
      <w:r w:rsidR="009D6600" w:rsidRPr="00747E35">
        <w:rPr>
          <w:rFonts w:cstheme="minorHAnsi"/>
          <w:noProof/>
        </w:rPr>
        <w:fldChar w:fldCharType="end"/>
      </w:r>
      <w:bookmarkEnd w:id="478"/>
      <w:r w:rsidRPr="00747E35">
        <w:rPr>
          <w:rFonts w:cstheme="minorHAnsi"/>
        </w:rPr>
        <w:t>: East Lynne study site in upper Middle Creek with intermittent losing flow regime at time of sampling. The bores and pool were sampled for hyporheic invertebrates and hydrochemistry.</w:t>
      </w:r>
    </w:p>
    <w:p w14:paraId="2DA3FF2D" w14:textId="77777777" w:rsidR="003D3694" w:rsidRPr="00747E35" w:rsidRDefault="003D3694" w:rsidP="003D3694">
      <w:pPr>
        <w:rPr>
          <w:rFonts w:asciiTheme="minorHAnsi" w:hAnsiTheme="minorHAnsi" w:cstheme="minorHAnsi"/>
        </w:rPr>
      </w:pPr>
    </w:p>
    <w:p w14:paraId="078131D3"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18D47E88" wp14:editId="70701ED3">
            <wp:extent cx="5643154" cy="5643154"/>
            <wp:effectExtent l="19050" t="19050" r="15240" b="15240"/>
            <wp:docPr id="7192" name="Picture 7192" descr="Aerial/satellite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fan\Documents\PROJECTS\DoE02_OWSProjects\DATA\Mapping Data\Maules Creek Maps\map updates Apr 2016\OWS Middle Creek Farm (WGS84).jpg"/>
                    <pic:cNvPicPr>
                      <a:picLocks noChangeAspect="1" noChangeArrowheads="1"/>
                    </pic:cNvPicPr>
                  </pic:nvPicPr>
                  <pic:blipFill>
                    <a:blip r:embed="rId234" cstate="email">
                      <a:extLst>
                        <a:ext uri="{28A0092B-C50C-407E-A947-70E740481C1C}">
                          <a14:useLocalDpi xmlns:a14="http://schemas.microsoft.com/office/drawing/2010/main"/>
                        </a:ext>
                      </a:extLst>
                    </a:blip>
                    <a:stretch>
                      <a:fillRect/>
                    </a:stretch>
                  </pic:blipFill>
                  <pic:spPr bwMode="auto">
                    <a:xfrm>
                      <a:off x="0" y="0"/>
                      <a:ext cx="5649710" cy="564971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2612247" w14:textId="77777777" w:rsidR="003D3694" w:rsidRPr="00747E35" w:rsidRDefault="003D3694" w:rsidP="00551FB9">
      <w:pPr>
        <w:pStyle w:val="Caption"/>
        <w:numPr>
          <w:ilvl w:val="0"/>
          <w:numId w:val="0"/>
        </w:numPr>
        <w:rPr>
          <w:rFonts w:cstheme="minorHAnsi"/>
        </w:rPr>
      </w:pPr>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156</w:t>
      </w:r>
      <w:r w:rsidR="009D6600" w:rsidRPr="00747E35">
        <w:rPr>
          <w:rFonts w:cstheme="minorHAnsi"/>
          <w:noProof/>
        </w:rPr>
        <w:fldChar w:fldCharType="end"/>
      </w:r>
      <w:r w:rsidRPr="00747E35">
        <w:rPr>
          <w:rFonts w:cstheme="minorHAnsi"/>
        </w:rPr>
        <w:t>: Middle Creek Farm study site in upper Middle Creek. Pools (P) and riffles (R) are numbered sequentially from upstream. Pools P4 and P5 were sampled for hyporheic invertebrates and hydrochemistry.</w:t>
      </w:r>
    </w:p>
    <w:p w14:paraId="636CC13A" w14:textId="77777777" w:rsidR="003D3694" w:rsidRPr="00747E35" w:rsidRDefault="003D3694" w:rsidP="003D3694">
      <w:pPr>
        <w:rPr>
          <w:rFonts w:asciiTheme="minorHAnsi" w:hAnsiTheme="minorHAnsi" w:cstheme="minorHAnsi"/>
        </w:rPr>
      </w:pPr>
    </w:p>
    <w:p w14:paraId="5E3DBA31" w14:textId="77777777" w:rsidR="003D3694" w:rsidRPr="00747E35" w:rsidRDefault="003D3694" w:rsidP="00793A29">
      <w:pPr>
        <w:pStyle w:val="Caption"/>
        <w:numPr>
          <w:ilvl w:val="0"/>
          <w:numId w:val="0"/>
        </w:numPr>
        <w:jc w:val="center"/>
        <w:rPr>
          <w:rFonts w:cstheme="minorHAnsi"/>
        </w:rPr>
      </w:pPr>
      <w:r w:rsidRPr="00747E35">
        <w:rPr>
          <w:rFonts w:cstheme="minorHAnsi"/>
          <w:noProof/>
          <w:lang w:eastAsia="en-AU"/>
        </w:rPr>
        <w:lastRenderedPageBreak/>
        <w:drawing>
          <wp:inline distT="0" distB="0" distL="0" distR="0" wp14:anchorId="40612946" wp14:editId="24089966">
            <wp:extent cx="6337939" cy="4480560"/>
            <wp:effectExtent l="19050" t="19050" r="24765" b="15240"/>
            <wp:docPr id="7193" name="Picture 7193" descr="Aerial/satellite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fan\Documents\PROJECTS\DoE02_OWSProjects\DATA\Mapping Data\Maules Creek Maps\map updates Apr 2016\OWS Elfin Crossing (WGS84).jpg"/>
                    <pic:cNvPicPr>
                      <a:picLocks noChangeAspect="1" noChangeArrowheads="1"/>
                    </pic:cNvPicPr>
                  </pic:nvPicPr>
                  <pic:blipFill>
                    <a:blip r:embed="rId235" cstate="email">
                      <a:extLst>
                        <a:ext uri="{28A0092B-C50C-407E-A947-70E740481C1C}">
                          <a14:useLocalDpi xmlns:a14="http://schemas.microsoft.com/office/drawing/2010/main"/>
                        </a:ext>
                      </a:extLst>
                    </a:blip>
                    <a:stretch>
                      <a:fillRect/>
                    </a:stretch>
                  </pic:blipFill>
                  <pic:spPr bwMode="auto">
                    <a:xfrm>
                      <a:off x="0" y="0"/>
                      <a:ext cx="6349102" cy="448845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1CDEC5" w14:textId="77777777" w:rsidR="003D3694" w:rsidRPr="00747E35" w:rsidRDefault="003D3694" w:rsidP="00793A29">
      <w:pPr>
        <w:pStyle w:val="Caption"/>
        <w:numPr>
          <w:ilvl w:val="0"/>
          <w:numId w:val="0"/>
        </w:numPr>
        <w:rPr>
          <w:rFonts w:cstheme="minorHAnsi"/>
        </w:rPr>
      </w:pPr>
      <w:bookmarkStart w:id="479" w:name="_Ref467010021"/>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157</w:t>
      </w:r>
      <w:r w:rsidR="009D6600" w:rsidRPr="00747E35">
        <w:rPr>
          <w:rFonts w:cstheme="minorHAnsi"/>
          <w:noProof/>
        </w:rPr>
        <w:fldChar w:fldCharType="end"/>
      </w:r>
      <w:bookmarkEnd w:id="479"/>
      <w:r w:rsidRPr="00747E35">
        <w:rPr>
          <w:rFonts w:cstheme="minorHAnsi"/>
        </w:rPr>
        <w:t xml:space="preserve">: Maules and Horsearm Creek. Horsearm Creek perennial gaining and Perennial losing from Horsearm - Maules confluence. Pools P18, P19, P20, P24, P27, P32 (The Spring), Bar 6, the Confluence (P35-R9), P36 (Elfin Crossing), P38 and riffle R11 were sampled for hyporheic invertebrates and hydrochemistry. </w:t>
      </w:r>
    </w:p>
    <w:p w14:paraId="4B9ACD6F" w14:textId="77777777" w:rsidR="003D3694" w:rsidRPr="00747E35" w:rsidRDefault="003D3694" w:rsidP="003D3694">
      <w:pPr>
        <w:autoSpaceDE/>
        <w:autoSpaceDN/>
        <w:spacing w:line="276" w:lineRule="auto"/>
        <w:rPr>
          <w:rFonts w:asciiTheme="minorHAnsi" w:hAnsiTheme="minorHAnsi" w:cstheme="minorHAnsi"/>
        </w:rPr>
      </w:pPr>
      <w:r w:rsidRPr="00747E35">
        <w:rPr>
          <w:rFonts w:asciiTheme="minorHAnsi" w:hAnsiTheme="minorHAnsi" w:cstheme="minorHAnsi"/>
        </w:rPr>
        <w:br w:type="page"/>
      </w:r>
    </w:p>
    <w:p w14:paraId="0CC7F910" w14:textId="02041227" w:rsidR="003D3694" w:rsidRPr="00747E35" w:rsidRDefault="003D3694" w:rsidP="00793A29">
      <w:pPr>
        <w:pStyle w:val="Caption"/>
        <w:numPr>
          <w:ilvl w:val="0"/>
          <w:numId w:val="0"/>
        </w:numPr>
        <w:rPr>
          <w:rFonts w:cstheme="minorHAnsi"/>
        </w:rPr>
      </w:pPr>
      <w:bookmarkStart w:id="480" w:name="_Ref467011006"/>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47</w:t>
      </w:r>
      <w:r w:rsidR="009D6600" w:rsidRPr="00747E35">
        <w:rPr>
          <w:rFonts w:cstheme="minorHAnsi"/>
          <w:noProof/>
        </w:rPr>
        <w:fldChar w:fldCharType="end"/>
      </w:r>
      <w:bookmarkEnd w:id="476"/>
      <w:bookmarkEnd w:id="480"/>
      <w:r w:rsidRPr="00747E35">
        <w:rPr>
          <w:rFonts w:cstheme="minorHAnsi"/>
        </w:rPr>
        <w:t xml:space="preserve">: Summary of survey effort in the Bremer River catchment, including the predominant direction of hyporheic exchange flow inferred from vertical hydraulic head difference (VHH) measured at the time of sampling: upwelling (UW), </w:t>
      </w:r>
      <w:r w:rsidR="006B2C7A">
        <w:rPr>
          <w:rFonts w:cstheme="minorHAnsi"/>
        </w:rPr>
        <w:t>downwelling</w:t>
      </w:r>
      <w:r w:rsidRPr="00747E35">
        <w:rPr>
          <w:rFonts w:cstheme="minorHAnsi"/>
        </w:rPr>
        <w:t xml:space="preserve"> (DW), Neutral, or Dry (hyporheic water not intercepted).</w:t>
      </w:r>
    </w:p>
    <w:tbl>
      <w:tblPr>
        <w:tblStyle w:val="TableGrid"/>
        <w:tblW w:w="9493" w:type="dxa"/>
        <w:tblInd w:w="113" w:type="dxa"/>
        <w:tblLayout w:type="fixed"/>
        <w:tblLook w:val="04A0" w:firstRow="1" w:lastRow="0" w:firstColumn="1" w:lastColumn="0" w:noHBand="0" w:noVBand="1"/>
      </w:tblPr>
      <w:tblGrid>
        <w:gridCol w:w="1129"/>
        <w:gridCol w:w="1418"/>
        <w:gridCol w:w="1276"/>
        <w:gridCol w:w="1275"/>
        <w:gridCol w:w="1418"/>
        <w:gridCol w:w="1134"/>
        <w:gridCol w:w="1134"/>
        <w:gridCol w:w="709"/>
      </w:tblGrid>
      <w:tr w:rsidR="003D3694" w:rsidRPr="00747E35" w14:paraId="46825939" w14:textId="77777777" w:rsidTr="00BB5645">
        <w:trPr>
          <w:trHeight w:val="57"/>
          <w:tblHeader/>
        </w:trPr>
        <w:tc>
          <w:tcPr>
            <w:tcW w:w="1129" w:type="dxa"/>
            <w:shd w:val="clear" w:color="auto" w:fill="DEEAF6" w:themeFill="accent1" w:themeFillTint="33"/>
            <w:noWrap/>
            <w:hideMark/>
          </w:tcPr>
          <w:p w14:paraId="6EAAA2AB"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Location</w:t>
            </w:r>
          </w:p>
        </w:tc>
        <w:tc>
          <w:tcPr>
            <w:tcW w:w="1418" w:type="dxa"/>
            <w:shd w:val="clear" w:color="auto" w:fill="DEEAF6" w:themeFill="accent1" w:themeFillTint="33"/>
            <w:noWrap/>
            <w:hideMark/>
          </w:tcPr>
          <w:p w14:paraId="232F5B61"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Field Campaign</w:t>
            </w:r>
          </w:p>
        </w:tc>
        <w:tc>
          <w:tcPr>
            <w:tcW w:w="1276" w:type="dxa"/>
            <w:shd w:val="clear" w:color="auto" w:fill="DEEAF6" w:themeFill="accent1" w:themeFillTint="33"/>
            <w:noWrap/>
            <w:hideMark/>
          </w:tcPr>
          <w:p w14:paraId="6AD16962"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Date</w:t>
            </w:r>
          </w:p>
        </w:tc>
        <w:tc>
          <w:tcPr>
            <w:tcW w:w="1275" w:type="dxa"/>
            <w:shd w:val="clear" w:color="auto" w:fill="DEEAF6" w:themeFill="accent1" w:themeFillTint="33"/>
            <w:noWrap/>
            <w:hideMark/>
          </w:tcPr>
          <w:p w14:paraId="7EC4C9F0"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Site Date Code</w:t>
            </w:r>
          </w:p>
        </w:tc>
        <w:tc>
          <w:tcPr>
            <w:tcW w:w="1418" w:type="dxa"/>
            <w:shd w:val="clear" w:color="auto" w:fill="DEEAF6" w:themeFill="accent1" w:themeFillTint="33"/>
            <w:noWrap/>
            <w:hideMark/>
          </w:tcPr>
          <w:p w14:paraId="5E83E769"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Regime</w:t>
            </w:r>
          </w:p>
        </w:tc>
        <w:tc>
          <w:tcPr>
            <w:tcW w:w="1134" w:type="dxa"/>
            <w:shd w:val="clear" w:color="auto" w:fill="DEEAF6" w:themeFill="accent1" w:themeFillTint="33"/>
            <w:noWrap/>
            <w:hideMark/>
          </w:tcPr>
          <w:p w14:paraId="05517E4A" w14:textId="77777777" w:rsidR="003D3694" w:rsidRPr="00747E35" w:rsidRDefault="003D3694" w:rsidP="0096743A">
            <w:pPr>
              <w:pStyle w:val="TableHead"/>
              <w:spacing w:before="0" w:after="0"/>
              <w:rPr>
                <w:rFonts w:asciiTheme="minorHAnsi" w:hAnsiTheme="minorHAnsi" w:cstheme="minorHAnsi"/>
              </w:rPr>
            </w:pPr>
            <w:bookmarkStart w:id="481" w:name="OLE_LINK3"/>
            <w:r w:rsidRPr="00747E35">
              <w:rPr>
                <w:rFonts w:asciiTheme="minorHAnsi" w:hAnsiTheme="minorHAnsi" w:cstheme="minorHAnsi"/>
              </w:rPr>
              <w:t>UW/DW/Neutral/</w:t>
            </w:r>
            <w:bookmarkEnd w:id="481"/>
            <w:r w:rsidRPr="00747E35">
              <w:rPr>
                <w:rFonts w:asciiTheme="minorHAnsi" w:hAnsiTheme="minorHAnsi" w:cstheme="minorHAnsi"/>
              </w:rPr>
              <w:t>Dry</w:t>
            </w:r>
          </w:p>
        </w:tc>
        <w:tc>
          <w:tcPr>
            <w:tcW w:w="1134" w:type="dxa"/>
            <w:shd w:val="clear" w:color="auto" w:fill="DEEAF6" w:themeFill="accent1" w:themeFillTint="33"/>
            <w:noWrap/>
            <w:hideMark/>
          </w:tcPr>
          <w:p w14:paraId="226699E0"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n Subsamples / site</w:t>
            </w:r>
          </w:p>
        </w:tc>
        <w:tc>
          <w:tcPr>
            <w:tcW w:w="709" w:type="dxa"/>
            <w:shd w:val="clear" w:color="auto" w:fill="DEEAF6" w:themeFill="accent1" w:themeFillTint="33"/>
          </w:tcPr>
          <w:p w14:paraId="5529FAAB"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Notes</w:t>
            </w:r>
          </w:p>
        </w:tc>
      </w:tr>
      <w:tr w:rsidR="003D3694" w:rsidRPr="00747E35" w14:paraId="226EAFB9" w14:textId="77777777" w:rsidTr="0096743A">
        <w:trPr>
          <w:trHeight w:val="57"/>
        </w:trPr>
        <w:tc>
          <w:tcPr>
            <w:tcW w:w="1129" w:type="dxa"/>
            <w:noWrap/>
            <w:hideMark/>
          </w:tcPr>
          <w:p w14:paraId="11A5B727" w14:textId="77777777" w:rsidR="003D3694" w:rsidRPr="00747E35" w:rsidRDefault="003D3694" w:rsidP="0096743A">
            <w:pPr>
              <w:pStyle w:val="Tabletext"/>
              <w:spacing w:before="0" w:after="0"/>
              <w:rPr>
                <w:rFonts w:cstheme="minorHAnsi"/>
              </w:rPr>
            </w:pPr>
            <w:r w:rsidRPr="00747E35">
              <w:rPr>
                <w:rFonts w:cstheme="minorHAnsi"/>
              </w:rPr>
              <w:t>Coulson Creek</w:t>
            </w:r>
          </w:p>
        </w:tc>
        <w:tc>
          <w:tcPr>
            <w:tcW w:w="1418" w:type="dxa"/>
            <w:noWrap/>
          </w:tcPr>
          <w:p w14:paraId="1D7005AC" w14:textId="77777777" w:rsidR="003D3694" w:rsidRPr="00747E35" w:rsidRDefault="003D3694" w:rsidP="0096743A">
            <w:pPr>
              <w:pStyle w:val="Tabletext"/>
              <w:spacing w:before="0" w:after="0"/>
              <w:rPr>
                <w:rFonts w:cstheme="minorHAnsi"/>
              </w:rPr>
            </w:pPr>
            <w:r w:rsidRPr="00747E35">
              <w:rPr>
                <w:rFonts w:cstheme="minorHAnsi"/>
              </w:rPr>
              <w:t>Trip 6 (R1)</w:t>
            </w:r>
          </w:p>
        </w:tc>
        <w:tc>
          <w:tcPr>
            <w:tcW w:w="1276" w:type="dxa"/>
            <w:noWrap/>
            <w:hideMark/>
          </w:tcPr>
          <w:p w14:paraId="6D965B4B" w14:textId="77777777" w:rsidR="003D3694" w:rsidRPr="00747E35" w:rsidRDefault="003D3694" w:rsidP="0096743A">
            <w:pPr>
              <w:pStyle w:val="Tabletext"/>
              <w:spacing w:before="0" w:after="0"/>
              <w:rPr>
                <w:rFonts w:cstheme="minorHAnsi"/>
              </w:rPr>
            </w:pPr>
            <w:r w:rsidRPr="00747E35">
              <w:rPr>
                <w:rFonts w:cstheme="minorHAnsi"/>
              </w:rPr>
              <w:t>11/10/2015</w:t>
            </w:r>
          </w:p>
        </w:tc>
        <w:tc>
          <w:tcPr>
            <w:tcW w:w="1275" w:type="dxa"/>
            <w:noWrap/>
            <w:hideMark/>
          </w:tcPr>
          <w:p w14:paraId="3C3934D9" w14:textId="77777777" w:rsidR="003D3694" w:rsidRPr="00747E35" w:rsidRDefault="003D3694" w:rsidP="0096743A">
            <w:pPr>
              <w:pStyle w:val="Tabletext"/>
              <w:spacing w:before="0" w:after="0"/>
              <w:rPr>
                <w:rFonts w:cstheme="minorHAnsi"/>
              </w:rPr>
            </w:pPr>
            <w:r w:rsidRPr="00747E35">
              <w:rPr>
                <w:rFonts w:cstheme="minorHAnsi"/>
              </w:rPr>
              <w:t>CC_Oct15</w:t>
            </w:r>
          </w:p>
        </w:tc>
        <w:tc>
          <w:tcPr>
            <w:tcW w:w="1418" w:type="dxa"/>
            <w:noWrap/>
            <w:hideMark/>
          </w:tcPr>
          <w:p w14:paraId="79AD322F"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134" w:type="dxa"/>
            <w:noWrap/>
            <w:hideMark/>
          </w:tcPr>
          <w:p w14:paraId="046B2E9D" w14:textId="77777777" w:rsidR="003D3694" w:rsidRPr="00747E35" w:rsidRDefault="003D3694" w:rsidP="0096743A">
            <w:pPr>
              <w:pStyle w:val="Tabletext"/>
              <w:spacing w:before="0" w:after="0"/>
              <w:rPr>
                <w:rFonts w:cstheme="minorHAnsi"/>
              </w:rPr>
            </w:pPr>
            <w:r w:rsidRPr="00747E35">
              <w:rPr>
                <w:rFonts w:cstheme="minorHAnsi"/>
              </w:rPr>
              <w:t>Neutral</w:t>
            </w:r>
          </w:p>
        </w:tc>
        <w:tc>
          <w:tcPr>
            <w:tcW w:w="1134" w:type="dxa"/>
            <w:noWrap/>
            <w:hideMark/>
          </w:tcPr>
          <w:p w14:paraId="1EE7E221" w14:textId="77777777" w:rsidR="003D3694" w:rsidRPr="00747E35" w:rsidRDefault="003D3694" w:rsidP="0096743A">
            <w:pPr>
              <w:pStyle w:val="Tabletext"/>
              <w:spacing w:before="0" w:after="0"/>
              <w:rPr>
                <w:rFonts w:cstheme="minorHAnsi"/>
              </w:rPr>
            </w:pPr>
            <w:r w:rsidRPr="00747E35">
              <w:rPr>
                <w:rFonts w:cstheme="minorHAnsi"/>
              </w:rPr>
              <w:t>6</w:t>
            </w:r>
          </w:p>
        </w:tc>
        <w:tc>
          <w:tcPr>
            <w:tcW w:w="709" w:type="dxa"/>
          </w:tcPr>
          <w:p w14:paraId="40DABC18" w14:textId="77777777" w:rsidR="003D3694" w:rsidRPr="00747E35" w:rsidRDefault="003D3694" w:rsidP="0096743A">
            <w:pPr>
              <w:pStyle w:val="Tabletext"/>
              <w:spacing w:before="0" w:after="0"/>
              <w:rPr>
                <w:rFonts w:cstheme="minorHAnsi"/>
              </w:rPr>
            </w:pPr>
          </w:p>
        </w:tc>
      </w:tr>
      <w:tr w:rsidR="003D3694" w:rsidRPr="00747E35" w14:paraId="75BB2271" w14:textId="77777777" w:rsidTr="0096743A">
        <w:trPr>
          <w:trHeight w:val="57"/>
        </w:trPr>
        <w:tc>
          <w:tcPr>
            <w:tcW w:w="1129" w:type="dxa"/>
            <w:noWrap/>
            <w:hideMark/>
          </w:tcPr>
          <w:p w14:paraId="0B581F3B" w14:textId="77777777" w:rsidR="003D3694" w:rsidRPr="00747E35" w:rsidRDefault="003D3694" w:rsidP="0096743A">
            <w:pPr>
              <w:pStyle w:val="Tabletext"/>
              <w:spacing w:before="0" w:after="0"/>
              <w:rPr>
                <w:rFonts w:cstheme="minorHAnsi"/>
              </w:rPr>
            </w:pPr>
          </w:p>
        </w:tc>
        <w:tc>
          <w:tcPr>
            <w:tcW w:w="1418" w:type="dxa"/>
            <w:noWrap/>
          </w:tcPr>
          <w:p w14:paraId="4EB2D7CD" w14:textId="77777777" w:rsidR="003D3694" w:rsidRPr="00747E35" w:rsidRDefault="003D3694" w:rsidP="0096743A">
            <w:pPr>
              <w:pStyle w:val="Tabletext"/>
              <w:spacing w:before="0" w:after="0"/>
              <w:rPr>
                <w:rFonts w:cstheme="minorHAnsi"/>
              </w:rPr>
            </w:pPr>
            <w:r w:rsidRPr="00747E35">
              <w:rPr>
                <w:rFonts w:cstheme="minorHAnsi"/>
              </w:rPr>
              <w:t>Trip 8 (R2)</w:t>
            </w:r>
          </w:p>
        </w:tc>
        <w:tc>
          <w:tcPr>
            <w:tcW w:w="1276" w:type="dxa"/>
            <w:noWrap/>
            <w:hideMark/>
          </w:tcPr>
          <w:p w14:paraId="3E0DA43F" w14:textId="77777777" w:rsidR="003D3694" w:rsidRPr="00747E35" w:rsidRDefault="003D3694" w:rsidP="0096743A">
            <w:pPr>
              <w:pStyle w:val="Tabletext"/>
              <w:spacing w:before="0" w:after="0"/>
              <w:rPr>
                <w:rFonts w:cstheme="minorHAnsi"/>
              </w:rPr>
            </w:pPr>
            <w:r w:rsidRPr="00747E35">
              <w:rPr>
                <w:rFonts w:cstheme="minorHAnsi"/>
              </w:rPr>
              <w:t>1/03/2016</w:t>
            </w:r>
          </w:p>
        </w:tc>
        <w:tc>
          <w:tcPr>
            <w:tcW w:w="1275" w:type="dxa"/>
            <w:noWrap/>
            <w:hideMark/>
          </w:tcPr>
          <w:p w14:paraId="2C62D762" w14:textId="77777777" w:rsidR="003D3694" w:rsidRPr="00747E35" w:rsidRDefault="003D3694" w:rsidP="0096743A">
            <w:pPr>
              <w:pStyle w:val="Tabletext"/>
              <w:spacing w:before="0" w:after="0"/>
              <w:rPr>
                <w:rFonts w:cstheme="minorHAnsi"/>
              </w:rPr>
            </w:pPr>
            <w:r w:rsidRPr="00747E35">
              <w:rPr>
                <w:rFonts w:cstheme="minorHAnsi"/>
              </w:rPr>
              <w:t>CC_Mar16</w:t>
            </w:r>
          </w:p>
        </w:tc>
        <w:tc>
          <w:tcPr>
            <w:tcW w:w="1418" w:type="dxa"/>
            <w:noWrap/>
            <w:hideMark/>
          </w:tcPr>
          <w:p w14:paraId="66EDA3EA" w14:textId="77777777" w:rsidR="003D3694" w:rsidRPr="00747E35" w:rsidRDefault="003D3694" w:rsidP="0096743A">
            <w:pPr>
              <w:pStyle w:val="Tabletext"/>
              <w:spacing w:before="0" w:after="0"/>
              <w:rPr>
                <w:rFonts w:cstheme="minorHAnsi"/>
              </w:rPr>
            </w:pPr>
          </w:p>
        </w:tc>
        <w:tc>
          <w:tcPr>
            <w:tcW w:w="1134" w:type="dxa"/>
            <w:noWrap/>
            <w:hideMark/>
          </w:tcPr>
          <w:p w14:paraId="45B635A1" w14:textId="77777777" w:rsidR="003D3694" w:rsidRPr="00747E35" w:rsidRDefault="003D3694" w:rsidP="0096743A">
            <w:pPr>
              <w:pStyle w:val="Tabletext"/>
              <w:spacing w:before="0" w:after="0"/>
              <w:rPr>
                <w:rFonts w:cstheme="minorHAnsi"/>
              </w:rPr>
            </w:pPr>
            <w:r w:rsidRPr="00747E35">
              <w:rPr>
                <w:rFonts w:cstheme="minorHAnsi"/>
              </w:rPr>
              <w:t>Neutral</w:t>
            </w:r>
          </w:p>
        </w:tc>
        <w:tc>
          <w:tcPr>
            <w:tcW w:w="1134" w:type="dxa"/>
            <w:noWrap/>
            <w:hideMark/>
          </w:tcPr>
          <w:p w14:paraId="7A34315C" w14:textId="77777777" w:rsidR="003D3694" w:rsidRPr="00747E35" w:rsidRDefault="003D3694" w:rsidP="0096743A">
            <w:pPr>
              <w:pStyle w:val="Tabletext"/>
              <w:spacing w:before="0" w:after="0"/>
              <w:rPr>
                <w:rFonts w:cstheme="minorHAnsi"/>
              </w:rPr>
            </w:pPr>
            <w:r w:rsidRPr="00747E35">
              <w:rPr>
                <w:rFonts w:cstheme="minorHAnsi"/>
              </w:rPr>
              <w:t>6</w:t>
            </w:r>
          </w:p>
        </w:tc>
        <w:tc>
          <w:tcPr>
            <w:tcW w:w="709" w:type="dxa"/>
          </w:tcPr>
          <w:p w14:paraId="3F568863" w14:textId="77777777" w:rsidR="003D3694" w:rsidRPr="00747E35" w:rsidRDefault="003D3694" w:rsidP="0096743A">
            <w:pPr>
              <w:pStyle w:val="Tabletext"/>
              <w:spacing w:before="0" w:after="0"/>
              <w:rPr>
                <w:rFonts w:cstheme="minorHAnsi"/>
              </w:rPr>
            </w:pPr>
          </w:p>
        </w:tc>
      </w:tr>
      <w:tr w:rsidR="003D3694" w:rsidRPr="00747E35" w14:paraId="62E66F82" w14:textId="77777777" w:rsidTr="0096743A">
        <w:trPr>
          <w:trHeight w:val="57"/>
        </w:trPr>
        <w:tc>
          <w:tcPr>
            <w:tcW w:w="1129" w:type="dxa"/>
            <w:noWrap/>
            <w:hideMark/>
          </w:tcPr>
          <w:p w14:paraId="27253925" w14:textId="77777777" w:rsidR="003D3694" w:rsidRPr="00747E35" w:rsidRDefault="003D3694" w:rsidP="0096743A">
            <w:pPr>
              <w:pStyle w:val="Tabletext"/>
              <w:spacing w:before="0" w:after="0"/>
              <w:rPr>
                <w:rFonts w:cstheme="minorHAnsi"/>
              </w:rPr>
            </w:pPr>
            <w:r w:rsidRPr="00747E35">
              <w:rPr>
                <w:rFonts w:cstheme="minorHAnsi"/>
              </w:rPr>
              <w:t>Reynolds Creek</w:t>
            </w:r>
          </w:p>
        </w:tc>
        <w:tc>
          <w:tcPr>
            <w:tcW w:w="1418" w:type="dxa"/>
            <w:noWrap/>
          </w:tcPr>
          <w:p w14:paraId="5A0E1017" w14:textId="77777777" w:rsidR="003D3694" w:rsidRPr="00747E35" w:rsidRDefault="003D3694" w:rsidP="0096743A">
            <w:pPr>
              <w:pStyle w:val="Tabletext"/>
              <w:spacing w:before="0" w:after="0"/>
              <w:rPr>
                <w:rFonts w:cstheme="minorHAnsi"/>
              </w:rPr>
            </w:pPr>
            <w:r w:rsidRPr="00747E35">
              <w:rPr>
                <w:rFonts w:cstheme="minorHAnsi"/>
              </w:rPr>
              <w:t>Trip 6 (R1)</w:t>
            </w:r>
          </w:p>
        </w:tc>
        <w:tc>
          <w:tcPr>
            <w:tcW w:w="1276" w:type="dxa"/>
            <w:noWrap/>
            <w:hideMark/>
          </w:tcPr>
          <w:p w14:paraId="688C1F6A" w14:textId="77777777" w:rsidR="003D3694" w:rsidRPr="00747E35" w:rsidRDefault="003D3694" w:rsidP="0096743A">
            <w:pPr>
              <w:pStyle w:val="Tabletext"/>
              <w:spacing w:before="0" w:after="0"/>
              <w:rPr>
                <w:rFonts w:cstheme="minorHAnsi"/>
              </w:rPr>
            </w:pPr>
            <w:r w:rsidRPr="00747E35">
              <w:rPr>
                <w:rFonts w:cstheme="minorHAnsi"/>
              </w:rPr>
              <w:t>8/10/2015</w:t>
            </w:r>
          </w:p>
        </w:tc>
        <w:tc>
          <w:tcPr>
            <w:tcW w:w="1275" w:type="dxa"/>
            <w:noWrap/>
            <w:hideMark/>
          </w:tcPr>
          <w:p w14:paraId="629E1646" w14:textId="77777777" w:rsidR="003D3694" w:rsidRPr="00747E35" w:rsidRDefault="003D3694" w:rsidP="0096743A">
            <w:pPr>
              <w:pStyle w:val="Tabletext"/>
              <w:spacing w:before="0" w:after="0"/>
              <w:rPr>
                <w:rFonts w:cstheme="minorHAnsi"/>
              </w:rPr>
            </w:pPr>
            <w:r w:rsidRPr="00747E35">
              <w:rPr>
                <w:rFonts w:cstheme="minorHAnsi"/>
              </w:rPr>
              <w:t>RC_Oct15</w:t>
            </w:r>
          </w:p>
        </w:tc>
        <w:tc>
          <w:tcPr>
            <w:tcW w:w="1418" w:type="dxa"/>
            <w:noWrap/>
            <w:hideMark/>
          </w:tcPr>
          <w:p w14:paraId="65C9636E" w14:textId="77777777" w:rsidR="003D3694" w:rsidRPr="00747E35" w:rsidRDefault="003D3694" w:rsidP="0096743A">
            <w:pPr>
              <w:pStyle w:val="Tabletext"/>
              <w:spacing w:before="0" w:after="0"/>
              <w:rPr>
                <w:rFonts w:cstheme="minorHAnsi"/>
              </w:rPr>
            </w:pPr>
            <w:r w:rsidRPr="00747E35">
              <w:rPr>
                <w:rFonts w:cstheme="minorHAnsi"/>
              </w:rPr>
              <w:t xml:space="preserve"> Intermittent</w:t>
            </w:r>
          </w:p>
        </w:tc>
        <w:tc>
          <w:tcPr>
            <w:tcW w:w="1134" w:type="dxa"/>
            <w:noWrap/>
            <w:hideMark/>
          </w:tcPr>
          <w:p w14:paraId="79F8514B" w14:textId="77777777" w:rsidR="003D3694" w:rsidRPr="00747E35" w:rsidRDefault="003D3694" w:rsidP="0096743A">
            <w:pPr>
              <w:pStyle w:val="Tabletext"/>
              <w:spacing w:before="0" w:after="0"/>
              <w:rPr>
                <w:rFonts w:cstheme="minorHAnsi"/>
              </w:rPr>
            </w:pPr>
            <w:r w:rsidRPr="00747E35">
              <w:rPr>
                <w:rFonts w:cstheme="minorHAnsi"/>
              </w:rPr>
              <w:t>near neutral</w:t>
            </w:r>
          </w:p>
        </w:tc>
        <w:tc>
          <w:tcPr>
            <w:tcW w:w="1134" w:type="dxa"/>
            <w:noWrap/>
            <w:hideMark/>
          </w:tcPr>
          <w:p w14:paraId="46539E63" w14:textId="77777777" w:rsidR="003D3694" w:rsidRPr="00747E35" w:rsidRDefault="003D3694" w:rsidP="0096743A">
            <w:pPr>
              <w:pStyle w:val="Tabletext"/>
              <w:spacing w:before="0" w:after="0"/>
              <w:rPr>
                <w:rFonts w:cstheme="minorHAnsi"/>
              </w:rPr>
            </w:pPr>
            <w:r w:rsidRPr="00747E35">
              <w:rPr>
                <w:rFonts w:cstheme="minorHAnsi"/>
              </w:rPr>
              <w:t>6</w:t>
            </w:r>
          </w:p>
        </w:tc>
        <w:tc>
          <w:tcPr>
            <w:tcW w:w="709" w:type="dxa"/>
          </w:tcPr>
          <w:p w14:paraId="10F0046C" w14:textId="77777777" w:rsidR="003D3694" w:rsidRPr="00747E35" w:rsidRDefault="003D3694" w:rsidP="0096743A">
            <w:pPr>
              <w:pStyle w:val="Tabletext"/>
              <w:spacing w:before="0" w:after="0"/>
              <w:rPr>
                <w:rFonts w:cstheme="minorHAnsi"/>
              </w:rPr>
            </w:pPr>
          </w:p>
        </w:tc>
      </w:tr>
      <w:tr w:rsidR="003D3694" w:rsidRPr="00747E35" w14:paraId="6ED7CBA4" w14:textId="77777777" w:rsidTr="0096743A">
        <w:trPr>
          <w:trHeight w:val="57"/>
        </w:trPr>
        <w:tc>
          <w:tcPr>
            <w:tcW w:w="1129" w:type="dxa"/>
            <w:noWrap/>
            <w:hideMark/>
          </w:tcPr>
          <w:p w14:paraId="3D50CAFC" w14:textId="77777777" w:rsidR="003D3694" w:rsidRPr="00747E35" w:rsidRDefault="003D3694" w:rsidP="0096743A">
            <w:pPr>
              <w:pStyle w:val="Tabletext"/>
              <w:spacing w:before="0" w:after="0"/>
              <w:rPr>
                <w:rFonts w:cstheme="minorHAnsi"/>
              </w:rPr>
            </w:pPr>
          </w:p>
        </w:tc>
        <w:tc>
          <w:tcPr>
            <w:tcW w:w="1418" w:type="dxa"/>
            <w:noWrap/>
          </w:tcPr>
          <w:p w14:paraId="5F87E995" w14:textId="77777777" w:rsidR="003D3694" w:rsidRPr="00747E35" w:rsidRDefault="003D3694" w:rsidP="0096743A">
            <w:pPr>
              <w:pStyle w:val="Tabletext"/>
              <w:spacing w:before="0" w:after="0"/>
              <w:rPr>
                <w:rFonts w:cstheme="minorHAnsi"/>
              </w:rPr>
            </w:pPr>
            <w:r w:rsidRPr="00747E35">
              <w:rPr>
                <w:rFonts w:cstheme="minorHAnsi"/>
              </w:rPr>
              <w:t>Trip 8 (R2)</w:t>
            </w:r>
          </w:p>
        </w:tc>
        <w:tc>
          <w:tcPr>
            <w:tcW w:w="1276" w:type="dxa"/>
            <w:noWrap/>
            <w:hideMark/>
          </w:tcPr>
          <w:p w14:paraId="7C18D044" w14:textId="77777777" w:rsidR="003D3694" w:rsidRPr="00747E35" w:rsidRDefault="003D3694" w:rsidP="0096743A">
            <w:pPr>
              <w:pStyle w:val="Tabletext"/>
              <w:spacing w:before="0" w:after="0"/>
              <w:rPr>
                <w:rFonts w:cstheme="minorHAnsi"/>
              </w:rPr>
            </w:pPr>
            <w:r w:rsidRPr="00747E35">
              <w:rPr>
                <w:rFonts w:cstheme="minorHAnsi"/>
              </w:rPr>
              <w:t>2/03/2016</w:t>
            </w:r>
          </w:p>
        </w:tc>
        <w:tc>
          <w:tcPr>
            <w:tcW w:w="1275" w:type="dxa"/>
            <w:noWrap/>
            <w:hideMark/>
          </w:tcPr>
          <w:p w14:paraId="5EFACA6B" w14:textId="77777777" w:rsidR="003D3694" w:rsidRPr="00747E35" w:rsidRDefault="003D3694" w:rsidP="0096743A">
            <w:pPr>
              <w:pStyle w:val="Tabletext"/>
              <w:spacing w:before="0" w:after="0"/>
              <w:rPr>
                <w:rFonts w:cstheme="minorHAnsi"/>
              </w:rPr>
            </w:pPr>
            <w:r w:rsidRPr="00747E35">
              <w:rPr>
                <w:rFonts w:cstheme="minorHAnsi"/>
              </w:rPr>
              <w:t>RC_Mar16</w:t>
            </w:r>
          </w:p>
        </w:tc>
        <w:tc>
          <w:tcPr>
            <w:tcW w:w="1418" w:type="dxa"/>
            <w:noWrap/>
            <w:hideMark/>
          </w:tcPr>
          <w:p w14:paraId="563465AD" w14:textId="77777777" w:rsidR="003D3694" w:rsidRPr="00747E35" w:rsidRDefault="003D3694" w:rsidP="0096743A">
            <w:pPr>
              <w:pStyle w:val="Tabletext"/>
              <w:spacing w:before="0" w:after="0"/>
              <w:rPr>
                <w:rFonts w:cstheme="minorHAnsi"/>
              </w:rPr>
            </w:pPr>
          </w:p>
        </w:tc>
        <w:tc>
          <w:tcPr>
            <w:tcW w:w="1134" w:type="dxa"/>
            <w:noWrap/>
            <w:hideMark/>
          </w:tcPr>
          <w:p w14:paraId="332D92E3" w14:textId="77777777" w:rsidR="003D3694" w:rsidRPr="00747E35" w:rsidRDefault="003D3694" w:rsidP="0096743A">
            <w:pPr>
              <w:pStyle w:val="Tabletext"/>
              <w:spacing w:before="0" w:after="0"/>
              <w:rPr>
                <w:rFonts w:cstheme="minorHAnsi"/>
              </w:rPr>
            </w:pPr>
            <w:r w:rsidRPr="00747E35">
              <w:rPr>
                <w:rFonts w:cstheme="minorHAnsi"/>
              </w:rPr>
              <w:t>near neutral</w:t>
            </w:r>
          </w:p>
        </w:tc>
        <w:tc>
          <w:tcPr>
            <w:tcW w:w="1134" w:type="dxa"/>
            <w:noWrap/>
            <w:hideMark/>
          </w:tcPr>
          <w:p w14:paraId="7668DDA9" w14:textId="77777777" w:rsidR="003D3694" w:rsidRPr="00747E35" w:rsidRDefault="003D3694" w:rsidP="0096743A">
            <w:pPr>
              <w:pStyle w:val="Tabletext"/>
              <w:spacing w:before="0" w:after="0"/>
              <w:rPr>
                <w:rFonts w:cstheme="minorHAnsi"/>
              </w:rPr>
            </w:pPr>
            <w:r w:rsidRPr="00747E35">
              <w:rPr>
                <w:rFonts w:cstheme="minorHAnsi"/>
              </w:rPr>
              <w:t>6</w:t>
            </w:r>
          </w:p>
        </w:tc>
        <w:tc>
          <w:tcPr>
            <w:tcW w:w="709" w:type="dxa"/>
          </w:tcPr>
          <w:p w14:paraId="300C9C60" w14:textId="77777777" w:rsidR="003D3694" w:rsidRPr="00747E35" w:rsidRDefault="003D3694" w:rsidP="0096743A">
            <w:pPr>
              <w:pStyle w:val="Tabletext"/>
              <w:spacing w:before="0" w:after="0"/>
              <w:rPr>
                <w:rFonts w:cstheme="minorHAnsi"/>
              </w:rPr>
            </w:pPr>
          </w:p>
        </w:tc>
      </w:tr>
      <w:tr w:rsidR="003D3694" w:rsidRPr="00747E35" w14:paraId="7318794E" w14:textId="77777777" w:rsidTr="0096743A">
        <w:trPr>
          <w:trHeight w:val="57"/>
        </w:trPr>
        <w:tc>
          <w:tcPr>
            <w:tcW w:w="1129" w:type="dxa"/>
            <w:noWrap/>
            <w:hideMark/>
          </w:tcPr>
          <w:p w14:paraId="67AC3854" w14:textId="77777777" w:rsidR="003D3694" w:rsidRPr="00747E35" w:rsidRDefault="003D3694" w:rsidP="0096743A">
            <w:pPr>
              <w:pStyle w:val="Tabletext"/>
              <w:spacing w:before="0" w:after="0"/>
              <w:rPr>
                <w:rFonts w:cstheme="minorHAnsi"/>
              </w:rPr>
            </w:pPr>
            <w:r w:rsidRPr="00747E35">
              <w:rPr>
                <w:rFonts w:cstheme="minorHAnsi"/>
              </w:rPr>
              <w:t>Upper Bremer</w:t>
            </w:r>
          </w:p>
        </w:tc>
        <w:tc>
          <w:tcPr>
            <w:tcW w:w="1418" w:type="dxa"/>
            <w:noWrap/>
          </w:tcPr>
          <w:p w14:paraId="54F9E221" w14:textId="77777777" w:rsidR="003D3694" w:rsidRPr="00747E35" w:rsidRDefault="003D3694" w:rsidP="0096743A">
            <w:pPr>
              <w:pStyle w:val="Tabletext"/>
              <w:spacing w:before="0" w:after="0"/>
              <w:rPr>
                <w:rFonts w:cstheme="minorHAnsi"/>
              </w:rPr>
            </w:pPr>
            <w:r w:rsidRPr="00747E35">
              <w:rPr>
                <w:rFonts w:cstheme="minorHAnsi"/>
              </w:rPr>
              <w:t>Trip 6 (R1)</w:t>
            </w:r>
          </w:p>
        </w:tc>
        <w:tc>
          <w:tcPr>
            <w:tcW w:w="1276" w:type="dxa"/>
            <w:noWrap/>
            <w:hideMark/>
          </w:tcPr>
          <w:p w14:paraId="1164F03F" w14:textId="77777777" w:rsidR="003D3694" w:rsidRPr="00747E35" w:rsidRDefault="003D3694" w:rsidP="0096743A">
            <w:pPr>
              <w:pStyle w:val="Tabletext"/>
              <w:spacing w:before="0" w:after="0"/>
              <w:rPr>
                <w:rFonts w:cstheme="minorHAnsi"/>
              </w:rPr>
            </w:pPr>
            <w:r w:rsidRPr="00747E35">
              <w:rPr>
                <w:rFonts w:cstheme="minorHAnsi"/>
              </w:rPr>
              <w:t>9/10/2015</w:t>
            </w:r>
          </w:p>
        </w:tc>
        <w:tc>
          <w:tcPr>
            <w:tcW w:w="1275" w:type="dxa"/>
            <w:noWrap/>
            <w:hideMark/>
          </w:tcPr>
          <w:p w14:paraId="686155B6" w14:textId="77777777" w:rsidR="003D3694" w:rsidRPr="00747E35" w:rsidRDefault="003D3694" w:rsidP="0096743A">
            <w:pPr>
              <w:pStyle w:val="Tabletext"/>
              <w:spacing w:before="0" w:after="0"/>
              <w:rPr>
                <w:rFonts w:cstheme="minorHAnsi"/>
              </w:rPr>
            </w:pPr>
            <w:r w:rsidRPr="00747E35">
              <w:rPr>
                <w:rFonts w:cstheme="minorHAnsi"/>
              </w:rPr>
              <w:t>UB_Oct15</w:t>
            </w:r>
          </w:p>
        </w:tc>
        <w:tc>
          <w:tcPr>
            <w:tcW w:w="1418" w:type="dxa"/>
            <w:noWrap/>
            <w:hideMark/>
          </w:tcPr>
          <w:p w14:paraId="79220320"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134" w:type="dxa"/>
            <w:noWrap/>
            <w:hideMark/>
          </w:tcPr>
          <w:p w14:paraId="28DEE4ED" w14:textId="77777777" w:rsidR="003D3694" w:rsidRPr="00747E35" w:rsidRDefault="003D3694" w:rsidP="0096743A">
            <w:pPr>
              <w:pStyle w:val="Tabletext"/>
              <w:spacing w:before="0" w:after="0"/>
              <w:rPr>
                <w:rFonts w:cstheme="minorHAnsi"/>
              </w:rPr>
            </w:pPr>
            <w:r w:rsidRPr="00747E35">
              <w:rPr>
                <w:rFonts w:cstheme="minorHAnsi"/>
              </w:rPr>
              <w:t>DW?</w:t>
            </w:r>
          </w:p>
        </w:tc>
        <w:tc>
          <w:tcPr>
            <w:tcW w:w="1134" w:type="dxa"/>
            <w:noWrap/>
            <w:hideMark/>
          </w:tcPr>
          <w:p w14:paraId="0A012D25" w14:textId="77777777" w:rsidR="003D3694" w:rsidRPr="00747E35" w:rsidRDefault="003D3694" w:rsidP="0096743A">
            <w:pPr>
              <w:pStyle w:val="Tabletext"/>
              <w:spacing w:before="0" w:after="0"/>
              <w:rPr>
                <w:rFonts w:cstheme="minorHAnsi"/>
              </w:rPr>
            </w:pPr>
            <w:r w:rsidRPr="00747E35">
              <w:rPr>
                <w:rFonts w:cstheme="minorHAnsi"/>
              </w:rPr>
              <w:t>6</w:t>
            </w:r>
          </w:p>
        </w:tc>
        <w:tc>
          <w:tcPr>
            <w:tcW w:w="709" w:type="dxa"/>
          </w:tcPr>
          <w:p w14:paraId="6A2D9E22" w14:textId="77777777" w:rsidR="003D3694" w:rsidRPr="00747E35" w:rsidRDefault="003D3694" w:rsidP="0096743A">
            <w:pPr>
              <w:pStyle w:val="Tabletext"/>
              <w:spacing w:before="0" w:after="0"/>
              <w:rPr>
                <w:rFonts w:cstheme="minorHAnsi"/>
              </w:rPr>
            </w:pPr>
          </w:p>
        </w:tc>
      </w:tr>
      <w:tr w:rsidR="003D3694" w:rsidRPr="00747E35" w14:paraId="16B886BC" w14:textId="77777777" w:rsidTr="0096743A">
        <w:trPr>
          <w:trHeight w:val="57"/>
        </w:trPr>
        <w:tc>
          <w:tcPr>
            <w:tcW w:w="1129" w:type="dxa"/>
            <w:noWrap/>
            <w:hideMark/>
          </w:tcPr>
          <w:p w14:paraId="0CF2A850" w14:textId="77777777" w:rsidR="003D3694" w:rsidRPr="00747E35" w:rsidRDefault="003D3694" w:rsidP="0096743A">
            <w:pPr>
              <w:pStyle w:val="Tabletext"/>
              <w:spacing w:before="0" w:after="0"/>
              <w:rPr>
                <w:rFonts w:cstheme="minorHAnsi"/>
              </w:rPr>
            </w:pPr>
          </w:p>
        </w:tc>
        <w:tc>
          <w:tcPr>
            <w:tcW w:w="1418" w:type="dxa"/>
            <w:noWrap/>
          </w:tcPr>
          <w:p w14:paraId="542FCC05" w14:textId="77777777" w:rsidR="003D3694" w:rsidRPr="00747E35" w:rsidRDefault="003D3694" w:rsidP="0096743A">
            <w:pPr>
              <w:pStyle w:val="Tabletext"/>
              <w:spacing w:before="0" w:after="0"/>
              <w:rPr>
                <w:rFonts w:cstheme="minorHAnsi"/>
              </w:rPr>
            </w:pPr>
            <w:r w:rsidRPr="00747E35">
              <w:rPr>
                <w:rFonts w:cstheme="minorHAnsi"/>
              </w:rPr>
              <w:t>Trip 8 (R2)</w:t>
            </w:r>
          </w:p>
        </w:tc>
        <w:tc>
          <w:tcPr>
            <w:tcW w:w="1276" w:type="dxa"/>
            <w:noWrap/>
            <w:hideMark/>
          </w:tcPr>
          <w:p w14:paraId="48B2B62E" w14:textId="77777777" w:rsidR="003D3694" w:rsidRPr="00747E35" w:rsidRDefault="003D3694" w:rsidP="0096743A">
            <w:pPr>
              <w:pStyle w:val="Tabletext"/>
              <w:spacing w:before="0" w:after="0"/>
              <w:rPr>
                <w:rFonts w:cstheme="minorHAnsi"/>
              </w:rPr>
            </w:pPr>
            <w:r w:rsidRPr="00747E35">
              <w:rPr>
                <w:rFonts w:cstheme="minorHAnsi"/>
              </w:rPr>
              <w:t>29/02/2016</w:t>
            </w:r>
          </w:p>
        </w:tc>
        <w:tc>
          <w:tcPr>
            <w:tcW w:w="1275" w:type="dxa"/>
            <w:noWrap/>
            <w:hideMark/>
          </w:tcPr>
          <w:p w14:paraId="0B03DECD" w14:textId="77777777" w:rsidR="003D3694" w:rsidRPr="00747E35" w:rsidRDefault="003D3694" w:rsidP="0096743A">
            <w:pPr>
              <w:pStyle w:val="Tabletext"/>
              <w:spacing w:before="0" w:after="0"/>
              <w:rPr>
                <w:rFonts w:cstheme="minorHAnsi"/>
              </w:rPr>
            </w:pPr>
            <w:r w:rsidRPr="00747E35">
              <w:rPr>
                <w:rFonts w:cstheme="minorHAnsi"/>
              </w:rPr>
              <w:t>UB_Mar16</w:t>
            </w:r>
          </w:p>
        </w:tc>
        <w:tc>
          <w:tcPr>
            <w:tcW w:w="1418" w:type="dxa"/>
            <w:noWrap/>
            <w:hideMark/>
          </w:tcPr>
          <w:p w14:paraId="2E871B04" w14:textId="77777777" w:rsidR="003D3694" w:rsidRPr="00747E35" w:rsidRDefault="003D3694" w:rsidP="0096743A">
            <w:pPr>
              <w:pStyle w:val="Tabletext"/>
              <w:spacing w:before="0" w:after="0"/>
              <w:rPr>
                <w:rFonts w:cstheme="minorHAnsi"/>
              </w:rPr>
            </w:pPr>
          </w:p>
        </w:tc>
        <w:tc>
          <w:tcPr>
            <w:tcW w:w="1134" w:type="dxa"/>
            <w:noWrap/>
            <w:hideMark/>
          </w:tcPr>
          <w:p w14:paraId="1024394E" w14:textId="77777777" w:rsidR="003D3694" w:rsidRPr="00747E35" w:rsidRDefault="003D3694" w:rsidP="0096743A">
            <w:pPr>
              <w:pStyle w:val="Tabletext"/>
              <w:spacing w:before="0" w:after="0"/>
              <w:rPr>
                <w:rFonts w:cstheme="minorHAnsi"/>
              </w:rPr>
            </w:pPr>
            <w:r w:rsidRPr="00747E35">
              <w:rPr>
                <w:rFonts w:cstheme="minorHAnsi"/>
              </w:rPr>
              <w:t>DW</w:t>
            </w:r>
          </w:p>
        </w:tc>
        <w:tc>
          <w:tcPr>
            <w:tcW w:w="1134" w:type="dxa"/>
            <w:noWrap/>
            <w:hideMark/>
          </w:tcPr>
          <w:p w14:paraId="58B71870" w14:textId="77777777" w:rsidR="003D3694" w:rsidRPr="00747E35" w:rsidRDefault="003D3694" w:rsidP="0096743A">
            <w:pPr>
              <w:pStyle w:val="Tabletext"/>
              <w:spacing w:before="0" w:after="0"/>
              <w:rPr>
                <w:rFonts w:cstheme="minorHAnsi"/>
              </w:rPr>
            </w:pPr>
            <w:r w:rsidRPr="00747E35">
              <w:rPr>
                <w:rFonts w:cstheme="minorHAnsi"/>
              </w:rPr>
              <w:t>6</w:t>
            </w:r>
          </w:p>
        </w:tc>
        <w:tc>
          <w:tcPr>
            <w:tcW w:w="709" w:type="dxa"/>
          </w:tcPr>
          <w:p w14:paraId="033155E3" w14:textId="77777777" w:rsidR="003D3694" w:rsidRPr="00747E35" w:rsidRDefault="003D3694" w:rsidP="0096743A">
            <w:pPr>
              <w:pStyle w:val="Tabletext"/>
              <w:spacing w:before="0" w:after="0"/>
              <w:rPr>
                <w:rFonts w:cstheme="minorHAnsi"/>
              </w:rPr>
            </w:pPr>
          </w:p>
        </w:tc>
      </w:tr>
      <w:tr w:rsidR="003D3694" w:rsidRPr="00747E35" w14:paraId="4B546238" w14:textId="77777777" w:rsidTr="0096743A">
        <w:trPr>
          <w:trHeight w:val="57"/>
        </w:trPr>
        <w:tc>
          <w:tcPr>
            <w:tcW w:w="1129" w:type="dxa"/>
            <w:noWrap/>
            <w:hideMark/>
          </w:tcPr>
          <w:p w14:paraId="4015A6A7" w14:textId="77777777" w:rsidR="003D3694" w:rsidRPr="00747E35" w:rsidRDefault="003D3694" w:rsidP="0096743A">
            <w:pPr>
              <w:pStyle w:val="Tabletext"/>
              <w:spacing w:before="0" w:after="0"/>
              <w:rPr>
                <w:rFonts w:cstheme="minorHAnsi"/>
              </w:rPr>
            </w:pPr>
            <w:r w:rsidRPr="00747E35">
              <w:rPr>
                <w:rFonts w:cstheme="minorHAnsi"/>
              </w:rPr>
              <w:t>Warrill Creek</w:t>
            </w:r>
          </w:p>
        </w:tc>
        <w:tc>
          <w:tcPr>
            <w:tcW w:w="1418" w:type="dxa"/>
            <w:noWrap/>
          </w:tcPr>
          <w:p w14:paraId="19A722AC" w14:textId="77777777" w:rsidR="003D3694" w:rsidRPr="00747E35" w:rsidRDefault="003D3694" w:rsidP="0096743A">
            <w:pPr>
              <w:pStyle w:val="Tabletext"/>
              <w:spacing w:before="0" w:after="0"/>
              <w:rPr>
                <w:rFonts w:cstheme="minorHAnsi"/>
              </w:rPr>
            </w:pPr>
            <w:r w:rsidRPr="00747E35">
              <w:rPr>
                <w:rFonts w:cstheme="minorHAnsi"/>
              </w:rPr>
              <w:t>Trip 6 (R1)</w:t>
            </w:r>
          </w:p>
        </w:tc>
        <w:tc>
          <w:tcPr>
            <w:tcW w:w="1276" w:type="dxa"/>
            <w:noWrap/>
            <w:hideMark/>
          </w:tcPr>
          <w:p w14:paraId="3BE9D755" w14:textId="77777777" w:rsidR="003D3694" w:rsidRPr="00747E35" w:rsidRDefault="003D3694" w:rsidP="0096743A">
            <w:pPr>
              <w:pStyle w:val="Tabletext"/>
              <w:spacing w:before="0" w:after="0"/>
              <w:rPr>
                <w:rFonts w:cstheme="minorHAnsi"/>
              </w:rPr>
            </w:pPr>
            <w:r w:rsidRPr="00747E35">
              <w:rPr>
                <w:rFonts w:cstheme="minorHAnsi"/>
              </w:rPr>
              <w:t>9/10/2015</w:t>
            </w:r>
          </w:p>
        </w:tc>
        <w:tc>
          <w:tcPr>
            <w:tcW w:w="1275" w:type="dxa"/>
            <w:noWrap/>
            <w:hideMark/>
          </w:tcPr>
          <w:p w14:paraId="14F6B039" w14:textId="77777777" w:rsidR="003D3694" w:rsidRPr="00747E35" w:rsidRDefault="003D3694" w:rsidP="0096743A">
            <w:pPr>
              <w:pStyle w:val="Tabletext"/>
              <w:spacing w:before="0" w:after="0"/>
              <w:rPr>
                <w:rFonts w:cstheme="minorHAnsi"/>
              </w:rPr>
            </w:pPr>
            <w:r w:rsidRPr="00747E35">
              <w:rPr>
                <w:rFonts w:cstheme="minorHAnsi"/>
              </w:rPr>
              <w:t>WC_Oct15</w:t>
            </w:r>
          </w:p>
        </w:tc>
        <w:tc>
          <w:tcPr>
            <w:tcW w:w="1418" w:type="dxa"/>
            <w:noWrap/>
            <w:hideMark/>
          </w:tcPr>
          <w:p w14:paraId="56D3341A"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134" w:type="dxa"/>
            <w:noWrap/>
            <w:hideMark/>
          </w:tcPr>
          <w:p w14:paraId="7F82A887" w14:textId="77777777" w:rsidR="003D3694" w:rsidRPr="00747E35" w:rsidRDefault="003D3694" w:rsidP="0096743A">
            <w:pPr>
              <w:pStyle w:val="Tabletext"/>
              <w:spacing w:before="0" w:after="0"/>
              <w:rPr>
                <w:rFonts w:cstheme="minorHAnsi"/>
              </w:rPr>
            </w:pPr>
            <w:r w:rsidRPr="00747E35">
              <w:rPr>
                <w:rFonts w:cstheme="minorHAnsi"/>
              </w:rPr>
              <w:t>Neutral-DW?</w:t>
            </w:r>
          </w:p>
        </w:tc>
        <w:tc>
          <w:tcPr>
            <w:tcW w:w="1134" w:type="dxa"/>
            <w:noWrap/>
            <w:hideMark/>
          </w:tcPr>
          <w:p w14:paraId="52883023" w14:textId="77777777" w:rsidR="003D3694" w:rsidRPr="00747E35" w:rsidRDefault="003D3694" w:rsidP="0096743A">
            <w:pPr>
              <w:pStyle w:val="Tabletext"/>
              <w:spacing w:before="0" w:after="0"/>
              <w:rPr>
                <w:rFonts w:cstheme="minorHAnsi"/>
              </w:rPr>
            </w:pPr>
            <w:r w:rsidRPr="00747E35">
              <w:rPr>
                <w:rFonts w:cstheme="minorHAnsi"/>
              </w:rPr>
              <w:t>3</w:t>
            </w:r>
          </w:p>
        </w:tc>
        <w:tc>
          <w:tcPr>
            <w:tcW w:w="709" w:type="dxa"/>
          </w:tcPr>
          <w:p w14:paraId="4DAB9A89" w14:textId="77777777" w:rsidR="003D3694" w:rsidRPr="00747E35" w:rsidRDefault="003D3694" w:rsidP="0096743A">
            <w:pPr>
              <w:pStyle w:val="Tabletext"/>
              <w:spacing w:before="0" w:after="0"/>
              <w:rPr>
                <w:rFonts w:cstheme="minorHAnsi"/>
              </w:rPr>
            </w:pPr>
            <w:r w:rsidRPr="00747E35">
              <w:rPr>
                <w:rFonts w:cstheme="minorHAnsi"/>
              </w:rPr>
              <w:t>Near dry</w:t>
            </w:r>
          </w:p>
        </w:tc>
      </w:tr>
      <w:tr w:rsidR="003D3694" w:rsidRPr="00747E35" w14:paraId="719E877E" w14:textId="77777777" w:rsidTr="0096743A">
        <w:trPr>
          <w:trHeight w:val="57"/>
        </w:trPr>
        <w:tc>
          <w:tcPr>
            <w:tcW w:w="1129" w:type="dxa"/>
            <w:noWrap/>
            <w:hideMark/>
          </w:tcPr>
          <w:p w14:paraId="7F48E01F" w14:textId="77777777" w:rsidR="003D3694" w:rsidRPr="00747E35" w:rsidRDefault="003D3694" w:rsidP="0096743A">
            <w:pPr>
              <w:pStyle w:val="Tabletext"/>
              <w:spacing w:before="0" w:after="0"/>
              <w:rPr>
                <w:rFonts w:cstheme="minorHAnsi"/>
              </w:rPr>
            </w:pPr>
          </w:p>
        </w:tc>
        <w:tc>
          <w:tcPr>
            <w:tcW w:w="1418" w:type="dxa"/>
            <w:noWrap/>
          </w:tcPr>
          <w:p w14:paraId="29CB070A" w14:textId="77777777" w:rsidR="003D3694" w:rsidRPr="00747E35" w:rsidRDefault="003D3694" w:rsidP="0096743A">
            <w:pPr>
              <w:pStyle w:val="Tabletext"/>
              <w:spacing w:before="0" w:after="0"/>
              <w:rPr>
                <w:rFonts w:cstheme="minorHAnsi"/>
              </w:rPr>
            </w:pPr>
            <w:r w:rsidRPr="00747E35">
              <w:rPr>
                <w:rFonts w:cstheme="minorHAnsi"/>
              </w:rPr>
              <w:t>Trip 8 (R2)</w:t>
            </w:r>
          </w:p>
        </w:tc>
        <w:tc>
          <w:tcPr>
            <w:tcW w:w="1276" w:type="dxa"/>
            <w:noWrap/>
            <w:hideMark/>
          </w:tcPr>
          <w:p w14:paraId="6CD9D52F" w14:textId="77777777" w:rsidR="003D3694" w:rsidRPr="00747E35" w:rsidRDefault="003D3694" w:rsidP="0096743A">
            <w:pPr>
              <w:pStyle w:val="Tabletext"/>
              <w:spacing w:before="0" w:after="0"/>
              <w:rPr>
                <w:rFonts w:cstheme="minorHAnsi"/>
              </w:rPr>
            </w:pPr>
            <w:r w:rsidRPr="00747E35">
              <w:rPr>
                <w:rFonts w:cstheme="minorHAnsi"/>
              </w:rPr>
              <w:t>1/03/2016</w:t>
            </w:r>
          </w:p>
        </w:tc>
        <w:tc>
          <w:tcPr>
            <w:tcW w:w="1275" w:type="dxa"/>
            <w:noWrap/>
            <w:hideMark/>
          </w:tcPr>
          <w:p w14:paraId="7BD46202" w14:textId="77777777" w:rsidR="003D3694" w:rsidRPr="00747E35" w:rsidRDefault="003D3694" w:rsidP="0096743A">
            <w:pPr>
              <w:pStyle w:val="Tabletext"/>
              <w:spacing w:before="0" w:after="0"/>
              <w:rPr>
                <w:rFonts w:cstheme="minorHAnsi"/>
              </w:rPr>
            </w:pPr>
            <w:r w:rsidRPr="00747E35">
              <w:rPr>
                <w:rFonts w:cstheme="minorHAnsi"/>
              </w:rPr>
              <w:t>WC_Mar16</w:t>
            </w:r>
          </w:p>
        </w:tc>
        <w:tc>
          <w:tcPr>
            <w:tcW w:w="1418" w:type="dxa"/>
            <w:noWrap/>
            <w:hideMark/>
          </w:tcPr>
          <w:p w14:paraId="1DC0E356" w14:textId="77777777" w:rsidR="003D3694" w:rsidRPr="00747E35" w:rsidRDefault="003D3694" w:rsidP="0096743A">
            <w:pPr>
              <w:pStyle w:val="Tabletext"/>
              <w:spacing w:before="0" w:after="0"/>
              <w:rPr>
                <w:rFonts w:cstheme="minorHAnsi"/>
              </w:rPr>
            </w:pPr>
          </w:p>
        </w:tc>
        <w:tc>
          <w:tcPr>
            <w:tcW w:w="1134" w:type="dxa"/>
            <w:noWrap/>
            <w:hideMark/>
          </w:tcPr>
          <w:p w14:paraId="0BDE106B" w14:textId="77777777" w:rsidR="003D3694" w:rsidRPr="00747E35" w:rsidRDefault="003D3694" w:rsidP="0096743A">
            <w:pPr>
              <w:pStyle w:val="Tabletext"/>
              <w:spacing w:before="0" w:after="0"/>
              <w:rPr>
                <w:rFonts w:cstheme="minorHAnsi"/>
              </w:rPr>
            </w:pPr>
            <w:r w:rsidRPr="00747E35">
              <w:rPr>
                <w:rFonts w:cstheme="minorHAnsi"/>
              </w:rPr>
              <w:t>near neutral</w:t>
            </w:r>
          </w:p>
        </w:tc>
        <w:tc>
          <w:tcPr>
            <w:tcW w:w="1134" w:type="dxa"/>
            <w:noWrap/>
            <w:hideMark/>
          </w:tcPr>
          <w:p w14:paraId="612898DC" w14:textId="77777777" w:rsidR="003D3694" w:rsidRPr="00747E35" w:rsidRDefault="003D3694" w:rsidP="0096743A">
            <w:pPr>
              <w:pStyle w:val="Tabletext"/>
              <w:spacing w:before="0" w:after="0"/>
              <w:rPr>
                <w:rFonts w:cstheme="minorHAnsi"/>
              </w:rPr>
            </w:pPr>
            <w:r w:rsidRPr="00747E35">
              <w:rPr>
                <w:rFonts w:cstheme="minorHAnsi"/>
              </w:rPr>
              <w:t>6</w:t>
            </w:r>
          </w:p>
        </w:tc>
        <w:tc>
          <w:tcPr>
            <w:tcW w:w="709" w:type="dxa"/>
          </w:tcPr>
          <w:p w14:paraId="6D7D0E67" w14:textId="77777777" w:rsidR="003D3694" w:rsidRPr="00747E35" w:rsidRDefault="003D3694" w:rsidP="0096743A">
            <w:pPr>
              <w:pStyle w:val="Tabletext"/>
              <w:spacing w:before="0" w:after="0"/>
              <w:rPr>
                <w:rFonts w:cstheme="minorHAnsi"/>
              </w:rPr>
            </w:pPr>
          </w:p>
        </w:tc>
      </w:tr>
      <w:tr w:rsidR="003D3694" w:rsidRPr="00747E35" w14:paraId="6F77A031" w14:textId="77777777" w:rsidTr="0096743A">
        <w:trPr>
          <w:trHeight w:val="57"/>
        </w:trPr>
        <w:tc>
          <w:tcPr>
            <w:tcW w:w="1129" w:type="dxa"/>
            <w:noWrap/>
            <w:hideMark/>
          </w:tcPr>
          <w:p w14:paraId="69C0D333" w14:textId="77777777" w:rsidR="003D3694" w:rsidRPr="00747E35" w:rsidRDefault="003D3694" w:rsidP="0096743A">
            <w:pPr>
              <w:pStyle w:val="Tabletext"/>
              <w:spacing w:before="0" w:after="0"/>
              <w:rPr>
                <w:rFonts w:cstheme="minorHAnsi"/>
              </w:rPr>
            </w:pPr>
            <w:r w:rsidRPr="00747E35">
              <w:rPr>
                <w:rFonts w:cstheme="minorHAnsi"/>
              </w:rPr>
              <w:t>Wild Cattle Creek</w:t>
            </w:r>
          </w:p>
        </w:tc>
        <w:tc>
          <w:tcPr>
            <w:tcW w:w="1418" w:type="dxa"/>
            <w:noWrap/>
          </w:tcPr>
          <w:p w14:paraId="2573310F" w14:textId="77777777" w:rsidR="003D3694" w:rsidRPr="00747E35" w:rsidRDefault="003D3694" w:rsidP="0096743A">
            <w:pPr>
              <w:pStyle w:val="Tabletext"/>
              <w:spacing w:before="0" w:after="0"/>
              <w:rPr>
                <w:rFonts w:cstheme="minorHAnsi"/>
              </w:rPr>
            </w:pPr>
            <w:r w:rsidRPr="00747E35">
              <w:rPr>
                <w:rFonts w:cstheme="minorHAnsi"/>
              </w:rPr>
              <w:t>Trip 6 (R1)</w:t>
            </w:r>
          </w:p>
        </w:tc>
        <w:tc>
          <w:tcPr>
            <w:tcW w:w="1276" w:type="dxa"/>
            <w:noWrap/>
            <w:hideMark/>
          </w:tcPr>
          <w:p w14:paraId="4F2DC4A5" w14:textId="77777777" w:rsidR="003D3694" w:rsidRPr="00747E35" w:rsidRDefault="003D3694" w:rsidP="0096743A">
            <w:pPr>
              <w:pStyle w:val="Tabletext"/>
              <w:spacing w:before="0" w:after="0"/>
              <w:rPr>
                <w:rFonts w:cstheme="minorHAnsi"/>
              </w:rPr>
            </w:pPr>
            <w:r w:rsidRPr="00747E35">
              <w:rPr>
                <w:rFonts w:cstheme="minorHAnsi"/>
              </w:rPr>
              <w:t>10/10/2015</w:t>
            </w:r>
          </w:p>
        </w:tc>
        <w:tc>
          <w:tcPr>
            <w:tcW w:w="1275" w:type="dxa"/>
            <w:noWrap/>
            <w:hideMark/>
          </w:tcPr>
          <w:p w14:paraId="29DDD0A0" w14:textId="77777777" w:rsidR="003D3694" w:rsidRPr="00747E35" w:rsidRDefault="003D3694" w:rsidP="0096743A">
            <w:pPr>
              <w:pStyle w:val="Tabletext"/>
              <w:spacing w:before="0" w:after="0"/>
              <w:rPr>
                <w:rFonts w:cstheme="minorHAnsi"/>
              </w:rPr>
            </w:pPr>
            <w:r w:rsidRPr="00747E35">
              <w:rPr>
                <w:rFonts w:cstheme="minorHAnsi"/>
              </w:rPr>
              <w:t>WCC_Oct15</w:t>
            </w:r>
          </w:p>
        </w:tc>
        <w:tc>
          <w:tcPr>
            <w:tcW w:w="1418" w:type="dxa"/>
            <w:noWrap/>
            <w:hideMark/>
          </w:tcPr>
          <w:p w14:paraId="3D994611" w14:textId="77777777" w:rsidR="003D3694" w:rsidRPr="00747E35" w:rsidRDefault="003D3694" w:rsidP="0096743A">
            <w:pPr>
              <w:pStyle w:val="Tabletext"/>
              <w:spacing w:before="0" w:after="0"/>
              <w:rPr>
                <w:rFonts w:cstheme="minorHAnsi"/>
              </w:rPr>
            </w:pPr>
            <w:r w:rsidRPr="00747E35">
              <w:rPr>
                <w:rFonts w:cstheme="minorHAnsi"/>
              </w:rPr>
              <w:t>Intermittent</w:t>
            </w:r>
          </w:p>
        </w:tc>
        <w:tc>
          <w:tcPr>
            <w:tcW w:w="1134" w:type="dxa"/>
            <w:noWrap/>
            <w:hideMark/>
          </w:tcPr>
          <w:p w14:paraId="3C21E001" w14:textId="77777777" w:rsidR="003D3694" w:rsidRPr="00747E35" w:rsidRDefault="003D3694" w:rsidP="0096743A">
            <w:pPr>
              <w:pStyle w:val="Tabletext"/>
              <w:spacing w:before="0" w:after="0"/>
              <w:rPr>
                <w:rFonts w:cstheme="minorHAnsi"/>
              </w:rPr>
            </w:pPr>
            <w:r w:rsidRPr="00747E35">
              <w:rPr>
                <w:rFonts w:cstheme="minorHAnsi"/>
              </w:rPr>
              <w:t>Neutral-UW</w:t>
            </w:r>
          </w:p>
        </w:tc>
        <w:tc>
          <w:tcPr>
            <w:tcW w:w="1134" w:type="dxa"/>
            <w:noWrap/>
            <w:hideMark/>
          </w:tcPr>
          <w:p w14:paraId="7A9B5A6E" w14:textId="77777777" w:rsidR="003D3694" w:rsidRPr="00747E35" w:rsidRDefault="003D3694" w:rsidP="0096743A">
            <w:pPr>
              <w:pStyle w:val="Tabletext"/>
              <w:spacing w:before="0" w:after="0"/>
              <w:rPr>
                <w:rFonts w:cstheme="minorHAnsi"/>
              </w:rPr>
            </w:pPr>
            <w:r w:rsidRPr="00747E35">
              <w:rPr>
                <w:rFonts w:cstheme="minorHAnsi"/>
              </w:rPr>
              <w:t>6</w:t>
            </w:r>
          </w:p>
        </w:tc>
        <w:tc>
          <w:tcPr>
            <w:tcW w:w="709" w:type="dxa"/>
          </w:tcPr>
          <w:p w14:paraId="34E92686" w14:textId="77777777" w:rsidR="003D3694" w:rsidRPr="00747E35" w:rsidRDefault="003D3694" w:rsidP="0096743A">
            <w:pPr>
              <w:pStyle w:val="Tabletext"/>
              <w:spacing w:before="0" w:after="0"/>
              <w:rPr>
                <w:rFonts w:cstheme="minorHAnsi"/>
              </w:rPr>
            </w:pPr>
          </w:p>
        </w:tc>
      </w:tr>
      <w:tr w:rsidR="003D3694" w:rsidRPr="00747E35" w14:paraId="49B5D7CD" w14:textId="77777777" w:rsidTr="0096743A">
        <w:trPr>
          <w:trHeight w:val="57"/>
        </w:trPr>
        <w:tc>
          <w:tcPr>
            <w:tcW w:w="1129" w:type="dxa"/>
            <w:noWrap/>
            <w:hideMark/>
          </w:tcPr>
          <w:p w14:paraId="5B497CDF" w14:textId="77777777" w:rsidR="003D3694" w:rsidRPr="00747E35" w:rsidRDefault="003D3694" w:rsidP="0096743A">
            <w:pPr>
              <w:pStyle w:val="Tabletext"/>
              <w:spacing w:before="0" w:after="0"/>
              <w:rPr>
                <w:rFonts w:cstheme="minorHAnsi"/>
              </w:rPr>
            </w:pPr>
          </w:p>
        </w:tc>
        <w:tc>
          <w:tcPr>
            <w:tcW w:w="1418" w:type="dxa"/>
            <w:noWrap/>
          </w:tcPr>
          <w:p w14:paraId="2D4867A1" w14:textId="77777777" w:rsidR="003D3694" w:rsidRPr="00747E35" w:rsidRDefault="003D3694" w:rsidP="0096743A">
            <w:pPr>
              <w:pStyle w:val="Tabletext"/>
              <w:spacing w:before="0" w:after="0"/>
              <w:rPr>
                <w:rFonts w:cstheme="minorHAnsi"/>
              </w:rPr>
            </w:pPr>
            <w:r w:rsidRPr="00747E35">
              <w:rPr>
                <w:rFonts w:cstheme="minorHAnsi"/>
              </w:rPr>
              <w:t>Trip 8 (R2)</w:t>
            </w:r>
          </w:p>
        </w:tc>
        <w:tc>
          <w:tcPr>
            <w:tcW w:w="1276" w:type="dxa"/>
            <w:noWrap/>
            <w:hideMark/>
          </w:tcPr>
          <w:p w14:paraId="4DBC658D" w14:textId="77777777" w:rsidR="003D3694" w:rsidRPr="00747E35" w:rsidRDefault="003D3694" w:rsidP="0096743A">
            <w:pPr>
              <w:pStyle w:val="Tabletext"/>
              <w:spacing w:before="0" w:after="0"/>
              <w:rPr>
                <w:rFonts w:cstheme="minorHAnsi"/>
              </w:rPr>
            </w:pPr>
            <w:r w:rsidRPr="00747E35">
              <w:rPr>
                <w:rFonts w:cstheme="minorHAnsi"/>
              </w:rPr>
              <w:t>2/03/2016</w:t>
            </w:r>
          </w:p>
        </w:tc>
        <w:tc>
          <w:tcPr>
            <w:tcW w:w="1275" w:type="dxa"/>
            <w:noWrap/>
            <w:hideMark/>
          </w:tcPr>
          <w:p w14:paraId="4F90B8CD" w14:textId="77777777" w:rsidR="003D3694" w:rsidRPr="00747E35" w:rsidRDefault="003D3694" w:rsidP="0096743A">
            <w:pPr>
              <w:pStyle w:val="Tabletext"/>
              <w:spacing w:before="0" w:after="0"/>
              <w:rPr>
                <w:rFonts w:cstheme="minorHAnsi"/>
              </w:rPr>
            </w:pPr>
            <w:r w:rsidRPr="00747E35">
              <w:rPr>
                <w:rFonts w:cstheme="minorHAnsi"/>
              </w:rPr>
              <w:t>WCC_Mar16</w:t>
            </w:r>
          </w:p>
        </w:tc>
        <w:tc>
          <w:tcPr>
            <w:tcW w:w="1418" w:type="dxa"/>
            <w:noWrap/>
            <w:hideMark/>
          </w:tcPr>
          <w:p w14:paraId="7E0E5D7F" w14:textId="77777777" w:rsidR="003D3694" w:rsidRPr="00747E35" w:rsidRDefault="003D3694" w:rsidP="0096743A">
            <w:pPr>
              <w:pStyle w:val="Tabletext"/>
              <w:spacing w:before="0" w:after="0"/>
              <w:rPr>
                <w:rFonts w:cstheme="minorHAnsi"/>
              </w:rPr>
            </w:pPr>
          </w:p>
        </w:tc>
        <w:tc>
          <w:tcPr>
            <w:tcW w:w="1134" w:type="dxa"/>
            <w:noWrap/>
            <w:hideMark/>
          </w:tcPr>
          <w:p w14:paraId="0825C6DA" w14:textId="77777777" w:rsidR="003D3694" w:rsidRPr="00747E35" w:rsidRDefault="003D3694" w:rsidP="0096743A">
            <w:pPr>
              <w:pStyle w:val="Tabletext"/>
              <w:spacing w:before="0" w:after="0"/>
              <w:rPr>
                <w:rFonts w:cstheme="minorHAnsi"/>
              </w:rPr>
            </w:pPr>
            <w:r w:rsidRPr="00747E35">
              <w:rPr>
                <w:rFonts w:cstheme="minorHAnsi"/>
              </w:rPr>
              <w:t>near neutral</w:t>
            </w:r>
          </w:p>
        </w:tc>
        <w:tc>
          <w:tcPr>
            <w:tcW w:w="1134" w:type="dxa"/>
            <w:noWrap/>
            <w:hideMark/>
          </w:tcPr>
          <w:p w14:paraId="2C4A5A76" w14:textId="77777777" w:rsidR="003D3694" w:rsidRPr="00747E35" w:rsidRDefault="003D3694" w:rsidP="0096743A">
            <w:pPr>
              <w:pStyle w:val="Tabletext"/>
              <w:spacing w:before="0" w:after="0"/>
              <w:rPr>
                <w:rFonts w:cstheme="minorHAnsi"/>
              </w:rPr>
            </w:pPr>
            <w:r w:rsidRPr="00747E35">
              <w:rPr>
                <w:rFonts w:cstheme="minorHAnsi"/>
              </w:rPr>
              <w:t>6</w:t>
            </w:r>
          </w:p>
        </w:tc>
        <w:tc>
          <w:tcPr>
            <w:tcW w:w="709" w:type="dxa"/>
          </w:tcPr>
          <w:p w14:paraId="3B7D1C5C" w14:textId="77777777" w:rsidR="003D3694" w:rsidRPr="00747E35" w:rsidRDefault="003D3694" w:rsidP="0096743A">
            <w:pPr>
              <w:pStyle w:val="Tabletext"/>
              <w:spacing w:before="0" w:after="0"/>
              <w:rPr>
                <w:rFonts w:cstheme="minorHAnsi"/>
              </w:rPr>
            </w:pPr>
          </w:p>
        </w:tc>
      </w:tr>
      <w:tr w:rsidR="003D3694" w:rsidRPr="00747E35" w14:paraId="6CC2E466" w14:textId="77777777" w:rsidTr="0096743A">
        <w:trPr>
          <w:trHeight w:val="57"/>
        </w:trPr>
        <w:tc>
          <w:tcPr>
            <w:tcW w:w="1129" w:type="dxa"/>
            <w:noWrap/>
          </w:tcPr>
          <w:p w14:paraId="6024C044" w14:textId="77777777" w:rsidR="003D3694" w:rsidRPr="00747E35" w:rsidRDefault="003D3694" w:rsidP="0096743A">
            <w:pPr>
              <w:pStyle w:val="Tabletext"/>
              <w:spacing w:before="0" w:after="0"/>
              <w:rPr>
                <w:rFonts w:cstheme="minorHAnsi"/>
              </w:rPr>
            </w:pPr>
          </w:p>
        </w:tc>
        <w:tc>
          <w:tcPr>
            <w:tcW w:w="1418" w:type="dxa"/>
            <w:noWrap/>
          </w:tcPr>
          <w:p w14:paraId="7CF0E703" w14:textId="77777777" w:rsidR="003D3694" w:rsidRPr="00747E35" w:rsidRDefault="003D3694" w:rsidP="0096743A">
            <w:pPr>
              <w:pStyle w:val="Tabletext"/>
              <w:spacing w:before="0" w:after="0"/>
              <w:rPr>
                <w:rFonts w:cstheme="minorHAnsi"/>
              </w:rPr>
            </w:pPr>
            <w:r w:rsidRPr="00747E35">
              <w:rPr>
                <w:rFonts w:cstheme="minorHAnsi"/>
              </w:rPr>
              <w:t>Trip 6 (R1)</w:t>
            </w:r>
          </w:p>
        </w:tc>
        <w:tc>
          <w:tcPr>
            <w:tcW w:w="1276" w:type="dxa"/>
            <w:noWrap/>
          </w:tcPr>
          <w:p w14:paraId="40DB5706" w14:textId="77777777" w:rsidR="003D3694" w:rsidRPr="00747E35" w:rsidRDefault="003D3694" w:rsidP="0096743A">
            <w:pPr>
              <w:pStyle w:val="Tabletext"/>
              <w:spacing w:before="0" w:after="0"/>
              <w:rPr>
                <w:rFonts w:cstheme="minorHAnsi"/>
              </w:rPr>
            </w:pPr>
          </w:p>
        </w:tc>
        <w:tc>
          <w:tcPr>
            <w:tcW w:w="1275" w:type="dxa"/>
            <w:noWrap/>
          </w:tcPr>
          <w:p w14:paraId="39A6619D" w14:textId="77777777" w:rsidR="003D3694" w:rsidRPr="00747E35" w:rsidRDefault="003D3694" w:rsidP="0096743A">
            <w:pPr>
              <w:pStyle w:val="Tabletext"/>
              <w:spacing w:before="0" w:after="0"/>
              <w:rPr>
                <w:rFonts w:cstheme="minorHAnsi"/>
              </w:rPr>
            </w:pPr>
          </w:p>
        </w:tc>
        <w:tc>
          <w:tcPr>
            <w:tcW w:w="1418" w:type="dxa"/>
            <w:noWrap/>
          </w:tcPr>
          <w:p w14:paraId="3EFB951C" w14:textId="77777777" w:rsidR="003D3694" w:rsidRPr="00747E35" w:rsidRDefault="003D3694" w:rsidP="0096743A">
            <w:pPr>
              <w:pStyle w:val="Tabletext"/>
              <w:spacing w:before="0" w:after="0"/>
              <w:rPr>
                <w:rFonts w:cstheme="minorHAnsi"/>
              </w:rPr>
            </w:pPr>
          </w:p>
        </w:tc>
        <w:tc>
          <w:tcPr>
            <w:tcW w:w="1134" w:type="dxa"/>
            <w:noWrap/>
          </w:tcPr>
          <w:p w14:paraId="54941B2D" w14:textId="77777777" w:rsidR="003D3694" w:rsidRPr="00747E35" w:rsidRDefault="003D3694" w:rsidP="0096743A">
            <w:pPr>
              <w:pStyle w:val="Tabletext"/>
              <w:spacing w:before="0" w:after="0"/>
              <w:rPr>
                <w:rFonts w:cstheme="minorHAnsi"/>
              </w:rPr>
            </w:pPr>
            <w:r w:rsidRPr="00747E35">
              <w:rPr>
                <w:rFonts w:cstheme="minorHAnsi"/>
              </w:rPr>
              <w:t>Total subsamples</w:t>
            </w:r>
          </w:p>
        </w:tc>
        <w:tc>
          <w:tcPr>
            <w:tcW w:w="1134" w:type="dxa"/>
            <w:noWrap/>
          </w:tcPr>
          <w:p w14:paraId="50E37C8A" w14:textId="77777777" w:rsidR="003D3694" w:rsidRPr="00747E35" w:rsidRDefault="003D3694" w:rsidP="0096743A">
            <w:pPr>
              <w:pStyle w:val="Tabletext"/>
              <w:spacing w:before="0" w:after="0"/>
              <w:rPr>
                <w:rFonts w:cstheme="minorHAnsi"/>
              </w:rPr>
            </w:pPr>
            <w:r w:rsidRPr="00747E35">
              <w:rPr>
                <w:rFonts w:cstheme="minorHAnsi"/>
              </w:rPr>
              <w:t>57</w:t>
            </w:r>
          </w:p>
        </w:tc>
        <w:tc>
          <w:tcPr>
            <w:tcW w:w="709" w:type="dxa"/>
          </w:tcPr>
          <w:p w14:paraId="422DA940" w14:textId="77777777" w:rsidR="003D3694" w:rsidRPr="00747E35" w:rsidRDefault="003D3694" w:rsidP="0096743A">
            <w:pPr>
              <w:pStyle w:val="Tabletext"/>
              <w:spacing w:before="0" w:after="0"/>
              <w:rPr>
                <w:rFonts w:cstheme="minorHAnsi"/>
              </w:rPr>
            </w:pPr>
          </w:p>
        </w:tc>
      </w:tr>
    </w:tbl>
    <w:p w14:paraId="0BC10954" w14:textId="77777777" w:rsidR="003D3694" w:rsidRPr="00747E35" w:rsidRDefault="003D3694" w:rsidP="003D3694">
      <w:pPr>
        <w:rPr>
          <w:rFonts w:asciiTheme="minorHAnsi" w:hAnsiTheme="minorHAnsi" w:cstheme="minorHAnsi"/>
        </w:rPr>
      </w:pPr>
    </w:p>
    <w:p w14:paraId="078FA121" w14:textId="77777777" w:rsidR="003D3694" w:rsidRPr="00747E35" w:rsidRDefault="003D3694" w:rsidP="003D3694">
      <w:pPr>
        <w:autoSpaceDE/>
        <w:autoSpaceDN/>
        <w:spacing w:line="276" w:lineRule="auto"/>
        <w:rPr>
          <w:rFonts w:asciiTheme="minorHAnsi" w:hAnsiTheme="minorHAnsi" w:cstheme="minorHAnsi"/>
        </w:rPr>
      </w:pPr>
      <w:r w:rsidRPr="00747E35">
        <w:rPr>
          <w:rFonts w:asciiTheme="minorHAnsi" w:hAnsiTheme="minorHAnsi" w:cstheme="minorHAnsi"/>
        </w:rPr>
        <w:br w:type="page"/>
      </w:r>
    </w:p>
    <w:p w14:paraId="2C2518A6" w14:textId="340EE2FD" w:rsidR="003D3694" w:rsidRPr="00747E35" w:rsidRDefault="003D3694" w:rsidP="00793A29">
      <w:pPr>
        <w:pStyle w:val="Caption"/>
        <w:numPr>
          <w:ilvl w:val="0"/>
          <w:numId w:val="0"/>
        </w:numPr>
        <w:rPr>
          <w:rFonts w:cstheme="minorHAnsi"/>
        </w:rPr>
      </w:pPr>
      <w:bookmarkStart w:id="482" w:name="_Ref467011023"/>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48</w:t>
      </w:r>
      <w:r w:rsidR="009D6600" w:rsidRPr="00747E35">
        <w:rPr>
          <w:rFonts w:cstheme="minorHAnsi"/>
          <w:noProof/>
        </w:rPr>
        <w:fldChar w:fldCharType="end"/>
      </w:r>
      <w:bookmarkEnd w:id="482"/>
      <w:r w:rsidRPr="00747E35">
        <w:rPr>
          <w:rFonts w:cstheme="minorHAnsi"/>
        </w:rPr>
        <w:t xml:space="preserve">:Summary of survey effort Maules Creek catchment, including the predominant direction of hyporheic exchange flow inferred from vertical hydraulic head difference (VHH) measured at the time of sampling: upwelling (UW), </w:t>
      </w:r>
      <w:r w:rsidR="006B2C7A">
        <w:rPr>
          <w:rFonts w:cstheme="minorHAnsi"/>
        </w:rPr>
        <w:t>downwelling</w:t>
      </w:r>
      <w:r w:rsidRPr="00747E35">
        <w:rPr>
          <w:rFonts w:cstheme="minorHAnsi"/>
        </w:rPr>
        <w:t xml:space="preserve"> (DW), Neutral, or Dry (hyporheic water not intercepted). </w:t>
      </w:r>
    </w:p>
    <w:tbl>
      <w:tblPr>
        <w:tblStyle w:val="TableGrid"/>
        <w:tblW w:w="0" w:type="auto"/>
        <w:tblInd w:w="221" w:type="dxa"/>
        <w:tblLayout w:type="fixed"/>
        <w:tblLook w:val="04A0" w:firstRow="1" w:lastRow="0" w:firstColumn="1" w:lastColumn="0" w:noHBand="0" w:noVBand="1"/>
      </w:tblPr>
      <w:tblGrid>
        <w:gridCol w:w="1050"/>
        <w:gridCol w:w="1418"/>
        <w:gridCol w:w="1134"/>
        <w:gridCol w:w="1105"/>
        <w:gridCol w:w="1163"/>
        <w:gridCol w:w="1559"/>
        <w:gridCol w:w="951"/>
        <w:gridCol w:w="1027"/>
      </w:tblGrid>
      <w:tr w:rsidR="003D3694" w:rsidRPr="00747E35" w14:paraId="371E5CC1" w14:textId="77777777" w:rsidTr="0096743A">
        <w:trPr>
          <w:trHeight w:val="288"/>
          <w:tblHeader/>
        </w:trPr>
        <w:tc>
          <w:tcPr>
            <w:tcW w:w="1050" w:type="dxa"/>
            <w:shd w:val="clear" w:color="auto" w:fill="DEEAF6" w:themeFill="accent1" w:themeFillTint="33"/>
            <w:noWrap/>
            <w:hideMark/>
          </w:tcPr>
          <w:p w14:paraId="262F71D9"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Location</w:t>
            </w:r>
          </w:p>
        </w:tc>
        <w:tc>
          <w:tcPr>
            <w:tcW w:w="1418" w:type="dxa"/>
            <w:shd w:val="clear" w:color="auto" w:fill="DEEAF6" w:themeFill="accent1" w:themeFillTint="33"/>
            <w:noWrap/>
            <w:hideMark/>
          </w:tcPr>
          <w:p w14:paraId="052F47A2"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Field Campaign</w:t>
            </w:r>
          </w:p>
        </w:tc>
        <w:tc>
          <w:tcPr>
            <w:tcW w:w="1134" w:type="dxa"/>
            <w:shd w:val="clear" w:color="auto" w:fill="DEEAF6" w:themeFill="accent1" w:themeFillTint="33"/>
            <w:noWrap/>
            <w:hideMark/>
          </w:tcPr>
          <w:p w14:paraId="01DBD55E"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Date</w:t>
            </w:r>
          </w:p>
        </w:tc>
        <w:tc>
          <w:tcPr>
            <w:tcW w:w="1105" w:type="dxa"/>
            <w:shd w:val="clear" w:color="auto" w:fill="DEEAF6" w:themeFill="accent1" w:themeFillTint="33"/>
            <w:noWrap/>
            <w:hideMark/>
          </w:tcPr>
          <w:p w14:paraId="69951D82"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Site Date Code</w:t>
            </w:r>
          </w:p>
        </w:tc>
        <w:tc>
          <w:tcPr>
            <w:tcW w:w="1163" w:type="dxa"/>
            <w:shd w:val="clear" w:color="auto" w:fill="DEEAF6" w:themeFill="accent1" w:themeFillTint="33"/>
            <w:noWrap/>
            <w:hideMark/>
          </w:tcPr>
          <w:p w14:paraId="189A046F"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Regime</w:t>
            </w:r>
          </w:p>
        </w:tc>
        <w:tc>
          <w:tcPr>
            <w:tcW w:w="1559" w:type="dxa"/>
            <w:shd w:val="clear" w:color="auto" w:fill="DEEAF6" w:themeFill="accent1" w:themeFillTint="33"/>
            <w:noWrap/>
            <w:hideMark/>
          </w:tcPr>
          <w:p w14:paraId="67A8D8A2"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UW/DW/Neutral/ Dry</w:t>
            </w:r>
          </w:p>
        </w:tc>
        <w:tc>
          <w:tcPr>
            <w:tcW w:w="951" w:type="dxa"/>
            <w:shd w:val="clear" w:color="auto" w:fill="DEEAF6" w:themeFill="accent1" w:themeFillTint="33"/>
            <w:noWrap/>
            <w:hideMark/>
          </w:tcPr>
          <w:p w14:paraId="538BB589"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n Sub-samples / site</w:t>
            </w:r>
          </w:p>
        </w:tc>
        <w:tc>
          <w:tcPr>
            <w:tcW w:w="1027" w:type="dxa"/>
            <w:shd w:val="clear" w:color="auto" w:fill="DEEAF6" w:themeFill="accent1" w:themeFillTint="33"/>
            <w:noWrap/>
            <w:hideMark/>
          </w:tcPr>
          <w:p w14:paraId="31C03E2F"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Notes</w:t>
            </w:r>
          </w:p>
        </w:tc>
      </w:tr>
      <w:tr w:rsidR="003D3694" w:rsidRPr="00747E35" w14:paraId="5821C5FD" w14:textId="77777777" w:rsidTr="0096743A">
        <w:trPr>
          <w:trHeight w:val="288"/>
        </w:trPr>
        <w:tc>
          <w:tcPr>
            <w:tcW w:w="1050" w:type="dxa"/>
            <w:noWrap/>
            <w:hideMark/>
          </w:tcPr>
          <w:p w14:paraId="22D91D20" w14:textId="77777777" w:rsidR="003D3694" w:rsidRPr="00747E35" w:rsidRDefault="003D3694" w:rsidP="0096743A">
            <w:pPr>
              <w:pStyle w:val="Tabletext"/>
              <w:spacing w:before="0" w:after="0"/>
              <w:rPr>
                <w:rFonts w:cstheme="minorHAnsi"/>
              </w:rPr>
            </w:pPr>
            <w:r w:rsidRPr="00747E35">
              <w:rPr>
                <w:rFonts w:cstheme="minorHAnsi"/>
              </w:rPr>
              <w:t>Middle Creek</w:t>
            </w:r>
          </w:p>
        </w:tc>
        <w:tc>
          <w:tcPr>
            <w:tcW w:w="1418" w:type="dxa"/>
            <w:noWrap/>
          </w:tcPr>
          <w:p w14:paraId="7E3F1343" w14:textId="77777777" w:rsidR="003D3694" w:rsidRPr="00747E35" w:rsidRDefault="003D3694" w:rsidP="0096743A">
            <w:pPr>
              <w:pStyle w:val="Tabletext"/>
              <w:spacing w:before="0" w:after="0"/>
              <w:rPr>
                <w:rFonts w:cstheme="minorHAnsi"/>
              </w:rPr>
            </w:pPr>
            <w:r w:rsidRPr="00747E35">
              <w:rPr>
                <w:rFonts w:cstheme="minorHAnsi"/>
              </w:rPr>
              <w:t>Trip 5</w:t>
            </w:r>
          </w:p>
        </w:tc>
        <w:tc>
          <w:tcPr>
            <w:tcW w:w="1134" w:type="dxa"/>
            <w:noWrap/>
            <w:hideMark/>
          </w:tcPr>
          <w:p w14:paraId="54D2EBD9" w14:textId="77777777" w:rsidR="003D3694" w:rsidRPr="00747E35" w:rsidRDefault="003D3694" w:rsidP="0096743A">
            <w:pPr>
              <w:pStyle w:val="Tabletext"/>
              <w:spacing w:before="0" w:after="0"/>
              <w:rPr>
                <w:rFonts w:cstheme="minorHAnsi"/>
              </w:rPr>
            </w:pPr>
            <w:r w:rsidRPr="00747E35">
              <w:rPr>
                <w:rFonts w:cstheme="minorHAnsi"/>
              </w:rPr>
              <w:t>17/09/2015</w:t>
            </w:r>
          </w:p>
        </w:tc>
        <w:tc>
          <w:tcPr>
            <w:tcW w:w="1105" w:type="dxa"/>
            <w:noWrap/>
            <w:hideMark/>
          </w:tcPr>
          <w:p w14:paraId="3AAEBD13" w14:textId="77777777" w:rsidR="003D3694" w:rsidRPr="00747E35" w:rsidRDefault="003D3694" w:rsidP="0096743A">
            <w:pPr>
              <w:pStyle w:val="Tabletext"/>
              <w:spacing w:before="0" w:after="0"/>
              <w:rPr>
                <w:rFonts w:cstheme="minorHAnsi"/>
              </w:rPr>
            </w:pPr>
            <w:r w:rsidRPr="00747E35">
              <w:rPr>
                <w:rFonts w:cstheme="minorHAnsi"/>
              </w:rPr>
              <w:t>ELP1_Sept15</w:t>
            </w:r>
          </w:p>
        </w:tc>
        <w:tc>
          <w:tcPr>
            <w:tcW w:w="1163" w:type="dxa"/>
            <w:noWrap/>
            <w:hideMark/>
          </w:tcPr>
          <w:p w14:paraId="5C984230" w14:textId="77777777" w:rsidR="003D3694" w:rsidRPr="00747E35" w:rsidRDefault="003D3694" w:rsidP="0096743A">
            <w:pPr>
              <w:pStyle w:val="Tabletext"/>
              <w:spacing w:before="0" w:after="0"/>
              <w:rPr>
                <w:rFonts w:cstheme="minorHAnsi"/>
              </w:rPr>
            </w:pPr>
            <w:r w:rsidRPr="00747E35">
              <w:rPr>
                <w:rFonts w:cstheme="minorHAnsi"/>
              </w:rPr>
              <w:t>Intermittent Losing</w:t>
            </w:r>
          </w:p>
        </w:tc>
        <w:tc>
          <w:tcPr>
            <w:tcW w:w="1559" w:type="dxa"/>
            <w:noWrap/>
            <w:hideMark/>
          </w:tcPr>
          <w:p w14:paraId="583025CB" w14:textId="77777777" w:rsidR="003D3694" w:rsidRPr="00747E35" w:rsidRDefault="003D3694" w:rsidP="0096743A">
            <w:pPr>
              <w:pStyle w:val="Tabletext"/>
              <w:spacing w:before="0" w:after="0"/>
              <w:rPr>
                <w:rFonts w:cstheme="minorHAnsi"/>
              </w:rPr>
            </w:pPr>
            <w:r w:rsidRPr="00747E35">
              <w:rPr>
                <w:rFonts w:cstheme="minorHAnsi"/>
              </w:rPr>
              <w:t>UW</w:t>
            </w:r>
          </w:p>
        </w:tc>
        <w:tc>
          <w:tcPr>
            <w:tcW w:w="951" w:type="dxa"/>
            <w:noWrap/>
            <w:hideMark/>
          </w:tcPr>
          <w:p w14:paraId="4A26CE56" w14:textId="77777777" w:rsidR="003D3694" w:rsidRPr="00747E35" w:rsidRDefault="003D3694" w:rsidP="0096743A">
            <w:pPr>
              <w:pStyle w:val="Tabletext"/>
              <w:spacing w:before="0" w:after="0"/>
              <w:rPr>
                <w:rFonts w:cstheme="minorHAnsi"/>
              </w:rPr>
            </w:pPr>
            <w:r w:rsidRPr="00747E35">
              <w:rPr>
                <w:rFonts w:cstheme="minorHAnsi"/>
              </w:rPr>
              <w:t>6</w:t>
            </w:r>
          </w:p>
        </w:tc>
        <w:tc>
          <w:tcPr>
            <w:tcW w:w="1027" w:type="dxa"/>
            <w:noWrap/>
            <w:hideMark/>
          </w:tcPr>
          <w:p w14:paraId="4DC6A12B" w14:textId="77777777" w:rsidR="003D3694" w:rsidRPr="00747E35" w:rsidRDefault="003D3694" w:rsidP="0096743A">
            <w:pPr>
              <w:pStyle w:val="Tabletext"/>
              <w:spacing w:before="0" w:after="0"/>
              <w:rPr>
                <w:rFonts w:cstheme="minorHAnsi"/>
              </w:rPr>
            </w:pPr>
            <w:r w:rsidRPr="00747E35">
              <w:rPr>
                <w:rFonts w:cstheme="minorHAnsi"/>
              </w:rPr>
              <w:t> </w:t>
            </w:r>
          </w:p>
        </w:tc>
      </w:tr>
      <w:tr w:rsidR="003D3694" w:rsidRPr="00747E35" w14:paraId="61DFEAC1" w14:textId="77777777" w:rsidTr="0096743A">
        <w:trPr>
          <w:trHeight w:val="288"/>
        </w:trPr>
        <w:tc>
          <w:tcPr>
            <w:tcW w:w="1050" w:type="dxa"/>
            <w:noWrap/>
          </w:tcPr>
          <w:p w14:paraId="22B54CCF" w14:textId="77777777" w:rsidR="003D3694" w:rsidRPr="00747E35" w:rsidRDefault="003D3694" w:rsidP="0096743A">
            <w:pPr>
              <w:pStyle w:val="Tabletext"/>
              <w:spacing w:before="0" w:after="0"/>
              <w:rPr>
                <w:rFonts w:cstheme="minorHAnsi"/>
              </w:rPr>
            </w:pPr>
          </w:p>
        </w:tc>
        <w:tc>
          <w:tcPr>
            <w:tcW w:w="1418" w:type="dxa"/>
            <w:noWrap/>
          </w:tcPr>
          <w:p w14:paraId="20506922" w14:textId="77777777" w:rsidR="003D3694" w:rsidRPr="00747E35" w:rsidRDefault="003D3694" w:rsidP="0096743A">
            <w:pPr>
              <w:pStyle w:val="Tabletext"/>
              <w:spacing w:before="0" w:after="0"/>
              <w:rPr>
                <w:rFonts w:cstheme="minorHAnsi"/>
              </w:rPr>
            </w:pPr>
            <w:r w:rsidRPr="00747E35">
              <w:rPr>
                <w:rFonts w:cstheme="minorHAnsi"/>
              </w:rPr>
              <w:t>Trip 8 (R2)</w:t>
            </w:r>
          </w:p>
        </w:tc>
        <w:tc>
          <w:tcPr>
            <w:tcW w:w="1134" w:type="dxa"/>
            <w:noWrap/>
            <w:hideMark/>
          </w:tcPr>
          <w:p w14:paraId="47DDFF37" w14:textId="77777777" w:rsidR="003D3694" w:rsidRPr="00747E35" w:rsidRDefault="003D3694" w:rsidP="0096743A">
            <w:pPr>
              <w:pStyle w:val="Tabletext"/>
              <w:spacing w:before="0" w:after="0"/>
              <w:rPr>
                <w:rFonts w:cstheme="minorHAnsi"/>
              </w:rPr>
            </w:pPr>
            <w:r w:rsidRPr="00747E35">
              <w:rPr>
                <w:rFonts w:cstheme="minorHAnsi"/>
              </w:rPr>
              <w:t>25/02/2016</w:t>
            </w:r>
          </w:p>
        </w:tc>
        <w:tc>
          <w:tcPr>
            <w:tcW w:w="1105" w:type="dxa"/>
            <w:noWrap/>
            <w:hideMark/>
          </w:tcPr>
          <w:p w14:paraId="2A94ADDC" w14:textId="77777777" w:rsidR="003D3694" w:rsidRPr="00747E35" w:rsidRDefault="003D3694" w:rsidP="0096743A">
            <w:pPr>
              <w:pStyle w:val="Tabletext"/>
              <w:spacing w:before="0" w:after="0"/>
              <w:rPr>
                <w:rFonts w:cstheme="minorHAnsi"/>
              </w:rPr>
            </w:pPr>
            <w:r w:rsidRPr="00747E35">
              <w:rPr>
                <w:rFonts w:cstheme="minorHAnsi"/>
              </w:rPr>
              <w:t>ELP1_Sept15</w:t>
            </w:r>
          </w:p>
        </w:tc>
        <w:tc>
          <w:tcPr>
            <w:tcW w:w="1163" w:type="dxa"/>
            <w:noWrap/>
          </w:tcPr>
          <w:p w14:paraId="24DE9256" w14:textId="77777777" w:rsidR="003D3694" w:rsidRPr="00747E35" w:rsidRDefault="003D3694" w:rsidP="0096743A">
            <w:pPr>
              <w:pStyle w:val="Tabletext"/>
              <w:spacing w:before="0" w:after="0"/>
              <w:rPr>
                <w:rFonts w:cstheme="minorHAnsi"/>
              </w:rPr>
            </w:pPr>
          </w:p>
        </w:tc>
        <w:tc>
          <w:tcPr>
            <w:tcW w:w="1559" w:type="dxa"/>
            <w:noWrap/>
            <w:hideMark/>
          </w:tcPr>
          <w:p w14:paraId="09A0B6AD" w14:textId="77777777" w:rsidR="003D3694" w:rsidRPr="00747E35" w:rsidRDefault="003D3694" w:rsidP="0096743A">
            <w:pPr>
              <w:pStyle w:val="Tabletext"/>
              <w:spacing w:before="0" w:after="0"/>
              <w:rPr>
                <w:rFonts w:cstheme="minorHAnsi"/>
              </w:rPr>
            </w:pPr>
            <w:r w:rsidRPr="00747E35">
              <w:rPr>
                <w:rFonts w:cstheme="minorHAnsi"/>
              </w:rPr>
              <w:t>Dry</w:t>
            </w:r>
          </w:p>
        </w:tc>
        <w:tc>
          <w:tcPr>
            <w:tcW w:w="951" w:type="dxa"/>
            <w:noWrap/>
            <w:hideMark/>
          </w:tcPr>
          <w:p w14:paraId="758CBE9F" w14:textId="77777777" w:rsidR="003D3694" w:rsidRPr="00747E35" w:rsidRDefault="003D3694" w:rsidP="0096743A">
            <w:pPr>
              <w:pStyle w:val="Tabletext"/>
              <w:spacing w:before="0" w:after="0"/>
              <w:rPr>
                <w:rFonts w:cstheme="minorHAnsi"/>
              </w:rPr>
            </w:pPr>
            <w:r w:rsidRPr="00747E35">
              <w:rPr>
                <w:rFonts w:cstheme="minorHAnsi"/>
              </w:rPr>
              <w:t>0</w:t>
            </w:r>
          </w:p>
        </w:tc>
        <w:tc>
          <w:tcPr>
            <w:tcW w:w="1027" w:type="dxa"/>
            <w:noWrap/>
            <w:hideMark/>
          </w:tcPr>
          <w:p w14:paraId="3379C74F" w14:textId="77777777" w:rsidR="003D3694" w:rsidRPr="00747E35" w:rsidRDefault="003D3694" w:rsidP="0096743A">
            <w:pPr>
              <w:pStyle w:val="Tabletext"/>
              <w:spacing w:before="0" w:after="0"/>
              <w:rPr>
                <w:rFonts w:cstheme="minorHAnsi"/>
              </w:rPr>
            </w:pPr>
            <w:r w:rsidRPr="00747E35">
              <w:rPr>
                <w:rFonts w:cstheme="minorHAnsi"/>
              </w:rPr>
              <w:t xml:space="preserve">Dry </w:t>
            </w:r>
          </w:p>
        </w:tc>
      </w:tr>
      <w:tr w:rsidR="003D3694" w:rsidRPr="00747E35" w14:paraId="4C89CCF9" w14:textId="77777777" w:rsidTr="0096743A">
        <w:trPr>
          <w:trHeight w:val="288"/>
        </w:trPr>
        <w:tc>
          <w:tcPr>
            <w:tcW w:w="1050" w:type="dxa"/>
            <w:noWrap/>
          </w:tcPr>
          <w:p w14:paraId="663DCBC6" w14:textId="77777777" w:rsidR="003D3694" w:rsidRPr="00747E35" w:rsidRDefault="003D3694" w:rsidP="0096743A">
            <w:pPr>
              <w:pStyle w:val="Tabletext"/>
              <w:spacing w:before="0" w:after="0"/>
              <w:rPr>
                <w:rFonts w:cstheme="minorHAnsi"/>
              </w:rPr>
            </w:pPr>
          </w:p>
        </w:tc>
        <w:tc>
          <w:tcPr>
            <w:tcW w:w="1418" w:type="dxa"/>
            <w:noWrap/>
          </w:tcPr>
          <w:p w14:paraId="6BBF46B7" w14:textId="77777777" w:rsidR="003D3694" w:rsidRPr="00747E35" w:rsidRDefault="003D3694" w:rsidP="0096743A">
            <w:pPr>
              <w:pStyle w:val="Tabletext"/>
              <w:spacing w:before="0" w:after="0"/>
              <w:rPr>
                <w:rFonts w:cstheme="minorHAnsi"/>
              </w:rPr>
            </w:pPr>
            <w:r w:rsidRPr="00747E35">
              <w:rPr>
                <w:rFonts w:cstheme="minorHAnsi"/>
              </w:rPr>
              <w:t>Trip 3</w:t>
            </w:r>
          </w:p>
        </w:tc>
        <w:tc>
          <w:tcPr>
            <w:tcW w:w="1134" w:type="dxa"/>
            <w:noWrap/>
            <w:hideMark/>
          </w:tcPr>
          <w:p w14:paraId="2408C7E1" w14:textId="77777777" w:rsidR="003D3694" w:rsidRPr="00747E35" w:rsidRDefault="003D3694" w:rsidP="0096743A">
            <w:pPr>
              <w:pStyle w:val="Tabletext"/>
              <w:spacing w:before="0" w:after="0"/>
              <w:rPr>
                <w:rFonts w:cstheme="minorHAnsi"/>
              </w:rPr>
            </w:pPr>
            <w:r w:rsidRPr="00747E35">
              <w:rPr>
                <w:rFonts w:cstheme="minorHAnsi"/>
              </w:rPr>
              <w:t>24/07/2015</w:t>
            </w:r>
          </w:p>
        </w:tc>
        <w:tc>
          <w:tcPr>
            <w:tcW w:w="1105" w:type="dxa"/>
            <w:noWrap/>
            <w:hideMark/>
          </w:tcPr>
          <w:p w14:paraId="7FE8BDB4" w14:textId="77777777" w:rsidR="003D3694" w:rsidRPr="00747E35" w:rsidRDefault="003D3694" w:rsidP="0096743A">
            <w:pPr>
              <w:pStyle w:val="Tabletext"/>
              <w:spacing w:before="0" w:after="0"/>
              <w:rPr>
                <w:rFonts w:cstheme="minorHAnsi"/>
              </w:rPr>
            </w:pPr>
            <w:r w:rsidRPr="00747E35">
              <w:rPr>
                <w:rFonts w:cstheme="minorHAnsi"/>
              </w:rPr>
              <w:t>MCP4_July15</w:t>
            </w:r>
          </w:p>
        </w:tc>
        <w:tc>
          <w:tcPr>
            <w:tcW w:w="1163" w:type="dxa"/>
            <w:noWrap/>
          </w:tcPr>
          <w:p w14:paraId="1EC2A0B9" w14:textId="77777777" w:rsidR="003D3694" w:rsidRPr="00747E35" w:rsidRDefault="003D3694" w:rsidP="0096743A">
            <w:pPr>
              <w:pStyle w:val="Tabletext"/>
              <w:spacing w:before="0" w:after="0"/>
              <w:rPr>
                <w:rFonts w:cstheme="minorHAnsi"/>
              </w:rPr>
            </w:pPr>
          </w:p>
        </w:tc>
        <w:tc>
          <w:tcPr>
            <w:tcW w:w="1559" w:type="dxa"/>
            <w:noWrap/>
            <w:hideMark/>
          </w:tcPr>
          <w:p w14:paraId="2B9C9646" w14:textId="77777777" w:rsidR="003D3694" w:rsidRPr="00747E35" w:rsidRDefault="003D3694" w:rsidP="0096743A">
            <w:pPr>
              <w:pStyle w:val="Tabletext"/>
              <w:spacing w:before="0" w:after="0"/>
              <w:rPr>
                <w:rFonts w:cstheme="minorHAnsi"/>
              </w:rPr>
            </w:pPr>
            <w:r w:rsidRPr="00747E35">
              <w:rPr>
                <w:rFonts w:cstheme="minorHAnsi"/>
              </w:rPr>
              <w:t>Neutral</w:t>
            </w:r>
          </w:p>
        </w:tc>
        <w:tc>
          <w:tcPr>
            <w:tcW w:w="951" w:type="dxa"/>
            <w:noWrap/>
            <w:hideMark/>
          </w:tcPr>
          <w:p w14:paraId="313DD6B2" w14:textId="77777777" w:rsidR="003D3694" w:rsidRPr="00747E35" w:rsidRDefault="003D3694" w:rsidP="0096743A">
            <w:pPr>
              <w:pStyle w:val="Tabletext"/>
              <w:spacing w:before="0" w:after="0"/>
              <w:rPr>
                <w:rFonts w:cstheme="minorHAnsi"/>
              </w:rPr>
            </w:pPr>
            <w:r w:rsidRPr="00747E35">
              <w:rPr>
                <w:rFonts w:cstheme="minorHAnsi"/>
              </w:rPr>
              <w:t>3</w:t>
            </w:r>
          </w:p>
        </w:tc>
        <w:tc>
          <w:tcPr>
            <w:tcW w:w="1027" w:type="dxa"/>
            <w:noWrap/>
            <w:hideMark/>
          </w:tcPr>
          <w:p w14:paraId="2C622748" w14:textId="77777777" w:rsidR="003D3694" w:rsidRPr="00747E35" w:rsidRDefault="003D3694" w:rsidP="0096743A">
            <w:pPr>
              <w:pStyle w:val="Tabletext"/>
              <w:spacing w:before="0" w:after="0"/>
              <w:rPr>
                <w:rFonts w:cstheme="minorHAnsi"/>
              </w:rPr>
            </w:pPr>
            <w:r w:rsidRPr="00747E35">
              <w:rPr>
                <w:rFonts w:cstheme="minorHAnsi"/>
              </w:rPr>
              <w:t> </w:t>
            </w:r>
          </w:p>
        </w:tc>
      </w:tr>
      <w:tr w:rsidR="003D3694" w:rsidRPr="00747E35" w14:paraId="4BBC8142" w14:textId="77777777" w:rsidTr="0096743A">
        <w:trPr>
          <w:trHeight w:val="288"/>
        </w:trPr>
        <w:tc>
          <w:tcPr>
            <w:tcW w:w="1050" w:type="dxa"/>
            <w:noWrap/>
          </w:tcPr>
          <w:p w14:paraId="5D8941CD" w14:textId="77777777" w:rsidR="003D3694" w:rsidRPr="00747E35" w:rsidRDefault="003D3694" w:rsidP="0096743A">
            <w:pPr>
              <w:pStyle w:val="Tabletext"/>
              <w:spacing w:before="0" w:after="0"/>
              <w:rPr>
                <w:rFonts w:cstheme="minorHAnsi"/>
              </w:rPr>
            </w:pPr>
          </w:p>
        </w:tc>
        <w:tc>
          <w:tcPr>
            <w:tcW w:w="1418" w:type="dxa"/>
            <w:noWrap/>
          </w:tcPr>
          <w:p w14:paraId="75AE2B0A" w14:textId="77777777" w:rsidR="003D3694" w:rsidRPr="00747E35" w:rsidRDefault="003D3694" w:rsidP="0096743A">
            <w:pPr>
              <w:pStyle w:val="Tabletext"/>
              <w:spacing w:before="0" w:after="0"/>
              <w:rPr>
                <w:rFonts w:cstheme="minorHAnsi"/>
              </w:rPr>
            </w:pPr>
            <w:r w:rsidRPr="00747E35">
              <w:rPr>
                <w:rFonts w:cstheme="minorHAnsi"/>
              </w:rPr>
              <w:t>Trip 6 (R1)</w:t>
            </w:r>
          </w:p>
        </w:tc>
        <w:tc>
          <w:tcPr>
            <w:tcW w:w="1134" w:type="dxa"/>
            <w:noWrap/>
            <w:hideMark/>
          </w:tcPr>
          <w:p w14:paraId="35B6091B" w14:textId="77777777" w:rsidR="003D3694" w:rsidRPr="00747E35" w:rsidRDefault="003D3694" w:rsidP="0096743A">
            <w:pPr>
              <w:pStyle w:val="Tabletext"/>
              <w:spacing w:before="0" w:after="0"/>
              <w:rPr>
                <w:rFonts w:cstheme="minorHAnsi"/>
              </w:rPr>
            </w:pPr>
            <w:r w:rsidRPr="00747E35">
              <w:rPr>
                <w:rFonts w:cstheme="minorHAnsi"/>
              </w:rPr>
              <w:t>14/10/2015</w:t>
            </w:r>
          </w:p>
        </w:tc>
        <w:tc>
          <w:tcPr>
            <w:tcW w:w="1105" w:type="dxa"/>
            <w:noWrap/>
            <w:hideMark/>
          </w:tcPr>
          <w:p w14:paraId="23882EFF" w14:textId="77777777" w:rsidR="003D3694" w:rsidRPr="00747E35" w:rsidRDefault="003D3694" w:rsidP="0096743A">
            <w:pPr>
              <w:pStyle w:val="Tabletext"/>
              <w:spacing w:before="0" w:after="0"/>
              <w:rPr>
                <w:rFonts w:cstheme="minorHAnsi"/>
              </w:rPr>
            </w:pPr>
            <w:r w:rsidRPr="00747E35">
              <w:rPr>
                <w:rFonts w:cstheme="minorHAnsi"/>
              </w:rPr>
              <w:t>MCP4_Oct15</w:t>
            </w:r>
          </w:p>
        </w:tc>
        <w:tc>
          <w:tcPr>
            <w:tcW w:w="1163" w:type="dxa"/>
            <w:noWrap/>
          </w:tcPr>
          <w:p w14:paraId="3A7FAC7A" w14:textId="77777777" w:rsidR="003D3694" w:rsidRPr="00747E35" w:rsidRDefault="003D3694" w:rsidP="0096743A">
            <w:pPr>
              <w:pStyle w:val="Tabletext"/>
              <w:spacing w:before="0" w:after="0"/>
              <w:rPr>
                <w:rFonts w:cstheme="minorHAnsi"/>
              </w:rPr>
            </w:pPr>
          </w:p>
        </w:tc>
        <w:tc>
          <w:tcPr>
            <w:tcW w:w="1559" w:type="dxa"/>
            <w:noWrap/>
            <w:hideMark/>
          </w:tcPr>
          <w:p w14:paraId="4F0894DE" w14:textId="77777777" w:rsidR="003D3694" w:rsidRPr="00747E35" w:rsidRDefault="003D3694" w:rsidP="0096743A">
            <w:pPr>
              <w:pStyle w:val="Tabletext"/>
              <w:spacing w:before="0" w:after="0"/>
              <w:rPr>
                <w:rFonts w:cstheme="minorHAnsi"/>
              </w:rPr>
            </w:pPr>
            <w:r w:rsidRPr="00747E35">
              <w:rPr>
                <w:rFonts w:cstheme="minorHAnsi"/>
              </w:rPr>
              <w:t>Neutral-DW</w:t>
            </w:r>
          </w:p>
        </w:tc>
        <w:tc>
          <w:tcPr>
            <w:tcW w:w="951" w:type="dxa"/>
            <w:noWrap/>
            <w:hideMark/>
          </w:tcPr>
          <w:p w14:paraId="1743EC9B" w14:textId="77777777" w:rsidR="003D3694" w:rsidRPr="00747E35" w:rsidRDefault="003D3694" w:rsidP="0096743A">
            <w:pPr>
              <w:pStyle w:val="Tabletext"/>
              <w:spacing w:before="0" w:after="0"/>
              <w:rPr>
                <w:rFonts w:cstheme="minorHAnsi"/>
              </w:rPr>
            </w:pPr>
            <w:r w:rsidRPr="00747E35">
              <w:rPr>
                <w:rFonts w:cstheme="minorHAnsi"/>
              </w:rPr>
              <w:t>3</w:t>
            </w:r>
          </w:p>
        </w:tc>
        <w:tc>
          <w:tcPr>
            <w:tcW w:w="1027" w:type="dxa"/>
            <w:noWrap/>
            <w:hideMark/>
          </w:tcPr>
          <w:p w14:paraId="23D8B5A0" w14:textId="77777777" w:rsidR="003D3694" w:rsidRPr="00747E35" w:rsidRDefault="003D3694" w:rsidP="0096743A">
            <w:pPr>
              <w:pStyle w:val="Tabletext"/>
              <w:spacing w:before="0" w:after="0"/>
              <w:rPr>
                <w:rFonts w:cstheme="minorHAnsi"/>
              </w:rPr>
            </w:pPr>
            <w:r w:rsidRPr="00747E35">
              <w:rPr>
                <w:rFonts w:cstheme="minorHAnsi"/>
              </w:rPr>
              <w:t>see also P5</w:t>
            </w:r>
          </w:p>
        </w:tc>
      </w:tr>
      <w:tr w:rsidR="003D3694" w:rsidRPr="00747E35" w14:paraId="69B3A83F" w14:textId="77777777" w:rsidTr="0096743A">
        <w:trPr>
          <w:trHeight w:val="288"/>
        </w:trPr>
        <w:tc>
          <w:tcPr>
            <w:tcW w:w="1050" w:type="dxa"/>
            <w:noWrap/>
          </w:tcPr>
          <w:p w14:paraId="19B79B6B" w14:textId="77777777" w:rsidR="003D3694" w:rsidRPr="00747E35" w:rsidRDefault="003D3694" w:rsidP="0096743A">
            <w:pPr>
              <w:pStyle w:val="Tabletext"/>
              <w:spacing w:before="0" w:after="0"/>
              <w:rPr>
                <w:rFonts w:cstheme="minorHAnsi"/>
              </w:rPr>
            </w:pPr>
          </w:p>
        </w:tc>
        <w:tc>
          <w:tcPr>
            <w:tcW w:w="1418" w:type="dxa"/>
            <w:noWrap/>
          </w:tcPr>
          <w:p w14:paraId="33D21490" w14:textId="77777777" w:rsidR="003D3694" w:rsidRPr="00747E35" w:rsidRDefault="003D3694" w:rsidP="0096743A">
            <w:pPr>
              <w:pStyle w:val="Tabletext"/>
              <w:spacing w:before="0" w:after="0"/>
              <w:rPr>
                <w:rFonts w:cstheme="minorHAnsi"/>
              </w:rPr>
            </w:pPr>
            <w:r w:rsidRPr="00747E35">
              <w:rPr>
                <w:rFonts w:cstheme="minorHAnsi"/>
              </w:rPr>
              <w:t>Trip 8 (R2)</w:t>
            </w:r>
          </w:p>
        </w:tc>
        <w:tc>
          <w:tcPr>
            <w:tcW w:w="1134" w:type="dxa"/>
            <w:noWrap/>
            <w:hideMark/>
          </w:tcPr>
          <w:p w14:paraId="1D6BB719" w14:textId="77777777" w:rsidR="003D3694" w:rsidRPr="00747E35" w:rsidRDefault="003D3694" w:rsidP="0096743A">
            <w:pPr>
              <w:pStyle w:val="Tabletext"/>
              <w:spacing w:before="0" w:after="0"/>
              <w:rPr>
                <w:rFonts w:cstheme="minorHAnsi"/>
              </w:rPr>
            </w:pPr>
            <w:r w:rsidRPr="00747E35">
              <w:rPr>
                <w:rFonts w:cstheme="minorHAnsi"/>
              </w:rPr>
              <w:t>25/02/2016</w:t>
            </w:r>
          </w:p>
        </w:tc>
        <w:tc>
          <w:tcPr>
            <w:tcW w:w="1105" w:type="dxa"/>
            <w:noWrap/>
            <w:hideMark/>
          </w:tcPr>
          <w:p w14:paraId="485C0B4E" w14:textId="77777777" w:rsidR="003D3694" w:rsidRPr="00747E35" w:rsidRDefault="003D3694" w:rsidP="0096743A">
            <w:pPr>
              <w:pStyle w:val="Tabletext"/>
              <w:spacing w:before="0" w:after="0"/>
              <w:rPr>
                <w:rFonts w:cstheme="minorHAnsi"/>
              </w:rPr>
            </w:pPr>
            <w:r w:rsidRPr="00747E35">
              <w:rPr>
                <w:rFonts w:cstheme="minorHAnsi"/>
              </w:rPr>
              <w:t>MCP4_Feb16</w:t>
            </w:r>
          </w:p>
        </w:tc>
        <w:tc>
          <w:tcPr>
            <w:tcW w:w="1163" w:type="dxa"/>
            <w:noWrap/>
          </w:tcPr>
          <w:p w14:paraId="0E2A8548" w14:textId="77777777" w:rsidR="003D3694" w:rsidRPr="00747E35" w:rsidRDefault="003D3694" w:rsidP="0096743A">
            <w:pPr>
              <w:pStyle w:val="Tabletext"/>
              <w:spacing w:before="0" w:after="0"/>
              <w:rPr>
                <w:rFonts w:cstheme="minorHAnsi"/>
              </w:rPr>
            </w:pPr>
          </w:p>
        </w:tc>
        <w:tc>
          <w:tcPr>
            <w:tcW w:w="1559" w:type="dxa"/>
            <w:noWrap/>
            <w:hideMark/>
          </w:tcPr>
          <w:p w14:paraId="1047DBBF" w14:textId="77777777" w:rsidR="003D3694" w:rsidRPr="00747E35" w:rsidRDefault="003D3694" w:rsidP="0096743A">
            <w:pPr>
              <w:pStyle w:val="Tabletext"/>
              <w:spacing w:before="0" w:after="0"/>
              <w:rPr>
                <w:rFonts w:cstheme="minorHAnsi"/>
              </w:rPr>
            </w:pPr>
            <w:r w:rsidRPr="00747E35">
              <w:rPr>
                <w:rFonts w:cstheme="minorHAnsi"/>
              </w:rPr>
              <w:t>Dry</w:t>
            </w:r>
          </w:p>
        </w:tc>
        <w:tc>
          <w:tcPr>
            <w:tcW w:w="951" w:type="dxa"/>
            <w:noWrap/>
            <w:hideMark/>
          </w:tcPr>
          <w:p w14:paraId="2FC5F7E5" w14:textId="77777777" w:rsidR="003D3694" w:rsidRPr="00747E35" w:rsidRDefault="003D3694" w:rsidP="0096743A">
            <w:pPr>
              <w:pStyle w:val="Tabletext"/>
              <w:spacing w:before="0" w:after="0"/>
              <w:rPr>
                <w:rFonts w:cstheme="minorHAnsi"/>
              </w:rPr>
            </w:pPr>
            <w:r w:rsidRPr="00747E35">
              <w:rPr>
                <w:rFonts w:cstheme="minorHAnsi"/>
              </w:rPr>
              <w:t>0</w:t>
            </w:r>
          </w:p>
        </w:tc>
        <w:tc>
          <w:tcPr>
            <w:tcW w:w="1027" w:type="dxa"/>
            <w:noWrap/>
            <w:hideMark/>
          </w:tcPr>
          <w:p w14:paraId="58C3C6EF" w14:textId="77777777" w:rsidR="003D3694" w:rsidRPr="00747E35" w:rsidRDefault="003D3694" w:rsidP="0096743A">
            <w:pPr>
              <w:pStyle w:val="Tabletext"/>
              <w:spacing w:before="0" w:after="0"/>
              <w:rPr>
                <w:rFonts w:cstheme="minorHAnsi"/>
              </w:rPr>
            </w:pPr>
            <w:r w:rsidRPr="00747E35">
              <w:rPr>
                <w:rFonts w:cstheme="minorHAnsi"/>
              </w:rPr>
              <w:t xml:space="preserve">Dry </w:t>
            </w:r>
          </w:p>
        </w:tc>
      </w:tr>
      <w:tr w:rsidR="003D3694" w:rsidRPr="00747E35" w14:paraId="7F71930C" w14:textId="77777777" w:rsidTr="0096743A">
        <w:trPr>
          <w:trHeight w:val="288"/>
        </w:trPr>
        <w:tc>
          <w:tcPr>
            <w:tcW w:w="1050" w:type="dxa"/>
            <w:noWrap/>
          </w:tcPr>
          <w:p w14:paraId="2C4A6888" w14:textId="77777777" w:rsidR="003D3694" w:rsidRPr="00747E35" w:rsidRDefault="003D3694" w:rsidP="0096743A">
            <w:pPr>
              <w:pStyle w:val="Tabletext"/>
              <w:spacing w:before="0" w:after="0"/>
              <w:rPr>
                <w:rFonts w:cstheme="minorHAnsi"/>
              </w:rPr>
            </w:pPr>
          </w:p>
        </w:tc>
        <w:tc>
          <w:tcPr>
            <w:tcW w:w="1418" w:type="dxa"/>
            <w:noWrap/>
          </w:tcPr>
          <w:p w14:paraId="3D98F59C" w14:textId="77777777" w:rsidR="003D3694" w:rsidRPr="00747E35" w:rsidRDefault="003D3694" w:rsidP="0096743A">
            <w:pPr>
              <w:pStyle w:val="Tabletext"/>
              <w:spacing w:before="0" w:after="0"/>
              <w:rPr>
                <w:rFonts w:cstheme="minorHAnsi"/>
              </w:rPr>
            </w:pPr>
            <w:r w:rsidRPr="00747E35">
              <w:rPr>
                <w:rFonts w:cstheme="minorHAnsi"/>
              </w:rPr>
              <w:t xml:space="preserve">Trip 5 </w:t>
            </w:r>
          </w:p>
        </w:tc>
        <w:tc>
          <w:tcPr>
            <w:tcW w:w="1134" w:type="dxa"/>
            <w:noWrap/>
            <w:hideMark/>
          </w:tcPr>
          <w:p w14:paraId="30133119" w14:textId="77777777" w:rsidR="003D3694" w:rsidRPr="00747E35" w:rsidRDefault="003D3694" w:rsidP="0096743A">
            <w:pPr>
              <w:pStyle w:val="Tabletext"/>
              <w:spacing w:before="0" w:after="0"/>
              <w:rPr>
                <w:rFonts w:cstheme="minorHAnsi"/>
              </w:rPr>
            </w:pPr>
            <w:r w:rsidRPr="00747E35">
              <w:rPr>
                <w:rFonts w:cstheme="minorHAnsi"/>
              </w:rPr>
              <w:t>16/09/2015</w:t>
            </w:r>
          </w:p>
        </w:tc>
        <w:tc>
          <w:tcPr>
            <w:tcW w:w="1105" w:type="dxa"/>
            <w:noWrap/>
            <w:hideMark/>
          </w:tcPr>
          <w:p w14:paraId="6B4F543C" w14:textId="77777777" w:rsidR="003D3694" w:rsidRPr="00747E35" w:rsidRDefault="003D3694" w:rsidP="0096743A">
            <w:pPr>
              <w:pStyle w:val="Tabletext"/>
              <w:spacing w:before="0" w:after="0"/>
              <w:rPr>
                <w:rFonts w:cstheme="minorHAnsi"/>
              </w:rPr>
            </w:pPr>
            <w:r w:rsidRPr="00747E35">
              <w:rPr>
                <w:rFonts w:cstheme="minorHAnsi"/>
              </w:rPr>
              <w:t>MCP5_Sept15</w:t>
            </w:r>
          </w:p>
        </w:tc>
        <w:tc>
          <w:tcPr>
            <w:tcW w:w="1163" w:type="dxa"/>
            <w:noWrap/>
          </w:tcPr>
          <w:p w14:paraId="5D5F7EED" w14:textId="77777777" w:rsidR="003D3694" w:rsidRPr="00747E35" w:rsidRDefault="003D3694" w:rsidP="0096743A">
            <w:pPr>
              <w:pStyle w:val="Tabletext"/>
              <w:spacing w:before="0" w:after="0"/>
              <w:rPr>
                <w:rFonts w:cstheme="minorHAnsi"/>
              </w:rPr>
            </w:pPr>
          </w:p>
        </w:tc>
        <w:tc>
          <w:tcPr>
            <w:tcW w:w="1559" w:type="dxa"/>
            <w:noWrap/>
            <w:hideMark/>
          </w:tcPr>
          <w:p w14:paraId="33953120" w14:textId="77777777" w:rsidR="003D3694" w:rsidRPr="00747E35" w:rsidRDefault="003D3694" w:rsidP="0096743A">
            <w:pPr>
              <w:pStyle w:val="Tabletext"/>
              <w:spacing w:before="0" w:after="0"/>
              <w:rPr>
                <w:rFonts w:cstheme="minorHAnsi"/>
              </w:rPr>
            </w:pPr>
            <w:r w:rsidRPr="00747E35">
              <w:rPr>
                <w:rFonts w:cstheme="minorHAnsi"/>
              </w:rPr>
              <w:t>UW</w:t>
            </w:r>
          </w:p>
        </w:tc>
        <w:tc>
          <w:tcPr>
            <w:tcW w:w="951" w:type="dxa"/>
            <w:noWrap/>
            <w:hideMark/>
          </w:tcPr>
          <w:p w14:paraId="7D8A6918" w14:textId="77777777" w:rsidR="003D3694" w:rsidRPr="00747E35" w:rsidRDefault="003D3694" w:rsidP="0096743A">
            <w:pPr>
              <w:pStyle w:val="Tabletext"/>
              <w:spacing w:before="0" w:after="0"/>
              <w:rPr>
                <w:rFonts w:cstheme="minorHAnsi"/>
              </w:rPr>
            </w:pPr>
            <w:r w:rsidRPr="00747E35">
              <w:rPr>
                <w:rFonts w:cstheme="minorHAnsi"/>
              </w:rPr>
              <w:t>4</w:t>
            </w:r>
          </w:p>
        </w:tc>
        <w:tc>
          <w:tcPr>
            <w:tcW w:w="1027" w:type="dxa"/>
            <w:noWrap/>
            <w:hideMark/>
          </w:tcPr>
          <w:p w14:paraId="41EEC111" w14:textId="77777777" w:rsidR="003D3694" w:rsidRPr="00747E35" w:rsidRDefault="003D3694" w:rsidP="0096743A">
            <w:pPr>
              <w:pStyle w:val="Tabletext"/>
              <w:spacing w:before="0" w:after="0"/>
              <w:rPr>
                <w:rFonts w:cstheme="minorHAnsi"/>
              </w:rPr>
            </w:pPr>
            <w:r w:rsidRPr="00747E35">
              <w:rPr>
                <w:rFonts w:cstheme="minorHAnsi"/>
              </w:rPr>
              <w:t> </w:t>
            </w:r>
          </w:p>
        </w:tc>
      </w:tr>
      <w:tr w:rsidR="003D3694" w:rsidRPr="00747E35" w14:paraId="16E2529C" w14:textId="77777777" w:rsidTr="0096743A">
        <w:trPr>
          <w:trHeight w:val="288"/>
        </w:trPr>
        <w:tc>
          <w:tcPr>
            <w:tcW w:w="1050" w:type="dxa"/>
            <w:noWrap/>
          </w:tcPr>
          <w:p w14:paraId="43232673" w14:textId="77777777" w:rsidR="003D3694" w:rsidRPr="00747E35" w:rsidRDefault="003D3694" w:rsidP="0096743A">
            <w:pPr>
              <w:pStyle w:val="Tabletext"/>
              <w:spacing w:before="0" w:after="0"/>
              <w:rPr>
                <w:rFonts w:cstheme="minorHAnsi"/>
              </w:rPr>
            </w:pPr>
          </w:p>
        </w:tc>
        <w:tc>
          <w:tcPr>
            <w:tcW w:w="1418" w:type="dxa"/>
            <w:noWrap/>
          </w:tcPr>
          <w:p w14:paraId="3686E39E" w14:textId="77777777" w:rsidR="003D3694" w:rsidRPr="00747E35" w:rsidRDefault="003D3694" w:rsidP="0096743A">
            <w:pPr>
              <w:pStyle w:val="Tabletext"/>
              <w:spacing w:before="0" w:after="0"/>
              <w:rPr>
                <w:rFonts w:cstheme="minorHAnsi"/>
              </w:rPr>
            </w:pPr>
            <w:r w:rsidRPr="00747E35">
              <w:rPr>
                <w:rFonts w:cstheme="minorHAnsi"/>
              </w:rPr>
              <w:t>Trip 8 (R2)</w:t>
            </w:r>
          </w:p>
        </w:tc>
        <w:tc>
          <w:tcPr>
            <w:tcW w:w="1134" w:type="dxa"/>
            <w:noWrap/>
            <w:hideMark/>
          </w:tcPr>
          <w:p w14:paraId="6FD6F611" w14:textId="77777777" w:rsidR="003D3694" w:rsidRPr="00747E35" w:rsidRDefault="003D3694" w:rsidP="0096743A">
            <w:pPr>
              <w:pStyle w:val="Tabletext"/>
              <w:spacing w:before="0" w:after="0"/>
              <w:rPr>
                <w:rFonts w:cstheme="minorHAnsi"/>
              </w:rPr>
            </w:pPr>
            <w:r w:rsidRPr="00747E35">
              <w:rPr>
                <w:rFonts w:cstheme="minorHAnsi"/>
              </w:rPr>
              <w:t>25/02/2016</w:t>
            </w:r>
          </w:p>
        </w:tc>
        <w:tc>
          <w:tcPr>
            <w:tcW w:w="1105" w:type="dxa"/>
            <w:noWrap/>
            <w:hideMark/>
          </w:tcPr>
          <w:p w14:paraId="24AAE9EE" w14:textId="77777777" w:rsidR="003D3694" w:rsidRPr="00747E35" w:rsidRDefault="003D3694" w:rsidP="0096743A">
            <w:pPr>
              <w:pStyle w:val="Tabletext"/>
              <w:spacing w:before="0" w:after="0"/>
              <w:rPr>
                <w:rFonts w:cstheme="minorHAnsi"/>
              </w:rPr>
            </w:pPr>
            <w:r w:rsidRPr="00747E35">
              <w:rPr>
                <w:rFonts w:cstheme="minorHAnsi"/>
              </w:rPr>
              <w:t>MCP5_Feb16</w:t>
            </w:r>
          </w:p>
        </w:tc>
        <w:tc>
          <w:tcPr>
            <w:tcW w:w="1163" w:type="dxa"/>
            <w:noWrap/>
          </w:tcPr>
          <w:p w14:paraId="4BDD1DC3" w14:textId="77777777" w:rsidR="003D3694" w:rsidRPr="00747E35" w:rsidRDefault="003D3694" w:rsidP="0096743A">
            <w:pPr>
              <w:pStyle w:val="Tabletext"/>
              <w:spacing w:before="0" w:after="0"/>
              <w:rPr>
                <w:rFonts w:cstheme="minorHAnsi"/>
              </w:rPr>
            </w:pPr>
          </w:p>
        </w:tc>
        <w:tc>
          <w:tcPr>
            <w:tcW w:w="1559" w:type="dxa"/>
            <w:noWrap/>
            <w:hideMark/>
          </w:tcPr>
          <w:p w14:paraId="7CCB948F" w14:textId="77777777" w:rsidR="003D3694" w:rsidRPr="00747E35" w:rsidRDefault="003D3694" w:rsidP="0096743A">
            <w:pPr>
              <w:pStyle w:val="Tabletext"/>
              <w:spacing w:before="0" w:after="0"/>
              <w:rPr>
                <w:rFonts w:cstheme="minorHAnsi"/>
              </w:rPr>
            </w:pPr>
            <w:r w:rsidRPr="00747E35">
              <w:rPr>
                <w:rFonts w:cstheme="minorHAnsi"/>
              </w:rPr>
              <w:t>Dry</w:t>
            </w:r>
          </w:p>
        </w:tc>
        <w:tc>
          <w:tcPr>
            <w:tcW w:w="951" w:type="dxa"/>
            <w:noWrap/>
            <w:hideMark/>
          </w:tcPr>
          <w:p w14:paraId="290F202C" w14:textId="77777777" w:rsidR="003D3694" w:rsidRPr="00747E35" w:rsidRDefault="003D3694" w:rsidP="0096743A">
            <w:pPr>
              <w:pStyle w:val="Tabletext"/>
              <w:spacing w:before="0" w:after="0"/>
              <w:rPr>
                <w:rFonts w:cstheme="minorHAnsi"/>
              </w:rPr>
            </w:pPr>
            <w:r w:rsidRPr="00747E35">
              <w:rPr>
                <w:rFonts w:cstheme="minorHAnsi"/>
              </w:rPr>
              <w:t>4</w:t>
            </w:r>
          </w:p>
        </w:tc>
        <w:tc>
          <w:tcPr>
            <w:tcW w:w="1027" w:type="dxa"/>
            <w:noWrap/>
            <w:hideMark/>
          </w:tcPr>
          <w:p w14:paraId="4451F2F4" w14:textId="77777777" w:rsidR="003D3694" w:rsidRPr="00747E35" w:rsidRDefault="003D3694" w:rsidP="0096743A">
            <w:pPr>
              <w:pStyle w:val="Tabletext"/>
              <w:spacing w:before="0" w:after="0"/>
              <w:rPr>
                <w:rFonts w:cstheme="minorHAnsi"/>
              </w:rPr>
            </w:pPr>
            <w:r w:rsidRPr="00747E35">
              <w:rPr>
                <w:rFonts w:cstheme="minorHAnsi"/>
              </w:rPr>
              <w:t xml:space="preserve">Dry </w:t>
            </w:r>
          </w:p>
        </w:tc>
      </w:tr>
      <w:tr w:rsidR="003D3694" w:rsidRPr="00747E35" w14:paraId="1CDCA4DA" w14:textId="77777777" w:rsidTr="0096743A">
        <w:trPr>
          <w:trHeight w:val="288"/>
        </w:trPr>
        <w:tc>
          <w:tcPr>
            <w:tcW w:w="1050" w:type="dxa"/>
            <w:noWrap/>
          </w:tcPr>
          <w:p w14:paraId="0387E798" w14:textId="77777777" w:rsidR="003D3694" w:rsidRPr="00747E35" w:rsidRDefault="003D3694" w:rsidP="0096743A">
            <w:pPr>
              <w:pStyle w:val="Tabletext"/>
              <w:spacing w:before="0" w:after="0"/>
              <w:rPr>
                <w:rFonts w:cstheme="minorHAnsi"/>
              </w:rPr>
            </w:pPr>
          </w:p>
        </w:tc>
        <w:tc>
          <w:tcPr>
            <w:tcW w:w="1418" w:type="dxa"/>
            <w:noWrap/>
          </w:tcPr>
          <w:p w14:paraId="0FCC592F" w14:textId="77777777" w:rsidR="003D3694" w:rsidRPr="00747E35" w:rsidRDefault="003D3694" w:rsidP="0096743A">
            <w:pPr>
              <w:pStyle w:val="Tabletext"/>
              <w:spacing w:before="0" w:after="0"/>
              <w:rPr>
                <w:rFonts w:cstheme="minorHAnsi"/>
              </w:rPr>
            </w:pPr>
            <w:r w:rsidRPr="00747E35">
              <w:rPr>
                <w:rFonts w:cstheme="minorHAnsi"/>
              </w:rPr>
              <w:t>Trip 6 (R1)</w:t>
            </w:r>
          </w:p>
        </w:tc>
        <w:tc>
          <w:tcPr>
            <w:tcW w:w="1134" w:type="dxa"/>
            <w:noWrap/>
            <w:hideMark/>
          </w:tcPr>
          <w:p w14:paraId="2D8624EF" w14:textId="77777777" w:rsidR="003D3694" w:rsidRPr="00747E35" w:rsidRDefault="003D3694" w:rsidP="0096743A">
            <w:pPr>
              <w:pStyle w:val="Tabletext"/>
              <w:spacing w:before="0" w:after="0"/>
              <w:rPr>
                <w:rFonts w:cstheme="minorHAnsi"/>
              </w:rPr>
            </w:pPr>
            <w:r w:rsidRPr="00747E35">
              <w:rPr>
                <w:rFonts w:cstheme="minorHAnsi"/>
              </w:rPr>
              <w:t>15/10/2015</w:t>
            </w:r>
          </w:p>
        </w:tc>
        <w:tc>
          <w:tcPr>
            <w:tcW w:w="1105" w:type="dxa"/>
            <w:noWrap/>
            <w:hideMark/>
          </w:tcPr>
          <w:p w14:paraId="0E43BBE5" w14:textId="77777777" w:rsidR="003D3694" w:rsidRPr="00747E35" w:rsidRDefault="003D3694" w:rsidP="0096743A">
            <w:pPr>
              <w:pStyle w:val="Tabletext"/>
              <w:spacing w:before="0" w:after="0"/>
              <w:rPr>
                <w:rFonts w:cstheme="minorHAnsi"/>
              </w:rPr>
            </w:pPr>
            <w:r w:rsidRPr="00747E35">
              <w:rPr>
                <w:rFonts w:cstheme="minorHAnsi"/>
              </w:rPr>
              <w:t>MCP5_Oct15</w:t>
            </w:r>
          </w:p>
        </w:tc>
        <w:tc>
          <w:tcPr>
            <w:tcW w:w="1163" w:type="dxa"/>
            <w:noWrap/>
          </w:tcPr>
          <w:p w14:paraId="578BF637" w14:textId="77777777" w:rsidR="003D3694" w:rsidRPr="00747E35" w:rsidRDefault="003D3694" w:rsidP="0096743A">
            <w:pPr>
              <w:pStyle w:val="Tabletext"/>
              <w:spacing w:before="0" w:after="0"/>
              <w:rPr>
                <w:rFonts w:cstheme="minorHAnsi"/>
              </w:rPr>
            </w:pPr>
          </w:p>
        </w:tc>
        <w:tc>
          <w:tcPr>
            <w:tcW w:w="1559" w:type="dxa"/>
            <w:noWrap/>
            <w:hideMark/>
          </w:tcPr>
          <w:p w14:paraId="2F717466" w14:textId="77777777" w:rsidR="003D3694" w:rsidRPr="00747E35" w:rsidRDefault="003D3694" w:rsidP="0096743A">
            <w:pPr>
              <w:pStyle w:val="Tabletext"/>
              <w:spacing w:before="0" w:after="0"/>
              <w:rPr>
                <w:rFonts w:cstheme="minorHAnsi"/>
              </w:rPr>
            </w:pPr>
            <w:r w:rsidRPr="00747E35">
              <w:rPr>
                <w:rFonts w:cstheme="minorHAnsi"/>
              </w:rPr>
              <w:t>Neutral</w:t>
            </w:r>
          </w:p>
        </w:tc>
        <w:tc>
          <w:tcPr>
            <w:tcW w:w="951" w:type="dxa"/>
            <w:noWrap/>
            <w:hideMark/>
          </w:tcPr>
          <w:p w14:paraId="2E8B2D6B" w14:textId="77777777" w:rsidR="003D3694" w:rsidRPr="00747E35" w:rsidRDefault="003D3694" w:rsidP="0096743A">
            <w:pPr>
              <w:pStyle w:val="Tabletext"/>
              <w:spacing w:before="0" w:after="0"/>
              <w:rPr>
                <w:rFonts w:cstheme="minorHAnsi"/>
              </w:rPr>
            </w:pPr>
            <w:r w:rsidRPr="00747E35">
              <w:rPr>
                <w:rFonts w:cstheme="minorHAnsi"/>
              </w:rPr>
              <w:t>2</w:t>
            </w:r>
          </w:p>
        </w:tc>
        <w:tc>
          <w:tcPr>
            <w:tcW w:w="1027" w:type="dxa"/>
            <w:noWrap/>
            <w:hideMark/>
          </w:tcPr>
          <w:p w14:paraId="2C5A3CD6" w14:textId="77777777" w:rsidR="003D3694" w:rsidRPr="00747E35" w:rsidRDefault="003D3694" w:rsidP="0096743A">
            <w:pPr>
              <w:pStyle w:val="Tabletext"/>
              <w:spacing w:before="0" w:after="0"/>
              <w:rPr>
                <w:rFonts w:cstheme="minorHAnsi"/>
              </w:rPr>
            </w:pPr>
            <w:r w:rsidRPr="00747E35">
              <w:rPr>
                <w:rFonts w:cstheme="minorHAnsi"/>
              </w:rPr>
              <w:t>see also P4</w:t>
            </w:r>
          </w:p>
        </w:tc>
      </w:tr>
      <w:tr w:rsidR="003D3694" w:rsidRPr="00747E35" w14:paraId="0E65C195" w14:textId="77777777" w:rsidTr="0096743A">
        <w:trPr>
          <w:trHeight w:val="288"/>
        </w:trPr>
        <w:tc>
          <w:tcPr>
            <w:tcW w:w="1050" w:type="dxa"/>
            <w:noWrap/>
          </w:tcPr>
          <w:p w14:paraId="57AD0122" w14:textId="77777777" w:rsidR="003D3694" w:rsidRPr="00747E35" w:rsidRDefault="003D3694" w:rsidP="0096743A">
            <w:pPr>
              <w:pStyle w:val="Tabletext"/>
              <w:spacing w:before="0" w:after="0"/>
              <w:rPr>
                <w:rFonts w:cstheme="minorHAnsi"/>
              </w:rPr>
            </w:pPr>
          </w:p>
        </w:tc>
        <w:tc>
          <w:tcPr>
            <w:tcW w:w="1418" w:type="dxa"/>
            <w:noWrap/>
          </w:tcPr>
          <w:p w14:paraId="23114933" w14:textId="77777777" w:rsidR="003D3694" w:rsidRPr="00747E35" w:rsidRDefault="003D3694" w:rsidP="0096743A">
            <w:pPr>
              <w:pStyle w:val="Tabletext"/>
              <w:spacing w:before="0" w:after="0"/>
              <w:rPr>
                <w:rFonts w:cstheme="minorHAnsi"/>
              </w:rPr>
            </w:pPr>
            <w:r w:rsidRPr="00747E35">
              <w:rPr>
                <w:rFonts w:cstheme="minorHAnsi"/>
              </w:rPr>
              <w:t>Trip 8 (R2)</w:t>
            </w:r>
          </w:p>
        </w:tc>
        <w:tc>
          <w:tcPr>
            <w:tcW w:w="1134" w:type="dxa"/>
            <w:noWrap/>
            <w:hideMark/>
          </w:tcPr>
          <w:p w14:paraId="6931E6D1" w14:textId="77777777" w:rsidR="003D3694" w:rsidRPr="00747E35" w:rsidRDefault="003D3694" w:rsidP="0096743A">
            <w:pPr>
              <w:pStyle w:val="Tabletext"/>
              <w:spacing w:before="0" w:after="0"/>
              <w:rPr>
                <w:rFonts w:cstheme="minorHAnsi"/>
              </w:rPr>
            </w:pPr>
            <w:r w:rsidRPr="00747E35">
              <w:rPr>
                <w:rFonts w:cstheme="minorHAnsi"/>
              </w:rPr>
              <w:t>25/02/2016</w:t>
            </w:r>
          </w:p>
        </w:tc>
        <w:tc>
          <w:tcPr>
            <w:tcW w:w="1105" w:type="dxa"/>
            <w:noWrap/>
            <w:hideMark/>
          </w:tcPr>
          <w:p w14:paraId="3A70D018" w14:textId="77777777" w:rsidR="003D3694" w:rsidRPr="00747E35" w:rsidRDefault="003D3694" w:rsidP="0096743A">
            <w:pPr>
              <w:pStyle w:val="Tabletext"/>
              <w:spacing w:before="0" w:after="0"/>
              <w:rPr>
                <w:rFonts w:cstheme="minorHAnsi"/>
              </w:rPr>
            </w:pPr>
            <w:r w:rsidRPr="00747E35">
              <w:rPr>
                <w:rFonts w:cstheme="minorHAnsi"/>
              </w:rPr>
              <w:t>MCP5_Feb16</w:t>
            </w:r>
          </w:p>
        </w:tc>
        <w:tc>
          <w:tcPr>
            <w:tcW w:w="1163" w:type="dxa"/>
            <w:noWrap/>
          </w:tcPr>
          <w:p w14:paraId="14EBFF57" w14:textId="77777777" w:rsidR="003D3694" w:rsidRPr="00747E35" w:rsidRDefault="003D3694" w:rsidP="0096743A">
            <w:pPr>
              <w:pStyle w:val="Tabletext"/>
              <w:spacing w:before="0" w:after="0"/>
              <w:rPr>
                <w:rFonts w:cstheme="minorHAnsi"/>
              </w:rPr>
            </w:pPr>
          </w:p>
        </w:tc>
        <w:tc>
          <w:tcPr>
            <w:tcW w:w="1559" w:type="dxa"/>
            <w:noWrap/>
            <w:hideMark/>
          </w:tcPr>
          <w:p w14:paraId="3CAF5F2F" w14:textId="77777777" w:rsidR="003D3694" w:rsidRPr="00747E35" w:rsidRDefault="003D3694" w:rsidP="0096743A">
            <w:pPr>
              <w:pStyle w:val="Tabletext"/>
              <w:spacing w:before="0" w:after="0"/>
              <w:rPr>
                <w:rFonts w:cstheme="minorHAnsi"/>
              </w:rPr>
            </w:pPr>
            <w:r w:rsidRPr="00747E35">
              <w:rPr>
                <w:rFonts w:cstheme="minorHAnsi"/>
              </w:rPr>
              <w:t>DRY</w:t>
            </w:r>
          </w:p>
        </w:tc>
        <w:tc>
          <w:tcPr>
            <w:tcW w:w="951" w:type="dxa"/>
            <w:noWrap/>
            <w:hideMark/>
          </w:tcPr>
          <w:p w14:paraId="2EE358DB" w14:textId="77777777" w:rsidR="003D3694" w:rsidRPr="00747E35" w:rsidRDefault="003D3694" w:rsidP="0096743A">
            <w:pPr>
              <w:pStyle w:val="Tabletext"/>
              <w:spacing w:before="0" w:after="0"/>
              <w:rPr>
                <w:rFonts w:cstheme="minorHAnsi"/>
              </w:rPr>
            </w:pPr>
            <w:r w:rsidRPr="00747E35">
              <w:rPr>
                <w:rFonts w:cstheme="minorHAnsi"/>
              </w:rPr>
              <w:t>0</w:t>
            </w:r>
          </w:p>
        </w:tc>
        <w:tc>
          <w:tcPr>
            <w:tcW w:w="1027" w:type="dxa"/>
            <w:noWrap/>
            <w:hideMark/>
          </w:tcPr>
          <w:p w14:paraId="62D487AC" w14:textId="77777777" w:rsidR="003D3694" w:rsidRPr="00747E35" w:rsidRDefault="003D3694" w:rsidP="0096743A">
            <w:pPr>
              <w:pStyle w:val="Tabletext"/>
              <w:spacing w:before="0" w:after="0"/>
              <w:rPr>
                <w:rFonts w:cstheme="minorHAnsi"/>
              </w:rPr>
            </w:pPr>
            <w:r w:rsidRPr="00747E35">
              <w:rPr>
                <w:rFonts w:cstheme="minorHAnsi"/>
              </w:rPr>
              <w:t xml:space="preserve">Dry </w:t>
            </w:r>
          </w:p>
        </w:tc>
      </w:tr>
      <w:tr w:rsidR="003D3694" w:rsidRPr="00747E35" w14:paraId="06B8AC73" w14:textId="77777777" w:rsidTr="0096743A">
        <w:trPr>
          <w:trHeight w:val="288"/>
        </w:trPr>
        <w:tc>
          <w:tcPr>
            <w:tcW w:w="1050" w:type="dxa"/>
            <w:noWrap/>
            <w:hideMark/>
          </w:tcPr>
          <w:p w14:paraId="70C01A69" w14:textId="77777777" w:rsidR="003D3694" w:rsidRPr="00747E35" w:rsidRDefault="003D3694" w:rsidP="0096743A">
            <w:pPr>
              <w:pStyle w:val="Tabletext"/>
              <w:spacing w:before="0" w:after="0"/>
              <w:rPr>
                <w:rFonts w:cstheme="minorHAnsi"/>
              </w:rPr>
            </w:pPr>
            <w:r w:rsidRPr="00747E35">
              <w:rPr>
                <w:rFonts w:cstheme="minorHAnsi"/>
              </w:rPr>
              <w:t>Horsearm Creek</w:t>
            </w:r>
          </w:p>
        </w:tc>
        <w:tc>
          <w:tcPr>
            <w:tcW w:w="1418" w:type="dxa"/>
            <w:noWrap/>
          </w:tcPr>
          <w:p w14:paraId="14C23192" w14:textId="77777777" w:rsidR="003D3694" w:rsidRPr="00747E35" w:rsidRDefault="003D3694" w:rsidP="0096743A">
            <w:pPr>
              <w:pStyle w:val="Tabletext"/>
              <w:spacing w:before="0" w:after="0"/>
              <w:rPr>
                <w:rFonts w:cstheme="minorHAnsi"/>
              </w:rPr>
            </w:pPr>
            <w:r w:rsidRPr="00747E35">
              <w:rPr>
                <w:rFonts w:cstheme="minorHAnsi"/>
              </w:rPr>
              <w:t>Trip 2</w:t>
            </w:r>
          </w:p>
        </w:tc>
        <w:tc>
          <w:tcPr>
            <w:tcW w:w="1134" w:type="dxa"/>
            <w:noWrap/>
            <w:hideMark/>
          </w:tcPr>
          <w:p w14:paraId="78F47897" w14:textId="77777777" w:rsidR="003D3694" w:rsidRPr="00747E35" w:rsidRDefault="003D3694" w:rsidP="0096743A">
            <w:pPr>
              <w:pStyle w:val="Tabletext"/>
              <w:spacing w:before="0" w:after="0"/>
              <w:rPr>
                <w:rFonts w:cstheme="minorHAnsi"/>
              </w:rPr>
            </w:pPr>
            <w:r w:rsidRPr="00747E35">
              <w:rPr>
                <w:rFonts w:cstheme="minorHAnsi"/>
              </w:rPr>
              <w:t>30/04/2015</w:t>
            </w:r>
          </w:p>
        </w:tc>
        <w:tc>
          <w:tcPr>
            <w:tcW w:w="1105" w:type="dxa"/>
            <w:noWrap/>
            <w:hideMark/>
          </w:tcPr>
          <w:p w14:paraId="55C32ECB" w14:textId="77777777" w:rsidR="003D3694" w:rsidRPr="00747E35" w:rsidRDefault="003D3694" w:rsidP="0096743A">
            <w:pPr>
              <w:pStyle w:val="Tabletext"/>
              <w:spacing w:before="0" w:after="0"/>
              <w:rPr>
                <w:rFonts w:cstheme="minorHAnsi"/>
              </w:rPr>
            </w:pPr>
            <w:r w:rsidRPr="00747E35">
              <w:rPr>
                <w:rFonts w:cstheme="minorHAnsi"/>
              </w:rPr>
              <w:t>P18_Apr15</w:t>
            </w:r>
          </w:p>
        </w:tc>
        <w:tc>
          <w:tcPr>
            <w:tcW w:w="1163" w:type="dxa"/>
            <w:noWrap/>
            <w:hideMark/>
          </w:tcPr>
          <w:p w14:paraId="3BE6F7FD" w14:textId="77777777" w:rsidR="003D3694" w:rsidRPr="00747E35" w:rsidRDefault="003D3694" w:rsidP="0096743A">
            <w:pPr>
              <w:pStyle w:val="Tabletext"/>
              <w:spacing w:before="0" w:after="0"/>
              <w:rPr>
                <w:rFonts w:cstheme="minorHAnsi"/>
              </w:rPr>
            </w:pPr>
            <w:r w:rsidRPr="00747E35">
              <w:rPr>
                <w:rFonts w:cstheme="minorHAnsi"/>
              </w:rPr>
              <w:t>Perennial Gaining</w:t>
            </w:r>
          </w:p>
        </w:tc>
        <w:tc>
          <w:tcPr>
            <w:tcW w:w="1559" w:type="dxa"/>
            <w:noWrap/>
            <w:hideMark/>
          </w:tcPr>
          <w:p w14:paraId="26C48160" w14:textId="77777777" w:rsidR="003D3694" w:rsidRPr="00747E35" w:rsidRDefault="003D3694" w:rsidP="0096743A">
            <w:pPr>
              <w:pStyle w:val="Tabletext"/>
              <w:spacing w:before="0" w:after="0"/>
              <w:rPr>
                <w:rFonts w:cstheme="minorHAnsi"/>
              </w:rPr>
            </w:pPr>
            <w:r w:rsidRPr="00747E35">
              <w:rPr>
                <w:rFonts w:cstheme="minorHAnsi"/>
              </w:rPr>
              <w:t>DW</w:t>
            </w:r>
          </w:p>
        </w:tc>
        <w:tc>
          <w:tcPr>
            <w:tcW w:w="951" w:type="dxa"/>
            <w:noWrap/>
            <w:hideMark/>
          </w:tcPr>
          <w:p w14:paraId="5BA3F8E5" w14:textId="77777777" w:rsidR="003D3694" w:rsidRPr="00747E35" w:rsidRDefault="003D3694" w:rsidP="0096743A">
            <w:pPr>
              <w:pStyle w:val="Tabletext"/>
              <w:spacing w:before="0" w:after="0"/>
              <w:rPr>
                <w:rFonts w:cstheme="minorHAnsi"/>
              </w:rPr>
            </w:pPr>
            <w:r w:rsidRPr="00747E35">
              <w:rPr>
                <w:rFonts w:cstheme="minorHAnsi"/>
              </w:rPr>
              <w:t>6</w:t>
            </w:r>
          </w:p>
        </w:tc>
        <w:tc>
          <w:tcPr>
            <w:tcW w:w="1027" w:type="dxa"/>
            <w:noWrap/>
            <w:hideMark/>
          </w:tcPr>
          <w:p w14:paraId="3C904BCC" w14:textId="77777777" w:rsidR="003D3694" w:rsidRPr="00747E35" w:rsidRDefault="003D3694" w:rsidP="0096743A">
            <w:pPr>
              <w:pStyle w:val="Tabletext"/>
              <w:spacing w:before="0" w:after="0"/>
              <w:rPr>
                <w:rFonts w:cstheme="minorHAnsi"/>
              </w:rPr>
            </w:pPr>
            <w:r w:rsidRPr="00747E35">
              <w:rPr>
                <w:rFonts w:cstheme="minorHAnsi"/>
              </w:rPr>
              <w:t> </w:t>
            </w:r>
          </w:p>
        </w:tc>
      </w:tr>
      <w:tr w:rsidR="003D3694" w:rsidRPr="00747E35" w14:paraId="0DBEAEDD" w14:textId="77777777" w:rsidTr="0096743A">
        <w:trPr>
          <w:trHeight w:val="288"/>
        </w:trPr>
        <w:tc>
          <w:tcPr>
            <w:tcW w:w="1050" w:type="dxa"/>
            <w:noWrap/>
          </w:tcPr>
          <w:p w14:paraId="75BC7B5C" w14:textId="77777777" w:rsidR="003D3694" w:rsidRPr="00747E35" w:rsidRDefault="003D3694" w:rsidP="0096743A">
            <w:pPr>
              <w:pStyle w:val="Tabletext"/>
              <w:spacing w:before="0" w:after="0"/>
              <w:rPr>
                <w:rFonts w:cstheme="minorHAnsi"/>
              </w:rPr>
            </w:pPr>
          </w:p>
        </w:tc>
        <w:tc>
          <w:tcPr>
            <w:tcW w:w="1418" w:type="dxa"/>
            <w:noWrap/>
          </w:tcPr>
          <w:p w14:paraId="5AD5727B" w14:textId="77777777" w:rsidR="003D3694" w:rsidRPr="00747E35" w:rsidRDefault="003D3694" w:rsidP="0096743A">
            <w:pPr>
              <w:pStyle w:val="Tabletext"/>
              <w:spacing w:before="0" w:after="0"/>
              <w:rPr>
                <w:rFonts w:cstheme="minorHAnsi"/>
              </w:rPr>
            </w:pPr>
            <w:r w:rsidRPr="00747E35">
              <w:rPr>
                <w:rFonts w:cstheme="minorHAnsi"/>
              </w:rPr>
              <w:t>Trip 2</w:t>
            </w:r>
          </w:p>
        </w:tc>
        <w:tc>
          <w:tcPr>
            <w:tcW w:w="1134" w:type="dxa"/>
            <w:noWrap/>
            <w:hideMark/>
          </w:tcPr>
          <w:p w14:paraId="4995AE7A" w14:textId="77777777" w:rsidR="003D3694" w:rsidRPr="00747E35" w:rsidRDefault="003D3694" w:rsidP="0096743A">
            <w:pPr>
              <w:pStyle w:val="Tabletext"/>
              <w:spacing w:before="0" w:after="0"/>
              <w:rPr>
                <w:rFonts w:cstheme="minorHAnsi"/>
              </w:rPr>
            </w:pPr>
            <w:r w:rsidRPr="00747E35">
              <w:rPr>
                <w:rFonts w:cstheme="minorHAnsi"/>
              </w:rPr>
              <w:t>29/04/2015</w:t>
            </w:r>
          </w:p>
        </w:tc>
        <w:tc>
          <w:tcPr>
            <w:tcW w:w="1105" w:type="dxa"/>
            <w:noWrap/>
            <w:hideMark/>
          </w:tcPr>
          <w:p w14:paraId="0E535757" w14:textId="77777777" w:rsidR="003D3694" w:rsidRPr="00747E35" w:rsidRDefault="003D3694" w:rsidP="0096743A">
            <w:pPr>
              <w:pStyle w:val="Tabletext"/>
              <w:spacing w:before="0" w:after="0"/>
              <w:rPr>
                <w:rFonts w:cstheme="minorHAnsi"/>
              </w:rPr>
            </w:pPr>
            <w:r w:rsidRPr="00747E35">
              <w:rPr>
                <w:rFonts w:cstheme="minorHAnsi"/>
              </w:rPr>
              <w:t>P19_Apr15</w:t>
            </w:r>
          </w:p>
        </w:tc>
        <w:tc>
          <w:tcPr>
            <w:tcW w:w="1163" w:type="dxa"/>
            <w:noWrap/>
          </w:tcPr>
          <w:p w14:paraId="2E4A4FFE" w14:textId="77777777" w:rsidR="003D3694" w:rsidRPr="00747E35" w:rsidRDefault="003D3694" w:rsidP="0096743A">
            <w:pPr>
              <w:pStyle w:val="Tabletext"/>
              <w:spacing w:before="0" w:after="0"/>
              <w:rPr>
                <w:rFonts w:cstheme="minorHAnsi"/>
              </w:rPr>
            </w:pPr>
          </w:p>
        </w:tc>
        <w:tc>
          <w:tcPr>
            <w:tcW w:w="1559" w:type="dxa"/>
            <w:noWrap/>
            <w:hideMark/>
          </w:tcPr>
          <w:p w14:paraId="73EB7D44" w14:textId="77777777" w:rsidR="003D3694" w:rsidRPr="00747E35" w:rsidRDefault="003D3694" w:rsidP="0096743A">
            <w:pPr>
              <w:pStyle w:val="Tabletext"/>
              <w:spacing w:before="0" w:after="0"/>
              <w:rPr>
                <w:rFonts w:cstheme="minorHAnsi"/>
              </w:rPr>
            </w:pPr>
            <w:r w:rsidRPr="00747E35">
              <w:rPr>
                <w:rFonts w:cstheme="minorHAnsi"/>
              </w:rPr>
              <w:t>UW?</w:t>
            </w:r>
          </w:p>
        </w:tc>
        <w:tc>
          <w:tcPr>
            <w:tcW w:w="951" w:type="dxa"/>
            <w:noWrap/>
            <w:hideMark/>
          </w:tcPr>
          <w:p w14:paraId="2C318A2C" w14:textId="77777777" w:rsidR="003D3694" w:rsidRPr="00747E35" w:rsidRDefault="003D3694" w:rsidP="0096743A">
            <w:pPr>
              <w:pStyle w:val="Tabletext"/>
              <w:spacing w:before="0" w:after="0"/>
              <w:rPr>
                <w:rFonts w:cstheme="minorHAnsi"/>
              </w:rPr>
            </w:pPr>
            <w:r w:rsidRPr="00747E35">
              <w:rPr>
                <w:rFonts w:cstheme="minorHAnsi"/>
              </w:rPr>
              <w:t>6</w:t>
            </w:r>
          </w:p>
        </w:tc>
        <w:tc>
          <w:tcPr>
            <w:tcW w:w="1027" w:type="dxa"/>
            <w:noWrap/>
            <w:hideMark/>
          </w:tcPr>
          <w:p w14:paraId="038E8631" w14:textId="77777777" w:rsidR="003D3694" w:rsidRPr="00747E35" w:rsidRDefault="003D3694" w:rsidP="0096743A">
            <w:pPr>
              <w:pStyle w:val="Tabletext"/>
              <w:spacing w:before="0" w:after="0"/>
              <w:rPr>
                <w:rFonts w:cstheme="minorHAnsi"/>
              </w:rPr>
            </w:pPr>
            <w:r w:rsidRPr="00747E35">
              <w:rPr>
                <w:rFonts w:cstheme="minorHAnsi"/>
              </w:rPr>
              <w:t> </w:t>
            </w:r>
          </w:p>
        </w:tc>
      </w:tr>
      <w:tr w:rsidR="003D3694" w:rsidRPr="00747E35" w14:paraId="6787FE34" w14:textId="77777777" w:rsidTr="0096743A">
        <w:trPr>
          <w:trHeight w:val="288"/>
        </w:trPr>
        <w:tc>
          <w:tcPr>
            <w:tcW w:w="1050" w:type="dxa"/>
            <w:noWrap/>
          </w:tcPr>
          <w:p w14:paraId="67471C70" w14:textId="77777777" w:rsidR="003D3694" w:rsidRPr="00747E35" w:rsidRDefault="003D3694" w:rsidP="0096743A">
            <w:pPr>
              <w:pStyle w:val="Tabletext"/>
              <w:spacing w:before="0" w:after="0"/>
              <w:rPr>
                <w:rFonts w:cstheme="minorHAnsi"/>
              </w:rPr>
            </w:pPr>
          </w:p>
        </w:tc>
        <w:tc>
          <w:tcPr>
            <w:tcW w:w="1418" w:type="dxa"/>
            <w:noWrap/>
          </w:tcPr>
          <w:p w14:paraId="2E1AF1D2" w14:textId="77777777" w:rsidR="003D3694" w:rsidRPr="00747E35" w:rsidRDefault="003D3694" w:rsidP="0096743A">
            <w:pPr>
              <w:pStyle w:val="Tabletext"/>
              <w:spacing w:before="0" w:after="0"/>
              <w:rPr>
                <w:rFonts w:cstheme="minorHAnsi"/>
              </w:rPr>
            </w:pPr>
            <w:r w:rsidRPr="00747E35">
              <w:rPr>
                <w:rFonts w:cstheme="minorHAnsi"/>
              </w:rPr>
              <w:t>Trip 3</w:t>
            </w:r>
          </w:p>
        </w:tc>
        <w:tc>
          <w:tcPr>
            <w:tcW w:w="1134" w:type="dxa"/>
            <w:noWrap/>
            <w:hideMark/>
          </w:tcPr>
          <w:p w14:paraId="5ABBC5CD" w14:textId="77777777" w:rsidR="003D3694" w:rsidRPr="00747E35" w:rsidRDefault="003D3694" w:rsidP="0096743A">
            <w:pPr>
              <w:pStyle w:val="Tabletext"/>
              <w:spacing w:before="0" w:after="0"/>
              <w:rPr>
                <w:rFonts w:cstheme="minorHAnsi"/>
              </w:rPr>
            </w:pPr>
            <w:r w:rsidRPr="00747E35">
              <w:rPr>
                <w:rFonts w:cstheme="minorHAnsi"/>
              </w:rPr>
              <w:t>21/07/2015</w:t>
            </w:r>
          </w:p>
        </w:tc>
        <w:tc>
          <w:tcPr>
            <w:tcW w:w="1105" w:type="dxa"/>
            <w:noWrap/>
            <w:hideMark/>
          </w:tcPr>
          <w:p w14:paraId="70A0325F" w14:textId="77777777" w:rsidR="003D3694" w:rsidRPr="00747E35" w:rsidRDefault="003D3694" w:rsidP="0096743A">
            <w:pPr>
              <w:pStyle w:val="Tabletext"/>
              <w:spacing w:before="0" w:after="0"/>
              <w:rPr>
                <w:rFonts w:cstheme="minorHAnsi"/>
              </w:rPr>
            </w:pPr>
            <w:r w:rsidRPr="00747E35">
              <w:rPr>
                <w:rFonts w:cstheme="minorHAnsi"/>
              </w:rPr>
              <w:t>P19_July15</w:t>
            </w:r>
          </w:p>
        </w:tc>
        <w:tc>
          <w:tcPr>
            <w:tcW w:w="1163" w:type="dxa"/>
            <w:noWrap/>
          </w:tcPr>
          <w:p w14:paraId="4CB94BBD" w14:textId="77777777" w:rsidR="003D3694" w:rsidRPr="00747E35" w:rsidRDefault="003D3694" w:rsidP="0096743A">
            <w:pPr>
              <w:pStyle w:val="Tabletext"/>
              <w:spacing w:before="0" w:after="0"/>
              <w:rPr>
                <w:rFonts w:cstheme="minorHAnsi"/>
              </w:rPr>
            </w:pPr>
          </w:p>
        </w:tc>
        <w:tc>
          <w:tcPr>
            <w:tcW w:w="1559" w:type="dxa"/>
            <w:noWrap/>
            <w:hideMark/>
          </w:tcPr>
          <w:p w14:paraId="7B9B7AC8" w14:textId="77777777" w:rsidR="003D3694" w:rsidRPr="00747E35" w:rsidRDefault="003D3694" w:rsidP="0096743A">
            <w:pPr>
              <w:pStyle w:val="Tabletext"/>
              <w:spacing w:before="0" w:after="0"/>
              <w:rPr>
                <w:rFonts w:cstheme="minorHAnsi"/>
              </w:rPr>
            </w:pPr>
            <w:r w:rsidRPr="00747E35">
              <w:rPr>
                <w:rFonts w:cstheme="minorHAnsi"/>
              </w:rPr>
              <w:t>UW?</w:t>
            </w:r>
          </w:p>
        </w:tc>
        <w:tc>
          <w:tcPr>
            <w:tcW w:w="951" w:type="dxa"/>
            <w:noWrap/>
            <w:hideMark/>
          </w:tcPr>
          <w:p w14:paraId="16C244CB" w14:textId="77777777" w:rsidR="003D3694" w:rsidRPr="00747E35" w:rsidRDefault="003D3694" w:rsidP="0096743A">
            <w:pPr>
              <w:pStyle w:val="Tabletext"/>
              <w:spacing w:before="0" w:after="0"/>
              <w:rPr>
                <w:rFonts w:cstheme="minorHAnsi"/>
              </w:rPr>
            </w:pPr>
            <w:r w:rsidRPr="00747E35">
              <w:rPr>
                <w:rFonts w:cstheme="minorHAnsi"/>
              </w:rPr>
              <w:t>4</w:t>
            </w:r>
          </w:p>
        </w:tc>
        <w:tc>
          <w:tcPr>
            <w:tcW w:w="1027" w:type="dxa"/>
            <w:noWrap/>
            <w:hideMark/>
          </w:tcPr>
          <w:p w14:paraId="35D5D638" w14:textId="77777777" w:rsidR="003D3694" w:rsidRPr="00747E35" w:rsidRDefault="003D3694" w:rsidP="0096743A">
            <w:pPr>
              <w:pStyle w:val="Tabletext"/>
              <w:spacing w:before="0" w:after="0"/>
              <w:rPr>
                <w:rFonts w:cstheme="minorHAnsi"/>
              </w:rPr>
            </w:pPr>
            <w:r w:rsidRPr="00747E35">
              <w:rPr>
                <w:rFonts w:cstheme="minorHAnsi"/>
              </w:rPr>
              <w:t> </w:t>
            </w:r>
          </w:p>
        </w:tc>
      </w:tr>
      <w:tr w:rsidR="003D3694" w:rsidRPr="00747E35" w14:paraId="6BF77785" w14:textId="77777777" w:rsidTr="0096743A">
        <w:trPr>
          <w:trHeight w:val="288"/>
        </w:trPr>
        <w:tc>
          <w:tcPr>
            <w:tcW w:w="1050" w:type="dxa"/>
            <w:noWrap/>
            <w:hideMark/>
          </w:tcPr>
          <w:p w14:paraId="67300541" w14:textId="77777777" w:rsidR="003D3694" w:rsidRPr="00747E35" w:rsidRDefault="003D3694" w:rsidP="0096743A">
            <w:pPr>
              <w:pStyle w:val="Tabletext"/>
              <w:spacing w:before="0" w:after="0"/>
              <w:rPr>
                <w:rFonts w:cstheme="minorHAnsi"/>
              </w:rPr>
            </w:pPr>
            <w:r w:rsidRPr="00747E35">
              <w:rPr>
                <w:rFonts w:cstheme="minorHAnsi"/>
              </w:rPr>
              <w:t>Horsearm Creek</w:t>
            </w:r>
          </w:p>
        </w:tc>
        <w:tc>
          <w:tcPr>
            <w:tcW w:w="1418" w:type="dxa"/>
            <w:noWrap/>
          </w:tcPr>
          <w:p w14:paraId="38466BD3" w14:textId="77777777" w:rsidR="003D3694" w:rsidRPr="00747E35" w:rsidRDefault="003D3694" w:rsidP="0096743A">
            <w:pPr>
              <w:pStyle w:val="Tabletext"/>
              <w:spacing w:before="0" w:after="0"/>
              <w:rPr>
                <w:rFonts w:cstheme="minorHAnsi"/>
              </w:rPr>
            </w:pPr>
            <w:r w:rsidRPr="00747E35">
              <w:rPr>
                <w:rFonts w:cstheme="minorHAnsi"/>
              </w:rPr>
              <w:t>Trip 2</w:t>
            </w:r>
          </w:p>
        </w:tc>
        <w:tc>
          <w:tcPr>
            <w:tcW w:w="1134" w:type="dxa"/>
            <w:noWrap/>
            <w:hideMark/>
          </w:tcPr>
          <w:p w14:paraId="00A355FF" w14:textId="77777777" w:rsidR="003D3694" w:rsidRPr="00747E35" w:rsidRDefault="003D3694" w:rsidP="0096743A">
            <w:pPr>
              <w:pStyle w:val="Tabletext"/>
              <w:spacing w:before="0" w:after="0"/>
              <w:rPr>
                <w:rFonts w:cstheme="minorHAnsi"/>
              </w:rPr>
            </w:pPr>
            <w:r w:rsidRPr="00747E35">
              <w:rPr>
                <w:rFonts w:cstheme="minorHAnsi"/>
              </w:rPr>
              <w:t>30/04/2015</w:t>
            </w:r>
          </w:p>
        </w:tc>
        <w:tc>
          <w:tcPr>
            <w:tcW w:w="1105" w:type="dxa"/>
            <w:noWrap/>
            <w:hideMark/>
          </w:tcPr>
          <w:p w14:paraId="1526D109" w14:textId="77777777" w:rsidR="003D3694" w:rsidRPr="00747E35" w:rsidRDefault="003D3694" w:rsidP="0096743A">
            <w:pPr>
              <w:pStyle w:val="Tabletext"/>
              <w:spacing w:before="0" w:after="0"/>
              <w:rPr>
                <w:rFonts w:cstheme="minorHAnsi"/>
              </w:rPr>
            </w:pPr>
            <w:r w:rsidRPr="00747E35">
              <w:rPr>
                <w:rFonts w:cstheme="minorHAnsi"/>
              </w:rPr>
              <w:t>P20_Apr15</w:t>
            </w:r>
          </w:p>
        </w:tc>
        <w:tc>
          <w:tcPr>
            <w:tcW w:w="1163" w:type="dxa"/>
            <w:noWrap/>
          </w:tcPr>
          <w:p w14:paraId="0D2DFEFF" w14:textId="77777777" w:rsidR="003D3694" w:rsidRPr="00747E35" w:rsidRDefault="003D3694" w:rsidP="0096743A">
            <w:pPr>
              <w:pStyle w:val="Tabletext"/>
              <w:spacing w:before="0" w:after="0"/>
              <w:rPr>
                <w:rFonts w:cstheme="minorHAnsi"/>
              </w:rPr>
            </w:pPr>
          </w:p>
        </w:tc>
        <w:tc>
          <w:tcPr>
            <w:tcW w:w="1559" w:type="dxa"/>
            <w:noWrap/>
            <w:hideMark/>
          </w:tcPr>
          <w:p w14:paraId="389C2882" w14:textId="77777777" w:rsidR="003D3694" w:rsidRPr="00747E35" w:rsidRDefault="003D3694" w:rsidP="0096743A">
            <w:pPr>
              <w:pStyle w:val="Tabletext"/>
              <w:spacing w:before="0" w:after="0"/>
              <w:rPr>
                <w:rFonts w:cstheme="minorHAnsi"/>
              </w:rPr>
            </w:pPr>
            <w:r w:rsidRPr="00747E35">
              <w:rPr>
                <w:rFonts w:cstheme="minorHAnsi"/>
              </w:rPr>
              <w:t>UW?</w:t>
            </w:r>
          </w:p>
        </w:tc>
        <w:tc>
          <w:tcPr>
            <w:tcW w:w="951" w:type="dxa"/>
            <w:noWrap/>
            <w:hideMark/>
          </w:tcPr>
          <w:p w14:paraId="59CAD755" w14:textId="77777777" w:rsidR="003D3694" w:rsidRPr="00747E35" w:rsidRDefault="003D3694" w:rsidP="0096743A">
            <w:pPr>
              <w:pStyle w:val="Tabletext"/>
              <w:spacing w:before="0" w:after="0"/>
              <w:rPr>
                <w:rFonts w:cstheme="minorHAnsi"/>
              </w:rPr>
            </w:pPr>
            <w:r w:rsidRPr="00747E35">
              <w:rPr>
                <w:rFonts w:cstheme="minorHAnsi"/>
              </w:rPr>
              <w:t>2</w:t>
            </w:r>
          </w:p>
        </w:tc>
        <w:tc>
          <w:tcPr>
            <w:tcW w:w="1027" w:type="dxa"/>
            <w:noWrap/>
            <w:hideMark/>
          </w:tcPr>
          <w:p w14:paraId="55B3C0C7" w14:textId="77777777" w:rsidR="003D3694" w:rsidRPr="00747E35" w:rsidRDefault="003D3694" w:rsidP="0096743A">
            <w:pPr>
              <w:pStyle w:val="Tabletext"/>
              <w:spacing w:before="0" w:after="0"/>
              <w:rPr>
                <w:rFonts w:cstheme="minorHAnsi"/>
              </w:rPr>
            </w:pPr>
            <w:r w:rsidRPr="00747E35">
              <w:rPr>
                <w:rFonts w:cstheme="minorHAnsi"/>
              </w:rPr>
              <w:t> </w:t>
            </w:r>
          </w:p>
        </w:tc>
      </w:tr>
      <w:tr w:rsidR="003D3694" w:rsidRPr="00747E35" w14:paraId="0659EAC2" w14:textId="77777777" w:rsidTr="0096743A">
        <w:trPr>
          <w:trHeight w:val="288"/>
        </w:trPr>
        <w:tc>
          <w:tcPr>
            <w:tcW w:w="1050" w:type="dxa"/>
            <w:noWrap/>
          </w:tcPr>
          <w:p w14:paraId="0FB1125F" w14:textId="77777777" w:rsidR="003D3694" w:rsidRPr="00747E35" w:rsidRDefault="003D3694" w:rsidP="0096743A">
            <w:pPr>
              <w:pStyle w:val="Tabletext"/>
              <w:spacing w:before="0" w:after="0"/>
              <w:rPr>
                <w:rFonts w:cstheme="minorHAnsi"/>
              </w:rPr>
            </w:pPr>
          </w:p>
        </w:tc>
        <w:tc>
          <w:tcPr>
            <w:tcW w:w="1418" w:type="dxa"/>
            <w:noWrap/>
          </w:tcPr>
          <w:p w14:paraId="171A6D1A" w14:textId="77777777" w:rsidR="003D3694" w:rsidRPr="00747E35" w:rsidRDefault="003D3694" w:rsidP="0096743A">
            <w:pPr>
              <w:pStyle w:val="Tabletext"/>
              <w:spacing w:before="0" w:after="0"/>
              <w:rPr>
                <w:rFonts w:cstheme="minorHAnsi"/>
              </w:rPr>
            </w:pPr>
            <w:r w:rsidRPr="00747E35">
              <w:rPr>
                <w:rFonts w:cstheme="minorHAnsi"/>
              </w:rPr>
              <w:t>Trip 3</w:t>
            </w:r>
          </w:p>
        </w:tc>
        <w:tc>
          <w:tcPr>
            <w:tcW w:w="1134" w:type="dxa"/>
            <w:noWrap/>
            <w:hideMark/>
          </w:tcPr>
          <w:p w14:paraId="6BD846D3" w14:textId="77777777" w:rsidR="003D3694" w:rsidRPr="00747E35" w:rsidRDefault="003D3694" w:rsidP="0096743A">
            <w:pPr>
              <w:pStyle w:val="Tabletext"/>
              <w:spacing w:before="0" w:after="0"/>
              <w:rPr>
                <w:rFonts w:cstheme="minorHAnsi"/>
              </w:rPr>
            </w:pPr>
            <w:r w:rsidRPr="00747E35">
              <w:rPr>
                <w:rFonts w:cstheme="minorHAnsi"/>
              </w:rPr>
              <w:t>21/07/2015</w:t>
            </w:r>
          </w:p>
        </w:tc>
        <w:tc>
          <w:tcPr>
            <w:tcW w:w="1105" w:type="dxa"/>
            <w:noWrap/>
            <w:hideMark/>
          </w:tcPr>
          <w:p w14:paraId="6321F853" w14:textId="77777777" w:rsidR="003D3694" w:rsidRPr="00747E35" w:rsidRDefault="003D3694" w:rsidP="0096743A">
            <w:pPr>
              <w:pStyle w:val="Tabletext"/>
              <w:spacing w:before="0" w:after="0"/>
              <w:rPr>
                <w:rFonts w:cstheme="minorHAnsi"/>
              </w:rPr>
            </w:pPr>
            <w:r w:rsidRPr="00747E35">
              <w:rPr>
                <w:rFonts w:cstheme="minorHAnsi"/>
              </w:rPr>
              <w:t>P20_Jul15</w:t>
            </w:r>
          </w:p>
        </w:tc>
        <w:tc>
          <w:tcPr>
            <w:tcW w:w="1163" w:type="dxa"/>
            <w:noWrap/>
          </w:tcPr>
          <w:p w14:paraId="294062BE" w14:textId="77777777" w:rsidR="003D3694" w:rsidRPr="00747E35" w:rsidRDefault="003D3694" w:rsidP="0096743A">
            <w:pPr>
              <w:pStyle w:val="Tabletext"/>
              <w:spacing w:before="0" w:after="0"/>
              <w:rPr>
                <w:rFonts w:cstheme="minorHAnsi"/>
              </w:rPr>
            </w:pPr>
          </w:p>
        </w:tc>
        <w:tc>
          <w:tcPr>
            <w:tcW w:w="1559" w:type="dxa"/>
            <w:noWrap/>
            <w:hideMark/>
          </w:tcPr>
          <w:p w14:paraId="2618DDA7" w14:textId="77777777" w:rsidR="003D3694" w:rsidRPr="00747E35" w:rsidRDefault="003D3694" w:rsidP="0096743A">
            <w:pPr>
              <w:pStyle w:val="Tabletext"/>
              <w:spacing w:before="0" w:after="0"/>
              <w:rPr>
                <w:rFonts w:cstheme="minorHAnsi"/>
              </w:rPr>
            </w:pPr>
            <w:r w:rsidRPr="00747E35">
              <w:rPr>
                <w:rFonts w:cstheme="minorHAnsi"/>
              </w:rPr>
              <w:t>UW?</w:t>
            </w:r>
          </w:p>
        </w:tc>
        <w:tc>
          <w:tcPr>
            <w:tcW w:w="951" w:type="dxa"/>
            <w:noWrap/>
            <w:hideMark/>
          </w:tcPr>
          <w:p w14:paraId="22FC2636" w14:textId="77777777" w:rsidR="003D3694" w:rsidRPr="00747E35" w:rsidRDefault="003D3694" w:rsidP="0096743A">
            <w:pPr>
              <w:pStyle w:val="Tabletext"/>
              <w:spacing w:before="0" w:after="0"/>
              <w:rPr>
                <w:rFonts w:cstheme="minorHAnsi"/>
              </w:rPr>
            </w:pPr>
            <w:r w:rsidRPr="00747E35">
              <w:rPr>
                <w:rFonts w:cstheme="minorHAnsi"/>
              </w:rPr>
              <w:t>6</w:t>
            </w:r>
          </w:p>
        </w:tc>
        <w:tc>
          <w:tcPr>
            <w:tcW w:w="1027" w:type="dxa"/>
            <w:noWrap/>
            <w:hideMark/>
          </w:tcPr>
          <w:p w14:paraId="3E52B797" w14:textId="77777777" w:rsidR="003D3694" w:rsidRPr="00747E35" w:rsidRDefault="003D3694" w:rsidP="0096743A">
            <w:pPr>
              <w:pStyle w:val="Tabletext"/>
              <w:spacing w:before="0" w:after="0"/>
              <w:rPr>
                <w:rFonts w:cstheme="minorHAnsi"/>
              </w:rPr>
            </w:pPr>
            <w:r w:rsidRPr="00747E35">
              <w:rPr>
                <w:rFonts w:cstheme="minorHAnsi"/>
              </w:rPr>
              <w:t> </w:t>
            </w:r>
          </w:p>
        </w:tc>
      </w:tr>
      <w:tr w:rsidR="003D3694" w:rsidRPr="00747E35" w14:paraId="34B85F2E" w14:textId="77777777" w:rsidTr="0096743A">
        <w:trPr>
          <w:trHeight w:val="288"/>
        </w:trPr>
        <w:tc>
          <w:tcPr>
            <w:tcW w:w="1050" w:type="dxa"/>
            <w:noWrap/>
          </w:tcPr>
          <w:p w14:paraId="428FD238" w14:textId="77777777" w:rsidR="003D3694" w:rsidRPr="00747E35" w:rsidRDefault="003D3694" w:rsidP="0096743A">
            <w:pPr>
              <w:pStyle w:val="Tabletext"/>
              <w:spacing w:before="0" w:after="0"/>
              <w:rPr>
                <w:rFonts w:cstheme="minorHAnsi"/>
              </w:rPr>
            </w:pPr>
          </w:p>
        </w:tc>
        <w:tc>
          <w:tcPr>
            <w:tcW w:w="1418" w:type="dxa"/>
            <w:noWrap/>
          </w:tcPr>
          <w:p w14:paraId="22807B99" w14:textId="77777777" w:rsidR="003D3694" w:rsidRPr="00747E35" w:rsidRDefault="003D3694" w:rsidP="0096743A">
            <w:pPr>
              <w:pStyle w:val="Tabletext"/>
              <w:spacing w:before="0" w:after="0"/>
              <w:rPr>
                <w:rFonts w:cstheme="minorHAnsi"/>
              </w:rPr>
            </w:pPr>
            <w:r w:rsidRPr="00747E35">
              <w:rPr>
                <w:rFonts w:cstheme="minorHAnsi"/>
              </w:rPr>
              <w:t>Trip 2</w:t>
            </w:r>
          </w:p>
        </w:tc>
        <w:tc>
          <w:tcPr>
            <w:tcW w:w="1134" w:type="dxa"/>
            <w:noWrap/>
            <w:hideMark/>
          </w:tcPr>
          <w:p w14:paraId="36125A79" w14:textId="77777777" w:rsidR="003D3694" w:rsidRPr="00747E35" w:rsidRDefault="003D3694" w:rsidP="0096743A">
            <w:pPr>
              <w:pStyle w:val="Tabletext"/>
              <w:spacing w:before="0" w:after="0"/>
              <w:rPr>
                <w:rFonts w:cstheme="minorHAnsi"/>
              </w:rPr>
            </w:pPr>
            <w:r w:rsidRPr="00747E35">
              <w:rPr>
                <w:rFonts w:cstheme="minorHAnsi"/>
              </w:rPr>
              <w:t>29/04/2015</w:t>
            </w:r>
          </w:p>
        </w:tc>
        <w:tc>
          <w:tcPr>
            <w:tcW w:w="1105" w:type="dxa"/>
            <w:noWrap/>
            <w:hideMark/>
          </w:tcPr>
          <w:p w14:paraId="7925AF24" w14:textId="77777777" w:rsidR="003D3694" w:rsidRPr="00747E35" w:rsidRDefault="003D3694" w:rsidP="0096743A">
            <w:pPr>
              <w:pStyle w:val="Tabletext"/>
              <w:spacing w:before="0" w:after="0"/>
              <w:rPr>
                <w:rFonts w:cstheme="minorHAnsi"/>
              </w:rPr>
            </w:pPr>
            <w:r w:rsidRPr="00747E35">
              <w:rPr>
                <w:rFonts w:cstheme="minorHAnsi"/>
              </w:rPr>
              <w:t>P24_Apr15</w:t>
            </w:r>
          </w:p>
        </w:tc>
        <w:tc>
          <w:tcPr>
            <w:tcW w:w="1163" w:type="dxa"/>
            <w:noWrap/>
          </w:tcPr>
          <w:p w14:paraId="35BCFA74" w14:textId="77777777" w:rsidR="003D3694" w:rsidRPr="00747E35" w:rsidRDefault="003D3694" w:rsidP="0096743A">
            <w:pPr>
              <w:pStyle w:val="Tabletext"/>
              <w:spacing w:before="0" w:after="0"/>
              <w:rPr>
                <w:rFonts w:cstheme="minorHAnsi"/>
              </w:rPr>
            </w:pPr>
          </w:p>
        </w:tc>
        <w:tc>
          <w:tcPr>
            <w:tcW w:w="1559" w:type="dxa"/>
            <w:noWrap/>
            <w:hideMark/>
          </w:tcPr>
          <w:p w14:paraId="2DE11014" w14:textId="77777777" w:rsidR="003D3694" w:rsidRPr="00747E35" w:rsidRDefault="003D3694" w:rsidP="0096743A">
            <w:pPr>
              <w:pStyle w:val="Tabletext"/>
              <w:spacing w:before="0" w:after="0"/>
              <w:rPr>
                <w:rFonts w:cstheme="minorHAnsi"/>
              </w:rPr>
            </w:pPr>
            <w:r w:rsidRPr="00747E35">
              <w:rPr>
                <w:rFonts w:cstheme="minorHAnsi"/>
              </w:rPr>
              <w:t>UW?</w:t>
            </w:r>
          </w:p>
        </w:tc>
        <w:tc>
          <w:tcPr>
            <w:tcW w:w="951" w:type="dxa"/>
            <w:noWrap/>
            <w:hideMark/>
          </w:tcPr>
          <w:p w14:paraId="2E32A43C" w14:textId="77777777" w:rsidR="003D3694" w:rsidRPr="00747E35" w:rsidRDefault="003D3694" w:rsidP="0096743A">
            <w:pPr>
              <w:pStyle w:val="Tabletext"/>
              <w:spacing w:before="0" w:after="0"/>
              <w:rPr>
                <w:rFonts w:cstheme="minorHAnsi"/>
              </w:rPr>
            </w:pPr>
            <w:r w:rsidRPr="00747E35">
              <w:rPr>
                <w:rFonts w:cstheme="minorHAnsi"/>
              </w:rPr>
              <w:t>6</w:t>
            </w:r>
          </w:p>
        </w:tc>
        <w:tc>
          <w:tcPr>
            <w:tcW w:w="1027" w:type="dxa"/>
            <w:noWrap/>
            <w:hideMark/>
          </w:tcPr>
          <w:p w14:paraId="67D36AE2" w14:textId="77777777" w:rsidR="003D3694" w:rsidRPr="00747E35" w:rsidRDefault="003D3694" w:rsidP="0096743A">
            <w:pPr>
              <w:pStyle w:val="Tabletext"/>
              <w:spacing w:before="0" w:after="0"/>
              <w:rPr>
                <w:rFonts w:cstheme="minorHAnsi"/>
              </w:rPr>
            </w:pPr>
            <w:r w:rsidRPr="00747E35">
              <w:rPr>
                <w:rFonts w:cstheme="minorHAnsi"/>
              </w:rPr>
              <w:t> </w:t>
            </w:r>
          </w:p>
        </w:tc>
      </w:tr>
      <w:tr w:rsidR="003D3694" w:rsidRPr="00747E35" w14:paraId="0A98FFD6" w14:textId="77777777" w:rsidTr="0096743A">
        <w:trPr>
          <w:trHeight w:val="288"/>
        </w:trPr>
        <w:tc>
          <w:tcPr>
            <w:tcW w:w="1050" w:type="dxa"/>
            <w:noWrap/>
          </w:tcPr>
          <w:p w14:paraId="202843F3" w14:textId="77777777" w:rsidR="003D3694" w:rsidRPr="00747E35" w:rsidRDefault="003D3694" w:rsidP="0096743A">
            <w:pPr>
              <w:pStyle w:val="Tabletext"/>
              <w:spacing w:before="0" w:after="0"/>
              <w:rPr>
                <w:rFonts w:cstheme="minorHAnsi"/>
              </w:rPr>
            </w:pPr>
          </w:p>
        </w:tc>
        <w:tc>
          <w:tcPr>
            <w:tcW w:w="1418" w:type="dxa"/>
            <w:noWrap/>
          </w:tcPr>
          <w:p w14:paraId="43C38BC2" w14:textId="77777777" w:rsidR="003D3694" w:rsidRPr="00747E35" w:rsidRDefault="003D3694" w:rsidP="0096743A">
            <w:pPr>
              <w:pStyle w:val="Tabletext"/>
              <w:spacing w:before="0" w:after="0"/>
              <w:rPr>
                <w:rFonts w:cstheme="minorHAnsi"/>
              </w:rPr>
            </w:pPr>
            <w:r w:rsidRPr="00747E35">
              <w:rPr>
                <w:rFonts w:cstheme="minorHAnsi"/>
              </w:rPr>
              <w:t>Trip 6 (R1)</w:t>
            </w:r>
          </w:p>
        </w:tc>
        <w:tc>
          <w:tcPr>
            <w:tcW w:w="1134" w:type="dxa"/>
            <w:noWrap/>
            <w:hideMark/>
          </w:tcPr>
          <w:p w14:paraId="3FD55A15" w14:textId="77777777" w:rsidR="003D3694" w:rsidRPr="00747E35" w:rsidRDefault="003D3694" w:rsidP="0096743A">
            <w:pPr>
              <w:pStyle w:val="Tabletext"/>
              <w:spacing w:before="0" w:after="0"/>
              <w:rPr>
                <w:rFonts w:cstheme="minorHAnsi"/>
              </w:rPr>
            </w:pPr>
            <w:r w:rsidRPr="00747E35">
              <w:rPr>
                <w:rFonts w:cstheme="minorHAnsi"/>
              </w:rPr>
              <w:t>15/10/2015</w:t>
            </w:r>
          </w:p>
        </w:tc>
        <w:tc>
          <w:tcPr>
            <w:tcW w:w="1105" w:type="dxa"/>
            <w:noWrap/>
            <w:hideMark/>
          </w:tcPr>
          <w:p w14:paraId="76EDB1D7" w14:textId="77777777" w:rsidR="003D3694" w:rsidRPr="00747E35" w:rsidRDefault="003D3694" w:rsidP="0096743A">
            <w:pPr>
              <w:pStyle w:val="Tabletext"/>
              <w:spacing w:before="0" w:after="0"/>
              <w:rPr>
                <w:rFonts w:cstheme="minorHAnsi"/>
              </w:rPr>
            </w:pPr>
            <w:r w:rsidRPr="00747E35">
              <w:rPr>
                <w:rFonts w:cstheme="minorHAnsi"/>
              </w:rPr>
              <w:t>HCB6_Oct15</w:t>
            </w:r>
          </w:p>
        </w:tc>
        <w:tc>
          <w:tcPr>
            <w:tcW w:w="1163" w:type="dxa"/>
            <w:noWrap/>
          </w:tcPr>
          <w:p w14:paraId="17CC799F" w14:textId="77777777" w:rsidR="003D3694" w:rsidRPr="00747E35" w:rsidRDefault="003D3694" w:rsidP="0096743A">
            <w:pPr>
              <w:pStyle w:val="Tabletext"/>
              <w:spacing w:before="0" w:after="0"/>
              <w:rPr>
                <w:rFonts w:cstheme="minorHAnsi"/>
              </w:rPr>
            </w:pPr>
          </w:p>
        </w:tc>
        <w:tc>
          <w:tcPr>
            <w:tcW w:w="1559" w:type="dxa"/>
            <w:noWrap/>
            <w:hideMark/>
          </w:tcPr>
          <w:p w14:paraId="1A628DA0" w14:textId="77777777" w:rsidR="003D3694" w:rsidRPr="00747E35" w:rsidRDefault="003D3694" w:rsidP="0096743A">
            <w:pPr>
              <w:pStyle w:val="Tabletext"/>
              <w:spacing w:before="0" w:after="0"/>
              <w:rPr>
                <w:rFonts w:cstheme="minorHAnsi"/>
              </w:rPr>
            </w:pPr>
            <w:r w:rsidRPr="00747E35">
              <w:rPr>
                <w:rFonts w:cstheme="minorHAnsi"/>
              </w:rPr>
              <w:t>Neutral</w:t>
            </w:r>
          </w:p>
        </w:tc>
        <w:tc>
          <w:tcPr>
            <w:tcW w:w="951" w:type="dxa"/>
            <w:noWrap/>
            <w:hideMark/>
          </w:tcPr>
          <w:p w14:paraId="51DFE3D4" w14:textId="77777777" w:rsidR="003D3694" w:rsidRPr="00747E35" w:rsidRDefault="003D3694" w:rsidP="0096743A">
            <w:pPr>
              <w:pStyle w:val="Tabletext"/>
              <w:spacing w:before="0" w:after="0"/>
              <w:rPr>
                <w:rFonts w:cstheme="minorHAnsi"/>
              </w:rPr>
            </w:pPr>
            <w:r w:rsidRPr="00747E35">
              <w:rPr>
                <w:rFonts w:cstheme="minorHAnsi"/>
              </w:rPr>
              <w:t>6</w:t>
            </w:r>
          </w:p>
        </w:tc>
        <w:tc>
          <w:tcPr>
            <w:tcW w:w="1027" w:type="dxa"/>
            <w:noWrap/>
            <w:hideMark/>
          </w:tcPr>
          <w:p w14:paraId="15341868" w14:textId="77777777" w:rsidR="003D3694" w:rsidRPr="00747E35" w:rsidRDefault="003D3694" w:rsidP="0096743A">
            <w:pPr>
              <w:pStyle w:val="Tabletext"/>
              <w:spacing w:before="0" w:after="0"/>
              <w:rPr>
                <w:rFonts w:cstheme="minorHAnsi"/>
              </w:rPr>
            </w:pPr>
            <w:r w:rsidRPr="00747E35">
              <w:rPr>
                <w:rFonts w:cstheme="minorHAnsi"/>
              </w:rPr>
              <w:t> </w:t>
            </w:r>
          </w:p>
        </w:tc>
      </w:tr>
      <w:tr w:rsidR="003D3694" w:rsidRPr="00747E35" w14:paraId="3B98F4DF" w14:textId="77777777" w:rsidTr="0096743A">
        <w:trPr>
          <w:trHeight w:val="288"/>
        </w:trPr>
        <w:tc>
          <w:tcPr>
            <w:tcW w:w="1050" w:type="dxa"/>
            <w:noWrap/>
          </w:tcPr>
          <w:p w14:paraId="2A9B751B" w14:textId="77777777" w:rsidR="003D3694" w:rsidRPr="00747E35" w:rsidRDefault="003D3694" w:rsidP="0096743A">
            <w:pPr>
              <w:pStyle w:val="Tabletext"/>
              <w:spacing w:before="0" w:after="0"/>
              <w:rPr>
                <w:rFonts w:cstheme="minorHAnsi"/>
              </w:rPr>
            </w:pPr>
          </w:p>
        </w:tc>
        <w:tc>
          <w:tcPr>
            <w:tcW w:w="1418" w:type="dxa"/>
            <w:noWrap/>
          </w:tcPr>
          <w:p w14:paraId="28E867C6" w14:textId="77777777" w:rsidR="003D3694" w:rsidRPr="00747E35" w:rsidRDefault="003D3694" w:rsidP="0096743A">
            <w:pPr>
              <w:pStyle w:val="Tabletext"/>
              <w:spacing w:before="0" w:after="0"/>
              <w:rPr>
                <w:rFonts w:cstheme="minorHAnsi"/>
              </w:rPr>
            </w:pPr>
            <w:r w:rsidRPr="00747E35">
              <w:rPr>
                <w:rFonts w:cstheme="minorHAnsi"/>
              </w:rPr>
              <w:t>Trip 8 (R2)</w:t>
            </w:r>
          </w:p>
        </w:tc>
        <w:tc>
          <w:tcPr>
            <w:tcW w:w="1134" w:type="dxa"/>
            <w:noWrap/>
            <w:hideMark/>
          </w:tcPr>
          <w:p w14:paraId="76E1DE09" w14:textId="77777777" w:rsidR="003D3694" w:rsidRPr="00747E35" w:rsidRDefault="003D3694" w:rsidP="0096743A">
            <w:pPr>
              <w:pStyle w:val="Tabletext"/>
              <w:spacing w:before="0" w:after="0"/>
              <w:rPr>
                <w:rFonts w:cstheme="minorHAnsi"/>
              </w:rPr>
            </w:pPr>
            <w:r w:rsidRPr="00747E35">
              <w:rPr>
                <w:rFonts w:cstheme="minorHAnsi"/>
              </w:rPr>
              <w:t>25/02/2016</w:t>
            </w:r>
          </w:p>
        </w:tc>
        <w:tc>
          <w:tcPr>
            <w:tcW w:w="1105" w:type="dxa"/>
            <w:noWrap/>
            <w:hideMark/>
          </w:tcPr>
          <w:p w14:paraId="520FE792" w14:textId="77777777" w:rsidR="003D3694" w:rsidRPr="00747E35" w:rsidRDefault="003D3694" w:rsidP="0096743A">
            <w:pPr>
              <w:pStyle w:val="Tabletext"/>
              <w:spacing w:before="0" w:after="0"/>
              <w:rPr>
                <w:rFonts w:cstheme="minorHAnsi"/>
              </w:rPr>
            </w:pPr>
            <w:r w:rsidRPr="00747E35">
              <w:rPr>
                <w:rFonts w:cstheme="minorHAnsi"/>
              </w:rPr>
              <w:t>HCB6_Feb16</w:t>
            </w:r>
          </w:p>
        </w:tc>
        <w:tc>
          <w:tcPr>
            <w:tcW w:w="1163" w:type="dxa"/>
            <w:noWrap/>
          </w:tcPr>
          <w:p w14:paraId="47339FE2" w14:textId="77777777" w:rsidR="003D3694" w:rsidRPr="00747E35" w:rsidRDefault="003D3694" w:rsidP="0096743A">
            <w:pPr>
              <w:pStyle w:val="Tabletext"/>
              <w:spacing w:before="0" w:after="0"/>
              <w:rPr>
                <w:rFonts w:cstheme="minorHAnsi"/>
              </w:rPr>
            </w:pPr>
          </w:p>
        </w:tc>
        <w:tc>
          <w:tcPr>
            <w:tcW w:w="1559" w:type="dxa"/>
            <w:noWrap/>
            <w:hideMark/>
          </w:tcPr>
          <w:p w14:paraId="228984C2" w14:textId="77777777" w:rsidR="003D3694" w:rsidRPr="00747E35" w:rsidRDefault="003D3694" w:rsidP="0096743A">
            <w:pPr>
              <w:pStyle w:val="Tabletext"/>
              <w:spacing w:before="0" w:after="0"/>
              <w:rPr>
                <w:rFonts w:cstheme="minorHAnsi"/>
              </w:rPr>
            </w:pPr>
            <w:r w:rsidRPr="00747E35">
              <w:rPr>
                <w:rFonts w:cstheme="minorHAnsi"/>
              </w:rPr>
              <w:t>Neutral-DW?</w:t>
            </w:r>
          </w:p>
        </w:tc>
        <w:tc>
          <w:tcPr>
            <w:tcW w:w="951" w:type="dxa"/>
            <w:noWrap/>
            <w:hideMark/>
          </w:tcPr>
          <w:p w14:paraId="10B6D049" w14:textId="77777777" w:rsidR="003D3694" w:rsidRPr="00747E35" w:rsidRDefault="003D3694" w:rsidP="0096743A">
            <w:pPr>
              <w:pStyle w:val="Tabletext"/>
              <w:spacing w:before="0" w:after="0"/>
              <w:rPr>
                <w:rFonts w:cstheme="minorHAnsi"/>
              </w:rPr>
            </w:pPr>
            <w:r w:rsidRPr="00747E35">
              <w:rPr>
                <w:rFonts w:cstheme="minorHAnsi"/>
              </w:rPr>
              <w:t>6</w:t>
            </w:r>
          </w:p>
        </w:tc>
        <w:tc>
          <w:tcPr>
            <w:tcW w:w="1027" w:type="dxa"/>
            <w:noWrap/>
            <w:hideMark/>
          </w:tcPr>
          <w:p w14:paraId="506130C6" w14:textId="77777777" w:rsidR="003D3694" w:rsidRPr="00747E35" w:rsidRDefault="003D3694" w:rsidP="0096743A">
            <w:pPr>
              <w:pStyle w:val="Tabletext"/>
              <w:spacing w:before="0" w:after="0"/>
              <w:rPr>
                <w:rFonts w:cstheme="minorHAnsi"/>
              </w:rPr>
            </w:pPr>
            <w:r w:rsidRPr="00747E35">
              <w:rPr>
                <w:rFonts w:cstheme="minorHAnsi"/>
              </w:rPr>
              <w:t> </w:t>
            </w:r>
          </w:p>
        </w:tc>
      </w:tr>
      <w:tr w:rsidR="003D3694" w:rsidRPr="00747E35" w14:paraId="03464C1A" w14:textId="77777777" w:rsidTr="0096743A">
        <w:trPr>
          <w:trHeight w:val="288"/>
        </w:trPr>
        <w:tc>
          <w:tcPr>
            <w:tcW w:w="1050" w:type="dxa"/>
            <w:noWrap/>
          </w:tcPr>
          <w:p w14:paraId="75F6D9CA" w14:textId="77777777" w:rsidR="003D3694" w:rsidRPr="00747E35" w:rsidRDefault="003D3694" w:rsidP="0096743A">
            <w:pPr>
              <w:pStyle w:val="Tabletext"/>
              <w:spacing w:before="0" w:after="0"/>
              <w:rPr>
                <w:rFonts w:cstheme="minorHAnsi"/>
              </w:rPr>
            </w:pPr>
          </w:p>
        </w:tc>
        <w:tc>
          <w:tcPr>
            <w:tcW w:w="1418" w:type="dxa"/>
            <w:noWrap/>
          </w:tcPr>
          <w:p w14:paraId="1A0DFEDD" w14:textId="77777777" w:rsidR="003D3694" w:rsidRPr="00747E35" w:rsidRDefault="003D3694" w:rsidP="0096743A">
            <w:pPr>
              <w:pStyle w:val="Tabletext"/>
              <w:spacing w:before="0" w:after="0"/>
              <w:rPr>
                <w:rFonts w:cstheme="minorHAnsi"/>
              </w:rPr>
            </w:pPr>
            <w:r w:rsidRPr="00747E35">
              <w:rPr>
                <w:rFonts w:cstheme="minorHAnsi"/>
              </w:rPr>
              <w:t>Trip 1 pilot</w:t>
            </w:r>
          </w:p>
        </w:tc>
        <w:tc>
          <w:tcPr>
            <w:tcW w:w="1134" w:type="dxa"/>
            <w:noWrap/>
            <w:hideMark/>
          </w:tcPr>
          <w:p w14:paraId="25F72E17" w14:textId="77777777" w:rsidR="003D3694" w:rsidRPr="00747E35" w:rsidRDefault="003D3694" w:rsidP="0096743A">
            <w:pPr>
              <w:pStyle w:val="Tabletext"/>
              <w:spacing w:before="0" w:after="0"/>
              <w:rPr>
                <w:rFonts w:cstheme="minorHAnsi"/>
              </w:rPr>
            </w:pPr>
            <w:r w:rsidRPr="00747E35">
              <w:rPr>
                <w:rFonts w:cstheme="minorHAnsi"/>
              </w:rPr>
              <w:t>25/02/2015</w:t>
            </w:r>
          </w:p>
        </w:tc>
        <w:tc>
          <w:tcPr>
            <w:tcW w:w="1105" w:type="dxa"/>
            <w:noWrap/>
            <w:hideMark/>
          </w:tcPr>
          <w:p w14:paraId="16AFFEFA" w14:textId="77777777" w:rsidR="003D3694" w:rsidRPr="00747E35" w:rsidRDefault="003D3694" w:rsidP="0096743A">
            <w:pPr>
              <w:pStyle w:val="Tabletext"/>
              <w:spacing w:before="0" w:after="0"/>
              <w:rPr>
                <w:rFonts w:cstheme="minorHAnsi"/>
              </w:rPr>
            </w:pPr>
            <w:r w:rsidRPr="00747E35">
              <w:rPr>
                <w:rFonts w:cstheme="minorHAnsi"/>
              </w:rPr>
              <w:t>P27_Feb15AB</w:t>
            </w:r>
          </w:p>
        </w:tc>
        <w:tc>
          <w:tcPr>
            <w:tcW w:w="1163" w:type="dxa"/>
            <w:noWrap/>
          </w:tcPr>
          <w:p w14:paraId="78D56F65" w14:textId="77777777" w:rsidR="003D3694" w:rsidRPr="00747E35" w:rsidRDefault="003D3694" w:rsidP="0096743A">
            <w:pPr>
              <w:pStyle w:val="Tabletext"/>
              <w:spacing w:before="0" w:after="0"/>
              <w:rPr>
                <w:rFonts w:cstheme="minorHAnsi"/>
              </w:rPr>
            </w:pPr>
          </w:p>
        </w:tc>
        <w:tc>
          <w:tcPr>
            <w:tcW w:w="1559" w:type="dxa"/>
            <w:noWrap/>
            <w:hideMark/>
          </w:tcPr>
          <w:p w14:paraId="2F1F66D6" w14:textId="77777777" w:rsidR="003D3694" w:rsidRPr="00747E35" w:rsidRDefault="003D3694" w:rsidP="0096743A">
            <w:pPr>
              <w:pStyle w:val="Tabletext"/>
              <w:spacing w:before="0" w:after="0"/>
              <w:rPr>
                <w:rFonts w:cstheme="minorHAnsi"/>
              </w:rPr>
            </w:pPr>
            <w:r w:rsidRPr="00747E35">
              <w:rPr>
                <w:rFonts w:cstheme="minorHAnsi"/>
              </w:rPr>
              <w:t>DW</w:t>
            </w:r>
          </w:p>
        </w:tc>
        <w:tc>
          <w:tcPr>
            <w:tcW w:w="951" w:type="dxa"/>
            <w:noWrap/>
            <w:hideMark/>
          </w:tcPr>
          <w:p w14:paraId="62B8DE01" w14:textId="77777777" w:rsidR="003D3694" w:rsidRPr="00747E35" w:rsidRDefault="003D3694" w:rsidP="0096743A">
            <w:pPr>
              <w:pStyle w:val="Tabletext"/>
              <w:spacing w:before="0" w:after="0"/>
              <w:rPr>
                <w:rFonts w:cstheme="minorHAnsi"/>
              </w:rPr>
            </w:pPr>
            <w:r w:rsidRPr="00747E35">
              <w:rPr>
                <w:rFonts w:cstheme="minorHAnsi"/>
              </w:rPr>
              <w:t>7</w:t>
            </w:r>
          </w:p>
        </w:tc>
        <w:tc>
          <w:tcPr>
            <w:tcW w:w="1027" w:type="dxa"/>
            <w:noWrap/>
            <w:hideMark/>
          </w:tcPr>
          <w:p w14:paraId="6929CA64" w14:textId="77777777" w:rsidR="003D3694" w:rsidRPr="00747E35" w:rsidRDefault="003D3694" w:rsidP="0096743A">
            <w:pPr>
              <w:pStyle w:val="Tabletext"/>
              <w:spacing w:before="0" w:after="0"/>
              <w:rPr>
                <w:rFonts w:cstheme="minorHAnsi"/>
              </w:rPr>
            </w:pPr>
            <w:r w:rsidRPr="00747E35">
              <w:rPr>
                <w:rFonts w:cstheme="minorHAnsi"/>
              </w:rPr>
              <w:t>AB samples 10L</w:t>
            </w:r>
          </w:p>
        </w:tc>
      </w:tr>
      <w:tr w:rsidR="003D3694" w:rsidRPr="00747E35" w14:paraId="721F2F8C" w14:textId="77777777" w:rsidTr="0096743A">
        <w:trPr>
          <w:trHeight w:val="288"/>
        </w:trPr>
        <w:tc>
          <w:tcPr>
            <w:tcW w:w="1050" w:type="dxa"/>
            <w:noWrap/>
          </w:tcPr>
          <w:p w14:paraId="3AE238E5" w14:textId="77777777" w:rsidR="003D3694" w:rsidRPr="00747E35" w:rsidRDefault="003D3694" w:rsidP="0096743A">
            <w:pPr>
              <w:pStyle w:val="Tabletext"/>
              <w:spacing w:before="0" w:after="0"/>
              <w:rPr>
                <w:rFonts w:cstheme="minorHAnsi"/>
              </w:rPr>
            </w:pPr>
          </w:p>
        </w:tc>
        <w:tc>
          <w:tcPr>
            <w:tcW w:w="1418" w:type="dxa"/>
            <w:noWrap/>
          </w:tcPr>
          <w:p w14:paraId="13AD6C8F" w14:textId="77777777" w:rsidR="003D3694" w:rsidRPr="00747E35" w:rsidRDefault="003D3694" w:rsidP="0096743A">
            <w:pPr>
              <w:pStyle w:val="Tabletext"/>
              <w:spacing w:before="0" w:after="0"/>
              <w:rPr>
                <w:rFonts w:cstheme="minorHAnsi"/>
              </w:rPr>
            </w:pPr>
            <w:r w:rsidRPr="00747E35">
              <w:rPr>
                <w:rFonts w:cstheme="minorHAnsi"/>
              </w:rPr>
              <w:t>Trip 1 pilot</w:t>
            </w:r>
          </w:p>
        </w:tc>
        <w:tc>
          <w:tcPr>
            <w:tcW w:w="1134" w:type="dxa"/>
            <w:noWrap/>
            <w:hideMark/>
          </w:tcPr>
          <w:p w14:paraId="7F2A5960" w14:textId="77777777" w:rsidR="003D3694" w:rsidRPr="00747E35" w:rsidRDefault="003D3694" w:rsidP="0096743A">
            <w:pPr>
              <w:pStyle w:val="Tabletext"/>
              <w:spacing w:before="0" w:after="0"/>
              <w:rPr>
                <w:rFonts w:cstheme="minorHAnsi"/>
              </w:rPr>
            </w:pPr>
            <w:r w:rsidRPr="00747E35">
              <w:rPr>
                <w:rFonts w:cstheme="minorHAnsi"/>
              </w:rPr>
              <w:t>25/02/2015</w:t>
            </w:r>
          </w:p>
        </w:tc>
        <w:tc>
          <w:tcPr>
            <w:tcW w:w="1105" w:type="dxa"/>
            <w:noWrap/>
            <w:hideMark/>
          </w:tcPr>
          <w:p w14:paraId="16B3B742" w14:textId="77777777" w:rsidR="003D3694" w:rsidRPr="00747E35" w:rsidRDefault="003D3694" w:rsidP="0096743A">
            <w:pPr>
              <w:pStyle w:val="Tabletext"/>
              <w:spacing w:before="0" w:after="0"/>
              <w:rPr>
                <w:rFonts w:cstheme="minorHAnsi"/>
              </w:rPr>
            </w:pPr>
            <w:r w:rsidRPr="00747E35">
              <w:rPr>
                <w:rFonts w:cstheme="minorHAnsi"/>
              </w:rPr>
              <w:t>P32_Feb15AB</w:t>
            </w:r>
          </w:p>
        </w:tc>
        <w:tc>
          <w:tcPr>
            <w:tcW w:w="1163" w:type="dxa"/>
            <w:noWrap/>
          </w:tcPr>
          <w:p w14:paraId="078A0A5D" w14:textId="77777777" w:rsidR="003D3694" w:rsidRPr="00747E35" w:rsidRDefault="003D3694" w:rsidP="0096743A">
            <w:pPr>
              <w:pStyle w:val="Tabletext"/>
              <w:spacing w:before="0" w:after="0"/>
              <w:rPr>
                <w:rFonts w:cstheme="minorHAnsi"/>
              </w:rPr>
            </w:pPr>
          </w:p>
        </w:tc>
        <w:tc>
          <w:tcPr>
            <w:tcW w:w="1559" w:type="dxa"/>
            <w:noWrap/>
            <w:hideMark/>
          </w:tcPr>
          <w:p w14:paraId="55BC4BC7" w14:textId="77777777" w:rsidR="003D3694" w:rsidRPr="00747E35" w:rsidRDefault="003D3694" w:rsidP="0096743A">
            <w:pPr>
              <w:pStyle w:val="Tabletext"/>
              <w:spacing w:before="0" w:after="0"/>
              <w:rPr>
                <w:rFonts w:cstheme="minorHAnsi"/>
              </w:rPr>
            </w:pPr>
            <w:r w:rsidRPr="00747E35">
              <w:rPr>
                <w:rFonts w:cstheme="minorHAnsi"/>
              </w:rPr>
              <w:t>UW</w:t>
            </w:r>
          </w:p>
        </w:tc>
        <w:tc>
          <w:tcPr>
            <w:tcW w:w="951" w:type="dxa"/>
            <w:noWrap/>
            <w:hideMark/>
          </w:tcPr>
          <w:p w14:paraId="33B401C3" w14:textId="77777777" w:rsidR="003D3694" w:rsidRPr="00747E35" w:rsidRDefault="003D3694" w:rsidP="0096743A">
            <w:pPr>
              <w:pStyle w:val="Tabletext"/>
              <w:spacing w:before="0" w:after="0"/>
              <w:rPr>
                <w:rFonts w:cstheme="minorHAnsi"/>
              </w:rPr>
            </w:pPr>
            <w:r w:rsidRPr="00747E35">
              <w:rPr>
                <w:rFonts w:cstheme="minorHAnsi"/>
              </w:rPr>
              <w:t>32</w:t>
            </w:r>
          </w:p>
        </w:tc>
        <w:tc>
          <w:tcPr>
            <w:tcW w:w="1027" w:type="dxa"/>
            <w:noWrap/>
            <w:hideMark/>
          </w:tcPr>
          <w:p w14:paraId="1BB461F8" w14:textId="77777777" w:rsidR="003D3694" w:rsidRPr="00747E35" w:rsidRDefault="003D3694" w:rsidP="0096743A">
            <w:pPr>
              <w:pStyle w:val="Tabletext"/>
              <w:spacing w:before="0" w:after="0"/>
              <w:rPr>
                <w:rFonts w:cstheme="minorHAnsi"/>
              </w:rPr>
            </w:pPr>
            <w:r w:rsidRPr="00747E35">
              <w:rPr>
                <w:rFonts w:cstheme="minorHAnsi"/>
              </w:rPr>
              <w:t>AB samples 10L</w:t>
            </w:r>
          </w:p>
        </w:tc>
      </w:tr>
      <w:tr w:rsidR="003D3694" w:rsidRPr="00747E35" w14:paraId="4161FCED" w14:textId="77777777" w:rsidTr="0096743A">
        <w:trPr>
          <w:trHeight w:val="288"/>
        </w:trPr>
        <w:tc>
          <w:tcPr>
            <w:tcW w:w="1050" w:type="dxa"/>
            <w:noWrap/>
          </w:tcPr>
          <w:p w14:paraId="31700080" w14:textId="77777777" w:rsidR="003D3694" w:rsidRPr="00747E35" w:rsidRDefault="003D3694" w:rsidP="0096743A">
            <w:pPr>
              <w:pStyle w:val="Tabletext"/>
              <w:spacing w:before="0" w:after="0"/>
              <w:rPr>
                <w:rFonts w:cstheme="minorHAnsi"/>
              </w:rPr>
            </w:pPr>
          </w:p>
        </w:tc>
        <w:tc>
          <w:tcPr>
            <w:tcW w:w="1418" w:type="dxa"/>
            <w:noWrap/>
          </w:tcPr>
          <w:p w14:paraId="30D0050B" w14:textId="77777777" w:rsidR="003D3694" w:rsidRPr="00747E35" w:rsidRDefault="003D3694" w:rsidP="0096743A">
            <w:pPr>
              <w:pStyle w:val="Tabletext"/>
              <w:spacing w:before="0" w:after="0"/>
              <w:rPr>
                <w:rFonts w:cstheme="minorHAnsi"/>
              </w:rPr>
            </w:pPr>
            <w:r w:rsidRPr="00747E35">
              <w:rPr>
                <w:rFonts w:cstheme="minorHAnsi"/>
              </w:rPr>
              <w:t>Trip 1 pilot</w:t>
            </w:r>
          </w:p>
        </w:tc>
        <w:tc>
          <w:tcPr>
            <w:tcW w:w="1134" w:type="dxa"/>
            <w:noWrap/>
            <w:hideMark/>
          </w:tcPr>
          <w:p w14:paraId="375E48F8" w14:textId="77777777" w:rsidR="003D3694" w:rsidRPr="00747E35" w:rsidRDefault="003D3694" w:rsidP="0096743A">
            <w:pPr>
              <w:pStyle w:val="Tabletext"/>
              <w:spacing w:before="0" w:after="0"/>
              <w:rPr>
                <w:rFonts w:cstheme="minorHAnsi"/>
              </w:rPr>
            </w:pPr>
            <w:r w:rsidRPr="00747E35">
              <w:rPr>
                <w:rFonts w:cstheme="minorHAnsi"/>
              </w:rPr>
              <w:t>25/02/2015</w:t>
            </w:r>
          </w:p>
        </w:tc>
        <w:tc>
          <w:tcPr>
            <w:tcW w:w="1105" w:type="dxa"/>
            <w:noWrap/>
            <w:hideMark/>
          </w:tcPr>
          <w:p w14:paraId="372220FE" w14:textId="77777777" w:rsidR="003D3694" w:rsidRPr="00747E35" w:rsidRDefault="003D3694" w:rsidP="0096743A">
            <w:pPr>
              <w:pStyle w:val="Tabletext"/>
              <w:spacing w:before="0" w:after="0"/>
              <w:rPr>
                <w:rFonts w:cstheme="minorHAnsi"/>
              </w:rPr>
            </w:pPr>
            <w:r w:rsidRPr="00747E35">
              <w:rPr>
                <w:rFonts w:cstheme="minorHAnsi"/>
              </w:rPr>
              <w:t>P35R9_Feb15AB</w:t>
            </w:r>
          </w:p>
        </w:tc>
        <w:tc>
          <w:tcPr>
            <w:tcW w:w="1163" w:type="dxa"/>
            <w:noWrap/>
            <w:hideMark/>
          </w:tcPr>
          <w:p w14:paraId="33589461" w14:textId="77777777" w:rsidR="003D3694" w:rsidRPr="00747E35" w:rsidRDefault="003D3694" w:rsidP="0096743A">
            <w:pPr>
              <w:pStyle w:val="Tabletext"/>
              <w:spacing w:before="0" w:after="0"/>
              <w:rPr>
                <w:rFonts w:cstheme="minorHAnsi"/>
              </w:rPr>
            </w:pPr>
            <w:r w:rsidRPr="00747E35">
              <w:rPr>
                <w:rFonts w:cstheme="minorHAnsi"/>
              </w:rPr>
              <w:t>Perennial Losing</w:t>
            </w:r>
          </w:p>
        </w:tc>
        <w:tc>
          <w:tcPr>
            <w:tcW w:w="1559" w:type="dxa"/>
            <w:noWrap/>
            <w:hideMark/>
          </w:tcPr>
          <w:p w14:paraId="68411A7D" w14:textId="77777777" w:rsidR="003D3694" w:rsidRPr="00747E35" w:rsidRDefault="003D3694" w:rsidP="0096743A">
            <w:pPr>
              <w:pStyle w:val="Tabletext"/>
              <w:spacing w:before="0" w:after="0"/>
              <w:rPr>
                <w:rFonts w:cstheme="minorHAnsi"/>
              </w:rPr>
            </w:pPr>
            <w:r w:rsidRPr="00747E35">
              <w:rPr>
                <w:rFonts w:cstheme="minorHAnsi"/>
              </w:rPr>
              <w:t>DW</w:t>
            </w:r>
          </w:p>
        </w:tc>
        <w:tc>
          <w:tcPr>
            <w:tcW w:w="951" w:type="dxa"/>
            <w:noWrap/>
            <w:hideMark/>
          </w:tcPr>
          <w:p w14:paraId="24A211AB" w14:textId="77777777" w:rsidR="003D3694" w:rsidRPr="00747E35" w:rsidRDefault="003D3694" w:rsidP="0096743A">
            <w:pPr>
              <w:pStyle w:val="Tabletext"/>
              <w:spacing w:before="0" w:after="0"/>
              <w:rPr>
                <w:rFonts w:cstheme="minorHAnsi"/>
              </w:rPr>
            </w:pPr>
            <w:r w:rsidRPr="00747E35">
              <w:rPr>
                <w:rFonts w:cstheme="minorHAnsi"/>
              </w:rPr>
              <w:t>32</w:t>
            </w:r>
          </w:p>
        </w:tc>
        <w:tc>
          <w:tcPr>
            <w:tcW w:w="1027" w:type="dxa"/>
            <w:noWrap/>
            <w:hideMark/>
          </w:tcPr>
          <w:p w14:paraId="788C81F1" w14:textId="77777777" w:rsidR="003D3694" w:rsidRPr="00747E35" w:rsidRDefault="003D3694" w:rsidP="0096743A">
            <w:pPr>
              <w:pStyle w:val="Tabletext"/>
              <w:spacing w:before="0" w:after="0"/>
              <w:rPr>
                <w:rFonts w:cstheme="minorHAnsi"/>
              </w:rPr>
            </w:pPr>
            <w:r w:rsidRPr="00747E35">
              <w:rPr>
                <w:rFonts w:cstheme="minorHAnsi"/>
              </w:rPr>
              <w:t>AB samples 10L</w:t>
            </w:r>
          </w:p>
        </w:tc>
      </w:tr>
      <w:tr w:rsidR="003D3694" w:rsidRPr="00747E35" w14:paraId="195C40CC" w14:textId="77777777" w:rsidTr="0096743A">
        <w:trPr>
          <w:trHeight w:val="288"/>
        </w:trPr>
        <w:tc>
          <w:tcPr>
            <w:tcW w:w="1050" w:type="dxa"/>
            <w:noWrap/>
            <w:hideMark/>
          </w:tcPr>
          <w:p w14:paraId="6730EC08" w14:textId="77777777" w:rsidR="003D3694" w:rsidRPr="00747E35" w:rsidRDefault="003D3694" w:rsidP="0096743A">
            <w:pPr>
              <w:pStyle w:val="Tabletext"/>
              <w:spacing w:before="0" w:after="0"/>
              <w:rPr>
                <w:rFonts w:cstheme="minorHAnsi"/>
              </w:rPr>
            </w:pPr>
            <w:r w:rsidRPr="00747E35">
              <w:rPr>
                <w:rFonts w:cstheme="minorHAnsi"/>
              </w:rPr>
              <w:t>Maules Creek</w:t>
            </w:r>
          </w:p>
        </w:tc>
        <w:tc>
          <w:tcPr>
            <w:tcW w:w="1418" w:type="dxa"/>
            <w:noWrap/>
          </w:tcPr>
          <w:p w14:paraId="5ADBEA3D" w14:textId="77777777" w:rsidR="003D3694" w:rsidRPr="00747E35" w:rsidRDefault="003D3694" w:rsidP="0096743A">
            <w:pPr>
              <w:pStyle w:val="Tabletext"/>
              <w:spacing w:before="0" w:after="0"/>
              <w:rPr>
                <w:rFonts w:cstheme="minorHAnsi"/>
              </w:rPr>
            </w:pPr>
            <w:r w:rsidRPr="00747E35">
              <w:rPr>
                <w:rFonts w:cstheme="minorHAnsi"/>
              </w:rPr>
              <w:t xml:space="preserve">Trip 5 </w:t>
            </w:r>
          </w:p>
        </w:tc>
        <w:tc>
          <w:tcPr>
            <w:tcW w:w="1134" w:type="dxa"/>
            <w:noWrap/>
            <w:hideMark/>
          </w:tcPr>
          <w:p w14:paraId="41B5FF40" w14:textId="77777777" w:rsidR="003D3694" w:rsidRPr="00747E35" w:rsidRDefault="003D3694" w:rsidP="0096743A">
            <w:pPr>
              <w:pStyle w:val="Tabletext"/>
              <w:spacing w:before="0" w:after="0"/>
              <w:rPr>
                <w:rFonts w:cstheme="minorHAnsi"/>
              </w:rPr>
            </w:pPr>
            <w:r w:rsidRPr="00747E35">
              <w:rPr>
                <w:rFonts w:cstheme="minorHAnsi"/>
              </w:rPr>
              <w:t>15/09/2015</w:t>
            </w:r>
          </w:p>
        </w:tc>
        <w:tc>
          <w:tcPr>
            <w:tcW w:w="1105" w:type="dxa"/>
            <w:noWrap/>
            <w:hideMark/>
          </w:tcPr>
          <w:p w14:paraId="7E0E12F6" w14:textId="77777777" w:rsidR="003D3694" w:rsidRPr="00747E35" w:rsidRDefault="003D3694" w:rsidP="0096743A">
            <w:pPr>
              <w:pStyle w:val="Tabletext"/>
              <w:spacing w:before="0" w:after="0"/>
              <w:rPr>
                <w:rFonts w:cstheme="minorHAnsi"/>
              </w:rPr>
            </w:pPr>
            <w:r w:rsidRPr="00747E35">
              <w:rPr>
                <w:rFonts w:cstheme="minorHAnsi"/>
              </w:rPr>
              <w:t>ECP36_Sept15</w:t>
            </w:r>
          </w:p>
        </w:tc>
        <w:tc>
          <w:tcPr>
            <w:tcW w:w="1163" w:type="dxa"/>
            <w:noWrap/>
            <w:hideMark/>
          </w:tcPr>
          <w:p w14:paraId="7CFA69F7" w14:textId="77777777" w:rsidR="003D3694" w:rsidRPr="00747E35" w:rsidRDefault="003D3694" w:rsidP="0096743A">
            <w:pPr>
              <w:pStyle w:val="Tabletext"/>
              <w:spacing w:before="0" w:after="0"/>
              <w:rPr>
                <w:rFonts w:cstheme="minorHAnsi"/>
              </w:rPr>
            </w:pPr>
            <w:r w:rsidRPr="00747E35">
              <w:rPr>
                <w:rFonts w:cstheme="minorHAnsi"/>
              </w:rPr>
              <w:t>Perennial Losing</w:t>
            </w:r>
          </w:p>
        </w:tc>
        <w:tc>
          <w:tcPr>
            <w:tcW w:w="1559" w:type="dxa"/>
            <w:noWrap/>
            <w:hideMark/>
          </w:tcPr>
          <w:p w14:paraId="2DC019A6" w14:textId="77777777" w:rsidR="003D3694" w:rsidRPr="00747E35" w:rsidRDefault="003D3694" w:rsidP="0096743A">
            <w:pPr>
              <w:pStyle w:val="Tabletext"/>
              <w:spacing w:before="0" w:after="0"/>
              <w:rPr>
                <w:rFonts w:cstheme="minorHAnsi"/>
              </w:rPr>
            </w:pPr>
            <w:r w:rsidRPr="00747E35">
              <w:rPr>
                <w:rFonts w:cstheme="minorHAnsi"/>
              </w:rPr>
              <w:t>DW</w:t>
            </w:r>
          </w:p>
        </w:tc>
        <w:tc>
          <w:tcPr>
            <w:tcW w:w="951" w:type="dxa"/>
            <w:noWrap/>
            <w:hideMark/>
          </w:tcPr>
          <w:p w14:paraId="3DA4C4F4" w14:textId="77777777" w:rsidR="003D3694" w:rsidRPr="00747E35" w:rsidRDefault="003D3694" w:rsidP="0096743A">
            <w:pPr>
              <w:pStyle w:val="Tabletext"/>
              <w:spacing w:before="0" w:after="0"/>
              <w:rPr>
                <w:rFonts w:cstheme="minorHAnsi"/>
              </w:rPr>
            </w:pPr>
            <w:r w:rsidRPr="00747E35">
              <w:rPr>
                <w:rFonts w:cstheme="minorHAnsi"/>
              </w:rPr>
              <w:t>2</w:t>
            </w:r>
          </w:p>
        </w:tc>
        <w:tc>
          <w:tcPr>
            <w:tcW w:w="1027" w:type="dxa"/>
            <w:noWrap/>
            <w:hideMark/>
          </w:tcPr>
          <w:p w14:paraId="7524A1B3" w14:textId="77777777" w:rsidR="003D3694" w:rsidRPr="00747E35" w:rsidRDefault="003D3694" w:rsidP="0096743A">
            <w:pPr>
              <w:pStyle w:val="Tabletext"/>
              <w:spacing w:before="0" w:after="0"/>
              <w:rPr>
                <w:rFonts w:cstheme="minorHAnsi"/>
              </w:rPr>
            </w:pPr>
            <w:r w:rsidRPr="00747E35">
              <w:rPr>
                <w:rFonts w:cstheme="minorHAnsi"/>
              </w:rPr>
              <w:t> </w:t>
            </w:r>
          </w:p>
        </w:tc>
      </w:tr>
      <w:tr w:rsidR="003D3694" w:rsidRPr="00747E35" w14:paraId="20048B85" w14:textId="77777777" w:rsidTr="0096743A">
        <w:trPr>
          <w:trHeight w:val="288"/>
        </w:trPr>
        <w:tc>
          <w:tcPr>
            <w:tcW w:w="1050" w:type="dxa"/>
            <w:noWrap/>
          </w:tcPr>
          <w:p w14:paraId="032E93D3" w14:textId="77777777" w:rsidR="003D3694" w:rsidRPr="00747E35" w:rsidRDefault="003D3694" w:rsidP="0096743A">
            <w:pPr>
              <w:pStyle w:val="Tabletext"/>
              <w:spacing w:before="0" w:after="0"/>
              <w:rPr>
                <w:rFonts w:cstheme="minorHAnsi"/>
              </w:rPr>
            </w:pPr>
          </w:p>
        </w:tc>
        <w:tc>
          <w:tcPr>
            <w:tcW w:w="1418" w:type="dxa"/>
            <w:noWrap/>
          </w:tcPr>
          <w:p w14:paraId="2CE9C498" w14:textId="77777777" w:rsidR="003D3694" w:rsidRPr="00747E35" w:rsidRDefault="003D3694" w:rsidP="0096743A">
            <w:pPr>
              <w:pStyle w:val="Tabletext"/>
              <w:spacing w:before="0" w:after="0"/>
              <w:rPr>
                <w:rFonts w:cstheme="minorHAnsi"/>
              </w:rPr>
            </w:pPr>
            <w:r w:rsidRPr="00747E35">
              <w:rPr>
                <w:rFonts w:cstheme="minorHAnsi"/>
              </w:rPr>
              <w:t>Trip 6 (R1)</w:t>
            </w:r>
          </w:p>
        </w:tc>
        <w:tc>
          <w:tcPr>
            <w:tcW w:w="1134" w:type="dxa"/>
            <w:noWrap/>
            <w:hideMark/>
          </w:tcPr>
          <w:p w14:paraId="1F27C4E1" w14:textId="77777777" w:rsidR="003D3694" w:rsidRPr="00747E35" w:rsidRDefault="003D3694" w:rsidP="0096743A">
            <w:pPr>
              <w:pStyle w:val="Tabletext"/>
              <w:spacing w:before="0" w:after="0"/>
              <w:rPr>
                <w:rFonts w:cstheme="minorHAnsi"/>
              </w:rPr>
            </w:pPr>
            <w:r w:rsidRPr="00747E35">
              <w:rPr>
                <w:rFonts w:cstheme="minorHAnsi"/>
              </w:rPr>
              <w:t>25/02/2016</w:t>
            </w:r>
          </w:p>
        </w:tc>
        <w:tc>
          <w:tcPr>
            <w:tcW w:w="1105" w:type="dxa"/>
            <w:noWrap/>
            <w:hideMark/>
          </w:tcPr>
          <w:p w14:paraId="53B8A50F" w14:textId="77777777" w:rsidR="003D3694" w:rsidRPr="00747E35" w:rsidRDefault="003D3694" w:rsidP="0096743A">
            <w:pPr>
              <w:pStyle w:val="Tabletext"/>
              <w:spacing w:before="0" w:after="0"/>
              <w:rPr>
                <w:rFonts w:cstheme="minorHAnsi"/>
              </w:rPr>
            </w:pPr>
            <w:r w:rsidRPr="00747E35">
              <w:rPr>
                <w:rFonts w:cstheme="minorHAnsi"/>
              </w:rPr>
              <w:t>ECP36_Feb16</w:t>
            </w:r>
          </w:p>
        </w:tc>
        <w:tc>
          <w:tcPr>
            <w:tcW w:w="1163" w:type="dxa"/>
            <w:noWrap/>
          </w:tcPr>
          <w:p w14:paraId="6DA10890" w14:textId="77777777" w:rsidR="003D3694" w:rsidRPr="00747E35" w:rsidRDefault="003D3694" w:rsidP="0096743A">
            <w:pPr>
              <w:pStyle w:val="Tabletext"/>
              <w:spacing w:before="0" w:after="0"/>
              <w:rPr>
                <w:rFonts w:cstheme="minorHAnsi"/>
              </w:rPr>
            </w:pPr>
          </w:p>
        </w:tc>
        <w:tc>
          <w:tcPr>
            <w:tcW w:w="1559" w:type="dxa"/>
            <w:noWrap/>
            <w:hideMark/>
          </w:tcPr>
          <w:p w14:paraId="55D26D87" w14:textId="77777777" w:rsidR="003D3694" w:rsidRPr="00747E35" w:rsidRDefault="003D3694" w:rsidP="0096743A">
            <w:pPr>
              <w:pStyle w:val="Tabletext"/>
              <w:spacing w:before="0" w:after="0"/>
              <w:rPr>
                <w:rFonts w:cstheme="minorHAnsi"/>
              </w:rPr>
            </w:pPr>
            <w:r w:rsidRPr="00747E35">
              <w:rPr>
                <w:rFonts w:cstheme="minorHAnsi"/>
              </w:rPr>
              <w:t>Neutral-DW?</w:t>
            </w:r>
          </w:p>
        </w:tc>
        <w:tc>
          <w:tcPr>
            <w:tcW w:w="951" w:type="dxa"/>
            <w:noWrap/>
            <w:hideMark/>
          </w:tcPr>
          <w:p w14:paraId="04C0BF92" w14:textId="77777777" w:rsidR="003D3694" w:rsidRPr="00747E35" w:rsidRDefault="003D3694" w:rsidP="0096743A">
            <w:pPr>
              <w:pStyle w:val="Tabletext"/>
              <w:spacing w:before="0" w:after="0"/>
              <w:rPr>
                <w:rFonts w:cstheme="minorHAnsi"/>
              </w:rPr>
            </w:pPr>
            <w:r w:rsidRPr="00747E35">
              <w:rPr>
                <w:rFonts w:cstheme="minorHAnsi"/>
              </w:rPr>
              <w:t>4</w:t>
            </w:r>
          </w:p>
        </w:tc>
        <w:tc>
          <w:tcPr>
            <w:tcW w:w="1027" w:type="dxa"/>
            <w:noWrap/>
            <w:hideMark/>
          </w:tcPr>
          <w:p w14:paraId="7181EA40" w14:textId="77777777" w:rsidR="003D3694" w:rsidRPr="00747E35" w:rsidRDefault="003D3694" w:rsidP="0096743A">
            <w:pPr>
              <w:pStyle w:val="Tabletext"/>
              <w:spacing w:before="0" w:after="0"/>
              <w:rPr>
                <w:rFonts w:cstheme="minorHAnsi"/>
              </w:rPr>
            </w:pPr>
            <w:r w:rsidRPr="00747E35">
              <w:rPr>
                <w:rFonts w:cstheme="minorHAnsi"/>
              </w:rPr>
              <w:t> </w:t>
            </w:r>
          </w:p>
        </w:tc>
      </w:tr>
      <w:tr w:rsidR="003D3694" w:rsidRPr="00747E35" w14:paraId="1E0D6C9F" w14:textId="77777777" w:rsidTr="0096743A">
        <w:trPr>
          <w:trHeight w:val="288"/>
        </w:trPr>
        <w:tc>
          <w:tcPr>
            <w:tcW w:w="1050" w:type="dxa"/>
            <w:noWrap/>
          </w:tcPr>
          <w:p w14:paraId="696920F1" w14:textId="77777777" w:rsidR="003D3694" w:rsidRPr="00747E35" w:rsidRDefault="003D3694" w:rsidP="0096743A">
            <w:pPr>
              <w:pStyle w:val="Tabletext"/>
              <w:spacing w:before="0" w:after="0"/>
              <w:rPr>
                <w:rFonts w:cstheme="minorHAnsi"/>
              </w:rPr>
            </w:pPr>
          </w:p>
        </w:tc>
        <w:tc>
          <w:tcPr>
            <w:tcW w:w="1418" w:type="dxa"/>
            <w:noWrap/>
          </w:tcPr>
          <w:p w14:paraId="01219D2A" w14:textId="77777777" w:rsidR="003D3694" w:rsidRPr="00747E35" w:rsidRDefault="003D3694" w:rsidP="0096743A">
            <w:pPr>
              <w:pStyle w:val="Tabletext"/>
              <w:spacing w:before="0" w:after="0"/>
              <w:rPr>
                <w:rFonts w:cstheme="minorHAnsi"/>
              </w:rPr>
            </w:pPr>
            <w:r w:rsidRPr="00747E35">
              <w:rPr>
                <w:rFonts w:cstheme="minorHAnsi"/>
              </w:rPr>
              <w:t>Trip 8 (R2)</w:t>
            </w:r>
          </w:p>
        </w:tc>
        <w:tc>
          <w:tcPr>
            <w:tcW w:w="1134" w:type="dxa"/>
            <w:noWrap/>
            <w:hideMark/>
          </w:tcPr>
          <w:p w14:paraId="0196FF0C" w14:textId="77777777" w:rsidR="003D3694" w:rsidRPr="00747E35" w:rsidRDefault="003D3694" w:rsidP="0096743A">
            <w:pPr>
              <w:pStyle w:val="Tabletext"/>
              <w:spacing w:before="0" w:after="0"/>
              <w:rPr>
                <w:rFonts w:cstheme="minorHAnsi"/>
              </w:rPr>
            </w:pPr>
            <w:r w:rsidRPr="00747E35">
              <w:rPr>
                <w:rFonts w:cstheme="minorHAnsi"/>
              </w:rPr>
              <w:t>26/02/2016</w:t>
            </w:r>
          </w:p>
        </w:tc>
        <w:tc>
          <w:tcPr>
            <w:tcW w:w="1105" w:type="dxa"/>
            <w:noWrap/>
            <w:hideMark/>
          </w:tcPr>
          <w:p w14:paraId="18C317F9" w14:textId="77777777" w:rsidR="003D3694" w:rsidRPr="00747E35" w:rsidRDefault="003D3694" w:rsidP="0096743A">
            <w:pPr>
              <w:pStyle w:val="Tabletext"/>
              <w:spacing w:before="0" w:after="0"/>
              <w:rPr>
                <w:rFonts w:cstheme="minorHAnsi"/>
              </w:rPr>
            </w:pPr>
            <w:r w:rsidRPr="00747E35">
              <w:rPr>
                <w:rFonts w:cstheme="minorHAnsi"/>
              </w:rPr>
              <w:t>P38_Feb16</w:t>
            </w:r>
          </w:p>
        </w:tc>
        <w:tc>
          <w:tcPr>
            <w:tcW w:w="1163" w:type="dxa"/>
            <w:noWrap/>
          </w:tcPr>
          <w:p w14:paraId="0F7B7BAB" w14:textId="77777777" w:rsidR="003D3694" w:rsidRPr="00747E35" w:rsidRDefault="003D3694" w:rsidP="0096743A">
            <w:pPr>
              <w:pStyle w:val="Tabletext"/>
              <w:spacing w:before="0" w:after="0"/>
              <w:rPr>
                <w:rFonts w:cstheme="minorHAnsi"/>
              </w:rPr>
            </w:pPr>
          </w:p>
        </w:tc>
        <w:tc>
          <w:tcPr>
            <w:tcW w:w="1559" w:type="dxa"/>
            <w:noWrap/>
            <w:hideMark/>
          </w:tcPr>
          <w:p w14:paraId="0F440FE6" w14:textId="77777777" w:rsidR="003D3694" w:rsidRPr="00747E35" w:rsidRDefault="003D3694" w:rsidP="0096743A">
            <w:pPr>
              <w:pStyle w:val="Tabletext"/>
              <w:spacing w:before="0" w:after="0"/>
              <w:rPr>
                <w:rFonts w:cstheme="minorHAnsi"/>
              </w:rPr>
            </w:pPr>
            <w:r w:rsidRPr="00747E35">
              <w:rPr>
                <w:rFonts w:cstheme="minorHAnsi"/>
              </w:rPr>
              <w:t>Neutral-DW?</w:t>
            </w:r>
          </w:p>
        </w:tc>
        <w:tc>
          <w:tcPr>
            <w:tcW w:w="951" w:type="dxa"/>
            <w:noWrap/>
            <w:hideMark/>
          </w:tcPr>
          <w:p w14:paraId="4122B24C" w14:textId="77777777" w:rsidR="003D3694" w:rsidRPr="00747E35" w:rsidRDefault="003D3694" w:rsidP="0096743A">
            <w:pPr>
              <w:pStyle w:val="Tabletext"/>
              <w:spacing w:before="0" w:after="0"/>
              <w:rPr>
                <w:rFonts w:cstheme="minorHAnsi"/>
              </w:rPr>
            </w:pPr>
            <w:r w:rsidRPr="00747E35">
              <w:rPr>
                <w:rFonts w:cstheme="minorHAnsi"/>
              </w:rPr>
              <w:t>6</w:t>
            </w:r>
          </w:p>
        </w:tc>
        <w:tc>
          <w:tcPr>
            <w:tcW w:w="1027" w:type="dxa"/>
            <w:noWrap/>
            <w:hideMark/>
          </w:tcPr>
          <w:p w14:paraId="6B1EF798" w14:textId="77777777" w:rsidR="003D3694" w:rsidRPr="00747E35" w:rsidRDefault="003D3694" w:rsidP="0096743A">
            <w:pPr>
              <w:pStyle w:val="Tabletext"/>
              <w:spacing w:before="0" w:after="0"/>
              <w:rPr>
                <w:rFonts w:cstheme="minorHAnsi"/>
              </w:rPr>
            </w:pPr>
            <w:r w:rsidRPr="00747E35">
              <w:rPr>
                <w:rFonts w:cstheme="minorHAnsi"/>
              </w:rPr>
              <w:t> </w:t>
            </w:r>
          </w:p>
        </w:tc>
      </w:tr>
      <w:tr w:rsidR="003D3694" w:rsidRPr="00747E35" w14:paraId="5D5DB7B6" w14:textId="77777777" w:rsidTr="0096743A">
        <w:trPr>
          <w:trHeight w:val="288"/>
        </w:trPr>
        <w:tc>
          <w:tcPr>
            <w:tcW w:w="1050" w:type="dxa"/>
            <w:noWrap/>
          </w:tcPr>
          <w:p w14:paraId="040CC08B" w14:textId="77777777" w:rsidR="003D3694" w:rsidRPr="00747E35" w:rsidRDefault="003D3694" w:rsidP="0096743A">
            <w:pPr>
              <w:pStyle w:val="Tabletext"/>
              <w:spacing w:before="0" w:after="0"/>
              <w:rPr>
                <w:rFonts w:cstheme="minorHAnsi"/>
              </w:rPr>
            </w:pPr>
          </w:p>
        </w:tc>
        <w:tc>
          <w:tcPr>
            <w:tcW w:w="1418" w:type="dxa"/>
            <w:noWrap/>
          </w:tcPr>
          <w:p w14:paraId="7843517C" w14:textId="77777777" w:rsidR="003D3694" w:rsidRPr="00747E35" w:rsidRDefault="003D3694" w:rsidP="0096743A">
            <w:pPr>
              <w:pStyle w:val="Tabletext"/>
              <w:spacing w:before="0" w:after="0"/>
              <w:rPr>
                <w:rFonts w:cstheme="minorHAnsi"/>
              </w:rPr>
            </w:pPr>
            <w:r w:rsidRPr="00747E35">
              <w:rPr>
                <w:rFonts w:cstheme="minorHAnsi"/>
              </w:rPr>
              <w:t>Trip 3</w:t>
            </w:r>
          </w:p>
        </w:tc>
        <w:tc>
          <w:tcPr>
            <w:tcW w:w="1134" w:type="dxa"/>
            <w:noWrap/>
            <w:hideMark/>
          </w:tcPr>
          <w:p w14:paraId="4999FCB4" w14:textId="77777777" w:rsidR="003D3694" w:rsidRPr="00747E35" w:rsidRDefault="003D3694" w:rsidP="0096743A">
            <w:pPr>
              <w:pStyle w:val="Tabletext"/>
              <w:spacing w:before="0" w:after="0"/>
              <w:rPr>
                <w:rFonts w:cstheme="minorHAnsi"/>
              </w:rPr>
            </w:pPr>
            <w:r w:rsidRPr="00747E35">
              <w:rPr>
                <w:rFonts w:cstheme="minorHAnsi"/>
              </w:rPr>
              <w:t>22/07/2015</w:t>
            </w:r>
          </w:p>
        </w:tc>
        <w:tc>
          <w:tcPr>
            <w:tcW w:w="1105" w:type="dxa"/>
            <w:noWrap/>
            <w:hideMark/>
          </w:tcPr>
          <w:p w14:paraId="33806C91" w14:textId="77777777" w:rsidR="003D3694" w:rsidRPr="00747E35" w:rsidRDefault="003D3694" w:rsidP="0096743A">
            <w:pPr>
              <w:pStyle w:val="Tabletext"/>
              <w:spacing w:before="0" w:after="0"/>
              <w:rPr>
                <w:rFonts w:cstheme="minorHAnsi"/>
              </w:rPr>
            </w:pPr>
            <w:r w:rsidRPr="00747E35">
              <w:rPr>
                <w:rFonts w:cstheme="minorHAnsi"/>
              </w:rPr>
              <w:t>R11_July15</w:t>
            </w:r>
          </w:p>
        </w:tc>
        <w:tc>
          <w:tcPr>
            <w:tcW w:w="1163" w:type="dxa"/>
            <w:noWrap/>
          </w:tcPr>
          <w:p w14:paraId="60D1D515" w14:textId="77777777" w:rsidR="003D3694" w:rsidRPr="00747E35" w:rsidRDefault="003D3694" w:rsidP="0096743A">
            <w:pPr>
              <w:pStyle w:val="Tabletext"/>
              <w:spacing w:before="0" w:after="0"/>
              <w:rPr>
                <w:rFonts w:cstheme="minorHAnsi"/>
              </w:rPr>
            </w:pPr>
          </w:p>
        </w:tc>
        <w:tc>
          <w:tcPr>
            <w:tcW w:w="1559" w:type="dxa"/>
            <w:noWrap/>
            <w:hideMark/>
          </w:tcPr>
          <w:p w14:paraId="6CE881BC" w14:textId="77777777" w:rsidR="003D3694" w:rsidRPr="00747E35" w:rsidRDefault="003D3694" w:rsidP="0096743A">
            <w:pPr>
              <w:pStyle w:val="Tabletext"/>
              <w:spacing w:before="0" w:after="0"/>
              <w:rPr>
                <w:rFonts w:cstheme="minorHAnsi"/>
              </w:rPr>
            </w:pPr>
            <w:r w:rsidRPr="00747E35">
              <w:rPr>
                <w:rFonts w:cstheme="minorHAnsi"/>
              </w:rPr>
              <w:t>DW</w:t>
            </w:r>
          </w:p>
        </w:tc>
        <w:tc>
          <w:tcPr>
            <w:tcW w:w="951" w:type="dxa"/>
            <w:noWrap/>
            <w:hideMark/>
          </w:tcPr>
          <w:p w14:paraId="2EC5F3D9" w14:textId="77777777" w:rsidR="003D3694" w:rsidRPr="00747E35" w:rsidRDefault="003D3694" w:rsidP="0096743A">
            <w:pPr>
              <w:pStyle w:val="Tabletext"/>
              <w:spacing w:before="0" w:after="0"/>
              <w:rPr>
                <w:rFonts w:cstheme="minorHAnsi"/>
              </w:rPr>
            </w:pPr>
            <w:r w:rsidRPr="00747E35">
              <w:rPr>
                <w:rFonts w:cstheme="minorHAnsi"/>
              </w:rPr>
              <w:t>6</w:t>
            </w:r>
          </w:p>
        </w:tc>
        <w:tc>
          <w:tcPr>
            <w:tcW w:w="1027" w:type="dxa"/>
            <w:noWrap/>
            <w:hideMark/>
          </w:tcPr>
          <w:p w14:paraId="7B288AB2" w14:textId="77777777" w:rsidR="003D3694" w:rsidRPr="00747E35" w:rsidRDefault="003D3694" w:rsidP="0096743A">
            <w:pPr>
              <w:pStyle w:val="Tabletext"/>
              <w:spacing w:before="0" w:after="0"/>
              <w:rPr>
                <w:rFonts w:cstheme="minorHAnsi"/>
              </w:rPr>
            </w:pPr>
            <w:r w:rsidRPr="00747E35">
              <w:rPr>
                <w:rFonts w:cstheme="minorHAnsi"/>
              </w:rPr>
              <w:t> </w:t>
            </w:r>
          </w:p>
        </w:tc>
      </w:tr>
      <w:tr w:rsidR="003D3694" w:rsidRPr="00747E35" w14:paraId="16C5E6FC" w14:textId="77777777" w:rsidTr="0096743A">
        <w:trPr>
          <w:trHeight w:val="288"/>
        </w:trPr>
        <w:tc>
          <w:tcPr>
            <w:tcW w:w="1050" w:type="dxa"/>
            <w:noWrap/>
          </w:tcPr>
          <w:p w14:paraId="6F5DB46E" w14:textId="77777777" w:rsidR="003D3694" w:rsidRPr="00747E35" w:rsidRDefault="003D3694" w:rsidP="0096743A">
            <w:pPr>
              <w:pStyle w:val="Tabletext"/>
              <w:spacing w:before="0" w:after="0"/>
              <w:rPr>
                <w:rFonts w:cstheme="minorHAnsi"/>
              </w:rPr>
            </w:pPr>
          </w:p>
        </w:tc>
        <w:tc>
          <w:tcPr>
            <w:tcW w:w="1418" w:type="dxa"/>
            <w:noWrap/>
          </w:tcPr>
          <w:p w14:paraId="78DFCEB4" w14:textId="77777777" w:rsidR="003D3694" w:rsidRPr="00747E35" w:rsidRDefault="003D3694" w:rsidP="0096743A">
            <w:pPr>
              <w:pStyle w:val="Tabletext"/>
              <w:spacing w:before="0" w:after="0"/>
              <w:rPr>
                <w:rFonts w:cstheme="minorHAnsi"/>
              </w:rPr>
            </w:pPr>
            <w:r w:rsidRPr="00747E35">
              <w:rPr>
                <w:rFonts w:cstheme="minorHAnsi"/>
              </w:rPr>
              <w:t>Trip 6 (R1)</w:t>
            </w:r>
          </w:p>
        </w:tc>
        <w:tc>
          <w:tcPr>
            <w:tcW w:w="1134" w:type="dxa"/>
            <w:noWrap/>
            <w:hideMark/>
          </w:tcPr>
          <w:p w14:paraId="3D09BB37" w14:textId="77777777" w:rsidR="003D3694" w:rsidRPr="00747E35" w:rsidRDefault="003D3694" w:rsidP="0096743A">
            <w:pPr>
              <w:pStyle w:val="Tabletext"/>
              <w:spacing w:before="0" w:after="0"/>
              <w:rPr>
                <w:rFonts w:cstheme="minorHAnsi"/>
              </w:rPr>
            </w:pPr>
            <w:r w:rsidRPr="00747E35">
              <w:rPr>
                <w:rFonts w:cstheme="minorHAnsi"/>
              </w:rPr>
              <w:t>13/10/2015</w:t>
            </w:r>
          </w:p>
        </w:tc>
        <w:tc>
          <w:tcPr>
            <w:tcW w:w="1105" w:type="dxa"/>
            <w:noWrap/>
            <w:hideMark/>
          </w:tcPr>
          <w:p w14:paraId="395FEF25" w14:textId="77777777" w:rsidR="003D3694" w:rsidRPr="00747E35" w:rsidRDefault="003D3694" w:rsidP="0096743A">
            <w:pPr>
              <w:pStyle w:val="Tabletext"/>
              <w:spacing w:before="0" w:after="0"/>
              <w:rPr>
                <w:rFonts w:cstheme="minorHAnsi"/>
              </w:rPr>
            </w:pPr>
            <w:r w:rsidRPr="00747E35">
              <w:rPr>
                <w:rFonts w:cstheme="minorHAnsi"/>
              </w:rPr>
              <w:t>R11_Oct15</w:t>
            </w:r>
          </w:p>
        </w:tc>
        <w:tc>
          <w:tcPr>
            <w:tcW w:w="1163" w:type="dxa"/>
            <w:noWrap/>
          </w:tcPr>
          <w:p w14:paraId="306620D4" w14:textId="77777777" w:rsidR="003D3694" w:rsidRPr="00747E35" w:rsidRDefault="003D3694" w:rsidP="0096743A">
            <w:pPr>
              <w:pStyle w:val="Tabletext"/>
              <w:spacing w:before="0" w:after="0"/>
              <w:rPr>
                <w:rFonts w:cstheme="minorHAnsi"/>
              </w:rPr>
            </w:pPr>
          </w:p>
        </w:tc>
        <w:tc>
          <w:tcPr>
            <w:tcW w:w="1559" w:type="dxa"/>
            <w:noWrap/>
            <w:hideMark/>
          </w:tcPr>
          <w:p w14:paraId="59063C4E" w14:textId="77777777" w:rsidR="003D3694" w:rsidRPr="00747E35" w:rsidRDefault="003D3694" w:rsidP="0096743A">
            <w:pPr>
              <w:pStyle w:val="Tabletext"/>
              <w:spacing w:before="0" w:after="0"/>
              <w:rPr>
                <w:rFonts w:cstheme="minorHAnsi"/>
              </w:rPr>
            </w:pPr>
            <w:r w:rsidRPr="00747E35">
              <w:rPr>
                <w:rFonts w:cstheme="minorHAnsi"/>
              </w:rPr>
              <w:t>DW?</w:t>
            </w:r>
          </w:p>
        </w:tc>
        <w:tc>
          <w:tcPr>
            <w:tcW w:w="951" w:type="dxa"/>
            <w:noWrap/>
            <w:hideMark/>
          </w:tcPr>
          <w:p w14:paraId="5F446DA0" w14:textId="77777777" w:rsidR="003D3694" w:rsidRPr="00747E35" w:rsidRDefault="003D3694" w:rsidP="0096743A">
            <w:pPr>
              <w:pStyle w:val="Tabletext"/>
              <w:spacing w:before="0" w:after="0"/>
              <w:rPr>
                <w:rFonts w:cstheme="minorHAnsi"/>
              </w:rPr>
            </w:pPr>
            <w:r w:rsidRPr="00747E35">
              <w:rPr>
                <w:rFonts w:cstheme="minorHAnsi"/>
              </w:rPr>
              <w:t>6</w:t>
            </w:r>
          </w:p>
        </w:tc>
        <w:tc>
          <w:tcPr>
            <w:tcW w:w="1027" w:type="dxa"/>
            <w:noWrap/>
            <w:hideMark/>
          </w:tcPr>
          <w:p w14:paraId="5F2E858A" w14:textId="77777777" w:rsidR="003D3694" w:rsidRPr="00747E35" w:rsidRDefault="003D3694" w:rsidP="0096743A">
            <w:pPr>
              <w:pStyle w:val="Tabletext"/>
              <w:spacing w:before="0" w:after="0"/>
              <w:rPr>
                <w:rFonts w:cstheme="minorHAnsi"/>
              </w:rPr>
            </w:pPr>
            <w:r w:rsidRPr="00747E35">
              <w:rPr>
                <w:rFonts w:cstheme="minorHAnsi"/>
              </w:rPr>
              <w:t> </w:t>
            </w:r>
          </w:p>
        </w:tc>
      </w:tr>
      <w:tr w:rsidR="003D3694" w:rsidRPr="00747E35" w14:paraId="758E7B4E" w14:textId="77777777" w:rsidTr="0096743A">
        <w:trPr>
          <w:trHeight w:val="288"/>
        </w:trPr>
        <w:tc>
          <w:tcPr>
            <w:tcW w:w="1050" w:type="dxa"/>
            <w:noWrap/>
          </w:tcPr>
          <w:p w14:paraId="413B21F2" w14:textId="77777777" w:rsidR="003D3694" w:rsidRPr="00747E35" w:rsidRDefault="003D3694" w:rsidP="0096743A">
            <w:pPr>
              <w:pStyle w:val="Tabletext"/>
              <w:spacing w:before="0" w:after="0"/>
              <w:rPr>
                <w:rFonts w:cstheme="minorHAnsi"/>
              </w:rPr>
            </w:pPr>
          </w:p>
        </w:tc>
        <w:tc>
          <w:tcPr>
            <w:tcW w:w="1418" w:type="dxa"/>
            <w:noWrap/>
          </w:tcPr>
          <w:p w14:paraId="149216EF" w14:textId="77777777" w:rsidR="003D3694" w:rsidRPr="00747E35" w:rsidRDefault="003D3694" w:rsidP="0096743A">
            <w:pPr>
              <w:pStyle w:val="Tabletext"/>
              <w:spacing w:before="0" w:after="0"/>
              <w:rPr>
                <w:rFonts w:cstheme="minorHAnsi"/>
              </w:rPr>
            </w:pPr>
            <w:r w:rsidRPr="00747E35">
              <w:rPr>
                <w:rFonts w:cstheme="minorHAnsi"/>
              </w:rPr>
              <w:t>Trip 8 (R2)</w:t>
            </w:r>
          </w:p>
        </w:tc>
        <w:tc>
          <w:tcPr>
            <w:tcW w:w="1134" w:type="dxa"/>
            <w:noWrap/>
            <w:hideMark/>
          </w:tcPr>
          <w:p w14:paraId="43869661" w14:textId="77777777" w:rsidR="003D3694" w:rsidRPr="00747E35" w:rsidRDefault="003D3694" w:rsidP="0096743A">
            <w:pPr>
              <w:pStyle w:val="Tabletext"/>
              <w:spacing w:before="0" w:after="0"/>
              <w:rPr>
                <w:rFonts w:cstheme="minorHAnsi"/>
              </w:rPr>
            </w:pPr>
            <w:r w:rsidRPr="00747E35">
              <w:rPr>
                <w:rFonts w:cstheme="minorHAnsi"/>
              </w:rPr>
              <w:t>25/02/2016</w:t>
            </w:r>
          </w:p>
        </w:tc>
        <w:tc>
          <w:tcPr>
            <w:tcW w:w="1105" w:type="dxa"/>
            <w:noWrap/>
            <w:hideMark/>
          </w:tcPr>
          <w:p w14:paraId="1D43F2FD" w14:textId="77777777" w:rsidR="003D3694" w:rsidRPr="00747E35" w:rsidRDefault="003D3694" w:rsidP="0096743A">
            <w:pPr>
              <w:pStyle w:val="Tabletext"/>
              <w:spacing w:before="0" w:after="0"/>
              <w:rPr>
                <w:rFonts w:cstheme="minorHAnsi"/>
              </w:rPr>
            </w:pPr>
            <w:r w:rsidRPr="00747E35">
              <w:rPr>
                <w:rFonts w:cstheme="minorHAnsi"/>
              </w:rPr>
              <w:t>R11_Feb16</w:t>
            </w:r>
          </w:p>
        </w:tc>
        <w:tc>
          <w:tcPr>
            <w:tcW w:w="1163" w:type="dxa"/>
            <w:noWrap/>
          </w:tcPr>
          <w:p w14:paraId="52CD8F07" w14:textId="77777777" w:rsidR="003D3694" w:rsidRPr="00747E35" w:rsidRDefault="003D3694" w:rsidP="0096743A">
            <w:pPr>
              <w:pStyle w:val="Tabletext"/>
              <w:spacing w:before="0" w:after="0"/>
              <w:rPr>
                <w:rFonts w:cstheme="minorHAnsi"/>
              </w:rPr>
            </w:pPr>
          </w:p>
        </w:tc>
        <w:tc>
          <w:tcPr>
            <w:tcW w:w="1559" w:type="dxa"/>
            <w:noWrap/>
            <w:hideMark/>
          </w:tcPr>
          <w:p w14:paraId="32F4E572" w14:textId="77777777" w:rsidR="003D3694" w:rsidRPr="00747E35" w:rsidRDefault="003D3694" w:rsidP="0096743A">
            <w:pPr>
              <w:pStyle w:val="Tabletext"/>
              <w:spacing w:before="0" w:after="0"/>
              <w:rPr>
                <w:rFonts w:cstheme="minorHAnsi"/>
              </w:rPr>
            </w:pPr>
            <w:r w:rsidRPr="00747E35">
              <w:rPr>
                <w:rFonts w:cstheme="minorHAnsi"/>
              </w:rPr>
              <w:t>DW?</w:t>
            </w:r>
          </w:p>
        </w:tc>
        <w:tc>
          <w:tcPr>
            <w:tcW w:w="951" w:type="dxa"/>
            <w:noWrap/>
            <w:hideMark/>
          </w:tcPr>
          <w:p w14:paraId="78132173" w14:textId="77777777" w:rsidR="003D3694" w:rsidRPr="00747E35" w:rsidRDefault="003D3694" w:rsidP="0096743A">
            <w:pPr>
              <w:pStyle w:val="Tabletext"/>
              <w:spacing w:before="0" w:after="0"/>
              <w:rPr>
                <w:rFonts w:cstheme="minorHAnsi"/>
              </w:rPr>
            </w:pPr>
            <w:r w:rsidRPr="00747E35">
              <w:rPr>
                <w:rFonts w:cstheme="minorHAnsi"/>
              </w:rPr>
              <w:t>0</w:t>
            </w:r>
          </w:p>
        </w:tc>
        <w:tc>
          <w:tcPr>
            <w:tcW w:w="1027" w:type="dxa"/>
            <w:noWrap/>
            <w:hideMark/>
          </w:tcPr>
          <w:p w14:paraId="10F72D38" w14:textId="77777777" w:rsidR="003D3694" w:rsidRPr="00747E35" w:rsidRDefault="003D3694" w:rsidP="0096743A">
            <w:pPr>
              <w:pStyle w:val="Tabletext"/>
              <w:spacing w:before="0" w:after="0"/>
              <w:rPr>
                <w:rFonts w:cstheme="minorHAnsi"/>
              </w:rPr>
            </w:pPr>
            <w:r w:rsidRPr="00747E35">
              <w:rPr>
                <w:rFonts w:cstheme="minorHAnsi"/>
              </w:rPr>
              <w:t>Dry, see P38</w:t>
            </w:r>
          </w:p>
        </w:tc>
      </w:tr>
      <w:tr w:rsidR="003D3694" w:rsidRPr="00747E35" w14:paraId="0D9607C7" w14:textId="77777777" w:rsidTr="0096743A">
        <w:trPr>
          <w:trHeight w:val="288"/>
        </w:trPr>
        <w:tc>
          <w:tcPr>
            <w:tcW w:w="1050" w:type="dxa"/>
            <w:noWrap/>
          </w:tcPr>
          <w:p w14:paraId="761D67DA" w14:textId="77777777" w:rsidR="003D3694" w:rsidRPr="00747E35" w:rsidRDefault="003D3694" w:rsidP="0096743A">
            <w:pPr>
              <w:pStyle w:val="Tabletext"/>
              <w:spacing w:before="0" w:after="0"/>
              <w:rPr>
                <w:rFonts w:cstheme="minorHAnsi"/>
              </w:rPr>
            </w:pPr>
          </w:p>
        </w:tc>
        <w:tc>
          <w:tcPr>
            <w:tcW w:w="1418" w:type="dxa"/>
            <w:noWrap/>
          </w:tcPr>
          <w:p w14:paraId="61261499" w14:textId="77777777" w:rsidR="003D3694" w:rsidRPr="00747E35" w:rsidRDefault="003D3694" w:rsidP="0096743A">
            <w:pPr>
              <w:pStyle w:val="Tabletext"/>
              <w:spacing w:before="0" w:after="0"/>
              <w:rPr>
                <w:rFonts w:cstheme="minorHAnsi"/>
              </w:rPr>
            </w:pPr>
          </w:p>
        </w:tc>
        <w:tc>
          <w:tcPr>
            <w:tcW w:w="1134" w:type="dxa"/>
            <w:noWrap/>
          </w:tcPr>
          <w:p w14:paraId="0CF11BE9" w14:textId="77777777" w:rsidR="003D3694" w:rsidRPr="00747E35" w:rsidRDefault="003D3694" w:rsidP="0096743A">
            <w:pPr>
              <w:pStyle w:val="Tabletext"/>
              <w:spacing w:before="0" w:after="0"/>
              <w:rPr>
                <w:rFonts w:cstheme="minorHAnsi"/>
              </w:rPr>
            </w:pPr>
          </w:p>
        </w:tc>
        <w:tc>
          <w:tcPr>
            <w:tcW w:w="1105" w:type="dxa"/>
            <w:noWrap/>
          </w:tcPr>
          <w:p w14:paraId="18C86375" w14:textId="77777777" w:rsidR="003D3694" w:rsidRPr="00747E35" w:rsidRDefault="003D3694" w:rsidP="0096743A">
            <w:pPr>
              <w:pStyle w:val="Tabletext"/>
              <w:spacing w:before="0" w:after="0"/>
              <w:rPr>
                <w:rFonts w:cstheme="minorHAnsi"/>
              </w:rPr>
            </w:pPr>
          </w:p>
        </w:tc>
        <w:tc>
          <w:tcPr>
            <w:tcW w:w="1163" w:type="dxa"/>
            <w:noWrap/>
          </w:tcPr>
          <w:p w14:paraId="5A9C409E" w14:textId="77777777" w:rsidR="003D3694" w:rsidRPr="00747E35" w:rsidRDefault="003D3694" w:rsidP="0096743A">
            <w:pPr>
              <w:pStyle w:val="Tabletext"/>
              <w:spacing w:before="0" w:after="0"/>
              <w:rPr>
                <w:rFonts w:cstheme="minorHAnsi"/>
              </w:rPr>
            </w:pPr>
          </w:p>
        </w:tc>
        <w:tc>
          <w:tcPr>
            <w:tcW w:w="1559" w:type="dxa"/>
            <w:noWrap/>
          </w:tcPr>
          <w:p w14:paraId="3767C152" w14:textId="77777777" w:rsidR="003D3694" w:rsidRPr="00747E35" w:rsidRDefault="003D3694" w:rsidP="0096743A">
            <w:pPr>
              <w:pStyle w:val="Tabletext"/>
              <w:spacing w:before="0" w:after="0"/>
              <w:rPr>
                <w:rFonts w:cstheme="minorHAnsi"/>
              </w:rPr>
            </w:pPr>
            <w:r w:rsidRPr="00747E35">
              <w:rPr>
                <w:rFonts w:cstheme="minorHAnsi"/>
              </w:rPr>
              <w:t>Total subsamples</w:t>
            </w:r>
          </w:p>
        </w:tc>
        <w:tc>
          <w:tcPr>
            <w:tcW w:w="951" w:type="dxa"/>
            <w:noWrap/>
          </w:tcPr>
          <w:p w14:paraId="22702B0D" w14:textId="77777777" w:rsidR="003D3694" w:rsidRPr="00747E35" w:rsidRDefault="003D3694" w:rsidP="0096743A">
            <w:pPr>
              <w:pStyle w:val="Tabletext"/>
              <w:spacing w:before="0" w:after="0"/>
              <w:rPr>
                <w:rFonts w:cstheme="minorHAnsi"/>
              </w:rPr>
            </w:pPr>
            <w:r w:rsidRPr="00747E35">
              <w:rPr>
                <w:rFonts w:cstheme="minorHAnsi"/>
              </w:rPr>
              <w:t>159</w:t>
            </w:r>
          </w:p>
        </w:tc>
        <w:tc>
          <w:tcPr>
            <w:tcW w:w="1027" w:type="dxa"/>
            <w:noWrap/>
          </w:tcPr>
          <w:p w14:paraId="44305768" w14:textId="77777777" w:rsidR="003D3694" w:rsidRPr="00747E35" w:rsidRDefault="003D3694" w:rsidP="0096743A">
            <w:pPr>
              <w:pStyle w:val="Tabletext"/>
              <w:spacing w:before="0" w:after="0"/>
              <w:rPr>
                <w:rFonts w:cstheme="minorHAnsi"/>
              </w:rPr>
            </w:pPr>
          </w:p>
        </w:tc>
      </w:tr>
    </w:tbl>
    <w:p w14:paraId="4FB50C59" w14:textId="77777777" w:rsidR="003D3694" w:rsidRPr="00747E35" w:rsidRDefault="003D3694" w:rsidP="003D3694">
      <w:pPr>
        <w:rPr>
          <w:rFonts w:asciiTheme="minorHAnsi" w:hAnsiTheme="minorHAnsi" w:cstheme="minorHAnsi"/>
        </w:rPr>
      </w:pPr>
    </w:p>
    <w:p w14:paraId="6FA78EDE" w14:textId="77777777" w:rsidR="003D3694" w:rsidRPr="00747E35" w:rsidRDefault="003D3694" w:rsidP="003D3694">
      <w:pPr>
        <w:autoSpaceDE/>
        <w:autoSpaceDN/>
        <w:spacing w:line="276" w:lineRule="auto"/>
        <w:rPr>
          <w:rFonts w:asciiTheme="minorHAnsi" w:hAnsiTheme="minorHAnsi" w:cstheme="minorHAnsi"/>
        </w:rPr>
      </w:pPr>
      <w:r w:rsidRPr="00747E35">
        <w:rPr>
          <w:rFonts w:asciiTheme="minorHAnsi" w:hAnsiTheme="minorHAnsi" w:cstheme="minorHAnsi"/>
        </w:rPr>
        <w:br w:type="page"/>
      </w:r>
    </w:p>
    <w:p w14:paraId="0A20C101" w14:textId="77777777" w:rsidR="003D3694" w:rsidRPr="00747E35" w:rsidRDefault="003D3694" w:rsidP="00793A29">
      <w:pPr>
        <w:pStyle w:val="Caption"/>
        <w:numPr>
          <w:ilvl w:val="0"/>
          <w:numId w:val="0"/>
        </w:numPr>
        <w:rPr>
          <w:rFonts w:cstheme="minorHAnsi"/>
        </w:rPr>
      </w:pPr>
      <w:bookmarkStart w:id="483" w:name="_Ref467014688"/>
      <w:bookmarkEnd w:id="477"/>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49</w:t>
      </w:r>
      <w:r w:rsidR="009D6600" w:rsidRPr="00747E35">
        <w:rPr>
          <w:rFonts w:cstheme="minorHAnsi"/>
          <w:noProof/>
        </w:rPr>
        <w:fldChar w:fldCharType="end"/>
      </w:r>
      <w:bookmarkEnd w:id="483"/>
      <w:r w:rsidRPr="00747E35">
        <w:rPr>
          <w:rFonts w:cstheme="minorHAnsi"/>
        </w:rPr>
        <w:t>: Deployment sites and logger details for the organic matter degradation study.</w:t>
      </w:r>
    </w:p>
    <w:tbl>
      <w:tblPr>
        <w:tblW w:w="8904" w:type="dxa"/>
        <w:tblInd w:w="93" w:type="dxa"/>
        <w:tblLook w:val="04A0" w:firstRow="1" w:lastRow="0" w:firstColumn="1" w:lastColumn="0" w:noHBand="0" w:noVBand="1"/>
      </w:tblPr>
      <w:tblGrid>
        <w:gridCol w:w="1780"/>
        <w:gridCol w:w="1212"/>
        <w:gridCol w:w="952"/>
        <w:gridCol w:w="2341"/>
        <w:gridCol w:w="2619"/>
      </w:tblGrid>
      <w:tr w:rsidR="003D3694" w:rsidRPr="00747E35" w14:paraId="741F0CB5" w14:textId="77777777" w:rsidTr="00D062C2">
        <w:trPr>
          <w:trHeight w:val="300"/>
        </w:trPr>
        <w:tc>
          <w:tcPr>
            <w:tcW w:w="1780" w:type="dxa"/>
            <w:tcBorders>
              <w:top w:val="single" w:sz="4" w:space="0" w:color="auto"/>
              <w:left w:val="single" w:sz="4" w:space="0" w:color="auto"/>
              <w:bottom w:val="nil"/>
              <w:right w:val="single" w:sz="4" w:space="0" w:color="auto"/>
            </w:tcBorders>
            <w:shd w:val="clear" w:color="auto" w:fill="DEEAF6" w:themeFill="accent1" w:themeFillTint="33"/>
            <w:noWrap/>
            <w:vAlign w:val="bottom"/>
            <w:hideMark/>
          </w:tcPr>
          <w:p w14:paraId="2598FBA3"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 </w:t>
            </w:r>
          </w:p>
        </w:tc>
        <w:tc>
          <w:tcPr>
            <w:tcW w:w="1212" w:type="dxa"/>
            <w:tcBorders>
              <w:top w:val="single" w:sz="4" w:space="0" w:color="auto"/>
              <w:left w:val="nil"/>
              <w:bottom w:val="nil"/>
              <w:right w:val="single" w:sz="4" w:space="0" w:color="auto"/>
            </w:tcBorders>
            <w:shd w:val="clear" w:color="auto" w:fill="DEEAF6" w:themeFill="accent1" w:themeFillTint="33"/>
            <w:noWrap/>
            <w:vAlign w:val="bottom"/>
            <w:hideMark/>
          </w:tcPr>
          <w:p w14:paraId="78FA5F7F"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 </w:t>
            </w:r>
          </w:p>
        </w:tc>
        <w:tc>
          <w:tcPr>
            <w:tcW w:w="952" w:type="dxa"/>
            <w:tcBorders>
              <w:top w:val="single" w:sz="4" w:space="0" w:color="auto"/>
              <w:left w:val="nil"/>
              <w:bottom w:val="nil"/>
              <w:right w:val="single" w:sz="4" w:space="0" w:color="auto"/>
            </w:tcBorders>
            <w:shd w:val="clear" w:color="auto" w:fill="DEEAF6" w:themeFill="accent1" w:themeFillTint="33"/>
            <w:noWrap/>
            <w:vAlign w:val="bottom"/>
            <w:hideMark/>
          </w:tcPr>
          <w:p w14:paraId="382E8FB0"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Number</w:t>
            </w:r>
          </w:p>
        </w:tc>
        <w:tc>
          <w:tcPr>
            <w:tcW w:w="4960" w:type="dxa"/>
            <w:gridSpan w:val="2"/>
            <w:tcBorders>
              <w:top w:val="single" w:sz="4" w:space="0" w:color="auto"/>
              <w:left w:val="nil"/>
              <w:bottom w:val="single" w:sz="4" w:space="0" w:color="auto"/>
              <w:right w:val="single" w:sz="4" w:space="0" w:color="auto"/>
            </w:tcBorders>
            <w:shd w:val="clear" w:color="auto" w:fill="DEEAF6" w:themeFill="accent1" w:themeFillTint="33"/>
            <w:noWrap/>
            <w:vAlign w:val="bottom"/>
            <w:hideMark/>
          </w:tcPr>
          <w:p w14:paraId="6D4B12D9"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Logger</w:t>
            </w:r>
          </w:p>
        </w:tc>
      </w:tr>
      <w:tr w:rsidR="003D3694" w:rsidRPr="00747E35" w14:paraId="366A367D" w14:textId="77777777" w:rsidTr="00D062C2">
        <w:trPr>
          <w:trHeight w:val="300"/>
        </w:trPr>
        <w:tc>
          <w:tcPr>
            <w:tcW w:w="1780" w:type="dxa"/>
            <w:tcBorders>
              <w:top w:val="nil"/>
              <w:left w:val="single" w:sz="4" w:space="0" w:color="auto"/>
              <w:bottom w:val="single" w:sz="4" w:space="0" w:color="auto"/>
              <w:right w:val="single" w:sz="4" w:space="0" w:color="auto"/>
            </w:tcBorders>
            <w:shd w:val="clear" w:color="auto" w:fill="DEEAF6" w:themeFill="accent1" w:themeFillTint="33"/>
            <w:noWrap/>
            <w:vAlign w:val="bottom"/>
            <w:hideMark/>
          </w:tcPr>
          <w:p w14:paraId="663781F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nil"/>
              <w:left w:val="nil"/>
              <w:bottom w:val="single" w:sz="4" w:space="0" w:color="auto"/>
              <w:right w:val="single" w:sz="4" w:space="0" w:color="auto"/>
            </w:tcBorders>
            <w:shd w:val="clear" w:color="auto" w:fill="DEEAF6" w:themeFill="accent1" w:themeFillTint="33"/>
            <w:noWrap/>
            <w:vAlign w:val="bottom"/>
            <w:hideMark/>
          </w:tcPr>
          <w:p w14:paraId="7A812D6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Location</w:t>
            </w:r>
          </w:p>
        </w:tc>
        <w:tc>
          <w:tcPr>
            <w:tcW w:w="952" w:type="dxa"/>
            <w:tcBorders>
              <w:top w:val="nil"/>
              <w:left w:val="nil"/>
              <w:bottom w:val="single" w:sz="4" w:space="0" w:color="auto"/>
              <w:right w:val="single" w:sz="4" w:space="0" w:color="auto"/>
            </w:tcBorders>
            <w:shd w:val="clear" w:color="auto" w:fill="DEEAF6" w:themeFill="accent1" w:themeFillTint="33"/>
            <w:noWrap/>
            <w:vAlign w:val="bottom"/>
            <w:hideMark/>
          </w:tcPr>
          <w:p w14:paraId="48B7B85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of Plots</w:t>
            </w:r>
          </w:p>
        </w:tc>
        <w:tc>
          <w:tcPr>
            <w:tcW w:w="2341" w:type="dxa"/>
            <w:tcBorders>
              <w:top w:val="nil"/>
              <w:left w:val="nil"/>
              <w:bottom w:val="single" w:sz="4" w:space="0" w:color="auto"/>
              <w:right w:val="single" w:sz="4" w:space="0" w:color="auto"/>
            </w:tcBorders>
            <w:shd w:val="clear" w:color="auto" w:fill="DEEAF6" w:themeFill="accent1" w:themeFillTint="33"/>
            <w:noWrap/>
            <w:vAlign w:val="bottom"/>
            <w:hideMark/>
          </w:tcPr>
          <w:p w14:paraId="4B2889A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Round 1</w:t>
            </w:r>
          </w:p>
        </w:tc>
        <w:tc>
          <w:tcPr>
            <w:tcW w:w="2619" w:type="dxa"/>
            <w:tcBorders>
              <w:top w:val="nil"/>
              <w:left w:val="nil"/>
              <w:bottom w:val="single" w:sz="4" w:space="0" w:color="auto"/>
              <w:right w:val="single" w:sz="4" w:space="0" w:color="auto"/>
            </w:tcBorders>
            <w:shd w:val="clear" w:color="auto" w:fill="DEEAF6" w:themeFill="accent1" w:themeFillTint="33"/>
            <w:noWrap/>
            <w:vAlign w:val="bottom"/>
            <w:hideMark/>
          </w:tcPr>
          <w:p w14:paraId="6D35722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Round 2</w:t>
            </w:r>
          </w:p>
        </w:tc>
      </w:tr>
      <w:tr w:rsidR="003D3694" w:rsidRPr="00747E35" w14:paraId="5FDE6DA6" w14:textId="77777777" w:rsidTr="0096743A">
        <w:trPr>
          <w:trHeight w:val="300"/>
        </w:trPr>
        <w:tc>
          <w:tcPr>
            <w:tcW w:w="1780" w:type="dxa"/>
            <w:tcBorders>
              <w:top w:val="nil"/>
              <w:left w:val="single" w:sz="4" w:space="0" w:color="auto"/>
              <w:bottom w:val="nil"/>
              <w:right w:val="single" w:sz="4" w:space="0" w:color="auto"/>
            </w:tcBorders>
            <w:shd w:val="clear" w:color="auto" w:fill="auto"/>
            <w:noWrap/>
            <w:vAlign w:val="bottom"/>
            <w:hideMark/>
          </w:tcPr>
          <w:p w14:paraId="23B922E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Intermittent</w:t>
            </w:r>
          </w:p>
        </w:tc>
        <w:tc>
          <w:tcPr>
            <w:tcW w:w="1212" w:type="dxa"/>
            <w:tcBorders>
              <w:top w:val="nil"/>
              <w:left w:val="nil"/>
              <w:bottom w:val="single" w:sz="4" w:space="0" w:color="auto"/>
              <w:right w:val="single" w:sz="4" w:space="0" w:color="auto"/>
            </w:tcBorders>
            <w:shd w:val="clear" w:color="auto" w:fill="auto"/>
            <w:noWrap/>
            <w:vAlign w:val="bottom"/>
            <w:hideMark/>
          </w:tcPr>
          <w:p w14:paraId="107D4C1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MCBar 3</w:t>
            </w:r>
          </w:p>
        </w:tc>
        <w:tc>
          <w:tcPr>
            <w:tcW w:w="952" w:type="dxa"/>
            <w:tcBorders>
              <w:top w:val="nil"/>
              <w:left w:val="nil"/>
              <w:bottom w:val="single" w:sz="4" w:space="0" w:color="auto"/>
              <w:right w:val="single" w:sz="4" w:space="0" w:color="auto"/>
            </w:tcBorders>
            <w:shd w:val="clear" w:color="auto" w:fill="auto"/>
            <w:noWrap/>
            <w:vAlign w:val="bottom"/>
            <w:hideMark/>
          </w:tcPr>
          <w:p w14:paraId="31DDDDF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w:t>
            </w:r>
          </w:p>
        </w:tc>
        <w:tc>
          <w:tcPr>
            <w:tcW w:w="2341" w:type="dxa"/>
            <w:tcBorders>
              <w:top w:val="nil"/>
              <w:left w:val="nil"/>
              <w:bottom w:val="single" w:sz="4" w:space="0" w:color="auto"/>
              <w:right w:val="single" w:sz="4" w:space="0" w:color="auto"/>
            </w:tcBorders>
            <w:shd w:val="clear" w:color="auto" w:fill="auto"/>
            <w:noWrap/>
            <w:vAlign w:val="bottom"/>
            <w:hideMark/>
          </w:tcPr>
          <w:p w14:paraId="2798EFA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2619" w:type="dxa"/>
            <w:tcBorders>
              <w:top w:val="nil"/>
              <w:left w:val="nil"/>
              <w:bottom w:val="single" w:sz="4" w:space="0" w:color="auto"/>
              <w:right w:val="single" w:sz="4" w:space="0" w:color="auto"/>
            </w:tcBorders>
            <w:shd w:val="clear" w:color="auto" w:fill="auto"/>
            <w:noWrap/>
            <w:vAlign w:val="bottom"/>
            <w:hideMark/>
          </w:tcPr>
          <w:p w14:paraId="312E7F8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69499CA8" w14:textId="77777777" w:rsidTr="0096743A">
        <w:trPr>
          <w:trHeight w:val="300"/>
        </w:trPr>
        <w:tc>
          <w:tcPr>
            <w:tcW w:w="1780" w:type="dxa"/>
            <w:tcBorders>
              <w:top w:val="nil"/>
              <w:left w:val="single" w:sz="4" w:space="0" w:color="auto"/>
              <w:bottom w:val="nil"/>
              <w:right w:val="single" w:sz="4" w:space="0" w:color="auto"/>
            </w:tcBorders>
            <w:shd w:val="clear" w:color="auto" w:fill="auto"/>
            <w:noWrap/>
            <w:vAlign w:val="bottom"/>
            <w:hideMark/>
          </w:tcPr>
          <w:p w14:paraId="732167D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nil"/>
              <w:left w:val="nil"/>
              <w:bottom w:val="single" w:sz="4" w:space="0" w:color="auto"/>
              <w:right w:val="single" w:sz="4" w:space="0" w:color="auto"/>
            </w:tcBorders>
            <w:shd w:val="clear" w:color="auto" w:fill="auto"/>
            <w:noWrap/>
            <w:vAlign w:val="bottom"/>
            <w:hideMark/>
          </w:tcPr>
          <w:p w14:paraId="6398E06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MCBar 4</w:t>
            </w:r>
          </w:p>
        </w:tc>
        <w:tc>
          <w:tcPr>
            <w:tcW w:w="952" w:type="dxa"/>
            <w:tcBorders>
              <w:top w:val="nil"/>
              <w:left w:val="nil"/>
              <w:bottom w:val="single" w:sz="4" w:space="0" w:color="auto"/>
              <w:right w:val="single" w:sz="4" w:space="0" w:color="auto"/>
            </w:tcBorders>
            <w:shd w:val="clear" w:color="auto" w:fill="auto"/>
            <w:noWrap/>
            <w:vAlign w:val="bottom"/>
            <w:hideMark/>
          </w:tcPr>
          <w:p w14:paraId="7AE64FE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w:t>
            </w:r>
          </w:p>
        </w:tc>
        <w:tc>
          <w:tcPr>
            <w:tcW w:w="2341" w:type="dxa"/>
            <w:tcBorders>
              <w:top w:val="nil"/>
              <w:left w:val="nil"/>
              <w:bottom w:val="single" w:sz="4" w:space="0" w:color="auto"/>
              <w:right w:val="single" w:sz="4" w:space="0" w:color="auto"/>
            </w:tcBorders>
            <w:shd w:val="clear" w:color="auto" w:fill="auto"/>
            <w:noWrap/>
            <w:vAlign w:val="bottom"/>
            <w:hideMark/>
          </w:tcPr>
          <w:p w14:paraId="7093FB0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2619" w:type="dxa"/>
            <w:tcBorders>
              <w:top w:val="nil"/>
              <w:left w:val="nil"/>
              <w:bottom w:val="single" w:sz="4" w:space="0" w:color="auto"/>
              <w:right w:val="single" w:sz="4" w:space="0" w:color="auto"/>
            </w:tcBorders>
            <w:shd w:val="clear" w:color="auto" w:fill="auto"/>
            <w:noWrap/>
            <w:vAlign w:val="bottom"/>
            <w:hideMark/>
          </w:tcPr>
          <w:p w14:paraId="781218A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5531E81F" w14:textId="77777777" w:rsidTr="0096743A">
        <w:trPr>
          <w:trHeight w:val="300"/>
        </w:trPr>
        <w:tc>
          <w:tcPr>
            <w:tcW w:w="1780" w:type="dxa"/>
            <w:tcBorders>
              <w:top w:val="nil"/>
              <w:left w:val="single" w:sz="4" w:space="0" w:color="auto"/>
              <w:bottom w:val="nil"/>
              <w:right w:val="single" w:sz="4" w:space="0" w:color="auto"/>
            </w:tcBorders>
            <w:shd w:val="clear" w:color="auto" w:fill="auto"/>
            <w:noWrap/>
            <w:vAlign w:val="bottom"/>
            <w:hideMark/>
          </w:tcPr>
          <w:p w14:paraId="480BC3F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nil"/>
              <w:left w:val="nil"/>
              <w:bottom w:val="single" w:sz="4" w:space="0" w:color="auto"/>
              <w:right w:val="single" w:sz="4" w:space="0" w:color="auto"/>
            </w:tcBorders>
            <w:shd w:val="clear" w:color="auto" w:fill="auto"/>
            <w:noWrap/>
            <w:vAlign w:val="bottom"/>
            <w:hideMark/>
          </w:tcPr>
          <w:p w14:paraId="0669493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MCBar 5</w:t>
            </w:r>
          </w:p>
        </w:tc>
        <w:tc>
          <w:tcPr>
            <w:tcW w:w="952" w:type="dxa"/>
            <w:tcBorders>
              <w:top w:val="nil"/>
              <w:left w:val="nil"/>
              <w:bottom w:val="single" w:sz="4" w:space="0" w:color="auto"/>
              <w:right w:val="single" w:sz="4" w:space="0" w:color="auto"/>
            </w:tcBorders>
            <w:shd w:val="clear" w:color="auto" w:fill="auto"/>
            <w:noWrap/>
            <w:vAlign w:val="bottom"/>
            <w:hideMark/>
          </w:tcPr>
          <w:p w14:paraId="1029F00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w:t>
            </w:r>
          </w:p>
        </w:tc>
        <w:tc>
          <w:tcPr>
            <w:tcW w:w="2341" w:type="dxa"/>
            <w:tcBorders>
              <w:top w:val="nil"/>
              <w:left w:val="nil"/>
              <w:bottom w:val="single" w:sz="4" w:space="0" w:color="auto"/>
              <w:right w:val="single" w:sz="4" w:space="0" w:color="auto"/>
            </w:tcBorders>
            <w:shd w:val="clear" w:color="auto" w:fill="auto"/>
            <w:noWrap/>
            <w:vAlign w:val="bottom"/>
            <w:hideMark/>
          </w:tcPr>
          <w:p w14:paraId="33EA603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2619" w:type="dxa"/>
            <w:tcBorders>
              <w:top w:val="nil"/>
              <w:left w:val="nil"/>
              <w:bottom w:val="single" w:sz="4" w:space="0" w:color="auto"/>
              <w:right w:val="single" w:sz="4" w:space="0" w:color="auto"/>
            </w:tcBorders>
            <w:shd w:val="clear" w:color="auto" w:fill="auto"/>
            <w:noWrap/>
            <w:vAlign w:val="bottom"/>
            <w:hideMark/>
          </w:tcPr>
          <w:p w14:paraId="4178DFE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7AAD76A8" w14:textId="77777777" w:rsidTr="0096743A">
        <w:trPr>
          <w:trHeight w:val="300"/>
        </w:trPr>
        <w:tc>
          <w:tcPr>
            <w:tcW w:w="1780" w:type="dxa"/>
            <w:tcBorders>
              <w:top w:val="nil"/>
              <w:left w:val="single" w:sz="4" w:space="0" w:color="auto"/>
              <w:bottom w:val="nil"/>
              <w:right w:val="single" w:sz="4" w:space="0" w:color="auto"/>
            </w:tcBorders>
            <w:shd w:val="clear" w:color="auto" w:fill="auto"/>
            <w:noWrap/>
            <w:vAlign w:val="bottom"/>
            <w:hideMark/>
          </w:tcPr>
          <w:p w14:paraId="76A2D33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nil"/>
              <w:left w:val="nil"/>
              <w:bottom w:val="nil"/>
              <w:right w:val="single" w:sz="4" w:space="0" w:color="auto"/>
            </w:tcBorders>
            <w:shd w:val="clear" w:color="auto" w:fill="auto"/>
            <w:noWrap/>
            <w:vAlign w:val="bottom"/>
            <w:hideMark/>
          </w:tcPr>
          <w:p w14:paraId="5F8EAD2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MCPool 3</w:t>
            </w:r>
          </w:p>
        </w:tc>
        <w:tc>
          <w:tcPr>
            <w:tcW w:w="952" w:type="dxa"/>
            <w:tcBorders>
              <w:top w:val="nil"/>
              <w:left w:val="nil"/>
              <w:bottom w:val="nil"/>
              <w:right w:val="single" w:sz="4" w:space="0" w:color="auto"/>
            </w:tcBorders>
            <w:shd w:val="clear" w:color="auto" w:fill="auto"/>
            <w:noWrap/>
            <w:vAlign w:val="bottom"/>
            <w:hideMark/>
          </w:tcPr>
          <w:p w14:paraId="7F96149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w:t>
            </w:r>
          </w:p>
        </w:tc>
        <w:tc>
          <w:tcPr>
            <w:tcW w:w="2341" w:type="dxa"/>
            <w:tcBorders>
              <w:top w:val="nil"/>
              <w:left w:val="nil"/>
              <w:bottom w:val="nil"/>
              <w:right w:val="single" w:sz="4" w:space="0" w:color="auto"/>
            </w:tcBorders>
            <w:shd w:val="clear" w:color="auto" w:fill="auto"/>
            <w:noWrap/>
            <w:vAlign w:val="bottom"/>
            <w:hideMark/>
          </w:tcPr>
          <w:p w14:paraId="3BA02FF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 X Surf - Temp &amp; Light</w:t>
            </w:r>
          </w:p>
        </w:tc>
        <w:tc>
          <w:tcPr>
            <w:tcW w:w="2619" w:type="dxa"/>
            <w:tcBorders>
              <w:top w:val="nil"/>
              <w:left w:val="nil"/>
              <w:bottom w:val="nil"/>
              <w:right w:val="single" w:sz="4" w:space="0" w:color="auto"/>
            </w:tcBorders>
            <w:shd w:val="clear" w:color="auto" w:fill="auto"/>
            <w:noWrap/>
            <w:vAlign w:val="bottom"/>
            <w:hideMark/>
          </w:tcPr>
          <w:p w14:paraId="0B5C9AD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 X Surf - Temp &amp; Light</w:t>
            </w:r>
          </w:p>
        </w:tc>
      </w:tr>
      <w:tr w:rsidR="003D3694" w:rsidRPr="00747E35" w14:paraId="3DAD5EED" w14:textId="77777777" w:rsidTr="0096743A">
        <w:trPr>
          <w:trHeight w:val="300"/>
        </w:trPr>
        <w:tc>
          <w:tcPr>
            <w:tcW w:w="1780" w:type="dxa"/>
            <w:tcBorders>
              <w:top w:val="nil"/>
              <w:left w:val="single" w:sz="4" w:space="0" w:color="auto"/>
              <w:bottom w:val="nil"/>
              <w:right w:val="single" w:sz="4" w:space="0" w:color="auto"/>
            </w:tcBorders>
            <w:shd w:val="clear" w:color="auto" w:fill="auto"/>
            <w:noWrap/>
            <w:vAlign w:val="bottom"/>
            <w:hideMark/>
          </w:tcPr>
          <w:p w14:paraId="6BAE069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nil"/>
              <w:left w:val="nil"/>
              <w:bottom w:val="nil"/>
              <w:right w:val="single" w:sz="4" w:space="0" w:color="auto"/>
            </w:tcBorders>
            <w:shd w:val="clear" w:color="auto" w:fill="auto"/>
            <w:noWrap/>
            <w:vAlign w:val="bottom"/>
            <w:hideMark/>
          </w:tcPr>
          <w:p w14:paraId="0E3F969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952" w:type="dxa"/>
            <w:tcBorders>
              <w:top w:val="nil"/>
              <w:left w:val="nil"/>
              <w:bottom w:val="nil"/>
              <w:right w:val="single" w:sz="4" w:space="0" w:color="auto"/>
            </w:tcBorders>
            <w:shd w:val="clear" w:color="auto" w:fill="auto"/>
            <w:noWrap/>
            <w:vAlign w:val="bottom"/>
            <w:hideMark/>
          </w:tcPr>
          <w:p w14:paraId="387FE5B5" w14:textId="77777777" w:rsidR="003D3694" w:rsidRPr="00747E35" w:rsidRDefault="003D3694" w:rsidP="0096743A">
            <w:pPr>
              <w:pStyle w:val="Tabletext"/>
              <w:spacing w:before="0" w:after="0"/>
              <w:rPr>
                <w:rFonts w:cstheme="minorHAnsi"/>
                <w:lang w:eastAsia="en-AU"/>
              </w:rPr>
            </w:pPr>
          </w:p>
        </w:tc>
        <w:tc>
          <w:tcPr>
            <w:tcW w:w="2341" w:type="dxa"/>
            <w:tcBorders>
              <w:top w:val="nil"/>
              <w:left w:val="nil"/>
              <w:bottom w:val="nil"/>
              <w:right w:val="single" w:sz="4" w:space="0" w:color="auto"/>
            </w:tcBorders>
            <w:shd w:val="clear" w:color="auto" w:fill="auto"/>
            <w:noWrap/>
            <w:vAlign w:val="bottom"/>
            <w:hideMark/>
          </w:tcPr>
          <w:p w14:paraId="1D9C30F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 X Hyp - Temp</w:t>
            </w:r>
          </w:p>
        </w:tc>
        <w:tc>
          <w:tcPr>
            <w:tcW w:w="2619" w:type="dxa"/>
            <w:tcBorders>
              <w:top w:val="nil"/>
              <w:left w:val="nil"/>
              <w:bottom w:val="nil"/>
              <w:right w:val="single" w:sz="4" w:space="0" w:color="auto"/>
            </w:tcBorders>
            <w:shd w:val="clear" w:color="auto" w:fill="auto"/>
            <w:noWrap/>
            <w:vAlign w:val="bottom"/>
            <w:hideMark/>
          </w:tcPr>
          <w:p w14:paraId="0C0F2FE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 X Hyp - Temp</w:t>
            </w:r>
          </w:p>
        </w:tc>
      </w:tr>
      <w:tr w:rsidR="003D3694" w:rsidRPr="00747E35" w14:paraId="1EE21AD6" w14:textId="77777777" w:rsidTr="0096743A">
        <w:trPr>
          <w:trHeight w:val="300"/>
        </w:trPr>
        <w:tc>
          <w:tcPr>
            <w:tcW w:w="1780" w:type="dxa"/>
            <w:tcBorders>
              <w:top w:val="nil"/>
              <w:left w:val="single" w:sz="4" w:space="0" w:color="auto"/>
              <w:bottom w:val="nil"/>
              <w:right w:val="single" w:sz="4" w:space="0" w:color="auto"/>
            </w:tcBorders>
            <w:shd w:val="clear" w:color="auto" w:fill="auto"/>
            <w:noWrap/>
            <w:vAlign w:val="bottom"/>
            <w:hideMark/>
          </w:tcPr>
          <w:p w14:paraId="3F1F71C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nil"/>
              <w:left w:val="nil"/>
              <w:bottom w:val="single" w:sz="4" w:space="0" w:color="auto"/>
              <w:right w:val="single" w:sz="4" w:space="0" w:color="auto"/>
            </w:tcBorders>
            <w:shd w:val="clear" w:color="auto" w:fill="auto"/>
            <w:noWrap/>
            <w:vAlign w:val="bottom"/>
            <w:hideMark/>
          </w:tcPr>
          <w:p w14:paraId="345DBF2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952" w:type="dxa"/>
            <w:tcBorders>
              <w:top w:val="nil"/>
              <w:left w:val="nil"/>
              <w:bottom w:val="single" w:sz="4" w:space="0" w:color="auto"/>
              <w:right w:val="single" w:sz="4" w:space="0" w:color="auto"/>
            </w:tcBorders>
            <w:shd w:val="clear" w:color="auto" w:fill="auto"/>
            <w:noWrap/>
            <w:vAlign w:val="bottom"/>
            <w:hideMark/>
          </w:tcPr>
          <w:p w14:paraId="0B7B3AC6" w14:textId="77777777" w:rsidR="003D3694" w:rsidRPr="00747E35" w:rsidRDefault="003D3694" w:rsidP="0096743A">
            <w:pPr>
              <w:pStyle w:val="Tabletext"/>
              <w:spacing w:before="0" w:after="0"/>
              <w:rPr>
                <w:rFonts w:cstheme="minorHAnsi"/>
                <w:lang w:eastAsia="en-AU"/>
              </w:rPr>
            </w:pPr>
          </w:p>
        </w:tc>
        <w:tc>
          <w:tcPr>
            <w:tcW w:w="2341" w:type="dxa"/>
            <w:tcBorders>
              <w:top w:val="nil"/>
              <w:left w:val="nil"/>
              <w:bottom w:val="single" w:sz="4" w:space="0" w:color="auto"/>
              <w:right w:val="single" w:sz="4" w:space="0" w:color="auto"/>
            </w:tcBorders>
            <w:shd w:val="clear" w:color="auto" w:fill="auto"/>
            <w:noWrap/>
            <w:vAlign w:val="bottom"/>
            <w:hideMark/>
          </w:tcPr>
          <w:p w14:paraId="118A7E3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2619" w:type="dxa"/>
            <w:tcBorders>
              <w:top w:val="nil"/>
              <w:left w:val="nil"/>
              <w:bottom w:val="single" w:sz="4" w:space="0" w:color="auto"/>
              <w:right w:val="single" w:sz="4" w:space="0" w:color="auto"/>
            </w:tcBorders>
            <w:shd w:val="clear" w:color="auto" w:fill="auto"/>
            <w:noWrap/>
            <w:vAlign w:val="bottom"/>
            <w:hideMark/>
          </w:tcPr>
          <w:p w14:paraId="0918FE5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 X Hyp - Temp &amp; Light</w:t>
            </w:r>
          </w:p>
        </w:tc>
      </w:tr>
      <w:tr w:rsidR="003D3694" w:rsidRPr="00747E35" w14:paraId="11015643" w14:textId="77777777" w:rsidTr="0096743A">
        <w:trPr>
          <w:trHeight w:val="300"/>
        </w:trPr>
        <w:tc>
          <w:tcPr>
            <w:tcW w:w="1780" w:type="dxa"/>
            <w:tcBorders>
              <w:top w:val="nil"/>
              <w:left w:val="single" w:sz="4" w:space="0" w:color="auto"/>
              <w:bottom w:val="nil"/>
              <w:right w:val="single" w:sz="4" w:space="0" w:color="auto"/>
            </w:tcBorders>
            <w:shd w:val="clear" w:color="auto" w:fill="auto"/>
            <w:noWrap/>
            <w:vAlign w:val="bottom"/>
            <w:hideMark/>
          </w:tcPr>
          <w:p w14:paraId="632C454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nil"/>
              <w:left w:val="nil"/>
              <w:bottom w:val="nil"/>
              <w:right w:val="single" w:sz="4" w:space="0" w:color="auto"/>
            </w:tcBorders>
            <w:shd w:val="clear" w:color="auto" w:fill="auto"/>
            <w:noWrap/>
            <w:vAlign w:val="bottom"/>
            <w:hideMark/>
          </w:tcPr>
          <w:p w14:paraId="346B98B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MCPool 5</w:t>
            </w:r>
          </w:p>
        </w:tc>
        <w:tc>
          <w:tcPr>
            <w:tcW w:w="952" w:type="dxa"/>
            <w:tcBorders>
              <w:top w:val="nil"/>
              <w:left w:val="nil"/>
              <w:bottom w:val="nil"/>
              <w:right w:val="single" w:sz="4" w:space="0" w:color="auto"/>
            </w:tcBorders>
            <w:shd w:val="clear" w:color="auto" w:fill="auto"/>
            <w:noWrap/>
            <w:vAlign w:val="bottom"/>
            <w:hideMark/>
          </w:tcPr>
          <w:p w14:paraId="1ECE034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3</w:t>
            </w:r>
          </w:p>
        </w:tc>
        <w:tc>
          <w:tcPr>
            <w:tcW w:w="2341" w:type="dxa"/>
            <w:tcBorders>
              <w:top w:val="nil"/>
              <w:left w:val="nil"/>
              <w:bottom w:val="nil"/>
              <w:right w:val="single" w:sz="4" w:space="0" w:color="auto"/>
            </w:tcBorders>
            <w:shd w:val="clear" w:color="auto" w:fill="auto"/>
            <w:noWrap/>
            <w:vAlign w:val="bottom"/>
            <w:hideMark/>
          </w:tcPr>
          <w:p w14:paraId="6060F5D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1X Surf - Temp &amp; Light</w:t>
            </w:r>
          </w:p>
        </w:tc>
        <w:tc>
          <w:tcPr>
            <w:tcW w:w="2619" w:type="dxa"/>
            <w:tcBorders>
              <w:top w:val="nil"/>
              <w:left w:val="nil"/>
              <w:bottom w:val="nil"/>
              <w:right w:val="single" w:sz="4" w:space="0" w:color="auto"/>
            </w:tcBorders>
            <w:shd w:val="clear" w:color="auto" w:fill="auto"/>
            <w:noWrap/>
            <w:vAlign w:val="bottom"/>
            <w:hideMark/>
          </w:tcPr>
          <w:p w14:paraId="02C314C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1X Surf - Temp &amp; Light</w:t>
            </w:r>
          </w:p>
        </w:tc>
      </w:tr>
      <w:tr w:rsidR="003D3694" w:rsidRPr="00747E35" w14:paraId="375F8451" w14:textId="77777777" w:rsidTr="0096743A">
        <w:trPr>
          <w:trHeight w:val="300"/>
        </w:trPr>
        <w:tc>
          <w:tcPr>
            <w:tcW w:w="1780" w:type="dxa"/>
            <w:tcBorders>
              <w:top w:val="nil"/>
              <w:left w:val="single" w:sz="4" w:space="0" w:color="auto"/>
              <w:bottom w:val="nil"/>
              <w:right w:val="single" w:sz="4" w:space="0" w:color="auto"/>
            </w:tcBorders>
            <w:shd w:val="clear" w:color="auto" w:fill="auto"/>
            <w:noWrap/>
            <w:vAlign w:val="bottom"/>
            <w:hideMark/>
          </w:tcPr>
          <w:p w14:paraId="7B5709C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nil"/>
              <w:left w:val="nil"/>
              <w:bottom w:val="single" w:sz="4" w:space="0" w:color="auto"/>
              <w:right w:val="single" w:sz="4" w:space="0" w:color="auto"/>
            </w:tcBorders>
            <w:shd w:val="clear" w:color="auto" w:fill="auto"/>
            <w:noWrap/>
            <w:vAlign w:val="bottom"/>
            <w:hideMark/>
          </w:tcPr>
          <w:p w14:paraId="551E118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952" w:type="dxa"/>
            <w:tcBorders>
              <w:top w:val="nil"/>
              <w:left w:val="nil"/>
              <w:bottom w:val="single" w:sz="4" w:space="0" w:color="auto"/>
              <w:right w:val="single" w:sz="4" w:space="0" w:color="auto"/>
            </w:tcBorders>
            <w:shd w:val="clear" w:color="auto" w:fill="auto"/>
            <w:noWrap/>
            <w:vAlign w:val="bottom"/>
            <w:hideMark/>
          </w:tcPr>
          <w:p w14:paraId="7D93F901" w14:textId="77777777" w:rsidR="003D3694" w:rsidRPr="00747E35" w:rsidRDefault="003D3694" w:rsidP="0096743A">
            <w:pPr>
              <w:pStyle w:val="Tabletext"/>
              <w:spacing w:before="0" w:after="0"/>
              <w:rPr>
                <w:rFonts w:cstheme="minorHAnsi"/>
                <w:lang w:eastAsia="en-AU"/>
              </w:rPr>
            </w:pPr>
          </w:p>
        </w:tc>
        <w:tc>
          <w:tcPr>
            <w:tcW w:w="2341" w:type="dxa"/>
            <w:tcBorders>
              <w:top w:val="nil"/>
              <w:left w:val="nil"/>
              <w:bottom w:val="single" w:sz="4" w:space="0" w:color="auto"/>
              <w:right w:val="single" w:sz="4" w:space="0" w:color="auto"/>
            </w:tcBorders>
            <w:shd w:val="clear" w:color="auto" w:fill="auto"/>
            <w:noWrap/>
            <w:vAlign w:val="bottom"/>
            <w:hideMark/>
          </w:tcPr>
          <w:p w14:paraId="30C490B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 X Hyp - Temp</w:t>
            </w:r>
          </w:p>
        </w:tc>
        <w:tc>
          <w:tcPr>
            <w:tcW w:w="2619" w:type="dxa"/>
            <w:tcBorders>
              <w:top w:val="nil"/>
              <w:left w:val="nil"/>
              <w:bottom w:val="single" w:sz="4" w:space="0" w:color="auto"/>
              <w:right w:val="single" w:sz="4" w:space="0" w:color="auto"/>
            </w:tcBorders>
            <w:shd w:val="clear" w:color="auto" w:fill="auto"/>
            <w:noWrap/>
            <w:vAlign w:val="bottom"/>
            <w:hideMark/>
          </w:tcPr>
          <w:p w14:paraId="7FF00E3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 X Hyp - Temp</w:t>
            </w:r>
          </w:p>
        </w:tc>
      </w:tr>
      <w:tr w:rsidR="003D3694" w:rsidRPr="00747E35" w14:paraId="7BA9A9A9" w14:textId="77777777" w:rsidTr="0096743A">
        <w:trPr>
          <w:trHeight w:val="300"/>
        </w:trPr>
        <w:tc>
          <w:tcPr>
            <w:tcW w:w="1780" w:type="dxa"/>
            <w:tcBorders>
              <w:top w:val="nil"/>
              <w:left w:val="single" w:sz="4" w:space="0" w:color="auto"/>
              <w:bottom w:val="nil"/>
              <w:right w:val="single" w:sz="4" w:space="0" w:color="auto"/>
            </w:tcBorders>
            <w:shd w:val="clear" w:color="auto" w:fill="auto"/>
            <w:noWrap/>
            <w:vAlign w:val="bottom"/>
            <w:hideMark/>
          </w:tcPr>
          <w:p w14:paraId="6663F3F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nil"/>
              <w:left w:val="nil"/>
              <w:bottom w:val="nil"/>
              <w:right w:val="single" w:sz="4" w:space="0" w:color="auto"/>
            </w:tcBorders>
            <w:shd w:val="clear" w:color="auto" w:fill="auto"/>
            <w:noWrap/>
            <w:vAlign w:val="bottom"/>
            <w:hideMark/>
          </w:tcPr>
          <w:p w14:paraId="23930AB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MCRiffle 3</w:t>
            </w:r>
          </w:p>
        </w:tc>
        <w:tc>
          <w:tcPr>
            <w:tcW w:w="952" w:type="dxa"/>
            <w:tcBorders>
              <w:top w:val="nil"/>
              <w:left w:val="nil"/>
              <w:bottom w:val="nil"/>
              <w:right w:val="single" w:sz="4" w:space="0" w:color="auto"/>
            </w:tcBorders>
            <w:shd w:val="clear" w:color="auto" w:fill="auto"/>
            <w:noWrap/>
            <w:vAlign w:val="bottom"/>
            <w:hideMark/>
          </w:tcPr>
          <w:p w14:paraId="5B0F135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w:t>
            </w:r>
          </w:p>
        </w:tc>
        <w:tc>
          <w:tcPr>
            <w:tcW w:w="2341" w:type="dxa"/>
            <w:tcBorders>
              <w:top w:val="nil"/>
              <w:left w:val="nil"/>
              <w:bottom w:val="single" w:sz="4" w:space="0" w:color="auto"/>
              <w:right w:val="single" w:sz="4" w:space="0" w:color="auto"/>
            </w:tcBorders>
            <w:shd w:val="clear" w:color="auto" w:fill="auto"/>
            <w:noWrap/>
            <w:vAlign w:val="bottom"/>
            <w:hideMark/>
          </w:tcPr>
          <w:p w14:paraId="6C65593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 X Surf - Temp &amp; Light</w:t>
            </w:r>
          </w:p>
        </w:tc>
        <w:tc>
          <w:tcPr>
            <w:tcW w:w="2619" w:type="dxa"/>
            <w:tcBorders>
              <w:top w:val="nil"/>
              <w:left w:val="nil"/>
              <w:bottom w:val="single" w:sz="4" w:space="0" w:color="auto"/>
              <w:right w:val="single" w:sz="4" w:space="0" w:color="auto"/>
            </w:tcBorders>
            <w:shd w:val="clear" w:color="auto" w:fill="auto"/>
            <w:noWrap/>
            <w:vAlign w:val="bottom"/>
            <w:hideMark/>
          </w:tcPr>
          <w:p w14:paraId="071CEC8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 X Hyp - Temp</w:t>
            </w:r>
          </w:p>
        </w:tc>
      </w:tr>
      <w:tr w:rsidR="003D3694" w:rsidRPr="00747E35" w14:paraId="68875C7E" w14:textId="77777777" w:rsidTr="0096743A">
        <w:trPr>
          <w:trHeight w:val="300"/>
        </w:trPr>
        <w:tc>
          <w:tcPr>
            <w:tcW w:w="1780" w:type="dxa"/>
            <w:tcBorders>
              <w:top w:val="nil"/>
              <w:left w:val="single" w:sz="4" w:space="0" w:color="auto"/>
              <w:bottom w:val="nil"/>
              <w:right w:val="single" w:sz="4" w:space="0" w:color="auto"/>
            </w:tcBorders>
            <w:shd w:val="clear" w:color="auto" w:fill="auto"/>
            <w:noWrap/>
            <w:vAlign w:val="bottom"/>
            <w:hideMark/>
          </w:tcPr>
          <w:p w14:paraId="36DEBD5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nil"/>
              <w:left w:val="nil"/>
              <w:bottom w:val="nil"/>
              <w:right w:val="single" w:sz="4" w:space="0" w:color="auto"/>
            </w:tcBorders>
            <w:shd w:val="clear" w:color="auto" w:fill="auto"/>
            <w:noWrap/>
            <w:vAlign w:val="bottom"/>
            <w:hideMark/>
          </w:tcPr>
          <w:p w14:paraId="1A11AF4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952" w:type="dxa"/>
            <w:tcBorders>
              <w:top w:val="nil"/>
              <w:left w:val="nil"/>
              <w:bottom w:val="nil"/>
              <w:right w:val="single" w:sz="4" w:space="0" w:color="auto"/>
            </w:tcBorders>
            <w:shd w:val="clear" w:color="auto" w:fill="auto"/>
            <w:noWrap/>
            <w:vAlign w:val="bottom"/>
            <w:hideMark/>
          </w:tcPr>
          <w:p w14:paraId="337D40DB" w14:textId="77777777" w:rsidR="003D3694" w:rsidRPr="00747E35" w:rsidRDefault="003D3694" w:rsidP="0096743A">
            <w:pPr>
              <w:pStyle w:val="Tabletext"/>
              <w:spacing w:before="0" w:after="0"/>
              <w:rPr>
                <w:rFonts w:cstheme="minorHAnsi"/>
                <w:lang w:eastAsia="en-AU"/>
              </w:rPr>
            </w:pPr>
          </w:p>
        </w:tc>
        <w:tc>
          <w:tcPr>
            <w:tcW w:w="2341" w:type="dxa"/>
            <w:tcBorders>
              <w:top w:val="nil"/>
              <w:left w:val="nil"/>
              <w:bottom w:val="nil"/>
              <w:right w:val="single" w:sz="4" w:space="0" w:color="auto"/>
            </w:tcBorders>
            <w:shd w:val="clear" w:color="auto" w:fill="auto"/>
            <w:noWrap/>
            <w:vAlign w:val="bottom"/>
            <w:hideMark/>
          </w:tcPr>
          <w:p w14:paraId="672DEF2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2619" w:type="dxa"/>
            <w:tcBorders>
              <w:top w:val="nil"/>
              <w:left w:val="nil"/>
              <w:bottom w:val="nil"/>
              <w:right w:val="single" w:sz="4" w:space="0" w:color="auto"/>
            </w:tcBorders>
            <w:shd w:val="clear" w:color="auto" w:fill="auto"/>
            <w:noWrap/>
            <w:vAlign w:val="bottom"/>
            <w:hideMark/>
          </w:tcPr>
          <w:p w14:paraId="683C334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1X Surf - Temp &amp; Light</w:t>
            </w:r>
          </w:p>
        </w:tc>
      </w:tr>
      <w:tr w:rsidR="003D3694" w:rsidRPr="00747E35" w14:paraId="0324C178" w14:textId="77777777" w:rsidTr="0096743A">
        <w:trPr>
          <w:trHeight w:val="300"/>
        </w:trPr>
        <w:tc>
          <w:tcPr>
            <w:tcW w:w="1780" w:type="dxa"/>
            <w:tcBorders>
              <w:top w:val="nil"/>
              <w:left w:val="single" w:sz="4" w:space="0" w:color="auto"/>
              <w:bottom w:val="nil"/>
              <w:right w:val="single" w:sz="4" w:space="0" w:color="auto"/>
            </w:tcBorders>
            <w:shd w:val="clear" w:color="auto" w:fill="auto"/>
            <w:noWrap/>
            <w:vAlign w:val="bottom"/>
            <w:hideMark/>
          </w:tcPr>
          <w:p w14:paraId="2BF42EB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nil"/>
              <w:left w:val="nil"/>
              <w:bottom w:val="single" w:sz="4" w:space="0" w:color="auto"/>
              <w:right w:val="single" w:sz="4" w:space="0" w:color="auto"/>
            </w:tcBorders>
            <w:shd w:val="clear" w:color="auto" w:fill="auto"/>
            <w:noWrap/>
            <w:vAlign w:val="bottom"/>
            <w:hideMark/>
          </w:tcPr>
          <w:p w14:paraId="51B1976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952" w:type="dxa"/>
            <w:tcBorders>
              <w:top w:val="nil"/>
              <w:left w:val="nil"/>
              <w:bottom w:val="single" w:sz="4" w:space="0" w:color="auto"/>
              <w:right w:val="single" w:sz="4" w:space="0" w:color="auto"/>
            </w:tcBorders>
            <w:shd w:val="clear" w:color="auto" w:fill="auto"/>
            <w:noWrap/>
            <w:vAlign w:val="bottom"/>
            <w:hideMark/>
          </w:tcPr>
          <w:p w14:paraId="250ADBC2" w14:textId="77777777" w:rsidR="003D3694" w:rsidRPr="00747E35" w:rsidRDefault="003D3694" w:rsidP="0096743A">
            <w:pPr>
              <w:pStyle w:val="Tabletext"/>
              <w:spacing w:before="0" w:after="0"/>
              <w:rPr>
                <w:rFonts w:cstheme="minorHAnsi"/>
                <w:lang w:eastAsia="en-AU"/>
              </w:rPr>
            </w:pPr>
          </w:p>
        </w:tc>
        <w:tc>
          <w:tcPr>
            <w:tcW w:w="2341" w:type="dxa"/>
            <w:tcBorders>
              <w:top w:val="nil"/>
              <w:left w:val="nil"/>
              <w:bottom w:val="single" w:sz="4" w:space="0" w:color="auto"/>
              <w:right w:val="single" w:sz="4" w:space="0" w:color="auto"/>
            </w:tcBorders>
            <w:shd w:val="clear" w:color="auto" w:fill="auto"/>
            <w:noWrap/>
            <w:vAlign w:val="bottom"/>
            <w:hideMark/>
          </w:tcPr>
          <w:p w14:paraId="2C9D6CE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2619" w:type="dxa"/>
            <w:tcBorders>
              <w:top w:val="nil"/>
              <w:left w:val="nil"/>
              <w:bottom w:val="single" w:sz="4" w:space="0" w:color="auto"/>
              <w:right w:val="single" w:sz="4" w:space="0" w:color="auto"/>
            </w:tcBorders>
            <w:shd w:val="clear" w:color="auto" w:fill="auto"/>
            <w:noWrap/>
            <w:vAlign w:val="bottom"/>
            <w:hideMark/>
          </w:tcPr>
          <w:p w14:paraId="2E68BCE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 X Hyp - Temp</w:t>
            </w:r>
          </w:p>
        </w:tc>
      </w:tr>
      <w:tr w:rsidR="003D3694" w:rsidRPr="00747E35" w14:paraId="3A227F6F" w14:textId="77777777" w:rsidTr="0096743A">
        <w:trPr>
          <w:trHeight w:val="300"/>
        </w:trPr>
        <w:tc>
          <w:tcPr>
            <w:tcW w:w="1780" w:type="dxa"/>
            <w:tcBorders>
              <w:top w:val="nil"/>
              <w:left w:val="single" w:sz="4" w:space="0" w:color="auto"/>
              <w:bottom w:val="nil"/>
              <w:right w:val="single" w:sz="4" w:space="0" w:color="auto"/>
            </w:tcBorders>
            <w:shd w:val="clear" w:color="auto" w:fill="auto"/>
            <w:noWrap/>
            <w:vAlign w:val="bottom"/>
            <w:hideMark/>
          </w:tcPr>
          <w:p w14:paraId="341EC54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nil"/>
              <w:left w:val="nil"/>
              <w:bottom w:val="single" w:sz="4" w:space="0" w:color="auto"/>
              <w:right w:val="single" w:sz="4" w:space="0" w:color="auto"/>
            </w:tcBorders>
            <w:shd w:val="clear" w:color="auto" w:fill="auto"/>
            <w:noWrap/>
            <w:vAlign w:val="bottom"/>
            <w:hideMark/>
          </w:tcPr>
          <w:p w14:paraId="1B820BF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MCRiffle 4</w:t>
            </w:r>
          </w:p>
        </w:tc>
        <w:tc>
          <w:tcPr>
            <w:tcW w:w="952" w:type="dxa"/>
            <w:tcBorders>
              <w:top w:val="nil"/>
              <w:left w:val="nil"/>
              <w:bottom w:val="single" w:sz="4" w:space="0" w:color="auto"/>
              <w:right w:val="single" w:sz="4" w:space="0" w:color="auto"/>
            </w:tcBorders>
            <w:shd w:val="clear" w:color="auto" w:fill="auto"/>
            <w:noWrap/>
            <w:vAlign w:val="bottom"/>
            <w:hideMark/>
          </w:tcPr>
          <w:p w14:paraId="671283F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w:t>
            </w:r>
          </w:p>
        </w:tc>
        <w:tc>
          <w:tcPr>
            <w:tcW w:w="2341" w:type="dxa"/>
            <w:tcBorders>
              <w:top w:val="nil"/>
              <w:left w:val="nil"/>
              <w:bottom w:val="single" w:sz="4" w:space="0" w:color="auto"/>
              <w:right w:val="single" w:sz="4" w:space="0" w:color="auto"/>
            </w:tcBorders>
            <w:shd w:val="clear" w:color="auto" w:fill="auto"/>
            <w:noWrap/>
            <w:vAlign w:val="bottom"/>
            <w:hideMark/>
          </w:tcPr>
          <w:p w14:paraId="4C5D3DC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2619" w:type="dxa"/>
            <w:tcBorders>
              <w:top w:val="nil"/>
              <w:left w:val="nil"/>
              <w:bottom w:val="single" w:sz="4" w:space="0" w:color="auto"/>
              <w:right w:val="single" w:sz="4" w:space="0" w:color="auto"/>
            </w:tcBorders>
            <w:shd w:val="clear" w:color="auto" w:fill="auto"/>
            <w:noWrap/>
            <w:vAlign w:val="bottom"/>
            <w:hideMark/>
          </w:tcPr>
          <w:p w14:paraId="3018954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72AA1608" w14:textId="77777777" w:rsidTr="0096743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587F8E3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nil"/>
              <w:left w:val="nil"/>
              <w:bottom w:val="single" w:sz="4" w:space="0" w:color="auto"/>
              <w:right w:val="single" w:sz="4" w:space="0" w:color="auto"/>
            </w:tcBorders>
            <w:shd w:val="clear" w:color="auto" w:fill="auto"/>
            <w:noWrap/>
            <w:vAlign w:val="bottom"/>
            <w:hideMark/>
          </w:tcPr>
          <w:p w14:paraId="30803D2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MCRiffle 5</w:t>
            </w:r>
          </w:p>
        </w:tc>
        <w:tc>
          <w:tcPr>
            <w:tcW w:w="952" w:type="dxa"/>
            <w:tcBorders>
              <w:top w:val="nil"/>
              <w:left w:val="nil"/>
              <w:bottom w:val="single" w:sz="4" w:space="0" w:color="auto"/>
              <w:right w:val="single" w:sz="4" w:space="0" w:color="auto"/>
            </w:tcBorders>
            <w:shd w:val="clear" w:color="auto" w:fill="auto"/>
            <w:noWrap/>
            <w:vAlign w:val="bottom"/>
            <w:hideMark/>
          </w:tcPr>
          <w:p w14:paraId="42B70B9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w:t>
            </w:r>
          </w:p>
        </w:tc>
        <w:tc>
          <w:tcPr>
            <w:tcW w:w="2341" w:type="dxa"/>
            <w:tcBorders>
              <w:top w:val="nil"/>
              <w:left w:val="nil"/>
              <w:bottom w:val="single" w:sz="4" w:space="0" w:color="auto"/>
              <w:right w:val="single" w:sz="4" w:space="0" w:color="auto"/>
            </w:tcBorders>
            <w:shd w:val="clear" w:color="auto" w:fill="auto"/>
            <w:noWrap/>
            <w:vAlign w:val="bottom"/>
            <w:hideMark/>
          </w:tcPr>
          <w:p w14:paraId="0343599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2619" w:type="dxa"/>
            <w:tcBorders>
              <w:top w:val="nil"/>
              <w:left w:val="nil"/>
              <w:bottom w:val="single" w:sz="4" w:space="0" w:color="auto"/>
              <w:right w:val="single" w:sz="4" w:space="0" w:color="auto"/>
            </w:tcBorders>
            <w:shd w:val="clear" w:color="auto" w:fill="auto"/>
            <w:noWrap/>
            <w:vAlign w:val="bottom"/>
            <w:hideMark/>
          </w:tcPr>
          <w:p w14:paraId="49D1049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44F4CEB9" w14:textId="77777777" w:rsidTr="0096743A">
        <w:trPr>
          <w:trHeight w:val="300"/>
        </w:trPr>
        <w:tc>
          <w:tcPr>
            <w:tcW w:w="1780" w:type="dxa"/>
            <w:tcBorders>
              <w:top w:val="single" w:sz="4" w:space="0" w:color="auto"/>
              <w:left w:val="single" w:sz="4" w:space="0" w:color="auto"/>
              <w:bottom w:val="nil"/>
              <w:right w:val="nil"/>
            </w:tcBorders>
            <w:shd w:val="clear" w:color="auto" w:fill="auto"/>
            <w:noWrap/>
            <w:vAlign w:val="bottom"/>
            <w:hideMark/>
          </w:tcPr>
          <w:p w14:paraId="021C277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Perennial Gaining</w:t>
            </w:r>
          </w:p>
        </w:tc>
        <w:tc>
          <w:tcPr>
            <w:tcW w:w="1212" w:type="dxa"/>
            <w:tcBorders>
              <w:top w:val="nil"/>
              <w:left w:val="single" w:sz="4" w:space="0" w:color="auto"/>
              <w:bottom w:val="single" w:sz="4" w:space="0" w:color="auto"/>
              <w:right w:val="single" w:sz="4" w:space="0" w:color="auto"/>
            </w:tcBorders>
            <w:shd w:val="clear" w:color="auto" w:fill="auto"/>
            <w:noWrap/>
            <w:vAlign w:val="bottom"/>
            <w:hideMark/>
          </w:tcPr>
          <w:p w14:paraId="0D2201A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Bar 6</w:t>
            </w:r>
          </w:p>
        </w:tc>
        <w:tc>
          <w:tcPr>
            <w:tcW w:w="952" w:type="dxa"/>
            <w:tcBorders>
              <w:top w:val="nil"/>
              <w:left w:val="nil"/>
              <w:bottom w:val="single" w:sz="4" w:space="0" w:color="auto"/>
              <w:right w:val="single" w:sz="4" w:space="0" w:color="auto"/>
            </w:tcBorders>
            <w:shd w:val="clear" w:color="auto" w:fill="auto"/>
            <w:noWrap/>
            <w:vAlign w:val="bottom"/>
            <w:hideMark/>
          </w:tcPr>
          <w:p w14:paraId="6CA72BB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w:t>
            </w:r>
          </w:p>
        </w:tc>
        <w:tc>
          <w:tcPr>
            <w:tcW w:w="2341" w:type="dxa"/>
            <w:tcBorders>
              <w:top w:val="nil"/>
              <w:left w:val="nil"/>
              <w:bottom w:val="single" w:sz="4" w:space="0" w:color="auto"/>
              <w:right w:val="single" w:sz="4" w:space="0" w:color="auto"/>
            </w:tcBorders>
            <w:shd w:val="clear" w:color="auto" w:fill="auto"/>
            <w:noWrap/>
            <w:vAlign w:val="bottom"/>
            <w:hideMark/>
          </w:tcPr>
          <w:p w14:paraId="644491C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2619" w:type="dxa"/>
            <w:tcBorders>
              <w:top w:val="nil"/>
              <w:left w:val="nil"/>
              <w:bottom w:val="single" w:sz="4" w:space="0" w:color="auto"/>
              <w:right w:val="single" w:sz="4" w:space="0" w:color="auto"/>
            </w:tcBorders>
            <w:shd w:val="clear" w:color="auto" w:fill="auto"/>
            <w:noWrap/>
            <w:vAlign w:val="bottom"/>
            <w:hideMark/>
          </w:tcPr>
          <w:p w14:paraId="3598E0C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3747C919" w14:textId="77777777" w:rsidTr="0096743A">
        <w:trPr>
          <w:trHeight w:val="300"/>
        </w:trPr>
        <w:tc>
          <w:tcPr>
            <w:tcW w:w="1780" w:type="dxa"/>
            <w:tcBorders>
              <w:top w:val="nil"/>
              <w:left w:val="single" w:sz="4" w:space="0" w:color="auto"/>
              <w:bottom w:val="nil"/>
              <w:right w:val="nil"/>
            </w:tcBorders>
            <w:shd w:val="clear" w:color="auto" w:fill="auto"/>
            <w:noWrap/>
            <w:vAlign w:val="bottom"/>
            <w:hideMark/>
          </w:tcPr>
          <w:p w14:paraId="7EAB5629" w14:textId="77777777" w:rsidR="003D3694" w:rsidRPr="00747E35" w:rsidRDefault="003D3694" w:rsidP="0096743A">
            <w:pPr>
              <w:pStyle w:val="Tabletext"/>
              <w:spacing w:before="0" w:after="0"/>
              <w:rPr>
                <w:rFonts w:cstheme="minorHAnsi"/>
                <w:lang w:eastAsia="en-AU"/>
              </w:rPr>
            </w:pPr>
          </w:p>
        </w:tc>
        <w:tc>
          <w:tcPr>
            <w:tcW w:w="1212" w:type="dxa"/>
            <w:tcBorders>
              <w:top w:val="nil"/>
              <w:left w:val="single" w:sz="4" w:space="0" w:color="auto"/>
              <w:bottom w:val="single" w:sz="4" w:space="0" w:color="auto"/>
              <w:right w:val="single" w:sz="4" w:space="0" w:color="auto"/>
            </w:tcBorders>
            <w:shd w:val="clear" w:color="auto" w:fill="auto"/>
            <w:noWrap/>
            <w:vAlign w:val="bottom"/>
            <w:hideMark/>
          </w:tcPr>
          <w:p w14:paraId="0E1563A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Bar 7</w:t>
            </w:r>
          </w:p>
        </w:tc>
        <w:tc>
          <w:tcPr>
            <w:tcW w:w="952" w:type="dxa"/>
            <w:tcBorders>
              <w:top w:val="nil"/>
              <w:left w:val="nil"/>
              <w:bottom w:val="single" w:sz="4" w:space="0" w:color="auto"/>
              <w:right w:val="single" w:sz="4" w:space="0" w:color="auto"/>
            </w:tcBorders>
            <w:shd w:val="clear" w:color="auto" w:fill="auto"/>
            <w:noWrap/>
            <w:vAlign w:val="bottom"/>
            <w:hideMark/>
          </w:tcPr>
          <w:p w14:paraId="659BA6F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w:t>
            </w:r>
          </w:p>
        </w:tc>
        <w:tc>
          <w:tcPr>
            <w:tcW w:w="2341" w:type="dxa"/>
            <w:tcBorders>
              <w:top w:val="nil"/>
              <w:left w:val="nil"/>
              <w:bottom w:val="single" w:sz="4" w:space="0" w:color="auto"/>
              <w:right w:val="single" w:sz="4" w:space="0" w:color="auto"/>
            </w:tcBorders>
            <w:shd w:val="clear" w:color="auto" w:fill="auto"/>
            <w:noWrap/>
            <w:vAlign w:val="bottom"/>
            <w:hideMark/>
          </w:tcPr>
          <w:p w14:paraId="1F62757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2619" w:type="dxa"/>
            <w:tcBorders>
              <w:top w:val="nil"/>
              <w:left w:val="nil"/>
              <w:bottom w:val="single" w:sz="4" w:space="0" w:color="auto"/>
              <w:right w:val="single" w:sz="4" w:space="0" w:color="auto"/>
            </w:tcBorders>
            <w:shd w:val="clear" w:color="auto" w:fill="auto"/>
            <w:noWrap/>
            <w:vAlign w:val="bottom"/>
            <w:hideMark/>
          </w:tcPr>
          <w:p w14:paraId="1F41B84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0070B317" w14:textId="77777777" w:rsidTr="0096743A">
        <w:trPr>
          <w:trHeight w:val="300"/>
        </w:trPr>
        <w:tc>
          <w:tcPr>
            <w:tcW w:w="1780" w:type="dxa"/>
            <w:tcBorders>
              <w:top w:val="nil"/>
              <w:left w:val="single" w:sz="4" w:space="0" w:color="auto"/>
              <w:bottom w:val="nil"/>
              <w:right w:val="nil"/>
            </w:tcBorders>
            <w:shd w:val="clear" w:color="auto" w:fill="auto"/>
            <w:noWrap/>
            <w:vAlign w:val="bottom"/>
            <w:hideMark/>
          </w:tcPr>
          <w:p w14:paraId="57FA923B" w14:textId="77777777" w:rsidR="003D3694" w:rsidRPr="00747E35" w:rsidRDefault="003D3694" w:rsidP="0096743A">
            <w:pPr>
              <w:pStyle w:val="Tabletext"/>
              <w:spacing w:before="0" w:after="0"/>
              <w:rPr>
                <w:rFonts w:cstheme="minorHAnsi"/>
                <w:lang w:eastAsia="en-AU"/>
              </w:rPr>
            </w:pPr>
          </w:p>
        </w:tc>
        <w:tc>
          <w:tcPr>
            <w:tcW w:w="1212" w:type="dxa"/>
            <w:tcBorders>
              <w:top w:val="nil"/>
              <w:left w:val="single" w:sz="4" w:space="0" w:color="auto"/>
              <w:bottom w:val="single" w:sz="4" w:space="0" w:color="auto"/>
              <w:right w:val="single" w:sz="4" w:space="0" w:color="auto"/>
            </w:tcBorders>
            <w:shd w:val="clear" w:color="auto" w:fill="auto"/>
            <w:noWrap/>
            <w:vAlign w:val="bottom"/>
            <w:hideMark/>
          </w:tcPr>
          <w:p w14:paraId="42C8CC9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Bar 8</w:t>
            </w:r>
          </w:p>
        </w:tc>
        <w:tc>
          <w:tcPr>
            <w:tcW w:w="952" w:type="dxa"/>
            <w:tcBorders>
              <w:top w:val="nil"/>
              <w:left w:val="nil"/>
              <w:bottom w:val="single" w:sz="4" w:space="0" w:color="auto"/>
              <w:right w:val="single" w:sz="4" w:space="0" w:color="auto"/>
            </w:tcBorders>
            <w:shd w:val="clear" w:color="auto" w:fill="auto"/>
            <w:noWrap/>
            <w:vAlign w:val="bottom"/>
            <w:hideMark/>
          </w:tcPr>
          <w:p w14:paraId="2C5D403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w:t>
            </w:r>
          </w:p>
        </w:tc>
        <w:tc>
          <w:tcPr>
            <w:tcW w:w="2341" w:type="dxa"/>
            <w:tcBorders>
              <w:top w:val="nil"/>
              <w:left w:val="nil"/>
              <w:bottom w:val="single" w:sz="4" w:space="0" w:color="auto"/>
              <w:right w:val="single" w:sz="4" w:space="0" w:color="auto"/>
            </w:tcBorders>
            <w:shd w:val="clear" w:color="auto" w:fill="auto"/>
            <w:noWrap/>
            <w:vAlign w:val="bottom"/>
            <w:hideMark/>
          </w:tcPr>
          <w:p w14:paraId="1075D19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2619" w:type="dxa"/>
            <w:tcBorders>
              <w:top w:val="nil"/>
              <w:left w:val="nil"/>
              <w:bottom w:val="single" w:sz="4" w:space="0" w:color="auto"/>
              <w:right w:val="single" w:sz="4" w:space="0" w:color="auto"/>
            </w:tcBorders>
            <w:shd w:val="clear" w:color="auto" w:fill="auto"/>
            <w:noWrap/>
            <w:vAlign w:val="bottom"/>
            <w:hideMark/>
          </w:tcPr>
          <w:p w14:paraId="12F5F2C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4FCF8615" w14:textId="77777777" w:rsidTr="0096743A">
        <w:trPr>
          <w:trHeight w:val="300"/>
        </w:trPr>
        <w:tc>
          <w:tcPr>
            <w:tcW w:w="1780" w:type="dxa"/>
            <w:tcBorders>
              <w:top w:val="nil"/>
              <w:left w:val="single" w:sz="4" w:space="0" w:color="auto"/>
              <w:bottom w:val="nil"/>
              <w:right w:val="nil"/>
            </w:tcBorders>
            <w:shd w:val="clear" w:color="auto" w:fill="auto"/>
            <w:noWrap/>
            <w:vAlign w:val="bottom"/>
            <w:hideMark/>
          </w:tcPr>
          <w:p w14:paraId="7E931C32" w14:textId="77777777" w:rsidR="003D3694" w:rsidRPr="00747E35" w:rsidRDefault="003D3694" w:rsidP="0096743A">
            <w:pPr>
              <w:pStyle w:val="Tabletext"/>
              <w:spacing w:before="0" w:after="0"/>
              <w:rPr>
                <w:rFonts w:cstheme="minorHAnsi"/>
                <w:lang w:eastAsia="en-AU"/>
              </w:rPr>
            </w:pPr>
          </w:p>
        </w:tc>
        <w:tc>
          <w:tcPr>
            <w:tcW w:w="1212" w:type="dxa"/>
            <w:tcBorders>
              <w:top w:val="nil"/>
              <w:left w:val="single" w:sz="4" w:space="0" w:color="auto"/>
              <w:bottom w:val="single" w:sz="4" w:space="0" w:color="auto"/>
              <w:right w:val="single" w:sz="4" w:space="0" w:color="auto"/>
            </w:tcBorders>
            <w:shd w:val="clear" w:color="auto" w:fill="auto"/>
            <w:noWrap/>
            <w:vAlign w:val="bottom"/>
            <w:hideMark/>
          </w:tcPr>
          <w:p w14:paraId="6CAD95C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Pool 32</w:t>
            </w:r>
          </w:p>
        </w:tc>
        <w:tc>
          <w:tcPr>
            <w:tcW w:w="952" w:type="dxa"/>
            <w:tcBorders>
              <w:top w:val="nil"/>
              <w:left w:val="nil"/>
              <w:bottom w:val="single" w:sz="4" w:space="0" w:color="auto"/>
              <w:right w:val="single" w:sz="4" w:space="0" w:color="auto"/>
            </w:tcBorders>
            <w:shd w:val="clear" w:color="auto" w:fill="auto"/>
            <w:noWrap/>
            <w:vAlign w:val="bottom"/>
            <w:hideMark/>
          </w:tcPr>
          <w:p w14:paraId="5A5738E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w:t>
            </w:r>
          </w:p>
        </w:tc>
        <w:tc>
          <w:tcPr>
            <w:tcW w:w="2341" w:type="dxa"/>
            <w:tcBorders>
              <w:top w:val="nil"/>
              <w:left w:val="nil"/>
              <w:bottom w:val="single" w:sz="4" w:space="0" w:color="auto"/>
              <w:right w:val="single" w:sz="4" w:space="0" w:color="auto"/>
            </w:tcBorders>
            <w:shd w:val="clear" w:color="auto" w:fill="auto"/>
            <w:noWrap/>
            <w:vAlign w:val="bottom"/>
            <w:hideMark/>
          </w:tcPr>
          <w:p w14:paraId="5F2FA2E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2619" w:type="dxa"/>
            <w:tcBorders>
              <w:top w:val="nil"/>
              <w:left w:val="nil"/>
              <w:bottom w:val="single" w:sz="4" w:space="0" w:color="auto"/>
              <w:right w:val="single" w:sz="4" w:space="0" w:color="auto"/>
            </w:tcBorders>
            <w:shd w:val="clear" w:color="auto" w:fill="auto"/>
            <w:noWrap/>
            <w:vAlign w:val="bottom"/>
            <w:hideMark/>
          </w:tcPr>
          <w:p w14:paraId="41896AB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30D2AFB7" w14:textId="77777777" w:rsidTr="0096743A">
        <w:trPr>
          <w:trHeight w:val="300"/>
        </w:trPr>
        <w:tc>
          <w:tcPr>
            <w:tcW w:w="1780" w:type="dxa"/>
            <w:tcBorders>
              <w:top w:val="nil"/>
              <w:left w:val="single" w:sz="4" w:space="0" w:color="auto"/>
              <w:bottom w:val="nil"/>
              <w:right w:val="nil"/>
            </w:tcBorders>
            <w:shd w:val="clear" w:color="auto" w:fill="auto"/>
            <w:noWrap/>
            <w:vAlign w:val="bottom"/>
            <w:hideMark/>
          </w:tcPr>
          <w:p w14:paraId="6757B5C8" w14:textId="77777777" w:rsidR="003D3694" w:rsidRPr="00747E35" w:rsidRDefault="003D3694" w:rsidP="0096743A">
            <w:pPr>
              <w:pStyle w:val="Tabletext"/>
              <w:spacing w:before="0" w:after="0"/>
              <w:rPr>
                <w:rFonts w:cstheme="minorHAnsi"/>
                <w:lang w:eastAsia="en-AU"/>
              </w:rPr>
            </w:pPr>
          </w:p>
        </w:tc>
        <w:tc>
          <w:tcPr>
            <w:tcW w:w="1212" w:type="dxa"/>
            <w:tcBorders>
              <w:top w:val="nil"/>
              <w:left w:val="single" w:sz="4" w:space="0" w:color="auto"/>
              <w:bottom w:val="single" w:sz="4" w:space="0" w:color="auto"/>
              <w:right w:val="single" w:sz="4" w:space="0" w:color="auto"/>
            </w:tcBorders>
            <w:shd w:val="clear" w:color="auto" w:fill="auto"/>
            <w:noWrap/>
            <w:vAlign w:val="bottom"/>
            <w:hideMark/>
          </w:tcPr>
          <w:p w14:paraId="2AE5B7E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Pool 33</w:t>
            </w:r>
          </w:p>
        </w:tc>
        <w:tc>
          <w:tcPr>
            <w:tcW w:w="952" w:type="dxa"/>
            <w:tcBorders>
              <w:top w:val="nil"/>
              <w:left w:val="nil"/>
              <w:bottom w:val="single" w:sz="4" w:space="0" w:color="auto"/>
              <w:right w:val="single" w:sz="4" w:space="0" w:color="auto"/>
            </w:tcBorders>
            <w:shd w:val="clear" w:color="auto" w:fill="auto"/>
            <w:noWrap/>
            <w:vAlign w:val="bottom"/>
            <w:hideMark/>
          </w:tcPr>
          <w:p w14:paraId="49CD41F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w:t>
            </w:r>
          </w:p>
        </w:tc>
        <w:tc>
          <w:tcPr>
            <w:tcW w:w="2341" w:type="dxa"/>
            <w:tcBorders>
              <w:top w:val="nil"/>
              <w:left w:val="nil"/>
              <w:bottom w:val="single" w:sz="4" w:space="0" w:color="auto"/>
              <w:right w:val="single" w:sz="4" w:space="0" w:color="auto"/>
            </w:tcBorders>
            <w:shd w:val="clear" w:color="auto" w:fill="auto"/>
            <w:noWrap/>
            <w:vAlign w:val="bottom"/>
            <w:hideMark/>
          </w:tcPr>
          <w:p w14:paraId="6268257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 X Hyp- Temp</w:t>
            </w:r>
          </w:p>
        </w:tc>
        <w:tc>
          <w:tcPr>
            <w:tcW w:w="2619" w:type="dxa"/>
            <w:tcBorders>
              <w:top w:val="nil"/>
              <w:left w:val="nil"/>
              <w:bottom w:val="single" w:sz="4" w:space="0" w:color="auto"/>
              <w:right w:val="single" w:sz="4" w:space="0" w:color="auto"/>
            </w:tcBorders>
            <w:shd w:val="clear" w:color="auto" w:fill="auto"/>
            <w:noWrap/>
            <w:vAlign w:val="bottom"/>
            <w:hideMark/>
          </w:tcPr>
          <w:p w14:paraId="507197A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 X Hyp - Temp &amp; Light</w:t>
            </w:r>
          </w:p>
        </w:tc>
      </w:tr>
      <w:tr w:rsidR="003D3694" w:rsidRPr="00747E35" w14:paraId="27B14FEA" w14:textId="77777777" w:rsidTr="0096743A">
        <w:trPr>
          <w:trHeight w:val="300"/>
        </w:trPr>
        <w:tc>
          <w:tcPr>
            <w:tcW w:w="1780" w:type="dxa"/>
            <w:tcBorders>
              <w:top w:val="nil"/>
              <w:left w:val="single" w:sz="4" w:space="0" w:color="auto"/>
              <w:bottom w:val="nil"/>
              <w:right w:val="nil"/>
            </w:tcBorders>
            <w:shd w:val="clear" w:color="auto" w:fill="auto"/>
            <w:noWrap/>
            <w:vAlign w:val="bottom"/>
            <w:hideMark/>
          </w:tcPr>
          <w:p w14:paraId="1DABCA1D" w14:textId="77777777" w:rsidR="003D3694" w:rsidRPr="00747E35" w:rsidRDefault="003D3694" w:rsidP="0096743A">
            <w:pPr>
              <w:pStyle w:val="Tabletext"/>
              <w:spacing w:before="0" w:after="0"/>
              <w:rPr>
                <w:rFonts w:cstheme="minorHAnsi"/>
                <w:lang w:eastAsia="en-AU"/>
              </w:rPr>
            </w:pPr>
          </w:p>
        </w:tc>
        <w:tc>
          <w:tcPr>
            <w:tcW w:w="1212" w:type="dxa"/>
            <w:tcBorders>
              <w:top w:val="nil"/>
              <w:left w:val="single" w:sz="4" w:space="0" w:color="auto"/>
              <w:bottom w:val="single" w:sz="4" w:space="0" w:color="auto"/>
              <w:right w:val="single" w:sz="4" w:space="0" w:color="auto"/>
            </w:tcBorders>
            <w:shd w:val="clear" w:color="auto" w:fill="auto"/>
            <w:noWrap/>
            <w:vAlign w:val="bottom"/>
            <w:hideMark/>
          </w:tcPr>
          <w:p w14:paraId="62756AB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Pool 34</w:t>
            </w:r>
          </w:p>
        </w:tc>
        <w:tc>
          <w:tcPr>
            <w:tcW w:w="952" w:type="dxa"/>
            <w:tcBorders>
              <w:top w:val="nil"/>
              <w:left w:val="nil"/>
              <w:bottom w:val="single" w:sz="4" w:space="0" w:color="auto"/>
              <w:right w:val="single" w:sz="4" w:space="0" w:color="auto"/>
            </w:tcBorders>
            <w:shd w:val="clear" w:color="auto" w:fill="auto"/>
            <w:noWrap/>
            <w:vAlign w:val="bottom"/>
            <w:hideMark/>
          </w:tcPr>
          <w:p w14:paraId="4D8BC07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w:t>
            </w:r>
          </w:p>
        </w:tc>
        <w:tc>
          <w:tcPr>
            <w:tcW w:w="2341" w:type="dxa"/>
            <w:tcBorders>
              <w:top w:val="nil"/>
              <w:left w:val="nil"/>
              <w:bottom w:val="single" w:sz="4" w:space="0" w:color="auto"/>
              <w:right w:val="single" w:sz="4" w:space="0" w:color="auto"/>
            </w:tcBorders>
            <w:shd w:val="clear" w:color="auto" w:fill="auto"/>
            <w:noWrap/>
            <w:vAlign w:val="bottom"/>
            <w:hideMark/>
          </w:tcPr>
          <w:p w14:paraId="0562F10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 X Surf - Temp &amp; Light</w:t>
            </w:r>
          </w:p>
        </w:tc>
        <w:tc>
          <w:tcPr>
            <w:tcW w:w="2619" w:type="dxa"/>
            <w:tcBorders>
              <w:top w:val="nil"/>
              <w:left w:val="nil"/>
              <w:bottom w:val="single" w:sz="4" w:space="0" w:color="auto"/>
              <w:right w:val="single" w:sz="4" w:space="0" w:color="auto"/>
            </w:tcBorders>
            <w:shd w:val="clear" w:color="auto" w:fill="auto"/>
            <w:noWrap/>
            <w:vAlign w:val="bottom"/>
            <w:hideMark/>
          </w:tcPr>
          <w:p w14:paraId="3FC5F0B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 X Surf - Temp &amp; Light</w:t>
            </w:r>
          </w:p>
        </w:tc>
      </w:tr>
      <w:tr w:rsidR="003D3694" w:rsidRPr="00747E35" w14:paraId="702EF6CB" w14:textId="77777777" w:rsidTr="0096743A">
        <w:trPr>
          <w:trHeight w:val="300"/>
        </w:trPr>
        <w:tc>
          <w:tcPr>
            <w:tcW w:w="1780" w:type="dxa"/>
            <w:tcBorders>
              <w:top w:val="nil"/>
              <w:left w:val="single" w:sz="4" w:space="0" w:color="auto"/>
              <w:bottom w:val="nil"/>
              <w:right w:val="nil"/>
            </w:tcBorders>
            <w:shd w:val="clear" w:color="auto" w:fill="auto"/>
            <w:noWrap/>
            <w:vAlign w:val="bottom"/>
            <w:hideMark/>
          </w:tcPr>
          <w:p w14:paraId="585381E6" w14:textId="77777777" w:rsidR="003D3694" w:rsidRPr="00747E35" w:rsidRDefault="003D3694" w:rsidP="0096743A">
            <w:pPr>
              <w:pStyle w:val="Tabletext"/>
              <w:spacing w:before="0" w:after="0"/>
              <w:rPr>
                <w:rFonts w:cstheme="minorHAnsi"/>
                <w:lang w:eastAsia="en-AU"/>
              </w:rPr>
            </w:pPr>
          </w:p>
        </w:tc>
        <w:tc>
          <w:tcPr>
            <w:tcW w:w="1212" w:type="dxa"/>
            <w:tcBorders>
              <w:top w:val="nil"/>
              <w:left w:val="single" w:sz="4" w:space="0" w:color="auto"/>
              <w:bottom w:val="single" w:sz="4" w:space="0" w:color="auto"/>
              <w:right w:val="single" w:sz="4" w:space="0" w:color="auto"/>
            </w:tcBorders>
            <w:shd w:val="clear" w:color="auto" w:fill="auto"/>
            <w:noWrap/>
            <w:vAlign w:val="bottom"/>
            <w:hideMark/>
          </w:tcPr>
          <w:p w14:paraId="16AB2FB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Riffle 6</w:t>
            </w:r>
          </w:p>
        </w:tc>
        <w:tc>
          <w:tcPr>
            <w:tcW w:w="952" w:type="dxa"/>
            <w:tcBorders>
              <w:top w:val="nil"/>
              <w:left w:val="nil"/>
              <w:bottom w:val="single" w:sz="4" w:space="0" w:color="auto"/>
              <w:right w:val="single" w:sz="4" w:space="0" w:color="auto"/>
            </w:tcBorders>
            <w:shd w:val="clear" w:color="auto" w:fill="auto"/>
            <w:noWrap/>
            <w:vAlign w:val="bottom"/>
            <w:hideMark/>
          </w:tcPr>
          <w:p w14:paraId="4053680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w:t>
            </w:r>
          </w:p>
        </w:tc>
        <w:tc>
          <w:tcPr>
            <w:tcW w:w="2341" w:type="dxa"/>
            <w:tcBorders>
              <w:top w:val="nil"/>
              <w:left w:val="nil"/>
              <w:bottom w:val="single" w:sz="4" w:space="0" w:color="auto"/>
              <w:right w:val="single" w:sz="4" w:space="0" w:color="auto"/>
            </w:tcBorders>
            <w:shd w:val="clear" w:color="auto" w:fill="auto"/>
            <w:noWrap/>
            <w:vAlign w:val="bottom"/>
            <w:hideMark/>
          </w:tcPr>
          <w:p w14:paraId="5ACAFD3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2619" w:type="dxa"/>
            <w:tcBorders>
              <w:top w:val="nil"/>
              <w:left w:val="nil"/>
              <w:bottom w:val="single" w:sz="4" w:space="0" w:color="auto"/>
              <w:right w:val="single" w:sz="4" w:space="0" w:color="auto"/>
            </w:tcBorders>
            <w:shd w:val="clear" w:color="auto" w:fill="auto"/>
            <w:noWrap/>
            <w:vAlign w:val="bottom"/>
            <w:hideMark/>
          </w:tcPr>
          <w:p w14:paraId="3860AF3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26777360" w14:textId="77777777" w:rsidTr="0096743A">
        <w:trPr>
          <w:trHeight w:val="300"/>
        </w:trPr>
        <w:tc>
          <w:tcPr>
            <w:tcW w:w="1780" w:type="dxa"/>
            <w:tcBorders>
              <w:top w:val="nil"/>
              <w:left w:val="single" w:sz="4" w:space="0" w:color="auto"/>
              <w:bottom w:val="nil"/>
              <w:right w:val="nil"/>
            </w:tcBorders>
            <w:shd w:val="clear" w:color="auto" w:fill="auto"/>
            <w:noWrap/>
            <w:vAlign w:val="bottom"/>
            <w:hideMark/>
          </w:tcPr>
          <w:p w14:paraId="54BEC8D3" w14:textId="77777777" w:rsidR="003D3694" w:rsidRPr="00747E35" w:rsidRDefault="003D3694" w:rsidP="0096743A">
            <w:pPr>
              <w:pStyle w:val="Tabletext"/>
              <w:spacing w:before="0" w:after="0"/>
              <w:rPr>
                <w:rFonts w:cstheme="minorHAnsi"/>
                <w:lang w:eastAsia="en-AU"/>
              </w:rPr>
            </w:pPr>
          </w:p>
        </w:tc>
        <w:tc>
          <w:tcPr>
            <w:tcW w:w="1212" w:type="dxa"/>
            <w:tcBorders>
              <w:top w:val="nil"/>
              <w:left w:val="single" w:sz="4" w:space="0" w:color="auto"/>
              <w:bottom w:val="single" w:sz="4" w:space="0" w:color="auto"/>
              <w:right w:val="single" w:sz="4" w:space="0" w:color="auto"/>
            </w:tcBorders>
            <w:shd w:val="clear" w:color="auto" w:fill="auto"/>
            <w:noWrap/>
            <w:vAlign w:val="bottom"/>
            <w:hideMark/>
          </w:tcPr>
          <w:p w14:paraId="362B22E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Riffle 7</w:t>
            </w:r>
          </w:p>
        </w:tc>
        <w:tc>
          <w:tcPr>
            <w:tcW w:w="952" w:type="dxa"/>
            <w:tcBorders>
              <w:top w:val="nil"/>
              <w:left w:val="nil"/>
              <w:bottom w:val="single" w:sz="4" w:space="0" w:color="auto"/>
              <w:right w:val="single" w:sz="4" w:space="0" w:color="auto"/>
            </w:tcBorders>
            <w:shd w:val="clear" w:color="auto" w:fill="auto"/>
            <w:noWrap/>
            <w:vAlign w:val="bottom"/>
            <w:hideMark/>
          </w:tcPr>
          <w:p w14:paraId="2FE64F4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w:t>
            </w:r>
          </w:p>
        </w:tc>
        <w:tc>
          <w:tcPr>
            <w:tcW w:w="2341" w:type="dxa"/>
            <w:tcBorders>
              <w:top w:val="nil"/>
              <w:left w:val="nil"/>
              <w:bottom w:val="single" w:sz="4" w:space="0" w:color="auto"/>
              <w:right w:val="single" w:sz="4" w:space="0" w:color="auto"/>
            </w:tcBorders>
            <w:shd w:val="clear" w:color="auto" w:fill="auto"/>
            <w:noWrap/>
            <w:vAlign w:val="bottom"/>
            <w:hideMark/>
          </w:tcPr>
          <w:p w14:paraId="317D524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2619" w:type="dxa"/>
            <w:tcBorders>
              <w:top w:val="nil"/>
              <w:left w:val="nil"/>
              <w:bottom w:val="single" w:sz="4" w:space="0" w:color="auto"/>
              <w:right w:val="single" w:sz="4" w:space="0" w:color="auto"/>
            </w:tcBorders>
            <w:shd w:val="clear" w:color="auto" w:fill="auto"/>
            <w:noWrap/>
            <w:vAlign w:val="bottom"/>
            <w:hideMark/>
          </w:tcPr>
          <w:p w14:paraId="2FCB548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476658DD" w14:textId="77777777" w:rsidTr="0096743A">
        <w:trPr>
          <w:trHeight w:val="300"/>
        </w:trPr>
        <w:tc>
          <w:tcPr>
            <w:tcW w:w="1780" w:type="dxa"/>
            <w:tcBorders>
              <w:top w:val="nil"/>
              <w:left w:val="single" w:sz="4" w:space="0" w:color="auto"/>
              <w:bottom w:val="single" w:sz="4" w:space="0" w:color="auto"/>
              <w:right w:val="nil"/>
            </w:tcBorders>
            <w:shd w:val="clear" w:color="auto" w:fill="auto"/>
            <w:noWrap/>
            <w:vAlign w:val="bottom"/>
            <w:hideMark/>
          </w:tcPr>
          <w:p w14:paraId="4F91EEA9" w14:textId="77777777" w:rsidR="003D3694" w:rsidRPr="00747E35" w:rsidRDefault="003D3694" w:rsidP="0096743A">
            <w:pPr>
              <w:pStyle w:val="Tabletext"/>
              <w:spacing w:before="0" w:after="0"/>
              <w:rPr>
                <w:rFonts w:cstheme="minorHAnsi"/>
                <w:lang w:eastAsia="en-AU"/>
              </w:rPr>
            </w:pPr>
          </w:p>
        </w:tc>
        <w:tc>
          <w:tcPr>
            <w:tcW w:w="1212" w:type="dxa"/>
            <w:tcBorders>
              <w:top w:val="nil"/>
              <w:left w:val="single" w:sz="4" w:space="0" w:color="auto"/>
              <w:bottom w:val="single" w:sz="4" w:space="0" w:color="auto"/>
              <w:right w:val="single" w:sz="4" w:space="0" w:color="auto"/>
            </w:tcBorders>
            <w:shd w:val="clear" w:color="auto" w:fill="auto"/>
            <w:noWrap/>
            <w:vAlign w:val="bottom"/>
            <w:hideMark/>
          </w:tcPr>
          <w:p w14:paraId="2C7D997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Riffle 8</w:t>
            </w:r>
          </w:p>
        </w:tc>
        <w:tc>
          <w:tcPr>
            <w:tcW w:w="952" w:type="dxa"/>
            <w:tcBorders>
              <w:top w:val="nil"/>
              <w:left w:val="nil"/>
              <w:bottom w:val="single" w:sz="4" w:space="0" w:color="auto"/>
              <w:right w:val="single" w:sz="4" w:space="0" w:color="auto"/>
            </w:tcBorders>
            <w:shd w:val="clear" w:color="auto" w:fill="auto"/>
            <w:noWrap/>
            <w:vAlign w:val="bottom"/>
            <w:hideMark/>
          </w:tcPr>
          <w:p w14:paraId="6976574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w:t>
            </w:r>
          </w:p>
        </w:tc>
        <w:tc>
          <w:tcPr>
            <w:tcW w:w="2341" w:type="dxa"/>
            <w:tcBorders>
              <w:top w:val="nil"/>
              <w:left w:val="nil"/>
              <w:bottom w:val="single" w:sz="4" w:space="0" w:color="auto"/>
              <w:right w:val="single" w:sz="4" w:space="0" w:color="auto"/>
            </w:tcBorders>
            <w:shd w:val="clear" w:color="auto" w:fill="auto"/>
            <w:noWrap/>
            <w:vAlign w:val="bottom"/>
            <w:hideMark/>
          </w:tcPr>
          <w:p w14:paraId="7BFF3D3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2619" w:type="dxa"/>
            <w:tcBorders>
              <w:top w:val="nil"/>
              <w:left w:val="nil"/>
              <w:bottom w:val="single" w:sz="4" w:space="0" w:color="auto"/>
              <w:right w:val="single" w:sz="4" w:space="0" w:color="auto"/>
            </w:tcBorders>
            <w:shd w:val="clear" w:color="auto" w:fill="auto"/>
            <w:noWrap/>
            <w:vAlign w:val="bottom"/>
            <w:hideMark/>
          </w:tcPr>
          <w:p w14:paraId="09DB916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3BD37FF5" w14:textId="77777777" w:rsidTr="0096743A">
        <w:trPr>
          <w:trHeight w:val="300"/>
        </w:trPr>
        <w:tc>
          <w:tcPr>
            <w:tcW w:w="1780" w:type="dxa"/>
            <w:tcBorders>
              <w:top w:val="single" w:sz="4" w:space="0" w:color="auto"/>
              <w:left w:val="single" w:sz="4" w:space="0" w:color="auto"/>
              <w:bottom w:val="nil"/>
              <w:right w:val="single" w:sz="4" w:space="0" w:color="auto"/>
            </w:tcBorders>
            <w:shd w:val="clear" w:color="auto" w:fill="auto"/>
            <w:noWrap/>
            <w:vAlign w:val="bottom"/>
            <w:hideMark/>
          </w:tcPr>
          <w:p w14:paraId="3C6BE97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Perennial Losing</w:t>
            </w:r>
          </w:p>
        </w:tc>
        <w:tc>
          <w:tcPr>
            <w:tcW w:w="1212" w:type="dxa"/>
            <w:tcBorders>
              <w:top w:val="nil"/>
              <w:left w:val="nil"/>
              <w:bottom w:val="single" w:sz="4" w:space="0" w:color="auto"/>
              <w:right w:val="single" w:sz="4" w:space="0" w:color="auto"/>
            </w:tcBorders>
            <w:shd w:val="clear" w:color="auto" w:fill="auto"/>
            <w:noWrap/>
            <w:vAlign w:val="bottom"/>
            <w:hideMark/>
          </w:tcPr>
          <w:p w14:paraId="12E7F8C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Bar 11</w:t>
            </w:r>
          </w:p>
        </w:tc>
        <w:tc>
          <w:tcPr>
            <w:tcW w:w="952" w:type="dxa"/>
            <w:tcBorders>
              <w:top w:val="nil"/>
              <w:left w:val="nil"/>
              <w:bottom w:val="single" w:sz="4" w:space="0" w:color="auto"/>
              <w:right w:val="single" w:sz="4" w:space="0" w:color="auto"/>
            </w:tcBorders>
            <w:shd w:val="clear" w:color="auto" w:fill="auto"/>
            <w:noWrap/>
            <w:vAlign w:val="bottom"/>
            <w:hideMark/>
          </w:tcPr>
          <w:p w14:paraId="6840E5B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3</w:t>
            </w:r>
          </w:p>
        </w:tc>
        <w:tc>
          <w:tcPr>
            <w:tcW w:w="2341" w:type="dxa"/>
            <w:tcBorders>
              <w:top w:val="nil"/>
              <w:left w:val="nil"/>
              <w:bottom w:val="single" w:sz="4" w:space="0" w:color="auto"/>
              <w:right w:val="single" w:sz="4" w:space="0" w:color="auto"/>
            </w:tcBorders>
            <w:shd w:val="clear" w:color="auto" w:fill="auto"/>
            <w:noWrap/>
            <w:vAlign w:val="bottom"/>
            <w:hideMark/>
          </w:tcPr>
          <w:p w14:paraId="1CBA0A2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2619" w:type="dxa"/>
            <w:tcBorders>
              <w:top w:val="nil"/>
              <w:left w:val="nil"/>
              <w:bottom w:val="single" w:sz="4" w:space="0" w:color="auto"/>
              <w:right w:val="single" w:sz="4" w:space="0" w:color="auto"/>
            </w:tcBorders>
            <w:shd w:val="clear" w:color="auto" w:fill="auto"/>
            <w:noWrap/>
            <w:vAlign w:val="bottom"/>
            <w:hideMark/>
          </w:tcPr>
          <w:p w14:paraId="282558F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6C1D62BD" w14:textId="77777777" w:rsidTr="0096743A">
        <w:trPr>
          <w:trHeight w:val="300"/>
        </w:trPr>
        <w:tc>
          <w:tcPr>
            <w:tcW w:w="1780" w:type="dxa"/>
            <w:tcBorders>
              <w:top w:val="nil"/>
              <w:left w:val="single" w:sz="4" w:space="0" w:color="auto"/>
              <w:bottom w:val="nil"/>
              <w:right w:val="single" w:sz="4" w:space="0" w:color="auto"/>
            </w:tcBorders>
            <w:shd w:val="clear" w:color="auto" w:fill="auto"/>
            <w:noWrap/>
            <w:vAlign w:val="bottom"/>
            <w:hideMark/>
          </w:tcPr>
          <w:p w14:paraId="3BE0ADA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nil"/>
              <w:left w:val="nil"/>
              <w:bottom w:val="single" w:sz="4" w:space="0" w:color="auto"/>
              <w:right w:val="single" w:sz="4" w:space="0" w:color="auto"/>
            </w:tcBorders>
            <w:shd w:val="clear" w:color="auto" w:fill="auto"/>
            <w:noWrap/>
            <w:vAlign w:val="bottom"/>
            <w:hideMark/>
          </w:tcPr>
          <w:p w14:paraId="3571A1E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Bar 13</w:t>
            </w:r>
          </w:p>
        </w:tc>
        <w:tc>
          <w:tcPr>
            <w:tcW w:w="952" w:type="dxa"/>
            <w:tcBorders>
              <w:top w:val="nil"/>
              <w:left w:val="nil"/>
              <w:bottom w:val="single" w:sz="4" w:space="0" w:color="auto"/>
              <w:right w:val="single" w:sz="4" w:space="0" w:color="auto"/>
            </w:tcBorders>
            <w:shd w:val="clear" w:color="auto" w:fill="auto"/>
            <w:noWrap/>
            <w:vAlign w:val="bottom"/>
            <w:hideMark/>
          </w:tcPr>
          <w:p w14:paraId="635BE48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w:t>
            </w:r>
          </w:p>
        </w:tc>
        <w:tc>
          <w:tcPr>
            <w:tcW w:w="2341" w:type="dxa"/>
            <w:tcBorders>
              <w:top w:val="nil"/>
              <w:left w:val="nil"/>
              <w:bottom w:val="single" w:sz="4" w:space="0" w:color="auto"/>
              <w:right w:val="single" w:sz="4" w:space="0" w:color="auto"/>
            </w:tcBorders>
            <w:shd w:val="clear" w:color="auto" w:fill="auto"/>
            <w:noWrap/>
            <w:vAlign w:val="bottom"/>
            <w:hideMark/>
          </w:tcPr>
          <w:p w14:paraId="575B7DF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2619" w:type="dxa"/>
            <w:tcBorders>
              <w:top w:val="nil"/>
              <w:left w:val="nil"/>
              <w:bottom w:val="single" w:sz="4" w:space="0" w:color="auto"/>
              <w:right w:val="single" w:sz="4" w:space="0" w:color="auto"/>
            </w:tcBorders>
            <w:shd w:val="clear" w:color="auto" w:fill="auto"/>
            <w:noWrap/>
            <w:vAlign w:val="bottom"/>
            <w:hideMark/>
          </w:tcPr>
          <w:p w14:paraId="6BFD366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18715684" w14:textId="77777777" w:rsidTr="0096743A">
        <w:trPr>
          <w:trHeight w:val="300"/>
        </w:trPr>
        <w:tc>
          <w:tcPr>
            <w:tcW w:w="1780" w:type="dxa"/>
            <w:tcBorders>
              <w:top w:val="nil"/>
              <w:left w:val="single" w:sz="4" w:space="0" w:color="auto"/>
              <w:bottom w:val="nil"/>
              <w:right w:val="single" w:sz="4" w:space="0" w:color="auto"/>
            </w:tcBorders>
            <w:shd w:val="clear" w:color="auto" w:fill="auto"/>
            <w:noWrap/>
            <w:vAlign w:val="bottom"/>
            <w:hideMark/>
          </w:tcPr>
          <w:p w14:paraId="3E61CB9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nil"/>
              <w:left w:val="nil"/>
              <w:bottom w:val="single" w:sz="4" w:space="0" w:color="auto"/>
              <w:right w:val="single" w:sz="4" w:space="0" w:color="auto"/>
            </w:tcBorders>
            <w:shd w:val="clear" w:color="auto" w:fill="auto"/>
            <w:noWrap/>
            <w:vAlign w:val="bottom"/>
            <w:hideMark/>
          </w:tcPr>
          <w:p w14:paraId="48CC6574"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Pool 38</w:t>
            </w:r>
          </w:p>
        </w:tc>
        <w:tc>
          <w:tcPr>
            <w:tcW w:w="952" w:type="dxa"/>
            <w:tcBorders>
              <w:top w:val="nil"/>
              <w:left w:val="nil"/>
              <w:bottom w:val="single" w:sz="4" w:space="0" w:color="auto"/>
              <w:right w:val="single" w:sz="4" w:space="0" w:color="auto"/>
            </w:tcBorders>
            <w:shd w:val="clear" w:color="auto" w:fill="auto"/>
            <w:noWrap/>
            <w:vAlign w:val="bottom"/>
            <w:hideMark/>
          </w:tcPr>
          <w:p w14:paraId="645CE7CF"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w:t>
            </w:r>
          </w:p>
        </w:tc>
        <w:tc>
          <w:tcPr>
            <w:tcW w:w="2341" w:type="dxa"/>
            <w:tcBorders>
              <w:top w:val="nil"/>
              <w:left w:val="nil"/>
              <w:bottom w:val="single" w:sz="4" w:space="0" w:color="auto"/>
              <w:right w:val="single" w:sz="4" w:space="0" w:color="auto"/>
            </w:tcBorders>
            <w:shd w:val="clear" w:color="auto" w:fill="auto"/>
            <w:noWrap/>
            <w:vAlign w:val="bottom"/>
            <w:hideMark/>
          </w:tcPr>
          <w:p w14:paraId="5B35D3C7"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 X Surf - Temp &amp; Light</w:t>
            </w:r>
          </w:p>
        </w:tc>
        <w:tc>
          <w:tcPr>
            <w:tcW w:w="2619" w:type="dxa"/>
            <w:tcBorders>
              <w:top w:val="nil"/>
              <w:left w:val="nil"/>
              <w:bottom w:val="single" w:sz="4" w:space="0" w:color="auto"/>
              <w:right w:val="single" w:sz="4" w:space="0" w:color="auto"/>
            </w:tcBorders>
            <w:shd w:val="clear" w:color="auto" w:fill="auto"/>
            <w:noWrap/>
            <w:vAlign w:val="bottom"/>
            <w:hideMark/>
          </w:tcPr>
          <w:p w14:paraId="3B0A627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0000D64E" w14:textId="77777777" w:rsidTr="0096743A">
        <w:trPr>
          <w:trHeight w:val="300"/>
        </w:trPr>
        <w:tc>
          <w:tcPr>
            <w:tcW w:w="1780" w:type="dxa"/>
            <w:tcBorders>
              <w:top w:val="nil"/>
              <w:left w:val="single" w:sz="4" w:space="0" w:color="auto"/>
              <w:bottom w:val="nil"/>
              <w:right w:val="single" w:sz="4" w:space="0" w:color="auto"/>
            </w:tcBorders>
            <w:shd w:val="clear" w:color="auto" w:fill="auto"/>
            <w:noWrap/>
            <w:vAlign w:val="bottom"/>
            <w:hideMark/>
          </w:tcPr>
          <w:p w14:paraId="4F10B82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nil"/>
              <w:left w:val="nil"/>
              <w:bottom w:val="nil"/>
              <w:right w:val="single" w:sz="4" w:space="0" w:color="auto"/>
            </w:tcBorders>
            <w:shd w:val="clear" w:color="auto" w:fill="auto"/>
            <w:noWrap/>
            <w:vAlign w:val="bottom"/>
            <w:hideMark/>
          </w:tcPr>
          <w:p w14:paraId="4F75A4D5"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Pool 39</w:t>
            </w:r>
          </w:p>
        </w:tc>
        <w:tc>
          <w:tcPr>
            <w:tcW w:w="952" w:type="dxa"/>
            <w:tcBorders>
              <w:top w:val="nil"/>
              <w:left w:val="nil"/>
              <w:bottom w:val="nil"/>
              <w:right w:val="single" w:sz="4" w:space="0" w:color="auto"/>
            </w:tcBorders>
            <w:shd w:val="clear" w:color="auto" w:fill="auto"/>
            <w:noWrap/>
            <w:vAlign w:val="bottom"/>
            <w:hideMark/>
          </w:tcPr>
          <w:p w14:paraId="6F415219"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4</w:t>
            </w:r>
          </w:p>
        </w:tc>
        <w:tc>
          <w:tcPr>
            <w:tcW w:w="2341" w:type="dxa"/>
            <w:tcBorders>
              <w:top w:val="nil"/>
              <w:left w:val="nil"/>
              <w:bottom w:val="nil"/>
              <w:right w:val="single" w:sz="4" w:space="0" w:color="auto"/>
            </w:tcBorders>
            <w:shd w:val="clear" w:color="auto" w:fill="auto"/>
            <w:noWrap/>
            <w:vAlign w:val="bottom"/>
            <w:hideMark/>
          </w:tcPr>
          <w:p w14:paraId="37F7774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 X Surf - Temp &amp; Light</w:t>
            </w:r>
          </w:p>
        </w:tc>
        <w:tc>
          <w:tcPr>
            <w:tcW w:w="2619" w:type="dxa"/>
            <w:tcBorders>
              <w:top w:val="nil"/>
              <w:left w:val="nil"/>
              <w:bottom w:val="nil"/>
              <w:right w:val="single" w:sz="4" w:space="0" w:color="auto"/>
            </w:tcBorders>
            <w:shd w:val="clear" w:color="auto" w:fill="auto"/>
            <w:noWrap/>
            <w:vAlign w:val="bottom"/>
            <w:hideMark/>
          </w:tcPr>
          <w:p w14:paraId="2BA8A64E"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 X Surf - Temp &amp; Light</w:t>
            </w:r>
          </w:p>
        </w:tc>
      </w:tr>
      <w:tr w:rsidR="003D3694" w:rsidRPr="00747E35" w14:paraId="60C655D4" w14:textId="77777777" w:rsidTr="0096743A">
        <w:trPr>
          <w:trHeight w:val="300"/>
        </w:trPr>
        <w:tc>
          <w:tcPr>
            <w:tcW w:w="1780" w:type="dxa"/>
            <w:tcBorders>
              <w:top w:val="nil"/>
              <w:left w:val="single" w:sz="4" w:space="0" w:color="auto"/>
              <w:bottom w:val="nil"/>
              <w:right w:val="single" w:sz="4" w:space="0" w:color="auto"/>
            </w:tcBorders>
            <w:shd w:val="clear" w:color="auto" w:fill="auto"/>
            <w:noWrap/>
            <w:vAlign w:val="bottom"/>
            <w:hideMark/>
          </w:tcPr>
          <w:p w14:paraId="3B2A2B4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nil"/>
              <w:left w:val="nil"/>
              <w:bottom w:val="single" w:sz="4" w:space="0" w:color="auto"/>
              <w:right w:val="single" w:sz="4" w:space="0" w:color="auto"/>
            </w:tcBorders>
            <w:shd w:val="clear" w:color="auto" w:fill="auto"/>
            <w:noWrap/>
            <w:vAlign w:val="bottom"/>
            <w:hideMark/>
          </w:tcPr>
          <w:p w14:paraId="5BCA29F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952" w:type="dxa"/>
            <w:tcBorders>
              <w:top w:val="nil"/>
              <w:left w:val="nil"/>
              <w:bottom w:val="single" w:sz="4" w:space="0" w:color="auto"/>
              <w:right w:val="single" w:sz="4" w:space="0" w:color="auto"/>
            </w:tcBorders>
            <w:shd w:val="clear" w:color="auto" w:fill="auto"/>
            <w:noWrap/>
            <w:vAlign w:val="bottom"/>
            <w:hideMark/>
          </w:tcPr>
          <w:p w14:paraId="75B7D532" w14:textId="77777777" w:rsidR="003D3694" w:rsidRPr="00747E35" w:rsidRDefault="003D3694" w:rsidP="0096743A">
            <w:pPr>
              <w:pStyle w:val="Tabletext"/>
              <w:spacing w:before="0" w:after="0"/>
              <w:rPr>
                <w:rFonts w:cstheme="minorHAnsi"/>
                <w:lang w:eastAsia="en-AU"/>
              </w:rPr>
            </w:pPr>
          </w:p>
        </w:tc>
        <w:tc>
          <w:tcPr>
            <w:tcW w:w="2341" w:type="dxa"/>
            <w:tcBorders>
              <w:top w:val="nil"/>
              <w:left w:val="nil"/>
              <w:bottom w:val="single" w:sz="4" w:space="0" w:color="auto"/>
              <w:right w:val="single" w:sz="4" w:space="0" w:color="auto"/>
            </w:tcBorders>
            <w:shd w:val="clear" w:color="auto" w:fill="auto"/>
            <w:noWrap/>
            <w:vAlign w:val="bottom"/>
            <w:hideMark/>
          </w:tcPr>
          <w:p w14:paraId="287AC66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 X Hyp - Temp</w:t>
            </w:r>
          </w:p>
        </w:tc>
        <w:tc>
          <w:tcPr>
            <w:tcW w:w="2619" w:type="dxa"/>
            <w:tcBorders>
              <w:top w:val="nil"/>
              <w:left w:val="nil"/>
              <w:bottom w:val="single" w:sz="4" w:space="0" w:color="auto"/>
              <w:right w:val="single" w:sz="4" w:space="0" w:color="auto"/>
            </w:tcBorders>
            <w:shd w:val="clear" w:color="auto" w:fill="auto"/>
            <w:noWrap/>
            <w:vAlign w:val="bottom"/>
            <w:hideMark/>
          </w:tcPr>
          <w:p w14:paraId="091AB60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 X Hyp - Temp</w:t>
            </w:r>
          </w:p>
        </w:tc>
      </w:tr>
      <w:tr w:rsidR="003D3694" w:rsidRPr="00747E35" w14:paraId="6D056799" w14:textId="77777777" w:rsidTr="0096743A">
        <w:trPr>
          <w:trHeight w:val="300"/>
        </w:trPr>
        <w:tc>
          <w:tcPr>
            <w:tcW w:w="1780" w:type="dxa"/>
            <w:tcBorders>
              <w:top w:val="nil"/>
              <w:left w:val="single" w:sz="4" w:space="0" w:color="auto"/>
              <w:bottom w:val="nil"/>
              <w:right w:val="single" w:sz="4" w:space="0" w:color="auto"/>
            </w:tcBorders>
            <w:shd w:val="clear" w:color="auto" w:fill="auto"/>
            <w:noWrap/>
            <w:vAlign w:val="bottom"/>
            <w:hideMark/>
          </w:tcPr>
          <w:p w14:paraId="33D788B2"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single" w:sz="4" w:space="0" w:color="auto"/>
              <w:left w:val="nil"/>
              <w:bottom w:val="nil"/>
              <w:right w:val="single" w:sz="4" w:space="0" w:color="auto"/>
            </w:tcBorders>
            <w:shd w:val="clear" w:color="auto" w:fill="auto"/>
            <w:noWrap/>
            <w:vAlign w:val="bottom"/>
            <w:hideMark/>
          </w:tcPr>
          <w:p w14:paraId="6EA3F6F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Riffle 11</w:t>
            </w:r>
          </w:p>
        </w:tc>
        <w:tc>
          <w:tcPr>
            <w:tcW w:w="952" w:type="dxa"/>
            <w:tcBorders>
              <w:top w:val="single" w:sz="4" w:space="0" w:color="auto"/>
              <w:left w:val="nil"/>
              <w:bottom w:val="nil"/>
              <w:right w:val="single" w:sz="4" w:space="0" w:color="auto"/>
            </w:tcBorders>
            <w:shd w:val="clear" w:color="auto" w:fill="auto"/>
            <w:noWrap/>
            <w:vAlign w:val="bottom"/>
            <w:hideMark/>
          </w:tcPr>
          <w:p w14:paraId="23466DEC"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3</w:t>
            </w:r>
          </w:p>
        </w:tc>
        <w:tc>
          <w:tcPr>
            <w:tcW w:w="2341" w:type="dxa"/>
            <w:tcBorders>
              <w:top w:val="single" w:sz="4" w:space="0" w:color="auto"/>
              <w:left w:val="nil"/>
              <w:bottom w:val="nil"/>
              <w:right w:val="single" w:sz="4" w:space="0" w:color="auto"/>
            </w:tcBorders>
            <w:shd w:val="clear" w:color="auto" w:fill="auto"/>
            <w:noWrap/>
            <w:vAlign w:val="bottom"/>
            <w:hideMark/>
          </w:tcPr>
          <w:p w14:paraId="5FF3CAE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 X Surf - Temp &amp; Light</w:t>
            </w:r>
          </w:p>
        </w:tc>
        <w:tc>
          <w:tcPr>
            <w:tcW w:w="2619" w:type="dxa"/>
            <w:tcBorders>
              <w:top w:val="single" w:sz="4" w:space="0" w:color="auto"/>
              <w:left w:val="nil"/>
              <w:bottom w:val="nil"/>
              <w:right w:val="single" w:sz="4" w:space="0" w:color="auto"/>
            </w:tcBorders>
            <w:shd w:val="clear" w:color="auto" w:fill="auto"/>
            <w:noWrap/>
            <w:vAlign w:val="bottom"/>
            <w:hideMark/>
          </w:tcPr>
          <w:p w14:paraId="26BAF2E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12E3C03E" w14:textId="77777777" w:rsidTr="0096743A">
        <w:trPr>
          <w:trHeight w:val="300"/>
        </w:trPr>
        <w:tc>
          <w:tcPr>
            <w:tcW w:w="1780" w:type="dxa"/>
            <w:tcBorders>
              <w:top w:val="nil"/>
              <w:left w:val="single" w:sz="4" w:space="0" w:color="auto"/>
              <w:bottom w:val="nil"/>
              <w:right w:val="single" w:sz="4" w:space="0" w:color="auto"/>
            </w:tcBorders>
            <w:shd w:val="clear" w:color="auto" w:fill="auto"/>
            <w:noWrap/>
            <w:vAlign w:val="bottom"/>
            <w:hideMark/>
          </w:tcPr>
          <w:p w14:paraId="0364571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nil"/>
              <w:left w:val="nil"/>
              <w:bottom w:val="single" w:sz="4" w:space="0" w:color="auto"/>
              <w:right w:val="single" w:sz="4" w:space="0" w:color="auto"/>
            </w:tcBorders>
            <w:shd w:val="clear" w:color="auto" w:fill="auto"/>
            <w:noWrap/>
            <w:vAlign w:val="bottom"/>
            <w:hideMark/>
          </w:tcPr>
          <w:p w14:paraId="3B6CCBAB"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952" w:type="dxa"/>
            <w:tcBorders>
              <w:top w:val="nil"/>
              <w:left w:val="nil"/>
              <w:bottom w:val="single" w:sz="4" w:space="0" w:color="auto"/>
              <w:right w:val="single" w:sz="4" w:space="0" w:color="auto"/>
            </w:tcBorders>
            <w:shd w:val="clear" w:color="auto" w:fill="auto"/>
            <w:noWrap/>
            <w:vAlign w:val="bottom"/>
            <w:hideMark/>
          </w:tcPr>
          <w:p w14:paraId="57CE2434" w14:textId="77777777" w:rsidR="003D3694" w:rsidRPr="00747E35" w:rsidRDefault="003D3694" w:rsidP="0096743A">
            <w:pPr>
              <w:pStyle w:val="Tabletext"/>
              <w:spacing w:before="0" w:after="0"/>
              <w:rPr>
                <w:rFonts w:cstheme="minorHAnsi"/>
                <w:lang w:eastAsia="en-AU"/>
              </w:rPr>
            </w:pPr>
          </w:p>
        </w:tc>
        <w:tc>
          <w:tcPr>
            <w:tcW w:w="2341" w:type="dxa"/>
            <w:tcBorders>
              <w:top w:val="nil"/>
              <w:left w:val="nil"/>
              <w:bottom w:val="single" w:sz="4" w:space="0" w:color="auto"/>
              <w:right w:val="single" w:sz="4" w:space="0" w:color="auto"/>
            </w:tcBorders>
            <w:shd w:val="clear" w:color="auto" w:fill="auto"/>
            <w:noWrap/>
            <w:vAlign w:val="bottom"/>
            <w:hideMark/>
          </w:tcPr>
          <w:p w14:paraId="1A4FCADD"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1 X Hyp - Temp</w:t>
            </w:r>
          </w:p>
        </w:tc>
        <w:tc>
          <w:tcPr>
            <w:tcW w:w="2619" w:type="dxa"/>
            <w:tcBorders>
              <w:top w:val="nil"/>
              <w:left w:val="nil"/>
              <w:bottom w:val="single" w:sz="4" w:space="0" w:color="auto"/>
              <w:right w:val="single" w:sz="4" w:space="0" w:color="auto"/>
            </w:tcBorders>
            <w:shd w:val="clear" w:color="auto" w:fill="auto"/>
            <w:noWrap/>
            <w:vAlign w:val="bottom"/>
            <w:hideMark/>
          </w:tcPr>
          <w:p w14:paraId="02265050"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r w:rsidR="003D3694" w:rsidRPr="00747E35" w14:paraId="0508A548" w14:textId="77777777" w:rsidTr="0096743A">
        <w:trPr>
          <w:trHeight w:val="300"/>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14:paraId="4652C053"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1212" w:type="dxa"/>
            <w:tcBorders>
              <w:top w:val="nil"/>
              <w:left w:val="nil"/>
              <w:bottom w:val="single" w:sz="4" w:space="0" w:color="auto"/>
              <w:right w:val="single" w:sz="4" w:space="0" w:color="auto"/>
            </w:tcBorders>
            <w:shd w:val="clear" w:color="auto" w:fill="auto"/>
            <w:noWrap/>
            <w:vAlign w:val="bottom"/>
            <w:hideMark/>
          </w:tcPr>
          <w:p w14:paraId="6FA90AAA"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Riffle 12</w:t>
            </w:r>
          </w:p>
        </w:tc>
        <w:tc>
          <w:tcPr>
            <w:tcW w:w="952" w:type="dxa"/>
            <w:tcBorders>
              <w:top w:val="nil"/>
              <w:left w:val="nil"/>
              <w:bottom w:val="single" w:sz="4" w:space="0" w:color="auto"/>
              <w:right w:val="single" w:sz="4" w:space="0" w:color="auto"/>
            </w:tcBorders>
            <w:shd w:val="clear" w:color="auto" w:fill="auto"/>
            <w:noWrap/>
            <w:vAlign w:val="bottom"/>
            <w:hideMark/>
          </w:tcPr>
          <w:p w14:paraId="430B05C8"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2</w:t>
            </w:r>
          </w:p>
        </w:tc>
        <w:tc>
          <w:tcPr>
            <w:tcW w:w="2341" w:type="dxa"/>
            <w:tcBorders>
              <w:top w:val="nil"/>
              <w:left w:val="nil"/>
              <w:bottom w:val="single" w:sz="4" w:space="0" w:color="auto"/>
              <w:right w:val="single" w:sz="4" w:space="0" w:color="auto"/>
            </w:tcBorders>
            <w:shd w:val="clear" w:color="auto" w:fill="auto"/>
            <w:noWrap/>
            <w:vAlign w:val="bottom"/>
            <w:hideMark/>
          </w:tcPr>
          <w:p w14:paraId="18E9A466"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c>
          <w:tcPr>
            <w:tcW w:w="2619" w:type="dxa"/>
            <w:tcBorders>
              <w:top w:val="nil"/>
              <w:left w:val="nil"/>
              <w:bottom w:val="single" w:sz="4" w:space="0" w:color="auto"/>
              <w:right w:val="single" w:sz="4" w:space="0" w:color="auto"/>
            </w:tcBorders>
            <w:shd w:val="clear" w:color="auto" w:fill="auto"/>
            <w:noWrap/>
            <w:vAlign w:val="bottom"/>
            <w:hideMark/>
          </w:tcPr>
          <w:p w14:paraId="56548F41" w14:textId="77777777" w:rsidR="003D3694" w:rsidRPr="00747E35" w:rsidRDefault="003D3694" w:rsidP="0096743A">
            <w:pPr>
              <w:pStyle w:val="Tabletext"/>
              <w:spacing w:before="0" w:after="0"/>
              <w:rPr>
                <w:rFonts w:cstheme="minorHAnsi"/>
                <w:lang w:eastAsia="en-AU"/>
              </w:rPr>
            </w:pPr>
            <w:r w:rsidRPr="00747E35">
              <w:rPr>
                <w:rFonts w:cstheme="minorHAnsi"/>
                <w:lang w:eastAsia="en-AU"/>
              </w:rPr>
              <w:t> </w:t>
            </w:r>
          </w:p>
        </w:tc>
      </w:tr>
    </w:tbl>
    <w:p w14:paraId="37B96784"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br w:type="page"/>
      </w:r>
    </w:p>
    <w:p w14:paraId="5EC4FACF"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494BE641" wp14:editId="4CDA436C">
            <wp:extent cx="3286125" cy="2006432"/>
            <wp:effectExtent l="19050" t="19050" r="9525" b="13335"/>
            <wp:docPr id="7194" name="Picture 2" descr="Top chart in Fig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3298809" cy="2014177"/>
                    </a:xfrm>
                    <a:prstGeom prst="rect">
                      <a:avLst/>
                    </a:prstGeom>
                    <a:noFill/>
                    <a:ln>
                      <a:solidFill>
                        <a:schemeClr val="tx1"/>
                      </a:solidFill>
                    </a:ln>
                    <a:effectLst/>
                    <a:extLst/>
                  </pic:spPr>
                </pic:pic>
              </a:graphicData>
            </a:graphic>
          </wp:inline>
        </w:drawing>
      </w:r>
      <w:r w:rsidRPr="00747E35">
        <w:rPr>
          <w:rFonts w:asciiTheme="minorHAnsi" w:hAnsiTheme="minorHAnsi" w:cstheme="minorHAnsi"/>
          <w:noProof/>
          <w:lang w:val="en-AU" w:eastAsia="en-AU"/>
        </w:rPr>
        <w:drawing>
          <wp:inline distT="0" distB="0" distL="0" distR="0" wp14:anchorId="7BE367A8" wp14:editId="1D6C9053">
            <wp:extent cx="3295650" cy="2213296"/>
            <wp:effectExtent l="19050" t="19050" r="19050" b="15875"/>
            <wp:docPr id="7196" name="Picture 2" descr="Middle chart in Fig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3297686" cy="2214663"/>
                    </a:xfrm>
                    <a:prstGeom prst="rect">
                      <a:avLst/>
                    </a:prstGeom>
                    <a:noFill/>
                    <a:ln>
                      <a:solidFill>
                        <a:schemeClr val="tx1"/>
                      </a:solidFill>
                    </a:ln>
                    <a:effectLst/>
                    <a:extLst/>
                  </pic:spPr>
                </pic:pic>
              </a:graphicData>
            </a:graphic>
          </wp:inline>
        </w:drawing>
      </w:r>
      <w:r w:rsidRPr="00747E35">
        <w:rPr>
          <w:rFonts w:asciiTheme="minorHAnsi" w:hAnsiTheme="minorHAnsi" w:cstheme="minorHAnsi"/>
          <w:noProof/>
          <w:lang w:val="en-AU" w:eastAsia="en-AU"/>
        </w:rPr>
        <w:drawing>
          <wp:inline distT="0" distB="0" distL="0" distR="0" wp14:anchorId="207EB27B" wp14:editId="69E1306B">
            <wp:extent cx="3314700" cy="2168719"/>
            <wp:effectExtent l="19050" t="19050" r="19050" b="22225"/>
            <wp:docPr id="7197" name="Picture 2" descr="Bottom chart in Fig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3327723" cy="2177240"/>
                    </a:xfrm>
                    <a:prstGeom prst="rect">
                      <a:avLst/>
                    </a:prstGeom>
                    <a:noFill/>
                    <a:ln>
                      <a:solidFill>
                        <a:schemeClr val="tx1"/>
                      </a:solidFill>
                    </a:ln>
                    <a:effectLst/>
                    <a:extLst/>
                  </pic:spPr>
                </pic:pic>
              </a:graphicData>
            </a:graphic>
          </wp:inline>
        </w:drawing>
      </w:r>
    </w:p>
    <w:p w14:paraId="45D6B875" w14:textId="77777777" w:rsidR="003D3694" w:rsidRPr="00747E35" w:rsidRDefault="003D3694" w:rsidP="00793A29">
      <w:pPr>
        <w:pStyle w:val="Caption"/>
        <w:numPr>
          <w:ilvl w:val="0"/>
          <w:numId w:val="0"/>
        </w:numPr>
        <w:rPr>
          <w:rFonts w:cstheme="minorHAnsi"/>
        </w:rPr>
      </w:pPr>
      <w:bookmarkStart w:id="484" w:name="_Ref46712195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158</w:t>
      </w:r>
      <w:r w:rsidR="009D6600" w:rsidRPr="00747E35">
        <w:rPr>
          <w:rFonts w:cstheme="minorHAnsi"/>
          <w:noProof/>
        </w:rPr>
        <w:fldChar w:fldCharType="end"/>
      </w:r>
      <w:bookmarkEnd w:id="484"/>
      <w:r w:rsidRPr="00747E35">
        <w:rPr>
          <w:rFonts w:cstheme="minorHAnsi"/>
        </w:rPr>
        <w:t xml:space="preserve">: (top) Taxon accumulation curves (Sobs) for all hyporheos and aquifer samples: Bremer River (upper dashed line), Maules Creek aquifer (upper solid line), Maules Creek hyporheos (lower solid line); (mid) Taxon accumulation curves (Sobs) for Bremer River catchment hyporheos samples, plotted by individual creeks, and creeks pooled; (lower) Maules Creek taxon accumulation curves (Sobs) for hyporheos (blue) and aquifer  (brown) samples: all taxa (upper solid lines), stygobites (Sb) + stygophiles (Sp) (mid dashed lines),  stygobites only (lower dotted lines). Bremer River hyporheos functional group trajectories were very similar (plot not shown). </w:t>
      </w:r>
    </w:p>
    <w:p w14:paraId="596F3180" w14:textId="77777777" w:rsidR="003D3694" w:rsidRPr="00747E35" w:rsidRDefault="003D3694" w:rsidP="003D3694">
      <w:pPr>
        <w:rPr>
          <w:rFonts w:asciiTheme="minorHAnsi" w:hAnsiTheme="minorHAnsi" w:cstheme="minorHAnsi"/>
        </w:rPr>
      </w:pPr>
    </w:p>
    <w:p w14:paraId="19CAE2E7" w14:textId="77777777" w:rsidR="003D3694" w:rsidRPr="00747E35" w:rsidRDefault="003D3694" w:rsidP="003D3694">
      <w:pPr>
        <w:rPr>
          <w:rFonts w:asciiTheme="minorHAnsi" w:hAnsiTheme="minorHAnsi" w:cstheme="minorHAnsi"/>
        </w:rPr>
      </w:pPr>
    </w:p>
    <w:p w14:paraId="176F84DF" w14:textId="77777777" w:rsidR="003D3694" w:rsidRPr="00747E35" w:rsidRDefault="003D3694" w:rsidP="003D3694">
      <w:pPr>
        <w:rPr>
          <w:rFonts w:asciiTheme="minorHAnsi" w:hAnsiTheme="minorHAnsi" w:cstheme="minorHAnsi"/>
        </w:rPr>
      </w:pPr>
    </w:p>
    <w:p w14:paraId="2C492765" w14:textId="77777777" w:rsidR="003D3694" w:rsidRPr="00747E35" w:rsidRDefault="003D3694" w:rsidP="003D3694">
      <w:pPr>
        <w:rPr>
          <w:rFonts w:asciiTheme="minorHAnsi" w:hAnsiTheme="minorHAnsi" w:cstheme="minorHAnsi"/>
        </w:rPr>
      </w:pPr>
    </w:p>
    <w:p w14:paraId="0D791301"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br w:type="page"/>
      </w:r>
    </w:p>
    <w:p w14:paraId="78DAC183"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741D7B57" wp14:editId="293D7669">
            <wp:extent cx="3334870" cy="2146644"/>
            <wp:effectExtent l="19050" t="19050" r="18415" b="25400"/>
            <wp:docPr id="7198" name="Picture 3" descr="Top chart in Fig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3340466" cy="2150246"/>
                    </a:xfrm>
                    <a:prstGeom prst="rect">
                      <a:avLst/>
                    </a:prstGeom>
                    <a:noFill/>
                    <a:ln>
                      <a:solidFill>
                        <a:schemeClr val="tx1"/>
                      </a:solidFill>
                    </a:ln>
                    <a:effectLst/>
                    <a:extLst/>
                  </pic:spPr>
                </pic:pic>
              </a:graphicData>
            </a:graphic>
          </wp:inline>
        </w:drawing>
      </w:r>
    </w:p>
    <w:p w14:paraId="7B3EA89C"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059B06FC" wp14:editId="41C66F26">
            <wp:extent cx="3336277" cy="2240938"/>
            <wp:effectExtent l="19050" t="19050" r="17145" b="26035"/>
            <wp:docPr id="7199" name="Picture 3" descr="Middle chart in Fig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3339916" cy="2243382"/>
                    </a:xfrm>
                    <a:prstGeom prst="rect">
                      <a:avLst/>
                    </a:prstGeom>
                    <a:noFill/>
                    <a:ln>
                      <a:solidFill>
                        <a:schemeClr val="tx1"/>
                      </a:solidFill>
                    </a:ln>
                    <a:effectLst/>
                    <a:extLst/>
                  </pic:spPr>
                </pic:pic>
              </a:graphicData>
            </a:graphic>
          </wp:inline>
        </w:drawing>
      </w:r>
    </w:p>
    <w:p w14:paraId="2DD769C6"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drawing>
          <wp:inline distT="0" distB="0" distL="0" distR="0" wp14:anchorId="50B3AC03" wp14:editId="155435ED">
            <wp:extent cx="3344824" cy="2178423"/>
            <wp:effectExtent l="19050" t="19050" r="27305" b="12700"/>
            <wp:docPr id="7200" name="Picture 2" descr="Bottom chart in Fig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3356105" cy="2185770"/>
                    </a:xfrm>
                    <a:prstGeom prst="rect">
                      <a:avLst/>
                    </a:prstGeom>
                    <a:noFill/>
                    <a:ln>
                      <a:solidFill>
                        <a:schemeClr val="tx1"/>
                      </a:solidFill>
                    </a:ln>
                    <a:effectLst/>
                    <a:extLst/>
                  </pic:spPr>
                </pic:pic>
              </a:graphicData>
            </a:graphic>
          </wp:inline>
        </w:drawing>
      </w:r>
    </w:p>
    <w:p w14:paraId="3C01A992" w14:textId="77777777" w:rsidR="003D3694" w:rsidRPr="00747E35" w:rsidRDefault="003D3694" w:rsidP="00793A29">
      <w:pPr>
        <w:pStyle w:val="Caption"/>
        <w:numPr>
          <w:ilvl w:val="0"/>
          <w:numId w:val="0"/>
        </w:numPr>
        <w:rPr>
          <w:rFonts w:cstheme="minorHAnsi"/>
          <w:b/>
        </w:rPr>
      </w:pPr>
      <w:bookmarkStart w:id="485" w:name="_Ref467121960"/>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159</w:t>
      </w:r>
      <w:r w:rsidR="009D6600" w:rsidRPr="00747E35">
        <w:rPr>
          <w:rFonts w:cstheme="minorHAnsi"/>
          <w:noProof/>
        </w:rPr>
        <w:fldChar w:fldCharType="end"/>
      </w:r>
      <w:bookmarkEnd w:id="485"/>
      <w:r w:rsidRPr="00747E35">
        <w:rPr>
          <w:rFonts w:cstheme="minorHAnsi"/>
        </w:rPr>
        <w:t>: (top) Taxon accumulation curve (Sobs) for Bremer River catchment hyporheos samples (creeks pooled) and estimators; (mid) Taxon accumulation curve (Sobs) for Maules catchment hyporheos samples (all sites pooled) and estimators; (bottom) Taxon accumulation curve (Sobs) for Maules catchment aquifer samples (bores pooled) and estimators.</w:t>
      </w:r>
    </w:p>
    <w:p w14:paraId="26D31B4F" w14:textId="77777777" w:rsidR="003D3694" w:rsidRPr="00747E35" w:rsidRDefault="003D3694" w:rsidP="003D3694">
      <w:pPr>
        <w:pStyle w:val="Caption"/>
        <w:rPr>
          <w:rFonts w:cstheme="minorHAnsi"/>
        </w:rPr>
      </w:pPr>
      <w:r w:rsidRPr="00747E35">
        <w:rPr>
          <w:rFonts w:cstheme="minorHAnsi"/>
        </w:rPr>
        <w:br w:type="page"/>
      </w:r>
    </w:p>
    <w:p w14:paraId="723E6751" w14:textId="27E3D99E" w:rsidR="00793A29" w:rsidRPr="00747E35" w:rsidRDefault="003D3694" w:rsidP="00793A29">
      <w:pPr>
        <w:pStyle w:val="Caption"/>
        <w:numPr>
          <w:ilvl w:val="0"/>
          <w:numId w:val="0"/>
        </w:numPr>
        <w:rPr>
          <w:rFonts w:cstheme="minorHAnsi"/>
          <w:noProof/>
        </w:rPr>
      </w:pPr>
      <w:bookmarkStart w:id="486" w:name="_Ref467125329"/>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50</w:t>
      </w:r>
      <w:r w:rsidR="009D6600" w:rsidRPr="00747E35">
        <w:rPr>
          <w:rFonts w:cstheme="minorHAnsi"/>
          <w:noProof/>
        </w:rPr>
        <w:fldChar w:fldCharType="end"/>
      </w:r>
      <w:bookmarkEnd w:id="486"/>
      <w:r w:rsidRPr="00747E35">
        <w:rPr>
          <w:rFonts w:cstheme="minorHAnsi"/>
        </w:rPr>
        <w:t xml:space="preserve">: Bremer Catchment Pearson correlations of each invertebrate taxon, univariate biotic indices and environmental variable with non-metric multidimensional scaling (nMDS) axes MDS1 and MDS2. Variables with Pearson r &gt; 0.4 are in bold. Abbreviations: ‘Sqr’ = square root transformation. Refer to 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51</w:t>
      </w:r>
      <w:r w:rsidR="009D6600" w:rsidRPr="00747E35">
        <w:rPr>
          <w:rFonts w:cstheme="minorHAnsi"/>
          <w:noProof/>
        </w:rPr>
        <w:fldChar w:fldCharType="end"/>
      </w:r>
      <w:r w:rsidRPr="00747E35">
        <w:rPr>
          <w:rFonts w:cstheme="minorHAnsi"/>
          <w:noProof/>
        </w:rPr>
        <w:t xml:space="preserve"> and </w:t>
      </w:r>
      <w:r w:rsidRPr="00747E35">
        <w:rPr>
          <w:rFonts w:cstheme="minorHAnsi"/>
        </w:rPr>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52</w:t>
      </w:r>
      <w:r w:rsidR="009D6600" w:rsidRPr="00747E35">
        <w:rPr>
          <w:rFonts w:cstheme="minorHAnsi"/>
          <w:noProof/>
        </w:rPr>
        <w:fldChar w:fldCharType="end"/>
      </w:r>
      <w:r w:rsidRPr="00747E35">
        <w:rPr>
          <w:rFonts w:cstheme="minorHAnsi"/>
          <w:noProof/>
        </w:rPr>
        <w:t xml:space="preserve"> for all other abbreviations.</w:t>
      </w:r>
    </w:p>
    <w:tbl>
      <w:tblPr>
        <w:tblW w:w="10042" w:type="dxa"/>
        <w:tblInd w:w="93" w:type="dxa"/>
        <w:tblLook w:val="04A0" w:firstRow="1" w:lastRow="0" w:firstColumn="1" w:lastColumn="0" w:noHBand="0" w:noVBand="1"/>
      </w:tblPr>
      <w:tblGrid>
        <w:gridCol w:w="3800"/>
        <w:gridCol w:w="780"/>
        <w:gridCol w:w="780"/>
        <w:gridCol w:w="222"/>
        <w:gridCol w:w="2900"/>
        <w:gridCol w:w="780"/>
        <w:gridCol w:w="780"/>
      </w:tblGrid>
      <w:tr w:rsidR="003D3694" w:rsidRPr="00747E35" w14:paraId="532DC48A" w14:textId="77777777" w:rsidTr="00793A29">
        <w:trPr>
          <w:trHeight w:val="276"/>
        </w:trPr>
        <w:tc>
          <w:tcPr>
            <w:tcW w:w="3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397635"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Variable</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127886A1"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MDS1</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34D18AE2"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MDS2</w:t>
            </w:r>
          </w:p>
        </w:tc>
        <w:tc>
          <w:tcPr>
            <w:tcW w:w="222" w:type="dxa"/>
            <w:tcBorders>
              <w:top w:val="nil"/>
              <w:left w:val="nil"/>
              <w:bottom w:val="nil"/>
              <w:right w:val="nil"/>
            </w:tcBorders>
            <w:shd w:val="clear" w:color="auto" w:fill="auto"/>
            <w:noWrap/>
            <w:vAlign w:val="bottom"/>
            <w:hideMark/>
          </w:tcPr>
          <w:p w14:paraId="65C9C30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4B2BCD"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Variable</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46DC058E"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MDS1</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14:paraId="01CDE744"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MDS2</w:t>
            </w:r>
          </w:p>
        </w:tc>
      </w:tr>
      <w:tr w:rsidR="003D3694" w:rsidRPr="00747E35" w14:paraId="1401D88F"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1DD9BBC0" w14:textId="77777777" w:rsidR="003D3694" w:rsidRPr="00747E35" w:rsidRDefault="003D3694" w:rsidP="0096743A">
            <w:pPr>
              <w:autoSpaceDE/>
              <w:autoSpaceDN/>
              <w:spacing w:after="0"/>
              <w:rPr>
                <w:rFonts w:asciiTheme="minorHAnsi" w:eastAsia="Times New Roman" w:hAnsiTheme="minorHAnsi" w:cstheme="minorHAnsi"/>
                <w:bCs/>
                <w:i/>
                <w:iCs/>
                <w:color w:val="000000"/>
                <w:sz w:val="20"/>
                <w:szCs w:val="20"/>
                <w:lang w:eastAsia="en-AU"/>
              </w:rPr>
            </w:pPr>
            <w:r w:rsidRPr="00747E35">
              <w:rPr>
                <w:rFonts w:asciiTheme="minorHAnsi" w:eastAsia="Times New Roman" w:hAnsiTheme="minorHAnsi" w:cstheme="minorHAnsi"/>
                <w:bCs/>
                <w:i/>
                <w:iCs/>
                <w:color w:val="000000"/>
                <w:sz w:val="20"/>
                <w:szCs w:val="20"/>
                <w:lang w:eastAsia="en-AU"/>
              </w:rPr>
              <w:t>Taxa</w:t>
            </w:r>
          </w:p>
        </w:tc>
        <w:tc>
          <w:tcPr>
            <w:tcW w:w="780" w:type="dxa"/>
            <w:tcBorders>
              <w:top w:val="nil"/>
              <w:left w:val="nil"/>
              <w:bottom w:val="single" w:sz="4" w:space="0" w:color="auto"/>
              <w:right w:val="single" w:sz="4" w:space="0" w:color="auto"/>
            </w:tcBorders>
            <w:shd w:val="clear" w:color="auto" w:fill="auto"/>
            <w:noWrap/>
            <w:vAlign w:val="bottom"/>
            <w:hideMark/>
          </w:tcPr>
          <w:p w14:paraId="4504888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780" w:type="dxa"/>
            <w:tcBorders>
              <w:top w:val="nil"/>
              <w:left w:val="nil"/>
              <w:bottom w:val="single" w:sz="4" w:space="0" w:color="auto"/>
              <w:right w:val="single" w:sz="4" w:space="0" w:color="auto"/>
            </w:tcBorders>
            <w:shd w:val="clear" w:color="auto" w:fill="auto"/>
            <w:noWrap/>
            <w:vAlign w:val="bottom"/>
            <w:hideMark/>
          </w:tcPr>
          <w:p w14:paraId="59F6330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222" w:type="dxa"/>
            <w:tcBorders>
              <w:top w:val="nil"/>
              <w:left w:val="nil"/>
              <w:bottom w:val="nil"/>
              <w:right w:val="nil"/>
            </w:tcBorders>
            <w:shd w:val="clear" w:color="auto" w:fill="auto"/>
            <w:noWrap/>
            <w:vAlign w:val="bottom"/>
            <w:hideMark/>
          </w:tcPr>
          <w:p w14:paraId="550F7B4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4DF99C20" w14:textId="77777777" w:rsidR="003D3694" w:rsidRPr="00747E35" w:rsidRDefault="003D3694" w:rsidP="0096743A">
            <w:pPr>
              <w:autoSpaceDE/>
              <w:autoSpaceDN/>
              <w:spacing w:after="0"/>
              <w:rPr>
                <w:rFonts w:asciiTheme="minorHAnsi" w:eastAsia="Times New Roman" w:hAnsiTheme="minorHAnsi" w:cstheme="minorHAnsi"/>
                <w:bCs/>
                <w:i/>
                <w:iCs/>
                <w:color w:val="000000"/>
                <w:sz w:val="20"/>
                <w:szCs w:val="20"/>
                <w:lang w:eastAsia="en-AU"/>
              </w:rPr>
            </w:pPr>
            <w:r w:rsidRPr="00747E35">
              <w:rPr>
                <w:rFonts w:asciiTheme="minorHAnsi" w:eastAsia="Times New Roman" w:hAnsiTheme="minorHAnsi" w:cstheme="minorHAnsi"/>
                <w:bCs/>
                <w:i/>
                <w:iCs/>
                <w:color w:val="000000"/>
                <w:sz w:val="20"/>
                <w:szCs w:val="20"/>
                <w:lang w:eastAsia="en-AU"/>
              </w:rPr>
              <w:t>Hydraulic gradient &amp; sediments</w:t>
            </w:r>
          </w:p>
        </w:tc>
        <w:tc>
          <w:tcPr>
            <w:tcW w:w="780" w:type="dxa"/>
            <w:tcBorders>
              <w:top w:val="nil"/>
              <w:left w:val="nil"/>
              <w:bottom w:val="single" w:sz="4" w:space="0" w:color="auto"/>
              <w:right w:val="single" w:sz="4" w:space="0" w:color="auto"/>
            </w:tcBorders>
            <w:shd w:val="clear" w:color="auto" w:fill="auto"/>
            <w:noWrap/>
            <w:vAlign w:val="bottom"/>
            <w:hideMark/>
          </w:tcPr>
          <w:p w14:paraId="7BE7541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780" w:type="dxa"/>
            <w:tcBorders>
              <w:top w:val="nil"/>
              <w:left w:val="nil"/>
              <w:bottom w:val="single" w:sz="4" w:space="0" w:color="auto"/>
              <w:right w:val="single" w:sz="4" w:space="0" w:color="auto"/>
            </w:tcBorders>
            <w:shd w:val="clear" w:color="auto" w:fill="auto"/>
            <w:noWrap/>
            <w:vAlign w:val="bottom"/>
            <w:hideMark/>
          </w:tcPr>
          <w:p w14:paraId="7491AF5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r>
      <w:tr w:rsidR="003D3694" w:rsidRPr="00747E35" w14:paraId="6FF16794"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25DDA1F8"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Neoniphargidae_QLD_Sb</w:t>
            </w:r>
          </w:p>
        </w:tc>
        <w:tc>
          <w:tcPr>
            <w:tcW w:w="780" w:type="dxa"/>
            <w:tcBorders>
              <w:top w:val="nil"/>
              <w:left w:val="nil"/>
              <w:bottom w:val="single" w:sz="4" w:space="0" w:color="auto"/>
              <w:right w:val="single" w:sz="4" w:space="0" w:color="auto"/>
            </w:tcBorders>
            <w:shd w:val="clear" w:color="auto" w:fill="auto"/>
            <w:noWrap/>
            <w:vAlign w:val="bottom"/>
            <w:hideMark/>
          </w:tcPr>
          <w:p w14:paraId="429B6D87"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-0.156</w:t>
            </w:r>
          </w:p>
        </w:tc>
        <w:tc>
          <w:tcPr>
            <w:tcW w:w="780" w:type="dxa"/>
            <w:tcBorders>
              <w:top w:val="nil"/>
              <w:left w:val="nil"/>
              <w:bottom w:val="single" w:sz="4" w:space="0" w:color="auto"/>
              <w:right w:val="single" w:sz="4" w:space="0" w:color="auto"/>
            </w:tcBorders>
            <w:shd w:val="clear" w:color="auto" w:fill="auto"/>
            <w:noWrap/>
            <w:vAlign w:val="bottom"/>
            <w:hideMark/>
          </w:tcPr>
          <w:p w14:paraId="5FC5A3FD"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-0.191</w:t>
            </w:r>
          </w:p>
        </w:tc>
        <w:tc>
          <w:tcPr>
            <w:tcW w:w="222" w:type="dxa"/>
            <w:tcBorders>
              <w:top w:val="nil"/>
              <w:left w:val="nil"/>
              <w:bottom w:val="nil"/>
              <w:right w:val="nil"/>
            </w:tcBorders>
            <w:shd w:val="clear" w:color="auto" w:fill="auto"/>
            <w:noWrap/>
            <w:vAlign w:val="bottom"/>
            <w:hideMark/>
          </w:tcPr>
          <w:p w14:paraId="3C3119D8"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42B953C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VHH norm (cm)</w:t>
            </w:r>
          </w:p>
        </w:tc>
        <w:tc>
          <w:tcPr>
            <w:tcW w:w="780" w:type="dxa"/>
            <w:tcBorders>
              <w:top w:val="nil"/>
              <w:left w:val="nil"/>
              <w:bottom w:val="single" w:sz="4" w:space="0" w:color="auto"/>
              <w:right w:val="single" w:sz="4" w:space="0" w:color="auto"/>
            </w:tcBorders>
            <w:shd w:val="clear" w:color="auto" w:fill="auto"/>
            <w:noWrap/>
            <w:vAlign w:val="bottom"/>
            <w:hideMark/>
          </w:tcPr>
          <w:p w14:paraId="5ACED63F"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-0.009</w:t>
            </w:r>
          </w:p>
        </w:tc>
        <w:tc>
          <w:tcPr>
            <w:tcW w:w="780" w:type="dxa"/>
            <w:tcBorders>
              <w:top w:val="nil"/>
              <w:left w:val="nil"/>
              <w:bottom w:val="single" w:sz="4" w:space="0" w:color="auto"/>
              <w:right w:val="single" w:sz="4" w:space="0" w:color="auto"/>
            </w:tcBorders>
            <w:shd w:val="clear" w:color="auto" w:fill="auto"/>
            <w:noWrap/>
            <w:vAlign w:val="bottom"/>
            <w:hideMark/>
          </w:tcPr>
          <w:p w14:paraId="4BFE257F"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0.121</w:t>
            </w:r>
          </w:p>
        </w:tc>
      </w:tr>
      <w:tr w:rsidR="003D3694" w:rsidRPr="00747E35" w14:paraId="152951FE"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1B1F8EEE"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Bathynellidae_sp 2_Sb</w:t>
            </w:r>
          </w:p>
        </w:tc>
        <w:tc>
          <w:tcPr>
            <w:tcW w:w="780" w:type="dxa"/>
            <w:tcBorders>
              <w:top w:val="nil"/>
              <w:left w:val="nil"/>
              <w:bottom w:val="single" w:sz="4" w:space="0" w:color="auto"/>
              <w:right w:val="single" w:sz="4" w:space="0" w:color="auto"/>
            </w:tcBorders>
            <w:shd w:val="clear" w:color="auto" w:fill="auto"/>
            <w:noWrap/>
            <w:vAlign w:val="bottom"/>
            <w:hideMark/>
          </w:tcPr>
          <w:p w14:paraId="24BB052C"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-0.130</w:t>
            </w:r>
          </w:p>
        </w:tc>
        <w:tc>
          <w:tcPr>
            <w:tcW w:w="780" w:type="dxa"/>
            <w:tcBorders>
              <w:top w:val="nil"/>
              <w:left w:val="nil"/>
              <w:bottom w:val="single" w:sz="4" w:space="0" w:color="auto"/>
              <w:right w:val="single" w:sz="4" w:space="0" w:color="auto"/>
            </w:tcBorders>
            <w:shd w:val="clear" w:color="auto" w:fill="auto"/>
            <w:noWrap/>
            <w:vAlign w:val="bottom"/>
            <w:hideMark/>
          </w:tcPr>
          <w:p w14:paraId="35C2321E"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-0.202</w:t>
            </w:r>
          </w:p>
        </w:tc>
        <w:tc>
          <w:tcPr>
            <w:tcW w:w="222" w:type="dxa"/>
            <w:tcBorders>
              <w:top w:val="nil"/>
              <w:left w:val="nil"/>
              <w:bottom w:val="nil"/>
              <w:right w:val="nil"/>
            </w:tcBorders>
            <w:shd w:val="clear" w:color="auto" w:fill="auto"/>
            <w:noWrap/>
            <w:vAlign w:val="bottom"/>
            <w:hideMark/>
          </w:tcPr>
          <w:p w14:paraId="7609672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61C78DE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Sqr(Fine Sed. (ml))</w:t>
            </w:r>
          </w:p>
        </w:tc>
        <w:tc>
          <w:tcPr>
            <w:tcW w:w="780" w:type="dxa"/>
            <w:tcBorders>
              <w:top w:val="nil"/>
              <w:left w:val="nil"/>
              <w:bottom w:val="single" w:sz="4" w:space="0" w:color="auto"/>
              <w:right w:val="single" w:sz="4" w:space="0" w:color="auto"/>
            </w:tcBorders>
            <w:shd w:val="clear" w:color="auto" w:fill="auto"/>
            <w:noWrap/>
            <w:vAlign w:val="bottom"/>
            <w:hideMark/>
          </w:tcPr>
          <w:p w14:paraId="3F9C84A8"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0.090</w:t>
            </w:r>
          </w:p>
        </w:tc>
        <w:tc>
          <w:tcPr>
            <w:tcW w:w="780" w:type="dxa"/>
            <w:tcBorders>
              <w:top w:val="nil"/>
              <w:left w:val="nil"/>
              <w:bottom w:val="single" w:sz="4" w:space="0" w:color="auto"/>
              <w:right w:val="single" w:sz="4" w:space="0" w:color="auto"/>
            </w:tcBorders>
            <w:shd w:val="clear" w:color="auto" w:fill="auto"/>
            <w:noWrap/>
            <w:vAlign w:val="bottom"/>
            <w:hideMark/>
          </w:tcPr>
          <w:p w14:paraId="7299E669"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-0.321</w:t>
            </w:r>
          </w:p>
        </w:tc>
      </w:tr>
      <w:tr w:rsidR="003D3694" w:rsidRPr="00747E35" w14:paraId="22084497"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6D3B3CE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Bathynellidae_sp 3_Sb</w:t>
            </w:r>
          </w:p>
        </w:tc>
        <w:tc>
          <w:tcPr>
            <w:tcW w:w="780" w:type="dxa"/>
            <w:tcBorders>
              <w:top w:val="nil"/>
              <w:left w:val="nil"/>
              <w:bottom w:val="single" w:sz="4" w:space="0" w:color="auto"/>
              <w:right w:val="single" w:sz="4" w:space="0" w:color="auto"/>
            </w:tcBorders>
            <w:shd w:val="clear" w:color="auto" w:fill="auto"/>
            <w:noWrap/>
            <w:vAlign w:val="bottom"/>
            <w:hideMark/>
          </w:tcPr>
          <w:p w14:paraId="149BB279"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-0.031</w:t>
            </w:r>
          </w:p>
        </w:tc>
        <w:tc>
          <w:tcPr>
            <w:tcW w:w="780" w:type="dxa"/>
            <w:tcBorders>
              <w:top w:val="nil"/>
              <w:left w:val="nil"/>
              <w:bottom w:val="single" w:sz="4" w:space="0" w:color="auto"/>
              <w:right w:val="single" w:sz="4" w:space="0" w:color="auto"/>
            </w:tcBorders>
            <w:shd w:val="clear" w:color="auto" w:fill="auto"/>
            <w:noWrap/>
            <w:vAlign w:val="bottom"/>
            <w:hideMark/>
          </w:tcPr>
          <w:p w14:paraId="341A95EA"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-0.364</w:t>
            </w:r>
          </w:p>
        </w:tc>
        <w:tc>
          <w:tcPr>
            <w:tcW w:w="222" w:type="dxa"/>
            <w:tcBorders>
              <w:top w:val="nil"/>
              <w:left w:val="nil"/>
              <w:bottom w:val="nil"/>
              <w:right w:val="nil"/>
            </w:tcBorders>
            <w:shd w:val="clear" w:color="auto" w:fill="auto"/>
            <w:noWrap/>
            <w:vAlign w:val="bottom"/>
            <w:hideMark/>
          </w:tcPr>
          <w:p w14:paraId="7AF5F03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480CA53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780" w:type="dxa"/>
            <w:tcBorders>
              <w:top w:val="nil"/>
              <w:left w:val="nil"/>
              <w:bottom w:val="single" w:sz="4" w:space="0" w:color="auto"/>
              <w:right w:val="single" w:sz="4" w:space="0" w:color="auto"/>
            </w:tcBorders>
            <w:shd w:val="clear" w:color="auto" w:fill="auto"/>
            <w:noWrap/>
            <w:vAlign w:val="bottom"/>
            <w:hideMark/>
          </w:tcPr>
          <w:p w14:paraId="282B6DAD"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780" w:type="dxa"/>
            <w:tcBorders>
              <w:top w:val="nil"/>
              <w:left w:val="nil"/>
              <w:bottom w:val="single" w:sz="4" w:space="0" w:color="auto"/>
              <w:right w:val="single" w:sz="4" w:space="0" w:color="auto"/>
            </w:tcBorders>
            <w:shd w:val="clear" w:color="auto" w:fill="auto"/>
            <w:noWrap/>
            <w:vAlign w:val="bottom"/>
            <w:hideMark/>
          </w:tcPr>
          <w:p w14:paraId="251B43E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r>
      <w:tr w:rsidR="003D3694" w:rsidRPr="00747E35" w14:paraId="2653393D"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323C28A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Parabathynellidae_sp 3_Sb</w:t>
            </w:r>
          </w:p>
        </w:tc>
        <w:tc>
          <w:tcPr>
            <w:tcW w:w="780" w:type="dxa"/>
            <w:tcBorders>
              <w:top w:val="nil"/>
              <w:left w:val="nil"/>
              <w:bottom w:val="single" w:sz="4" w:space="0" w:color="auto"/>
              <w:right w:val="single" w:sz="4" w:space="0" w:color="auto"/>
            </w:tcBorders>
            <w:shd w:val="clear" w:color="auto" w:fill="auto"/>
            <w:noWrap/>
            <w:vAlign w:val="bottom"/>
            <w:hideMark/>
          </w:tcPr>
          <w:p w14:paraId="48EF5ED0"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0.014</w:t>
            </w:r>
          </w:p>
        </w:tc>
        <w:tc>
          <w:tcPr>
            <w:tcW w:w="780" w:type="dxa"/>
            <w:tcBorders>
              <w:top w:val="nil"/>
              <w:left w:val="nil"/>
              <w:bottom w:val="single" w:sz="4" w:space="0" w:color="auto"/>
              <w:right w:val="single" w:sz="4" w:space="0" w:color="auto"/>
            </w:tcBorders>
            <w:shd w:val="clear" w:color="auto" w:fill="auto"/>
            <w:noWrap/>
            <w:vAlign w:val="bottom"/>
            <w:hideMark/>
          </w:tcPr>
          <w:p w14:paraId="22151F7D"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0.221</w:t>
            </w:r>
          </w:p>
        </w:tc>
        <w:tc>
          <w:tcPr>
            <w:tcW w:w="222" w:type="dxa"/>
            <w:tcBorders>
              <w:top w:val="nil"/>
              <w:left w:val="nil"/>
              <w:bottom w:val="nil"/>
              <w:right w:val="nil"/>
            </w:tcBorders>
            <w:shd w:val="clear" w:color="auto" w:fill="auto"/>
            <w:noWrap/>
            <w:vAlign w:val="bottom"/>
            <w:hideMark/>
          </w:tcPr>
          <w:p w14:paraId="1F65D4A8"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209BE722" w14:textId="77777777" w:rsidR="003D3694" w:rsidRPr="00747E35" w:rsidRDefault="003D3694" w:rsidP="0096743A">
            <w:pPr>
              <w:autoSpaceDE/>
              <w:autoSpaceDN/>
              <w:spacing w:after="0"/>
              <w:rPr>
                <w:rFonts w:asciiTheme="minorHAnsi" w:eastAsia="Times New Roman" w:hAnsiTheme="minorHAnsi" w:cstheme="minorHAnsi"/>
                <w:bCs/>
                <w:i/>
                <w:iCs/>
                <w:color w:val="000000"/>
                <w:sz w:val="20"/>
                <w:szCs w:val="20"/>
                <w:lang w:eastAsia="en-AU"/>
              </w:rPr>
            </w:pPr>
            <w:r w:rsidRPr="00747E35">
              <w:rPr>
                <w:rFonts w:asciiTheme="minorHAnsi" w:eastAsia="Times New Roman" w:hAnsiTheme="minorHAnsi" w:cstheme="minorHAnsi"/>
                <w:bCs/>
                <w:i/>
                <w:iCs/>
                <w:color w:val="000000"/>
                <w:sz w:val="20"/>
                <w:szCs w:val="20"/>
                <w:lang w:eastAsia="en-AU"/>
              </w:rPr>
              <w:t>Hydrochemistry</w:t>
            </w:r>
          </w:p>
        </w:tc>
        <w:tc>
          <w:tcPr>
            <w:tcW w:w="780" w:type="dxa"/>
            <w:tcBorders>
              <w:top w:val="nil"/>
              <w:left w:val="nil"/>
              <w:bottom w:val="single" w:sz="4" w:space="0" w:color="auto"/>
              <w:right w:val="single" w:sz="4" w:space="0" w:color="auto"/>
            </w:tcBorders>
            <w:shd w:val="clear" w:color="auto" w:fill="auto"/>
            <w:noWrap/>
            <w:vAlign w:val="bottom"/>
            <w:hideMark/>
          </w:tcPr>
          <w:p w14:paraId="17FEBC6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780" w:type="dxa"/>
            <w:tcBorders>
              <w:top w:val="nil"/>
              <w:left w:val="nil"/>
              <w:bottom w:val="single" w:sz="4" w:space="0" w:color="auto"/>
              <w:right w:val="single" w:sz="4" w:space="0" w:color="auto"/>
            </w:tcBorders>
            <w:shd w:val="clear" w:color="auto" w:fill="auto"/>
            <w:noWrap/>
            <w:vAlign w:val="bottom"/>
            <w:hideMark/>
          </w:tcPr>
          <w:p w14:paraId="228D6B1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r>
      <w:tr w:rsidR="003D3694" w:rsidRPr="00747E35" w14:paraId="46EEF1E5"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61C79CBE"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Harpacticoida_indet_sp 2_Sb</w:t>
            </w:r>
          </w:p>
        </w:tc>
        <w:tc>
          <w:tcPr>
            <w:tcW w:w="780" w:type="dxa"/>
            <w:tcBorders>
              <w:top w:val="nil"/>
              <w:left w:val="nil"/>
              <w:bottom w:val="single" w:sz="4" w:space="0" w:color="auto"/>
              <w:right w:val="single" w:sz="4" w:space="0" w:color="auto"/>
            </w:tcBorders>
            <w:shd w:val="clear" w:color="auto" w:fill="auto"/>
            <w:noWrap/>
            <w:vAlign w:val="bottom"/>
            <w:hideMark/>
          </w:tcPr>
          <w:p w14:paraId="41D51F15"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-0.077</w:t>
            </w:r>
          </w:p>
        </w:tc>
        <w:tc>
          <w:tcPr>
            <w:tcW w:w="780" w:type="dxa"/>
            <w:tcBorders>
              <w:top w:val="nil"/>
              <w:left w:val="nil"/>
              <w:bottom w:val="single" w:sz="4" w:space="0" w:color="auto"/>
              <w:right w:val="single" w:sz="4" w:space="0" w:color="auto"/>
            </w:tcBorders>
            <w:shd w:val="clear" w:color="auto" w:fill="auto"/>
            <w:noWrap/>
            <w:vAlign w:val="bottom"/>
            <w:hideMark/>
          </w:tcPr>
          <w:p w14:paraId="28163E59"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-0.520</w:t>
            </w:r>
          </w:p>
        </w:tc>
        <w:tc>
          <w:tcPr>
            <w:tcW w:w="222" w:type="dxa"/>
            <w:tcBorders>
              <w:top w:val="nil"/>
              <w:left w:val="nil"/>
              <w:bottom w:val="nil"/>
              <w:right w:val="nil"/>
            </w:tcBorders>
            <w:shd w:val="clear" w:color="auto" w:fill="auto"/>
            <w:noWrap/>
            <w:vAlign w:val="bottom"/>
            <w:hideMark/>
          </w:tcPr>
          <w:p w14:paraId="7862AE6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7CC8951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Temp</w:t>
            </w:r>
          </w:p>
        </w:tc>
        <w:tc>
          <w:tcPr>
            <w:tcW w:w="780" w:type="dxa"/>
            <w:tcBorders>
              <w:top w:val="nil"/>
              <w:left w:val="nil"/>
              <w:bottom w:val="single" w:sz="4" w:space="0" w:color="auto"/>
              <w:right w:val="single" w:sz="4" w:space="0" w:color="auto"/>
            </w:tcBorders>
            <w:shd w:val="clear" w:color="auto" w:fill="auto"/>
            <w:noWrap/>
            <w:vAlign w:val="bottom"/>
            <w:hideMark/>
          </w:tcPr>
          <w:p w14:paraId="360D0CF1"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-0.268</w:t>
            </w:r>
          </w:p>
        </w:tc>
        <w:tc>
          <w:tcPr>
            <w:tcW w:w="780" w:type="dxa"/>
            <w:tcBorders>
              <w:top w:val="nil"/>
              <w:left w:val="nil"/>
              <w:bottom w:val="single" w:sz="4" w:space="0" w:color="auto"/>
              <w:right w:val="single" w:sz="4" w:space="0" w:color="auto"/>
            </w:tcBorders>
            <w:shd w:val="clear" w:color="auto" w:fill="auto"/>
            <w:noWrap/>
            <w:vAlign w:val="bottom"/>
            <w:hideMark/>
          </w:tcPr>
          <w:p w14:paraId="2DB65531"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0.177</w:t>
            </w:r>
          </w:p>
        </w:tc>
      </w:tr>
      <w:tr w:rsidR="003D3694" w:rsidRPr="00747E35" w14:paraId="776EA235"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57C2C7C4"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Cyclopoida_indet._Sp/Sb?</w:t>
            </w:r>
          </w:p>
        </w:tc>
        <w:tc>
          <w:tcPr>
            <w:tcW w:w="780" w:type="dxa"/>
            <w:tcBorders>
              <w:top w:val="nil"/>
              <w:left w:val="nil"/>
              <w:bottom w:val="single" w:sz="4" w:space="0" w:color="auto"/>
              <w:right w:val="single" w:sz="4" w:space="0" w:color="auto"/>
            </w:tcBorders>
            <w:shd w:val="clear" w:color="auto" w:fill="auto"/>
            <w:noWrap/>
            <w:vAlign w:val="bottom"/>
            <w:hideMark/>
          </w:tcPr>
          <w:p w14:paraId="6676816B"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-0.814</w:t>
            </w:r>
          </w:p>
        </w:tc>
        <w:tc>
          <w:tcPr>
            <w:tcW w:w="780" w:type="dxa"/>
            <w:tcBorders>
              <w:top w:val="nil"/>
              <w:left w:val="nil"/>
              <w:bottom w:val="single" w:sz="4" w:space="0" w:color="auto"/>
              <w:right w:val="single" w:sz="4" w:space="0" w:color="auto"/>
            </w:tcBorders>
            <w:shd w:val="clear" w:color="auto" w:fill="auto"/>
            <w:noWrap/>
            <w:vAlign w:val="bottom"/>
            <w:hideMark/>
          </w:tcPr>
          <w:p w14:paraId="6B4FD031"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0.053</w:t>
            </w:r>
          </w:p>
        </w:tc>
        <w:tc>
          <w:tcPr>
            <w:tcW w:w="222" w:type="dxa"/>
            <w:tcBorders>
              <w:top w:val="nil"/>
              <w:left w:val="nil"/>
              <w:bottom w:val="nil"/>
              <w:right w:val="nil"/>
            </w:tcBorders>
            <w:shd w:val="clear" w:color="auto" w:fill="auto"/>
            <w:noWrap/>
            <w:vAlign w:val="bottom"/>
            <w:hideMark/>
          </w:tcPr>
          <w:p w14:paraId="6FF2DE56"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534870DE"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EC (µS/cm)</w:t>
            </w:r>
          </w:p>
        </w:tc>
        <w:tc>
          <w:tcPr>
            <w:tcW w:w="780" w:type="dxa"/>
            <w:tcBorders>
              <w:top w:val="nil"/>
              <w:left w:val="nil"/>
              <w:bottom w:val="single" w:sz="4" w:space="0" w:color="auto"/>
              <w:right w:val="single" w:sz="4" w:space="0" w:color="auto"/>
            </w:tcBorders>
            <w:shd w:val="clear" w:color="auto" w:fill="auto"/>
            <w:noWrap/>
            <w:vAlign w:val="bottom"/>
            <w:hideMark/>
          </w:tcPr>
          <w:p w14:paraId="1D1ED695"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0.482</w:t>
            </w:r>
          </w:p>
        </w:tc>
        <w:tc>
          <w:tcPr>
            <w:tcW w:w="780" w:type="dxa"/>
            <w:tcBorders>
              <w:top w:val="nil"/>
              <w:left w:val="nil"/>
              <w:bottom w:val="single" w:sz="4" w:space="0" w:color="auto"/>
              <w:right w:val="single" w:sz="4" w:space="0" w:color="auto"/>
            </w:tcBorders>
            <w:shd w:val="clear" w:color="auto" w:fill="auto"/>
            <w:noWrap/>
            <w:vAlign w:val="bottom"/>
            <w:hideMark/>
          </w:tcPr>
          <w:p w14:paraId="431AD51D"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-0.153</w:t>
            </w:r>
          </w:p>
        </w:tc>
      </w:tr>
      <w:tr w:rsidR="003D3694" w:rsidRPr="00747E35" w14:paraId="0B282FEC"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6A51C1F0"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Candonidae?_indet._cf sp1B QLD_Sp/Sb?</w:t>
            </w:r>
          </w:p>
        </w:tc>
        <w:tc>
          <w:tcPr>
            <w:tcW w:w="780" w:type="dxa"/>
            <w:tcBorders>
              <w:top w:val="nil"/>
              <w:left w:val="nil"/>
              <w:bottom w:val="single" w:sz="4" w:space="0" w:color="auto"/>
              <w:right w:val="single" w:sz="4" w:space="0" w:color="auto"/>
            </w:tcBorders>
            <w:shd w:val="clear" w:color="auto" w:fill="auto"/>
            <w:noWrap/>
            <w:vAlign w:val="bottom"/>
            <w:hideMark/>
          </w:tcPr>
          <w:p w14:paraId="5D8A0999"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-0.398</w:t>
            </w:r>
          </w:p>
        </w:tc>
        <w:tc>
          <w:tcPr>
            <w:tcW w:w="780" w:type="dxa"/>
            <w:tcBorders>
              <w:top w:val="nil"/>
              <w:left w:val="nil"/>
              <w:bottom w:val="single" w:sz="4" w:space="0" w:color="auto"/>
              <w:right w:val="single" w:sz="4" w:space="0" w:color="auto"/>
            </w:tcBorders>
            <w:shd w:val="clear" w:color="auto" w:fill="auto"/>
            <w:noWrap/>
            <w:vAlign w:val="bottom"/>
            <w:hideMark/>
          </w:tcPr>
          <w:p w14:paraId="139F24A0"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-0.218</w:t>
            </w:r>
          </w:p>
        </w:tc>
        <w:tc>
          <w:tcPr>
            <w:tcW w:w="222" w:type="dxa"/>
            <w:tcBorders>
              <w:top w:val="nil"/>
              <w:left w:val="nil"/>
              <w:bottom w:val="nil"/>
              <w:right w:val="nil"/>
            </w:tcBorders>
            <w:shd w:val="clear" w:color="auto" w:fill="auto"/>
            <w:noWrap/>
            <w:vAlign w:val="bottom"/>
            <w:hideMark/>
          </w:tcPr>
          <w:p w14:paraId="5B4CD32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2D4CA45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pH</w:t>
            </w:r>
          </w:p>
        </w:tc>
        <w:tc>
          <w:tcPr>
            <w:tcW w:w="780" w:type="dxa"/>
            <w:tcBorders>
              <w:top w:val="nil"/>
              <w:left w:val="nil"/>
              <w:bottom w:val="single" w:sz="4" w:space="0" w:color="auto"/>
              <w:right w:val="single" w:sz="4" w:space="0" w:color="auto"/>
            </w:tcBorders>
            <w:shd w:val="clear" w:color="auto" w:fill="auto"/>
            <w:noWrap/>
            <w:vAlign w:val="bottom"/>
            <w:hideMark/>
          </w:tcPr>
          <w:p w14:paraId="704A0B33"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-0.226</w:t>
            </w:r>
          </w:p>
        </w:tc>
        <w:tc>
          <w:tcPr>
            <w:tcW w:w="780" w:type="dxa"/>
            <w:tcBorders>
              <w:top w:val="nil"/>
              <w:left w:val="nil"/>
              <w:bottom w:val="single" w:sz="4" w:space="0" w:color="auto"/>
              <w:right w:val="single" w:sz="4" w:space="0" w:color="auto"/>
            </w:tcBorders>
            <w:shd w:val="clear" w:color="auto" w:fill="auto"/>
            <w:noWrap/>
            <w:vAlign w:val="bottom"/>
            <w:hideMark/>
          </w:tcPr>
          <w:p w14:paraId="639CA30E"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-0.075</w:t>
            </w:r>
          </w:p>
        </w:tc>
      </w:tr>
      <w:tr w:rsidR="003D3694" w:rsidRPr="00747E35" w14:paraId="391CCA3F"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1FC3306D"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Ostracoda_Candonidae?_indet._Sp/Sb?</w:t>
            </w:r>
          </w:p>
        </w:tc>
        <w:tc>
          <w:tcPr>
            <w:tcW w:w="780" w:type="dxa"/>
            <w:tcBorders>
              <w:top w:val="nil"/>
              <w:left w:val="nil"/>
              <w:bottom w:val="single" w:sz="4" w:space="0" w:color="auto"/>
              <w:right w:val="single" w:sz="4" w:space="0" w:color="auto"/>
            </w:tcBorders>
            <w:shd w:val="clear" w:color="auto" w:fill="auto"/>
            <w:noWrap/>
            <w:vAlign w:val="bottom"/>
            <w:hideMark/>
          </w:tcPr>
          <w:p w14:paraId="1E258836"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-0.097</w:t>
            </w:r>
          </w:p>
        </w:tc>
        <w:tc>
          <w:tcPr>
            <w:tcW w:w="780" w:type="dxa"/>
            <w:tcBorders>
              <w:top w:val="nil"/>
              <w:left w:val="nil"/>
              <w:bottom w:val="single" w:sz="4" w:space="0" w:color="auto"/>
              <w:right w:val="single" w:sz="4" w:space="0" w:color="auto"/>
            </w:tcBorders>
            <w:shd w:val="clear" w:color="auto" w:fill="auto"/>
            <w:noWrap/>
            <w:vAlign w:val="bottom"/>
            <w:hideMark/>
          </w:tcPr>
          <w:p w14:paraId="20E74574"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-0.227</w:t>
            </w:r>
          </w:p>
        </w:tc>
        <w:tc>
          <w:tcPr>
            <w:tcW w:w="222" w:type="dxa"/>
            <w:tcBorders>
              <w:top w:val="nil"/>
              <w:left w:val="nil"/>
              <w:bottom w:val="nil"/>
              <w:right w:val="nil"/>
            </w:tcBorders>
            <w:shd w:val="clear" w:color="auto" w:fill="auto"/>
            <w:noWrap/>
            <w:vAlign w:val="bottom"/>
            <w:hideMark/>
          </w:tcPr>
          <w:p w14:paraId="636031B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7C5FB9ED"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Sqr(Sqr(DO (mg/L)))</w:t>
            </w:r>
          </w:p>
        </w:tc>
        <w:tc>
          <w:tcPr>
            <w:tcW w:w="780" w:type="dxa"/>
            <w:tcBorders>
              <w:top w:val="nil"/>
              <w:left w:val="nil"/>
              <w:bottom w:val="single" w:sz="4" w:space="0" w:color="auto"/>
              <w:right w:val="single" w:sz="4" w:space="0" w:color="auto"/>
            </w:tcBorders>
            <w:shd w:val="clear" w:color="auto" w:fill="auto"/>
            <w:noWrap/>
            <w:vAlign w:val="bottom"/>
            <w:hideMark/>
          </w:tcPr>
          <w:p w14:paraId="7F6CBCBE"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-0.656</w:t>
            </w:r>
          </w:p>
        </w:tc>
        <w:tc>
          <w:tcPr>
            <w:tcW w:w="780" w:type="dxa"/>
            <w:tcBorders>
              <w:top w:val="nil"/>
              <w:left w:val="nil"/>
              <w:bottom w:val="single" w:sz="4" w:space="0" w:color="auto"/>
              <w:right w:val="single" w:sz="4" w:space="0" w:color="auto"/>
            </w:tcBorders>
            <w:shd w:val="clear" w:color="auto" w:fill="auto"/>
            <w:noWrap/>
            <w:vAlign w:val="bottom"/>
            <w:hideMark/>
          </w:tcPr>
          <w:p w14:paraId="0991CAC6"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0.160</w:t>
            </w:r>
          </w:p>
        </w:tc>
      </w:tr>
      <w:tr w:rsidR="003D3694" w:rsidRPr="00747E35" w14:paraId="2FBC8B46"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2087B53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Turbellaria_indet._Sp/Sb?</w:t>
            </w:r>
          </w:p>
        </w:tc>
        <w:tc>
          <w:tcPr>
            <w:tcW w:w="780" w:type="dxa"/>
            <w:tcBorders>
              <w:top w:val="nil"/>
              <w:left w:val="nil"/>
              <w:bottom w:val="single" w:sz="4" w:space="0" w:color="auto"/>
              <w:right w:val="single" w:sz="4" w:space="0" w:color="auto"/>
            </w:tcBorders>
            <w:shd w:val="clear" w:color="auto" w:fill="auto"/>
            <w:noWrap/>
            <w:vAlign w:val="bottom"/>
            <w:hideMark/>
          </w:tcPr>
          <w:p w14:paraId="113EFEA2"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-0.371</w:t>
            </w:r>
          </w:p>
        </w:tc>
        <w:tc>
          <w:tcPr>
            <w:tcW w:w="780" w:type="dxa"/>
            <w:tcBorders>
              <w:top w:val="nil"/>
              <w:left w:val="nil"/>
              <w:bottom w:val="single" w:sz="4" w:space="0" w:color="auto"/>
              <w:right w:val="single" w:sz="4" w:space="0" w:color="auto"/>
            </w:tcBorders>
            <w:shd w:val="clear" w:color="auto" w:fill="auto"/>
            <w:noWrap/>
            <w:vAlign w:val="bottom"/>
            <w:hideMark/>
          </w:tcPr>
          <w:p w14:paraId="38BB3A8F"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0.121</w:t>
            </w:r>
          </w:p>
        </w:tc>
        <w:tc>
          <w:tcPr>
            <w:tcW w:w="222" w:type="dxa"/>
            <w:tcBorders>
              <w:top w:val="nil"/>
              <w:left w:val="nil"/>
              <w:bottom w:val="nil"/>
              <w:right w:val="nil"/>
            </w:tcBorders>
            <w:shd w:val="clear" w:color="auto" w:fill="auto"/>
            <w:noWrap/>
            <w:vAlign w:val="bottom"/>
            <w:hideMark/>
          </w:tcPr>
          <w:p w14:paraId="01C25226"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16D6394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Sqr(Sqr(NOx (mg/l)))</w:t>
            </w:r>
          </w:p>
        </w:tc>
        <w:tc>
          <w:tcPr>
            <w:tcW w:w="780" w:type="dxa"/>
            <w:tcBorders>
              <w:top w:val="nil"/>
              <w:left w:val="nil"/>
              <w:bottom w:val="single" w:sz="4" w:space="0" w:color="auto"/>
              <w:right w:val="single" w:sz="4" w:space="0" w:color="auto"/>
            </w:tcBorders>
            <w:shd w:val="clear" w:color="auto" w:fill="auto"/>
            <w:noWrap/>
            <w:vAlign w:val="bottom"/>
            <w:hideMark/>
          </w:tcPr>
          <w:p w14:paraId="335EFDA2"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-0.121</w:t>
            </w:r>
          </w:p>
        </w:tc>
        <w:tc>
          <w:tcPr>
            <w:tcW w:w="780" w:type="dxa"/>
            <w:tcBorders>
              <w:top w:val="nil"/>
              <w:left w:val="nil"/>
              <w:bottom w:val="single" w:sz="4" w:space="0" w:color="auto"/>
              <w:right w:val="single" w:sz="4" w:space="0" w:color="auto"/>
            </w:tcBorders>
            <w:shd w:val="clear" w:color="auto" w:fill="auto"/>
            <w:noWrap/>
            <w:vAlign w:val="bottom"/>
            <w:hideMark/>
          </w:tcPr>
          <w:p w14:paraId="5E34EEDD"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0.138</w:t>
            </w:r>
          </w:p>
        </w:tc>
      </w:tr>
      <w:tr w:rsidR="003D3694" w:rsidRPr="00747E35" w14:paraId="2F8CBBB8"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6F37C0FD"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Nematoda indet._Sp</w:t>
            </w:r>
          </w:p>
        </w:tc>
        <w:tc>
          <w:tcPr>
            <w:tcW w:w="780" w:type="dxa"/>
            <w:tcBorders>
              <w:top w:val="nil"/>
              <w:left w:val="nil"/>
              <w:bottom w:val="single" w:sz="4" w:space="0" w:color="auto"/>
              <w:right w:val="single" w:sz="4" w:space="0" w:color="auto"/>
            </w:tcBorders>
            <w:shd w:val="clear" w:color="auto" w:fill="auto"/>
            <w:noWrap/>
            <w:vAlign w:val="bottom"/>
            <w:hideMark/>
          </w:tcPr>
          <w:p w14:paraId="48F38B77"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-0.215</w:t>
            </w:r>
          </w:p>
        </w:tc>
        <w:tc>
          <w:tcPr>
            <w:tcW w:w="780" w:type="dxa"/>
            <w:tcBorders>
              <w:top w:val="nil"/>
              <w:left w:val="nil"/>
              <w:bottom w:val="single" w:sz="4" w:space="0" w:color="auto"/>
              <w:right w:val="single" w:sz="4" w:space="0" w:color="auto"/>
            </w:tcBorders>
            <w:shd w:val="clear" w:color="auto" w:fill="auto"/>
            <w:noWrap/>
            <w:vAlign w:val="bottom"/>
            <w:hideMark/>
          </w:tcPr>
          <w:p w14:paraId="423A4140"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-0.771</w:t>
            </w:r>
          </w:p>
        </w:tc>
        <w:tc>
          <w:tcPr>
            <w:tcW w:w="222" w:type="dxa"/>
            <w:tcBorders>
              <w:top w:val="nil"/>
              <w:left w:val="nil"/>
              <w:bottom w:val="nil"/>
              <w:right w:val="nil"/>
            </w:tcBorders>
            <w:shd w:val="clear" w:color="auto" w:fill="auto"/>
            <w:noWrap/>
            <w:vAlign w:val="bottom"/>
            <w:hideMark/>
          </w:tcPr>
          <w:p w14:paraId="4FE6191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495DE70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Sqr(Nitrate (mg/l))</w:t>
            </w:r>
          </w:p>
        </w:tc>
        <w:tc>
          <w:tcPr>
            <w:tcW w:w="780" w:type="dxa"/>
            <w:tcBorders>
              <w:top w:val="nil"/>
              <w:left w:val="nil"/>
              <w:bottom w:val="single" w:sz="4" w:space="0" w:color="auto"/>
              <w:right w:val="single" w:sz="4" w:space="0" w:color="auto"/>
            </w:tcBorders>
            <w:shd w:val="clear" w:color="auto" w:fill="auto"/>
            <w:noWrap/>
            <w:vAlign w:val="bottom"/>
            <w:hideMark/>
          </w:tcPr>
          <w:p w14:paraId="327465DC"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0.140</w:t>
            </w:r>
          </w:p>
        </w:tc>
        <w:tc>
          <w:tcPr>
            <w:tcW w:w="780" w:type="dxa"/>
            <w:tcBorders>
              <w:top w:val="nil"/>
              <w:left w:val="nil"/>
              <w:bottom w:val="single" w:sz="4" w:space="0" w:color="auto"/>
              <w:right w:val="single" w:sz="4" w:space="0" w:color="auto"/>
            </w:tcBorders>
            <w:shd w:val="clear" w:color="auto" w:fill="auto"/>
            <w:noWrap/>
            <w:vAlign w:val="bottom"/>
            <w:hideMark/>
          </w:tcPr>
          <w:p w14:paraId="367487DB"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0.131</w:t>
            </w:r>
          </w:p>
        </w:tc>
      </w:tr>
      <w:tr w:rsidR="003D3694" w:rsidRPr="00747E35" w14:paraId="02EFB01D"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450A4F8B"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Oligochaeta_indet._Sp</w:t>
            </w:r>
          </w:p>
        </w:tc>
        <w:tc>
          <w:tcPr>
            <w:tcW w:w="780" w:type="dxa"/>
            <w:tcBorders>
              <w:top w:val="nil"/>
              <w:left w:val="nil"/>
              <w:bottom w:val="single" w:sz="4" w:space="0" w:color="auto"/>
              <w:right w:val="single" w:sz="4" w:space="0" w:color="auto"/>
            </w:tcBorders>
            <w:shd w:val="clear" w:color="auto" w:fill="auto"/>
            <w:noWrap/>
            <w:vAlign w:val="bottom"/>
            <w:hideMark/>
          </w:tcPr>
          <w:p w14:paraId="379A6F33"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-0.671</w:t>
            </w:r>
          </w:p>
        </w:tc>
        <w:tc>
          <w:tcPr>
            <w:tcW w:w="780" w:type="dxa"/>
            <w:tcBorders>
              <w:top w:val="nil"/>
              <w:left w:val="nil"/>
              <w:bottom w:val="single" w:sz="4" w:space="0" w:color="auto"/>
              <w:right w:val="single" w:sz="4" w:space="0" w:color="auto"/>
            </w:tcBorders>
            <w:shd w:val="clear" w:color="auto" w:fill="auto"/>
            <w:noWrap/>
            <w:vAlign w:val="bottom"/>
            <w:hideMark/>
          </w:tcPr>
          <w:p w14:paraId="3AA8B9FD"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-0.153</w:t>
            </w:r>
          </w:p>
        </w:tc>
        <w:tc>
          <w:tcPr>
            <w:tcW w:w="222" w:type="dxa"/>
            <w:tcBorders>
              <w:top w:val="nil"/>
              <w:left w:val="nil"/>
              <w:bottom w:val="nil"/>
              <w:right w:val="nil"/>
            </w:tcBorders>
            <w:shd w:val="clear" w:color="auto" w:fill="auto"/>
            <w:noWrap/>
            <w:vAlign w:val="bottom"/>
            <w:hideMark/>
          </w:tcPr>
          <w:p w14:paraId="75F3FD2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2C4447C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Sqr(Sqr(P (ug/l)))</w:t>
            </w:r>
          </w:p>
        </w:tc>
        <w:tc>
          <w:tcPr>
            <w:tcW w:w="780" w:type="dxa"/>
            <w:tcBorders>
              <w:top w:val="nil"/>
              <w:left w:val="nil"/>
              <w:bottom w:val="single" w:sz="4" w:space="0" w:color="auto"/>
              <w:right w:val="single" w:sz="4" w:space="0" w:color="auto"/>
            </w:tcBorders>
            <w:shd w:val="clear" w:color="auto" w:fill="auto"/>
            <w:noWrap/>
            <w:vAlign w:val="bottom"/>
            <w:hideMark/>
          </w:tcPr>
          <w:p w14:paraId="5283033F"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0.200</w:t>
            </w:r>
          </w:p>
        </w:tc>
        <w:tc>
          <w:tcPr>
            <w:tcW w:w="780" w:type="dxa"/>
            <w:tcBorders>
              <w:top w:val="nil"/>
              <w:left w:val="nil"/>
              <w:bottom w:val="single" w:sz="4" w:space="0" w:color="auto"/>
              <w:right w:val="single" w:sz="4" w:space="0" w:color="auto"/>
            </w:tcBorders>
            <w:shd w:val="clear" w:color="auto" w:fill="auto"/>
            <w:noWrap/>
            <w:vAlign w:val="bottom"/>
            <w:hideMark/>
          </w:tcPr>
          <w:p w14:paraId="07207330"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-0.149</w:t>
            </w:r>
          </w:p>
        </w:tc>
      </w:tr>
      <w:tr w:rsidR="003D3694" w:rsidRPr="00747E35" w14:paraId="4121D38B"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4043FA7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Aturidae_indet._Sp?</w:t>
            </w:r>
          </w:p>
        </w:tc>
        <w:tc>
          <w:tcPr>
            <w:tcW w:w="780" w:type="dxa"/>
            <w:tcBorders>
              <w:top w:val="nil"/>
              <w:left w:val="nil"/>
              <w:bottom w:val="single" w:sz="4" w:space="0" w:color="auto"/>
              <w:right w:val="single" w:sz="4" w:space="0" w:color="auto"/>
            </w:tcBorders>
            <w:shd w:val="clear" w:color="auto" w:fill="auto"/>
            <w:noWrap/>
            <w:vAlign w:val="bottom"/>
            <w:hideMark/>
          </w:tcPr>
          <w:p w14:paraId="0AEB737C"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-0.194</w:t>
            </w:r>
          </w:p>
        </w:tc>
        <w:tc>
          <w:tcPr>
            <w:tcW w:w="780" w:type="dxa"/>
            <w:tcBorders>
              <w:top w:val="nil"/>
              <w:left w:val="nil"/>
              <w:bottom w:val="single" w:sz="4" w:space="0" w:color="auto"/>
              <w:right w:val="single" w:sz="4" w:space="0" w:color="auto"/>
            </w:tcBorders>
            <w:shd w:val="clear" w:color="auto" w:fill="auto"/>
            <w:noWrap/>
            <w:vAlign w:val="bottom"/>
            <w:hideMark/>
          </w:tcPr>
          <w:p w14:paraId="05BA0988"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0.139</w:t>
            </w:r>
          </w:p>
        </w:tc>
        <w:tc>
          <w:tcPr>
            <w:tcW w:w="222" w:type="dxa"/>
            <w:tcBorders>
              <w:top w:val="nil"/>
              <w:left w:val="nil"/>
              <w:bottom w:val="nil"/>
              <w:right w:val="nil"/>
            </w:tcBorders>
            <w:shd w:val="clear" w:color="auto" w:fill="auto"/>
            <w:noWrap/>
            <w:vAlign w:val="bottom"/>
            <w:hideMark/>
          </w:tcPr>
          <w:p w14:paraId="4D0C63B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6F5993D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Sqr(Phosphate (mg/l))</w:t>
            </w:r>
          </w:p>
        </w:tc>
        <w:tc>
          <w:tcPr>
            <w:tcW w:w="780" w:type="dxa"/>
            <w:tcBorders>
              <w:top w:val="nil"/>
              <w:left w:val="nil"/>
              <w:bottom w:val="single" w:sz="4" w:space="0" w:color="auto"/>
              <w:right w:val="single" w:sz="4" w:space="0" w:color="auto"/>
            </w:tcBorders>
            <w:shd w:val="clear" w:color="auto" w:fill="auto"/>
            <w:noWrap/>
            <w:vAlign w:val="bottom"/>
            <w:hideMark/>
          </w:tcPr>
          <w:p w14:paraId="5A8928FF"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-0.142</w:t>
            </w:r>
          </w:p>
        </w:tc>
        <w:tc>
          <w:tcPr>
            <w:tcW w:w="780" w:type="dxa"/>
            <w:tcBorders>
              <w:top w:val="nil"/>
              <w:left w:val="nil"/>
              <w:bottom w:val="single" w:sz="4" w:space="0" w:color="auto"/>
              <w:right w:val="single" w:sz="4" w:space="0" w:color="auto"/>
            </w:tcBorders>
            <w:shd w:val="clear" w:color="auto" w:fill="auto"/>
            <w:noWrap/>
            <w:vAlign w:val="bottom"/>
            <w:hideMark/>
          </w:tcPr>
          <w:p w14:paraId="5AF69793"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-0.188</w:t>
            </w:r>
          </w:p>
        </w:tc>
      </w:tr>
      <w:tr w:rsidR="003D3694" w:rsidRPr="00747E35" w14:paraId="58E4EE9C"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49BD5FFA"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Oribatida_indet._Sp?</w:t>
            </w:r>
          </w:p>
        </w:tc>
        <w:tc>
          <w:tcPr>
            <w:tcW w:w="780" w:type="dxa"/>
            <w:tcBorders>
              <w:top w:val="nil"/>
              <w:left w:val="nil"/>
              <w:bottom w:val="single" w:sz="4" w:space="0" w:color="auto"/>
              <w:right w:val="single" w:sz="4" w:space="0" w:color="auto"/>
            </w:tcBorders>
            <w:shd w:val="clear" w:color="auto" w:fill="auto"/>
            <w:noWrap/>
            <w:vAlign w:val="bottom"/>
            <w:hideMark/>
          </w:tcPr>
          <w:p w14:paraId="0117C38E"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-0.367</w:t>
            </w:r>
          </w:p>
        </w:tc>
        <w:tc>
          <w:tcPr>
            <w:tcW w:w="780" w:type="dxa"/>
            <w:tcBorders>
              <w:top w:val="nil"/>
              <w:left w:val="nil"/>
              <w:bottom w:val="single" w:sz="4" w:space="0" w:color="auto"/>
              <w:right w:val="single" w:sz="4" w:space="0" w:color="auto"/>
            </w:tcBorders>
            <w:shd w:val="clear" w:color="auto" w:fill="auto"/>
            <w:noWrap/>
            <w:vAlign w:val="bottom"/>
            <w:hideMark/>
          </w:tcPr>
          <w:p w14:paraId="07B5C7E0"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-0.291</w:t>
            </w:r>
          </w:p>
        </w:tc>
        <w:tc>
          <w:tcPr>
            <w:tcW w:w="222" w:type="dxa"/>
            <w:tcBorders>
              <w:top w:val="nil"/>
              <w:left w:val="nil"/>
              <w:bottom w:val="nil"/>
              <w:right w:val="nil"/>
            </w:tcBorders>
            <w:shd w:val="clear" w:color="auto" w:fill="auto"/>
            <w:noWrap/>
            <w:vAlign w:val="bottom"/>
            <w:hideMark/>
          </w:tcPr>
          <w:p w14:paraId="63C1931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143415D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Sqr(DOC (mg/l))</w:t>
            </w:r>
          </w:p>
        </w:tc>
        <w:tc>
          <w:tcPr>
            <w:tcW w:w="780" w:type="dxa"/>
            <w:tcBorders>
              <w:top w:val="nil"/>
              <w:left w:val="nil"/>
              <w:bottom w:val="single" w:sz="4" w:space="0" w:color="auto"/>
              <w:right w:val="single" w:sz="4" w:space="0" w:color="auto"/>
            </w:tcBorders>
            <w:shd w:val="clear" w:color="auto" w:fill="auto"/>
            <w:noWrap/>
            <w:vAlign w:val="bottom"/>
            <w:hideMark/>
          </w:tcPr>
          <w:p w14:paraId="2D357686"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0.137</w:t>
            </w:r>
          </w:p>
        </w:tc>
        <w:tc>
          <w:tcPr>
            <w:tcW w:w="780" w:type="dxa"/>
            <w:tcBorders>
              <w:top w:val="nil"/>
              <w:left w:val="nil"/>
              <w:bottom w:val="single" w:sz="4" w:space="0" w:color="auto"/>
              <w:right w:val="single" w:sz="4" w:space="0" w:color="auto"/>
            </w:tcBorders>
            <w:shd w:val="clear" w:color="auto" w:fill="auto"/>
            <w:noWrap/>
            <w:vAlign w:val="bottom"/>
            <w:hideMark/>
          </w:tcPr>
          <w:p w14:paraId="7710C1BA"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0.267</w:t>
            </w:r>
          </w:p>
        </w:tc>
      </w:tr>
      <w:tr w:rsidR="003D3694" w:rsidRPr="00747E35" w14:paraId="0326BDCC"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61A2C231"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Acarina_indet_Sp?/Ac?</w:t>
            </w:r>
          </w:p>
        </w:tc>
        <w:tc>
          <w:tcPr>
            <w:tcW w:w="780" w:type="dxa"/>
            <w:tcBorders>
              <w:top w:val="nil"/>
              <w:left w:val="nil"/>
              <w:bottom w:val="single" w:sz="4" w:space="0" w:color="auto"/>
              <w:right w:val="single" w:sz="4" w:space="0" w:color="auto"/>
            </w:tcBorders>
            <w:shd w:val="clear" w:color="auto" w:fill="auto"/>
            <w:noWrap/>
            <w:vAlign w:val="bottom"/>
            <w:hideMark/>
          </w:tcPr>
          <w:p w14:paraId="3C00C4BE"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-0.086</w:t>
            </w:r>
          </w:p>
        </w:tc>
        <w:tc>
          <w:tcPr>
            <w:tcW w:w="780" w:type="dxa"/>
            <w:tcBorders>
              <w:top w:val="nil"/>
              <w:left w:val="nil"/>
              <w:bottom w:val="single" w:sz="4" w:space="0" w:color="auto"/>
              <w:right w:val="single" w:sz="4" w:space="0" w:color="auto"/>
            </w:tcBorders>
            <w:shd w:val="clear" w:color="auto" w:fill="auto"/>
            <w:noWrap/>
            <w:vAlign w:val="bottom"/>
            <w:hideMark/>
          </w:tcPr>
          <w:p w14:paraId="048878EE"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-0.173</w:t>
            </w:r>
          </w:p>
        </w:tc>
        <w:tc>
          <w:tcPr>
            <w:tcW w:w="222" w:type="dxa"/>
            <w:tcBorders>
              <w:top w:val="nil"/>
              <w:left w:val="nil"/>
              <w:bottom w:val="nil"/>
              <w:right w:val="nil"/>
            </w:tcBorders>
            <w:shd w:val="clear" w:color="auto" w:fill="auto"/>
            <w:noWrap/>
            <w:vAlign w:val="bottom"/>
            <w:hideMark/>
          </w:tcPr>
          <w:p w14:paraId="0293F60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0151A9B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Sqr(Factor 1)</w:t>
            </w:r>
          </w:p>
        </w:tc>
        <w:tc>
          <w:tcPr>
            <w:tcW w:w="780" w:type="dxa"/>
            <w:tcBorders>
              <w:top w:val="nil"/>
              <w:left w:val="nil"/>
              <w:bottom w:val="single" w:sz="4" w:space="0" w:color="auto"/>
              <w:right w:val="single" w:sz="4" w:space="0" w:color="auto"/>
            </w:tcBorders>
            <w:shd w:val="clear" w:color="auto" w:fill="auto"/>
            <w:noWrap/>
            <w:vAlign w:val="bottom"/>
            <w:hideMark/>
          </w:tcPr>
          <w:p w14:paraId="34E94035"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-0.076</w:t>
            </w:r>
          </w:p>
        </w:tc>
        <w:tc>
          <w:tcPr>
            <w:tcW w:w="780" w:type="dxa"/>
            <w:tcBorders>
              <w:top w:val="nil"/>
              <w:left w:val="nil"/>
              <w:bottom w:val="single" w:sz="4" w:space="0" w:color="auto"/>
              <w:right w:val="single" w:sz="4" w:space="0" w:color="auto"/>
            </w:tcBorders>
            <w:shd w:val="clear" w:color="auto" w:fill="auto"/>
            <w:noWrap/>
            <w:vAlign w:val="bottom"/>
            <w:hideMark/>
          </w:tcPr>
          <w:p w14:paraId="7350F07C"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-0.048</w:t>
            </w:r>
          </w:p>
        </w:tc>
      </w:tr>
      <w:tr w:rsidR="003D3694" w:rsidRPr="00747E35" w14:paraId="5D116F1A"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004BF6D5"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Ceratopogonidae_indet_Sx</w:t>
            </w:r>
          </w:p>
        </w:tc>
        <w:tc>
          <w:tcPr>
            <w:tcW w:w="780" w:type="dxa"/>
            <w:tcBorders>
              <w:top w:val="nil"/>
              <w:left w:val="nil"/>
              <w:bottom w:val="single" w:sz="4" w:space="0" w:color="auto"/>
              <w:right w:val="single" w:sz="4" w:space="0" w:color="auto"/>
            </w:tcBorders>
            <w:shd w:val="clear" w:color="auto" w:fill="auto"/>
            <w:noWrap/>
            <w:vAlign w:val="bottom"/>
            <w:hideMark/>
          </w:tcPr>
          <w:p w14:paraId="7D48F3F0"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-0.340</w:t>
            </w:r>
          </w:p>
        </w:tc>
        <w:tc>
          <w:tcPr>
            <w:tcW w:w="780" w:type="dxa"/>
            <w:tcBorders>
              <w:top w:val="nil"/>
              <w:left w:val="nil"/>
              <w:bottom w:val="single" w:sz="4" w:space="0" w:color="auto"/>
              <w:right w:val="single" w:sz="4" w:space="0" w:color="auto"/>
            </w:tcBorders>
            <w:shd w:val="clear" w:color="auto" w:fill="auto"/>
            <w:noWrap/>
            <w:vAlign w:val="bottom"/>
            <w:hideMark/>
          </w:tcPr>
          <w:p w14:paraId="72C3359D"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-0.271</w:t>
            </w:r>
          </w:p>
        </w:tc>
        <w:tc>
          <w:tcPr>
            <w:tcW w:w="222" w:type="dxa"/>
            <w:tcBorders>
              <w:top w:val="nil"/>
              <w:left w:val="nil"/>
              <w:bottom w:val="nil"/>
              <w:right w:val="nil"/>
            </w:tcBorders>
            <w:shd w:val="clear" w:color="auto" w:fill="auto"/>
            <w:noWrap/>
            <w:vAlign w:val="bottom"/>
            <w:hideMark/>
          </w:tcPr>
          <w:p w14:paraId="45ECCC9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28715668"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Sqr(Factor 2)</w:t>
            </w:r>
          </w:p>
        </w:tc>
        <w:tc>
          <w:tcPr>
            <w:tcW w:w="780" w:type="dxa"/>
            <w:tcBorders>
              <w:top w:val="nil"/>
              <w:left w:val="nil"/>
              <w:bottom w:val="single" w:sz="4" w:space="0" w:color="auto"/>
              <w:right w:val="single" w:sz="4" w:space="0" w:color="auto"/>
            </w:tcBorders>
            <w:shd w:val="clear" w:color="auto" w:fill="auto"/>
            <w:noWrap/>
            <w:vAlign w:val="bottom"/>
            <w:hideMark/>
          </w:tcPr>
          <w:p w14:paraId="1F0CAB4D"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0.277</w:t>
            </w:r>
          </w:p>
        </w:tc>
        <w:tc>
          <w:tcPr>
            <w:tcW w:w="780" w:type="dxa"/>
            <w:tcBorders>
              <w:top w:val="nil"/>
              <w:left w:val="nil"/>
              <w:bottom w:val="single" w:sz="4" w:space="0" w:color="auto"/>
              <w:right w:val="single" w:sz="4" w:space="0" w:color="auto"/>
            </w:tcBorders>
            <w:shd w:val="clear" w:color="auto" w:fill="auto"/>
            <w:noWrap/>
            <w:vAlign w:val="bottom"/>
            <w:hideMark/>
          </w:tcPr>
          <w:p w14:paraId="44146271"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-0.178</w:t>
            </w:r>
          </w:p>
        </w:tc>
      </w:tr>
      <w:tr w:rsidR="003D3694" w:rsidRPr="00747E35" w14:paraId="1CFEEF3A"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00E0216D"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Chironomidae_indet._Sx</w:t>
            </w:r>
          </w:p>
        </w:tc>
        <w:tc>
          <w:tcPr>
            <w:tcW w:w="780" w:type="dxa"/>
            <w:tcBorders>
              <w:top w:val="nil"/>
              <w:left w:val="nil"/>
              <w:bottom w:val="single" w:sz="4" w:space="0" w:color="auto"/>
              <w:right w:val="single" w:sz="4" w:space="0" w:color="auto"/>
            </w:tcBorders>
            <w:shd w:val="clear" w:color="auto" w:fill="auto"/>
            <w:noWrap/>
            <w:vAlign w:val="bottom"/>
            <w:hideMark/>
          </w:tcPr>
          <w:p w14:paraId="316EF212"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-0.776</w:t>
            </w:r>
          </w:p>
        </w:tc>
        <w:tc>
          <w:tcPr>
            <w:tcW w:w="780" w:type="dxa"/>
            <w:tcBorders>
              <w:top w:val="nil"/>
              <w:left w:val="nil"/>
              <w:bottom w:val="single" w:sz="4" w:space="0" w:color="auto"/>
              <w:right w:val="single" w:sz="4" w:space="0" w:color="auto"/>
            </w:tcBorders>
            <w:shd w:val="clear" w:color="auto" w:fill="auto"/>
            <w:noWrap/>
            <w:vAlign w:val="bottom"/>
            <w:hideMark/>
          </w:tcPr>
          <w:p w14:paraId="08495B1C"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0.147</w:t>
            </w:r>
          </w:p>
        </w:tc>
        <w:tc>
          <w:tcPr>
            <w:tcW w:w="222" w:type="dxa"/>
            <w:tcBorders>
              <w:top w:val="nil"/>
              <w:left w:val="nil"/>
              <w:bottom w:val="nil"/>
              <w:right w:val="nil"/>
            </w:tcBorders>
            <w:shd w:val="clear" w:color="auto" w:fill="auto"/>
            <w:noWrap/>
            <w:vAlign w:val="bottom"/>
            <w:hideMark/>
          </w:tcPr>
          <w:p w14:paraId="0138F37E"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00E1C7F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Sqr(Factor 3)</w:t>
            </w:r>
          </w:p>
        </w:tc>
        <w:tc>
          <w:tcPr>
            <w:tcW w:w="780" w:type="dxa"/>
            <w:tcBorders>
              <w:top w:val="nil"/>
              <w:left w:val="nil"/>
              <w:bottom w:val="single" w:sz="4" w:space="0" w:color="auto"/>
              <w:right w:val="single" w:sz="4" w:space="0" w:color="auto"/>
            </w:tcBorders>
            <w:shd w:val="clear" w:color="auto" w:fill="auto"/>
            <w:noWrap/>
            <w:vAlign w:val="bottom"/>
            <w:hideMark/>
          </w:tcPr>
          <w:p w14:paraId="70C1C7E7"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0.275</w:t>
            </w:r>
          </w:p>
        </w:tc>
        <w:tc>
          <w:tcPr>
            <w:tcW w:w="780" w:type="dxa"/>
            <w:tcBorders>
              <w:top w:val="nil"/>
              <w:left w:val="nil"/>
              <w:bottom w:val="single" w:sz="4" w:space="0" w:color="auto"/>
              <w:right w:val="single" w:sz="4" w:space="0" w:color="auto"/>
            </w:tcBorders>
            <w:shd w:val="clear" w:color="auto" w:fill="auto"/>
            <w:noWrap/>
            <w:vAlign w:val="bottom"/>
            <w:hideMark/>
          </w:tcPr>
          <w:p w14:paraId="551EE333"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-0.192</w:t>
            </w:r>
          </w:p>
        </w:tc>
      </w:tr>
      <w:tr w:rsidR="003D3694" w:rsidRPr="00747E35" w14:paraId="620375EA"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7B2C336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Psychodidae_indet_Sx</w:t>
            </w:r>
          </w:p>
        </w:tc>
        <w:tc>
          <w:tcPr>
            <w:tcW w:w="780" w:type="dxa"/>
            <w:tcBorders>
              <w:top w:val="nil"/>
              <w:left w:val="nil"/>
              <w:bottom w:val="single" w:sz="4" w:space="0" w:color="auto"/>
              <w:right w:val="single" w:sz="4" w:space="0" w:color="auto"/>
            </w:tcBorders>
            <w:shd w:val="clear" w:color="auto" w:fill="auto"/>
            <w:noWrap/>
            <w:vAlign w:val="bottom"/>
            <w:hideMark/>
          </w:tcPr>
          <w:p w14:paraId="69BDAEA4"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-0.317</w:t>
            </w:r>
          </w:p>
        </w:tc>
        <w:tc>
          <w:tcPr>
            <w:tcW w:w="780" w:type="dxa"/>
            <w:tcBorders>
              <w:top w:val="nil"/>
              <w:left w:val="nil"/>
              <w:bottom w:val="single" w:sz="4" w:space="0" w:color="auto"/>
              <w:right w:val="single" w:sz="4" w:space="0" w:color="auto"/>
            </w:tcBorders>
            <w:shd w:val="clear" w:color="auto" w:fill="auto"/>
            <w:noWrap/>
            <w:vAlign w:val="bottom"/>
            <w:hideMark/>
          </w:tcPr>
          <w:p w14:paraId="2CE1C5E3"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-0.176</w:t>
            </w:r>
          </w:p>
        </w:tc>
        <w:tc>
          <w:tcPr>
            <w:tcW w:w="222" w:type="dxa"/>
            <w:tcBorders>
              <w:top w:val="nil"/>
              <w:left w:val="nil"/>
              <w:bottom w:val="nil"/>
              <w:right w:val="nil"/>
            </w:tcBorders>
            <w:shd w:val="clear" w:color="auto" w:fill="auto"/>
            <w:noWrap/>
            <w:vAlign w:val="bottom"/>
            <w:hideMark/>
          </w:tcPr>
          <w:p w14:paraId="6C71560D"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52FF209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Sqr(Abs @ 253nm)</w:t>
            </w:r>
          </w:p>
        </w:tc>
        <w:tc>
          <w:tcPr>
            <w:tcW w:w="780" w:type="dxa"/>
            <w:tcBorders>
              <w:top w:val="nil"/>
              <w:left w:val="nil"/>
              <w:bottom w:val="single" w:sz="4" w:space="0" w:color="auto"/>
              <w:right w:val="single" w:sz="4" w:space="0" w:color="auto"/>
            </w:tcBorders>
            <w:shd w:val="clear" w:color="auto" w:fill="auto"/>
            <w:noWrap/>
            <w:vAlign w:val="bottom"/>
            <w:hideMark/>
          </w:tcPr>
          <w:p w14:paraId="2092220A"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0.172</w:t>
            </w:r>
          </w:p>
        </w:tc>
        <w:tc>
          <w:tcPr>
            <w:tcW w:w="780" w:type="dxa"/>
            <w:tcBorders>
              <w:top w:val="nil"/>
              <w:left w:val="nil"/>
              <w:bottom w:val="single" w:sz="4" w:space="0" w:color="auto"/>
              <w:right w:val="single" w:sz="4" w:space="0" w:color="auto"/>
            </w:tcBorders>
            <w:shd w:val="clear" w:color="auto" w:fill="auto"/>
            <w:noWrap/>
            <w:vAlign w:val="bottom"/>
            <w:hideMark/>
          </w:tcPr>
          <w:p w14:paraId="2130A3AA"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-0.077</w:t>
            </w:r>
          </w:p>
        </w:tc>
      </w:tr>
      <w:tr w:rsidR="003D3694" w:rsidRPr="00747E35" w14:paraId="013F4673"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39CF84F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Tipulidae_indet_Sx</w:t>
            </w:r>
          </w:p>
        </w:tc>
        <w:tc>
          <w:tcPr>
            <w:tcW w:w="780" w:type="dxa"/>
            <w:tcBorders>
              <w:top w:val="nil"/>
              <w:left w:val="nil"/>
              <w:bottom w:val="single" w:sz="4" w:space="0" w:color="auto"/>
              <w:right w:val="single" w:sz="4" w:space="0" w:color="auto"/>
            </w:tcBorders>
            <w:shd w:val="clear" w:color="auto" w:fill="auto"/>
            <w:noWrap/>
            <w:vAlign w:val="bottom"/>
            <w:hideMark/>
          </w:tcPr>
          <w:p w14:paraId="692C2A2D"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-0.229</w:t>
            </w:r>
          </w:p>
        </w:tc>
        <w:tc>
          <w:tcPr>
            <w:tcW w:w="780" w:type="dxa"/>
            <w:tcBorders>
              <w:top w:val="nil"/>
              <w:left w:val="nil"/>
              <w:bottom w:val="single" w:sz="4" w:space="0" w:color="auto"/>
              <w:right w:val="single" w:sz="4" w:space="0" w:color="auto"/>
            </w:tcBorders>
            <w:shd w:val="clear" w:color="auto" w:fill="auto"/>
            <w:noWrap/>
            <w:vAlign w:val="bottom"/>
            <w:hideMark/>
          </w:tcPr>
          <w:p w14:paraId="5E5B00A0"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-0.031</w:t>
            </w:r>
          </w:p>
        </w:tc>
        <w:tc>
          <w:tcPr>
            <w:tcW w:w="222" w:type="dxa"/>
            <w:tcBorders>
              <w:top w:val="nil"/>
              <w:left w:val="nil"/>
              <w:bottom w:val="nil"/>
              <w:right w:val="nil"/>
            </w:tcBorders>
            <w:shd w:val="clear" w:color="auto" w:fill="auto"/>
            <w:noWrap/>
            <w:vAlign w:val="bottom"/>
            <w:hideMark/>
          </w:tcPr>
          <w:p w14:paraId="6433D2C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33297E7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Sqr(S(274-295nm))</w:t>
            </w:r>
          </w:p>
        </w:tc>
        <w:tc>
          <w:tcPr>
            <w:tcW w:w="780" w:type="dxa"/>
            <w:tcBorders>
              <w:top w:val="nil"/>
              <w:left w:val="nil"/>
              <w:bottom w:val="single" w:sz="4" w:space="0" w:color="auto"/>
              <w:right w:val="single" w:sz="4" w:space="0" w:color="auto"/>
            </w:tcBorders>
            <w:shd w:val="clear" w:color="auto" w:fill="auto"/>
            <w:noWrap/>
            <w:vAlign w:val="bottom"/>
            <w:hideMark/>
          </w:tcPr>
          <w:p w14:paraId="59E5B68E"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-0.020</w:t>
            </w:r>
          </w:p>
        </w:tc>
        <w:tc>
          <w:tcPr>
            <w:tcW w:w="780" w:type="dxa"/>
            <w:tcBorders>
              <w:top w:val="nil"/>
              <w:left w:val="nil"/>
              <w:bottom w:val="single" w:sz="4" w:space="0" w:color="auto"/>
              <w:right w:val="single" w:sz="4" w:space="0" w:color="auto"/>
            </w:tcBorders>
            <w:shd w:val="clear" w:color="auto" w:fill="auto"/>
            <w:noWrap/>
            <w:vAlign w:val="bottom"/>
            <w:hideMark/>
          </w:tcPr>
          <w:p w14:paraId="5C99542E"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-0.130</w:t>
            </w:r>
          </w:p>
        </w:tc>
      </w:tr>
      <w:tr w:rsidR="003D3694" w:rsidRPr="00747E35" w14:paraId="15C8C717"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737E662B"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Ephemeroptera_indet._Sx</w:t>
            </w:r>
          </w:p>
        </w:tc>
        <w:tc>
          <w:tcPr>
            <w:tcW w:w="780" w:type="dxa"/>
            <w:tcBorders>
              <w:top w:val="nil"/>
              <w:left w:val="nil"/>
              <w:bottom w:val="single" w:sz="4" w:space="0" w:color="auto"/>
              <w:right w:val="single" w:sz="4" w:space="0" w:color="auto"/>
            </w:tcBorders>
            <w:shd w:val="clear" w:color="auto" w:fill="auto"/>
            <w:noWrap/>
            <w:vAlign w:val="bottom"/>
            <w:hideMark/>
          </w:tcPr>
          <w:p w14:paraId="532268E5"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-0.588</w:t>
            </w:r>
          </w:p>
        </w:tc>
        <w:tc>
          <w:tcPr>
            <w:tcW w:w="780" w:type="dxa"/>
            <w:tcBorders>
              <w:top w:val="nil"/>
              <w:left w:val="nil"/>
              <w:bottom w:val="single" w:sz="4" w:space="0" w:color="auto"/>
              <w:right w:val="single" w:sz="4" w:space="0" w:color="auto"/>
            </w:tcBorders>
            <w:shd w:val="clear" w:color="auto" w:fill="auto"/>
            <w:noWrap/>
            <w:vAlign w:val="bottom"/>
            <w:hideMark/>
          </w:tcPr>
          <w:p w14:paraId="6A1F0682"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0.017</w:t>
            </w:r>
          </w:p>
        </w:tc>
        <w:tc>
          <w:tcPr>
            <w:tcW w:w="222" w:type="dxa"/>
            <w:tcBorders>
              <w:top w:val="nil"/>
              <w:left w:val="nil"/>
              <w:bottom w:val="nil"/>
              <w:right w:val="nil"/>
            </w:tcBorders>
            <w:shd w:val="clear" w:color="auto" w:fill="auto"/>
            <w:noWrap/>
            <w:vAlign w:val="bottom"/>
            <w:hideMark/>
          </w:tcPr>
          <w:p w14:paraId="4349A9F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7C09D1B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Sqr(S(350-400nm))</w:t>
            </w:r>
          </w:p>
        </w:tc>
        <w:tc>
          <w:tcPr>
            <w:tcW w:w="780" w:type="dxa"/>
            <w:tcBorders>
              <w:top w:val="nil"/>
              <w:left w:val="nil"/>
              <w:bottom w:val="single" w:sz="4" w:space="0" w:color="auto"/>
              <w:right w:val="single" w:sz="4" w:space="0" w:color="auto"/>
            </w:tcBorders>
            <w:shd w:val="clear" w:color="auto" w:fill="auto"/>
            <w:noWrap/>
            <w:vAlign w:val="bottom"/>
            <w:hideMark/>
          </w:tcPr>
          <w:p w14:paraId="1FBFAF7A"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0.046</w:t>
            </w:r>
          </w:p>
        </w:tc>
        <w:tc>
          <w:tcPr>
            <w:tcW w:w="780" w:type="dxa"/>
            <w:tcBorders>
              <w:top w:val="nil"/>
              <w:left w:val="nil"/>
              <w:bottom w:val="single" w:sz="4" w:space="0" w:color="auto"/>
              <w:right w:val="single" w:sz="4" w:space="0" w:color="auto"/>
            </w:tcBorders>
            <w:shd w:val="clear" w:color="auto" w:fill="auto"/>
            <w:noWrap/>
            <w:vAlign w:val="bottom"/>
            <w:hideMark/>
          </w:tcPr>
          <w:p w14:paraId="17BBAC2C"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-0.169</w:t>
            </w:r>
          </w:p>
        </w:tc>
      </w:tr>
      <w:tr w:rsidR="003D3694" w:rsidRPr="00747E35" w14:paraId="3869E90D"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528A6C2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Diptera_indet._Sx?</w:t>
            </w:r>
          </w:p>
        </w:tc>
        <w:tc>
          <w:tcPr>
            <w:tcW w:w="780" w:type="dxa"/>
            <w:tcBorders>
              <w:top w:val="nil"/>
              <w:left w:val="nil"/>
              <w:bottom w:val="single" w:sz="4" w:space="0" w:color="auto"/>
              <w:right w:val="single" w:sz="4" w:space="0" w:color="auto"/>
            </w:tcBorders>
            <w:shd w:val="clear" w:color="auto" w:fill="auto"/>
            <w:noWrap/>
            <w:vAlign w:val="bottom"/>
            <w:hideMark/>
          </w:tcPr>
          <w:p w14:paraId="23653512"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-0.108</w:t>
            </w:r>
          </w:p>
        </w:tc>
        <w:tc>
          <w:tcPr>
            <w:tcW w:w="780" w:type="dxa"/>
            <w:tcBorders>
              <w:top w:val="nil"/>
              <w:left w:val="nil"/>
              <w:bottom w:val="single" w:sz="4" w:space="0" w:color="auto"/>
              <w:right w:val="single" w:sz="4" w:space="0" w:color="auto"/>
            </w:tcBorders>
            <w:shd w:val="clear" w:color="auto" w:fill="auto"/>
            <w:noWrap/>
            <w:vAlign w:val="bottom"/>
            <w:hideMark/>
          </w:tcPr>
          <w:p w14:paraId="7CB1BFE3"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0.099</w:t>
            </w:r>
          </w:p>
        </w:tc>
        <w:tc>
          <w:tcPr>
            <w:tcW w:w="222" w:type="dxa"/>
            <w:tcBorders>
              <w:top w:val="nil"/>
              <w:left w:val="nil"/>
              <w:bottom w:val="nil"/>
              <w:right w:val="nil"/>
            </w:tcBorders>
            <w:shd w:val="clear" w:color="auto" w:fill="auto"/>
            <w:noWrap/>
            <w:vAlign w:val="bottom"/>
            <w:hideMark/>
          </w:tcPr>
          <w:p w14:paraId="4A1B6B3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18EBF6DE"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Na (mg/l)</w:t>
            </w:r>
          </w:p>
        </w:tc>
        <w:tc>
          <w:tcPr>
            <w:tcW w:w="780" w:type="dxa"/>
            <w:tcBorders>
              <w:top w:val="nil"/>
              <w:left w:val="nil"/>
              <w:bottom w:val="single" w:sz="4" w:space="0" w:color="auto"/>
              <w:right w:val="single" w:sz="4" w:space="0" w:color="auto"/>
            </w:tcBorders>
            <w:shd w:val="clear" w:color="auto" w:fill="auto"/>
            <w:noWrap/>
            <w:vAlign w:val="bottom"/>
            <w:hideMark/>
          </w:tcPr>
          <w:p w14:paraId="2F6A61BD"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0.375</w:t>
            </w:r>
          </w:p>
        </w:tc>
        <w:tc>
          <w:tcPr>
            <w:tcW w:w="780" w:type="dxa"/>
            <w:tcBorders>
              <w:top w:val="nil"/>
              <w:left w:val="nil"/>
              <w:bottom w:val="single" w:sz="4" w:space="0" w:color="auto"/>
              <w:right w:val="single" w:sz="4" w:space="0" w:color="auto"/>
            </w:tcBorders>
            <w:shd w:val="clear" w:color="auto" w:fill="auto"/>
            <w:noWrap/>
            <w:vAlign w:val="bottom"/>
            <w:hideMark/>
          </w:tcPr>
          <w:p w14:paraId="1F346741"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-0.192</w:t>
            </w:r>
          </w:p>
        </w:tc>
      </w:tr>
      <w:tr w:rsidR="003D3694" w:rsidRPr="00747E35" w14:paraId="04B8B970"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521E79A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Insecta_indet._Sx?</w:t>
            </w:r>
          </w:p>
        </w:tc>
        <w:tc>
          <w:tcPr>
            <w:tcW w:w="780" w:type="dxa"/>
            <w:tcBorders>
              <w:top w:val="nil"/>
              <w:left w:val="nil"/>
              <w:bottom w:val="single" w:sz="4" w:space="0" w:color="auto"/>
              <w:right w:val="single" w:sz="4" w:space="0" w:color="auto"/>
            </w:tcBorders>
            <w:shd w:val="clear" w:color="auto" w:fill="auto"/>
            <w:noWrap/>
            <w:vAlign w:val="bottom"/>
            <w:hideMark/>
          </w:tcPr>
          <w:p w14:paraId="762DE504"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-0.287</w:t>
            </w:r>
          </w:p>
        </w:tc>
        <w:tc>
          <w:tcPr>
            <w:tcW w:w="780" w:type="dxa"/>
            <w:tcBorders>
              <w:top w:val="nil"/>
              <w:left w:val="nil"/>
              <w:bottom w:val="single" w:sz="4" w:space="0" w:color="auto"/>
              <w:right w:val="single" w:sz="4" w:space="0" w:color="auto"/>
            </w:tcBorders>
            <w:shd w:val="clear" w:color="auto" w:fill="auto"/>
            <w:noWrap/>
            <w:vAlign w:val="bottom"/>
            <w:hideMark/>
          </w:tcPr>
          <w:p w14:paraId="59B7B320"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-0.130</w:t>
            </w:r>
          </w:p>
        </w:tc>
        <w:tc>
          <w:tcPr>
            <w:tcW w:w="222" w:type="dxa"/>
            <w:tcBorders>
              <w:top w:val="nil"/>
              <w:left w:val="nil"/>
              <w:bottom w:val="nil"/>
              <w:right w:val="nil"/>
            </w:tcBorders>
            <w:shd w:val="clear" w:color="auto" w:fill="auto"/>
            <w:noWrap/>
            <w:vAlign w:val="bottom"/>
            <w:hideMark/>
          </w:tcPr>
          <w:p w14:paraId="775FC96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30BDB0FC"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Ca (mg/l)</w:t>
            </w:r>
          </w:p>
        </w:tc>
        <w:tc>
          <w:tcPr>
            <w:tcW w:w="780" w:type="dxa"/>
            <w:tcBorders>
              <w:top w:val="nil"/>
              <w:left w:val="nil"/>
              <w:bottom w:val="single" w:sz="4" w:space="0" w:color="auto"/>
              <w:right w:val="single" w:sz="4" w:space="0" w:color="auto"/>
            </w:tcBorders>
            <w:shd w:val="clear" w:color="auto" w:fill="auto"/>
            <w:noWrap/>
            <w:vAlign w:val="bottom"/>
            <w:hideMark/>
          </w:tcPr>
          <w:p w14:paraId="783B7B1A"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-0.436</w:t>
            </w:r>
          </w:p>
        </w:tc>
        <w:tc>
          <w:tcPr>
            <w:tcW w:w="780" w:type="dxa"/>
            <w:tcBorders>
              <w:top w:val="nil"/>
              <w:left w:val="nil"/>
              <w:bottom w:val="single" w:sz="4" w:space="0" w:color="auto"/>
              <w:right w:val="single" w:sz="4" w:space="0" w:color="auto"/>
            </w:tcBorders>
            <w:shd w:val="clear" w:color="auto" w:fill="auto"/>
            <w:noWrap/>
            <w:vAlign w:val="bottom"/>
            <w:hideMark/>
          </w:tcPr>
          <w:p w14:paraId="1CEE8032"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0.029</w:t>
            </w:r>
          </w:p>
        </w:tc>
      </w:tr>
      <w:tr w:rsidR="003D3694" w:rsidRPr="00747E35" w14:paraId="3FD6378A"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3DAEA4CD"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Elmidae_indet._Sx?</w:t>
            </w:r>
          </w:p>
        </w:tc>
        <w:tc>
          <w:tcPr>
            <w:tcW w:w="780" w:type="dxa"/>
            <w:tcBorders>
              <w:top w:val="nil"/>
              <w:left w:val="nil"/>
              <w:bottom w:val="single" w:sz="4" w:space="0" w:color="auto"/>
              <w:right w:val="single" w:sz="4" w:space="0" w:color="auto"/>
            </w:tcBorders>
            <w:shd w:val="clear" w:color="auto" w:fill="auto"/>
            <w:noWrap/>
            <w:vAlign w:val="bottom"/>
            <w:hideMark/>
          </w:tcPr>
          <w:p w14:paraId="6FF51F44"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-0.337</w:t>
            </w:r>
          </w:p>
        </w:tc>
        <w:tc>
          <w:tcPr>
            <w:tcW w:w="780" w:type="dxa"/>
            <w:tcBorders>
              <w:top w:val="nil"/>
              <w:left w:val="nil"/>
              <w:bottom w:val="single" w:sz="4" w:space="0" w:color="auto"/>
              <w:right w:val="single" w:sz="4" w:space="0" w:color="auto"/>
            </w:tcBorders>
            <w:shd w:val="clear" w:color="auto" w:fill="auto"/>
            <w:noWrap/>
            <w:vAlign w:val="bottom"/>
            <w:hideMark/>
          </w:tcPr>
          <w:p w14:paraId="29BD68E5"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0.076</w:t>
            </w:r>
          </w:p>
        </w:tc>
        <w:tc>
          <w:tcPr>
            <w:tcW w:w="222" w:type="dxa"/>
            <w:tcBorders>
              <w:top w:val="nil"/>
              <w:left w:val="nil"/>
              <w:bottom w:val="nil"/>
              <w:right w:val="nil"/>
            </w:tcBorders>
            <w:shd w:val="clear" w:color="auto" w:fill="auto"/>
            <w:noWrap/>
            <w:vAlign w:val="bottom"/>
            <w:hideMark/>
          </w:tcPr>
          <w:p w14:paraId="626DCFF6"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29D0081B"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Mg (mg/l)</w:t>
            </w:r>
          </w:p>
        </w:tc>
        <w:tc>
          <w:tcPr>
            <w:tcW w:w="780" w:type="dxa"/>
            <w:tcBorders>
              <w:top w:val="nil"/>
              <w:left w:val="nil"/>
              <w:bottom w:val="single" w:sz="4" w:space="0" w:color="auto"/>
              <w:right w:val="single" w:sz="4" w:space="0" w:color="auto"/>
            </w:tcBorders>
            <w:shd w:val="clear" w:color="auto" w:fill="auto"/>
            <w:noWrap/>
            <w:vAlign w:val="bottom"/>
            <w:hideMark/>
          </w:tcPr>
          <w:p w14:paraId="2CD3B154"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-0.447</w:t>
            </w:r>
          </w:p>
        </w:tc>
        <w:tc>
          <w:tcPr>
            <w:tcW w:w="780" w:type="dxa"/>
            <w:tcBorders>
              <w:top w:val="nil"/>
              <w:left w:val="nil"/>
              <w:bottom w:val="single" w:sz="4" w:space="0" w:color="auto"/>
              <w:right w:val="single" w:sz="4" w:space="0" w:color="auto"/>
            </w:tcBorders>
            <w:shd w:val="clear" w:color="auto" w:fill="auto"/>
            <w:noWrap/>
            <w:vAlign w:val="bottom"/>
            <w:hideMark/>
          </w:tcPr>
          <w:p w14:paraId="50469BDC"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0.213</w:t>
            </w:r>
          </w:p>
        </w:tc>
      </w:tr>
      <w:tr w:rsidR="003D3694" w:rsidRPr="00747E35" w14:paraId="31C7D99F"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181D833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Hydraenidae_indet_Sx?</w:t>
            </w:r>
          </w:p>
        </w:tc>
        <w:tc>
          <w:tcPr>
            <w:tcW w:w="780" w:type="dxa"/>
            <w:tcBorders>
              <w:top w:val="nil"/>
              <w:left w:val="nil"/>
              <w:bottom w:val="single" w:sz="4" w:space="0" w:color="auto"/>
              <w:right w:val="single" w:sz="4" w:space="0" w:color="auto"/>
            </w:tcBorders>
            <w:shd w:val="clear" w:color="auto" w:fill="auto"/>
            <w:noWrap/>
            <w:vAlign w:val="bottom"/>
            <w:hideMark/>
          </w:tcPr>
          <w:p w14:paraId="3F3EFBBE"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-0.314</w:t>
            </w:r>
          </w:p>
        </w:tc>
        <w:tc>
          <w:tcPr>
            <w:tcW w:w="780" w:type="dxa"/>
            <w:tcBorders>
              <w:top w:val="nil"/>
              <w:left w:val="nil"/>
              <w:bottom w:val="single" w:sz="4" w:space="0" w:color="auto"/>
              <w:right w:val="single" w:sz="4" w:space="0" w:color="auto"/>
            </w:tcBorders>
            <w:shd w:val="clear" w:color="auto" w:fill="auto"/>
            <w:noWrap/>
            <w:vAlign w:val="bottom"/>
            <w:hideMark/>
          </w:tcPr>
          <w:p w14:paraId="6E4C750C"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0.018</w:t>
            </w:r>
          </w:p>
        </w:tc>
        <w:tc>
          <w:tcPr>
            <w:tcW w:w="222" w:type="dxa"/>
            <w:tcBorders>
              <w:top w:val="nil"/>
              <w:left w:val="nil"/>
              <w:bottom w:val="nil"/>
              <w:right w:val="nil"/>
            </w:tcBorders>
            <w:shd w:val="clear" w:color="auto" w:fill="auto"/>
            <w:noWrap/>
            <w:vAlign w:val="bottom"/>
            <w:hideMark/>
          </w:tcPr>
          <w:p w14:paraId="0633431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77A0F12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K (mg/l)</w:t>
            </w:r>
          </w:p>
        </w:tc>
        <w:tc>
          <w:tcPr>
            <w:tcW w:w="780" w:type="dxa"/>
            <w:tcBorders>
              <w:top w:val="nil"/>
              <w:left w:val="nil"/>
              <w:bottom w:val="single" w:sz="4" w:space="0" w:color="auto"/>
              <w:right w:val="single" w:sz="4" w:space="0" w:color="auto"/>
            </w:tcBorders>
            <w:shd w:val="clear" w:color="auto" w:fill="auto"/>
            <w:noWrap/>
            <w:vAlign w:val="bottom"/>
            <w:hideMark/>
          </w:tcPr>
          <w:p w14:paraId="7450BA1C"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-0.269</w:t>
            </w:r>
          </w:p>
        </w:tc>
        <w:tc>
          <w:tcPr>
            <w:tcW w:w="780" w:type="dxa"/>
            <w:tcBorders>
              <w:top w:val="nil"/>
              <w:left w:val="nil"/>
              <w:bottom w:val="single" w:sz="4" w:space="0" w:color="auto"/>
              <w:right w:val="single" w:sz="4" w:space="0" w:color="auto"/>
            </w:tcBorders>
            <w:shd w:val="clear" w:color="auto" w:fill="auto"/>
            <w:noWrap/>
            <w:vAlign w:val="bottom"/>
            <w:hideMark/>
          </w:tcPr>
          <w:p w14:paraId="5800CD11"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0.223</w:t>
            </w:r>
          </w:p>
        </w:tc>
      </w:tr>
      <w:tr w:rsidR="003D3694" w:rsidRPr="00747E35" w14:paraId="0B2FA45F"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5AF4776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Hydrophilidae_indet_Sx?</w:t>
            </w:r>
          </w:p>
        </w:tc>
        <w:tc>
          <w:tcPr>
            <w:tcW w:w="780" w:type="dxa"/>
            <w:tcBorders>
              <w:top w:val="nil"/>
              <w:left w:val="nil"/>
              <w:bottom w:val="single" w:sz="4" w:space="0" w:color="auto"/>
              <w:right w:val="single" w:sz="4" w:space="0" w:color="auto"/>
            </w:tcBorders>
            <w:shd w:val="clear" w:color="auto" w:fill="auto"/>
            <w:noWrap/>
            <w:vAlign w:val="bottom"/>
            <w:hideMark/>
          </w:tcPr>
          <w:p w14:paraId="6F96D2E2"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-0.206</w:t>
            </w:r>
          </w:p>
        </w:tc>
        <w:tc>
          <w:tcPr>
            <w:tcW w:w="780" w:type="dxa"/>
            <w:tcBorders>
              <w:top w:val="nil"/>
              <w:left w:val="nil"/>
              <w:bottom w:val="single" w:sz="4" w:space="0" w:color="auto"/>
              <w:right w:val="single" w:sz="4" w:space="0" w:color="auto"/>
            </w:tcBorders>
            <w:shd w:val="clear" w:color="auto" w:fill="auto"/>
            <w:noWrap/>
            <w:vAlign w:val="bottom"/>
            <w:hideMark/>
          </w:tcPr>
          <w:p w14:paraId="08252815"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-0.034</w:t>
            </w:r>
          </w:p>
        </w:tc>
        <w:tc>
          <w:tcPr>
            <w:tcW w:w="222" w:type="dxa"/>
            <w:tcBorders>
              <w:top w:val="nil"/>
              <w:left w:val="nil"/>
              <w:bottom w:val="nil"/>
              <w:right w:val="nil"/>
            </w:tcBorders>
            <w:shd w:val="clear" w:color="auto" w:fill="auto"/>
            <w:noWrap/>
            <w:vAlign w:val="bottom"/>
            <w:hideMark/>
          </w:tcPr>
          <w:p w14:paraId="147F6A66"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77218A71"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Alkalinity</w:t>
            </w:r>
          </w:p>
        </w:tc>
        <w:tc>
          <w:tcPr>
            <w:tcW w:w="780" w:type="dxa"/>
            <w:tcBorders>
              <w:top w:val="nil"/>
              <w:left w:val="nil"/>
              <w:bottom w:val="single" w:sz="4" w:space="0" w:color="auto"/>
              <w:right w:val="single" w:sz="4" w:space="0" w:color="auto"/>
            </w:tcBorders>
            <w:shd w:val="clear" w:color="auto" w:fill="auto"/>
            <w:noWrap/>
            <w:vAlign w:val="bottom"/>
            <w:hideMark/>
          </w:tcPr>
          <w:p w14:paraId="5CC90484"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0.248</w:t>
            </w:r>
          </w:p>
        </w:tc>
        <w:tc>
          <w:tcPr>
            <w:tcW w:w="780" w:type="dxa"/>
            <w:tcBorders>
              <w:top w:val="nil"/>
              <w:left w:val="nil"/>
              <w:bottom w:val="single" w:sz="4" w:space="0" w:color="auto"/>
              <w:right w:val="single" w:sz="4" w:space="0" w:color="auto"/>
            </w:tcBorders>
            <w:shd w:val="clear" w:color="auto" w:fill="auto"/>
            <w:noWrap/>
            <w:vAlign w:val="bottom"/>
            <w:hideMark/>
          </w:tcPr>
          <w:p w14:paraId="26BF1259"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-0.253</w:t>
            </w:r>
          </w:p>
        </w:tc>
      </w:tr>
      <w:tr w:rsidR="003D3694" w:rsidRPr="00747E35" w14:paraId="17D6C301"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3DC1814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Coleoptera_indet._Sx?</w:t>
            </w:r>
          </w:p>
        </w:tc>
        <w:tc>
          <w:tcPr>
            <w:tcW w:w="780" w:type="dxa"/>
            <w:tcBorders>
              <w:top w:val="nil"/>
              <w:left w:val="nil"/>
              <w:bottom w:val="single" w:sz="4" w:space="0" w:color="auto"/>
              <w:right w:val="single" w:sz="4" w:space="0" w:color="auto"/>
            </w:tcBorders>
            <w:shd w:val="clear" w:color="auto" w:fill="auto"/>
            <w:noWrap/>
            <w:vAlign w:val="bottom"/>
            <w:hideMark/>
          </w:tcPr>
          <w:p w14:paraId="4389D73D"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-0.196</w:t>
            </w:r>
          </w:p>
        </w:tc>
        <w:tc>
          <w:tcPr>
            <w:tcW w:w="780" w:type="dxa"/>
            <w:tcBorders>
              <w:top w:val="nil"/>
              <w:left w:val="nil"/>
              <w:bottom w:val="single" w:sz="4" w:space="0" w:color="auto"/>
              <w:right w:val="single" w:sz="4" w:space="0" w:color="auto"/>
            </w:tcBorders>
            <w:shd w:val="clear" w:color="auto" w:fill="auto"/>
            <w:noWrap/>
            <w:vAlign w:val="bottom"/>
            <w:hideMark/>
          </w:tcPr>
          <w:p w14:paraId="1A131375"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-0.149</w:t>
            </w:r>
          </w:p>
        </w:tc>
        <w:tc>
          <w:tcPr>
            <w:tcW w:w="222" w:type="dxa"/>
            <w:tcBorders>
              <w:top w:val="nil"/>
              <w:left w:val="nil"/>
              <w:bottom w:val="nil"/>
              <w:right w:val="nil"/>
            </w:tcBorders>
            <w:shd w:val="clear" w:color="auto" w:fill="auto"/>
            <w:noWrap/>
            <w:vAlign w:val="bottom"/>
            <w:hideMark/>
          </w:tcPr>
          <w:p w14:paraId="68DE303D"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2EED91F7"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Chloride (mg/l)</w:t>
            </w:r>
          </w:p>
        </w:tc>
        <w:tc>
          <w:tcPr>
            <w:tcW w:w="780" w:type="dxa"/>
            <w:tcBorders>
              <w:top w:val="nil"/>
              <w:left w:val="nil"/>
              <w:bottom w:val="single" w:sz="4" w:space="0" w:color="auto"/>
              <w:right w:val="single" w:sz="4" w:space="0" w:color="auto"/>
            </w:tcBorders>
            <w:shd w:val="clear" w:color="auto" w:fill="auto"/>
            <w:noWrap/>
            <w:vAlign w:val="bottom"/>
            <w:hideMark/>
          </w:tcPr>
          <w:p w14:paraId="6B058998"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0.414</w:t>
            </w:r>
          </w:p>
        </w:tc>
        <w:tc>
          <w:tcPr>
            <w:tcW w:w="780" w:type="dxa"/>
            <w:tcBorders>
              <w:top w:val="nil"/>
              <w:left w:val="nil"/>
              <w:bottom w:val="single" w:sz="4" w:space="0" w:color="auto"/>
              <w:right w:val="single" w:sz="4" w:space="0" w:color="auto"/>
            </w:tcBorders>
            <w:shd w:val="clear" w:color="auto" w:fill="auto"/>
            <w:noWrap/>
            <w:vAlign w:val="bottom"/>
            <w:hideMark/>
          </w:tcPr>
          <w:p w14:paraId="4E7C7664"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-0.074</w:t>
            </w:r>
          </w:p>
        </w:tc>
      </w:tr>
      <w:tr w:rsidR="003D3694" w:rsidRPr="00747E35" w14:paraId="43E5F74F"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2503CDB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Ecnomidae_indet_Ep</w:t>
            </w:r>
          </w:p>
        </w:tc>
        <w:tc>
          <w:tcPr>
            <w:tcW w:w="780" w:type="dxa"/>
            <w:tcBorders>
              <w:top w:val="nil"/>
              <w:left w:val="nil"/>
              <w:bottom w:val="single" w:sz="4" w:space="0" w:color="auto"/>
              <w:right w:val="single" w:sz="4" w:space="0" w:color="auto"/>
            </w:tcBorders>
            <w:shd w:val="clear" w:color="auto" w:fill="auto"/>
            <w:noWrap/>
            <w:vAlign w:val="bottom"/>
            <w:hideMark/>
          </w:tcPr>
          <w:p w14:paraId="1DF6A7FD"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-0.340</w:t>
            </w:r>
          </w:p>
        </w:tc>
        <w:tc>
          <w:tcPr>
            <w:tcW w:w="780" w:type="dxa"/>
            <w:tcBorders>
              <w:top w:val="nil"/>
              <w:left w:val="nil"/>
              <w:bottom w:val="single" w:sz="4" w:space="0" w:color="auto"/>
              <w:right w:val="single" w:sz="4" w:space="0" w:color="auto"/>
            </w:tcBorders>
            <w:shd w:val="clear" w:color="auto" w:fill="auto"/>
            <w:noWrap/>
            <w:vAlign w:val="bottom"/>
            <w:hideMark/>
          </w:tcPr>
          <w:p w14:paraId="1A976097"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-0.108</w:t>
            </w:r>
          </w:p>
        </w:tc>
        <w:tc>
          <w:tcPr>
            <w:tcW w:w="222" w:type="dxa"/>
            <w:tcBorders>
              <w:top w:val="nil"/>
              <w:left w:val="nil"/>
              <w:bottom w:val="nil"/>
              <w:right w:val="nil"/>
            </w:tcBorders>
            <w:shd w:val="clear" w:color="auto" w:fill="auto"/>
            <w:noWrap/>
            <w:vAlign w:val="bottom"/>
            <w:hideMark/>
          </w:tcPr>
          <w:p w14:paraId="3C6145DD"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7AC2144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Sulfate (mg/l</w:t>
            </w:r>
          </w:p>
        </w:tc>
        <w:tc>
          <w:tcPr>
            <w:tcW w:w="780" w:type="dxa"/>
            <w:tcBorders>
              <w:top w:val="nil"/>
              <w:left w:val="nil"/>
              <w:bottom w:val="single" w:sz="4" w:space="0" w:color="auto"/>
              <w:right w:val="single" w:sz="4" w:space="0" w:color="auto"/>
            </w:tcBorders>
            <w:shd w:val="clear" w:color="auto" w:fill="auto"/>
            <w:noWrap/>
            <w:vAlign w:val="bottom"/>
            <w:hideMark/>
          </w:tcPr>
          <w:p w14:paraId="02912F08"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-0.042</w:t>
            </w:r>
          </w:p>
        </w:tc>
        <w:tc>
          <w:tcPr>
            <w:tcW w:w="780" w:type="dxa"/>
            <w:tcBorders>
              <w:top w:val="nil"/>
              <w:left w:val="nil"/>
              <w:bottom w:val="single" w:sz="4" w:space="0" w:color="auto"/>
              <w:right w:val="single" w:sz="4" w:space="0" w:color="auto"/>
            </w:tcBorders>
            <w:shd w:val="clear" w:color="auto" w:fill="auto"/>
            <w:noWrap/>
            <w:vAlign w:val="bottom"/>
            <w:hideMark/>
          </w:tcPr>
          <w:p w14:paraId="16C5F8C9"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0.231</w:t>
            </w:r>
          </w:p>
        </w:tc>
      </w:tr>
      <w:tr w:rsidR="003D3694" w:rsidRPr="00747E35" w14:paraId="610D5B0D"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684D7CB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Trichoptera_indet._Ep</w:t>
            </w:r>
          </w:p>
        </w:tc>
        <w:tc>
          <w:tcPr>
            <w:tcW w:w="780" w:type="dxa"/>
            <w:tcBorders>
              <w:top w:val="nil"/>
              <w:left w:val="nil"/>
              <w:bottom w:val="single" w:sz="4" w:space="0" w:color="auto"/>
              <w:right w:val="single" w:sz="4" w:space="0" w:color="auto"/>
            </w:tcBorders>
            <w:shd w:val="clear" w:color="auto" w:fill="auto"/>
            <w:noWrap/>
            <w:vAlign w:val="bottom"/>
            <w:hideMark/>
          </w:tcPr>
          <w:p w14:paraId="7FB5A12F"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-0.097</w:t>
            </w:r>
          </w:p>
        </w:tc>
        <w:tc>
          <w:tcPr>
            <w:tcW w:w="780" w:type="dxa"/>
            <w:tcBorders>
              <w:top w:val="nil"/>
              <w:left w:val="nil"/>
              <w:bottom w:val="single" w:sz="4" w:space="0" w:color="auto"/>
              <w:right w:val="single" w:sz="4" w:space="0" w:color="auto"/>
            </w:tcBorders>
            <w:shd w:val="clear" w:color="auto" w:fill="auto"/>
            <w:noWrap/>
            <w:vAlign w:val="bottom"/>
            <w:hideMark/>
          </w:tcPr>
          <w:p w14:paraId="75F5972F"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-0.227</w:t>
            </w:r>
          </w:p>
        </w:tc>
        <w:tc>
          <w:tcPr>
            <w:tcW w:w="222" w:type="dxa"/>
            <w:tcBorders>
              <w:top w:val="nil"/>
              <w:left w:val="nil"/>
              <w:bottom w:val="nil"/>
              <w:right w:val="nil"/>
            </w:tcBorders>
            <w:shd w:val="clear" w:color="auto" w:fill="auto"/>
            <w:noWrap/>
            <w:vAlign w:val="bottom"/>
            <w:hideMark/>
          </w:tcPr>
          <w:p w14:paraId="69B5E3E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01F407A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Sqr(Ammonia (mg/l))</w:t>
            </w:r>
          </w:p>
        </w:tc>
        <w:tc>
          <w:tcPr>
            <w:tcW w:w="780" w:type="dxa"/>
            <w:tcBorders>
              <w:top w:val="nil"/>
              <w:left w:val="nil"/>
              <w:bottom w:val="single" w:sz="4" w:space="0" w:color="auto"/>
              <w:right w:val="single" w:sz="4" w:space="0" w:color="auto"/>
            </w:tcBorders>
            <w:shd w:val="clear" w:color="auto" w:fill="auto"/>
            <w:noWrap/>
            <w:vAlign w:val="bottom"/>
            <w:hideMark/>
          </w:tcPr>
          <w:p w14:paraId="09D768FE"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0.279</w:t>
            </w:r>
          </w:p>
        </w:tc>
        <w:tc>
          <w:tcPr>
            <w:tcW w:w="780" w:type="dxa"/>
            <w:tcBorders>
              <w:top w:val="nil"/>
              <w:left w:val="nil"/>
              <w:bottom w:val="single" w:sz="4" w:space="0" w:color="auto"/>
              <w:right w:val="single" w:sz="4" w:space="0" w:color="auto"/>
            </w:tcBorders>
            <w:shd w:val="clear" w:color="auto" w:fill="auto"/>
            <w:noWrap/>
            <w:vAlign w:val="bottom"/>
            <w:hideMark/>
          </w:tcPr>
          <w:p w14:paraId="27E39665"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-0.063</w:t>
            </w:r>
          </w:p>
        </w:tc>
      </w:tr>
      <w:tr w:rsidR="003D3694" w:rsidRPr="00747E35" w14:paraId="0A3FEA3F"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586ADF6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Tardigrada_Ep</w:t>
            </w:r>
          </w:p>
        </w:tc>
        <w:tc>
          <w:tcPr>
            <w:tcW w:w="780" w:type="dxa"/>
            <w:tcBorders>
              <w:top w:val="nil"/>
              <w:left w:val="nil"/>
              <w:bottom w:val="single" w:sz="4" w:space="0" w:color="auto"/>
              <w:right w:val="single" w:sz="4" w:space="0" w:color="auto"/>
            </w:tcBorders>
            <w:shd w:val="clear" w:color="auto" w:fill="auto"/>
            <w:noWrap/>
            <w:vAlign w:val="bottom"/>
            <w:hideMark/>
          </w:tcPr>
          <w:p w14:paraId="1709FE5D"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-0.134</w:t>
            </w:r>
          </w:p>
        </w:tc>
        <w:tc>
          <w:tcPr>
            <w:tcW w:w="780" w:type="dxa"/>
            <w:tcBorders>
              <w:top w:val="nil"/>
              <w:left w:val="nil"/>
              <w:bottom w:val="single" w:sz="4" w:space="0" w:color="auto"/>
              <w:right w:val="single" w:sz="4" w:space="0" w:color="auto"/>
            </w:tcBorders>
            <w:shd w:val="clear" w:color="auto" w:fill="auto"/>
            <w:noWrap/>
            <w:vAlign w:val="bottom"/>
            <w:hideMark/>
          </w:tcPr>
          <w:p w14:paraId="756FFE3D"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0.003</w:t>
            </w:r>
          </w:p>
        </w:tc>
        <w:tc>
          <w:tcPr>
            <w:tcW w:w="222" w:type="dxa"/>
            <w:tcBorders>
              <w:top w:val="nil"/>
              <w:left w:val="nil"/>
              <w:bottom w:val="nil"/>
              <w:right w:val="nil"/>
            </w:tcBorders>
            <w:shd w:val="clear" w:color="auto" w:fill="auto"/>
            <w:noWrap/>
            <w:vAlign w:val="bottom"/>
            <w:hideMark/>
          </w:tcPr>
          <w:p w14:paraId="64795CC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1EE9FB0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Si (mg/l)</w:t>
            </w:r>
          </w:p>
        </w:tc>
        <w:tc>
          <w:tcPr>
            <w:tcW w:w="780" w:type="dxa"/>
            <w:tcBorders>
              <w:top w:val="nil"/>
              <w:left w:val="nil"/>
              <w:bottom w:val="single" w:sz="4" w:space="0" w:color="auto"/>
              <w:right w:val="single" w:sz="4" w:space="0" w:color="auto"/>
            </w:tcBorders>
            <w:shd w:val="clear" w:color="auto" w:fill="auto"/>
            <w:noWrap/>
            <w:vAlign w:val="bottom"/>
            <w:hideMark/>
          </w:tcPr>
          <w:p w14:paraId="114F9A6E"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-0.141</w:t>
            </w:r>
          </w:p>
        </w:tc>
        <w:tc>
          <w:tcPr>
            <w:tcW w:w="780" w:type="dxa"/>
            <w:tcBorders>
              <w:top w:val="nil"/>
              <w:left w:val="nil"/>
              <w:bottom w:val="single" w:sz="4" w:space="0" w:color="auto"/>
              <w:right w:val="single" w:sz="4" w:space="0" w:color="auto"/>
            </w:tcBorders>
            <w:shd w:val="clear" w:color="auto" w:fill="auto"/>
            <w:noWrap/>
            <w:vAlign w:val="bottom"/>
            <w:hideMark/>
          </w:tcPr>
          <w:p w14:paraId="35E41680"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0.054</w:t>
            </w:r>
          </w:p>
        </w:tc>
      </w:tr>
      <w:tr w:rsidR="003D3694" w:rsidRPr="00747E35" w14:paraId="72D28AF3"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510A19C6"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Rotifer_indet._Ep</w:t>
            </w:r>
          </w:p>
        </w:tc>
        <w:tc>
          <w:tcPr>
            <w:tcW w:w="780" w:type="dxa"/>
            <w:tcBorders>
              <w:top w:val="nil"/>
              <w:left w:val="nil"/>
              <w:bottom w:val="single" w:sz="4" w:space="0" w:color="auto"/>
              <w:right w:val="single" w:sz="4" w:space="0" w:color="auto"/>
            </w:tcBorders>
            <w:shd w:val="clear" w:color="auto" w:fill="auto"/>
            <w:noWrap/>
            <w:vAlign w:val="bottom"/>
            <w:hideMark/>
          </w:tcPr>
          <w:p w14:paraId="0B8BA530"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-0.264</w:t>
            </w:r>
          </w:p>
        </w:tc>
        <w:tc>
          <w:tcPr>
            <w:tcW w:w="780" w:type="dxa"/>
            <w:tcBorders>
              <w:top w:val="nil"/>
              <w:left w:val="nil"/>
              <w:bottom w:val="single" w:sz="4" w:space="0" w:color="auto"/>
              <w:right w:val="single" w:sz="4" w:space="0" w:color="auto"/>
            </w:tcBorders>
            <w:shd w:val="clear" w:color="auto" w:fill="auto"/>
            <w:noWrap/>
            <w:vAlign w:val="bottom"/>
            <w:hideMark/>
          </w:tcPr>
          <w:p w14:paraId="074CD744"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0.224</w:t>
            </w:r>
          </w:p>
        </w:tc>
        <w:tc>
          <w:tcPr>
            <w:tcW w:w="222" w:type="dxa"/>
            <w:tcBorders>
              <w:top w:val="nil"/>
              <w:left w:val="nil"/>
              <w:bottom w:val="nil"/>
              <w:right w:val="nil"/>
            </w:tcBorders>
            <w:shd w:val="clear" w:color="auto" w:fill="auto"/>
            <w:noWrap/>
            <w:vAlign w:val="bottom"/>
            <w:hideMark/>
          </w:tcPr>
          <w:p w14:paraId="29EB015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379FB5A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Sqr(Fe (mg/l))</w:t>
            </w:r>
          </w:p>
        </w:tc>
        <w:tc>
          <w:tcPr>
            <w:tcW w:w="780" w:type="dxa"/>
            <w:tcBorders>
              <w:top w:val="nil"/>
              <w:left w:val="nil"/>
              <w:bottom w:val="single" w:sz="4" w:space="0" w:color="auto"/>
              <w:right w:val="single" w:sz="4" w:space="0" w:color="auto"/>
            </w:tcBorders>
            <w:shd w:val="clear" w:color="auto" w:fill="auto"/>
            <w:noWrap/>
            <w:vAlign w:val="bottom"/>
            <w:hideMark/>
          </w:tcPr>
          <w:p w14:paraId="0507DCD3"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0.262</w:t>
            </w:r>
          </w:p>
        </w:tc>
        <w:tc>
          <w:tcPr>
            <w:tcW w:w="780" w:type="dxa"/>
            <w:tcBorders>
              <w:top w:val="nil"/>
              <w:left w:val="nil"/>
              <w:bottom w:val="single" w:sz="4" w:space="0" w:color="auto"/>
              <w:right w:val="single" w:sz="4" w:space="0" w:color="auto"/>
            </w:tcBorders>
            <w:shd w:val="clear" w:color="auto" w:fill="auto"/>
            <w:noWrap/>
            <w:vAlign w:val="bottom"/>
            <w:hideMark/>
          </w:tcPr>
          <w:p w14:paraId="19AF3D62"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0.020</w:t>
            </w:r>
          </w:p>
        </w:tc>
      </w:tr>
      <w:tr w:rsidR="003D3694" w:rsidRPr="00747E35" w14:paraId="773D0656"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12298EE1"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Hydridae_indet_Ep</w:t>
            </w:r>
          </w:p>
        </w:tc>
        <w:tc>
          <w:tcPr>
            <w:tcW w:w="780" w:type="dxa"/>
            <w:tcBorders>
              <w:top w:val="nil"/>
              <w:left w:val="nil"/>
              <w:bottom w:val="single" w:sz="4" w:space="0" w:color="auto"/>
              <w:right w:val="single" w:sz="4" w:space="0" w:color="auto"/>
            </w:tcBorders>
            <w:shd w:val="clear" w:color="auto" w:fill="auto"/>
            <w:noWrap/>
            <w:vAlign w:val="bottom"/>
            <w:hideMark/>
          </w:tcPr>
          <w:p w14:paraId="5F5B184A"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-0.340</w:t>
            </w:r>
          </w:p>
        </w:tc>
        <w:tc>
          <w:tcPr>
            <w:tcW w:w="780" w:type="dxa"/>
            <w:tcBorders>
              <w:top w:val="nil"/>
              <w:left w:val="nil"/>
              <w:bottom w:val="single" w:sz="4" w:space="0" w:color="auto"/>
              <w:right w:val="single" w:sz="4" w:space="0" w:color="auto"/>
            </w:tcBorders>
            <w:shd w:val="clear" w:color="auto" w:fill="auto"/>
            <w:noWrap/>
            <w:vAlign w:val="bottom"/>
            <w:hideMark/>
          </w:tcPr>
          <w:p w14:paraId="44BFC4D2"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0.135</w:t>
            </w:r>
          </w:p>
        </w:tc>
        <w:tc>
          <w:tcPr>
            <w:tcW w:w="222" w:type="dxa"/>
            <w:tcBorders>
              <w:top w:val="nil"/>
              <w:left w:val="nil"/>
              <w:bottom w:val="nil"/>
              <w:right w:val="nil"/>
            </w:tcBorders>
            <w:shd w:val="clear" w:color="auto" w:fill="auto"/>
            <w:noWrap/>
            <w:vAlign w:val="bottom"/>
            <w:hideMark/>
          </w:tcPr>
          <w:p w14:paraId="0BEE826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580CB82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Sqr(Mn (mg/l))</w:t>
            </w:r>
          </w:p>
        </w:tc>
        <w:tc>
          <w:tcPr>
            <w:tcW w:w="780" w:type="dxa"/>
            <w:tcBorders>
              <w:top w:val="nil"/>
              <w:left w:val="nil"/>
              <w:bottom w:val="single" w:sz="4" w:space="0" w:color="auto"/>
              <w:right w:val="single" w:sz="4" w:space="0" w:color="auto"/>
            </w:tcBorders>
            <w:shd w:val="clear" w:color="auto" w:fill="auto"/>
            <w:noWrap/>
            <w:vAlign w:val="bottom"/>
            <w:hideMark/>
          </w:tcPr>
          <w:p w14:paraId="7B008B3F"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0.296</w:t>
            </w:r>
          </w:p>
        </w:tc>
        <w:tc>
          <w:tcPr>
            <w:tcW w:w="780" w:type="dxa"/>
            <w:tcBorders>
              <w:top w:val="nil"/>
              <w:left w:val="nil"/>
              <w:bottom w:val="single" w:sz="4" w:space="0" w:color="auto"/>
              <w:right w:val="single" w:sz="4" w:space="0" w:color="auto"/>
            </w:tcBorders>
            <w:shd w:val="clear" w:color="auto" w:fill="auto"/>
            <w:noWrap/>
            <w:vAlign w:val="bottom"/>
            <w:hideMark/>
          </w:tcPr>
          <w:p w14:paraId="5EEAF81B"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0.099</w:t>
            </w:r>
          </w:p>
        </w:tc>
      </w:tr>
      <w:tr w:rsidR="003D3694" w:rsidRPr="00747E35" w14:paraId="55F5E8BC"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7B290BF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Chydoridae_indet_Ep</w:t>
            </w:r>
          </w:p>
        </w:tc>
        <w:tc>
          <w:tcPr>
            <w:tcW w:w="780" w:type="dxa"/>
            <w:tcBorders>
              <w:top w:val="nil"/>
              <w:left w:val="nil"/>
              <w:bottom w:val="single" w:sz="4" w:space="0" w:color="auto"/>
              <w:right w:val="single" w:sz="4" w:space="0" w:color="auto"/>
            </w:tcBorders>
            <w:shd w:val="clear" w:color="auto" w:fill="auto"/>
            <w:noWrap/>
            <w:vAlign w:val="bottom"/>
            <w:hideMark/>
          </w:tcPr>
          <w:p w14:paraId="70BD3DAD"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-0.372</w:t>
            </w:r>
          </w:p>
        </w:tc>
        <w:tc>
          <w:tcPr>
            <w:tcW w:w="780" w:type="dxa"/>
            <w:tcBorders>
              <w:top w:val="nil"/>
              <w:left w:val="nil"/>
              <w:bottom w:val="single" w:sz="4" w:space="0" w:color="auto"/>
              <w:right w:val="single" w:sz="4" w:space="0" w:color="auto"/>
            </w:tcBorders>
            <w:shd w:val="clear" w:color="auto" w:fill="auto"/>
            <w:noWrap/>
            <w:vAlign w:val="bottom"/>
            <w:hideMark/>
          </w:tcPr>
          <w:p w14:paraId="26F3F72E"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0.000</w:t>
            </w:r>
          </w:p>
        </w:tc>
        <w:tc>
          <w:tcPr>
            <w:tcW w:w="222" w:type="dxa"/>
            <w:tcBorders>
              <w:top w:val="nil"/>
              <w:left w:val="nil"/>
              <w:bottom w:val="nil"/>
              <w:right w:val="nil"/>
            </w:tcBorders>
            <w:shd w:val="clear" w:color="auto" w:fill="auto"/>
            <w:noWrap/>
            <w:vAlign w:val="bottom"/>
            <w:hideMark/>
          </w:tcPr>
          <w:p w14:paraId="785E77C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5B24EAF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Sr (mg/l)</w:t>
            </w:r>
          </w:p>
        </w:tc>
        <w:tc>
          <w:tcPr>
            <w:tcW w:w="780" w:type="dxa"/>
            <w:tcBorders>
              <w:top w:val="nil"/>
              <w:left w:val="nil"/>
              <w:bottom w:val="single" w:sz="4" w:space="0" w:color="auto"/>
              <w:right w:val="single" w:sz="4" w:space="0" w:color="auto"/>
            </w:tcBorders>
            <w:shd w:val="clear" w:color="auto" w:fill="auto"/>
            <w:noWrap/>
            <w:vAlign w:val="bottom"/>
            <w:hideMark/>
          </w:tcPr>
          <w:p w14:paraId="3258285B"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0.266</w:t>
            </w:r>
          </w:p>
        </w:tc>
        <w:tc>
          <w:tcPr>
            <w:tcW w:w="780" w:type="dxa"/>
            <w:tcBorders>
              <w:top w:val="nil"/>
              <w:left w:val="nil"/>
              <w:bottom w:val="single" w:sz="4" w:space="0" w:color="auto"/>
              <w:right w:val="single" w:sz="4" w:space="0" w:color="auto"/>
            </w:tcBorders>
            <w:shd w:val="clear" w:color="auto" w:fill="auto"/>
            <w:noWrap/>
            <w:vAlign w:val="bottom"/>
            <w:hideMark/>
          </w:tcPr>
          <w:p w14:paraId="7B10FE3A"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-0.022</w:t>
            </w:r>
          </w:p>
        </w:tc>
      </w:tr>
      <w:tr w:rsidR="003D3694" w:rsidRPr="00747E35" w14:paraId="4C5DDF97"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55EE634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Branchiura_indet._Ep/P</w:t>
            </w:r>
          </w:p>
        </w:tc>
        <w:tc>
          <w:tcPr>
            <w:tcW w:w="780" w:type="dxa"/>
            <w:tcBorders>
              <w:top w:val="nil"/>
              <w:left w:val="nil"/>
              <w:bottom w:val="single" w:sz="4" w:space="0" w:color="auto"/>
              <w:right w:val="single" w:sz="4" w:space="0" w:color="auto"/>
            </w:tcBorders>
            <w:shd w:val="clear" w:color="auto" w:fill="auto"/>
            <w:noWrap/>
            <w:vAlign w:val="bottom"/>
            <w:hideMark/>
          </w:tcPr>
          <w:p w14:paraId="356301EB"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0.054</w:t>
            </w:r>
          </w:p>
        </w:tc>
        <w:tc>
          <w:tcPr>
            <w:tcW w:w="780" w:type="dxa"/>
            <w:tcBorders>
              <w:top w:val="nil"/>
              <w:left w:val="nil"/>
              <w:bottom w:val="single" w:sz="4" w:space="0" w:color="auto"/>
              <w:right w:val="single" w:sz="4" w:space="0" w:color="auto"/>
            </w:tcBorders>
            <w:shd w:val="clear" w:color="auto" w:fill="auto"/>
            <w:noWrap/>
            <w:vAlign w:val="bottom"/>
            <w:hideMark/>
          </w:tcPr>
          <w:p w14:paraId="324D6286"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0.025</w:t>
            </w:r>
          </w:p>
        </w:tc>
        <w:tc>
          <w:tcPr>
            <w:tcW w:w="222" w:type="dxa"/>
            <w:tcBorders>
              <w:top w:val="nil"/>
              <w:left w:val="nil"/>
              <w:bottom w:val="nil"/>
              <w:right w:val="nil"/>
            </w:tcBorders>
            <w:shd w:val="clear" w:color="auto" w:fill="auto"/>
            <w:noWrap/>
            <w:vAlign w:val="bottom"/>
            <w:hideMark/>
          </w:tcPr>
          <w:p w14:paraId="5DC97376"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145F6C5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Sqr(Al (ug/l))</w:t>
            </w:r>
          </w:p>
        </w:tc>
        <w:tc>
          <w:tcPr>
            <w:tcW w:w="780" w:type="dxa"/>
            <w:tcBorders>
              <w:top w:val="nil"/>
              <w:left w:val="nil"/>
              <w:bottom w:val="single" w:sz="4" w:space="0" w:color="auto"/>
              <w:right w:val="single" w:sz="4" w:space="0" w:color="auto"/>
            </w:tcBorders>
            <w:shd w:val="clear" w:color="auto" w:fill="auto"/>
            <w:noWrap/>
            <w:vAlign w:val="bottom"/>
            <w:hideMark/>
          </w:tcPr>
          <w:p w14:paraId="2BCBB306"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-0.084</w:t>
            </w:r>
          </w:p>
        </w:tc>
        <w:tc>
          <w:tcPr>
            <w:tcW w:w="780" w:type="dxa"/>
            <w:tcBorders>
              <w:top w:val="nil"/>
              <w:left w:val="nil"/>
              <w:bottom w:val="single" w:sz="4" w:space="0" w:color="auto"/>
              <w:right w:val="single" w:sz="4" w:space="0" w:color="auto"/>
            </w:tcBorders>
            <w:shd w:val="clear" w:color="auto" w:fill="auto"/>
            <w:noWrap/>
            <w:vAlign w:val="bottom"/>
            <w:hideMark/>
          </w:tcPr>
          <w:p w14:paraId="409FC539"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0.226</w:t>
            </w:r>
          </w:p>
        </w:tc>
      </w:tr>
      <w:tr w:rsidR="003D3694" w:rsidRPr="00747E35" w14:paraId="2BA94EB5"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4857936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780" w:type="dxa"/>
            <w:tcBorders>
              <w:top w:val="nil"/>
              <w:left w:val="nil"/>
              <w:bottom w:val="single" w:sz="4" w:space="0" w:color="auto"/>
              <w:right w:val="single" w:sz="4" w:space="0" w:color="auto"/>
            </w:tcBorders>
            <w:shd w:val="clear" w:color="auto" w:fill="auto"/>
            <w:noWrap/>
            <w:vAlign w:val="bottom"/>
            <w:hideMark/>
          </w:tcPr>
          <w:p w14:paraId="62BF81D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780" w:type="dxa"/>
            <w:tcBorders>
              <w:top w:val="nil"/>
              <w:left w:val="nil"/>
              <w:bottom w:val="single" w:sz="4" w:space="0" w:color="auto"/>
              <w:right w:val="single" w:sz="4" w:space="0" w:color="auto"/>
            </w:tcBorders>
            <w:shd w:val="clear" w:color="auto" w:fill="auto"/>
            <w:noWrap/>
            <w:vAlign w:val="bottom"/>
            <w:hideMark/>
          </w:tcPr>
          <w:p w14:paraId="67E49BE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222" w:type="dxa"/>
            <w:tcBorders>
              <w:top w:val="nil"/>
              <w:left w:val="nil"/>
              <w:bottom w:val="nil"/>
              <w:right w:val="nil"/>
            </w:tcBorders>
            <w:shd w:val="clear" w:color="auto" w:fill="auto"/>
            <w:noWrap/>
            <w:vAlign w:val="bottom"/>
            <w:hideMark/>
          </w:tcPr>
          <w:p w14:paraId="483E9AE1"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24C8840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Sqr(Cu (ug/l))</w:t>
            </w:r>
          </w:p>
        </w:tc>
        <w:tc>
          <w:tcPr>
            <w:tcW w:w="780" w:type="dxa"/>
            <w:tcBorders>
              <w:top w:val="nil"/>
              <w:left w:val="nil"/>
              <w:bottom w:val="single" w:sz="4" w:space="0" w:color="auto"/>
              <w:right w:val="single" w:sz="4" w:space="0" w:color="auto"/>
            </w:tcBorders>
            <w:shd w:val="clear" w:color="auto" w:fill="auto"/>
            <w:noWrap/>
            <w:vAlign w:val="bottom"/>
            <w:hideMark/>
          </w:tcPr>
          <w:p w14:paraId="3B7DD5AA"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-0.239</w:t>
            </w:r>
          </w:p>
        </w:tc>
        <w:tc>
          <w:tcPr>
            <w:tcW w:w="780" w:type="dxa"/>
            <w:tcBorders>
              <w:top w:val="nil"/>
              <w:left w:val="nil"/>
              <w:bottom w:val="single" w:sz="4" w:space="0" w:color="auto"/>
              <w:right w:val="single" w:sz="4" w:space="0" w:color="auto"/>
            </w:tcBorders>
            <w:shd w:val="clear" w:color="auto" w:fill="auto"/>
            <w:noWrap/>
            <w:vAlign w:val="bottom"/>
            <w:hideMark/>
          </w:tcPr>
          <w:p w14:paraId="657A9B6B"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-0.065</w:t>
            </w:r>
          </w:p>
        </w:tc>
      </w:tr>
      <w:tr w:rsidR="003D3694" w:rsidRPr="00747E35" w14:paraId="3A634568"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193D52BE" w14:textId="77777777" w:rsidR="003D3694" w:rsidRPr="00747E35" w:rsidRDefault="003D3694" w:rsidP="0096743A">
            <w:pPr>
              <w:autoSpaceDE/>
              <w:autoSpaceDN/>
              <w:spacing w:after="0"/>
              <w:rPr>
                <w:rFonts w:asciiTheme="minorHAnsi" w:eastAsia="Times New Roman" w:hAnsiTheme="minorHAnsi" w:cstheme="minorHAnsi"/>
                <w:bCs/>
                <w:i/>
                <w:iCs/>
                <w:color w:val="000000"/>
                <w:sz w:val="20"/>
                <w:szCs w:val="20"/>
                <w:lang w:eastAsia="en-AU"/>
              </w:rPr>
            </w:pPr>
            <w:r w:rsidRPr="00747E35">
              <w:rPr>
                <w:rFonts w:asciiTheme="minorHAnsi" w:eastAsia="Times New Roman" w:hAnsiTheme="minorHAnsi" w:cstheme="minorHAnsi"/>
                <w:bCs/>
                <w:i/>
                <w:iCs/>
                <w:color w:val="000000"/>
                <w:sz w:val="20"/>
                <w:szCs w:val="20"/>
                <w:lang w:eastAsia="en-AU"/>
              </w:rPr>
              <w:t>Univariate biotic indices</w:t>
            </w:r>
          </w:p>
        </w:tc>
        <w:tc>
          <w:tcPr>
            <w:tcW w:w="780" w:type="dxa"/>
            <w:tcBorders>
              <w:top w:val="nil"/>
              <w:left w:val="nil"/>
              <w:bottom w:val="single" w:sz="4" w:space="0" w:color="auto"/>
              <w:right w:val="single" w:sz="4" w:space="0" w:color="auto"/>
            </w:tcBorders>
            <w:shd w:val="clear" w:color="auto" w:fill="auto"/>
            <w:noWrap/>
            <w:vAlign w:val="bottom"/>
            <w:hideMark/>
          </w:tcPr>
          <w:p w14:paraId="609C067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780" w:type="dxa"/>
            <w:tcBorders>
              <w:top w:val="nil"/>
              <w:left w:val="nil"/>
              <w:bottom w:val="single" w:sz="4" w:space="0" w:color="auto"/>
              <w:right w:val="single" w:sz="4" w:space="0" w:color="auto"/>
            </w:tcBorders>
            <w:shd w:val="clear" w:color="auto" w:fill="auto"/>
            <w:noWrap/>
            <w:vAlign w:val="bottom"/>
            <w:hideMark/>
          </w:tcPr>
          <w:p w14:paraId="5CB0A2A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222" w:type="dxa"/>
            <w:tcBorders>
              <w:top w:val="nil"/>
              <w:left w:val="nil"/>
              <w:bottom w:val="nil"/>
              <w:right w:val="nil"/>
            </w:tcBorders>
            <w:shd w:val="clear" w:color="auto" w:fill="auto"/>
            <w:noWrap/>
            <w:vAlign w:val="bottom"/>
            <w:hideMark/>
          </w:tcPr>
          <w:p w14:paraId="7F5BB21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7BCBC74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Sqr(Zn (ug/l))</w:t>
            </w:r>
          </w:p>
        </w:tc>
        <w:tc>
          <w:tcPr>
            <w:tcW w:w="780" w:type="dxa"/>
            <w:tcBorders>
              <w:top w:val="nil"/>
              <w:left w:val="nil"/>
              <w:bottom w:val="single" w:sz="4" w:space="0" w:color="auto"/>
              <w:right w:val="single" w:sz="4" w:space="0" w:color="auto"/>
            </w:tcBorders>
            <w:shd w:val="clear" w:color="auto" w:fill="auto"/>
            <w:noWrap/>
            <w:vAlign w:val="bottom"/>
            <w:hideMark/>
          </w:tcPr>
          <w:p w14:paraId="53A93EDE"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0.120</w:t>
            </w:r>
          </w:p>
        </w:tc>
        <w:tc>
          <w:tcPr>
            <w:tcW w:w="780" w:type="dxa"/>
            <w:tcBorders>
              <w:top w:val="nil"/>
              <w:left w:val="nil"/>
              <w:bottom w:val="single" w:sz="4" w:space="0" w:color="auto"/>
              <w:right w:val="single" w:sz="4" w:space="0" w:color="auto"/>
            </w:tcBorders>
            <w:shd w:val="clear" w:color="auto" w:fill="auto"/>
            <w:noWrap/>
            <w:vAlign w:val="bottom"/>
            <w:hideMark/>
          </w:tcPr>
          <w:p w14:paraId="1EDDB486"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0.172</w:t>
            </w:r>
          </w:p>
        </w:tc>
      </w:tr>
      <w:tr w:rsidR="003D3694" w:rsidRPr="00747E35" w14:paraId="17DDCB74"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0D6A80A0"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Total richness</w:t>
            </w:r>
          </w:p>
        </w:tc>
        <w:tc>
          <w:tcPr>
            <w:tcW w:w="780" w:type="dxa"/>
            <w:tcBorders>
              <w:top w:val="nil"/>
              <w:left w:val="nil"/>
              <w:bottom w:val="single" w:sz="4" w:space="0" w:color="auto"/>
              <w:right w:val="single" w:sz="4" w:space="0" w:color="auto"/>
            </w:tcBorders>
            <w:shd w:val="clear" w:color="auto" w:fill="auto"/>
            <w:noWrap/>
            <w:vAlign w:val="bottom"/>
            <w:hideMark/>
          </w:tcPr>
          <w:p w14:paraId="49D5256F"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-0.885</w:t>
            </w:r>
          </w:p>
        </w:tc>
        <w:tc>
          <w:tcPr>
            <w:tcW w:w="780" w:type="dxa"/>
            <w:tcBorders>
              <w:top w:val="nil"/>
              <w:left w:val="nil"/>
              <w:bottom w:val="single" w:sz="4" w:space="0" w:color="auto"/>
              <w:right w:val="single" w:sz="4" w:space="0" w:color="auto"/>
            </w:tcBorders>
            <w:shd w:val="clear" w:color="auto" w:fill="auto"/>
            <w:noWrap/>
            <w:vAlign w:val="bottom"/>
            <w:hideMark/>
          </w:tcPr>
          <w:p w14:paraId="1109ECB8"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-0.248</w:t>
            </w:r>
          </w:p>
        </w:tc>
        <w:tc>
          <w:tcPr>
            <w:tcW w:w="222" w:type="dxa"/>
            <w:tcBorders>
              <w:top w:val="nil"/>
              <w:left w:val="nil"/>
              <w:bottom w:val="nil"/>
              <w:right w:val="nil"/>
            </w:tcBorders>
            <w:shd w:val="clear" w:color="auto" w:fill="auto"/>
            <w:noWrap/>
            <w:vAlign w:val="bottom"/>
            <w:hideMark/>
          </w:tcPr>
          <w:p w14:paraId="44CAF6B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3967498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Ba (ug/l)</w:t>
            </w:r>
          </w:p>
        </w:tc>
        <w:tc>
          <w:tcPr>
            <w:tcW w:w="780" w:type="dxa"/>
            <w:tcBorders>
              <w:top w:val="nil"/>
              <w:left w:val="nil"/>
              <w:bottom w:val="single" w:sz="4" w:space="0" w:color="auto"/>
              <w:right w:val="single" w:sz="4" w:space="0" w:color="auto"/>
            </w:tcBorders>
            <w:shd w:val="clear" w:color="auto" w:fill="auto"/>
            <w:noWrap/>
            <w:vAlign w:val="bottom"/>
            <w:hideMark/>
          </w:tcPr>
          <w:p w14:paraId="4A7BCC34"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0.151</w:t>
            </w:r>
          </w:p>
        </w:tc>
        <w:tc>
          <w:tcPr>
            <w:tcW w:w="780" w:type="dxa"/>
            <w:tcBorders>
              <w:top w:val="nil"/>
              <w:left w:val="nil"/>
              <w:bottom w:val="single" w:sz="4" w:space="0" w:color="auto"/>
              <w:right w:val="single" w:sz="4" w:space="0" w:color="auto"/>
            </w:tcBorders>
            <w:shd w:val="clear" w:color="auto" w:fill="auto"/>
            <w:noWrap/>
            <w:vAlign w:val="bottom"/>
            <w:hideMark/>
          </w:tcPr>
          <w:p w14:paraId="0A55C7C7"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0.017</w:t>
            </w:r>
          </w:p>
        </w:tc>
      </w:tr>
      <w:tr w:rsidR="003D3694" w:rsidRPr="00747E35" w14:paraId="34B0F691"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32D2D06C"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Sb/Sp richness</w:t>
            </w:r>
          </w:p>
        </w:tc>
        <w:tc>
          <w:tcPr>
            <w:tcW w:w="780" w:type="dxa"/>
            <w:tcBorders>
              <w:top w:val="nil"/>
              <w:left w:val="nil"/>
              <w:bottom w:val="single" w:sz="4" w:space="0" w:color="auto"/>
              <w:right w:val="single" w:sz="4" w:space="0" w:color="auto"/>
            </w:tcBorders>
            <w:shd w:val="clear" w:color="auto" w:fill="auto"/>
            <w:noWrap/>
            <w:vAlign w:val="bottom"/>
            <w:hideMark/>
          </w:tcPr>
          <w:p w14:paraId="5C928A50"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-0.732</w:t>
            </w:r>
          </w:p>
        </w:tc>
        <w:tc>
          <w:tcPr>
            <w:tcW w:w="780" w:type="dxa"/>
            <w:tcBorders>
              <w:top w:val="nil"/>
              <w:left w:val="nil"/>
              <w:bottom w:val="single" w:sz="4" w:space="0" w:color="auto"/>
              <w:right w:val="single" w:sz="4" w:space="0" w:color="auto"/>
            </w:tcBorders>
            <w:shd w:val="clear" w:color="auto" w:fill="auto"/>
            <w:noWrap/>
            <w:vAlign w:val="bottom"/>
            <w:hideMark/>
          </w:tcPr>
          <w:p w14:paraId="7CD0F90C"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-0.423</w:t>
            </w:r>
          </w:p>
        </w:tc>
        <w:tc>
          <w:tcPr>
            <w:tcW w:w="222" w:type="dxa"/>
            <w:tcBorders>
              <w:top w:val="nil"/>
              <w:left w:val="nil"/>
              <w:bottom w:val="nil"/>
              <w:right w:val="nil"/>
            </w:tcBorders>
            <w:shd w:val="clear" w:color="auto" w:fill="auto"/>
            <w:noWrap/>
            <w:vAlign w:val="bottom"/>
            <w:hideMark/>
          </w:tcPr>
          <w:p w14:paraId="77EF475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3190590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Sqr(Cr (ug/l))</w:t>
            </w:r>
          </w:p>
        </w:tc>
        <w:tc>
          <w:tcPr>
            <w:tcW w:w="780" w:type="dxa"/>
            <w:tcBorders>
              <w:top w:val="nil"/>
              <w:left w:val="nil"/>
              <w:bottom w:val="single" w:sz="4" w:space="0" w:color="auto"/>
              <w:right w:val="single" w:sz="4" w:space="0" w:color="auto"/>
            </w:tcBorders>
            <w:shd w:val="clear" w:color="auto" w:fill="auto"/>
            <w:noWrap/>
            <w:vAlign w:val="bottom"/>
            <w:hideMark/>
          </w:tcPr>
          <w:p w14:paraId="09B43099"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0.226</w:t>
            </w:r>
          </w:p>
        </w:tc>
        <w:tc>
          <w:tcPr>
            <w:tcW w:w="780" w:type="dxa"/>
            <w:tcBorders>
              <w:top w:val="nil"/>
              <w:left w:val="nil"/>
              <w:bottom w:val="single" w:sz="4" w:space="0" w:color="auto"/>
              <w:right w:val="single" w:sz="4" w:space="0" w:color="auto"/>
            </w:tcBorders>
            <w:shd w:val="clear" w:color="auto" w:fill="auto"/>
            <w:noWrap/>
            <w:vAlign w:val="bottom"/>
            <w:hideMark/>
          </w:tcPr>
          <w:p w14:paraId="60B902E5"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-0.092</w:t>
            </w:r>
          </w:p>
        </w:tc>
      </w:tr>
      <w:tr w:rsidR="003D3694" w:rsidRPr="00747E35" w14:paraId="2F3E7B05"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03EFD752"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Sx/Ep richness</w:t>
            </w:r>
          </w:p>
        </w:tc>
        <w:tc>
          <w:tcPr>
            <w:tcW w:w="780" w:type="dxa"/>
            <w:tcBorders>
              <w:top w:val="nil"/>
              <w:left w:val="nil"/>
              <w:bottom w:val="single" w:sz="4" w:space="0" w:color="auto"/>
              <w:right w:val="single" w:sz="4" w:space="0" w:color="auto"/>
            </w:tcBorders>
            <w:shd w:val="clear" w:color="auto" w:fill="auto"/>
            <w:noWrap/>
            <w:vAlign w:val="bottom"/>
            <w:hideMark/>
          </w:tcPr>
          <w:p w14:paraId="23241293"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-0.843</w:t>
            </w:r>
          </w:p>
        </w:tc>
        <w:tc>
          <w:tcPr>
            <w:tcW w:w="780" w:type="dxa"/>
            <w:tcBorders>
              <w:top w:val="nil"/>
              <w:left w:val="nil"/>
              <w:bottom w:val="single" w:sz="4" w:space="0" w:color="auto"/>
              <w:right w:val="single" w:sz="4" w:space="0" w:color="auto"/>
            </w:tcBorders>
            <w:shd w:val="clear" w:color="auto" w:fill="auto"/>
            <w:noWrap/>
            <w:vAlign w:val="bottom"/>
            <w:hideMark/>
          </w:tcPr>
          <w:p w14:paraId="39E94434"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-0.009</w:t>
            </w:r>
          </w:p>
        </w:tc>
        <w:tc>
          <w:tcPr>
            <w:tcW w:w="222" w:type="dxa"/>
            <w:tcBorders>
              <w:top w:val="nil"/>
              <w:left w:val="nil"/>
              <w:bottom w:val="nil"/>
              <w:right w:val="nil"/>
            </w:tcBorders>
            <w:shd w:val="clear" w:color="auto" w:fill="auto"/>
            <w:noWrap/>
            <w:vAlign w:val="bottom"/>
            <w:hideMark/>
          </w:tcPr>
          <w:p w14:paraId="44EA5E9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6E3B0584"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Sqr(Co (ug/l))</w:t>
            </w:r>
          </w:p>
        </w:tc>
        <w:tc>
          <w:tcPr>
            <w:tcW w:w="780" w:type="dxa"/>
            <w:tcBorders>
              <w:top w:val="nil"/>
              <w:left w:val="nil"/>
              <w:bottom w:val="single" w:sz="4" w:space="0" w:color="auto"/>
              <w:right w:val="single" w:sz="4" w:space="0" w:color="auto"/>
            </w:tcBorders>
            <w:shd w:val="clear" w:color="auto" w:fill="auto"/>
            <w:noWrap/>
            <w:vAlign w:val="bottom"/>
            <w:hideMark/>
          </w:tcPr>
          <w:p w14:paraId="694F8A2B"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0.415</w:t>
            </w:r>
          </w:p>
        </w:tc>
        <w:tc>
          <w:tcPr>
            <w:tcW w:w="780" w:type="dxa"/>
            <w:tcBorders>
              <w:top w:val="nil"/>
              <w:left w:val="nil"/>
              <w:bottom w:val="single" w:sz="4" w:space="0" w:color="auto"/>
              <w:right w:val="single" w:sz="4" w:space="0" w:color="auto"/>
            </w:tcBorders>
            <w:shd w:val="clear" w:color="auto" w:fill="auto"/>
            <w:noWrap/>
            <w:vAlign w:val="bottom"/>
            <w:hideMark/>
          </w:tcPr>
          <w:p w14:paraId="2B747F25"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0.051</w:t>
            </w:r>
          </w:p>
        </w:tc>
      </w:tr>
      <w:tr w:rsidR="003D3694" w:rsidRPr="00747E35" w14:paraId="2EC92EDC"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0B023AB9"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Total abundance</w:t>
            </w:r>
          </w:p>
        </w:tc>
        <w:tc>
          <w:tcPr>
            <w:tcW w:w="780" w:type="dxa"/>
            <w:tcBorders>
              <w:top w:val="nil"/>
              <w:left w:val="nil"/>
              <w:bottom w:val="single" w:sz="4" w:space="0" w:color="auto"/>
              <w:right w:val="single" w:sz="4" w:space="0" w:color="auto"/>
            </w:tcBorders>
            <w:shd w:val="clear" w:color="auto" w:fill="auto"/>
            <w:noWrap/>
            <w:vAlign w:val="bottom"/>
            <w:hideMark/>
          </w:tcPr>
          <w:p w14:paraId="6F937EC1"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-0.679</w:t>
            </w:r>
          </w:p>
        </w:tc>
        <w:tc>
          <w:tcPr>
            <w:tcW w:w="780" w:type="dxa"/>
            <w:tcBorders>
              <w:top w:val="nil"/>
              <w:left w:val="nil"/>
              <w:bottom w:val="single" w:sz="4" w:space="0" w:color="auto"/>
              <w:right w:val="single" w:sz="4" w:space="0" w:color="auto"/>
            </w:tcBorders>
            <w:shd w:val="clear" w:color="auto" w:fill="auto"/>
            <w:noWrap/>
            <w:vAlign w:val="bottom"/>
            <w:hideMark/>
          </w:tcPr>
          <w:p w14:paraId="0872B11F"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-0.089</w:t>
            </w:r>
          </w:p>
        </w:tc>
        <w:tc>
          <w:tcPr>
            <w:tcW w:w="222" w:type="dxa"/>
            <w:tcBorders>
              <w:top w:val="nil"/>
              <w:left w:val="nil"/>
              <w:bottom w:val="nil"/>
              <w:right w:val="nil"/>
            </w:tcBorders>
            <w:shd w:val="clear" w:color="auto" w:fill="auto"/>
            <w:noWrap/>
            <w:vAlign w:val="bottom"/>
            <w:hideMark/>
          </w:tcPr>
          <w:p w14:paraId="3301A13E"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60939D17"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Sqr(As (ug/l))</w:t>
            </w:r>
          </w:p>
        </w:tc>
        <w:tc>
          <w:tcPr>
            <w:tcW w:w="780" w:type="dxa"/>
            <w:tcBorders>
              <w:top w:val="nil"/>
              <w:left w:val="nil"/>
              <w:bottom w:val="single" w:sz="4" w:space="0" w:color="auto"/>
              <w:right w:val="single" w:sz="4" w:space="0" w:color="auto"/>
            </w:tcBorders>
            <w:shd w:val="clear" w:color="auto" w:fill="auto"/>
            <w:noWrap/>
            <w:vAlign w:val="bottom"/>
            <w:hideMark/>
          </w:tcPr>
          <w:p w14:paraId="19FE65D5"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0.449</w:t>
            </w:r>
          </w:p>
        </w:tc>
        <w:tc>
          <w:tcPr>
            <w:tcW w:w="780" w:type="dxa"/>
            <w:tcBorders>
              <w:top w:val="nil"/>
              <w:left w:val="nil"/>
              <w:bottom w:val="single" w:sz="4" w:space="0" w:color="auto"/>
              <w:right w:val="single" w:sz="4" w:space="0" w:color="auto"/>
            </w:tcBorders>
            <w:shd w:val="clear" w:color="auto" w:fill="auto"/>
            <w:noWrap/>
            <w:vAlign w:val="bottom"/>
            <w:hideMark/>
          </w:tcPr>
          <w:p w14:paraId="4F955420"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-0.240</w:t>
            </w:r>
          </w:p>
        </w:tc>
      </w:tr>
      <w:tr w:rsidR="003D3694" w:rsidRPr="00747E35" w14:paraId="0B70249E"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77178296"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Sb/Sp abundance</w:t>
            </w:r>
          </w:p>
        </w:tc>
        <w:tc>
          <w:tcPr>
            <w:tcW w:w="780" w:type="dxa"/>
            <w:tcBorders>
              <w:top w:val="nil"/>
              <w:left w:val="nil"/>
              <w:bottom w:val="single" w:sz="4" w:space="0" w:color="auto"/>
              <w:right w:val="single" w:sz="4" w:space="0" w:color="auto"/>
            </w:tcBorders>
            <w:shd w:val="clear" w:color="auto" w:fill="auto"/>
            <w:noWrap/>
            <w:vAlign w:val="bottom"/>
            <w:hideMark/>
          </w:tcPr>
          <w:p w14:paraId="5BF9BE6F"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-0.614</w:t>
            </w:r>
          </w:p>
        </w:tc>
        <w:tc>
          <w:tcPr>
            <w:tcW w:w="780" w:type="dxa"/>
            <w:tcBorders>
              <w:top w:val="nil"/>
              <w:left w:val="nil"/>
              <w:bottom w:val="single" w:sz="4" w:space="0" w:color="auto"/>
              <w:right w:val="single" w:sz="4" w:space="0" w:color="auto"/>
            </w:tcBorders>
            <w:shd w:val="clear" w:color="auto" w:fill="auto"/>
            <w:noWrap/>
            <w:vAlign w:val="bottom"/>
            <w:hideMark/>
          </w:tcPr>
          <w:p w14:paraId="170B919A"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-0.148</w:t>
            </w:r>
          </w:p>
        </w:tc>
        <w:tc>
          <w:tcPr>
            <w:tcW w:w="222" w:type="dxa"/>
            <w:tcBorders>
              <w:top w:val="nil"/>
              <w:left w:val="nil"/>
              <w:bottom w:val="nil"/>
              <w:right w:val="nil"/>
            </w:tcBorders>
            <w:shd w:val="clear" w:color="auto" w:fill="auto"/>
            <w:noWrap/>
            <w:vAlign w:val="bottom"/>
            <w:hideMark/>
          </w:tcPr>
          <w:p w14:paraId="31DD7C4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18F5F75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Fluoride (mg/l)</w:t>
            </w:r>
          </w:p>
        </w:tc>
        <w:tc>
          <w:tcPr>
            <w:tcW w:w="780" w:type="dxa"/>
            <w:tcBorders>
              <w:top w:val="nil"/>
              <w:left w:val="nil"/>
              <w:bottom w:val="single" w:sz="4" w:space="0" w:color="auto"/>
              <w:right w:val="single" w:sz="4" w:space="0" w:color="auto"/>
            </w:tcBorders>
            <w:shd w:val="clear" w:color="auto" w:fill="auto"/>
            <w:noWrap/>
            <w:vAlign w:val="bottom"/>
            <w:hideMark/>
          </w:tcPr>
          <w:p w14:paraId="2F1E2031"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0.030</w:t>
            </w:r>
          </w:p>
        </w:tc>
        <w:tc>
          <w:tcPr>
            <w:tcW w:w="780" w:type="dxa"/>
            <w:tcBorders>
              <w:top w:val="nil"/>
              <w:left w:val="nil"/>
              <w:bottom w:val="single" w:sz="4" w:space="0" w:color="auto"/>
              <w:right w:val="single" w:sz="4" w:space="0" w:color="auto"/>
            </w:tcBorders>
            <w:shd w:val="clear" w:color="auto" w:fill="auto"/>
            <w:noWrap/>
            <w:vAlign w:val="bottom"/>
            <w:hideMark/>
          </w:tcPr>
          <w:p w14:paraId="31C5C700"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-0.144</w:t>
            </w:r>
          </w:p>
        </w:tc>
      </w:tr>
      <w:tr w:rsidR="003D3694" w:rsidRPr="00747E35" w14:paraId="0791BD7D"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68397E2A"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Sx/Ep abundance</w:t>
            </w:r>
          </w:p>
        </w:tc>
        <w:tc>
          <w:tcPr>
            <w:tcW w:w="780" w:type="dxa"/>
            <w:tcBorders>
              <w:top w:val="nil"/>
              <w:left w:val="nil"/>
              <w:bottom w:val="single" w:sz="4" w:space="0" w:color="auto"/>
              <w:right w:val="single" w:sz="4" w:space="0" w:color="auto"/>
            </w:tcBorders>
            <w:shd w:val="clear" w:color="auto" w:fill="auto"/>
            <w:noWrap/>
            <w:vAlign w:val="bottom"/>
            <w:hideMark/>
          </w:tcPr>
          <w:p w14:paraId="00A9F704"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-0.700</w:t>
            </w:r>
          </w:p>
        </w:tc>
        <w:tc>
          <w:tcPr>
            <w:tcW w:w="780" w:type="dxa"/>
            <w:tcBorders>
              <w:top w:val="nil"/>
              <w:left w:val="nil"/>
              <w:bottom w:val="single" w:sz="4" w:space="0" w:color="auto"/>
              <w:right w:val="single" w:sz="4" w:space="0" w:color="auto"/>
            </w:tcBorders>
            <w:shd w:val="clear" w:color="auto" w:fill="auto"/>
            <w:noWrap/>
            <w:vAlign w:val="bottom"/>
            <w:hideMark/>
          </w:tcPr>
          <w:p w14:paraId="1375FB32"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0.153</w:t>
            </w:r>
          </w:p>
        </w:tc>
        <w:tc>
          <w:tcPr>
            <w:tcW w:w="222" w:type="dxa"/>
            <w:tcBorders>
              <w:top w:val="nil"/>
              <w:left w:val="nil"/>
              <w:bottom w:val="nil"/>
              <w:right w:val="nil"/>
            </w:tcBorders>
            <w:shd w:val="clear" w:color="auto" w:fill="auto"/>
            <w:noWrap/>
            <w:vAlign w:val="bottom"/>
            <w:hideMark/>
          </w:tcPr>
          <w:p w14:paraId="30325D1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single" w:sz="4" w:space="0" w:color="auto"/>
              <w:bottom w:val="single" w:sz="4" w:space="0" w:color="auto"/>
              <w:right w:val="single" w:sz="4" w:space="0" w:color="auto"/>
            </w:tcBorders>
            <w:shd w:val="clear" w:color="auto" w:fill="auto"/>
            <w:noWrap/>
            <w:vAlign w:val="bottom"/>
            <w:hideMark/>
          </w:tcPr>
          <w:p w14:paraId="172B36D5"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Bromide (mg/l)</w:t>
            </w:r>
          </w:p>
        </w:tc>
        <w:tc>
          <w:tcPr>
            <w:tcW w:w="780" w:type="dxa"/>
            <w:tcBorders>
              <w:top w:val="nil"/>
              <w:left w:val="nil"/>
              <w:bottom w:val="single" w:sz="4" w:space="0" w:color="auto"/>
              <w:right w:val="single" w:sz="4" w:space="0" w:color="auto"/>
            </w:tcBorders>
            <w:shd w:val="clear" w:color="auto" w:fill="auto"/>
            <w:noWrap/>
            <w:vAlign w:val="bottom"/>
            <w:hideMark/>
          </w:tcPr>
          <w:p w14:paraId="6FE34CED"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0.582</w:t>
            </w:r>
          </w:p>
        </w:tc>
        <w:tc>
          <w:tcPr>
            <w:tcW w:w="780" w:type="dxa"/>
            <w:tcBorders>
              <w:top w:val="nil"/>
              <w:left w:val="nil"/>
              <w:bottom w:val="single" w:sz="4" w:space="0" w:color="auto"/>
              <w:right w:val="single" w:sz="4" w:space="0" w:color="auto"/>
            </w:tcBorders>
            <w:shd w:val="clear" w:color="auto" w:fill="auto"/>
            <w:noWrap/>
            <w:vAlign w:val="bottom"/>
            <w:hideMark/>
          </w:tcPr>
          <w:p w14:paraId="7E0B037D"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-0.221</w:t>
            </w:r>
          </w:p>
        </w:tc>
      </w:tr>
      <w:tr w:rsidR="003D3694" w:rsidRPr="00747E35" w14:paraId="6AC43B18"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7D1F074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Sb/Sp richness ratio</w:t>
            </w:r>
          </w:p>
        </w:tc>
        <w:tc>
          <w:tcPr>
            <w:tcW w:w="780" w:type="dxa"/>
            <w:tcBorders>
              <w:top w:val="nil"/>
              <w:left w:val="nil"/>
              <w:bottom w:val="single" w:sz="4" w:space="0" w:color="auto"/>
              <w:right w:val="single" w:sz="4" w:space="0" w:color="auto"/>
            </w:tcBorders>
            <w:shd w:val="clear" w:color="auto" w:fill="auto"/>
            <w:noWrap/>
            <w:vAlign w:val="bottom"/>
            <w:hideMark/>
          </w:tcPr>
          <w:p w14:paraId="2A660DD9"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0.025</w:t>
            </w:r>
          </w:p>
        </w:tc>
        <w:tc>
          <w:tcPr>
            <w:tcW w:w="780" w:type="dxa"/>
            <w:tcBorders>
              <w:top w:val="nil"/>
              <w:left w:val="nil"/>
              <w:bottom w:val="single" w:sz="4" w:space="0" w:color="auto"/>
              <w:right w:val="single" w:sz="4" w:space="0" w:color="auto"/>
            </w:tcBorders>
            <w:shd w:val="clear" w:color="auto" w:fill="auto"/>
            <w:noWrap/>
            <w:vAlign w:val="bottom"/>
            <w:hideMark/>
          </w:tcPr>
          <w:p w14:paraId="282E1161" w14:textId="77777777" w:rsidR="003D3694" w:rsidRPr="00747E35" w:rsidRDefault="003D3694" w:rsidP="0096743A">
            <w:pPr>
              <w:autoSpaceDE/>
              <w:autoSpaceDN/>
              <w:spacing w:after="0"/>
              <w:jc w:val="right"/>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-0.344</w:t>
            </w:r>
          </w:p>
        </w:tc>
        <w:tc>
          <w:tcPr>
            <w:tcW w:w="222" w:type="dxa"/>
            <w:tcBorders>
              <w:top w:val="nil"/>
              <w:left w:val="nil"/>
              <w:bottom w:val="nil"/>
              <w:right w:val="nil"/>
            </w:tcBorders>
            <w:shd w:val="clear" w:color="auto" w:fill="auto"/>
            <w:noWrap/>
            <w:vAlign w:val="bottom"/>
            <w:hideMark/>
          </w:tcPr>
          <w:p w14:paraId="0A5D7E06"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nil"/>
              <w:bottom w:val="nil"/>
              <w:right w:val="nil"/>
            </w:tcBorders>
            <w:shd w:val="clear" w:color="auto" w:fill="auto"/>
            <w:noWrap/>
            <w:vAlign w:val="bottom"/>
            <w:hideMark/>
          </w:tcPr>
          <w:p w14:paraId="3FB8601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780" w:type="dxa"/>
            <w:tcBorders>
              <w:top w:val="nil"/>
              <w:left w:val="nil"/>
              <w:bottom w:val="nil"/>
              <w:right w:val="nil"/>
            </w:tcBorders>
            <w:shd w:val="clear" w:color="auto" w:fill="auto"/>
            <w:noWrap/>
            <w:vAlign w:val="bottom"/>
            <w:hideMark/>
          </w:tcPr>
          <w:p w14:paraId="1F4BC0EE"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780" w:type="dxa"/>
            <w:tcBorders>
              <w:top w:val="nil"/>
              <w:left w:val="nil"/>
              <w:bottom w:val="nil"/>
              <w:right w:val="nil"/>
            </w:tcBorders>
            <w:shd w:val="clear" w:color="auto" w:fill="auto"/>
            <w:noWrap/>
            <w:vAlign w:val="bottom"/>
            <w:hideMark/>
          </w:tcPr>
          <w:p w14:paraId="38352B2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r>
      <w:tr w:rsidR="003D3694" w:rsidRPr="00747E35" w14:paraId="7955C6B0"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051C0B12"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Sx/Ep richness ratio</w:t>
            </w:r>
          </w:p>
        </w:tc>
        <w:tc>
          <w:tcPr>
            <w:tcW w:w="780" w:type="dxa"/>
            <w:tcBorders>
              <w:top w:val="nil"/>
              <w:left w:val="nil"/>
              <w:bottom w:val="single" w:sz="4" w:space="0" w:color="auto"/>
              <w:right w:val="single" w:sz="4" w:space="0" w:color="auto"/>
            </w:tcBorders>
            <w:shd w:val="clear" w:color="auto" w:fill="auto"/>
            <w:noWrap/>
            <w:vAlign w:val="bottom"/>
            <w:hideMark/>
          </w:tcPr>
          <w:p w14:paraId="1FE1750D"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-0.600</w:t>
            </w:r>
          </w:p>
        </w:tc>
        <w:tc>
          <w:tcPr>
            <w:tcW w:w="780" w:type="dxa"/>
            <w:tcBorders>
              <w:top w:val="nil"/>
              <w:left w:val="nil"/>
              <w:bottom w:val="single" w:sz="4" w:space="0" w:color="auto"/>
              <w:right w:val="single" w:sz="4" w:space="0" w:color="auto"/>
            </w:tcBorders>
            <w:shd w:val="clear" w:color="auto" w:fill="auto"/>
            <w:noWrap/>
            <w:vAlign w:val="bottom"/>
            <w:hideMark/>
          </w:tcPr>
          <w:p w14:paraId="27544073"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0.325</w:t>
            </w:r>
          </w:p>
        </w:tc>
        <w:tc>
          <w:tcPr>
            <w:tcW w:w="222" w:type="dxa"/>
            <w:tcBorders>
              <w:top w:val="nil"/>
              <w:left w:val="nil"/>
              <w:bottom w:val="nil"/>
              <w:right w:val="nil"/>
            </w:tcBorders>
            <w:shd w:val="clear" w:color="auto" w:fill="auto"/>
            <w:noWrap/>
            <w:vAlign w:val="bottom"/>
            <w:hideMark/>
          </w:tcPr>
          <w:p w14:paraId="6639559D"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nil"/>
              <w:bottom w:val="nil"/>
              <w:right w:val="nil"/>
            </w:tcBorders>
            <w:shd w:val="clear" w:color="auto" w:fill="auto"/>
            <w:noWrap/>
            <w:vAlign w:val="bottom"/>
            <w:hideMark/>
          </w:tcPr>
          <w:p w14:paraId="4096601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780" w:type="dxa"/>
            <w:tcBorders>
              <w:top w:val="nil"/>
              <w:left w:val="nil"/>
              <w:bottom w:val="nil"/>
              <w:right w:val="nil"/>
            </w:tcBorders>
            <w:shd w:val="clear" w:color="auto" w:fill="auto"/>
            <w:noWrap/>
            <w:vAlign w:val="bottom"/>
            <w:hideMark/>
          </w:tcPr>
          <w:p w14:paraId="63F06BED"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780" w:type="dxa"/>
            <w:tcBorders>
              <w:top w:val="nil"/>
              <w:left w:val="nil"/>
              <w:bottom w:val="nil"/>
              <w:right w:val="nil"/>
            </w:tcBorders>
            <w:shd w:val="clear" w:color="auto" w:fill="auto"/>
            <w:noWrap/>
            <w:vAlign w:val="bottom"/>
            <w:hideMark/>
          </w:tcPr>
          <w:p w14:paraId="196957B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r>
      <w:tr w:rsidR="003D3694" w:rsidRPr="00747E35" w14:paraId="4CAD3BE5"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6AB44047"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Sb/Sp abundance ratio</w:t>
            </w:r>
          </w:p>
        </w:tc>
        <w:tc>
          <w:tcPr>
            <w:tcW w:w="780" w:type="dxa"/>
            <w:tcBorders>
              <w:top w:val="nil"/>
              <w:left w:val="nil"/>
              <w:bottom w:val="single" w:sz="4" w:space="0" w:color="auto"/>
              <w:right w:val="single" w:sz="4" w:space="0" w:color="auto"/>
            </w:tcBorders>
            <w:shd w:val="clear" w:color="auto" w:fill="auto"/>
            <w:noWrap/>
            <w:vAlign w:val="bottom"/>
            <w:hideMark/>
          </w:tcPr>
          <w:p w14:paraId="2012C4D4"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-0.190</w:t>
            </w:r>
          </w:p>
        </w:tc>
        <w:tc>
          <w:tcPr>
            <w:tcW w:w="780" w:type="dxa"/>
            <w:tcBorders>
              <w:top w:val="nil"/>
              <w:left w:val="nil"/>
              <w:bottom w:val="single" w:sz="4" w:space="0" w:color="auto"/>
              <w:right w:val="single" w:sz="4" w:space="0" w:color="auto"/>
            </w:tcBorders>
            <w:shd w:val="clear" w:color="auto" w:fill="auto"/>
            <w:noWrap/>
            <w:vAlign w:val="bottom"/>
            <w:hideMark/>
          </w:tcPr>
          <w:p w14:paraId="0B15B51D"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-0.410</w:t>
            </w:r>
          </w:p>
        </w:tc>
        <w:tc>
          <w:tcPr>
            <w:tcW w:w="222" w:type="dxa"/>
            <w:tcBorders>
              <w:top w:val="nil"/>
              <w:left w:val="nil"/>
              <w:bottom w:val="nil"/>
              <w:right w:val="nil"/>
            </w:tcBorders>
            <w:shd w:val="clear" w:color="auto" w:fill="auto"/>
            <w:noWrap/>
            <w:vAlign w:val="bottom"/>
            <w:hideMark/>
          </w:tcPr>
          <w:p w14:paraId="5AD1C09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nil"/>
              <w:bottom w:val="nil"/>
              <w:right w:val="nil"/>
            </w:tcBorders>
            <w:shd w:val="clear" w:color="auto" w:fill="auto"/>
            <w:noWrap/>
            <w:vAlign w:val="bottom"/>
            <w:hideMark/>
          </w:tcPr>
          <w:p w14:paraId="3BD5933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780" w:type="dxa"/>
            <w:tcBorders>
              <w:top w:val="nil"/>
              <w:left w:val="nil"/>
              <w:bottom w:val="nil"/>
              <w:right w:val="nil"/>
            </w:tcBorders>
            <w:shd w:val="clear" w:color="auto" w:fill="auto"/>
            <w:noWrap/>
            <w:vAlign w:val="bottom"/>
            <w:hideMark/>
          </w:tcPr>
          <w:p w14:paraId="0B7E116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780" w:type="dxa"/>
            <w:tcBorders>
              <w:top w:val="nil"/>
              <w:left w:val="nil"/>
              <w:bottom w:val="nil"/>
              <w:right w:val="nil"/>
            </w:tcBorders>
            <w:shd w:val="clear" w:color="auto" w:fill="auto"/>
            <w:noWrap/>
            <w:vAlign w:val="bottom"/>
            <w:hideMark/>
          </w:tcPr>
          <w:p w14:paraId="7E6D92F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r>
      <w:tr w:rsidR="003D3694" w:rsidRPr="00747E35" w14:paraId="5AD7CBCB" w14:textId="77777777" w:rsidTr="00793A29">
        <w:trPr>
          <w:trHeight w:val="276"/>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2CDF9264"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Sx/Ep abundance ratio</w:t>
            </w:r>
          </w:p>
        </w:tc>
        <w:tc>
          <w:tcPr>
            <w:tcW w:w="780" w:type="dxa"/>
            <w:tcBorders>
              <w:top w:val="nil"/>
              <w:left w:val="nil"/>
              <w:bottom w:val="single" w:sz="4" w:space="0" w:color="auto"/>
              <w:right w:val="single" w:sz="4" w:space="0" w:color="auto"/>
            </w:tcBorders>
            <w:shd w:val="clear" w:color="auto" w:fill="auto"/>
            <w:noWrap/>
            <w:vAlign w:val="bottom"/>
            <w:hideMark/>
          </w:tcPr>
          <w:p w14:paraId="17FFC3C6"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-0.319</w:t>
            </w:r>
          </w:p>
        </w:tc>
        <w:tc>
          <w:tcPr>
            <w:tcW w:w="780" w:type="dxa"/>
            <w:tcBorders>
              <w:top w:val="nil"/>
              <w:left w:val="nil"/>
              <w:bottom w:val="single" w:sz="4" w:space="0" w:color="auto"/>
              <w:right w:val="single" w:sz="4" w:space="0" w:color="auto"/>
            </w:tcBorders>
            <w:shd w:val="clear" w:color="auto" w:fill="auto"/>
            <w:noWrap/>
            <w:vAlign w:val="bottom"/>
            <w:hideMark/>
          </w:tcPr>
          <w:p w14:paraId="4A06344F" w14:textId="77777777" w:rsidR="003D3694" w:rsidRPr="00747E35" w:rsidRDefault="003D3694" w:rsidP="0096743A">
            <w:pPr>
              <w:autoSpaceDE/>
              <w:autoSpaceDN/>
              <w:spacing w:after="0"/>
              <w:jc w:val="right"/>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0.437</w:t>
            </w:r>
          </w:p>
        </w:tc>
        <w:tc>
          <w:tcPr>
            <w:tcW w:w="222" w:type="dxa"/>
            <w:tcBorders>
              <w:top w:val="nil"/>
              <w:left w:val="nil"/>
              <w:bottom w:val="nil"/>
              <w:right w:val="nil"/>
            </w:tcBorders>
            <w:shd w:val="clear" w:color="auto" w:fill="auto"/>
            <w:noWrap/>
            <w:vAlign w:val="bottom"/>
            <w:hideMark/>
          </w:tcPr>
          <w:p w14:paraId="6B11891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900" w:type="dxa"/>
            <w:tcBorders>
              <w:top w:val="nil"/>
              <w:left w:val="nil"/>
              <w:bottom w:val="nil"/>
              <w:right w:val="nil"/>
            </w:tcBorders>
            <w:shd w:val="clear" w:color="auto" w:fill="auto"/>
            <w:noWrap/>
            <w:vAlign w:val="bottom"/>
            <w:hideMark/>
          </w:tcPr>
          <w:p w14:paraId="1AC47798"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780" w:type="dxa"/>
            <w:tcBorders>
              <w:top w:val="nil"/>
              <w:left w:val="nil"/>
              <w:bottom w:val="nil"/>
              <w:right w:val="nil"/>
            </w:tcBorders>
            <w:shd w:val="clear" w:color="auto" w:fill="auto"/>
            <w:noWrap/>
            <w:vAlign w:val="bottom"/>
            <w:hideMark/>
          </w:tcPr>
          <w:p w14:paraId="7E2CC606"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780" w:type="dxa"/>
            <w:tcBorders>
              <w:top w:val="nil"/>
              <w:left w:val="nil"/>
              <w:bottom w:val="nil"/>
              <w:right w:val="nil"/>
            </w:tcBorders>
            <w:shd w:val="clear" w:color="auto" w:fill="auto"/>
            <w:noWrap/>
            <w:vAlign w:val="bottom"/>
            <w:hideMark/>
          </w:tcPr>
          <w:p w14:paraId="16B5E32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r>
    </w:tbl>
    <w:p w14:paraId="249E4D36" w14:textId="77777777" w:rsidR="00793A29" w:rsidRPr="00747E35" w:rsidRDefault="00793A29" w:rsidP="00793A29">
      <w:pPr>
        <w:rPr>
          <w:rFonts w:asciiTheme="minorHAnsi" w:hAnsiTheme="minorHAnsi" w:cstheme="minorHAnsi"/>
          <w:lang w:val="en-AU" w:eastAsia="en-US"/>
        </w:rPr>
      </w:pPr>
      <w:bookmarkStart w:id="487" w:name="_Ref469064489"/>
    </w:p>
    <w:bookmarkEnd w:id="487"/>
    <w:p w14:paraId="23B22448" w14:textId="12FE9D26" w:rsidR="003D3694" w:rsidRPr="00747E35" w:rsidRDefault="00793A29" w:rsidP="00793A29">
      <w:pPr>
        <w:pStyle w:val="Caption"/>
        <w:numPr>
          <w:ilvl w:val="0"/>
          <w:numId w:val="0"/>
        </w:numPr>
        <w:rPr>
          <w:rFonts w:cstheme="minorHAnsi"/>
          <w:noProof/>
        </w:rPr>
      </w:pPr>
      <w:r w:rsidRPr="00747E35">
        <w:rPr>
          <w:rFonts w:cstheme="minorHAnsi"/>
        </w:rPr>
        <w:lastRenderedPageBreak/>
        <w:t xml:space="preserve">Table </w:t>
      </w:r>
      <w:r w:rsidRPr="00747E35">
        <w:rPr>
          <w:rFonts w:cstheme="minorHAnsi"/>
        </w:rPr>
        <w:fldChar w:fldCharType="begin"/>
      </w:r>
      <w:r w:rsidRPr="00747E35">
        <w:rPr>
          <w:rFonts w:cstheme="minorHAnsi"/>
        </w:rPr>
        <w:instrText xml:space="preserve"> SEQ Table \* ARABIC </w:instrText>
      </w:r>
      <w:r w:rsidRPr="00747E35">
        <w:rPr>
          <w:rFonts w:cstheme="minorHAnsi"/>
        </w:rPr>
        <w:fldChar w:fldCharType="separate"/>
      </w:r>
      <w:r w:rsidR="00D023DD">
        <w:rPr>
          <w:rFonts w:cstheme="minorHAnsi"/>
          <w:noProof/>
        </w:rPr>
        <w:t>53</w:t>
      </w:r>
      <w:r w:rsidRPr="00747E35">
        <w:rPr>
          <w:rFonts w:cstheme="minorHAnsi"/>
        </w:rPr>
        <w:fldChar w:fldCharType="end"/>
      </w:r>
      <w:r w:rsidR="003D3694" w:rsidRPr="00747E35">
        <w:rPr>
          <w:rFonts w:cstheme="minorHAnsi"/>
        </w:rPr>
        <w:t xml:space="preserve">: Maules Catchment hyporheic zone Pearson correlations of each invertebrate taxon, univariate biotic indices and environmental variable with non-metric multidimensional scaling (nMDS) axes MDS1 and MDS2. Variables with Pearson r &gt; 0.4 are in bold. Abbreviations: ‘Sqr’ = square root transformation. Refer to 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54</w:t>
      </w:r>
      <w:r w:rsidR="009D6600" w:rsidRPr="00747E35">
        <w:rPr>
          <w:rFonts w:cstheme="minorHAnsi"/>
          <w:noProof/>
        </w:rPr>
        <w:fldChar w:fldCharType="end"/>
      </w:r>
      <w:r w:rsidR="003D3694" w:rsidRPr="00747E35">
        <w:rPr>
          <w:rFonts w:cstheme="minorHAnsi"/>
          <w:noProof/>
        </w:rPr>
        <w:t xml:space="preserve"> and </w:t>
      </w:r>
      <w:r w:rsidR="003D3694" w:rsidRPr="00747E35">
        <w:rPr>
          <w:rFonts w:cstheme="minorHAnsi"/>
        </w:rPr>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55</w:t>
      </w:r>
      <w:r w:rsidR="009D6600" w:rsidRPr="00747E35">
        <w:rPr>
          <w:rFonts w:cstheme="minorHAnsi"/>
          <w:noProof/>
        </w:rPr>
        <w:fldChar w:fldCharType="end"/>
      </w:r>
      <w:r w:rsidR="003D3694" w:rsidRPr="00747E35">
        <w:rPr>
          <w:rFonts w:cstheme="minorHAnsi"/>
          <w:noProof/>
        </w:rPr>
        <w:t xml:space="preserve"> for all other abbreviations.</w:t>
      </w:r>
    </w:p>
    <w:tbl>
      <w:tblPr>
        <w:tblW w:w="0" w:type="auto"/>
        <w:tblInd w:w="93" w:type="dxa"/>
        <w:tblLook w:val="04A0" w:firstRow="1" w:lastRow="0" w:firstColumn="1" w:lastColumn="0" w:noHBand="0" w:noVBand="1"/>
      </w:tblPr>
      <w:tblGrid>
        <w:gridCol w:w="3619"/>
        <w:gridCol w:w="732"/>
        <w:gridCol w:w="735"/>
        <w:gridCol w:w="222"/>
        <w:gridCol w:w="2757"/>
        <w:gridCol w:w="735"/>
        <w:gridCol w:w="735"/>
      </w:tblGrid>
      <w:tr w:rsidR="003D3694" w:rsidRPr="00747E35" w14:paraId="1883EB3F" w14:textId="77777777" w:rsidTr="00551FB9">
        <w:trPr>
          <w:trHeight w:val="276"/>
          <w:tblHeader/>
        </w:trPr>
        <w:tc>
          <w:tcPr>
            <w:tcW w:w="0" w:type="auto"/>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bottom"/>
            <w:hideMark/>
          </w:tcPr>
          <w:p w14:paraId="0426A977"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bookmarkStart w:id="488" w:name="_Ref467125798"/>
            <w:r w:rsidRPr="00747E35">
              <w:rPr>
                <w:rFonts w:asciiTheme="minorHAnsi" w:eastAsia="Times New Roman" w:hAnsiTheme="minorHAnsi" w:cstheme="minorHAnsi"/>
                <w:b/>
                <w:color w:val="000000"/>
                <w:sz w:val="20"/>
                <w:szCs w:val="20"/>
                <w:lang w:eastAsia="en-AU"/>
              </w:rPr>
              <w:t>Variable</w:t>
            </w:r>
          </w:p>
        </w:tc>
        <w:tc>
          <w:tcPr>
            <w:tcW w:w="0" w:type="auto"/>
            <w:tcBorders>
              <w:top w:val="single" w:sz="4" w:space="0" w:color="auto"/>
              <w:left w:val="nil"/>
              <w:bottom w:val="single" w:sz="4" w:space="0" w:color="auto"/>
              <w:right w:val="single" w:sz="4" w:space="0" w:color="auto"/>
            </w:tcBorders>
            <w:shd w:val="clear" w:color="auto" w:fill="DEEAF6" w:themeFill="accent1" w:themeFillTint="33"/>
            <w:noWrap/>
            <w:vAlign w:val="bottom"/>
            <w:hideMark/>
          </w:tcPr>
          <w:p w14:paraId="5A3FDC66"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MDS1</w:t>
            </w:r>
          </w:p>
        </w:tc>
        <w:tc>
          <w:tcPr>
            <w:tcW w:w="0" w:type="auto"/>
            <w:tcBorders>
              <w:top w:val="single" w:sz="4" w:space="0" w:color="auto"/>
              <w:left w:val="nil"/>
              <w:bottom w:val="single" w:sz="4" w:space="0" w:color="auto"/>
              <w:right w:val="single" w:sz="4" w:space="0" w:color="auto"/>
            </w:tcBorders>
            <w:shd w:val="clear" w:color="auto" w:fill="DEEAF6" w:themeFill="accent1" w:themeFillTint="33"/>
            <w:noWrap/>
            <w:vAlign w:val="bottom"/>
            <w:hideMark/>
          </w:tcPr>
          <w:p w14:paraId="5EF7084C"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MDS2</w:t>
            </w:r>
          </w:p>
        </w:tc>
        <w:tc>
          <w:tcPr>
            <w:tcW w:w="0" w:type="auto"/>
            <w:tcBorders>
              <w:top w:val="nil"/>
              <w:left w:val="nil"/>
              <w:bottom w:val="nil"/>
              <w:right w:val="nil"/>
            </w:tcBorders>
            <w:shd w:val="clear" w:color="auto" w:fill="auto"/>
            <w:noWrap/>
            <w:vAlign w:val="bottom"/>
            <w:hideMark/>
          </w:tcPr>
          <w:p w14:paraId="4606443E"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bottom"/>
            <w:hideMark/>
          </w:tcPr>
          <w:p w14:paraId="7974E94B"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Variable</w:t>
            </w:r>
          </w:p>
        </w:tc>
        <w:tc>
          <w:tcPr>
            <w:tcW w:w="0" w:type="auto"/>
            <w:tcBorders>
              <w:top w:val="single" w:sz="4" w:space="0" w:color="auto"/>
              <w:left w:val="nil"/>
              <w:bottom w:val="single" w:sz="4" w:space="0" w:color="auto"/>
              <w:right w:val="single" w:sz="4" w:space="0" w:color="auto"/>
            </w:tcBorders>
            <w:shd w:val="clear" w:color="auto" w:fill="DEEAF6" w:themeFill="accent1" w:themeFillTint="33"/>
            <w:noWrap/>
            <w:vAlign w:val="bottom"/>
            <w:hideMark/>
          </w:tcPr>
          <w:p w14:paraId="1526DC3B"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MDS1</w:t>
            </w:r>
          </w:p>
        </w:tc>
        <w:tc>
          <w:tcPr>
            <w:tcW w:w="0" w:type="auto"/>
            <w:tcBorders>
              <w:top w:val="single" w:sz="4" w:space="0" w:color="auto"/>
              <w:left w:val="nil"/>
              <w:bottom w:val="single" w:sz="4" w:space="0" w:color="auto"/>
              <w:right w:val="single" w:sz="4" w:space="0" w:color="auto"/>
            </w:tcBorders>
            <w:shd w:val="clear" w:color="auto" w:fill="DEEAF6" w:themeFill="accent1" w:themeFillTint="33"/>
            <w:noWrap/>
            <w:vAlign w:val="bottom"/>
            <w:hideMark/>
          </w:tcPr>
          <w:p w14:paraId="0EDB9230"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MDS2</w:t>
            </w:r>
          </w:p>
        </w:tc>
      </w:tr>
      <w:tr w:rsidR="003D3694" w:rsidRPr="00747E35" w14:paraId="662B797E"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7E47F05" w14:textId="77777777" w:rsidR="003D3694" w:rsidRPr="00747E35" w:rsidRDefault="003D3694" w:rsidP="0096743A">
            <w:pPr>
              <w:autoSpaceDE/>
              <w:autoSpaceDN/>
              <w:spacing w:after="0"/>
              <w:rPr>
                <w:rFonts w:asciiTheme="minorHAnsi" w:eastAsia="Times New Roman" w:hAnsiTheme="minorHAnsi" w:cstheme="minorHAnsi"/>
                <w:bCs/>
                <w:i/>
                <w:iCs/>
                <w:color w:val="000000"/>
                <w:sz w:val="20"/>
                <w:szCs w:val="20"/>
                <w:lang w:eastAsia="en-AU"/>
              </w:rPr>
            </w:pPr>
            <w:r w:rsidRPr="00747E35">
              <w:rPr>
                <w:rFonts w:asciiTheme="minorHAnsi" w:eastAsia="Times New Roman" w:hAnsiTheme="minorHAnsi" w:cstheme="minorHAnsi"/>
                <w:bCs/>
                <w:i/>
                <w:iCs/>
                <w:color w:val="000000"/>
                <w:sz w:val="20"/>
                <w:szCs w:val="20"/>
                <w:lang w:eastAsia="en-AU"/>
              </w:rPr>
              <w:t>Taxa</w:t>
            </w:r>
          </w:p>
        </w:tc>
        <w:tc>
          <w:tcPr>
            <w:tcW w:w="0" w:type="auto"/>
            <w:tcBorders>
              <w:top w:val="nil"/>
              <w:left w:val="nil"/>
              <w:bottom w:val="single" w:sz="4" w:space="0" w:color="auto"/>
              <w:right w:val="single" w:sz="4" w:space="0" w:color="auto"/>
            </w:tcBorders>
            <w:shd w:val="clear" w:color="auto" w:fill="auto"/>
            <w:noWrap/>
            <w:vAlign w:val="bottom"/>
            <w:hideMark/>
          </w:tcPr>
          <w:p w14:paraId="33E99FF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4AA5C3D"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0" w:type="auto"/>
            <w:tcBorders>
              <w:top w:val="nil"/>
              <w:left w:val="nil"/>
              <w:bottom w:val="nil"/>
              <w:right w:val="nil"/>
            </w:tcBorders>
            <w:shd w:val="clear" w:color="auto" w:fill="auto"/>
            <w:noWrap/>
            <w:vAlign w:val="bottom"/>
            <w:hideMark/>
          </w:tcPr>
          <w:p w14:paraId="36A148A8"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6D2D38" w14:textId="77777777" w:rsidR="003D3694" w:rsidRPr="00747E35" w:rsidRDefault="003D3694" w:rsidP="0096743A">
            <w:pPr>
              <w:autoSpaceDE/>
              <w:autoSpaceDN/>
              <w:spacing w:after="0"/>
              <w:rPr>
                <w:rFonts w:asciiTheme="minorHAnsi" w:eastAsia="Times New Roman" w:hAnsiTheme="minorHAnsi" w:cstheme="minorHAnsi"/>
                <w:bCs/>
                <w:i/>
                <w:iCs/>
                <w:color w:val="000000"/>
                <w:sz w:val="20"/>
                <w:szCs w:val="20"/>
                <w:lang w:eastAsia="en-AU"/>
              </w:rPr>
            </w:pPr>
            <w:r w:rsidRPr="00747E35">
              <w:rPr>
                <w:rFonts w:asciiTheme="minorHAnsi" w:eastAsia="Times New Roman" w:hAnsiTheme="minorHAnsi" w:cstheme="minorHAnsi"/>
                <w:bCs/>
                <w:i/>
                <w:iCs/>
                <w:color w:val="000000"/>
                <w:sz w:val="20"/>
                <w:szCs w:val="20"/>
                <w:lang w:eastAsia="en-AU"/>
              </w:rPr>
              <w:t>Hydraulic gradient &amp; sediments</w:t>
            </w:r>
          </w:p>
        </w:tc>
        <w:tc>
          <w:tcPr>
            <w:tcW w:w="0" w:type="auto"/>
            <w:tcBorders>
              <w:top w:val="nil"/>
              <w:left w:val="nil"/>
              <w:bottom w:val="single" w:sz="4" w:space="0" w:color="auto"/>
              <w:right w:val="single" w:sz="4" w:space="0" w:color="auto"/>
            </w:tcBorders>
            <w:shd w:val="clear" w:color="auto" w:fill="auto"/>
            <w:noWrap/>
            <w:vAlign w:val="bottom"/>
            <w:hideMark/>
          </w:tcPr>
          <w:p w14:paraId="4B6CB58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47CE35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r>
      <w:tr w:rsidR="003D3694" w:rsidRPr="00747E35" w14:paraId="2F1C035D"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CE0C9A4"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Neoniphargidae_MC_Sb</w:t>
            </w:r>
          </w:p>
        </w:tc>
        <w:tc>
          <w:tcPr>
            <w:tcW w:w="0" w:type="auto"/>
            <w:tcBorders>
              <w:top w:val="nil"/>
              <w:left w:val="nil"/>
              <w:bottom w:val="single" w:sz="4" w:space="0" w:color="auto"/>
              <w:right w:val="single" w:sz="4" w:space="0" w:color="auto"/>
            </w:tcBorders>
            <w:shd w:val="clear" w:color="auto" w:fill="auto"/>
            <w:noWrap/>
            <w:vAlign w:val="bottom"/>
            <w:hideMark/>
          </w:tcPr>
          <w:p w14:paraId="46A45D83"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0.428</w:t>
            </w:r>
          </w:p>
        </w:tc>
        <w:tc>
          <w:tcPr>
            <w:tcW w:w="0" w:type="auto"/>
            <w:tcBorders>
              <w:top w:val="nil"/>
              <w:left w:val="nil"/>
              <w:bottom w:val="single" w:sz="4" w:space="0" w:color="auto"/>
              <w:right w:val="single" w:sz="4" w:space="0" w:color="auto"/>
            </w:tcBorders>
            <w:shd w:val="clear" w:color="auto" w:fill="auto"/>
            <w:noWrap/>
            <w:vAlign w:val="bottom"/>
            <w:hideMark/>
          </w:tcPr>
          <w:p w14:paraId="2AA448A0"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-0.186</w:t>
            </w:r>
          </w:p>
        </w:tc>
        <w:tc>
          <w:tcPr>
            <w:tcW w:w="0" w:type="auto"/>
            <w:tcBorders>
              <w:top w:val="nil"/>
              <w:left w:val="nil"/>
              <w:bottom w:val="nil"/>
              <w:right w:val="nil"/>
            </w:tcBorders>
            <w:shd w:val="clear" w:color="auto" w:fill="auto"/>
            <w:noWrap/>
            <w:vAlign w:val="bottom"/>
            <w:hideMark/>
          </w:tcPr>
          <w:p w14:paraId="7B82FA6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ACCA71E" w14:textId="77777777" w:rsidR="003D3694" w:rsidRPr="00747E35" w:rsidRDefault="003D3694" w:rsidP="0096743A">
            <w:pPr>
              <w:autoSpaceDE/>
              <w:autoSpaceDN/>
              <w:spacing w:after="0"/>
              <w:rPr>
                <w:rFonts w:asciiTheme="minorHAnsi" w:eastAsia="Times New Roman" w:hAnsiTheme="minorHAnsi" w:cstheme="minorHAnsi"/>
                <w:bCs/>
                <w:sz w:val="20"/>
                <w:szCs w:val="20"/>
                <w:lang w:eastAsia="en-AU"/>
              </w:rPr>
            </w:pPr>
            <w:r w:rsidRPr="00747E35">
              <w:rPr>
                <w:rFonts w:asciiTheme="minorHAnsi" w:eastAsia="Times New Roman" w:hAnsiTheme="minorHAnsi" w:cstheme="minorHAnsi"/>
                <w:bCs/>
                <w:sz w:val="20"/>
                <w:szCs w:val="20"/>
                <w:lang w:eastAsia="en-AU"/>
              </w:rPr>
              <w:t>VHH norm.</w:t>
            </w:r>
          </w:p>
        </w:tc>
        <w:tc>
          <w:tcPr>
            <w:tcW w:w="0" w:type="auto"/>
            <w:tcBorders>
              <w:top w:val="nil"/>
              <w:left w:val="nil"/>
              <w:bottom w:val="single" w:sz="4" w:space="0" w:color="auto"/>
              <w:right w:val="single" w:sz="4" w:space="0" w:color="auto"/>
            </w:tcBorders>
            <w:shd w:val="clear" w:color="auto" w:fill="auto"/>
            <w:noWrap/>
            <w:vAlign w:val="bottom"/>
            <w:hideMark/>
          </w:tcPr>
          <w:p w14:paraId="48340D2E"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0.328</w:t>
            </w:r>
          </w:p>
        </w:tc>
        <w:tc>
          <w:tcPr>
            <w:tcW w:w="0" w:type="auto"/>
            <w:tcBorders>
              <w:top w:val="nil"/>
              <w:left w:val="nil"/>
              <w:bottom w:val="single" w:sz="4" w:space="0" w:color="auto"/>
              <w:right w:val="single" w:sz="4" w:space="0" w:color="auto"/>
            </w:tcBorders>
            <w:shd w:val="clear" w:color="auto" w:fill="auto"/>
            <w:noWrap/>
            <w:vAlign w:val="bottom"/>
            <w:hideMark/>
          </w:tcPr>
          <w:p w14:paraId="0FEA6B1D"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0.060</w:t>
            </w:r>
          </w:p>
        </w:tc>
      </w:tr>
      <w:tr w:rsidR="003D3694" w:rsidRPr="00747E35" w14:paraId="1BDED59C"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0B9D9BB"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Psammaspididae_indet._Sb</w:t>
            </w:r>
          </w:p>
        </w:tc>
        <w:tc>
          <w:tcPr>
            <w:tcW w:w="0" w:type="auto"/>
            <w:tcBorders>
              <w:top w:val="nil"/>
              <w:left w:val="nil"/>
              <w:bottom w:val="single" w:sz="4" w:space="0" w:color="auto"/>
              <w:right w:val="single" w:sz="4" w:space="0" w:color="auto"/>
            </w:tcBorders>
            <w:shd w:val="clear" w:color="auto" w:fill="auto"/>
            <w:noWrap/>
            <w:vAlign w:val="bottom"/>
            <w:hideMark/>
          </w:tcPr>
          <w:p w14:paraId="54E2B7B2"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0.382</w:t>
            </w:r>
          </w:p>
        </w:tc>
        <w:tc>
          <w:tcPr>
            <w:tcW w:w="0" w:type="auto"/>
            <w:tcBorders>
              <w:top w:val="nil"/>
              <w:left w:val="nil"/>
              <w:bottom w:val="single" w:sz="4" w:space="0" w:color="auto"/>
              <w:right w:val="single" w:sz="4" w:space="0" w:color="auto"/>
            </w:tcBorders>
            <w:shd w:val="clear" w:color="auto" w:fill="auto"/>
            <w:noWrap/>
            <w:vAlign w:val="bottom"/>
            <w:hideMark/>
          </w:tcPr>
          <w:p w14:paraId="18ADFC8F"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-0.209</w:t>
            </w:r>
          </w:p>
        </w:tc>
        <w:tc>
          <w:tcPr>
            <w:tcW w:w="0" w:type="auto"/>
            <w:tcBorders>
              <w:top w:val="nil"/>
              <w:left w:val="nil"/>
              <w:bottom w:val="nil"/>
              <w:right w:val="nil"/>
            </w:tcBorders>
            <w:shd w:val="clear" w:color="auto" w:fill="auto"/>
            <w:noWrap/>
            <w:vAlign w:val="bottom"/>
            <w:hideMark/>
          </w:tcPr>
          <w:p w14:paraId="65BECC1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3A7AB60" w14:textId="77777777" w:rsidR="003D3694" w:rsidRPr="00747E35" w:rsidRDefault="003D3694" w:rsidP="0096743A">
            <w:pPr>
              <w:autoSpaceDE/>
              <w:autoSpaceDN/>
              <w:spacing w:after="0"/>
              <w:rPr>
                <w:rFonts w:asciiTheme="minorHAnsi" w:eastAsia="Times New Roman" w:hAnsiTheme="minorHAnsi" w:cstheme="minorHAnsi"/>
                <w:bCs/>
                <w:sz w:val="20"/>
                <w:szCs w:val="20"/>
                <w:lang w:eastAsia="en-AU"/>
              </w:rPr>
            </w:pPr>
            <w:r w:rsidRPr="00747E35">
              <w:rPr>
                <w:rFonts w:asciiTheme="minorHAnsi" w:eastAsia="Times New Roman" w:hAnsiTheme="minorHAnsi" w:cstheme="minorHAnsi"/>
                <w:bCs/>
                <w:sz w:val="20"/>
                <w:szCs w:val="20"/>
                <w:lang w:eastAsia="en-AU"/>
              </w:rPr>
              <w:t>Fine Sed.</w:t>
            </w:r>
          </w:p>
        </w:tc>
        <w:tc>
          <w:tcPr>
            <w:tcW w:w="0" w:type="auto"/>
            <w:tcBorders>
              <w:top w:val="nil"/>
              <w:left w:val="nil"/>
              <w:bottom w:val="single" w:sz="4" w:space="0" w:color="auto"/>
              <w:right w:val="single" w:sz="4" w:space="0" w:color="auto"/>
            </w:tcBorders>
            <w:shd w:val="clear" w:color="auto" w:fill="auto"/>
            <w:noWrap/>
            <w:vAlign w:val="bottom"/>
            <w:hideMark/>
          </w:tcPr>
          <w:p w14:paraId="32665DBD"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0.124</w:t>
            </w:r>
          </w:p>
        </w:tc>
        <w:tc>
          <w:tcPr>
            <w:tcW w:w="0" w:type="auto"/>
            <w:tcBorders>
              <w:top w:val="nil"/>
              <w:left w:val="nil"/>
              <w:bottom w:val="single" w:sz="4" w:space="0" w:color="auto"/>
              <w:right w:val="single" w:sz="4" w:space="0" w:color="auto"/>
            </w:tcBorders>
            <w:shd w:val="clear" w:color="auto" w:fill="auto"/>
            <w:noWrap/>
            <w:vAlign w:val="bottom"/>
            <w:hideMark/>
          </w:tcPr>
          <w:p w14:paraId="1C26E9A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-0.119</w:t>
            </w:r>
          </w:p>
        </w:tc>
      </w:tr>
      <w:tr w:rsidR="003D3694" w:rsidRPr="00747E35" w14:paraId="19C00110"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EB573A6"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Bathynellidae_indet._Sb</w:t>
            </w:r>
          </w:p>
        </w:tc>
        <w:tc>
          <w:tcPr>
            <w:tcW w:w="0" w:type="auto"/>
            <w:tcBorders>
              <w:top w:val="nil"/>
              <w:left w:val="nil"/>
              <w:bottom w:val="single" w:sz="4" w:space="0" w:color="auto"/>
              <w:right w:val="single" w:sz="4" w:space="0" w:color="auto"/>
            </w:tcBorders>
            <w:shd w:val="clear" w:color="auto" w:fill="auto"/>
            <w:noWrap/>
            <w:vAlign w:val="bottom"/>
            <w:hideMark/>
          </w:tcPr>
          <w:p w14:paraId="22228711"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0.124</w:t>
            </w:r>
          </w:p>
        </w:tc>
        <w:tc>
          <w:tcPr>
            <w:tcW w:w="0" w:type="auto"/>
            <w:tcBorders>
              <w:top w:val="nil"/>
              <w:left w:val="nil"/>
              <w:bottom w:val="single" w:sz="4" w:space="0" w:color="auto"/>
              <w:right w:val="single" w:sz="4" w:space="0" w:color="auto"/>
            </w:tcBorders>
            <w:shd w:val="clear" w:color="auto" w:fill="auto"/>
            <w:noWrap/>
            <w:vAlign w:val="bottom"/>
            <w:hideMark/>
          </w:tcPr>
          <w:p w14:paraId="21A44FE6"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0.003</w:t>
            </w:r>
          </w:p>
        </w:tc>
        <w:tc>
          <w:tcPr>
            <w:tcW w:w="0" w:type="auto"/>
            <w:tcBorders>
              <w:top w:val="nil"/>
              <w:left w:val="nil"/>
              <w:bottom w:val="nil"/>
              <w:right w:val="nil"/>
            </w:tcBorders>
            <w:shd w:val="clear" w:color="auto" w:fill="auto"/>
            <w:noWrap/>
            <w:vAlign w:val="bottom"/>
            <w:hideMark/>
          </w:tcPr>
          <w:p w14:paraId="3799F14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7CA6958" w14:textId="77777777" w:rsidR="003D3694" w:rsidRPr="00747E35" w:rsidRDefault="003D3694" w:rsidP="0096743A">
            <w:pPr>
              <w:autoSpaceDE/>
              <w:autoSpaceDN/>
              <w:spacing w:after="0"/>
              <w:rPr>
                <w:rFonts w:asciiTheme="minorHAnsi" w:eastAsia="Times New Roman" w:hAnsiTheme="minorHAnsi" w:cstheme="minorHAnsi"/>
                <w:bCs/>
                <w:sz w:val="20"/>
                <w:szCs w:val="20"/>
                <w:lang w:eastAsia="en-AU"/>
              </w:rPr>
            </w:pPr>
            <w:r w:rsidRPr="00747E35">
              <w:rPr>
                <w:rFonts w:asciiTheme="minorHAnsi" w:eastAsia="Times New Roman" w:hAnsiTheme="minorHAnsi" w:cstheme="minorHAnsi"/>
                <w:bCs/>
                <w:sz w:val="20"/>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1B38170F"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51D955DE"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r>
      <w:tr w:rsidR="003D3694" w:rsidRPr="00747E35" w14:paraId="253C499B"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5F58D5D"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Bathynellidae_sp 1_Sb</w:t>
            </w:r>
          </w:p>
        </w:tc>
        <w:tc>
          <w:tcPr>
            <w:tcW w:w="0" w:type="auto"/>
            <w:tcBorders>
              <w:top w:val="nil"/>
              <w:left w:val="nil"/>
              <w:bottom w:val="single" w:sz="4" w:space="0" w:color="auto"/>
              <w:right w:val="single" w:sz="4" w:space="0" w:color="auto"/>
            </w:tcBorders>
            <w:shd w:val="clear" w:color="auto" w:fill="auto"/>
            <w:noWrap/>
            <w:vAlign w:val="bottom"/>
            <w:hideMark/>
          </w:tcPr>
          <w:p w14:paraId="683D1EB8"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0.121</w:t>
            </w:r>
          </w:p>
        </w:tc>
        <w:tc>
          <w:tcPr>
            <w:tcW w:w="0" w:type="auto"/>
            <w:tcBorders>
              <w:top w:val="nil"/>
              <w:left w:val="nil"/>
              <w:bottom w:val="single" w:sz="4" w:space="0" w:color="auto"/>
              <w:right w:val="single" w:sz="4" w:space="0" w:color="auto"/>
            </w:tcBorders>
            <w:shd w:val="clear" w:color="auto" w:fill="auto"/>
            <w:noWrap/>
            <w:vAlign w:val="bottom"/>
            <w:hideMark/>
          </w:tcPr>
          <w:p w14:paraId="0BD07574"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-0.433</w:t>
            </w:r>
          </w:p>
        </w:tc>
        <w:tc>
          <w:tcPr>
            <w:tcW w:w="0" w:type="auto"/>
            <w:tcBorders>
              <w:top w:val="nil"/>
              <w:left w:val="nil"/>
              <w:bottom w:val="nil"/>
              <w:right w:val="nil"/>
            </w:tcBorders>
            <w:shd w:val="clear" w:color="auto" w:fill="auto"/>
            <w:noWrap/>
            <w:vAlign w:val="bottom"/>
            <w:hideMark/>
          </w:tcPr>
          <w:p w14:paraId="5736993D"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A1988B" w14:textId="77777777" w:rsidR="003D3694" w:rsidRPr="00747E35" w:rsidRDefault="003D3694" w:rsidP="0096743A">
            <w:pPr>
              <w:autoSpaceDE/>
              <w:autoSpaceDN/>
              <w:spacing w:after="0"/>
              <w:rPr>
                <w:rFonts w:asciiTheme="minorHAnsi" w:eastAsia="Times New Roman" w:hAnsiTheme="minorHAnsi" w:cstheme="minorHAnsi"/>
                <w:bCs/>
                <w:i/>
                <w:iCs/>
                <w:color w:val="000000"/>
                <w:sz w:val="20"/>
                <w:szCs w:val="20"/>
                <w:lang w:eastAsia="en-AU"/>
              </w:rPr>
            </w:pPr>
            <w:r w:rsidRPr="00747E35">
              <w:rPr>
                <w:rFonts w:asciiTheme="minorHAnsi" w:eastAsia="Times New Roman" w:hAnsiTheme="minorHAnsi" w:cstheme="minorHAnsi"/>
                <w:bCs/>
                <w:i/>
                <w:iCs/>
                <w:color w:val="000000"/>
                <w:sz w:val="20"/>
                <w:szCs w:val="20"/>
                <w:lang w:eastAsia="en-AU"/>
              </w:rPr>
              <w:t>Hydrochemistry</w:t>
            </w:r>
          </w:p>
        </w:tc>
        <w:tc>
          <w:tcPr>
            <w:tcW w:w="0" w:type="auto"/>
            <w:tcBorders>
              <w:top w:val="nil"/>
              <w:left w:val="nil"/>
              <w:bottom w:val="single" w:sz="4" w:space="0" w:color="auto"/>
              <w:right w:val="single" w:sz="4" w:space="0" w:color="auto"/>
            </w:tcBorders>
            <w:shd w:val="clear" w:color="auto" w:fill="auto"/>
            <w:noWrap/>
            <w:vAlign w:val="bottom"/>
            <w:hideMark/>
          </w:tcPr>
          <w:p w14:paraId="2665EF1B"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2F9293C9"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 </w:t>
            </w:r>
          </w:p>
        </w:tc>
      </w:tr>
      <w:tr w:rsidR="003D3694" w:rsidRPr="00747E35" w14:paraId="7D9A13D3"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4E0930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Parabathynellidae_sp 1_Sb</w:t>
            </w:r>
          </w:p>
        </w:tc>
        <w:tc>
          <w:tcPr>
            <w:tcW w:w="0" w:type="auto"/>
            <w:tcBorders>
              <w:top w:val="nil"/>
              <w:left w:val="nil"/>
              <w:bottom w:val="single" w:sz="4" w:space="0" w:color="auto"/>
              <w:right w:val="single" w:sz="4" w:space="0" w:color="auto"/>
            </w:tcBorders>
            <w:shd w:val="clear" w:color="auto" w:fill="auto"/>
            <w:noWrap/>
            <w:vAlign w:val="bottom"/>
            <w:hideMark/>
          </w:tcPr>
          <w:p w14:paraId="06746316"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0.105</w:t>
            </w:r>
          </w:p>
        </w:tc>
        <w:tc>
          <w:tcPr>
            <w:tcW w:w="0" w:type="auto"/>
            <w:tcBorders>
              <w:top w:val="nil"/>
              <w:left w:val="nil"/>
              <w:bottom w:val="single" w:sz="4" w:space="0" w:color="auto"/>
              <w:right w:val="single" w:sz="4" w:space="0" w:color="auto"/>
            </w:tcBorders>
            <w:shd w:val="clear" w:color="auto" w:fill="auto"/>
            <w:noWrap/>
            <w:vAlign w:val="bottom"/>
            <w:hideMark/>
          </w:tcPr>
          <w:p w14:paraId="3A09EEAD"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-0.060</w:t>
            </w:r>
          </w:p>
        </w:tc>
        <w:tc>
          <w:tcPr>
            <w:tcW w:w="0" w:type="auto"/>
            <w:tcBorders>
              <w:top w:val="nil"/>
              <w:left w:val="nil"/>
              <w:bottom w:val="nil"/>
              <w:right w:val="nil"/>
            </w:tcBorders>
            <w:shd w:val="clear" w:color="auto" w:fill="auto"/>
            <w:noWrap/>
            <w:vAlign w:val="bottom"/>
            <w:hideMark/>
          </w:tcPr>
          <w:p w14:paraId="2A1638B8"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8AA477" w14:textId="77777777" w:rsidR="003D3694" w:rsidRPr="00747E35" w:rsidRDefault="003D3694" w:rsidP="0096743A">
            <w:pPr>
              <w:autoSpaceDE/>
              <w:autoSpaceDN/>
              <w:spacing w:after="0"/>
              <w:rPr>
                <w:rFonts w:asciiTheme="minorHAnsi" w:eastAsia="Times New Roman" w:hAnsiTheme="minorHAnsi" w:cstheme="minorHAnsi"/>
                <w:bCs/>
                <w:sz w:val="20"/>
                <w:szCs w:val="20"/>
                <w:lang w:eastAsia="en-AU"/>
              </w:rPr>
            </w:pPr>
            <w:r w:rsidRPr="00747E35">
              <w:rPr>
                <w:rFonts w:asciiTheme="minorHAnsi" w:eastAsia="Times New Roman" w:hAnsiTheme="minorHAnsi" w:cstheme="minorHAnsi"/>
                <w:bCs/>
                <w:sz w:val="20"/>
                <w:szCs w:val="20"/>
                <w:lang w:eastAsia="en-AU"/>
              </w:rPr>
              <w:t>Temp</w:t>
            </w:r>
          </w:p>
        </w:tc>
        <w:tc>
          <w:tcPr>
            <w:tcW w:w="0" w:type="auto"/>
            <w:tcBorders>
              <w:top w:val="nil"/>
              <w:left w:val="nil"/>
              <w:bottom w:val="single" w:sz="4" w:space="0" w:color="auto"/>
              <w:right w:val="single" w:sz="4" w:space="0" w:color="auto"/>
            </w:tcBorders>
            <w:shd w:val="clear" w:color="auto" w:fill="auto"/>
            <w:noWrap/>
            <w:vAlign w:val="bottom"/>
            <w:hideMark/>
          </w:tcPr>
          <w:p w14:paraId="2ED436DC"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-0.364</w:t>
            </w:r>
          </w:p>
        </w:tc>
        <w:tc>
          <w:tcPr>
            <w:tcW w:w="0" w:type="auto"/>
            <w:tcBorders>
              <w:top w:val="nil"/>
              <w:left w:val="nil"/>
              <w:bottom w:val="single" w:sz="4" w:space="0" w:color="auto"/>
              <w:right w:val="single" w:sz="4" w:space="0" w:color="auto"/>
            </w:tcBorders>
            <w:shd w:val="clear" w:color="auto" w:fill="auto"/>
            <w:noWrap/>
            <w:vAlign w:val="bottom"/>
            <w:hideMark/>
          </w:tcPr>
          <w:p w14:paraId="1E49504B"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0.096</w:t>
            </w:r>
          </w:p>
        </w:tc>
      </w:tr>
      <w:tr w:rsidR="003D3694" w:rsidRPr="00747E35" w14:paraId="1FFCCB4E"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AF789E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Janiridae_indet. NSW Sb_Sb</w:t>
            </w:r>
          </w:p>
        </w:tc>
        <w:tc>
          <w:tcPr>
            <w:tcW w:w="0" w:type="auto"/>
            <w:tcBorders>
              <w:top w:val="nil"/>
              <w:left w:val="nil"/>
              <w:bottom w:val="single" w:sz="4" w:space="0" w:color="auto"/>
              <w:right w:val="single" w:sz="4" w:space="0" w:color="auto"/>
            </w:tcBorders>
            <w:shd w:val="clear" w:color="auto" w:fill="auto"/>
            <w:noWrap/>
            <w:vAlign w:val="bottom"/>
            <w:hideMark/>
          </w:tcPr>
          <w:p w14:paraId="25722D53"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0.328</w:t>
            </w:r>
          </w:p>
        </w:tc>
        <w:tc>
          <w:tcPr>
            <w:tcW w:w="0" w:type="auto"/>
            <w:tcBorders>
              <w:top w:val="nil"/>
              <w:left w:val="nil"/>
              <w:bottom w:val="single" w:sz="4" w:space="0" w:color="auto"/>
              <w:right w:val="single" w:sz="4" w:space="0" w:color="auto"/>
            </w:tcBorders>
            <w:shd w:val="clear" w:color="auto" w:fill="auto"/>
            <w:noWrap/>
            <w:vAlign w:val="bottom"/>
            <w:hideMark/>
          </w:tcPr>
          <w:p w14:paraId="28418ACB"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-0.076</w:t>
            </w:r>
          </w:p>
        </w:tc>
        <w:tc>
          <w:tcPr>
            <w:tcW w:w="0" w:type="auto"/>
            <w:tcBorders>
              <w:top w:val="nil"/>
              <w:left w:val="nil"/>
              <w:bottom w:val="nil"/>
              <w:right w:val="nil"/>
            </w:tcBorders>
            <w:shd w:val="clear" w:color="auto" w:fill="auto"/>
            <w:noWrap/>
            <w:vAlign w:val="bottom"/>
            <w:hideMark/>
          </w:tcPr>
          <w:p w14:paraId="757645B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55D719E"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EC (µS/cm)</w:t>
            </w:r>
          </w:p>
        </w:tc>
        <w:tc>
          <w:tcPr>
            <w:tcW w:w="0" w:type="auto"/>
            <w:tcBorders>
              <w:top w:val="nil"/>
              <w:left w:val="nil"/>
              <w:bottom w:val="single" w:sz="4" w:space="0" w:color="auto"/>
              <w:right w:val="single" w:sz="4" w:space="0" w:color="auto"/>
            </w:tcBorders>
            <w:shd w:val="clear" w:color="auto" w:fill="auto"/>
            <w:noWrap/>
            <w:vAlign w:val="bottom"/>
            <w:hideMark/>
          </w:tcPr>
          <w:p w14:paraId="7CDCA937"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-0.598</w:t>
            </w:r>
          </w:p>
        </w:tc>
        <w:tc>
          <w:tcPr>
            <w:tcW w:w="0" w:type="auto"/>
            <w:tcBorders>
              <w:top w:val="nil"/>
              <w:left w:val="nil"/>
              <w:bottom w:val="single" w:sz="4" w:space="0" w:color="auto"/>
              <w:right w:val="single" w:sz="4" w:space="0" w:color="auto"/>
            </w:tcBorders>
            <w:shd w:val="clear" w:color="auto" w:fill="auto"/>
            <w:noWrap/>
            <w:vAlign w:val="bottom"/>
            <w:hideMark/>
          </w:tcPr>
          <w:p w14:paraId="3854959F"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-0.421</w:t>
            </w:r>
          </w:p>
        </w:tc>
      </w:tr>
      <w:tr w:rsidR="003D3694" w:rsidRPr="00747E35" w14:paraId="23ED242C"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010414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Phreatoicidae_indet. Sb</w:t>
            </w:r>
          </w:p>
        </w:tc>
        <w:tc>
          <w:tcPr>
            <w:tcW w:w="0" w:type="auto"/>
            <w:tcBorders>
              <w:top w:val="nil"/>
              <w:left w:val="nil"/>
              <w:bottom w:val="single" w:sz="4" w:space="0" w:color="auto"/>
              <w:right w:val="single" w:sz="4" w:space="0" w:color="auto"/>
            </w:tcBorders>
            <w:shd w:val="clear" w:color="auto" w:fill="auto"/>
            <w:noWrap/>
            <w:vAlign w:val="bottom"/>
            <w:hideMark/>
          </w:tcPr>
          <w:p w14:paraId="4AA64299"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0.073</w:t>
            </w:r>
          </w:p>
        </w:tc>
        <w:tc>
          <w:tcPr>
            <w:tcW w:w="0" w:type="auto"/>
            <w:tcBorders>
              <w:top w:val="nil"/>
              <w:left w:val="nil"/>
              <w:bottom w:val="single" w:sz="4" w:space="0" w:color="auto"/>
              <w:right w:val="single" w:sz="4" w:space="0" w:color="auto"/>
            </w:tcBorders>
            <w:shd w:val="clear" w:color="auto" w:fill="auto"/>
            <w:noWrap/>
            <w:vAlign w:val="bottom"/>
            <w:hideMark/>
          </w:tcPr>
          <w:p w14:paraId="6755CBAF"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-0.118</w:t>
            </w:r>
          </w:p>
        </w:tc>
        <w:tc>
          <w:tcPr>
            <w:tcW w:w="0" w:type="auto"/>
            <w:tcBorders>
              <w:top w:val="nil"/>
              <w:left w:val="nil"/>
              <w:bottom w:val="nil"/>
              <w:right w:val="nil"/>
            </w:tcBorders>
            <w:shd w:val="clear" w:color="auto" w:fill="auto"/>
            <w:noWrap/>
            <w:vAlign w:val="bottom"/>
            <w:hideMark/>
          </w:tcPr>
          <w:p w14:paraId="6173EC3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738D1B1" w14:textId="77777777" w:rsidR="003D3694" w:rsidRPr="00747E35" w:rsidRDefault="003D3694" w:rsidP="0096743A">
            <w:pPr>
              <w:autoSpaceDE/>
              <w:autoSpaceDN/>
              <w:spacing w:after="0"/>
              <w:rPr>
                <w:rFonts w:asciiTheme="minorHAnsi" w:eastAsia="Times New Roman" w:hAnsiTheme="minorHAnsi" w:cstheme="minorHAnsi"/>
                <w:bCs/>
                <w:sz w:val="20"/>
                <w:szCs w:val="20"/>
                <w:lang w:eastAsia="en-AU"/>
              </w:rPr>
            </w:pPr>
            <w:r w:rsidRPr="00747E35">
              <w:rPr>
                <w:rFonts w:asciiTheme="minorHAnsi" w:eastAsia="Times New Roman" w:hAnsiTheme="minorHAnsi" w:cstheme="minorHAnsi"/>
                <w:bCs/>
                <w:sz w:val="20"/>
                <w:szCs w:val="20"/>
                <w:lang w:eastAsia="en-AU"/>
              </w:rPr>
              <w:t>pH</w:t>
            </w:r>
          </w:p>
        </w:tc>
        <w:tc>
          <w:tcPr>
            <w:tcW w:w="0" w:type="auto"/>
            <w:tcBorders>
              <w:top w:val="nil"/>
              <w:left w:val="nil"/>
              <w:bottom w:val="single" w:sz="4" w:space="0" w:color="auto"/>
              <w:right w:val="single" w:sz="4" w:space="0" w:color="auto"/>
            </w:tcBorders>
            <w:shd w:val="clear" w:color="auto" w:fill="auto"/>
            <w:noWrap/>
            <w:vAlign w:val="bottom"/>
            <w:hideMark/>
          </w:tcPr>
          <w:p w14:paraId="19D14E7E"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-0.342</w:t>
            </w:r>
          </w:p>
        </w:tc>
        <w:tc>
          <w:tcPr>
            <w:tcW w:w="0" w:type="auto"/>
            <w:tcBorders>
              <w:top w:val="nil"/>
              <w:left w:val="nil"/>
              <w:bottom w:val="single" w:sz="4" w:space="0" w:color="auto"/>
              <w:right w:val="single" w:sz="4" w:space="0" w:color="auto"/>
            </w:tcBorders>
            <w:shd w:val="clear" w:color="auto" w:fill="auto"/>
            <w:noWrap/>
            <w:vAlign w:val="bottom"/>
            <w:hideMark/>
          </w:tcPr>
          <w:p w14:paraId="0DBCED6D"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0.003</w:t>
            </w:r>
          </w:p>
        </w:tc>
      </w:tr>
      <w:tr w:rsidR="003D3694" w:rsidRPr="00747E35" w14:paraId="6AB15CB6"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B9180F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Pezidae_indet_Sb</w:t>
            </w:r>
          </w:p>
        </w:tc>
        <w:tc>
          <w:tcPr>
            <w:tcW w:w="0" w:type="auto"/>
            <w:tcBorders>
              <w:top w:val="nil"/>
              <w:left w:val="nil"/>
              <w:bottom w:val="single" w:sz="4" w:space="0" w:color="auto"/>
              <w:right w:val="single" w:sz="4" w:space="0" w:color="auto"/>
            </w:tcBorders>
            <w:shd w:val="clear" w:color="auto" w:fill="auto"/>
            <w:noWrap/>
            <w:vAlign w:val="bottom"/>
            <w:hideMark/>
          </w:tcPr>
          <w:p w14:paraId="780CE9B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0.131</w:t>
            </w:r>
          </w:p>
        </w:tc>
        <w:tc>
          <w:tcPr>
            <w:tcW w:w="0" w:type="auto"/>
            <w:tcBorders>
              <w:top w:val="nil"/>
              <w:left w:val="nil"/>
              <w:bottom w:val="single" w:sz="4" w:space="0" w:color="auto"/>
              <w:right w:val="single" w:sz="4" w:space="0" w:color="auto"/>
            </w:tcBorders>
            <w:shd w:val="clear" w:color="auto" w:fill="auto"/>
            <w:noWrap/>
            <w:vAlign w:val="bottom"/>
            <w:hideMark/>
          </w:tcPr>
          <w:p w14:paraId="226F83A7"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-0.137</w:t>
            </w:r>
          </w:p>
        </w:tc>
        <w:tc>
          <w:tcPr>
            <w:tcW w:w="0" w:type="auto"/>
            <w:tcBorders>
              <w:top w:val="nil"/>
              <w:left w:val="nil"/>
              <w:bottom w:val="nil"/>
              <w:right w:val="nil"/>
            </w:tcBorders>
            <w:shd w:val="clear" w:color="auto" w:fill="auto"/>
            <w:noWrap/>
            <w:vAlign w:val="bottom"/>
            <w:hideMark/>
          </w:tcPr>
          <w:p w14:paraId="2B1A538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C03C5FA"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Sqr(Sqr(DO (mg/L)))</w:t>
            </w:r>
          </w:p>
        </w:tc>
        <w:tc>
          <w:tcPr>
            <w:tcW w:w="0" w:type="auto"/>
            <w:tcBorders>
              <w:top w:val="nil"/>
              <w:left w:val="nil"/>
              <w:bottom w:val="single" w:sz="4" w:space="0" w:color="auto"/>
              <w:right w:val="single" w:sz="4" w:space="0" w:color="auto"/>
            </w:tcBorders>
            <w:shd w:val="clear" w:color="auto" w:fill="auto"/>
            <w:noWrap/>
            <w:vAlign w:val="bottom"/>
            <w:hideMark/>
          </w:tcPr>
          <w:p w14:paraId="27CED06D"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0.387</w:t>
            </w:r>
          </w:p>
        </w:tc>
        <w:tc>
          <w:tcPr>
            <w:tcW w:w="0" w:type="auto"/>
            <w:tcBorders>
              <w:top w:val="nil"/>
              <w:left w:val="nil"/>
              <w:bottom w:val="single" w:sz="4" w:space="0" w:color="auto"/>
              <w:right w:val="single" w:sz="4" w:space="0" w:color="auto"/>
            </w:tcBorders>
            <w:shd w:val="clear" w:color="auto" w:fill="auto"/>
            <w:noWrap/>
            <w:vAlign w:val="bottom"/>
            <w:hideMark/>
          </w:tcPr>
          <w:p w14:paraId="441EBFD0"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-0.314</w:t>
            </w:r>
          </w:p>
        </w:tc>
      </w:tr>
      <w:tr w:rsidR="003D3694" w:rsidRPr="00747E35" w14:paraId="00770066"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3E9D4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Harpacticoida_sp_LongThin_Sb</w:t>
            </w:r>
          </w:p>
        </w:tc>
        <w:tc>
          <w:tcPr>
            <w:tcW w:w="0" w:type="auto"/>
            <w:tcBorders>
              <w:top w:val="nil"/>
              <w:left w:val="nil"/>
              <w:bottom w:val="single" w:sz="4" w:space="0" w:color="auto"/>
              <w:right w:val="single" w:sz="4" w:space="0" w:color="auto"/>
            </w:tcBorders>
            <w:shd w:val="clear" w:color="auto" w:fill="auto"/>
            <w:noWrap/>
            <w:vAlign w:val="bottom"/>
            <w:hideMark/>
          </w:tcPr>
          <w:p w14:paraId="4A2409CD"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0.325</w:t>
            </w:r>
          </w:p>
        </w:tc>
        <w:tc>
          <w:tcPr>
            <w:tcW w:w="0" w:type="auto"/>
            <w:tcBorders>
              <w:top w:val="nil"/>
              <w:left w:val="nil"/>
              <w:bottom w:val="single" w:sz="4" w:space="0" w:color="auto"/>
              <w:right w:val="single" w:sz="4" w:space="0" w:color="auto"/>
            </w:tcBorders>
            <w:shd w:val="clear" w:color="auto" w:fill="auto"/>
            <w:noWrap/>
            <w:vAlign w:val="bottom"/>
            <w:hideMark/>
          </w:tcPr>
          <w:p w14:paraId="6398DDF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0.025</w:t>
            </w:r>
          </w:p>
        </w:tc>
        <w:tc>
          <w:tcPr>
            <w:tcW w:w="0" w:type="auto"/>
            <w:tcBorders>
              <w:top w:val="nil"/>
              <w:left w:val="nil"/>
              <w:bottom w:val="nil"/>
              <w:right w:val="nil"/>
            </w:tcBorders>
            <w:shd w:val="clear" w:color="auto" w:fill="auto"/>
            <w:noWrap/>
            <w:vAlign w:val="bottom"/>
            <w:hideMark/>
          </w:tcPr>
          <w:p w14:paraId="7A88BE3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AF67AF4"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Sqr(Sqr(NOx (mg/l)))</w:t>
            </w:r>
          </w:p>
        </w:tc>
        <w:tc>
          <w:tcPr>
            <w:tcW w:w="0" w:type="auto"/>
            <w:tcBorders>
              <w:top w:val="nil"/>
              <w:left w:val="nil"/>
              <w:bottom w:val="single" w:sz="4" w:space="0" w:color="auto"/>
              <w:right w:val="single" w:sz="4" w:space="0" w:color="auto"/>
            </w:tcBorders>
            <w:shd w:val="clear" w:color="auto" w:fill="auto"/>
            <w:noWrap/>
            <w:vAlign w:val="bottom"/>
            <w:hideMark/>
          </w:tcPr>
          <w:p w14:paraId="0CD7D25D"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0.202</w:t>
            </w:r>
          </w:p>
        </w:tc>
        <w:tc>
          <w:tcPr>
            <w:tcW w:w="0" w:type="auto"/>
            <w:tcBorders>
              <w:top w:val="nil"/>
              <w:left w:val="nil"/>
              <w:bottom w:val="single" w:sz="4" w:space="0" w:color="auto"/>
              <w:right w:val="single" w:sz="4" w:space="0" w:color="auto"/>
            </w:tcBorders>
            <w:shd w:val="clear" w:color="auto" w:fill="auto"/>
            <w:noWrap/>
            <w:vAlign w:val="bottom"/>
            <w:hideMark/>
          </w:tcPr>
          <w:p w14:paraId="4EADE6AB"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-0.454</w:t>
            </w:r>
          </w:p>
        </w:tc>
      </w:tr>
      <w:tr w:rsidR="003D3694" w:rsidRPr="00747E35" w14:paraId="2701EC26"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056E719"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Harpacticoida_indet_Sb</w:t>
            </w:r>
          </w:p>
        </w:tc>
        <w:tc>
          <w:tcPr>
            <w:tcW w:w="0" w:type="auto"/>
            <w:tcBorders>
              <w:top w:val="nil"/>
              <w:left w:val="nil"/>
              <w:bottom w:val="single" w:sz="4" w:space="0" w:color="auto"/>
              <w:right w:val="single" w:sz="4" w:space="0" w:color="auto"/>
            </w:tcBorders>
            <w:shd w:val="clear" w:color="auto" w:fill="auto"/>
            <w:noWrap/>
            <w:vAlign w:val="bottom"/>
            <w:hideMark/>
          </w:tcPr>
          <w:p w14:paraId="50ECA411"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0.575</w:t>
            </w:r>
          </w:p>
        </w:tc>
        <w:tc>
          <w:tcPr>
            <w:tcW w:w="0" w:type="auto"/>
            <w:tcBorders>
              <w:top w:val="nil"/>
              <w:left w:val="nil"/>
              <w:bottom w:val="single" w:sz="4" w:space="0" w:color="auto"/>
              <w:right w:val="single" w:sz="4" w:space="0" w:color="auto"/>
            </w:tcBorders>
            <w:shd w:val="clear" w:color="auto" w:fill="auto"/>
            <w:noWrap/>
            <w:vAlign w:val="bottom"/>
            <w:hideMark/>
          </w:tcPr>
          <w:p w14:paraId="215EFA77"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0.267</w:t>
            </w:r>
          </w:p>
        </w:tc>
        <w:tc>
          <w:tcPr>
            <w:tcW w:w="0" w:type="auto"/>
            <w:tcBorders>
              <w:top w:val="nil"/>
              <w:left w:val="nil"/>
              <w:bottom w:val="nil"/>
              <w:right w:val="nil"/>
            </w:tcBorders>
            <w:shd w:val="clear" w:color="auto" w:fill="auto"/>
            <w:noWrap/>
            <w:vAlign w:val="bottom"/>
            <w:hideMark/>
          </w:tcPr>
          <w:p w14:paraId="53BB7C5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A9E495B"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Sqr(Nitrate (mg/l))</w:t>
            </w:r>
          </w:p>
        </w:tc>
        <w:tc>
          <w:tcPr>
            <w:tcW w:w="0" w:type="auto"/>
            <w:tcBorders>
              <w:top w:val="nil"/>
              <w:left w:val="nil"/>
              <w:bottom w:val="single" w:sz="4" w:space="0" w:color="auto"/>
              <w:right w:val="single" w:sz="4" w:space="0" w:color="auto"/>
            </w:tcBorders>
            <w:shd w:val="clear" w:color="auto" w:fill="auto"/>
            <w:noWrap/>
            <w:vAlign w:val="bottom"/>
            <w:hideMark/>
          </w:tcPr>
          <w:p w14:paraId="05711EE6"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0.236</w:t>
            </w:r>
          </w:p>
        </w:tc>
        <w:tc>
          <w:tcPr>
            <w:tcW w:w="0" w:type="auto"/>
            <w:tcBorders>
              <w:top w:val="nil"/>
              <w:left w:val="nil"/>
              <w:bottom w:val="single" w:sz="4" w:space="0" w:color="auto"/>
              <w:right w:val="single" w:sz="4" w:space="0" w:color="auto"/>
            </w:tcBorders>
            <w:shd w:val="clear" w:color="auto" w:fill="auto"/>
            <w:noWrap/>
            <w:vAlign w:val="bottom"/>
            <w:hideMark/>
          </w:tcPr>
          <w:p w14:paraId="5FBB142D"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-0.643</w:t>
            </w:r>
          </w:p>
        </w:tc>
      </w:tr>
      <w:tr w:rsidR="003D3694" w:rsidRPr="00747E35" w14:paraId="29FFB14B"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FCD3391"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Cyclopoida_indet._Sp/Sb?</w:t>
            </w:r>
          </w:p>
        </w:tc>
        <w:tc>
          <w:tcPr>
            <w:tcW w:w="0" w:type="auto"/>
            <w:tcBorders>
              <w:top w:val="nil"/>
              <w:left w:val="nil"/>
              <w:bottom w:val="single" w:sz="4" w:space="0" w:color="auto"/>
              <w:right w:val="single" w:sz="4" w:space="0" w:color="auto"/>
            </w:tcBorders>
            <w:shd w:val="clear" w:color="auto" w:fill="auto"/>
            <w:noWrap/>
            <w:vAlign w:val="bottom"/>
            <w:hideMark/>
          </w:tcPr>
          <w:p w14:paraId="4E3FF946"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0.777</w:t>
            </w:r>
          </w:p>
        </w:tc>
        <w:tc>
          <w:tcPr>
            <w:tcW w:w="0" w:type="auto"/>
            <w:tcBorders>
              <w:top w:val="nil"/>
              <w:left w:val="nil"/>
              <w:bottom w:val="single" w:sz="4" w:space="0" w:color="auto"/>
              <w:right w:val="single" w:sz="4" w:space="0" w:color="auto"/>
            </w:tcBorders>
            <w:shd w:val="clear" w:color="auto" w:fill="auto"/>
            <w:noWrap/>
            <w:vAlign w:val="bottom"/>
            <w:hideMark/>
          </w:tcPr>
          <w:p w14:paraId="074AC3BB"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-0.223</w:t>
            </w:r>
          </w:p>
        </w:tc>
        <w:tc>
          <w:tcPr>
            <w:tcW w:w="0" w:type="auto"/>
            <w:tcBorders>
              <w:top w:val="nil"/>
              <w:left w:val="nil"/>
              <w:bottom w:val="nil"/>
              <w:right w:val="nil"/>
            </w:tcBorders>
            <w:shd w:val="clear" w:color="auto" w:fill="auto"/>
            <w:noWrap/>
            <w:vAlign w:val="bottom"/>
            <w:hideMark/>
          </w:tcPr>
          <w:p w14:paraId="5A43937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7DB883"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Sqr(Sqr(P (ug/l)))</w:t>
            </w:r>
          </w:p>
        </w:tc>
        <w:tc>
          <w:tcPr>
            <w:tcW w:w="0" w:type="auto"/>
            <w:tcBorders>
              <w:top w:val="nil"/>
              <w:left w:val="nil"/>
              <w:bottom w:val="single" w:sz="4" w:space="0" w:color="auto"/>
              <w:right w:val="single" w:sz="4" w:space="0" w:color="auto"/>
            </w:tcBorders>
            <w:shd w:val="clear" w:color="auto" w:fill="auto"/>
            <w:noWrap/>
            <w:vAlign w:val="bottom"/>
            <w:hideMark/>
          </w:tcPr>
          <w:p w14:paraId="0B1C69D6"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-0.540</w:t>
            </w:r>
          </w:p>
        </w:tc>
        <w:tc>
          <w:tcPr>
            <w:tcW w:w="0" w:type="auto"/>
            <w:tcBorders>
              <w:top w:val="nil"/>
              <w:left w:val="nil"/>
              <w:bottom w:val="single" w:sz="4" w:space="0" w:color="auto"/>
              <w:right w:val="single" w:sz="4" w:space="0" w:color="auto"/>
            </w:tcBorders>
            <w:shd w:val="clear" w:color="auto" w:fill="auto"/>
            <w:noWrap/>
            <w:vAlign w:val="bottom"/>
            <w:hideMark/>
          </w:tcPr>
          <w:p w14:paraId="5C14EE1D"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-0.064</w:t>
            </w:r>
          </w:p>
        </w:tc>
      </w:tr>
      <w:tr w:rsidR="003D3694" w:rsidRPr="00747E35" w14:paraId="0A737ABF"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1414D28"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Candonidae?_indet._sp1/1B NSW_Sp/Sb?</w:t>
            </w:r>
          </w:p>
        </w:tc>
        <w:tc>
          <w:tcPr>
            <w:tcW w:w="0" w:type="auto"/>
            <w:tcBorders>
              <w:top w:val="nil"/>
              <w:left w:val="nil"/>
              <w:bottom w:val="single" w:sz="4" w:space="0" w:color="auto"/>
              <w:right w:val="single" w:sz="4" w:space="0" w:color="auto"/>
            </w:tcBorders>
            <w:shd w:val="clear" w:color="auto" w:fill="auto"/>
            <w:noWrap/>
            <w:vAlign w:val="bottom"/>
            <w:hideMark/>
          </w:tcPr>
          <w:p w14:paraId="5139D93D"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0.336</w:t>
            </w:r>
          </w:p>
        </w:tc>
        <w:tc>
          <w:tcPr>
            <w:tcW w:w="0" w:type="auto"/>
            <w:tcBorders>
              <w:top w:val="nil"/>
              <w:left w:val="nil"/>
              <w:bottom w:val="single" w:sz="4" w:space="0" w:color="auto"/>
              <w:right w:val="single" w:sz="4" w:space="0" w:color="auto"/>
            </w:tcBorders>
            <w:shd w:val="clear" w:color="auto" w:fill="auto"/>
            <w:noWrap/>
            <w:vAlign w:val="bottom"/>
            <w:hideMark/>
          </w:tcPr>
          <w:p w14:paraId="334FCD9B"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0.043</w:t>
            </w:r>
          </w:p>
        </w:tc>
        <w:tc>
          <w:tcPr>
            <w:tcW w:w="0" w:type="auto"/>
            <w:tcBorders>
              <w:top w:val="nil"/>
              <w:left w:val="nil"/>
              <w:bottom w:val="nil"/>
              <w:right w:val="nil"/>
            </w:tcBorders>
            <w:shd w:val="clear" w:color="auto" w:fill="auto"/>
            <w:noWrap/>
            <w:vAlign w:val="bottom"/>
            <w:hideMark/>
          </w:tcPr>
          <w:p w14:paraId="178F81F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77A6FBE" w14:textId="77777777" w:rsidR="003D3694" w:rsidRPr="00747E35" w:rsidRDefault="003D3694" w:rsidP="0096743A">
            <w:pPr>
              <w:autoSpaceDE/>
              <w:autoSpaceDN/>
              <w:spacing w:after="0"/>
              <w:rPr>
                <w:rFonts w:asciiTheme="minorHAnsi" w:eastAsia="Times New Roman" w:hAnsiTheme="minorHAnsi" w:cstheme="minorHAnsi"/>
                <w:bCs/>
                <w:sz w:val="20"/>
                <w:szCs w:val="20"/>
                <w:lang w:eastAsia="en-AU"/>
              </w:rPr>
            </w:pPr>
            <w:r w:rsidRPr="00747E35">
              <w:rPr>
                <w:rFonts w:asciiTheme="minorHAnsi" w:eastAsia="Times New Roman" w:hAnsiTheme="minorHAnsi" w:cstheme="minorHAnsi"/>
                <w:bCs/>
                <w:sz w:val="20"/>
                <w:szCs w:val="20"/>
                <w:lang w:eastAsia="en-AU"/>
              </w:rPr>
              <w:t>Sqr(Phosphate (mg/l))</w:t>
            </w:r>
          </w:p>
        </w:tc>
        <w:tc>
          <w:tcPr>
            <w:tcW w:w="0" w:type="auto"/>
            <w:tcBorders>
              <w:top w:val="nil"/>
              <w:left w:val="nil"/>
              <w:bottom w:val="single" w:sz="4" w:space="0" w:color="auto"/>
              <w:right w:val="single" w:sz="4" w:space="0" w:color="auto"/>
            </w:tcBorders>
            <w:shd w:val="clear" w:color="auto" w:fill="auto"/>
            <w:noWrap/>
            <w:vAlign w:val="bottom"/>
            <w:hideMark/>
          </w:tcPr>
          <w:p w14:paraId="2F1DCC01"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-0.047</w:t>
            </w:r>
          </w:p>
        </w:tc>
        <w:tc>
          <w:tcPr>
            <w:tcW w:w="0" w:type="auto"/>
            <w:tcBorders>
              <w:top w:val="nil"/>
              <w:left w:val="nil"/>
              <w:bottom w:val="single" w:sz="4" w:space="0" w:color="auto"/>
              <w:right w:val="single" w:sz="4" w:space="0" w:color="auto"/>
            </w:tcBorders>
            <w:shd w:val="clear" w:color="auto" w:fill="auto"/>
            <w:noWrap/>
            <w:vAlign w:val="bottom"/>
            <w:hideMark/>
          </w:tcPr>
          <w:p w14:paraId="2527FF22"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-0.390</w:t>
            </w:r>
          </w:p>
        </w:tc>
      </w:tr>
      <w:tr w:rsidR="003D3694" w:rsidRPr="00747E35" w14:paraId="3B8D11AF"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B389821"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Candonidae?_indet._sp2 NSW_Sp/Sb?</w:t>
            </w:r>
          </w:p>
        </w:tc>
        <w:tc>
          <w:tcPr>
            <w:tcW w:w="0" w:type="auto"/>
            <w:tcBorders>
              <w:top w:val="nil"/>
              <w:left w:val="nil"/>
              <w:bottom w:val="single" w:sz="4" w:space="0" w:color="auto"/>
              <w:right w:val="single" w:sz="4" w:space="0" w:color="auto"/>
            </w:tcBorders>
            <w:shd w:val="clear" w:color="auto" w:fill="auto"/>
            <w:noWrap/>
            <w:vAlign w:val="bottom"/>
            <w:hideMark/>
          </w:tcPr>
          <w:p w14:paraId="1530D9F2"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0.172</w:t>
            </w:r>
          </w:p>
        </w:tc>
        <w:tc>
          <w:tcPr>
            <w:tcW w:w="0" w:type="auto"/>
            <w:tcBorders>
              <w:top w:val="nil"/>
              <w:left w:val="nil"/>
              <w:bottom w:val="single" w:sz="4" w:space="0" w:color="auto"/>
              <w:right w:val="single" w:sz="4" w:space="0" w:color="auto"/>
            </w:tcBorders>
            <w:shd w:val="clear" w:color="auto" w:fill="auto"/>
            <w:noWrap/>
            <w:vAlign w:val="bottom"/>
            <w:hideMark/>
          </w:tcPr>
          <w:p w14:paraId="0E25D5FC"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-0.041</w:t>
            </w:r>
          </w:p>
        </w:tc>
        <w:tc>
          <w:tcPr>
            <w:tcW w:w="0" w:type="auto"/>
            <w:tcBorders>
              <w:top w:val="nil"/>
              <w:left w:val="nil"/>
              <w:bottom w:val="nil"/>
              <w:right w:val="nil"/>
            </w:tcBorders>
            <w:shd w:val="clear" w:color="auto" w:fill="auto"/>
            <w:noWrap/>
            <w:vAlign w:val="bottom"/>
            <w:hideMark/>
          </w:tcPr>
          <w:p w14:paraId="5C8ED97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38CD64"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Sqr(DOC (mg/l))</w:t>
            </w:r>
          </w:p>
        </w:tc>
        <w:tc>
          <w:tcPr>
            <w:tcW w:w="0" w:type="auto"/>
            <w:tcBorders>
              <w:top w:val="nil"/>
              <w:left w:val="nil"/>
              <w:bottom w:val="single" w:sz="4" w:space="0" w:color="auto"/>
              <w:right w:val="single" w:sz="4" w:space="0" w:color="auto"/>
            </w:tcBorders>
            <w:shd w:val="clear" w:color="auto" w:fill="auto"/>
            <w:noWrap/>
            <w:vAlign w:val="bottom"/>
            <w:hideMark/>
          </w:tcPr>
          <w:p w14:paraId="712C7381"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-0.275</w:t>
            </w:r>
          </w:p>
        </w:tc>
        <w:tc>
          <w:tcPr>
            <w:tcW w:w="0" w:type="auto"/>
            <w:tcBorders>
              <w:top w:val="nil"/>
              <w:left w:val="nil"/>
              <w:bottom w:val="single" w:sz="4" w:space="0" w:color="auto"/>
              <w:right w:val="single" w:sz="4" w:space="0" w:color="auto"/>
            </w:tcBorders>
            <w:shd w:val="clear" w:color="auto" w:fill="auto"/>
            <w:noWrap/>
            <w:vAlign w:val="bottom"/>
            <w:hideMark/>
          </w:tcPr>
          <w:p w14:paraId="51581792"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0.449</w:t>
            </w:r>
          </w:p>
        </w:tc>
      </w:tr>
      <w:tr w:rsidR="003D3694" w:rsidRPr="00747E35" w14:paraId="72221A3F"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DEC31A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Candonidae?_indet._sp4 NSW_Sp/Sb?</w:t>
            </w:r>
          </w:p>
        </w:tc>
        <w:tc>
          <w:tcPr>
            <w:tcW w:w="0" w:type="auto"/>
            <w:tcBorders>
              <w:top w:val="nil"/>
              <w:left w:val="nil"/>
              <w:bottom w:val="single" w:sz="4" w:space="0" w:color="auto"/>
              <w:right w:val="single" w:sz="4" w:space="0" w:color="auto"/>
            </w:tcBorders>
            <w:shd w:val="clear" w:color="auto" w:fill="auto"/>
            <w:noWrap/>
            <w:vAlign w:val="bottom"/>
            <w:hideMark/>
          </w:tcPr>
          <w:p w14:paraId="5939ADA8"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0.120</w:t>
            </w:r>
          </w:p>
        </w:tc>
        <w:tc>
          <w:tcPr>
            <w:tcW w:w="0" w:type="auto"/>
            <w:tcBorders>
              <w:top w:val="nil"/>
              <w:left w:val="nil"/>
              <w:bottom w:val="single" w:sz="4" w:space="0" w:color="auto"/>
              <w:right w:val="single" w:sz="4" w:space="0" w:color="auto"/>
            </w:tcBorders>
            <w:shd w:val="clear" w:color="auto" w:fill="auto"/>
            <w:noWrap/>
            <w:vAlign w:val="bottom"/>
            <w:hideMark/>
          </w:tcPr>
          <w:p w14:paraId="14C7E5A5"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-0.060</w:t>
            </w:r>
          </w:p>
        </w:tc>
        <w:tc>
          <w:tcPr>
            <w:tcW w:w="0" w:type="auto"/>
            <w:tcBorders>
              <w:top w:val="nil"/>
              <w:left w:val="nil"/>
              <w:bottom w:val="nil"/>
              <w:right w:val="nil"/>
            </w:tcBorders>
            <w:shd w:val="clear" w:color="auto" w:fill="auto"/>
            <w:noWrap/>
            <w:vAlign w:val="bottom"/>
            <w:hideMark/>
          </w:tcPr>
          <w:p w14:paraId="53C195B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499CF8B"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Sqr(Factor 1)</w:t>
            </w:r>
          </w:p>
        </w:tc>
        <w:tc>
          <w:tcPr>
            <w:tcW w:w="0" w:type="auto"/>
            <w:tcBorders>
              <w:top w:val="nil"/>
              <w:left w:val="nil"/>
              <w:bottom w:val="single" w:sz="4" w:space="0" w:color="auto"/>
              <w:right w:val="single" w:sz="4" w:space="0" w:color="auto"/>
            </w:tcBorders>
            <w:shd w:val="clear" w:color="auto" w:fill="auto"/>
            <w:noWrap/>
            <w:vAlign w:val="bottom"/>
            <w:hideMark/>
          </w:tcPr>
          <w:p w14:paraId="5BBBF291"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-0.245</w:t>
            </w:r>
          </w:p>
        </w:tc>
        <w:tc>
          <w:tcPr>
            <w:tcW w:w="0" w:type="auto"/>
            <w:tcBorders>
              <w:top w:val="nil"/>
              <w:left w:val="nil"/>
              <w:bottom w:val="single" w:sz="4" w:space="0" w:color="auto"/>
              <w:right w:val="single" w:sz="4" w:space="0" w:color="auto"/>
            </w:tcBorders>
            <w:shd w:val="clear" w:color="auto" w:fill="auto"/>
            <w:noWrap/>
            <w:vAlign w:val="bottom"/>
            <w:hideMark/>
          </w:tcPr>
          <w:p w14:paraId="5455942B"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0.640</w:t>
            </w:r>
          </w:p>
        </w:tc>
      </w:tr>
      <w:tr w:rsidR="003D3694" w:rsidRPr="00747E35" w14:paraId="54347F92"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155E0E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Ostracoda_Candonidae?_indet._Sp/Sb?</w:t>
            </w:r>
          </w:p>
        </w:tc>
        <w:tc>
          <w:tcPr>
            <w:tcW w:w="0" w:type="auto"/>
            <w:tcBorders>
              <w:top w:val="nil"/>
              <w:left w:val="nil"/>
              <w:bottom w:val="single" w:sz="4" w:space="0" w:color="auto"/>
              <w:right w:val="single" w:sz="4" w:space="0" w:color="auto"/>
            </w:tcBorders>
            <w:shd w:val="clear" w:color="auto" w:fill="auto"/>
            <w:noWrap/>
            <w:vAlign w:val="bottom"/>
            <w:hideMark/>
          </w:tcPr>
          <w:p w14:paraId="76A25EED"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0.141</w:t>
            </w:r>
          </w:p>
        </w:tc>
        <w:tc>
          <w:tcPr>
            <w:tcW w:w="0" w:type="auto"/>
            <w:tcBorders>
              <w:top w:val="nil"/>
              <w:left w:val="nil"/>
              <w:bottom w:val="single" w:sz="4" w:space="0" w:color="auto"/>
              <w:right w:val="single" w:sz="4" w:space="0" w:color="auto"/>
            </w:tcBorders>
            <w:shd w:val="clear" w:color="auto" w:fill="auto"/>
            <w:noWrap/>
            <w:vAlign w:val="bottom"/>
            <w:hideMark/>
          </w:tcPr>
          <w:p w14:paraId="4E2095D8"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0.008</w:t>
            </w:r>
          </w:p>
        </w:tc>
        <w:tc>
          <w:tcPr>
            <w:tcW w:w="0" w:type="auto"/>
            <w:tcBorders>
              <w:top w:val="nil"/>
              <w:left w:val="nil"/>
              <w:bottom w:val="nil"/>
              <w:right w:val="nil"/>
            </w:tcBorders>
            <w:shd w:val="clear" w:color="auto" w:fill="auto"/>
            <w:noWrap/>
            <w:vAlign w:val="bottom"/>
            <w:hideMark/>
          </w:tcPr>
          <w:p w14:paraId="5321611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296EFEC"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Sqr(Factor 2)</w:t>
            </w:r>
          </w:p>
        </w:tc>
        <w:tc>
          <w:tcPr>
            <w:tcW w:w="0" w:type="auto"/>
            <w:tcBorders>
              <w:top w:val="nil"/>
              <w:left w:val="nil"/>
              <w:bottom w:val="single" w:sz="4" w:space="0" w:color="auto"/>
              <w:right w:val="single" w:sz="4" w:space="0" w:color="auto"/>
            </w:tcBorders>
            <w:shd w:val="clear" w:color="auto" w:fill="auto"/>
            <w:noWrap/>
            <w:vAlign w:val="bottom"/>
            <w:hideMark/>
          </w:tcPr>
          <w:p w14:paraId="337F0388"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-0.597</w:t>
            </w:r>
          </w:p>
        </w:tc>
        <w:tc>
          <w:tcPr>
            <w:tcW w:w="0" w:type="auto"/>
            <w:tcBorders>
              <w:top w:val="nil"/>
              <w:left w:val="nil"/>
              <w:bottom w:val="single" w:sz="4" w:space="0" w:color="auto"/>
              <w:right w:val="single" w:sz="4" w:space="0" w:color="auto"/>
            </w:tcBorders>
            <w:shd w:val="clear" w:color="auto" w:fill="auto"/>
            <w:noWrap/>
            <w:vAlign w:val="bottom"/>
            <w:hideMark/>
          </w:tcPr>
          <w:p w14:paraId="2AB7473C"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0.499</w:t>
            </w:r>
          </w:p>
        </w:tc>
      </w:tr>
      <w:tr w:rsidR="003D3694" w:rsidRPr="00747E35" w14:paraId="52A17E33"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D0ED568"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Turbellaria_indet._Sp/Sb?</w:t>
            </w:r>
          </w:p>
        </w:tc>
        <w:tc>
          <w:tcPr>
            <w:tcW w:w="0" w:type="auto"/>
            <w:tcBorders>
              <w:top w:val="nil"/>
              <w:left w:val="nil"/>
              <w:bottom w:val="single" w:sz="4" w:space="0" w:color="auto"/>
              <w:right w:val="single" w:sz="4" w:space="0" w:color="auto"/>
            </w:tcBorders>
            <w:shd w:val="clear" w:color="auto" w:fill="auto"/>
            <w:noWrap/>
            <w:vAlign w:val="bottom"/>
            <w:hideMark/>
          </w:tcPr>
          <w:p w14:paraId="3D1E0106"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0.388</w:t>
            </w:r>
          </w:p>
        </w:tc>
        <w:tc>
          <w:tcPr>
            <w:tcW w:w="0" w:type="auto"/>
            <w:tcBorders>
              <w:top w:val="nil"/>
              <w:left w:val="nil"/>
              <w:bottom w:val="single" w:sz="4" w:space="0" w:color="auto"/>
              <w:right w:val="single" w:sz="4" w:space="0" w:color="auto"/>
            </w:tcBorders>
            <w:shd w:val="clear" w:color="auto" w:fill="auto"/>
            <w:noWrap/>
            <w:vAlign w:val="bottom"/>
            <w:hideMark/>
          </w:tcPr>
          <w:p w14:paraId="431A21F7"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0.444</w:t>
            </w:r>
          </w:p>
        </w:tc>
        <w:tc>
          <w:tcPr>
            <w:tcW w:w="0" w:type="auto"/>
            <w:tcBorders>
              <w:top w:val="nil"/>
              <w:left w:val="nil"/>
              <w:bottom w:val="nil"/>
              <w:right w:val="nil"/>
            </w:tcBorders>
            <w:shd w:val="clear" w:color="auto" w:fill="auto"/>
            <w:noWrap/>
            <w:vAlign w:val="bottom"/>
            <w:hideMark/>
          </w:tcPr>
          <w:p w14:paraId="5C95D1F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AA45395"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Sqr(Factor 3)</w:t>
            </w:r>
          </w:p>
        </w:tc>
        <w:tc>
          <w:tcPr>
            <w:tcW w:w="0" w:type="auto"/>
            <w:tcBorders>
              <w:top w:val="nil"/>
              <w:left w:val="nil"/>
              <w:bottom w:val="single" w:sz="4" w:space="0" w:color="auto"/>
              <w:right w:val="single" w:sz="4" w:space="0" w:color="auto"/>
            </w:tcBorders>
            <w:shd w:val="clear" w:color="auto" w:fill="auto"/>
            <w:noWrap/>
            <w:vAlign w:val="bottom"/>
            <w:hideMark/>
          </w:tcPr>
          <w:p w14:paraId="0D276215"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-0.632</w:t>
            </w:r>
          </w:p>
        </w:tc>
        <w:tc>
          <w:tcPr>
            <w:tcW w:w="0" w:type="auto"/>
            <w:tcBorders>
              <w:top w:val="nil"/>
              <w:left w:val="nil"/>
              <w:bottom w:val="single" w:sz="4" w:space="0" w:color="auto"/>
              <w:right w:val="single" w:sz="4" w:space="0" w:color="auto"/>
            </w:tcBorders>
            <w:shd w:val="clear" w:color="auto" w:fill="auto"/>
            <w:noWrap/>
            <w:vAlign w:val="bottom"/>
            <w:hideMark/>
          </w:tcPr>
          <w:p w14:paraId="3AEA8949"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0.506</w:t>
            </w:r>
          </w:p>
        </w:tc>
      </w:tr>
      <w:tr w:rsidR="003D3694" w:rsidRPr="00747E35" w14:paraId="667DFD94"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8734BB6"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Nematoda indet._Sp</w:t>
            </w:r>
          </w:p>
        </w:tc>
        <w:tc>
          <w:tcPr>
            <w:tcW w:w="0" w:type="auto"/>
            <w:tcBorders>
              <w:top w:val="nil"/>
              <w:left w:val="nil"/>
              <w:bottom w:val="single" w:sz="4" w:space="0" w:color="auto"/>
              <w:right w:val="single" w:sz="4" w:space="0" w:color="auto"/>
            </w:tcBorders>
            <w:shd w:val="clear" w:color="auto" w:fill="auto"/>
            <w:noWrap/>
            <w:vAlign w:val="bottom"/>
            <w:hideMark/>
          </w:tcPr>
          <w:p w14:paraId="1A2C4F26"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0.528</w:t>
            </w:r>
          </w:p>
        </w:tc>
        <w:tc>
          <w:tcPr>
            <w:tcW w:w="0" w:type="auto"/>
            <w:tcBorders>
              <w:top w:val="nil"/>
              <w:left w:val="nil"/>
              <w:bottom w:val="single" w:sz="4" w:space="0" w:color="auto"/>
              <w:right w:val="single" w:sz="4" w:space="0" w:color="auto"/>
            </w:tcBorders>
            <w:shd w:val="clear" w:color="auto" w:fill="auto"/>
            <w:noWrap/>
            <w:vAlign w:val="bottom"/>
            <w:hideMark/>
          </w:tcPr>
          <w:p w14:paraId="30E529F7"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0.565</w:t>
            </w:r>
          </w:p>
        </w:tc>
        <w:tc>
          <w:tcPr>
            <w:tcW w:w="0" w:type="auto"/>
            <w:tcBorders>
              <w:top w:val="nil"/>
              <w:left w:val="nil"/>
              <w:bottom w:val="nil"/>
              <w:right w:val="nil"/>
            </w:tcBorders>
            <w:shd w:val="clear" w:color="auto" w:fill="auto"/>
            <w:noWrap/>
            <w:vAlign w:val="bottom"/>
            <w:hideMark/>
          </w:tcPr>
          <w:p w14:paraId="6287B54E"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B43639B"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Sqr(Abs @ 253nm)</w:t>
            </w:r>
          </w:p>
        </w:tc>
        <w:tc>
          <w:tcPr>
            <w:tcW w:w="0" w:type="auto"/>
            <w:tcBorders>
              <w:top w:val="nil"/>
              <w:left w:val="nil"/>
              <w:bottom w:val="single" w:sz="4" w:space="0" w:color="auto"/>
              <w:right w:val="single" w:sz="4" w:space="0" w:color="auto"/>
            </w:tcBorders>
            <w:shd w:val="clear" w:color="auto" w:fill="auto"/>
            <w:noWrap/>
            <w:vAlign w:val="bottom"/>
            <w:hideMark/>
          </w:tcPr>
          <w:p w14:paraId="3350E4DC"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-0.501</w:t>
            </w:r>
          </w:p>
        </w:tc>
        <w:tc>
          <w:tcPr>
            <w:tcW w:w="0" w:type="auto"/>
            <w:tcBorders>
              <w:top w:val="nil"/>
              <w:left w:val="nil"/>
              <w:bottom w:val="single" w:sz="4" w:space="0" w:color="auto"/>
              <w:right w:val="single" w:sz="4" w:space="0" w:color="auto"/>
            </w:tcBorders>
            <w:shd w:val="clear" w:color="auto" w:fill="auto"/>
            <w:noWrap/>
            <w:vAlign w:val="bottom"/>
            <w:hideMark/>
          </w:tcPr>
          <w:p w14:paraId="4168A490"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0.308</w:t>
            </w:r>
          </w:p>
        </w:tc>
      </w:tr>
      <w:tr w:rsidR="003D3694" w:rsidRPr="00747E35" w14:paraId="42B4F06F"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A760BBB"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Oligochaeta_indet._Sp</w:t>
            </w:r>
          </w:p>
        </w:tc>
        <w:tc>
          <w:tcPr>
            <w:tcW w:w="0" w:type="auto"/>
            <w:tcBorders>
              <w:top w:val="nil"/>
              <w:left w:val="nil"/>
              <w:bottom w:val="single" w:sz="4" w:space="0" w:color="auto"/>
              <w:right w:val="single" w:sz="4" w:space="0" w:color="auto"/>
            </w:tcBorders>
            <w:shd w:val="clear" w:color="auto" w:fill="auto"/>
            <w:noWrap/>
            <w:vAlign w:val="bottom"/>
            <w:hideMark/>
          </w:tcPr>
          <w:p w14:paraId="6DACCD29"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0.620</w:t>
            </w:r>
          </w:p>
        </w:tc>
        <w:tc>
          <w:tcPr>
            <w:tcW w:w="0" w:type="auto"/>
            <w:tcBorders>
              <w:top w:val="nil"/>
              <w:left w:val="nil"/>
              <w:bottom w:val="single" w:sz="4" w:space="0" w:color="auto"/>
              <w:right w:val="single" w:sz="4" w:space="0" w:color="auto"/>
            </w:tcBorders>
            <w:shd w:val="clear" w:color="auto" w:fill="auto"/>
            <w:noWrap/>
            <w:vAlign w:val="bottom"/>
            <w:hideMark/>
          </w:tcPr>
          <w:p w14:paraId="1947A1FF"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0.097</w:t>
            </w:r>
          </w:p>
        </w:tc>
        <w:tc>
          <w:tcPr>
            <w:tcW w:w="0" w:type="auto"/>
            <w:tcBorders>
              <w:top w:val="nil"/>
              <w:left w:val="nil"/>
              <w:bottom w:val="nil"/>
              <w:right w:val="nil"/>
            </w:tcBorders>
            <w:shd w:val="clear" w:color="auto" w:fill="auto"/>
            <w:noWrap/>
            <w:vAlign w:val="bottom"/>
            <w:hideMark/>
          </w:tcPr>
          <w:p w14:paraId="6C1E701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6BF85B0" w14:textId="77777777" w:rsidR="003D3694" w:rsidRPr="00747E35" w:rsidRDefault="003D3694" w:rsidP="0096743A">
            <w:pPr>
              <w:autoSpaceDE/>
              <w:autoSpaceDN/>
              <w:spacing w:after="0"/>
              <w:rPr>
                <w:rFonts w:asciiTheme="minorHAnsi" w:eastAsia="Times New Roman" w:hAnsiTheme="minorHAnsi" w:cstheme="minorHAnsi"/>
                <w:bCs/>
                <w:sz w:val="20"/>
                <w:szCs w:val="20"/>
                <w:lang w:eastAsia="en-AU"/>
              </w:rPr>
            </w:pPr>
            <w:r w:rsidRPr="00747E35">
              <w:rPr>
                <w:rFonts w:asciiTheme="minorHAnsi" w:eastAsia="Times New Roman" w:hAnsiTheme="minorHAnsi" w:cstheme="minorHAnsi"/>
                <w:bCs/>
                <w:sz w:val="20"/>
                <w:szCs w:val="20"/>
                <w:lang w:eastAsia="en-AU"/>
              </w:rPr>
              <w:t>Sqr(S(274-295nm))</w:t>
            </w:r>
          </w:p>
        </w:tc>
        <w:tc>
          <w:tcPr>
            <w:tcW w:w="0" w:type="auto"/>
            <w:tcBorders>
              <w:top w:val="nil"/>
              <w:left w:val="nil"/>
              <w:bottom w:val="single" w:sz="4" w:space="0" w:color="auto"/>
              <w:right w:val="single" w:sz="4" w:space="0" w:color="auto"/>
            </w:tcBorders>
            <w:shd w:val="clear" w:color="auto" w:fill="auto"/>
            <w:noWrap/>
            <w:vAlign w:val="bottom"/>
            <w:hideMark/>
          </w:tcPr>
          <w:p w14:paraId="5C788EAC"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0.065</w:t>
            </w:r>
          </w:p>
        </w:tc>
        <w:tc>
          <w:tcPr>
            <w:tcW w:w="0" w:type="auto"/>
            <w:tcBorders>
              <w:top w:val="nil"/>
              <w:left w:val="nil"/>
              <w:bottom w:val="single" w:sz="4" w:space="0" w:color="auto"/>
              <w:right w:val="single" w:sz="4" w:space="0" w:color="auto"/>
            </w:tcBorders>
            <w:shd w:val="clear" w:color="auto" w:fill="auto"/>
            <w:noWrap/>
            <w:vAlign w:val="bottom"/>
            <w:hideMark/>
          </w:tcPr>
          <w:p w14:paraId="18063F3E"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0.350</w:t>
            </w:r>
          </w:p>
        </w:tc>
      </w:tr>
      <w:tr w:rsidR="003D3694" w:rsidRPr="00747E35" w14:paraId="53652FC7"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78B408"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Acarina_sp1_shield_Sp?</w:t>
            </w:r>
          </w:p>
        </w:tc>
        <w:tc>
          <w:tcPr>
            <w:tcW w:w="0" w:type="auto"/>
            <w:tcBorders>
              <w:top w:val="nil"/>
              <w:left w:val="nil"/>
              <w:bottom w:val="single" w:sz="4" w:space="0" w:color="auto"/>
              <w:right w:val="single" w:sz="4" w:space="0" w:color="auto"/>
            </w:tcBorders>
            <w:shd w:val="clear" w:color="auto" w:fill="auto"/>
            <w:noWrap/>
            <w:vAlign w:val="bottom"/>
            <w:hideMark/>
          </w:tcPr>
          <w:p w14:paraId="5B9F6B59"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-0.089</w:t>
            </w:r>
          </w:p>
        </w:tc>
        <w:tc>
          <w:tcPr>
            <w:tcW w:w="0" w:type="auto"/>
            <w:tcBorders>
              <w:top w:val="nil"/>
              <w:left w:val="nil"/>
              <w:bottom w:val="single" w:sz="4" w:space="0" w:color="auto"/>
              <w:right w:val="single" w:sz="4" w:space="0" w:color="auto"/>
            </w:tcBorders>
            <w:shd w:val="clear" w:color="auto" w:fill="auto"/>
            <w:noWrap/>
            <w:vAlign w:val="bottom"/>
            <w:hideMark/>
          </w:tcPr>
          <w:p w14:paraId="0DE62A60"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-0.185</w:t>
            </w:r>
          </w:p>
        </w:tc>
        <w:tc>
          <w:tcPr>
            <w:tcW w:w="0" w:type="auto"/>
            <w:tcBorders>
              <w:top w:val="nil"/>
              <w:left w:val="nil"/>
              <w:bottom w:val="nil"/>
              <w:right w:val="nil"/>
            </w:tcBorders>
            <w:shd w:val="clear" w:color="auto" w:fill="auto"/>
            <w:noWrap/>
            <w:vAlign w:val="bottom"/>
            <w:hideMark/>
          </w:tcPr>
          <w:p w14:paraId="51F44DB6"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45618BC" w14:textId="77777777" w:rsidR="003D3694" w:rsidRPr="00747E35" w:rsidRDefault="003D3694" w:rsidP="0096743A">
            <w:pPr>
              <w:autoSpaceDE/>
              <w:autoSpaceDN/>
              <w:spacing w:after="0"/>
              <w:rPr>
                <w:rFonts w:asciiTheme="minorHAnsi" w:eastAsia="Times New Roman" w:hAnsiTheme="minorHAnsi" w:cstheme="minorHAnsi"/>
                <w:bCs/>
                <w:sz w:val="20"/>
                <w:szCs w:val="20"/>
                <w:lang w:eastAsia="en-AU"/>
              </w:rPr>
            </w:pPr>
            <w:r w:rsidRPr="00747E35">
              <w:rPr>
                <w:rFonts w:asciiTheme="minorHAnsi" w:eastAsia="Times New Roman" w:hAnsiTheme="minorHAnsi" w:cstheme="minorHAnsi"/>
                <w:bCs/>
                <w:sz w:val="20"/>
                <w:szCs w:val="20"/>
                <w:lang w:eastAsia="en-AU"/>
              </w:rPr>
              <w:t>Sqr(S(350-400nm))</w:t>
            </w:r>
          </w:p>
        </w:tc>
        <w:tc>
          <w:tcPr>
            <w:tcW w:w="0" w:type="auto"/>
            <w:tcBorders>
              <w:top w:val="nil"/>
              <w:left w:val="nil"/>
              <w:bottom w:val="single" w:sz="4" w:space="0" w:color="auto"/>
              <w:right w:val="single" w:sz="4" w:space="0" w:color="auto"/>
            </w:tcBorders>
            <w:shd w:val="clear" w:color="auto" w:fill="auto"/>
            <w:noWrap/>
            <w:vAlign w:val="bottom"/>
            <w:hideMark/>
          </w:tcPr>
          <w:p w14:paraId="15FFA111"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-0.119</w:t>
            </w:r>
          </w:p>
        </w:tc>
        <w:tc>
          <w:tcPr>
            <w:tcW w:w="0" w:type="auto"/>
            <w:tcBorders>
              <w:top w:val="nil"/>
              <w:left w:val="nil"/>
              <w:bottom w:val="single" w:sz="4" w:space="0" w:color="auto"/>
              <w:right w:val="single" w:sz="4" w:space="0" w:color="auto"/>
            </w:tcBorders>
            <w:shd w:val="clear" w:color="auto" w:fill="auto"/>
            <w:noWrap/>
            <w:vAlign w:val="bottom"/>
            <w:hideMark/>
          </w:tcPr>
          <w:p w14:paraId="0AD2C892"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0.304</w:t>
            </w:r>
          </w:p>
        </w:tc>
      </w:tr>
      <w:tr w:rsidR="003D3694" w:rsidRPr="00747E35" w14:paraId="72F77D31"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BE6BB9C"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Oribatida_indet._Sp?</w:t>
            </w:r>
          </w:p>
        </w:tc>
        <w:tc>
          <w:tcPr>
            <w:tcW w:w="0" w:type="auto"/>
            <w:tcBorders>
              <w:top w:val="nil"/>
              <w:left w:val="nil"/>
              <w:bottom w:val="single" w:sz="4" w:space="0" w:color="auto"/>
              <w:right w:val="single" w:sz="4" w:space="0" w:color="auto"/>
            </w:tcBorders>
            <w:shd w:val="clear" w:color="auto" w:fill="auto"/>
            <w:noWrap/>
            <w:vAlign w:val="bottom"/>
            <w:hideMark/>
          </w:tcPr>
          <w:p w14:paraId="0DB8331B"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0.316</w:t>
            </w:r>
          </w:p>
        </w:tc>
        <w:tc>
          <w:tcPr>
            <w:tcW w:w="0" w:type="auto"/>
            <w:tcBorders>
              <w:top w:val="nil"/>
              <w:left w:val="nil"/>
              <w:bottom w:val="single" w:sz="4" w:space="0" w:color="auto"/>
              <w:right w:val="single" w:sz="4" w:space="0" w:color="auto"/>
            </w:tcBorders>
            <w:shd w:val="clear" w:color="auto" w:fill="auto"/>
            <w:noWrap/>
            <w:vAlign w:val="bottom"/>
            <w:hideMark/>
          </w:tcPr>
          <w:p w14:paraId="6E8D47C8"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0.337</w:t>
            </w:r>
          </w:p>
        </w:tc>
        <w:tc>
          <w:tcPr>
            <w:tcW w:w="0" w:type="auto"/>
            <w:tcBorders>
              <w:top w:val="nil"/>
              <w:left w:val="nil"/>
              <w:bottom w:val="nil"/>
              <w:right w:val="nil"/>
            </w:tcBorders>
            <w:shd w:val="clear" w:color="auto" w:fill="auto"/>
            <w:noWrap/>
            <w:vAlign w:val="bottom"/>
            <w:hideMark/>
          </w:tcPr>
          <w:p w14:paraId="3D07AD9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A9BE727"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Na (mg/l)</w:t>
            </w:r>
          </w:p>
        </w:tc>
        <w:tc>
          <w:tcPr>
            <w:tcW w:w="0" w:type="auto"/>
            <w:tcBorders>
              <w:top w:val="nil"/>
              <w:left w:val="nil"/>
              <w:bottom w:val="single" w:sz="4" w:space="0" w:color="auto"/>
              <w:right w:val="single" w:sz="4" w:space="0" w:color="auto"/>
            </w:tcBorders>
            <w:shd w:val="clear" w:color="auto" w:fill="auto"/>
            <w:noWrap/>
            <w:vAlign w:val="bottom"/>
            <w:hideMark/>
          </w:tcPr>
          <w:p w14:paraId="79FFA6D2"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-0.605</w:t>
            </w:r>
          </w:p>
        </w:tc>
        <w:tc>
          <w:tcPr>
            <w:tcW w:w="0" w:type="auto"/>
            <w:tcBorders>
              <w:top w:val="nil"/>
              <w:left w:val="nil"/>
              <w:bottom w:val="single" w:sz="4" w:space="0" w:color="auto"/>
              <w:right w:val="single" w:sz="4" w:space="0" w:color="auto"/>
            </w:tcBorders>
            <w:shd w:val="clear" w:color="auto" w:fill="auto"/>
            <w:noWrap/>
            <w:vAlign w:val="bottom"/>
            <w:hideMark/>
          </w:tcPr>
          <w:p w14:paraId="5FAFB675"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-0.403</w:t>
            </w:r>
          </w:p>
        </w:tc>
      </w:tr>
      <w:tr w:rsidR="003D3694" w:rsidRPr="00747E35" w14:paraId="57570842"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B8AC71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Oxidae?_indet._Sp?</w:t>
            </w:r>
          </w:p>
        </w:tc>
        <w:tc>
          <w:tcPr>
            <w:tcW w:w="0" w:type="auto"/>
            <w:tcBorders>
              <w:top w:val="nil"/>
              <w:left w:val="nil"/>
              <w:bottom w:val="single" w:sz="4" w:space="0" w:color="auto"/>
              <w:right w:val="single" w:sz="4" w:space="0" w:color="auto"/>
            </w:tcBorders>
            <w:shd w:val="clear" w:color="auto" w:fill="auto"/>
            <w:noWrap/>
            <w:vAlign w:val="bottom"/>
            <w:hideMark/>
          </w:tcPr>
          <w:p w14:paraId="3603EA90"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0.197</w:t>
            </w:r>
          </w:p>
        </w:tc>
        <w:tc>
          <w:tcPr>
            <w:tcW w:w="0" w:type="auto"/>
            <w:tcBorders>
              <w:top w:val="nil"/>
              <w:left w:val="nil"/>
              <w:bottom w:val="single" w:sz="4" w:space="0" w:color="auto"/>
              <w:right w:val="single" w:sz="4" w:space="0" w:color="auto"/>
            </w:tcBorders>
            <w:shd w:val="clear" w:color="auto" w:fill="auto"/>
            <w:noWrap/>
            <w:vAlign w:val="bottom"/>
            <w:hideMark/>
          </w:tcPr>
          <w:p w14:paraId="4F4A54CD"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0.111</w:t>
            </w:r>
          </w:p>
        </w:tc>
        <w:tc>
          <w:tcPr>
            <w:tcW w:w="0" w:type="auto"/>
            <w:tcBorders>
              <w:top w:val="nil"/>
              <w:left w:val="nil"/>
              <w:bottom w:val="nil"/>
              <w:right w:val="nil"/>
            </w:tcBorders>
            <w:shd w:val="clear" w:color="auto" w:fill="auto"/>
            <w:noWrap/>
            <w:vAlign w:val="bottom"/>
            <w:hideMark/>
          </w:tcPr>
          <w:p w14:paraId="71A4290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C76C67"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Ca (mg/l)</w:t>
            </w:r>
          </w:p>
        </w:tc>
        <w:tc>
          <w:tcPr>
            <w:tcW w:w="0" w:type="auto"/>
            <w:tcBorders>
              <w:top w:val="nil"/>
              <w:left w:val="nil"/>
              <w:bottom w:val="single" w:sz="4" w:space="0" w:color="auto"/>
              <w:right w:val="single" w:sz="4" w:space="0" w:color="auto"/>
            </w:tcBorders>
            <w:shd w:val="clear" w:color="auto" w:fill="auto"/>
            <w:noWrap/>
            <w:vAlign w:val="bottom"/>
            <w:hideMark/>
          </w:tcPr>
          <w:p w14:paraId="1A968A5B"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-0.616</w:t>
            </w:r>
          </w:p>
        </w:tc>
        <w:tc>
          <w:tcPr>
            <w:tcW w:w="0" w:type="auto"/>
            <w:tcBorders>
              <w:top w:val="nil"/>
              <w:left w:val="nil"/>
              <w:bottom w:val="single" w:sz="4" w:space="0" w:color="auto"/>
              <w:right w:val="single" w:sz="4" w:space="0" w:color="auto"/>
            </w:tcBorders>
            <w:shd w:val="clear" w:color="auto" w:fill="auto"/>
            <w:noWrap/>
            <w:vAlign w:val="bottom"/>
            <w:hideMark/>
          </w:tcPr>
          <w:p w14:paraId="1C467DDB"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-0.432</w:t>
            </w:r>
          </w:p>
        </w:tc>
      </w:tr>
      <w:tr w:rsidR="003D3694" w:rsidRPr="00747E35" w14:paraId="5BB13D79"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0E4B3AD"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Unionicolidae?_indet._Sp?</w:t>
            </w:r>
          </w:p>
        </w:tc>
        <w:tc>
          <w:tcPr>
            <w:tcW w:w="0" w:type="auto"/>
            <w:tcBorders>
              <w:top w:val="nil"/>
              <w:left w:val="nil"/>
              <w:bottom w:val="single" w:sz="4" w:space="0" w:color="auto"/>
              <w:right w:val="single" w:sz="4" w:space="0" w:color="auto"/>
            </w:tcBorders>
            <w:shd w:val="clear" w:color="auto" w:fill="auto"/>
            <w:noWrap/>
            <w:vAlign w:val="bottom"/>
            <w:hideMark/>
          </w:tcPr>
          <w:p w14:paraId="20CDDCAD"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0.272</w:t>
            </w:r>
          </w:p>
        </w:tc>
        <w:tc>
          <w:tcPr>
            <w:tcW w:w="0" w:type="auto"/>
            <w:tcBorders>
              <w:top w:val="nil"/>
              <w:left w:val="nil"/>
              <w:bottom w:val="single" w:sz="4" w:space="0" w:color="auto"/>
              <w:right w:val="single" w:sz="4" w:space="0" w:color="auto"/>
            </w:tcBorders>
            <w:shd w:val="clear" w:color="auto" w:fill="auto"/>
            <w:noWrap/>
            <w:vAlign w:val="bottom"/>
            <w:hideMark/>
          </w:tcPr>
          <w:p w14:paraId="149790BF"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-0.210</w:t>
            </w:r>
          </w:p>
        </w:tc>
        <w:tc>
          <w:tcPr>
            <w:tcW w:w="0" w:type="auto"/>
            <w:tcBorders>
              <w:top w:val="nil"/>
              <w:left w:val="nil"/>
              <w:bottom w:val="nil"/>
              <w:right w:val="nil"/>
            </w:tcBorders>
            <w:shd w:val="clear" w:color="auto" w:fill="auto"/>
            <w:noWrap/>
            <w:vAlign w:val="bottom"/>
            <w:hideMark/>
          </w:tcPr>
          <w:p w14:paraId="1598B63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926898"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Mg (mg/l)</w:t>
            </w:r>
          </w:p>
        </w:tc>
        <w:tc>
          <w:tcPr>
            <w:tcW w:w="0" w:type="auto"/>
            <w:tcBorders>
              <w:top w:val="nil"/>
              <w:left w:val="nil"/>
              <w:bottom w:val="single" w:sz="4" w:space="0" w:color="auto"/>
              <w:right w:val="single" w:sz="4" w:space="0" w:color="auto"/>
            </w:tcBorders>
            <w:shd w:val="clear" w:color="auto" w:fill="auto"/>
            <w:noWrap/>
            <w:vAlign w:val="bottom"/>
            <w:hideMark/>
          </w:tcPr>
          <w:p w14:paraId="71C34D2F"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-0.616</w:t>
            </w:r>
          </w:p>
        </w:tc>
        <w:tc>
          <w:tcPr>
            <w:tcW w:w="0" w:type="auto"/>
            <w:tcBorders>
              <w:top w:val="nil"/>
              <w:left w:val="nil"/>
              <w:bottom w:val="single" w:sz="4" w:space="0" w:color="auto"/>
              <w:right w:val="single" w:sz="4" w:space="0" w:color="auto"/>
            </w:tcBorders>
            <w:shd w:val="clear" w:color="auto" w:fill="auto"/>
            <w:noWrap/>
            <w:vAlign w:val="bottom"/>
            <w:hideMark/>
          </w:tcPr>
          <w:p w14:paraId="6C74E63A"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-0.417</w:t>
            </w:r>
          </w:p>
        </w:tc>
      </w:tr>
      <w:tr w:rsidR="003D3694" w:rsidRPr="00747E35" w14:paraId="283A788A"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9903548"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Gomphodella_sp._Sx/Sp?</w:t>
            </w:r>
          </w:p>
        </w:tc>
        <w:tc>
          <w:tcPr>
            <w:tcW w:w="0" w:type="auto"/>
            <w:tcBorders>
              <w:top w:val="nil"/>
              <w:left w:val="nil"/>
              <w:bottom w:val="single" w:sz="4" w:space="0" w:color="auto"/>
              <w:right w:val="single" w:sz="4" w:space="0" w:color="auto"/>
            </w:tcBorders>
            <w:shd w:val="clear" w:color="auto" w:fill="auto"/>
            <w:noWrap/>
            <w:vAlign w:val="bottom"/>
            <w:hideMark/>
          </w:tcPr>
          <w:p w14:paraId="6C58DB54"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0.099</w:t>
            </w:r>
          </w:p>
        </w:tc>
        <w:tc>
          <w:tcPr>
            <w:tcW w:w="0" w:type="auto"/>
            <w:tcBorders>
              <w:top w:val="nil"/>
              <w:left w:val="nil"/>
              <w:bottom w:val="single" w:sz="4" w:space="0" w:color="auto"/>
              <w:right w:val="single" w:sz="4" w:space="0" w:color="auto"/>
            </w:tcBorders>
            <w:shd w:val="clear" w:color="auto" w:fill="auto"/>
            <w:noWrap/>
            <w:vAlign w:val="bottom"/>
            <w:hideMark/>
          </w:tcPr>
          <w:p w14:paraId="27E30CFE"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-0.179</w:t>
            </w:r>
          </w:p>
        </w:tc>
        <w:tc>
          <w:tcPr>
            <w:tcW w:w="0" w:type="auto"/>
            <w:tcBorders>
              <w:top w:val="nil"/>
              <w:left w:val="nil"/>
              <w:bottom w:val="nil"/>
              <w:right w:val="nil"/>
            </w:tcBorders>
            <w:shd w:val="clear" w:color="auto" w:fill="auto"/>
            <w:noWrap/>
            <w:vAlign w:val="bottom"/>
            <w:hideMark/>
          </w:tcPr>
          <w:p w14:paraId="4C76404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8C624B"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K (mg/l)</w:t>
            </w:r>
          </w:p>
        </w:tc>
        <w:tc>
          <w:tcPr>
            <w:tcW w:w="0" w:type="auto"/>
            <w:tcBorders>
              <w:top w:val="nil"/>
              <w:left w:val="nil"/>
              <w:bottom w:val="single" w:sz="4" w:space="0" w:color="auto"/>
              <w:right w:val="single" w:sz="4" w:space="0" w:color="auto"/>
            </w:tcBorders>
            <w:shd w:val="clear" w:color="auto" w:fill="auto"/>
            <w:noWrap/>
            <w:vAlign w:val="bottom"/>
            <w:hideMark/>
          </w:tcPr>
          <w:p w14:paraId="77A3BF2B"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-0.466</w:t>
            </w:r>
          </w:p>
        </w:tc>
        <w:tc>
          <w:tcPr>
            <w:tcW w:w="0" w:type="auto"/>
            <w:tcBorders>
              <w:top w:val="nil"/>
              <w:left w:val="nil"/>
              <w:bottom w:val="single" w:sz="4" w:space="0" w:color="auto"/>
              <w:right w:val="single" w:sz="4" w:space="0" w:color="auto"/>
            </w:tcBorders>
            <w:shd w:val="clear" w:color="auto" w:fill="auto"/>
            <w:noWrap/>
            <w:vAlign w:val="bottom"/>
            <w:hideMark/>
          </w:tcPr>
          <w:p w14:paraId="5FE9D26D"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-0.230</w:t>
            </w:r>
          </w:p>
        </w:tc>
      </w:tr>
      <w:tr w:rsidR="003D3694" w:rsidRPr="00747E35" w14:paraId="38292E7E"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62F10E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Acarina_indet_Sp?/Ac?</w:t>
            </w:r>
          </w:p>
        </w:tc>
        <w:tc>
          <w:tcPr>
            <w:tcW w:w="0" w:type="auto"/>
            <w:tcBorders>
              <w:top w:val="nil"/>
              <w:left w:val="nil"/>
              <w:bottom w:val="single" w:sz="4" w:space="0" w:color="auto"/>
              <w:right w:val="single" w:sz="4" w:space="0" w:color="auto"/>
            </w:tcBorders>
            <w:shd w:val="clear" w:color="auto" w:fill="auto"/>
            <w:noWrap/>
            <w:vAlign w:val="bottom"/>
            <w:hideMark/>
          </w:tcPr>
          <w:p w14:paraId="36A89F20"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0.275</w:t>
            </w:r>
          </w:p>
        </w:tc>
        <w:tc>
          <w:tcPr>
            <w:tcW w:w="0" w:type="auto"/>
            <w:tcBorders>
              <w:top w:val="nil"/>
              <w:left w:val="nil"/>
              <w:bottom w:val="single" w:sz="4" w:space="0" w:color="auto"/>
              <w:right w:val="single" w:sz="4" w:space="0" w:color="auto"/>
            </w:tcBorders>
            <w:shd w:val="clear" w:color="auto" w:fill="auto"/>
            <w:noWrap/>
            <w:vAlign w:val="bottom"/>
            <w:hideMark/>
          </w:tcPr>
          <w:p w14:paraId="7DED585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0.250</w:t>
            </w:r>
          </w:p>
        </w:tc>
        <w:tc>
          <w:tcPr>
            <w:tcW w:w="0" w:type="auto"/>
            <w:tcBorders>
              <w:top w:val="nil"/>
              <w:left w:val="nil"/>
              <w:bottom w:val="nil"/>
              <w:right w:val="nil"/>
            </w:tcBorders>
            <w:shd w:val="clear" w:color="auto" w:fill="auto"/>
            <w:noWrap/>
            <w:vAlign w:val="bottom"/>
            <w:hideMark/>
          </w:tcPr>
          <w:p w14:paraId="15636AB6"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2017EE4"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Alkalinity</w:t>
            </w:r>
          </w:p>
        </w:tc>
        <w:tc>
          <w:tcPr>
            <w:tcW w:w="0" w:type="auto"/>
            <w:tcBorders>
              <w:top w:val="nil"/>
              <w:left w:val="nil"/>
              <w:bottom w:val="single" w:sz="4" w:space="0" w:color="auto"/>
              <w:right w:val="single" w:sz="4" w:space="0" w:color="auto"/>
            </w:tcBorders>
            <w:shd w:val="clear" w:color="auto" w:fill="auto"/>
            <w:noWrap/>
            <w:vAlign w:val="bottom"/>
            <w:hideMark/>
          </w:tcPr>
          <w:p w14:paraId="2E6DC234"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-0.562</w:t>
            </w:r>
          </w:p>
        </w:tc>
        <w:tc>
          <w:tcPr>
            <w:tcW w:w="0" w:type="auto"/>
            <w:tcBorders>
              <w:top w:val="nil"/>
              <w:left w:val="nil"/>
              <w:bottom w:val="single" w:sz="4" w:space="0" w:color="auto"/>
              <w:right w:val="single" w:sz="4" w:space="0" w:color="auto"/>
            </w:tcBorders>
            <w:shd w:val="clear" w:color="auto" w:fill="auto"/>
            <w:noWrap/>
            <w:vAlign w:val="bottom"/>
            <w:hideMark/>
          </w:tcPr>
          <w:p w14:paraId="43C00268"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-0.257</w:t>
            </w:r>
          </w:p>
        </w:tc>
      </w:tr>
      <w:tr w:rsidR="003D3694" w:rsidRPr="00747E35" w14:paraId="6A8A49A5"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E96208"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Ceratopogonidae_indet_Sx</w:t>
            </w:r>
          </w:p>
        </w:tc>
        <w:tc>
          <w:tcPr>
            <w:tcW w:w="0" w:type="auto"/>
            <w:tcBorders>
              <w:top w:val="nil"/>
              <w:left w:val="nil"/>
              <w:bottom w:val="single" w:sz="4" w:space="0" w:color="auto"/>
              <w:right w:val="single" w:sz="4" w:space="0" w:color="auto"/>
            </w:tcBorders>
            <w:shd w:val="clear" w:color="auto" w:fill="auto"/>
            <w:noWrap/>
            <w:vAlign w:val="bottom"/>
            <w:hideMark/>
          </w:tcPr>
          <w:p w14:paraId="7A62809B"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0.084</w:t>
            </w:r>
          </w:p>
        </w:tc>
        <w:tc>
          <w:tcPr>
            <w:tcW w:w="0" w:type="auto"/>
            <w:tcBorders>
              <w:top w:val="nil"/>
              <w:left w:val="nil"/>
              <w:bottom w:val="single" w:sz="4" w:space="0" w:color="auto"/>
              <w:right w:val="single" w:sz="4" w:space="0" w:color="auto"/>
            </w:tcBorders>
            <w:shd w:val="clear" w:color="auto" w:fill="auto"/>
            <w:noWrap/>
            <w:vAlign w:val="bottom"/>
            <w:hideMark/>
          </w:tcPr>
          <w:p w14:paraId="2FECA0E3"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0.136</w:t>
            </w:r>
          </w:p>
        </w:tc>
        <w:tc>
          <w:tcPr>
            <w:tcW w:w="0" w:type="auto"/>
            <w:tcBorders>
              <w:top w:val="nil"/>
              <w:left w:val="nil"/>
              <w:bottom w:val="nil"/>
              <w:right w:val="nil"/>
            </w:tcBorders>
            <w:shd w:val="clear" w:color="auto" w:fill="auto"/>
            <w:noWrap/>
            <w:vAlign w:val="bottom"/>
            <w:hideMark/>
          </w:tcPr>
          <w:p w14:paraId="23E4F191"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1141DFF"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Chloride (mg/l)</w:t>
            </w:r>
          </w:p>
        </w:tc>
        <w:tc>
          <w:tcPr>
            <w:tcW w:w="0" w:type="auto"/>
            <w:tcBorders>
              <w:top w:val="nil"/>
              <w:left w:val="nil"/>
              <w:bottom w:val="single" w:sz="4" w:space="0" w:color="auto"/>
              <w:right w:val="single" w:sz="4" w:space="0" w:color="auto"/>
            </w:tcBorders>
            <w:shd w:val="clear" w:color="auto" w:fill="auto"/>
            <w:noWrap/>
            <w:vAlign w:val="bottom"/>
            <w:hideMark/>
          </w:tcPr>
          <w:p w14:paraId="1BCF7CB5"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-0.539</w:t>
            </w:r>
          </w:p>
        </w:tc>
        <w:tc>
          <w:tcPr>
            <w:tcW w:w="0" w:type="auto"/>
            <w:tcBorders>
              <w:top w:val="nil"/>
              <w:left w:val="nil"/>
              <w:bottom w:val="single" w:sz="4" w:space="0" w:color="auto"/>
              <w:right w:val="single" w:sz="4" w:space="0" w:color="auto"/>
            </w:tcBorders>
            <w:shd w:val="clear" w:color="auto" w:fill="auto"/>
            <w:noWrap/>
            <w:vAlign w:val="bottom"/>
            <w:hideMark/>
          </w:tcPr>
          <w:p w14:paraId="01EFE0A8"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-0.476</w:t>
            </w:r>
          </w:p>
        </w:tc>
      </w:tr>
      <w:tr w:rsidR="003D3694" w:rsidRPr="00747E35" w14:paraId="76C4F8EF"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6383D1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Chironomidae_indet._Sx</w:t>
            </w:r>
          </w:p>
        </w:tc>
        <w:tc>
          <w:tcPr>
            <w:tcW w:w="0" w:type="auto"/>
            <w:tcBorders>
              <w:top w:val="nil"/>
              <w:left w:val="nil"/>
              <w:bottom w:val="single" w:sz="4" w:space="0" w:color="auto"/>
              <w:right w:val="single" w:sz="4" w:space="0" w:color="auto"/>
            </w:tcBorders>
            <w:shd w:val="clear" w:color="auto" w:fill="auto"/>
            <w:noWrap/>
            <w:vAlign w:val="bottom"/>
            <w:hideMark/>
          </w:tcPr>
          <w:p w14:paraId="468DBA9C"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0.299</w:t>
            </w:r>
          </w:p>
        </w:tc>
        <w:tc>
          <w:tcPr>
            <w:tcW w:w="0" w:type="auto"/>
            <w:tcBorders>
              <w:top w:val="nil"/>
              <w:left w:val="nil"/>
              <w:bottom w:val="single" w:sz="4" w:space="0" w:color="auto"/>
              <w:right w:val="single" w:sz="4" w:space="0" w:color="auto"/>
            </w:tcBorders>
            <w:shd w:val="clear" w:color="auto" w:fill="auto"/>
            <w:noWrap/>
            <w:vAlign w:val="bottom"/>
            <w:hideMark/>
          </w:tcPr>
          <w:p w14:paraId="463CBF2C"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0.121</w:t>
            </w:r>
          </w:p>
        </w:tc>
        <w:tc>
          <w:tcPr>
            <w:tcW w:w="0" w:type="auto"/>
            <w:tcBorders>
              <w:top w:val="nil"/>
              <w:left w:val="nil"/>
              <w:bottom w:val="nil"/>
              <w:right w:val="nil"/>
            </w:tcBorders>
            <w:shd w:val="clear" w:color="auto" w:fill="auto"/>
            <w:noWrap/>
            <w:vAlign w:val="bottom"/>
            <w:hideMark/>
          </w:tcPr>
          <w:p w14:paraId="237EE64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6553631"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Sulfate (mg/l</w:t>
            </w:r>
          </w:p>
        </w:tc>
        <w:tc>
          <w:tcPr>
            <w:tcW w:w="0" w:type="auto"/>
            <w:tcBorders>
              <w:top w:val="nil"/>
              <w:left w:val="nil"/>
              <w:bottom w:val="single" w:sz="4" w:space="0" w:color="auto"/>
              <w:right w:val="single" w:sz="4" w:space="0" w:color="auto"/>
            </w:tcBorders>
            <w:shd w:val="clear" w:color="auto" w:fill="auto"/>
            <w:noWrap/>
            <w:vAlign w:val="bottom"/>
            <w:hideMark/>
          </w:tcPr>
          <w:p w14:paraId="1E0CCE12"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-0.369</w:t>
            </w:r>
          </w:p>
        </w:tc>
        <w:tc>
          <w:tcPr>
            <w:tcW w:w="0" w:type="auto"/>
            <w:tcBorders>
              <w:top w:val="nil"/>
              <w:left w:val="nil"/>
              <w:bottom w:val="single" w:sz="4" w:space="0" w:color="auto"/>
              <w:right w:val="single" w:sz="4" w:space="0" w:color="auto"/>
            </w:tcBorders>
            <w:shd w:val="clear" w:color="auto" w:fill="auto"/>
            <w:noWrap/>
            <w:vAlign w:val="bottom"/>
            <w:hideMark/>
          </w:tcPr>
          <w:p w14:paraId="6C4A3AF7"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-0.546</w:t>
            </w:r>
          </w:p>
        </w:tc>
      </w:tr>
      <w:tr w:rsidR="003D3694" w:rsidRPr="00747E35" w14:paraId="748EFE9A"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D8ED58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Psychodidae_indet_Sx</w:t>
            </w:r>
          </w:p>
        </w:tc>
        <w:tc>
          <w:tcPr>
            <w:tcW w:w="0" w:type="auto"/>
            <w:tcBorders>
              <w:top w:val="nil"/>
              <w:left w:val="nil"/>
              <w:bottom w:val="single" w:sz="4" w:space="0" w:color="auto"/>
              <w:right w:val="single" w:sz="4" w:space="0" w:color="auto"/>
            </w:tcBorders>
            <w:shd w:val="clear" w:color="auto" w:fill="auto"/>
            <w:noWrap/>
            <w:vAlign w:val="bottom"/>
            <w:hideMark/>
          </w:tcPr>
          <w:p w14:paraId="6BA324E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0.231</w:t>
            </w:r>
          </w:p>
        </w:tc>
        <w:tc>
          <w:tcPr>
            <w:tcW w:w="0" w:type="auto"/>
            <w:tcBorders>
              <w:top w:val="nil"/>
              <w:left w:val="nil"/>
              <w:bottom w:val="single" w:sz="4" w:space="0" w:color="auto"/>
              <w:right w:val="single" w:sz="4" w:space="0" w:color="auto"/>
            </w:tcBorders>
            <w:shd w:val="clear" w:color="auto" w:fill="auto"/>
            <w:noWrap/>
            <w:vAlign w:val="bottom"/>
            <w:hideMark/>
          </w:tcPr>
          <w:p w14:paraId="6CCC02BE"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0.128</w:t>
            </w:r>
          </w:p>
        </w:tc>
        <w:tc>
          <w:tcPr>
            <w:tcW w:w="0" w:type="auto"/>
            <w:tcBorders>
              <w:top w:val="nil"/>
              <w:left w:val="nil"/>
              <w:bottom w:val="nil"/>
              <w:right w:val="nil"/>
            </w:tcBorders>
            <w:shd w:val="clear" w:color="auto" w:fill="auto"/>
            <w:noWrap/>
            <w:vAlign w:val="bottom"/>
            <w:hideMark/>
          </w:tcPr>
          <w:p w14:paraId="699215D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45D3C84"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Sqr(Ammonia (mg/l))</w:t>
            </w:r>
          </w:p>
        </w:tc>
        <w:tc>
          <w:tcPr>
            <w:tcW w:w="0" w:type="auto"/>
            <w:tcBorders>
              <w:top w:val="nil"/>
              <w:left w:val="nil"/>
              <w:bottom w:val="single" w:sz="4" w:space="0" w:color="auto"/>
              <w:right w:val="single" w:sz="4" w:space="0" w:color="auto"/>
            </w:tcBorders>
            <w:shd w:val="clear" w:color="auto" w:fill="auto"/>
            <w:noWrap/>
            <w:vAlign w:val="bottom"/>
            <w:hideMark/>
          </w:tcPr>
          <w:p w14:paraId="27E75225"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-0.458</w:t>
            </w:r>
          </w:p>
        </w:tc>
        <w:tc>
          <w:tcPr>
            <w:tcW w:w="0" w:type="auto"/>
            <w:tcBorders>
              <w:top w:val="nil"/>
              <w:left w:val="nil"/>
              <w:bottom w:val="single" w:sz="4" w:space="0" w:color="auto"/>
              <w:right w:val="single" w:sz="4" w:space="0" w:color="auto"/>
            </w:tcBorders>
            <w:shd w:val="clear" w:color="auto" w:fill="auto"/>
            <w:noWrap/>
            <w:vAlign w:val="bottom"/>
            <w:hideMark/>
          </w:tcPr>
          <w:p w14:paraId="70472623"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0.131</w:t>
            </w:r>
          </w:p>
        </w:tc>
      </w:tr>
      <w:tr w:rsidR="003D3694" w:rsidRPr="00747E35" w14:paraId="2F607923"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CCA5DB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lastRenderedPageBreak/>
              <w:t>Ephemeroptera_indet._Sx</w:t>
            </w:r>
          </w:p>
        </w:tc>
        <w:tc>
          <w:tcPr>
            <w:tcW w:w="0" w:type="auto"/>
            <w:tcBorders>
              <w:top w:val="nil"/>
              <w:left w:val="nil"/>
              <w:bottom w:val="single" w:sz="4" w:space="0" w:color="auto"/>
              <w:right w:val="single" w:sz="4" w:space="0" w:color="auto"/>
            </w:tcBorders>
            <w:shd w:val="clear" w:color="auto" w:fill="auto"/>
            <w:noWrap/>
            <w:vAlign w:val="bottom"/>
            <w:hideMark/>
          </w:tcPr>
          <w:p w14:paraId="6A7B2F57"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0.048</w:t>
            </w:r>
          </w:p>
        </w:tc>
        <w:tc>
          <w:tcPr>
            <w:tcW w:w="0" w:type="auto"/>
            <w:tcBorders>
              <w:top w:val="nil"/>
              <w:left w:val="nil"/>
              <w:bottom w:val="single" w:sz="4" w:space="0" w:color="auto"/>
              <w:right w:val="single" w:sz="4" w:space="0" w:color="auto"/>
            </w:tcBorders>
            <w:shd w:val="clear" w:color="auto" w:fill="auto"/>
            <w:noWrap/>
            <w:vAlign w:val="bottom"/>
            <w:hideMark/>
          </w:tcPr>
          <w:p w14:paraId="12D41D56"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-0.045</w:t>
            </w:r>
          </w:p>
        </w:tc>
        <w:tc>
          <w:tcPr>
            <w:tcW w:w="0" w:type="auto"/>
            <w:tcBorders>
              <w:top w:val="nil"/>
              <w:left w:val="nil"/>
              <w:bottom w:val="nil"/>
              <w:right w:val="nil"/>
            </w:tcBorders>
            <w:shd w:val="clear" w:color="auto" w:fill="auto"/>
            <w:noWrap/>
            <w:vAlign w:val="bottom"/>
            <w:hideMark/>
          </w:tcPr>
          <w:p w14:paraId="6E7621F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501E3A3"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Si (mg/l)</w:t>
            </w:r>
          </w:p>
        </w:tc>
        <w:tc>
          <w:tcPr>
            <w:tcW w:w="0" w:type="auto"/>
            <w:tcBorders>
              <w:top w:val="nil"/>
              <w:left w:val="nil"/>
              <w:bottom w:val="single" w:sz="4" w:space="0" w:color="auto"/>
              <w:right w:val="single" w:sz="4" w:space="0" w:color="auto"/>
            </w:tcBorders>
            <w:shd w:val="clear" w:color="auto" w:fill="auto"/>
            <w:noWrap/>
            <w:vAlign w:val="bottom"/>
            <w:hideMark/>
          </w:tcPr>
          <w:p w14:paraId="7486B50F"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-0.392</w:t>
            </w:r>
          </w:p>
        </w:tc>
        <w:tc>
          <w:tcPr>
            <w:tcW w:w="0" w:type="auto"/>
            <w:tcBorders>
              <w:top w:val="nil"/>
              <w:left w:val="nil"/>
              <w:bottom w:val="single" w:sz="4" w:space="0" w:color="auto"/>
              <w:right w:val="single" w:sz="4" w:space="0" w:color="auto"/>
            </w:tcBorders>
            <w:shd w:val="clear" w:color="auto" w:fill="auto"/>
            <w:noWrap/>
            <w:vAlign w:val="bottom"/>
            <w:hideMark/>
          </w:tcPr>
          <w:p w14:paraId="6EDD0046"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-0.325</w:t>
            </w:r>
          </w:p>
        </w:tc>
      </w:tr>
      <w:tr w:rsidR="003D3694" w:rsidRPr="00747E35" w14:paraId="04564870"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314095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Diptera_indet._Sx?</w:t>
            </w:r>
          </w:p>
        </w:tc>
        <w:tc>
          <w:tcPr>
            <w:tcW w:w="0" w:type="auto"/>
            <w:tcBorders>
              <w:top w:val="nil"/>
              <w:left w:val="nil"/>
              <w:bottom w:val="single" w:sz="4" w:space="0" w:color="auto"/>
              <w:right w:val="single" w:sz="4" w:space="0" w:color="auto"/>
            </w:tcBorders>
            <w:shd w:val="clear" w:color="auto" w:fill="auto"/>
            <w:noWrap/>
            <w:vAlign w:val="bottom"/>
            <w:hideMark/>
          </w:tcPr>
          <w:p w14:paraId="52B7D980"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-0.124</w:t>
            </w:r>
          </w:p>
        </w:tc>
        <w:tc>
          <w:tcPr>
            <w:tcW w:w="0" w:type="auto"/>
            <w:tcBorders>
              <w:top w:val="nil"/>
              <w:left w:val="nil"/>
              <w:bottom w:val="single" w:sz="4" w:space="0" w:color="auto"/>
              <w:right w:val="single" w:sz="4" w:space="0" w:color="auto"/>
            </w:tcBorders>
            <w:shd w:val="clear" w:color="auto" w:fill="auto"/>
            <w:noWrap/>
            <w:vAlign w:val="bottom"/>
            <w:hideMark/>
          </w:tcPr>
          <w:p w14:paraId="721FDD7C"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0.057</w:t>
            </w:r>
          </w:p>
        </w:tc>
        <w:tc>
          <w:tcPr>
            <w:tcW w:w="0" w:type="auto"/>
            <w:tcBorders>
              <w:top w:val="nil"/>
              <w:left w:val="nil"/>
              <w:bottom w:val="nil"/>
              <w:right w:val="nil"/>
            </w:tcBorders>
            <w:shd w:val="clear" w:color="auto" w:fill="auto"/>
            <w:noWrap/>
            <w:vAlign w:val="bottom"/>
            <w:hideMark/>
          </w:tcPr>
          <w:p w14:paraId="4B80E40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AB864F7"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Sqr(Fe (mg/l))</w:t>
            </w:r>
          </w:p>
        </w:tc>
        <w:tc>
          <w:tcPr>
            <w:tcW w:w="0" w:type="auto"/>
            <w:tcBorders>
              <w:top w:val="nil"/>
              <w:left w:val="nil"/>
              <w:bottom w:val="single" w:sz="4" w:space="0" w:color="auto"/>
              <w:right w:val="single" w:sz="4" w:space="0" w:color="auto"/>
            </w:tcBorders>
            <w:shd w:val="clear" w:color="auto" w:fill="auto"/>
            <w:noWrap/>
            <w:vAlign w:val="bottom"/>
            <w:hideMark/>
          </w:tcPr>
          <w:p w14:paraId="7F0626B4"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-0.511</w:t>
            </w:r>
          </w:p>
        </w:tc>
        <w:tc>
          <w:tcPr>
            <w:tcW w:w="0" w:type="auto"/>
            <w:tcBorders>
              <w:top w:val="nil"/>
              <w:left w:val="nil"/>
              <w:bottom w:val="single" w:sz="4" w:space="0" w:color="auto"/>
              <w:right w:val="single" w:sz="4" w:space="0" w:color="auto"/>
            </w:tcBorders>
            <w:shd w:val="clear" w:color="auto" w:fill="auto"/>
            <w:noWrap/>
            <w:vAlign w:val="bottom"/>
            <w:hideMark/>
          </w:tcPr>
          <w:p w14:paraId="2A07B277"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0.107</w:t>
            </w:r>
          </w:p>
        </w:tc>
      </w:tr>
      <w:tr w:rsidR="003D3694" w:rsidRPr="00747E35" w14:paraId="5098F488"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D25B5E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Insecta_indet._Sx?</w:t>
            </w:r>
          </w:p>
        </w:tc>
        <w:tc>
          <w:tcPr>
            <w:tcW w:w="0" w:type="auto"/>
            <w:tcBorders>
              <w:top w:val="nil"/>
              <w:left w:val="nil"/>
              <w:bottom w:val="single" w:sz="4" w:space="0" w:color="auto"/>
              <w:right w:val="single" w:sz="4" w:space="0" w:color="auto"/>
            </w:tcBorders>
            <w:shd w:val="clear" w:color="auto" w:fill="auto"/>
            <w:noWrap/>
            <w:vAlign w:val="bottom"/>
            <w:hideMark/>
          </w:tcPr>
          <w:p w14:paraId="2AC0F248"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0.159</w:t>
            </w:r>
          </w:p>
        </w:tc>
        <w:tc>
          <w:tcPr>
            <w:tcW w:w="0" w:type="auto"/>
            <w:tcBorders>
              <w:top w:val="nil"/>
              <w:left w:val="nil"/>
              <w:bottom w:val="single" w:sz="4" w:space="0" w:color="auto"/>
              <w:right w:val="single" w:sz="4" w:space="0" w:color="auto"/>
            </w:tcBorders>
            <w:shd w:val="clear" w:color="auto" w:fill="auto"/>
            <w:noWrap/>
            <w:vAlign w:val="bottom"/>
            <w:hideMark/>
          </w:tcPr>
          <w:p w14:paraId="471B7C03"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0.049</w:t>
            </w:r>
          </w:p>
        </w:tc>
        <w:tc>
          <w:tcPr>
            <w:tcW w:w="0" w:type="auto"/>
            <w:tcBorders>
              <w:top w:val="nil"/>
              <w:left w:val="nil"/>
              <w:bottom w:val="nil"/>
              <w:right w:val="nil"/>
            </w:tcBorders>
            <w:shd w:val="clear" w:color="auto" w:fill="auto"/>
            <w:noWrap/>
            <w:vAlign w:val="bottom"/>
            <w:hideMark/>
          </w:tcPr>
          <w:p w14:paraId="0471605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C8A0755"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Sqr(Mn (mg/l))</w:t>
            </w:r>
          </w:p>
        </w:tc>
        <w:tc>
          <w:tcPr>
            <w:tcW w:w="0" w:type="auto"/>
            <w:tcBorders>
              <w:top w:val="nil"/>
              <w:left w:val="nil"/>
              <w:bottom w:val="single" w:sz="4" w:space="0" w:color="auto"/>
              <w:right w:val="single" w:sz="4" w:space="0" w:color="auto"/>
            </w:tcBorders>
            <w:shd w:val="clear" w:color="auto" w:fill="auto"/>
            <w:noWrap/>
            <w:vAlign w:val="bottom"/>
            <w:hideMark/>
          </w:tcPr>
          <w:p w14:paraId="264808EB"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-0.547</w:t>
            </w:r>
          </w:p>
        </w:tc>
        <w:tc>
          <w:tcPr>
            <w:tcW w:w="0" w:type="auto"/>
            <w:tcBorders>
              <w:top w:val="nil"/>
              <w:left w:val="nil"/>
              <w:bottom w:val="single" w:sz="4" w:space="0" w:color="auto"/>
              <w:right w:val="single" w:sz="4" w:space="0" w:color="auto"/>
            </w:tcBorders>
            <w:shd w:val="clear" w:color="auto" w:fill="auto"/>
            <w:noWrap/>
            <w:vAlign w:val="bottom"/>
            <w:hideMark/>
          </w:tcPr>
          <w:p w14:paraId="348AEC53"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0.122</w:t>
            </w:r>
          </w:p>
        </w:tc>
      </w:tr>
      <w:tr w:rsidR="003D3694" w:rsidRPr="00747E35" w14:paraId="6616B245"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6E9F11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Elmidae_indet._Sx?</w:t>
            </w:r>
          </w:p>
        </w:tc>
        <w:tc>
          <w:tcPr>
            <w:tcW w:w="0" w:type="auto"/>
            <w:tcBorders>
              <w:top w:val="nil"/>
              <w:left w:val="nil"/>
              <w:bottom w:val="single" w:sz="4" w:space="0" w:color="auto"/>
              <w:right w:val="single" w:sz="4" w:space="0" w:color="auto"/>
            </w:tcBorders>
            <w:shd w:val="clear" w:color="auto" w:fill="auto"/>
            <w:noWrap/>
            <w:vAlign w:val="bottom"/>
            <w:hideMark/>
          </w:tcPr>
          <w:p w14:paraId="27D266C8"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-0.067</w:t>
            </w:r>
          </w:p>
        </w:tc>
        <w:tc>
          <w:tcPr>
            <w:tcW w:w="0" w:type="auto"/>
            <w:tcBorders>
              <w:top w:val="nil"/>
              <w:left w:val="nil"/>
              <w:bottom w:val="single" w:sz="4" w:space="0" w:color="auto"/>
              <w:right w:val="single" w:sz="4" w:space="0" w:color="auto"/>
            </w:tcBorders>
            <w:shd w:val="clear" w:color="auto" w:fill="auto"/>
            <w:noWrap/>
            <w:vAlign w:val="bottom"/>
            <w:hideMark/>
          </w:tcPr>
          <w:p w14:paraId="4DBDCA51"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0.001</w:t>
            </w:r>
          </w:p>
        </w:tc>
        <w:tc>
          <w:tcPr>
            <w:tcW w:w="0" w:type="auto"/>
            <w:tcBorders>
              <w:top w:val="nil"/>
              <w:left w:val="nil"/>
              <w:bottom w:val="nil"/>
              <w:right w:val="nil"/>
            </w:tcBorders>
            <w:shd w:val="clear" w:color="auto" w:fill="auto"/>
            <w:noWrap/>
            <w:vAlign w:val="bottom"/>
            <w:hideMark/>
          </w:tcPr>
          <w:p w14:paraId="05076018"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6FE23F5"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Sr (mg/l)</w:t>
            </w:r>
          </w:p>
        </w:tc>
        <w:tc>
          <w:tcPr>
            <w:tcW w:w="0" w:type="auto"/>
            <w:tcBorders>
              <w:top w:val="nil"/>
              <w:left w:val="nil"/>
              <w:bottom w:val="single" w:sz="4" w:space="0" w:color="auto"/>
              <w:right w:val="single" w:sz="4" w:space="0" w:color="auto"/>
            </w:tcBorders>
            <w:shd w:val="clear" w:color="auto" w:fill="auto"/>
            <w:noWrap/>
            <w:vAlign w:val="bottom"/>
            <w:hideMark/>
          </w:tcPr>
          <w:p w14:paraId="5EB61A0F"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-0.564</w:t>
            </w:r>
          </w:p>
        </w:tc>
        <w:tc>
          <w:tcPr>
            <w:tcW w:w="0" w:type="auto"/>
            <w:tcBorders>
              <w:top w:val="nil"/>
              <w:left w:val="nil"/>
              <w:bottom w:val="single" w:sz="4" w:space="0" w:color="auto"/>
              <w:right w:val="single" w:sz="4" w:space="0" w:color="auto"/>
            </w:tcBorders>
            <w:shd w:val="clear" w:color="auto" w:fill="auto"/>
            <w:noWrap/>
            <w:vAlign w:val="bottom"/>
            <w:hideMark/>
          </w:tcPr>
          <w:p w14:paraId="0B12AA2A"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-0.492</w:t>
            </w:r>
          </w:p>
        </w:tc>
      </w:tr>
      <w:tr w:rsidR="003D3694" w:rsidRPr="00747E35" w14:paraId="3C4B5BAE"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FC1F6E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Simulidae_indet._Ep</w:t>
            </w:r>
          </w:p>
        </w:tc>
        <w:tc>
          <w:tcPr>
            <w:tcW w:w="0" w:type="auto"/>
            <w:tcBorders>
              <w:top w:val="nil"/>
              <w:left w:val="nil"/>
              <w:bottom w:val="single" w:sz="4" w:space="0" w:color="auto"/>
              <w:right w:val="single" w:sz="4" w:space="0" w:color="auto"/>
            </w:tcBorders>
            <w:shd w:val="clear" w:color="auto" w:fill="auto"/>
            <w:noWrap/>
            <w:vAlign w:val="bottom"/>
            <w:hideMark/>
          </w:tcPr>
          <w:p w14:paraId="1F2AD796"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0.194</w:t>
            </w:r>
          </w:p>
        </w:tc>
        <w:tc>
          <w:tcPr>
            <w:tcW w:w="0" w:type="auto"/>
            <w:tcBorders>
              <w:top w:val="nil"/>
              <w:left w:val="nil"/>
              <w:bottom w:val="single" w:sz="4" w:space="0" w:color="auto"/>
              <w:right w:val="single" w:sz="4" w:space="0" w:color="auto"/>
            </w:tcBorders>
            <w:shd w:val="clear" w:color="auto" w:fill="auto"/>
            <w:noWrap/>
            <w:vAlign w:val="bottom"/>
            <w:hideMark/>
          </w:tcPr>
          <w:p w14:paraId="499D6823"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0.085</w:t>
            </w:r>
          </w:p>
        </w:tc>
        <w:tc>
          <w:tcPr>
            <w:tcW w:w="0" w:type="auto"/>
            <w:tcBorders>
              <w:top w:val="nil"/>
              <w:left w:val="nil"/>
              <w:bottom w:val="nil"/>
              <w:right w:val="nil"/>
            </w:tcBorders>
            <w:shd w:val="clear" w:color="auto" w:fill="auto"/>
            <w:noWrap/>
            <w:vAlign w:val="bottom"/>
            <w:hideMark/>
          </w:tcPr>
          <w:p w14:paraId="36B0EDF8"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CA6021C" w14:textId="77777777" w:rsidR="003D3694" w:rsidRPr="00747E35" w:rsidRDefault="003D3694" w:rsidP="0096743A">
            <w:pPr>
              <w:autoSpaceDE/>
              <w:autoSpaceDN/>
              <w:spacing w:after="0"/>
              <w:rPr>
                <w:rFonts w:asciiTheme="minorHAnsi" w:eastAsia="Times New Roman" w:hAnsiTheme="minorHAnsi" w:cstheme="minorHAnsi"/>
                <w:bCs/>
                <w:sz w:val="20"/>
                <w:szCs w:val="20"/>
                <w:lang w:eastAsia="en-AU"/>
              </w:rPr>
            </w:pPr>
            <w:r w:rsidRPr="00747E35">
              <w:rPr>
                <w:rFonts w:asciiTheme="minorHAnsi" w:eastAsia="Times New Roman" w:hAnsiTheme="minorHAnsi" w:cstheme="minorHAnsi"/>
                <w:bCs/>
                <w:sz w:val="20"/>
                <w:szCs w:val="20"/>
                <w:lang w:eastAsia="en-AU"/>
              </w:rPr>
              <w:t>Sqr(Al (ug/l))</w:t>
            </w:r>
          </w:p>
        </w:tc>
        <w:tc>
          <w:tcPr>
            <w:tcW w:w="0" w:type="auto"/>
            <w:tcBorders>
              <w:top w:val="nil"/>
              <w:left w:val="nil"/>
              <w:bottom w:val="single" w:sz="4" w:space="0" w:color="auto"/>
              <w:right w:val="single" w:sz="4" w:space="0" w:color="auto"/>
            </w:tcBorders>
            <w:shd w:val="clear" w:color="auto" w:fill="auto"/>
            <w:noWrap/>
            <w:vAlign w:val="bottom"/>
            <w:hideMark/>
          </w:tcPr>
          <w:p w14:paraId="47ABBCCB"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-0.058</w:t>
            </w:r>
          </w:p>
        </w:tc>
        <w:tc>
          <w:tcPr>
            <w:tcW w:w="0" w:type="auto"/>
            <w:tcBorders>
              <w:top w:val="nil"/>
              <w:left w:val="nil"/>
              <w:bottom w:val="single" w:sz="4" w:space="0" w:color="auto"/>
              <w:right w:val="single" w:sz="4" w:space="0" w:color="auto"/>
            </w:tcBorders>
            <w:shd w:val="clear" w:color="auto" w:fill="auto"/>
            <w:noWrap/>
            <w:vAlign w:val="bottom"/>
            <w:hideMark/>
          </w:tcPr>
          <w:p w14:paraId="2276A2AC"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0.037</w:t>
            </w:r>
          </w:p>
        </w:tc>
      </w:tr>
      <w:tr w:rsidR="003D3694" w:rsidRPr="00747E35" w14:paraId="36C137CB"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08E8B8"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Odonata_indet._Ep</w:t>
            </w:r>
          </w:p>
        </w:tc>
        <w:tc>
          <w:tcPr>
            <w:tcW w:w="0" w:type="auto"/>
            <w:tcBorders>
              <w:top w:val="nil"/>
              <w:left w:val="nil"/>
              <w:bottom w:val="single" w:sz="4" w:space="0" w:color="auto"/>
              <w:right w:val="single" w:sz="4" w:space="0" w:color="auto"/>
            </w:tcBorders>
            <w:shd w:val="clear" w:color="auto" w:fill="auto"/>
            <w:noWrap/>
            <w:vAlign w:val="bottom"/>
            <w:hideMark/>
          </w:tcPr>
          <w:p w14:paraId="1AD4B1C3"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-0.039</w:t>
            </w:r>
          </w:p>
        </w:tc>
        <w:tc>
          <w:tcPr>
            <w:tcW w:w="0" w:type="auto"/>
            <w:tcBorders>
              <w:top w:val="nil"/>
              <w:left w:val="nil"/>
              <w:bottom w:val="single" w:sz="4" w:space="0" w:color="auto"/>
              <w:right w:val="single" w:sz="4" w:space="0" w:color="auto"/>
            </w:tcBorders>
            <w:shd w:val="clear" w:color="auto" w:fill="auto"/>
            <w:noWrap/>
            <w:vAlign w:val="bottom"/>
            <w:hideMark/>
          </w:tcPr>
          <w:p w14:paraId="6CB4544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-0.087</w:t>
            </w:r>
          </w:p>
        </w:tc>
        <w:tc>
          <w:tcPr>
            <w:tcW w:w="0" w:type="auto"/>
            <w:tcBorders>
              <w:top w:val="nil"/>
              <w:left w:val="nil"/>
              <w:bottom w:val="nil"/>
              <w:right w:val="nil"/>
            </w:tcBorders>
            <w:shd w:val="clear" w:color="auto" w:fill="auto"/>
            <w:noWrap/>
            <w:vAlign w:val="bottom"/>
            <w:hideMark/>
          </w:tcPr>
          <w:p w14:paraId="5D127B8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91A4343"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Sqr(Cu (ug/l))</w:t>
            </w:r>
          </w:p>
        </w:tc>
        <w:tc>
          <w:tcPr>
            <w:tcW w:w="0" w:type="auto"/>
            <w:tcBorders>
              <w:top w:val="nil"/>
              <w:left w:val="nil"/>
              <w:bottom w:val="single" w:sz="4" w:space="0" w:color="auto"/>
              <w:right w:val="single" w:sz="4" w:space="0" w:color="auto"/>
            </w:tcBorders>
            <w:shd w:val="clear" w:color="auto" w:fill="auto"/>
            <w:noWrap/>
            <w:vAlign w:val="bottom"/>
            <w:hideMark/>
          </w:tcPr>
          <w:p w14:paraId="6F932AEB"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0.388</w:t>
            </w:r>
          </w:p>
        </w:tc>
        <w:tc>
          <w:tcPr>
            <w:tcW w:w="0" w:type="auto"/>
            <w:tcBorders>
              <w:top w:val="nil"/>
              <w:left w:val="nil"/>
              <w:bottom w:val="single" w:sz="4" w:space="0" w:color="auto"/>
              <w:right w:val="single" w:sz="4" w:space="0" w:color="auto"/>
            </w:tcBorders>
            <w:shd w:val="clear" w:color="auto" w:fill="auto"/>
            <w:noWrap/>
            <w:vAlign w:val="bottom"/>
            <w:hideMark/>
          </w:tcPr>
          <w:p w14:paraId="7BE26171"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-0.098</w:t>
            </w:r>
          </w:p>
        </w:tc>
      </w:tr>
      <w:tr w:rsidR="003D3694" w:rsidRPr="00747E35" w14:paraId="0F695B18"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D86377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Trichoptera_indet._Ep</w:t>
            </w:r>
          </w:p>
        </w:tc>
        <w:tc>
          <w:tcPr>
            <w:tcW w:w="0" w:type="auto"/>
            <w:tcBorders>
              <w:top w:val="nil"/>
              <w:left w:val="nil"/>
              <w:bottom w:val="single" w:sz="4" w:space="0" w:color="auto"/>
              <w:right w:val="single" w:sz="4" w:space="0" w:color="auto"/>
            </w:tcBorders>
            <w:shd w:val="clear" w:color="auto" w:fill="auto"/>
            <w:noWrap/>
            <w:vAlign w:val="bottom"/>
            <w:hideMark/>
          </w:tcPr>
          <w:p w14:paraId="1109DBF2"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-0.128</w:t>
            </w:r>
          </w:p>
        </w:tc>
        <w:tc>
          <w:tcPr>
            <w:tcW w:w="0" w:type="auto"/>
            <w:tcBorders>
              <w:top w:val="nil"/>
              <w:left w:val="nil"/>
              <w:bottom w:val="single" w:sz="4" w:space="0" w:color="auto"/>
              <w:right w:val="single" w:sz="4" w:space="0" w:color="auto"/>
            </w:tcBorders>
            <w:shd w:val="clear" w:color="auto" w:fill="auto"/>
            <w:noWrap/>
            <w:vAlign w:val="bottom"/>
            <w:hideMark/>
          </w:tcPr>
          <w:p w14:paraId="424789FD"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-0.016</w:t>
            </w:r>
          </w:p>
        </w:tc>
        <w:tc>
          <w:tcPr>
            <w:tcW w:w="0" w:type="auto"/>
            <w:tcBorders>
              <w:top w:val="nil"/>
              <w:left w:val="nil"/>
              <w:bottom w:val="nil"/>
              <w:right w:val="nil"/>
            </w:tcBorders>
            <w:shd w:val="clear" w:color="auto" w:fill="auto"/>
            <w:noWrap/>
            <w:vAlign w:val="bottom"/>
            <w:hideMark/>
          </w:tcPr>
          <w:p w14:paraId="4D8575C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404C025" w14:textId="77777777" w:rsidR="003D3694" w:rsidRPr="00747E35" w:rsidRDefault="003D3694" w:rsidP="0096743A">
            <w:pPr>
              <w:autoSpaceDE/>
              <w:autoSpaceDN/>
              <w:spacing w:after="0"/>
              <w:rPr>
                <w:rFonts w:asciiTheme="minorHAnsi" w:eastAsia="Times New Roman" w:hAnsiTheme="minorHAnsi" w:cstheme="minorHAnsi"/>
                <w:bCs/>
                <w:sz w:val="20"/>
                <w:szCs w:val="20"/>
                <w:lang w:eastAsia="en-AU"/>
              </w:rPr>
            </w:pPr>
            <w:r w:rsidRPr="00747E35">
              <w:rPr>
                <w:rFonts w:asciiTheme="minorHAnsi" w:eastAsia="Times New Roman" w:hAnsiTheme="minorHAnsi" w:cstheme="minorHAnsi"/>
                <w:bCs/>
                <w:sz w:val="20"/>
                <w:szCs w:val="20"/>
                <w:lang w:eastAsia="en-AU"/>
              </w:rPr>
              <w:t>Sqr(Zn (ug/l))</w:t>
            </w:r>
          </w:p>
        </w:tc>
        <w:tc>
          <w:tcPr>
            <w:tcW w:w="0" w:type="auto"/>
            <w:tcBorders>
              <w:top w:val="nil"/>
              <w:left w:val="nil"/>
              <w:bottom w:val="single" w:sz="4" w:space="0" w:color="auto"/>
              <w:right w:val="single" w:sz="4" w:space="0" w:color="auto"/>
            </w:tcBorders>
            <w:shd w:val="clear" w:color="auto" w:fill="auto"/>
            <w:noWrap/>
            <w:vAlign w:val="bottom"/>
            <w:hideMark/>
          </w:tcPr>
          <w:p w14:paraId="154C054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-0.034</w:t>
            </w:r>
          </w:p>
        </w:tc>
        <w:tc>
          <w:tcPr>
            <w:tcW w:w="0" w:type="auto"/>
            <w:tcBorders>
              <w:top w:val="nil"/>
              <w:left w:val="nil"/>
              <w:bottom w:val="single" w:sz="4" w:space="0" w:color="auto"/>
              <w:right w:val="single" w:sz="4" w:space="0" w:color="auto"/>
            </w:tcBorders>
            <w:shd w:val="clear" w:color="auto" w:fill="auto"/>
            <w:noWrap/>
            <w:vAlign w:val="bottom"/>
            <w:hideMark/>
          </w:tcPr>
          <w:p w14:paraId="2073A40D"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-0.150</w:t>
            </w:r>
          </w:p>
        </w:tc>
      </w:tr>
      <w:tr w:rsidR="003D3694" w:rsidRPr="00747E35" w14:paraId="185C77BF"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7D86F6D"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Tardigrada_Ep</w:t>
            </w:r>
          </w:p>
        </w:tc>
        <w:tc>
          <w:tcPr>
            <w:tcW w:w="0" w:type="auto"/>
            <w:tcBorders>
              <w:top w:val="nil"/>
              <w:left w:val="nil"/>
              <w:bottom w:val="single" w:sz="4" w:space="0" w:color="auto"/>
              <w:right w:val="single" w:sz="4" w:space="0" w:color="auto"/>
            </w:tcBorders>
            <w:shd w:val="clear" w:color="auto" w:fill="auto"/>
            <w:noWrap/>
            <w:vAlign w:val="bottom"/>
            <w:hideMark/>
          </w:tcPr>
          <w:p w14:paraId="25377BEB"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0.238</w:t>
            </w:r>
          </w:p>
        </w:tc>
        <w:tc>
          <w:tcPr>
            <w:tcW w:w="0" w:type="auto"/>
            <w:tcBorders>
              <w:top w:val="nil"/>
              <w:left w:val="nil"/>
              <w:bottom w:val="single" w:sz="4" w:space="0" w:color="auto"/>
              <w:right w:val="single" w:sz="4" w:space="0" w:color="auto"/>
            </w:tcBorders>
            <w:shd w:val="clear" w:color="auto" w:fill="auto"/>
            <w:noWrap/>
            <w:vAlign w:val="bottom"/>
            <w:hideMark/>
          </w:tcPr>
          <w:p w14:paraId="5C99BF9C"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0.094</w:t>
            </w:r>
          </w:p>
        </w:tc>
        <w:tc>
          <w:tcPr>
            <w:tcW w:w="0" w:type="auto"/>
            <w:tcBorders>
              <w:top w:val="nil"/>
              <w:left w:val="nil"/>
              <w:bottom w:val="nil"/>
              <w:right w:val="nil"/>
            </w:tcBorders>
            <w:shd w:val="clear" w:color="auto" w:fill="auto"/>
            <w:noWrap/>
            <w:vAlign w:val="bottom"/>
            <w:hideMark/>
          </w:tcPr>
          <w:p w14:paraId="1158AA5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8B0626" w14:textId="77777777" w:rsidR="003D3694" w:rsidRPr="00747E35" w:rsidRDefault="003D3694" w:rsidP="0096743A">
            <w:pPr>
              <w:autoSpaceDE/>
              <w:autoSpaceDN/>
              <w:spacing w:after="0"/>
              <w:rPr>
                <w:rFonts w:asciiTheme="minorHAnsi" w:eastAsia="Times New Roman" w:hAnsiTheme="minorHAnsi" w:cstheme="minorHAnsi"/>
                <w:bCs/>
                <w:sz w:val="20"/>
                <w:szCs w:val="20"/>
                <w:lang w:eastAsia="en-AU"/>
              </w:rPr>
            </w:pPr>
            <w:r w:rsidRPr="00747E35">
              <w:rPr>
                <w:rFonts w:asciiTheme="minorHAnsi" w:eastAsia="Times New Roman" w:hAnsiTheme="minorHAnsi" w:cstheme="minorHAnsi"/>
                <w:bCs/>
                <w:sz w:val="20"/>
                <w:szCs w:val="20"/>
                <w:lang w:eastAsia="en-AU"/>
              </w:rPr>
              <w:t>Ba (ug/l)</w:t>
            </w:r>
          </w:p>
        </w:tc>
        <w:tc>
          <w:tcPr>
            <w:tcW w:w="0" w:type="auto"/>
            <w:tcBorders>
              <w:top w:val="nil"/>
              <w:left w:val="nil"/>
              <w:bottom w:val="single" w:sz="4" w:space="0" w:color="auto"/>
              <w:right w:val="single" w:sz="4" w:space="0" w:color="auto"/>
            </w:tcBorders>
            <w:shd w:val="clear" w:color="auto" w:fill="auto"/>
            <w:noWrap/>
            <w:vAlign w:val="bottom"/>
            <w:hideMark/>
          </w:tcPr>
          <w:p w14:paraId="1D77AB09"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-0.613</w:t>
            </w:r>
          </w:p>
        </w:tc>
        <w:tc>
          <w:tcPr>
            <w:tcW w:w="0" w:type="auto"/>
            <w:tcBorders>
              <w:top w:val="nil"/>
              <w:left w:val="nil"/>
              <w:bottom w:val="single" w:sz="4" w:space="0" w:color="auto"/>
              <w:right w:val="single" w:sz="4" w:space="0" w:color="auto"/>
            </w:tcBorders>
            <w:shd w:val="clear" w:color="auto" w:fill="auto"/>
            <w:noWrap/>
            <w:vAlign w:val="bottom"/>
            <w:hideMark/>
          </w:tcPr>
          <w:p w14:paraId="12E939D6"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-0.305</w:t>
            </w:r>
          </w:p>
        </w:tc>
      </w:tr>
      <w:tr w:rsidR="003D3694" w:rsidRPr="00747E35" w14:paraId="7121AF15"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E6AAC4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Rotifer_indet._Ep</w:t>
            </w:r>
          </w:p>
        </w:tc>
        <w:tc>
          <w:tcPr>
            <w:tcW w:w="0" w:type="auto"/>
            <w:tcBorders>
              <w:top w:val="nil"/>
              <w:left w:val="nil"/>
              <w:bottom w:val="single" w:sz="4" w:space="0" w:color="auto"/>
              <w:right w:val="single" w:sz="4" w:space="0" w:color="auto"/>
            </w:tcBorders>
            <w:shd w:val="clear" w:color="auto" w:fill="auto"/>
            <w:noWrap/>
            <w:vAlign w:val="bottom"/>
            <w:hideMark/>
          </w:tcPr>
          <w:p w14:paraId="4D603473"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0.269</w:t>
            </w:r>
          </w:p>
        </w:tc>
        <w:tc>
          <w:tcPr>
            <w:tcW w:w="0" w:type="auto"/>
            <w:tcBorders>
              <w:top w:val="nil"/>
              <w:left w:val="nil"/>
              <w:bottom w:val="single" w:sz="4" w:space="0" w:color="auto"/>
              <w:right w:val="single" w:sz="4" w:space="0" w:color="auto"/>
            </w:tcBorders>
            <w:shd w:val="clear" w:color="auto" w:fill="auto"/>
            <w:noWrap/>
            <w:vAlign w:val="bottom"/>
            <w:hideMark/>
          </w:tcPr>
          <w:p w14:paraId="7EC90800"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0.248</w:t>
            </w:r>
          </w:p>
        </w:tc>
        <w:tc>
          <w:tcPr>
            <w:tcW w:w="0" w:type="auto"/>
            <w:tcBorders>
              <w:top w:val="nil"/>
              <w:left w:val="nil"/>
              <w:bottom w:val="nil"/>
              <w:right w:val="nil"/>
            </w:tcBorders>
            <w:shd w:val="clear" w:color="auto" w:fill="auto"/>
            <w:noWrap/>
            <w:vAlign w:val="bottom"/>
            <w:hideMark/>
          </w:tcPr>
          <w:p w14:paraId="0144DB3E"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99B9B16" w14:textId="77777777" w:rsidR="003D3694" w:rsidRPr="00747E35" w:rsidRDefault="003D3694" w:rsidP="0096743A">
            <w:pPr>
              <w:autoSpaceDE/>
              <w:autoSpaceDN/>
              <w:spacing w:after="0"/>
              <w:rPr>
                <w:rFonts w:asciiTheme="minorHAnsi" w:eastAsia="Times New Roman" w:hAnsiTheme="minorHAnsi" w:cstheme="minorHAnsi"/>
                <w:bCs/>
                <w:sz w:val="20"/>
                <w:szCs w:val="20"/>
                <w:lang w:eastAsia="en-AU"/>
              </w:rPr>
            </w:pPr>
            <w:r w:rsidRPr="00747E35">
              <w:rPr>
                <w:rFonts w:asciiTheme="minorHAnsi" w:eastAsia="Times New Roman" w:hAnsiTheme="minorHAnsi" w:cstheme="minorHAnsi"/>
                <w:bCs/>
                <w:sz w:val="20"/>
                <w:szCs w:val="20"/>
                <w:lang w:eastAsia="en-AU"/>
              </w:rPr>
              <w:t>Sqr(Cr (ug/l))</w:t>
            </w:r>
          </w:p>
        </w:tc>
        <w:tc>
          <w:tcPr>
            <w:tcW w:w="0" w:type="auto"/>
            <w:tcBorders>
              <w:top w:val="nil"/>
              <w:left w:val="nil"/>
              <w:bottom w:val="single" w:sz="4" w:space="0" w:color="auto"/>
              <w:right w:val="single" w:sz="4" w:space="0" w:color="auto"/>
            </w:tcBorders>
            <w:shd w:val="clear" w:color="auto" w:fill="auto"/>
            <w:noWrap/>
            <w:vAlign w:val="bottom"/>
            <w:hideMark/>
          </w:tcPr>
          <w:p w14:paraId="7199725B"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-0.146</w:t>
            </w:r>
          </w:p>
        </w:tc>
        <w:tc>
          <w:tcPr>
            <w:tcW w:w="0" w:type="auto"/>
            <w:tcBorders>
              <w:top w:val="nil"/>
              <w:left w:val="nil"/>
              <w:bottom w:val="single" w:sz="4" w:space="0" w:color="auto"/>
              <w:right w:val="single" w:sz="4" w:space="0" w:color="auto"/>
            </w:tcBorders>
            <w:shd w:val="clear" w:color="auto" w:fill="auto"/>
            <w:noWrap/>
            <w:vAlign w:val="bottom"/>
            <w:hideMark/>
          </w:tcPr>
          <w:p w14:paraId="26C510C9"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-0.098</w:t>
            </w:r>
          </w:p>
        </w:tc>
      </w:tr>
      <w:tr w:rsidR="003D3694" w:rsidRPr="00747E35" w14:paraId="47946CCA"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4469E1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Gastropoda_indet_Ep</w:t>
            </w:r>
          </w:p>
        </w:tc>
        <w:tc>
          <w:tcPr>
            <w:tcW w:w="0" w:type="auto"/>
            <w:tcBorders>
              <w:top w:val="nil"/>
              <w:left w:val="nil"/>
              <w:bottom w:val="single" w:sz="4" w:space="0" w:color="auto"/>
              <w:right w:val="single" w:sz="4" w:space="0" w:color="auto"/>
            </w:tcBorders>
            <w:shd w:val="clear" w:color="auto" w:fill="auto"/>
            <w:noWrap/>
            <w:vAlign w:val="bottom"/>
            <w:hideMark/>
          </w:tcPr>
          <w:p w14:paraId="142B635F"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0.021</w:t>
            </w:r>
          </w:p>
        </w:tc>
        <w:tc>
          <w:tcPr>
            <w:tcW w:w="0" w:type="auto"/>
            <w:tcBorders>
              <w:top w:val="nil"/>
              <w:left w:val="nil"/>
              <w:bottom w:val="single" w:sz="4" w:space="0" w:color="auto"/>
              <w:right w:val="single" w:sz="4" w:space="0" w:color="auto"/>
            </w:tcBorders>
            <w:shd w:val="clear" w:color="auto" w:fill="auto"/>
            <w:noWrap/>
            <w:vAlign w:val="bottom"/>
            <w:hideMark/>
          </w:tcPr>
          <w:p w14:paraId="5F9001E3"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0.079</w:t>
            </w:r>
          </w:p>
        </w:tc>
        <w:tc>
          <w:tcPr>
            <w:tcW w:w="0" w:type="auto"/>
            <w:tcBorders>
              <w:top w:val="nil"/>
              <w:left w:val="nil"/>
              <w:bottom w:val="nil"/>
              <w:right w:val="nil"/>
            </w:tcBorders>
            <w:shd w:val="clear" w:color="auto" w:fill="auto"/>
            <w:noWrap/>
            <w:vAlign w:val="bottom"/>
            <w:hideMark/>
          </w:tcPr>
          <w:p w14:paraId="32A53B28"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7DB3145" w14:textId="77777777" w:rsidR="003D3694" w:rsidRPr="00747E35" w:rsidRDefault="003D3694" w:rsidP="0096743A">
            <w:pPr>
              <w:autoSpaceDE/>
              <w:autoSpaceDN/>
              <w:spacing w:after="0"/>
              <w:rPr>
                <w:rFonts w:asciiTheme="minorHAnsi" w:eastAsia="Times New Roman" w:hAnsiTheme="minorHAnsi" w:cstheme="minorHAnsi"/>
                <w:bCs/>
                <w:sz w:val="20"/>
                <w:szCs w:val="20"/>
                <w:lang w:eastAsia="en-AU"/>
              </w:rPr>
            </w:pPr>
            <w:r w:rsidRPr="00747E35">
              <w:rPr>
                <w:rFonts w:asciiTheme="minorHAnsi" w:eastAsia="Times New Roman" w:hAnsiTheme="minorHAnsi" w:cstheme="minorHAnsi"/>
                <w:bCs/>
                <w:sz w:val="20"/>
                <w:szCs w:val="20"/>
                <w:lang w:eastAsia="en-AU"/>
              </w:rPr>
              <w:t>Sqr(Co (ug/l))</w:t>
            </w:r>
          </w:p>
        </w:tc>
        <w:tc>
          <w:tcPr>
            <w:tcW w:w="0" w:type="auto"/>
            <w:tcBorders>
              <w:top w:val="nil"/>
              <w:left w:val="nil"/>
              <w:bottom w:val="single" w:sz="4" w:space="0" w:color="auto"/>
              <w:right w:val="single" w:sz="4" w:space="0" w:color="auto"/>
            </w:tcBorders>
            <w:shd w:val="clear" w:color="auto" w:fill="auto"/>
            <w:noWrap/>
            <w:vAlign w:val="bottom"/>
            <w:hideMark/>
          </w:tcPr>
          <w:p w14:paraId="7EFDDF55"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-0.295</w:t>
            </w:r>
          </w:p>
        </w:tc>
        <w:tc>
          <w:tcPr>
            <w:tcW w:w="0" w:type="auto"/>
            <w:tcBorders>
              <w:top w:val="nil"/>
              <w:left w:val="nil"/>
              <w:bottom w:val="single" w:sz="4" w:space="0" w:color="auto"/>
              <w:right w:val="single" w:sz="4" w:space="0" w:color="auto"/>
            </w:tcBorders>
            <w:shd w:val="clear" w:color="auto" w:fill="auto"/>
            <w:noWrap/>
            <w:vAlign w:val="bottom"/>
            <w:hideMark/>
          </w:tcPr>
          <w:p w14:paraId="6C6DB3B7"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-0.083</w:t>
            </w:r>
          </w:p>
        </w:tc>
      </w:tr>
      <w:tr w:rsidR="003D3694" w:rsidRPr="00747E35" w14:paraId="64F84170"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41E5E3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Amphipoda_indet._MC_Ep</w:t>
            </w:r>
          </w:p>
        </w:tc>
        <w:tc>
          <w:tcPr>
            <w:tcW w:w="0" w:type="auto"/>
            <w:tcBorders>
              <w:top w:val="nil"/>
              <w:left w:val="nil"/>
              <w:bottom w:val="single" w:sz="4" w:space="0" w:color="auto"/>
              <w:right w:val="single" w:sz="4" w:space="0" w:color="auto"/>
            </w:tcBorders>
            <w:shd w:val="clear" w:color="auto" w:fill="auto"/>
            <w:noWrap/>
            <w:vAlign w:val="bottom"/>
            <w:hideMark/>
          </w:tcPr>
          <w:p w14:paraId="3C116635"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0.081</w:t>
            </w:r>
          </w:p>
        </w:tc>
        <w:tc>
          <w:tcPr>
            <w:tcW w:w="0" w:type="auto"/>
            <w:tcBorders>
              <w:top w:val="nil"/>
              <w:left w:val="nil"/>
              <w:bottom w:val="single" w:sz="4" w:space="0" w:color="auto"/>
              <w:right w:val="single" w:sz="4" w:space="0" w:color="auto"/>
            </w:tcBorders>
            <w:shd w:val="clear" w:color="auto" w:fill="auto"/>
            <w:noWrap/>
            <w:vAlign w:val="bottom"/>
            <w:hideMark/>
          </w:tcPr>
          <w:p w14:paraId="028ACD42"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-0.049</w:t>
            </w:r>
          </w:p>
        </w:tc>
        <w:tc>
          <w:tcPr>
            <w:tcW w:w="0" w:type="auto"/>
            <w:tcBorders>
              <w:top w:val="nil"/>
              <w:left w:val="nil"/>
              <w:bottom w:val="nil"/>
              <w:right w:val="nil"/>
            </w:tcBorders>
            <w:shd w:val="clear" w:color="auto" w:fill="auto"/>
            <w:noWrap/>
            <w:vAlign w:val="bottom"/>
            <w:hideMark/>
          </w:tcPr>
          <w:p w14:paraId="21F113D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925DFF" w14:textId="77777777" w:rsidR="003D3694" w:rsidRPr="00747E35" w:rsidRDefault="003D3694" w:rsidP="0096743A">
            <w:pPr>
              <w:autoSpaceDE/>
              <w:autoSpaceDN/>
              <w:spacing w:after="0"/>
              <w:rPr>
                <w:rFonts w:asciiTheme="minorHAnsi" w:eastAsia="Times New Roman" w:hAnsiTheme="minorHAnsi" w:cstheme="minorHAnsi"/>
                <w:bCs/>
                <w:sz w:val="20"/>
                <w:szCs w:val="20"/>
                <w:lang w:eastAsia="en-AU"/>
              </w:rPr>
            </w:pPr>
            <w:r w:rsidRPr="00747E35">
              <w:rPr>
                <w:rFonts w:asciiTheme="minorHAnsi" w:eastAsia="Times New Roman" w:hAnsiTheme="minorHAnsi" w:cstheme="minorHAnsi"/>
                <w:bCs/>
                <w:sz w:val="20"/>
                <w:szCs w:val="20"/>
                <w:lang w:eastAsia="en-AU"/>
              </w:rPr>
              <w:t>Sqr(As (ug/l))</w:t>
            </w:r>
          </w:p>
        </w:tc>
        <w:tc>
          <w:tcPr>
            <w:tcW w:w="0" w:type="auto"/>
            <w:tcBorders>
              <w:top w:val="nil"/>
              <w:left w:val="nil"/>
              <w:bottom w:val="single" w:sz="4" w:space="0" w:color="auto"/>
              <w:right w:val="single" w:sz="4" w:space="0" w:color="auto"/>
            </w:tcBorders>
            <w:shd w:val="clear" w:color="auto" w:fill="auto"/>
            <w:noWrap/>
            <w:vAlign w:val="bottom"/>
            <w:hideMark/>
          </w:tcPr>
          <w:p w14:paraId="622CD008"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-0.584</w:t>
            </w:r>
          </w:p>
        </w:tc>
        <w:tc>
          <w:tcPr>
            <w:tcW w:w="0" w:type="auto"/>
            <w:tcBorders>
              <w:top w:val="nil"/>
              <w:left w:val="nil"/>
              <w:bottom w:val="single" w:sz="4" w:space="0" w:color="auto"/>
              <w:right w:val="single" w:sz="4" w:space="0" w:color="auto"/>
            </w:tcBorders>
            <w:shd w:val="clear" w:color="auto" w:fill="auto"/>
            <w:noWrap/>
            <w:vAlign w:val="bottom"/>
            <w:hideMark/>
          </w:tcPr>
          <w:p w14:paraId="6C35BF49"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0.031</w:t>
            </w:r>
          </w:p>
        </w:tc>
      </w:tr>
      <w:tr w:rsidR="003D3694" w:rsidRPr="00747E35" w14:paraId="10520166"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2F3518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Cladocera_indet._Ep</w:t>
            </w:r>
          </w:p>
        </w:tc>
        <w:tc>
          <w:tcPr>
            <w:tcW w:w="0" w:type="auto"/>
            <w:tcBorders>
              <w:top w:val="nil"/>
              <w:left w:val="nil"/>
              <w:bottom w:val="single" w:sz="4" w:space="0" w:color="auto"/>
              <w:right w:val="single" w:sz="4" w:space="0" w:color="auto"/>
            </w:tcBorders>
            <w:shd w:val="clear" w:color="auto" w:fill="auto"/>
            <w:noWrap/>
            <w:vAlign w:val="bottom"/>
            <w:hideMark/>
          </w:tcPr>
          <w:p w14:paraId="6B8AD0AD"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0.126</w:t>
            </w:r>
          </w:p>
        </w:tc>
        <w:tc>
          <w:tcPr>
            <w:tcW w:w="0" w:type="auto"/>
            <w:tcBorders>
              <w:top w:val="nil"/>
              <w:left w:val="nil"/>
              <w:bottom w:val="single" w:sz="4" w:space="0" w:color="auto"/>
              <w:right w:val="single" w:sz="4" w:space="0" w:color="auto"/>
            </w:tcBorders>
            <w:shd w:val="clear" w:color="auto" w:fill="auto"/>
            <w:noWrap/>
            <w:vAlign w:val="bottom"/>
            <w:hideMark/>
          </w:tcPr>
          <w:p w14:paraId="47745EA1"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0.179</w:t>
            </w:r>
          </w:p>
        </w:tc>
        <w:tc>
          <w:tcPr>
            <w:tcW w:w="0" w:type="auto"/>
            <w:tcBorders>
              <w:top w:val="nil"/>
              <w:left w:val="nil"/>
              <w:bottom w:val="nil"/>
              <w:right w:val="nil"/>
            </w:tcBorders>
            <w:shd w:val="clear" w:color="auto" w:fill="auto"/>
            <w:noWrap/>
            <w:vAlign w:val="bottom"/>
            <w:hideMark/>
          </w:tcPr>
          <w:p w14:paraId="565F21F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AA74558"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Fluoride (mg/l)</w:t>
            </w:r>
          </w:p>
        </w:tc>
        <w:tc>
          <w:tcPr>
            <w:tcW w:w="0" w:type="auto"/>
            <w:tcBorders>
              <w:top w:val="nil"/>
              <w:left w:val="nil"/>
              <w:bottom w:val="single" w:sz="4" w:space="0" w:color="auto"/>
              <w:right w:val="single" w:sz="4" w:space="0" w:color="auto"/>
            </w:tcBorders>
            <w:shd w:val="clear" w:color="auto" w:fill="auto"/>
            <w:noWrap/>
            <w:vAlign w:val="bottom"/>
            <w:hideMark/>
          </w:tcPr>
          <w:p w14:paraId="1E1C0C6D"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-0.389</w:t>
            </w:r>
          </w:p>
        </w:tc>
        <w:tc>
          <w:tcPr>
            <w:tcW w:w="0" w:type="auto"/>
            <w:tcBorders>
              <w:top w:val="nil"/>
              <w:left w:val="nil"/>
              <w:bottom w:val="single" w:sz="4" w:space="0" w:color="auto"/>
              <w:right w:val="single" w:sz="4" w:space="0" w:color="auto"/>
            </w:tcBorders>
            <w:shd w:val="clear" w:color="auto" w:fill="auto"/>
            <w:noWrap/>
            <w:vAlign w:val="bottom"/>
            <w:hideMark/>
          </w:tcPr>
          <w:p w14:paraId="351561B4"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-0.358</w:t>
            </w:r>
          </w:p>
        </w:tc>
      </w:tr>
      <w:tr w:rsidR="003D3694" w:rsidRPr="00747E35" w14:paraId="6102058F"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50C52B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Nematomorpha_indet_P</w:t>
            </w:r>
          </w:p>
        </w:tc>
        <w:tc>
          <w:tcPr>
            <w:tcW w:w="0" w:type="auto"/>
            <w:tcBorders>
              <w:top w:val="nil"/>
              <w:left w:val="nil"/>
              <w:bottom w:val="single" w:sz="4" w:space="0" w:color="auto"/>
              <w:right w:val="single" w:sz="4" w:space="0" w:color="auto"/>
            </w:tcBorders>
            <w:shd w:val="clear" w:color="auto" w:fill="auto"/>
            <w:noWrap/>
            <w:vAlign w:val="bottom"/>
            <w:hideMark/>
          </w:tcPr>
          <w:p w14:paraId="34CDF3D9"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0.100</w:t>
            </w:r>
          </w:p>
        </w:tc>
        <w:tc>
          <w:tcPr>
            <w:tcW w:w="0" w:type="auto"/>
            <w:tcBorders>
              <w:top w:val="nil"/>
              <w:left w:val="nil"/>
              <w:bottom w:val="single" w:sz="4" w:space="0" w:color="auto"/>
              <w:right w:val="single" w:sz="4" w:space="0" w:color="auto"/>
            </w:tcBorders>
            <w:shd w:val="clear" w:color="auto" w:fill="auto"/>
            <w:noWrap/>
            <w:vAlign w:val="bottom"/>
            <w:hideMark/>
          </w:tcPr>
          <w:p w14:paraId="5C109C9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0.079</w:t>
            </w:r>
          </w:p>
        </w:tc>
        <w:tc>
          <w:tcPr>
            <w:tcW w:w="0" w:type="auto"/>
            <w:tcBorders>
              <w:top w:val="nil"/>
              <w:left w:val="nil"/>
              <w:bottom w:val="nil"/>
              <w:right w:val="nil"/>
            </w:tcBorders>
            <w:shd w:val="clear" w:color="auto" w:fill="auto"/>
            <w:noWrap/>
            <w:vAlign w:val="bottom"/>
            <w:hideMark/>
          </w:tcPr>
          <w:p w14:paraId="0454B8C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429027" w14:textId="77777777" w:rsidR="003D3694" w:rsidRPr="00747E35" w:rsidRDefault="003D3694" w:rsidP="0096743A">
            <w:pPr>
              <w:autoSpaceDE/>
              <w:autoSpaceDN/>
              <w:spacing w:after="0"/>
              <w:rPr>
                <w:rFonts w:asciiTheme="minorHAnsi" w:eastAsia="Times New Roman" w:hAnsiTheme="minorHAnsi" w:cstheme="minorHAnsi"/>
                <w:bCs/>
                <w:sz w:val="20"/>
                <w:szCs w:val="20"/>
                <w:lang w:eastAsia="en-AU"/>
              </w:rPr>
            </w:pPr>
            <w:r w:rsidRPr="00747E35">
              <w:rPr>
                <w:rFonts w:asciiTheme="minorHAnsi" w:eastAsia="Times New Roman" w:hAnsiTheme="minorHAnsi" w:cstheme="minorHAnsi"/>
                <w:bCs/>
                <w:sz w:val="20"/>
                <w:szCs w:val="20"/>
                <w:lang w:eastAsia="en-AU"/>
              </w:rPr>
              <w:t>Bromide (mg/l)</w:t>
            </w:r>
          </w:p>
        </w:tc>
        <w:tc>
          <w:tcPr>
            <w:tcW w:w="0" w:type="auto"/>
            <w:tcBorders>
              <w:top w:val="nil"/>
              <w:left w:val="nil"/>
              <w:bottom w:val="single" w:sz="4" w:space="0" w:color="auto"/>
              <w:right w:val="single" w:sz="4" w:space="0" w:color="auto"/>
            </w:tcBorders>
            <w:shd w:val="clear" w:color="auto" w:fill="auto"/>
            <w:noWrap/>
            <w:vAlign w:val="bottom"/>
            <w:hideMark/>
          </w:tcPr>
          <w:p w14:paraId="31A0EF6D"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-0.342</w:t>
            </w:r>
          </w:p>
        </w:tc>
        <w:tc>
          <w:tcPr>
            <w:tcW w:w="0" w:type="auto"/>
            <w:tcBorders>
              <w:top w:val="nil"/>
              <w:left w:val="nil"/>
              <w:bottom w:val="single" w:sz="4" w:space="0" w:color="auto"/>
              <w:right w:val="single" w:sz="4" w:space="0" w:color="auto"/>
            </w:tcBorders>
            <w:shd w:val="clear" w:color="auto" w:fill="auto"/>
            <w:noWrap/>
            <w:vAlign w:val="bottom"/>
            <w:hideMark/>
          </w:tcPr>
          <w:p w14:paraId="060DF87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-0.118</w:t>
            </w:r>
          </w:p>
        </w:tc>
      </w:tr>
      <w:tr w:rsidR="003D3694" w:rsidRPr="00747E35" w14:paraId="3F4878DF"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59C235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72051CD1"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0" w:type="auto"/>
            <w:tcBorders>
              <w:top w:val="nil"/>
              <w:left w:val="nil"/>
              <w:bottom w:val="single" w:sz="4" w:space="0" w:color="auto"/>
              <w:right w:val="single" w:sz="4" w:space="0" w:color="auto"/>
            </w:tcBorders>
            <w:shd w:val="clear" w:color="auto" w:fill="auto"/>
            <w:noWrap/>
            <w:vAlign w:val="bottom"/>
            <w:hideMark/>
          </w:tcPr>
          <w:p w14:paraId="492F780F"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0" w:type="auto"/>
            <w:tcBorders>
              <w:top w:val="nil"/>
              <w:left w:val="nil"/>
              <w:bottom w:val="nil"/>
              <w:right w:val="nil"/>
            </w:tcBorders>
            <w:shd w:val="clear" w:color="auto" w:fill="auto"/>
            <w:noWrap/>
            <w:vAlign w:val="bottom"/>
            <w:hideMark/>
          </w:tcPr>
          <w:p w14:paraId="3D1DB44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79A3062" w14:textId="77777777" w:rsidR="003D3694" w:rsidRPr="00747E35" w:rsidRDefault="003D3694" w:rsidP="0096743A">
            <w:pPr>
              <w:autoSpaceDE/>
              <w:autoSpaceDN/>
              <w:spacing w:after="0"/>
              <w:rPr>
                <w:rFonts w:asciiTheme="minorHAnsi" w:eastAsia="Times New Roman" w:hAnsiTheme="minorHAnsi" w:cstheme="minorHAnsi"/>
                <w:bCs/>
                <w:sz w:val="20"/>
                <w:szCs w:val="20"/>
                <w:lang w:eastAsia="en-AU"/>
              </w:rPr>
            </w:pPr>
            <w:r w:rsidRPr="00747E35">
              <w:rPr>
                <w:rFonts w:asciiTheme="minorHAnsi" w:eastAsia="Times New Roman" w:hAnsiTheme="minorHAnsi" w:cstheme="minorHAnsi"/>
                <w:bCs/>
                <w:sz w:val="20"/>
                <w:szCs w:val="20"/>
                <w:lang w:eastAsia="en-AU"/>
              </w:rPr>
              <w:t>Delta 2H</w:t>
            </w:r>
          </w:p>
        </w:tc>
        <w:tc>
          <w:tcPr>
            <w:tcW w:w="0" w:type="auto"/>
            <w:tcBorders>
              <w:top w:val="nil"/>
              <w:left w:val="nil"/>
              <w:bottom w:val="single" w:sz="4" w:space="0" w:color="auto"/>
              <w:right w:val="single" w:sz="4" w:space="0" w:color="auto"/>
            </w:tcBorders>
            <w:shd w:val="clear" w:color="auto" w:fill="auto"/>
            <w:noWrap/>
            <w:vAlign w:val="bottom"/>
            <w:hideMark/>
          </w:tcPr>
          <w:p w14:paraId="313EED9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-0.135</w:t>
            </w:r>
          </w:p>
        </w:tc>
        <w:tc>
          <w:tcPr>
            <w:tcW w:w="0" w:type="auto"/>
            <w:tcBorders>
              <w:top w:val="nil"/>
              <w:left w:val="nil"/>
              <w:bottom w:val="single" w:sz="4" w:space="0" w:color="auto"/>
              <w:right w:val="single" w:sz="4" w:space="0" w:color="auto"/>
            </w:tcBorders>
            <w:shd w:val="clear" w:color="auto" w:fill="auto"/>
            <w:noWrap/>
            <w:vAlign w:val="bottom"/>
            <w:hideMark/>
          </w:tcPr>
          <w:p w14:paraId="562E0A28"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0.235</w:t>
            </w:r>
          </w:p>
        </w:tc>
      </w:tr>
      <w:tr w:rsidR="003D3694" w:rsidRPr="00747E35" w14:paraId="06A4EE38"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A51E2C5" w14:textId="77777777" w:rsidR="003D3694" w:rsidRPr="00747E35" w:rsidRDefault="003D3694" w:rsidP="0096743A">
            <w:pPr>
              <w:autoSpaceDE/>
              <w:autoSpaceDN/>
              <w:spacing w:after="0"/>
              <w:rPr>
                <w:rFonts w:asciiTheme="minorHAnsi" w:eastAsia="Times New Roman" w:hAnsiTheme="minorHAnsi" w:cstheme="minorHAnsi"/>
                <w:bCs/>
                <w:i/>
                <w:iCs/>
                <w:color w:val="000000"/>
                <w:sz w:val="20"/>
                <w:szCs w:val="20"/>
                <w:lang w:eastAsia="en-AU"/>
              </w:rPr>
            </w:pPr>
            <w:r w:rsidRPr="00747E35">
              <w:rPr>
                <w:rFonts w:asciiTheme="minorHAnsi" w:eastAsia="Times New Roman" w:hAnsiTheme="minorHAnsi" w:cstheme="minorHAnsi"/>
                <w:bCs/>
                <w:i/>
                <w:iCs/>
                <w:color w:val="000000"/>
                <w:sz w:val="20"/>
                <w:szCs w:val="20"/>
                <w:lang w:eastAsia="en-AU"/>
              </w:rPr>
              <w:t>Univariate biotic indices</w:t>
            </w:r>
          </w:p>
        </w:tc>
        <w:tc>
          <w:tcPr>
            <w:tcW w:w="0" w:type="auto"/>
            <w:tcBorders>
              <w:top w:val="nil"/>
              <w:left w:val="nil"/>
              <w:bottom w:val="single" w:sz="4" w:space="0" w:color="auto"/>
              <w:right w:val="single" w:sz="4" w:space="0" w:color="auto"/>
            </w:tcBorders>
            <w:shd w:val="clear" w:color="auto" w:fill="auto"/>
            <w:noWrap/>
            <w:vAlign w:val="bottom"/>
            <w:hideMark/>
          </w:tcPr>
          <w:p w14:paraId="12757EA7"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MDS1</w:t>
            </w:r>
          </w:p>
        </w:tc>
        <w:tc>
          <w:tcPr>
            <w:tcW w:w="0" w:type="auto"/>
            <w:tcBorders>
              <w:top w:val="nil"/>
              <w:left w:val="nil"/>
              <w:bottom w:val="single" w:sz="4" w:space="0" w:color="auto"/>
              <w:right w:val="single" w:sz="4" w:space="0" w:color="auto"/>
            </w:tcBorders>
            <w:shd w:val="clear" w:color="auto" w:fill="auto"/>
            <w:noWrap/>
            <w:vAlign w:val="bottom"/>
            <w:hideMark/>
          </w:tcPr>
          <w:p w14:paraId="40889367"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MDS2</w:t>
            </w:r>
          </w:p>
        </w:tc>
        <w:tc>
          <w:tcPr>
            <w:tcW w:w="0" w:type="auto"/>
            <w:tcBorders>
              <w:top w:val="nil"/>
              <w:left w:val="nil"/>
              <w:bottom w:val="nil"/>
              <w:right w:val="nil"/>
            </w:tcBorders>
            <w:shd w:val="clear" w:color="auto" w:fill="auto"/>
            <w:noWrap/>
            <w:vAlign w:val="bottom"/>
            <w:hideMark/>
          </w:tcPr>
          <w:p w14:paraId="528B9BE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0E7C8D3" w14:textId="77777777" w:rsidR="003D3694" w:rsidRPr="00747E35" w:rsidRDefault="003D3694" w:rsidP="0096743A">
            <w:pPr>
              <w:autoSpaceDE/>
              <w:autoSpaceDN/>
              <w:spacing w:after="0"/>
              <w:rPr>
                <w:rFonts w:asciiTheme="minorHAnsi" w:eastAsia="Times New Roman" w:hAnsiTheme="minorHAnsi" w:cstheme="minorHAnsi"/>
                <w:b/>
                <w:sz w:val="20"/>
                <w:szCs w:val="20"/>
                <w:lang w:eastAsia="en-AU"/>
              </w:rPr>
            </w:pPr>
            <w:r w:rsidRPr="00747E35">
              <w:rPr>
                <w:rFonts w:asciiTheme="minorHAnsi" w:eastAsia="Times New Roman" w:hAnsiTheme="minorHAnsi" w:cstheme="minorHAnsi"/>
                <w:b/>
                <w:sz w:val="20"/>
                <w:szCs w:val="20"/>
                <w:lang w:eastAsia="en-AU"/>
              </w:rPr>
              <w:t>Delta 18O</w:t>
            </w:r>
          </w:p>
        </w:tc>
        <w:tc>
          <w:tcPr>
            <w:tcW w:w="0" w:type="auto"/>
            <w:tcBorders>
              <w:top w:val="nil"/>
              <w:left w:val="nil"/>
              <w:bottom w:val="single" w:sz="4" w:space="0" w:color="auto"/>
              <w:right w:val="single" w:sz="4" w:space="0" w:color="auto"/>
            </w:tcBorders>
            <w:shd w:val="clear" w:color="auto" w:fill="auto"/>
            <w:noWrap/>
            <w:vAlign w:val="bottom"/>
            <w:hideMark/>
          </w:tcPr>
          <w:p w14:paraId="6710286F"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-0.464</w:t>
            </w:r>
          </w:p>
        </w:tc>
        <w:tc>
          <w:tcPr>
            <w:tcW w:w="0" w:type="auto"/>
            <w:tcBorders>
              <w:top w:val="nil"/>
              <w:left w:val="nil"/>
              <w:bottom w:val="single" w:sz="4" w:space="0" w:color="auto"/>
              <w:right w:val="single" w:sz="4" w:space="0" w:color="auto"/>
            </w:tcBorders>
            <w:shd w:val="clear" w:color="auto" w:fill="auto"/>
            <w:noWrap/>
            <w:vAlign w:val="bottom"/>
            <w:hideMark/>
          </w:tcPr>
          <w:p w14:paraId="71EC05BC"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0.130</w:t>
            </w:r>
          </w:p>
        </w:tc>
      </w:tr>
      <w:tr w:rsidR="003D3694" w:rsidRPr="00747E35" w14:paraId="4CDC4703"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05383A2"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Richness Tot.</w:t>
            </w:r>
          </w:p>
        </w:tc>
        <w:tc>
          <w:tcPr>
            <w:tcW w:w="0" w:type="auto"/>
            <w:tcBorders>
              <w:top w:val="nil"/>
              <w:left w:val="nil"/>
              <w:bottom w:val="single" w:sz="4" w:space="0" w:color="auto"/>
              <w:right w:val="single" w:sz="4" w:space="0" w:color="auto"/>
            </w:tcBorders>
            <w:shd w:val="clear" w:color="auto" w:fill="auto"/>
            <w:noWrap/>
            <w:vAlign w:val="bottom"/>
            <w:hideMark/>
          </w:tcPr>
          <w:p w14:paraId="1EED948D"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0.901</w:t>
            </w:r>
          </w:p>
        </w:tc>
        <w:tc>
          <w:tcPr>
            <w:tcW w:w="0" w:type="auto"/>
            <w:tcBorders>
              <w:top w:val="nil"/>
              <w:left w:val="nil"/>
              <w:bottom w:val="single" w:sz="4" w:space="0" w:color="auto"/>
              <w:right w:val="single" w:sz="4" w:space="0" w:color="auto"/>
            </w:tcBorders>
            <w:shd w:val="clear" w:color="auto" w:fill="auto"/>
            <w:noWrap/>
            <w:vAlign w:val="bottom"/>
            <w:hideMark/>
          </w:tcPr>
          <w:p w14:paraId="1B68AFA1"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0.131</w:t>
            </w:r>
          </w:p>
        </w:tc>
        <w:tc>
          <w:tcPr>
            <w:tcW w:w="0" w:type="auto"/>
            <w:tcBorders>
              <w:top w:val="nil"/>
              <w:left w:val="nil"/>
              <w:bottom w:val="nil"/>
              <w:right w:val="nil"/>
            </w:tcBorders>
            <w:shd w:val="clear" w:color="auto" w:fill="auto"/>
            <w:noWrap/>
            <w:vAlign w:val="bottom"/>
            <w:hideMark/>
          </w:tcPr>
          <w:p w14:paraId="1A26838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52901221"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7C145826"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338693AE"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r>
      <w:tr w:rsidR="003D3694" w:rsidRPr="00747E35" w14:paraId="67E767C7"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99D1EE6"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Richness Sb+Sp</w:t>
            </w:r>
          </w:p>
        </w:tc>
        <w:tc>
          <w:tcPr>
            <w:tcW w:w="0" w:type="auto"/>
            <w:tcBorders>
              <w:top w:val="nil"/>
              <w:left w:val="nil"/>
              <w:bottom w:val="single" w:sz="4" w:space="0" w:color="auto"/>
              <w:right w:val="single" w:sz="4" w:space="0" w:color="auto"/>
            </w:tcBorders>
            <w:shd w:val="clear" w:color="auto" w:fill="auto"/>
            <w:noWrap/>
            <w:vAlign w:val="bottom"/>
            <w:hideMark/>
          </w:tcPr>
          <w:p w14:paraId="5BB72B1B"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0.893</w:t>
            </w:r>
          </w:p>
        </w:tc>
        <w:tc>
          <w:tcPr>
            <w:tcW w:w="0" w:type="auto"/>
            <w:tcBorders>
              <w:top w:val="nil"/>
              <w:left w:val="nil"/>
              <w:bottom w:val="single" w:sz="4" w:space="0" w:color="auto"/>
              <w:right w:val="single" w:sz="4" w:space="0" w:color="auto"/>
            </w:tcBorders>
            <w:shd w:val="clear" w:color="auto" w:fill="auto"/>
            <w:noWrap/>
            <w:vAlign w:val="bottom"/>
            <w:hideMark/>
          </w:tcPr>
          <w:p w14:paraId="1CFD8493"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0.053</w:t>
            </w:r>
          </w:p>
        </w:tc>
        <w:tc>
          <w:tcPr>
            <w:tcW w:w="0" w:type="auto"/>
            <w:tcBorders>
              <w:top w:val="nil"/>
              <w:left w:val="nil"/>
              <w:bottom w:val="nil"/>
              <w:right w:val="nil"/>
            </w:tcBorders>
            <w:shd w:val="clear" w:color="auto" w:fill="auto"/>
            <w:noWrap/>
            <w:vAlign w:val="bottom"/>
            <w:hideMark/>
          </w:tcPr>
          <w:p w14:paraId="44D3C61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0B63D75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104832A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3CCB8CD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r>
      <w:tr w:rsidR="003D3694" w:rsidRPr="00747E35" w14:paraId="64382CE3"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3851C4E"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Richness Sx/Ep</w:t>
            </w:r>
          </w:p>
        </w:tc>
        <w:tc>
          <w:tcPr>
            <w:tcW w:w="0" w:type="auto"/>
            <w:tcBorders>
              <w:top w:val="nil"/>
              <w:left w:val="nil"/>
              <w:bottom w:val="single" w:sz="4" w:space="0" w:color="auto"/>
              <w:right w:val="single" w:sz="4" w:space="0" w:color="auto"/>
            </w:tcBorders>
            <w:shd w:val="clear" w:color="auto" w:fill="auto"/>
            <w:noWrap/>
            <w:vAlign w:val="bottom"/>
            <w:hideMark/>
          </w:tcPr>
          <w:p w14:paraId="149B9C1A"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0.373</w:t>
            </w:r>
          </w:p>
        </w:tc>
        <w:tc>
          <w:tcPr>
            <w:tcW w:w="0" w:type="auto"/>
            <w:tcBorders>
              <w:top w:val="nil"/>
              <w:left w:val="nil"/>
              <w:bottom w:val="single" w:sz="4" w:space="0" w:color="auto"/>
              <w:right w:val="single" w:sz="4" w:space="0" w:color="auto"/>
            </w:tcBorders>
            <w:shd w:val="clear" w:color="auto" w:fill="auto"/>
            <w:noWrap/>
            <w:vAlign w:val="bottom"/>
            <w:hideMark/>
          </w:tcPr>
          <w:p w14:paraId="30C05B07"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0.277</w:t>
            </w:r>
          </w:p>
        </w:tc>
        <w:tc>
          <w:tcPr>
            <w:tcW w:w="0" w:type="auto"/>
            <w:tcBorders>
              <w:top w:val="nil"/>
              <w:left w:val="nil"/>
              <w:bottom w:val="nil"/>
              <w:right w:val="nil"/>
            </w:tcBorders>
            <w:shd w:val="clear" w:color="auto" w:fill="auto"/>
            <w:noWrap/>
            <w:vAlign w:val="bottom"/>
            <w:hideMark/>
          </w:tcPr>
          <w:p w14:paraId="5E70DD41"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2AE4EBE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2B3B600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1FDFB53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r>
      <w:tr w:rsidR="003D3694" w:rsidRPr="00747E35" w14:paraId="3AD2789A"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A1EF0DB"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Abund. Tot.</w:t>
            </w:r>
          </w:p>
        </w:tc>
        <w:tc>
          <w:tcPr>
            <w:tcW w:w="0" w:type="auto"/>
            <w:tcBorders>
              <w:top w:val="nil"/>
              <w:left w:val="nil"/>
              <w:bottom w:val="single" w:sz="4" w:space="0" w:color="auto"/>
              <w:right w:val="single" w:sz="4" w:space="0" w:color="auto"/>
            </w:tcBorders>
            <w:shd w:val="clear" w:color="auto" w:fill="auto"/>
            <w:noWrap/>
            <w:vAlign w:val="bottom"/>
            <w:hideMark/>
          </w:tcPr>
          <w:p w14:paraId="700AED14"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0.623</w:t>
            </w:r>
          </w:p>
        </w:tc>
        <w:tc>
          <w:tcPr>
            <w:tcW w:w="0" w:type="auto"/>
            <w:tcBorders>
              <w:top w:val="nil"/>
              <w:left w:val="nil"/>
              <w:bottom w:val="single" w:sz="4" w:space="0" w:color="auto"/>
              <w:right w:val="single" w:sz="4" w:space="0" w:color="auto"/>
            </w:tcBorders>
            <w:shd w:val="clear" w:color="auto" w:fill="auto"/>
            <w:noWrap/>
            <w:vAlign w:val="bottom"/>
            <w:hideMark/>
          </w:tcPr>
          <w:p w14:paraId="6E360B34"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-0.028</w:t>
            </w:r>
          </w:p>
        </w:tc>
        <w:tc>
          <w:tcPr>
            <w:tcW w:w="0" w:type="auto"/>
            <w:tcBorders>
              <w:top w:val="nil"/>
              <w:left w:val="nil"/>
              <w:bottom w:val="nil"/>
              <w:right w:val="nil"/>
            </w:tcBorders>
            <w:shd w:val="clear" w:color="auto" w:fill="auto"/>
            <w:noWrap/>
            <w:vAlign w:val="bottom"/>
            <w:hideMark/>
          </w:tcPr>
          <w:p w14:paraId="2A58BC4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293CE44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200DB5B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4900B2A6"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r>
      <w:tr w:rsidR="003D3694" w:rsidRPr="00747E35" w14:paraId="26125044"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7696DCF"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Abund. Sb+Sp</w:t>
            </w:r>
          </w:p>
        </w:tc>
        <w:tc>
          <w:tcPr>
            <w:tcW w:w="0" w:type="auto"/>
            <w:tcBorders>
              <w:top w:val="nil"/>
              <w:left w:val="nil"/>
              <w:bottom w:val="single" w:sz="4" w:space="0" w:color="auto"/>
              <w:right w:val="single" w:sz="4" w:space="0" w:color="auto"/>
            </w:tcBorders>
            <w:shd w:val="clear" w:color="auto" w:fill="auto"/>
            <w:noWrap/>
            <w:vAlign w:val="bottom"/>
            <w:hideMark/>
          </w:tcPr>
          <w:p w14:paraId="62A66B13"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0.611</w:t>
            </w:r>
          </w:p>
        </w:tc>
        <w:tc>
          <w:tcPr>
            <w:tcW w:w="0" w:type="auto"/>
            <w:tcBorders>
              <w:top w:val="nil"/>
              <w:left w:val="nil"/>
              <w:bottom w:val="single" w:sz="4" w:space="0" w:color="auto"/>
              <w:right w:val="single" w:sz="4" w:space="0" w:color="auto"/>
            </w:tcBorders>
            <w:shd w:val="clear" w:color="auto" w:fill="auto"/>
            <w:noWrap/>
            <w:vAlign w:val="bottom"/>
            <w:hideMark/>
          </w:tcPr>
          <w:p w14:paraId="25669FAE"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-0.084</w:t>
            </w:r>
          </w:p>
        </w:tc>
        <w:tc>
          <w:tcPr>
            <w:tcW w:w="0" w:type="auto"/>
            <w:tcBorders>
              <w:top w:val="nil"/>
              <w:left w:val="nil"/>
              <w:bottom w:val="nil"/>
              <w:right w:val="nil"/>
            </w:tcBorders>
            <w:shd w:val="clear" w:color="auto" w:fill="auto"/>
            <w:noWrap/>
            <w:vAlign w:val="bottom"/>
            <w:hideMark/>
          </w:tcPr>
          <w:p w14:paraId="6D089FA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7EE130B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2016CA1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2554176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r>
      <w:tr w:rsidR="003D3694" w:rsidRPr="00747E35" w14:paraId="0B2455F0"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79DFAA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Abund. Sx/Ep</w:t>
            </w:r>
          </w:p>
        </w:tc>
        <w:tc>
          <w:tcPr>
            <w:tcW w:w="0" w:type="auto"/>
            <w:tcBorders>
              <w:top w:val="nil"/>
              <w:left w:val="nil"/>
              <w:bottom w:val="single" w:sz="4" w:space="0" w:color="auto"/>
              <w:right w:val="single" w:sz="4" w:space="0" w:color="auto"/>
            </w:tcBorders>
            <w:shd w:val="clear" w:color="auto" w:fill="auto"/>
            <w:noWrap/>
            <w:vAlign w:val="bottom"/>
            <w:hideMark/>
          </w:tcPr>
          <w:p w14:paraId="72A48F42"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0.272</w:t>
            </w:r>
          </w:p>
        </w:tc>
        <w:tc>
          <w:tcPr>
            <w:tcW w:w="0" w:type="auto"/>
            <w:tcBorders>
              <w:top w:val="nil"/>
              <w:left w:val="nil"/>
              <w:bottom w:val="single" w:sz="4" w:space="0" w:color="auto"/>
              <w:right w:val="single" w:sz="4" w:space="0" w:color="auto"/>
            </w:tcBorders>
            <w:shd w:val="clear" w:color="auto" w:fill="auto"/>
            <w:noWrap/>
            <w:vAlign w:val="bottom"/>
            <w:hideMark/>
          </w:tcPr>
          <w:p w14:paraId="2E18CD97"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0.152</w:t>
            </w:r>
          </w:p>
        </w:tc>
        <w:tc>
          <w:tcPr>
            <w:tcW w:w="0" w:type="auto"/>
            <w:tcBorders>
              <w:top w:val="nil"/>
              <w:left w:val="nil"/>
              <w:bottom w:val="nil"/>
              <w:right w:val="nil"/>
            </w:tcBorders>
            <w:shd w:val="clear" w:color="auto" w:fill="auto"/>
            <w:noWrap/>
            <w:vAlign w:val="bottom"/>
            <w:hideMark/>
          </w:tcPr>
          <w:p w14:paraId="0893E20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2C5263D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6FCDAF6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40D01E3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r>
      <w:tr w:rsidR="003D3694" w:rsidRPr="00747E35" w14:paraId="41250B86"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C019AE1"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Sb+Sp richness ratio</w:t>
            </w:r>
          </w:p>
        </w:tc>
        <w:tc>
          <w:tcPr>
            <w:tcW w:w="0" w:type="auto"/>
            <w:tcBorders>
              <w:top w:val="nil"/>
              <w:left w:val="nil"/>
              <w:bottom w:val="single" w:sz="4" w:space="0" w:color="auto"/>
              <w:right w:val="single" w:sz="4" w:space="0" w:color="auto"/>
            </w:tcBorders>
            <w:shd w:val="clear" w:color="auto" w:fill="auto"/>
            <w:noWrap/>
            <w:vAlign w:val="bottom"/>
            <w:hideMark/>
          </w:tcPr>
          <w:p w14:paraId="349F502D"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0.506</w:t>
            </w:r>
          </w:p>
        </w:tc>
        <w:tc>
          <w:tcPr>
            <w:tcW w:w="0" w:type="auto"/>
            <w:tcBorders>
              <w:top w:val="nil"/>
              <w:left w:val="nil"/>
              <w:bottom w:val="single" w:sz="4" w:space="0" w:color="auto"/>
              <w:right w:val="single" w:sz="4" w:space="0" w:color="auto"/>
            </w:tcBorders>
            <w:shd w:val="clear" w:color="auto" w:fill="auto"/>
            <w:noWrap/>
            <w:vAlign w:val="bottom"/>
            <w:hideMark/>
          </w:tcPr>
          <w:p w14:paraId="5ED3AF27"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-0.085</w:t>
            </w:r>
          </w:p>
        </w:tc>
        <w:tc>
          <w:tcPr>
            <w:tcW w:w="0" w:type="auto"/>
            <w:tcBorders>
              <w:top w:val="nil"/>
              <w:left w:val="nil"/>
              <w:bottom w:val="nil"/>
              <w:right w:val="nil"/>
            </w:tcBorders>
            <w:shd w:val="clear" w:color="auto" w:fill="auto"/>
            <w:noWrap/>
            <w:vAlign w:val="bottom"/>
            <w:hideMark/>
          </w:tcPr>
          <w:p w14:paraId="79F35F1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08938266"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1DFE278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3A3FEAF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r>
      <w:tr w:rsidR="003D3694" w:rsidRPr="00747E35" w14:paraId="704D3763"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537E3B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Sx/Ep richness ratio</w:t>
            </w:r>
          </w:p>
        </w:tc>
        <w:tc>
          <w:tcPr>
            <w:tcW w:w="0" w:type="auto"/>
            <w:tcBorders>
              <w:top w:val="nil"/>
              <w:left w:val="nil"/>
              <w:bottom w:val="single" w:sz="4" w:space="0" w:color="auto"/>
              <w:right w:val="single" w:sz="4" w:space="0" w:color="auto"/>
            </w:tcBorders>
            <w:shd w:val="clear" w:color="auto" w:fill="auto"/>
            <w:noWrap/>
            <w:vAlign w:val="bottom"/>
            <w:hideMark/>
          </w:tcPr>
          <w:p w14:paraId="0C2749EF"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-0.105</w:t>
            </w:r>
          </w:p>
        </w:tc>
        <w:tc>
          <w:tcPr>
            <w:tcW w:w="0" w:type="auto"/>
            <w:tcBorders>
              <w:top w:val="nil"/>
              <w:left w:val="nil"/>
              <w:bottom w:val="single" w:sz="4" w:space="0" w:color="auto"/>
              <w:right w:val="single" w:sz="4" w:space="0" w:color="auto"/>
            </w:tcBorders>
            <w:shd w:val="clear" w:color="auto" w:fill="auto"/>
            <w:noWrap/>
            <w:vAlign w:val="bottom"/>
            <w:hideMark/>
          </w:tcPr>
          <w:p w14:paraId="5A4C0B9F"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0.156</w:t>
            </w:r>
          </w:p>
        </w:tc>
        <w:tc>
          <w:tcPr>
            <w:tcW w:w="0" w:type="auto"/>
            <w:tcBorders>
              <w:top w:val="nil"/>
              <w:left w:val="nil"/>
              <w:bottom w:val="nil"/>
              <w:right w:val="nil"/>
            </w:tcBorders>
            <w:shd w:val="clear" w:color="auto" w:fill="auto"/>
            <w:noWrap/>
            <w:vAlign w:val="bottom"/>
            <w:hideMark/>
          </w:tcPr>
          <w:p w14:paraId="3266BCA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2A5F85F1"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2DA2486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45BFF60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r>
      <w:tr w:rsidR="003D3694" w:rsidRPr="00747E35" w14:paraId="1649E7DB"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D52C58D"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Sb+Sp abund. ratio</w:t>
            </w:r>
          </w:p>
        </w:tc>
        <w:tc>
          <w:tcPr>
            <w:tcW w:w="0" w:type="auto"/>
            <w:tcBorders>
              <w:top w:val="nil"/>
              <w:left w:val="nil"/>
              <w:bottom w:val="single" w:sz="4" w:space="0" w:color="auto"/>
              <w:right w:val="single" w:sz="4" w:space="0" w:color="auto"/>
            </w:tcBorders>
            <w:shd w:val="clear" w:color="auto" w:fill="auto"/>
            <w:noWrap/>
            <w:vAlign w:val="bottom"/>
            <w:hideMark/>
          </w:tcPr>
          <w:p w14:paraId="4B71A457"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0.516</w:t>
            </w:r>
          </w:p>
        </w:tc>
        <w:tc>
          <w:tcPr>
            <w:tcW w:w="0" w:type="auto"/>
            <w:tcBorders>
              <w:top w:val="nil"/>
              <w:left w:val="nil"/>
              <w:bottom w:val="single" w:sz="4" w:space="0" w:color="auto"/>
              <w:right w:val="single" w:sz="4" w:space="0" w:color="auto"/>
            </w:tcBorders>
            <w:shd w:val="clear" w:color="auto" w:fill="auto"/>
            <w:noWrap/>
            <w:vAlign w:val="bottom"/>
            <w:hideMark/>
          </w:tcPr>
          <w:p w14:paraId="61BA6995"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-0.088</w:t>
            </w:r>
          </w:p>
        </w:tc>
        <w:tc>
          <w:tcPr>
            <w:tcW w:w="0" w:type="auto"/>
            <w:tcBorders>
              <w:top w:val="nil"/>
              <w:left w:val="nil"/>
              <w:bottom w:val="nil"/>
              <w:right w:val="nil"/>
            </w:tcBorders>
            <w:shd w:val="clear" w:color="auto" w:fill="auto"/>
            <w:noWrap/>
            <w:vAlign w:val="bottom"/>
            <w:hideMark/>
          </w:tcPr>
          <w:p w14:paraId="47715A0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6296F99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54F2AB5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7CA30D8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r>
      <w:tr w:rsidR="003D3694" w:rsidRPr="00747E35" w14:paraId="2362D539" w14:textId="77777777" w:rsidTr="0096743A">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C5075E1"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Sx/Ep abund. ratio</w:t>
            </w:r>
          </w:p>
        </w:tc>
        <w:tc>
          <w:tcPr>
            <w:tcW w:w="0" w:type="auto"/>
            <w:tcBorders>
              <w:top w:val="nil"/>
              <w:left w:val="nil"/>
              <w:bottom w:val="single" w:sz="4" w:space="0" w:color="auto"/>
              <w:right w:val="single" w:sz="4" w:space="0" w:color="auto"/>
            </w:tcBorders>
            <w:shd w:val="clear" w:color="auto" w:fill="auto"/>
            <w:noWrap/>
            <w:vAlign w:val="bottom"/>
            <w:hideMark/>
          </w:tcPr>
          <w:p w14:paraId="25C710DB"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-0.133</w:t>
            </w:r>
          </w:p>
        </w:tc>
        <w:tc>
          <w:tcPr>
            <w:tcW w:w="0" w:type="auto"/>
            <w:tcBorders>
              <w:top w:val="nil"/>
              <w:left w:val="nil"/>
              <w:bottom w:val="single" w:sz="4" w:space="0" w:color="auto"/>
              <w:right w:val="single" w:sz="4" w:space="0" w:color="auto"/>
            </w:tcBorders>
            <w:shd w:val="clear" w:color="auto" w:fill="auto"/>
            <w:noWrap/>
            <w:vAlign w:val="bottom"/>
            <w:hideMark/>
          </w:tcPr>
          <w:p w14:paraId="60DE6C69"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0.177</w:t>
            </w:r>
          </w:p>
        </w:tc>
        <w:tc>
          <w:tcPr>
            <w:tcW w:w="0" w:type="auto"/>
            <w:tcBorders>
              <w:top w:val="nil"/>
              <w:left w:val="nil"/>
              <w:bottom w:val="nil"/>
              <w:right w:val="nil"/>
            </w:tcBorders>
            <w:shd w:val="clear" w:color="auto" w:fill="auto"/>
            <w:noWrap/>
            <w:vAlign w:val="bottom"/>
            <w:hideMark/>
          </w:tcPr>
          <w:p w14:paraId="4FF1E39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0DB503D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7460AC0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0" w:type="auto"/>
            <w:tcBorders>
              <w:top w:val="nil"/>
              <w:left w:val="nil"/>
              <w:bottom w:val="nil"/>
              <w:right w:val="nil"/>
            </w:tcBorders>
            <w:shd w:val="clear" w:color="auto" w:fill="auto"/>
            <w:noWrap/>
            <w:vAlign w:val="bottom"/>
            <w:hideMark/>
          </w:tcPr>
          <w:p w14:paraId="3BB4D52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r>
    </w:tbl>
    <w:p w14:paraId="219AB630" w14:textId="77777777" w:rsidR="003D3694" w:rsidRPr="00747E35" w:rsidRDefault="003D3694" w:rsidP="003D3694">
      <w:pPr>
        <w:autoSpaceDE/>
        <w:autoSpaceDN/>
        <w:spacing w:line="276" w:lineRule="auto"/>
        <w:rPr>
          <w:rFonts w:asciiTheme="minorHAnsi" w:hAnsiTheme="minorHAnsi" w:cstheme="minorHAnsi"/>
        </w:rPr>
      </w:pPr>
      <w:r w:rsidRPr="00747E35">
        <w:rPr>
          <w:rFonts w:asciiTheme="minorHAnsi" w:hAnsiTheme="minorHAnsi" w:cstheme="minorHAnsi"/>
        </w:rPr>
        <w:br w:type="page"/>
      </w:r>
    </w:p>
    <w:p w14:paraId="474C180B" w14:textId="77777777" w:rsidR="003D3694" w:rsidRPr="00747E35" w:rsidRDefault="003D3694" w:rsidP="00793A29">
      <w:pPr>
        <w:pStyle w:val="Caption"/>
        <w:numPr>
          <w:ilvl w:val="0"/>
          <w:numId w:val="0"/>
        </w:numPr>
        <w:rPr>
          <w:rFonts w:cstheme="minorHAnsi"/>
          <w:noProof/>
        </w:rPr>
      </w:pPr>
      <w:bookmarkStart w:id="489" w:name="_Ref469044221"/>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56</w:t>
      </w:r>
      <w:r w:rsidR="009D6600" w:rsidRPr="00747E35">
        <w:rPr>
          <w:rFonts w:cstheme="minorHAnsi"/>
          <w:noProof/>
        </w:rPr>
        <w:fldChar w:fldCharType="end"/>
      </w:r>
      <w:bookmarkEnd w:id="488"/>
      <w:bookmarkEnd w:id="489"/>
      <w:r w:rsidRPr="00747E35">
        <w:rPr>
          <w:rFonts w:cstheme="minorHAnsi"/>
        </w:rPr>
        <w:t xml:space="preserve">: Maules Catchment aquifer Pearson correlations of each invertebrate taxon, univariate biotic indices and environmental variable with non-metric multidimensional scaling (nMDS) axes MDS1 and  MDS2. Variables with Pearson r &gt; 0.4 are in bold. Abbreviations: ‘Sqr’ = square root transformation. Refer to 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57</w:t>
      </w:r>
      <w:r w:rsidR="009D6600" w:rsidRPr="00747E35">
        <w:rPr>
          <w:rFonts w:cstheme="minorHAnsi"/>
          <w:noProof/>
        </w:rPr>
        <w:fldChar w:fldCharType="end"/>
      </w:r>
      <w:r w:rsidRPr="00747E35">
        <w:rPr>
          <w:rFonts w:cstheme="minorHAnsi"/>
          <w:noProof/>
        </w:rPr>
        <w:t xml:space="preserve"> and </w:t>
      </w:r>
      <w:r w:rsidRPr="00747E35">
        <w:rPr>
          <w:rFonts w:cstheme="minorHAnsi"/>
        </w:rPr>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58</w:t>
      </w:r>
      <w:r w:rsidR="009D6600" w:rsidRPr="00747E35">
        <w:rPr>
          <w:rFonts w:cstheme="minorHAnsi"/>
          <w:noProof/>
        </w:rPr>
        <w:fldChar w:fldCharType="end"/>
      </w:r>
      <w:r w:rsidRPr="00747E35">
        <w:rPr>
          <w:rFonts w:cstheme="minorHAnsi"/>
          <w:noProof/>
        </w:rPr>
        <w:t xml:space="preserve"> for all other abbreviations.</w:t>
      </w:r>
    </w:p>
    <w:tbl>
      <w:tblPr>
        <w:tblW w:w="10122" w:type="dxa"/>
        <w:tblInd w:w="93" w:type="dxa"/>
        <w:tblLook w:val="04A0" w:firstRow="1" w:lastRow="0" w:firstColumn="1" w:lastColumn="0" w:noHBand="0" w:noVBand="1"/>
      </w:tblPr>
      <w:tblGrid>
        <w:gridCol w:w="4600"/>
        <w:gridCol w:w="780"/>
        <w:gridCol w:w="780"/>
        <w:gridCol w:w="222"/>
        <w:gridCol w:w="2180"/>
        <w:gridCol w:w="780"/>
        <w:gridCol w:w="780"/>
      </w:tblGrid>
      <w:tr w:rsidR="003D3694" w:rsidRPr="00747E35" w14:paraId="16FD2CBB" w14:textId="77777777" w:rsidTr="00551FB9">
        <w:trPr>
          <w:trHeight w:val="288"/>
          <w:tblHeader/>
        </w:trPr>
        <w:tc>
          <w:tcPr>
            <w:tcW w:w="460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bottom"/>
            <w:hideMark/>
          </w:tcPr>
          <w:p w14:paraId="4D433836"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Variable</w:t>
            </w:r>
          </w:p>
        </w:tc>
        <w:tc>
          <w:tcPr>
            <w:tcW w:w="780" w:type="dxa"/>
            <w:tcBorders>
              <w:top w:val="single" w:sz="4" w:space="0" w:color="auto"/>
              <w:left w:val="nil"/>
              <w:bottom w:val="single" w:sz="4" w:space="0" w:color="auto"/>
              <w:right w:val="single" w:sz="4" w:space="0" w:color="auto"/>
            </w:tcBorders>
            <w:shd w:val="clear" w:color="auto" w:fill="DEEAF6" w:themeFill="accent1" w:themeFillTint="33"/>
            <w:noWrap/>
            <w:vAlign w:val="bottom"/>
            <w:hideMark/>
          </w:tcPr>
          <w:p w14:paraId="26D03DC5"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MDS1</w:t>
            </w:r>
          </w:p>
        </w:tc>
        <w:tc>
          <w:tcPr>
            <w:tcW w:w="780" w:type="dxa"/>
            <w:tcBorders>
              <w:top w:val="single" w:sz="4" w:space="0" w:color="auto"/>
              <w:left w:val="nil"/>
              <w:bottom w:val="single" w:sz="4" w:space="0" w:color="auto"/>
              <w:right w:val="single" w:sz="4" w:space="0" w:color="auto"/>
            </w:tcBorders>
            <w:shd w:val="clear" w:color="auto" w:fill="DEEAF6" w:themeFill="accent1" w:themeFillTint="33"/>
            <w:noWrap/>
            <w:vAlign w:val="bottom"/>
            <w:hideMark/>
          </w:tcPr>
          <w:p w14:paraId="1DDE735A"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MDS2</w:t>
            </w:r>
          </w:p>
        </w:tc>
        <w:tc>
          <w:tcPr>
            <w:tcW w:w="222" w:type="dxa"/>
            <w:tcBorders>
              <w:top w:val="nil"/>
              <w:left w:val="nil"/>
              <w:bottom w:val="nil"/>
              <w:right w:val="nil"/>
            </w:tcBorders>
            <w:shd w:val="clear" w:color="auto" w:fill="auto"/>
            <w:noWrap/>
            <w:vAlign w:val="bottom"/>
            <w:hideMark/>
          </w:tcPr>
          <w:p w14:paraId="79FC13CA" w14:textId="77777777" w:rsidR="003D3694" w:rsidRPr="00747E35" w:rsidRDefault="003D3694" w:rsidP="0096743A">
            <w:pPr>
              <w:pStyle w:val="TableHead"/>
              <w:spacing w:before="0" w:after="0"/>
              <w:rPr>
                <w:rFonts w:asciiTheme="minorHAnsi" w:hAnsiTheme="minorHAnsi" w:cstheme="minorHAnsi"/>
              </w:rPr>
            </w:pPr>
          </w:p>
        </w:tc>
        <w:tc>
          <w:tcPr>
            <w:tcW w:w="218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bottom"/>
            <w:hideMark/>
          </w:tcPr>
          <w:p w14:paraId="56903341"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Variable</w:t>
            </w:r>
          </w:p>
        </w:tc>
        <w:tc>
          <w:tcPr>
            <w:tcW w:w="780" w:type="dxa"/>
            <w:tcBorders>
              <w:top w:val="single" w:sz="4" w:space="0" w:color="auto"/>
              <w:left w:val="nil"/>
              <w:bottom w:val="single" w:sz="4" w:space="0" w:color="auto"/>
              <w:right w:val="single" w:sz="4" w:space="0" w:color="auto"/>
            </w:tcBorders>
            <w:shd w:val="clear" w:color="auto" w:fill="DEEAF6" w:themeFill="accent1" w:themeFillTint="33"/>
            <w:noWrap/>
            <w:vAlign w:val="bottom"/>
            <w:hideMark/>
          </w:tcPr>
          <w:p w14:paraId="750B1CA7"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MDS1</w:t>
            </w:r>
          </w:p>
        </w:tc>
        <w:tc>
          <w:tcPr>
            <w:tcW w:w="780" w:type="dxa"/>
            <w:tcBorders>
              <w:top w:val="single" w:sz="4" w:space="0" w:color="auto"/>
              <w:left w:val="nil"/>
              <w:bottom w:val="single" w:sz="4" w:space="0" w:color="auto"/>
              <w:right w:val="single" w:sz="4" w:space="0" w:color="auto"/>
            </w:tcBorders>
            <w:shd w:val="clear" w:color="auto" w:fill="DEEAF6" w:themeFill="accent1" w:themeFillTint="33"/>
            <w:noWrap/>
            <w:vAlign w:val="bottom"/>
            <w:hideMark/>
          </w:tcPr>
          <w:p w14:paraId="46571CEB" w14:textId="77777777" w:rsidR="003D3694" w:rsidRPr="00747E35" w:rsidRDefault="003D3694" w:rsidP="0096743A">
            <w:pPr>
              <w:pStyle w:val="TableHead"/>
              <w:spacing w:before="0" w:after="0"/>
              <w:rPr>
                <w:rFonts w:asciiTheme="minorHAnsi" w:hAnsiTheme="minorHAnsi" w:cstheme="minorHAnsi"/>
              </w:rPr>
            </w:pPr>
            <w:r w:rsidRPr="00747E35">
              <w:rPr>
                <w:rFonts w:asciiTheme="minorHAnsi" w:hAnsiTheme="minorHAnsi" w:cstheme="minorHAnsi"/>
              </w:rPr>
              <w:t>MDS2</w:t>
            </w:r>
          </w:p>
        </w:tc>
      </w:tr>
      <w:tr w:rsidR="003D3694" w:rsidRPr="00747E35" w14:paraId="70E457DC"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09A9AEBF" w14:textId="77777777" w:rsidR="003D3694" w:rsidRPr="00747E35" w:rsidRDefault="003D3694" w:rsidP="0096743A">
            <w:pPr>
              <w:autoSpaceDE/>
              <w:autoSpaceDN/>
              <w:spacing w:after="0"/>
              <w:rPr>
                <w:rFonts w:asciiTheme="minorHAnsi" w:eastAsia="Times New Roman" w:hAnsiTheme="minorHAnsi" w:cstheme="minorHAnsi"/>
                <w:bCs/>
                <w:i/>
                <w:iCs/>
                <w:color w:val="000000"/>
                <w:sz w:val="20"/>
                <w:szCs w:val="20"/>
                <w:lang w:eastAsia="en-AU"/>
              </w:rPr>
            </w:pPr>
            <w:r w:rsidRPr="00747E35">
              <w:rPr>
                <w:rFonts w:asciiTheme="minorHAnsi" w:eastAsia="Times New Roman" w:hAnsiTheme="minorHAnsi" w:cstheme="minorHAnsi"/>
                <w:bCs/>
                <w:i/>
                <w:iCs/>
                <w:color w:val="000000"/>
                <w:sz w:val="20"/>
                <w:szCs w:val="20"/>
                <w:lang w:eastAsia="en-AU"/>
              </w:rPr>
              <w:t>Taxa</w:t>
            </w:r>
          </w:p>
        </w:tc>
        <w:tc>
          <w:tcPr>
            <w:tcW w:w="780" w:type="dxa"/>
            <w:tcBorders>
              <w:top w:val="nil"/>
              <w:left w:val="nil"/>
              <w:bottom w:val="single" w:sz="4" w:space="0" w:color="auto"/>
              <w:right w:val="single" w:sz="4" w:space="0" w:color="auto"/>
            </w:tcBorders>
            <w:shd w:val="clear" w:color="auto" w:fill="auto"/>
            <w:noWrap/>
            <w:vAlign w:val="bottom"/>
            <w:hideMark/>
          </w:tcPr>
          <w:p w14:paraId="4DA17A53"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780" w:type="dxa"/>
            <w:tcBorders>
              <w:top w:val="nil"/>
              <w:left w:val="nil"/>
              <w:bottom w:val="single" w:sz="4" w:space="0" w:color="auto"/>
              <w:right w:val="single" w:sz="4" w:space="0" w:color="auto"/>
            </w:tcBorders>
            <w:shd w:val="clear" w:color="auto" w:fill="auto"/>
            <w:noWrap/>
            <w:vAlign w:val="bottom"/>
            <w:hideMark/>
          </w:tcPr>
          <w:p w14:paraId="46DEB10C"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222" w:type="dxa"/>
            <w:tcBorders>
              <w:top w:val="nil"/>
              <w:left w:val="nil"/>
              <w:bottom w:val="nil"/>
              <w:right w:val="nil"/>
            </w:tcBorders>
            <w:shd w:val="clear" w:color="auto" w:fill="auto"/>
            <w:noWrap/>
            <w:vAlign w:val="bottom"/>
            <w:hideMark/>
          </w:tcPr>
          <w:p w14:paraId="683AEC9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793C895" w14:textId="77777777" w:rsidR="003D3694" w:rsidRPr="00747E35" w:rsidRDefault="003D3694" w:rsidP="0096743A">
            <w:pPr>
              <w:autoSpaceDE/>
              <w:autoSpaceDN/>
              <w:spacing w:after="0"/>
              <w:rPr>
                <w:rFonts w:asciiTheme="minorHAnsi" w:eastAsia="Times New Roman" w:hAnsiTheme="minorHAnsi" w:cstheme="minorHAnsi"/>
                <w:bCs/>
                <w:i/>
                <w:iCs/>
                <w:color w:val="000000"/>
                <w:sz w:val="20"/>
                <w:szCs w:val="20"/>
                <w:lang w:eastAsia="en-AU"/>
              </w:rPr>
            </w:pPr>
            <w:r w:rsidRPr="00747E35">
              <w:rPr>
                <w:rFonts w:asciiTheme="minorHAnsi" w:eastAsia="Times New Roman" w:hAnsiTheme="minorHAnsi" w:cstheme="minorHAnsi"/>
                <w:bCs/>
                <w:i/>
                <w:iCs/>
                <w:color w:val="000000"/>
                <w:sz w:val="20"/>
                <w:szCs w:val="20"/>
                <w:lang w:eastAsia="en-AU"/>
              </w:rPr>
              <w:t>Hydrochemistry</w:t>
            </w:r>
          </w:p>
        </w:tc>
        <w:tc>
          <w:tcPr>
            <w:tcW w:w="780" w:type="dxa"/>
            <w:tcBorders>
              <w:top w:val="nil"/>
              <w:left w:val="nil"/>
              <w:bottom w:val="single" w:sz="4" w:space="0" w:color="auto"/>
              <w:right w:val="single" w:sz="4" w:space="0" w:color="auto"/>
            </w:tcBorders>
            <w:shd w:val="clear" w:color="auto" w:fill="auto"/>
            <w:noWrap/>
            <w:vAlign w:val="bottom"/>
            <w:hideMark/>
          </w:tcPr>
          <w:p w14:paraId="3B82C08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780" w:type="dxa"/>
            <w:tcBorders>
              <w:top w:val="nil"/>
              <w:left w:val="nil"/>
              <w:bottom w:val="single" w:sz="4" w:space="0" w:color="auto"/>
              <w:right w:val="single" w:sz="4" w:space="0" w:color="auto"/>
            </w:tcBorders>
            <w:shd w:val="clear" w:color="auto" w:fill="auto"/>
            <w:noWrap/>
            <w:vAlign w:val="bottom"/>
            <w:hideMark/>
          </w:tcPr>
          <w:p w14:paraId="222141C1"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r>
      <w:tr w:rsidR="003D3694" w:rsidRPr="00747E35" w14:paraId="6DF983A0"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030B8F7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Neoniphargidae_MC_Sb</w:t>
            </w:r>
          </w:p>
        </w:tc>
        <w:tc>
          <w:tcPr>
            <w:tcW w:w="780" w:type="dxa"/>
            <w:tcBorders>
              <w:top w:val="nil"/>
              <w:left w:val="nil"/>
              <w:bottom w:val="single" w:sz="4" w:space="0" w:color="auto"/>
              <w:right w:val="single" w:sz="4" w:space="0" w:color="auto"/>
            </w:tcBorders>
            <w:shd w:val="clear" w:color="auto" w:fill="auto"/>
            <w:noWrap/>
            <w:vAlign w:val="bottom"/>
            <w:hideMark/>
          </w:tcPr>
          <w:p w14:paraId="6D8B2AC8"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-0.361</w:t>
            </w:r>
          </w:p>
        </w:tc>
        <w:tc>
          <w:tcPr>
            <w:tcW w:w="780" w:type="dxa"/>
            <w:tcBorders>
              <w:top w:val="nil"/>
              <w:left w:val="nil"/>
              <w:bottom w:val="single" w:sz="4" w:space="0" w:color="auto"/>
              <w:right w:val="single" w:sz="4" w:space="0" w:color="auto"/>
            </w:tcBorders>
            <w:shd w:val="clear" w:color="auto" w:fill="auto"/>
            <w:noWrap/>
            <w:vAlign w:val="bottom"/>
            <w:hideMark/>
          </w:tcPr>
          <w:p w14:paraId="0EF52C1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-0.150</w:t>
            </w:r>
          </w:p>
        </w:tc>
        <w:tc>
          <w:tcPr>
            <w:tcW w:w="222" w:type="dxa"/>
            <w:tcBorders>
              <w:top w:val="nil"/>
              <w:left w:val="nil"/>
              <w:bottom w:val="nil"/>
              <w:right w:val="nil"/>
            </w:tcBorders>
            <w:shd w:val="clear" w:color="auto" w:fill="auto"/>
            <w:noWrap/>
            <w:vAlign w:val="bottom"/>
            <w:hideMark/>
          </w:tcPr>
          <w:p w14:paraId="6EA9AC2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E3E0B5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Temp</w:t>
            </w:r>
          </w:p>
        </w:tc>
        <w:tc>
          <w:tcPr>
            <w:tcW w:w="780" w:type="dxa"/>
            <w:tcBorders>
              <w:top w:val="nil"/>
              <w:left w:val="nil"/>
              <w:bottom w:val="single" w:sz="4" w:space="0" w:color="auto"/>
              <w:right w:val="single" w:sz="4" w:space="0" w:color="auto"/>
            </w:tcBorders>
            <w:shd w:val="clear" w:color="auto" w:fill="auto"/>
            <w:noWrap/>
            <w:vAlign w:val="bottom"/>
            <w:hideMark/>
          </w:tcPr>
          <w:p w14:paraId="2D44F047"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0.210</w:t>
            </w:r>
          </w:p>
        </w:tc>
        <w:tc>
          <w:tcPr>
            <w:tcW w:w="780" w:type="dxa"/>
            <w:tcBorders>
              <w:top w:val="nil"/>
              <w:left w:val="nil"/>
              <w:bottom w:val="single" w:sz="4" w:space="0" w:color="auto"/>
              <w:right w:val="single" w:sz="4" w:space="0" w:color="auto"/>
            </w:tcBorders>
            <w:shd w:val="clear" w:color="auto" w:fill="auto"/>
            <w:noWrap/>
            <w:vAlign w:val="bottom"/>
            <w:hideMark/>
          </w:tcPr>
          <w:p w14:paraId="48C2A324"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-0.079</w:t>
            </w:r>
          </w:p>
        </w:tc>
      </w:tr>
      <w:tr w:rsidR="003D3694" w:rsidRPr="00747E35" w14:paraId="6FEE4A51"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183B9261"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Psammaspididae_indet._Sb</w:t>
            </w:r>
          </w:p>
        </w:tc>
        <w:tc>
          <w:tcPr>
            <w:tcW w:w="780" w:type="dxa"/>
            <w:tcBorders>
              <w:top w:val="nil"/>
              <w:left w:val="nil"/>
              <w:bottom w:val="single" w:sz="4" w:space="0" w:color="auto"/>
              <w:right w:val="single" w:sz="4" w:space="0" w:color="auto"/>
            </w:tcBorders>
            <w:shd w:val="clear" w:color="auto" w:fill="auto"/>
            <w:noWrap/>
            <w:vAlign w:val="bottom"/>
            <w:hideMark/>
          </w:tcPr>
          <w:p w14:paraId="406B5374"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-0.114</w:t>
            </w:r>
          </w:p>
        </w:tc>
        <w:tc>
          <w:tcPr>
            <w:tcW w:w="780" w:type="dxa"/>
            <w:tcBorders>
              <w:top w:val="nil"/>
              <w:left w:val="nil"/>
              <w:bottom w:val="single" w:sz="4" w:space="0" w:color="auto"/>
              <w:right w:val="single" w:sz="4" w:space="0" w:color="auto"/>
            </w:tcBorders>
            <w:shd w:val="clear" w:color="auto" w:fill="auto"/>
            <w:noWrap/>
            <w:vAlign w:val="bottom"/>
            <w:hideMark/>
          </w:tcPr>
          <w:p w14:paraId="706D562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-0.276</w:t>
            </w:r>
          </w:p>
        </w:tc>
        <w:tc>
          <w:tcPr>
            <w:tcW w:w="222" w:type="dxa"/>
            <w:tcBorders>
              <w:top w:val="nil"/>
              <w:left w:val="nil"/>
              <w:bottom w:val="nil"/>
              <w:right w:val="nil"/>
            </w:tcBorders>
            <w:shd w:val="clear" w:color="auto" w:fill="auto"/>
            <w:noWrap/>
            <w:vAlign w:val="bottom"/>
            <w:hideMark/>
          </w:tcPr>
          <w:p w14:paraId="2D8F7EF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506D7B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EC (µS/cm)</w:t>
            </w:r>
          </w:p>
        </w:tc>
        <w:tc>
          <w:tcPr>
            <w:tcW w:w="780" w:type="dxa"/>
            <w:tcBorders>
              <w:top w:val="nil"/>
              <w:left w:val="nil"/>
              <w:bottom w:val="single" w:sz="4" w:space="0" w:color="auto"/>
              <w:right w:val="single" w:sz="4" w:space="0" w:color="auto"/>
            </w:tcBorders>
            <w:shd w:val="clear" w:color="auto" w:fill="auto"/>
            <w:noWrap/>
            <w:vAlign w:val="bottom"/>
            <w:hideMark/>
          </w:tcPr>
          <w:p w14:paraId="228E8FB4"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0.141</w:t>
            </w:r>
          </w:p>
        </w:tc>
        <w:tc>
          <w:tcPr>
            <w:tcW w:w="780" w:type="dxa"/>
            <w:tcBorders>
              <w:top w:val="nil"/>
              <w:left w:val="nil"/>
              <w:bottom w:val="single" w:sz="4" w:space="0" w:color="auto"/>
              <w:right w:val="single" w:sz="4" w:space="0" w:color="auto"/>
            </w:tcBorders>
            <w:shd w:val="clear" w:color="auto" w:fill="auto"/>
            <w:noWrap/>
            <w:vAlign w:val="bottom"/>
            <w:hideMark/>
          </w:tcPr>
          <w:p w14:paraId="522BA88F"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0.056</w:t>
            </w:r>
          </w:p>
        </w:tc>
      </w:tr>
      <w:tr w:rsidR="003D3694" w:rsidRPr="00747E35" w14:paraId="255AEB95"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23A5F37F"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Bathynellidae_indet._Sb</w:t>
            </w:r>
          </w:p>
        </w:tc>
        <w:tc>
          <w:tcPr>
            <w:tcW w:w="780" w:type="dxa"/>
            <w:tcBorders>
              <w:top w:val="nil"/>
              <w:left w:val="nil"/>
              <w:bottom w:val="single" w:sz="4" w:space="0" w:color="auto"/>
              <w:right w:val="single" w:sz="4" w:space="0" w:color="auto"/>
            </w:tcBorders>
            <w:shd w:val="clear" w:color="auto" w:fill="auto"/>
            <w:noWrap/>
            <w:vAlign w:val="bottom"/>
            <w:hideMark/>
          </w:tcPr>
          <w:p w14:paraId="307B2288"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-0.393</w:t>
            </w:r>
          </w:p>
        </w:tc>
        <w:tc>
          <w:tcPr>
            <w:tcW w:w="780" w:type="dxa"/>
            <w:tcBorders>
              <w:top w:val="nil"/>
              <w:left w:val="nil"/>
              <w:bottom w:val="single" w:sz="4" w:space="0" w:color="auto"/>
              <w:right w:val="single" w:sz="4" w:space="0" w:color="auto"/>
            </w:tcBorders>
            <w:shd w:val="clear" w:color="auto" w:fill="auto"/>
            <w:noWrap/>
            <w:vAlign w:val="bottom"/>
            <w:hideMark/>
          </w:tcPr>
          <w:p w14:paraId="7EE89B9C"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0.405</w:t>
            </w:r>
          </w:p>
        </w:tc>
        <w:tc>
          <w:tcPr>
            <w:tcW w:w="222" w:type="dxa"/>
            <w:tcBorders>
              <w:top w:val="nil"/>
              <w:left w:val="nil"/>
              <w:bottom w:val="nil"/>
              <w:right w:val="nil"/>
            </w:tcBorders>
            <w:shd w:val="clear" w:color="auto" w:fill="auto"/>
            <w:noWrap/>
            <w:vAlign w:val="bottom"/>
            <w:hideMark/>
          </w:tcPr>
          <w:p w14:paraId="3CA6B891"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303671E"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pH</w:t>
            </w:r>
          </w:p>
        </w:tc>
        <w:tc>
          <w:tcPr>
            <w:tcW w:w="780" w:type="dxa"/>
            <w:tcBorders>
              <w:top w:val="nil"/>
              <w:left w:val="nil"/>
              <w:bottom w:val="single" w:sz="4" w:space="0" w:color="auto"/>
              <w:right w:val="single" w:sz="4" w:space="0" w:color="auto"/>
            </w:tcBorders>
            <w:shd w:val="clear" w:color="auto" w:fill="auto"/>
            <w:noWrap/>
            <w:vAlign w:val="bottom"/>
            <w:hideMark/>
          </w:tcPr>
          <w:p w14:paraId="1497DEF0"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0.109</w:t>
            </w:r>
          </w:p>
        </w:tc>
        <w:tc>
          <w:tcPr>
            <w:tcW w:w="780" w:type="dxa"/>
            <w:tcBorders>
              <w:top w:val="nil"/>
              <w:left w:val="nil"/>
              <w:bottom w:val="single" w:sz="4" w:space="0" w:color="auto"/>
              <w:right w:val="single" w:sz="4" w:space="0" w:color="auto"/>
            </w:tcBorders>
            <w:shd w:val="clear" w:color="auto" w:fill="auto"/>
            <w:noWrap/>
            <w:vAlign w:val="bottom"/>
            <w:hideMark/>
          </w:tcPr>
          <w:p w14:paraId="21506C64"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0.467</w:t>
            </w:r>
          </w:p>
        </w:tc>
      </w:tr>
      <w:tr w:rsidR="003D3694" w:rsidRPr="00747E35" w14:paraId="4D59E6D3"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2C0C6FE6"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Bathynellidae_sp 1_Sb</w:t>
            </w:r>
          </w:p>
        </w:tc>
        <w:tc>
          <w:tcPr>
            <w:tcW w:w="780" w:type="dxa"/>
            <w:tcBorders>
              <w:top w:val="nil"/>
              <w:left w:val="nil"/>
              <w:bottom w:val="single" w:sz="4" w:space="0" w:color="auto"/>
              <w:right w:val="single" w:sz="4" w:space="0" w:color="auto"/>
            </w:tcBorders>
            <w:shd w:val="clear" w:color="auto" w:fill="auto"/>
            <w:noWrap/>
            <w:vAlign w:val="bottom"/>
            <w:hideMark/>
          </w:tcPr>
          <w:p w14:paraId="742D89F1"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0.129</w:t>
            </w:r>
          </w:p>
        </w:tc>
        <w:tc>
          <w:tcPr>
            <w:tcW w:w="780" w:type="dxa"/>
            <w:tcBorders>
              <w:top w:val="nil"/>
              <w:left w:val="nil"/>
              <w:bottom w:val="single" w:sz="4" w:space="0" w:color="auto"/>
              <w:right w:val="single" w:sz="4" w:space="0" w:color="auto"/>
            </w:tcBorders>
            <w:shd w:val="clear" w:color="auto" w:fill="auto"/>
            <w:noWrap/>
            <w:vAlign w:val="bottom"/>
            <w:hideMark/>
          </w:tcPr>
          <w:p w14:paraId="1211D605"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-0.445</w:t>
            </w:r>
          </w:p>
        </w:tc>
        <w:tc>
          <w:tcPr>
            <w:tcW w:w="222" w:type="dxa"/>
            <w:tcBorders>
              <w:top w:val="nil"/>
              <w:left w:val="nil"/>
              <w:bottom w:val="nil"/>
              <w:right w:val="nil"/>
            </w:tcBorders>
            <w:shd w:val="clear" w:color="auto" w:fill="auto"/>
            <w:noWrap/>
            <w:vAlign w:val="bottom"/>
            <w:hideMark/>
          </w:tcPr>
          <w:p w14:paraId="514C2DD8"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287A1DD"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Sqr(Sqr(DO (mg/L)))</w:t>
            </w:r>
          </w:p>
        </w:tc>
        <w:tc>
          <w:tcPr>
            <w:tcW w:w="780" w:type="dxa"/>
            <w:tcBorders>
              <w:top w:val="nil"/>
              <w:left w:val="nil"/>
              <w:bottom w:val="single" w:sz="4" w:space="0" w:color="auto"/>
              <w:right w:val="single" w:sz="4" w:space="0" w:color="auto"/>
            </w:tcBorders>
            <w:shd w:val="clear" w:color="auto" w:fill="auto"/>
            <w:noWrap/>
            <w:vAlign w:val="bottom"/>
            <w:hideMark/>
          </w:tcPr>
          <w:p w14:paraId="585998C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-0.186</w:t>
            </w:r>
          </w:p>
        </w:tc>
        <w:tc>
          <w:tcPr>
            <w:tcW w:w="780" w:type="dxa"/>
            <w:tcBorders>
              <w:top w:val="nil"/>
              <w:left w:val="nil"/>
              <w:bottom w:val="single" w:sz="4" w:space="0" w:color="auto"/>
              <w:right w:val="single" w:sz="4" w:space="0" w:color="auto"/>
            </w:tcBorders>
            <w:shd w:val="clear" w:color="auto" w:fill="auto"/>
            <w:noWrap/>
            <w:vAlign w:val="bottom"/>
            <w:hideMark/>
          </w:tcPr>
          <w:p w14:paraId="004760D1"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-0.098</w:t>
            </w:r>
          </w:p>
        </w:tc>
      </w:tr>
      <w:tr w:rsidR="003D3694" w:rsidRPr="00747E35" w14:paraId="45671E04"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0CF90FA3"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Parabathynellidae_indet._Sb</w:t>
            </w:r>
          </w:p>
        </w:tc>
        <w:tc>
          <w:tcPr>
            <w:tcW w:w="780" w:type="dxa"/>
            <w:tcBorders>
              <w:top w:val="nil"/>
              <w:left w:val="nil"/>
              <w:bottom w:val="single" w:sz="4" w:space="0" w:color="auto"/>
              <w:right w:val="single" w:sz="4" w:space="0" w:color="auto"/>
            </w:tcBorders>
            <w:shd w:val="clear" w:color="auto" w:fill="auto"/>
            <w:noWrap/>
            <w:vAlign w:val="bottom"/>
            <w:hideMark/>
          </w:tcPr>
          <w:p w14:paraId="49D9A00E"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-0.346</w:t>
            </w:r>
          </w:p>
        </w:tc>
        <w:tc>
          <w:tcPr>
            <w:tcW w:w="780" w:type="dxa"/>
            <w:tcBorders>
              <w:top w:val="nil"/>
              <w:left w:val="nil"/>
              <w:bottom w:val="single" w:sz="4" w:space="0" w:color="auto"/>
              <w:right w:val="single" w:sz="4" w:space="0" w:color="auto"/>
            </w:tcBorders>
            <w:shd w:val="clear" w:color="auto" w:fill="auto"/>
            <w:noWrap/>
            <w:vAlign w:val="bottom"/>
            <w:hideMark/>
          </w:tcPr>
          <w:p w14:paraId="3CDE09A2"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0.600</w:t>
            </w:r>
          </w:p>
        </w:tc>
        <w:tc>
          <w:tcPr>
            <w:tcW w:w="222" w:type="dxa"/>
            <w:tcBorders>
              <w:top w:val="nil"/>
              <w:left w:val="nil"/>
              <w:bottom w:val="nil"/>
              <w:right w:val="nil"/>
            </w:tcBorders>
            <w:shd w:val="clear" w:color="auto" w:fill="auto"/>
            <w:noWrap/>
            <w:vAlign w:val="bottom"/>
            <w:hideMark/>
          </w:tcPr>
          <w:p w14:paraId="2D246FC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9E2178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Sqr(Sqr(NOx (mg/l)))</w:t>
            </w:r>
          </w:p>
        </w:tc>
        <w:tc>
          <w:tcPr>
            <w:tcW w:w="780" w:type="dxa"/>
            <w:tcBorders>
              <w:top w:val="nil"/>
              <w:left w:val="nil"/>
              <w:bottom w:val="single" w:sz="4" w:space="0" w:color="auto"/>
              <w:right w:val="single" w:sz="4" w:space="0" w:color="auto"/>
            </w:tcBorders>
            <w:shd w:val="clear" w:color="auto" w:fill="auto"/>
            <w:noWrap/>
            <w:vAlign w:val="bottom"/>
            <w:hideMark/>
          </w:tcPr>
          <w:p w14:paraId="21ACE917"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-0.037</w:t>
            </w:r>
          </w:p>
        </w:tc>
        <w:tc>
          <w:tcPr>
            <w:tcW w:w="780" w:type="dxa"/>
            <w:tcBorders>
              <w:top w:val="nil"/>
              <w:left w:val="nil"/>
              <w:bottom w:val="single" w:sz="4" w:space="0" w:color="auto"/>
              <w:right w:val="single" w:sz="4" w:space="0" w:color="auto"/>
            </w:tcBorders>
            <w:shd w:val="clear" w:color="auto" w:fill="auto"/>
            <w:noWrap/>
            <w:vAlign w:val="bottom"/>
            <w:hideMark/>
          </w:tcPr>
          <w:p w14:paraId="0176CB6F"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-0.087</w:t>
            </w:r>
          </w:p>
        </w:tc>
      </w:tr>
      <w:tr w:rsidR="003D3694" w:rsidRPr="00747E35" w14:paraId="5FBA121D"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1FF75E3E"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Parabathynellidae_sp 1_Sb</w:t>
            </w:r>
          </w:p>
        </w:tc>
        <w:tc>
          <w:tcPr>
            <w:tcW w:w="780" w:type="dxa"/>
            <w:tcBorders>
              <w:top w:val="nil"/>
              <w:left w:val="nil"/>
              <w:bottom w:val="single" w:sz="4" w:space="0" w:color="auto"/>
              <w:right w:val="single" w:sz="4" w:space="0" w:color="auto"/>
            </w:tcBorders>
            <w:shd w:val="clear" w:color="auto" w:fill="auto"/>
            <w:noWrap/>
            <w:vAlign w:val="bottom"/>
            <w:hideMark/>
          </w:tcPr>
          <w:p w14:paraId="6FE726D8"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-0.180</w:t>
            </w:r>
          </w:p>
        </w:tc>
        <w:tc>
          <w:tcPr>
            <w:tcW w:w="780" w:type="dxa"/>
            <w:tcBorders>
              <w:top w:val="nil"/>
              <w:left w:val="nil"/>
              <w:bottom w:val="single" w:sz="4" w:space="0" w:color="auto"/>
              <w:right w:val="single" w:sz="4" w:space="0" w:color="auto"/>
            </w:tcBorders>
            <w:shd w:val="clear" w:color="auto" w:fill="auto"/>
            <w:noWrap/>
            <w:vAlign w:val="bottom"/>
            <w:hideMark/>
          </w:tcPr>
          <w:p w14:paraId="11CA20C3"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-0.196</w:t>
            </w:r>
          </w:p>
        </w:tc>
        <w:tc>
          <w:tcPr>
            <w:tcW w:w="222" w:type="dxa"/>
            <w:tcBorders>
              <w:top w:val="nil"/>
              <w:left w:val="nil"/>
              <w:bottom w:val="nil"/>
              <w:right w:val="nil"/>
            </w:tcBorders>
            <w:shd w:val="clear" w:color="auto" w:fill="auto"/>
            <w:noWrap/>
            <w:vAlign w:val="bottom"/>
            <w:hideMark/>
          </w:tcPr>
          <w:p w14:paraId="125788B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324D74E"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Sqr(Nitrate (mg/l))</w:t>
            </w:r>
          </w:p>
        </w:tc>
        <w:tc>
          <w:tcPr>
            <w:tcW w:w="780" w:type="dxa"/>
            <w:tcBorders>
              <w:top w:val="nil"/>
              <w:left w:val="nil"/>
              <w:bottom w:val="single" w:sz="4" w:space="0" w:color="auto"/>
              <w:right w:val="single" w:sz="4" w:space="0" w:color="auto"/>
            </w:tcBorders>
            <w:shd w:val="clear" w:color="auto" w:fill="auto"/>
            <w:noWrap/>
            <w:vAlign w:val="bottom"/>
            <w:hideMark/>
          </w:tcPr>
          <w:p w14:paraId="7764AAB7"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-0.041</w:t>
            </w:r>
          </w:p>
        </w:tc>
        <w:tc>
          <w:tcPr>
            <w:tcW w:w="780" w:type="dxa"/>
            <w:tcBorders>
              <w:top w:val="nil"/>
              <w:left w:val="nil"/>
              <w:bottom w:val="single" w:sz="4" w:space="0" w:color="auto"/>
              <w:right w:val="single" w:sz="4" w:space="0" w:color="auto"/>
            </w:tcBorders>
            <w:shd w:val="clear" w:color="auto" w:fill="auto"/>
            <w:noWrap/>
            <w:vAlign w:val="bottom"/>
            <w:hideMark/>
          </w:tcPr>
          <w:p w14:paraId="6BF63772"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-0.134</w:t>
            </w:r>
          </w:p>
        </w:tc>
      </w:tr>
      <w:tr w:rsidR="003D3694" w:rsidRPr="00747E35" w14:paraId="3A9686E3"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0055CC90"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Parabathynellidae_sp 4_Sb</w:t>
            </w:r>
          </w:p>
        </w:tc>
        <w:tc>
          <w:tcPr>
            <w:tcW w:w="780" w:type="dxa"/>
            <w:tcBorders>
              <w:top w:val="nil"/>
              <w:left w:val="nil"/>
              <w:bottom w:val="single" w:sz="4" w:space="0" w:color="auto"/>
              <w:right w:val="single" w:sz="4" w:space="0" w:color="auto"/>
            </w:tcBorders>
            <w:shd w:val="clear" w:color="auto" w:fill="auto"/>
            <w:noWrap/>
            <w:vAlign w:val="bottom"/>
            <w:hideMark/>
          </w:tcPr>
          <w:p w14:paraId="7695649C"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0.338</w:t>
            </w:r>
          </w:p>
        </w:tc>
        <w:tc>
          <w:tcPr>
            <w:tcW w:w="780" w:type="dxa"/>
            <w:tcBorders>
              <w:top w:val="nil"/>
              <w:left w:val="nil"/>
              <w:bottom w:val="single" w:sz="4" w:space="0" w:color="auto"/>
              <w:right w:val="single" w:sz="4" w:space="0" w:color="auto"/>
            </w:tcBorders>
            <w:shd w:val="clear" w:color="auto" w:fill="auto"/>
            <w:noWrap/>
            <w:vAlign w:val="bottom"/>
            <w:hideMark/>
          </w:tcPr>
          <w:p w14:paraId="5C41ACA2"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-0.553</w:t>
            </w:r>
          </w:p>
        </w:tc>
        <w:tc>
          <w:tcPr>
            <w:tcW w:w="222" w:type="dxa"/>
            <w:tcBorders>
              <w:top w:val="nil"/>
              <w:left w:val="nil"/>
              <w:bottom w:val="nil"/>
              <w:right w:val="nil"/>
            </w:tcBorders>
            <w:shd w:val="clear" w:color="auto" w:fill="auto"/>
            <w:noWrap/>
            <w:vAlign w:val="bottom"/>
            <w:hideMark/>
          </w:tcPr>
          <w:p w14:paraId="5E88A3B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AFE37D1"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Sqr(Sqr(P (ug/l)))</w:t>
            </w:r>
          </w:p>
        </w:tc>
        <w:tc>
          <w:tcPr>
            <w:tcW w:w="780" w:type="dxa"/>
            <w:tcBorders>
              <w:top w:val="nil"/>
              <w:left w:val="nil"/>
              <w:bottom w:val="single" w:sz="4" w:space="0" w:color="auto"/>
              <w:right w:val="single" w:sz="4" w:space="0" w:color="auto"/>
            </w:tcBorders>
            <w:shd w:val="clear" w:color="auto" w:fill="auto"/>
            <w:noWrap/>
            <w:vAlign w:val="bottom"/>
            <w:hideMark/>
          </w:tcPr>
          <w:p w14:paraId="45B02292"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-0.107</w:t>
            </w:r>
          </w:p>
        </w:tc>
        <w:tc>
          <w:tcPr>
            <w:tcW w:w="780" w:type="dxa"/>
            <w:tcBorders>
              <w:top w:val="nil"/>
              <w:left w:val="nil"/>
              <w:bottom w:val="single" w:sz="4" w:space="0" w:color="auto"/>
              <w:right w:val="single" w:sz="4" w:space="0" w:color="auto"/>
            </w:tcBorders>
            <w:shd w:val="clear" w:color="auto" w:fill="auto"/>
            <w:noWrap/>
            <w:vAlign w:val="bottom"/>
            <w:hideMark/>
          </w:tcPr>
          <w:p w14:paraId="112B061F"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-0.053</w:t>
            </w:r>
          </w:p>
        </w:tc>
      </w:tr>
      <w:tr w:rsidR="003D3694" w:rsidRPr="00747E35" w14:paraId="358B9119"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3BC1921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Janiridae_indet. NSW Sb_Sb</w:t>
            </w:r>
          </w:p>
        </w:tc>
        <w:tc>
          <w:tcPr>
            <w:tcW w:w="780" w:type="dxa"/>
            <w:tcBorders>
              <w:top w:val="nil"/>
              <w:left w:val="nil"/>
              <w:bottom w:val="single" w:sz="4" w:space="0" w:color="auto"/>
              <w:right w:val="single" w:sz="4" w:space="0" w:color="auto"/>
            </w:tcBorders>
            <w:shd w:val="clear" w:color="auto" w:fill="auto"/>
            <w:noWrap/>
            <w:vAlign w:val="bottom"/>
            <w:hideMark/>
          </w:tcPr>
          <w:p w14:paraId="0C0DB40E"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-0.294</w:t>
            </w:r>
          </w:p>
        </w:tc>
        <w:tc>
          <w:tcPr>
            <w:tcW w:w="780" w:type="dxa"/>
            <w:tcBorders>
              <w:top w:val="nil"/>
              <w:left w:val="nil"/>
              <w:bottom w:val="single" w:sz="4" w:space="0" w:color="auto"/>
              <w:right w:val="single" w:sz="4" w:space="0" w:color="auto"/>
            </w:tcBorders>
            <w:shd w:val="clear" w:color="auto" w:fill="auto"/>
            <w:noWrap/>
            <w:vAlign w:val="bottom"/>
            <w:hideMark/>
          </w:tcPr>
          <w:p w14:paraId="04C125B3"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-0.189</w:t>
            </w:r>
          </w:p>
        </w:tc>
        <w:tc>
          <w:tcPr>
            <w:tcW w:w="222" w:type="dxa"/>
            <w:tcBorders>
              <w:top w:val="nil"/>
              <w:left w:val="nil"/>
              <w:bottom w:val="nil"/>
              <w:right w:val="nil"/>
            </w:tcBorders>
            <w:shd w:val="clear" w:color="auto" w:fill="auto"/>
            <w:noWrap/>
            <w:vAlign w:val="bottom"/>
            <w:hideMark/>
          </w:tcPr>
          <w:p w14:paraId="00D008BE"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7EC03C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Sqr(Phosphate (mg/l))</w:t>
            </w:r>
          </w:p>
        </w:tc>
        <w:tc>
          <w:tcPr>
            <w:tcW w:w="780" w:type="dxa"/>
            <w:tcBorders>
              <w:top w:val="nil"/>
              <w:left w:val="nil"/>
              <w:bottom w:val="single" w:sz="4" w:space="0" w:color="auto"/>
              <w:right w:val="single" w:sz="4" w:space="0" w:color="auto"/>
            </w:tcBorders>
            <w:shd w:val="clear" w:color="auto" w:fill="auto"/>
            <w:noWrap/>
            <w:vAlign w:val="bottom"/>
            <w:hideMark/>
          </w:tcPr>
          <w:p w14:paraId="445A4103"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-0.050</w:t>
            </w:r>
          </w:p>
        </w:tc>
        <w:tc>
          <w:tcPr>
            <w:tcW w:w="780" w:type="dxa"/>
            <w:tcBorders>
              <w:top w:val="nil"/>
              <w:left w:val="nil"/>
              <w:bottom w:val="single" w:sz="4" w:space="0" w:color="auto"/>
              <w:right w:val="single" w:sz="4" w:space="0" w:color="auto"/>
            </w:tcBorders>
            <w:shd w:val="clear" w:color="auto" w:fill="auto"/>
            <w:noWrap/>
            <w:vAlign w:val="bottom"/>
            <w:hideMark/>
          </w:tcPr>
          <w:p w14:paraId="557CF338"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-0.068</w:t>
            </w:r>
          </w:p>
        </w:tc>
      </w:tr>
      <w:tr w:rsidR="003D3694" w:rsidRPr="00747E35" w14:paraId="7332E8D6"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464A392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Harpacticoida_indet_sp 2_Sb</w:t>
            </w:r>
          </w:p>
        </w:tc>
        <w:tc>
          <w:tcPr>
            <w:tcW w:w="780" w:type="dxa"/>
            <w:tcBorders>
              <w:top w:val="nil"/>
              <w:left w:val="nil"/>
              <w:bottom w:val="single" w:sz="4" w:space="0" w:color="auto"/>
              <w:right w:val="single" w:sz="4" w:space="0" w:color="auto"/>
            </w:tcBorders>
            <w:shd w:val="clear" w:color="auto" w:fill="auto"/>
            <w:noWrap/>
            <w:vAlign w:val="bottom"/>
            <w:hideMark/>
          </w:tcPr>
          <w:p w14:paraId="28809665"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-0.114</w:t>
            </w:r>
          </w:p>
        </w:tc>
        <w:tc>
          <w:tcPr>
            <w:tcW w:w="780" w:type="dxa"/>
            <w:tcBorders>
              <w:top w:val="nil"/>
              <w:left w:val="nil"/>
              <w:bottom w:val="single" w:sz="4" w:space="0" w:color="auto"/>
              <w:right w:val="single" w:sz="4" w:space="0" w:color="auto"/>
            </w:tcBorders>
            <w:shd w:val="clear" w:color="auto" w:fill="auto"/>
            <w:noWrap/>
            <w:vAlign w:val="bottom"/>
            <w:hideMark/>
          </w:tcPr>
          <w:p w14:paraId="68165DC1"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-0.276</w:t>
            </w:r>
          </w:p>
        </w:tc>
        <w:tc>
          <w:tcPr>
            <w:tcW w:w="222" w:type="dxa"/>
            <w:tcBorders>
              <w:top w:val="nil"/>
              <w:left w:val="nil"/>
              <w:bottom w:val="nil"/>
              <w:right w:val="nil"/>
            </w:tcBorders>
            <w:shd w:val="clear" w:color="auto" w:fill="auto"/>
            <w:noWrap/>
            <w:vAlign w:val="bottom"/>
            <w:hideMark/>
          </w:tcPr>
          <w:p w14:paraId="3D17B6BD"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1CA53A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Sqr(DOC (mg/l))</w:t>
            </w:r>
          </w:p>
        </w:tc>
        <w:tc>
          <w:tcPr>
            <w:tcW w:w="780" w:type="dxa"/>
            <w:tcBorders>
              <w:top w:val="nil"/>
              <w:left w:val="nil"/>
              <w:bottom w:val="single" w:sz="4" w:space="0" w:color="auto"/>
              <w:right w:val="single" w:sz="4" w:space="0" w:color="auto"/>
            </w:tcBorders>
            <w:shd w:val="clear" w:color="auto" w:fill="auto"/>
            <w:noWrap/>
            <w:vAlign w:val="bottom"/>
            <w:hideMark/>
          </w:tcPr>
          <w:p w14:paraId="59F79265"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0.023</w:t>
            </w:r>
          </w:p>
        </w:tc>
        <w:tc>
          <w:tcPr>
            <w:tcW w:w="780" w:type="dxa"/>
            <w:tcBorders>
              <w:top w:val="nil"/>
              <w:left w:val="nil"/>
              <w:bottom w:val="single" w:sz="4" w:space="0" w:color="auto"/>
              <w:right w:val="single" w:sz="4" w:space="0" w:color="auto"/>
            </w:tcBorders>
            <w:shd w:val="clear" w:color="auto" w:fill="auto"/>
            <w:noWrap/>
            <w:vAlign w:val="bottom"/>
            <w:hideMark/>
          </w:tcPr>
          <w:p w14:paraId="09B8020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-0.326</w:t>
            </w:r>
          </w:p>
        </w:tc>
      </w:tr>
      <w:tr w:rsidR="003D3694" w:rsidRPr="00747E35" w14:paraId="1B6BC8E3"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031B4438"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Harpacticoida_indet_Sb</w:t>
            </w:r>
          </w:p>
        </w:tc>
        <w:tc>
          <w:tcPr>
            <w:tcW w:w="780" w:type="dxa"/>
            <w:tcBorders>
              <w:top w:val="nil"/>
              <w:left w:val="nil"/>
              <w:bottom w:val="single" w:sz="4" w:space="0" w:color="auto"/>
              <w:right w:val="single" w:sz="4" w:space="0" w:color="auto"/>
            </w:tcBorders>
            <w:shd w:val="clear" w:color="auto" w:fill="auto"/>
            <w:noWrap/>
            <w:vAlign w:val="bottom"/>
            <w:hideMark/>
          </w:tcPr>
          <w:p w14:paraId="4814D02A"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-0.550</w:t>
            </w:r>
          </w:p>
        </w:tc>
        <w:tc>
          <w:tcPr>
            <w:tcW w:w="780" w:type="dxa"/>
            <w:tcBorders>
              <w:top w:val="nil"/>
              <w:left w:val="nil"/>
              <w:bottom w:val="single" w:sz="4" w:space="0" w:color="auto"/>
              <w:right w:val="single" w:sz="4" w:space="0" w:color="auto"/>
            </w:tcBorders>
            <w:shd w:val="clear" w:color="auto" w:fill="auto"/>
            <w:noWrap/>
            <w:vAlign w:val="bottom"/>
            <w:hideMark/>
          </w:tcPr>
          <w:p w14:paraId="6182C176"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0.100</w:t>
            </w:r>
          </w:p>
        </w:tc>
        <w:tc>
          <w:tcPr>
            <w:tcW w:w="222" w:type="dxa"/>
            <w:tcBorders>
              <w:top w:val="nil"/>
              <w:left w:val="nil"/>
              <w:bottom w:val="nil"/>
              <w:right w:val="nil"/>
            </w:tcBorders>
            <w:shd w:val="clear" w:color="auto" w:fill="auto"/>
            <w:noWrap/>
            <w:vAlign w:val="bottom"/>
            <w:hideMark/>
          </w:tcPr>
          <w:p w14:paraId="7044B36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6A3EAC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Sqr(Factor 1)</w:t>
            </w:r>
          </w:p>
        </w:tc>
        <w:tc>
          <w:tcPr>
            <w:tcW w:w="780" w:type="dxa"/>
            <w:tcBorders>
              <w:top w:val="nil"/>
              <w:left w:val="nil"/>
              <w:bottom w:val="single" w:sz="4" w:space="0" w:color="auto"/>
              <w:right w:val="single" w:sz="4" w:space="0" w:color="auto"/>
            </w:tcBorders>
            <w:shd w:val="clear" w:color="auto" w:fill="auto"/>
            <w:noWrap/>
            <w:vAlign w:val="bottom"/>
            <w:hideMark/>
          </w:tcPr>
          <w:p w14:paraId="2971FB0E"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0.048</w:t>
            </w:r>
          </w:p>
        </w:tc>
        <w:tc>
          <w:tcPr>
            <w:tcW w:w="780" w:type="dxa"/>
            <w:tcBorders>
              <w:top w:val="nil"/>
              <w:left w:val="nil"/>
              <w:bottom w:val="single" w:sz="4" w:space="0" w:color="auto"/>
              <w:right w:val="single" w:sz="4" w:space="0" w:color="auto"/>
            </w:tcBorders>
            <w:shd w:val="clear" w:color="auto" w:fill="auto"/>
            <w:noWrap/>
            <w:vAlign w:val="bottom"/>
            <w:hideMark/>
          </w:tcPr>
          <w:p w14:paraId="14B9151D"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0.128</w:t>
            </w:r>
          </w:p>
        </w:tc>
      </w:tr>
      <w:tr w:rsidR="003D3694" w:rsidRPr="00747E35" w14:paraId="70C6081A"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11066DA8"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Cyclopoida_indet._Sp/Sb?</w:t>
            </w:r>
          </w:p>
        </w:tc>
        <w:tc>
          <w:tcPr>
            <w:tcW w:w="780" w:type="dxa"/>
            <w:tcBorders>
              <w:top w:val="nil"/>
              <w:left w:val="nil"/>
              <w:bottom w:val="single" w:sz="4" w:space="0" w:color="auto"/>
              <w:right w:val="single" w:sz="4" w:space="0" w:color="auto"/>
            </w:tcBorders>
            <w:shd w:val="clear" w:color="auto" w:fill="auto"/>
            <w:noWrap/>
            <w:vAlign w:val="bottom"/>
            <w:hideMark/>
          </w:tcPr>
          <w:p w14:paraId="3EA97A8E"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-0.796</w:t>
            </w:r>
          </w:p>
        </w:tc>
        <w:tc>
          <w:tcPr>
            <w:tcW w:w="780" w:type="dxa"/>
            <w:tcBorders>
              <w:top w:val="nil"/>
              <w:left w:val="nil"/>
              <w:bottom w:val="single" w:sz="4" w:space="0" w:color="auto"/>
              <w:right w:val="single" w:sz="4" w:space="0" w:color="auto"/>
            </w:tcBorders>
            <w:shd w:val="clear" w:color="auto" w:fill="auto"/>
            <w:noWrap/>
            <w:vAlign w:val="bottom"/>
            <w:hideMark/>
          </w:tcPr>
          <w:p w14:paraId="06CF8017"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-0.386</w:t>
            </w:r>
          </w:p>
        </w:tc>
        <w:tc>
          <w:tcPr>
            <w:tcW w:w="222" w:type="dxa"/>
            <w:tcBorders>
              <w:top w:val="nil"/>
              <w:left w:val="nil"/>
              <w:bottom w:val="nil"/>
              <w:right w:val="nil"/>
            </w:tcBorders>
            <w:shd w:val="clear" w:color="auto" w:fill="auto"/>
            <w:noWrap/>
            <w:vAlign w:val="bottom"/>
            <w:hideMark/>
          </w:tcPr>
          <w:p w14:paraId="6171B86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2BC8DF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Sqr(Factor 2)</w:t>
            </w:r>
          </w:p>
        </w:tc>
        <w:tc>
          <w:tcPr>
            <w:tcW w:w="780" w:type="dxa"/>
            <w:tcBorders>
              <w:top w:val="nil"/>
              <w:left w:val="nil"/>
              <w:bottom w:val="single" w:sz="4" w:space="0" w:color="auto"/>
              <w:right w:val="single" w:sz="4" w:space="0" w:color="auto"/>
            </w:tcBorders>
            <w:shd w:val="clear" w:color="auto" w:fill="auto"/>
            <w:noWrap/>
            <w:vAlign w:val="bottom"/>
            <w:hideMark/>
          </w:tcPr>
          <w:p w14:paraId="769F96FE"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-0.099</w:t>
            </w:r>
          </w:p>
        </w:tc>
        <w:tc>
          <w:tcPr>
            <w:tcW w:w="780" w:type="dxa"/>
            <w:tcBorders>
              <w:top w:val="nil"/>
              <w:left w:val="nil"/>
              <w:bottom w:val="single" w:sz="4" w:space="0" w:color="auto"/>
              <w:right w:val="single" w:sz="4" w:space="0" w:color="auto"/>
            </w:tcBorders>
            <w:shd w:val="clear" w:color="auto" w:fill="auto"/>
            <w:noWrap/>
            <w:vAlign w:val="bottom"/>
            <w:hideMark/>
          </w:tcPr>
          <w:p w14:paraId="6370930B"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-0.058</w:t>
            </w:r>
          </w:p>
        </w:tc>
      </w:tr>
      <w:tr w:rsidR="003D3694" w:rsidRPr="00747E35" w14:paraId="02CC4AEA"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7831B7FE"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Candonidae?_indet._sp1/1B NSW_Sp/Sb?</w:t>
            </w:r>
          </w:p>
        </w:tc>
        <w:tc>
          <w:tcPr>
            <w:tcW w:w="780" w:type="dxa"/>
            <w:tcBorders>
              <w:top w:val="nil"/>
              <w:left w:val="nil"/>
              <w:bottom w:val="single" w:sz="4" w:space="0" w:color="auto"/>
              <w:right w:val="single" w:sz="4" w:space="0" w:color="auto"/>
            </w:tcBorders>
            <w:shd w:val="clear" w:color="auto" w:fill="auto"/>
            <w:noWrap/>
            <w:vAlign w:val="bottom"/>
            <w:hideMark/>
          </w:tcPr>
          <w:p w14:paraId="266C7081"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-0.138</w:t>
            </w:r>
          </w:p>
        </w:tc>
        <w:tc>
          <w:tcPr>
            <w:tcW w:w="780" w:type="dxa"/>
            <w:tcBorders>
              <w:top w:val="nil"/>
              <w:left w:val="nil"/>
              <w:bottom w:val="single" w:sz="4" w:space="0" w:color="auto"/>
              <w:right w:val="single" w:sz="4" w:space="0" w:color="auto"/>
            </w:tcBorders>
            <w:shd w:val="clear" w:color="auto" w:fill="auto"/>
            <w:noWrap/>
            <w:vAlign w:val="bottom"/>
            <w:hideMark/>
          </w:tcPr>
          <w:p w14:paraId="2924C7A0"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-0.400</w:t>
            </w:r>
          </w:p>
        </w:tc>
        <w:tc>
          <w:tcPr>
            <w:tcW w:w="222" w:type="dxa"/>
            <w:tcBorders>
              <w:top w:val="nil"/>
              <w:left w:val="nil"/>
              <w:bottom w:val="nil"/>
              <w:right w:val="nil"/>
            </w:tcBorders>
            <w:shd w:val="clear" w:color="auto" w:fill="auto"/>
            <w:noWrap/>
            <w:vAlign w:val="bottom"/>
            <w:hideMark/>
          </w:tcPr>
          <w:p w14:paraId="030B18E6"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BC6E5E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Sqr(Factor 3)</w:t>
            </w:r>
          </w:p>
        </w:tc>
        <w:tc>
          <w:tcPr>
            <w:tcW w:w="780" w:type="dxa"/>
            <w:tcBorders>
              <w:top w:val="nil"/>
              <w:left w:val="nil"/>
              <w:bottom w:val="single" w:sz="4" w:space="0" w:color="auto"/>
              <w:right w:val="single" w:sz="4" w:space="0" w:color="auto"/>
            </w:tcBorders>
            <w:shd w:val="clear" w:color="auto" w:fill="auto"/>
            <w:noWrap/>
            <w:vAlign w:val="bottom"/>
            <w:hideMark/>
          </w:tcPr>
          <w:p w14:paraId="786DB6A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-0.122</w:t>
            </w:r>
          </w:p>
        </w:tc>
        <w:tc>
          <w:tcPr>
            <w:tcW w:w="780" w:type="dxa"/>
            <w:tcBorders>
              <w:top w:val="nil"/>
              <w:left w:val="nil"/>
              <w:bottom w:val="single" w:sz="4" w:space="0" w:color="auto"/>
              <w:right w:val="single" w:sz="4" w:space="0" w:color="auto"/>
            </w:tcBorders>
            <w:shd w:val="clear" w:color="auto" w:fill="auto"/>
            <w:noWrap/>
            <w:vAlign w:val="bottom"/>
            <w:hideMark/>
          </w:tcPr>
          <w:p w14:paraId="24058501"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-0.083</w:t>
            </w:r>
          </w:p>
        </w:tc>
      </w:tr>
      <w:tr w:rsidR="003D3694" w:rsidRPr="00747E35" w14:paraId="70488B62"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7262946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Candonidae?_indet._sp2 NSW_Sp/Sb?</w:t>
            </w:r>
          </w:p>
        </w:tc>
        <w:tc>
          <w:tcPr>
            <w:tcW w:w="780" w:type="dxa"/>
            <w:tcBorders>
              <w:top w:val="nil"/>
              <w:left w:val="nil"/>
              <w:bottom w:val="single" w:sz="4" w:space="0" w:color="auto"/>
              <w:right w:val="single" w:sz="4" w:space="0" w:color="auto"/>
            </w:tcBorders>
            <w:shd w:val="clear" w:color="auto" w:fill="auto"/>
            <w:noWrap/>
            <w:vAlign w:val="bottom"/>
            <w:hideMark/>
          </w:tcPr>
          <w:p w14:paraId="4AE4F3E3"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-0.160</w:t>
            </w:r>
          </w:p>
        </w:tc>
        <w:tc>
          <w:tcPr>
            <w:tcW w:w="780" w:type="dxa"/>
            <w:tcBorders>
              <w:top w:val="nil"/>
              <w:left w:val="nil"/>
              <w:bottom w:val="single" w:sz="4" w:space="0" w:color="auto"/>
              <w:right w:val="single" w:sz="4" w:space="0" w:color="auto"/>
            </w:tcBorders>
            <w:shd w:val="clear" w:color="auto" w:fill="auto"/>
            <w:noWrap/>
            <w:vAlign w:val="bottom"/>
            <w:hideMark/>
          </w:tcPr>
          <w:p w14:paraId="4C6D3796"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-0.092</w:t>
            </w:r>
          </w:p>
        </w:tc>
        <w:tc>
          <w:tcPr>
            <w:tcW w:w="222" w:type="dxa"/>
            <w:tcBorders>
              <w:top w:val="nil"/>
              <w:left w:val="nil"/>
              <w:bottom w:val="nil"/>
              <w:right w:val="nil"/>
            </w:tcBorders>
            <w:shd w:val="clear" w:color="auto" w:fill="auto"/>
            <w:noWrap/>
            <w:vAlign w:val="bottom"/>
            <w:hideMark/>
          </w:tcPr>
          <w:p w14:paraId="14FA537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2605A70"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Sqr(Abs @ 253nm)</w:t>
            </w:r>
          </w:p>
        </w:tc>
        <w:tc>
          <w:tcPr>
            <w:tcW w:w="780" w:type="dxa"/>
            <w:tcBorders>
              <w:top w:val="nil"/>
              <w:left w:val="nil"/>
              <w:bottom w:val="single" w:sz="4" w:space="0" w:color="auto"/>
              <w:right w:val="single" w:sz="4" w:space="0" w:color="auto"/>
            </w:tcBorders>
            <w:shd w:val="clear" w:color="auto" w:fill="auto"/>
            <w:noWrap/>
            <w:vAlign w:val="bottom"/>
            <w:hideMark/>
          </w:tcPr>
          <w:p w14:paraId="257A579A"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0.099</w:t>
            </w:r>
          </w:p>
        </w:tc>
        <w:tc>
          <w:tcPr>
            <w:tcW w:w="780" w:type="dxa"/>
            <w:tcBorders>
              <w:top w:val="nil"/>
              <w:left w:val="nil"/>
              <w:bottom w:val="single" w:sz="4" w:space="0" w:color="auto"/>
              <w:right w:val="single" w:sz="4" w:space="0" w:color="auto"/>
            </w:tcBorders>
            <w:shd w:val="clear" w:color="auto" w:fill="auto"/>
            <w:noWrap/>
            <w:vAlign w:val="bottom"/>
            <w:hideMark/>
          </w:tcPr>
          <w:p w14:paraId="617F6B69"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-0.519</w:t>
            </w:r>
          </w:p>
        </w:tc>
      </w:tr>
      <w:tr w:rsidR="003D3694" w:rsidRPr="00747E35" w14:paraId="4D821C9D"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2A18328D"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Ostracoda_Candonidae?_indet._Sp/Sb?</w:t>
            </w:r>
          </w:p>
        </w:tc>
        <w:tc>
          <w:tcPr>
            <w:tcW w:w="780" w:type="dxa"/>
            <w:tcBorders>
              <w:top w:val="nil"/>
              <w:left w:val="nil"/>
              <w:bottom w:val="single" w:sz="4" w:space="0" w:color="auto"/>
              <w:right w:val="single" w:sz="4" w:space="0" w:color="auto"/>
            </w:tcBorders>
            <w:shd w:val="clear" w:color="auto" w:fill="auto"/>
            <w:noWrap/>
            <w:vAlign w:val="bottom"/>
            <w:hideMark/>
          </w:tcPr>
          <w:p w14:paraId="7D58201D"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-0.492</w:t>
            </w:r>
          </w:p>
        </w:tc>
        <w:tc>
          <w:tcPr>
            <w:tcW w:w="780" w:type="dxa"/>
            <w:tcBorders>
              <w:top w:val="nil"/>
              <w:left w:val="nil"/>
              <w:bottom w:val="single" w:sz="4" w:space="0" w:color="auto"/>
              <w:right w:val="single" w:sz="4" w:space="0" w:color="auto"/>
            </w:tcBorders>
            <w:shd w:val="clear" w:color="auto" w:fill="auto"/>
            <w:noWrap/>
            <w:vAlign w:val="bottom"/>
            <w:hideMark/>
          </w:tcPr>
          <w:p w14:paraId="38D4F105"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0.300</w:t>
            </w:r>
          </w:p>
        </w:tc>
        <w:tc>
          <w:tcPr>
            <w:tcW w:w="222" w:type="dxa"/>
            <w:tcBorders>
              <w:top w:val="nil"/>
              <w:left w:val="nil"/>
              <w:bottom w:val="nil"/>
              <w:right w:val="nil"/>
            </w:tcBorders>
            <w:shd w:val="clear" w:color="auto" w:fill="auto"/>
            <w:noWrap/>
            <w:vAlign w:val="bottom"/>
            <w:hideMark/>
          </w:tcPr>
          <w:p w14:paraId="5C2F29A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85DC788"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Sqr(S(274-295nm))</w:t>
            </w:r>
          </w:p>
        </w:tc>
        <w:tc>
          <w:tcPr>
            <w:tcW w:w="780" w:type="dxa"/>
            <w:tcBorders>
              <w:top w:val="nil"/>
              <w:left w:val="nil"/>
              <w:bottom w:val="single" w:sz="4" w:space="0" w:color="auto"/>
              <w:right w:val="single" w:sz="4" w:space="0" w:color="auto"/>
            </w:tcBorders>
            <w:shd w:val="clear" w:color="auto" w:fill="auto"/>
            <w:noWrap/>
            <w:vAlign w:val="bottom"/>
            <w:hideMark/>
          </w:tcPr>
          <w:p w14:paraId="60BC7A68"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-0.014</w:t>
            </w:r>
          </w:p>
        </w:tc>
        <w:tc>
          <w:tcPr>
            <w:tcW w:w="780" w:type="dxa"/>
            <w:tcBorders>
              <w:top w:val="nil"/>
              <w:left w:val="nil"/>
              <w:bottom w:val="single" w:sz="4" w:space="0" w:color="auto"/>
              <w:right w:val="single" w:sz="4" w:space="0" w:color="auto"/>
            </w:tcBorders>
            <w:shd w:val="clear" w:color="auto" w:fill="auto"/>
            <w:noWrap/>
            <w:vAlign w:val="bottom"/>
            <w:hideMark/>
          </w:tcPr>
          <w:p w14:paraId="39B0C4FE"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-0.394</w:t>
            </w:r>
          </w:p>
        </w:tc>
      </w:tr>
      <w:tr w:rsidR="003D3694" w:rsidRPr="00747E35" w14:paraId="0D6788EA"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139092C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Turbellaria_indet._Sp/Sb?</w:t>
            </w:r>
          </w:p>
        </w:tc>
        <w:tc>
          <w:tcPr>
            <w:tcW w:w="780" w:type="dxa"/>
            <w:tcBorders>
              <w:top w:val="nil"/>
              <w:left w:val="nil"/>
              <w:bottom w:val="single" w:sz="4" w:space="0" w:color="auto"/>
              <w:right w:val="single" w:sz="4" w:space="0" w:color="auto"/>
            </w:tcBorders>
            <w:shd w:val="clear" w:color="auto" w:fill="auto"/>
            <w:noWrap/>
            <w:vAlign w:val="bottom"/>
            <w:hideMark/>
          </w:tcPr>
          <w:p w14:paraId="2C5C54D5"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-0.224</w:t>
            </w:r>
          </w:p>
        </w:tc>
        <w:tc>
          <w:tcPr>
            <w:tcW w:w="780" w:type="dxa"/>
            <w:tcBorders>
              <w:top w:val="nil"/>
              <w:left w:val="nil"/>
              <w:bottom w:val="single" w:sz="4" w:space="0" w:color="auto"/>
              <w:right w:val="single" w:sz="4" w:space="0" w:color="auto"/>
            </w:tcBorders>
            <w:shd w:val="clear" w:color="auto" w:fill="auto"/>
            <w:noWrap/>
            <w:vAlign w:val="bottom"/>
            <w:hideMark/>
          </w:tcPr>
          <w:p w14:paraId="6D2F361C"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0.167</w:t>
            </w:r>
          </w:p>
        </w:tc>
        <w:tc>
          <w:tcPr>
            <w:tcW w:w="222" w:type="dxa"/>
            <w:tcBorders>
              <w:top w:val="nil"/>
              <w:left w:val="nil"/>
              <w:bottom w:val="nil"/>
              <w:right w:val="nil"/>
            </w:tcBorders>
            <w:shd w:val="clear" w:color="auto" w:fill="auto"/>
            <w:noWrap/>
            <w:vAlign w:val="bottom"/>
            <w:hideMark/>
          </w:tcPr>
          <w:p w14:paraId="473BBBFE"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9A7E7C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Sqr(S(350-400nm))</w:t>
            </w:r>
          </w:p>
        </w:tc>
        <w:tc>
          <w:tcPr>
            <w:tcW w:w="780" w:type="dxa"/>
            <w:tcBorders>
              <w:top w:val="nil"/>
              <w:left w:val="nil"/>
              <w:bottom w:val="single" w:sz="4" w:space="0" w:color="auto"/>
              <w:right w:val="single" w:sz="4" w:space="0" w:color="auto"/>
            </w:tcBorders>
            <w:shd w:val="clear" w:color="auto" w:fill="auto"/>
            <w:noWrap/>
            <w:vAlign w:val="bottom"/>
            <w:hideMark/>
          </w:tcPr>
          <w:p w14:paraId="197465DD"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0.087</w:t>
            </w:r>
          </w:p>
        </w:tc>
        <w:tc>
          <w:tcPr>
            <w:tcW w:w="780" w:type="dxa"/>
            <w:tcBorders>
              <w:top w:val="nil"/>
              <w:left w:val="nil"/>
              <w:bottom w:val="single" w:sz="4" w:space="0" w:color="auto"/>
              <w:right w:val="single" w:sz="4" w:space="0" w:color="auto"/>
            </w:tcBorders>
            <w:shd w:val="clear" w:color="auto" w:fill="auto"/>
            <w:noWrap/>
            <w:vAlign w:val="bottom"/>
            <w:hideMark/>
          </w:tcPr>
          <w:p w14:paraId="21748037"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-0.285</w:t>
            </w:r>
          </w:p>
        </w:tc>
      </w:tr>
      <w:tr w:rsidR="003D3694" w:rsidRPr="00747E35" w14:paraId="1402F54D"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57FC1EB2"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Nematoda indet._Sp</w:t>
            </w:r>
          </w:p>
        </w:tc>
        <w:tc>
          <w:tcPr>
            <w:tcW w:w="780" w:type="dxa"/>
            <w:tcBorders>
              <w:top w:val="nil"/>
              <w:left w:val="nil"/>
              <w:bottom w:val="single" w:sz="4" w:space="0" w:color="auto"/>
              <w:right w:val="single" w:sz="4" w:space="0" w:color="auto"/>
            </w:tcBorders>
            <w:shd w:val="clear" w:color="auto" w:fill="auto"/>
            <w:noWrap/>
            <w:vAlign w:val="bottom"/>
            <w:hideMark/>
          </w:tcPr>
          <w:p w14:paraId="7E327A83"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-0.415</w:t>
            </w:r>
          </w:p>
        </w:tc>
        <w:tc>
          <w:tcPr>
            <w:tcW w:w="780" w:type="dxa"/>
            <w:tcBorders>
              <w:top w:val="nil"/>
              <w:left w:val="nil"/>
              <w:bottom w:val="single" w:sz="4" w:space="0" w:color="auto"/>
              <w:right w:val="single" w:sz="4" w:space="0" w:color="auto"/>
            </w:tcBorders>
            <w:shd w:val="clear" w:color="auto" w:fill="auto"/>
            <w:noWrap/>
            <w:vAlign w:val="bottom"/>
            <w:hideMark/>
          </w:tcPr>
          <w:p w14:paraId="7192EA59"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-0.047</w:t>
            </w:r>
          </w:p>
        </w:tc>
        <w:tc>
          <w:tcPr>
            <w:tcW w:w="222" w:type="dxa"/>
            <w:tcBorders>
              <w:top w:val="nil"/>
              <w:left w:val="nil"/>
              <w:bottom w:val="nil"/>
              <w:right w:val="nil"/>
            </w:tcBorders>
            <w:shd w:val="clear" w:color="auto" w:fill="auto"/>
            <w:noWrap/>
            <w:vAlign w:val="bottom"/>
            <w:hideMark/>
          </w:tcPr>
          <w:p w14:paraId="2C3554CA"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50297F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Na (mg/l)</w:t>
            </w:r>
          </w:p>
        </w:tc>
        <w:tc>
          <w:tcPr>
            <w:tcW w:w="780" w:type="dxa"/>
            <w:tcBorders>
              <w:top w:val="nil"/>
              <w:left w:val="nil"/>
              <w:bottom w:val="single" w:sz="4" w:space="0" w:color="auto"/>
              <w:right w:val="single" w:sz="4" w:space="0" w:color="auto"/>
            </w:tcBorders>
            <w:shd w:val="clear" w:color="auto" w:fill="auto"/>
            <w:noWrap/>
            <w:vAlign w:val="bottom"/>
            <w:hideMark/>
          </w:tcPr>
          <w:p w14:paraId="1F8D66C8"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0.201</w:t>
            </w:r>
          </w:p>
        </w:tc>
        <w:tc>
          <w:tcPr>
            <w:tcW w:w="780" w:type="dxa"/>
            <w:tcBorders>
              <w:top w:val="nil"/>
              <w:left w:val="nil"/>
              <w:bottom w:val="single" w:sz="4" w:space="0" w:color="auto"/>
              <w:right w:val="single" w:sz="4" w:space="0" w:color="auto"/>
            </w:tcBorders>
            <w:shd w:val="clear" w:color="auto" w:fill="auto"/>
            <w:noWrap/>
            <w:vAlign w:val="bottom"/>
            <w:hideMark/>
          </w:tcPr>
          <w:p w14:paraId="0EACBE08"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0.234</w:t>
            </w:r>
          </w:p>
        </w:tc>
      </w:tr>
      <w:tr w:rsidR="003D3694" w:rsidRPr="00747E35" w14:paraId="612D9067"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50894DE2"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Oligochaeta_indet._Sp</w:t>
            </w:r>
          </w:p>
        </w:tc>
        <w:tc>
          <w:tcPr>
            <w:tcW w:w="780" w:type="dxa"/>
            <w:tcBorders>
              <w:top w:val="nil"/>
              <w:left w:val="nil"/>
              <w:bottom w:val="single" w:sz="4" w:space="0" w:color="auto"/>
              <w:right w:val="single" w:sz="4" w:space="0" w:color="auto"/>
            </w:tcBorders>
            <w:shd w:val="clear" w:color="auto" w:fill="auto"/>
            <w:noWrap/>
            <w:vAlign w:val="bottom"/>
            <w:hideMark/>
          </w:tcPr>
          <w:p w14:paraId="3E7DB8CF"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-0.439</w:t>
            </w:r>
          </w:p>
        </w:tc>
        <w:tc>
          <w:tcPr>
            <w:tcW w:w="780" w:type="dxa"/>
            <w:tcBorders>
              <w:top w:val="nil"/>
              <w:left w:val="nil"/>
              <w:bottom w:val="single" w:sz="4" w:space="0" w:color="auto"/>
              <w:right w:val="single" w:sz="4" w:space="0" w:color="auto"/>
            </w:tcBorders>
            <w:shd w:val="clear" w:color="auto" w:fill="auto"/>
            <w:noWrap/>
            <w:vAlign w:val="bottom"/>
            <w:hideMark/>
          </w:tcPr>
          <w:p w14:paraId="7827B1A4"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-0.062</w:t>
            </w:r>
          </w:p>
        </w:tc>
        <w:tc>
          <w:tcPr>
            <w:tcW w:w="222" w:type="dxa"/>
            <w:tcBorders>
              <w:top w:val="nil"/>
              <w:left w:val="nil"/>
              <w:bottom w:val="nil"/>
              <w:right w:val="nil"/>
            </w:tcBorders>
            <w:shd w:val="clear" w:color="auto" w:fill="auto"/>
            <w:noWrap/>
            <w:vAlign w:val="bottom"/>
            <w:hideMark/>
          </w:tcPr>
          <w:p w14:paraId="25D6D59E"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DCDDDB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Ca (mg/l)</w:t>
            </w:r>
          </w:p>
        </w:tc>
        <w:tc>
          <w:tcPr>
            <w:tcW w:w="780" w:type="dxa"/>
            <w:tcBorders>
              <w:top w:val="nil"/>
              <w:left w:val="nil"/>
              <w:bottom w:val="single" w:sz="4" w:space="0" w:color="auto"/>
              <w:right w:val="single" w:sz="4" w:space="0" w:color="auto"/>
            </w:tcBorders>
            <w:shd w:val="clear" w:color="auto" w:fill="auto"/>
            <w:noWrap/>
            <w:vAlign w:val="bottom"/>
            <w:hideMark/>
          </w:tcPr>
          <w:p w14:paraId="1DC0CFF1"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0.083</w:t>
            </w:r>
          </w:p>
        </w:tc>
        <w:tc>
          <w:tcPr>
            <w:tcW w:w="780" w:type="dxa"/>
            <w:tcBorders>
              <w:top w:val="nil"/>
              <w:left w:val="nil"/>
              <w:bottom w:val="single" w:sz="4" w:space="0" w:color="auto"/>
              <w:right w:val="single" w:sz="4" w:space="0" w:color="auto"/>
            </w:tcBorders>
            <w:shd w:val="clear" w:color="auto" w:fill="auto"/>
            <w:noWrap/>
            <w:vAlign w:val="bottom"/>
            <w:hideMark/>
          </w:tcPr>
          <w:p w14:paraId="08F60514"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0.011</w:t>
            </w:r>
          </w:p>
        </w:tc>
      </w:tr>
      <w:tr w:rsidR="003D3694" w:rsidRPr="00747E35" w14:paraId="5734A2C0"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2C09ABD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Acarina_sp1_shield_Sp?</w:t>
            </w:r>
          </w:p>
        </w:tc>
        <w:tc>
          <w:tcPr>
            <w:tcW w:w="780" w:type="dxa"/>
            <w:tcBorders>
              <w:top w:val="nil"/>
              <w:left w:val="nil"/>
              <w:bottom w:val="single" w:sz="4" w:space="0" w:color="auto"/>
              <w:right w:val="single" w:sz="4" w:space="0" w:color="auto"/>
            </w:tcBorders>
            <w:shd w:val="clear" w:color="auto" w:fill="auto"/>
            <w:noWrap/>
            <w:vAlign w:val="bottom"/>
            <w:hideMark/>
          </w:tcPr>
          <w:p w14:paraId="0A122A94"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-0.180</w:t>
            </w:r>
          </w:p>
        </w:tc>
        <w:tc>
          <w:tcPr>
            <w:tcW w:w="780" w:type="dxa"/>
            <w:tcBorders>
              <w:top w:val="nil"/>
              <w:left w:val="nil"/>
              <w:bottom w:val="single" w:sz="4" w:space="0" w:color="auto"/>
              <w:right w:val="single" w:sz="4" w:space="0" w:color="auto"/>
            </w:tcBorders>
            <w:shd w:val="clear" w:color="auto" w:fill="auto"/>
            <w:noWrap/>
            <w:vAlign w:val="bottom"/>
            <w:hideMark/>
          </w:tcPr>
          <w:p w14:paraId="75F83093"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-0.196</w:t>
            </w:r>
          </w:p>
        </w:tc>
        <w:tc>
          <w:tcPr>
            <w:tcW w:w="222" w:type="dxa"/>
            <w:tcBorders>
              <w:top w:val="nil"/>
              <w:left w:val="nil"/>
              <w:bottom w:val="nil"/>
              <w:right w:val="nil"/>
            </w:tcBorders>
            <w:shd w:val="clear" w:color="auto" w:fill="auto"/>
            <w:noWrap/>
            <w:vAlign w:val="bottom"/>
            <w:hideMark/>
          </w:tcPr>
          <w:p w14:paraId="4D6C7C2D"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5E49F1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Mg (mg/l)</w:t>
            </w:r>
          </w:p>
        </w:tc>
        <w:tc>
          <w:tcPr>
            <w:tcW w:w="780" w:type="dxa"/>
            <w:tcBorders>
              <w:top w:val="nil"/>
              <w:left w:val="nil"/>
              <w:bottom w:val="single" w:sz="4" w:space="0" w:color="auto"/>
              <w:right w:val="single" w:sz="4" w:space="0" w:color="auto"/>
            </w:tcBorders>
            <w:shd w:val="clear" w:color="auto" w:fill="auto"/>
            <w:noWrap/>
            <w:vAlign w:val="bottom"/>
            <w:hideMark/>
          </w:tcPr>
          <w:p w14:paraId="3EB81FE7"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0.075</w:t>
            </w:r>
          </w:p>
        </w:tc>
        <w:tc>
          <w:tcPr>
            <w:tcW w:w="780" w:type="dxa"/>
            <w:tcBorders>
              <w:top w:val="nil"/>
              <w:left w:val="nil"/>
              <w:bottom w:val="single" w:sz="4" w:space="0" w:color="auto"/>
              <w:right w:val="single" w:sz="4" w:space="0" w:color="auto"/>
            </w:tcBorders>
            <w:shd w:val="clear" w:color="auto" w:fill="auto"/>
            <w:noWrap/>
            <w:vAlign w:val="bottom"/>
            <w:hideMark/>
          </w:tcPr>
          <w:p w14:paraId="38ACC5FF"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-0.041</w:t>
            </w:r>
          </w:p>
        </w:tc>
      </w:tr>
      <w:tr w:rsidR="003D3694" w:rsidRPr="00747E35" w14:paraId="35F884B7"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195474C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Hygrobatidae_indet._Sp?</w:t>
            </w:r>
          </w:p>
        </w:tc>
        <w:tc>
          <w:tcPr>
            <w:tcW w:w="780" w:type="dxa"/>
            <w:tcBorders>
              <w:top w:val="nil"/>
              <w:left w:val="nil"/>
              <w:bottom w:val="single" w:sz="4" w:space="0" w:color="auto"/>
              <w:right w:val="single" w:sz="4" w:space="0" w:color="auto"/>
            </w:tcBorders>
            <w:shd w:val="clear" w:color="auto" w:fill="auto"/>
            <w:noWrap/>
            <w:vAlign w:val="bottom"/>
            <w:hideMark/>
          </w:tcPr>
          <w:p w14:paraId="58116FCE"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-0.114</w:t>
            </w:r>
          </w:p>
        </w:tc>
        <w:tc>
          <w:tcPr>
            <w:tcW w:w="780" w:type="dxa"/>
            <w:tcBorders>
              <w:top w:val="nil"/>
              <w:left w:val="nil"/>
              <w:bottom w:val="single" w:sz="4" w:space="0" w:color="auto"/>
              <w:right w:val="single" w:sz="4" w:space="0" w:color="auto"/>
            </w:tcBorders>
            <w:shd w:val="clear" w:color="auto" w:fill="auto"/>
            <w:noWrap/>
            <w:vAlign w:val="bottom"/>
            <w:hideMark/>
          </w:tcPr>
          <w:p w14:paraId="2FFB066E"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-0.276</w:t>
            </w:r>
          </w:p>
        </w:tc>
        <w:tc>
          <w:tcPr>
            <w:tcW w:w="222" w:type="dxa"/>
            <w:tcBorders>
              <w:top w:val="nil"/>
              <w:left w:val="nil"/>
              <w:bottom w:val="nil"/>
              <w:right w:val="nil"/>
            </w:tcBorders>
            <w:shd w:val="clear" w:color="auto" w:fill="auto"/>
            <w:noWrap/>
            <w:vAlign w:val="bottom"/>
            <w:hideMark/>
          </w:tcPr>
          <w:p w14:paraId="4C32869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9617C5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K (mg/l)</w:t>
            </w:r>
          </w:p>
        </w:tc>
        <w:tc>
          <w:tcPr>
            <w:tcW w:w="780" w:type="dxa"/>
            <w:tcBorders>
              <w:top w:val="nil"/>
              <w:left w:val="nil"/>
              <w:bottom w:val="single" w:sz="4" w:space="0" w:color="auto"/>
              <w:right w:val="single" w:sz="4" w:space="0" w:color="auto"/>
            </w:tcBorders>
            <w:shd w:val="clear" w:color="auto" w:fill="auto"/>
            <w:noWrap/>
            <w:vAlign w:val="bottom"/>
            <w:hideMark/>
          </w:tcPr>
          <w:p w14:paraId="3BECAFC9"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0.119</w:t>
            </w:r>
          </w:p>
        </w:tc>
        <w:tc>
          <w:tcPr>
            <w:tcW w:w="780" w:type="dxa"/>
            <w:tcBorders>
              <w:top w:val="nil"/>
              <w:left w:val="nil"/>
              <w:bottom w:val="single" w:sz="4" w:space="0" w:color="auto"/>
              <w:right w:val="single" w:sz="4" w:space="0" w:color="auto"/>
            </w:tcBorders>
            <w:shd w:val="clear" w:color="auto" w:fill="auto"/>
            <w:noWrap/>
            <w:vAlign w:val="bottom"/>
            <w:hideMark/>
          </w:tcPr>
          <w:p w14:paraId="02208E1C"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0.114</w:t>
            </w:r>
          </w:p>
        </w:tc>
      </w:tr>
      <w:tr w:rsidR="003D3694" w:rsidRPr="00747E35" w14:paraId="3C25A4C7"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1A083155"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Oribatida_indet._Sp?</w:t>
            </w:r>
          </w:p>
        </w:tc>
        <w:tc>
          <w:tcPr>
            <w:tcW w:w="780" w:type="dxa"/>
            <w:tcBorders>
              <w:top w:val="nil"/>
              <w:left w:val="nil"/>
              <w:bottom w:val="single" w:sz="4" w:space="0" w:color="auto"/>
              <w:right w:val="single" w:sz="4" w:space="0" w:color="auto"/>
            </w:tcBorders>
            <w:shd w:val="clear" w:color="auto" w:fill="auto"/>
            <w:noWrap/>
            <w:vAlign w:val="bottom"/>
            <w:hideMark/>
          </w:tcPr>
          <w:p w14:paraId="475953FC"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0.059</w:t>
            </w:r>
          </w:p>
        </w:tc>
        <w:tc>
          <w:tcPr>
            <w:tcW w:w="780" w:type="dxa"/>
            <w:tcBorders>
              <w:top w:val="nil"/>
              <w:left w:val="nil"/>
              <w:bottom w:val="single" w:sz="4" w:space="0" w:color="auto"/>
              <w:right w:val="single" w:sz="4" w:space="0" w:color="auto"/>
            </w:tcBorders>
            <w:shd w:val="clear" w:color="auto" w:fill="auto"/>
            <w:noWrap/>
            <w:vAlign w:val="bottom"/>
            <w:hideMark/>
          </w:tcPr>
          <w:p w14:paraId="48F7B6AC"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-0.511</w:t>
            </w:r>
          </w:p>
        </w:tc>
        <w:tc>
          <w:tcPr>
            <w:tcW w:w="222" w:type="dxa"/>
            <w:tcBorders>
              <w:top w:val="nil"/>
              <w:left w:val="nil"/>
              <w:bottom w:val="nil"/>
              <w:right w:val="nil"/>
            </w:tcBorders>
            <w:shd w:val="clear" w:color="auto" w:fill="auto"/>
            <w:noWrap/>
            <w:vAlign w:val="bottom"/>
            <w:hideMark/>
          </w:tcPr>
          <w:p w14:paraId="6227D34D"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CE2239D"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Alkalinity</w:t>
            </w:r>
          </w:p>
        </w:tc>
        <w:tc>
          <w:tcPr>
            <w:tcW w:w="780" w:type="dxa"/>
            <w:tcBorders>
              <w:top w:val="nil"/>
              <w:left w:val="nil"/>
              <w:bottom w:val="single" w:sz="4" w:space="0" w:color="auto"/>
              <w:right w:val="single" w:sz="4" w:space="0" w:color="auto"/>
            </w:tcBorders>
            <w:shd w:val="clear" w:color="auto" w:fill="auto"/>
            <w:noWrap/>
            <w:vAlign w:val="bottom"/>
            <w:hideMark/>
          </w:tcPr>
          <w:p w14:paraId="7A7D146D"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0.245</w:t>
            </w:r>
          </w:p>
        </w:tc>
        <w:tc>
          <w:tcPr>
            <w:tcW w:w="780" w:type="dxa"/>
            <w:tcBorders>
              <w:top w:val="nil"/>
              <w:left w:val="nil"/>
              <w:bottom w:val="single" w:sz="4" w:space="0" w:color="auto"/>
              <w:right w:val="single" w:sz="4" w:space="0" w:color="auto"/>
            </w:tcBorders>
            <w:shd w:val="clear" w:color="auto" w:fill="auto"/>
            <w:noWrap/>
            <w:vAlign w:val="bottom"/>
            <w:hideMark/>
          </w:tcPr>
          <w:p w14:paraId="2B8583FF"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0.137</w:t>
            </w:r>
          </w:p>
        </w:tc>
      </w:tr>
      <w:tr w:rsidR="003D3694" w:rsidRPr="00747E35" w14:paraId="1961B76F"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0B2F49A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Unionicolidae?_indet._Sp?</w:t>
            </w:r>
          </w:p>
        </w:tc>
        <w:tc>
          <w:tcPr>
            <w:tcW w:w="780" w:type="dxa"/>
            <w:tcBorders>
              <w:top w:val="nil"/>
              <w:left w:val="nil"/>
              <w:bottom w:val="single" w:sz="4" w:space="0" w:color="auto"/>
              <w:right w:val="single" w:sz="4" w:space="0" w:color="auto"/>
            </w:tcBorders>
            <w:shd w:val="clear" w:color="auto" w:fill="auto"/>
            <w:noWrap/>
            <w:vAlign w:val="bottom"/>
            <w:hideMark/>
          </w:tcPr>
          <w:p w14:paraId="3029399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-0.160</w:t>
            </w:r>
          </w:p>
        </w:tc>
        <w:tc>
          <w:tcPr>
            <w:tcW w:w="780" w:type="dxa"/>
            <w:tcBorders>
              <w:top w:val="nil"/>
              <w:left w:val="nil"/>
              <w:bottom w:val="single" w:sz="4" w:space="0" w:color="auto"/>
              <w:right w:val="single" w:sz="4" w:space="0" w:color="auto"/>
            </w:tcBorders>
            <w:shd w:val="clear" w:color="auto" w:fill="auto"/>
            <w:noWrap/>
            <w:vAlign w:val="bottom"/>
            <w:hideMark/>
          </w:tcPr>
          <w:p w14:paraId="389389AF"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-0.092</w:t>
            </w:r>
          </w:p>
        </w:tc>
        <w:tc>
          <w:tcPr>
            <w:tcW w:w="222" w:type="dxa"/>
            <w:tcBorders>
              <w:top w:val="nil"/>
              <w:left w:val="nil"/>
              <w:bottom w:val="nil"/>
              <w:right w:val="nil"/>
            </w:tcBorders>
            <w:shd w:val="clear" w:color="auto" w:fill="auto"/>
            <w:noWrap/>
            <w:vAlign w:val="bottom"/>
            <w:hideMark/>
          </w:tcPr>
          <w:p w14:paraId="0F15D60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3C03051"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Chloride (mg/l)</w:t>
            </w:r>
          </w:p>
        </w:tc>
        <w:tc>
          <w:tcPr>
            <w:tcW w:w="780" w:type="dxa"/>
            <w:tcBorders>
              <w:top w:val="nil"/>
              <w:left w:val="nil"/>
              <w:bottom w:val="single" w:sz="4" w:space="0" w:color="auto"/>
              <w:right w:val="single" w:sz="4" w:space="0" w:color="auto"/>
            </w:tcBorders>
            <w:shd w:val="clear" w:color="auto" w:fill="auto"/>
            <w:noWrap/>
            <w:vAlign w:val="bottom"/>
            <w:hideMark/>
          </w:tcPr>
          <w:p w14:paraId="0F0A7D9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-0.045</w:t>
            </w:r>
          </w:p>
        </w:tc>
        <w:tc>
          <w:tcPr>
            <w:tcW w:w="780" w:type="dxa"/>
            <w:tcBorders>
              <w:top w:val="nil"/>
              <w:left w:val="nil"/>
              <w:bottom w:val="single" w:sz="4" w:space="0" w:color="auto"/>
              <w:right w:val="single" w:sz="4" w:space="0" w:color="auto"/>
            </w:tcBorders>
            <w:shd w:val="clear" w:color="auto" w:fill="auto"/>
            <w:noWrap/>
            <w:vAlign w:val="bottom"/>
            <w:hideMark/>
          </w:tcPr>
          <w:p w14:paraId="20813F2F"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-0.072</w:t>
            </w:r>
          </w:p>
        </w:tc>
      </w:tr>
      <w:tr w:rsidR="003D3694" w:rsidRPr="00747E35" w14:paraId="4BBB7311"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54C6CA21"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Gomphodella_sp._Sx/Sp?</w:t>
            </w:r>
          </w:p>
        </w:tc>
        <w:tc>
          <w:tcPr>
            <w:tcW w:w="780" w:type="dxa"/>
            <w:tcBorders>
              <w:top w:val="nil"/>
              <w:left w:val="nil"/>
              <w:bottom w:val="single" w:sz="4" w:space="0" w:color="auto"/>
              <w:right w:val="single" w:sz="4" w:space="0" w:color="auto"/>
            </w:tcBorders>
            <w:shd w:val="clear" w:color="auto" w:fill="auto"/>
            <w:noWrap/>
            <w:vAlign w:val="bottom"/>
            <w:hideMark/>
          </w:tcPr>
          <w:p w14:paraId="694545A7"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-0.054</w:t>
            </w:r>
          </w:p>
        </w:tc>
        <w:tc>
          <w:tcPr>
            <w:tcW w:w="780" w:type="dxa"/>
            <w:tcBorders>
              <w:top w:val="nil"/>
              <w:left w:val="nil"/>
              <w:bottom w:val="single" w:sz="4" w:space="0" w:color="auto"/>
              <w:right w:val="single" w:sz="4" w:space="0" w:color="auto"/>
            </w:tcBorders>
            <w:shd w:val="clear" w:color="auto" w:fill="auto"/>
            <w:noWrap/>
            <w:vAlign w:val="bottom"/>
            <w:hideMark/>
          </w:tcPr>
          <w:p w14:paraId="218E0690"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-0.007</w:t>
            </w:r>
          </w:p>
        </w:tc>
        <w:tc>
          <w:tcPr>
            <w:tcW w:w="222" w:type="dxa"/>
            <w:tcBorders>
              <w:top w:val="nil"/>
              <w:left w:val="nil"/>
              <w:bottom w:val="nil"/>
              <w:right w:val="nil"/>
            </w:tcBorders>
            <w:shd w:val="clear" w:color="auto" w:fill="auto"/>
            <w:noWrap/>
            <w:vAlign w:val="bottom"/>
            <w:hideMark/>
          </w:tcPr>
          <w:p w14:paraId="609E958E"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EDC613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Sulfate (mg/l</w:t>
            </w:r>
          </w:p>
        </w:tc>
        <w:tc>
          <w:tcPr>
            <w:tcW w:w="780" w:type="dxa"/>
            <w:tcBorders>
              <w:top w:val="nil"/>
              <w:left w:val="nil"/>
              <w:bottom w:val="single" w:sz="4" w:space="0" w:color="auto"/>
              <w:right w:val="single" w:sz="4" w:space="0" w:color="auto"/>
            </w:tcBorders>
            <w:shd w:val="clear" w:color="auto" w:fill="auto"/>
            <w:noWrap/>
            <w:vAlign w:val="bottom"/>
            <w:hideMark/>
          </w:tcPr>
          <w:p w14:paraId="278A8C1E"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0.006</w:t>
            </w:r>
          </w:p>
        </w:tc>
        <w:tc>
          <w:tcPr>
            <w:tcW w:w="780" w:type="dxa"/>
            <w:tcBorders>
              <w:top w:val="nil"/>
              <w:left w:val="nil"/>
              <w:bottom w:val="single" w:sz="4" w:space="0" w:color="auto"/>
              <w:right w:val="single" w:sz="4" w:space="0" w:color="auto"/>
            </w:tcBorders>
            <w:shd w:val="clear" w:color="auto" w:fill="auto"/>
            <w:noWrap/>
            <w:vAlign w:val="bottom"/>
            <w:hideMark/>
          </w:tcPr>
          <w:p w14:paraId="092E2E86"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0.048</w:t>
            </w:r>
          </w:p>
        </w:tc>
      </w:tr>
      <w:tr w:rsidR="003D3694" w:rsidRPr="00747E35" w14:paraId="28004469"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713A2957"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Acarina_indet_Sp?/Ac?</w:t>
            </w:r>
          </w:p>
        </w:tc>
        <w:tc>
          <w:tcPr>
            <w:tcW w:w="780" w:type="dxa"/>
            <w:tcBorders>
              <w:top w:val="nil"/>
              <w:left w:val="nil"/>
              <w:bottom w:val="single" w:sz="4" w:space="0" w:color="auto"/>
              <w:right w:val="single" w:sz="4" w:space="0" w:color="auto"/>
            </w:tcBorders>
            <w:shd w:val="clear" w:color="auto" w:fill="auto"/>
            <w:noWrap/>
            <w:vAlign w:val="bottom"/>
            <w:hideMark/>
          </w:tcPr>
          <w:p w14:paraId="5F50EA76"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-0.494</w:t>
            </w:r>
          </w:p>
        </w:tc>
        <w:tc>
          <w:tcPr>
            <w:tcW w:w="780" w:type="dxa"/>
            <w:tcBorders>
              <w:top w:val="nil"/>
              <w:left w:val="nil"/>
              <w:bottom w:val="single" w:sz="4" w:space="0" w:color="auto"/>
              <w:right w:val="single" w:sz="4" w:space="0" w:color="auto"/>
            </w:tcBorders>
            <w:shd w:val="clear" w:color="auto" w:fill="auto"/>
            <w:noWrap/>
            <w:vAlign w:val="bottom"/>
            <w:hideMark/>
          </w:tcPr>
          <w:p w14:paraId="3E3F9473"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0.563</w:t>
            </w:r>
          </w:p>
        </w:tc>
        <w:tc>
          <w:tcPr>
            <w:tcW w:w="222" w:type="dxa"/>
            <w:tcBorders>
              <w:top w:val="nil"/>
              <w:left w:val="nil"/>
              <w:bottom w:val="nil"/>
              <w:right w:val="nil"/>
            </w:tcBorders>
            <w:shd w:val="clear" w:color="auto" w:fill="auto"/>
            <w:noWrap/>
            <w:vAlign w:val="bottom"/>
            <w:hideMark/>
          </w:tcPr>
          <w:p w14:paraId="282EC29D"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4ECDBC6"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Sqr(Ammonia (mg/l))</w:t>
            </w:r>
          </w:p>
        </w:tc>
        <w:tc>
          <w:tcPr>
            <w:tcW w:w="780" w:type="dxa"/>
            <w:tcBorders>
              <w:top w:val="nil"/>
              <w:left w:val="nil"/>
              <w:bottom w:val="single" w:sz="4" w:space="0" w:color="auto"/>
              <w:right w:val="single" w:sz="4" w:space="0" w:color="auto"/>
            </w:tcBorders>
            <w:shd w:val="clear" w:color="auto" w:fill="auto"/>
            <w:noWrap/>
            <w:vAlign w:val="bottom"/>
            <w:hideMark/>
          </w:tcPr>
          <w:p w14:paraId="2DB8137F"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0.152</w:t>
            </w:r>
          </w:p>
        </w:tc>
        <w:tc>
          <w:tcPr>
            <w:tcW w:w="780" w:type="dxa"/>
            <w:tcBorders>
              <w:top w:val="nil"/>
              <w:left w:val="nil"/>
              <w:bottom w:val="single" w:sz="4" w:space="0" w:color="auto"/>
              <w:right w:val="single" w:sz="4" w:space="0" w:color="auto"/>
            </w:tcBorders>
            <w:shd w:val="clear" w:color="auto" w:fill="auto"/>
            <w:noWrap/>
            <w:vAlign w:val="bottom"/>
            <w:hideMark/>
          </w:tcPr>
          <w:p w14:paraId="09D0BD71"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0.071</w:t>
            </w:r>
          </w:p>
        </w:tc>
      </w:tr>
      <w:tr w:rsidR="003D3694" w:rsidRPr="00747E35" w14:paraId="6669E59B"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2D4D3801"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Diptera_indet._Sx?</w:t>
            </w:r>
          </w:p>
        </w:tc>
        <w:tc>
          <w:tcPr>
            <w:tcW w:w="780" w:type="dxa"/>
            <w:tcBorders>
              <w:top w:val="nil"/>
              <w:left w:val="nil"/>
              <w:bottom w:val="single" w:sz="4" w:space="0" w:color="auto"/>
              <w:right w:val="single" w:sz="4" w:space="0" w:color="auto"/>
            </w:tcBorders>
            <w:shd w:val="clear" w:color="auto" w:fill="auto"/>
            <w:noWrap/>
            <w:vAlign w:val="bottom"/>
            <w:hideMark/>
          </w:tcPr>
          <w:p w14:paraId="066A3943"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-0.415</w:t>
            </w:r>
          </w:p>
        </w:tc>
        <w:tc>
          <w:tcPr>
            <w:tcW w:w="780" w:type="dxa"/>
            <w:tcBorders>
              <w:top w:val="nil"/>
              <w:left w:val="nil"/>
              <w:bottom w:val="single" w:sz="4" w:space="0" w:color="auto"/>
              <w:right w:val="single" w:sz="4" w:space="0" w:color="auto"/>
            </w:tcBorders>
            <w:shd w:val="clear" w:color="auto" w:fill="auto"/>
            <w:noWrap/>
            <w:vAlign w:val="bottom"/>
            <w:hideMark/>
          </w:tcPr>
          <w:p w14:paraId="342369FA"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-0.114</w:t>
            </w:r>
          </w:p>
        </w:tc>
        <w:tc>
          <w:tcPr>
            <w:tcW w:w="222" w:type="dxa"/>
            <w:tcBorders>
              <w:top w:val="nil"/>
              <w:left w:val="nil"/>
              <w:bottom w:val="nil"/>
              <w:right w:val="nil"/>
            </w:tcBorders>
            <w:shd w:val="clear" w:color="auto" w:fill="auto"/>
            <w:noWrap/>
            <w:vAlign w:val="bottom"/>
            <w:hideMark/>
          </w:tcPr>
          <w:p w14:paraId="4DA55CD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BE830D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Si (mg/l)</w:t>
            </w:r>
          </w:p>
        </w:tc>
        <w:tc>
          <w:tcPr>
            <w:tcW w:w="780" w:type="dxa"/>
            <w:tcBorders>
              <w:top w:val="nil"/>
              <w:left w:val="nil"/>
              <w:bottom w:val="single" w:sz="4" w:space="0" w:color="auto"/>
              <w:right w:val="single" w:sz="4" w:space="0" w:color="auto"/>
            </w:tcBorders>
            <w:shd w:val="clear" w:color="auto" w:fill="auto"/>
            <w:noWrap/>
            <w:vAlign w:val="bottom"/>
            <w:hideMark/>
          </w:tcPr>
          <w:p w14:paraId="75A7C9C1"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0.129</w:t>
            </w:r>
          </w:p>
        </w:tc>
        <w:tc>
          <w:tcPr>
            <w:tcW w:w="780" w:type="dxa"/>
            <w:tcBorders>
              <w:top w:val="nil"/>
              <w:left w:val="nil"/>
              <w:bottom w:val="single" w:sz="4" w:space="0" w:color="auto"/>
              <w:right w:val="single" w:sz="4" w:space="0" w:color="auto"/>
            </w:tcBorders>
            <w:shd w:val="clear" w:color="auto" w:fill="auto"/>
            <w:noWrap/>
            <w:vAlign w:val="bottom"/>
            <w:hideMark/>
          </w:tcPr>
          <w:p w14:paraId="40F3DCC9"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0.040</w:t>
            </w:r>
          </w:p>
        </w:tc>
      </w:tr>
      <w:tr w:rsidR="003D3694" w:rsidRPr="00747E35" w14:paraId="57DA4CC3"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079A5C4E"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Rotifer_indet._Ep</w:t>
            </w:r>
          </w:p>
        </w:tc>
        <w:tc>
          <w:tcPr>
            <w:tcW w:w="780" w:type="dxa"/>
            <w:tcBorders>
              <w:top w:val="nil"/>
              <w:left w:val="nil"/>
              <w:bottom w:val="single" w:sz="4" w:space="0" w:color="auto"/>
              <w:right w:val="single" w:sz="4" w:space="0" w:color="auto"/>
            </w:tcBorders>
            <w:shd w:val="clear" w:color="auto" w:fill="auto"/>
            <w:noWrap/>
            <w:vAlign w:val="bottom"/>
            <w:hideMark/>
          </w:tcPr>
          <w:p w14:paraId="47D3CC84"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-0.446</w:t>
            </w:r>
          </w:p>
        </w:tc>
        <w:tc>
          <w:tcPr>
            <w:tcW w:w="780" w:type="dxa"/>
            <w:tcBorders>
              <w:top w:val="nil"/>
              <w:left w:val="nil"/>
              <w:bottom w:val="single" w:sz="4" w:space="0" w:color="auto"/>
              <w:right w:val="single" w:sz="4" w:space="0" w:color="auto"/>
            </w:tcBorders>
            <w:shd w:val="clear" w:color="auto" w:fill="auto"/>
            <w:noWrap/>
            <w:vAlign w:val="bottom"/>
            <w:hideMark/>
          </w:tcPr>
          <w:p w14:paraId="2359B5ED"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0.104</w:t>
            </w:r>
          </w:p>
        </w:tc>
        <w:tc>
          <w:tcPr>
            <w:tcW w:w="222" w:type="dxa"/>
            <w:tcBorders>
              <w:top w:val="nil"/>
              <w:left w:val="nil"/>
              <w:bottom w:val="nil"/>
              <w:right w:val="nil"/>
            </w:tcBorders>
            <w:shd w:val="clear" w:color="auto" w:fill="auto"/>
            <w:noWrap/>
            <w:vAlign w:val="bottom"/>
            <w:hideMark/>
          </w:tcPr>
          <w:p w14:paraId="43A513F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EFD01BE"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Sqr(Fe (mg/l))</w:t>
            </w:r>
          </w:p>
        </w:tc>
        <w:tc>
          <w:tcPr>
            <w:tcW w:w="780" w:type="dxa"/>
            <w:tcBorders>
              <w:top w:val="nil"/>
              <w:left w:val="nil"/>
              <w:bottom w:val="single" w:sz="4" w:space="0" w:color="auto"/>
              <w:right w:val="single" w:sz="4" w:space="0" w:color="auto"/>
            </w:tcBorders>
            <w:shd w:val="clear" w:color="auto" w:fill="auto"/>
            <w:noWrap/>
            <w:vAlign w:val="bottom"/>
            <w:hideMark/>
          </w:tcPr>
          <w:p w14:paraId="3B38A346"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0.365</w:t>
            </w:r>
          </w:p>
        </w:tc>
        <w:tc>
          <w:tcPr>
            <w:tcW w:w="780" w:type="dxa"/>
            <w:tcBorders>
              <w:top w:val="nil"/>
              <w:left w:val="nil"/>
              <w:bottom w:val="single" w:sz="4" w:space="0" w:color="auto"/>
              <w:right w:val="single" w:sz="4" w:space="0" w:color="auto"/>
            </w:tcBorders>
            <w:shd w:val="clear" w:color="auto" w:fill="auto"/>
            <w:noWrap/>
            <w:vAlign w:val="bottom"/>
            <w:hideMark/>
          </w:tcPr>
          <w:p w14:paraId="06DC98B0"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-0.010</w:t>
            </w:r>
          </w:p>
        </w:tc>
      </w:tr>
      <w:tr w:rsidR="003D3694" w:rsidRPr="00747E35" w14:paraId="7156ADD5"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6CBFB0D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Turbellaria_indet. (eyed)_Ep</w:t>
            </w:r>
          </w:p>
        </w:tc>
        <w:tc>
          <w:tcPr>
            <w:tcW w:w="780" w:type="dxa"/>
            <w:tcBorders>
              <w:top w:val="nil"/>
              <w:left w:val="nil"/>
              <w:bottom w:val="single" w:sz="4" w:space="0" w:color="auto"/>
              <w:right w:val="single" w:sz="4" w:space="0" w:color="auto"/>
            </w:tcBorders>
            <w:shd w:val="clear" w:color="auto" w:fill="auto"/>
            <w:noWrap/>
            <w:vAlign w:val="bottom"/>
            <w:hideMark/>
          </w:tcPr>
          <w:p w14:paraId="10F07723"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-0.022</w:t>
            </w:r>
          </w:p>
        </w:tc>
        <w:tc>
          <w:tcPr>
            <w:tcW w:w="780" w:type="dxa"/>
            <w:tcBorders>
              <w:top w:val="nil"/>
              <w:left w:val="nil"/>
              <w:bottom w:val="single" w:sz="4" w:space="0" w:color="auto"/>
              <w:right w:val="single" w:sz="4" w:space="0" w:color="auto"/>
            </w:tcBorders>
            <w:shd w:val="clear" w:color="auto" w:fill="auto"/>
            <w:noWrap/>
            <w:vAlign w:val="bottom"/>
            <w:hideMark/>
          </w:tcPr>
          <w:p w14:paraId="74172864"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-0.190</w:t>
            </w:r>
          </w:p>
        </w:tc>
        <w:tc>
          <w:tcPr>
            <w:tcW w:w="222" w:type="dxa"/>
            <w:tcBorders>
              <w:top w:val="nil"/>
              <w:left w:val="nil"/>
              <w:bottom w:val="nil"/>
              <w:right w:val="nil"/>
            </w:tcBorders>
            <w:shd w:val="clear" w:color="auto" w:fill="auto"/>
            <w:noWrap/>
            <w:vAlign w:val="bottom"/>
            <w:hideMark/>
          </w:tcPr>
          <w:p w14:paraId="37758AC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358BC7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Sqr(Mn (mg/l))</w:t>
            </w:r>
          </w:p>
        </w:tc>
        <w:tc>
          <w:tcPr>
            <w:tcW w:w="780" w:type="dxa"/>
            <w:tcBorders>
              <w:top w:val="nil"/>
              <w:left w:val="nil"/>
              <w:bottom w:val="single" w:sz="4" w:space="0" w:color="auto"/>
              <w:right w:val="single" w:sz="4" w:space="0" w:color="auto"/>
            </w:tcBorders>
            <w:shd w:val="clear" w:color="auto" w:fill="auto"/>
            <w:noWrap/>
            <w:vAlign w:val="bottom"/>
            <w:hideMark/>
          </w:tcPr>
          <w:p w14:paraId="6E441852"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0.177</w:t>
            </w:r>
          </w:p>
        </w:tc>
        <w:tc>
          <w:tcPr>
            <w:tcW w:w="780" w:type="dxa"/>
            <w:tcBorders>
              <w:top w:val="nil"/>
              <w:left w:val="nil"/>
              <w:bottom w:val="single" w:sz="4" w:space="0" w:color="auto"/>
              <w:right w:val="single" w:sz="4" w:space="0" w:color="auto"/>
            </w:tcBorders>
            <w:shd w:val="clear" w:color="auto" w:fill="auto"/>
            <w:noWrap/>
            <w:vAlign w:val="bottom"/>
            <w:hideMark/>
          </w:tcPr>
          <w:p w14:paraId="4565E6DE"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0.062</w:t>
            </w:r>
          </w:p>
        </w:tc>
      </w:tr>
      <w:tr w:rsidR="003D3694" w:rsidRPr="00747E35" w14:paraId="2813F665"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2557C6C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780" w:type="dxa"/>
            <w:tcBorders>
              <w:top w:val="nil"/>
              <w:left w:val="nil"/>
              <w:bottom w:val="single" w:sz="4" w:space="0" w:color="auto"/>
              <w:right w:val="single" w:sz="4" w:space="0" w:color="auto"/>
            </w:tcBorders>
            <w:shd w:val="clear" w:color="auto" w:fill="auto"/>
            <w:noWrap/>
            <w:vAlign w:val="bottom"/>
            <w:hideMark/>
          </w:tcPr>
          <w:p w14:paraId="3370B60D"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780" w:type="dxa"/>
            <w:tcBorders>
              <w:top w:val="nil"/>
              <w:left w:val="nil"/>
              <w:bottom w:val="single" w:sz="4" w:space="0" w:color="auto"/>
              <w:right w:val="single" w:sz="4" w:space="0" w:color="auto"/>
            </w:tcBorders>
            <w:shd w:val="clear" w:color="auto" w:fill="auto"/>
            <w:noWrap/>
            <w:vAlign w:val="bottom"/>
            <w:hideMark/>
          </w:tcPr>
          <w:p w14:paraId="0604E5B2"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222" w:type="dxa"/>
            <w:tcBorders>
              <w:top w:val="nil"/>
              <w:left w:val="nil"/>
              <w:bottom w:val="nil"/>
              <w:right w:val="nil"/>
            </w:tcBorders>
            <w:shd w:val="clear" w:color="auto" w:fill="auto"/>
            <w:noWrap/>
            <w:vAlign w:val="bottom"/>
            <w:hideMark/>
          </w:tcPr>
          <w:p w14:paraId="04EC906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26C250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Sr (mg/l)</w:t>
            </w:r>
          </w:p>
        </w:tc>
        <w:tc>
          <w:tcPr>
            <w:tcW w:w="780" w:type="dxa"/>
            <w:tcBorders>
              <w:top w:val="nil"/>
              <w:left w:val="nil"/>
              <w:bottom w:val="single" w:sz="4" w:space="0" w:color="auto"/>
              <w:right w:val="single" w:sz="4" w:space="0" w:color="auto"/>
            </w:tcBorders>
            <w:shd w:val="clear" w:color="auto" w:fill="auto"/>
            <w:noWrap/>
            <w:vAlign w:val="bottom"/>
            <w:hideMark/>
          </w:tcPr>
          <w:p w14:paraId="09D5F33D"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0.163</w:t>
            </w:r>
          </w:p>
        </w:tc>
        <w:tc>
          <w:tcPr>
            <w:tcW w:w="780" w:type="dxa"/>
            <w:tcBorders>
              <w:top w:val="nil"/>
              <w:left w:val="nil"/>
              <w:bottom w:val="single" w:sz="4" w:space="0" w:color="auto"/>
              <w:right w:val="single" w:sz="4" w:space="0" w:color="auto"/>
            </w:tcBorders>
            <w:shd w:val="clear" w:color="auto" w:fill="auto"/>
            <w:noWrap/>
            <w:vAlign w:val="bottom"/>
            <w:hideMark/>
          </w:tcPr>
          <w:p w14:paraId="6FE10F46"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0.143</w:t>
            </w:r>
          </w:p>
        </w:tc>
      </w:tr>
      <w:tr w:rsidR="003D3694" w:rsidRPr="00747E35" w14:paraId="3605D34C"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20E042B5" w14:textId="77777777" w:rsidR="003D3694" w:rsidRPr="00747E35" w:rsidRDefault="003D3694" w:rsidP="0096743A">
            <w:pPr>
              <w:autoSpaceDE/>
              <w:autoSpaceDN/>
              <w:spacing w:after="0"/>
              <w:rPr>
                <w:rFonts w:asciiTheme="minorHAnsi" w:eastAsia="Times New Roman" w:hAnsiTheme="minorHAnsi" w:cstheme="minorHAnsi"/>
                <w:bCs/>
                <w:i/>
                <w:iCs/>
                <w:color w:val="000000"/>
                <w:sz w:val="20"/>
                <w:szCs w:val="20"/>
                <w:lang w:eastAsia="en-AU"/>
              </w:rPr>
            </w:pPr>
            <w:r w:rsidRPr="00747E35">
              <w:rPr>
                <w:rFonts w:asciiTheme="minorHAnsi" w:eastAsia="Times New Roman" w:hAnsiTheme="minorHAnsi" w:cstheme="minorHAnsi"/>
                <w:bCs/>
                <w:i/>
                <w:iCs/>
                <w:color w:val="000000"/>
                <w:sz w:val="20"/>
                <w:szCs w:val="20"/>
                <w:lang w:eastAsia="en-AU"/>
              </w:rPr>
              <w:t>Univariate biotic indices</w:t>
            </w:r>
          </w:p>
        </w:tc>
        <w:tc>
          <w:tcPr>
            <w:tcW w:w="780" w:type="dxa"/>
            <w:tcBorders>
              <w:top w:val="nil"/>
              <w:left w:val="nil"/>
              <w:bottom w:val="single" w:sz="4" w:space="0" w:color="auto"/>
              <w:right w:val="single" w:sz="4" w:space="0" w:color="auto"/>
            </w:tcBorders>
            <w:shd w:val="clear" w:color="auto" w:fill="auto"/>
            <w:noWrap/>
            <w:vAlign w:val="bottom"/>
            <w:hideMark/>
          </w:tcPr>
          <w:p w14:paraId="566BCE34"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780" w:type="dxa"/>
            <w:tcBorders>
              <w:top w:val="nil"/>
              <w:left w:val="nil"/>
              <w:bottom w:val="single" w:sz="4" w:space="0" w:color="auto"/>
              <w:right w:val="single" w:sz="4" w:space="0" w:color="auto"/>
            </w:tcBorders>
            <w:shd w:val="clear" w:color="auto" w:fill="auto"/>
            <w:noWrap/>
            <w:vAlign w:val="bottom"/>
            <w:hideMark/>
          </w:tcPr>
          <w:p w14:paraId="00D2806E"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 </w:t>
            </w:r>
          </w:p>
        </w:tc>
        <w:tc>
          <w:tcPr>
            <w:tcW w:w="222" w:type="dxa"/>
            <w:tcBorders>
              <w:top w:val="nil"/>
              <w:left w:val="nil"/>
              <w:bottom w:val="nil"/>
              <w:right w:val="nil"/>
            </w:tcBorders>
            <w:shd w:val="clear" w:color="auto" w:fill="auto"/>
            <w:noWrap/>
            <w:vAlign w:val="bottom"/>
            <w:hideMark/>
          </w:tcPr>
          <w:p w14:paraId="26959FC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51F686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Sqr(Al (ug/l))</w:t>
            </w:r>
          </w:p>
        </w:tc>
        <w:tc>
          <w:tcPr>
            <w:tcW w:w="780" w:type="dxa"/>
            <w:tcBorders>
              <w:top w:val="nil"/>
              <w:left w:val="nil"/>
              <w:bottom w:val="single" w:sz="4" w:space="0" w:color="auto"/>
              <w:right w:val="single" w:sz="4" w:space="0" w:color="auto"/>
            </w:tcBorders>
            <w:shd w:val="clear" w:color="auto" w:fill="auto"/>
            <w:noWrap/>
            <w:vAlign w:val="bottom"/>
            <w:hideMark/>
          </w:tcPr>
          <w:p w14:paraId="30F4942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-0.060</w:t>
            </w:r>
          </w:p>
        </w:tc>
        <w:tc>
          <w:tcPr>
            <w:tcW w:w="780" w:type="dxa"/>
            <w:tcBorders>
              <w:top w:val="nil"/>
              <w:left w:val="nil"/>
              <w:bottom w:val="single" w:sz="4" w:space="0" w:color="auto"/>
              <w:right w:val="single" w:sz="4" w:space="0" w:color="auto"/>
            </w:tcBorders>
            <w:shd w:val="clear" w:color="auto" w:fill="auto"/>
            <w:noWrap/>
            <w:vAlign w:val="bottom"/>
            <w:hideMark/>
          </w:tcPr>
          <w:p w14:paraId="31E4EA86"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0.225</w:t>
            </w:r>
          </w:p>
        </w:tc>
      </w:tr>
      <w:tr w:rsidR="003D3694" w:rsidRPr="00747E35" w14:paraId="09BA7B1F"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1887E26E"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Total richness</w:t>
            </w:r>
          </w:p>
        </w:tc>
        <w:tc>
          <w:tcPr>
            <w:tcW w:w="780" w:type="dxa"/>
            <w:tcBorders>
              <w:top w:val="nil"/>
              <w:left w:val="nil"/>
              <w:bottom w:val="single" w:sz="4" w:space="0" w:color="auto"/>
              <w:right w:val="single" w:sz="4" w:space="0" w:color="auto"/>
            </w:tcBorders>
            <w:shd w:val="clear" w:color="auto" w:fill="auto"/>
            <w:noWrap/>
            <w:vAlign w:val="bottom"/>
            <w:hideMark/>
          </w:tcPr>
          <w:p w14:paraId="300644F1"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-0.871</w:t>
            </w:r>
          </w:p>
        </w:tc>
        <w:tc>
          <w:tcPr>
            <w:tcW w:w="780" w:type="dxa"/>
            <w:tcBorders>
              <w:top w:val="nil"/>
              <w:left w:val="nil"/>
              <w:bottom w:val="single" w:sz="4" w:space="0" w:color="auto"/>
              <w:right w:val="single" w:sz="4" w:space="0" w:color="auto"/>
            </w:tcBorders>
            <w:shd w:val="clear" w:color="auto" w:fill="auto"/>
            <w:noWrap/>
            <w:vAlign w:val="bottom"/>
            <w:hideMark/>
          </w:tcPr>
          <w:p w14:paraId="7B8FA71E"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-0.072</w:t>
            </w:r>
          </w:p>
        </w:tc>
        <w:tc>
          <w:tcPr>
            <w:tcW w:w="222" w:type="dxa"/>
            <w:tcBorders>
              <w:top w:val="nil"/>
              <w:left w:val="nil"/>
              <w:bottom w:val="nil"/>
              <w:right w:val="nil"/>
            </w:tcBorders>
            <w:shd w:val="clear" w:color="auto" w:fill="auto"/>
            <w:noWrap/>
            <w:vAlign w:val="bottom"/>
            <w:hideMark/>
          </w:tcPr>
          <w:p w14:paraId="510B145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1195EB3"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Sqr(Cu (ug/l))</w:t>
            </w:r>
          </w:p>
        </w:tc>
        <w:tc>
          <w:tcPr>
            <w:tcW w:w="780" w:type="dxa"/>
            <w:tcBorders>
              <w:top w:val="nil"/>
              <w:left w:val="nil"/>
              <w:bottom w:val="single" w:sz="4" w:space="0" w:color="auto"/>
              <w:right w:val="single" w:sz="4" w:space="0" w:color="auto"/>
            </w:tcBorders>
            <w:shd w:val="clear" w:color="auto" w:fill="auto"/>
            <w:noWrap/>
            <w:vAlign w:val="bottom"/>
            <w:hideMark/>
          </w:tcPr>
          <w:p w14:paraId="3552B8DE"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0.045</w:t>
            </w:r>
          </w:p>
        </w:tc>
        <w:tc>
          <w:tcPr>
            <w:tcW w:w="780" w:type="dxa"/>
            <w:tcBorders>
              <w:top w:val="nil"/>
              <w:left w:val="nil"/>
              <w:bottom w:val="single" w:sz="4" w:space="0" w:color="auto"/>
              <w:right w:val="single" w:sz="4" w:space="0" w:color="auto"/>
            </w:tcBorders>
            <w:shd w:val="clear" w:color="auto" w:fill="auto"/>
            <w:noWrap/>
            <w:vAlign w:val="bottom"/>
            <w:hideMark/>
          </w:tcPr>
          <w:p w14:paraId="418AED32"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0.056</w:t>
            </w:r>
          </w:p>
        </w:tc>
      </w:tr>
      <w:tr w:rsidR="003D3694" w:rsidRPr="00747E35" w14:paraId="1CFADCC3"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52121393"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Sb/Sp richness</w:t>
            </w:r>
          </w:p>
        </w:tc>
        <w:tc>
          <w:tcPr>
            <w:tcW w:w="780" w:type="dxa"/>
            <w:tcBorders>
              <w:top w:val="nil"/>
              <w:left w:val="nil"/>
              <w:bottom w:val="single" w:sz="4" w:space="0" w:color="auto"/>
              <w:right w:val="single" w:sz="4" w:space="0" w:color="auto"/>
            </w:tcBorders>
            <w:shd w:val="clear" w:color="auto" w:fill="auto"/>
            <w:noWrap/>
            <w:vAlign w:val="bottom"/>
            <w:hideMark/>
          </w:tcPr>
          <w:p w14:paraId="1A85DAE7"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-0.829</w:t>
            </w:r>
          </w:p>
        </w:tc>
        <w:tc>
          <w:tcPr>
            <w:tcW w:w="780" w:type="dxa"/>
            <w:tcBorders>
              <w:top w:val="nil"/>
              <w:left w:val="nil"/>
              <w:bottom w:val="single" w:sz="4" w:space="0" w:color="auto"/>
              <w:right w:val="single" w:sz="4" w:space="0" w:color="auto"/>
            </w:tcBorders>
            <w:shd w:val="clear" w:color="auto" w:fill="auto"/>
            <w:noWrap/>
            <w:vAlign w:val="bottom"/>
            <w:hideMark/>
          </w:tcPr>
          <w:p w14:paraId="1C2B83FF"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-0.083</w:t>
            </w:r>
          </w:p>
        </w:tc>
        <w:tc>
          <w:tcPr>
            <w:tcW w:w="222" w:type="dxa"/>
            <w:tcBorders>
              <w:top w:val="nil"/>
              <w:left w:val="nil"/>
              <w:bottom w:val="nil"/>
              <w:right w:val="nil"/>
            </w:tcBorders>
            <w:shd w:val="clear" w:color="auto" w:fill="auto"/>
            <w:noWrap/>
            <w:vAlign w:val="bottom"/>
            <w:hideMark/>
          </w:tcPr>
          <w:p w14:paraId="4C738A5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78E974E"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Sqr(Zn (ug/l))</w:t>
            </w:r>
          </w:p>
        </w:tc>
        <w:tc>
          <w:tcPr>
            <w:tcW w:w="780" w:type="dxa"/>
            <w:tcBorders>
              <w:top w:val="nil"/>
              <w:left w:val="nil"/>
              <w:bottom w:val="single" w:sz="4" w:space="0" w:color="auto"/>
              <w:right w:val="single" w:sz="4" w:space="0" w:color="auto"/>
            </w:tcBorders>
            <w:shd w:val="clear" w:color="auto" w:fill="auto"/>
            <w:noWrap/>
            <w:vAlign w:val="bottom"/>
            <w:hideMark/>
          </w:tcPr>
          <w:p w14:paraId="044F3633"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0.250</w:t>
            </w:r>
          </w:p>
        </w:tc>
        <w:tc>
          <w:tcPr>
            <w:tcW w:w="780" w:type="dxa"/>
            <w:tcBorders>
              <w:top w:val="nil"/>
              <w:left w:val="nil"/>
              <w:bottom w:val="single" w:sz="4" w:space="0" w:color="auto"/>
              <w:right w:val="single" w:sz="4" w:space="0" w:color="auto"/>
            </w:tcBorders>
            <w:shd w:val="clear" w:color="auto" w:fill="auto"/>
            <w:noWrap/>
            <w:vAlign w:val="bottom"/>
            <w:hideMark/>
          </w:tcPr>
          <w:p w14:paraId="6DDEF21B"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0.097</w:t>
            </w:r>
          </w:p>
        </w:tc>
      </w:tr>
      <w:tr w:rsidR="003D3694" w:rsidRPr="00747E35" w14:paraId="4F51DC4A"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5EF3EE7E"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Sx/Ep richness</w:t>
            </w:r>
          </w:p>
        </w:tc>
        <w:tc>
          <w:tcPr>
            <w:tcW w:w="780" w:type="dxa"/>
            <w:tcBorders>
              <w:top w:val="nil"/>
              <w:left w:val="nil"/>
              <w:bottom w:val="single" w:sz="4" w:space="0" w:color="auto"/>
              <w:right w:val="single" w:sz="4" w:space="0" w:color="auto"/>
            </w:tcBorders>
            <w:shd w:val="clear" w:color="auto" w:fill="auto"/>
            <w:noWrap/>
            <w:vAlign w:val="bottom"/>
            <w:hideMark/>
          </w:tcPr>
          <w:p w14:paraId="4F1146D1"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-0.502</w:t>
            </w:r>
          </w:p>
        </w:tc>
        <w:tc>
          <w:tcPr>
            <w:tcW w:w="780" w:type="dxa"/>
            <w:tcBorders>
              <w:top w:val="nil"/>
              <w:left w:val="nil"/>
              <w:bottom w:val="single" w:sz="4" w:space="0" w:color="auto"/>
              <w:right w:val="single" w:sz="4" w:space="0" w:color="auto"/>
            </w:tcBorders>
            <w:shd w:val="clear" w:color="auto" w:fill="auto"/>
            <w:noWrap/>
            <w:vAlign w:val="bottom"/>
            <w:hideMark/>
          </w:tcPr>
          <w:p w14:paraId="64D6A11B"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0.025</w:t>
            </w:r>
          </w:p>
        </w:tc>
        <w:tc>
          <w:tcPr>
            <w:tcW w:w="222" w:type="dxa"/>
            <w:tcBorders>
              <w:top w:val="nil"/>
              <w:left w:val="nil"/>
              <w:bottom w:val="nil"/>
              <w:right w:val="nil"/>
            </w:tcBorders>
            <w:shd w:val="clear" w:color="auto" w:fill="auto"/>
            <w:noWrap/>
            <w:vAlign w:val="bottom"/>
            <w:hideMark/>
          </w:tcPr>
          <w:p w14:paraId="18EF793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609850D"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Ba (ug/l)</w:t>
            </w:r>
          </w:p>
        </w:tc>
        <w:tc>
          <w:tcPr>
            <w:tcW w:w="780" w:type="dxa"/>
            <w:tcBorders>
              <w:top w:val="nil"/>
              <w:left w:val="nil"/>
              <w:bottom w:val="single" w:sz="4" w:space="0" w:color="auto"/>
              <w:right w:val="single" w:sz="4" w:space="0" w:color="auto"/>
            </w:tcBorders>
            <w:shd w:val="clear" w:color="auto" w:fill="auto"/>
            <w:noWrap/>
            <w:vAlign w:val="bottom"/>
            <w:hideMark/>
          </w:tcPr>
          <w:p w14:paraId="2642104D"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0.415</w:t>
            </w:r>
          </w:p>
        </w:tc>
        <w:tc>
          <w:tcPr>
            <w:tcW w:w="780" w:type="dxa"/>
            <w:tcBorders>
              <w:top w:val="nil"/>
              <w:left w:val="nil"/>
              <w:bottom w:val="single" w:sz="4" w:space="0" w:color="auto"/>
              <w:right w:val="single" w:sz="4" w:space="0" w:color="auto"/>
            </w:tcBorders>
            <w:shd w:val="clear" w:color="auto" w:fill="auto"/>
            <w:noWrap/>
            <w:vAlign w:val="bottom"/>
            <w:hideMark/>
          </w:tcPr>
          <w:p w14:paraId="4F7825E0"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0.321</w:t>
            </w:r>
          </w:p>
        </w:tc>
      </w:tr>
      <w:tr w:rsidR="003D3694" w:rsidRPr="00747E35" w14:paraId="32D090D0"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127CDB87"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Total abundance</w:t>
            </w:r>
          </w:p>
        </w:tc>
        <w:tc>
          <w:tcPr>
            <w:tcW w:w="780" w:type="dxa"/>
            <w:tcBorders>
              <w:top w:val="nil"/>
              <w:left w:val="nil"/>
              <w:bottom w:val="single" w:sz="4" w:space="0" w:color="auto"/>
              <w:right w:val="single" w:sz="4" w:space="0" w:color="auto"/>
            </w:tcBorders>
            <w:shd w:val="clear" w:color="auto" w:fill="auto"/>
            <w:noWrap/>
            <w:vAlign w:val="bottom"/>
            <w:hideMark/>
          </w:tcPr>
          <w:p w14:paraId="5AFE78F2"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-0.706</w:t>
            </w:r>
          </w:p>
        </w:tc>
        <w:tc>
          <w:tcPr>
            <w:tcW w:w="780" w:type="dxa"/>
            <w:tcBorders>
              <w:top w:val="nil"/>
              <w:left w:val="nil"/>
              <w:bottom w:val="single" w:sz="4" w:space="0" w:color="auto"/>
              <w:right w:val="single" w:sz="4" w:space="0" w:color="auto"/>
            </w:tcBorders>
            <w:shd w:val="clear" w:color="auto" w:fill="auto"/>
            <w:noWrap/>
            <w:vAlign w:val="bottom"/>
            <w:hideMark/>
          </w:tcPr>
          <w:p w14:paraId="6F72D0E0"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-0.164</w:t>
            </w:r>
          </w:p>
        </w:tc>
        <w:tc>
          <w:tcPr>
            <w:tcW w:w="222" w:type="dxa"/>
            <w:tcBorders>
              <w:top w:val="nil"/>
              <w:left w:val="nil"/>
              <w:bottom w:val="nil"/>
              <w:right w:val="nil"/>
            </w:tcBorders>
            <w:shd w:val="clear" w:color="auto" w:fill="auto"/>
            <w:noWrap/>
            <w:vAlign w:val="bottom"/>
            <w:hideMark/>
          </w:tcPr>
          <w:p w14:paraId="22C40FF9"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6A57AD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Sqr(Cr (ug/l))</w:t>
            </w:r>
          </w:p>
        </w:tc>
        <w:tc>
          <w:tcPr>
            <w:tcW w:w="780" w:type="dxa"/>
            <w:tcBorders>
              <w:top w:val="nil"/>
              <w:left w:val="nil"/>
              <w:bottom w:val="single" w:sz="4" w:space="0" w:color="auto"/>
              <w:right w:val="single" w:sz="4" w:space="0" w:color="auto"/>
            </w:tcBorders>
            <w:shd w:val="clear" w:color="auto" w:fill="auto"/>
            <w:noWrap/>
            <w:vAlign w:val="bottom"/>
            <w:hideMark/>
          </w:tcPr>
          <w:p w14:paraId="2565F9C6"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-0.255</w:t>
            </w:r>
          </w:p>
        </w:tc>
        <w:tc>
          <w:tcPr>
            <w:tcW w:w="780" w:type="dxa"/>
            <w:tcBorders>
              <w:top w:val="nil"/>
              <w:left w:val="nil"/>
              <w:bottom w:val="single" w:sz="4" w:space="0" w:color="auto"/>
              <w:right w:val="single" w:sz="4" w:space="0" w:color="auto"/>
            </w:tcBorders>
            <w:shd w:val="clear" w:color="auto" w:fill="auto"/>
            <w:noWrap/>
            <w:vAlign w:val="bottom"/>
            <w:hideMark/>
          </w:tcPr>
          <w:p w14:paraId="542BE3D7"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0.139</w:t>
            </w:r>
          </w:p>
        </w:tc>
      </w:tr>
      <w:tr w:rsidR="003D3694" w:rsidRPr="00747E35" w14:paraId="426BCDB0"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06505003"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Sb/Sp abundance</w:t>
            </w:r>
          </w:p>
        </w:tc>
        <w:tc>
          <w:tcPr>
            <w:tcW w:w="780" w:type="dxa"/>
            <w:tcBorders>
              <w:top w:val="nil"/>
              <w:left w:val="nil"/>
              <w:bottom w:val="single" w:sz="4" w:space="0" w:color="auto"/>
              <w:right w:val="single" w:sz="4" w:space="0" w:color="auto"/>
            </w:tcBorders>
            <w:shd w:val="clear" w:color="auto" w:fill="auto"/>
            <w:noWrap/>
            <w:vAlign w:val="bottom"/>
            <w:hideMark/>
          </w:tcPr>
          <w:p w14:paraId="521A2B67"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-0.718</w:t>
            </w:r>
          </w:p>
        </w:tc>
        <w:tc>
          <w:tcPr>
            <w:tcW w:w="780" w:type="dxa"/>
            <w:tcBorders>
              <w:top w:val="nil"/>
              <w:left w:val="nil"/>
              <w:bottom w:val="single" w:sz="4" w:space="0" w:color="auto"/>
              <w:right w:val="single" w:sz="4" w:space="0" w:color="auto"/>
            </w:tcBorders>
            <w:shd w:val="clear" w:color="auto" w:fill="auto"/>
            <w:noWrap/>
            <w:vAlign w:val="bottom"/>
            <w:hideMark/>
          </w:tcPr>
          <w:p w14:paraId="50FFDD9E"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-0.168</w:t>
            </w:r>
          </w:p>
        </w:tc>
        <w:tc>
          <w:tcPr>
            <w:tcW w:w="222" w:type="dxa"/>
            <w:tcBorders>
              <w:top w:val="nil"/>
              <w:left w:val="nil"/>
              <w:bottom w:val="nil"/>
              <w:right w:val="nil"/>
            </w:tcBorders>
            <w:shd w:val="clear" w:color="auto" w:fill="auto"/>
            <w:noWrap/>
            <w:vAlign w:val="bottom"/>
            <w:hideMark/>
          </w:tcPr>
          <w:p w14:paraId="02E5D004"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569E638"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Sqr(Co (ug/l))</w:t>
            </w:r>
          </w:p>
        </w:tc>
        <w:tc>
          <w:tcPr>
            <w:tcW w:w="780" w:type="dxa"/>
            <w:tcBorders>
              <w:top w:val="nil"/>
              <w:left w:val="nil"/>
              <w:bottom w:val="single" w:sz="4" w:space="0" w:color="auto"/>
              <w:right w:val="single" w:sz="4" w:space="0" w:color="auto"/>
            </w:tcBorders>
            <w:shd w:val="clear" w:color="auto" w:fill="auto"/>
            <w:noWrap/>
            <w:vAlign w:val="bottom"/>
            <w:hideMark/>
          </w:tcPr>
          <w:p w14:paraId="0AB1D81A"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0.261</w:t>
            </w:r>
          </w:p>
        </w:tc>
        <w:tc>
          <w:tcPr>
            <w:tcW w:w="780" w:type="dxa"/>
            <w:tcBorders>
              <w:top w:val="nil"/>
              <w:left w:val="nil"/>
              <w:bottom w:val="single" w:sz="4" w:space="0" w:color="auto"/>
              <w:right w:val="single" w:sz="4" w:space="0" w:color="auto"/>
            </w:tcBorders>
            <w:shd w:val="clear" w:color="auto" w:fill="auto"/>
            <w:noWrap/>
            <w:vAlign w:val="bottom"/>
            <w:hideMark/>
          </w:tcPr>
          <w:p w14:paraId="63BC1B2F"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-0.064</w:t>
            </w:r>
          </w:p>
        </w:tc>
      </w:tr>
      <w:tr w:rsidR="003D3694" w:rsidRPr="00747E35" w14:paraId="2458BF15"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3CBEBD31"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Sx/Ep abundance</w:t>
            </w:r>
          </w:p>
        </w:tc>
        <w:tc>
          <w:tcPr>
            <w:tcW w:w="780" w:type="dxa"/>
            <w:tcBorders>
              <w:top w:val="nil"/>
              <w:left w:val="nil"/>
              <w:bottom w:val="single" w:sz="4" w:space="0" w:color="auto"/>
              <w:right w:val="single" w:sz="4" w:space="0" w:color="auto"/>
            </w:tcBorders>
            <w:shd w:val="clear" w:color="auto" w:fill="auto"/>
            <w:noWrap/>
            <w:vAlign w:val="bottom"/>
            <w:hideMark/>
          </w:tcPr>
          <w:p w14:paraId="7C6CDBFC"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-0.408</w:t>
            </w:r>
          </w:p>
        </w:tc>
        <w:tc>
          <w:tcPr>
            <w:tcW w:w="780" w:type="dxa"/>
            <w:tcBorders>
              <w:top w:val="nil"/>
              <w:left w:val="nil"/>
              <w:bottom w:val="single" w:sz="4" w:space="0" w:color="auto"/>
              <w:right w:val="single" w:sz="4" w:space="0" w:color="auto"/>
            </w:tcBorders>
            <w:shd w:val="clear" w:color="auto" w:fill="auto"/>
            <w:noWrap/>
            <w:vAlign w:val="bottom"/>
            <w:hideMark/>
          </w:tcPr>
          <w:p w14:paraId="774054EB"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-0.083</w:t>
            </w:r>
          </w:p>
        </w:tc>
        <w:tc>
          <w:tcPr>
            <w:tcW w:w="222" w:type="dxa"/>
            <w:tcBorders>
              <w:top w:val="nil"/>
              <w:left w:val="nil"/>
              <w:bottom w:val="nil"/>
              <w:right w:val="nil"/>
            </w:tcBorders>
            <w:shd w:val="clear" w:color="auto" w:fill="auto"/>
            <w:noWrap/>
            <w:vAlign w:val="bottom"/>
            <w:hideMark/>
          </w:tcPr>
          <w:p w14:paraId="7A06BDAB"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FA7448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Sqr(As (ug/l))</w:t>
            </w:r>
          </w:p>
        </w:tc>
        <w:tc>
          <w:tcPr>
            <w:tcW w:w="780" w:type="dxa"/>
            <w:tcBorders>
              <w:top w:val="nil"/>
              <w:left w:val="nil"/>
              <w:bottom w:val="single" w:sz="4" w:space="0" w:color="auto"/>
              <w:right w:val="single" w:sz="4" w:space="0" w:color="auto"/>
            </w:tcBorders>
            <w:shd w:val="clear" w:color="auto" w:fill="auto"/>
            <w:noWrap/>
            <w:vAlign w:val="bottom"/>
            <w:hideMark/>
          </w:tcPr>
          <w:p w14:paraId="7EFCCF2C"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0.166</w:t>
            </w:r>
          </w:p>
        </w:tc>
        <w:tc>
          <w:tcPr>
            <w:tcW w:w="780" w:type="dxa"/>
            <w:tcBorders>
              <w:top w:val="nil"/>
              <w:left w:val="nil"/>
              <w:bottom w:val="single" w:sz="4" w:space="0" w:color="auto"/>
              <w:right w:val="single" w:sz="4" w:space="0" w:color="auto"/>
            </w:tcBorders>
            <w:shd w:val="clear" w:color="auto" w:fill="auto"/>
            <w:noWrap/>
            <w:vAlign w:val="bottom"/>
            <w:hideMark/>
          </w:tcPr>
          <w:p w14:paraId="43A4CCFC"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0.158</w:t>
            </w:r>
          </w:p>
        </w:tc>
      </w:tr>
      <w:tr w:rsidR="003D3694" w:rsidRPr="00747E35" w14:paraId="1AA85F3B"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7BA752CE"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Sb/Sp richness ratio</w:t>
            </w:r>
          </w:p>
        </w:tc>
        <w:tc>
          <w:tcPr>
            <w:tcW w:w="780" w:type="dxa"/>
            <w:tcBorders>
              <w:top w:val="nil"/>
              <w:left w:val="nil"/>
              <w:bottom w:val="single" w:sz="4" w:space="0" w:color="auto"/>
              <w:right w:val="single" w:sz="4" w:space="0" w:color="auto"/>
            </w:tcBorders>
            <w:shd w:val="clear" w:color="auto" w:fill="auto"/>
            <w:noWrap/>
            <w:vAlign w:val="bottom"/>
            <w:hideMark/>
          </w:tcPr>
          <w:p w14:paraId="5D20A24B"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-0.433</w:t>
            </w:r>
          </w:p>
        </w:tc>
        <w:tc>
          <w:tcPr>
            <w:tcW w:w="780" w:type="dxa"/>
            <w:tcBorders>
              <w:top w:val="nil"/>
              <w:left w:val="nil"/>
              <w:bottom w:val="single" w:sz="4" w:space="0" w:color="auto"/>
              <w:right w:val="single" w:sz="4" w:space="0" w:color="auto"/>
            </w:tcBorders>
            <w:shd w:val="clear" w:color="auto" w:fill="auto"/>
            <w:noWrap/>
            <w:vAlign w:val="bottom"/>
            <w:hideMark/>
          </w:tcPr>
          <w:p w14:paraId="47FF0205"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-0.281</w:t>
            </w:r>
          </w:p>
        </w:tc>
        <w:tc>
          <w:tcPr>
            <w:tcW w:w="222" w:type="dxa"/>
            <w:tcBorders>
              <w:top w:val="nil"/>
              <w:left w:val="nil"/>
              <w:bottom w:val="nil"/>
              <w:right w:val="nil"/>
            </w:tcBorders>
            <w:shd w:val="clear" w:color="auto" w:fill="auto"/>
            <w:noWrap/>
            <w:vAlign w:val="bottom"/>
            <w:hideMark/>
          </w:tcPr>
          <w:p w14:paraId="1CFD4D7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C909070"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Fluoride (mg/l)</w:t>
            </w:r>
          </w:p>
        </w:tc>
        <w:tc>
          <w:tcPr>
            <w:tcW w:w="780" w:type="dxa"/>
            <w:tcBorders>
              <w:top w:val="nil"/>
              <w:left w:val="nil"/>
              <w:bottom w:val="single" w:sz="4" w:space="0" w:color="auto"/>
              <w:right w:val="single" w:sz="4" w:space="0" w:color="auto"/>
            </w:tcBorders>
            <w:shd w:val="clear" w:color="auto" w:fill="auto"/>
            <w:noWrap/>
            <w:vAlign w:val="bottom"/>
            <w:hideMark/>
          </w:tcPr>
          <w:p w14:paraId="1101EEDC"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0.202</w:t>
            </w:r>
          </w:p>
        </w:tc>
        <w:tc>
          <w:tcPr>
            <w:tcW w:w="780" w:type="dxa"/>
            <w:tcBorders>
              <w:top w:val="nil"/>
              <w:left w:val="nil"/>
              <w:bottom w:val="single" w:sz="4" w:space="0" w:color="auto"/>
              <w:right w:val="single" w:sz="4" w:space="0" w:color="auto"/>
            </w:tcBorders>
            <w:shd w:val="clear" w:color="auto" w:fill="auto"/>
            <w:noWrap/>
            <w:vAlign w:val="bottom"/>
            <w:hideMark/>
          </w:tcPr>
          <w:p w14:paraId="12351D0E"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0.320</w:t>
            </w:r>
          </w:p>
        </w:tc>
      </w:tr>
      <w:tr w:rsidR="003D3694" w:rsidRPr="00747E35" w14:paraId="1E4049CD"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485A164D"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Sx/Ep richness ratio</w:t>
            </w:r>
          </w:p>
        </w:tc>
        <w:tc>
          <w:tcPr>
            <w:tcW w:w="780" w:type="dxa"/>
            <w:tcBorders>
              <w:top w:val="nil"/>
              <w:left w:val="nil"/>
              <w:bottom w:val="single" w:sz="4" w:space="0" w:color="auto"/>
              <w:right w:val="single" w:sz="4" w:space="0" w:color="auto"/>
            </w:tcBorders>
            <w:shd w:val="clear" w:color="auto" w:fill="auto"/>
            <w:noWrap/>
            <w:vAlign w:val="bottom"/>
            <w:hideMark/>
          </w:tcPr>
          <w:p w14:paraId="431666D5"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-0.381</w:t>
            </w:r>
          </w:p>
        </w:tc>
        <w:tc>
          <w:tcPr>
            <w:tcW w:w="780" w:type="dxa"/>
            <w:tcBorders>
              <w:top w:val="nil"/>
              <w:left w:val="nil"/>
              <w:bottom w:val="single" w:sz="4" w:space="0" w:color="auto"/>
              <w:right w:val="single" w:sz="4" w:space="0" w:color="auto"/>
            </w:tcBorders>
            <w:shd w:val="clear" w:color="auto" w:fill="auto"/>
            <w:noWrap/>
            <w:vAlign w:val="bottom"/>
            <w:hideMark/>
          </w:tcPr>
          <w:p w14:paraId="4D73D192"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0.100</w:t>
            </w:r>
          </w:p>
        </w:tc>
        <w:tc>
          <w:tcPr>
            <w:tcW w:w="222" w:type="dxa"/>
            <w:tcBorders>
              <w:top w:val="nil"/>
              <w:left w:val="nil"/>
              <w:bottom w:val="nil"/>
              <w:right w:val="nil"/>
            </w:tcBorders>
            <w:shd w:val="clear" w:color="auto" w:fill="auto"/>
            <w:noWrap/>
            <w:vAlign w:val="bottom"/>
            <w:hideMark/>
          </w:tcPr>
          <w:p w14:paraId="6F3B9FDC"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D70A23F"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Bromide (mg/l)</w:t>
            </w:r>
          </w:p>
        </w:tc>
        <w:tc>
          <w:tcPr>
            <w:tcW w:w="780" w:type="dxa"/>
            <w:tcBorders>
              <w:top w:val="nil"/>
              <w:left w:val="nil"/>
              <w:bottom w:val="single" w:sz="4" w:space="0" w:color="auto"/>
              <w:right w:val="single" w:sz="4" w:space="0" w:color="auto"/>
            </w:tcBorders>
            <w:shd w:val="clear" w:color="auto" w:fill="auto"/>
            <w:noWrap/>
            <w:vAlign w:val="bottom"/>
            <w:hideMark/>
          </w:tcPr>
          <w:p w14:paraId="450D374F"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-0.011</w:t>
            </w:r>
          </w:p>
        </w:tc>
        <w:tc>
          <w:tcPr>
            <w:tcW w:w="780" w:type="dxa"/>
            <w:tcBorders>
              <w:top w:val="nil"/>
              <w:left w:val="nil"/>
              <w:bottom w:val="single" w:sz="4" w:space="0" w:color="auto"/>
              <w:right w:val="single" w:sz="4" w:space="0" w:color="auto"/>
            </w:tcBorders>
            <w:shd w:val="clear" w:color="auto" w:fill="auto"/>
            <w:noWrap/>
            <w:vAlign w:val="bottom"/>
            <w:hideMark/>
          </w:tcPr>
          <w:p w14:paraId="270FA52C"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-0.041</w:t>
            </w:r>
          </w:p>
        </w:tc>
      </w:tr>
      <w:tr w:rsidR="003D3694" w:rsidRPr="00747E35" w14:paraId="67150284"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235BF585"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Sb/Sp abundance ratio</w:t>
            </w:r>
          </w:p>
        </w:tc>
        <w:tc>
          <w:tcPr>
            <w:tcW w:w="780" w:type="dxa"/>
            <w:tcBorders>
              <w:top w:val="nil"/>
              <w:left w:val="nil"/>
              <w:bottom w:val="single" w:sz="4" w:space="0" w:color="auto"/>
              <w:right w:val="single" w:sz="4" w:space="0" w:color="auto"/>
            </w:tcBorders>
            <w:shd w:val="clear" w:color="auto" w:fill="auto"/>
            <w:noWrap/>
            <w:vAlign w:val="bottom"/>
            <w:hideMark/>
          </w:tcPr>
          <w:p w14:paraId="19E6C410"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-0.526</w:t>
            </w:r>
          </w:p>
        </w:tc>
        <w:tc>
          <w:tcPr>
            <w:tcW w:w="780" w:type="dxa"/>
            <w:tcBorders>
              <w:top w:val="nil"/>
              <w:left w:val="nil"/>
              <w:bottom w:val="single" w:sz="4" w:space="0" w:color="auto"/>
              <w:right w:val="single" w:sz="4" w:space="0" w:color="auto"/>
            </w:tcBorders>
            <w:shd w:val="clear" w:color="auto" w:fill="auto"/>
            <w:noWrap/>
            <w:vAlign w:val="bottom"/>
            <w:hideMark/>
          </w:tcPr>
          <w:p w14:paraId="44FC5DFF"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-0.273</w:t>
            </w:r>
          </w:p>
        </w:tc>
        <w:tc>
          <w:tcPr>
            <w:tcW w:w="222" w:type="dxa"/>
            <w:tcBorders>
              <w:top w:val="nil"/>
              <w:left w:val="nil"/>
              <w:bottom w:val="nil"/>
              <w:right w:val="nil"/>
            </w:tcBorders>
            <w:shd w:val="clear" w:color="auto" w:fill="auto"/>
            <w:noWrap/>
            <w:vAlign w:val="bottom"/>
            <w:hideMark/>
          </w:tcPr>
          <w:p w14:paraId="20AEE4B8"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0891B97"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Delta 2H</w:t>
            </w:r>
          </w:p>
        </w:tc>
        <w:tc>
          <w:tcPr>
            <w:tcW w:w="780" w:type="dxa"/>
            <w:tcBorders>
              <w:top w:val="nil"/>
              <w:left w:val="nil"/>
              <w:bottom w:val="single" w:sz="4" w:space="0" w:color="auto"/>
              <w:right w:val="single" w:sz="4" w:space="0" w:color="auto"/>
            </w:tcBorders>
            <w:shd w:val="clear" w:color="auto" w:fill="auto"/>
            <w:noWrap/>
            <w:vAlign w:val="bottom"/>
            <w:hideMark/>
          </w:tcPr>
          <w:p w14:paraId="56F46B43"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-0.238</w:t>
            </w:r>
          </w:p>
        </w:tc>
        <w:tc>
          <w:tcPr>
            <w:tcW w:w="780" w:type="dxa"/>
            <w:tcBorders>
              <w:top w:val="nil"/>
              <w:left w:val="nil"/>
              <w:bottom w:val="single" w:sz="4" w:space="0" w:color="auto"/>
              <w:right w:val="single" w:sz="4" w:space="0" w:color="auto"/>
            </w:tcBorders>
            <w:shd w:val="clear" w:color="auto" w:fill="auto"/>
            <w:noWrap/>
            <w:vAlign w:val="bottom"/>
            <w:hideMark/>
          </w:tcPr>
          <w:p w14:paraId="79C3C978"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-0.026</w:t>
            </w:r>
          </w:p>
        </w:tc>
      </w:tr>
      <w:tr w:rsidR="003D3694" w:rsidRPr="00747E35" w14:paraId="2A96CDCF" w14:textId="77777777" w:rsidTr="00551FB9">
        <w:trPr>
          <w:trHeight w:val="288"/>
        </w:trPr>
        <w:tc>
          <w:tcPr>
            <w:tcW w:w="4600" w:type="dxa"/>
            <w:tcBorders>
              <w:top w:val="nil"/>
              <w:left w:val="single" w:sz="4" w:space="0" w:color="auto"/>
              <w:bottom w:val="single" w:sz="4" w:space="0" w:color="auto"/>
              <w:right w:val="single" w:sz="4" w:space="0" w:color="auto"/>
            </w:tcBorders>
            <w:shd w:val="clear" w:color="auto" w:fill="auto"/>
            <w:noWrap/>
            <w:vAlign w:val="bottom"/>
            <w:hideMark/>
          </w:tcPr>
          <w:p w14:paraId="2C0E80F5"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Sx/Ep abundance ratio</w:t>
            </w:r>
          </w:p>
        </w:tc>
        <w:tc>
          <w:tcPr>
            <w:tcW w:w="780" w:type="dxa"/>
            <w:tcBorders>
              <w:top w:val="nil"/>
              <w:left w:val="nil"/>
              <w:bottom w:val="single" w:sz="4" w:space="0" w:color="auto"/>
              <w:right w:val="single" w:sz="4" w:space="0" w:color="auto"/>
            </w:tcBorders>
            <w:shd w:val="clear" w:color="auto" w:fill="auto"/>
            <w:noWrap/>
            <w:vAlign w:val="bottom"/>
            <w:hideMark/>
          </w:tcPr>
          <w:p w14:paraId="43760C46"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-0.129</w:t>
            </w:r>
          </w:p>
        </w:tc>
        <w:tc>
          <w:tcPr>
            <w:tcW w:w="780" w:type="dxa"/>
            <w:tcBorders>
              <w:top w:val="nil"/>
              <w:left w:val="nil"/>
              <w:bottom w:val="single" w:sz="4" w:space="0" w:color="auto"/>
              <w:right w:val="single" w:sz="4" w:space="0" w:color="auto"/>
            </w:tcBorders>
            <w:shd w:val="clear" w:color="auto" w:fill="auto"/>
            <w:noWrap/>
            <w:vAlign w:val="bottom"/>
            <w:hideMark/>
          </w:tcPr>
          <w:p w14:paraId="22C1A808" w14:textId="77777777" w:rsidR="003D3694" w:rsidRPr="00747E35" w:rsidRDefault="003D3694" w:rsidP="0096743A">
            <w:pPr>
              <w:autoSpaceDE/>
              <w:autoSpaceDN/>
              <w:spacing w:after="0"/>
              <w:jc w:val="center"/>
              <w:rPr>
                <w:rFonts w:asciiTheme="minorHAnsi" w:eastAsia="Times New Roman" w:hAnsiTheme="minorHAnsi" w:cstheme="minorHAnsi"/>
                <w:bCs/>
                <w:color w:val="000000"/>
                <w:sz w:val="20"/>
                <w:szCs w:val="20"/>
                <w:lang w:eastAsia="en-AU"/>
              </w:rPr>
            </w:pPr>
            <w:r w:rsidRPr="00747E35">
              <w:rPr>
                <w:rFonts w:asciiTheme="minorHAnsi" w:eastAsia="Times New Roman" w:hAnsiTheme="minorHAnsi" w:cstheme="minorHAnsi"/>
                <w:bCs/>
                <w:color w:val="000000"/>
                <w:sz w:val="20"/>
                <w:szCs w:val="20"/>
                <w:lang w:eastAsia="en-AU"/>
              </w:rPr>
              <w:t>0.111</w:t>
            </w:r>
          </w:p>
        </w:tc>
        <w:tc>
          <w:tcPr>
            <w:tcW w:w="222" w:type="dxa"/>
            <w:tcBorders>
              <w:top w:val="nil"/>
              <w:left w:val="nil"/>
              <w:bottom w:val="nil"/>
              <w:right w:val="nil"/>
            </w:tcBorders>
            <w:shd w:val="clear" w:color="auto" w:fill="auto"/>
            <w:noWrap/>
            <w:vAlign w:val="bottom"/>
            <w:hideMark/>
          </w:tcPr>
          <w:p w14:paraId="7A580322" w14:textId="77777777" w:rsidR="003D3694" w:rsidRPr="00747E35" w:rsidRDefault="003D3694" w:rsidP="0096743A">
            <w:pPr>
              <w:autoSpaceDE/>
              <w:autoSpaceDN/>
              <w:spacing w:after="0"/>
              <w:rPr>
                <w:rFonts w:asciiTheme="minorHAnsi" w:eastAsia="Times New Roman" w:hAnsiTheme="minorHAnsi" w:cstheme="minorHAnsi"/>
                <w:bCs/>
                <w:color w:val="000000"/>
                <w:sz w:val="20"/>
                <w:szCs w:val="20"/>
                <w:lang w:eastAsia="en-AU"/>
              </w:rPr>
            </w:pPr>
          </w:p>
        </w:tc>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D7D3374" w14:textId="77777777" w:rsidR="003D3694" w:rsidRPr="00747E35" w:rsidRDefault="003D3694" w:rsidP="0096743A">
            <w:pPr>
              <w:autoSpaceDE/>
              <w:autoSpaceDN/>
              <w:spacing w:after="0"/>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Delta 18O</w:t>
            </w:r>
          </w:p>
        </w:tc>
        <w:tc>
          <w:tcPr>
            <w:tcW w:w="780" w:type="dxa"/>
            <w:tcBorders>
              <w:top w:val="nil"/>
              <w:left w:val="nil"/>
              <w:bottom w:val="single" w:sz="4" w:space="0" w:color="auto"/>
              <w:right w:val="single" w:sz="4" w:space="0" w:color="auto"/>
            </w:tcBorders>
            <w:shd w:val="clear" w:color="auto" w:fill="auto"/>
            <w:noWrap/>
            <w:vAlign w:val="bottom"/>
            <w:hideMark/>
          </w:tcPr>
          <w:p w14:paraId="672BA59B"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-0.208</w:t>
            </w:r>
          </w:p>
        </w:tc>
        <w:tc>
          <w:tcPr>
            <w:tcW w:w="780" w:type="dxa"/>
            <w:tcBorders>
              <w:top w:val="nil"/>
              <w:left w:val="nil"/>
              <w:bottom w:val="single" w:sz="4" w:space="0" w:color="auto"/>
              <w:right w:val="single" w:sz="4" w:space="0" w:color="auto"/>
            </w:tcBorders>
            <w:shd w:val="clear" w:color="auto" w:fill="auto"/>
            <w:noWrap/>
            <w:vAlign w:val="bottom"/>
            <w:hideMark/>
          </w:tcPr>
          <w:p w14:paraId="107D1B8E" w14:textId="77777777" w:rsidR="003D3694" w:rsidRPr="00747E35" w:rsidRDefault="003D3694" w:rsidP="0096743A">
            <w:pPr>
              <w:autoSpaceDE/>
              <w:autoSpaceDN/>
              <w:spacing w:after="0"/>
              <w:jc w:val="center"/>
              <w:rPr>
                <w:rFonts w:asciiTheme="minorHAnsi" w:eastAsia="Times New Roman" w:hAnsiTheme="minorHAnsi" w:cstheme="minorHAnsi"/>
                <w:b/>
                <w:color w:val="000000"/>
                <w:sz w:val="20"/>
                <w:szCs w:val="20"/>
                <w:lang w:eastAsia="en-AU"/>
              </w:rPr>
            </w:pPr>
            <w:r w:rsidRPr="00747E35">
              <w:rPr>
                <w:rFonts w:asciiTheme="minorHAnsi" w:eastAsia="Times New Roman" w:hAnsiTheme="minorHAnsi" w:cstheme="minorHAnsi"/>
                <w:b/>
                <w:color w:val="000000"/>
                <w:sz w:val="20"/>
                <w:szCs w:val="20"/>
                <w:lang w:eastAsia="en-AU"/>
              </w:rPr>
              <w:t>-0.578</w:t>
            </w:r>
          </w:p>
        </w:tc>
      </w:tr>
    </w:tbl>
    <w:p w14:paraId="76625304" w14:textId="77777777" w:rsidR="003D3694" w:rsidRPr="00747E35" w:rsidRDefault="003D3694" w:rsidP="003D3694">
      <w:pPr>
        <w:autoSpaceDE/>
        <w:autoSpaceDN/>
        <w:spacing w:line="276" w:lineRule="auto"/>
        <w:rPr>
          <w:rFonts w:asciiTheme="minorHAnsi" w:hAnsiTheme="minorHAnsi" w:cstheme="minorHAnsi"/>
        </w:rPr>
      </w:pPr>
      <w:r w:rsidRPr="00747E35">
        <w:rPr>
          <w:rFonts w:asciiTheme="minorHAnsi" w:hAnsiTheme="minorHAnsi" w:cstheme="minorHAnsi"/>
        </w:rPr>
        <w:br w:type="page"/>
      </w:r>
    </w:p>
    <w:p w14:paraId="3517B1F8"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3F8C01EF" wp14:editId="4AE89525">
            <wp:extent cx="4685386" cy="3553097"/>
            <wp:effectExtent l="0" t="0" r="1270" b="9525"/>
            <wp:docPr id="2061" name="Picture 2061" descr="Grid of photo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4690830" cy="3557225"/>
                    </a:xfrm>
                    <a:prstGeom prst="rect">
                      <a:avLst/>
                    </a:prstGeom>
                    <a:noFill/>
                  </pic:spPr>
                </pic:pic>
              </a:graphicData>
            </a:graphic>
          </wp:inline>
        </w:drawing>
      </w:r>
    </w:p>
    <w:p w14:paraId="69135820" w14:textId="77777777" w:rsidR="003D3694" w:rsidRPr="00747E35" w:rsidRDefault="003D3694" w:rsidP="00793A29">
      <w:pPr>
        <w:pStyle w:val="Caption"/>
        <w:numPr>
          <w:ilvl w:val="0"/>
          <w:numId w:val="0"/>
        </w:numPr>
        <w:rPr>
          <w:rFonts w:cstheme="minorHAnsi"/>
        </w:rPr>
      </w:pPr>
      <w:bookmarkStart w:id="490" w:name="_Ref453230156"/>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160</w:t>
      </w:r>
      <w:r w:rsidR="009D6600" w:rsidRPr="00747E35">
        <w:rPr>
          <w:rFonts w:cstheme="minorHAnsi"/>
          <w:noProof/>
        </w:rPr>
        <w:fldChar w:fldCharType="end"/>
      </w:r>
      <w:bookmarkEnd w:id="490"/>
      <w:r w:rsidRPr="00747E35">
        <w:rPr>
          <w:rFonts w:cstheme="minorHAnsi"/>
        </w:rPr>
        <w:t>:</w:t>
      </w:r>
      <w:r w:rsidRPr="00747E35">
        <w:rPr>
          <w:rFonts w:cstheme="minorHAnsi"/>
          <w:lang w:eastAsia="en-AU"/>
        </w:rPr>
        <w:t xml:space="preserve"> </w:t>
      </w:r>
      <w:r w:rsidRPr="00747E35">
        <w:rPr>
          <w:rFonts w:cstheme="minorHAnsi"/>
        </w:rPr>
        <w:t xml:space="preserve">Middle Creek Farm intermittent losing section study sites in July 2015 showing continuous riffle–pool surface flow, filamentous algal growth and borehole BH18 located next to pools 4 and 5. Hyporheic sampling was undertaken in the upwelling zone at the head of pool 4 (top right). </w:t>
      </w:r>
    </w:p>
    <w:p w14:paraId="2628A615" w14:textId="77777777" w:rsidR="003D3694" w:rsidRPr="00747E35" w:rsidRDefault="003D3694" w:rsidP="003D3694">
      <w:pPr>
        <w:jc w:val="center"/>
        <w:rPr>
          <w:rFonts w:asciiTheme="minorHAnsi" w:hAnsiTheme="minorHAnsi" w:cstheme="minorHAnsi"/>
          <w:lang w:eastAsia="en-AU"/>
        </w:rPr>
      </w:pPr>
      <w:r w:rsidRPr="00747E35">
        <w:rPr>
          <w:rFonts w:asciiTheme="minorHAnsi" w:hAnsiTheme="minorHAnsi" w:cstheme="minorHAnsi"/>
          <w:noProof/>
          <w:lang w:val="en-AU" w:eastAsia="en-AU"/>
        </w:rPr>
        <w:drawing>
          <wp:inline distT="0" distB="0" distL="0" distR="0" wp14:anchorId="36A86BB2" wp14:editId="6939CB34">
            <wp:extent cx="4730066" cy="3566160"/>
            <wp:effectExtent l="0" t="0" r="0" b="0"/>
            <wp:docPr id="7201" name="Picture 7201" descr="Grid of photo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4751094" cy="3582013"/>
                    </a:xfrm>
                    <a:prstGeom prst="rect">
                      <a:avLst/>
                    </a:prstGeom>
                    <a:noFill/>
                  </pic:spPr>
                </pic:pic>
              </a:graphicData>
            </a:graphic>
          </wp:inline>
        </w:drawing>
      </w:r>
    </w:p>
    <w:p w14:paraId="00784109" w14:textId="77777777" w:rsidR="003D3694" w:rsidRPr="00747E35" w:rsidRDefault="003D3694" w:rsidP="00793A29">
      <w:pPr>
        <w:pStyle w:val="Caption"/>
        <w:numPr>
          <w:ilvl w:val="0"/>
          <w:numId w:val="0"/>
        </w:numPr>
        <w:rPr>
          <w:rFonts w:cstheme="minorHAnsi"/>
        </w:rPr>
      </w:pPr>
      <w:bookmarkStart w:id="491" w:name="_Ref453305549"/>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161</w:t>
      </w:r>
      <w:r w:rsidR="009D6600" w:rsidRPr="00747E35">
        <w:rPr>
          <w:rFonts w:cstheme="minorHAnsi"/>
          <w:noProof/>
        </w:rPr>
        <w:fldChar w:fldCharType="end"/>
      </w:r>
      <w:bookmarkEnd w:id="491"/>
      <w:r w:rsidRPr="00747E35">
        <w:rPr>
          <w:rFonts w:cstheme="minorHAnsi"/>
        </w:rPr>
        <w:t>:</w:t>
      </w:r>
      <w:r w:rsidRPr="00747E35">
        <w:rPr>
          <w:rFonts w:cstheme="minorHAnsi"/>
          <w:lang w:eastAsia="en-AU"/>
        </w:rPr>
        <w:t xml:space="preserve"> </w:t>
      </w:r>
      <w:r w:rsidRPr="00747E35">
        <w:rPr>
          <w:rFonts w:cstheme="minorHAnsi"/>
        </w:rPr>
        <w:t xml:space="preserve">Middle Creek Farm pool 5 study site showing changes in water levels and algal growth from September 2015 to March 2016. Hyporheic sampling was undertaken in the bank on the right. </w:t>
      </w:r>
    </w:p>
    <w:p w14:paraId="20639BBC" w14:textId="77777777" w:rsidR="003D3694" w:rsidRPr="00747E35" w:rsidRDefault="003D3694" w:rsidP="003D3694">
      <w:pPr>
        <w:rPr>
          <w:rFonts w:asciiTheme="minorHAnsi" w:hAnsiTheme="minorHAnsi" w:cstheme="minorHAnsi"/>
        </w:rPr>
      </w:pPr>
    </w:p>
    <w:p w14:paraId="285A4E3F"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6D08129E" wp14:editId="759CD052">
            <wp:extent cx="5126393" cy="3984172"/>
            <wp:effectExtent l="0" t="0" r="0" b="0"/>
            <wp:docPr id="4115" name="Picture 4115" descr="Grid of photo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0" y="0"/>
                      <a:ext cx="5136545" cy="3992062"/>
                    </a:xfrm>
                    <a:prstGeom prst="rect">
                      <a:avLst/>
                    </a:prstGeom>
                    <a:noFill/>
                  </pic:spPr>
                </pic:pic>
              </a:graphicData>
            </a:graphic>
          </wp:inline>
        </w:drawing>
      </w:r>
    </w:p>
    <w:p w14:paraId="2B7888CA" w14:textId="77777777" w:rsidR="003D3694" w:rsidRPr="00747E35" w:rsidRDefault="003D3694" w:rsidP="00793A29">
      <w:pPr>
        <w:pStyle w:val="Caption"/>
        <w:numPr>
          <w:ilvl w:val="0"/>
          <w:numId w:val="0"/>
        </w:numPr>
        <w:rPr>
          <w:rFonts w:cstheme="minorHAnsi"/>
        </w:rPr>
      </w:pPr>
      <w:bookmarkStart w:id="492" w:name="_Ref453230840"/>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162</w:t>
      </w:r>
      <w:r w:rsidR="009D6600" w:rsidRPr="00747E35">
        <w:rPr>
          <w:rFonts w:cstheme="minorHAnsi"/>
          <w:noProof/>
        </w:rPr>
        <w:fldChar w:fldCharType="end"/>
      </w:r>
      <w:bookmarkEnd w:id="492"/>
      <w:r w:rsidRPr="00747E35">
        <w:rPr>
          <w:rFonts w:cstheme="minorHAnsi"/>
        </w:rPr>
        <w:t>: Horsearm Creek perennial gaining section study sites Pool 32 (The Spring) - Riffle / Bar 6 – Pool 33.</w:t>
      </w:r>
    </w:p>
    <w:p w14:paraId="4A246A90" w14:textId="77777777" w:rsidR="003D3694" w:rsidRPr="00747E35" w:rsidRDefault="003D3694" w:rsidP="003D3694">
      <w:pPr>
        <w:rPr>
          <w:rFonts w:asciiTheme="minorHAnsi" w:hAnsiTheme="minorHAnsi" w:cstheme="minorHAnsi"/>
          <w:lang w:eastAsia="en-AU"/>
        </w:rPr>
      </w:pPr>
    </w:p>
    <w:p w14:paraId="7218E8D8" w14:textId="77777777" w:rsidR="003D3694" w:rsidRPr="00747E35" w:rsidRDefault="003D3694" w:rsidP="003D3694">
      <w:pPr>
        <w:jc w:val="center"/>
        <w:rPr>
          <w:rFonts w:asciiTheme="minorHAnsi" w:hAnsiTheme="minorHAnsi" w:cstheme="minorHAnsi"/>
          <w:lang w:eastAsia="en-AU"/>
        </w:rPr>
      </w:pPr>
      <w:r w:rsidRPr="00747E35">
        <w:rPr>
          <w:rFonts w:asciiTheme="minorHAnsi" w:hAnsiTheme="minorHAnsi" w:cstheme="minorHAnsi"/>
          <w:noProof/>
          <w:lang w:val="en-AU" w:eastAsia="en-AU"/>
        </w:rPr>
        <w:drawing>
          <wp:inline distT="0" distB="0" distL="0" distR="0" wp14:anchorId="673AE6E6" wp14:editId="7BCDE333">
            <wp:extent cx="5073538" cy="3801292"/>
            <wp:effectExtent l="0" t="0" r="0" b="8890"/>
            <wp:docPr id="4114" name="Picture 4114" descr="Grid of photo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5" cstate="email">
                      <a:extLst>
                        <a:ext uri="{28A0092B-C50C-407E-A947-70E740481C1C}">
                          <a14:useLocalDpi xmlns:a14="http://schemas.microsoft.com/office/drawing/2010/main"/>
                        </a:ext>
                      </a:extLst>
                    </a:blip>
                    <a:srcRect/>
                    <a:stretch>
                      <a:fillRect/>
                    </a:stretch>
                  </pic:blipFill>
                  <pic:spPr bwMode="auto">
                    <a:xfrm>
                      <a:off x="0" y="0"/>
                      <a:ext cx="5084084" cy="3809194"/>
                    </a:xfrm>
                    <a:prstGeom prst="rect">
                      <a:avLst/>
                    </a:prstGeom>
                    <a:noFill/>
                  </pic:spPr>
                </pic:pic>
              </a:graphicData>
            </a:graphic>
          </wp:inline>
        </w:drawing>
      </w:r>
    </w:p>
    <w:p w14:paraId="40A99669" w14:textId="77777777" w:rsidR="003D3694" w:rsidRPr="00747E35" w:rsidRDefault="003D3694" w:rsidP="00793A29">
      <w:pPr>
        <w:pStyle w:val="Caption"/>
        <w:numPr>
          <w:ilvl w:val="0"/>
          <w:numId w:val="0"/>
        </w:numPr>
        <w:rPr>
          <w:rFonts w:cstheme="minorHAnsi"/>
        </w:rPr>
      </w:pPr>
      <w:bookmarkStart w:id="493" w:name="_Ref453230922"/>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163</w:t>
      </w:r>
      <w:r w:rsidR="009D6600" w:rsidRPr="00747E35">
        <w:rPr>
          <w:rFonts w:cstheme="minorHAnsi"/>
          <w:noProof/>
        </w:rPr>
        <w:fldChar w:fldCharType="end"/>
      </w:r>
      <w:bookmarkEnd w:id="493"/>
      <w:r w:rsidRPr="00747E35">
        <w:rPr>
          <w:rFonts w:cstheme="minorHAnsi"/>
        </w:rPr>
        <w:t>:</w:t>
      </w:r>
      <w:r w:rsidRPr="00747E35">
        <w:rPr>
          <w:rFonts w:cstheme="minorHAnsi"/>
          <w:lang w:eastAsia="en-AU"/>
        </w:rPr>
        <w:t xml:space="preserve"> </w:t>
      </w:r>
      <w:r w:rsidRPr="00747E35">
        <w:rPr>
          <w:rFonts w:cstheme="minorHAnsi"/>
        </w:rPr>
        <w:t>Maules Creek at Elfin Crossing showing pool 36 hyporheic sampling and sampled bores BH12, BH7, BH8 on north bank.</w:t>
      </w:r>
    </w:p>
    <w:p w14:paraId="44FC225F" w14:textId="77777777" w:rsidR="003D3694" w:rsidRPr="00747E35" w:rsidRDefault="003D3694" w:rsidP="003D3694">
      <w:pPr>
        <w:rPr>
          <w:rFonts w:asciiTheme="minorHAnsi" w:hAnsiTheme="minorHAnsi" w:cstheme="minorHAnsi"/>
        </w:rPr>
      </w:pPr>
    </w:p>
    <w:p w14:paraId="17BF6364" w14:textId="77777777" w:rsidR="003D3694" w:rsidRPr="00747E35" w:rsidRDefault="003D3694" w:rsidP="003D3694">
      <w:pPr>
        <w:jc w:val="center"/>
        <w:rPr>
          <w:rFonts w:asciiTheme="minorHAnsi" w:hAnsiTheme="minorHAnsi" w:cstheme="minorHAnsi"/>
        </w:rPr>
      </w:pPr>
      <w:r w:rsidRPr="00747E35">
        <w:rPr>
          <w:rFonts w:asciiTheme="minorHAnsi" w:hAnsiTheme="minorHAnsi" w:cstheme="minorHAnsi"/>
          <w:noProof/>
          <w:lang w:val="en-AU" w:eastAsia="en-AU"/>
        </w:rPr>
        <w:lastRenderedPageBreak/>
        <w:drawing>
          <wp:inline distT="0" distB="0" distL="0" distR="0" wp14:anchorId="263F01C5" wp14:editId="72AFD6F1">
            <wp:extent cx="4585063" cy="3468241"/>
            <wp:effectExtent l="0" t="0" r="6350" b="0"/>
            <wp:docPr id="2056" name="Picture 2056" descr="Grid of photo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4603940" cy="3482520"/>
                    </a:xfrm>
                    <a:prstGeom prst="rect">
                      <a:avLst/>
                    </a:prstGeom>
                    <a:noFill/>
                  </pic:spPr>
                </pic:pic>
              </a:graphicData>
            </a:graphic>
          </wp:inline>
        </w:drawing>
      </w:r>
    </w:p>
    <w:p w14:paraId="2454B4BE" w14:textId="77777777" w:rsidR="003D3694" w:rsidRPr="00747E35" w:rsidRDefault="003D3694" w:rsidP="00793A29">
      <w:pPr>
        <w:pStyle w:val="Caption"/>
        <w:numPr>
          <w:ilvl w:val="0"/>
          <w:numId w:val="0"/>
        </w:numPr>
        <w:rPr>
          <w:rFonts w:cstheme="minorHAnsi"/>
        </w:rPr>
      </w:pPr>
      <w:bookmarkStart w:id="494" w:name="_Ref453230956"/>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164</w:t>
      </w:r>
      <w:r w:rsidR="009D6600" w:rsidRPr="00747E35">
        <w:rPr>
          <w:rFonts w:cstheme="minorHAnsi"/>
          <w:noProof/>
        </w:rPr>
        <w:fldChar w:fldCharType="end"/>
      </w:r>
      <w:bookmarkEnd w:id="494"/>
      <w:r w:rsidRPr="00747E35">
        <w:rPr>
          <w:rFonts w:cstheme="minorHAnsi"/>
        </w:rPr>
        <w:t>:</w:t>
      </w:r>
      <w:r w:rsidRPr="00747E35">
        <w:rPr>
          <w:rFonts w:cstheme="minorHAnsi"/>
          <w:lang w:eastAsia="en-AU"/>
        </w:rPr>
        <w:t xml:space="preserve"> </w:t>
      </w:r>
      <w:r w:rsidRPr="00747E35">
        <w:rPr>
          <w:rFonts w:cstheme="minorHAnsi"/>
        </w:rPr>
        <w:t xml:space="preserve">Maules Creek perennial losing section study sites Pool 38 - Riffle 11 – Pool 39 from July 2015 to February 2016, showing the cessation of riffle flow and gradual drying and contraction of pool 38. Top right image shows head of pool 39 and tail of pool 38 with hyporheic exchange flow path of length &lt; 10m under riffle 11. </w:t>
      </w:r>
    </w:p>
    <w:p w14:paraId="60A6A674" w14:textId="77777777" w:rsidR="003D3694" w:rsidRPr="00747E35" w:rsidRDefault="003D3694" w:rsidP="003D3694">
      <w:pPr>
        <w:rPr>
          <w:rFonts w:asciiTheme="minorHAnsi" w:hAnsiTheme="minorHAnsi" w:cstheme="minorHAnsi"/>
          <w:lang w:eastAsia="en-AU"/>
        </w:rPr>
      </w:pPr>
    </w:p>
    <w:p w14:paraId="744C8A47" w14:textId="77777777" w:rsidR="003D3694" w:rsidRPr="00747E35" w:rsidRDefault="003D3694" w:rsidP="003D3694">
      <w:pPr>
        <w:jc w:val="center"/>
        <w:rPr>
          <w:rFonts w:asciiTheme="minorHAnsi" w:hAnsiTheme="minorHAnsi" w:cstheme="minorHAnsi"/>
          <w:lang w:eastAsia="en-AU"/>
        </w:rPr>
      </w:pPr>
      <w:r w:rsidRPr="00747E35">
        <w:rPr>
          <w:rFonts w:asciiTheme="minorHAnsi" w:hAnsiTheme="minorHAnsi" w:cstheme="minorHAnsi"/>
          <w:noProof/>
          <w:lang w:val="en-AU" w:eastAsia="en-AU"/>
        </w:rPr>
        <w:drawing>
          <wp:inline distT="0" distB="0" distL="0" distR="0" wp14:anchorId="0857D270" wp14:editId="1581D53B">
            <wp:extent cx="4558976" cy="3448594"/>
            <wp:effectExtent l="0" t="0" r="0" b="0"/>
            <wp:docPr id="2063" name="Picture 2063" descr="Grid of photo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7" cstate="email">
                      <a:extLst>
                        <a:ext uri="{28A0092B-C50C-407E-A947-70E740481C1C}">
                          <a14:useLocalDpi xmlns:a14="http://schemas.microsoft.com/office/drawing/2010/main"/>
                        </a:ext>
                      </a:extLst>
                    </a:blip>
                    <a:srcRect/>
                    <a:stretch>
                      <a:fillRect/>
                    </a:stretch>
                  </pic:blipFill>
                  <pic:spPr bwMode="auto">
                    <a:xfrm>
                      <a:off x="0" y="0"/>
                      <a:ext cx="4572499" cy="3458824"/>
                    </a:xfrm>
                    <a:prstGeom prst="rect">
                      <a:avLst/>
                    </a:prstGeom>
                    <a:noFill/>
                  </pic:spPr>
                </pic:pic>
              </a:graphicData>
            </a:graphic>
          </wp:inline>
        </w:drawing>
      </w:r>
    </w:p>
    <w:p w14:paraId="3761B357" w14:textId="77777777" w:rsidR="003D3694" w:rsidRPr="00747E35" w:rsidRDefault="003D3694" w:rsidP="00793A29">
      <w:pPr>
        <w:pStyle w:val="Caption"/>
        <w:numPr>
          <w:ilvl w:val="0"/>
          <w:numId w:val="0"/>
        </w:numPr>
        <w:rPr>
          <w:rFonts w:cstheme="minorHAnsi"/>
        </w:rPr>
      </w:pPr>
      <w:bookmarkStart w:id="495" w:name="_Ref453231096"/>
      <w:r w:rsidRPr="00747E35">
        <w:rPr>
          <w:rFonts w:cstheme="minorHAnsi"/>
        </w:rPr>
        <w:t xml:space="preserve">Figure </w:t>
      </w:r>
      <w:r w:rsidR="009D6600" w:rsidRPr="00747E35">
        <w:rPr>
          <w:rFonts w:cstheme="minorHAnsi"/>
        </w:rPr>
        <w:fldChar w:fldCharType="begin"/>
      </w:r>
      <w:r w:rsidR="009D6600" w:rsidRPr="00747E35">
        <w:rPr>
          <w:rFonts w:cstheme="minorHAnsi"/>
        </w:rPr>
        <w:instrText xml:space="preserve"> SEQ Figure \* ARABIC </w:instrText>
      </w:r>
      <w:r w:rsidR="009D6600" w:rsidRPr="00747E35">
        <w:rPr>
          <w:rFonts w:cstheme="minorHAnsi"/>
        </w:rPr>
        <w:fldChar w:fldCharType="separate"/>
      </w:r>
      <w:r w:rsidR="00D023DD">
        <w:rPr>
          <w:rFonts w:cstheme="minorHAnsi"/>
          <w:noProof/>
        </w:rPr>
        <w:t>165</w:t>
      </w:r>
      <w:r w:rsidR="009D6600" w:rsidRPr="00747E35">
        <w:rPr>
          <w:rFonts w:cstheme="minorHAnsi"/>
          <w:noProof/>
        </w:rPr>
        <w:fldChar w:fldCharType="end"/>
      </w:r>
      <w:bookmarkEnd w:id="495"/>
      <w:r w:rsidRPr="00747E35">
        <w:rPr>
          <w:rFonts w:cstheme="minorHAnsi"/>
        </w:rPr>
        <w:t>:</w:t>
      </w:r>
      <w:r w:rsidRPr="00747E35">
        <w:rPr>
          <w:rFonts w:cstheme="minorHAnsi"/>
          <w:lang w:eastAsia="en-AU"/>
        </w:rPr>
        <w:t xml:space="preserve"> </w:t>
      </w:r>
      <w:r w:rsidRPr="00747E35">
        <w:rPr>
          <w:rFonts w:cstheme="minorHAnsi"/>
        </w:rPr>
        <w:t>Maules Creek perennial losing section study site Pool 39 from Sept 2015 to February 2016, showing the contraction of pool 39 with the concomitant lengthening (to &gt; 200m) of the hyporheic flow path between pools 38 and 39. Upwelling water at the head of Pool 39 in February 2016 was hypoxic / anoxic and contained Fe</w:t>
      </w:r>
      <w:r w:rsidRPr="00747E35">
        <w:rPr>
          <w:rFonts w:cstheme="minorHAnsi"/>
          <w:vertAlign w:val="superscript"/>
        </w:rPr>
        <w:t>2+</w:t>
      </w:r>
      <w:r w:rsidRPr="00747E35">
        <w:rPr>
          <w:rFonts w:cstheme="minorHAnsi"/>
        </w:rPr>
        <w:t xml:space="preserve">, which on contact with air becomes rapidly oxidised (by iron bacteria?) producing the yellow deposit. These deposits are typical at the upwelling end of hyporheic flow paths in Maules Creek. </w:t>
      </w:r>
    </w:p>
    <w:p w14:paraId="3A29D9A9" w14:textId="77777777" w:rsidR="003D3694" w:rsidRPr="00747E35" w:rsidRDefault="003D3694" w:rsidP="003D3694">
      <w:pPr>
        <w:rPr>
          <w:rFonts w:asciiTheme="minorHAnsi" w:hAnsiTheme="minorHAnsi" w:cstheme="minorHAnsi"/>
        </w:rPr>
      </w:pPr>
      <w:r w:rsidRPr="00747E35">
        <w:rPr>
          <w:rFonts w:asciiTheme="minorHAnsi" w:hAnsiTheme="minorHAnsi" w:cstheme="minorHAnsi"/>
        </w:rPr>
        <w:br w:type="page"/>
      </w:r>
    </w:p>
    <w:p w14:paraId="637E99B0" w14:textId="5973DCF1" w:rsidR="00985FC7" w:rsidRPr="00747E35" w:rsidRDefault="00985FC7" w:rsidP="00985FC7">
      <w:pPr>
        <w:pStyle w:val="Heading2"/>
        <w:rPr>
          <w:rFonts w:asciiTheme="minorHAnsi" w:hAnsiTheme="minorHAnsi" w:cstheme="minorHAnsi"/>
        </w:rPr>
      </w:pPr>
      <w:bookmarkStart w:id="496" w:name="_Toc466980541"/>
      <w:bookmarkStart w:id="497" w:name="_Toc467244849"/>
      <w:bookmarkStart w:id="498" w:name="_Toc470004932"/>
      <w:r w:rsidRPr="00747E35">
        <w:rPr>
          <w:rFonts w:asciiTheme="minorHAnsi" w:hAnsiTheme="minorHAnsi" w:cstheme="minorHAnsi"/>
        </w:rPr>
        <w:lastRenderedPageBreak/>
        <w:t xml:space="preserve">Appendix 4: Component 4: GAB Springs </w:t>
      </w:r>
      <w:bookmarkEnd w:id="496"/>
      <w:r w:rsidRPr="00747E35">
        <w:rPr>
          <w:rFonts w:asciiTheme="minorHAnsi" w:hAnsiTheme="minorHAnsi" w:cstheme="minorHAnsi"/>
        </w:rPr>
        <w:t>supplementary material</w:t>
      </w:r>
      <w:bookmarkEnd w:id="497"/>
      <w:bookmarkEnd w:id="498"/>
    </w:p>
    <w:p w14:paraId="0ADAD693" w14:textId="0E0CC804" w:rsidR="00985FC7" w:rsidRPr="00747E35" w:rsidRDefault="00985FC7" w:rsidP="00793A29">
      <w:pPr>
        <w:pStyle w:val="Heading3"/>
        <w:rPr>
          <w:rFonts w:asciiTheme="minorHAnsi" w:hAnsiTheme="minorHAnsi" w:cstheme="minorHAnsi"/>
        </w:rPr>
      </w:pPr>
      <w:bookmarkStart w:id="499" w:name="_Toc470004933"/>
      <w:r w:rsidRPr="00747E35">
        <w:rPr>
          <w:rFonts w:asciiTheme="minorHAnsi" w:hAnsiTheme="minorHAnsi" w:cstheme="minorHAnsi"/>
        </w:rPr>
        <w:t>Supplementary material</w:t>
      </w:r>
      <w:bookmarkEnd w:id="499"/>
    </w:p>
    <w:p w14:paraId="1594B582" w14:textId="35A35A6E" w:rsidR="00985FC7" w:rsidRPr="00747E35" w:rsidRDefault="00985FC7" w:rsidP="00FE1DBB">
      <w:pPr>
        <w:spacing w:after="0"/>
        <w:rPr>
          <w:rFonts w:asciiTheme="minorHAnsi" w:hAnsiTheme="minorHAnsi" w:cstheme="minorHAnsi"/>
        </w:rPr>
      </w:pPr>
      <w:bookmarkStart w:id="500" w:name="_Ref467224809"/>
      <w:r w:rsidRPr="00404FBC">
        <w:rPr>
          <w:rFonts w:asciiTheme="minorHAnsi" w:eastAsia="Calibri" w:hAnsiTheme="minorHAnsi" w:cstheme="minorHAnsi"/>
          <w:bCs/>
          <w:i/>
          <w:color w:val="5B9BD5" w:themeColor="accent1"/>
          <w:sz w:val="20"/>
          <w:szCs w:val="20"/>
          <w:lang w:val="en-AU" w:eastAsia="en-US"/>
        </w:rPr>
        <w:t xml:space="preserve">Table </w:t>
      </w:r>
      <w:r w:rsidR="009D6600" w:rsidRPr="00404FBC">
        <w:rPr>
          <w:rFonts w:asciiTheme="minorHAnsi" w:eastAsia="Calibri" w:hAnsiTheme="minorHAnsi" w:cstheme="minorHAnsi"/>
          <w:bCs/>
          <w:i/>
          <w:color w:val="5B9BD5" w:themeColor="accent1"/>
          <w:sz w:val="20"/>
          <w:szCs w:val="20"/>
          <w:lang w:val="en-AU" w:eastAsia="en-US"/>
        </w:rPr>
        <w:fldChar w:fldCharType="begin"/>
      </w:r>
      <w:r w:rsidR="009D6600" w:rsidRPr="00404FBC">
        <w:rPr>
          <w:rFonts w:asciiTheme="minorHAnsi" w:eastAsia="Calibri" w:hAnsiTheme="minorHAnsi" w:cstheme="minorHAnsi"/>
          <w:bCs/>
          <w:i/>
          <w:color w:val="5B9BD5" w:themeColor="accent1"/>
          <w:sz w:val="20"/>
          <w:szCs w:val="20"/>
          <w:lang w:val="en-AU" w:eastAsia="en-US"/>
        </w:rPr>
        <w:instrText xml:space="preserve"> SEQ Table \* ARABIC </w:instrText>
      </w:r>
      <w:r w:rsidR="009D6600" w:rsidRPr="00404FBC">
        <w:rPr>
          <w:rFonts w:asciiTheme="minorHAnsi" w:eastAsia="Calibri" w:hAnsiTheme="minorHAnsi" w:cstheme="minorHAnsi"/>
          <w:bCs/>
          <w:i/>
          <w:color w:val="5B9BD5" w:themeColor="accent1"/>
          <w:sz w:val="20"/>
          <w:szCs w:val="20"/>
          <w:lang w:val="en-AU" w:eastAsia="en-US"/>
        </w:rPr>
        <w:fldChar w:fldCharType="separate"/>
      </w:r>
      <w:r w:rsidR="00D023DD">
        <w:rPr>
          <w:rFonts w:asciiTheme="minorHAnsi" w:eastAsia="Calibri" w:hAnsiTheme="minorHAnsi" w:cstheme="minorHAnsi"/>
          <w:bCs/>
          <w:i/>
          <w:noProof/>
          <w:color w:val="5B9BD5" w:themeColor="accent1"/>
          <w:sz w:val="20"/>
          <w:szCs w:val="20"/>
          <w:lang w:val="en-AU" w:eastAsia="en-US"/>
        </w:rPr>
        <w:t>59</w:t>
      </w:r>
      <w:r w:rsidR="009D6600" w:rsidRPr="00404FBC">
        <w:rPr>
          <w:rFonts w:asciiTheme="minorHAnsi" w:eastAsia="Calibri" w:hAnsiTheme="minorHAnsi" w:cstheme="minorHAnsi"/>
          <w:bCs/>
          <w:i/>
          <w:color w:val="5B9BD5" w:themeColor="accent1"/>
          <w:sz w:val="20"/>
          <w:szCs w:val="20"/>
          <w:lang w:val="en-AU" w:eastAsia="en-US"/>
        </w:rPr>
        <w:fldChar w:fldCharType="end"/>
      </w:r>
      <w:bookmarkEnd w:id="500"/>
      <w:r w:rsidRPr="00404FBC">
        <w:rPr>
          <w:rFonts w:asciiTheme="minorHAnsi" w:eastAsia="Calibri" w:hAnsiTheme="minorHAnsi" w:cstheme="minorHAnsi"/>
          <w:bCs/>
          <w:i/>
          <w:color w:val="5B9BD5" w:themeColor="accent1"/>
          <w:sz w:val="20"/>
          <w:szCs w:val="20"/>
          <w:lang w:val="en-AU" w:eastAsia="en-US"/>
        </w:rPr>
        <w:t>: Taxa considered but not included in this review and biodiversity assessment.</w:t>
      </w:r>
    </w:p>
    <w:tbl>
      <w:tblPr>
        <w:tblpPr w:leftFromText="181" w:rightFromText="181" w:vertAnchor="text" w:horzAnchor="page" w:tblpX="1135" w:tblpY="1"/>
        <w:tblW w:w="9498" w:type="dxa"/>
        <w:tblLook w:val="04A0" w:firstRow="1" w:lastRow="0" w:firstColumn="1" w:lastColumn="0" w:noHBand="0" w:noVBand="1"/>
      </w:tblPr>
      <w:tblGrid>
        <w:gridCol w:w="1379"/>
        <w:gridCol w:w="1950"/>
        <w:gridCol w:w="1405"/>
        <w:gridCol w:w="4764"/>
      </w:tblGrid>
      <w:tr w:rsidR="00985FC7" w:rsidRPr="00747E35" w14:paraId="76AD2818" w14:textId="77777777" w:rsidTr="00B25873">
        <w:trPr>
          <w:trHeight w:val="20"/>
          <w:tblHeader/>
        </w:trPr>
        <w:tc>
          <w:tcPr>
            <w:tcW w:w="1379" w:type="dxa"/>
            <w:tcBorders>
              <w:top w:val="single" w:sz="4" w:space="0" w:color="auto"/>
              <w:bottom w:val="single" w:sz="4" w:space="0" w:color="auto"/>
            </w:tcBorders>
            <w:shd w:val="clear" w:color="auto" w:fill="DEEAF6" w:themeFill="accent1" w:themeFillTint="33"/>
            <w:tcMar>
              <w:left w:w="57" w:type="dxa"/>
              <w:right w:w="57" w:type="dxa"/>
            </w:tcMar>
            <w:vAlign w:val="center"/>
          </w:tcPr>
          <w:p w14:paraId="0503F9BF" w14:textId="77777777" w:rsidR="00985FC7" w:rsidRPr="00747E35" w:rsidRDefault="00985FC7" w:rsidP="00697C1D">
            <w:pPr>
              <w:pStyle w:val="TableHead"/>
              <w:spacing w:before="0" w:after="0"/>
              <w:rPr>
                <w:rFonts w:asciiTheme="minorHAnsi" w:hAnsiTheme="minorHAnsi" w:cstheme="minorHAnsi"/>
                <w:b w:val="0"/>
              </w:rPr>
            </w:pPr>
            <w:r w:rsidRPr="00747E35">
              <w:rPr>
                <w:rFonts w:asciiTheme="minorHAnsi" w:hAnsiTheme="minorHAnsi" w:cstheme="minorHAnsi"/>
              </w:rPr>
              <w:t>Taxonomic group</w:t>
            </w:r>
          </w:p>
        </w:tc>
        <w:tc>
          <w:tcPr>
            <w:tcW w:w="1950" w:type="dxa"/>
            <w:tcBorders>
              <w:top w:val="single" w:sz="4" w:space="0" w:color="auto"/>
              <w:bottom w:val="single" w:sz="4" w:space="0" w:color="auto"/>
            </w:tcBorders>
            <w:shd w:val="clear" w:color="auto" w:fill="DEEAF6" w:themeFill="accent1" w:themeFillTint="33"/>
            <w:tcMar>
              <w:left w:w="57" w:type="dxa"/>
              <w:right w:w="57" w:type="dxa"/>
            </w:tcMar>
            <w:vAlign w:val="center"/>
          </w:tcPr>
          <w:p w14:paraId="0490CCBD" w14:textId="77777777" w:rsidR="00985FC7" w:rsidRPr="00747E35" w:rsidRDefault="00985FC7" w:rsidP="00697C1D">
            <w:pPr>
              <w:pStyle w:val="TableHead"/>
              <w:spacing w:before="0" w:after="0"/>
              <w:rPr>
                <w:rFonts w:asciiTheme="minorHAnsi" w:hAnsiTheme="minorHAnsi" w:cstheme="minorHAnsi"/>
                <w:b w:val="0"/>
              </w:rPr>
            </w:pPr>
            <w:r w:rsidRPr="00747E35">
              <w:rPr>
                <w:rFonts w:asciiTheme="minorHAnsi" w:hAnsiTheme="minorHAnsi" w:cstheme="minorHAnsi"/>
              </w:rPr>
              <w:t>Location (spring supergroup) and species</w:t>
            </w:r>
          </w:p>
        </w:tc>
        <w:tc>
          <w:tcPr>
            <w:tcW w:w="1405" w:type="dxa"/>
            <w:tcBorders>
              <w:top w:val="single" w:sz="4" w:space="0" w:color="auto"/>
              <w:bottom w:val="single" w:sz="4" w:space="0" w:color="auto"/>
            </w:tcBorders>
            <w:shd w:val="clear" w:color="auto" w:fill="DEEAF6" w:themeFill="accent1" w:themeFillTint="33"/>
            <w:tcMar>
              <w:left w:w="57" w:type="dxa"/>
              <w:right w:w="57" w:type="dxa"/>
            </w:tcMar>
            <w:vAlign w:val="center"/>
          </w:tcPr>
          <w:p w14:paraId="420B128D" w14:textId="77777777" w:rsidR="00985FC7" w:rsidRPr="00747E35" w:rsidRDefault="00985FC7" w:rsidP="00697C1D">
            <w:pPr>
              <w:pStyle w:val="TableHead"/>
              <w:spacing w:before="0" w:after="0"/>
              <w:rPr>
                <w:rFonts w:asciiTheme="minorHAnsi" w:hAnsiTheme="minorHAnsi" w:cstheme="minorHAnsi"/>
                <w:b w:val="0"/>
              </w:rPr>
            </w:pPr>
            <w:r w:rsidRPr="00747E35">
              <w:rPr>
                <w:rFonts w:asciiTheme="minorHAnsi" w:hAnsiTheme="minorHAnsi" w:cstheme="minorHAnsi"/>
              </w:rPr>
              <w:t>Source</w:t>
            </w:r>
          </w:p>
        </w:tc>
        <w:tc>
          <w:tcPr>
            <w:tcW w:w="4764" w:type="dxa"/>
            <w:tcBorders>
              <w:top w:val="single" w:sz="4" w:space="0" w:color="auto"/>
              <w:bottom w:val="single" w:sz="4" w:space="0" w:color="auto"/>
            </w:tcBorders>
            <w:shd w:val="clear" w:color="auto" w:fill="DEEAF6" w:themeFill="accent1" w:themeFillTint="33"/>
            <w:tcMar>
              <w:left w:w="57" w:type="dxa"/>
              <w:right w:w="57" w:type="dxa"/>
            </w:tcMar>
            <w:vAlign w:val="center"/>
          </w:tcPr>
          <w:p w14:paraId="3DD38549" w14:textId="77777777" w:rsidR="00985FC7" w:rsidRPr="00747E35" w:rsidRDefault="00985FC7" w:rsidP="00697C1D">
            <w:pPr>
              <w:pStyle w:val="TableHead"/>
              <w:spacing w:before="0" w:after="0"/>
              <w:rPr>
                <w:rFonts w:asciiTheme="minorHAnsi" w:hAnsiTheme="minorHAnsi" w:cstheme="minorHAnsi"/>
                <w:b w:val="0"/>
              </w:rPr>
            </w:pPr>
            <w:r w:rsidRPr="00747E35">
              <w:rPr>
                <w:rFonts w:asciiTheme="minorHAnsi" w:hAnsiTheme="minorHAnsi" w:cstheme="minorHAnsi"/>
              </w:rPr>
              <w:t>Summary and justification for exclusion from the review</w:t>
            </w:r>
          </w:p>
        </w:tc>
      </w:tr>
      <w:tr w:rsidR="00985FC7" w:rsidRPr="00747E35" w14:paraId="526CB150" w14:textId="77777777" w:rsidTr="00697C1D">
        <w:trPr>
          <w:trHeight w:val="20"/>
        </w:trPr>
        <w:tc>
          <w:tcPr>
            <w:tcW w:w="1379" w:type="dxa"/>
            <w:vMerge w:val="restart"/>
            <w:tcBorders>
              <w:top w:val="single" w:sz="4" w:space="0" w:color="auto"/>
            </w:tcBorders>
            <w:tcMar>
              <w:left w:w="57" w:type="dxa"/>
              <w:right w:w="57" w:type="dxa"/>
            </w:tcMar>
          </w:tcPr>
          <w:p w14:paraId="6BE8141B" w14:textId="77777777" w:rsidR="00985FC7" w:rsidRPr="00747E35" w:rsidRDefault="00985FC7" w:rsidP="00697C1D">
            <w:pPr>
              <w:pStyle w:val="Tabletext"/>
              <w:spacing w:before="0" w:after="0"/>
              <w:rPr>
                <w:rFonts w:cstheme="minorHAnsi"/>
              </w:rPr>
            </w:pPr>
            <w:r w:rsidRPr="00747E35">
              <w:rPr>
                <w:rFonts w:cstheme="minorHAnsi"/>
              </w:rPr>
              <w:t>Diatoms</w:t>
            </w:r>
          </w:p>
        </w:tc>
        <w:tc>
          <w:tcPr>
            <w:tcW w:w="1950" w:type="dxa"/>
            <w:tcBorders>
              <w:top w:val="single" w:sz="4" w:space="0" w:color="auto"/>
            </w:tcBorders>
            <w:tcMar>
              <w:left w:w="57" w:type="dxa"/>
              <w:right w:w="57" w:type="dxa"/>
            </w:tcMar>
          </w:tcPr>
          <w:p w14:paraId="41584585" w14:textId="77777777" w:rsidR="00985FC7" w:rsidRPr="00747E35" w:rsidRDefault="00985FC7" w:rsidP="00697C1D">
            <w:pPr>
              <w:pStyle w:val="Tabletext"/>
              <w:spacing w:before="0" w:after="0"/>
              <w:rPr>
                <w:rFonts w:cstheme="minorHAnsi"/>
              </w:rPr>
            </w:pPr>
            <w:r w:rsidRPr="00747E35">
              <w:rPr>
                <w:rFonts w:cstheme="minorHAnsi"/>
              </w:rPr>
              <w:t>Dalhousie (~21 species occur there but no information on endemics to springs)</w:t>
            </w:r>
          </w:p>
        </w:tc>
        <w:tc>
          <w:tcPr>
            <w:tcW w:w="1405" w:type="dxa"/>
            <w:tcBorders>
              <w:top w:val="single" w:sz="4" w:space="0" w:color="auto"/>
            </w:tcBorders>
            <w:tcMar>
              <w:left w:w="57" w:type="dxa"/>
              <w:right w:w="57" w:type="dxa"/>
            </w:tcMar>
          </w:tcPr>
          <w:p w14:paraId="726FE6F1" w14:textId="77777777" w:rsidR="00985FC7" w:rsidRPr="00747E35" w:rsidRDefault="00985FC7" w:rsidP="00697C1D">
            <w:pPr>
              <w:pStyle w:val="Tabletext"/>
              <w:spacing w:before="0" w:after="0"/>
              <w:rPr>
                <w:rFonts w:cstheme="minorHAnsi"/>
              </w:rPr>
            </w:pPr>
            <w:r w:rsidRPr="00747E35">
              <w:rPr>
                <w:rFonts w:cstheme="minorHAnsi"/>
              </w:rPr>
              <w:t>Ling 1989</w:t>
            </w:r>
          </w:p>
        </w:tc>
        <w:tc>
          <w:tcPr>
            <w:tcW w:w="4764" w:type="dxa"/>
            <w:vMerge w:val="restart"/>
            <w:tcBorders>
              <w:top w:val="single" w:sz="4" w:space="0" w:color="auto"/>
            </w:tcBorders>
            <w:tcMar>
              <w:left w:w="57" w:type="dxa"/>
              <w:right w:w="57" w:type="dxa"/>
            </w:tcMar>
          </w:tcPr>
          <w:p w14:paraId="49FB8D68" w14:textId="3136DFBD" w:rsidR="00985FC7" w:rsidRPr="00747E35" w:rsidRDefault="00985FC7" w:rsidP="001737C6">
            <w:pPr>
              <w:pStyle w:val="Tabletext"/>
              <w:spacing w:before="0" w:after="0"/>
              <w:rPr>
                <w:rFonts w:cstheme="minorHAnsi"/>
              </w:rPr>
            </w:pPr>
            <w:r w:rsidRPr="00747E35">
              <w:rPr>
                <w:rFonts w:cstheme="minorHAnsi"/>
              </w:rPr>
              <w:t>Where they have been studied in detail, diatoms have been shown to be a key component of the endemic assem</w:t>
            </w:r>
            <w:r w:rsidR="001737C6">
              <w:rPr>
                <w:rFonts w:cstheme="minorHAnsi"/>
              </w:rPr>
              <w:t>b</w:t>
            </w:r>
            <w:r w:rsidRPr="00747E35">
              <w:rPr>
                <w:rFonts w:cstheme="minorHAnsi"/>
              </w:rPr>
              <w:t>l</w:t>
            </w:r>
            <w:r w:rsidR="001737C6">
              <w:rPr>
                <w:rFonts w:cstheme="minorHAnsi"/>
              </w:rPr>
              <w:t xml:space="preserve">ages within springs (Cantonati </w:t>
            </w:r>
            <w:r w:rsidRPr="00747E35">
              <w:rPr>
                <w:rFonts w:cstheme="minorHAnsi"/>
              </w:rPr>
              <w:t xml:space="preserve">et al. 2012).  Knowledge concerning endemism in freshwater algae in general is poor in Australia (see Tyler 1996) and assessments of algae diversity in springs have only occurred in some areas.  </w:t>
            </w:r>
            <w:r w:rsidR="00C45598" w:rsidRPr="00747E35">
              <w:rPr>
                <w:rFonts w:cstheme="minorHAnsi"/>
              </w:rPr>
              <w:t>A</w:t>
            </w:r>
            <w:r w:rsidRPr="00747E35">
              <w:rPr>
                <w:rFonts w:cstheme="minorHAnsi"/>
              </w:rPr>
              <w:t xml:space="preserve"> basin-wide review of potentially endemic taxa is</w:t>
            </w:r>
            <w:r w:rsidR="00C45598" w:rsidRPr="00747E35">
              <w:rPr>
                <w:rFonts w:cstheme="minorHAnsi"/>
              </w:rPr>
              <w:t xml:space="preserve"> therefore not possible at present</w:t>
            </w:r>
            <w:r w:rsidRPr="00747E35">
              <w:rPr>
                <w:rFonts w:cstheme="minorHAnsi"/>
              </w:rPr>
              <w:t>.</w:t>
            </w:r>
          </w:p>
        </w:tc>
      </w:tr>
      <w:tr w:rsidR="00985FC7" w:rsidRPr="00747E35" w14:paraId="4131255A" w14:textId="77777777" w:rsidTr="00697C1D">
        <w:trPr>
          <w:trHeight w:val="20"/>
        </w:trPr>
        <w:tc>
          <w:tcPr>
            <w:tcW w:w="1379" w:type="dxa"/>
            <w:vMerge/>
            <w:tcBorders>
              <w:bottom w:val="single" w:sz="4" w:space="0" w:color="auto"/>
            </w:tcBorders>
            <w:tcMar>
              <w:left w:w="57" w:type="dxa"/>
              <w:right w:w="57" w:type="dxa"/>
            </w:tcMar>
          </w:tcPr>
          <w:p w14:paraId="2EDB1E6F" w14:textId="77777777" w:rsidR="00985FC7" w:rsidRPr="00747E35" w:rsidRDefault="00985FC7" w:rsidP="00697C1D">
            <w:pPr>
              <w:pStyle w:val="Tabletext"/>
              <w:spacing w:before="0" w:after="0"/>
              <w:rPr>
                <w:rFonts w:cstheme="minorHAnsi"/>
              </w:rPr>
            </w:pPr>
          </w:p>
        </w:tc>
        <w:tc>
          <w:tcPr>
            <w:tcW w:w="1950" w:type="dxa"/>
            <w:tcBorders>
              <w:bottom w:val="single" w:sz="4" w:space="0" w:color="auto"/>
            </w:tcBorders>
            <w:tcMar>
              <w:left w:w="57" w:type="dxa"/>
              <w:right w:w="57" w:type="dxa"/>
            </w:tcMar>
          </w:tcPr>
          <w:p w14:paraId="272B5008" w14:textId="77777777" w:rsidR="00985FC7" w:rsidRPr="00747E35" w:rsidRDefault="00985FC7" w:rsidP="00697C1D">
            <w:pPr>
              <w:pStyle w:val="Tabletext"/>
              <w:spacing w:before="0" w:after="0"/>
              <w:rPr>
                <w:rFonts w:cstheme="minorHAnsi"/>
              </w:rPr>
            </w:pPr>
            <w:r w:rsidRPr="00747E35">
              <w:rPr>
                <w:rFonts w:cstheme="minorHAnsi"/>
              </w:rPr>
              <w:t xml:space="preserve">Lake Eyre </w:t>
            </w:r>
          </w:p>
        </w:tc>
        <w:tc>
          <w:tcPr>
            <w:tcW w:w="1405" w:type="dxa"/>
            <w:tcBorders>
              <w:bottom w:val="single" w:sz="4" w:space="0" w:color="auto"/>
            </w:tcBorders>
            <w:tcMar>
              <w:left w:w="57" w:type="dxa"/>
              <w:right w:w="57" w:type="dxa"/>
            </w:tcMar>
          </w:tcPr>
          <w:p w14:paraId="43AA163A" w14:textId="77777777" w:rsidR="00985FC7" w:rsidRPr="00747E35" w:rsidRDefault="00985FC7" w:rsidP="00697C1D">
            <w:pPr>
              <w:pStyle w:val="Tabletext"/>
              <w:spacing w:before="0" w:after="0"/>
              <w:rPr>
                <w:rFonts w:cstheme="minorHAnsi"/>
              </w:rPr>
            </w:pPr>
            <w:r w:rsidRPr="00747E35">
              <w:rPr>
                <w:rFonts w:cstheme="minorHAnsi"/>
              </w:rPr>
              <w:t>Kinhill 1997</w:t>
            </w:r>
          </w:p>
        </w:tc>
        <w:tc>
          <w:tcPr>
            <w:tcW w:w="4764" w:type="dxa"/>
            <w:vMerge/>
            <w:tcBorders>
              <w:bottom w:val="single" w:sz="4" w:space="0" w:color="auto"/>
            </w:tcBorders>
            <w:tcMar>
              <w:left w:w="57" w:type="dxa"/>
              <w:right w:w="57" w:type="dxa"/>
            </w:tcMar>
            <w:vAlign w:val="center"/>
          </w:tcPr>
          <w:p w14:paraId="6F23884F" w14:textId="77777777" w:rsidR="00985FC7" w:rsidRPr="00747E35" w:rsidRDefault="00985FC7" w:rsidP="00697C1D">
            <w:pPr>
              <w:pStyle w:val="Tabletext"/>
              <w:spacing w:before="0" w:after="0"/>
              <w:rPr>
                <w:rFonts w:cstheme="minorHAnsi"/>
              </w:rPr>
            </w:pPr>
          </w:p>
        </w:tc>
      </w:tr>
      <w:tr w:rsidR="00985FC7" w:rsidRPr="00747E35" w14:paraId="6734445F" w14:textId="77777777" w:rsidTr="00697C1D">
        <w:trPr>
          <w:trHeight w:val="20"/>
        </w:trPr>
        <w:tc>
          <w:tcPr>
            <w:tcW w:w="1379" w:type="dxa"/>
            <w:vMerge w:val="restart"/>
            <w:tcBorders>
              <w:top w:val="single" w:sz="4" w:space="0" w:color="auto"/>
            </w:tcBorders>
            <w:tcMar>
              <w:left w:w="57" w:type="dxa"/>
              <w:right w:w="57" w:type="dxa"/>
            </w:tcMar>
          </w:tcPr>
          <w:p w14:paraId="1572C1D8" w14:textId="77777777" w:rsidR="00985FC7" w:rsidRPr="00747E35" w:rsidRDefault="00985FC7" w:rsidP="00697C1D">
            <w:pPr>
              <w:pStyle w:val="Tabletext"/>
              <w:spacing w:before="0" w:after="0"/>
              <w:rPr>
                <w:rFonts w:cstheme="minorHAnsi"/>
              </w:rPr>
            </w:pPr>
            <w:r w:rsidRPr="00747E35">
              <w:rPr>
                <w:rFonts w:cstheme="minorHAnsi"/>
              </w:rPr>
              <w:t>Micro &amp; macro-algae</w:t>
            </w:r>
          </w:p>
        </w:tc>
        <w:tc>
          <w:tcPr>
            <w:tcW w:w="1950" w:type="dxa"/>
            <w:tcBorders>
              <w:top w:val="single" w:sz="4" w:space="0" w:color="auto"/>
            </w:tcBorders>
            <w:tcMar>
              <w:left w:w="57" w:type="dxa"/>
              <w:right w:w="57" w:type="dxa"/>
            </w:tcMar>
          </w:tcPr>
          <w:p w14:paraId="6E832E45" w14:textId="77777777" w:rsidR="00985FC7" w:rsidRPr="00747E35" w:rsidRDefault="00985FC7" w:rsidP="00697C1D">
            <w:pPr>
              <w:pStyle w:val="Tabletext"/>
              <w:spacing w:before="0" w:after="0"/>
              <w:rPr>
                <w:rFonts w:cstheme="minorHAnsi"/>
              </w:rPr>
            </w:pPr>
            <w:r w:rsidRPr="00747E35">
              <w:rPr>
                <w:rFonts w:cstheme="minorHAnsi"/>
              </w:rPr>
              <w:t>Lake Eyre (red, green and blue-green occur there)</w:t>
            </w:r>
          </w:p>
        </w:tc>
        <w:tc>
          <w:tcPr>
            <w:tcW w:w="1405" w:type="dxa"/>
            <w:tcBorders>
              <w:top w:val="single" w:sz="4" w:space="0" w:color="auto"/>
            </w:tcBorders>
            <w:tcMar>
              <w:left w:w="57" w:type="dxa"/>
              <w:right w:w="57" w:type="dxa"/>
            </w:tcMar>
          </w:tcPr>
          <w:p w14:paraId="3992ECC0" w14:textId="77777777" w:rsidR="00985FC7" w:rsidRPr="00747E35" w:rsidRDefault="00985FC7" w:rsidP="00697C1D">
            <w:pPr>
              <w:pStyle w:val="Tabletext"/>
              <w:spacing w:before="0" w:after="0"/>
              <w:rPr>
                <w:rFonts w:cstheme="minorHAnsi"/>
              </w:rPr>
            </w:pPr>
            <w:r w:rsidRPr="00747E35">
              <w:rPr>
                <w:rFonts w:cstheme="minorHAnsi"/>
              </w:rPr>
              <w:t>Kinhill 1997</w:t>
            </w:r>
          </w:p>
        </w:tc>
        <w:tc>
          <w:tcPr>
            <w:tcW w:w="4764" w:type="dxa"/>
            <w:vMerge w:val="restart"/>
            <w:tcBorders>
              <w:top w:val="single" w:sz="4" w:space="0" w:color="auto"/>
            </w:tcBorders>
            <w:tcMar>
              <w:left w:w="57" w:type="dxa"/>
              <w:right w:w="57" w:type="dxa"/>
            </w:tcMar>
          </w:tcPr>
          <w:p w14:paraId="549159F1" w14:textId="441E9CB5" w:rsidR="00985FC7" w:rsidRPr="00747E35" w:rsidRDefault="00985FC7" w:rsidP="00C45598">
            <w:pPr>
              <w:pStyle w:val="Tabletext"/>
              <w:spacing w:before="0" w:after="0"/>
              <w:rPr>
                <w:rFonts w:cstheme="minorHAnsi"/>
              </w:rPr>
            </w:pPr>
            <w:r w:rsidRPr="00747E35">
              <w:rPr>
                <w:rFonts w:cstheme="minorHAnsi"/>
              </w:rPr>
              <w:t xml:space="preserve">Less is known about microalgae endemic to springs than is known concerning diatoms.  Knowledge regarding endemism in freshwater algae in general is poor in Australia (Tyler 1996) and assessments of algae diversity in springs have only occurred in some areas.  </w:t>
            </w:r>
            <w:r w:rsidR="00C45598" w:rsidRPr="00747E35">
              <w:rPr>
                <w:rFonts w:cstheme="minorHAnsi"/>
              </w:rPr>
              <w:t xml:space="preserve"> A basin-wide review of potentially endemic taxa is therefore not possible at present.</w:t>
            </w:r>
          </w:p>
        </w:tc>
      </w:tr>
      <w:tr w:rsidR="00985FC7" w:rsidRPr="00747E35" w14:paraId="5E1A2698" w14:textId="77777777" w:rsidTr="00697C1D">
        <w:trPr>
          <w:trHeight w:val="20"/>
        </w:trPr>
        <w:tc>
          <w:tcPr>
            <w:tcW w:w="1379" w:type="dxa"/>
            <w:vMerge/>
            <w:tcBorders>
              <w:bottom w:val="single" w:sz="4" w:space="0" w:color="auto"/>
            </w:tcBorders>
            <w:tcMar>
              <w:left w:w="57" w:type="dxa"/>
              <w:right w:w="57" w:type="dxa"/>
            </w:tcMar>
          </w:tcPr>
          <w:p w14:paraId="5B2FD7D6" w14:textId="77777777" w:rsidR="00985FC7" w:rsidRPr="00747E35" w:rsidRDefault="00985FC7" w:rsidP="00697C1D">
            <w:pPr>
              <w:pStyle w:val="Tabletext"/>
              <w:spacing w:before="0" w:after="0"/>
              <w:rPr>
                <w:rFonts w:cstheme="minorHAnsi"/>
              </w:rPr>
            </w:pPr>
          </w:p>
        </w:tc>
        <w:tc>
          <w:tcPr>
            <w:tcW w:w="1950" w:type="dxa"/>
            <w:tcBorders>
              <w:bottom w:val="single" w:sz="4" w:space="0" w:color="auto"/>
            </w:tcBorders>
            <w:tcMar>
              <w:left w:w="57" w:type="dxa"/>
              <w:right w:w="57" w:type="dxa"/>
            </w:tcMar>
          </w:tcPr>
          <w:p w14:paraId="55781916" w14:textId="77777777" w:rsidR="00985FC7" w:rsidRPr="00747E35" w:rsidRDefault="00985FC7" w:rsidP="00697C1D">
            <w:pPr>
              <w:pStyle w:val="Tabletext"/>
              <w:spacing w:before="0" w:after="0"/>
              <w:rPr>
                <w:rFonts w:cstheme="minorHAnsi"/>
              </w:rPr>
            </w:pPr>
            <w:r w:rsidRPr="00747E35">
              <w:rPr>
                <w:rFonts w:cstheme="minorHAnsi"/>
              </w:rPr>
              <w:t>Dalhousie (3 species green, 31 species blue-green occur there but no information on endemics to springs)</w:t>
            </w:r>
          </w:p>
        </w:tc>
        <w:tc>
          <w:tcPr>
            <w:tcW w:w="1405" w:type="dxa"/>
            <w:tcBorders>
              <w:bottom w:val="single" w:sz="4" w:space="0" w:color="auto"/>
            </w:tcBorders>
            <w:tcMar>
              <w:left w:w="57" w:type="dxa"/>
              <w:right w:w="57" w:type="dxa"/>
            </w:tcMar>
          </w:tcPr>
          <w:p w14:paraId="7B6753DB" w14:textId="77777777" w:rsidR="00985FC7" w:rsidRPr="00747E35" w:rsidRDefault="00985FC7" w:rsidP="00697C1D">
            <w:pPr>
              <w:pStyle w:val="Tabletext"/>
              <w:spacing w:before="0" w:after="0"/>
              <w:rPr>
                <w:rFonts w:cstheme="minorHAnsi"/>
              </w:rPr>
            </w:pPr>
            <w:r w:rsidRPr="00747E35">
              <w:rPr>
                <w:rFonts w:cstheme="minorHAnsi"/>
              </w:rPr>
              <w:t>Symon 1984, Ling 1989</w:t>
            </w:r>
          </w:p>
        </w:tc>
        <w:tc>
          <w:tcPr>
            <w:tcW w:w="4764" w:type="dxa"/>
            <w:vMerge/>
            <w:tcBorders>
              <w:bottom w:val="single" w:sz="4" w:space="0" w:color="auto"/>
            </w:tcBorders>
            <w:tcMar>
              <w:left w:w="57" w:type="dxa"/>
              <w:right w:w="57" w:type="dxa"/>
            </w:tcMar>
            <w:vAlign w:val="center"/>
          </w:tcPr>
          <w:p w14:paraId="4608E3DB" w14:textId="77777777" w:rsidR="00985FC7" w:rsidRPr="00747E35" w:rsidRDefault="00985FC7" w:rsidP="00697C1D">
            <w:pPr>
              <w:pStyle w:val="Tabletext"/>
              <w:spacing w:before="0" w:after="0"/>
              <w:rPr>
                <w:rFonts w:cstheme="minorHAnsi"/>
              </w:rPr>
            </w:pPr>
          </w:p>
        </w:tc>
      </w:tr>
      <w:tr w:rsidR="00985FC7" w:rsidRPr="00747E35" w14:paraId="4A835845" w14:textId="77777777" w:rsidTr="00697C1D">
        <w:trPr>
          <w:trHeight w:val="20"/>
        </w:trPr>
        <w:tc>
          <w:tcPr>
            <w:tcW w:w="1379" w:type="dxa"/>
            <w:vMerge w:val="restart"/>
            <w:tcBorders>
              <w:top w:val="single" w:sz="4" w:space="0" w:color="auto"/>
            </w:tcBorders>
            <w:tcMar>
              <w:left w:w="57" w:type="dxa"/>
              <w:right w:w="57" w:type="dxa"/>
            </w:tcMar>
          </w:tcPr>
          <w:p w14:paraId="2C476D7C" w14:textId="77777777" w:rsidR="00985FC7" w:rsidRPr="00747E35" w:rsidRDefault="00985FC7" w:rsidP="00697C1D">
            <w:pPr>
              <w:pStyle w:val="Tabletext"/>
              <w:spacing w:before="0" w:after="0"/>
              <w:rPr>
                <w:rFonts w:cstheme="minorHAnsi"/>
              </w:rPr>
            </w:pPr>
            <w:r w:rsidRPr="00747E35">
              <w:rPr>
                <w:rFonts w:cstheme="minorHAnsi"/>
              </w:rPr>
              <w:t>Amphibia</w:t>
            </w:r>
          </w:p>
        </w:tc>
        <w:tc>
          <w:tcPr>
            <w:tcW w:w="1950" w:type="dxa"/>
            <w:tcBorders>
              <w:top w:val="single" w:sz="4" w:space="0" w:color="auto"/>
            </w:tcBorders>
            <w:tcMar>
              <w:left w:w="57" w:type="dxa"/>
              <w:right w:w="57" w:type="dxa"/>
            </w:tcMar>
          </w:tcPr>
          <w:p w14:paraId="4B4006D6" w14:textId="77777777" w:rsidR="00985FC7" w:rsidRPr="00747E35" w:rsidRDefault="00985FC7" w:rsidP="00697C1D">
            <w:pPr>
              <w:pStyle w:val="Tabletext"/>
              <w:spacing w:before="0" w:after="0"/>
              <w:rPr>
                <w:rFonts w:cstheme="minorHAnsi"/>
              </w:rPr>
            </w:pPr>
            <w:r w:rsidRPr="00747E35">
              <w:rPr>
                <w:rFonts w:cstheme="minorHAnsi"/>
              </w:rPr>
              <w:t>Lake Eyre (rare)</w:t>
            </w:r>
          </w:p>
        </w:tc>
        <w:tc>
          <w:tcPr>
            <w:tcW w:w="1405" w:type="dxa"/>
            <w:tcBorders>
              <w:top w:val="single" w:sz="4" w:space="0" w:color="auto"/>
            </w:tcBorders>
            <w:tcMar>
              <w:left w:w="57" w:type="dxa"/>
              <w:right w:w="57" w:type="dxa"/>
            </w:tcMar>
          </w:tcPr>
          <w:p w14:paraId="725322F2" w14:textId="77777777" w:rsidR="00985FC7" w:rsidRPr="00747E35" w:rsidRDefault="00985FC7" w:rsidP="00697C1D">
            <w:pPr>
              <w:pStyle w:val="Tabletext"/>
              <w:spacing w:before="0" w:after="0"/>
              <w:rPr>
                <w:rFonts w:cstheme="minorHAnsi"/>
              </w:rPr>
            </w:pPr>
            <w:r w:rsidRPr="00747E35">
              <w:rPr>
                <w:rFonts w:cstheme="minorHAnsi"/>
              </w:rPr>
              <w:t>Kinhill 1997</w:t>
            </w:r>
          </w:p>
        </w:tc>
        <w:tc>
          <w:tcPr>
            <w:tcW w:w="4764" w:type="dxa"/>
            <w:vMerge w:val="restart"/>
            <w:tcBorders>
              <w:top w:val="single" w:sz="4" w:space="0" w:color="auto"/>
            </w:tcBorders>
            <w:tcMar>
              <w:left w:w="57" w:type="dxa"/>
              <w:right w:w="57" w:type="dxa"/>
            </w:tcMar>
          </w:tcPr>
          <w:p w14:paraId="7A708AA2" w14:textId="77777777" w:rsidR="00985FC7" w:rsidRPr="00747E35" w:rsidRDefault="00985FC7" w:rsidP="00697C1D">
            <w:pPr>
              <w:pStyle w:val="Tabletext"/>
              <w:spacing w:before="0" w:after="0"/>
              <w:rPr>
                <w:rFonts w:cstheme="minorHAnsi"/>
              </w:rPr>
            </w:pPr>
            <w:r w:rsidRPr="00747E35">
              <w:rPr>
                <w:rFonts w:cstheme="minorHAnsi"/>
              </w:rPr>
              <w:t>Few dedicated studies of the amphibian fauna of springs have been made.  Though work conducted by Kinhill noted in 1997 that few frogs were present in Lake Eyre springs, frogs abound in other areas.  Of those species that have been identified most are common in other waterways.  A lack of studies across the basin and a general lack of endemism means this group were excluded.</w:t>
            </w:r>
          </w:p>
        </w:tc>
      </w:tr>
      <w:tr w:rsidR="00985FC7" w:rsidRPr="00747E35" w14:paraId="7CD4CB4A" w14:textId="77777777" w:rsidTr="00697C1D">
        <w:trPr>
          <w:trHeight w:val="20"/>
        </w:trPr>
        <w:tc>
          <w:tcPr>
            <w:tcW w:w="1379" w:type="dxa"/>
            <w:vMerge/>
            <w:tcMar>
              <w:left w:w="57" w:type="dxa"/>
              <w:right w:w="57" w:type="dxa"/>
            </w:tcMar>
          </w:tcPr>
          <w:p w14:paraId="2BDE2CCE" w14:textId="77777777" w:rsidR="00985FC7" w:rsidRPr="00747E35" w:rsidRDefault="00985FC7" w:rsidP="00697C1D">
            <w:pPr>
              <w:pStyle w:val="Tabletext"/>
              <w:spacing w:before="0" w:after="0"/>
              <w:rPr>
                <w:rFonts w:cstheme="minorHAnsi"/>
              </w:rPr>
            </w:pPr>
          </w:p>
        </w:tc>
        <w:tc>
          <w:tcPr>
            <w:tcW w:w="1950" w:type="dxa"/>
            <w:tcMar>
              <w:left w:w="57" w:type="dxa"/>
              <w:right w:w="57" w:type="dxa"/>
            </w:tcMar>
          </w:tcPr>
          <w:p w14:paraId="0569973B" w14:textId="5DE3AC6A" w:rsidR="00985FC7" w:rsidRPr="00747E35" w:rsidRDefault="00985FC7" w:rsidP="00F9668D">
            <w:pPr>
              <w:pStyle w:val="Tabletext"/>
              <w:spacing w:before="0" w:after="0"/>
              <w:rPr>
                <w:rFonts w:cstheme="minorHAnsi"/>
              </w:rPr>
            </w:pPr>
            <w:r w:rsidRPr="00747E35">
              <w:rPr>
                <w:rFonts w:cstheme="minorHAnsi"/>
              </w:rPr>
              <w:t>Edgbaston (abundan</w:t>
            </w:r>
            <w:r w:rsidR="00F9668D">
              <w:rPr>
                <w:rFonts w:cstheme="minorHAnsi"/>
              </w:rPr>
              <w:t>t</w:t>
            </w:r>
            <w:r w:rsidRPr="00747E35">
              <w:rPr>
                <w:rFonts w:cstheme="minorHAnsi"/>
              </w:rPr>
              <w:t xml:space="preserve"> and diverse)</w:t>
            </w:r>
          </w:p>
        </w:tc>
        <w:tc>
          <w:tcPr>
            <w:tcW w:w="1405" w:type="dxa"/>
            <w:tcMar>
              <w:left w:w="57" w:type="dxa"/>
              <w:right w:w="57" w:type="dxa"/>
            </w:tcMar>
          </w:tcPr>
          <w:p w14:paraId="3EDB7558" w14:textId="77777777" w:rsidR="00985FC7" w:rsidRPr="00747E35" w:rsidRDefault="00985FC7" w:rsidP="00697C1D">
            <w:pPr>
              <w:pStyle w:val="Tabletext"/>
              <w:spacing w:before="0" w:after="0"/>
              <w:rPr>
                <w:rFonts w:cstheme="minorHAnsi"/>
              </w:rPr>
            </w:pPr>
            <w:r w:rsidRPr="00747E35">
              <w:rPr>
                <w:rFonts w:cstheme="minorHAnsi"/>
              </w:rPr>
              <w:t>Rossini pers. obs.</w:t>
            </w:r>
          </w:p>
        </w:tc>
        <w:tc>
          <w:tcPr>
            <w:tcW w:w="4764" w:type="dxa"/>
            <w:vMerge/>
            <w:tcMar>
              <w:left w:w="57" w:type="dxa"/>
              <w:right w:w="57" w:type="dxa"/>
            </w:tcMar>
            <w:vAlign w:val="center"/>
          </w:tcPr>
          <w:p w14:paraId="043192AE" w14:textId="77777777" w:rsidR="00985FC7" w:rsidRPr="00747E35" w:rsidRDefault="00985FC7" w:rsidP="00697C1D">
            <w:pPr>
              <w:pStyle w:val="Tabletext"/>
              <w:spacing w:before="0" w:after="0"/>
              <w:rPr>
                <w:rFonts w:cstheme="minorHAnsi"/>
              </w:rPr>
            </w:pPr>
          </w:p>
        </w:tc>
      </w:tr>
      <w:tr w:rsidR="00985FC7" w:rsidRPr="00747E35" w14:paraId="69183715" w14:textId="77777777" w:rsidTr="00697C1D">
        <w:trPr>
          <w:trHeight w:val="20"/>
        </w:trPr>
        <w:tc>
          <w:tcPr>
            <w:tcW w:w="1379" w:type="dxa"/>
            <w:vMerge/>
            <w:tcBorders>
              <w:bottom w:val="single" w:sz="4" w:space="0" w:color="auto"/>
            </w:tcBorders>
            <w:tcMar>
              <w:left w:w="57" w:type="dxa"/>
              <w:right w:w="57" w:type="dxa"/>
            </w:tcMar>
          </w:tcPr>
          <w:p w14:paraId="0A87CAED" w14:textId="77777777" w:rsidR="00985FC7" w:rsidRPr="00747E35" w:rsidRDefault="00985FC7" w:rsidP="00697C1D">
            <w:pPr>
              <w:pStyle w:val="Tabletext"/>
              <w:spacing w:before="0" w:after="0"/>
              <w:rPr>
                <w:rFonts w:cstheme="minorHAnsi"/>
              </w:rPr>
            </w:pPr>
          </w:p>
        </w:tc>
        <w:tc>
          <w:tcPr>
            <w:tcW w:w="1950" w:type="dxa"/>
            <w:tcBorders>
              <w:bottom w:val="single" w:sz="4" w:space="0" w:color="auto"/>
            </w:tcBorders>
            <w:tcMar>
              <w:left w:w="57" w:type="dxa"/>
              <w:right w:w="57" w:type="dxa"/>
            </w:tcMar>
          </w:tcPr>
          <w:p w14:paraId="16808F16" w14:textId="77777777" w:rsidR="00985FC7" w:rsidRPr="00747E35" w:rsidRDefault="00985FC7" w:rsidP="00697C1D">
            <w:pPr>
              <w:pStyle w:val="Tabletext"/>
              <w:spacing w:before="0" w:after="0"/>
              <w:rPr>
                <w:rFonts w:cstheme="minorHAnsi"/>
              </w:rPr>
            </w:pPr>
            <w:r w:rsidRPr="00747E35">
              <w:rPr>
                <w:rFonts w:cstheme="minorHAnsi"/>
              </w:rPr>
              <w:t>Dalhousie</w:t>
            </w:r>
          </w:p>
        </w:tc>
        <w:tc>
          <w:tcPr>
            <w:tcW w:w="1405" w:type="dxa"/>
            <w:tcBorders>
              <w:bottom w:val="single" w:sz="4" w:space="0" w:color="auto"/>
            </w:tcBorders>
            <w:tcMar>
              <w:left w:w="57" w:type="dxa"/>
              <w:right w:w="57" w:type="dxa"/>
            </w:tcMar>
          </w:tcPr>
          <w:p w14:paraId="5CFE002E" w14:textId="77777777" w:rsidR="00985FC7" w:rsidRPr="00747E35" w:rsidRDefault="00985FC7" w:rsidP="00697C1D">
            <w:pPr>
              <w:pStyle w:val="Tabletext"/>
              <w:spacing w:before="0" w:after="0"/>
              <w:rPr>
                <w:rFonts w:cstheme="minorHAnsi"/>
              </w:rPr>
            </w:pPr>
            <w:r w:rsidRPr="00747E35">
              <w:rPr>
                <w:rFonts w:cstheme="minorHAnsi"/>
              </w:rPr>
              <w:t>Ponder 1986</w:t>
            </w:r>
          </w:p>
        </w:tc>
        <w:tc>
          <w:tcPr>
            <w:tcW w:w="4764" w:type="dxa"/>
            <w:vMerge/>
            <w:tcBorders>
              <w:bottom w:val="single" w:sz="4" w:space="0" w:color="auto"/>
            </w:tcBorders>
            <w:tcMar>
              <w:left w:w="57" w:type="dxa"/>
              <w:right w:w="57" w:type="dxa"/>
            </w:tcMar>
          </w:tcPr>
          <w:p w14:paraId="1759BF9A" w14:textId="77777777" w:rsidR="00985FC7" w:rsidRPr="00747E35" w:rsidRDefault="00985FC7" w:rsidP="00697C1D">
            <w:pPr>
              <w:pStyle w:val="Tabletext"/>
              <w:spacing w:before="0" w:after="0"/>
              <w:rPr>
                <w:rFonts w:cstheme="minorHAnsi"/>
              </w:rPr>
            </w:pPr>
          </w:p>
        </w:tc>
      </w:tr>
      <w:tr w:rsidR="00985FC7" w:rsidRPr="00747E35" w14:paraId="6C75C6E5" w14:textId="77777777" w:rsidTr="00697C1D">
        <w:trPr>
          <w:trHeight w:val="20"/>
        </w:trPr>
        <w:tc>
          <w:tcPr>
            <w:tcW w:w="1379" w:type="dxa"/>
            <w:vMerge w:val="restart"/>
            <w:tcBorders>
              <w:top w:val="single" w:sz="4" w:space="0" w:color="auto"/>
            </w:tcBorders>
            <w:tcMar>
              <w:left w:w="57" w:type="dxa"/>
              <w:right w:w="57" w:type="dxa"/>
            </w:tcMar>
          </w:tcPr>
          <w:p w14:paraId="61060D0C" w14:textId="77777777" w:rsidR="00985FC7" w:rsidRPr="00747E35" w:rsidRDefault="00985FC7" w:rsidP="00697C1D">
            <w:pPr>
              <w:pStyle w:val="Tabletext"/>
              <w:spacing w:before="0" w:after="0"/>
              <w:rPr>
                <w:rFonts w:cstheme="minorHAnsi"/>
              </w:rPr>
            </w:pPr>
            <w:r w:rsidRPr="00747E35">
              <w:rPr>
                <w:rFonts w:cstheme="minorHAnsi"/>
              </w:rPr>
              <w:t>Fishes</w:t>
            </w:r>
          </w:p>
        </w:tc>
        <w:tc>
          <w:tcPr>
            <w:tcW w:w="1950" w:type="dxa"/>
            <w:tcBorders>
              <w:top w:val="single" w:sz="4" w:space="0" w:color="auto"/>
            </w:tcBorders>
            <w:tcMar>
              <w:left w:w="57" w:type="dxa"/>
              <w:right w:w="57" w:type="dxa"/>
            </w:tcMar>
          </w:tcPr>
          <w:p w14:paraId="402F7F31" w14:textId="77777777" w:rsidR="00985FC7" w:rsidRPr="00747E35" w:rsidRDefault="00985FC7" w:rsidP="00697C1D">
            <w:pPr>
              <w:pStyle w:val="Tabletext"/>
              <w:spacing w:before="0" w:after="0"/>
              <w:rPr>
                <w:rFonts w:cstheme="minorHAnsi"/>
              </w:rPr>
            </w:pPr>
            <w:r w:rsidRPr="00747E35">
              <w:rPr>
                <w:rFonts w:cstheme="minorHAnsi"/>
              </w:rPr>
              <w:t>Lake Eyre (</w:t>
            </w:r>
            <w:r w:rsidRPr="00747E35">
              <w:rPr>
                <w:rFonts w:cstheme="minorHAnsi"/>
                <w:i/>
              </w:rPr>
              <w:t>Craterocephalus eyresii</w:t>
            </w:r>
            <w:r w:rsidRPr="00747E35">
              <w:rPr>
                <w:rFonts w:cstheme="minorHAnsi"/>
              </w:rPr>
              <w:t>)</w:t>
            </w:r>
          </w:p>
        </w:tc>
        <w:tc>
          <w:tcPr>
            <w:tcW w:w="1405" w:type="dxa"/>
            <w:tcBorders>
              <w:top w:val="single" w:sz="4" w:space="0" w:color="auto"/>
            </w:tcBorders>
            <w:tcMar>
              <w:left w:w="57" w:type="dxa"/>
              <w:right w:w="57" w:type="dxa"/>
            </w:tcMar>
          </w:tcPr>
          <w:p w14:paraId="792F61F9" w14:textId="77777777" w:rsidR="00985FC7" w:rsidRPr="00747E35" w:rsidRDefault="00985FC7" w:rsidP="00697C1D">
            <w:pPr>
              <w:pStyle w:val="Tabletext"/>
              <w:spacing w:before="0" w:after="0"/>
              <w:rPr>
                <w:rFonts w:cstheme="minorHAnsi"/>
              </w:rPr>
            </w:pPr>
            <w:r w:rsidRPr="00747E35">
              <w:rPr>
                <w:rFonts w:cstheme="minorHAnsi"/>
              </w:rPr>
              <w:t xml:space="preserve">Pers. Coms: </w:t>
            </w:r>
          </w:p>
          <w:p w14:paraId="29CE923B" w14:textId="77777777" w:rsidR="00985FC7" w:rsidRPr="00747E35" w:rsidRDefault="00985FC7" w:rsidP="00697C1D">
            <w:pPr>
              <w:pStyle w:val="Tabletext"/>
              <w:spacing w:before="0" w:after="0"/>
              <w:rPr>
                <w:rFonts w:cstheme="minorHAnsi"/>
              </w:rPr>
            </w:pPr>
            <w:r w:rsidRPr="00747E35">
              <w:rPr>
                <w:rFonts w:cstheme="minorHAnsi"/>
              </w:rPr>
              <w:t>Dr. Peter Unmack, Dr. Adam Kereszy</w:t>
            </w:r>
          </w:p>
        </w:tc>
        <w:tc>
          <w:tcPr>
            <w:tcW w:w="4764" w:type="dxa"/>
            <w:vMerge w:val="restart"/>
            <w:tcBorders>
              <w:top w:val="single" w:sz="4" w:space="0" w:color="auto"/>
            </w:tcBorders>
            <w:tcMar>
              <w:left w:w="57" w:type="dxa"/>
              <w:right w:w="57" w:type="dxa"/>
            </w:tcMar>
          </w:tcPr>
          <w:p w14:paraId="74CCB62D" w14:textId="423D5D74" w:rsidR="00985FC7" w:rsidRPr="00747E35" w:rsidRDefault="00985FC7" w:rsidP="00F9668D">
            <w:pPr>
              <w:pStyle w:val="Tabletext"/>
              <w:spacing w:before="0" w:after="0"/>
              <w:rPr>
                <w:rFonts w:cstheme="minorHAnsi"/>
              </w:rPr>
            </w:pPr>
            <w:r w:rsidRPr="00747E35">
              <w:rPr>
                <w:rFonts w:cstheme="minorHAnsi"/>
              </w:rPr>
              <w:t>The Spangled Perch (</w:t>
            </w:r>
            <w:r w:rsidRPr="00747E35">
              <w:rPr>
                <w:rFonts w:cstheme="minorHAnsi"/>
                <w:i/>
              </w:rPr>
              <w:t>L. unicolor</w:t>
            </w:r>
            <w:r w:rsidRPr="00747E35">
              <w:rPr>
                <w:rFonts w:cstheme="minorHAnsi"/>
                <w:i/>
                <w:iCs/>
              </w:rPr>
              <w:t xml:space="preserve">) </w:t>
            </w:r>
            <w:r w:rsidRPr="00747E35">
              <w:rPr>
                <w:rFonts w:cstheme="minorHAnsi"/>
                <w:iCs/>
              </w:rPr>
              <w:t>is excluded, as it is not endemic to springs.</w:t>
            </w:r>
            <w:r w:rsidRPr="00747E35">
              <w:rPr>
                <w:rFonts w:cstheme="minorHAnsi"/>
                <w:i/>
                <w:iCs/>
              </w:rPr>
              <w:t xml:space="preserve">  </w:t>
            </w:r>
            <w:r w:rsidRPr="00747E35">
              <w:rPr>
                <w:rFonts w:cstheme="minorHAnsi"/>
              </w:rPr>
              <w:t>All fishes previously included in the list of endemic species are included here except for two species of Hardyhead (</w:t>
            </w:r>
            <w:r w:rsidRPr="00747E35">
              <w:rPr>
                <w:rFonts w:cstheme="minorHAnsi"/>
                <w:i/>
                <w:iCs/>
              </w:rPr>
              <w:t xml:space="preserve">C. eyresii </w:t>
            </w:r>
            <w:r w:rsidRPr="00747E35">
              <w:rPr>
                <w:rFonts w:cstheme="minorHAnsi"/>
              </w:rPr>
              <w:t xml:space="preserve">and the undescribed species from Myross).  These two species were excluded following the advice of the consulted experts who argued that the extent of regional endemism previously suggested within </w:t>
            </w:r>
            <w:r w:rsidRPr="00747E35">
              <w:rPr>
                <w:rFonts w:cstheme="minorHAnsi"/>
                <w:i/>
                <w:iCs/>
              </w:rPr>
              <w:t>Crate</w:t>
            </w:r>
            <w:r w:rsidR="00F9668D">
              <w:rPr>
                <w:rFonts w:cstheme="minorHAnsi"/>
                <w:i/>
                <w:iCs/>
              </w:rPr>
              <w:t>roce</w:t>
            </w:r>
            <w:r w:rsidRPr="00747E35">
              <w:rPr>
                <w:rFonts w:cstheme="minorHAnsi"/>
                <w:i/>
                <w:iCs/>
              </w:rPr>
              <w:t xml:space="preserve">phalus </w:t>
            </w:r>
            <w:r w:rsidRPr="00747E35">
              <w:rPr>
                <w:rFonts w:cstheme="minorHAnsi"/>
              </w:rPr>
              <w:t>was not well supported by recent studies.</w:t>
            </w:r>
          </w:p>
        </w:tc>
      </w:tr>
      <w:tr w:rsidR="00985FC7" w:rsidRPr="00747E35" w14:paraId="4CA99069" w14:textId="77777777" w:rsidTr="00697C1D">
        <w:trPr>
          <w:trHeight w:val="20"/>
        </w:trPr>
        <w:tc>
          <w:tcPr>
            <w:tcW w:w="1379" w:type="dxa"/>
            <w:vMerge/>
            <w:tcMar>
              <w:left w:w="57" w:type="dxa"/>
              <w:right w:w="57" w:type="dxa"/>
            </w:tcMar>
          </w:tcPr>
          <w:p w14:paraId="7D5C246B" w14:textId="77777777" w:rsidR="00985FC7" w:rsidRPr="00747E35" w:rsidRDefault="00985FC7" w:rsidP="00697C1D">
            <w:pPr>
              <w:pStyle w:val="Tabletext"/>
              <w:spacing w:before="0" w:after="0"/>
              <w:rPr>
                <w:rFonts w:cstheme="minorHAnsi"/>
              </w:rPr>
            </w:pPr>
          </w:p>
        </w:tc>
        <w:tc>
          <w:tcPr>
            <w:tcW w:w="1950" w:type="dxa"/>
            <w:tcMar>
              <w:left w:w="57" w:type="dxa"/>
              <w:right w:w="57" w:type="dxa"/>
            </w:tcMar>
          </w:tcPr>
          <w:p w14:paraId="52EE05FF" w14:textId="77777777" w:rsidR="00985FC7" w:rsidRPr="00747E35" w:rsidRDefault="00985FC7" w:rsidP="00697C1D">
            <w:pPr>
              <w:pStyle w:val="Tabletext"/>
              <w:spacing w:before="0" w:after="0"/>
              <w:rPr>
                <w:rFonts w:cstheme="minorHAnsi"/>
              </w:rPr>
            </w:pPr>
            <w:r w:rsidRPr="00747E35">
              <w:rPr>
                <w:rFonts w:cstheme="minorHAnsi"/>
              </w:rPr>
              <w:t xml:space="preserve">Barcaldine </w:t>
            </w:r>
            <w:r w:rsidRPr="00747E35">
              <w:rPr>
                <w:rFonts w:cstheme="minorHAnsi"/>
                <w:i/>
                <w:iCs/>
              </w:rPr>
              <w:t>(</w:t>
            </w:r>
            <w:r w:rsidRPr="00747E35">
              <w:rPr>
                <w:rFonts w:cstheme="minorHAnsi"/>
                <w:iCs/>
              </w:rPr>
              <w:t>Craterocephalus</w:t>
            </w:r>
            <w:r w:rsidRPr="00747E35">
              <w:rPr>
                <w:rFonts w:cstheme="minorHAnsi"/>
              </w:rPr>
              <w:t xml:space="preserve"> sp. from Myross)</w:t>
            </w:r>
          </w:p>
        </w:tc>
        <w:tc>
          <w:tcPr>
            <w:tcW w:w="1405" w:type="dxa"/>
            <w:tcMar>
              <w:left w:w="57" w:type="dxa"/>
              <w:right w:w="57" w:type="dxa"/>
            </w:tcMar>
          </w:tcPr>
          <w:p w14:paraId="1068DB7C" w14:textId="77777777" w:rsidR="00985FC7" w:rsidRPr="00747E35" w:rsidRDefault="00985FC7" w:rsidP="00697C1D">
            <w:pPr>
              <w:pStyle w:val="Tabletext"/>
              <w:spacing w:before="0" w:after="0"/>
              <w:rPr>
                <w:rFonts w:cstheme="minorHAnsi"/>
              </w:rPr>
            </w:pPr>
          </w:p>
        </w:tc>
        <w:tc>
          <w:tcPr>
            <w:tcW w:w="4764" w:type="dxa"/>
            <w:vMerge/>
            <w:tcMar>
              <w:left w:w="57" w:type="dxa"/>
              <w:right w:w="57" w:type="dxa"/>
            </w:tcMar>
            <w:vAlign w:val="center"/>
          </w:tcPr>
          <w:p w14:paraId="21B8E157" w14:textId="77777777" w:rsidR="00985FC7" w:rsidRPr="00747E35" w:rsidRDefault="00985FC7" w:rsidP="00697C1D">
            <w:pPr>
              <w:pStyle w:val="Tabletext"/>
              <w:spacing w:before="0" w:after="0"/>
              <w:rPr>
                <w:rFonts w:cstheme="minorHAnsi"/>
              </w:rPr>
            </w:pPr>
          </w:p>
        </w:tc>
      </w:tr>
      <w:tr w:rsidR="00985FC7" w:rsidRPr="00747E35" w14:paraId="4E142A9F" w14:textId="77777777" w:rsidTr="00697C1D">
        <w:trPr>
          <w:trHeight w:val="20"/>
        </w:trPr>
        <w:tc>
          <w:tcPr>
            <w:tcW w:w="1379" w:type="dxa"/>
            <w:vMerge/>
            <w:tcBorders>
              <w:bottom w:val="single" w:sz="4" w:space="0" w:color="auto"/>
            </w:tcBorders>
            <w:tcMar>
              <w:left w:w="57" w:type="dxa"/>
              <w:right w:w="57" w:type="dxa"/>
            </w:tcMar>
          </w:tcPr>
          <w:p w14:paraId="2015E2C4" w14:textId="77777777" w:rsidR="00985FC7" w:rsidRPr="00747E35" w:rsidRDefault="00985FC7" w:rsidP="00697C1D">
            <w:pPr>
              <w:pStyle w:val="Tabletext"/>
              <w:spacing w:before="0" w:after="0"/>
              <w:rPr>
                <w:rFonts w:cstheme="minorHAnsi"/>
              </w:rPr>
            </w:pPr>
          </w:p>
        </w:tc>
        <w:tc>
          <w:tcPr>
            <w:tcW w:w="1950" w:type="dxa"/>
            <w:tcBorders>
              <w:bottom w:val="single" w:sz="4" w:space="0" w:color="auto"/>
            </w:tcBorders>
            <w:tcMar>
              <w:left w:w="57" w:type="dxa"/>
              <w:right w:w="57" w:type="dxa"/>
            </w:tcMar>
          </w:tcPr>
          <w:p w14:paraId="02A92BC9" w14:textId="77777777" w:rsidR="00985FC7" w:rsidRPr="00747E35" w:rsidRDefault="00985FC7" w:rsidP="00697C1D">
            <w:pPr>
              <w:pStyle w:val="Tabletext"/>
              <w:spacing w:before="0" w:after="0"/>
              <w:rPr>
                <w:rFonts w:cstheme="minorHAnsi"/>
              </w:rPr>
            </w:pPr>
            <w:r w:rsidRPr="00747E35">
              <w:rPr>
                <w:rFonts w:cstheme="minorHAnsi"/>
              </w:rPr>
              <w:t xml:space="preserve">Numerous locations </w:t>
            </w:r>
          </w:p>
          <w:p w14:paraId="2F016270" w14:textId="77777777" w:rsidR="00985FC7" w:rsidRPr="00747E35" w:rsidRDefault="00985FC7" w:rsidP="00697C1D">
            <w:pPr>
              <w:pStyle w:val="Tabletext"/>
              <w:spacing w:before="0" w:after="0"/>
              <w:rPr>
                <w:rFonts w:cstheme="minorHAnsi"/>
              </w:rPr>
            </w:pPr>
            <w:r w:rsidRPr="00747E35">
              <w:rPr>
                <w:rFonts w:cstheme="minorHAnsi"/>
              </w:rPr>
              <w:t>(</w:t>
            </w:r>
            <w:r w:rsidRPr="00747E35">
              <w:rPr>
                <w:rFonts w:cstheme="minorHAnsi"/>
                <w:i/>
              </w:rPr>
              <w:t>Leiopotherapon unicolor</w:t>
            </w:r>
            <w:r w:rsidRPr="00747E35">
              <w:rPr>
                <w:rFonts w:cstheme="minorHAnsi"/>
              </w:rPr>
              <w:t>)</w:t>
            </w:r>
          </w:p>
        </w:tc>
        <w:tc>
          <w:tcPr>
            <w:tcW w:w="1405" w:type="dxa"/>
            <w:tcBorders>
              <w:bottom w:val="single" w:sz="4" w:space="0" w:color="auto"/>
            </w:tcBorders>
            <w:tcMar>
              <w:left w:w="57" w:type="dxa"/>
              <w:right w:w="57" w:type="dxa"/>
            </w:tcMar>
          </w:tcPr>
          <w:p w14:paraId="632A20CE" w14:textId="77777777" w:rsidR="00985FC7" w:rsidRPr="00747E35" w:rsidRDefault="00985FC7" w:rsidP="00697C1D">
            <w:pPr>
              <w:pStyle w:val="Tabletext"/>
              <w:spacing w:before="0" w:after="0"/>
              <w:rPr>
                <w:rFonts w:cstheme="minorHAnsi"/>
              </w:rPr>
            </w:pPr>
          </w:p>
        </w:tc>
        <w:tc>
          <w:tcPr>
            <w:tcW w:w="4764" w:type="dxa"/>
            <w:vMerge/>
            <w:tcBorders>
              <w:bottom w:val="single" w:sz="4" w:space="0" w:color="auto"/>
            </w:tcBorders>
            <w:tcMar>
              <w:left w:w="57" w:type="dxa"/>
              <w:right w:w="57" w:type="dxa"/>
            </w:tcMar>
            <w:vAlign w:val="center"/>
          </w:tcPr>
          <w:p w14:paraId="62395F91" w14:textId="77777777" w:rsidR="00985FC7" w:rsidRPr="00747E35" w:rsidRDefault="00985FC7" w:rsidP="00697C1D">
            <w:pPr>
              <w:pStyle w:val="Tabletext"/>
              <w:spacing w:before="0" w:after="0"/>
              <w:rPr>
                <w:rFonts w:cstheme="minorHAnsi"/>
              </w:rPr>
            </w:pPr>
          </w:p>
        </w:tc>
      </w:tr>
      <w:tr w:rsidR="00985FC7" w:rsidRPr="00747E35" w14:paraId="04D22F3A" w14:textId="77777777" w:rsidTr="00697C1D">
        <w:trPr>
          <w:trHeight w:val="20"/>
        </w:trPr>
        <w:tc>
          <w:tcPr>
            <w:tcW w:w="1379" w:type="dxa"/>
            <w:vMerge w:val="restart"/>
            <w:tcBorders>
              <w:top w:val="single" w:sz="4" w:space="0" w:color="auto"/>
            </w:tcBorders>
            <w:tcMar>
              <w:left w:w="57" w:type="dxa"/>
              <w:right w:w="57" w:type="dxa"/>
            </w:tcMar>
          </w:tcPr>
          <w:p w14:paraId="76B3F3A5" w14:textId="77777777" w:rsidR="00985FC7" w:rsidRPr="00747E35" w:rsidRDefault="00985FC7" w:rsidP="00697C1D">
            <w:pPr>
              <w:pStyle w:val="Tabletext"/>
              <w:spacing w:before="0" w:after="0"/>
              <w:rPr>
                <w:rFonts w:cstheme="minorHAnsi"/>
              </w:rPr>
            </w:pPr>
            <w:r w:rsidRPr="00747E35">
              <w:rPr>
                <w:rFonts w:cstheme="minorHAnsi"/>
              </w:rPr>
              <w:t>Decapod crustaceans</w:t>
            </w:r>
          </w:p>
        </w:tc>
        <w:tc>
          <w:tcPr>
            <w:tcW w:w="1950" w:type="dxa"/>
            <w:tcBorders>
              <w:top w:val="single" w:sz="4" w:space="0" w:color="auto"/>
            </w:tcBorders>
            <w:tcMar>
              <w:left w:w="57" w:type="dxa"/>
              <w:right w:w="57" w:type="dxa"/>
            </w:tcMar>
          </w:tcPr>
          <w:p w14:paraId="7096F1A2" w14:textId="77777777" w:rsidR="00985FC7" w:rsidRPr="00747E35" w:rsidRDefault="00985FC7" w:rsidP="00697C1D">
            <w:pPr>
              <w:pStyle w:val="Tabletext"/>
              <w:spacing w:before="0" w:after="0"/>
              <w:rPr>
                <w:rFonts w:cstheme="minorHAnsi"/>
              </w:rPr>
            </w:pPr>
            <w:r w:rsidRPr="00747E35">
              <w:rPr>
                <w:rFonts w:cstheme="minorHAnsi"/>
              </w:rPr>
              <w:t>Lake Eyre (</w:t>
            </w:r>
            <w:r w:rsidRPr="00747E35">
              <w:rPr>
                <w:rFonts w:cstheme="minorHAnsi"/>
                <w:i/>
                <w:iCs/>
              </w:rPr>
              <w:t>Caridina sp.</w:t>
            </w:r>
            <w:r w:rsidRPr="00747E35">
              <w:rPr>
                <w:rFonts w:cstheme="minorHAnsi"/>
              </w:rPr>
              <w:t>)</w:t>
            </w:r>
          </w:p>
        </w:tc>
        <w:tc>
          <w:tcPr>
            <w:tcW w:w="1405" w:type="dxa"/>
            <w:tcBorders>
              <w:top w:val="single" w:sz="4" w:space="0" w:color="auto"/>
            </w:tcBorders>
            <w:tcMar>
              <w:left w:w="57" w:type="dxa"/>
              <w:right w:w="57" w:type="dxa"/>
            </w:tcMar>
          </w:tcPr>
          <w:p w14:paraId="69C0B4E2" w14:textId="77777777" w:rsidR="00985FC7" w:rsidRPr="00747E35" w:rsidRDefault="00985FC7" w:rsidP="00697C1D">
            <w:pPr>
              <w:pStyle w:val="Tabletext"/>
              <w:spacing w:before="0" w:after="0"/>
              <w:rPr>
                <w:rFonts w:cstheme="minorHAnsi"/>
              </w:rPr>
            </w:pPr>
            <w:r w:rsidRPr="00747E35">
              <w:rPr>
                <w:rFonts w:cstheme="minorHAnsi"/>
              </w:rPr>
              <w:t>Page et al. 2005</w:t>
            </w:r>
          </w:p>
        </w:tc>
        <w:tc>
          <w:tcPr>
            <w:tcW w:w="4764" w:type="dxa"/>
            <w:tcBorders>
              <w:top w:val="single" w:sz="4" w:space="0" w:color="auto"/>
            </w:tcBorders>
            <w:tcMar>
              <w:left w:w="57" w:type="dxa"/>
              <w:right w:w="57" w:type="dxa"/>
            </w:tcMar>
          </w:tcPr>
          <w:p w14:paraId="20E824A2" w14:textId="76050149" w:rsidR="00985FC7" w:rsidRPr="00747E35" w:rsidRDefault="00C45598" w:rsidP="005E04D7">
            <w:pPr>
              <w:pStyle w:val="Tabletext"/>
              <w:spacing w:before="0" w:after="0"/>
              <w:rPr>
                <w:rFonts w:cstheme="minorHAnsi"/>
              </w:rPr>
            </w:pPr>
            <w:r w:rsidRPr="00747E35">
              <w:rPr>
                <w:rFonts w:cstheme="minorHAnsi"/>
              </w:rPr>
              <w:t xml:space="preserve">The taxonomy of </w:t>
            </w:r>
            <w:r w:rsidR="00985FC7" w:rsidRPr="00747E35">
              <w:rPr>
                <w:rFonts w:cstheme="minorHAnsi"/>
                <w:i/>
              </w:rPr>
              <w:t>Caridina</w:t>
            </w:r>
            <w:r w:rsidR="00985FC7" w:rsidRPr="00747E35">
              <w:rPr>
                <w:rFonts w:cstheme="minorHAnsi"/>
              </w:rPr>
              <w:t xml:space="preserve"> within Australia </w:t>
            </w:r>
            <w:r w:rsidRPr="00747E35">
              <w:rPr>
                <w:rFonts w:cstheme="minorHAnsi"/>
              </w:rPr>
              <w:t>is</w:t>
            </w:r>
            <w:r w:rsidR="00985FC7" w:rsidRPr="00747E35">
              <w:rPr>
                <w:rFonts w:cstheme="minorHAnsi"/>
              </w:rPr>
              <w:t xml:space="preserve"> generally </w:t>
            </w:r>
            <w:r w:rsidRPr="00747E35">
              <w:rPr>
                <w:rFonts w:cstheme="minorHAnsi"/>
              </w:rPr>
              <w:t>poorly resolved</w:t>
            </w:r>
            <w:r w:rsidR="00985FC7" w:rsidRPr="00747E35">
              <w:rPr>
                <w:rFonts w:cstheme="minorHAnsi"/>
              </w:rPr>
              <w:t xml:space="preserve"> though there is strong evidence that </w:t>
            </w:r>
            <w:r w:rsidR="00985FC7" w:rsidRPr="00747E35">
              <w:rPr>
                <w:rFonts w:cstheme="minorHAnsi"/>
                <w:i/>
              </w:rPr>
              <w:t>C. thermophila</w:t>
            </w:r>
            <w:r w:rsidR="00985FC7" w:rsidRPr="00747E35">
              <w:rPr>
                <w:rFonts w:cstheme="minorHAnsi"/>
              </w:rPr>
              <w:t xml:space="preserve"> is endemic to springs and is not the same as a currently undescribed species from Lake Eyre</w:t>
            </w:r>
            <w:r w:rsidR="005E04D7">
              <w:rPr>
                <w:rFonts w:cstheme="minorHAnsi"/>
              </w:rPr>
              <w:t xml:space="preserve"> (Page </w:t>
            </w:r>
            <w:r w:rsidR="00550020" w:rsidRPr="00747E35">
              <w:rPr>
                <w:rFonts w:cstheme="minorHAnsi"/>
              </w:rPr>
              <w:t>et al. 2005).  These taxa</w:t>
            </w:r>
            <w:r w:rsidR="00985FC7" w:rsidRPr="00747E35">
              <w:rPr>
                <w:rFonts w:cstheme="minorHAnsi"/>
              </w:rPr>
              <w:t xml:space="preserve"> ha</w:t>
            </w:r>
            <w:r w:rsidR="00550020" w:rsidRPr="00747E35">
              <w:rPr>
                <w:rFonts w:cstheme="minorHAnsi"/>
              </w:rPr>
              <w:t>ve</w:t>
            </w:r>
            <w:r w:rsidR="00985FC7" w:rsidRPr="00747E35">
              <w:rPr>
                <w:rFonts w:cstheme="minorHAnsi"/>
              </w:rPr>
              <w:t xml:space="preserve"> been excluded as (Ponder et al. 2010) argue there is not currently enough evidence to suggest it is endemic.</w:t>
            </w:r>
          </w:p>
        </w:tc>
      </w:tr>
      <w:tr w:rsidR="00985FC7" w:rsidRPr="00747E35" w14:paraId="4ECDA4D9" w14:textId="77777777" w:rsidTr="00697C1D">
        <w:trPr>
          <w:trHeight w:val="20"/>
        </w:trPr>
        <w:tc>
          <w:tcPr>
            <w:tcW w:w="1379" w:type="dxa"/>
            <w:vMerge/>
            <w:tcMar>
              <w:left w:w="57" w:type="dxa"/>
              <w:right w:w="57" w:type="dxa"/>
            </w:tcMar>
          </w:tcPr>
          <w:p w14:paraId="0E6A656B" w14:textId="77777777" w:rsidR="00985FC7" w:rsidRPr="00747E35" w:rsidRDefault="00985FC7" w:rsidP="00697C1D">
            <w:pPr>
              <w:pStyle w:val="Tabletext"/>
              <w:spacing w:before="0" w:after="0"/>
              <w:rPr>
                <w:rFonts w:cstheme="minorHAnsi"/>
              </w:rPr>
            </w:pPr>
          </w:p>
        </w:tc>
        <w:tc>
          <w:tcPr>
            <w:tcW w:w="1950" w:type="dxa"/>
            <w:tcMar>
              <w:left w:w="57" w:type="dxa"/>
              <w:right w:w="57" w:type="dxa"/>
            </w:tcMar>
          </w:tcPr>
          <w:p w14:paraId="22C166D5" w14:textId="77777777" w:rsidR="00985FC7" w:rsidRPr="00747E35" w:rsidRDefault="00985FC7" w:rsidP="00697C1D">
            <w:pPr>
              <w:pStyle w:val="Tabletext"/>
              <w:spacing w:before="0" w:after="0"/>
              <w:rPr>
                <w:rFonts w:cstheme="minorHAnsi"/>
              </w:rPr>
            </w:pPr>
            <w:r w:rsidRPr="00747E35">
              <w:rPr>
                <w:rFonts w:cstheme="minorHAnsi"/>
              </w:rPr>
              <w:t>Barcaldine (Caridina thermophila)</w:t>
            </w:r>
          </w:p>
        </w:tc>
        <w:tc>
          <w:tcPr>
            <w:tcW w:w="1405" w:type="dxa"/>
            <w:tcMar>
              <w:left w:w="57" w:type="dxa"/>
              <w:right w:w="57" w:type="dxa"/>
            </w:tcMar>
          </w:tcPr>
          <w:p w14:paraId="7092AC41" w14:textId="77777777" w:rsidR="00985FC7" w:rsidRPr="00747E35" w:rsidRDefault="00985FC7" w:rsidP="00697C1D">
            <w:pPr>
              <w:pStyle w:val="Tabletext"/>
              <w:spacing w:before="0" w:after="0"/>
              <w:rPr>
                <w:rFonts w:cstheme="minorHAnsi"/>
              </w:rPr>
            </w:pPr>
            <w:r w:rsidRPr="00747E35">
              <w:rPr>
                <w:rFonts w:cstheme="minorHAnsi"/>
              </w:rPr>
              <w:t>Ponder et al. 2010</w:t>
            </w:r>
          </w:p>
        </w:tc>
        <w:tc>
          <w:tcPr>
            <w:tcW w:w="4764" w:type="dxa"/>
            <w:tcMar>
              <w:left w:w="57" w:type="dxa"/>
              <w:right w:w="57" w:type="dxa"/>
            </w:tcMar>
            <w:vAlign w:val="center"/>
          </w:tcPr>
          <w:p w14:paraId="45E72044" w14:textId="77777777" w:rsidR="00985FC7" w:rsidRPr="00747E35" w:rsidRDefault="00985FC7" w:rsidP="00697C1D">
            <w:pPr>
              <w:pStyle w:val="Tabletext"/>
              <w:spacing w:before="0" w:after="0"/>
              <w:rPr>
                <w:rFonts w:cstheme="minorHAnsi"/>
              </w:rPr>
            </w:pPr>
          </w:p>
        </w:tc>
      </w:tr>
      <w:tr w:rsidR="00501E99" w:rsidRPr="00747E35" w14:paraId="121F0ECD" w14:textId="77777777" w:rsidTr="00697C1D">
        <w:trPr>
          <w:trHeight w:val="20"/>
        </w:trPr>
        <w:tc>
          <w:tcPr>
            <w:tcW w:w="1379" w:type="dxa"/>
            <w:vMerge/>
            <w:tcMar>
              <w:left w:w="57" w:type="dxa"/>
              <w:right w:w="57" w:type="dxa"/>
            </w:tcMar>
          </w:tcPr>
          <w:p w14:paraId="4239F1FF" w14:textId="77777777" w:rsidR="00501E99" w:rsidRPr="00747E35" w:rsidRDefault="00501E99" w:rsidP="00501E99">
            <w:pPr>
              <w:pStyle w:val="Tabletext"/>
              <w:spacing w:before="0" w:after="0"/>
              <w:rPr>
                <w:rFonts w:cstheme="minorHAnsi"/>
              </w:rPr>
            </w:pPr>
          </w:p>
        </w:tc>
        <w:tc>
          <w:tcPr>
            <w:tcW w:w="1950" w:type="dxa"/>
            <w:tcMar>
              <w:left w:w="57" w:type="dxa"/>
              <w:right w:w="57" w:type="dxa"/>
            </w:tcMar>
          </w:tcPr>
          <w:p w14:paraId="4405A352" w14:textId="77777777" w:rsidR="00501E99" w:rsidRPr="00747E35" w:rsidRDefault="00501E99" w:rsidP="00501E99">
            <w:pPr>
              <w:pStyle w:val="Tabletext"/>
              <w:spacing w:before="0" w:after="0"/>
              <w:rPr>
                <w:rFonts w:cstheme="minorHAnsi"/>
              </w:rPr>
            </w:pPr>
            <w:r w:rsidRPr="00747E35">
              <w:rPr>
                <w:rFonts w:cstheme="minorHAnsi"/>
              </w:rPr>
              <w:t>Lake Eyre (</w:t>
            </w:r>
            <w:r w:rsidRPr="00747E35">
              <w:rPr>
                <w:rFonts w:cstheme="minorHAnsi"/>
                <w:i/>
                <w:iCs/>
              </w:rPr>
              <w:t>Cherax sp.</w:t>
            </w:r>
            <w:r w:rsidRPr="00747E35">
              <w:rPr>
                <w:rFonts w:cstheme="minorHAnsi"/>
              </w:rPr>
              <w:t>)</w:t>
            </w:r>
          </w:p>
        </w:tc>
        <w:tc>
          <w:tcPr>
            <w:tcW w:w="1405" w:type="dxa"/>
            <w:tcMar>
              <w:left w:w="57" w:type="dxa"/>
              <w:right w:w="57" w:type="dxa"/>
            </w:tcMar>
          </w:tcPr>
          <w:p w14:paraId="275758E8" w14:textId="77777777" w:rsidR="00501E99" w:rsidRPr="00747E35" w:rsidRDefault="00501E99" w:rsidP="00501E99">
            <w:pPr>
              <w:pStyle w:val="Tabletext"/>
              <w:spacing w:before="0" w:after="0"/>
              <w:rPr>
                <w:rFonts w:cstheme="minorHAnsi"/>
              </w:rPr>
            </w:pPr>
            <w:r w:rsidRPr="00747E35">
              <w:rPr>
                <w:rFonts w:cstheme="minorHAnsi"/>
              </w:rPr>
              <w:t>Sokol 1987</w:t>
            </w:r>
          </w:p>
        </w:tc>
        <w:tc>
          <w:tcPr>
            <w:tcW w:w="4764" w:type="dxa"/>
            <w:tcMar>
              <w:left w:w="57" w:type="dxa"/>
              <w:right w:w="57" w:type="dxa"/>
            </w:tcMar>
          </w:tcPr>
          <w:p w14:paraId="5CFA8722" w14:textId="0D6F49B2" w:rsidR="00501E99" w:rsidRPr="00747E35" w:rsidRDefault="00501E99" w:rsidP="00501E99">
            <w:pPr>
              <w:pStyle w:val="Tabletext"/>
              <w:spacing w:before="0" w:after="0"/>
              <w:rPr>
                <w:rFonts w:cstheme="minorHAnsi"/>
              </w:rPr>
            </w:pPr>
            <w:r w:rsidRPr="00C912EB">
              <w:t xml:space="preserve">Yabbies from Dalhousie have a different morphology </w:t>
            </w:r>
            <w:r>
              <w:t>from</w:t>
            </w:r>
            <w:r w:rsidRPr="00C912EB">
              <w:t xml:space="preserve"> </w:t>
            </w:r>
            <w:r w:rsidRPr="008103D7">
              <w:rPr>
                <w:i/>
              </w:rPr>
              <w:t>Cherax destructor</w:t>
            </w:r>
            <w:r w:rsidRPr="00C912EB">
              <w:t xml:space="preserve"> (a broadly distributed arid</w:t>
            </w:r>
            <w:r>
              <w:t>-</w:t>
            </w:r>
            <w:r w:rsidRPr="00C912EB">
              <w:t xml:space="preserve">zone species) and </w:t>
            </w:r>
            <w:r>
              <w:t>resemble</w:t>
            </w:r>
            <w:r w:rsidRPr="00C912EB">
              <w:t xml:space="preserve"> a more ancestral form.  However</w:t>
            </w:r>
            <w:r>
              <w:t xml:space="preserve">, </w:t>
            </w:r>
            <w:r w:rsidRPr="00C912EB">
              <w:t xml:space="preserve">Sokol </w:t>
            </w:r>
            <w:r>
              <w:t>(</w:t>
            </w:r>
            <w:r w:rsidRPr="00C912EB">
              <w:t xml:space="preserve">1987) </w:t>
            </w:r>
            <w:r>
              <w:t>was unsure whether</w:t>
            </w:r>
            <w:r w:rsidRPr="00C912EB">
              <w:t xml:space="preserve"> this morphological difference was </w:t>
            </w:r>
            <w:r>
              <w:t>a response to</w:t>
            </w:r>
            <w:r w:rsidRPr="00C912EB">
              <w:t xml:space="preserve"> the extreme environment</w:t>
            </w:r>
            <w:r>
              <w:t xml:space="preserve"> (i.e. morphological plasticity within</w:t>
            </w:r>
            <w:r w:rsidRPr="008103D7">
              <w:rPr>
                <w:i/>
              </w:rPr>
              <w:t xml:space="preserve"> </w:t>
            </w:r>
            <w:r>
              <w:rPr>
                <w:i/>
              </w:rPr>
              <w:t>C.</w:t>
            </w:r>
            <w:r w:rsidRPr="008103D7">
              <w:rPr>
                <w:i/>
              </w:rPr>
              <w:t xml:space="preserve"> destructor</w:t>
            </w:r>
            <w:r>
              <w:t>)</w:t>
            </w:r>
            <w:r w:rsidRPr="00C912EB">
              <w:t xml:space="preserve">.  Rossini has observed </w:t>
            </w:r>
            <w:r w:rsidRPr="00907B34">
              <w:rPr>
                <w:i/>
              </w:rPr>
              <w:t>Cherax</w:t>
            </w:r>
            <w:r>
              <w:t xml:space="preserve"> at Edgbaston </w:t>
            </w:r>
            <w:r w:rsidRPr="00C912EB">
              <w:t xml:space="preserve">but these have not been analysed in any way.  </w:t>
            </w:r>
            <w:r w:rsidRPr="00907B34">
              <w:rPr>
                <w:i/>
              </w:rPr>
              <w:t>Cherax</w:t>
            </w:r>
            <w:r w:rsidRPr="00C912EB">
              <w:t xml:space="preserve"> yabbies from springs were excluded due to </w:t>
            </w:r>
            <w:r>
              <w:t>the uncertainty in Sokol’s (1987)</w:t>
            </w:r>
            <w:r w:rsidRPr="00C912EB">
              <w:t xml:space="preserve"> analysis and a lack of any other data regarding the group.</w:t>
            </w:r>
          </w:p>
        </w:tc>
      </w:tr>
      <w:tr w:rsidR="00985FC7" w:rsidRPr="00747E35" w14:paraId="6429C261" w14:textId="77777777" w:rsidTr="00697C1D">
        <w:trPr>
          <w:trHeight w:val="20"/>
        </w:trPr>
        <w:tc>
          <w:tcPr>
            <w:tcW w:w="1379" w:type="dxa"/>
            <w:vMerge/>
            <w:tcBorders>
              <w:bottom w:val="single" w:sz="4" w:space="0" w:color="auto"/>
            </w:tcBorders>
            <w:tcMar>
              <w:left w:w="57" w:type="dxa"/>
              <w:right w:w="57" w:type="dxa"/>
            </w:tcMar>
          </w:tcPr>
          <w:p w14:paraId="4C879415" w14:textId="77777777" w:rsidR="00985FC7" w:rsidRPr="00747E35" w:rsidRDefault="00985FC7" w:rsidP="00697C1D">
            <w:pPr>
              <w:pStyle w:val="Tabletext"/>
              <w:spacing w:before="0" w:after="0"/>
              <w:rPr>
                <w:rFonts w:cstheme="minorHAnsi"/>
              </w:rPr>
            </w:pPr>
          </w:p>
        </w:tc>
        <w:tc>
          <w:tcPr>
            <w:tcW w:w="1950" w:type="dxa"/>
            <w:tcBorders>
              <w:bottom w:val="single" w:sz="4" w:space="0" w:color="auto"/>
            </w:tcBorders>
            <w:tcMar>
              <w:left w:w="57" w:type="dxa"/>
              <w:right w:w="57" w:type="dxa"/>
            </w:tcMar>
          </w:tcPr>
          <w:p w14:paraId="0848B9A8" w14:textId="77777777" w:rsidR="00985FC7" w:rsidRPr="00747E35" w:rsidRDefault="00985FC7" w:rsidP="00697C1D">
            <w:pPr>
              <w:pStyle w:val="Tabletext"/>
              <w:spacing w:before="0" w:after="0"/>
              <w:rPr>
                <w:rFonts w:cstheme="minorHAnsi"/>
              </w:rPr>
            </w:pPr>
            <w:r w:rsidRPr="00747E35">
              <w:rPr>
                <w:rFonts w:cstheme="minorHAnsi"/>
              </w:rPr>
              <w:t>Barcaldine (</w:t>
            </w:r>
            <w:r w:rsidRPr="00747E35">
              <w:rPr>
                <w:rFonts w:cstheme="minorHAnsi"/>
                <w:i/>
                <w:iCs/>
              </w:rPr>
              <w:t xml:space="preserve">Cherax </w:t>
            </w:r>
            <w:r w:rsidRPr="00747E35">
              <w:rPr>
                <w:rFonts w:cstheme="minorHAnsi"/>
              </w:rPr>
              <w:t>sp.)</w:t>
            </w:r>
          </w:p>
        </w:tc>
        <w:tc>
          <w:tcPr>
            <w:tcW w:w="1405" w:type="dxa"/>
            <w:tcBorders>
              <w:bottom w:val="single" w:sz="4" w:space="0" w:color="auto"/>
            </w:tcBorders>
            <w:tcMar>
              <w:left w:w="57" w:type="dxa"/>
              <w:right w:w="57" w:type="dxa"/>
            </w:tcMar>
          </w:tcPr>
          <w:p w14:paraId="69071535" w14:textId="77777777" w:rsidR="00985FC7" w:rsidRPr="00747E35" w:rsidRDefault="00985FC7" w:rsidP="00697C1D">
            <w:pPr>
              <w:pStyle w:val="Tabletext"/>
              <w:spacing w:before="0" w:after="0"/>
              <w:rPr>
                <w:rFonts w:cstheme="minorHAnsi"/>
              </w:rPr>
            </w:pPr>
            <w:r w:rsidRPr="00747E35">
              <w:rPr>
                <w:rFonts w:cstheme="minorHAnsi"/>
              </w:rPr>
              <w:t>Rossini pers. obs.</w:t>
            </w:r>
          </w:p>
        </w:tc>
        <w:tc>
          <w:tcPr>
            <w:tcW w:w="4764" w:type="dxa"/>
            <w:tcBorders>
              <w:bottom w:val="single" w:sz="4" w:space="0" w:color="auto"/>
            </w:tcBorders>
            <w:tcMar>
              <w:left w:w="57" w:type="dxa"/>
              <w:right w:w="57" w:type="dxa"/>
            </w:tcMar>
            <w:vAlign w:val="center"/>
          </w:tcPr>
          <w:p w14:paraId="4FC56E6A" w14:textId="77777777" w:rsidR="00985FC7" w:rsidRPr="00747E35" w:rsidRDefault="00985FC7" w:rsidP="00697C1D">
            <w:pPr>
              <w:pStyle w:val="Tabletext"/>
              <w:spacing w:before="0" w:after="0"/>
              <w:rPr>
                <w:rFonts w:cstheme="minorHAnsi"/>
              </w:rPr>
            </w:pPr>
          </w:p>
        </w:tc>
      </w:tr>
    </w:tbl>
    <w:p w14:paraId="1F4EC90E" w14:textId="140ACC61" w:rsidR="00BD7673" w:rsidRDefault="00BD7673" w:rsidP="00985FC7">
      <w:pPr>
        <w:rPr>
          <w:rFonts w:asciiTheme="minorHAnsi" w:hAnsiTheme="minorHAnsi" w:cstheme="minorHAnsi"/>
        </w:rPr>
      </w:pPr>
    </w:p>
    <w:p w14:paraId="7D4F6021" w14:textId="77777777" w:rsidR="00BD7673" w:rsidRDefault="00BD7673">
      <w:pPr>
        <w:autoSpaceDE/>
        <w:autoSpaceDN/>
        <w:spacing w:after="160" w:line="259" w:lineRule="auto"/>
        <w:rPr>
          <w:rFonts w:asciiTheme="minorHAnsi" w:hAnsiTheme="minorHAnsi" w:cstheme="minorHAnsi"/>
        </w:rPr>
      </w:pPr>
      <w:r>
        <w:rPr>
          <w:rFonts w:asciiTheme="minorHAnsi" w:hAnsiTheme="minorHAnsi" w:cstheme="minorHAnsi"/>
        </w:rPr>
        <w:br w:type="page"/>
      </w:r>
    </w:p>
    <w:tbl>
      <w:tblPr>
        <w:tblpPr w:leftFromText="181" w:rightFromText="181" w:vertAnchor="text" w:horzAnchor="page" w:tblpX="1135" w:tblpY="1"/>
        <w:tblW w:w="9498" w:type="dxa"/>
        <w:tblLook w:val="04A0" w:firstRow="1" w:lastRow="0" w:firstColumn="1" w:lastColumn="0" w:noHBand="0" w:noVBand="1"/>
      </w:tblPr>
      <w:tblGrid>
        <w:gridCol w:w="1379"/>
        <w:gridCol w:w="1950"/>
        <w:gridCol w:w="1405"/>
        <w:gridCol w:w="4764"/>
      </w:tblGrid>
      <w:tr w:rsidR="00BD7673" w:rsidRPr="00BD7673" w14:paraId="08CFAB21" w14:textId="77777777" w:rsidTr="0071418B">
        <w:trPr>
          <w:trHeight w:val="20"/>
          <w:tblHeader/>
        </w:trPr>
        <w:tc>
          <w:tcPr>
            <w:tcW w:w="1379" w:type="dxa"/>
            <w:tcBorders>
              <w:top w:val="single" w:sz="4" w:space="0" w:color="auto"/>
              <w:bottom w:val="single" w:sz="4" w:space="0" w:color="auto"/>
            </w:tcBorders>
            <w:shd w:val="clear" w:color="auto" w:fill="DEEAF6" w:themeFill="accent1" w:themeFillTint="33"/>
            <w:tcMar>
              <w:left w:w="57" w:type="dxa"/>
              <w:right w:w="57" w:type="dxa"/>
            </w:tcMar>
            <w:vAlign w:val="center"/>
          </w:tcPr>
          <w:p w14:paraId="02ED7CB1" w14:textId="137490DE" w:rsidR="00BD7673" w:rsidRPr="00BD7673" w:rsidRDefault="00BD7673" w:rsidP="00BD7673">
            <w:pPr>
              <w:adjustRightInd w:val="0"/>
              <w:spacing w:after="0"/>
              <w:rPr>
                <w:rFonts w:ascii="Calibri" w:eastAsia="Calibri" w:hAnsi="Calibri" w:cs="Calibri"/>
                <w:b/>
                <w:sz w:val="20"/>
                <w:szCs w:val="20"/>
                <w:lang w:eastAsia="en-US"/>
              </w:rPr>
            </w:pPr>
            <w:r w:rsidRPr="00BD7673">
              <w:rPr>
                <w:rFonts w:ascii="Calibri" w:hAnsi="Calibri" w:cstheme="minorHAnsi"/>
                <w:b/>
                <w:sz w:val="20"/>
                <w:szCs w:val="20"/>
              </w:rPr>
              <w:lastRenderedPageBreak/>
              <w:t>Taxonomic group</w:t>
            </w:r>
          </w:p>
        </w:tc>
        <w:tc>
          <w:tcPr>
            <w:tcW w:w="1950" w:type="dxa"/>
            <w:tcBorders>
              <w:top w:val="single" w:sz="4" w:space="0" w:color="auto"/>
              <w:bottom w:val="single" w:sz="4" w:space="0" w:color="auto"/>
            </w:tcBorders>
            <w:shd w:val="clear" w:color="auto" w:fill="DEEAF6" w:themeFill="accent1" w:themeFillTint="33"/>
            <w:tcMar>
              <w:left w:w="57" w:type="dxa"/>
              <w:right w:w="57" w:type="dxa"/>
            </w:tcMar>
            <w:vAlign w:val="center"/>
          </w:tcPr>
          <w:p w14:paraId="6BD53AD6" w14:textId="79E64918" w:rsidR="00BD7673" w:rsidRPr="00BD7673" w:rsidRDefault="00BD7673" w:rsidP="00BD7673">
            <w:pPr>
              <w:adjustRightInd w:val="0"/>
              <w:spacing w:after="0"/>
              <w:rPr>
                <w:rFonts w:ascii="Calibri" w:eastAsia="Calibri" w:hAnsi="Calibri" w:cs="Calibri"/>
                <w:b/>
                <w:sz w:val="20"/>
                <w:szCs w:val="20"/>
                <w:lang w:eastAsia="en-US"/>
              </w:rPr>
            </w:pPr>
            <w:r w:rsidRPr="00BD7673">
              <w:rPr>
                <w:rFonts w:ascii="Calibri" w:hAnsi="Calibri" w:cstheme="minorHAnsi"/>
                <w:b/>
                <w:sz w:val="20"/>
                <w:szCs w:val="20"/>
              </w:rPr>
              <w:t>Location (spring supergroup) and species</w:t>
            </w:r>
          </w:p>
        </w:tc>
        <w:tc>
          <w:tcPr>
            <w:tcW w:w="1405" w:type="dxa"/>
            <w:tcBorders>
              <w:top w:val="single" w:sz="4" w:space="0" w:color="auto"/>
              <w:bottom w:val="single" w:sz="4" w:space="0" w:color="auto"/>
            </w:tcBorders>
            <w:shd w:val="clear" w:color="auto" w:fill="DEEAF6" w:themeFill="accent1" w:themeFillTint="33"/>
            <w:tcMar>
              <w:left w:w="57" w:type="dxa"/>
              <w:right w:w="57" w:type="dxa"/>
            </w:tcMar>
            <w:vAlign w:val="center"/>
          </w:tcPr>
          <w:p w14:paraId="6E3F07D9" w14:textId="128F239E" w:rsidR="00BD7673" w:rsidRPr="00BD7673" w:rsidRDefault="00BD7673" w:rsidP="00BD7673">
            <w:pPr>
              <w:adjustRightInd w:val="0"/>
              <w:spacing w:after="0"/>
              <w:rPr>
                <w:rFonts w:ascii="Calibri" w:eastAsia="Calibri" w:hAnsi="Calibri" w:cs="Calibri"/>
                <w:b/>
                <w:sz w:val="20"/>
                <w:szCs w:val="20"/>
                <w:lang w:eastAsia="en-US"/>
              </w:rPr>
            </w:pPr>
            <w:r w:rsidRPr="00BD7673">
              <w:rPr>
                <w:rFonts w:ascii="Calibri" w:hAnsi="Calibri" w:cstheme="minorHAnsi"/>
                <w:b/>
                <w:sz w:val="20"/>
                <w:szCs w:val="20"/>
              </w:rPr>
              <w:t>Source</w:t>
            </w:r>
          </w:p>
        </w:tc>
        <w:tc>
          <w:tcPr>
            <w:tcW w:w="4764" w:type="dxa"/>
            <w:tcBorders>
              <w:top w:val="single" w:sz="4" w:space="0" w:color="auto"/>
              <w:bottom w:val="single" w:sz="4" w:space="0" w:color="auto"/>
            </w:tcBorders>
            <w:shd w:val="clear" w:color="auto" w:fill="DEEAF6" w:themeFill="accent1" w:themeFillTint="33"/>
            <w:tcMar>
              <w:left w:w="57" w:type="dxa"/>
              <w:right w:w="57" w:type="dxa"/>
            </w:tcMar>
            <w:vAlign w:val="center"/>
          </w:tcPr>
          <w:p w14:paraId="031CF42A" w14:textId="18562EA8" w:rsidR="00BD7673" w:rsidRPr="00BD7673" w:rsidRDefault="00BD7673" w:rsidP="00BD7673">
            <w:pPr>
              <w:adjustRightInd w:val="0"/>
              <w:spacing w:after="0"/>
              <w:rPr>
                <w:rFonts w:ascii="Calibri" w:eastAsia="Calibri" w:hAnsi="Calibri" w:cs="Calibri"/>
                <w:b/>
                <w:sz w:val="20"/>
                <w:szCs w:val="20"/>
                <w:lang w:eastAsia="en-US"/>
              </w:rPr>
            </w:pPr>
            <w:r w:rsidRPr="00BD7673">
              <w:rPr>
                <w:rFonts w:ascii="Calibri" w:hAnsi="Calibri" w:cstheme="minorHAnsi"/>
                <w:b/>
                <w:sz w:val="20"/>
                <w:szCs w:val="20"/>
              </w:rPr>
              <w:t>Summary and justification for exclusion from the review</w:t>
            </w:r>
          </w:p>
        </w:tc>
      </w:tr>
      <w:tr w:rsidR="00BD7673" w:rsidRPr="00BD7673" w14:paraId="226CDC70" w14:textId="77777777" w:rsidTr="00B004E4">
        <w:trPr>
          <w:trHeight w:val="20"/>
        </w:trPr>
        <w:tc>
          <w:tcPr>
            <w:tcW w:w="1379" w:type="dxa"/>
            <w:tcBorders>
              <w:top w:val="single" w:sz="4" w:space="0" w:color="auto"/>
              <w:bottom w:val="single" w:sz="4" w:space="0" w:color="auto"/>
            </w:tcBorders>
            <w:tcMar>
              <w:left w:w="57" w:type="dxa"/>
              <w:right w:w="57" w:type="dxa"/>
            </w:tcMar>
          </w:tcPr>
          <w:p w14:paraId="73CF445D"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Micro-crustaceans</w:t>
            </w:r>
          </w:p>
        </w:tc>
        <w:tc>
          <w:tcPr>
            <w:tcW w:w="1950" w:type="dxa"/>
            <w:tcBorders>
              <w:top w:val="single" w:sz="4" w:space="0" w:color="auto"/>
              <w:bottom w:val="single" w:sz="4" w:space="0" w:color="auto"/>
            </w:tcBorders>
            <w:tcMar>
              <w:left w:w="57" w:type="dxa"/>
              <w:right w:w="57" w:type="dxa"/>
            </w:tcMar>
          </w:tcPr>
          <w:p w14:paraId="717EA230" w14:textId="77777777" w:rsidR="00BD7673" w:rsidRPr="00BD7673" w:rsidRDefault="00BD7673" w:rsidP="00BD7673">
            <w:pPr>
              <w:adjustRightInd w:val="0"/>
              <w:spacing w:after="0"/>
              <w:rPr>
                <w:rFonts w:ascii="Calibri" w:eastAsia="Calibri" w:hAnsi="Calibri" w:cs="Calibri"/>
                <w:sz w:val="18"/>
                <w:szCs w:val="24"/>
                <w:lang w:eastAsia="en-US"/>
              </w:rPr>
            </w:pPr>
          </w:p>
        </w:tc>
        <w:tc>
          <w:tcPr>
            <w:tcW w:w="1405" w:type="dxa"/>
            <w:tcBorders>
              <w:top w:val="single" w:sz="4" w:space="0" w:color="auto"/>
              <w:bottom w:val="single" w:sz="4" w:space="0" w:color="auto"/>
            </w:tcBorders>
            <w:tcMar>
              <w:left w:w="57" w:type="dxa"/>
              <w:right w:w="57" w:type="dxa"/>
            </w:tcMar>
          </w:tcPr>
          <w:p w14:paraId="2220F5C3" w14:textId="77777777" w:rsidR="00BD7673" w:rsidRPr="00BD7673" w:rsidRDefault="00BD7673" w:rsidP="00BD7673">
            <w:pPr>
              <w:adjustRightInd w:val="0"/>
              <w:spacing w:after="0"/>
              <w:rPr>
                <w:rFonts w:ascii="Calibri" w:eastAsia="Calibri" w:hAnsi="Calibri" w:cs="Calibri"/>
                <w:sz w:val="18"/>
                <w:szCs w:val="24"/>
                <w:lang w:eastAsia="en-US"/>
              </w:rPr>
            </w:pPr>
          </w:p>
        </w:tc>
        <w:tc>
          <w:tcPr>
            <w:tcW w:w="4764" w:type="dxa"/>
            <w:tcBorders>
              <w:top w:val="single" w:sz="4" w:space="0" w:color="auto"/>
              <w:bottom w:val="single" w:sz="4" w:space="0" w:color="auto"/>
            </w:tcBorders>
            <w:tcMar>
              <w:left w:w="57" w:type="dxa"/>
              <w:right w:w="57" w:type="dxa"/>
            </w:tcMar>
          </w:tcPr>
          <w:p w14:paraId="65810A16" w14:textId="77777777" w:rsidR="00BD7673" w:rsidRPr="00BD7673" w:rsidRDefault="00BD7673" w:rsidP="00BD7673">
            <w:pPr>
              <w:adjustRightInd w:val="0"/>
              <w:spacing w:after="0"/>
              <w:rPr>
                <w:rFonts w:ascii="Calibri" w:eastAsia="Calibri" w:hAnsi="Calibri" w:cs="Calibri"/>
                <w:sz w:val="18"/>
                <w:szCs w:val="24"/>
                <w:lang w:eastAsia="en-US"/>
              </w:rPr>
            </w:pPr>
          </w:p>
        </w:tc>
      </w:tr>
      <w:tr w:rsidR="00BD7673" w:rsidRPr="00BD7673" w14:paraId="4C714078" w14:textId="77777777" w:rsidTr="00B004E4">
        <w:trPr>
          <w:trHeight w:val="20"/>
        </w:trPr>
        <w:tc>
          <w:tcPr>
            <w:tcW w:w="1379" w:type="dxa"/>
            <w:vMerge w:val="restart"/>
            <w:tcBorders>
              <w:top w:val="single" w:sz="4" w:space="0" w:color="auto"/>
            </w:tcBorders>
            <w:tcMar>
              <w:left w:w="57" w:type="dxa"/>
              <w:right w:w="57" w:type="dxa"/>
            </w:tcMar>
          </w:tcPr>
          <w:p w14:paraId="4551847C"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Ostracods</w:t>
            </w:r>
          </w:p>
        </w:tc>
        <w:tc>
          <w:tcPr>
            <w:tcW w:w="1950" w:type="dxa"/>
            <w:tcBorders>
              <w:top w:val="single" w:sz="4" w:space="0" w:color="auto"/>
            </w:tcBorders>
            <w:tcMar>
              <w:left w:w="57" w:type="dxa"/>
              <w:right w:w="57" w:type="dxa"/>
            </w:tcMar>
          </w:tcPr>
          <w:p w14:paraId="6354740B"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Lake Eyre</w:t>
            </w:r>
            <w:r w:rsidRPr="00BD7673">
              <w:rPr>
                <w:rFonts w:ascii="Calibri" w:eastAsia="Calibri" w:hAnsi="Calibri" w:cs="Calibri"/>
                <w:i/>
                <w:iCs/>
                <w:sz w:val="18"/>
                <w:szCs w:val="24"/>
                <w:lang w:eastAsia="en-US"/>
              </w:rPr>
              <w:t xml:space="preserve"> (Ngarawa dirga) </w:t>
            </w:r>
            <w:r w:rsidRPr="00BD7673">
              <w:rPr>
                <w:rFonts w:ascii="Calibri" w:eastAsia="Calibri" w:hAnsi="Calibri" w:cs="Calibri"/>
                <w:sz w:val="18"/>
                <w:szCs w:val="24"/>
                <w:lang w:eastAsia="en-US"/>
              </w:rPr>
              <w:t>and others</w:t>
            </w:r>
          </w:p>
        </w:tc>
        <w:tc>
          <w:tcPr>
            <w:tcW w:w="1405" w:type="dxa"/>
            <w:tcBorders>
              <w:top w:val="single" w:sz="4" w:space="0" w:color="auto"/>
            </w:tcBorders>
            <w:tcMar>
              <w:left w:w="57" w:type="dxa"/>
              <w:right w:w="57" w:type="dxa"/>
            </w:tcMar>
          </w:tcPr>
          <w:p w14:paraId="39F4B286"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De Deckker 1979</w:t>
            </w:r>
          </w:p>
        </w:tc>
        <w:tc>
          <w:tcPr>
            <w:tcW w:w="4764" w:type="dxa"/>
            <w:tcBorders>
              <w:top w:val="single" w:sz="4" w:space="0" w:color="auto"/>
            </w:tcBorders>
            <w:tcMar>
              <w:left w:w="57" w:type="dxa"/>
              <w:right w:w="57" w:type="dxa"/>
            </w:tcMar>
          </w:tcPr>
          <w:p w14:paraId="7B718110"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Only</w:t>
            </w:r>
            <w:r w:rsidRPr="00BD7673">
              <w:rPr>
                <w:rFonts w:ascii="Calibri" w:eastAsia="Calibri" w:hAnsi="Calibri" w:cs="Arial"/>
                <w:sz w:val="18"/>
                <w:szCs w:val="24"/>
                <w:lang w:eastAsia="en-US"/>
              </w:rPr>
              <w:t xml:space="preserve"> one species of endemic ostracod has been described (De Deckker 1979), but experts have flagged putative endemic species from better-known complexes, some of which may be from new genera or families (Ponder et al. 2010).  Unfortunately, due to the high proportion of undescribed species and biases in sampling toward a few complexes the ostracods have been excluded from this review.</w:t>
            </w:r>
          </w:p>
        </w:tc>
      </w:tr>
      <w:tr w:rsidR="00BD7673" w:rsidRPr="00BD7673" w14:paraId="4931E442" w14:textId="77777777" w:rsidTr="00B004E4">
        <w:trPr>
          <w:trHeight w:val="20"/>
        </w:trPr>
        <w:tc>
          <w:tcPr>
            <w:tcW w:w="1379" w:type="dxa"/>
            <w:vMerge/>
            <w:tcMar>
              <w:left w:w="57" w:type="dxa"/>
              <w:right w:w="57" w:type="dxa"/>
            </w:tcMar>
          </w:tcPr>
          <w:p w14:paraId="2FC30699" w14:textId="77777777" w:rsidR="00BD7673" w:rsidRPr="00BD7673" w:rsidRDefault="00BD7673" w:rsidP="00BD7673">
            <w:pPr>
              <w:adjustRightInd w:val="0"/>
              <w:spacing w:after="0"/>
              <w:rPr>
                <w:rFonts w:ascii="Calibri" w:eastAsia="Calibri" w:hAnsi="Calibri" w:cs="Calibri"/>
                <w:sz w:val="18"/>
                <w:szCs w:val="24"/>
                <w:lang w:eastAsia="en-US"/>
              </w:rPr>
            </w:pPr>
          </w:p>
        </w:tc>
        <w:tc>
          <w:tcPr>
            <w:tcW w:w="1950" w:type="dxa"/>
            <w:tcMar>
              <w:left w:w="57" w:type="dxa"/>
              <w:right w:w="57" w:type="dxa"/>
            </w:tcMar>
          </w:tcPr>
          <w:p w14:paraId="67E0EE9A"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Barcaldine (~ 2 species)</w:t>
            </w:r>
          </w:p>
        </w:tc>
        <w:tc>
          <w:tcPr>
            <w:tcW w:w="1405" w:type="dxa"/>
            <w:tcMar>
              <w:left w:w="57" w:type="dxa"/>
              <w:right w:w="57" w:type="dxa"/>
            </w:tcMar>
          </w:tcPr>
          <w:p w14:paraId="3B2E6DAD"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Ponder et al. 2010</w:t>
            </w:r>
          </w:p>
        </w:tc>
        <w:tc>
          <w:tcPr>
            <w:tcW w:w="4764" w:type="dxa"/>
            <w:tcMar>
              <w:left w:w="57" w:type="dxa"/>
              <w:right w:w="57" w:type="dxa"/>
            </w:tcMar>
            <w:vAlign w:val="center"/>
          </w:tcPr>
          <w:p w14:paraId="7F32569E" w14:textId="77777777" w:rsidR="00BD7673" w:rsidRPr="00BD7673" w:rsidRDefault="00BD7673" w:rsidP="00BD7673">
            <w:pPr>
              <w:adjustRightInd w:val="0"/>
              <w:spacing w:after="0"/>
              <w:rPr>
                <w:rFonts w:ascii="Calibri" w:eastAsia="Calibri" w:hAnsi="Calibri" w:cs="Calibri"/>
                <w:sz w:val="18"/>
                <w:szCs w:val="24"/>
                <w:lang w:eastAsia="en-US"/>
              </w:rPr>
            </w:pPr>
          </w:p>
        </w:tc>
      </w:tr>
      <w:tr w:rsidR="00BD7673" w:rsidRPr="00BD7673" w14:paraId="55BF651D" w14:textId="77777777" w:rsidTr="00B004E4">
        <w:trPr>
          <w:trHeight w:val="20"/>
        </w:trPr>
        <w:tc>
          <w:tcPr>
            <w:tcW w:w="1379" w:type="dxa"/>
            <w:vMerge/>
            <w:tcBorders>
              <w:bottom w:val="single" w:sz="4" w:space="0" w:color="auto"/>
            </w:tcBorders>
            <w:tcMar>
              <w:left w:w="57" w:type="dxa"/>
              <w:right w:w="57" w:type="dxa"/>
            </w:tcMar>
          </w:tcPr>
          <w:p w14:paraId="1A0E915E" w14:textId="77777777" w:rsidR="00BD7673" w:rsidRPr="00BD7673" w:rsidRDefault="00BD7673" w:rsidP="00BD7673">
            <w:pPr>
              <w:adjustRightInd w:val="0"/>
              <w:spacing w:after="0"/>
              <w:rPr>
                <w:rFonts w:ascii="Calibri" w:eastAsia="Calibri" w:hAnsi="Calibri" w:cs="Calibri"/>
                <w:sz w:val="18"/>
                <w:szCs w:val="24"/>
                <w:lang w:eastAsia="en-US"/>
              </w:rPr>
            </w:pPr>
          </w:p>
        </w:tc>
        <w:tc>
          <w:tcPr>
            <w:tcW w:w="1950" w:type="dxa"/>
            <w:tcBorders>
              <w:bottom w:val="single" w:sz="4" w:space="0" w:color="auto"/>
            </w:tcBorders>
            <w:tcMar>
              <w:left w:w="57" w:type="dxa"/>
              <w:right w:w="57" w:type="dxa"/>
            </w:tcMar>
          </w:tcPr>
          <w:p w14:paraId="3BEB9160"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Dalhousie</w:t>
            </w:r>
          </w:p>
        </w:tc>
        <w:tc>
          <w:tcPr>
            <w:tcW w:w="1405" w:type="dxa"/>
            <w:tcBorders>
              <w:bottom w:val="single" w:sz="4" w:space="0" w:color="auto"/>
            </w:tcBorders>
            <w:tcMar>
              <w:left w:w="57" w:type="dxa"/>
              <w:right w:w="57" w:type="dxa"/>
            </w:tcMar>
          </w:tcPr>
          <w:p w14:paraId="5734DBA0"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Ponder 1986</w:t>
            </w:r>
          </w:p>
        </w:tc>
        <w:tc>
          <w:tcPr>
            <w:tcW w:w="4764" w:type="dxa"/>
            <w:tcBorders>
              <w:bottom w:val="single" w:sz="4" w:space="0" w:color="auto"/>
            </w:tcBorders>
            <w:tcMar>
              <w:left w:w="57" w:type="dxa"/>
              <w:right w:w="57" w:type="dxa"/>
            </w:tcMar>
            <w:vAlign w:val="center"/>
          </w:tcPr>
          <w:p w14:paraId="21DA7B78" w14:textId="77777777" w:rsidR="00BD7673" w:rsidRPr="00BD7673" w:rsidRDefault="00BD7673" w:rsidP="00BD7673">
            <w:pPr>
              <w:adjustRightInd w:val="0"/>
              <w:spacing w:after="0"/>
              <w:rPr>
                <w:rFonts w:ascii="Calibri" w:eastAsia="Calibri" w:hAnsi="Calibri" w:cs="Calibri"/>
                <w:sz w:val="18"/>
                <w:szCs w:val="24"/>
                <w:lang w:eastAsia="en-US"/>
              </w:rPr>
            </w:pPr>
          </w:p>
        </w:tc>
      </w:tr>
      <w:tr w:rsidR="00BD7673" w:rsidRPr="00BD7673" w14:paraId="6069949D" w14:textId="77777777" w:rsidTr="00B004E4">
        <w:trPr>
          <w:trHeight w:val="20"/>
        </w:trPr>
        <w:tc>
          <w:tcPr>
            <w:tcW w:w="1379" w:type="dxa"/>
            <w:vMerge w:val="restart"/>
            <w:tcBorders>
              <w:top w:val="single" w:sz="4" w:space="0" w:color="auto"/>
            </w:tcBorders>
            <w:tcMar>
              <w:left w:w="57" w:type="dxa"/>
              <w:right w:w="57" w:type="dxa"/>
            </w:tcMar>
          </w:tcPr>
          <w:p w14:paraId="2A96DE0E"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Cladocerans &amp; Copepods</w:t>
            </w:r>
          </w:p>
        </w:tc>
        <w:tc>
          <w:tcPr>
            <w:tcW w:w="1950" w:type="dxa"/>
            <w:tcBorders>
              <w:top w:val="single" w:sz="4" w:space="0" w:color="auto"/>
            </w:tcBorders>
            <w:tcMar>
              <w:left w:w="57" w:type="dxa"/>
              <w:right w:w="57" w:type="dxa"/>
            </w:tcMar>
          </w:tcPr>
          <w:p w14:paraId="78D194BA"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Lake Eyre (one species of cladoceran)</w:t>
            </w:r>
          </w:p>
        </w:tc>
        <w:tc>
          <w:tcPr>
            <w:tcW w:w="1405" w:type="dxa"/>
            <w:tcBorders>
              <w:top w:val="single" w:sz="4" w:space="0" w:color="auto"/>
            </w:tcBorders>
            <w:tcMar>
              <w:left w:w="57" w:type="dxa"/>
              <w:right w:w="57" w:type="dxa"/>
            </w:tcMar>
          </w:tcPr>
          <w:p w14:paraId="1B439504"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Mitchell 1985</w:t>
            </w:r>
          </w:p>
        </w:tc>
        <w:tc>
          <w:tcPr>
            <w:tcW w:w="4764" w:type="dxa"/>
            <w:vMerge w:val="restart"/>
            <w:tcBorders>
              <w:top w:val="single" w:sz="4" w:space="0" w:color="auto"/>
            </w:tcBorders>
            <w:tcMar>
              <w:left w:w="57" w:type="dxa"/>
              <w:right w:w="57" w:type="dxa"/>
            </w:tcMar>
          </w:tcPr>
          <w:p w14:paraId="0AB86E3B"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Arial"/>
                <w:sz w:val="18"/>
                <w:szCs w:val="24"/>
                <w:lang w:eastAsia="en-US"/>
              </w:rPr>
              <w:t>Both of these extensive groups of fauna have been found in springs that have been sampled intensively.  Ponder et al. (2010) argue most species are probably not spring endemics but at least two taxa that have been flagged as putative endemics.  However, as this group are no doubt diverse and much more broadly distributed in springs other than Lake Eyre and Barcaldine they have been excluded pending further research.</w:t>
            </w:r>
          </w:p>
        </w:tc>
      </w:tr>
      <w:tr w:rsidR="00BD7673" w:rsidRPr="00BD7673" w14:paraId="422304FA" w14:textId="77777777" w:rsidTr="00B004E4">
        <w:trPr>
          <w:trHeight w:val="20"/>
        </w:trPr>
        <w:tc>
          <w:tcPr>
            <w:tcW w:w="1379" w:type="dxa"/>
            <w:vMerge/>
            <w:tcMar>
              <w:left w:w="57" w:type="dxa"/>
              <w:right w:w="57" w:type="dxa"/>
            </w:tcMar>
          </w:tcPr>
          <w:p w14:paraId="4D773A4E" w14:textId="77777777" w:rsidR="00BD7673" w:rsidRPr="00BD7673" w:rsidRDefault="00BD7673" w:rsidP="00BD7673">
            <w:pPr>
              <w:adjustRightInd w:val="0"/>
              <w:spacing w:after="0"/>
              <w:rPr>
                <w:rFonts w:ascii="Calibri" w:eastAsia="Calibri" w:hAnsi="Calibri" w:cs="Calibri"/>
                <w:sz w:val="18"/>
                <w:szCs w:val="24"/>
                <w:lang w:eastAsia="en-US"/>
              </w:rPr>
            </w:pPr>
          </w:p>
        </w:tc>
        <w:tc>
          <w:tcPr>
            <w:tcW w:w="1950" w:type="dxa"/>
            <w:tcMar>
              <w:left w:w="57" w:type="dxa"/>
              <w:right w:w="57" w:type="dxa"/>
            </w:tcMar>
          </w:tcPr>
          <w:p w14:paraId="7204920F"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Barcaldine (</w:t>
            </w:r>
            <w:r w:rsidRPr="00BD7673">
              <w:rPr>
                <w:rFonts w:ascii="Calibri" w:eastAsia="Calibri" w:hAnsi="Calibri" w:cs="Calibri"/>
                <w:i/>
                <w:iCs/>
                <w:sz w:val="18"/>
                <w:szCs w:val="24"/>
                <w:lang w:eastAsia="en-US"/>
              </w:rPr>
              <w:t xml:space="preserve">Paracyclops </w:t>
            </w:r>
            <w:r w:rsidRPr="00BD7673">
              <w:rPr>
                <w:rFonts w:ascii="Calibri" w:eastAsia="Calibri" w:hAnsi="Calibri" w:cs="Calibri"/>
                <w:sz w:val="18"/>
                <w:szCs w:val="24"/>
                <w:lang w:eastAsia="en-US"/>
              </w:rPr>
              <w:t>sp.)</w:t>
            </w:r>
          </w:p>
        </w:tc>
        <w:tc>
          <w:tcPr>
            <w:tcW w:w="1405" w:type="dxa"/>
            <w:tcMar>
              <w:left w:w="57" w:type="dxa"/>
              <w:right w:w="57" w:type="dxa"/>
            </w:tcMar>
          </w:tcPr>
          <w:p w14:paraId="34642D7B"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Ponder 1986</w:t>
            </w:r>
          </w:p>
        </w:tc>
        <w:tc>
          <w:tcPr>
            <w:tcW w:w="4764" w:type="dxa"/>
            <w:vMerge/>
            <w:tcMar>
              <w:left w:w="57" w:type="dxa"/>
              <w:right w:w="57" w:type="dxa"/>
            </w:tcMar>
            <w:vAlign w:val="center"/>
          </w:tcPr>
          <w:p w14:paraId="02318E0C" w14:textId="77777777" w:rsidR="00BD7673" w:rsidRPr="00BD7673" w:rsidRDefault="00BD7673" w:rsidP="00BD7673">
            <w:pPr>
              <w:adjustRightInd w:val="0"/>
              <w:spacing w:after="0"/>
              <w:rPr>
                <w:rFonts w:ascii="Calibri" w:eastAsia="Calibri" w:hAnsi="Calibri" w:cs="Calibri"/>
                <w:sz w:val="18"/>
                <w:szCs w:val="24"/>
                <w:lang w:eastAsia="en-US"/>
              </w:rPr>
            </w:pPr>
          </w:p>
        </w:tc>
      </w:tr>
      <w:tr w:rsidR="00BD7673" w:rsidRPr="00BD7673" w14:paraId="5BF7B46C" w14:textId="77777777" w:rsidTr="00B004E4">
        <w:trPr>
          <w:trHeight w:val="20"/>
        </w:trPr>
        <w:tc>
          <w:tcPr>
            <w:tcW w:w="1379" w:type="dxa"/>
            <w:vMerge/>
            <w:tcBorders>
              <w:bottom w:val="single" w:sz="4" w:space="0" w:color="auto"/>
            </w:tcBorders>
            <w:tcMar>
              <w:left w:w="57" w:type="dxa"/>
              <w:right w:w="57" w:type="dxa"/>
            </w:tcMar>
          </w:tcPr>
          <w:p w14:paraId="5482C184" w14:textId="77777777" w:rsidR="00BD7673" w:rsidRPr="00BD7673" w:rsidRDefault="00BD7673" w:rsidP="00BD7673">
            <w:pPr>
              <w:adjustRightInd w:val="0"/>
              <w:spacing w:after="0"/>
              <w:rPr>
                <w:rFonts w:ascii="Calibri" w:eastAsia="Calibri" w:hAnsi="Calibri" w:cs="Calibri"/>
                <w:sz w:val="18"/>
                <w:szCs w:val="24"/>
                <w:lang w:eastAsia="en-US"/>
              </w:rPr>
            </w:pPr>
          </w:p>
        </w:tc>
        <w:tc>
          <w:tcPr>
            <w:tcW w:w="1950" w:type="dxa"/>
            <w:tcBorders>
              <w:bottom w:val="single" w:sz="4" w:space="0" w:color="auto"/>
            </w:tcBorders>
            <w:tcMar>
              <w:left w:w="57" w:type="dxa"/>
              <w:right w:w="57" w:type="dxa"/>
            </w:tcMar>
          </w:tcPr>
          <w:p w14:paraId="3746B580"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Barcaldine (numerous cladocerans and copepods)</w:t>
            </w:r>
          </w:p>
        </w:tc>
        <w:tc>
          <w:tcPr>
            <w:tcW w:w="1405" w:type="dxa"/>
            <w:tcBorders>
              <w:bottom w:val="single" w:sz="4" w:space="0" w:color="auto"/>
            </w:tcBorders>
            <w:tcMar>
              <w:left w:w="57" w:type="dxa"/>
              <w:right w:w="57" w:type="dxa"/>
            </w:tcMar>
          </w:tcPr>
          <w:p w14:paraId="2EADD375"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Ponder et al. 2010</w:t>
            </w:r>
          </w:p>
        </w:tc>
        <w:tc>
          <w:tcPr>
            <w:tcW w:w="4764" w:type="dxa"/>
            <w:vMerge/>
            <w:tcBorders>
              <w:bottom w:val="single" w:sz="4" w:space="0" w:color="auto"/>
            </w:tcBorders>
            <w:tcMar>
              <w:left w:w="57" w:type="dxa"/>
              <w:right w:w="57" w:type="dxa"/>
            </w:tcMar>
            <w:vAlign w:val="center"/>
          </w:tcPr>
          <w:p w14:paraId="5D95EED1" w14:textId="77777777" w:rsidR="00BD7673" w:rsidRPr="00BD7673" w:rsidRDefault="00BD7673" w:rsidP="00BD7673">
            <w:pPr>
              <w:adjustRightInd w:val="0"/>
              <w:spacing w:after="0"/>
              <w:rPr>
                <w:rFonts w:ascii="Calibri" w:eastAsia="Calibri" w:hAnsi="Calibri" w:cs="Calibri"/>
                <w:sz w:val="18"/>
                <w:szCs w:val="24"/>
                <w:lang w:eastAsia="en-US"/>
              </w:rPr>
            </w:pPr>
          </w:p>
        </w:tc>
      </w:tr>
      <w:tr w:rsidR="00BD7673" w:rsidRPr="00BD7673" w14:paraId="7F17BB28" w14:textId="77777777" w:rsidTr="00B004E4">
        <w:trPr>
          <w:trHeight w:val="20"/>
        </w:trPr>
        <w:tc>
          <w:tcPr>
            <w:tcW w:w="1379" w:type="dxa"/>
            <w:tcBorders>
              <w:top w:val="single" w:sz="4" w:space="0" w:color="auto"/>
              <w:bottom w:val="single" w:sz="4" w:space="0" w:color="auto"/>
            </w:tcBorders>
            <w:tcMar>
              <w:left w:w="57" w:type="dxa"/>
              <w:right w:w="57" w:type="dxa"/>
            </w:tcMar>
          </w:tcPr>
          <w:p w14:paraId="48D16DAC"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Arachnids</w:t>
            </w:r>
          </w:p>
        </w:tc>
        <w:tc>
          <w:tcPr>
            <w:tcW w:w="1950" w:type="dxa"/>
            <w:tcBorders>
              <w:top w:val="single" w:sz="4" w:space="0" w:color="auto"/>
              <w:bottom w:val="single" w:sz="4" w:space="0" w:color="auto"/>
            </w:tcBorders>
            <w:tcMar>
              <w:left w:w="57" w:type="dxa"/>
              <w:right w:w="57" w:type="dxa"/>
            </w:tcMar>
          </w:tcPr>
          <w:p w14:paraId="2569428B" w14:textId="77777777" w:rsidR="00BD7673" w:rsidRPr="00BD7673" w:rsidRDefault="00BD7673" w:rsidP="00BD7673">
            <w:pPr>
              <w:adjustRightInd w:val="0"/>
              <w:spacing w:after="0"/>
              <w:rPr>
                <w:rFonts w:ascii="Calibri" w:eastAsia="Calibri" w:hAnsi="Calibri" w:cs="Calibri"/>
                <w:sz w:val="18"/>
                <w:szCs w:val="24"/>
                <w:lang w:eastAsia="en-US"/>
              </w:rPr>
            </w:pPr>
          </w:p>
        </w:tc>
        <w:tc>
          <w:tcPr>
            <w:tcW w:w="1405" w:type="dxa"/>
            <w:tcBorders>
              <w:top w:val="single" w:sz="4" w:space="0" w:color="auto"/>
              <w:bottom w:val="single" w:sz="4" w:space="0" w:color="auto"/>
            </w:tcBorders>
            <w:tcMar>
              <w:left w:w="57" w:type="dxa"/>
              <w:right w:w="57" w:type="dxa"/>
            </w:tcMar>
          </w:tcPr>
          <w:p w14:paraId="522A86EB" w14:textId="77777777" w:rsidR="00BD7673" w:rsidRPr="00BD7673" w:rsidRDefault="00BD7673" w:rsidP="00BD7673">
            <w:pPr>
              <w:adjustRightInd w:val="0"/>
              <w:spacing w:after="0"/>
              <w:rPr>
                <w:rFonts w:ascii="Calibri" w:eastAsia="Calibri" w:hAnsi="Calibri" w:cs="Calibri"/>
                <w:sz w:val="18"/>
                <w:szCs w:val="24"/>
                <w:lang w:eastAsia="en-US"/>
              </w:rPr>
            </w:pPr>
          </w:p>
        </w:tc>
        <w:tc>
          <w:tcPr>
            <w:tcW w:w="4764" w:type="dxa"/>
            <w:tcBorders>
              <w:top w:val="single" w:sz="4" w:space="0" w:color="auto"/>
              <w:bottom w:val="single" w:sz="4" w:space="0" w:color="auto"/>
            </w:tcBorders>
            <w:tcMar>
              <w:left w:w="57" w:type="dxa"/>
              <w:right w:w="57" w:type="dxa"/>
            </w:tcMar>
          </w:tcPr>
          <w:p w14:paraId="4486B698" w14:textId="77777777" w:rsidR="00BD7673" w:rsidRPr="00BD7673" w:rsidRDefault="00BD7673" w:rsidP="00BD7673">
            <w:pPr>
              <w:adjustRightInd w:val="0"/>
              <w:spacing w:after="0"/>
              <w:rPr>
                <w:rFonts w:ascii="Calibri" w:eastAsia="Calibri" w:hAnsi="Calibri" w:cs="Calibri"/>
                <w:sz w:val="18"/>
                <w:szCs w:val="24"/>
                <w:lang w:eastAsia="en-US"/>
              </w:rPr>
            </w:pPr>
          </w:p>
        </w:tc>
      </w:tr>
      <w:tr w:rsidR="00BD7673" w:rsidRPr="00BD7673" w14:paraId="73ABE329" w14:textId="77777777" w:rsidTr="00B004E4">
        <w:trPr>
          <w:trHeight w:val="20"/>
        </w:trPr>
        <w:tc>
          <w:tcPr>
            <w:tcW w:w="1379" w:type="dxa"/>
            <w:vMerge w:val="restart"/>
            <w:tcBorders>
              <w:top w:val="single" w:sz="4" w:space="0" w:color="auto"/>
            </w:tcBorders>
            <w:tcMar>
              <w:left w:w="57" w:type="dxa"/>
              <w:right w:w="57" w:type="dxa"/>
            </w:tcMar>
          </w:tcPr>
          <w:p w14:paraId="4C73FAD8"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Spiders</w:t>
            </w:r>
          </w:p>
        </w:tc>
        <w:tc>
          <w:tcPr>
            <w:tcW w:w="1950" w:type="dxa"/>
            <w:tcBorders>
              <w:top w:val="single" w:sz="4" w:space="0" w:color="auto"/>
            </w:tcBorders>
            <w:tcMar>
              <w:left w:w="57" w:type="dxa"/>
              <w:right w:w="57" w:type="dxa"/>
            </w:tcMar>
          </w:tcPr>
          <w:p w14:paraId="186B207D"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Lake Eyre (9 species)</w:t>
            </w:r>
          </w:p>
        </w:tc>
        <w:tc>
          <w:tcPr>
            <w:tcW w:w="1405" w:type="dxa"/>
            <w:tcBorders>
              <w:top w:val="single" w:sz="4" w:space="0" w:color="auto"/>
            </w:tcBorders>
            <w:tcMar>
              <w:left w:w="57" w:type="dxa"/>
              <w:right w:w="57" w:type="dxa"/>
            </w:tcMar>
          </w:tcPr>
          <w:p w14:paraId="60CA2417"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Framenau et al. 2006</w:t>
            </w:r>
          </w:p>
        </w:tc>
        <w:tc>
          <w:tcPr>
            <w:tcW w:w="4764" w:type="dxa"/>
            <w:vMerge w:val="restart"/>
            <w:tcBorders>
              <w:top w:val="single" w:sz="4" w:space="0" w:color="auto"/>
            </w:tcBorders>
            <w:tcMar>
              <w:left w:w="57" w:type="dxa"/>
              <w:right w:w="57" w:type="dxa"/>
            </w:tcMar>
          </w:tcPr>
          <w:p w14:paraId="45D7678A"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Arial"/>
                <w:sz w:val="18"/>
                <w:szCs w:val="24"/>
                <w:lang w:eastAsia="en-US"/>
              </w:rPr>
              <w:t>The diversity of wolf spiders in springs can be quite high (Framenau et al. 2006) but no thorough surveys have been published outside of Lake Eyre.  Species described from Lake Eyre are stated to occur in wetland types other than springs so the spiders have been excluded from this review.  However, more extensive work is needed on the group.</w:t>
            </w:r>
          </w:p>
        </w:tc>
      </w:tr>
      <w:tr w:rsidR="00BD7673" w:rsidRPr="00BD7673" w14:paraId="6F3BEC77" w14:textId="77777777" w:rsidTr="00B004E4">
        <w:trPr>
          <w:trHeight w:val="20"/>
        </w:trPr>
        <w:tc>
          <w:tcPr>
            <w:tcW w:w="1379" w:type="dxa"/>
            <w:vMerge/>
            <w:tcBorders>
              <w:bottom w:val="single" w:sz="4" w:space="0" w:color="auto"/>
            </w:tcBorders>
            <w:tcMar>
              <w:left w:w="57" w:type="dxa"/>
              <w:right w:w="57" w:type="dxa"/>
            </w:tcMar>
          </w:tcPr>
          <w:p w14:paraId="2436876B" w14:textId="77777777" w:rsidR="00BD7673" w:rsidRPr="00BD7673" w:rsidRDefault="00BD7673" w:rsidP="00BD7673">
            <w:pPr>
              <w:adjustRightInd w:val="0"/>
              <w:spacing w:after="0"/>
              <w:rPr>
                <w:rFonts w:ascii="Calibri" w:eastAsia="Calibri" w:hAnsi="Calibri" w:cs="Calibri"/>
                <w:sz w:val="18"/>
                <w:szCs w:val="24"/>
                <w:lang w:eastAsia="en-US"/>
              </w:rPr>
            </w:pPr>
          </w:p>
        </w:tc>
        <w:tc>
          <w:tcPr>
            <w:tcW w:w="1950" w:type="dxa"/>
            <w:tcBorders>
              <w:bottom w:val="single" w:sz="4" w:space="0" w:color="auto"/>
            </w:tcBorders>
            <w:tcMar>
              <w:left w:w="57" w:type="dxa"/>
              <w:right w:w="57" w:type="dxa"/>
            </w:tcMar>
          </w:tcPr>
          <w:p w14:paraId="5AF5E085"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Barcaldine (~1 species)</w:t>
            </w:r>
          </w:p>
        </w:tc>
        <w:tc>
          <w:tcPr>
            <w:tcW w:w="1405" w:type="dxa"/>
            <w:tcBorders>
              <w:bottom w:val="single" w:sz="4" w:space="0" w:color="auto"/>
            </w:tcBorders>
            <w:tcMar>
              <w:left w:w="57" w:type="dxa"/>
              <w:right w:w="57" w:type="dxa"/>
            </w:tcMar>
          </w:tcPr>
          <w:p w14:paraId="25B3478D"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Fensham et al. 2010</w:t>
            </w:r>
          </w:p>
        </w:tc>
        <w:tc>
          <w:tcPr>
            <w:tcW w:w="4764" w:type="dxa"/>
            <w:vMerge/>
            <w:tcBorders>
              <w:bottom w:val="single" w:sz="4" w:space="0" w:color="auto"/>
            </w:tcBorders>
            <w:tcMar>
              <w:left w:w="57" w:type="dxa"/>
              <w:right w:w="57" w:type="dxa"/>
            </w:tcMar>
            <w:vAlign w:val="center"/>
          </w:tcPr>
          <w:p w14:paraId="69CCC203" w14:textId="77777777" w:rsidR="00BD7673" w:rsidRPr="00BD7673" w:rsidRDefault="00BD7673" w:rsidP="00BD7673">
            <w:pPr>
              <w:adjustRightInd w:val="0"/>
              <w:spacing w:after="0"/>
              <w:rPr>
                <w:rFonts w:ascii="Calibri" w:eastAsia="Calibri" w:hAnsi="Calibri" w:cs="Calibri"/>
                <w:sz w:val="18"/>
                <w:szCs w:val="24"/>
                <w:lang w:eastAsia="en-US"/>
              </w:rPr>
            </w:pPr>
          </w:p>
        </w:tc>
      </w:tr>
      <w:tr w:rsidR="00BD7673" w:rsidRPr="00BD7673" w14:paraId="14FB27AC" w14:textId="77777777" w:rsidTr="00B004E4">
        <w:trPr>
          <w:trHeight w:val="20"/>
        </w:trPr>
        <w:tc>
          <w:tcPr>
            <w:tcW w:w="1379" w:type="dxa"/>
            <w:vMerge w:val="restart"/>
            <w:tcBorders>
              <w:top w:val="single" w:sz="4" w:space="0" w:color="auto"/>
            </w:tcBorders>
            <w:tcMar>
              <w:left w:w="57" w:type="dxa"/>
              <w:right w:w="57" w:type="dxa"/>
            </w:tcMar>
          </w:tcPr>
          <w:p w14:paraId="68EB8957"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Mites</w:t>
            </w:r>
          </w:p>
        </w:tc>
        <w:tc>
          <w:tcPr>
            <w:tcW w:w="1950" w:type="dxa"/>
            <w:tcBorders>
              <w:top w:val="single" w:sz="4" w:space="0" w:color="auto"/>
            </w:tcBorders>
            <w:tcMar>
              <w:left w:w="57" w:type="dxa"/>
              <w:right w:w="57" w:type="dxa"/>
            </w:tcMar>
          </w:tcPr>
          <w:p w14:paraId="2F00AF0A"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Lake Eyre (Mamersella ponderi)</w:t>
            </w:r>
          </w:p>
        </w:tc>
        <w:tc>
          <w:tcPr>
            <w:tcW w:w="1405" w:type="dxa"/>
            <w:tcBorders>
              <w:top w:val="single" w:sz="4" w:space="0" w:color="auto"/>
            </w:tcBorders>
            <w:tcMar>
              <w:left w:w="57" w:type="dxa"/>
              <w:right w:w="57" w:type="dxa"/>
            </w:tcMar>
          </w:tcPr>
          <w:p w14:paraId="4847E3B4"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Harvey 1990</w:t>
            </w:r>
          </w:p>
        </w:tc>
        <w:tc>
          <w:tcPr>
            <w:tcW w:w="4764" w:type="dxa"/>
            <w:vMerge w:val="restart"/>
            <w:tcBorders>
              <w:top w:val="single" w:sz="4" w:space="0" w:color="auto"/>
            </w:tcBorders>
            <w:tcMar>
              <w:left w:w="57" w:type="dxa"/>
              <w:right w:w="57" w:type="dxa"/>
            </w:tcMar>
          </w:tcPr>
          <w:p w14:paraId="08F75EC4"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Arial"/>
                <w:sz w:val="18"/>
                <w:szCs w:val="24"/>
                <w:lang w:eastAsia="en-US"/>
              </w:rPr>
              <w:t>Mites form an extensive part of the endemic spring fauna in other regions (Sabatino et al. 2003) but only one species (and a potential congener) have been identified as endemic to GAB springs thus far (Harvey 1990).  As this is a likely underestimate of the full diversity, mites have been excluded from the review.</w:t>
            </w:r>
          </w:p>
        </w:tc>
      </w:tr>
      <w:tr w:rsidR="00BD7673" w:rsidRPr="00BD7673" w14:paraId="4C985AB3" w14:textId="77777777" w:rsidTr="00B004E4">
        <w:trPr>
          <w:trHeight w:val="20"/>
        </w:trPr>
        <w:tc>
          <w:tcPr>
            <w:tcW w:w="1379" w:type="dxa"/>
            <w:vMerge/>
            <w:tcMar>
              <w:left w:w="57" w:type="dxa"/>
              <w:right w:w="57" w:type="dxa"/>
            </w:tcMar>
          </w:tcPr>
          <w:p w14:paraId="022DBA3E" w14:textId="77777777" w:rsidR="00BD7673" w:rsidRPr="00BD7673" w:rsidRDefault="00BD7673" w:rsidP="00BD7673">
            <w:pPr>
              <w:adjustRightInd w:val="0"/>
              <w:spacing w:after="0"/>
              <w:rPr>
                <w:rFonts w:ascii="Calibri" w:eastAsia="Calibri" w:hAnsi="Calibri" w:cs="Calibri"/>
                <w:sz w:val="18"/>
                <w:szCs w:val="24"/>
                <w:lang w:eastAsia="en-US"/>
              </w:rPr>
            </w:pPr>
          </w:p>
        </w:tc>
        <w:tc>
          <w:tcPr>
            <w:tcW w:w="1950" w:type="dxa"/>
            <w:tcMar>
              <w:left w:w="57" w:type="dxa"/>
              <w:right w:w="57" w:type="dxa"/>
            </w:tcMar>
          </w:tcPr>
          <w:p w14:paraId="2F4E9E50"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 xml:space="preserve">Barcaldine </w:t>
            </w:r>
            <w:r w:rsidRPr="00BD7673">
              <w:rPr>
                <w:rFonts w:ascii="Calibri" w:eastAsia="Calibri" w:hAnsi="Calibri" w:cs="Calibri"/>
                <w:i/>
                <w:iCs/>
                <w:sz w:val="18"/>
                <w:szCs w:val="24"/>
                <w:lang w:eastAsia="en-US"/>
              </w:rPr>
              <w:t>(Mamersella</w:t>
            </w:r>
            <w:r w:rsidRPr="00BD7673">
              <w:rPr>
                <w:rFonts w:ascii="Calibri" w:eastAsia="Calibri" w:hAnsi="Calibri" w:cs="Calibri"/>
                <w:sz w:val="18"/>
                <w:szCs w:val="24"/>
                <w:lang w:eastAsia="en-US"/>
              </w:rPr>
              <w:t xml:space="preserve"> sp.)</w:t>
            </w:r>
          </w:p>
        </w:tc>
        <w:tc>
          <w:tcPr>
            <w:tcW w:w="1405" w:type="dxa"/>
            <w:tcMar>
              <w:left w:w="57" w:type="dxa"/>
              <w:right w:w="57" w:type="dxa"/>
            </w:tcMar>
          </w:tcPr>
          <w:p w14:paraId="761C28F8"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Fensham et al. 2010</w:t>
            </w:r>
          </w:p>
        </w:tc>
        <w:tc>
          <w:tcPr>
            <w:tcW w:w="4764" w:type="dxa"/>
            <w:vMerge/>
            <w:tcMar>
              <w:left w:w="57" w:type="dxa"/>
              <w:right w:w="57" w:type="dxa"/>
            </w:tcMar>
            <w:vAlign w:val="center"/>
          </w:tcPr>
          <w:p w14:paraId="315CB4FF" w14:textId="77777777" w:rsidR="00BD7673" w:rsidRPr="00BD7673" w:rsidRDefault="00BD7673" w:rsidP="00BD7673">
            <w:pPr>
              <w:adjustRightInd w:val="0"/>
              <w:spacing w:after="0"/>
              <w:rPr>
                <w:rFonts w:ascii="Calibri" w:eastAsia="Calibri" w:hAnsi="Calibri" w:cs="Calibri"/>
                <w:sz w:val="18"/>
                <w:szCs w:val="24"/>
                <w:lang w:eastAsia="en-US"/>
              </w:rPr>
            </w:pPr>
          </w:p>
        </w:tc>
      </w:tr>
      <w:tr w:rsidR="00BD7673" w:rsidRPr="00BD7673" w14:paraId="178B7A23" w14:textId="77777777" w:rsidTr="00B004E4">
        <w:trPr>
          <w:trHeight w:val="20"/>
        </w:trPr>
        <w:tc>
          <w:tcPr>
            <w:tcW w:w="1379" w:type="dxa"/>
            <w:vMerge/>
            <w:tcBorders>
              <w:bottom w:val="single" w:sz="4" w:space="0" w:color="auto"/>
            </w:tcBorders>
            <w:tcMar>
              <w:left w:w="57" w:type="dxa"/>
              <w:right w:w="57" w:type="dxa"/>
            </w:tcMar>
          </w:tcPr>
          <w:p w14:paraId="0BDC6A7C" w14:textId="77777777" w:rsidR="00BD7673" w:rsidRPr="00BD7673" w:rsidRDefault="00BD7673" w:rsidP="00BD7673">
            <w:pPr>
              <w:adjustRightInd w:val="0"/>
              <w:spacing w:after="0"/>
              <w:rPr>
                <w:rFonts w:ascii="Calibri" w:eastAsia="Calibri" w:hAnsi="Calibri" w:cs="Calibri"/>
                <w:sz w:val="18"/>
                <w:szCs w:val="24"/>
                <w:lang w:eastAsia="en-US"/>
              </w:rPr>
            </w:pPr>
          </w:p>
        </w:tc>
        <w:tc>
          <w:tcPr>
            <w:tcW w:w="1950" w:type="dxa"/>
            <w:tcBorders>
              <w:bottom w:val="single" w:sz="4" w:space="0" w:color="auto"/>
            </w:tcBorders>
            <w:tcMar>
              <w:left w:w="57" w:type="dxa"/>
              <w:right w:w="57" w:type="dxa"/>
            </w:tcMar>
          </w:tcPr>
          <w:p w14:paraId="21EDC847"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Eulo (</w:t>
            </w:r>
            <w:r w:rsidRPr="00BD7673">
              <w:rPr>
                <w:rFonts w:ascii="Calibri" w:eastAsia="Calibri" w:hAnsi="Calibri" w:cs="Calibri"/>
                <w:i/>
                <w:iCs/>
                <w:sz w:val="18"/>
                <w:szCs w:val="24"/>
                <w:lang w:eastAsia="en-US"/>
              </w:rPr>
              <w:t>Mamersella</w:t>
            </w:r>
            <w:r w:rsidRPr="00BD7673">
              <w:rPr>
                <w:rFonts w:ascii="Calibri" w:eastAsia="Calibri" w:hAnsi="Calibri" w:cs="Calibri"/>
                <w:sz w:val="18"/>
                <w:szCs w:val="24"/>
                <w:lang w:eastAsia="en-US"/>
              </w:rPr>
              <w:t xml:space="preserve"> sp.)</w:t>
            </w:r>
          </w:p>
        </w:tc>
        <w:tc>
          <w:tcPr>
            <w:tcW w:w="1405" w:type="dxa"/>
            <w:tcBorders>
              <w:bottom w:val="single" w:sz="4" w:space="0" w:color="auto"/>
            </w:tcBorders>
            <w:tcMar>
              <w:left w:w="57" w:type="dxa"/>
              <w:right w:w="57" w:type="dxa"/>
            </w:tcMar>
          </w:tcPr>
          <w:p w14:paraId="3A290C3B"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Fensham et al. 2010</w:t>
            </w:r>
          </w:p>
        </w:tc>
        <w:tc>
          <w:tcPr>
            <w:tcW w:w="4764" w:type="dxa"/>
            <w:vMerge/>
            <w:tcBorders>
              <w:bottom w:val="single" w:sz="4" w:space="0" w:color="auto"/>
            </w:tcBorders>
            <w:tcMar>
              <w:left w:w="57" w:type="dxa"/>
              <w:right w:w="57" w:type="dxa"/>
            </w:tcMar>
            <w:vAlign w:val="center"/>
          </w:tcPr>
          <w:p w14:paraId="53C7155D" w14:textId="77777777" w:rsidR="00BD7673" w:rsidRPr="00BD7673" w:rsidRDefault="00BD7673" w:rsidP="00BD7673">
            <w:pPr>
              <w:adjustRightInd w:val="0"/>
              <w:spacing w:after="0"/>
              <w:rPr>
                <w:rFonts w:ascii="Calibri" w:eastAsia="Calibri" w:hAnsi="Calibri" w:cs="Calibri"/>
                <w:sz w:val="18"/>
                <w:szCs w:val="24"/>
                <w:lang w:eastAsia="en-US"/>
              </w:rPr>
            </w:pPr>
          </w:p>
        </w:tc>
      </w:tr>
      <w:tr w:rsidR="00BD7673" w:rsidRPr="00BD7673" w14:paraId="2F2B44C4" w14:textId="77777777" w:rsidTr="00B004E4">
        <w:trPr>
          <w:trHeight w:val="20"/>
        </w:trPr>
        <w:tc>
          <w:tcPr>
            <w:tcW w:w="1379" w:type="dxa"/>
            <w:vMerge w:val="restart"/>
            <w:tcBorders>
              <w:top w:val="single" w:sz="4" w:space="0" w:color="auto"/>
            </w:tcBorders>
            <w:tcMar>
              <w:left w:w="57" w:type="dxa"/>
              <w:right w:w="57" w:type="dxa"/>
            </w:tcMar>
          </w:tcPr>
          <w:p w14:paraId="5CD95306"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Flatworms</w:t>
            </w:r>
          </w:p>
        </w:tc>
        <w:tc>
          <w:tcPr>
            <w:tcW w:w="1950" w:type="dxa"/>
            <w:tcBorders>
              <w:top w:val="single" w:sz="4" w:space="0" w:color="auto"/>
            </w:tcBorders>
            <w:tcMar>
              <w:left w:w="57" w:type="dxa"/>
              <w:right w:w="57" w:type="dxa"/>
            </w:tcMar>
          </w:tcPr>
          <w:p w14:paraId="185303DE"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Lake Eyre (</w:t>
            </w:r>
            <w:r w:rsidRPr="00BD7673">
              <w:rPr>
                <w:rFonts w:ascii="Calibri" w:eastAsia="Calibri" w:hAnsi="Calibri" w:cs="Calibri"/>
                <w:i/>
                <w:sz w:val="18"/>
                <w:szCs w:val="24"/>
                <w:lang w:eastAsia="en-US"/>
              </w:rPr>
              <w:t>Promacrostomum palum</w:t>
            </w:r>
            <w:r w:rsidRPr="00BD7673">
              <w:rPr>
                <w:rFonts w:ascii="Calibri" w:eastAsia="Calibri" w:hAnsi="Calibri" w:cs="Calibri"/>
                <w:sz w:val="18"/>
                <w:szCs w:val="24"/>
                <w:lang w:eastAsia="en-US"/>
              </w:rPr>
              <w:t>)</w:t>
            </w:r>
          </w:p>
        </w:tc>
        <w:tc>
          <w:tcPr>
            <w:tcW w:w="1405" w:type="dxa"/>
            <w:tcBorders>
              <w:top w:val="single" w:sz="4" w:space="0" w:color="auto"/>
            </w:tcBorders>
            <w:tcMar>
              <w:left w:w="57" w:type="dxa"/>
              <w:right w:w="57" w:type="dxa"/>
            </w:tcMar>
          </w:tcPr>
          <w:p w14:paraId="43C82AB3"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Sluys 1986</w:t>
            </w:r>
          </w:p>
        </w:tc>
        <w:tc>
          <w:tcPr>
            <w:tcW w:w="4764" w:type="dxa"/>
            <w:vMerge w:val="restart"/>
            <w:tcBorders>
              <w:top w:val="single" w:sz="4" w:space="0" w:color="auto"/>
            </w:tcBorders>
            <w:tcMar>
              <w:left w:w="57" w:type="dxa"/>
              <w:right w:w="57" w:type="dxa"/>
            </w:tcMar>
          </w:tcPr>
          <w:p w14:paraId="711AE0B4"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Sluys and colleagues have conducted significant investigations into the Planarian fauna in springs.  Three species known to be endemic to springs and to be taxonomically distinctive within the Australian fauna have been described.  They have not been included in this review because broad-scale sampling outside of their type localities appears to be rare, meaning that estimates of their range may not be accurate.</w:t>
            </w:r>
          </w:p>
        </w:tc>
      </w:tr>
      <w:tr w:rsidR="00BD7673" w:rsidRPr="00BD7673" w14:paraId="4330960C" w14:textId="77777777" w:rsidTr="00B004E4">
        <w:trPr>
          <w:trHeight w:val="20"/>
        </w:trPr>
        <w:tc>
          <w:tcPr>
            <w:tcW w:w="1379" w:type="dxa"/>
            <w:vMerge/>
            <w:tcMar>
              <w:left w:w="57" w:type="dxa"/>
              <w:right w:w="57" w:type="dxa"/>
            </w:tcMar>
          </w:tcPr>
          <w:p w14:paraId="29F9D1EB" w14:textId="77777777" w:rsidR="00BD7673" w:rsidRPr="00BD7673" w:rsidRDefault="00BD7673" w:rsidP="00BD7673">
            <w:pPr>
              <w:adjustRightInd w:val="0"/>
              <w:spacing w:after="0"/>
              <w:rPr>
                <w:rFonts w:ascii="Calibri" w:eastAsia="Calibri" w:hAnsi="Calibri" w:cs="Calibri"/>
                <w:sz w:val="18"/>
                <w:szCs w:val="24"/>
                <w:lang w:eastAsia="en-US"/>
              </w:rPr>
            </w:pPr>
          </w:p>
        </w:tc>
        <w:tc>
          <w:tcPr>
            <w:tcW w:w="1950" w:type="dxa"/>
            <w:tcMar>
              <w:left w:w="57" w:type="dxa"/>
              <w:right w:w="57" w:type="dxa"/>
            </w:tcMar>
          </w:tcPr>
          <w:p w14:paraId="6FF6FF7B"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Barcaldine (</w:t>
            </w:r>
            <w:r w:rsidRPr="00BD7673">
              <w:rPr>
                <w:rFonts w:ascii="Calibri" w:eastAsia="Calibri" w:hAnsi="Calibri" w:cs="Calibri"/>
                <w:i/>
                <w:sz w:val="18"/>
                <w:szCs w:val="24"/>
                <w:lang w:eastAsia="en-US"/>
              </w:rPr>
              <w:t>Dugesia artesiana</w:t>
            </w:r>
            <w:r w:rsidRPr="00BD7673">
              <w:rPr>
                <w:rFonts w:ascii="Calibri" w:eastAsia="Calibri" w:hAnsi="Calibri" w:cs="Calibri"/>
                <w:sz w:val="18"/>
                <w:szCs w:val="24"/>
                <w:lang w:eastAsia="en-US"/>
              </w:rPr>
              <w:t>)</w:t>
            </w:r>
          </w:p>
        </w:tc>
        <w:tc>
          <w:tcPr>
            <w:tcW w:w="1405" w:type="dxa"/>
            <w:tcMar>
              <w:left w:w="57" w:type="dxa"/>
              <w:right w:w="57" w:type="dxa"/>
            </w:tcMar>
          </w:tcPr>
          <w:p w14:paraId="71B40D16"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Sluys et al. 2007</w:t>
            </w:r>
          </w:p>
        </w:tc>
        <w:tc>
          <w:tcPr>
            <w:tcW w:w="4764" w:type="dxa"/>
            <w:vMerge/>
            <w:tcMar>
              <w:left w:w="57" w:type="dxa"/>
              <w:right w:w="57" w:type="dxa"/>
            </w:tcMar>
            <w:vAlign w:val="center"/>
          </w:tcPr>
          <w:p w14:paraId="23670B7E" w14:textId="77777777" w:rsidR="00BD7673" w:rsidRPr="00BD7673" w:rsidRDefault="00BD7673" w:rsidP="00BD7673">
            <w:pPr>
              <w:adjustRightInd w:val="0"/>
              <w:spacing w:after="0"/>
              <w:rPr>
                <w:rFonts w:ascii="Calibri" w:eastAsia="Calibri" w:hAnsi="Calibri" w:cs="Calibri"/>
                <w:sz w:val="18"/>
                <w:szCs w:val="24"/>
                <w:lang w:eastAsia="en-US"/>
              </w:rPr>
            </w:pPr>
          </w:p>
        </w:tc>
      </w:tr>
      <w:tr w:rsidR="00BD7673" w:rsidRPr="00BD7673" w14:paraId="0B4A7A03" w14:textId="77777777" w:rsidTr="00B004E4">
        <w:trPr>
          <w:trHeight w:val="20"/>
        </w:trPr>
        <w:tc>
          <w:tcPr>
            <w:tcW w:w="1379" w:type="dxa"/>
            <w:vMerge/>
            <w:tcBorders>
              <w:bottom w:val="single" w:sz="4" w:space="0" w:color="auto"/>
            </w:tcBorders>
            <w:tcMar>
              <w:left w:w="57" w:type="dxa"/>
              <w:right w:w="57" w:type="dxa"/>
            </w:tcMar>
          </w:tcPr>
          <w:p w14:paraId="39F929D2" w14:textId="77777777" w:rsidR="00BD7673" w:rsidRPr="00BD7673" w:rsidRDefault="00BD7673" w:rsidP="00BD7673">
            <w:pPr>
              <w:adjustRightInd w:val="0"/>
              <w:spacing w:after="0"/>
              <w:rPr>
                <w:rFonts w:ascii="Calibri" w:eastAsia="Calibri" w:hAnsi="Calibri" w:cs="Calibri"/>
                <w:sz w:val="18"/>
                <w:szCs w:val="24"/>
                <w:lang w:eastAsia="en-US"/>
              </w:rPr>
            </w:pPr>
          </w:p>
        </w:tc>
        <w:tc>
          <w:tcPr>
            <w:tcW w:w="1950" w:type="dxa"/>
            <w:tcBorders>
              <w:bottom w:val="single" w:sz="4" w:space="0" w:color="auto"/>
            </w:tcBorders>
            <w:tcMar>
              <w:left w:w="57" w:type="dxa"/>
              <w:right w:w="57" w:type="dxa"/>
            </w:tcMar>
          </w:tcPr>
          <w:p w14:paraId="26C62080"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Eulo (</w:t>
            </w:r>
            <w:r w:rsidRPr="00BD7673">
              <w:rPr>
                <w:rFonts w:ascii="Calibri" w:eastAsia="Calibri" w:hAnsi="Calibri" w:cs="Calibri"/>
                <w:i/>
                <w:sz w:val="18"/>
                <w:szCs w:val="24"/>
                <w:lang w:eastAsia="en-US"/>
              </w:rPr>
              <w:t>Weissius capaciductus</w:t>
            </w:r>
            <w:r w:rsidRPr="00BD7673">
              <w:rPr>
                <w:rFonts w:ascii="Calibri" w:eastAsia="Calibri" w:hAnsi="Calibri" w:cs="Calibri"/>
                <w:sz w:val="18"/>
                <w:szCs w:val="24"/>
                <w:lang w:eastAsia="en-US"/>
              </w:rPr>
              <w:t>)</w:t>
            </w:r>
          </w:p>
        </w:tc>
        <w:tc>
          <w:tcPr>
            <w:tcW w:w="1405" w:type="dxa"/>
            <w:tcBorders>
              <w:bottom w:val="single" w:sz="4" w:space="0" w:color="auto"/>
            </w:tcBorders>
            <w:tcMar>
              <w:left w:w="57" w:type="dxa"/>
              <w:right w:w="57" w:type="dxa"/>
            </w:tcMar>
          </w:tcPr>
          <w:p w14:paraId="19D9A5B8"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Sluys et al. 2007</w:t>
            </w:r>
          </w:p>
        </w:tc>
        <w:tc>
          <w:tcPr>
            <w:tcW w:w="4764" w:type="dxa"/>
            <w:vMerge/>
            <w:tcBorders>
              <w:bottom w:val="single" w:sz="4" w:space="0" w:color="auto"/>
            </w:tcBorders>
            <w:tcMar>
              <w:left w:w="57" w:type="dxa"/>
              <w:right w:w="57" w:type="dxa"/>
            </w:tcMar>
            <w:vAlign w:val="center"/>
          </w:tcPr>
          <w:p w14:paraId="4DB747CE" w14:textId="77777777" w:rsidR="00BD7673" w:rsidRPr="00BD7673" w:rsidRDefault="00BD7673" w:rsidP="00BD7673">
            <w:pPr>
              <w:adjustRightInd w:val="0"/>
              <w:spacing w:after="0"/>
              <w:rPr>
                <w:rFonts w:ascii="Calibri" w:eastAsia="Calibri" w:hAnsi="Calibri" w:cs="Calibri"/>
                <w:sz w:val="18"/>
                <w:szCs w:val="24"/>
                <w:lang w:eastAsia="en-US"/>
              </w:rPr>
            </w:pPr>
          </w:p>
        </w:tc>
      </w:tr>
      <w:tr w:rsidR="00BD7673" w:rsidRPr="00BD7673" w14:paraId="7B19313B" w14:textId="77777777" w:rsidTr="00B004E4">
        <w:trPr>
          <w:trHeight w:val="20"/>
        </w:trPr>
        <w:tc>
          <w:tcPr>
            <w:tcW w:w="1379" w:type="dxa"/>
            <w:tcBorders>
              <w:top w:val="single" w:sz="4" w:space="0" w:color="auto"/>
              <w:bottom w:val="single" w:sz="4" w:space="0" w:color="auto"/>
            </w:tcBorders>
            <w:tcMar>
              <w:left w:w="57" w:type="dxa"/>
              <w:right w:w="57" w:type="dxa"/>
            </w:tcMar>
          </w:tcPr>
          <w:p w14:paraId="43378634"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Oligochaetes</w:t>
            </w:r>
          </w:p>
        </w:tc>
        <w:tc>
          <w:tcPr>
            <w:tcW w:w="1950" w:type="dxa"/>
            <w:tcBorders>
              <w:top w:val="single" w:sz="4" w:space="0" w:color="auto"/>
              <w:bottom w:val="single" w:sz="4" w:space="0" w:color="auto"/>
            </w:tcBorders>
            <w:tcMar>
              <w:left w:w="57" w:type="dxa"/>
              <w:right w:w="57" w:type="dxa"/>
            </w:tcMar>
          </w:tcPr>
          <w:p w14:paraId="44244CCF"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Barcaldine (erpobdellid and glossiphoniid leeches)</w:t>
            </w:r>
          </w:p>
        </w:tc>
        <w:tc>
          <w:tcPr>
            <w:tcW w:w="1405" w:type="dxa"/>
            <w:tcBorders>
              <w:top w:val="single" w:sz="4" w:space="0" w:color="auto"/>
              <w:bottom w:val="single" w:sz="4" w:space="0" w:color="auto"/>
            </w:tcBorders>
            <w:tcMar>
              <w:left w:w="57" w:type="dxa"/>
              <w:right w:w="57" w:type="dxa"/>
            </w:tcMar>
          </w:tcPr>
          <w:p w14:paraId="3FA38BD3"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Ponder et al. 2010</w:t>
            </w:r>
          </w:p>
        </w:tc>
        <w:tc>
          <w:tcPr>
            <w:tcW w:w="4764" w:type="dxa"/>
            <w:tcBorders>
              <w:top w:val="single" w:sz="4" w:space="0" w:color="auto"/>
              <w:bottom w:val="single" w:sz="4" w:space="0" w:color="auto"/>
            </w:tcBorders>
            <w:tcMar>
              <w:left w:w="57" w:type="dxa"/>
              <w:right w:w="57" w:type="dxa"/>
            </w:tcMar>
          </w:tcPr>
          <w:p w14:paraId="0037E357"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Arial"/>
                <w:sz w:val="18"/>
                <w:szCs w:val="24"/>
                <w:lang w:eastAsia="en-US"/>
              </w:rPr>
              <w:t>This is the only reference to leeches in GAB springs though mention of oligochaetes and their diversity in general are made in Ponder (1986) and Ponder et al. (2010) and there are endemics in other regions (Blinn 2008).  This group is excluded due to a severe lack of data.</w:t>
            </w:r>
          </w:p>
        </w:tc>
      </w:tr>
      <w:tr w:rsidR="00BD7673" w:rsidRPr="00BD7673" w14:paraId="4B4A90AC" w14:textId="77777777" w:rsidTr="00B004E4">
        <w:trPr>
          <w:trHeight w:val="20"/>
        </w:trPr>
        <w:tc>
          <w:tcPr>
            <w:tcW w:w="1379" w:type="dxa"/>
            <w:vMerge w:val="restart"/>
            <w:tcBorders>
              <w:top w:val="single" w:sz="4" w:space="0" w:color="auto"/>
            </w:tcBorders>
            <w:tcMar>
              <w:left w:w="57" w:type="dxa"/>
              <w:right w:w="57" w:type="dxa"/>
            </w:tcMar>
          </w:tcPr>
          <w:p w14:paraId="1082A038"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Insects</w:t>
            </w:r>
          </w:p>
        </w:tc>
        <w:tc>
          <w:tcPr>
            <w:tcW w:w="1950" w:type="dxa"/>
            <w:tcBorders>
              <w:top w:val="single" w:sz="4" w:space="0" w:color="auto"/>
            </w:tcBorders>
            <w:tcMar>
              <w:left w:w="57" w:type="dxa"/>
              <w:right w:w="57" w:type="dxa"/>
            </w:tcMar>
          </w:tcPr>
          <w:p w14:paraId="7E4948E6"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Lake Eyre (up to 48 species)</w:t>
            </w:r>
          </w:p>
        </w:tc>
        <w:tc>
          <w:tcPr>
            <w:tcW w:w="1405" w:type="dxa"/>
            <w:tcBorders>
              <w:top w:val="single" w:sz="4" w:space="0" w:color="auto"/>
            </w:tcBorders>
            <w:tcMar>
              <w:left w:w="57" w:type="dxa"/>
              <w:right w:w="57" w:type="dxa"/>
            </w:tcMar>
          </w:tcPr>
          <w:p w14:paraId="5C7EA779"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Greenslade 1985</w:t>
            </w:r>
          </w:p>
        </w:tc>
        <w:tc>
          <w:tcPr>
            <w:tcW w:w="4764" w:type="dxa"/>
            <w:vMerge w:val="restart"/>
            <w:tcBorders>
              <w:top w:val="single" w:sz="4" w:space="0" w:color="auto"/>
            </w:tcBorders>
            <w:tcMar>
              <w:left w:w="57" w:type="dxa"/>
              <w:right w:w="57" w:type="dxa"/>
            </w:tcMar>
          </w:tcPr>
          <w:p w14:paraId="01EBB9FB"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Arial"/>
                <w:sz w:val="18"/>
                <w:szCs w:val="24"/>
                <w:lang w:eastAsia="en-US"/>
              </w:rPr>
              <w:t>Insect diversity is high in springs but due to their broad dispersal capabilities few are or are expected to be endemic (Ponder et al. 2010).  Some exceptions are a putative endemic dragonfly from Edgbaston (Ponder et al. 2010) and a diverse range of caddis flies which are a large component of springs faunas in other regions (Pauls et al. 2009).</w:t>
            </w:r>
          </w:p>
        </w:tc>
      </w:tr>
      <w:tr w:rsidR="00BD7673" w:rsidRPr="00BD7673" w14:paraId="149C67F6" w14:textId="77777777" w:rsidTr="00B004E4">
        <w:trPr>
          <w:trHeight w:val="20"/>
        </w:trPr>
        <w:tc>
          <w:tcPr>
            <w:tcW w:w="1379" w:type="dxa"/>
            <w:vMerge/>
            <w:tcMar>
              <w:left w:w="57" w:type="dxa"/>
              <w:right w:w="57" w:type="dxa"/>
            </w:tcMar>
          </w:tcPr>
          <w:p w14:paraId="069D0310" w14:textId="77777777" w:rsidR="00BD7673" w:rsidRPr="00BD7673" w:rsidRDefault="00BD7673" w:rsidP="00BD7673">
            <w:pPr>
              <w:adjustRightInd w:val="0"/>
              <w:spacing w:after="0"/>
              <w:rPr>
                <w:rFonts w:ascii="Calibri" w:eastAsia="Calibri" w:hAnsi="Calibri" w:cs="Calibri"/>
                <w:sz w:val="18"/>
                <w:szCs w:val="24"/>
                <w:lang w:eastAsia="en-US"/>
              </w:rPr>
            </w:pPr>
          </w:p>
        </w:tc>
        <w:tc>
          <w:tcPr>
            <w:tcW w:w="1950" w:type="dxa"/>
            <w:tcMar>
              <w:left w:w="57" w:type="dxa"/>
              <w:right w:w="57" w:type="dxa"/>
            </w:tcMar>
          </w:tcPr>
          <w:p w14:paraId="508B287F"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 xml:space="preserve">Barcaldine (wide diversity of species, putative endemic </w:t>
            </w:r>
            <w:r w:rsidRPr="00BD7673">
              <w:rPr>
                <w:rFonts w:ascii="Calibri" w:eastAsia="Calibri" w:hAnsi="Calibri" w:cs="Calibri"/>
                <w:i/>
                <w:sz w:val="18"/>
                <w:szCs w:val="24"/>
                <w:lang w:eastAsia="en-US"/>
              </w:rPr>
              <w:t>Nannophya</w:t>
            </w:r>
            <w:r w:rsidRPr="00BD7673">
              <w:rPr>
                <w:rFonts w:ascii="Calibri" w:eastAsia="Calibri" w:hAnsi="Calibri" w:cs="Calibri"/>
                <w:sz w:val="18"/>
                <w:szCs w:val="24"/>
                <w:lang w:eastAsia="en-US"/>
              </w:rPr>
              <w:t xml:space="preserve"> sp, Hellyethira and Hemiptera)</w:t>
            </w:r>
          </w:p>
        </w:tc>
        <w:tc>
          <w:tcPr>
            <w:tcW w:w="1405" w:type="dxa"/>
            <w:tcMar>
              <w:left w:w="57" w:type="dxa"/>
              <w:right w:w="57" w:type="dxa"/>
            </w:tcMar>
          </w:tcPr>
          <w:p w14:paraId="059D6602" w14:textId="77777777" w:rsidR="00BD7673" w:rsidRPr="00BD7673" w:rsidRDefault="00BD7673" w:rsidP="00BD7673">
            <w:pPr>
              <w:adjustRightInd w:val="0"/>
              <w:spacing w:after="0"/>
              <w:rPr>
                <w:rFonts w:ascii="Calibri" w:eastAsia="Calibri" w:hAnsi="Calibri" w:cs="Calibri"/>
                <w:sz w:val="18"/>
                <w:szCs w:val="24"/>
                <w:lang w:eastAsia="en-US"/>
              </w:rPr>
            </w:pPr>
            <w:r w:rsidRPr="00BD7673">
              <w:rPr>
                <w:rFonts w:ascii="Calibri" w:eastAsia="Calibri" w:hAnsi="Calibri" w:cs="Calibri"/>
                <w:sz w:val="18"/>
                <w:szCs w:val="24"/>
                <w:lang w:eastAsia="en-US"/>
              </w:rPr>
              <w:t>Ponder et al. 2010</w:t>
            </w:r>
          </w:p>
        </w:tc>
        <w:tc>
          <w:tcPr>
            <w:tcW w:w="4764" w:type="dxa"/>
            <w:vMerge/>
            <w:tcMar>
              <w:left w:w="57" w:type="dxa"/>
              <w:right w:w="57" w:type="dxa"/>
            </w:tcMar>
            <w:vAlign w:val="center"/>
          </w:tcPr>
          <w:p w14:paraId="025F145A" w14:textId="77777777" w:rsidR="00BD7673" w:rsidRPr="00BD7673" w:rsidRDefault="00BD7673" w:rsidP="00BD7673">
            <w:pPr>
              <w:adjustRightInd w:val="0"/>
              <w:spacing w:after="0"/>
              <w:rPr>
                <w:rFonts w:ascii="Calibri" w:eastAsia="Calibri" w:hAnsi="Calibri" w:cs="Calibri"/>
                <w:sz w:val="18"/>
                <w:szCs w:val="24"/>
                <w:lang w:eastAsia="en-US"/>
              </w:rPr>
            </w:pPr>
          </w:p>
        </w:tc>
      </w:tr>
      <w:tr w:rsidR="00BD7673" w:rsidRPr="00BD7673" w14:paraId="54D3663D" w14:textId="77777777" w:rsidTr="00B004E4">
        <w:trPr>
          <w:trHeight w:val="20"/>
        </w:trPr>
        <w:tc>
          <w:tcPr>
            <w:tcW w:w="1379" w:type="dxa"/>
            <w:tcBorders>
              <w:bottom w:val="single" w:sz="4" w:space="0" w:color="auto"/>
            </w:tcBorders>
            <w:tcMar>
              <w:left w:w="57" w:type="dxa"/>
              <w:right w:w="57" w:type="dxa"/>
            </w:tcMar>
          </w:tcPr>
          <w:p w14:paraId="4F4D02BD" w14:textId="77777777" w:rsidR="00BD7673" w:rsidRPr="00BD7673" w:rsidRDefault="00BD7673" w:rsidP="00BD7673">
            <w:pPr>
              <w:adjustRightInd w:val="0"/>
              <w:spacing w:after="0"/>
              <w:rPr>
                <w:rFonts w:ascii="Calibri" w:eastAsia="Calibri" w:hAnsi="Calibri" w:cs="Calibri"/>
                <w:sz w:val="18"/>
                <w:szCs w:val="24"/>
                <w:lang w:eastAsia="en-US"/>
              </w:rPr>
            </w:pPr>
          </w:p>
        </w:tc>
        <w:tc>
          <w:tcPr>
            <w:tcW w:w="1950" w:type="dxa"/>
            <w:tcBorders>
              <w:bottom w:val="single" w:sz="4" w:space="0" w:color="auto"/>
            </w:tcBorders>
            <w:tcMar>
              <w:left w:w="57" w:type="dxa"/>
              <w:right w:w="57" w:type="dxa"/>
            </w:tcMar>
          </w:tcPr>
          <w:p w14:paraId="586EEA3F" w14:textId="77777777" w:rsidR="00BD7673" w:rsidRPr="00BD7673" w:rsidRDefault="00BD7673" w:rsidP="00BD7673">
            <w:pPr>
              <w:adjustRightInd w:val="0"/>
              <w:spacing w:after="0"/>
              <w:rPr>
                <w:rFonts w:ascii="Calibri" w:eastAsia="Calibri" w:hAnsi="Calibri" w:cs="Calibri"/>
                <w:sz w:val="18"/>
                <w:szCs w:val="24"/>
                <w:lang w:eastAsia="en-US"/>
              </w:rPr>
            </w:pPr>
          </w:p>
        </w:tc>
        <w:tc>
          <w:tcPr>
            <w:tcW w:w="1405" w:type="dxa"/>
            <w:tcBorders>
              <w:bottom w:val="single" w:sz="4" w:space="0" w:color="auto"/>
            </w:tcBorders>
            <w:tcMar>
              <w:left w:w="57" w:type="dxa"/>
              <w:right w:w="57" w:type="dxa"/>
            </w:tcMar>
          </w:tcPr>
          <w:p w14:paraId="321D47B5" w14:textId="77777777" w:rsidR="00BD7673" w:rsidRPr="00BD7673" w:rsidRDefault="00BD7673" w:rsidP="00BD7673">
            <w:pPr>
              <w:adjustRightInd w:val="0"/>
              <w:spacing w:after="0"/>
              <w:rPr>
                <w:rFonts w:ascii="Calibri" w:eastAsia="Calibri" w:hAnsi="Calibri" w:cs="Calibri"/>
                <w:sz w:val="18"/>
                <w:szCs w:val="24"/>
                <w:lang w:eastAsia="en-US"/>
              </w:rPr>
            </w:pPr>
          </w:p>
        </w:tc>
        <w:tc>
          <w:tcPr>
            <w:tcW w:w="4764" w:type="dxa"/>
            <w:tcBorders>
              <w:bottom w:val="single" w:sz="4" w:space="0" w:color="auto"/>
            </w:tcBorders>
            <w:tcMar>
              <w:left w:w="57" w:type="dxa"/>
              <w:right w:w="57" w:type="dxa"/>
            </w:tcMar>
          </w:tcPr>
          <w:p w14:paraId="2854B5E9" w14:textId="77777777" w:rsidR="00BD7673" w:rsidRPr="00BD7673" w:rsidRDefault="00BD7673" w:rsidP="00BD7673">
            <w:pPr>
              <w:adjustRightInd w:val="0"/>
              <w:spacing w:after="0"/>
              <w:rPr>
                <w:rFonts w:ascii="Calibri" w:eastAsia="Calibri" w:hAnsi="Calibri" w:cs="Calibri"/>
                <w:sz w:val="18"/>
                <w:szCs w:val="24"/>
                <w:lang w:eastAsia="en-US"/>
              </w:rPr>
            </w:pPr>
          </w:p>
        </w:tc>
      </w:tr>
    </w:tbl>
    <w:p w14:paraId="2CE62449" w14:textId="77777777" w:rsidR="00985FC7" w:rsidRPr="00747E35" w:rsidRDefault="00985FC7" w:rsidP="00985FC7">
      <w:pPr>
        <w:rPr>
          <w:rFonts w:asciiTheme="minorHAnsi" w:hAnsiTheme="minorHAnsi" w:cstheme="minorHAnsi"/>
        </w:rPr>
      </w:pPr>
    </w:p>
    <w:p w14:paraId="575CD461" w14:textId="1F4C746B" w:rsidR="00623F21" w:rsidRPr="00747E35" w:rsidRDefault="00623F21" w:rsidP="00985FC7">
      <w:pPr>
        <w:rPr>
          <w:rFonts w:asciiTheme="minorHAnsi" w:hAnsiTheme="minorHAnsi" w:cstheme="minorHAnsi"/>
          <w:i/>
        </w:rPr>
      </w:pPr>
      <w:r w:rsidRPr="00747E35">
        <w:rPr>
          <w:rFonts w:asciiTheme="minorHAnsi" w:hAnsiTheme="minorHAnsi" w:cstheme="minorHAnsi"/>
          <w:i/>
        </w:rPr>
        <w:t>References</w:t>
      </w:r>
    </w:p>
    <w:p w14:paraId="2C83DC6E" w14:textId="3D77147B" w:rsidR="00985FC7" w:rsidRPr="00747E35" w:rsidRDefault="00985FC7" w:rsidP="001737C6">
      <w:pPr>
        <w:pStyle w:val="References"/>
        <w:ind w:left="284" w:hanging="284"/>
        <w:rPr>
          <w:rFonts w:asciiTheme="minorHAnsi" w:hAnsiTheme="minorHAnsi" w:cstheme="minorHAnsi"/>
        </w:rPr>
      </w:pPr>
      <w:r w:rsidRPr="00747E35">
        <w:rPr>
          <w:rFonts w:asciiTheme="minorHAnsi" w:hAnsiTheme="minorHAnsi" w:cstheme="minorHAnsi"/>
        </w:rPr>
        <w:t>Anderson M</w:t>
      </w:r>
      <w:r w:rsidR="00520771">
        <w:rPr>
          <w:rFonts w:asciiTheme="minorHAnsi" w:hAnsiTheme="minorHAnsi" w:cstheme="minorHAnsi"/>
        </w:rPr>
        <w:t>.</w:t>
      </w:r>
      <w:r w:rsidRPr="00747E35">
        <w:rPr>
          <w:rFonts w:asciiTheme="minorHAnsi" w:hAnsiTheme="minorHAnsi" w:cstheme="minorHAnsi"/>
        </w:rPr>
        <w:t>J</w:t>
      </w:r>
      <w:r w:rsidR="00520771">
        <w:rPr>
          <w:rFonts w:asciiTheme="minorHAnsi" w:hAnsiTheme="minorHAnsi" w:cstheme="minorHAnsi"/>
        </w:rPr>
        <w:t>.</w:t>
      </w:r>
      <w:r w:rsidRPr="00747E35">
        <w:rPr>
          <w:rFonts w:asciiTheme="minorHAnsi" w:hAnsiTheme="minorHAnsi" w:cstheme="minorHAnsi"/>
        </w:rPr>
        <w:t xml:space="preserve">, Ellingsen </w:t>
      </w:r>
      <w:r w:rsidR="001737C6">
        <w:rPr>
          <w:rFonts w:asciiTheme="minorHAnsi" w:hAnsiTheme="minorHAnsi" w:cstheme="minorHAnsi"/>
        </w:rPr>
        <w:t>K</w:t>
      </w:r>
      <w:r w:rsidR="00520771">
        <w:rPr>
          <w:rFonts w:asciiTheme="minorHAnsi" w:hAnsiTheme="minorHAnsi" w:cstheme="minorHAnsi"/>
        </w:rPr>
        <w:t>.</w:t>
      </w:r>
      <w:r w:rsidR="001737C6">
        <w:rPr>
          <w:rFonts w:asciiTheme="minorHAnsi" w:hAnsiTheme="minorHAnsi" w:cstheme="minorHAnsi"/>
        </w:rPr>
        <w:t>E</w:t>
      </w:r>
      <w:r w:rsidR="00520771">
        <w:rPr>
          <w:rFonts w:asciiTheme="minorHAnsi" w:hAnsiTheme="minorHAnsi" w:cstheme="minorHAnsi"/>
        </w:rPr>
        <w:t>.</w:t>
      </w:r>
      <w:r w:rsidR="001737C6">
        <w:rPr>
          <w:rFonts w:asciiTheme="minorHAnsi" w:hAnsiTheme="minorHAnsi" w:cstheme="minorHAnsi"/>
        </w:rPr>
        <w:t xml:space="preserve"> &amp; </w:t>
      </w:r>
      <w:r w:rsidRPr="00747E35">
        <w:rPr>
          <w:rFonts w:asciiTheme="minorHAnsi" w:hAnsiTheme="minorHAnsi" w:cstheme="minorHAnsi"/>
        </w:rPr>
        <w:t xml:space="preserve">McArdle </w:t>
      </w:r>
      <w:r w:rsidR="001737C6">
        <w:rPr>
          <w:rFonts w:asciiTheme="minorHAnsi" w:hAnsiTheme="minorHAnsi" w:cstheme="minorHAnsi"/>
        </w:rPr>
        <w:t>B</w:t>
      </w:r>
      <w:r w:rsidR="00520771">
        <w:rPr>
          <w:rFonts w:asciiTheme="minorHAnsi" w:hAnsiTheme="minorHAnsi" w:cstheme="minorHAnsi"/>
        </w:rPr>
        <w:t>.</w:t>
      </w:r>
      <w:r w:rsidR="001737C6">
        <w:rPr>
          <w:rFonts w:asciiTheme="minorHAnsi" w:hAnsiTheme="minorHAnsi" w:cstheme="minorHAnsi"/>
        </w:rPr>
        <w:t xml:space="preserve">H. (2006). </w:t>
      </w:r>
      <w:r w:rsidRPr="00747E35">
        <w:rPr>
          <w:rFonts w:asciiTheme="minorHAnsi" w:hAnsiTheme="minorHAnsi" w:cstheme="minorHAnsi"/>
        </w:rPr>
        <w:t xml:space="preserve">Multivariate dispersion </w:t>
      </w:r>
      <w:r w:rsidR="001737C6">
        <w:rPr>
          <w:rFonts w:asciiTheme="minorHAnsi" w:hAnsiTheme="minorHAnsi" w:cstheme="minorHAnsi"/>
        </w:rPr>
        <w:t xml:space="preserve">as a measure of beta diversity. </w:t>
      </w:r>
      <w:r w:rsidR="001737C6" w:rsidRPr="001737C6">
        <w:rPr>
          <w:rFonts w:asciiTheme="minorHAnsi" w:hAnsiTheme="minorHAnsi" w:cstheme="minorHAnsi"/>
          <w:i/>
        </w:rPr>
        <w:t>Ecology Letters</w:t>
      </w:r>
      <w:r w:rsidR="001737C6">
        <w:rPr>
          <w:rFonts w:asciiTheme="minorHAnsi" w:hAnsiTheme="minorHAnsi" w:cstheme="minorHAnsi"/>
        </w:rPr>
        <w:t xml:space="preserve"> 9</w:t>
      </w:r>
      <w:r w:rsidRPr="00747E35">
        <w:rPr>
          <w:rFonts w:asciiTheme="minorHAnsi" w:hAnsiTheme="minorHAnsi" w:cstheme="minorHAnsi"/>
        </w:rPr>
        <w:t>: 683-693.</w:t>
      </w:r>
    </w:p>
    <w:p w14:paraId="59AC203B" w14:textId="319B88E7" w:rsidR="00985FC7" w:rsidRPr="00747E35" w:rsidRDefault="001737C6" w:rsidP="001737C6">
      <w:pPr>
        <w:pStyle w:val="References"/>
        <w:ind w:left="284" w:hanging="284"/>
        <w:rPr>
          <w:rFonts w:asciiTheme="minorHAnsi" w:hAnsiTheme="minorHAnsi" w:cstheme="minorHAnsi"/>
        </w:rPr>
      </w:pPr>
      <w:r>
        <w:rPr>
          <w:rFonts w:asciiTheme="minorHAnsi" w:hAnsiTheme="minorHAnsi" w:cstheme="minorHAnsi"/>
        </w:rPr>
        <w:lastRenderedPageBreak/>
        <w:t>Blinn</w:t>
      </w:r>
      <w:r w:rsidR="00985FC7" w:rsidRPr="00747E35">
        <w:rPr>
          <w:rFonts w:asciiTheme="minorHAnsi" w:hAnsiTheme="minorHAnsi" w:cstheme="minorHAnsi"/>
        </w:rPr>
        <w:t xml:space="preserve"> D</w:t>
      </w:r>
      <w:r w:rsidR="00520771">
        <w:rPr>
          <w:rFonts w:asciiTheme="minorHAnsi" w:hAnsiTheme="minorHAnsi" w:cstheme="minorHAnsi"/>
        </w:rPr>
        <w:t>.</w:t>
      </w:r>
      <w:r w:rsidR="00985FC7" w:rsidRPr="00747E35">
        <w:rPr>
          <w:rFonts w:asciiTheme="minorHAnsi" w:hAnsiTheme="minorHAnsi" w:cstheme="minorHAnsi"/>
        </w:rPr>
        <w:t>W. (2008). The Extreme Environment, Trophic structure, and Ecosystem Dynamics of a Large Fishless desert Spring (Montezuma Well, Arizona). Aridland Springs in North America; Ecology and Con</w:t>
      </w:r>
      <w:r w:rsidR="00520771">
        <w:rPr>
          <w:rFonts w:asciiTheme="minorHAnsi" w:hAnsiTheme="minorHAnsi" w:cstheme="minorHAnsi"/>
        </w:rPr>
        <w:t>servation. L.E. Stevens and V.</w:t>
      </w:r>
      <w:r w:rsidR="00985FC7" w:rsidRPr="00747E35">
        <w:rPr>
          <w:rFonts w:asciiTheme="minorHAnsi" w:hAnsiTheme="minorHAnsi" w:cstheme="minorHAnsi"/>
        </w:rPr>
        <w:t>J. Meretsky. Tucson, The University of Arizona Press: 98-126.</w:t>
      </w:r>
    </w:p>
    <w:p w14:paraId="3B5D6115" w14:textId="72E7A572" w:rsidR="00985FC7" w:rsidRPr="00747E35" w:rsidRDefault="00985FC7" w:rsidP="001737C6">
      <w:pPr>
        <w:pStyle w:val="References"/>
        <w:ind w:left="284" w:hanging="284"/>
        <w:rPr>
          <w:rFonts w:asciiTheme="minorHAnsi" w:hAnsiTheme="minorHAnsi" w:cstheme="minorHAnsi"/>
        </w:rPr>
      </w:pPr>
      <w:r w:rsidRPr="00747E35">
        <w:rPr>
          <w:rFonts w:asciiTheme="minorHAnsi" w:hAnsiTheme="minorHAnsi" w:cstheme="minorHAnsi"/>
        </w:rPr>
        <w:t>Cantonati M</w:t>
      </w:r>
      <w:r w:rsidR="00520771">
        <w:rPr>
          <w:rFonts w:asciiTheme="minorHAnsi" w:hAnsiTheme="minorHAnsi" w:cstheme="minorHAnsi"/>
        </w:rPr>
        <w:t>.</w:t>
      </w:r>
      <w:r w:rsidRPr="00747E35">
        <w:rPr>
          <w:rFonts w:asciiTheme="minorHAnsi" w:hAnsiTheme="minorHAnsi" w:cstheme="minorHAnsi"/>
        </w:rPr>
        <w:t>, Angeli</w:t>
      </w:r>
      <w:r w:rsidR="001737C6">
        <w:rPr>
          <w:rFonts w:asciiTheme="minorHAnsi" w:hAnsiTheme="minorHAnsi" w:cstheme="minorHAnsi"/>
        </w:rPr>
        <w:t xml:space="preserve"> N</w:t>
      </w:r>
      <w:r w:rsidR="00520771">
        <w:rPr>
          <w:rFonts w:asciiTheme="minorHAnsi" w:hAnsiTheme="minorHAnsi" w:cstheme="minorHAnsi"/>
        </w:rPr>
        <w:t>.</w:t>
      </w:r>
      <w:r w:rsidRPr="00747E35">
        <w:rPr>
          <w:rFonts w:asciiTheme="minorHAnsi" w:hAnsiTheme="minorHAnsi" w:cstheme="minorHAnsi"/>
        </w:rPr>
        <w:t>, Bertuzzi</w:t>
      </w:r>
      <w:r w:rsidR="001737C6">
        <w:rPr>
          <w:rFonts w:asciiTheme="minorHAnsi" w:hAnsiTheme="minorHAnsi" w:cstheme="minorHAnsi"/>
        </w:rPr>
        <w:t xml:space="preserve"> E</w:t>
      </w:r>
      <w:r w:rsidR="00520771">
        <w:rPr>
          <w:rFonts w:asciiTheme="minorHAnsi" w:hAnsiTheme="minorHAnsi" w:cstheme="minorHAnsi"/>
        </w:rPr>
        <w:t>.</w:t>
      </w:r>
      <w:r w:rsidRPr="00747E35">
        <w:rPr>
          <w:rFonts w:asciiTheme="minorHAnsi" w:hAnsiTheme="minorHAnsi" w:cstheme="minorHAnsi"/>
        </w:rPr>
        <w:t>, Spitale</w:t>
      </w:r>
      <w:r w:rsidR="001737C6">
        <w:rPr>
          <w:rFonts w:asciiTheme="minorHAnsi" w:hAnsiTheme="minorHAnsi" w:cstheme="minorHAnsi"/>
        </w:rPr>
        <w:t xml:space="preserve"> D</w:t>
      </w:r>
      <w:r w:rsidR="00520771">
        <w:rPr>
          <w:rFonts w:asciiTheme="minorHAnsi" w:hAnsiTheme="minorHAnsi" w:cstheme="minorHAnsi"/>
        </w:rPr>
        <w:t>.</w:t>
      </w:r>
      <w:r w:rsidR="001737C6">
        <w:rPr>
          <w:rFonts w:asciiTheme="minorHAnsi" w:hAnsiTheme="minorHAnsi" w:cstheme="minorHAnsi"/>
        </w:rPr>
        <w:t xml:space="preserve"> &amp; </w:t>
      </w:r>
      <w:r w:rsidRPr="00747E35">
        <w:rPr>
          <w:rFonts w:asciiTheme="minorHAnsi" w:hAnsiTheme="minorHAnsi" w:cstheme="minorHAnsi"/>
        </w:rPr>
        <w:t xml:space="preserve">Lange-Bertalot </w:t>
      </w:r>
      <w:r w:rsidR="001737C6">
        <w:rPr>
          <w:rFonts w:asciiTheme="minorHAnsi" w:hAnsiTheme="minorHAnsi" w:cstheme="minorHAnsi"/>
        </w:rPr>
        <w:t xml:space="preserve">H. </w:t>
      </w:r>
      <w:r w:rsidRPr="00747E35">
        <w:rPr>
          <w:rFonts w:asciiTheme="minorHAnsi" w:hAnsiTheme="minorHAnsi" w:cstheme="minorHAnsi"/>
        </w:rPr>
        <w:t xml:space="preserve">(2012). Diatoms in springs of the Alps: spring types, environmental determinants, and substratum. </w:t>
      </w:r>
      <w:r w:rsidRPr="001737C6">
        <w:rPr>
          <w:rFonts w:asciiTheme="minorHAnsi" w:hAnsiTheme="minorHAnsi" w:cstheme="minorHAnsi"/>
          <w:i/>
        </w:rPr>
        <w:t>Freshwater Science</w:t>
      </w:r>
      <w:r w:rsidRPr="00747E35">
        <w:rPr>
          <w:rFonts w:asciiTheme="minorHAnsi" w:hAnsiTheme="minorHAnsi" w:cstheme="minorHAnsi"/>
        </w:rPr>
        <w:t xml:space="preserve"> 31: 499-524.</w:t>
      </w:r>
    </w:p>
    <w:p w14:paraId="086240D1" w14:textId="3517AB4D" w:rsidR="00985FC7" w:rsidRPr="00747E35" w:rsidRDefault="00985FC7" w:rsidP="001737C6">
      <w:pPr>
        <w:pStyle w:val="References"/>
        <w:ind w:left="284" w:hanging="284"/>
        <w:rPr>
          <w:rFonts w:asciiTheme="minorHAnsi" w:hAnsiTheme="minorHAnsi" w:cstheme="minorHAnsi"/>
        </w:rPr>
      </w:pPr>
      <w:r w:rsidRPr="00747E35">
        <w:rPr>
          <w:rFonts w:asciiTheme="minorHAnsi" w:hAnsiTheme="minorHAnsi" w:cstheme="minorHAnsi"/>
        </w:rPr>
        <w:t xml:space="preserve">De Deckker P. (1979). Ostracods from the mound springs area between Strangways and Curdimurka, South Australia. </w:t>
      </w:r>
      <w:r w:rsidRPr="001737C6">
        <w:rPr>
          <w:rFonts w:asciiTheme="minorHAnsi" w:hAnsiTheme="minorHAnsi" w:cstheme="minorHAnsi"/>
          <w:i/>
        </w:rPr>
        <w:t>Transactions of the Royal Society of South Australia</w:t>
      </w:r>
      <w:r w:rsidRPr="00747E35">
        <w:rPr>
          <w:rFonts w:asciiTheme="minorHAnsi" w:hAnsiTheme="minorHAnsi" w:cstheme="minorHAnsi"/>
        </w:rPr>
        <w:t xml:space="preserve"> 103: 155-168.</w:t>
      </w:r>
    </w:p>
    <w:p w14:paraId="758855B4" w14:textId="4DBB2D8C" w:rsidR="00985FC7" w:rsidRPr="00747E35" w:rsidRDefault="00985FC7" w:rsidP="001737C6">
      <w:pPr>
        <w:pStyle w:val="References"/>
        <w:ind w:left="284" w:hanging="284"/>
        <w:rPr>
          <w:rFonts w:asciiTheme="minorHAnsi" w:hAnsiTheme="minorHAnsi" w:cstheme="minorHAnsi"/>
        </w:rPr>
      </w:pPr>
      <w:r w:rsidRPr="00747E35">
        <w:rPr>
          <w:rFonts w:asciiTheme="minorHAnsi" w:hAnsiTheme="minorHAnsi" w:cstheme="minorHAnsi"/>
        </w:rPr>
        <w:t>Fensham R</w:t>
      </w:r>
      <w:r w:rsidR="00520771">
        <w:rPr>
          <w:rFonts w:asciiTheme="minorHAnsi" w:hAnsiTheme="minorHAnsi" w:cstheme="minorHAnsi"/>
        </w:rPr>
        <w:t>.</w:t>
      </w:r>
      <w:r w:rsidRPr="00747E35">
        <w:rPr>
          <w:rFonts w:asciiTheme="minorHAnsi" w:hAnsiTheme="minorHAnsi" w:cstheme="minorHAnsi"/>
        </w:rPr>
        <w:t xml:space="preserve">, Ponder </w:t>
      </w:r>
      <w:r w:rsidR="001737C6">
        <w:rPr>
          <w:rFonts w:asciiTheme="minorHAnsi" w:hAnsiTheme="minorHAnsi" w:cstheme="minorHAnsi"/>
        </w:rPr>
        <w:t>W</w:t>
      </w:r>
      <w:r w:rsidR="00520771">
        <w:rPr>
          <w:rFonts w:asciiTheme="minorHAnsi" w:hAnsiTheme="minorHAnsi" w:cstheme="minorHAnsi"/>
        </w:rPr>
        <w:t>.</w:t>
      </w:r>
      <w:r w:rsidR="001737C6">
        <w:rPr>
          <w:rFonts w:asciiTheme="minorHAnsi" w:hAnsiTheme="minorHAnsi" w:cstheme="minorHAnsi"/>
        </w:rPr>
        <w:t xml:space="preserve"> &amp; </w:t>
      </w:r>
      <w:r w:rsidRPr="00747E35">
        <w:rPr>
          <w:rFonts w:asciiTheme="minorHAnsi" w:hAnsiTheme="minorHAnsi" w:cstheme="minorHAnsi"/>
        </w:rPr>
        <w:t xml:space="preserve">Fairfax </w:t>
      </w:r>
      <w:r w:rsidR="001737C6">
        <w:rPr>
          <w:rFonts w:asciiTheme="minorHAnsi" w:hAnsiTheme="minorHAnsi" w:cstheme="minorHAnsi"/>
        </w:rPr>
        <w:t>R</w:t>
      </w:r>
      <w:r w:rsidR="00520771">
        <w:rPr>
          <w:rFonts w:asciiTheme="minorHAnsi" w:hAnsiTheme="minorHAnsi" w:cstheme="minorHAnsi"/>
        </w:rPr>
        <w:t>.</w:t>
      </w:r>
      <w:r w:rsidR="001737C6">
        <w:rPr>
          <w:rFonts w:asciiTheme="minorHAnsi" w:hAnsiTheme="minorHAnsi" w:cstheme="minorHAnsi"/>
        </w:rPr>
        <w:t xml:space="preserve"> </w:t>
      </w:r>
      <w:r w:rsidRPr="00747E35">
        <w:rPr>
          <w:rFonts w:asciiTheme="minorHAnsi" w:hAnsiTheme="minorHAnsi" w:cstheme="minorHAnsi"/>
        </w:rPr>
        <w:t>(2010). Recovery plan for the community of native species dependant on natural discharge of groundwater from the Great Artesian Basin. W. Report to the Department of Environment, Heritage and the Arts, Canberra. Queensland Department of Environment and Resource Management.</w:t>
      </w:r>
    </w:p>
    <w:p w14:paraId="3D7138BF" w14:textId="132930D3" w:rsidR="00985FC7" w:rsidRPr="00747E35" w:rsidRDefault="00985FC7" w:rsidP="001737C6">
      <w:pPr>
        <w:pStyle w:val="References"/>
        <w:ind w:left="284" w:hanging="284"/>
        <w:rPr>
          <w:rFonts w:asciiTheme="minorHAnsi" w:hAnsiTheme="minorHAnsi" w:cstheme="minorHAnsi"/>
        </w:rPr>
      </w:pPr>
      <w:r w:rsidRPr="00747E35">
        <w:rPr>
          <w:rFonts w:asciiTheme="minorHAnsi" w:hAnsiTheme="minorHAnsi" w:cstheme="minorHAnsi"/>
        </w:rPr>
        <w:t>Framenau V</w:t>
      </w:r>
      <w:r w:rsidR="00520771">
        <w:rPr>
          <w:rFonts w:asciiTheme="minorHAnsi" w:hAnsiTheme="minorHAnsi" w:cstheme="minorHAnsi"/>
        </w:rPr>
        <w:t>.</w:t>
      </w:r>
      <w:r w:rsidRPr="00747E35">
        <w:rPr>
          <w:rFonts w:asciiTheme="minorHAnsi" w:hAnsiTheme="minorHAnsi" w:cstheme="minorHAnsi"/>
        </w:rPr>
        <w:t>W</w:t>
      </w:r>
      <w:r w:rsidR="00520771">
        <w:rPr>
          <w:rFonts w:asciiTheme="minorHAnsi" w:hAnsiTheme="minorHAnsi" w:cstheme="minorHAnsi"/>
        </w:rPr>
        <w:t>.</w:t>
      </w:r>
      <w:r w:rsidRPr="00747E35">
        <w:rPr>
          <w:rFonts w:asciiTheme="minorHAnsi" w:hAnsiTheme="minorHAnsi" w:cstheme="minorHAnsi"/>
        </w:rPr>
        <w:t xml:space="preserve">, Gotch </w:t>
      </w:r>
      <w:r w:rsidR="001737C6">
        <w:rPr>
          <w:rFonts w:asciiTheme="minorHAnsi" w:hAnsiTheme="minorHAnsi" w:cstheme="minorHAnsi"/>
        </w:rPr>
        <w:t>T</w:t>
      </w:r>
      <w:r w:rsidR="00520771">
        <w:rPr>
          <w:rFonts w:asciiTheme="minorHAnsi" w:hAnsiTheme="minorHAnsi" w:cstheme="minorHAnsi"/>
        </w:rPr>
        <w:t>.</w:t>
      </w:r>
      <w:r w:rsidR="001737C6">
        <w:rPr>
          <w:rFonts w:asciiTheme="minorHAnsi" w:hAnsiTheme="minorHAnsi" w:cstheme="minorHAnsi"/>
        </w:rPr>
        <w:t>B</w:t>
      </w:r>
      <w:r w:rsidR="00520771">
        <w:rPr>
          <w:rFonts w:asciiTheme="minorHAnsi" w:hAnsiTheme="minorHAnsi" w:cstheme="minorHAnsi"/>
        </w:rPr>
        <w:t>.</w:t>
      </w:r>
      <w:r w:rsidR="001737C6">
        <w:rPr>
          <w:rFonts w:asciiTheme="minorHAnsi" w:hAnsiTheme="minorHAnsi" w:cstheme="minorHAnsi"/>
        </w:rPr>
        <w:t xml:space="preserve"> &amp; </w:t>
      </w:r>
      <w:r w:rsidRPr="00747E35">
        <w:rPr>
          <w:rFonts w:asciiTheme="minorHAnsi" w:hAnsiTheme="minorHAnsi" w:cstheme="minorHAnsi"/>
        </w:rPr>
        <w:t xml:space="preserve">Austin </w:t>
      </w:r>
      <w:r w:rsidR="001737C6">
        <w:rPr>
          <w:rFonts w:asciiTheme="minorHAnsi" w:hAnsiTheme="minorHAnsi" w:cstheme="minorHAnsi"/>
        </w:rPr>
        <w:t>A</w:t>
      </w:r>
      <w:r w:rsidR="00520771">
        <w:rPr>
          <w:rFonts w:asciiTheme="minorHAnsi" w:hAnsiTheme="minorHAnsi" w:cstheme="minorHAnsi"/>
        </w:rPr>
        <w:t>.</w:t>
      </w:r>
      <w:r w:rsidR="001737C6">
        <w:rPr>
          <w:rFonts w:asciiTheme="minorHAnsi" w:hAnsiTheme="minorHAnsi" w:cstheme="minorHAnsi"/>
        </w:rPr>
        <w:t xml:space="preserve">D. </w:t>
      </w:r>
      <w:r w:rsidRPr="00747E35">
        <w:rPr>
          <w:rFonts w:asciiTheme="minorHAnsi" w:hAnsiTheme="minorHAnsi" w:cstheme="minorHAnsi"/>
        </w:rPr>
        <w:t xml:space="preserve">(2006). The wolf spiders of artesian springs in arid South Australia, with a revalidation of Tetralycosa (Araneae, Lycosidae). </w:t>
      </w:r>
      <w:r w:rsidRPr="001737C6">
        <w:rPr>
          <w:rFonts w:asciiTheme="minorHAnsi" w:hAnsiTheme="minorHAnsi" w:cstheme="minorHAnsi"/>
          <w:i/>
        </w:rPr>
        <w:t>Journal of Arachnology</w:t>
      </w:r>
      <w:r w:rsidR="001737C6">
        <w:rPr>
          <w:rFonts w:asciiTheme="minorHAnsi" w:hAnsiTheme="minorHAnsi" w:cstheme="minorHAnsi"/>
        </w:rPr>
        <w:t xml:space="preserve"> 34: 1</w:t>
      </w:r>
      <w:r w:rsidRPr="00747E35">
        <w:rPr>
          <w:rFonts w:asciiTheme="minorHAnsi" w:hAnsiTheme="minorHAnsi" w:cstheme="minorHAnsi"/>
        </w:rPr>
        <w:t>-36.</w:t>
      </w:r>
    </w:p>
    <w:p w14:paraId="3B9AD8CB" w14:textId="60F7954C" w:rsidR="00985FC7" w:rsidRPr="00747E35" w:rsidRDefault="00985FC7" w:rsidP="001737C6">
      <w:pPr>
        <w:pStyle w:val="References"/>
        <w:ind w:left="284" w:hanging="284"/>
        <w:rPr>
          <w:rFonts w:asciiTheme="minorHAnsi" w:hAnsiTheme="minorHAnsi" w:cstheme="minorHAnsi"/>
        </w:rPr>
      </w:pPr>
      <w:r w:rsidRPr="00747E35">
        <w:rPr>
          <w:rFonts w:asciiTheme="minorHAnsi" w:hAnsiTheme="minorHAnsi" w:cstheme="minorHAnsi"/>
        </w:rPr>
        <w:t>Greenslade P. (1985). Terrestrial invertebrates of the mound springs, bores, creek beds and other habitats. South Australia's Mound Springs. J. Greenslade, L. Joseph and A. Reeves. Adelaide, Nature Conservation Society of South Australia Inc: 64 - 77.</w:t>
      </w:r>
    </w:p>
    <w:p w14:paraId="3E7BC2AE" w14:textId="2E42DAA2" w:rsidR="00985FC7" w:rsidRPr="00747E35" w:rsidRDefault="00985FC7" w:rsidP="001737C6">
      <w:pPr>
        <w:pStyle w:val="References"/>
        <w:ind w:left="284" w:hanging="284"/>
        <w:rPr>
          <w:rFonts w:asciiTheme="minorHAnsi" w:hAnsiTheme="minorHAnsi" w:cstheme="minorHAnsi"/>
        </w:rPr>
      </w:pPr>
      <w:r w:rsidRPr="00747E35">
        <w:rPr>
          <w:rFonts w:asciiTheme="minorHAnsi" w:hAnsiTheme="minorHAnsi" w:cstheme="minorHAnsi"/>
        </w:rPr>
        <w:t>Harvey M</w:t>
      </w:r>
      <w:r w:rsidR="00520771">
        <w:rPr>
          <w:rFonts w:asciiTheme="minorHAnsi" w:hAnsiTheme="minorHAnsi" w:cstheme="minorHAnsi"/>
        </w:rPr>
        <w:t>.</w:t>
      </w:r>
      <w:r w:rsidR="005E04D7">
        <w:rPr>
          <w:rFonts w:asciiTheme="minorHAnsi" w:hAnsiTheme="minorHAnsi" w:cstheme="minorHAnsi"/>
        </w:rPr>
        <w:t xml:space="preserve">S. (1990). </w:t>
      </w:r>
      <w:r w:rsidRPr="00747E35">
        <w:rPr>
          <w:rFonts w:asciiTheme="minorHAnsi" w:hAnsiTheme="minorHAnsi" w:cstheme="minorHAnsi"/>
        </w:rPr>
        <w:t>A review of the water mite family Anisitsi</w:t>
      </w:r>
      <w:r w:rsidR="005E04D7">
        <w:rPr>
          <w:rFonts w:asciiTheme="minorHAnsi" w:hAnsiTheme="minorHAnsi" w:cstheme="minorHAnsi"/>
        </w:rPr>
        <w:t>ellidae in Australia (Acarina).</w:t>
      </w:r>
      <w:r w:rsidRPr="00747E35">
        <w:rPr>
          <w:rFonts w:asciiTheme="minorHAnsi" w:hAnsiTheme="minorHAnsi" w:cstheme="minorHAnsi"/>
        </w:rPr>
        <w:t xml:space="preserve"> </w:t>
      </w:r>
      <w:r w:rsidRPr="005E04D7">
        <w:rPr>
          <w:rFonts w:asciiTheme="minorHAnsi" w:hAnsiTheme="minorHAnsi" w:cstheme="minorHAnsi"/>
          <w:i/>
        </w:rPr>
        <w:t>Invertebrate Systematics</w:t>
      </w:r>
      <w:r w:rsidR="005E04D7">
        <w:rPr>
          <w:rFonts w:asciiTheme="minorHAnsi" w:hAnsiTheme="minorHAnsi" w:cstheme="minorHAnsi"/>
        </w:rPr>
        <w:t xml:space="preserve"> 3</w:t>
      </w:r>
      <w:r w:rsidRPr="00747E35">
        <w:rPr>
          <w:rFonts w:asciiTheme="minorHAnsi" w:hAnsiTheme="minorHAnsi" w:cstheme="minorHAnsi"/>
        </w:rPr>
        <w:t>: 629-646.</w:t>
      </w:r>
    </w:p>
    <w:p w14:paraId="2CE86C5F" w14:textId="77777777" w:rsidR="00985FC7" w:rsidRPr="00747E35" w:rsidRDefault="00985FC7" w:rsidP="001737C6">
      <w:pPr>
        <w:pStyle w:val="References"/>
        <w:ind w:left="284" w:hanging="284"/>
        <w:rPr>
          <w:rFonts w:asciiTheme="minorHAnsi" w:hAnsiTheme="minorHAnsi" w:cstheme="minorHAnsi"/>
        </w:rPr>
      </w:pPr>
      <w:r w:rsidRPr="00747E35">
        <w:rPr>
          <w:rFonts w:asciiTheme="minorHAnsi" w:hAnsiTheme="minorHAnsi" w:cstheme="minorHAnsi"/>
        </w:rPr>
        <w:t>Kinhill (1997). Olympic Dam Expansion Project Environmental Impact Statement. Prepared for WMC (Olympic Dam Corporation) Pty Ltd by Kinhill Engineers Pty Ltd.</w:t>
      </w:r>
    </w:p>
    <w:p w14:paraId="6B924636" w14:textId="55CA335F" w:rsidR="00985FC7" w:rsidRPr="00747E35" w:rsidRDefault="00985FC7" w:rsidP="001737C6">
      <w:pPr>
        <w:pStyle w:val="References"/>
        <w:ind w:left="284" w:hanging="284"/>
        <w:rPr>
          <w:rFonts w:asciiTheme="minorHAnsi" w:hAnsiTheme="minorHAnsi" w:cstheme="minorHAnsi"/>
        </w:rPr>
      </w:pPr>
      <w:r w:rsidRPr="00747E35">
        <w:rPr>
          <w:rFonts w:asciiTheme="minorHAnsi" w:hAnsiTheme="minorHAnsi" w:cstheme="minorHAnsi"/>
        </w:rPr>
        <w:t>Ling H</w:t>
      </w:r>
      <w:r w:rsidR="00520771">
        <w:rPr>
          <w:rFonts w:asciiTheme="minorHAnsi" w:hAnsiTheme="minorHAnsi" w:cstheme="minorHAnsi"/>
        </w:rPr>
        <w:t>.</w:t>
      </w:r>
      <w:r w:rsidRPr="00747E35">
        <w:rPr>
          <w:rFonts w:asciiTheme="minorHAnsi" w:hAnsiTheme="minorHAnsi" w:cstheme="minorHAnsi"/>
        </w:rPr>
        <w:t xml:space="preserve">U. (1989). Micro-algae. Natural History of Dalhousie Springs. W. Zeidler and W. F. Ponder. Adelaide, </w:t>
      </w:r>
      <w:r w:rsidRPr="005E04D7">
        <w:rPr>
          <w:rFonts w:asciiTheme="minorHAnsi" w:hAnsiTheme="minorHAnsi" w:cstheme="minorHAnsi"/>
          <w:i/>
        </w:rPr>
        <w:t>South Australian Museum</w:t>
      </w:r>
      <w:r w:rsidRPr="00747E35">
        <w:rPr>
          <w:rFonts w:asciiTheme="minorHAnsi" w:hAnsiTheme="minorHAnsi" w:cstheme="minorHAnsi"/>
        </w:rPr>
        <w:t>: 47 - 52.</w:t>
      </w:r>
    </w:p>
    <w:p w14:paraId="659C6D51" w14:textId="64346874" w:rsidR="00985FC7" w:rsidRPr="00747E35" w:rsidRDefault="00985FC7" w:rsidP="001737C6">
      <w:pPr>
        <w:pStyle w:val="References"/>
        <w:ind w:left="284" w:hanging="284"/>
        <w:rPr>
          <w:rFonts w:asciiTheme="minorHAnsi" w:hAnsiTheme="minorHAnsi" w:cstheme="minorHAnsi"/>
        </w:rPr>
      </w:pPr>
      <w:r w:rsidRPr="00747E35">
        <w:rPr>
          <w:rFonts w:asciiTheme="minorHAnsi" w:hAnsiTheme="minorHAnsi" w:cstheme="minorHAnsi"/>
        </w:rPr>
        <w:t>Mitchell</w:t>
      </w:r>
      <w:r w:rsidR="005E04D7">
        <w:rPr>
          <w:rFonts w:asciiTheme="minorHAnsi" w:hAnsiTheme="minorHAnsi" w:cstheme="minorHAnsi"/>
        </w:rPr>
        <w:t xml:space="preserve"> B. (1985). </w:t>
      </w:r>
      <w:r w:rsidRPr="00747E35">
        <w:rPr>
          <w:rFonts w:asciiTheme="minorHAnsi" w:hAnsiTheme="minorHAnsi" w:cstheme="minorHAnsi"/>
        </w:rPr>
        <w:t>Limnology of mound springs and temporary pools south a</w:t>
      </w:r>
      <w:r w:rsidR="005E04D7">
        <w:rPr>
          <w:rFonts w:asciiTheme="minorHAnsi" w:hAnsiTheme="minorHAnsi" w:cstheme="minorHAnsi"/>
        </w:rPr>
        <w:t>nd west of Lake Eyre.</w:t>
      </w:r>
      <w:r w:rsidRPr="00747E35">
        <w:rPr>
          <w:rFonts w:asciiTheme="minorHAnsi" w:hAnsiTheme="minorHAnsi" w:cstheme="minorHAnsi"/>
        </w:rPr>
        <w:t xml:space="preserve"> South Australias mound springs. Adelaide: Nature Conservation Society of South Australia Inc.</w:t>
      </w:r>
    </w:p>
    <w:p w14:paraId="3D1AA540" w14:textId="79D82AF7" w:rsidR="00985FC7" w:rsidRPr="00747E35" w:rsidRDefault="005E04D7" w:rsidP="001737C6">
      <w:pPr>
        <w:pStyle w:val="References"/>
        <w:ind w:left="284" w:hanging="284"/>
        <w:rPr>
          <w:rFonts w:asciiTheme="minorHAnsi" w:hAnsiTheme="minorHAnsi" w:cstheme="minorHAnsi"/>
        </w:rPr>
      </w:pPr>
      <w:r>
        <w:rPr>
          <w:rFonts w:asciiTheme="minorHAnsi" w:hAnsiTheme="minorHAnsi" w:cstheme="minorHAnsi"/>
        </w:rPr>
        <w:t>Page</w:t>
      </w:r>
      <w:r w:rsidR="00985FC7" w:rsidRPr="00747E35">
        <w:rPr>
          <w:rFonts w:asciiTheme="minorHAnsi" w:hAnsiTheme="minorHAnsi" w:cstheme="minorHAnsi"/>
        </w:rPr>
        <w:t xml:space="preserve"> T</w:t>
      </w:r>
      <w:r w:rsidR="00520771">
        <w:rPr>
          <w:rFonts w:asciiTheme="minorHAnsi" w:hAnsiTheme="minorHAnsi" w:cstheme="minorHAnsi"/>
        </w:rPr>
        <w:t>.</w:t>
      </w:r>
      <w:r w:rsidR="00985FC7" w:rsidRPr="00747E35">
        <w:rPr>
          <w:rFonts w:asciiTheme="minorHAnsi" w:hAnsiTheme="minorHAnsi" w:cstheme="minorHAnsi"/>
        </w:rPr>
        <w:t>J</w:t>
      </w:r>
      <w:r w:rsidR="00520771">
        <w:rPr>
          <w:rFonts w:asciiTheme="minorHAnsi" w:hAnsiTheme="minorHAnsi" w:cstheme="minorHAnsi"/>
        </w:rPr>
        <w:t>.</w:t>
      </w:r>
      <w:r w:rsidR="00985FC7" w:rsidRPr="00747E35">
        <w:rPr>
          <w:rFonts w:asciiTheme="minorHAnsi" w:hAnsiTheme="minorHAnsi" w:cstheme="minorHAnsi"/>
        </w:rPr>
        <w:t>, Baker</w:t>
      </w:r>
      <w:r>
        <w:rPr>
          <w:rFonts w:asciiTheme="minorHAnsi" w:hAnsiTheme="minorHAnsi" w:cstheme="minorHAnsi"/>
        </w:rPr>
        <w:t xml:space="preserve"> A</w:t>
      </w:r>
      <w:r w:rsidR="00520771">
        <w:rPr>
          <w:rFonts w:asciiTheme="minorHAnsi" w:hAnsiTheme="minorHAnsi" w:cstheme="minorHAnsi"/>
        </w:rPr>
        <w:t>.</w:t>
      </w:r>
      <w:r>
        <w:rPr>
          <w:rFonts w:asciiTheme="minorHAnsi" w:hAnsiTheme="minorHAnsi" w:cstheme="minorHAnsi"/>
        </w:rPr>
        <w:t>M</w:t>
      </w:r>
      <w:r w:rsidR="00985FC7" w:rsidRPr="00747E35">
        <w:rPr>
          <w:rFonts w:asciiTheme="minorHAnsi" w:hAnsiTheme="minorHAnsi" w:cstheme="minorHAnsi"/>
        </w:rPr>
        <w:t xml:space="preserve">, Cook </w:t>
      </w:r>
      <w:r>
        <w:rPr>
          <w:rFonts w:asciiTheme="minorHAnsi" w:hAnsiTheme="minorHAnsi" w:cstheme="minorHAnsi"/>
        </w:rPr>
        <w:t>B</w:t>
      </w:r>
      <w:r w:rsidR="00520771">
        <w:rPr>
          <w:rFonts w:asciiTheme="minorHAnsi" w:hAnsiTheme="minorHAnsi" w:cstheme="minorHAnsi"/>
        </w:rPr>
        <w:t>.</w:t>
      </w:r>
      <w:r>
        <w:rPr>
          <w:rFonts w:asciiTheme="minorHAnsi" w:hAnsiTheme="minorHAnsi" w:cstheme="minorHAnsi"/>
        </w:rPr>
        <w:t>D</w:t>
      </w:r>
      <w:r w:rsidR="00520771">
        <w:rPr>
          <w:rFonts w:asciiTheme="minorHAnsi" w:hAnsiTheme="minorHAnsi" w:cstheme="minorHAnsi"/>
        </w:rPr>
        <w:t>.</w:t>
      </w:r>
      <w:r>
        <w:rPr>
          <w:rFonts w:asciiTheme="minorHAnsi" w:hAnsiTheme="minorHAnsi" w:cstheme="minorHAnsi"/>
        </w:rPr>
        <w:t xml:space="preserve"> &amp; </w:t>
      </w:r>
      <w:r w:rsidR="00985FC7" w:rsidRPr="00747E35">
        <w:rPr>
          <w:rFonts w:asciiTheme="minorHAnsi" w:hAnsiTheme="minorHAnsi" w:cstheme="minorHAnsi"/>
        </w:rPr>
        <w:t xml:space="preserve">Hughes </w:t>
      </w:r>
      <w:r>
        <w:rPr>
          <w:rFonts w:asciiTheme="minorHAnsi" w:hAnsiTheme="minorHAnsi" w:cstheme="minorHAnsi"/>
        </w:rPr>
        <w:t>J</w:t>
      </w:r>
      <w:r w:rsidR="00520771">
        <w:rPr>
          <w:rFonts w:asciiTheme="minorHAnsi" w:hAnsiTheme="minorHAnsi" w:cstheme="minorHAnsi"/>
        </w:rPr>
        <w:t>.</w:t>
      </w:r>
      <w:r>
        <w:rPr>
          <w:rFonts w:asciiTheme="minorHAnsi" w:hAnsiTheme="minorHAnsi" w:cstheme="minorHAnsi"/>
        </w:rPr>
        <w:t xml:space="preserve">M. (2005). </w:t>
      </w:r>
      <w:r w:rsidR="00985FC7" w:rsidRPr="00747E35">
        <w:rPr>
          <w:rFonts w:asciiTheme="minorHAnsi" w:hAnsiTheme="minorHAnsi" w:cstheme="minorHAnsi"/>
        </w:rPr>
        <w:t xml:space="preserve">Historical transoceanic dispersal of a freshwater shrimp: the colonization of the South Pacific </w:t>
      </w:r>
      <w:r>
        <w:rPr>
          <w:rFonts w:asciiTheme="minorHAnsi" w:hAnsiTheme="minorHAnsi" w:cstheme="minorHAnsi"/>
        </w:rPr>
        <w:t>by the genus Paratya (Atyidae).</w:t>
      </w:r>
      <w:r w:rsidR="00985FC7" w:rsidRPr="00747E35">
        <w:rPr>
          <w:rFonts w:asciiTheme="minorHAnsi" w:hAnsiTheme="minorHAnsi" w:cstheme="minorHAnsi"/>
        </w:rPr>
        <w:t xml:space="preserve"> </w:t>
      </w:r>
      <w:r w:rsidR="00985FC7" w:rsidRPr="005E04D7">
        <w:rPr>
          <w:rFonts w:asciiTheme="minorHAnsi" w:hAnsiTheme="minorHAnsi" w:cstheme="minorHAnsi"/>
          <w:i/>
        </w:rPr>
        <w:t>Journal of Biogeography</w:t>
      </w:r>
      <w:r w:rsidR="00985FC7" w:rsidRPr="00747E35">
        <w:rPr>
          <w:rFonts w:asciiTheme="minorHAnsi" w:hAnsiTheme="minorHAnsi" w:cstheme="minorHAnsi"/>
        </w:rPr>
        <w:t xml:space="preserve"> 32: 581-593.</w:t>
      </w:r>
    </w:p>
    <w:p w14:paraId="42426683" w14:textId="1CDD7D7C" w:rsidR="00985FC7" w:rsidRPr="00747E35" w:rsidRDefault="005E04D7" w:rsidP="001737C6">
      <w:pPr>
        <w:pStyle w:val="References"/>
        <w:ind w:left="284" w:hanging="284"/>
        <w:rPr>
          <w:rFonts w:asciiTheme="minorHAnsi" w:hAnsiTheme="minorHAnsi" w:cstheme="minorHAnsi"/>
        </w:rPr>
      </w:pPr>
      <w:r>
        <w:rPr>
          <w:rFonts w:asciiTheme="minorHAnsi" w:hAnsiTheme="minorHAnsi" w:cstheme="minorHAnsi"/>
        </w:rPr>
        <w:t>Pauls</w:t>
      </w:r>
      <w:r w:rsidR="00985FC7" w:rsidRPr="00747E35">
        <w:rPr>
          <w:rFonts w:asciiTheme="minorHAnsi" w:hAnsiTheme="minorHAnsi" w:cstheme="minorHAnsi"/>
        </w:rPr>
        <w:t xml:space="preserve"> S</w:t>
      </w:r>
      <w:r w:rsidR="00520771">
        <w:rPr>
          <w:rFonts w:asciiTheme="minorHAnsi" w:hAnsiTheme="minorHAnsi" w:cstheme="minorHAnsi"/>
        </w:rPr>
        <w:t>.</w:t>
      </w:r>
      <w:r w:rsidR="00985FC7" w:rsidRPr="00747E35">
        <w:rPr>
          <w:rFonts w:asciiTheme="minorHAnsi" w:hAnsiTheme="minorHAnsi" w:cstheme="minorHAnsi"/>
        </w:rPr>
        <w:t>U</w:t>
      </w:r>
      <w:r w:rsidR="00520771">
        <w:rPr>
          <w:rFonts w:asciiTheme="minorHAnsi" w:hAnsiTheme="minorHAnsi" w:cstheme="minorHAnsi"/>
        </w:rPr>
        <w:t>.</w:t>
      </w:r>
      <w:r w:rsidR="00985FC7" w:rsidRPr="00747E35">
        <w:rPr>
          <w:rFonts w:asciiTheme="minorHAnsi" w:hAnsiTheme="minorHAnsi" w:cstheme="minorHAnsi"/>
        </w:rPr>
        <w:t>, Theissinger</w:t>
      </w:r>
      <w:r>
        <w:rPr>
          <w:rFonts w:asciiTheme="minorHAnsi" w:hAnsiTheme="minorHAnsi" w:cstheme="minorHAnsi"/>
        </w:rPr>
        <w:t xml:space="preserve"> K</w:t>
      </w:r>
      <w:r w:rsidR="00520771">
        <w:rPr>
          <w:rFonts w:asciiTheme="minorHAnsi" w:hAnsiTheme="minorHAnsi" w:cstheme="minorHAnsi"/>
        </w:rPr>
        <w:t>.</w:t>
      </w:r>
      <w:r w:rsidR="00985FC7" w:rsidRPr="00747E35">
        <w:rPr>
          <w:rFonts w:asciiTheme="minorHAnsi" w:hAnsiTheme="minorHAnsi" w:cstheme="minorHAnsi"/>
        </w:rPr>
        <w:t>, Ujvarosi</w:t>
      </w:r>
      <w:r>
        <w:rPr>
          <w:rFonts w:asciiTheme="minorHAnsi" w:hAnsiTheme="minorHAnsi" w:cstheme="minorHAnsi"/>
        </w:rPr>
        <w:t xml:space="preserve"> L</w:t>
      </w:r>
      <w:r w:rsidR="00520771">
        <w:rPr>
          <w:rFonts w:asciiTheme="minorHAnsi" w:hAnsiTheme="minorHAnsi" w:cstheme="minorHAnsi"/>
        </w:rPr>
        <w:t>.</w:t>
      </w:r>
      <w:r w:rsidR="00985FC7" w:rsidRPr="00747E35">
        <w:rPr>
          <w:rFonts w:asciiTheme="minorHAnsi" w:hAnsiTheme="minorHAnsi" w:cstheme="minorHAnsi"/>
        </w:rPr>
        <w:t xml:space="preserve">, Balint </w:t>
      </w:r>
      <w:r>
        <w:rPr>
          <w:rFonts w:asciiTheme="minorHAnsi" w:hAnsiTheme="minorHAnsi" w:cstheme="minorHAnsi"/>
        </w:rPr>
        <w:t>M</w:t>
      </w:r>
      <w:r w:rsidR="00520771">
        <w:rPr>
          <w:rFonts w:asciiTheme="minorHAnsi" w:hAnsiTheme="minorHAnsi" w:cstheme="minorHAnsi"/>
        </w:rPr>
        <w:t>.</w:t>
      </w:r>
      <w:r>
        <w:rPr>
          <w:rFonts w:asciiTheme="minorHAnsi" w:hAnsiTheme="minorHAnsi" w:cstheme="minorHAnsi"/>
        </w:rPr>
        <w:t xml:space="preserve"> &amp; </w:t>
      </w:r>
      <w:r w:rsidR="00985FC7" w:rsidRPr="00747E35">
        <w:rPr>
          <w:rFonts w:asciiTheme="minorHAnsi" w:hAnsiTheme="minorHAnsi" w:cstheme="minorHAnsi"/>
        </w:rPr>
        <w:t xml:space="preserve">Haase </w:t>
      </w:r>
      <w:r>
        <w:rPr>
          <w:rFonts w:asciiTheme="minorHAnsi" w:hAnsiTheme="minorHAnsi" w:cstheme="minorHAnsi"/>
        </w:rPr>
        <w:t xml:space="preserve">P. (2009). </w:t>
      </w:r>
      <w:r w:rsidR="00985FC7" w:rsidRPr="00747E35">
        <w:rPr>
          <w:rFonts w:asciiTheme="minorHAnsi" w:hAnsiTheme="minorHAnsi" w:cstheme="minorHAnsi"/>
        </w:rPr>
        <w:t>Patterns of population structure in two closely related, partially sympatric caddisflies in Eastern Europe: historic introgression, limited d</w:t>
      </w:r>
      <w:r>
        <w:rPr>
          <w:rFonts w:asciiTheme="minorHAnsi" w:hAnsiTheme="minorHAnsi" w:cstheme="minorHAnsi"/>
        </w:rPr>
        <w:t>ispersal, and cryptic diversity.</w:t>
      </w:r>
      <w:r w:rsidR="00985FC7" w:rsidRPr="00747E35">
        <w:rPr>
          <w:rFonts w:asciiTheme="minorHAnsi" w:hAnsiTheme="minorHAnsi" w:cstheme="minorHAnsi"/>
        </w:rPr>
        <w:t xml:space="preserve"> </w:t>
      </w:r>
      <w:r w:rsidR="00985FC7" w:rsidRPr="005E04D7">
        <w:rPr>
          <w:rFonts w:asciiTheme="minorHAnsi" w:hAnsiTheme="minorHAnsi" w:cstheme="minorHAnsi"/>
          <w:i/>
        </w:rPr>
        <w:t>Journal of the North Amer</w:t>
      </w:r>
      <w:r w:rsidRPr="005E04D7">
        <w:rPr>
          <w:rFonts w:asciiTheme="minorHAnsi" w:hAnsiTheme="minorHAnsi" w:cstheme="minorHAnsi"/>
          <w:i/>
        </w:rPr>
        <w:t>ican Benthological Society</w:t>
      </w:r>
      <w:r>
        <w:rPr>
          <w:rFonts w:asciiTheme="minorHAnsi" w:hAnsiTheme="minorHAnsi" w:cstheme="minorHAnsi"/>
        </w:rPr>
        <w:t xml:space="preserve"> 28</w:t>
      </w:r>
      <w:r w:rsidR="00985FC7" w:rsidRPr="00747E35">
        <w:rPr>
          <w:rFonts w:asciiTheme="minorHAnsi" w:hAnsiTheme="minorHAnsi" w:cstheme="minorHAnsi"/>
        </w:rPr>
        <w:t>: 517-536.</w:t>
      </w:r>
    </w:p>
    <w:p w14:paraId="0255F354" w14:textId="7823BAA9" w:rsidR="005E04D7" w:rsidRPr="00747E35" w:rsidRDefault="005E04D7" w:rsidP="005E04D7">
      <w:pPr>
        <w:pStyle w:val="References"/>
        <w:ind w:left="284" w:hanging="284"/>
        <w:rPr>
          <w:rFonts w:asciiTheme="minorHAnsi" w:hAnsiTheme="minorHAnsi" w:cstheme="minorHAnsi"/>
        </w:rPr>
      </w:pPr>
      <w:r w:rsidRPr="00747E35">
        <w:rPr>
          <w:rFonts w:asciiTheme="minorHAnsi" w:hAnsiTheme="minorHAnsi" w:cstheme="minorHAnsi"/>
        </w:rPr>
        <w:t>Ponder W</w:t>
      </w:r>
      <w:r w:rsidR="00520771">
        <w:rPr>
          <w:rFonts w:asciiTheme="minorHAnsi" w:hAnsiTheme="minorHAnsi" w:cstheme="minorHAnsi"/>
        </w:rPr>
        <w:t>.</w:t>
      </w:r>
      <w:r w:rsidRPr="00747E35">
        <w:rPr>
          <w:rFonts w:asciiTheme="minorHAnsi" w:hAnsiTheme="minorHAnsi" w:cstheme="minorHAnsi"/>
        </w:rPr>
        <w:t>F. (1986). Mound springs of the Great Artesian Basin. Limnology in Australia, Springer: 403-420.</w:t>
      </w:r>
    </w:p>
    <w:p w14:paraId="08637667" w14:textId="227353BF" w:rsidR="00985FC7" w:rsidRPr="00747E35" w:rsidRDefault="005E04D7" w:rsidP="001737C6">
      <w:pPr>
        <w:pStyle w:val="References"/>
        <w:ind w:left="284" w:hanging="284"/>
        <w:rPr>
          <w:rFonts w:asciiTheme="minorHAnsi" w:hAnsiTheme="minorHAnsi" w:cstheme="minorHAnsi"/>
        </w:rPr>
      </w:pPr>
      <w:r>
        <w:rPr>
          <w:rFonts w:asciiTheme="minorHAnsi" w:hAnsiTheme="minorHAnsi" w:cstheme="minorHAnsi"/>
        </w:rPr>
        <w:t>Ponder</w:t>
      </w:r>
      <w:r w:rsidR="00985FC7" w:rsidRPr="00747E35">
        <w:rPr>
          <w:rFonts w:asciiTheme="minorHAnsi" w:hAnsiTheme="minorHAnsi" w:cstheme="minorHAnsi"/>
        </w:rPr>
        <w:t xml:space="preserve"> W</w:t>
      </w:r>
      <w:r w:rsidR="00520771">
        <w:rPr>
          <w:rFonts w:asciiTheme="minorHAnsi" w:hAnsiTheme="minorHAnsi" w:cstheme="minorHAnsi"/>
        </w:rPr>
        <w:t>.</w:t>
      </w:r>
      <w:r w:rsidR="00985FC7" w:rsidRPr="00747E35">
        <w:rPr>
          <w:rFonts w:asciiTheme="minorHAnsi" w:hAnsiTheme="minorHAnsi" w:cstheme="minorHAnsi"/>
        </w:rPr>
        <w:t xml:space="preserve">, Vial </w:t>
      </w:r>
      <w:r>
        <w:rPr>
          <w:rFonts w:asciiTheme="minorHAnsi" w:hAnsiTheme="minorHAnsi" w:cstheme="minorHAnsi"/>
        </w:rPr>
        <w:t>M</w:t>
      </w:r>
      <w:r w:rsidR="00520771">
        <w:rPr>
          <w:rFonts w:asciiTheme="minorHAnsi" w:hAnsiTheme="minorHAnsi" w:cstheme="minorHAnsi"/>
        </w:rPr>
        <w:t>.</w:t>
      </w:r>
      <w:r>
        <w:rPr>
          <w:rFonts w:asciiTheme="minorHAnsi" w:hAnsiTheme="minorHAnsi" w:cstheme="minorHAnsi"/>
        </w:rPr>
        <w:t xml:space="preserve"> &amp; </w:t>
      </w:r>
      <w:r w:rsidR="00985FC7" w:rsidRPr="00747E35">
        <w:rPr>
          <w:rFonts w:asciiTheme="minorHAnsi" w:hAnsiTheme="minorHAnsi" w:cstheme="minorHAnsi"/>
        </w:rPr>
        <w:t xml:space="preserve">Jefferys </w:t>
      </w:r>
      <w:r>
        <w:rPr>
          <w:rFonts w:asciiTheme="minorHAnsi" w:hAnsiTheme="minorHAnsi" w:cstheme="minorHAnsi"/>
        </w:rPr>
        <w:t xml:space="preserve">E. </w:t>
      </w:r>
      <w:r w:rsidR="00985FC7" w:rsidRPr="00747E35">
        <w:rPr>
          <w:rFonts w:asciiTheme="minorHAnsi" w:hAnsiTheme="minorHAnsi" w:cstheme="minorHAnsi"/>
        </w:rPr>
        <w:t>(2010). The aquatic macroinvertebrates in the springs on Edgbaston Station, Queensland, Queensland Museum.</w:t>
      </w:r>
    </w:p>
    <w:p w14:paraId="3BBC95AE" w14:textId="7C9598A4" w:rsidR="00985FC7" w:rsidRPr="00747E35" w:rsidRDefault="005E04D7" w:rsidP="001737C6">
      <w:pPr>
        <w:pStyle w:val="References"/>
        <w:ind w:left="284" w:hanging="284"/>
        <w:rPr>
          <w:rFonts w:asciiTheme="minorHAnsi" w:hAnsiTheme="minorHAnsi" w:cstheme="minorHAnsi"/>
        </w:rPr>
      </w:pPr>
      <w:r>
        <w:rPr>
          <w:rFonts w:asciiTheme="minorHAnsi" w:hAnsiTheme="minorHAnsi" w:cstheme="minorHAnsi"/>
        </w:rPr>
        <w:t>Sabatino</w:t>
      </w:r>
      <w:r w:rsidR="00985FC7" w:rsidRPr="00747E35">
        <w:rPr>
          <w:rFonts w:asciiTheme="minorHAnsi" w:hAnsiTheme="minorHAnsi" w:cstheme="minorHAnsi"/>
        </w:rPr>
        <w:t xml:space="preserve"> A</w:t>
      </w:r>
      <w:r w:rsidR="00520771">
        <w:rPr>
          <w:rFonts w:asciiTheme="minorHAnsi" w:hAnsiTheme="minorHAnsi" w:cstheme="minorHAnsi"/>
        </w:rPr>
        <w:t>.</w:t>
      </w:r>
      <w:r w:rsidR="00985FC7" w:rsidRPr="00747E35">
        <w:rPr>
          <w:rFonts w:asciiTheme="minorHAnsi" w:hAnsiTheme="minorHAnsi" w:cstheme="minorHAnsi"/>
        </w:rPr>
        <w:t>D</w:t>
      </w:r>
      <w:r w:rsidR="00520771">
        <w:rPr>
          <w:rFonts w:asciiTheme="minorHAnsi" w:hAnsiTheme="minorHAnsi" w:cstheme="minorHAnsi"/>
        </w:rPr>
        <w:t>.</w:t>
      </w:r>
      <w:r w:rsidR="00985FC7" w:rsidRPr="00747E35">
        <w:rPr>
          <w:rFonts w:asciiTheme="minorHAnsi" w:hAnsiTheme="minorHAnsi" w:cstheme="minorHAnsi"/>
        </w:rPr>
        <w:t xml:space="preserve">, Cicolani </w:t>
      </w:r>
      <w:r>
        <w:rPr>
          <w:rFonts w:asciiTheme="minorHAnsi" w:hAnsiTheme="minorHAnsi" w:cstheme="minorHAnsi"/>
        </w:rPr>
        <w:t>B</w:t>
      </w:r>
      <w:r w:rsidR="00520771">
        <w:rPr>
          <w:rFonts w:asciiTheme="minorHAnsi" w:hAnsiTheme="minorHAnsi" w:cstheme="minorHAnsi"/>
        </w:rPr>
        <w:t>.</w:t>
      </w:r>
      <w:r>
        <w:rPr>
          <w:rFonts w:asciiTheme="minorHAnsi" w:hAnsiTheme="minorHAnsi" w:cstheme="minorHAnsi"/>
        </w:rPr>
        <w:t xml:space="preserve"> &amp; </w:t>
      </w:r>
      <w:r w:rsidR="00985FC7" w:rsidRPr="00747E35">
        <w:rPr>
          <w:rFonts w:asciiTheme="minorHAnsi" w:hAnsiTheme="minorHAnsi" w:cstheme="minorHAnsi"/>
        </w:rPr>
        <w:t xml:space="preserve">Gerecke </w:t>
      </w:r>
      <w:r>
        <w:rPr>
          <w:rFonts w:asciiTheme="minorHAnsi" w:hAnsiTheme="minorHAnsi" w:cstheme="minorHAnsi"/>
        </w:rPr>
        <w:t xml:space="preserve">R. (2003). </w:t>
      </w:r>
      <w:r w:rsidR="00985FC7" w:rsidRPr="00747E35">
        <w:rPr>
          <w:rFonts w:asciiTheme="minorHAnsi" w:hAnsiTheme="minorHAnsi" w:cstheme="minorHAnsi"/>
        </w:rPr>
        <w:t>Biodiversity and distribution of water mites (Acari, Hy</w:t>
      </w:r>
      <w:r>
        <w:rPr>
          <w:rFonts w:asciiTheme="minorHAnsi" w:hAnsiTheme="minorHAnsi" w:cstheme="minorHAnsi"/>
        </w:rPr>
        <w:t>drachnidia) in spring habitats.</w:t>
      </w:r>
      <w:r w:rsidR="00985FC7" w:rsidRPr="00747E35">
        <w:rPr>
          <w:rFonts w:asciiTheme="minorHAnsi" w:hAnsiTheme="minorHAnsi" w:cstheme="minorHAnsi"/>
        </w:rPr>
        <w:t xml:space="preserve"> </w:t>
      </w:r>
      <w:r w:rsidR="00985FC7" w:rsidRPr="005E04D7">
        <w:rPr>
          <w:rFonts w:asciiTheme="minorHAnsi" w:hAnsiTheme="minorHAnsi" w:cstheme="minorHAnsi"/>
          <w:i/>
        </w:rPr>
        <w:t>Freshwater Biology</w:t>
      </w:r>
      <w:r w:rsidR="00985FC7" w:rsidRPr="00747E35">
        <w:rPr>
          <w:rFonts w:asciiTheme="minorHAnsi" w:hAnsiTheme="minorHAnsi" w:cstheme="minorHAnsi"/>
        </w:rPr>
        <w:t xml:space="preserve"> 48: 2163-2173.</w:t>
      </w:r>
    </w:p>
    <w:p w14:paraId="4CC70CA0" w14:textId="1F49F0DD" w:rsidR="00985FC7" w:rsidRPr="00747E35" w:rsidRDefault="005E04D7" w:rsidP="001737C6">
      <w:pPr>
        <w:pStyle w:val="References"/>
        <w:ind w:left="284" w:hanging="284"/>
        <w:rPr>
          <w:rFonts w:asciiTheme="minorHAnsi" w:hAnsiTheme="minorHAnsi" w:cstheme="minorHAnsi"/>
        </w:rPr>
      </w:pPr>
      <w:r>
        <w:rPr>
          <w:rFonts w:asciiTheme="minorHAnsi" w:hAnsiTheme="minorHAnsi" w:cstheme="minorHAnsi"/>
        </w:rPr>
        <w:t>Sluys</w:t>
      </w:r>
      <w:r w:rsidR="00985FC7" w:rsidRPr="00747E35">
        <w:rPr>
          <w:rFonts w:asciiTheme="minorHAnsi" w:hAnsiTheme="minorHAnsi" w:cstheme="minorHAnsi"/>
        </w:rPr>
        <w:t xml:space="preserve"> R.</w:t>
      </w:r>
      <w:r>
        <w:rPr>
          <w:rFonts w:asciiTheme="minorHAnsi" w:hAnsiTheme="minorHAnsi" w:cstheme="minorHAnsi"/>
        </w:rPr>
        <w:t xml:space="preserve"> (1986). </w:t>
      </w:r>
      <w:r w:rsidR="00985FC7" w:rsidRPr="00747E35">
        <w:rPr>
          <w:rFonts w:asciiTheme="minorHAnsi" w:hAnsiTheme="minorHAnsi" w:cstheme="minorHAnsi"/>
        </w:rPr>
        <w:t xml:space="preserve">First representative of the order macrostomida in Australia (Platyhelminthes, Macrostomidae). </w:t>
      </w:r>
      <w:r w:rsidR="00985FC7" w:rsidRPr="005E04D7">
        <w:rPr>
          <w:rFonts w:asciiTheme="minorHAnsi" w:hAnsiTheme="minorHAnsi" w:cstheme="minorHAnsi"/>
          <w:i/>
        </w:rPr>
        <w:t>Records of the South Australian Museum</w:t>
      </w:r>
      <w:r>
        <w:rPr>
          <w:rFonts w:asciiTheme="minorHAnsi" w:hAnsiTheme="minorHAnsi" w:cstheme="minorHAnsi"/>
        </w:rPr>
        <w:t xml:space="preserve"> 19</w:t>
      </w:r>
      <w:r w:rsidR="00985FC7" w:rsidRPr="00747E35">
        <w:rPr>
          <w:rFonts w:asciiTheme="minorHAnsi" w:hAnsiTheme="minorHAnsi" w:cstheme="minorHAnsi"/>
        </w:rPr>
        <w:t>: 399-404.</w:t>
      </w:r>
    </w:p>
    <w:p w14:paraId="0B3C3CDB" w14:textId="2824DCE8" w:rsidR="00985FC7" w:rsidRPr="00747E35" w:rsidRDefault="005E04D7" w:rsidP="001737C6">
      <w:pPr>
        <w:pStyle w:val="References"/>
        <w:ind w:left="284" w:hanging="284"/>
        <w:rPr>
          <w:rFonts w:asciiTheme="minorHAnsi" w:hAnsiTheme="minorHAnsi" w:cstheme="minorHAnsi"/>
        </w:rPr>
      </w:pPr>
      <w:r>
        <w:rPr>
          <w:rFonts w:asciiTheme="minorHAnsi" w:hAnsiTheme="minorHAnsi" w:cstheme="minorHAnsi"/>
        </w:rPr>
        <w:t>Sluys</w:t>
      </w:r>
      <w:r w:rsidR="00985FC7" w:rsidRPr="00747E35">
        <w:rPr>
          <w:rFonts w:asciiTheme="minorHAnsi" w:hAnsiTheme="minorHAnsi" w:cstheme="minorHAnsi"/>
        </w:rPr>
        <w:t xml:space="preserve"> R</w:t>
      </w:r>
      <w:r w:rsidR="00520771">
        <w:rPr>
          <w:rFonts w:asciiTheme="minorHAnsi" w:hAnsiTheme="minorHAnsi" w:cstheme="minorHAnsi"/>
        </w:rPr>
        <w:t>.</w:t>
      </w:r>
      <w:r w:rsidR="00985FC7" w:rsidRPr="00747E35">
        <w:rPr>
          <w:rFonts w:asciiTheme="minorHAnsi" w:hAnsiTheme="minorHAnsi" w:cstheme="minorHAnsi"/>
        </w:rPr>
        <w:t xml:space="preserve">, Grant </w:t>
      </w:r>
      <w:r>
        <w:rPr>
          <w:rFonts w:asciiTheme="minorHAnsi" w:hAnsiTheme="minorHAnsi" w:cstheme="minorHAnsi"/>
        </w:rPr>
        <w:t>L</w:t>
      </w:r>
      <w:r w:rsidR="00520771">
        <w:rPr>
          <w:rFonts w:asciiTheme="minorHAnsi" w:hAnsiTheme="minorHAnsi" w:cstheme="minorHAnsi"/>
        </w:rPr>
        <w:t>.</w:t>
      </w:r>
      <w:r>
        <w:rPr>
          <w:rFonts w:asciiTheme="minorHAnsi" w:hAnsiTheme="minorHAnsi" w:cstheme="minorHAnsi"/>
        </w:rPr>
        <w:t>J</w:t>
      </w:r>
      <w:r w:rsidR="00520771">
        <w:rPr>
          <w:rFonts w:asciiTheme="minorHAnsi" w:hAnsiTheme="minorHAnsi" w:cstheme="minorHAnsi"/>
        </w:rPr>
        <w:t>.</w:t>
      </w:r>
      <w:r>
        <w:rPr>
          <w:rFonts w:asciiTheme="minorHAnsi" w:hAnsiTheme="minorHAnsi" w:cstheme="minorHAnsi"/>
        </w:rPr>
        <w:t xml:space="preserve"> &amp; B</w:t>
      </w:r>
      <w:r w:rsidR="00985FC7" w:rsidRPr="00747E35">
        <w:rPr>
          <w:rFonts w:asciiTheme="minorHAnsi" w:hAnsiTheme="minorHAnsi" w:cstheme="minorHAnsi"/>
        </w:rPr>
        <w:t>lair</w:t>
      </w:r>
      <w:r>
        <w:rPr>
          <w:rFonts w:asciiTheme="minorHAnsi" w:hAnsiTheme="minorHAnsi" w:cstheme="minorHAnsi"/>
        </w:rPr>
        <w:t xml:space="preserve"> D.</w:t>
      </w:r>
      <w:r w:rsidR="00985FC7" w:rsidRPr="00747E35">
        <w:rPr>
          <w:rFonts w:asciiTheme="minorHAnsi" w:hAnsiTheme="minorHAnsi" w:cstheme="minorHAnsi"/>
        </w:rPr>
        <w:t xml:space="preserve"> (2007). Freshwater planarians from artesian springs in Queensland, Australia (Platyhelmi</w:t>
      </w:r>
      <w:r>
        <w:rPr>
          <w:rFonts w:asciiTheme="minorHAnsi" w:hAnsiTheme="minorHAnsi" w:cstheme="minorHAnsi"/>
        </w:rPr>
        <w:t>nthes, Tricladida, Paludicola).</w:t>
      </w:r>
      <w:r w:rsidR="00985FC7" w:rsidRPr="00747E35">
        <w:rPr>
          <w:rFonts w:asciiTheme="minorHAnsi" w:hAnsiTheme="minorHAnsi" w:cstheme="minorHAnsi"/>
        </w:rPr>
        <w:t xml:space="preserve"> </w:t>
      </w:r>
      <w:r w:rsidR="00985FC7" w:rsidRPr="005E04D7">
        <w:rPr>
          <w:rFonts w:asciiTheme="minorHAnsi" w:hAnsiTheme="minorHAnsi" w:cstheme="minorHAnsi"/>
          <w:i/>
        </w:rPr>
        <w:t>Contributions to Zoology</w:t>
      </w:r>
      <w:r w:rsidR="00985FC7" w:rsidRPr="00747E35">
        <w:rPr>
          <w:rFonts w:asciiTheme="minorHAnsi" w:hAnsiTheme="minorHAnsi" w:cstheme="minorHAnsi"/>
        </w:rPr>
        <w:t xml:space="preserve"> 76: 9-19.</w:t>
      </w:r>
    </w:p>
    <w:p w14:paraId="20F75229" w14:textId="5B9FCB0D" w:rsidR="00985FC7" w:rsidRPr="00747E35" w:rsidRDefault="005E04D7" w:rsidP="001737C6">
      <w:pPr>
        <w:pStyle w:val="References"/>
        <w:ind w:left="284" w:hanging="284"/>
        <w:rPr>
          <w:rFonts w:asciiTheme="minorHAnsi" w:hAnsiTheme="minorHAnsi" w:cstheme="minorHAnsi"/>
        </w:rPr>
      </w:pPr>
      <w:r>
        <w:rPr>
          <w:rFonts w:asciiTheme="minorHAnsi" w:hAnsiTheme="minorHAnsi" w:cstheme="minorHAnsi"/>
        </w:rPr>
        <w:t>Sokol</w:t>
      </w:r>
      <w:r w:rsidR="00985FC7" w:rsidRPr="00747E35">
        <w:rPr>
          <w:rFonts w:asciiTheme="minorHAnsi" w:hAnsiTheme="minorHAnsi" w:cstheme="minorHAnsi"/>
        </w:rPr>
        <w:t xml:space="preserve"> A. (1987). Yabbies at Dalhousie Springs, northern South Australia: morphological evidence for long term isolation [</w:t>
      </w:r>
      <w:r w:rsidR="00985FC7" w:rsidRPr="005E04D7">
        <w:rPr>
          <w:rFonts w:asciiTheme="minorHAnsi" w:hAnsiTheme="minorHAnsi" w:cstheme="minorHAnsi"/>
          <w:i/>
        </w:rPr>
        <w:t>Cherax destructor</w:t>
      </w:r>
      <w:r w:rsidR="00985FC7" w:rsidRPr="00747E35">
        <w:rPr>
          <w:rFonts w:asciiTheme="minorHAnsi" w:hAnsiTheme="minorHAnsi" w:cstheme="minorHAnsi"/>
        </w:rPr>
        <w:t>].[Brief communica</w:t>
      </w:r>
      <w:r>
        <w:rPr>
          <w:rFonts w:asciiTheme="minorHAnsi" w:hAnsiTheme="minorHAnsi" w:cstheme="minorHAnsi"/>
        </w:rPr>
        <w:t>tion].</w:t>
      </w:r>
      <w:r w:rsidR="00985FC7" w:rsidRPr="00747E35">
        <w:rPr>
          <w:rFonts w:asciiTheme="minorHAnsi" w:hAnsiTheme="minorHAnsi" w:cstheme="minorHAnsi"/>
        </w:rPr>
        <w:t xml:space="preserve"> </w:t>
      </w:r>
      <w:r w:rsidR="00985FC7" w:rsidRPr="005E04D7">
        <w:rPr>
          <w:rFonts w:asciiTheme="minorHAnsi" w:hAnsiTheme="minorHAnsi" w:cstheme="minorHAnsi"/>
          <w:i/>
        </w:rPr>
        <w:t>Transactions of the Royal Society of South Australia</w:t>
      </w:r>
      <w:r w:rsidR="00985FC7" w:rsidRPr="00747E35">
        <w:rPr>
          <w:rFonts w:asciiTheme="minorHAnsi" w:hAnsiTheme="minorHAnsi" w:cstheme="minorHAnsi"/>
        </w:rPr>
        <w:t>.</w:t>
      </w:r>
    </w:p>
    <w:p w14:paraId="4B17B600" w14:textId="43C02332" w:rsidR="00985FC7" w:rsidRPr="00747E35" w:rsidRDefault="005E04D7" w:rsidP="001737C6">
      <w:pPr>
        <w:pStyle w:val="References"/>
        <w:ind w:left="284" w:hanging="284"/>
        <w:rPr>
          <w:rFonts w:asciiTheme="minorHAnsi" w:hAnsiTheme="minorHAnsi" w:cstheme="minorHAnsi"/>
        </w:rPr>
      </w:pPr>
      <w:r>
        <w:rPr>
          <w:rFonts w:asciiTheme="minorHAnsi" w:hAnsiTheme="minorHAnsi" w:cstheme="minorHAnsi"/>
        </w:rPr>
        <w:t xml:space="preserve">Symon D. (1984). </w:t>
      </w:r>
      <w:r w:rsidR="00985FC7" w:rsidRPr="00747E35">
        <w:rPr>
          <w:rFonts w:asciiTheme="minorHAnsi" w:hAnsiTheme="minorHAnsi" w:cstheme="minorHAnsi"/>
        </w:rPr>
        <w:t>A checklist of plants of Dalhousie Spring</w:t>
      </w:r>
      <w:r>
        <w:rPr>
          <w:rFonts w:asciiTheme="minorHAnsi" w:hAnsiTheme="minorHAnsi" w:cstheme="minorHAnsi"/>
        </w:rPr>
        <w:t>s and their immediate environs.</w:t>
      </w:r>
      <w:r w:rsidR="00985FC7" w:rsidRPr="00747E35">
        <w:rPr>
          <w:rFonts w:asciiTheme="minorHAnsi" w:hAnsiTheme="minorHAnsi" w:cstheme="minorHAnsi"/>
        </w:rPr>
        <w:t xml:space="preserve"> </w:t>
      </w:r>
      <w:r w:rsidR="00985FC7" w:rsidRPr="005E04D7">
        <w:rPr>
          <w:rFonts w:asciiTheme="minorHAnsi" w:hAnsiTheme="minorHAnsi" w:cstheme="minorHAnsi"/>
          <w:i/>
        </w:rPr>
        <w:t>Journal of the Adelaide Botanic Gardens</w:t>
      </w:r>
      <w:r>
        <w:rPr>
          <w:rFonts w:asciiTheme="minorHAnsi" w:hAnsiTheme="minorHAnsi" w:cstheme="minorHAnsi"/>
        </w:rPr>
        <w:t xml:space="preserve"> 7</w:t>
      </w:r>
      <w:r w:rsidR="00985FC7" w:rsidRPr="00747E35">
        <w:rPr>
          <w:rFonts w:asciiTheme="minorHAnsi" w:hAnsiTheme="minorHAnsi" w:cstheme="minorHAnsi"/>
        </w:rPr>
        <w:t>: 127-134.</w:t>
      </w:r>
    </w:p>
    <w:p w14:paraId="67AE064C" w14:textId="293B6EFF" w:rsidR="00985FC7" w:rsidRPr="00747E35" w:rsidRDefault="005E04D7" w:rsidP="001737C6">
      <w:pPr>
        <w:pStyle w:val="References"/>
        <w:ind w:left="284" w:hanging="284"/>
        <w:rPr>
          <w:rFonts w:asciiTheme="minorHAnsi" w:hAnsiTheme="minorHAnsi" w:cstheme="minorHAnsi"/>
        </w:rPr>
      </w:pPr>
      <w:r>
        <w:rPr>
          <w:rFonts w:asciiTheme="minorHAnsi" w:hAnsiTheme="minorHAnsi" w:cstheme="minorHAnsi"/>
        </w:rPr>
        <w:t xml:space="preserve">Tyler </w:t>
      </w:r>
      <w:r w:rsidR="00985FC7" w:rsidRPr="00747E35">
        <w:rPr>
          <w:rFonts w:asciiTheme="minorHAnsi" w:hAnsiTheme="minorHAnsi" w:cstheme="minorHAnsi"/>
        </w:rPr>
        <w:t>P</w:t>
      </w:r>
      <w:r w:rsidR="00520771">
        <w:rPr>
          <w:rFonts w:asciiTheme="minorHAnsi" w:hAnsiTheme="minorHAnsi" w:cstheme="minorHAnsi"/>
        </w:rPr>
        <w:t>.</w:t>
      </w:r>
      <w:r w:rsidR="00985FC7" w:rsidRPr="00747E35">
        <w:rPr>
          <w:rFonts w:asciiTheme="minorHAnsi" w:hAnsiTheme="minorHAnsi" w:cstheme="minorHAnsi"/>
        </w:rPr>
        <w:t>A. (1996). Endemism in freshwater algae. Biogeography of freshwater algae, Springer: 127-135.</w:t>
      </w:r>
    </w:p>
    <w:p w14:paraId="1A348BD2" w14:textId="77777777" w:rsidR="00985FC7" w:rsidRPr="00747E35" w:rsidRDefault="00985FC7" w:rsidP="00985FC7">
      <w:pPr>
        <w:pStyle w:val="References"/>
        <w:rPr>
          <w:rFonts w:asciiTheme="minorHAnsi" w:hAnsiTheme="minorHAnsi" w:cstheme="minorHAnsi"/>
        </w:rPr>
      </w:pPr>
    </w:p>
    <w:p w14:paraId="6CE4B494" w14:textId="77777777" w:rsidR="00985FC7" w:rsidRPr="00747E35" w:rsidRDefault="00985FC7" w:rsidP="00985FC7">
      <w:pPr>
        <w:rPr>
          <w:rFonts w:asciiTheme="minorHAnsi" w:hAnsiTheme="minorHAnsi" w:cstheme="minorHAnsi"/>
        </w:rPr>
      </w:pPr>
      <w:r w:rsidRPr="00747E35">
        <w:rPr>
          <w:rFonts w:asciiTheme="minorHAnsi" w:hAnsiTheme="minorHAnsi" w:cstheme="minorHAnsi"/>
        </w:rPr>
        <w:br w:type="page"/>
      </w:r>
    </w:p>
    <w:p w14:paraId="1CF081F0" w14:textId="43F69CC0" w:rsidR="00985FC7" w:rsidRPr="00747E35" w:rsidRDefault="00985FC7" w:rsidP="00793A29">
      <w:pPr>
        <w:pStyle w:val="Caption"/>
        <w:numPr>
          <w:ilvl w:val="0"/>
          <w:numId w:val="0"/>
        </w:numPr>
        <w:rPr>
          <w:rFonts w:cstheme="minorHAnsi"/>
        </w:rPr>
      </w:pPr>
      <w:bookmarkStart w:id="501" w:name="_Ref467224841"/>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60</w:t>
      </w:r>
      <w:r w:rsidR="009D6600" w:rsidRPr="00747E35">
        <w:rPr>
          <w:rFonts w:cstheme="minorHAnsi"/>
          <w:noProof/>
        </w:rPr>
        <w:fldChar w:fldCharType="end"/>
      </w:r>
      <w:bookmarkEnd w:id="501"/>
      <w:r w:rsidRPr="00747E35">
        <w:rPr>
          <w:rFonts w:cstheme="minorHAnsi"/>
        </w:rPr>
        <w:t>: The information types used to score the relative information base available from the l</w:t>
      </w:r>
      <w:r w:rsidR="00501E99">
        <w:rPr>
          <w:rFonts w:cstheme="minorHAnsi"/>
        </w:rPr>
        <w:t xml:space="preserve">iterature for each endemic taxon </w:t>
      </w:r>
      <w:r w:rsidRPr="00747E35">
        <w:rPr>
          <w:rFonts w:cstheme="minorHAnsi"/>
        </w:rPr>
        <w:t>included in this review.</w:t>
      </w:r>
    </w:p>
    <w:tbl>
      <w:tblPr>
        <w:tblW w:w="9356" w:type="dxa"/>
        <w:tblLook w:val="04A0" w:firstRow="1" w:lastRow="0" w:firstColumn="1" w:lastColumn="0" w:noHBand="0" w:noVBand="1"/>
      </w:tblPr>
      <w:tblGrid>
        <w:gridCol w:w="1511"/>
        <w:gridCol w:w="2175"/>
        <w:gridCol w:w="2126"/>
        <w:gridCol w:w="1843"/>
        <w:gridCol w:w="1701"/>
      </w:tblGrid>
      <w:tr w:rsidR="00985FC7" w:rsidRPr="00747E35" w14:paraId="74CD33F1" w14:textId="77777777" w:rsidTr="0071418B">
        <w:trPr>
          <w:trHeight w:val="20"/>
        </w:trPr>
        <w:tc>
          <w:tcPr>
            <w:tcW w:w="1511" w:type="dxa"/>
            <w:tcBorders>
              <w:top w:val="single" w:sz="4" w:space="0" w:color="auto"/>
            </w:tcBorders>
            <w:shd w:val="clear" w:color="auto" w:fill="DEEAF6" w:themeFill="accent1" w:themeFillTint="33"/>
          </w:tcPr>
          <w:p w14:paraId="51B58484" w14:textId="77777777" w:rsidR="00985FC7" w:rsidRPr="00747E35" w:rsidRDefault="00985FC7" w:rsidP="00697C1D">
            <w:pPr>
              <w:pStyle w:val="TableHead"/>
              <w:spacing w:before="0" w:after="0"/>
              <w:rPr>
                <w:rFonts w:asciiTheme="minorHAnsi" w:hAnsiTheme="minorHAnsi" w:cstheme="minorHAnsi"/>
                <w:b w:val="0"/>
              </w:rPr>
            </w:pPr>
          </w:p>
        </w:tc>
        <w:tc>
          <w:tcPr>
            <w:tcW w:w="7845" w:type="dxa"/>
            <w:gridSpan w:val="4"/>
            <w:tcBorders>
              <w:top w:val="single" w:sz="4" w:space="0" w:color="auto"/>
              <w:bottom w:val="single" w:sz="4" w:space="0" w:color="auto"/>
            </w:tcBorders>
            <w:shd w:val="clear" w:color="auto" w:fill="DEEAF6" w:themeFill="accent1" w:themeFillTint="33"/>
          </w:tcPr>
          <w:p w14:paraId="3BA99BDD" w14:textId="77777777" w:rsidR="00985FC7" w:rsidRPr="00747E35" w:rsidRDefault="00985FC7" w:rsidP="00623F21">
            <w:pPr>
              <w:pStyle w:val="TableHead"/>
              <w:spacing w:before="0" w:after="0"/>
              <w:jc w:val="center"/>
              <w:rPr>
                <w:rFonts w:asciiTheme="minorHAnsi" w:hAnsiTheme="minorHAnsi" w:cstheme="minorHAnsi"/>
                <w:b w:val="0"/>
              </w:rPr>
            </w:pPr>
            <w:r w:rsidRPr="00747E35">
              <w:rPr>
                <w:rFonts w:asciiTheme="minorHAnsi" w:hAnsiTheme="minorHAnsi" w:cstheme="minorHAnsi"/>
              </w:rPr>
              <w:t>Information availability</w:t>
            </w:r>
          </w:p>
        </w:tc>
      </w:tr>
      <w:tr w:rsidR="00985FC7" w:rsidRPr="00747E35" w14:paraId="50894A11" w14:textId="77777777" w:rsidTr="0071418B">
        <w:trPr>
          <w:trHeight w:val="20"/>
        </w:trPr>
        <w:tc>
          <w:tcPr>
            <w:tcW w:w="1511" w:type="dxa"/>
            <w:tcBorders>
              <w:bottom w:val="single" w:sz="4" w:space="0" w:color="auto"/>
            </w:tcBorders>
            <w:shd w:val="clear" w:color="auto" w:fill="DEEAF6" w:themeFill="accent1" w:themeFillTint="33"/>
          </w:tcPr>
          <w:p w14:paraId="7F4E8967" w14:textId="77777777" w:rsidR="00985FC7" w:rsidRPr="00747E35" w:rsidRDefault="00985FC7" w:rsidP="00697C1D">
            <w:pPr>
              <w:pStyle w:val="TableHead"/>
              <w:spacing w:before="0" w:after="0"/>
              <w:rPr>
                <w:rFonts w:asciiTheme="minorHAnsi" w:hAnsiTheme="minorHAnsi" w:cstheme="minorHAnsi"/>
                <w:b w:val="0"/>
              </w:rPr>
            </w:pPr>
            <w:r w:rsidRPr="00747E35">
              <w:rPr>
                <w:rFonts w:asciiTheme="minorHAnsi" w:hAnsiTheme="minorHAnsi" w:cstheme="minorHAnsi"/>
              </w:rPr>
              <w:t>Information type</w:t>
            </w:r>
          </w:p>
        </w:tc>
        <w:tc>
          <w:tcPr>
            <w:tcW w:w="2175" w:type="dxa"/>
            <w:tcBorders>
              <w:top w:val="single" w:sz="4" w:space="0" w:color="auto"/>
              <w:bottom w:val="single" w:sz="4" w:space="0" w:color="auto"/>
            </w:tcBorders>
            <w:shd w:val="clear" w:color="auto" w:fill="DEEAF6" w:themeFill="accent1" w:themeFillTint="33"/>
          </w:tcPr>
          <w:p w14:paraId="02FA2125" w14:textId="77777777" w:rsidR="00985FC7" w:rsidRPr="00747E35" w:rsidRDefault="00985FC7" w:rsidP="00697C1D">
            <w:pPr>
              <w:pStyle w:val="TableHead"/>
              <w:spacing w:before="0" w:after="0"/>
              <w:rPr>
                <w:rFonts w:asciiTheme="minorHAnsi" w:hAnsiTheme="minorHAnsi" w:cstheme="minorHAnsi"/>
                <w:b w:val="0"/>
              </w:rPr>
            </w:pPr>
            <w:r w:rsidRPr="00747E35">
              <w:rPr>
                <w:rFonts w:asciiTheme="minorHAnsi" w:hAnsiTheme="minorHAnsi" w:cstheme="minorHAnsi"/>
                <w:b w:val="0"/>
              </w:rPr>
              <w:t>High (Score = 4)</w:t>
            </w:r>
          </w:p>
        </w:tc>
        <w:tc>
          <w:tcPr>
            <w:tcW w:w="2126" w:type="dxa"/>
            <w:tcBorders>
              <w:top w:val="single" w:sz="4" w:space="0" w:color="auto"/>
              <w:bottom w:val="single" w:sz="4" w:space="0" w:color="auto"/>
            </w:tcBorders>
            <w:shd w:val="clear" w:color="auto" w:fill="DEEAF6" w:themeFill="accent1" w:themeFillTint="33"/>
          </w:tcPr>
          <w:p w14:paraId="50D62B22" w14:textId="77777777" w:rsidR="00985FC7" w:rsidRPr="00747E35" w:rsidRDefault="00985FC7" w:rsidP="00697C1D">
            <w:pPr>
              <w:pStyle w:val="TableHead"/>
              <w:spacing w:before="0" w:after="0"/>
              <w:rPr>
                <w:rFonts w:asciiTheme="minorHAnsi" w:hAnsiTheme="minorHAnsi" w:cstheme="minorHAnsi"/>
                <w:b w:val="0"/>
              </w:rPr>
            </w:pPr>
            <w:r w:rsidRPr="00747E35">
              <w:rPr>
                <w:rFonts w:asciiTheme="minorHAnsi" w:hAnsiTheme="minorHAnsi" w:cstheme="minorHAnsi"/>
                <w:b w:val="0"/>
              </w:rPr>
              <w:t>Moderate (Score = 3)</w:t>
            </w:r>
          </w:p>
        </w:tc>
        <w:tc>
          <w:tcPr>
            <w:tcW w:w="1843" w:type="dxa"/>
            <w:tcBorders>
              <w:top w:val="single" w:sz="4" w:space="0" w:color="auto"/>
              <w:bottom w:val="single" w:sz="4" w:space="0" w:color="auto"/>
            </w:tcBorders>
            <w:shd w:val="clear" w:color="auto" w:fill="DEEAF6" w:themeFill="accent1" w:themeFillTint="33"/>
          </w:tcPr>
          <w:p w14:paraId="43419504" w14:textId="77777777" w:rsidR="00985FC7" w:rsidRPr="00747E35" w:rsidRDefault="00985FC7" w:rsidP="00697C1D">
            <w:pPr>
              <w:pStyle w:val="TableHead"/>
              <w:spacing w:before="0" w:after="0"/>
              <w:rPr>
                <w:rFonts w:asciiTheme="minorHAnsi" w:hAnsiTheme="minorHAnsi" w:cstheme="minorHAnsi"/>
                <w:b w:val="0"/>
              </w:rPr>
            </w:pPr>
            <w:r w:rsidRPr="00747E35">
              <w:rPr>
                <w:rFonts w:asciiTheme="minorHAnsi" w:hAnsiTheme="minorHAnsi" w:cstheme="minorHAnsi"/>
                <w:b w:val="0"/>
              </w:rPr>
              <w:t>Low (Score = 2)</w:t>
            </w:r>
          </w:p>
        </w:tc>
        <w:tc>
          <w:tcPr>
            <w:tcW w:w="1701" w:type="dxa"/>
            <w:tcBorders>
              <w:top w:val="single" w:sz="4" w:space="0" w:color="auto"/>
              <w:bottom w:val="single" w:sz="4" w:space="0" w:color="auto"/>
            </w:tcBorders>
            <w:shd w:val="clear" w:color="auto" w:fill="DEEAF6" w:themeFill="accent1" w:themeFillTint="33"/>
          </w:tcPr>
          <w:p w14:paraId="45FE86E1" w14:textId="77777777" w:rsidR="00985FC7" w:rsidRPr="00747E35" w:rsidRDefault="00985FC7" w:rsidP="00697C1D">
            <w:pPr>
              <w:pStyle w:val="TableHead"/>
              <w:spacing w:before="0" w:after="0"/>
              <w:rPr>
                <w:rFonts w:asciiTheme="minorHAnsi" w:hAnsiTheme="minorHAnsi" w:cstheme="minorHAnsi"/>
                <w:b w:val="0"/>
              </w:rPr>
            </w:pPr>
            <w:r w:rsidRPr="00747E35">
              <w:rPr>
                <w:rFonts w:asciiTheme="minorHAnsi" w:hAnsiTheme="minorHAnsi" w:cstheme="minorHAnsi"/>
                <w:b w:val="0"/>
              </w:rPr>
              <w:t>None (Score = 1)</w:t>
            </w:r>
          </w:p>
        </w:tc>
      </w:tr>
      <w:tr w:rsidR="00501E99" w:rsidRPr="00747E35" w14:paraId="3B424C33" w14:textId="77777777" w:rsidTr="00623F21">
        <w:trPr>
          <w:trHeight w:val="20"/>
        </w:trPr>
        <w:tc>
          <w:tcPr>
            <w:tcW w:w="1511" w:type="dxa"/>
            <w:tcBorders>
              <w:top w:val="single" w:sz="4" w:space="0" w:color="auto"/>
              <w:bottom w:val="single" w:sz="4" w:space="0" w:color="auto"/>
            </w:tcBorders>
          </w:tcPr>
          <w:p w14:paraId="3DEB5055" w14:textId="77777777" w:rsidR="00501E99" w:rsidRPr="00747E35" w:rsidRDefault="00501E99" w:rsidP="00501E99">
            <w:pPr>
              <w:pStyle w:val="Tabletext"/>
              <w:spacing w:before="0" w:after="0"/>
              <w:rPr>
                <w:rFonts w:cstheme="minorHAnsi"/>
              </w:rPr>
            </w:pPr>
            <w:r w:rsidRPr="00747E35">
              <w:rPr>
                <w:rFonts w:cstheme="minorHAnsi"/>
              </w:rPr>
              <w:t>Taxonomy</w:t>
            </w:r>
          </w:p>
        </w:tc>
        <w:tc>
          <w:tcPr>
            <w:tcW w:w="2175" w:type="dxa"/>
            <w:tcBorders>
              <w:top w:val="single" w:sz="4" w:space="0" w:color="auto"/>
              <w:bottom w:val="single" w:sz="4" w:space="0" w:color="auto"/>
            </w:tcBorders>
          </w:tcPr>
          <w:p w14:paraId="0775A4C6" w14:textId="5BAC6003" w:rsidR="00501E99" w:rsidRPr="00747E35" w:rsidRDefault="00501E99" w:rsidP="00501E99">
            <w:pPr>
              <w:pStyle w:val="Tabletext"/>
              <w:spacing w:before="0" w:after="0"/>
              <w:rPr>
                <w:rFonts w:cstheme="minorHAnsi"/>
              </w:rPr>
            </w:pPr>
            <w:r w:rsidRPr="00747E35">
              <w:rPr>
                <w:rFonts w:cstheme="minorHAnsi"/>
              </w:rPr>
              <w:t>Full morphological description supported by genetic (DNA) assessment of relationship to other species and potential cryptic species complexes if it occupies &gt;1 complex or supergroup</w:t>
            </w:r>
          </w:p>
        </w:tc>
        <w:tc>
          <w:tcPr>
            <w:tcW w:w="2126" w:type="dxa"/>
            <w:tcBorders>
              <w:top w:val="single" w:sz="4" w:space="0" w:color="auto"/>
              <w:bottom w:val="single" w:sz="4" w:space="0" w:color="auto"/>
            </w:tcBorders>
          </w:tcPr>
          <w:p w14:paraId="473EF5E1" w14:textId="73B5385F" w:rsidR="00501E99" w:rsidRPr="00747E35" w:rsidRDefault="00501E99" w:rsidP="00501E99">
            <w:pPr>
              <w:pStyle w:val="Tabletext"/>
              <w:spacing w:before="0" w:after="0"/>
              <w:rPr>
                <w:rFonts w:cstheme="minorHAnsi"/>
              </w:rPr>
            </w:pPr>
            <w:r w:rsidRPr="00A43425">
              <w:t>In depth morphological description with brief genetic analysis at species level</w:t>
            </w:r>
            <w:r>
              <w:t>;</w:t>
            </w:r>
            <w:r w:rsidRPr="00A43425">
              <w:t xml:space="preserve"> if range &gt;1 complex no in-depth enquiry regarding potential cryptic species or </w:t>
            </w:r>
            <w:r>
              <w:t>evolutionarily significant units</w:t>
            </w:r>
          </w:p>
        </w:tc>
        <w:tc>
          <w:tcPr>
            <w:tcW w:w="1843" w:type="dxa"/>
            <w:tcBorders>
              <w:top w:val="single" w:sz="4" w:space="0" w:color="auto"/>
              <w:bottom w:val="single" w:sz="4" w:space="0" w:color="auto"/>
            </w:tcBorders>
          </w:tcPr>
          <w:p w14:paraId="556B8A2F" w14:textId="77777777" w:rsidR="00501E99" w:rsidRPr="00747E35" w:rsidRDefault="00501E99" w:rsidP="00501E99">
            <w:pPr>
              <w:pStyle w:val="Tabletext"/>
              <w:spacing w:before="0" w:after="0"/>
              <w:rPr>
                <w:rFonts w:cstheme="minorHAnsi"/>
              </w:rPr>
            </w:pPr>
            <w:r w:rsidRPr="00747E35">
              <w:rPr>
                <w:rFonts w:cstheme="minorHAnsi"/>
              </w:rPr>
              <w:t>Morphological descriptions but no genetic data</w:t>
            </w:r>
          </w:p>
          <w:p w14:paraId="19A117ED" w14:textId="77777777" w:rsidR="00501E99" w:rsidRPr="00747E35" w:rsidRDefault="00501E99" w:rsidP="00501E99">
            <w:pPr>
              <w:pStyle w:val="Tabletext"/>
              <w:spacing w:before="0" w:after="0"/>
              <w:rPr>
                <w:rFonts w:cstheme="minorHAnsi"/>
              </w:rPr>
            </w:pPr>
          </w:p>
        </w:tc>
        <w:tc>
          <w:tcPr>
            <w:tcW w:w="1701" w:type="dxa"/>
            <w:tcBorders>
              <w:top w:val="single" w:sz="4" w:space="0" w:color="auto"/>
              <w:bottom w:val="single" w:sz="4" w:space="0" w:color="auto"/>
            </w:tcBorders>
          </w:tcPr>
          <w:p w14:paraId="541F9352" w14:textId="77777777" w:rsidR="00501E99" w:rsidRPr="00747E35" w:rsidRDefault="00501E99" w:rsidP="00501E99">
            <w:pPr>
              <w:pStyle w:val="Tabletext"/>
              <w:spacing w:before="0" w:after="0"/>
              <w:rPr>
                <w:rFonts w:cstheme="minorHAnsi"/>
              </w:rPr>
            </w:pPr>
            <w:r w:rsidRPr="00747E35">
              <w:rPr>
                <w:rFonts w:cstheme="minorHAnsi"/>
              </w:rPr>
              <w:t>Remains undescribed</w:t>
            </w:r>
          </w:p>
          <w:p w14:paraId="5A63A1C8" w14:textId="77777777" w:rsidR="00501E99" w:rsidRPr="00747E35" w:rsidRDefault="00501E99" w:rsidP="00501E99">
            <w:pPr>
              <w:pStyle w:val="Tabletext"/>
              <w:spacing w:before="0" w:after="0"/>
              <w:rPr>
                <w:rFonts w:cstheme="minorHAnsi"/>
              </w:rPr>
            </w:pPr>
          </w:p>
        </w:tc>
      </w:tr>
      <w:tr w:rsidR="00985FC7" w:rsidRPr="00747E35" w14:paraId="63580293" w14:textId="77777777" w:rsidTr="00623F21">
        <w:trPr>
          <w:trHeight w:val="20"/>
        </w:trPr>
        <w:tc>
          <w:tcPr>
            <w:tcW w:w="1511" w:type="dxa"/>
            <w:tcBorders>
              <w:top w:val="single" w:sz="4" w:space="0" w:color="auto"/>
              <w:bottom w:val="single" w:sz="4" w:space="0" w:color="auto"/>
            </w:tcBorders>
          </w:tcPr>
          <w:p w14:paraId="7972127F" w14:textId="77777777" w:rsidR="00985FC7" w:rsidRPr="00747E35" w:rsidRDefault="00985FC7" w:rsidP="00697C1D">
            <w:pPr>
              <w:pStyle w:val="Tabletext"/>
              <w:spacing w:before="0" w:after="0"/>
              <w:rPr>
                <w:rFonts w:cstheme="minorHAnsi"/>
              </w:rPr>
            </w:pPr>
            <w:r w:rsidRPr="00747E35">
              <w:rPr>
                <w:rFonts w:cstheme="minorHAnsi"/>
              </w:rPr>
              <w:t>Distribution</w:t>
            </w:r>
          </w:p>
        </w:tc>
        <w:tc>
          <w:tcPr>
            <w:tcW w:w="2175" w:type="dxa"/>
            <w:tcBorders>
              <w:top w:val="single" w:sz="4" w:space="0" w:color="auto"/>
              <w:bottom w:val="single" w:sz="4" w:space="0" w:color="auto"/>
            </w:tcBorders>
          </w:tcPr>
          <w:p w14:paraId="283C8767" w14:textId="77777777" w:rsidR="00985FC7" w:rsidRPr="00747E35" w:rsidRDefault="00985FC7" w:rsidP="00697C1D">
            <w:pPr>
              <w:pStyle w:val="Tabletext"/>
              <w:spacing w:before="0" w:after="0"/>
              <w:rPr>
                <w:rFonts w:cstheme="minorHAnsi"/>
              </w:rPr>
            </w:pPr>
            <w:r w:rsidRPr="00747E35">
              <w:rPr>
                <w:rFonts w:cstheme="minorHAnsi"/>
              </w:rPr>
              <w:t>Full survey of range, regular (&gt;1) and/or ongoing surveys of patch occupancy in at least one part of the range</w:t>
            </w:r>
          </w:p>
          <w:p w14:paraId="3523383C" w14:textId="77777777" w:rsidR="00985FC7" w:rsidRPr="00747E35" w:rsidRDefault="00985FC7" w:rsidP="00697C1D">
            <w:pPr>
              <w:pStyle w:val="Tabletext"/>
              <w:spacing w:before="0" w:after="0"/>
              <w:rPr>
                <w:rFonts w:cstheme="minorHAnsi"/>
              </w:rPr>
            </w:pPr>
            <w:r w:rsidRPr="00747E35">
              <w:rPr>
                <w:rFonts w:cstheme="minorHAnsi"/>
              </w:rPr>
              <w:t xml:space="preserve"> </w:t>
            </w:r>
          </w:p>
        </w:tc>
        <w:tc>
          <w:tcPr>
            <w:tcW w:w="2126" w:type="dxa"/>
            <w:tcBorders>
              <w:top w:val="single" w:sz="4" w:space="0" w:color="auto"/>
              <w:bottom w:val="single" w:sz="4" w:space="0" w:color="auto"/>
            </w:tcBorders>
          </w:tcPr>
          <w:p w14:paraId="23312A05" w14:textId="77777777" w:rsidR="00985FC7" w:rsidRPr="00747E35" w:rsidRDefault="00985FC7" w:rsidP="00697C1D">
            <w:pPr>
              <w:pStyle w:val="Tabletext"/>
              <w:spacing w:before="0" w:after="0"/>
              <w:rPr>
                <w:rFonts w:cstheme="minorHAnsi"/>
              </w:rPr>
            </w:pPr>
            <w:r w:rsidRPr="00747E35">
              <w:rPr>
                <w:rFonts w:cstheme="minorHAnsi"/>
              </w:rPr>
              <w:t>Rudimentary knowledge regarding patch occupancy within range from 1 or few disparate surveys and no ongoing surveying</w:t>
            </w:r>
          </w:p>
        </w:tc>
        <w:tc>
          <w:tcPr>
            <w:tcW w:w="1843" w:type="dxa"/>
            <w:tcBorders>
              <w:top w:val="single" w:sz="4" w:space="0" w:color="auto"/>
              <w:bottom w:val="single" w:sz="4" w:space="0" w:color="auto"/>
            </w:tcBorders>
          </w:tcPr>
          <w:p w14:paraId="3025BB96" w14:textId="77777777" w:rsidR="00985FC7" w:rsidRPr="00747E35" w:rsidRDefault="00985FC7" w:rsidP="00697C1D">
            <w:pPr>
              <w:pStyle w:val="Tabletext"/>
              <w:spacing w:before="0" w:after="0"/>
              <w:rPr>
                <w:rFonts w:cstheme="minorHAnsi"/>
              </w:rPr>
            </w:pPr>
            <w:r w:rsidRPr="00747E35">
              <w:rPr>
                <w:rFonts w:cstheme="minorHAnsi"/>
              </w:rPr>
              <w:t>No data regarding full range as yet, no ongoing monitoring</w:t>
            </w:r>
          </w:p>
        </w:tc>
        <w:tc>
          <w:tcPr>
            <w:tcW w:w="1701" w:type="dxa"/>
            <w:tcBorders>
              <w:top w:val="single" w:sz="4" w:space="0" w:color="auto"/>
              <w:bottom w:val="single" w:sz="4" w:space="0" w:color="auto"/>
            </w:tcBorders>
          </w:tcPr>
          <w:p w14:paraId="329A450E" w14:textId="77777777" w:rsidR="00985FC7" w:rsidRPr="00747E35" w:rsidRDefault="00985FC7" w:rsidP="00697C1D">
            <w:pPr>
              <w:pStyle w:val="Tabletext"/>
              <w:spacing w:before="0" w:after="0"/>
              <w:rPr>
                <w:rFonts w:cstheme="minorHAnsi"/>
              </w:rPr>
            </w:pPr>
            <w:r w:rsidRPr="00747E35">
              <w:rPr>
                <w:rFonts w:cstheme="minorHAnsi"/>
              </w:rPr>
              <w:t>Single specimen from one or few visits</w:t>
            </w:r>
          </w:p>
        </w:tc>
      </w:tr>
      <w:tr w:rsidR="00985FC7" w:rsidRPr="00747E35" w14:paraId="2147779D" w14:textId="77777777" w:rsidTr="00623F21">
        <w:trPr>
          <w:trHeight w:val="20"/>
        </w:trPr>
        <w:tc>
          <w:tcPr>
            <w:tcW w:w="1511" w:type="dxa"/>
            <w:tcBorders>
              <w:top w:val="single" w:sz="4" w:space="0" w:color="auto"/>
              <w:bottom w:val="single" w:sz="4" w:space="0" w:color="auto"/>
            </w:tcBorders>
          </w:tcPr>
          <w:p w14:paraId="4267AF19" w14:textId="77777777" w:rsidR="00985FC7" w:rsidRPr="00747E35" w:rsidRDefault="00985FC7" w:rsidP="00697C1D">
            <w:pPr>
              <w:pStyle w:val="Tabletext"/>
              <w:spacing w:before="0" w:after="0"/>
              <w:rPr>
                <w:rFonts w:cstheme="minorHAnsi"/>
              </w:rPr>
            </w:pPr>
            <w:r w:rsidRPr="00747E35">
              <w:rPr>
                <w:rFonts w:cstheme="minorHAnsi"/>
              </w:rPr>
              <w:t>Population status</w:t>
            </w:r>
          </w:p>
        </w:tc>
        <w:tc>
          <w:tcPr>
            <w:tcW w:w="2175" w:type="dxa"/>
            <w:tcBorders>
              <w:top w:val="single" w:sz="4" w:space="0" w:color="auto"/>
              <w:bottom w:val="single" w:sz="4" w:space="0" w:color="auto"/>
            </w:tcBorders>
          </w:tcPr>
          <w:p w14:paraId="1EB528ED" w14:textId="77777777" w:rsidR="00985FC7" w:rsidRPr="00747E35" w:rsidRDefault="00985FC7" w:rsidP="00697C1D">
            <w:pPr>
              <w:pStyle w:val="Tabletext"/>
              <w:spacing w:before="0" w:after="0"/>
              <w:rPr>
                <w:rFonts w:cstheme="minorHAnsi"/>
              </w:rPr>
            </w:pPr>
            <w:r w:rsidRPr="00747E35">
              <w:rPr>
                <w:rFonts w:cstheme="minorHAnsi"/>
              </w:rPr>
              <w:t>Temporally replicated (&gt;1 time) systematically collected abundance assessments across &gt;5 springs within the range</w:t>
            </w:r>
          </w:p>
        </w:tc>
        <w:tc>
          <w:tcPr>
            <w:tcW w:w="2126" w:type="dxa"/>
            <w:tcBorders>
              <w:top w:val="single" w:sz="4" w:space="0" w:color="auto"/>
              <w:bottom w:val="single" w:sz="4" w:space="0" w:color="auto"/>
            </w:tcBorders>
          </w:tcPr>
          <w:p w14:paraId="26EFD395" w14:textId="4C2D3389" w:rsidR="00985FC7" w:rsidRPr="00747E35" w:rsidRDefault="00550020" w:rsidP="00697C1D">
            <w:pPr>
              <w:pStyle w:val="Tabletext"/>
              <w:spacing w:before="0" w:after="0"/>
              <w:rPr>
                <w:rFonts w:cstheme="minorHAnsi"/>
              </w:rPr>
            </w:pPr>
            <w:r w:rsidRPr="00747E35">
              <w:rPr>
                <w:rFonts w:cstheme="minorHAnsi"/>
              </w:rPr>
              <w:t>A</w:t>
            </w:r>
            <w:r w:rsidR="00985FC7" w:rsidRPr="00747E35">
              <w:rPr>
                <w:rFonts w:cstheme="minorHAnsi"/>
              </w:rPr>
              <w:t>necdotal observations regarding relative abundance within most springs in range</w:t>
            </w:r>
          </w:p>
        </w:tc>
        <w:tc>
          <w:tcPr>
            <w:tcW w:w="1843" w:type="dxa"/>
            <w:tcBorders>
              <w:top w:val="single" w:sz="4" w:space="0" w:color="auto"/>
              <w:bottom w:val="single" w:sz="4" w:space="0" w:color="auto"/>
            </w:tcBorders>
          </w:tcPr>
          <w:p w14:paraId="5994B98B" w14:textId="0198516D" w:rsidR="00985FC7" w:rsidRPr="00747E35" w:rsidRDefault="00985FC7" w:rsidP="00697C1D">
            <w:pPr>
              <w:pStyle w:val="Tabletext"/>
              <w:spacing w:before="0" w:after="0"/>
              <w:rPr>
                <w:rFonts w:cstheme="minorHAnsi"/>
              </w:rPr>
            </w:pPr>
            <w:r w:rsidRPr="00747E35">
              <w:rPr>
                <w:rFonts w:cstheme="minorHAnsi"/>
              </w:rPr>
              <w:t>One off or limited anecdotal observations within some parts of the rang</w:t>
            </w:r>
            <w:r w:rsidR="00501E99">
              <w:rPr>
                <w:rFonts w:cstheme="minorHAnsi"/>
              </w:rPr>
              <w:t>e</w:t>
            </w:r>
          </w:p>
        </w:tc>
        <w:tc>
          <w:tcPr>
            <w:tcW w:w="1701" w:type="dxa"/>
            <w:tcBorders>
              <w:top w:val="single" w:sz="4" w:space="0" w:color="auto"/>
              <w:bottom w:val="single" w:sz="4" w:space="0" w:color="auto"/>
            </w:tcBorders>
          </w:tcPr>
          <w:p w14:paraId="399EEF19" w14:textId="77777777" w:rsidR="00985FC7" w:rsidRPr="00747E35" w:rsidRDefault="00985FC7" w:rsidP="00697C1D">
            <w:pPr>
              <w:pStyle w:val="Tabletext"/>
              <w:spacing w:before="0" w:after="0"/>
              <w:rPr>
                <w:rFonts w:cstheme="minorHAnsi"/>
              </w:rPr>
            </w:pPr>
            <w:r w:rsidRPr="00747E35">
              <w:rPr>
                <w:rFonts w:cstheme="minorHAnsi"/>
              </w:rPr>
              <w:t>No information.</w:t>
            </w:r>
          </w:p>
        </w:tc>
      </w:tr>
      <w:tr w:rsidR="00985FC7" w:rsidRPr="00747E35" w14:paraId="15BD6A64" w14:textId="77777777" w:rsidTr="00623F21">
        <w:trPr>
          <w:trHeight w:val="20"/>
        </w:trPr>
        <w:tc>
          <w:tcPr>
            <w:tcW w:w="1511" w:type="dxa"/>
            <w:tcBorders>
              <w:top w:val="single" w:sz="4" w:space="0" w:color="auto"/>
              <w:bottom w:val="single" w:sz="4" w:space="0" w:color="auto"/>
            </w:tcBorders>
          </w:tcPr>
          <w:p w14:paraId="4DC47A3B" w14:textId="77777777" w:rsidR="00985FC7" w:rsidRPr="00747E35" w:rsidRDefault="00985FC7" w:rsidP="00697C1D">
            <w:pPr>
              <w:pStyle w:val="Tabletext"/>
              <w:spacing w:before="0" w:after="0"/>
              <w:rPr>
                <w:rFonts w:cstheme="minorHAnsi"/>
              </w:rPr>
            </w:pPr>
            <w:r w:rsidRPr="00747E35">
              <w:rPr>
                <w:rFonts w:cstheme="minorHAnsi"/>
              </w:rPr>
              <w:t>Connectivity</w:t>
            </w:r>
          </w:p>
        </w:tc>
        <w:tc>
          <w:tcPr>
            <w:tcW w:w="2175" w:type="dxa"/>
            <w:tcBorders>
              <w:top w:val="single" w:sz="4" w:space="0" w:color="auto"/>
              <w:bottom w:val="single" w:sz="4" w:space="0" w:color="auto"/>
            </w:tcBorders>
          </w:tcPr>
          <w:p w14:paraId="05920C1E" w14:textId="77777777" w:rsidR="00985FC7" w:rsidRPr="00747E35" w:rsidRDefault="00985FC7" w:rsidP="00697C1D">
            <w:pPr>
              <w:pStyle w:val="Tabletext"/>
              <w:spacing w:before="0" w:after="0"/>
              <w:rPr>
                <w:rFonts w:cstheme="minorHAnsi"/>
              </w:rPr>
            </w:pPr>
            <w:r w:rsidRPr="00747E35">
              <w:rPr>
                <w:rFonts w:cstheme="minorHAnsi"/>
              </w:rPr>
              <w:t>Patch level data regarding population connectivity across at least 50% of the range</w:t>
            </w:r>
          </w:p>
        </w:tc>
        <w:tc>
          <w:tcPr>
            <w:tcW w:w="2126" w:type="dxa"/>
            <w:tcBorders>
              <w:top w:val="single" w:sz="4" w:space="0" w:color="auto"/>
              <w:bottom w:val="single" w:sz="4" w:space="0" w:color="auto"/>
            </w:tcBorders>
          </w:tcPr>
          <w:p w14:paraId="4EE796D7" w14:textId="70F5374D" w:rsidR="00985FC7" w:rsidRPr="00747E35" w:rsidRDefault="00550020" w:rsidP="00550020">
            <w:pPr>
              <w:pStyle w:val="Tabletext"/>
              <w:spacing w:before="0" w:after="0"/>
              <w:rPr>
                <w:rFonts w:cstheme="minorHAnsi"/>
              </w:rPr>
            </w:pPr>
            <w:r w:rsidRPr="00747E35">
              <w:rPr>
                <w:rFonts w:cstheme="minorHAnsi"/>
              </w:rPr>
              <w:t>Spatially l</w:t>
            </w:r>
            <w:r w:rsidR="00985FC7" w:rsidRPr="00747E35">
              <w:rPr>
                <w:rFonts w:cstheme="minorHAnsi"/>
              </w:rPr>
              <w:t>imited but detailed patch level data (i.e. one group within one complex)</w:t>
            </w:r>
          </w:p>
        </w:tc>
        <w:tc>
          <w:tcPr>
            <w:tcW w:w="1843" w:type="dxa"/>
            <w:tcBorders>
              <w:top w:val="single" w:sz="4" w:space="0" w:color="auto"/>
              <w:bottom w:val="single" w:sz="4" w:space="0" w:color="auto"/>
            </w:tcBorders>
          </w:tcPr>
          <w:p w14:paraId="25929BEF" w14:textId="77777777" w:rsidR="00985FC7" w:rsidRPr="00747E35" w:rsidRDefault="00985FC7" w:rsidP="00697C1D">
            <w:pPr>
              <w:pStyle w:val="Tabletext"/>
              <w:spacing w:before="0" w:after="0"/>
              <w:rPr>
                <w:rFonts w:cstheme="minorHAnsi"/>
              </w:rPr>
            </w:pPr>
            <w:r w:rsidRPr="00747E35">
              <w:rPr>
                <w:rFonts w:cstheme="minorHAnsi"/>
              </w:rPr>
              <w:t>Anecdotal observations regarding potential connectivity in the system or could be inferred from other species in the system.</w:t>
            </w:r>
          </w:p>
        </w:tc>
        <w:tc>
          <w:tcPr>
            <w:tcW w:w="1701" w:type="dxa"/>
            <w:tcBorders>
              <w:top w:val="single" w:sz="4" w:space="0" w:color="auto"/>
              <w:bottom w:val="single" w:sz="4" w:space="0" w:color="auto"/>
            </w:tcBorders>
          </w:tcPr>
          <w:p w14:paraId="0474F3E6" w14:textId="77777777" w:rsidR="00985FC7" w:rsidRPr="00747E35" w:rsidRDefault="00985FC7" w:rsidP="00697C1D">
            <w:pPr>
              <w:pStyle w:val="Tabletext"/>
              <w:spacing w:before="0" w:after="0"/>
              <w:rPr>
                <w:rFonts w:cstheme="minorHAnsi"/>
              </w:rPr>
            </w:pPr>
            <w:r w:rsidRPr="00747E35">
              <w:rPr>
                <w:rFonts w:cstheme="minorHAnsi"/>
              </w:rPr>
              <w:t>No information.</w:t>
            </w:r>
          </w:p>
        </w:tc>
      </w:tr>
      <w:tr w:rsidR="00985FC7" w:rsidRPr="00747E35" w14:paraId="7C6C19E7" w14:textId="77777777" w:rsidTr="00623F21">
        <w:trPr>
          <w:trHeight w:val="20"/>
        </w:trPr>
        <w:tc>
          <w:tcPr>
            <w:tcW w:w="1511" w:type="dxa"/>
            <w:tcBorders>
              <w:top w:val="single" w:sz="4" w:space="0" w:color="auto"/>
              <w:bottom w:val="single" w:sz="4" w:space="0" w:color="auto"/>
            </w:tcBorders>
          </w:tcPr>
          <w:p w14:paraId="1EA73BC6" w14:textId="77777777" w:rsidR="00985FC7" w:rsidRPr="00747E35" w:rsidRDefault="00985FC7" w:rsidP="00697C1D">
            <w:pPr>
              <w:pStyle w:val="Tabletext"/>
              <w:spacing w:before="0" w:after="0"/>
              <w:rPr>
                <w:rFonts w:cstheme="minorHAnsi"/>
              </w:rPr>
            </w:pPr>
            <w:r w:rsidRPr="00747E35">
              <w:rPr>
                <w:rFonts w:cstheme="minorHAnsi"/>
              </w:rPr>
              <w:t>Ecology</w:t>
            </w:r>
          </w:p>
        </w:tc>
        <w:tc>
          <w:tcPr>
            <w:tcW w:w="2175" w:type="dxa"/>
            <w:tcBorders>
              <w:top w:val="single" w:sz="4" w:space="0" w:color="auto"/>
              <w:bottom w:val="single" w:sz="4" w:space="0" w:color="auto"/>
            </w:tcBorders>
          </w:tcPr>
          <w:p w14:paraId="10ACCC50" w14:textId="77777777" w:rsidR="00985FC7" w:rsidRPr="00747E35" w:rsidRDefault="00985FC7" w:rsidP="00697C1D">
            <w:pPr>
              <w:pStyle w:val="Tabletext"/>
              <w:spacing w:before="0" w:after="0"/>
              <w:rPr>
                <w:rFonts w:cstheme="minorHAnsi"/>
              </w:rPr>
            </w:pPr>
            <w:r w:rsidRPr="00747E35">
              <w:rPr>
                <w:rFonts w:cstheme="minorHAnsi"/>
              </w:rPr>
              <w:t>Extensive spatially and temporally replicated information regarding the state of and potential environmental correlates of occupation and abundance, responses to seasonal variance, trophic ecology, reproductive ecology, physiology or behaviour</w:t>
            </w:r>
          </w:p>
        </w:tc>
        <w:tc>
          <w:tcPr>
            <w:tcW w:w="2126" w:type="dxa"/>
            <w:tcBorders>
              <w:top w:val="single" w:sz="4" w:space="0" w:color="auto"/>
              <w:bottom w:val="single" w:sz="4" w:space="0" w:color="auto"/>
            </w:tcBorders>
          </w:tcPr>
          <w:p w14:paraId="5026C113" w14:textId="77777777" w:rsidR="00985FC7" w:rsidRPr="00747E35" w:rsidRDefault="00985FC7" w:rsidP="00697C1D">
            <w:pPr>
              <w:pStyle w:val="Tabletext"/>
              <w:spacing w:before="0" w:after="0"/>
              <w:rPr>
                <w:rFonts w:cstheme="minorHAnsi"/>
              </w:rPr>
            </w:pPr>
            <w:r w:rsidRPr="00747E35">
              <w:rPr>
                <w:rFonts w:cstheme="minorHAnsi"/>
              </w:rPr>
              <w:t>Robust but not systematic observations regarding microhabitat preferences, environmental associations, responses to environmental variance within some part of the range</w:t>
            </w:r>
          </w:p>
        </w:tc>
        <w:tc>
          <w:tcPr>
            <w:tcW w:w="1843" w:type="dxa"/>
            <w:tcBorders>
              <w:top w:val="single" w:sz="4" w:space="0" w:color="auto"/>
              <w:bottom w:val="single" w:sz="4" w:space="0" w:color="auto"/>
            </w:tcBorders>
          </w:tcPr>
          <w:p w14:paraId="79C9CF97" w14:textId="77777777" w:rsidR="00985FC7" w:rsidRPr="00747E35" w:rsidRDefault="00985FC7" w:rsidP="00697C1D">
            <w:pPr>
              <w:pStyle w:val="Tabletext"/>
              <w:spacing w:before="0" w:after="0"/>
              <w:rPr>
                <w:rFonts w:cstheme="minorHAnsi"/>
              </w:rPr>
            </w:pPr>
            <w:r w:rsidRPr="00747E35">
              <w:rPr>
                <w:rFonts w:cstheme="minorHAnsi"/>
              </w:rPr>
              <w:t>Anecdotal observations regarding potential associations with environmental characteristics or responses to environmental variance</w:t>
            </w:r>
          </w:p>
          <w:p w14:paraId="4E2DBDF4" w14:textId="77777777" w:rsidR="00985FC7" w:rsidRPr="00747E35" w:rsidRDefault="00985FC7" w:rsidP="00697C1D">
            <w:pPr>
              <w:pStyle w:val="Tabletext"/>
              <w:spacing w:before="0" w:after="0"/>
              <w:rPr>
                <w:rFonts w:cstheme="minorHAnsi"/>
              </w:rPr>
            </w:pPr>
          </w:p>
        </w:tc>
        <w:tc>
          <w:tcPr>
            <w:tcW w:w="1701" w:type="dxa"/>
            <w:tcBorders>
              <w:top w:val="single" w:sz="4" w:space="0" w:color="auto"/>
              <w:bottom w:val="single" w:sz="4" w:space="0" w:color="auto"/>
            </w:tcBorders>
          </w:tcPr>
          <w:p w14:paraId="4BDD1B46" w14:textId="77777777" w:rsidR="00985FC7" w:rsidRPr="00747E35" w:rsidRDefault="00985FC7" w:rsidP="00697C1D">
            <w:pPr>
              <w:pStyle w:val="Tabletext"/>
              <w:spacing w:before="0" w:after="0"/>
              <w:rPr>
                <w:rFonts w:cstheme="minorHAnsi"/>
              </w:rPr>
            </w:pPr>
            <w:r w:rsidRPr="00747E35">
              <w:rPr>
                <w:rFonts w:cstheme="minorHAnsi"/>
              </w:rPr>
              <w:t xml:space="preserve">No information </w:t>
            </w:r>
          </w:p>
        </w:tc>
      </w:tr>
      <w:tr w:rsidR="00985FC7" w:rsidRPr="00747E35" w14:paraId="4194D2DE" w14:textId="77777777" w:rsidTr="00623F21">
        <w:trPr>
          <w:trHeight w:val="20"/>
        </w:trPr>
        <w:tc>
          <w:tcPr>
            <w:tcW w:w="1511" w:type="dxa"/>
            <w:tcBorders>
              <w:top w:val="single" w:sz="4" w:space="0" w:color="auto"/>
              <w:bottom w:val="single" w:sz="4" w:space="0" w:color="auto"/>
            </w:tcBorders>
          </w:tcPr>
          <w:p w14:paraId="5A2AAC13" w14:textId="77777777" w:rsidR="00985FC7" w:rsidRPr="00747E35" w:rsidRDefault="00985FC7" w:rsidP="00697C1D">
            <w:pPr>
              <w:pStyle w:val="Tabletext"/>
              <w:spacing w:before="0" w:after="0"/>
              <w:rPr>
                <w:rFonts w:cstheme="minorHAnsi"/>
              </w:rPr>
            </w:pPr>
            <w:r w:rsidRPr="00747E35">
              <w:rPr>
                <w:rFonts w:cstheme="minorHAnsi"/>
              </w:rPr>
              <w:t>Threats</w:t>
            </w:r>
          </w:p>
        </w:tc>
        <w:tc>
          <w:tcPr>
            <w:tcW w:w="2175" w:type="dxa"/>
            <w:tcBorders>
              <w:top w:val="single" w:sz="4" w:space="0" w:color="auto"/>
              <w:bottom w:val="single" w:sz="4" w:space="0" w:color="auto"/>
            </w:tcBorders>
          </w:tcPr>
          <w:p w14:paraId="32184A2B" w14:textId="77777777" w:rsidR="00985FC7" w:rsidRPr="00747E35" w:rsidRDefault="00985FC7" w:rsidP="00697C1D">
            <w:pPr>
              <w:pStyle w:val="Tabletext"/>
              <w:spacing w:before="0" w:after="0"/>
              <w:rPr>
                <w:rFonts w:cstheme="minorHAnsi"/>
              </w:rPr>
            </w:pPr>
            <w:r w:rsidRPr="00747E35">
              <w:rPr>
                <w:rFonts w:cstheme="minorHAnsi"/>
              </w:rPr>
              <w:t>Experimental and/or long-term in situ observations regarding response to range of threats faced by taxa.</w:t>
            </w:r>
          </w:p>
        </w:tc>
        <w:tc>
          <w:tcPr>
            <w:tcW w:w="2126" w:type="dxa"/>
            <w:tcBorders>
              <w:top w:val="single" w:sz="4" w:space="0" w:color="auto"/>
              <w:bottom w:val="single" w:sz="4" w:space="0" w:color="auto"/>
            </w:tcBorders>
          </w:tcPr>
          <w:p w14:paraId="68E2115C" w14:textId="77777777" w:rsidR="00985FC7" w:rsidRPr="00747E35" w:rsidRDefault="00985FC7" w:rsidP="00697C1D">
            <w:pPr>
              <w:pStyle w:val="Tabletext"/>
              <w:spacing w:before="0" w:after="0"/>
              <w:rPr>
                <w:rFonts w:cstheme="minorHAnsi"/>
              </w:rPr>
            </w:pPr>
            <w:r w:rsidRPr="00747E35">
              <w:rPr>
                <w:rFonts w:cstheme="minorHAnsi"/>
              </w:rPr>
              <w:t>Robust knowledge regarding some threats but not the full range</w:t>
            </w:r>
          </w:p>
        </w:tc>
        <w:tc>
          <w:tcPr>
            <w:tcW w:w="1843" w:type="dxa"/>
            <w:tcBorders>
              <w:top w:val="single" w:sz="4" w:space="0" w:color="auto"/>
              <w:bottom w:val="single" w:sz="4" w:space="0" w:color="auto"/>
            </w:tcBorders>
          </w:tcPr>
          <w:p w14:paraId="43C0EA09" w14:textId="77777777" w:rsidR="00985FC7" w:rsidRPr="00747E35" w:rsidRDefault="00985FC7" w:rsidP="00697C1D">
            <w:pPr>
              <w:pStyle w:val="Tabletext"/>
              <w:spacing w:before="0" w:after="0"/>
              <w:rPr>
                <w:rFonts w:cstheme="minorHAnsi"/>
              </w:rPr>
            </w:pPr>
            <w:r w:rsidRPr="00747E35">
              <w:rPr>
                <w:rFonts w:cstheme="minorHAnsi"/>
              </w:rPr>
              <w:t>Anecdotal and/or expert opinion (e.g. IUCN) regarding potential threats but no testing of these to date</w:t>
            </w:r>
          </w:p>
        </w:tc>
        <w:tc>
          <w:tcPr>
            <w:tcW w:w="1701" w:type="dxa"/>
            <w:tcBorders>
              <w:top w:val="single" w:sz="4" w:space="0" w:color="auto"/>
              <w:bottom w:val="single" w:sz="4" w:space="0" w:color="auto"/>
            </w:tcBorders>
          </w:tcPr>
          <w:p w14:paraId="5ADF3F86" w14:textId="77777777" w:rsidR="00985FC7" w:rsidRPr="00747E35" w:rsidRDefault="00985FC7" w:rsidP="00697C1D">
            <w:pPr>
              <w:pStyle w:val="Tabletext"/>
              <w:spacing w:before="0" w:after="0"/>
              <w:rPr>
                <w:rFonts w:cstheme="minorHAnsi"/>
              </w:rPr>
            </w:pPr>
            <w:r w:rsidRPr="00747E35">
              <w:rPr>
                <w:rFonts w:cstheme="minorHAnsi"/>
              </w:rPr>
              <w:t>No information.</w:t>
            </w:r>
          </w:p>
        </w:tc>
      </w:tr>
    </w:tbl>
    <w:p w14:paraId="056A6AAA" w14:textId="77777777" w:rsidR="00985FC7" w:rsidRPr="00747E35" w:rsidRDefault="00985FC7" w:rsidP="00985FC7">
      <w:pPr>
        <w:rPr>
          <w:rFonts w:asciiTheme="minorHAnsi" w:hAnsiTheme="minorHAnsi" w:cstheme="minorHAnsi"/>
        </w:rPr>
        <w:sectPr w:rsidR="00985FC7" w:rsidRPr="00747E35" w:rsidSect="00697C1D">
          <w:footerReference w:type="even" r:id="rId248"/>
          <w:pgSz w:w="11906" w:h="16838"/>
          <w:pgMar w:top="1134" w:right="1134" w:bottom="1134" w:left="1134" w:header="709" w:footer="709" w:gutter="0"/>
          <w:cols w:space="708"/>
          <w:docGrid w:linePitch="360"/>
        </w:sectPr>
      </w:pPr>
    </w:p>
    <w:p w14:paraId="5E8AB154" w14:textId="77777777" w:rsidR="00985FC7" w:rsidRPr="00747E35" w:rsidRDefault="00985FC7" w:rsidP="00793A29">
      <w:pPr>
        <w:pStyle w:val="Caption"/>
        <w:numPr>
          <w:ilvl w:val="0"/>
          <w:numId w:val="0"/>
        </w:numPr>
        <w:rPr>
          <w:rFonts w:cstheme="minorHAnsi"/>
        </w:rPr>
      </w:pPr>
      <w:bookmarkStart w:id="502" w:name="_Ref467224914"/>
      <w:r w:rsidRPr="00747E35">
        <w:rPr>
          <w:rFonts w:cstheme="minorHAnsi"/>
        </w:rPr>
        <w:lastRenderedPageBreak/>
        <w:t xml:space="preserve">Table </w:t>
      </w:r>
      <w:r w:rsidR="009D6600" w:rsidRPr="00747E35">
        <w:rPr>
          <w:rFonts w:cstheme="minorHAnsi"/>
        </w:rPr>
        <w:fldChar w:fldCharType="begin"/>
      </w:r>
      <w:r w:rsidR="009D6600" w:rsidRPr="00747E35">
        <w:rPr>
          <w:rFonts w:cstheme="minorHAnsi"/>
        </w:rPr>
        <w:instrText xml:space="preserve"> SEQ Table \* ARABIC </w:instrText>
      </w:r>
      <w:r w:rsidR="009D6600" w:rsidRPr="00747E35">
        <w:rPr>
          <w:rFonts w:cstheme="minorHAnsi"/>
        </w:rPr>
        <w:fldChar w:fldCharType="separate"/>
      </w:r>
      <w:r w:rsidR="00D023DD">
        <w:rPr>
          <w:rFonts w:cstheme="minorHAnsi"/>
          <w:noProof/>
        </w:rPr>
        <w:t>61</w:t>
      </w:r>
      <w:r w:rsidR="009D6600" w:rsidRPr="00747E35">
        <w:rPr>
          <w:rFonts w:cstheme="minorHAnsi"/>
          <w:noProof/>
        </w:rPr>
        <w:fldChar w:fldCharType="end"/>
      </w:r>
      <w:bookmarkEnd w:id="502"/>
      <w:r w:rsidRPr="00747E35">
        <w:rPr>
          <w:rFonts w:cstheme="minorHAnsi"/>
        </w:rPr>
        <w:t xml:space="preserve">: Details of the 76 Great Artesian Basin spring complexes identified as containing one or more endemic taxa (fishes, molluscs, amphipods, isopods and plants).  Table includes supergroup membership, location (longitude and latitude), name and abbreviation (used in figures) of each complex.  Also shown for each complex are the number of endemic species (ES), cumulative risk score (CRS), and number of springs within each land tenure type. Land tenure codes are: NC (nature conservation, qualifying as an IUCN Protected Area), PF (private freehold), PL (private leasehold) and RCL (reserved crown land – not elsewhere classified). Source for land tenure data: ABARES (2016) and CAPAD (2014). </w:t>
      </w:r>
    </w:p>
    <w:tbl>
      <w:tblPr>
        <w:tblW w:w="8931" w:type="dxa"/>
        <w:tblLook w:val="04A0" w:firstRow="1" w:lastRow="0" w:firstColumn="1" w:lastColumn="0" w:noHBand="0" w:noVBand="1"/>
      </w:tblPr>
      <w:tblGrid>
        <w:gridCol w:w="1149"/>
        <w:gridCol w:w="1536"/>
        <w:gridCol w:w="1024"/>
        <w:gridCol w:w="976"/>
        <w:gridCol w:w="846"/>
        <w:gridCol w:w="460"/>
        <w:gridCol w:w="636"/>
        <w:gridCol w:w="642"/>
        <w:gridCol w:w="524"/>
        <w:gridCol w:w="642"/>
        <w:gridCol w:w="496"/>
      </w:tblGrid>
      <w:tr w:rsidR="00985FC7" w:rsidRPr="00747E35" w14:paraId="615EEC94" w14:textId="77777777" w:rsidTr="0071418B">
        <w:trPr>
          <w:trHeight w:val="20"/>
          <w:tblHeader/>
        </w:trPr>
        <w:tc>
          <w:tcPr>
            <w:tcW w:w="1146" w:type="dxa"/>
            <w:vMerge w:val="restart"/>
            <w:tcBorders>
              <w:top w:val="single" w:sz="4" w:space="0" w:color="auto"/>
            </w:tcBorders>
            <w:shd w:val="clear" w:color="auto" w:fill="DEEAF6" w:themeFill="accent1" w:themeFillTint="33"/>
            <w:vAlign w:val="center"/>
          </w:tcPr>
          <w:p w14:paraId="09C1DEDA" w14:textId="77777777" w:rsidR="00985FC7" w:rsidRPr="00747E35" w:rsidRDefault="00985FC7" w:rsidP="00697C1D">
            <w:pPr>
              <w:pStyle w:val="TableHead"/>
              <w:spacing w:before="0" w:after="0"/>
              <w:rPr>
                <w:rFonts w:asciiTheme="minorHAnsi" w:hAnsiTheme="minorHAnsi" w:cstheme="minorHAnsi"/>
                <w:b w:val="0"/>
                <w:sz w:val="18"/>
                <w:szCs w:val="18"/>
              </w:rPr>
            </w:pPr>
            <w:r w:rsidRPr="00747E35">
              <w:rPr>
                <w:rFonts w:asciiTheme="minorHAnsi" w:hAnsiTheme="minorHAnsi" w:cstheme="minorHAnsi"/>
                <w:sz w:val="18"/>
                <w:szCs w:val="18"/>
              </w:rPr>
              <w:t>Supergroup</w:t>
            </w:r>
          </w:p>
        </w:tc>
        <w:tc>
          <w:tcPr>
            <w:tcW w:w="1531" w:type="dxa"/>
            <w:vMerge w:val="restart"/>
            <w:tcBorders>
              <w:top w:val="single" w:sz="4" w:space="0" w:color="auto"/>
            </w:tcBorders>
            <w:shd w:val="clear" w:color="auto" w:fill="DEEAF6" w:themeFill="accent1" w:themeFillTint="33"/>
            <w:vAlign w:val="center"/>
          </w:tcPr>
          <w:p w14:paraId="6D8F03EB" w14:textId="77777777" w:rsidR="00985FC7" w:rsidRPr="00747E35" w:rsidRDefault="00985FC7" w:rsidP="00697C1D">
            <w:pPr>
              <w:pStyle w:val="TableHead"/>
              <w:spacing w:before="0" w:after="0"/>
              <w:rPr>
                <w:rFonts w:asciiTheme="minorHAnsi" w:hAnsiTheme="minorHAnsi" w:cstheme="minorHAnsi"/>
                <w:b w:val="0"/>
                <w:sz w:val="18"/>
                <w:szCs w:val="18"/>
              </w:rPr>
            </w:pPr>
            <w:r w:rsidRPr="00747E35">
              <w:rPr>
                <w:rFonts w:asciiTheme="minorHAnsi" w:hAnsiTheme="minorHAnsi" w:cstheme="minorHAnsi"/>
                <w:sz w:val="18"/>
                <w:szCs w:val="18"/>
              </w:rPr>
              <w:t>Complex</w:t>
            </w:r>
          </w:p>
        </w:tc>
        <w:tc>
          <w:tcPr>
            <w:tcW w:w="1021" w:type="dxa"/>
            <w:vMerge w:val="restart"/>
            <w:tcBorders>
              <w:top w:val="single" w:sz="4" w:space="0" w:color="auto"/>
            </w:tcBorders>
            <w:shd w:val="clear" w:color="auto" w:fill="DEEAF6" w:themeFill="accent1" w:themeFillTint="33"/>
            <w:vAlign w:val="center"/>
          </w:tcPr>
          <w:p w14:paraId="22964D74" w14:textId="77777777" w:rsidR="00985FC7" w:rsidRPr="00747E35" w:rsidRDefault="00985FC7" w:rsidP="00697C1D">
            <w:pPr>
              <w:pStyle w:val="TableHead"/>
              <w:spacing w:before="0" w:after="0"/>
              <w:rPr>
                <w:rFonts w:asciiTheme="minorHAnsi" w:hAnsiTheme="minorHAnsi" w:cstheme="minorHAnsi"/>
                <w:b w:val="0"/>
                <w:sz w:val="18"/>
                <w:szCs w:val="18"/>
              </w:rPr>
            </w:pPr>
            <w:r w:rsidRPr="00747E35">
              <w:rPr>
                <w:rFonts w:asciiTheme="minorHAnsi" w:hAnsiTheme="minorHAnsi" w:cstheme="minorHAnsi"/>
                <w:sz w:val="18"/>
                <w:szCs w:val="18"/>
              </w:rPr>
              <w:t>Code</w:t>
            </w:r>
          </w:p>
        </w:tc>
        <w:tc>
          <w:tcPr>
            <w:tcW w:w="973" w:type="dxa"/>
            <w:vMerge w:val="restart"/>
            <w:tcBorders>
              <w:top w:val="single" w:sz="4" w:space="0" w:color="auto"/>
            </w:tcBorders>
            <w:shd w:val="clear" w:color="auto" w:fill="DEEAF6" w:themeFill="accent1" w:themeFillTint="33"/>
            <w:vAlign w:val="center"/>
          </w:tcPr>
          <w:p w14:paraId="7B261103" w14:textId="77777777" w:rsidR="00985FC7" w:rsidRPr="00747E35" w:rsidRDefault="00985FC7" w:rsidP="00697C1D">
            <w:pPr>
              <w:pStyle w:val="TableHead"/>
              <w:spacing w:before="0" w:after="0"/>
              <w:jc w:val="center"/>
              <w:rPr>
                <w:rFonts w:asciiTheme="minorHAnsi" w:hAnsiTheme="minorHAnsi" w:cstheme="minorHAnsi"/>
                <w:b w:val="0"/>
                <w:sz w:val="18"/>
                <w:szCs w:val="18"/>
              </w:rPr>
            </w:pPr>
            <w:r w:rsidRPr="00747E35">
              <w:rPr>
                <w:rFonts w:asciiTheme="minorHAnsi" w:hAnsiTheme="minorHAnsi" w:cstheme="minorHAnsi"/>
                <w:sz w:val="18"/>
                <w:szCs w:val="18"/>
              </w:rPr>
              <w:t>Longitude</w:t>
            </w:r>
          </w:p>
        </w:tc>
        <w:tc>
          <w:tcPr>
            <w:tcW w:w="843" w:type="dxa"/>
            <w:vMerge w:val="restart"/>
            <w:tcBorders>
              <w:top w:val="single" w:sz="4" w:space="0" w:color="auto"/>
            </w:tcBorders>
            <w:shd w:val="clear" w:color="auto" w:fill="DEEAF6" w:themeFill="accent1" w:themeFillTint="33"/>
            <w:vAlign w:val="center"/>
          </w:tcPr>
          <w:p w14:paraId="7E6790EE" w14:textId="77777777" w:rsidR="00985FC7" w:rsidRPr="00747E35" w:rsidRDefault="00985FC7" w:rsidP="00697C1D">
            <w:pPr>
              <w:pStyle w:val="TableHead"/>
              <w:spacing w:before="0" w:after="0"/>
              <w:jc w:val="center"/>
              <w:rPr>
                <w:rFonts w:asciiTheme="minorHAnsi" w:hAnsiTheme="minorHAnsi" w:cstheme="minorHAnsi"/>
                <w:b w:val="0"/>
                <w:sz w:val="18"/>
                <w:szCs w:val="18"/>
              </w:rPr>
            </w:pPr>
            <w:r w:rsidRPr="00747E35">
              <w:rPr>
                <w:rFonts w:asciiTheme="minorHAnsi" w:hAnsiTheme="minorHAnsi" w:cstheme="minorHAnsi"/>
                <w:sz w:val="18"/>
                <w:szCs w:val="18"/>
              </w:rPr>
              <w:t>Latitude</w:t>
            </w:r>
          </w:p>
        </w:tc>
        <w:tc>
          <w:tcPr>
            <w:tcW w:w="459" w:type="dxa"/>
            <w:vMerge w:val="restart"/>
            <w:tcBorders>
              <w:top w:val="single" w:sz="4" w:space="0" w:color="auto"/>
            </w:tcBorders>
            <w:shd w:val="clear" w:color="auto" w:fill="DEEAF6" w:themeFill="accent1" w:themeFillTint="33"/>
            <w:vAlign w:val="center"/>
          </w:tcPr>
          <w:p w14:paraId="662FE994" w14:textId="77777777" w:rsidR="00985FC7" w:rsidRPr="00747E35" w:rsidRDefault="00985FC7" w:rsidP="00697C1D">
            <w:pPr>
              <w:pStyle w:val="TableHead"/>
              <w:spacing w:before="0" w:after="0"/>
              <w:jc w:val="center"/>
              <w:rPr>
                <w:rFonts w:asciiTheme="minorHAnsi" w:hAnsiTheme="minorHAnsi" w:cstheme="minorHAnsi"/>
                <w:b w:val="0"/>
                <w:sz w:val="18"/>
                <w:szCs w:val="18"/>
              </w:rPr>
            </w:pPr>
            <w:r w:rsidRPr="00747E35">
              <w:rPr>
                <w:rFonts w:asciiTheme="minorHAnsi" w:hAnsiTheme="minorHAnsi" w:cstheme="minorHAnsi"/>
                <w:sz w:val="18"/>
                <w:szCs w:val="18"/>
              </w:rPr>
              <w:t>ES</w:t>
            </w:r>
          </w:p>
        </w:tc>
        <w:tc>
          <w:tcPr>
            <w:tcW w:w="634" w:type="dxa"/>
            <w:vMerge w:val="restart"/>
            <w:tcBorders>
              <w:top w:val="single" w:sz="4" w:space="0" w:color="auto"/>
            </w:tcBorders>
            <w:shd w:val="clear" w:color="auto" w:fill="DEEAF6" w:themeFill="accent1" w:themeFillTint="33"/>
            <w:vAlign w:val="center"/>
          </w:tcPr>
          <w:p w14:paraId="5720BAFD" w14:textId="77777777" w:rsidR="00985FC7" w:rsidRPr="00747E35" w:rsidRDefault="00985FC7" w:rsidP="00697C1D">
            <w:pPr>
              <w:pStyle w:val="TableHead"/>
              <w:spacing w:before="0" w:after="0"/>
              <w:jc w:val="center"/>
              <w:rPr>
                <w:rFonts w:asciiTheme="minorHAnsi" w:hAnsiTheme="minorHAnsi" w:cstheme="minorHAnsi"/>
                <w:b w:val="0"/>
                <w:sz w:val="18"/>
                <w:szCs w:val="18"/>
              </w:rPr>
            </w:pPr>
            <w:r w:rsidRPr="00747E35">
              <w:rPr>
                <w:rFonts w:asciiTheme="minorHAnsi" w:hAnsiTheme="minorHAnsi" w:cstheme="minorHAnsi"/>
                <w:sz w:val="18"/>
                <w:szCs w:val="18"/>
              </w:rPr>
              <w:t>CRS</w:t>
            </w:r>
          </w:p>
        </w:tc>
        <w:tc>
          <w:tcPr>
            <w:tcW w:w="2296" w:type="dxa"/>
            <w:gridSpan w:val="4"/>
            <w:tcBorders>
              <w:top w:val="single" w:sz="4" w:space="0" w:color="auto"/>
              <w:bottom w:val="single" w:sz="4" w:space="0" w:color="auto"/>
            </w:tcBorders>
            <w:shd w:val="clear" w:color="auto" w:fill="DEEAF6" w:themeFill="accent1" w:themeFillTint="33"/>
            <w:vAlign w:val="center"/>
          </w:tcPr>
          <w:p w14:paraId="1DB26F27" w14:textId="77777777" w:rsidR="00985FC7" w:rsidRPr="00747E35" w:rsidRDefault="00985FC7" w:rsidP="00697C1D">
            <w:pPr>
              <w:pStyle w:val="TableHead"/>
              <w:spacing w:before="0" w:after="0"/>
              <w:jc w:val="center"/>
              <w:rPr>
                <w:rFonts w:asciiTheme="minorHAnsi" w:hAnsiTheme="minorHAnsi" w:cstheme="minorHAnsi"/>
                <w:b w:val="0"/>
                <w:sz w:val="18"/>
                <w:szCs w:val="18"/>
              </w:rPr>
            </w:pPr>
            <w:r w:rsidRPr="00747E35">
              <w:rPr>
                <w:rFonts w:asciiTheme="minorHAnsi" w:hAnsiTheme="minorHAnsi" w:cstheme="minorHAnsi"/>
                <w:sz w:val="18"/>
                <w:szCs w:val="18"/>
              </w:rPr>
              <w:t>Land tenure (# springs)</w:t>
            </w:r>
          </w:p>
        </w:tc>
      </w:tr>
      <w:tr w:rsidR="00593412" w:rsidRPr="00747E35" w14:paraId="4F707FF6" w14:textId="77777777" w:rsidTr="0071418B">
        <w:trPr>
          <w:trHeight w:val="20"/>
          <w:tblHeader/>
        </w:trPr>
        <w:tc>
          <w:tcPr>
            <w:tcW w:w="1146" w:type="dxa"/>
            <w:vMerge/>
            <w:tcBorders>
              <w:bottom w:val="single" w:sz="4" w:space="0" w:color="auto"/>
            </w:tcBorders>
            <w:shd w:val="clear" w:color="auto" w:fill="DEEAF6" w:themeFill="accent1" w:themeFillTint="33"/>
            <w:vAlign w:val="center"/>
            <w:hideMark/>
          </w:tcPr>
          <w:p w14:paraId="11A6D990" w14:textId="77777777" w:rsidR="00985FC7" w:rsidRPr="00747E35" w:rsidRDefault="00985FC7" w:rsidP="00697C1D">
            <w:pPr>
              <w:spacing w:after="0"/>
              <w:rPr>
                <w:rFonts w:asciiTheme="minorHAnsi" w:hAnsiTheme="minorHAnsi" w:cstheme="minorHAnsi"/>
                <w:sz w:val="18"/>
                <w:szCs w:val="18"/>
                <w:lang w:eastAsia="en-AU"/>
              </w:rPr>
            </w:pPr>
          </w:p>
        </w:tc>
        <w:tc>
          <w:tcPr>
            <w:tcW w:w="1531" w:type="dxa"/>
            <w:vMerge/>
            <w:tcBorders>
              <w:bottom w:val="single" w:sz="4" w:space="0" w:color="auto"/>
            </w:tcBorders>
            <w:shd w:val="clear" w:color="auto" w:fill="DEEAF6" w:themeFill="accent1" w:themeFillTint="33"/>
            <w:vAlign w:val="center"/>
            <w:hideMark/>
          </w:tcPr>
          <w:p w14:paraId="48F51D16" w14:textId="77777777" w:rsidR="00985FC7" w:rsidRPr="00747E35" w:rsidRDefault="00985FC7" w:rsidP="00697C1D">
            <w:pPr>
              <w:spacing w:after="0"/>
              <w:rPr>
                <w:rFonts w:asciiTheme="minorHAnsi" w:hAnsiTheme="minorHAnsi" w:cstheme="minorHAnsi"/>
                <w:sz w:val="18"/>
                <w:szCs w:val="18"/>
                <w:lang w:eastAsia="en-AU"/>
              </w:rPr>
            </w:pPr>
          </w:p>
        </w:tc>
        <w:tc>
          <w:tcPr>
            <w:tcW w:w="1021" w:type="dxa"/>
            <w:vMerge/>
            <w:tcBorders>
              <w:bottom w:val="single" w:sz="4" w:space="0" w:color="auto"/>
            </w:tcBorders>
            <w:shd w:val="clear" w:color="auto" w:fill="DEEAF6" w:themeFill="accent1" w:themeFillTint="33"/>
            <w:vAlign w:val="center"/>
            <w:hideMark/>
          </w:tcPr>
          <w:p w14:paraId="7E69C289" w14:textId="77777777" w:rsidR="00985FC7" w:rsidRPr="00747E35" w:rsidRDefault="00985FC7" w:rsidP="00697C1D">
            <w:pPr>
              <w:spacing w:after="0"/>
              <w:rPr>
                <w:rFonts w:asciiTheme="minorHAnsi" w:hAnsiTheme="minorHAnsi" w:cstheme="minorHAnsi"/>
                <w:sz w:val="18"/>
                <w:szCs w:val="18"/>
                <w:lang w:eastAsia="en-AU"/>
              </w:rPr>
            </w:pPr>
          </w:p>
        </w:tc>
        <w:tc>
          <w:tcPr>
            <w:tcW w:w="973" w:type="dxa"/>
            <w:vMerge/>
            <w:tcBorders>
              <w:bottom w:val="single" w:sz="4" w:space="0" w:color="auto"/>
            </w:tcBorders>
            <w:shd w:val="clear" w:color="auto" w:fill="DEEAF6" w:themeFill="accent1" w:themeFillTint="33"/>
            <w:vAlign w:val="center"/>
            <w:hideMark/>
          </w:tcPr>
          <w:p w14:paraId="3A58F10A" w14:textId="77777777" w:rsidR="00985FC7" w:rsidRPr="00747E35" w:rsidRDefault="00985FC7" w:rsidP="00697C1D">
            <w:pPr>
              <w:spacing w:after="0"/>
              <w:jc w:val="center"/>
              <w:rPr>
                <w:rFonts w:asciiTheme="minorHAnsi" w:hAnsiTheme="minorHAnsi" w:cstheme="minorHAnsi"/>
                <w:sz w:val="18"/>
                <w:szCs w:val="18"/>
                <w:lang w:eastAsia="en-AU"/>
              </w:rPr>
            </w:pPr>
          </w:p>
        </w:tc>
        <w:tc>
          <w:tcPr>
            <w:tcW w:w="843" w:type="dxa"/>
            <w:vMerge/>
            <w:tcBorders>
              <w:bottom w:val="single" w:sz="4" w:space="0" w:color="auto"/>
            </w:tcBorders>
            <w:shd w:val="clear" w:color="auto" w:fill="DEEAF6" w:themeFill="accent1" w:themeFillTint="33"/>
            <w:vAlign w:val="center"/>
            <w:hideMark/>
          </w:tcPr>
          <w:p w14:paraId="0123DC70" w14:textId="77777777" w:rsidR="00985FC7" w:rsidRPr="00747E35" w:rsidRDefault="00985FC7" w:rsidP="00697C1D">
            <w:pPr>
              <w:spacing w:after="0"/>
              <w:jc w:val="center"/>
              <w:rPr>
                <w:rFonts w:asciiTheme="minorHAnsi" w:hAnsiTheme="minorHAnsi" w:cstheme="minorHAnsi"/>
                <w:sz w:val="18"/>
                <w:szCs w:val="18"/>
                <w:lang w:eastAsia="en-AU"/>
              </w:rPr>
            </w:pPr>
          </w:p>
        </w:tc>
        <w:tc>
          <w:tcPr>
            <w:tcW w:w="459" w:type="dxa"/>
            <w:vMerge/>
            <w:tcBorders>
              <w:bottom w:val="single" w:sz="4" w:space="0" w:color="auto"/>
            </w:tcBorders>
            <w:shd w:val="clear" w:color="auto" w:fill="DEEAF6" w:themeFill="accent1" w:themeFillTint="33"/>
            <w:vAlign w:val="center"/>
            <w:hideMark/>
          </w:tcPr>
          <w:p w14:paraId="57CC52F5" w14:textId="77777777" w:rsidR="00985FC7" w:rsidRPr="00747E35" w:rsidRDefault="00985FC7" w:rsidP="00697C1D">
            <w:pPr>
              <w:spacing w:after="0"/>
              <w:jc w:val="center"/>
              <w:rPr>
                <w:rFonts w:asciiTheme="minorHAnsi" w:hAnsiTheme="minorHAnsi" w:cstheme="minorHAnsi"/>
                <w:sz w:val="18"/>
                <w:szCs w:val="18"/>
                <w:lang w:eastAsia="en-AU"/>
              </w:rPr>
            </w:pPr>
          </w:p>
        </w:tc>
        <w:tc>
          <w:tcPr>
            <w:tcW w:w="634" w:type="dxa"/>
            <w:vMerge/>
            <w:tcBorders>
              <w:bottom w:val="single" w:sz="4" w:space="0" w:color="auto"/>
            </w:tcBorders>
            <w:shd w:val="clear" w:color="auto" w:fill="DEEAF6" w:themeFill="accent1" w:themeFillTint="33"/>
            <w:vAlign w:val="center"/>
            <w:hideMark/>
          </w:tcPr>
          <w:p w14:paraId="54976987" w14:textId="77777777" w:rsidR="00985FC7" w:rsidRPr="00747E35" w:rsidRDefault="00985FC7" w:rsidP="00697C1D">
            <w:pPr>
              <w:spacing w:after="0"/>
              <w:jc w:val="center"/>
              <w:rPr>
                <w:rFonts w:asciiTheme="minorHAnsi" w:hAnsiTheme="minorHAnsi" w:cstheme="minorHAnsi"/>
                <w:sz w:val="18"/>
                <w:szCs w:val="18"/>
                <w:lang w:eastAsia="en-AU"/>
              </w:rPr>
            </w:pPr>
          </w:p>
        </w:tc>
        <w:tc>
          <w:tcPr>
            <w:tcW w:w="640" w:type="dxa"/>
            <w:tcBorders>
              <w:top w:val="single" w:sz="4" w:space="0" w:color="auto"/>
              <w:bottom w:val="single" w:sz="4" w:space="0" w:color="auto"/>
            </w:tcBorders>
            <w:shd w:val="clear" w:color="auto" w:fill="DEEAF6" w:themeFill="accent1" w:themeFillTint="33"/>
            <w:vAlign w:val="center"/>
            <w:hideMark/>
          </w:tcPr>
          <w:p w14:paraId="4FB85442" w14:textId="77777777" w:rsidR="00985FC7" w:rsidRPr="00747E35" w:rsidRDefault="00985FC7" w:rsidP="00697C1D">
            <w:pPr>
              <w:spacing w:after="0"/>
              <w:jc w:val="center"/>
              <w:rPr>
                <w:rFonts w:asciiTheme="minorHAnsi" w:hAnsiTheme="minorHAnsi" w:cstheme="minorHAnsi"/>
                <w:sz w:val="18"/>
                <w:szCs w:val="18"/>
                <w:lang w:eastAsia="en-AU"/>
              </w:rPr>
            </w:pPr>
            <w:r w:rsidRPr="00747E35">
              <w:rPr>
                <w:rFonts w:asciiTheme="minorHAnsi" w:hAnsiTheme="minorHAnsi" w:cstheme="minorHAnsi"/>
                <w:sz w:val="18"/>
                <w:szCs w:val="18"/>
                <w:lang w:eastAsia="en-AU"/>
              </w:rPr>
              <w:t>NC</w:t>
            </w:r>
          </w:p>
        </w:tc>
        <w:tc>
          <w:tcPr>
            <w:tcW w:w="522" w:type="dxa"/>
            <w:tcBorders>
              <w:top w:val="single" w:sz="4" w:space="0" w:color="auto"/>
              <w:bottom w:val="single" w:sz="4" w:space="0" w:color="auto"/>
            </w:tcBorders>
            <w:shd w:val="clear" w:color="auto" w:fill="DEEAF6" w:themeFill="accent1" w:themeFillTint="33"/>
            <w:vAlign w:val="center"/>
            <w:hideMark/>
          </w:tcPr>
          <w:p w14:paraId="6D853740" w14:textId="77777777" w:rsidR="00985FC7" w:rsidRPr="00747E35" w:rsidRDefault="00985FC7" w:rsidP="00697C1D">
            <w:pPr>
              <w:spacing w:after="0"/>
              <w:jc w:val="center"/>
              <w:rPr>
                <w:rFonts w:asciiTheme="minorHAnsi" w:hAnsiTheme="minorHAnsi" w:cstheme="minorHAnsi"/>
                <w:sz w:val="18"/>
                <w:szCs w:val="18"/>
                <w:lang w:eastAsia="en-AU"/>
              </w:rPr>
            </w:pPr>
            <w:r w:rsidRPr="00747E35">
              <w:rPr>
                <w:rFonts w:asciiTheme="minorHAnsi" w:hAnsiTheme="minorHAnsi" w:cstheme="minorHAnsi"/>
                <w:sz w:val="18"/>
                <w:szCs w:val="18"/>
                <w:lang w:eastAsia="en-AU"/>
              </w:rPr>
              <w:t>PF</w:t>
            </w:r>
          </w:p>
        </w:tc>
        <w:tc>
          <w:tcPr>
            <w:tcW w:w="640" w:type="dxa"/>
            <w:tcBorders>
              <w:top w:val="single" w:sz="4" w:space="0" w:color="auto"/>
              <w:bottom w:val="single" w:sz="4" w:space="0" w:color="auto"/>
            </w:tcBorders>
            <w:shd w:val="clear" w:color="auto" w:fill="DEEAF6" w:themeFill="accent1" w:themeFillTint="33"/>
            <w:vAlign w:val="center"/>
            <w:hideMark/>
          </w:tcPr>
          <w:p w14:paraId="2AA572D6" w14:textId="77777777" w:rsidR="00985FC7" w:rsidRPr="00747E35" w:rsidRDefault="00985FC7" w:rsidP="00697C1D">
            <w:pPr>
              <w:spacing w:after="0"/>
              <w:jc w:val="center"/>
              <w:rPr>
                <w:rFonts w:asciiTheme="minorHAnsi" w:hAnsiTheme="minorHAnsi" w:cstheme="minorHAnsi"/>
                <w:sz w:val="18"/>
                <w:szCs w:val="18"/>
                <w:lang w:eastAsia="en-AU"/>
              </w:rPr>
            </w:pPr>
            <w:r w:rsidRPr="00747E35">
              <w:rPr>
                <w:rFonts w:asciiTheme="minorHAnsi" w:hAnsiTheme="minorHAnsi" w:cstheme="minorHAnsi"/>
                <w:sz w:val="18"/>
                <w:szCs w:val="18"/>
                <w:lang w:eastAsia="en-AU"/>
              </w:rPr>
              <w:t>PL</w:t>
            </w:r>
          </w:p>
        </w:tc>
        <w:tc>
          <w:tcPr>
            <w:tcW w:w="494" w:type="dxa"/>
            <w:tcBorders>
              <w:top w:val="single" w:sz="4" w:space="0" w:color="auto"/>
              <w:bottom w:val="single" w:sz="4" w:space="0" w:color="auto"/>
            </w:tcBorders>
            <w:shd w:val="clear" w:color="auto" w:fill="DEEAF6" w:themeFill="accent1" w:themeFillTint="33"/>
            <w:vAlign w:val="center"/>
            <w:hideMark/>
          </w:tcPr>
          <w:p w14:paraId="28333477" w14:textId="77777777" w:rsidR="00985FC7" w:rsidRPr="00747E35" w:rsidRDefault="00985FC7" w:rsidP="00697C1D">
            <w:pPr>
              <w:spacing w:after="0"/>
              <w:jc w:val="center"/>
              <w:rPr>
                <w:rFonts w:asciiTheme="minorHAnsi" w:hAnsiTheme="minorHAnsi" w:cstheme="minorHAnsi"/>
                <w:sz w:val="18"/>
                <w:szCs w:val="18"/>
                <w:lang w:eastAsia="en-AU"/>
              </w:rPr>
            </w:pPr>
            <w:r w:rsidRPr="00747E35">
              <w:rPr>
                <w:rFonts w:asciiTheme="minorHAnsi" w:hAnsiTheme="minorHAnsi" w:cstheme="minorHAnsi"/>
                <w:sz w:val="18"/>
                <w:szCs w:val="18"/>
                <w:lang w:eastAsia="en-AU"/>
              </w:rPr>
              <w:t>RCL</w:t>
            </w:r>
          </w:p>
        </w:tc>
      </w:tr>
      <w:tr w:rsidR="00593412" w:rsidRPr="00747E35" w14:paraId="4334BE0B" w14:textId="77777777" w:rsidTr="00593412">
        <w:trPr>
          <w:trHeight w:val="20"/>
        </w:trPr>
        <w:tc>
          <w:tcPr>
            <w:tcW w:w="1146" w:type="dxa"/>
            <w:tcBorders>
              <w:top w:val="single" w:sz="4" w:space="0" w:color="auto"/>
            </w:tcBorders>
            <w:shd w:val="clear" w:color="auto" w:fill="auto"/>
            <w:noWrap/>
            <w:vAlign w:val="center"/>
            <w:hideMark/>
          </w:tcPr>
          <w:p w14:paraId="29E9EC31"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Barcaldine</w:t>
            </w:r>
          </w:p>
        </w:tc>
        <w:tc>
          <w:tcPr>
            <w:tcW w:w="1531" w:type="dxa"/>
            <w:tcBorders>
              <w:top w:val="single" w:sz="4" w:space="0" w:color="auto"/>
            </w:tcBorders>
            <w:shd w:val="clear" w:color="auto" w:fill="auto"/>
            <w:noWrap/>
            <w:vAlign w:val="center"/>
            <w:hideMark/>
          </w:tcPr>
          <w:p w14:paraId="0E16D5E4"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Pelican Creek</w:t>
            </w:r>
          </w:p>
        </w:tc>
        <w:tc>
          <w:tcPr>
            <w:tcW w:w="1021" w:type="dxa"/>
            <w:tcBorders>
              <w:top w:val="single" w:sz="4" w:space="0" w:color="auto"/>
            </w:tcBorders>
            <w:shd w:val="clear" w:color="000000" w:fill="auto"/>
            <w:noWrap/>
            <w:vAlign w:val="center"/>
            <w:hideMark/>
          </w:tcPr>
          <w:p w14:paraId="1D184740"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BA_EDG</w:t>
            </w:r>
          </w:p>
        </w:tc>
        <w:tc>
          <w:tcPr>
            <w:tcW w:w="973" w:type="dxa"/>
            <w:tcBorders>
              <w:top w:val="single" w:sz="4" w:space="0" w:color="auto"/>
            </w:tcBorders>
            <w:shd w:val="clear" w:color="auto" w:fill="auto"/>
            <w:noWrap/>
            <w:vAlign w:val="center"/>
            <w:hideMark/>
          </w:tcPr>
          <w:p w14:paraId="4772174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145.44</w:t>
            </w:r>
          </w:p>
        </w:tc>
        <w:tc>
          <w:tcPr>
            <w:tcW w:w="843" w:type="dxa"/>
            <w:tcBorders>
              <w:top w:val="single" w:sz="4" w:space="0" w:color="auto"/>
            </w:tcBorders>
            <w:shd w:val="clear" w:color="auto" w:fill="auto"/>
            <w:noWrap/>
            <w:vAlign w:val="center"/>
            <w:hideMark/>
          </w:tcPr>
          <w:p w14:paraId="7EF4AF8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-22.77</w:t>
            </w:r>
          </w:p>
        </w:tc>
        <w:tc>
          <w:tcPr>
            <w:tcW w:w="459" w:type="dxa"/>
            <w:tcBorders>
              <w:top w:val="single" w:sz="4" w:space="0" w:color="auto"/>
            </w:tcBorders>
            <w:shd w:val="clear" w:color="auto" w:fill="auto"/>
            <w:noWrap/>
            <w:vAlign w:val="center"/>
            <w:hideMark/>
          </w:tcPr>
          <w:p w14:paraId="0BFE9D9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26</w:t>
            </w:r>
          </w:p>
        </w:tc>
        <w:tc>
          <w:tcPr>
            <w:tcW w:w="634" w:type="dxa"/>
            <w:tcBorders>
              <w:top w:val="single" w:sz="4" w:space="0" w:color="auto"/>
            </w:tcBorders>
            <w:shd w:val="clear" w:color="auto" w:fill="auto"/>
            <w:noWrap/>
            <w:vAlign w:val="center"/>
            <w:hideMark/>
          </w:tcPr>
          <w:p w14:paraId="41F18CA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1.240</w:t>
            </w:r>
          </w:p>
        </w:tc>
        <w:tc>
          <w:tcPr>
            <w:tcW w:w="640" w:type="dxa"/>
            <w:tcBorders>
              <w:top w:val="single" w:sz="4" w:space="0" w:color="auto"/>
            </w:tcBorders>
            <w:shd w:val="clear" w:color="auto" w:fill="auto"/>
            <w:noWrap/>
            <w:vAlign w:val="center"/>
            <w:hideMark/>
          </w:tcPr>
          <w:p w14:paraId="6AAD4C0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121</w:t>
            </w:r>
          </w:p>
        </w:tc>
        <w:tc>
          <w:tcPr>
            <w:tcW w:w="522" w:type="dxa"/>
            <w:tcBorders>
              <w:top w:val="single" w:sz="4" w:space="0" w:color="auto"/>
            </w:tcBorders>
            <w:shd w:val="clear" w:color="auto" w:fill="auto"/>
            <w:noWrap/>
            <w:vAlign w:val="center"/>
            <w:hideMark/>
          </w:tcPr>
          <w:p w14:paraId="154AFB0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38</w:t>
            </w:r>
          </w:p>
        </w:tc>
        <w:tc>
          <w:tcPr>
            <w:tcW w:w="640" w:type="dxa"/>
            <w:tcBorders>
              <w:top w:val="single" w:sz="4" w:space="0" w:color="auto"/>
            </w:tcBorders>
            <w:shd w:val="clear" w:color="auto" w:fill="auto"/>
            <w:noWrap/>
            <w:vAlign w:val="center"/>
            <w:hideMark/>
          </w:tcPr>
          <w:p w14:paraId="788CAB0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tcBorders>
              <w:top w:val="single" w:sz="4" w:space="0" w:color="auto"/>
            </w:tcBorders>
            <w:shd w:val="clear" w:color="auto" w:fill="auto"/>
            <w:noWrap/>
            <w:vAlign w:val="center"/>
            <w:hideMark/>
          </w:tcPr>
          <w:p w14:paraId="478B39C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7EE7EBC5" w14:textId="77777777" w:rsidTr="00593412">
        <w:trPr>
          <w:trHeight w:val="20"/>
        </w:trPr>
        <w:tc>
          <w:tcPr>
            <w:tcW w:w="1146" w:type="dxa"/>
            <w:shd w:val="clear" w:color="auto" w:fill="auto"/>
            <w:noWrap/>
            <w:vAlign w:val="center"/>
            <w:hideMark/>
          </w:tcPr>
          <w:p w14:paraId="596B86A8"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Barcaldine</w:t>
            </w:r>
          </w:p>
        </w:tc>
        <w:tc>
          <w:tcPr>
            <w:tcW w:w="1531" w:type="dxa"/>
            <w:shd w:val="clear" w:color="auto" w:fill="auto"/>
            <w:noWrap/>
            <w:vAlign w:val="center"/>
            <w:hideMark/>
          </w:tcPr>
          <w:p w14:paraId="0D19D2FF"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Moses</w:t>
            </w:r>
          </w:p>
        </w:tc>
        <w:tc>
          <w:tcPr>
            <w:tcW w:w="1021" w:type="dxa"/>
            <w:shd w:val="clear" w:color="000000" w:fill="auto"/>
            <w:noWrap/>
            <w:vAlign w:val="center"/>
            <w:hideMark/>
          </w:tcPr>
          <w:p w14:paraId="32C02CB2"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BA_MOS</w:t>
            </w:r>
          </w:p>
        </w:tc>
        <w:tc>
          <w:tcPr>
            <w:tcW w:w="973" w:type="dxa"/>
            <w:shd w:val="clear" w:color="auto" w:fill="auto"/>
            <w:noWrap/>
            <w:vAlign w:val="center"/>
            <w:hideMark/>
          </w:tcPr>
          <w:p w14:paraId="117F7B0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146.24</w:t>
            </w:r>
          </w:p>
        </w:tc>
        <w:tc>
          <w:tcPr>
            <w:tcW w:w="843" w:type="dxa"/>
            <w:shd w:val="clear" w:color="auto" w:fill="auto"/>
            <w:noWrap/>
            <w:vAlign w:val="center"/>
            <w:hideMark/>
          </w:tcPr>
          <w:p w14:paraId="629EED7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-22.08</w:t>
            </w:r>
          </w:p>
        </w:tc>
        <w:tc>
          <w:tcPr>
            <w:tcW w:w="459" w:type="dxa"/>
            <w:shd w:val="clear" w:color="auto" w:fill="auto"/>
            <w:noWrap/>
            <w:vAlign w:val="center"/>
            <w:hideMark/>
          </w:tcPr>
          <w:p w14:paraId="0608E41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10</w:t>
            </w:r>
          </w:p>
        </w:tc>
        <w:tc>
          <w:tcPr>
            <w:tcW w:w="634" w:type="dxa"/>
            <w:shd w:val="clear" w:color="auto" w:fill="auto"/>
            <w:noWrap/>
            <w:vAlign w:val="center"/>
            <w:hideMark/>
          </w:tcPr>
          <w:p w14:paraId="1E233BD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0.196</w:t>
            </w:r>
          </w:p>
        </w:tc>
        <w:tc>
          <w:tcPr>
            <w:tcW w:w="640" w:type="dxa"/>
            <w:shd w:val="clear" w:color="auto" w:fill="auto"/>
            <w:noWrap/>
            <w:vAlign w:val="center"/>
            <w:hideMark/>
          </w:tcPr>
          <w:p w14:paraId="48BBA01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80</w:t>
            </w:r>
          </w:p>
        </w:tc>
        <w:tc>
          <w:tcPr>
            <w:tcW w:w="522" w:type="dxa"/>
            <w:shd w:val="clear" w:color="auto" w:fill="auto"/>
            <w:noWrap/>
            <w:vAlign w:val="center"/>
            <w:hideMark/>
          </w:tcPr>
          <w:p w14:paraId="60FA5FC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0039876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70</w:t>
            </w:r>
          </w:p>
        </w:tc>
        <w:tc>
          <w:tcPr>
            <w:tcW w:w="494" w:type="dxa"/>
            <w:shd w:val="clear" w:color="auto" w:fill="auto"/>
            <w:noWrap/>
            <w:vAlign w:val="center"/>
            <w:hideMark/>
          </w:tcPr>
          <w:p w14:paraId="3A0C24A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702045CC" w14:textId="77777777" w:rsidTr="00593412">
        <w:trPr>
          <w:trHeight w:val="20"/>
        </w:trPr>
        <w:tc>
          <w:tcPr>
            <w:tcW w:w="1146" w:type="dxa"/>
            <w:shd w:val="clear" w:color="auto" w:fill="auto"/>
            <w:noWrap/>
            <w:vAlign w:val="center"/>
            <w:hideMark/>
          </w:tcPr>
          <w:p w14:paraId="224CD483"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Barcaldine</w:t>
            </w:r>
          </w:p>
        </w:tc>
        <w:tc>
          <w:tcPr>
            <w:tcW w:w="1531" w:type="dxa"/>
            <w:shd w:val="clear" w:color="auto" w:fill="auto"/>
            <w:noWrap/>
            <w:vAlign w:val="center"/>
            <w:hideMark/>
          </w:tcPr>
          <w:p w14:paraId="78816773"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Wobbly</w:t>
            </w:r>
          </w:p>
        </w:tc>
        <w:tc>
          <w:tcPr>
            <w:tcW w:w="1021" w:type="dxa"/>
            <w:shd w:val="clear" w:color="000000" w:fill="auto"/>
            <w:noWrap/>
            <w:vAlign w:val="center"/>
            <w:hideMark/>
          </w:tcPr>
          <w:p w14:paraId="176A9A05"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BA_WOB</w:t>
            </w:r>
          </w:p>
        </w:tc>
        <w:tc>
          <w:tcPr>
            <w:tcW w:w="973" w:type="dxa"/>
            <w:shd w:val="clear" w:color="auto" w:fill="auto"/>
            <w:noWrap/>
            <w:vAlign w:val="center"/>
            <w:hideMark/>
          </w:tcPr>
          <w:p w14:paraId="6FA3736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145.37</w:t>
            </w:r>
          </w:p>
        </w:tc>
        <w:tc>
          <w:tcPr>
            <w:tcW w:w="843" w:type="dxa"/>
            <w:shd w:val="clear" w:color="auto" w:fill="auto"/>
            <w:noWrap/>
            <w:vAlign w:val="center"/>
            <w:hideMark/>
          </w:tcPr>
          <w:p w14:paraId="6C8E279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-22.25</w:t>
            </w:r>
          </w:p>
        </w:tc>
        <w:tc>
          <w:tcPr>
            <w:tcW w:w="459" w:type="dxa"/>
            <w:shd w:val="clear" w:color="auto" w:fill="auto"/>
            <w:noWrap/>
            <w:vAlign w:val="center"/>
            <w:hideMark/>
          </w:tcPr>
          <w:p w14:paraId="2492375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5</w:t>
            </w:r>
          </w:p>
        </w:tc>
        <w:tc>
          <w:tcPr>
            <w:tcW w:w="634" w:type="dxa"/>
            <w:shd w:val="clear" w:color="auto" w:fill="auto"/>
            <w:noWrap/>
            <w:vAlign w:val="center"/>
            <w:hideMark/>
          </w:tcPr>
          <w:p w14:paraId="1862740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0.110</w:t>
            </w:r>
          </w:p>
        </w:tc>
        <w:tc>
          <w:tcPr>
            <w:tcW w:w="640" w:type="dxa"/>
            <w:shd w:val="clear" w:color="auto" w:fill="auto"/>
            <w:noWrap/>
            <w:vAlign w:val="center"/>
            <w:hideMark/>
          </w:tcPr>
          <w:p w14:paraId="14090AF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39F5FC2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7</w:t>
            </w:r>
          </w:p>
        </w:tc>
        <w:tc>
          <w:tcPr>
            <w:tcW w:w="640" w:type="dxa"/>
            <w:shd w:val="clear" w:color="auto" w:fill="auto"/>
            <w:noWrap/>
            <w:vAlign w:val="center"/>
            <w:hideMark/>
          </w:tcPr>
          <w:p w14:paraId="2CD6F88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shd w:val="clear" w:color="auto" w:fill="auto"/>
            <w:noWrap/>
            <w:vAlign w:val="center"/>
            <w:hideMark/>
          </w:tcPr>
          <w:p w14:paraId="4E09FC4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4F3F1729" w14:textId="77777777" w:rsidTr="00593412">
        <w:trPr>
          <w:trHeight w:val="20"/>
        </w:trPr>
        <w:tc>
          <w:tcPr>
            <w:tcW w:w="1146" w:type="dxa"/>
            <w:shd w:val="clear" w:color="auto" w:fill="auto"/>
            <w:noWrap/>
            <w:vAlign w:val="center"/>
            <w:hideMark/>
          </w:tcPr>
          <w:p w14:paraId="212295AD"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Barcaldine</w:t>
            </w:r>
          </w:p>
        </w:tc>
        <w:tc>
          <w:tcPr>
            <w:tcW w:w="1531" w:type="dxa"/>
            <w:shd w:val="clear" w:color="auto" w:fill="auto"/>
            <w:noWrap/>
            <w:vAlign w:val="center"/>
            <w:hideMark/>
          </w:tcPr>
          <w:p w14:paraId="46D4DD59"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Archer's</w:t>
            </w:r>
          </w:p>
        </w:tc>
        <w:tc>
          <w:tcPr>
            <w:tcW w:w="1021" w:type="dxa"/>
            <w:shd w:val="clear" w:color="000000" w:fill="auto"/>
            <w:noWrap/>
            <w:vAlign w:val="center"/>
            <w:hideMark/>
          </w:tcPr>
          <w:p w14:paraId="6F3C6E74"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BA_ARC</w:t>
            </w:r>
          </w:p>
        </w:tc>
        <w:tc>
          <w:tcPr>
            <w:tcW w:w="973" w:type="dxa"/>
            <w:shd w:val="clear" w:color="auto" w:fill="auto"/>
            <w:noWrap/>
            <w:vAlign w:val="center"/>
            <w:hideMark/>
          </w:tcPr>
          <w:p w14:paraId="7C66512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145.36</w:t>
            </w:r>
          </w:p>
        </w:tc>
        <w:tc>
          <w:tcPr>
            <w:tcW w:w="843" w:type="dxa"/>
            <w:shd w:val="clear" w:color="auto" w:fill="auto"/>
            <w:noWrap/>
            <w:vAlign w:val="center"/>
            <w:hideMark/>
          </w:tcPr>
          <w:p w14:paraId="7C44062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-22.30</w:t>
            </w:r>
          </w:p>
        </w:tc>
        <w:tc>
          <w:tcPr>
            <w:tcW w:w="459" w:type="dxa"/>
            <w:shd w:val="clear" w:color="auto" w:fill="auto"/>
            <w:noWrap/>
            <w:vAlign w:val="center"/>
            <w:hideMark/>
          </w:tcPr>
          <w:p w14:paraId="58AC0C6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4</w:t>
            </w:r>
          </w:p>
        </w:tc>
        <w:tc>
          <w:tcPr>
            <w:tcW w:w="634" w:type="dxa"/>
            <w:shd w:val="clear" w:color="auto" w:fill="auto"/>
            <w:noWrap/>
            <w:vAlign w:val="center"/>
            <w:hideMark/>
          </w:tcPr>
          <w:p w14:paraId="5B64EBB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0.091</w:t>
            </w:r>
          </w:p>
        </w:tc>
        <w:tc>
          <w:tcPr>
            <w:tcW w:w="640" w:type="dxa"/>
            <w:shd w:val="clear" w:color="auto" w:fill="auto"/>
            <w:noWrap/>
            <w:vAlign w:val="center"/>
            <w:hideMark/>
          </w:tcPr>
          <w:p w14:paraId="49B2AD1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66A6D8E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11</w:t>
            </w:r>
          </w:p>
        </w:tc>
        <w:tc>
          <w:tcPr>
            <w:tcW w:w="640" w:type="dxa"/>
            <w:shd w:val="clear" w:color="auto" w:fill="auto"/>
            <w:noWrap/>
            <w:vAlign w:val="center"/>
            <w:hideMark/>
          </w:tcPr>
          <w:p w14:paraId="29DC847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shd w:val="clear" w:color="auto" w:fill="auto"/>
            <w:noWrap/>
            <w:vAlign w:val="center"/>
            <w:hideMark/>
          </w:tcPr>
          <w:p w14:paraId="0BD3967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55C39700" w14:textId="77777777" w:rsidTr="00593412">
        <w:trPr>
          <w:trHeight w:val="20"/>
        </w:trPr>
        <w:tc>
          <w:tcPr>
            <w:tcW w:w="1146" w:type="dxa"/>
            <w:shd w:val="clear" w:color="auto" w:fill="auto"/>
            <w:noWrap/>
            <w:vAlign w:val="center"/>
            <w:hideMark/>
          </w:tcPr>
          <w:p w14:paraId="42685CE1"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Barcaldine</w:t>
            </w:r>
          </w:p>
        </w:tc>
        <w:tc>
          <w:tcPr>
            <w:tcW w:w="1531" w:type="dxa"/>
            <w:shd w:val="clear" w:color="auto" w:fill="auto"/>
            <w:noWrap/>
            <w:vAlign w:val="center"/>
            <w:hideMark/>
          </w:tcPr>
          <w:p w14:paraId="38C00D8A"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Caring</w:t>
            </w:r>
          </w:p>
        </w:tc>
        <w:tc>
          <w:tcPr>
            <w:tcW w:w="1021" w:type="dxa"/>
            <w:shd w:val="clear" w:color="000000" w:fill="auto"/>
            <w:noWrap/>
            <w:vAlign w:val="center"/>
            <w:hideMark/>
          </w:tcPr>
          <w:p w14:paraId="3AD42CE4"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BA_CAG</w:t>
            </w:r>
          </w:p>
        </w:tc>
        <w:tc>
          <w:tcPr>
            <w:tcW w:w="973" w:type="dxa"/>
            <w:shd w:val="clear" w:color="auto" w:fill="auto"/>
            <w:noWrap/>
            <w:vAlign w:val="center"/>
            <w:hideMark/>
          </w:tcPr>
          <w:p w14:paraId="78CB04C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145.39</w:t>
            </w:r>
          </w:p>
        </w:tc>
        <w:tc>
          <w:tcPr>
            <w:tcW w:w="843" w:type="dxa"/>
            <w:shd w:val="clear" w:color="auto" w:fill="auto"/>
            <w:noWrap/>
            <w:vAlign w:val="center"/>
            <w:hideMark/>
          </w:tcPr>
          <w:p w14:paraId="1F838AA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-22.15</w:t>
            </w:r>
          </w:p>
        </w:tc>
        <w:tc>
          <w:tcPr>
            <w:tcW w:w="459" w:type="dxa"/>
            <w:shd w:val="clear" w:color="auto" w:fill="auto"/>
            <w:noWrap/>
            <w:vAlign w:val="center"/>
            <w:hideMark/>
          </w:tcPr>
          <w:p w14:paraId="146C123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3</w:t>
            </w:r>
          </w:p>
        </w:tc>
        <w:tc>
          <w:tcPr>
            <w:tcW w:w="634" w:type="dxa"/>
            <w:shd w:val="clear" w:color="auto" w:fill="auto"/>
            <w:noWrap/>
            <w:vAlign w:val="center"/>
            <w:hideMark/>
          </w:tcPr>
          <w:p w14:paraId="1102F1F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0.073</w:t>
            </w:r>
          </w:p>
        </w:tc>
        <w:tc>
          <w:tcPr>
            <w:tcW w:w="640" w:type="dxa"/>
            <w:shd w:val="clear" w:color="auto" w:fill="auto"/>
            <w:noWrap/>
            <w:vAlign w:val="center"/>
            <w:hideMark/>
          </w:tcPr>
          <w:p w14:paraId="3909567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3647D75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640" w:type="dxa"/>
            <w:shd w:val="clear" w:color="auto" w:fill="auto"/>
            <w:noWrap/>
            <w:vAlign w:val="center"/>
            <w:hideMark/>
          </w:tcPr>
          <w:p w14:paraId="7D1E28C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22</w:t>
            </w:r>
          </w:p>
        </w:tc>
        <w:tc>
          <w:tcPr>
            <w:tcW w:w="494" w:type="dxa"/>
            <w:shd w:val="clear" w:color="auto" w:fill="auto"/>
            <w:noWrap/>
            <w:vAlign w:val="center"/>
            <w:hideMark/>
          </w:tcPr>
          <w:p w14:paraId="09106A1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4C37B599" w14:textId="77777777" w:rsidTr="00593412">
        <w:trPr>
          <w:trHeight w:val="20"/>
        </w:trPr>
        <w:tc>
          <w:tcPr>
            <w:tcW w:w="1146" w:type="dxa"/>
            <w:tcBorders>
              <w:bottom w:val="single" w:sz="4" w:space="0" w:color="auto"/>
            </w:tcBorders>
            <w:shd w:val="clear" w:color="auto" w:fill="auto"/>
            <w:noWrap/>
            <w:vAlign w:val="center"/>
            <w:hideMark/>
          </w:tcPr>
          <w:p w14:paraId="4B84CB3E"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Barcaldine</w:t>
            </w:r>
          </w:p>
        </w:tc>
        <w:tc>
          <w:tcPr>
            <w:tcW w:w="1531" w:type="dxa"/>
            <w:tcBorders>
              <w:bottom w:val="single" w:sz="4" w:space="0" w:color="auto"/>
            </w:tcBorders>
            <w:shd w:val="clear" w:color="auto" w:fill="auto"/>
            <w:noWrap/>
            <w:vAlign w:val="center"/>
            <w:hideMark/>
          </w:tcPr>
          <w:p w14:paraId="4075E71C"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Caress</w:t>
            </w:r>
          </w:p>
        </w:tc>
        <w:tc>
          <w:tcPr>
            <w:tcW w:w="1021" w:type="dxa"/>
            <w:tcBorders>
              <w:bottom w:val="single" w:sz="4" w:space="0" w:color="auto"/>
            </w:tcBorders>
            <w:shd w:val="clear" w:color="000000" w:fill="auto"/>
            <w:noWrap/>
            <w:vAlign w:val="center"/>
            <w:hideMark/>
          </w:tcPr>
          <w:p w14:paraId="062FF1FF"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BA_CAR</w:t>
            </w:r>
          </w:p>
        </w:tc>
        <w:tc>
          <w:tcPr>
            <w:tcW w:w="973" w:type="dxa"/>
            <w:tcBorders>
              <w:bottom w:val="single" w:sz="4" w:space="0" w:color="auto"/>
            </w:tcBorders>
            <w:shd w:val="clear" w:color="auto" w:fill="auto"/>
            <w:noWrap/>
            <w:vAlign w:val="center"/>
            <w:hideMark/>
          </w:tcPr>
          <w:p w14:paraId="7863686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145.41</w:t>
            </w:r>
          </w:p>
        </w:tc>
        <w:tc>
          <w:tcPr>
            <w:tcW w:w="843" w:type="dxa"/>
            <w:tcBorders>
              <w:bottom w:val="single" w:sz="4" w:space="0" w:color="auto"/>
            </w:tcBorders>
            <w:shd w:val="clear" w:color="auto" w:fill="auto"/>
            <w:noWrap/>
            <w:vAlign w:val="center"/>
            <w:hideMark/>
          </w:tcPr>
          <w:p w14:paraId="18A9FE8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-23.28</w:t>
            </w:r>
          </w:p>
        </w:tc>
        <w:tc>
          <w:tcPr>
            <w:tcW w:w="459" w:type="dxa"/>
            <w:tcBorders>
              <w:bottom w:val="single" w:sz="4" w:space="0" w:color="auto"/>
            </w:tcBorders>
            <w:shd w:val="clear" w:color="auto" w:fill="auto"/>
            <w:noWrap/>
            <w:vAlign w:val="center"/>
            <w:hideMark/>
          </w:tcPr>
          <w:p w14:paraId="4C97693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3</w:t>
            </w:r>
          </w:p>
        </w:tc>
        <w:tc>
          <w:tcPr>
            <w:tcW w:w="634" w:type="dxa"/>
            <w:tcBorders>
              <w:bottom w:val="single" w:sz="4" w:space="0" w:color="auto"/>
            </w:tcBorders>
            <w:shd w:val="clear" w:color="auto" w:fill="auto"/>
            <w:noWrap/>
            <w:vAlign w:val="center"/>
            <w:hideMark/>
          </w:tcPr>
          <w:p w14:paraId="67AC8F2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0.053</w:t>
            </w:r>
          </w:p>
        </w:tc>
        <w:tc>
          <w:tcPr>
            <w:tcW w:w="640" w:type="dxa"/>
            <w:tcBorders>
              <w:bottom w:val="single" w:sz="4" w:space="0" w:color="auto"/>
            </w:tcBorders>
            <w:shd w:val="clear" w:color="auto" w:fill="auto"/>
            <w:noWrap/>
            <w:vAlign w:val="center"/>
            <w:hideMark/>
          </w:tcPr>
          <w:p w14:paraId="61FD27D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tcBorders>
              <w:bottom w:val="single" w:sz="4" w:space="0" w:color="auto"/>
            </w:tcBorders>
            <w:shd w:val="clear" w:color="auto" w:fill="auto"/>
            <w:noWrap/>
            <w:vAlign w:val="center"/>
            <w:hideMark/>
          </w:tcPr>
          <w:p w14:paraId="47EDED9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26</w:t>
            </w:r>
          </w:p>
        </w:tc>
        <w:tc>
          <w:tcPr>
            <w:tcW w:w="640" w:type="dxa"/>
            <w:tcBorders>
              <w:bottom w:val="single" w:sz="4" w:space="0" w:color="auto"/>
            </w:tcBorders>
            <w:shd w:val="clear" w:color="auto" w:fill="auto"/>
            <w:noWrap/>
            <w:vAlign w:val="center"/>
            <w:hideMark/>
          </w:tcPr>
          <w:p w14:paraId="0DC0CA8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tcBorders>
              <w:bottom w:val="single" w:sz="4" w:space="0" w:color="auto"/>
            </w:tcBorders>
            <w:shd w:val="clear" w:color="auto" w:fill="auto"/>
            <w:noWrap/>
            <w:vAlign w:val="center"/>
            <w:hideMark/>
          </w:tcPr>
          <w:p w14:paraId="382706A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4ED5F6E5" w14:textId="77777777" w:rsidTr="00593412">
        <w:trPr>
          <w:trHeight w:val="20"/>
        </w:trPr>
        <w:tc>
          <w:tcPr>
            <w:tcW w:w="1146" w:type="dxa"/>
            <w:tcBorders>
              <w:top w:val="single" w:sz="4" w:space="0" w:color="auto"/>
              <w:bottom w:val="single" w:sz="4" w:space="0" w:color="auto"/>
            </w:tcBorders>
            <w:shd w:val="clear" w:color="auto" w:fill="auto"/>
            <w:noWrap/>
            <w:vAlign w:val="center"/>
            <w:hideMark/>
          </w:tcPr>
          <w:p w14:paraId="103E8281"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Bourke</w:t>
            </w:r>
          </w:p>
        </w:tc>
        <w:tc>
          <w:tcPr>
            <w:tcW w:w="1531" w:type="dxa"/>
            <w:tcBorders>
              <w:top w:val="single" w:sz="4" w:space="0" w:color="auto"/>
              <w:bottom w:val="single" w:sz="4" w:space="0" w:color="auto"/>
            </w:tcBorders>
            <w:shd w:val="clear" w:color="auto" w:fill="auto"/>
            <w:noWrap/>
            <w:vAlign w:val="center"/>
            <w:hideMark/>
          </w:tcPr>
          <w:p w14:paraId="4921531F"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Peery</w:t>
            </w:r>
          </w:p>
        </w:tc>
        <w:tc>
          <w:tcPr>
            <w:tcW w:w="1021" w:type="dxa"/>
            <w:tcBorders>
              <w:top w:val="single" w:sz="4" w:space="0" w:color="auto"/>
              <w:bottom w:val="single" w:sz="4" w:space="0" w:color="auto"/>
            </w:tcBorders>
            <w:shd w:val="clear" w:color="000000" w:fill="auto"/>
            <w:noWrap/>
            <w:vAlign w:val="center"/>
            <w:hideMark/>
          </w:tcPr>
          <w:p w14:paraId="1E7EB850"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BU_PEE</w:t>
            </w:r>
          </w:p>
        </w:tc>
        <w:tc>
          <w:tcPr>
            <w:tcW w:w="973" w:type="dxa"/>
            <w:tcBorders>
              <w:top w:val="single" w:sz="4" w:space="0" w:color="auto"/>
              <w:bottom w:val="single" w:sz="4" w:space="0" w:color="auto"/>
            </w:tcBorders>
            <w:shd w:val="clear" w:color="auto" w:fill="auto"/>
            <w:noWrap/>
            <w:vAlign w:val="center"/>
            <w:hideMark/>
          </w:tcPr>
          <w:p w14:paraId="7E7185B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143.59</w:t>
            </w:r>
          </w:p>
        </w:tc>
        <w:tc>
          <w:tcPr>
            <w:tcW w:w="843" w:type="dxa"/>
            <w:tcBorders>
              <w:top w:val="single" w:sz="4" w:space="0" w:color="auto"/>
              <w:bottom w:val="single" w:sz="4" w:space="0" w:color="auto"/>
            </w:tcBorders>
            <w:shd w:val="clear" w:color="auto" w:fill="auto"/>
            <w:noWrap/>
            <w:vAlign w:val="center"/>
            <w:hideMark/>
          </w:tcPr>
          <w:p w14:paraId="6422ACB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-30.73</w:t>
            </w:r>
          </w:p>
        </w:tc>
        <w:tc>
          <w:tcPr>
            <w:tcW w:w="459" w:type="dxa"/>
            <w:tcBorders>
              <w:top w:val="single" w:sz="4" w:space="0" w:color="auto"/>
              <w:bottom w:val="single" w:sz="4" w:space="0" w:color="auto"/>
            </w:tcBorders>
            <w:shd w:val="clear" w:color="auto" w:fill="auto"/>
            <w:noWrap/>
            <w:vAlign w:val="center"/>
            <w:hideMark/>
          </w:tcPr>
          <w:p w14:paraId="2148EB6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w:t>
            </w:r>
          </w:p>
        </w:tc>
        <w:tc>
          <w:tcPr>
            <w:tcW w:w="634" w:type="dxa"/>
            <w:tcBorders>
              <w:top w:val="single" w:sz="4" w:space="0" w:color="auto"/>
              <w:bottom w:val="single" w:sz="4" w:space="0" w:color="auto"/>
            </w:tcBorders>
            <w:shd w:val="clear" w:color="auto" w:fill="auto"/>
            <w:noWrap/>
            <w:vAlign w:val="center"/>
            <w:hideMark/>
          </w:tcPr>
          <w:p w14:paraId="057ACE9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0.014</w:t>
            </w:r>
          </w:p>
        </w:tc>
        <w:tc>
          <w:tcPr>
            <w:tcW w:w="640" w:type="dxa"/>
            <w:tcBorders>
              <w:top w:val="single" w:sz="4" w:space="0" w:color="auto"/>
              <w:bottom w:val="single" w:sz="4" w:space="0" w:color="auto"/>
            </w:tcBorders>
            <w:shd w:val="clear" w:color="auto" w:fill="auto"/>
            <w:noWrap/>
            <w:vAlign w:val="center"/>
            <w:hideMark/>
          </w:tcPr>
          <w:p w14:paraId="5354555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189</w:t>
            </w:r>
          </w:p>
        </w:tc>
        <w:tc>
          <w:tcPr>
            <w:tcW w:w="522" w:type="dxa"/>
            <w:tcBorders>
              <w:top w:val="single" w:sz="4" w:space="0" w:color="auto"/>
              <w:bottom w:val="single" w:sz="4" w:space="0" w:color="auto"/>
            </w:tcBorders>
            <w:shd w:val="clear" w:color="auto" w:fill="auto"/>
            <w:noWrap/>
            <w:vAlign w:val="center"/>
            <w:hideMark/>
          </w:tcPr>
          <w:p w14:paraId="655AC65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tcBorders>
              <w:top w:val="single" w:sz="4" w:space="0" w:color="auto"/>
              <w:bottom w:val="single" w:sz="4" w:space="0" w:color="auto"/>
            </w:tcBorders>
            <w:shd w:val="clear" w:color="auto" w:fill="auto"/>
            <w:noWrap/>
            <w:vAlign w:val="center"/>
            <w:hideMark/>
          </w:tcPr>
          <w:p w14:paraId="6676F7D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tcBorders>
              <w:top w:val="single" w:sz="4" w:space="0" w:color="auto"/>
              <w:bottom w:val="single" w:sz="4" w:space="0" w:color="auto"/>
            </w:tcBorders>
            <w:shd w:val="clear" w:color="auto" w:fill="auto"/>
            <w:noWrap/>
            <w:vAlign w:val="center"/>
            <w:hideMark/>
          </w:tcPr>
          <w:p w14:paraId="7D0F4BA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00D79F5D" w14:textId="77777777" w:rsidTr="00593412">
        <w:trPr>
          <w:trHeight w:val="20"/>
        </w:trPr>
        <w:tc>
          <w:tcPr>
            <w:tcW w:w="1146" w:type="dxa"/>
            <w:tcBorders>
              <w:top w:val="single" w:sz="4" w:space="0" w:color="auto"/>
              <w:bottom w:val="single" w:sz="4" w:space="0" w:color="auto"/>
            </w:tcBorders>
            <w:shd w:val="clear" w:color="auto" w:fill="auto"/>
            <w:noWrap/>
            <w:vAlign w:val="center"/>
            <w:hideMark/>
          </w:tcPr>
          <w:p w14:paraId="016D9612"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Dalhousie</w:t>
            </w:r>
          </w:p>
        </w:tc>
        <w:tc>
          <w:tcPr>
            <w:tcW w:w="1531" w:type="dxa"/>
            <w:tcBorders>
              <w:top w:val="single" w:sz="4" w:space="0" w:color="auto"/>
              <w:bottom w:val="single" w:sz="4" w:space="0" w:color="auto"/>
            </w:tcBorders>
            <w:shd w:val="clear" w:color="auto" w:fill="auto"/>
            <w:noWrap/>
            <w:vAlign w:val="center"/>
            <w:hideMark/>
          </w:tcPr>
          <w:p w14:paraId="6422F313"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Dalhousie</w:t>
            </w:r>
          </w:p>
        </w:tc>
        <w:tc>
          <w:tcPr>
            <w:tcW w:w="1021" w:type="dxa"/>
            <w:tcBorders>
              <w:top w:val="single" w:sz="4" w:space="0" w:color="auto"/>
              <w:bottom w:val="single" w:sz="4" w:space="0" w:color="auto"/>
            </w:tcBorders>
            <w:shd w:val="clear" w:color="000000" w:fill="auto"/>
            <w:noWrap/>
            <w:vAlign w:val="center"/>
            <w:hideMark/>
          </w:tcPr>
          <w:p w14:paraId="2BD40522"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DA_DAL</w:t>
            </w:r>
          </w:p>
        </w:tc>
        <w:tc>
          <w:tcPr>
            <w:tcW w:w="973" w:type="dxa"/>
            <w:tcBorders>
              <w:top w:val="single" w:sz="4" w:space="0" w:color="auto"/>
              <w:bottom w:val="single" w:sz="4" w:space="0" w:color="auto"/>
            </w:tcBorders>
            <w:shd w:val="clear" w:color="auto" w:fill="auto"/>
            <w:noWrap/>
            <w:vAlign w:val="center"/>
            <w:hideMark/>
          </w:tcPr>
          <w:p w14:paraId="7FD5B78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135.50</w:t>
            </w:r>
          </w:p>
        </w:tc>
        <w:tc>
          <w:tcPr>
            <w:tcW w:w="843" w:type="dxa"/>
            <w:tcBorders>
              <w:top w:val="single" w:sz="4" w:space="0" w:color="auto"/>
              <w:bottom w:val="single" w:sz="4" w:space="0" w:color="auto"/>
            </w:tcBorders>
            <w:shd w:val="clear" w:color="auto" w:fill="auto"/>
            <w:noWrap/>
            <w:vAlign w:val="center"/>
            <w:hideMark/>
          </w:tcPr>
          <w:p w14:paraId="44ED94A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-26.46</w:t>
            </w:r>
          </w:p>
        </w:tc>
        <w:tc>
          <w:tcPr>
            <w:tcW w:w="459" w:type="dxa"/>
            <w:tcBorders>
              <w:top w:val="single" w:sz="4" w:space="0" w:color="auto"/>
              <w:bottom w:val="single" w:sz="4" w:space="0" w:color="auto"/>
            </w:tcBorders>
            <w:shd w:val="clear" w:color="auto" w:fill="auto"/>
            <w:noWrap/>
            <w:vAlign w:val="center"/>
            <w:hideMark/>
          </w:tcPr>
          <w:p w14:paraId="696C748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9</w:t>
            </w:r>
          </w:p>
        </w:tc>
        <w:tc>
          <w:tcPr>
            <w:tcW w:w="634" w:type="dxa"/>
            <w:tcBorders>
              <w:top w:val="single" w:sz="4" w:space="0" w:color="auto"/>
              <w:bottom w:val="single" w:sz="4" w:space="0" w:color="auto"/>
            </w:tcBorders>
            <w:shd w:val="clear" w:color="auto" w:fill="auto"/>
            <w:noWrap/>
            <w:vAlign w:val="center"/>
            <w:hideMark/>
          </w:tcPr>
          <w:p w14:paraId="00C033A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0.176</w:t>
            </w:r>
          </w:p>
        </w:tc>
        <w:tc>
          <w:tcPr>
            <w:tcW w:w="640" w:type="dxa"/>
            <w:tcBorders>
              <w:top w:val="single" w:sz="4" w:space="0" w:color="auto"/>
              <w:bottom w:val="single" w:sz="4" w:space="0" w:color="auto"/>
            </w:tcBorders>
            <w:shd w:val="clear" w:color="auto" w:fill="auto"/>
            <w:noWrap/>
            <w:vAlign w:val="center"/>
            <w:hideMark/>
          </w:tcPr>
          <w:p w14:paraId="688AF6E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141</w:t>
            </w:r>
          </w:p>
        </w:tc>
        <w:tc>
          <w:tcPr>
            <w:tcW w:w="522" w:type="dxa"/>
            <w:tcBorders>
              <w:top w:val="single" w:sz="4" w:space="0" w:color="auto"/>
              <w:bottom w:val="single" w:sz="4" w:space="0" w:color="auto"/>
            </w:tcBorders>
            <w:shd w:val="clear" w:color="auto" w:fill="auto"/>
            <w:noWrap/>
            <w:vAlign w:val="center"/>
            <w:hideMark/>
          </w:tcPr>
          <w:p w14:paraId="362F805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tcBorders>
              <w:top w:val="single" w:sz="4" w:space="0" w:color="auto"/>
              <w:bottom w:val="single" w:sz="4" w:space="0" w:color="auto"/>
            </w:tcBorders>
            <w:shd w:val="clear" w:color="auto" w:fill="auto"/>
            <w:noWrap/>
            <w:vAlign w:val="center"/>
            <w:hideMark/>
          </w:tcPr>
          <w:p w14:paraId="575C8A2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tcBorders>
              <w:top w:val="single" w:sz="4" w:space="0" w:color="auto"/>
              <w:bottom w:val="single" w:sz="4" w:space="0" w:color="auto"/>
            </w:tcBorders>
            <w:shd w:val="clear" w:color="auto" w:fill="auto"/>
            <w:noWrap/>
            <w:vAlign w:val="center"/>
            <w:hideMark/>
          </w:tcPr>
          <w:p w14:paraId="142C417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09950C62" w14:textId="77777777" w:rsidTr="00593412">
        <w:trPr>
          <w:trHeight w:val="20"/>
        </w:trPr>
        <w:tc>
          <w:tcPr>
            <w:tcW w:w="1146" w:type="dxa"/>
            <w:tcBorders>
              <w:top w:val="single" w:sz="4" w:space="0" w:color="auto"/>
            </w:tcBorders>
            <w:shd w:val="clear" w:color="auto" w:fill="auto"/>
            <w:noWrap/>
            <w:vAlign w:val="center"/>
            <w:hideMark/>
          </w:tcPr>
          <w:p w14:paraId="6B096A4E"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Eulo</w:t>
            </w:r>
          </w:p>
        </w:tc>
        <w:tc>
          <w:tcPr>
            <w:tcW w:w="1531" w:type="dxa"/>
            <w:tcBorders>
              <w:top w:val="single" w:sz="4" w:space="0" w:color="auto"/>
            </w:tcBorders>
            <w:shd w:val="clear" w:color="auto" w:fill="auto"/>
            <w:noWrap/>
            <w:vAlign w:val="center"/>
            <w:hideMark/>
          </w:tcPr>
          <w:p w14:paraId="63402307"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Yowah Mud</w:t>
            </w:r>
          </w:p>
        </w:tc>
        <w:tc>
          <w:tcPr>
            <w:tcW w:w="1021" w:type="dxa"/>
            <w:tcBorders>
              <w:top w:val="single" w:sz="4" w:space="0" w:color="auto"/>
            </w:tcBorders>
            <w:shd w:val="clear" w:color="000000" w:fill="auto"/>
            <w:noWrap/>
            <w:vAlign w:val="center"/>
            <w:hideMark/>
          </w:tcPr>
          <w:p w14:paraId="2E8CB01E"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EU_YOW</w:t>
            </w:r>
          </w:p>
        </w:tc>
        <w:tc>
          <w:tcPr>
            <w:tcW w:w="973" w:type="dxa"/>
            <w:tcBorders>
              <w:top w:val="single" w:sz="4" w:space="0" w:color="auto"/>
            </w:tcBorders>
            <w:shd w:val="clear" w:color="auto" w:fill="auto"/>
            <w:noWrap/>
            <w:vAlign w:val="center"/>
            <w:hideMark/>
          </w:tcPr>
          <w:p w14:paraId="664D29F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144.78</w:t>
            </w:r>
          </w:p>
        </w:tc>
        <w:tc>
          <w:tcPr>
            <w:tcW w:w="843" w:type="dxa"/>
            <w:tcBorders>
              <w:top w:val="single" w:sz="4" w:space="0" w:color="auto"/>
            </w:tcBorders>
            <w:shd w:val="clear" w:color="auto" w:fill="auto"/>
            <w:noWrap/>
            <w:vAlign w:val="center"/>
            <w:hideMark/>
          </w:tcPr>
          <w:p w14:paraId="394EE17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-27.97</w:t>
            </w:r>
          </w:p>
        </w:tc>
        <w:tc>
          <w:tcPr>
            <w:tcW w:w="459" w:type="dxa"/>
            <w:tcBorders>
              <w:top w:val="single" w:sz="4" w:space="0" w:color="auto"/>
            </w:tcBorders>
            <w:shd w:val="clear" w:color="auto" w:fill="auto"/>
            <w:noWrap/>
            <w:vAlign w:val="center"/>
            <w:hideMark/>
          </w:tcPr>
          <w:p w14:paraId="222D313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12</w:t>
            </w:r>
          </w:p>
        </w:tc>
        <w:tc>
          <w:tcPr>
            <w:tcW w:w="634" w:type="dxa"/>
            <w:tcBorders>
              <w:top w:val="single" w:sz="4" w:space="0" w:color="auto"/>
            </w:tcBorders>
            <w:shd w:val="clear" w:color="auto" w:fill="auto"/>
            <w:noWrap/>
            <w:vAlign w:val="center"/>
            <w:hideMark/>
          </w:tcPr>
          <w:p w14:paraId="3AC58BF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0.182</w:t>
            </w:r>
          </w:p>
        </w:tc>
        <w:tc>
          <w:tcPr>
            <w:tcW w:w="640" w:type="dxa"/>
            <w:tcBorders>
              <w:top w:val="single" w:sz="4" w:space="0" w:color="auto"/>
            </w:tcBorders>
            <w:shd w:val="clear" w:color="auto" w:fill="auto"/>
            <w:noWrap/>
            <w:vAlign w:val="center"/>
            <w:hideMark/>
          </w:tcPr>
          <w:p w14:paraId="4796F75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tcBorders>
              <w:top w:val="single" w:sz="4" w:space="0" w:color="auto"/>
            </w:tcBorders>
            <w:shd w:val="clear" w:color="auto" w:fill="auto"/>
            <w:noWrap/>
            <w:vAlign w:val="center"/>
            <w:hideMark/>
          </w:tcPr>
          <w:p w14:paraId="059BAD6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tcBorders>
              <w:top w:val="single" w:sz="4" w:space="0" w:color="auto"/>
            </w:tcBorders>
            <w:shd w:val="clear" w:color="auto" w:fill="auto"/>
            <w:noWrap/>
            <w:vAlign w:val="center"/>
            <w:hideMark/>
          </w:tcPr>
          <w:p w14:paraId="4059333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w:t>
            </w:r>
          </w:p>
        </w:tc>
        <w:tc>
          <w:tcPr>
            <w:tcW w:w="494" w:type="dxa"/>
            <w:tcBorders>
              <w:top w:val="single" w:sz="4" w:space="0" w:color="auto"/>
            </w:tcBorders>
            <w:shd w:val="clear" w:color="auto" w:fill="auto"/>
            <w:noWrap/>
            <w:vAlign w:val="center"/>
            <w:hideMark/>
          </w:tcPr>
          <w:p w14:paraId="390ED88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0126C5B0" w14:textId="77777777" w:rsidTr="00593412">
        <w:trPr>
          <w:trHeight w:val="20"/>
        </w:trPr>
        <w:tc>
          <w:tcPr>
            <w:tcW w:w="1146" w:type="dxa"/>
            <w:shd w:val="clear" w:color="auto" w:fill="auto"/>
            <w:noWrap/>
            <w:vAlign w:val="center"/>
            <w:hideMark/>
          </w:tcPr>
          <w:p w14:paraId="3608C991"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Eulo</w:t>
            </w:r>
          </w:p>
        </w:tc>
        <w:tc>
          <w:tcPr>
            <w:tcW w:w="1531" w:type="dxa"/>
            <w:shd w:val="clear" w:color="auto" w:fill="auto"/>
            <w:noWrap/>
            <w:vAlign w:val="center"/>
            <w:hideMark/>
          </w:tcPr>
          <w:p w14:paraId="0A29A1D6"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Eulo Town</w:t>
            </w:r>
          </w:p>
        </w:tc>
        <w:tc>
          <w:tcPr>
            <w:tcW w:w="1021" w:type="dxa"/>
            <w:shd w:val="clear" w:color="000000" w:fill="auto"/>
            <w:noWrap/>
            <w:vAlign w:val="center"/>
            <w:hideMark/>
          </w:tcPr>
          <w:p w14:paraId="7A324044"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EU_EUT</w:t>
            </w:r>
          </w:p>
        </w:tc>
        <w:tc>
          <w:tcPr>
            <w:tcW w:w="973" w:type="dxa"/>
            <w:shd w:val="clear" w:color="auto" w:fill="auto"/>
            <w:noWrap/>
            <w:vAlign w:val="center"/>
            <w:hideMark/>
          </w:tcPr>
          <w:p w14:paraId="74D8736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145.03</w:t>
            </w:r>
          </w:p>
        </w:tc>
        <w:tc>
          <w:tcPr>
            <w:tcW w:w="843" w:type="dxa"/>
            <w:shd w:val="clear" w:color="auto" w:fill="auto"/>
            <w:noWrap/>
            <w:vAlign w:val="center"/>
            <w:hideMark/>
          </w:tcPr>
          <w:p w14:paraId="2ECF21B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-28.17</w:t>
            </w:r>
          </w:p>
        </w:tc>
        <w:tc>
          <w:tcPr>
            <w:tcW w:w="459" w:type="dxa"/>
            <w:shd w:val="clear" w:color="auto" w:fill="auto"/>
            <w:noWrap/>
            <w:vAlign w:val="center"/>
            <w:hideMark/>
          </w:tcPr>
          <w:p w14:paraId="5B4C217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4</w:t>
            </w:r>
          </w:p>
        </w:tc>
        <w:tc>
          <w:tcPr>
            <w:tcW w:w="634" w:type="dxa"/>
            <w:shd w:val="clear" w:color="auto" w:fill="auto"/>
            <w:noWrap/>
            <w:vAlign w:val="center"/>
            <w:hideMark/>
          </w:tcPr>
          <w:p w14:paraId="12ADE6B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0.092</w:t>
            </w:r>
          </w:p>
        </w:tc>
        <w:tc>
          <w:tcPr>
            <w:tcW w:w="640" w:type="dxa"/>
            <w:shd w:val="clear" w:color="auto" w:fill="auto"/>
            <w:noWrap/>
            <w:vAlign w:val="center"/>
            <w:hideMark/>
          </w:tcPr>
          <w:p w14:paraId="3478012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7AD1CBE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5D882B5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shd w:val="clear" w:color="auto" w:fill="auto"/>
            <w:noWrap/>
            <w:vAlign w:val="center"/>
            <w:hideMark/>
          </w:tcPr>
          <w:p w14:paraId="4BF495E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9</w:t>
            </w:r>
          </w:p>
        </w:tc>
      </w:tr>
      <w:tr w:rsidR="00593412" w:rsidRPr="00747E35" w14:paraId="5ADAB66C" w14:textId="77777777" w:rsidTr="00593412">
        <w:trPr>
          <w:trHeight w:val="20"/>
        </w:trPr>
        <w:tc>
          <w:tcPr>
            <w:tcW w:w="1146" w:type="dxa"/>
            <w:shd w:val="clear" w:color="auto" w:fill="auto"/>
            <w:noWrap/>
            <w:vAlign w:val="center"/>
            <w:hideMark/>
          </w:tcPr>
          <w:p w14:paraId="477AA876"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Eulo</w:t>
            </w:r>
          </w:p>
        </w:tc>
        <w:tc>
          <w:tcPr>
            <w:tcW w:w="1531" w:type="dxa"/>
            <w:shd w:val="clear" w:color="auto" w:fill="auto"/>
            <w:noWrap/>
            <w:vAlign w:val="center"/>
            <w:hideMark/>
          </w:tcPr>
          <w:p w14:paraId="479D8132"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Dead Sea</w:t>
            </w:r>
          </w:p>
        </w:tc>
        <w:tc>
          <w:tcPr>
            <w:tcW w:w="1021" w:type="dxa"/>
            <w:shd w:val="clear" w:color="000000" w:fill="auto"/>
            <w:noWrap/>
            <w:vAlign w:val="center"/>
            <w:hideMark/>
          </w:tcPr>
          <w:p w14:paraId="007247AA"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EU_DSEA</w:t>
            </w:r>
          </w:p>
        </w:tc>
        <w:tc>
          <w:tcPr>
            <w:tcW w:w="973" w:type="dxa"/>
            <w:shd w:val="clear" w:color="auto" w:fill="auto"/>
            <w:noWrap/>
            <w:vAlign w:val="center"/>
            <w:hideMark/>
          </w:tcPr>
          <w:p w14:paraId="3B33F8D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144.88</w:t>
            </w:r>
          </w:p>
        </w:tc>
        <w:tc>
          <w:tcPr>
            <w:tcW w:w="843" w:type="dxa"/>
            <w:shd w:val="clear" w:color="auto" w:fill="auto"/>
            <w:noWrap/>
            <w:vAlign w:val="center"/>
            <w:hideMark/>
          </w:tcPr>
          <w:p w14:paraId="53DDE66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-27.91</w:t>
            </w:r>
          </w:p>
        </w:tc>
        <w:tc>
          <w:tcPr>
            <w:tcW w:w="459" w:type="dxa"/>
            <w:shd w:val="clear" w:color="auto" w:fill="auto"/>
            <w:noWrap/>
            <w:vAlign w:val="center"/>
            <w:hideMark/>
          </w:tcPr>
          <w:p w14:paraId="02DE1A9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3</w:t>
            </w:r>
          </w:p>
        </w:tc>
        <w:tc>
          <w:tcPr>
            <w:tcW w:w="634" w:type="dxa"/>
            <w:shd w:val="clear" w:color="auto" w:fill="auto"/>
            <w:noWrap/>
            <w:vAlign w:val="center"/>
            <w:hideMark/>
          </w:tcPr>
          <w:p w14:paraId="1DAE429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0.089</w:t>
            </w:r>
          </w:p>
        </w:tc>
        <w:tc>
          <w:tcPr>
            <w:tcW w:w="640" w:type="dxa"/>
            <w:shd w:val="clear" w:color="auto" w:fill="auto"/>
            <w:noWrap/>
            <w:vAlign w:val="center"/>
            <w:hideMark/>
          </w:tcPr>
          <w:p w14:paraId="413E1FE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16</w:t>
            </w:r>
          </w:p>
        </w:tc>
        <w:tc>
          <w:tcPr>
            <w:tcW w:w="522" w:type="dxa"/>
            <w:shd w:val="clear" w:color="auto" w:fill="auto"/>
            <w:noWrap/>
            <w:vAlign w:val="center"/>
            <w:hideMark/>
          </w:tcPr>
          <w:p w14:paraId="075AF1D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3</w:t>
            </w:r>
          </w:p>
        </w:tc>
        <w:tc>
          <w:tcPr>
            <w:tcW w:w="640" w:type="dxa"/>
            <w:shd w:val="clear" w:color="auto" w:fill="auto"/>
            <w:noWrap/>
            <w:vAlign w:val="center"/>
            <w:hideMark/>
          </w:tcPr>
          <w:p w14:paraId="46FC371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5</w:t>
            </w:r>
          </w:p>
        </w:tc>
        <w:tc>
          <w:tcPr>
            <w:tcW w:w="494" w:type="dxa"/>
            <w:shd w:val="clear" w:color="auto" w:fill="auto"/>
            <w:noWrap/>
            <w:vAlign w:val="center"/>
            <w:hideMark/>
          </w:tcPr>
          <w:p w14:paraId="54DA6ED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34F11256" w14:textId="77777777" w:rsidTr="00593412">
        <w:trPr>
          <w:trHeight w:val="20"/>
        </w:trPr>
        <w:tc>
          <w:tcPr>
            <w:tcW w:w="1146" w:type="dxa"/>
            <w:shd w:val="clear" w:color="auto" w:fill="auto"/>
            <w:noWrap/>
            <w:vAlign w:val="center"/>
            <w:hideMark/>
          </w:tcPr>
          <w:p w14:paraId="13952D4C"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Eulo</w:t>
            </w:r>
          </w:p>
        </w:tc>
        <w:tc>
          <w:tcPr>
            <w:tcW w:w="1531" w:type="dxa"/>
            <w:shd w:val="clear" w:color="auto" w:fill="auto"/>
            <w:noWrap/>
            <w:vAlign w:val="center"/>
            <w:hideMark/>
          </w:tcPr>
          <w:p w14:paraId="5CF76AD7"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Granite</w:t>
            </w:r>
          </w:p>
        </w:tc>
        <w:tc>
          <w:tcPr>
            <w:tcW w:w="1021" w:type="dxa"/>
            <w:shd w:val="clear" w:color="000000" w:fill="auto"/>
            <w:noWrap/>
            <w:vAlign w:val="center"/>
            <w:hideMark/>
          </w:tcPr>
          <w:p w14:paraId="1ACA96B8"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EU_GRAN</w:t>
            </w:r>
          </w:p>
        </w:tc>
        <w:tc>
          <w:tcPr>
            <w:tcW w:w="973" w:type="dxa"/>
            <w:shd w:val="clear" w:color="auto" w:fill="auto"/>
            <w:noWrap/>
            <w:vAlign w:val="center"/>
            <w:hideMark/>
          </w:tcPr>
          <w:p w14:paraId="6904D7C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144.55</w:t>
            </w:r>
          </w:p>
        </w:tc>
        <w:tc>
          <w:tcPr>
            <w:tcW w:w="843" w:type="dxa"/>
            <w:shd w:val="clear" w:color="auto" w:fill="auto"/>
            <w:noWrap/>
            <w:vAlign w:val="center"/>
            <w:hideMark/>
          </w:tcPr>
          <w:p w14:paraId="79D7ADD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-28.33</w:t>
            </w:r>
          </w:p>
        </w:tc>
        <w:tc>
          <w:tcPr>
            <w:tcW w:w="459" w:type="dxa"/>
            <w:shd w:val="clear" w:color="auto" w:fill="auto"/>
            <w:noWrap/>
            <w:vAlign w:val="center"/>
            <w:hideMark/>
          </w:tcPr>
          <w:p w14:paraId="6234C6D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4</w:t>
            </w:r>
          </w:p>
        </w:tc>
        <w:tc>
          <w:tcPr>
            <w:tcW w:w="634" w:type="dxa"/>
            <w:shd w:val="clear" w:color="auto" w:fill="auto"/>
            <w:noWrap/>
            <w:vAlign w:val="center"/>
            <w:hideMark/>
          </w:tcPr>
          <w:p w14:paraId="1DBC960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0.068</w:t>
            </w:r>
          </w:p>
        </w:tc>
        <w:tc>
          <w:tcPr>
            <w:tcW w:w="640" w:type="dxa"/>
            <w:shd w:val="clear" w:color="auto" w:fill="auto"/>
            <w:noWrap/>
            <w:vAlign w:val="center"/>
            <w:hideMark/>
          </w:tcPr>
          <w:p w14:paraId="66D32F7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4ED04A7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27C64C9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6</w:t>
            </w:r>
          </w:p>
        </w:tc>
        <w:tc>
          <w:tcPr>
            <w:tcW w:w="494" w:type="dxa"/>
            <w:shd w:val="clear" w:color="auto" w:fill="auto"/>
            <w:noWrap/>
            <w:vAlign w:val="center"/>
            <w:hideMark/>
          </w:tcPr>
          <w:p w14:paraId="7D760D8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02C30E9A" w14:textId="77777777" w:rsidTr="00593412">
        <w:trPr>
          <w:trHeight w:val="20"/>
        </w:trPr>
        <w:tc>
          <w:tcPr>
            <w:tcW w:w="1146" w:type="dxa"/>
            <w:shd w:val="clear" w:color="auto" w:fill="auto"/>
            <w:noWrap/>
            <w:vAlign w:val="center"/>
            <w:hideMark/>
          </w:tcPr>
          <w:p w14:paraId="1F594C7A"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Eulo</w:t>
            </w:r>
          </w:p>
        </w:tc>
        <w:tc>
          <w:tcPr>
            <w:tcW w:w="1531" w:type="dxa"/>
            <w:shd w:val="clear" w:color="auto" w:fill="auto"/>
            <w:noWrap/>
            <w:vAlign w:val="center"/>
            <w:hideMark/>
          </w:tcPr>
          <w:p w14:paraId="3FD7B8FD"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Tunga</w:t>
            </w:r>
          </w:p>
        </w:tc>
        <w:tc>
          <w:tcPr>
            <w:tcW w:w="1021" w:type="dxa"/>
            <w:shd w:val="clear" w:color="000000" w:fill="auto"/>
            <w:noWrap/>
            <w:vAlign w:val="center"/>
            <w:hideMark/>
          </w:tcPr>
          <w:p w14:paraId="51E0A57D"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EU_TUN</w:t>
            </w:r>
          </w:p>
        </w:tc>
        <w:tc>
          <w:tcPr>
            <w:tcW w:w="973" w:type="dxa"/>
            <w:shd w:val="clear" w:color="auto" w:fill="auto"/>
            <w:noWrap/>
            <w:vAlign w:val="center"/>
            <w:hideMark/>
          </w:tcPr>
          <w:p w14:paraId="3239959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144.63</w:t>
            </w:r>
          </w:p>
        </w:tc>
        <w:tc>
          <w:tcPr>
            <w:tcW w:w="843" w:type="dxa"/>
            <w:shd w:val="clear" w:color="auto" w:fill="auto"/>
            <w:noWrap/>
            <w:vAlign w:val="center"/>
            <w:hideMark/>
          </w:tcPr>
          <w:p w14:paraId="662D5C6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-28.22</w:t>
            </w:r>
          </w:p>
        </w:tc>
        <w:tc>
          <w:tcPr>
            <w:tcW w:w="459" w:type="dxa"/>
            <w:shd w:val="clear" w:color="auto" w:fill="auto"/>
            <w:noWrap/>
            <w:vAlign w:val="center"/>
            <w:hideMark/>
          </w:tcPr>
          <w:p w14:paraId="753F00B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4</w:t>
            </w:r>
          </w:p>
        </w:tc>
        <w:tc>
          <w:tcPr>
            <w:tcW w:w="634" w:type="dxa"/>
            <w:shd w:val="clear" w:color="auto" w:fill="auto"/>
            <w:noWrap/>
            <w:vAlign w:val="center"/>
            <w:hideMark/>
          </w:tcPr>
          <w:p w14:paraId="0D0B146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0.061</w:t>
            </w:r>
          </w:p>
        </w:tc>
        <w:tc>
          <w:tcPr>
            <w:tcW w:w="640" w:type="dxa"/>
            <w:shd w:val="clear" w:color="auto" w:fill="auto"/>
            <w:noWrap/>
            <w:vAlign w:val="center"/>
            <w:hideMark/>
          </w:tcPr>
          <w:p w14:paraId="7D1B1FA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149AB1F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3</w:t>
            </w:r>
          </w:p>
        </w:tc>
        <w:tc>
          <w:tcPr>
            <w:tcW w:w="640" w:type="dxa"/>
            <w:shd w:val="clear" w:color="auto" w:fill="auto"/>
            <w:noWrap/>
            <w:vAlign w:val="center"/>
            <w:hideMark/>
          </w:tcPr>
          <w:p w14:paraId="0DA96E0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3</w:t>
            </w:r>
          </w:p>
        </w:tc>
        <w:tc>
          <w:tcPr>
            <w:tcW w:w="494" w:type="dxa"/>
            <w:shd w:val="clear" w:color="auto" w:fill="auto"/>
            <w:noWrap/>
            <w:vAlign w:val="center"/>
            <w:hideMark/>
          </w:tcPr>
          <w:p w14:paraId="37EFBA1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1FE23389" w14:textId="77777777" w:rsidTr="00593412">
        <w:trPr>
          <w:trHeight w:val="20"/>
        </w:trPr>
        <w:tc>
          <w:tcPr>
            <w:tcW w:w="1146" w:type="dxa"/>
            <w:shd w:val="clear" w:color="auto" w:fill="auto"/>
            <w:noWrap/>
            <w:vAlign w:val="center"/>
            <w:hideMark/>
          </w:tcPr>
          <w:p w14:paraId="1013E24B"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Eulo</w:t>
            </w:r>
          </w:p>
        </w:tc>
        <w:tc>
          <w:tcPr>
            <w:tcW w:w="1531" w:type="dxa"/>
            <w:shd w:val="clear" w:color="auto" w:fill="auto"/>
            <w:noWrap/>
            <w:vAlign w:val="center"/>
            <w:hideMark/>
          </w:tcPr>
          <w:p w14:paraId="65DD2180"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Wooregym</w:t>
            </w:r>
          </w:p>
        </w:tc>
        <w:tc>
          <w:tcPr>
            <w:tcW w:w="1021" w:type="dxa"/>
            <w:shd w:val="clear" w:color="000000" w:fill="auto"/>
            <w:noWrap/>
            <w:vAlign w:val="center"/>
            <w:hideMark/>
          </w:tcPr>
          <w:p w14:paraId="6F5B1C90"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EU_WOOR</w:t>
            </w:r>
          </w:p>
        </w:tc>
        <w:tc>
          <w:tcPr>
            <w:tcW w:w="973" w:type="dxa"/>
            <w:shd w:val="clear" w:color="auto" w:fill="auto"/>
            <w:noWrap/>
            <w:vAlign w:val="center"/>
            <w:hideMark/>
          </w:tcPr>
          <w:p w14:paraId="1563C43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144.74</w:t>
            </w:r>
          </w:p>
        </w:tc>
        <w:tc>
          <w:tcPr>
            <w:tcW w:w="843" w:type="dxa"/>
            <w:shd w:val="clear" w:color="auto" w:fill="auto"/>
            <w:noWrap/>
            <w:vAlign w:val="center"/>
            <w:hideMark/>
          </w:tcPr>
          <w:p w14:paraId="2F6A334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-28.25</w:t>
            </w:r>
          </w:p>
        </w:tc>
        <w:tc>
          <w:tcPr>
            <w:tcW w:w="459" w:type="dxa"/>
            <w:shd w:val="clear" w:color="auto" w:fill="auto"/>
            <w:noWrap/>
            <w:vAlign w:val="center"/>
            <w:hideMark/>
          </w:tcPr>
          <w:p w14:paraId="183E6D2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w:t>
            </w:r>
          </w:p>
        </w:tc>
        <w:tc>
          <w:tcPr>
            <w:tcW w:w="634" w:type="dxa"/>
            <w:shd w:val="clear" w:color="auto" w:fill="auto"/>
            <w:noWrap/>
            <w:vAlign w:val="center"/>
            <w:hideMark/>
          </w:tcPr>
          <w:p w14:paraId="2DEE781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0.039</w:t>
            </w:r>
          </w:p>
        </w:tc>
        <w:tc>
          <w:tcPr>
            <w:tcW w:w="640" w:type="dxa"/>
            <w:shd w:val="clear" w:color="auto" w:fill="auto"/>
            <w:noWrap/>
            <w:vAlign w:val="center"/>
            <w:hideMark/>
          </w:tcPr>
          <w:p w14:paraId="3082CF8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2560EDA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6</w:t>
            </w:r>
          </w:p>
        </w:tc>
        <w:tc>
          <w:tcPr>
            <w:tcW w:w="640" w:type="dxa"/>
            <w:shd w:val="clear" w:color="auto" w:fill="auto"/>
            <w:noWrap/>
            <w:vAlign w:val="center"/>
            <w:hideMark/>
          </w:tcPr>
          <w:p w14:paraId="1288DCB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shd w:val="clear" w:color="auto" w:fill="auto"/>
            <w:noWrap/>
            <w:vAlign w:val="center"/>
            <w:hideMark/>
          </w:tcPr>
          <w:p w14:paraId="2787CD7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658DF8ED" w14:textId="77777777" w:rsidTr="00593412">
        <w:trPr>
          <w:trHeight w:val="20"/>
        </w:trPr>
        <w:tc>
          <w:tcPr>
            <w:tcW w:w="1146" w:type="dxa"/>
            <w:shd w:val="clear" w:color="auto" w:fill="auto"/>
            <w:noWrap/>
            <w:vAlign w:val="center"/>
            <w:hideMark/>
          </w:tcPr>
          <w:p w14:paraId="43DFD86D"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Eulo</w:t>
            </w:r>
          </w:p>
        </w:tc>
        <w:tc>
          <w:tcPr>
            <w:tcW w:w="1531" w:type="dxa"/>
            <w:shd w:val="clear" w:color="auto" w:fill="auto"/>
            <w:noWrap/>
            <w:vAlign w:val="center"/>
            <w:hideMark/>
          </w:tcPr>
          <w:p w14:paraId="7D7E9646"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Carpet</w:t>
            </w:r>
          </w:p>
        </w:tc>
        <w:tc>
          <w:tcPr>
            <w:tcW w:w="1021" w:type="dxa"/>
            <w:shd w:val="clear" w:color="000000" w:fill="auto"/>
            <w:noWrap/>
            <w:vAlign w:val="center"/>
            <w:hideMark/>
          </w:tcPr>
          <w:p w14:paraId="7C5802F9"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EU_CARP</w:t>
            </w:r>
          </w:p>
        </w:tc>
        <w:tc>
          <w:tcPr>
            <w:tcW w:w="973" w:type="dxa"/>
            <w:shd w:val="clear" w:color="auto" w:fill="auto"/>
            <w:noWrap/>
            <w:vAlign w:val="center"/>
            <w:hideMark/>
          </w:tcPr>
          <w:p w14:paraId="5776FAE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144.86</w:t>
            </w:r>
          </w:p>
        </w:tc>
        <w:tc>
          <w:tcPr>
            <w:tcW w:w="843" w:type="dxa"/>
            <w:shd w:val="clear" w:color="auto" w:fill="auto"/>
            <w:noWrap/>
            <w:vAlign w:val="center"/>
            <w:hideMark/>
          </w:tcPr>
          <w:p w14:paraId="0A85224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-28.14</w:t>
            </w:r>
          </w:p>
        </w:tc>
        <w:tc>
          <w:tcPr>
            <w:tcW w:w="459" w:type="dxa"/>
            <w:shd w:val="clear" w:color="auto" w:fill="auto"/>
            <w:noWrap/>
            <w:vAlign w:val="center"/>
            <w:hideMark/>
          </w:tcPr>
          <w:p w14:paraId="3081B36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634" w:type="dxa"/>
            <w:shd w:val="clear" w:color="auto" w:fill="auto"/>
            <w:noWrap/>
            <w:vAlign w:val="center"/>
            <w:hideMark/>
          </w:tcPr>
          <w:p w14:paraId="7ACC183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0.032</w:t>
            </w:r>
          </w:p>
        </w:tc>
        <w:tc>
          <w:tcPr>
            <w:tcW w:w="640" w:type="dxa"/>
            <w:shd w:val="clear" w:color="auto" w:fill="auto"/>
            <w:noWrap/>
            <w:vAlign w:val="center"/>
            <w:hideMark/>
          </w:tcPr>
          <w:p w14:paraId="02C9A66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0D00E4A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10</w:t>
            </w:r>
          </w:p>
        </w:tc>
        <w:tc>
          <w:tcPr>
            <w:tcW w:w="640" w:type="dxa"/>
            <w:shd w:val="clear" w:color="auto" w:fill="auto"/>
            <w:noWrap/>
            <w:vAlign w:val="center"/>
            <w:hideMark/>
          </w:tcPr>
          <w:p w14:paraId="764FC4F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shd w:val="clear" w:color="auto" w:fill="auto"/>
            <w:noWrap/>
            <w:vAlign w:val="center"/>
            <w:hideMark/>
          </w:tcPr>
          <w:p w14:paraId="6D44055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385DB063" w14:textId="77777777" w:rsidTr="00593412">
        <w:trPr>
          <w:trHeight w:val="20"/>
        </w:trPr>
        <w:tc>
          <w:tcPr>
            <w:tcW w:w="1146" w:type="dxa"/>
            <w:shd w:val="clear" w:color="auto" w:fill="auto"/>
            <w:noWrap/>
            <w:vAlign w:val="center"/>
            <w:hideMark/>
          </w:tcPr>
          <w:p w14:paraId="129394F6"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Eulo</w:t>
            </w:r>
          </w:p>
        </w:tc>
        <w:tc>
          <w:tcPr>
            <w:tcW w:w="1531" w:type="dxa"/>
            <w:shd w:val="clear" w:color="auto" w:fill="auto"/>
            <w:noWrap/>
            <w:vAlign w:val="center"/>
            <w:hideMark/>
          </w:tcPr>
          <w:p w14:paraId="42C65452"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Jubilee</w:t>
            </w:r>
          </w:p>
        </w:tc>
        <w:tc>
          <w:tcPr>
            <w:tcW w:w="1021" w:type="dxa"/>
            <w:shd w:val="clear" w:color="000000" w:fill="auto"/>
            <w:noWrap/>
            <w:vAlign w:val="center"/>
            <w:hideMark/>
          </w:tcPr>
          <w:p w14:paraId="4D9D950C"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EU_JUB</w:t>
            </w:r>
          </w:p>
        </w:tc>
        <w:tc>
          <w:tcPr>
            <w:tcW w:w="973" w:type="dxa"/>
            <w:shd w:val="clear" w:color="auto" w:fill="auto"/>
            <w:noWrap/>
            <w:vAlign w:val="center"/>
            <w:hideMark/>
          </w:tcPr>
          <w:p w14:paraId="316BBD3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144.53</w:t>
            </w:r>
          </w:p>
        </w:tc>
        <w:tc>
          <w:tcPr>
            <w:tcW w:w="843" w:type="dxa"/>
            <w:shd w:val="clear" w:color="auto" w:fill="auto"/>
            <w:noWrap/>
            <w:vAlign w:val="center"/>
            <w:hideMark/>
          </w:tcPr>
          <w:p w14:paraId="0D47726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-28.40</w:t>
            </w:r>
          </w:p>
        </w:tc>
        <w:tc>
          <w:tcPr>
            <w:tcW w:w="459" w:type="dxa"/>
            <w:shd w:val="clear" w:color="auto" w:fill="auto"/>
            <w:noWrap/>
            <w:vAlign w:val="center"/>
            <w:hideMark/>
          </w:tcPr>
          <w:p w14:paraId="08FC977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634" w:type="dxa"/>
            <w:shd w:val="clear" w:color="auto" w:fill="auto"/>
            <w:noWrap/>
            <w:vAlign w:val="center"/>
            <w:hideMark/>
          </w:tcPr>
          <w:p w14:paraId="5D4B4CA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0.026</w:t>
            </w:r>
          </w:p>
        </w:tc>
        <w:tc>
          <w:tcPr>
            <w:tcW w:w="640" w:type="dxa"/>
            <w:shd w:val="clear" w:color="auto" w:fill="auto"/>
            <w:noWrap/>
            <w:vAlign w:val="center"/>
            <w:hideMark/>
          </w:tcPr>
          <w:p w14:paraId="2CC7904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7EF610A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10</w:t>
            </w:r>
          </w:p>
        </w:tc>
        <w:tc>
          <w:tcPr>
            <w:tcW w:w="640" w:type="dxa"/>
            <w:shd w:val="clear" w:color="auto" w:fill="auto"/>
            <w:noWrap/>
            <w:vAlign w:val="center"/>
            <w:hideMark/>
          </w:tcPr>
          <w:p w14:paraId="40EA17A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6</w:t>
            </w:r>
          </w:p>
        </w:tc>
        <w:tc>
          <w:tcPr>
            <w:tcW w:w="494" w:type="dxa"/>
            <w:shd w:val="clear" w:color="auto" w:fill="auto"/>
            <w:noWrap/>
            <w:vAlign w:val="center"/>
            <w:hideMark/>
          </w:tcPr>
          <w:p w14:paraId="6F9B6AD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7998B397" w14:textId="77777777" w:rsidTr="00593412">
        <w:trPr>
          <w:trHeight w:val="20"/>
        </w:trPr>
        <w:tc>
          <w:tcPr>
            <w:tcW w:w="1146" w:type="dxa"/>
            <w:shd w:val="clear" w:color="auto" w:fill="auto"/>
            <w:noWrap/>
            <w:vAlign w:val="center"/>
            <w:hideMark/>
          </w:tcPr>
          <w:p w14:paraId="7D44A57F"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Eulo</w:t>
            </w:r>
          </w:p>
        </w:tc>
        <w:tc>
          <w:tcPr>
            <w:tcW w:w="1531" w:type="dxa"/>
            <w:shd w:val="clear" w:color="auto" w:fill="auto"/>
            <w:noWrap/>
            <w:vAlign w:val="center"/>
            <w:hideMark/>
          </w:tcPr>
          <w:p w14:paraId="4D8DE9AE"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Merimo</w:t>
            </w:r>
          </w:p>
        </w:tc>
        <w:tc>
          <w:tcPr>
            <w:tcW w:w="1021" w:type="dxa"/>
            <w:shd w:val="clear" w:color="000000" w:fill="auto"/>
            <w:noWrap/>
            <w:vAlign w:val="center"/>
            <w:hideMark/>
          </w:tcPr>
          <w:p w14:paraId="584A8B75"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EU_MER</w:t>
            </w:r>
          </w:p>
        </w:tc>
        <w:tc>
          <w:tcPr>
            <w:tcW w:w="973" w:type="dxa"/>
            <w:shd w:val="clear" w:color="auto" w:fill="auto"/>
            <w:noWrap/>
            <w:vAlign w:val="center"/>
            <w:hideMark/>
          </w:tcPr>
          <w:p w14:paraId="3ED4D9C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144.84</w:t>
            </w:r>
          </w:p>
        </w:tc>
        <w:tc>
          <w:tcPr>
            <w:tcW w:w="843" w:type="dxa"/>
            <w:shd w:val="clear" w:color="auto" w:fill="auto"/>
            <w:noWrap/>
            <w:vAlign w:val="center"/>
            <w:hideMark/>
          </w:tcPr>
          <w:p w14:paraId="06B36BB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-28.19</w:t>
            </w:r>
          </w:p>
        </w:tc>
        <w:tc>
          <w:tcPr>
            <w:tcW w:w="459" w:type="dxa"/>
            <w:shd w:val="clear" w:color="auto" w:fill="auto"/>
            <w:noWrap/>
            <w:vAlign w:val="center"/>
            <w:hideMark/>
          </w:tcPr>
          <w:p w14:paraId="2C37AC0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634" w:type="dxa"/>
            <w:shd w:val="clear" w:color="auto" w:fill="auto"/>
            <w:noWrap/>
            <w:vAlign w:val="center"/>
            <w:hideMark/>
          </w:tcPr>
          <w:p w14:paraId="6ECEBDD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0.024</w:t>
            </w:r>
          </w:p>
        </w:tc>
        <w:tc>
          <w:tcPr>
            <w:tcW w:w="640" w:type="dxa"/>
            <w:shd w:val="clear" w:color="auto" w:fill="auto"/>
            <w:noWrap/>
            <w:vAlign w:val="center"/>
            <w:hideMark/>
          </w:tcPr>
          <w:p w14:paraId="0C55B74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4F64CE1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7</w:t>
            </w:r>
          </w:p>
        </w:tc>
        <w:tc>
          <w:tcPr>
            <w:tcW w:w="640" w:type="dxa"/>
            <w:shd w:val="clear" w:color="auto" w:fill="auto"/>
            <w:noWrap/>
            <w:vAlign w:val="center"/>
            <w:hideMark/>
          </w:tcPr>
          <w:p w14:paraId="694279F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shd w:val="clear" w:color="auto" w:fill="auto"/>
            <w:noWrap/>
            <w:vAlign w:val="center"/>
            <w:hideMark/>
          </w:tcPr>
          <w:p w14:paraId="364E6C2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51D04DDA" w14:textId="77777777" w:rsidTr="00593412">
        <w:trPr>
          <w:trHeight w:val="20"/>
        </w:trPr>
        <w:tc>
          <w:tcPr>
            <w:tcW w:w="1146" w:type="dxa"/>
            <w:tcBorders>
              <w:bottom w:val="single" w:sz="4" w:space="0" w:color="auto"/>
            </w:tcBorders>
            <w:shd w:val="clear" w:color="auto" w:fill="auto"/>
            <w:noWrap/>
            <w:vAlign w:val="center"/>
            <w:hideMark/>
          </w:tcPr>
          <w:p w14:paraId="722E9F5D"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Eulo</w:t>
            </w:r>
          </w:p>
        </w:tc>
        <w:tc>
          <w:tcPr>
            <w:tcW w:w="1531" w:type="dxa"/>
            <w:tcBorders>
              <w:bottom w:val="single" w:sz="4" w:space="0" w:color="auto"/>
            </w:tcBorders>
            <w:shd w:val="clear" w:color="auto" w:fill="auto"/>
            <w:noWrap/>
            <w:vAlign w:val="center"/>
            <w:hideMark/>
          </w:tcPr>
          <w:p w14:paraId="01A4A834"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Tungalla</w:t>
            </w:r>
          </w:p>
        </w:tc>
        <w:tc>
          <w:tcPr>
            <w:tcW w:w="1021" w:type="dxa"/>
            <w:tcBorders>
              <w:bottom w:val="single" w:sz="4" w:space="0" w:color="auto"/>
            </w:tcBorders>
            <w:shd w:val="clear" w:color="000000" w:fill="auto"/>
            <w:noWrap/>
            <w:vAlign w:val="center"/>
            <w:hideMark/>
          </w:tcPr>
          <w:p w14:paraId="24D57848"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EU_TUNG</w:t>
            </w:r>
          </w:p>
        </w:tc>
        <w:tc>
          <w:tcPr>
            <w:tcW w:w="973" w:type="dxa"/>
            <w:tcBorders>
              <w:bottom w:val="single" w:sz="4" w:space="0" w:color="auto"/>
            </w:tcBorders>
            <w:shd w:val="clear" w:color="auto" w:fill="auto"/>
            <w:noWrap/>
            <w:vAlign w:val="center"/>
            <w:hideMark/>
          </w:tcPr>
          <w:p w14:paraId="2C742E2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144.81</w:t>
            </w:r>
          </w:p>
        </w:tc>
        <w:tc>
          <w:tcPr>
            <w:tcW w:w="843" w:type="dxa"/>
            <w:tcBorders>
              <w:bottom w:val="single" w:sz="4" w:space="0" w:color="auto"/>
            </w:tcBorders>
            <w:shd w:val="clear" w:color="auto" w:fill="auto"/>
            <w:noWrap/>
            <w:vAlign w:val="center"/>
            <w:hideMark/>
          </w:tcPr>
          <w:p w14:paraId="001ABAB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-28.18</w:t>
            </w:r>
          </w:p>
        </w:tc>
        <w:tc>
          <w:tcPr>
            <w:tcW w:w="459" w:type="dxa"/>
            <w:tcBorders>
              <w:bottom w:val="single" w:sz="4" w:space="0" w:color="auto"/>
            </w:tcBorders>
            <w:shd w:val="clear" w:color="auto" w:fill="auto"/>
            <w:noWrap/>
            <w:vAlign w:val="center"/>
            <w:hideMark/>
          </w:tcPr>
          <w:p w14:paraId="1C7AA17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634" w:type="dxa"/>
            <w:tcBorders>
              <w:bottom w:val="single" w:sz="4" w:space="0" w:color="auto"/>
            </w:tcBorders>
            <w:shd w:val="clear" w:color="auto" w:fill="auto"/>
            <w:noWrap/>
            <w:vAlign w:val="center"/>
            <w:hideMark/>
          </w:tcPr>
          <w:p w14:paraId="2791284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0.023</w:t>
            </w:r>
          </w:p>
        </w:tc>
        <w:tc>
          <w:tcPr>
            <w:tcW w:w="640" w:type="dxa"/>
            <w:tcBorders>
              <w:bottom w:val="single" w:sz="4" w:space="0" w:color="auto"/>
            </w:tcBorders>
            <w:shd w:val="clear" w:color="auto" w:fill="auto"/>
            <w:noWrap/>
            <w:vAlign w:val="center"/>
            <w:hideMark/>
          </w:tcPr>
          <w:p w14:paraId="06C3652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tcBorders>
              <w:bottom w:val="single" w:sz="4" w:space="0" w:color="auto"/>
            </w:tcBorders>
            <w:shd w:val="clear" w:color="auto" w:fill="auto"/>
            <w:noWrap/>
            <w:vAlign w:val="center"/>
            <w:hideMark/>
          </w:tcPr>
          <w:p w14:paraId="110B74B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tcBorders>
              <w:bottom w:val="single" w:sz="4" w:space="0" w:color="auto"/>
            </w:tcBorders>
            <w:shd w:val="clear" w:color="auto" w:fill="auto"/>
            <w:noWrap/>
            <w:vAlign w:val="center"/>
            <w:hideMark/>
          </w:tcPr>
          <w:p w14:paraId="7F88C0B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494" w:type="dxa"/>
            <w:tcBorders>
              <w:bottom w:val="single" w:sz="4" w:space="0" w:color="auto"/>
            </w:tcBorders>
            <w:shd w:val="clear" w:color="auto" w:fill="auto"/>
            <w:noWrap/>
            <w:vAlign w:val="center"/>
            <w:hideMark/>
          </w:tcPr>
          <w:p w14:paraId="3C56323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02E032AC" w14:textId="77777777" w:rsidTr="00593412">
        <w:trPr>
          <w:trHeight w:val="20"/>
        </w:trPr>
        <w:tc>
          <w:tcPr>
            <w:tcW w:w="1146" w:type="dxa"/>
            <w:tcBorders>
              <w:top w:val="single" w:sz="4" w:space="0" w:color="auto"/>
            </w:tcBorders>
            <w:shd w:val="clear" w:color="auto" w:fill="auto"/>
            <w:noWrap/>
            <w:vAlign w:val="center"/>
            <w:hideMark/>
          </w:tcPr>
          <w:p w14:paraId="3F478C0C"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tcBorders>
              <w:top w:val="single" w:sz="4" w:space="0" w:color="auto"/>
            </w:tcBorders>
            <w:shd w:val="clear" w:color="auto" w:fill="auto"/>
            <w:noWrap/>
            <w:vAlign w:val="center"/>
            <w:hideMark/>
          </w:tcPr>
          <w:p w14:paraId="36D478C2"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Freeling North</w:t>
            </w:r>
          </w:p>
        </w:tc>
        <w:tc>
          <w:tcPr>
            <w:tcW w:w="1021" w:type="dxa"/>
            <w:tcBorders>
              <w:top w:val="single" w:sz="4" w:space="0" w:color="auto"/>
            </w:tcBorders>
            <w:shd w:val="clear" w:color="000000" w:fill="auto"/>
            <w:noWrap/>
            <w:vAlign w:val="center"/>
            <w:hideMark/>
          </w:tcPr>
          <w:p w14:paraId="1029807F"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LE_EFN</w:t>
            </w:r>
          </w:p>
        </w:tc>
        <w:tc>
          <w:tcPr>
            <w:tcW w:w="973" w:type="dxa"/>
            <w:tcBorders>
              <w:top w:val="single" w:sz="4" w:space="0" w:color="auto"/>
            </w:tcBorders>
            <w:shd w:val="clear" w:color="auto" w:fill="auto"/>
            <w:noWrap/>
            <w:vAlign w:val="center"/>
            <w:hideMark/>
          </w:tcPr>
          <w:p w14:paraId="23334FB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135.90</w:t>
            </w:r>
          </w:p>
        </w:tc>
        <w:tc>
          <w:tcPr>
            <w:tcW w:w="843" w:type="dxa"/>
            <w:tcBorders>
              <w:top w:val="single" w:sz="4" w:space="0" w:color="auto"/>
            </w:tcBorders>
            <w:shd w:val="clear" w:color="auto" w:fill="auto"/>
            <w:noWrap/>
            <w:vAlign w:val="center"/>
            <w:hideMark/>
          </w:tcPr>
          <w:p w14:paraId="0285250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-28.06</w:t>
            </w:r>
          </w:p>
        </w:tc>
        <w:tc>
          <w:tcPr>
            <w:tcW w:w="459" w:type="dxa"/>
            <w:tcBorders>
              <w:top w:val="single" w:sz="4" w:space="0" w:color="auto"/>
            </w:tcBorders>
            <w:shd w:val="clear" w:color="auto" w:fill="auto"/>
            <w:noWrap/>
            <w:vAlign w:val="center"/>
            <w:hideMark/>
          </w:tcPr>
          <w:p w14:paraId="48EB1ED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7</w:t>
            </w:r>
          </w:p>
        </w:tc>
        <w:tc>
          <w:tcPr>
            <w:tcW w:w="634" w:type="dxa"/>
            <w:tcBorders>
              <w:top w:val="single" w:sz="4" w:space="0" w:color="auto"/>
            </w:tcBorders>
            <w:shd w:val="clear" w:color="auto" w:fill="auto"/>
            <w:noWrap/>
            <w:vAlign w:val="center"/>
            <w:hideMark/>
          </w:tcPr>
          <w:p w14:paraId="7F0B040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0.303</w:t>
            </w:r>
          </w:p>
        </w:tc>
        <w:tc>
          <w:tcPr>
            <w:tcW w:w="640" w:type="dxa"/>
            <w:tcBorders>
              <w:top w:val="single" w:sz="4" w:space="0" w:color="auto"/>
            </w:tcBorders>
            <w:shd w:val="clear" w:color="auto" w:fill="auto"/>
            <w:noWrap/>
            <w:vAlign w:val="center"/>
            <w:hideMark/>
          </w:tcPr>
          <w:p w14:paraId="64A5B2C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tcBorders>
              <w:top w:val="single" w:sz="4" w:space="0" w:color="auto"/>
            </w:tcBorders>
            <w:shd w:val="clear" w:color="auto" w:fill="auto"/>
            <w:noWrap/>
            <w:vAlign w:val="center"/>
            <w:hideMark/>
          </w:tcPr>
          <w:p w14:paraId="43C7F4B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tcBorders>
              <w:top w:val="single" w:sz="4" w:space="0" w:color="auto"/>
            </w:tcBorders>
            <w:shd w:val="clear" w:color="auto" w:fill="auto"/>
            <w:noWrap/>
            <w:vAlign w:val="center"/>
            <w:hideMark/>
          </w:tcPr>
          <w:p w14:paraId="6904502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23</w:t>
            </w:r>
          </w:p>
        </w:tc>
        <w:tc>
          <w:tcPr>
            <w:tcW w:w="494" w:type="dxa"/>
            <w:tcBorders>
              <w:top w:val="single" w:sz="4" w:space="0" w:color="auto"/>
            </w:tcBorders>
            <w:shd w:val="clear" w:color="auto" w:fill="auto"/>
            <w:noWrap/>
            <w:vAlign w:val="center"/>
            <w:hideMark/>
          </w:tcPr>
          <w:p w14:paraId="65838DB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56582CC6" w14:textId="77777777" w:rsidTr="00593412">
        <w:trPr>
          <w:trHeight w:val="20"/>
        </w:trPr>
        <w:tc>
          <w:tcPr>
            <w:tcW w:w="1146" w:type="dxa"/>
            <w:shd w:val="clear" w:color="auto" w:fill="auto"/>
            <w:noWrap/>
            <w:vAlign w:val="center"/>
            <w:hideMark/>
          </w:tcPr>
          <w:p w14:paraId="6E04A2C2"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42E4E81C"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Outside</w:t>
            </w:r>
          </w:p>
        </w:tc>
        <w:tc>
          <w:tcPr>
            <w:tcW w:w="1021" w:type="dxa"/>
            <w:shd w:val="clear" w:color="000000" w:fill="auto"/>
            <w:noWrap/>
            <w:vAlign w:val="center"/>
            <w:hideMark/>
          </w:tcPr>
          <w:p w14:paraId="62A95FD9"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LE_NOS</w:t>
            </w:r>
          </w:p>
        </w:tc>
        <w:tc>
          <w:tcPr>
            <w:tcW w:w="973" w:type="dxa"/>
            <w:shd w:val="clear" w:color="auto" w:fill="auto"/>
            <w:noWrap/>
            <w:vAlign w:val="center"/>
            <w:hideMark/>
          </w:tcPr>
          <w:p w14:paraId="16CEF45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136.21</w:t>
            </w:r>
          </w:p>
        </w:tc>
        <w:tc>
          <w:tcPr>
            <w:tcW w:w="843" w:type="dxa"/>
            <w:shd w:val="clear" w:color="auto" w:fill="auto"/>
            <w:noWrap/>
            <w:vAlign w:val="center"/>
            <w:hideMark/>
          </w:tcPr>
          <w:p w14:paraId="1C8014F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-28.26</w:t>
            </w:r>
          </w:p>
        </w:tc>
        <w:tc>
          <w:tcPr>
            <w:tcW w:w="459" w:type="dxa"/>
            <w:shd w:val="clear" w:color="auto" w:fill="auto"/>
            <w:noWrap/>
            <w:vAlign w:val="center"/>
            <w:hideMark/>
          </w:tcPr>
          <w:p w14:paraId="78B0B7B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8</w:t>
            </w:r>
          </w:p>
        </w:tc>
        <w:tc>
          <w:tcPr>
            <w:tcW w:w="634" w:type="dxa"/>
            <w:shd w:val="clear" w:color="auto" w:fill="auto"/>
            <w:noWrap/>
            <w:vAlign w:val="center"/>
            <w:hideMark/>
          </w:tcPr>
          <w:p w14:paraId="2E84067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0.293</w:t>
            </w:r>
          </w:p>
        </w:tc>
        <w:tc>
          <w:tcPr>
            <w:tcW w:w="640" w:type="dxa"/>
            <w:shd w:val="clear" w:color="auto" w:fill="auto"/>
            <w:noWrap/>
            <w:vAlign w:val="center"/>
            <w:hideMark/>
          </w:tcPr>
          <w:p w14:paraId="19F83B1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62FF24D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7134226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9</w:t>
            </w:r>
          </w:p>
        </w:tc>
        <w:tc>
          <w:tcPr>
            <w:tcW w:w="494" w:type="dxa"/>
            <w:shd w:val="clear" w:color="auto" w:fill="auto"/>
            <w:noWrap/>
            <w:vAlign w:val="center"/>
            <w:hideMark/>
          </w:tcPr>
          <w:p w14:paraId="7818469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3997614A" w14:textId="77777777" w:rsidTr="00593412">
        <w:trPr>
          <w:trHeight w:val="20"/>
        </w:trPr>
        <w:tc>
          <w:tcPr>
            <w:tcW w:w="1146" w:type="dxa"/>
            <w:shd w:val="clear" w:color="auto" w:fill="auto"/>
            <w:noWrap/>
            <w:vAlign w:val="center"/>
            <w:hideMark/>
          </w:tcPr>
          <w:p w14:paraId="0FBA8AC3"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026A24B9"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Freeling</w:t>
            </w:r>
          </w:p>
        </w:tc>
        <w:tc>
          <w:tcPr>
            <w:tcW w:w="1021" w:type="dxa"/>
            <w:shd w:val="clear" w:color="000000" w:fill="auto"/>
            <w:noWrap/>
            <w:vAlign w:val="center"/>
            <w:hideMark/>
          </w:tcPr>
          <w:p w14:paraId="3D0F846E"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LE_EFS</w:t>
            </w:r>
          </w:p>
        </w:tc>
        <w:tc>
          <w:tcPr>
            <w:tcW w:w="973" w:type="dxa"/>
            <w:shd w:val="clear" w:color="auto" w:fill="auto"/>
            <w:noWrap/>
            <w:vAlign w:val="center"/>
            <w:hideMark/>
          </w:tcPr>
          <w:p w14:paraId="175844C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135.90</w:t>
            </w:r>
          </w:p>
        </w:tc>
        <w:tc>
          <w:tcPr>
            <w:tcW w:w="843" w:type="dxa"/>
            <w:shd w:val="clear" w:color="auto" w:fill="auto"/>
            <w:noWrap/>
            <w:vAlign w:val="center"/>
            <w:hideMark/>
          </w:tcPr>
          <w:p w14:paraId="30538ED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-28.07</w:t>
            </w:r>
          </w:p>
        </w:tc>
        <w:tc>
          <w:tcPr>
            <w:tcW w:w="459" w:type="dxa"/>
            <w:shd w:val="clear" w:color="auto" w:fill="auto"/>
            <w:noWrap/>
            <w:vAlign w:val="center"/>
            <w:hideMark/>
          </w:tcPr>
          <w:p w14:paraId="109A997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8</w:t>
            </w:r>
          </w:p>
        </w:tc>
        <w:tc>
          <w:tcPr>
            <w:tcW w:w="634" w:type="dxa"/>
            <w:shd w:val="clear" w:color="auto" w:fill="auto"/>
            <w:noWrap/>
            <w:vAlign w:val="center"/>
            <w:hideMark/>
          </w:tcPr>
          <w:p w14:paraId="15FDD37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0.250</w:t>
            </w:r>
          </w:p>
        </w:tc>
        <w:tc>
          <w:tcPr>
            <w:tcW w:w="640" w:type="dxa"/>
            <w:shd w:val="clear" w:color="auto" w:fill="auto"/>
            <w:noWrap/>
            <w:vAlign w:val="center"/>
            <w:hideMark/>
          </w:tcPr>
          <w:p w14:paraId="45A5DA9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06BF975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7F1DBF3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100</w:t>
            </w:r>
          </w:p>
        </w:tc>
        <w:tc>
          <w:tcPr>
            <w:tcW w:w="494" w:type="dxa"/>
            <w:shd w:val="clear" w:color="auto" w:fill="auto"/>
            <w:noWrap/>
            <w:vAlign w:val="center"/>
            <w:hideMark/>
          </w:tcPr>
          <w:p w14:paraId="333CABC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7534A39E" w14:textId="77777777" w:rsidTr="00593412">
        <w:trPr>
          <w:trHeight w:val="20"/>
        </w:trPr>
        <w:tc>
          <w:tcPr>
            <w:tcW w:w="1146" w:type="dxa"/>
            <w:shd w:val="clear" w:color="auto" w:fill="auto"/>
            <w:noWrap/>
            <w:vAlign w:val="center"/>
            <w:hideMark/>
          </w:tcPr>
          <w:p w14:paraId="7F7C25DA"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58C51175"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Billa Kalina</w:t>
            </w:r>
          </w:p>
        </w:tc>
        <w:tc>
          <w:tcPr>
            <w:tcW w:w="1021" w:type="dxa"/>
            <w:shd w:val="clear" w:color="000000" w:fill="auto"/>
            <w:noWrap/>
            <w:vAlign w:val="center"/>
            <w:hideMark/>
          </w:tcPr>
          <w:p w14:paraId="1B3B99B0"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LE_KBK</w:t>
            </w:r>
          </w:p>
        </w:tc>
        <w:tc>
          <w:tcPr>
            <w:tcW w:w="973" w:type="dxa"/>
            <w:shd w:val="clear" w:color="auto" w:fill="auto"/>
            <w:noWrap/>
            <w:vAlign w:val="center"/>
            <w:hideMark/>
          </w:tcPr>
          <w:p w14:paraId="5883A2C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136.45</w:t>
            </w:r>
          </w:p>
        </w:tc>
        <w:tc>
          <w:tcPr>
            <w:tcW w:w="843" w:type="dxa"/>
            <w:shd w:val="clear" w:color="auto" w:fill="auto"/>
            <w:noWrap/>
            <w:vAlign w:val="center"/>
            <w:hideMark/>
          </w:tcPr>
          <w:p w14:paraId="4D0925E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-29.49</w:t>
            </w:r>
          </w:p>
        </w:tc>
        <w:tc>
          <w:tcPr>
            <w:tcW w:w="459" w:type="dxa"/>
            <w:shd w:val="clear" w:color="auto" w:fill="auto"/>
            <w:noWrap/>
            <w:vAlign w:val="center"/>
            <w:hideMark/>
          </w:tcPr>
          <w:p w14:paraId="72FF044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8</w:t>
            </w:r>
          </w:p>
        </w:tc>
        <w:tc>
          <w:tcPr>
            <w:tcW w:w="634" w:type="dxa"/>
            <w:shd w:val="clear" w:color="auto" w:fill="auto"/>
            <w:noWrap/>
            <w:vAlign w:val="center"/>
            <w:hideMark/>
          </w:tcPr>
          <w:p w14:paraId="3C54D67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0.218</w:t>
            </w:r>
          </w:p>
        </w:tc>
        <w:tc>
          <w:tcPr>
            <w:tcW w:w="640" w:type="dxa"/>
            <w:shd w:val="clear" w:color="auto" w:fill="auto"/>
            <w:noWrap/>
            <w:vAlign w:val="center"/>
            <w:hideMark/>
          </w:tcPr>
          <w:p w14:paraId="1DB45AA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2B05FD0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1FC8B8E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268</w:t>
            </w:r>
          </w:p>
        </w:tc>
        <w:tc>
          <w:tcPr>
            <w:tcW w:w="494" w:type="dxa"/>
            <w:shd w:val="clear" w:color="auto" w:fill="auto"/>
            <w:noWrap/>
            <w:vAlign w:val="center"/>
            <w:hideMark/>
          </w:tcPr>
          <w:p w14:paraId="726A5B1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1795E603" w14:textId="77777777" w:rsidTr="00593412">
        <w:trPr>
          <w:trHeight w:val="20"/>
        </w:trPr>
        <w:tc>
          <w:tcPr>
            <w:tcW w:w="1146" w:type="dxa"/>
            <w:shd w:val="clear" w:color="auto" w:fill="auto"/>
            <w:noWrap/>
            <w:vAlign w:val="center"/>
            <w:hideMark/>
          </w:tcPr>
          <w:p w14:paraId="7F75DBC1"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677C88F3"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Big Perry</w:t>
            </w:r>
          </w:p>
        </w:tc>
        <w:tc>
          <w:tcPr>
            <w:tcW w:w="1021" w:type="dxa"/>
            <w:shd w:val="clear" w:color="000000" w:fill="auto"/>
            <w:noWrap/>
            <w:vAlign w:val="center"/>
            <w:hideMark/>
          </w:tcPr>
          <w:p w14:paraId="2F9ECCA3"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LE_NBP</w:t>
            </w:r>
          </w:p>
        </w:tc>
        <w:tc>
          <w:tcPr>
            <w:tcW w:w="973" w:type="dxa"/>
            <w:shd w:val="clear" w:color="auto" w:fill="auto"/>
            <w:noWrap/>
            <w:vAlign w:val="center"/>
            <w:hideMark/>
          </w:tcPr>
          <w:p w14:paraId="7A1D547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136.35</w:t>
            </w:r>
          </w:p>
        </w:tc>
        <w:tc>
          <w:tcPr>
            <w:tcW w:w="843" w:type="dxa"/>
            <w:shd w:val="clear" w:color="auto" w:fill="auto"/>
            <w:noWrap/>
            <w:vAlign w:val="center"/>
            <w:hideMark/>
          </w:tcPr>
          <w:p w14:paraId="523D5AF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-28.34</w:t>
            </w:r>
          </w:p>
        </w:tc>
        <w:tc>
          <w:tcPr>
            <w:tcW w:w="459" w:type="dxa"/>
            <w:shd w:val="clear" w:color="auto" w:fill="auto"/>
            <w:noWrap/>
            <w:vAlign w:val="center"/>
            <w:hideMark/>
          </w:tcPr>
          <w:p w14:paraId="16D8004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7</w:t>
            </w:r>
          </w:p>
        </w:tc>
        <w:tc>
          <w:tcPr>
            <w:tcW w:w="634" w:type="dxa"/>
            <w:shd w:val="clear" w:color="auto" w:fill="auto"/>
            <w:noWrap/>
            <w:vAlign w:val="center"/>
            <w:hideMark/>
          </w:tcPr>
          <w:p w14:paraId="778EE33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0.197</w:t>
            </w:r>
          </w:p>
        </w:tc>
        <w:tc>
          <w:tcPr>
            <w:tcW w:w="640" w:type="dxa"/>
            <w:shd w:val="clear" w:color="auto" w:fill="auto"/>
            <w:noWrap/>
            <w:vAlign w:val="center"/>
            <w:hideMark/>
          </w:tcPr>
          <w:p w14:paraId="3FAF2C1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3E3A4A7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5D486DB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9</w:t>
            </w:r>
          </w:p>
        </w:tc>
        <w:tc>
          <w:tcPr>
            <w:tcW w:w="494" w:type="dxa"/>
            <w:shd w:val="clear" w:color="auto" w:fill="auto"/>
            <w:noWrap/>
            <w:vAlign w:val="center"/>
            <w:hideMark/>
          </w:tcPr>
          <w:p w14:paraId="3EA6945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50052B01" w14:textId="77777777" w:rsidTr="00593412">
        <w:trPr>
          <w:trHeight w:val="20"/>
        </w:trPr>
        <w:tc>
          <w:tcPr>
            <w:tcW w:w="1146" w:type="dxa"/>
            <w:shd w:val="clear" w:color="auto" w:fill="auto"/>
            <w:noWrap/>
            <w:vAlign w:val="center"/>
            <w:hideMark/>
          </w:tcPr>
          <w:p w14:paraId="6CA5C619"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2EAD9216"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Kewson Hill</w:t>
            </w:r>
          </w:p>
        </w:tc>
        <w:tc>
          <w:tcPr>
            <w:tcW w:w="1021" w:type="dxa"/>
            <w:shd w:val="clear" w:color="000000" w:fill="auto"/>
            <w:noWrap/>
            <w:vAlign w:val="center"/>
            <w:hideMark/>
          </w:tcPr>
          <w:p w14:paraId="53CA2A23"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LE_CKH</w:t>
            </w:r>
          </w:p>
        </w:tc>
        <w:tc>
          <w:tcPr>
            <w:tcW w:w="973" w:type="dxa"/>
            <w:shd w:val="clear" w:color="auto" w:fill="auto"/>
            <w:noWrap/>
            <w:vAlign w:val="center"/>
            <w:hideMark/>
          </w:tcPr>
          <w:p w14:paraId="0DBF59E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136.83</w:t>
            </w:r>
          </w:p>
        </w:tc>
        <w:tc>
          <w:tcPr>
            <w:tcW w:w="843" w:type="dxa"/>
            <w:shd w:val="clear" w:color="auto" w:fill="auto"/>
            <w:noWrap/>
            <w:vAlign w:val="center"/>
            <w:hideMark/>
          </w:tcPr>
          <w:p w14:paraId="00E7EC6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-29.41</w:t>
            </w:r>
          </w:p>
        </w:tc>
        <w:tc>
          <w:tcPr>
            <w:tcW w:w="459" w:type="dxa"/>
            <w:shd w:val="clear" w:color="auto" w:fill="auto"/>
            <w:noWrap/>
            <w:vAlign w:val="center"/>
            <w:hideMark/>
          </w:tcPr>
          <w:p w14:paraId="5C65C35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6</w:t>
            </w:r>
          </w:p>
        </w:tc>
        <w:tc>
          <w:tcPr>
            <w:tcW w:w="634" w:type="dxa"/>
            <w:shd w:val="clear" w:color="auto" w:fill="auto"/>
            <w:noWrap/>
            <w:vAlign w:val="center"/>
            <w:hideMark/>
          </w:tcPr>
          <w:p w14:paraId="47041E8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0.192</w:t>
            </w:r>
          </w:p>
        </w:tc>
        <w:tc>
          <w:tcPr>
            <w:tcW w:w="640" w:type="dxa"/>
            <w:shd w:val="clear" w:color="auto" w:fill="auto"/>
            <w:noWrap/>
            <w:vAlign w:val="center"/>
            <w:hideMark/>
          </w:tcPr>
          <w:p w14:paraId="0414D7C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51</w:t>
            </w:r>
          </w:p>
        </w:tc>
        <w:tc>
          <w:tcPr>
            <w:tcW w:w="522" w:type="dxa"/>
            <w:shd w:val="clear" w:color="auto" w:fill="auto"/>
            <w:noWrap/>
            <w:vAlign w:val="center"/>
            <w:hideMark/>
          </w:tcPr>
          <w:p w14:paraId="2EA6848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4536C7F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shd w:val="clear" w:color="auto" w:fill="auto"/>
            <w:noWrap/>
            <w:vAlign w:val="center"/>
            <w:hideMark/>
          </w:tcPr>
          <w:p w14:paraId="61A347C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6036530A" w14:textId="77777777" w:rsidTr="00593412">
        <w:trPr>
          <w:trHeight w:val="20"/>
        </w:trPr>
        <w:tc>
          <w:tcPr>
            <w:tcW w:w="1146" w:type="dxa"/>
            <w:shd w:val="clear" w:color="auto" w:fill="auto"/>
            <w:noWrap/>
            <w:vAlign w:val="center"/>
            <w:hideMark/>
          </w:tcPr>
          <w:p w14:paraId="714FA86A"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17FCEFA8"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Welcome</w:t>
            </w:r>
          </w:p>
        </w:tc>
        <w:tc>
          <w:tcPr>
            <w:tcW w:w="1021" w:type="dxa"/>
            <w:shd w:val="clear" w:color="000000" w:fill="auto"/>
            <w:noWrap/>
            <w:vAlign w:val="center"/>
            <w:hideMark/>
          </w:tcPr>
          <w:p w14:paraId="5D82D154"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LE_WWS</w:t>
            </w:r>
          </w:p>
        </w:tc>
        <w:tc>
          <w:tcPr>
            <w:tcW w:w="973" w:type="dxa"/>
            <w:shd w:val="clear" w:color="auto" w:fill="auto"/>
            <w:noWrap/>
            <w:vAlign w:val="center"/>
            <w:hideMark/>
          </w:tcPr>
          <w:p w14:paraId="7EA5606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137.83</w:t>
            </w:r>
          </w:p>
        </w:tc>
        <w:tc>
          <w:tcPr>
            <w:tcW w:w="843" w:type="dxa"/>
            <w:shd w:val="clear" w:color="auto" w:fill="auto"/>
            <w:noWrap/>
            <w:vAlign w:val="center"/>
            <w:hideMark/>
          </w:tcPr>
          <w:p w14:paraId="2971186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-29.67</w:t>
            </w:r>
          </w:p>
        </w:tc>
        <w:tc>
          <w:tcPr>
            <w:tcW w:w="459" w:type="dxa"/>
            <w:shd w:val="clear" w:color="auto" w:fill="auto"/>
            <w:noWrap/>
            <w:vAlign w:val="center"/>
            <w:hideMark/>
          </w:tcPr>
          <w:p w14:paraId="72C2FDE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6</w:t>
            </w:r>
          </w:p>
        </w:tc>
        <w:tc>
          <w:tcPr>
            <w:tcW w:w="634" w:type="dxa"/>
            <w:shd w:val="clear" w:color="auto" w:fill="auto"/>
            <w:noWrap/>
            <w:vAlign w:val="center"/>
            <w:hideMark/>
          </w:tcPr>
          <w:p w14:paraId="3D93DE9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0.171</w:t>
            </w:r>
          </w:p>
        </w:tc>
        <w:tc>
          <w:tcPr>
            <w:tcW w:w="640" w:type="dxa"/>
            <w:shd w:val="clear" w:color="auto" w:fill="auto"/>
            <w:noWrap/>
            <w:vAlign w:val="center"/>
            <w:hideMark/>
          </w:tcPr>
          <w:p w14:paraId="6CCE0B2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378EFD5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039A87C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34</w:t>
            </w:r>
          </w:p>
        </w:tc>
        <w:tc>
          <w:tcPr>
            <w:tcW w:w="494" w:type="dxa"/>
            <w:shd w:val="clear" w:color="auto" w:fill="auto"/>
            <w:noWrap/>
            <w:vAlign w:val="center"/>
            <w:hideMark/>
          </w:tcPr>
          <w:p w14:paraId="5A573FC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5E346733" w14:textId="77777777" w:rsidTr="00593412">
        <w:trPr>
          <w:trHeight w:val="20"/>
        </w:trPr>
        <w:tc>
          <w:tcPr>
            <w:tcW w:w="1146" w:type="dxa"/>
            <w:shd w:val="clear" w:color="auto" w:fill="auto"/>
            <w:noWrap/>
            <w:vAlign w:val="center"/>
            <w:hideMark/>
          </w:tcPr>
          <w:p w14:paraId="1F1C84BF"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241D4C42"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The Fountain</w:t>
            </w:r>
          </w:p>
        </w:tc>
        <w:tc>
          <w:tcPr>
            <w:tcW w:w="1021" w:type="dxa"/>
            <w:shd w:val="clear" w:color="000000" w:fill="auto"/>
            <w:noWrap/>
            <w:vAlign w:val="center"/>
            <w:hideMark/>
          </w:tcPr>
          <w:p w14:paraId="130354A6"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LE_NTF</w:t>
            </w:r>
          </w:p>
        </w:tc>
        <w:tc>
          <w:tcPr>
            <w:tcW w:w="973" w:type="dxa"/>
            <w:shd w:val="clear" w:color="auto" w:fill="auto"/>
            <w:noWrap/>
            <w:vAlign w:val="center"/>
            <w:hideMark/>
          </w:tcPr>
          <w:p w14:paraId="01D3218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136.28</w:t>
            </w:r>
          </w:p>
        </w:tc>
        <w:tc>
          <w:tcPr>
            <w:tcW w:w="843" w:type="dxa"/>
            <w:shd w:val="clear" w:color="auto" w:fill="auto"/>
            <w:noWrap/>
            <w:vAlign w:val="center"/>
            <w:hideMark/>
          </w:tcPr>
          <w:p w14:paraId="1BB9D48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-28.34</w:t>
            </w:r>
          </w:p>
        </w:tc>
        <w:tc>
          <w:tcPr>
            <w:tcW w:w="459" w:type="dxa"/>
            <w:shd w:val="clear" w:color="auto" w:fill="auto"/>
            <w:noWrap/>
            <w:vAlign w:val="center"/>
            <w:hideMark/>
          </w:tcPr>
          <w:p w14:paraId="431AA6B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8</w:t>
            </w:r>
          </w:p>
        </w:tc>
        <w:tc>
          <w:tcPr>
            <w:tcW w:w="634" w:type="dxa"/>
            <w:shd w:val="clear" w:color="auto" w:fill="auto"/>
            <w:noWrap/>
            <w:vAlign w:val="center"/>
            <w:hideMark/>
          </w:tcPr>
          <w:p w14:paraId="7079C3D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0.167</w:t>
            </w:r>
          </w:p>
        </w:tc>
        <w:tc>
          <w:tcPr>
            <w:tcW w:w="640" w:type="dxa"/>
            <w:shd w:val="clear" w:color="auto" w:fill="auto"/>
            <w:noWrap/>
            <w:vAlign w:val="center"/>
            <w:hideMark/>
          </w:tcPr>
          <w:p w14:paraId="0A5C074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078ECF6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0CB89D1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w:t>
            </w:r>
          </w:p>
        </w:tc>
        <w:tc>
          <w:tcPr>
            <w:tcW w:w="494" w:type="dxa"/>
            <w:shd w:val="clear" w:color="auto" w:fill="auto"/>
            <w:noWrap/>
            <w:vAlign w:val="center"/>
            <w:hideMark/>
          </w:tcPr>
          <w:p w14:paraId="216FEF1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55487593" w14:textId="77777777" w:rsidTr="00593412">
        <w:trPr>
          <w:trHeight w:val="20"/>
        </w:trPr>
        <w:tc>
          <w:tcPr>
            <w:tcW w:w="1146" w:type="dxa"/>
            <w:shd w:val="clear" w:color="auto" w:fill="auto"/>
            <w:noWrap/>
            <w:vAlign w:val="center"/>
            <w:hideMark/>
          </w:tcPr>
          <w:p w14:paraId="1B67F68E"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7E6A760E"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Warburton</w:t>
            </w:r>
          </w:p>
        </w:tc>
        <w:tc>
          <w:tcPr>
            <w:tcW w:w="1021" w:type="dxa"/>
            <w:shd w:val="clear" w:color="000000" w:fill="auto"/>
            <w:noWrap/>
            <w:vAlign w:val="center"/>
            <w:hideMark/>
          </w:tcPr>
          <w:p w14:paraId="553FFA6F"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LE_BWS</w:t>
            </w:r>
          </w:p>
        </w:tc>
        <w:tc>
          <w:tcPr>
            <w:tcW w:w="973" w:type="dxa"/>
            <w:shd w:val="clear" w:color="auto" w:fill="auto"/>
            <w:noWrap/>
            <w:vAlign w:val="center"/>
            <w:hideMark/>
          </w:tcPr>
          <w:p w14:paraId="12775E3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136.67</w:t>
            </w:r>
          </w:p>
        </w:tc>
        <w:tc>
          <w:tcPr>
            <w:tcW w:w="843" w:type="dxa"/>
            <w:shd w:val="clear" w:color="auto" w:fill="auto"/>
            <w:noWrap/>
            <w:vAlign w:val="center"/>
            <w:hideMark/>
          </w:tcPr>
          <w:p w14:paraId="0865974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-29.27</w:t>
            </w:r>
          </w:p>
        </w:tc>
        <w:tc>
          <w:tcPr>
            <w:tcW w:w="459" w:type="dxa"/>
            <w:shd w:val="clear" w:color="auto" w:fill="auto"/>
            <w:noWrap/>
            <w:vAlign w:val="center"/>
            <w:hideMark/>
          </w:tcPr>
          <w:p w14:paraId="3C68727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7</w:t>
            </w:r>
          </w:p>
        </w:tc>
        <w:tc>
          <w:tcPr>
            <w:tcW w:w="634" w:type="dxa"/>
            <w:shd w:val="clear" w:color="auto" w:fill="auto"/>
            <w:noWrap/>
            <w:vAlign w:val="center"/>
            <w:hideMark/>
          </w:tcPr>
          <w:p w14:paraId="0DFB9DD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0.161</w:t>
            </w:r>
          </w:p>
        </w:tc>
        <w:tc>
          <w:tcPr>
            <w:tcW w:w="640" w:type="dxa"/>
            <w:shd w:val="clear" w:color="auto" w:fill="auto"/>
            <w:noWrap/>
            <w:vAlign w:val="center"/>
            <w:hideMark/>
          </w:tcPr>
          <w:p w14:paraId="08E20DF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633E17D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60266B6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w:t>
            </w:r>
          </w:p>
        </w:tc>
        <w:tc>
          <w:tcPr>
            <w:tcW w:w="494" w:type="dxa"/>
            <w:shd w:val="clear" w:color="auto" w:fill="auto"/>
            <w:noWrap/>
            <w:vAlign w:val="center"/>
            <w:hideMark/>
          </w:tcPr>
          <w:p w14:paraId="3CF31A6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6CDA52A7" w14:textId="77777777" w:rsidTr="00593412">
        <w:trPr>
          <w:trHeight w:val="20"/>
        </w:trPr>
        <w:tc>
          <w:tcPr>
            <w:tcW w:w="1146" w:type="dxa"/>
            <w:shd w:val="clear" w:color="auto" w:fill="auto"/>
            <w:noWrap/>
            <w:vAlign w:val="center"/>
            <w:hideMark/>
          </w:tcPr>
          <w:p w14:paraId="57D35CEC"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62A09F60"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Hawker</w:t>
            </w:r>
          </w:p>
        </w:tc>
        <w:tc>
          <w:tcPr>
            <w:tcW w:w="1021" w:type="dxa"/>
            <w:shd w:val="clear" w:color="000000" w:fill="auto"/>
            <w:noWrap/>
            <w:vAlign w:val="center"/>
            <w:hideMark/>
          </w:tcPr>
          <w:p w14:paraId="470F1751"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LE_NHS</w:t>
            </w:r>
          </w:p>
        </w:tc>
        <w:tc>
          <w:tcPr>
            <w:tcW w:w="973" w:type="dxa"/>
            <w:shd w:val="clear" w:color="auto" w:fill="auto"/>
            <w:noWrap/>
            <w:vAlign w:val="center"/>
            <w:hideMark/>
          </w:tcPr>
          <w:p w14:paraId="28FE586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136.19</w:t>
            </w:r>
          </w:p>
        </w:tc>
        <w:tc>
          <w:tcPr>
            <w:tcW w:w="843" w:type="dxa"/>
            <w:shd w:val="clear" w:color="auto" w:fill="auto"/>
            <w:noWrap/>
            <w:vAlign w:val="center"/>
            <w:hideMark/>
          </w:tcPr>
          <w:p w14:paraId="4092BA1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-28.42</w:t>
            </w:r>
          </w:p>
        </w:tc>
        <w:tc>
          <w:tcPr>
            <w:tcW w:w="459" w:type="dxa"/>
            <w:shd w:val="clear" w:color="auto" w:fill="auto"/>
            <w:noWrap/>
            <w:vAlign w:val="center"/>
            <w:hideMark/>
          </w:tcPr>
          <w:p w14:paraId="57FAE20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7</w:t>
            </w:r>
          </w:p>
        </w:tc>
        <w:tc>
          <w:tcPr>
            <w:tcW w:w="634" w:type="dxa"/>
            <w:shd w:val="clear" w:color="auto" w:fill="auto"/>
            <w:noWrap/>
            <w:vAlign w:val="center"/>
            <w:hideMark/>
          </w:tcPr>
          <w:p w14:paraId="4EBEB55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0.150</w:t>
            </w:r>
          </w:p>
        </w:tc>
        <w:tc>
          <w:tcPr>
            <w:tcW w:w="640" w:type="dxa"/>
            <w:shd w:val="clear" w:color="auto" w:fill="auto"/>
            <w:noWrap/>
            <w:vAlign w:val="center"/>
            <w:hideMark/>
          </w:tcPr>
          <w:p w14:paraId="053F68F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6CAA21C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55DE673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104</w:t>
            </w:r>
          </w:p>
        </w:tc>
        <w:tc>
          <w:tcPr>
            <w:tcW w:w="494" w:type="dxa"/>
            <w:shd w:val="clear" w:color="auto" w:fill="auto"/>
            <w:noWrap/>
            <w:vAlign w:val="center"/>
            <w:hideMark/>
          </w:tcPr>
          <w:p w14:paraId="5029C0E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04D6D6F5" w14:textId="77777777" w:rsidTr="00593412">
        <w:trPr>
          <w:trHeight w:val="20"/>
        </w:trPr>
        <w:tc>
          <w:tcPr>
            <w:tcW w:w="1146" w:type="dxa"/>
            <w:shd w:val="clear" w:color="auto" w:fill="auto"/>
            <w:noWrap/>
            <w:vAlign w:val="center"/>
            <w:hideMark/>
          </w:tcPr>
          <w:p w14:paraId="0EA1D0B9"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70D10D04"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Francis Swamp</w:t>
            </w:r>
          </w:p>
        </w:tc>
        <w:tc>
          <w:tcPr>
            <w:tcW w:w="1021" w:type="dxa"/>
            <w:shd w:val="clear" w:color="000000" w:fill="auto"/>
            <w:noWrap/>
            <w:vAlign w:val="center"/>
            <w:hideMark/>
          </w:tcPr>
          <w:p w14:paraId="1EED3B0E"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LE_FFS</w:t>
            </w:r>
          </w:p>
        </w:tc>
        <w:tc>
          <w:tcPr>
            <w:tcW w:w="973" w:type="dxa"/>
            <w:shd w:val="clear" w:color="auto" w:fill="auto"/>
            <w:noWrap/>
            <w:vAlign w:val="center"/>
            <w:hideMark/>
          </w:tcPr>
          <w:p w14:paraId="0DFF517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136.30</w:t>
            </w:r>
          </w:p>
        </w:tc>
        <w:tc>
          <w:tcPr>
            <w:tcW w:w="843" w:type="dxa"/>
            <w:shd w:val="clear" w:color="auto" w:fill="auto"/>
            <w:noWrap/>
            <w:vAlign w:val="center"/>
            <w:hideMark/>
          </w:tcPr>
          <w:p w14:paraId="16E42F3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-29.14</w:t>
            </w:r>
          </w:p>
        </w:tc>
        <w:tc>
          <w:tcPr>
            <w:tcW w:w="459" w:type="dxa"/>
            <w:shd w:val="clear" w:color="auto" w:fill="auto"/>
            <w:noWrap/>
            <w:vAlign w:val="center"/>
            <w:hideMark/>
          </w:tcPr>
          <w:p w14:paraId="4AF4690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7</w:t>
            </w:r>
          </w:p>
        </w:tc>
        <w:tc>
          <w:tcPr>
            <w:tcW w:w="634" w:type="dxa"/>
            <w:shd w:val="clear" w:color="auto" w:fill="auto"/>
            <w:noWrap/>
            <w:vAlign w:val="center"/>
            <w:hideMark/>
          </w:tcPr>
          <w:p w14:paraId="1D6D609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0.148</w:t>
            </w:r>
          </w:p>
        </w:tc>
        <w:tc>
          <w:tcPr>
            <w:tcW w:w="640" w:type="dxa"/>
            <w:shd w:val="clear" w:color="auto" w:fill="auto"/>
            <w:noWrap/>
            <w:vAlign w:val="center"/>
            <w:hideMark/>
          </w:tcPr>
          <w:p w14:paraId="0820870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62E829F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7FA0066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884</w:t>
            </w:r>
          </w:p>
        </w:tc>
        <w:tc>
          <w:tcPr>
            <w:tcW w:w="494" w:type="dxa"/>
            <w:shd w:val="clear" w:color="auto" w:fill="auto"/>
            <w:noWrap/>
            <w:vAlign w:val="center"/>
            <w:hideMark/>
          </w:tcPr>
          <w:p w14:paraId="3922BDC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22772A44" w14:textId="77777777" w:rsidTr="00593412">
        <w:trPr>
          <w:trHeight w:val="20"/>
        </w:trPr>
        <w:tc>
          <w:tcPr>
            <w:tcW w:w="1146" w:type="dxa"/>
            <w:shd w:val="clear" w:color="auto" w:fill="auto"/>
            <w:noWrap/>
            <w:vAlign w:val="center"/>
            <w:hideMark/>
          </w:tcPr>
          <w:p w14:paraId="410124CF"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63EDEEB1"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West Finniss</w:t>
            </w:r>
          </w:p>
        </w:tc>
        <w:tc>
          <w:tcPr>
            <w:tcW w:w="1021" w:type="dxa"/>
            <w:shd w:val="clear" w:color="000000" w:fill="auto"/>
            <w:noWrap/>
            <w:vAlign w:val="center"/>
            <w:hideMark/>
          </w:tcPr>
          <w:p w14:paraId="39EADFCE"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LE_HWF</w:t>
            </w:r>
          </w:p>
        </w:tc>
        <w:tc>
          <w:tcPr>
            <w:tcW w:w="973" w:type="dxa"/>
            <w:shd w:val="clear" w:color="auto" w:fill="auto"/>
            <w:noWrap/>
            <w:vAlign w:val="center"/>
            <w:hideMark/>
          </w:tcPr>
          <w:p w14:paraId="0298C41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137.41</w:t>
            </w:r>
          </w:p>
        </w:tc>
        <w:tc>
          <w:tcPr>
            <w:tcW w:w="843" w:type="dxa"/>
            <w:shd w:val="clear" w:color="auto" w:fill="auto"/>
            <w:noWrap/>
            <w:vAlign w:val="center"/>
            <w:hideMark/>
          </w:tcPr>
          <w:p w14:paraId="39A69F0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-29.60</w:t>
            </w:r>
          </w:p>
        </w:tc>
        <w:tc>
          <w:tcPr>
            <w:tcW w:w="459" w:type="dxa"/>
            <w:shd w:val="clear" w:color="auto" w:fill="auto"/>
            <w:noWrap/>
            <w:vAlign w:val="center"/>
            <w:hideMark/>
          </w:tcPr>
          <w:p w14:paraId="482FF47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7</w:t>
            </w:r>
          </w:p>
        </w:tc>
        <w:tc>
          <w:tcPr>
            <w:tcW w:w="634" w:type="dxa"/>
            <w:shd w:val="clear" w:color="auto" w:fill="auto"/>
            <w:noWrap/>
            <w:vAlign w:val="center"/>
            <w:hideMark/>
          </w:tcPr>
          <w:p w14:paraId="72C23BB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0.141</w:t>
            </w:r>
          </w:p>
        </w:tc>
        <w:tc>
          <w:tcPr>
            <w:tcW w:w="640" w:type="dxa"/>
            <w:shd w:val="clear" w:color="auto" w:fill="auto"/>
            <w:noWrap/>
            <w:vAlign w:val="center"/>
            <w:hideMark/>
          </w:tcPr>
          <w:p w14:paraId="2078D39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5659024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2FB8EB6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122</w:t>
            </w:r>
          </w:p>
        </w:tc>
        <w:tc>
          <w:tcPr>
            <w:tcW w:w="494" w:type="dxa"/>
            <w:shd w:val="clear" w:color="auto" w:fill="auto"/>
            <w:noWrap/>
            <w:vAlign w:val="center"/>
            <w:hideMark/>
          </w:tcPr>
          <w:p w14:paraId="642CB70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21B2EC2F" w14:textId="77777777" w:rsidTr="00593412">
        <w:trPr>
          <w:trHeight w:val="20"/>
        </w:trPr>
        <w:tc>
          <w:tcPr>
            <w:tcW w:w="1146" w:type="dxa"/>
            <w:shd w:val="clear" w:color="auto" w:fill="auto"/>
            <w:noWrap/>
            <w:vAlign w:val="center"/>
            <w:hideMark/>
          </w:tcPr>
          <w:p w14:paraId="509D438D"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3C3551B0"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Fanny</w:t>
            </w:r>
          </w:p>
        </w:tc>
        <w:tc>
          <w:tcPr>
            <w:tcW w:w="1021" w:type="dxa"/>
            <w:shd w:val="clear" w:color="000000" w:fill="auto"/>
            <w:noWrap/>
            <w:vAlign w:val="center"/>
            <w:hideMark/>
          </w:tcPr>
          <w:p w14:paraId="648BA221"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LE_NFS</w:t>
            </w:r>
          </w:p>
        </w:tc>
        <w:tc>
          <w:tcPr>
            <w:tcW w:w="973" w:type="dxa"/>
            <w:shd w:val="clear" w:color="auto" w:fill="auto"/>
            <w:noWrap/>
            <w:vAlign w:val="center"/>
            <w:hideMark/>
          </w:tcPr>
          <w:p w14:paraId="5BD7B9F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136.24</w:t>
            </w:r>
          </w:p>
        </w:tc>
        <w:tc>
          <w:tcPr>
            <w:tcW w:w="843" w:type="dxa"/>
            <w:shd w:val="clear" w:color="auto" w:fill="auto"/>
            <w:noWrap/>
            <w:vAlign w:val="center"/>
            <w:hideMark/>
          </w:tcPr>
          <w:p w14:paraId="7E06C4E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-28.32</w:t>
            </w:r>
          </w:p>
        </w:tc>
        <w:tc>
          <w:tcPr>
            <w:tcW w:w="459" w:type="dxa"/>
            <w:shd w:val="clear" w:color="auto" w:fill="auto"/>
            <w:noWrap/>
            <w:vAlign w:val="center"/>
            <w:hideMark/>
          </w:tcPr>
          <w:p w14:paraId="64BC88E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7</w:t>
            </w:r>
          </w:p>
        </w:tc>
        <w:tc>
          <w:tcPr>
            <w:tcW w:w="634" w:type="dxa"/>
            <w:shd w:val="clear" w:color="auto" w:fill="auto"/>
            <w:noWrap/>
            <w:vAlign w:val="center"/>
            <w:hideMark/>
          </w:tcPr>
          <w:p w14:paraId="2FDD5F7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0.139</w:t>
            </w:r>
          </w:p>
        </w:tc>
        <w:tc>
          <w:tcPr>
            <w:tcW w:w="640" w:type="dxa"/>
            <w:shd w:val="clear" w:color="auto" w:fill="auto"/>
            <w:noWrap/>
            <w:vAlign w:val="center"/>
            <w:hideMark/>
          </w:tcPr>
          <w:p w14:paraId="5AA30AC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3BE14BE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4D2903E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8</w:t>
            </w:r>
          </w:p>
        </w:tc>
        <w:tc>
          <w:tcPr>
            <w:tcW w:w="494" w:type="dxa"/>
            <w:shd w:val="clear" w:color="auto" w:fill="auto"/>
            <w:noWrap/>
            <w:vAlign w:val="center"/>
            <w:hideMark/>
          </w:tcPr>
          <w:p w14:paraId="398796D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67EDD1D3" w14:textId="77777777" w:rsidTr="00593412">
        <w:trPr>
          <w:trHeight w:val="20"/>
        </w:trPr>
        <w:tc>
          <w:tcPr>
            <w:tcW w:w="1146" w:type="dxa"/>
            <w:shd w:val="clear" w:color="auto" w:fill="auto"/>
            <w:noWrap/>
            <w:vAlign w:val="center"/>
            <w:hideMark/>
          </w:tcPr>
          <w:p w14:paraId="681B8962"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03726B4B"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Twelve Mile</w:t>
            </w:r>
          </w:p>
        </w:tc>
        <w:tc>
          <w:tcPr>
            <w:tcW w:w="1021" w:type="dxa"/>
            <w:shd w:val="clear" w:color="000000" w:fill="auto"/>
            <w:noWrap/>
            <w:vAlign w:val="center"/>
            <w:hideMark/>
          </w:tcPr>
          <w:p w14:paraId="578AC4EE"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LE_NTM</w:t>
            </w:r>
          </w:p>
        </w:tc>
        <w:tc>
          <w:tcPr>
            <w:tcW w:w="973" w:type="dxa"/>
            <w:shd w:val="clear" w:color="auto" w:fill="auto"/>
            <w:noWrap/>
            <w:vAlign w:val="center"/>
            <w:hideMark/>
          </w:tcPr>
          <w:p w14:paraId="01B1D08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136.26</w:t>
            </w:r>
          </w:p>
        </w:tc>
        <w:tc>
          <w:tcPr>
            <w:tcW w:w="843" w:type="dxa"/>
            <w:shd w:val="clear" w:color="auto" w:fill="auto"/>
            <w:noWrap/>
            <w:vAlign w:val="center"/>
            <w:hideMark/>
          </w:tcPr>
          <w:p w14:paraId="1D98A9E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-28.31</w:t>
            </w:r>
          </w:p>
        </w:tc>
        <w:tc>
          <w:tcPr>
            <w:tcW w:w="459" w:type="dxa"/>
            <w:shd w:val="clear" w:color="auto" w:fill="auto"/>
            <w:noWrap/>
            <w:vAlign w:val="center"/>
            <w:hideMark/>
          </w:tcPr>
          <w:p w14:paraId="04B9B50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7</w:t>
            </w:r>
          </w:p>
        </w:tc>
        <w:tc>
          <w:tcPr>
            <w:tcW w:w="634" w:type="dxa"/>
            <w:shd w:val="clear" w:color="auto" w:fill="auto"/>
            <w:noWrap/>
            <w:vAlign w:val="center"/>
            <w:hideMark/>
          </w:tcPr>
          <w:p w14:paraId="6362459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0.129</w:t>
            </w:r>
          </w:p>
        </w:tc>
        <w:tc>
          <w:tcPr>
            <w:tcW w:w="640" w:type="dxa"/>
            <w:shd w:val="clear" w:color="auto" w:fill="auto"/>
            <w:noWrap/>
            <w:vAlign w:val="center"/>
            <w:hideMark/>
          </w:tcPr>
          <w:p w14:paraId="4C14F50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5B09878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17A037E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5</w:t>
            </w:r>
          </w:p>
        </w:tc>
        <w:tc>
          <w:tcPr>
            <w:tcW w:w="494" w:type="dxa"/>
            <w:shd w:val="clear" w:color="auto" w:fill="auto"/>
            <w:noWrap/>
            <w:vAlign w:val="center"/>
            <w:hideMark/>
          </w:tcPr>
          <w:p w14:paraId="788D832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7A456BEA" w14:textId="77777777" w:rsidTr="00593412">
        <w:trPr>
          <w:trHeight w:val="20"/>
        </w:trPr>
        <w:tc>
          <w:tcPr>
            <w:tcW w:w="1146" w:type="dxa"/>
            <w:shd w:val="clear" w:color="auto" w:fill="auto"/>
            <w:noWrap/>
            <w:vAlign w:val="center"/>
            <w:hideMark/>
          </w:tcPr>
          <w:p w14:paraId="29977753"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32C985AB"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Strangways</w:t>
            </w:r>
          </w:p>
        </w:tc>
        <w:tc>
          <w:tcPr>
            <w:tcW w:w="1021" w:type="dxa"/>
            <w:shd w:val="clear" w:color="000000" w:fill="auto"/>
            <w:noWrap/>
            <w:vAlign w:val="center"/>
            <w:hideMark/>
          </w:tcPr>
          <w:p w14:paraId="7819B4C7"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LE_CSS</w:t>
            </w:r>
          </w:p>
        </w:tc>
        <w:tc>
          <w:tcPr>
            <w:tcW w:w="973" w:type="dxa"/>
            <w:shd w:val="clear" w:color="auto" w:fill="auto"/>
            <w:noWrap/>
            <w:vAlign w:val="center"/>
            <w:hideMark/>
          </w:tcPr>
          <w:p w14:paraId="0D39375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136.55</w:t>
            </w:r>
          </w:p>
        </w:tc>
        <w:tc>
          <w:tcPr>
            <w:tcW w:w="843" w:type="dxa"/>
            <w:shd w:val="clear" w:color="auto" w:fill="auto"/>
            <w:noWrap/>
            <w:vAlign w:val="center"/>
            <w:hideMark/>
          </w:tcPr>
          <w:p w14:paraId="670C168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-29.16</w:t>
            </w:r>
          </w:p>
        </w:tc>
        <w:tc>
          <w:tcPr>
            <w:tcW w:w="459" w:type="dxa"/>
            <w:shd w:val="clear" w:color="auto" w:fill="auto"/>
            <w:noWrap/>
            <w:vAlign w:val="center"/>
            <w:hideMark/>
          </w:tcPr>
          <w:p w14:paraId="55C9662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6</w:t>
            </w:r>
          </w:p>
        </w:tc>
        <w:tc>
          <w:tcPr>
            <w:tcW w:w="634" w:type="dxa"/>
            <w:shd w:val="clear" w:color="auto" w:fill="auto"/>
            <w:noWrap/>
            <w:vAlign w:val="center"/>
            <w:hideMark/>
          </w:tcPr>
          <w:p w14:paraId="2A5FCA1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0.123</w:t>
            </w:r>
          </w:p>
        </w:tc>
        <w:tc>
          <w:tcPr>
            <w:tcW w:w="640" w:type="dxa"/>
            <w:shd w:val="clear" w:color="auto" w:fill="auto"/>
            <w:noWrap/>
            <w:vAlign w:val="center"/>
            <w:hideMark/>
          </w:tcPr>
          <w:p w14:paraId="37D8C6D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12513B4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515C522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433</w:t>
            </w:r>
          </w:p>
        </w:tc>
        <w:tc>
          <w:tcPr>
            <w:tcW w:w="494" w:type="dxa"/>
            <w:shd w:val="clear" w:color="auto" w:fill="auto"/>
            <w:noWrap/>
            <w:vAlign w:val="center"/>
            <w:hideMark/>
          </w:tcPr>
          <w:p w14:paraId="5DC8C54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75F859A5" w14:textId="77777777" w:rsidTr="00593412">
        <w:trPr>
          <w:trHeight w:val="20"/>
        </w:trPr>
        <w:tc>
          <w:tcPr>
            <w:tcW w:w="1146" w:type="dxa"/>
            <w:shd w:val="clear" w:color="auto" w:fill="auto"/>
            <w:noWrap/>
            <w:vAlign w:val="center"/>
            <w:hideMark/>
          </w:tcPr>
          <w:p w14:paraId="5449ED83"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33299E05"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Hermit Hill</w:t>
            </w:r>
          </w:p>
        </w:tc>
        <w:tc>
          <w:tcPr>
            <w:tcW w:w="1021" w:type="dxa"/>
            <w:shd w:val="clear" w:color="000000" w:fill="auto"/>
            <w:noWrap/>
            <w:vAlign w:val="center"/>
            <w:hideMark/>
          </w:tcPr>
          <w:p w14:paraId="5EA00114"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LE_HHS</w:t>
            </w:r>
          </w:p>
        </w:tc>
        <w:tc>
          <w:tcPr>
            <w:tcW w:w="973" w:type="dxa"/>
            <w:shd w:val="clear" w:color="auto" w:fill="auto"/>
            <w:noWrap/>
            <w:vAlign w:val="center"/>
            <w:hideMark/>
          </w:tcPr>
          <w:p w14:paraId="3B563F3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137.43</w:t>
            </w:r>
          </w:p>
        </w:tc>
        <w:tc>
          <w:tcPr>
            <w:tcW w:w="843" w:type="dxa"/>
            <w:shd w:val="clear" w:color="auto" w:fill="auto"/>
            <w:noWrap/>
            <w:vAlign w:val="center"/>
            <w:hideMark/>
          </w:tcPr>
          <w:p w14:paraId="76C52BB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-29.57</w:t>
            </w:r>
          </w:p>
        </w:tc>
        <w:tc>
          <w:tcPr>
            <w:tcW w:w="459" w:type="dxa"/>
            <w:shd w:val="clear" w:color="auto" w:fill="auto"/>
            <w:noWrap/>
            <w:vAlign w:val="center"/>
            <w:hideMark/>
          </w:tcPr>
          <w:p w14:paraId="052A6DB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6</w:t>
            </w:r>
          </w:p>
        </w:tc>
        <w:tc>
          <w:tcPr>
            <w:tcW w:w="634" w:type="dxa"/>
            <w:shd w:val="clear" w:color="auto" w:fill="auto"/>
            <w:noWrap/>
            <w:vAlign w:val="center"/>
            <w:hideMark/>
          </w:tcPr>
          <w:p w14:paraId="47C09AF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0.122</w:t>
            </w:r>
          </w:p>
        </w:tc>
        <w:tc>
          <w:tcPr>
            <w:tcW w:w="640" w:type="dxa"/>
            <w:shd w:val="clear" w:color="auto" w:fill="auto"/>
            <w:noWrap/>
            <w:vAlign w:val="center"/>
            <w:hideMark/>
          </w:tcPr>
          <w:p w14:paraId="4304DAA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2C442C7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4E6B23E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429</w:t>
            </w:r>
          </w:p>
        </w:tc>
        <w:tc>
          <w:tcPr>
            <w:tcW w:w="494" w:type="dxa"/>
            <w:shd w:val="clear" w:color="auto" w:fill="auto"/>
            <w:noWrap/>
            <w:vAlign w:val="center"/>
            <w:hideMark/>
          </w:tcPr>
          <w:p w14:paraId="7F4E329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5B5EA677" w14:textId="77777777" w:rsidTr="00593412">
        <w:trPr>
          <w:trHeight w:val="20"/>
        </w:trPr>
        <w:tc>
          <w:tcPr>
            <w:tcW w:w="1146" w:type="dxa"/>
            <w:shd w:val="clear" w:color="auto" w:fill="auto"/>
            <w:noWrap/>
            <w:vAlign w:val="center"/>
            <w:hideMark/>
          </w:tcPr>
          <w:p w14:paraId="5393FA2A"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6EF0F466"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Sulphuric</w:t>
            </w:r>
          </w:p>
        </w:tc>
        <w:tc>
          <w:tcPr>
            <w:tcW w:w="1021" w:type="dxa"/>
            <w:shd w:val="clear" w:color="000000" w:fill="auto"/>
            <w:noWrap/>
            <w:vAlign w:val="center"/>
            <w:hideMark/>
          </w:tcPr>
          <w:p w14:paraId="2CDCD069"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LE_HSS</w:t>
            </w:r>
          </w:p>
        </w:tc>
        <w:tc>
          <w:tcPr>
            <w:tcW w:w="973" w:type="dxa"/>
            <w:shd w:val="clear" w:color="auto" w:fill="auto"/>
            <w:noWrap/>
            <w:vAlign w:val="center"/>
            <w:hideMark/>
          </w:tcPr>
          <w:p w14:paraId="2E34209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137.40</w:t>
            </w:r>
          </w:p>
        </w:tc>
        <w:tc>
          <w:tcPr>
            <w:tcW w:w="843" w:type="dxa"/>
            <w:shd w:val="clear" w:color="auto" w:fill="auto"/>
            <w:noWrap/>
            <w:vAlign w:val="center"/>
            <w:hideMark/>
          </w:tcPr>
          <w:p w14:paraId="20D30F8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-29.61</w:t>
            </w:r>
          </w:p>
        </w:tc>
        <w:tc>
          <w:tcPr>
            <w:tcW w:w="459" w:type="dxa"/>
            <w:shd w:val="clear" w:color="auto" w:fill="auto"/>
            <w:noWrap/>
            <w:vAlign w:val="center"/>
            <w:hideMark/>
          </w:tcPr>
          <w:p w14:paraId="5C07A39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6</w:t>
            </w:r>
          </w:p>
        </w:tc>
        <w:tc>
          <w:tcPr>
            <w:tcW w:w="634" w:type="dxa"/>
            <w:shd w:val="clear" w:color="auto" w:fill="auto"/>
            <w:noWrap/>
            <w:vAlign w:val="center"/>
            <w:hideMark/>
          </w:tcPr>
          <w:p w14:paraId="2C1C4AE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0.119</w:t>
            </w:r>
          </w:p>
        </w:tc>
        <w:tc>
          <w:tcPr>
            <w:tcW w:w="640" w:type="dxa"/>
            <w:shd w:val="clear" w:color="auto" w:fill="auto"/>
            <w:noWrap/>
            <w:vAlign w:val="center"/>
            <w:hideMark/>
          </w:tcPr>
          <w:p w14:paraId="547322D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600D5E0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7BDD72B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56</w:t>
            </w:r>
          </w:p>
        </w:tc>
        <w:tc>
          <w:tcPr>
            <w:tcW w:w="494" w:type="dxa"/>
            <w:shd w:val="clear" w:color="auto" w:fill="auto"/>
            <w:noWrap/>
            <w:vAlign w:val="center"/>
            <w:hideMark/>
          </w:tcPr>
          <w:p w14:paraId="79876C9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4CFADD18" w14:textId="77777777" w:rsidTr="00593412">
        <w:trPr>
          <w:trHeight w:val="20"/>
        </w:trPr>
        <w:tc>
          <w:tcPr>
            <w:tcW w:w="1146" w:type="dxa"/>
            <w:shd w:val="clear" w:color="auto" w:fill="auto"/>
            <w:noWrap/>
            <w:vAlign w:val="center"/>
            <w:hideMark/>
          </w:tcPr>
          <w:p w14:paraId="5924FE91"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7B46EA9F"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Davenport</w:t>
            </w:r>
          </w:p>
        </w:tc>
        <w:tc>
          <w:tcPr>
            <w:tcW w:w="1021" w:type="dxa"/>
            <w:shd w:val="clear" w:color="000000" w:fill="auto"/>
            <w:noWrap/>
            <w:vAlign w:val="center"/>
            <w:hideMark/>
          </w:tcPr>
          <w:p w14:paraId="6AA3CFD1"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LE_WDS</w:t>
            </w:r>
          </w:p>
        </w:tc>
        <w:tc>
          <w:tcPr>
            <w:tcW w:w="973" w:type="dxa"/>
            <w:shd w:val="clear" w:color="auto" w:fill="auto"/>
            <w:noWrap/>
            <w:vAlign w:val="center"/>
            <w:hideMark/>
          </w:tcPr>
          <w:p w14:paraId="2968811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137.59</w:t>
            </w:r>
          </w:p>
        </w:tc>
        <w:tc>
          <w:tcPr>
            <w:tcW w:w="843" w:type="dxa"/>
            <w:shd w:val="clear" w:color="auto" w:fill="auto"/>
            <w:noWrap/>
            <w:vAlign w:val="center"/>
            <w:hideMark/>
          </w:tcPr>
          <w:p w14:paraId="292CDBA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-29.66</w:t>
            </w:r>
          </w:p>
        </w:tc>
        <w:tc>
          <w:tcPr>
            <w:tcW w:w="459" w:type="dxa"/>
            <w:shd w:val="clear" w:color="auto" w:fill="auto"/>
            <w:noWrap/>
            <w:vAlign w:val="center"/>
            <w:hideMark/>
          </w:tcPr>
          <w:p w14:paraId="38F31AB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6</w:t>
            </w:r>
          </w:p>
        </w:tc>
        <w:tc>
          <w:tcPr>
            <w:tcW w:w="634" w:type="dxa"/>
            <w:shd w:val="clear" w:color="auto" w:fill="auto"/>
            <w:noWrap/>
            <w:vAlign w:val="center"/>
            <w:hideMark/>
          </w:tcPr>
          <w:p w14:paraId="6153B24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0.114</w:t>
            </w:r>
          </w:p>
        </w:tc>
        <w:tc>
          <w:tcPr>
            <w:tcW w:w="640" w:type="dxa"/>
            <w:shd w:val="clear" w:color="auto" w:fill="auto"/>
            <w:noWrap/>
            <w:vAlign w:val="center"/>
            <w:hideMark/>
          </w:tcPr>
          <w:p w14:paraId="62EBD7B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0CBF539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22F7502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75</w:t>
            </w:r>
          </w:p>
        </w:tc>
        <w:tc>
          <w:tcPr>
            <w:tcW w:w="494" w:type="dxa"/>
            <w:shd w:val="clear" w:color="auto" w:fill="auto"/>
            <w:noWrap/>
            <w:vAlign w:val="center"/>
            <w:hideMark/>
          </w:tcPr>
          <w:p w14:paraId="04C9CE4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2C36DABB" w14:textId="77777777" w:rsidTr="00593412">
        <w:trPr>
          <w:trHeight w:val="20"/>
        </w:trPr>
        <w:tc>
          <w:tcPr>
            <w:tcW w:w="1146" w:type="dxa"/>
            <w:shd w:val="clear" w:color="auto" w:fill="auto"/>
            <w:noWrap/>
            <w:vAlign w:val="center"/>
            <w:hideMark/>
          </w:tcPr>
          <w:p w14:paraId="4F00CC1E"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6CA3720A"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Coward</w:t>
            </w:r>
          </w:p>
        </w:tc>
        <w:tc>
          <w:tcPr>
            <w:tcW w:w="1021" w:type="dxa"/>
            <w:shd w:val="clear" w:color="000000" w:fill="auto"/>
            <w:noWrap/>
            <w:vAlign w:val="center"/>
            <w:hideMark/>
          </w:tcPr>
          <w:p w14:paraId="555ACCFD"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LE_CCS</w:t>
            </w:r>
          </w:p>
        </w:tc>
        <w:tc>
          <w:tcPr>
            <w:tcW w:w="973" w:type="dxa"/>
            <w:shd w:val="clear" w:color="auto" w:fill="auto"/>
            <w:noWrap/>
            <w:vAlign w:val="center"/>
            <w:hideMark/>
          </w:tcPr>
          <w:p w14:paraId="1776DA5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136.79</w:t>
            </w:r>
          </w:p>
        </w:tc>
        <w:tc>
          <w:tcPr>
            <w:tcW w:w="843" w:type="dxa"/>
            <w:shd w:val="clear" w:color="auto" w:fill="auto"/>
            <w:noWrap/>
            <w:vAlign w:val="center"/>
            <w:hideMark/>
          </w:tcPr>
          <w:p w14:paraId="45A3A3B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-29.40</w:t>
            </w:r>
          </w:p>
        </w:tc>
        <w:tc>
          <w:tcPr>
            <w:tcW w:w="459" w:type="dxa"/>
            <w:shd w:val="clear" w:color="auto" w:fill="auto"/>
            <w:noWrap/>
            <w:vAlign w:val="center"/>
            <w:hideMark/>
          </w:tcPr>
          <w:p w14:paraId="31CD327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7</w:t>
            </w:r>
          </w:p>
        </w:tc>
        <w:tc>
          <w:tcPr>
            <w:tcW w:w="634" w:type="dxa"/>
            <w:shd w:val="clear" w:color="auto" w:fill="auto"/>
            <w:noWrap/>
            <w:vAlign w:val="center"/>
            <w:hideMark/>
          </w:tcPr>
          <w:p w14:paraId="28170BC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0.109</w:t>
            </w:r>
          </w:p>
        </w:tc>
        <w:tc>
          <w:tcPr>
            <w:tcW w:w="640" w:type="dxa"/>
            <w:shd w:val="clear" w:color="auto" w:fill="auto"/>
            <w:noWrap/>
            <w:vAlign w:val="center"/>
            <w:hideMark/>
          </w:tcPr>
          <w:p w14:paraId="172AA7E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w:t>
            </w:r>
          </w:p>
        </w:tc>
        <w:tc>
          <w:tcPr>
            <w:tcW w:w="522" w:type="dxa"/>
            <w:shd w:val="clear" w:color="auto" w:fill="auto"/>
            <w:noWrap/>
            <w:vAlign w:val="center"/>
            <w:hideMark/>
          </w:tcPr>
          <w:p w14:paraId="5A77487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2D24D6E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shd w:val="clear" w:color="auto" w:fill="auto"/>
            <w:noWrap/>
            <w:vAlign w:val="center"/>
            <w:hideMark/>
          </w:tcPr>
          <w:p w14:paraId="795425B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52281150" w14:textId="77777777" w:rsidTr="00593412">
        <w:trPr>
          <w:trHeight w:val="20"/>
        </w:trPr>
        <w:tc>
          <w:tcPr>
            <w:tcW w:w="1146" w:type="dxa"/>
            <w:shd w:val="clear" w:color="auto" w:fill="auto"/>
            <w:noWrap/>
            <w:vAlign w:val="center"/>
            <w:hideMark/>
          </w:tcPr>
          <w:p w14:paraId="4F721345"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665A2803"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Bopeechee</w:t>
            </w:r>
          </w:p>
        </w:tc>
        <w:tc>
          <w:tcPr>
            <w:tcW w:w="1021" w:type="dxa"/>
            <w:shd w:val="clear" w:color="000000" w:fill="auto"/>
            <w:noWrap/>
            <w:vAlign w:val="center"/>
            <w:hideMark/>
          </w:tcPr>
          <w:p w14:paraId="2BBDF526"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LE_HBO</w:t>
            </w:r>
          </w:p>
        </w:tc>
        <w:tc>
          <w:tcPr>
            <w:tcW w:w="973" w:type="dxa"/>
            <w:shd w:val="clear" w:color="auto" w:fill="auto"/>
            <w:noWrap/>
            <w:vAlign w:val="center"/>
            <w:hideMark/>
          </w:tcPr>
          <w:p w14:paraId="3172888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137.39</w:t>
            </w:r>
          </w:p>
        </w:tc>
        <w:tc>
          <w:tcPr>
            <w:tcW w:w="843" w:type="dxa"/>
            <w:shd w:val="clear" w:color="auto" w:fill="auto"/>
            <w:noWrap/>
            <w:vAlign w:val="center"/>
            <w:hideMark/>
          </w:tcPr>
          <w:p w14:paraId="11EC4EB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-29.61</w:t>
            </w:r>
          </w:p>
        </w:tc>
        <w:tc>
          <w:tcPr>
            <w:tcW w:w="459" w:type="dxa"/>
            <w:shd w:val="clear" w:color="auto" w:fill="auto"/>
            <w:noWrap/>
            <w:vAlign w:val="center"/>
            <w:hideMark/>
          </w:tcPr>
          <w:p w14:paraId="31950B7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5</w:t>
            </w:r>
          </w:p>
        </w:tc>
        <w:tc>
          <w:tcPr>
            <w:tcW w:w="634" w:type="dxa"/>
            <w:shd w:val="clear" w:color="auto" w:fill="auto"/>
            <w:noWrap/>
            <w:vAlign w:val="center"/>
            <w:hideMark/>
          </w:tcPr>
          <w:p w14:paraId="3DE4A7A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0.103</w:t>
            </w:r>
          </w:p>
        </w:tc>
        <w:tc>
          <w:tcPr>
            <w:tcW w:w="640" w:type="dxa"/>
            <w:shd w:val="clear" w:color="auto" w:fill="auto"/>
            <w:noWrap/>
            <w:vAlign w:val="center"/>
            <w:hideMark/>
          </w:tcPr>
          <w:p w14:paraId="08013F1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32DEF5E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2E8C8BD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62</w:t>
            </w:r>
          </w:p>
        </w:tc>
        <w:tc>
          <w:tcPr>
            <w:tcW w:w="494" w:type="dxa"/>
            <w:shd w:val="clear" w:color="auto" w:fill="auto"/>
            <w:noWrap/>
            <w:vAlign w:val="center"/>
            <w:hideMark/>
          </w:tcPr>
          <w:p w14:paraId="60DE7B2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68A9BEC4" w14:textId="77777777" w:rsidTr="00593412">
        <w:trPr>
          <w:trHeight w:val="20"/>
        </w:trPr>
        <w:tc>
          <w:tcPr>
            <w:tcW w:w="1146" w:type="dxa"/>
            <w:shd w:val="clear" w:color="auto" w:fill="auto"/>
            <w:noWrap/>
            <w:vAlign w:val="center"/>
            <w:hideMark/>
          </w:tcPr>
          <w:p w14:paraId="662D0B18"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690F7A2C"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Beresford Hill</w:t>
            </w:r>
          </w:p>
        </w:tc>
        <w:tc>
          <w:tcPr>
            <w:tcW w:w="1021" w:type="dxa"/>
            <w:shd w:val="clear" w:color="000000" w:fill="auto"/>
            <w:noWrap/>
            <w:vAlign w:val="center"/>
            <w:hideMark/>
          </w:tcPr>
          <w:p w14:paraId="11CEDDC0"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LE_BBH</w:t>
            </w:r>
          </w:p>
        </w:tc>
        <w:tc>
          <w:tcPr>
            <w:tcW w:w="973" w:type="dxa"/>
            <w:shd w:val="clear" w:color="auto" w:fill="auto"/>
            <w:noWrap/>
            <w:vAlign w:val="center"/>
            <w:hideMark/>
          </w:tcPr>
          <w:p w14:paraId="481DDA9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136.66</w:t>
            </w:r>
          </w:p>
        </w:tc>
        <w:tc>
          <w:tcPr>
            <w:tcW w:w="843" w:type="dxa"/>
            <w:shd w:val="clear" w:color="auto" w:fill="auto"/>
            <w:noWrap/>
            <w:vAlign w:val="center"/>
            <w:hideMark/>
          </w:tcPr>
          <w:p w14:paraId="3C5732B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-29.26</w:t>
            </w:r>
          </w:p>
        </w:tc>
        <w:tc>
          <w:tcPr>
            <w:tcW w:w="459" w:type="dxa"/>
            <w:shd w:val="clear" w:color="auto" w:fill="auto"/>
            <w:noWrap/>
            <w:vAlign w:val="center"/>
            <w:hideMark/>
          </w:tcPr>
          <w:p w14:paraId="78414CE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6</w:t>
            </w:r>
          </w:p>
        </w:tc>
        <w:tc>
          <w:tcPr>
            <w:tcW w:w="634" w:type="dxa"/>
            <w:shd w:val="clear" w:color="auto" w:fill="auto"/>
            <w:noWrap/>
            <w:vAlign w:val="center"/>
            <w:hideMark/>
          </w:tcPr>
          <w:p w14:paraId="7C2F28A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0.098</w:t>
            </w:r>
          </w:p>
        </w:tc>
        <w:tc>
          <w:tcPr>
            <w:tcW w:w="640" w:type="dxa"/>
            <w:shd w:val="clear" w:color="auto" w:fill="auto"/>
            <w:noWrap/>
            <w:vAlign w:val="center"/>
            <w:hideMark/>
          </w:tcPr>
          <w:p w14:paraId="3836A10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22CD2D3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344D5BD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494" w:type="dxa"/>
            <w:shd w:val="clear" w:color="auto" w:fill="auto"/>
            <w:noWrap/>
            <w:vAlign w:val="center"/>
            <w:hideMark/>
          </w:tcPr>
          <w:p w14:paraId="16CA444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75026AEE" w14:textId="77777777" w:rsidTr="00593412">
        <w:trPr>
          <w:trHeight w:val="20"/>
        </w:trPr>
        <w:tc>
          <w:tcPr>
            <w:tcW w:w="1146" w:type="dxa"/>
            <w:shd w:val="clear" w:color="auto" w:fill="auto"/>
            <w:noWrap/>
            <w:vAlign w:val="center"/>
            <w:hideMark/>
          </w:tcPr>
          <w:p w14:paraId="53084BC7"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005004B0"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Old Finniss</w:t>
            </w:r>
          </w:p>
        </w:tc>
        <w:tc>
          <w:tcPr>
            <w:tcW w:w="1021" w:type="dxa"/>
            <w:shd w:val="clear" w:color="000000" w:fill="auto"/>
            <w:noWrap/>
            <w:vAlign w:val="center"/>
            <w:hideMark/>
          </w:tcPr>
          <w:p w14:paraId="18D07CED"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LE_HOF</w:t>
            </w:r>
          </w:p>
        </w:tc>
        <w:tc>
          <w:tcPr>
            <w:tcW w:w="973" w:type="dxa"/>
            <w:shd w:val="clear" w:color="auto" w:fill="auto"/>
            <w:noWrap/>
            <w:vAlign w:val="center"/>
            <w:hideMark/>
          </w:tcPr>
          <w:p w14:paraId="1155514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137.45</w:t>
            </w:r>
          </w:p>
        </w:tc>
        <w:tc>
          <w:tcPr>
            <w:tcW w:w="843" w:type="dxa"/>
            <w:shd w:val="clear" w:color="auto" w:fill="auto"/>
            <w:noWrap/>
            <w:vAlign w:val="center"/>
            <w:hideMark/>
          </w:tcPr>
          <w:p w14:paraId="111C46C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-29.59</w:t>
            </w:r>
          </w:p>
        </w:tc>
        <w:tc>
          <w:tcPr>
            <w:tcW w:w="459" w:type="dxa"/>
            <w:shd w:val="clear" w:color="auto" w:fill="auto"/>
            <w:noWrap/>
            <w:vAlign w:val="center"/>
            <w:hideMark/>
          </w:tcPr>
          <w:p w14:paraId="04D4037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5</w:t>
            </w:r>
          </w:p>
        </w:tc>
        <w:tc>
          <w:tcPr>
            <w:tcW w:w="634" w:type="dxa"/>
            <w:shd w:val="clear" w:color="auto" w:fill="auto"/>
            <w:noWrap/>
            <w:vAlign w:val="center"/>
            <w:hideMark/>
          </w:tcPr>
          <w:p w14:paraId="54968B1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0.093</w:t>
            </w:r>
          </w:p>
        </w:tc>
        <w:tc>
          <w:tcPr>
            <w:tcW w:w="640" w:type="dxa"/>
            <w:shd w:val="clear" w:color="auto" w:fill="auto"/>
            <w:noWrap/>
            <w:vAlign w:val="center"/>
            <w:hideMark/>
          </w:tcPr>
          <w:p w14:paraId="2E63A61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3FE89CF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59DBC32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266</w:t>
            </w:r>
          </w:p>
        </w:tc>
        <w:tc>
          <w:tcPr>
            <w:tcW w:w="494" w:type="dxa"/>
            <w:shd w:val="clear" w:color="auto" w:fill="auto"/>
            <w:noWrap/>
            <w:vAlign w:val="center"/>
            <w:hideMark/>
          </w:tcPr>
          <w:p w14:paraId="5EDA3A7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05709CF9" w14:textId="77777777" w:rsidTr="00593412">
        <w:trPr>
          <w:trHeight w:val="20"/>
        </w:trPr>
        <w:tc>
          <w:tcPr>
            <w:tcW w:w="1146" w:type="dxa"/>
            <w:shd w:val="clear" w:color="auto" w:fill="auto"/>
            <w:noWrap/>
            <w:vAlign w:val="center"/>
            <w:hideMark/>
          </w:tcPr>
          <w:p w14:paraId="78CD1C07"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6FB92436"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North West</w:t>
            </w:r>
          </w:p>
        </w:tc>
        <w:tc>
          <w:tcPr>
            <w:tcW w:w="1021" w:type="dxa"/>
            <w:shd w:val="clear" w:color="000000" w:fill="auto"/>
            <w:noWrap/>
            <w:vAlign w:val="center"/>
            <w:hideMark/>
          </w:tcPr>
          <w:p w14:paraId="2CAF2C92"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LE_HNW</w:t>
            </w:r>
          </w:p>
        </w:tc>
        <w:tc>
          <w:tcPr>
            <w:tcW w:w="973" w:type="dxa"/>
            <w:shd w:val="clear" w:color="auto" w:fill="auto"/>
            <w:noWrap/>
            <w:vAlign w:val="center"/>
            <w:hideMark/>
          </w:tcPr>
          <w:p w14:paraId="574DA7B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137.40</w:t>
            </w:r>
          </w:p>
        </w:tc>
        <w:tc>
          <w:tcPr>
            <w:tcW w:w="843" w:type="dxa"/>
            <w:shd w:val="clear" w:color="auto" w:fill="auto"/>
            <w:noWrap/>
            <w:vAlign w:val="center"/>
            <w:hideMark/>
          </w:tcPr>
          <w:p w14:paraId="5929018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-29.56</w:t>
            </w:r>
          </w:p>
        </w:tc>
        <w:tc>
          <w:tcPr>
            <w:tcW w:w="459" w:type="dxa"/>
            <w:shd w:val="clear" w:color="auto" w:fill="auto"/>
            <w:noWrap/>
            <w:vAlign w:val="center"/>
            <w:hideMark/>
          </w:tcPr>
          <w:p w14:paraId="152CB29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5</w:t>
            </w:r>
          </w:p>
        </w:tc>
        <w:tc>
          <w:tcPr>
            <w:tcW w:w="634" w:type="dxa"/>
            <w:shd w:val="clear" w:color="auto" w:fill="auto"/>
            <w:noWrap/>
            <w:vAlign w:val="center"/>
            <w:hideMark/>
          </w:tcPr>
          <w:p w14:paraId="6ECD4D0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0.092</w:t>
            </w:r>
          </w:p>
        </w:tc>
        <w:tc>
          <w:tcPr>
            <w:tcW w:w="640" w:type="dxa"/>
            <w:shd w:val="clear" w:color="auto" w:fill="auto"/>
            <w:noWrap/>
            <w:vAlign w:val="center"/>
            <w:hideMark/>
          </w:tcPr>
          <w:p w14:paraId="551132D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0FD8B44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0788F4E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56</w:t>
            </w:r>
          </w:p>
        </w:tc>
        <w:tc>
          <w:tcPr>
            <w:tcW w:w="494" w:type="dxa"/>
            <w:shd w:val="clear" w:color="auto" w:fill="auto"/>
            <w:noWrap/>
            <w:vAlign w:val="center"/>
            <w:hideMark/>
          </w:tcPr>
          <w:p w14:paraId="2C27944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14383636" w14:textId="77777777" w:rsidTr="00593412">
        <w:trPr>
          <w:trHeight w:val="20"/>
        </w:trPr>
        <w:tc>
          <w:tcPr>
            <w:tcW w:w="1146" w:type="dxa"/>
            <w:shd w:val="clear" w:color="auto" w:fill="auto"/>
            <w:noWrap/>
            <w:vAlign w:val="center"/>
            <w:hideMark/>
          </w:tcPr>
          <w:p w14:paraId="4C42B7E0"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3694E7CA"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Old Woman</w:t>
            </w:r>
          </w:p>
        </w:tc>
        <w:tc>
          <w:tcPr>
            <w:tcW w:w="1021" w:type="dxa"/>
            <w:shd w:val="clear" w:color="000000" w:fill="auto"/>
            <w:noWrap/>
            <w:vAlign w:val="center"/>
            <w:hideMark/>
          </w:tcPr>
          <w:p w14:paraId="098CFAF1"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LE_HOW</w:t>
            </w:r>
          </w:p>
        </w:tc>
        <w:tc>
          <w:tcPr>
            <w:tcW w:w="973" w:type="dxa"/>
            <w:shd w:val="clear" w:color="auto" w:fill="auto"/>
            <w:noWrap/>
            <w:vAlign w:val="center"/>
            <w:hideMark/>
          </w:tcPr>
          <w:p w14:paraId="008398C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137.45</w:t>
            </w:r>
          </w:p>
        </w:tc>
        <w:tc>
          <w:tcPr>
            <w:tcW w:w="843" w:type="dxa"/>
            <w:shd w:val="clear" w:color="auto" w:fill="auto"/>
            <w:noWrap/>
            <w:vAlign w:val="center"/>
            <w:hideMark/>
          </w:tcPr>
          <w:p w14:paraId="538846E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-29.60</w:t>
            </w:r>
          </w:p>
        </w:tc>
        <w:tc>
          <w:tcPr>
            <w:tcW w:w="459" w:type="dxa"/>
            <w:shd w:val="clear" w:color="auto" w:fill="auto"/>
            <w:noWrap/>
            <w:vAlign w:val="center"/>
            <w:hideMark/>
          </w:tcPr>
          <w:p w14:paraId="2E160D5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5</w:t>
            </w:r>
          </w:p>
        </w:tc>
        <w:tc>
          <w:tcPr>
            <w:tcW w:w="634" w:type="dxa"/>
            <w:shd w:val="clear" w:color="auto" w:fill="auto"/>
            <w:noWrap/>
            <w:vAlign w:val="center"/>
            <w:hideMark/>
          </w:tcPr>
          <w:p w14:paraId="1F0B026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0.091</w:t>
            </w:r>
          </w:p>
        </w:tc>
        <w:tc>
          <w:tcPr>
            <w:tcW w:w="640" w:type="dxa"/>
            <w:shd w:val="clear" w:color="auto" w:fill="auto"/>
            <w:noWrap/>
            <w:vAlign w:val="center"/>
            <w:hideMark/>
          </w:tcPr>
          <w:p w14:paraId="0468C31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4210819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0E47BDC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45</w:t>
            </w:r>
          </w:p>
        </w:tc>
        <w:tc>
          <w:tcPr>
            <w:tcW w:w="494" w:type="dxa"/>
            <w:shd w:val="clear" w:color="auto" w:fill="auto"/>
            <w:noWrap/>
            <w:vAlign w:val="center"/>
            <w:hideMark/>
          </w:tcPr>
          <w:p w14:paraId="7148E2F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147E6B97" w14:textId="77777777" w:rsidTr="00593412">
        <w:trPr>
          <w:trHeight w:val="20"/>
        </w:trPr>
        <w:tc>
          <w:tcPr>
            <w:tcW w:w="1146" w:type="dxa"/>
            <w:shd w:val="clear" w:color="auto" w:fill="auto"/>
            <w:noWrap/>
            <w:vAlign w:val="center"/>
            <w:hideMark/>
          </w:tcPr>
          <w:p w14:paraId="4B8481AB"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356F64F9"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Brinkley</w:t>
            </w:r>
          </w:p>
        </w:tc>
        <w:tc>
          <w:tcPr>
            <w:tcW w:w="1021" w:type="dxa"/>
            <w:shd w:val="clear" w:color="000000" w:fill="auto"/>
            <w:noWrap/>
            <w:vAlign w:val="center"/>
            <w:hideMark/>
          </w:tcPr>
          <w:p w14:paraId="0D8174DC"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LE_NBS</w:t>
            </w:r>
          </w:p>
        </w:tc>
        <w:tc>
          <w:tcPr>
            <w:tcW w:w="973" w:type="dxa"/>
            <w:shd w:val="clear" w:color="auto" w:fill="auto"/>
            <w:noWrap/>
            <w:vAlign w:val="center"/>
            <w:hideMark/>
          </w:tcPr>
          <w:p w14:paraId="3A6CCB9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136.31</w:t>
            </w:r>
          </w:p>
        </w:tc>
        <w:tc>
          <w:tcPr>
            <w:tcW w:w="843" w:type="dxa"/>
            <w:shd w:val="clear" w:color="auto" w:fill="auto"/>
            <w:noWrap/>
            <w:vAlign w:val="center"/>
            <w:hideMark/>
          </w:tcPr>
          <w:p w14:paraId="7ACAB45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-28.50</w:t>
            </w:r>
          </w:p>
        </w:tc>
        <w:tc>
          <w:tcPr>
            <w:tcW w:w="459" w:type="dxa"/>
            <w:shd w:val="clear" w:color="auto" w:fill="auto"/>
            <w:noWrap/>
            <w:vAlign w:val="center"/>
            <w:hideMark/>
          </w:tcPr>
          <w:p w14:paraId="4D74998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4</w:t>
            </w:r>
          </w:p>
        </w:tc>
        <w:tc>
          <w:tcPr>
            <w:tcW w:w="634" w:type="dxa"/>
            <w:shd w:val="clear" w:color="auto" w:fill="auto"/>
            <w:noWrap/>
            <w:vAlign w:val="center"/>
            <w:hideMark/>
          </w:tcPr>
          <w:p w14:paraId="0D32FE6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0.080</w:t>
            </w:r>
          </w:p>
        </w:tc>
        <w:tc>
          <w:tcPr>
            <w:tcW w:w="640" w:type="dxa"/>
            <w:shd w:val="clear" w:color="auto" w:fill="auto"/>
            <w:noWrap/>
            <w:vAlign w:val="center"/>
            <w:hideMark/>
          </w:tcPr>
          <w:p w14:paraId="785682E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29E85DF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526A81C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11</w:t>
            </w:r>
          </w:p>
        </w:tc>
        <w:tc>
          <w:tcPr>
            <w:tcW w:w="494" w:type="dxa"/>
            <w:shd w:val="clear" w:color="auto" w:fill="auto"/>
            <w:noWrap/>
            <w:vAlign w:val="center"/>
            <w:hideMark/>
          </w:tcPr>
          <w:p w14:paraId="5B02C64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047E24BD" w14:textId="77777777" w:rsidTr="00593412">
        <w:trPr>
          <w:trHeight w:val="20"/>
        </w:trPr>
        <w:tc>
          <w:tcPr>
            <w:tcW w:w="1146" w:type="dxa"/>
            <w:shd w:val="clear" w:color="auto" w:fill="auto"/>
            <w:noWrap/>
            <w:vAlign w:val="center"/>
            <w:hideMark/>
          </w:tcPr>
          <w:p w14:paraId="50F23DBF"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7837A392"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Spring Hill</w:t>
            </w:r>
          </w:p>
        </w:tc>
        <w:tc>
          <w:tcPr>
            <w:tcW w:w="1021" w:type="dxa"/>
            <w:shd w:val="clear" w:color="000000" w:fill="auto"/>
            <w:noWrap/>
            <w:vAlign w:val="center"/>
            <w:hideMark/>
          </w:tcPr>
          <w:p w14:paraId="098B1A6B"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LE_NSH</w:t>
            </w:r>
          </w:p>
        </w:tc>
        <w:tc>
          <w:tcPr>
            <w:tcW w:w="973" w:type="dxa"/>
            <w:shd w:val="clear" w:color="auto" w:fill="auto"/>
            <w:noWrap/>
            <w:vAlign w:val="center"/>
            <w:hideMark/>
          </w:tcPr>
          <w:p w14:paraId="3881307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136.15</w:t>
            </w:r>
          </w:p>
        </w:tc>
        <w:tc>
          <w:tcPr>
            <w:tcW w:w="843" w:type="dxa"/>
            <w:shd w:val="clear" w:color="auto" w:fill="auto"/>
            <w:noWrap/>
            <w:vAlign w:val="center"/>
            <w:hideMark/>
          </w:tcPr>
          <w:p w14:paraId="4F2C5A6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-28.42</w:t>
            </w:r>
          </w:p>
        </w:tc>
        <w:tc>
          <w:tcPr>
            <w:tcW w:w="459" w:type="dxa"/>
            <w:shd w:val="clear" w:color="auto" w:fill="auto"/>
            <w:noWrap/>
            <w:vAlign w:val="center"/>
            <w:hideMark/>
          </w:tcPr>
          <w:p w14:paraId="73943AB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w:t>
            </w:r>
          </w:p>
        </w:tc>
        <w:tc>
          <w:tcPr>
            <w:tcW w:w="634" w:type="dxa"/>
            <w:shd w:val="clear" w:color="auto" w:fill="auto"/>
            <w:noWrap/>
            <w:vAlign w:val="center"/>
            <w:hideMark/>
          </w:tcPr>
          <w:p w14:paraId="189C710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0.078</w:t>
            </w:r>
          </w:p>
        </w:tc>
        <w:tc>
          <w:tcPr>
            <w:tcW w:w="640" w:type="dxa"/>
            <w:shd w:val="clear" w:color="auto" w:fill="auto"/>
            <w:noWrap/>
            <w:vAlign w:val="center"/>
            <w:hideMark/>
          </w:tcPr>
          <w:p w14:paraId="44A882B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0FAA8AC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1C9AE34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5</w:t>
            </w:r>
          </w:p>
        </w:tc>
        <w:tc>
          <w:tcPr>
            <w:tcW w:w="494" w:type="dxa"/>
            <w:shd w:val="clear" w:color="auto" w:fill="auto"/>
            <w:noWrap/>
            <w:vAlign w:val="center"/>
            <w:hideMark/>
          </w:tcPr>
          <w:p w14:paraId="7D0D5B8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44D6CF76" w14:textId="77777777" w:rsidTr="00593412">
        <w:trPr>
          <w:trHeight w:val="20"/>
        </w:trPr>
        <w:tc>
          <w:tcPr>
            <w:tcW w:w="1146" w:type="dxa"/>
            <w:shd w:val="clear" w:color="auto" w:fill="auto"/>
            <w:noWrap/>
            <w:vAlign w:val="center"/>
            <w:hideMark/>
          </w:tcPr>
          <w:p w14:paraId="76542B84"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16166463"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Emerald</w:t>
            </w:r>
          </w:p>
        </w:tc>
        <w:tc>
          <w:tcPr>
            <w:tcW w:w="1021" w:type="dxa"/>
            <w:shd w:val="clear" w:color="000000" w:fill="auto"/>
            <w:noWrap/>
            <w:vAlign w:val="center"/>
            <w:hideMark/>
          </w:tcPr>
          <w:p w14:paraId="7415E023"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LE_LES</w:t>
            </w:r>
          </w:p>
        </w:tc>
        <w:tc>
          <w:tcPr>
            <w:tcW w:w="973" w:type="dxa"/>
            <w:shd w:val="clear" w:color="auto" w:fill="auto"/>
            <w:noWrap/>
            <w:vAlign w:val="center"/>
            <w:hideMark/>
          </w:tcPr>
          <w:p w14:paraId="0644851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137.06</w:t>
            </w:r>
          </w:p>
        </w:tc>
        <w:tc>
          <w:tcPr>
            <w:tcW w:w="843" w:type="dxa"/>
            <w:shd w:val="clear" w:color="auto" w:fill="auto"/>
            <w:noWrap/>
            <w:vAlign w:val="center"/>
            <w:hideMark/>
          </w:tcPr>
          <w:p w14:paraId="0DB1BBD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-29.38</w:t>
            </w:r>
          </w:p>
        </w:tc>
        <w:tc>
          <w:tcPr>
            <w:tcW w:w="459" w:type="dxa"/>
            <w:shd w:val="clear" w:color="auto" w:fill="auto"/>
            <w:noWrap/>
            <w:vAlign w:val="center"/>
            <w:hideMark/>
          </w:tcPr>
          <w:p w14:paraId="767EDDD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4</w:t>
            </w:r>
          </w:p>
        </w:tc>
        <w:tc>
          <w:tcPr>
            <w:tcW w:w="634" w:type="dxa"/>
            <w:shd w:val="clear" w:color="auto" w:fill="auto"/>
            <w:noWrap/>
            <w:vAlign w:val="center"/>
            <w:hideMark/>
          </w:tcPr>
          <w:p w14:paraId="7C11AC0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0.071</w:t>
            </w:r>
          </w:p>
        </w:tc>
        <w:tc>
          <w:tcPr>
            <w:tcW w:w="640" w:type="dxa"/>
            <w:shd w:val="clear" w:color="auto" w:fill="auto"/>
            <w:noWrap/>
            <w:vAlign w:val="center"/>
            <w:hideMark/>
          </w:tcPr>
          <w:p w14:paraId="4D00FBB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39C60C8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7DDB577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w:t>
            </w:r>
          </w:p>
        </w:tc>
        <w:tc>
          <w:tcPr>
            <w:tcW w:w="494" w:type="dxa"/>
            <w:shd w:val="clear" w:color="auto" w:fill="auto"/>
            <w:noWrap/>
            <w:vAlign w:val="center"/>
            <w:hideMark/>
          </w:tcPr>
          <w:p w14:paraId="62B7EB9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3AC32C9D" w14:textId="77777777" w:rsidTr="00593412">
        <w:trPr>
          <w:trHeight w:val="20"/>
        </w:trPr>
        <w:tc>
          <w:tcPr>
            <w:tcW w:w="1146" w:type="dxa"/>
            <w:shd w:val="clear" w:color="auto" w:fill="auto"/>
            <w:noWrap/>
            <w:vAlign w:val="center"/>
            <w:hideMark/>
          </w:tcPr>
          <w:p w14:paraId="7FE1AB25"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0F6F9D03"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Big Cadna-owie</w:t>
            </w:r>
          </w:p>
        </w:tc>
        <w:tc>
          <w:tcPr>
            <w:tcW w:w="1021" w:type="dxa"/>
            <w:shd w:val="clear" w:color="000000" w:fill="auto"/>
            <w:noWrap/>
            <w:vAlign w:val="center"/>
            <w:hideMark/>
          </w:tcPr>
          <w:p w14:paraId="47E7253A"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LE_UBC</w:t>
            </w:r>
          </w:p>
        </w:tc>
        <w:tc>
          <w:tcPr>
            <w:tcW w:w="973" w:type="dxa"/>
            <w:shd w:val="clear" w:color="auto" w:fill="auto"/>
            <w:noWrap/>
            <w:vAlign w:val="center"/>
            <w:hideMark/>
          </w:tcPr>
          <w:p w14:paraId="098BF13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135.67</w:t>
            </w:r>
          </w:p>
        </w:tc>
        <w:tc>
          <w:tcPr>
            <w:tcW w:w="843" w:type="dxa"/>
            <w:shd w:val="clear" w:color="auto" w:fill="auto"/>
            <w:noWrap/>
            <w:vAlign w:val="center"/>
            <w:hideMark/>
          </w:tcPr>
          <w:p w14:paraId="58B0DDC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-27.86</w:t>
            </w:r>
          </w:p>
        </w:tc>
        <w:tc>
          <w:tcPr>
            <w:tcW w:w="459" w:type="dxa"/>
            <w:shd w:val="clear" w:color="auto" w:fill="auto"/>
            <w:noWrap/>
            <w:vAlign w:val="center"/>
            <w:hideMark/>
          </w:tcPr>
          <w:p w14:paraId="143A357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w:t>
            </w:r>
          </w:p>
        </w:tc>
        <w:tc>
          <w:tcPr>
            <w:tcW w:w="634" w:type="dxa"/>
            <w:shd w:val="clear" w:color="auto" w:fill="auto"/>
            <w:noWrap/>
            <w:vAlign w:val="center"/>
            <w:hideMark/>
          </w:tcPr>
          <w:p w14:paraId="1821622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0.065</w:t>
            </w:r>
          </w:p>
        </w:tc>
        <w:tc>
          <w:tcPr>
            <w:tcW w:w="640" w:type="dxa"/>
            <w:shd w:val="clear" w:color="auto" w:fill="auto"/>
            <w:noWrap/>
            <w:vAlign w:val="center"/>
            <w:hideMark/>
          </w:tcPr>
          <w:p w14:paraId="53BF692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7131E81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22A19BE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9</w:t>
            </w:r>
          </w:p>
        </w:tc>
        <w:tc>
          <w:tcPr>
            <w:tcW w:w="494" w:type="dxa"/>
            <w:shd w:val="clear" w:color="auto" w:fill="auto"/>
            <w:noWrap/>
            <w:vAlign w:val="center"/>
            <w:hideMark/>
          </w:tcPr>
          <w:p w14:paraId="2CE726A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2C7715A0" w14:textId="77777777" w:rsidTr="00593412">
        <w:trPr>
          <w:trHeight w:val="20"/>
        </w:trPr>
        <w:tc>
          <w:tcPr>
            <w:tcW w:w="1146" w:type="dxa"/>
            <w:shd w:val="clear" w:color="auto" w:fill="auto"/>
            <w:noWrap/>
            <w:vAlign w:val="center"/>
            <w:hideMark/>
          </w:tcPr>
          <w:p w14:paraId="6C93493E"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696DB0EE"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Dead Boy</w:t>
            </w:r>
          </w:p>
        </w:tc>
        <w:tc>
          <w:tcPr>
            <w:tcW w:w="1021" w:type="dxa"/>
            <w:shd w:val="clear" w:color="000000" w:fill="auto"/>
            <w:noWrap/>
            <w:vAlign w:val="center"/>
            <w:hideMark/>
          </w:tcPr>
          <w:p w14:paraId="30297965"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LE_HDB</w:t>
            </w:r>
          </w:p>
        </w:tc>
        <w:tc>
          <w:tcPr>
            <w:tcW w:w="973" w:type="dxa"/>
            <w:shd w:val="clear" w:color="auto" w:fill="auto"/>
            <w:noWrap/>
            <w:vAlign w:val="center"/>
            <w:hideMark/>
          </w:tcPr>
          <w:p w14:paraId="4222F6D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137.41</w:t>
            </w:r>
          </w:p>
        </w:tc>
        <w:tc>
          <w:tcPr>
            <w:tcW w:w="843" w:type="dxa"/>
            <w:shd w:val="clear" w:color="auto" w:fill="auto"/>
            <w:noWrap/>
            <w:vAlign w:val="center"/>
            <w:hideMark/>
          </w:tcPr>
          <w:p w14:paraId="5264D6E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-29.60</w:t>
            </w:r>
          </w:p>
        </w:tc>
        <w:tc>
          <w:tcPr>
            <w:tcW w:w="459" w:type="dxa"/>
            <w:shd w:val="clear" w:color="auto" w:fill="auto"/>
            <w:noWrap/>
            <w:vAlign w:val="center"/>
            <w:hideMark/>
          </w:tcPr>
          <w:p w14:paraId="0194F6E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4</w:t>
            </w:r>
          </w:p>
        </w:tc>
        <w:tc>
          <w:tcPr>
            <w:tcW w:w="634" w:type="dxa"/>
            <w:shd w:val="clear" w:color="auto" w:fill="auto"/>
            <w:noWrap/>
            <w:vAlign w:val="center"/>
            <w:hideMark/>
          </w:tcPr>
          <w:p w14:paraId="4AD071A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0.063</w:t>
            </w:r>
          </w:p>
        </w:tc>
        <w:tc>
          <w:tcPr>
            <w:tcW w:w="640" w:type="dxa"/>
            <w:shd w:val="clear" w:color="auto" w:fill="auto"/>
            <w:noWrap/>
            <w:vAlign w:val="center"/>
            <w:hideMark/>
          </w:tcPr>
          <w:p w14:paraId="39A4F1E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07E209B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059C35B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11</w:t>
            </w:r>
          </w:p>
        </w:tc>
        <w:tc>
          <w:tcPr>
            <w:tcW w:w="494" w:type="dxa"/>
            <w:shd w:val="clear" w:color="auto" w:fill="auto"/>
            <w:noWrap/>
            <w:vAlign w:val="center"/>
            <w:hideMark/>
          </w:tcPr>
          <w:p w14:paraId="54C5345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61B181C6" w14:textId="77777777" w:rsidTr="00593412">
        <w:trPr>
          <w:trHeight w:val="20"/>
        </w:trPr>
        <w:tc>
          <w:tcPr>
            <w:tcW w:w="1146" w:type="dxa"/>
            <w:shd w:val="clear" w:color="auto" w:fill="auto"/>
            <w:noWrap/>
            <w:vAlign w:val="center"/>
            <w:hideMark/>
          </w:tcPr>
          <w:p w14:paraId="6F85714A"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6D581FBD"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Birribiana</w:t>
            </w:r>
          </w:p>
        </w:tc>
        <w:tc>
          <w:tcPr>
            <w:tcW w:w="1021" w:type="dxa"/>
            <w:shd w:val="clear" w:color="000000" w:fill="auto"/>
            <w:noWrap/>
            <w:vAlign w:val="center"/>
            <w:hideMark/>
          </w:tcPr>
          <w:p w14:paraId="68C6793D"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LE_PBI</w:t>
            </w:r>
          </w:p>
        </w:tc>
        <w:tc>
          <w:tcPr>
            <w:tcW w:w="973" w:type="dxa"/>
            <w:shd w:val="clear" w:color="auto" w:fill="auto"/>
            <w:noWrap/>
            <w:vAlign w:val="center"/>
            <w:hideMark/>
          </w:tcPr>
          <w:p w14:paraId="2126027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135.71</w:t>
            </w:r>
          </w:p>
        </w:tc>
        <w:tc>
          <w:tcPr>
            <w:tcW w:w="843" w:type="dxa"/>
            <w:shd w:val="clear" w:color="auto" w:fill="auto"/>
            <w:noWrap/>
            <w:vAlign w:val="center"/>
            <w:hideMark/>
          </w:tcPr>
          <w:p w14:paraId="4A383E0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-28.21</w:t>
            </w:r>
          </w:p>
        </w:tc>
        <w:tc>
          <w:tcPr>
            <w:tcW w:w="459" w:type="dxa"/>
            <w:shd w:val="clear" w:color="auto" w:fill="auto"/>
            <w:noWrap/>
            <w:vAlign w:val="center"/>
            <w:hideMark/>
          </w:tcPr>
          <w:p w14:paraId="6AB08D5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w:t>
            </w:r>
          </w:p>
        </w:tc>
        <w:tc>
          <w:tcPr>
            <w:tcW w:w="634" w:type="dxa"/>
            <w:shd w:val="clear" w:color="auto" w:fill="auto"/>
            <w:noWrap/>
            <w:vAlign w:val="center"/>
            <w:hideMark/>
          </w:tcPr>
          <w:p w14:paraId="122B846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0.062</w:t>
            </w:r>
          </w:p>
        </w:tc>
        <w:tc>
          <w:tcPr>
            <w:tcW w:w="640" w:type="dxa"/>
            <w:shd w:val="clear" w:color="auto" w:fill="auto"/>
            <w:noWrap/>
            <w:vAlign w:val="center"/>
            <w:hideMark/>
          </w:tcPr>
          <w:p w14:paraId="2A81FFB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583BC2B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07AA631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w:t>
            </w:r>
          </w:p>
        </w:tc>
        <w:tc>
          <w:tcPr>
            <w:tcW w:w="494" w:type="dxa"/>
            <w:shd w:val="clear" w:color="auto" w:fill="auto"/>
            <w:noWrap/>
            <w:vAlign w:val="center"/>
            <w:hideMark/>
          </w:tcPr>
          <w:p w14:paraId="2EA7429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0204E0DC" w14:textId="77777777" w:rsidTr="00593412">
        <w:trPr>
          <w:trHeight w:val="20"/>
        </w:trPr>
        <w:tc>
          <w:tcPr>
            <w:tcW w:w="1146" w:type="dxa"/>
            <w:shd w:val="clear" w:color="auto" w:fill="auto"/>
            <w:noWrap/>
            <w:vAlign w:val="center"/>
            <w:hideMark/>
          </w:tcPr>
          <w:p w14:paraId="71CC859C"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4E2E951A"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Jersey</w:t>
            </w:r>
          </w:p>
        </w:tc>
        <w:tc>
          <w:tcPr>
            <w:tcW w:w="1021" w:type="dxa"/>
            <w:shd w:val="clear" w:color="000000" w:fill="auto"/>
            <w:noWrap/>
            <w:vAlign w:val="center"/>
            <w:hideMark/>
          </w:tcPr>
          <w:p w14:paraId="6C1AE1C8"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LE_CJE</w:t>
            </w:r>
          </w:p>
        </w:tc>
        <w:tc>
          <w:tcPr>
            <w:tcW w:w="973" w:type="dxa"/>
            <w:shd w:val="clear" w:color="auto" w:fill="auto"/>
            <w:noWrap/>
            <w:vAlign w:val="center"/>
            <w:hideMark/>
          </w:tcPr>
          <w:p w14:paraId="5E549F9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136.76</w:t>
            </w:r>
          </w:p>
        </w:tc>
        <w:tc>
          <w:tcPr>
            <w:tcW w:w="843" w:type="dxa"/>
            <w:shd w:val="clear" w:color="auto" w:fill="auto"/>
            <w:noWrap/>
            <w:vAlign w:val="center"/>
            <w:hideMark/>
          </w:tcPr>
          <w:p w14:paraId="6F7BD12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-29.34</w:t>
            </w:r>
          </w:p>
        </w:tc>
        <w:tc>
          <w:tcPr>
            <w:tcW w:w="459" w:type="dxa"/>
            <w:shd w:val="clear" w:color="auto" w:fill="auto"/>
            <w:noWrap/>
            <w:vAlign w:val="center"/>
            <w:hideMark/>
          </w:tcPr>
          <w:p w14:paraId="7C13A8D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8</w:t>
            </w:r>
          </w:p>
        </w:tc>
        <w:tc>
          <w:tcPr>
            <w:tcW w:w="634" w:type="dxa"/>
            <w:shd w:val="clear" w:color="auto" w:fill="auto"/>
            <w:noWrap/>
            <w:vAlign w:val="center"/>
            <w:hideMark/>
          </w:tcPr>
          <w:p w14:paraId="1940709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0.050</w:t>
            </w:r>
          </w:p>
        </w:tc>
        <w:tc>
          <w:tcPr>
            <w:tcW w:w="640" w:type="dxa"/>
            <w:shd w:val="clear" w:color="auto" w:fill="auto"/>
            <w:noWrap/>
            <w:vAlign w:val="center"/>
            <w:hideMark/>
          </w:tcPr>
          <w:p w14:paraId="582CCEF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9</w:t>
            </w:r>
          </w:p>
        </w:tc>
        <w:tc>
          <w:tcPr>
            <w:tcW w:w="522" w:type="dxa"/>
            <w:shd w:val="clear" w:color="auto" w:fill="auto"/>
            <w:noWrap/>
            <w:vAlign w:val="center"/>
            <w:hideMark/>
          </w:tcPr>
          <w:p w14:paraId="4A0BA4D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3BC02CF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shd w:val="clear" w:color="auto" w:fill="auto"/>
            <w:noWrap/>
            <w:vAlign w:val="center"/>
            <w:hideMark/>
          </w:tcPr>
          <w:p w14:paraId="5689DD8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4ECEF819" w14:textId="77777777" w:rsidTr="00593412">
        <w:trPr>
          <w:trHeight w:val="20"/>
        </w:trPr>
        <w:tc>
          <w:tcPr>
            <w:tcW w:w="1146" w:type="dxa"/>
            <w:shd w:val="clear" w:color="auto" w:fill="auto"/>
            <w:noWrap/>
            <w:vAlign w:val="center"/>
            <w:hideMark/>
          </w:tcPr>
          <w:p w14:paraId="103316B7"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12FB2634"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Elizabeth North</w:t>
            </w:r>
          </w:p>
        </w:tc>
        <w:tc>
          <w:tcPr>
            <w:tcW w:w="1021" w:type="dxa"/>
            <w:shd w:val="clear" w:color="000000" w:fill="auto"/>
            <w:noWrap/>
            <w:vAlign w:val="center"/>
            <w:hideMark/>
          </w:tcPr>
          <w:p w14:paraId="47F55A74"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LE_CEN</w:t>
            </w:r>
          </w:p>
        </w:tc>
        <w:tc>
          <w:tcPr>
            <w:tcW w:w="973" w:type="dxa"/>
            <w:shd w:val="clear" w:color="auto" w:fill="auto"/>
            <w:noWrap/>
            <w:vAlign w:val="center"/>
            <w:hideMark/>
          </w:tcPr>
          <w:p w14:paraId="2A9BEB8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136.77</w:t>
            </w:r>
          </w:p>
        </w:tc>
        <w:tc>
          <w:tcPr>
            <w:tcW w:w="843" w:type="dxa"/>
            <w:shd w:val="clear" w:color="auto" w:fill="auto"/>
            <w:noWrap/>
            <w:vAlign w:val="center"/>
            <w:hideMark/>
          </w:tcPr>
          <w:p w14:paraId="3AA6AC2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-29.35</w:t>
            </w:r>
          </w:p>
        </w:tc>
        <w:tc>
          <w:tcPr>
            <w:tcW w:w="459" w:type="dxa"/>
            <w:shd w:val="clear" w:color="auto" w:fill="auto"/>
            <w:noWrap/>
            <w:vAlign w:val="center"/>
            <w:hideMark/>
          </w:tcPr>
          <w:p w14:paraId="27260F8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8</w:t>
            </w:r>
          </w:p>
        </w:tc>
        <w:tc>
          <w:tcPr>
            <w:tcW w:w="634" w:type="dxa"/>
            <w:shd w:val="clear" w:color="auto" w:fill="auto"/>
            <w:noWrap/>
            <w:vAlign w:val="center"/>
            <w:hideMark/>
          </w:tcPr>
          <w:p w14:paraId="7A2FA2C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0.050</w:t>
            </w:r>
          </w:p>
        </w:tc>
        <w:tc>
          <w:tcPr>
            <w:tcW w:w="640" w:type="dxa"/>
            <w:shd w:val="clear" w:color="auto" w:fill="auto"/>
            <w:noWrap/>
            <w:vAlign w:val="center"/>
            <w:hideMark/>
          </w:tcPr>
          <w:p w14:paraId="1085D27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179</w:t>
            </w:r>
          </w:p>
        </w:tc>
        <w:tc>
          <w:tcPr>
            <w:tcW w:w="522" w:type="dxa"/>
            <w:shd w:val="clear" w:color="auto" w:fill="auto"/>
            <w:noWrap/>
            <w:vAlign w:val="center"/>
            <w:hideMark/>
          </w:tcPr>
          <w:p w14:paraId="78E6FA9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5029306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shd w:val="clear" w:color="auto" w:fill="auto"/>
            <w:noWrap/>
            <w:vAlign w:val="center"/>
            <w:hideMark/>
          </w:tcPr>
          <w:p w14:paraId="5732B17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10C5CBBC" w14:textId="77777777" w:rsidTr="00593412">
        <w:trPr>
          <w:trHeight w:val="20"/>
        </w:trPr>
        <w:tc>
          <w:tcPr>
            <w:tcW w:w="1146" w:type="dxa"/>
            <w:shd w:val="clear" w:color="auto" w:fill="auto"/>
            <w:noWrap/>
            <w:vAlign w:val="center"/>
            <w:hideMark/>
          </w:tcPr>
          <w:p w14:paraId="7510B710"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lastRenderedPageBreak/>
              <w:t>Lake Eyre</w:t>
            </w:r>
          </w:p>
        </w:tc>
        <w:tc>
          <w:tcPr>
            <w:tcW w:w="1531" w:type="dxa"/>
            <w:shd w:val="clear" w:color="auto" w:fill="auto"/>
            <w:noWrap/>
            <w:vAlign w:val="center"/>
            <w:hideMark/>
          </w:tcPr>
          <w:p w14:paraId="1D4BD4CE"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Mt Hamilton Ruin</w:t>
            </w:r>
          </w:p>
        </w:tc>
        <w:tc>
          <w:tcPr>
            <w:tcW w:w="1021" w:type="dxa"/>
            <w:shd w:val="clear" w:color="000000" w:fill="auto"/>
            <w:noWrap/>
            <w:vAlign w:val="center"/>
            <w:hideMark/>
          </w:tcPr>
          <w:p w14:paraId="012F9D36"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LE_CMH</w:t>
            </w:r>
          </w:p>
        </w:tc>
        <w:tc>
          <w:tcPr>
            <w:tcW w:w="973" w:type="dxa"/>
            <w:shd w:val="clear" w:color="auto" w:fill="auto"/>
            <w:noWrap/>
            <w:vAlign w:val="center"/>
            <w:hideMark/>
          </w:tcPr>
          <w:p w14:paraId="1AAEC0D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136.90</w:t>
            </w:r>
          </w:p>
        </w:tc>
        <w:tc>
          <w:tcPr>
            <w:tcW w:w="843" w:type="dxa"/>
            <w:shd w:val="clear" w:color="auto" w:fill="auto"/>
            <w:noWrap/>
            <w:vAlign w:val="center"/>
            <w:hideMark/>
          </w:tcPr>
          <w:p w14:paraId="3D28AFA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-29.49</w:t>
            </w:r>
          </w:p>
        </w:tc>
        <w:tc>
          <w:tcPr>
            <w:tcW w:w="459" w:type="dxa"/>
            <w:shd w:val="clear" w:color="auto" w:fill="auto"/>
            <w:noWrap/>
            <w:vAlign w:val="center"/>
            <w:hideMark/>
          </w:tcPr>
          <w:p w14:paraId="5CE6895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w:t>
            </w:r>
          </w:p>
        </w:tc>
        <w:tc>
          <w:tcPr>
            <w:tcW w:w="634" w:type="dxa"/>
            <w:shd w:val="clear" w:color="auto" w:fill="auto"/>
            <w:noWrap/>
            <w:vAlign w:val="center"/>
            <w:hideMark/>
          </w:tcPr>
          <w:p w14:paraId="132ED81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0.048</w:t>
            </w:r>
          </w:p>
        </w:tc>
        <w:tc>
          <w:tcPr>
            <w:tcW w:w="640" w:type="dxa"/>
            <w:shd w:val="clear" w:color="auto" w:fill="auto"/>
            <w:noWrap/>
            <w:vAlign w:val="center"/>
            <w:hideMark/>
          </w:tcPr>
          <w:p w14:paraId="0723F6B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522" w:type="dxa"/>
            <w:shd w:val="clear" w:color="auto" w:fill="auto"/>
            <w:noWrap/>
            <w:vAlign w:val="center"/>
            <w:hideMark/>
          </w:tcPr>
          <w:p w14:paraId="09BDA67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4BA751E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shd w:val="clear" w:color="auto" w:fill="auto"/>
            <w:noWrap/>
            <w:vAlign w:val="center"/>
            <w:hideMark/>
          </w:tcPr>
          <w:p w14:paraId="6CFF149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3147C20F" w14:textId="77777777" w:rsidTr="00593412">
        <w:trPr>
          <w:trHeight w:val="20"/>
        </w:trPr>
        <w:tc>
          <w:tcPr>
            <w:tcW w:w="1146" w:type="dxa"/>
            <w:shd w:val="clear" w:color="auto" w:fill="auto"/>
            <w:noWrap/>
            <w:vAlign w:val="center"/>
            <w:hideMark/>
          </w:tcPr>
          <w:p w14:paraId="0F25ADE9"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338D897B"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Blanche Cup</w:t>
            </w:r>
          </w:p>
        </w:tc>
        <w:tc>
          <w:tcPr>
            <w:tcW w:w="1021" w:type="dxa"/>
            <w:shd w:val="clear" w:color="000000" w:fill="auto"/>
            <w:noWrap/>
            <w:vAlign w:val="center"/>
            <w:hideMark/>
          </w:tcPr>
          <w:p w14:paraId="57DFF23F"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LE_CBC</w:t>
            </w:r>
          </w:p>
        </w:tc>
        <w:tc>
          <w:tcPr>
            <w:tcW w:w="973" w:type="dxa"/>
            <w:shd w:val="clear" w:color="auto" w:fill="auto"/>
            <w:noWrap/>
            <w:vAlign w:val="center"/>
            <w:hideMark/>
          </w:tcPr>
          <w:p w14:paraId="455D4E6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136.87</w:t>
            </w:r>
          </w:p>
        </w:tc>
        <w:tc>
          <w:tcPr>
            <w:tcW w:w="843" w:type="dxa"/>
            <w:shd w:val="clear" w:color="auto" w:fill="auto"/>
            <w:noWrap/>
            <w:vAlign w:val="center"/>
            <w:hideMark/>
          </w:tcPr>
          <w:p w14:paraId="279688E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-29.45</w:t>
            </w:r>
          </w:p>
        </w:tc>
        <w:tc>
          <w:tcPr>
            <w:tcW w:w="459" w:type="dxa"/>
            <w:shd w:val="clear" w:color="auto" w:fill="auto"/>
            <w:noWrap/>
            <w:vAlign w:val="center"/>
            <w:hideMark/>
          </w:tcPr>
          <w:p w14:paraId="550E256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8</w:t>
            </w:r>
          </w:p>
        </w:tc>
        <w:tc>
          <w:tcPr>
            <w:tcW w:w="634" w:type="dxa"/>
            <w:shd w:val="clear" w:color="auto" w:fill="auto"/>
            <w:noWrap/>
            <w:vAlign w:val="center"/>
            <w:hideMark/>
          </w:tcPr>
          <w:p w14:paraId="1ABE08C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0.046</w:t>
            </w:r>
          </w:p>
        </w:tc>
        <w:tc>
          <w:tcPr>
            <w:tcW w:w="640" w:type="dxa"/>
            <w:shd w:val="clear" w:color="auto" w:fill="auto"/>
            <w:noWrap/>
            <w:vAlign w:val="center"/>
            <w:hideMark/>
          </w:tcPr>
          <w:p w14:paraId="0763C01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20</w:t>
            </w:r>
          </w:p>
        </w:tc>
        <w:tc>
          <w:tcPr>
            <w:tcW w:w="522" w:type="dxa"/>
            <w:shd w:val="clear" w:color="auto" w:fill="auto"/>
            <w:noWrap/>
            <w:vAlign w:val="center"/>
            <w:hideMark/>
          </w:tcPr>
          <w:p w14:paraId="18CE021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3233C36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shd w:val="clear" w:color="auto" w:fill="auto"/>
            <w:noWrap/>
            <w:vAlign w:val="center"/>
            <w:hideMark/>
          </w:tcPr>
          <w:p w14:paraId="06DB974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4D83123D" w14:textId="77777777" w:rsidTr="00593412">
        <w:trPr>
          <w:trHeight w:val="20"/>
        </w:trPr>
        <w:tc>
          <w:tcPr>
            <w:tcW w:w="1146" w:type="dxa"/>
            <w:shd w:val="clear" w:color="auto" w:fill="auto"/>
            <w:noWrap/>
            <w:vAlign w:val="center"/>
            <w:hideMark/>
          </w:tcPr>
          <w:p w14:paraId="28EC7A90"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1326BA3C"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Finniss Well</w:t>
            </w:r>
          </w:p>
        </w:tc>
        <w:tc>
          <w:tcPr>
            <w:tcW w:w="1021" w:type="dxa"/>
            <w:shd w:val="clear" w:color="000000" w:fill="auto"/>
            <w:noWrap/>
            <w:vAlign w:val="center"/>
            <w:hideMark/>
          </w:tcPr>
          <w:p w14:paraId="4FC3540E"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LE_HFL</w:t>
            </w:r>
          </w:p>
        </w:tc>
        <w:tc>
          <w:tcPr>
            <w:tcW w:w="973" w:type="dxa"/>
            <w:shd w:val="clear" w:color="auto" w:fill="auto"/>
            <w:noWrap/>
            <w:vAlign w:val="center"/>
            <w:hideMark/>
          </w:tcPr>
          <w:p w14:paraId="137C892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137.47</w:t>
            </w:r>
          </w:p>
        </w:tc>
        <w:tc>
          <w:tcPr>
            <w:tcW w:w="843" w:type="dxa"/>
            <w:shd w:val="clear" w:color="auto" w:fill="auto"/>
            <w:noWrap/>
            <w:vAlign w:val="center"/>
            <w:hideMark/>
          </w:tcPr>
          <w:p w14:paraId="2BA5B45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-29.58</w:t>
            </w:r>
          </w:p>
        </w:tc>
        <w:tc>
          <w:tcPr>
            <w:tcW w:w="459" w:type="dxa"/>
            <w:shd w:val="clear" w:color="auto" w:fill="auto"/>
            <w:noWrap/>
            <w:vAlign w:val="center"/>
            <w:hideMark/>
          </w:tcPr>
          <w:p w14:paraId="0F04696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3</w:t>
            </w:r>
          </w:p>
        </w:tc>
        <w:tc>
          <w:tcPr>
            <w:tcW w:w="634" w:type="dxa"/>
            <w:shd w:val="clear" w:color="auto" w:fill="auto"/>
            <w:noWrap/>
            <w:vAlign w:val="center"/>
            <w:hideMark/>
          </w:tcPr>
          <w:p w14:paraId="374BD78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0.041</w:t>
            </w:r>
          </w:p>
        </w:tc>
        <w:tc>
          <w:tcPr>
            <w:tcW w:w="640" w:type="dxa"/>
            <w:shd w:val="clear" w:color="auto" w:fill="auto"/>
            <w:noWrap/>
            <w:vAlign w:val="center"/>
            <w:hideMark/>
          </w:tcPr>
          <w:p w14:paraId="73972FD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0A139CA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2D6E9B0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494" w:type="dxa"/>
            <w:shd w:val="clear" w:color="auto" w:fill="auto"/>
            <w:noWrap/>
            <w:vAlign w:val="center"/>
            <w:hideMark/>
          </w:tcPr>
          <w:p w14:paraId="073D160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0AA48D54" w14:textId="77777777" w:rsidTr="00593412">
        <w:trPr>
          <w:trHeight w:val="20"/>
        </w:trPr>
        <w:tc>
          <w:tcPr>
            <w:tcW w:w="1146" w:type="dxa"/>
            <w:shd w:val="clear" w:color="auto" w:fill="auto"/>
            <w:noWrap/>
            <w:vAlign w:val="center"/>
            <w:hideMark/>
          </w:tcPr>
          <w:p w14:paraId="385F8620"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43A95CE8"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Wangianna</w:t>
            </w:r>
          </w:p>
        </w:tc>
        <w:tc>
          <w:tcPr>
            <w:tcW w:w="1021" w:type="dxa"/>
            <w:shd w:val="clear" w:color="000000" w:fill="auto"/>
            <w:noWrap/>
            <w:vAlign w:val="center"/>
            <w:hideMark/>
          </w:tcPr>
          <w:p w14:paraId="535DFD9B"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LE_WWA</w:t>
            </w:r>
          </w:p>
        </w:tc>
        <w:tc>
          <w:tcPr>
            <w:tcW w:w="973" w:type="dxa"/>
            <w:shd w:val="clear" w:color="auto" w:fill="auto"/>
            <w:noWrap/>
            <w:vAlign w:val="center"/>
            <w:hideMark/>
          </w:tcPr>
          <w:p w14:paraId="57D70E8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137.71</w:t>
            </w:r>
          </w:p>
        </w:tc>
        <w:tc>
          <w:tcPr>
            <w:tcW w:w="843" w:type="dxa"/>
            <w:shd w:val="clear" w:color="auto" w:fill="auto"/>
            <w:noWrap/>
            <w:vAlign w:val="center"/>
            <w:hideMark/>
          </w:tcPr>
          <w:p w14:paraId="70554E7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-29.67</w:t>
            </w:r>
          </w:p>
        </w:tc>
        <w:tc>
          <w:tcPr>
            <w:tcW w:w="459" w:type="dxa"/>
            <w:shd w:val="clear" w:color="auto" w:fill="auto"/>
            <w:noWrap/>
            <w:vAlign w:val="center"/>
            <w:hideMark/>
          </w:tcPr>
          <w:p w14:paraId="13B0545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3</w:t>
            </w:r>
          </w:p>
        </w:tc>
        <w:tc>
          <w:tcPr>
            <w:tcW w:w="634" w:type="dxa"/>
            <w:shd w:val="clear" w:color="auto" w:fill="auto"/>
            <w:noWrap/>
            <w:vAlign w:val="center"/>
            <w:hideMark/>
          </w:tcPr>
          <w:p w14:paraId="6EA08C7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0.040</w:t>
            </w:r>
          </w:p>
        </w:tc>
        <w:tc>
          <w:tcPr>
            <w:tcW w:w="640" w:type="dxa"/>
            <w:shd w:val="clear" w:color="auto" w:fill="auto"/>
            <w:noWrap/>
            <w:vAlign w:val="center"/>
            <w:hideMark/>
          </w:tcPr>
          <w:p w14:paraId="2039523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5213455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485914F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8</w:t>
            </w:r>
          </w:p>
        </w:tc>
        <w:tc>
          <w:tcPr>
            <w:tcW w:w="494" w:type="dxa"/>
            <w:shd w:val="clear" w:color="auto" w:fill="auto"/>
            <w:noWrap/>
            <w:vAlign w:val="center"/>
            <w:hideMark/>
          </w:tcPr>
          <w:p w14:paraId="1C87390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017D498F" w14:textId="77777777" w:rsidTr="00593412">
        <w:trPr>
          <w:trHeight w:val="20"/>
        </w:trPr>
        <w:tc>
          <w:tcPr>
            <w:tcW w:w="1146" w:type="dxa"/>
            <w:shd w:val="clear" w:color="auto" w:fill="auto"/>
            <w:noWrap/>
            <w:vAlign w:val="center"/>
            <w:hideMark/>
          </w:tcPr>
          <w:p w14:paraId="65CE8EAE"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404487C5"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Elizabeth South</w:t>
            </w:r>
          </w:p>
        </w:tc>
        <w:tc>
          <w:tcPr>
            <w:tcW w:w="1021" w:type="dxa"/>
            <w:shd w:val="clear" w:color="000000" w:fill="auto"/>
            <w:noWrap/>
            <w:vAlign w:val="center"/>
            <w:hideMark/>
          </w:tcPr>
          <w:p w14:paraId="20197340"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LE_CEL</w:t>
            </w:r>
          </w:p>
        </w:tc>
        <w:tc>
          <w:tcPr>
            <w:tcW w:w="973" w:type="dxa"/>
            <w:shd w:val="clear" w:color="auto" w:fill="auto"/>
            <w:noWrap/>
            <w:vAlign w:val="center"/>
            <w:hideMark/>
          </w:tcPr>
          <w:p w14:paraId="0B671A3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136.78</w:t>
            </w:r>
          </w:p>
        </w:tc>
        <w:tc>
          <w:tcPr>
            <w:tcW w:w="843" w:type="dxa"/>
            <w:shd w:val="clear" w:color="auto" w:fill="auto"/>
            <w:noWrap/>
            <w:vAlign w:val="center"/>
            <w:hideMark/>
          </w:tcPr>
          <w:p w14:paraId="0D64AFA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-29.36</w:t>
            </w:r>
          </w:p>
        </w:tc>
        <w:tc>
          <w:tcPr>
            <w:tcW w:w="459" w:type="dxa"/>
            <w:shd w:val="clear" w:color="auto" w:fill="auto"/>
            <w:noWrap/>
            <w:vAlign w:val="center"/>
            <w:hideMark/>
          </w:tcPr>
          <w:p w14:paraId="6AB2878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7</w:t>
            </w:r>
          </w:p>
        </w:tc>
        <w:tc>
          <w:tcPr>
            <w:tcW w:w="634" w:type="dxa"/>
            <w:shd w:val="clear" w:color="auto" w:fill="auto"/>
            <w:noWrap/>
            <w:vAlign w:val="center"/>
            <w:hideMark/>
          </w:tcPr>
          <w:p w14:paraId="5E074B2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0.039</w:t>
            </w:r>
          </w:p>
        </w:tc>
        <w:tc>
          <w:tcPr>
            <w:tcW w:w="640" w:type="dxa"/>
            <w:shd w:val="clear" w:color="auto" w:fill="auto"/>
            <w:noWrap/>
            <w:vAlign w:val="center"/>
            <w:hideMark/>
          </w:tcPr>
          <w:p w14:paraId="58DAAE3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76</w:t>
            </w:r>
          </w:p>
        </w:tc>
        <w:tc>
          <w:tcPr>
            <w:tcW w:w="522" w:type="dxa"/>
            <w:shd w:val="clear" w:color="auto" w:fill="auto"/>
            <w:noWrap/>
            <w:vAlign w:val="center"/>
            <w:hideMark/>
          </w:tcPr>
          <w:p w14:paraId="585B7EA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4915B4D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shd w:val="clear" w:color="auto" w:fill="auto"/>
            <w:noWrap/>
            <w:vAlign w:val="center"/>
            <w:hideMark/>
          </w:tcPr>
          <w:p w14:paraId="60C85BF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487765D7" w14:textId="77777777" w:rsidTr="00593412">
        <w:trPr>
          <w:trHeight w:val="20"/>
        </w:trPr>
        <w:tc>
          <w:tcPr>
            <w:tcW w:w="1146" w:type="dxa"/>
            <w:shd w:val="clear" w:color="auto" w:fill="auto"/>
            <w:noWrap/>
            <w:vAlign w:val="center"/>
            <w:hideMark/>
          </w:tcPr>
          <w:p w14:paraId="3E7BAE38"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29D767D3"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Horse East</w:t>
            </w:r>
          </w:p>
        </w:tc>
        <w:tc>
          <w:tcPr>
            <w:tcW w:w="1021" w:type="dxa"/>
            <w:shd w:val="clear" w:color="000000" w:fill="auto"/>
            <w:noWrap/>
            <w:vAlign w:val="center"/>
            <w:hideMark/>
          </w:tcPr>
          <w:p w14:paraId="47B6C18C"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LE_CHE</w:t>
            </w:r>
          </w:p>
        </w:tc>
        <w:tc>
          <w:tcPr>
            <w:tcW w:w="973" w:type="dxa"/>
            <w:shd w:val="clear" w:color="auto" w:fill="auto"/>
            <w:noWrap/>
            <w:vAlign w:val="center"/>
            <w:hideMark/>
          </w:tcPr>
          <w:p w14:paraId="492C050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136.92</w:t>
            </w:r>
          </w:p>
        </w:tc>
        <w:tc>
          <w:tcPr>
            <w:tcW w:w="843" w:type="dxa"/>
            <w:shd w:val="clear" w:color="auto" w:fill="auto"/>
            <w:noWrap/>
            <w:vAlign w:val="center"/>
            <w:hideMark/>
          </w:tcPr>
          <w:p w14:paraId="38C9D05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-29.49</w:t>
            </w:r>
          </w:p>
        </w:tc>
        <w:tc>
          <w:tcPr>
            <w:tcW w:w="459" w:type="dxa"/>
            <w:shd w:val="clear" w:color="auto" w:fill="auto"/>
            <w:noWrap/>
            <w:vAlign w:val="center"/>
            <w:hideMark/>
          </w:tcPr>
          <w:p w14:paraId="314A313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7</w:t>
            </w:r>
          </w:p>
        </w:tc>
        <w:tc>
          <w:tcPr>
            <w:tcW w:w="634" w:type="dxa"/>
            <w:shd w:val="clear" w:color="auto" w:fill="auto"/>
            <w:noWrap/>
            <w:vAlign w:val="center"/>
            <w:hideMark/>
          </w:tcPr>
          <w:p w14:paraId="064EA06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0.037</w:t>
            </w:r>
          </w:p>
        </w:tc>
        <w:tc>
          <w:tcPr>
            <w:tcW w:w="640" w:type="dxa"/>
            <w:shd w:val="clear" w:color="auto" w:fill="auto"/>
            <w:noWrap/>
            <w:vAlign w:val="center"/>
            <w:hideMark/>
          </w:tcPr>
          <w:p w14:paraId="116CB40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6</w:t>
            </w:r>
          </w:p>
        </w:tc>
        <w:tc>
          <w:tcPr>
            <w:tcW w:w="522" w:type="dxa"/>
            <w:shd w:val="clear" w:color="auto" w:fill="auto"/>
            <w:noWrap/>
            <w:vAlign w:val="center"/>
            <w:hideMark/>
          </w:tcPr>
          <w:p w14:paraId="1243999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4667BA9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shd w:val="clear" w:color="auto" w:fill="auto"/>
            <w:noWrap/>
            <w:vAlign w:val="center"/>
            <w:hideMark/>
          </w:tcPr>
          <w:p w14:paraId="146D844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1E45E135" w14:textId="77777777" w:rsidTr="00593412">
        <w:trPr>
          <w:trHeight w:val="20"/>
        </w:trPr>
        <w:tc>
          <w:tcPr>
            <w:tcW w:w="1146" w:type="dxa"/>
            <w:shd w:val="clear" w:color="auto" w:fill="auto"/>
            <w:noWrap/>
            <w:vAlign w:val="center"/>
            <w:hideMark/>
          </w:tcPr>
          <w:p w14:paraId="278AB3BC"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0F1E09D8"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Emily</w:t>
            </w:r>
          </w:p>
        </w:tc>
        <w:tc>
          <w:tcPr>
            <w:tcW w:w="1021" w:type="dxa"/>
            <w:shd w:val="clear" w:color="000000" w:fill="auto"/>
            <w:noWrap/>
            <w:vAlign w:val="center"/>
            <w:hideMark/>
          </w:tcPr>
          <w:p w14:paraId="0E6C4F15"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LE_FES</w:t>
            </w:r>
          </w:p>
        </w:tc>
        <w:tc>
          <w:tcPr>
            <w:tcW w:w="973" w:type="dxa"/>
            <w:shd w:val="clear" w:color="auto" w:fill="auto"/>
            <w:noWrap/>
            <w:vAlign w:val="center"/>
            <w:hideMark/>
          </w:tcPr>
          <w:p w14:paraId="6C22812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136.40</w:t>
            </w:r>
          </w:p>
        </w:tc>
        <w:tc>
          <w:tcPr>
            <w:tcW w:w="843" w:type="dxa"/>
            <w:shd w:val="clear" w:color="auto" w:fill="auto"/>
            <w:noWrap/>
            <w:vAlign w:val="center"/>
            <w:hideMark/>
          </w:tcPr>
          <w:p w14:paraId="02C20C5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-29.04</w:t>
            </w:r>
          </w:p>
        </w:tc>
        <w:tc>
          <w:tcPr>
            <w:tcW w:w="459" w:type="dxa"/>
            <w:shd w:val="clear" w:color="auto" w:fill="auto"/>
            <w:noWrap/>
            <w:vAlign w:val="center"/>
            <w:hideMark/>
          </w:tcPr>
          <w:p w14:paraId="6961190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w:t>
            </w:r>
          </w:p>
        </w:tc>
        <w:tc>
          <w:tcPr>
            <w:tcW w:w="634" w:type="dxa"/>
            <w:shd w:val="clear" w:color="auto" w:fill="auto"/>
            <w:noWrap/>
            <w:vAlign w:val="center"/>
            <w:hideMark/>
          </w:tcPr>
          <w:p w14:paraId="4D0A528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0.036</w:t>
            </w:r>
          </w:p>
        </w:tc>
        <w:tc>
          <w:tcPr>
            <w:tcW w:w="640" w:type="dxa"/>
            <w:shd w:val="clear" w:color="auto" w:fill="auto"/>
            <w:noWrap/>
            <w:vAlign w:val="center"/>
            <w:hideMark/>
          </w:tcPr>
          <w:p w14:paraId="200CD0D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26B5CDF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27AB0CC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3</w:t>
            </w:r>
          </w:p>
        </w:tc>
        <w:tc>
          <w:tcPr>
            <w:tcW w:w="494" w:type="dxa"/>
            <w:shd w:val="clear" w:color="auto" w:fill="auto"/>
            <w:noWrap/>
            <w:vAlign w:val="center"/>
            <w:hideMark/>
          </w:tcPr>
          <w:p w14:paraId="6815901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1030019F" w14:textId="77777777" w:rsidTr="00593412">
        <w:trPr>
          <w:trHeight w:val="20"/>
        </w:trPr>
        <w:tc>
          <w:tcPr>
            <w:tcW w:w="1146" w:type="dxa"/>
            <w:shd w:val="clear" w:color="auto" w:fill="auto"/>
            <w:noWrap/>
            <w:vAlign w:val="center"/>
            <w:hideMark/>
          </w:tcPr>
          <w:p w14:paraId="79DD64B9"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3D6E0F6F"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Horse West</w:t>
            </w:r>
          </w:p>
        </w:tc>
        <w:tc>
          <w:tcPr>
            <w:tcW w:w="1021" w:type="dxa"/>
            <w:shd w:val="clear" w:color="000000" w:fill="auto"/>
            <w:noWrap/>
            <w:vAlign w:val="center"/>
            <w:hideMark/>
          </w:tcPr>
          <w:p w14:paraId="4252E37A"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LE_CHW</w:t>
            </w:r>
          </w:p>
        </w:tc>
        <w:tc>
          <w:tcPr>
            <w:tcW w:w="973" w:type="dxa"/>
            <w:shd w:val="clear" w:color="auto" w:fill="auto"/>
            <w:noWrap/>
            <w:vAlign w:val="center"/>
            <w:hideMark/>
          </w:tcPr>
          <w:p w14:paraId="00ED841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136.91</w:t>
            </w:r>
          </w:p>
        </w:tc>
        <w:tc>
          <w:tcPr>
            <w:tcW w:w="843" w:type="dxa"/>
            <w:shd w:val="clear" w:color="auto" w:fill="auto"/>
            <w:noWrap/>
            <w:vAlign w:val="center"/>
            <w:hideMark/>
          </w:tcPr>
          <w:p w14:paraId="32F1CFE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-29.49</w:t>
            </w:r>
          </w:p>
        </w:tc>
        <w:tc>
          <w:tcPr>
            <w:tcW w:w="459" w:type="dxa"/>
            <w:shd w:val="clear" w:color="auto" w:fill="auto"/>
            <w:noWrap/>
            <w:vAlign w:val="center"/>
            <w:hideMark/>
          </w:tcPr>
          <w:p w14:paraId="01C1D7C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6</w:t>
            </w:r>
          </w:p>
        </w:tc>
        <w:tc>
          <w:tcPr>
            <w:tcW w:w="634" w:type="dxa"/>
            <w:shd w:val="clear" w:color="auto" w:fill="auto"/>
            <w:noWrap/>
            <w:vAlign w:val="center"/>
            <w:hideMark/>
          </w:tcPr>
          <w:p w14:paraId="048043E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0.030</w:t>
            </w:r>
          </w:p>
        </w:tc>
        <w:tc>
          <w:tcPr>
            <w:tcW w:w="640" w:type="dxa"/>
            <w:shd w:val="clear" w:color="auto" w:fill="auto"/>
            <w:noWrap/>
            <w:vAlign w:val="center"/>
            <w:hideMark/>
          </w:tcPr>
          <w:p w14:paraId="47BAADA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w:t>
            </w:r>
          </w:p>
        </w:tc>
        <w:tc>
          <w:tcPr>
            <w:tcW w:w="522" w:type="dxa"/>
            <w:shd w:val="clear" w:color="auto" w:fill="auto"/>
            <w:noWrap/>
            <w:vAlign w:val="center"/>
            <w:hideMark/>
          </w:tcPr>
          <w:p w14:paraId="5FA4007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31B2954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shd w:val="clear" w:color="auto" w:fill="auto"/>
            <w:noWrap/>
            <w:vAlign w:val="center"/>
            <w:hideMark/>
          </w:tcPr>
          <w:p w14:paraId="2B1643B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194FBB35" w14:textId="77777777" w:rsidTr="00593412">
        <w:trPr>
          <w:trHeight w:val="20"/>
        </w:trPr>
        <w:tc>
          <w:tcPr>
            <w:tcW w:w="1146" w:type="dxa"/>
            <w:shd w:val="clear" w:color="auto" w:fill="auto"/>
            <w:noWrap/>
            <w:vAlign w:val="center"/>
            <w:hideMark/>
          </w:tcPr>
          <w:p w14:paraId="1CBAF134"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4AC41375"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Levi</w:t>
            </w:r>
          </w:p>
        </w:tc>
        <w:tc>
          <w:tcPr>
            <w:tcW w:w="1021" w:type="dxa"/>
            <w:shd w:val="clear" w:color="000000" w:fill="auto"/>
            <w:noWrap/>
            <w:vAlign w:val="center"/>
            <w:hideMark/>
          </w:tcPr>
          <w:p w14:paraId="5F2B58DA"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LE_NLS</w:t>
            </w:r>
          </w:p>
        </w:tc>
        <w:tc>
          <w:tcPr>
            <w:tcW w:w="973" w:type="dxa"/>
            <w:shd w:val="clear" w:color="auto" w:fill="auto"/>
            <w:noWrap/>
            <w:vAlign w:val="center"/>
            <w:hideMark/>
          </w:tcPr>
          <w:p w14:paraId="1CFC8BD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136.15</w:t>
            </w:r>
          </w:p>
        </w:tc>
        <w:tc>
          <w:tcPr>
            <w:tcW w:w="843" w:type="dxa"/>
            <w:shd w:val="clear" w:color="auto" w:fill="auto"/>
            <w:noWrap/>
            <w:vAlign w:val="center"/>
            <w:hideMark/>
          </w:tcPr>
          <w:p w14:paraId="1F8EBA5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-28.38</w:t>
            </w:r>
          </w:p>
        </w:tc>
        <w:tc>
          <w:tcPr>
            <w:tcW w:w="459" w:type="dxa"/>
            <w:shd w:val="clear" w:color="auto" w:fill="auto"/>
            <w:noWrap/>
            <w:vAlign w:val="center"/>
            <w:hideMark/>
          </w:tcPr>
          <w:p w14:paraId="418F444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634" w:type="dxa"/>
            <w:shd w:val="clear" w:color="auto" w:fill="auto"/>
            <w:noWrap/>
            <w:vAlign w:val="center"/>
            <w:hideMark/>
          </w:tcPr>
          <w:p w14:paraId="303BBCE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0.028</w:t>
            </w:r>
          </w:p>
        </w:tc>
        <w:tc>
          <w:tcPr>
            <w:tcW w:w="640" w:type="dxa"/>
            <w:shd w:val="clear" w:color="auto" w:fill="auto"/>
            <w:noWrap/>
            <w:vAlign w:val="center"/>
            <w:hideMark/>
          </w:tcPr>
          <w:p w14:paraId="7ECB951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632411C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79CC2CB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w:t>
            </w:r>
          </w:p>
        </w:tc>
        <w:tc>
          <w:tcPr>
            <w:tcW w:w="494" w:type="dxa"/>
            <w:shd w:val="clear" w:color="auto" w:fill="auto"/>
            <w:noWrap/>
            <w:vAlign w:val="center"/>
            <w:hideMark/>
          </w:tcPr>
          <w:p w14:paraId="28DBF4E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4B05E518" w14:textId="77777777" w:rsidTr="00593412">
        <w:trPr>
          <w:trHeight w:val="20"/>
        </w:trPr>
        <w:tc>
          <w:tcPr>
            <w:tcW w:w="1146" w:type="dxa"/>
            <w:shd w:val="clear" w:color="auto" w:fill="auto"/>
            <w:noWrap/>
            <w:vAlign w:val="center"/>
            <w:hideMark/>
          </w:tcPr>
          <w:p w14:paraId="22CD9FF2"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457DC986"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Gosse</w:t>
            </w:r>
          </w:p>
        </w:tc>
        <w:tc>
          <w:tcPr>
            <w:tcW w:w="1021" w:type="dxa"/>
            <w:shd w:val="clear" w:color="000000" w:fill="auto"/>
            <w:noWrap/>
            <w:vAlign w:val="center"/>
            <w:hideMark/>
          </w:tcPr>
          <w:p w14:paraId="05A905E1"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LE_LGS</w:t>
            </w:r>
          </w:p>
        </w:tc>
        <w:tc>
          <w:tcPr>
            <w:tcW w:w="973" w:type="dxa"/>
            <w:shd w:val="clear" w:color="auto" w:fill="auto"/>
            <w:noWrap/>
            <w:vAlign w:val="center"/>
            <w:hideMark/>
          </w:tcPr>
          <w:p w14:paraId="4053474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137.34</w:t>
            </w:r>
          </w:p>
        </w:tc>
        <w:tc>
          <w:tcPr>
            <w:tcW w:w="843" w:type="dxa"/>
            <w:shd w:val="clear" w:color="auto" w:fill="auto"/>
            <w:noWrap/>
            <w:vAlign w:val="center"/>
            <w:hideMark/>
          </w:tcPr>
          <w:p w14:paraId="55E3488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-29.46</w:t>
            </w:r>
          </w:p>
        </w:tc>
        <w:tc>
          <w:tcPr>
            <w:tcW w:w="459" w:type="dxa"/>
            <w:shd w:val="clear" w:color="auto" w:fill="auto"/>
            <w:noWrap/>
            <w:vAlign w:val="center"/>
            <w:hideMark/>
          </w:tcPr>
          <w:p w14:paraId="0B61A6E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634" w:type="dxa"/>
            <w:shd w:val="clear" w:color="auto" w:fill="auto"/>
            <w:noWrap/>
            <w:vAlign w:val="center"/>
            <w:hideMark/>
          </w:tcPr>
          <w:p w14:paraId="3C4BBEA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0.027</w:t>
            </w:r>
          </w:p>
        </w:tc>
        <w:tc>
          <w:tcPr>
            <w:tcW w:w="640" w:type="dxa"/>
            <w:shd w:val="clear" w:color="auto" w:fill="auto"/>
            <w:noWrap/>
            <w:vAlign w:val="center"/>
            <w:hideMark/>
          </w:tcPr>
          <w:p w14:paraId="40DF1B3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4A23C61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5972B07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6</w:t>
            </w:r>
          </w:p>
        </w:tc>
        <w:tc>
          <w:tcPr>
            <w:tcW w:w="494" w:type="dxa"/>
            <w:shd w:val="clear" w:color="auto" w:fill="auto"/>
            <w:noWrap/>
            <w:vAlign w:val="center"/>
            <w:hideMark/>
          </w:tcPr>
          <w:p w14:paraId="1FE90F8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710EAD4E" w14:textId="77777777" w:rsidTr="00593412">
        <w:trPr>
          <w:trHeight w:val="20"/>
        </w:trPr>
        <w:tc>
          <w:tcPr>
            <w:tcW w:w="1146" w:type="dxa"/>
            <w:shd w:val="clear" w:color="auto" w:fill="auto"/>
            <w:noWrap/>
            <w:vAlign w:val="center"/>
            <w:hideMark/>
          </w:tcPr>
          <w:p w14:paraId="3C3299E5"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7C46A74D"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Buttercup</w:t>
            </w:r>
          </w:p>
        </w:tc>
        <w:tc>
          <w:tcPr>
            <w:tcW w:w="1021" w:type="dxa"/>
            <w:shd w:val="clear" w:color="000000" w:fill="auto"/>
            <w:noWrap/>
            <w:vAlign w:val="center"/>
            <w:hideMark/>
          </w:tcPr>
          <w:p w14:paraId="3D8D2F42"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LE_CBU</w:t>
            </w:r>
          </w:p>
        </w:tc>
        <w:tc>
          <w:tcPr>
            <w:tcW w:w="973" w:type="dxa"/>
            <w:shd w:val="clear" w:color="auto" w:fill="auto"/>
            <w:noWrap/>
            <w:vAlign w:val="center"/>
            <w:hideMark/>
          </w:tcPr>
          <w:p w14:paraId="6C5ABB3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136.89</w:t>
            </w:r>
          </w:p>
        </w:tc>
        <w:tc>
          <w:tcPr>
            <w:tcW w:w="843" w:type="dxa"/>
            <w:shd w:val="clear" w:color="auto" w:fill="auto"/>
            <w:noWrap/>
            <w:vAlign w:val="center"/>
            <w:hideMark/>
          </w:tcPr>
          <w:p w14:paraId="6FCDD8D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-29.48</w:t>
            </w:r>
          </w:p>
        </w:tc>
        <w:tc>
          <w:tcPr>
            <w:tcW w:w="459" w:type="dxa"/>
            <w:shd w:val="clear" w:color="auto" w:fill="auto"/>
            <w:noWrap/>
            <w:vAlign w:val="center"/>
            <w:hideMark/>
          </w:tcPr>
          <w:p w14:paraId="4704AD9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5</w:t>
            </w:r>
          </w:p>
        </w:tc>
        <w:tc>
          <w:tcPr>
            <w:tcW w:w="634" w:type="dxa"/>
            <w:shd w:val="clear" w:color="auto" w:fill="auto"/>
            <w:noWrap/>
            <w:vAlign w:val="center"/>
            <w:hideMark/>
          </w:tcPr>
          <w:p w14:paraId="19851D1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0.024</w:t>
            </w:r>
          </w:p>
        </w:tc>
        <w:tc>
          <w:tcPr>
            <w:tcW w:w="640" w:type="dxa"/>
            <w:shd w:val="clear" w:color="auto" w:fill="auto"/>
            <w:noWrap/>
            <w:vAlign w:val="center"/>
            <w:hideMark/>
          </w:tcPr>
          <w:p w14:paraId="22BA49B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522" w:type="dxa"/>
            <w:shd w:val="clear" w:color="auto" w:fill="auto"/>
            <w:noWrap/>
            <w:vAlign w:val="center"/>
            <w:hideMark/>
          </w:tcPr>
          <w:p w14:paraId="5FAA87B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2C260F1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shd w:val="clear" w:color="auto" w:fill="auto"/>
            <w:noWrap/>
            <w:vAlign w:val="center"/>
            <w:hideMark/>
          </w:tcPr>
          <w:p w14:paraId="4B1EA0E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5E422791" w14:textId="77777777" w:rsidTr="00593412">
        <w:trPr>
          <w:trHeight w:val="20"/>
        </w:trPr>
        <w:tc>
          <w:tcPr>
            <w:tcW w:w="1146" w:type="dxa"/>
            <w:shd w:val="clear" w:color="auto" w:fill="auto"/>
            <w:noWrap/>
            <w:vAlign w:val="center"/>
            <w:hideMark/>
          </w:tcPr>
          <w:p w14:paraId="5B1B73CF"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4736AA62"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Primrose</w:t>
            </w:r>
          </w:p>
        </w:tc>
        <w:tc>
          <w:tcPr>
            <w:tcW w:w="1021" w:type="dxa"/>
            <w:shd w:val="clear" w:color="000000" w:fill="auto"/>
            <w:noWrap/>
            <w:vAlign w:val="center"/>
            <w:hideMark/>
          </w:tcPr>
          <w:p w14:paraId="173357CE"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LE_NPS</w:t>
            </w:r>
          </w:p>
        </w:tc>
        <w:tc>
          <w:tcPr>
            <w:tcW w:w="973" w:type="dxa"/>
            <w:shd w:val="clear" w:color="auto" w:fill="auto"/>
            <w:noWrap/>
            <w:vAlign w:val="center"/>
            <w:hideMark/>
          </w:tcPr>
          <w:p w14:paraId="27BC4A6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136.38</w:t>
            </w:r>
          </w:p>
        </w:tc>
        <w:tc>
          <w:tcPr>
            <w:tcW w:w="843" w:type="dxa"/>
            <w:shd w:val="clear" w:color="auto" w:fill="auto"/>
            <w:noWrap/>
            <w:vAlign w:val="center"/>
            <w:hideMark/>
          </w:tcPr>
          <w:p w14:paraId="7D7E758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-28.15</w:t>
            </w:r>
          </w:p>
        </w:tc>
        <w:tc>
          <w:tcPr>
            <w:tcW w:w="459" w:type="dxa"/>
            <w:shd w:val="clear" w:color="auto" w:fill="auto"/>
            <w:noWrap/>
            <w:vAlign w:val="center"/>
            <w:hideMark/>
          </w:tcPr>
          <w:p w14:paraId="7770AE4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w:t>
            </w:r>
          </w:p>
        </w:tc>
        <w:tc>
          <w:tcPr>
            <w:tcW w:w="634" w:type="dxa"/>
            <w:shd w:val="clear" w:color="auto" w:fill="auto"/>
            <w:noWrap/>
            <w:vAlign w:val="center"/>
            <w:hideMark/>
          </w:tcPr>
          <w:p w14:paraId="38DA2CE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0.020</w:t>
            </w:r>
          </w:p>
        </w:tc>
        <w:tc>
          <w:tcPr>
            <w:tcW w:w="640" w:type="dxa"/>
            <w:shd w:val="clear" w:color="auto" w:fill="auto"/>
            <w:noWrap/>
            <w:vAlign w:val="center"/>
            <w:hideMark/>
          </w:tcPr>
          <w:p w14:paraId="24F9C82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1D7F598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399A6B1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3</w:t>
            </w:r>
          </w:p>
        </w:tc>
        <w:tc>
          <w:tcPr>
            <w:tcW w:w="494" w:type="dxa"/>
            <w:shd w:val="clear" w:color="auto" w:fill="auto"/>
            <w:noWrap/>
            <w:vAlign w:val="center"/>
            <w:hideMark/>
          </w:tcPr>
          <w:p w14:paraId="740AD2B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41E4D5F7" w14:textId="77777777" w:rsidTr="00593412">
        <w:trPr>
          <w:trHeight w:val="20"/>
        </w:trPr>
        <w:tc>
          <w:tcPr>
            <w:tcW w:w="1146" w:type="dxa"/>
            <w:shd w:val="clear" w:color="auto" w:fill="auto"/>
            <w:noWrap/>
            <w:vAlign w:val="center"/>
            <w:hideMark/>
          </w:tcPr>
          <w:p w14:paraId="2AF4E056"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Eyre</w:t>
            </w:r>
          </w:p>
        </w:tc>
        <w:tc>
          <w:tcPr>
            <w:tcW w:w="1531" w:type="dxa"/>
            <w:shd w:val="clear" w:color="auto" w:fill="auto"/>
            <w:noWrap/>
            <w:vAlign w:val="center"/>
            <w:hideMark/>
          </w:tcPr>
          <w:p w14:paraId="0F4F03FC"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Milne</w:t>
            </w:r>
          </w:p>
        </w:tc>
        <w:tc>
          <w:tcPr>
            <w:tcW w:w="1021" w:type="dxa"/>
            <w:shd w:val="clear" w:color="000000" w:fill="auto"/>
            <w:noWrap/>
            <w:vAlign w:val="center"/>
            <w:hideMark/>
          </w:tcPr>
          <w:p w14:paraId="65588B9F"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LE_NMI</w:t>
            </w:r>
          </w:p>
        </w:tc>
        <w:tc>
          <w:tcPr>
            <w:tcW w:w="973" w:type="dxa"/>
            <w:shd w:val="clear" w:color="auto" w:fill="auto"/>
            <w:noWrap/>
            <w:vAlign w:val="center"/>
            <w:hideMark/>
          </w:tcPr>
          <w:p w14:paraId="10F151F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136.08</w:t>
            </w:r>
          </w:p>
        </w:tc>
        <w:tc>
          <w:tcPr>
            <w:tcW w:w="843" w:type="dxa"/>
            <w:shd w:val="clear" w:color="auto" w:fill="auto"/>
            <w:noWrap/>
            <w:vAlign w:val="center"/>
            <w:hideMark/>
          </w:tcPr>
          <w:p w14:paraId="14E3411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-28.26</w:t>
            </w:r>
          </w:p>
        </w:tc>
        <w:tc>
          <w:tcPr>
            <w:tcW w:w="459" w:type="dxa"/>
            <w:shd w:val="clear" w:color="auto" w:fill="auto"/>
            <w:noWrap/>
            <w:vAlign w:val="center"/>
            <w:hideMark/>
          </w:tcPr>
          <w:p w14:paraId="6D44AB3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634" w:type="dxa"/>
            <w:shd w:val="clear" w:color="auto" w:fill="auto"/>
            <w:noWrap/>
            <w:vAlign w:val="center"/>
            <w:hideMark/>
          </w:tcPr>
          <w:p w14:paraId="7E69BFC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0.010</w:t>
            </w:r>
          </w:p>
        </w:tc>
        <w:tc>
          <w:tcPr>
            <w:tcW w:w="640" w:type="dxa"/>
            <w:shd w:val="clear" w:color="auto" w:fill="auto"/>
            <w:noWrap/>
            <w:vAlign w:val="center"/>
            <w:hideMark/>
          </w:tcPr>
          <w:p w14:paraId="39EF7BA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3366A1D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035B5A2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9</w:t>
            </w:r>
          </w:p>
        </w:tc>
        <w:tc>
          <w:tcPr>
            <w:tcW w:w="494" w:type="dxa"/>
            <w:shd w:val="clear" w:color="auto" w:fill="auto"/>
            <w:noWrap/>
            <w:vAlign w:val="center"/>
            <w:hideMark/>
          </w:tcPr>
          <w:p w14:paraId="629D26C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239D0E18" w14:textId="77777777" w:rsidTr="00593412">
        <w:trPr>
          <w:trHeight w:val="20"/>
        </w:trPr>
        <w:tc>
          <w:tcPr>
            <w:tcW w:w="1146" w:type="dxa"/>
            <w:shd w:val="clear" w:color="auto" w:fill="auto"/>
            <w:noWrap/>
            <w:vAlign w:val="center"/>
            <w:hideMark/>
          </w:tcPr>
          <w:p w14:paraId="02F13761"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Frome</w:t>
            </w:r>
          </w:p>
        </w:tc>
        <w:tc>
          <w:tcPr>
            <w:tcW w:w="1531" w:type="dxa"/>
            <w:shd w:val="clear" w:color="auto" w:fill="auto"/>
            <w:noWrap/>
            <w:vAlign w:val="center"/>
            <w:hideMark/>
          </w:tcPr>
          <w:p w14:paraId="7AE6451F"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Public House</w:t>
            </w:r>
          </w:p>
        </w:tc>
        <w:tc>
          <w:tcPr>
            <w:tcW w:w="1021" w:type="dxa"/>
            <w:shd w:val="clear" w:color="000000" w:fill="auto"/>
            <w:noWrap/>
            <w:vAlign w:val="center"/>
            <w:hideMark/>
          </w:tcPr>
          <w:p w14:paraId="6EF6C201"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LF_OPH</w:t>
            </w:r>
          </w:p>
        </w:tc>
        <w:tc>
          <w:tcPr>
            <w:tcW w:w="973" w:type="dxa"/>
            <w:shd w:val="clear" w:color="auto" w:fill="auto"/>
            <w:noWrap/>
            <w:vAlign w:val="center"/>
            <w:hideMark/>
          </w:tcPr>
          <w:p w14:paraId="0B7D87F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139.49</w:t>
            </w:r>
          </w:p>
        </w:tc>
        <w:tc>
          <w:tcPr>
            <w:tcW w:w="843" w:type="dxa"/>
            <w:shd w:val="clear" w:color="auto" w:fill="auto"/>
            <w:noWrap/>
            <w:vAlign w:val="center"/>
            <w:hideMark/>
          </w:tcPr>
          <w:p w14:paraId="69D6D6D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-29.76</w:t>
            </w:r>
          </w:p>
        </w:tc>
        <w:tc>
          <w:tcPr>
            <w:tcW w:w="459" w:type="dxa"/>
            <w:shd w:val="clear" w:color="auto" w:fill="auto"/>
            <w:noWrap/>
            <w:vAlign w:val="center"/>
            <w:hideMark/>
          </w:tcPr>
          <w:p w14:paraId="71FCDF7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634" w:type="dxa"/>
            <w:shd w:val="clear" w:color="auto" w:fill="auto"/>
            <w:noWrap/>
            <w:vAlign w:val="center"/>
            <w:hideMark/>
          </w:tcPr>
          <w:p w14:paraId="0D154DD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0.036</w:t>
            </w:r>
          </w:p>
        </w:tc>
        <w:tc>
          <w:tcPr>
            <w:tcW w:w="640" w:type="dxa"/>
            <w:shd w:val="clear" w:color="auto" w:fill="auto"/>
            <w:noWrap/>
            <w:vAlign w:val="center"/>
            <w:hideMark/>
          </w:tcPr>
          <w:p w14:paraId="05571B5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79C0152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58F9008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152</w:t>
            </w:r>
          </w:p>
        </w:tc>
        <w:tc>
          <w:tcPr>
            <w:tcW w:w="494" w:type="dxa"/>
            <w:shd w:val="clear" w:color="auto" w:fill="auto"/>
            <w:noWrap/>
            <w:vAlign w:val="center"/>
            <w:hideMark/>
          </w:tcPr>
          <w:p w14:paraId="639699F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6B6BC648" w14:textId="77777777" w:rsidTr="00593412">
        <w:trPr>
          <w:trHeight w:val="20"/>
        </w:trPr>
        <w:tc>
          <w:tcPr>
            <w:tcW w:w="1146" w:type="dxa"/>
            <w:shd w:val="clear" w:color="auto" w:fill="auto"/>
            <w:noWrap/>
            <w:vAlign w:val="center"/>
            <w:hideMark/>
          </w:tcPr>
          <w:p w14:paraId="5B326A23"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Frome</w:t>
            </w:r>
          </w:p>
        </w:tc>
        <w:tc>
          <w:tcPr>
            <w:tcW w:w="1531" w:type="dxa"/>
            <w:shd w:val="clear" w:color="auto" w:fill="auto"/>
            <w:noWrap/>
            <w:vAlign w:val="center"/>
            <w:hideMark/>
          </w:tcPr>
          <w:p w14:paraId="381E9C21"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Petermorra</w:t>
            </w:r>
          </w:p>
        </w:tc>
        <w:tc>
          <w:tcPr>
            <w:tcW w:w="1021" w:type="dxa"/>
            <w:shd w:val="clear" w:color="000000" w:fill="auto"/>
            <w:noWrap/>
            <w:vAlign w:val="center"/>
            <w:hideMark/>
          </w:tcPr>
          <w:p w14:paraId="0958688C"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LF_OPC</w:t>
            </w:r>
          </w:p>
        </w:tc>
        <w:tc>
          <w:tcPr>
            <w:tcW w:w="973" w:type="dxa"/>
            <w:shd w:val="clear" w:color="auto" w:fill="auto"/>
            <w:noWrap/>
            <w:vAlign w:val="center"/>
            <w:hideMark/>
          </w:tcPr>
          <w:p w14:paraId="1FAF6C1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139.54</w:t>
            </w:r>
          </w:p>
        </w:tc>
        <w:tc>
          <w:tcPr>
            <w:tcW w:w="843" w:type="dxa"/>
            <w:shd w:val="clear" w:color="auto" w:fill="auto"/>
            <w:noWrap/>
            <w:vAlign w:val="center"/>
            <w:hideMark/>
          </w:tcPr>
          <w:p w14:paraId="27D1C4A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-29.76</w:t>
            </w:r>
          </w:p>
        </w:tc>
        <w:tc>
          <w:tcPr>
            <w:tcW w:w="459" w:type="dxa"/>
            <w:shd w:val="clear" w:color="auto" w:fill="auto"/>
            <w:noWrap/>
            <w:vAlign w:val="center"/>
            <w:hideMark/>
          </w:tcPr>
          <w:p w14:paraId="3571496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634" w:type="dxa"/>
            <w:shd w:val="clear" w:color="auto" w:fill="auto"/>
            <w:noWrap/>
            <w:vAlign w:val="center"/>
            <w:hideMark/>
          </w:tcPr>
          <w:p w14:paraId="5618CF8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0.032</w:t>
            </w:r>
          </w:p>
        </w:tc>
        <w:tc>
          <w:tcPr>
            <w:tcW w:w="640" w:type="dxa"/>
            <w:shd w:val="clear" w:color="auto" w:fill="auto"/>
            <w:noWrap/>
            <w:vAlign w:val="center"/>
            <w:hideMark/>
          </w:tcPr>
          <w:p w14:paraId="10DD435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136DDC7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78AEA17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44</w:t>
            </w:r>
          </w:p>
        </w:tc>
        <w:tc>
          <w:tcPr>
            <w:tcW w:w="494" w:type="dxa"/>
            <w:shd w:val="clear" w:color="auto" w:fill="auto"/>
            <w:noWrap/>
            <w:vAlign w:val="center"/>
            <w:hideMark/>
          </w:tcPr>
          <w:p w14:paraId="5E75E1F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762251E2" w14:textId="77777777" w:rsidTr="00593412">
        <w:trPr>
          <w:trHeight w:val="20"/>
        </w:trPr>
        <w:tc>
          <w:tcPr>
            <w:tcW w:w="1146" w:type="dxa"/>
            <w:shd w:val="clear" w:color="auto" w:fill="auto"/>
            <w:noWrap/>
            <w:vAlign w:val="center"/>
            <w:hideMark/>
          </w:tcPr>
          <w:p w14:paraId="20A29F69"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Frome</w:t>
            </w:r>
          </w:p>
        </w:tc>
        <w:tc>
          <w:tcPr>
            <w:tcW w:w="1531" w:type="dxa"/>
            <w:shd w:val="clear" w:color="auto" w:fill="auto"/>
            <w:noWrap/>
            <w:vAlign w:val="center"/>
            <w:hideMark/>
          </w:tcPr>
          <w:p w14:paraId="19CA3E50"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Twelve</w:t>
            </w:r>
          </w:p>
        </w:tc>
        <w:tc>
          <w:tcPr>
            <w:tcW w:w="1021" w:type="dxa"/>
            <w:shd w:val="clear" w:color="000000" w:fill="auto"/>
            <w:noWrap/>
            <w:vAlign w:val="center"/>
            <w:hideMark/>
          </w:tcPr>
          <w:p w14:paraId="7EC53B41"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LF_OTS</w:t>
            </w:r>
          </w:p>
        </w:tc>
        <w:tc>
          <w:tcPr>
            <w:tcW w:w="973" w:type="dxa"/>
            <w:shd w:val="clear" w:color="auto" w:fill="auto"/>
            <w:noWrap/>
            <w:vAlign w:val="center"/>
            <w:hideMark/>
          </w:tcPr>
          <w:p w14:paraId="6F7F35A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139.66</w:t>
            </w:r>
          </w:p>
        </w:tc>
        <w:tc>
          <w:tcPr>
            <w:tcW w:w="843" w:type="dxa"/>
            <w:shd w:val="clear" w:color="auto" w:fill="auto"/>
            <w:noWrap/>
            <w:vAlign w:val="center"/>
            <w:hideMark/>
          </w:tcPr>
          <w:p w14:paraId="7E3A506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-29.84</w:t>
            </w:r>
          </w:p>
        </w:tc>
        <w:tc>
          <w:tcPr>
            <w:tcW w:w="459" w:type="dxa"/>
            <w:shd w:val="clear" w:color="auto" w:fill="auto"/>
            <w:noWrap/>
            <w:vAlign w:val="center"/>
            <w:hideMark/>
          </w:tcPr>
          <w:p w14:paraId="1E2BB90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634" w:type="dxa"/>
            <w:shd w:val="clear" w:color="auto" w:fill="auto"/>
            <w:noWrap/>
            <w:vAlign w:val="center"/>
            <w:hideMark/>
          </w:tcPr>
          <w:p w14:paraId="0E65A57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0.015</w:t>
            </w:r>
          </w:p>
        </w:tc>
        <w:tc>
          <w:tcPr>
            <w:tcW w:w="640" w:type="dxa"/>
            <w:shd w:val="clear" w:color="auto" w:fill="auto"/>
            <w:noWrap/>
            <w:vAlign w:val="center"/>
            <w:hideMark/>
          </w:tcPr>
          <w:p w14:paraId="6C88DBD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596656E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4621356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72</w:t>
            </w:r>
          </w:p>
        </w:tc>
        <w:tc>
          <w:tcPr>
            <w:tcW w:w="494" w:type="dxa"/>
            <w:shd w:val="clear" w:color="auto" w:fill="auto"/>
            <w:noWrap/>
            <w:vAlign w:val="center"/>
            <w:hideMark/>
          </w:tcPr>
          <w:p w14:paraId="030BC8C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22E562C3" w14:textId="77777777" w:rsidTr="00593412">
        <w:trPr>
          <w:trHeight w:val="20"/>
        </w:trPr>
        <w:tc>
          <w:tcPr>
            <w:tcW w:w="1146" w:type="dxa"/>
            <w:tcBorders>
              <w:bottom w:val="single" w:sz="4" w:space="0" w:color="auto"/>
            </w:tcBorders>
            <w:shd w:val="clear" w:color="auto" w:fill="auto"/>
            <w:noWrap/>
            <w:vAlign w:val="center"/>
            <w:hideMark/>
          </w:tcPr>
          <w:p w14:paraId="1DAC31E8"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Lake Frome</w:t>
            </w:r>
          </w:p>
        </w:tc>
        <w:tc>
          <w:tcPr>
            <w:tcW w:w="1531" w:type="dxa"/>
            <w:tcBorders>
              <w:bottom w:val="single" w:sz="4" w:space="0" w:color="auto"/>
            </w:tcBorders>
            <w:shd w:val="clear" w:color="auto" w:fill="auto"/>
            <w:noWrap/>
            <w:vAlign w:val="center"/>
            <w:hideMark/>
          </w:tcPr>
          <w:p w14:paraId="720363ED"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Mulligan</w:t>
            </w:r>
          </w:p>
        </w:tc>
        <w:tc>
          <w:tcPr>
            <w:tcW w:w="1021" w:type="dxa"/>
            <w:tcBorders>
              <w:bottom w:val="single" w:sz="4" w:space="0" w:color="auto"/>
            </w:tcBorders>
            <w:shd w:val="clear" w:color="000000" w:fill="auto"/>
            <w:noWrap/>
            <w:vAlign w:val="center"/>
            <w:hideMark/>
          </w:tcPr>
          <w:p w14:paraId="071D625A"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LF_ZMS</w:t>
            </w:r>
          </w:p>
        </w:tc>
        <w:tc>
          <w:tcPr>
            <w:tcW w:w="973" w:type="dxa"/>
            <w:tcBorders>
              <w:bottom w:val="single" w:sz="4" w:space="0" w:color="auto"/>
            </w:tcBorders>
            <w:shd w:val="clear" w:color="auto" w:fill="auto"/>
            <w:noWrap/>
            <w:vAlign w:val="center"/>
            <w:hideMark/>
          </w:tcPr>
          <w:p w14:paraId="0D52D5D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139.97</w:t>
            </w:r>
          </w:p>
        </w:tc>
        <w:tc>
          <w:tcPr>
            <w:tcW w:w="843" w:type="dxa"/>
            <w:tcBorders>
              <w:bottom w:val="single" w:sz="4" w:space="0" w:color="auto"/>
            </w:tcBorders>
            <w:shd w:val="clear" w:color="auto" w:fill="auto"/>
            <w:noWrap/>
            <w:vAlign w:val="center"/>
            <w:hideMark/>
          </w:tcPr>
          <w:p w14:paraId="3DE3377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-29.72</w:t>
            </w:r>
          </w:p>
        </w:tc>
        <w:tc>
          <w:tcPr>
            <w:tcW w:w="459" w:type="dxa"/>
            <w:tcBorders>
              <w:bottom w:val="single" w:sz="4" w:space="0" w:color="auto"/>
            </w:tcBorders>
            <w:shd w:val="clear" w:color="auto" w:fill="auto"/>
            <w:noWrap/>
            <w:vAlign w:val="center"/>
            <w:hideMark/>
          </w:tcPr>
          <w:p w14:paraId="50D44C5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634" w:type="dxa"/>
            <w:tcBorders>
              <w:bottom w:val="single" w:sz="4" w:space="0" w:color="auto"/>
            </w:tcBorders>
            <w:shd w:val="clear" w:color="auto" w:fill="auto"/>
            <w:noWrap/>
            <w:vAlign w:val="center"/>
            <w:hideMark/>
          </w:tcPr>
          <w:p w14:paraId="7B826E1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0.007</w:t>
            </w:r>
          </w:p>
        </w:tc>
        <w:tc>
          <w:tcPr>
            <w:tcW w:w="640" w:type="dxa"/>
            <w:tcBorders>
              <w:bottom w:val="single" w:sz="4" w:space="0" w:color="auto"/>
            </w:tcBorders>
            <w:shd w:val="clear" w:color="auto" w:fill="auto"/>
            <w:noWrap/>
            <w:vAlign w:val="center"/>
            <w:hideMark/>
          </w:tcPr>
          <w:p w14:paraId="55C64E2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tcBorders>
              <w:bottom w:val="single" w:sz="4" w:space="0" w:color="auto"/>
            </w:tcBorders>
            <w:shd w:val="clear" w:color="auto" w:fill="auto"/>
            <w:noWrap/>
            <w:vAlign w:val="center"/>
            <w:hideMark/>
          </w:tcPr>
          <w:p w14:paraId="33B2353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tcBorders>
              <w:bottom w:val="single" w:sz="4" w:space="0" w:color="auto"/>
            </w:tcBorders>
            <w:shd w:val="clear" w:color="auto" w:fill="auto"/>
            <w:noWrap/>
            <w:vAlign w:val="center"/>
            <w:hideMark/>
          </w:tcPr>
          <w:p w14:paraId="56B07E8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494" w:type="dxa"/>
            <w:tcBorders>
              <w:bottom w:val="single" w:sz="4" w:space="0" w:color="auto"/>
            </w:tcBorders>
            <w:shd w:val="clear" w:color="auto" w:fill="auto"/>
            <w:noWrap/>
            <w:vAlign w:val="center"/>
            <w:hideMark/>
          </w:tcPr>
          <w:p w14:paraId="4BF220E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48920249" w14:textId="77777777" w:rsidTr="00593412">
        <w:trPr>
          <w:trHeight w:val="20"/>
        </w:trPr>
        <w:tc>
          <w:tcPr>
            <w:tcW w:w="1146" w:type="dxa"/>
            <w:tcBorders>
              <w:top w:val="single" w:sz="4" w:space="0" w:color="auto"/>
              <w:bottom w:val="single" w:sz="4" w:space="0" w:color="auto"/>
            </w:tcBorders>
            <w:shd w:val="clear" w:color="auto" w:fill="auto"/>
            <w:noWrap/>
            <w:vAlign w:val="center"/>
            <w:hideMark/>
          </w:tcPr>
          <w:p w14:paraId="550A9DB1"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Mitchell/ Staaten</w:t>
            </w:r>
          </w:p>
        </w:tc>
        <w:tc>
          <w:tcPr>
            <w:tcW w:w="1531" w:type="dxa"/>
            <w:tcBorders>
              <w:top w:val="single" w:sz="4" w:space="0" w:color="auto"/>
              <w:bottom w:val="single" w:sz="4" w:space="0" w:color="auto"/>
            </w:tcBorders>
            <w:shd w:val="clear" w:color="auto" w:fill="auto"/>
            <w:noWrap/>
            <w:vAlign w:val="center"/>
            <w:hideMark/>
          </w:tcPr>
          <w:p w14:paraId="13507AC0"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Gammyleg</w:t>
            </w:r>
          </w:p>
        </w:tc>
        <w:tc>
          <w:tcPr>
            <w:tcW w:w="1021" w:type="dxa"/>
            <w:tcBorders>
              <w:top w:val="single" w:sz="4" w:space="0" w:color="auto"/>
              <w:bottom w:val="single" w:sz="4" w:space="0" w:color="auto"/>
            </w:tcBorders>
            <w:shd w:val="clear" w:color="000000" w:fill="auto"/>
            <w:noWrap/>
            <w:vAlign w:val="center"/>
            <w:hideMark/>
          </w:tcPr>
          <w:p w14:paraId="1181DD5D"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MS_GAM</w:t>
            </w:r>
          </w:p>
        </w:tc>
        <w:tc>
          <w:tcPr>
            <w:tcW w:w="973" w:type="dxa"/>
            <w:tcBorders>
              <w:top w:val="single" w:sz="4" w:space="0" w:color="auto"/>
              <w:bottom w:val="single" w:sz="4" w:space="0" w:color="auto"/>
            </w:tcBorders>
            <w:shd w:val="clear" w:color="auto" w:fill="auto"/>
            <w:noWrap/>
            <w:vAlign w:val="center"/>
            <w:hideMark/>
          </w:tcPr>
          <w:p w14:paraId="3E15E27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143.57</w:t>
            </w:r>
          </w:p>
        </w:tc>
        <w:tc>
          <w:tcPr>
            <w:tcW w:w="843" w:type="dxa"/>
            <w:tcBorders>
              <w:top w:val="single" w:sz="4" w:space="0" w:color="auto"/>
              <w:bottom w:val="single" w:sz="4" w:space="0" w:color="auto"/>
            </w:tcBorders>
            <w:shd w:val="clear" w:color="auto" w:fill="auto"/>
            <w:noWrap/>
            <w:vAlign w:val="center"/>
            <w:hideMark/>
          </w:tcPr>
          <w:p w14:paraId="689D08F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-16.36</w:t>
            </w:r>
          </w:p>
        </w:tc>
        <w:tc>
          <w:tcPr>
            <w:tcW w:w="459" w:type="dxa"/>
            <w:tcBorders>
              <w:top w:val="single" w:sz="4" w:space="0" w:color="auto"/>
              <w:bottom w:val="single" w:sz="4" w:space="0" w:color="auto"/>
            </w:tcBorders>
            <w:shd w:val="clear" w:color="auto" w:fill="auto"/>
            <w:noWrap/>
            <w:vAlign w:val="center"/>
            <w:hideMark/>
          </w:tcPr>
          <w:p w14:paraId="6B6D54C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w:t>
            </w:r>
          </w:p>
        </w:tc>
        <w:tc>
          <w:tcPr>
            <w:tcW w:w="634" w:type="dxa"/>
            <w:tcBorders>
              <w:top w:val="single" w:sz="4" w:space="0" w:color="auto"/>
              <w:bottom w:val="single" w:sz="4" w:space="0" w:color="auto"/>
            </w:tcBorders>
            <w:shd w:val="clear" w:color="auto" w:fill="auto"/>
            <w:noWrap/>
            <w:vAlign w:val="center"/>
            <w:hideMark/>
          </w:tcPr>
          <w:p w14:paraId="5C5B265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0.034</w:t>
            </w:r>
          </w:p>
        </w:tc>
        <w:tc>
          <w:tcPr>
            <w:tcW w:w="640" w:type="dxa"/>
            <w:tcBorders>
              <w:top w:val="single" w:sz="4" w:space="0" w:color="auto"/>
              <w:bottom w:val="single" w:sz="4" w:space="0" w:color="auto"/>
            </w:tcBorders>
            <w:shd w:val="clear" w:color="auto" w:fill="auto"/>
            <w:noWrap/>
            <w:vAlign w:val="center"/>
            <w:hideMark/>
          </w:tcPr>
          <w:p w14:paraId="2FDAF12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tcBorders>
              <w:top w:val="single" w:sz="4" w:space="0" w:color="auto"/>
              <w:bottom w:val="single" w:sz="4" w:space="0" w:color="auto"/>
            </w:tcBorders>
            <w:shd w:val="clear" w:color="auto" w:fill="auto"/>
            <w:noWrap/>
            <w:vAlign w:val="center"/>
            <w:hideMark/>
          </w:tcPr>
          <w:p w14:paraId="7D61862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tcBorders>
              <w:top w:val="single" w:sz="4" w:space="0" w:color="auto"/>
              <w:bottom w:val="single" w:sz="4" w:space="0" w:color="auto"/>
            </w:tcBorders>
            <w:shd w:val="clear" w:color="auto" w:fill="auto"/>
            <w:noWrap/>
            <w:vAlign w:val="center"/>
            <w:hideMark/>
          </w:tcPr>
          <w:p w14:paraId="2164A07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494" w:type="dxa"/>
            <w:tcBorders>
              <w:top w:val="single" w:sz="4" w:space="0" w:color="auto"/>
              <w:bottom w:val="single" w:sz="4" w:space="0" w:color="auto"/>
            </w:tcBorders>
            <w:shd w:val="clear" w:color="auto" w:fill="auto"/>
            <w:noWrap/>
            <w:vAlign w:val="center"/>
            <w:hideMark/>
          </w:tcPr>
          <w:p w14:paraId="2C6C0F4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27E6FA98" w14:textId="77777777" w:rsidTr="00593412">
        <w:trPr>
          <w:trHeight w:val="20"/>
        </w:trPr>
        <w:tc>
          <w:tcPr>
            <w:tcW w:w="1146" w:type="dxa"/>
            <w:tcBorders>
              <w:top w:val="single" w:sz="4" w:space="0" w:color="auto"/>
            </w:tcBorders>
            <w:shd w:val="clear" w:color="auto" w:fill="auto"/>
            <w:noWrap/>
            <w:vAlign w:val="center"/>
            <w:hideMark/>
          </w:tcPr>
          <w:p w14:paraId="246E83E9"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Springsure</w:t>
            </w:r>
          </w:p>
        </w:tc>
        <w:tc>
          <w:tcPr>
            <w:tcW w:w="1531" w:type="dxa"/>
            <w:tcBorders>
              <w:top w:val="single" w:sz="4" w:space="0" w:color="auto"/>
            </w:tcBorders>
            <w:shd w:val="clear" w:color="auto" w:fill="auto"/>
            <w:noWrap/>
            <w:vAlign w:val="center"/>
            <w:hideMark/>
          </w:tcPr>
          <w:p w14:paraId="3EC74FDF"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Cockatoo</w:t>
            </w:r>
          </w:p>
        </w:tc>
        <w:tc>
          <w:tcPr>
            <w:tcW w:w="1021" w:type="dxa"/>
            <w:tcBorders>
              <w:top w:val="single" w:sz="4" w:space="0" w:color="auto"/>
            </w:tcBorders>
            <w:shd w:val="clear" w:color="000000" w:fill="auto"/>
            <w:noWrap/>
            <w:vAlign w:val="center"/>
            <w:hideMark/>
          </w:tcPr>
          <w:p w14:paraId="7F4FE9C3"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SS_COC</w:t>
            </w:r>
          </w:p>
        </w:tc>
        <w:tc>
          <w:tcPr>
            <w:tcW w:w="973" w:type="dxa"/>
            <w:tcBorders>
              <w:top w:val="single" w:sz="4" w:space="0" w:color="auto"/>
            </w:tcBorders>
            <w:shd w:val="clear" w:color="auto" w:fill="auto"/>
            <w:noWrap/>
            <w:vAlign w:val="center"/>
            <w:hideMark/>
          </w:tcPr>
          <w:p w14:paraId="37C7D02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150.25</w:t>
            </w:r>
          </w:p>
        </w:tc>
        <w:tc>
          <w:tcPr>
            <w:tcW w:w="843" w:type="dxa"/>
            <w:tcBorders>
              <w:top w:val="single" w:sz="4" w:space="0" w:color="auto"/>
            </w:tcBorders>
            <w:shd w:val="clear" w:color="auto" w:fill="auto"/>
            <w:noWrap/>
            <w:vAlign w:val="center"/>
            <w:hideMark/>
          </w:tcPr>
          <w:p w14:paraId="078A55B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-25.73</w:t>
            </w:r>
          </w:p>
        </w:tc>
        <w:tc>
          <w:tcPr>
            <w:tcW w:w="459" w:type="dxa"/>
            <w:tcBorders>
              <w:top w:val="single" w:sz="4" w:space="0" w:color="auto"/>
            </w:tcBorders>
            <w:shd w:val="clear" w:color="auto" w:fill="auto"/>
            <w:noWrap/>
            <w:vAlign w:val="center"/>
            <w:hideMark/>
          </w:tcPr>
          <w:p w14:paraId="61083C7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w:t>
            </w:r>
          </w:p>
        </w:tc>
        <w:tc>
          <w:tcPr>
            <w:tcW w:w="634" w:type="dxa"/>
            <w:tcBorders>
              <w:top w:val="single" w:sz="4" w:space="0" w:color="auto"/>
            </w:tcBorders>
            <w:shd w:val="clear" w:color="auto" w:fill="auto"/>
            <w:noWrap/>
            <w:vAlign w:val="center"/>
            <w:hideMark/>
          </w:tcPr>
          <w:p w14:paraId="1405081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0.063</w:t>
            </w:r>
          </w:p>
        </w:tc>
        <w:tc>
          <w:tcPr>
            <w:tcW w:w="640" w:type="dxa"/>
            <w:tcBorders>
              <w:top w:val="single" w:sz="4" w:space="0" w:color="auto"/>
            </w:tcBorders>
            <w:shd w:val="clear" w:color="auto" w:fill="auto"/>
            <w:noWrap/>
            <w:vAlign w:val="center"/>
            <w:hideMark/>
          </w:tcPr>
          <w:p w14:paraId="2013FFD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tcBorders>
              <w:top w:val="single" w:sz="4" w:space="0" w:color="auto"/>
            </w:tcBorders>
            <w:shd w:val="clear" w:color="auto" w:fill="auto"/>
            <w:noWrap/>
            <w:vAlign w:val="center"/>
            <w:hideMark/>
          </w:tcPr>
          <w:p w14:paraId="3A49EE3C"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19</w:t>
            </w:r>
          </w:p>
        </w:tc>
        <w:tc>
          <w:tcPr>
            <w:tcW w:w="640" w:type="dxa"/>
            <w:tcBorders>
              <w:top w:val="single" w:sz="4" w:space="0" w:color="auto"/>
            </w:tcBorders>
            <w:shd w:val="clear" w:color="auto" w:fill="auto"/>
            <w:noWrap/>
            <w:vAlign w:val="center"/>
            <w:hideMark/>
          </w:tcPr>
          <w:p w14:paraId="4145508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tcBorders>
              <w:top w:val="single" w:sz="4" w:space="0" w:color="auto"/>
            </w:tcBorders>
            <w:shd w:val="clear" w:color="auto" w:fill="auto"/>
            <w:noWrap/>
            <w:vAlign w:val="center"/>
            <w:hideMark/>
          </w:tcPr>
          <w:p w14:paraId="1B3052D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221C75BB" w14:textId="77777777" w:rsidTr="00593412">
        <w:trPr>
          <w:trHeight w:val="20"/>
        </w:trPr>
        <w:tc>
          <w:tcPr>
            <w:tcW w:w="1146" w:type="dxa"/>
            <w:shd w:val="clear" w:color="auto" w:fill="auto"/>
            <w:noWrap/>
            <w:vAlign w:val="center"/>
            <w:hideMark/>
          </w:tcPr>
          <w:p w14:paraId="63284FB1"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Springsure</w:t>
            </w:r>
          </w:p>
        </w:tc>
        <w:tc>
          <w:tcPr>
            <w:tcW w:w="1531" w:type="dxa"/>
            <w:shd w:val="clear" w:color="auto" w:fill="auto"/>
            <w:noWrap/>
            <w:vAlign w:val="center"/>
            <w:hideMark/>
          </w:tcPr>
          <w:p w14:paraId="1C86152A"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LuckyLast</w:t>
            </w:r>
          </w:p>
        </w:tc>
        <w:tc>
          <w:tcPr>
            <w:tcW w:w="1021" w:type="dxa"/>
            <w:shd w:val="clear" w:color="000000" w:fill="auto"/>
            <w:noWrap/>
            <w:vAlign w:val="center"/>
            <w:hideMark/>
          </w:tcPr>
          <w:p w14:paraId="5EE6BA42"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SS_LUC</w:t>
            </w:r>
          </w:p>
        </w:tc>
        <w:tc>
          <w:tcPr>
            <w:tcW w:w="973" w:type="dxa"/>
            <w:shd w:val="clear" w:color="auto" w:fill="auto"/>
            <w:noWrap/>
            <w:vAlign w:val="center"/>
            <w:hideMark/>
          </w:tcPr>
          <w:p w14:paraId="5484533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148.77</w:t>
            </w:r>
          </w:p>
        </w:tc>
        <w:tc>
          <w:tcPr>
            <w:tcW w:w="843" w:type="dxa"/>
            <w:shd w:val="clear" w:color="auto" w:fill="auto"/>
            <w:noWrap/>
            <w:vAlign w:val="center"/>
            <w:hideMark/>
          </w:tcPr>
          <w:p w14:paraId="737830C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-25.80</w:t>
            </w:r>
          </w:p>
        </w:tc>
        <w:tc>
          <w:tcPr>
            <w:tcW w:w="459" w:type="dxa"/>
            <w:shd w:val="clear" w:color="auto" w:fill="auto"/>
            <w:noWrap/>
            <w:vAlign w:val="center"/>
            <w:hideMark/>
          </w:tcPr>
          <w:p w14:paraId="64F4220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634" w:type="dxa"/>
            <w:shd w:val="clear" w:color="auto" w:fill="auto"/>
            <w:noWrap/>
            <w:vAlign w:val="center"/>
            <w:hideMark/>
          </w:tcPr>
          <w:p w14:paraId="04CB2BF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0.047</w:t>
            </w:r>
          </w:p>
        </w:tc>
        <w:tc>
          <w:tcPr>
            <w:tcW w:w="640" w:type="dxa"/>
            <w:shd w:val="clear" w:color="auto" w:fill="auto"/>
            <w:noWrap/>
            <w:vAlign w:val="center"/>
            <w:hideMark/>
          </w:tcPr>
          <w:p w14:paraId="01622AAD"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2E0BEC1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12</w:t>
            </w:r>
          </w:p>
        </w:tc>
        <w:tc>
          <w:tcPr>
            <w:tcW w:w="640" w:type="dxa"/>
            <w:shd w:val="clear" w:color="auto" w:fill="auto"/>
            <w:noWrap/>
            <w:vAlign w:val="center"/>
            <w:hideMark/>
          </w:tcPr>
          <w:p w14:paraId="1A6C0B0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shd w:val="clear" w:color="auto" w:fill="auto"/>
            <w:noWrap/>
            <w:vAlign w:val="center"/>
            <w:hideMark/>
          </w:tcPr>
          <w:p w14:paraId="3DEF585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70556D90" w14:textId="77777777" w:rsidTr="00593412">
        <w:trPr>
          <w:trHeight w:val="20"/>
        </w:trPr>
        <w:tc>
          <w:tcPr>
            <w:tcW w:w="1146" w:type="dxa"/>
            <w:shd w:val="clear" w:color="auto" w:fill="auto"/>
            <w:noWrap/>
            <w:vAlign w:val="center"/>
            <w:hideMark/>
          </w:tcPr>
          <w:p w14:paraId="38DD559C"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Springsure</w:t>
            </w:r>
          </w:p>
        </w:tc>
        <w:tc>
          <w:tcPr>
            <w:tcW w:w="1531" w:type="dxa"/>
            <w:shd w:val="clear" w:color="auto" w:fill="auto"/>
            <w:noWrap/>
            <w:vAlign w:val="center"/>
            <w:hideMark/>
          </w:tcPr>
          <w:p w14:paraId="1E2A10E0"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Scotts Creek</w:t>
            </w:r>
          </w:p>
        </w:tc>
        <w:tc>
          <w:tcPr>
            <w:tcW w:w="1021" w:type="dxa"/>
            <w:shd w:val="clear" w:color="000000" w:fill="auto"/>
            <w:noWrap/>
            <w:vAlign w:val="center"/>
            <w:hideMark/>
          </w:tcPr>
          <w:p w14:paraId="4ED614A0"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SS_SCO</w:t>
            </w:r>
          </w:p>
        </w:tc>
        <w:tc>
          <w:tcPr>
            <w:tcW w:w="973" w:type="dxa"/>
            <w:shd w:val="clear" w:color="auto" w:fill="auto"/>
            <w:noWrap/>
            <w:vAlign w:val="center"/>
            <w:hideMark/>
          </w:tcPr>
          <w:p w14:paraId="05E2214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149.28</w:t>
            </w:r>
          </w:p>
        </w:tc>
        <w:tc>
          <w:tcPr>
            <w:tcW w:w="843" w:type="dxa"/>
            <w:shd w:val="clear" w:color="auto" w:fill="auto"/>
            <w:noWrap/>
            <w:vAlign w:val="center"/>
            <w:hideMark/>
          </w:tcPr>
          <w:p w14:paraId="4F22A05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-25.89</w:t>
            </w:r>
          </w:p>
        </w:tc>
        <w:tc>
          <w:tcPr>
            <w:tcW w:w="459" w:type="dxa"/>
            <w:shd w:val="clear" w:color="auto" w:fill="auto"/>
            <w:noWrap/>
            <w:vAlign w:val="center"/>
            <w:hideMark/>
          </w:tcPr>
          <w:p w14:paraId="7E6F033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634" w:type="dxa"/>
            <w:shd w:val="clear" w:color="auto" w:fill="auto"/>
            <w:noWrap/>
            <w:vAlign w:val="center"/>
            <w:hideMark/>
          </w:tcPr>
          <w:p w14:paraId="03DC849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0.024</w:t>
            </w:r>
          </w:p>
        </w:tc>
        <w:tc>
          <w:tcPr>
            <w:tcW w:w="640" w:type="dxa"/>
            <w:shd w:val="clear" w:color="auto" w:fill="auto"/>
            <w:noWrap/>
            <w:vAlign w:val="center"/>
            <w:hideMark/>
          </w:tcPr>
          <w:p w14:paraId="3DD6921B"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5</w:t>
            </w:r>
          </w:p>
        </w:tc>
        <w:tc>
          <w:tcPr>
            <w:tcW w:w="522" w:type="dxa"/>
            <w:shd w:val="clear" w:color="auto" w:fill="auto"/>
            <w:noWrap/>
            <w:vAlign w:val="center"/>
            <w:hideMark/>
          </w:tcPr>
          <w:p w14:paraId="6BAFF11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57C0228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shd w:val="clear" w:color="auto" w:fill="auto"/>
            <w:noWrap/>
            <w:vAlign w:val="center"/>
            <w:hideMark/>
          </w:tcPr>
          <w:p w14:paraId="00F9203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29BEEA04" w14:textId="77777777" w:rsidTr="00593412">
        <w:trPr>
          <w:trHeight w:val="20"/>
        </w:trPr>
        <w:tc>
          <w:tcPr>
            <w:tcW w:w="1146" w:type="dxa"/>
            <w:tcBorders>
              <w:bottom w:val="single" w:sz="4" w:space="0" w:color="auto"/>
            </w:tcBorders>
            <w:shd w:val="clear" w:color="auto" w:fill="auto"/>
            <w:noWrap/>
            <w:vAlign w:val="center"/>
            <w:hideMark/>
          </w:tcPr>
          <w:p w14:paraId="18592520"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Springsure</w:t>
            </w:r>
          </w:p>
        </w:tc>
        <w:tc>
          <w:tcPr>
            <w:tcW w:w="1531" w:type="dxa"/>
            <w:tcBorders>
              <w:bottom w:val="single" w:sz="4" w:space="0" w:color="auto"/>
            </w:tcBorders>
            <w:shd w:val="clear" w:color="auto" w:fill="auto"/>
            <w:noWrap/>
            <w:vAlign w:val="center"/>
            <w:hideMark/>
          </w:tcPr>
          <w:p w14:paraId="2EF20CBA"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Prices</w:t>
            </w:r>
          </w:p>
        </w:tc>
        <w:tc>
          <w:tcPr>
            <w:tcW w:w="1021" w:type="dxa"/>
            <w:tcBorders>
              <w:bottom w:val="single" w:sz="4" w:space="0" w:color="auto"/>
            </w:tcBorders>
            <w:shd w:val="clear" w:color="000000" w:fill="auto"/>
            <w:noWrap/>
            <w:vAlign w:val="center"/>
            <w:hideMark/>
          </w:tcPr>
          <w:p w14:paraId="16DEF5B8"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SS_PRI</w:t>
            </w:r>
          </w:p>
        </w:tc>
        <w:tc>
          <w:tcPr>
            <w:tcW w:w="973" w:type="dxa"/>
            <w:tcBorders>
              <w:bottom w:val="single" w:sz="4" w:space="0" w:color="auto"/>
            </w:tcBorders>
            <w:shd w:val="clear" w:color="auto" w:fill="auto"/>
            <w:noWrap/>
            <w:vAlign w:val="center"/>
            <w:hideMark/>
          </w:tcPr>
          <w:p w14:paraId="0285458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150.13</w:t>
            </w:r>
          </w:p>
        </w:tc>
        <w:tc>
          <w:tcPr>
            <w:tcW w:w="843" w:type="dxa"/>
            <w:tcBorders>
              <w:bottom w:val="single" w:sz="4" w:space="0" w:color="auto"/>
            </w:tcBorders>
            <w:shd w:val="clear" w:color="auto" w:fill="auto"/>
            <w:noWrap/>
            <w:vAlign w:val="center"/>
            <w:hideMark/>
          </w:tcPr>
          <w:p w14:paraId="4DC8E99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-25.48</w:t>
            </w:r>
          </w:p>
        </w:tc>
        <w:tc>
          <w:tcPr>
            <w:tcW w:w="459" w:type="dxa"/>
            <w:tcBorders>
              <w:bottom w:val="single" w:sz="4" w:space="0" w:color="auto"/>
            </w:tcBorders>
            <w:shd w:val="clear" w:color="auto" w:fill="auto"/>
            <w:noWrap/>
            <w:vAlign w:val="center"/>
            <w:hideMark/>
          </w:tcPr>
          <w:p w14:paraId="2FB528E2"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634" w:type="dxa"/>
            <w:tcBorders>
              <w:bottom w:val="single" w:sz="4" w:space="0" w:color="auto"/>
            </w:tcBorders>
            <w:shd w:val="clear" w:color="auto" w:fill="auto"/>
            <w:noWrap/>
            <w:vAlign w:val="center"/>
            <w:hideMark/>
          </w:tcPr>
          <w:p w14:paraId="53EE425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0.017</w:t>
            </w:r>
          </w:p>
        </w:tc>
        <w:tc>
          <w:tcPr>
            <w:tcW w:w="640" w:type="dxa"/>
            <w:tcBorders>
              <w:bottom w:val="single" w:sz="4" w:space="0" w:color="auto"/>
            </w:tcBorders>
            <w:shd w:val="clear" w:color="auto" w:fill="auto"/>
            <w:noWrap/>
            <w:vAlign w:val="center"/>
            <w:hideMark/>
          </w:tcPr>
          <w:p w14:paraId="7673CE1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tcBorders>
              <w:bottom w:val="single" w:sz="4" w:space="0" w:color="auto"/>
            </w:tcBorders>
            <w:shd w:val="clear" w:color="auto" w:fill="auto"/>
            <w:noWrap/>
            <w:vAlign w:val="center"/>
            <w:hideMark/>
          </w:tcPr>
          <w:p w14:paraId="53B5EA9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4</w:t>
            </w:r>
          </w:p>
        </w:tc>
        <w:tc>
          <w:tcPr>
            <w:tcW w:w="640" w:type="dxa"/>
            <w:tcBorders>
              <w:bottom w:val="single" w:sz="4" w:space="0" w:color="auto"/>
            </w:tcBorders>
            <w:shd w:val="clear" w:color="auto" w:fill="auto"/>
            <w:noWrap/>
            <w:vAlign w:val="center"/>
            <w:hideMark/>
          </w:tcPr>
          <w:p w14:paraId="04F5C9E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tcBorders>
              <w:bottom w:val="single" w:sz="4" w:space="0" w:color="auto"/>
            </w:tcBorders>
            <w:shd w:val="clear" w:color="auto" w:fill="auto"/>
            <w:noWrap/>
            <w:vAlign w:val="center"/>
            <w:hideMark/>
          </w:tcPr>
          <w:p w14:paraId="644E452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5C3A209C" w14:textId="77777777" w:rsidTr="00593412">
        <w:trPr>
          <w:trHeight w:val="20"/>
        </w:trPr>
        <w:tc>
          <w:tcPr>
            <w:tcW w:w="1146" w:type="dxa"/>
            <w:tcBorders>
              <w:top w:val="single" w:sz="4" w:space="0" w:color="auto"/>
            </w:tcBorders>
            <w:shd w:val="clear" w:color="auto" w:fill="auto"/>
            <w:noWrap/>
            <w:vAlign w:val="center"/>
            <w:hideMark/>
          </w:tcPr>
          <w:p w14:paraId="1C246BEE"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Springvale</w:t>
            </w:r>
          </w:p>
        </w:tc>
        <w:tc>
          <w:tcPr>
            <w:tcW w:w="1531" w:type="dxa"/>
            <w:tcBorders>
              <w:top w:val="single" w:sz="4" w:space="0" w:color="auto"/>
            </w:tcBorders>
            <w:shd w:val="clear" w:color="auto" w:fill="auto"/>
            <w:noWrap/>
            <w:vAlign w:val="center"/>
            <w:hideMark/>
          </w:tcPr>
          <w:p w14:paraId="3C4D4016"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Reedy</w:t>
            </w:r>
          </w:p>
        </w:tc>
        <w:tc>
          <w:tcPr>
            <w:tcW w:w="1021" w:type="dxa"/>
            <w:tcBorders>
              <w:top w:val="single" w:sz="4" w:space="0" w:color="auto"/>
            </w:tcBorders>
            <w:shd w:val="clear" w:color="000000" w:fill="auto"/>
            <w:noWrap/>
            <w:vAlign w:val="center"/>
            <w:hideMark/>
          </w:tcPr>
          <w:p w14:paraId="7AA04F6D"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SS_REE</w:t>
            </w:r>
          </w:p>
        </w:tc>
        <w:tc>
          <w:tcPr>
            <w:tcW w:w="973" w:type="dxa"/>
            <w:tcBorders>
              <w:top w:val="single" w:sz="4" w:space="0" w:color="auto"/>
            </w:tcBorders>
            <w:shd w:val="clear" w:color="auto" w:fill="auto"/>
            <w:noWrap/>
            <w:vAlign w:val="center"/>
            <w:hideMark/>
          </w:tcPr>
          <w:p w14:paraId="7313F4B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140.45</w:t>
            </w:r>
          </w:p>
        </w:tc>
        <w:tc>
          <w:tcPr>
            <w:tcW w:w="843" w:type="dxa"/>
            <w:tcBorders>
              <w:top w:val="single" w:sz="4" w:space="0" w:color="auto"/>
            </w:tcBorders>
            <w:shd w:val="clear" w:color="auto" w:fill="auto"/>
            <w:noWrap/>
            <w:vAlign w:val="center"/>
            <w:hideMark/>
          </w:tcPr>
          <w:p w14:paraId="5FA014E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-22.92</w:t>
            </w:r>
          </w:p>
        </w:tc>
        <w:tc>
          <w:tcPr>
            <w:tcW w:w="459" w:type="dxa"/>
            <w:tcBorders>
              <w:top w:val="single" w:sz="4" w:space="0" w:color="auto"/>
            </w:tcBorders>
            <w:shd w:val="clear" w:color="auto" w:fill="auto"/>
            <w:noWrap/>
            <w:vAlign w:val="center"/>
            <w:hideMark/>
          </w:tcPr>
          <w:p w14:paraId="1B4DD415"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4</w:t>
            </w:r>
          </w:p>
        </w:tc>
        <w:tc>
          <w:tcPr>
            <w:tcW w:w="634" w:type="dxa"/>
            <w:tcBorders>
              <w:top w:val="single" w:sz="4" w:space="0" w:color="auto"/>
            </w:tcBorders>
            <w:shd w:val="clear" w:color="auto" w:fill="auto"/>
            <w:noWrap/>
            <w:vAlign w:val="center"/>
            <w:hideMark/>
          </w:tcPr>
          <w:p w14:paraId="13CDE30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0.092</w:t>
            </w:r>
          </w:p>
        </w:tc>
        <w:tc>
          <w:tcPr>
            <w:tcW w:w="640" w:type="dxa"/>
            <w:tcBorders>
              <w:top w:val="single" w:sz="4" w:space="0" w:color="auto"/>
            </w:tcBorders>
            <w:shd w:val="clear" w:color="auto" w:fill="auto"/>
            <w:noWrap/>
            <w:vAlign w:val="center"/>
            <w:hideMark/>
          </w:tcPr>
          <w:p w14:paraId="5C8B3C4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tcBorders>
              <w:top w:val="single" w:sz="4" w:space="0" w:color="auto"/>
            </w:tcBorders>
            <w:shd w:val="clear" w:color="auto" w:fill="auto"/>
            <w:noWrap/>
            <w:vAlign w:val="center"/>
            <w:hideMark/>
          </w:tcPr>
          <w:p w14:paraId="6493C36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tcBorders>
              <w:top w:val="single" w:sz="4" w:space="0" w:color="auto"/>
            </w:tcBorders>
            <w:shd w:val="clear" w:color="auto" w:fill="auto"/>
            <w:noWrap/>
            <w:vAlign w:val="center"/>
            <w:hideMark/>
          </w:tcPr>
          <w:p w14:paraId="13BD652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4</w:t>
            </w:r>
          </w:p>
        </w:tc>
        <w:tc>
          <w:tcPr>
            <w:tcW w:w="494" w:type="dxa"/>
            <w:tcBorders>
              <w:top w:val="single" w:sz="4" w:space="0" w:color="auto"/>
            </w:tcBorders>
            <w:shd w:val="clear" w:color="auto" w:fill="auto"/>
            <w:noWrap/>
            <w:vAlign w:val="center"/>
            <w:hideMark/>
          </w:tcPr>
          <w:p w14:paraId="63DE24E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22D38BB0" w14:textId="77777777" w:rsidTr="00593412">
        <w:trPr>
          <w:trHeight w:val="20"/>
        </w:trPr>
        <w:tc>
          <w:tcPr>
            <w:tcW w:w="1146" w:type="dxa"/>
            <w:shd w:val="clear" w:color="auto" w:fill="auto"/>
            <w:noWrap/>
            <w:vAlign w:val="center"/>
            <w:hideMark/>
          </w:tcPr>
          <w:p w14:paraId="3D01DC16"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Springvale</w:t>
            </w:r>
          </w:p>
        </w:tc>
        <w:tc>
          <w:tcPr>
            <w:tcW w:w="1531" w:type="dxa"/>
            <w:shd w:val="clear" w:color="auto" w:fill="auto"/>
            <w:noWrap/>
            <w:vAlign w:val="center"/>
            <w:hideMark/>
          </w:tcPr>
          <w:p w14:paraId="0B65028D"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Spring Creek</w:t>
            </w:r>
          </w:p>
        </w:tc>
        <w:tc>
          <w:tcPr>
            <w:tcW w:w="1021" w:type="dxa"/>
            <w:shd w:val="clear" w:color="000000" w:fill="auto"/>
            <w:noWrap/>
            <w:vAlign w:val="center"/>
            <w:hideMark/>
          </w:tcPr>
          <w:p w14:paraId="3D1F846F"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SS_SPR</w:t>
            </w:r>
          </w:p>
        </w:tc>
        <w:tc>
          <w:tcPr>
            <w:tcW w:w="973" w:type="dxa"/>
            <w:shd w:val="clear" w:color="auto" w:fill="auto"/>
            <w:noWrap/>
            <w:vAlign w:val="center"/>
            <w:hideMark/>
          </w:tcPr>
          <w:p w14:paraId="7D286C6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140.70</w:t>
            </w:r>
          </w:p>
        </w:tc>
        <w:tc>
          <w:tcPr>
            <w:tcW w:w="843" w:type="dxa"/>
            <w:shd w:val="clear" w:color="auto" w:fill="auto"/>
            <w:noWrap/>
            <w:vAlign w:val="center"/>
            <w:hideMark/>
          </w:tcPr>
          <w:p w14:paraId="12D41366"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-23.57</w:t>
            </w:r>
          </w:p>
        </w:tc>
        <w:tc>
          <w:tcPr>
            <w:tcW w:w="459" w:type="dxa"/>
            <w:shd w:val="clear" w:color="auto" w:fill="auto"/>
            <w:noWrap/>
            <w:vAlign w:val="center"/>
            <w:hideMark/>
          </w:tcPr>
          <w:p w14:paraId="6CF8F15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634" w:type="dxa"/>
            <w:shd w:val="clear" w:color="auto" w:fill="auto"/>
            <w:noWrap/>
            <w:vAlign w:val="center"/>
            <w:hideMark/>
          </w:tcPr>
          <w:p w14:paraId="254E924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0.042</w:t>
            </w:r>
          </w:p>
        </w:tc>
        <w:tc>
          <w:tcPr>
            <w:tcW w:w="640" w:type="dxa"/>
            <w:shd w:val="clear" w:color="auto" w:fill="auto"/>
            <w:noWrap/>
            <w:vAlign w:val="center"/>
            <w:hideMark/>
          </w:tcPr>
          <w:p w14:paraId="524EB6B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shd w:val="clear" w:color="auto" w:fill="auto"/>
            <w:noWrap/>
            <w:vAlign w:val="center"/>
            <w:hideMark/>
          </w:tcPr>
          <w:p w14:paraId="30C3524F"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5039686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494" w:type="dxa"/>
            <w:shd w:val="clear" w:color="auto" w:fill="auto"/>
            <w:noWrap/>
            <w:vAlign w:val="center"/>
            <w:hideMark/>
          </w:tcPr>
          <w:p w14:paraId="4567311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57466B78" w14:textId="77777777" w:rsidTr="00593412">
        <w:trPr>
          <w:trHeight w:val="20"/>
        </w:trPr>
        <w:tc>
          <w:tcPr>
            <w:tcW w:w="1146" w:type="dxa"/>
            <w:shd w:val="clear" w:color="auto" w:fill="auto"/>
            <w:noWrap/>
            <w:vAlign w:val="center"/>
            <w:hideMark/>
          </w:tcPr>
          <w:p w14:paraId="28A29F3A"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Springvale</w:t>
            </w:r>
          </w:p>
        </w:tc>
        <w:tc>
          <w:tcPr>
            <w:tcW w:w="1531" w:type="dxa"/>
            <w:shd w:val="clear" w:color="auto" w:fill="auto"/>
            <w:noWrap/>
            <w:vAlign w:val="center"/>
            <w:hideMark/>
          </w:tcPr>
          <w:p w14:paraId="01C34812"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Elizabeth</w:t>
            </w:r>
          </w:p>
        </w:tc>
        <w:tc>
          <w:tcPr>
            <w:tcW w:w="1021" w:type="dxa"/>
            <w:shd w:val="clear" w:color="000000" w:fill="auto"/>
            <w:noWrap/>
            <w:vAlign w:val="center"/>
            <w:hideMark/>
          </w:tcPr>
          <w:p w14:paraId="3BB07F68"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SS_ELI</w:t>
            </w:r>
          </w:p>
        </w:tc>
        <w:tc>
          <w:tcPr>
            <w:tcW w:w="973" w:type="dxa"/>
            <w:shd w:val="clear" w:color="auto" w:fill="auto"/>
            <w:noWrap/>
            <w:vAlign w:val="center"/>
            <w:hideMark/>
          </w:tcPr>
          <w:p w14:paraId="7D147A5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140.58</w:t>
            </w:r>
          </w:p>
        </w:tc>
        <w:tc>
          <w:tcPr>
            <w:tcW w:w="843" w:type="dxa"/>
            <w:shd w:val="clear" w:color="auto" w:fill="auto"/>
            <w:noWrap/>
            <w:vAlign w:val="center"/>
            <w:hideMark/>
          </w:tcPr>
          <w:p w14:paraId="15A67057"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-23.34</w:t>
            </w:r>
          </w:p>
        </w:tc>
        <w:tc>
          <w:tcPr>
            <w:tcW w:w="459" w:type="dxa"/>
            <w:shd w:val="clear" w:color="auto" w:fill="auto"/>
            <w:noWrap/>
            <w:vAlign w:val="center"/>
            <w:hideMark/>
          </w:tcPr>
          <w:p w14:paraId="2D308283"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6</w:t>
            </w:r>
          </w:p>
        </w:tc>
        <w:tc>
          <w:tcPr>
            <w:tcW w:w="634" w:type="dxa"/>
            <w:shd w:val="clear" w:color="auto" w:fill="auto"/>
            <w:noWrap/>
            <w:vAlign w:val="center"/>
            <w:hideMark/>
          </w:tcPr>
          <w:p w14:paraId="390BAB50"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0.007</w:t>
            </w:r>
          </w:p>
        </w:tc>
        <w:tc>
          <w:tcPr>
            <w:tcW w:w="640" w:type="dxa"/>
            <w:shd w:val="clear" w:color="auto" w:fill="auto"/>
            <w:noWrap/>
            <w:vAlign w:val="center"/>
            <w:hideMark/>
          </w:tcPr>
          <w:p w14:paraId="0FB80018"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87</w:t>
            </w:r>
          </w:p>
        </w:tc>
        <w:tc>
          <w:tcPr>
            <w:tcW w:w="522" w:type="dxa"/>
            <w:shd w:val="clear" w:color="auto" w:fill="auto"/>
            <w:noWrap/>
            <w:vAlign w:val="center"/>
            <w:hideMark/>
          </w:tcPr>
          <w:p w14:paraId="20E85F0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shd w:val="clear" w:color="auto" w:fill="auto"/>
            <w:noWrap/>
            <w:vAlign w:val="center"/>
            <w:hideMark/>
          </w:tcPr>
          <w:p w14:paraId="0D916B6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494" w:type="dxa"/>
            <w:shd w:val="clear" w:color="auto" w:fill="auto"/>
            <w:noWrap/>
            <w:vAlign w:val="center"/>
            <w:hideMark/>
          </w:tcPr>
          <w:p w14:paraId="1ED11CB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r w:rsidR="00593412" w:rsidRPr="00747E35" w14:paraId="14D1B3D6" w14:textId="77777777" w:rsidTr="00593412">
        <w:trPr>
          <w:trHeight w:val="20"/>
        </w:trPr>
        <w:tc>
          <w:tcPr>
            <w:tcW w:w="1146" w:type="dxa"/>
            <w:tcBorders>
              <w:bottom w:val="single" w:sz="4" w:space="0" w:color="auto"/>
            </w:tcBorders>
            <w:shd w:val="clear" w:color="auto" w:fill="auto"/>
            <w:noWrap/>
            <w:vAlign w:val="center"/>
            <w:hideMark/>
          </w:tcPr>
          <w:p w14:paraId="4395CB23"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Springvale</w:t>
            </w:r>
          </w:p>
        </w:tc>
        <w:tc>
          <w:tcPr>
            <w:tcW w:w="1531" w:type="dxa"/>
            <w:tcBorders>
              <w:bottom w:val="single" w:sz="4" w:space="0" w:color="auto"/>
            </w:tcBorders>
            <w:shd w:val="clear" w:color="auto" w:fill="auto"/>
            <w:noWrap/>
            <w:vAlign w:val="center"/>
            <w:hideMark/>
          </w:tcPr>
          <w:p w14:paraId="649ED0CF"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Mt Datson</w:t>
            </w:r>
          </w:p>
        </w:tc>
        <w:tc>
          <w:tcPr>
            <w:tcW w:w="1021" w:type="dxa"/>
            <w:tcBorders>
              <w:bottom w:val="single" w:sz="4" w:space="0" w:color="auto"/>
            </w:tcBorders>
            <w:shd w:val="clear" w:color="000000" w:fill="auto"/>
            <w:noWrap/>
            <w:vAlign w:val="center"/>
            <w:hideMark/>
          </w:tcPr>
          <w:p w14:paraId="3BBD7FE6" w14:textId="77777777" w:rsidR="00985FC7" w:rsidRPr="00747E35" w:rsidRDefault="00985FC7" w:rsidP="00697C1D">
            <w:pPr>
              <w:pStyle w:val="Tabletext"/>
              <w:spacing w:before="0" w:after="0"/>
              <w:rPr>
                <w:rFonts w:cstheme="minorHAnsi"/>
                <w:szCs w:val="18"/>
                <w:lang w:eastAsia="en-AU"/>
              </w:rPr>
            </w:pPr>
            <w:r w:rsidRPr="00747E35">
              <w:rPr>
                <w:rFonts w:cstheme="minorHAnsi"/>
                <w:szCs w:val="18"/>
                <w:lang w:eastAsia="en-AU"/>
              </w:rPr>
              <w:t>SS_MDAT</w:t>
            </w:r>
          </w:p>
        </w:tc>
        <w:tc>
          <w:tcPr>
            <w:tcW w:w="973" w:type="dxa"/>
            <w:tcBorders>
              <w:bottom w:val="single" w:sz="4" w:space="0" w:color="auto"/>
            </w:tcBorders>
            <w:shd w:val="clear" w:color="auto" w:fill="auto"/>
            <w:noWrap/>
            <w:vAlign w:val="center"/>
            <w:hideMark/>
          </w:tcPr>
          <w:p w14:paraId="6FE06734"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140.43</w:t>
            </w:r>
          </w:p>
        </w:tc>
        <w:tc>
          <w:tcPr>
            <w:tcW w:w="843" w:type="dxa"/>
            <w:tcBorders>
              <w:bottom w:val="single" w:sz="4" w:space="0" w:color="auto"/>
            </w:tcBorders>
            <w:shd w:val="clear" w:color="auto" w:fill="auto"/>
            <w:noWrap/>
            <w:vAlign w:val="center"/>
            <w:hideMark/>
          </w:tcPr>
          <w:p w14:paraId="0EE42F2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-22.85</w:t>
            </w:r>
          </w:p>
        </w:tc>
        <w:tc>
          <w:tcPr>
            <w:tcW w:w="459" w:type="dxa"/>
            <w:tcBorders>
              <w:bottom w:val="single" w:sz="4" w:space="0" w:color="auto"/>
            </w:tcBorders>
            <w:shd w:val="clear" w:color="auto" w:fill="auto"/>
            <w:noWrap/>
            <w:vAlign w:val="center"/>
            <w:hideMark/>
          </w:tcPr>
          <w:p w14:paraId="62F0B49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w:t>
            </w:r>
          </w:p>
        </w:tc>
        <w:tc>
          <w:tcPr>
            <w:tcW w:w="634" w:type="dxa"/>
            <w:tcBorders>
              <w:bottom w:val="single" w:sz="4" w:space="0" w:color="auto"/>
            </w:tcBorders>
            <w:shd w:val="clear" w:color="auto" w:fill="auto"/>
            <w:noWrap/>
            <w:vAlign w:val="center"/>
            <w:hideMark/>
          </w:tcPr>
          <w:p w14:paraId="474C05A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0.007</w:t>
            </w:r>
          </w:p>
        </w:tc>
        <w:tc>
          <w:tcPr>
            <w:tcW w:w="640" w:type="dxa"/>
            <w:tcBorders>
              <w:bottom w:val="single" w:sz="4" w:space="0" w:color="auto"/>
            </w:tcBorders>
            <w:shd w:val="clear" w:color="auto" w:fill="auto"/>
            <w:noWrap/>
            <w:vAlign w:val="center"/>
            <w:hideMark/>
          </w:tcPr>
          <w:p w14:paraId="4A80BAFE"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522" w:type="dxa"/>
            <w:tcBorders>
              <w:bottom w:val="single" w:sz="4" w:space="0" w:color="auto"/>
            </w:tcBorders>
            <w:shd w:val="clear" w:color="auto" w:fill="auto"/>
            <w:noWrap/>
            <w:vAlign w:val="center"/>
            <w:hideMark/>
          </w:tcPr>
          <w:p w14:paraId="47928361"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c>
          <w:tcPr>
            <w:tcW w:w="640" w:type="dxa"/>
            <w:tcBorders>
              <w:bottom w:val="single" w:sz="4" w:space="0" w:color="auto"/>
            </w:tcBorders>
            <w:shd w:val="clear" w:color="auto" w:fill="auto"/>
            <w:noWrap/>
            <w:vAlign w:val="center"/>
            <w:hideMark/>
          </w:tcPr>
          <w:p w14:paraId="5AC709A9"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15</w:t>
            </w:r>
          </w:p>
        </w:tc>
        <w:tc>
          <w:tcPr>
            <w:tcW w:w="494" w:type="dxa"/>
            <w:tcBorders>
              <w:bottom w:val="single" w:sz="4" w:space="0" w:color="auto"/>
            </w:tcBorders>
            <w:shd w:val="clear" w:color="auto" w:fill="auto"/>
            <w:noWrap/>
            <w:vAlign w:val="center"/>
            <w:hideMark/>
          </w:tcPr>
          <w:p w14:paraId="20CA880A" w14:textId="77777777" w:rsidR="00985FC7" w:rsidRPr="00747E35" w:rsidRDefault="00985FC7" w:rsidP="00697C1D">
            <w:pPr>
              <w:pStyle w:val="Tabletext"/>
              <w:spacing w:before="0" w:after="0"/>
              <w:jc w:val="center"/>
              <w:rPr>
                <w:rFonts w:cstheme="minorHAnsi"/>
                <w:szCs w:val="18"/>
                <w:lang w:eastAsia="en-AU"/>
              </w:rPr>
            </w:pPr>
            <w:r w:rsidRPr="00747E35">
              <w:rPr>
                <w:rFonts w:cstheme="minorHAnsi"/>
                <w:szCs w:val="18"/>
                <w:lang w:eastAsia="en-AU"/>
              </w:rPr>
              <w:t>0</w:t>
            </w:r>
          </w:p>
        </w:tc>
      </w:tr>
    </w:tbl>
    <w:p w14:paraId="4BECE82A" w14:textId="77777777" w:rsidR="00985FC7" w:rsidRPr="00747E35" w:rsidRDefault="00985FC7" w:rsidP="00985FC7">
      <w:pPr>
        <w:rPr>
          <w:rFonts w:asciiTheme="minorHAnsi" w:hAnsiTheme="minorHAnsi" w:cstheme="minorHAnsi"/>
        </w:rPr>
      </w:pPr>
    </w:p>
    <w:p w14:paraId="1F502B95" w14:textId="77777777" w:rsidR="005E04D7" w:rsidRPr="00925BFC" w:rsidRDefault="005E04D7" w:rsidP="005E04D7">
      <w:pPr>
        <w:rPr>
          <w:rFonts w:asciiTheme="minorHAnsi" w:hAnsiTheme="minorHAnsi"/>
          <w:i/>
        </w:rPr>
      </w:pPr>
      <w:r w:rsidRPr="00925BFC">
        <w:rPr>
          <w:rFonts w:asciiTheme="minorHAnsi" w:hAnsiTheme="minorHAnsi"/>
          <w:i/>
        </w:rPr>
        <w:t>References</w:t>
      </w:r>
    </w:p>
    <w:p w14:paraId="61A4A9D3" w14:textId="77777777" w:rsidR="005E04D7" w:rsidRPr="00925BFC" w:rsidRDefault="005E04D7" w:rsidP="005E04D7">
      <w:pPr>
        <w:pStyle w:val="References"/>
        <w:ind w:left="284" w:hanging="284"/>
        <w:rPr>
          <w:rFonts w:asciiTheme="minorHAnsi" w:hAnsiTheme="minorHAnsi"/>
        </w:rPr>
      </w:pPr>
      <w:r w:rsidRPr="00925BFC">
        <w:rPr>
          <w:rFonts w:asciiTheme="minorHAnsi" w:hAnsiTheme="minorHAnsi"/>
        </w:rPr>
        <w:t xml:space="preserve">Australian Bureau of Agricultural and Resource Economics and Sciences </w:t>
      </w:r>
      <w:r>
        <w:rPr>
          <w:rFonts w:asciiTheme="minorHAnsi" w:hAnsiTheme="minorHAnsi"/>
        </w:rPr>
        <w:t>(</w:t>
      </w:r>
      <w:r w:rsidRPr="00E03858">
        <w:rPr>
          <w:rFonts w:asciiTheme="minorHAnsi" w:hAnsiTheme="minorHAnsi"/>
        </w:rPr>
        <w:t>ABARES</w:t>
      </w:r>
      <w:r>
        <w:rPr>
          <w:rFonts w:asciiTheme="minorHAnsi" w:hAnsiTheme="minorHAnsi"/>
        </w:rPr>
        <w:t>)</w:t>
      </w:r>
      <w:r w:rsidRPr="00E03858">
        <w:rPr>
          <w:rFonts w:asciiTheme="minorHAnsi" w:hAnsiTheme="minorHAnsi"/>
        </w:rPr>
        <w:t xml:space="preserve"> </w:t>
      </w:r>
      <w:r w:rsidRPr="00925BFC">
        <w:rPr>
          <w:rFonts w:asciiTheme="minorHAnsi" w:hAnsiTheme="minorHAnsi"/>
        </w:rPr>
        <w:t xml:space="preserve">(2016). Land use of Australia 2010–11. Available at: </w:t>
      </w:r>
      <w:hyperlink r:id="rId249" w:history="1">
        <w:r w:rsidRPr="00925BFC">
          <w:rPr>
            <w:rStyle w:val="Hyperlink"/>
            <w:rFonts w:asciiTheme="minorHAnsi" w:hAnsiTheme="minorHAnsi"/>
          </w:rPr>
          <w:t>http://www.agriculture.gov.au/abares/aclump/land-use/data-download</w:t>
        </w:r>
      </w:hyperlink>
    </w:p>
    <w:p w14:paraId="0513F46C" w14:textId="77777777" w:rsidR="005E04D7" w:rsidRPr="00925BFC" w:rsidRDefault="005E04D7" w:rsidP="005E04D7">
      <w:pPr>
        <w:pStyle w:val="References"/>
        <w:ind w:left="284" w:hanging="284"/>
        <w:rPr>
          <w:rFonts w:asciiTheme="minorHAnsi" w:hAnsiTheme="minorHAnsi"/>
        </w:rPr>
      </w:pPr>
      <w:r w:rsidRPr="00925BFC">
        <w:rPr>
          <w:rFonts w:asciiTheme="minorHAnsi" w:hAnsiTheme="minorHAnsi"/>
        </w:rPr>
        <w:t xml:space="preserve">Collaborative Australian Protected Areas Database (CAPAD) (2014). Commonwealth of Australia 2014. Available at: </w:t>
      </w:r>
      <w:hyperlink r:id="rId250" w:history="1">
        <w:r w:rsidRPr="00925BFC">
          <w:rPr>
            <w:rStyle w:val="Hyperlink"/>
            <w:rFonts w:asciiTheme="minorHAnsi" w:hAnsiTheme="minorHAnsi"/>
          </w:rPr>
          <w:t>https://www.environment.gov.au/land/nrs/science/capad</w:t>
        </w:r>
      </w:hyperlink>
    </w:p>
    <w:p w14:paraId="5A9381C7" w14:textId="77777777" w:rsidR="00985FC7" w:rsidRPr="00747E35" w:rsidRDefault="00985FC7" w:rsidP="00985FC7">
      <w:pPr>
        <w:rPr>
          <w:rFonts w:asciiTheme="minorHAnsi" w:hAnsiTheme="minorHAnsi" w:cstheme="minorHAnsi"/>
        </w:rPr>
      </w:pPr>
    </w:p>
    <w:sectPr w:rsidR="00985FC7" w:rsidRPr="00747E35" w:rsidSect="00287299">
      <w:headerReference w:type="even" r:id="rId251"/>
      <w:headerReference w:type="default" r:id="rId252"/>
      <w:headerReference w:type="first" r:id="rId253"/>
      <w:pgSz w:w="11900" w:h="16840" w:code="9"/>
      <w:pgMar w:top="2094" w:right="1418" w:bottom="1418" w:left="1418" w:header="142" w:footer="680" w:gutter="0"/>
      <w:cols w:space="284"/>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A818D3" w14:textId="77777777" w:rsidR="00D023DD" w:rsidRDefault="00D023DD">
      <w:pPr>
        <w:spacing w:after="0"/>
      </w:pPr>
      <w:r>
        <w:separator/>
      </w:r>
    </w:p>
  </w:endnote>
  <w:endnote w:type="continuationSeparator" w:id="0">
    <w:p w14:paraId="7EE4DBD4" w14:textId="77777777" w:rsidR="00D023DD" w:rsidRDefault="00D023DD">
      <w:pPr>
        <w:spacing w:after="0"/>
      </w:pPr>
      <w:r>
        <w:continuationSeparator/>
      </w:r>
    </w:p>
  </w:endnote>
  <w:endnote w:type="continuationNotice" w:id="1">
    <w:p w14:paraId="1AF305BC" w14:textId="77777777" w:rsidR="00D023DD" w:rsidRDefault="00D023DD">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Bold">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Calibri-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Gesta">
    <w:altName w:val="Arial"/>
    <w:panose1 w:val="00000000000000000000"/>
    <w:charset w:val="00"/>
    <w:family w:val="modern"/>
    <w:notTrueType/>
    <w:pitch w:val="variable"/>
    <w:sig w:usb0="00000001" w:usb1="4000204B" w:usb2="00000000" w:usb3="00000000" w:csb0="00000093" w:csb1="00000000"/>
  </w:font>
  <w:font w:name="Angsana New">
    <w:panose1 w:val="02020603050405020304"/>
    <w:charset w:val="00"/>
    <w:family w:val="roman"/>
    <w:pitch w:val="variable"/>
    <w:sig w:usb0="81000003" w:usb1="00000000" w:usb2="00000000" w:usb3="00000000" w:csb0="00010001" w:csb1="00000000"/>
  </w:font>
  <w:font w:name="Times">
    <w:panose1 w:val="02020603050405020304"/>
    <w:charset w:val="00"/>
    <w:family w:val="roman"/>
    <w:pitch w:val="variable"/>
    <w:sig w:usb0="E0002AF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Whitney HTF">
    <w:altName w:val="Cambria"/>
    <w:panose1 w:val="00000000000000000000"/>
    <w:charset w:val="00"/>
    <w:family w:val="swiss"/>
    <w:notTrueType/>
    <w:pitch w:val="default"/>
    <w:sig w:usb0="00000003" w:usb1="00000000" w:usb2="00000000" w:usb3="00000000" w:csb0="00000001" w:csb1="00000000"/>
  </w:font>
  <w:font w:name="Whitney HTF Light">
    <w:altName w:val="Whitney HTF Light"/>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3D51AD" w14:textId="77777777" w:rsidR="001C4D08" w:rsidRDefault="001C4D08">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238F26" w14:textId="77777777" w:rsidR="00D023DD" w:rsidRDefault="00D023DD" w:rsidP="0096743A">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03377714" w14:textId="77777777" w:rsidR="00D023DD" w:rsidRDefault="00D023DD" w:rsidP="0096743A">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3A0679" w14:textId="77777777" w:rsidR="00D023DD" w:rsidRDefault="00D023DD" w:rsidP="0096743A">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12170F58" w14:textId="77777777" w:rsidR="00D023DD" w:rsidRDefault="00D023DD" w:rsidP="0096743A">
    <w:pPr>
      <w:pStyle w:val="Footer"/>
    </w:pPr>
  </w:p>
  <w:p w14:paraId="19B46873" w14:textId="77777777" w:rsidR="00D023DD" w:rsidRDefault="00D023DD"/>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E1769D" w14:textId="77777777" w:rsidR="00D023DD" w:rsidRDefault="00D023DD" w:rsidP="0096743A">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0A904087" w14:textId="77777777" w:rsidR="00D023DD" w:rsidRDefault="00D023DD" w:rsidP="0096743A">
    <w:pPr>
      <w:pStyle w:val="Footer"/>
    </w:pPr>
  </w:p>
  <w:p w14:paraId="5B082633" w14:textId="77777777" w:rsidR="00D023DD" w:rsidRDefault="00D023DD"/>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802659" w14:textId="77777777" w:rsidR="00D023DD" w:rsidRDefault="00D023DD" w:rsidP="0044478E">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0D4C18D9" w14:textId="77777777" w:rsidR="00D023DD" w:rsidRDefault="00D023DD" w:rsidP="0044478E">
    <w:pPr>
      <w:pStyle w:val="Footer"/>
    </w:pPr>
  </w:p>
  <w:p w14:paraId="3B62019E" w14:textId="77777777" w:rsidR="00D023DD" w:rsidRDefault="00D023DD" w:rsidP="0044478E"/>
  <w:p w14:paraId="39E4DA7F" w14:textId="77777777" w:rsidR="00D023DD" w:rsidRDefault="00D023DD" w:rsidP="0044478E"/>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E83AB7" w14:textId="77777777" w:rsidR="00D023DD" w:rsidRDefault="00D023DD" w:rsidP="0096743A">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18217099" w14:textId="77777777" w:rsidR="00D023DD" w:rsidRDefault="00D023DD" w:rsidP="0096743A">
    <w:pPr>
      <w:pStyle w:val="Footer"/>
    </w:pPr>
  </w:p>
  <w:p w14:paraId="55E969A2" w14:textId="77777777" w:rsidR="00D023DD" w:rsidRDefault="00D023DD" w:rsidP="0096743A"/>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B1D454" w14:textId="77777777" w:rsidR="00D023DD" w:rsidRDefault="00D023DD" w:rsidP="00697C1D">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6E2B5D0D" w14:textId="77777777" w:rsidR="00D023DD" w:rsidRDefault="00D023DD" w:rsidP="00697C1D">
    <w:pPr>
      <w:pStyle w:val="Footer"/>
    </w:pPr>
  </w:p>
  <w:p w14:paraId="109DA0F4" w14:textId="77777777" w:rsidR="00D023DD" w:rsidRDefault="00D023DD" w:rsidP="00697C1D"/>
  <w:p w14:paraId="0A347368" w14:textId="77777777" w:rsidR="00D023DD" w:rsidRDefault="00D023DD" w:rsidP="00697C1D"/>
  <w:p w14:paraId="193C0A31" w14:textId="77777777" w:rsidR="00D023DD" w:rsidRDefault="00D023DD" w:rsidP="00697C1D"/>
  <w:p w14:paraId="2F5FB020" w14:textId="77777777" w:rsidR="00D023DD" w:rsidRDefault="00D023DD" w:rsidP="00697C1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7306051"/>
      <w:docPartObj>
        <w:docPartGallery w:val="Page Numbers (Bottom of Page)"/>
        <w:docPartUnique/>
      </w:docPartObj>
    </w:sdtPr>
    <w:sdtEndPr>
      <w:rPr>
        <w:noProof/>
      </w:rPr>
    </w:sdtEndPr>
    <w:sdtContent>
      <w:p w14:paraId="664C2DDB" w14:textId="77777777" w:rsidR="00D023DD" w:rsidRDefault="00D023DD" w:rsidP="0096743A">
        <w:pPr>
          <w:pStyle w:val="Footer"/>
          <w:pBdr>
            <w:top w:val="single" w:sz="4" w:space="1" w:color="auto"/>
          </w:pBdr>
          <w:jc w:val="right"/>
        </w:pPr>
        <w:r w:rsidRPr="00BA5C65">
          <w:rPr>
            <w:rFonts w:asciiTheme="minorHAnsi" w:hAnsiTheme="minorHAnsi"/>
            <w:sz w:val="20"/>
            <w:szCs w:val="20"/>
          </w:rPr>
          <w:fldChar w:fldCharType="begin"/>
        </w:r>
        <w:r w:rsidRPr="00BA5C65">
          <w:rPr>
            <w:rFonts w:asciiTheme="minorHAnsi" w:hAnsiTheme="minorHAnsi"/>
            <w:sz w:val="20"/>
            <w:szCs w:val="20"/>
          </w:rPr>
          <w:instrText xml:space="preserve"> PAGE   \* MERGEFORMAT </w:instrText>
        </w:r>
        <w:r w:rsidRPr="00BA5C65">
          <w:rPr>
            <w:rFonts w:asciiTheme="minorHAnsi" w:hAnsiTheme="minorHAnsi"/>
            <w:sz w:val="20"/>
            <w:szCs w:val="20"/>
          </w:rPr>
          <w:fldChar w:fldCharType="separate"/>
        </w:r>
        <w:r w:rsidR="000329AB">
          <w:rPr>
            <w:rFonts w:asciiTheme="minorHAnsi" w:hAnsiTheme="minorHAnsi"/>
            <w:noProof/>
            <w:sz w:val="20"/>
            <w:szCs w:val="20"/>
          </w:rPr>
          <w:t>2</w:t>
        </w:r>
        <w:r w:rsidRPr="00BA5C65">
          <w:rPr>
            <w:rFonts w:asciiTheme="minorHAnsi" w:hAnsiTheme="minorHAnsi"/>
            <w:noProof/>
            <w:sz w:val="20"/>
            <w:szCs w:val="20"/>
          </w:rPr>
          <w:fldChar w:fldCharType="end"/>
        </w:r>
      </w:p>
    </w:sdtContent>
  </w:sdt>
  <w:p w14:paraId="13881410" w14:textId="77777777" w:rsidR="00D023DD" w:rsidRDefault="00D023DD" w:rsidP="0096743A">
    <w:pPr>
      <w:pStyle w:val="Footer"/>
      <w:pBdr>
        <w:top w:val="single" w:sz="4" w:space="1" w:color="auto"/>
      </w:pBd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60FD1F" w14:textId="77777777" w:rsidR="001C4D08" w:rsidRDefault="001C4D0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7442466"/>
      <w:docPartObj>
        <w:docPartGallery w:val="Page Numbers (Bottom of Page)"/>
        <w:docPartUnique/>
      </w:docPartObj>
    </w:sdtPr>
    <w:sdtEndPr>
      <w:rPr>
        <w:noProof/>
      </w:rPr>
    </w:sdtEndPr>
    <w:sdtContent>
      <w:p w14:paraId="662D8E52" w14:textId="77777777" w:rsidR="00D023DD" w:rsidRDefault="00D023DD" w:rsidP="0096743A">
        <w:pPr>
          <w:pStyle w:val="Footer"/>
          <w:pBdr>
            <w:top w:val="single" w:sz="4" w:space="1" w:color="auto"/>
          </w:pBdr>
          <w:jc w:val="right"/>
        </w:pPr>
        <w:r w:rsidRPr="004C011D">
          <w:rPr>
            <w:rFonts w:asciiTheme="minorHAnsi" w:hAnsiTheme="minorHAnsi"/>
            <w:sz w:val="20"/>
            <w:szCs w:val="20"/>
          </w:rPr>
          <w:fldChar w:fldCharType="begin"/>
        </w:r>
        <w:r w:rsidRPr="004C011D">
          <w:rPr>
            <w:rFonts w:asciiTheme="minorHAnsi" w:hAnsiTheme="minorHAnsi"/>
            <w:sz w:val="20"/>
            <w:szCs w:val="20"/>
          </w:rPr>
          <w:instrText xml:space="preserve"> PAGE   \* MERGEFORMAT </w:instrText>
        </w:r>
        <w:r w:rsidRPr="004C011D">
          <w:rPr>
            <w:rFonts w:asciiTheme="minorHAnsi" w:hAnsiTheme="minorHAnsi"/>
            <w:sz w:val="20"/>
            <w:szCs w:val="20"/>
          </w:rPr>
          <w:fldChar w:fldCharType="separate"/>
        </w:r>
        <w:r w:rsidR="006E6498">
          <w:rPr>
            <w:rFonts w:asciiTheme="minorHAnsi" w:hAnsiTheme="minorHAnsi"/>
            <w:noProof/>
            <w:sz w:val="20"/>
            <w:szCs w:val="20"/>
          </w:rPr>
          <w:t>23</w:t>
        </w:r>
        <w:r w:rsidRPr="004C011D">
          <w:rPr>
            <w:rFonts w:asciiTheme="minorHAnsi" w:hAnsiTheme="minorHAnsi"/>
            <w:noProof/>
            <w:sz w:val="20"/>
            <w:szCs w:val="20"/>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5986294"/>
      <w:docPartObj>
        <w:docPartGallery w:val="Page Numbers (Bottom of Page)"/>
        <w:docPartUnique/>
      </w:docPartObj>
    </w:sdtPr>
    <w:sdtEndPr>
      <w:rPr>
        <w:noProof/>
      </w:rPr>
    </w:sdtEndPr>
    <w:sdtContent>
      <w:p w14:paraId="7DD0B31C" w14:textId="77777777" w:rsidR="00D023DD" w:rsidRDefault="00D023DD" w:rsidP="0096743A">
        <w:pPr>
          <w:pStyle w:val="Footer"/>
          <w:pBdr>
            <w:top w:val="single" w:sz="4" w:space="1" w:color="auto"/>
          </w:pBdr>
          <w:jc w:val="right"/>
        </w:pPr>
        <w:r w:rsidRPr="00E947EA">
          <w:rPr>
            <w:rFonts w:asciiTheme="minorHAnsi" w:hAnsiTheme="minorHAnsi"/>
            <w:sz w:val="20"/>
            <w:szCs w:val="20"/>
          </w:rPr>
          <w:fldChar w:fldCharType="begin"/>
        </w:r>
        <w:r w:rsidRPr="00E947EA">
          <w:rPr>
            <w:rFonts w:asciiTheme="minorHAnsi" w:hAnsiTheme="minorHAnsi"/>
            <w:sz w:val="20"/>
            <w:szCs w:val="20"/>
          </w:rPr>
          <w:instrText xml:space="preserve"> PAGE   \* MERGEFORMAT </w:instrText>
        </w:r>
        <w:r w:rsidRPr="00E947EA">
          <w:rPr>
            <w:rFonts w:asciiTheme="minorHAnsi" w:hAnsiTheme="minorHAnsi"/>
            <w:sz w:val="20"/>
            <w:szCs w:val="20"/>
          </w:rPr>
          <w:fldChar w:fldCharType="separate"/>
        </w:r>
        <w:r w:rsidR="006E6498">
          <w:rPr>
            <w:rFonts w:asciiTheme="minorHAnsi" w:hAnsiTheme="minorHAnsi"/>
            <w:noProof/>
            <w:sz w:val="20"/>
            <w:szCs w:val="20"/>
          </w:rPr>
          <w:t>28</w:t>
        </w:r>
        <w:r w:rsidRPr="00E947EA">
          <w:rPr>
            <w:rFonts w:asciiTheme="minorHAnsi" w:hAnsiTheme="minorHAnsi"/>
            <w:noProof/>
            <w:sz w:val="20"/>
            <w:szCs w:val="20"/>
          </w:rPr>
          <w:fldChar w:fldCharType="end"/>
        </w:r>
      </w:p>
    </w:sdtContent>
  </w:sdt>
  <w:p w14:paraId="4A744669" w14:textId="77777777" w:rsidR="00D023DD" w:rsidRDefault="00D023DD" w:rsidP="0096743A">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F05218" w14:textId="77777777" w:rsidR="00D023DD" w:rsidRDefault="00D023DD" w:rsidP="0096743A">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0D8A47A7" w14:textId="77777777" w:rsidR="00D023DD" w:rsidRDefault="00D023DD" w:rsidP="0096743A">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79E3F8" w14:textId="77777777" w:rsidR="00D023DD" w:rsidRPr="00E947EA" w:rsidRDefault="00D023DD" w:rsidP="0020065D">
    <w:pPr>
      <w:pStyle w:val="Footer"/>
      <w:pBdr>
        <w:top w:val="single" w:sz="4" w:space="1" w:color="auto"/>
      </w:pBdr>
      <w:jc w:val="right"/>
      <w:rPr>
        <w:rStyle w:val="PageNumber"/>
        <w:rFonts w:asciiTheme="minorHAnsi" w:hAnsiTheme="minorHAnsi"/>
        <w:sz w:val="20"/>
        <w:szCs w:val="20"/>
      </w:rPr>
    </w:pPr>
    <w:r w:rsidRPr="00E947EA">
      <w:rPr>
        <w:rStyle w:val="PageNumber"/>
        <w:rFonts w:asciiTheme="minorHAnsi" w:hAnsiTheme="minorHAnsi"/>
        <w:sz w:val="20"/>
        <w:szCs w:val="20"/>
      </w:rPr>
      <w:fldChar w:fldCharType="begin"/>
    </w:r>
    <w:r w:rsidRPr="00E947EA">
      <w:rPr>
        <w:rStyle w:val="PageNumber"/>
        <w:rFonts w:asciiTheme="minorHAnsi" w:hAnsiTheme="minorHAnsi"/>
        <w:sz w:val="20"/>
        <w:szCs w:val="20"/>
      </w:rPr>
      <w:instrText xml:space="preserve">PAGE  </w:instrText>
    </w:r>
    <w:r w:rsidRPr="00E947EA">
      <w:rPr>
        <w:rStyle w:val="PageNumber"/>
        <w:rFonts w:asciiTheme="minorHAnsi" w:hAnsiTheme="minorHAnsi"/>
        <w:sz w:val="20"/>
        <w:szCs w:val="20"/>
      </w:rPr>
      <w:fldChar w:fldCharType="separate"/>
    </w:r>
    <w:r w:rsidR="000329AB">
      <w:rPr>
        <w:rStyle w:val="PageNumber"/>
        <w:rFonts w:asciiTheme="minorHAnsi" w:hAnsiTheme="minorHAnsi"/>
        <w:noProof/>
        <w:sz w:val="20"/>
        <w:szCs w:val="20"/>
      </w:rPr>
      <w:t>46</w:t>
    </w:r>
    <w:r w:rsidRPr="00E947EA">
      <w:rPr>
        <w:rStyle w:val="PageNumber"/>
        <w:rFonts w:asciiTheme="minorHAnsi" w:hAnsiTheme="minorHAnsi"/>
        <w:sz w:val="20"/>
        <w:szCs w:val="20"/>
      </w:rPr>
      <w:fldChar w:fldCharType="end"/>
    </w:r>
  </w:p>
  <w:p w14:paraId="1F2B8068" w14:textId="77777777" w:rsidR="00D023DD" w:rsidRDefault="00D023DD" w:rsidP="0096743A">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1FB78C" w14:textId="77777777" w:rsidR="00D023DD" w:rsidRDefault="00D023DD" w:rsidP="0096743A">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61D13911" w14:textId="77777777" w:rsidR="00D023DD" w:rsidRDefault="00D023DD" w:rsidP="0096743A">
    <w:pPr>
      <w:pStyle w:val="Footer"/>
    </w:pPr>
  </w:p>
  <w:p w14:paraId="32873EC2" w14:textId="77777777" w:rsidR="00D023DD" w:rsidRDefault="00D023DD" w:rsidP="0096743A"/>
  <w:p w14:paraId="097F5C71" w14:textId="77777777" w:rsidR="00D023DD" w:rsidRDefault="00D023DD" w:rsidP="0096743A"/>
  <w:p w14:paraId="760A04DC" w14:textId="77777777" w:rsidR="00D023DD" w:rsidRDefault="00D023DD" w:rsidP="0096743A"/>
  <w:p w14:paraId="79695365" w14:textId="77777777" w:rsidR="00D023DD" w:rsidRDefault="00D023DD" w:rsidP="0096743A"/>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8C7207" w14:textId="77777777" w:rsidR="00D023DD" w:rsidRPr="004C011D" w:rsidRDefault="00D023DD" w:rsidP="004C011D">
    <w:pPr>
      <w:pBdr>
        <w:top w:val="single" w:sz="4" w:space="1" w:color="auto"/>
      </w:pBdr>
      <w:jc w:val="right"/>
      <w:rPr>
        <w:rFonts w:asciiTheme="minorHAnsi" w:hAnsiTheme="minorHAnsi"/>
        <w:sz w:val="20"/>
        <w:szCs w:val="20"/>
      </w:rPr>
    </w:pPr>
    <w:r w:rsidRPr="004C011D">
      <w:rPr>
        <w:rStyle w:val="PageNumber"/>
        <w:rFonts w:asciiTheme="minorHAnsi" w:hAnsiTheme="minorHAnsi"/>
        <w:sz w:val="20"/>
        <w:szCs w:val="20"/>
      </w:rPr>
      <w:fldChar w:fldCharType="begin"/>
    </w:r>
    <w:r w:rsidRPr="004C011D">
      <w:rPr>
        <w:rStyle w:val="PageNumber"/>
        <w:rFonts w:asciiTheme="minorHAnsi" w:hAnsiTheme="minorHAnsi"/>
        <w:sz w:val="20"/>
        <w:szCs w:val="20"/>
      </w:rPr>
      <w:instrText xml:space="preserve"> PAGE </w:instrText>
    </w:r>
    <w:r w:rsidRPr="004C011D">
      <w:rPr>
        <w:rStyle w:val="PageNumber"/>
        <w:rFonts w:asciiTheme="minorHAnsi" w:hAnsiTheme="minorHAnsi"/>
        <w:sz w:val="20"/>
        <w:szCs w:val="20"/>
      </w:rPr>
      <w:fldChar w:fldCharType="separate"/>
    </w:r>
    <w:r w:rsidR="000329AB">
      <w:rPr>
        <w:rStyle w:val="PageNumber"/>
        <w:rFonts w:asciiTheme="minorHAnsi" w:hAnsiTheme="minorHAnsi"/>
        <w:noProof/>
        <w:sz w:val="20"/>
        <w:szCs w:val="20"/>
      </w:rPr>
      <w:t>336</w:t>
    </w:r>
    <w:r w:rsidRPr="004C011D">
      <w:rPr>
        <w:rStyle w:val="PageNumber"/>
        <w:rFonts w:asciiTheme="minorHAnsi" w:hAnsiTheme="minorHAnsi"/>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3F69C9" w14:textId="77777777" w:rsidR="00D023DD" w:rsidRDefault="00D023DD">
      <w:pPr>
        <w:spacing w:after="0"/>
      </w:pPr>
      <w:r>
        <w:separator/>
      </w:r>
    </w:p>
  </w:footnote>
  <w:footnote w:type="continuationSeparator" w:id="0">
    <w:p w14:paraId="095EAFD3" w14:textId="77777777" w:rsidR="00D023DD" w:rsidRDefault="00D023DD">
      <w:pPr>
        <w:spacing w:after="0"/>
      </w:pPr>
      <w:r>
        <w:continuationSeparator/>
      </w:r>
    </w:p>
  </w:footnote>
  <w:footnote w:type="continuationNotice" w:id="1">
    <w:p w14:paraId="6368E312" w14:textId="77777777" w:rsidR="00D023DD" w:rsidRDefault="00D023DD">
      <w:pPr>
        <w:spacing w:after="0"/>
      </w:pPr>
    </w:p>
  </w:footnote>
  <w:footnote w:id="2">
    <w:p w14:paraId="00C024B0" w14:textId="77777777" w:rsidR="00D023DD" w:rsidRDefault="00D023DD" w:rsidP="003D3694">
      <w:pPr>
        <w:pStyle w:val="FootnoteText"/>
      </w:pPr>
      <w:r>
        <w:rPr>
          <w:rStyle w:val="FootnoteReference"/>
        </w:rPr>
        <w:footnoteRef/>
      </w:r>
      <w:r>
        <w:t xml:space="preserve"> </w:t>
      </w:r>
      <w:r w:rsidRPr="006A683F">
        <w:rPr>
          <w:sz w:val="18"/>
          <w:szCs w:val="18"/>
        </w:rPr>
        <w:t>Commonwealth of Australia (201</w:t>
      </w:r>
      <w:r>
        <w:rPr>
          <w:sz w:val="18"/>
          <w:szCs w:val="18"/>
        </w:rPr>
        <w:t>5</w:t>
      </w:r>
      <w:r w:rsidRPr="006A683F">
        <w:rPr>
          <w:sz w:val="18"/>
          <w:szCs w:val="18"/>
        </w:rPr>
        <w:t xml:space="preserve">). </w:t>
      </w:r>
      <w:r w:rsidRPr="006A683F">
        <w:rPr>
          <w:i/>
          <w:iCs/>
          <w:sz w:val="18"/>
          <w:szCs w:val="18"/>
        </w:rPr>
        <w:t>Modelling water-related ecological responses to coal seam gas extraction and coal mining</w:t>
      </w:r>
      <w:r>
        <w:rPr>
          <w:i/>
          <w:iCs/>
          <w:sz w:val="18"/>
          <w:szCs w:val="18"/>
        </w:rPr>
        <w:t>.</w:t>
      </w:r>
      <w:r w:rsidRPr="006A683F">
        <w:rPr>
          <w:i/>
          <w:iCs/>
          <w:sz w:val="18"/>
          <w:szCs w:val="18"/>
        </w:rPr>
        <w:t xml:space="preserve"> </w:t>
      </w:r>
      <w:r w:rsidRPr="006A683F">
        <w:rPr>
          <w:sz w:val="18"/>
          <w:szCs w:val="18"/>
        </w:rPr>
        <w:t>Report prepared by Auricht Projects and CSIRO for the Department of the Environment, Commonwealth of Australia, Canberra.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6445E4" w14:textId="77777777" w:rsidR="001C4D08" w:rsidRDefault="001C4D0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2884B7" w14:textId="77777777" w:rsidR="001C4D08" w:rsidRDefault="001C4D0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34B66E" w14:textId="77777777" w:rsidR="001C4D08" w:rsidRDefault="001C4D0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D15A48" w14:textId="77777777" w:rsidR="00D023DD" w:rsidRPr="0075138D" w:rsidRDefault="00D023DD" w:rsidP="009D3D9A">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561788" w14:textId="77777777" w:rsidR="00D023DD" w:rsidRDefault="00D023DD" w:rsidP="00287299">
    <w:pPr>
      <w:pStyle w:val="Header"/>
    </w:pPr>
    <w:r>
      <w:rPr>
        <w:noProof/>
        <w:lang w:val="en-AU" w:eastAsia="en-AU"/>
      </w:rPr>
      <w:drawing>
        <wp:anchor distT="0" distB="0" distL="114300" distR="114300" simplePos="0" relativeHeight="251658240" behindDoc="0" locked="0" layoutInCell="1" allowOverlap="1" wp14:anchorId="195A08B3" wp14:editId="2E0C728D">
          <wp:simplePos x="0" y="0"/>
          <wp:positionH relativeFrom="column">
            <wp:posOffset>-938530</wp:posOffset>
          </wp:positionH>
          <wp:positionV relativeFrom="paragraph">
            <wp:posOffset>-90170</wp:posOffset>
          </wp:positionV>
          <wp:extent cx="7591425" cy="90487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a14="http://schemas.microsoft.com/office/drawing/2010/main" val="0"/>
                      </a:ext>
                    </a:extLst>
                  </a:blip>
                  <a:srcRect b="32574"/>
                  <a:stretch/>
                </pic:blipFill>
                <pic:spPr bwMode="auto">
                  <a:xfrm>
                    <a:off x="0" y="0"/>
                    <a:ext cx="7591425" cy="904875"/>
                  </a:xfrm>
                  <a:prstGeom prst="rect">
                    <a:avLst/>
                  </a:prstGeom>
                  <a:ln>
                    <a:noFill/>
                  </a:ln>
                  <a:extLst>
                    <a:ext uri="{53640926-AAD7-44D8-BBD7-CCE9431645EC}">
                      <a14:shadowObscured xmlns:a14="http://schemas.microsoft.com/office/drawing/2010/main"/>
                    </a:ext>
                  </a:extLst>
                </pic:spPr>
              </pic:pic>
            </a:graphicData>
          </a:graphic>
        </wp:anchor>
      </w:drawing>
    </w:r>
    <w:r>
      <w:rPr>
        <w:noProof/>
        <w:lang w:val="en-AU" w:eastAsia="en-AU"/>
      </w:rPr>
      <mc:AlternateContent>
        <mc:Choice Requires="wps">
          <w:drawing>
            <wp:anchor distT="0" distB="0" distL="114300" distR="114300" simplePos="0" relativeHeight="251658241" behindDoc="0" locked="0" layoutInCell="1" allowOverlap="1" wp14:anchorId="2E93558E" wp14:editId="6545E341">
              <wp:simplePos x="0" y="0"/>
              <wp:positionH relativeFrom="column">
                <wp:posOffset>242570</wp:posOffset>
              </wp:positionH>
              <wp:positionV relativeFrom="paragraph">
                <wp:posOffset>643255</wp:posOffset>
              </wp:positionV>
              <wp:extent cx="5560060" cy="310515"/>
              <wp:effectExtent l="0" t="0" r="2540" b="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0060" cy="310515"/>
                      </a:xfrm>
                      <a:prstGeom prst="rect">
                        <a:avLst/>
                      </a:prstGeom>
                      <a:noFill/>
                      <a:ln>
                        <a:noFill/>
                      </a:ln>
                      <a:effectLst/>
                      <a:extLst>
                        <a:ext uri="{C572A759-6A51-4108-AA02-DFA0A04FC94B}">
                          <ma14:wrappingTextBoxFlag xmlns:o="urn:schemas-microsoft-com:office:office" xmlns:v="urn:schemas-microsoft-com:vml" xmlns:w10="urn:schemas-microsoft-com:office:word" xmlns:w="http://schemas.openxmlformats.org/wordprocessingml/2006/main" xmlns:ma14="http://schemas.microsoft.com/office/mac/drawingml/2011/main" xmlns="" xmlns:arto="http://schemas.microsoft.com/office/word/2006/arto"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019AAADD" w14:textId="77777777" w:rsidR="00D023DD" w:rsidRPr="001D04F9" w:rsidRDefault="00D023DD" w:rsidP="00287299">
                          <w:pPr>
                            <w:pStyle w:val="BasicParagraph"/>
                            <w:jc w:val="right"/>
                            <w:rPr>
                              <w:rFonts w:ascii="Arial" w:hAnsi="Arial" w:cs="Arial"/>
                              <w:sz w:val="20"/>
                              <w:szCs w:val="20"/>
                            </w:rPr>
                          </w:pPr>
                          <w:r>
                            <w:rPr>
                              <w:rFonts w:ascii="Arial" w:hAnsi="Arial" w:cs="Arial"/>
                              <w:sz w:val="20"/>
                              <w:szCs w:val="20"/>
                            </w:rPr>
                            <w:t>Enter publication title here – use minimal capitalisation</w:t>
                          </w:r>
                        </w:p>
                        <w:p w14:paraId="2599969C" w14:textId="77777777" w:rsidR="00D023DD" w:rsidRPr="0040292A" w:rsidRDefault="00D023DD" w:rsidP="00287299"/>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2E93558E" id="_x0000_t202" coordsize="21600,21600" o:spt="202" path="m,l,21600r21600,l21600,xe">
              <v:stroke joinstyle="miter"/>
              <v:path gradientshapeok="t" o:connecttype="rect"/>
            </v:shapetype>
            <v:shape id="Text Box 3" o:spid="_x0000_s1026" type="#_x0000_t202" style="position:absolute;margin-left:19.1pt;margin-top:50.65pt;width:437.8pt;height:24.4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9kxrgIAALQFAAAOAAAAZHJzL2Uyb0RvYy54bWysVMlu2zAQvRfoPxC8O5IcK4sQOVAcuChg&#10;JEGdImeaImMhEoclaVtu0X/vkJLsNO0lRS/UaObNvlxdt01NtsLYClROk5OYEqE4lJV6zunXx/no&#10;ghLrmCpZDUrkdC8svZ5+/HC105kYwxrqUhiCRpTNdjqna+d0FkWWr0XD7AlooVAowTTM4a95jkrD&#10;dmi9qaNxHJ9FOzClNsCFtci97YR0GuxLKbi7l9IKR+qcYmwuvCa8K/9G0yuWPRum1xXvw2D/EEXD&#10;KoVOD6ZumWNkY6o/TDUVN2BBuhMOTQRSVlyEHDCbJH6TzXLNtAi5YHGsPpTJ/j+z/G77YEhVYu8o&#10;UazBFj2K1pEbaMmpr85O2wxBS40w1yLbI32mVi+Av1iERK8wnYJFtMe00jT+i3kSVMQG7A9F9144&#10;MtP0DPuIIo6y0yROk9T7jY7a2lj3SUBDPJFTg00NEbDtwroOOkC8MwXzqq6Rz7Ja/cZAmx1HhMno&#10;tFmGkSDpkT6m0LUfs/R8XJynl6OzIk1GkyS+GBVFPB7dzou4iCfz2eXk5mcf56Af6tCl7iti3b4W&#10;XRRfhMQahwp4RphuMasN2TKcS8a5UC7prdUK0R4lMYv3KPb4kEfI7z3KXUUGz6DcQbmpFJiu434p&#10;j2GXL0PIssP3k9Dn7Uvg2lWLjfDkCso9jpCBbgWt5vMK27lg1j0wgzuHE4B3xN3jI2vY5RR6ipI1&#10;mO9/43s8rgJKKdnhDufUftswIyipPytcEr/wgZhgN/HHDNzVa67aNDPANuACYFSB9FhXD6Q00Dzh&#10;mSm8NxQxxdFnTt1Azlx3UfBMcVEUAYTrrZlbqKXmw8b4IX1sn5jR/SQ7nJw7GLacZW8GusP6fioo&#10;Ng5kFab9WM2+4Hgawr70Z8zfntf/AXU8ttNfAAAA//8DAFBLAwQUAAYACAAAACEA1oJ/ct8AAAAK&#10;AQAADwAAAGRycy9kb3ducmV2LnhtbEyPTUvEMBCG74L/IYzgZXGTtiprbbqIIniQhV0Fr2kS22Iz&#10;KUnarf56x9N6nHce3o9qu7iBzTbE3qOEbC2AWdTe9NhKeH97vtoAi0mhUYNHK+HbRtjW52eVKo0/&#10;4t7Oh9QyMsFYKgldSmPJedSddSqu/WiRfp8+OJXoDC03QR3J3A08F+KWO9UjJXRqtI+d1V+HyUkI&#10;+5/8aWr0hy5eX1YhXk/zbreS8vJiebgHluySTjD81afqUFOnxk9oIhskFJucSNJFVgAj4C4raEtD&#10;yo3IgdcV/z+h/gUAAP//AwBQSwECLQAUAAYACAAAACEAtoM4kv4AAADhAQAAEwAAAAAAAAAAAAAA&#10;AAAAAAAAW0NvbnRlbnRfVHlwZXNdLnhtbFBLAQItABQABgAIAAAAIQA4/SH/1gAAAJQBAAALAAAA&#10;AAAAAAAAAAAAAC8BAABfcmVscy8ucmVsc1BLAQItABQABgAIAAAAIQAxH9kxrgIAALQFAAAOAAAA&#10;AAAAAAAAAAAAAC4CAABkcnMvZTJvRG9jLnhtbFBLAQItABQABgAIAAAAIQDWgn9y3wAAAAoBAAAP&#10;AAAAAAAAAAAAAAAAAAgFAABkcnMvZG93bnJldi54bWxQSwUGAAAAAAQABADzAAAAFAYAAAAA&#10;" filled="f" stroked="f">
              <v:path arrowok="t"/>
              <v:textbox inset="0,,0">
                <w:txbxContent>
                  <w:p w14:paraId="019AAADD" w14:textId="77777777" w:rsidR="003C6665" w:rsidRPr="001D04F9" w:rsidRDefault="003C6665" w:rsidP="00287299">
                    <w:pPr>
                      <w:pStyle w:val="BasicParagraph"/>
                      <w:jc w:val="right"/>
                      <w:rPr>
                        <w:rFonts w:ascii="Arial" w:hAnsi="Arial" w:cs="Arial"/>
                        <w:sz w:val="20"/>
                        <w:szCs w:val="20"/>
                      </w:rPr>
                    </w:pPr>
                    <w:r>
                      <w:rPr>
                        <w:rFonts w:ascii="Arial" w:hAnsi="Arial" w:cs="Arial"/>
                        <w:sz w:val="20"/>
                        <w:szCs w:val="20"/>
                      </w:rPr>
                      <w:t>Enter publication title here – use minimal capitalisation</w:t>
                    </w:r>
                  </w:p>
                  <w:p w14:paraId="2599969C" w14:textId="77777777" w:rsidR="003C6665" w:rsidRPr="0040292A" w:rsidRDefault="003C6665" w:rsidP="00287299"/>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75CEFD" w14:textId="026B4C61" w:rsidR="00D023DD" w:rsidRPr="00B60AAB" w:rsidRDefault="00D023DD" w:rsidP="005D28A4">
    <w:pPr>
      <w:pStyle w:val="OWSheadertextimage"/>
      <w:jc w:val="lef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8EEA09" w14:textId="5149E4B8" w:rsidR="00D023DD" w:rsidRPr="00216AEB" w:rsidRDefault="00D023DD" w:rsidP="005D28A4">
    <w:pPr>
      <w:pStyle w:val="OWSheadertextimage"/>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4D3A2E32"/>
    <w:lvl w:ilvl="0">
      <w:start w:val="1"/>
      <w:numFmt w:val="bullet"/>
      <w:pStyle w:val="ListBullet"/>
      <w:lvlText w:val=""/>
      <w:lvlJc w:val="left"/>
      <w:pPr>
        <w:tabs>
          <w:tab w:val="num" w:pos="680"/>
        </w:tabs>
        <w:ind w:left="680" w:hanging="680"/>
      </w:pPr>
      <w:rPr>
        <w:rFonts w:ascii="Symbol" w:hAnsi="Symbol" w:hint="default"/>
        <w:sz w:val="18"/>
      </w:rPr>
    </w:lvl>
  </w:abstractNum>
  <w:abstractNum w:abstractNumId="1" w15:restartNumberingAfterBreak="0">
    <w:nsid w:val="017F2457"/>
    <w:multiLevelType w:val="hybridMultilevel"/>
    <w:tmpl w:val="523E941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A3E0F0B"/>
    <w:multiLevelType w:val="hybridMultilevel"/>
    <w:tmpl w:val="82661C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AF918F5"/>
    <w:multiLevelType w:val="hybridMultilevel"/>
    <w:tmpl w:val="BD0C12FA"/>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08206B8"/>
    <w:multiLevelType w:val="hybridMultilevel"/>
    <w:tmpl w:val="D986A32E"/>
    <w:lvl w:ilvl="0" w:tplc="864C8E12">
      <w:start w:val="1"/>
      <w:numFmt w:val="bullet"/>
      <w:lvlText w:val="•"/>
      <w:lvlJc w:val="left"/>
      <w:pPr>
        <w:tabs>
          <w:tab w:val="num" w:pos="720"/>
        </w:tabs>
        <w:ind w:left="720" w:hanging="360"/>
      </w:pPr>
      <w:rPr>
        <w:rFonts w:ascii="Arial" w:hAnsi="Arial" w:hint="default"/>
      </w:rPr>
    </w:lvl>
    <w:lvl w:ilvl="1" w:tplc="E1DE932E" w:tentative="1">
      <w:start w:val="1"/>
      <w:numFmt w:val="bullet"/>
      <w:lvlText w:val="•"/>
      <w:lvlJc w:val="left"/>
      <w:pPr>
        <w:tabs>
          <w:tab w:val="num" w:pos="1440"/>
        </w:tabs>
        <w:ind w:left="1440" w:hanging="360"/>
      </w:pPr>
      <w:rPr>
        <w:rFonts w:ascii="Arial" w:hAnsi="Arial" w:hint="default"/>
      </w:rPr>
    </w:lvl>
    <w:lvl w:ilvl="2" w:tplc="C9E28F9A" w:tentative="1">
      <w:start w:val="1"/>
      <w:numFmt w:val="bullet"/>
      <w:lvlText w:val="•"/>
      <w:lvlJc w:val="left"/>
      <w:pPr>
        <w:tabs>
          <w:tab w:val="num" w:pos="2160"/>
        </w:tabs>
        <w:ind w:left="2160" w:hanging="360"/>
      </w:pPr>
      <w:rPr>
        <w:rFonts w:ascii="Arial" w:hAnsi="Arial" w:hint="default"/>
      </w:rPr>
    </w:lvl>
    <w:lvl w:ilvl="3" w:tplc="6E588F74" w:tentative="1">
      <w:start w:val="1"/>
      <w:numFmt w:val="bullet"/>
      <w:lvlText w:val="•"/>
      <w:lvlJc w:val="left"/>
      <w:pPr>
        <w:tabs>
          <w:tab w:val="num" w:pos="2880"/>
        </w:tabs>
        <w:ind w:left="2880" w:hanging="360"/>
      </w:pPr>
      <w:rPr>
        <w:rFonts w:ascii="Arial" w:hAnsi="Arial" w:hint="default"/>
      </w:rPr>
    </w:lvl>
    <w:lvl w:ilvl="4" w:tplc="E57E9C36" w:tentative="1">
      <w:start w:val="1"/>
      <w:numFmt w:val="bullet"/>
      <w:lvlText w:val="•"/>
      <w:lvlJc w:val="left"/>
      <w:pPr>
        <w:tabs>
          <w:tab w:val="num" w:pos="3600"/>
        </w:tabs>
        <w:ind w:left="3600" w:hanging="360"/>
      </w:pPr>
      <w:rPr>
        <w:rFonts w:ascii="Arial" w:hAnsi="Arial" w:hint="default"/>
      </w:rPr>
    </w:lvl>
    <w:lvl w:ilvl="5" w:tplc="6FE05EA0" w:tentative="1">
      <w:start w:val="1"/>
      <w:numFmt w:val="bullet"/>
      <w:lvlText w:val="•"/>
      <w:lvlJc w:val="left"/>
      <w:pPr>
        <w:tabs>
          <w:tab w:val="num" w:pos="4320"/>
        </w:tabs>
        <w:ind w:left="4320" w:hanging="360"/>
      </w:pPr>
      <w:rPr>
        <w:rFonts w:ascii="Arial" w:hAnsi="Arial" w:hint="default"/>
      </w:rPr>
    </w:lvl>
    <w:lvl w:ilvl="6" w:tplc="ACA6009C" w:tentative="1">
      <w:start w:val="1"/>
      <w:numFmt w:val="bullet"/>
      <w:lvlText w:val="•"/>
      <w:lvlJc w:val="left"/>
      <w:pPr>
        <w:tabs>
          <w:tab w:val="num" w:pos="5040"/>
        </w:tabs>
        <w:ind w:left="5040" w:hanging="360"/>
      </w:pPr>
      <w:rPr>
        <w:rFonts w:ascii="Arial" w:hAnsi="Arial" w:hint="default"/>
      </w:rPr>
    </w:lvl>
    <w:lvl w:ilvl="7" w:tplc="DD9E9FE4" w:tentative="1">
      <w:start w:val="1"/>
      <w:numFmt w:val="bullet"/>
      <w:lvlText w:val="•"/>
      <w:lvlJc w:val="left"/>
      <w:pPr>
        <w:tabs>
          <w:tab w:val="num" w:pos="5760"/>
        </w:tabs>
        <w:ind w:left="5760" w:hanging="360"/>
      </w:pPr>
      <w:rPr>
        <w:rFonts w:ascii="Arial" w:hAnsi="Arial" w:hint="default"/>
      </w:rPr>
    </w:lvl>
    <w:lvl w:ilvl="8" w:tplc="7F5678B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30D7DFF"/>
    <w:multiLevelType w:val="hybridMultilevel"/>
    <w:tmpl w:val="2146D70C"/>
    <w:lvl w:ilvl="0" w:tplc="21DE87E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5B90F7A"/>
    <w:multiLevelType w:val="hybridMultilevel"/>
    <w:tmpl w:val="C6F6890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15:restartNumberingAfterBreak="0">
    <w:nsid w:val="1A501C7B"/>
    <w:multiLevelType w:val="multilevel"/>
    <w:tmpl w:val="0C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1C453B59"/>
    <w:multiLevelType w:val="multilevel"/>
    <w:tmpl w:val="F5F2062C"/>
    <w:lvl w:ilvl="0">
      <w:start w:val="1"/>
      <w:numFmt w:val="decimal"/>
      <w:lvlText w:val="%1"/>
      <w:lvlJc w:val="left"/>
      <w:pPr>
        <w:ind w:left="432" w:hanging="432"/>
      </w:pPr>
      <w:rPr>
        <w:rFonts w:hint="default"/>
        <w:b/>
        <w:i w:val="0"/>
        <w:color w:val="44546A" w:themeColor="text2"/>
        <w:sz w:val="48"/>
      </w:rPr>
    </w:lvl>
    <w:lvl w:ilvl="1">
      <w:start w:val="1"/>
      <w:numFmt w:val="decimal"/>
      <w:lvlText w:val="%1.%2"/>
      <w:lvlJc w:val="left"/>
      <w:pPr>
        <w:ind w:left="737" w:hanging="737"/>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221A6FE7"/>
    <w:multiLevelType w:val="hybridMultilevel"/>
    <w:tmpl w:val="6B168A5E"/>
    <w:lvl w:ilvl="0" w:tplc="AAF27A7A">
      <w:start w:val="1"/>
      <w:numFmt w:val="bullet"/>
      <w:lvlText w:val="•"/>
      <w:lvlJc w:val="left"/>
      <w:pPr>
        <w:tabs>
          <w:tab w:val="num" w:pos="720"/>
        </w:tabs>
        <w:ind w:left="720" w:hanging="360"/>
      </w:pPr>
      <w:rPr>
        <w:rFonts w:ascii="Arial" w:hAnsi="Arial" w:hint="default"/>
      </w:rPr>
    </w:lvl>
    <w:lvl w:ilvl="1" w:tplc="FC8ABFD8" w:tentative="1">
      <w:start w:val="1"/>
      <w:numFmt w:val="bullet"/>
      <w:lvlText w:val="•"/>
      <w:lvlJc w:val="left"/>
      <w:pPr>
        <w:tabs>
          <w:tab w:val="num" w:pos="1440"/>
        </w:tabs>
        <w:ind w:left="1440" w:hanging="360"/>
      </w:pPr>
      <w:rPr>
        <w:rFonts w:ascii="Arial" w:hAnsi="Arial" w:hint="default"/>
      </w:rPr>
    </w:lvl>
    <w:lvl w:ilvl="2" w:tplc="6AC0AE2A" w:tentative="1">
      <w:start w:val="1"/>
      <w:numFmt w:val="bullet"/>
      <w:lvlText w:val="•"/>
      <w:lvlJc w:val="left"/>
      <w:pPr>
        <w:tabs>
          <w:tab w:val="num" w:pos="2160"/>
        </w:tabs>
        <w:ind w:left="2160" w:hanging="360"/>
      </w:pPr>
      <w:rPr>
        <w:rFonts w:ascii="Arial" w:hAnsi="Arial" w:hint="default"/>
      </w:rPr>
    </w:lvl>
    <w:lvl w:ilvl="3" w:tplc="11A8C21C" w:tentative="1">
      <w:start w:val="1"/>
      <w:numFmt w:val="bullet"/>
      <w:lvlText w:val="•"/>
      <w:lvlJc w:val="left"/>
      <w:pPr>
        <w:tabs>
          <w:tab w:val="num" w:pos="2880"/>
        </w:tabs>
        <w:ind w:left="2880" w:hanging="360"/>
      </w:pPr>
      <w:rPr>
        <w:rFonts w:ascii="Arial" w:hAnsi="Arial" w:hint="default"/>
      </w:rPr>
    </w:lvl>
    <w:lvl w:ilvl="4" w:tplc="3D289744" w:tentative="1">
      <w:start w:val="1"/>
      <w:numFmt w:val="bullet"/>
      <w:lvlText w:val="•"/>
      <w:lvlJc w:val="left"/>
      <w:pPr>
        <w:tabs>
          <w:tab w:val="num" w:pos="3600"/>
        </w:tabs>
        <w:ind w:left="3600" w:hanging="360"/>
      </w:pPr>
      <w:rPr>
        <w:rFonts w:ascii="Arial" w:hAnsi="Arial" w:hint="default"/>
      </w:rPr>
    </w:lvl>
    <w:lvl w:ilvl="5" w:tplc="A68489CC" w:tentative="1">
      <w:start w:val="1"/>
      <w:numFmt w:val="bullet"/>
      <w:lvlText w:val="•"/>
      <w:lvlJc w:val="left"/>
      <w:pPr>
        <w:tabs>
          <w:tab w:val="num" w:pos="4320"/>
        </w:tabs>
        <w:ind w:left="4320" w:hanging="360"/>
      </w:pPr>
      <w:rPr>
        <w:rFonts w:ascii="Arial" w:hAnsi="Arial" w:hint="default"/>
      </w:rPr>
    </w:lvl>
    <w:lvl w:ilvl="6" w:tplc="C07A7B4C" w:tentative="1">
      <w:start w:val="1"/>
      <w:numFmt w:val="bullet"/>
      <w:lvlText w:val="•"/>
      <w:lvlJc w:val="left"/>
      <w:pPr>
        <w:tabs>
          <w:tab w:val="num" w:pos="5040"/>
        </w:tabs>
        <w:ind w:left="5040" w:hanging="360"/>
      </w:pPr>
      <w:rPr>
        <w:rFonts w:ascii="Arial" w:hAnsi="Arial" w:hint="default"/>
      </w:rPr>
    </w:lvl>
    <w:lvl w:ilvl="7" w:tplc="A9885138" w:tentative="1">
      <w:start w:val="1"/>
      <w:numFmt w:val="bullet"/>
      <w:lvlText w:val="•"/>
      <w:lvlJc w:val="left"/>
      <w:pPr>
        <w:tabs>
          <w:tab w:val="num" w:pos="5760"/>
        </w:tabs>
        <w:ind w:left="5760" w:hanging="360"/>
      </w:pPr>
      <w:rPr>
        <w:rFonts w:ascii="Arial" w:hAnsi="Arial" w:hint="default"/>
      </w:rPr>
    </w:lvl>
    <w:lvl w:ilvl="8" w:tplc="634A8D3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82A1906"/>
    <w:multiLevelType w:val="hybridMultilevel"/>
    <w:tmpl w:val="41C458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C8F2889"/>
    <w:multiLevelType w:val="hybridMultilevel"/>
    <w:tmpl w:val="A6E4EAD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01009FB"/>
    <w:multiLevelType w:val="hybridMultilevel"/>
    <w:tmpl w:val="3014D5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AD707D1"/>
    <w:multiLevelType w:val="hybridMultilevel"/>
    <w:tmpl w:val="9ABE1962"/>
    <w:lvl w:ilvl="0" w:tplc="3D8EFC2A">
      <w:start w:val="1"/>
      <w:numFmt w:val="bullet"/>
      <w:pStyle w:val="TableBullet"/>
      <w:lvlText w:val=""/>
      <w:lvlJc w:val="left"/>
      <w:pPr>
        <w:tabs>
          <w:tab w:val="num" w:pos="284"/>
        </w:tabs>
        <w:ind w:left="284" w:hanging="284"/>
      </w:pPr>
      <w:rPr>
        <w:rFonts w:ascii="Wingdings" w:hAnsi="Wingdings" w:hint="default"/>
        <w:color w:val="000000"/>
        <w:sz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1ED625E"/>
    <w:multiLevelType w:val="hybridMultilevel"/>
    <w:tmpl w:val="8020C616"/>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42AC0CE6"/>
    <w:multiLevelType w:val="hybridMultilevel"/>
    <w:tmpl w:val="096244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3723FAE"/>
    <w:multiLevelType w:val="hybridMultilevel"/>
    <w:tmpl w:val="817C15B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44815BD0"/>
    <w:multiLevelType w:val="hybridMultilevel"/>
    <w:tmpl w:val="2454F560"/>
    <w:lvl w:ilvl="0" w:tplc="E61C4740">
      <w:start w:val="1"/>
      <w:numFmt w:val="bullet"/>
      <w:lvlText w:val="•"/>
      <w:lvlJc w:val="left"/>
      <w:pPr>
        <w:tabs>
          <w:tab w:val="num" w:pos="720"/>
        </w:tabs>
        <w:ind w:left="720" w:hanging="360"/>
      </w:pPr>
      <w:rPr>
        <w:rFonts w:ascii="Arial" w:hAnsi="Arial" w:hint="default"/>
      </w:rPr>
    </w:lvl>
    <w:lvl w:ilvl="1" w:tplc="F5B82F50" w:tentative="1">
      <w:start w:val="1"/>
      <w:numFmt w:val="bullet"/>
      <w:lvlText w:val="•"/>
      <w:lvlJc w:val="left"/>
      <w:pPr>
        <w:tabs>
          <w:tab w:val="num" w:pos="1440"/>
        </w:tabs>
        <w:ind w:left="1440" w:hanging="360"/>
      </w:pPr>
      <w:rPr>
        <w:rFonts w:ascii="Arial" w:hAnsi="Arial" w:hint="default"/>
      </w:rPr>
    </w:lvl>
    <w:lvl w:ilvl="2" w:tplc="56768926">
      <w:start w:val="1"/>
      <w:numFmt w:val="decimal"/>
      <w:lvlText w:val="%3."/>
      <w:lvlJc w:val="left"/>
      <w:pPr>
        <w:tabs>
          <w:tab w:val="num" w:pos="2160"/>
        </w:tabs>
        <w:ind w:left="2160" w:hanging="360"/>
      </w:pPr>
    </w:lvl>
    <w:lvl w:ilvl="3" w:tplc="F10615A8" w:tentative="1">
      <w:start w:val="1"/>
      <w:numFmt w:val="bullet"/>
      <w:lvlText w:val="•"/>
      <w:lvlJc w:val="left"/>
      <w:pPr>
        <w:tabs>
          <w:tab w:val="num" w:pos="2880"/>
        </w:tabs>
        <w:ind w:left="2880" w:hanging="360"/>
      </w:pPr>
      <w:rPr>
        <w:rFonts w:ascii="Arial" w:hAnsi="Arial" w:hint="default"/>
      </w:rPr>
    </w:lvl>
    <w:lvl w:ilvl="4" w:tplc="4EACB69E" w:tentative="1">
      <w:start w:val="1"/>
      <w:numFmt w:val="bullet"/>
      <w:lvlText w:val="•"/>
      <w:lvlJc w:val="left"/>
      <w:pPr>
        <w:tabs>
          <w:tab w:val="num" w:pos="3600"/>
        </w:tabs>
        <w:ind w:left="3600" w:hanging="360"/>
      </w:pPr>
      <w:rPr>
        <w:rFonts w:ascii="Arial" w:hAnsi="Arial" w:hint="default"/>
      </w:rPr>
    </w:lvl>
    <w:lvl w:ilvl="5" w:tplc="590CADB6" w:tentative="1">
      <w:start w:val="1"/>
      <w:numFmt w:val="bullet"/>
      <w:lvlText w:val="•"/>
      <w:lvlJc w:val="left"/>
      <w:pPr>
        <w:tabs>
          <w:tab w:val="num" w:pos="4320"/>
        </w:tabs>
        <w:ind w:left="4320" w:hanging="360"/>
      </w:pPr>
      <w:rPr>
        <w:rFonts w:ascii="Arial" w:hAnsi="Arial" w:hint="default"/>
      </w:rPr>
    </w:lvl>
    <w:lvl w:ilvl="6" w:tplc="C214FFF6" w:tentative="1">
      <w:start w:val="1"/>
      <w:numFmt w:val="bullet"/>
      <w:lvlText w:val="•"/>
      <w:lvlJc w:val="left"/>
      <w:pPr>
        <w:tabs>
          <w:tab w:val="num" w:pos="5040"/>
        </w:tabs>
        <w:ind w:left="5040" w:hanging="360"/>
      </w:pPr>
      <w:rPr>
        <w:rFonts w:ascii="Arial" w:hAnsi="Arial" w:hint="default"/>
      </w:rPr>
    </w:lvl>
    <w:lvl w:ilvl="7" w:tplc="3F1A3BA6" w:tentative="1">
      <w:start w:val="1"/>
      <w:numFmt w:val="bullet"/>
      <w:lvlText w:val="•"/>
      <w:lvlJc w:val="left"/>
      <w:pPr>
        <w:tabs>
          <w:tab w:val="num" w:pos="5760"/>
        </w:tabs>
        <w:ind w:left="5760" w:hanging="360"/>
      </w:pPr>
      <w:rPr>
        <w:rFonts w:ascii="Arial" w:hAnsi="Arial" w:hint="default"/>
      </w:rPr>
    </w:lvl>
    <w:lvl w:ilvl="8" w:tplc="D674A546"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49C61BB"/>
    <w:multiLevelType w:val="hybridMultilevel"/>
    <w:tmpl w:val="0D0279C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61264FD"/>
    <w:multiLevelType w:val="hybridMultilevel"/>
    <w:tmpl w:val="310641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90A3862"/>
    <w:multiLevelType w:val="hybridMultilevel"/>
    <w:tmpl w:val="26FCEE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23D3381"/>
    <w:multiLevelType w:val="hybridMultilevel"/>
    <w:tmpl w:val="26E2F3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45B79A0"/>
    <w:multiLevelType w:val="hybridMultilevel"/>
    <w:tmpl w:val="6A1E940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90D7DF9"/>
    <w:multiLevelType w:val="hybridMultilevel"/>
    <w:tmpl w:val="1B2CB53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B004CFF"/>
    <w:multiLevelType w:val="hybridMultilevel"/>
    <w:tmpl w:val="2EF4B4A2"/>
    <w:lvl w:ilvl="0" w:tplc="107EF3A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C8F2C77"/>
    <w:multiLevelType w:val="hybridMultilevel"/>
    <w:tmpl w:val="25523BF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EE41B5A"/>
    <w:multiLevelType w:val="hybridMultilevel"/>
    <w:tmpl w:val="18B65C78"/>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60F11FD"/>
    <w:multiLevelType w:val="hybridMultilevel"/>
    <w:tmpl w:val="A2A419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66BB6411"/>
    <w:multiLevelType w:val="hybridMultilevel"/>
    <w:tmpl w:val="379CB5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8CC1C3B"/>
    <w:multiLevelType w:val="hybridMultilevel"/>
    <w:tmpl w:val="5DDC4AD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0B93332"/>
    <w:multiLevelType w:val="hybridMultilevel"/>
    <w:tmpl w:val="9B28B406"/>
    <w:lvl w:ilvl="0" w:tplc="FBE06AE4">
      <w:start w:val="1"/>
      <w:numFmt w:val="bullet"/>
      <w:pStyle w:val="OWStablebulletpointL1"/>
      <w:lvlText w:val=""/>
      <w:lvlJc w:val="left"/>
      <w:pPr>
        <w:ind w:left="720" w:hanging="360"/>
      </w:pPr>
      <w:rPr>
        <w:rFonts w:ascii="Symbol" w:hAnsi="Symbol" w:hint="default"/>
      </w:rPr>
    </w:lvl>
    <w:lvl w:ilvl="1" w:tplc="84D8BAAC">
      <w:numFmt w:val="bullet"/>
      <w:pStyle w:val="OWStablebulletpointL2"/>
      <w:lvlText w:val="−"/>
      <w:lvlJc w:val="left"/>
      <w:pPr>
        <w:ind w:left="1440" w:hanging="360"/>
      </w:pPr>
      <w:rPr>
        <w:rFonts w:ascii="Arial" w:eastAsia="Times New Roman" w:hAnsi="Arial" w:hint="default"/>
      </w:rPr>
    </w:lvl>
    <w:lvl w:ilvl="2" w:tplc="2062D37C">
      <w:start w:val="1"/>
      <w:numFmt w:val="bullet"/>
      <w:pStyle w:val="OWStablebulletpointL3"/>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1092C68"/>
    <w:multiLevelType w:val="hybridMultilevel"/>
    <w:tmpl w:val="80083762"/>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2" w15:restartNumberingAfterBreak="0">
    <w:nsid w:val="71B27C21"/>
    <w:multiLevelType w:val="multilevel"/>
    <w:tmpl w:val="1C4C0536"/>
    <w:lvl w:ilvl="0">
      <w:start w:val="1"/>
      <w:numFmt w:val="bullet"/>
      <w:pStyle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D266F5F"/>
    <w:multiLevelType w:val="hybridMultilevel"/>
    <w:tmpl w:val="549C451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7F4F3B49"/>
    <w:multiLevelType w:val="hybridMultilevel"/>
    <w:tmpl w:val="393AC62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32"/>
  </w:num>
  <w:num w:numId="2">
    <w:abstractNumId w:val="8"/>
  </w:num>
  <w:num w:numId="3">
    <w:abstractNumId w:val="30"/>
  </w:num>
  <w:num w:numId="4">
    <w:abstractNumId w:val="1"/>
  </w:num>
  <w:num w:numId="5">
    <w:abstractNumId w:val="19"/>
  </w:num>
  <w:num w:numId="6">
    <w:abstractNumId w:val="13"/>
  </w:num>
  <w:num w:numId="7">
    <w:abstractNumId w:val="3"/>
  </w:num>
  <w:num w:numId="8">
    <w:abstractNumId w:val="9"/>
  </w:num>
  <w:num w:numId="9">
    <w:abstractNumId w:val="20"/>
  </w:num>
  <w:num w:numId="10">
    <w:abstractNumId w:val="0"/>
  </w:num>
  <w:num w:numId="11">
    <w:abstractNumId w:val="27"/>
  </w:num>
  <w:num w:numId="12">
    <w:abstractNumId w:val="14"/>
  </w:num>
  <w:num w:numId="13">
    <w:abstractNumId w:val="25"/>
  </w:num>
  <w:num w:numId="14">
    <w:abstractNumId w:val="11"/>
  </w:num>
  <w:num w:numId="15">
    <w:abstractNumId w:val="16"/>
  </w:num>
  <w:num w:numId="16">
    <w:abstractNumId w:val="17"/>
  </w:num>
  <w:num w:numId="17">
    <w:abstractNumId w:val="4"/>
  </w:num>
  <w:num w:numId="18">
    <w:abstractNumId w:val="6"/>
  </w:num>
  <w:num w:numId="19">
    <w:abstractNumId w:val="5"/>
  </w:num>
  <w:num w:numId="20">
    <w:abstractNumId w:val="24"/>
  </w:num>
  <w:num w:numId="21">
    <w:abstractNumId w:val="15"/>
  </w:num>
  <w:num w:numId="22">
    <w:abstractNumId w:val="22"/>
  </w:num>
  <w:num w:numId="23">
    <w:abstractNumId w:val="34"/>
  </w:num>
  <w:num w:numId="24">
    <w:abstractNumId w:val="21"/>
  </w:num>
  <w:num w:numId="25">
    <w:abstractNumId w:val="26"/>
  </w:num>
  <w:num w:numId="26">
    <w:abstractNumId w:val="29"/>
  </w:num>
  <w:num w:numId="27">
    <w:abstractNumId w:val="23"/>
  </w:num>
  <w:num w:numId="28">
    <w:abstractNumId w:val="2"/>
  </w:num>
  <w:num w:numId="29">
    <w:abstractNumId w:val="10"/>
  </w:num>
  <w:num w:numId="30">
    <w:abstractNumId w:val="33"/>
  </w:num>
  <w:num w:numId="31">
    <w:abstractNumId w:val="12"/>
  </w:num>
  <w:num w:numId="32">
    <w:abstractNumId w:val="18"/>
  </w:num>
  <w:num w:numId="33">
    <w:abstractNumId w:val="28"/>
  </w:num>
  <w:num w:numId="34">
    <w:abstractNumId w:val="7"/>
  </w:num>
  <w:num w:numId="35">
    <w:abstractNumId w:val="31"/>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hideSpellingErrors/>
  <w:defaultTabStop w:val="720"/>
  <w:characterSpacingControl w:val="doNotCompress"/>
  <w:hdrShapeDefaults>
    <o:shapedefaults v:ext="edit" spidmax="4710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7F01"/>
    <w:rsid w:val="00007D5B"/>
    <w:rsid w:val="0001692B"/>
    <w:rsid w:val="000172E3"/>
    <w:rsid w:val="00020677"/>
    <w:rsid w:val="0002207D"/>
    <w:rsid w:val="00026709"/>
    <w:rsid w:val="000329AB"/>
    <w:rsid w:val="0003687B"/>
    <w:rsid w:val="00043869"/>
    <w:rsid w:val="000527AF"/>
    <w:rsid w:val="0005628E"/>
    <w:rsid w:val="00085C15"/>
    <w:rsid w:val="0009004D"/>
    <w:rsid w:val="00090186"/>
    <w:rsid w:val="00090218"/>
    <w:rsid w:val="00093898"/>
    <w:rsid w:val="00096836"/>
    <w:rsid w:val="000979C3"/>
    <w:rsid w:val="000A29BB"/>
    <w:rsid w:val="000B14C9"/>
    <w:rsid w:val="000B2B57"/>
    <w:rsid w:val="000B6292"/>
    <w:rsid w:val="000C6354"/>
    <w:rsid w:val="000E4B99"/>
    <w:rsid w:val="000E6336"/>
    <w:rsid w:val="000E6ED8"/>
    <w:rsid w:val="000F18D3"/>
    <w:rsid w:val="000F2B76"/>
    <w:rsid w:val="000F6E30"/>
    <w:rsid w:val="00100897"/>
    <w:rsid w:val="00104AAB"/>
    <w:rsid w:val="00105012"/>
    <w:rsid w:val="001139B7"/>
    <w:rsid w:val="001207C7"/>
    <w:rsid w:val="00125D47"/>
    <w:rsid w:val="001379E4"/>
    <w:rsid w:val="00141D39"/>
    <w:rsid w:val="001436D6"/>
    <w:rsid w:val="001669EA"/>
    <w:rsid w:val="00173728"/>
    <w:rsid w:val="001737C6"/>
    <w:rsid w:val="00183FF8"/>
    <w:rsid w:val="001A66BB"/>
    <w:rsid w:val="001B2D45"/>
    <w:rsid w:val="001C05E2"/>
    <w:rsid w:val="001C4D08"/>
    <w:rsid w:val="001C57FF"/>
    <w:rsid w:val="001E3C97"/>
    <w:rsid w:val="001F4800"/>
    <w:rsid w:val="001F51B1"/>
    <w:rsid w:val="0020065D"/>
    <w:rsid w:val="00203783"/>
    <w:rsid w:val="00204C45"/>
    <w:rsid w:val="00210857"/>
    <w:rsid w:val="002175E9"/>
    <w:rsid w:val="00224FD7"/>
    <w:rsid w:val="002258EA"/>
    <w:rsid w:val="00227C6B"/>
    <w:rsid w:val="002328F1"/>
    <w:rsid w:val="00235C73"/>
    <w:rsid w:val="00244F6F"/>
    <w:rsid w:val="002451B8"/>
    <w:rsid w:val="0024704B"/>
    <w:rsid w:val="00251297"/>
    <w:rsid w:val="00255E96"/>
    <w:rsid w:val="00260373"/>
    <w:rsid w:val="002702BE"/>
    <w:rsid w:val="00274698"/>
    <w:rsid w:val="00275692"/>
    <w:rsid w:val="00276655"/>
    <w:rsid w:val="0028131E"/>
    <w:rsid w:val="00281D74"/>
    <w:rsid w:val="00283528"/>
    <w:rsid w:val="00283A3B"/>
    <w:rsid w:val="00287299"/>
    <w:rsid w:val="00297CDA"/>
    <w:rsid w:val="002A1886"/>
    <w:rsid w:val="002A7D1C"/>
    <w:rsid w:val="002A7F6B"/>
    <w:rsid w:val="002B7F01"/>
    <w:rsid w:val="002C2881"/>
    <w:rsid w:val="002D0C44"/>
    <w:rsid w:val="002D6C13"/>
    <w:rsid w:val="002D7745"/>
    <w:rsid w:val="002F0BBF"/>
    <w:rsid w:val="002F5F06"/>
    <w:rsid w:val="0030359B"/>
    <w:rsid w:val="003049DC"/>
    <w:rsid w:val="00314587"/>
    <w:rsid w:val="00315CE5"/>
    <w:rsid w:val="00317E32"/>
    <w:rsid w:val="00322D41"/>
    <w:rsid w:val="00330592"/>
    <w:rsid w:val="00330F9A"/>
    <w:rsid w:val="00332C31"/>
    <w:rsid w:val="00332E7D"/>
    <w:rsid w:val="003579D1"/>
    <w:rsid w:val="00360CB3"/>
    <w:rsid w:val="00365F2D"/>
    <w:rsid w:val="0037062B"/>
    <w:rsid w:val="00374657"/>
    <w:rsid w:val="00375C7A"/>
    <w:rsid w:val="00383BB3"/>
    <w:rsid w:val="003A0BCF"/>
    <w:rsid w:val="003A15A1"/>
    <w:rsid w:val="003A6F35"/>
    <w:rsid w:val="003A70D9"/>
    <w:rsid w:val="003B21AE"/>
    <w:rsid w:val="003B4151"/>
    <w:rsid w:val="003C6665"/>
    <w:rsid w:val="003D3694"/>
    <w:rsid w:val="003D57A3"/>
    <w:rsid w:val="003E1D1C"/>
    <w:rsid w:val="003E59B5"/>
    <w:rsid w:val="003E6175"/>
    <w:rsid w:val="003F39D3"/>
    <w:rsid w:val="003F7FDB"/>
    <w:rsid w:val="00404FBC"/>
    <w:rsid w:val="00406608"/>
    <w:rsid w:val="00407A3F"/>
    <w:rsid w:val="00410D2B"/>
    <w:rsid w:val="00412482"/>
    <w:rsid w:val="004168FA"/>
    <w:rsid w:val="00424FDD"/>
    <w:rsid w:val="00430A01"/>
    <w:rsid w:val="00431D03"/>
    <w:rsid w:val="0043348D"/>
    <w:rsid w:val="00436A40"/>
    <w:rsid w:val="0044478E"/>
    <w:rsid w:val="00461792"/>
    <w:rsid w:val="004636F7"/>
    <w:rsid w:val="00464231"/>
    <w:rsid w:val="004651AD"/>
    <w:rsid w:val="0046616B"/>
    <w:rsid w:val="00472B6F"/>
    <w:rsid w:val="00472FC0"/>
    <w:rsid w:val="0047460F"/>
    <w:rsid w:val="004842FF"/>
    <w:rsid w:val="004A6DAB"/>
    <w:rsid w:val="004A72AC"/>
    <w:rsid w:val="004B22C7"/>
    <w:rsid w:val="004B4375"/>
    <w:rsid w:val="004B7607"/>
    <w:rsid w:val="004C011D"/>
    <w:rsid w:val="004C1D3C"/>
    <w:rsid w:val="004C2F42"/>
    <w:rsid w:val="004C7226"/>
    <w:rsid w:val="004D2DC1"/>
    <w:rsid w:val="004E6E15"/>
    <w:rsid w:val="004F10FA"/>
    <w:rsid w:val="004F1390"/>
    <w:rsid w:val="004F13AF"/>
    <w:rsid w:val="004F1A11"/>
    <w:rsid w:val="00501E99"/>
    <w:rsid w:val="00510080"/>
    <w:rsid w:val="00511D80"/>
    <w:rsid w:val="00520771"/>
    <w:rsid w:val="00525992"/>
    <w:rsid w:val="0052655F"/>
    <w:rsid w:val="005407E8"/>
    <w:rsid w:val="00541B09"/>
    <w:rsid w:val="00546A72"/>
    <w:rsid w:val="00550020"/>
    <w:rsid w:val="00551FB9"/>
    <w:rsid w:val="0055201B"/>
    <w:rsid w:val="00557195"/>
    <w:rsid w:val="00562F1B"/>
    <w:rsid w:val="00563F8D"/>
    <w:rsid w:val="005656BB"/>
    <w:rsid w:val="00566456"/>
    <w:rsid w:val="005700F2"/>
    <w:rsid w:val="00570ADD"/>
    <w:rsid w:val="00572B99"/>
    <w:rsid w:val="00593412"/>
    <w:rsid w:val="00593917"/>
    <w:rsid w:val="0059647C"/>
    <w:rsid w:val="005A5D8A"/>
    <w:rsid w:val="005B16ED"/>
    <w:rsid w:val="005C5AAB"/>
    <w:rsid w:val="005C79FA"/>
    <w:rsid w:val="005D28A4"/>
    <w:rsid w:val="005D5719"/>
    <w:rsid w:val="005E04D7"/>
    <w:rsid w:val="005F4D1A"/>
    <w:rsid w:val="005F6F29"/>
    <w:rsid w:val="00600AF2"/>
    <w:rsid w:val="00617F4A"/>
    <w:rsid w:val="00623F21"/>
    <w:rsid w:val="00650DEE"/>
    <w:rsid w:val="00650E67"/>
    <w:rsid w:val="00657288"/>
    <w:rsid w:val="00666E27"/>
    <w:rsid w:val="00675045"/>
    <w:rsid w:val="006770D1"/>
    <w:rsid w:val="00697C1D"/>
    <w:rsid w:val="006A121D"/>
    <w:rsid w:val="006A5588"/>
    <w:rsid w:val="006B2C7A"/>
    <w:rsid w:val="006B2D8C"/>
    <w:rsid w:val="006B34CE"/>
    <w:rsid w:val="006B4085"/>
    <w:rsid w:val="006D1A0A"/>
    <w:rsid w:val="006D75D4"/>
    <w:rsid w:val="006E6498"/>
    <w:rsid w:val="006F3A28"/>
    <w:rsid w:val="00703279"/>
    <w:rsid w:val="00703448"/>
    <w:rsid w:val="00703FFB"/>
    <w:rsid w:val="007124BA"/>
    <w:rsid w:val="0071418B"/>
    <w:rsid w:val="00715873"/>
    <w:rsid w:val="00716EC8"/>
    <w:rsid w:val="00721415"/>
    <w:rsid w:val="00747E35"/>
    <w:rsid w:val="007519F4"/>
    <w:rsid w:val="0076148E"/>
    <w:rsid w:val="0077595E"/>
    <w:rsid w:val="00775F87"/>
    <w:rsid w:val="007816FD"/>
    <w:rsid w:val="00782B38"/>
    <w:rsid w:val="00782D27"/>
    <w:rsid w:val="0079213E"/>
    <w:rsid w:val="00793433"/>
    <w:rsid w:val="00793A29"/>
    <w:rsid w:val="00793DB9"/>
    <w:rsid w:val="007A4E30"/>
    <w:rsid w:val="007A4E81"/>
    <w:rsid w:val="007B5D76"/>
    <w:rsid w:val="007C56F3"/>
    <w:rsid w:val="007C5FDF"/>
    <w:rsid w:val="007C7B3C"/>
    <w:rsid w:val="007D6FC4"/>
    <w:rsid w:val="007D7B84"/>
    <w:rsid w:val="007F0AF5"/>
    <w:rsid w:val="007F1BF7"/>
    <w:rsid w:val="007F2AD6"/>
    <w:rsid w:val="00817E9E"/>
    <w:rsid w:val="00823EEA"/>
    <w:rsid w:val="00824472"/>
    <w:rsid w:val="00825D9D"/>
    <w:rsid w:val="008347A9"/>
    <w:rsid w:val="0083565A"/>
    <w:rsid w:val="0083624F"/>
    <w:rsid w:val="00847A55"/>
    <w:rsid w:val="00851B79"/>
    <w:rsid w:val="00853EDC"/>
    <w:rsid w:val="00857729"/>
    <w:rsid w:val="00864114"/>
    <w:rsid w:val="00870A2C"/>
    <w:rsid w:val="00870EDD"/>
    <w:rsid w:val="0087451A"/>
    <w:rsid w:val="00884034"/>
    <w:rsid w:val="008872ED"/>
    <w:rsid w:val="008905F0"/>
    <w:rsid w:val="008B4C44"/>
    <w:rsid w:val="008C1675"/>
    <w:rsid w:val="008D6DD3"/>
    <w:rsid w:val="008E278C"/>
    <w:rsid w:val="008E54D5"/>
    <w:rsid w:val="008E7FE7"/>
    <w:rsid w:val="008F0369"/>
    <w:rsid w:val="008F1EA6"/>
    <w:rsid w:val="0091059D"/>
    <w:rsid w:val="00911229"/>
    <w:rsid w:val="00925BFC"/>
    <w:rsid w:val="00926571"/>
    <w:rsid w:val="00931C52"/>
    <w:rsid w:val="009424E9"/>
    <w:rsid w:val="00946CEB"/>
    <w:rsid w:val="009520DE"/>
    <w:rsid w:val="00953F11"/>
    <w:rsid w:val="00960292"/>
    <w:rsid w:val="00966A0B"/>
    <w:rsid w:val="0096743A"/>
    <w:rsid w:val="00967903"/>
    <w:rsid w:val="00971F5F"/>
    <w:rsid w:val="00984FA3"/>
    <w:rsid w:val="00985FC7"/>
    <w:rsid w:val="009A0806"/>
    <w:rsid w:val="009A08A3"/>
    <w:rsid w:val="009A1E87"/>
    <w:rsid w:val="009A3D4A"/>
    <w:rsid w:val="009A5A8F"/>
    <w:rsid w:val="009B3C5B"/>
    <w:rsid w:val="009B4677"/>
    <w:rsid w:val="009C2AAD"/>
    <w:rsid w:val="009C4338"/>
    <w:rsid w:val="009D0842"/>
    <w:rsid w:val="009D18FD"/>
    <w:rsid w:val="009D3D9A"/>
    <w:rsid w:val="009D6600"/>
    <w:rsid w:val="009D7415"/>
    <w:rsid w:val="009D7C87"/>
    <w:rsid w:val="009F384F"/>
    <w:rsid w:val="00A07ED9"/>
    <w:rsid w:val="00A123E6"/>
    <w:rsid w:val="00A15951"/>
    <w:rsid w:val="00A209F0"/>
    <w:rsid w:val="00A272CE"/>
    <w:rsid w:val="00A37049"/>
    <w:rsid w:val="00A456A2"/>
    <w:rsid w:val="00A51486"/>
    <w:rsid w:val="00A6273C"/>
    <w:rsid w:val="00A64AF8"/>
    <w:rsid w:val="00A81A93"/>
    <w:rsid w:val="00A85B98"/>
    <w:rsid w:val="00A90981"/>
    <w:rsid w:val="00A91390"/>
    <w:rsid w:val="00A958F5"/>
    <w:rsid w:val="00AA1A95"/>
    <w:rsid w:val="00AA3269"/>
    <w:rsid w:val="00AA7240"/>
    <w:rsid w:val="00AB6396"/>
    <w:rsid w:val="00AD1769"/>
    <w:rsid w:val="00AD5B59"/>
    <w:rsid w:val="00AD7094"/>
    <w:rsid w:val="00AF4D49"/>
    <w:rsid w:val="00B004E4"/>
    <w:rsid w:val="00B07517"/>
    <w:rsid w:val="00B13BF5"/>
    <w:rsid w:val="00B13CFA"/>
    <w:rsid w:val="00B24309"/>
    <w:rsid w:val="00B25873"/>
    <w:rsid w:val="00B41D71"/>
    <w:rsid w:val="00B471BB"/>
    <w:rsid w:val="00B5548C"/>
    <w:rsid w:val="00B63D51"/>
    <w:rsid w:val="00B6639C"/>
    <w:rsid w:val="00B71437"/>
    <w:rsid w:val="00B757BE"/>
    <w:rsid w:val="00B76CDA"/>
    <w:rsid w:val="00B8129B"/>
    <w:rsid w:val="00B831C5"/>
    <w:rsid w:val="00B924C6"/>
    <w:rsid w:val="00B95E4F"/>
    <w:rsid w:val="00BA0548"/>
    <w:rsid w:val="00BA12AF"/>
    <w:rsid w:val="00BA4089"/>
    <w:rsid w:val="00BA5C65"/>
    <w:rsid w:val="00BB5645"/>
    <w:rsid w:val="00BB7523"/>
    <w:rsid w:val="00BB7A91"/>
    <w:rsid w:val="00BC5C52"/>
    <w:rsid w:val="00BD6284"/>
    <w:rsid w:val="00BD63E3"/>
    <w:rsid w:val="00BD7673"/>
    <w:rsid w:val="00BE0596"/>
    <w:rsid w:val="00BE4D6D"/>
    <w:rsid w:val="00BF4E8A"/>
    <w:rsid w:val="00C1601D"/>
    <w:rsid w:val="00C21F6E"/>
    <w:rsid w:val="00C227C4"/>
    <w:rsid w:val="00C22E62"/>
    <w:rsid w:val="00C2307E"/>
    <w:rsid w:val="00C2356F"/>
    <w:rsid w:val="00C2382A"/>
    <w:rsid w:val="00C24F9D"/>
    <w:rsid w:val="00C41178"/>
    <w:rsid w:val="00C45598"/>
    <w:rsid w:val="00C551EC"/>
    <w:rsid w:val="00C55603"/>
    <w:rsid w:val="00C632D0"/>
    <w:rsid w:val="00C6582F"/>
    <w:rsid w:val="00C7106D"/>
    <w:rsid w:val="00C763ED"/>
    <w:rsid w:val="00C766C8"/>
    <w:rsid w:val="00C80858"/>
    <w:rsid w:val="00C90892"/>
    <w:rsid w:val="00C93058"/>
    <w:rsid w:val="00C96ABE"/>
    <w:rsid w:val="00CA26A1"/>
    <w:rsid w:val="00CA7A17"/>
    <w:rsid w:val="00CB1121"/>
    <w:rsid w:val="00CC5188"/>
    <w:rsid w:val="00CD09D3"/>
    <w:rsid w:val="00CD24AA"/>
    <w:rsid w:val="00CD2949"/>
    <w:rsid w:val="00CD3C8B"/>
    <w:rsid w:val="00CD726F"/>
    <w:rsid w:val="00CE7E45"/>
    <w:rsid w:val="00CF473C"/>
    <w:rsid w:val="00CF6A5F"/>
    <w:rsid w:val="00D023DD"/>
    <w:rsid w:val="00D02458"/>
    <w:rsid w:val="00D0409B"/>
    <w:rsid w:val="00D044BF"/>
    <w:rsid w:val="00D062C2"/>
    <w:rsid w:val="00D50446"/>
    <w:rsid w:val="00D5273D"/>
    <w:rsid w:val="00D5282D"/>
    <w:rsid w:val="00D65D9C"/>
    <w:rsid w:val="00D747F8"/>
    <w:rsid w:val="00D8331B"/>
    <w:rsid w:val="00D84CF8"/>
    <w:rsid w:val="00DB4497"/>
    <w:rsid w:val="00DB5540"/>
    <w:rsid w:val="00DD05BC"/>
    <w:rsid w:val="00DD0803"/>
    <w:rsid w:val="00DD69C7"/>
    <w:rsid w:val="00DE012C"/>
    <w:rsid w:val="00DF2DDB"/>
    <w:rsid w:val="00DF2E1C"/>
    <w:rsid w:val="00DF55F7"/>
    <w:rsid w:val="00E17A34"/>
    <w:rsid w:val="00E21EAF"/>
    <w:rsid w:val="00E222E7"/>
    <w:rsid w:val="00E252E4"/>
    <w:rsid w:val="00E325F9"/>
    <w:rsid w:val="00E37F19"/>
    <w:rsid w:val="00E41CD7"/>
    <w:rsid w:val="00E52EF3"/>
    <w:rsid w:val="00E559EA"/>
    <w:rsid w:val="00E565ED"/>
    <w:rsid w:val="00E614A1"/>
    <w:rsid w:val="00E63DC8"/>
    <w:rsid w:val="00E74263"/>
    <w:rsid w:val="00E84163"/>
    <w:rsid w:val="00E851A2"/>
    <w:rsid w:val="00E941DA"/>
    <w:rsid w:val="00E947EA"/>
    <w:rsid w:val="00EB221E"/>
    <w:rsid w:val="00EC1FD6"/>
    <w:rsid w:val="00EC7558"/>
    <w:rsid w:val="00ED65C7"/>
    <w:rsid w:val="00ED7316"/>
    <w:rsid w:val="00EF09C2"/>
    <w:rsid w:val="00EF2DA7"/>
    <w:rsid w:val="00EF52D6"/>
    <w:rsid w:val="00F044B8"/>
    <w:rsid w:val="00F22E55"/>
    <w:rsid w:val="00F27F5D"/>
    <w:rsid w:val="00F306F6"/>
    <w:rsid w:val="00F430ED"/>
    <w:rsid w:val="00F44B2D"/>
    <w:rsid w:val="00F53CAF"/>
    <w:rsid w:val="00F70DBB"/>
    <w:rsid w:val="00F7589B"/>
    <w:rsid w:val="00F759E3"/>
    <w:rsid w:val="00F94D5E"/>
    <w:rsid w:val="00F9668D"/>
    <w:rsid w:val="00FA5AF5"/>
    <w:rsid w:val="00FA6070"/>
    <w:rsid w:val="00FB5D3B"/>
    <w:rsid w:val="00FC1B3C"/>
    <w:rsid w:val="00FD0993"/>
    <w:rsid w:val="00FD3508"/>
    <w:rsid w:val="00FD4807"/>
    <w:rsid w:val="00FD5C25"/>
    <w:rsid w:val="00FE1DBB"/>
    <w:rsid w:val="00FE6698"/>
    <w:rsid w:val="00FF2191"/>
    <w:rsid w:val="00FF269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14:docId w14:val="62756A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99"/>
    <w:rsid w:val="002B7F01"/>
    <w:pPr>
      <w:autoSpaceDE w:val="0"/>
      <w:autoSpaceDN w:val="0"/>
      <w:spacing w:after="200" w:line="240" w:lineRule="auto"/>
    </w:pPr>
    <w:rPr>
      <w:rFonts w:ascii="Arial" w:eastAsiaTheme="minorEastAsia" w:hAnsi="Arial"/>
      <w:lang w:val="en-US" w:eastAsia="ja-JP"/>
    </w:rPr>
  </w:style>
  <w:style w:type="paragraph" w:styleId="Heading1">
    <w:name w:val="heading 1"/>
    <w:aliases w:val="OWS Heading 1"/>
    <w:next w:val="OWSNormal11pt"/>
    <w:link w:val="Heading1Char"/>
    <w:qFormat/>
    <w:rsid w:val="002B7F01"/>
    <w:pPr>
      <w:pageBreakBefore/>
      <w:numPr>
        <w:numId w:val="34"/>
      </w:numPr>
      <w:spacing w:after="567" w:line="240" w:lineRule="auto"/>
      <w:outlineLvl w:val="0"/>
    </w:pPr>
    <w:rPr>
      <w:rFonts w:ascii="Arial Bold" w:eastAsiaTheme="minorEastAsia" w:hAnsi="Arial Bold" w:cs="Arial"/>
      <w:b/>
      <w:bCs/>
      <w:color w:val="44546A" w:themeColor="text2"/>
      <w:sz w:val="48"/>
      <w:szCs w:val="48"/>
      <w:lang w:val="en-GB" w:eastAsia="ja-JP"/>
    </w:rPr>
  </w:style>
  <w:style w:type="paragraph" w:styleId="Heading2">
    <w:name w:val="heading 2"/>
    <w:aliases w:val="OWS Heading 2"/>
    <w:basedOn w:val="Heading1"/>
    <w:next w:val="OWSNormal11pt"/>
    <w:link w:val="Heading2Char"/>
    <w:qFormat/>
    <w:rsid w:val="002B7F01"/>
    <w:pPr>
      <w:pageBreakBefore w:val="0"/>
      <w:numPr>
        <w:ilvl w:val="1"/>
      </w:numPr>
      <w:spacing w:before="200" w:after="200"/>
      <w:outlineLvl w:val="1"/>
    </w:pPr>
    <w:rPr>
      <w:rFonts w:ascii="Arial" w:hAnsi="Arial"/>
      <w:sz w:val="30"/>
    </w:rPr>
  </w:style>
  <w:style w:type="paragraph" w:styleId="Heading3">
    <w:name w:val="heading 3"/>
    <w:aliases w:val="OWS Heading 3"/>
    <w:basedOn w:val="Heading2"/>
    <w:next w:val="OWSNormal11pt"/>
    <w:link w:val="Heading3Char"/>
    <w:qFormat/>
    <w:rsid w:val="002B7F01"/>
    <w:pPr>
      <w:numPr>
        <w:ilvl w:val="2"/>
      </w:numPr>
      <w:outlineLvl w:val="2"/>
    </w:pPr>
    <w:rPr>
      <w:i/>
      <w:sz w:val="26"/>
      <w:szCs w:val="26"/>
    </w:rPr>
  </w:style>
  <w:style w:type="paragraph" w:styleId="Heading4">
    <w:name w:val="heading 4"/>
    <w:aliases w:val="OWS Heading 4"/>
    <w:basedOn w:val="Heading3"/>
    <w:next w:val="OWSNormal11pt"/>
    <w:link w:val="Heading4Char"/>
    <w:qFormat/>
    <w:rsid w:val="002B7F01"/>
    <w:pPr>
      <w:keepNext/>
      <w:keepLines/>
      <w:numPr>
        <w:ilvl w:val="3"/>
      </w:numPr>
      <w:outlineLvl w:val="3"/>
    </w:pPr>
    <w:rPr>
      <w:rFonts w:eastAsia="Times New Roman" w:cs="Times New Roman"/>
      <w:bCs w:val="0"/>
      <w:i w:val="0"/>
      <w:sz w:val="24"/>
      <w:szCs w:val="22"/>
      <w:lang w:eastAsia="en-US"/>
    </w:rPr>
  </w:style>
  <w:style w:type="paragraph" w:styleId="Heading5">
    <w:name w:val="heading 5"/>
    <w:aliases w:val="Exec Summary"/>
    <w:basedOn w:val="Normal"/>
    <w:next w:val="Normal"/>
    <w:link w:val="Heading5Char"/>
    <w:uiPriority w:val="9"/>
    <w:unhideWhenUsed/>
    <w:qFormat/>
    <w:rsid w:val="00557195"/>
    <w:pPr>
      <w:keepNext/>
      <w:keepLines/>
      <w:numPr>
        <w:ilvl w:val="4"/>
        <w:numId w:val="34"/>
      </w:numPr>
      <w:spacing w:before="200" w:after="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unhideWhenUsed/>
    <w:qFormat/>
    <w:rsid w:val="003D3694"/>
    <w:pPr>
      <w:keepNext/>
      <w:keepLines/>
      <w:numPr>
        <w:ilvl w:val="5"/>
        <w:numId w:val="34"/>
      </w:numPr>
      <w:adjustRightInd w:val="0"/>
      <w:spacing w:before="200" w:after="0"/>
      <w:jc w:val="both"/>
      <w:outlineLvl w:val="5"/>
    </w:pPr>
    <w:rPr>
      <w:rFonts w:asciiTheme="majorHAnsi" w:eastAsiaTheme="majorEastAsia" w:hAnsiTheme="majorHAnsi" w:cstheme="majorBidi"/>
      <w:bCs/>
      <w:i/>
      <w:iCs/>
      <w:color w:val="1F4D78" w:themeColor="accent1" w:themeShade="7F"/>
      <w:lang w:val="en-AU" w:eastAsia="en-US"/>
    </w:rPr>
  </w:style>
  <w:style w:type="paragraph" w:styleId="Heading7">
    <w:name w:val="heading 7"/>
    <w:basedOn w:val="Normal"/>
    <w:next w:val="Normal"/>
    <w:link w:val="Heading7Char"/>
    <w:uiPriority w:val="9"/>
    <w:unhideWhenUsed/>
    <w:qFormat/>
    <w:rsid w:val="003D3694"/>
    <w:pPr>
      <w:keepNext/>
      <w:keepLines/>
      <w:numPr>
        <w:ilvl w:val="6"/>
        <w:numId w:val="34"/>
      </w:numPr>
      <w:adjustRightInd w:val="0"/>
      <w:spacing w:before="200" w:after="0"/>
      <w:jc w:val="both"/>
      <w:outlineLvl w:val="6"/>
    </w:pPr>
    <w:rPr>
      <w:rFonts w:asciiTheme="majorHAnsi" w:eastAsiaTheme="majorEastAsia" w:hAnsiTheme="majorHAnsi" w:cstheme="majorBidi"/>
      <w:bCs/>
      <w:i/>
      <w:iCs/>
      <w:color w:val="404040" w:themeColor="text1" w:themeTint="BF"/>
      <w:lang w:val="en-AU" w:eastAsia="en-US"/>
    </w:rPr>
  </w:style>
  <w:style w:type="paragraph" w:styleId="Heading8">
    <w:name w:val="heading 8"/>
    <w:basedOn w:val="Normal"/>
    <w:next w:val="Normal"/>
    <w:link w:val="Heading8Char"/>
    <w:uiPriority w:val="9"/>
    <w:semiHidden/>
    <w:unhideWhenUsed/>
    <w:qFormat/>
    <w:rsid w:val="00085C15"/>
    <w:pPr>
      <w:keepNext/>
      <w:keepLines/>
      <w:numPr>
        <w:ilvl w:val="7"/>
        <w:numId w:val="3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44B2D"/>
    <w:pPr>
      <w:keepNext/>
      <w:keepLines/>
      <w:numPr>
        <w:ilvl w:val="8"/>
        <w:numId w:val="3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OWS Heading 1 Char"/>
    <w:basedOn w:val="DefaultParagraphFont"/>
    <w:link w:val="Heading1"/>
    <w:rsid w:val="002B7F01"/>
    <w:rPr>
      <w:rFonts w:ascii="Arial Bold" w:eastAsiaTheme="minorEastAsia" w:hAnsi="Arial Bold" w:cs="Arial"/>
      <w:b/>
      <w:bCs/>
      <w:color w:val="44546A" w:themeColor="text2"/>
      <w:sz w:val="48"/>
      <w:szCs w:val="48"/>
      <w:lang w:val="en-GB" w:eastAsia="ja-JP"/>
    </w:rPr>
  </w:style>
  <w:style w:type="character" w:customStyle="1" w:styleId="Heading2Char">
    <w:name w:val="Heading 2 Char"/>
    <w:aliases w:val="OWS Heading 2 Char"/>
    <w:basedOn w:val="DefaultParagraphFont"/>
    <w:link w:val="Heading2"/>
    <w:rsid w:val="002B7F01"/>
    <w:rPr>
      <w:rFonts w:ascii="Arial" w:eastAsiaTheme="minorEastAsia" w:hAnsi="Arial" w:cs="Arial"/>
      <w:b/>
      <w:bCs/>
      <w:color w:val="44546A" w:themeColor="text2"/>
      <w:sz w:val="30"/>
      <w:szCs w:val="48"/>
      <w:lang w:val="en-GB" w:eastAsia="ja-JP"/>
    </w:rPr>
  </w:style>
  <w:style w:type="character" w:customStyle="1" w:styleId="Heading3Char">
    <w:name w:val="Heading 3 Char"/>
    <w:aliases w:val="OWS Heading 3 Char"/>
    <w:basedOn w:val="DefaultParagraphFont"/>
    <w:link w:val="Heading3"/>
    <w:rsid w:val="002B7F01"/>
    <w:rPr>
      <w:rFonts w:ascii="Arial" w:eastAsiaTheme="minorEastAsia" w:hAnsi="Arial" w:cs="Arial"/>
      <w:b/>
      <w:bCs/>
      <w:i/>
      <w:color w:val="44546A" w:themeColor="text2"/>
      <w:sz w:val="26"/>
      <w:szCs w:val="26"/>
      <w:lang w:val="en-GB" w:eastAsia="ja-JP"/>
    </w:rPr>
  </w:style>
  <w:style w:type="character" w:customStyle="1" w:styleId="Heading4Char">
    <w:name w:val="Heading 4 Char"/>
    <w:aliases w:val="OWS Heading 4 Char"/>
    <w:basedOn w:val="DefaultParagraphFont"/>
    <w:link w:val="Heading4"/>
    <w:rsid w:val="002B7F01"/>
    <w:rPr>
      <w:rFonts w:ascii="Arial" w:eastAsia="Times New Roman" w:hAnsi="Arial" w:cs="Times New Roman"/>
      <w:b/>
      <w:color w:val="44546A" w:themeColor="text2"/>
      <w:sz w:val="24"/>
      <w:lang w:val="en-GB"/>
    </w:rPr>
  </w:style>
  <w:style w:type="paragraph" w:customStyle="1" w:styleId="BasicParagraph">
    <w:name w:val="[Basic Paragraph]"/>
    <w:basedOn w:val="Normal"/>
    <w:link w:val="BasicParagraphChar"/>
    <w:uiPriority w:val="99"/>
    <w:rsid w:val="002B7F01"/>
    <w:pPr>
      <w:widowControl w:val="0"/>
      <w:adjustRightInd w:val="0"/>
      <w:spacing w:after="0" w:line="288" w:lineRule="auto"/>
      <w:textAlignment w:val="center"/>
    </w:pPr>
    <w:rPr>
      <w:rFonts w:ascii="MinionPro-Regular" w:hAnsi="MinionPro-Regular" w:cs="MinionPro-Regular"/>
      <w:color w:val="000000"/>
      <w:lang w:val="en-GB"/>
    </w:rPr>
  </w:style>
  <w:style w:type="paragraph" w:styleId="Header">
    <w:name w:val="header"/>
    <w:basedOn w:val="Normal"/>
    <w:link w:val="HeaderChar"/>
    <w:uiPriority w:val="99"/>
    <w:rsid w:val="002B7F01"/>
    <w:pPr>
      <w:tabs>
        <w:tab w:val="center" w:pos="4320"/>
        <w:tab w:val="right" w:pos="8640"/>
      </w:tabs>
      <w:spacing w:after="0"/>
    </w:pPr>
  </w:style>
  <w:style w:type="character" w:customStyle="1" w:styleId="HeaderChar">
    <w:name w:val="Header Char"/>
    <w:basedOn w:val="DefaultParagraphFont"/>
    <w:link w:val="Header"/>
    <w:uiPriority w:val="99"/>
    <w:rsid w:val="002B7F01"/>
    <w:rPr>
      <w:rFonts w:ascii="Arial" w:eastAsiaTheme="minorEastAsia" w:hAnsi="Arial"/>
      <w:lang w:val="en-US" w:eastAsia="ja-JP"/>
    </w:rPr>
  </w:style>
  <w:style w:type="paragraph" w:customStyle="1" w:styleId="Body">
    <w:name w:val="Body"/>
    <w:basedOn w:val="Normal"/>
    <w:link w:val="BodyChar"/>
    <w:rsid w:val="002B7F01"/>
    <w:rPr>
      <w:rFonts w:ascii="Calibri" w:hAnsi="Calibri" w:cs="Arial"/>
    </w:rPr>
  </w:style>
  <w:style w:type="paragraph" w:customStyle="1" w:styleId="Bullet">
    <w:name w:val="Bullet"/>
    <w:basedOn w:val="Normal"/>
    <w:rsid w:val="002B7F01"/>
    <w:pPr>
      <w:numPr>
        <w:numId w:val="1"/>
      </w:numPr>
      <w:tabs>
        <w:tab w:val="clear" w:pos="720"/>
      </w:tabs>
      <w:spacing w:before="100" w:beforeAutospacing="1" w:after="100" w:afterAutospacing="1"/>
      <w:ind w:left="567" w:hanging="425"/>
    </w:pPr>
    <w:rPr>
      <w:rFonts w:ascii="Calibri" w:hAnsi="Calibri"/>
    </w:rPr>
  </w:style>
  <w:style w:type="paragraph" w:styleId="Footer">
    <w:name w:val="footer"/>
    <w:aliases w:val="Footer1"/>
    <w:basedOn w:val="Normal"/>
    <w:link w:val="FooterChar"/>
    <w:uiPriority w:val="99"/>
    <w:rsid w:val="002B7F01"/>
    <w:pPr>
      <w:tabs>
        <w:tab w:val="center" w:pos="4320"/>
        <w:tab w:val="right" w:pos="8640"/>
      </w:tabs>
      <w:spacing w:after="0"/>
    </w:pPr>
  </w:style>
  <w:style w:type="character" w:customStyle="1" w:styleId="FooterChar">
    <w:name w:val="Footer Char"/>
    <w:aliases w:val="Footer1 Char"/>
    <w:basedOn w:val="DefaultParagraphFont"/>
    <w:link w:val="Footer"/>
    <w:uiPriority w:val="99"/>
    <w:rsid w:val="002B7F01"/>
    <w:rPr>
      <w:rFonts w:ascii="Arial" w:eastAsiaTheme="minorEastAsia" w:hAnsi="Arial"/>
      <w:lang w:val="en-US" w:eastAsia="ja-JP"/>
    </w:rPr>
  </w:style>
  <w:style w:type="paragraph" w:styleId="TOC1">
    <w:name w:val="toc 1"/>
    <w:aliases w:val="OWS TOC 1"/>
    <w:basedOn w:val="Normal"/>
    <w:next w:val="Normal"/>
    <w:link w:val="TOC1Char"/>
    <w:autoRedefine/>
    <w:uiPriority w:val="39"/>
    <w:qFormat/>
    <w:rsid w:val="00C6582F"/>
    <w:pPr>
      <w:tabs>
        <w:tab w:val="right" w:leader="dot" w:pos="9054"/>
      </w:tabs>
      <w:spacing w:after="100"/>
      <w:ind w:left="284" w:hanging="284"/>
      <w:jc w:val="right"/>
    </w:pPr>
    <w:rPr>
      <w:sz w:val="20"/>
    </w:rPr>
  </w:style>
  <w:style w:type="paragraph" w:styleId="TOC2">
    <w:name w:val="toc 2"/>
    <w:aliases w:val="OWS TOC 2"/>
    <w:basedOn w:val="Normal"/>
    <w:next w:val="Normal"/>
    <w:autoRedefine/>
    <w:uiPriority w:val="39"/>
    <w:qFormat/>
    <w:rsid w:val="002B7F01"/>
    <w:pPr>
      <w:spacing w:after="100"/>
      <w:ind w:left="240"/>
    </w:pPr>
    <w:rPr>
      <w:sz w:val="20"/>
    </w:rPr>
  </w:style>
  <w:style w:type="character" w:styleId="Hyperlink">
    <w:name w:val="Hyperlink"/>
    <w:aliases w:val="OWS Hyperlink"/>
    <w:basedOn w:val="DefaultParagraphFont"/>
    <w:uiPriority w:val="99"/>
    <w:rsid w:val="002B7F01"/>
    <w:rPr>
      <w:color w:val="0563C1" w:themeColor="hyperlink"/>
      <w:u w:val="single"/>
    </w:rPr>
  </w:style>
  <w:style w:type="paragraph" w:styleId="ListParagraph">
    <w:name w:val="List Paragraph"/>
    <w:basedOn w:val="Normal"/>
    <w:uiPriority w:val="99"/>
    <w:qFormat/>
    <w:rsid w:val="002B7F01"/>
    <w:pPr>
      <w:spacing w:line="276" w:lineRule="auto"/>
      <w:ind w:left="720"/>
      <w:contextualSpacing/>
    </w:pPr>
    <w:rPr>
      <w:rFonts w:ascii="Calibri" w:eastAsia="Calibri" w:hAnsi="Calibri" w:cs="Times New Roman"/>
      <w:lang w:eastAsia="en-US"/>
    </w:rPr>
  </w:style>
  <w:style w:type="character" w:customStyle="1" w:styleId="BodyChar">
    <w:name w:val="Body Char"/>
    <w:basedOn w:val="DefaultParagraphFont"/>
    <w:link w:val="Body"/>
    <w:rsid w:val="002B7F01"/>
    <w:rPr>
      <w:rFonts w:ascii="Calibri" w:eastAsiaTheme="minorEastAsia" w:hAnsi="Calibri" w:cs="Arial"/>
      <w:lang w:val="en-US" w:eastAsia="ja-JP"/>
    </w:rPr>
  </w:style>
  <w:style w:type="character" w:styleId="CommentReference">
    <w:name w:val="annotation reference"/>
    <w:basedOn w:val="DefaultParagraphFont"/>
    <w:uiPriority w:val="99"/>
    <w:rsid w:val="002B7F01"/>
    <w:rPr>
      <w:sz w:val="16"/>
      <w:szCs w:val="16"/>
    </w:rPr>
  </w:style>
  <w:style w:type="paragraph" w:styleId="CommentText">
    <w:name w:val="annotation text"/>
    <w:basedOn w:val="Normal"/>
    <w:link w:val="CommentTextChar"/>
    <w:uiPriority w:val="99"/>
    <w:rsid w:val="002B7F01"/>
    <w:rPr>
      <w:sz w:val="20"/>
      <w:szCs w:val="20"/>
    </w:rPr>
  </w:style>
  <w:style w:type="character" w:customStyle="1" w:styleId="CommentTextChar">
    <w:name w:val="Comment Text Char"/>
    <w:basedOn w:val="DefaultParagraphFont"/>
    <w:link w:val="CommentText"/>
    <w:uiPriority w:val="99"/>
    <w:rsid w:val="002B7F01"/>
    <w:rPr>
      <w:rFonts w:ascii="Arial" w:eastAsiaTheme="minorEastAsia" w:hAnsi="Arial"/>
      <w:sz w:val="20"/>
      <w:szCs w:val="20"/>
      <w:lang w:val="en-US" w:eastAsia="ja-JP"/>
    </w:rPr>
  </w:style>
  <w:style w:type="paragraph" w:customStyle="1" w:styleId="BRnormal11pt">
    <w:name w:val="BR normal 11pt"/>
    <w:basedOn w:val="Body"/>
    <w:link w:val="BRnormal11ptChar"/>
    <w:qFormat/>
    <w:rsid w:val="002B7F01"/>
    <w:rPr>
      <w:rFonts w:ascii="Arial" w:hAnsi="Arial"/>
    </w:rPr>
  </w:style>
  <w:style w:type="character" w:customStyle="1" w:styleId="BRnormal11ptChar">
    <w:name w:val="BR normal 11pt Char"/>
    <w:basedOn w:val="BodyChar"/>
    <w:link w:val="BRnormal11pt"/>
    <w:rsid w:val="002B7F01"/>
    <w:rPr>
      <w:rFonts w:ascii="Arial" w:eastAsiaTheme="minorEastAsia" w:hAnsi="Arial" w:cs="Arial"/>
      <w:lang w:val="en-US" w:eastAsia="ja-JP"/>
    </w:rPr>
  </w:style>
  <w:style w:type="paragraph" w:customStyle="1" w:styleId="OWSbulletL1">
    <w:name w:val="OWS bullet L1"/>
    <w:basedOn w:val="Bullet"/>
    <w:link w:val="OWSbulletL1Char"/>
    <w:qFormat/>
    <w:rsid w:val="002B7F01"/>
    <w:pPr>
      <w:spacing w:before="0" w:beforeAutospacing="0" w:after="113" w:afterAutospacing="0" w:line="280" w:lineRule="atLeast"/>
      <w:ind w:left="425"/>
    </w:pPr>
    <w:rPr>
      <w:rFonts w:ascii="Arial" w:hAnsi="Arial" w:cs="Arial"/>
    </w:rPr>
  </w:style>
  <w:style w:type="character" w:customStyle="1" w:styleId="OWSbulletL1Char">
    <w:name w:val="OWS bullet L1 Char"/>
    <w:basedOn w:val="DefaultParagraphFont"/>
    <w:link w:val="OWSbulletL1"/>
    <w:rsid w:val="002B7F01"/>
    <w:rPr>
      <w:rFonts w:ascii="Arial" w:eastAsiaTheme="minorEastAsia" w:hAnsi="Arial" w:cs="Arial"/>
      <w:lang w:val="en-US" w:eastAsia="ja-JP"/>
    </w:rPr>
  </w:style>
  <w:style w:type="character" w:customStyle="1" w:styleId="TOC1Char">
    <w:name w:val="TOC 1 Char"/>
    <w:aliases w:val="OWS TOC 1 Char"/>
    <w:basedOn w:val="DefaultParagraphFont"/>
    <w:link w:val="TOC1"/>
    <w:uiPriority w:val="39"/>
    <w:rsid w:val="00C6582F"/>
    <w:rPr>
      <w:rFonts w:ascii="Arial" w:eastAsiaTheme="minorEastAsia" w:hAnsi="Arial"/>
      <w:sz w:val="20"/>
      <w:lang w:val="en-US" w:eastAsia="ja-JP"/>
    </w:rPr>
  </w:style>
  <w:style w:type="paragraph" w:customStyle="1" w:styleId="OWSNormal11pt">
    <w:name w:val="OWS Normal 11pt"/>
    <w:basedOn w:val="Normal"/>
    <w:link w:val="OWSNormal11ptChar"/>
    <w:qFormat/>
    <w:rsid w:val="002B7F01"/>
    <w:pPr>
      <w:spacing w:before="200"/>
    </w:pPr>
    <w:rPr>
      <w:rFonts w:cs="Arial"/>
      <w:color w:val="000000"/>
    </w:rPr>
  </w:style>
  <w:style w:type="character" w:customStyle="1" w:styleId="OWSNormal11ptChar">
    <w:name w:val="OWS Normal 11pt Char"/>
    <w:basedOn w:val="DefaultParagraphFont"/>
    <w:link w:val="OWSNormal11pt"/>
    <w:rsid w:val="002B7F01"/>
    <w:rPr>
      <w:rFonts w:ascii="Arial" w:eastAsiaTheme="minorEastAsia" w:hAnsi="Arial" w:cs="Arial"/>
      <w:color w:val="000000"/>
      <w:lang w:val="en-US" w:eastAsia="ja-JP"/>
    </w:rPr>
  </w:style>
  <w:style w:type="paragraph" w:customStyle="1" w:styleId="OWSSummaryH2">
    <w:name w:val="OWS Summary H2"/>
    <w:basedOn w:val="OWSSummaryH1"/>
    <w:link w:val="OWSSummaryH2Char"/>
    <w:qFormat/>
    <w:rsid w:val="002B7F01"/>
    <w:pPr>
      <w:pageBreakBefore w:val="0"/>
      <w:spacing w:before="200" w:after="200"/>
      <w:outlineLvl w:val="9"/>
    </w:pPr>
    <w:rPr>
      <w:sz w:val="30"/>
      <w:szCs w:val="30"/>
      <w:lang w:eastAsia="en-AU"/>
    </w:rPr>
  </w:style>
  <w:style w:type="paragraph" w:customStyle="1" w:styleId="OWSSummaryH1">
    <w:name w:val="OWS Summary H1"/>
    <w:link w:val="OWSSummaryH1Char"/>
    <w:qFormat/>
    <w:rsid w:val="002B7F01"/>
    <w:pPr>
      <w:pageBreakBefore/>
      <w:spacing w:after="528" w:line="240" w:lineRule="auto"/>
      <w:outlineLvl w:val="0"/>
    </w:pPr>
    <w:rPr>
      <w:rFonts w:ascii="Arial" w:eastAsiaTheme="minorEastAsia" w:hAnsi="Arial" w:cs="Arial"/>
      <w:b/>
      <w:bCs/>
      <w:color w:val="44546A" w:themeColor="text2"/>
      <w:sz w:val="48"/>
      <w:szCs w:val="48"/>
      <w:lang w:val="en-GB" w:eastAsia="ja-JP"/>
    </w:rPr>
  </w:style>
  <w:style w:type="character" w:customStyle="1" w:styleId="OWSSummaryH2Char">
    <w:name w:val="OWS Summary H2 Char"/>
    <w:basedOn w:val="BRnormal11ptChar"/>
    <w:link w:val="OWSSummaryH2"/>
    <w:rsid w:val="002B7F01"/>
    <w:rPr>
      <w:rFonts w:ascii="Arial" w:eastAsiaTheme="minorEastAsia" w:hAnsi="Arial" w:cs="Arial"/>
      <w:b/>
      <w:bCs/>
      <w:color w:val="44546A" w:themeColor="text2"/>
      <w:sz w:val="30"/>
      <w:szCs w:val="30"/>
      <w:lang w:val="en-GB" w:eastAsia="en-AU"/>
    </w:rPr>
  </w:style>
  <w:style w:type="character" w:customStyle="1" w:styleId="OWSSummaryH1Char">
    <w:name w:val="OWS Summary H1 Char"/>
    <w:basedOn w:val="DefaultParagraphFont"/>
    <w:link w:val="OWSSummaryH1"/>
    <w:rsid w:val="002B7F01"/>
    <w:rPr>
      <w:rFonts w:ascii="Arial" w:eastAsiaTheme="minorEastAsia" w:hAnsi="Arial" w:cs="Arial"/>
      <w:b/>
      <w:bCs/>
      <w:color w:val="44546A" w:themeColor="text2"/>
      <w:sz w:val="48"/>
      <w:szCs w:val="48"/>
      <w:lang w:val="en-GB" w:eastAsia="ja-JP"/>
    </w:rPr>
  </w:style>
  <w:style w:type="paragraph" w:customStyle="1" w:styleId="OWSCoverstory">
    <w:name w:val="OWS Cover story"/>
    <w:basedOn w:val="Normal"/>
    <w:link w:val="OWSCoverstoryChar"/>
    <w:qFormat/>
    <w:rsid w:val="002B7F01"/>
    <w:pPr>
      <w:widowControl w:val="0"/>
      <w:suppressAutoHyphens/>
      <w:adjustRightInd w:val="0"/>
      <w:spacing w:before="840" w:after="57" w:line="288" w:lineRule="auto"/>
      <w:ind w:left="993" w:right="984"/>
      <w:textAlignment w:val="center"/>
    </w:pPr>
    <w:rPr>
      <w:rFonts w:cs="Calibri-Bold"/>
      <w:bCs/>
      <w:color w:val="44546A" w:themeColor="text2"/>
      <w:sz w:val="20"/>
      <w:lang w:val="en-GB"/>
    </w:rPr>
  </w:style>
  <w:style w:type="character" w:customStyle="1" w:styleId="OWSCoverstoryChar">
    <w:name w:val="OWS Cover story Char"/>
    <w:basedOn w:val="DefaultParagraphFont"/>
    <w:link w:val="OWSCoverstory"/>
    <w:rsid w:val="002B7F01"/>
    <w:rPr>
      <w:rFonts w:ascii="Arial" w:eastAsiaTheme="minorEastAsia" w:hAnsi="Arial" w:cs="Calibri-Bold"/>
      <w:bCs/>
      <w:color w:val="44546A" w:themeColor="text2"/>
      <w:sz w:val="20"/>
      <w:lang w:val="en-GB" w:eastAsia="ja-JP"/>
    </w:rPr>
  </w:style>
  <w:style w:type="paragraph" w:customStyle="1" w:styleId="OWSversopagenormaltext">
    <w:name w:val="OWS verso page normal text"/>
    <w:basedOn w:val="Body"/>
    <w:link w:val="OWSversopagenormaltextChar"/>
    <w:qFormat/>
    <w:rsid w:val="002B7F01"/>
    <w:pPr>
      <w:spacing w:before="200"/>
    </w:pPr>
    <w:rPr>
      <w:rFonts w:ascii="Arial" w:hAnsi="Arial"/>
      <w:color w:val="000000"/>
      <w:sz w:val="20"/>
      <w:szCs w:val="20"/>
    </w:rPr>
  </w:style>
  <w:style w:type="character" w:customStyle="1" w:styleId="OWSversopagenormaltextChar">
    <w:name w:val="OWS verso page normal text Char"/>
    <w:basedOn w:val="BodyChar"/>
    <w:link w:val="OWSversopagenormaltext"/>
    <w:rsid w:val="002B7F01"/>
    <w:rPr>
      <w:rFonts w:ascii="Arial" w:eastAsiaTheme="minorEastAsia" w:hAnsi="Arial" w:cs="Arial"/>
      <w:color w:val="000000"/>
      <w:sz w:val="20"/>
      <w:szCs w:val="20"/>
      <w:lang w:val="en-US" w:eastAsia="ja-JP"/>
    </w:rPr>
  </w:style>
  <w:style w:type="paragraph" w:customStyle="1" w:styleId="OWSTableheading">
    <w:name w:val="OWS Table heading"/>
    <w:basedOn w:val="Body"/>
    <w:link w:val="OWSTableheadingChar"/>
    <w:qFormat/>
    <w:rsid w:val="002B7F01"/>
    <w:pPr>
      <w:widowControl w:val="0"/>
      <w:suppressAutoHyphens/>
      <w:adjustRightInd w:val="0"/>
      <w:spacing w:before="60" w:after="60"/>
      <w:textAlignment w:val="center"/>
    </w:pPr>
    <w:rPr>
      <w:rFonts w:ascii="Arial" w:hAnsi="Arial"/>
      <w:b/>
      <w:sz w:val="20"/>
      <w:szCs w:val="20"/>
    </w:rPr>
  </w:style>
  <w:style w:type="paragraph" w:customStyle="1" w:styleId="OWSTabletext">
    <w:name w:val="OWS Table text"/>
    <w:basedOn w:val="Body"/>
    <w:link w:val="OWSTabletextChar"/>
    <w:qFormat/>
    <w:rsid w:val="002B7F01"/>
    <w:pPr>
      <w:widowControl w:val="0"/>
      <w:suppressAutoHyphens/>
      <w:adjustRightInd w:val="0"/>
      <w:spacing w:before="60" w:after="120"/>
      <w:textAlignment w:val="center"/>
    </w:pPr>
    <w:rPr>
      <w:rFonts w:ascii="Arial" w:hAnsi="Arial"/>
      <w:color w:val="000000"/>
      <w:sz w:val="20"/>
      <w:szCs w:val="20"/>
    </w:rPr>
  </w:style>
  <w:style w:type="character" w:customStyle="1" w:styleId="OWSTableheadingChar">
    <w:name w:val="OWS Table heading Char"/>
    <w:basedOn w:val="BodyChar"/>
    <w:link w:val="OWSTableheading"/>
    <w:rsid w:val="002B7F01"/>
    <w:rPr>
      <w:rFonts w:ascii="Arial" w:eastAsiaTheme="minorEastAsia" w:hAnsi="Arial" w:cs="Arial"/>
      <w:b/>
      <w:sz w:val="20"/>
      <w:szCs w:val="20"/>
      <w:lang w:val="en-US" w:eastAsia="ja-JP"/>
    </w:rPr>
  </w:style>
  <w:style w:type="character" w:customStyle="1" w:styleId="OWSTabletextChar">
    <w:name w:val="OWS Table text Char"/>
    <w:basedOn w:val="BodyChar"/>
    <w:link w:val="OWSTabletext"/>
    <w:rsid w:val="002B7F01"/>
    <w:rPr>
      <w:rFonts w:ascii="Arial" w:eastAsiaTheme="minorEastAsia" w:hAnsi="Arial" w:cs="Arial"/>
      <w:color w:val="000000"/>
      <w:sz w:val="20"/>
      <w:szCs w:val="20"/>
      <w:lang w:val="en-US" w:eastAsia="ja-JP"/>
    </w:rPr>
  </w:style>
  <w:style w:type="paragraph" w:customStyle="1" w:styleId="OWSpre-listtext">
    <w:name w:val="OWS pre-list text"/>
    <w:basedOn w:val="Body"/>
    <w:link w:val="OWSpre-listtextChar"/>
    <w:qFormat/>
    <w:rsid w:val="002B7F01"/>
    <w:pPr>
      <w:keepNext/>
      <w:keepLines/>
      <w:spacing w:after="120"/>
    </w:pPr>
    <w:rPr>
      <w:rFonts w:ascii="Arial" w:hAnsi="Arial"/>
    </w:rPr>
  </w:style>
  <w:style w:type="character" w:customStyle="1" w:styleId="OWSpre-listtextChar">
    <w:name w:val="OWS pre-list text Char"/>
    <w:basedOn w:val="BodyChar"/>
    <w:link w:val="OWSpre-listtext"/>
    <w:rsid w:val="002B7F01"/>
    <w:rPr>
      <w:rFonts w:ascii="Arial" w:eastAsiaTheme="minorEastAsia" w:hAnsi="Arial" w:cs="Arial"/>
      <w:lang w:val="en-US" w:eastAsia="ja-JP"/>
    </w:rPr>
  </w:style>
  <w:style w:type="character" w:customStyle="1" w:styleId="BasicParagraphChar">
    <w:name w:val="[Basic Paragraph] Char"/>
    <w:basedOn w:val="DefaultParagraphFont"/>
    <w:link w:val="BasicParagraph"/>
    <w:uiPriority w:val="99"/>
    <w:rsid w:val="002B7F01"/>
    <w:rPr>
      <w:rFonts w:ascii="MinionPro-Regular" w:eastAsiaTheme="minorEastAsia" w:hAnsi="MinionPro-Regular" w:cs="MinionPro-Regular"/>
      <w:color w:val="000000"/>
      <w:lang w:val="en-GB" w:eastAsia="ja-JP"/>
    </w:rPr>
  </w:style>
  <w:style w:type="paragraph" w:customStyle="1" w:styleId="OWStablebulletpointL1">
    <w:name w:val="OWS table bullet point L1"/>
    <w:basedOn w:val="OWSTabletext"/>
    <w:link w:val="OWStablebulletpointL1Char"/>
    <w:qFormat/>
    <w:rsid w:val="002B7F01"/>
    <w:pPr>
      <w:numPr>
        <w:numId w:val="3"/>
      </w:numPr>
      <w:spacing w:after="60"/>
      <w:ind w:left="318" w:hanging="318"/>
    </w:pPr>
  </w:style>
  <w:style w:type="character" w:customStyle="1" w:styleId="OWStablebulletpointL1Char">
    <w:name w:val="OWS table bullet point L1 Char"/>
    <w:basedOn w:val="OWSTabletextChar"/>
    <w:link w:val="OWStablebulletpointL1"/>
    <w:rsid w:val="002B7F01"/>
    <w:rPr>
      <w:rFonts w:ascii="Arial" w:eastAsiaTheme="minorEastAsia" w:hAnsi="Arial" w:cs="Arial"/>
      <w:color w:val="000000"/>
      <w:sz w:val="20"/>
      <w:szCs w:val="20"/>
      <w:lang w:val="en-US" w:eastAsia="ja-JP"/>
    </w:rPr>
  </w:style>
  <w:style w:type="paragraph" w:customStyle="1" w:styleId="OWSversopageaddress">
    <w:name w:val="OWS verso page address"/>
    <w:basedOn w:val="Normal"/>
    <w:link w:val="OWSversopageaddressChar"/>
    <w:qFormat/>
    <w:rsid w:val="002B7F01"/>
    <w:pPr>
      <w:spacing w:after="0"/>
    </w:pPr>
    <w:rPr>
      <w:rFonts w:cs="Arial"/>
      <w:sz w:val="20"/>
      <w:szCs w:val="20"/>
    </w:rPr>
  </w:style>
  <w:style w:type="character" w:customStyle="1" w:styleId="OWSversopageaddressChar">
    <w:name w:val="OWS verso page address Char"/>
    <w:basedOn w:val="DefaultParagraphFont"/>
    <w:link w:val="OWSversopageaddress"/>
    <w:rsid w:val="002B7F01"/>
    <w:rPr>
      <w:rFonts w:ascii="Arial" w:eastAsiaTheme="minorEastAsia" w:hAnsi="Arial" w:cs="Arial"/>
      <w:sz w:val="20"/>
      <w:szCs w:val="20"/>
      <w:lang w:val="en-US" w:eastAsia="ja-JP"/>
    </w:rPr>
  </w:style>
  <w:style w:type="paragraph" w:customStyle="1" w:styleId="OWSCovertitle">
    <w:name w:val="OWS Cover title"/>
    <w:basedOn w:val="Normal"/>
    <w:link w:val="OWSCovertitleChar"/>
    <w:qFormat/>
    <w:rsid w:val="002B7F01"/>
    <w:pPr>
      <w:widowControl w:val="0"/>
      <w:suppressAutoHyphens/>
      <w:spacing w:after="0"/>
      <w:ind w:left="993" w:right="984"/>
      <w:textAlignment w:val="center"/>
    </w:pPr>
    <w:rPr>
      <w:rFonts w:eastAsia="Times New Roman" w:cs="Arial"/>
      <w:b/>
      <w:bCs/>
      <w:color w:val="44546A" w:themeColor="text2"/>
      <w:sz w:val="52"/>
      <w:szCs w:val="52"/>
      <w:lang w:val="en-AU" w:eastAsia="en-AU"/>
    </w:rPr>
  </w:style>
  <w:style w:type="character" w:customStyle="1" w:styleId="OWSCovertitleChar">
    <w:name w:val="OWS Cover title Char"/>
    <w:basedOn w:val="DefaultParagraphFont"/>
    <w:link w:val="OWSCovertitle"/>
    <w:rsid w:val="002B7F01"/>
    <w:rPr>
      <w:rFonts w:ascii="Arial" w:eastAsia="Times New Roman" w:hAnsi="Arial" w:cs="Arial"/>
      <w:b/>
      <w:bCs/>
      <w:color w:val="44546A" w:themeColor="text2"/>
      <w:sz w:val="52"/>
      <w:szCs w:val="52"/>
      <w:lang w:eastAsia="en-AU"/>
    </w:rPr>
  </w:style>
  <w:style w:type="paragraph" w:customStyle="1" w:styleId="OWSpagenumber">
    <w:name w:val="OWS page number"/>
    <w:basedOn w:val="Footer"/>
    <w:link w:val="OWSpagenumberChar"/>
    <w:qFormat/>
    <w:rsid w:val="002B7F01"/>
    <w:pPr>
      <w:jc w:val="center"/>
    </w:pPr>
    <w:rPr>
      <w:noProof/>
      <w:sz w:val="18"/>
      <w:szCs w:val="18"/>
    </w:rPr>
  </w:style>
  <w:style w:type="character" w:customStyle="1" w:styleId="OWSpagenumberChar">
    <w:name w:val="OWS page number Char"/>
    <w:basedOn w:val="FooterChar"/>
    <w:link w:val="OWSpagenumber"/>
    <w:rsid w:val="002B7F01"/>
    <w:rPr>
      <w:rFonts w:ascii="Arial" w:eastAsiaTheme="minorEastAsia" w:hAnsi="Arial"/>
      <w:noProof/>
      <w:sz w:val="18"/>
      <w:szCs w:val="18"/>
      <w:lang w:val="en-US" w:eastAsia="ja-JP"/>
    </w:rPr>
  </w:style>
  <w:style w:type="paragraph" w:customStyle="1" w:styleId="OWStablebulletpointL2">
    <w:name w:val="OWS table bullet point L2"/>
    <w:basedOn w:val="OWSTabletext"/>
    <w:qFormat/>
    <w:rsid w:val="002B7F01"/>
    <w:pPr>
      <w:numPr>
        <w:ilvl w:val="1"/>
        <w:numId w:val="3"/>
      </w:numPr>
      <w:tabs>
        <w:tab w:val="num" w:pos="360"/>
      </w:tabs>
      <w:ind w:left="884" w:hanging="425"/>
    </w:pPr>
  </w:style>
  <w:style w:type="paragraph" w:customStyle="1" w:styleId="OWStablebulletpointL3">
    <w:name w:val="OWS table bullet point L3"/>
    <w:basedOn w:val="OWStablebulletpointL2"/>
    <w:qFormat/>
    <w:rsid w:val="002B7F01"/>
    <w:pPr>
      <w:numPr>
        <w:ilvl w:val="2"/>
      </w:numPr>
      <w:tabs>
        <w:tab w:val="num" w:pos="360"/>
      </w:tabs>
      <w:ind w:left="1309" w:hanging="425"/>
    </w:pPr>
  </w:style>
  <w:style w:type="paragraph" w:customStyle="1" w:styleId="OWSheaderimage">
    <w:name w:val="OWS header image"/>
    <w:basedOn w:val="Header"/>
    <w:link w:val="OWSheaderimageChar"/>
    <w:qFormat/>
    <w:rsid w:val="002B7F01"/>
    <w:pPr>
      <w:jc w:val="right"/>
    </w:pPr>
    <w:rPr>
      <w:color w:val="808080" w:themeColor="background1" w:themeShade="80"/>
      <w:sz w:val="20"/>
      <w:szCs w:val="20"/>
    </w:rPr>
  </w:style>
  <w:style w:type="character" w:customStyle="1" w:styleId="OWSheaderimageChar">
    <w:name w:val="OWS header image Char"/>
    <w:basedOn w:val="HeaderChar"/>
    <w:link w:val="OWSheaderimage"/>
    <w:rsid w:val="002B7F01"/>
    <w:rPr>
      <w:rFonts w:ascii="Arial" w:eastAsiaTheme="minorEastAsia" w:hAnsi="Arial"/>
      <w:color w:val="808080" w:themeColor="background1" w:themeShade="80"/>
      <w:sz w:val="20"/>
      <w:szCs w:val="20"/>
      <w:lang w:val="en-US" w:eastAsia="ja-JP"/>
    </w:rPr>
  </w:style>
  <w:style w:type="paragraph" w:customStyle="1" w:styleId="BR-normal-CopyrightPage">
    <w:name w:val="BR - normal - Copyright Page"/>
    <w:basedOn w:val="Body"/>
    <w:link w:val="BR-normal-CopyrightPageChar"/>
    <w:qFormat/>
    <w:rsid w:val="002B7F01"/>
    <w:rPr>
      <w:color w:val="000000"/>
      <w:sz w:val="20"/>
      <w:szCs w:val="20"/>
      <w:lang w:eastAsia="en-AU"/>
    </w:rPr>
  </w:style>
  <w:style w:type="character" w:customStyle="1" w:styleId="BR-normal-CopyrightPageChar">
    <w:name w:val="BR - normal - Copyright Page Char"/>
    <w:basedOn w:val="BodyChar"/>
    <w:link w:val="BR-normal-CopyrightPage"/>
    <w:rsid w:val="002B7F01"/>
    <w:rPr>
      <w:rFonts w:ascii="Calibri" w:eastAsiaTheme="minorEastAsia" w:hAnsi="Calibri" w:cs="Arial"/>
      <w:color w:val="000000"/>
      <w:sz w:val="20"/>
      <w:szCs w:val="20"/>
      <w:lang w:val="en-US" w:eastAsia="en-AU"/>
    </w:rPr>
  </w:style>
  <w:style w:type="paragraph" w:customStyle="1" w:styleId="OWSCoverlogosDRAFT">
    <w:name w:val="OWS Cover logos + DRAFT"/>
    <w:basedOn w:val="Normal"/>
    <w:link w:val="OWSCoverlogosDRAFTChar"/>
    <w:qFormat/>
    <w:rsid w:val="002B7F01"/>
    <w:pPr>
      <w:spacing w:before="1680" w:after="840"/>
      <w:ind w:firstLine="992"/>
    </w:pPr>
    <w:rPr>
      <w:rFonts w:cs="Arial"/>
      <w:noProof/>
      <w:color w:val="FF0000"/>
      <w:sz w:val="20"/>
      <w:szCs w:val="20"/>
      <w:lang w:val="en-AU" w:eastAsia="en-AU"/>
    </w:rPr>
  </w:style>
  <w:style w:type="paragraph" w:customStyle="1" w:styleId="OWSCoverdate">
    <w:name w:val="OWS Cover date"/>
    <w:basedOn w:val="OWSCoverstory"/>
    <w:link w:val="OWSCoverdateChar"/>
    <w:qFormat/>
    <w:rsid w:val="002B7F01"/>
    <w:pPr>
      <w:spacing w:after="960"/>
      <w:ind w:left="992" w:right="987"/>
    </w:pPr>
  </w:style>
  <w:style w:type="character" w:customStyle="1" w:styleId="OWSCoverlogosDRAFTChar">
    <w:name w:val="OWS Cover logos + DRAFT Char"/>
    <w:basedOn w:val="DefaultParagraphFont"/>
    <w:link w:val="OWSCoverlogosDRAFT"/>
    <w:rsid w:val="002B7F01"/>
    <w:rPr>
      <w:rFonts w:ascii="Arial" w:eastAsiaTheme="minorEastAsia" w:hAnsi="Arial" w:cs="Arial"/>
      <w:noProof/>
      <w:color w:val="FF0000"/>
      <w:sz w:val="20"/>
      <w:szCs w:val="20"/>
      <w:lang w:eastAsia="en-AU"/>
    </w:rPr>
  </w:style>
  <w:style w:type="paragraph" w:customStyle="1" w:styleId="OWSheadertextimage">
    <w:name w:val="OWS header text + image"/>
    <w:basedOn w:val="OWSheaderimage"/>
    <w:link w:val="OWSheadertextimageChar"/>
    <w:uiPriority w:val="99"/>
    <w:qFormat/>
    <w:rsid w:val="002B7F01"/>
    <w:pPr>
      <w:spacing w:before="1320" w:after="120"/>
    </w:pPr>
  </w:style>
  <w:style w:type="character" w:customStyle="1" w:styleId="OWSCoverdateChar">
    <w:name w:val="OWS Cover date Char"/>
    <w:basedOn w:val="OWSCoverstoryChar"/>
    <w:link w:val="OWSCoverdate"/>
    <w:rsid w:val="002B7F01"/>
    <w:rPr>
      <w:rFonts w:ascii="Arial" w:eastAsiaTheme="minorEastAsia" w:hAnsi="Arial" w:cs="Calibri-Bold"/>
      <w:bCs/>
      <w:color w:val="44546A" w:themeColor="text2"/>
      <w:sz w:val="20"/>
      <w:lang w:val="en-GB" w:eastAsia="ja-JP"/>
    </w:rPr>
  </w:style>
  <w:style w:type="character" w:customStyle="1" w:styleId="OWSheadertextimageChar">
    <w:name w:val="OWS header text + image Char"/>
    <w:basedOn w:val="OWSheaderimageChar"/>
    <w:link w:val="OWSheadertextimage"/>
    <w:uiPriority w:val="99"/>
    <w:rsid w:val="002B7F01"/>
    <w:rPr>
      <w:rFonts w:ascii="Arial" w:eastAsiaTheme="minorEastAsia" w:hAnsi="Arial"/>
      <w:color w:val="808080" w:themeColor="background1" w:themeShade="80"/>
      <w:sz w:val="20"/>
      <w:szCs w:val="20"/>
      <w:lang w:val="en-US" w:eastAsia="ja-JP"/>
    </w:rPr>
  </w:style>
  <w:style w:type="paragraph" w:customStyle="1" w:styleId="OWSTablequote">
    <w:name w:val="OWS Table quote"/>
    <w:basedOn w:val="OWSTabletext"/>
    <w:link w:val="OWSTablequoteChar"/>
    <w:uiPriority w:val="99"/>
    <w:qFormat/>
    <w:rsid w:val="002B7F01"/>
    <w:pPr>
      <w:spacing w:after="60"/>
    </w:pPr>
    <w:rPr>
      <w:rFonts w:eastAsia="Cambria"/>
      <w:i/>
      <w:lang w:val="en-AU" w:eastAsia="en-AU"/>
    </w:rPr>
  </w:style>
  <w:style w:type="character" w:customStyle="1" w:styleId="OWSTablequoteChar">
    <w:name w:val="OWS Table quote Char"/>
    <w:basedOn w:val="DefaultParagraphFont"/>
    <w:link w:val="OWSTablequote"/>
    <w:uiPriority w:val="99"/>
    <w:rsid w:val="002B7F01"/>
    <w:rPr>
      <w:rFonts w:ascii="Arial" w:eastAsia="Cambria" w:hAnsi="Arial" w:cs="Arial"/>
      <w:i/>
      <w:color w:val="000000"/>
      <w:sz w:val="20"/>
      <w:szCs w:val="20"/>
      <w:lang w:eastAsia="en-AU"/>
    </w:rPr>
  </w:style>
  <w:style w:type="paragraph" w:customStyle="1" w:styleId="EndNoteBibliography">
    <w:name w:val="EndNote Bibliography"/>
    <w:basedOn w:val="Normal"/>
    <w:link w:val="EndNoteBibliographyChar"/>
    <w:rsid w:val="002B7F01"/>
    <w:pPr>
      <w:autoSpaceDE/>
      <w:autoSpaceDN/>
      <w:spacing w:after="0"/>
    </w:pPr>
    <w:rPr>
      <w:rFonts w:ascii="Calibri" w:eastAsia="Cambria" w:hAnsi="Calibri" w:cs="Arial"/>
      <w:noProof/>
      <w:sz w:val="24"/>
      <w:lang w:eastAsia="en-AU"/>
    </w:rPr>
  </w:style>
  <w:style w:type="character" w:customStyle="1" w:styleId="EndNoteBibliographyChar">
    <w:name w:val="EndNote Bibliography Char"/>
    <w:basedOn w:val="BRnormal11ptChar"/>
    <w:link w:val="EndNoteBibliography"/>
    <w:rsid w:val="002B7F01"/>
    <w:rPr>
      <w:rFonts w:ascii="Calibri" w:eastAsia="Cambria" w:hAnsi="Calibri" w:cs="Arial"/>
      <w:noProof/>
      <w:sz w:val="24"/>
      <w:lang w:val="en-US" w:eastAsia="en-AU"/>
    </w:rPr>
  </w:style>
  <w:style w:type="paragraph" w:customStyle="1" w:styleId="OWSContents">
    <w:name w:val="OWS Contents"/>
    <w:basedOn w:val="OWSSummaryH1"/>
    <w:link w:val="OWSContentsChar"/>
    <w:uiPriority w:val="99"/>
    <w:qFormat/>
    <w:rsid w:val="002B7F01"/>
    <w:pPr>
      <w:outlineLvl w:val="9"/>
    </w:pPr>
  </w:style>
  <w:style w:type="character" w:customStyle="1" w:styleId="OWSContentsChar">
    <w:name w:val="OWS Contents Char"/>
    <w:basedOn w:val="OWSSummaryH1Char"/>
    <w:link w:val="OWSContents"/>
    <w:uiPriority w:val="99"/>
    <w:rsid w:val="002B7F01"/>
    <w:rPr>
      <w:rFonts w:ascii="Arial" w:eastAsiaTheme="minorEastAsia" w:hAnsi="Arial" w:cs="Arial"/>
      <w:b/>
      <w:bCs/>
      <w:color w:val="44546A" w:themeColor="text2"/>
      <w:sz w:val="48"/>
      <w:szCs w:val="48"/>
      <w:lang w:val="en-GB" w:eastAsia="ja-JP"/>
    </w:rPr>
  </w:style>
  <w:style w:type="paragraph" w:styleId="BalloonText">
    <w:name w:val="Balloon Text"/>
    <w:basedOn w:val="Normal"/>
    <w:link w:val="BalloonTextChar"/>
    <w:uiPriority w:val="99"/>
    <w:semiHidden/>
    <w:unhideWhenUsed/>
    <w:rsid w:val="002B7F01"/>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B7F01"/>
    <w:rPr>
      <w:rFonts w:ascii="Segoe UI" w:eastAsiaTheme="minorEastAsia" w:hAnsi="Segoe UI" w:cs="Segoe UI"/>
      <w:sz w:val="18"/>
      <w:szCs w:val="18"/>
      <w:lang w:val="en-US" w:eastAsia="ja-JP"/>
    </w:rPr>
  </w:style>
  <w:style w:type="paragraph" w:styleId="CommentSubject">
    <w:name w:val="annotation subject"/>
    <w:basedOn w:val="CommentText"/>
    <w:next w:val="CommentText"/>
    <w:link w:val="CommentSubjectChar"/>
    <w:uiPriority w:val="99"/>
    <w:semiHidden/>
    <w:unhideWhenUsed/>
    <w:rsid w:val="002B7F01"/>
    <w:rPr>
      <w:b/>
      <w:bCs/>
    </w:rPr>
  </w:style>
  <w:style w:type="character" w:customStyle="1" w:styleId="CommentSubjectChar">
    <w:name w:val="Comment Subject Char"/>
    <w:basedOn w:val="CommentTextChar"/>
    <w:link w:val="CommentSubject"/>
    <w:uiPriority w:val="99"/>
    <w:semiHidden/>
    <w:rsid w:val="002B7F01"/>
    <w:rPr>
      <w:rFonts w:ascii="Arial" w:eastAsiaTheme="minorEastAsia" w:hAnsi="Arial"/>
      <w:b/>
      <w:bCs/>
      <w:sz w:val="20"/>
      <w:szCs w:val="20"/>
      <w:lang w:val="en-US" w:eastAsia="ja-JP"/>
    </w:rPr>
  </w:style>
  <w:style w:type="paragraph" w:styleId="Caption">
    <w:name w:val="caption"/>
    <w:aliases w:val="Table Caption Char Char,Table Caption Char,Char Char"/>
    <w:basedOn w:val="Heading5"/>
    <w:next w:val="Normal"/>
    <w:link w:val="CaptionChar"/>
    <w:qFormat/>
    <w:rsid w:val="00557195"/>
    <w:pPr>
      <w:adjustRightInd w:val="0"/>
      <w:spacing w:before="0"/>
    </w:pPr>
    <w:rPr>
      <w:rFonts w:asciiTheme="minorHAnsi" w:eastAsia="Calibri" w:hAnsiTheme="minorHAnsi" w:cs="Gesta"/>
      <w:bCs/>
      <w:i/>
      <w:color w:val="5B9BD5" w:themeColor="accent1"/>
      <w:sz w:val="20"/>
      <w:szCs w:val="20"/>
      <w:lang w:val="en-AU" w:eastAsia="en-US"/>
    </w:rPr>
  </w:style>
  <w:style w:type="character" w:customStyle="1" w:styleId="CaptionChar">
    <w:name w:val="Caption Char"/>
    <w:aliases w:val="Table Caption Char Char Char,Table Caption Char Char1,Char Char Char"/>
    <w:link w:val="Caption"/>
    <w:locked/>
    <w:rsid w:val="00557195"/>
    <w:rPr>
      <w:rFonts w:eastAsia="Calibri" w:cs="Gesta"/>
      <w:bCs/>
      <w:i/>
      <w:color w:val="5B9BD5" w:themeColor="accent1"/>
      <w:sz w:val="20"/>
      <w:szCs w:val="20"/>
    </w:rPr>
  </w:style>
  <w:style w:type="character" w:customStyle="1" w:styleId="Heading5Char">
    <w:name w:val="Heading 5 Char"/>
    <w:aliases w:val="Exec Summary Char"/>
    <w:basedOn w:val="DefaultParagraphFont"/>
    <w:link w:val="Heading5"/>
    <w:uiPriority w:val="9"/>
    <w:rsid w:val="00557195"/>
    <w:rPr>
      <w:rFonts w:asciiTheme="majorHAnsi" w:eastAsiaTheme="majorEastAsia" w:hAnsiTheme="majorHAnsi" w:cstheme="majorBidi"/>
      <w:color w:val="1F4D78" w:themeColor="accent1" w:themeShade="7F"/>
      <w:lang w:val="en-US" w:eastAsia="ja-JP"/>
    </w:rPr>
  </w:style>
  <w:style w:type="table" w:styleId="TableGrid">
    <w:name w:val="Table Grid"/>
    <w:basedOn w:val="TableNormal"/>
    <w:uiPriority w:val="59"/>
    <w:rsid w:val="002D0C44"/>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
    <w:name w:val="Table Head"/>
    <w:basedOn w:val="Normal"/>
    <w:next w:val="Normal"/>
    <w:rsid w:val="002D0C44"/>
    <w:pPr>
      <w:autoSpaceDE/>
      <w:autoSpaceDN/>
      <w:spacing w:before="40" w:after="40"/>
    </w:pPr>
    <w:rPr>
      <w:rFonts w:ascii="Arial Bold" w:eastAsia="Times New Roman" w:hAnsi="Arial Bold" w:cs="Arial"/>
      <w:b/>
      <w:sz w:val="20"/>
      <w:szCs w:val="20"/>
      <w:lang w:val="en-AU" w:eastAsia="en-AU"/>
    </w:rPr>
  </w:style>
  <w:style w:type="paragraph" w:customStyle="1" w:styleId="Tabletext">
    <w:name w:val="Table text"/>
    <w:basedOn w:val="Normal"/>
    <w:link w:val="TabletextChar"/>
    <w:qFormat/>
    <w:rsid w:val="002D0C44"/>
    <w:pPr>
      <w:adjustRightInd w:val="0"/>
      <w:spacing w:before="60" w:after="60"/>
    </w:pPr>
    <w:rPr>
      <w:rFonts w:asciiTheme="minorHAnsi" w:eastAsia="Calibri" w:hAnsiTheme="minorHAnsi" w:cs="Arial"/>
      <w:sz w:val="18"/>
      <w:szCs w:val="24"/>
      <w:lang w:eastAsia="en-US"/>
    </w:rPr>
  </w:style>
  <w:style w:type="character" w:customStyle="1" w:styleId="TabletextChar">
    <w:name w:val="Table text Char"/>
    <w:basedOn w:val="DefaultParagraphFont"/>
    <w:link w:val="Tabletext"/>
    <w:rsid w:val="002D0C44"/>
    <w:rPr>
      <w:rFonts w:eastAsia="Calibri" w:cs="Arial"/>
      <w:sz w:val="18"/>
      <w:szCs w:val="24"/>
      <w:lang w:val="en-US"/>
    </w:rPr>
  </w:style>
  <w:style w:type="character" w:styleId="PageNumber">
    <w:name w:val="page number"/>
    <w:basedOn w:val="DefaultParagraphFont"/>
    <w:uiPriority w:val="99"/>
    <w:rsid w:val="00716EC8"/>
  </w:style>
  <w:style w:type="paragraph" w:styleId="FootnoteText">
    <w:name w:val="footnote text"/>
    <w:basedOn w:val="Normal"/>
    <w:link w:val="FootnoteTextChar"/>
    <w:uiPriority w:val="99"/>
    <w:unhideWhenUsed/>
    <w:rsid w:val="00971F5F"/>
    <w:pPr>
      <w:adjustRightInd w:val="0"/>
      <w:spacing w:after="0"/>
      <w:jc w:val="both"/>
    </w:pPr>
    <w:rPr>
      <w:rFonts w:asciiTheme="minorHAnsi" w:eastAsia="Calibri" w:hAnsiTheme="minorHAnsi" w:cs="Arial"/>
      <w:sz w:val="20"/>
      <w:szCs w:val="20"/>
      <w:lang w:val="en-AU" w:eastAsia="en-US"/>
    </w:rPr>
  </w:style>
  <w:style w:type="character" w:customStyle="1" w:styleId="FootnoteTextChar">
    <w:name w:val="Footnote Text Char"/>
    <w:basedOn w:val="DefaultParagraphFont"/>
    <w:link w:val="FootnoteText"/>
    <w:uiPriority w:val="99"/>
    <w:rsid w:val="00971F5F"/>
    <w:rPr>
      <w:rFonts w:eastAsia="Calibri" w:cs="Arial"/>
      <w:sz w:val="20"/>
      <w:szCs w:val="20"/>
    </w:rPr>
  </w:style>
  <w:style w:type="character" w:styleId="FootnoteReference">
    <w:name w:val="footnote reference"/>
    <w:basedOn w:val="DefaultParagraphFont"/>
    <w:uiPriority w:val="99"/>
    <w:semiHidden/>
    <w:unhideWhenUsed/>
    <w:rsid w:val="00971F5F"/>
    <w:rPr>
      <w:vertAlign w:val="superscript"/>
    </w:rPr>
  </w:style>
  <w:style w:type="paragraph" w:customStyle="1" w:styleId="TableBullet">
    <w:name w:val="Table Bullet"/>
    <w:basedOn w:val="Normal"/>
    <w:link w:val="TableBulletCharChar1"/>
    <w:rsid w:val="00971F5F"/>
    <w:pPr>
      <w:numPr>
        <w:numId w:val="6"/>
      </w:numPr>
      <w:autoSpaceDE/>
      <w:autoSpaceDN/>
      <w:spacing w:before="20" w:after="20"/>
    </w:pPr>
    <w:rPr>
      <w:rFonts w:eastAsia="Times New Roman" w:cs="Times New Roman"/>
      <w:sz w:val="18"/>
      <w:szCs w:val="20"/>
      <w:lang w:val="en-AU" w:eastAsia="en-AU"/>
    </w:rPr>
  </w:style>
  <w:style w:type="paragraph" w:styleId="TableofFigures">
    <w:name w:val="table of figures"/>
    <w:basedOn w:val="Normal"/>
    <w:next w:val="Normal"/>
    <w:uiPriority w:val="99"/>
    <w:unhideWhenUsed/>
    <w:rsid w:val="0083565A"/>
    <w:pPr>
      <w:spacing w:after="0"/>
    </w:pPr>
  </w:style>
  <w:style w:type="character" w:customStyle="1" w:styleId="apple-converted-space">
    <w:name w:val="apple-converted-space"/>
    <w:basedOn w:val="DefaultParagraphFont"/>
    <w:rsid w:val="00EF52D6"/>
  </w:style>
  <w:style w:type="paragraph" w:styleId="TOCHeading">
    <w:name w:val="TOC Heading"/>
    <w:basedOn w:val="Heading1"/>
    <w:next w:val="Normal"/>
    <w:uiPriority w:val="39"/>
    <w:unhideWhenUsed/>
    <w:qFormat/>
    <w:rsid w:val="003D3694"/>
    <w:pPr>
      <w:keepNext/>
      <w:keepLines/>
      <w:pageBreakBefore w:val="0"/>
      <w:numPr>
        <w:numId w:val="0"/>
      </w:numPr>
      <w:autoSpaceDE w:val="0"/>
      <w:autoSpaceDN w:val="0"/>
      <w:spacing w:before="240" w:after="0"/>
      <w:outlineLvl w:val="9"/>
    </w:pPr>
    <w:rPr>
      <w:rFonts w:asciiTheme="majorHAnsi" w:eastAsiaTheme="majorEastAsia" w:hAnsiTheme="majorHAnsi" w:cstheme="majorBidi"/>
      <w:b w:val="0"/>
      <w:bCs w:val="0"/>
      <w:color w:val="2E74B5" w:themeColor="accent1" w:themeShade="BF"/>
      <w:sz w:val="32"/>
      <w:szCs w:val="32"/>
      <w:lang w:val="en-US"/>
    </w:rPr>
  </w:style>
  <w:style w:type="character" w:customStyle="1" w:styleId="Heading6Char">
    <w:name w:val="Heading 6 Char"/>
    <w:basedOn w:val="DefaultParagraphFont"/>
    <w:link w:val="Heading6"/>
    <w:uiPriority w:val="9"/>
    <w:rsid w:val="003D3694"/>
    <w:rPr>
      <w:rFonts w:asciiTheme="majorHAnsi" w:eastAsiaTheme="majorEastAsia" w:hAnsiTheme="majorHAnsi" w:cstheme="majorBidi"/>
      <w:bCs/>
      <w:i/>
      <w:iCs/>
      <w:color w:val="1F4D78" w:themeColor="accent1" w:themeShade="7F"/>
    </w:rPr>
  </w:style>
  <w:style w:type="character" w:customStyle="1" w:styleId="Heading7Char">
    <w:name w:val="Heading 7 Char"/>
    <w:basedOn w:val="DefaultParagraphFont"/>
    <w:link w:val="Heading7"/>
    <w:uiPriority w:val="9"/>
    <w:rsid w:val="003D3694"/>
    <w:rPr>
      <w:rFonts w:asciiTheme="majorHAnsi" w:eastAsiaTheme="majorEastAsia" w:hAnsiTheme="majorHAnsi" w:cstheme="majorBidi"/>
      <w:bCs/>
      <w:i/>
      <w:iCs/>
      <w:color w:val="404040" w:themeColor="text1" w:themeTint="BF"/>
    </w:rPr>
  </w:style>
  <w:style w:type="paragraph" w:styleId="ListBullet">
    <w:name w:val="List Bullet"/>
    <w:basedOn w:val="Normal"/>
    <w:uiPriority w:val="99"/>
    <w:qFormat/>
    <w:rsid w:val="003D3694"/>
    <w:pPr>
      <w:numPr>
        <w:numId w:val="10"/>
      </w:numPr>
      <w:autoSpaceDE/>
      <w:autoSpaceDN/>
      <w:spacing w:after="140" w:line="280" w:lineRule="atLeast"/>
    </w:pPr>
    <w:rPr>
      <w:rFonts w:ascii="Times New Roman" w:eastAsia="Times New Roman" w:hAnsi="Times New Roman" w:cs="Angsana New"/>
      <w:bCs/>
      <w:lang w:val="en-AU" w:eastAsia="zh-CN" w:bidi="th-TH"/>
    </w:rPr>
  </w:style>
  <w:style w:type="paragraph" w:styleId="NormalWeb">
    <w:name w:val="Normal (Web)"/>
    <w:basedOn w:val="Normal"/>
    <w:uiPriority w:val="99"/>
    <w:unhideWhenUsed/>
    <w:rsid w:val="003D3694"/>
    <w:pPr>
      <w:autoSpaceDE/>
      <w:autoSpaceDN/>
      <w:spacing w:before="100" w:beforeAutospacing="1" w:after="100" w:afterAutospacing="1"/>
    </w:pPr>
    <w:rPr>
      <w:rFonts w:ascii="Times" w:hAnsi="Times" w:cs="Times New Roman"/>
      <w:bCs/>
      <w:sz w:val="20"/>
      <w:szCs w:val="20"/>
      <w:lang w:val="en-AU" w:eastAsia="en-US"/>
    </w:rPr>
  </w:style>
  <w:style w:type="paragraph" w:styleId="NoSpacing">
    <w:name w:val="No Spacing"/>
    <w:uiPriority w:val="1"/>
    <w:qFormat/>
    <w:rsid w:val="003D3694"/>
    <w:pPr>
      <w:spacing w:after="0" w:line="240" w:lineRule="auto"/>
    </w:pPr>
  </w:style>
  <w:style w:type="character" w:customStyle="1" w:styleId="il">
    <w:name w:val="il"/>
    <w:basedOn w:val="DefaultParagraphFont"/>
    <w:rsid w:val="003D3694"/>
  </w:style>
  <w:style w:type="paragraph" w:customStyle="1" w:styleId="Default">
    <w:name w:val="Default"/>
    <w:rsid w:val="003D3694"/>
    <w:pPr>
      <w:autoSpaceDE w:val="0"/>
      <w:autoSpaceDN w:val="0"/>
      <w:adjustRightInd w:val="0"/>
      <w:spacing w:after="0" w:line="240" w:lineRule="auto"/>
    </w:pPr>
    <w:rPr>
      <w:rFonts w:ascii="Times New Roman" w:eastAsia="Times New Roman" w:hAnsi="Times New Roman" w:cs="Times New Roman"/>
      <w:color w:val="000000"/>
      <w:sz w:val="24"/>
      <w:szCs w:val="24"/>
      <w:lang w:eastAsia="en-AU"/>
    </w:rPr>
  </w:style>
  <w:style w:type="character" w:customStyle="1" w:styleId="ms-profilevalue1">
    <w:name w:val="ms-profilevalue1"/>
    <w:basedOn w:val="DefaultParagraphFont"/>
    <w:rsid w:val="003D3694"/>
    <w:rPr>
      <w:color w:val="4C4C4C"/>
    </w:rPr>
  </w:style>
  <w:style w:type="character" w:customStyle="1" w:styleId="work">
    <w:name w:val="work"/>
    <w:basedOn w:val="DefaultParagraphFont"/>
    <w:rsid w:val="003D3694"/>
  </w:style>
  <w:style w:type="character" w:styleId="Emphasis">
    <w:name w:val="Emphasis"/>
    <w:basedOn w:val="DefaultParagraphFont"/>
    <w:uiPriority w:val="20"/>
    <w:qFormat/>
    <w:rsid w:val="003D3694"/>
    <w:rPr>
      <w:b/>
      <w:bCs/>
      <w:i w:val="0"/>
      <w:iCs w:val="0"/>
    </w:rPr>
  </w:style>
  <w:style w:type="paragraph" w:styleId="Title">
    <w:name w:val="Title"/>
    <w:basedOn w:val="Normal"/>
    <w:next w:val="Normal"/>
    <w:link w:val="TitleChar"/>
    <w:qFormat/>
    <w:rsid w:val="003D3694"/>
    <w:pPr>
      <w:adjustRightInd w:val="0"/>
      <w:spacing w:before="240" w:after="240"/>
      <w:jc w:val="center"/>
      <w:outlineLvl w:val="0"/>
    </w:pPr>
    <w:rPr>
      <w:rFonts w:ascii="Cambria" w:eastAsia="Calibri" w:hAnsi="Cambria" w:cs="Times New Roman"/>
      <w:b/>
      <w:kern w:val="28"/>
      <w:sz w:val="32"/>
      <w:szCs w:val="32"/>
      <w:lang w:val="en-AU" w:eastAsia="en-US"/>
    </w:rPr>
  </w:style>
  <w:style w:type="character" w:customStyle="1" w:styleId="TitleChar">
    <w:name w:val="Title Char"/>
    <w:basedOn w:val="DefaultParagraphFont"/>
    <w:link w:val="Title"/>
    <w:rsid w:val="003D3694"/>
    <w:rPr>
      <w:rFonts w:ascii="Cambria" w:eastAsia="Calibri" w:hAnsi="Cambria" w:cs="Times New Roman"/>
      <w:b/>
      <w:kern w:val="28"/>
      <w:sz w:val="32"/>
      <w:szCs w:val="32"/>
    </w:rPr>
  </w:style>
  <w:style w:type="character" w:styleId="Strong">
    <w:name w:val="Strong"/>
    <w:uiPriority w:val="22"/>
    <w:qFormat/>
    <w:rsid w:val="003D3694"/>
    <w:rPr>
      <w:rFonts w:cs="Times New Roman"/>
      <w:b/>
      <w:bCs/>
    </w:rPr>
  </w:style>
  <w:style w:type="paragraph" w:styleId="Revision">
    <w:name w:val="Revision"/>
    <w:hidden/>
    <w:uiPriority w:val="99"/>
    <w:semiHidden/>
    <w:rsid w:val="003D3694"/>
    <w:pPr>
      <w:spacing w:after="0" w:line="240" w:lineRule="auto"/>
    </w:pPr>
    <w:rPr>
      <w:rFonts w:ascii="Gesta" w:eastAsia="Calibri" w:hAnsi="Gesta" w:cs="Gesta"/>
    </w:rPr>
  </w:style>
  <w:style w:type="character" w:customStyle="1" w:styleId="st1">
    <w:name w:val="st1"/>
    <w:basedOn w:val="DefaultParagraphFont"/>
    <w:rsid w:val="003D3694"/>
  </w:style>
  <w:style w:type="paragraph" w:styleId="Subtitle">
    <w:name w:val="Subtitle"/>
    <w:basedOn w:val="Normal"/>
    <w:next w:val="Normal"/>
    <w:link w:val="SubtitleChar"/>
    <w:autoRedefine/>
    <w:uiPriority w:val="11"/>
    <w:qFormat/>
    <w:rsid w:val="003D3694"/>
    <w:pPr>
      <w:numPr>
        <w:ilvl w:val="1"/>
      </w:numPr>
      <w:suppressAutoHyphens/>
      <w:autoSpaceDE/>
      <w:autoSpaceDN/>
      <w:spacing w:after="0"/>
    </w:pPr>
    <w:rPr>
      <w:rFonts w:ascii="Century Gothic" w:eastAsiaTheme="majorEastAsia" w:hAnsi="Century Gothic" w:cstheme="majorBidi"/>
      <w:bCs/>
      <w:iCs/>
      <w:color w:val="A3B9A4"/>
      <w:spacing w:val="15"/>
      <w:sz w:val="44"/>
      <w:szCs w:val="44"/>
      <w:lang w:val="en-AU" w:eastAsia="ar-SA"/>
    </w:rPr>
  </w:style>
  <w:style w:type="character" w:customStyle="1" w:styleId="SubtitleChar">
    <w:name w:val="Subtitle Char"/>
    <w:basedOn w:val="DefaultParagraphFont"/>
    <w:link w:val="Subtitle"/>
    <w:uiPriority w:val="11"/>
    <w:rsid w:val="003D3694"/>
    <w:rPr>
      <w:rFonts w:ascii="Century Gothic" w:eastAsiaTheme="majorEastAsia" w:hAnsi="Century Gothic" w:cstheme="majorBidi"/>
      <w:bCs/>
      <w:iCs/>
      <w:color w:val="A3B9A4"/>
      <w:spacing w:val="15"/>
      <w:sz w:val="44"/>
      <w:szCs w:val="44"/>
      <w:lang w:eastAsia="ar-SA"/>
    </w:rPr>
  </w:style>
  <w:style w:type="character" w:customStyle="1" w:styleId="TableBulletCharChar1">
    <w:name w:val="Table Bullet Char Char1"/>
    <w:basedOn w:val="DefaultParagraphFont"/>
    <w:link w:val="TableBullet"/>
    <w:rsid w:val="003D3694"/>
    <w:rPr>
      <w:rFonts w:ascii="Arial" w:eastAsia="Times New Roman" w:hAnsi="Arial" w:cs="Times New Roman"/>
      <w:sz w:val="18"/>
      <w:szCs w:val="20"/>
      <w:lang w:eastAsia="en-AU"/>
    </w:rPr>
  </w:style>
  <w:style w:type="paragraph" w:styleId="BodyText2">
    <w:name w:val="Body Text 2"/>
    <w:basedOn w:val="Normal"/>
    <w:link w:val="BodyText2Char"/>
    <w:uiPriority w:val="99"/>
    <w:unhideWhenUsed/>
    <w:rsid w:val="003D3694"/>
    <w:pPr>
      <w:autoSpaceDE/>
      <w:autoSpaceDN/>
      <w:spacing w:after="240" w:line="480" w:lineRule="auto"/>
    </w:pPr>
    <w:rPr>
      <w:rFonts w:asciiTheme="minorHAnsi" w:hAnsiTheme="minorHAnsi"/>
      <w:bCs/>
      <w:lang w:val="en-AU" w:eastAsia="en-AU"/>
    </w:rPr>
  </w:style>
  <w:style w:type="character" w:customStyle="1" w:styleId="BodyText2Char">
    <w:name w:val="Body Text 2 Char"/>
    <w:basedOn w:val="DefaultParagraphFont"/>
    <w:link w:val="BodyText2"/>
    <w:uiPriority w:val="99"/>
    <w:rsid w:val="003D3694"/>
    <w:rPr>
      <w:rFonts w:eastAsiaTheme="minorEastAsia"/>
      <w:bCs/>
      <w:lang w:eastAsia="en-AU"/>
    </w:rPr>
  </w:style>
  <w:style w:type="paragraph" w:styleId="BodyText">
    <w:name w:val="Body Text"/>
    <w:basedOn w:val="Normal"/>
    <w:link w:val="BodyTextChar"/>
    <w:unhideWhenUsed/>
    <w:qFormat/>
    <w:rsid w:val="003D3694"/>
    <w:pPr>
      <w:adjustRightInd w:val="0"/>
      <w:spacing w:before="60" w:after="240"/>
      <w:jc w:val="both"/>
    </w:pPr>
    <w:rPr>
      <w:rFonts w:asciiTheme="minorHAnsi" w:eastAsia="Calibri" w:hAnsiTheme="minorHAnsi" w:cs="Arial"/>
      <w:bCs/>
      <w:lang w:val="en-AU" w:eastAsia="en-US"/>
    </w:rPr>
  </w:style>
  <w:style w:type="character" w:customStyle="1" w:styleId="BodyTextChar">
    <w:name w:val="Body Text Char"/>
    <w:basedOn w:val="DefaultParagraphFont"/>
    <w:link w:val="BodyText"/>
    <w:rsid w:val="003D3694"/>
    <w:rPr>
      <w:rFonts w:eastAsia="Calibri" w:cs="Arial"/>
      <w:bCs/>
    </w:rPr>
  </w:style>
  <w:style w:type="paragraph" w:styleId="BodyTextIndent2">
    <w:name w:val="Body Text Indent 2"/>
    <w:basedOn w:val="Normal"/>
    <w:link w:val="BodyTextIndent2Char"/>
    <w:uiPriority w:val="99"/>
    <w:semiHidden/>
    <w:unhideWhenUsed/>
    <w:rsid w:val="003D3694"/>
    <w:pPr>
      <w:adjustRightInd w:val="0"/>
      <w:spacing w:before="60" w:after="240" w:line="480" w:lineRule="auto"/>
      <w:ind w:left="283"/>
      <w:jc w:val="both"/>
    </w:pPr>
    <w:rPr>
      <w:rFonts w:asciiTheme="minorHAnsi" w:eastAsia="Calibri" w:hAnsiTheme="minorHAnsi" w:cs="Arial"/>
      <w:bCs/>
      <w:lang w:val="en-AU" w:eastAsia="en-US"/>
    </w:rPr>
  </w:style>
  <w:style w:type="character" w:customStyle="1" w:styleId="BodyTextIndent2Char">
    <w:name w:val="Body Text Indent 2 Char"/>
    <w:basedOn w:val="DefaultParagraphFont"/>
    <w:link w:val="BodyTextIndent2"/>
    <w:uiPriority w:val="99"/>
    <w:semiHidden/>
    <w:rsid w:val="003D3694"/>
    <w:rPr>
      <w:rFonts w:eastAsia="Calibri" w:cs="Arial"/>
      <w:bCs/>
    </w:rPr>
  </w:style>
  <w:style w:type="character" w:customStyle="1" w:styleId="BodyText2Arial10ptChar">
    <w:name w:val="Body Text 2 + Arial 10 pt Char"/>
    <w:semiHidden/>
    <w:rsid w:val="003D3694"/>
    <w:rPr>
      <w:rFonts w:ascii="Arial" w:eastAsia="Times New Roman" w:hAnsi="Arial" w:cs="Arial"/>
      <w:iCs/>
      <w:color w:val="000000"/>
      <w:sz w:val="20"/>
    </w:rPr>
  </w:style>
  <w:style w:type="paragraph" w:customStyle="1" w:styleId="nwcbodytext">
    <w:name w:val="nwc body text"/>
    <w:link w:val="nwcbodytextChar"/>
    <w:uiPriority w:val="99"/>
    <w:rsid w:val="003D3694"/>
    <w:pPr>
      <w:spacing w:before="240" w:after="120" w:line="264" w:lineRule="auto"/>
    </w:pPr>
    <w:rPr>
      <w:rFonts w:ascii="Arial" w:eastAsia="Times New Roman" w:hAnsi="Arial" w:cs="Arial"/>
      <w:sz w:val="20"/>
      <w:szCs w:val="20"/>
      <w:lang w:val="en-US"/>
    </w:rPr>
  </w:style>
  <w:style w:type="character" w:customStyle="1" w:styleId="nwcbodytextChar">
    <w:name w:val="nwc body text Char"/>
    <w:link w:val="nwcbodytext"/>
    <w:uiPriority w:val="99"/>
    <w:locked/>
    <w:rsid w:val="003D3694"/>
    <w:rPr>
      <w:rFonts w:ascii="Arial" w:eastAsia="Times New Roman" w:hAnsi="Arial" w:cs="Arial"/>
      <w:sz w:val="20"/>
      <w:szCs w:val="20"/>
      <w:lang w:val="en-US"/>
    </w:rPr>
  </w:style>
  <w:style w:type="table" w:customStyle="1" w:styleId="GridTable1Light-Accent11">
    <w:name w:val="Grid Table 1 Light - Accent 11"/>
    <w:basedOn w:val="TableNormal"/>
    <w:uiPriority w:val="46"/>
    <w:rsid w:val="003D3694"/>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TOC3">
    <w:name w:val="toc 3"/>
    <w:basedOn w:val="Normal"/>
    <w:next w:val="Normal"/>
    <w:autoRedefine/>
    <w:uiPriority w:val="39"/>
    <w:unhideWhenUsed/>
    <w:qFormat/>
    <w:rsid w:val="009A08A3"/>
    <w:pPr>
      <w:tabs>
        <w:tab w:val="left" w:pos="1320"/>
        <w:tab w:val="right" w:leader="dot" w:pos="9628"/>
      </w:tabs>
      <w:adjustRightInd w:val="0"/>
      <w:spacing w:before="60" w:after="60"/>
      <w:ind w:left="442"/>
      <w:jc w:val="both"/>
    </w:pPr>
    <w:rPr>
      <w:rFonts w:asciiTheme="minorHAnsi" w:eastAsia="Calibri" w:hAnsiTheme="minorHAnsi" w:cs="Arial"/>
      <w:bCs/>
      <w:lang w:val="en-AU" w:eastAsia="en-US"/>
    </w:rPr>
  </w:style>
  <w:style w:type="table" w:customStyle="1" w:styleId="GridTable1Light-Accent111">
    <w:name w:val="Grid Table 1 Light - Accent 111"/>
    <w:basedOn w:val="TableNormal"/>
    <w:uiPriority w:val="46"/>
    <w:rsid w:val="003D3694"/>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TOC4">
    <w:name w:val="toc 4"/>
    <w:basedOn w:val="Normal"/>
    <w:next w:val="Normal"/>
    <w:autoRedefine/>
    <w:uiPriority w:val="39"/>
    <w:unhideWhenUsed/>
    <w:rsid w:val="003D3694"/>
    <w:pPr>
      <w:autoSpaceDE/>
      <w:autoSpaceDN/>
      <w:spacing w:after="100" w:line="259" w:lineRule="auto"/>
      <w:ind w:left="660"/>
    </w:pPr>
    <w:rPr>
      <w:rFonts w:asciiTheme="minorHAnsi" w:hAnsiTheme="minorHAnsi"/>
      <w:bCs/>
      <w:lang w:val="en-AU" w:eastAsia="en-AU"/>
    </w:rPr>
  </w:style>
  <w:style w:type="paragraph" w:styleId="TOC5">
    <w:name w:val="toc 5"/>
    <w:basedOn w:val="Normal"/>
    <w:next w:val="Normal"/>
    <w:autoRedefine/>
    <w:uiPriority w:val="39"/>
    <w:unhideWhenUsed/>
    <w:rsid w:val="003D3694"/>
    <w:pPr>
      <w:autoSpaceDE/>
      <w:autoSpaceDN/>
      <w:spacing w:after="100" w:line="259" w:lineRule="auto"/>
      <w:ind w:left="880"/>
    </w:pPr>
    <w:rPr>
      <w:rFonts w:asciiTheme="minorHAnsi" w:hAnsiTheme="minorHAnsi"/>
      <w:bCs/>
      <w:lang w:val="en-AU" w:eastAsia="en-AU"/>
    </w:rPr>
  </w:style>
  <w:style w:type="paragraph" w:styleId="TOC6">
    <w:name w:val="toc 6"/>
    <w:basedOn w:val="Normal"/>
    <w:next w:val="Normal"/>
    <w:autoRedefine/>
    <w:uiPriority w:val="39"/>
    <w:unhideWhenUsed/>
    <w:rsid w:val="003D3694"/>
    <w:pPr>
      <w:autoSpaceDE/>
      <w:autoSpaceDN/>
      <w:spacing w:after="100" w:line="259" w:lineRule="auto"/>
      <w:ind w:left="1100"/>
    </w:pPr>
    <w:rPr>
      <w:rFonts w:asciiTheme="minorHAnsi" w:hAnsiTheme="minorHAnsi"/>
      <w:bCs/>
      <w:lang w:val="en-AU" w:eastAsia="en-AU"/>
    </w:rPr>
  </w:style>
  <w:style w:type="paragraph" w:styleId="TOC7">
    <w:name w:val="toc 7"/>
    <w:basedOn w:val="Normal"/>
    <w:next w:val="Normal"/>
    <w:autoRedefine/>
    <w:uiPriority w:val="39"/>
    <w:unhideWhenUsed/>
    <w:rsid w:val="003D3694"/>
    <w:pPr>
      <w:autoSpaceDE/>
      <w:autoSpaceDN/>
      <w:spacing w:after="100" w:line="259" w:lineRule="auto"/>
      <w:ind w:left="1320"/>
    </w:pPr>
    <w:rPr>
      <w:rFonts w:asciiTheme="minorHAnsi" w:hAnsiTheme="minorHAnsi"/>
      <w:bCs/>
      <w:lang w:val="en-AU" w:eastAsia="en-AU"/>
    </w:rPr>
  </w:style>
  <w:style w:type="paragraph" w:styleId="TOC8">
    <w:name w:val="toc 8"/>
    <w:basedOn w:val="Normal"/>
    <w:next w:val="Normal"/>
    <w:autoRedefine/>
    <w:uiPriority w:val="39"/>
    <w:unhideWhenUsed/>
    <w:rsid w:val="003D3694"/>
    <w:pPr>
      <w:autoSpaceDE/>
      <w:autoSpaceDN/>
      <w:spacing w:after="100" w:line="259" w:lineRule="auto"/>
      <w:ind w:left="1540"/>
    </w:pPr>
    <w:rPr>
      <w:rFonts w:asciiTheme="minorHAnsi" w:hAnsiTheme="minorHAnsi"/>
      <w:bCs/>
      <w:lang w:val="en-AU" w:eastAsia="en-AU"/>
    </w:rPr>
  </w:style>
  <w:style w:type="paragraph" w:styleId="TOC9">
    <w:name w:val="toc 9"/>
    <w:basedOn w:val="Normal"/>
    <w:next w:val="Normal"/>
    <w:autoRedefine/>
    <w:uiPriority w:val="39"/>
    <w:unhideWhenUsed/>
    <w:rsid w:val="003D3694"/>
    <w:pPr>
      <w:autoSpaceDE/>
      <w:autoSpaceDN/>
      <w:spacing w:after="100" w:line="259" w:lineRule="auto"/>
      <w:ind w:left="1760"/>
    </w:pPr>
    <w:rPr>
      <w:rFonts w:asciiTheme="minorHAnsi" w:hAnsiTheme="minorHAnsi"/>
      <w:bCs/>
      <w:lang w:val="en-AU" w:eastAsia="en-AU"/>
    </w:rPr>
  </w:style>
  <w:style w:type="character" w:customStyle="1" w:styleId="author">
    <w:name w:val="author"/>
    <w:basedOn w:val="DefaultParagraphFont"/>
    <w:rsid w:val="003D3694"/>
  </w:style>
  <w:style w:type="character" w:customStyle="1" w:styleId="pubyear">
    <w:name w:val="pubyear"/>
    <w:basedOn w:val="DefaultParagraphFont"/>
    <w:rsid w:val="003D3694"/>
  </w:style>
  <w:style w:type="character" w:customStyle="1" w:styleId="articletitle">
    <w:name w:val="articletitle"/>
    <w:basedOn w:val="DefaultParagraphFont"/>
    <w:rsid w:val="003D3694"/>
  </w:style>
  <w:style w:type="character" w:customStyle="1" w:styleId="journaltitle">
    <w:name w:val="journaltitle"/>
    <w:basedOn w:val="DefaultParagraphFont"/>
    <w:rsid w:val="003D3694"/>
  </w:style>
  <w:style w:type="character" w:customStyle="1" w:styleId="vol">
    <w:name w:val="vol"/>
    <w:basedOn w:val="DefaultParagraphFont"/>
    <w:rsid w:val="003D3694"/>
  </w:style>
  <w:style w:type="character" w:customStyle="1" w:styleId="pagefirst">
    <w:name w:val="pagefirst"/>
    <w:basedOn w:val="DefaultParagraphFont"/>
    <w:rsid w:val="003D3694"/>
  </w:style>
  <w:style w:type="character" w:customStyle="1" w:styleId="pagelast">
    <w:name w:val="pagelast"/>
    <w:basedOn w:val="DefaultParagraphFont"/>
    <w:rsid w:val="003D3694"/>
  </w:style>
  <w:style w:type="paragraph" w:customStyle="1" w:styleId="Pa23">
    <w:name w:val="Pa23"/>
    <w:basedOn w:val="Default"/>
    <w:next w:val="Default"/>
    <w:uiPriority w:val="99"/>
    <w:rsid w:val="003D3694"/>
    <w:pPr>
      <w:spacing w:line="221" w:lineRule="atLeast"/>
    </w:pPr>
    <w:rPr>
      <w:rFonts w:ascii="Whitney HTF" w:eastAsiaTheme="minorHAnsi" w:hAnsi="Whitney HTF" w:cstheme="minorBidi"/>
      <w:color w:val="auto"/>
      <w:lang w:eastAsia="en-US"/>
    </w:rPr>
  </w:style>
  <w:style w:type="character" w:customStyle="1" w:styleId="A7">
    <w:name w:val="A7"/>
    <w:uiPriority w:val="99"/>
    <w:rsid w:val="003D3694"/>
    <w:rPr>
      <w:rFonts w:cs="Whitney HTF Light"/>
      <w:color w:val="B08550"/>
      <w:sz w:val="19"/>
      <w:szCs w:val="19"/>
    </w:rPr>
  </w:style>
  <w:style w:type="paragraph" w:customStyle="1" w:styleId="TableFont">
    <w:name w:val="TableFont"/>
    <w:basedOn w:val="Normal"/>
    <w:qFormat/>
    <w:rsid w:val="003D3694"/>
    <w:pPr>
      <w:spacing w:before="60" w:after="60"/>
    </w:pPr>
    <w:rPr>
      <w:rFonts w:cs="Arial"/>
      <w:bCs/>
      <w:sz w:val="20"/>
      <w:szCs w:val="20"/>
    </w:rPr>
  </w:style>
  <w:style w:type="paragraph" w:customStyle="1" w:styleId="Tableheading">
    <w:name w:val="Table heading"/>
    <w:basedOn w:val="Normal"/>
    <w:link w:val="TableheadingChar"/>
    <w:qFormat/>
    <w:rsid w:val="003D3694"/>
    <w:pPr>
      <w:widowControl w:val="0"/>
      <w:suppressAutoHyphens/>
      <w:adjustRightInd w:val="0"/>
      <w:spacing w:before="60" w:after="60"/>
      <w:textAlignment w:val="center"/>
    </w:pPr>
    <w:rPr>
      <w:rFonts w:cs="Arial"/>
      <w:b/>
      <w:bCs/>
      <w:sz w:val="20"/>
      <w:szCs w:val="20"/>
      <w:lang w:eastAsia="en-US"/>
    </w:rPr>
  </w:style>
  <w:style w:type="character" w:customStyle="1" w:styleId="TableheadingChar">
    <w:name w:val="Table heading Char"/>
    <w:basedOn w:val="DefaultParagraphFont"/>
    <w:link w:val="Tableheading"/>
    <w:rsid w:val="003D3694"/>
    <w:rPr>
      <w:rFonts w:ascii="Arial" w:eastAsiaTheme="minorEastAsia" w:hAnsi="Arial" w:cs="Arial"/>
      <w:b/>
      <w:bCs/>
      <w:sz w:val="20"/>
      <w:szCs w:val="20"/>
      <w:lang w:val="en-US"/>
    </w:rPr>
  </w:style>
  <w:style w:type="paragraph" w:customStyle="1" w:styleId="BRNormal11pt0">
    <w:name w:val="BR Normal 11pt"/>
    <w:basedOn w:val="Normal"/>
    <w:link w:val="BRNormal11ptChar0"/>
    <w:qFormat/>
    <w:rsid w:val="003D3694"/>
    <w:pPr>
      <w:spacing w:before="200"/>
    </w:pPr>
    <w:rPr>
      <w:rFonts w:cs="Arial"/>
      <w:bCs/>
      <w:color w:val="000000"/>
    </w:rPr>
  </w:style>
  <w:style w:type="character" w:customStyle="1" w:styleId="BRNormal11ptChar0">
    <w:name w:val="BR Normal 11pt Char"/>
    <w:basedOn w:val="DefaultParagraphFont"/>
    <w:link w:val="BRNormal11pt0"/>
    <w:rsid w:val="003D3694"/>
    <w:rPr>
      <w:rFonts w:ascii="Arial" w:eastAsiaTheme="minorEastAsia" w:hAnsi="Arial" w:cs="Arial"/>
      <w:bCs/>
      <w:color w:val="000000"/>
      <w:lang w:val="en-US" w:eastAsia="ja-JP"/>
    </w:rPr>
  </w:style>
  <w:style w:type="paragraph" w:customStyle="1" w:styleId="BRnormal10pt-CopyrightPage">
    <w:name w:val="BR normal 10pt - Copyright Page"/>
    <w:basedOn w:val="Normal"/>
    <w:link w:val="BRnormal10pt-CopyrightPageChar"/>
    <w:rsid w:val="003D3694"/>
    <w:pPr>
      <w:spacing w:before="200"/>
    </w:pPr>
    <w:rPr>
      <w:rFonts w:cs="Arial"/>
      <w:bCs/>
      <w:sz w:val="20"/>
      <w:szCs w:val="20"/>
    </w:rPr>
  </w:style>
  <w:style w:type="character" w:customStyle="1" w:styleId="BRnormal10pt-CopyrightPageChar">
    <w:name w:val="BR normal 10pt - Copyright Page Char"/>
    <w:basedOn w:val="DefaultParagraphFont"/>
    <w:link w:val="BRnormal10pt-CopyrightPage"/>
    <w:rsid w:val="003D3694"/>
    <w:rPr>
      <w:rFonts w:ascii="Arial" w:eastAsiaTheme="minorEastAsia" w:hAnsi="Arial" w:cs="Arial"/>
      <w:bCs/>
      <w:sz w:val="20"/>
      <w:szCs w:val="20"/>
      <w:lang w:val="en-US" w:eastAsia="ja-JP"/>
    </w:rPr>
  </w:style>
  <w:style w:type="table" w:customStyle="1" w:styleId="TableCSIRO">
    <w:name w:val="Table_CSIRO"/>
    <w:basedOn w:val="TableNormal"/>
    <w:uiPriority w:val="99"/>
    <w:qFormat/>
    <w:rsid w:val="003D3694"/>
    <w:pPr>
      <w:spacing w:after="0" w:line="240" w:lineRule="auto"/>
    </w:pPr>
    <w:rPr>
      <w:rFonts w:ascii="Calibri" w:hAnsi="Calibri" w:cs="Times New Roman"/>
      <w:lang w:eastAsia="en-AU"/>
    </w:rPr>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themeColor="background1"/>
      </w:rPr>
      <w:tblPr/>
      <w:tcPr>
        <w:tcBorders>
          <w:top w:val="nil"/>
          <w:left w:val="nil"/>
          <w:bottom w:val="nil"/>
          <w:right w:val="nil"/>
          <w:insideH w:val="nil"/>
          <w:insideV w:val="nil"/>
          <w:tl2br w:val="nil"/>
          <w:tr2bl w:val="nil"/>
        </w:tcBorders>
        <w:shd w:val="clear" w:color="auto" w:fill="000000" w:themeFill="tex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character" w:styleId="FollowedHyperlink">
    <w:name w:val="FollowedHyperlink"/>
    <w:basedOn w:val="DefaultParagraphFont"/>
    <w:uiPriority w:val="99"/>
    <w:semiHidden/>
    <w:unhideWhenUsed/>
    <w:rsid w:val="003D3694"/>
    <w:rPr>
      <w:color w:val="954F72" w:themeColor="followedHyperlink"/>
      <w:u w:val="single"/>
    </w:rPr>
  </w:style>
  <w:style w:type="paragraph" w:customStyle="1" w:styleId="EndNoteBibliographyTitle">
    <w:name w:val="EndNote Bibliography Title"/>
    <w:basedOn w:val="Normal"/>
    <w:link w:val="EndNoteBibliographyTitleChar"/>
    <w:rsid w:val="003D3694"/>
    <w:pPr>
      <w:adjustRightInd w:val="0"/>
      <w:spacing w:before="60" w:after="0"/>
      <w:jc w:val="center"/>
    </w:pPr>
    <w:rPr>
      <w:rFonts w:ascii="Calibri" w:eastAsia="Calibri" w:hAnsi="Calibri" w:cs="Arial"/>
      <w:bCs/>
      <w:noProof/>
      <w:lang w:eastAsia="en-US"/>
    </w:rPr>
  </w:style>
  <w:style w:type="character" w:customStyle="1" w:styleId="EndNoteBibliographyTitleChar">
    <w:name w:val="EndNote Bibliography Title Char"/>
    <w:basedOn w:val="DefaultParagraphFont"/>
    <w:link w:val="EndNoteBibliographyTitle"/>
    <w:rsid w:val="003D3694"/>
    <w:rPr>
      <w:rFonts w:ascii="Calibri" w:eastAsia="Calibri" w:hAnsi="Calibri" w:cs="Arial"/>
      <w:bCs/>
      <w:noProof/>
      <w:lang w:val="en-US"/>
    </w:rPr>
  </w:style>
  <w:style w:type="paragraph" w:customStyle="1" w:styleId="TableParagraph">
    <w:name w:val="Table Paragraph"/>
    <w:basedOn w:val="Normal"/>
    <w:uiPriority w:val="1"/>
    <w:qFormat/>
    <w:rsid w:val="003D3694"/>
    <w:pPr>
      <w:widowControl w:val="0"/>
      <w:spacing w:before="57" w:after="0"/>
    </w:pPr>
    <w:rPr>
      <w:rFonts w:eastAsia="Arial" w:cs="Arial"/>
      <w:bCs/>
      <w:lang w:eastAsia="en-US"/>
    </w:rPr>
  </w:style>
  <w:style w:type="character" w:customStyle="1" w:styleId="CommentTextChar1">
    <w:name w:val="Comment Text Char1"/>
    <w:locked/>
    <w:rsid w:val="003D3694"/>
    <w:rPr>
      <w:rFonts w:ascii="Arial" w:hAnsi="Arial"/>
    </w:rPr>
  </w:style>
  <w:style w:type="character" w:styleId="HTMLCite">
    <w:name w:val="HTML Cite"/>
    <w:basedOn w:val="DefaultParagraphFont"/>
    <w:uiPriority w:val="99"/>
    <w:semiHidden/>
    <w:unhideWhenUsed/>
    <w:rsid w:val="003D3694"/>
    <w:rPr>
      <w:i/>
      <w:iCs/>
    </w:rPr>
  </w:style>
  <w:style w:type="character" w:customStyle="1" w:styleId="st">
    <w:name w:val="st"/>
    <w:basedOn w:val="DefaultParagraphFont"/>
    <w:rsid w:val="003D3694"/>
  </w:style>
  <w:style w:type="table" w:customStyle="1" w:styleId="TableGrid1">
    <w:name w:val="Table Grid1"/>
    <w:basedOn w:val="TableNormal"/>
    <w:next w:val="TableGrid"/>
    <w:uiPriority w:val="59"/>
    <w:rsid w:val="003D3694"/>
    <w:pPr>
      <w:spacing w:after="0" w:line="240" w:lineRule="auto"/>
    </w:pPr>
    <w:rPr>
      <w:rFonts w:eastAsia="MS Mincho"/>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3D36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spacing w:after="0"/>
    </w:pPr>
    <w:rPr>
      <w:rFonts w:ascii="Courier New" w:eastAsia="Times New Roman" w:hAnsi="Courier New" w:cs="Courier New"/>
      <w:bCs/>
      <w:sz w:val="20"/>
      <w:szCs w:val="20"/>
      <w:lang w:val="en-AU" w:eastAsia="en-AU"/>
    </w:rPr>
  </w:style>
  <w:style w:type="character" w:customStyle="1" w:styleId="HTMLPreformattedChar">
    <w:name w:val="HTML Preformatted Char"/>
    <w:basedOn w:val="DefaultParagraphFont"/>
    <w:link w:val="HTMLPreformatted"/>
    <w:uiPriority w:val="99"/>
    <w:rsid w:val="003D3694"/>
    <w:rPr>
      <w:rFonts w:ascii="Courier New" w:eastAsia="Times New Roman" w:hAnsi="Courier New" w:cs="Courier New"/>
      <w:bCs/>
      <w:sz w:val="20"/>
      <w:szCs w:val="20"/>
      <w:lang w:eastAsia="en-AU"/>
    </w:rPr>
  </w:style>
  <w:style w:type="table" w:customStyle="1" w:styleId="ListTable6Colorful1">
    <w:name w:val="List Table 6 Colorful1"/>
    <w:basedOn w:val="TableNormal"/>
    <w:uiPriority w:val="51"/>
    <w:rsid w:val="003D3694"/>
    <w:pPr>
      <w:spacing w:after="0" w:line="240" w:lineRule="auto"/>
    </w:pPr>
    <w:rPr>
      <w:color w:val="000000" w:themeColor="text1"/>
      <w:sz w:val="24"/>
      <w:szCs w:val="24"/>
      <w:lang w:val="en-GB"/>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gc">
    <w:name w:val="_tgc"/>
    <w:basedOn w:val="DefaultParagraphFont"/>
    <w:rsid w:val="003D3694"/>
  </w:style>
  <w:style w:type="paragraph" w:customStyle="1" w:styleId="References">
    <w:name w:val="References"/>
    <w:basedOn w:val="EndNoteBibliography"/>
    <w:link w:val="ReferencesChar"/>
    <w:qFormat/>
    <w:rsid w:val="003D3694"/>
    <w:pPr>
      <w:ind w:left="720" w:hanging="720"/>
    </w:pPr>
    <w:rPr>
      <w:rFonts w:eastAsia="Calibri" w:cs="Times New Roman"/>
      <w:bCs/>
      <w:color w:val="000000"/>
      <w:sz w:val="20"/>
      <w:szCs w:val="20"/>
    </w:rPr>
  </w:style>
  <w:style w:type="character" w:customStyle="1" w:styleId="ReferencesChar">
    <w:name w:val="References Char"/>
    <w:basedOn w:val="EndNoteBibliographyChar"/>
    <w:link w:val="References"/>
    <w:rsid w:val="003D3694"/>
    <w:rPr>
      <w:rFonts w:ascii="Calibri" w:eastAsia="Calibri" w:hAnsi="Calibri" w:cs="Times New Roman"/>
      <w:bCs/>
      <w:noProof/>
      <w:color w:val="000000"/>
      <w:sz w:val="20"/>
      <w:szCs w:val="20"/>
      <w:lang w:val="en-US" w:eastAsia="en-AU"/>
    </w:rPr>
  </w:style>
  <w:style w:type="character" w:customStyle="1" w:styleId="oneclick-link">
    <w:name w:val="oneclick-link"/>
    <w:basedOn w:val="DefaultParagraphFont"/>
    <w:rsid w:val="003D3694"/>
  </w:style>
  <w:style w:type="numbering" w:customStyle="1" w:styleId="NoList1">
    <w:name w:val="No List1"/>
    <w:next w:val="NoList"/>
    <w:uiPriority w:val="99"/>
    <w:semiHidden/>
    <w:unhideWhenUsed/>
    <w:rsid w:val="003D3694"/>
  </w:style>
  <w:style w:type="table" w:customStyle="1" w:styleId="TableGrid2">
    <w:name w:val="Table Grid2"/>
    <w:basedOn w:val="TableNormal"/>
    <w:next w:val="TableGrid"/>
    <w:uiPriority w:val="59"/>
    <w:rsid w:val="003D3694"/>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2">
    <w:name w:val="Grid Table 1 Light - Accent 112"/>
    <w:basedOn w:val="TableNormal"/>
    <w:uiPriority w:val="46"/>
    <w:rsid w:val="003D3694"/>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1111">
    <w:name w:val="Grid Table 1 Light - Accent 1111"/>
    <w:basedOn w:val="TableNormal"/>
    <w:uiPriority w:val="46"/>
    <w:rsid w:val="003D3694"/>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leCSIRO1">
    <w:name w:val="Table_CSIRO1"/>
    <w:basedOn w:val="TableNormal"/>
    <w:uiPriority w:val="99"/>
    <w:qFormat/>
    <w:rsid w:val="003D3694"/>
    <w:pPr>
      <w:spacing w:after="0" w:line="240" w:lineRule="auto"/>
    </w:pPr>
    <w:rPr>
      <w:rFonts w:ascii="Calibri" w:hAnsi="Calibri" w:cs="Times New Roman"/>
      <w:lang w:eastAsia="en-AU"/>
    </w:rPr>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themeColor="background1"/>
      </w:rPr>
      <w:tblPr/>
      <w:tcPr>
        <w:tcBorders>
          <w:top w:val="nil"/>
          <w:left w:val="nil"/>
          <w:bottom w:val="nil"/>
          <w:right w:val="nil"/>
          <w:insideH w:val="nil"/>
          <w:insideV w:val="nil"/>
          <w:tl2br w:val="nil"/>
          <w:tr2bl w:val="nil"/>
        </w:tcBorders>
        <w:shd w:val="clear" w:color="auto" w:fill="000000" w:themeFill="tex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table" w:customStyle="1" w:styleId="TableGrid11">
    <w:name w:val="Table Grid11"/>
    <w:basedOn w:val="TableNormal"/>
    <w:next w:val="TableGrid"/>
    <w:uiPriority w:val="59"/>
    <w:rsid w:val="003D3694"/>
    <w:pPr>
      <w:spacing w:after="0" w:line="240" w:lineRule="auto"/>
    </w:pPr>
    <w:rPr>
      <w:rFonts w:eastAsia="MS Mincho"/>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6Colorful11">
    <w:name w:val="List Table 6 Colorful11"/>
    <w:basedOn w:val="TableNormal"/>
    <w:uiPriority w:val="51"/>
    <w:rsid w:val="003D3694"/>
    <w:pPr>
      <w:spacing w:after="0" w:line="240" w:lineRule="auto"/>
    </w:pPr>
    <w:rPr>
      <w:color w:val="000000" w:themeColor="text1"/>
      <w:sz w:val="24"/>
      <w:szCs w:val="24"/>
      <w:lang w:val="en-GB"/>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9Char">
    <w:name w:val="Heading 9 Char"/>
    <w:basedOn w:val="DefaultParagraphFont"/>
    <w:link w:val="Heading9"/>
    <w:uiPriority w:val="9"/>
    <w:semiHidden/>
    <w:rsid w:val="00F44B2D"/>
    <w:rPr>
      <w:rFonts w:asciiTheme="majorHAnsi" w:eastAsiaTheme="majorEastAsia" w:hAnsiTheme="majorHAnsi" w:cstheme="majorBidi"/>
      <w:i/>
      <w:iCs/>
      <w:color w:val="272727" w:themeColor="text1" w:themeTint="D8"/>
      <w:sz w:val="21"/>
      <w:szCs w:val="21"/>
      <w:lang w:val="en-US" w:eastAsia="ja-JP"/>
    </w:rPr>
  </w:style>
  <w:style w:type="character" w:customStyle="1" w:styleId="Heading8Char">
    <w:name w:val="Heading 8 Char"/>
    <w:basedOn w:val="DefaultParagraphFont"/>
    <w:link w:val="Heading8"/>
    <w:uiPriority w:val="9"/>
    <w:semiHidden/>
    <w:rsid w:val="00085C15"/>
    <w:rPr>
      <w:rFonts w:asciiTheme="majorHAnsi" w:eastAsiaTheme="majorEastAsia" w:hAnsiTheme="majorHAnsi" w:cstheme="majorBidi"/>
      <w:color w:val="272727" w:themeColor="text1" w:themeTint="D8"/>
      <w:sz w:val="21"/>
      <w:szCs w:val="21"/>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7247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2.xml"/><Relationship Id="rId21" Type="http://schemas.openxmlformats.org/officeDocument/2006/relationships/image" Target="media/image7.jpeg"/><Relationship Id="rId42" Type="http://schemas.openxmlformats.org/officeDocument/2006/relationships/image" Target="media/image20.png"/><Relationship Id="rId63" Type="http://schemas.openxmlformats.org/officeDocument/2006/relationships/image" Target="media/image39.png"/><Relationship Id="rId84" Type="http://schemas.openxmlformats.org/officeDocument/2006/relationships/image" Target="media/image56.tiff"/><Relationship Id="rId138" Type="http://schemas.openxmlformats.org/officeDocument/2006/relationships/image" Target="media/image105.tiff"/><Relationship Id="rId159" Type="http://schemas.openxmlformats.org/officeDocument/2006/relationships/image" Target="media/image125.png"/><Relationship Id="rId170" Type="http://schemas.openxmlformats.org/officeDocument/2006/relationships/image" Target="media/image136.png"/><Relationship Id="rId191" Type="http://schemas.openxmlformats.org/officeDocument/2006/relationships/image" Target="media/image154.png"/><Relationship Id="rId205" Type="http://schemas.openxmlformats.org/officeDocument/2006/relationships/image" Target="media/image165.png"/><Relationship Id="rId226" Type="http://schemas.openxmlformats.org/officeDocument/2006/relationships/hyperlink" Target="http://keys.lucidcentral.org/keys/v3/freshwater_molluscs/" TargetMode="External"/><Relationship Id="rId247" Type="http://schemas.openxmlformats.org/officeDocument/2006/relationships/image" Target="media/image196.png"/><Relationship Id="rId107" Type="http://schemas.openxmlformats.org/officeDocument/2006/relationships/hyperlink" Target="http://www.track.org.au/publications/registry/track973" TargetMode="External"/><Relationship Id="rId11" Type="http://schemas.openxmlformats.org/officeDocument/2006/relationships/header" Target="header2.xml"/><Relationship Id="rId32" Type="http://schemas.openxmlformats.org/officeDocument/2006/relationships/image" Target="media/image11.png"/><Relationship Id="rId53" Type="http://schemas.openxmlformats.org/officeDocument/2006/relationships/image" Target="media/image29.png"/><Relationship Id="rId74" Type="http://schemas.openxmlformats.org/officeDocument/2006/relationships/image" Target="media/image50.png"/><Relationship Id="rId128" Type="http://schemas.openxmlformats.org/officeDocument/2006/relationships/image" Target="media/image95.tiff"/><Relationship Id="rId149" Type="http://schemas.openxmlformats.org/officeDocument/2006/relationships/image" Target="media/image115.png"/><Relationship Id="rId5" Type="http://schemas.openxmlformats.org/officeDocument/2006/relationships/footnotes" Target="footnotes.xml"/><Relationship Id="rId95" Type="http://schemas.openxmlformats.org/officeDocument/2006/relationships/image" Target="media/image66.tiff"/><Relationship Id="rId160" Type="http://schemas.openxmlformats.org/officeDocument/2006/relationships/image" Target="media/image126.png"/><Relationship Id="rId181" Type="http://schemas.openxmlformats.org/officeDocument/2006/relationships/chart" Target="charts/chart2.xml"/><Relationship Id="rId216" Type="http://schemas.openxmlformats.org/officeDocument/2006/relationships/image" Target="media/image176.png"/><Relationship Id="rId237" Type="http://schemas.openxmlformats.org/officeDocument/2006/relationships/image" Target="media/image186.png"/><Relationship Id="rId22" Type="http://schemas.openxmlformats.org/officeDocument/2006/relationships/image" Target="media/image8.jpeg"/><Relationship Id="rId43" Type="http://schemas.openxmlformats.org/officeDocument/2006/relationships/image" Target="media/image21.png"/><Relationship Id="rId64" Type="http://schemas.openxmlformats.org/officeDocument/2006/relationships/image" Target="media/image40.png"/><Relationship Id="rId118" Type="http://schemas.openxmlformats.org/officeDocument/2006/relationships/image" Target="media/image85.tiff"/><Relationship Id="rId139" Type="http://schemas.openxmlformats.org/officeDocument/2006/relationships/image" Target="media/image106.tiff"/><Relationship Id="rId85" Type="http://schemas.openxmlformats.org/officeDocument/2006/relationships/image" Target="media/image57.tiff"/><Relationship Id="rId150" Type="http://schemas.openxmlformats.org/officeDocument/2006/relationships/image" Target="media/image116.png"/><Relationship Id="rId171" Type="http://schemas.openxmlformats.org/officeDocument/2006/relationships/image" Target="media/image137.png"/><Relationship Id="rId192" Type="http://schemas.openxmlformats.org/officeDocument/2006/relationships/image" Target="media/image155.png"/><Relationship Id="rId206" Type="http://schemas.openxmlformats.org/officeDocument/2006/relationships/image" Target="media/image166.png"/><Relationship Id="rId227" Type="http://schemas.openxmlformats.org/officeDocument/2006/relationships/hyperlink" Target="https://www.R-project.org/" TargetMode="External"/><Relationship Id="rId248" Type="http://schemas.openxmlformats.org/officeDocument/2006/relationships/footer" Target="footer15.xml"/><Relationship Id="rId12" Type="http://schemas.openxmlformats.org/officeDocument/2006/relationships/footer" Target="footer1.xml"/><Relationship Id="rId33" Type="http://schemas.openxmlformats.org/officeDocument/2006/relationships/image" Target="media/image12.png"/><Relationship Id="rId108" Type="http://schemas.openxmlformats.org/officeDocument/2006/relationships/hyperlink" Target="http://www.csiro.au/awap" TargetMode="External"/><Relationship Id="rId129" Type="http://schemas.openxmlformats.org/officeDocument/2006/relationships/image" Target="media/image96.tiff"/><Relationship Id="rId54" Type="http://schemas.openxmlformats.org/officeDocument/2006/relationships/image" Target="media/image30.png"/><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2.tiff"/><Relationship Id="rId96" Type="http://schemas.openxmlformats.org/officeDocument/2006/relationships/image" Target="media/image67.tiff"/><Relationship Id="rId140" Type="http://schemas.openxmlformats.org/officeDocument/2006/relationships/image" Target="media/image107.tiff"/><Relationship Id="rId145" Type="http://schemas.openxmlformats.org/officeDocument/2006/relationships/image" Target="media/image111.png"/><Relationship Id="rId161" Type="http://schemas.openxmlformats.org/officeDocument/2006/relationships/image" Target="media/image127.png"/><Relationship Id="rId166" Type="http://schemas.openxmlformats.org/officeDocument/2006/relationships/image" Target="media/image132.tiff"/><Relationship Id="rId182" Type="http://schemas.openxmlformats.org/officeDocument/2006/relationships/image" Target="media/image145.tiff"/><Relationship Id="rId187" Type="http://schemas.openxmlformats.org/officeDocument/2006/relationships/image" Target="media/image150.png"/><Relationship Id="rId217" Type="http://schemas.openxmlformats.org/officeDocument/2006/relationships/image" Target="media/image177.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72.png"/><Relationship Id="rId233" Type="http://schemas.openxmlformats.org/officeDocument/2006/relationships/image" Target="media/image182.jpeg"/><Relationship Id="rId238" Type="http://schemas.openxmlformats.org/officeDocument/2006/relationships/image" Target="media/image187.png"/><Relationship Id="rId254" Type="http://schemas.openxmlformats.org/officeDocument/2006/relationships/fontTable" Target="fontTable.xml"/><Relationship Id="rId23" Type="http://schemas.openxmlformats.org/officeDocument/2006/relationships/hyperlink" Target="http://en.wikipedia.org/wiki/Ecological" TargetMode="External"/><Relationship Id="rId28" Type="http://schemas.openxmlformats.org/officeDocument/2006/relationships/hyperlink" Target="http://en.wikipedia.org/wiki/Biological_classification" TargetMode="External"/><Relationship Id="rId49" Type="http://schemas.openxmlformats.org/officeDocument/2006/relationships/image" Target="media/image25.png"/><Relationship Id="rId114" Type="http://schemas.openxmlformats.org/officeDocument/2006/relationships/image" Target="media/image82.emf"/><Relationship Id="rId119" Type="http://schemas.openxmlformats.org/officeDocument/2006/relationships/image" Target="media/image86.tiff"/><Relationship Id="rId44" Type="http://schemas.openxmlformats.org/officeDocument/2006/relationships/image" Target="media/image22.png"/><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image" Target="media/image53.tiff"/><Relationship Id="rId86" Type="http://schemas.openxmlformats.org/officeDocument/2006/relationships/image" Target="media/image58.tiff"/><Relationship Id="rId130" Type="http://schemas.openxmlformats.org/officeDocument/2006/relationships/image" Target="media/image97.tiff"/><Relationship Id="rId135" Type="http://schemas.openxmlformats.org/officeDocument/2006/relationships/image" Target="media/image102.tiff"/><Relationship Id="rId151" Type="http://schemas.openxmlformats.org/officeDocument/2006/relationships/image" Target="media/image117.png"/><Relationship Id="rId156" Type="http://schemas.openxmlformats.org/officeDocument/2006/relationships/image" Target="media/image122.png"/><Relationship Id="rId177" Type="http://schemas.openxmlformats.org/officeDocument/2006/relationships/image" Target="media/image143.tiff"/><Relationship Id="rId198" Type="http://schemas.openxmlformats.org/officeDocument/2006/relationships/image" Target="media/image160.png"/><Relationship Id="rId172" Type="http://schemas.openxmlformats.org/officeDocument/2006/relationships/image" Target="media/image138.png"/><Relationship Id="rId193" Type="http://schemas.openxmlformats.org/officeDocument/2006/relationships/image" Target="media/image156.png"/><Relationship Id="rId202" Type="http://schemas.openxmlformats.org/officeDocument/2006/relationships/header" Target="header4.xml"/><Relationship Id="rId207" Type="http://schemas.openxmlformats.org/officeDocument/2006/relationships/image" Target="media/image167.png"/><Relationship Id="rId223" Type="http://schemas.openxmlformats.org/officeDocument/2006/relationships/hyperlink" Target="https://www.environment.gov.au/land/nrs/science/capad" TargetMode="External"/><Relationship Id="rId228" Type="http://schemas.openxmlformats.org/officeDocument/2006/relationships/hyperlink" Target="http://track.org.au/publications/registry/track843" TargetMode="External"/><Relationship Id="rId244" Type="http://schemas.openxmlformats.org/officeDocument/2006/relationships/image" Target="media/image193.png"/><Relationship Id="rId249" Type="http://schemas.openxmlformats.org/officeDocument/2006/relationships/hyperlink" Target="http://www.agriculture.gov.au/abares/aclump/land-use/data-download" TargetMode="External"/><Relationship Id="rId13" Type="http://schemas.openxmlformats.org/officeDocument/2006/relationships/footer" Target="footer2.xml"/><Relationship Id="rId18" Type="http://schemas.openxmlformats.org/officeDocument/2006/relationships/image" Target="media/image4.jpeg"/><Relationship Id="rId39" Type="http://schemas.openxmlformats.org/officeDocument/2006/relationships/image" Target="media/image18.png"/><Relationship Id="rId109" Type="http://schemas.openxmlformats.org/officeDocument/2006/relationships/image" Target="media/image78.png"/><Relationship Id="rId34" Type="http://schemas.openxmlformats.org/officeDocument/2006/relationships/image" Target="media/image13.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hyperlink" Target="https://publications.csiro.au/rpr/download?pid=csiro:EP157771&amp;dsid=DS2" TargetMode="External"/><Relationship Id="rId97" Type="http://schemas.openxmlformats.org/officeDocument/2006/relationships/image" Target="media/image68.tiff"/><Relationship Id="rId104" Type="http://schemas.openxmlformats.org/officeDocument/2006/relationships/image" Target="media/image75.png"/><Relationship Id="rId120" Type="http://schemas.openxmlformats.org/officeDocument/2006/relationships/image" Target="media/image87.tiff"/><Relationship Id="rId125" Type="http://schemas.openxmlformats.org/officeDocument/2006/relationships/image" Target="media/image92.tiff"/><Relationship Id="rId141" Type="http://schemas.openxmlformats.org/officeDocument/2006/relationships/image" Target="media/image108.tiff"/><Relationship Id="rId146" Type="http://schemas.openxmlformats.org/officeDocument/2006/relationships/image" Target="media/image112.png"/><Relationship Id="rId167" Type="http://schemas.openxmlformats.org/officeDocument/2006/relationships/image" Target="media/image133.tiff"/><Relationship Id="rId188" Type="http://schemas.openxmlformats.org/officeDocument/2006/relationships/image" Target="media/image151.png"/><Relationship Id="rId7" Type="http://schemas.openxmlformats.org/officeDocument/2006/relationships/image" Target="media/image1.png"/><Relationship Id="rId71" Type="http://schemas.openxmlformats.org/officeDocument/2006/relationships/image" Target="media/image47.png"/><Relationship Id="rId92" Type="http://schemas.openxmlformats.org/officeDocument/2006/relationships/image" Target="media/image63.tiff"/><Relationship Id="rId162" Type="http://schemas.openxmlformats.org/officeDocument/2006/relationships/image" Target="media/image128.png"/><Relationship Id="rId183" Type="http://schemas.openxmlformats.org/officeDocument/2006/relationships/image" Target="media/image146.tiff"/><Relationship Id="rId213" Type="http://schemas.openxmlformats.org/officeDocument/2006/relationships/image" Target="media/image173.png"/><Relationship Id="rId218" Type="http://schemas.openxmlformats.org/officeDocument/2006/relationships/image" Target="media/image178.png"/><Relationship Id="rId234" Type="http://schemas.openxmlformats.org/officeDocument/2006/relationships/image" Target="media/image183.jpeg"/><Relationship Id="rId239" Type="http://schemas.openxmlformats.org/officeDocument/2006/relationships/image" Target="media/image188.png"/><Relationship Id="rId2" Type="http://schemas.openxmlformats.org/officeDocument/2006/relationships/styles" Target="styles.xml"/><Relationship Id="rId29" Type="http://schemas.openxmlformats.org/officeDocument/2006/relationships/image" Target="media/image9.png"/><Relationship Id="rId250" Type="http://schemas.openxmlformats.org/officeDocument/2006/relationships/hyperlink" Target="https://www.environment.gov.au/land/nrs/science/capad" TargetMode="External"/><Relationship Id="rId255" Type="http://schemas.openxmlformats.org/officeDocument/2006/relationships/theme" Target="theme/theme1.xml"/><Relationship Id="rId24" Type="http://schemas.openxmlformats.org/officeDocument/2006/relationships/hyperlink" Target="http://en.wikipedia.org/wiki/Natural_environment" TargetMode="External"/><Relationship Id="rId40" Type="http://schemas.openxmlformats.org/officeDocument/2006/relationships/footer" Target="footer5.xml"/><Relationship Id="rId45" Type="http://schemas.openxmlformats.org/officeDocument/2006/relationships/image" Target="media/image23.png"/><Relationship Id="rId66" Type="http://schemas.openxmlformats.org/officeDocument/2006/relationships/image" Target="media/image42.png"/><Relationship Id="rId87" Type="http://schemas.openxmlformats.org/officeDocument/2006/relationships/image" Target="media/image59.tiff"/><Relationship Id="rId110" Type="http://schemas.openxmlformats.org/officeDocument/2006/relationships/image" Target="media/image79.png"/><Relationship Id="rId115" Type="http://schemas.openxmlformats.org/officeDocument/2006/relationships/image" Target="media/image83.png"/><Relationship Id="rId131" Type="http://schemas.openxmlformats.org/officeDocument/2006/relationships/image" Target="media/image98.tiff"/><Relationship Id="rId136" Type="http://schemas.openxmlformats.org/officeDocument/2006/relationships/image" Target="media/image103.tiff"/><Relationship Id="rId157" Type="http://schemas.openxmlformats.org/officeDocument/2006/relationships/image" Target="media/image123.png"/><Relationship Id="rId178" Type="http://schemas.openxmlformats.org/officeDocument/2006/relationships/image" Target="media/image144.tiff"/><Relationship Id="rId61" Type="http://schemas.openxmlformats.org/officeDocument/2006/relationships/image" Target="media/image37.png"/><Relationship Id="rId82" Type="http://schemas.openxmlformats.org/officeDocument/2006/relationships/image" Target="media/image54.tiff"/><Relationship Id="rId152" Type="http://schemas.openxmlformats.org/officeDocument/2006/relationships/image" Target="media/image118.png"/><Relationship Id="rId173" Type="http://schemas.openxmlformats.org/officeDocument/2006/relationships/image" Target="media/image139.tiff"/><Relationship Id="rId194" Type="http://schemas.openxmlformats.org/officeDocument/2006/relationships/image" Target="media/image157.png"/><Relationship Id="rId199" Type="http://schemas.openxmlformats.org/officeDocument/2006/relationships/image" Target="media/image161.png"/><Relationship Id="rId203" Type="http://schemas.openxmlformats.org/officeDocument/2006/relationships/footer" Target="footer13.xml"/><Relationship Id="rId208" Type="http://schemas.openxmlformats.org/officeDocument/2006/relationships/image" Target="media/image168.png"/><Relationship Id="rId229" Type="http://schemas.openxmlformats.org/officeDocument/2006/relationships/hyperlink" Target="https://www.epa.gov/risk/framework-cumulative-risk-assessment" TargetMode="External"/><Relationship Id="rId19" Type="http://schemas.openxmlformats.org/officeDocument/2006/relationships/image" Target="media/image5.jpeg"/><Relationship Id="rId224" Type="http://schemas.openxmlformats.org/officeDocument/2006/relationships/hyperlink" Target="http://www.environment.gov.au/sprat.%20Accessed%2028/05/2016" TargetMode="External"/><Relationship Id="rId240" Type="http://schemas.openxmlformats.org/officeDocument/2006/relationships/image" Target="media/image189.png"/><Relationship Id="rId245" Type="http://schemas.openxmlformats.org/officeDocument/2006/relationships/image" Target="media/image194.png"/><Relationship Id="rId14" Type="http://schemas.openxmlformats.org/officeDocument/2006/relationships/header" Target="header3.xml"/><Relationship Id="rId30" Type="http://schemas.openxmlformats.org/officeDocument/2006/relationships/footer" Target="footer4.xml"/><Relationship Id="rId35" Type="http://schemas.openxmlformats.org/officeDocument/2006/relationships/image" Target="media/image14.png"/><Relationship Id="rId56" Type="http://schemas.openxmlformats.org/officeDocument/2006/relationships/image" Target="media/image32.png"/><Relationship Id="rId77" Type="http://schemas.openxmlformats.org/officeDocument/2006/relationships/hyperlink" Target="https://publications.csiro.au/rpr/download?pid=csiro:EP157751&amp;dsid=DS2" TargetMode="External"/><Relationship Id="rId100" Type="http://schemas.openxmlformats.org/officeDocument/2006/relationships/image" Target="media/image71.tiff"/><Relationship Id="rId105" Type="http://schemas.openxmlformats.org/officeDocument/2006/relationships/image" Target="media/image76.tiff"/><Relationship Id="rId126" Type="http://schemas.openxmlformats.org/officeDocument/2006/relationships/image" Target="media/image93.tiff"/><Relationship Id="rId147" Type="http://schemas.openxmlformats.org/officeDocument/2006/relationships/image" Target="media/image113.png"/><Relationship Id="rId168" Type="http://schemas.openxmlformats.org/officeDocument/2006/relationships/image" Target="media/image134.tiff"/><Relationship Id="rId8" Type="http://schemas.microsoft.com/office/2007/relationships/hdphoto" Target="media/hdphoto1.wdp"/><Relationship Id="rId51" Type="http://schemas.openxmlformats.org/officeDocument/2006/relationships/image" Target="media/image27.png"/><Relationship Id="rId72" Type="http://schemas.openxmlformats.org/officeDocument/2006/relationships/image" Target="media/image48.png"/><Relationship Id="rId93" Type="http://schemas.openxmlformats.org/officeDocument/2006/relationships/image" Target="media/image64.tiff"/><Relationship Id="rId98" Type="http://schemas.openxmlformats.org/officeDocument/2006/relationships/image" Target="media/image69.tiff"/><Relationship Id="rId121" Type="http://schemas.openxmlformats.org/officeDocument/2006/relationships/image" Target="media/image88.emf"/><Relationship Id="rId142" Type="http://schemas.openxmlformats.org/officeDocument/2006/relationships/image" Target="media/image109.tiff"/><Relationship Id="rId163" Type="http://schemas.openxmlformats.org/officeDocument/2006/relationships/image" Target="media/image129.png"/><Relationship Id="rId184" Type="http://schemas.openxmlformats.org/officeDocument/2006/relationships/image" Target="media/image147.png"/><Relationship Id="rId189" Type="http://schemas.openxmlformats.org/officeDocument/2006/relationships/image" Target="media/image152.png"/><Relationship Id="rId219" Type="http://schemas.openxmlformats.org/officeDocument/2006/relationships/image" Target="media/image179.png"/><Relationship Id="rId3" Type="http://schemas.openxmlformats.org/officeDocument/2006/relationships/settings" Target="settings.xml"/><Relationship Id="rId214" Type="http://schemas.openxmlformats.org/officeDocument/2006/relationships/image" Target="media/image174.png"/><Relationship Id="rId230" Type="http://schemas.openxmlformats.org/officeDocument/2006/relationships/image" Target="media/image181.png"/><Relationship Id="rId235" Type="http://schemas.openxmlformats.org/officeDocument/2006/relationships/image" Target="media/image184.jpeg"/><Relationship Id="rId251" Type="http://schemas.openxmlformats.org/officeDocument/2006/relationships/header" Target="header5.xml"/><Relationship Id="rId25" Type="http://schemas.openxmlformats.org/officeDocument/2006/relationships/hyperlink" Target="http://en.wikipedia.org/wiki/Species" TargetMode="External"/><Relationship Id="rId46" Type="http://schemas.openxmlformats.org/officeDocument/2006/relationships/footer" Target="footer6.xml"/><Relationship Id="rId67" Type="http://schemas.openxmlformats.org/officeDocument/2006/relationships/image" Target="media/image43.png"/><Relationship Id="rId116" Type="http://schemas.openxmlformats.org/officeDocument/2006/relationships/image" Target="media/image84.png"/><Relationship Id="rId137" Type="http://schemas.openxmlformats.org/officeDocument/2006/relationships/image" Target="media/image104.tiff"/><Relationship Id="rId158" Type="http://schemas.openxmlformats.org/officeDocument/2006/relationships/image" Target="media/image124.png"/><Relationship Id="rId20" Type="http://schemas.openxmlformats.org/officeDocument/2006/relationships/image" Target="media/image6.jpeg"/><Relationship Id="rId41" Type="http://schemas.openxmlformats.org/officeDocument/2006/relationships/image" Target="media/image19.png"/><Relationship Id="rId62" Type="http://schemas.openxmlformats.org/officeDocument/2006/relationships/image" Target="media/image38.png"/><Relationship Id="rId83" Type="http://schemas.openxmlformats.org/officeDocument/2006/relationships/image" Target="media/image55.tiff"/><Relationship Id="rId88" Type="http://schemas.openxmlformats.org/officeDocument/2006/relationships/image" Target="media/image60.tiff"/><Relationship Id="rId111" Type="http://schemas.openxmlformats.org/officeDocument/2006/relationships/image" Target="media/image80.jpeg"/><Relationship Id="rId132" Type="http://schemas.openxmlformats.org/officeDocument/2006/relationships/image" Target="media/image99.emf"/><Relationship Id="rId153" Type="http://schemas.openxmlformats.org/officeDocument/2006/relationships/image" Target="media/image119.jpeg"/><Relationship Id="rId174" Type="http://schemas.openxmlformats.org/officeDocument/2006/relationships/image" Target="media/image140.tiff"/><Relationship Id="rId179" Type="http://schemas.openxmlformats.org/officeDocument/2006/relationships/image" Target="media/image145.png"/><Relationship Id="rId195" Type="http://schemas.openxmlformats.org/officeDocument/2006/relationships/image" Target="media/image158.png"/><Relationship Id="rId209" Type="http://schemas.openxmlformats.org/officeDocument/2006/relationships/image" Target="media/image169.png"/><Relationship Id="rId190" Type="http://schemas.openxmlformats.org/officeDocument/2006/relationships/image" Target="media/image153.png"/><Relationship Id="rId204" Type="http://schemas.openxmlformats.org/officeDocument/2006/relationships/image" Target="media/image164.png"/><Relationship Id="rId220" Type="http://schemas.openxmlformats.org/officeDocument/2006/relationships/image" Target="media/image180.png"/><Relationship Id="rId225" Type="http://schemas.openxmlformats.org/officeDocument/2006/relationships/hyperlink" Target="http://data.erinsights.com/maps/fossilfuels-au.html" TargetMode="External"/><Relationship Id="rId241" Type="http://schemas.openxmlformats.org/officeDocument/2006/relationships/image" Target="media/image190.png"/><Relationship Id="rId246" Type="http://schemas.openxmlformats.org/officeDocument/2006/relationships/image" Target="media/image195.png"/><Relationship Id="rId15" Type="http://schemas.openxmlformats.org/officeDocument/2006/relationships/footer" Target="footer3.xml"/><Relationship Id="rId36" Type="http://schemas.openxmlformats.org/officeDocument/2006/relationships/image" Target="media/image15.png"/><Relationship Id="rId57" Type="http://schemas.openxmlformats.org/officeDocument/2006/relationships/image" Target="media/image33.png"/><Relationship Id="rId106" Type="http://schemas.openxmlformats.org/officeDocument/2006/relationships/image" Target="media/image77.tiff"/><Relationship Id="rId127" Type="http://schemas.openxmlformats.org/officeDocument/2006/relationships/image" Target="media/image94.tiff"/><Relationship Id="rId10" Type="http://schemas.openxmlformats.org/officeDocument/2006/relationships/header" Target="header1.xml"/><Relationship Id="rId31" Type="http://schemas.openxmlformats.org/officeDocument/2006/relationships/image" Target="media/image10.png"/><Relationship Id="rId52" Type="http://schemas.openxmlformats.org/officeDocument/2006/relationships/image" Target="media/image28.png"/><Relationship Id="rId73" Type="http://schemas.openxmlformats.org/officeDocument/2006/relationships/image" Target="media/image49.png"/><Relationship Id="rId78" Type="http://schemas.openxmlformats.org/officeDocument/2006/relationships/footer" Target="footer8.xml"/><Relationship Id="rId94" Type="http://schemas.openxmlformats.org/officeDocument/2006/relationships/image" Target="media/image65.tiff"/><Relationship Id="rId99" Type="http://schemas.openxmlformats.org/officeDocument/2006/relationships/image" Target="media/image70.tiff"/><Relationship Id="rId101" Type="http://schemas.openxmlformats.org/officeDocument/2006/relationships/image" Target="media/image72.tiff"/><Relationship Id="rId122" Type="http://schemas.openxmlformats.org/officeDocument/2006/relationships/image" Target="media/image89.tiff"/><Relationship Id="rId143" Type="http://schemas.openxmlformats.org/officeDocument/2006/relationships/image" Target="media/image110.tiff"/><Relationship Id="rId148" Type="http://schemas.openxmlformats.org/officeDocument/2006/relationships/image" Target="media/image114.png"/><Relationship Id="rId164" Type="http://schemas.openxmlformats.org/officeDocument/2006/relationships/image" Target="media/image130.png"/><Relationship Id="rId169" Type="http://schemas.openxmlformats.org/officeDocument/2006/relationships/image" Target="media/image135.tiff"/><Relationship Id="rId185" Type="http://schemas.openxmlformats.org/officeDocument/2006/relationships/image" Target="media/image148.png"/><Relationship Id="rId4" Type="http://schemas.openxmlformats.org/officeDocument/2006/relationships/webSettings" Target="webSettings.xml"/><Relationship Id="rId9" Type="http://schemas.openxmlformats.org/officeDocument/2006/relationships/image" Target="media/image2.png"/><Relationship Id="rId180" Type="http://schemas.openxmlformats.org/officeDocument/2006/relationships/image" Target="media/image146.png"/><Relationship Id="rId210" Type="http://schemas.openxmlformats.org/officeDocument/2006/relationships/image" Target="media/image170.png"/><Relationship Id="rId215" Type="http://schemas.openxmlformats.org/officeDocument/2006/relationships/image" Target="media/image175.png"/><Relationship Id="rId236" Type="http://schemas.openxmlformats.org/officeDocument/2006/relationships/image" Target="media/image185.png"/><Relationship Id="rId26" Type="http://schemas.openxmlformats.org/officeDocument/2006/relationships/hyperlink" Target="http://en.wikipedia.org/wiki/Population" TargetMode="External"/><Relationship Id="rId231" Type="http://schemas.openxmlformats.org/officeDocument/2006/relationships/hyperlink" Target="http://www.iesc.environment.gov.au/publications/information-guidelines-independent-expert-scientific-committee-advice-coal-seam-gas" TargetMode="External"/><Relationship Id="rId252" Type="http://schemas.openxmlformats.org/officeDocument/2006/relationships/header" Target="header6.xml"/><Relationship Id="rId47" Type="http://schemas.openxmlformats.org/officeDocument/2006/relationships/footer" Target="footer7.xml"/><Relationship Id="rId68" Type="http://schemas.openxmlformats.org/officeDocument/2006/relationships/image" Target="media/image44.png"/><Relationship Id="rId89" Type="http://schemas.openxmlformats.org/officeDocument/2006/relationships/image" Target="media/image61.tiff"/><Relationship Id="rId112" Type="http://schemas.openxmlformats.org/officeDocument/2006/relationships/image" Target="media/image81.jpeg"/><Relationship Id="rId133" Type="http://schemas.openxmlformats.org/officeDocument/2006/relationships/image" Target="media/image100.tiff"/><Relationship Id="rId154" Type="http://schemas.openxmlformats.org/officeDocument/2006/relationships/image" Target="media/image120.png"/><Relationship Id="rId175" Type="http://schemas.openxmlformats.org/officeDocument/2006/relationships/image" Target="media/image141.tiff"/><Relationship Id="rId196" Type="http://schemas.openxmlformats.org/officeDocument/2006/relationships/hyperlink" Target="http://wwwlib.murdoch.edu.au/adt/browse/view/adt-MU20051010.141551" TargetMode="External"/><Relationship Id="rId200" Type="http://schemas.openxmlformats.org/officeDocument/2006/relationships/image" Target="media/image162.png"/><Relationship Id="rId16" Type="http://schemas.openxmlformats.org/officeDocument/2006/relationships/image" Target="media/image3.jpeg"/><Relationship Id="rId221" Type="http://schemas.openxmlformats.org/officeDocument/2006/relationships/hyperlink" Target="http://data.daff.gov.au/anrdl/metadata_files/pb_ilua5g9ablu20140708_11a.xml" TargetMode="External"/><Relationship Id="rId242" Type="http://schemas.openxmlformats.org/officeDocument/2006/relationships/image" Target="media/image191.png"/><Relationship Id="rId37" Type="http://schemas.openxmlformats.org/officeDocument/2006/relationships/image" Target="media/image16.png"/><Relationship Id="rId58" Type="http://schemas.openxmlformats.org/officeDocument/2006/relationships/image" Target="media/image34.png"/><Relationship Id="rId79" Type="http://schemas.openxmlformats.org/officeDocument/2006/relationships/footer" Target="footer9.xml"/><Relationship Id="rId102" Type="http://schemas.openxmlformats.org/officeDocument/2006/relationships/image" Target="media/image73.tiff"/><Relationship Id="rId123" Type="http://schemas.openxmlformats.org/officeDocument/2006/relationships/image" Target="media/image90.tiff"/><Relationship Id="rId144" Type="http://schemas.openxmlformats.org/officeDocument/2006/relationships/chart" Target="charts/chart1.xml"/><Relationship Id="rId90" Type="http://schemas.openxmlformats.org/officeDocument/2006/relationships/footer" Target="footer10.xml"/><Relationship Id="rId165" Type="http://schemas.openxmlformats.org/officeDocument/2006/relationships/image" Target="media/image131.png"/><Relationship Id="rId186" Type="http://schemas.openxmlformats.org/officeDocument/2006/relationships/image" Target="media/image149.png"/><Relationship Id="rId211" Type="http://schemas.openxmlformats.org/officeDocument/2006/relationships/image" Target="media/image171.png"/><Relationship Id="rId232" Type="http://schemas.openxmlformats.org/officeDocument/2006/relationships/footer" Target="footer14.xml"/><Relationship Id="rId253" Type="http://schemas.openxmlformats.org/officeDocument/2006/relationships/header" Target="header7.xml"/><Relationship Id="rId27" Type="http://schemas.openxmlformats.org/officeDocument/2006/relationships/hyperlink" Target="http://en.wikipedia.org/wiki/Taxonomic_rank" TargetMode="External"/><Relationship Id="rId48" Type="http://schemas.openxmlformats.org/officeDocument/2006/relationships/image" Target="media/image24.png"/><Relationship Id="rId69" Type="http://schemas.openxmlformats.org/officeDocument/2006/relationships/image" Target="media/image45.png"/><Relationship Id="rId113" Type="http://schemas.openxmlformats.org/officeDocument/2006/relationships/footer" Target="footer11.xml"/><Relationship Id="rId134" Type="http://schemas.openxmlformats.org/officeDocument/2006/relationships/image" Target="media/image101.tiff"/><Relationship Id="rId80" Type="http://schemas.openxmlformats.org/officeDocument/2006/relationships/image" Target="media/image52.png"/><Relationship Id="rId155" Type="http://schemas.openxmlformats.org/officeDocument/2006/relationships/image" Target="media/image121.png"/><Relationship Id="rId176" Type="http://schemas.openxmlformats.org/officeDocument/2006/relationships/image" Target="media/image142.tiff"/><Relationship Id="rId197" Type="http://schemas.openxmlformats.org/officeDocument/2006/relationships/image" Target="media/image159.png"/><Relationship Id="rId201" Type="http://schemas.openxmlformats.org/officeDocument/2006/relationships/image" Target="media/image163.png"/><Relationship Id="rId222" Type="http://schemas.openxmlformats.org/officeDocument/2006/relationships/hyperlink" Target="http://www.bom.gov.au/water/groundwater/ngis/" TargetMode="External"/><Relationship Id="rId243" Type="http://schemas.openxmlformats.org/officeDocument/2006/relationships/image" Target="media/image192.png"/><Relationship Id="rId17" Type="http://schemas.openxmlformats.org/officeDocument/2006/relationships/hyperlink" Target="https://creativecommons.org/licenses/by/4.0/" TargetMode="External"/><Relationship Id="rId38" Type="http://schemas.openxmlformats.org/officeDocument/2006/relationships/image" Target="media/image17.png"/><Relationship Id="rId59" Type="http://schemas.openxmlformats.org/officeDocument/2006/relationships/image" Target="media/image35.png"/><Relationship Id="rId103" Type="http://schemas.openxmlformats.org/officeDocument/2006/relationships/image" Target="media/image74.png"/><Relationship Id="rId124" Type="http://schemas.openxmlformats.org/officeDocument/2006/relationships/image" Target="media/image91.tiff"/></Relationships>
</file>

<file path=word/_rels/header5.xml.rels><?xml version="1.0" encoding="UTF-8" standalone="yes"?>
<Relationships xmlns="http://schemas.openxmlformats.org/package/2006/relationships"><Relationship Id="rId1" Type="http://schemas.openxmlformats.org/officeDocument/2006/relationships/image" Target="media/image197.jpe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r>
              <a:rPr lang="en-AU" sz="1600"/>
              <a:t>Plot</a:t>
            </a:r>
            <a:r>
              <a:rPr lang="en-AU" sz="1600" baseline="0"/>
              <a:t> 13 - Pool 33</a:t>
            </a:r>
            <a:endParaRPr lang="en-AU" sz="1600"/>
          </a:p>
        </c:rich>
      </c:tx>
      <c:overlay val="1"/>
      <c:spPr>
        <a:noFill/>
        <a:ln>
          <a:noFill/>
        </a:ln>
        <a:effectLst/>
      </c:spPr>
    </c:title>
    <c:autoTitleDeleted val="0"/>
    <c:plotArea>
      <c:layout/>
      <c:scatterChart>
        <c:scatterStyle val="lineMarker"/>
        <c:varyColors val="0"/>
        <c:ser>
          <c:idx val="0"/>
          <c:order val="0"/>
          <c:tx>
            <c:v>Round 1 Surf</c:v>
          </c:tx>
          <c:spPr>
            <a:ln w="19050" cap="rnd">
              <a:solidFill>
                <a:schemeClr val="accent1"/>
              </a:solidFill>
              <a:round/>
            </a:ln>
            <a:effectLst/>
          </c:spPr>
          <c:marker>
            <c:symbol val="none"/>
          </c:marker>
          <c:xVal>
            <c:numRef>
              <c:f>Sheet1!$B$3:$B$6434</c:f>
              <c:numCache>
                <c:formatCode>0.00</c:formatCode>
                <c:ptCount val="6432"/>
                <c:pt idx="0">
                  <c:v>-5.5555574363097498E-6</c:v>
                </c:pt>
                <c:pt idx="1">
                  <c:v>1.0411053241114099E-2</c:v>
                </c:pt>
                <c:pt idx="2">
                  <c:v>2.0827662039664602E-2</c:v>
                </c:pt>
                <c:pt idx="3">
                  <c:v>3.12442708309391E-2</c:v>
                </c:pt>
                <c:pt idx="4">
                  <c:v>4.1666666664241403E-2</c:v>
                </c:pt>
                <c:pt idx="5">
                  <c:v>5.2083333335758701E-2</c:v>
                </c:pt>
                <c:pt idx="6">
                  <c:v>6.2500057872966905E-2</c:v>
                </c:pt>
                <c:pt idx="7">
                  <c:v>7.2916782410175102E-2</c:v>
                </c:pt>
                <c:pt idx="8">
                  <c:v>8.3333506947383298E-2</c:v>
                </c:pt>
                <c:pt idx="9">
                  <c:v>9.3750231484591495E-2</c:v>
                </c:pt>
                <c:pt idx="10">
                  <c:v>0.1041669560218</c:v>
                </c:pt>
                <c:pt idx="11">
                  <c:v>0.114583680559008</c:v>
                </c:pt>
                <c:pt idx="12">
                  <c:v>0.12500040509621599</c:v>
                </c:pt>
                <c:pt idx="13">
                  <c:v>0.13541712962614799</c:v>
                </c:pt>
                <c:pt idx="14">
                  <c:v>0.14583385416335701</c:v>
                </c:pt>
                <c:pt idx="15">
                  <c:v>0.156250578700565</c:v>
                </c:pt>
                <c:pt idx="16">
                  <c:v>0.16666730323777301</c:v>
                </c:pt>
                <c:pt idx="17">
                  <c:v>0.177084027774981</c:v>
                </c:pt>
                <c:pt idx="18">
                  <c:v>0.18750075231218899</c:v>
                </c:pt>
                <c:pt idx="19">
                  <c:v>0.19791747684939801</c:v>
                </c:pt>
                <c:pt idx="20">
                  <c:v>0.20833420138660599</c:v>
                </c:pt>
                <c:pt idx="21">
                  <c:v>0.21875092592381401</c:v>
                </c:pt>
                <c:pt idx="22">
                  <c:v>0.229167650461022</c:v>
                </c:pt>
                <c:pt idx="23">
                  <c:v>0.23958437499822999</c:v>
                </c:pt>
                <c:pt idx="24">
                  <c:v>0.25000109953543898</c:v>
                </c:pt>
                <c:pt idx="25">
                  <c:v>0.26041782407264702</c:v>
                </c:pt>
                <c:pt idx="26">
                  <c:v>0.27083454860985501</c:v>
                </c:pt>
                <c:pt idx="27">
                  <c:v>0.281251273147063</c:v>
                </c:pt>
                <c:pt idx="28">
                  <c:v>0.29166799768427198</c:v>
                </c:pt>
                <c:pt idx="29">
                  <c:v>0.30208472222147997</c:v>
                </c:pt>
                <c:pt idx="30">
                  <c:v>0.31250144675868802</c:v>
                </c:pt>
                <c:pt idx="31">
                  <c:v>0.32291817129589601</c:v>
                </c:pt>
                <c:pt idx="32">
                  <c:v>0.33333489583310399</c:v>
                </c:pt>
                <c:pt idx="33">
                  <c:v>0.34375162037031298</c:v>
                </c:pt>
                <c:pt idx="34">
                  <c:v>0.35416834490752103</c:v>
                </c:pt>
                <c:pt idx="35">
                  <c:v>0.36458506944472902</c:v>
                </c:pt>
                <c:pt idx="36">
                  <c:v>0.375001793981937</c:v>
                </c:pt>
                <c:pt idx="37">
                  <c:v>0.38541851851914499</c:v>
                </c:pt>
                <c:pt idx="38">
                  <c:v>0.39583524305635398</c:v>
                </c:pt>
                <c:pt idx="39">
                  <c:v>0.40625196759356202</c:v>
                </c:pt>
                <c:pt idx="40">
                  <c:v>0.41666869213077001</c:v>
                </c:pt>
                <c:pt idx="41">
                  <c:v>0.427085416667978</c:v>
                </c:pt>
                <c:pt idx="42">
                  <c:v>0.43750214120518699</c:v>
                </c:pt>
                <c:pt idx="43">
                  <c:v>0.44791886574239498</c:v>
                </c:pt>
                <c:pt idx="44">
                  <c:v>0.45833559027960302</c:v>
                </c:pt>
                <c:pt idx="45">
                  <c:v>0.46875231481681101</c:v>
                </c:pt>
                <c:pt idx="46">
                  <c:v>0.479169039354019</c:v>
                </c:pt>
                <c:pt idx="47">
                  <c:v>0.48958576389122799</c:v>
                </c:pt>
                <c:pt idx="48">
                  <c:v>0.50000248842843598</c:v>
                </c:pt>
                <c:pt idx="49">
                  <c:v>0.51041921296564396</c:v>
                </c:pt>
                <c:pt idx="50">
                  <c:v>0.52083593750285195</c:v>
                </c:pt>
                <c:pt idx="51">
                  <c:v>0.53125266204006005</c:v>
                </c:pt>
                <c:pt idx="52">
                  <c:v>0.54166938657726804</c:v>
                </c:pt>
                <c:pt idx="53">
                  <c:v>0.55208611111447703</c:v>
                </c:pt>
                <c:pt idx="54">
                  <c:v>0.56250283565168502</c:v>
                </c:pt>
                <c:pt idx="55">
                  <c:v>0.57291956018161705</c:v>
                </c:pt>
                <c:pt idx="56">
                  <c:v>0.58333628471882504</c:v>
                </c:pt>
                <c:pt idx="57">
                  <c:v>0.59375300925603403</c:v>
                </c:pt>
                <c:pt idx="58">
                  <c:v>0.60416973379324201</c:v>
                </c:pt>
                <c:pt idx="59">
                  <c:v>0.61458645833045</c:v>
                </c:pt>
                <c:pt idx="60">
                  <c:v>0.62500318286765799</c:v>
                </c:pt>
                <c:pt idx="61">
                  <c:v>0.63541990740486698</c:v>
                </c:pt>
                <c:pt idx="62">
                  <c:v>0.64583663194207497</c:v>
                </c:pt>
                <c:pt idx="63">
                  <c:v>0.65625335647928296</c:v>
                </c:pt>
                <c:pt idx="64">
                  <c:v>0.66667008101649095</c:v>
                </c:pt>
                <c:pt idx="65">
                  <c:v>0.67708680555370004</c:v>
                </c:pt>
                <c:pt idx="66">
                  <c:v>0.68750353009090803</c:v>
                </c:pt>
                <c:pt idx="67">
                  <c:v>0.69792025462811602</c:v>
                </c:pt>
                <c:pt idx="68">
                  <c:v>0.70833697916532401</c:v>
                </c:pt>
                <c:pt idx="69">
                  <c:v>0.718753703702532</c:v>
                </c:pt>
                <c:pt idx="70">
                  <c:v>0.72917042823973999</c:v>
                </c:pt>
                <c:pt idx="71">
                  <c:v>0.73958715277694798</c:v>
                </c:pt>
                <c:pt idx="72">
                  <c:v>0.75000387731415696</c:v>
                </c:pt>
                <c:pt idx="73">
                  <c:v>0.76042060185136495</c:v>
                </c:pt>
                <c:pt idx="74">
                  <c:v>0.77083732638857305</c:v>
                </c:pt>
                <c:pt idx="75">
                  <c:v>0.78125405092578204</c:v>
                </c:pt>
                <c:pt idx="76">
                  <c:v>0.79167077546299003</c:v>
                </c:pt>
                <c:pt idx="77">
                  <c:v>0.80208750000019802</c:v>
                </c:pt>
                <c:pt idx="78">
                  <c:v>0.81250422453740601</c:v>
                </c:pt>
                <c:pt idx="79">
                  <c:v>0.82292094907461399</c:v>
                </c:pt>
                <c:pt idx="80">
                  <c:v>0.83333767361182298</c:v>
                </c:pt>
                <c:pt idx="81">
                  <c:v>0.84375439814903097</c:v>
                </c:pt>
                <c:pt idx="82">
                  <c:v>0.85417112268623896</c:v>
                </c:pt>
                <c:pt idx="83">
                  <c:v>0.86458784722344695</c:v>
                </c:pt>
                <c:pt idx="84">
                  <c:v>0.87500457176065505</c:v>
                </c:pt>
                <c:pt idx="85">
                  <c:v>0.88542129629786404</c:v>
                </c:pt>
                <c:pt idx="86">
                  <c:v>0.89583802083507202</c:v>
                </c:pt>
                <c:pt idx="87">
                  <c:v>0.90625474537228001</c:v>
                </c:pt>
                <c:pt idx="88">
                  <c:v>0.916671469909488</c:v>
                </c:pt>
                <c:pt idx="89">
                  <c:v>0.92708819444669599</c:v>
                </c:pt>
                <c:pt idx="90">
                  <c:v>0.93750491898390498</c:v>
                </c:pt>
                <c:pt idx="91">
                  <c:v>0.94792164352111297</c:v>
                </c:pt>
                <c:pt idx="92">
                  <c:v>0.95833836805832096</c:v>
                </c:pt>
                <c:pt idx="93">
                  <c:v>0.96875509259553005</c:v>
                </c:pt>
                <c:pt idx="94">
                  <c:v>0.97917181713273804</c:v>
                </c:pt>
                <c:pt idx="95">
                  <c:v>0.98958854166994503</c:v>
                </c:pt>
                <c:pt idx="96">
                  <c:v>1.0000052662071539</c:v>
                </c:pt>
                <c:pt idx="97">
                  <c:v>1.0104219907443619</c:v>
                </c:pt>
                <c:pt idx="98">
                  <c:v>1.0208387152742939</c:v>
                </c:pt>
                <c:pt idx="99">
                  <c:v>1.031255439811503</c:v>
                </c:pt>
                <c:pt idx="100">
                  <c:v>1.041672164348711</c:v>
                </c:pt>
                <c:pt idx="101">
                  <c:v>1.0520888888859199</c:v>
                </c:pt>
                <c:pt idx="102">
                  <c:v>1.062505613423127</c:v>
                </c:pt>
                <c:pt idx="103">
                  <c:v>1.072922337960335</c:v>
                </c:pt>
                <c:pt idx="104">
                  <c:v>1.0833390624975441</c:v>
                </c:pt>
                <c:pt idx="105">
                  <c:v>1.0937557870347521</c:v>
                </c:pt>
                <c:pt idx="106">
                  <c:v>1.1041725115719601</c:v>
                </c:pt>
                <c:pt idx="107">
                  <c:v>1.114589236109168</c:v>
                </c:pt>
                <c:pt idx="108">
                  <c:v>1.1250059606463769</c:v>
                </c:pt>
                <c:pt idx="109">
                  <c:v>1.135422685183584</c:v>
                </c:pt>
                <c:pt idx="110">
                  <c:v>1.1458394097207929</c:v>
                </c:pt>
                <c:pt idx="111">
                  <c:v>1.1562561342580009</c:v>
                </c:pt>
                <c:pt idx="112">
                  <c:v>1.16667285879521</c:v>
                </c:pt>
                <c:pt idx="113">
                  <c:v>1.177089583332418</c:v>
                </c:pt>
                <c:pt idx="114">
                  <c:v>1.1875063078696251</c:v>
                </c:pt>
                <c:pt idx="115">
                  <c:v>1.197923032406834</c:v>
                </c:pt>
                <c:pt idx="116">
                  <c:v>1.2083397569440419</c:v>
                </c:pt>
                <c:pt idx="117">
                  <c:v>1.218756481481251</c:v>
                </c:pt>
                <c:pt idx="118">
                  <c:v>1.2291732060184579</c:v>
                </c:pt>
                <c:pt idx="119">
                  <c:v>1.239589930555667</c:v>
                </c:pt>
                <c:pt idx="120">
                  <c:v>1.250006655092875</c:v>
                </c:pt>
                <c:pt idx="121">
                  <c:v>1.260423379630083</c:v>
                </c:pt>
                <c:pt idx="122">
                  <c:v>1.2708401041672921</c:v>
                </c:pt>
                <c:pt idx="123">
                  <c:v>1.2812568287045001</c:v>
                </c:pt>
                <c:pt idx="124">
                  <c:v>1.2916735532417081</c:v>
                </c:pt>
                <c:pt idx="125">
                  <c:v>1.3020902777789161</c:v>
                </c:pt>
                <c:pt idx="126">
                  <c:v>1.312507002316124</c:v>
                </c:pt>
                <c:pt idx="127">
                  <c:v>1.322923726853332</c:v>
                </c:pt>
                <c:pt idx="128">
                  <c:v>1.3333404513905409</c:v>
                </c:pt>
                <c:pt idx="129">
                  <c:v>1.34375717592775</c:v>
                </c:pt>
                <c:pt idx="130">
                  <c:v>1.3541739004649569</c:v>
                </c:pt>
                <c:pt idx="131">
                  <c:v>1.3645906250021651</c:v>
                </c:pt>
                <c:pt idx="132">
                  <c:v>1.3750073495393731</c:v>
                </c:pt>
                <c:pt idx="133">
                  <c:v>1.385424074076582</c:v>
                </c:pt>
                <c:pt idx="134">
                  <c:v>1.39584079861379</c:v>
                </c:pt>
                <c:pt idx="135">
                  <c:v>1.4062575231509979</c:v>
                </c:pt>
                <c:pt idx="136">
                  <c:v>1.4166742476882059</c:v>
                </c:pt>
                <c:pt idx="137">
                  <c:v>1.4270909722254139</c:v>
                </c:pt>
                <c:pt idx="138">
                  <c:v>1.437507696762623</c:v>
                </c:pt>
                <c:pt idx="139">
                  <c:v>1.447924421299831</c:v>
                </c:pt>
                <c:pt idx="140">
                  <c:v>1.458341145829763</c:v>
                </c:pt>
                <c:pt idx="141">
                  <c:v>1.4687578703669719</c:v>
                </c:pt>
                <c:pt idx="142">
                  <c:v>1.479174594904179</c:v>
                </c:pt>
                <c:pt idx="143">
                  <c:v>1.4895913194413879</c:v>
                </c:pt>
                <c:pt idx="144">
                  <c:v>1.5000080439785961</c:v>
                </c:pt>
                <c:pt idx="145">
                  <c:v>1.5104247685158041</c:v>
                </c:pt>
                <c:pt idx="146">
                  <c:v>1.5208414930530121</c:v>
                </c:pt>
                <c:pt idx="147">
                  <c:v>1.531258217590221</c:v>
                </c:pt>
                <c:pt idx="148">
                  <c:v>1.5416749421274281</c:v>
                </c:pt>
                <c:pt idx="149">
                  <c:v>1.5520916666646369</c:v>
                </c:pt>
                <c:pt idx="150">
                  <c:v>1.562508391201846</c:v>
                </c:pt>
                <c:pt idx="151">
                  <c:v>1.572925115739054</c:v>
                </c:pt>
                <c:pt idx="152">
                  <c:v>1.583341840276262</c:v>
                </c:pt>
                <c:pt idx="153">
                  <c:v>1.59375856481347</c:v>
                </c:pt>
                <c:pt idx="154">
                  <c:v>1.604175289350678</c:v>
                </c:pt>
                <c:pt idx="155">
                  <c:v>1.614592013887886</c:v>
                </c:pt>
                <c:pt idx="156">
                  <c:v>1.6250087384250951</c:v>
                </c:pt>
                <c:pt idx="157">
                  <c:v>1.6354254629623031</c:v>
                </c:pt>
                <c:pt idx="158">
                  <c:v>1.6458421874995111</c:v>
                </c:pt>
                <c:pt idx="159">
                  <c:v>1.6562589120367199</c:v>
                </c:pt>
                <c:pt idx="160">
                  <c:v>1.6666756365739279</c:v>
                </c:pt>
                <c:pt idx="161">
                  <c:v>1.6770923611111359</c:v>
                </c:pt>
                <c:pt idx="162">
                  <c:v>1.6875090856483439</c:v>
                </c:pt>
                <c:pt idx="163">
                  <c:v>1.6979258101855521</c:v>
                </c:pt>
                <c:pt idx="164">
                  <c:v>1.708342534722761</c:v>
                </c:pt>
                <c:pt idx="165">
                  <c:v>1.7187592592599681</c:v>
                </c:pt>
                <c:pt idx="166">
                  <c:v>1.729175983797177</c:v>
                </c:pt>
                <c:pt idx="167">
                  <c:v>1.739592708334385</c:v>
                </c:pt>
                <c:pt idx="168">
                  <c:v>1.7500094328715941</c:v>
                </c:pt>
                <c:pt idx="169">
                  <c:v>1.760426157408802</c:v>
                </c:pt>
                <c:pt idx="170">
                  <c:v>1.77084288194601</c:v>
                </c:pt>
                <c:pt idx="171">
                  <c:v>1.781259606483218</c:v>
                </c:pt>
                <c:pt idx="172">
                  <c:v>1.791676331020426</c:v>
                </c:pt>
                <c:pt idx="173">
                  <c:v>1.802093055557634</c:v>
                </c:pt>
                <c:pt idx="174">
                  <c:v>1.812509780094842</c:v>
                </c:pt>
                <c:pt idx="175">
                  <c:v>1.8229265046320511</c:v>
                </c:pt>
                <c:pt idx="176">
                  <c:v>1.83334322916926</c:v>
                </c:pt>
                <c:pt idx="177">
                  <c:v>1.8437599537064671</c:v>
                </c:pt>
                <c:pt idx="178">
                  <c:v>1.854176678243675</c:v>
                </c:pt>
                <c:pt idx="179">
                  <c:v>1.864593402780883</c:v>
                </c:pt>
                <c:pt idx="180">
                  <c:v>1.8750101273180919</c:v>
                </c:pt>
                <c:pt idx="181">
                  <c:v>1.8854268518552999</c:v>
                </c:pt>
                <c:pt idx="182">
                  <c:v>1.8958435763925079</c:v>
                </c:pt>
                <c:pt idx="183">
                  <c:v>1.9062603009224399</c:v>
                </c:pt>
                <c:pt idx="184">
                  <c:v>1.916677025459649</c:v>
                </c:pt>
                <c:pt idx="185">
                  <c:v>1.927093749996857</c:v>
                </c:pt>
                <c:pt idx="186">
                  <c:v>1.937510474534065</c:v>
                </c:pt>
                <c:pt idx="187">
                  <c:v>1.947927199071273</c:v>
                </c:pt>
                <c:pt idx="188">
                  <c:v>1.9583439236084821</c:v>
                </c:pt>
                <c:pt idx="189">
                  <c:v>1.968760648145689</c:v>
                </c:pt>
                <c:pt idx="190">
                  <c:v>1.9791773726828981</c:v>
                </c:pt>
                <c:pt idx="191">
                  <c:v>1.9895940972201041</c:v>
                </c:pt>
                <c:pt idx="192">
                  <c:v>2.0000108217573151</c:v>
                </c:pt>
                <c:pt idx="193">
                  <c:v>2.0104275462945229</c:v>
                </c:pt>
                <c:pt idx="194">
                  <c:v>2.0208442708317311</c:v>
                </c:pt>
                <c:pt idx="195">
                  <c:v>2.031260995368938</c:v>
                </c:pt>
                <c:pt idx="196">
                  <c:v>2.0416777199061471</c:v>
                </c:pt>
                <c:pt idx="197">
                  <c:v>2.0520944444433549</c:v>
                </c:pt>
                <c:pt idx="198">
                  <c:v>2.062511168980564</c:v>
                </c:pt>
                <c:pt idx="199">
                  <c:v>2.0729278935177722</c:v>
                </c:pt>
                <c:pt idx="200">
                  <c:v>2.0833446180549799</c:v>
                </c:pt>
                <c:pt idx="201">
                  <c:v>2.0937613425921882</c:v>
                </c:pt>
                <c:pt idx="202">
                  <c:v>2.1041780671293968</c:v>
                </c:pt>
                <c:pt idx="203">
                  <c:v>2.114594791666605</c:v>
                </c:pt>
                <c:pt idx="204">
                  <c:v>2.1250115162038128</c:v>
                </c:pt>
                <c:pt idx="205">
                  <c:v>2.135428240741021</c:v>
                </c:pt>
                <c:pt idx="206">
                  <c:v>2.145844965278227</c:v>
                </c:pt>
                <c:pt idx="207">
                  <c:v>2.156261689815437</c:v>
                </c:pt>
                <c:pt idx="208">
                  <c:v>2.1666784143526439</c:v>
                </c:pt>
                <c:pt idx="209">
                  <c:v>2.1770951388898538</c:v>
                </c:pt>
                <c:pt idx="210">
                  <c:v>2.1875118634270621</c:v>
                </c:pt>
                <c:pt idx="211">
                  <c:v>2.1979285879642712</c:v>
                </c:pt>
                <c:pt idx="212">
                  <c:v>2.2083453125014798</c:v>
                </c:pt>
                <c:pt idx="213">
                  <c:v>2.2187620370386871</c:v>
                </c:pt>
                <c:pt idx="214">
                  <c:v>2.2291787615758949</c:v>
                </c:pt>
                <c:pt idx="215">
                  <c:v>2.2395954861131031</c:v>
                </c:pt>
                <c:pt idx="216">
                  <c:v>2.2500122106503122</c:v>
                </c:pt>
                <c:pt idx="217">
                  <c:v>2.26042893518752</c:v>
                </c:pt>
                <c:pt idx="218">
                  <c:v>2.270845659724726</c:v>
                </c:pt>
                <c:pt idx="219">
                  <c:v>2.2812623842619359</c:v>
                </c:pt>
                <c:pt idx="220">
                  <c:v>2.2916791087991442</c:v>
                </c:pt>
                <c:pt idx="221">
                  <c:v>2.3020958333363519</c:v>
                </c:pt>
                <c:pt idx="222">
                  <c:v>2.3125125578735601</c:v>
                </c:pt>
                <c:pt idx="223">
                  <c:v>2.3229292824107688</c:v>
                </c:pt>
                <c:pt idx="224">
                  <c:v>2.333346006947977</c:v>
                </c:pt>
                <c:pt idx="225">
                  <c:v>2.3437627314779101</c:v>
                </c:pt>
                <c:pt idx="226">
                  <c:v>2.354179456015117</c:v>
                </c:pt>
                <c:pt idx="227">
                  <c:v>2.3645961805523261</c:v>
                </c:pt>
                <c:pt idx="228">
                  <c:v>2.375012905089533</c:v>
                </c:pt>
                <c:pt idx="229">
                  <c:v>2.3854296296267421</c:v>
                </c:pt>
                <c:pt idx="230">
                  <c:v>2.395846354163949</c:v>
                </c:pt>
                <c:pt idx="231">
                  <c:v>2.4062630787011581</c:v>
                </c:pt>
                <c:pt idx="232">
                  <c:v>2.416679803238365</c:v>
                </c:pt>
                <c:pt idx="233">
                  <c:v>2.4270965277755749</c:v>
                </c:pt>
                <c:pt idx="234">
                  <c:v>2.4375132523127832</c:v>
                </c:pt>
                <c:pt idx="235">
                  <c:v>2.4479299768499918</c:v>
                </c:pt>
                <c:pt idx="236">
                  <c:v>2.4583467013872</c:v>
                </c:pt>
                <c:pt idx="237">
                  <c:v>2.4687634259244078</c:v>
                </c:pt>
                <c:pt idx="238">
                  <c:v>2.479180150461616</c:v>
                </c:pt>
                <c:pt idx="239">
                  <c:v>2.4895968749988242</c:v>
                </c:pt>
                <c:pt idx="240">
                  <c:v>2.5000135995360329</c:v>
                </c:pt>
                <c:pt idx="241">
                  <c:v>2.5104303240732389</c:v>
                </c:pt>
                <c:pt idx="242">
                  <c:v>2.5208470486104502</c:v>
                </c:pt>
                <c:pt idx="243">
                  <c:v>2.531263773147657</c:v>
                </c:pt>
                <c:pt idx="244">
                  <c:v>2.5416804976848639</c:v>
                </c:pt>
                <c:pt idx="245">
                  <c:v>2.5520972222220739</c:v>
                </c:pt>
                <c:pt idx="246">
                  <c:v>2.5625139467592821</c:v>
                </c:pt>
                <c:pt idx="247">
                  <c:v>2.5729306712964899</c:v>
                </c:pt>
                <c:pt idx="248">
                  <c:v>2.5833473958336981</c:v>
                </c:pt>
                <c:pt idx="249">
                  <c:v>2.5937641203709072</c:v>
                </c:pt>
                <c:pt idx="250">
                  <c:v>2.604180844908115</c:v>
                </c:pt>
                <c:pt idx="251">
                  <c:v>2.6145975694453232</c:v>
                </c:pt>
                <c:pt idx="252">
                  <c:v>2.6250142939825309</c:v>
                </c:pt>
                <c:pt idx="253">
                  <c:v>2.63543101851974</c:v>
                </c:pt>
                <c:pt idx="254">
                  <c:v>2.6458477430569478</c:v>
                </c:pt>
                <c:pt idx="255">
                  <c:v>2.6562644675941551</c:v>
                </c:pt>
                <c:pt idx="256">
                  <c:v>2.6666811921313638</c:v>
                </c:pt>
                <c:pt idx="257">
                  <c:v>2.677097916668572</c:v>
                </c:pt>
                <c:pt idx="258">
                  <c:v>2.6875146412057802</c:v>
                </c:pt>
                <c:pt idx="259">
                  <c:v>2.6979313657429902</c:v>
                </c:pt>
                <c:pt idx="260">
                  <c:v>2.7083480902801971</c:v>
                </c:pt>
                <c:pt idx="261">
                  <c:v>2.7187648148174048</c:v>
                </c:pt>
                <c:pt idx="262">
                  <c:v>2.7291815393546131</c:v>
                </c:pt>
                <c:pt idx="263">
                  <c:v>2.7395982638918208</c:v>
                </c:pt>
                <c:pt idx="264">
                  <c:v>2.750014988429029</c:v>
                </c:pt>
                <c:pt idx="265">
                  <c:v>2.7604317129662381</c:v>
                </c:pt>
                <c:pt idx="266">
                  <c:v>2.7708484375034441</c:v>
                </c:pt>
                <c:pt idx="267">
                  <c:v>2.7812651620406541</c:v>
                </c:pt>
                <c:pt idx="268">
                  <c:v>2.7916818865705868</c:v>
                </c:pt>
                <c:pt idx="269">
                  <c:v>2.8020986111077941</c:v>
                </c:pt>
                <c:pt idx="270">
                  <c:v>2.812515335645001</c:v>
                </c:pt>
                <c:pt idx="271">
                  <c:v>2.822932060182211</c:v>
                </c:pt>
                <c:pt idx="272">
                  <c:v>2.8333487847194192</c:v>
                </c:pt>
                <c:pt idx="273">
                  <c:v>2.843765509256627</c:v>
                </c:pt>
                <c:pt idx="274">
                  <c:v>2.8541822337938338</c:v>
                </c:pt>
                <c:pt idx="275">
                  <c:v>2.8645989583310438</c:v>
                </c:pt>
                <c:pt idx="276">
                  <c:v>2.875015682868252</c:v>
                </c:pt>
                <c:pt idx="277">
                  <c:v>2.8854324074054598</c:v>
                </c:pt>
                <c:pt idx="278">
                  <c:v>2.8958491319426671</c:v>
                </c:pt>
                <c:pt idx="279">
                  <c:v>2.9062658564798771</c:v>
                </c:pt>
                <c:pt idx="280">
                  <c:v>2.916682581017084</c:v>
                </c:pt>
                <c:pt idx="281">
                  <c:v>2.9270993055542931</c:v>
                </c:pt>
                <c:pt idx="282">
                  <c:v>2.9375160300915009</c:v>
                </c:pt>
                <c:pt idx="283">
                  <c:v>2.94793275462871</c:v>
                </c:pt>
                <c:pt idx="284">
                  <c:v>2.9583494791659182</c:v>
                </c:pt>
                <c:pt idx="285">
                  <c:v>2.9687662037031251</c:v>
                </c:pt>
                <c:pt idx="286">
                  <c:v>2.9791829282403341</c:v>
                </c:pt>
                <c:pt idx="287">
                  <c:v>2.9895996527775428</c:v>
                </c:pt>
                <c:pt idx="288">
                  <c:v>3.000016377314751</c:v>
                </c:pt>
                <c:pt idx="289">
                  <c:v>3.0104331018519601</c:v>
                </c:pt>
                <c:pt idx="290">
                  <c:v>3.020849826389167</c:v>
                </c:pt>
                <c:pt idx="291">
                  <c:v>3.0312665509263752</c:v>
                </c:pt>
                <c:pt idx="292">
                  <c:v>3.041683275463583</c:v>
                </c:pt>
                <c:pt idx="293">
                  <c:v>3.0521000000007912</c:v>
                </c:pt>
                <c:pt idx="294">
                  <c:v>3.0625167245379998</c:v>
                </c:pt>
                <c:pt idx="295">
                  <c:v>3.072933449075208</c:v>
                </c:pt>
                <c:pt idx="296">
                  <c:v>3.0833501736124171</c:v>
                </c:pt>
                <c:pt idx="297">
                  <c:v>3.093766898149624</c:v>
                </c:pt>
                <c:pt idx="298">
                  <c:v>3.1041836226868331</c:v>
                </c:pt>
                <c:pt idx="299">
                  <c:v>3.1146003472240409</c:v>
                </c:pt>
                <c:pt idx="300">
                  <c:v>3.12501707176125</c:v>
                </c:pt>
                <c:pt idx="301">
                  <c:v>3.1354337962984582</c:v>
                </c:pt>
                <c:pt idx="302">
                  <c:v>3.1458505208356651</c:v>
                </c:pt>
                <c:pt idx="303">
                  <c:v>3.1562672453728742</c:v>
                </c:pt>
                <c:pt idx="304">
                  <c:v>3.1666839699100811</c:v>
                </c:pt>
                <c:pt idx="305">
                  <c:v>3.1771006944472902</c:v>
                </c:pt>
                <c:pt idx="306">
                  <c:v>3.1875174189845001</c:v>
                </c:pt>
                <c:pt idx="307">
                  <c:v>3.197934143521707</c:v>
                </c:pt>
                <c:pt idx="308">
                  <c:v>3.2083508680589148</c:v>
                </c:pt>
                <c:pt idx="309">
                  <c:v>3.218767592596123</c:v>
                </c:pt>
                <c:pt idx="310">
                  <c:v>3.2291843171260548</c:v>
                </c:pt>
                <c:pt idx="311">
                  <c:v>3.239601041663263</c:v>
                </c:pt>
                <c:pt idx="312">
                  <c:v>3.2500177662004721</c:v>
                </c:pt>
                <c:pt idx="313">
                  <c:v>3.2604344907376799</c:v>
                </c:pt>
                <c:pt idx="314">
                  <c:v>3.2708512152748881</c:v>
                </c:pt>
                <c:pt idx="315">
                  <c:v>3.2812679398120972</c:v>
                </c:pt>
                <c:pt idx="316">
                  <c:v>3.2916846643493041</c:v>
                </c:pt>
                <c:pt idx="317">
                  <c:v>3.3021013888865132</c:v>
                </c:pt>
                <c:pt idx="318">
                  <c:v>3.3125181134237192</c:v>
                </c:pt>
                <c:pt idx="319">
                  <c:v>3.32293483796093</c:v>
                </c:pt>
                <c:pt idx="320">
                  <c:v>3.3333515624981378</c:v>
                </c:pt>
                <c:pt idx="321">
                  <c:v>3.343768287035346</c:v>
                </c:pt>
                <c:pt idx="322">
                  <c:v>3.3541850115725542</c:v>
                </c:pt>
                <c:pt idx="323">
                  <c:v>3.364601736109762</c:v>
                </c:pt>
                <c:pt idx="324">
                  <c:v>3.3750184606469702</c:v>
                </c:pt>
                <c:pt idx="325">
                  <c:v>3.3854351851841771</c:v>
                </c:pt>
                <c:pt idx="326">
                  <c:v>3.3958519097213862</c:v>
                </c:pt>
                <c:pt idx="327">
                  <c:v>3.4062686342585931</c:v>
                </c:pt>
                <c:pt idx="328">
                  <c:v>3.416685358795803</c:v>
                </c:pt>
                <c:pt idx="329">
                  <c:v>3.4271020833330108</c:v>
                </c:pt>
                <c:pt idx="330">
                  <c:v>3.437518807870219</c:v>
                </c:pt>
                <c:pt idx="331">
                  <c:v>3.4479355324074281</c:v>
                </c:pt>
                <c:pt idx="332">
                  <c:v>3.4583522569446359</c:v>
                </c:pt>
                <c:pt idx="333">
                  <c:v>3.4687689814818441</c:v>
                </c:pt>
                <c:pt idx="334">
                  <c:v>3.4791857060190532</c:v>
                </c:pt>
                <c:pt idx="335">
                  <c:v>3.4896024305562592</c:v>
                </c:pt>
                <c:pt idx="336">
                  <c:v>3.5000191550934692</c:v>
                </c:pt>
                <c:pt idx="337">
                  <c:v>3.5104358796306769</c:v>
                </c:pt>
                <c:pt idx="338">
                  <c:v>3.5208526041678829</c:v>
                </c:pt>
                <c:pt idx="339">
                  <c:v>3.5312693287050929</c:v>
                </c:pt>
                <c:pt idx="340">
                  <c:v>3.541686053242302</c:v>
                </c:pt>
                <c:pt idx="341">
                  <c:v>3.5521027777795098</c:v>
                </c:pt>
                <c:pt idx="342">
                  <c:v>3.562519502316718</c:v>
                </c:pt>
                <c:pt idx="343">
                  <c:v>3.5729362268539262</c:v>
                </c:pt>
                <c:pt idx="344">
                  <c:v>3.5833529513911349</c:v>
                </c:pt>
                <c:pt idx="345">
                  <c:v>3.5937696759283431</c:v>
                </c:pt>
                <c:pt idx="346">
                  <c:v>3.6041864004655508</c:v>
                </c:pt>
                <c:pt idx="347">
                  <c:v>3.614603125002759</c:v>
                </c:pt>
                <c:pt idx="348">
                  <c:v>3.6250198495399681</c:v>
                </c:pt>
                <c:pt idx="349">
                  <c:v>3.635436574077175</c:v>
                </c:pt>
                <c:pt idx="350">
                  <c:v>3.6458532986143841</c:v>
                </c:pt>
                <c:pt idx="351">
                  <c:v>3.6562700231515901</c:v>
                </c:pt>
                <c:pt idx="352">
                  <c:v>3.6666867476888001</c:v>
                </c:pt>
                <c:pt idx="353">
                  <c:v>3.6771034722187328</c:v>
                </c:pt>
                <c:pt idx="354">
                  <c:v>3.687520196755941</c:v>
                </c:pt>
                <c:pt idx="355">
                  <c:v>3.6979369212931492</c:v>
                </c:pt>
                <c:pt idx="356">
                  <c:v>3.708353645830357</c:v>
                </c:pt>
                <c:pt idx="357">
                  <c:v>3.7187703703675652</c:v>
                </c:pt>
                <c:pt idx="358">
                  <c:v>3.7291870949047738</c:v>
                </c:pt>
                <c:pt idx="359">
                  <c:v>3.7396038194419812</c:v>
                </c:pt>
                <c:pt idx="360">
                  <c:v>3.7500205439791898</c:v>
                </c:pt>
                <c:pt idx="361">
                  <c:v>3.7604372685163998</c:v>
                </c:pt>
                <c:pt idx="362">
                  <c:v>3.770853993053604</c:v>
                </c:pt>
                <c:pt idx="363">
                  <c:v>3.7812707175908149</c:v>
                </c:pt>
                <c:pt idx="364">
                  <c:v>3.7916874421280231</c:v>
                </c:pt>
                <c:pt idx="365">
                  <c:v>3.8021041666652309</c:v>
                </c:pt>
                <c:pt idx="366">
                  <c:v>3.81252089120244</c:v>
                </c:pt>
                <c:pt idx="367">
                  <c:v>3.8229376157396469</c:v>
                </c:pt>
                <c:pt idx="368">
                  <c:v>3.8333543402768551</c:v>
                </c:pt>
                <c:pt idx="369">
                  <c:v>3.8437710648140642</c:v>
                </c:pt>
                <c:pt idx="370">
                  <c:v>3.8541877893512719</c:v>
                </c:pt>
                <c:pt idx="371">
                  <c:v>3.8646045138884801</c:v>
                </c:pt>
                <c:pt idx="372">
                  <c:v>3.8750212384256879</c:v>
                </c:pt>
                <c:pt idx="373">
                  <c:v>3.885437962962897</c:v>
                </c:pt>
                <c:pt idx="374">
                  <c:v>3.895854687500103</c:v>
                </c:pt>
                <c:pt idx="375">
                  <c:v>3.906271412037313</c:v>
                </c:pt>
                <c:pt idx="376">
                  <c:v>3.916688136574519</c:v>
                </c:pt>
                <c:pt idx="377">
                  <c:v>3.9271048611117298</c:v>
                </c:pt>
                <c:pt idx="378">
                  <c:v>3.9375215856489381</c:v>
                </c:pt>
                <c:pt idx="379">
                  <c:v>3.9479383101861458</c:v>
                </c:pt>
                <c:pt idx="380">
                  <c:v>3.958355034723354</c:v>
                </c:pt>
                <c:pt idx="381">
                  <c:v>3.9687717592605618</c:v>
                </c:pt>
                <c:pt idx="382">
                  <c:v>3.97918848379777</c:v>
                </c:pt>
                <c:pt idx="383">
                  <c:v>3.98960520833498</c:v>
                </c:pt>
                <c:pt idx="384">
                  <c:v>4.0000219328721869</c:v>
                </c:pt>
                <c:pt idx="385">
                  <c:v>4.0104386574093933</c:v>
                </c:pt>
                <c:pt idx="386">
                  <c:v>4.0208553819466024</c:v>
                </c:pt>
                <c:pt idx="387">
                  <c:v>4.0312721064838142</c:v>
                </c:pt>
                <c:pt idx="388">
                  <c:v>4.0416888310210197</c:v>
                </c:pt>
                <c:pt idx="389">
                  <c:v>4.0521055555582262</c:v>
                </c:pt>
                <c:pt idx="390">
                  <c:v>4.0625222800954344</c:v>
                </c:pt>
                <c:pt idx="391">
                  <c:v>4.0729390046326461</c:v>
                </c:pt>
                <c:pt idx="392">
                  <c:v>4.0833557291698526</c:v>
                </c:pt>
                <c:pt idx="393">
                  <c:v>4.0937724537070608</c:v>
                </c:pt>
                <c:pt idx="394">
                  <c:v>4.1041891782442672</c:v>
                </c:pt>
                <c:pt idx="395">
                  <c:v>4.1146059027741986</c:v>
                </c:pt>
                <c:pt idx="396">
                  <c:v>4.1250226273114077</c:v>
                </c:pt>
                <c:pt idx="397">
                  <c:v>4.1354393518486177</c:v>
                </c:pt>
                <c:pt idx="398">
                  <c:v>4.1458560763858241</c:v>
                </c:pt>
                <c:pt idx="399">
                  <c:v>4.1562728009230341</c:v>
                </c:pt>
                <c:pt idx="400">
                  <c:v>4.1666895254602396</c:v>
                </c:pt>
                <c:pt idx="401">
                  <c:v>4.177106249997447</c:v>
                </c:pt>
                <c:pt idx="402">
                  <c:v>4.1875229745346587</c:v>
                </c:pt>
                <c:pt idx="403">
                  <c:v>4.1979396990718669</c:v>
                </c:pt>
                <c:pt idx="404">
                  <c:v>4.208356423609076</c:v>
                </c:pt>
                <c:pt idx="405">
                  <c:v>4.2187731481462816</c:v>
                </c:pt>
                <c:pt idx="406">
                  <c:v>4.2291898726834898</c:v>
                </c:pt>
                <c:pt idx="407">
                  <c:v>4.2396065972206998</c:v>
                </c:pt>
                <c:pt idx="408">
                  <c:v>4.250023321757908</c:v>
                </c:pt>
                <c:pt idx="409">
                  <c:v>4.2604400462951144</c:v>
                </c:pt>
                <c:pt idx="410">
                  <c:v>4.2708567708323262</c:v>
                </c:pt>
                <c:pt idx="411">
                  <c:v>4.2812734953695371</c:v>
                </c:pt>
                <c:pt idx="412">
                  <c:v>4.2916902199067408</c:v>
                </c:pt>
                <c:pt idx="413">
                  <c:v>4.3021069444439473</c:v>
                </c:pt>
                <c:pt idx="414">
                  <c:v>4.3125236689811546</c:v>
                </c:pt>
                <c:pt idx="415">
                  <c:v>4.3229403935183663</c:v>
                </c:pt>
                <c:pt idx="416">
                  <c:v>4.3333571180555737</c:v>
                </c:pt>
                <c:pt idx="417">
                  <c:v>4.3437738425927819</c:v>
                </c:pt>
                <c:pt idx="418">
                  <c:v>4.3541905671299848</c:v>
                </c:pt>
                <c:pt idx="419">
                  <c:v>4.3646072916671956</c:v>
                </c:pt>
                <c:pt idx="420">
                  <c:v>4.3750240162044056</c:v>
                </c:pt>
                <c:pt idx="421">
                  <c:v>4.3854407407416147</c:v>
                </c:pt>
                <c:pt idx="422">
                  <c:v>4.3958574652788229</c:v>
                </c:pt>
                <c:pt idx="423">
                  <c:v>4.406274189816032</c:v>
                </c:pt>
                <c:pt idx="424">
                  <c:v>4.4166909143532402</c:v>
                </c:pt>
                <c:pt idx="425">
                  <c:v>4.4271076388904458</c:v>
                </c:pt>
                <c:pt idx="426">
                  <c:v>4.4375243634276558</c:v>
                </c:pt>
                <c:pt idx="427">
                  <c:v>4.4479410879648658</c:v>
                </c:pt>
                <c:pt idx="428">
                  <c:v>4.4583578125020722</c:v>
                </c:pt>
                <c:pt idx="429">
                  <c:v>4.4687745370392777</c:v>
                </c:pt>
                <c:pt idx="430">
                  <c:v>4.4791912615764886</c:v>
                </c:pt>
                <c:pt idx="431">
                  <c:v>4.4896079861137004</c:v>
                </c:pt>
                <c:pt idx="432">
                  <c:v>4.500024710650905</c:v>
                </c:pt>
                <c:pt idx="433">
                  <c:v>4.5104414351881132</c:v>
                </c:pt>
                <c:pt idx="434">
                  <c:v>4.5208581597253206</c:v>
                </c:pt>
                <c:pt idx="435">
                  <c:v>4.5312748842625297</c:v>
                </c:pt>
                <c:pt idx="436">
                  <c:v>4.5416916087997379</c:v>
                </c:pt>
                <c:pt idx="437">
                  <c:v>4.5521083333369443</c:v>
                </c:pt>
                <c:pt idx="438">
                  <c:v>4.5625250578668757</c:v>
                </c:pt>
                <c:pt idx="439">
                  <c:v>4.5729417824040901</c:v>
                </c:pt>
                <c:pt idx="440">
                  <c:v>4.5833585069412948</c:v>
                </c:pt>
                <c:pt idx="441">
                  <c:v>4.5937752314785012</c:v>
                </c:pt>
                <c:pt idx="442">
                  <c:v>4.6041919560157059</c:v>
                </c:pt>
                <c:pt idx="443">
                  <c:v>4.6146086805529176</c:v>
                </c:pt>
                <c:pt idx="444">
                  <c:v>4.6250254050901276</c:v>
                </c:pt>
                <c:pt idx="445">
                  <c:v>4.6354421296273358</c:v>
                </c:pt>
                <c:pt idx="446">
                  <c:v>4.645858854164544</c:v>
                </c:pt>
                <c:pt idx="447">
                  <c:v>4.6562755787017487</c:v>
                </c:pt>
                <c:pt idx="448">
                  <c:v>4.6666923032389596</c:v>
                </c:pt>
                <c:pt idx="449">
                  <c:v>4.6771090277761687</c:v>
                </c:pt>
                <c:pt idx="450">
                  <c:v>4.6875257523133769</c:v>
                </c:pt>
                <c:pt idx="451">
                  <c:v>4.6979424768505833</c:v>
                </c:pt>
                <c:pt idx="452">
                  <c:v>4.7083592013877906</c:v>
                </c:pt>
                <c:pt idx="453">
                  <c:v>4.7187759259250006</c:v>
                </c:pt>
                <c:pt idx="454">
                  <c:v>4.7291926504622097</c:v>
                </c:pt>
                <c:pt idx="455">
                  <c:v>4.7396093749994179</c:v>
                </c:pt>
                <c:pt idx="456">
                  <c:v>4.7500260995366261</c:v>
                </c:pt>
                <c:pt idx="457">
                  <c:v>4.7604428240738361</c:v>
                </c:pt>
                <c:pt idx="458">
                  <c:v>4.7708595486110417</c:v>
                </c:pt>
                <c:pt idx="459">
                  <c:v>4.7812762731482508</c:v>
                </c:pt>
                <c:pt idx="460">
                  <c:v>4.791692997685459</c:v>
                </c:pt>
                <c:pt idx="461">
                  <c:v>4.8021097222226681</c:v>
                </c:pt>
                <c:pt idx="462">
                  <c:v>4.8125264467598736</c:v>
                </c:pt>
                <c:pt idx="463">
                  <c:v>4.8229431712970818</c:v>
                </c:pt>
                <c:pt idx="464">
                  <c:v>4.8333598958342918</c:v>
                </c:pt>
                <c:pt idx="465">
                  <c:v>4.8437766203715</c:v>
                </c:pt>
                <c:pt idx="466">
                  <c:v>4.8541933449087056</c:v>
                </c:pt>
                <c:pt idx="467">
                  <c:v>4.8646100694459129</c:v>
                </c:pt>
                <c:pt idx="468">
                  <c:v>4.87502679398313</c:v>
                </c:pt>
                <c:pt idx="469">
                  <c:v>4.8854435185203329</c:v>
                </c:pt>
                <c:pt idx="470">
                  <c:v>4.8958602430575393</c:v>
                </c:pt>
                <c:pt idx="471">
                  <c:v>4.9062769675947502</c:v>
                </c:pt>
                <c:pt idx="472">
                  <c:v>4.9166936921319602</c:v>
                </c:pt>
                <c:pt idx="473">
                  <c:v>4.9271104166691657</c:v>
                </c:pt>
                <c:pt idx="474">
                  <c:v>4.9375271412063739</c:v>
                </c:pt>
                <c:pt idx="475">
                  <c:v>4.9479438657435821</c:v>
                </c:pt>
                <c:pt idx="476">
                  <c:v>4.9583605902807903</c:v>
                </c:pt>
                <c:pt idx="477">
                  <c:v>4.9687773148179986</c:v>
                </c:pt>
                <c:pt idx="478">
                  <c:v>4.9791940393552068</c:v>
                </c:pt>
                <c:pt idx="479">
                  <c:v>4.989610763892415</c:v>
                </c:pt>
                <c:pt idx="480">
                  <c:v>5.0000274884223499</c:v>
                </c:pt>
                <c:pt idx="481">
                  <c:v>5.0104442129595554</c:v>
                </c:pt>
                <c:pt idx="482">
                  <c:v>5.0208609374967619</c:v>
                </c:pt>
                <c:pt idx="483">
                  <c:v>5.0312776620339719</c:v>
                </c:pt>
                <c:pt idx="484">
                  <c:v>5.0416943865711801</c:v>
                </c:pt>
                <c:pt idx="485">
                  <c:v>5.0521111111083856</c:v>
                </c:pt>
                <c:pt idx="486">
                  <c:v>5.0625278356455947</c:v>
                </c:pt>
                <c:pt idx="487">
                  <c:v>5.0729445601828047</c:v>
                </c:pt>
                <c:pt idx="488">
                  <c:v>5.0833612847200129</c:v>
                </c:pt>
                <c:pt idx="489">
                  <c:v>5.0937780092572211</c:v>
                </c:pt>
                <c:pt idx="490">
                  <c:v>5.1041947337944276</c:v>
                </c:pt>
                <c:pt idx="491">
                  <c:v>5.1146114583316384</c:v>
                </c:pt>
                <c:pt idx="492">
                  <c:v>5.1250281828688458</c:v>
                </c:pt>
                <c:pt idx="493">
                  <c:v>5.1354449074060513</c:v>
                </c:pt>
                <c:pt idx="494">
                  <c:v>5.1458616319432622</c:v>
                </c:pt>
                <c:pt idx="495">
                  <c:v>5.1562783564804686</c:v>
                </c:pt>
                <c:pt idx="496">
                  <c:v>5.1666950810176804</c:v>
                </c:pt>
                <c:pt idx="497">
                  <c:v>5.1771118055548868</c:v>
                </c:pt>
                <c:pt idx="498">
                  <c:v>5.1875285300920932</c:v>
                </c:pt>
                <c:pt idx="499">
                  <c:v>5.1979452546292997</c:v>
                </c:pt>
                <c:pt idx="500">
                  <c:v>5.2083619791665106</c:v>
                </c:pt>
                <c:pt idx="501">
                  <c:v>5.2187787037037197</c:v>
                </c:pt>
                <c:pt idx="502">
                  <c:v>5.2291954282409279</c:v>
                </c:pt>
                <c:pt idx="503">
                  <c:v>5.2396121527781379</c:v>
                </c:pt>
                <c:pt idx="504">
                  <c:v>5.2500288773153416</c:v>
                </c:pt>
                <c:pt idx="505">
                  <c:v>5.2604456018525516</c:v>
                </c:pt>
                <c:pt idx="506">
                  <c:v>5.2708623263897607</c:v>
                </c:pt>
                <c:pt idx="507">
                  <c:v>5.2812790509269698</c:v>
                </c:pt>
                <c:pt idx="508">
                  <c:v>5.2916957754641798</c:v>
                </c:pt>
                <c:pt idx="509">
                  <c:v>5.3021125000013836</c:v>
                </c:pt>
                <c:pt idx="510">
                  <c:v>5.3125292245385918</c:v>
                </c:pt>
                <c:pt idx="511">
                  <c:v>5.3229459490757982</c:v>
                </c:pt>
                <c:pt idx="512">
                  <c:v>5.33336267361301</c:v>
                </c:pt>
                <c:pt idx="513">
                  <c:v>5.3437793981502182</c:v>
                </c:pt>
                <c:pt idx="514">
                  <c:v>5.3541961226874246</c:v>
                </c:pt>
                <c:pt idx="515">
                  <c:v>5.3646128472246346</c:v>
                </c:pt>
                <c:pt idx="516">
                  <c:v>5.3750295717618428</c:v>
                </c:pt>
                <c:pt idx="517">
                  <c:v>5.3854462962990493</c:v>
                </c:pt>
                <c:pt idx="518">
                  <c:v>5.3958630208362566</c:v>
                </c:pt>
                <c:pt idx="519">
                  <c:v>5.4062797453734701</c:v>
                </c:pt>
                <c:pt idx="520">
                  <c:v>5.4166964699106783</c:v>
                </c:pt>
                <c:pt idx="521">
                  <c:v>5.4271131944478839</c:v>
                </c:pt>
                <c:pt idx="522">
                  <c:v>5.4375299189850903</c:v>
                </c:pt>
                <c:pt idx="523">
                  <c:v>5.4479466435150243</c:v>
                </c:pt>
                <c:pt idx="524">
                  <c:v>5.4583633680522334</c:v>
                </c:pt>
                <c:pt idx="525">
                  <c:v>5.4687800925894408</c:v>
                </c:pt>
                <c:pt idx="526">
                  <c:v>5.479196817126649</c:v>
                </c:pt>
                <c:pt idx="527">
                  <c:v>5.4896135416638581</c:v>
                </c:pt>
                <c:pt idx="528">
                  <c:v>5.5000302662010636</c:v>
                </c:pt>
                <c:pt idx="529">
                  <c:v>5.5104469907382736</c:v>
                </c:pt>
                <c:pt idx="530">
                  <c:v>5.5208637152754818</c:v>
                </c:pt>
                <c:pt idx="531">
                  <c:v>5.53128043981269</c:v>
                </c:pt>
                <c:pt idx="532">
                  <c:v>5.5416971643499</c:v>
                </c:pt>
                <c:pt idx="533">
                  <c:v>5.5521138888871064</c:v>
                </c:pt>
                <c:pt idx="534">
                  <c:v>5.5625306134243147</c:v>
                </c:pt>
                <c:pt idx="535">
                  <c:v>5.5729473379615229</c:v>
                </c:pt>
                <c:pt idx="536">
                  <c:v>5.5833640624987311</c:v>
                </c:pt>
                <c:pt idx="537">
                  <c:v>5.5937807870359366</c:v>
                </c:pt>
                <c:pt idx="538">
                  <c:v>5.6041975115731466</c:v>
                </c:pt>
                <c:pt idx="539">
                  <c:v>5.6146142361103522</c:v>
                </c:pt>
                <c:pt idx="540">
                  <c:v>5.6250309606475604</c:v>
                </c:pt>
                <c:pt idx="541">
                  <c:v>5.6354476851847721</c:v>
                </c:pt>
                <c:pt idx="542">
                  <c:v>5.6458644097219777</c:v>
                </c:pt>
                <c:pt idx="543">
                  <c:v>5.6562811342591903</c:v>
                </c:pt>
                <c:pt idx="544">
                  <c:v>5.666697858796395</c:v>
                </c:pt>
                <c:pt idx="545">
                  <c:v>5.677114583333605</c:v>
                </c:pt>
                <c:pt idx="546">
                  <c:v>5.6875313078708096</c:v>
                </c:pt>
                <c:pt idx="547">
                  <c:v>5.6979480324080187</c:v>
                </c:pt>
                <c:pt idx="548">
                  <c:v>5.7083647569452296</c:v>
                </c:pt>
                <c:pt idx="549">
                  <c:v>5.7187814814824378</c:v>
                </c:pt>
                <c:pt idx="550">
                  <c:v>5.729198206019646</c:v>
                </c:pt>
                <c:pt idx="551">
                  <c:v>5.7396149305568542</c:v>
                </c:pt>
                <c:pt idx="552">
                  <c:v>5.7500316550940624</c:v>
                </c:pt>
                <c:pt idx="553">
                  <c:v>5.7604483796312707</c:v>
                </c:pt>
                <c:pt idx="554">
                  <c:v>5.7708651041684798</c:v>
                </c:pt>
                <c:pt idx="555">
                  <c:v>5.7812818287056871</c:v>
                </c:pt>
                <c:pt idx="556">
                  <c:v>5.7916985532428962</c:v>
                </c:pt>
                <c:pt idx="557">
                  <c:v>5.8021152777800999</c:v>
                </c:pt>
                <c:pt idx="558">
                  <c:v>5.8125320023173099</c:v>
                </c:pt>
                <c:pt idx="559">
                  <c:v>5.8229487268545181</c:v>
                </c:pt>
                <c:pt idx="560">
                  <c:v>5.8333654513917281</c:v>
                </c:pt>
                <c:pt idx="561">
                  <c:v>5.8437821759289363</c:v>
                </c:pt>
                <c:pt idx="562">
                  <c:v>5.8541989004661437</c:v>
                </c:pt>
                <c:pt idx="563">
                  <c:v>5.864615625003351</c:v>
                </c:pt>
                <c:pt idx="564">
                  <c:v>5.875032349540561</c:v>
                </c:pt>
                <c:pt idx="565">
                  <c:v>5.8854490740704906</c:v>
                </c:pt>
                <c:pt idx="566">
                  <c:v>5.8958657986076997</c:v>
                </c:pt>
                <c:pt idx="567">
                  <c:v>5.9062825231449096</c:v>
                </c:pt>
                <c:pt idx="568">
                  <c:v>5.9166992476821179</c:v>
                </c:pt>
                <c:pt idx="569">
                  <c:v>5.9271159722193243</c:v>
                </c:pt>
                <c:pt idx="570">
                  <c:v>5.9375326967565343</c:v>
                </c:pt>
                <c:pt idx="571">
                  <c:v>5.9479494212937434</c:v>
                </c:pt>
                <c:pt idx="572">
                  <c:v>5.9583661458309507</c:v>
                </c:pt>
                <c:pt idx="573">
                  <c:v>5.9687828703681571</c:v>
                </c:pt>
                <c:pt idx="574">
                  <c:v>5.9791995949053698</c:v>
                </c:pt>
                <c:pt idx="575">
                  <c:v>5.9896163194425771</c:v>
                </c:pt>
                <c:pt idx="576">
                  <c:v>6.0000330439797844</c:v>
                </c:pt>
                <c:pt idx="577">
                  <c:v>6.01044976851699</c:v>
                </c:pt>
                <c:pt idx="578">
                  <c:v>6.0208664930542</c:v>
                </c:pt>
                <c:pt idx="579">
                  <c:v>6.0312832175914082</c:v>
                </c:pt>
                <c:pt idx="580">
                  <c:v>6.0416999421286182</c:v>
                </c:pt>
                <c:pt idx="581">
                  <c:v>6.0521166666658228</c:v>
                </c:pt>
                <c:pt idx="582">
                  <c:v>6.0625333912030328</c:v>
                </c:pt>
                <c:pt idx="583">
                  <c:v>6.072950115740241</c:v>
                </c:pt>
                <c:pt idx="584">
                  <c:v>6.0833668402774466</c:v>
                </c:pt>
                <c:pt idx="585">
                  <c:v>6.0937835648146574</c:v>
                </c:pt>
                <c:pt idx="586">
                  <c:v>6.1042002893518656</c:v>
                </c:pt>
                <c:pt idx="587">
                  <c:v>6.1146170138890721</c:v>
                </c:pt>
                <c:pt idx="588">
                  <c:v>6.1250337384262794</c:v>
                </c:pt>
                <c:pt idx="589">
                  <c:v>6.1354504629634876</c:v>
                </c:pt>
                <c:pt idx="590">
                  <c:v>6.1458671875007003</c:v>
                </c:pt>
                <c:pt idx="591">
                  <c:v>6.1562839120379067</c:v>
                </c:pt>
                <c:pt idx="592">
                  <c:v>6.1667006365751131</c:v>
                </c:pt>
                <c:pt idx="593">
                  <c:v>6.1771173611123213</c:v>
                </c:pt>
                <c:pt idx="594">
                  <c:v>6.1875340856495296</c:v>
                </c:pt>
                <c:pt idx="595">
                  <c:v>6.197950810186736</c:v>
                </c:pt>
                <c:pt idx="596">
                  <c:v>6.2083675347239478</c:v>
                </c:pt>
                <c:pt idx="597">
                  <c:v>6.2187842592611542</c:v>
                </c:pt>
                <c:pt idx="598">
                  <c:v>6.229200983798366</c:v>
                </c:pt>
                <c:pt idx="599">
                  <c:v>6.2396177083355724</c:v>
                </c:pt>
                <c:pt idx="600">
                  <c:v>6.2500344328727806</c:v>
                </c:pt>
                <c:pt idx="601">
                  <c:v>6.260451157409987</c:v>
                </c:pt>
                <c:pt idx="602">
                  <c:v>6.270867881947197</c:v>
                </c:pt>
                <c:pt idx="603">
                  <c:v>6.2812846064844052</c:v>
                </c:pt>
                <c:pt idx="604">
                  <c:v>6.2917013310216134</c:v>
                </c:pt>
                <c:pt idx="605">
                  <c:v>6.3021180555588217</c:v>
                </c:pt>
                <c:pt idx="606">
                  <c:v>6.3125347800960281</c:v>
                </c:pt>
                <c:pt idx="607">
                  <c:v>6.3229515046332363</c:v>
                </c:pt>
                <c:pt idx="608">
                  <c:v>6.3333682291631703</c:v>
                </c:pt>
                <c:pt idx="609">
                  <c:v>6.3437849537003776</c:v>
                </c:pt>
                <c:pt idx="610">
                  <c:v>6.354201678237585</c:v>
                </c:pt>
                <c:pt idx="611">
                  <c:v>6.364618402774795</c:v>
                </c:pt>
                <c:pt idx="612">
                  <c:v>6.3750351273120014</c:v>
                </c:pt>
                <c:pt idx="613">
                  <c:v>6.3854518518492087</c:v>
                </c:pt>
                <c:pt idx="614">
                  <c:v>6.395868576386416</c:v>
                </c:pt>
                <c:pt idx="615">
                  <c:v>6.4062853009236296</c:v>
                </c:pt>
                <c:pt idx="616">
                  <c:v>6.4167020254608378</c:v>
                </c:pt>
                <c:pt idx="617">
                  <c:v>6.4271187499980416</c:v>
                </c:pt>
                <c:pt idx="618">
                  <c:v>6.4375354745352498</c:v>
                </c:pt>
                <c:pt idx="619">
                  <c:v>6.4479521990724606</c:v>
                </c:pt>
                <c:pt idx="620">
                  <c:v>6.4583689236096697</c:v>
                </c:pt>
                <c:pt idx="621">
                  <c:v>6.4687856481468753</c:v>
                </c:pt>
                <c:pt idx="622">
                  <c:v>6.4792023726840879</c:v>
                </c:pt>
                <c:pt idx="623">
                  <c:v>6.4896190972212953</c:v>
                </c:pt>
                <c:pt idx="624">
                  <c:v>6.5000358217584999</c:v>
                </c:pt>
                <c:pt idx="625">
                  <c:v>6.5104525462957064</c:v>
                </c:pt>
                <c:pt idx="626">
                  <c:v>6.5208692708329163</c:v>
                </c:pt>
                <c:pt idx="627">
                  <c:v>6.5312859953701299</c:v>
                </c:pt>
                <c:pt idx="628">
                  <c:v>6.5417027199073372</c:v>
                </c:pt>
                <c:pt idx="629">
                  <c:v>6.5521194444445428</c:v>
                </c:pt>
                <c:pt idx="630">
                  <c:v>6.5625361689817474</c:v>
                </c:pt>
                <c:pt idx="631">
                  <c:v>6.5729528935189574</c:v>
                </c:pt>
                <c:pt idx="632">
                  <c:v>6.58336961805617</c:v>
                </c:pt>
                <c:pt idx="633">
                  <c:v>6.5937863425933756</c:v>
                </c:pt>
                <c:pt idx="634">
                  <c:v>6.604203067130582</c:v>
                </c:pt>
                <c:pt idx="635">
                  <c:v>6.6146197916677902</c:v>
                </c:pt>
                <c:pt idx="636">
                  <c:v>6.6250365162049949</c:v>
                </c:pt>
                <c:pt idx="637">
                  <c:v>6.6354532407422067</c:v>
                </c:pt>
                <c:pt idx="638">
                  <c:v>6.6458699652794166</c:v>
                </c:pt>
                <c:pt idx="639">
                  <c:v>6.6562866898166249</c:v>
                </c:pt>
                <c:pt idx="640">
                  <c:v>6.6667034143538331</c:v>
                </c:pt>
                <c:pt idx="641">
                  <c:v>6.6771201388910386</c:v>
                </c:pt>
                <c:pt idx="642">
                  <c:v>6.6875368634282459</c:v>
                </c:pt>
                <c:pt idx="643">
                  <c:v>6.6979535879654541</c:v>
                </c:pt>
                <c:pt idx="644">
                  <c:v>6.7083703125026677</c:v>
                </c:pt>
                <c:pt idx="645">
                  <c:v>6.7187870370398741</c:v>
                </c:pt>
                <c:pt idx="646">
                  <c:v>6.7292037615770823</c:v>
                </c:pt>
                <c:pt idx="647">
                  <c:v>6.7396204861142932</c:v>
                </c:pt>
                <c:pt idx="648">
                  <c:v>6.750037210651497</c:v>
                </c:pt>
                <c:pt idx="649">
                  <c:v>6.760453935188707</c:v>
                </c:pt>
                <c:pt idx="650">
                  <c:v>6.7708706597186401</c:v>
                </c:pt>
                <c:pt idx="651">
                  <c:v>6.7812873842558501</c:v>
                </c:pt>
                <c:pt idx="652">
                  <c:v>6.7917041087930556</c:v>
                </c:pt>
                <c:pt idx="653">
                  <c:v>6.8021208333302621</c:v>
                </c:pt>
                <c:pt idx="654">
                  <c:v>6.8125375578674667</c:v>
                </c:pt>
                <c:pt idx="655">
                  <c:v>6.8229542824046776</c:v>
                </c:pt>
                <c:pt idx="656">
                  <c:v>6.8333710069418903</c:v>
                </c:pt>
                <c:pt idx="657">
                  <c:v>6.8437877314790967</c:v>
                </c:pt>
                <c:pt idx="658">
                  <c:v>6.8542044560163031</c:v>
                </c:pt>
                <c:pt idx="659">
                  <c:v>6.8646211805535131</c:v>
                </c:pt>
                <c:pt idx="660">
                  <c:v>6.8750379050907213</c:v>
                </c:pt>
                <c:pt idx="661">
                  <c:v>6.8854546296279278</c:v>
                </c:pt>
                <c:pt idx="662">
                  <c:v>6.8958713541651377</c:v>
                </c:pt>
                <c:pt idx="663">
                  <c:v>6.906288078702346</c:v>
                </c:pt>
                <c:pt idx="664">
                  <c:v>6.9167048032395542</c:v>
                </c:pt>
                <c:pt idx="665">
                  <c:v>6.9271215277767597</c:v>
                </c:pt>
                <c:pt idx="666">
                  <c:v>6.9375382523139706</c:v>
                </c:pt>
                <c:pt idx="667">
                  <c:v>6.947954976851177</c:v>
                </c:pt>
                <c:pt idx="668">
                  <c:v>6.958371701388387</c:v>
                </c:pt>
                <c:pt idx="669">
                  <c:v>6.9687884259255952</c:v>
                </c:pt>
                <c:pt idx="670">
                  <c:v>6.9792051504628061</c:v>
                </c:pt>
                <c:pt idx="671">
                  <c:v>6.9896218750000116</c:v>
                </c:pt>
                <c:pt idx="672">
                  <c:v>7.0000385995372181</c:v>
                </c:pt>
                <c:pt idx="673">
                  <c:v>7.0104553240744281</c:v>
                </c:pt>
                <c:pt idx="674">
                  <c:v>7.0208720486116363</c:v>
                </c:pt>
                <c:pt idx="675">
                  <c:v>7.0312887731488471</c:v>
                </c:pt>
                <c:pt idx="676">
                  <c:v>7.0417054976860527</c:v>
                </c:pt>
                <c:pt idx="677">
                  <c:v>7.0521222222232609</c:v>
                </c:pt>
                <c:pt idx="678">
                  <c:v>7.0625389467604656</c:v>
                </c:pt>
                <c:pt idx="679">
                  <c:v>7.0729556712976764</c:v>
                </c:pt>
                <c:pt idx="680">
                  <c:v>7.08337239583489</c:v>
                </c:pt>
                <c:pt idx="681">
                  <c:v>7.0937891203720937</c:v>
                </c:pt>
                <c:pt idx="682">
                  <c:v>7.1042058449093002</c:v>
                </c:pt>
                <c:pt idx="683">
                  <c:v>7.1146225694465066</c:v>
                </c:pt>
                <c:pt idx="684">
                  <c:v>7.1250392939837166</c:v>
                </c:pt>
                <c:pt idx="685">
                  <c:v>7.1354560185209266</c:v>
                </c:pt>
                <c:pt idx="686">
                  <c:v>7.1458727430581348</c:v>
                </c:pt>
                <c:pt idx="687">
                  <c:v>7.1562894675953412</c:v>
                </c:pt>
                <c:pt idx="688">
                  <c:v>7.1667061921325512</c:v>
                </c:pt>
                <c:pt idx="689">
                  <c:v>7.1771229166697568</c:v>
                </c:pt>
                <c:pt idx="690">
                  <c:v>7.1875396412069659</c:v>
                </c:pt>
                <c:pt idx="691">
                  <c:v>7.1979563657441759</c:v>
                </c:pt>
                <c:pt idx="692">
                  <c:v>7.2083730902813858</c:v>
                </c:pt>
                <c:pt idx="693">
                  <c:v>7.2187898148113163</c:v>
                </c:pt>
                <c:pt idx="694">
                  <c:v>7.2292065393485254</c:v>
                </c:pt>
                <c:pt idx="695">
                  <c:v>7.2396232638857327</c:v>
                </c:pt>
                <c:pt idx="696">
                  <c:v>7.250039988422941</c:v>
                </c:pt>
                <c:pt idx="697">
                  <c:v>7.26045671296015</c:v>
                </c:pt>
                <c:pt idx="698">
                  <c:v>7.2708734374973574</c:v>
                </c:pt>
                <c:pt idx="699">
                  <c:v>7.28129016203457</c:v>
                </c:pt>
                <c:pt idx="700">
                  <c:v>7.2917068865717738</c:v>
                </c:pt>
                <c:pt idx="701">
                  <c:v>7.3021236111089802</c:v>
                </c:pt>
                <c:pt idx="702">
                  <c:v>7.3125403356461884</c:v>
                </c:pt>
                <c:pt idx="703">
                  <c:v>7.3229570601833958</c:v>
                </c:pt>
                <c:pt idx="704">
                  <c:v>7.3333737847206102</c:v>
                </c:pt>
                <c:pt idx="705">
                  <c:v>7.3437905092578148</c:v>
                </c:pt>
                <c:pt idx="706">
                  <c:v>7.3542072337950213</c:v>
                </c:pt>
                <c:pt idx="707">
                  <c:v>7.3646239583322286</c:v>
                </c:pt>
                <c:pt idx="708">
                  <c:v>7.3750406828694404</c:v>
                </c:pt>
                <c:pt idx="709">
                  <c:v>7.3854574074066477</c:v>
                </c:pt>
                <c:pt idx="710">
                  <c:v>7.3958741319438559</c:v>
                </c:pt>
                <c:pt idx="711">
                  <c:v>7.4062908564810641</c:v>
                </c:pt>
                <c:pt idx="712">
                  <c:v>7.4167075810182723</c:v>
                </c:pt>
                <c:pt idx="713">
                  <c:v>7.4271243055554788</c:v>
                </c:pt>
                <c:pt idx="714">
                  <c:v>7.4375410300926896</c:v>
                </c:pt>
                <c:pt idx="715">
                  <c:v>7.447957754629897</c:v>
                </c:pt>
                <c:pt idx="716">
                  <c:v>7.4583744791671052</c:v>
                </c:pt>
                <c:pt idx="717">
                  <c:v>7.4687912037043134</c:v>
                </c:pt>
                <c:pt idx="718">
                  <c:v>7.4792079282415243</c:v>
                </c:pt>
                <c:pt idx="719">
                  <c:v>7.4896246527787298</c:v>
                </c:pt>
                <c:pt idx="720">
                  <c:v>7.5000413773159362</c:v>
                </c:pt>
                <c:pt idx="721">
                  <c:v>7.5104581018531471</c:v>
                </c:pt>
                <c:pt idx="722">
                  <c:v>7.5208748263903509</c:v>
                </c:pt>
                <c:pt idx="723">
                  <c:v>7.5312915509275626</c:v>
                </c:pt>
                <c:pt idx="724">
                  <c:v>7.5417082754647708</c:v>
                </c:pt>
                <c:pt idx="725">
                  <c:v>7.5521250000019773</c:v>
                </c:pt>
                <c:pt idx="726">
                  <c:v>7.5625417245391873</c:v>
                </c:pt>
                <c:pt idx="727">
                  <c:v>7.5729584490763946</c:v>
                </c:pt>
                <c:pt idx="728">
                  <c:v>7.5833751736136046</c:v>
                </c:pt>
                <c:pt idx="729">
                  <c:v>7.5937918981508119</c:v>
                </c:pt>
                <c:pt idx="730">
                  <c:v>7.6042086226880201</c:v>
                </c:pt>
                <c:pt idx="731">
                  <c:v>7.6146253472252248</c:v>
                </c:pt>
                <c:pt idx="732">
                  <c:v>7.6250420717624356</c:v>
                </c:pt>
                <c:pt idx="733">
                  <c:v>7.6354587962996447</c:v>
                </c:pt>
                <c:pt idx="734">
                  <c:v>7.6458755208368494</c:v>
                </c:pt>
                <c:pt idx="735">
                  <c:v>7.6562922453667852</c:v>
                </c:pt>
                <c:pt idx="736">
                  <c:v>7.6667089699039908</c:v>
                </c:pt>
                <c:pt idx="737">
                  <c:v>7.6771256944412016</c:v>
                </c:pt>
                <c:pt idx="738">
                  <c:v>7.6875424189784081</c:v>
                </c:pt>
                <c:pt idx="739">
                  <c:v>7.6979591435156163</c:v>
                </c:pt>
                <c:pt idx="740">
                  <c:v>7.7083758680528263</c:v>
                </c:pt>
                <c:pt idx="741">
                  <c:v>7.7187925925900371</c:v>
                </c:pt>
                <c:pt idx="742">
                  <c:v>7.7292093171272427</c:v>
                </c:pt>
                <c:pt idx="743">
                  <c:v>7.7396260416644509</c:v>
                </c:pt>
                <c:pt idx="744">
                  <c:v>7.75004276620166</c:v>
                </c:pt>
                <c:pt idx="745">
                  <c:v>7.76045949073887</c:v>
                </c:pt>
                <c:pt idx="746">
                  <c:v>7.7708762152760764</c:v>
                </c:pt>
                <c:pt idx="747">
                  <c:v>7.7812929398132846</c:v>
                </c:pt>
                <c:pt idx="748">
                  <c:v>7.7917096643504919</c:v>
                </c:pt>
                <c:pt idx="749">
                  <c:v>7.8021263888876984</c:v>
                </c:pt>
                <c:pt idx="750">
                  <c:v>7.8125431134249084</c:v>
                </c:pt>
                <c:pt idx="751">
                  <c:v>7.8229598379621148</c:v>
                </c:pt>
                <c:pt idx="752">
                  <c:v>7.8333765624993248</c:v>
                </c:pt>
                <c:pt idx="753">
                  <c:v>7.843793287036533</c:v>
                </c:pt>
                <c:pt idx="754">
                  <c:v>7.8542100115737394</c:v>
                </c:pt>
                <c:pt idx="755">
                  <c:v>7.8646267361109468</c:v>
                </c:pt>
                <c:pt idx="756">
                  <c:v>7.8750434606481576</c:v>
                </c:pt>
                <c:pt idx="757">
                  <c:v>7.8854601851853676</c:v>
                </c:pt>
                <c:pt idx="758">
                  <c:v>7.8958769097225741</c:v>
                </c:pt>
                <c:pt idx="759">
                  <c:v>7.906293634259784</c:v>
                </c:pt>
                <c:pt idx="760">
                  <c:v>7.9167103587969887</c:v>
                </c:pt>
                <c:pt idx="761">
                  <c:v>7.9271270833341996</c:v>
                </c:pt>
                <c:pt idx="762">
                  <c:v>7.9375438078714069</c:v>
                </c:pt>
                <c:pt idx="763">
                  <c:v>7.9479605324086151</c:v>
                </c:pt>
                <c:pt idx="764">
                  <c:v>7.9583772569458224</c:v>
                </c:pt>
                <c:pt idx="765">
                  <c:v>7.9687939814830342</c:v>
                </c:pt>
                <c:pt idx="766">
                  <c:v>7.9792107060202397</c:v>
                </c:pt>
                <c:pt idx="767">
                  <c:v>7.989627430557448</c:v>
                </c:pt>
                <c:pt idx="768">
                  <c:v>8.0000441550946562</c:v>
                </c:pt>
                <c:pt idx="769">
                  <c:v>8.0104608796318644</c:v>
                </c:pt>
                <c:pt idx="770">
                  <c:v>8.0208776041690708</c:v>
                </c:pt>
                <c:pt idx="771">
                  <c:v>8.0312943287062808</c:v>
                </c:pt>
                <c:pt idx="772">
                  <c:v>8.0417110532434855</c:v>
                </c:pt>
                <c:pt idx="773">
                  <c:v>8.0521277777807008</c:v>
                </c:pt>
                <c:pt idx="774">
                  <c:v>8.0625445023179108</c:v>
                </c:pt>
                <c:pt idx="775">
                  <c:v>8.0729612268551136</c:v>
                </c:pt>
                <c:pt idx="776">
                  <c:v>8.0833779513923183</c:v>
                </c:pt>
                <c:pt idx="777">
                  <c:v>8.0937946759295301</c:v>
                </c:pt>
                <c:pt idx="778">
                  <c:v>8.1042114004594552</c:v>
                </c:pt>
                <c:pt idx="779">
                  <c:v>8.1146281249966652</c:v>
                </c:pt>
                <c:pt idx="780">
                  <c:v>8.1250448495338787</c:v>
                </c:pt>
                <c:pt idx="781">
                  <c:v>8.1354615740710869</c:v>
                </c:pt>
                <c:pt idx="782">
                  <c:v>8.1458782986082952</c:v>
                </c:pt>
                <c:pt idx="783">
                  <c:v>8.1562950231455034</c:v>
                </c:pt>
                <c:pt idx="784">
                  <c:v>8.1667117476827116</c:v>
                </c:pt>
                <c:pt idx="785">
                  <c:v>8.177128472219918</c:v>
                </c:pt>
                <c:pt idx="786">
                  <c:v>8.187545196757128</c:v>
                </c:pt>
                <c:pt idx="787">
                  <c:v>8.1979619212943309</c:v>
                </c:pt>
                <c:pt idx="788">
                  <c:v>8.2083786458315338</c:v>
                </c:pt>
                <c:pt idx="789">
                  <c:v>8.2187953703687509</c:v>
                </c:pt>
                <c:pt idx="790">
                  <c:v>8.2292120949059608</c:v>
                </c:pt>
                <c:pt idx="791">
                  <c:v>8.2396288194431708</c:v>
                </c:pt>
                <c:pt idx="792">
                  <c:v>8.2500455439803773</c:v>
                </c:pt>
                <c:pt idx="793">
                  <c:v>8.2604622685175855</c:v>
                </c:pt>
                <c:pt idx="794">
                  <c:v>8.2708789930547901</c:v>
                </c:pt>
                <c:pt idx="795">
                  <c:v>8.2812957175920001</c:v>
                </c:pt>
                <c:pt idx="796">
                  <c:v>8.2917124421292101</c:v>
                </c:pt>
                <c:pt idx="797">
                  <c:v>8.3021291666664201</c:v>
                </c:pt>
                <c:pt idx="798">
                  <c:v>8.3125458912036301</c:v>
                </c:pt>
                <c:pt idx="799">
                  <c:v>8.3229626157408347</c:v>
                </c:pt>
                <c:pt idx="800">
                  <c:v>8.3333793402780429</c:v>
                </c:pt>
                <c:pt idx="801">
                  <c:v>8.3437960648152512</c:v>
                </c:pt>
                <c:pt idx="802">
                  <c:v>8.3542127893524576</c:v>
                </c:pt>
                <c:pt idx="803">
                  <c:v>8.3646295138896694</c:v>
                </c:pt>
                <c:pt idx="804">
                  <c:v>8.3750462384268793</c:v>
                </c:pt>
                <c:pt idx="805">
                  <c:v>8.3854629629640876</c:v>
                </c:pt>
                <c:pt idx="806">
                  <c:v>8.3958796875012958</c:v>
                </c:pt>
                <c:pt idx="807">
                  <c:v>8.4062964120385004</c:v>
                </c:pt>
                <c:pt idx="808">
                  <c:v>8.4167131365757086</c:v>
                </c:pt>
                <c:pt idx="809">
                  <c:v>8.4271298611129151</c:v>
                </c:pt>
                <c:pt idx="810">
                  <c:v>8.4375465856501251</c:v>
                </c:pt>
                <c:pt idx="811">
                  <c:v>8.4479633101873333</c:v>
                </c:pt>
                <c:pt idx="812">
                  <c:v>8.4583800347245433</c:v>
                </c:pt>
                <c:pt idx="813">
                  <c:v>8.4687967592617497</c:v>
                </c:pt>
                <c:pt idx="814">
                  <c:v>8.4792134837989579</c:v>
                </c:pt>
                <c:pt idx="815">
                  <c:v>8.4896302083361697</c:v>
                </c:pt>
                <c:pt idx="816">
                  <c:v>8.5000469328733743</c:v>
                </c:pt>
                <c:pt idx="817">
                  <c:v>8.5104636574105808</c:v>
                </c:pt>
                <c:pt idx="818">
                  <c:v>8.5208803819477907</c:v>
                </c:pt>
                <c:pt idx="819">
                  <c:v>8.5312971064850007</c:v>
                </c:pt>
                <c:pt idx="820">
                  <c:v>8.5417138310149312</c:v>
                </c:pt>
                <c:pt idx="821">
                  <c:v>8.5521305555521394</c:v>
                </c:pt>
                <c:pt idx="822">
                  <c:v>8.5625472800893494</c:v>
                </c:pt>
                <c:pt idx="823">
                  <c:v>8.5729640046265558</c:v>
                </c:pt>
                <c:pt idx="824">
                  <c:v>8.583380729163764</c:v>
                </c:pt>
                <c:pt idx="825">
                  <c:v>8.5937974537009723</c:v>
                </c:pt>
                <c:pt idx="826">
                  <c:v>8.6042141782381769</c:v>
                </c:pt>
                <c:pt idx="827">
                  <c:v>8.6146309027753887</c:v>
                </c:pt>
                <c:pt idx="828">
                  <c:v>8.6250476273125969</c:v>
                </c:pt>
                <c:pt idx="829">
                  <c:v>8.6354643518498069</c:v>
                </c:pt>
                <c:pt idx="830">
                  <c:v>8.6458810763870133</c:v>
                </c:pt>
                <c:pt idx="831">
                  <c:v>8.6562978009242233</c:v>
                </c:pt>
                <c:pt idx="832">
                  <c:v>8.6667145254614297</c:v>
                </c:pt>
                <c:pt idx="833">
                  <c:v>8.6771312499986397</c:v>
                </c:pt>
                <c:pt idx="834">
                  <c:v>8.6875479745358462</c:v>
                </c:pt>
                <c:pt idx="835">
                  <c:v>8.6979646990730508</c:v>
                </c:pt>
                <c:pt idx="836">
                  <c:v>8.7083814236102555</c:v>
                </c:pt>
                <c:pt idx="837">
                  <c:v>8.7187981481474655</c:v>
                </c:pt>
                <c:pt idx="838">
                  <c:v>8.7292148726846772</c:v>
                </c:pt>
                <c:pt idx="839">
                  <c:v>8.7396315972218872</c:v>
                </c:pt>
                <c:pt idx="840">
                  <c:v>8.7500483217590954</c:v>
                </c:pt>
                <c:pt idx="841">
                  <c:v>8.7604650462963036</c:v>
                </c:pt>
                <c:pt idx="842">
                  <c:v>8.7708817708335083</c:v>
                </c:pt>
                <c:pt idx="843">
                  <c:v>8.7812984953707129</c:v>
                </c:pt>
                <c:pt idx="844">
                  <c:v>8.79171521990793</c:v>
                </c:pt>
                <c:pt idx="845">
                  <c:v>8.8021319444451365</c:v>
                </c:pt>
                <c:pt idx="846">
                  <c:v>8.8125486689823482</c:v>
                </c:pt>
                <c:pt idx="847">
                  <c:v>8.8229653935195529</c:v>
                </c:pt>
                <c:pt idx="848">
                  <c:v>8.8333821180567629</c:v>
                </c:pt>
                <c:pt idx="849">
                  <c:v>8.8437988425939693</c:v>
                </c:pt>
                <c:pt idx="850">
                  <c:v>8.854215567131174</c:v>
                </c:pt>
                <c:pt idx="851">
                  <c:v>8.8646322916683893</c:v>
                </c:pt>
                <c:pt idx="852">
                  <c:v>8.8750490162055993</c:v>
                </c:pt>
                <c:pt idx="853">
                  <c:v>8.8854657407428022</c:v>
                </c:pt>
                <c:pt idx="854">
                  <c:v>8.8958824652800104</c:v>
                </c:pt>
                <c:pt idx="855">
                  <c:v>8.9062991898172204</c:v>
                </c:pt>
                <c:pt idx="856">
                  <c:v>8.916715914354425</c:v>
                </c:pt>
                <c:pt idx="857">
                  <c:v>8.9271326388916368</c:v>
                </c:pt>
                <c:pt idx="858">
                  <c:v>8.9375493634288432</c:v>
                </c:pt>
                <c:pt idx="859">
                  <c:v>8.9479660879660514</c:v>
                </c:pt>
                <c:pt idx="860">
                  <c:v>8.9583828125032596</c:v>
                </c:pt>
                <c:pt idx="861">
                  <c:v>8.9687995370404696</c:v>
                </c:pt>
                <c:pt idx="862">
                  <c:v>8.9792162615776761</c:v>
                </c:pt>
                <c:pt idx="863">
                  <c:v>8.9896329861076101</c:v>
                </c:pt>
                <c:pt idx="864">
                  <c:v>9.0000497106448165</c:v>
                </c:pt>
                <c:pt idx="865">
                  <c:v>9.0104664351820247</c:v>
                </c:pt>
                <c:pt idx="866">
                  <c:v>9.0208831597192347</c:v>
                </c:pt>
                <c:pt idx="867">
                  <c:v>9.0312998842564411</c:v>
                </c:pt>
                <c:pt idx="868">
                  <c:v>9.0417166087936494</c:v>
                </c:pt>
                <c:pt idx="869">
                  <c:v>9.0521333333308576</c:v>
                </c:pt>
                <c:pt idx="870">
                  <c:v>9.0625500578680693</c:v>
                </c:pt>
                <c:pt idx="871">
                  <c:v>9.0729667824052722</c:v>
                </c:pt>
                <c:pt idx="872">
                  <c:v>9.0833835069424822</c:v>
                </c:pt>
                <c:pt idx="873">
                  <c:v>9.0938002314796904</c:v>
                </c:pt>
                <c:pt idx="874">
                  <c:v>9.1042169560168986</c:v>
                </c:pt>
                <c:pt idx="875">
                  <c:v>9.1146336805541015</c:v>
                </c:pt>
                <c:pt idx="876">
                  <c:v>9.125050405091315</c:v>
                </c:pt>
                <c:pt idx="877">
                  <c:v>9.1354671296285233</c:v>
                </c:pt>
                <c:pt idx="878">
                  <c:v>9.145883854165735</c:v>
                </c:pt>
                <c:pt idx="879">
                  <c:v>9.1563005787029397</c:v>
                </c:pt>
                <c:pt idx="880">
                  <c:v>9.1667173032401497</c:v>
                </c:pt>
                <c:pt idx="881">
                  <c:v>9.1771340277773561</c:v>
                </c:pt>
                <c:pt idx="882">
                  <c:v>9.1875507523145625</c:v>
                </c:pt>
                <c:pt idx="883">
                  <c:v>9.1979674768517672</c:v>
                </c:pt>
                <c:pt idx="884">
                  <c:v>9.2083842013889807</c:v>
                </c:pt>
                <c:pt idx="885">
                  <c:v>9.2188009259261872</c:v>
                </c:pt>
                <c:pt idx="886">
                  <c:v>9.2292176504633971</c:v>
                </c:pt>
                <c:pt idx="887">
                  <c:v>9.2396343750006071</c:v>
                </c:pt>
                <c:pt idx="888">
                  <c:v>9.2500510995378136</c:v>
                </c:pt>
                <c:pt idx="889">
                  <c:v>9.2604678240750218</c:v>
                </c:pt>
                <c:pt idx="890">
                  <c:v>9.27088454861223</c:v>
                </c:pt>
                <c:pt idx="891">
                  <c:v>9.2813012731494382</c:v>
                </c:pt>
                <c:pt idx="892">
                  <c:v>9.2917179976866464</c:v>
                </c:pt>
                <c:pt idx="893">
                  <c:v>9.3021347222238546</c:v>
                </c:pt>
                <c:pt idx="894">
                  <c:v>9.3125514467610628</c:v>
                </c:pt>
                <c:pt idx="895">
                  <c:v>9.322968171298271</c:v>
                </c:pt>
                <c:pt idx="896">
                  <c:v>9.3333848958354793</c:v>
                </c:pt>
                <c:pt idx="897">
                  <c:v>9.3438016203726839</c:v>
                </c:pt>
                <c:pt idx="898">
                  <c:v>9.3542183449098957</c:v>
                </c:pt>
                <c:pt idx="899">
                  <c:v>9.3646350694471092</c:v>
                </c:pt>
                <c:pt idx="900">
                  <c:v>9.3750517939843157</c:v>
                </c:pt>
                <c:pt idx="901">
                  <c:v>9.3854685185215203</c:v>
                </c:pt>
                <c:pt idx="902">
                  <c:v>9.3958852430587303</c:v>
                </c:pt>
                <c:pt idx="903">
                  <c:v>9.406301967595935</c:v>
                </c:pt>
                <c:pt idx="904">
                  <c:v>9.4167186921331449</c:v>
                </c:pt>
                <c:pt idx="905">
                  <c:v>9.4271354166630772</c:v>
                </c:pt>
                <c:pt idx="906">
                  <c:v>9.4375521412002854</c:v>
                </c:pt>
                <c:pt idx="907">
                  <c:v>9.4479688657374901</c:v>
                </c:pt>
                <c:pt idx="908">
                  <c:v>9.4583855902747018</c:v>
                </c:pt>
                <c:pt idx="909">
                  <c:v>9.46880231481191</c:v>
                </c:pt>
                <c:pt idx="910">
                  <c:v>9.47921903934912</c:v>
                </c:pt>
                <c:pt idx="911">
                  <c:v>9.4896357638863265</c:v>
                </c:pt>
                <c:pt idx="912">
                  <c:v>9.5000524884235329</c:v>
                </c:pt>
                <c:pt idx="913">
                  <c:v>9.5104692129607482</c:v>
                </c:pt>
                <c:pt idx="914">
                  <c:v>9.5208859374979529</c:v>
                </c:pt>
                <c:pt idx="915">
                  <c:v>9.5313026620351522</c:v>
                </c:pt>
                <c:pt idx="916">
                  <c:v>9.541719386572364</c:v>
                </c:pt>
                <c:pt idx="917">
                  <c:v>9.5521361111095793</c:v>
                </c:pt>
                <c:pt idx="918">
                  <c:v>9.5625528356467893</c:v>
                </c:pt>
                <c:pt idx="919">
                  <c:v>9.5729695601839957</c:v>
                </c:pt>
                <c:pt idx="920">
                  <c:v>9.5833862847212004</c:v>
                </c:pt>
                <c:pt idx="921">
                  <c:v>9.5938030092584086</c:v>
                </c:pt>
                <c:pt idx="922">
                  <c:v>9.604219733795615</c:v>
                </c:pt>
                <c:pt idx="923">
                  <c:v>9.614636458332825</c:v>
                </c:pt>
                <c:pt idx="924">
                  <c:v>9.6250531828700296</c:v>
                </c:pt>
                <c:pt idx="925">
                  <c:v>9.6354699074072467</c:v>
                </c:pt>
                <c:pt idx="926">
                  <c:v>9.6458866319444496</c:v>
                </c:pt>
                <c:pt idx="927">
                  <c:v>9.6563033564816578</c:v>
                </c:pt>
                <c:pt idx="928">
                  <c:v>9.6667200810188625</c:v>
                </c:pt>
                <c:pt idx="929">
                  <c:v>9.6771368055560743</c:v>
                </c:pt>
                <c:pt idx="930">
                  <c:v>9.6875535300932825</c:v>
                </c:pt>
                <c:pt idx="931">
                  <c:v>9.6979702546304871</c:v>
                </c:pt>
                <c:pt idx="932">
                  <c:v>9.7083869791677024</c:v>
                </c:pt>
                <c:pt idx="933">
                  <c:v>9.7188037037049035</c:v>
                </c:pt>
                <c:pt idx="934">
                  <c:v>9.7292204282421118</c:v>
                </c:pt>
                <c:pt idx="935">
                  <c:v>9.7396371527793235</c:v>
                </c:pt>
                <c:pt idx="936">
                  <c:v>9.7500538773165317</c:v>
                </c:pt>
                <c:pt idx="937">
                  <c:v>9.7604706018537399</c:v>
                </c:pt>
                <c:pt idx="938">
                  <c:v>9.7708873263909499</c:v>
                </c:pt>
                <c:pt idx="939">
                  <c:v>9.7813040509281528</c:v>
                </c:pt>
                <c:pt idx="940">
                  <c:v>9.7917207754653628</c:v>
                </c:pt>
                <c:pt idx="941">
                  <c:v>9.8021375000025728</c:v>
                </c:pt>
                <c:pt idx="942">
                  <c:v>9.8125542245397863</c:v>
                </c:pt>
                <c:pt idx="943">
                  <c:v>9.8229709490769892</c:v>
                </c:pt>
                <c:pt idx="944">
                  <c:v>9.8333876736141974</c:v>
                </c:pt>
                <c:pt idx="945">
                  <c:v>9.8438043981514056</c:v>
                </c:pt>
                <c:pt idx="946">
                  <c:v>9.8542211226886138</c:v>
                </c:pt>
                <c:pt idx="947">
                  <c:v>9.8646378472258256</c:v>
                </c:pt>
                <c:pt idx="948">
                  <c:v>9.8750545717557578</c:v>
                </c:pt>
                <c:pt idx="949">
                  <c:v>9.8854712962929643</c:v>
                </c:pt>
                <c:pt idx="950">
                  <c:v>9.8958880208301672</c:v>
                </c:pt>
                <c:pt idx="951">
                  <c:v>9.9063047453673807</c:v>
                </c:pt>
                <c:pt idx="952">
                  <c:v>9.9167214699045836</c:v>
                </c:pt>
                <c:pt idx="953">
                  <c:v>9.9271381944417953</c:v>
                </c:pt>
                <c:pt idx="954">
                  <c:v>9.9375549189790071</c:v>
                </c:pt>
                <c:pt idx="955">
                  <c:v>9.9479716435162082</c:v>
                </c:pt>
                <c:pt idx="956">
                  <c:v>9.9583883680534182</c:v>
                </c:pt>
                <c:pt idx="957">
                  <c:v>9.9688050925906282</c:v>
                </c:pt>
                <c:pt idx="958">
                  <c:v>9.9792218171278364</c:v>
                </c:pt>
                <c:pt idx="959">
                  <c:v>9.9896385416650482</c:v>
                </c:pt>
                <c:pt idx="960">
                  <c:v>10.000055266202249</c:v>
                </c:pt>
                <c:pt idx="961">
                  <c:v>10.010471990739459</c:v>
                </c:pt>
                <c:pt idx="962">
                  <c:v>10.020888715276669</c:v>
                </c:pt>
                <c:pt idx="963">
                  <c:v>10.03130543981387</c:v>
                </c:pt>
                <c:pt idx="964">
                  <c:v>10.04172216435108</c:v>
                </c:pt>
                <c:pt idx="965">
                  <c:v>10.052138888888299</c:v>
                </c:pt>
                <c:pt idx="966">
                  <c:v>10.0625556134255</c:v>
                </c:pt>
                <c:pt idx="967">
                  <c:v>10.07297233796271</c:v>
                </c:pt>
                <c:pt idx="968">
                  <c:v>10.08338906249992</c:v>
                </c:pt>
                <c:pt idx="969">
                  <c:v>10.09380578703712</c:v>
                </c:pt>
                <c:pt idx="970">
                  <c:v>10.10422251157433</c:v>
                </c:pt>
                <c:pt idx="971">
                  <c:v>10.11463923611154</c:v>
                </c:pt>
                <c:pt idx="972">
                  <c:v>10.12505596064875</c:v>
                </c:pt>
                <c:pt idx="973">
                  <c:v>10.13547268518596</c:v>
                </c:pt>
                <c:pt idx="974">
                  <c:v>10.14588940972317</c:v>
                </c:pt>
                <c:pt idx="975">
                  <c:v>10.15630613426038</c:v>
                </c:pt>
                <c:pt idx="976">
                  <c:v>10.166722858797581</c:v>
                </c:pt>
                <c:pt idx="977">
                  <c:v>10.1771395833348</c:v>
                </c:pt>
                <c:pt idx="978">
                  <c:v>10.187556307872001</c:v>
                </c:pt>
                <c:pt idx="979">
                  <c:v>10.197973032409211</c:v>
                </c:pt>
                <c:pt idx="980">
                  <c:v>10.208389756946421</c:v>
                </c:pt>
                <c:pt idx="981">
                  <c:v>10.21880648148362</c:v>
                </c:pt>
                <c:pt idx="982">
                  <c:v>10.22922320602083</c:v>
                </c:pt>
                <c:pt idx="983">
                  <c:v>10.23963993055804</c:v>
                </c:pt>
                <c:pt idx="984">
                  <c:v>10.25005665509525</c:v>
                </c:pt>
                <c:pt idx="985">
                  <c:v>10.26047337963246</c:v>
                </c:pt>
                <c:pt idx="986">
                  <c:v>10.27089010416967</c:v>
                </c:pt>
                <c:pt idx="987">
                  <c:v>10.281306828706869</c:v>
                </c:pt>
                <c:pt idx="988">
                  <c:v>10.291723553244079</c:v>
                </c:pt>
                <c:pt idx="989">
                  <c:v>10.3021402777813</c:v>
                </c:pt>
                <c:pt idx="990">
                  <c:v>10.31255700231122</c:v>
                </c:pt>
                <c:pt idx="991">
                  <c:v>10.32297372684843</c:v>
                </c:pt>
                <c:pt idx="992">
                  <c:v>10.33339045138564</c:v>
                </c:pt>
                <c:pt idx="993">
                  <c:v>10.34380717592285</c:v>
                </c:pt>
                <c:pt idx="994">
                  <c:v>10.354223900460051</c:v>
                </c:pt>
                <c:pt idx="995">
                  <c:v>10.36464062499727</c:v>
                </c:pt>
                <c:pt idx="996">
                  <c:v>10.375057349534471</c:v>
                </c:pt>
                <c:pt idx="997">
                  <c:v>10.385474074071681</c:v>
                </c:pt>
                <c:pt idx="998">
                  <c:v>10.3958907986089</c:v>
                </c:pt>
                <c:pt idx="999">
                  <c:v>10.406307523146101</c:v>
                </c:pt>
                <c:pt idx="1000">
                  <c:v>10.416724247683311</c:v>
                </c:pt>
                <c:pt idx="1001">
                  <c:v>10.42714097222051</c:v>
                </c:pt>
                <c:pt idx="1002">
                  <c:v>10.43755769675772</c:v>
                </c:pt>
                <c:pt idx="1003">
                  <c:v>10.44797442129493</c:v>
                </c:pt>
                <c:pt idx="1004">
                  <c:v>10.45839114583214</c:v>
                </c:pt>
                <c:pt idx="1005">
                  <c:v>10.46880787036935</c:v>
                </c:pt>
                <c:pt idx="1006">
                  <c:v>10.47922459490656</c:v>
                </c:pt>
                <c:pt idx="1007">
                  <c:v>10.48964131944377</c:v>
                </c:pt>
                <c:pt idx="1008">
                  <c:v>10.500058043980969</c:v>
                </c:pt>
                <c:pt idx="1009">
                  <c:v>10.510474768518179</c:v>
                </c:pt>
                <c:pt idx="1010">
                  <c:v>10.520891493055389</c:v>
                </c:pt>
                <c:pt idx="1011">
                  <c:v>10.53130821759259</c:v>
                </c:pt>
                <c:pt idx="1012">
                  <c:v>10.5417249421298</c:v>
                </c:pt>
                <c:pt idx="1013">
                  <c:v>10.55214166666701</c:v>
                </c:pt>
                <c:pt idx="1014">
                  <c:v>10.56255839120422</c:v>
                </c:pt>
                <c:pt idx="1015">
                  <c:v>10.57297511574143</c:v>
                </c:pt>
                <c:pt idx="1016">
                  <c:v>10.58339184027864</c:v>
                </c:pt>
                <c:pt idx="1017">
                  <c:v>10.59380856481584</c:v>
                </c:pt>
                <c:pt idx="1018">
                  <c:v>10.60422528935305</c:v>
                </c:pt>
                <c:pt idx="1019">
                  <c:v>10.61464201389026</c:v>
                </c:pt>
                <c:pt idx="1020">
                  <c:v>10.62505873842747</c:v>
                </c:pt>
                <c:pt idx="1021">
                  <c:v>10.635475462964679</c:v>
                </c:pt>
                <c:pt idx="1022">
                  <c:v>10.645892187501881</c:v>
                </c:pt>
                <c:pt idx="1023">
                  <c:v>10.656308912039099</c:v>
                </c:pt>
                <c:pt idx="1024">
                  <c:v>10.666725636576301</c:v>
                </c:pt>
                <c:pt idx="1025">
                  <c:v>10.677142361113511</c:v>
                </c:pt>
                <c:pt idx="1026">
                  <c:v>10.687559085650721</c:v>
                </c:pt>
                <c:pt idx="1027">
                  <c:v>10.697975810187931</c:v>
                </c:pt>
                <c:pt idx="1028">
                  <c:v>10.708392534725141</c:v>
                </c:pt>
                <c:pt idx="1029">
                  <c:v>10.718809259262351</c:v>
                </c:pt>
                <c:pt idx="1030">
                  <c:v>10.72922598379955</c:v>
                </c:pt>
                <c:pt idx="1031">
                  <c:v>10.73964270833676</c:v>
                </c:pt>
                <c:pt idx="1032">
                  <c:v>10.75005943287397</c:v>
                </c:pt>
                <c:pt idx="1033">
                  <c:v>10.7604761574039</c:v>
                </c:pt>
                <c:pt idx="1034">
                  <c:v>10.77089288194111</c:v>
                </c:pt>
                <c:pt idx="1035">
                  <c:v>10.78130960647832</c:v>
                </c:pt>
                <c:pt idx="1036">
                  <c:v>10.79172633101552</c:v>
                </c:pt>
                <c:pt idx="1037">
                  <c:v>10.80214305555273</c:v>
                </c:pt>
                <c:pt idx="1038">
                  <c:v>10.81255978008994</c:v>
                </c:pt>
                <c:pt idx="1039">
                  <c:v>10.82297650462715</c:v>
                </c:pt>
                <c:pt idx="1040">
                  <c:v>10.83339322916436</c:v>
                </c:pt>
                <c:pt idx="1041">
                  <c:v>10.84380995370157</c:v>
                </c:pt>
                <c:pt idx="1042">
                  <c:v>10.854226678238771</c:v>
                </c:pt>
                <c:pt idx="1043">
                  <c:v>10.864643402775981</c:v>
                </c:pt>
                <c:pt idx="1044">
                  <c:v>10.875060127313199</c:v>
                </c:pt>
                <c:pt idx="1045">
                  <c:v>10.885476851850401</c:v>
                </c:pt>
                <c:pt idx="1046">
                  <c:v>10.895893576387611</c:v>
                </c:pt>
                <c:pt idx="1047">
                  <c:v>10.906310300924821</c:v>
                </c:pt>
                <c:pt idx="1048">
                  <c:v>10.91672702546202</c:v>
                </c:pt>
                <c:pt idx="1049">
                  <c:v>10.92714374999923</c:v>
                </c:pt>
                <c:pt idx="1050">
                  <c:v>10.93756047453644</c:v>
                </c:pt>
                <c:pt idx="1051">
                  <c:v>10.94797719907365</c:v>
                </c:pt>
                <c:pt idx="1052">
                  <c:v>10.958393923610849</c:v>
                </c:pt>
                <c:pt idx="1053">
                  <c:v>10.96881064814807</c:v>
                </c:pt>
                <c:pt idx="1054">
                  <c:v>10.979227372685269</c:v>
                </c:pt>
                <c:pt idx="1055">
                  <c:v>10.989644097222479</c:v>
                </c:pt>
                <c:pt idx="1056">
                  <c:v>11.0000608217597</c:v>
                </c:pt>
                <c:pt idx="1057">
                  <c:v>11.010477546296899</c:v>
                </c:pt>
                <c:pt idx="1058">
                  <c:v>11.020894270834111</c:v>
                </c:pt>
                <c:pt idx="1059">
                  <c:v>11.03131099537131</c:v>
                </c:pt>
                <c:pt idx="1060">
                  <c:v>11.04172771990852</c:v>
                </c:pt>
                <c:pt idx="1061">
                  <c:v>11.05214444444573</c:v>
                </c:pt>
                <c:pt idx="1062">
                  <c:v>11.06256116898294</c:v>
                </c:pt>
                <c:pt idx="1063">
                  <c:v>11.07297789352015</c:v>
                </c:pt>
                <c:pt idx="1064">
                  <c:v>11.08339461805736</c:v>
                </c:pt>
                <c:pt idx="1065">
                  <c:v>11.093811342594559</c:v>
                </c:pt>
                <c:pt idx="1066">
                  <c:v>11.104228067131769</c:v>
                </c:pt>
                <c:pt idx="1067">
                  <c:v>11.114644791668979</c:v>
                </c:pt>
                <c:pt idx="1068">
                  <c:v>11.1250615162062</c:v>
                </c:pt>
                <c:pt idx="1069">
                  <c:v>11.135478240743399</c:v>
                </c:pt>
                <c:pt idx="1070">
                  <c:v>11.145894965280601</c:v>
                </c:pt>
                <c:pt idx="1071">
                  <c:v>11.156311689817811</c:v>
                </c:pt>
                <c:pt idx="1072">
                  <c:v>11.166728414355021</c:v>
                </c:pt>
                <c:pt idx="1073">
                  <c:v>11.17714513889223</c:v>
                </c:pt>
                <c:pt idx="1074">
                  <c:v>11.18756186342944</c:v>
                </c:pt>
                <c:pt idx="1075">
                  <c:v>11.197978587959369</c:v>
                </c:pt>
                <c:pt idx="1076">
                  <c:v>11.20839531249657</c:v>
                </c:pt>
                <c:pt idx="1077">
                  <c:v>11.21881203703378</c:v>
                </c:pt>
                <c:pt idx="1078">
                  <c:v>11.22922876157099</c:v>
                </c:pt>
                <c:pt idx="1079">
                  <c:v>11.2396454861082</c:v>
                </c:pt>
                <c:pt idx="1080">
                  <c:v>11.25006221064541</c:v>
                </c:pt>
                <c:pt idx="1081">
                  <c:v>11.26047893518262</c:v>
                </c:pt>
                <c:pt idx="1082">
                  <c:v>11.27089565971983</c:v>
                </c:pt>
                <c:pt idx="1083">
                  <c:v>11.28131238425703</c:v>
                </c:pt>
                <c:pt idx="1084">
                  <c:v>11.29172910879424</c:v>
                </c:pt>
                <c:pt idx="1085">
                  <c:v>11.30214583333145</c:v>
                </c:pt>
                <c:pt idx="1086">
                  <c:v>11.312562557868659</c:v>
                </c:pt>
                <c:pt idx="1087">
                  <c:v>11.322979282405869</c:v>
                </c:pt>
                <c:pt idx="1088">
                  <c:v>11.333396006943079</c:v>
                </c:pt>
                <c:pt idx="1089">
                  <c:v>11.343812731480281</c:v>
                </c:pt>
                <c:pt idx="1090">
                  <c:v>11.354229456017499</c:v>
                </c:pt>
                <c:pt idx="1091">
                  <c:v>11.364646180554701</c:v>
                </c:pt>
                <c:pt idx="1092">
                  <c:v>11.375062905091911</c:v>
                </c:pt>
                <c:pt idx="1093">
                  <c:v>11.385479629629121</c:v>
                </c:pt>
                <c:pt idx="1094">
                  <c:v>11.395896354166331</c:v>
                </c:pt>
                <c:pt idx="1095">
                  <c:v>11.40631307870353</c:v>
                </c:pt>
                <c:pt idx="1096">
                  <c:v>11.41672980324074</c:v>
                </c:pt>
                <c:pt idx="1097">
                  <c:v>11.42714652777795</c:v>
                </c:pt>
                <c:pt idx="1098">
                  <c:v>11.43756325231516</c:v>
                </c:pt>
                <c:pt idx="1099">
                  <c:v>11.447979976852359</c:v>
                </c:pt>
                <c:pt idx="1100">
                  <c:v>11.458396701389569</c:v>
                </c:pt>
                <c:pt idx="1101">
                  <c:v>11.468813425926781</c:v>
                </c:pt>
                <c:pt idx="1102">
                  <c:v>11.479230150464</c:v>
                </c:pt>
                <c:pt idx="1103">
                  <c:v>11.489646875001201</c:v>
                </c:pt>
                <c:pt idx="1104">
                  <c:v>11.500063599538411</c:v>
                </c:pt>
                <c:pt idx="1105">
                  <c:v>11.510480324075621</c:v>
                </c:pt>
                <c:pt idx="1106">
                  <c:v>11.52089704861282</c:v>
                </c:pt>
                <c:pt idx="1107">
                  <c:v>11.53131377315003</c:v>
                </c:pt>
                <c:pt idx="1108">
                  <c:v>11.54173049768724</c:v>
                </c:pt>
                <c:pt idx="1109">
                  <c:v>11.55214722222445</c:v>
                </c:pt>
                <c:pt idx="1110">
                  <c:v>11.56256394676166</c:v>
                </c:pt>
                <c:pt idx="1111">
                  <c:v>11.57298067129887</c:v>
                </c:pt>
                <c:pt idx="1112">
                  <c:v>11.583397395836069</c:v>
                </c:pt>
                <c:pt idx="1113">
                  <c:v>11.593814120373279</c:v>
                </c:pt>
                <c:pt idx="1114">
                  <c:v>11.604230844910489</c:v>
                </c:pt>
                <c:pt idx="1115">
                  <c:v>11.614647569447699</c:v>
                </c:pt>
                <c:pt idx="1116">
                  <c:v>11.625064293984909</c:v>
                </c:pt>
                <c:pt idx="1117">
                  <c:v>11.635481018522119</c:v>
                </c:pt>
                <c:pt idx="1118">
                  <c:v>11.645897743052039</c:v>
                </c:pt>
                <c:pt idx="1119">
                  <c:v>11.656314467589249</c:v>
                </c:pt>
                <c:pt idx="1120">
                  <c:v>11.666731192126459</c:v>
                </c:pt>
                <c:pt idx="1121">
                  <c:v>11.677147916663669</c:v>
                </c:pt>
                <c:pt idx="1122">
                  <c:v>11.687564641200879</c:v>
                </c:pt>
                <c:pt idx="1123">
                  <c:v>11.697981365738091</c:v>
                </c:pt>
                <c:pt idx="1124">
                  <c:v>11.70839809027529</c:v>
                </c:pt>
                <c:pt idx="1125">
                  <c:v>11.7188148148125</c:v>
                </c:pt>
                <c:pt idx="1126">
                  <c:v>11.72923153934971</c:v>
                </c:pt>
                <c:pt idx="1127">
                  <c:v>11.73964826388692</c:v>
                </c:pt>
                <c:pt idx="1128">
                  <c:v>11.75006498842413</c:v>
                </c:pt>
                <c:pt idx="1129">
                  <c:v>11.76048171296134</c:v>
                </c:pt>
                <c:pt idx="1130">
                  <c:v>11.770898437498539</c:v>
                </c:pt>
                <c:pt idx="1131">
                  <c:v>11.781315162035749</c:v>
                </c:pt>
                <c:pt idx="1132">
                  <c:v>11.791731886572959</c:v>
                </c:pt>
                <c:pt idx="1133">
                  <c:v>11.802148611110169</c:v>
                </c:pt>
                <c:pt idx="1134">
                  <c:v>11.812565335647379</c:v>
                </c:pt>
                <c:pt idx="1135">
                  <c:v>11.8229820601846</c:v>
                </c:pt>
                <c:pt idx="1136">
                  <c:v>11.833398784721791</c:v>
                </c:pt>
                <c:pt idx="1137">
                  <c:v>11.843815509259001</c:v>
                </c:pt>
                <c:pt idx="1138">
                  <c:v>11.85423223379621</c:v>
                </c:pt>
                <c:pt idx="1139">
                  <c:v>11.86464895833342</c:v>
                </c:pt>
                <c:pt idx="1140">
                  <c:v>11.87506568287063</c:v>
                </c:pt>
                <c:pt idx="1141">
                  <c:v>11.88548240740784</c:v>
                </c:pt>
                <c:pt idx="1142">
                  <c:v>11.89589913194505</c:v>
                </c:pt>
                <c:pt idx="1143">
                  <c:v>11.90631585648225</c:v>
                </c:pt>
                <c:pt idx="1144">
                  <c:v>11.91673258101946</c:v>
                </c:pt>
                <c:pt idx="1145">
                  <c:v>11.92714930555667</c:v>
                </c:pt>
                <c:pt idx="1146">
                  <c:v>11.937566030093871</c:v>
                </c:pt>
                <c:pt idx="1147">
                  <c:v>11.947982754631081</c:v>
                </c:pt>
                <c:pt idx="1148">
                  <c:v>11.9583994791683</c:v>
                </c:pt>
                <c:pt idx="1149">
                  <c:v>11.968816203705501</c:v>
                </c:pt>
                <c:pt idx="1150">
                  <c:v>11.979232928242711</c:v>
                </c:pt>
                <c:pt idx="1151">
                  <c:v>11.989649652779921</c:v>
                </c:pt>
                <c:pt idx="1152">
                  <c:v>12.000066377317131</c:v>
                </c:pt>
                <c:pt idx="1153">
                  <c:v>12.01048310185433</c:v>
                </c:pt>
                <c:pt idx="1154">
                  <c:v>12.02089982639154</c:v>
                </c:pt>
                <c:pt idx="1155">
                  <c:v>12.03131655092875</c:v>
                </c:pt>
                <c:pt idx="1156">
                  <c:v>12.04173327546596</c:v>
                </c:pt>
                <c:pt idx="1157">
                  <c:v>12.05215000000317</c:v>
                </c:pt>
                <c:pt idx="1158">
                  <c:v>12.06256672454038</c:v>
                </c:pt>
                <c:pt idx="1159">
                  <c:v>12.072983449077579</c:v>
                </c:pt>
                <c:pt idx="1160">
                  <c:v>12.083400173607521</c:v>
                </c:pt>
                <c:pt idx="1161">
                  <c:v>12.09381689814473</c:v>
                </c:pt>
                <c:pt idx="1162">
                  <c:v>12.10423362268193</c:v>
                </c:pt>
                <c:pt idx="1163">
                  <c:v>12.11465034721914</c:v>
                </c:pt>
                <c:pt idx="1164">
                  <c:v>12.12506707175635</c:v>
                </c:pt>
                <c:pt idx="1165">
                  <c:v>12.135483796293549</c:v>
                </c:pt>
                <c:pt idx="1166">
                  <c:v>12.145900520830761</c:v>
                </c:pt>
                <c:pt idx="1167">
                  <c:v>12.156317245367971</c:v>
                </c:pt>
                <c:pt idx="1168">
                  <c:v>12.166733969905181</c:v>
                </c:pt>
                <c:pt idx="1169">
                  <c:v>12.1771506944424</c:v>
                </c:pt>
                <c:pt idx="1170">
                  <c:v>12.187567418979601</c:v>
                </c:pt>
                <c:pt idx="1171">
                  <c:v>12.1979841435168</c:v>
                </c:pt>
                <c:pt idx="1172">
                  <c:v>12.20840086805401</c:v>
                </c:pt>
                <c:pt idx="1173">
                  <c:v>12.21881759259122</c:v>
                </c:pt>
                <c:pt idx="1174">
                  <c:v>12.22923431712843</c:v>
                </c:pt>
                <c:pt idx="1175">
                  <c:v>12.23965104166564</c:v>
                </c:pt>
                <c:pt idx="1176">
                  <c:v>12.25006776620285</c:v>
                </c:pt>
                <c:pt idx="1177">
                  <c:v>12.26048449074006</c:v>
                </c:pt>
                <c:pt idx="1178">
                  <c:v>12.270901215277259</c:v>
                </c:pt>
                <c:pt idx="1179">
                  <c:v>12.281317939814469</c:v>
                </c:pt>
                <c:pt idx="1180">
                  <c:v>12.291734664351679</c:v>
                </c:pt>
                <c:pt idx="1181">
                  <c:v>12.3021513888889</c:v>
                </c:pt>
                <c:pt idx="1182">
                  <c:v>12.312568113426099</c:v>
                </c:pt>
                <c:pt idx="1183">
                  <c:v>12.322984837963309</c:v>
                </c:pt>
                <c:pt idx="1184">
                  <c:v>12.33340156250051</c:v>
                </c:pt>
                <c:pt idx="1185">
                  <c:v>12.34381828703772</c:v>
                </c:pt>
                <c:pt idx="1186">
                  <c:v>12.35423501157493</c:v>
                </c:pt>
                <c:pt idx="1187">
                  <c:v>12.36465173611214</c:v>
                </c:pt>
                <c:pt idx="1188">
                  <c:v>12.37506846064935</c:v>
                </c:pt>
                <c:pt idx="1189">
                  <c:v>12.38548518518655</c:v>
                </c:pt>
                <c:pt idx="1190">
                  <c:v>12.39590190972376</c:v>
                </c:pt>
                <c:pt idx="1191">
                  <c:v>12.40631863426097</c:v>
                </c:pt>
                <c:pt idx="1192">
                  <c:v>12.41673535879818</c:v>
                </c:pt>
                <c:pt idx="1193">
                  <c:v>12.427152083335381</c:v>
                </c:pt>
                <c:pt idx="1194">
                  <c:v>12.437568807872591</c:v>
                </c:pt>
                <c:pt idx="1195">
                  <c:v>12.447985532409801</c:v>
                </c:pt>
                <c:pt idx="1196">
                  <c:v>12.45840225694702</c:v>
                </c:pt>
                <c:pt idx="1197">
                  <c:v>12.468818981484221</c:v>
                </c:pt>
                <c:pt idx="1198">
                  <c:v>12.479235706021431</c:v>
                </c:pt>
                <c:pt idx="1199">
                  <c:v>12.489652430558641</c:v>
                </c:pt>
                <c:pt idx="1200">
                  <c:v>12.50006915509584</c:v>
                </c:pt>
                <c:pt idx="1201">
                  <c:v>12.51048587963305</c:v>
                </c:pt>
                <c:pt idx="1202">
                  <c:v>12.52090260417026</c:v>
                </c:pt>
                <c:pt idx="1203">
                  <c:v>12.53131932870019</c:v>
                </c:pt>
                <c:pt idx="1204">
                  <c:v>12.5417360532374</c:v>
                </c:pt>
                <c:pt idx="1205">
                  <c:v>12.55215277777461</c:v>
                </c:pt>
                <c:pt idx="1206">
                  <c:v>12.56256950231182</c:v>
                </c:pt>
                <c:pt idx="1207">
                  <c:v>12.57298622684903</c:v>
                </c:pt>
                <c:pt idx="1208">
                  <c:v>12.58340295138624</c:v>
                </c:pt>
                <c:pt idx="1209">
                  <c:v>12.59381967592344</c:v>
                </c:pt>
                <c:pt idx="1210">
                  <c:v>12.60423640046065</c:v>
                </c:pt>
                <c:pt idx="1211">
                  <c:v>12.61465312499786</c:v>
                </c:pt>
                <c:pt idx="1212">
                  <c:v>12.62506984953507</c:v>
                </c:pt>
                <c:pt idx="1213">
                  <c:v>12.63548657407228</c:v>
                </c:pt>
                <c:pt idx="1214">
                  <c:v>12.645903298609481</c:v>
                </c:pt>
                <c:pt idx="1215">
                  <c:v>12.6563200231467</c:v>
                </c:pt>
                <c:pt idx="1216">
                  <c:v>12.666736747683901</c:v>
                </c:pt>
                <c:pt idx="1217">
                  <c:v>12.677153472221111</c:v>
                </c:pt>
                <c:pt idx="1218">
                  <c:v>12.687570196758321</c:v>
                </c:pt>
                <c:pt idx="1219">
                  <c:v>12.69798692129552</c:v>
                </c:pt>
                <c:pt idx="1220">
                  <c:v>12.70840364583273</c:v>
                </c:pt>
                <c:pt idx="1221">
                  <c:v>12.71882037036994</c:v>
                </c:pt>
                <c:pt idx="1222">
                  <c:v>12.72923709490715</c:v>
                </c:pt>
                <c:pt idx="1223">
                  <c:v>12.73965381944436</c:v>
                </c:pt>
                <c:pt idx="1224">
                  <c:v>12.750070543981559</c:v>
                </c:pt>
                <c:pt idx="1225">
                  <c:v>12.760487268518769</c:v>
                </c:pt>
                <c:pt idx="1226">
                  <c:v>12.770903993055979</c:v>
                </c:pt>
                <c:pt idx="1227">
                  <c:v>12.781320717593189</c:v>
                </c:pt>
                <c:pt idx="1228">
                  <c:v>12.791737442130399</c:v>
                </c:pt>
                <c:pt idx="1229">
                  <c:v>12.802154166667609</c:v>
                </c:pt>
                <c:pt idx="1230">
                  <c:v>12.812570891204819</c:v>
                </c:pt>
                <c:pt idx="1231">
                  <c:v>12.82298761574202</c:v>
                </c:pt>
                <c:pt idx="1232">
                  <c:v>12.83340434027923</c:v>
                </c:pt>
                <c:pt idx="1233">
                  <c:v>12.84382106481644</c:v>
                </c:pt>
                <c:pt idx="1234">
                  <c:v>12.85423778935365</c:v>
                </c:pt>
                <c:pt idx="1235">
                  <c:v>12.86465451389086</c:v>
                </c:pt>
                <c:pt idx="1236">
                  <c:v>12.87507123842807</c:v>
                </c:pt>
                <c:pt idx="1237">
                  <c:v>12.88548796296527</c:v>
                </c:pt>
                <c:pt idx="1238">
                  <c:v>12.89590468750248</c:v>
                </c:pt>
                <c:pt idx="1239">
                  <c:v>12.90632141203969</c:v>
                </c:pt>
                <c:pt idx="1240">
                  <c:v>12.9167381365769</c:v>
                </c:pt>
                <c:pt idx="1241">
                  <c:v>12.927154861114101</c:v>
                </c:pt>
                <c:pt idx="1242">
                  <c:v>12.937571585651311</c:v>
                </c:pt>
                <c:pt idx="1243">
                  <c:v>12.947988310188521</c:v>
                </c:pt>
                <c:pt idx="1244">
                  <c:v>12.958405034725731</c:v>
                </c:pt>
                <c:pt idx="1245">
                  <c:v>12.968821759255659</c:v>
                </c:pt>
                <c:pt idx="1246">
                  <c:v>12.979238483792869</c:v>
                </c:pt>
                <c:pt idx="1247">
                  <c:v>12.989655208330079</c:v>
                </c:pt>
                <c:pt idx="1248">
                  <c:v>13.0000719328673</c:v>
                </c:pt>
                <c:pt idx="1249">
                  <c:v>13.010488657404499</c:v>
                </c:pt>
                <c:pt idx="1250">
                  <c:v>13.0209053819417</c:v>
                </c:pt>
                <c:pt idx="1251">
                  <c:v>13.03132210647891</c:v>
                </c:pt>
                <c:pt idx="1252">
                  <c:v>13.04173883101612</c:v>
                </c:pt>
                <c:pt idx="1253">
                  <c:v>13.05215555555333</c:v>
                </c:pt>
                <c:pt idx="1254">
                  <c:v>13.06257228009054</c:v>
                </c:pt>
                <c:pt idx="1255">
                  <c:v>13.07298900462775</c:v>
                </c:pt>
                <c:pt idx="1256">
                  <c:v>13.08340572916495</c:v>
                </c:pt>
                <c:pt idx="1257">
                  <c:v>13.09382245370216</c:v>
                </c:pt>
                <c:pt idx="1258">
                  <c:v>13.10423917823937</c:v>
                </c:pt>
                <c:pt idx="1259">
                  <c:v>13.114655902776571</c:v>
                </c:pt>
                <c:pt idx="1260">
                  <c:v>13.125072627313781</c:v>
                </c:pt>
                <c:pt idx="1261">
                  <c:v>13.135489351851</c:v>
                </c:pt>
                <c:pt idx="1262">
                  <c:v>13.145906076388201</c:v>
                </c:pt>
                <c:pt idx="1263">
                  <c:v>13.156322800925411</c:v>
                </c:pt>
                <c:pt idx="1264">
                  <c:v>13.166739525462621</c:v>
                </c:pt>
                <c:pt idx="1265">
                  <c:v>13.177156249999831</c:v>
                </c:pt>
                <c:pt idx="1266">
                  <c:v>13.18757297453703</c:v>
                </c:pt>
                <c:pt idx="1267">
                  <c:v>13.19798969907424</c:v>
                </c:pt>
                <c:pt idx="1268">
                  <c:v>13.20840642361145</c:v>
                </c:pt>
                <c:pt idx="1269">
                  <c:v>13.21882314814866</c:v>
                </c:pt>
                <c:pt idx="1270">
                  <c:v>13.22923987268587</c:v>
                </c:pt>
                <c:pt idx="1271">
                  <c:v>13.23965659722308</c:v>
                </c:pt>
                <c:pt idx="1272">
                  <c:v>13.250073321760279</c:v>
                </c:pt>
                <c:pt idx="1273">
                  <c:v>13.2604900462975</c:v>
                </c:pt>
                <c:pt idx="1274">
                  <c:v>13.270906770834699</c:v>
                </c:pt>
                <c:pt idx="1275">
                  <c:v>13.2813234953719</c:v>
                </c:pt>
                <c:pt idx="1276">
                  <c:v>13.291740219909119</c:v>
                </c:pt>
                <c:pt idx="1277">
                  <c:v>13.302156944446329</c:v>
                </c:pt>
                <c:pt idx="1278">
                  <c:v>13.31257366898353</c:v>
                </c:pt>
                <c:pt idx="1279">
                  <c:v>13.32299039352074</c:v>
                </c:pt>
                <c:pt idx="1280">
                  <c:v>13.33340711805795</c:v>
                </c:pt>
                <c:pt idx="1281">
                  <c:v>13.34382384259515</c:v>
                </c:pt>
                <c:pt idx="1282">
                  <c:v>13.35424056713237</c:v>
                </c:pt>
                <c:pt idx="1283">
                  <c:v>13.36465729166957</c:v>
                </c:pt>
                <c:pt idx="1284">
                  <c:v>13.37507401620678</c:v>
                </c:pt>
                <c:pt idx="1285">
                  <c:v>13.385490740744</c:v>
                </c:pt>
                <c:pt idx="1286">
                  <c:v>13.3959074652812</c:v>
                </c:pt>
                <c:pt idx="1287">
                  <c:v>13.406324189818401</c:v>
                </c:pt>
                <c:pt idx="1288">
                  <c:v>13.41674091434834</c:v>
                </c:pt>
                <c:pt idx="1289">
                  <c:v>13.42715763888555</c:v>
                </c:pt>
                <c:pt idx="1290">
                  <c:v>13.437574363422749</c:v>
                </c:pt>
                <c:pt idx="1291">
                  <c:v>13.447991087959959</c:v>
                </c:pt>
                <c:pt idx="1292">
                  <c:v>13.458407812497169</c:v>
                </c:pt>
                <c:pt idx="1293">
                  <c:v>13.468824537034379</c:v>
                </c:pt>
                <c:pt idx="1294">
                  <c:v>13.479241261571589</c:v>
                </c:pt>
                <c:pt idx="1295">
                  <c:v>13.489657986108799</c:v>
                </c:pt>
                <c:pt idx="1296">
                  <c:v>13.500074710646</c:v>
                </c:pt>
                <c:pt idx="1297">
                  <c:v>13.51049143518321</c:v>
                </c:pt>
                <c:pt idx="1298">
                  <c:v>13.52090815972042</c:v>
                </c:pt>
                <c:pt idx="1299">
                  <c:v>13.53132488425763</c:v>
                </c:pt>
                <c:pt idx="1300">
                  <c:v>13.54174160879484</c:v>
                </c:pt>
                <c:pt idx="1301">
                  <c:v>13.55215833333205</c:v>
                </c:pt>
                <c:pt idx="1302">
                  <c:v>13.56257505786926</c:v>
                </c:pt>
                <c:pt idx="1303">
                  <c:v>13.57299178240646</c:v>
                </c:pt>
                <c:pt idx="1304">
                  <c:v>13.58340850694367</c:v>
                </c:pt>
                <c:pt idx="1305">
                  <c:v>13.59382523148088</c:v>
                </c:pt>
                <c:pt idx="1306">
                  <c:v>13.604241956018081</c:v>
                </c:pt>
                <c:pt idx="1307">
                  <c:v>13.614658680555291</c:v>
                </c:pt>
                <c:pt idx="1308">
                  <c:v>13.625075405092501</c:v>
                </c:pt>
                <c:pt idx="1309">
                  <c:v>13.635492129629711</c:v>
                </c:pt>
                <c:pt idx="1310">
                  <c:v>13.645908854166921</c:v>
                </c:pt>
                <c:pt idx="1311">
                  <c:v>13.656325578704131</c:v>
                </c:pt>
                <c:pt idx="1312">
                  <c:v>13.666742303241341</c:v>
                </c:pt>
                <c:pt idx="1313">
                  <c:v>13.67715902777854</c:v>
                </c:pt>
                <c:pt idx="1314">
                  <c:v>13.68757575231575</c:v>
                </c:pt>
                <c:pt idx="1315">
                  <c:v>13.69799247685296</c:v>
                </c:pt>
                <c:pt idx="1316">
                  <c:v>13.70840920139017</c:v>
                </c:pt>
                <c:pt idx="1317">
                  <c:v>13.718825925927369</c:v>
                </c:pt>
                <c:pt idx="1318">
                  <c:v>13.729242650464579</c:v>
                </c:pt>
                <c:pt idx="1319">
                  <c:v>13.7396593750018</c:v>
                </c:pt>
                <c:pt idx="1320">
                  <c:v>13.750076099538999</c:v>
                </c:pt>
                <c:pt idx="1321">
                  <c:v>13.760492824076209</c:v>
                </c:pt>
                <c:pt idx="1322">
                  <c:v>13.770909548613419</c:v>
                </c:pt>
                <c:pt idx="1323">
                  <c:v>13.78132627315062</c:v>
                </c:pt>
                <c:pt idx="1324">
                  <c:v>13.79174299768783</c:v>
                </c:pt>
                <c:pt idx="1325">
                  <c:v>13.80215972222504</c:v>
                </c:pt>
                <c:pt idx="1326">
                  <c:v>13.81257644676225</c:v>
                </c:pt>
                <c:pt idx="1327">
                  <c:v>13.82299317129946</c:v>
                </c:pt>
                <c:pt idx="1328">
                  <c:v>13.83340989583667</c:v>
                </c:pt>
                <c:pt idx="1329">
                  <c:v>13.84382662037387</c:v>
                </c:pt>
                <c:pt idx="1330">
                  <c:v>13.854243344903811</c:v>
                </c:pt>
                <c:pt idx="1331">
                  <c:v>13.864660069441021</c:v>
                </c:pt>
                <c:pt idx="1332">
                  <c:v>13.875076793978231</c:v>
                </c:pt>
                <c:pt idx="1333">
                  <c:v>13.885493518515441</c:v>
                </c:pt>
                <c:pt idx="1334">
                  <c:v>13.89591024305264</c:v>
                </c:pt>
                <c:pt idx="1335">
                  <c:v>13.90632696758985</c:v>
                </c:pt>
                <c:pt idx="1336">
                  <c:v>13.91674369212706</c:v>
                </c:pt>
                <c:pt idx="1337">
                  <c:v>13.92716041666427</c:v>
                </c:pt>
                <c:pt idx="1338">
                  <c:v>13.937577141201469</c:v>
                </c:pt>
                <c:pt idx="1339">
                  <c:v>13.947993865738679</c:v>
                </c:pt>
                <c:pt idx="1340">
                  <c:v>13.9584105902759</c:v>
                </c:pt>
                <c:pt idx="1341">
                  <c:v>13.968827314813099</c:v>
                </c:pt>
                <c:pt idx="1342">
                  <c:v>13.979244039350309</c:v>
                </c:pt>
                <c:pt idx="1343">
                  <c:v>13.98966076388751</c:v>
                </c:pt>
                <c:pt idx="1344">
                  <c:v>14.00007748842472</c:v>
                </c:pt>
                <c:pt idx="1345">
                  <c:v>14.01049421296193</c:v>
                </c:pt>
                <c:pt idx="1346">
                  <c:v>14.02091093749914</c:v>
                </c:pt>
                <c:pt idx="1347">
                  <c:v>14.03132766203634</c:v>
                </c:pt>
                <c:pt idx="1348">
                  <c:v>14.04174438657355</c:v>
                </c:pt>
                <c:pt idx="1349">
                  <c:v>14.05216111111076</c:v>
                </c:pt>
                <c:pt idx="1350">
                  <c:v>14.06257783564797</c:v>
                </c:pt>
                <c:pt idx="1351">
                  <c:v>14.07299456018518</c:v>
                </c:pt>
                <c:pt idx="1352">
                  <c:v>14.0834112847224</c:v>
                </c:pt>
                <c:pt idx="1353">
                  <c:v>14.093828009259591</c:v>
                </c:pt>
                <c:pt idx="1354">
                  <c:v>14.104244733796801</c:v>
                </c:pt>
                <c:pt idx="1355">
                  <c:v>14.114661458334011</c:v>
                </c:pt>
                <c:pt idx="1356">
                  <c:v>14.125078182871221</c:v>
                </c:pt>
                <c:pt idx="1357">
                  <c:v>14.135494907408431</c:v>
                </c:pt>
                <c:pt idx="1358">
                  <c:v>14.145911631945641</c:v>
                </c:pt>
                <c:pt idx="1359">
                  <c:v>14.156328356482851</c:v>
                </c:pt>
                <c:pt idx="1360">
                  <c:v>14.16674508102005</c:v>
                </c:pt>
                <c:pt idx="1361">
                  <c:v>14.17716180555726</c:v>
                </c:pt>
                <c:pt idx="1362">
                  <c:v>14.18757853009447</c:v>
                </c:pt>
                <c:pt idx="1363">
                  <c:v>14.19799525463168</c:v>
                </c:pt>
                <c:pt idx="1364">
                  <c:v>14.208411979168879</c:v>
                </c:pt>
                <c:pt idx="1365">
                  <c:v>14.218828703706089</c:v>
                </c:pt>
                <c:pt idx="1366">
                  <c:v>14.229245428243299</c:v>
                </c:pt>
                <c:pt idx="1367">
                  <c:v>14.239662152780509</c:v>
                </c:pt>
                <c:pt idx="1368">
                  <c:v>14.250078877317719</c:v>
                </c:pt>
                <c:pt idx="1369">
                  <c:v>14.260495601854929</c:v>
                </c:pt>
                <c:pt idx="1370">
                  <c:v>14.27091232639213</c:v>
                </c:pt>
                <c:pt idx="1371">
                  <c:v>14.28132905092934</c:v>
                </c:pt>
                <c:pt idx="1372">
                  <c:v>14.29174577546655</c:v>
                </c:pt>
                <c:pt idx="1373">
                  <c:v>14.302162499996481</c:v>
                </c:pt>
                <c:pt idx="1374">
                  <c:v>14.3125792245337</c:v>
                </c:pt>
                <c:pt idx="1375">
                  <c:v>14.322995949070901</c:v>
                </c:pt>
                <c:pt idx="1376">
                  <c:v>14.333412673608111</c:v>
                </c:pt>
                <c:pt idx="1377">
                  <c:v>14.343829398145321</c:v>
                </c:pt>
                <c:pt idx="1378">
                  <c:v>14.354246122682531</c:v>
                </c:pt>
                <c:pt idx="1379">
                  <c:v>14.364662847219741</c:v>
                </c:pt>
                <c:pt idx="1380">
                  <c:v>14.375079571756951</c:v>
                </c:pt>
                <c:pt idx="1381">
                  <c:v>14.38549629629415</c:v>
                </c:pt>
                <c:pt idx="1382">
                  <c:v>14.39591302083136</c:v>
                </c:pt>
                <c:pt idx="1383">
                  <c:v>14.406329745368559</c:v>
                </c:pt>
                <c:pt idx="1384">
                  <c:v>14.41674646990578</c:v>
                </c:pt>
                <c:pt idx="1385">
                  <c:v>14.427163194442979</c:v>
                </c:pt>
                <c:pt idx="1386">
                  <c:v>14.4375799189802</c:v>
                </c:pt>
                <c:pt idx="1387">
                  <c:v>14.447996643517399</c:v>
                </c:pt>
                <c:pt idx="1388">
                  <c:v>14.458413368054609</c:v>
                </c:pt>
                <c:pt idx="1389">
                  <c:v>14.468830092591819</c:v>
                </c:pt>
                <c:pt idx="1390">
                  <c:v>14.479246817129029</c:v>
                </c:pt>
                <c:pt idx="1391">
                  <c:v>14.48966354166623</c:v>
                </c:pt>
                <c:pt idx="1392">
                  <c:v>14.50008026620344</c:v>
                </c:pt>
                <c:pt idx="1393">
                  <c:v>14.51049699074065</c:v>
                </c:pt>
                <c:pt idx="1394">
                  <c:v>14.52091371527785</c:v>
                </c:pt>
                <c:pt idx="1395">
                  <c:v>14.53133043981506</c:v>
                </c:pt>
                <c:pt idx="1396">
                  <c:v>14.54174716435227</c:v>
                </c:pt>
                <c:pt idx="1397">
                  <c:v>14.55216388888948</c:v>
                </c:pt>
                <c:pt idx="1398">
                  <c:v>14.5625806134267</c:v>
                </c:pt>
                <c:pt idx="1399">
                  <c:v>14.5729973379639</c:v>
                </c:pt>
                <c:pt idx="1400">
                  <c:v>14.583414062501109</c:v>
                </c:pt>
                <c:pt idx="1401">
                  <c:v>14.593830787038311</c:v>
                </c:pt>
                <c:pt idx="1402">
                  <c:v>14.604247511575521</c:v>
                </c:pt>
                <c:pt idx="1403">
                  <c:v>14.614664236112731</c:v>
                </c:pt>
                <c:pt idx="1404">
                  <c:v>14.625080960649941</c:v>
                </c:pt>
                <c:pt idx="1405">
                  <c:v>14.635497685187151</c:v>
                </c:pt>
                <c:pt idx="1406">
                  <c:v>14.645914409724361</c:v>
                </c:pt>
                <c:pt idx="1407">
                  <c:v>14.65633113426156</c:v>
                </c:pt>
                <c:pt idx="1408">
                  <c:v>14.66674785879877</c:v>
                </c:pt>
                <c:pt idx="1409">
                  <c:v>14.67716458333598</c:v>
                </c:pt>
                <c:pt idx="1410">
                  <c:v>14.68758130787319</c:v>
                </c:pt>
                <c:pt idx="1411">
                  <c:v>14.697998032410389</c:v>
                </c:pt>
                <c:pt idx="1412">
                  <c:v>14.708414756947599</c:v>
                </c:pt>
                <c:pt idx="1413">
                  <c:v>14.718831481484809</c:v>
                </c:pt>
                <c:pt idx="1414">
                  <c:v>14.729248206022019</c:v>
                </c:pt>
                <c:pt idx="1415">
                  <c:v>14.73966493055195</c:v>
                </c:pt>
                <c:pt idx="1416">
                  <c:v>14.75008165508916</c:v>
                </c:pt>
                <c:pt idx="1417">
                  <c:v>14.76049837962637</c:v>
                </c:pt>
                <c:pt idx="1418">
                  <c:v>14.77091510416358</c:v>
                </c:pt>
                <c:pt idx="1419">
                  <c:v>14.781331828700781</c:v>
                </c:pt>
                <c:pt idx="1420">
                  <c:v>14.791748553238</c:v>
                </c:pt>
                <c:pt idx="1421">
                  <c:v>14.802165277775201</c:v>
                </c:pt>
                <c:pt idx="1422">
                  <c:v>14.812582002312411</c:v>
                </c:pt>
                <c:pt idx="1423">
                  <c:v>14.822998726849621</c:v>
                </c:pt>
                <c:pt idx="1424">
                  <c:v>14.833415451386831</c:v>
                </c:pt>
                <c:pt idx="1425">
                  <c:v>14.843832175924041</c:v>
                </c:pt>
                <c:pt idx="1426">
                  <c:v>14.854248900461251</c:v>
                </c:pt>
                <c:pt idx="1427">
                  <c:v>14.86466562499845</c:v>
                </c:pt>
                <c:pt idx="1428">
                  <c:v>14.87508234953566</c:v>
                </c:pt>
                <c:pt idx="1429">
                  <c:v>14.88549907407287</c:v>
                </c:pt>
                <c:pt idx="1430">
                  <c:v>14.895915798610069</c:v>
                </c:pt>
                <c:pt idx="1431">
                  <c:v>14.906332523147301</c:v>
                </c:pt>
                <c:pt idx="1432">
                  <c:v>14.9167492476845</c:v>
                </c:pt>
                <c:pt idx="1433">
                  <c:v>14.927165972221699</c:v>
                </c:pt>
                <c:pt idx="1434">
                  <c:v>14.937582696758909</c:v>
                </c:pt>
                <c:pt idx="1435">
                  <c:v>14.947999421296119</c:v>
                </c:pt>
                <c:pt idx="1436">
                  <c:v>14.958416145833329</c:v>
                </c:pt>
                <c:pt idx="1437">
                  <c:v>14.96883287037053</c:v>
                </c:pt>
                <c:pt idx="1438">
                  <c:v>14.979249594907751</c:v>
                </c:pt>
                <c:pt idx="1439">
                  <c:v>14.98966631944495</c:v>
                </c:pt>
                <c:pt idx="1440">
                  <c:v>15.00008304398216</c:v>
                </c:pt>
                <c:pt idx="1441">
                  <c:v>15.01049976851937</c:v>
                </c:pt>
                <c:pt idx="1442">
                  <c:v>15.02091649305657</c:v>
                </c:pt>
                <c:pt idx="1443">
                  <c:v>15.031333217593779</c:v>
                </c:pt>
                <c:pt idx="1444">
                  <c:v>15.041749942130989</c:v>
                </c:pt>
                <c:pt idx="1445">
                  <c:v>15.052166666668199</c:v>
                </c:pt>
                <c:pt idx="1446">
                  <c:v>15.062583391205409</c:v>
                </c:pt>
                <c:pt idx="1447">
                  <c:v>15.073000115742619</c:v>
                </c:pt>
                <c:pt idx="1448">
                  <c:v>15.083416840279821</c:v>
                </c:pt>
                <c:pt idx="1449">
                  <c:v>15.093833564817031</c:v>
                </c:pt>
                <c:pt idx="1450">
                  <c:v>15.104250289354241</c:v>
                </c:pt>
                <c:pt idx="1451">
                  <c:v>15.114667013891451</c:v>
                </c:pt>
                <c:pt idx="1452">
                  <c:v>15.12508373842866</c:v>
                </c:pt>
                <c:pt idx="1453">
                  <c:v>15.13550046296587</c:v>
                </c:pt>
                <c:pt idx="1454">
                  <c:v>15.14591718750307</c:v>
                </c:pt>
                <c:pt idx="1455">
                  <c:v>15.15633391204028</c:v>
                </c:pt>
                <c:pt idx="1456">
                  <c:v>15.1667506365775</c:v>
                </c:pt>
                <c:pt idx="1457">
                  <c:v>15.1771673611147</c:v>
                </c:pt>
                <c:pt idx="1458">
                  <c:v>15.18758408564463</c:v>
                </c:pt>
                <c:pt idx="1459">
                  <c:v>15.19800081018184</c:v>
                </c:pt>
                <c:pt idx="1460">
                  <c:v>15.20841753471905</c:v>
                </c:pt>
                <c:pt idx="1461">
                  <c:v>15.21883425925626</c:v>
                </c:pt>
                <c:pt idx="1462">
                  <c:v>15.22925098379346</c:v>
                </c:pt>
                <c:pt idx="1463">
                  <c:v>15.23966770833067</c:v>
                </c:pt>
                <c:pt idx="1464">
                  <c:v>15.25008443286788</c:v>
                </c:pt>
                <c:pt idx="1465">
                  <c:v>15.2605011574051</c:v>
                </c:pt>
                <c:pt idx="1466">
                  <c:v>15.270917881942299</c:v>
                </c:pt>
                <c:pt idx="1467">
                  <c:v>15.281334606479501</c:v>
                </c:pt>
                <c:pt idx="1468">
                  <c:v>15.291751331016711</c:v>
                </c:pt>
                <c:pt idx="1469">
                  <c:v>15.302168055553921</c:v>
                </c:pt>
                <c:pt idx="1470">
                  <c:v>15.312584780091131</c:v>
                </c:pt>
                <c:pt idx="1471">
                  <c:v>15.323001504628341</c:v>
                </c:pt>
                <c:pt idx="1472">
                  <c:v>15.333418229165551</c:v>
                </c:pt>
                <c:pt idx="1473">
                  <c:v>15.343834953702761</c:v>
                </c:pt>
                <c:pt idx="1474">
                  <c:v>15.35425167823996</c:v>
                </c:pt>
                <c:pt idx="1475">
                  <c:v>15.36466840277717</c:v>
                </c:pt>
                <c:pt idx="1476">
                  <c:v>15.37508512731438</c:v>
                </c:pt>
                <c:pt idx="1477">
                  <c:v>15.3855018518516</c:v>
                </c:pt>
                <c:pt idx="1478">
                  <c:v>15.3959185763888</c:v>
                </c:pt>
                <c:pt idx="1479">
                  <c:v>15.406335300925999</c:v>
                </c:pt>
                <c:pt idx="1480">
                  <c:v>15.416752025463211</c:v>
                </c:pt>
                <c:pt idx="1481">
                  <c:v>15.427168750000421</c:v>
                </c:pt>
                <c:pt idx="1482">
                  <c:v>15.437585474537631</c:v>
                </c:pt>
                <c:pt idx="1483">
                  <c:v>15.44800219907483</c:v>
                </c:pt>
                <c:pt idx="1484">
                  <c:v>15.45841892361204</c:v>
                </c:pt>
                <c:pt idx="1485">
                  <c:v>15.46883564814925</c:v>
                </c:pt>
                <c:pt idx="1486">
                  <c:v>15.47925237268646</c:v>
                </c:pt>
                <c:pt idx="1487">
                  <c:v>15.48966909722367</c:v>
                </c:pt>
                <c:pt idx="1488">
                  <c:v>15.50008582176088</c:v>
                </c:pt>
                <c:pt idx="1489">
                  <c:v>15.510502546298101</c:v>
                </c:pt>
                <c:pt idx="1490">
                  <c:v>15.5209192708353</c:v>
                </c:pt>
                <c:pt idx="1491">
                  <c:v>15.531335995372499</c:v>
                </c:pt>
                <c:pt idx="1492">
                  <c:v>15.541752719909709</c:v>
                </c:pt>
                <c:pt idx="1493">
                  <c:v>15.552169444446919</c:v>
                </c:pt>
                <c:pt idx="1494">
                  <c:v>15.562586168984129</c:v>
                </c:pt>
                <c:pt idx="1495">
                  <c:v>15.573002893521339</c:v>
                </c:pt>
                <c:pt idx="1496">
                  <c:v>15.58341961805854</c:v>
                </c:pt>
                <c:pt idx="1497">
                  <c:v>15.59383634259575</c:v>
                </c:pt>
                <c:pt idx="1498">
                  <c:v>15.60425306713296</c:v>
                </c:pt>
                <c:pt idx="1499">
                  <c:v>15.61466979167017</c:v>
                </c:pt>
                <c:pt idx="1500">
                  <c:v>15.625086516200099</c:v>
                </c:pt>
                <c:pt idx="1501">
                  <c:v>15.635503240737309</c:v>
                </c:pt>
                <c:pt idx="1502">
                  <c:v>15.64591996527451</c:v>
                </c:pt>
                <c:pt idx="1503">
                  <c:v>15.65633668981172</c:v>
                </c:pt>
                <c:pt idx="1504">
                  <c:v>15.66675341434893</c:v>
                </c:pt>
                <c:pt idx="1505">
                  <c:v>15.67717013888614</c:v>
                </c:pt>
                <c:pt idx="1506">
                  <c:v>15.68758686342335</c:v>
                </c:pt>
                <c:pt idx="1507">
                  <c:v>15.69800358796055</c:v>
                </c:pt>
                <c:pt idx="1508">
                  <c:v>15.708420312497759</c:v>
                </c:pt>
                <c:pt idx="1509">
                  <c:v>15.718837037034969</c:v>
                </c:pt>
                <c:pt idx="1510">
                  <c:v>15.729253761572179</c:v>
                </c:pt>
                <c:pt idx="1511">
                  <c:v>15.739670486109389</c:v>
                </c:pt>
                <c:pt idx="1512">
                  <c:v>15.750087210646599</c:v>
                </c:pt>
                <c:pt idx="1513">
                  <c:v>15.760503935183809</c:v>
                </c:pt>
                <c:pt idx="1514">
                  <c:v>15.770920659721011</c:v>
                </c:pt>
                <c:pt idx="1515">
                  <c:v>15.781337384258221</c:v>
                </c:pt>
                <c:pt idx="1516">
                  <c:v>15.791754108795431</c:v>
                </c:pt>
                <c:pt idx="1517">
                  <c:v>15.80217083333264</c:v>
                </c:pt>
                <c:pt idx="1518">
                  <c:v>15.81258755786985</c:v>
                </c:pt>
                <c:pt idx="1519">
                  <c:v>15.82300428240706</c:v>
                </c:pt>
                <c:pt idx="1520">
                  <c:v>15.83342100694427</c:v>
                </c:pt>
                <c:pt idx="1521">
                  <c:v>15.84383773148147</c:v>
                </c:pt>
                <c:pt idx="1522">
                  <c:v>15.85425445601868</c:v>
                </c:pt>
                <c:pt idx="1523">
                  <c:v>15.86467118055589</c:v>
                </c:pt>
                <c:pt idx="1524">
                  <c:v>15.8750879050931</c:v>
                </c:pt>
                <c:pt idx="1525">
                  <c:v>15.88550462963031</c:v>
                </c:pt>
                <c:pt idx="1526">
                  <c:v>15.895921354167511</c:v>
                </c:pt>
                <c:pt idx="1527">
                  <c:v>15.906338078704721</c:v>
                </c:pt>
                <c:pt idx="1528">
                  <c:v>15.916754803241931</c:v>
                </c:pt>
                <c:pt idx="1529">
                  <c:v>15.927171527779141</c:v>
                </c:pt>
                <c:pt idx="1530">
                  <c:v>15.937588252316351</c:v>
                </c:pt>
                <c:pt idx="1531">
                  <c:v>15.94800497685355</c:v>
                </c:pt>
                <c:pt idx="1532">
                  <c:v>15.95842170139076</c:v>
                </c:pt>
                <c:pt idx="1533">
                  <c:v>15.96883842592797</c:v>
                </c:pt>
                <c:pt idx="1534">
                  <c:v>15.97925515046518</c:v>
                </c:pt>
                <c:pt idx="1535">
                  <c:v>15.989671875002401</c:v>
                </c:pt>
                <c:pt idx="1536">
                  <c:v>16.000088599539591</c:v>
                </c:pt>
                <c:pt idx="1537">
                  <c:v>16.01050532407681</c:v>
                </c:pt>
                <c:pt idx="1538">
                  <c:v>16.020922048614011</c:v>
                </c:pt>
                <c:pt idx="1539">
                  <c:v>16.031338773151219</c:v>
                </c:pt>
                <c:pt idx="1540">
                  <c:v>16.041755497688431</c:v>
                </c:pt>
                <c:pt idx="1541">
                  <c:v>16.052172222225629</c:v>
                </c:pt>
                <c:pt idx="1542">
                  <c:v>16.06258894676283</c:v>
                </c:pt>
                <c:pt idx="1543">
                  <c:v>16.07300567129278</c:v>
                </c:pt>
                <c:pt idx="1544">
                  <c:v>16.08342239582997</c:v>
                </c:pt>
                <c:pt idx="1545">
                  <c:v>16.093839120367189</c:v>
                </c:pt>
                <c:pt idx="1546">
                  <c:v>16.104255844904401</c:v>
                </c:pt>
                <c:pt idx="1547">
                  <c:v>16.114672569441609</c:v>
                </c:pt>
                <c:pt idx="1548">
                  <c:v>16.12508929397881</c:v>
                </c:pt>
                <c:pt idx="1549">
                  <c:v>16.135506018516029</c:v>
                </c:pt>
                <c:pt idx="1550">
                  <c:v>16.14592274305323</c:v>
                </c:pt>
                <c:pt idx="1551">
                  <c:v>16.156339467590449</c:v>
                </c:pt>
                <c:pt idx="1552">
                  <c:v>16.16675619212765</c:v>
                </c:pt>
                <c:pt idx="1553">
                  <c:v>16.177172916664858</c:v>
                </c:pt>
                <c:pt idx="1554">
                  <c:v>16.18758964120207</c:v>
                </c:pt>
                <c:pt idx="1555">
                  <c:v>16.198006365739271</c:v>
                </c:pt>
                <c:pt idx="1556">
                  <c:v>16.208423090276479</c:v>
                </c:pt>
                <c:pt idx="1557">
                  <c:v>16.218839814813691</c:v>
                </c:pt>
                <c:pt idx="1558">
                  <c:v>16.229256539350899</c:v>
                </c:pt>
                <c:pt idx="1559">
                  <c:v>16.239673263888111</c:v>
                </c:pt>
                <c:pt idx="1560">
                  <c:v>16.250089988425309</c:v>
                </c:pt>
                <c:pt idx="1561">
                  <c:v>16.26050671296252</c:v>
                </c:pt>
                <c:pt idx="1562">
                  <c:v>16.270923437499729</c:v>
                </c:pt>
                <c:pt idx="1563">
                  <c:v>16.28134016203694</c:v>
                </c:pt>
                <c:pt idx="1564">
                  <c:v>16.291756886574149</c:v>
                </c:pt>
                <c:pt idx="1565">
                  <c:v>16.30217361111135</c:v>
                </c:pt>
                <c:pt idx="1566">
                  <c:v>16.312590335648569</c:v>
                </c:pt>
                <c:pt idx="1567">
                  <c:v>16.32300706018577</c:v>
                </c:pt>
                <c:pt idx="1568">
                  <c:v>16.333423784722982</c:v>
                </c:pt>
                <c:pt idx="1569">
                  <c:v>16.34384050926019</c:v>
                </c:pt>
                <c:pt idx="1570">
                  <c:v>16.354257233797391</c:v>
                </c:pt>
                <c:pt idx="1571">
                  <c:v>16.36467395833461</c:v>
                </c:pt>
                <c:pt idx="1572">
                  <c:v>16.375090682871811</c:v>
                </c:pt>
                <c:pt idx="1573">
                  <c:v>16.385507407409019</c:v>
                </c:pt>
                <c:pt idx="1574">
                  <c:v>16.395924131946231</c:v>
                </c:pt>
                <c:pt idx="1575">
                  <c:v>16.406340856483439</c:v>
                </c:pt>
                <c:pt idx="1576">
                  <c:v>16.41675758102064</c:v>
                </c:pt>
                <c:pt idx="1577">
                  <c:v>16.427174305557848</c:v>
                </c:pt>
                <c:pt idx="1578">
                  <c:v>16.43759103009506</c:v>
                </c:pt>
                <c:pt idx="1579">
                  <c:v>16.448007754632268</c:v>
                </c:pt>
                <c:pt idx="1580">
                  <c:v>16.45842447916948</c:v>
                </c:pt>
                <c:pt idx="1581">
                  <c:v>16.468841203706681</c:v>
                </c:pt>
                <c:pt idx="1582">
                  <c:v>16.4792579282439</c:v>
                </c:pt>
                <c:pt idx="1583">
                  <c:v>16.48967465278109</c:v>
                </c:pt>
                <c:pt idx="1584">
                  <c:v>16.500091377318309</c:v>
                </c:pt>
                <c:pt idx="1585">
                  <c:v>16.510508101848249</c:v>
                </c:pt>
                <c:pt idx="1586">
                  <c:v>16.52092482638545</c:v>
                </c:pt>
                <c:pt idx="1587">
                  <c:v>16.531341550922662</c:v>
                </c:pt>
                <c:pt idx="1588">
                  <c:v>16.54175827545987</c:v>
                </c:pt>
                <c:pt idx="1589">
                  <c:v>16.552174999997082</c:v>
                </c:pt>
                <c:pt idx="1590">
                  <c:v>16.56259172453429</c:v>
                </c:pt>
                <c:pt idx="1591">
                  <c:v>16.573008449071502</c:v>
                </c:pt>
                <c:pt idx="1592">
                  <c:v>16.583425173608699</c:v>
                </c:pt>
                <c:pt idx="1593">
                  <c:v>16.593841898145911</c:v>
                </c:pt>
                <c:pt idx="1594">
                  <c:v>16.604258622683119</c:v>
                </c:pt>
                <c:pt idx="1595">
                  <c:v>16.614675347220331</c:v>
                </c:pt>
                <c:pt idx="1596">
                  <c:v>16.625092071757521</c:v>
                </c:pt>
                <c:pt idx="1597">
                  <c:v>16.635508796294751</c:v>
                </c:pt>
                <c:pt idx="1598">
                  <c:v>16.645925520831948</c:v>
                </c:pt>
                <c:pt idx="1599">
                  <c:v>16.656342245369139</c:v>
                </c:pt>
                <c:pt idx="1600">
                  <c:v>16.666758969906368</c:v>
                </c:pt>
                <c:pt idx="1601">
                  <c:v>16.67717569444358</c:v>
                </c:pt>
                <c:pt idx="1602">
                  <c:v>16.687592418980781</c:v>
                </c:pt>
                <c:pt idx="1603">
                  <c:v>16.698009143517989</c:v>
                </c:pt>
                <c:pt idx="1604">
                  <c:v>16.708425868055201</c:v>
                </c:pt>
                <c:pt idx="1605">
                  <c:v>16.718842592592409</c:v>
                </c:pt>
                <c:pt idx="1606">
                  <c:v>16.72925931712961</c:v>
                </c:pt>
                <c:pt idx="1607">
                  <c:v>16.739676041666829</c:v>
                </c:pt>
                <c:pt idx="1608">
                  <c:v>16.75009276620403</c:v>
                </c:pt>
                <c:pt idx="1609">
                  <c:v>16.760509490741232</c:v>
                </c:pt>
                <c:pt idx="1610">
                  <c:v>16.77092621527845</c:v>
                </c:pt>
                <c:pt idx="1611">
                  <c:v>16.781342939815641</c:v>
                </c:pt>
                <c:pt idx="1612">
                  <c:v>16.79175966435287</c:v>
                </c:pt>
                <c:pt idx="1613">
                  <c:v>16.802176388890071</c:v>
                </c:pt>
                <c:pt idx="1614">
                  <c:v>16.81259311342728</c:v>
                </c:pt>
                <c:pt idx="1615">
                  <c:v>16.823009837964481</c:v>
                </c:pt>
                <c:pt idx="1616">
                  <c:v>16.8334265625017</c:v>
                </c:pt>
                <c:pt idx="1617">
                  <c:v>16.843843287038901</c:v>
                </c:pt>
                <c:pt idx="1618">
                  <c:v>16.85426001157612</c:v>
                </c:pt>
                <c:pt idx="1619">
                  <c:v>16.864676736113321</c:v>
                </c:pt>
                <c:pt idx="1620">
                  <c:v>16.87509346065054</c:v>
                </c:pt>
                <c:pt idx="1621">
                  <c:v>16.885510185187719</c:v>
                </c:pt>
                <c:pt idx="1622">
                  <c:v>16.895926909724949</c:v>
                </c:pt>
                <c:pt idx="1623">
                  <c:v>16.906343634262139</c:v>
                </c:pt>
                <c:pt idx="1624">
                  <c:v>16.916760358799358</c:v>
                </c:pt>
                <c:pt idx="1625">
                  <c:v>16.92717708333657</c:v>
                </c:pt>
                <c:pt idx="1626">
                  <c:v>16.937593807873782</c:v>
                </c:pt>
                <c:pt idx="1627">
                  <c:v>16.948010532410979</c:v>
                </c:pt>
                <c:pt idx="1628">
                  <c:v>16.958427256940919</c:v>
                </c:pt>
                <c:pt idx="1629">
                  <c:v>16.96884398147812</c:v>
                </c:pt>
                <c:pt idx="1630">
                  <c:v>16.979260706015339</c:v>
                </c:pt>
                <c:pt idx="1631">
                  <c:v>16.98967743055254</c:v>
                </c:pt>
                <c:pt idx="1632">
                  <c:v>17.000094155089759</c:v>
                </c:pt>
                <c:pt idx="1633">
                  <c:v>17.01051087962696</c:v>
                </c:pt>
                <c:pt idx="1634">
                  <c:v>17.020927604164171</c:v>
                </c:pt>
                <c:pt idx="1635">
                  <c:v>17.03134432870138</c:v>
                </c:pt>
                <c:pt idx="1636">
                  <c:v>17.041761053238599</c:v>
                </c:pt>
                <c:pt idx="1637">
                  <c:v>17.052177777775789</c:v>
                </c:pt>
                <c:pt idx="1638">
                  <c:v>17.06259450231299</c:v>
                </c:pt>
                <c:pt idx="1639">
                  <c:v>17.07301122685022</c:v>
                </c:pt>
                <c:pt idx="1640">
                  <c:v>17.083427951387421</c:v>
                </c:pt>
                <c:pt idx="1641">
                  <c:v>17.093844675924629</c:v>
                </c:pt>
                <c:pt idx="1642">
                  <c:v>17.104261400461841</c:v>
                </c:pt>
                <c:pt idx="1643">
                  <c:v>17.114678124999049</c:v>
                </c:pt>
                <c:pt idx="1644">
                  <c:v>17.12509484953625</c:v>
                </c:pt>
                <c:pt idx="1645">
                  <c:v>17.135511574073458</c:v>
                </c:pt>
                <c:pt idx="1646">
                  <c:v>17.14592829861067</c:v>
                </c:pt>
                <c:pt idx="1647">
                  <c:v>17.156345023147878</c:v>
                </c:pt>
                <c:pt idx="1648">
                  <c:v>17.16676174768509</c:v>
                </c:pt>
                <c:pt idx="1649">
                  <c:v>17.177178472222302</c:v>
                </c:pt>
                <c:pt idx="1650">
                  <c:v>17.18759519675951</c:v>
                </c:pt>
                <c:pt idx="1651">
                  <c:v>17.198011921296711</c:v>
                </c:pt>
                <c:pt idx="1652">
                  <c:v>17.208428645833919</c:v>
                </c:pt>
                <c:pt idx="1653">
                  <c:v>17.21884537037112</c:v>
                </c:pt>
                <c:pt idx="1654">
                  <c:v>17.229262094908329</c:v>
                </c:pt>
                <c:pt idx="1655">
                  <c:v>17.23967881944554</c:v>
                </c:pt>
                <c:pt idx="1656">
                  <c:v>17.250095543982749</c:v>
                </c:pt>
                <c:pt idx="1657">
                  <c:v>17.260512268519939</c:v>
                </c:pt>
                <c:pt idx="1658">
                  <c:v>17.270928993057169</c:v>
                </c:pt>
                <c:pt idx="1659">
                  <c:v>17.28134571759438</c:v>
                </c:pt>
                <c:pt idx="1660">
                  <c:v>17.291762442131581</c:v>
                </c:pt>
                <c:pt idx="1661">
                  <c:v>17.30217916666879</c:v>
                </c:pt>
                <c:pt idx="1662">
                  <c:v>17.312595891206001</c:v>
                </c:pt>
                <c:pt idx="1663">
                  <c:v>17.32301261574321</c:v>
                </c:pt>
                <c:pt idx="1664">
                  <c:v>17.333429340280421</c:v>
                </c:pt>
                <c:pt idx="1665">
                  <c:v>17.34384606481763</c:v>
                </c:pt>
                <c:pt idx="1666">
                  <c:v>17.354262789354831</c:v>
                </c:pt>
                <c:pt idx="1667">
                  <c:v>17.364679513892039</c:v>
                </c:pt>
                <c:pt idx="1668">
                  <c:v>17.375096238429229</c:v>
                </c:pt>
                <c:pt idx="1669">
                  <c:v>17.385512962966459</c:v>
                </c:pt>
                <c:pt idx="1670">
                  <c:v>17.395929687496391</c:v>
                </c:pt>
                <c:pt idx="1671">
                  <c:v>17.406346412033599</c:v>
                </c:pt>
                <c:pt idx="1672">
                  <c:v>17.4167631365708</c:v>
                </c:pt>
                <c:pt idx="1673">
                  <c:v>17.427179861108019</c:v>
                </c:pt>
                <c:pt idx="1674">
                  <c:v>17.43759658564522</c:v>
                </c:pt>
                <c:pt idx="1675">
                  <c:v>17.448013310182429</c:v>
                </c:pt>
                <c:pt idx="1676">
                  <c:v>17.458430034719619</c:v>
                </c:pt>
                <c:pt idx="1677">
                  <c:v>17.468846759256849</c:v>
                </c:pt>
                <c:pt idx="1678">
                  <c:v>17.47926348379406</c:v>
                </c:pt>
                <c:pt idx="1679">
                  <c:v>17.48968020833124</c:v>
                </c:pt>
                <c:pt idx="1680">
                  <c:v>17.50009693286847</c:v>
                </c:pt>
                <c:pt idx="1681">
                  <c:v>17.510513657405681</c:v>
                </c:pt>
                <c:pt idx="1682">
                  <c:v>17.52093038194289</c:v>
                </c:pt>
                <c:pt idx="1683">
                  <c:v>17.531347106480101</c:v>
                </c:pt>
                <c:pt idx="1684">
                  <c:v>17.541763831017299</c:v>
                </c:pt>
                <c:pt idx="1685">
                  <c:v>17.552180555554511</c:v>
                </c:pt>
                <c:pt idx="1686">
                  <c:v>17.562597280091719</c:v>
                </c:pt>
                <c:pt idx="1687">
                  <c:v>17.573014004628931</c:v>
                </c:pt>
                <c:pt idx="1688">
                  <c:v>17.583430729166139</c:v>
                </c:pt>
                <c:pt idx="1689">
                  <c:v>17.59384745370334</c:v>
                </c:pt>
                <c:pt idx="1690">
                  <c:v>17.604264178240559</c:v>
                </c:pt>
                <c:pt idx="1691">
                  <c:v>17.61468090277776</c:v>
                </c:pt>
                <c:pt idx="1692">
                  <c:v>17.625097627314979</c:v>
                </c:pt>
                <c:pt idx="1693">
                  <c:v>17.63551435185218</c:v>
                </c:pt>
                <c:pt idx="1694">
                  <c:v>17.645931076389381</c:v>
                </c:pt>
                <c:pt idx="1695">
                  <c:v>17.656347800926589</c:v>
                </c:pt>
                <c:pt idx="1696">
                  <c:v>17.666764525463801</c:v>
                </c:pt>
                <c:pt idx="1697">
                  <c:v>17.67718125000102</c:v>
                </c:pt>
                <c:pt idx="1698">
                  <c:v>17.687597974538221</c:v>
                </c:pt>
                <c:pt idx="1699">
                  <c:v>17.698014699075429</c:v>
                </c:pt>
                <c:pt idx="1700">
                  <c:v>17.708431423612641</c:v>
                </c:pt>
                <c:pt idx="1701">
                  <c:v>17.718848148149849</c:v>
                </c:pt>
                <c:pt idx="1702">
                  <c:v>17.72926487268705</c:v>
                </c:pt>
                <c:pt idx="1703">
                  <c:v>17.739681597224259</c:v>
                </c:pt>
                <c:pt idx="1704">
                  <c:v>17.75009832176147</c:v>
                </c:pt>
                <c:pt idx="1705">
                  <c:v>17.760515046298678</c:v>
                </c:pt>
                <c:pt idx="1706">
                  <c:v>17.77093177083589</c:v>
                </c:pt>
                <c:pt idx="1707">
                  <c:v>17.781348495373081</c:v>
                </c:pt>
                <c:pt idx="1708">
                  <c:v>17.7917652199103</c:v>
                </c:pt>
                <c:pt idx="1709">
                  <c:v>17.802181944447511</c:v>
                </c:pt>
                <c:pt idx="1710">
                  <c:v>17.81259866898472</c:v>
                </c:pt>
                <c:pt idx="1711">
                  <c:v>17.823015393521921</c:v>
                </c:pt>
                <c:pt idx="1712">
                  <c:v>17.83343211805914</c:v>
                </c:pt>
                <c:pt idx="1713">
                  <c:v>17.843848842589061</c:v>
                </c:pt>
                <c:pt idx="1714">
                  <c:v>17.85426556712628</c:v>
                </c:pt>
                <c:pt idx="1715">
                  <c:v>17.864682291663481</c:v>
                </c:pt>
                <c:pt idx="1716">
                  <c:v>17.875099016200689</c:v>
                </c:pt>
                <c:pt idx="1717">
                  <c:v>17.88551574073788</c:v>
                </c:pt>
                <c:pt idx="1718">
                  <c:v>17.895932465275109</c:v>
                </c:pt>
                <c:pt idx="1719">
                  <c:v>17.90634918981231</c:v>
                </c:pt>
                <c:pt idx="1720">
                  <c:v>17.916765914349529</c:v>
                </c:pt>
                <c:pt idx="1721">
                  <c:v>17.92718263888673</c:v>
                </c:pt>
                <c:pt idx="1722">
                  <c:v>17.937599363423931</c:v>
                </c:pt>
                <c:pt idx="1723">
                  <c:v>17.948016087961129</c:v>
                </c:pt>
                <c:pt idx="1724">
                  <c:v>17.958432812498341</c:v>
                </c:pt>
                <c:pt idx="1725">
                  <c:v>17.968849537035549</c:v>
                </c:pt>
                <c:pt idx="1726">
                  <c:v>17.979266261572771</c:v>
                </c:pt>
                <c:pt idx="1727">
                  <c:v>17.989682986109969</c:v>
                </c:pt>
                <c:pt idx="1728">
                  <c:v>18.000099710647191</c:v>
                </c:pt>
                <c:pt idx="1729">
                  <c:v>18.0105164351844</c:v>
                </c:pt>
                <c:pt idx="1730">
                  <c:v>18.020933159721601</c:v>
                </c:pt>
                <c:pt idx="1731">
                  <c:v>18.03134988425882</c:v>
                </c:pt>
                <c:pt idx="1732">
                  <c:v>18.041766608796021</c:v>
                </c:pt>
                <c:pt idx="1733">
                  <c:v>18.052183333333218</c:v>
                </c:pt>
                <c:pt idx="1734">
                  <c:v>18.062600057870441</c:v>
                </c:pt>
                <c:pt idx="1735">
                  <c:v>18.073016782407649</c:v>
                </c:pt>
                <c:pt idx="1736">
                  <c:v>18.083433506944839</c:v>
                </c:pt>
                <c:pt idx="1737">
                  <c:v>18.093850231482069</c:v>
                </c:pt>
                <c:pt idx="1738">
                  <c:v>18.104266956019281</c:v>
                </c:pt>
                <c:pt idx="1739">
                  <c:v>18.114683680556499</c:v>
                </c:pt>
                <c:pt idx="1740">
                  <c:v>18.12510040509369</c:v>
                </c:pt>
                <c:pt idx="1741">
                  <c:v>18.135517129630902</c:v>
                </c:pt>
                <c:pt idx="1742">
                  <c:v>18.145933854168099</c:v>
                </c:pt>
                <c:pt idx="1743">
                  <c:v>18.156350578705311</c:v>
                </c:pt>
                <c:pt idx="1744">
                  <c:v>18.16676730324253</c:v>
                </c:pt>
                <c:pt idx="1745">
                  <c:v>18.177184027779731</c:v>
                </c:pt>
                <c:pt idx="1746">
                  <c:v>18.187600752316939</c:v>
                </c:pt>
                <c:pt idx="1747">
                  <c:v>18.198017476854151</c:v>
                </c:pt>
                <c:pt idx="1748">
                  <c:v>18.208434201391341</c:v>
                </c:pt>
                <c:pt idx="1749">
                  <c:v>18.218850925928571</c:v>
                </c:pt>
                <c:pt idx="1750">
                  <c:v>18.229267650465768</c:v>
                </c:pt>
                <c:pt idx="1751">
                  <c:v>18.23968437500298</c:v>
                </c:pt>
                <c:pt idx="1752">
                  <c:v>18.250101099540188</c:v>
                </c:pt>
                <c:pt idx="1753">
                  <c:v>18.260517824077379</c:v>
                </c:pt>
                <c:pt idx="1754">
                  <c:v>18.270934548614601</c:v>
                </c:pt>
                <c:pt idx="1755">
                  <c:v>18.28135127314453</c:v>
                </c:pt>
                <c:pt idx="1756">
                  <c:v>18.291767997681742</c:v>
                </c:pt>
                <c:pt idx="1757">
                  <c:v>18.302184722218961</c:v>
                </c:pt>
                <c:pt idx="1758">
                  <c:v>18.312601446756169</c:v>
                </c:pt>
                <c:pt idx="1759">
                  <c:v>18.32301817129337</c:v>
                </c:pt>
                <c:pt idx="1760">
                  <c:v>18.333434895830582</c:v>
                </c:pt>
                <c:pt idx="1761">
                  <c:v>18.34385162036779</c:v>
                </c:pt>
                <c:pt idx="1762">
                  <c:v>18.354268344905002</c:v>
                </c:pt>
                <c:pt idx="1763">
                  <c:v>18.36468506944221</c:v>
                </c:pt>
                <c:pt idx="1764">
                  <c:v>18.375101793979411</c:v>
                </c:pt>
                <c:pt idx="1765">
                  <c:v>18.385518518516619</c:v>
                </c:pt>
                <c:pt idx="1766">
                  <c:v>18.395935243053831</c:v>
                </c:pt>
                <c:pt idx="1767">
                  <c:v>18.406351967591039</c:v>
                </c:pt>
                <c:pt idx="1768">
                  <c:v>18.41676869212824</c:v>
                </c:pt>
                <c:pt idx="1769">
                  <c:v>18.427185416665459</c:v>
                </c:pt>
                <c:pt idx="1770">
                  <c:v>18.43760214120266</c:v>
                </c:pt>
                <c:pt idx="1771">
                  <c:v>18.448018865739851</c:v>
                </c:pt>
                <c:pt idx="1772">
                  <c:v>18.45843559027707</c:v>
                </c:pt>
                <c:pt idx="1773">
                  <c:v>18.468852314814281</c:v>
                </c:pt>
                <c:pt idx="1774">
                  <c:v>18.47926903935149</c:v>
                </c:pt>
                <c:pt idx="1775">
                  <c:v>18.489685763888701</c:v>
                </c:pt>
                <c:pt idx="1776">
                  <c:v>18.50010248842591</c:v>
                </c:pt>
                <c:pt idx="1777">
                  <c:v>18.5105192129631</c:v>
                </c:pt>
                <c:pt idx="1778">
                  <c:v>18.52093593750033</c:v>
                </c:pt>
                <c:pt idx="1779">
                  <c:v>18.531352662037531</c:v>
                </c:pt>
                <c:pt idx="1780">
                  <c:v>18.541769386574739</c:v>
                </c:pt>
                <c:pt idx="1781">
                  <c:v>18.552186111111951</c:v>
                </c:pt>
                <c:pt idx="1782">
                  <c:v>18.562602835649141</c:v>
                </c:pt>
                <c:pt idx="1783">
                  <c:v>18.57301956018636</c:v>
                </c:pt>
                <c:pt idx="1784">
                  <c:v>18.58343628472355</c:v>
                </c:pt>
                <c:pt idx="1785">
                  <c:v>18.593853009260801</c:v>
                </c:pt>
                <c:pt idx="1786">
                  <c:v>18.604269733797992</c:v>
                </c:pt>
                <c:pt idx="1787">
                  <c:v>18.6146864583352</c:v>
                </c:pt>
                <c:pt idx="1788">
                  <c:v>18.625103182872412</c:v>
                </c:pt>
                <c:pt idx="1789">
                  <c:v>18.63551990740962</c:v>
                </c:pt>
                <c:pt idx="1790">
                  <c:v>18.645936631946821</c:v>
                </c:pt>
                <c:pt idx="1791">
                  <c:v>18.65635335648404</c:v>
                </c:pt>
                <c:pt idx="1792">
                  <c:v>18.66677008102122</c:v>
                </c:pt>
                <c:pt idx="1793">
                  <c:v>18.677186805558449</c:v>
                </c:pt>
                <c:pt idx="1794">
                  <c:v>18.68760353009565</c:v>
                </c:pt>
                <c:pt idx="1795">
                  <c:v>18.698020254632869</c:v>
                </c:pt>
                <c:pt idx="1796">
                  <c:v>18.70843697917006</c:v>
                </c:pt>
                <c:pt idx="1797">
                  <c:v>18.718853703707289</c:v>
                </c:pt>
                <c:pt idx="1798">
                  <c:v>18.729270428237211</c:v>
                </c:pt>
                <c:pt idx="1799">
                  <c:v>18.73968715277443</c:v>
                </c:pt>
                <c:pt idx="1800">
                  <c:v>18.75010387731162</c:v>
                </c:pt>
                <c:pt idx="1801">
                  <c:v>18.760520601848839</c:v>
                </c:pt>
                <c:pt idx="1802">
                  <c:v>18.770937326386051</c:v>
                </c:pt>
                <c:pt idx="1803">
                  <c:v>18.781354050923241</c:v>
                </c:pt>
                <c:pt idx="1804">
                  <c:v>18.79177077546046</c:v>
                </c:pt>
                <c:pt idx="1805">
                  <c:v>18.802187499997679</c:v>
                </c:pt>
                <c:pt idx="1806">
                  <c:v>18.81260422453488</c:v>
                </c:pt>
                <c:pt idx="1807">
                  <c:v>18.823020949072092</c:v>
                </c:pt>
                <c:pt idx="1808">
                  <c:v>18.833437673609289</c:v>
                </c:pt>
                <c:pt idx="1809">
                  <c:v>18.843854398146512</c:v>
                </c:pt>
                <c:pt idx="1810">
                  <c:v>18.85427112268372</c:v>
                </c:pt>
                <c:pt idx="1811">
                  <c:v>18.864687847220921</c:v>
                </c:pt>
                <c:pt idx="1812">
                  <c:v>18.875104571758129</c:v>
                </c:pt>
                <c:pt idx="1813">
                  <c:v>18.88552129629532</c:v>
                </c:pt>
                <c:pt idx="1814">
                  <c:v>18.895938020832549</c:v>
                </c:pt>
                <c:pt idx="1815">
                  <c:v>18.90635474536975</c:v>
                </c:pt>
                <c:pt idx="1816">
                  <c:v>18.916771469906969</c:v>
                </c:pt>
                <c:pt idx="1817">
                  <c:v>18.92718819444417</c:v>
                </c:pt>
                <c:pt idx="1818">
                  <c:v>18.937604918981371</c:v>
                </c:pt>
                <c:pt idx="1819">
                  <c:v>18.94802164351859</c:v>
                </c:pt>
                <c:pt idx="1820">
                  <c:v>18.958438368055791</c:v>
                </c:pt>
                <c:pt idx="1821">
                  <c:v>18.968855092593</c:v>
                </c:pt>
                <c:pt idx="1822">
                  <c:v>18.979271817130211</c:v>
                </c:pt>
                <c:pt idx="1823">
                  <c:v>18.989688541667419</c:v>
                </c:pt>
                <c:pt idx="1824">
                  <c:v>19.000105266204631</c:v>
                </c:pt>
                <c:pt idx="1825">
                  <c:v>19.010521990741829</c:v>
                </c:pt>
                <c:pt idx="1826">
                  <c:v>19.020938715279041</c:v>
                </c:pt>
                <c:pt idx="1827">
                  <c:v>19.031355439816259</c:v>
                </c:pt>
                <c:pt idx="1828">
                  <c:v>19.041772164353461</c:v>
                </c:pt>
                <c:pt idx="1829">
                  <c:v>19.052188888890669</c:v>
                </c:pt>
                <c:pt idx="1830">
                  <c:v>19.06260561342787</c:v>
                </c:pt>
                <c:pt idx="1831">
                  <c:v>19.073022337965071</c:v>
                </c:pt>
                <c:pt idx="1832">
                  <c:v>19.083439062502279</c:v>
                </c:pt>
                <c:pt idx="1833">
                  <c:v>19.093855787039509</c:v>
                </c:pt>
                <c:pt idx="1834">
                  <c:v>19.10427251157671</c:v>
                </c:pt>
                <c:pt idx="1835">
                  <c:v>19.114689236113911</c:v>
                </c:pt>
                <c:pt idx="1836">
                  <c:v>19.12510596065113</c:v>
                </c:pt>
                <c:pt idx="1837">
                  <c:v>19.13552268518832</c:v>
                </c:pt>
                <c:pt idx="1838">
                  <c:v>19.145939409725539</c:v>
                </c:pt>
                <c:pt idx="1839">
                  <c:v>19.156356134262751</c:v>
                </c:pt>
                <c:pt idx="1840">
                  <c:v>19.16677285879268</c:v>
                </c:pt>
                <c:pt idx="1841">
                  <c:v>19.177189583329881</c:v>
                </c:pt>
                <c:pt idx="1842">
                  <c:v>19.1876063078671</c:v>
                </c:pt>
                <c:pt idx="1843">
                  <c:v>19.198023032404301</c:v>
                </c:pt>
                <c:pt idx="1844">
                  <c:v>19.208439756941509</c:v>
                </c:pt>
                <c:pt idx="1845">
                  <c:v>19.218856481478731</c:v>
                </c:pt>
                <c:pt idx="1846">
                  <c:v>19.229273206015929</c:v>
                </c:pt>
                <c:pt idx="1847">
                  <c:v>19.239689930553119</c:v>
                </c:pt>
                <c:pt idx="1848">
                  <c:v>19.250106655090349</c:v>
                </c:pt>
                <c:pt idx="1849">
                  <c:v>19.260523379627539</c:v>
                </c:pt>
                <c:pt idx="1850">
                  <c:v>19.270940104164762</c:v>
                </c:pt>
                <c:pt idx="1851">
                  <c:v>19.28135682870197</c:v>
                </c:pt>
                <c:pt idx="1852">
                  <c:v>19.291773553239182</c:v>
                </c:pt>
                <c:pt idx="1853">
                  <c:v>19.302190277776379</c:v>
                </c:pt>
                <c:pt idx="1854">
                  <c:v>19.312607002313591</c:v>
                </c:pt>
                <c:pt idx="1855">
                  <c:v>19.32302372685081</c:v>
                </c:pt>
                <c:pt idx="1856">
                  <c:v>19.333440451388011</c:v>
                </c:pt>
                <c:pt idx="1857">
                  <c:v>19.343857175925219</c:v>
                </c:pt>
                <c:pt idx="1858">
                  <c:v>19.354273900462431</c:v>
                </c:pt>
                <c:pt idx="1859">
                  <c:v>19.364690624999639</c:v>
                </c:pt>
                <c:pt idx="1860">
                  <c:v>19.37510734953684</c:v>
                </c:pt>
                <c:pt idx="1861">
                  <c:v>19.385524074074041</c:v>
                </c:pt>
                <c:pt idx="1862">
                  <c:v>19.39594079861126</c:v>
                </c:pt>
                <c:pt idx="1863">
                  <c:v>19.406357523148479</c:v>
                </c:pt>
                <c:pt idx="1864">
                  <c:v>19.41677424768568</c:v>
                </c:pt>
                <c:pt idx="1865">
                  <c:v>19.427190972222881</c:v>
                </c:pt>
                <c:pt idx="1866">
                  <c:v>19.437607696760089</c:v>
                </c:pt>
                <c:pt idx="1867">
                  <c:v>19.448024421297301</c:v>
                </c:pt>
                <c:pt idx="1868">
                  <c:v>19.458441145834509</c:v>
                </c:pt>
                <c:pt idx="1869">
                  <c:v>19.4688578703717</c:v>
                </c:pt>
                <c:pt idx="1870">
                  <c:v>19.479274594908929</c:v>
                </c:pt>
                <c:pt idx="1871">
                  <c:v>19.489691319446131</c:v>
                </c:pt>
                <c:pt idx="1872">
                  <c:v>19.500108043983339</c:v>
                </c:pt>
                <c:pt idx="1873">
                  <c:v>19.510524768520551</c:v>
                </c:pt>
                <c:pt idx="1874">
                  <c:v>19.520941493057769</c:v>
                </c:pt>
                <c:pt idx="1875">
                  <c:v>19.53135821759497</c:v>
                </c:pt>
                <c:pt idx="1876">
                  <c:v>19.541774942132179</c:v>
                </c:pt>
                <c:pt idx="1877">
                  <c:v>19.55219166666939</c:v>
                </c:pt>
                <c:pt idx="1878">
                  <c:v>19.562608391206592</c:v>
                </c:pt>
                <c:pt idx="1879">
                  <c:v>19.5730251157438</c:v>
                </c:pt>
                <c:pt idx="1880">
                  <c:v>19.583441840281001</c:v>
                </c:pt>
                <c:pt idx="1881">
                  <c:v>19.59385856481822</c:v>
                </c:pt>
                <c:pt idx="1882">
                  <c:v>19.604275289355432</c:v>
                </c:pt>
                <c:pt idx="1883">
                  <c:v>19.61469201388536</c:v>
                </c:pt>
                <c:pt idx="1884">
                  <c:v>19.625108738422568</c:v>
                </c:pt>
                <c:pt idx="1885">
                  <c:v>19.63552546295978</c:v>
                </c:pt>
                <c:pt idx="1886">
                  <c:v>19.645942187496981</c:v>
                </c:pt>
                <c:pt idx="1887">
                  <c:v>19.6563589120342</c:v>
                </c:pt>
                <c:pt idx="1888">
                  <c:v>19.666775636571401</c:v>
                </c:pt>
                <c:pt idx="1889">
                  <c:v>19.677192361108609</c:v>
                </c:pt>
                <c:pt idx="1890">
                  <c:v>19.687609085645811</c:v>
                </c:pt>
                <c:pt idx="1891">
                  <c:v>19.698025810183029</c:v>
                </c:pt>
                <c:pt idx="1892">
                  <c:v>19.708442534720209</c:v>
                </c:pt>
                <c:pt idx="1893">
                  <c:v>19.718859259257449</c:v>
                </c:pt>
                <c:pt idx="1894">
                  <c:v>19.729275983794651</c:v>
                </c:pt>
                <c:pt idx="1895">
                  <c:v>19.739692708331859</c:v>
                </c:pt>
                <c:pt idx="1896">
                  <c:v>19.75010943286906</c:v>
                </c:pt>
                <c:pt idx="1897">
                  <c:v>19.760526157406272</c:v>
                </c:pt>
                <c:pt idx="1898">
                  <c:v>19.77094288194348</c:v>
                </c:pt>
                <c:pt idx="1899">
                  <c:v>19.781359606480692</c:v>
                </c:pt>
                <c:pt idx="1900">
                  <c:v>19.7917763310179</c:v>
                </c:pt>
                <c:pt idx="1901">
                  <c:v>19.802193055555101</c:v>
                </c:pt>
                <c:pt idx="1902">
                  <c:v>19.81260978009232</c:v>
                </c:pt>
                <c:pt idx="1903">
                  <c:v>19.823026504629521</c:v>
                </c:pt>
                <c:pt idx="1904">
                  <c:v>19.833443229166729</c:v>
                </c:pt>
                <c:pt idx="1905">
                  <c:v>19.843859953703941</c:v>
                </c:pt>
                <c:pt idx="1906">
                  <c:v>19.854276678241149</c:v>
                </c:pt>
                <c:pt idx="1907">
                  <c:v>19.86469340277835</c:v>
                </c:pt>
                <c:pt idx="1908">
                  <c:v>19.875110127315569</c:v>
                </c:pt>
                <c:pt idx="1909">
                  <c:v>19.88552685185277</c:v>
                </c:pt>
                <c:pt idx="1910">
                  <c:v>19.895943576389971</c:v>
                </c:pt>
                <c:pt idx="1911">
                  <c:v>19.906360300927179</c:v>
                </c:pt>
                <c:pt idx="1912">
                  <c:v>19.916777025464391</c:v>
                </c:pt>
                <c:pt idx="1913">
                  <c:v>19.92719375000161</c:v>
                </c:pt>
                <c:pt idx="1914">
                  <c:v>19.937610474538811</c:v>
                </c:pt>
                <c:pt idx="1915">
                  <c:v>19.948027199076019</c:v>
                </c:pt>
                <c:pt idx="1916">
                  <c:v>19.958443923613221</c:v>
                </c:pt>
                <c:pt idx="1917">
                  <c:v>19.968860648150439</c:v>
                </c:pt>
                <c:pt idx="1918">
                  <c:v>19.97927737268764</c:v>
                </c:pt>
                <c:pt idx="1919">
                  <c:v>19.989694097224849</c:v>
                </c:pt>
                <c:pt idx="1920">
                  <c:v>20.00011082176206</c:v>
                </c:pt>
                <c:pt idx="1921">
                  <c:v>20.010527546299269</c:v>
                </c:pt>
                <c:pt idx="1922">
                  <c:v>20.02094427083648</c:v>
                </c:pt>
                <c:pt idx="1923">
                  <c:v>20.031360995373689</c:v>
                </c:pt>
                <c:pt idx="1924">
                  <c:v>20.0417777199109</c:v>
                </c:pt>
                <c:pt idx="1925">
                  <c:v>20.052194444440829</c:v>
                </c:pt>
                <c:pt idx="1926">
                  <c:v>20.06261116897803</c:v>
                </c:pt>
                <c:pt idx="1927">
                  <c:v>20.073027893515231</c:v>
                </c:pt>
                <c:pt idx="1928">
                  <c:v>20.08344461805245</c:v>
                </c:pt>
                <c:pt idx="1929">
                  <c:v>20.093861342589669</c:v>
                </c:pt>
                <c:pt idx="1930">
                  <c:v>20.10427806712687</c:v>
                </c:pt>
                <c:pt idx="1931">
                  <c:v>20.114694791664078</c:v>
                </c:pt>
                <c:pt idx="1932">
                  <c:v>20.12511151620129</c:v>
                </c:pt>
                <c:pt idx="1933">
                  <c:v>20.135528240738491</c:v>
                </c:pt>
                <c:pt idx="1934">
                  <c:v>20.145944965275699</c:v>
                </c:pt>
                <c:pt idx="1935">
                  <c:v>20.156361689812911</c:v>
                </c:pt>
                <c:pt idx="1936">
                  <c:v>20.166778414350119</c:v>
                </c:pt>
                <c:pt idx="1937">
                  <c:v>20.177195138887331</c:v>
                </c:pt>
                <c:pt idx="1938">
                  <c:v>20.187611863424539</c:v>
                </c:pt>
                <c:pt idx="1939">
                  <c:v>20.19802858796173</c:v>
                </c:pt>
                <c:pt idx="1940">
                  <c:v>20.208445312498949</c:v>
                </c:pt>
                <c:pt idx="1941">
                  <c:v>20.21886203703616</c:v>
                </c:pt>
                <c:pt idx="1942">
                  <c:v>20.229278761573369</c:v>
                </c:pt>
                <c:pt idx="1943">
                  <c:v>20.23969548611058</c:v>
                </c:pt>
                <c:pt idx="1944">
                  <c:v>20.250112210647782</c:v>
                </c:pt>
                <c:pt idx="1945">
                  <c:v>20.260528935184979</c:v>
                </c:pt>
                <c:pt idx="1946">
                  <c:v>20.270945659722202</c:v>
                </c:pt>
                <c:pt idx="1947">
                  <c:v>20.28136238425941</c:v>
                </c:pt>
                <c:pt idx="1948">
                  <c:v>20.291779108796622</c:v>
                </c:pt>
                <c:pt idx="1949">
                  <c:v>20.302195833333819</c:v>
                </c:pt>
                <c:pt idx="1950">
                  <c:v>20.31261255787102</c:v>
                </c:pt>
                <c:pt idx="1951">
                  <c:v>20.323029282408239</c:v>
                </c:pt>
                <c:pt idx="1952">
                  <c:v>20.333446006945451</c:v>
                </c:pt>
                <c:pt idx="1953">
                  <c:v>20.343862731482659</c:v>
                </c:pt>
                <c:pt idx="1954">
                  <c:v>20.354279456019871</c:v>
                </c:pt>
                <c:pt idx="1955">
                  <c:v>20.364696180557068</c:v>
                </c:pt>
                <c:pt idx="1956">
                  <c:v>20.37511290509428</c:v>
                </c:pt>
                <c:pt idx="1957">
                  <c:v>20.385529629631481</c:v>
                </c:pt>
                <c:pt idx="1958">
                  <c:v>20.3959463541687</c:v>
                </c:pt>
                <c:pt idx="1959">
                  <c:v>20.406363078705891</c:v>
                </c:pt>
                <c:pt idx="1960">
                  <c:v>20.416779803243109</c:v>
                </c:pt>
                <c:pt idx="1961">
                  <c:v>20.427196527780321</c:v>
                </c:pt>
                <c:pt idx="1962">
                  <c:v>20.437613252317529</c:v>
                </c:pt>
                <c:pt idx="1963">
                  <c:v>20.44802997685472</c:v>
                </c:pt>
                <c:pt idx="1964">
                  <c:v>20.458446701391932</c:v>
                </c:pt>
                <c:pt idx="1965">
                  <c:v>20.46886342592915</c:v>
                </c:pt>
                <c:pt idx="1966">
                  <c:v>20.479280150466369</c:v>
                </c:pt>
                <c:pt idx="1967">
                  <c:v>20.48969687500356</c:v>
                </c:pt>
                <c:pt idx="1968">
                  <c:v>20.500113599533499</c:v>
                </c:pt>
                <c:pt idx="1969">
                  <c:v>20.510530324070711</c:v>
                </c:pt>
                <c:pt idx="1970">
                  <c:v>20.520947048607919</c:v>
                </c:pt>
                <c:pt idx="1971">
                  <c:v>20.531363773145131</c:v>
                </c:pt>
                <c:pt idx="1972">
                  <c:v>20.541780497682339</c:v>
                </c:pt>
                <c:pt idx="1973">
                  <c:v>20.552197222219551</c:v>
                </c:pt>
                <c:pt idx="1974">
                  <c:v>20.562613946756741</c:v>
                </c:pt>
                <c:pt idx="1975">
                  <c:v>20.57303067129396</c:v>
                </c:pt>
                <c:pt idx="1976">
                  <c:v>20.583447395831161</c:v>
                </c:pt>
                <c:pt idx="1977">
                  <c:v>20.59386412036838</c:v>
                </c:pt>
                <c:pt idx="1978">
                  <c:v>20.604280844905588</c:v>
                </c:pt>
                <c:pt idx="1979">
                  <c:v>20.6146975694428</c:v>
                </c:pt>
                <c:pt idx="1980">
                  <c:v>20.625114293980001</c:v>
                </c:pt>
                <c:pt idx="1981">
                  <c:v>20.635531018517209</c:v>
                </c:pt>
                <c:pt idx="1982">
                  <c:v>20.645947743054421</c:v>
                </c:pt>
                <c:pt idx="1983">
                  <c:v>20.65636446759164</c:v>
                </c:pt>
                <c:pt idx="1984">
                  <c:v>20.66678119212883</c:v>
                </c:pt>
                <c:pt idx="1985">
                  <c:v>20.677197916666049</c:v>
                </c:pt>
                <c:pt idx="1986">
                  <c:v>20.68761464120325</c:v>
                </c:pt>
                <c:pt idx="1987">
                  <c:v>20.698031365740469</c:v>
                </c:pt>
                <c:pt idx="1988">
                  <c:v>20.70844809027767</c:v>
                </c:pt>
                <c:pt idx="1989">
                  <c:v>20.718864814814879</c:v>
                </c:pt>
                <c:pt idx="1990">
                  <c:v>20.72928153935209</c:v>
                </c:pt>
                <c:pt idx="1991">
                  <c:v>20.739698263889291</c:v>
                </c:pt>
                <c:pt idx="1992">
                  <c:v>20.7501149884265</c:v>
                </c:pt>
                <c:pt idx="1993">
                  <c:v>20.76053171296369</c:v>
                </c:pt>
                <c:pt idx="1994">
                  <c:v>20.77094843750092</c:v>
                </c:pt>
                <c:pt idx="1995">
                  <c:v>20.781365162038131</c:v>
                </c:pt>
                <c:pt idx="1996">
                  <c:v>20.791781886575318</c:v>
                </c:pt>
                <c:pt idx="1997">
                  <c:v>20.802198611112541</c:v>
                </c:pt>
                <c:pt idx="1998">
                  <c:v>20.812615335649749</c:v>
                </c:pt>
                <c:pt idx="1999">
                  <c:v>20.823032060186961</c:v>
                </c:pt>
                <c:pt idx="2000">
                  <c:v>20.833448784724169</c:v>
                </c:pt>
                <c:pt idx="2001">
                  <c:v>20.843865509261381</c:v>
                </c:pt>
                <c:pt idx="2002">
                  <c:v>20.854282233798589</c:v>
                </c:pt>
                <c:pt idx="2003">
                  <c:v>20.86469895833579</c:v>
                </c:pt>
                <c:pt idx="2004">
                  <c:v>20.875115682872998</c:v>
                </c:pt>
                <c:pt idx="2005">
                  <c:v>20.88553240741021</c:v>
                </c:pt>
                <c:pt idx="2006">
                  <c:v>20.895949131947411</c:v>
                </c:pt>
                <c:pt idx="2007">
                  <c:v>20.90636585648463</c:v>
                </c:pt>
                <c:pt idx="2008">
                  <c:v>20.91678258102181</c:v>
                </c:pt>
                <c:pt idx="2009">
                  <c:v>20.927199305559039</c:v>
                </c:pt>
                <c:pt idx="2010">
                  <c:v>20.937616030088972</c:v>
                </c:pt>
                <c:pt idx="2011">
                  <c:v>20.94803275462618</c:v>
                </c:pt>
                <c:pt idx="2012">
                  <c:v>20.95844947916337</c:v>
                </c:pt>
                <c:pt idx="2013">
                  <c:v>20.9688662037006</c:v>
                </c:pt>
                <c:pt idx="2014">
                  <c:v>20.979282928237801</c:v>
                </c:pt>
                <c:pt idx="2015">
                  <c:v>20.989699652774998</c:v>
                </c:pt>
                <c:pt idx="2016">
                  <c:v>21.000116377312221</c:v>
                </c:pt>
                <c:pt idx="2017">
                  <c:v>21.010533101849429</c:v>
                </c:pt>
                <c:pt idx="2018">
                  <c:v>21.020949826386641</c:v>
                </c:pt>
                <c:pt idx="2019">
                  <c:v>21.031366550923849</c:v>
                </c:pt>
                <c:pt idx="2020">
                  <c:v>21.041783275461039</c:v>
                </c:pt>
                <c:pt idx="2021">
                  <c:v>21.052199999998258</c:v>
                </c:pt>
                <c:pt idx="2022">
                  <c:v>21.06261672453547</c:v>
                </c:pt>
                <c:pt idx="2023">
                  <c:v>21.073033449072689</c:v>
                </c:pt>
                <c:pt idx="2024">
                  <c:v>21.08345017360989</c:v>
                </c:pt>
                <c:pt idx="2025">
                  <c:v>21.093866898147091</c:v>
                </c:pt>
                <c:pt idx="2026">
                  <c:v>21.10428362268431</c:v>
                </c:pt>
                <c:pt idx="2027">
                  <c:v>21.114700347221511</c:v>
                </c:pt>
                <c:pt idx="2028">
                  <c:v>21.125117071758719</c:v>
                </c:pt>
                <c:pt idx="2029">
                  <c:v>21.135533796295931</c:v>
                </c:pt>
                <c:pt idx="2030">
                  <c:v>21.145950520833139</c:v>
                </c:pt>
                <c:pt idx="2031">
                  <c:v>21.15636724537034</c:v>
                </c:pt>
                <c:pt idx="2032">
                  <c:v>21.166783969907559</c:v>
                </c:pt>
                <c:pt idx="2033">
                  <c:v>21.177200694444771</c:v>
                </c:pt>
                <c:pt idx="2034">
                  <c:v>21.187617418981969</c:v>
                </c:pt>
                <c:pt idx="2035">
                  <c:v>21.19803414351918</c:v>
                </c:pt>
                <c:pt idx="2036">
                  <c:v>21.208450868056389</c:v>
                </c:pt>
                <c:pt idx="2037">
                  <c:v>21.2188675925936</c:v>
                </c:pt>
                <c:pt idx="2038">
                  <c:v>21.229284317130801</c:v>
                </c:pt>
                <c:pt idx="2039">
                  <c:v>21.23970104166801</c:v>
                </c:pt>
                <c:pt idx="2040">
                  <c:v>21.250117766205221</c:v>
                </c:pt>
                <c:pt idx="2041">
                  <c:v>21.26053449074243</c:v>
                </c:pt>
                <c:pt idx="2042">
                  <c:v>21.270951215279641</c:v>
                </c:pt>
                <c:pt idx="2043">
                  <c:v>21.28136793981685</c:v>
                </c:pt>
                <c:pt idx="2044">
                  <c:v>21.291784664354051</c:v>
                </c:pt>
                <c:pt idx="2045">
                  <c:v>21.302201388891259</c:v>
                </c:pt>
                <c:pt idx="2046">
                  <c:v>21.312618113428471</c:v>
                </c:pt>
                <c:pt idx="2047">
                  <c:v>21.323034837965679</c:v>
                </c:pt>
                <c:pt idx="2048">
                  <c:v>21.333451562502901</c:v>
                </c:pt>
                <c:pt idx="2049">
                  <c:v>21.343868287040099</c:v>
                </c:pt>
                <c:pt idx="2050">
                  <c:v>21.3542850115773</c:v>
                </c:pt>
                <c:pt idx="2051">
                  <c:v>21.364701736114519</c:v>
                </c:pt>
                <c:pt idx="2052">
                  <c:v>21.37511846065172</c:v>
                </c:pt>
                <c:pt idx="2053">
                  <c:v>21.385535185181649</c:v>
                </c:pt>
                <c:pt idx="2054">
                  <c:v>21.39595190971886</c:v>
                </c:pt>
                <c:pt idx="2055">
                  <c:v>21.406368634256069</c:v>
                </c:pt>
                <c:pt idx="2056">
                  <c:v>21.41678535879328</c:v>
                </c:pt>
                <c:pt idx="2057">
                  <c:v>21.427202083330481</c:v>
                </c:pt>
                <c:pt idx="2058">
                  <c:v>21.43761880786769</c:v>
                </c:pt>
                <c:pt idx="2059">
                  <c:v>21.44803553240488</c:v>
                </c:pt>
                <c:pt idx="2060">
                  <c:v>21.45845225694211</c:v>
                </c:pt>
                <c:pt idx="2061">
                  <c:v>21.468868981479311</c:v>
                </c:pt>
                <c:pt idx="2062">
                  <c:v>21.47928570601653</c:v>
                </c:pt>
                <c:pt idx="2063">
                  <c:v>21.489702430553709</c:v>
                </c:pt>
                <c:pt idx="2064">
                  <c:v>21.500119155090939</c:v>
                </c:pt>
                <c:pt idx="2065">
                  <c:v>21.510535879628151</c:v>
                </c:pt>
                <c:pt idx="2066">
                  <c:v>21.520952604165359</c:v>
                </c:pt>
                <c:pt idx="2067">
                  <c:v>21.531369328702571</c:v>
                </c:pt>
                <c:pt idx="2068">
                  <c:v>21.541786053239768</c:v>
                </c:pt>
                <c:pt idx="2069">
                  <c:v>21.55220277777698</c:v>
                </c:pt>
                <c:pt idx="2070">
                  <c:v>21.56261950231417</c:v>
                </c:pt>
                <c:pt idx="2071">
                  <c:v>21.5730362268514</c:v>
                </c:pt>
                <c:pt idx="2072">
                  <c:v>21.583452951388601</c:v>
                </c:pt>
                <c:pt idx="2073">
                  <c:v>21.593869675925809</c:v>
                </c:pt>
                <c:pt idx="2074">
                  <c:v>21.604286400463021</c:v>
                </c:pt>
                <c:pt idx="2075">
                  <c:v>21.61470312500024</c:v>
                </c:pt>
                <c:pt idx="2076">
                  <c:v>21.62511984953742</c:v>
                </c:pt>
                <c:pt idx="2077">
                  <c:v>21.635536574074649</c:v>
                </c:pt>
                <c:pt idx="2078">
                  <c:v>21.645953298611861</c:v>
                </c:pt>
                <c:pt idx="2079">
                  <c:v>21.656370023149069</c:v>
                </c:pt>
                <c:pt idx="2080">
                  <c:v>21.66678674768627</c:v>
                </c:pt>
                <c:pt idx="2081">
                  <c:v>21.677203472223489</c:v>
                </c:pt>
                <c:pt idx="2082">
                  <c:v>21.68762019676069</c:v>
                </c:pt>
                <c:pt idx="2083">
                  <c:v>21.698036921297899</c:v>
                </c:pt>
                <c:pt idx="2084">
                  <c:v>21.7084536458351</c:v>
                </c:pt>
                <c:pt idx="2085">
                  <c:v>21.718870370372311</c:v>
                </c:pt>
                <c:pt idx="2086">
                  <c:v>21.72928709490952</c:v>
                </c:pt>
                <c:pt idx="2087">
                  <c:v>21.739703819446731</c:v>
                </c:pt>
                <c:pt idx="2088">
                  <c:v>21.750120543983918</c:v>
                </c:pt>
                <c:pt idx="2089">
                  <c:v>21.76053726852113</c:v>
                </c:pt>
                <c:pt idx="2090">
                  <c:v>21.77095399305836</c:v>
                </c:pt>
                <c:pt idx="2091">
                  <c:v>21.781370717595561</c:v>
                </c:pt>
                <c:pt idx="2092">
                  <c:v>21.791787442132769</c:v>
                </c:pt>
                <c:pt idx="2093">
                  <c:v>21.802204166669981</c:v>
                </c:pt>
                <c:pt idx="2094">
                  <c:v>21.812620891207189</c:v>
                </c:pt>
                <c:pt idx="2095">
                  <c:v>21.823037615737121</c:v>
                </c:pt>
                <c:pt idx="2096">
                  <c:v>21.833454340274329</c:v>
                </c:pt>
                <c:pt idx="2097">
                  <c:v>21.843871064811541</c:v>
                </c:pt>
                <c:pt idx="2098">
                  <c:v>21.854287789348749</c:v>
                </c:pt>
                <c:pt idx="2099">
                  <c:v>21.86470451388595</c:v>
                </c:pt>
                <c:pt idx="2100">
                  <c:v>21.875121238423151</c:v>
                </c:pt>
                <c:pt idx="2101">
                  <c:v>21.885537962960349</c:v>
                </c:pt>
                <c:pt idx="2102">
                  <c:v>21.895954687497579</c:v>
                </c:pt>
                <c:pt idx="2103">
                  <c:v>21.906371412034801</c:v>
                </c:pt>
                <c:pt idx="2104">
                  <c:v>21.916788136571981</c:v>
                </c:pt>
                <c:pt idx="2105">
                  <c:v>21.9272048611092</c:v>
                </c:pt>
                <c:pt idx="2106">
                  <c:v>21.937621585646411</c:v>
                </c:pt>
                <c:pt idx="2107">
                  <c:v>21.94803831018362</c:v>
                </c:pt>
                <c:pt idx="2108">
                  <c:v>21.958455034720821</c:v>
                </c:pt>
                <c:pt idx="2109">
                  <c:v>21.96887175925804</c:v>
                </c:pt>
                <c:pt idx="2110">
                  <c:v>21.979288483795241</c:v>
                </c:pt>
                <c:pt idx="2111">
                  <c:v>21.989705208332449</c:v>
                </c:pt>
                <c:pt idx="2112">
                  <c:v>22.000121932869661</c:v>
                </c:pt>
                <c:pt idx="2113">
                  <c:v>22.010538657406869</c:v>
                </c:pt>
                <c:pt idx="2114">
                  <c:v>22.020955381944081</c:v>
                </c:pt>
                <c:pt idx="2115">
                  <c:v>22.031372106481289</c:v>
                </c:pt>
                <c:pt idx="2116">
                  <c:v>22.04178883101849</c:v>
                </c:pt>
                <c:pt idx="2117">
                  <c:v>22.052205555555702</c:v>
                </c:pt>
                <c:pt idx="2118">
                  <c:v>22.062622280092889</c:v>
                </c:pt>
                <c:pt idx="2119">
                  <c:v>22.073039004630111</c:v>
                </c:pt>
                <c:pt idx="2120">
                  <c:v>22.08345572916733</c:v>
                </c:pt>
                <c:pt idx="2121">
                  <c:v>22.093872453704531</c:v>
                </c:pt>
                <c:pt idx="2122">
                  <c:v>22.104289178241739</c:v>
                </c:pt>
                <c:pt idx="2123">
                  <c:v>22.114705902778951</c:v>
                </c:pt>
                <c:pt idx="2124">
                  <c:v>22.125122627316159</c:v>
                </c:pt>
                <c:pt idx="2125">
                  <c:v>22.13553935185336</c:v>
                </c:pt>
                <c:pt idx="2126">
                  <c:v>22.145956076390579</c:v>
                </c:pt>
                <c:pt idx="2127">
                  <c:v>22.15637280092778</c:v>
                </c:pt>
                <c:pt idx="2128">
                  <c:v>22.166789525464981</c:v>
                </c:pt>
                <c:pt idx="2129">
                  <c:v>22.1772062500022</c:v>
                </c:pt>
                <c:pt idx="2130">
                  <c:v>22.187622974539391</c:v>
                </c:pt>
                <c:pt idx="2131">
                  <c:v>22.19803969907662</c:v>
                </c:pt>
                <c:pt idx="2132">
                  <c:v>22.208456423613821</c:v>
                </c:pt>
                <c:pt idx="2133">
                  <c:v>22.21887314815103</c:v>
                </c:pt>
                <c:pt idx="2134">
                  <c:v>22.22928987268822</c:v>
                </c:pt>
                <c:pt idx="2135">
                  <c:v>22.23970659722545</c:v>
                </c:pt>
                <c:pt idx="2136">
                  <c:v>22.250123321762651</c:v>
                </c:pt>
                <c:pt idx="2137">
                  <c:v>22.260540046299859</c:v>
                </c:pt>
                <c:pt idx="2138">
                  <c:v>22.270956770829791</c:v>
                </c:pt>
                <c:pt idx="2139">
                  <c:v>22.281373495366999</c:v>
                </c:pt>
                <c:pt idx="2140">
                  <c:v>22.291790219904211</c:v>
                </c:pt>
                <c:pt idx="2141">
                  <c:v>22.302206944441419</c:v>
                </c:pt>
                <c:pt idx="2142">
                  <c:v>22.312623668978631</c:v>
                </c:pt>
                <c:pt idx="2143">
                  <c:v>22.323040393515839</c:v>
                </c:pt>
                <c:pt idx="2144">
                  <c:v>22.333457118053051</c:v>
                </c:pt>
                <c:pt idx="2145">
                  <c:v>22.343873842590259</c:v>
                </c:pt>
                <c:pt idx="2146">
                  <c:v>22.35429056712746</c:v>
                </c:pt>
                <c:pt idx="2147">
                  <c:v>22.364707291664669</c:v>
                </c:pt>
                <c:pt idx="2148">
                  <c:v>22.37512401620188</c:v>
                </c:pt>
                <c:pt idx="2149">
                  <c:v>22.385540740739071</c:v>
                </c:pt>
                <c:pt idx="2150">
                  <c:v>22.3959574652763</c:v>
                </c:pt>
                <c:pt idx="2151">
                  <c:v>22.406374189813501</c:v>
                </c:pt>
                <c:pt idx="2152">
                  <c:v>22.41679091435071</c:v>
                </c:pt>
                <c:pt idx="2153">
                  <c:v>22.427207638887921</c:v>
                </c:pt>
                <c:pt idx="2154">
                  <c:v>22.43762436342513</c:v>
                </c:pt>
                <c:pt idx="2155">
                  <c:v>22.44804108796232</c:v>
                </c:pt>
                <c:pt idx="2156">
                  <c:v>22.45845781249955</c:v>
                </c:pt>
                <c:pt idx="2157">
                  <c:v>22.468874537036751</c:v>
                </c:pt>
                <c:pt idx="2158">
                  <c:v>22.479291261573959</c:v>
                </c:pt>
                <c:pt idx="2159">
                  <c:v>22.489707986111149</c:v>
                </c:pt>
                <c:pt idx="2160">
                  <c:v>22.500124710648379</c:v>
                </c:pt>
                <c:pt idx="2161">
                  <c:v>22.510541435185591</c:v>
                </c:pt>
                <c:pt idx="2162">
                  <c:v>22.520958159722799</c:v>
                </c:pt>
                <c:pt idx="2163">
                  <c:v>22.53137488426</c:v>
                </c:pt>
                <c:pt idx="2164">
                  <c:v>22.541791608797212</c:v>
                </c:pt>
                <c:pt idx="2165">
                  <c:v>22.55220833333442</c:v>
                </c:pt>
                <c:pt idx="2166">
                  <c:v>22.562625057871621</c:v>
                </c:pt>
                <c:pt idx="2167">
                  <c:v>22.57304178240884</c:v>
                </c:pt>
                <c:pt idx="2168">
                  <c:v>22.583458506946041</c:v>
                </c:pt>
                <c:pt idx="2169">
                  <c:v>22.593875231483249</c:v>
                </c:pt>
                <c:pt idx="2170">
                  <c:v>22.604291956020461</c:v>
                </c:pt>
                <c:pt idx="2171">
                  <c:v>22.614708680557669</c:v>
                </c:pt>
                <c:pt idx="2172">
                  <c:v>22.625125405094881</c:v>
                </c:pt>
                <c:pt idx="2173">
                  <c:v>22.635542129632089</c:v>
                </c:pt>
                <c:pt idx="2174">
                  <c:v>22.64595885416929</c:v>
                </c:pt>
                <c:pt idx="2175">
                  <c:v>22.656375578706509</c:v>
                </c:pt>
                <c:pt idx="2176">
                  <c:v>22.66679230324371</c:v>
                </c:pt>
                <c:pt idx="2177">
                  <c:v>22.677209027780918</c:v>
                </c:pt>
                <c:pt idx="2178">
                  <c:v>22.68762575231813</c:v>
                </c:pt>
                <c:pt idx="2179">
                  <c:v>22.698042476855321</c:v>
                </c:pt>
                <c:pt idx="2180">
                  <c:v>22.708459201385249</c:v>
                </c:pt>
                <c:pt idx="2181">
                  <c:v>22.718875925922479</c:v>
                </c:pt>
                <c:pt idx="2182">
                  <c:v>22.72929265045968</c:v>
                </c:pt>
                <c:pt idx="2183">
                  <c:v>22.739709374996881</c:v>
                </c:pt>
                <c:pt idx="2184">
                  <c:v>22.7501260995341</c:v>
                </c:pt>
                <c:pt idx="2185">
                  <c:v>22.76054282407129</c:v>
                </c:pt>
                <c:pt idx="2186">
                  <c:v>22.77095954860852</c:v>
                </c:pt>
                <c:pt idx="2187">
                  <c:v>22.78137627314571</c:v>
                </c:pt>
                <c:pt idx="2188">
                  <c:v>22.791792997682929</c:v>
                </c:pt>
                <c:pt idx="2189">
                  <c:v>22.802209722220141</c:v>
                </c:pt>
                <c:pt idx="2190">
                  <c:v>22.812626446757349</c:v>
                </c:pt>
                <c:pt idx="2191">
                  <c:v>22.823043171294561</c:v>
                </c:pt>
                <c:pt idx="2192">
                  <c:v>22.833459895831769</c:v>
                </c:pt>
                <c:pt idx="2193">
                  <c:v>22.84387662036897</c:v>
                </c:pt>
                <c:pt idx="2194">
                  <c:v>22.854293344906189</c:v>
                </c:pt>
                <c:pt idx="2195">
                  <c:v>22.86471006944339</c:v>
                </c:pt>
                <c:pt idx="2196">
                  <c:v>22.875126793980591</c:v>
                </c:pt>
                <c:pt idx="2197">
                  <c:v>22.885543518517789</c:v>
                </c:pt>
                <c:pt idx="2198">
                  <c:v>22.895960243055011</c:v>
                </c:pt>
                <c:pt idx="2199">
                  <c:v>22.90637696759222</c:v>
                </c:pt>
                <c:pt idx="2200">
                  <c:v>22.916793692129421</c:v>
                </c:pt>
                <c:pt idx="2201">
                  <c:v>22.92721041666664</c:v>
                </c:pt>
                <c:pt idx="2202">
                  <c:v>22.937627141203841</c:v>
                </c:pt>
                <c:pt idx="2203">
                  <c:v>22.948043865741042</c:v>
                </c:pt>
                <c:pt idx="2204">
                  <c:v>22.958460590278261</c:v>
                </c:pt>
                <c:pt idx="2205">
                  <c:v>22.968877314815479</c:v>
                </c:pt>
                <c:pt idx="2206">
                  <c:v>22.979294039352681</c:v>
                </c:pt>
                <c:pt idx="2207">
                  <c:v>22.989710763889889</c:v>
                </c:pt>
                <c:pt idx="2208">
                  <c:v>23.00012748842709</c:v>
                </c:pt>
                <c:pt idx="2209">
                  <c:v>23.010544212964291</c:v>
                </c:pt>
                <c:pt idx="2210">
                  <c:v>23.02096093750151</c:v>
                </c:pt>
                <c:pt idx="2211">
                  <c:v>23.031377662038729</c:v>
                </c:pt>
                <c:pt idx="2212">
                  <c:v>23.041794386575919</c:v>
                </c:pt>
                <c:pt idx="2213">
                  <c:v>23.052211111113131</c:v>
                </c:pt>
                <c:pt idx="2214">
                  <c:v>23.062627835650328</c:v>
                </c:pt>
                <c:pt idx="2215">
                  <c:v>23.073044560187551</c:v>
                </c:pt>
                <c:pt idx="2216">
                  <c:v>23.083461284724759</c:v>
                </c:pt>
                <c:pt idx="2217">
                  <c:v>23.093878009261971</c:v>
                </c:pt>
                <c:pt idx="2218">
                  <c:v>23.104294733799179</c:v>
                </c:pt>
                <c:pt idx="2219">
                  <c:v>23.114711458336402</c:v>
                </c:pt>
                <c:pt idx="2220">
                  <c:v>23.125128182873599</c:v>
                </c:pt>
                <c:pt idx="2221">
                  <c:v>23.1355449074108</c:v>
                </c:pt>
                <c:pt idx="2222">
                  <c:v>23.145961631948019</c:v>
                </c:pt>
                <c:pt idx="2223">
                  <c:v>23.156378356477941</c:v>
                </c:pt>
                <c:pt idx="2224">
                  <c:v>23.166795081015149</c:v>
                </c:pt>
                <c:pt idx="2225">
                  <c:v>23.177211805552361</c:v>
                </c:pt>
                <c:pt idx="2226">
                  <c:v>23.187628530089569</c:v>
                </c:pt>
                <c:pt idx="2227">
                  <c:v>23.198045254626781</c:v>
                </c:pt>
                <c:pt idx="2228">
                  <c:v>23.208461979163971</c:v>
                </c:pt>
                <c:pt idx="2229">
                  <c:v>23.21887870370119</c:v>
                </c:pt>
                <c:pt idx="2230">
                  <c:v>23.229295428238409</c:v>
                </c:pt>
                <c:pt idx="2231">
                  <c:v>23.23971215277561</c:v>
                </c:pt>
                <c:pt idx="2232">
                  <c:v>23.250128877312811</c:v>
                </c:pt>
                <c:pt idx="2233">
                  <c:v>23.26054560185003</c:v>
                </c:pt>
                <c:pt idx="2234">
                  <c:v>23.270962326387231</c:v>
                </c:pt>
                <c:pt idx="2235">
                  <c:v>23.281379050924439</c:v>
                </c:pt>
                <c:pt idx="2236">
                  <c:v>23.291795775461651</c:v>
                </c:pt>
                <c:pt idx="2237">
                  <c:v>23.302212499998859</c:v>
                </c:pt>
                <c:pt idx="2238">
                  <c:v>23.31262922453606</c:v>
                </c:pt>
                <c:pt idx="2239">
                  <c:v>23.323045949073279</c:v>
                </c:pt>
                <c:pt idx="2240">
                  <c:v>23.333462673610502</c:v>
                </c:pt>
                <c:pt idx="2241">
                  <c:v>23.343879398147688</c:v>
                </c:pt>
                <c:pt idx="2242">
                  <c:v>23.3542961226849</c:v>
                </c:pt>
                <c:pt idx="2243">
                  <c:v>23.364712847222091</c:v>
                </c:pt>
                <c:pt idx="2244">
                  <c:v>23.375129571759299</c:v>
                </c:pt>
                <c:pt idx="2245">
                  <c:v>23.385546296296521</c:v>
                </c:pt>
                <c:pt idx="2246">
                  <c:v>23.395963020833729</c:v>
                </c:pt>
                <c:pt idx="2247">
                  <c:v>23.40637974537092</c:v>
                </c:pt>
                <c:pt idx="2248">
                  <c:v>23.416796469908149</c:v>
                </c:pt>
                <c:pt idx="2249">
                  <c:v>23.427213194445351</c:v>
                </c:pt>
                <c:pt idx="2250">
                  <c:v>23.437629918982569</c:v>
                </c:pt>
                <c:pt idx="2251">
                  <c:v>23.44804664351976</c:v>
                </c:pt>
                <c:pt idx="2252">
                  <c:v>23.458463368056989</c:v>
                </c:pt>
                <c:pt idx="2253">
                  <c:v>23.468880092594191</c:v>
                </c:pt>
                <c:pt idx="2254">
                  <c:v>23.479296817131381</c:v>
                </c:pt>
                <c:pt idx="2255">
                  <c:v>23.489713541668589</c:v>
                </c:pt>
                <c:pt idx="2256">
                  <c:v>23.500130266205812</c:v>
                </c:pt>
                <c:pt idx="2257">
                  <c:v>23.51054699074302</c:v>
                </c:pt>
                <c:pt idx="2258">
                  <c:v>23.520963715280239</c:v>
                </c:pt>
                <c:pt idx="2259">
                  <c:v>23.53138043981744</c:v>
                </c:pt>
                <c:pt idx="2260">
                  <c:v>23.541797164354652</c:v>
                </c:pt>
                <c:pt idx="2261">
                  <c:v>23.552213888891849</c:v>
                </c:pt>
                <c:pt idx="2262">
                  <c:v>23.56263061342905</c:v>
                </c:pt>
                <c:pt idx="2263">
                  <c:v>23.573047337966269</c:v>
                </c:pt>
                <c:pt idx="2264">
                  <c:v>23.583464062503481</c:v>
                </c:pt>
                <c:pt idx="2265">
                  <c:v>23.59388078703342</c:v>
                </c:pt>
                <c:pt idx="2266">
                  <c:v>23.604297511570621</c:v>
                </c:pt>
                <c:pt idx="2267">
                  <c:v>23.614714236107829</c:v>
                </c:pt>
                <c:pt idx="2268">
                  <c:v>23.625130960645031</c:v>
                </c:pt>
                <c:pt idx="2269">
                  <c:v>23.635547685182239</c:v>
                </c:pt>
                <c:pt idx="2270">
                  <c:v>23.645964409719461</c:v>
                </c:pt>
                <c:pt idx="2271">
                  <c:v>23.656381134256669</c:v>
                </c:pt>
                <c:pt idx="2272">
                  <c:v>23.666797858793871</c:v>
                </c:pt>
                <c:pt idx="2273">
                  <c:v>23.677214583331079</c:v>
                </c:pt>
                <c:pt idx="2274">
                  <c:v>23.687631307868291</c:v>
                </c:pt>
                <c:pt idx="2275">
                  <c:v>23.698048032405492</c:v>
                </c:pt>
                <c:pt idx="2276">
                  <c:v>23.7084647569427</c:v>
                </c:pt>
                <c:pt idx="2277">
                  <c:v>23.718881481479919</c:v>
                </c:pt>
                <c:pt idx="2278">
                  <c:v>23.72929820601712</c:v>
                </c:pt>
                <c:pt idx="2279">
                  <c:v>23.739714930554321</c:v>
                </c:pt>
                <c:pt idx="2280">
                  <c:v>23.75013165509154</c:v>
                </c:pt>
                <c:pt idx="2281">
                  <c:v>23.76054837962873</c:v>
                </c:pt>
                <c:pt idx="2282">
                  <c:v>23.770965104165949</c:v>
                </c:pt>
                <c:pt idx="2283">
                  <c:v>23.781381828703161</c:v>
                </c:pt>
                <c:pt idx="2284">
                  <c:v>23.791798553240369</c:v>
                </c:pt>
                <c:pt idx="2285">
                  <c:v>23.80221527777757</c:v>
                </c:pt>
                <c:pt idx="2286">
                  <c:v>23.812632002314778</c:v>
                </c:pt>
                <c:pt idx="2287">
                  <c:v>23.823048726852001</c:v>
                </c:pt>
                <c:pt idx="2288">
                  <c:v>23.833465451389209</c:v>
                </c:pt>
                <c:pt idx="2289">
                  <c:v>23.84388217592641</c:v>
                </c:pt>
                <c:pt idx="2290">
                  <c:v>23.854298900463618</c:v>
                </c:pt>
                <c:pt idx="2291">
                  <c:v>23.86471562500083</c:v>
                </c:pt>
                <c:pt idx="2292">
                  <c:v>23.875132349538021</c:v>
                </c:pt>
                <c:pt idx="2293">
                  <c:v>23.885549074075222</c:v>
                </c:pt>
                <c:pt idx="2294">
                  <c:v>23.895965798612451</c:v>
                </c:pt>
                <c:pt idx="2295">
                  <c:v>23.906382523149659</c:v>
                </c:pt>
                <c:pt idx="2296">
                  <c:v>23.91679924768686</c:v>
                </c:pt>
                <c:pt idx="2297">
                  <c:v>23.927215972224079</c:v>
                </c:pt>
                <c:pt idx="2298">
                  <c:v>23.93763269676127</c:v>
                </c:pt>
                <c:pt idx="2299">
                  <c:v>23.948049421298489</c:v>
                </c:pt>
                <c:pt idx="2300">
                  <c:v>23.9584661458357</c:v>
                </c:pt>
                <c:pt idx="2301">
                  <c:v>23.968882870372891</c:v>
                </c:pt>
                <c:pt idx="2302">
                  <c:v>23.97929959491011</c:v>
                </c:pt>
                <c:pt idx="2303">
                  <c:v>23.989716319447311</c:v>
                </c:pt>
                <c:pt idx="2304">
                  <c:v>24.00013304398453</c:v>
                </c:pt>
                <c:pt idx="2305">
                  <c:v>24.01054976852172</c:v>
                </c:pt>
                <c:pt idx="2306">
                  <c:v>24.02096649305895</c:v>
                </c:pt>
                <c:pt idx="2307">
                  <c:v>24.031383217596161</c:v>
                </c:pt>
                <c:pt idx="2308">
                  <c:v>24.04179994212608</c:v>
                </c:pt>
                <c:pt idx="2309">
                  <c:v>24.052216666663281</c:v>
                </c:pt>
                <c:pt idx="2310">
                  <c:v>24.062633391200499</c:v>
                </c:pt>
                <c:pt idx="2311">
                  <c:v>24.073050115737711</c:v>
                </c:pt>
                <c:pt idx="2312">
                  <c:v>24.083466840274919</c:v>
                </c:pt>
                <c:pt idx="2313">
                  <c:v>24.093883564812131</c:v>
                </c:pt>
                <c:pt idx="2314">
                  <c:v>24.104300289349339</c:v>
                </c:pt>
                <c:pt idx="2315">
                  <c:v>24.114717013886551</c:v>
                </c:pt>
                <c:pt idx="2316">
                  <c:v>24.125133738423749</c:v>
                </c:pt>
                <c:pt idx="2317">
                  <c:v>24.135550462960961</c:v>
                </c:pt>
                <c:pt idx="2318">
                  <c:v>24.145967187498179</c:v>
                </c:pt>
                <c:pt idx="2319">
                  <c:v>24.15638391203538</c:v>
                </c:pt>
                <c:pt idx="2320">
                  <c:v>24.166800636572589</c:v>
                </c:pt>
                <c:pt idx="2321">
                  <c:v>24.1772173611098</c:v>
                </c:pt>
                <c:pt idx="2322">
                  <c:v>24.187634085647002</c:v>
                </c:pt>
                <c:pt idx="2323">
                  <c:v>24.19805081018421</c:v>
                </c:pt>
                <c:pt idx="2324">
                  <c:v>24.208467534721411</c:v>
                </c:pt>
                <c:pt idx="2325">
                  <c:v>24.21888425925863</c:v>
                </c:pt>
                <c:pt idx="2326">
                  <c:v>24.22930098379582</c:v>
                </c:pt>
                <c:pt idx="2327">
                  <c:v>24.239717708333039</c:v>
                </c:pt>
                <c:pt idx="2328">
                  <c:v>24.250134432870251</c:v>
                </c:pt>
                <c:pt idx="2329">
                  <c:v>24.26055115740747</c:v>
                </c:pt>
                <c:pt idx="2330">
                  <c:v>24.270967881944671</c:v>
                </c:pt>
                <c:pt idx="2331">
                  <c:v>24.281384606481879</c:v>
                </c:pt>
                <c:pt idx="2332">
                  <c:v>24.291801331019101</c:v>
                </c:pt>
                <c:pt idx="2333">
                  <c:v>24.302218055556288</c:v>
                </c:pt>
                <c:pt idx="2334">
                  <c:v>24.3126347800935</c:v>
                </c:pt>
                <c:pt idx="2335">
                  <c:v>24.323051504630719</c:v>
                </c:pt>
                <c:pt idx="2336">
                  <c:v>24.33346822916792</c:v>
                </c:pt>
                <c:pt idx="2337">
                  <c:v>24.343884953705128</c:v>
                </c:pt>
                <c:pt idx="2338">
                  <c:v>24.35430167824234</c:v>
                </c:pt>
                <c:pt idx="2339">
                  <c:v>24.364718402779541</c:v>
                </c:pt>
                <c:pt idx="2340">
                  <c:v>24.37513512731676</c:v>
                </c:pt>
                <c:pt idx="2341">
                  <c:v>24.385551851853961</c:v>
                </c:pt>
                <c:pt idx="2342">
                  <c:v>24.395968576391169</c:v>
                </c:pt>
                <c:pt idx="2343">
                  <c:v>24.40638530092837</c:v>
                </c:pt>
                <c:pt idx="2344">
                  <c:v>24.416802025465589</c:v>
                </c:pt>
                <c:pt idx="2345">
                  <c:v>24.427218750002801</c:v>
                </c:pt>
                <c:pt idx="2346">
                  <c:v>24.437635474539999</c:v>
                </c:pt>
                <c:pt idx="2347">
                  <c:v>24.44805219907721</c:v>
                </c:pt>
                <c:pt idx="2348">
                  <c:v>24.458468923614419</c:v>
                </c:pt>
                <c:pt idx="2349">
                  <c:v>24.46888564815163</c:v>
                </c:pt>
                <c:pt idx="2350">
                  <c:v>24.479302372681559</c:v>
                </c:pt>
                <c:pt idx="2351">
                  <c:v>24.48971909721876</c:v>
                </c:pt>
                <c:pt idx="2352">
                  <c:v>24.500135821755968</c:v>
                </c:pt>
                <c:pt idx="2353">
                  <c:v>24.51055254629318</c:v>
                </c:pt>
                <c:pt idx="2354">
                  <c:v>24.520969270830381</c:v>
                </c:pt>
                <c:pt idx="2355">
                  <c:v>24.5313859953676</c:v>
                </c:pt>
                <c:pt idx="2356">
                  <c:v>24.541802719904808</c:v>
                </c:pt>
                <c:pt idx="2357">
                  <c:v>24.55221944444202</c:v>
                </c:pt>
                <c:pt idx="2358">
                  <c:v>24.562636168979211</c:v>
                </c:pt>
                <c:pt idx="2359">
                  <c:v>24.573052893516429</c:v>
                </c:pt>
                <c:pt idx="2360">
                  <c:v>24.583469618053641</c:v>
                </c:pt>
                <c:pt idx="2361">
                  <c:v>24.593886342590849</c:v>
                </c:pt>
                <c:pt idx="2362">
                  <c:v>24.604303067128061</c:v>
                </c:pt>
                <c:pt idx="2363">
                  <c:v>24.614719791665269</c:v>
                </c:pt>
                <c:pt idx="2364">
                  <c:v>24.62513651620247</c:v>
                </c:pt>
                <c:pt idx="2365">
                  <c:v>24.635553240739679</c:v>
                </c:pt>
                <c:pt idx="2366">
                  <c:v>24.645969965276901</c:v>
                </c:pt>
                <c:pt idx="2367">
                  <c:v>24.656386689814099</c:v>
                </c:pt>
                <c:pt idx="2368">
                  <c:v>24.66680341435131</c:v>
                </c:pt>
                <c:pt idx="2369">
                  <c:v>24.677220138888519</c:v>
                </c:pt>
                <c:pt idx="2370">
                  <c:v>24.68763686342572</c:v>
                </c:pt>
                <c:pt idx="2371">
                  <c:v>24.698053587962921</c:v>
                </c:pt>
                <c:pt idx="2372">
                  <c:v>24.70847031250014</c:v>
                </c:pt>
                <c:pt idx="2373">
                  <c:v>24.718887037037341</c:v>
                </c:pt>
                <c:pt idx="2374">
                  <c:v>24.72930376157456</c:v>
                </c:pt>
                <c:pt idx="2375">
                  <c:v>24.739720486111761</c:v>
                </c:pt>
                <c:pt idx="2376">
                  <c:v>24.750137210648969</c:v>
                </c:pt>
                <c:pt idx="2377">
                  <c:v>24.760553935186181</c:v>
                </c:pt>
                <c:pt idx="2378">
                  <c:v>24.770970659723389</c:v>
                </c:pt>
                <c:pt idx="2379">
                  <c:v>24.78138738426059</c:v>
                </c:pt>
                <c:pt idx="2380">
                  <c:v>24.791804108797809</c:v>
                </c:pt>
                <c:pt idx="2381">
                  <c:v>24.802220833334999</c:v>
                </c:pt>
                <c:pt idx="2382">
                  <c:v>24.812637557872218</c:v>
                </c:pt>
                <c:pt idx="2383">
                  <c:v>24.82305428240943</c:v>
                </c:pt>
                <c:pt idx="2384">
                  <c:v>24.833471006946638</c:v>
                </c:pt>
                <c:pt idx="2385">
                  <c:v>24.84388773148385</c:v>
                </c:pt>
                <c:pt idx="2386">
                  <c:v>24.854304456021051</c:v>
                </c:pt>
                <c:pt idx="2387">
                  <c:v>24.864721180558259</c:v>
                </c:pt>
                <c:pt idx="2388">
                  <c:v>24.875137905095471</c:v>
                </c:pt>
                <c:pt idx="2389">
                  <c:v>24.885554629632679</c:v>
                </c:pt>
                <c:pt idx="2390">
                  <c:v>24.895971354169891</c:v>
                </c:pt>
                <c:pt idx="2391">
                  <c:v>24.906388078707089</c:v>
                </c:pt>
                <c:pt idx="2392">
                  <c:v>24.9168048032443</c:v>
                </c:pt>
                <c:pt idx="2393">
                  <c:v>24.927221527774229</c:v>
                </c:pt>
                <c:pt idx="2394">
                  <c:v>24.937638252311441</c:v>
                </c:pt>
                <c:pt idx="2395">
                  <c:v>24.948054976848649</c:v>
                </c:pt>
                <c:pt idx="2396">
                  <c:v>24.958471701385861</c:v>
                </c:pt>
                <c:pt idx="2397">
                  <c:v>24.968888425923069</c:v>
                </c:pt>
                <c:pt idx="2398">
                  <c:v>24.979305150460281</c:v>
                </c:pt>
                <c:pt idx="2399">
                  <c:v>24.989721874997471</c:v>
                </c:pt>
                <c:pt idx="2400">
                  <c:v>25.00013859953469</c:v>
                </c:pt>
                <c:pt idx="2401">
                  <c:v>25.010555324071909</c:v>
                </c:pt>
                <c:pt idx="2402">
                  <c:v>25.02097204860911</c:v>
                </c:pt>
                <c:pt idx="2403">
                  <c:v>25.031388773146318</c:v>
                </c:pt>
                <c:pt idx="2404">
                  <c:v>25.04180549768353</c:v>
                </c:pt>
                <c:pt idx="2405">
                  <c:v>25.05222222222072</c:v>
                </c:pt>
                <c:pt idx="2406">
                  <c:v>25.062638946757929</c:v>
                </c:pt>
                <c:pt idx="2407">
                  <c:v>25.073055671295151</c:v>
                </c:pt>
                <c:pt idx="2408">
                  <c:v>25.083472395832359</c:v>
                </c:pt>
                <c:pt idx="2409">
                  <c:v>25.093889120369571</c:v>
                </c:pt>
                <c:pt idx="2410">
                  <c:v>25.104305844906779</c:v>
                </c:pt>
                <c:pt idx="2411">
                  <c:v>25.11472256944398</c:v>
                </c:pt>
                <c:pt idx="2412">
                  <c:v>25.125139293981182</c:v>
                </c:pt>
                <c:pt idx="2413">
                  <c:v>25.1355560185184</c:v>
                </c:pt>
                <c:pt idx="2414">
                  <c:v>25.145972743055609</c:v>
                </c:pt>
                <c:pt idx="2415">
                  <c:v>25.15638946759282</c:v>
                </c:pt>
                <c:pt idx="2416">
                  <c:v>25.166806192130021</c:v>
                </c:pt>
                <c:pt idx="2417">
                  <c:v>25.17722291666723</c:v>
                </c:pt>
                <c:pt idx="2418">
                  <c:v>25.187639641204441</c:v>
                </c:pt>
                <c:pt idx="2419">
                  <c:v>25.19805636574165</c:v>
                </c:pt>
                <c:pt idx="2420">
                  <c:v>25.208473090278851</c:v>
                </c:pt>
                <c:pt idx="2421">
                  <c:v>25.21888981481607</c:v>
                </c:pt>
                <c:pt idx="2422">
                  <c:v>25.22930653935326</c:v>
                </c:pt>
                <c:pt idx="2423">
                  <c:v>25.23972326389049</c:v>
                </c:pt>
                <c:pt idx="2424">
                  <c:v>25.25013998842768</c:v>
                </c:pt>
                <c:pt idx="2425">
                  <c:v>25.260556712964899</c:v>
                </c:pt>
                <c:pt idx="2426">
                  <c:v>25.270973437502111</c:v>
                </c:pt>
                <c:pt idx="2427">
                  <c:v>25.281390162039312</c:v>
                </c:pt>
                <c:pt idx="2428">
                  <c:v>25.29180688657652</c:v>
                </c:pt>
                <c:pt idx="2429">
                  <c:v>25.302223611113721</c:v>
                </c:pt>
                <c:pt idx="2430">
                  <c:v>25.31264033565094</c:v>
                </c:pt>
                <c:pt idx="2431">
                  <c:v>25.323057060188152</c:v>
                </c:pt>
                <c:pt idx="2432">
                  <c:v>25.333473784725349</c:v>
                </c:pt>
                <c:pt idx="2433">
                  <c:v>25.343890509262561</c:v>
                </c:pt>
                <c:pt idx="2434">
                  <c:v>25.354307233799769</c:v>
                </c:pt>
                <c:pt idx="2435">
                  <c:v>25.364723958329691</c:v>
                </c:pt>
                <c:pt idx="2436">
                  <c:v>25.37514068286691</c:v>
                </c:pt>
                <c:pt idx="2437">
                  <c:v>25.385557407404121</c:v>
                </c:pt>
                <c:pt idx="2438">
                  <c:v>25.39597413194133</c:v>
                </c:pt>
                <c:pt idx="2439">
                  <c:v>25.406390856478531</c:v>
                </c:pt>
                <c:pt idx="2440">
                  <c:v>25.41680758101575</c:v>
                </c:pt>
                <c:pt idx="2441">
                  <c:v>25.427224305552951</c:v>
                </c:pt>
                <c:pt idx="2442">
                  <c:v>25.437641030090159</c:v>
                </c:pt>
                <c:pt idx="2443">
                  <c:v>25.448057754627371</c:v>
                </c:pt>
                <c:pt idx="2444">
                  <c:v>25.458474479164579</c:v>
                </c:pt>
                <c:pt idx="2445">
                  <c:v>25.46889120370178</c:v>
                </c:pt>
                <c:pt idx="2446">
                  <c:v>25.479307928238988</c:v>
                </c:pt>
                <c:pt idx="2447">
                  <c:v>25.489724652776189</c:v>
                </c:pt>
                <c:pt idx="2448">
                  <c:v>25.500141377313408</c:v>
                </c:pt>
                <c:pt idx="2449">
                  <c:v>25.51055810185062</c:v>
                </c:pt>
                <c:pt idx="2450">
                  <c:v>25.520974826387832</c:v>
                </c:pt>
                <c:pt idx="2451">
                  <c:v>25.531391550925029</c:v>
                </c:pt>
                <c:pt idx="2452">
                  <c:v>25.541808275462241</c:v>
                </c:pt>
                <c:pt idx="2453">
                  <c:v>25.552224999999449</c:v>
                </c:pt>
                <c:pt idx="2454">
                  <c:v>25.562641724536661</c:v>
                </c:pt>
                <c:pt idx="2455">
                  <c:v>25.573058449073869</c:v>
                </c:pt>
                <c:pt idx="2456">
                  <c:v>25.583475173611081</c:v>
                </c:pt>
                <c:pt idx="2457">
                  <c:v>25.593891898148289</c:v>
                </c:pt>
                <c:pt idx="2458">
                  <c:v>25.604308622685501</c:v>
                </c:pt>
                <c:pt idx="2459">
                  <c:v>25.614725347222709</c:v>
                </c:pt>
                <c:pt idx="2460">
                  <c:v>25.625142071759889</c:v>
                </c:pt>
                <c:pt idx="2461">
                  <c:v>25.635558796297119</c:v>
                </c:pt>
                <c:pt idx="2462">
                  <c:v>25.64597552083433</c:v>
                </c:pt>
                <c:pt idx="2463">
                  <c:v>25.656392245371521</c:v>
                </c:pt>
                <c:pt idx="2464">
                  <c:v>25.66680896990875</c:v>
                </c:pt>
                <c:pt idx="2465">
                  <c:v>25.677225694445951</c:v>
                </c:pt>
                <c:pt idx="2466">
                  <c:v>25.68764241898316</c:v>
                </c:pt>
                <c:pt idx="2467">
                  <c:v>25.698059143520361</c:v>
                </c:pt>
                <c:pt idx="2468">
                  <c:v>25.70847586805758</c:v>
                </c:pt>
                <c:pt idx="2469">
                  <c:v>25.718892592594781</c:v>
                </c:pt>
                <c:pt idx="2470">
                  <c:v>25.729309317131982</c:v>
                </c:pt>
                <c:pt idx="2471">
                  <c:v>25.739726041669179</c:v>
                </c:pt>
                <c:pt idx="2472">
                  <c:v>25.750142766206409</c:v>
                </c:pt>
                <c:pt idx="2473">
                  <c:v>25.76055949074361</c:v>
                </c:pt>
                <c:pt idx="2474">
                  <c:v>25.770976215280829</c:v>
                </c:pt>
                <c:pt idx="2475">
                  <c:v>25.78139293981803</c:v>
                </c:pt>
                <c:pt idx="2476">
                  <c:v>25.791809664355242</c:v>
                </c:pt>
                <c:pt idx="2477">
                  <c:v>25.80222638889245</c:v>
                </c:pt>
                <c:pt idx="2478">
                  <c:v>25.812643113422379</c:v>
                </c:pt>
                <c:pt idx="2479">
                  <c:v>25.82305983795959</c:v>
                </c:pt>
                <c:pt idx="2480">
                  <c:v>25.833476562496799</c:v>
                </c:pt>
                <c:pt idx="2481">
                  <c:v>25.84389328703401</c:v>
                </c:pt>
                <c:pt idx="2482">
                  <c:v>25.854310011571211</c:v>
                </c:pt>
                <c:pt idx="2483">
                  <c:v>25.86472673610842</c:v>
                </c:pt>
                <c:pt idx="2484">
                  <c:v>25.875143460645631</c:v>
                </c:pt>
                <c:pt idx="2485">
                  <c:v>25.88556018518284</c:v>
                </c:pt>
                <c:pt idx="2486">
                  <c:v>25.895976909720041</c:v>
                </c:pt>
                <c:pt idx="2487">
                  <c:v>25.906393634257249</c:v>
                </c:pt>
                <c:pt idx="2488">
                  <c:v>25.916810358794471</c:v>
                </c:pt>
                <c:pt idx="2489">
                  <c:v>25.927227083331669</c:v>
                </c:pt>
                <c:pt idx="2490">
                  <c:v>25.937643807868881</c:v>
                </c:pt>
                <c:pt idx="2491">
                  <c:v>25.948060532406089</c:v>
                </c:pt>
                <c:pt idx="2492">
                  <c:v>25.958477256943279</c:v>
                </c:pt>
                <c:pt idx="2493">
                  <c:v>25.968893981480502</c:v>
                </c:pt>
                <c:pt idx="2494">
                  <c:v>25.97931070601771</c:v>
                </c:pt>
                <c:pt idx="2495">
                  <c:v>25.989727430554911</c:v>
                </c:pt>
                <c:pt idx="2496">
                  <c:v>26.00014415509213</c:v>
                </c:pt>
                <c:pt idx="2497">
                  <c:v>26.01056087962932</c:v>
                </c:pt>
                <c:pt idx="2498">
                  <c:v>26.02097760416655</c:v>
                </c:pt>
                <c:pt idx="2499">
                  <c:v>26.031394328703751</c:v>
                </c:pt>
                <c:pt idx="2500">
                  <c:v>26.04181105324097</c:v>
                </c:pt>
                <c:pt idx="2501">
                  <c:v>26.052227777778171</c:v>
                </c:pt>
                <c:pt idx="2502">
                  <c:v>26.062644502315361</c:v>
                </c:pt>
                <c:pt idx="2503">
                  <c:v>26.073061226852602</c:v>
                </c:pt>
                <c:pt idx="2504">
                  <c:v>26.083477951389781</c:v>
                </c:pt>
                <c:pt idx="2505">
                  <c:v>26.093894675927</c:v>
                </c:pt>
                <c:pt idx="2506">
                  <c:v>26.104311400464219</c:v>
                </c:pt>
                <c:pt idx="2507">
                  <c:v>26.11472812500142</c:v>
                </c:pt>
                <c:pt idx="2508">
                  <c:v>26.125144849538621</c:v>
                </c:pt>
                <c:pt idx="2509">
                  <c:v>26.13556157407583</c:v>
                </c:pt>
                <c:pt idx="2510">
                  <c:v>26.145978298613041</c:v>
                </c:pt>
                <c:pt idx="2511">
                  <c:v>26.15639502315026</c:v>
                </c:pt>
                <c:pt idx="2512">
                  <c:v>26.166811747687461</c:v>
                </c:pt>
                <c:pt idx="2513">
                  <c:v>26.17722847222467</c:v>
                </c:pt>
                <c:pt idx="2514">
                  <c:v>26.187645196761871</c:v>
                </c:pt>
                <c:pt idx="2515">
                  <c:v>26.1980619212991</c:v>
                </c:pt>
                <c:pt idx="2516">
                  <c:v>26.208478645836291</c:v>
                </c:pt>
                <c:pt idx="2517">
                  <c:v>26.218895370373499</c:v>
                </c:pt>
                <c:pt idx="2518">
                  <c:v>26.229312094910711</c:v>
                </c:pt>
                <c:pt idx="2519">
                  <c:v>26.239728819447919</c:v>
                </c:pt>
                <c:pt idx="2520">
                  <c:v>26.25014554397783</c:v>
                </c:pt>
                <c:pt idx="2521">
                  <c:v>26.260562268515059</c:v>
                </c:pt>
                <c:pt idx="2522">
                  <c:v>26.270978993052271</c:v>
                </c:pt>
                <c:pt idx="2523">
                  <c:v>26.281395717589479</c:v>
                </c:pt>
                <c:pt idx="2524">
                  <c:v>26.29181244212668</c:v>
                </c:pt>
                <c:pt idx="2525">
                  <c:v>26.302229166663881</c:v>
                </c:pt>
                <c:pt idx="2526">
                  <c:v>26.3126458912011</c:v>
                </c:pt>
                <c:pt idx="2527">
                  <c:v>26.323062615738309</c:v>
                </c:pt>
                <c:pt idx="2528">
                  <c:v>26.33347934027552</c:v>
                </c:pt>
                <c:pt idx="2529">
                  <c:v>26.343896064812728</c:v>
                </c:pt>
                <c:pt idx="2530">
                  <c:v>26.35431278934993</c:v>
                </c:pt>
                <c:pt idx="2531">
                  <c:v>26.36472951388712</c:v>
                </c:pt>
                <c:pt idx="2532">
                  <c:v>26.375146238424328</c:v>
                </c:pt>
                <c:pt idx="2533">
                  <c:v>26.38556296296154</c:v>
                </c:pt>
                <c:pt idx="2534">
                  <c:v>26.39597968749877</c:v>
                </c:pt>
                <c:pt idx="2535">
                  <c:v>26.406396412035971</c:v>
                </c:pt>
                <c:pt idx="2536">
                  <c:v>26.416813136573179</c:v>
                </c:pt>
                <c:pt idx="2537">
                  <c:v>26.42722986111038</c:v>
                </c:pt>
                <c:pt idx="2538">
                  <c:v>26.437646585647599</c:v>
                </c:pt>
                <c:pt idx="2539">
                  <c:v>26.4480633101848</c:v>
                </c:pt>
                <c:pt idx="2540">
                  <c:v>26.458480034722001</c:v>
                </c:pt>
                <c:pt idx="2541">
                  <c:v>26.46889675925922</c:v>
                </c:pt>
                <c:pt idx="2542">
                  <c:v>26.479313483796432</c:v>
                </c:pt>
                <c:pt idx="2543">
                  <c:v>26.489730208333619</c:v>
                </c:pt>
                <c:pt idx="2544">
                  <c:v>26.50014693287083</c:v>
                </c:pt>
                <c:pt idx="2545">
                  <c:v>26.51056365740806</c:v>
                </c:pt>
                <c:pt idx="2546">
                  <c:v>26.520980381945261</c:v>
                </c:pt>
                <c:pt idx="2547">
                  <c:v>26.53139710648248</c:v>
                </c:pt>
                <c:pt idx="2548">
                  <c:v>26.541813831019681</c:v>
                </c:pt>
                <c:pt idx="2549">
                  <c:v>26.552230555556889</c:v>
                </c:pt>
                <c:pt idx="2550">
                  <c:v>26.56264728009408</c:v>
                </c:pt>
                <c:pt idx="2551">
                  <c:v>26.573064004631309</c:v>
                </c:pt>
                <c:pt idx="2552">
                  <c:v>26.58348072916851</c:v>
                </c:pt>
                <c:pt idx="2553">
                  <c:v>26.593897453705729</c:v>
                </c:pt>
                <c:pt idx="2554">
                  <c:v>26.60431417824293</c:v>
                </c:pt>
                <c:pt idx="2555">
                  <c:v>26.614730902780131</c:v>
                </c:pt>
                <c:pt idx="2556">
                  <c:v>26.62514762731734</c:v>
                </c:pt>
                <c:pt idx="2557">
                  <c:v>26.635564351854558</c:v>
                </c:pt>
                <c:pt idx="2558">
                  <c:v>26.64598107639176</c:v>
                </c:pt>
                <c:pt idx="2559">
                  <c:v>26.656397800928971</c:v>
                </c:pt>
                <c:pt idx="2560">
                  <c:v>26.666814525466179</c:v>
                </c:pt>
                <c:pt idx="2561">
                  <c:v>26.677231250003391</c:v>
                </c:pt>
                <c:pt idx="2562">
                  <c:v>26.687647974540589</c:v>
                </c:pt>
                <c:pt idx="2563">
                  <c:v>26.698064699070532</c:v>
                </c:pt>
                <c:pt idx="2564">
                  <c:v>26.70848142360774</c:v>
                </c:pt>
                <c:pt idx="2565">
                  <c:v>26.718898148144941</c:v>
                </c:pt>
                <c:pt idx="2566">
                  <c:v>26.729314872682149</c:v>
                </c:pt>
                <c:pt idx="2567">
                  <c:v>26.739731597219361</c:v>
                </c:pt>
                <c:pt idx="2568">
                  <c:v>26.750148321756569</c:v>
                </c:pt>
                <c:pt idx="2569">
                  <c:v>26.760565046293781</c:v>
                </c:pt>
                <c:pt idx="2570">
                  <c:v>26.770981770830989</c:v>
                </c:pt>
                <c:pt idx="2571">
                  <c:v>26.78139849536819</c:v>
                </c:pt>
                <c:pt idx="2572">
                  <c:v>26.791815219905409</c:v>
                </c:pt>
                <c:pt idx="2573">
                  <c:v>26.80223194444261</c:v>
                </c:pt>
                <c:pt idx="2574">
                  <c:v>26.812648668979811</c:v>
                </c:pt>
                <c:pt idx="2575">
                  <c:v>26.82306539351703</c:v>
                </c:pt>
                <c:pt idx="2576">
                  <c:v>26.833482118054231</c:v>
                </c:pt>
                <c:pt idx="2577">
                  <c:v>26.84389884259144</c:v>
                </c:pt>
                <c:pt idx="2578">
                  <c:v>26.854315567128651</c:v>
                </c:pt>
                <c:pt idx="2579">
                  <c:v>26.864732291665842</c:v>
                </c:pt>
                <c:pt idx="2580">
                  <c:v>26.875149016203061</c:v>
                </c:pt>
                <c:pt idx="2581">
                  <c:v>26.885565740740279</c:v>
                </c:pt>
                <c:pt idx="2582">
                  <c:v>26.895982465277498</c:v>
                </c:pt>
                <c:pt idx="2583">
                  <c:v>26.906399189814689</c:v>
                </c:pt>
                <c:pt idx="2584">
                  <c:v>26.916815914351901</c:v>
                </c:pt>
                <c:pt idx="2585">
                  <c:v>26.927232638889109</c:v>
                </c:pt>
                <c:pt idx="2586">
                  <c:v>26.93764936342631</c:v>
                </c:pt>
                <c:pt idx="2587">
                  <c:v>26.948066087963511</c:v>
                </c:pt>
                <c:pt idx="2588">
                  <c:v>26.958482812500719</c:v>
                </c:pt>
                <c:pt idx="2589">
                  <c:v>26.96889953703792</c:v>
                </c:pt>
                <c:pt idx="2590">
                  <c:v>26.979316261575129</c:v>
                </c:pt>
                <c:pt idx="2591">
                  <c:v>26.98973298611234</c:v>
                </c:pt>
                <c:pt idx="2592">
                  <c:v>27.00014971064957</c:v>
                </c:pt>
                <c:pt idx="2593">
                  <c:v>27.010566435186771</c:v>
                </c:pt>
                <c:pt idx="2594">
                  <c:v>27.020983159723979</c:v>
                </c:pt>
                <c:pt idx="2595">
                  <c:v>27.03139988426118</c:v>
                </c:pt>
                <c:pt idx="2596">
                  <c:v>27.041816608798399</c:v>
                </c:pt>
                <c:pt idx="2597">
                  <c:v>27.05223333333559</c:v>
                </c:pt>
                <c:pt idx="2598">
                  <c:v>27.062650057872819</c:v>
                </c:pt>
                <c:pt idx="2599">
                  <c:v>27.073066782410031</c:v>
                </c:pt>
                <c:pt idx="2600">
                  <c:v>27.083483506947211</c:v>
                </c:pt>
                <c:pt idx="2601">
                  <c:v>27.09390023148444</c:v>
                </c:pt>
                <c:pt idx="2602">
                  <c:v>27.104316956021641</c:v>
                </c:pt>
                <c:pt idx="2603">
                  <c:v>27.11473368055886</c:v>
                </c:pt>
                <c:pt idx="2604">
                  <c:v>27.125150405096068</c:v>
                </c:pt>
                <c:pt idx="2605">
                  <c:v>27.135567129626001</c:v>
                </c:pt>
                <c:pt idx="2606">
                  <c:v>27.145983854163191</c:v>
                </c:pt>
                <c:pt idx="2607">
                  <c:v>27.15640057870041</c:v>
                </c:pt>
                <c:pt idx="2608">
                  <c:v>27.166817303237629</c:v>
                </c:pt>
                <c:pt idx="2609">
                  <c:v>27.17723402777483</c:v>
                </c:pt>
                <c:pt idx="2610">
                  <c:v>27.187650752312042</c:v>
                </c:pt>
                <c:pt idx="2611">
                  <c:v>27.19806747684925</c:v>
                </c:pt>
                <c:pt idx="2612">
                  <c:v>27.208484201386451</c:v>
                </c:pt>
                <c:pt idx="2613">
                  <c:v>27.218900925923659</c:v>
                </c:pt>
                <c:pt idx="2614">
                  <c:v>27.229317650460871</c:v>
                </c:pt>
                <c:pt idx="2615">
                  <c:v>27.239734374998079</c:v>
                </c:pt>
                <c:pt idx="2616">
                  <c:v>27.250151099535291</c:v>
                </c:pt>
                <c:pt idx="2617">
                  <c:v>27.260567824072499</c:v>
                </c:pt>
                <c:pt idx="2618">
                  <c:v>27.2709845486097</c:v>
                </c:pt>
                <c:pt idx="2619">
                  <c:v>27.281401273146901</c:v>
                </c:pt>
                <c:pt idx="2620">
                  <c:v>27.29181799768412</c:v>
                </c:pt>
                <c:pt idx="2621">
                  <c:v>27.302234722221321</c:v>
                </c:pt>
                <c:pt idx="2622">
                  <c:v>27.31265144675854</c:v>
                </c:pt>
                <c:pt idx="2623">
                  <c:v>27.323068171295741</c:v>
                </c:pt>
                <c:pt idx="2624">
                  <c:v>27.333484895832949</c:v>
                </c:pt>
                <c:pt idx="2625">
                  <c:v>27.343901620370161</c:v>
                </c:pt>
                <c:pt idx="2626">
                  <c:v>27.354318344907369</c:v>
                </c:pt>
                <c:pt idx="2627">
                  <c:v>27.364735069444581</c:v>
                </c:pt>
                <c:pt idx="2628">
                  <c:v>27.375151793981789</c:v>
                </c:pt>
                <c:pt idx="2629">
                  <c:v>27.385568518518991</c:v>
                </c:pt>
                <c:pt idx="2630">
                  <c:v>27.395985243056209</c:v>
                </c:pt>
                <c:pt idx="2631">
                  <c:v>27.406401967593411</c:v>
                </c:pt>
                <c:pt idx="2632">
                  <c:v>27.416818692130619</c:v>
                </c:pt>
                <c:pt idx="2633">
                  <c:v>27.42723541666783</c:v>
                </c:pt>
                <c:pt idx="2634">
                  <c:v>27.437652141205032</c:v>
                </c:pt>
                <c:pt idx="2635">
                  <c:v>27.44806886574224</c:v>
                </c:pt>
                <c:pt idx="2636">
                  <c:v>27.458485590279452</c:v>
                </c:pt>
                <c:pt idx="2637">
                  <c:v>27.46890231481666</c:v>
                </c:pt>
                <c:pt idx="2638">
                  <c:v>27.47931903935385</c:v>
                </c:pt>
                <c:pt idx="2639">
                  <c:v>27.48973576389108</c:v>
                </c:pt>
                <c:pt idx="2640">
                  <c:v>27.500152488428281</c:v>
                </c:pt>
                <c:pt idx="2641">
                  <c:v>27.510569212965489</c:v>
                </c:pt>
                <c:pt idx="2642">
                  <c:v>27.520985937502701</c:v>
                </c:pt>
                <c:pt idx="2643">
                  <c:v>27.531402662039909</c:v>
                </c:pt>
                <c:pt idx="2644">
                  <c:v>27.54181938657711</c:v>
                </c:pt>
                <c:pt idx="2645">
                  <c:v>27.552236111114318</c:v>
                </c:pt>
                <c:pt idx="2646">
                  <c:v>27.562652835651519</c:v>
                </c:pt>
                <c:pt idx="2647">
                  <c:v>27.573069560188738</c:v>
                </c:pt>
                <c:pt idx="2648">
                  <c:v>27.583486284718671</c:v>
                </c:pt>
                <c:pt idx="2649">
                  <c:v>27.593903009255889</c:v>
                </c:pt>
                <c:pt idx="2650">
                  <c:v>27.604319733793091</c:v>
                </c:pt>
                <c:pt idx="2651">
                  <c:v>27.614736458330299</c:v>
                </c:pt>
                <c:pt idx="2652">
                  <c:v>27.625153182867511</c:v>
                </c:pt>
                <c:pt idx="2653">
                  <c:v>27.635569907404719</c:v>
                </c:pt>
                <c:pt idx="2654">
                  <c:v>27.64598663194192</c:v>
                </c:pt>
                <c:pt idx="2655">
                  <c:v>27.656403356479132</c:v>
                </c:pt>
                <c:pt idx="2656">
                  <c:v>27.66682008101634</c:v>
                </c:pt>
                <c:pt idx="2657">
                  <c:v>27.677236805553541</c:v>
                </c:pt>
                <c:pt idx="2658">
                  <c:v>27.68765353009076</c:v>
                </c:pt>
                <c:pt idx="2659">
                  <c:v>27.698070254627961</c:v>
                </c:pt>
                <c:pt idx="2660">
                  <c:v>27.708486979165158</c:v>
                </c:pt>
                <c:pt idx="2661">
                  <c:v>27.718903703702381</c:v>
                </c:pt>
                <c:pt idx="2662">
                  <c:v>27.729320428239589</c:v>
                </c:pt>
                <c:pt idx="2663">
                  <c:v>27.73973715277679</c:v>
                </c:pt>
                <c:pt idx="2664">
                  <c:v>27.750153877314009</c:v>
                </c:pt>
                <c:pt idx="2665">
                  <c:v>27.76057060185121</c:v>
                </c:pt>
                <c:pt idx="2666">
                  <c:v>27.770987326388429</c:v>
                </c:pt>
                <c:pt idx="2667">
                  <c:v>27.781404050925619</c:v>
                </c:pt>
                <c:pt idx="2668">
                  <c:v>27.791820775462831</c:v>
                </c:pt>
                <c:pt idx="2669">
                  <c:v>27.802237500000039</c:v>
                </c:pt>
                <c:pt idx="2670">
                  <c:v>27.812654224537251</c:v>
                </c:pt>
                <c:pt idx="2671">
                  <c:v>27.82307094907447</c:v>
                </c:pt>
                <c:pt idx="2672">
                  <c:v>27.833487673611671</c:v>
                </c:pt>
                <c:pt idx="2673">
                  <c:v>27.843904398148879</c:v>
                </c:pt>
                <c:pt idx="2674">
                  <c:v>27.854321122686098</c:v>
                </c:pt>
                <c:pt idx="2675">
                  <c:v>27.864737847223282</c:v>
                </c:pt>
                <c:pt idx="2676">
                  <c:v>27.8751545717605</c:v>
                </c:pt>
                <c:pt idx="2677">
                  <c:v>27.885571296297709</c:v>
                </c:pt>
                <c:pt idx="2678">
                  <c:v>27.89598802083492</c:v>
                </c:pt>
                <c:pt idx="2679">
                  <c:v>27.906404745372129</c:v>
                </c:pt>
                <c:pt idx="2680">
                  <c:v>27.91682146990934</c:v>
                </c:pt>
                <c:pt idx="2681">
                  <c:v>27.927238194446549</c:v>
                </c:pt>
                <c:pt idx="2682">
                  <c:v>27.93765491898375</c:v>
                </c:pt>
                <c:pt idx="2683">
                  <c:v>27.948071643520951</c:v>
                </c:pt>
                <c:pt idx="2684">
                  <c:v>27.95848836805817</c:v>
                </c:pt>
                <c:pt idx="2685">
                  <c:v>27.968905092595371</c:v>
                </c:pt>
                <c:pt idx="2686">
                  <c:v>27.97932181713259</c:v>
                </c:pt>
                <c:pt idx="2687">
                  <c:v>27.989738541669769</c:v>
                </c:pt>
                <c:pt idx="2688">
                  <c:v>28.00015526620701</c:v>
                </c:pt>
                <c:pt idx="2689">
                  <c:v>28.010571990744211</c:v>
                </c:pt>
                <c:pt idx="2690">
                  <c:v>28.02098871527415</c:v>
                </c:pt>
                <c:pt idx="2691">
                  <c:v>28.031405439811351</c:v>
                </c:pt>
                <c:pt idx="2692">
                  <c:v>28.041822164348559</c:v>
                </c:pt>
                <c:pt idx="2693">
                  <c:v>28.052238888885761</c:v>
                </c:pt>
                <c:pt idx="2694">
                  <c:v>28.062655613422979</c:v>
                </c:pt>
                <c:pt idx="2695">
                  <c:v>28.073072337960181</c:v>
                </c:pt>
                <c:pt idx="2696">
                  <c:v>28.083489062497389</c:v>
                </c:pt>
                <c:pt idx="2697">
                  <c:v>28.093905787034601</c:v>
                </c:pt>
                <c:pt idx="2698">
                  <c:v>28.104322511571809</c:v>
                </c:pt>
                <c:pt idx="2699">
                  <c:v>28.11473923610901</c:v>
                </c:pt>
                <c:pt idx="2700">
                  <c:v>28.125155960646229</c:v>
                </c:pt>
                <c:pt idx="2701">
                  <c:v>28.13557268518343</c:v>
                </c:pt>
                <c:pt idx="2702">
                  <c:v>28.145989409720642</c:v>
                </c:pt>
                <c:pt idx="2703">
                  <c:v>28.15640613425785</c:v>
                </c:pt>
                <c:pt idx="2704">
                  <c:v>28.166822858795051</c:v>
                </c:pt>
                <c:pt idx="2705">
                  <c:v>28.177239583332259</c:v>
                </c:pt>
                <c:pt idx="2706">
                  <c:v>28.187656307869471</c:v>
                </c:pt>
                <c:pt idx="2707">
                  <c:v>28.19807303240669</c:v>
                </c:pt>
                <c:pt idx="2708">
                  <c:v>28.20848975694388</c:v>
                </c:pt>
                <c:pt idx="2709">
                  <c:v>28.218906481481099</c:v>
                </c:pt>
                <c:pt idx="2710">
                  <c:v>28.2293232060183</c:v>
                </c:pt>
                <c:pt idx="2711">
                  <c:v>28.239739930555501</c:v>
                </c:pt>
                <c:pt idx="2712">
                  <c:v>28.250156655092731</c:v>
                </c:pt>
                <c:pt idx="2713">
                  <c:v>28.260573379629911</c:v>
                </c:pt>
                <c:pt idx="2714">
                  <c:v>28.27099010416714</c:v>
                </c:pt>
                <c:pt idx="2715">
                  <c:v>28.281406828704331</c:v>
                </c:pt>
                <c:pt idx="2716">
                  <c:v>28.29182355324156</c:v>
                </c:pt>
                <c:pt idx="2717">
                  <c:v>28.302240277778751</c:v>
                </c:pt>
                <c:pt idx="2718">
                  <c:v>28.312657002315969</c:v>
                </c:pt>
                <c:pt idx="2719">
                  <c:v>28.323073726853181</c:v>
                </c:pt>
                <c:pt idx="2720">
                  <c:v>28.333490451390389</c:v>
                </c:pt>
                <c:pt idx="2721">
                  <c:v>28.34390717592759</c:v>
                </c:pt>
                <c:pt idx="2722">
                  <c:v>28.354323900464809</c:v>
                </c:pt>
                <c:pt idx="2723">
                  <c:v>28.36474062500201</c:v>
                </c:pt>
                <c:pt idx="2724">
                  <c:v>28.375157349539219</c:v>
                </c:pt>
                <c:pt idx="2725">
                  <c:v>28.38557407407643</c:v>
                </c:pt>
                <c:pt idx="2726">
                  <c:v>28.395990798613639</c:v>
                </c:pt>
                <c:pt idx="2727">
                  <c:v>28.40640752315084</c:v>
                </c:pt>
                <c:pt idx="2728">
                  <c:v>28.416824247688059</c:v>
                </c:pt>
                <c:pt idx="2729">
                  <c:v>28.427240972225249</c:v>
                </c:pt>
                <c:pt idx="2730">
                  <c:v>28.437657696762471</c:v>
                </c:pt>
                <c:pt idx="2731">
                  <c:v>28.44807442129968</c:v>
                </c:pt>
                <c:pt idx="2732">
                  <c:v>28.458491145836891</c:v>
                </c:pt>
                <c:pt idx="2733">
                  <c:v>28.468907870366799</c:v>
                </c:pt>
                <c:pt idx="2734">
                  <c:v>28.479324594904021</c:v>
                </c:pt>
                <c:pt idx="2735">
                  <c:v>28.489741319441219</c:v>
                </c:pt>
                <c:pt idx="2736">
                  <c:v>28.500158043978441</c:v>
                </c:pt>
                <c:pt idx="2737">
                  <c:v>28.51057476851566</c:v>
                </c:pt>
                <c:pt idx="2738">
                  <c:v>28.520991493052861</c:v>
                </c:pt>
                <c:pt idx="2739">
                  <c:v>28.531408217590069</c:v>
                </c:pt>
                <c:pt idx="2740">
                  <c:v>28.541824942127271</c:v>
                </c:pt>
                <c:pt idx="2741">
                  <c:v>28.552241666664489</c:v>
                </c:pt>
                <c:pt idx="2742">
                  <c:v>28.56265839120169</c:v>
                </c:pt>
                <c:pt idx="2743">
                  <c:v>28.573075115738909</c:v>
                </c:pt>
                <c:pt idx="2744">
                  <c:v>28.58349184027611</c:v>
                </c:pt>
                <c:pt idx="2745">
                  <c:v>28.593908564813319</c:v>
                </c:pt>
                <c:pt idx="2746">
                  <c:v>28.60432528935053</c:v>
                </c:pt>
                <c:pt idx="2747">
                  <c:v>28.614742013887732</c:v>
                </c:pt>
                <c:pt idx="2748">
                  <c:v>28.62515873842494</c:v>
                </c:pt>
                <c:pt idx="2749">
                  <c:v>28.635575462962152</c:v>
                </c:pt>
                <c:pt idx="2750">
                  <c:v>28.64599218749936</c:v>
                </c:pt>
                <c:pt idx="2751">
                  <c:v>28.656408912036571</c:v>
                </c:pt>
                <c:pt idx="2752">
                  <c:v>28.66682563657378</c:v>
                </c:pt>
                <c:pt idx="2753">
                  <c:v>28.677242361110981</c:v>
                </c:pt>
                <c:pt idx="2754">
                  <c:v>28.687659085648189</c:v>
                </c:pt>
                <c:pt idx="2755">
                  <c:v>28.698075810185401</c:v>
                </c:pt>
                <c:pt idx="2756">
                  <c:v>28.708492534722591</c:v>
                </c:pt>
                <c:pt idx="2757">
                  <c:v>28.718909259259821</c:v>
                </c:pt>
                <c:pt idx="2758">
                  <c:v>28.729325983797018</c:v>
                </c:pt>
                <c:pt idx="2759">
                  <c:v>28.739742708334219</c:v>
                </c:pt>
                <c:pt idx="2760">
                  <c:v>28.750159432871438</c:v>
                </c:pt>
                <c:pt idx="2761">
                  <c:v>28.76057615740865</c:v>
                </c:pt>
                <c:pt idx="2762">
                  <c:v>28.77099288194584</c:v>
                </c:pt>
                <c:pt idx="2763">
                  <c:v>28.781409606483059</c:v>
                </c:pt>
                <c:pt idx="2764">
                  <c:v>28.791826331020271</c:v>
                </c:pt>
                <c:pt idx="2765">
                  <c:v>28.802243055557479</c:v>
                </c:pt>
                <c:pt idx="2766">
                  <c:v>28.812659780094702</c:v>
                </c:pt>
                <c:pt idx="2767">
                  <c:v>28.823076504631899</c:v>
                </c:pt>
                <c:pt idx="2768">
                  <c:v>28.8334932291691</c:v>
                </c:pt>
                <c:pt idx="2769">
                  <c:v>28.843909953706319</c:v>
                </c:pt>
                <c:pt idx="2770">
                  <c:v>28.85432667824352</c:v>
                </c:pt>
                <c:pt idx="2771">
                  <c:v>28.864743402780721</c:v>
                </c:pt>
                <c:pt idx="2772">
                  <c:v>28.87516012731794</c:v>
                </c:pt>
                <c:pt idx="2773">
                  <c:v>28.885576851855131</c:v>
                </c:pt>
                <c:pt idx="2774">
                  <c:v>28.89599357639235</c:v>
                </c:pt>
                <c:pt idx="2775">
                  <c:v>28.906410300929551</c:v>
                </c:pt>
                <c:pt idx="2776">
                  <c:v>28.916827025459501</c:v>
                </c:pt>
                <c:pt idx="2777">
                  <c:v>28.927243749996698</c:v>
                </c:pt>
                <c:pt idx="2778">
                  <c:v>28.93766047453391</c:v>
                </c:pt>
                <c:pt idx="2779">
                  <c:v>28.948077199071118</c:v>
                </c:pt>
                <c:pt idx="2780">
                  <c:v>28.95849392360833</c:v>
                </c:pt>
                <c:pt idx="2781">
                  <c:v>28.968910648145521</c:v>
                </c:pt>
                <c:pt idx="2782">
                  <c:v>28.979327372682739</c:v>
                </c:pt>
                <c:pt idx="2783">
                  <c:v>28.98974409721994</c:v>
                </c:pt>
                <c:pt idx="2784">
                  <c:v>29.000160821757159</c:v>
                </c:pt>
                <c:pt idx="2785">
                  <c:v>29.010577546294371</c:v>
                </c:pt>
                <c:pt idx="2786">
                  <c:v>29.020994270831579</c:v>
                </c:pt>
                <c:pt idx="2787">
                  <c:v>29.031410995368791</c:v>
                </c:pt>
                <c:pt idx="2788">
                  <c:v>29.041827719905999</c:v>
                </c:pt>
                <c:pt idx="2789">
                  <c:v>29.0522444444432</c:v>
                </c:pt>
                <c:pt idx="2790">
                  <c:v>29.062661168980419</c:v>
                </c:pt>
                <c:pt idx="2791">
                  <c:v>29.07307789351762</c:v>
                </c:pt>
                <c:pt idx="2792">
                  <c:v>29.083494618054829</c:v>
                </c:pt>
                <c:pt idx="2793">
                  <c:v>29.09391134259204</c:v>
                </c:pt>
                <c:pt idx="2794">
                  <c:v>29.104328067129241</c:v>
                </c:pt>
                <c:pt idx="2795">
                  <c:v>29.11474479166646</c:v>
                </c:pt>
                <c:pt idx="2796">
                  <c:v>29.125161516203661</c:v>
                </c:pt>
                <c:pt idx="2797">
                  <c:v>29.13557824074087</c:v>
                </c:pt>
                <c:pt idx="2798">
                  <c:v>29.145994965278081</c:v>
                </c:pt>
                <c:pt idx="2799">
                  <c:v>29.15641168981529</c:v>
                </c:pt>
                <c:pt idx="2800">
                  <c:v>29.166828414352501</c:v>
                </c:pt>
                <c:pt idx="2801">
                  <c:v>29.17724513888971</c:v>
                </c:pt>
                <c:pt idx="2802">
                  <c:v>29.187661863426911</c:v>
                </c:pt>
                <c:pt idx="2803">
                  <c:v>29.198078587964119</c:v>
                </c:pt>
                <c:pt idx="2804">
                  <c:v>29.20849531250132</c:v>
                </c:pt>
                <c:pt idx="2805">
                  <c:v>29.218912037038528</c:v>
                </c:pt>
                <c:pt idx="2806">
                  <c:v>29.22932876157574</c:v>
                </c:pt>
                <c:pt idx="2807">
                  <c:v>29.239745486112952</c:v>
                </c:pt>
                <c:pt idx="2808">
                  <c:v>29.25016221065016</c:v>
                </c:pt>
                <c:pt idx="2809">
                  <c:v>29.26057893518735</c:v>
                </c:pt>
                <c:pt idx="2810">
                  <c:v>29.27099565972458</c:v>
                </c:pt>
                <c:pt idx="2811">
                  <c:v>29.28141238426177</c:v>
                </c:pt>
                <c:pt idx="2812">
                  <c:v>29.291829108798989</c:v>
                </c:pt>
                <c:pt idx="2813">
                  <c:v>29.30224583333618</c:v>
                </c:pt>
                <c:pt idx="2814">
                  <c:v>29.312662557873409</c:v>
                </c:pt>
                <c:pt idx="2815">
                  <c:v>29.323079282410621</c:v>
                </c:pt>
                <c:pt idx="2816">
                  <c:v>29.333496006947829</c:v>
                </c:pt>
                <c:pt idx="2817">
                  <c:v>29.34391273148503</c:v>
                </c:pt>
                <c:pt idx="2818">
                  <c:v>29.35432945601497</c:v>
                </c:pt>
                <c:pt idx="2819">
                  <c:v>29.364746180552171</c:v>
                </c:pt>
                <c:pt idx="2820">
                  <c:v>29.375162905089379</c:v>
                </c:pt>
                <c:pt idx="2821">
                  <c:v>29.385579629626591</c:v>
                </c:pt>
                <c:pt idx="2822">
                  <c:v>29.395996354163799</c:v>
                </c:pt>
                <c:pt idx="2823">
                  <c:v>29.406413078700989</c:v>
                </c:pt>
                <c:pt idx="2824">
                  <c:v>29.416829803238208</c:v>
                </c:pt>
                <c:pt idx="2825">
                  <c:v>29.42724652777542</c:v>
                </c:pt>
                <c:pt idx="2826">
                  <c:v>29.437663252312628</c:v>
                </c:pt>
                <c:pt idx="2827">
                  <c:v>29.448079976849819</c:v>
                </c:pt>
                <c:pt idx="2828">
                  <c:v>29.45849670138703</c:v>
                </c:pt>
                <c:pt idx="2829">
                  <c:v>29.468913425924249</c:v>
                </c:pt>
                <c:pt idx="2830">
                  <c:v>29.479330150461461</c:v>
                </c:pt>
                <c:pt idx="2831">
                  <c:v>29.489746874998659</c:v>
                </c:pt>
                <c:pt idx="2832">
                  <c:v>29.500163599535881</c:v>
                </c:pt>
                <c:pt idx="2833">
                  <c:v>29.510580324073089</c:v>
                </c:pt>
                <c:pt idx="2834">
                  <c:v>29.520997048610301</c:v>
                </c:pt>
                <c:pt idx="2835">
                  <c:v>29.531413773147509</c:v>
                </c:pt>
                <c:pt idx="2836">
                  <c:v>29.541830497684721</c:v>
                </c:pt>
                <c:pt idx="2837">
                  <c:v>29.552247222221919</c:v>
                </c:pt>
                <c:pt idx="2838">
                  <c:v>29.56266394675912</c:v>
                </c:pt>
                <c:pt idx="2839">
                  <c:v>29.573080671296339</c:v>
                </c:pt>
                <c:pt idx="2840">
                  <c:v>29.58349739583354</c:v>
                </c:pt>
                <c:pt idx="2841">
                  <c:v>29.593914120370751</c:v>
                </c:pt>
                <c:pt idx="2842">
                  <c:v>29.60433084490796</c:v>
                </c:pt>
                <c:pt idx="2843">
                  <c:v>29.614747569445171</c:v>
                </c:pt>
                <c:pt idx="2844">
                  <c:v>29.62516429398238</c:v>
                </c:pt>
                <c:pt idx="2845">
                  <c:v>29.635581018519598</c:v>
                </c:pt>
                <c:pt idx="2846">
                  <c:v>29.6459977430568</c:v>
                </c:pt>
                <c:pt idx="2847">
                  <c:v>29.656414467594011</c:v>
                </c:pt>
                <c:pt idx="2848">
                  <c:v>29.666831192131209</c:v>
                </c:pt>
                <c:pt idx="2849">
                  <c:v>29.677247916668421</c:v>
                </c:pt>
                <c:pt idx="2850">
                  <c:v>29.687664641205629</c:v>
                </c:pt>
                <c:pt idx="2851">
                  <c:v>29.698081365742841</c:v>
                </c:pt>
                <c:pt idx="2852">
                  <c:v>29.708498090280042</c:v>
                </c:pt>
                <c:pt idx="2853">
                  <c:v>29.71891481481725</c:v>
                </c:pt>
                <c:pt idx="2854">
                  <c:v>29.729331539354462</c:v>
                </c:pt>
                <c:pt idx="2855">
                  <c:v>29.73974826389167</c:v>
                </c:pt>
                <c:pt idx="2856">
                  <c:v>29.750164988428882</c:v>
                </c:pt>
                <c:pt idx="2857">
                  <c:v>29.76058171296609</c:v>
                </c:pt>
                <c:pt idx="2858">
                  <c:v>29.770998437503291</c:v>
                </c:pt>
                <c:pt idx="2859">
                  <c:v>29.78141516204051</c:v>
                </c:pt>
                <c:pt idx="2860">
                  <c:v>29.791831886577711</c:v>
                </c:pt>
                <c:pt idx="2861">
                  <c:v>29.80224861110764</c:v>
                </c:pt>
                <c:pt idx="2862">
                  <c:v>29.812665335644851</c:v>
                </c:pt>
                <c:pt idx="2863">
                  <c:v>29.82308206018206</c:v>
                </c:pt>
                <c:pt idx="2864">
                  <c:v>29.833498784719271</c:v>
                </c:pt>
                <c:pt idx="2865">
                  <c:v>29.84391550925648</c:v>
                </c:pt>
                <c:pt idx="2866">
                  <c:v>29.854332233793681</c:v>
                </c:pt>
                <c:pt idx="2867">
                  <c:v>29.864748958330889</c:v>
                </c:pt>
                <c:pt idx="2868">
                  <c:v>29.875165682868101</c:v>
                </c:pt>
                <c:pt idx="2869">
                  <c:v>29.885582407405309</c:v>
                </c:pt>
                <c:pt idx="2870">
                  <c:v>29.895999131942521</c:v>
                </c:pt>
                <c:pt idx="2871">
                  <c:v>29.906415856479718</c:v>
                </c:pt>
                <c:pt idx="2872">
                  <c:v>29.91683258101693</c:v>
                </c:pt>
                <c:pt idx="2873">
                  <c:v>29.927249305554131</c:v>
                </c:pt>
                <c:pt idx="2874">
                  <c:v>29.93766603009135</c:v>
                </c:pt>
                <c:pt idx="2875">
                  <c:v>29.948082754628551</c:v>
                </c:pt>
                <c:pt idx="2876">
                  <c:v>29.958499479165749</c:v>
                </c:pt>
                <c:pt idx="2877">
                  <c:v>29.96891620370296</c:v>
                </c:pt>
                <c:pt idx="2878">
                  <c:v>29.979332928240179</c:v>
                </c:pt>
                <c:pt idx="2879">
                  <c:v>29.98974965277737</c:v>
                </c:pt>
                <c:pt idx="2880">
                  <c:v>30.000166377314599</c:v>
                </c:pt>
                <c:pt idx="2881">
                  <c:v>30.010583101851811</c:v>
                </c:pt>
                <c:pt idx="2882">
                  <c:v>30.020999826389019</c:v>
                </c:pt>
                <c:pt idx="2883">
                  <c:v>30.03141655092622</c:v>
                </c:pt>
                <c:pt idx="2884">
                  <c:v>30.041833275463421</c:v>
                </c:pt>
                <c:pt idx="2885">
                  <c:v>30.05225000000064</c:v>
                </c:pt>
                <c:pt idx="2886">
                  <c:v>30.062666724537831</c:v>
                </c:pt>
                <c:pt idx="2887">
                  <c:v>30.07308344907506</c:v>
                </c:pt>
                <c:pt idx="2888">
                  <c:v>30.083500173612261</c:v>
                </c:pt>
                <c:pt idx="2889">
                  <c:v>30.09391689814947</c:v>
                </c:pt>
                <c:pt idx="2890">
                  <c:v>30.104333622686681</c:v>
                </c:pt>
                <c:pt idx="2891">
                  <c:v>30.11475034722389</c:v>
                </c:pt>
                <c:pt idx="2892">
                  <c:v>30.12516707176108</c:v>
                </c:pt>
                <c:pt idx="2893">
                  <c:v>30.13558379629831</c:v>
                </c:pt>
                <c:pt idx="2894">
                  <c:v>30.146000520835511</c:v>
                </c:pt>
                <c:pt idx="2895">
                  <c:v>30.156417245372719</c:v>
                </c:pt>
                <c:pt idx="2896">
                  <c:v>30.166833969909931</c:v>
                </c:pt>
                <c:pt idx="2897">
                  <c:v>30.177250694447139</c:v>
                </c:pt>
                <c:pt idx="2898">
                  <c:v>30.187667418984351</c:v>
                </c:pt>
                <c:pt idx="2899">
                  <c:v>30.198084143521552</c:v>
                </c:pt>
                <c:pt idx="2900">
                  <c:v>30.20850086805876</c:v>
                </c:pt>
                <c:pt idx="2901">
                  <c:v>30.218917592595972</c:v>
                </c:pt>
                <c:pt idx="2902">
                  <c:v>30.22933431713318</c:v>
                </c:pt>
                <c:pt idx="2903">
                  <c:v>30.239751041663109</c:v>
                </c:pt>
                <c:pt idx="2904">
                  <c:v>30.25016776620032</c:v>
                </c:pt>
                <c:pt idx="2905">
                  <c:v>30.260584490737521</c:v>
                </c:pt>
                <c:pt idx="2906">
                  <c:v>30.27100121527474</c:v>
                </c:pt>
                <c:pt idx="2907">
                  <c:v>30.281417939811931</c:v>
                </c:pt>
                <c:pt idx="2908">
                  <c:v>30.29183466434915</c:v>
                </c:pt>
                <c:pt idx="2909">
                  <c:v>30.302251388886361</c:v>
                </c:pt>
                <c:pt idx="2910">
                  <c:v>30.31266811342357</c:v>
                </c:pt>
                <c:pt idx="2911">
                  <c:v>30.323084837960771</c:v>
                </c:pt>
                <c:pt idx="2912">
                  <c:v>30.33350156249799</c:v>
                </c:pt>
                <c:pt idx="2913">
                  <c:v>30.343918287035191</c:v>
                </c:pt>
                <c:pt idx="2914">
                  <c:v>30.35433501157241</c:v>
                </c:pt>
                <c:pt idx="2915">
                  <c:v>30.364751736109611</c:v>
                </c:pt>
                <c:pt idx="2916">
                  <c:v>30.375168460646819</c:v>
                </c:pt>
                <c:pt idx="2917">
                  <c:v>30.385585185184031</c:v>
                </c:pt>
                <c:pt idx="2918">
                  <c:v>30.396001909721221</c:v>
                </c:pt>
                <c:pt idx="2919">
                  <c:v>30.40641863425844</c:v>
                </c:pt>
                <c:pt idx="2920">
                  <c:v>30.416835358795659</c:v>
                </c:pt>
                <c:pt idx="2921">
                  <c:v>30.42725208333286</c:v>
                </c:pt>
                <c:pt idx="2922">
                  <c:v>30.437668807870072</c:v>
                </c:pt>
                <c:pt idx="2923">
                  <c:v>30.448085532407269</c:v>
                </c:pt>
                <c:pt idx="2924">
                  <c:v>30.458502256944481</c:v>
                </c:pt>
                <c:pt idx="2925">
                  <c:v>30.468918981481689</c:v>
                </c:pt>
                <c:pt idx="2926">
                  <c:v>30.479335706018901</c:v>
                </c:pt>
                <c:pt idx="2927">
                  <c:v>30.489752430556109</c:v>
                </c:pt>
                <c:pt idx="2928">
                  <c:v>30.500169155093321</c:v>
                </c:pt>
                <c:pt idx="2929">
                  <c:v>30.510585879630529</c:v>
                </c:pt>
                <c:pt idx="2930">
                  <c:v>30.52100260416772</c:v>
                </c:pt>
                <c:pt idx="2931">
                  <c:v>30.531419328704938</c:v>
                </c:pt>
                <c:pt idx="2932">
                  <c:v>30.54183605324215</c:v>
                </c:pt>
                <c:pt idx="2933">
                  <c:v>30.552252777779341</c:v>
                </c:pt>
                <c:pt idx="2934">
                  <c:v>30.56266950231656</c:v>
                </c:pt>
                <c:pt idx="2935">
                  <c:v>30.573086226853771</c:v>
                </c:pt>
                <c:pt idx="2936">
                  <c:v>30.58350295139098</c:v>
                </c:pt>
                <c:pt idx="2937">
                  <c:v>30.593919675928181</c:v>
                </c:pt>
                <c:pt idx="2938">
                  <c:v>30.604336400465399</c:v>
                </c:pt>
                <c:pt idx="2939">
                  <c:v>30.614753125002611</c:v>
                </c:pt>
                <c:pt idx="2940">
                  <c:v>30.625169849539809</c:v>
                </c:pt>
                <c:pt idx="2941">
                  <c:v>30.635586574077021</c:v>
                </c:pt>
                <c:pt idx="2942">
                  <c:v>30.646003298614229</c:v>
                </c:pt>
                <c:pt idx="2943">
                  <c:v>30.656420023151441</c:v>
                </c:pt>
                <c:pt idx="2944">
                  <c:v>30.666836747688649</c:v>
                </c:pt>
                <c:pt idx="2945">
                  <c:v>30.677253472225861</c:v>
                </c:pt>
                <c:pt idx="2946">
                  <c:v>30.687670196755789</c:v>
                </c:pt>
                <c:pt idx="2947">
                  <c:v>30.698086921293001</c:v>
                </c:pt>
                <c:pt idx="2948">
                  <c:v>30.708503645830191</c:v>
                </c:pt>
                <c:pt idx="2949">
                  <c:v>30.71892037036741</c:v>
                </c:pt>
                <c:pt idx="2950">
                  <c:v>30.729337094904619</c:v>
                </c:pt>
                <c:pt idx="2951">
                  <c:v>30.73975381944183</c:v>
                </c:pt>
                <c:pt idx="2952">
                  <c:v>30.750170543979021</c:v>
                </c:pt>
                <c:pt idx="2953">
                  <c:v>30.76058726851624</c:v>
                </c:pt>
                <c:pt idx="2954">
                  <c:v>30.771003993053451</c:v>
                </c:pt>
                <c:pt idx="2955">
                  <c:v>30.78142071759066</c:v>
                </c:pt>
                <c:pt idx="2956">
                  <c:v>30.791837442127871</c:v>
                </c:pt>
                <c:pt idx="2957">
                  <c:v>30.80225416666508</c:v>
                </c:pt>
                <c:pt idx="2958">
                  <c:v>30.812670891202291</c:v>
                </c:pt>
                <c:pt idx="2959">
                  <c:v>30.8230876157395</c:v>
                </c:pt>
                <c:pt idx="2960">
                  <c:v>30.833504340276701</c:v>
                </c:pt>
                <c:pt idx="2961">
                  <c:v>30.843921064813919</c:v>
                </c:pt>
                <c:pt idx="2962">
                  <c:v>30.854337789351121</c:v>
                </c:pt>
                <c:pt idx="2963">
                  <c:v>30.864754513888329</c:v>
                </c:pt>
                <c:pt idx="2964">
                  <c:v>30.87517123842553</c:v>
                </c:pt>
                <c:pt idx="2965">
                  <c:v>30.885587962962731</c:v>
                </c:pt>
                <c:pt idx="2966">
                  <c:v>30.89600468749995</c:v>
                </c:pt>
                <c:pt idx="2967">
                  <c:v>30.906421412037162</c:v>
                </c:pt>
                <c:pt idx="2968">
                  <c:v>30.91683813657437</c:v>
                </c:pt>
                <c:pt idx="2969">
                  <c:v>30.927254861111582</c:v>
                </c:pt>
                <c:pt idx="2970">
                  <c:v>30.93767158564879</c:v>
                </c:pt>
                <c:pt idx="2971">
                  <c:v>30.94808831018598</c:v>
                </c:pt>
                <c:pt idx="2972">
                  <c:v>30.958505034723188</c:v>
                </c:pt>
                <c:pt idx="2973">
                  <c:v>30.968921759260411</c:v>
                </c:pt>
                <c:pt idx="2974">
                  <c:v>30.979338483797619</c:v>
                </c:pt>
                <c:pt idx="2975">
                  <c:v>30.98975520833482</c:v>
                </c:pt>
                <c:pt idx="2976">
                  <c:v>31.000171932872039</c:v>
                </c:pt>
                <c:pt idx="2977">
                  <c:v>31.01058865740924</c:v>
                </c:pt>
                <c:pt idx="2978">
                  <c:v>31.021005381946459</c:v>
                </c:pt>
                <c:pt idx="2979">
                  <c:v>31.03142210648366</c:v>
                </c:pt>
                <c:pt idx="2980">
                  <c:v>31.041838831020861</c:v>
                </c:pt>
                <c:pt idx="2981">
                  <c:v>31.05225555555808</c:v>
                </c:pt>
                <c:pt idx="2982">
                  <c:v>31.062672280095271</c:v>
                </c:pt>
                <c:pt idx="2983">
                  <c:v>31.073089004632489</c:v>
                </c:pt>
                <c:pt idx="2984">
                  <c:v>31.083505729169701</c:v>
                </c:pt>
                <c:pt idx="2985">
                  <c:v>31.093922453706909</c:v>
                </c:pt>
                <c:pt idx="2986">
                  <c:v>31.104339178244121</c:v>
                </c:pt>
                <c:pt idx="2987">
                  <c:v>31.114755902781329</c:v>
                </c:pt>
                <c:pt idx="2988">
                  <c:v>31.125172627311251</c:v>
                </c:pt>
                <c:pt idx="2989">
                  <c:v>31.13558935184847</c:v>
                </c:pt>
                <c:pt idx="2990">
                  <c:v>31.146006076385671</c:v>
                </c:pt>
                <c:pt idx="2991">
                  <c:v>31.156422800922879</c:v>
                </c:pt>
                <c:pt idx="2992">
                  <c:v>31.166839525460091</c:v>
                </c:pt>
                <c:pt idx="2993">
                  <c:v>31.177256249997299</c:v>
                </c:pt>
                <c:pt idx="2994">
                  <c:v>31.1876729745345</c:v>
                </c:pt>
                <c:pt idx="2995">
                  <c:v>31.198089699071719</c:v>
                </c:pt>
                <c:pt idx="2996">
                  <c:v>31.20850642360892</c:v>
                </c:pt>
                <c:pt idx="2997">
                  <c:v>31.218923148146128</c:v>
                </c:pt>
                <c:pt idx="2998">
                  <c:v>31.229339872683319</c:v>
                </c:pt>
                <c:pt idx="2999">
                  <c:v>31.239756597220541</c:v>
                </c:pt>
                <c:pt idx="3000">
                  <c:v>31.25017332175776</c:v>
                </c:pt>
                <c:pt idx="3001">
                  <c:v>31.260590046294961</c:v>
                </c:pt>
                <c:pt idx="3002">
                  <c:v>31.27100677083217</c:v>
                </c:pt>
                <c:pt idx="3003">
                  <c:v>31.28142349536936</c:v>
                </c:pt>
                <c:pt idx="3004">
                  <c:v>31.291840219906589</c:v>
                </c:pt>
                <c:pt idx="3005">
                  <c:v>31.302256944443791</c:v>
                </c:pt>
                <c:pt idx="3006">
                  <c:v>31.312673668981009</c:v>
                </c:pt>
                <c:pt idx="3007">
                  <c:v>31.323090393518211</c:v>
                </c:pt>
                <c:pt idx="3008">
                  <c:v>31.333507118055429</c:v>
                </c:pt>
                <c:pt idx="3009">
                  <c:v>31.343923842592631</c:v>
                </c:pt>
                <c:pt idx="3010">
                  <c:v>31.354340567129839</c:v>
                </c:pt>
                <c:pt idx="3011">
                  <c:v>31.36475729166704</c:v>
                </c:pt>
                <c:pt idx="3012">
                  <c:v>31.375174016204259</c:v>
                </c:pt>
                <c:pt idx="3013">
                  <c:v>31.38559074074146</c:v>
                </c:pt>
                <c:pt idx="3014">
                  <c:v>31.396007465278679</c:v>
                </c:pt>
                <c:pt idx="3015">
                  <c:v>31.40642418981588</c:v>
                </c:pt>
                <c:pt idx="3016">
                  <c:v>31.416840914353092</c:v>
                </c:pt>
                <c:pt idx="3017">
                  <c:v>31.4272576388903</c:v>
                </c:pt>
                <c:pt idx="3018">
                  <c:v>31.437674363427501</c:v>
                </c:pt>
                <c:pt idx="3019">
                  <c:v>31.448091087964709</c:v>
                </c:pt>
                <c:pt idx="3020">
                  <c:v>31.4585078125019</c:v>
                </c:pt>
                <c:pt idx="3021">
                  <c:v>31.468924537039118</c:v>
                </c:pt>
                <c:pt idx="3022">
                  <c:v>31.47934126157632</c:v>
                </c:pt>
                <c:pt idx="3023">
                  <c:v>31.489757986113531</c:v>
                </c:pt>
                <c:pt idx="3024">
                  <c:v>31.500174710650761</c:v>
                </c:pt>
                <c:pt idx="3025">
                  <c:v>31.510591435187958</c:v>
                </c:pt>
                <c:pt idx="3026">
                  <c:v>31.52100815972517</c:v>
                </c:pt>
                <c:pt idx="3027">
                  <c:v>31.531424884262371</c:v>
                </c:pt>
                <c:pt idx="3028">
                  <c:v>31.541841608799601</c:v>
                </c:pt>
                <c:pt idx="3029">
                  <c:v>31.552258333336791</c:v>
                </c:pt>
                <c:pt idx="3030">
                  <c:v>31.562675057873999</c:v>
                </c:pt>
                <c:pt idx="3031">
                  <c:v>31.573091782403932</c:v>
                </c:pt>
                <c:pt idx="3032">
                  <c:v>31.583508506941129</c:v>
                </c:pt>
                <c:pt idx="3033">
                  <c:v>31.593925231478352</c:v>
                </c:pt>
                <c:pt idx="3034">
                  <c:v>31.60434195601556</c:v>
                </c:pt>
                <c:pt idx="3035">
                  <c:v>31.614758680552772</c:v>
                </c:pt>
                <c:pt idx="3036">
                  <c:v>31.62517540508998</c:v>
                </c:pt>
                <c:pt idx="3037">
                  <c:v>31.635592129627181</c:v>
                </c:pt>
                <c:pt idx="3038">
                  <c:v>31.646008854164389</c:v>
                </c:pt>
                <c:pt idx="3039">
                  <c:v>31.656425578701601</c:v>
                </c:pt>
                <c:pt idx="3040">
                  <c:v>31.666842303238809</c:v>
                </c:pt>
                <c:pt idx="3041">
                  <c:v>31.677259027776021</c:v>
                </c:pt>
                <c:pt idx="3042">
                  <c:v>31.687675752313229</c:v>
                </c:pt>
                <c:pt idx="3043">
                  <c:v>31.69809247685043</c:v>
                </c:pt>
                <c:pt idx="3044">
                  <c:v>31.708509201387621</c:v>
                </c:pt>
                <c:pt idx="3045">
                  <c:v>31.71892592592485</c:v>
                </c:pt>
                <c:pt idx="3046">
                  <c:v>31.729342650462041</c:v>
                </c:pt>
                <c:pt idx="3047">
                  <c:v>31.739759374999259</c:v>
                </c:pt>
                <c:pt idx="3048">
                  <c:v>31.750176099536471</c:v>
                </c:pt>
                <c:pt idx="3049">
                  <c:v>31.760592824073679</c:v>
                </c:pt>
                <c:pt idx="3050">
                  <c:v>31.771009548610891</c:v>
                </c:pt>
                <c:pt idx="3051">
                  <c:v>31.781426273148082</c:v>
                </c:pt>
                <c:pt idx="3052">
                  <c:v>31.791842997685301</c:v>
                </c:pt>
                <c:pt idx="3053">
                  <c:v>31.802259722222519</c:v>
                </c:pt>
                <c:pt idx="3054">
                  <c:v>31.812676446759721</c:v>
                </c:pt>
                <c:pt idx="3055">
                  <c:v>31.823093171296929</c:v>
                </c:pt>
                <c:pt idx="3056">
                  <c:v>31.83350989583414</c:v>
                </c:pt>
                <c:pt idx="3057">
                  <c:v>31.843926620371349</c:v>
                </c:pt>
                <c:pt idx="3058">
                  <c:v>31.85434334490856</c:v>
                </c:pt>
                <c:pt idx="3059">
                  <c:v>31.864760069445769</c:v>
                </c:pt>
                <c:pt idx="3060">
                  <c:v>31.87517679398297</c:v>
                </c:pt>
                <c:pt idx="3061">
                  <c:v>31.885593518520171</c:v>
                </c:pt>
                <c:pt idx="3062">
                  <c:v>31.89601024305739</c:v>
                </c:pt>
                <c:pt idx="3063">
                  <c:v>31.906426967594591</c:v>
                </c:pt>
                <c:pt idx="3064">
                  <c:v>31.916843692131799</c:v>
                </c:pt>
                <c:pt idx="3065">
                  <c:v>31.927260416669011</c:v>
                </c:pt>
                <c:pt idx="3066">
                  <c:v>31.93767714120623</c:v>
                </c:pt>
                <c:pt idx="3067">
                  <c:v>31.94809386574342</c:v>
                </c:pt>
                <c:pt idx="3068">
                  <c:v>31.958510590280639</c:v>
                </c:pt>
                <c:pt idx="3069">
                  <c:v>31.96892731481784</c:v>
                </c:pt>
                <c:pt idx="3070">
                  <c:v>31.979344039355041</c:v>
                </c:pt>
                <c:pt idx="3071">
                  <c:v>31.98976076389226</c:v>
                </c:pt>
                <c:pt idx="3072">
                  <c:v>32.000177488429472</c:v>
                </c:pt>
                <c:pt idx="3073">
                  <c:v>32.010594212959411</c:v>
                </c:pt>
                <c:pt idx="3074">
                  <c:v>32.021010937496612</c:v>
                </c:pt>
                <c:pt idx="3075">
                  <c:v>32.031427662033799</c:v>
                </c:pt>
                <c:pt idx="3076">
                  <c:v>32.041844386571029</c:v>
                </c:pt>
                <c:pt idx="3077">
                  <c:v>32.052261111108223</c:v>
                </c:pt>
                <c:pt idx="3078">
                  <c:v>32.062677835645452</c:v>
                </c:pt>
                <c:pt idx="3079">
                  <c:v>32.073094560182632</c:v>
                </c:pt>
                <c:pt idx="3080">
                  <c:v>32.083511284719862</c:v>
                </c:pt>
                <c:pt idx="3081">
                  <c:v>32.09392800925707</c:v>
                </c:pt>
                <c:pt idx="3082">
                  <c:v>32.104344733794257</c:v>
                </c:pt>
                <c:pt idx="3083">
                  <c:v>32.114761458331458</c:v>
                </c:pt>
                <c:pt idx="3084">
                  <c:v>32.125178182868702</c:v>
                </c:pt>
                <c:pt idx="3085">
                  <c:v>32.135594907405903</c:v>
                </c:pt>
                <c:pt idx="3086">
                  <c:v>32.146011631943097</c:v>
                </c:pt>
                <c:pt idx="3087">
                  <c:v>32.156428356480298</c:v>
                </c:pt>
                <c:pt idx="3088">
                  <c:v>32.166845081017513</c:v>
                </c:pt>
                <c:pt idx="3089">
                  <c:v>32.177261805554743</c:v>
                </c:pt>
                <c:pt idx="3090">
                  <c:v>32.187678530091951</c:v>
                </c:pt>
                <c:pt idx="3091">
                  <c:v>32.198095254629152</c:v>
                </c:pt>
                <c:pt idx="3092">
                  <c:v>32.20851197916636</c:v>
                </c:pt>
                <c:pt idx="3093">
                  <c:v>32.218928703703547</c:v>
                </c:pt>
                <c:pt idx="3094">
                  <c:v>32.229345428240777</c:v>
                </c:pt>
                <c:pt idx="3095">
                  <c:v>32.239762152777999</c:v>
                </c:pt>
                <c:pt idx="3096">
                  <c:v>32.2501788773152</c:v>
                </c:pt>
                <c:pt idx="3097">
                  <c:v>32.260595601852401</c:v>
                </c:pt>
                <c:pt idx="3098">
                  <c:v>32.271012326389609</c:v>
                </c:pt>
                <c:pt idx="3099">
                  <c:v>32.281429050926803</c:v>
                </c:pt>
                <c:pt idx="3100">
                  <c:v>32.291845775464033</c:v>
                </c:pt>
                <c:pt idx="3101">
                  <c:v>32.302262500001227</c:v>
                </c:pt>
                <c:pt idx="3102">
                  <c:v>32.312679224538442</c:v>
                </c:pt>
                <c:pt idx="3103">
                  <c:v>32.32309594907565</c:v>
                </c:pt>
                <c:pt idx="3104">
                  <c:v>32.333512673612837</c:v>
                </c:pt>
                <c:pt idx="3105">
                  <c:v>32.343929398150067</c:v>
                </c:pt>
                <c:pt idx="3106">
                  <c:v>32.354346122687261</c:v>
                </c:pt>
                <c:pt idx="3107">
                  <c:v>32.364762847224483</c:v>
                </c:pt>
                <c:pt idx="3108">
                  <c:v>32.37517957176167</c:v>
                </c:pt>
                <c:pt idx="3109">
                  <c:v>32.3855962962989</c:v>
                </c:pt>
                <c:pt idx="3110">
                  <c:v>32.396013020836108</c:v>
                </c:pt>
                <c:pt idx="3111">
                  <c:v>32.406429745373302</c:v>
                </c:pt>
                <c:pt idx="3112">
                  <c:v>32.416846469910489</c:v>
                </c:pt>
                <c:pt idx="3113">
                  <c:v>32.427263194447733</c:v>
                </c:pt>
                <c:pt idx="3114">
                  <c:v>32.437679918984941</c:v>
                </c:pt>
                <c:pt idx="3115">
                  <c:v>32.448096643522149</c:v>
                </c:pt>
                <c:pt idx="3116">
                  <c:v>32.458513368052081</c:v>
                </c:pt>
                <c:pt idx="3117">
                  <c:v>32.468930092589297</c:v>
                </c:pt>
                <c:pt idx="3118">
                  <c:v>32.479346817126498</c:v>
                </c:pt>
                <c:pt idx="3119">
                  <c:v>32.489763541663692</c:v>
                </c:pt>
                <c:pt idx="3120">
                  <c:v>32.500180266200907</c:v>
                </c:pt>
                <c:pt idx="3121">
                  <c:v>32.510596990738122</c:v>
                </c:pt>
                <c:pt idx="3122">
                  <c:v>32.52101371527533</c:v>
                </c:pt>
                <c:pt idx="3123">
                  <c:v>32.53143043981251</c:v>
                </c:pt>
                <c:pt idx="3124">
                  <c:v>32.541847164349733</c:v>
                </c:pt>
                <c:pt idx="3125">
                  <c:v>32.552263888886962</c:v>
                </c:pt>
                <c:pt idx="3126">
                  <c:v>32.562680613424163</c:v>
                </c:pt>
                <c:pt idx="3127">
                  <c:v>32.573097337961372</c:v>
                </c:pt>
                <c:pt idx="3128">
                  <c:v>32.583514062498573</c:v>
                </c:pt>
                <c:pt idx="3129">
                  <c:v>32.593930787035802</c:v>
                </c:pt>
                <c:pt idx="3130">
                  <c:v>32.604347511573003</c:v>
                </c:pt>
                <c:pt idx="3131">
                  <c:v>32.614764236110197</c:v>
                </c:pt>
                <c:pt idx="3132">
                  <c:v>32.625180960647413</c:v>
                </c:pt>
                <c:pt idx="3133">
                  <c:v>32.635597685184621</c:v>
                </c:pt>
                <c:pt idx="3134">
                  <c:v>32.646014409721829</c:v>
                </c:pt>
                <c:pt idx="3135">
                  <c:v>32.656431134259037</c:v>
                </c:pt>
                <c:pt idx="3136">
                  <c:v>32.666847858796231</c:v>
                </c:pt>
                <c:pt idx="3137">
                  <c:v>32.677264583333432</c:v>
                </c:pt>
                <c:pt idx="3138">
                  <c:v>32.687681307870641</c:v>
                </c:pt>
                <c:pt idx="3139">
                  <c:v>32.698098032407898</c:v>
                </c:pt>
                <c:pt idx="3140">
                  <c:v>32.708514756945078</c:v>
                </c:pt>
                <c:pt idx="3141">
                  <c:v>32.718931481482272</c:v>
                </c:pt>
                <c:pt idx="3142">
                  <c:v>32.729348206019502</c:v>
                </c:pt>
                <c:pt idx="3143">
                  <c:v>32.739764930556703</c:v>
                </c:pt>
                <c:pt idx="3144">
                  <c:v>32.75018165509389</c:v>
                </c:pt>
                <c:pt idx="3145">
                  <c:v>32.760598379631119</c:v>
                </c:pt>
                <c:pt idx="3146">
                  <c:v>32.771015104168328</c:v>
                </c:pt>
                <c:pt idx="3147">
                  <c:v>32.781431828705543</c:v>
                </c:pt>
                <c:pt idx="3148">
                  <c:v>32.79184855324273</c:v>
                </c:pt>
                <c:pt idx="3149">
                  <c:v>32.802265277779952</c:v>
                </c:pt>
                <c:pt idx="3150">
                  <c:v>32.812682002317139</c:v>
                </c:pt>
                <c:pt idx="3151">
                  <c:v>32.823098726854369</c:v>
                </c:pt>
                <c:pt idx="3152">
                  <c:v>32.833515451391563</c:v>
                </c:pt>
                <c:pt idx="3153">
                  <c:v>32.843932175928799</c:v>
                </c:pt>
                <c:pt idx="3154">
                  <c:v>32.854348900466</c:v>
                </c:pt>
                <c:pt idx="3155">
                  <c:v>32.864765625003187</c:v>
                </c:pt>
                <c:pt idx="3156">
                  <c:v>32.87518234954041</c:v>
                </c:pt>
                <c:pt idx="3157">
                  <c:v>32.885599074077597</c:v>
                </c:pt>
                <c:pt idx="3158">
                  <c:v>32.89601579860755</c:v>
                </c:pt>
                <c:pt idx="3159">
                  <c:v>32.906432523144758</c:v>
                </c:pt>
                <c:pt idx="3160">
                  <c:v>32.916849247681952</c:v>
                </c:pt>
                <c:pt idx="3161">
                  <c:v>32.927265972219168</c:v>
                </c:pt>
                <c:pt idx="3162">
                  <c:v>32.937682696756362</c:v>
                </c:pt>
                <c:pt idx="3163">
                  <c:v>32.948099421293563</c:v>
                </c:pt>
                <c:pt idx="3164">
                  <c:v>32.958516145830799</c:v>
                </c:pt>
                <c:pt idx="3165">
                  <c:v>32.968932870368008</c:v>
                </c:pt>
                <c:pt idx="3166">
                  <c:v>32.979349594905223</c:v>
                </c:pt>
                <c:pt idx="3167">
                  <c:v>32.98976631944241</c:v>
                </c:pt>
                <c:pt idx="3168">
                  <c:v>33.000183043979632</c:v>
                </c:pt>
                <c:pt idx="3169">
                  <c:v>33.01059976851684</c:v>
                </c:pt>
                <c:pt idx="3170">
                  <c:v>33.021016493054049</c:v>
                </c:pt>
                <c:pt idx="3171">
                  <c:v>33.031433217591257</c:v>
                </c:pt>
                <c:pt idx="3172">
                  <c:v>33.041849942128472</c:v>
                </c:pt>
                <c:pt idx="3173">
                  <c:v>33.052266666665638</c:v>
                </c:pt>
                <c:pt idx="3174">
                  <c:v>33.062683391202867</c:v>
                </c:pt>
                <c:pt idx="3175">
                  <c:v>33.07310011574009</c:v>
                </c:pt>
                <c:pt idx="3176">
                  <c:v>33.083516840277298</c:v>
                </c:pt>
                <c:pt idx="3177">
                  <c:v>33.093933564814513</c:v>
                </c:pt>
                <c:pt idx="3178">
                  <c:v>33.104350289351721</c:v>
                </c:pt>
                <c:pt idx="3179">
                  <c:v>33.114767013888923</c:v>
                </c:pt>
                <c:pt idx="3180">
                  <c:v>33.125183738426131</c:v>
                </c:pt>
                <c:pt idx="3181">
                  <c:v>33.135600462963318</c:v>
                </c:pt>
                <c:pt idx="3182">
                  <c:v>33.146017187500547</c:v>
                </c:pt>
                <c:pt idx="3183">
                  <c:v>33.156433912037762</c:v>
                </c:pt>
                <c:pt idx="3184">
                  <c:v>33.166850636574978</c:v>
                </c:pt>
                <c:pt idx="3185">
                  <c:v>33.177267361112143</c:v>
                </c:pt>
                <c:pt idx="3186">
                  <c:v>33.187684085649337</c:v>
                </c:pt>
                <c:pt idx="3187">
                  <c:v>33.198100810186602</c:v>
                </c:pt>
                <c:pt idx="3188">
                  <c:v>33.208517534723804</c:v>
                </c:pt>
                <c:pt idx="3189">
                  <c:v>33.218934259260998</c:v>
                </c:pt>
                <c:pt idx="3190">
                  <c:v>33.229350983798213</c:v>
                </c:pt>
                <c:pt idx="3191">
                  <c:v>33.239767708335421</c:v>
                </c:pt>
                <c:pt idx="3192">
                  <c:v>33.250184432872622</c:v>
                </c:pt>
                <c:pt idx="3193">
                  <c:v>33.260601157409837</c:v>
                </c:pt>
                <c:pt idx="3194">
                  <c:v>33.271017881947053</c:v>
                </c:pt>
                <c:pt idx="3195">
                  <c:v>33.281434606484247</c:v>
                </c:pt>
                <c:pt idx="3196">
                  <c:v>33.291851331021462</c:v>
                </c:pt>
                <c:pt idx="3197">
                  <c:v>33.302268055558649</c:v>
                </c:pt>
                <c:pt idx="3198">
                  <c:v>33.312684780095857</c:v>
                </c:pt>
                <c:pt idx="3199">
                  <c:v>33.323101504633073</c:v>
                </c:pt>
                <c:pt idx="3200">
                  <c:v>33.333518229170302</c:v>
                </c:pt>
                <c:pt idx="3201">
                  <c:v>33.343934953700213</c:v>
                </c:pt>
                <c:pt idx="3202">
                  <c:v>33.354351678237407</c:v>
                </c:pt>
                <c:pt idx="3203">
                  <c:v>33.364768402774637</c:v>
                </c:pt>
                <c:pt idx="3204">
                  <c:v>33.375185127311852</c:v>
                </c:pt>
                <c:pt idx="3205">
                  <c:v>33.385601851849039</c:v>
                </c:pt>
                <c:pt idx="3206">
                  <c:v>33.396018576386247</c:v>
                </c:pt>
                <c:pt idx="3207">
                  <c:v>33.406435300923476</c:v>
                </c:pt>
                <c:pt idx="3208">
                  <c:v>33.41685202546067</c:v>
                </c:pt>
                <c:pt idx="3209">
                  <c:v>33.4272687499979</c:v>
                </c:pt>
                <c:pt idx="3210">
                  <c:v>33.437685474535087</c:v>
                </c:pt>
                <c:pt idx="3211">
                  <c:v>33.448102199072309</c:v>
                </c:pt>
                <c:pt idx="3212">
                  <c:v>33.458518923609518</c:v>
                </c:pt>
                <c:pt idx="3213">
                  <c:v>33.468935648146733</c:v>
                </c:pt>
                <c:pt idx="3214">
                  <c:v>33.479352372683941</c:v>
                </c:pt>
                <c:pt idx="3215">
                  <c:v>33.489769097221142</c:v>
                </c:pt>
                <c:pt idx="3216">
                  <c:v>33.50018582175835</c:v>
                </c:pt>
                <c:pt idx="3217">
                  <c:v>33.510602546295537</c:v>
                </c:pt>
                <c:pt idx="3218">
                  <c:v>33.521019270832767</c:v>
                </c:pt>
                <c:pt idx="3219">
                  <c:v>33.531435995369982</c:v>
                </c:pt>
                <c:pt idx="3220">
                  <c:v>33.541852719907183</c:v>
                </c:pt>
                <c:pt idx="3221">
                  <c:v>33.55226944444437</c:v>
                </c:pt>
                <c:pt idx="3222">
                  <c:v>33.5626861689816</c:v>
                </c:pt>
                <c:pt idx="3223">
                  <c:v>33.573102893518808</c:v>
                </c:pt>
                <c:pt idx="3224">
                  <c:v>33.583519618056023</c:v>
                </c:pt>
                <c:pt idx="3225">
                  <c:v>33.593936342593231</c:v>
                </c:pt>
                <c:pt idx="3226">
                  <c:v>33.604353067130432</c:v>
                </c:pt>
                <c:pt idx="3227">
                  <c:v>33.614769791667612</c:v>
                </c:pt>
                <c:pt idx="3228">
                  <c:v>33.625186516204849</c:v>
                </c:pt>
                <c:pt idx="3229">
                  <c:v>33.635603240742057</c:v>
                </c:pt>
                <c:pt idx="3230">
                  <c:v>33.646019965279272</c:v>
                </c:pt>
                <c:pt idx="3231">
                  <c:v>33.656436689816459</c:v>
                </c:pt>
                <c:pt idx="3232">
                  <c:v>33.666853414353668</c:v>
                </c:pt>
                <c:pt idx="3233">
                  <c:v>33.677270138890897</c:v>
                </c:pt>
                <c:pt idx="3234">
                  <c:v>33.687686863428077</c:v>
                </c:pt>
                <c:pt idx="3235">
                  <c:v>33.698103587965313</c:v>
                </c:pt>
                <c:pt idx="3236">
                  <c:v>33.708520312502522</c:v>
                </c:pt>
                <c:pt idx="3237">
                  <c:v>33.718937037039723</c:v>
                </c:pt>
                <c:pt idx="3238">
                  <c:v>33.729353761576931</c:v>
                </c:pt>
                <c:pt idx="3239">
                  <c:v>33.739770486114139</c:v>
                </c:pt>
                <c:pt idx="3240">
                  <c:v>33.750187210651347</c:v>
                </c:pt>
                <c:pt idx="3241">
                  <c:v>33.760603935188563</c:v>
                </c:pt>
                <c:pt idx="3242">
                  <c:v>33.771020659725757</c:v>
                </c:pt>
                <c:pt idx="3243">
                  <c:v>33.781437384255703</c:v>
                </c:pt>
                <c:pt idx="3244">
                  <c:v>33.791854108792897</c:v>
                </c:pt>
                <c:pt idx="3245">
                  <c:v>33.802270833330113</c:v>
                </c:pt>
                <c:pt idx="3246">
                  <c:v>33.812687557867278</c:v>
                </c:pt>
                <c:pt idx="3247">
                  <c:v>33.823104282404529</c:v>
                </c:pt>
                <c:pt idx="3248">
                  <c:v>33.833521006941737</c:v>
                </c:pt>
                <c:pt idx="3249">
                  <c:v>33.843937731478952</c:v>
                </c:pt>
                <c:pt idx="3250">
                  <c:v>33.854354456016132</c:v>
                </c:pt>
                <c:pt idx="3251">
                  <c:v>33.864771180553348</c:v>
                </c:pt>
                <c:pt idx="3252">
                  <c:v>33.875187905090549</c:v>
                </c:pt>
                <c:pt idx="3253">
                  <c:v>33.885604629627757</c:v>
                </c:pt>
                <c:pt idx="3254">
                  <c:v>33.896021354165001</c:v>
                </c:pt>
                <c:pt idx="3255">
                  <c:v>33.906438078702188</c:v>
                </c:pt>
                <c:pt idx="3256">
                  <c:v>33.916854803239382</c:v>
                </c:pt>
                <c:pt idx="3257">
                  <c:v>33.92727152777659</c:v>
                </c:pt>
                <c:pt idx="3258">
                  <c:v>33.937688252313798</c:v>
                </c:pt>
                <c:pt idx="3259">
                  <c:v>33.948104976851027</c:v>
                </c:pt>
                <c:pt idx="3260">
                  <c:v>33.958521701388221</c:v>
                </c:pt>
                <c:pt idx="3261">
                  <c:v>33.968938425925451</c:v>
                </c:pt>
                <c:pt idx="3262">
                  <c:v>33.979355150462638</c:v>
                </c:pt>
                <c:pt idx="3263">
                  <c:v>33.98977187499986</c:v>
                </c:pt>
                <c:pt idx="3264">
                  <c:v>34.000188599537047</c:v>
                </c:pt>
                <c:pt idx="3265">
                  <c:v>34.010605324074277</c:v>
                </c:pt>
                <c:pt idx="3266">
                  <c:v>34.021022048611478</c:v>
                </c:pt>
                <c:pt idx="3267">
                  <c:v>34.031438773148693</c:v>
                </c:pt>
                <c:pt idx="3268">
                  <c:v>34.041855497685887</c:v>
                </c:pt>
                <c:pt idx="3269">
                  <c:v>34.05227222222311</c:v>
                </c:pt>
                <c:pt idx="3270">
                  <c:v>34.062688946760318</c:v>
                </c:pt>
                <c:pt idx="3271">
                  <c:v>34.073105671297512</c:v>
                </c:pt>
                <c:pt idx="3272">
                  <c:v>34.083522395834741</c:v>
                </c:pt>
                <c:pt idx="3273">
                  <c:v>34.093939120371957</c:v>
                </c:pt>
                <c:pt idx="3274">
                  <c:v>34.104355844909172</c:v>
                </c:pt>
                <c:pt idx="3275">
                  <c:v>34.11477256944633</c:v>
                </c:pt>
                <c:pt idx="3276">
                  <c:v>34.125189293983567</c:v>
                </c:pt>
                <c:pt idx="3277">
                  <c:v>34.135606018520782</c:v>
                </c:pt>
                <c:pt idx="3278">
                  <c:v>34.146022743057983</c:v>
                </c:pt>
                <c:pt idx="3279">
                  <c:v>34.15643946759517</c:v>
                </c:pt>
                <c:pt idx="3280">
                  <c:v>34.1668561921324</c:v>
                </c:pt>
                <c:pt idx="3281">
                  <c:v>34.177272916669608</c:v>
                </c:pt>
                <c:pt idx="3282">
                  <c:v>34.187689641206788</c:v>
                </c:pt>
                <c:pt idx="3283">
                  <c:v>34.198106365744032</c:v>
                </c:pt>
                <c:pt idx="3284">
                  <c:v>34.208523090281233</c:v>
                </c:pt>
                <c:pt idx="3285">
                  <c:v>34.218939814818441</c:v>
                </c:pt>
                <c:pt idx="3286">
                  <c:v>34.229356539348373</c:v>
                </c:pt>
                <c:pt idx="3287">
                  <c:v>34.239773263885581</c:v>
                </c:pt>
                <c:pt idx="3288">
                  <c:v>34.250189988422797</c:v>
                </c:pt>
                <c:pt idx="3289">
                  <c:v>34.260606712960012</c:v>
                </c:pt>
                <c:pt idx="3290">
                  <c:v>34.271023437497192</c:v>
                </c:pt>
                <c:pt idx="3291">
                  <c:v>34.2814401620344</c:v>
                </c:pt>
                <c:pt idx="3292">
                  <c:v>34.291856886571622</c:v>
                </c:pt>
                <c:pt idx="3293">
                  <c:v>34.302273611108831</c:v>
                </c:pt>
                <c:pt idx="3294">
                  <c:v>34.31269033564601</c:v>
                </c:pt>
                <c:pt idx="3295">
                  <c:v>34.323107060183247</c:v>
                </c:pt>
                <c:pt idx="3296">
                  <c:v>34.333523784720462</c:v>
                </c:pt>
                <c:pt idx="3297">
                  <c:v>34.343940509257642</c:v>
                </c:pt>
                <c:pt idx="3298">
                  <c:v>34.35435723379485</c:v>
                </c:pt>
                <c:pt idx="3299">
                  <c:v>34.364773958332073</c:v>
                </c:pt>
                <c:pt idx="3300">
                  <c:v>34.375190682869302</c:v>
                </c:pt>
                <c:pt idx="3301">
                  <c:v>34.385607407406461</c:v>
                </c:pt>
                <c:pt idx="3302">
                  <c:v>34.396024131943697</c:v>
                </c:pt>
                <c:pt idx="3303">
                  <c:v>34.406440856480913</c:v>
                </c:pt>
                <c:pt idx="3304">
                  <c:v>34.416857581018093</c:v>
                </c:pt>
                <c:pt idx="3305">
                  <c:v>34.427274305555329</c:v>
                </c:pt>
                <c:pt idx="3306">
                  <c:v>34.437691030092509</c:v>
                </c:pt>
                <c:pt idx="3307">
                  <c:v>34.448107754629753</c:v>
                </c:pt>
                <c:pt idx="3308">
                  <c:v>34.45852447916694</c:v>
                </c:pt>
                <c:pt idx="3309">
                  <c:v>34.468941203704148</c:v>
                </c:pt>
                <c:pt idx="3310">
                  <c:v>34.47935792824137</c:v>
                </c:pt>
                <c:pt idx="3311">
                  <c:v>34.489774652778557</c:v>
                </c:pt>
                <c:pt idx="3312">
                  <c:v>34.500191377315801</c:v>
                </c:pt>
                <c:pt idx="3313">
                  <c:v>34.510608101852988</c:v>
                </c:pt>
                <c:pt idx="3314">
                  <c:v>34.521024826390203</c:v>
                </c:pt>
                <c:pt idx="3315">
                  <c:v>34.53144155092739</c:v>
                </c:pt>
                <c:pt idx="3316">
                  <c:v>34.541858275464598</c:v>
                </c:pt>
                <c:pt idx="3317">
                  <c:v>34.552275000001828</c:v>
                </c:pt>
                <c:pt idx="3318">
                  <c:v>34.56269172453905</c:v>
                </c:pt>
                <c:pt idx="3319">
                  <c:v>34.573108449076251</c:v>
                </c:pt>
                <c:pt idx="3320">
                  <c:v>34.583525173613431</c:v>
                </c:pt>
                <c:pt idx="3321">
                  <c:v>34.593941898150661</c:v>
                </c:pt>
                <c:pt idx="3322">
                  <c:v>34.604358622687869</c:v>
                </c:pt>
                <c:pt idx="3323">
                  <c:v>34.614775347225077</c:v>
                </c:pt>
                <c:pt idx="3324">
                  <c:v>34.625192071762299</c:v>
                </c:pt>
                <c:pt idx="3325">
                  <c:v>34.635608796299501</c:v>
                </c:pt>
                <c:pt idx="3326">
                  <c:v>34.646025520836702</c:v>
                </c:pt>
                <c:pt idx="3327">
                  <c:v>34.65644224537391</c:v>
                </c:pt>
                <c:pt idx="3328">
                  <c:v>34.666858969903842</c:v>
                </c:pt>
                <c:pt idx="3329">
                  <c:v>34.67727569444105</c:v>
                </c:pt>
                <c:pt idx="3330">
                  <c:v>34.687692418978259</c:v>
                </c:pt>
                <c:pt idx="3331">
                  <c:v>34.698109143515481</c:v>
                </c:pt>
                <c:pt idx="3332">
                  <c:v>34.708525868052682</c:v>
                </c:pt>
                <c:pt idx="3333">
                  <c:v>34.718942592589897</c:v>
                </c:pt>
                <c:pt idx="3334">
                  <c:v>34.729359317127098</c:v>
                </c:pt>
                <c:pt idx="3335">
                  <c:v>34.7397760416643</c:v>
                </c:pt>
                <c:pt idx="3336">
                  <c:v>34.750192766201508</c:v>
                </c:pt>
                <c:pt idx="3337">
                  <c:v>34.760609490738723</c:v>
                </c:pt>
                <c:pt idx="3338">
                  <c:v>34.771026215275931</c:v>
                </c:pt>
                <c:pt idx="3339">
                  <c:v>34.781442939813132</c:v>
                </c:pt>
                <c:pt idx="3340">
                  <c:v>34.791859664350341</c:v>
                </c:pt>
                <c:pt idx="3341">
                  <c:v>34.802276388887549</c:v>
                </c:pt>
                <c:pt idx="3342">
                  <c:v>34.812693113424757</c:v>
                </c:pt>
                <c:pt idx="3343">
                  <c:v>34.823109837961972</c:v>
                </c:pt>
                <c:pt idx="3344">
                  <c:v>34.833526562499173</c:v>
                </c:pt>
                <c:pt idx="3345">
                  <c:v>34.84394328703636</c:v>
                </c:pt>
                <c:pt idx="3346">
                  <c:v>34.854360011573569</c:v>
                </c:pt>
                <c:pt idx="3347">
                  <c:v>34.864776736110798</c:v>
                </c:pt>
                <c:pt idx="3348">
                  <c:v>34.875193460647992</c:v>
                </c:pt>
                <c:pt idx="3349">
                  <c:v>34.885610185185207</c:v>
                </c:pt>
                <c:pt idx="3350">
                  <c:v>34.896026909722423</c:v>
                </c:pt>
                <c:pt idx="3351">
                  <c:v>34.906443634259617</c:v>
                </c:pt>
                <c:pt idx="3352">
                  <c:v>34.916860358796811</c:v>
                </c:pt>
                <c:pt idx="3353">
                  <c:v>34.927277083334033</c:v>
                </c:pt>
                <c:pt idx="3354">
                  <c:v>34.937693807871263</c:v>
                </c:pt>
                <c:pt idx="3355">
                  <c:v>34.948110532408471</c:v>
                </c:pt>
                <c:pt idx="3356">
                  <c:v>34.958527256945651</c:v>
                </c:pt>
                <c:pt idx="3357">
                  <c:v>34.96894398148288</c:v>
                </c:pt>
                <c:pt idx="3358">
                  <c:v>34.979360706020103</c:v>
                </c:pt>
                <c:pt idx="3359">
                  <c:v>34.989777430557297</c:v>
                </c:pt>
                <c:pt idx="3360">
                  <c:v>35.000194155094491</c:v>
                </c:pt>
                <c:pt idx="3361">
                  <c:v>35.010610879631713</c:v>
                </c:pt>
                <c:pt idx="3362">
                  <c:v>35.021027604168921</c:v>
                </c:pt>
                <c:pt idx="3363">
                  <c:v>35.031444328706122</c:v>
                </c:pt>
                <c:pt idx="3364">
                  <c:v>35.041861053243281</c:v>
                </c:pt>
                <c:pt idx="3365">
                  <c:v>35.052277777780532</c:v>
                </c:pt>
                <c:pt idx="3366">
                  <c:v>35.062694502317747</c:v>
                </c:pt>
                <c:pt idx="3367">
                  <c:v>35.073111226854962</c:v>
                </c:pt>
                <c:pt idx="3368">
                  <c:v>35.083527951392142</c:v>
                </c:pt>
                <c:pt idx="3369">
                  <c:v>35.093944675929379</c:v>
                </c:pt>
                <c:pt idx="3370">
                  <c:v>35.104361400466559</c:v>
                </c:pt>
                <c:pt idx="3371">
                  <c:v>35.114778124996498</c:v>
                </c:pt>
                <c:pt idx="3372">
                  <c:v>35.125194849533749</c:v>
                </c:pt>
                <c:pt idx="3373">
                  <c:v>35.135611574070943</c:v>
                </c:pt>
                <c:pt idx="3374">
                  <c:v>35.146028298608151</c:v>
                </c:pt>
                <c:pt idx="3375">
                  <c:v>35.156445023145338</c:v>
                </c:pt>
                <c:pt idx="3376">
                  <c:v>35.166861747682539</c:v>
                </c:pt>
                <c:pt idx="3377">
                  <c:v>35.177278472219747</c:v>
                </c:pt>
                <c:pt idx="3378">
                  <c:v>35.187695196756977</c:v>
                </c:pt>
                <c:pt idx="3379">
                  <c:v>35.198111921294199</c:v>
                </c:pt>
                <c:pt idx="3380">
                  <c:v>35.2085286458314</c:v>
                </c:pt>
                <c:pt idx="3381">
                  <c:v>35.218945370368601</c:v>
                </c:pt>
                <c:pt idx="3382">
                  <c:v>35.229362094905831</c:v>
                </c:pt>
                <c:pt idx="3383">
                  <c:v>35.239778819443018</c:v>
                </c:pt>
                <c:pt idx="3384">
                  <c:v>35.250195543980233</c:v>
                </c:pt>
                <c:pt idx="3385">
                  <c:v>35.260612268517441</c:v>
                </c:pt>
                <c:pt idx="3386">
                  <c:v>35.271028993054642</c:v>
                </c:pt>
                <c:pt idx="3387">
                  <c:v>35.281445717591851</c:v>
                </c:pt>
                <c:pt idx="3388">
                  <c:v>35.291862442129059</c:v>
                </c:pt>
                <c:pt idx="3389">
                  <c:v>35.302279166666239</c:v>
                </c:pt>
                <c:pt idx="3390">
                  <c:v>35.312695891203461</c:v>
                </c:pt>
                <c:pt idx="3391">
                  <c:v>35.323112615740683</c:v>
                </c:pt>
                <c:pt idx="3392">
                  <c:v>35.333529340277899</c:v>
                </c:pt>
                <c:pt idx="3393">
                  <c:v>35.343946064815093</c:v>
                </c:pt>
                <c:pt idx="3394">
                  <c:v>35.35436278935228</c:v>
                </c:pt>
                <c:pt idx="3395">
                  <c:v>35.364779513889502</c:v>
                </c:pt>
                <c:pt idx="3396">
                  <c:v>35.375196238426732</c:v>
                </c:pt>
                <c:pt idx="3397">
                  <c:v>35.385612962963933</c:v>
                </c:pt>
                <c:pt idx="3398">
                  <c:v>35.396029687501141</c:v>
                </c:pt>
                <c:pt idx="3399">
                  <c:v>35.406446412038328</c:v>
                </c:pt>
                <c:pt idx="3400">
                  <c:v>35.416863136575557</c:v>
                </c:pt>
                <c:pt idx="3401">
                  <c:v>35.427279861112751</c:v>
                </c:pt>
                <c:pt idx="3402">
                  <c:v>35.43769658564996</c:v>
                </c:pt>
                <c:pt idx="3403">
                  <c:v>35.448113310187182</c:v>
                </c:pt>
                <c:pt idx="3404">
                  <c:v>35.458530034724397</c:v>
                </c:pt>
                <c:pt idx="3405">
                  <c:v>35.468946759261577</c:v>
                </c:pt>
                <c:pt idx="3406">
                  <c:v>35.479363483798792</c:v>
                </c:pt>
                <c:pt idx="3407">
                  <c:v>35.489780208336001</c:v>
                </c:pt>
                <c:pt idx="3408">
                  <c:v>35.50019693287323</c:v>
                </c:pt>
                <c:pt idx="3409">
                  <c:v>35.51061365741041</c:v>
                </c:pt>
                <c:pt idx="3410">
                  <c:v>35.521030381947632</c:v>
                </c:pt>
                <c:pt idx="3411">
                  <c:v>35.531447106484848</c:v>
                </c:pt>
                <c:pt idx="3412">
                  <c:v>35.541863831022042</c:v>
                </c:pt>
                <c:pt idx="3413">
                  <c:v>35.552280555551967</c:v>
                </c:pt>
                <c:pt idx="3414">
                  <c:v>35.562697280089203</c:v>
                </c:pt>
                <c:pt idx="3415">
                  <c:v>35.573114004626397</c:v>
                </c:pt>
                <c:pt idx="3416">
                  <c:v>35.583530729163613</c:v>
                </c:pt>
                <c:pt idx="3417">
                  <c:v>35.5939474537008</c:v>
                </c:pt>
                <c:pt idx="3418">
                  <c:v>35.604364178238008</c:v>
                </c:pt>
                <c:pt idx="3419">
                  <c:v>35.614780902775237</c:v>
                </c:pt>
                <c:pt idx="3420">
                  <c:v>35.625197627312453</c:v>
                </c:pt>
                <c:pt idx="3421">
                  <c:v>35.635614351849647</c:v>
                </c:pt>
                <c:pt idx="3422">
                  <c:v>35.646031076386848</c:v>
                </c:pt>
                <c:pt idx="3423">
                  <c:v>35.65644780092407</c:v>
                </c:pt>
                <c:pt idx="3424">
                  <c:v>35.666864525461257</c:v>
                </c:pt>
                <c:pt idx="3425">
                  <c:v>35.677281249998472</c:v>
                </c:pt>
                <c:pt idx="3426">
                  <c:v>35.687697974535688</c:v>
                </c:pt>
                <c:pt idx="3427">
                  <c:v>35.698114699072903</c:v>
                </c:pt>
                <c:pt idx="3428">
                  <c:v>35.708531423610097</c:v>
                </c:pt>
                <c:pt idx="3429">
                  <c:v>35.718948148147319</c:v>
                </c:pt>
                <c:pt idx="3430">
                  <c:v>35.729364872684528</c:v>
                </c:pt>
                <c:pt idx="3431">
                  <c:v>35.739781597221743</c:v>
                </c:pt>
                <c:pt idx="3432">
                  <c:v>35.750198321758951</c:v>
                </c:pt>
                <c:pt idx="3433">
                  <c:v>35.760615046296152</c:v>
                </c:pt>
                <c:pt idx="3434">
                  <c:v>35.771031770833353</c:v>
                </c:pt>
                <c:pt idx="3435">
                  <c:v>35.78144849537054</c:v>
                </c:pt>
                <c:pt idx="3436">
                  <c:v>35.791865219907777</c:v>
                </c:pt>
                <c:pt idx="3437">
                  <c:v>35.802281944444999</c:v>
                </c:pt>
                <c:pt idx="3438">
                  <c:v>35.812698668982193</c:v>
                </c:pt>
                <c:pt idx="3439">
                  <c:v>35.823115393519402</c:v>
                </c:pt>
                <c:pt idx="3440">
                  <c:v>35.83353211805661</c:v>
                </c:pt>
                <c:pt idx="3441">
                  <c:v>35.843948842593818</c:v>
                </c:pt>
                <c:pt idx="3442">
                  <c:v>35.854365567131012</c:v>
                </c:pt>
                <c:pt idx="3443">
                  <c:v>35.86478229166822</c:v>
                </c:pt>
                <c:pt idx="3444">
                  <c:v>35.875199016205443</c:v>
                </c:pt>
                <c:pt idx="3445">
                  <c:v>35.885615740742637</c:v>
                </c:pt>
                <c:pt idx="3446">
                  <c:v>35.896032465279859</c:v>
                </c:pt>
                <c:pt idx="3447">
                  <c:v>35.906449189817039</c:v>
                </c:pt>
                <c:pt idx="3448">
                  <c:v>35.916865914354283</c:v>
                </c:pt>
                <c:pt idx="3449">
                  <c:v>35.927282638891477</c:v>
                </c:pt>
                <c:pt idx="3450">
                  <c:v>35.937699363428671</c:v>
                </c:pt>
                <c:pt idx="3451">
                  <c:v>35.9481160879659</c:v>
                </c:pt>
                <c:pt idx="3452">
                  <c:v>35.958532812503108</c:v>
                </c:pt>
                <c:pt idx="3453">
                  <c:v>35.968949537040302</c:v>
                </c:pt>
                <c:pt idx="3454">
                  <c:v>35.979366261577518</c:v>
                </c:pt>
                <c:pt idx="3455">
                  <c:v>35.989782986114733</c:v>
                </c:pt>
                <c:pt idx="3456">
                  <c:v>36.000199710644651</c:v>
                </c:pt>
                <c:pt idx="3457">
                  <c:v>36.010616435181873</c:v>
                </c:pt>
                <c:pt idx="3458">
                  <c:v>36.021033159719067</c:v>
                </c:pt>
                <c:pt idx="3459">
                  <c:v>36.031449884256268</c:v>
                </c:pt>
                <c:pt idx="3460">
                  <c:v>36.041866608793462</c:v>
                </c:pt>
                <c:pt idx="3461">
                  <c:v>36.052283333330713</c:v>
                </c:pt>
                <c:pt idx="3462">
                  <c:v>36.062700057867907</c:v>
                </c:pt>
                <c:pt idx="3463">
                  <c:v>36.073116782405123</c:v>
                </c:pt>
                <c:pt idx="3464">
                  <c:v>36.083533506942317</c:v>
                </c:pt>
                <c:pt idx="3465">
                  <c:v>36.093950231479553</c:v>
                </c:pt>
                <c:pt idx="3466">
                  <c:v>36.104366956016747</c:v>
                </c:pt>
                <c:pt idx="3467">
                  <c:v>36.114783680553963</c:v>
                </c:pt>
                <c:pt idx="3468">
                  <c:v>36.125200405091157</c:v>
                </c:pt>
                <c:pt idx="3469">
                  <c:v>36.135617129628372</c:v>
                </c:pt>
                <c:pt idx="3470">
                  <c:v>36.14603385416558</c:v>
                </c:pt>
                <c:pt idx="3471">
                  <c:v>36.156450578702767</c:v>
                </c:pt>
                <c:pt idx="3472">
                  <c:v>36.166867303239989</c:v>
                </c:pt>
                <c:pt idx="3473">
                  <c:v>36.177284027777191</c:v>
                </c:pt>
                <c:pt idx="3474">
                  <c:v>36.187700752314392</c:v>
                </c:pt>
                <c:pt idx="3475">
                  <c:v>36.198117476851621</c:v>
                </c:pt>
                <c:pt idx="3476">
                  <c:v>36.208534201388829</c:v>
                </c:pt>
                <c:pt idx="3477">
                  <c:v>36.218950925926052</c:v>
                </c:pt>
                <c:pt idx="3478">
                  <c:v>36.229367650463253</c:v>
                </c:pt>
                <c:pt idx="3479">
                  <c:v>36.239784375000447</c:v>
                </c:pt>
                <c:pt idx="3480">
                  <c:v>36.250201099537641</c:v>
                </c:pt>
                <c:pt idx="3481">
                  <c:v>36.260617824074899</c:v>
                </c:pt>
                <c:pt idx="3482">
                  <c:v>36.271034548612057</c:v>
                </c:pt>
                <c:pt idx="3483">
                  <c:v>36.281451273149273</c:v>
                </c:pt>
                <c:pt idx="3484">
                  <c:v>36.291867997686481</c:v>
                </c:pt>
                <c:pt idx="3485">
                  <c:v>36.302284722223703</c:v>
                </c:pt>
                <c:pt idx="3486">
                  <c:v>36.312701446760897</c:v>
                </c:pt>
                <c:pt idx="3487">
                  <c:v>36.32311817129812</c:v>
                </c:pt>
                <c:pt idx="3488">
                  <c:v>36.333534895835328</c:v>
                </c:pt>
                <c:pt idx="3489">
                  <c:v>36.343951620372522</c:v>
                </c:pt>
                <c:pt idx="3490">
                  <c:v>36.354368344909751</c:v>
                </c:pt>
                <c:pt idx="3491">
                  <c:v>36.364785069446931</c:v>
                </c:pt>
                <c:pt idx="3492">
                  <c:v>36.375201793984147</c:v>
                </c:pt>
                <c:pt idx="3493">
                  <c:v>36.385618518521369</c:v>
                </c:pt>
                <c:pt idx="3494">
                  <c:v>36.396035243058577</c:v>
                </c:pt>
                <c:pt idx="3495">
                  <c:v>36.4064519675958</c:v>
                </c:pt>
                <c:pt idx="3496">
                  <c:v>36.416868692132986</c:v>
                </c:pt>
                <c:pt idx="3497">
                  <c:v>36.427285416670188</c:v>
                </c:pt>
                <c:pt idx="3498">
                  <c:v>36.437702141200127</c:v>
                </c:pt>
                <c:pt idx="3499">
                  <c:v>36.448118865737342</c:v>
                </c:pt>
                <c:pt idx="3500">
                  <c:v>36.45853559027455</c:v>
                </c:pt>
                <c:pt idx="3501">
                  <c:v>36.46895231481178</c:v>
                </c:pt>
                <c:pt idx="3502">
                  <c:v>36.479369039348953</c:v>
                </c:pt>
                <c:pt idx="3503">
                  <c:v>36.489785763886161</c:v>
                </c:pt>
                <c:pt idx="3504">
                  <c:v>36.500202488423383</c:v>
                </c:pt>
                <c:pt idx="3505">
                  <c:v>36.510619212960599</c:v>
                </c:pt>
                <c:pt idx="3506">
                  <c:v>36.5210359374978</c:v>
                </c:pt>
                <c:pt idx="3507">
                  <c:v>36.531452662035008</c:v>
                </c:pt>
                <c:pt idx="3508">
                  <c:v>36.541869386572202</c:v>
                </c:pt>
                <c:pt idx="3509">
                  <c:v>36.552286111109417</c:v>
                </c:pt>
                <c:pt idx="3510">
                  <c:v>36.562702835646633</c:v>
                </c:pt>
                <c:pt idx="3511">
                  <c:v>36.573119560183841</c:v>
                </c:pt>
                <c:pt idx="3512">
                  <c:v>36.583536284721049</c:v>
                </c:pt>
                <c:pt idx="3513">
                  <c:v>36.593953009258257</c:v>
                </c:pt>
                <c:pt idx="3514">
                  <c:v>36.604369733795451</c:v>
                </c:pt>
                <c:pt idx="3515">
                  <c:v>36.614786458332638</c:v>
                </c:pt>
                <c:pt idx="3516">
                  <c:v>36.625203182869882</c:v>
                </c:pt>
                <c:pt idx="3517">
                  <c:v>36.635619907407097</c:v>
                </c:pt>
                <c:pt idx="3518">
                  <c:v>36.646036631944298</c:v>
                </c:pt>
                <c:pt idx="3519">
                  <c:v>36.656453356481506</c:v>
                </c:pt>
                <c:pt idx="3520">
                  <c:v>36.666870081018708</c:v>
                </c:pt>
                <c:pt idx="3521">
                  <c:v>36.677286805555923</c:v>
                </c:pt>
                <c:pt idx="3522">
                  <c:v>36.687703530093117</c:v>
                </c:pt>
                <c:pt idx="3523">
                  <c:v>36.698120254630339</c:v>
                </c:pt>
                <c:pt idx="3524">
                  <c:v>36.708536979167548</c:v>
                </c:pt>
                <c:pt idx="3525">
                  <c:v>36.718953703704763</c:v>
                </c:pt>
                <c:pt idx="3526">
                  <c:v>36.729370428241971</c:v>
                </c:pt>
                <c:pt idx="3527">
                  <c:v>36.739787152779172</c:v>
                </c:pt>
                <c:pt idx="3528">
                  <c:v>36.750203877316359</c:v>
                </c:pt>
                <c:pt idx="3529">
                  <c:v>36.760620601853567</c:v>
                </c:pt>
                <c:pt idx="3530">
                  <c:v>36.771037326390797</c:v>
                </c:pt>
                <c:pt idx="3531">
                  <c:v>36.781454050927998</c:v>
                </c:pt>
                <c:pt idx="3532">
                  <c:v>36.791870775465213</c:v>
                </c:pt>
                <c:pt idx="3533">
                  <c:v>36.802287500002393</c:v>
                </c:pt>
                <c:pt idx="3534">
                  <c:v>36.81270422453963</c:v>
                </c:pt>
                <c:pt idx="3535">
                  <c:v>36.823120949076852</c:v>
                </c:pt>
                <c:pt idx="3536">
                  <c:v>36.833537673614032</c:v>
                </c:pt>
                <c:pt idx="3537">
                  <c:v>36.843954398151261</c:v>
                </c:pt>
                <c:pt idx="3538">
                  <c:v>36.854371122688441</c:v>
                </c:pt>
                <c:pt idx="3539">
                  <c:v>36.864787847225649</c:v>
                </c:pt>
                <c:pt idx="3540">
                  <c:v>36.875204571762843</c:v>
                </c:pt>
                <c:pt idx="3541">
                  <c:v>36.88562129629279</c:v>
                </c:pt>
                <c:pt idx="3542">
                  <c:v>36.896038020830019</c:v>
                </c:pt>
                <c:pt idx="3543">
                  <c:v>36.906454745367213</c:v>
                </c:pt>
                <c:pt idx="3544">
                  <c:v>36.916871469904407</c:v>
                </c:pt>
                <c:pt idx="3545">
                  <c:v>36.927288194441637</c:v>
                </c:pt>
                <c:pt idx="3546">
                  <c:v>36.937704918978852</c:v>
                </c:pt>
                <c:pt idx="3547">
                  <c:v>36.948121643516053</c:v>
                </c:pt>
                <c:pt idx="3548">
                  <c:v>36.958538368053269</c:v>
                </c:pt>
                <c:pt idx="3549">
                  <c:v>36.968955092590477</c:v>
                </c:pt>
                <c:pt idx="3550">
                  <c:v>36.979371817127699</c:v>
                </c:pt>
                <c:pt idx="3551">
                  <c:v>36.989788541664893</c:v>
                </c:pt>
                <c:pt idx="3552">
                  <c:v>37.000205266202087</c:v>
                </c:pt>
                <c:pt idx="3553">
                  <c:v>37.010621990739303</c:v>
                </c:pt>
                <c:pt idx="3554">
                  <c:v>37.021038715276497</c:v>
                </c:pt>
                <c:pt idx="3555">
                  <c:v>37.031455439813733</c:v>
                </c:pt>
                <c:pt idx="3556">
                  <c:v>37.041872164350927</c:v>
                </c:pt>
                <c:pt idx="3557">
                  <c:v>37.052288888888143</c:v>
                </c:pt>
                <c:pt idx="3558">
                  <c:v>37.062705613425351</c:v>
                </c:pt>
                <c:pt idx="3559">
                  <c:v>37.073122337962559</c:v>
                </c:pt>
                <c:pt idx="3560">
                  <c:v>37.083539062499767</c:v>
                </c:pt>
                <c:pt idx="3561">
                  <c:v>37.093955787036982</c:v>
                </c:pt>
                <c:pt idx="3562">
                  <c:v>37.104372511574198</c:v>
                </c:pt>
                <c:pt idx="3563">
                  <c:v>37.114789236111399</c:v>
                </c:pt>
                <c:pt idx="3564">
                  <c:v>37.1252059606486</c:v>
                </c:pt>
                <c:pt idx="3565">
                  <c:v>37.135622685185808</c:v>
                </c:pt>
                <c:pt idx="3566">
                  <c:v>37.146039409723002</c:v>
                </c:pt>
                <c:pt idx="3567">
                  <c:v>37.156456134260218</c:v>
                </c:pt>
                <c:pt idx="3568">
                  <c:v>37.166872858797433</c:v>
                </c:pt>
                <c:pt idx="3569">
                  <c:v>37.177289583334613</c:v>
                </c:pt>
                <c:pt idx="3570">
                  <c:v>37.187706307871849</c:v>
                </c:pt>
                <c:pt idx="3571">
                  <c:v>37.198123032409079</c:v>
                </c:pt>
                <c:pt idx="3572">
                  <c:v>37.208539756946273</c:v>
                </c:pt>
                <c:pt idx="3573">
                  <c:v>37.218956481483467</c:v>
                </c:pt>
                <c:pt idx="3574">
                  <c:v>37.229373206020682</c:v>
                </c:pt>
                <c:pt idx="3575">
                  <c:v>37.239789930557897</c:v>
                </c:pt>
                <c:pt idx="3576">
                  <c:v>37.250206655095077</c:v>
                </c:pt>
                <c:pt idx="3577">
                  <c:v>37.260623379632293</c:v>
                </c:pt>
                <c:pt idx="3578">
                  <c:v>37.271040104169508</c:v>
                </c:pt>
                <c:pt idx="3579">
                  <c:v>37.281456828706723</c:v>
                </c:pt>
                <c:pt idx="3580">
                  <c:v>37.29187355324391</c:v>
                </c:pt>
                <c:pt idx="3581">
                  <c:v>37.30229027778114</c:v>
                </c:pt>
                <c:pt idx="3582">
                  <c:v>37.312707002318326</c:v>
                </c:pt>
                <c:pt idx="3583">
                  <c:v>37.32312372684828</c:v>
                </c:pt>
                <c:pt idx="3584">
                  <c:v>37.33354045138546</c:v>
                </c:pt>
                <c:pt idx="3585">
                  <c:v>37.343957175922682</c:v>
                </c:pt>
                <c:pt idx="3586">
                  <c:v>37.354373900459912</c:v>
                </c:pt>
                <c:pt idx="3587">
                  <c:v>37.364790624997113</c:v>
                </c:pt>
                <c:pt idx="3588">
                  <c:v>37.375207349534321</c:v>
                </c:pt>
                <c:pt idx="3589">
                  <c:v>37.385624074071522</c:v>
                </c:pt>
                <c:pt idx="3590">
                  <c:v>37.396040798608738</c:v>
                </c:pt>
                <c:pt idx="3591">
                  <c:v>37.406457523145953</c:v>
                </c:pt>
                <c:pt idx="3592">
                  <c:v>37.41687424768314</c:v>
                </c:pt>
                <c:pt idx="3593">
                  <c:v>37.427290972220362</c:v>
                </c:pt>
                <c:pt idx="3594">
                  <c:v>37.437707696757549</c:v>
                </c:pt>
                <c:pt idx="3595">
                  <c:v>37.448124421294757</c:v>
                </c:pt>
                <c:pt idx="3596">
                  <c:v>37.458541145832001</c:v>
                </c:pt>
                <c:pt idx="3597">
                  <c:v>37.468957870369202</c:v>
                </c:pt>
                <c:pt idx="3598">
                  <c:v>37.479374594906403</c:v>
                </c:pt>
                <c:pt idx="3599">
                  <c:v>37.48979131944359</c:v>
                </c:pt>
                <c:pt idx="3600">
                  <c:v>37.50020804398082</c:v>
                </c:pt>
                <c:pt idx="3601">
                  <c:v>37.510624768518007</c:v>
                </c:pt>
                <c:pt idx="3602">
                  <c:v>37.521041493055222</c:v>
                </c:pt>
                <c:pt idx="3603">
                  <c:v>37.531458217592437</c:v>
                </c:pt>
                <c:pt idx="3604">
                  <c:v>37.541874942129652</c:v>
                </c:pt>
                <c:pt idx="3605">
                  <c:v>37.552291666666839</c:v>
                </c:pt>
                <c:pt idx="3606">
                  <c:v>37.562708391204069</c:v>
                </c:pt>
                <c:pt idx="3607">
                  <c:v>37.573125115741277</c:v>
                </c:pt>
                <c:pt idx="3608">
                  <c:v>37.5835418402785</c:v>
                </c:pt>
                <c:pt idx="3609">
                  <c:v>37.593958564815701</c:v>
                </c:pt>
                <c:pt idx="3610">
                  <c:v>37.604375289352902</c:v>
                </c:pt>
                <c:pt idx="3611">
                  <c:v>37.614792013890103</c:v>
                </c:pt>
                <c:pt idx="3612">
                  <c:v>37.625208738427332</c:v>
                </c:pt>
                <c:pt idx="3613">
                  <c:v>37.635625462964533</c:v>
                </c:pt>
                <c:pt idx="3614">
                  <c:v>37.646042187501742</c:v>
                </c:pt>
                <c:pt idx="3615">
                  <c:v>37.656458912038943</c:v>
                </c:pt>
                <c:pt idx="3616">
                  <c:v>37.666875636576151</c:v>
                </c:pt>
                <c:pt idx="3617">
                  <c:v>37.677292361113338</c:v>
                </c:pt>
                <c:pt idx="3618">
                  <c:v>37.687709085650539</c:v>
                </c:pt>
                <c:pt idx="3619">
                  <c:v>37.698125810187797</c:v>
                </c:pt>
                <c:pt idx="3620">
                  <c:v>37.708542534724998</c:v>
                </c:pt>
                <c:pt idx="3621">
                  <c:v>37.718959259262171</c:v>
                </c:pt>
                <c:pt idx="3622">
                  <c:v>37.7293759837994</c:v>
                </c:pt>
                <c:pt idx="3623">
                  <c:v>37.739792708336608</c:v>
                </c:pt>
                <c:pt idx="3624">
                  <c:v>37.750209432873817</c:v>
                </c:pt>
                <c:pt idx="3625">
                  <c:v>37.760626157411018</c:v>
                </c:pt>
                <c:pt idx="3626">
                  <c:v>37.771042881940957</c:v>
                </c:pt>
                <c:pt idx="3627">
                  <c:v>37.781459606478172</c:v>
                </c:pt>
                <c:pt idx="3628">
                  <c:v>37.791876331015381</c:v>
                </c:pt>
                <c:pt idx="3629">
                  <c:v>37.80229305555256</c:v>
                </c:pt>
                <c:pt idx="3630">
                  <c:v>37.812709780089797</c:v>
                </c:pt>
                <c:pt idx="3631">
                  <c:v>37.823126504626998</c:v>
                </c:pt>
                <c:pt idx="3632">
                  <c:v>37.833543229164214</c:v>
                </c:pt>
                <c:pt idx="3633">
                  <c:v>37.8439599537014</c:v>
                </c:pt>
                <c:pt idx="3634">
                  <c:v>37.854376678238587</c:v>
                </c:pt>
                <c:pt idx="3635">
                  <c:v>37.864793402775831</c:v>
                </c:pt>
                <c:pt idx="3636">
                  <c:v>37.875210127313032</c:v>
                </c:pt>
                <c:pt idx="3637">
                  <c:v>37.885626851850233</c:v>
                </c:pt>
                <c:pt idx="3638">
                  <c:v>37.896043576387441</c:v>
                </c:pt>
                <c:pt idx="3639">
                  <c:v>37.906460300924657</c:v>
                </c:pt>
                <c:pt idx="3640">
                  <c:v>37.916877025461851</c:v>
                </c:pt>
                <c:pt idx="3641">
                  <c:v>37.92729374999908</c:v>
                </c:pt>
                <c:pt idx="3642">
                  <c:v>37.937710474536267</c:v>
                </c:pt>
                <c:pt idx="3643">
                  <c:v>37.948127199073497</c:v>
                </c:pt>
                <c:pt idx="3644">
                  <c:v>37.958543923610698</c:v>
                </c:pt>
                <c:pt idx="3645">
                  <c:v>37.968960648147913</c:v>
                </c:pt>
                <c:pt idx="3646">
                  <c:v>37.979377372685121</c:v>
                </c:pt>
                <c:pt idx="3647">
                  <c:v>37.989794097222308</c:v>
                </c:pt>
                <c:pt idx="3648">
                  <c:v>38.000210821759538</c:v>
                </c:pt>
                <c:pt idx="3649">
                  <c:v>38.010627546296732</c:v>
                </c:pt>
                <c:pt idx="3650">
                  <c:v>38.021044270833947</c:v>
                </c:pt>
                <c:pt idx="3651">
                  <c:v>38.031460995371162</c:v>
                </c:pt>
                <c:pt idx="3652">
                  <c:v>38.041877719908349</c:v>
                </c:pt>
                <c:pt idx="3653">
                  <c:v>38.052294444445558</c:v>
                </c:pt>
                <c:pt idx="3654">
                  <c:v>38.062711168982801</c:v>
                </c:pt>
                <c:pt idx="3655">
                  <c:v>38.073127893520002</c:v>
                </c:pt>
                <c:pt idx="3656">
                  <c:v>38.083544618057203</c:v>
                </c:pt>
                <c:pt idx="3657">
                  <c:v>38.093961342594412</c:v>
                </c:pt>
                <c:pt idx="3658">
                  <c:v>38.10437806713162</c:v>
                </c:pt>
                <c:pt idx="3659">
                  <c:v>38.114794791668807</c:v>
                </c:pt>
                <c:pt idx="3660">
                  <c:v>38.125211516206043</c:v>
                </c:pt>
                <c:pt idx="3661">
                  <c:v>38.135628240743252</c:v>
                </c:pt>
                <c:pt idx="3662">
                  <c:v>38.146044965280431</c:v>
                </c:pt>
                <c:pt idx="3663">
                  <c:v>38.156461689817633</c:v>
                </c:pt>
                <c:pt idx="3664">
                  <c:v>38.166878414354869</c:v>
                </c:pt>
                <c:pt idx="3665">
                  <c:v>38.177295138892077</c:v>
                </c:pt>
                <c:pt idx="3666">
                  <c:v>38.1877118634293</c:v>
                </c:pt>
                <c:pt idx="3667">
                  <c:v>38.198128587966501</c:v>
                </c:pt>
                <c:pt idx="3668">
                  <c:v>38.208545312496433</c:v>
                </c:pt>
                <c:pt idx="3669">
                  <c:v>38.218962037033627</c:v>
                </c:pt>
                <c:pt idx="3670">
                  <c:v>38.229378761570857</c:v>
                </c:pt>
                <c:pt idx="3671">
                  <c:v>38.239795486108051</c:v>
                </c:pt>
                <c:pt idx="3672">
                  <c:v>38.250212210645259</c:v>
                </c:pt>
                <c:pt idx="3673">
                  <c:v>38.260628935182467</c:v>
                </c:pt>
                <c:pt idx="3674">
                  <c:v>38.271045659719661</c:v>
                </c:pt>
                <c:pt idx="3675">
                  <c:v>38.281462384256884</c:v>
                </c:pt>
                <c:pt idx="3676">
                  <c:v>38.291879108794099</c:v>
                </c:pt>
                <c:pt idx="3677">
                  <c:v>38.3022958333313</c:v>
                </c:pt>
                <c:pt idx="3678">
                  <c:v>38.312712557868487</c:v>
                </c:pt>
                <c:pt idx="3679">
                  <c:v>38.323129282405731</c:v>
                </c:pt>
                <c:pt idx="3680">
                  <c:v>38.333546006942917</c:v>
                </c:pt>
                <c:pt idx="3681">
                  <c:v>38.343962731480133</c:v>
                </c:pt>
                <c:pt idx="3682">
                  <c:v>38.354379456017313</c:v>
                </c:pt>
                <c:pt idx="3683">
                  <c:v>38.364796180554549</c:v>
                </c:pt>
                <c:pt idx="3684">
                  <c:v>38.375212905091757</c:v>
                </c:pt>
                <c:pt idx="3685">
                  <c:v>38.385629629628951</c:v>
                </c:pt>
                <c:pt idx="3686">
                  <c:v>38.396046354166167</c:v>
                </c:pt>
                <c:pt idx="3687">
                  <c:v>38.406463078703361</c:v>
                </c:pt>
                <c:pt idx="3688">
                  <c:v>38.416879803240562</c:v>
                </c:pt>
                <c:pt idx="3689">
                  <c:v>38.427296527777798</c:v>
                </c:pt>
                <c:pt idx="3690">
                  <c:v>38.437713252315007</c:v>
                </c:pt>
                <c:pt idx="3691">
                  <c:v>38.448129976852208</c:v>
                </c:pt>
                <c:pt idx="3692">
                  <c:v>38.458546701389423</c:v>
                </c:pt>
                <c:pt idx="3693">
                  <c:v>38.468963425926617</c:v>
                </c:pt>
                <c:pt idx="3694">
                  <c:v>38.47938015046384</c:v>
                </c:pt>
                <c:pt idx="3695">
                  <c:v>38.489796875001048</c:v>
                </c:pt>
                <c:pt idx="3696">
                  <c:v>38.500213599538263</c:v>
                </c:pt>
                <c:pt idx="3697">
                  <c:v>38.510630324075471</c:v>
                </c:pt>
                <c:pt idx="3698">
                  <c:v>38.521047048612637</c:v>
                </c:pt>
                <c:pt idx="3699">
                  <c:v>38.531463773149873</c:v>
                </c:pt>
                <c:pt idx="3700">
                  <c:v>38.541880497687053</c:v>
                </c:pt>
                <c:pt idx="3701">
                  <c:v>38.552297222224297</c:v>
                </c:pt>
                <c:pt idx="3702">
                  <c:v>38.562713946761512</c:v>
                </c:pt>
                <c:pt idx="3703">
                  <c:v>38.573130671298713</c:v>
                </c:pt>
                <c:pt idx="3704">
                  <c:v>38.583547395835922</c:v>
                </c:pt>
                <c:pt idx="3705">
                  <c:v>38.59396412037313</c:v>
                </c:pt>
                <c:pt idx="3706">
                  <c:v>38.604380844910338</c:v>
                </c:pt>
                <c:pt idx="3707">
                  <c:v>38.614797569447511</c:v>
                </c:pt>
                <c:pt idx="3708">
                  <c:v>38.625214293984762</c:v>
                </c:pt>
                <c:pt idx="3709">
                  <c:v>38.635631018521963</c:v>
                </c:pt>
                <c:pt idx="3710">
                  <c:v>38.646047743059171</c:v>
                </c:pt>
                <c:pt idx="3711">
                  <c:v>38.656464467589082</c:v>
                </c:pt>
                <c:pt idx="3712">
                  <c:v>38.666881192126297</c:v>
                </c:pt>
                <c:pt idx="3713">
                  <c:v>38.677297916663498</c:v>
                </c:pt>
                <c:pt idx="3714">
                  <c:v>38.687714641200728</c:v>
                </c:pt>
                <c:pt idx="3715">
                  <c:v>38.69813136573795</c:v>
                </c:pt>
                <c:pt idx="3716">
                  <c:v>38.708548090275151</c:v>
                </c:pt>
                <c:pt idx="3717">
                  <c:v>38.718964814812352</c:v>
                </c:pt>
                <c:pt idx="3718">
                  <c:v>38.729381539349554</c:v>
                </c:pt>
                <c:pt idx="3719">
                  <c:v>38.739798263886769</c:v>
                </c:pt>
                <c:pt idx="3720">
                  <c:v>38.750214988423977</c:v>
                </c:pt>
                <c:pt idx="3721">
                  <c:v>38.760631712961199</c:v>
                </c:pt>
                <c:pt idx="3722">
                  <c:v>38.771048437498393</c:v>
                </c:pt>
                <c:pt idx="3723">
                  <c:v>38.781465162035587</c:v>
                </c:pt>
                <c:pt idx="3724">
                  <c:v>38.79188188657281</c:v>
                </c:pt>
                <c:pt idx="3725">
                  <c:v>38.802298611109997</c:v>
                </c:pt>
                <c:pt idx="3726">
                  <c:v>38.812715335647233</c:v>
                </c:pt>
                <c:pt idx="3727">
                  <c:v>38.823132060184442</c:v>
                </c:pt>
                <c:pt idx="3728">
                  <c:v>38.833548784721643</c:v>
                </c:pt>
                <c:pt idx="3729">
                  <c:v>38.843965509258837</c:v>
                </c:pt>
                <c:pt idx="3730">
                  <c:v>38.854382233796031</c:v>
                </c:pt>
                <c:pt idx="3731">
                  <c:v>38.864798958333253</c:v>
                </c:pt>
                <c:pt idx="3732">
                  <c:v>38.875215682870483</c:v>
                </c:pt>
                <c:pt idx="3733">
                  <c:v>38.88563240740767</c:v>
                </c:pt>
                <c:pt idx="3734">
                  <c:v>38.896049131944899</c:v>
                </c:pt>
                <c:pt idx="3735">
                  <c:v>38.906465856482093</c:v>
                </c:pt>
                <c:pt idx="3736">
                  <c:v>38.91688258101928</c:v>
                </c:pt>
                <c:pt idx="3737">
                  <c:v>38.927299305556502</c:v>
                </c:pt>
                <c:pt idx="3738">
                  <c:v>38.937716030093732</c:v>
                </c:pt>
                <c:pt idx="3739">
                  <c:v>38.948132754630933</c:v>
                </c:pt>
                <c:pt idx="3740">
                  <c:v>38.95854947916812</c:v>
                </c:pt>
                <c:pt idx="3741">
                  <c:v>38.968966203705349</c:v>
                </c:pt>
                <c:pt idx="3742">
                  <c:v>38.979382928242543</c:v>
                </c:pt>
                <c:pt idx="3743">
                  <c:v>38.989799652779773</c:v>
                </c:pt>
                <c:pt idx="3744">
                  <c:v>39.000216377316967</c:v>
                </c:pt>
                <c:pt idx="3745">
                  <c:v>39.010633101854182</c:v>
                </c:pt>
                <c:pt idx="3746">
                  <c:v>39.021049826391398</c:v>
                </c:pt>
                <c:pt idx="3747">
                  <c:v>39.031466550928577</c:v>
                </c:pt>
                <c:pt idx="3748">
                  <c:v>39.041883275465793</c:v>
                </c:pt>
                <c:pt idx="3749">
                  <c:v>39.052300000003022</c:v>
                </c:pt>
                <c:pt idx="3750">
                  <c:v>39.06271672454023</c:v>
                </c:pt>
                <c:pt idx="3751">
                  <c:v>39.073133449077432</c:v>
                </c:pt>
                <c:pt idx="3752">
                  <c:v>39.083550173614618</c:v>
                </c:pt>
                <c:pt idx="3753">
                  <c:v>39.093966898144572</c:v>
                </c:pt>
                <c:pt idx="3754">
                  <c:v>39.10438362268178</c:v>
                </c:pt>
                <c:pt idx="3755">
                  <c:v>39.114800347218967</c:v>
                </c:pt>
                <c:pt idx="3756">
                  <c:v>39.125217071756197</c:v>
                </c:pt>
                <c:pt idx="3757">
                  <c:v>39.135633796293398</c:v>
                </c:pt>
                <c:pt idx="3758">
                  <c:v>39.146050520830613</c:v>
                </c:pt>
                <c:pt idx="3759">
                  <c:v>39.1564672453678</c:v>
                </c:pt>
                <c:pt idx="3760">
                  <c:v>39.16688396990503</c:v>
                </c:pt>
                <c:pt idx="3761">
                  <c:v>39.177300694442224</c:v>
                </c:pt>
                <c:pt idx="3762">
                  <c:v>39.187717418979453</c:v>
                </c:pt>
                <c:pt idx="3763">
                  <c:v>39.198134143516661</c:v>
                </c:pt>
                <c:pt idx="3764">
                  <c:v>39.208550868053862</c:v>
                </c:pt>
                <c:pt idx="3765">
                  <c:v>39.218967592591071</c:v>
                </c:pt>
                <c:pt idx="3766">
                  <c:v>39.229384317128279</c:v>
                </c:pt>
                <c:pt idx="3767">
                  <c:v>39.239801041665473</c:v>
                </c:pt>
                <c:pt idx="3768">
                  <c:v>39.250217766202681</c:v>
                </c:pt>
                <c:pt idx="3769">
                  <c:v>39.260634490739903</c:v>
                </c:pt>
                <c:pt idx="3770">
                  <c:v>39.271051215277097</c:v>
                </c:pt>
                <c:pt idx="3771">
                  <c:v>39.281467939814299</c:v>
                </c:pt>
                <c:pt idx="3772">
                  <c:v>39.291884664351507</c:v>
                </c:pt>
                <c:pt idx="3773">
                  <c:v>39.30230138888875</c:v>
                </c:pt>
                <c:pt idx="3774">
                  <c:v>39.312718113425952</c:v>
                </c:pt>
                <c:pt idx="3775">
                  <c:v>39.323134837963153</c:v>
                </c:pt>
                <c:pt idx="3776">
                  <c:v>39.333551562500347</c:v>
                </c:pt>
                <c:pt idx="3777">
                  <c:v>39.343968287037541</c:v>
                </c:pt>
                <c:pt idx="3778">
                  <c:v>39.354385011574777</c:v>
                </c:pt>
                <c:pt idx="3779">
                  <c:v>39.364801736112</c:v>
                </c:pt>
                <c:pt idx="3780">
                  <c:v>39.375218460649187</c:v>
                </c:pt>
                <c:pt idx="3781">
                  <c:v>39.385635185186388</c:v>
                </c:pt>
                <c:pt idx="3782">
                  <c:v>39.396051909723603</c:v>
                </c:pt>
                <c:pt idx="3783">
                  <c:v>39.406468634260797</c:v>
                </c:pt>
                <c:pt idx="3784">
                  <c:v>39.416885358798012</c:v>
                </c:pt>
                <c:pt idx="3785">
                  <c:v>39.427302083335228</c:v>
                </c:pt>
                <c:pt idx="3786">
                  <c:v>39.437718807872443</c:v>
                </c:pt>
                <c:pt idx="3787">
                  <c:v>39.448135532409651</c:v>
                </c:pt>
                <c:pt idx="3788">
                  <c:v>39.458552256946859</c:v>
                </c:pt>
                <c:pt idx="3789">
                  <c:v>39.468968981484068</c:v>
                </c:pt>
                <c:pt idx="3790">
                  <c:v>39.479385706021283</c:v>
                </c:pt>
                <c:pt idx="3791">
                  <c:v>39.489802430558477</c:v>
                </c:pt>
                <c:pt idx="3792">
                  <c:v>39.500219155095692</c:v>
                </c:pt>
                <c:pt idx="3793">
                  <c:v>39.510635879632893</c:v>
                </c:pt>
                <c:pt idx="3794">
                  <c:v>39.521052604170109</c:v>
                </c:pt>
                <c:pt idx="3795">
                  <c:v>39.531469328707303</c:v>
                </c:pt>
                <c:pt idx="3796">
                  <c:v>39.541886053237207</c:v>
                </c:pt>
                <c:pt idx="3797">
                  <c:v>39.552302777774457</c:v>
                </c:pt>
                <c:pt idx="3798">
                  <c:v>39.562719502311673</c:v>
                </c:pt>
                <c:pt idx="3799">
                  <c:v>39.573136226848881</c:v>
                </c:pt>
                <c:pt idx="3800">
                  <c:v>39.583552951386068</c:v>
                </c:pt>
                <c:pt idx="3801">
                  <c:v>39.593969675923297</c:v>
                </c:pt>
                <c:pt idx="3802">
                  <c:v>39.604386400460477</c:v>
                </c:pt>
                <c:pt idx="3803">
                  <c:v>39.614803124997707</c:v>
                </c:pt>
                <c:pt idx="3804">
                  <c:v>39.625219849534929</c:v>
                </c:pt>
                <c:pt idx="3805">
                  <c:v>39.635636574072123</c:v>
                </c:pt>
                <c:pt idx="3806">
                  <c:v>39.646053298609331</c:v>
                </c:pt>
                <c:pt idx="3807">
                  <c:v>39.656470023146518</c:v>
                </c:pt>
                <c:pt idx="3808">
                  <c:v>39.666886747683748</c:v>
                </c:pt>
                <c:pt idx="3809">
                  <c:v>39.677303472220963</c:v>
                </c:pt>
                <c:pt idx="3810">
                  <c:v>39.687720196758157</c:v>
                </c:pt>
                <c:pt idx="3811">
                  <c:v>39.698136921295372</c:v>
                </c:pt>
                <c:pt idx="3812">
                  <c:v>39.708553645832581</c:v>
                </c:pt>
                <c:pt idx="3813">
                  <c:v>39.718970370369803</c:v>
                </c:pt>
                <c:pt idx="3814">
                  <c:v>39.729387094906997</c:v>
                </c:pt>
                <c:pt idx="3815">
                  <c:v>39.739803819444212</c:v>
                </c:pt>
                <c:pt idx="3816">
                  <c:v>39.750220543981413</c:v>
                </c:pt>
                <c:pt idx="3817">
                  <c:v>39.760637268518622</c:v>
                </c:pt>
                <c:pt idx="3818">
                  <c:v>39.77105399305583</c:v>
                </c:pt>
                <c:pt idx="3819">
                  <c:v>39.781470717593017</c:v>
                </c:pt>
                <c:pt idx="3820">
                  <c:v>39.791887442130253</c:v>
                </c:pt>
                <c:pt idx="3821">
                  <c:v>39.80230416666744</c:v>
                </c:pt>
                <c:pt idx="3822">
                  <c:v>39.812720891204641</c:v>
                </c:pt>
                <c:pt idx="3823">
                  <c:v>39.823137615741871</c:v>
                </c:pt>
                <c:pt idx="3824">
                  <c:v>39.833554340279079</c:v>
                </c:pt>
                <c:pt idx="3825">
                  <c:v>39.843971064816259</c:v>
                </c:pt>
                <c:pt idx="3826">
                  <c:v>39.85438778935346</c:v>
                </c:pt>
                <c:pt idx="3827">
                  <c:v>39.864804513890689</c:v>
                </c:pt>
                <c:pt idx="3828">
                  <c:v>39.875221238427912</c:v>
                </c:pt>
                <c:pt idx="3829">
                  <c:v>39.88563796296512</c:v>
                </c:pt>
                <c:pt idx="3830">
                  <c:v>39.896054687502307</c:v>
                </c:pt>
                <c:pt idx="3831">
                  <c:v>39.906471412039522</c:v>
                </c:pt>
                <c:pt idx="3832">
                  <c:v>39.916888136576752</c:v>
                </c:pt>
                <c:pt idx="3833">
                  <c:v>39.927304861113953</c:v>
                </c:pt>
                <c:pt idx="3834">
                  <c:v>39.93772158565114</c:v>
                </c:pt>
                <c:pt idx="3835">
                  <c:v>39.948138310188376</c:v>
                </c:pt>
                <c:pt idx="3836">
                  <c:v>39.958555034725578</c:v>
                </c:pt>
                <c:pt idx="3837">
                  <c:v>39.968971759262772</c:v>
                </c:pt>
                <c:pt idx="3838">
                  <c:v>39.97938848379269</c:v>
                </c:pt>
                <c:pt idx="3839">
                  <c:v>39.989805208329933</c:v>
                </c:pt>
                <c:pt idx="3840">
                  <c:v>40.000221932867127</c:v>
                </c:pt>
                <c:pt idx="3841">
                  <c:v>40.010638657404343</c:v>
                </c:pt>
                <c:pt idx="3842">
                  <c:v>40.021055381941551</c:v>
                </c:pt>
                <c:pt idx="3843">
                  <c:v>40.031472106478759</c:v>
                </c:pt>
                <c:pt idx="3844">
                  <c:v>40.041888831015953</c:v>
                </c:pt>
                <c:pt idx="3845">
                  <c:v>40.052305555553183</c:v>
                </c:pt>
                <c:pt idx="3846">
                  <c:v>40.062722280090398</c:v>
                </c:pt>
                <c:pt idx="3847">
                  <c:v>40.073139004627599</c:v>
                </c:pt>
                <c:pt idx="3848">
                  <c:v>40.0835557291648</c:v>
                </c:pt>
                <c:pt idx="3849">
                  <c:v>40.093972453702001</c:v>
                </c:pt>
                <c:pt idx="3850">
                  <c:v>40.104389178239202</c:v>
                </c:pt>
                <c:pt idx="3851">
                  <c:v>40.114805902776418</c:v>
                </c:pt>
                <c:pt idx="3852">
                  <c:v>40.125222627313633</c:v>
                </c:pt>
                <c:pt idx="3853">
                  <c:v>40.135639351850841</c:v>
                </c:pt>
                <c:pt idx="3854">
                  <c:v>40.146056076388049</c:v>
                </c:pt>
                <c:pt idx="3855">
                  <c:v>40.156472800925258</c:v>
                </c:pt>
                <c:pt idx="3856">
                  <c:v>40.166889525462437</c:v>
                </c:pt>
                <c:pt idx="3857">
                  <c:v>40.177306249999681</c:v>
                </c:pt>
                <c:pt idx="3858">
                  <c:v>40.187722974536882</c:v>
                </c:pt>
                <c:pt idx="3859">
                  <c:v>40.198139699074098</c:v>
                </c:pt>
                <c:pt idx="3860">
                  <c:v>40.208556423611299</c:v>
                </c:pt>
                <c:pt idx="3861">
                  <c:v>40.218973148148507</c:v>
                </c:pt>
                <c:pt idx="3862">
                  <c:v>40.229389872685722</c:v>
                </c:pt>
                <c:pt idx="3863">
                  <c:v>40.239806597222923</c:v>
                </c:pt>
                <c:pt idx="3864">
                  <c:v>40.250223321760117</c:v>
                </c:pt>
                <c:pt idx="3865">
                  <c:v>40.26064004629734</c:v>
                </c:pt>
                <c:pt idx="3866">
                  <c:v>40.271056770834548</c:v>
                </c:pt>
                <c:pt idx="3867">
                  <c:v>40.281473495371763</c:v>
                </c:pt>
                <c:pt idx="3868">
                  <c:v>40.291890219908971</c:v>
                </c:pt>
                <c:pt idx="3869">
                  <c:v>40.302306944446173</c:v>
                </c:pt>
                <c:pt idx="3870">
                  <c:v>40.312723668983367</c:v>
                </c:pt>
                <c:pt idx="3871">
                  <c:v>40.323140393520603</c:v>
                </c:pt>
                <c:pt idx="3872">
                  <c:v>40.333557118057797</c:v>
                </c:pt>
                <c:pt idx="3873">
                  <c:v>40.343973842595013</c:v>
                </c:pt>
                <c:pt idx="3874">
                  <c:v>40.354390567132192</c:v>
                </c:pt>
                <c:pt idx="3875">
                  <c:v>40.364807291669393</c:v>
                </c:pt>
                <c:pt idx="3876">
                  <c:v>40.375224016206609</c:v>
                </c:pt>
                <c:pt idx="3877">
                  <c:v>40.385640740743817</c:v>
                </c:pt>
                <c:pt idx="3878">
                  <c:v>40.396057465281032</c:v>
                </c:pt>
                <c:pt idx="3879">
                  <c:v>40.40647418981824</c:v>
                </c:pt>
                <c:pt idx="3880">
                  <c:v>40.416890914355463</c:v>
                </c:pt>
                <c:pt idx="3881">
                  <c:v>40.427307638885402</c:v>
                </c:pt>
                <c:pt idx="3882">
                  <c:v>40.437724363422582</c:v>
                </c:pt>
                <c:pt idx="3883">
                  <c:v>40.448141087959812</c:v>
                </c:pt>
                <c:pt idx="3884">
                  <c:v>40.45855781249702</c:v>
                </c:pt>
                <c:pt idx="3885">
                  <c:v>40.468974537034228</c:v>
                </c:pt>
                <c:pt idx="3886">
                  <c:v>40.479391261571443</c:v>
                </c:pt>
                <c:pt idx="3887">
                  <c:v>40.489807986108637</c:v>
                </c:pt>
                <c:pt idx="3888">
                  <c:v>40.500224710645853</c:v>
                </c:pt>
                <c:pt idx="3889">
                  <c:v>40.51064143518304</c:v>
                </c:pt>
                <c:pt idx="3890">
                  <c:v>40.521058159720248</c:v>
                </c:pt>
                <c:pt idx="3891">
                  <c:v>40.531474884257463</c:v>
                </c:pt>
                <c:pt idx="3892">
                  <c:v>40.541891608794657</c:v>
                </c:pt>
                <c:pt idx="3893">
                  <c:v>40.552308333331901</c:v>
                </c:pt>
                <c:pt idx="3894">
                  <c:v>40.562725057869102</c:v>
                </c:pt>
                <c:pt idx="3895">
                  <c:v>40.573141782406303</c:v>
                </c:pt>
                <c:pt idx="3896">
                  <c:v>40.583558506943497</c:v>
                </c:pt>
                <c:pt idx="3897">
                  <c:v>40.593975231480748</c:v>
                </c:pt>
                <c:pt idx="3898">
                  <c:v>40.604391956017928</c:v>
                </c:pt>
                <c:pt idx="3899">
                  <c:v>40.614808680555143</c:v>
                </c:pt>
                <c:pt idx="3900">
                  <c:v>40.625225405092337</c:v>
                </c:pt>
                <c:pt idx="3901">
                  <c:v>40.635642129629559</c:v>
                </c:pt>
                <c:pt idx="3902">
                  <c:v>40.646058854166768</c:v>
                </c:pt>
                <c:pt idx="3903">
                  <c:v>40.656475578703983</c:v>
                </c:pt>
                <c:pt idx="3904">
                  <c:v>40.666892303241177</c:v>
                </c:pt>
                <c:pt idx="3905">
                  <c:v>40.677309027778399</c:v>
                </c:pt>
                <c:pt idx="3906">
                  <c:v>40.687725752315593</c:v>
                </c:pt>
                <c:pt idx="3907">
                  <c:v>40.698142476852809</c:v>
                </c:pt>
                <c:pt idx="3908">
                  <c:v>40.708559201390017</c:v>
                </c:pt>
                <c:pt idx="3909">
                  <c:v>40.718975925927232</c:v>
                </c:pt>
                <c:pt idx="3910">
                  <c:v>40.729392650464433</c:v>
                </c:pt>
                <c:pt idx="3911">
                  <c:v>40.739809375001641</c:v>
                </c:pt>
                <c:pt idx="3912">
                  <c:v>40.75022609953885</c:v>
                </c:pt>
                <c:pt idx="3913">
                  <c:v>40.760642824076058</c:v>
                </c:pt>
                <c:pt idx="3914">
                  <c:v>40.771059548613252</c:v>
                </c:pt>
                <c:pt idx="3915">
                  <c:v>40.781476273150467</c:v>
                </c:pt>
                <c:pt idx="3916">
                  <c:v>40.791892997687683</c:v>
                </c:pt>
                <c:pt idx="3917">
                  <c:v>40.802309722224898</c:v>
                </c:pt>
                <c:pt idx="3918">
                  <c:v>40.812726446762078</c:v>
                </c:pt>
                <c:pt idx="3919">
                  <c:v>40.823143171299293</c:v>
                </c:pt>
                <c:pt idx="3920">
                  <c:v>40.833559895836501</c:v>
                </c:pt>
                <c:pt idx="3921">
                  <c:v>40.843976620373731</c:v>
                </c:pt>
                <c:pt idx="3922">
                  <c:v>40.854393344910932</c:v>
                </c:pt>
                <c:pt idx="3923">
                  <c:v>40.86481006944085</c:v>
                </c:pt>
                <c:pt idx="3924">
                  <c:v>40.875226793978072</c:v>
                </c:pt>
                <c:pt idx="3925">
                  <c:v>40.885643518515273</c:v>
                </c:pt>
                <c:pt idx="3926">
                  <c:v>40.896060243052467</c:v>
                </c:pt>
                <c:pt idx="3927">
                  <c:v>40.906476967589697</c:v>
                </c:pt>
                <c:pt idx="3928">
                  <c:v>40.916893692126912</c:v>
                </c:pt>
                <c:pt idx="3929">
                  <c:v>40.927310416664113</c:v>
                </c:pt>
                <c:pt idx="3930">
                  <c:v>40.9377271412013</c:v>
                </c:pt>
                <c:pt idx="3931">
                  <c:v>40.948143865738523</c:v>
                </c:pt>
                <c:pt idx="3932">
                  <c:v>40.958560590275738</c:v>
                </c:pt>
                <c:pt idx="3933">
                  <c:v>40.968977314812953</c:v>
                </c:pt>
                <c:pt idx="3934">
                  <c:v>40.979394039350147</c:v>
                </c:pt>
                <c:pt idx="3935">
                  <c:v>40.989810763887341</c:v>
                </c:pt>
                <c:pt idx="3936">
                  <c:v>41.000227488424549</c:v>
                </c:pt>
                <c:pt idx="3937">
                  <c:v>41.010644212961779</c:v>
                </c:pt>
                <c:pt idx="3938">
                  <c:v>41.021060937499001</c:v>
                </c:pt>
                <c:pt idx="3939">
                  <c:v>41.031477662036181</c:v>
                </c:pt>
                <c:pt idx="3940">
                  <c:v>41.041894386573397</c:v>
                </c:pt>
                <c:pt idx="3941">
                  <c:v>41.052311111110598</c:v>
                </c:pt>
                <c:pt idx="3942">
                  <c:v>41.06272783564782</c:v>
                </c:pt>
                <c:pt idx="3943">
                  <c:v>41.073144560185028</c:v>
                </c:pt>
                <c:pt idx="3944">
                  <c:v>41.083561284722222</c:v>
                </c:pt>
                <c:pt idx="3945">
                  <c:v>41.093978009259452</c:v>
                </c:pt>
                <c:pt idx="3946">
                  <c:v>41.104394733796632</c:v>
                </c:pt>
                <c:pt idx="3947">
                  <c:v>41.11481145833384</c:v>
                </c:pt>
                <c:pt idx="3948">
                  <c:v>41.125228182871084</c:v>
                </c:pt>
                <c:pt idx="3949">
                  <c:v>41.135644907408278</c:v>
                </c:pt>
                <c:pt idx="3950">
                  <c:v>41.146061631945472</c:v>
                </c:pt>
                <c:pt idx="3951">
                  <c:v>41.156478356482687</c:v>
                </c:pt>
                <c:pt idx="3952">
                  <c:v>41.166895081019902</c:v>
                </c:pt>
                <c:pt idx="3953">
                  <c:v>41.17731180555711</c:v>
                </c:pt>
                <c:pt idx="3954">
                  <c:v>41.187728530094297</c:v>
                </c:pt>
                <c:pt idx="3955">
                  <c:v>41.198145254631527</c:v>
                </c:pt>
                <c:pt idx="3956">
                  <c:v>41.208561979168742</c:v>
                </c:pt>
                <c:pt idx="3957">
                  <c:v>41.21897870370595</c:v>
                </c:pt>
                <c:pt idx="3958">
                  <c:v>41.229395428243151</c:v>
                </c:pt>
                <c:pt idx="3959">
                  <c:v>41.23981215278036</c:v>
                </c:pt>
                <c:pt idx="3960">
                  <c:v>41.250228877317539</c:v>
                </c:pt>
                <c:pt idx="3961">
                  <c:v>41.260645601854783</c:v>
                </c:pt>
                <c:pt idx="3962">
                  <c:v>41.271062326391998</c:v>
                </c:pt>
                <c:pt idx="3963">
                  <c:v>41.2814790509292</c:v>
                </c:pt>
                <c:pt idx="3964">
                  <c:v>41.291895775466386</c:v>
                </c:pt>
                <c:pt idx="3965">
                  <c:v>41.302312500003609</c:v>
                </c:pt>
                <c:pt idx="3966">
                  <c:v>41.312729224533541</c:v>
                </c:pt>
                <c:pt idx="3967">
                  <c:v>41.323145949070771</c:v>
                </c:pt>
                <c:pt idx="3968">
                  <c:v>41.333562673607943</c:v>
                </c:pt>
                <c:pt idx="3969">
                  <c:v>41.343979398145173</c:v>
                </c:pt>
                <c:pt idx="3970">
                  <c:v>41.35439612268236</c:v>
                </c:pt>
                <c:pt idx="3971">
                  <c:v>41.364812847219582</c:v>
                </c:pt>
                <c:pt idx="3972">
                  <c:v>41.375229571756769</c:v>
                </c:pt>
                <c:pt idx="3973">
                  <c:v>41.385646296293977</c:v>
                </c:pt>
                <c:pt idx="3974">
                  <c:v>41.396063020831207</c:v>
                </c:pt>
                <c:pt idx="3975">
                  <c:v>41.406479745368401</c:v>
                </c:pt>
                <c:pt idx="3976">
                  <c:v>41.416896469905588</c:v>
                </c:pt>
                <c:pt idx="3977">
                  <c:v>41.427313194442831</c:v>
                </c:pt>
                <c:pt idx="3978">
                  <c:v>41.43772991898004</c:v>
                </c:pt>
                <c:pt idx="3979">
                  <c:v>41.448146643517248</c:v>
                </c:pt>
                <c:pt idx="3980">
                  <c:v>41.458563368054463</c:v>
                </c:pt>
                <c:pt idx="3981">
                  <c:v>41.468980092591657</c:v>
                </c:pt>
                <c:pt idx="3982">
                  <c:v>41.479396817128872</c:v>
                </c:pt>
                <c:pt idx="3983">
                  <c:v>41.489813541666059</c:v>
                </c:pt>
                <c:pt idx="3984">
                  <c:v>41.500230266203268</c:v>
                </c:pt>
                <c:pt idx="3985">
                  <c:v>41.510646990740483</c:v>
                </c:pt>
                <c:pt idx="3986">
                  <c:v>41.521063715277712</c:v>
                </c:pt>
                <c:pt idx="3987">
                  <c:v>41.531480439814899</c:v>
                </c:pt>
                <c:pt idx="3988">
                  <c:v>41.541897164352093</c:v>
                </c:pt>
                <c:pt idx="3989">
                  <c:v>41.55231388888933</c:v>
                </c:pt>
                <c:pt idx="3990">
                  <c:v>41.562730613426538</c:v>
                </c:pt>
                <c:pt idx="3991">
                  <c:v>41.573147337963754</c:v>
                </c:pt>
                <c:pt idx="3992">
                  <c:v>41.583564062500948</c:v>
                </c:pt>
                <c:pt idx="3993">
                  <c:v>41.593980787038163</c:v>
                </c:pt>
                <c:pt idx="3994">
                  <c:v>41.604397511575371</c:v>
                </c:pt>
                <c:pt idx="3995">
                  <c:v>41.614814236112558</c:v>
                </c:pt>
                <c:pt idx="3996">
                  <c:v>41.625230960649802</c:v>
                </c:pt>
                <c:pt idx="3997">
                  <c:v>41.635647685187003</c:v>
                </c:pt>
                <c:pt idx="3998">
                  <c:v>41.64606440972419</c:v>
                </c:pt>
                <c:pt idx="3999">
                  <c:v>41.656481134261391</c:v>
                </c:pt>
                <c:pt idx="4000">
                  <c:v>41.666897858798599</c:v>
                </c:pt>
                <c:pt idx="4001">
                  <c:v>41.677314583335829</c:v>
                </c:pt>
                <c:pt idx="4002">
                  <c:v>41.687731307873037</c:v>
                </c:pt>
                <c:pt idx="4003">
                  <c:v>41.698148032410252</c:v>
                </c:pt>
                <c:pt idx="4004">
                  <c:v>41.708564756947453</c:v>
                </c:pt>
                <c:pt idx="4005">
                  <c:v>41.71898148148464</c:v>
                </c:pt>
                <c:pt idx="4006">
                  <c:v>41.729398206021898</c:v>
                </c:pt>
                <c:pt idx="4007">
                  <c:v>41.739814930559099</c:v>
                </c:pt>
                <c:pt idx="4008">
                  <c:v>41.750231655089003</c:v>
                </c:pt>
                <c:pt idx="4009">
                  <c:v>41.760648379626197</c:v>
                </c:pt>
                <c:pt idx="4010">
                  <c:v>41.771065104163434</c:v>
                </c:pt>
                <c:pt idx="4011">
                  <c:v>41.78148182870062</c:v>
                </c:pt>
                <c:pt idx="4012">
                  <c:v>41.791898553237843</c:v>
                </c:pt>
                <c:pt idx="4013">
                  <c:v>41.802315277775051</c:v>
                </c:pt>
                <c:pt idx="4014">
                  <c:v>41.812732002312252</c:v>
                </c:pt>
                <c:pt idx="4015">
                  <c:v>41.823148726849467</c:v>
                </c:pt>
                <c:pt idx="4016">
                  <c:v>41.83356545138664</c:v>
                </c:pt>
                <c:pt idx="4017">
                  <c:v>41.843982175923877</c:v>
                </c:pt>
                <c:pt idx="4018">
                  <c:v>41.854398900461099</c:v>
                </c:pt>
                <c:pt idx="4019">
                  <c:v>41.8648156249983</c:v>
                </c:pt>
                <c:pt idx="4020">
                  <c:v>41.875232349535509</c:v>
                </c:pt>
                <c:pt idx="4021">
                  <c:v>41.885649074072703</c:v>
                </c:pt>
                <c:pt idx="4022">
                  <c:v>41.896065798609932</c:v>
                </c:pt>
                <c:pt idx="4023">
                  <c:v>41.906482523147112</c:v>
                </c:pt>
                <c:pt idx="4024">
                  <c:v>41.91689924768432</c:v>
                </c:pt>
                <c:pt idx="4025">
                  <c:v>41.92731597222155</c:v>
                </c:pt>
                <c:pt idx="4026">
                  <c:v>41.937732696758758</c:v>
                </c:pt>
                <c:pt idx="4027">
                  <c:v>41.948149421295952</c:v>
                </c:pt>
                <c:pt idx="4028">
                  <c:v>41.958566145833167</c:v>
                </c:pt>
                <c:pt idx="4029">
                  <c:v>41.968982870370382</c:v>
                </c:pt>
                <c:pt idx="4030">
                  <c:v>41.979399594907598</c:v>
                </c:pt>
                <c:pt idx="4031">
                  <c:v>41.989816319444799</c:v>
                </c:pt>
                <c:pt idx="4032">
                  <c:v>42.000233043982007</c:v>
                </c:pt>
                <c:pt idx="4033">
                  <c:v>42.010649768519201</c:v>
                </c:pt>
                <c:pt idx="4034">
                  <c:v>42.021066493056402</c:v>
                </c:pt>
                <c:pt idx="4035">
                  <c:v>42.03148321759361</c:v>
                </c:pt>
                <c:pt idx="4036">
                  <c:v>42.04189994213084</c:v>
                </c:pt>
                <c:pt idx="4037">
                  <c:v>42.052316666668048</c:v>
                </c:pt>
                <c:pt idx="4038">
                  <c:v>42.062733391205263</c:v>
                </c:pt>
                <c:pt idx="4039">
                  <c:v>42.07315011574245</c:v>
                </c:pt>
                <c:pt idx="4040">
                  <c:v>42.083566840279673</c:v>
                </c:pt>
                <c:pt idx="4041">
                  <c:v>42.093983564816867</c:v>
                </c:pt>
                <c:pt idx="4042">
                  <c:v>42.104400289354068</c:v>
                </c:pt>
                <c:pt idx="4043">
                  <c:v>42.114817013891283</c:v>
                </c:pt>
                <c:pt idx="4044">
                  <c:v>42.125233738428513</c:v>
                </c:pt>
                <c:pt idx="4045">
                  <c:v>42.135650462965721</c:v>
                </c:pt>
                <c:pt idx="4046">
                  <c:v>42.146067187502901</c:v>
                </c:pt>
                <c:pt idx="4047">
                  <c:v>42.156483912040123</c:v>
                </c:pt>
                <c:pt idx="4048">
                  <c:v>42.166900636577353</c:v>
                </c:pt>
                <c:pt idx="4049">
                  <c:v>42.177317361114547</c:v>
                </c:pt>
                <c:pt idx="4050">
                  <c:v>42.187734085651748</c:v>
                </c:pt>
                <c:pt idx="4051">
                  <c:v>42.198150810181701</c:v>
                </c:pt>
                <c:pt idx="4052">
                  <c:v>42.208567534718902</c:v>
                </c:pt>
                <c:pt idx="4053">
                  <c:v>42.218984259256089</c:v>
                </c:pt>
                <c:pt idx="4054">
                  <c:v>42.229400983793298</c:v>
                </c:pt>
                <c:pt idx="4055">
                  <c:v>42.23981770833052</c:v>
                </c:pt>
                <c:pt idx="4056">
                  <c:v>42.250234432867728</c:v>
                </c:pt>
                <c:pt idx="4057">
                  <c:v>42.260651157404943</c:v>
                </c:pt>
                <c:pt idx="4058">
                  <c:v>42.27106788194213</c:v>
                </c:pt>
                <c:pt idx="4059">
                  <c:v>42.281484606479353</c:v>
                </c:pt>
                <c:pt idx="4060">
                  <c:v>42.291901331016547</c:v>
                </c:pt>
                <c:pt idx="4061">
                  <c:v>42.302318055553769</c:v>
                </c:pt>
                <c:pt idx="4062">
                  <c:v>42.312734780090977</c:v>
                </c:pt>
                <c:pt idx="4063">
                  <c:v>42.3231515046282</c:v>
                </c:pt>
                <c:pt idx="4064">
                  <c:v>42.333568229165401</c:v>
                </c:pt>
                <c:pt idx="4065">
                  <c:v>42.343984953702559</c:v>
                </c:pt>
                <c:pt idx="4066">
                  <c:v>42.354401678239789</c:v>
                </c:pt>
                <c:pt idx="4067">
                  <c:v>42.364818402776997</c:v>
                </c:pt>
                <c:pt idx="4068">
                  <c:v>42.375235127314227</c:v>
                </c:pt>
                <c:pt idx="4069">
                  <c:v>42.385651851851421</c:v>
                </c:pt>
                <c:pt idx="4070">
                  <c:v>42.396068576388643</c:v>
                </c:pt>
                <c:pt idx="4071">
                  <c:v>42.406485300925851</c:v>
                </c:pt>
                <c:pt idx="4072">
                  <c:v>42.416902025463052</c:v>
                </c:pt>
                <c:pt idx="4073">
                  <c:v>42.427318750000268</c:v>
                </c:pt>
                <c:pt idx="4074">
                  <c:v>42.437735474537483</c:v>
                </c:pt>
                <c:pt idx="4075">
                  <c:v>42.448152199074698</c:v>
                </c:pt>
                <c:pt idx="4076">
                  <c:v>42.458568923611899</c:v>
                </c:pt>
                <c:pt idx="4077">
                  <c:v>42.468985648149101</c:v>
                </c:pt>
                <c:pt idx="4078">
                  <c:v>42.479402372686287</c:v>
                </c:pt>
                <c:pt idx="4079">
                  <c:v>42.489819097223489</c:v>
                </c:pt>
                <c:pt idx="4080">
                  <c:v>42.500235821760732</c:v>
                </c:pt>
                <c:pt idx="4081">
                  <c:v>42.510652546297933</c:v>
                </c:pt>
                <c:pt idx="4082">
                  <c:v>42.521069270835142</c:v>
                </c:pt>
                <c:pt idx="4083">
                  <c:v>42.531485995372343</c:v>
                </c:pt>
                <c:pt idx="4084">
                  <c:v>42.541902719909558</c:v>
                </c:pt>
                <c:pt idx="4085">
                  <c:v>42.552319444446773</c:v>
                </c:pt>
                <c:pt idx="4086">
                  <c:v>42.562736168983982</c:v>
                </c:pt>
                <c:pt idx="4087">
                  <c:v>42.573152893521183</c:v>
                </c:pt>
                <c:pt idx="4088">
                  <c:v>42.583569618058398</c:v>
                </c:pt>
                <c:pt idx="4089">
                  <c:v>42.593986342595599</c:v>
                </c:pt>
                <c:pt idx="4090">
                  <c:v>42.604403067132793</c:v>
                </c:pt>
                <c:pt idx="4091">
                  <c:v>42.614819791670001</c:v>
                </c:pt>
                <c:pt idx="4092">
                  <c:v>42.625236516207231</c:v>
                </c:pt>
                <c:pt idx="4093">
                  <c:v>42.635653240737163</c:v>
                </c:pt>
                <c:pt idx="4094">
                  <c:v>42.64606996527435</c:v>
                </c:pt>
                <c:pt idx="4095">
                  <c:v>42.656486689811537</c:v>
                </c:pt>
                <c:pt idx="4096">
                  <c:v>42.666903414348781</c:v>
                </c:pt>
                <c:pt idx="4097">
                  <c:v>42.677320138886003</c:v>
                </c:pt>
                <c:pt idx="4098">
                  <c:v>42.687736863423197</c:v>
                </c:pt>
                <c:pt idx="4099">
                  <c:v>42.698153587960412</c:v>
                </c:pt>
                <c:pt idx="4100">
                  <c:v>42.708570312497613</c:v>
                </c:pt>
                <c:pt idx="4101">
                  <c:v>42.718987037034822</c:v>
                </c:pt>
                <c:pt idx="4102">
                  <c:v>42.72940376157203</c:v>
                </c:pt>
                <c:pt idx="4103">
                  <c:v>42.739820486109238</c:v>
                </c:pt>
                <c:pt idx="4104">
                  <c:v>42.750237210646432</c:v>
                </c:pt>
                <c:pt idx="4105">
                  <c:v>42.760653935183662</c:v>
                </c:pt>
                <c:pt idx="4106">
                  <c:v>42.771070659720863</c:v>
                </c:pt>
                <c:pt idx="4107">
                  <c:v>42.78148738425805</c:v>
                </c:pt>
                <c:pt idx="4108">
                  <c:v>42.791904108795279</c:v>
                </c:pt>
                <c:pt idx="4109">
                  <c:v>42.802320833332473</c:v>
                </c:pt>
                <c:pt idx="4110">
                  <c:v>42.812737557869681</c:v>
                </c:pt>
                <c:pt idx="4111">
                  <c:v>42.823154282406911</c:v>
                </c:pt>
                <c:pt idx="4112">
                  <c:v>42.833571006944098</c:v>
                </c:pt>
                <c:pt idx="4113">
                  <c:v>42.843987731481299</c:v>
                </c:pt>
                <c:pt idx="4114">
                  <c:v>42.854404456018493</c:v>
                </c:pt>
                <c:pt idx="4115">
                  <c:v>42.864821180555737</c:v>
                </c:pt>
                <c:pt idx="4116">
                  <c:v>42.875237905092938</c:v>
                </c:pt>
                <c:pt idx="4117">
                  <c:v>42.885654629630132</c:v>
                </c:pt>
                <c:pt idx="4118">
                  <c:v>42.896071354167347</c:v>
                </c:pt>
                <c:pt idx="4119">
                  <c:v>42.906488078704548</c:v>
                </c:pt>
                <c:pt idx="4120">
                  <c:v>42.916904803241763</c:v>
                </c:pt>
                <c:pt idx="4121">
                  <c:v>42.927321527779</c:v>
                </c:pt>
                <c:pt idx="4122">
                  <c:v>42.937738252316187</c:v>
                </c:pt>
                <c:pt idx="4123">
                  <c:v>42.948154976853402</c:v>
                </c:pt>
                <c:pt idx="4124">
                  <c:v>42.958571701390589</c:v>
                </c:pt>
                <c:pt idx="4125">
                  <c:v>42.968988425927819</c:v>
                </c:pt>
                <c:pt idx="4126">
                  <c:v>42.979405150465027</c:v>
                </c:pt>
                <c:pt idx="4127">
                  <c:v>42.989821875002207</c:v>
                </c:pt>
                <c:pt idx="4128">
                  <c:v>43.000238599539443</c:v>
                </c:pt>
                <c:pt idx="4129">
                  <c:v>43.010655324076652</c:v>
                </c:pt>
                <c:pt idx="4130">
                  <c:v>43.02107204861386</c:v>
                </c:pt>
                <c:pt idx="4131">
                  <c:v>43.031488773151047</c:v>
                </c:pt>
                <c:pt idx="4132">
                  <c:v>43.041905497688262</c:v>
                </c:pt>
                <c:pt idx="4133">
                  <c:v>43.052322222225499</c:v>
                </c:pt>
                <c:pt idx="4134">
                  <c:v>43.0627389467627</c:v>
                </c:pt>
                <c:pt idx="4135">
                  <c:v>43.073155671299901</c:v>
                </c:pt>
                <c:pt idx="4136">
                  <c:v>43.083572395829847</c:v>
                </c:pt>
                <c:pt idx="4137">
                  <c:v>43.093989120367041</c:v>
                </c:pt>
                <c:pt idx="4138">
                  <c:v>43.10440584490425</c:v>
                </c:pt>
                <c:pt idx="4139">
                  <c:v>43.114822569441429</c:v>
                </c:pt>
                <c:pt idx="4140">
                  <c:v>43.12523929397868</c:v>
                </c:pt>
                <c:pt idx="4141">
                  <c:v>43.135656018515881</c:v>
                </c:pt>
                <c:pt idx="4142">
                  <c:v>43.146072743053082</c:v>
                </c:pt>
                <c:pt idx="4143">
                  <c:v>43.156489467590262</c:v>
                </c:pt>
                <c:pt idx="4144">
                  <c:v>43.166906192127499</c:v>
                </c:pt>
                <c:pt idx="4145">
                  <c:v>43.177322916664707</c:v>
                </c:pt>
                <c:pt idx="4146">
                  <c:v>43.187739641201922</c:v>
                </c:pt>
                <c:pt idx="4147">
                  <c:v>43.198156365739131</c:v>
                </c:pt>
                <c:pt idx="4148">
                  <c:v>43.208573090276332</c:v>
                </c:pt>
                <c:pt idx="4149">
                  <c:v>43.21898981481354</c:v>
                </c:pt>
                <c:pt idx="4150">
                  <c:v>43.229406539350748</c:v>
                </c:pt>
                <c:pt idx="4151">
                  <c:v>43.239823263887963</c:v>
                </c:pt>
                <c:pt idx="4152">
                  <c:v>43.250239988425172</c:v>
                </c:pt>
                <c:pt idx="4153">
                  <c:v>43.260656712962373</c:v>
                </c:pt>
                <c:pt idx="4154">
                  <c:v>43.271073437499567</c:v>
                </c:pt>
                <c:pt idx="4155">
                  <c:v>43.281490162036768</c:v>
                </c:pt>
                <c:pt idx="4156">
                  <c:v>43.291906886573997</c:v>
                </c:pt>
                <c:pt idx="4157">
                  <c:v>43.302323611111213</c:v>
                </c:pt>
                <c:pt idx="4158">
                  <c:v>43.3127403356484</c:v>
                </c:pt>
                <c:pt idx="4159">
                  <c:v>43.323157060185622</c:v>
                </c:pt>
                <c:pt idx="4160">
                  <c:v>43.33357378472283</c:v>
                </c:pt>
                <c:pt idx="4161">
                  <c:v>43.34399050926001</c:v>
                </c:pt>
                <c:pt idx="4162">
                  <c:v>43.354407233797211</c:v>
                </c:pt>
                <c:pt idx="4163">
                  <c:v>43.364823958334441</c:v>
                </c:pt>
                <c:pt idx="4164">
                  <c:v>43.375240682871663</c:v>
                </c:pt>
                <c:pt idx="4165">
                  <c:v>43.38565740740885</c:v>
                </c:pt>
                <c:pt idx="4166">
                  <c:v>43.396074131946072</c:v>
                </c:pt>
                <c:pt idx="4167">
                  <c:v>43.406490856483273</c:v>
                </c:pt>
                <c:pt idx="4168">
                  <c:v>43.416907581020482</c:v>
                </c:pt>
                <c:pt idx="4169">
                  <c:v>43.427324305557711</c:v>
                </c:pt>
                <c:pt idx="4170">
                  <c:v>43.437741030094912</c:v>
                </c:pt>
                <c:pt idx="4171">
                  <c:v>43.448157754632099</c:v>
                </c:pt>
                <c:pt idx="4172">
                  <c:v>43.458574479169307</c:v>
                </c:pt>
                <c:pt idx="4173">
                  <c:v>43.468991203706523</c:v>
                </c:pt>
                <c:pt idx="4174">
                  <c:v>43.479407928243752</c:v>
                </c:pt>
                <c:pt idx="4175">
                  <c:v>43.489824652780932</c:v>
                </c:pt>
                <c:pt idx="4176">
                  <c:v>43.50024137731814</c:v>
                </c:pt>
                <c:pt idx="4177">
                  <c:v>43.51065810185537</c:v>
                </c:pt>
                <c:pt idx="4178">
                  <c:v>43.521074826385302</c:v>
                </c:pt>
                <c:pt idx="4179">
                  <c:v>43.531491550922489</c:v>
                </c:pt>
                <c:pt idx="4180">
                  <c:v>43.541908275459718</c:v>
                </c:pt>
                <c:pt idx="4181">
                  <c:v>43.552324999996927</c:v>
                </c:pt>
                <c:pt idx="4182">
                  <c:v>43.562741724534142</c:v>
                </c:pt>
                <c:pt idx="4183">
                  <c:v>43.57315844907135</c:v>
                </c:pt>
                <c:pt idx="4184">
                  <c:v>43.583575173608537</c:v>
                </c:pt>
                <c:pt idx="4185">
                  <c:v>43.593991898145759</c:v>
                </c:pt>
                <c:pt idx="4186">
                  <c:v>43.604408622682953</c:v>
                </c:pt>
                <c:pt idx="4187">
                  <c:v>43.614825347220183</c:v>
                </c:pt>
                <c:pt idx="4188">
                  <c:v>43.625242071757377</c:v>
                </c:pt>
                <c:pt idx="4189">
                  <c:v>43.635658796294599</c:v>
                </c:pt>
                <c:pt idx="4190">
                  <c:v>43.646075520831801</c:v>
                </c:pt>
                <c:pt idx="4191">
                  <c:v>43.656492245369009</c:v>
                </c:pt>
                <c:pt idx="4192">
                  <c:v>43.666908969906217</c:v>
                </c:pt>
                <c:pt idx="4193">
                  <c:v>43.677325694443432</c:v>
                </c:pt>
                <c:pt idx="4194">
                  <c:v>43.687742418980633</c:v>
                </c:pt>
                <c:pt idx="4195">
                  <c:v>43.698159143517863</c:v>
                </c:pt>
                <c:pt idx="4196">
                  <c:v>43.708575868055071</c:v>
                </c:pt>
                <c:pt idx="4197">
                  <c:v>43.718992592592258</c:v>
                </c:pt>
                <c:pt idx="4198">
                  <c:v>43.72940931712948</c:v>
                </c:pt>
                <c:pt idx="4199">
                  <c:v>43.73982604166666</c:v>
                </c:pt>
                <c:pt idx="4200">
                  <c:v>43.750242766203883</c:v>
                </c:pt>
                <c:pt idx="4201">
                  <c:v>43.760659490741098</c:v>
                </c:pt>
                <c:pt idx="4202">
                  <c:v>43.771076215278299</c:v>
                </c:pt>
                <c:pt idx="4203">
                  <c:v>43.781492939815507</c:v>
                </c:pt>
                <c:pt idx="4204">
                  <c:v>43.791909664352723</c:v>
                </c:pt>
                <c:pt idx="4205">
                  <c:v>43.802326388889931</c:v>
                </c:pt>
                <c:pt idx="4206">
                  <c:v>43.812743113427118</c:v>
                </c:pt>
                <c:pt idx="4207">
                  <c:v>43.82315983796434</c:v>
                </c:pt>
                <c:pt idx="4208">
                  <c:v>43.833576562501548</c:v>
                </c:pt>
                <c:pt idx="4209">
                  <c:v>43.843993287038757</c:v>
                </c:pt>
                <c:pt idx="4210">
                  <c:v>43.854410011575958</c:v>
                </c:pt>
                <c:pt idx="4211">
                  <c:v>43.864826736113173</c:v>
                </c:pt>
                <c:pt idx="4212">
                  <c:v>43.87524346065036</c:v>
                </c:pt>
                <c:pt idx="4213">
                  <c:v>43.885660185187568</c:v>
                </c:pt>
                <c:pt idx="4214">
                  <c:v>43.896076909724798</c:v>
                </c:pt>
                <c:pt idx="4215">
                  <c:v>43.906493634261999</c:v>
                </c:pt>
                <c:pt idx="4216">
                  <c:v>43.916910358799207</c:v>
                </c:pt>
                <c:pt idx="4217">
                  <c:v>43.927327083336387</c:v>
                </c:pt>
                <c:pt idx="4218">
                  <c:v>43.937743807873623</c:v>
                </c:pt>
                <c:pt idx="4219">
                  <c:v>43.948160532410839</c:v>
                </c:pt>
                <c:pt idx="4220">
                  <c:v>43.958577256948047</c:v>
                </c:pt>
                <c:pt idx="4221">
                  <c:v>43.968993981477979</c:v>
                </c:pt>
                <c:pt idx="4222">
                  <c:v>43.979410706015202</c:v>
                </c:pt>
                <c:pt idx="4223">
                  <c:v>43.989827430552381</c:v>
                </c:pt>
                <c:pt idx="4224">
                  <c:v>44.00024415508959</c:v>
                </c:pt>
                <c:pt idx="4225">
                  <c:v>44.010660879626791</c:v>
                </c:pt>
                <c:pt idx="4226">
                  <c:v>44.02107760416402</c:v>
                </c:pt>
                <c:pt idx="4227">
                  <c:v>44.031494328701228</c:v>
                </c:pt>
                <c:pt idx="4228">
                  <c:v>44.041911053238408</c:v>
                </c:pt>
                <c:pt idx="4229">
                  <c:v>44.052327777775638</c:v>
                </c:pt>
                <c:pt idx="4230">
                  <c:v>44.062744502312853</c:v>
                </c:pt>
                <c:pt idx="4231">
                  <c:v>44.073161226850061</c:v>
                </c:pt>
                <c:pt idx="4232">
                  <c:v>44.083577951387248</c:v>
                </c:pt>
                <c:pt idx="4233">
                  <c:v>44.093994675924478</c:v>
                </c:pt>
                <c:pt idx="4234">
                  <c:v>44.104411400461672</c:v>
                </c:pt>
                <c:pt idx="4235">
                  <c:v>44.114828124998901</c:v>
                </c:pt>
                <c:pt idx="4236">
                  <c:v>44.125244849536102</c:v>
                </c:pt>
                <c:pt idx="4237">
                  <c:v>44.135661574073303</c:v>
                </c:pt>
                <c:pt idx="4238">
                  <c:v>44.146078298610497</c:v>
                </c:pt>
                <c:pt idx="4239">
                  <c:v>44.156495023147727</c:v>
                </c:pt>
                <c:pt idx="4240">
                  <c:v>44.166911747684942</c:v>
                </c:pt>
                <c:pt idx="4241">
                  <c:v>44.177328472222143</c:v>
                </c:pt>
                <c:pt idx="4242">
                  <c:v>44.187745196759352</c:v>
                </c:pt>
                <c:pt idx="4243">
                  <c:v>44.198161921296553</c:v>
                </c:pt>
                <c:pt idx="4244">
                  <c:v>44.208578645833782</c:v>
                </c:pt>
                <c:pt idx="4245">
                  <c:v>44.218995370370997</c:v>
                </c:pt>
                <c:pt idx="4246">
                  <c:v>44.229412094908199</c:v>
                </c:pt>
                <c:pt idx="4247">
                  <c:v>44.2398288194454</c:v>
                </c:pt>
                <c:pt idx="4248">
                  <c:v>44.250245543982587</c:v>
                </c:pt>
                <c:pt idx="4249">
                  <c:v>44.260662268519809</c:v>
                </c:pt>
                <c:pt idx="4250">
                  <c:v>44.271078993057017</c:v>
                </c:pt>
                <c:pt idx="4251">
                  <c:v>44.281495717594233</c:v>
                </c:pt>
                <c:pt idx="4252">
                  <c:v>44.291912442131448</c:v>
                </c:pt>
                <c:pt idx="4253">
                  <c:v>44.302329166668621</c:v>
                </c:pt>
                <c:pt idx="4254">
                  <c:v>44.31274589120585</c:v>
                </c:pt>
                <c:pt idx="4255">
                  <c:v>44.323162615743037</c:v>
                </c:pt>
                <c:pt idx="4256">
                  <c:v>44.333579340280266</c:v>
                </c:pt>
                <c:pt idx="4257">
                  <c:v>44.34399606481746</c:v>
                </c:pt>
                <c:pt idx="4258">
                  <c:v>44.354412789354662</c:v>
                </c:pt>
                <c:pt idx="4259">
                  <c:v>44.36482951389187</c:v>
                </c:pt>
                <c:pt idx="4260">
                  <c:v>44.375246238429099</c:v>
                </c:pt>
                <c:pt idx="4261">
                  <c:v>44.385662962966293</c:v>
                </c:pt>
                <c:pt idx="4262">
                  <c:v>44.396079687503502</c:v>
                </c:pt>
                <c:pt idx="4263">
                  <c:v>44.406496412033427</c:v>
                </c:pt>
                <c:pt idx="4264">
                  <c:v>44.416913136570663</c:v>
                </c:pt>
                <c:pt idx="4265">
                  <c:v>44.427329861107857</c:v>
                </c:pt>
                <c:pt idx="4266">
                  <c:v>44.437746585645037</c:v>
                </c:pt>
                <c:pt idx="4267">
                  <c:v>44.448163310182281</c:v>
                </c:pt>
                <c:pt idx="4268">
                  <c:v>44.458580034719468</c:v>
                </c:pt>
                <c:pt idx="4269">
                  <c:v>44.468996759256683</c:v>
                </c:pt>
                <c:pt idx="4270">
                  <c:v>44.479413483793891</c:v>
                </c:pt>
                <c:pt idx="4271">
                  <c:v>44.489830208331107</c:v>
                </c:pt>
                <c:pt idx="4272">
                  <c:v>44.500246932868322</c:v>
                </c:pt>
                <c:pt idx="4273">
                  <c:v>44.510663657405509</c:v>
                </c:pt>
                <c:pt idx="4274">
                  <c:v>44.521080381942717</c:v>
                </c:pt>
                <c:pt idx="4275">
                  <c:v>44.531497106479947</c:v>
                </c:pt>
                <c:pt idx="4276">
                  <c:v>44.541913831017148</c:v>
                </c:pt>
                <c:pt idx="4277">
                  <c:v>44.552330555554363</c:v>
                </c:pt>
                <c:pt idx="4278">
                  <c:v>44.562747280091571</c:v>
                </c:pt>
                <c:pt idx="4279">
                  <c:v>44.573164004628779</c:v>
                </c:pt>
                <c:pt idx="4280">
                  <c:v>44.583580729166002</c:v>
                </c:pt>
                <c:pt idx="4281">
                  <c:v>44.593997453703182</c:v>
                </c:pt>
                <c:pt idx="4282">
                  <c:v>44.60441417824039</c:v>
                </c:pt>
                <c:pt idx="4283">
                  <c:v>44.614830902777612</c:v>
                </c:pt>
                <c:pt idx="4284">
                  <c:v>44.62524762731482</c:v>
                </c:pt>
                <c:pt idx="4285">
                  <c:v>44.635664351852007</c:v>
                </c:pt>
                <c:pt idx="4286">
                  <c:v>44.646081076389223</c:v>
                </c:pt>
                <c:pt idx="4287">
                  <c:v>44.656497800926438</c:v>
                </c:pt>
                <c:pt idx="4288">
                  <c:v>44.666914525463653</c:v>
                </c:pt>
                <c:pt idx="4289">
                  <c:v>44.677331250000861</c:v>
                </c:pt>
                <c:pt idx="4290">
                  <c:v>44.68774797453807</c:v>
                </c:pt>
                <c:pt idx="4291">
                  <c:v>44.698164699075278</c:v>
                </c:pt>
                <c:pt idx="4292">
                  <c:v>44.708581423612458</c:v>
                </c:pt>
                <c:pt idx="4293">
                  <c:v>44.718998148149701</c:v>
                </c:pt>
                <c:pt idx="4294">
                  <c:v>44.729414872686903</c:v>
                </c:pt>
                <c:pt idx="4295">
                  <c:v>44.739831597224097</c:v>
                </c:pt>
                <c:pt idx="4296">
                  <c:v>44.750248321761298</c:v>
                </c:pt>
                <c:pt idx="4297">
                  <c:v>44.760665046298527</c:v>
                </c:pt>
                <c:pt idx="4298">
                  <c:v>44.771081770835742</c:v>
                </c:pt>
                <c:pt idx="4299">
                  <c:v>44.781498495372936</c:v>
                </c:pt>
                <c:pt idx="4300">
                  <c:v>44.791915219910152</c:v>
                </c:pt>
                <c:pt idx="4301">
                  <c:v>44.80233194444736</c:v>
                </c:pt>
                <c:pt idx="4302">
                  <c:v>44.812748668984547</c:v>
                </c:pt>
                <c:pt idx="4303">
                  <c:v>44.823165393521798</c:v>
                </c:pt>
                <c:pt idx="4304">
                  <c:v>44.833582118058999</c:v>
                </c:pt>
                <c:pt idx="4305">
                  <c:v>44.8439988425962</c:v>
                </c:pt>
                <c:pt idx="4306">
                  <c:v>44.854415567126111</c:v>
                </c:pt>
                <c:pt idx="4307">
                  <c:v>44.864832291663312</c:v>
                </c:pt>
                <c:pt idx="4308">
                  <c:v>44.87524901620052</c:v>
                </c:pt>
                <c:pt idx="4309">
                  <c:v>44.88566574073775</c:v>
                </c:pt>
                <c:pt idx="4310">
                  <c:v>44.896082465274937</c:v>
                </c:pt>
                <c:pt idx="4311">
                  <c:v>44.906499189812138</c:v>
                </c:pt>
                <c:pt idx="4312">
                  <c:v>44.916915914349381</c:v>
                </c:pt>
                <c:pt idx="4313">
                  <c:v>44.927332638886583</c:v>
                </c:pt>
                <c:pt idx="4314">
                  <c:v>44.937749363423798</c:v>
                </c:pt>
                <c:pt idx="4315">
                  <c:v>44.948166087960999</c:v>
                </c:pt>
                <c:pt idx="4316">
                  <c:v>44.958582812498207</c:v>
                </c:pt>
                <c:pt idx="4317">
                  <c:v>44.968999537035423</c:v>
                </c:pt>
                <c:pt idx="4318">
                  <c:v>44.979416261572617</c:v>
                </c:pt>
                <c:pt idx="4319">
                  <c:v>44.989832986109832</c:v>
                </c:pt>
                <c:pt idx="4320">
                  <c:v>45.000249710647019</c:v>
                </c:pt>
                <c:pt idx="4321">
                  <c:v>45.010666435184227</c:v>
                </c:pt>
                <c:pt idx="4322">
                  <c:v>45.021083159721442</c:v>
                </c:pt>
                <c:pt idx="4323">
                  <c:v>45.03149988425865</c:v>
                </c:pt>
                <c:pt idx="4324">
                  <c:v>45.041916608795873</c:v>
                </c:pt>
                <c:pt idx="4325">
                  <c:v>45.052333333333081</c:v>
                </c:pt>
                <c:pt idx="4326">
                  <c:v>45.062750057870304</c:v>
                </c:pt>
                <c:pt idx="4327">
                  <c:v>45.073166782407498</c:v>
                </c:pt>
                <c:pt idx="4328">
                  <c:v>45.083583506944713</c:v>
                </c:pt>
                <c:pt idx="4329">
                  <c:v>45.094000231481921</c:v>
                </c:pt>
                <c:pt idx="4330">
                  <c:v>45.104416956019122</c:v>
                </c:pt>
                <c:pt idx="4331">
                  <c:v>45.114833680556323</c:v>
                </c:pt>
                <c:pt idx="4332">
                  <c:v>45.125250405093517</c:v>
                </c:pt>
                <c:pt idx="4333">
                  <c:v>45.135667129630747</c:v>
                </c:pt>
                <c:pt idx="4334">
                  <c:v>45.146083854167948</c:v>
                </c:pt>
                <c:pt idx="4335">
                  <c:v>45.156500578705163</c:v>
                </c:pt>
                <c:pt idx="4336">
                  <c:v>45.16691730324235</c:v>
                </c:pt>
                <c:pt idx="4337">
                  <c:v>45.17733402777958</c:v>
                </c:pt>
                <c:pt idx="4338">
                  <c:v>45.187750752316767</c:v>
                </c:pt>
                <c:pt idx="4339">
                  <c:v>45.198167476854003</c:v>
                </c:pt>
                <c:pt idx="4340">
                  <c:v>45.208584201391197</c:v>
                </c:pt>
                <c:pt idx="4341">
                  <c:v>45.219000925928412</c:v>
                </c:pt>
                <c:pt idx="4342">
                  <c:v>45.229417650465621</c:v>
                </c:pt>
                <c:pt idx="4343">
                  <c:v>45.239834375002829</c:v>
                </c:pt>
                <c:pt idx="4344">
                  <c:v>45.250251099540023</c:v>
                </c:pt>
                <c:pt idx="4345">
                  <c:v>45.260667824077252</c:v>
                </c:pt>
                <c:pt idx="4346">
                  <c:v>45.271084548614439</c:v>
                </c:pt>
                <c:pt idx="4347">
                  <c:v>45.281501273151648</c:v>
                </c:pt>
                <c:pt idx="4348">
                  <c:v>45.291917997681601</c:v>
                </c:pt>
                <c:pt idx="4349">
                  <c:v>45.302334722218802</c:v>
                </c:pt>
                <c:pt idx="4350">
                  <c:v>45.312751446756003</c:v>
                </c:pt>
                <c:pt idx="4351">
                  <c:v>45.32316817129319</c:v>
                </c:pt>
                <c:pt idx="4352">
                  <c:v>45.333584895830413</c:v>
                </c:pt>
                <c:pt idx="4353">
                  <c:v>45.344001620367607</c:v>
                </c:pt>
                <c:pt idx="4354">
                  <c:v>45.35441834490485</c:v>
                </c:pt>
                <c:pt idx="4355">
                  <c:v>45.36483506944203</c:v>
                </c:pt>
                <c:pt idx="4356">
                  <c:v>45.37525179397926</c:v>
                </c:pt>
                <c:pt idx="4357">
                  <c:v>45.385668518516439</c:v>
                </c:pt>
                <c:pt idx="4358">
                  <c:v>45.396085243053683</c:v>
                </c:pt>
                <c:pt idx="4359">
                  <c:v>45.406501967590877</c:v>
                </c:pt>
                <c:pt idx="4360">
                  <c:v>45.4169186921281</c:v>
                </c:pt>
                <c:pt idx="4361">
                  <c:v>45.427335416665301</c:v>
                </c:pt>
                <c:pt idx="4362">
                  <c:v>45.437752141202488</c:v>
                </c:pt>
                <c:pt idx="4363">
                  <c:v>45.448168865739717</c:v>
                </c:pt>
                <c:pt idx="4364">
                  <c:v>45.458585590276932</c:v>
                </c:pt>
                <c:pt idx="4365">
                  <c:v>45.469002314814141</c:v>
                </c:pt>
                <c:pt idx="4366">
                  <c:v>45.479419039351342</c:v>
                </c:pt>
                <c:pt idx="4367">
                  <c:v>45.489835763888543</c:v>
                </c:pt>
                <c:pt idx="4368">
                  <c:v>45.500252488425758</c:v>
                </c:pt>
                <c:pt idx="4369">
                  <c:v>45.510669212962952</c:v>
                </c:pt>
                <c:pt idx="4370">
                  <c:v>45.521085937500182</c:v>
                </c:pt>
                <c:pt idx="4371">
                  <c:v>45.531502662037383</c:v>
                </c:pt>
                <c:pt idx="4372">
                  <c:v>45.541919386574598</c:v>
                </c:pt>
                <c:pt idx="4373">
                  <c:v>45.552336111111799</c:v>
                </c:pt>
                <c:pt idx="4374">
                  <c:v>45.562752835649007</c:v>
                </c:pt>
                <c:pt idx="4375">
                  <c:v>45.573169560186201</c:v>
                </c:pt>
                <c:pt idx="4376">
                  <c:v>45.583586284723417</c:v>
                </c:pt>
                <c:pt idx="4377">
                  <c:v>45.594003009260611</c:v>
                </c:pt>
                <c:pt idx="4378">
                  <c:v>45.60441973379784</c:v>
                </c:pt>
                <c:pt idx="4379">
                  <c:v>45.614836458335027</c:v>
                </c:pt>
                <c:pt idx="4380">
                  <c:v>45.625253182872257</c:v>
                </c:pt>
                <c:pt idx="4381">
                  <c:v>45.635669907409458</c:v>
                </c:pt>
                <c:pt idx="4382">
                  <c:v>45.646086631946638</c:v>
                </c:pt>
                <c:pt idx="4383">
                  <c:v>45.656503356483881</c:v>
                </c:pt>
                <c:pt idx="4384">
                  <c:v>45.666920081021097</c:v>
                </c:pt>
                <c:pt idx="4385">
                  <c:v>45.677336805558298</c:v>
                </c:pt>
                <c:pt idx="4386">
                  <c:v>45.687753530095513</c:v>
                </c:pt>
                <c:pt idx="4387">
                  <c:v>45.698170254632721</c:v>
                </c:pt>
                <c:pt idx="4388">
                  <c:v>45.708586979169922</c:v>
                </c:pt>
                <c:pt idx="4389">
                  <c:v>45.719003703707124</c:v>
                </c:pt>
                <c:pt idx="4390">
                  <c:v>45.729420428244318</c:v>
                </c:pt>
                <c:pt idx="4391">
                  <c:v>45.739837152774271</c:v>
                </c:pt>
                <c:pt idx="4392">
                  <c:v>45.750253877311472</c:v>
                </c:pt>
                <c:pt idx="4393">
                  <c:v>45.760670601848673</c:v>
                </c:pt>
                <c:pt idx="4394">
                  <c:v>45.771087326385903</c:v>
                </c:pt>
                <c:pt idx="4395">
                  <c:v>45.781504050923097</c:v>
                </c:pt>
                <c:pt idx="4396">
                  <c:v>45.791920775460298</c:v>
                </c:pt>
                <c:pt idx="4397">
                  <c:v>45.802337499997499</c:v>
                </c:pt>
                <c:pt idx="4398">
                  <c:v>45.812754224534729</c:v>
                </c:pt>
                <c:pt idx="4399">
                  <c:v>45.823170949071958</c:v>
                </c:pt>
                <c:pt idx="4400">
                  <c:v>45.833587673609131</c:v>
                </c:pt>
                <c:pt idx="4401">
                  <c:v>45.844004398146332</c:v>
                </c:pt>
                <c:pt idx="4402">
                  <c:v>45.854421122683533</c:v>
                </c:pt>
                <c:pt idx="4403">
                  <c:v>45.86483784722077</c:v>
                </c:pt>
                <c:pt idx="4404">
                  <c:v>45.875254571757957</c:v>
                </c:pt>
                <c:pt idx="4405">
                  <c:v>45.885671296295172</c:v>
                </c:pt>
                <c:pt idx="4406">
                  <c:v>45.896088020832387</c:v>
                </c:pt>
                <c:pt idx="4407">
                  <c:v>45.906504745369602</c:v>
                </c:pt>
                <c:pt idx="4408">
                  <c:v>45.916921469906789</c:v>
                </c:pt>
                <c:pt idx="4409">
                  <c:v>45.927338194444019</c:v>
                </c:pt>
                <c:pt idx="4410">
                  <c:v>45.937754918981227</c:v>
                </c:pt>
                <c:pt idx="4411">
                  <c:v>45.948171643518442</c:v>
                </c:pt>
                <c:pt idx="4412">
                  <c:v>45.958588368055651</c:v>
                </c:pt>
                <c:pt idx="4413">
                  <c:v>45.969005092592852</c:v>
                </c:pt>
                <c:pt idx="4414">
                  <c:v>45.979421817130053</c:v>
                </c:pt>
                <c:pt idx="4415">
                  <c:v>45.98983854166724</c:v>
                </c:pt>
                <c:pt idx="4416">
                  <c:v>46.000255266204483</c:v>
                </c:pt>
                <c:pt idx="4417">
                  <c:v>46.01067199074167</c:v>
                </c:pt>
                <c:pt idx="4418">
                  <c:v>46.0210887152789</c:v>
                </c:pt>
                <c:pt idx="4419">
                  <c:v>46.031505439816087</c:v>
                </c:pt>
                <c:pt idx="4420">
                  <c:v>46.041922164353288</c:v>
                </c:pt>
                <c:pt idx="4421">
                  <c:v>46.052338888890517</c:v>
                </c:pt>
                <c:pt idx="4422">
                  <c:v>46.062755613427733</c:v>
                </c:pt>
                <c:pt idx="4423">
                  <c:v>46.073172337964948</c:v>
                </c:pt>
                <c:pt idx="4424">
                  <c:v>46.083589062502121</c:v>
                </c:pt>
                <c:pt idx="4425">
                  <c:v>46.09400578703935</c:v>
                </c:pt>
                <c:pt idx="4426">
                  <c:v>46.104422511576537</c:v>
                </c:pt>
                <c:pt idx="4427">
                  <c:v>46.114839236113767</c:v>
                </c:pt>
                <c:pt idx="4428">
                  <c:v>46.125255960650982</c:v>
                </c:pt>
                <c:pt idx="4429">
                  <c:v>46.135672685188183</c:v>
                </c:pt>
                <c:pt idx="4430">
                  <c:v>46.14608940972537</c:v>
                </c:pt>
                <c:pt idx="4431">
                  <c:v>46.156506134262592</c:v>
                </c:pt>
                <c:pt idx="4432">
                  <c:v>46.166922858799808</c:v>
                </c:pt>
                <c:pt idx="4433">
                  <c:v>46.17733958332974</c:v>
                </c:pt>
                <c:pt idx="4434">
                  <c:v>46.187756307866948</c:v>
                </c:pt>
                <c:pt idx="4435">
                  <c:v>46.198173032404178</c:v>
                </c:pt>
                <c:pt idx="4436">
                  <c:v>46.208589756941358</c:v>
                </c:pt>
                <c:pt idx="4437">
                  <c:v>46.219006481478573</c:v>
                </c:pt>
                <c:pt idx="4438">
                  <c:v>46.229423206015781</c:v>
                </c:pt>
                <c:pt idx="4439">
                  <c:v>46.239839930553003</c:v>
                </c:pt>
                <c:pt idx="4440">
                  <c:v>46.250256655090183</c:v>
                </c:pt>
                <c:pt idx="4441">
                  <c:v>46.260673379627413</c:v>
                </c:pt>
                <c:pt idx="4442">
                  <c:v>46.271090104164607</c:v>
                </c:pt>
                <c:pt idx="4443">
                  <c:v>46.281506828701822</c:v>
                </c:pt>
                <c:pt idx="4444">
                  <c:v>46.291923553239023</c:v>
                </c:pt>
                <c:pt idx="4445">
                  <c:v>46.302340277776217</c:v>
                </c:pt>
                <c:pt idx="4446">
                  <c:v>46.312757002313433</c:v>
                </c:pt>
                <c:pt idx="4447">
                  <c:v>46.323173726850662</c:v>
                </c:pt>
                <c:pt idx="4448">
                  <c:v>46.333590451387842</c:v>
                </c:pt>
                <c:pt idx="4449">
                  <c:v>46.34400717592505</c:v>
                </c:pt>
                <c:pt idx="4450">
                  <c:v>46.354423900462258</c:v>
                </c:pt>
                <c:pt idx="4451">
                  <c:v>46.364840624999466</c:v>
                </c:pt>
                <c:pt idx="4452">
                  <c:v>46.375257349536703</c:v>
                </c:pt>
                <c:pt idx="4453">
                  <c:v>46.385674074073897</c:v>
                </c:pt>
                <c:pt idx="4454">
                  <c:v>46.396090798611112</c:v>
                </c:pt>
                <c:pt idx="4455">
                  <c:v>46.406507523148299</c:v>
                </c:pt>
                <c:pt idx="4456">
                  <c:v>46.416924247685508</c:v>
                </c:pt>
                <c:pt idx="4457">
                  <c:v>46.427340972222737</c:v>
                </c:pt>
                <c:pt idx="4458">
                  <c:v>46.437757696759952</c:v>
                </c:pt>
                <c:pt idx="4459">
                  <c:v>46.448174421297132</c:v>
                </c:pt>
                <c:pt idx="4460">
                  <c:v>46.458591145834347</c:v>
                </c:pt>
                <c:pt idx="4461">
                  <c:v>46.46900787037157</c:v>
                </c:pt>
                <c:pt idx="4462">
                  <c:v>46.479424594908778</c:v>
                </c:pt>
                <c:pt idx="4463">
                  <c:v>46.489841319445972</c:v>
                </c:pt>
                <c:pt idx="4464">
                  <c:v>46.500258043983202</c:v>
                </c:pt>
                <c:pt idx="4465">
                  <c:v>46.510674768520403</c:v>
                </c:pt>
                <c:pt idx="4466">
                  <c:v>46.52109149305759</c:v>
                </c:pt>
                <c:pt idx="4467">
                  <c:v>46.531508217594819</c:v>
                </c:pt>
                <c:pt idx="4468">
                  <c:v>46.541924942132027</c:v>
                </c:pt>
                <c:pt idx="4469">
                  <c:v>46.552341666669221</c:v>
                </c:pt>
                <c:pt idx="4470">
                  <c:v>46.562758391206451</c:v>
                </c:pt>
                <c:pt idx="4471">
                  <c:v>46.573175115743638</c:v>
                </c:pt>
                <c:pt idx="4472">
                  <c:v>46.58359184028086</c:v>
                </c:pt>
                <c:pt idx="4473">
                  <c:v>46.594008564818047</c:v>
                </c:pt>
                <c:pt idx="4474">
                  <c:v>46.604425289355277</c:v>
                </c:pt>
                <c:pt idx="4475">
                  <c:v>46.614842013892464</c:v>
                </c:pt>
                <c:pt idx="4476">
                  <c:v>46.625258738422431</c:v>
                </c:pt>
                <c:pt idx="4477">
                  <c:v>46.635675462959632</c:v>
                </c:pt>
                <c:pt idx="4478">
                  <c:v>46.646092187496834</c:v>
                </c:pt>
                <c:pt idx="4479">
                  <c:v>46.656508912034042</c:v>
                </c:pt>
                <c:pt idx="4480">
                  <c:v>46.666925636571271</c:v>
                </c:pt>
                <c:pt idx="4481">
                  <c:v>46.677342361108458</c:v>
                </c:pt>
                <c:pt idx="4482">
                  <c:v>46.687759085645638</c:v>
                </c:pt>
                <c:pt idx="4483">
                  <c:v>46.698175810182903</c:v>
                </c:pt>
                <c:pt idx="4484">
                  <c:v>46.708592534720083</c:v>
                </c:pt>
                <c:pt idx="4485">
                  <c:v>46.71900925925727</c:v>
                </c:pt>
                <c:pt idx="4486">
                  <c:v>46.729425983794499</c:v>
                </c:pt>
                <c:pt idx="4487">
                  <c:v>46.739842708331707</c:v>
                </c:pt>
                <c:pt idx="4488">
                  <c:v>46.750259432868923</c:v>
                </c:pt>
                <c:pt idx="4489">
                  <c:v>46.760676157406117</c:v>
                </c:pt>
                <c:pt idx="4490">
                  <c:v>46.771092881943318</c:v>
                </c:pt>
                <c:pt idx="4491">
                  <c:v>46.78150960648054</c:v>
                </c:pt>
                <c:pt idx="4492">
                  <c:v>46.791926331017748</c:v>
                </c:pt>
                <c:pt idx="4493">
                  <c:v>46.802343055554957</c:v>
                </c:pt>
                <c:pt idx="4494">
                  <c:v>46.812759780092151</c:v>
                </c:pt>
                <c:pt idx="4495">
                  <c:v>46.823176504629373</c:v>
                </c:pt>
                <c:pt idx="4496">
                  <c:v>46.833593229166567</c:v>
                </c:pt>
                <c:pt idx="4497">
                  <c:v>46.844009953703768</c:v>
                </c:pt>
                <c:pt idx="4498">
                  <c:v>46.854426678240962</c:v>
                </c:pt>
                <c:pt idx="4499">
                  <c:v>46.864843402778192</c:v>
                </c:pt>
                <c:pt idx="4500">
                  <c:v>46.8752601273154</c:v>
                </c:pt>
                <c:pt idx="4501">
                  <c:v>46.885676851852587</c:v>
                </c:pt>
                <c:pt idx="4502">
                  <c:v>46.896093576389831</c:v>
                </c:pt>
                <c:pt idx="4503">
                  <c:v>46.906510300927053</c:v>
                </c:pt>
                <c:pt idx="4504">
                  <c:v>46.916927025464233</c:v>
                </c:pt>
                <c:pt idx="4505">
                  <c:v>46.927343750001462</c:v>
                </c:pt>
                <c:pt idx="4506">
                  <c:v>46.937760474538642</c:v>
                </c:pt>
                <c:pt idx="4507">
                  <c:v>46.948177199075872</c:v>
                </c:pt>
                <c:pt idx="4508">
                  <c:v>46.958593923613073</c:v>
                </c:pt>
                <c:pt idx="4509">
                  <c:v>46.969010648150302</c:v>
                </c:pt>
                <c:pt idx="4510">
                  <c:v>46.979427372687482</c:v>
                </c:pt>
                <c:pt idx="4511">
                  <c:v>46.98984409722469</c:v>
                </c:pt>
                <c:pt idx="4512">
                  <c:v>47.000260821761913</c:v>
                </c:pt>
                <c:pt idx="4513">
                  <c:v>47.0106775462991</c:v>
                </c:pt>
                <c:pt idx="4514">
                  <c:v>47.021094270836308</c:v>
                </c:pt>
                <c:pt idx="4515">
                  <c:v>47.031510995373537</c:v>
                </c:pt>
                <c:pt idx="4516">
                  <c:v>47.041927719910753</c:v>
                </c:pt>
                <c:pt idx="4517">
                  <c:v>47.052344444447947</c:v>
                </c:pt>
                <c:pt idx="4518">
                  <c:v>47.0627611689779</c:v>
                </c:pt>
                <c:pt idx="4519">
                  <c:v>47.073177893515101</c:v>
                </c:pt>
                <c:pt idx="4520">
                  <c:v>47.083594618052302</c:v>
                </c:pt>
                <c:pt idx="4521">
                  <c:v>47.094011342589511</c:v>
                </c:pt>
                <c:pt idx="4522">
                  <c:v>47.104428067126697</c:v>
                </c:pt>
                <c:pt idx="4523">
                  <c:v>47.114844791663891</c:v>
                </c:pt>
                <c:pt idx="4524">
                  <c:v>47.125261516201142</c:v>
                </c:pt>
                <c:pt idx="4525">
                  <c:v>47.135678240738351</c:v>
                </c:pt>
                <c:pt idx="4526">
                  <c:v>47.146094965275537</c:v>
                </c:pt>
                <c:pt idx="4527">
                  <c:v>47.156511689812753</c:v>
                </c:pt>
                <c:pt idx="4528">
                  <c:v>47.166928414349968</c:v>
                </c:pt>
                <c:pt idx="4529">
                  <c:v>47.177345138887183</c:v>
                </c:pt>
                <c:pt idx="4530">
                  <c:v>47.18776186342437</c:v>
                </c:pt>
                <c:pt idx="4531">
                  <c:v>47.1981785879616</c:v>
                </c:pt>
                <c:pt idx="4532">
                  <c:v>47.208595312498801</c:v>
                </c:pt>
                <c:pt idx="4533">
                  <c:v>47.219012037036009</c:v>
                </c:pt>
                <c:pt idx="4534">
                  <c:v>47.229428761573217</c:v>
                </c:pt>
                <c:pt idx="4535">
                  <c:v>47.239845486110433</c:v>
                </c:pt>
                <c:pt idx="4536">
                  <c:v>47.25026221064762</c:v>
                </c:pt>
                <c:pt idx="4537">
                  <c:v>47.260678935184863</c:v>
                </c:pt>
                <c:pt idx="4538">
                  <c:v>47.271095659722043</c:v>
                </c:pt>
                <c:pt idx="4539">
                  <c:v>47.281512384259258</c:v>
                </c:pt>
                <c:pt idx="4540">
                  <c:v>47.291929108796452</c:v>
                </c:pt>
                <c:pt idx="4541">
                  <c:v>47.302345833333668</c:v>
                </c:pt>
                <c:pt idx="4542">
                  <c:v>47.312762557870883</c:v>
                </c:pt>
                <c:pt idx="4543">
                  <c:v>47.323179282408098</c:v>
                </c:pt>
                <c:pt idx="4544">
                  <c:v>47.333596006945299</c:v>
                </c:pt>
                <c:pt idx="4545">
                  <c:v>47.344012731482493</c:v>
                </c:pt>
                <c:pt idx="4546">
                  <c:v>47.354429456019687</c:v>
                </c:pt>
                <c:pt idx="4547">
                  <c:v>47.364846180556917</c:v>
                </c:pt>
                <c:pt idx="4548">
                  <c:v>47.375262905094132</c:v>
                </c:pt>
                <c:pt idx="4549">
                  <c:v>47.385679629631319</c:v>
                </c:pt>
                <c:pt idx="4550">
                  <c:v>47.396096354168549</c:v>
                </c:pt>
                <c:pt idx="4551">
                  <c:v>47.406513078705757</c:v>
                </c:pt>
                <c:pt idx="4552">
                  <c:v>47.416929803242937</c:v>
                </c:pt>
                <c:pt idx="4553">
                  <c:v>47.427346527780173</c:v>
                </c:pt>
                <c:pt idx="4554">
                  <c:v>47.43776325231736</c:v>
                </c:pt>
                <c:pt idx="4555">
                  <c:v>47.448179976854597</c:v>
                </c:pt>
                <c:pt idx="4556">
                  <c:v>47.458596701391798</c:v>
                </c:pt>
                <c:pt idx="4557">
                  <c:v>47.469013425929013</c:v>
                </c:pt>
                <c:pt idx="4558">
                  <c:v>47.4794301504662</c:v>
                </c:pt>
                <c:pt idx="4559">
                  <c:v>47.489846875003387</c:v>
                </c:pt>
                <c:pt idx="4560">
                  <c:v>47.50026359954061</c:v>
                </c:pt>
                <c:pt idx="4561">
                  <c:v>47.510680324070563</c:v>
                </c:pt>
                <c:pt idx="4562">
                  <c:v>47.521097048607771</c:v>
                </c:pt>
                <c:pt idx="4563">
                  <c:v>47.531513773144979</c:v>
                </c:pt>
                <c:pt idx="4564">
                  <c:v>47.541930497682159</c:v>
                </c:pt>
                <c:pt idx="4565">
                  <c:v>47.552347222219403</c:v>
                </c:pt>
                <c:pt idx="4566">
                  <c:v>47.562763946756611</c:v>
                </c:pt>
                <c:pt idx="4567">
                  <c:v>47.573180671293791</c:v>
                </c:pt>
                <c:pt idx="4568">
                  <c:v>47.583597395831021</c:v>
                </c:pt>
                <c:pt idx="4569">
                  <c:v>47.594014120368229</c:v>
                </c:pt>
                <c:pt idx="4570">
                  <c:v>47.604430844905451</c:v>
                </c:pt>
                <c:pt idx="4571">
                  <c:v>47.614847569442603</c:v>
                </c:pt>
                <c:pt idx="4572">
                  <c:v>47.62526429397986</c:v>
                </c:pt>
                <c:pt idx="4573">
                  <c:v>47.635681018517047</c:v>
                </c:pt>
                <c:pt idx="4574">
                  <c:v>47.64609774305427</c:v>
                </c:pt>
                <c:pt idx="4575">
                  <c:v>47.656514467591457</c:v>
                </c:pt>
                <c:pt idx="4576">
                  <c:v>47.6669311921287</c:v>
                </c:pt>
                <c:pt idx="4577">
                  <c:v>47.677347916665902</c:v>
                </c:pt>
                <c:pt idx="4578">
                  <c:v>47.687764641203081</c:v>
                </c:pt>
                <c:pt idx="4579">
                  <c:v>47.698181365740297</c:v>
                </c:pt>
                <c:pt idx="4580">
                  <c:v>47.708598090277519</c:v>
                </c:pt>
                <c:pt idx="4581">
                  <c:v>47.719014814814727</c:v>
                </c:pt>
                <c:pt idx="4582">
                  <c:v>47.729431539351943</c:v>
                </c:pt>
                <c:pt idx="4583">
                  <c:v>47.739848263889151</c:v>
                </c:pt>
                <c:pt idx="4584">
                  <c:v>47.750264988426338</c:v>
                </c:pt>
                <c:pt idx="4585">
                  <c:v>47.760681712963553</c:v>
                </c:pt>
                <c:pt idx="4586">
                  <c:v>47.771098437500768</c:v>
                </c:pt>
                <c:pt idx="4587">
                  <c:v>47.781515162037977</c:v>
                </c:pt>
                <c:pt idx="4588">
                  <c:v>47.791931886575199</c:v>
                </c:pt>
                <c:pt idx="4589">
                  <c:v>47.802348611112393</c:v>
                </c:pt>
                <c:pt idx="4590">
                  <c:v>47.812765335649587</c:v>
                </c:pt>
                <c:pt idx="4591">
                  <c:v>47.823182060186809</c:v>
                </c:pt>
                <c:pt idx="4592">
                  <c:v>47.833598784724018</c:v>
                </c:pt>
                <c:pt idx="4593">
                  <c:v>47.844015509261212</c:v>
                </c:pt>
                <c:pt idx="4594">
                  <c:v>47.85443223379842</c:v>
                </c:pt>
                <c:pt idx="4595">
                  <c:v>47.864848958335642</c:v>
                </c:pt>
                <c:pt idx="4596">
                  <c:v>47.87526568287285</c:v>
                </c:pt>
                <c:pt idx="4597">
                  <c:v>47.88568240741003</c:v>
                </c:pt>
                <c:pt idx="4598">
                  <c:v>47.896099131947253</c:v>
                </c:pt>
                <c:pt idx="4599">
                  <c:v>47.906515856484482</c:v>
                </c:pt>
                <c:pt idx="4600">
                  <c:v>47.916932581021683</c:v>
                </c:pt>
                <c:pt idx="4601">
                  <c:v>47.927349305558899</c:v>
                </c:pt>
                <c:pt idx="4602">
                  <c:v>47.937766030096093</c:v>
                </c:pt>
                <c:pt idx="4603">
                  <c:v>47.948182754626018</c:v>
                </c:pt>
                <c:pt idx="4604">
                  <c:v>47.958599479163219</c:v>
                </c:pt>
                <c:pt idx="4605">
                  <c:v>47.969016203700448</c:v>
                </c:pt>
                <c:pt idx="4606">
                  <c:v>47.979432928237657</c:v>
                </c:pt>
                <c:pt idx="4607">
                  <c:v>47.989849652774851</c:v>
                </c:pt>
                <c:pt idx="4608">
                  <c:v>48.000266377312037</c:v>
                </c:pt>
                <c:pt idx="4609">
                  <c:v>48.01068310184926</c:v>
                </c:pt>
                <c:pt idx="4610">
                  <c:v>48.021099826386482</c:v>
                </c:pt>
                <c:pt idx="4611">
                  <c:v>48.031516550923698</c:v>
                </c:pt>
                <c:pt idx="4612">
                  <c:v>48.041933275460913</c:v>
                </c:pt>
                <c:pt idx="4613">
                  <c:v>48.052349999998107</c:v>
                </c:pt>
                <c:pt idx="4614">
                  <c:v>48.062766724535322</c:v>
                </c:pt>
                <c:pt idx="4615">
                  <c:v>48.073183449072523</c:v>
                </c:pt>
                <c:pt idx="4616">
                  <c:v>48.083600173609717</c:v>
                </c:pt>
                <c:pt idx="4617">
                  <c:v>48.094016898146947</c:v>
                </c:pt>
                <c:pt idx="4618">
                  <c:v>48.104433622684162</c:v>
                </c:pt>
                <c:pt idx="4619">
                  <c:v>48.114850347221363</c:v>
                </c:pt>
                <c:pt idx="4620">
                  <c:v>48.12526707175855</c:v>
                </c:pt>
                <c:pt idx="4621">
                  <c:v>48.13568379629578</c:v>
                </c:pt>
                <c:pt idx="4622">
                  <c:v>48.146100520833002</c:v>
                </c:pt>
                <c:pt idx="4623">
                  <c:v>48.156517245370203</c:v>
                </c:pt>
                <c:pt idx="4624">
                  <c:v>48.166933969907411</c:v>
                </c:pt>
                <c:pt idx="4625">
                  <c:v>48.177350694444613</c:v>
                </c:pt>
                <c:pt idx="4626">
                  <c:v>48.187767418981821</c:v>
                </c:pt>
                <c:pt idx="4627">
                  <c:v>48.198184143519029</c:v>
                </c:pt>
                <c:pt idx="4628">
                  <c:v>48.208600868056237</c:v>
                </c:pt>
                <c:pt idx="4629">
                  <c:v>48.219017592593453</c:v>
                </c:pt>
                <c:pt idx="4630">
                  <c:v>48.229434317130661</c:v>
                </c:pt>
                <c:pt idx="4631">
                  <c:v>48.239851041667848</c:v>
                </c:pt>
                <c:pt idx="4632">
                  <c:v>48.250267766205049</c:v>
                </c:pt>
                <c:pt idx="4633">
                  <c:v>48.260684490742243</c:v>
                </c:pt>
                <c:pt idx="4634">
                  <c:v>48.271101215279501</c:v>
                </c:pt>
                <c:pt idx="4635">
                  <c:v>48.281517939816688</c:v>
                </c:pt>
                <c:pt idx="4636">
                  <c:v>48.291934664353903</c:v>
                </c:pt>
                <c:pt idx="4637">
                  <c:v>48.302351388891111</c:v>
                </c:pt>
                <c:pt idx="4638">
                  <c:v>48.312768113428312</c:v>
                </c:pt>
                <c:pt idx="4639">
                  <c:v>48.323184837965528</c:v>
                </c:pt>
                <c:pt idx="4640">
                  <c:v>48.333601562502722</c:v>
                </c:pt>
                <c:pt idx="4641">
                  <c:v>48.344018287039951</c:v>
                </c:pt>
                <c:pt idx="4642">
                  <c:v>48.354435011577152</c:v>
                </c:pt>
                <c:pt idx="4643">
                  <c:v>48.364851736114353</c:v>
                </c:pt>
                <c:pt idx="4644">
                  <c:v>48.37526846065154</c:v>
                </c:pt>
                <c:pt idx="4645">
                  <c:v>48.385685185188777</c:v>
                </c:pt>
                <c:pt idx="4646">
                  <c:v>48.396101909718709</c:v>
                </c:pt>
                <c:pt idx="4647">
                  <c:v>48.406518634255931</c:v>
                </c:pt>
                <c:pt idx="4648">
                  <c:v>48.416935358793133</c:v>
                </c:pt>
                <c:pt idx="4649">
                  <c:v>48.427352083330327</c:v>
                </c:pt>
                <c:pt idx="4650">
                  <c:v>48.437768807867521</c:v>
                </c:pt>
                <c:pt idx="4651">
                  <c:v>48.44818553240475</c:v>
                </c:pt>
                <c:pt idx="4652">
                  <c:v>48.458602256941958</c:v>
                </c:pt>
                <c:pt idx="4653">
                  <c:v>48.469018981479181</c:v>
                </c:pt>
                <c:pt idx="4654">
                  <c:v>48.479435706016368</c:v>
                </c:pt>
                <c:pt idx="4655">
                  <c:v>48.489852430553583</c:v>
                </c:pt>
                <c:pt idx="4656">
                  <c:v>48.50026915509077</c:v>
                </c:pt>
                <c:pt idx="4657">
                  <c:v>48.510685879627992</c:v>
                </c:pt>
                <c:pt idx="4658">
                  <c:v>48.521102604165208</c:v>
                </c:pt>
                <c:pt idx="4659">
                  <c:v>48.531519328702423</c:v>
                </c:pt>
                <c:pt idx="4660">
                  <c:v>48.54193605323961</c:v>
                </c:pt>
                <c:pt idx="4661">
                  <c:v>48.552352777776832</c:v>
                </c:pt>
                <c:pt idx="4662">
                  <c:v>48.56276950231404</c:v>
                </c:pt>
                <c:pt idx="4663">
                  <c:v>48.573186226851249</c:v>
                </c:pt>
                <c:pt idx="4664">
                  <c:v>48.583602951388443</c:v>
                </c:pt>
                <c:pt idx="4665">
                  <c:v>48.594019675925672</c:v>
                </c:pt>
                <c:pt idx="4666">
                  <c:v>48.604436400462873</c:v>
                </c:pt>
                <c:pt idx="4667">
                  <c:v>48.614853125000067</c:v>
                </c:pt>
                <c:pt idx="4668">
                  <c:v>48.625269849537297</c:v>
                </c:pt>
                <c:pt idx="4669">
                  <c:v>48.635686574074498</c:v>
                </c:pt>
                <c:pt idx="4670">
                  <c:v>48.646103298611713</c:v>
                </c:pt>
                <c:pt idx="4671">
                  <c:v>48.656520023148907</c:v>
                </c:pt>
                <c:pt idx="4672">
                  <c:v>48.666936747686123</c:v>
                </c:pt>
                <c:pt idx="4673">
                  <c:v>48.677353472223317</c:v>
                </c:pt>
                <c:pt idx="4674">
                  <c:v>48.687770196760518</c:v>
                </c:pt>
                <c:pt idx="4675">
                  <c:v>48.698186921297747</c:v>
                </c:pt>
                <c:pt idx="4676">
                  <c:v>48.708603645834962</c:v>
                </c:pt>
                <c:pt idx="4677">
                  <c:v>48.719020370372156</c:v>
                </c:pt>
                <c:pt idx="4678">
                  <c:v>48.729437094909372</c:v>
                </c:pt>
                <c:pt idx="4679">
                  <c:v>48.739853819446573</c:v>
                </c:pt>
                <c:pt idx="4680">
                  <c:v>48.750270543983802</c:v>
                </c:pt>
                <c:pt idx="4681">
                  <c:v>48.760687268521004</c:v>
                </c:pt>
                <c:pt idx="4682">
                  <c:v>48.771103993058212</c:v>
                </c:pt>
                <c:pt idx="4683">
                  <c:v>48.781520717595413</c:v>
                </c:pt>
                <c:pt idx="4684">
                  <c:v>48.791937442132621</c:v>
                </c:pt>
                <c:pt idx="4685">
                  <c:v>48.802354166669829</c:v>
                </c:pt>
                <c:pt idx="4686">
                  <c:v>48.812770891207023</c:v>
                </c:pt>
                <c:pt idx="4687">
                  <c:v>48.823187615744231</c:v>
                </c:pt>
                <c:pt idx="4688">
                  <c:v>48.833604340274178</c:v>
                </c:pt>
                <c:pt idx="4689">
                  <c:v>48.844021064811358</c:v>
                </c:pt>
                <c:pt idx="4690">
                  <c:v>48.854437789348559</c:v>
                </c:pt>
                <c:pt idx="4691">
                  <c:v>48.864854513885803</c:v>
                </c:pt>
                <c:pt idx="4692">
                  <c:v>48.875271238423011</c:v>
                </c:pt>
                <c:pt idx="4693">
                  <c:v>48.885687962960191</c:v>
                </c:pt>
                <c:pt idx="4694">
                  <c:v>48.896104687497413</c:v>
                </c:pt>
                <c:pt idx="4695">
                  <c:v>48.906521412034621</c:v>
                </c:pt>
                <c:pt idx="4696">
                  <c:v>48.916938136571872</c:v>
                </c:pt>
                <c:pt idx="4697">
                  <c:v>48.927354861109052</c:v>
                </c:pt>
                <c:pt idx="4698">
                  <c:v>48.937771585646217</c:v>
                </c:pt>
                <c:pt idx="4699">
                  <c:v>48.948188310183468</c:v>
                </c:pt>
                <c:pt idx="4700">
                  <c:v>48.958605034720676</c:v>
                </c:pt>
                <c:pt idx="4701">
                  <c:v>48.96902175925787</c:v>
                </c:pt>
                <c:pt idx="4702">
                  <c:v>48.979438483795093</c:v>
                </c:pt>
                <c:pt idx="4703">
                  <c:v>48.989855208332287</c:v>
                </c:pt>
                <c:pt idx="4704">
                  <c:v>49.000271932869509</c:v>
                </c:pt>
                <c:pt idx="4705">
                  <c:v>49.010688657406689</c:v>
                </c:pt>
                <c:pt idx="4706">
                  <c:v>49.021105381943933</c:v>
                </c:pt>
                <c:pt idx="4707">
                  <c:v>49.031522106481141</c:v>
                </c:pt>
                <c:pt idx="4708">
                  <c:v>49.041938831018342</c:v>
                </c:pt>
                <c:pt idx="4709">
                  <c:v>49.05235555555555</c:v>
                </c:pt>
                <c:pt idx="4710">
                  <c:v>49.062772280092759</c:v>
                </c:pt>
                <c:pt idx="4711">
                  <c:v>49.073189004629967</c:v>
                </c:pt>
                <c:pt idx="4712">
                  <c:v>49.083605729167168</c:v>
                </c:pt>
                <c:pt idx="4713">
                  <c:v>49.094022453704362</c:v>
                </c:pt>
                <c:pt idx="4714">
                  <c:v>49.10443917824157</c:v>
                </c:pt>
                <c:pt idx="4715">
                  <c:v>49.1148559027788</c:v>
                </c:pt>
                <c:pt idx="4716">
                  <c:v>49.125272627316008</c:v>
                </c:pt>
                <c:pt idx="4717">
                  <c:v>49.135689351853202</c:v>
                </c:pt>
                <c:pt idx="4718">
                  <c:v>49.146106076390417</c:v>
                </c:pt>
                <c:pt idx="4719">
                  <c:v>49.156522800927632</c:v>
                </c:pt>
                <c:pt idx="4720">
                  <c:v>49.166939525464841</c:v>
                </c:pt>
                <c:pt idx="4721">
                  <c:v>49.177356250002049</c:v>
                </c:pt>
                <c:pt idx="4722">
                  <c:v>49.187772974539257</c:v>
                </c:pt>
                <c:pt idx="4723">
                  <c:v>49.198189699076472</c:v>
                </c:pt>
                <c:pt idx="4724">
                  <c:v>49.208606423613659</c:v>
                </c:pt>
                <c:pt idx="4725">
                  <c:v>49.219023148150882</c:v>
                </c:pt>
                <c:pt idx="4726">
                  <c:v>49.229439872688097</c:v>
                </c:pt>
                <c:pt idx="4727">
                  <c:v>49.239856597225298</c:v>
                </c:pt>
                <c:pt idx="4728">
                  <c:v>49.250273321762492</c:v>
                </c:pt>
                <c:pt idx="4729">
                  <c:v>49.260690046299722</c:v>
                </c:pt>
                <c:pt idx="4730">
                  <c:v>49.271106770836923</c:v>
                </c:pt>
                <c:pt idx="4731">
                  <c:v>49.281523495366841</c:v>
                </c:pt>
                <c:pt idx="4732">
                  <c:v>49.291940219904063</c:v>
                </c:pt>
                <c:pt idx="4733">
                  <c:v>49.302356944441271</c:v>
                </c:pt>
                <c:pt idx="4734">
                  <c:v>49.31277366897848</c:v>
                </c:pt>
                <c:pt idx="4735">
                  <c:v>49.323190393515702</c:v>
                </c:pt>
                <c:pt idx="4736">
                  <c:v>49.333607118052903</c:v>
                </c:pt>
                <c:pt idx="4737">
                  <c:v>49.344023842590097</c:v>
                </c:pt>
                <c:pt idx="4738">
                  <c:v>49.354440567127277</c:v>
                </c:pt>
                <c:pt idx="4739">
                  <c:v>49.364857291664492</c:v>
                </c:pt>
                <c:pt idx="4740">
                  <c:v>49.375274016201729</c:v>
                </c:pt>
                <c:pt idx="4741">
                  <c:v>49.385690740738937</c:v>
                </c:pt>
                <c:pt idx="4742">
                  <c:v>49.396107465276131</c:v>
                </c:pt>
                <c:pt idx="4743">
                  <c:v>49.406524189813339</c:v>
                </c:pt>
                <c:pt idx="4744">
                  <c:v>49.416940914350548</c:v>
                </c:pt>
                <c:pt idx="4745">
                  <c:v>49.42735763888777</c:v>
                </c:pt>
                <c:pt idx="4746">
                  <c:v>49.437774363424978</c:v>
                </c:pt>
                <c:pt idx="4747">
                  <c:v>49.448191087962172</c:v>
                </c:pt>
                <c:pt idx="4748">
                  <c:v>49.458607812499388</c:v>
                </c:pt>
                <c:pt idx="4749">
                  <c:v>49.469024537036582</c:v>
                </c:pt>
                <c:pt idx="4750">
                  <c:v>49.479441261573797</c:v>
                </c:pt>
                <c:pt idx="4751">
                  <c:v>49.489857986111012</c:v>
                </c:pt>
                <c:pt idx="4752">
                  <c:v>49.500274710648213</c:v>
                </c:pt>
                <c:pt idx="4753">
                  <c:v>49.510691435185421</c:v>
                </c:pt>
                <c:pt idx="4754">
                  <c:v>49.521108159722637</c:v>
                </c:pt>
                <c:pt idx="4755">
                  <c:v>49.531524884259852</c:v>
                </c:pt>
                <c:pt idx="4756">
                  <c:v>49.541941608797039</c:v>
                </c:pt>
                <c:pt idx="4757">
                  <c:v>49.552358333334269</c:v>
                </c:pt>
                <c:pt idx="4758">
                  <c:v>49.562775057871477</c:v>
                </c:pt>
                <c:pt idx="4759">
                  <c:v>49.573191782408678</c:v>
                </c:pt>
                <c:pt idx="4760">
                  <c:v>49.5836085069459</c:v>
                </c:pt>
                <c:pt idx="4761">
                  <c:v>49.594025231483101</c:v>
                </c:pt>
                <c:pt idx="4762">
                  <c:v>49.604441956020302</c:v>
                </c:pt>
                <c:pt idx="4763">
                  <c:v>49.614858680557496</c:v>
                </c:pt>
                <c:pt idx="4764">
                  <c:v>49.625275405094733</c:v>
                </c:pt>
                <c:pt idx="4765">
                  <c:v>49.635692129631941</c:v>
                </c:pt>
                <c:pt idx="4766">
                  <c:v>49.646108854169142</c:v>
                </c:pt>
                <c:pt idx="4767">
                  <c:v>49.656525578706344</c:v>
                </c:pt>
                <c:pt idx="4768">
                  <c:v>49.666942303243538</c:v>
                </c:pt>
                <c:pt idx="4769">
                  <c:v>49.677359027780767</c:v>
                </c:pt>
                <c:pt idx="4770">
                  <c:v>49.687775752317982</c:v>
                </c:pt>
                <c:pt idx="4771">
                  <c:v>49.698192476855198</c:v>
                </c:pt>
                <c:pt idx="4772">
                  <c:v>49.70860920139237</c:v>
                </c:pt>
                <c:pt idx="4773">
                  <c:v>49.719025925922331</c:v>
                </c:pt>
                <c:pt idx="4774">
                  <c:v>49.729442650459532</c:v>
                </c:pt>
                <c:pt idx="4775">
                  <c:v>49.73985937499674</c:v>
                </c:pt>
                <c:pt idx="4776">
                  <c:v>49.750276099533949</c:v>
                </c:pt>
                <c:pt idx="4777">
                  <c:v>49.760692824071178</c:v>
                </c:pt>
                <c:pt idx="4778">
                  <c:v>49.771109548608358</c:v>
                </c:pt>
                <c:pt idx="4779">
                  <c:v>49.781526273145573</c:v>
                </c:pt>
                <c:pt idx="4780">
                  <c:v>49.791942997682781</c:v>
                </c:pt>
                <c:pt idx="4781">
                  <c:v>49.802359722219997</c:v>
                </c:pt>
                <c:pt idx="4782">
                  <c:v>49.812776446757198</c:v>
                </c:pt>
                <c:pt idx="4783">
                  <c:v>49.823193171294392</c:v>
                </c:pt>
                <c:pt idx="4784">
                  <c:v>49.8336098958316</c:v>
                </c:pt>
                <c:pt idx="4785">
                  <c:v>49.844026620368822</c:v>
                </c:pt>
                <c:pt idx="4786">
                  <c:v>49.854443344906016</c:v>
                </c:pt>
                <c:pt idx="4787">
                  <c:v>49.864860069443203</c:v>
                </c:pt>
                <c:pt idx="4788">
                  <c:v>49.875276793980447</c:v>
                </c:pt>
                <c:pt idx="4789">
                  <c:v>49.885693518517641</c:v>
                </c:pt>
                <c:pt idx="4790">
                  <c:v>49.896110243054878</c:v>
                </c:pt>
                <c:pt idx="4791">
                  <c:v>49.90652696759205</c:v>
                </c:pt>
                <c:pt idx="4792">
                  <c:v>49.91694369212928</c:v>
                </c:pt>
                <c:pt idx="4793">
                  <c:v>49.92736041666646</c:v>
                </c:pt>
                <c:pt idx="4794">
                  <c:v>49.937777141203682</c:v>
                </c:pt>
                <c:pt idx="4795">
                  <c:v>49.948193865740897</c:v>
                </c:pt>
                <c:pt idx="4796">
                  <c:v>49.958610590278113</c:v>
                </c:pt>
                <c:pt idx="4797">
                  <c:v>49.969027314815321</c:v>
                </c:pt>
                <c:pt idx="4798">
                  <c:v>49.979444039352487</c:v>
                </c:pt>
                <c:pt idx="4799">
                  <c:v>49.989860763889723</c:v>
                </c:pt>
                <c:pt idx="4800">
                  <c:v>50.000277488426953</c:v>
                </c:pt>
                <c:pt idx="4801">
                  <c:v>50.010694212964147</c:v>
                </c:pt>
                <c:pt idx="4802">
                  <c:v>50.021110937501362</c:v>
                </c:pt>
                <c:pt idx="4803">
                  <c:v>50.031527662038549</c:v>
                </c:pt>
                <c:pt idx="4804">
                  <c:v>50.041944386575778</c:v>
                </c:pt>
                <c:pt idx="4805">
                  <c:v>50.052361111112972</c:v>
                </c:pt>
                <c:pt idx="4806">
                  <c:v>50.062777835650202</c:v>
                </c:pt>
                <c:pt idx="4807">
                  <c:v>50.073194560187403</c:v>
                </c:pt>
                <c:pt idx="4808">
                  <c:v>50.083611284724597</c:v>
                </c:pt>
                <c:pt idx="4809">
                  <c:v>50.09402800926182</c:v>
                </c:pt>
                <c:pt idx="4810">
                  <c:v>50.104444733799014</c:v>
                </c:pt>
                <c:pt idx="4811">
                  <c:v>50.114861458336193</c:v>
                </c:pt>
                <c:pt idx="4812">
                  <c:v>50.125278182873451</c:v>
                </c:pt>
                <c:pt idx="4813">
                  <c:v>50.135694907410652</c:v>
                </c:pt>
                <c:pt idx="4814">
                  <c:v>50.146111631947861</c:v>
                </c:pt>
                <c:pt idx="4815">
                  <c:v>50.156528356485069</c:v>
                </c:pt>
                <c:pt idx="4816">
                  <c:v>50.166945081015001</c:v>
                </c:pt>
                <c:pt idx="4817">
                  <c:v>50.177361805552202</c:v>
                </c:pt>
                <c:pt idx="4818">
                  <c:v>50.187778530089417</c:v>
                </c:pt>
                <c:pt idx="4819">
                  <c:v>50.198195254626633</c:v>
                </c:pt>
                <c:pt idx="4820">
                  <c:v>50.208611979163841</c:v>
                </c:pt>
                <c:pt idx="4821">
                  <c:v>50.219028703701042</c:v>
                </c:pt>
                <c:pt idx="4822">
                  <c:v>50.22944542823825</c:v>
                </c:pt>
                <c:pt idx="4823">
                  <c:v>50.239862152775459</c:v>
                </c:pt>
                <c:pt idx="4824">
                  <c:v>50.250278877312638</c:v>
                </c:pt>
                <c:pt idx="4825">
                  <c:v>50.260695601849882</c:v>
                </c:pt>
                <c:pt idx="4826">
                  <c:v>50.271112326387097</c:v>
                </c:pt>
                <c:pt idx="4827">
                  <c:v>50.281529050924298</c:v>
                </c:pt>
                <c:pt idx="4828">
                  <c:v>50.2919457754615</c:v>
                </c:pt>
                <c:pt idx="4829">
                  <c:v>50.302362499998708</c:v>
                </c:pt>
                <c:pt idx="4830">
                  <c:v>50.31277922453593</c:v>
                </c:pt>
                <c:pt idx="4831">
                  <c:v>50.323195949073131</c:v>
                </c:pt>
                <c:pt idx="4832">
                  <c:v>50.333612673610311</c:v>
                </c:pt>
                <c:pt idx="4833">
                  <c:v>50.344029398147519</c:v>
                </c:pt>
                <c:pt idx="4834">
                  <c:v>50.354446122684728</c:v>
                </c:pt>
                <c:pt idx="4835">
                  <c:v>50.364862847221957</c:v>
                </c:pt>
                <c:pt idx="4836">
                  <c:v>50.375279571759151</c:v>
                </c:pt>
                <c:pt idx="4837">
                  <c:v>50.385696296296338</c:v>
                </c:pt>
                <c:pt idx="4838">
                  <c:v>50.396113020833582</c:v>
                </c:pt>
                <c:pt idx="4839">
                  <c:v>50.406529745370797</c:v>
                </c:pt>
                <c:pt idx="4840">
                  <c:v>50.416946469907977</c:v>
                </c:pt>
                <c:pt idx="4841">
                  <c:v>50.427363194445213</c:v>
                </c:pt>
                <c:pt idx="4842">
                  <c:v>50.437779918982407</c:v>
                </c:pt>
                <c:pt idx="4843">
                  <c:v>50.448196643519623</c:v>
                </c:pt>
                <c:pt idx="4844">
                  <c:v>50.458613368056831</c:v>
                </c:pt>
                <c:pt idx="4845">
                  <c:v>50.469030092594039</c:v>
                </c:pt>
                <c:pt idx="4846">
                  <c:v>50.479446817131247</c:v>
                </c:pt>
                <c:pt idx="4847">
                  <c:v>50.489863541668427</c:v>
                </c:pt>
                <c:pt idx="4848">
                  <c:v>50.50028026620565</c:v>
                </c:pt>
                <c:pt idx="4849">
                  <c:v>50.510696990742851</c:v>
                </c:pt>
                <c:pt idx="4850">
                  <c:v>50.52111371528008</c:v>
                </c:pt>
                <c:pt idx="4851">
                  <c:v>50.531530439817267</c:v>
                </c:pt>
                <c:pt idx="4852">
                  <c:v>50.541947164354482</c:v>
                </c:pt>
                <c:pt idx="4853">
                  <c:v>50.552363888891712</c:v>
                </c:pt>
                <c:pt idx="4854">
                  <c:v>50.562780613428913</c:v>
                </c:pt>
                <c:pt idx="4855">
                  <c:v>50.573197337966121</c:v>
                </c:pt>
                <c:pt idx="4856">
                  <c:v>50.583614062503322</c:v>
                </c:pt>
                <c:pt idx="4857">
                  <c:v>50.594030787040523</c:v>
                </c:pt>
                <c:pt idx="4858">
                  <c:v>50.604447511570449</c:v>
                </c:pt>
                <c:pt idx="4859">
                  <c:v>50.614864236107657</c:v>
                </c:pt>
                <c:pt idx="4860">
                  <c:v>50.625280960644901</c:v>
                </c:pt>
                <c:pt idx="4861">
                  <c:v>50.635697685182087</c:v>
                </c:pt>
                <c:pt idx="4862">
                  <c:v>50.646114409719303</c:v>
                </c:pt>
                <c:pt idx="4863">
                  <c:v>50.656531134256497</c:v>
                </c:pt>
                <c:pt idx="4864">
                  <c:v>50.666947858793698</c:v>
                </c:pt>
                <c:pt idx="4865">
                  <c:v>50.677364583330913</c:v>
                </c:pt>
                <c:pt idx="4866">
                  <c:v>50.687781307868121</c:v>
                </c:pt>
                <c:pt idx="4867">
                  <c:v>50.698198032405372</c:v>
                </c:pt>
                <c:pt idx="4868">
                  <c:v>50.708614756942538</c:v>
                </c:pt>
                <c:pt idx="4869">
                  <c:v>50.71903148147976</c:v>
                </c:pt>
                <c:pt idx="4870">
                  <c:v>50.729448206016968</c:v>
                </c:pt>
                <c:pt idx="4871">
                  <c:v>50.739864930554177</c:v>
                </c:pt>
                <c:pt idx="4872">
                  <c:v>50.750281655091356</c:v>
                </c:pt>
                <c:pt idx="4873">
                  <c:v>50.7606983796286</c:v>
                </c:pt>
                <c:pt idx="4874">
                  <c:v>50.771115104165801</c:v>
                </c:pt>
                <c:pt idx="4875">
                  <c:v>50.78153182870301</c:v>
                </c:pt>
                <c:pt idx="4876">
                  <c:v>50.791948553240189</c:v>
                </c:pt>
                <c:pt idx="4877">
                  <c:v>50.802365277777433</c:v>
                </c:pt>
                <c:pt idx="4878">
                  <c:v>50.81278200231462</c:v>
                </c:pt>
                <c:pt idx="4879">
                  <c:v>50.823198726851857</c:v>
                </c:pt>
                <c:pt idx="4880">
                  <c:v>50.833615451389043</c:v>
                </c:pt>
                <c:pt idx="4881">
                  <c:v>50.844032175926237</c:v>
                </c:pt>
                <c:pt idx="4882">
                  <c:v>50.854448900463439</c:v>
                </c:pt>
                <c:pt idx="4883">
                  <c:v>50.864865625000661</c:v>
                </c:pt>
                <c:pt idx="4884">
                  <c:v>50.875282349537883</c:v>
                </c:pt>
                <c:pt idx="4885">
                  <c:v>50.885699074075099</c:v>
                </c:pt>
                <c:pt idx="4886">
                  <c:v>50.8961157986123</c:v>
                </c:pt>
                <c:pt idx="4887">
                  <c:v>50.906532523149508</c:v>
                </c:pt>
                <c:pt idx="4888">
                  <c:v>50.916949247686702</c:v>
                </c:pt>
                <c:pt idx="4889">
                  <c:v>50.927365972223932</c:v>
                </c:pt>
                <c:pt idx="4890">
                  <c:v>50.937782696761133</c:v>
                </c:pt>
                <c:pt idx="4891">
                  <c:v>50.94819942129832</c:v>
                </c:pt>
                <c:pt idx="4892">
                  <c:v>50.958616145835549</c:v>
                </c:pt>
                <c:pt idx="4893">
                  <c:v>50.969032870372757</c:v>
                </c:pt>
                <c:pt idx="4894">
                  <c:v>50.979449594909973</c:v>
                </c:pt>
                <c:pt idx="4895">
                  <c:v>50.98986631944716</c:v>
                </c:pt>
                <c:pt idx="4896">
                  <c:v>51.000283043984368</c:v>
                </c:pt>
                <c:pt idx="4897">
                  <c:v>51.010699768521597</c:v>
                </c:pt>
                <c:pt idx="4898">
                  <c:v>51.021116493058798</c:v>
                </c:pt>
                <c:pt idx="4899">
                  <c:v>51.031533217596007</c:v>
                </c:pt>
                <c:pt idx="4900">
                  <c:v>51.041949942133208</c:v>
                </c:pt>
                <c:pt idx="4901">
                  <c:v>51.052366666663133</c:v>
                </c:pt>
                <c:pt idx="4902">
                  <c:v>51.062783391200362</c:v>
                </c:pt>
                <c:pt idx="4903">
                  <c:v>51.073200115737542</c:v>
                </c:pt>
                <c:pt idx="4904">
                  <c:v>51.083616840274772</c:v>
                </c:pt>
                <c:pt idx="4905">
                  <c:v>51.09403356481198</c:v>
                </c:pt>
                <c:pt idx="4906">
                  <c:v>51.104450289349167</c:v>
                </c:pt>
                <c:pt idx="4907">
                  <c:v>51.114867013886361</c:v>
                </c:pt>
                <c:pt idx="4908">
                  <c:v>51.125283738423612</c:v>
                </c:pt>
                <c:pt idx="4909">
                  <c:v>51.135700462960813</c:v>
                </c:pt>
                <c:pt idx="4910">
                  <c:v>51.146117187498021</c:v>
                </c:pt>
                <c:pt idx="4911">
                  <c:v>51.156533912035229</c:v>
                </c:pt>
                <c:pt idx="4912">
                  <c:v>51.166950636572452</c:v>
                </c:pt>
                <c:pt idx="4913">
                  <c:v>51.177367361109653</c:v>
                </c:pt>
                <c:pt idx="4914">
                  <c:v>51.187784085646832</c:v>
                </c:pt>
                <c:pt idx="4915">
                  <c:v>51.198200810184062</c:v>
                </c:pt>
                <c:pt idx="4916">
                  <c:v>51.20861753472127</c:v>
                </c:pt>
                <c:pt idx="4917">
                  <c:v>51.219034259258457</c:v>
                </c:pt>
                <c:pt idx="4918">
                  <c:v>51.229450983795701</c:v>
                </c:pt>
                <c:pt idx="4919">
                  <c:v>51.239867708332888</c:v>
                </c:pt>
                <c:pt idx="4920">
                  <c:v>51.250284432870103</c:v>
                </c:pt>
                <c:pt idx="4921">
                  <c:v>51.260701157407297</c:v>
                </c:pt>
                <c:pt idx="4922">
                  <c:v>51.271117881944512</c:v>
                </c:pt>
                <c:pt idx="4923">
                  <c:v>51.281534606481728</c:v>
                </c:pt>
                <c:pt idx="4924">
                  <c:v>51.29195133101895</c:v>
                </c:pt>
                <c:pt idx="4925">
                  <c:v>51.302368055556137</c:v>
                </c:pt>
                <c:pt idx="4926">
                  <c:v>51.312784780093331</c:v>
                </c:pt>
                <c:pt idx="4927">
                  <c:v>51.323201504630539</c:v>
                </c:pt>
                <c:pt idx="4928">
                  <c:v>51.333618229167769</c:v>
                </c:pt>
                <c:pt idx="4929">
                  <c:v>51.344034953704963</c:v>
                </c:pt>
                <c:pt idx="4930">
                  <c:v>51.354451678242143</c:v>
                </c:pt>
                <c:pt idx="4931">
                  <c:v>51.364868402779393</c:v>
                </c:pt>
                <c:pt idx="4932">
                  <c:v>51.37528512731658</c:v>
                </c:pt>
                <c:pt idx="4933">
                  <c:v>51.385701851853803</c:v>
                </c:pt>
                <c:pt idx="4934">
                  <c:v>51.396118576391018</c:v>
                </c:pt>
                <c:pt idx="4935">
                  <c:v>51.406535300928248</c:v>
                </c:pt>
                <c:pt idx="4936">
                  <c:v>51.416952025465427</c:v>
                </c:pt>
                <c:pt idx="4937">
                  <c:v>51.427368750002643</c:v>
                </c:pt>
                <c:pt idx="4938">
                  <c:v>51.437785474539851</c:v>
                </c:pt>
                <c:pt idx="4939">
                  <c:v>51.448202199077059</c:v>
                </c:pt>
                <c:pt idx="4940">
                  <c:v>51.458618923614253</c:v>
                </c:pt>
                <c:pt idx="4941">
                  <c:v>51.469035648151483</c:v>
                </c:pt>
                <c:pt idx="4942">
                  <c:v>51.479452372688677</c:v>
                </c:pt>
                <c:pt idx="4943">
                  <c:v>51.489869097218573</c:v>
                </c:pt>
                <c:pt idx="4944">
                  <c:v>51.500285821755831</c:v>
                </c:pt>
                <c:pt idx="4945">
                  <c:v>51.510702546293032</c:v>
                </c:pt>
                <c:pt idx="4946">
                  <c:v>51.521119270830241</c:v>
                </c:pt>
                <c:pt idx="4947">
                  <c:v>51.531535995367449</c:v>
                </c:pt>
                <c:pt idx="4948">
                  <c:v>51.541952719904657</c:v>
                </c:pt>
                <c:pt idx="4949">
                  <c:v>51.552369444441872</c:v>
                </c:pt>
                <c:pt idx="4950">
                  <c:v>51.562786168979081</c:v>
                </c:pt>
                <c:pt idx="4951">
                  <c:v>51.573202893516267</c:v>
                </c:pt>
                <c:pt idx="4952">
                  <c:v>51.58361961805349</c:v>
                </c:pt>
                <c:pt idx="4953">
                  <c:v>51.594036342590698</c:v>
                </c:pt>
                <c:pt idx="4954">
                  <c:v>51.604453067127913</c:v>
                </c:pt>
                <c:pt idx="4955">
                  <c:v>51.614869791665093</c:v>
                </c:pt>
                <c:pt idx="4956">
                  <c:v>51.625286516202323</c:v>
                </c:pt>
                <c:pt idx="4957">
                  <c:v>51.635703240739531</c:v>
                </c:pt>
                <c:pt idx="4958">
                  <c:v>51.646119965276739</c:v>
                </c:pt>
                <c:pt idx="4959">
                  <c:v>51.656536689813947</c:v>
                </c:pt>
                <c:pt idx="4960">
                  <c:v>51.666953414351163</c:v>
                </c:pt>
                <c:pt idx="4961">
                  <c:v>51.677370138888371</c:v>
                </c:pt>
                <c:pt idx="4962">
                  <c:v>51.687786863425551</c:v>
                </c:pt>
                <c:pt idx="4963">
                  <c:v>51.69820358796278</c:v>
                </c:pt>
                <c:pt idx="4964">
                  <c:v>51.708620312500003</c:v>
                </c:pt>
                <c:pt idx="4965">
                  <c:v>51.719037037037197</c:v>
                </c:pt>
                <c:pt idx="4966">
                  <c:v>51.729453761574412</c:v>
                </c:pt>
                <c:pt idx="4967">
                  <c:v>51.739870486111613</c:v>
                </c:pt>
                <c:pt idx="4968">
                  <c:v>51.7502872106488</c:v>
                </c:pt>
                <c:pt idx="4969">
                  <c:v>51.760703935186029</c:v>
                </c:pt>
                <c:pt idx="4970">
                  <c:v>51.771120659723223</c:v>
                </c:pt>
                <c:pt idx="4971">
                  <c:v>51.781537384260453</c:v>
                </c:pt>
                <c:pt idx="4972">
                  <c:v>51.791954108797647</c:v>
                </c:pt>
                <c:pt idx="4973">
                  <c:v>51.802370833334862</c:v>
                </c:pt>
                <c:pt idx="4974">
                  <c:v>51.812787557872042</c:v>
                </c:pt>
                <c:pt idx="4975">
                  <c:v>51.823204282409279</c:v>
                </c:pt>
                <c:pt idx="4976">
                  <c:v>51.833621006946458</c:v>
                </c:pt>
                <c:pt idx="4977">
                  <c:v>51.844037731483681</c:v>
                </c:pt>
                <c:pt idx="4978">
                  <c:v>51.854454456020882</c:v>
                </c:pt>
                <c:pt idx="4979">
                  <c:v>51.864871180558097</c:v>
                </c:pt>
                <c:pt idx="4980">
                  <c:v>51.875287905095298</c:v>
                </c:pt>
                <c:pt idx="4981">
                  <c:v>51.885704629632492</c:v>
                </c:pt>
                <c:pt idx="4982">
                  <c:v>51.89612135416975</c:v>
                </c:pt>
                <c:pt idx="4983">
                  <c:v>51.906538078706951</c:v>
                </c:pt>
                <c:pt idx="4984">
                  <c:v>51.916954803244131</c:v>
                </c:pt>
                <c:pt idx="4985">
                  <c:v>51.927371527781347</c:v>
                </c:pt>
                <c:pt idx="4986">
                  <c:v>51.937788252311293</c:v>
                </c:pt>
                <c:pt idx="4987">
                  <c:v>51.948204976848487</c:v>
                </c:pt>
                <c:pt idx="4988">
                  <c:v>51.958621701385702</c:v>
                </c:pt>
                <c:pt idx="4989">
                  <c:v>51.969038425922918</c:v>
                </c:pt>
                <c:pt idx="4990">
                  <c:v>51.979455150460133</c:v>
                </c:pt>
                <c:pt idx="4991">
                  <c:v>51.98987187499732</c:v>
                </c:pt>
                <c:pt idx="4992">
                  <c:v>52.000288599534542</c:v>
                </c:pt>
                <c:pt idx="4993">
                  <c:v>52.010705324071772</c:v>
                </c:pt>
                <c:pt idx="4994">
                  <c:v>52.021122048608959</c:v>
                </c:pt>
                <c:pt idx="4995">
                  <c:v>52.031538773146153</c:v>
                </c:pt>
                <c:pt idx="4996">
                  <c:v>52.041955497683361</c:v>
                </c:pt>
                <c:pt idx="4997">
                  <c:v>52.052372222220583</c:v>
                </c:pt>
                <c:pt idx="4998">
                  <c:v>52.062788946757799</c:v>
                </c:pt>
                <c:pt idx="4999">
                  <c:v>52.073205671294993</c:v>
                </c:pt>
                <c:pt idx="5000">
                  <c:v>52.083622395832187</c:v>
                </c:pt>
                <c:pt idx="5001">
                  <c:v>52.094039120369423</c:v>
                </c:pt>
                <c:pt idx="5002">
                  <c:v>52.104455844906632</c:v>
                </c:pt>
                <c:pt idx="5003">
                  <c:v>52.114872569443811</c:v>
                </c:pt>
                <c:pt idx="5004">
                  <c:v>52.125289293981041</c:v>
                </c:pt>
                <c:pt idx="5005">
                  <c:v>52.135706018518249</c:v>
                </c:pt>
                <c:pt idx="5006">
                  <c:v>52.146122743055457</c:v>
                </c:pt>
                <c:pt idx="5007">
                  <c:v>52.156539467592637</c:v>
                </c:pt>
                <c:pt idx="5008">
                  <c:v>52.166956192129902</c:v>
                </c:pt>
                <c:pt idx="5009">
                  <c:v>52.177372916667082</c:v>
                </c:pt>
                <c:pt idx="5010">
                  <c:v>52.187789641204269</c:v>
                </c:pt>
                <c:pt idx="5011">
                  <c:v>52.198206365741498</c:v>
                </c:pt>
                <c:pt idx="5012">
                  <c:v>52.208623090278707</c:v>
                </c:pt>
                <c:pt idx="5013">
                  <c:v>52.219039814815922</c:v>
                </c:pt>
                <c:pt idx="5014">
                  <c:v>52.229456539353123</c:v>
                </c:pt>
                <c:pt idx="5015">
                  <c:v>52.239873263890317</c:v>
                </c:pt>
                <c:pt idx="5016">
                  <c:v>52.250289988427532</c:v>
                </c:pt>
                <c:pt idx="5017">
                  <c:v>52.260706712964762</c:v>
                </c:pt>
                <c:pt idx="5018">
                  <c:v>52.271123437501963</c:v>
                </c:pt>
                <c:pt idx="5019">
                  <c:v>52.281540162039157</c:v>
                </c:pt>
                <c:pt idx="5020">
                  <c:v>52.291956886576372</c:v>
                </c:pt>
                <c:pt idx="5021">
                  <c:v>52.302373611113573</c:v>
                </c:pt>
                <c:pt idx="5022">
                  <c:v>52.312790335650803</c:v>
                </c:pt>
                <c:pt idx="5023">
                  <c:v>52.323207060187997</c:v>
                </c:pt>
                <c:pt idx="5024">
                  <c:v>52.333623784725198</c:v>
                </c:pt>
                <c:pt idx="5025">
                  <c:v>52.344040509262364</c:v>
                </c:pt>
                <c:pt idx="5026">
                  <c:v>52.354457233799593</c:v>
                </c:pt>
                <c:pt idx="5027">
                  <c:v>52.364873958336823</c:v>
                </c:pt>
                <c:pt idx="5028">
                  <c:v>52.375290682866748</c:v>
                </c:pt>
                <c:pt idx="5029">
                  <c:v>52.385707407403949</c:v>
                </c:pt>
                <c:pt idx="5030">
                  <c:v>52.396124131941178</c:v>
                </c:pt>
                <c:pt idx="5031">
                  <c:v>52.406540856478401</c:v>
                </c:pt>
                <c:pt idx="5032">
                  <c:v>52.416957581015581</c:v>
                </c:pt>
                <c:pt idx="5033">
                  <c:v>52.427374305552803</c:v>
                </c:pt>
                <c:pt idx="5034">
                  <c:v>52.437791030089997</c:v>
                </c:pt>
                <c:pt idx="5035">
                  <c:v>52.448207754627198</c:v>
                </c:pt>
                <c:pt idx="5036">
                  <c:v>52.458624479164392</c:v>
                </c:pt>
                <c:pt idx="5037">
                  <c:v>52.469041203701622</c:v>
                </c:pt>
                <c:pt idx="5038">
                  <c:v>52.479457928238851</c:v>
                </c:pt>
                <c:pt idx="5039">
                  <c:v>52.489874652776031</c:v>
                </c:pt>
                <c:pt idx="5040">
                  <c:v>52.500291377313239</c:v>
                </c:pt>
                <c:pt idx="5041">
                  <c:v>52.510708101850447</c:v>
                </c:pt>
                <c:pt idx="5042">
                  <c:v>52.521124826387677</c:v>
                </c:pt>
                <c:pt idx="5043">
                  <c:v>52.531541550924899</c:v>
                </c:pt>
                <c:pt idx="5044">
                  <c:v>52.541958275462093</c:v>
                </c:pt>
                <c:pt idx="5045">
                  <c:v>52.552374999999302</c:v>
                </c:pt>
                <c:pt idx="5046">
                  <c:v>52.56279172453651</c:v>
                </c:pt>
                <c:pt idx="5047">
                  <c:v>52.573208449073718</c:v>
                </c:pt>
                <c:pt idx="5048">
                  <c:v>52.583625173610912</c:v>
                </c:pt>
                <c:pt idx="5049">
                  <c:v>52.594041898148127</c:v>
                </c:pt>
                <c:pt idx="5050">
                  <c:v>52.604458622685343</c:v>
                </c:pt>
                <c:pt idx="5051">
                  <c:v>52.614875347222537</c:v>
                </c:pt>
                <c:pt idx="5052">
                  <c:v>52.625292071759759</c:v>
                </c:pt>
                <c:pt idx="5053">
                  <c:v>52.635708796296967</c:v>
                </c:pt>
                <c:pt idx="5054">
                  <c:v>52.646125520834183</c:v>
                </c:pt>
                <c:pt idx="5055">
                  <c:v>52.656542245371398</c:v>
                </c:pt>
                <c:pt idx="5056">
                  <c:v>52.666958969908599</c:v>
                </c:pt>
                <c:pt idx="5057">
                  <c:v>52.6773756944458</c:v>
                </c:pt>
                <c:pt idx="5058">
                  <c:v>52.687792418983008</c:v>
                </c:pt>
                <c:pt idx="5059">
                  <c:v>52.698209143520231</c:v>
                </c:pt>
                <c:pt idx="5060">
                  <c:v>52.708625868057432</c:v>
                </c:pt>
                <c:pt idx="5061">
                  <c:v>52.719042592594633</c:v>
                </c:pt>
                <c:pt idx="5062">
                  <c:v>52.729459317131862</c:v>
                </c:pt>
                <c:pt idx="5063">
                  <c:v>52.739876041669049</c:v>
                </c:pt>
                <c:pt idx="5064">
                  <c:v>52.750292766206243</c:v>
                </c:pt>
                <c:pt idx="5065">
                  <c:v>52.760709490743452</c:v>
                </c:pt>
                <c:pt idx="5066">
                  <c:v>52.771126215280667</c:v>
                </c:pt>
                <c:pt idx="5067">
                  <c:v>52.781542939817882</c:v>
                </c:pt>
                <c:pt idx="5068">
                  <c:v>52.791959664355097</c:v>
                </c:pt>
                <c:pt idx="5069">
                  <c:v>52.802376388892299</c:v>
                </c:pt>
                <c:pt idx="5070">
                  <c:v>52.812793113429507</c:v>
                </c:pt>
                <c:pt idx="5071">
                  <c:v>52.823209837959439</c:v>
                </c:pt>
                <c:pt idx="5072">
                  <c:v>52.833626562496612</c:v>
                </c:pt>
                <c:pt idx="5073">
                  <c:v>52.844043287033841</c:v>
                </c:pt>
                <c:pt idx="5074">
                  <c:v>52.854460011571049</c:v>
                </c:pt>
                <c:pt idx="5075">
                  <c:v>52.864876736108272</c:v>
                </c:pt>
                <c:pt idx="5076">
                  <c:v>52.875293460645459</c:v>
                </c:pt>
                <c:pt idx="5077">
                  <c:v>52.885710185182667</c:v>
                </c:pt>
                <c:pt idx="5078">
                  <c:v>52.896126909719897</c:v>
                </c:pt>
                <c:pt idx="5079">
                  <c:v>52.906543634257098</c:v>
                </c:pt>
                <c:pt idx="5080">
                  <c:v>52.916960358794292</c:v>
                </c:pt>
                <c:pt idx="5081">
                  <c:v>52.9273770833315</c:v>
                </c:pt>
                <c:pt idx="5082">
                  <c:v>52.937793807868729</c:v>
                </c:pt>
                <c:pt idx="5083">
                  <c:v>52.948210532405952</c:v>
                </c:pt>
                <c:pt idx="5084">
                  <c:v>52.958627256943132</c:v>
                </c:pt>
                <c:pt idx="5085">
                  <c:v>52.969043981480347</c:v>
                </c:pt>
                <c:pt idx="5086">
                  <c:v>52.979460706017541</c:v>
                </c:pt>
                <c:pt idx="5087">
                  <c:v>52.98987743055477</c:v>
                </c:pt>
                <c:pt idx="5088">
                  <c:v>53.000294155091957</c:v>
                </c:pt>
                <c:pt idx="5089">
                  <c:v>53.010710879629201</c:v>
                </c:pt>
                <c:pt idx="5090">
                  <c:v>53.021127604166402</c:v>
                </c:pt>
                <c:pt idx="5091">
                  <c:v>53.031544328703603</c:v>
                </c:pt>
                <c:pt idx="5092">
                  <c:v>53.041961053240783</c:v>
                </c:pt>
                <c:pt idx="5093">
                  <c:v>53.05237777777802</c:v>
                </c:pt>
                <c:pt idx="5094">
                  <c:v>53.062794502315228</c:v>
                </c:pt>
                <c:pt idx="5095">
                  <c:v>53.073211226852443</c:v>
                </c:pt>
                <c:pt idx="5096">
                  <c:v>53.08362795138963</c:v>
                </c:pt>
                <c:pt idx="5097">
                  <c:v>53.094044675926853</c:v>
                </c:pt>
                <c:pt idx="5098">
                  <c:v>53.104461400464039</c:v>
                </c:pt>
                <c:pt idx="5099">
                  <c:v>53.114878125001248</c:v>
                </c:pt>
                <c:pt idx="5100">
                  <c:v>53.125294849538477</c:v>
                </c:pt>
                <c:pt idx="5101">
                  <c:v>53.1357115740757</c:v>
                </c:pt>
                <c:pt idx="5102">
                  <c:v>53.146128298612901</c:v>
                </c:pt>
                <c:pt idx="5103">
                  <c:v>53.156545023150102</c:v>
                </c:pt>
                <c:pt idx="5104">
                  <c:v>53.166961747687303</c:v>
                </c:pt>
                <c:pt idx="5105">
                  <c:v>53.177378472224497</c:v>
                </c:pt>
                <c:pt idx="5106">
                  <c:v>53.187795196761734</c:v>
                </c:pt>
                <c:pt idx="5107">
                  <c:v>53.198211921298942</c:v>
                </c:pt>
                <c:pt idx="5108">
                  <c:v>53.208628645836143</c:v>
                </c:pt>
                <c:pt idx="5109">
                  <c:v>53.219045370373351</c:v>
                </c:pt>
                <c:pt idx="5110">
                  <c:v>53.229462094910559</c:v>
                </c:pt>
                <c:pt idx="5111">
                  <c:v>53.239878819447767</c:v>
                </c:pt>
                <c:pt idx="5112">
                  <c:v>53.250295543984983</c:v>
                </c:pt>
                <c:pt idx="5113">
                  <c:v>53.260712268514929</c:v>
                </c:pt>
                <c:pt idx="5114">
                  <c:v>53.271128993052123</c:v>
                </c:pt>
                <c:pt idx="5115">
                  <c:v>53.281545717589331</c:v>
                </c:pt>
                <c:pt idx="5116">
                  <c:v>53.291962442126533</c:v>
                </c:pt>
                <c:pt idx="5117">
                  <c:v>53.302379166663741</c:v>
                </c:pt>
                <c:pt idx="5118">
                  <c:v>53.312795891200949</c:v>
                </c:pt>
                <c:pt idx="5119">
                  <c:v>53.323212615738157</c:v>
                </c:pt>
                <c:pt idx="5120">
                  <c:v>53.333629340275372</c:v>
                </c:pt>
                <c:pt idx="5121">
                  <c:v>53.344046064812538</c:v>
                </c:pt>
                <c:pt idx="5122">
                  <c:v>53.35446278934976</c:v>
                </c:pt>
                <c:pt idx="5123">
                  <c:v>53.364879513886969</c:v>
                </c:pt>
                <c:pt idx="5124">
                  <c:v>53.375296238424198</c:v>
                </c:pt>
                <c:pt idx="5125">
                  <c:v>53.385712962961414</c:v>
                </c:pt>
                <c:pt idx="5126">
                  <c:v>53.3961296874986</c:v>
                </c:pt>
                <c:pt idx="5127">
                  <c:v>53.406546412035823</c:v>
                </c:pt>
                <c:pt idx="5128">
                  <c:v>53.416963136573031</c:v>
                </c:pt>
                <c:pt idx="5129">
                  <c:v>53.427379861110232</c:v>
                </c:pt>
                <c:pt idx="5130">
                  <c:v>53.437796585647412</c:v>
                </c:pt>
                <c:pt idx="5131">
                  <c:v>53.448213310184663</c:v>
                </c:pt>
                <c:pt idx="5132">
                  <c:v>53.458630034721871</c:v>
                </c:pt>
                <c:pt idx="5133">
                  <c:v>53.469046759259051</c:v>
                </c:pt>
                <c:pt idx="5134">
                  <c:v>53.479463483796238</c:v>
                </c:pt>
                <c:pt idx="5135">
                  <c:v>53.48988020833346</c:v>
                </c:pt>
                <c:pt idx="5136">
                  <c:v>53.500296932870697</c:v>
                </c:pt>
                <c:pt idx="5137">
                  <c:v>53.510713657407898</c:v>
                </c:pt>
                <c:pt idx="5138">
                  <c:v>53.521130381945113</c:v>
                </c:pt>
                <c:pt idx="5139">
                  <c:v>53.5315471064823</c:v>
                </c:pt>
                <c:pt idx="5140">
                  <c:v>53.541963831019523</c:v>
                </c:pt>
                <c:pt idx="5141">
                  <c:v>53.552380555556717</c:v>
                </c:pt>
                <c:pt idx="5142">
                  <c:v>53.562797280093953</c:v>
                </c:pt>
                <c:pt idx="5143">
                  <c:v>53.573214004631147</c:v>
                </c:pt>
                <c:pt idx="5144">
                  <c:v>53.583630729168362</c:v>
                </c:pt>
                <c:pt idx="5145">
                  <c:v>53.594047453705542</c:v>
                </c:pt>
                <c:pt idx="5146">
                  <c:v>53.604464178242743</c:v>
                </c:pt>
                <c:pt idx="5147">
                  <c:v>53.614880902780001</c:v>
                </c:pt>
                <c:pt idx="5148">
                  <c:v>53.625297627317202</c:v>
                </c:pt>
                <c:pt idx="5149">
                  <c:v>53.635714351854411</c:v>
                </c:pt>
                <c:pt idx="5150">
                  <c:v>53.646131076391598</c:v>
                </c:pt>
                <c:pt idx="5151">
                  <c:v>53.65654780092882</c:v>
                </c:pt>
                <c:pt idx="5152">
                  <c:v>53.666964525466007</c:v>
                </c:pt>
                <c:pt idx="5153">
                  <c:v>53.677381250003222</c:v>
                </c:pt>
                <c:pt idx="5154">
                  <c:v>53.687797974540437</c:v>
                </c:pt>
                <c:pt idx="5155">
                  <c:v>53.698214699077653</c:v>
                </c:pt>
                <c:pt idx="5156">
                  <c:v>53.708631423607571</c:v>
                </c:pt>
                <c:pt idx="5157">
                  <c:v>53.7190481481448</c:v>
                </c:pt>
                <c:pt idx="5158">
                  <c:v>53.729464872682001</c:v>
                </c:pt>
                <c:pt idx="5159">
                  <c:v>53.739881597219188</c:v>
                </c:pt>
                <c:pt idx="5160">
                  <c:v>53.750298321756397</c:v>
                </c:pt>
                <c:pt idx="5161">
                  <c:v>53.760715046293633</c:v>
                </c:pt>
                <c:pt idx="5162">
                  <c:v>53.771131770830841</c:v>
                </c:pt>
                <c:pt idx="5163">
                  <c:v>53.781548495368042</c:v>
                </c:pt>
                <c:pt idx="5164">
                  <c:v>53.791965219905251</c:v>
                </c:pt>
                <c:pt idx="5165">
                  <c:v>53.802381944442438</c:v>
                </c:pt>
                <c:pt idx="5166">
                  <c:v>53.812798668979667</c:v>
                </c:pt>
                <c:pt idx="5167">
                  <c:v>53.823215393516882</c:v>
                </c:pt>
                <c:pt idx="5168">
                  <c:v>53.833632118054098</c:v>
                </c:pt>
                <c:pt idx="5169">
                  <c:v>53.844048842591299</c:v>
                </c:pt>
                <c:pt idx="5170">
                  <c:v>53.854465567128479</c:v>
                </c:pt>
                <c:pt idx="5171">
                  <c:v>53.864882291665687</c:v>
                </c:pt>
                <c:pt idx="5172">
                  <c:v>53.875299016202902</c:v>
                </c:pt>
                <c:pt idx="5173">
                  <c:v>53.885715740740132</c:v>
                </c:pt>
                <c:pt idx="5174">
                  <c:v>53.896132465277333</c:v>
                </c:pt>
                <c:pt idx="5175">
                  <c:v>53.90654918981452</c:v>
                </c:pt>
                <c:pt idx="5176">
                  <c:v>53.916965914351749</c:v>
                </c:pt>
                <c:pt idx="5177">
                  <c:v>53.927382638888957</c:v>
                </c:pt>
                <c:pt idx="5178">
                  <c:v>53.937799363426151</c:v>
                </c:pt>
                <c:pt idx="5179">
                  <c:v>53.948216087963367</c:v>
                </c:pt>
                <c:pt idx="5180">
                  <c:v>53.958632812500582</c:v>
                </c:pt>
                <c:pt idx="5181">
                  <c:v>53.969049537037797</c:v>
                </c:pt>
                <c:pt idx="5182">
                  <c:v>53.979466261574998</c:v>
                </c:pt>
                <c:pt idx="5183">
                  <c:v>53.989882986112192</c:v>
                </c:pt>
                <c:pt idx="5184">
                  <c:v>54.000299710649401</c:v>
                </c:pt>
                <c:pt idx="5185">
                  <c:v>54.010716435186623</c:v>
                </c:pt>
                <c:pt idx="5186">
                  <c:v>54.021133159723831</c:v>
                </c:pt>
                <c:pt idx="5187">
                  <c:v>54.03154988426104</c:v>
                </c:pt>
                <c:pt idx="5188">
                  <c:v>54.041966608798234</c:v>
                </c:pt>
                <c:pt idx="5189">
                  <c:v>54.052383333335463</c:v>
                </c:pt>
                <c:pt idx="5190">
                  <c:v>54.06280005787265</c:v>
                </c:pt>
                <c:pt idx="5191">
                  <c:v>54.073216782409872</c:v>
                </c:pt>
                <c:pt idx="5192">
                  <c:v>54.083633506947073</c:v>
                </c:pt>
                <c:pt idx="5193">
                  <c:v>54.094050231484303</c:v>
                </c:pt>
                <c:pt idx="5194">
                  <c:v>54.104466956021497</c:v>
                </c:pt>
                <c:pt idx="5195">
                  <c:v>54.114883680558712</c:v>
                </c:pt>
                <c:pt idx="5196">
                  <c:v>54.125300405095913</c:v>
                </c:pt>
                <c:pt idx="5197">
                  <c:v>54.135717129633122</c:v>
                </c:pt>
                <c:pt idx="5198">
                  <c:v>54.146133854163061</c:v>
                </c:pt>
                <c:pt idx="5199">
                  <c:v>54.156550578700248</c:v>
                </c:pt>
                <c:pt idx="5200">
                  <c:v>54.166967303237449</c:v>
                </c:pt>
                <c:pt idx="5201">
                  <c:v>54.177384027774657</c:v>
                </c:pt>
                <c:pt idx="5202">
                  <c:v>54.187800752311873</c:v>
                </c:pt>
                <c:pt idx="5203">
                  <c:v>54.198217476849102</c:v>
                </c:pt>
                <c:pt idx="5204">
                  <c:v>54.208634201386303</c:v>
                </c:pt>
                <c:pt idx="5205">
                  <c:v>54.219050925923511</c:v>
                </c:pt>
                <c:pt idx="5206">
                  <c:v>54.22946765046072</c:v>
                </c:pt>
                <c:pt idx="5207">
                  <c:v>54.239884374997928</c:v>
                </c:pt>
                <c:pt idx="5208">
                  <c:v>54.250301099535143</c:v>
                </c:pt>
                <c:pt idx="5209">
                  <c:v>54.260717824072351</c:v>
                </c:pt>
                <c:pt idx="5210">
                  <c:v>54.271134548609552</c:v>
                </c:pt>
                <c:pt idx="5211">
                  <c:v>54.281551273146754</c:v>
                </c:pt>
                <c:pt idx="5212">
                  <c:v>54.291967997683948</c:v>
                </c:pt>
                <c:pt idx="5213">
                  <c:v>54.302384722221177</c:v>
                </c:pt>
                <c:pt idx="5214">
                  <c:v>54.312801446758371</c:v>
                </c:pt>
                <c:pt idx="5215">
                  <c:v>54.323218171295593</c:v>
                </c:pt>
                <c:pt idx="5216">
                  <c:v>54.333634895832787</c:v>
                </c:pt>
                <c:pt idx="5217">
                  <c:v>54.344051620370003</c:v>
                </c:pt>
                <c:pt idx="5218">
                  <c:v>54.354468344907197</c:v>
                </c:pt>
                <c:pt idx="5219">
                  <c:v>54.364885069444391</c:v>
                </c:pt>
                <c:pt idx="5220">
                  <c:v>54.375301793981627</c:v>
                </c:pt>
                <c:pt idx="5221">
                  <c:v>54.385718518518843</c:v>
                </c:pt>
                <c:pt idx="5222">
                  <c:v>54.396135243056051</c:v>
                </c:pt>
                <c:pt idx="5223">
                  <c:v>54.406551967593238</c:v>
                </c:pt>
                <c:pt idx="5224">
                  <c:v>54.416968692130453</c:v>
                </c:pt>
                <c:pt idx="5225">
                  <c:v>54.427385416667661</c:v>
                </c:pt>
                <c:pt idx="5226">
                  <c:v>54.437802141204877</c:v>
                </c:pt>
                <c:pt idx="5227">
                  <c:v>54.448218865742071</c:v>
                </c:pt>
                <c:pt idx="5228">
                  <c:v>54.4586355902793</c:v>
                </c:pt>
                <c:pt idx="5229">
                  <c:v>54.469052314816508</c:v>
                </c:pt>
                <c:pt idx="5230">
                  <c:v>54.479469039353702</c:v>
                </c:pt>
                <c:pt idx="5231">
                  <c:v>54.489885763890911</c:v>
                </c:pt>
                <c:pt idx="5232">
                  <c:v>54.500302488428133</c:v>
                </c:pt>
                <c:pt idx="5233">
                  <c:v>54.510719212965341</c:v>
                </c:pt>
                <c:pt idx="5234">
                  <c:v>54.521135937502549</c:v>
                </c:pt>
                <c:pt idx="5235">
                  <c:v>54.531552662039758</c:v>
                </c:pt>
                <c:pt idx="5236">
                  <c:v>54.541969386576973</c:v>
                </c:pt>
                <c:pt idx="5237">
                  <c:v>54.552386111114167</c:v>
                </c:pt>
                <c:pt idx="5238">
                  <c:v>54.562802835651382</c:v>
                </c:pt>
                <c:pt idx="5239">
                  <c:v>54.573219560188598</c:v>
                </c:pt>
                <c:pt idx="5240">
                  <c:v>54.583636284725799</c:v>
                </c:pt>
                <c:pt idx="5241">
                  <c:v>54.594053009255731</c:v>
                </c:pt>
                <c:pt idx="5242">
                  <c:v>54.604469733792911</c:v>
                </c:pt>
                <c:pt idx="5243">
                  <c:v>54.614886458330112</c:v>
                </c:pt>
                <c:pt idx="5244">
                  <c:v>54.625303182867363</c:v>
                </c:pt>
                <c:pt idx="5245">
                  <c:v>54.635719907404571</c:v>
                </c:pt>
                <c:pt idx="5246">
                  <c:v>54.646136631941772</c:v>
                </c:pt>
                <c:pt idx="5247">
                  <c:v>54.65655335647898</c:v>
                </c:pt>
                <c:pt idx="5248">
                  <c:v>54.666970081016167</c:v>
                </c:pt>
                <c:pt idx="5249">
                  <c:v>54.677386805553397</c:v>
                </c:pt>
                <c:pt idx="5250">
                  <c:v>54.687803530090591</c:v>
                </c:pt>
                <c:pt idx="5251">
                  <c:v>54.698220254627813</c:v>
                </c:pt>
                <c:pt idx="5252">
                  <c:v>54.708636979165021</c:v>
                </c:pt>
                <c:pt idx="5253">
                  <c:v>54.719053703702222</c:v>
                </c:pt>
                <c:pt idx="5254">
                  <c:v>54.729470428239438</c:v>
                </c:pt>
                <c:pt idx="5255">
                  <c:v>54.739887152776632</c:v>
                </c:pt>
                <c:pt idx="5256">
                  <c:v>54.750303877313847</c:v>
                </c:pt>
                <c:pt idx="5257">
                  <c:v>54.760720601851062</c:v>
                </c:pt>
                <c:pt idx="5258">
                  <c:v>54.771137326388271</c:v>
                </c:pt>
                <c:pt idx="5259">
                  <c:v>54.781554050925479</c:v>
                </c:pt>
                <c:pt idx="5260">
                  <c:v>54.791970775462673</c:v>
                </c:pt>
                <c:pt idx="5261">
                  <c:v>54.802387499999902</c:v>
                </c:pt>
                <c:pt idx="5262">
                  <c:v>54.812804224537103</c:v>
                </c:pt>
                <c:pt idx="5263">
                  <c:v>54.823220949074312</c:v>
                </c:pt>
                <c:pt idx="5264">
                  <c:v>54.833637673611491</c:v>
                </c:pt>
                <c:pt idx="5265">
                  <c:v>54.844054398148728</c:v>
                </c:pt>
                <c:pt idx="5266">
                  <c:v>54.854471122685922</c:v>
                </c:pt>
                <c:pt idx="5267">
                  <c:v>54.86488784722313</c:v>
                </c:pt>
                <c:pt idx="5268">
                  <c:v>54.875304571760331</c:v>
                </c:pt>
                <c:pt idx="5269">
                  <c:v>54.88572129629754</c:v>
                </c:pt>
                <c:pt idx="5270">
                  <c:v>54.896138020834783</c:v>
                </c:pt>
                <c:pt idx="5271">
                  <c:v>54.906554745371977</c:v>
                </c:pt>
                <c:pt idx="5272">
                  <c:v>54.916971469909171</c:v>
                </c:pt>
                <c:pt idx="5273">
                  <c:v>54.927388194446387</c:v>
                </c:pt>
                <c:pt idx="5274">
                  <c:v>54.937804918983588</c:v>
                </c:pt>
                <c:pt idx="5275">
                  <c:v>54.94822164352081</c:v>
                </c:pt>
                <c:pt idx="5276">
                  <c:v>54.958638368058018</c:v>
                </c:pt>
                <c:pt idx="5277">
                  <c:v>54.969055092595227</c:v>
                </c:pt>
                <c:pt idx="5278">
                  <c:v>54.979471817132421</c:v>
                </c:pt>
                <c:pt idx="5279">
                  <c:v>54.989888541669607</c:v>
                </c:pt>
                <c:pt idx="5280">
                  <c:v>55.000305266206851</c:v>
                </c:pt>
                <c:pt idx="5281">
                  <c:v>55.010721990744052</c:v>
                </c:pt>
                <c:pt idx="5282">
                  <c:v>55.021138715281268</c:v>
                </c:pt>
                <c:pt idx="5283">
                  <c:v>55.0315554398112</c:v>
                </c:pt>
                <c:pt idx="5284">
                  <c:v>55.041972164348387</c:v>
                </c:pt>
                <c:pt idx="5285">
                  <c:v>55.052388888885623</c:v>
                </c:pt>
                <c:pt idx="5286">
                  <c:v>55.062805613422832</c:v>
                </c:pt>
                <c:pt idx="5287">
                  <c:v>55.073222337960033</c:v>
                </c:pt>
                <c:pt idx="5288">
                  <c:v>55.08363906249722</c:v>
                </c:pt>
                <c:pt idx="5289">
                  <c:v>55.094055787034449</c:v>
                </c:pt>
                <c:pt idx="5290">
                  <c:v>55.104472511571657</c:v>
                </c:pt>
                <c:pt idx="5291">
                  <c:v>55.114889236108873</c:v>
                </c:pt>
                <c:pt idx="5292">
                  <c:v>55.125305960646081</c:v>
                </c:pt>
                <c:pt idx="5293">
                  <c:v>55.135722685183282</c:v>
                </c:pt>
                <c:pt idx="5294">
                  <c:v>55.146139409720497</c:v>
                </c:pt>
                <c:pt idx="5295">
                  <c:v>55.156556134257698</c:v>
                </c:pt>
                <c:pt idx="5296">
                  <c:v>55.166972858794907</c:v>
                </c:pt>
                <c:pt idx="5297">
                  <c:v>55.177389583332094</c:v>
                </c:pt>
                <c:pt idx="5298">
                  <c:v>55.187806307869323</c:v>
                </c:pt>
                <c:pt idx="5299">
                  <c:v>55.198223032406531</c:v>
                </c:pt>
                <c:pt idx="5300">
                  <c:v>55.208639756943739</c:v>
                </c:pt>
                <c:pt idx="5301">
                  <c:v>55.219056481480948</c:v>
                </c:pt>
                <c:pt idx="5302">
                  <c:v>55.229473206018163</c:v>
                </c:pt>
                <c:pt idx="5303">
                  <c:v>55.239889930555371</c:v>
                </c:pt>
                <c:pt idx="5304">
                  <c:v>55.250306655092537</c:v>
                </c:pt>
                <c:pt idx="5305">
                  <c:v>55.260723379629781</c:v>
                </c:pt>
                <c:pt idx="5306">
                  <c:v>55.271140104167003</c:v>
                </c:pt>
                <c:pt idx="5307">
                  <c:v>55.281556828704197</c:v>
                </c:pt>
                <c:pt idx="5308">
                  <c:v>55.291973553241391</c:v>
                </c:pt>
                <c:pt idx="5309">
                  <c:v>55.302390277778613</c:v>
                </c:pt>
                <c:pt idx="5310">
                  <c:v>55.3128070023158</c:v>
                </c:pt>
                <c:pt idx="5311">
                  <c:v>55.32322372685303</c:v>
                </c:pt>
                <c:pt idx="5312">
                  <c:v>55.333640451390202</c:v>
                </c:pt>
                <c:pt idx="5313">
                  <c:v>55.344057175927432</c:v>
                </c:pt>
                <c:pt idx="5314">
                  <c:v>55.35447390046464</c:v>
                </c:pt>
                <c:pt idx="5315">
                  <c:v>55.364890625001863</c:v>
                </c:pt>
                <c:pt idx="5316">
                  <c:v>55.375307349539071</c:v>
                </c:pt>
                <c:pt idx="5317">
                  <c:v>55.385724074076258</c:v>
                </c:pt>
                <c:pt idx="5318">
                  <c:v>55.396140798613473</c:v>
                </c:pt>
                <c:pt idx="5319">
                  <c:v>55.406557523150703</c:v>
                </c:pt>
                <c:pt idx="5320">
                  <c:v>55.416974247687897</c:v>
                </c:pt>
                <c:pt idx="5321">
                  <c:v>55.427390972225112</c:v>
                </c:pt>
                <c:pt idx="5322">
                  <c:v>55.437807696762292</c:v>
                </c:pt>
                <c:pt idx="5323">
                  <c:v>55.448224421299493</c:v>
                </c:pt>
                <c:pt idx="5324">
                  <c:v>55.458641145836722</c:v>
                </c:pt>
                <c:pt idx="5325">
                  <c:v>55.469057870373952</c:v>
                </c:pt>
                <c:pt idx="5326">
                  <c:v>55.479474594903877</c:v>
                </c:pt>
                <c:pt idx="5327">
                  <c:v>55.489891319441071</c:v>
                </c:pt>
                <c:pt idx="5328">
                  <c:v>55.500308043978301</c:v>
                </c:pt>
                <c:pt idx="5329">
                  <c:v>55.510724768515487</c:v>
                </c:pt>
                <c:pt idx="5330">
                  <c:v>55.521141493052703</c:v>
                </c:pt>
                <c:pt idx="5331">
                  <c:v>55.531558217589932</c:v>
                </c:pt>
                <c:pt idx="5332">
                  <c:v>55.541974942127133</c:v>
                </c:pt>
                <c:pt idx="5333">
                  <c:v>55.55239166666432</c:v>
                </c:pt>
                <c:pt idx="5334">
                  <c:v>55.562808391201543</c:v>
                </c:pt>
                <c:pt idx="5335">
                  <c:v>55.573225115738751</c:v>
                </c:pt>
                <c:pt idx="5336">
                  <c:v>55.583641840275959</c:v>
                </c:pt>
                <c:pt idx="5337">
                  <c:v>55.594058564813153</c:v>
                </c:pt>
                <c:pt idx="5338">
                  <c:v>55.604475289350383</c:v>
                </c:pt>
                <c:pt idx="5339">
                  <c:v>55.61489201388757</c:v>
                </c:pt>
                <c:pt idx="5340">
                  <c:v>55.625308738424799</c:v>
                </c:pt>
                <c:pt idx="5341">
                  <c:v>55.635725462962</c:v>
                </c:pt>
                <c:pt idx="5342">
                  <c:v>55.646142187499208</c:v>
                </c:pt>
                <c:pt idx="5343">
                  <c:v>55.656558912036417</c:v>
                </c:pt>
                <c:pt idx="5344">
                  <c:v>55.666975636573632</c:v>
                </c:pt>
                <c:pt idx="5345">
                  <c:v>55.677392361110833</c:v>
                </c:pt>
                <c:pt idx="5346">
                  <c:v>55.687809085648013</c:v>
                </c:pt>
                <c:pt idx="5347">
                  <c:v>55.698225810185271</c:v>
                </c:pt>
                <c:pt idx="5348">
                  <c:v>55.708642534722458</c:v>
                </c:pt>
                <c:pt idx="5349">
                  <c:v>55.719059259259652</c:v>
                </c:pt>
                <c:pt idx="5350">
                  <c:v>55.729475983796881</c:v>
                </c:pt>
                <c:pt idx="5351">
                  <c:v>55.739892708334082</c:v>
                </c:pt>
                <c:pt idx="5352">
                  <c:v>55.750309432871298</c:v>
                </c:pt>
                <c:pt idx="5353">
                  <c:v>55.760726157408499</c:v>
                </c:pt>
                <c:pt idx="5354">
                  <c:v>55.771142881945707</c:v>
                </c:pt>
                <c:pt idx="5355">
                  <c:v>55.781559606482922</c:v>
                </c:pt>
                <c:pt idx="5356">
                  <c:v>55.79197633102013</c:v>
                </c:pt>
                <c:pt idx="5357">
                  <c:v>55.802393055557317</c:v>
                </c:pt>
                <c:pt idx="5358">
                  <c:v>55.812809780094518</c:v>
                </c:pt>
                <c:pt idx="5359">
                  <c:v>55.823226504631748</c:v>
                </c:pt>
                <c:pt idx="5360">
                  <c:v>55.833643229168963</c:v>
                </c:pt>
                <c:pt idx="5361">
                  <c:v>55.844059953706143</c:v>
                </c:pt>
                <c:pt idx="5362">
                  <c:v>55.85447667824333</c:v>
                </c:pt>
                <c:pt idx="5363">
                  <c:v>55.864893402780559</c:v>
                </c:pt>
                <c:pt idx="5364">
                  <c:v>55.875310127317803</c:v>
                </c:pt>
                <c:pt idx="5365">
                  <c:v>55.885726851854997</c:v>
                </c:pt>
                <c:pt idx="5366">
                  <c:v>55.896143576392191</c:v>
                </c:pt>
                <c:pt idx="5367">
                  <c:v>55.906560300929421</c:v>
                </c:pt>
                <c:pt idx="5368">
                  <c:v>55.916977025459353</c:v>
                </c:pt>
                <c:pt idx="5369">
                  <c:v>55.927393749996547</c:v>
                </c:pt>
                <c:pt idx="5370">
                  <c:v>55.937810474533762</c:v>
                </c:pt>
                <c:pt idx="5371">
                  <c:v>55.948227199070971</c:v>
                </c:pt>
                <c:pt idx="5372">
                  <c:v>55.958643923608157</c:v>
                </c:pt>
                <c:pt idx="5373">
                  <c:v>55.969060648145401</c:v>
                </c:pt>
                <c:pt idx="5374">
                  <c:v>55.979477372682581</c:v>
                </c:pt>
                <c:pt idx="5375">
                  <c:v>55.989894097219782</c:v>
                </c:pt>
                <c:pt idx="5376">
                  <c:v>56.000310821757012</c:v>
                </c:pt>
                <c:pt idx="5377">
                  <c:v>56.010727546294198</c:v>
                </c:pt>
                <c:pt idx="5378">
                  <c:v>56.021144270831428</c:v>
                </c:pt>
                <c:pt idx="5379">
                  <c:v>56.031560995368622</c:v>
                </c:pt>
                <c:pt idx="5380">
                  <c:v>56.041977719905852</c:v>
                </c:pt>
                <c:pt idx="5381">
                  <c:v>56.052394444443053</c:v>
                </c:pt>
                <c:pt idx="5382">
                  <c:v>56.062811168980261</c:v>
                </c:pt>
                <c:pt idx="5383">
                  <c:v>56.073227893517441</c:v>
                </c:pt>
                <c:pt idx="5384">
                  <c:v>56.083644618054663</c:v>
                </c:pt>
                <c:pt idx="5385">
                  <c:v>56.0940613425919</c:v>
                </c:pt>
                <c:pt idx="5386">
                  <c:v>56.104478067129101</c:v>
                </c:pt>
                <c:pt idx="5387">
                  <c:v>56.114894791666259</c:v>
                </c:pt>
                <c:pt idx="5388">
                  <c:v>56.12531151620351</c:v>
                </c:pt>
                <c:pt idx="5389">
                  <c:v>56.135728240740733</c:v>
                </c:pt>
                <c:pt idx="5390">
                  <c:v>56.146144965277927</c:v>
                </c:pt>
                <c:pt idx="5391">
                  <c:v>56.156561689815121</c:v>
                </c:pt>
                <c:pt idx="5392">
                  <c:v>56.166978414352343</c:v>
                </c:pt>
                <c:pt idx="5393">
                  <c:v>56.177395138889551</c:v>
                </c:pt>
                <c:pt idx="5394">
                  <c:v>56.187811863426752</c:v>
                </c:pt>
                <c:pt idx="5395">
                  <c:v>56.198228587963968</c:v>
                </c:pt>
                <c:pt idx="5396">
                  <c:v>56.208645312501183</c:v>
                </c:pt>
                <c:pt idx="5397">
                  <c:v>56.219062037038377</c:v>
                </c:pt>
                <c:pt idx="5398">
                  <c:v>56.229478761575599</c:v>
                </c:pt>
                <c:pt idx="5399">
                  <c:v>56.2398954861128</c:v>
                </c:pt>
                <c:pt idx="5400">
                  <c:v>56.250312210650009</c:v>
                </c:pt>
                <c:pt idx="5401">
                  <c:v>56.260728935187231</c:v>
                </c:pt>
                <c:pt idx="5402">
                  <c:v>56.271145659724432</c:v>
                </c:pt>
                <c:pt idx="5403">
                  <c:v>56.281562384261633</c:v>
                </c:pt>
                <c:pt idx="5404">
                  <c:v>56.291979108798841</c:v>
                </c:pt>
                <c:pt idx="5405">
                  <c:v>56.30239583333605</c:v>
                </c:pt>
                <c:pt idx="5406">
                  <c:v>56.312812557873237</c:v>
                </c:pt>
                <c:pt idx="5407">
                  <c:v>56.323229282410452</c:v>
                </c:pt>
                <c:pt idx="5408">
                  <c:v>56.33364600694766</c:v>
                </c:pt>
                <c:pt idx="5409">
                  <c:v>56.344062731484883</c:v>
                </c:pt>
                <c:pt idx="5410">
                  <c:v>56.354479456022062</c:v>
                </c:pt>
                <c:pt idx="5411">
                  <c:v>56.364896180552023</c:v>
                </c:pt>
                <c:pt idx="5412">
                  <c:v>56.375312905089231</c:v>
                </c:pt>
                <c:pt idx="5413">
                  <c:v>56.385729629626418</c:v>
                </c:pt>
                <c:pt idx="5414">
                  <c:v>56.396146354163648</c:v>
                </c:pt>
                <c:pt idx="5415">
                  <c:v>56.406563078700863</c:v>
                </c:pt>
                <c:pt idx="5416">
                  <c:v>56.41697980323805</c:v>
                </c:pt>
                <c:pt idx="5417">
                  <c:v>56.427396527775272</c:v>
                </c:pt>
                <c:pt idx="5418">
                  <c:v>56.437813252312459</c:v>
                </c:pt>
                <c:pt idx="5419">
                  <c:v>56.448229976849667</c:v>
                </c:pt>
                <c:pt idx="5420">
                  <c:v>56.458646701386883</c:v>
                </c:pt>
                <c:pt idx="5421">
                  <c:v>56.469063425924112</c:v>
                </c:pt>
                <c:pt idx="5422">
                  <c:v>56.479480150461292</c:v>
                </c:pt>
                <c:pt idx="5423">
                  <c:v>56.4898968749985</c:v>
                </c:pt>
                <c:pt idx="5424">
                  <c:v>56.50031359953573</c:v>
                </c:pt>
                <c:pt idx="5425">
                  <c:v>56.510730324072952</c:v>
                </c:pt>
                <c:pt idx="5426">
                  <c:v>56.521147048610153</c:v>
                </c:pt>
                <c:pt idx="5427">
                  <c:v>56.53156377314734</c:v>
                </c:pt>
                <c:pt idx="5428">
                  <c:v>56.541980497684527</c:v>
                </c:pt>
                <c:pt idx="5429">
                  <c:v>56.552397222221771</c:v>
                </c:pt>
                <c:pt idx="5430">
                  <c:v>56.562813946759</c:v>
                </c:pt>
                <c:pt idx="5431">
                  <c:v>56.573230671296159</c:v>
                </c:pt>
                <c:pt idx="5432">
                  <c:v>56.583647395833381</c:v>
                </c:pt>
                <c:pt idx="5433">
                  <c:v>56.594064120370597</c:v>
                </c:pt>
                <c:pt idx="5434">
                  <c:v>56.604480844907812</c:v>
                </c:pt>
                <c:pt idx="5435">
                  <c:v>56.614897569444992</c:v>
                </c:pt>
                <c:pt idx="5436">
                  <c:v>56.625314293982228</c:v>
                </c:pt>
                <c:pt idx="5437">
                  <c:v>56.635731018519451</c:v>
                </c:pt>
                <c:pt idx="5438">
                  <c:v>56.646147743056638</c:v>
                </c:pt>
                <c:pt idx="5439">
                  <c:v>56.656564467593832</c:v>
                </c:pt>
                <c:pt idx="5440">
                  <c:v>56.666981192131061</c:v>
                </c:pt>
                <c:pt idx="5441">
                  <c:v>56.677397916668262</c:v>
                </c:pt>
                <c:pt idx="5442">
                  <c:v>56.687814641205463</c:v>
                </c:pt>
                <c:pt idx="5443">
                  <c:v>56.698231365742672</c:v>
                </c:pt>
                <c:pt idx="5444">
                  <c:v>56.708648090279901</c:v>
                </c:pt>
                <c:pt idx="5445">
                  <c:v>56.719064814817088</c:v>
                </c:pt>
                <c:pt idx="5446">
                  <c:v>56.729481539354303</c:v>
                </c:pt>
                <c:pt idx="5447">
                  <c:v>56.739898263891497</c:v>
                </c:pt>
                <c:pt idx="5448">
                  <c:v>56.750314988428748</c:v>
                </c:pt>
                <c:pt idx="5449">
                  <c:v>56.760731712965949</c:v>
                </c:pt>
                <c:pt idx="5450">
                  <c:v>56.771148437503143</c:v>
                </c:pt>
                <c:pt idx="5451">
                  <c:v>56.781565162040337</c:v>
                </c:pt>
                <c:pt idx="5452">
                  <c:v>56.79198188657756</c:v>
                </c:pt>
                <c:pt idx="5453">
                  <c:v>56.802398611107499</c:v>
                </c:pt>
                <c:pt idx="5454">
                  <c:v>56.8128153356447</c:v>
                </c:pt>
                <c:pt idx="5455">
                  <c:v>56.823232060181908</c:v>
                </c:pt>
                <c:pt idx="5456">
                  <c:v>56.833648784719102</c:v>
                </c:pt>
                <c:pt idx="5457">
                  <c:v>56.844065509256289</c:v>
                </c:pt>
                <c:pt idx="5458">
                  <c:v>56.85448223379349</c:v>
                </c:pt>
                <c:pt idx="5459">
                  <c:v>56.864898958330741</c:v>
                </c:pt>
                <c:pt idx="5460">
                  <c:v>56.875315682867949</c:v>
                </c:pt>
                <c:pt idx="5461">
                  <c:v>56.885732407405158</c:v>
                </c:pt>
                <c:pt idx="5462">
                  <c:v>56.896149131942352</c:v>
                </c:pt>
                <c:pt idx="5463">
                  <c:v>56.906565856479581</c:v>
                </c:pt>
                <c:pt idx="5464">
                  <c:v>56.916982581016761</c:v>
                </c:pt>
                <c:pt idx="5465">
                  <c:v>56.927399305553998</c:v>
                </c:pt>
                <c:pt idx="5466">
                  <c:v>56.937816030091199</c:v>
                </c:pt>
                <c:pt idx="5467">
                  <c:v>56.948232754628407</c:v>
                </c:pt>
                <c:pt idx="5468">
                  <c:v>56.958649479165587</c:v>
                </c:pt>
                <c:pt idx="5469">
                  <c:v>56.969066203702823</c:v>
                </c:pt>
                <c:pt idx="5470">
                  <c:v>56.979482928240017</c:v>
                </c:pt>
                <c:pt idx="5471">
                  <c:v>56.989899652777218</c:v>
                </c:pt>
                <c:pt idx="5472">
                  <c:v>57.000316377314448</c:v>
                </c:pt>
                <c:pt idx="5473">
                  <c:v>57.010733101851663</c:v>
                </c:pt>
                <c:pt idx="5474">
                  <c:v>57.021149826388871</c:v>
                </c:pt>
                <c:pt idx="5475">
                  <c:v>57.031566550926073</c:v>
                </c:pt>
                <c:pt idx="5476">
                  <c:v>57.041983275463259</c:v>
                </c:pt>
                <c:pt idx="5477">
                  <c:v>57.052400000000468</c:v>
                </c:pt>
                <c:pt idx="5478">
                  <c:v>57.062816724537697</c:v>
                </c:pt>
                <c:pt idx="5479">
                  <c:v>57.073233449074912</c:v>
                </c:pt>
                <c:pt idx="5480">
                  <c:v>57.083650173612092</c:v>
                </c:pt>
                <c:pt idx="5481">
                  <c:v>57.094066898149322</c:v>
                </c:pt>
                <c:pt idx="5482">
                  <c:v>57.104483622686509</c:v>
                </c:pt>
                <c:pt idx="5483">
                  <c:v>57.114900347223738</c:v>
                </c:pt>
                <c:pt idx="5484">
                  <c:v>57.125317071760954</c:v>
                </c:pt>
                <c:pt idx="5485">
                  <c:v>57.135733796298162</c:v>
                </c:pt>
                <c:pt idx="5486">
                  <c:v>57.146150520835363</c:v>
                </c:pt>
                <c:pt idx="5487">
                  <c:v>57.15656724537255</c:v>
                </c:pt>
                <c:pt idx="5488">
                  <c:v>57.166983969909779</c:v>
                </c:pt>
                <c:pt idx="5489">
                  <c:v>57.177400694446973</c:v>
                </c:pt>
                <c:pt idx="5490">
                  <c:v>57.187817418984203</c:v>
                </c:pt>
                <c:pt idx="5491">
                  <c:v>57.198234143521411</c:v>
                </c:pt>
                <c:pt idx="5492">
                  <c:v>57.208650868058612</c:v>
                </c:pt>
                <c:pt idx="5493">
                  <c:v>57.21906759259582</c:v>
                </c:pt>
                <c:pt idx="5494">
                  <c:v>57.229484317133029</c:v>
                </c:pt>
                <c:pt idx="5495">
                  <c:v>57.239901041670237</c:v>
                </c:pt>
                <c:pt idx="5496">
                  <c:v>57.250317766200148</c:v>
                </c:pt>
                <c:pt idx="5497">
                  <c:v>57.260734490737377</c:v>
                </c:pt>
                <c:pt idx="5498">
                  <c:v>57.2711512152746</c:v>
                </c:pt>
                <c:pt idx="5499">
                  <c:v>57.281567939811801</c:v>
                </c:pt>
                <c:pt idx="5500">
                  <c:v>57.291984664348988</c:v>
                </c:pt>
                <c:pt idx="5501">
                  <c:v>57.302401388886203</c:v>
                </c:pt>
                <c:pt idx="5502">
                  <c:v>57.312818113423397</c:v>
                </c:pt>
                <c:pt idx="5503">
                  <c:v>57.323234837960626</c:v>
                </c:pt>
                <c:pt idx="5504">
                  <c:v>57.33365156249782</c:v>
                </c:pt>
                <c:pt idx="5505">
                  <c:v>57.344068287035043</c:v>
                </c:pt>
                <c:pt idx="5506">
                  <c:v>57.35448501157223</c:v>
                </c:pt>
                <c:pt idx="5507">
                  <c:v>57.364901736109459</c:v>
                </c:pt>
                <c:pt idx="5508">
                  <c:v>57.375318460646639</c:v>
                </c:pt>
                <c:pt idx="5509">
                  <c:v>57.385735185183883</c:v>
                </c:pt>
                <c:pt idx="5510">
                  <c:v>57.396151909721098</c:v>
                </c:pt>
                <c:pt idx="5511">
                  <c:v>57.406568634258299</c:v>
                </c:pt>
                <c:pt idx="5512">
                  <c:v>57.416985358795493</c:v>
                </c:pt>
                <c:pt idx="5513">
                  <c:v>57.427402083332687</c:v>
                </c:pt>
                <c:pt idx="5514">
                  <c:v>57.437818807869917</c:v>
                </c:pt>
                <c:pt idx="5515">
                  <c:v>57.448235532407132</c:v>
                </c:pt>
                <c:pt idx="5516">
                  <c:v>57.458652256944333</c:v>
                </c:pt>
                <c:pt idx="5517">
                  <c:v>57.469068981481541</c:v>
                </c:pt>
                <c:pt idx="5518">
                  <c:v>57.47948570601875</c:v>
                </c:pt>
                <c:pt idx="5519">
                  <c:v>57.489902430555958</c:v>
                </c:pt>
                <c:pt idx="5520">
                  <c:v>57.500319155093152</c:v>
                </c:pt>
                <c:pt idx="5521">
                  <c:v>57.510735879630367</c:v>
                </c:pt>
                <c:pt idx="5522">
                  <c:v>57.521152604167582</c:v>
                </c:pt>
                <c:pt idx="5523">
                  <c:v>57.531569328704798</c:v>
                </c:pt>
                <c:pt idx="5524">
                  <c:v>57.541986053241963</c:v>
                </c:pt>
                <c:pt idx="5525">
                  <c:v>57.552402777779207</c:v>
                </c:pt>
                <c:pt idx="5526">
                  <c:v>57.562819502316401</c:v>
                </c:pt>
                <c:pt idx="5527">
                  <c:v>57.573236226853631</c:v>
                </c:pt>
                <c:pt idx="5528">
                  <c:v>57.583652951390818</c:v>
                </c:pt>
                <c:pt idx="5529">
                  <c:v>57.59406967592804</c:v>
                </c:pt>
                <c:pt idx="5530">
                  <c:v>57.604486400465227</c:v>
                </c:pt>
                <c:pt idx="5531">
                  <c:v>57.614903125002442</c:v>
                </c:pt>
                <c:pt idx="5532">
                  <c:v>57.625319849539679</c:v>
                </c:pt>
                <c:pt idx="5533">
                  <c:v>57.635736574076873</c:v>
                </c:pt>
                <c:pt idx="5534">
                  <c:v>57.646153298614081</c:v>
                </c:pt>
                <c:pt idx="5535">
                  <c:v>57.656570023151303</c:v>
                </c:pt>
                <c:pt idx="5536">
                  <c:v>57.666986747688497</c:v>
                </c:pt>
                <c:pt idx="5537">
                  <c:v>57.677403472225713</c:v>
                </c:pt>
                <c:pt idx="5538">
                  <c:v>57.687820196755617</c:v>
                </c:pt>
                <c:pt idx="5539">
                  <c:v>57.698236921292853</c:v>
                </c:pt>
                <c:pt idx="5540">
                  <c:v>57.708653645830061</c:v>
                </c:pt>
                <c:pt idx="5541">
                  <c:v>57.719070370367263</c:v>
                </c:pt>
                <c:pt idx="5542">
                  <c:v>57.729487094904471</c:v>
                </c:pt>
                <c:pt idx="5543">
                  <c:v>57.739903819441679</c:v>
                </c:pt>
                <c:pt idx="5544">
                  <c:v>57.750320543978901</c:v>
                </c:pt>
                <c:pt idx="5545">
                  <c:v>57.760737268516102</c:v>
                </c:pt>
                <c:pt idx="5546">
                  <c:v>57.771153993053311</c:v>
                </c:pt>
                <c:pt idx="5547">
                  <c:v>57.781570717590498</c:v>
                </c:pt>
                <c:pt idx="5548">
                  <c:v>57.79198744212772</c:v>
                </c:pt>
                <c:pt idx="5549">
                  <c:v>57.802404166664907</c:v>
                </c:pt>
                <c:pt idx="5550">
                  <c:v>57.812820891202108</c:v>
                </c:pt>
                <c:pt idx="5551">
                  <c:v>57.823237615739338</c:v>
                </c:pt>
                <c:pt idx="5552">
                  <c:v>57.833654340276553</c:v>
                </c:pt>
                <c:pt idx="5553">
                  <c:v>57.84407106481374</c:v>
                </c:pt>
                <c:pt idx="5554">
                  <c:v>57.854487789350927</c:v>
                </c:pt>
                <c:pt idx="5555">
                  <c:v>57.864904513888163</c:v>
                </c:pt>
                <c:pt idx="5556">
                  <c:v>57.8753212384254</c:v>
                </c:pt>
                <c:pt idx="5557">
                  <c:v>57.885737962962587</c:v>
                </c:pt>
                <c:pt idx="5558">
                  <c:v>57.896154687499802</c:v>
                </c:pt>
                <c:pt idx="5559">
                  <c:v>57.906571412037003</c:v>
                </c:pt>
                <c:pt idx="5560">
                  <c:v>57.916988136574219</c:v>
                </c:pt>
                <c:pt idx="5561">
                  <c:v>57.927404861111413</c:v>
                </c:pt>
                <c:pt idx="5562">
                  <c:v>57.937821585648592</c:v>
                </c:pt>
                <c:pt idx="5563">
                  <c:v>57.948238310185857</c:v>
                </c:pt>
                <c:pt idx="5564">
                  <c:v>57.958655034723051</c:v>
                </c:pt>
                <c:pt idx="5565">
                  <c:v>57.969071759260238</c:v>
                </c:pt>
                <c:pt idx="5566">
                  <c:v>57.979488483797432</c:v>
                </c:pt>
                <c:pt idx="5567">
                  <c:v>57.989905208334683</c:v>
                </c:pt>
                <c:pt idx="5568">
                  <c:v>58.000321932871898</c:v>
                </c:pt>
                <c:pt idx="5569">
                  <c:v>58.0107386574091</c:v>
                </c:pt>
                <c:pt idx="5570">
                  <c:v>58.021155381946301</c:v>
                </c:pt>
                <c:pt idx="5571">
                  <c:v>58.031572106483509</c:v>
                </c:pt>
                <c:pt idx="5572">
                  <c:v>58.041988831020717</c:v>
                </c:pt>
                <c:pt idx="5573">
                  <c:v>58.052405555557932</c:v>
                </c:pt>
                <c:pt idx="5574">
                  <c:v>58.062822280095133</c:v>
                </c:pt>
                <c:pt idx="5575">
                  <c:v>58.07323900463232</c:v>
                </c:pt>
                <c:pt idx="5576">
                  <c:v>58.08365572916955</c:v>
                </c:pt>
                <c:pt idx="5577">
                  <c:v>58.094072453706737</c:v>
                </c:pt>
                <c:pt idx="5578">
                  <c:v>58.104489178243938</c:v>
                </c:pt>
                <c:pt idx="5579">
                  <c:v>58.114905902781182</c:v>
                </c:pt>
                <c:pt idx="5580">
                  <c:v>58.125322627318383</c:v>
                </c:pt>
                <c:pt idx="5581">
                  <c:v>58.135739351848308</c:v>
                </c:pt>
                <c:pt idx="5582">
                  <c:v>58.146156076385523</c:v>
                </c:pt>
                <c:pt idx="5583">
                  <c:v>58.156572800922731</c:v>
                </c:pt>
                <c:pt idx="5584">
                  <c:v>58.16698952545994</c:v>
                </c:pt>
                <c:pt idx="5585">
                  <c:v>58.177406249997148</c:v>
                </c:pt>
                <c:pt idx="5586">
                  <c:v>58.187822974534363</c:v>
                </c:pt>
                <c:pt idx="5587">
                  <c:v>58.198239699071571</c:v>
                </c:pt>
                <c:pt idx="5588">
                  <c:v>58.208656423608772</c:v>
                </c:pt>
                <c:pt idx="5589">
                  <c:v>58.219073148145981</c:v>
                </c:pt>
                <c:pt idx="5590">
                  <c:v>58.229489872683168</c:v>
                </c:pt>
                <c:pt idx="5591">
                  <c:v>58.239906597220397</c:v>
                </c:pt>
                <c:pt idx="5592">
                  <c:v>58.250323321757612</c:v>
                </c:pt>
                <c:pt idx="5593">
                  <c:v>58.260740046294821</c:v>
                </c:pt>
                <c:pt idx="5594">
                  <c:v>58.271156770832022</c:v>
                </c:pt>
                <c:pt idx="5595">
                  <c:v>58.281573495369223</c:v>
                </c:pt>
                <c:pt idx="5596">
                  <c:v>58.291990219906438</c:v>
                </c:pt>
                <c:pt idx="5597">
                  <c:v>58.302406944443653</c:v>
                </c:pt>
                <c:pt idx="5598">
                  <c:v>58.312823668980847</c:v>
                </c:pt>
                <c:pt idx="5599">
                  <c:v>58.323240393518063</c:v>
                </c:pt>
                <c:pt idx="5600">
                  <c:v>58.333657118055271</c:v>
                </c:pt>
                <c:pt idx="5601">
                  <c:v>58.344073842592458</c:v>
                </c:pt>
                <c:pt idx="5602">
                  <c:v>58.354490567129659</c:v>
                </c:pt>
                <c:pt idx="5603">
                  <c:v>58.364907291666881</c:v>
                </c:pt>
                <c:pt idx="5604">
                  <c:v>58.375324016204097</c:v>
                </c:pt>
                <c:pt idx="5605">
                  <c:v>58.385740740741298</c:v>
                </c:pt>
                <c:pt idx="5606">
                  <c:v>58.396157465278499</c:v>
                </c:pt>
                <c:pt idx="5607">
                  <c:v>58.406574189815728</c:v>
                </c:pt>
                <c:pt idx="5608">
                  <c:v>58.416990914352937</c:v>
                </c:pt>
                <c:pt idx="5609">
                  <c:v>58.427407638890138</c:v>
                </c:pt>
                <c:pt idx="5610">
                  <c:v>58.437824363427332</c:v>
                </c:pt>
                <c:pt idx="5611">
                  <c:v>58.44824108796454</c:v>
                </c:pt>
                <c:pt idx="5612">
                  <c:v>58.45865781250177</c:v>
                </c:pt>
                <c:pt idx="5613">
                  <c:v>58.469074537038978</c:v>
                </c:pt>
                <c:pt idx="5614">
                  <c:v>58.479491261576172</c:v>
                </c:pt>
                <c:pt idx="5615">
                  <c:v>58.489907986113387</c:v>
                </c:pt>
                <c:pt idx="5616">
                  <c:v>58.500324710650602</c:v>
                </c:pt>
                <c:pt idx="5617">
                  <c:v>58.510741435187803</c:v>
                </c:pt>
                <c:pt idx="5618">
                  <c:v>58.521158159725019</c:v>
                </c:pt>
                <c:pt idx="5619">
                  <c:v>58.531574884262213</c:v>
                </c:pt>
                <c:pt idx="5620">
                  <c:v>58.541991608799421</c:v>
                </c:pt>
                <c:pt idx="5621">
                  <c:v>58.552408333336643</c:v>
                </c:pt>
                <c:pt idx="5622">
                  <c:v>58.562825057873852</c:v>
                </c:pt>
                <c:pt idx="5623">
                  <c:v>58.573241782403777</c:v>
                </c:pt>
                <c:pt idx="5624">
                  <c:v>58.583658506940999</c:v>
                </c:pt>
                <c:pt idx="5625">
                  <c:v>58.5940752314782</c:v>
                </c:pt>
                <c:pt idx="5626">
                  <c:v>58.604491956015387</c:v>
                </c:pt>
                <c:pt idx="5627">
                  <c:v>58.614908680552603</c:v>
                </c:pt>
                <c:pt idx="5628">
                  <c:v>58.625325405089832</c:v>
                </c:pt>
                <c:pt idx="5629">
                  <c:v>58.635742129627033</c:v>
                </c:pt>
                <c:pt idx="5630">
                  <c:v>58.646158854164241</c:v>
                </c:pt>
                <c:pt idx="5631">
                  <c:v>58.65657557870145</c:v>
                </c:pt>
                <c:pt idx="5632">
                  <c:v>58.666992303238658</c:v>
                </c:pt>
                <c:pt idx="5633">
                  <c:v>58.677409027775873</c:v>
                </c:pt>
                <c:pt idx="5634">
                  <c:v>58.68782575231306</c:v>
                </c:pt>
                <c:pt idx="5635">
                  <c:v>58.698242476850282</c:v>
                </c:pt>
                <c:pt idx="5636">
                  <c:v>58.708659201387498</c:v>
                </c:pt>
                <c:pt idx="5637">
                  <c:v>58.719075925924699</c:v>
                </c:pt>
                <c:pt idx="5638">
                  <c:v>58.729492650461907</c:v>
                </c:pt>
                <c:pt idx="5639">
                  <c:v>58.739909374999122</c:v>
                </c:pt>
                <c:pt idx="5640">
                  <c:v>58.750326099536323</c:v>
                </c:pt>
                <c:pt idx="5641">
                  <c:v>58.760742824073532</c:v>
                </c:pt>
                <c:pt idx="5642">
                  <c:v>58.77115954861074</c:v>
                </c:pt>
                <c:pt idx="5643">
                  <c:v>58.781576273147948</c:v>
                </c:pt>
                <c:pt idx="5644">
                  <c:v>58.791992997685163</c:v>
                </c:pt>
                <c:pt idx="5645">
                  <c:v>58.80240972222235</c:v>
                </c:pt>
                <c:pt idx="5646">
                  <c:v>58.812826446759573</c:v>
                </c:pt>
                <c:pt idx="5647">
                  <c:v>58.82324317129676</c:v>
                </c:pt>
                <c:pt idx="5648">
                  <c:v>58.833659895833968</c:v>
                </c:pt>
                <c:pt idx="5649">
                  <c:v>58.844076620371197</c:v>
                </c:pt>
                <c:pt idx="5650">
                  <c:v>58.854493344908413</c:v>
                </c:pt>
                <c:pt idx="5651">
                  <c:v>58.8649100694456</c:v>
                </c:pt>
                <c:pt idx="5652">
                  <c:v>58.875326793982822</c:v>
                </c:pt>
                <c:pt idx="5653">
                  <c:v>58.88574351852003</c:v>
                </c:pt>
                <c:pt idx="5654">
                  <c:v>58.896160243057238</c:v>
                </c:pt>
                <c:pt idx="5655">
                  <c:v>58.906576967594447</c:v>
                </c:pt>
                <c:pt idx="5656">
                  <c:v>58.916993692131648</c:v>
                </c:pt>
                <c:pt idx="5657">
                  <c:v>58.927410416668863</c:v>
                </c:pt>
                <c:pt idx="5658">
                  <c:v>58.937827141206043</c:v>
                </c:pt>
                <c:pt idx="5659">
                  <c:v>58.948243865743258</c:v>
                </c:pt>
                <c:pt idx="5660">
                  <c:v>58.958660590280459</c:v>
                </c:pt>
                <c:pt idx="5661">
                  <c:v>58.969077314817703</c:v>
                </c:pt>
                <c:pt idx="5662">
                  <c:v>58.979494039354897</c:v>
                </c:pt>
                <c:pt idx="5663">
                  <c:v>58.989910763892091</c:v>
                </c:pt>
                <c:pt idx="5664">
                  <c:v>59.000327488429321</c:v>
                </c:pt>
                <c:pt idx="5665">
                  <c:v>59.010744212966507</c:v>
                </c:pt>
                <c:pt idx="5666">
                  <c:v>59.021160937496447</c:v>
                </c:pt>
                <c:pt idx="5667">
                  <c:v>59.031577662033641</c:v>
                </c:pt>
                <c:pt idx="5668">
                  <c:v>59.041994386570877</c:v>
                </c:pt>
                <c:pt idx="5669">
                  <c:v>59.0524111111081</c:v>
                </c:pt>
                <c:pt idx="5670">
                  <c:v>59.062827835645287</c:v>
                </c:pt>
                <c:pt idx="5671">
                  <c:v>59.073244560182481</c:v>
                </c:pt>
                <c:pt idx="5672">
                  <c:v>59.083661284719703</c:v>
                </c:pt>
                <c:pt idx="5673">
                  <c:v>59.094078009256897</c:v>
                </c:pt>
                <c:pt idx="5674">
                  <c:v>59.104494733794112</c:v>
                </c:pt>
                <c:pt idx="5675">
                  <c:v>59.114911458331321</c:v>
                </c:pt>
                <c:pt idx="5676">
                  <c:v>59.12532818286855</c:v>
                </c:pt>
                <c:pt idx="5677">
                  <c:v>59.135744907405751</c:v>
                </c:pt>
                <c:pt idx="5678">
                  <c:v>59.146161631942952</c:v>
                </c:pt>
                <c:pt idx="5679">
                  <c:v>59.156578356480168</c:v>
                </c:pt>
                <c:pt idx="5680">
                  <c:v>59.166995081017383</c:v>
                </c:pt>
                <c:pt idx="5681">
                  <c:v>59.177411805554577</c:v>
                </c:pt>
                <c:pt idx="5682">
                  <c:v>59.187828530091799</c:v>
                </c:pt>
                <c:pt idx="5683">
                  <c:v>59.198245254629001</c:v>
                </c:pt>
                <c:pt idx="5684">
                  <c:v>59.208661979166187</c:v>
                </c:pt>
                <c:pt idx="5685">
                  <c:v>59.219078703703403</c:v>
                </c:pt>
                <c:pt idx="5686">
                  <c:v>59.229495428240632</c:v>
                </c:pt>
                <c:pt idx="5687">
                  <c:v>59.239912152777848</c:v>
                </c:pt>
                <c:pt idx="5688">
                  <c:v>59.250328877315042</c:v>
                </c:pt>
                <c:pt idx="5689">
                  <c:v>59.26074560185225</c:v>
                </c:pt>
                <c:pt idx="5690">
                  <c:v>59.271162326389458</c:v>
                </c:pt>
                <c:pt idx="5691">
                  <c:v>59.281579050926652</c:v>
                </c:pt>
                <c:pt idx="5692">
                  <c:v>59.291995775463882</c:v>
                </c:pt>
                <c:pt idx="5693">
                  <c:v>59.302412500001083</c:v>
                </c:pt>
                <c:pt idx="5694">
                  <c:v>59.312829224538298</c:v>
                </c:pt>
                <c:pt idx="5695">
                  <c:v>59.323245949075499</c:v>
                </c:pt>
                <c:pt idx="5696">
                  <c:v>59.333662673612672</c:v>
                </c:pt>
                <c:pt idx="5697">
                  <c:v>59.344079398149923</c:v>
                </c:pt>
                <c:pt idx="5698">
                  <c:v>59.35449612268711</c:v>
                </c:pt>
                <c:pt idx="5699">
                  <c:v>59.364912847224332</c:v>
                </c:pt>
                <c:pt idx="5700">
                  <c:v>59.375329571761519</c:v>
                </c:pt>
                <c:pt idx="5701">
                  <c:v>59.385746296298748</c:v>
                </c:pt>
                <c:pt idx="5702">
                  <c:v>59.396163020835957</c:v>
                </c:pt>
                <c:pt idx="5703">
                  <c:v>59.406579745373158</c:v>
                </c:pt>
                <c:pt idx="5704">
                  <c:v>59.416996469910337</c:v>
                </c:pt>
                <c:pt idx="5705">
                  <c:v>59.427413194447567</c:v>
                </c:pt>
                <c:pt idx="5706">
                  <c:v>59.437829918984797</c:v>
                </c:pt>
                <c:pt idx="5707">
                  <c:v>59.448246643521998</c:v>
                </c:pt>
                <c:pt idx="5708">
                  <c:v>59.45866336805193</c:v>
                </c:pt>
                <c:pt idx="5709">
                  <c:v>59.469080092589138</c:v>
                </c:pt>
                <c:pt idx="5710">
                  <c:v>59.479496817126353</c:v>
                </c:pt>
                <c:pt idx="5711">
                  <c:v>59.48991354166354</c:v>
                </c:pt>
                <c:pt idx="5712">
                  <c:v>59.500330266200763</c:v>
                </c:pt>
                <c:pt idx="5713">
                  <c:v>59.510746990737971</c:v>
                </c:pt>
                <c:pt idx="5714">
                  <c:v>59.521163715275179</c:v>
                </c:pt>
                <c:pt idx="5715">
                  <c:v>59.531580439812359</c:v>
                </c:pt>
                <c:pt idx="5716">
                  <c:v>59.541997164349581</c:v>
                </c:pt>
                <c:pt idx="5717">
                  <c:v>59.552413888886811</c:v>
                </c:pt>
                <c:pt idx="5718">
                  <c:v>59.562830613424012</c:v>
                </c:pt>
                <c:pt idx="5719">
                  <c:v>59.57324733796122</c:v>
                </c:pt>
                <c:pt idx="5720">
                  <c:v>59.583664062498393</c:v>
                </c:pt>
                <c:pt idx="5721">
                  <c:v>59.594080787035622</c:v>
                </c:pt>
                <c:pt idx="5722">
                  <c:v>59.604497511572838</c:v>
                </c:pt>
                <c:pt idx="5723">
                  <c:v>59.614914236110053</c:v>
                </c:pt>
                <c:pt idx="5724">
                  <c:v>59.625330960647261</c:v>
                </c:pt>
                <c:pt idx="5725">
                  <c:v>59.635747685184462</c:v>
                </c:pt>
                <c:pt idx="5726">
                  <c:v>59.646164409721663</c:v>
                </c:pt>
                <c:pt idx="5727">
                  <c:v>59.6565811342589</c:v>
                </c:pt>
                <c:pt idx="5728">
                  <c:v>59.666997858796087</c:v>
                </c:pt>
                <c:pt idx="5729">
                  <c:v>59.677414583333281</c:v>
                </c:pt>
                <c:pt idx="5730">
                  <c:v>59.687831307870503</c:v>
                </c:pt>
                <c:pt idx="5731">
                  <c:v>59.698248032407733</c:v>
                </c:pt>
                <c:pt idx="5732">
                  <c:v>59.708664756944927</c:v>
                </c:pt>
                <c:pt idx="5733">
                  <c:v>59.719081481482107</c:v>
                </c:pt>
                <c:pt idx="5734">
                  <c:v>59.72949820601935</c:v>
                </c:pt>
                <c:pt idx="5735">
                  <c:v>59.739914930556552</c:v>
                </c:pt>
                <c:pt idx="5736">
                  <c:v>59.750331655093753</c:v>
                </c:pt>
                <c:pt idx="5737">
                  <c:v>59.760748379630968</c:v>
                </c:pt>
                <c:pt idx="5738">
                  <c:v>59.771165104168183</c:v>
                </c:pt>
                <c:pt idx="5739">
                  <c:v>59.781581828705377</c:v>
                </c:pt>
                <c:pt idx="5740">
                  <c:v>59.791998553242557</c:v>
                </c:pt>
                <c:pt idx="5741">
                  <c:v>59.802415277779801</c:v>
                </c:pt>
                <c:pt idx="5742">
                  <c:v>59.812832002316988</c:v>
                </c:pt>
                <c:pt idx="5743">
                  <c:v>59.823248726854217</c:v>
                </c:pt>
                <c:pt idx="5744">
                  <c:v>59.83366545139139</c:v>
                </c:pt>
                <c:pt idx="5745">
                  <c:v>59.844082175928619</c:v>
                </c:pt>
                <c:pt idx="5746">
                  <c:v>59.854498900465842</c:v>
                </c:pt>
                <c:pt idx="5747">
                  <c:v>59.86491562500305</c:v>
                </c:pt>
                <c:pt idx="5748">
                  <c:v>59.875332349540258</c:v>
                </c:pt>
                <c:pt idx="5749">
                  <c:v>59.885749074077452</c:v>
                </c:pt>
                <c:pt idx="5750">
                  <c:v>59.896165798614668</c:v>
                </c:pt>
                <c:pt idx="5751">
                  <c:v>59.906582523144593</c:v>
                </c:pt>
                <c:pt idx="5752">
                  <c:v>59.916999247681822</c:v>
                </c:pt>
                <c:pt idx="5753">
                  <c:v>59.927415972219023</c:v>
                </c:pt>
                <c:pt idx="5754">
                  <c:v>59.937832696756217</c:v>
                </c:pt>
                <c:pt idx="5755">
                  <c:v>59.948249421293411</c:v>
                </c:pt>
                <c:pt idx="5756">
                  <c:v>59.958666145830627</c:v>
                </c:pt>
                <c:pt idx="5757">
                  <c:v>59.969082870367863</c:v>
                </c:pt>
                <c:pt idx="5758">
                  <c:v>59.979499594905057</c:v>
                </c:pt>
                <c:pt idx="5759">
                  <c:v>59.989916319442273</c:v>
                </c:pt>
                <c:pt idx="5760">
                  <c:v>60.000333043979481</c:v>
                </c:pt>
                <c:pt idx="5761">
                  <c:v>60.010749768516661</c:v>
                </c:pt>
                <c:pt idx="5762">
                  <c:v>60.021166493053897</c:v>
                </c:pt>
                <c:pt idx="5763">
                  <c:v>60.031583217591113</c:v>
                </c:pt>
                <c:pt idx="5764">
                  <c:v>60.041999942128321</c:v>
                </c:pt>
                <c:pt idx="5765">
                  <c:v>60.052416666665501</c:v>
                </c:pt>
                <c:pt idx="5766">
                  <c:v>60.06283339120273</c:v>
                </c:pt>
                <c:pt idx="5767">
                  <c:v>60.073250115739938</c:v>
                </c:pt>
                <c:pt idx="5768">
                  <c:v>60.083666840277147</c:v>
                </c:pt>
                <c:pt idx="5769">
                  <c:v>60.094083564814341</c:v>
                </c:pt>
                <c:pt idx="5770">
                  <c:v>60.104500289351563</c:v>
                </c:pt>
                <c:pt idx="5771">
                  <c:v>60.114917013888771</c:v>
                </c:pt>
                <c:pt idx="5772">
                  <c:v>60.125333738426001</c:v>
                </c:pt>
                <c:pt idx="5773">
                  <c:v>60.135750462963202</c:v>
                </c:pt>
                <c:pt idx="5774">
                  <c:v>60.146167187500403</c:v>
                </c:pt>
                <c:pt idx="5775">
                  <c:v>60.156583912037597</c:v>
                </c:pt>
                <c:pt idx="5776">
                  <c:v>60.167000636574812</c:v>
                </c:pt>
                <c:pt idx="5777">
                  <c:v>60.177417361111999</c:v>
                </c:pt>
                <c:pt idx="5778">
                  <c:v>60.187834085649193</c:v>
                </c:pt>
                <c:pt idx="5779">
                  <c:v>60.198250810186451</c:v>
                </c:pt>
                <c:pt idx="5780">
                  <c:v>60.208667534723652</c:v>
                </c:pt>
                <c:pt idx="5781">
                  <c:v>60.219084259260832</c:v>
                </c:pt>
                <c:pt idx="5782">
                  <c:v>60.229500983798061</c:v>
                </c:pt>
                <c:pt idx="5783">
                  <c:v>60.23991770833527</c:v>
                </c:pt>
                <c:pt idx="5784">
                  <c:v>60.250334432872478</c:v>
                </c:pt>
                <c:pt idx="5785">
                  <c:v>60.2607511574097</c:v>
                </c:pt>
                <c:pt idx="5786">
                  <c:v>60.271167881946887</c:v>
                </c:pt>
                <c:pt idx="5787">
                  <c:v>60.281584606484103</c:v>
                </c:pt>
                <c:pt idx="5788">
                  <c:v>60.292001331021311</c:v>
                </c:pt>
                <c:pt idx="5789">
                  <c:v>60.302418055558498</c:v>
                </c:pt>
                <c:pt idx="5790">
                  <c:v>60.312834780095727</c:v>
                </c:pt>
                <c:pt idx="5791">
                  <c:v>60.323251504632921</c:v>
                </c:pt>
                <c:pt idx="5792">
                  <c:v>60.333668229170151</c:v>
                </c:pt>
                <c:pt idx="5793">
                  <c:v>60.34408495370004</c:v>
                </c:pt>
                <c:pt idx="5794">
                  <c:v>60.354501678237263</c:v>
                </c:pt>
                <c:pt idx="5795">
                  <c:v>60.364918402774499</c:v>
                </c:pt>
                <c:pt idx="5796">
                  <c:v>60.3753351273117</c:v>
                </c:pt>
                <c:pt idx="5797">
                  <c:v>60.385751851848887</c:v>
                </c:pt>
                <c:pt idx="5798">
                  <c:v>60.396168576386103</c:v>
                </c:pt>
                <c:pt idx="5799">
                  <c:v>60.406585300923332</c:v>
                </c:pt>
                <c:pt idx="5800">
                  <c:v>60.417002025460512</c:v>
                </c:pt>
                <c:pt idx="5801">
                  <c:v>60.427418749997742</c:v>
                </c:pt>
                <c:pt idx="5802">
                  <c:v>60.43783547453495</c:v>
                </c:pt>
                <c:pt idx="5803">
                  <c:v>60.448252199072158</c:v>
                </c:pt>
                <c:pt idx="5804">
                  <c:v>60.458668923609352</c:v>
                </c:pt>
                <c:pt idx="5805">
                  <c:v>60.469085648146567</c:v>
                </c:pt>
                <c:pt idx="5806">
                  <c:v>60.479502372683783</c:v>
                </c:pt>
                <c:pt idx="5807">
                  <c:v>60.489919097220998</c:v>
                </c:pt>
                <c:pt idx="5808">
                  <c:v>60.500335821758199</c:v>
                </c:pt>
                <c:pt idx="5809">
                  <c:v>60.510752546295407</c:v>
                </c:pt>
                <c:pt idx="5810">
                  <c:v>60.521169270832601</c:v>
                </c:pt>
                <c:pt idx="5811">
                  <c:v>60.531585995369831</c:v>
                </c:pt>
                <c:pt idx="5812">
                  <c:v>60.542002719907032</c:v>
                </c:pt>
                <c:pt idx="5813">
                  <c:v>60.55241944444424</c:v>
                </c:pt>
                <c:pt idx="5814">
                  <c:v>60.562836168981448</c:v>
                </c:pt>
                <c:pt idx="5815">
                  <c:v>60.573252893518656</c:v>
                </c:pt>
                <c:pt idx="5816">
                  <c:v>60.583669618055858</c:v>
                </c:pt>
                <c:pt idx="5817">
                  <c:v>60.594086342593073</c:v>
                </c:pt>
                <c:pt idx="5818">
                  <c:v>60.604503067130267</c:v>
                </c:pt>
                <c:pt idx="5819">
                  <c:v>60.614919791667468</c:v>
                </c:pt>
                <c:pt idx="5820">
                  <c:v>60.625336516204698</c:v>
                </c:pt>
                <c:pt idx="5821">
                  <c:v>60.635753240741913</c:v>
                </c:pt>
                <c:pt idx="5822">
                  <c:v>60.646169965279107</c:v>
                </c:pt>
                <c:pt idx="5823">
                  <c:v>60.656586689816287</c:v>
                </c:pt>
                <c:pt idx="5824">
                  <c:v>60.667003414353523</c:v>
                </c:pt>
                <c:pt idx="5825">
                  <c:v>60.677420138890739</c:v>
                </c:pt>
                <c:pt idx="5826">
                  <c:v>60.687836863427947</c:v>
                </c:pt>
                <c:pt idx="5827">
                  <c:v>60.698253587965162</c:v>
                </c:pt>
                <c:pt idx="5828">
                  <c:v>60.708670312502363</c:v>
                </c:pt>
                <c:pt idx="5829">
                  <c:v>60.71908703703955</c:v>
                </c:pt>
                <c:pt idx="5830">
                  <c:v>60.72950376157678</c:v>
                </c:pt>
                <c:pt idx="5831">
                  <c:v>60.739920486114002</c:v>
                </c:pt>
                <c:pt idx="5832">
                  <c:v>60.750337210651203</c:v>
                </c:pt>
                <c:pt idx="5833">
                  <c:v>60.760753935188411</c:v>
                </c:pt>
                <c:pt idx="5834">
                  <c:v>60.771170659725612</c:v>
                </c:pt>
                <c:pt idx="5835">
                  <c:v>60.781587384262799</c:v>
                </c:pt>
                <c:pt idx="5836">
                  <c:v>60.792004108792753</c:v>
                </c:pt>
                <c:pt idx="5837">
                  <c:v>60.802420833329961</c:v>
                </c:pt>
                <c:pt idx="5838">
                  <c:v>60.812837557867127</c:v>
                </c:pt>
                <c:pt idx="5839">
                  <c:v>60.823254282404378</c:v>
                </c:pt>
                <c:pt idx="5840">
                  <c:v>60.833671006941572</c:v>
                </c:pt>
                <c:pt idx="5841">
                  <c:v>60.844087731478787</c:v>
                </c:pt>
                <c:pt idx="5842">
                  <c:v>60.854504456015967</c:v>
                </c:pt>
                <c:pt idx="5843">
                  <c:v>60.864921180553203</c:v>
                </c:pt>
                <c:pt idx="5844">
                  <c:v>60.875337905090397</c:v>
                </c:pt>
                <c:pt idx="5845">
                  <c:v>60.885754629627613</c:v>
                </c:pt>
                <c:pt idx="5846">
                  <c:v>60.896171354164842</c:v>
                </c:pt>
                <c:pt idx="5847">
                  <c:v>60.906588078702043</c:v>
                </c:pt>
                <c:pt idx="5848">
                  <c:v>60.91700480323923</c:v>
                </c:pt>
                <c:pt idx="5849">
                  <c:v>60.927421527776438</c:v>
                </c:pt>
                <c:pt idx="5850">
                  <c:v>60.937838252313639</c:v>
                </c:pt>
                <c:pt idx="5851">
                  <c:v>60.948254976850883</c:v>
                </c:pt>
                <c:pt idx="5852">
                  <c:v>60.95867170138807</c:v>
                </c:pt>
                <c:pt idx="5853">
                  <c:v>60.9690884259253</c:v>
                </c:pt>
                <c:pt idx="5854">
                  <c:v>60.979505150462487</c:v>
                </c:pt>
                <c:pt idx="5855">
                  <c:v>60.989921874999709</c:v>
                </c:pt>
                <c:pt idx="5856">
                  <c:v>61.000338599536917</c:v>
                </c:pt>
                <c:pt idx="5857">
                  <c:v>61.010755324074132</c:v>
                </c:pt>
                <c:pt idx="5858">
                  <c:v>61.021172048611341</c:v>
                </c:pt>
                <c:pt idx="5859">
                  <c:v>61.03158877314852</c:v>
                </c:pt>
                <c:pt idx="5860">
                  <c:v>61.04200549768575</c:v>
                </c:pt>
                <c:pt idx="5861">
                  <c:v>61.052422222222958</c:v>
                </c:pt>
                <c:pt idx="5862">
                  <c:v>61.062838946760181</c:v>
                </c:pt>
                <c:pt idx="5863">
                  <c:v>61.07325567129736</c:v>
                </c:pt>
                <c:pt idx="5864">
                  <c:v>61.083672395834583</c:v>
                </c:pt>
                <c:pt idx="5865">
                  <c:v>61.094089120371798</c:v>
                </c:pt>
                <c:pt idx="5866">
                  <c:v>61.104505844908999</c:v>
                </c:pt>
                <c:pt idx="5867">
                  <c:v>61.114922569446179</c:v>
                </c:pt>
                <c:pt idx="5868">
                  <c:v>61.125339293983423</c:v>
                </c:pt>
                <c:pt idx="5869">
                  <c:v>61.135756018520631</c:v>
                </c:pt>
                <c:pt idx="5870">
                  <c:v>61.146172743057832</c:v>
                </c:pt>
                <c:pt idx="5871">
                  <c:v>61.156589467595019</c:v>
                </c:pt>
                <c:pt idx="5872">
                  <c:v>61.167006192132249</c:v>
                </c:pt>
                <c:pt idx="5873">
                  <c:v>61.177422916669457</c:v>
                </c:pt>
                <c:pt idx="5874">
                  <c:v>61.187839641206637</c:v>
                </c:pt>
                <c:pt idx="5875">
                  <c:v>61.198256365743873</c:v>
                </c:pt>
                <c:pt idx="5876">
                  <c:v>61.208673090281081</c:v>
                </c:pt>
                <c:pt idx="5877">
                  <c:v>61.21908981481829</c:v>
                </c:pt>
                <c:pt idx="5878">
                  <c:v>61.229506539348222</c:v>
                </c:pt>
                <c:pt idx="5879">
                  <c:v>61.23992326388543</c:v>
                </c:pt>
                <c:pt idx="5880">
                  <c:v>61.250339988422638</c:v>
                </c:pt>
                <c:pt idx="5881">
                  <c:v>61.260756712959868</c:v>
                </c:pt>
                <c:pt idx="5882">
                  <c:v>61.271173437497048</c:v>
                </c:pt>
                <c:pt idx="5883">
                  <c:v>61.281590162034263</c:v>
                </c:pt>
                <c:pt idx="5884">
                  <c:v>61.2920068865715</c:v>
                </c:pt>
                <c:pt idx="5885">
                  <c:v>61.302423611108672</c:v>
                </c:pt>
                <c:pt idx="5886">
                  <c:v>61.312840335645873</c:v>
                </c:pt>
                <c:pt idx="5887">
                  <c:v>61.323257060183103</c:v>
                </c:pt>
                <c:pt idx="5888">
                  <c:v>61.333673784720297</c:v>
                </c:pt>
                <c:pt idx="5889">
                  <c:v>61.344090509257477</c:v>
                </c:pt>
                <c:pt idx="5890">
                  <c:v>61.354507233794699</c:v>
                </c:pt>
                <c:pt idx="5891">
                  <c:v>61.364923958331929</c:v>
                </c:pt>
                <c:pt idx="5892">
                  <c:v>61.375340682869137</c:v>
                </c:pt>
                <c:pt idx="5893">
                  <c:v>61.385757407406331</c:v>
                </c:pt>
                <c:pt idx="5894">
                  <c:v>61.396174131943553</c:v>
                </c:pt>
                <c:pt idx="5895">
                  <c:v>61.406590856480761</c:v>
                </c:pt>
                <c:pt idx="5896">
                  <c:v>61.417007581017941</c:v>
                </c:pt>
                <c:pt idx="5897">
                  <c:v>61.427424305555178</c:v>
                </c:pt>
                <c:pt idx="5898">
                  <c:v>61.437841030092358</c:v>
                </c:pt>
                <c:pt idx="5899">
                  <c:v>61.448257754629587</c:v>
                </c:pt>
                <c:pt idx="5900">
                  <c:v>61.458674479166781</c:v>
                </c:pt>
                <c:pt idx="5901">
                  <c:v>61.469091203703996</c:v>
                </c:pt>
                <c:pt idx="5902">
                  <c:v>61.479507928241198</c:v>
                </c:pt>
                <c:pt idx="5903">
                  <c:v>61.489924652778413</c:v>
                </c:pt>
                <c:pt idx="5904">
                  <c:v>61.500341377315621</c:v>
                </c:pt>
                <c:pt idx="5905">
                  <c:v>61.510758101852851</c:v>
                </c:pt>
                <c:pt idx="5906">
                  <c:v>61.521174826390052</c:v>
                </c:pt>
                <c:pt idx="5907">
                  <c:v>61.531591550927253</c:v>
                </c:pt>
                <c:pt idx="5908">
                  <c:v>61.542008275464447</c:v>
                </c:pt>
                <c:pt idx="5909">
                  <c:v>61.552425000001683</c:v>
                </c:pt>
                <c:pt idx="5910">
                  <c:v>61.562841724538899</c:v>
                </c:pt>
                <c:pt idx="5911">
                  <c:v>61.5732584490761</c:v>
                </c:pt>
                <c:pt idx="5912">
                  <c:v>61.58367517361328</c:v>
                </c:pt>
                <c:pt idx="5913">
                  <c:v>61.594091898150509</c:v>
                </c:pt>
                <c:pt idx="5914">
                  <c:v>61.604508622687717</c:v>
                </c:pt>
                <c:pt idx="5915">
                  <c:v>61.614925347224933</c:v>
                </c:pt>
                <c:pt idx="5916">
                  <c:v>61.625342071762127</c:v>
                </c:pt>
                <c:pt idx="5917">
                  <c:v>61.635758796299342</c:v>
                </c:pt>
                <c:pt idx="5918">
                  <c:v>61.64617552083655</c:v>
                </c:pt>
                <c:pt idx="5919">
                  <c:v>61.656592245373758</c:v>
                </c:pt>
                <c:pt idx="5920">
                  <c:v>61.667008969910967</c:v>
                </c:pt>
                <c:pt idx="5921">
                  <c:v>61.677425694440899</c:v>
                </c:pt>
                <c:pt idx="5922">
                  <c:v>61.687842418978107</c:v>
                </c:pt>
                <c:pt idx="5923">
                  <c:v>61.698259143515322</c:v>
                </c:pt>
                <c:pt idx="5924">
                  <c:v>61.708675868052531</c:v>
                </c:pt>
                <c:pt idx="5925">
                  <c:v>61.719092592589732</c:v>
                </c:pt>
                <c:pt idx="5926">
                  <c:v>61.729509317126961</c:v>
                </c:pt>
                <c:pt idx="5927">
                  <c:v>61.739926041664148</c:v>
                </c:pt>
                <c:pt idx="5928">
                  <c:v>61.750342766201364</c:v>
                </c:pt>
                <c:pt idx="5929">
                  <c:v>61.760759490738558</c:v>
                </c:pt>
                <c:pt idx="5930">
                  <c:v>61.771176215275773</c:v>
                </c:pt>
                <c:pt idx="5931">
                  <c:v>61.781592939812981</c:v>
                </c:pt>
                <c:pt idx="5932">
                  <c:v>61.792009664350203</c:v>
                </c:pt>
                <c:pt idx="5933">
                  <c:v>61.802426388887397</c:v>
                </c:pt>
                <c:pt idx="5934">
                  <c:v>61.812843113424591</c:v>
                </c:pt>
                <c:pt idx="5935">
                  <c:v>61.823259837961821</c:v>
                </c:pt>
                <c:pt idx="5936">
                  <c:v>61.833676562499001</c:v>
                </c:pt>
                <c:pt idx="5937">
                  <c:v>61.844093287036209</c:v>
                </c:pt>
                <c:pt idx="5938">
                  <c:v>61.854510011573417</c:v>
                </c:pt>
                <c:pt idx="5939">
                  <c:v>61.864926736110647</c:v>
                </c:pt>
                <c:pt idx="5940">
                  <c:v>61.875343460647841</c:v>
                </c:pt>
                <c:pt idx="5941">
                  <c:v>61.885760185185063</c:v>
                </c:pt>
                <c:pt idx="5942">
                  <c:v>61.896176909722271</c:v>
                </c:pt>
                <c:pt idx="5943">
                  <c:v>61.90659363425948</c:v>
                </c:pt>
                <c:pt idx="5944">
                  <c:v>61.917010358796659</c:v>
                </c:pt>
                <c:pt idx="5945">
                  <c:v>61.927427083333882</c:v>
                </c:pt>
                <c:pt idx="5946">
                  <c:v>61.937843807871097</c:v>
                </c:pt>
                <c:pt idx="5947">
                  <c:v>61.948260532408312</c:v>
                </c:pt>
                <c:pt idx="5948">
                  <c:v>61.958677256945499</c:v>
                </c:pt>
                <c:pt idx="5949">
                  <c:v>61.969093981482729</c:v>
                </c:pt>
                <c:pt idx="5950">
                  <c:v>61.979510706019951</c:v>
                </c:pt>
                <c:pt idx="5951">
                  <c:v>61.989927430557152</c:v>
                </c:pt>
                <c:pt idx="5952">
                  <c:v>62.000344155094332</c:v>
                </c:pt>
                <c:pt idx="5953">
                  <c:v>62.01076087963154</c:v>
                </c:pt>
                <c:pt idx="5954">
                  <c:v>62.02117760416877</c:v>
                </c:pt>
                <c:pt idx="5955">
                  <c:v>62.031594328705978</c:v>
                </c:pt>
                <c:pt idx="5956">
                  <c:v>62.042011053243158</c:v>
                </c:pt>
                <c:pt idx="5957">
                  <c:v>62.05242777778038</c:v>
                </c:pt>
                <c:pt idx="5958">
                  <c:v>62.062844502317581</c:v>
                </c:pt>
                <c:pt idx="5959">
                  <c:v>62.073261226854811</c:v>
                </c:pt>
                <c:pt idx="5960">
                  <c:v>62.083677951391977</c:v>
                </c:pt>
                <c:pt idx="5961">
                  <c:v>62.094094675929227</c:v>
                </c:pt>
                <c:pt idx="5962">
                  <c:v>62.104511400466421</c:v>
                </c:pt>
                <c:pt idx="5963">
                  <c:v>62.114928124996347</c:v>
                </c:pt>
                <c:pt idx="5964">
                  <c:v>62.125344849533583</c:v>
                </c:pt>
                <c:pt idx="5965">
                  <c:v>62.135761574070798</c:v>
                </c:pt>
                <c:pt idx="5966">
                  <c:v>62.146178298608</c:v>
                </c:pt>
                <c:pt idx="5967">
                  <c:v>62.156595023145201</c:v>
                </c:pt>
                <c:pt idx="5968">
                  <c:v>62.167011747682388</c:v>
                </c:pt>
                <c:pt idx="5969">
                  <c:v>62.177428472219589</c:v>
                </c:pt>
                <c:pt idx="5970">
                  <c:v>62.187845196756832</c:v>
                </c:pt>
                <c:pt idx="5971">
                  <c:v>62.198261921294034</c:v>
                </c:pt>
                <c:pt idx="5972">
                  <c:v>62.208678645831242</c:v>
                </c:pt>
                <c:pt idx="5973">
                  <c:v>62.21909537036845</c:v>
                </c:pt>
                <c:pt idx="5974">
                  <c:v>62.229512094905679</c:v>
                </c:pt>
                <c:pt idx="5975">
                  <c:v>62.239928819442873</c:v>
                </c:pt>
                <c:pt idx="5976">
                  <c:v>62.250345543980082</c:v>
                </c:pt>
                <c:pt idx="5977">
                  <c:v>62.260762268517283</c:v>
                </c:pt>
                <c:pt idx="5978">
                  <c:v>62.271178993054498</c:v>
                </c:pt>
                <c:pt idx="5979">
                  <c:v>62.281595717591699</c:v>
                </c:pt>
                <c:pt idx="5980">
                  <c:v>62.292012442128943</c:v>
                </c:pt>
                <c:pt idx="5981">
                  <c:v>62.302429166666087</c:v>
                </c:pt>
                <c:pt idx="5982">
                  <c:v>62.31284589120331</c:v>
                </c:pt>
                <c:pt idx="5983">
                  <c:v>62.323262615740511</c:v>
                </c:pt>
                <c:pt idx="5984">
                  <c:v>62.33367934027774</c:v>
                </c:pt>
                <c:pt idx="5985">
                  <c:v>62.344096064814927</c:v>
                </c:pt>
                <c:pt idx="5986">
                  <c:v>62.354512789352142</c:v>
                </c:pt>
                <c:pt idx="5987">
                  <c:v>62.364929513889351</c:v>
                </c:pt>
                <c:pt idx="5988">
                  <c:v>62.375346238426573</c:v>
                </c:pt>
                <c:pt idx="5989">
                  <c:v>62.385762962963781</c:v>
                </c:pt>
                <c:pt idx="5990">
                  <c:v>62.396179687500997</c:v>
                </c:pt>
                <c:pt idx="5991">
                  <c:v>62.406596412038198</c:v>
                </c:pt>
                <c:pt idx="5992">
                  <c:v>62.417013136575413</c:v>
                </c:pt>
                <c:pt idx="5993">
                  <c:v>62.427429861112593</c:v>
                </c:pt>
                <c:pt idx="5994">
                  <c:v>62.437846585649787</c:v>
                </c:pt>
                <c:pt idx="5995">
                  <c:v>62.448263310187031</c:v>
                </c:pt>
                <c:pt idx="5996">
                  <c:v>62.458680034724217</c:v>
                </c:pt>
                <c:pt idx="5997">
                  <c:v>62.469096759261433</c:v>
                </c:pt>
                <c:pt idx="5998">
                  <c:v>62.479513483798641</c:v>
                </c:pt>
                <c:pt idx="5999">
                  <c:v>62.489930208335863</c:v>
                </c:pt>
                <c:pt idx="6000">
                  <c:v>62.500346932873072</c:v>
                </c:pt>
                <c:pt idx="6001">
                  <c:v>62.510763657410259</c:v>
                </c:pt>
                <c:pt idx="6002">
                  <c:v>62.521180381947467</c:v>
                </c:pt>
                <c:pt idx="6003">
                  <c:v>62.531597106484703</c:v>
                </c:pt>
                <c:pt idx="6004">
                  <c:v>62.542013831021912</c:v>
                </c:pt>
                <c:pt idx="6005">
                  <c:v>62.552430555559113</c:v>
                </c:pt>
                <c:pt idx="6006">
                  <c:v>62.562847280089052</c:v>
                </c:pt>
                <c:pt idx="6007">
                  <c:v>62.573264004626232</c:v>
                </c:pt>
                <c:pt idx="6008">
                  <c:v>62.58368072916344</c:v>
                </c:pt>
                <c:pt idx="6009">
                  <c:v>62.594097453700641</c:v>
                </c:pt>
                <c:pt idx="6010">
                  <c:v>62.604514178237878</c:v>
                </c:pt>
                <c:pt idx="6011">
                  <c:v>62.6149309027751</c:v>
                </c:pt>
                <c:pt idx="6012">
                  <c:v>62.625347627312287</c:v>
                </c:pt>
                <c:pt idx="6013">
                  <c:v>62.635764351849502</c:v>
                </c:pt>
                <c:pt idx="6014">
                  <c:v>62.646181076386704</c:v>
                </c:pt>
                <c:pt idx="6015">
                  <c:v>62.656597800923919</c:v>
                </c:pt>
                <c:pt idx="6016">
                  <c:v>62.667014525461127</c:v>
                </c:pt>
                <c:pt idx="6017">
                  <c:v>62.677431249998342</c:v>
                </c:pt>
                <c:pt idx="6018">
                  <c:v>62.687847974535543</c:v>
                </c:pt>
                <c:pt idx="6019">
                  <c:v>62.698264699072752</c:v>
                </c:pt>
                <c:pt idx="6020">
                  <c:v>62.708681423609953</c:v>
                </c:pt>
                <c:pt idx="6021">
                  <c:v>62.719098148147168</c:v>
                </c:pt>
                <c:pt idx="6022">
                  <c:v>62.729514872684383</c:v>
                </c:pt>
                <c:pt idx="6023">
                  <c:v>62.739931597221577</c:v>
                </c:pt>
                <c:pt idx="6024">
                  <c:v>62.7503483217588</c:v>
                </c:pt>
                <c:pt idx="6025">
                  <c:v>62.760765046296001</c:v>
                </c:pt>
                <c:pt idx="6026">
                  <c:v>62.771181770833188</c:v>
                </c:pt>
                <c:pt idx="6027">
                  <c:v>62.781598495370403</c:v>
                </c:pt>
                <c:pt idx="6028">
                  <c:v>62.792015219907633</c:v>
                </c:pt>
                <c:pt idx="6029">
                  <c:v>62.802431944444841</c:v>
                </c:pt>
                <c:pt idx="6030">
                  <c:v>62.812848668982021</c:v>
                </c:pt>
                <c:pt idx="6031">
                  <c:v>62.82326539351925</c:v>
                </c:pt>
                <c:pt idx="6032">
                  <c:v>62.833682118056437</c:v>
                </c:pt>
                <c:pt idx="6033">
                  <c:v>62.844098842593652</c:v>
                </c:pt>
                <c:pt idx="6034">
                  <c:v>62.854515567130868</c:v>
                </c:pt>
                <c:pt idx="6035">
                  <c:v>62.864932291668083</c:v>
                </c:pt>
                <c:pt idx="6036">
                  <c:v>62.875349016205298</c:v>
                </c:pt>
                <c:pt idx="6037">
                  <c:v>62.885765740742492</c:v>
                </c:pt>
                <c:pt idx="6038">
                  <c:v>62.896182465279708</c:v>
                </c:pt>
                <c:pt idx="6039">
                  <c:v>62.906599189816902</c:v>
                </c:pt>
                <c:pt idx="6040">
                  <c:v>62.917015914354131</c:v>
                </c:pt>
                <c:pt idx="6041">
                  <c:v>62.927432638891332</c:v>
                </c:pt>
                <c:pt idx="6042">
                  <c:v>62.937849363428519</c:v>
                </c:pt>
                <c:pt idx="6043">
                  <c:v>62.948266087965749</c:v>
                </c:pt>
                <c:pt idx="6044">
                  <c:v>62.958682812502957</c:v>
                </c:pt>
                <c:pt idx="6045">
                  <c:v>62.969099537040151</c:v>
                </c:pt>
                <c:pt idx="6046">
                  <c:v>62.979516261577373</c:v>
                </c:pt>
                <c:pt idx="6047">
                  <c:v>62.989932986114582</c:v>
                </c:pt>
                <c:pt idx="6048">
                  <c:v>63.000349710651797</c:v>
                </c:pt>
                <c:pt idx="6049">
                  <c:v>63.010766435181722</c:v>
                </c:pt>
                <c:pt idx="6050">
                  <c:v>63.021183159718923</c:v>
                </c:pt>
                <c:pt idx="6051">
                  <c:v>63.031599884256117</c:v>
                </c:pt>
                <c:pt idx="6052">
                  <c:v>63.042016608793347</c:v>
                </c:pt>
                <c:pt idx="6053">
                  <c:v>63.052433333330548</c:v>
                </c:pt>
                <c:pt idx="6054">
                  <c:v>63.062850057867763</c:v>
                </c:pt>
                <c:pt idx="6055">
                  <c:v>63.073266782404971</c:v>
                </c:pt>
                <c:pt idx="6056">
                  <c:v>63.083683506942158</c:v>
                </c:pt>
                <c:pt idx="6057">
                  <c:v>63.094100231479402</c:v>
                </c:pt>
                <c:pt idx="6058">
                  <c:v>63.104516956016603</c:v>
                </c:pt>
                <c:pt idx="6059">
                  <c:v>63.114933680553811</c:v>
                </c:pt>
                <c:pt idx="6060">
                  <c:v>63.125350405091012</c:v>
                </c:pt>
                <c:pt idx="6061">
                  <c:v>63.135767129628221</c:v>
                </c:pt>
                <c:pt idx="6062">
                  <c:v>63.146183854165429</c:v>
                </c:pt>
                <c:pt idx="6063">
                  <c:v>63.156600578702609</c:v>
                </c:pt>
                <c:pt idx="6064">
                  <c:v>63.167017303239852</c:v>
                </c:pt>
                <c:pt idx="6065">
                  <c:v>63.177434027777053</c:v>
                </c:pt>
                <c:pt idx="6066">
                  <c:v>63.18785075231424</c:v>
                </c:pt>
                <c:pt idx="6067">
                  <c:v>63.19826747685147</c:v>
                </c:pt>
                <c:pt idx="6068">
                  <c:v>63.208684201388657</c:v>
                </c:pt>
                <c:pt idx="6069">
                  <c:v>63.2191009259259</c:v>
                </c:pt>
                <c:pt idx="6070">
                  <c:v>63.229517650463102</c:v>
                </c:pt>
                <c:pt idx="6071">
                  <c:v>63.239934375000303</c:v>
                </c:pt>
                <c:pt idx="6072">
                  <c:v>63.250351099537497</c:v>
                </c:pt>
                <c:pt idx="6073">
                  <c:v>63.260767824074733</c:v>
                </c:pt>
                <c:pt idx="6074">
                  <c:v>63.271184548611927</c:v>
                </c:pt>
                <c:pt idx="6075">
                  <c:v>63.281601273149121</c:v>
                </c:pt>
                <c:pt idx="6076">
                  <c:v>63.292017997686351</c:v>
                </c:pt>
                <c:pt idx="6077">
                  <c:v>63.302434722223538</c:v>
                </c:pt>
                <c:pt idx="6078">
                  <c:v>63.312851446760753</c:v>
                </c:pt>
                <c:pt idx="6079">
                  <c:v>63.32326817129794</c:v>
                </c:pt>
                <c:pt idx="6080">
                  <c:v>63.333684895835162</c:v>
                </c:pt>
                <c:pt idx="6081">
                  <c:v>63.344101620372371</c:v>
                </c:pt>
                <c:pt idx="6082">
                  <c:v>63.3545183449096</c:v>
                </c:pt>
                <c:pt idx="6083">
                  <c:v>63.364935069446787</c:v>
                </c:pt>
                <c:pt idx="6084">
                  <c:v>63.375351793984009</c:v>
                </c:pt>
                <c:pt idx="6085">
                  <c:v>63.385768518521218</c:v>
                </c:pt>
                <c:pt idx="6086">
                  <c:v>63.396185243058433</c:v>
                </c:pt>
                <c:pt idx="6087">
                  <c:v>63.40660196759562</c:v>
                </c:pt>
                <c:pt idx="6088">
                  <c:v>63.417018692132842</c:v>
                </c:pt>
                <c:pt idx="6089">
                  <c:v>63.42743541667005</c:v>
                </c:pt>
                <c:pt idx="6090">
                  <c:v>63.437852141207237</c:v>
                </c:pt>
                <c:pt idx="6091">
                  <c:v>63.44826886573717</c:v>
                </c:pt>
                <c:pt idx="6092">
                  <c:v>63.458685590274378</c:v>
                </c:pt>
                <c:pt idx="6093">
                  <c:v>63.469102314811607</c:v>
                </c:pt>
                <c:pt idx="6094">
                  <c:v>63.479519039348823</c:v>
                </c:pt>
                <c:pt idx="6095">
                  <c:v>63.489935763886017</c:v>
                </c:pt>
                <c:pt idx="6096">
                  <c:v>63.500352488423232</c:v>
                </c:pt>
                <c:pt idx="6097">
                  <c:v>63.51076921296044</c:v>
                </c:pt>
                <c:pt idx="6098">
                  <c:v>63.521185937497648</c:v>
                </c:pt>
                <c:pt idx="6099">
                  <c:v>63.531602662034857</c:v>
                </c:pt>
                <c:pt idx="6100">
                  <c:v>63.542019386572072</c:v>
                </c:pt>
                <c:pt idx="6101">
                  <c:v>63.552436111109273</c:v>
                </c:pt>
                <c:pt idx="6102">
                  <c:v>63.562852835646467</c:v>
                </c:pt>
                <c:pt idx="6103">
                  <c:v>63.573269560183668</c:v>
                </c:pt>
                <c:pt idx="6104">
                  <c:v>63.583686284720898</c:v>
                </c:pt>
                <c:pt idx="6105">
                  <c:v>63.594103009258113</c:v>
                </c:pt>
                <c:pt idx="6106">
                  <c:v>63.604519733795307</c:v>
                </c:pt>
                <c:pt idx="6107">
                  <c:v>63.614936458332487</c:v>
                </c:pt>
                <c:pt idx="6108">
                  <c:v>63.625353182869752</c:v>
                </c:pt>
                <c:pt idx="6109">
                  <c:v>63.635769907406939</c:v>
                </c:pt>
                <c:pt idx="6110">
                  <c:v>63.646186631944147</c:v>
                </c:pt>
                <c:pt idx="6111">
                  <c:v>63.656603356481362</c:v>
                </c:pt>
                <c:pt idx="6112">
                  <c:v>63.667020081018542</c:v>
                </c:pt>
                <c:pt idx="6113">
                  <c:v>63.677436805555772</c:v>
                </c:pt>
                <c:pt idx="6114">
                  <c:v>63.687853530092973</c:v>
                </c:pt>
                <c:pt idx="6115">
                  <c:v>63.698270254630202</c:v>
                </c:pt>
                <c:pt idx="6116">
                  <c:v>63.708686979167403</c:v>
                </c:pt>
                <c:pt idx="6117">
                  <c:v>63.719103703704597</c:v>
                </c:pt>
                <c:pt idx="6118">
                  <c:v>63.729520428241813</c:v>
                </c:pt>
                <c:pt idx="6119">
                  <c:v>63.739937152779021</c:v>
                </c:pt>
                <c:pt idx="6120">
                  <c:v>63.750353877316208</c:v>
                </c:pt>
                <c:pt idx="6121">
                  <c:v>63.760770601853437</c:v>
                </c:pt>
                <c:pt idx="6122">
                  <c:v>63.771187326390653</c:v>
                </c:pt>
                <c:pt idx="6123">
                  <c:v>63.781604050927847</c:v>
                </c:pt>
                <c:pt idx="6124">
                  <c:v>63.792020775465062</c:v>
                </c:pt>
                <c:pt idx="6125">
                  <c:v>63.802437500002249</c:v>
                </c:pt>
                <c:pt idx="6126">
                  <c:v>63.812854224539478</c:v>
                </c:pt>
                <c:pt idx="6127">
                  <c:v>63.823270949076701</c:v>
                </c:pt>
                <c:pt idx="6128">
                  <c:v>63.833687673613859</c:v>
                </c:pt>
                <c:pt idx="6129">
                  <c:v>63.844104398151103</c:v>
                </c:pt>
                <c:pt idx="6130">
                  <c:v>63.85452112268829</c:v>
                </c:pt>
                <c:pt idx="6131">
                  <c:v>63.864937847225512</c:v>
                </c:pt>
                <c:pt idx="6132">
                  <c:v>63.875354571762713</c:v>
                </c:pt>
                <c:pt idx="6133">
                  <c:v>63.885771296292639</c:v>
                </c:pt>
                <c:pt idx="6134">
                  <c:v>63.896188020829882</c:v>
                </c:pt>
                <c:pt idx="6135">
                  <c:v>63.906604745367062</c:v>
                </c:pt>
                <c:pt idx="6136">
                  <c:v>63.917021469904263</c:v>
                </c:pt>
                <c:pt idx="6137">
                  <c:v>63.9274381944415</c:v>
                </c:pt>
                <c:pt idx="6138">
                  <c:v>63.937854918978701</c:v>
                </c:pt>
                <c:pt idx="6139">
                  <c:v>63.948271643515909</c:v>
                </c:pt>
                <c:pt idx="6140">
                  <c:v>63.958688368053103</c:v>
                </c:pt>
                <c:pt idx="6141">
                  <c:v>63.969105092590333</c:v>
                </c:pt>
                <c:pt idx="6142">
                  <c:v>63.979521817127527</c:v>
                </c:pt>
                <c:pt idx="6143">
                  <c:v>63.989938541664742</c:v>
                </c:pt>
                <c:pt idx="6144">
                  <c:v>64.00035526620195</c:v>
                </c:pt>
                <c:pt idx="6145">
                  <c:v>64.010771990739144</c:v>
                </c:pt>
                <c:pt idx="6146">
                  <c:v>64.021188715276352</c:v>
                </c:pt>
                <c:pt idx="6147">
                  <c:v>64.031605439813603</c:v>
                </c:pt>
                <c:pt idx="6148">
                  <c:v>64.042022164350783</c:v>
                </c:pt>
                <c:pt idx="6149">
                  <c:v>64.052438888887934</c:v>
                </c:pt>
                <c:pt idx="6150">
                  <c:v>64.062855613425171</c:v>
                </c:pt>
                <c:pt idx="6151">
                  <c:v>64.073272337962365</c:v>
                </c:pt>
                <c:pt idx="6152">
                  <c:v>64.083689062499587</c:v>
                </c:pt>
                <c:pt idx="6153">
                  <c:v>64.094105787036824</c:v>
                </c:pt>
                <c:pt idx="6154">
                  <c:v>64.104522511574004</c:v>
                </c:pt>
                <c:pt idx="6155">
                  <c:v>64.11493923611124</c:v>
                </c:pt>
                <c:pt idx="6156">
                  <c:v>64.125355960648449</c:v>
                </c:pt>
                <c:pt idx="6157">
                  <c:v>64.135772685185628</c:v>
                </c:pt>
                <c:pt idx="6158">
                  <c:v>64.146189409722865</c:v>
                </c:pt>
                <c:pt idx="6159">
                  <c:v>64.156606134260045</c:v>
                </c:pt>
                <c:pt idx="6160">
                  <c:v>64.167022858797282</c:v>
                </c:pt>
                <c:pt idx="6161">
                  <c:v>64.177439583334476</c:v>
                </c:pt>
                <c:pt idx="6162">
                  <c:v>64.18785630787167</c:v>
                </c:pt>
                <c:pt idx="6163">
                  <c:v>64.198273032408864</c:v>
                </c:pt>
                <c:pt idx="6164">
                  <c:v>64.208689756946114</c:v>
                </c:pt>
                <c:pt idx="6165">
                  <c:v>64.219106481483323</c:v>
                </c:pt>
                <c:pt idx="6166">
                  <c:v>64.229523206020531</c:v>
                </c:pt>
                <c:pt idx="6167">
                  <c:v>64.239939930557739</c:v>
                </c:pt>
                <c:pt idx="6168">
                  <c:v>64.250356655094919</c:v>
                </c:pt>
                <c:pt idx="6169">
                  <c:v>64.260773379632155</c:v>
                </c:pt>
                <c:pt idx="6170">
                  <c:v>64.271190104169349</c:v>
                </c:pt>
                <c:pt idx="6171">
                  <c:v>64.281606828706572</c:v>
                </c:pt>
                <c:pt idx="6172">
                  <c:v>64.292023553243794</c:v>
                </c:pt>
                <c:pt idx="6173">
                  <c:v>64.302440277780946</c:v>
                </c:pt>
                <c:pt idx="6174">
                  <c:v>64.312857002318182</c:v>
                </c:pt>
                <c:pt idx="6175">
                  <c:v>64.323273726855376</c:v>
                </c:pt>
                <c:pt idx="6176">
                  <c:v>64.333690451385337</c:v>
                </c:pt>
                <c:pt idx="6177">
                  <c:v>64.344107175922545</c:v>
                </c:pt>
                <c:pt idx="6178">
                  <c:v>64.354523900459753</c:v>
                </c:pt>
                <c:pt idx="6179">
                  <c:v>64.364940624996962</c:v>
                </c:pt>
                <c:pt idx="6180">
                  <c:v>64.375357349534113</c:v>
                </c:pt>
                <c:pt idx="6181">
                  <c:v>64.385774074071335</c:v>
                </c:pt>
                <c:pt idx="6182">
                  <c:v>64.396190798608586</c:v>
                </c:pt>
                <c:pt idx="6183">
                  <c:v>64.406607523145794</c:v>
                </c:pt>
                <c:pt idx="6184">
                  <c:v>64.417024247683003</c:v>
                </c:pt>
                <c:pt idx="6185">
                  <c:v>64.427440972220211</c:v>
                </c:pt>
                <c:pt idx="6186">
                  <c:v>64.437857696757433</c:v>
                </c:pt>
                <c:pt idx="6187">
                  <c:v>64.448274421294613</c:v>
                </c:pt>
                <c:pt idx="6188">
                  <c:v>64.458691145831807</c:v>
                </c:pt>
                <c:pt idx="6189">
                  <c:v>64.469107870369044</c:v>
                </c:pt>
                <c:pt idx="6190">
                  <c:v>64.479524594906266</c:v>
                </c:pt>
                <c:pt idx="6191">
                  <c:v>64.489941319443446</c:v>
                </c:pt>
                <c:pt idx="6192">
                  <c:v>64.50035804398064</c:v>
                </c:pt>
                <c:pt idx="6193">
                  <c:v>64.510774768517877</c:v>
                </c:pt>
                <c:pt idx="6194">
                  <c:v>64.521191493055085</c:v>
                </c:pt>
                <c:pt idx="6195">
                  <c:v>64.531608217592279</c:v>
                </c:pt>
                <c:pt idx="6196">
                  <c:v>64.542024942129501</c:v>
                </c:pt>
                <c:pt idx="6197">
                  <c:v>64.552441666666681</c:v>
                </c:pt>
                <c:pt idx="6198">
                  <c:v>64.562858391203903</c:v>
                </c:pt>
                <c:pt idx="6199">
                  <c:v>64.573275115741083</c:v>
                </c:pt>
                <c:pt idx="6200">
                  <c:v>64.583691840278334</c:v>
                </c:pt>
                <c:pt idx="6201">
                  <c:v>64.594108564815571</c:v>
                </c:pt>
                <c:pt idx="6202">
                  <c:v>64.604525289352793</c:v>
                </c:pt>
                <c:pt idx="6203">
                  <c:v>64.614942013889916</c:v>
                </c:pt>
                <c:pt idx="6204">
                  <c:v>64.625358738427082</c:v>
                </c:pt>
                <c:pt idx="6205">
                  <c:v>64.635775462964332</c:v>
                </c:pt>
                <c:pt idx="6206">
                  <c:v>64.646192187501555</c:v>
                </c:pt>
                <c:pt idx="6207">
                  <c:v>64.656608912038735</c:v>
                </c:pt>
                <c:pt idx="6208">
                  <c:v>64.667025636576</c:v>
                </c:pt>
                <c:pt idx="6209">
                  <c:v>64.677442361113208</c:v>
                </c:pt>
                <c:pt idx="6210">
                  <c:v>64.687859085650416</c:v>
                </c:pt>
                <c:pt idx="6211">
                  <c:v>64.698275810187582</c:v>
                </c:pt>
                <c:pt idx="6212">
                  <c:v>64.708692534724776</c:v>
                </c:pt>
                <c:pt idx="6213">
                  <c:v>64.719109259262083</c:v>
                </c:pt>
                <c:pt idx="6214">
                  <c:v>64.729525983799263</c:v>
                </c:pt>
                <c:pt idx="6215">
                  <c:v>64.739942708336443</c:v>
                </c:pt>
                <c:pt idx="6216">
                  <c:v>64.750359432873651</c:v>
                </c:pt>
                <c:pt idx="6217">
                  <c:v>64.760776157410831</c:v>
                </c:pt>
                <c:pt idx="6218">
                  <c:v>64.771192881948096</c:v>
                </c:pt>
                <c:pt idx="6219">
                  <c:v>64.781609606478014</c:v>
                </c:pt>
                <c:pt idx="6220">
                  <c:v>64.792026331015222</c:v>
                </c:pt>
                <c:pt idx="6221">
                  <c:v>64.802443055552402</c:v>
                </c:pt>
                <c:pt idx="6222">
                  <c:v>64.812859780089639</c:v>
                </c:pt>
                <c:pt idx="6223">
                  <c:v>64.82327650462679</c:v>
                </c:pt>
                <c:pt idx="6224">
                  <c:v>64.833693229164055</c:v>
                </c:pt>
                <c:pt idx="6225">
                  <c:v>64.844109953701263</c:v>
                </c:pt>
                <c:pt idx="6226">
                  <c:v>64.8545266782385</c:v>
                </c:pt>
                <c:pt idx="6227">
                  <c:v>64.864943402775694</c:v>
                </c:pt>
                <c:pt idx="6228">
                  <c:v>64.875360127312874</c:v>
                </c:pt>
                <c:pt idx="6229">
                  <c:v>64.885776851850025</c:v>
                </c:pt>
                <c:pt idx="6230">
                  <c:v>64.896193576387304</c:v>
                </c:pt>
                <c:pt idx="6231">
                  <c:v>64.906610300924513</c:v>
                </c:pt>
                <c:pt idx="6232">
                  <c:v>64.917027025461721</c:v>
                </c:pt>
                <c:pt idx="6233">
                  <c:v>64.927443749998943</c:v>
                </c:pt>
                <c:pt idx="6234">
                  <c:v>64.937860474536123</c:v>
                </c:pt>
                <c:pt idx="6235">
                  <c:v>64.948277199073345</c:v>
                </c:pt>
                <c:pt idx="6236">
                  <c:v>64.958693923610554</c:v>
                </c:pt>
                <c:pt idx="6237">
                  <c:v>64.969110648147804</c:v>
                </c:pt>
                <c:pt idx="6238">
                  <c:v>64.979527372684913</c:v>
                </c:pt>
                <c:pt idx="6239">
                  <c:v>64.989944097222207</c:v>
                </c:pt>
                <c:pt idx="6240">
                  <c:v>65.000360821759358</c:v>
                </c:pt>
                <c:pt idx="6241">
                  <c:v>65.010777546296552</c:v>
                </c:pt>
                <c:pt idx="6242">
                  <c:v>65.021194270833803</c:v>
                </c:pt>
                <c:pt idx="6243">
                  <c:v>65.031610995371054</c:v>
                </c:pt>
                <c:pt idx="6244">
                  <c:v>65.042027719908234</c:v>
                </c:pt>
                <c:pt idx="6245">
                  <c:v>65.052444444445428</c:v>
                </c:pt>
                <c:pt idx="6246">
                  <c:v>65.062861168982607</c:v>
                </c:pt>
                <c:pt idx="6247">
                  <c:v>65.073277893519787</c:v>
                </c:pt>
                <c:pt idx="6248">
                  <c:v>65.083694618057066</c:v>
                </c:pt>
                <c:pt idx="6249">
                  <c:v>65.094111342594246</c:v>
                </c:pt>
                <c:pt idx="6250">
                  <c:v>65.104528067131469</c:v>
                </c:pt>
                <c:pt idx="6251">
                  <c:v>65.114944791668677</c:v>
                </c:pt>
                <c:pt idx="6252">
                  <c:v>65.125361516205828</c:v>
                </c:pt>
                <c:pt idx="6253">
                  <c:v>65.135778240743036</c:v>
                </c:pt>
                <c:pt idx="6254">
                  <c:v>65.146194965280301</c:v>
                </c:pt>
                <c:pt idx="6255">
                  <c:v>65.156611689817552</c:v>
                </c:pt>
                <c:pt idx="6256">
                  <c:v>65.167028414354704</c:v>
                </c:pt>
                <c:pt idx="6257">
                  <c:v>65.177445138891855</c:v>
                </c:pt>
                <c:pt idx="6258">
                  <c:v>65.187861863429092</c:v>
                </c:pt>
                <c:pt idx="6259">
                  <c:v>65.198278587966314</c:v>
                </c:pt>
                <c:pt idx="6260">
                  <c:v>65.208695312503522</c:v>
                </c:pt>
                <c:pt idx="6261">
                  <c:v>65.219112037033483</c:v>
                </c:pt>
                <c:pt idx="6262">
                  <c:v>65.229528761570705</c:v>
                </c:pt>
                <c:pt idx="6263">
                  <c:v>65.239945486107899</c:v>
                </c:pt>
                <c:pt idx="6264">
                  <c:v>65.250362210645108</c:v>
                </c:pt>
                <c:pt idx="6265">
                  <c:v>65.260778935182287</c:v>
                </c:pt>
                <c:pt idx="6266">
                  <c:v>65.271195659719524</c:v>
                </c:pt>
                <c:pt idx="6267">
                  <c:v>65.281612384256732</c:v>
                </c:pt>
                <c:pt idx="6268">
                  <c:v>65.29202910879394</c:v>
                </c:pt>
                <c:pt idx="6269">
                  <c:v>65.302445833331106</c:v>
                </c:pt>
                <c:pt idx="6270">
                  <c:v>65.312862557868328</c:v>
                </c:pt>
                <c:pt idx="6271">
                  <c:v>65.323279282405551</c:v>
                </c:pt>
                <c:pt idx="6272">
                  <c:v>65.333696006942773</c:v>
                </c:pt>
                <c:pt idx="6273">
                  <c:v>65.344112731479981</c:v>
                </c:pt>
                <c:pt idx="6274">
                  <c:v>65.354529456017204</c:v>
                </c:pt>
                <c:pt idx="6275">
                  <c:v>65.364946180554369</c:v>
                </c:pt>
                <c:pt idx="6276">
                  <c:v>65.375362905091563</c:v>
                </c:pt>
                <c:pt idx="6277">
                  <c:v>65.385779629628786</c:v>
                </c:pt>
                <c:pt idx="6278">
                  <c:v>65.396196354166008</c:v>
                </c:pt>
                <c:pt idx="6279">
                  <c:v>65.406613078703245</c:v>
                </c:pt>
                <c:pt idx="6280">
                  <c:v>65.417029803240482</c:v>
                </c:pt>
                <c:pt idx="6281">
                  <c:v>65.427446527777633</c:v>
                </c:pt>
                <c:pt idx="6282">
                  <c:v>65.437863252314855</c:v>
                </c:pt>
                <c:pt idx="6283">
                  <c:v>65.448279976852064</c:v>
                </c:pt>
                <c:pt idx="6284">
                  <c:v>65.458696701389272</c:v>
                </c:pt>
                <c:pt idx="6285">
                  <c:v>65.469113425926494</c:v>
                </c:pt>
                <c:pt idx="6286">
                  <c:v>65.479530150463646</c:v>
                </c:pt>
                <c:pt idx="6287">
                  <c:v>65.489946875000882</c:v>
                </c:pt>
                <c:pt idx="6288">
                  <c:v>65.500363599538105</c:v>
                </c:pt>
                <c:pt idx="6289">
                  <c:v>65.510780324075313</c:v>
                </c:pt>
                <c:pt idx="6290">
                  <c:v>65.521197048612521</c:v>
                </c:pt>
                <c:pt idx="6291">
                  <c:v>65.531613773149743</c:v>
                </c:pt>
                <c:pt idx="6292">
                  <c:v>65.542030497686895</c:v>
                </c:pt>
                <c:pt idx="6293">
                  <c:v>65.552447222224089</c:v>
                </c:pt>
                <c:pt idx="6294">
                  <c:v>65.562863946761354</c:v>
                </c:pt>
                <c:pt idx="6295">
                  <c:v>65.573280671298562</c:v>
                </c:pt>
                <c:pt idx="6296">
                  <c:v>65.58369739583577</c:v>
                </c:pt>
                <c:pt idx="6297">
                  <c:v>65.594114120373007</c:v>
                </c:pt>
                <c:pt idx="6298">
                  <c:v>65.604530844910187</c:v>
                </c:pt>
                <c:pt idx="6299">
                  <c:v>65.614947569447395</c:v>
                </c:pt>
                <c:pt idx="6300">
                  <c:v>65.625364293984546</c:v>
                </c:pt>
                <c:pt idx="6301">
                  <c:v>65.635781018521726</c:v>
                </c:pt>
                <c:pt idx="6302">
                  <c:v>65.646197743059005</c:v>
                </c:pt>
                <c:pt idx="6303">
                  <c:v>65.656614467588952</c:v>
                </c:pt>
                <c:pt idx="6304">
                  <c:v>65.667031192126103</c:v>
                </c:pt>
                <c:pt idx="6305">
                  <c:v>65.677447916663311</c:v>
                </c:pt>
                <c:pt idx="6306">
                  <c:v>65.687864641200605</c:v>
                </c:pt>
                <c:pt idx="6307">
                  <c:v>65.698281365737785</c:v>
                </c:pt>
                <c:pt idx="6308">
                  <c:v>65.708698090274979</c:v>
                </c:pt>
                <c:pt idx="6309">
                  <c:v>65.719114814812201</c:v>
                </c:pt>
                <c:pt idx="6310">
                  <c:v>65.729531539349409</c:v>
                </c:pt>
                <c:pt idx="6311">
                  <c:v>65.739948263886589</c:v>
                </c:pt>
                <c:pt idx="6312">
                  <c:v>65.750364988423811</c:v>
                </c:pt>
                <c:pt idx="6313">
                  <c:v>65.760781712960991</c:v>
                </c:pt>
                <c:pt idx="6314">
                  <c:v>65.771198437498214</c:v>
                </c:pt>
                <c:pt idx="6315">
                  <c:v>65.781615162035465</c:v>
                </c:pt>
                <c:pt idx="6316">
                  <c:v>65.792031886572644</c:v>
                </c:pt>
                <c:pt idx="6317">
                  <c:v>65.802448611109824</c:v>
                </c:pt>
                <c:pt idx="6318">
                  <c:v>65.812865335647075</c:v>
                </c:pt>
                <c:pt idx="6319">
                  <c:v>65.823282060184255</c:v>
                </c:pt>
                <c:pt idx="6320">
                  <c:v>65.833698784721477</c:v>
                </c:pt>
                <c:pt idx="6321">
                  <c:v>65.8441155092587</c:v>
                </c:pt>
                <c:pt idx="6322">
                  <c:v>65.854532233795865</c:v>
                </c:pt>
                <c:pt idx="6323">
                  <c:v>65.864948958333116</c:v>
                </c:pt>
                <c:pt idx="6324">
                  <c:v>65.87536568287031</c:v>
                </c:pt>
                <c:pt idx="6325">
                  <c:v>65.885782407407476</c:v>
                </c:pt>
                <c:pt idx="6326">
                  <c:v>65.896199131944741</c:v>
                </c:pt>
                <c:pt idx="6327">
                  <c:v>65.906615856481906</c:v>
                </c:pt>
                <c:pt idx="6328">
                  <c:v>65.917032581019185</c:v>
                </c:pt>
                <c:pt idx="6329">
                  <c:v>65.927449305556351</c:v>
                </c:pt>
                <c:pt idx="6330">
                  <c:v>65.937866030093573</c:v>
                </c:pt>
                <c:pt idx="6331">
                  <c:v>65.948282754630782</c:v>
                </c:pt>
                <c:pt idx="6332">
                  <c:v>65.958699479168004</c:v>
                </c:pt>
                <c:pt idx="6333">
                  <c:v>65.969116203705198</c:v>
                </c:pt>
                <c:pt idx="6334">
                  <c:v>65.979532928242406</c:v>
                </c:pt>
                <c:pt idx="6335">
                  <c:v>65.989949652779615</c:v>
                </c:pt>
                <c:pt idx="6336">
                  <c:v>66.000366377316809</c:v>
                </c:pt>
                <c:pt idx="6337">
                  <c:v>66.010783101854003</c:v>
                </c:pt>
                <c:pt idx="6338">
                  <c:v>66.021199826391239</c:v>
                </c:pt>
                <c:pt idx="6339">
                  <c:v>66.031616550928433</c:v>
                </c:pt>
                <c:pt idx="6340">
                  <c:v>66.042033275465656</c:v>
                </c:pt>
                <c:pt idx="6341">
                  <c:v>66.05245000000285</c:v>
                </c:pt>
                <c:pt idx="6342">
                  <c:v>66.062866724540072</c:v>
                </c:pt>
                <c:pt idx="6343">
                  <c:v>66.073283449077294</c:v>
                </c:pt>
                <c:pt idx="6344">
                  <c:v>66.083700173614446</c:v>
                </c:pt>
                <c:pt idx="6345">
                  <c:v>66.094116898151682</c:v>
                </c:pt>
                <c:pt idx="6346">
                  <c:v>66.1045336226816</c:v>
                </c:pt>
                <c:pt idx="6347">
                  <c:v>66.114950347218823</c:v>
                </c:pt>
                <c:pt idx="6348">
                  <c:v>66.125367071755988</c:v>
                </c:pt>
                <c:pt idx="6349">
                  <c:v>66.135783796293225</c:v>
                </c:pt>
                <c:pt idx="6350">
                  <c:v>66.146200520830462</c:v>
                </c:pt>
                <c:pt idx="6351">
                  <c:v>66.156617245367698</c:v>
                </c:pt>
                <c:pt idx="6352">
                  <c:v>66.167033969904907</c:v>
                </c:pt>
                <c:pt idx="6353">
                  <c:v>66.177450694442086</c:v>
                </c:pt>
                <c:pt idx="6354">
                  <c:v>66.18786741897928</c:v>
                </c:pt>
                <c:pt idx="6355">
                  <c:v>66.198284143516474</c:v>
                </c:pt>
                <c:pt idx="6356">
                  <c:v>66.208700868053683</c:v>
                </c:pt>
                <c:pt idx="6357">
                  <c:v>66.219117592590905</c:v>
                </c:pt>
                <c:pt idx="6358">
                  <c:v>66.229534317128085</c:v>
                </c:pt>
                <c:pt idx="6359">
                  <c:v>66.239951041665336</c:v>
                </c:pt>
                <c:pt idx="6360">
                  <c:v>66.250367766202544</c:v>
                </c:pt>
                <c:pt idx="6361">
                  <c:v>66.260784490739752</c:v>
                </c:pt>
                <c:pt idx="6362">
                  <c:v>66.27120121527696</c:v>
                </c:pt>
                <c:pt idx="6363">
                  <c:v>66.281617939814197</c:v>
                </c:pt>
                <c:pt idx="6364">
                  <c:v>66.292034664351377</c:v>
                </c:pt>
                <c:pt idx="6365">
                  <c:v>66.302451388888556</c:v>
                </c:pt>
                <c:pt idx="6366">
                  <c:v>66.312868113425722</c:v>
                </c:pt>
                <c:pt idx="6367">
                  <c:v>66.323284837962973</c:v>
                </c:pt>
                <c:pt idx="6368">
                  <c:v>66.333701562500181</c:v>
                </c:pt>
                <c:pt idx="6369">
                  <c:v>66.34411828703746</c:v>
                </c:pt>
                <c:pt idx="6370">
                  <c:v>66.354535011574583</c:v>
                </c:pt>
                <c:pt idx="6371">
                  <c:v>66.364951736111806</c:v>
                </c:pt>
                <c:pt idx="6372">
                  <c:v>66.375368460649014</c:v>
                </c:pt>
                <c:pt idx="6373">
                  <c:v>66.385785185186222</c:v>
                </c:pt>
                <c:pt idx="6374">
                  <c:v>66.396201909723473</c:v>
                </c:pt>
                <c:pt idx="6375">
                  <c:v>66.406618634260667</c:v>
                </c:pt>
                <c:pt idx="6376">
                  <c:v>66.417035358797875</c:v>
                </c:pt>
                <c:pt idx="6377">
                  <c:v>66.427452083335098</c:v>
                </c:pt>
                <c:pt idx="6378">
                  <c:v>66.437868807872306</c:v>
                </c:pt>
                <c:pt idx="6379">
                  <c:v>66.448285532409471</c:v>
                </c:pt>
                <c:pt idx="6380">
                  <c:v>66.458702256946665</c:v>
                </c:pt>
                <c:pt idx="6381">
                  <c:v>66.469118981483916</c:v>
                </c:pt>
                <c:pt idx="6382">
                  <c:v>66.479535706021082</c:v>
                </c:pt>
                <c:pt idx="6383">
                  <c:v>66.489952430558304</c:v>
                </c:pt>
                <c:pt idx="6384">
                  <c:v>66.500369155095541</c:v>
                </c:pt>
                <c:pt idx="6385">
                  <c:v>66.510785879632749</c:v>
                </c:pt>
                <c:pt idx="6386">
                  <c:v>66.521202604169943</c:v>
                </c:pt>
                <c:pt idx="6387">
                  <c:v>66.531619328707194</c:v>
                </c:pt>
                <c:pt idx="6388">
                  <c:v>66.542036053244345</c:v>
                </c:pt>
                <c:pt idx="6389">
                  <c:v>66.552452777774263</c:v>
                </c:pt>
                <c:pt idx="6390">
                  <c:v>66.562869502311514</c:v>
                </c:pt>
                <c:pt idx="6391">
                  <c:v>66.573286226848708</c:v>
                </c:pt>
                <c:pt idx="6392">
                  <c:v>66.583702951385902</c:v>
                </c:pt>
                <c:pt idx="6393">
                  <c:v>66.594119675923181</c:v>
                </c:pt>
                <c:pt idx="6394">
                  <c:v>66.604536400460319</c:v>
                </c:pt>
                <c:pt idx="6395">
                  <c:v>66.614953124997555</c:v>
                </c:pt>
                <c:pt idx="6396">
                  <c:v>66.625369849534707</c:v>
                </c:pt>
                <c:pt idx="6397">
                  <c:v>66.635786574071915</c:v>
                </c:pt>
                <c:pt idx="6398">
                  <c:v>66.646203298609194</c:v>
                </c:pt>
                <c:pt idx="6399">
                  <c:v>66.656620023146402</c:v>
                </c:pt>
                <c:pt idx="6400">
                  <c:v>66.667036747683554</c:v>
                </c:pt>
                <c:pt idx="6401">
                  <c:v>66.677453472220776</c:v>
                </c:pt>
                <c:pt idx="6402">
                  <c:v>66.687870196757956</c:v>
                </c:pt>
                <c:pt idx="6403">
                  <c:v>66.698286921295221</c:v>
                </c:pt>
                <c:pt idx="6404">
                  <c:v>66.708703645832443</c:v>
                </c:pt>
                <c:pt idx="6405">
                  <c:v>66.719120370369623</c:v>
                </c:pt>
                <c:pt idx="6406">
                  <c:v>66.729537094906817</c:v>
                </c:pt>
                <c:pt idx="6407">
                  <c:v>66.739953819444054</c:v>
                </c:pt>
                <c:pt idx="6408">
                  <c:v>66.750370543981205</c:v>
                </c:pt>
                <c:pt idx="6409">
                  <c:v>66.76078726851847</c:v>
                </c:pt>
                <c:pt idx="6410">
                  <c:v>66.771203993055707</c:v>
                </c:pt>
                <c:pt idx="6411">
                  <c:v>66.781620717592887</c:v>
                </c:pt>
                <c:pt idx="6412">
                  <c:v>66.792037442130081</c:v>
                </c:pt>
                <c:pt idx="6413">
                  <c:v>66.802454166667275</c:v>
                </c:pt>
                <c:pt idx="6414">
                  <c:v>66.812870891204483</c:v>
                </c:pt>
                <c:pt idx="6415">
                  <c:v>66.823287615741705</c:v>
                </c:pt>
                <c:pt idx="6416">
                  <c:v>66.833704340278928</c:v>
                </c:pt>
                <c:pt idx="6417">
                  <c:v>66.844121064816164</c:v>
                </c:pt>
                <c:pt idx="6418">
                  <c:v>66.854537789353344</c:v>
                </c:pt>
                <c:pt idx="6419">
                  <c:v>66.864954513890552</c:v>
                </c:pt>
                <c:pt idx="6420">
                  <c:v>66.875371238427675</c:v>
                </c:pt>
                <c:pt idx="6421">
                  <c:v>66.885787962964912</c:v>
                </c:pt>
                <c:pt idx="6422">
                  <c:v>66.896204687502205</c:v>
                </c:pt>
                <c:pt idx="6423">
                  <c:v>66.906621412039385</c:v>
                </c:pt>
                <c:pt idx="6424">
                  <c:v>66.917038136576537</c:v>
                </c:pt>
                <c:pt idx="6425">
                  <c:v>66.927454861113802</c:v>
                </c:pt>
                <c:pt idx="6426">
                  <c:v>66.93787158565101</c:v>
                </c:pt>
                <c:pt idx="6427">
                  <c:v>66.948288310188204</c:v>
                </c:pt>
                <c:pt idx="6428">
                  <c:v>66.958705034725384</c:v>
                </c:pt>
                <c:pt idx="6429">
                  <c:v>66.969121759262663</c:v>
                </c:pt>
                <c:pt idx="6430">
                  <c:v>66.979538483799814</c:v>
                </c:pt>
                <c:pt idx="6431">
                  <c:v>66.989955208329775</c:v>
                </c:pt>
              </c:numCache>
            </c:numRef>
          </c:xVal>
          <c:yVal>
            <c:numRef>
              <c:f>Sheet1!$C$3:$C$6434</c:f>
              <c:numCache>
                <c:formatCode>General</c:formatCode>
                <c:ptCount val="6432"/>
                <c:pt idx="0">
                  <c:v>18.521000000000001</c:v>
                </c:pt>
                <c:pt idx="1">
                  <c:v>18.616</c:v>
                </c:pt>
                <c:pt idx="2">
                  <c:v>18.710999999999999</c:v>
                </c:pt>
                <c:pt idx="3">
                  <c:v>18.616</c:v>
                </c:pt>
                <c:pt idx="4">
                  <c:v>18.710999999999999</c:v>
                </c:pt>
                <c:pt idx="5">
                  <c:v>18.710999999999999</c:v>
                </c:pt>
                <c:pt idx="6">
                  <c:v>18.521000000000001</c:v>
                </c:pt>
                <c:pt idx="7">
                  <c:v>18.616</c:v>
                </c:pt>
                <c:pt idx="8">
                  <c:v>18.616</c:v>
                </c:pt>
                <c:pt idx="9">
                  <c:v>18.521000000000001</c:v>
                </c:pt>
                <c:pt idx="10">
                  <c:v>18.521000000000001</c:v>
                </c:pt>
                <c:pt idx="11">
                  <c:v>18.521000000000001</c:v>
                </c:pt>
                <c:pt idx="12">
                  <c:v>18.521000000000001</c:v>
                </c:pt>
                <c:pt idx="13">
                  <c:v>18.521000000000001</c:v>
                </c:pt>
                <c:pt idx="14">
                  <c:v>18.425999999999981</c:v>
                </c:pt>
                <c:pt idx="15">
                  <c:v>18.521000000000001</c:v>
                </c:pt>
                <c:pt idx="16">
                  <c:v>18.616</c:v>
                </c:pt>
                <c:pt idx="17">
                  <c:v>18.616</c:v>
                </c:pt>
                <c:pt idx="18">
                  <c:v>18.616</c:v>
                </c:pt>
                <c:pt idx="19">
                  <c:v>18.521000000000001</c:v>
                </c:pt>
                <c:pt idx="20">
                  <c:v>18.521000000000001</c:v>
                </c:pt>
                <c:pt idx="21">
                  <c:v>18.425999999999981</c:v>
                </c:pt>
                <c:pt idx="22">
                  <c:v>18.521000000000001</c:v>
                </c:pt>
                <c:pt idx="23">
                  <c:v>18.425999999999981</c:v>
                </c:pt>
                <c:pt idx="24">
                  <c:v>18.425999999999981</c:v>
                </c:pt>
                <c:pt idx="25">
                  <c:v>18.236000000000001</c:v>
                </c:pt>
                <c:pt idx="26">
                  <c:v>18.045000000000002</c:v>
                </c:pt>
                <c:pt idx="27">
                  <c:v>18.14</c:v>
                </c:pt>
                <c:pt idx="28">
                  <c:v>18.045000000000002</c:v>
                </c:pt>
                <c:pt idx="29">
                  <c:v>18.045000000000002</c:v>
                </c:pt>
                <c:pt idx="30">
                  <c:v>18.045000000000002</c:v>
                </c:pt>
                <c:pt idx="31">
                  <c:v>18.045000000000002</c:v>
                </c:pt>
                <c:pt idx="32">
                  <c:v>18.14</c:v>
                </c:pt>
                <c:pt idx="33">
                  <c:v>18.331</c:v>
                </c:pt>
                <c:pt idx="34">
                  <c:v>18.331</c:v>
                </c:pt>
                <c:pt idx="35">
                  <c:v>18.425999999999981</c:v>
                </c:pt>
                <c:pt idx="36">
                  <c:v>18.425999999999981</c:v>
                </c:pt>
                <c:pt idx="37">
                  <c:v>18.616</c:v>
                </c:pt>
                <c:pt idx="38">
                  <c:v>18.710999999999999</c:v>
                </c:pt>
                <c:pt idx="39">
                  <c:v>18.710999999999999</c:v>
                </c:pt>
                <c:pt idx="40">
                  <c:v>18.710999999999999</c:v>
                </c:pt>
                <c:pt idx="41">
                  <c:v>18.710999999999999</c:v>
                </c:pt>
                <c:pt idx="42">
                  <c:v>18.710999999999999</c:v>
                </c:pt>
                <c:pt idx="43">
                  <c:v>18.521000000000001</c:v>
                </c:pt>
                <c:pt idx="44">
                  <c:v>18.425999999999981</c:v>
                </c:pt>
                <c:pt idx="45">
                  <c:v>18.331</c:v>
                </c:pt>
                <c:pt idx="46">
                  <c:v>18.331</c:v>
                </c:pt>
                <c:pt idx="47">
                  <c:v>18.425999999999981</c:v>
                </c:pt>
                <c:pt idx="48">
                  <c:v>18.331</c:v>
                </c:pt>
                <c:pt idx="49">
                  <c:v>18.521000000000001</c:v>
                </c:pt>
                <c:pt idx="50">
                  <c:v>18.521000000000001</c:v>
                </c:pt>
                <c:pt idx="51">
                  <c:v>18.425999999999981</c:v>
                </c:pt>
                <c:pt idx="52">
                  <c:v>18.616</c:v>
                </c:pt>
                <c:pt idx="53">
                  <c:v>18.616</c:v>
                </c:pt>
                <c:pt idx="54">
                  <c:v>18.521000000000001</c:v>
                </c:pt>
                <c:pt idx="55">
                  <c:v>18.710999999999999</c:v>
                </c:pt>
                <c:pt idx="56">
                  <c:v>18.710999999999999</c:v>
                </c:pt>
                <c:pt idx="57">
                  <c:v>18.616</c:v>
                </c:pt>
                <c:pt idx="58">
                  <c:v>18.521000000000001</c:v>
                </c:pt>
                <c:pt idx="59">
                  <c:v>18.521000000000001</c:v>
                </c:pt>
                <c:pt idx="60">
                  <c:v>18.616</c:v>
                </c:pt>
                <c:pt idx="61">
                  <c:v>18.425999999999981</c:v>
                </c:pt>
                <c:pt idx="62">
                  <c:v>18.521000000000001</c:v>
                </c:pt>
                <c:pt idx="63">
                  <c:v>18.521000000000001</c:v>
                </c:pt>
                <c:pt idx="64">
                  <c:v>18.521000000000001</c:v>
                </c:pt>
                <c:pt idx="65">
                  <c:v>18.521000000000001</c:v>
                </c:pt>
                <c:pt idx="66">
                  <c:v>18.521000000000001</c:v>
                </c:pt>
                <c:pt idx="67">
                  <c:v>18.521000000000001</c:v>
                </c:pt>
                <c:pt idx="68">
                  <c:v>18.425999999999981</c:v>
                </c:pt>
                <c:pt idx="69">
                  <c:v>18.425999999999981</c:v>
                </c:pt>
                <c:pt idx="70">
                  <c:v>18.425999999999981</c:v>
                </c:pt>
                <c:pt idx="71">
                  <c:v>18.425999999999981</c:v>
                </c:pt>
                <c:pt idx="72">
                  <c:v>18.331</c:v>
                </c:pt>
                <c:pt idx="73">
                  <c:v>18.331</c:v>
                </c:pt>
                <c:pt idx="74">
                  <c:v>18.331</c:v>
                </c:pt>
                <c:pt idx="75">
                  <c:v>18.331</c:v>
                </c:pt>
                <c:pt idx="76">
                  <c:v>18.331</c:v>
                </c:pt>
                <c:pt idx="77">
                  <c:v>18.331</c:v>
                </c:pt>
                <c:pt idx="78">
                  <c:v>18.331</c:v>
                </c:pt>
                <c:pt idx="79">
                  <c:v>18.331</c:v>
                </c:pt>
                <c:pt idx="80">
                  <c:v>18.331</c:v>
                </c:pt>
                <c:pt idx="81">
                  <c:v>18.331</c:v>
                </c:pt>
                <c:pt idx="82">
                  <c:v>18.14</c:v>
                </c:pt>
                <c:pt idx="83">
                  <c:v>18.236000000000001</c:v>
                </c:pt>
                <c:pt idx="84">
                  <c:v>18.14</c:v>
                </c:pt>
                <c:pt idx="85">
                  <c:v>18.14</c:v>
                </c:pt>
                <c:pt idx="86">
                  <c:v>18.14</c:v>
                </c:pt>
                <c:pt idx="87">
                  <c:v>18.045000000000002</c:v>
                </c:pt>
                <c:pt idx="88">
                  <c:v>18.14</c:v>
                </c:pt>
                <c:pt idx="89">
                  <c:v>18.14</c:v>
                </c:pt>
                <c:pt idx="90">
                  <c:v>18.045000000000002</c:v>
                </c:pt>
                <c:pt idx="91">
                  <c:v>18.045000000000002</c:v>
                </c:pt>
                <c:pt idx="92">
                  <c:v>17.95</c:v>
                </c:pt>
                <c:pt idx="93">
                  <c:v>17.95</c:v>
                </c:pt>
                <c:pt idx="94">
                  <c:v>18.045000000000002</c:v>
                </c:pt>
                <c:pt idx="95">
                  <c:v>18.045000000000002</c:v>
                </c:pt>
                <c:pt idx="96">
                  <c:v>17.95</c:v>
                </c:pt>
                <c:pt idx="97">
                  <c:v>18.045000000000002</c:v>
                </c:pt>
                <c:pt idx="98">
                  <c:v>18.045000000000002</c:v>
                </c:pt>
                <c:pt idx="99">
                  <c:v>17.95</c:v>
                </c:pt>
                <c:pt idx="100">
                  <c:v>17.95</c:v>
                </c:pt>
                <c:pt idx="101">
                  <c:v>17.855</c:v>
                </c:pt>
                <c:pt idx="102">
                  <c:v>17.95</c:v>
                </c:pt>
                <c:pt idx="103">
                  <c:v>17.855</c:v>
                </c:pt>
                <c:pt idx="104">
                  <c:v>17.760000000000002</c:v>
                </c:pt>
                <c:pt idx="105">
                  <c:v>17.95</c:v>
                </c:pt>
                <c:pt idx="106">
                  <c:v>17.664999999999999</c:v>
                </c:pt>
                <c:pt idx="107">
                  <c:v>17.664999999999999</c:v>
                </c:pt>
                <c:pt idx="108">
                  <c:v>17.664999999999999</c:v>
                </c:pt>
                <c:pt idx="109">
                  <c:v>17.664999999999999</c:v>
                </c:pt>
                <c:pt idx="110">
                  <c:v>17.664999999999999</c:v>
                </c:pt>
                <c:pt idx="111">
                  <c:v>17.664999999999999</c:v>
                </c:pt>
                <c:pt idx="112">
                  <c:v>17.664999999999999</c:v>
                </c:pt>
                <c:pt idx="113">
                  <c:v>17.664999999999999</c:v>
                </c:pt>
                <c:pt idx="114">
                  <c:v>17.855</c:v>
                </c:pt>
                <c:pt idx="115">
                  <c:v>17.664999999999999</c:v>
                </c:pt>
                <c:pt idx="116">
                  <c:v>17.855</c:v>
                </c:pt>
                <c:pt idx="117">
                  <c:v>17.664999999999999</c:v>
                </c:pt>
                <c:pt idx="118">
                  <c:v>17.664999999999999</c:v>
                </c:pt>
                <c:pt idx="119">
                  <c:v>17.664999999999999</c:v>
                </c:pt>
                <c:pt idx="120">
                  <c:v>17.760000000000002</c:v>
                </c:pt>
                <c:pt idx="121">
                  <c:v>17.57</c:v>
                </c:pt>
                <c:pt idx="122">
                  <c:v>17.57</c:v>
                </c:pt>
                <c:pt idx="123">
                  <c:v>17.475000000000001</c:v>
                </c:pt>
                <c:pt idx="124">
                  <c:v>17.475000000000001</c:v>
                </c:pt>
                <c:pt idx="125">
                  <c:v>17.475000000000001</c:v>
                </c:pt>
                <c:pt idx="126">
                  <c:v>17.475000000000001</c:v>
                </c:pt>
                <c:pt idx="127">
                  <c:v>17.57</c:v>
                </c:pt>
                <c:pt idx="128">
                  <c:v>17.57</c:v>
                </c:pt>
                <c:pt idx="129">
                  <c:v>17.855</c:v>
                </c:pt>
                <c:pt idx="130">
                  <c:v>18.045000000000002</c:v>
                </c:pt>
                <c:pt idx="131">
                  <c:v>18.045000000000002</c:v>
                </c:pt>
                <c:pt idx="132">
                  <c:v>18.14</c:v>
                </c:pt>
                <c:pt idx="133">
                  <c:v>18.14</c:v>
                </c:pt>
                <c:pt idx="134">
                  <c:v>18.616</c:v>
                </c:pt>
                <c:pt idx="135">
                  <c:v>18.710999999999999</c:v>
                </c:pt>
                <c:pt idx="136">
                  <c:v>18.616</c:v>
                </c:pt>
                <c:pt idx="137">
                  <c:v>18.616</c:v>
                </c:pt>
                <c:pt idx="138">
                  <c:v>18.710999999999999</c:v>
                </c:pt>
                <c:pt idx="139">
                  <c:v>18.710999999999999</c:v>
                </c:pt>
                <c:pt idx="140">
                  <c:v>18.806000000000001</c:v>
                </c:pt>
                <c:pt idx="141">
                  <c:v>18.806000000000001</c:v>
                </c:pt>
                <c:pt idx="142">
                  <c:v>19.091999999999999</c:v>
                </c:pt>
                <c:pt idx="143">
                  <c:v>19.091999999999999</c:v>
                </c:pt>
                <c:pt idx="144">
                  <c:v>19.091999999999999</c:v>
                </c:pt>
                <c:pt idx="145">
                  <c:v>19.187000000000001</c:v>
                </c:pt>
                <c:pt idx="146">
                  <c:v>19.187000000000001</c:v>
                </c:pt>
                <c:pt idx="147">
                  <c:v>19.282</c:v>
                </c:pt>
                <c:pt idx="148">
                  <c:v>19.472000000000001</c:v>
                </c:pt>
                <c:pt idx="149">
                  <c:v>19.376999999999999</c:v>
                </c:pt>
                <c:pt idx="150">
                  <c:v>20.138000000000009</c:v>
                </c:pt>
                <c:pt idx="151">
                  <c:v>20.042999999999999</c:v>
                </c:pt>
                <c:pt idx="152">
                  <c:v>19.567</c:v>
                </c:pt>
                <c:pt idx="153">
                  <c:v>19.376999999999999</c:v>
                </c:pt>
                <c:pt idx="154">
                  <c:v>19.376999999999999</c:v>
                </c:pt>
                <c:pt idx="155">
                  <c:v>19.376999999999999</c:v>
                </c:pt>
                <c:pt idx="156">
                  <c:v>19.376999999999999</c:v>
                </c:pt>
                <c:pt idx="157">
                  <c:v>19.376999999999999</c:v>
                </c:pt>
                <c:pt idx="158">
                  <c:v>19.376999999999999</c:v>
                </c:pt>
                <c:pt idx="159">
                  <c:v>19.376999999999999</c:v>
                </c:pt>
                <c:pt idx="160">
                  <c:v>19.376999999999999</c:v>
                </c:pt>
                <c:pt idx="161">
                  <c:v>19.282</c:v>
                </c:pt>
                <c:pt idx="162">
                  <c:v>19.282</c:v>
                </c:pt>
                <c:pt idx="163">
                  <c:v>19.091999999999999</c:v>
                </c:pt>
                <c:pt idx="164">
                  <c:v>18.995999999999999</c:v>
                </c:pt>
                <c:pt idx="165">
                  <c:v>19.091999999999999</c:v>
                </c:pt>
                <c:pt idx="166">
                  <c:v>19.091999999999999</c:v>
                </c:pt>
                <c:pt idx="167">
                  <c:v>18.901</c:v>
                </c:pt>
                <c:pt idx="168">
                  <c:v>18.995999999999999</c:v>
                </c:pt>
                <c:pt idx="169">
                  <c:v>18.901</c:v>
                </c:pt>
                <c:pt idx="170">
                  <c:v>18.806000000000001</c:v>
                </c:pt>
                <c:pt idx="171">
                  <c:v>18.806000000000001</c:v>
                </c:pt>
                <c:pt idx="172">
                  <c:v>18.806000000000001</c:v>
                </c:pt>
                <c:pt idx="173">
                  <c:v>18.806000000000001</c:v>
                </c:pt>
                <c:pt idx="174">
                  <c:v>18.806000000000001</c:v>
                </c:pt>
                <c:pt idx="175">
                  <c:v>18.710999999999999</c:v>
                </c:pt>
                <c:pt idx="176">
                  <c:v>18.710999999999999</c:v>
                </c:pt>
                <c:pt idx="177">
                  <c:v>18.616</c:v>
                </c:pt>
                <c:pt idx="178">
                  <c:v>18.616</c:v>
                </c:pt>
                <c:pt idx="179">
                  <c:v>18.616</c:v>
                </c:pt>
                <c:pt idx="180">
                  <c:v>18.425999999999981</c:v>
                </c:pt>
                <c:pt idx="181">
                  <c:v>18.425999999999981</c:v>
                </c:pt>
                <c:pt idx="182">
                  <c:v>18.425999999999981</c:v>
                </c:pt>
                <c:pt idx="183">
                  <c:v>18.425999999999981</c:v>
                </c:pt>
                <c:pt idx="184">
                  <c:v>18.236000000000001</c:v>
                </c:pt>
                <c:pt idx="185">
                  <c:v>18.236000000000001</c:v>
                </c:pt>
                <c:pt idx="186">
                  <c:v>18.14</c:v>
                </c:pt>
                <c:pt idx="187">
                  <c:v>18.14</c:v>
                </c:pt>
                <c:pt idx="188">
                  <c:v>18.14</c:v>
                </c:pt>
                <c:pt idx="189">
                  <c:v>18.236000000000001</c:v>
                </c:pt>
                <c:pt idx="190">
                  <c:v>18.045000000000002</c:v>
                </c:pt>
                <c:pt idx="191">
                  <c:v>18.045000000000002</c:v>
                </c:pt>
                <c:pt idx="192">
                  <c:v>18.236000000000001</c:v>
                </c:pt>
                <c:pt idx="193">
                  <c:v>18.045000000000002</c:v>
                </c:pt>
                <c:pt idx="194">
                  <c:v>18.045000000000002</c:v>
                </c:pt>
                <c:pt idx="195">
                  <c:v>17.95</c:v>
                </c:pt>
                <c:pt idx="196">
                  <c:v>18.045000000000002</c:v>
                </c:pt>
                <c:pt idx="197">
                  <c:v>18.045000000000002</c:v>
                </c:pt>
                <c:pt idx="198">
                  <c:v>17.855</c:v>
                </c:pt>
                <c:pt idx="199">
                  <c:v>17.855</c:v>
                </c:pt>
                <c:pt idx="200">
                  <c:v>17.855</c:v>
                </c:pt>
                <c:pt idx="201">
                  <c:v>17.855</c:v>
                </c:pt>
                <c:pt idx="202">
                  <c:v>17.760000000000002</c:v>
                </c:pt>
                <c:pt idx="203">
                  <c:v>17.760000000000002</c:v>
                </c:pt>
                <c:pt idx="204">
                  <c:v>17.95</c:v>
                </c:pt>
                <c:pt idx="205">
                  <c:v>17.760000000000002</c:v>
                </c:pt>
                <c:pt idx="206">
                  <c:v>17.664999999999999</c:v>
                </c:pt>
                <c:pt idx="207">
                  <c:v>17.664999999999999</c:v>
                </c:pt>
                <c:pt idx="208">
                  <c:v>17.57</c:v>
                </c:pt>
                <c:pt idx="209">
                  <c:v>17.664999999999999</c:v>
                </c:pt>
                <c:pt idx="210">
                  <c:v>17.57</c:v>
                </c:pt>
                <c:pt idx="211">
                  <c:v>17.664999999999999</c:v>
                </c:pt>
                <c:pt idx="212">
                  <c:v>17.475000000000001</c:v>
                </c:pt>
                <c:pt idx="213">
                  <c:v>17.57</c:v>
                </c:pt>
                <c:pt idx="214">
                  <c:v>17.664999999999999</c:v>
                </c:pt>
                <c:pt idx="215">
                  <c:v>17.475000000000001</c:v>
                </c:pt>
                <c:pt idx="216">
                  <c:v>17.57</c:v>
                </c:pt>
                <c:pt idx="217">
                  <c:v>17.664999999999999</c:v>
                </c:pt>
                <c:pt idx="218">
                  <c:v>17.57</c:v>
                </c:pt>
                <c:pt idx="219">
                  <c:v>17.475000000000001</c:v>
                </c:pt>
                <c:pt idx="220">
                  <c:v>17.475000000000001</c:v>
                </c:pt>
                <c:pt idx="221">
                  <c:v>17.475000000000001</c:v>
                </c:pt>
                <c:pt idx="222">
                  <c:v>17.379000000000001</c:v>
                </c:pt>
                <c:pt idx="223">
                  <c:v>17.475000000000001</c:v>
                </c:pt>
                <c:pt idx="224">
                  <c:v>17.760000000000002</c:v>
                </c:pt>
                <c:pt idx="225">
                  <c:v>17.760000000000002</c:v>
                </c:pt>
                <c:pt idx="226">
                  <c:v>17.760000000000002</c:v>
                </c:pt>
                <c:pt idx="227">
                  <c:v>17.855</c:v>
                </c:pt>
                <c:pt idx="228">
                  <c:v>18.14</c:v>
                </c:pt>
                <c:pt idx="229">
                  <c:v>18.236000000000001</c:v>
                </c:pt>
                <c:pt idx="230">
                  <c:v>18.616</c:v>
                </c:pt>
                <c:pt idx="231">
                  <c:v>18.806000000000001</c:v>
                </c:pt>
                <c:pt idx="232">
                  <c:v>18.806000000000001</c:v>
                </c:pt>
                <c:pt idx="233">
                  <c:v>18.901</c:v>
                </c:pt>
                <c:pt idx="234">
                  <c:v>19.187000000000001</c:v>
                </c:pt>
                <c:pt idx="235">
                  <c:v>18.901</c:v>
                </c:pt>
                <c:pt idx="236">
                  <c:v>18.995999999999999</c:v>
                </c:pt>
                <c:pt idx="237">
                  <c:v>19.282</c:v>
                </c:pt>
                <c:pt idx="238">
                  <c:v>19.472000000000001</c:v>
                </c:pt>
                <c:pt idx="239">
                  <c:v>19.472000000000001</c:v>
                </c:pt>
                <c:pt idx="240">
                  <c:v>19.472000000000001</c:v>
                </c:pt>
                <c:pt idx="241">
                  <c:v>19.661999999999999</c:v>
                </c:pt>
                <c:pt idx="242">
                  <c:v>19.567</c:v>
                </c:pt>
                <c:pt idx="243">
                  <c:v>19.567</c:v>
                </c:pt>
                <c:pt idx="244">
                  <c:v>19.853000000000009</c:v>
                </c:pt>
                <c:pt idx="245">
                  <c:v>19.661999999999999</c:v>
                </c:pt>
                <c:pt idx="246">
                  <c:v>20.518999999999991</c:v>
                </c:pt>
                <c:pt idx="247">
                  <c:v>20.423999999999999</c:v>
                </c:pt>
                <c:pt idx="248">
                  <c:v>20.234000000000009</c:v>
                </c:pt>
                <c:pt idx="249">
                  <c:v>19.757999999999999</c:v>
                </c:pt>
                <c:pt idx="250">
                  <c:v>19.853000000000009</c:v>
                </c:pt>
                <c:pt idx="251">
                  <c:v>19.853000000000009</c:v>
                </c:pt>
                <c:pt idx="252">
                  <c:v>19.757999999999999</c:v>
                </c:pt>
                <c:pt idx="253">
                  <c:v>19.757999999999999</c:v>
                </c:pt>
                <c:pt idx="254">
                  <c:v>19.757999999999999</c:v>
                </c:pt>
                <c:pt idx="255">
                  <c:v>19.661999999999999</c:v>
                </c:pt>
                <c:pt idx="256">
                  <c:v>19.661999999999999</c:v>
                </c:pt>
                <c:pt idx="257">
                  <c:v>19.567</c:v>
                </c:pt>
                <c:pt idx="258">
                  <c:v>19.472000000000001</c:v>
                </c:pt>
                <c:pt idx="259">
                  <c:v>19.472000000000001</c:v>
                </c:pt>
                <c:pt idx="260">
                  <c:v>19.376999999999999</c:v>
                </c:pt>
                <c:pt idx="261">
                  <c:v>19.376999999999999</c:v>
                </c:pt>
                <c:pt idx="262">
                  <c:v>19.376999999999999</c:v>
                </c:pt>
                <c:pt idx="263">
                  <c:v>19.282</c:v>
                </c:pt>
                <c:pt idx="264">
                  <c:v>19.282</c:v>
                </c:pt>
                <c:pt idx="265">
                  <c:v>19.282</c:v>
                </c:pt>
                <c:pt idx="266">
                  <c:v>19.187000000000001</c:v>
                </c:pt>
                <c:pt idx="267">
                  <c:v>19.187000000000001</c:v>
                </c:pt>
                <c:pt idx="268">
                  <c:v>19.091999999999999</c:v>
                </c:pt>
                <c:pt idx="269">
                  <c:v>18.995999999999999</c:v>
                </c:pt>
                <c:pt idx="270">
                  <c:v>18.901</c:v>
                </c:pt>
                <c:pt idx="271">
                  <c:v>18.901</c:v>
                </c:pt>
                <c:pt idx="272">
                  <c:v>18.901</c:v>
                </c:pt>
                <c:pt idx="273">
                  <c:v>18.806000000000001</c:v>
                </c:pt>
                <c:pt idx="274">
                  <c:v>18.710999999999999</c:v>
                </c:pt>
                <c:pt idx="275">
                  <c:v>18.710999999999999</c:v>
                </c:pt>
                <c:pt idx="276">
                  <c:v>18.710999999999999</c:v>
                </c:pt>
                <c:pt idx="277">
                  <c:v>18.616</c:v>
                </c:pt>
                <c:pt idx="278">
                  <c:v>18.616</c:v>
                </c:pt>
                <c:pt idx="279">
                  <c:v>18.521000000000001</c:v>
                </c:pt>
                <c:pt idx="280">
                  <c:v>18.425999999999981</c:v>
                </c:pt>
                <c:pt idx="281">
                  <c:v>18.331</c:v>
                </c:pt>
                <c:pt idx="282">
                  <c:v>18.425999999999981</c:v>
                </c:pt>
                <c:pt idx="283">
                  <c:v>18.331</c:v>
                </c:pt>
                <c:pt idx="284">
                  <c:v>18.425999999999981</c:v>
                </c:pt>
                <c:pt idx="285">
                  <c:v>18.236000000000001</c:v>
                </c:pt>
                <c:pt idx="286">
                  <c:v>18.236000000000001</c:v>
                </c:pt>
                <c:pt idx="287">
                  <c:v>18.236000000000001</c:v>
                </c:pt>
                <c:pt idx="288">
                  <c:v>18.236000000000001</c:v>
                </c:pt>
                <c:pt idx="289">
                  <c:v>18.236000000000001</c:v>
                </c:pt>
                <c:pt idx="290">
                  <c:v>18.14</c:v>
                </c:pt>
                <c:pt idx="291">
                  <c:v>18.14</c:v>
                </c:pt>
                <c:pt idx="292">
                  <c:v>17.95</c:v>
                </c:pt>
                <c:pt idx="293">
                  <c:v>18.045000000000002</c:v>
                </c:pt>
                <c:pt idx="294">
                  <c:v>18.045000000000002</c:v>
                </c:pt>
                <c:pt idx="295">
                  <c:v>17.95</c:v>
                </c:pt>
                <c:pt idx="296">
                  <c:v>17.855</c:v>
                </c:pt>
                <c:pt idx="297">
                  <c:v>17.95</c:v>
                </c:pt>
                <c:pt idx="298">
                  <c:v>17.855</c:v>
                </c:pt>
                <c:pt idx="299">
                  <c:v>17.760000000000002</c:v>
                </c:pt>
                <c:pt idx="300">
                  <c:v>17.760000000000002</c:v>
                </c:pt>
                <c:pt idx="301">
                  <c:v>17.760000000000002</c:v>
                </c:pt>
                <c:pt idx="302">
                  <c:v>17.664999999999999</c:v>
                </c:pt>
                <c:pt idx="303">
                  <c:v>17.664999999999999</c:v>
                </c:pt>
                <c:pt idx="304">
                  <c:v>17.664999999999999</c:v>
                </c:pt>
                <c:pt idx="305">
                  <c:v>17.760000000000002</c:v>
                </c:pt>
                <c:pt idx="306">
                  <c:v>17.664999999999999</c:v>
                </c:pt>
                <c:pt idx="307">
                  <c:v>17.855</c:v>
                </c:pt>
                <c:pt idx="308">
                  <c:v>17.760000000000002</c:v>
                </c:pt>
                <c:pt idx="309">
                  <c:v>17.760000000000002</c:v>
                </c:pt>
                <c:pt idx="310">
                  <c:v>17.855</c:v>
                </c:pt>
                <c:pt idx="311">
                  <c:v>17.855</c:v>
                </c:pt>
                <c:pt idx="312">
                  <c:v>17.760000000000002</c:v>
                </c:pt>
                <c:pt idx="313">
                  <c:v>17.760000000000002</c:v>
                </c:pt>
                <c:pt idx="314">
                  <c:v>17.760000000000002</c:v>
                </c:pt>
                <c:pt idx="315">
                  <c:v>17.855</c:v>
                </c:pt>
                <c:pt idx="316">
                  <c:v>17.760000000000002</c:v>
                </c:pt>
                <c:pt idx="317">
                  <c:v>17.855</c:v>
                </c:pt>
                <c:pt idx="318">
                  <c:v>17.95</c:v>
                </c:pt>
                <c:pt idx="319">
                  <c:v>17.95</c:v>
                </c:pt>
                <c:pt idx="320">
                  <c:v>17.95</c:v>
                </c:pt>
                <c:pt idx="321">
                  <c:v>17.95</c:v>
                </c:pt>
                <c:pt idx="322">
                  <c:v>18.045000000000002</c:v>
                </c:pt>
                <c:pt idx="323">
                  <c:v>18.14</c:v>
                </c:pt>
                <c:pt idx="324">
                  <c:v>18.14</c:v>
                </c:pt>
                <c:pt idx="325">
                  <c:v>18.236000000000001</c:v>
                </c:pt>
                <c:pt idx="326">
                  <c:v>18.331</c:v>
                </c:pt>
                <c:pt idx="327">
                  <c:v>18.425999999999981</c:v>
                </c:pt>
                <c:pt idx="328">
                  <c:v>18.521000000000001</c:v>
                </c:pt>
                <c:pt idx="329">
                  <c:v>18.616</c:v>
                </c:pt>
                <c:pt idx="330">
                  <c:v>18.806000000000001</c:v>
                </c:pt>
                <c:pt idx="331">
                  <c:v>18.995999999999999</c:v>
                </c:pt>
                <c:pt idx="332">
                  <c:v>19.091999999999999</c:v>
                </c:pt>
                <c:pt idx="333">
                  <c:v>19.187000000000001</c:v>
                </c:pt>
                <c:pt idx="334">
                  <c:v>19.187000000000001</c:v>
                </c:pt>
                <c:pt idx="335">
                  <c:v>19.282</c:v>
                </c:pt>
                <c:pt idx="336">
                  <c:v>19.376999999999999</c:v>
                </c:pt>
                <c:pt idx="337">
                  <c:v>19.472000000000001</c:v>
                </c:pt>
                <c:pt idx="338">
                  <c:v>19.472000000000001</c:v>
                </c:pt>
                <c:pt idx="339">
                  <c:v>19.472000000000001</c:v>
                </c:pt>
                <c:pt idx="340">
                  <c:v>19.567</c:v>
                </c:pt>
                <c:pt idx="341">
                  <c:v>19.567</c:v>
                </c:pt>
                <c:pt idx="342">
                  <c:v>19.661999999999999</c:v>
                </c:pt>
                <c:pt idx="343">
                  <c:v>19.661999999999999</c:v>
                </c:pt>
                <c:pt idx="344">
                  <c:v>19.661999999999999</c:v>
                </c:pt>
                <c:pt idx="345">
                  <c:v>19.661999999999999</c:v>
                </c:pt>
                <c:pt idx="346">
                  <c:v>19.661999999999999</c:v>
                </c:pt>
                <c:pt idx="347">
                  <c:v>19.661999999999999</c:v>
                </c:pt>
                <c:pt idx="348">
                  <c:v>19.567</c:v>
                </c:pt>
                <c:pt idx="349">
                  <c:v>19.567</c:v>
                </c:pt>
                <c:pt idx="350">
                  <c:v>19.567</c:v>
                </c:pt>
                <c:pt idx="351">
                  <c:v>19.567</c:v>
                </c:pt>
                <c:pt idx="352">
                  <c:v>19.567</c:v>
                </c:pt>
                <c:pt idx="353">
                  <c:v>19.567</c:v>
                </c:pt>
                <c:pt idx="354">
                  <c:v>19.567</c:v>
                </c:pt>
                <c:pt idx="355">
                  <c:v>19.567</c:v>
                </c:pt>
                <c:pt idx="356">
                  <c:v>19.472000000000001</c:v>
                </c:pt>
                <c:pt idx="357">
                  <c:v>19.472000000000001</c:v>
                </c:pt>
                <c:pt idx="358">
                  <c:v>19.376999999999999</c:v>
                </c:pt>
                <c:pt idx="359">
                  <c:v>19.282</c:v>
                </c:pt>
                <c:pt idx="360">
                  <c:v>19.282</c:v>
                </c:pt>
                <c:pt idx="361">
                  <c:v>19.282</c:v>
                </c:pt>
                <c:pt idx="362">
                  <c:v>19.187000000000001</c:v>
                </c:pt>
                <c:pt idx="363">
                  <c:v>19.091999999999999</c:v>
                </c:pt>
                <c:pt idx="364">
                  <c:v>19.091999999999999</c:v>
                </c:pt>
                <c:pt idx="365">
                  <c:v>18.995999999999999</c:v>
                </c:pt>
                <c:pt idx="366">
                  <c:v>18.995999999999999</c:v>
                </c:pt>
                <c:pt idx="367">
                  <c:v>18.995999999999999</c:v>
                </c:pt>
                <c:pt idx="368">
                  <c:v>18.901</c:v>
                </c:pt>
                <c:pt idx="369">
                  <c:v>18.901</c:v>
                </c:pt>
                <c:pt idx="370">
                  <c:v>18.806000000000001</c:v>
                </c:pt>
                <c:pt idx="371">
                  <c:v>18.806000000000001</c:v>
                </c:pt>
                <c:pt idx="372">
                  <c:v>18.806000000000001</c:v>
                </c:pt>
                <c:pt idx="373">
                  <c:v>18.710999999999999</c:v>
                </c:pt>
                <c:pt idx="374">
                  <c:v>18.710999999999999</c:v>
                </c:pt>
                <c:pt idx="375">
                  <c:v>18.710999999999999</c:v>
                </c:pt>
                <c:pt idx="376">
                  <c:v>18.521000000000001</c:v>
                </c:pt>
                <c:pt idx="377">
                  <c:v>18.616</c:v>
                </c:pt>
                <c:pt idx="378">
                  <c:v>18.616</c:v>
                </c:pt>
                <c:pt idx="379">
                  <c:v>18.616</c:v>
                </c:pt>
                <c:pt idx="380">
                  <c:v>18.710999999999999</c:v>
                </c:pt>
                <c:pt idx="381">
                  <c:v>18.616</c:v>
                </c:pt>
                <c:pt idx="382">
                  <c:v>18.521000000000001</c:v>
                </c:pt>
                <c:pt idx="383">
                  <c:v>18.521000000000001</c:v>
                </c:pt>
                <c:pt idx="384">
                  <c:v>18.521000000000001</c:v>
                </c:pt>
                <c:pt idx="385">
                  <c:v>18.425999999999981</c:v>
                </c:pt>
                <c:pt idx="386">
                  <c:v>18.425999999999981</c:v>
                </c:pt>
                <c:pt idx="387">
                  <c:v>18.236000000000001</c:v>
                </c:pt>
                <c:pt idx="388">
                  <c:v>18.236000000000001</c:v>
                </c:pt>
                <c:pt idx="389">
                  <c:v>18.236000000000001</c:v>
                </c:pt>
                <c:pt idx="390">
                  <c:v>18.14</c:v>
                </c:pt>
                <c:pt idx="391">
                  <c:v>18.236000000000001</c:v>
                </c:pt>
                <c:pt idx="392">
                  <c:v>18.14</c:v>
                </c:pt>
                <c:pt idx="393">
                  <c:v>18.14</c:v>
                </c:pt>
                <c:pt idx="394">
                  <c:v>18.045000000000002</c:v>
                </c:pt>
                <c:pt idx="395">
                  <c:v>18.14</c:v>
                </c:pt>
                <c:pt idx="396">
                  <c:v>18.045000000000002</c:v>
                </c:pt>
                <c:pt idx="397">
                  <c:v>18.045000000000002</c:v>
                </c:pt>
                <c:pt idx="398">
                  <c:v>17.95</c:v>
                </c:pt>
                <c:pt idx="399">
                  <c:v>17.95</c:v>
                </c:pt>
                <c:pt idx="400">
                  <c:v>18.045000000000002</c:v>
                </c:pt>
                <c:pt idx="401">
                  <c:v>17.855</c:v>
                </c:pt>
                <c:pt idx="402">
                  <c:v>17.855</c:v>
                </c:pt>
                <c:pt idx="403">
                  <c:v>17.760000000000002</c:v>
                </c:pt>
                <c:pt idx="404">
                  <c:v>17.855</c:v>
                </c:pt>
                <c:pt idx="405">
                  <c:v>17.760000000000002</c:v>
                </c:pt>
                <c:pt idx="406">
                  <c:v>17.760000000000002</c:v>
                </c:pt>
                <c:pt idx="407">
                  <c:v>17.664999999999999</c:v>
                </c:pt>
                <c:pt idx="408">
                  <c:v>17.664999999999999</c:v>
                </c:pt>
                <c:pt idx="409">
                  <c:v>17.57</c:v>
                </c:pt>
                <c:pt idx="410">
                  <c:v>17.379000000000001</c:v>
                </c:pt>
                <c:pt idx="411">
                  <c:v>17.379000000000001</c:v>
                </c:pt>
                <c:pt idx="412">
                  <c:v>17.379000000000001</c:v>
                </c:pt>
                <c:pt idx="413">
                  <c:v>17.475000000000001</c:v>
                </c:pt>
                <c:pt idx="414">
                  <c:v>17.57</c:v>
                </c:pt>
                <c:pt idx="415">
                  <c:v>17.760000000000002</c:v>
                </c:pt>
                <c:pt idx="416">
                  <c:v>17.760000000000002</c:v>
                </c:pt>
                <c:pt idx="417">
                  <c:v>17.855</c:v>
                </c:pt>
                <c:pt idx="418">
                  <c:v>17.95</c:v>
                </c:pt>
                <c:pt idx="419">
                  <c:v>18.14</c:v>
                </c:pt>
                <c:pt idx="420">
                  <c:v>18.14</c:v>
                </c:pt>
                <c:pt idx="421">
                  <c:v>18.331</c:v>
                </c:pt>
                <c:pt idx="422">
                  <c:v>18.521000000000001</c:v>
                </c:pt>
                <c:pt idx="423">
                  <c:v>19.091999999999999</c:v>
                </c:pt>
                <c:pt idx="424">
                  <c:v>19.187000000000001</c:v>
                </c:pt>
                <c:pt idx="425">
                  <c:v>19.091999999999999</c:v>
                </c:pt>
                <c:pt idx="426">
                  <c:v>19.091999999999999</c:v>
                </c:pt>
                <c:pt idx="427">
                  <c:v>19.091999999999999</c:v>
                </c:pt>
                <c:pt idx="428">
                  <c:v>19.091999999999999</c:v>
                </c:pt>
                <c:pt idx="429">
                  <c:v>19.567</c:v>
                </c:pt>
                <c:pt idx="430">
                  <c:v>19.567</c:v>
                </c:pt>
                <c:pt idx="431">
                  <c:v>19.661999999999999</c:v>
                </c:pt>
                <c:pt idx="432">
                  <c:v>19.757999999999999</c:v>
                </c:pt>
                <c:pt idx="433">
                  <c:v>19.757999999999999</c:v>
                </c:pt>
                <c:pt idx="434">
                  <c:v>19.757999999999999</c:v>
                </c:pt>
                <c:pt idx="435">
                  <c:v>19.853000000000009</c:v>
                </c:pt>
                <c:pt idx="436">
                  <c:v>20.042999999999999</c:v>
                </c:pt>
                <c:pt idx="437">
                  <c:v>19.853000000000009</c:v>
                </c:pt>
                <c:pt idx="438">
                  <c:v>20.423999999999999</c:v>
                </c:pt>
                <c:pt idx="439">
                  <c:v>20.138000000000009</c:v>
                </c:pt>
                <c:pt idx="440">
                  <c:v>20.138000000000009</c:v>
                </c:pt>
                <c:pt idx="441">
                  <c:v>19.948</c:v>
                </c:pt>
                <c:pt idx="442">
                  <c:v>19.948</c:v>
                </c:pt>
                <c:pt idx="443">
                  <c:v>19.948</c:v>
                </c:pt>
                <c:pt idx="444">
                  <c:v>19.853000000000009</c:v>
                </c:pt>
                <c:pt idx="445">
                  <c:v>19.853000000000009</c:v>
                </c:pt>
                <c:pt idx="446">
                  <c:v>19.853000000000009</c:v>
                </c:pt>
                <c:pt idx="447">
                  <c:v>19.853000000000009</c:v>
                </c:pt>
                <c:pt idx="448">
                  <c:v>19.853000000000009</c:v>
                </c:pt>
                <c:pt idx="449">
                  <c:v>19.757999999999999</c:v>
                </c:pt>
                <c:pt idx="450">
                  <c:v>19.757999999999999</c:v>
                </c:pt>
                <c:pt idx="451">
                  <c:v>19.661999999999999</c:v>
                </c:pt>
                <c:pt idx="452">
                  <c:v>19.661999999999999</c:v>
                </c:pt>
                <c:pt idx="453">
                  <c:v>19.567</c:v>
                </c:pt>
                <c:pt idx="454">
                  <c:v>19.567</c:v>
                </c:pt>
                <c:pt idx="455">
                  <c:v>19.472000000000001</c:v>
                </c:pt>
                <c:pt idx="456">
                  <c:v>19.376999999999999</c:v>
                </c:pt>
                <c:pt idx="457">
                  <c:v>19.376999999999999</c:v>
                </c:pt>
                <c:pt idx="458">
                  <c:v>19.282</c:v>
                </c:pt>
                <c:pt idx="459">
                  <c:v>19.187000000000001</c:v>
                </c:pt>
                <c:pt idx="460">
                  <c:v>19.091999999999999</c:v>
                </c:pt>
                <c:pt idx="461">
                  <c:v>18.995999999999999</c:v>
                </c:pt>
                <c:pt idx="462">
                  <c:v>18.995999999999999</c:v>
                </c:pt>
                <c:pt idx="463">
                  <c:v>18.901</c:v>
                </c:pt>
                <c:pt idx="464">
                  <c:v>18.901</c:v>
                </c:pt>
                <c:pt idx="465">
                  <c:v>18.806000000000001</c:v>
                </c:pt>
                <c:pt idx="466">
                  <c:v>18.710999999999999</c:v>
                </c:pt>
                <c:pt idx="467">
                  <c:v>18.710999999999999</c:v>
                </c:pt>
                <c:pt idx="468">
                  <c:v>18.616</c:v>
                </c:pt>
                <c:pt idx="469">
                  <c:v>18.616</c:v>
                </c:pt>
                <c:pt idx="470">
                  <c:v>18.616</c:v>
                </c:pt>
                <c:pt idx="471">
                  <c:v>18.521000000000001</c:v>
                </c:pt>
                <c:pt idx="472">
                  <c:v>18.521000000000001</c:v>
                </c:pt>
                <c:pt idx="473">
                  <c:v>18.331</c:v>
                </c:pt>
                <c:pt idx="474">
                  <c:v>18.425999999999981</c:v>
                </c:pt>
                <c:pt idx="475">
                  <c:v>18.331</c:v>
                </c:pt>
                <c:pt idx="476">
                  <c:v>18.425999999999981</c:v>
                </c:pt>
                <c:pt idx="477">
                  <c:v>18.425999999999981</c:v>
                </c:pt>
                <c:pt idx="478">
                  <c:v>18.236000000000001</c:v>
                </c:pt>
                <c:pt idx="479">
                  <c:v>18.331</c:v>
                </c:pt>
                <c:pt idx="480">
                  <c:v>18.14</c:v>
                </c:pt>
                <c:pt idx="481">
                  <c:v>18.14</c:v>
                </c:pt>
                <c:pt idx="482">
                  <c:v>18.14</c:v>
                </c:pt>
                <c:pt idx="483">
                  <c:v>18.14</c:v>
                </c:pt>
                <c:pt idx="484">
                  <c:v>18.045000000000002</c:v>
                </c:pt>
                <c:pt idx="485">
                  <c:v>18.045000000000002</c:v>
                </c:pt>
                <c:pt idx="486">
                  <c:v>18.045000000000002</c:v>
                </c:pt>
                <c:pt idx="487">
                  <c:v>17.95</c:v>
                </c:pt>
                <c:pt idx="488">
                  <c:v>17.95</c:v>
                </c:pt>
                <c:pt idx="489">
                  <c:v>17.760000000000002</c:v>
                </c:pt>
                <c:pt idx="490">
                  <c:v>17.855</c:v>
                </c:pt>
                <c:pt idx="491">
                  <c:v>17.760000000000002</c:v>
                </c:pt>
                <c:pt idx="492">
                  <c:v>17.664999999999999</c:v>
                </c:pt>
                <c:pt idx="493">
                  <c:v>17.57</c:v>
                </c:pt>
                <c:pt idx="494">
                  <c:v>17.57</c:v>
                </c:pt>
                <c:pt idx="495">
                  <c:v>17.57</c:v>
                </c:pt>
                <c:pt idx="496">
                  <c:v>17.475000000000001</c:v>
                </c:pt>
                <c:pt idx="497">
                  <c:v>17.379000000000001</c:v>
                </c:pt>
                <c:pt idx="498">
                  <c:v>17.475000000000001</c:v>
                </c:pt>
                <c:pt idx="499">
                  <c:v>17.283999999999999</c:v>
                </c:pt>
                <c:pt idx="500">
                  <c:v>17.379000000000001</c:v>
                </c:pt>
                <c:pt idx="501">
                  <c:v>17.379000000000001</c:v>
                </c:pt>
                <c:pt idx="502">
                  <c:v>17.283999999999999</c:v>
                </c:pt>
                <c:pt idx="503">
                  <c:v>17.283999999999999</c:v>
                </c:pt>
                <c:pt idx="504">
                  <c:v>17.189</c:v>
                </c:pt>
                <c:pt idx="505">
                  <c:v>17.189</c:v>
                </c:pt>
                <c:pt idx="506">
                  <c:v>17.189</c:v>
                </c:pt>
                <c:pt idx="507">
                  <c:v>17.189</c:v>
                </c:pt>
                <c:pt idx="508">
                  <c:v>17.094000000000001</c:v>
                </c:pt>
                <c:pt idx="509">
                  <c:v>16.998999999999999</c:v>
                </c:pt>
                <c:pt idx="510">
                  <c:v>17.094000000000001</c:v>
                </c:pt>
                <c:pt idx="511">
                  <c:v>17.475000000000001</c:v>
                </c:pt>
                <c:pt idx="512">
                  <c:v>17.379000000000001</c:v>
                </c:pt>
                <c:pt idx="513">
                  <c:v>17.475000000000001</c:v>
                </c:pt>
                <c:pt idx="514">
                  <c:v>17.57</c:v>
                </c:pt>
                <c:pt idx="515">
                  <c:v>17.57</c:v>
                </c:pt>
                <c:pt idx="516">
                  <c:v>17.57</c:v>
                </c:pt>
                <c:pt idx="517">
                  <c:v>17.664999999999999</c:v>
                </c:pt>
                <c:pt idx="518">
                  <c:v>17.855</c:v>
                </c:pt>
                <c:pt idx="519">
                  <c:v>18.710999999999999</c:v>
                </c:pt>
                <c:pt idx="520">
                  <c:v>18.616</c:v>
                </c:pt>
                <c:pt idx="521">
                  <c:v>18.14</c:v>
                </c:pt>
                <c:pt idx="522">
                  <c:v>18.425999999999981</c:v>
                </c:pt>
                <c:pt idx="523">
                  <c:v>18.236000000000001</c:v>
                </c:pt>
                <c:pt idx="524">
                  <c:v>18.236000000000001</c:v>
                </c:pt>
                <c:pt idx="525">
                  <c:v>18.425999999999981</c:v>
                </c:pt>
                <c:pt idx="526">
                  <c:v>18.616</c:v>
                </c:pt>
                <c:pt idx="527">
                  <c:v>18.901</c:v>
                </c:pt>
                <c:pt idx="528">
                  <c:v>18.806000000000001</c:v>
                </c:pt>
                <c:pt idx="529">
                  <c:v>18.806000000000001</c:v>
                </c:pt>
                <c:pt idx="530">
                  <c:v>18.806000000000001</c:v>
                </c:pt>
                <c:pt idx="531">
                  <c:v>18.995999999999999</c:v>
                </c:pt>
                <c:pt idx="532">
                  <c:v>18.995999999999999</c:v>
                </c:pt>
                <c:pt idx="533">
                  <c:v>18.806000000000001</c:v>
                </c:pt>
                <c:pt idx="534">
                  <c:v>19.091999999999999</c:v>
                </c:pt>
                <c:pt idx="535">
                  <c:v>19.091999999999999</c:v>
                </c:pt>
                <c:pt idx="536">
                  <c:v>19.091999999999999</c:v>
                </c:pt>
                <c:pt idx="537">
                  <c:v>18.901</c:v>
                </c:pt>
                <c:pt idx="538">
                  <c:v>18.995999999999999</c:v>
                </c:pt>
                <c:pt idx="539">
                  <c:v>18.901</c:v>
                </c:pt>
                <c:pt idx="540">
                  <c:v>18.901</c:v>
                </c:pt>
                <c:pt idx="541">
                  <c:v>18.806000000000001</c:v>
                </c:pt>
                <c:pt idx="542">
                  <c:v>18.806000000000001</c:v>
                </c:pt>
                <c:pt idx="543">
                  <c:v>18.806000000000001</c:v>
                </c:pt>
                <c:pt idx="544">
                  <c:v>18.806000000000001</c:v>
                </c:pt>
                <c:pt idx="545">
                  <c:v>18.710999999999999</c:v>
                </c:pt>
                <c:pt idx="546">
                  <c:v>18.710999999999999</c:v>
                </c:pt>
                <c:pt idx="547">
                  <c:v>18.616</c:v>
                </c:pt>
                <c:pt idx="548">
                  <c:v>18.521000000000001</c:v>
                </c:pt>
                <c:pt idx="549">
                  <c:v>18.521000000000001</c:v>
                </c:pt>
                <c:pt idx="550">
                  <c:v>18.425999999999981</c:v>
                </c:pt>
                <c:pt idx="551">
                  <c:v>18.521000000000001</c:v>
                </c:pt>
                <c:pt idx="552">
                  <c:v>18.425999999999981</c:v>
                </c:pt>
                <c:pt idx="553">
                  <c:v>18.425999999999981</c:v>
                </c:pt>
                <c:pt idx="554">
                  <c:v>18.331</c:v>
                </c:pt>
                <c:pt idx="555">
                  <c:v>18.331</c:v>
                </c:pt>
                <c:pt idx="556">
                  <c:v>18.425999999999981</c:v>
                </c:pt>
                <c:pt idx="557">
                  <c:v>18.331</c:v>
                </c:pt>
                <c:pt idx="558">
                  <c:v>18.236000000000001</c:v>
                </c:pt>
                <c:pt idx="559">
                  <c:v>18.236000000000001</c:v>
                </c:pt>
                <c:pt idx="560">
                  <c:v>18.14</c:v>
                </c:pt>
                <c:pt idx="561">
                  <c:v>18.045000000000002</c:v>
                </c:pt>
                <c:pt idx="562">
                  <c:v>18.045000000000002</c:v>
                </c:pt>
                <c:pt idx="563">
                  <c:v>18.045000000000002</c:v>
                </c:pt>
                <c:pt idx="564">
                  <c:v>17.95</c:v>
                </c:pt>
                <c:pt idx="565">
                  <c:v>17.855</c:v>
                </c:pt>
                <c:pt idx="566">
                  <c:v>17.95</c:v>
                </c:pt>
                <c:pt idx="567">
                  <c:v>17.95</c:v>
                </c:pt>
                <c:pt idx="568">
                  <c:v>17.855</c:v>
                </c:pt>
                <c:pt idx="569">
                  <c:v>17.855</c:v>
                </c:pt>
                <c:pt idx="570">
                  <c:v>17.760000000000002</c:v>
                </c:pt>
                <c:pt idx="571">
                  <c:v>17.57</c:v>
                </c:pt>
                <c:pt idx="572">
                  <c:v>17.664999999999999</c:v>
                </c:pt>
                <c:pt idx="573">
                  <c:v>17.57</c:v>
                </c:pt>
                <c:pt idx="574">
                  <c:v>17.664999999999999</c:v>
                </c:pt>
                <c:pt idx="575">
                  <c:v>17.664999999999999</c:v>
                </c:pt>
                <c:pt idx="576">
                  <c:v>17.760000000000002</c:v>
                </c:pt>
                <c:pt idx="577">
                  <c:v>17.664999999999999</c:v>
                </c:pt>
                <c:pt idx="578">
                  <c:v>17.664999999999999</c:v>
                </c:pt>
                <c:pt idx="579">
                  <c:v>17.57</c:v>
                </c:pt>
                <c:pt idx="580">
                  <c:v>17.57</c:v>
                </c:pt>
                <c:pt idx="581">
                  <c:v>17.475000000000001</c:v>
                </c:pt>
                <c:pt idx="582">
                  <c:v>17.379000000000001</c:v>
                </c:pt>
                <c:pt idx="583">
                  <c:v>17.283999999999999</c:v>
                </c:pt>
                <c:pt idx="584">
                  <c:v>17.379000000000001</c:v>
                </c:pt>
                <c:pt idx="585">
                  <c:v>17.379000000000001</c:v>
                </c:pt>
                <c:pt idx="586">
                  <c:v>17.379000000000001</c:v>
                </c:pt>
                <c:pt idx="587">
                  <c:v>17.379000000000001</c:v>
                </c:pt>
                <c:pt idx="588">
                  <c:v>17.283999999999999</c:v>
                </c:pt>
                <c:pt idx="589">
                  <c:v>17.379000000000001</c:v>
                </c:pt>
                <c:pt idx="590">
                  <c:v>17.283999999999999</c:v>
                </c:pt>
                <c:pt idx="591">
                  <c:v>17.283999999999999</c:v>
                </c:pt>
                <c:pt idx="592">
                  <c:v>17.094000000000001</c:v>
                </c:pt>
                <c:pt idx="593">
                  <c:v>16.998999999999999</c:v>
                </c:pt>
                <c:pt idx="594">
                  <c:v>17.094000000000001</c:v>
                </c:pt>
                <c:pt idx="595">
                  <c:v>17.189</c:v>
                </c:pt>
                <c:pt idx="596">
                  <c:v>17.094000000000001</c:v>
                </c:pt>
                <c:pt idx="597">
                  <c:v>17.094000000000001</c:v>
                </c:pt>
                <c:pt idx="598">
                  <c:v>17.094000000000001</c:v>
                </c:pt>
                <c:pt idx="599">
                  <c:v>16.998999999999999</c:v>
                </c:pt>
                <c:pt idx="600">
                  <c:v>17.094000000000001</c:v>
                </c:pt>
                <c:pt idx="601">
                  <c:v>16.902999999999999</c:v>
                </c:pt>
                <c:pt idx="602">
                  <c:v>16.902999999999999</c:v>
                </c:pt>
                <c:pt idx="603">
                  <c:v>16.902999999999999</c:v>
                </c:pt>
                <c:pt idx="604">
                  <c:v>16.902999999999999</c:v>
                </c:pt>
                <c:pt idx="605">
                  <c:v>16.808</c:v>
                </c:pt>
                <c:pt idx="606">
                  <c:v>16.808</c:v>
                </c:pt>
                <c:pt idx="607">
                  <c:v>17.189</c:v>
                </c:pt>
                <c:pt idx="608">
                  <c:v>17.094000000000001</c:v>
                </c:pt>
                <c:pt idx="609">
                  <c:v>17.283999999999999</c:v>
                </c:pt>
                <c:pt idx="610">
                  <c:v>17.283999999999999</c:v>
                </c:pt>
                <c:pt idx="611">
                  <c:v>17.475000000000001</c:v>
                </c:pt>
                <c:pt idx="612">
                  <c:v>17.760000000000002</c:v>
                </c:pt>
                <c:pt idx="613">
                  <c:v>17.855</c:v>
                </c:pt>
                <c:pt idx="614">
                  <c:v>18.14</c:v>
                </c:pt>
                <c:pt idx="615">
                  <c:v>18.710999999999999</c:v>
                </c:pt>
                <c:pt idx="616">
                  <c:v>18.14</c:v>
                </c:pt>
                <c:pt idx="617">
                  <c:v>18.331</c:v>
                </c:pt>
                <c:pt idx="618">
                  <c:v>18.331</c:v>
                </c:pt>
                <c:pt idx="619">
                  <c:v>18.331</c:v>
                </c:pt>
                <c:pt idx="620">
                  <c:v>18.425999999999981</c:v>
                </c:pt>
                <c:pt idx="621">
                  <c:v>18.521000000000001</c:v>
                </c:pt>
                <c:pt idx="622">
                  <c:v>18.616</c:v>
                </c:pt>
                <c:pt idx="623">
                  <c:v>19.091999999999999</c:v>
                </c:pt>
                <c:pt idx="624">
                  <c:v>18.901</c:v>
                </c:pt>
                <c:pt idx="625">
                  <c:v>18.901</c:v>
                </c:pt>
                <c:pt idx="626">
                  <c:v>18.995999999999999</c:v>
                </c:pt>
                <c:pt idx="627">
                  <c:v>19.472000000000001</c:v>
                </c:pt>
                <c:pt idx="628">
                  <c:v>19.282</c:v>
                </c:pt>
                <c:pt idx="629">
                  <c:v>19.091999999999999</c:v>
                </c:pt>
                <c:pt idx="630">
                  <c:v>19.376999999999999</c:v>
                </c:pt>
                <c:pt idx="631">
                  <c:v>19.282</c:v>
                </c:pt>
                <c:pt idx="632">
                  <c:v>19.376999999999999</c:v>
                </c:pt>
                <c:pt idx="633">
                  <c:v>19.187000000000001</c:v>
                </c:pt>
                <c:pt idx="634">
                  <c:v>19.282</c:v>
                </c:pt>
                <c:pt idx="635">
                  <c:v>19.282</c:v>
                </c:pt>
                <c:pt idx="636">
                  <c:v>19.187000000000001</c:v>
                </c:pt>
                <c:pt idx="637">
                  <c:v>19.187000000000001</c:v>
                </c:pt>
                <c:pt idx="638">
                  <c:v>19.187000000000001</c:v>
                </c:pt>
                <c:pt idx="639">
                  <c:v>19.091999999999999</c:v>
                </c:pt>
                <c:pt idx="640">
                  <c:v>19.091999999999999</c:v>
                </c:pt>
                <c:pt idx="641">
                  <c:v>19.091999999999999</c:v>
                </c:pt>
                <c:pt idx="642">
                  <c:v>18.995999999999999</c:v>
                </c:pt>
                <c:pt idx="643">
                  <c:v>18.995999999999999</c:v>
                </c:pt>
                <c:pt idx="644">
                  <c:v>18.995999999999999</c:v>
                </c:pt>
                <c:pt idx="645">
                  <c:v>18.901</c:v>
                </c:pt>
                <c:pt idx="646">
                  <c:v>18.901</c:v>
                </c:pt>
                <c:pt idx="647">
                  <c:v>18.806000000000001</c:v>
                </c:pt>
                <c:pt idx="648">
                  <c:v>18.806000000000001</c:v>
                </c:pt>
                <c:pt idx="649">
                  <c:v>18.710999999999999</c:v>
                </c:pt>
                <c:pt idx="650">
                  <c:v>18.616</c:v>
                </c:pt>
                <c:pt idx="651">
                  <c:v>18.616</c:v>
                </c:pt>
                <c:pt idx="652">
                  <c:v>18.425999999999981</c:v>
                </c:pt>
                <c:pt idx="653">
                  <c:v>18.521000000000001</c:v>
                </c:pt>
                <c:pt idx="654">
                  <c:v>18.521000000000001</c:v>
                </c:pt>
                <c:pt idx="655">
                  <c:v>18.425999999999981</c:v>
                </c:pt>
                <c:pt idx="656">
                  <c:v>18.425999999999981</c:v>
                </c:pt>
                <c:pt idx="657">
                  <c:v>18.331</c:v>
                </c:pt>
                <c:pt idx="658">
                  <c:v>18.236000000000001</c:v>
                </c:pt>
                <c:pt idx="659">
                  <c:v>18.236000000000001</c:v>
                </c:pt>
                <c:pt idx="660">
                  <c:v>18.236000000000001</c:v>
                </c:pt>
                <c:pt idx="661">
                  <c:v>18.236000000000001</c:v>
                </c:pt>
                <c:pt idx="662">
                  <c:v>18.045000000000002</c:v>
                </c:pt>
                <c:pt idx="663">
                  <c:v>18.045000000000002</c:v>
                </c:pt>
                <c:pt idx="664">
                  <c:v>18.045000000000002</c:v>
                </c:pt>
                <c:pt idx="665">
                  <c:v>17.95</c:v>
                </c:pt>
                <c:pt idx="666">
                  <c:v>17.95</c:v>
                </c:pt>
                <c:pt idx="667">
                  <c:v>17.855</c:v>
                </c:pt>
                <c:pt idx="668">
                  <c:v>17.760000000000002</c:v>
                </c:pt>
                <c:pt idx="669">
                  <c:v>17.760000000000002</c:v>
                </c:pt>
                <c:pt idx="670">
                  <c:v>17.760000000000002</c:v>
                </c:pt>
                <c:pt idx="671">
                  <c:v>17.57</c:v>
                </c:pt>
                <c:pt idx="672">
                  <c:v>17.664999999999999</c:v>
                </c:pt>
                <c:pt idx="673">
                  <c:v>17.57</c:v>
                </c:pt>
                <c:pt idx="674">
                  <c:v>17.664999999999999</c:v>
                </c:pt>
                <c:pt idx="675">
                  <c:v>17.57</c:v>
                </c:pt>
                <c:pt idx="676">
                  <c:v>17.57</c:v>
                </c:pt>
                <c:pt idx="677">
                  <c:v>17.57</c:v>
                </c:pt>
                <c:pt idx="678">
                  <c:v>17.475000000000001</c:v>
                </c:pt>
                <c:pt idx="679">
                  <c:v>17.379000000000001</c:v>
                </c:pt>
                <c:pt idx="680">
                  <c:v>17.283999999999999</c:v>
                </c:pt>
                <c:pt idx="681">
                  <c:v>17.379000000000001</c:v>
                </c:pt>
                <c:pt idx="682">
                  <c:v>17.283999999999999</c:v>
                </c:pt>
                <c:pt idx="683">
                  <c:v>17.189</c:v>
                </c:pt>
                <c:pt idx="684">
                  <c:v>17.283999999999999</c:v>
                </c:pt>
                <c:pt idx="685">
                  <c:v>17.189</c:v>
                </c:pt>
                <c:pt idx="686">
                  <c:v>17.283999999999999</c:v>
                </c:pt>
                <c:pt idx="687">
                  <c:v>17.189</c:v>
                </c:pt>
                <c:pt idx="688">
                  <c:v>17.189</c:v>
                </c:pt>
                <c:pt idx="689">
                  <c:v>17.094000000000001</c:v>
                </c:pt>
                <c:pt idx="690">
                  <c:v>17.094000000000001</c:v>
                </c:pt>
                <c:pt idx="691">
                  <c:v>17.094000000000001</c:v>
                </c:pt>
                <c:pt idx="692">
                  <c:v>17.094000000000001</c:v>
                </c:pt>
                <c:pt idx="693">
                  <c:v>16.998999999999999</c:v>
                </c:pt>
                <c:pt idx="694">
                  <c:v>16.902999999999999</c:v>
                </c:pt>
                <c:pt idx="695">
                  <c:v>17.094000000000001</c:v>
                </c:pt>
                <c:pt idx="696">
                  <c:v>16.998999999999999</c:v>
                </c:pt>
                <c:pt idx="697">
                  <c:v>16.808</c:v>
                </c:pt>
                <c:pt idx="698">
                  <c:v>16.808</c:v>
                </c:pt>
                <c:pt idx="699">
                  <c:v>16.808</c:v>
                </c:pt>
                <c:pt idx="700">
                  <c:v>16.808</c:v>
                </c:pt>
                <c:pt idx="701">
                  <c:v>16.808</c:v>
                </c:pt>
                <c:pt idx="702">
                  <c:v>16.808</c:v>
                </c:pt>
                <c:pt idx="703">
                  <c:v>16.998999999999999</c:v>
                </c:pt>
                <c:pt idx="704">
                  <c:v>17.094000000000001</c:v>
                </c:pt>
                <c:pt idx="705">
                  <c:v>17.283999999999999</c:v>
                </c:pt>
                <c:pt idx="706">
                  <c:v>17.283999999999999</c:v>
                </c:pt>
                <c:pt idx="707">
                  <c:v>17.283999999999999</c:v>
                </c:pt>
                <c:pt idx="708">
                  <c:v>17.379000000000001</c:v>
                </c:pt>
                <c:pt idx="709">
                  <c:v>17.855</c:v>
                </c:pt>
                <c:pt idx="710">
                  <c:v>18.236000000000001</c:v>
                </c:pt>
                <c:pt idx="711">
                  <c:v>18.901</c:v>
                </c:pt>
                <c:pt idx="712">
                  <c:v>18.995999999999999</c:v>
                </c:pt>
                <c:pt idx="713">
                  <c:v>18.616</c:v>
                </c:pt>
                <c:pt idx="714">
                  <c:v>18.616</c:v>
                </c:pt>
                <c:pt idx="715">
                  <c:v>18.616</c:v>
                </c:pt>
                <c:pt idx="716">
                  <c:v>18.616</c:v>
                </c:pt>
                <c:pt idx="717">
                  <c:v>18.710999999999999</c:v>
                </c:pt>
                <c:pt idx="718">
                  <c:v>18.995999999999999</c:v>
                </c:pt>
                <c:pt idx="719">
                  <c:v>20.042999999999999</c:v>
                </c:pt>
                <c:pt idx="720">
                  <c:v>19.282</c:v>
                </c:pt>
                <c:pt idx="721">
                  <c:v>19.282</c:v>
                </c:pt>
                <c:pt idx="722">
                  <c:v>19.282</c:v>
                </c:pt>
                <c:pt idx="723">
                  <c:v>19.661999999999999</c:v>
                </c:pt>
                <c:pt idx="724">
                  <c:v>19.472000000000001</c:v>
                </c:pt>
                <c:pt idx="725">
                  <c:v>19.472000000000001</c:v>
                </c:pt>
                <c:pt idx="726">
                  <c:v>19.567</c:v>
                </c:pt>
                <c:pt idx="727">
                  <c:v>19.567</c:v>
                </c:pt>
                <c:pt idx="728">
                  <c:v>19.661999999999999</c:v>
                </c:pt>
                <c:pt idx="729">
                  <c:v>19.472000000000001</c:v>
                </c:pt>
                <c:pt idx="730">
                  <c:v>19.661999999999999</c:v>
                </c:pt>
                <c:pt idx="731">
                  <c:v>19.567</c:v>
                </c:pt>
                <c:pt idx="732">
                  <c:v>19.567</c:v>
                </c:pt>
                <c:pt idx="733">
                  <c:v>19.567</c:v>
                </c:pt>
                <c:pt idx="734">
                  <c:v>19.567</c:v>
                </c:pt>
                <c:pt idx="735">
                  <c:v>19.472000000000001</c:v>
                </c:pt>
                <c:pt idx="736">
                  <c:v>19.472000000000001</c:v>
                </c:pt>
                <c:pt idx="737">
                  <c:v>19.376999999999999</c:v>
                </c:pt>
                <c:pt idx="738">
                  <c:v>19.376999999999999</c:v>
                </c:pt>
                <c:pt idx="739">
                  <c:v>19.282</c:v>
                </c:pt>
                <c:pt idx="740">
                  <c:v>19.282</c:v>
                </c:pt>
                <c:pt idx="741">
                  <c:v>19.187000000000001</c:v>
                </c:pt>
                <c:pt idx="742">
                  <c:v>19.187000000000001</c:v>
                </c:pt>
                <c:pt idx="743">
                  <c:v>19.091999999999999</c:v>
                </c:pt>
                <c:pt idx="744">
                  <c:v>19.091999999999999</c:v>
                </c:pt>
                <c:pt idx="745">
                  <c:v>18.995999999999999</c:v>
                </c:pt>
                <c:pt idx="746">
                  <c:v>18.901</c:v>
                </c:pt>
                <c:pt idx="747">
                  <c:v>18.710999999999999</c:v>
                </c:pt>
                <c:pt idx="748">
                  <c:v>18.710999999999999</c:v>
                </c:pt>
                <c:pt idx="749">
                  <c:v>18.616</c:v>
                </c:pt>
                <c:pt idx="750">
                  <c:v>18.521000000000001</c:v>
                </c:pt>
                <c:pt idx="751">
                  <c:v>18.521000000000001</c:v>
                </c:pt>
                <c:pt idx="752">
                  <c:v>18.425999999999981</c:v>
                </c:pt>
                <c:pt idx="753">
                  <c:v>18.331</c:v>
                </c:pt>
                <c:pt idx="754">
                  <c:v>18.331</c:v>
                </c:pt>
                <c:pt idx="755">
                  <c:v>18.331</c:v>
                </c:pt>
                <c:pt idx="756">
                  <c:v>18.331</c:v>
                </c:pt>
                <c:pt idx="757">
                  <c:v>18.331</c:v>
                </c:pt>
                <c:pt idx="758">
                  <c:v>18.331</c:v>
                </c:pt>
                <c:pt idx="759">
                  <c:v>18.331</c:v>
                </c:pt>
                <c:pt idx="760">
                  <c:v>18.236000000000001</c:v>
                </c:pt>
                <c:pt idx="761">
                  <c:v>18.14</c:v>
                </c:pt>
                <c:pt idx="762">
                  <c:v>18.236000000000001</c:v>
                </c:pt>
                <c:pt idx="763">
                  <c:v>18.236000000000001</c:v>
                </c:pt>
                <c:pt idx="764">
                  <c:v>18.14</c:v>
                </c:pt>
                <c:pt idx="765">
                  <c:v>18.045000000000002</c:v>
                </c:pt>
                <c:pt idx="766">
                  <c:v>18.045000000000002</c:v>
                </c:pt>
                <c:pt idx="767">
                  <c:v>18.045000000000002</c:v>
                </c:pt>
                <c:pt idx="768">
                  <c:v>17.95</c:v>
                </c:pt>
                <c:pt idx="769">
                  <c:v>17.95</c:v>
                </c:pt>
                <c:pt idx="770">
                  <c:v>17.855</c:v>
                </c:pt>
                <c:pt idx="771">
                  <c:v>17.95</c:v>
                </c:pt>
                <c:pt idx="772">
                  <c:v>17.95</c:v>
                </c:pt>
                <c:pt idx="773">
                  <c:v>17.95</c:v>
                </c:pt>
                <c:pt idx="774">
                  <c:v>17.760000000000002</c:v>
                </c:pt>
                <c:pt idx="775">
                  <c:v>17.664999999999999</c:v>
                </c:pt>
                <c:pt idx="776">
                  <c:v>17.760000000000002</c:v>
                </c:pt>
                <c:pt idx="777">
                  <c:v>17.760000000000002</c:v>
                </c:pt>
                <c:pt idx="778">
                  <c:v>17.760000000000002</c:v>
                </c:pt>
                <c:pt idx="779">
                  <c:v>17.664999999999999</c:v>
                </c:pt>
                <c:pt idx="780">
                  <c:v>17.760000000000002</c:v>
                </c:pt>
                <c:pt idx="781">
                  <c:v>17.760000000000002</c:v>
                </c:pt>
                <c:pt idx="782">
                  <c:v>17.664999999999999</c:v>
                </c:pt>
                <c:pt idx="783">
                  <c:v>17.57</c:v>
                </c:pt>
                <c:pt idx="784">
                  <c:v>17.760000000000002</c:v>
                </c:pt>
                <c:pt idx="785">
                  <c:v>17.664999999999999</c:v>
                </c:pt>
                <c:pt idx="786">
                  <c:v>17.57</c:v>
                </c:pt>
                <c:pt idx="787">
                  <c:v>17.475000000000001</c:v>
                </c:pt>
                <c:pt idx="788">
                  <c:v>17.57</c:v>
                </c:pt>
                <c:pt idx="789">
                  <c:v>17.379000000000001</c:v>
                </c:pt>
                <c:pt idx="790">
                  <c:v>17.475000000000001</c:v>
                </c:pt>
                <c:pt idx="791">
                  <c:v>17.379000000000001</c:v>
                </c:pt>
                <c:pt idx="792">
                  <c:v>17.379000000000001</c:v>
                </c:pt>
                <c:pt idx="793">
                  <c:v>17.379000000000001</c:v>
                </c:pt>
                <c:pt idx="794">
                  <c:v>17.379000000000001</c:v>
                </c:pt>
                <c:pt idx="795">
                  <c:v>17.379000000000001</c:v>
                </c:pt>
                <c:pt idx="796">
                  <c:v>17.283999999999999</c:v>
                </c:pt>
                <c:pt idx="797">
                  <c:v>17.283999999999999</c:v>
                </c:pt>
                <c:pt idx="798">
                  <c:v>17.379000000000001</c:v>
                </c:pt>
                <c:pt idx="799">
                  <c:v>17.760000000000002</c:v>
                </c:pt>
                <c:pt idx="800">
                  <c:v>17.760000000000002</c:v>
                </c:pt>
                <c:pt idx="801">
                  <c:v>17.95</c:v>
                </c:pt>
                <c:pt idx="802">
                  <c:v>17.95</c:v>
                </c:pt>
                <c:pt idx="803">
                  <c:v>17.95</c:v>
                </c:pt>
                <c:pt idx="804">
                  <c:v>18.045000000000002</c:v>
                </c:pt>
                <c:pt idx="805">
                  <c:v>18.236000000000001</c:v>
                </c:pt>
                <c:pt idx="806">
                  <c:v>18.425999999999981</c:v>
                </c:pt>
                <c:pt idx="807">
                  <c:v>18.710999999999999</c:v>
                </c:pt>
                <c:pt idx="808">
                  <c:v>19.091999999999999</c:v>
                </c:pt>
                <c:pt idx="809">
                  <c:v>18.710999999999999</c:v>
                </c:pt>
                <c:pt idx="810">
                  <c:v>18.710999999999999</c:v>
                </c:pt>
                <c:pt idx="811">
                  <c:v>18.901</c:v>
                </c:pt>
                <c:pt idx="812">
                  <c:v>18.995999999999999</c:v>
                </c:pt>
                <c:pt idx="813">
                  <c:v>19.187000000000001</c:v>
                </c:pt>
                <c:pt idx="814">
                  <c:v>19.472000000000001</c:v>
                </c:pt>
                <c:pt idx="815">
                  <c:v>20.138000000000009</c:v>
                </c:pt>
                <c:pt idx="816">
                  <c:v>19.567</c:v>
                </c:pt>
                <c:pt idx="817">
                  <c:v>19.567</c:v>
                </c:pt>
                <c:pt idx="818">
                  <c:v>19.661999999999999</c:v>
                </c:pt>
                <c:pt idx="819">
                  <c:v>19.853000000000009</c:v>
                </c:pt>
                <c:pt idx="820">
                  <c:v>19.853000000000009</c:v>
                </c:pt>
                <c:pt idx="821">
                  <c:v>19.661999999999999</c:v>
                </c:pt>
                <c:pt idx="822">
                  <c:v>19.757999999999999</c:v>
                </c:pt>
                <c:pt idx="823">
                  <c:v>19.853000000000009</c:v>
                </c:pt>
                <c:pt idx="824">
                  <c:v>19.948</c:v>
                </c:pt>
                <c:pt idx="825">
                  <c:v>19.853000000000009</c:v>
                </c:pt>
                <c:pt idx="826">
                  <c:v>19.948</c:v>
                </c:pt>
                <c:pt idx="827">
                  <c:v>19.853000000000009</c:v>
                </c:pt>
                <c:pt idx="828">
                  <c:v>19.853000000000009</c:v>
                </c:pt>
                <c:pt idx="829">
                  <c:v>19.853000000000009</c:v>
                </c:pt>
                <c:pt idx="830">
                  <c:v>19.853000000000009</c:v>
                </c:pt>
                <c:pt idx="831">
                  <c:v>19.757999999999999</c:v>
                </c:pt>
                <c:pt idx="832">
                  <c:v>19.757999999999999</c:v>
                </c:pt>
                <c:pt idx="833">
                  <c:v>19.757999999999999</c:v>
                </c:pt>
                <c:pt idx="834">
                  <c:v>19.757999999999999</c:v>
                </c:pt>
                <c:pt idx="835">
                  <c:v>19.757999999999999</c:v>
                </c:pt>
                <c:pt idx="836">
                  <c:v>19.661999999999999</c:v>
                </c:pt>
                <c:pt idx="837">
                  <c:v>19.567</c:v>
                </c:pt>
                <c:pt idx="838">
                  <c:v>19.567</c:v>
                </c:pt>
                <c:pt idx="839">
                  <c:v>19.472000000000001</c:v>
                </c:pt>
                <c:pt idx="840">
                  <c:v>19.376999999999999</c:v>
                </c:pt>
                <c:pt idx="841">
                  <c:v>19.376999999999999</c:v>
                </c:pt>
                <c:pt idx="842">
                  <c:v>19.282</c:v>
                </c:pt>
                <c:pt idx="843">
                  <c:v>19.187000000000001</c:v>
                </c:pt>
                <c:pt idx="844">
                  <c:v>19.091999999999999</c:v>
                </c:pt>
                <c:pt idx="845">
                  <c:v>18.995999999999999</c:v>
                </c:pt>
                <c:pt idx="846">
                  <c:v>18.995999999999999</c:v>
                </c:pt>
                <c:pt idx="847">
                  <c:v>18.806000000000001</c:v>
                </c:pt>
                <c:pt idx="848">
                  <c:v>18.901</c:v>
                </c:pt>
                <c:pt idx="849">
                  <c:v>18.806000000000001</c:v>
                </c:pt>
                <c:pt idx="850">
                  <c:v>18.806000000000001</c:v>
                </c:pt>
                <c:pt idx="851">
                  <c:v>18.806000000000001</c:v>
                </c:pt>
                <c:pt idx="852">
                  <c:v>18.710999999999999</c:v>
                </c:pt>
                <c:pt idx="853">
                  <c:v>18.710999999999999</c:v>
                </c:pt>
                <c:pt idx="854">
                  <c:v>18.710999999999999</c:v>
                </c:pt>
                <c:pt idx="855">
                  <c:v>18.616</c:v>
                </c:pt>
                <c:pt idx="856">
                  <c:v>18.616</c:v>
                </c:pt>
                <c:pt idx="857">
                  <c:v>18.616</c:v>
                </c:pt>
                <c:pt idx="858">
                  <c:v>18.521000000000001</c:v>
                </c:pt>
                <c:pt idx="859">
                  <c:v>18.521000000000001</c:v>
                </c:pt>
                <c:pt idx="860">
                  <c:v>18.425999999999981</c:v>
                </c:pt>
                <c:pt idx="861">
                  <c:v>18.425999999999981</c:v>
                </c:pt>
                <c:pt idx="862">
                  <c:v>18.425999999999981</c:v>
                </c:pt>
                <c:pt idx="863">
                  <c:v>18.425999999999981</c:v>
                </c:pt>
                <c:pt idx="864">
                  <c:v>18.425999999999981</c:v>
                </c:pt>
                <c:pt idx="865">
                  <c:v>18.331</c:v>
                </c:pt>
                <c:pt idx="866">
                  <c:v>18.331</c:v>
                </c:pt>
                <c:pt idx="867">
                  <c:v>18.331</c:v>
                </c:pt>
                <c:pt idx="868">
                  <c:v>18.236000000000001</c:v>
                </c:pt>
                <c:pt idx="869">
                  <c:v>18.331</c:v>
                </c:pt>
                <c:pt idx="870">
                  <c:v>18.236000000000001</c:v>
                </c:pt>
                <c:pt idx="871">
                  <c:v>18.14</c:v>
                </c:pt>
                <c:pt idx="872">
                  <c:v>18.14</c:v>
                </c:pt>
                <c:pt idx="873">
                  <c:v>18.14</c:v>
                </c:pt>
                <c:pt idx="874">
                  <c:v>18.14</c:v>
                </c:pt>
                <c:pt idx="875">
                  <c:v>18.14</c:v>
                </c:pt>
                <c:pt idx="876">
                  <c:v>18.045000000000002</c:v>
                </c:pt>
                <c:pt idx="877">
                  <c:v>17.95</c:v>
                </c:pt>
                <c:pt idx="878">
                  <c:v>17.95</c:v>
                </c:pt>
                <c:pt idx="879">
                  <c:v>17.95</c:v>
                </c:pt>
                <c:pt idx="880">
                  <c:v>17.760000000000002</c:v>
                </c:pt>
                <c:pt idx="881">
                  <c:v>17.855</c:v>
                </c:pt>
                <c:pt idx="882">
                  <c:v>17.760000000000002</c:v>
                </c:pt>
                <c:pt idx="883">
                  <c:v>17.760000000000002</c:v>
                </c:pt>
                <c:pt idx="884">
                  <c:v>17.664999999999999</c:v>
                </c:pt>
                <c:pt idx="885">
                  <c:v>17.664999999999999</c:v>
                </c:pt>
                <c:pt idx="886">
                  <c:v>17.57</c:v>
                </c:pt>
                <c:pt idx="887">
                  <c:v>17.57</c:v>
                </c:pt>
                <c:pt idx="888">
                  <c:v>17.57</c:v>
                </c:pt>
                <c:pt idx="889">
                  <c:v>17.57</c:v>
                </c:pt>
                <c:pt idx="890">
                  <c:v>17.57</c:v>
                </c:pt>
                <c:pt idx="891">
                  <c:v>17.475000000000001</c:v>
                </c:pt>
                <c:pt idx="892">
                  <c:v>17.57</c:v>
                </c:pt>
                <c:pt idx="893">
                  <c:v>17.57</c:v>
                </c:pt>
                <c:pt idx="894">
                  <c:v>17.57</c:v>
                </c:pt>
                <c:pt idx="895">
                  <c:v>17.664999999999999</c:v>
                </c:pt>
                <c:pt idx="896">
                  <c:v>17.855</c:v>
                </c:pt>
                <c:pt idx="897">
                  <c:v>17.855</c:v>
                </c:pt>
                <c:pt idx="898">
                  <c:v>17.855</c:v>
                </c:pt>
                <c:pt idx="899">
                  <c:v>17.95</c:v>
                </c:pt>
                <c:pt idx="900">
                  <c:v>18.045000000000002</c:v>
                </c:pt>
                <c:pt idx="901">
                  <c:v>18.236000000000001</c:v>
                </c:pt>
                <c:pt idx="902">
                  <c:v>18.521000000000001</c:v>
                </c:pt>
                <c:pt idx="903">
                  <c:v>19.091999999999999</c:v>
                </c:pt>
                <c:pt idx="904">
                  <c:v>19.091999999999999</c:v>
                </c:pt>
                <c:pt idx="905">
                  <c:v>18.995999999999999</c:v>
                </c:pt>
                <c:pt idx="906">
                  <c:v>18.995999999999999</c:v>
                </c:pt>
                <c:pt idx="907">
                  <c:v>19.091999999999999</c:v>
                </c:pt>
                <c:pt idx="908">
                  <c:v>19.091999999999999</c:v>
                </c:pt>
                <c:pt idx="909">
                  <c:v>19.472000000000001</c:v>
                </c:pt>
                <c:pt idx="910">
                  <c:v>19.757999999999999</c:v>
                </c:pt>
                <c:pt idx="911">
                  <c:v>20.138000000000009</c:v>
                </c:pt>
                <c:pt idx="912">
                  <c:v>19.757999999999999</c:v>
                </c:pt>
                <c:pt idx="913">
                  <c:v>19.757999999999999</c:v>
                </c:pt>
                <c:pt idx="914">
                  <c:v>19.757999999999999</c:v>
                </c:pt>
                <c:pt idx="915">
                  <c:v>19.948</c:v>
                </c:pt>
                <c:pt idx="916">
                  <c:v>20.042999999999999</c:v>
                </c:pt>
                <c:pt idx="917">
                  <c:v>19.853000000000009</c:v>
                </c:pt>
                <c:pt idx="918">
                  <c:v>20.042999999999999</c:v>
                </c:pt>
                <c:pt idx="919">
                  <c:v>20.042999999999999</c:v>
                </c:pt>
                <c:pt idx="920">
                  <c:v>19.948</c:v>
                </c:pt>
                <c:pt idx="921">
                  <c:v>19.948</c:v>
                </c:pt>
                <c:pt idx="922">
                  <c:v>20.234000000000009</c:v>
                </c:pt>
                <c:pt idx="923">
                  <c:v>20.042999999999999</c:v>
                </c:pt>
                <c:pt idx="924">
                  <c:v>20.042999999999999</c:v>
                </c:pt>
                <c:pt idx="925">
                  <c:v>19.948</c:v>
                </c:pt>
                <c:pt idx="926">
                  <c:v>19.948</c:v>
                </c:pt>
                <c:pt idx="927">
                  <c:v>19.948</c:v>
                </c:pt>
                <c:pt idx="928">
                  <c:v>19.948</c:v>
                </c:pt>
                <c:pt idx="929">
                  <c:v>19.853000000000009</c:v>
                </c:pt>
                <c:pt idx="930">
                  <c:v>19.853000000000009</c:v>
                </c:pt>
                <c:pt idx="931">
                  <c:v>19.853000000000009</c:v>
                </c:pt>
                <c:pt idx="932">
                  <c:v>19.757999999999999</c:v>
                </c:pt>
                <c:pt idx="933">
                  <c:v>19.757999999999999</c:v>
                </c:pt>
                <c:pt idx="934">
                  <c:v>19.661999999999999</c:v>
                </c:pt>
                <c:pt idx="935">
                  <c:v>19.661999999999999</c:v>
                </c:pt>
                <c:pt idx="936">
                  <c:v>19.567</c:v>
                </c:pt>
                <c:pt idx="937">
                  <c:v>19.472000000000001</c:v>
                </c:pt>
                <c:pt idx="938">
                  <c:v>19.472000000000001</c:v>
                </c:pt>
                <c:pt idx="939">
                  <c:v>19.282</c:v>
                </c:pt>
                <c:pt idx="940">
                  <c:v>19.187000000000001</c:v>
                </c:pt>
                <c:pt idx="941">
                  <c:v>19.091999999999999</c:v>
                </c:pt>
                <c:pt idx="942">
                  <c:v>19.091999999999999</c:v>
                </c:pt>
                <c:pt idx="943">
                  <c:v>18.995999999999999</c:v>
                </c:pt>
                <c:pt idx="944">
                  <c:v>18.806000000000001</c:v>
                </c:pt>
                <c:pt idx="945">
                  <c:v>18.806000000000001</c:v>
                </c:pt>
                <c:pt idx="946">
                  <c:v>18.710999999999999</c:v>
                </c:pt>
                <c:pt idx="947">
                  <c:v>18.806000000000001</c:v>
                </c:pt>
                <c:pt idx="948">
                  <c:v>18.806000000000001</c:v>
                </c:pt>
                <c:pt idx="949">
                  <c:v>18.710999999999999</c:v>
                </c:pt>
                <c:pt idx="950">
                  <c:v>18.710999999999999</c:v>
                </c:pt>
                <c:pt idx="951">
                  <c:v>18.710999999999999</c:v>
                </c:pt>
                <c:pt idx="952">
                  <c:v>18.616</c:v>
                </c:pt>
                <c:pt idx="953">
                  <c:v>18.616</c:v>
                </c:pt>
                <c:pt idx="954">
                  <c:v>18.616</c:v>
                </c:pt>
                <c:pt idx="955">
                  <c:v>18.616</c:v>
                </c:pt>
                <c:pt idx="956">
                  <c:v>18.521000000000001</c:v>
                </c:pt>
                <c:pt idx="957">
                  <c:v>18.521000000000001</c:v>
                </c:pt>
                <c:pt idx="958">
                  <c:v>18.425999999999981</c:v>
                </c:pt>
                <c:pt idx="959">
                  <c:v>18.425999999999981</c:v>
                </c:pt>
                <c:pt idx="960">
                  <c:v>18.425999999999981</c:v>
                </c:pt>
                <c:pt idx="961">
                  <c:v>18.425999999999981</c:v>
                </c:pt>
                <c:pt idx="962">
                  <c:v>18.331</c:v>
                </c:pt>
                <c:pt idx="963">
                  <c:v>18.236000000000001</c:v>
                </c:pt>
                <c:pt idx="964">
                  <c:v>18.236000000000001</c:v>
                </c:pt>
                <c:pt idx="965">
                  <c:v>18.236000000000001</c:v>
                </c:pt>
                <c:pt idx="966">
                  <c:v>18.14</c:v>
                </c:pt>
                <c:pt idx="967">
                  <c:v>18.14</c:v>
                </c:pt>
                <c:pt idx="968">
                  <c:v>18.14</c:v>
                </c:pt>
                <c:pt idx="969">
                  <c:v>18.14</c:v>
                </c:pt>
                <c:pt idx="970">
                  <c:v>18.14</c:v>
                </c:pt>
                <c:pt idx="971">
                  <c:v>18.045000000000002</c:v>
                </c:pt>
                <c:pt idx="972">
                  <c:v>18.045000000000002</c:v>
                </c:pt>
                <c:pt idx="973">
                  <c:v>17.855</c:v>
                </c:pt>
                <c:pt idx="974">
                  <c:v>17.855</c:v>
                </c:pt>
                <c:pt idx="975">
                  <c:v>17.855</c:v>
                </c:pt>
                <c:pt idx="976">
                  <c:v>17.855</c:v>
                </c:pt>
                <c:pt idx="977">
                  <c:v>17.855</c:v>
                </c:pt>
                <c:pt idx="978">
                  <c:v>17.855</c:v>
                </c:pt>
                <c:pt idx="979">
                  <c:v>17.855</c:v>
                </c:pt>
                <c:pt idx="980">
                  <c:v>17.855</c:v>
                </c:pt>
                <c:pt idx="981">
                  <c:v>17.760000000000002</c:v>
                </c:pt>
                <c:pt idx="982">
                  <c:v>17.760000000000002</c:v>
                </c:pt>
                <c:pt idx="983">
                  <c:v>17.760000000000002</c:v>
                </c:pt>
                <c:pt idx="984">
                  <c:v>17.664999999999999</c:v>
                </c:pt>
                <c:pt idx="985">
                  <c:v>17.57</c:v>
                </c:pt>
                <c:pt idx="986">
                  <c:v>17.664999999999999</c:v>
                </c:pt>
                <c:pt idx="987">
                  <c:v>17.57</c:v>
                </c:pt>
                <c:pt idx="988">
                  <c:v>17.664999999999999</c:v>
                </c:pt>
                <c:pt idx="989">
                  <c:v>17.57</c:v>
                </c:pt>
                <c:pt idx="990">
                  <c:v>17.760000000000002</c:v>
                </c:pt>
                <c:pt idx="991">
                  <c:v>18.045000000000002</c:v>
                </c:pt>
                <c:pt idx="992">
                  <c:v>18.14</c:v>
                </c:pt>
                <c:pt idx="993">
                  <c:v>18.236000000000001</c:v>
                </c:pt>
                <c:pt idx="994">
                  <c:v>18.425999999999981</c:v>
                </c:pt>
                <c:pt idx="995">
                  <c:v>18.425999999999981</c:v>
                </c:pt>
                <c:pt idx="996">
                  <c:v>18.331</c:v>
                </c:pt>
                <c:pt idx="997">
                  <c:v>18.521000000000001</c:v>
                </c:pt>
                <c:pt idx="998">
                  <c:v>18.901</c:v>
                </c:pt>
                <c:pt idx="999">
                  <c:v>19.187000000000001</c:v>
                </c:pt>
                <c:pt idx="1000">
                  <c:v>19.376999999999999</c:v>
                </c:pt>
                <c:pt idx="1001">
                  <c:v>19.472000000000001</c:v>
                </c:pt>
                <c:pt idx="1002">
                  <c:v>19.187000000000001</c:v>
                </c:pt>
                <c:pt idx="1003">
                  <c:v>19.282</c:v>
                </c:pt>
                <c:pt idx="1004">
                  <c:v>19.376999999999999</c:v>
                </c:pt>
                <c:pt idx="1005">
                  <c:v>19.661999999999999</c:v>
                </c:pt>
                <c:pt idx="1006">
                  <c:v>19.853000000000009</c:v>
                </c:pt>
                <c:pt idx="1007">
                  <c:v>20.329000000000001</c:v>
                </c:pt>
                <c:pt idx="1008">
                  <c:v>19.948</c:v>
                </c:pt>
                <c:pt idx="1009">
                  <c:v>19.853000000000009</c:v>
                </c:pt>
                <c:pt idx="1010">
                  <c:v>19.948</c:v>
                </c:pt>
                <c:pt idx="1011">
                  <c:v>20.234000000000009</c:v>
                </c:pt>
                <c:pt idx="1012">
                  <c:v>20.234000000000009</c:v>
                </c:pt>
                <c:pt idx="1013">
                  <c:v>20.138000000000009</c:v>
                </c:pt>
                <c:pt idx="1014">
                  <c:v>20.329000000000001</c:v>
                </c:pt>
                <c:pt idx="1015">
                  <c:v>20.234000000000009</c:v>
                </c:pt>
                <c:pt idx="1016">
                  <c:v>20.234000000000009</c:v>
                </c:pt>
                <c:pt idx="1017">
                  <c:v>20.234000000000009</c:v>
                </c:pt>
                <c:pt idx="1018">
                  <c:v>20.423999999999999</c:v>
                </c:pt>
                <c:pt idx="1019">
                  <c:v>20.138000000000009</c:v>
                </c:pt>
                <c:pt idx="1020">
                  <c:v>20.138000000000009</c:v>
                </c:pt>
                <c:pt idx="1021">
                  <c:v>20.138000000000009</c:v>
                </c:pt>
                <c:pt idx="1022">
                  <c:v>20.138000000000009</c:v>
                </c:pt>
                <c:pt idx="1023">
                  <c:v>20.042999999999999</c:v>
                </c:pt>
                <c:pt idx="1024">
                  <c:v>20.042999999999999</c:v>
                </c:pt>
                <c:pt idx="1025">
                  <c:v>20.042999999999999</c:v>
                </c:pt>
                <c:pt idx="1026">
                  <c:v>19.948</c:v>
                </c:pt>
                <c:pt idx="1027">
                  <c:v>19.948</c:v>
                </c:pt>
                <c:pt idx="1028">
                  <c:v>19.853000000000009</c:v>
                </c:pt>
                <c:pt idx="1029">
                  <c:v>19.853000000000009</c:v>
                </c:pt>
                <c:pt idx="1030">
                  <c:v>19.757999999999999</c:v>
                </c:pt>
                <c:pt idx="1031">
                  <c:v>19.757999999999999</c:v>
                </c:pt>
                <c:pt idx="1032">
                  <c:v>19.661999999999999</c:v>
                </c:pt>
                <c:pt idx="1033">
                  <c:v>19.661999999999999</c:v>
                </c:pt>
                <c:pt idx="1034">
                  <c:v>19.472000000000001</c:v>
                </c:pt>
                <c:pt idx="1035">
                  <c:v>19.376999999999999</c:v>
                </c:pt>
                <c:pt idx="1036">
                  <c:v>19.376999999999999</c:v>
                </c:pt>
                <c:pt idx="1037">
                  <c:v>19.282</c:v>
                </c:pt>
                <c:pt idx="1038">
                  <c:v>19.187000000000001</c:v>
                </c:pt>
                <c:pt idx="1039">
                  <c:v>19.091999999999999</c:v>
                </c:pt>
                <c:pt idx="1040">
                  <c:v>19.091999999999999</c:v>
                </c:pt>
                <c:pt idx="1041">
                  <c:v>18.995999999999999</c:v>
                </c:pt>
                <c:pt idx="1042">
                  <c:v>18.901</c:v>
                </c:pt>
                <c:pt idx="1043">
                  <c:v>18.901</c:v>
                </c:pt>
                <c:pt idx="1044">
                  <c:v>18.806000000000001</c:v>
                </c:pt>
                <c:pt idx="1045">
                  <c:v>18.710999999999999</c:v>
                </c:pt>
                <c:pt idx="1046">
                  <c:v>18.901</c:v>
                </c:pt>
                <c:pt idx="1047">
                  <c:v>18.616</c:v>
                </c:pt>
                <c:pt idx="1048">
                  <c:v>18.616</c:v>
                </c:pt>
                <c:pt idx="1049">
                  <c:v>18.710999999999999</c:v>
                </c:pt>
                <c:pt idx="1050">
                  <c:v>18.710999999999999</c:v>
                </c:pt>
                <c:pt idx="1051">
                  <c:v>18.616</c:v>
                </c:pt>
                <c:pt idx="1052">
                  <c:v>18.616</c:v>
                </c:pt>
                <c:pt idx="1053">
                  <c:v>18.616</c:v>
                </c:pt>
                <c:pt idx="1054">
                  <c:v>18.616</c:v>
                </c:pt>
                <c:pt idx="1055">
                  <c:v>18.521000000000001</c:v>
                </c:pt>
                <c:pt idx="1056">
                  <c:v>18.521000000000001</c:v>
                </c:pt>
                <c:pt idx="1057">
                  <c:v>18.425999999999981</c:v>
                </c:pt>
                <c:pt idx="1058">
                  <c:v>18.331</c:v>
                </c:pt>
                <c:pt idx="1059">
                  <c:v>18.331</c:v>
                </c:pt>
                <c:pt idx="1060">
                  <c:v>18.236000000000001</c:v>
                </c:pt>
                <c:pt idx="1061">
                  <c:v>18.331</c:v>
                </c:pt>
                <c:pt idx="1062">
                  <c:v>18.236000000000001</c:v>
                </c:pt>
                <c:pt idx="1063">
                  <c:v>18.236000000000001</c:v>
                </c:pt>
                <c:pt idx="1064">
                  <c:v>18.14</c:v>
                </c:pt>
                <c:pt idx="1065">
                  <c:v>18.236000000000001</c:v>
                </c:pt>
                <c:pt idx="1066">
                  <c:v>18.14</c:v>
                </c:pt>
                <c:pt idx="1067">
                  <c:v>18.14</c:v>
                </c:pt>
                <c:pt idx="1068">
                  <c:v>18.14</c:v>
                </c:pt>
                <c:pt idx="1069">
                  <c:v>18.14</c:v>
                </c:pt>
                <c:pt idx="1070">
                  <c:v>18.045000000000002</c:v>
                </c:pt>
                <c:pt idx="1071">
                  <c:v>17.95</c:v>
                </c:pt>
                <c:pt idx="1072">
                  <c:v>17.95</c:v>
                </c:pt>
                <c:pt idx="1073">
                  <c:v>17.95</c:v>
                </c:pt>
                <c:pt idx="1074">
                  <c:v>17.95</c:v>
                </c:pt>
                <c:pt idx="1075">
                  <c:v>17.760000000000002</c:v>
                </c:pt>
                <c:pt idx="1076">
                  <c:v>17.760000000000002</c:v>
                </c:pt>
                <c:pt idx="1077">
                  <c:v>17.760000000000002</c:v>
                </c:pt>
                <c:pt idx="1078">
                  <c:v>17.760000000000002</c:v>
                </c:pt>
                <c:pt idx="1079">
                  <c:v>17.760000000000002</c:v>
                </c:pt>
                <c:pt idx="1080">
                  <c:v>17.664999999999999</c:v>
                </c:pt>
                <c:pt idx="1081">
                  <c:v>17.664999999999999</c:v>
                </c:pt>
                <c:pt idx="1082">
                  <c:v>17.57</c:v>
                </c:pt>
                <c:pt idx="1083">
                  <c:v>17.57</c:v>
                </c:pt>
                <c:pt idx="1084">
                  <c:v>17.57</c:v>
                </c:pt>
                <c:pt idx="1085">
                  <c:v>17.57</c:v>
                </c:pt>
                <c:pt idx="1086">
                  <c:v>17.760000000000002</c:v>
                </c:pt>
                <c:pt idx="1087">
                  <c:v>18.236000000000001</c:v>
                </c:pt>
                <c:pt idx="1088">
                  <c:v>18.236000000000001</c:v>
                </c:pt>
                <c:pt idx="1089">
                  <c:v>18.331</c:v>
                </c:pt>
                <c:pt idx="1090">
                  <c:v>18.331</c:v>
                </c:pt>
                <c:pt idx="1091">
                  <c:v>18.331</c:v>
                </c:pt>
                <c:pt idx="1092">
                  <c:v>18.425999999999981</c:v>
                </c:pt>
                <c:pt idx="1093">
                  <c:v>18.521000000000001</c:v>
                </c:pt>
                <c:pt idx="1094">
                  <c:v>19.091999999999999</c:v>
                </c:pt>
                <c:pt idx="1095">
                  <c:v>18.995999999999999</c:v>
                </c:pt>
                <c:pt idx="1096">
                  <c:v>19.376999999999999</c:v>
                </c:pt>
                <c:pt idx="1097">
                  <c:v>19.187000000000001</c:v>
                </c:pt>
                <c:pt idx="1098">
                  <c:v>19.187000000000001</c:v>
                </c:pt>
                <c:pt idx="1099">
                  <c:v>19.187000000000001</c:v>
                </c:pt>
                <c:pt idx="1100">
                  <c:v>19.282</c:v>
                </c:pt>
                <c:pt idx="1101">
                  <c:v>19.661999999999999</c:v>
                </c:pt>
                <c:pt idx="1102">
                  <c:v>19.661999999999999</c:v>
                </c:pt>
                <c:pt idx="1103">
                  <c:v>20.234000000000009</c:v>
                </c:pt>
                <c:pt idx="1104">
                  <c:v>19.948</c:v>
                </c:pt>
                <c:pt idx="1105">
                  <c:v>19.853000000000009</c:v>
                </c:pt>
                <c:pt idx="1106">
                  <c:v>19.948</c:v>
                </c:pt>
                <c:pt idx="1107">
                  <c:v>20.234000000000009</c:v>
                </c:pt>
                <c:pt idx="1108">
                  <c:v>20.234000000000009</c:v>
                </c:pt>
                <c:pt idx="1109">
                  <c:v>20.138000000000009</c:v>
                </c:pt>
                <c:pt idx="1110">
                  <c:v>20.138000000000009</c:v>
                </c:pt>
                <c:pt idx="1111">
                  <c:v>20.234000000000009</c:v>
                </c:pt>
                <c:pt idx="1112">
                  <c:v>20.138000000000009</c:v>
                </c:pt>
                <c:pt idx="1113">
                  <c:v>20.234000000000009</c:v>
                </c:pt>
                <c:pt idx="1114">
                  <c:v>20.423999999999999</c:v>
                </c:pt>
                <c:pt idx="1115">
                  <c:v>20.234000000000009</c:v>
                </c:pt>
                <c:pt idx="1116">
                  <c:v>20.138000000000009</c:v>
                </c:pt>
                <c:pt idx="1117">
                  <c:v>20.138000000000009</c:v>
                </c:pt>
                <c:pt idx="1118">
                  <c:v>20.138000000000009</c:v>
                </c:pt>
                <c:pt idx="1119">
                  <c:v>20.138000000000009</c:v>
                </c:pt>
                <c:pt idx="1120">
                  <c:v>20.042999999999999</c:v>
                </c:pt>
                <c:pt idx="1121">
                  <c:v>20.042999999999999</c:v>
                </c:pt>
                <c:pt idx="1122">
                  <c:v>20.042999999999999</c:v>
                </c:pt>
                <c:pt idx="1123">
                  <c:v>19.948</c:v>
                </c:pt>
                <c:pt idx="1124">
                  <c:v>19.948</c:v>
                </c:pt>
                <c:pt idx="1125">
                  <c:v>19.853000000000009</c:v>
                </c:pt>
                <c:pt idx="1126">
                  <c:v>19.853000000000009</c:v>
                </c:pt>
                <c:pt idx="1127">
                  <c:v>19.853000000000009</c:v>
                </c:pt>
                <c:pt idx="1128">
                  <c:v>19.757999999999999</c:v>
                </c:pt>
                <c:pt idx="1129">
                  <c:v>19.661999999999999</c:v>
                </c:pt>
                <c:pt idx="1130">
                  <c:v>19.567</c:v>
                </c:pt>
                <c:pt idx="1131">
                  <c:v>19.567</c:v>
                </c:pt>
                <c:pt idx="1132">
                  <c:v>19.472000000000001</c:v>
                </c:pt>
                <c:pt idx="1133">
                  <c:v>19.376999999999999</c:v>
                </c:pt>
                <c:pt idx="1134">
                  <c:v>19.282</c:v>
                </c:pt>
                <c:pt idx="1135">
                  <c:v>19.187000000000001</c:v>
                </c:pt>
                <c:pt idx="1136">
                  <c:v>19.187000000000001</c:v>
                </c:pt>
                <c:pt idx="1137">
                  <c:v>19.091999999999999</c:v>
                </c:pt>
                <c:pt idx="1138">
                  <c:v>18.995999999999999</c:v>
                </c:pt>
                <c:pt idx="1139">
                  <c:v>18.901</c:v>
                </c:pt>
                <c:pt idx="1140">
                  <c:v>18.901</c:v>
                </c:pt>
                <c:pt idx="1141">
                  <c:v>18.901</c:v>
                </c:pt>
                <c:pt idx="1142">
                  <c:v>18.806000000000001</c:v>
                </c:pt>
                <c:pt idx="1143">
                  <c:v>18.806000000000001</c:v>
                </c:pt>
                <c:pt idx="1144">
                  <c:v>18.806000000000001</c:v>
                </c:pt>
                <c:pt idx="1145">
                  <c:v>18.806000000000001</c:v>
                </c:pt>
                <c:pt idx="1146">
                  <c:v>18.806000000000001</c:v>
                </c:pt>
                <c:pt idx="1147">
                  <c:v>18.710999999999999</c:v>
                </c:pt>
                <c:pt idx="1148">
                  <c:v>18.710999999999999</c:v>
                </c:pt>
                <c:pt idx="1149">
                  <c:v>18.710999999999999</c:v>
                </c:pt>
                <c:pt idx="1150">
                  <c:v>18.616</c:v>
                </c:pt>
                <c:pt idx="1151">
                  <c:v>18.616</c:v>
                </c:pt>
                <c:pt idx="1152">
                  <c:v>18.616</c:v>
                </c:pt>
                <c:pt idx="1153">
                  <c:v>18.521000000000001</c:v>
                </c:pt>
                <c:pt idx="1154">
                  <c:v>18.425999999999981</c:v>
                </c:pt>
                <c:pt idx="1155">
                  <c:v>18.425999999999981</c:v>
                </c:pt>
                <c:pt idx="1156">
                  <c:v>18.425999999999981</c:v>
                </c:pt>
                <c:pt idx="1157">
                  <c:v>18.425999999999981</c:v>
                </c:pt>
                <c:pt idx="1158">
                  <c:v>18.425999999999981</c:v>
                </c:pt>
                <c:pt idx="1159">
                  <c:v>18.425999999999981</c:v>
                </c:pt>
                <c:pt idx="1160">
                  <c:v>18.331</c:v>
                </c:pt>
                <c:pt idx="1161">
                  <c:v>18.331</c:v>
                </c:pt>
                <c:pt idx="1162">
                  <c:v>18.331</c:v>
                </c:pt>
                <c:pt idx="1163">
                  <c:v>18.331</c:v>
                </c:pt>
                <c:pt idx="1164">
                  <c:v>18.331</c:v>
                </c:pt>
                <c:pt idx="1165">
                  <c:v>18.331</c:v>
                </c:pt>
                <c:pt idx="1166">
                  <c:v>18.14</c:v>
                </c:pt>
                <c:pt idx="1167">
                  <c:v>18.14</c:v>
                </c:pt>
                <c:pt idx="1168">
                  <c:v>18.14</c:v>
                </c:pt>
                <c:pt idx="1169">
                  <c:v>18.045000000000002</c:v>
                </c:pt>
                <c:pt idx="1170">
                  <c:v>18.045000000000002</c:v>
                </c:pt>
                <c:pt idx="1171">
                  <c:v>18.045000000000002</c:v>
                </c:pt>
                <c:pt idx="1172">
                  <c:v>18.045000000000002</c:v>
                </c:pt>
                <c:pt idx="1173">
                  <c:v>18.045000000000002</c:v>
                </c:pt>
                <c:pt idx="1174">
                  <c:v>17.95</c:v>
                </c:pt>
                <c:pt idx="1175">
                  <c:v>17.95</c:v>
                </c:pt>
                <c:pt idx="1176">
                  <c:v>17.95</c:v>
                </c:pt>
                <c:pt idx="1177">
                  <c:v>17.760000000000002</c:v>
                </c:pt>
                <c:pt idx="1178">
                  <c:v>17.855</c:v>
                </c:pt>
                <c:pt idx="1179">
                  <c:v>17.760000000000002</c:v>
                </c:pt>
                <c:pt idx="1180">
                  <c:v>17.760000000000002</c:v>
                </c:pt>
                <c:pt idx="1181">
                  <c:v>17.855</c:v>
                </c:pt>
                <c:pt idx="1182">
                  <c:v>17.95</c:v>
                </c:pt>
                <c:pt idx="1183">
                  <c:v>18.236000000000001</c:v>
                </c:pt>
                <c:pt idx="1184">
                  <c:v>18.331</c:v>
                </c:pt>
                <c:pt idx="1185">
                  <c:v>18.425999999999981</c:v>
                </c:pt>
                <c:pt idx="1186">
                  <c:v>18.425999999999981</c:v>
                </c:pt>
                <c:pt idx="1187">
                  <c:v>18.521000000000001</c:v>
                </c:pt>
                <c:pt idx="1188">
                  <c:v>18.521000000000001</c:v>
                </c:pt>
                <c:pt idx="1189">
                  <c:v>18.616</c:v>
                </c:pt>
                <c:pt idx="1190">
                  <c:v>19.187000000000001</c:v>
                </c:pt>
                <c:pt idx="1191">
                  <c:v>19.853000000000009</c:v>
                </c:pt>
                <c:pt idx="1192">
                  <c:v>19.757999999999999</c:v>
                </c:pt>
                <c:pt idx="1193">
                  <c:v>19.472000000000001</c:v>
                </c:pt>
                <c:pt idx="1194">
                  <c:v>19.376999999999999</c:v>
                </c:pt>
                <c:pt idx="1195">
                  <c:v>19.376999999999999</c:v>
                </c:pt>
                <c:pt idx="1196">
                  <c:v>19.472000000000001</c:v>
                </c:pt>
                <c:pt idx="1197">
                  <c:v>19.948</c:v>
                </c:pt>
                <c:pt idx="1198">
                  <c:v>19.948</c:v>
                </c:pt>
                <c:pt idx="1199">
                  <c:v>20.423999999999999</c:v>
                </c:pt>
                <c:pt idx="1200">
                  <c:v>20.042999999999999</c:v>
                </c:pt>
                <c:pt idx="1201">
                  <c:v>19.948</c:v>
                </c:pt>
                <c:pt idx="1202">
                  <c:v>20.138000000000009</c:v>
                </c:pt>
                <c:pt idx="1203">
                  <c:v>20.234000000000009</c:v>
                </c:pt>
                <c:pt idx="1204">
                  <c:v>20.234000000000009</c:v>
                </c:pt>
                <c:pt idx="1205">
                  <c:v>20.329000000000001</c:v>
                </c:pt>
                <c:pt idx="1206">
                  <c:v>20.423999999999999</c:v>
                </c:pt>
                <c:pt idx="1207">
                  <c:v>20.329000000000001</c:v>
                </c:pt>
                <c:pt idx="1208">
                  <c:v>20.329000000000001</c:v>
                </c:pt>
                <c:pt idx="1209">
                  <c:v>20.329000000000001</c:v>
                </c:pt>
                <c:pt idx="1210">
                  <c:v>20.518999999999991</c:v>
                </c:pt>
                <c:pt idx="1211">
                  <c:v>20.329000000000001</c:v>
                </c:pt>
                <c:pt idx="1212">
                  <c:v>20.234000000000009</c:v>
                </c:pt>
                <c:pt idx="1213">
                  <c:v>20.234000000000009</c:v>
                </c:pt>
                <c:pt idx="1214">
                  <c:v>20.138000000000009</c:v>
                </c:pt>
                <c:pt idx="1215">
                  <c:v>20.138000000000009</c:v>
                </c:pt>
                <c:pt idx="1216">
                  <c:v>20.138000000000009</c:v>
                </c:pt>
                <c:pt idx="1217">
                  <c:v>20.042999999999999</c:v>
                </c:pt>
                <c:pt idx="1218">
                  <c:v>20.042999999999999</c:v>
                </c:pt>
                <c:pt idx="1219">
                  <c:v>20.042999999999999</c:v>
                </c:pt>
                <c:pt idx="1220">
                  <c:v>19.948</c:v>
                </c:pt>
                <c:pt idx="1221">
                  <c:v>19.948</c:v>
                </c:pt>
                <c:pt idx="1222">
                  <c:v>19.853000000000009</c:v>
                </c:pt>
                <c:pt idx="1223">
                  <c:v>19.853000000000009</c:v>
                </c:pt>
                <c:pt idx="1224">
                  <c:v>19.853000000000009</c:v>
                </c:pt>
                <c:pt idx="1225">
                  <c:v>19.757999999999999</c:v>
                </c:pt>
                <c:pt idx="1226">
                  <c:v>19.757999999999999</c:v>
                </c:pt>
                <c:pt idx="1227">
                  <c:v>19.757999999999999</c:v>
                </c:pt>
                <c:pt idx="1228">
                  <c:v>19.757999999999999</c:v>
                </c:pt>
                <c:pt idx="1229">
                  <c:v>19.661999999999999</c:v>
                </c:pt>
                <c:pt idx="1230">
                  <c:v>19.661999999999999</c:v>
                </c:pt>
                <c:pt idx="1231">
                  <c:v>19.661999999999999</c:v>
                </c:pt>
                <c:pt idx="1232">
                  <c:v>19.661999999999999</c:v>
                </c:pt>
                <c:pt idx="1233">
                  <c:v>19.567</c:v>
                </c:pt>
                <c:pt idx="1234">
                  <c:v>19.567</c:v>
                </c:pt>
                <c:pt idx="1235">
                  <c:v>19.567</c:v>
                </c:pt>
                <c:pt idx="1236">
                  <c:v>19.567</c:v>
                </c:pt>
                <c:pt idx="1237">
                  <c:v>19.567</c:v>
                </c:pt>
                <c:pt idx="1238">
                  <c:v>19.567</c:v>
                </c:pt>
                <c:pt idx="1239">
                  <c:v>19.472000000000001</c:v>
                </c:pt>
                <c:pt idx="1240">
                  <c:v>19.472000000000001</c:v>
                </c:pt>
                <c:pt idx="1241">
                  <c:v>19.472000000000001</c:v>
                </c:pt>
                <c:pt idx="1242">
                  <c:v>19.376999999999999</c:v>
                </c:pt>
                <c:pt idx="1243">
                  <c:v>19.376999999999999</c:v>
                </c:pt>
                <c:pt idx="1244">
                  <c:v>19.282</c:v>
                </c:pt>
                <c:pt idx="1245">
                  <c:v>19.282</c:v>
                </c:pt>
                <c:pt idx="1246">
                  <c:v>19.187000000000001</c:v>
                </c:pt>
                <c:pt idx="1247">
                  <c:v>19.091999999999999</c:v>
                </c:pt>
                <c:pt idx="1248">
                  <c:v>19.091999999999999</c:v>
                </c:pt>
                <c:pt idx="1249">
                  <c:v>19.187000000000001</c:v>
                </c:pt>
                <c:pt idx="1250">
                  <c:v>19.091999999999999</c:v>
                </c:pt>
                <c:pt idx="1251">
                  <c:v>19.091999999999999</c:v>
                </c:pt>
                <c:pt idx="1252">
                  <c:v>19.091999999999999</c:v>
                </c:pt>
                <c:pt idx="1253">
                  <c:v>18.995999999999999</c:v>
                </c:pt>
                <c:pt idx="1254">
                  <c:v>18.995999999999999</c:v>
                </c:pt>
                <c:pt idx="1255">
                  <c:v>18.995999999999999</c:v>
                </c:pt>
                <c:pt idx="1256">
                  <c:v>18.995999999999999</c:v>
                </c:pt>
                <c:pt idx="1257">
                  <c:v>18.995999999999999</c:v>
                </c:pt>
                <c:pt idx="1258">
                  <c:v>18.995999999999999</c:v>
                </c:pt>
                <c:pt idx="1259">
                  <c:v>18.901</c:v>
                </c:pt>
                <c:pt idx="1260">
                  <c:v>18.995999999999999</c:v>
                </c:pt>
                <c:pt idx="1261">
                  <c:v>18.901</c:v>
                </c:pt>
                <c:pt idx="1262">
                  <c:v>18.901</c:v>
                </c:pt>
                <c:pt idx="1263">
                  <c:v>18.901</c:v>
                </c:pt>
                <c:pt idx="1264">
                  <c:v>18.901</c:v>
                </c:pt>
                <c:pt idx="1265">
                  <c:v>18.806000000000001</c:v>
                </c:pt>
                <c:pt idx="1266">
                  <c:v>18.806000000000001</c:v>
                </c:pt>
                <c:pt idx="1267">
                  <c:v>18.806000000000001</c:v>
                </c:pt>
                <c:pt idx="1268">
                  <c:v>18.806000000000001</c:v>
                </c:pt>
                <c:pt idx="1269">
                  <c:v>18.806000000000001</c:v>
                </c:pt>
                <c:pt idx="1270">
                  <c:v>18.806000000000001</c:v>
                </c:pt>
                <c:pt idx="1271">
                  <c:v>18.806000000000001</c:v>
                </c:pt>
                <c:pt idx="1272">
                  <c:v>18.710999999999999</c:v>
                </c:pt>
                <c:pt idx="1273">
                  <c:v>18.710999999999999</c:v>
                </c:pt>
                <c:pt idx="1274">
                  <c:v>18.710999999999999</c:v>
                </c:pt>
                <c:pt idx="1275">
                  <c:v>18.710999999999999</c:v>
                </c:pt>
                <c:pt idx="1276">
                  <c:v>18.710999999999999</c:v>
                </c:pt>
                <c:pt idx="1277">
                  <c:v>18.806000000000001</c:v>
                </c:pt>
                <c:pt idx="1278">
                  <c:v>18.806000000000001</c:v>
                </c:pt>
                <c:pt idx="1279">
                  <c:v>18.806000000000001</c:v>
                </c:pt>
                <c:pt idx="1280">
                  <c:v>18.806000000000001</c:v>
                </c:pt>
                <c:pt idx="1281">
                  <c:v>18.995999999999999</c:v>
                </c:pt>
                <c:pt idx="1282">
                  <c:v>18.995999999999999</c:v>
                </c:pt>
                <c:pt idx="1283">
                  <c:v>19.091999999999999</c:v>
                </c:pt>
                <c:pt idx="1284">
                  <c:v>19.187000000000001</c:v>
                </c:pt>
                <c:pt idx="1285">
                  <c:v>19.282</c:v>
                </c:pt>
                <c:pt idx="1286">
                  <c:v>19.376999999999999</c:v>
                </c:pt>
                <c:pt idx="1287">
                  <c:v>19.376999999999999</c:v>
                </c:pt>
                <c:pt idx="1288">
                  <c:v>19.661999999999999</c:v>
                </c:pt>
                <c:pt idx="1289">
                  <c:v>19.567</c:v>
                </c:pt>
                <c:pt idx="1290">
                  <c:v>19.567</c:v>
                </c:pt>
                <c:pt idx="1291">
                  <c:v>19.661999999999999</c:v>
                </c:pt>
                <c:pt idx="1292">
                  <c:v>19.757999999999999</c:v>
                </c:pt>
                <c:pt idx="1293">
                  <c:v>19.853000000000009</c:v>
                </c:pt>
                <c:pt idx="1294">
                  <c:v>19.948</c:v>
                </c:pt>
                <c:pt idx="1295">
                  <c:v>19.948</c:v>
                </c:pt>
                <c:pt idx="1296">
                  <c:v>20.042999999999999</c:v>
                </c:pt>
                <c:pt idx="1297">
                  <c:v>20.138000000000009</c:v>
                </c:pt>
                <c:pt idx="1298">
                  <c:v>20.138000000000009</c:v>
                </c:pt>
                <c:pt idx="1299">
                  <c:v>20.234000000000009</c:v>
                </c:pt>
                <c:pt idx="1300">
                  <c:v>20.329000000000001</c:v>
                </c:pt>
                <c:pt idx="1301">
                  <c:v>20.329000000000001</c:v>
                </c:pt>
                <c:pt idx="1302">
                  <c:v>20.329000000000001</c:v>
                </c:pt>
                <c:pt idx="1303">
                  <c:v>20.423999999999999</c:v>
                </c:pt>
                <c:pt idx="1304">
                  <c:v>20.329000000000001</c:v>
                </c:pt>
                <c:pt idx="1305">
                  <c:v>20.423999999999999</c:v>
                </c:pt>
                <c:pt idx="1306">
                  <c:v>20.518999999999991</c:v>
                </c:pt>
                <c:pt idx="1307">
                  <c:v>20.423999999999999</c:v>
                </c:pt>
                <c:pt idx="1308">
                  <c:v>20.423999999999999</c:v>
                </c:pt>
                <c:pt idx="1309">
                  <c:v>20.329000000000001</c:v>
                </c:pt>
                <c:pt idx="1310">
                  <c:v>20.329000000000001</c:v>
                </c:pt>
                <c:pt idx="1311">
                  <c:v>20.329000000000001</c:v>
                </c:pt>
                <c:pt idx="1312">
                  <c:v>20.329000000000001</c:v>
                </c:pt>
                <c:pt idx="1313">
                  <c:v>20.234000000000009</c:v>
                </c:pt>
                <c:pt idx="1314">
                  <c:v>20.234000000000009</c:v>
                </c:pt>
                <c:pt idx="1315">
                  <c:v>20.234000000000009</c:v>
                </c:pt>
                <c:pt idx="1316">
                  <c:v>20.138000000000009</c:v>
                </c:pt>
                <c:pt idx="1317">
                  <c:v>20.138000000000009</c:v>
                </c:pt>
                <c:pt idx="1318">
                  <c:v>20.042999999999999</c:v>
                </c:pt>
                <c:pt idx="1319">
                  <c:v>20.042999999999999</c:v>
                </c:pt>
                <c:pt idx="1320">
                  <c:v>19.948</c:v>
                </c:pt>
                <c:pt idx="1321">
                  <c:v>19.853000000000009</c:v>
                </c:pt>
                <c:pt idx="1322">
                  <c:v>19.757999999999999</c:v>
                </c:pt>
                <c:pt idx="1323">
                  <c:v>19.661999999999999</c:v>
                </c:pt>
                <c:pt idx="1324">
                  <c:v>19.661999999999999</c:v>
                </c:pt>
                <c:pt idx="1325">
                  <c:v>19.567</c:v>
                </c:pt>
                <c:pt idx="1326">
                  <c:v>19.472000000000001</c:v>
                </c:pt>
                <c:pt idx="1327">
                  <c:v>19.376999999999999</c:v>
                </c:pt>
                <c:pt idx="1328">
                  <c:v>19.376999999999999</c:v>
                </c:pt>
                <c:pt idx="1329">
                  <c:v>19.376999999999999</c:v>
                </c:pt>
                <c:pt idx="1330">
                  <c:v>19.187000000000001</c:v>
                </c:pt>
                <c:pt idx="1331">
                  <c:v>19.187000000000001</c:v>
                </c:pt>
                <c:pt idx="1332">
                  <c:v>19.091999999999999</c:v>
                </c:pt>
                <c:pt idx="1333">
                  <c:v>19.091999999999999</c:v>
                </c:pt>
                <c:pt idx="1334">
                  <c:v>18.995999999999999</c:v>
                </c:pt>
                <c:pt idx="1335">
                  <c:v>18.995999999999999</c:v>
                </c:pt>
                <c:pt idx="1336">
                  <c:v>18.901</c:v>
                </c:pt>
                <c:pt idx="1337">
                  <c:v>18.710999999999999</c:v>
                </c:pt>
                <c:pt idx="1338">
                  <c:v>18.710999999999999</c:v>
                </c:pt>
                <c:pt idx="1339">
                  <c:v>18.710999999999999</c:v>
                </c:pt>
                <c:pt idx="1340">
                  <c:v>18.616</c:v>
                </c:pt>
                <c:pt idx="1341">
                  <c:v>18.616</c:v>
                </c:pt>
                <c:pt idx="1342">
                  <c:v>18.616</c:v>
                </c:pt>
                <c:pt idx="1343">
                  <c:v>18.521000000000001</c:v>
                </c:pt>
                <c:pt idx="1344">
                  <c:v>18.521000000000001</c:v>
                </c:pt>
                <c:pt idx="1345">
                  <c:v>18.425999999999981</c:v>
                </c:pt>
                <c:pt idx="1346">
                  <c:v>18.425999999999981</c:v>
                </c:pt>
                <c:pt idx="1347">
                  <c:v>18.425999999999981</c:v>
                </c:pt>
                <c:pt idx="1348">
                  <c:v>18.331</c:v>
                </c:pt>
                <c:pt idx="1349">
                  <c:v>18.236000000000001</c:v>
                </c:pt>
                <c:pt idx="1350">
                  <c:v>18.331</c:v>
                </c:pt>
                <c:pt idx="1351">
                  <c:v>18.236000000000001</c:v>
                </c:pt>
                <c:pt idx="1352">
                  <c:v>18.14</c:v>
                </c:pt>
                <c:pt idx="1353">
                  <c:v>18.14</c:v>
                </c:pt>
                <c:pt idx="1354">
                  <c:v>18.14</c:v>
                </c:pt>
                <c:pt idx="1355">
                  <c:v>18.045000000000002</c:v>
                </c:pt>
                <c:pt idx="1356">
                  <c:v>18.045000000000002</c:v>
                </c:pt>
                <c:pt idx="1357">
                  <c:v>18.045000000000002</c:v>
                </c:pt>
                <c:pt idx="1358">
                  <c:v>18.045000000000002</c:v>
                </c:pt>
                <c:pt idx="1359">
                  <c:v>18.045000000000002</c:v>
                </c:pt>
                <c:pt idx="1360">
                  <c:v>17.95</c:v>
                </c:pt>
                <c:pt idx="1361">
                  <c:v>17.95</c:v>
                </c:pt>
                <c:pt idx="1362">
                  <c:v>17.95</c:v>
                </c:pt>
                <c:pt idx="1363">
                  <c:v>17.760000000000002</c:v>
                </c:pt>
                <c:pt idx="1364">
                  <c:v>17.855</c:v>
                </c:pt>
                <c:pt idx="1365">
                  <c:v>17.760000000000002</c:v>
                </c:pt>
                <c:pt idx="1366">
                  <c:v>17.760000000000002</c:v>
                </c:pt>
                <c:pt idx="1367">
                  <c:v>17.855</c:v>
                </c:pt>
                <c:pt idx="1368">
                  <c:v>17.760000000000002</c:v>
                </c:pt>
                <c:pt idx="1369">
                  <c:v>17.760000000000002</c:v>
                </c:pt>
                <c:pt idx="1370">
                  <c:v>17.760000000000002</c:v>
                </c:pt>
                <c:pt idx="1371">
                  <c:v>17.855</c:v>
                </c:pt>
                <c:pt idx="1372">
                  <c:v>17.855</c:v>
                </c:pt>
                <c:pt idx="1373">
                  <c:v>17.855</c:v>
                </c:pt>
                <c:pt idx="1374">
                  <c:v>17.95</c:v>
                </c:pt>
                <c:pt idx="1375">
                  <c:v>17.95</c:v>
                </c:pt>
                <c:pt idx="1376">
                  <c:v>18.045000000000002</c:v>
                </c:pt>
                <c:pt idx="1377">
                  <c:v>18.14</c:v>
                </c:pt>
                <c:pt idx="1378">
                  <c:v>18.236000000000001</c:v>
                </c:pt>
                <c:pt idx="1379">
                  <c:v>18.236000000000001</c:v>
                </c:pt>
                <c:pt idx="1380">
                  <c:v>18.425999999999981</c:v>
                </c:pt>
                <c:pt idx="1381">
                  <c:v>18.425999999999981</c:v>
                </c:pt>
                <c:pt idx="1382">
                  <c:v>18.521000000000001</c:v>
                </c:pt>
                <c:pt idx="1383">
                  <c:v>19.472000000000001</c:v>
                </c:pt>
                <c:pt idx="1384">
                  <c:v>19.091999999999999</c:v>
                </c:pt>
                <c:pt idx="1385">
                  <c:v>18.995999999999999</c:v>
                </c:pt>
                <c:pt idx="1386">
                  <c:v>19.091999999999999</c:v>
                </c:pt>
                <c:pt idx="1387">
                  <c:v>19.091999999999999</c:v>
                </c:pt>
                <c:pt idx="1388">
                  <c:v>19.091999999999999</c:v>
                </c:pt>
                <c:pt idx="1389">
                  <c:v>19.376999999999999</c:v>
                </c:pt>
                <c:pt idx="1390">
                  <c:v>19.376999999999999</c:v>
                </c:pt>
                <c:pt idx="1391">
                  <c:v>20.042999999999999</c:v>
                </c:pt>
                <c:pt idx="1392">
                  <c:v>19.853000000000009</c:v>
                </c:pt>
                <c:pt idx="1393">
                  <c:v>19.757999999999999</c:v>
                </c:pt>
                <c:pt idx="1394">
                  <c:v>19.853000000000009</c:v>
                </c:pt>
                <c:pt idx="1395">
                  <c:v>19.853000000000009</c:v>
                </c:pt>
                <c:pt idx="1396">
                  <c:v>19.948</c:v>
                </c:pt>
                <c:pt idx="1397">
                  <c:v>19.948</c:v>
                </c:pt>
                <c:pt idx="1398">
                  <c:v>19.948</c:v>
                </c:pt>
                <c:pt idx="1399">
                  <c:v>20.042999999999999</c:v>
                </c:pt>
                <c:pt idx="1400">
                  <c:v>19.853000000000009</c:v>
                </c:pt>
                <c:pt idx="1401">
                  <c:v>19.757999999999999</c:v>
                </c:pt>
                <c:pt idx="1402">
                  <c:v>19.853000000000009</c:v>
                </c:pt>
                <c:pt idx="1403">
                  <c:v>19.661999999999999</c:v>
                </c:pt>
                <c:pt idx="1404">
                  <c:v>19.661999999999999</c:v>
                </c:pt>
                <c:pt idx="1405">
                  <c:v>19.567</c:v>
                </c:pt>
                <c:pt idx="1406">
                  <c:v>19.472000000000001</c:v>
                </c:pt>
                <c:pt idx="1407">
                  <c:v>19.472000000000001</c:v>
                </c:pt>
                <c:pt idx="1408">
                  <c:v>19.376999999999999</c:v>
                </c:pt>
                <c:pt idx="1409">
                  <c:v>19.282</c:v>
                </c:pt>
                <c:pt idx="1410">
                  <c:v>19.187000000000001</c:v>
                </c:pt>
                <c:pt idx="1411">
                  <c:v>19.187000000000001</c:v>
                </c:pt>
                <c:pt idx="1412">
                  <c:v>19.091999999999999</c:v>
                </c:pt>
                <c:pt idx="1413">
                  <c:v>19.091999999999999</c:v>
                </c:pt>
                <c:pt idx="1414">
                  <c:v>18.995999999999999</c:v>
                </c:pt>
                <c:pt idx="1415">
                  <c:v>18.995999999999999</c:v>
                </c:pt>
                <c:pt idx="1416">
                  <c:v>18.901</c:v>
                </c:pt>
                <c:pt idx="1417">
                  <c:v>18.901</c:v>
                </c:pt>
                <c:pt idx="1418">
                  <c:v>18.901</c:v>
                </c:pt>
                <c:pt idx="1419">
                  <c:v>18.901</c:v>
                </c:pt>
                <c:pt idx="1420">
                  <c:v>18.901</c:v>
                </c:pt>
                <c:pt idx="1421">
                  <c:v>18.901</c:v>
                </c:pt>
                <c:pt idx="1422">
                  <c:v>18.806000000000001</c:v>
                </c:pt>
                <c:pt idx="1423">
                  <c:v>18.710999999999999</c:v>
                </c:pt>
                <c:pt idx="1424">
                  <c:v>18.616</c:v>
                </c:pt>
                <c:pt idx="1425">
                  <c:v>18.616</c:v>
                </c:pt>
                <c:pt idx="1426">
                  <c:v>18.521000000000001</c:v>
                </c:pt>
                <c:pt idx="1427">
                  <c:v>18.616</c:v>
                </c:pt>
                <c:pt idx="1428">
                  <c:v>18.616</c:v>
                </c:pt>
                <c:pt idx="1429">
                  <c:v>18.616</c:v>
                </c:pt>
                <c:pt idx="1430">
                  <c:v>18.521000000000001</c:v>
                </c:pt>
                <c:pt idx="1431">
                  <c:v>18.521000000000001</c:v>
                </c:pt>
                <c:pt idx="1432">
                  <c:v>18.331</c:v>
                </c:pt>
                <c:pt idx="1433">
                  <c:v>18.425999999999981</c:v>
                </c:pt>
                <c:pt idx="1434">
                  <c:v>18.236000000000001</c:v>
                </c:pt>
                <c:pt idx="1435">
                  <c:v>18.236000000000001</c:v>
                </c:pt>
                <c:pt idx="1436">
                  <c:v>18.236000000000001</c:v>
                </c:pt>
                <c:pt idx="1437">
                  <c:v>18.14</c:v>
                </c:pt>
                <c:pt idx="1438">
                  <c:v>18.14</c:v>
                </c:pt>
                <c:pt idx="1439">
                  <c:v>18.045000000000002</c:v>
                </c:pt>
                <c:pt idx="1440">
                  <c:v>17.95</c:v>
                </c:pt>
                <c:pt idx="1441">
                  <c:v>17.95</c:v>
                </c:pt>
                <c:pt idx="1442">
                  <c:v>17.855</c:v>
                </c:pt>
                <c:pt idx="1443">
                  <c:v>17.760000000000002</c:v>
                </c:pt>
                <c:pt idx="1444">
                  <c:v>17.855</c:v>
                </c:pt>
                <c:pt idx="1445">
                  <c:v>17.855</c:v>
                </c:pt>
                <c:pt idx="1446">
                  <c:v>17.855</c:v>
                </c:pt>
                <c:pt idx="1447">
                  <c:v>17.760000000000002</c:v>
                </c:pt>
                <c:pt idx="1448">
                  <c:v>17.760000000000002</c:v>
                </c:pt>
                <c:pt idx="1449">
                  <c:v>17.760000000000002</c:v>
                </c:pt>
                <c:pt idx="1450">
                  <c:v>17.664999999999999</c:v>
                </c:pt>
                <c:pt idx="1451">
                  <c:v>17.664999999999999</c:v>
                </c:pt>
                <c:pt idx="1452">
                  <c:v>17.57</c:v>
                </c:pt>
                <c:pt idx="1453">
                  <c:v>17.57</c:v>
                </c:pt>
                <c:pt idx="1454">
                  <c:v>17.57</c:v>
                </c:pt>
                <c:pt idx="1455">
                  <c:v>17.475000000000001</c:v>
                </c:pt>
                <c:pt idx="1456">
                  <c:v>17.379000000000001</c:v>
                </c:pt>
                <c:pt idx="1457">
                  <c:v>17.475000000000001</c:v>
                </c:pt>
                <c:pt idx="1458">
                  <c:v>17.379000000000001</c:v>
                </c:pt>
                <c:pt idx="1459">
                  <c:v>17.379000000000001</c:v>
                </c:pt>
                <c:pt idx="1460">
                  <c:v>17.475000000000001</c:v>
                </c:pt>
                <c:pt idx="1461">
                  <c:v>17.379000000000001</c:v>
                </c:pt>
                <c:pt idx="1462">
                  <c:v>17.283999999999999</c:v>
                </c:pt>
                <c:pt idx="1463">
                  <c:v>17.283999999999999</c:v>
                </c:pt>
                <c:pt idx="1464">
                  <c:v>17.283999999999999</c:v>
                </c:pt>
                <c:pt idx="1465">
                  <c:v>17.283999999999999</c:v>
                </c:pt>
                <c:pt idx="1466">
                  <c:v>17.283999999999999</c:v>
                </c:pt>
                <c:pt idx="1467">
                  <c:v>17.283999999999999</c:v>
                </c:pt>
                <c:pt idx="1468">
                  <c:v>17.094000000000001</c:v>
                </c:pt>
                <c:pt idx="1469">
                  <c:v>17.283999999999999</c:v>
                </c:pt>
                <c:pt idx="1470">
                  <c:v>17.283999999999999</c:v>
                </c:pt>
                <c:pt idx="1471">
                  <c:v>17.475000000000001</c:v>
                </c:pt>
                <c:pt idx="1472">
                  <c:v>17.475000000000001</c:v>
                </c:pt>
                <c:pt idx="1473">
                  <c:v>17.664999999999999</c:v>
                </c:pt>
                <c:pt idx="1474">
                  <c:v>17.760000000000002</c:v>
                </c:pt>
                <c:pt idx="1475">
                  <c:v>17.760000000000002</c:v>
                </c:pt>
                <c:pt idx="1476">
                  <c:v>17.855</c:v>
                </c:pt>
                <c:pt idx="1477">
                  <c:v>17.95</c:v>
                </c:pt>
                <c:pt idx="1478">
                  <c:v>18.236000000000001</c:v>
                </c:pt>
                <c:pt idx="1479">
                  <c:v>19.187000000000001</c:v>
                </c:pt>
                <c:pt idx="1480">
                  <c:v>18.425999999999981</c:v>
                </c:pt>
                <c:pt idx="1481">
                  <c:v>18.425999999999981</c:v>
                </c:pt>
                <c:pt idx="1482">
                  <c:v>18.616</c:v>
                </c:pt>
                <c:pt idx="1483">
                  <c:v>18.616</c:v>
                </c:pt>
                <c:pt idx="1484">
                  <c:v>18.710999999999999</c:v>
                </c:pt>
                <c:pt idx="1485">
                  <c:v>18.806000000000001</c:v>
                </c:pt>
                <c:pt idx="1486">
                  <c:v>18.901</c:v>
                </c:pt>
                <c:pt idx="1487">
                  <c:v>19.091999999999999</c:v>
                </c:pt>
                <c:pt idx="1488">
                  <c:v>19.187000000000001</c:v>
                </c:pt>
                <c:pt idx="1489">
                  <c:v>19.091999999999999</c:v>
                </c:pt>
                <c:pt idx="1490">
                  <c:v>19.282</c:v>
                </c:pt>
                <c:pt idx="1491">
                  <c:v>19.282</c:v>
                </c:pt>
                <c:pt idx="1492">
                  <c:v>19.376999999999999</c:v>
                </c:pt>
                <c:pt idx="1493">
                  <c:v>19.661999999999999</c:v>
                </c:pt>
                <c:pt idx="1494">
                  <c:v>19.376999999999999</c:v>
                </c:pt>
                <c:pt idx="1495">
                  <c:v>19.472000000000001</c:v>
                </c:pt>
                <c:pt idx="1496">
                  <c:v>19.376999999999999</c:v>
                </c:pt>
                <c:pt idx="1497">
                  <c:v>19.472000000000001</c:v>
                </c:pt>
                <c:pt idx="1498">
                  <c:v>19.472000000000001</c:v>
                </c:pt>
                <c:pt idx="1499">
                  <c:v>19.472000000000001</c:v>
                </c:pt>
                <c:pt idx="1500">
                  <c:v>19.472000000000001</c:v>
                </c:pt>
                <c:pt idx="1501">
                  <c:v>19.472000000000001</c:v>
                </c:pt>
                <c:pt idx="1502">
                  <c:v>19.472000000000001</c:v>
                </c:pt>
                <c:pt idx="1503">
                  <c:v>19.472000000000001</c:v>
                </c:pt>
                <c:pt idx="1504">
                  <c:v>19.376999999999999</c:v>
                </c:pt>
                <c:pt idx="1505">
                  <c:v>19.282</c:v>
                </c:pt>
                <c:pt idx="1506">
                  <c:v>19.282</c:v>
                </c:pt>
                <c:pt idx="1507">
                  <c:v>19.187000000000001</c:v>
                </c:pt>
                <c:pt idx="1508">
                  <c:v>19.091999999999999</c:v>
                </c:pt>
                <c:pt idx="1509">
                  <c:v>19.091999999999999</c:v>
                </c:pt>
                <c:pt idx="1510">
                  <c:v>19.091999999999999</c:v>
                </c:pt>
                <c:pt idx="1511">
                  <c:v>18.995999999999999</c:v>
                </c:pt>
                <c:pt idx="1512">
                  <c:v>18.995999999999999</c:v>
                </c:pt>
                <c:pt idx="1513">
                  <c:v>18.995999999999999</c:v>
                </c:pt>
                <c:pt idx="1514">
                  <c:v>18.901</c:v>
                </c:pt>
                <c:pt idx="1515">
                  <c:v>18.901</c:v>
                </c:pt>
                <c:pt idx="1516">
                  <c:v>18.806000000000001</c:v>
                </c:pt>
                <c:pt idx="1517">
                  <c:v>18.806000000000001</c:v>
                </c:pt>
                <c:pt idx="1518">
                  <c:v>18.710999999999999</c:v>
                </c:pt>
                <c:pt idx="1519">
                  <c:v>18.710999999999999</c:v>
                </c:pt>
                <c:pt idx="1520">
                  <c:v>18.710999999999999</c:v>
                </c:pt>
                <c:pt idx="1521">
                  <c:v>18.710999999999999</c:v>
                </c:pt>
                <c:pt idx="1522">
                  <c:v>18.710999999999999</c:v>
                </c:pt>
                <c:pt idx="1523">
                  <c:v>18.616</c:v>
                </c:pt>
                <c:pt idx="1524">
                  <c:v>18.616</c:v>
                </c:pt>
                <c:pt idx="1525">
                  <c:v>18.616</c:v>
                </c:pt>
                <c:pt idx="1526">
                  <c:v>18.616</c:v>
                </c:pt>
                <c:pt idx="1527">
                  <c:v>18.521000000000001</c:v>
                </c:pt>
                <c:pt idx="1528">
                  <c:v>18.521000000000001</c:v>
                </c:pt>
                <c:pt idx="1529">
                  <c:v>18.425999999999981</c:v>
                </c:pt>
                <c:pt idx="1530">
                  <c:v>18.425999999999981</c:v>
                </c:pt>
                <c:pt idx="1531">
                  <c:v>18.425999999999981</c:v>
                </c:pt>
                <c:pt idx="1532">
                  <c:v>18.331</c:v>
                </c:pt>
                <c:pt idx="1533">
                  <c:v>18.331</c:v>
                </c:pt>
                <c:pt idx="1534">
                  <c:v>18.331</c:v>
                </c:pt>
                <c:pt idx="1535">
                  <c:v>18.236000000000001</c:v>
                </c:pt>
                <c:pt idx="1536">
                  <c:v>18.14</c:v>
                </c:pt>
                <c:pt idx="1537">
                  <c:v>18.045000000000002</c:v>
                </c:pt>
                <c:pt idx="1538">
                  <c:v>18.045000000000002</c:v>
                </c:pt>
                <c:pt idx="1539">
                  <c:v>17.95</c:v>
                </c:pt>
                <c:pt idx="1540">
                  <c:v>17.95</c:v>
                </c:pt>
                <c:pt idx="1541">
                  <c:v>17.95</c:v>
                </c:pt>
                <c:pt idx="1542">
                  <c:v>17.95</c:v>
                </c:pt>
                <c:pt idx="1543">
                  <c:v>17.95</c:v>
                </c:pt>
                <c:pt idx="1544">
                  <c:v>17.855</c:v>
                </c:pt>
                <c:pt idx="1545">
                  <c:v>17.664999999999999</c:v>
                </c:pt>
                <c:pt idx="1546">
                  <c:v>17.760000000000002</c:v>
                </c:pt>
                <c:pt idx="1547">
                  <c:v>17.760000000000002</c:v>
                </c:pt>
                <c:pt idx="1548">
                  <c:v>17.760000000000002</c:v>
                </c:pt>
                <c:pt idx="1549">
                  <c:v>17.664999999999999</c:v>
                </c:pt>
                <c:pt idx="1550">
                  <c:v>17.664999999999999</c:v>
                </c:pt>
                <c:pt idx="1551">
                  <c:v>17.664999999999999</c:v>
                </c:pt>
                <c:pt idx="1552">
                  <c:v>17.475000000000001</c:v>
                </c:pt>
                <c:pt idx="1553">
                  <c:v>17.664999999999999</c:v>
                </c:pt>
                <c:pt idx="1554">
                  <c:v>17.475000000000001</c:v>
                </c:pt>
                <c:pt idx="1555">
                  <c:v>17.475000000000001</c:v>
                </c:pt>
                <c:pt idx="1556">
                  <c:v>17.475000000000001</c:v>
                </c:pt>
                <c:pt idx="1557">
                  <c:v>17.475000000000001</c:v>
                </c:pt>
                <c:pt idx="1558">
                  <c:v>17.379000000000001</c:v>
                </c:pt>
                <c:pt idx="1559">
                  <c:v>17.475000000000001</c:v>
                </c:pt>
                <c:pt idx="1560">
                  <c:v>17.379000000000001</c:v>
                </c:pt>
                <c:pt idx="1561">
                  <c:v>17.379000000000001</c:v>
                </c:pt>
                <c:pt idx="1562">
                  <c:v>17.379000000000001</c:v>
                </c:pt>
                <c:pt idx="1563">
                  <c:v>17.379000000000001</c:v>
                </c:pt>
                <c:pt idx="1564">
                  <c:v>17.189</c:v>
                </c:pt>
                <c:pt idx="1565">
                  <c:v>17.475000000000001</c:v>
                </c:pt>
                <c:pt idx="1566">
                  <c:v>17.475000000000001</c:v>
                </c:pt>
                <c:pt idx="1567">
                  <c:v>17.664999999999999</c:v>
                </c:pt>
                <c:pt idx="1568">
                  <c:v>17.57</c:v>
                </c:pt>
                <c:pt idx="1569">
                  <c:v>17.760000000000002</c:v>
                </c:pt>
                <c:pt idx="1570">
                  <c:v>17.855</c:v>
                </c:pt>
                <c:pt idx="1571">
                  <c:v>17.855</c:v>
                </c:pt>
                <c:pt idx="1572">
                  <c:v>17.95</c:v>
                </c:pt>
                <c:pt idx="1573">
                  <c:v>17.95</c:v>
                </c:pt>
                <c:pt idx="1574">
                  <c:v>18.331</c:v>
                </c:pt>
                <c:pt idx="1575">
                  <c:v>19.187000000000001</c:v>
                </c:pt>
                <c:pt idx="1576">
                  <c:v>18.616</c:v>
                </c:pt>
                <c:pt idx="1577">
                  <c:v>18.616</c:v>
                </c:pt>
                <c:pt idx="1578">
                  <c:v>18.806000000000001</c:v>
                </c:pt>
                <c:pt idx="1579">
                  <c:v>18.710999999999999</c:v>
                </c:pt>
                <c:pt idx="1580">
                  <c:v>18.806000000000001</c:v>
                </c:pt>
                <c:pt idx="1581">
                  <c:v>19.091999999999999</c:v>
                </c:pt>
                <c:pt idx="1582">
                  <c:v>18.995999999999999</c:v>
                </c:pt>
                <c:pt idx="1583">
                  <c:v>19.376999999999999</c:v>
                </c:pt>
                <c:pt idx="1584">
                  <c:v>19.567</c:v>
                </c:pt>
                <c:pt idx="1585">
                  <c:v>19.376999999999999</c:v>
                </c:pt>
                <c:pt idx="1586">
                  <c:v>19.661999999999999</c:v>
                </c:pt>
                <c:pt idx="1587">
                  <c:v>19.757999999999999</c:v>
                </c:pt>
                <c:pt idx="1588">
                  <c:v>19.661999999999999</c:v>
                </c:pt>
                <c:pt idx="1589">
                  <c:v>20.234000000000009</c:v>
                </c:pt>
                <c:pt idx="1590">
                  <c:v>19.948</c:v>
                </c:pt>
                <c:pt idx="1591">
                  <c:v>19.853000000000009</c:v>
                </c:pt>
                <c:pt idx="1592">
                  <c:v>19.757999999999999</c:v>
                </c:pt>
                <c:pt idx="1593">
                  <c:v>19.757999999999999</c:v>
                </c:pt>
                <c:pt idx="1594">
                  <c:v>19.757999999999999</c:v>
                </c:pt>
                <c:pt idx="1595">
                  <c:v>19.757999999999999</c:v>
                </c:pt>
                <c:pt idx="1596">
                  <c:v>19.757999999999999</c:v>
                </c:pt>
                <c:pt idx="1597">
                  <c:v>19.757999999999999</c:v>
                </c:pt>
                <c:pt idx="1598">
                  <c:v>19.661999999999999</c:v>
                </c:pt>
                <c:pt idx="1599">
                  <c:v>19.661999999999999</c:v>
                </c:pt>
                <c:pt idx="1600">
                  <c:v>19.567</c:v>
                </c:pt>
                <c:pt idx="1601">
                  <c:v>19.567</c:v>
                </c:pt>
                <c:pt idx="1602">
                  <c:v>19.567</c:v>
                </c:pt>
                <c:pt idx="1603">
                  <c:v>19.472000000000001</c:v>
                </c:pt>
                <c:pt idx="1604">
                  <c:v>19.472000000000001</c:v>
                </c:pt>
                <c:pt idx="1605">
                  <c:v>19.472000000000001</c:v>
                </c:pt>
                <c:pt idx="1606">
                  <c:v>19.376999999999999</c:v>
                </c:pt>
                <c:pt idx="1607">
                  <c:v>19.282</c:v>
                </c:pt>
                <c:pt idx="1608">
                  <c:v>19.187000000000001</c:v>
                </c:pt>
                <c:pt idx="1609">
                  <c:v>19.187000000000001</c:v>
                </c:pt>
                <c:pt idx="1610">
                  <c:v>19.187000000000001</c:v>
                </c:pt>
                <c:pt idx="1611">
                  <c:v>19.187000000000001</c:v>
                </c:pt>
                <c:pt idx="1612">
                  <c:v>19.091999999999999</c:v>
                </c:pt>
                <c:pt idx="1613">
                  <c:v>18.995999999999999</c:v>
                </c:pt>
                <c:pt idx="1614">
                  <c:v>18.995999999999999</c:v>
                </c:pt>
                <c:pt idx="1615">
                  <c:v>18.995999999999999</c:v>
                </c:pt>
                <c:pt idx="1616">
                  <c:v>18.995999999999999</c:v>
                </c:pt>
                <c:pt idx="1617">
                  <c:v>18.901</c:v>
                </c:pt>
                <c:pt idx="1618">
                  <c:v>18.901</c:v>
                </c:pt>
                <c:pt idx="1619">
                  <c:v>18.806000000000001</c:v>
                </c:pt>
                <c:pt idx="1620">
                  <c:v>18.806000000000001</c:v>
                </c:pt>
                <c:pt idx="1621">
                  <c:v>18.806000000000001</c:v>
                </c:pt>
                <c:pt idx="1622">
                  <c:v>18.710999999999999</c:v>
                </c:pt>
                <c:pt idx="1623">
                  <c:v>18.616</c:v>
                </c:pt>
                <c:pt idx="1624">
                  <c:v>18.616</c:v>
                </c:pt>
                <c:pt idx="1625">
                  <c:v>18.521000000000001</c:v>
                </c:pt>
                <c:pt idx="1626">
                  <c:v>18.521000000000001</c:v>
                </c:pt>
                <c:pt idx="1627">
                  <c:v>18.521000000000001</c:v>
                </c:pt>
                <c:pt idx="1628">
                  <c:v>18.425999999999981</c:v>
                </c:pt>
                <c:pt idx="1629">
                  <c:v>18.425999999999981</c:v>
                </c:pt>
                <c:pt idx="1630">
                  <c:v>18.425999999999981</c:v>
                </c:pt>
                <c:pt idx="1631">
                  <c:v>18.331</c:v>
                </c:pt>
                <c:pt idx="1632">
                  <c:v>18.331</c:v>
                </c:pt>
                <c:pt idx="1633">
                  <c:v>18.331</c:v>
                </c:pt>
                <c:pt idx="1634">
                  <c:v>18.331</c:v>
                </c:pt>
                <c:pt idx="1635">
                  <c:v>18.236000000000001</c:v>
                </c:pt>
                <c:pt idx="1636">
                  <c:v>18.331</c:v>
                </c:pt>
                <c:pt idx="1637">
                  <c:v>18.331</c:v>
                </c:pt>
                <c:pt idx="1638">
                  <c:v>18.331</c:v>
                </c:pt>
                <c:pt idx="1639">
                  <c:v>18.331</c:v>
                </c:pt>
                <c:pt idx="1640">
                  <c:v>18.331</c:v>
                </c:pt>
                <c:pt idx="1641">
                  <c:v>18.331</c:v>
                </c:pt>
                <c:pt idx="1642">
                  <c:v>18.236000000000001</c:v>
                </c:pt>
                <c:pt idx="1643">
                  <c:v>18.236000000000001</c:v>
                </c:pt>
                <c:pt idx="1644">
                  <c:v>18.236000000000001</c:v>
                </c:pt>
                <c:pt idx="1645">
                  <c:v>18.236000000000001</c:v>
                </c:pt>
                <c:pt idx="1646">
                  <c:v>18.236000000000001</c:v>
                </c:pt>
                <c:pt idx="1647">
                  <c:v>18.236000000000001</c:v>
                </c:pt>
                <c:pt idx="1648">
                  <c:v>18.14</c:v>
                </c:pt>
                <c:pt idx="1649">
                  <c:v>18.14</c:v>
                </c:pt>
                <c:pt idx="1650">
                  <c:v>18.14</c:v>
                </c:pt>
                <c:pt idx="1651">
                  <c:v>17.95</c:v>
                </c:pt>
                <c:pt idx="1652">
                  <c:v>17.95</c:v>
                </c:pt>
                <c:pt idx="1653">
                  <c:v>18.045000000000002</c:v>
                </c:pt>
                <c:pt idx="1654">
                  <c:v>18.14</c:v>
                </c:pt>
                <c:pt idx="1655">
                  <c:v>18.045000000000002</c:v>
                </c:pt>
                <c:pt idx="1656">
                  <c:v>18.045000000000002</c:v>
                </c:pt>
                <c:pt idx="1657">
                  <c:v>18.045000000000002</c:v>
                </c:pt>
                <c:pt idx="1658">
                  <c:v>18.045000000000002</c:v>
                </c:pt>
                <c:pt idx="1659">
                  <c:v>18.045000000000002</c:v>
                </c:pt>
                <c:pt idx="1660">
                  <c:v>18.045000000000002</c:v>
                </c:pt>
                <c:pt idx="1661">
                  <c:v>18.14</c:v>
                </c:pt>
                <c:pt idx="1662">
                  <c:v>18.331</c:v>
                </c:pt>
                <c:pt idx="1663">
                  <c:v>18.331</c:v>
                </c:pt>
                <c:pt idx="1664">
                  <c:v>18.331</c:v>
                </c:pt>
                <c:pt idx="1665">
                  <c:v>18.425999999999981</c:v>
                </c:pt>
                <c:pt idx="1666">
                  <c:v>18.425999999999981</c:v>
                </c:pt>
                <c:pt idx="1667">
                  <c:v>18.521000000000001</c:v>
                </c:pt>
                <c:pt idx="1668">
                  <c:v>18.521000000000001</c:v>
                </c:pt>
                <c:pt idx="1669">
                  <c:v>18.616</c:v>
                </c:pt>
                <c:pt idx="1670">
                  <c:v>18.901</c:v>
                </c:pt>
                <c:pt idx="1671">
                  <c:v>19.661999999999999</c:v>
                </c:pt>
                <c:pt idx="1672">
                  <c:v>18.995999999999999</c:v>
                </c:pt>
                <c:pt idx="1673">
                  <c:v>19.187000000000001</c:v>
                </c:pt>
                <c:pt idx="1674">
                  <c:v>19.282</c:v>
                </c:pt>
                <c:pt idx="1675">
                  <c:v>19.282</c:v>
                </c:pt>
                <c:pt idx="1676">
                  <c:v>19.376999999999999</c:v>
                </c:pt>
                <c:pt idx="1677">
                  <c:v>19.853000000000009</c:v>
                </c:pt>
                <c:pt idx="1678">
                  <c:v>19.567</c:v>
                </c:pt>
                <c:pt idx="1679">
                  <c:v>19.757999999999999</c:v>
                </c:pt>
                <c:pt idx="1680">
                  <c:v>19.948</c:v>
                </c:pt>
                <c:pt idx="1681">
                  <c:v>19.948</c:v>
                </c:pt>
                <c:pt idx="1682">
                  <c:v>20.138000000000009</c:v>
                </c:pt>
                <c:pt idx="1683">
                  <c:v>20.138000000000009</c:v>
                </c:pt>
                <c:pt idx="1684">
                  <c:v>20.138000000000009</c:v>
                </c:pt>
                <c:pt idx="1685">
                  <c:v>20.234000000000009</c:v>
                </c:pt>
                <c:pt idx="1686">
                  <c:v>20.042999999999999</c:v>
                </c:pt>
                <c:pt idx="1687">
                  <c:v>19.948</c:v>
                </c:pt>
                <c:pt idx="1688">
                  <c:v>20.042999999999999</c:v>
                </c:pt>
                <c:pt idx="1689">
                  <c:v>20.138000000000009</c:v>
                </c:pt>
                <c:pt idx="1690">
                  <c:v>20.042999999999999</c:v>
                </c:pt>
                <c:pt idx="1691">
                  <c:v>20.042999999999999</c:v>
                </c:pt>
                <c:pt idx="1692">
                  <c:v>20.042999999999999</c:v>
                </c:pt>
                <c:pt idx="1693">
                  <c:v>19.948</c:v>
                </c:pt>
                <c:pt idx="1694">
                  <c:v>20.042999999999999</c:v>
                </c:pt>
                <c:pt idx="1695">
                  <c:v>19.948</c:v>
                </c:pt>
                <c:pt idx="1696">
                  <c:v>19.948</c:v>
                </c:pt>
                <c:pt idx="1697">
                  <c:v>19.948</c:v>
                </c:pt>
                <c:pt idx="1698">
                  <c:v>19.948</c:v>
                </c:pt>
                <c:pt idx="1699">
                  <c:v>19.948</c:v>
                </c:pt>
                <c:pt idx="1700">
                  <c:v>19.853000000000009</c:v>
                </c:pt>
                <c:pt idx="1701">
                  <c:v>19.853000000000009</c:v>
                </c:pt>
                <c:pt idx="1702">
                  <c:v>19.757999999999999</c:v>
                </c:pt>
                <c:pt idx="1703">
                  <c:v>19.661999999999999</c:v>
                </c:pt>
                <c:pt idx="1704">
                  <c:v>19.661999999999999</c:v>
                </c:pt>
                <c:pt idx="1705">
                  <c:v>19.567</c:v>
                </c:pt>
                <c:pt idx="1706">
                  <c:v>19.472000000000001</c:v>
                </c:pt>
                <c:pt idx="1707">
                  <c:v>19.376999999999999</c:v>
                </c:pt>
                <c:pt idx="1708">
                  <c:v>19.282</c:v>
                </c:pt>
                <c:pt idx="1709">
                  <c:v>19.282</c:v>
                </c:pt>
                <c:pt idx="1710">
                  <c:v>19.187000000000001</c:v>
                </c:pt>
                <c:pt idx="1711">
                  <c:v>19.187000000000001</c:v>
                </c:pt>
                <c:pt idx="1712">
                  <c:v>19.091999999999999</c:v>
                </c:pt>
                <c:pt idx="1713">
                  <c:v>19.091999999999999</c:v>
                </c:pt>
                <c:pt idx="1714">
                  <c:v>19.091999999999999</c:v>
                </c:pt>
                <c:pt idx="1715">
                  <c:v>18.995999999999999</c:v>
                </c:pt>
                <c:pt idx="1716">
                  <c:v>18.995999999999999</c:v>
                </c:pt>
                <c:pt idx="1717">
                  <c:v>18.901</c:v>
                </c:pt>
                <c:pt idx="1718">
                  <c:v>18.806000000000001</c:v>
                </c:pt>
                <c:pt idx="1719">
                  <c:v>18.806000000000001</c:v>
                </c:pt>
                <c:pt idx="1720">
                  <c:v>18.806000000000001</c:v>
                </c:pt>
                <c:pt idx="1721">
                  <c:v>18.806000000000001</c:v>
                </c:pt>
                <c:pt idx="1722">
                  <c:v>18.806000000000001</c:v>
                </c:pt>
                <c:pt idx="1723">
                  <c:v>18.710999999999999</c:v>
                </c:pt>
                <c:pt idx="1724">
                  <c:v>18.710999999999999</c:v>
                </c:pt>
                <c:pt idx="1725">
                  <c:v>18.616</c:v>
                </c:pt>
                <c:pt idx="1726">
                  <c:v>18.616</c:v>
                </c:pt>
                <c:pt idx="1727">
                  <c:v>18.616</c:v>
                </c:pt>
                <c:pt idx="1728">
                  <c:v>18.710999999999999</c:v>
                </c:pt>
                <c:pt idx="1729">
                  <c:v>18.616</c:v>
                </c:pt>
                <c:pt idx="1730">
                  <c:v>18.616</c:v>
                </c:pt>
                <c:pt idx="1731">
                  <c:v>18.616</c:v>
                </c:pt>
                <c:pt idx="1732">
                  <c:v>18.616</c:v>
                </c:pt>
                <c:pt idx="1733">
                  <c:v>18.425999999999981</c:v>
                </c:pt>
                <c:pt idx="1734">
                  <c:v>18.425999999999981</c:v>
                </c:pt>
                <c:pt idx="1735">
                  <c:v>18.425999999999981</c:v>
                </c:pt>
                <c:pt idx="1736">
                  <c:v>18.331</c:v>
                </c:pt>
                <c:pt idx="1737">
                  <c:v>18.331</c:v>
                </c:pt>
                <c:pt idx="1738">
                  <c:v>18.236000000000001</c:v>
                </c:pt>
                <c:pt idx="1739">
                  <c:v>18.236000000000001</c:v>
                </c:pt>
                <c:pt idx="1740">
                  <c:v>18.331</c:v>
                </c:pt>
                <c:pt idx="1741">
                  <c:v>18.236000000000001</c:v>
                </c:pt>
                <c:pt idx="1742">
                  <c:v>18.14</c:v>
                </c:pt>
                <c:pt idx="1743">
                  <c:v>18.14</c:v>
                </c:pt>
                <c:pt idx="1744">
                  <c:v>18.045000000000002</c:v>
                </c:pt>
                <c:pt idx="1745">
                  <c:v>18.14</c:v>
                </c:pt>
                <c:pt idx="1746">
                  <c:v>18.045000000000002</c:v>
                </c:pt>
                <c:pt idx="1747">
                  <c:v>17.95</c:v>
                </c:pt>
                <c:pt idx="1748">
                  <c:v>17.95</c:v>
                </c:pt>
                <c:pt idx="1749">
                  <c:v>17.95</c:v>
                </c:pt>
                <c:pt idx="1750">
                  <c:v>17.95</c:v>
                </c:pt>
                <c:pt idx="1751">
                  <c:v>17.95</c:v>
                </c:pt>
                <c:pt idx="1752">
                  <c:v>17.95</c:v>
                </c:pt>
                <c:pt idx="1753">
                  <c:v>17.855</c:v>
                </c:pt>
                <c:pt idx="1754">
                  <c:v>17.760000000000002</c:v>
                </c:pt>
                <c:pt idx="1755">
                  <c:v>17.855</c:v>
                </c:pt>
                <c:pt idx="1756">
                  <c:v>17.855</c:v>
                </c:pt>
                <c:pt idx="1757">
                  <c:v>17.760000000000002</c:v>
                </c:pt>
                <c:pt idx="1758">
                  <c:v>17.855</c:v>
                </c:pt>
                <c:pt idx="1759">
                  <c:v>18.045000000000002</c:v>
                </c:pt>
                <c:pt idx="1760">
                  <c:v>18.14</c:v>
                </c:pt>
                <c:pt idx="1761">
                  <c:v>18.331</c:v>
                </c:pt>
                <c:pt idx="1762">
                  <c:v>18.331</c:v>
                </c:pt>
                <c:pt idx="1763">
                  <c:v>18.425999999999981</c:v>
                </c:pt>
                <c:pt idx="1764">
                  <c:v>18.521000000000001</c:v>
                </c:pt>
                <c:pt idx="1765">
                  <c:v>18.616</c:v>
                </c:pt>
                <c:pt idx="1766">
                  <c:v>18.710999999999999</c:v>
                </c:pt>
                <c:pt idx="1767">
                  <c:v>19.472000000000001</c:v>
                </c:pt>
                <c:pt idx="1768">
                  <c:v>18.995999999999999</c:v>
                </c:pt>
                <c:pt idx="1769">
                  <c:v>19.187000000000001</c:v>
                </c:pt>
                <c:pt idx="1770">
                  <c:v>19.187000000000001</c:v>
                </c:pt>
                <c:pt idx="1771">
                  <c:v>19.282</c:v>
                </c:pt>
                <c:pt idx="1772">
                  <c:v>19.282</c:v>
                </c:pt>
                <c:pt idx="1773">
                  <c:v>19.757999999999999</c:v>
                </c:pt>
                <c:pt idx="1774">
                  <c:v>19.661999999999999</c:v>
                </c:pt>
                <c:pt idx="1775">
                  <c:v>19.853000000000009</c:v>
                </c:pt>
                <c:pt idx="1776">
                  <c:v>19.948</c:v>
                </c:pt>
                <c:pt idx="1777">
                  <c:v>19.948</c:v>
                </c:pt>
                <c:pt idx="1778">
                  <c:v>20.138000000000009</c:v>
                </c:pt>
                <c:pt idx="1779">
                  <c:v>20.234000000000009</c:v>
                </c:pt>
                <c:pt idx="1780">
                  <c:v>20.234000000000009</c:v>
                </c:pt>
                <c:pt idx="1781">
                  <c:v>20.329000000000001</c:v>
                </c:pt>
                <c:pt idx="1782">
                  <c:v>20.138000000000009</c:v>
                </c:pt>
                <c:pt idx="1783">
                  <c:v>20.138000000000009</c:v>
                </c:pt>
                <c:pt idx="1784">
                  <c:v>20.138000000000009</c:v>
                </c:pt>
                <c:pt idx="1785">
                  <c:v>20.234000000000009</c:v>
                </c:pt>
                <c:pt idx="1786">
                  <c:v>20.138000000000009</c:v>
                </c:pt>
                <c:pt idx="1787">
                  <c:v>20.138000000000009</c:v>
                </c:pt>
                <c:pt idx="1788">
                  <c:v>20.042999999999999</c:v>
                </c:pt>
                <c:pt idx="1789">
                  <c:v>20.042999999999999</c:v>
                </c:pt>
                <c:pt idx="1790">
                  <c:v>20.042999999999999</c:v>
                </c:pt>
                <c:pt idx="1791">
                  <c:v>19.948</c:v>
                </c:pt>
                <c:pt idx="1792">
                  <c:v>19.948</c:v>
                </c:pt>
                <c:pt idx="1793">
                  <c:v>19.948</c:v>
                </c:pt>
                <c:pt idx="1794">
                  <c:v>19.948</c:v>
                </c:pt>
                <c:pt idx="1795">
                  <c:v>19.948</c:v>
                </c:pt>
                <c:pt idx="1796">
                  <c:v>19.853000000000009</c:v>
                </c:pt>
                <c:pt idx="1797">
                  <c:v>19.853000000000009</c:v>
                </c:pt>
                <c:pt idx="1798">
                  <c:v>19.757999999999999</c:v>
                </c:pt>
                <c:pt idx="1799">
                  <c:v>19.757999999999999</c:v>
                </c:pt>
                <c:pt idx="1800">
                  <c:v>19.757999999999999</c:v>
                </c:pt>
                <c:pt idx="1801">
                  <c:v>19.661999999999999</c:v>
                </c:pt>
                <c:pt idx="1802">
                  <c:v>19.567</c:v>
                </c:pt>
                <c:pt idx="1803">
                  <c:v>19.472000000000001</c:v>
                </c:pt>
                <c:pt idx="1804">
                  <c:v>19.472000000000001</c:v>
                </c:pt>
                <c:pt idx="1805">
                  <c:v>19.376999999999999</c:v>
                </c:pt>
                <c:pt idx="1806">
                  <c:v>19.282</c:v>
                </c:pt>
                <c:pt idx="1807">
                  <c:v>19.282</c:v>
                </c:pt>
                <c:pt idx="1808">
                  <c:v>19.187000000000001</c:v>
                </c:pt>
                <c:pt idx="1809">
                  <c:v>19.091999999999999</c:v>
                </c:pt>
                <c:pt idx="1810">
                  <c:v>19.091999999999999</c:v>
                </c:pt>
                <c:pt idx="1811">
                  <c:v>19.091999999999999</c:v>
                </c:pt>
                <c:pt idx="1812">
                  <c:v>19.091999999999999</c:v>
                </c:pt>
                <c:pt idx="1813">
                  <c:v>18.995999999999999</c:v>
                </c:pt>
                <c:pt idx="1814">
                  <c:v>18.901</c:v>
                </c:pt>
                <c:pt idx="1815">
                  <c:v>18.995999999999999</c:v>
                </c:pt>
                <c:pt idx="1816">
                  <c:v>18.806000000000001</c:v>
                </c:pt>
                <c:pt idx="1817">
                  <c:v>18.806000000000001</c:v>
                </c:pt>
                <c:pt idx="1818">
                  <c:v>18.806000000000001</c:v>
                </c:pt>
                <c:pt idx="1819">
                  <c:v>18.710999999999999</c:v>
                </c:pt>
                <c:pt idx="1820">
                  <c:v>18.710999999999999</c:v>
                </c:pt>
                <c:pt idx="1821">
                  <c:v>18.616</c:v>
                </c:pt>
                <c:pt idx="1822">
                  <c:v>18.616</c:v>
                </c:pt>
                <c:pt idx="1823">
                  <c:v>18.710999999999999</c:v>
                </c:pt>
                <c:pt idx="1824">
                  <c:v>18.616</c:v>
                </c:pt>
                <c:pt idx="1825">
                  <c:v>18.616</c:v>
                </c:pt>
                <c:pt idx="1826">
                  <c:v>18.616</c:v>
                </c:pt>
                <c:pt idx="1827">
                  <c:v>18.616</c:v>
                </c:pt>
                <c:pt idx="1828">
                  <c:v>18.616</c:v>
                </c:pt>
                <c:pt idx="1829">
                  <c:v>18.521000000000001</c:v>
                </c:pt>
                <c:pt idx="1830">
                  <c:v>18.521000000000001</c:v>
                </c:pt>
                <c:pt idx="1831">
                  <c:v>18.521000000000001</c:v>
                </c:pt>
                <c:pt idx="1832">
                  <c:v>18.425999999999981</c:v>
                </c:pt>
                <c:pt idx="1833">
                  <c:v>18.425999999999981</c:v>
                </c:pt>
                <c:pt idx="1834">
                  <c:v>18.331</c:v>
                </c:pt>
                <c:pt idx="1835">
                  <c:v>18.331</c:v>
                </c:pt>
                <c:pt idx="1836">
                  <c:v>18.236000000000001</c:v>
                </c:pt>
                <c:pt idx="1837">
                  <c:v>18.236000000000001</c:v>
                </c:pt>
                <c:pt idx="1838">
                  <c:v>18.236000000000001</c:v>
                </c:pt>
                <c:pt idx="1839">
                  <c:v>18.236000000000001</c:v>
                </c:pt>
                <c:pt idx="1840">
                  <c:v>18.236000000000001</c:v>
                </c:pt>
                <c:pt idx="1841">
                  <c:v>18.236000000000001</c:v>
                </c:pt>
                <c:pt idx="1842">
                  <c:v>18.236000000000001</c:v>
                </c:pt>
                <c:pt idx="1843">
                  <c:v>18.236000000000001</c:v>
                </c:pt>
                <c:pt idx="1844">
                  <c:v>18.236000000000001</c:v>
                </c:pt>
                <c:pt idx="1845">
                  <c:v>18.14</c:v>
                </c:pt>
                <c:pt idx="1846">
                  <c:v>18.236000000000001</c:v>
                </c:pt>
                <c:pt idx="1847">
                  <c:v>18.14</c:v>
                </c:pt>
                <c:pt idx="1848">
                  <c:v>18.14</c:v>
                </c:pt>
                <c:pt idx="1849">
                  <c:v>18.236000000000001</c:v>
                </c:pt>
                <c:pt idx="1850">
                  <c:v>18.14</c:v>
                </c:pt>
                <c:pt idx="1851">
                  <c:v>18.14</c:v>
                </c:pt>
                <c:pt idx="1852">
                  <c:v>18.14</c:v>
                </c:pt>
                <c:pt idx="1853">
                  <c:v>18.236000000000001</c:v>
                </c:pt>
                <c:pt idx="1854">
                  <c:v>18.14</c:v>
                </c:pt>
                <c:pt idx="1855">
                  <c:v>18.236000000000001</c:v>
                </c:pt>
                <c:pt idx="1856">
                  <c:v>18.425999999999981</c:v>
                </c:pt>
                <c:pt idx="1857">
                  <c:v>18.521000000000001</c:v>
                </c:pt>
                <c:pt idx="1858">
                  <c:v>18.616</c:v>
                </c:pt>
                <c:pt idx="1859">
                  <c:v>18.616</c:v>
                </c:pt>
                <c:pt idx="1860">
                  <c:v>18.710999999999999</c:v>
                </c:pt>
                <c:pt idx="1861">
                  <c:v>18.710999999999999</c:v>
                </c:pt>
                <c:pt idx="1862">
                  <c:v>18.710999999999999</c:v>
                </c:pt>
                <c:pt idx="1863">
                  <c:v>18.995999999999999</c:v>
                </c:pt>
                <c:pt idx="1864">
                  <c:v>18.901</c:v>
                </c:pt>
                <c:pt idx="1865">
                  <c:v>19.376999999999999</c:v>
                </c:pt>
                <c:pt idx="1866">
                  <c:v>19.282</c:v>
                </c:pt>
                <c:pt idx="1867">
                  <c:v>19.282</c:v>
                </c:pt>
                <c:pt idx="1868">
                  <c:v>19.282</c:v>
                </c:pt>
                <c:pt idx="1869">
                  <c:v>19.757999999999999</c:v>
                </c:pt>
                <c:pt idx="1870">
                  <c:v>19.661999999999999</c:v>
                </c:pt>
                <c:pt idx="1871">
                  <c:v>20.042999999999999</c:v>
                </c:pt>
                <c:pt idx="1872">
                  <c:v>19.853000000000009</c:v>
                </c:pt>
                <c:pt idx="1873">
                  <c:v>19.853000000000009</c:v>
                </c:pt>
                <c:pt idx="1874">
                  <c:v>20.234000000000009</c:v>
                </c:pt>
                <c:pt idx="1875">
                  <c:v>19.948</c:v>
                </c:pt>
                <c:pt idx="1876">
                  <c:v>20.138000000000009</c:v>
                </c:pt>
                <c:pt idx="1877">
                  <c:v>20.423999999999999</c:v>
                </c:pt>
                <c:pt idx="1878">
                  <c:v>20.042999999999999</c:v>
                </c:pt>
                <c:pt idx="1879">
                  <c:v>19.948</c:v>
                </c:pt>
                <c:pt idx="1880">
                  <c:v>20.042999999999999</c:v>
                </c:pt>
                <c:pt idx="1881">
                  <c:v>20.042999999999999</c:v>
                </c:pt>
                <c:pt idx="1882">
                  <c:v>20.042999999999999</c:v>
                </c:pt>
                <c:pt idx="1883">
                  <c:v>19.948</c:v>
                </c:pt>
                <c:pt idx="1884">
                  <c:v>19.853000000000009</c:v>
                </c:pt>
                <c:pt idx="1885">
                  <c:v>19.757999999999999</c:v>
                </c:pt>
                <c:pt idx="1886">
                  <c:v>19.661999999999999</c:v>
                </c:pt>
                <c:pt idx="1887">
                  <c:v>19.567</c:v>
                </c:pt>
                <c:pt idx="1888">
                  <c:v>19.472000000000001</c:v>
                </c:pt>
                <c:pt idx="1889">
                  <c:v>19.376999999999999</c:v>
                </c:pt>
                <c:pt idx="1890">
                  <c:v>19.187000000000001</c:v>
                </c:pt>
                <c:pt idx="1891">
                  <c:v>19.091999999999999</c:v>
                </c:pt>
                <c:pt idx="1892">
                  <c:v>19.091999999999999</c:v>
                </c:pt>
                <c:pt idx="1893">
                  <c:v>18.995999999999999</c:v>
                </c:pt>
                <c:pt idx="1894">
                  <c:v>18.995999999999999</c:v>
                </c:pt>
                <c:pt idx="1895">
                  <c:v>18.901</c:v>
                </c:pt>
                <c:pt idx="1896">
                  <c:v>18.901</c:v>
                </c:pt>
                <c:pt idx="1897">
                  <c:v>18.806000000000001</c:v>
                </c:pt>
                <c:pt idx="1898">
                  <c:v>18.806000000000001</c:v>
                </c:pt>
                <c:pt idx="1899">
                  <c:v>18.710999999999999</c:v>
                </c:pt>
                <c:pt idx="1900">
                  <c:v>18.710999999999999</c:v>
                </c:pt>
                <c:pt idx="1901">
                  <c:v>18.710999999999999</c:v>
                </c:pt>
                <c:pt idx="1902">
                  <c:v>18.616</c:v>
                </c:pt>
                <c:pt idx="1903">
                  <c:v>18.521000000000001</c:v>
                </c:pt>
                <c:pt idx="1904">
                  <c:v>18.425999999999981</c:v>
                </c:pt>
                <c:pt idx="1905">
                  <c:v>18.521000000000001</c:v>
                </c:pt>
                <c:pt idx="1906">
                  <c:v>18.425999999999981</c:v>
                </c:pt>
                <c:pt idx="1907">
                  <c:v>18.425999999999981</c:v>
                </c:pt>
                <c:pt idx="1908">
                  <c:v>18.425999999999981</c:v>
                </c:pt>
                <c:pt idx="1909">
                  <c:v>18.331</c:v>
                </c:pt>
                <c:pt idx="1910">
                  <c:v>18.331</c:v>
                </c:pt>
                <c:pt idx="1911">
                  <c:v>18.331</c:v>
                </c:pt>
                <c:pt idx="1912">
                  <c:v>18.236000000000001</c:v>
                </c:pt>
                <c:pt idx="1913">
                  <c:v>18.236000000000001</c:v>
                </c:pt>
                <c:pt idx="1914">
                  <c:v>18.236000000000001</c:v>
                </c:pt>
                <c:pt idx="1915">
                  <c:v>18.045000000000002</c:v>
                </c:pt>
                <c:pt idx="1916">
                  <c:v>17.95</c:v>
                </c:pt>
                <c:pt idx="1917">
                  <c:v>17.855</c:v>
                </c:pt>
                <c:pt idx="1918">
                  <c:v>17.760000000000002</c:v>
                </c:pt>
                <c:pt idx="1919">
                  <c:v>17.760000000000002</c:v>
                </c:pt>
                <c:pt idx="1920">
                  <c:v>17.57</c:v>
                </c:pt>
                <c:pt idx="1921">
                  <c:v>17.57</c:v>
                </c:pt>
                <c:pt idx="1922">
                  <c:v>17.475000000000001</c:v>
                </c:pt>
                <c:pt idx="1923">
                  <c:v>17.475000000000001</c:v>
                </c:pt>
                <c:pt idx="1924">
                  <c:v>17.475000000000001</c:v>
                </c:pt>
                <c:pt idx="1925">
                  <c:v>17.475000000000001</c:v>
                </c:pt>
                <c:pt idx="1926">
                  <c:v>17.283999999999999</c:v>
                </c:pt>
                <c:pt idx="1927">
                  <c:v>17.379000000000001</c:v>
                </c:pt>
                <c:pt idx="1928">
                  <c:v>17.283999999999999</c:v>
                </c:pt>
                <c:pt idx="1929">
                  <c:v>17.379000000000001</c:v>
                </c:pt>
                <c:pt idx="1930">
                  <c:v>17.283999999999999</c:v>
                </c:pt>
                <c:pt idx="1931">
                  <c:v>17.189</c:v>
                </c:pt>
                <c:pt idx="1932">
                  <c:v>17.094000000000001</c:v>
                </c:pt>
                <c:pt idx="1933">
                  <c:v>17.094000000000001</c:v>
                </c:pt>
                <c:pt idx="1934">
                  <c:v>17.094000000000001</c:v>
                </c:pt>
                <c:pt idx="1935">
                  <c:v>16.998999999999999</c:v>
                </c:pt>
                <c:pt idx="1936">
                  <c:v>17.094000000000001</c:v>
                </c:pt>
                <c:pt idx="1937">
                  <c:v>16.998999999999999</c:v>
                </c:pt>
                <c:pt idx="1938">
                  <c:v>16.998999999999999</c:v>
                </c:pt>
                <c:pt idx="1939">
                  <c:v>16.998999999999999</c:v>
                </c:pt>
                <c:pt idx="1940">
                  <c:v>16.902999999999999</c:v>
                </c:pt>
                <c:pt idx="1941">
                  <c:v>16.902999999999999</c:v>
                </c:pt>
                <c:pt idx="1942">
                  <c:v>16.998999999999999</c:v>
                </c:pt>
                <c:pt idx="1943">
                  <c:v>16.902999999999999</c:v>
                </c:pt>
                <c:pt idx="1944">
                  <c:v>16.902999999999999</c:v>
                </c:pt>
                <c:pt idx="1945">
                  <c:v>16.902999999999999</c:v>
                </c:pt>
                <c:pt idx="1946">
                  <c:v>16.902999999999999</c:v>
                </c:pt>
                <c:pt idx="1947">
                  <c:v>16.998999999999999</c:v>
                </c:pt>
                <c:pt idx="1948">
                  <c:v>16.902999999999999</c:v>
                </c:pt>
                <c:pt idx="1949">
                  <c:v>16.998999999999999</c:v>
                </c:pt>
                <c:pt idx="1950">
                  <c:v>17.189</c:v>
                </c:pt>
                <c:pt idx="1951">
                  <c:v>17.379000000000001</c:v>
                </c:pt>
                <c:pt idx="1952">
                  <c:v>17.475000000000001</c:v>
                </c:pt>
                <c:pt idx="1953">
                  <c:v>17.57</c:v>
                </c:pt>
                <c:pt idx="1954">
                  <c:v>17.57</c:v>
                </c:pt>
                <c:pt idx="1955">
                  <c:v>17.57</c:v>
                </c:pt>
                <c:pt idx="1956">
                  <c:v>17.664999999999999</c:v>
                </c:pt>
                <c:pt idx="1957">
                  <c:v>17.760000000000002</c:v>
                </c:pt>
                <c:pt idx="1958">
                  <c:v>17.760000000000002</c:v>
                </c:pt>
                <c:pt idx="1959">
                  <c:v>17.95</c:v>
                </c:pt>
                <c:pt idx="1960">
                  <c:v>18.045000000000002</c:v>
                </c:pt>
                <c:pt idx="1961">
                  <c:v>18.236000000000001</c:v>
                </c:pt>
                <c:pt idx="1962">
                  <c:v>18.14</c:v>
                </c:pt>
                <c:pt idx="1963">
                  <c:v>18.236000000000001</c:v>
                </c:pt>
                <c:pt idx="1964">
                  <c:v>18.14</c:v>
                </c:pt>
                <c:pt idx="1965">
                  <c:v>18.425999999999981</c:v>
                </c:pt>
                <c:pt idx="1966">
                  <c:v>18.331</c:v>
                </c:pt>
                <c:pt idx="1967">
                  <c:v>19.187000000000001</c:v>
                </c:pt>
                <c:pt idx="1968">
                  <c:v>18.616</c:v>
                </c:pt>
                <c:pt idx="1969">
                  <c:v>18.616</c:v>
                </c:pt>
                <c:pt idx="1970">
                  <c:v>19.187000000000001</c:v>
                </c:pt>
                <c:pt idx="1971">
                  <c:v>18.806000000000001</c:v>
                </c:pt>
                <c:pt idx="1972">
                  <c:v>19.187000000000001</c:v>
                </c:pt>
                <c:pt idx="1973">
                  <c:v>19.376999999999999</c:v>
                </c:pt>
                <c:pt idx="1974">
                  <c:v>18.995999999999999</c:v>
                </c:pt>
                <c:pt idx="1975">
                  <c:v>18.806000000000001</c:v>
                </c:pt>
                <c:pt idx="1976">
                  <c:v>18.806000000000001</c:v>
                </c:pt>
                <c:pt idx="1977">
                  <c:v>18.806000000000001</c:v>
                </c:pt>
                <c:pt idx="1978">
                  <c:v>18.710999999999999</c:v>
                </c:pt>
                <c:pt idx="1979">
                  <c:v>18.616</c:v>
                </c:pt>
                <c:pt idx="1980">
                  <c:v>18.616</c:v>
                </c:pt>
                <c:pt idx="1981">
                  <c:v>18.710999999999999</c:v>
                </c:pt>
                <c:pt idx="1982">
                  <c:v>18.616</c:v>
                </c:pt>
                <c:pt idx="1983">
                  <c:v>18.521000000000001</c:v>
                </c:pt>
                <c:pt idx="1984">
                  <c:v>18.521000000000001</c:v>
                </c:pt>
                <c:pt idx="1985">
                  <c:v>18.425999999999981</c:v>
                </c:pt>
                <c:pt idx="1986">
                  <c:v>18.425999999999981</c:v>
                </c:pt>
                <c:pt idx="1987">
                  <c:v>18.331</c:v>
                </c:pt>
                <c:pt idx="1988">
                  <c:v>18.331</c:v>
                </c:pt>
                <c:pt idx="1989">
                  <c:v>18.236000000000001</c:v>
                </c:pt>
                <c:pt idx="1990">
                  <c:v>18.14</c:v>
                </c:pt>
                <c:pt idx="1991">
                  <c:v>18.14</c:v>
                </c:pt>
                <c:pt idx="1992">
                  <c:v>18.14</c:v>
                </c:pt>
                <c:pt idx="1993">
                  <c:v>18.236000000000001</c:v>
                </c:pt>
                <c:pt idx="1994">
                  <c:v>18.236000000000001</c:v>
                </c:pt>
                <c:pt idx="1995">
                  <c:v>18.14</c:v>
                </c:pt>
                <c:pt idx="1996">
                  <c:v>18.14</c:v>
                </c:pt>
                <c:pt idx="1997">
                  <c:v>18.14</c:v>
                </c:pt>
                <c:pt idx="1998">
                  <c:v>18.14</c:v>
                </c:pt>
                <c:pt idx="1999">
                  <c:v>17.95</c:v>
                </c:pt>
                <c:pt idx="2000">
                  <c:v>17.855</c:v>
                </c:pt>
                <c:pt idx="2001">
                  <c:v>17.855</c:v>
                </c:pt>
                <c:pt idx="2002">
                  <c:v>17.855</c:v>
                </c:pt>
                <c:pt idx="2003">
                  <c:v>17.760000000000002</c:v>
                </c:pt>
                <c:pt idx="2004">
                  <c:v>17.855</c:v>
                </c:pt>
                <c:pt idx="2005">
                  <c:v>17.664999999999999</c:v>
                </c:pt>
                <c:pt idx="2006">
                  <c:v>17.664999999999999</c:v>
                </c:pt>
                <c:pt idx="2007">
                  <c:v>17.664999999999999</c:v>
                </c:pt>
                <c:pt idx="2008">
                  <c:v>17.57</c:v>
                </c:pt>
                <c:pt idx="2009">
                  <c:v>17.475000000000001</c:v>
                </c:pt>
                <c:pt idx="2010">
                  <c:v>17.475000000000001</c:v>
                </c:pt>
                <c:pt idx="2011">
                  <c:v>17.379000000000001</c:v>
                </c:pt>
                <c:pt idx="2012">
                  <c:v>17.379000000000001</c:v>
                </c:pt>
                <c:pt idx="2013">
                  <c:v>17.379000000000001</c:v>
                </c:pt>
                <c:pt idx="2014">
                  <c:v>17.379000000000001</c:v>
                </c:pt>
                <c:pt idx="2015">
                  <c:v>17.57</c:v>
                </c:pt>
                <c:pt idx="2016">
                  <c:v>17.475000000000001</c:v>
                </c:pt>
                <c:pt idx="2017">
                  <c:v>17.379000000000001</c:v>
                </c:pt>
                <c:pt idx="2018">
                  <c:v>17.475000000000001</c:v>
                </c:pt>
                <c:pt idx="2019">
                  <c:v>17.283999999999999</c:v>
                </c:pt>
                <c:pt idx="2020">
                  <c:v>17.283999999999999</c:v>
                </c:pt>
                <c:pt idx="2021">
                  <c:v>17.283999999999999</c:v>
                </c:pt>
                <c:pt idx="2022">
                  <c:v>17.283999999999999</c:v>
                </c:pt>
                <c:pt idx="2023">
                  <c:v>17.094000000000001</c:v>
                </c:pt>
                <c:pt idx="2024">
                  <c:v>17.094000000000001</c:v>
                </c:pt>
                <c:pt idx="2025">
                  <c:v>17.094000000000001</c:v>
                </c:pt>
                <c:pt idx="2026">
                  <c:v>17.094000000000001</c:v>
                </c:pt>
                <c:pt idx="2027">
                  <c:v>17.094000000000001</c:v>
                </c:pt>
                <c:pt idx="2028">
                  <c:v>16.902999999999999</c:v>
                </c:pt>
                <c:pt idx="2029">
                  <c:v>16.902999999999999</c:v>
                </c:pt>
                <c:pt idx="2030">
                  <c:v>16.808</c:v>
                </c:pt>
                <c:pt idx="2031">
                  <c:v>16.998999999999999</c:v>
                </c:pt>
                <c:pt idx="2032">
                  <c:v>16.808</c:v>
                </c:pt>
                <c:pt idx="2033">
                  <c:v>16.713000000000001</c:v>
                </c:pt>
                <c:pt idx="2034">
                  <c:v>16.523</c:v>
                </c:pt>
                <c:pt idx="2035">
                  <c:v>16.617999999999999</c:v>
                </c:pt>
                <c:pt idx="2036">
                  <c:v>16.427</c:v>
                </c:pt>
                <c:pt idx="2037">
                  <c:v>16.523</c:v>
                </c:pt>
                <c:pt idx="2038">
                  <c:v>16.332000000000001</c:v>
                </c:pt>
                <c:pt idx="2039">
                  <c:v>16.427</c:v>
                </c:pt>
                <c:pt idx="2040">
                  <c:v>16.332000000000001</c:v>
                </c:pt>
                <c:pt idx="2041">
                  <c:v>16.332000000000001</c:v>
                </c:pt>
                <c:pt idx="2042">
                  <c:v>16.332000000000001</c:v>
                </c:pt>
                <c:pt idx="2043">
                  <c:v>16.332000000000001</c:v>
                </c:pt>
                <c:pt idx="2044">
                  <c:v>16.332000000000001</c:v>
                </c:pt>
                <c:pt idx="2045">
                  <c:v>16.236999999999991</c:v>
                </c:pt>
                <c:pt idx="2046">
                  <c:v>16.332000000000001</c:v>
                </c:pt>
                <c:pt idx="2047">
                  <c:v>16.617999999999999</c:v>
                </c:pt>
                <c:pt idx="2048">
                  <c:v>16.713000000000001</c:v>
                </c:pt>
                <c:pt idx="2049">
                  <c:v>16.998999999999999</c:v>
                </c:pt>
                <c:pt idx="2050">
                  <c:v>17.094000000000001</c:v>
                </c:pt>
                <c:pt idx="2051">
                  <c:v>16.998999999999999</c:v>
                </c:pt>
                <c:pt idx="2052">
                  <c:v>17.094000000000001</c:v>
                </c:pt>
                <c:pt idx="2053">
                  <c:v>17.189</c:v>
                </c:pt>
                <c:pt idx="2054">
                  <c:v>17.189</c:v>
                </c:pt>
                <c:pt idx="2055">
                  <c:v>17.379000000000001</c:v>
                </c:pt>
                <c:pt idx="2056">
                  <c:v>17.664999999999999</c:v>
                </c:pt>
                <c:pt idx="2057">
                  <c:v>17.855</c:v>
                </c:pt>
                <c:pt idx="2058">
                  <c:v>17.855</c:v>
                </c:pt>
                <c:pt idx="2059">
                  <c:v>17.855</c:v>
                </c:pt>
                <c:pt idx="2060">
                  <c:v>17.95</c:v>
                </c:pt>
                <c:pt idx="2061">
                  <c:v>18.236000000000001</c:v>
                </c:pt>
                <c:pt idx="2062">
                  <c:v>18.331</c:v>
                </c:pt>
                <c:pt idx="2063">
                  <c:v>18.806000000000001</c:v>
                </c:pt>
                <c:pt idx="2064">
                  <c:v>18.521000000000001</c:v>
                </c:pt>
                <c:pt idx="2065">
                  <c:v>18.521000000000001</c:v>
                </c:pt>
                <c:pt idx="2066">
                  <c:v>18.710999999999999</c:v>
                </c:pt>
                <c:pt idx="2067">
                  <c:v>18.806000000000001</c:v>
                </c:pt>
                <c:pt idx="2068">
                  <c:v>19.091999999999999</c:v>
                </c:pt>
                <c:pt idx="2069">
                  <c:v>19.187000000000001</c:v>
                </c:pt>
                <c:pt idx="2070">
                  <c:v>18.901</c:v>
                </c:pt>
                <c:pt idx="2071">
                  <c:v>18.806000000000001</c:v>
                </c:pt>
                <c:pt idx="2072">
                  <c:v>18.710999999999999</c:v>
                </c:pt>
                <c:pt idx="2073">
                  <c:v>18.710999999999999</c:v>
                </c:pt>
                <c:pt idx="2074">
                  <c:v>18.710999999999999</c:v>
                </c:pt>
                <c:pt idx="2075">
                  <c:v>18.616</c:v>
                </c:pt>
                <c:pt idx="2076">
                  <c:v>18.521000000000001</c:v>
                </c:pt>
                <c:pt idx="2077">
                  <c:v>18.521000000000001</c:v>
                </c:pt>
                <c:pt idx="2078">
                  <c:v>18.425999999999981</c:v>
                </c:pt>
                <c:pt idx="2079">
                  <c:v>18.425999999999981</c:v>
                </c:pt>
                <c:pt idx="2080">
                  <c:v>18.425999999999981</c:v>
                </c:pt>
                <c:pt idx="2081">
                  <c:v>18.331</c:v>
                </c:pt>
                <c:pt idx="2082">
                  <c:v>18.331</c:v>
                </c:pt>
                <c:pt idx="2083">
                  <c:v>18.236000000000001</c:v>
                </c:pt>
                <c:pt idx="2084">
                  <c:v>18.14</c:v>
                </c:pt>
                <c:pt idx="2085">
                  <c:v>18.14</c:v>
                </c:pt>
                <c:pt idx="2086">
                  <c:v>18.14</c:v>
                </c:pt>
                <c:pt idx="2087">
                  <c:v>18.14</c:v>
                </c:pt>
                <c:pt idx="2088">
                  <c:v>18.14</c:v>
                </c:pt>
                <c:pt idx="2089">
                  <c:v>18.14</c:v>
                </c:pt>
                <c:pt idx="2090">
                  <c:v>18.045000000000002</c:v>
                </c:pt>
                <c:pt idx="2091">
                  <c:v>17.95</c:v>
                </c:pt>
                <c:pt idx="2092">
                  <c:v>18.045000000000002</c:v>
                </c:pt>
                <c:pt idx="2093">
                  <c:v>17.855</c:v>
                </c:pt>
                <c:pt idx="2094">
                  <c:v>17.95</c:v>
                </c:pt>
                <c:pt idx="2095">
                  <c:v>17.95</c:v>
                </c:pt>
                <c:pt idx="2096">
                  <c:v>17.855</c:v>
                </c:pt>
                <c:pt idx="2097">
                  <c:v>17.95</c:v>
                </c:pt>
                <c:pt idx="2098">
                  <c:v>17.855</c:v>
                </c:pt>
                <c:pt idx="2099">
                  <c:v>17.855</c:v>
                </c:pt>
                <c:pt idx="2100">
                  <c:v>17.664999999999999</c:v>
                </c:pt>
                <c:pt idx="2101">
                  <c:v>17.57</c:v>
                </c:pt>
                <c:pt idx="2102">
                  <c:v>17.57</c:v>
                </c:pt>
                <c:pt idx="2103">
                  <c:v>17.664999999999999</c:v>
                </c:pt>
                <c:pt idx="2104">
                  <c:v>17.475000000000001</c:v>
                </c:pt>
                <c:pt idx="2105">
                  <c:v>17.475000000000001</c:v>
                </c:pt>
                <c:pt idx="2106">
                  <c:v>17.379000000000001</c:v>
                </c:pt>
                <c:pt idx="2107">
                  <c:v>17.475000000000001</c:v>
                </c:pt>
                <c:pt idx="2108">
                  <c:v>17.379000000000001</c:v>
                </c:pt>
                <c:pt idx="2109">
                  <c:v>17.475000000000001</c:v>
                </c:pt>
                <c:pt idx="2110">
                  <c:v>17.189</c:v>
                </c:pt>
                <c:pt idx="2111">
                  <c:v>17.283999999999999</c:v>
                </c:pt>
                <c:pt idx="2112">
                  <c:v>17.283999999999999</c:v>
                </c:pt>
                <c:pt idx="2113">
                  <c:v>17.283999999999999</c:v>
                </c:pt>
                <c:pt idx="2114">
                  <c:v>17.189</c:v>
                </c:pt>
                <c:pt idx="2115">
                  <c:v>17.189</c:v>
                </c:pt>
                <c:pt idx="2116">
                  <c:v>17.189</c:v>
                </c:pt>
                <c:pt idx="2117">
                  <c:v>17.189</c:v>
                </c:pt>
                <c:pt idx="2118">
                  <c:v>16.998999999999999</c:v>
                </c:pt>
                <c:pt idx="2119">
                  <c:v>16.998999999999999</c:v>
                </c:pt>
                <c:pt idx="2120">
                  <c:v>16.998999999999999</c:v>
                </c:pt>
                <c:pt idx="2121">
                  <c:v>16.998999999999999</c:v>
                </c:pt>
                <c:pt idx="2122">
                  <c:v>16.902999999999999</c:v>
                </c:pt>
                <c:pt idx="2123">
                  <c:v>16.998999999999999</c:v>
                </c:pt>
                <c:pt idx="2124">
                  <c:v>16.808</c:v>
                </c:pt>
                <c:pt idx="2125">
                  <c:v>16.902999999999999</c:v>
                </c:pt>
                <c:pt idx="2126">
                  <c:v>16.808</c:v>
                </c:pt>
                <c:pt idx="2127">
                  <c:v>16.808</c:v>
                </c:pt>
                <c:pt idx="2128">
                  <c:v>16.808</c:v>
                </c:pt>
                <c:pt idx="2129">
                  <c:v>16.713000000000001</c:v>
                </c:pt>
                <c:pt idx="2130">
                  <c:v>16.713000000000001</c:v>
                </c:pt>
                <c:pt idx="2131">
                  <c:v>16.713000000000001</c:v>
                </c:pt>
                <c:pt idx="2132">
                  <c:v>16.617999999999999</c:v>
                </c:pt>
                <c:pt idx="2133">
                  <c:v>16.617999999999999</c:v>
                </c:pt>
                <c:pt idx="2134">
                  <c:v>16.617999999999999</c:v>
                </c:pt>
                <c:pt idx="2135">
                  <c:v>16.617999999999999</c:v>
                </c:pt>
                <c:pt idx="2136">
                  <c:v>16.523</c:v>
                </c:pt>
                <c:pt idx="2137">
                  <c:v>16.427</c:v>
                </c:pt>
                <c:pt idx="2138">
                  <c:v>16.332000000000001</c:v>
                </c:pt>
                <c:pt idx="2139">
                  <c:v>16.427</c:v>
                </c:pt>
                <c:pt idx="2140">
                  <c:v>16.427</c:v>
                </c:pt>
                <c:pt idx="2141">
                  <c:v>16.427</c:v>
                </c:pt>
                <c:pt idx="2142">
                  <c:v>16.523</c:v>
                </c:pt>
                <c:pt idx="2143">
                  <c:v>16.713000000000001</c:v>
                </c:pt>
                <c:pt idx="2144">
                  <c:v>16.808</c:v>
                </c:pt>
                <c:pt idx="2145">
                  <c:v>17.094000000000001</c:v>
                </c:pt>
                <c:pt idx="2146">
                  <c:v>17.189</c:v>
                </c:pt>
                <c:pt idx="2147">
                  <c:v>17.283999999999999</c:v>
                </c:pt>
                <c:pt idx="2148">
                  <c:v>17.379000000000001</c:v>
                </c:pt>
                <c:pt idx="2149">
                  <c:v>17.475000000000001</c:v>
                </c:pt>
                <c:pt idx="2150">
                  <c:v>17.57</c:v>
                </c:pt>
                <c:pt idx="2151">
                  <c:v>17.760000000000002</c:v>
                </c:pt>
                <c:pt idx="2152">
                  <c:v>17.855</c:v>
                </c:pt>
                <c:pt idx="2153">
                  <c:v>18.045000000000002</c:v>
                </c:pt>
                <c:pt idx="2154">
                  <c:v>17.95</c:v>
                </c:pt>
                <c:pt idx="2155">
                  <c:v>18.045000000000002</c:v>
                </c:pt>
                <c:pt idx="2156">
                  <c:v>18.14</c:v>
                </c:pt>
                <c:pt idx="2157">
                  <c:v>18.331</c:v>
                </c:pt>
                <c:pt idx="2158">
                  <c:v>18.425999999999981</c:v>
                </c:pt>
                <c:pt idx="2159">
                  <c:v>18.616</c:v>
                </c:pt>
                <c:pt idx="2160">
                  <c:v>18.806000000000001</c:v>
                </c:pt>
                <c:pt idx="2161">
                  <c:v>18.616</c:v>
                </c:pt>
                <c:pt idx="2162">
                  <c:v>18.806000000000001</c:v>
                </c:pt>
                <c:pt idx="2163">
                  <c:v>18.901</c:v>
                </c:pt>
                <c:pt idx="2164">
                  <c:v>19.282</c:v>
                </c:pt>
                <c:pt idx="2165">
                  <c:v>19.187000000000001</c:v>
                </c:pt>
                <c:pt idx="2166">
                  <c:v>19.091999999999999</c:v>
                </c:pt>
                <c:pt idx="2167">
                  <c:v>18.995999999999999</c:v>
                </c:pt>
                <c:pt idx="2168">
                  <c:v>18.995999999999999</c:v>
                </c:pt>
                <c:pt idx="2169">
                  <c:v>18.995999999999999</c:v>
                </c:pt>
                <c:pt idx="2170">
                  <c:v>18.995999999999999</c:v>
                </c:pt>
                <c:pt idx="2171">
                  <c:v>18.806000000000001</c:v>
                </c:pt>
                <c:pt idx="2172">
                  <c:v>18.710999999999999</c:v>
                </c:pt>
                <c:pt idx="2173">
                  <c:v>18.901</c:v>
                </c:pt>
                <c:pt idx="2174">
                  <c:v>18.806000000000001</c:v>
                </c:pt>
                <c:pt idx="2175">
                  <c:v>18.806000000000001</c:v>
                </c:pt>
                <c:pt idx="2176">
                  <c:v>18.806000000000001</c:v>
                </c:pt>
                <c:pt idx="2177">
                  <c:v>18.710999999999999</c:v>
                </c:pt>
                <c:pt idx="2178">
                  <c:v>18.710999999999999</c:v>
                </c:pt>
                <c:pt idx="2179">
                  <c:v>18.616</c:v>
                </c:pt>
                <c:pt idx="2180">
                  <c:v>18.425999999999981</c:v>
                </c:pt>
                <c:pt idx="2181">
                  <c:v>18.521000000000001</c:v>
                </c:pt>
                <c:pt idx="2182">
                  <c:v>18.425999999999981</c:v>
                </c:pt>
                <c:pt idx="2183">
                  <c:v>18.425999999999981</c:v>
                </c:pt>
                <c:pt idx="2184">
                  <c:v>18.331</c:v>
                </c:pt>
                <c:pt idx="2185">
                  <c:v>18.331</c:v>
                </c:pt>
                <c:pt idx="2186">
                  <c:v>18.331</c:v>
                </c:pt>
                <c:pt idx="2187">
                  <c:v>18.236000000000001</c:v>
                </c:pt>
                <c:pt idx="2188">
                  <c:v>18.236000000000001</c:v>
                </c:pt>
                <c:pt idx="2189">
                  <c:v>18.236000000000001</c:v>
                </c:pt>
                <c:pt idx="2190">
                  <c:v>18.236000000000001</c:v>
                </c:pt>
                <c:pt idx="2191">
                  <c:v>18.236000000000001</c:v>
                </c:pt>
                <c:pt idx="2192">
                  <c:v>18.236000000000001</c:v>
                </c:pt>
                <c:pt idx="2193">
                  <c:v>18.236000000000001</c:v>
                </c:pt>
                <c:pt idx="2194">
                  <c:v>18.236000000000001</c:v>
                </c:pt>
                <c:pt idx="2195">
                  <c:v>18.236000000000001</c:v>
                </c:pt>
                <c:pt idx="2196">
                  <c:v>18.236000000000001</c:v>
                </c:pt>
                <c:pt idx="2197">
                  <c:v>18.14</c:v>
                </c:pt>
                <c:pt idx="2198">
                  <c:v>18.14</c:v>
                </c:pt>
                <c:pt idx="2199">
                  <c:v>18.14</c:v>
                </c:pt>
                <c:pt idx="2200">
                  <c:v>18.14</c:v>
                </c:pt>
                <c:pt idx="2201">
                  <c:v>18.045000000000002</c:v>
                </c:pt>
                <c:pt idx="2202">
                  <c:v>18.045000000000002</c:v>
                </c:pt>
                <c:pt idx="2203">
                  <c:v>17.95</c:v>
                </c:pt>
                <c:pt idx="2204">
                  <c:v>18.045000000000002</c:v>
                </c:pt>
                <c:pt idx="2205">
                  <c:v>17.95</c:v>
                </c:pt>
                <c:pt idx="2206">
                  <c:v>17.95</c:v>
                </c:pt>
                <c:pt idx="2207">
                  <c:v>17.855</c:v>
                </c:pt>
                <c:pt idx="2208">
                  <c:v>17.760000000000002</c:v>
                </c:pt>
                <c:pt idx="2209">
                  <c:v>17.95</c:v>
                </c:pt>
                <c:pt idx="2210">
                  <c:v>17.95</c:v>
                </c:pt>
                <c:pt idx="2211">
                  <c:v>17.855</c:v>
                </c:pt>
                <c:pt idx="2212">
                  <c:v>17.760000000000002</c:v>
                </c:pt>
                <c:pt idx="2213">
                  <c:v>17.760000000000002</c:v>
                </c:pt>
                <c:pt idx="2214">
                  <c:v>17.664999999999999</c:v>
                </c:pt>
                <c:pt idx="2215">
                  <c:v>17.760000000000002</c:v>
                </c:pt>
                <c:pt idx="2216">
                  <c:v>17.760000000000002</c:v>
                </c:pt>
                <c:pt idx="2217">
                  <c:v>17.664999999999999</c:v>
                </c:pt>
                <c:pt idx="2218">
                  <c:v>17.664999999999999</c:v>
                </c:pt>
                <c:pt idx="2219">
                  <c:v>17.57</c:v>
                </c:pt>
                <c:pt idx="2220">
                  <c:v>17.475000000000001</c:v>
                </c:pt>
                <c:pt idx="2221">
                  <c:v>17.57</c:v>
                </c:pt>
                <c:pt idx="2222">
                  <c:v>17.475000000000001</c:v>
                </c:pt>
                <c:pt idx="2223">
                  <c:v>17.475000000000001</c:v>
                </c:pt>
                <c:pt idx="2224">
                  <c:v>17.475000000000001</c:v>
                </c:pt>
                <c:pt idx="2225">
                  <c:v>17.475000000000001</c:v>
                </c:pt>
                <c:pt idx="2226">
                  <c:v>17.283999999999999</c:v>
                </c:pt>
                <c:pt idx="2227">
                  <c:v>17.283999999999999</c:v>
                </c:pt>
                <c:pt idx="2228">
                  <c:v>17.283999999999999</c:v>
                </c:pt>
                <c:pt idx="2229">
                  <c:v>17.094000000000001</c:v>
                </c:pt>
                <c:pt idx="2230">
                  <c:v>17.189</c:v>
                </c:pt>
                <c:pt idx="2231">
                  <c:v>17.094000000000001</c:v>
                </c:pt>
                <c:pt idx="2232">
                  <c:v>16.998999999999999</c:v>
                </c:pt>
                <c:pt idx="2233">
                  <c:v>17.094000000000001</c:v>
                </c:pt>
                <c:pt idx="2234">
                  <c:v>17.094000000000001</c:v>
                </c:pt>
                <c:pt idx="2235">
                  <c:v>17.094000000000001</c:v>
                </c:pt>
                <c:pt idx="2236">
                  <c:v>17.094000000000001</c:v>
                </c:pt>
                <c:pt idx="2237">
                  <c:v>17.189</c:v>
                </c:pt>
                <c:pt idx="2238">
                  <c:v>17.283999999999999</c:v>
                </c:pt>
                <c:pt idx="2239">
                  <c:v>17.283999999999999</c:v>
                </c:pt>
                <c:pt idx="2240">
                  <c:v>17.475000000000001</c:v>
                </c:pt>
                <c:pt idx="2241">
                  <c:v>17.664999999999999</c:v>
                </c:pt>
                <c:pt idx="2242">
                  <c:v>17.760000000000002</c:v>
                </c:pt>
                <c:pt idx="2243">
                  <c:v>17.760000000000002</c:v>
                </c:pt>
                <c:pt idx="2244">
                  <c:v>17.855</c:v>
                </c:pt>
                <c:pt idx="2245">
                  <c:v>17.95</c:v>
                </c:pt>
                <c:pt idx="2246">
                  <c:v>18.236000000000001</c:v>
                </c:pt>
                <c:pt idx="2247">
                  <c:v>18.425999999999981</c:v>
                </c:pt>
                <c:pt idx="2248">
                  <c:v>18.425999999999981</c:v>
                </c:pt>
                <c:pt idx="2249">
                  <c:v>18.425999999999981</c:v>
                </c:pt>
                <c:pt idx="2250">
                  <c:v>18.331</c:v>
                </c:pt>
                <c:pt idx="2251">
                  <c:v>18.425999999999981</c:v>
                </c:pt>
                <c:pt idx="2252">
                  <c:v>18.521000000000001</c:v>
                </c:pt>
                <c:pt idx="2253">
                  <c:v>18.995999999999999</c:v>
                </c:pt>
                <c:pt idx="2254">
                  <c:v>18.995999999999999</c:v>
                </c:pt>
                <c:pt idx="2255">
                  <c:v>19.187000000000001</c:v>
                </c:pt>
                <c:pt idx="2256">
                  <c:v>19.661999999999999</c:v>
                </c:pt>
                <c:pt idx="2257">
                  <c:v>19.282</c:v>
                </c:pt>
                <c:pt idx="2258">
                  <c:v>19.661999999999999</c:v>
                </c:pt>
                <c:pt idx="2259">
                  <c:v>19.853000000000009</c:v>
                </c:pt>
                <c:pt idx="2260">
                  <c:v>20.138000000000009</c:v>
                </c:pt>
                <c:pt idx="2261">
                  <c:v>20.138000000000009</c:v>
                </c:pt>
                <c:pt idx="2262">
                  <c:v>19.853000000000009</c:v>
                </c:pt>
                <c:pt idx="2263">
                  <c:v>19.567</c:v>
                </c:pt>
                <c:pt idx="2264">
                  <c:v>19.567</c:v>
                </c:pt>
                <c:pt idx="2265">
                  <c:v>19.567</c:v>
                </c:pt>
                <c:pt idx="2266">
                  <c:v>19.567</c:v>
                </c:pt>
                <c:pt idx="2267">
                  <c:v>19.567</c:v>
                </c:pt>
                <c:pt idx="2268">
                  <c:v>19.661999999999999</c:v>
                </c:pt>
                <c:pt idx="2269">
                  <c:v>19.567</c:v>
                </c:pt>
                <c:pt idx="2270">
                  <c:v>19.376999999999999</c:v>
                </c:pt>
                <c:pt idx="2271">
                  <c:v>19.282</c:v>
                </c:pt>
                <c:pt idx="2272">
                  <c:v>19.187000000000001</c:v>
                </c:pt>
                <c:pt idx="2273">
                  <c:v>19.187000000000001</c:v>
                </c:pt>
                <c:pt idx="2274">
                  <c:v>19.187000000000001</c:v>
                </c:pt>
                <c:pt idx="2275">
                  <c:v>19.091999999999999</c:v>
                </c:pt>
                <c:pt idx="2276">
                  <c:v>18.995999999999999</c:v>
                </c:pt>
                <c:pt idx="2277">
                  <c:v>19.091999999999999</c:v>
                </c:pt>
                <c:pt idx="2278">
                  <c:v>18.995999999999999</c:v>
                </c:pt>
                <c:pt idx="2279">
                  <c:v>18.901</c:v>
                </c:pt>
                <c:pt idx="2280">
                  <c:v>18.806000000000001</c:v>
                </c:pt>
                <c:pt idx="2281">
                  <c:v>18.616</c:v>
                </c:pt>
                <c:pt idx="2282">
                  <c:v>18.616</c:v>
                </c:pt>
                <c:pt idx="2283">
                  <c:v>18.710999999999999</c:v>
                </c:pt>
                <c:pt idx="2284">
                  <c:v>18.616</c:v>
                </c:pt>
                <c:pt idx="2285">
                  <c:v>18.616</c:v>
                </c:pt>
                <c:pt idx="2286">
                  <c:v>18.616</c:v>
                </c:pt>
                <c:pt idx="2287">
                  <c:v>18.616</c:v>
                </c:pt>
                <c:pt idx="2288">
                  <c:v>18.616</c:v>
                </c:pt>
                <c:pt idx="2289">
                  <c:v>18.616</c:v>
                </c:pt>
                <c:pt idx="2290">
                  <c:v>18.616</c:v>
                </c:pt>
                <c:pt idx="2291">
                  <c:v>18.616</c:v>
                </c:pt>
                <c:pt idx="2292">
                  <c:v>18.616</c:v>
                </c:pt>
                <c:pt idx="2293">
                  <c:v>18.521000000000001</c:v>
                </c:pt>
                <c:pt idx="2294">
                  <c:v>18.521000000000001</c:v>
                </c:pt>
                <c:pt idx="2295">
                  <c:v>18.521000000000001</c:v>
                </c:pt>
                <c:pt idx="2296">
                  <c:v>18.425999999999981</c:v>
                </c:pt>
                <c:pt idx="2297">
                  <c:v>18.425999999999981</c:v>
                </c:pt>
                <c:pt idx="2298">
                  <c:v>18.331</c:v>
                </c:pt>
                <c:pt idx="2299">
                  <c:v>18.14</c:v>
                </c:pt>
                <c:pt idx="2300">
                  <c:v>18.236000000000001</c:v>
                </c:pt>
                <c:pt idx="2301">
                  <c:v>17.95</c:v>
                </c:pt>
                <c:pt idx="2302">
                  <c:v>18.045000000000002</c:v>
                </c:pt>
                <c:pt idx="2303">
                  <c:v>17.95</c:v>
                </c:pt>
                <c:pt idx="2304">
                  <c:v>17.95</c:v>
                </c:pt>
                <c:pt idx="2305">
                  <c:v>17.760000000000002</c:v>
                </c:pt>
                <c:pt idx="2306">
                  <c:v>17.760000000000002</c:v>
                </c:pt>
                <c:pt idx="2307">
                  <c:v>17.760000000000002</c:v>
                </c:pt>
                <c:pt idx="2308">
                  <c:v>17.664999999999999</c:v>
                </c:pt>
                <c:pt idx="2309">
                  <c:v>17.760000000000002</c:v>
                </c:pt>
                <c:pt idx="2310">
                  <c:v>17.57</c:v>
                </c:pt>
                <c:pt idx="2311">
                  <c:v>17.664999999999999</c:v>
                </c:pt>
                <c:pt idx="2312">
                  <c:v>17.760000000000002</c:v>
                </c:pt>
                <c:pt idx="2313">
                  <c:v>17.664999999999999</c:v>
                </c:pt>
                <c:pt idx="2314">
                  <c:v>17.57</c:v>
                </c:pt>
                <c:pt idx="2315">
                  <c:v>17.57</c:v>
                </c:pt>
                <c:pt idx="2316">
                  <c:v>17.475000000000001</c:v>
                </c:pt>
                <c:pt idx="2317">
                  <c:v>17.379000000000001</c:v>
                </c:pt>
                <c:pt idx="2318">
                  <c:v>17.379000000000001</c:v>
                </c:pt>
                <c:pt idx="2319">
                  <c:v>17.283999999999999</c:v>
                </c:pt>
                <c:pt idx="2320">
                  <c:v>17.283999999999999</c:v>
                </c:pt>
                <c:pt idx="2321">
                  <c:v>17.189</c:v>
                </c:pt>
                <c:pt idx="2322">
                  <c:v>17.189</c:v>
                </c:pt>
                <c:pt idx="2323">
                  <c:v>16.998999999999999</c:v>
                </c:pt>
                <c:pt idx="2324">
                  <c:v>17.094000000000001</c:v>
                </c:pt>
                <c:pt idx="2325">
                  <c:v>17.094000000000001</c:v>
                </c:pt>
                <c:pt idx="2326">
                  <c:v>17.094000000000001</c:v>
                </c:pt>
                <c:pt idx="2327">
                  <c:v>17.094000000000001</c:v>
                </c:pt>
                <c:pt idx="2328">
                  <c:v>16.998999999999999</c:v>
                </c:pt>
                <c:pt idx="2329">
                  <c:v>16.902999999999999</c:v>
                </c:pt>
                <c:pt idx="2330">
                  <c:v>16.902999999999999</c:v>
                </c:pt>
                <c:pt idx="2331">
                  <c:v>16.808</c:v>
                </c:pt>
                <c:pt idx="2332">
                  <c:v>16.902999999999999</c:v>
                </c:pt>
                <c:pt idx="2333">
                  <c:v>16.998999999999999</c:v>
                </c:pt>
                <c:pt idx="2334">
                  <c:v>17.094000000000001</c:v>
                </c:pt>
                <c:pt idx="2335">
                  <c:v>17.379000000000001</c:v>
                </c:pt>
                <c:pt idx="2336">
                  <c:v>17.760000000000002</c:v>
                </c:pt>
                <c:pt idx="2337">
                  <c:v>17.664999999999999</c:v>
                </c:pt>
                <c:pt idx="2338">
                  <c:v>17.664999999999999</c:v>
                </c:pt>
                <c:pt idx="2339">
                  <c:v>17.760000000000002</c:v>
                </c:pt>
                <c:pt idx="2340">
                  <c:v>17.855</c:v>
                </c:pt>
                <c:pt idx="2341">
                  <c:v>17.95</c:v>
                </c:pt>
                <c:pt idx="2342">
                  <c:v>18.901</c:v>
                </c:pt>
                <c:pt idx="2343">
                  <c:v>18.521000000000001</c:v>
                </c:pt>
                <c:pt idx="2344">
                  <c:v>18.616</c:v>
                </c:pt>
                <c:pt idx="2345">
                  <c:v>18.616</c:v>
                </c:pt>
                <c:pt idx="2346">
                  <c:v>18.616</c:v>
                </c:pt>
                <c:pt idx="2347">
                  <c:v>18.806000000000001</c:v>
                </c:pt>
                <c:pt idx="2348">
                  <c:v>18.901</c:v>
                </c:pt>
                <c:pt idx="2349">
                  <c:v>19.187000000000001</c:v>
                </c:pt>
                <c:pt idx="2350">
                  <c:v>19.282</c:v>
                </c:pt>
                <c:pt idx="2351">
                  <c:v>19.661999999999999</c:v>
                </c:pt>
                <c:pt idx="2352">
                  <c:v>19.757999999999999</c:v>
                </c:pt>
                <c:pt idx="2353">
                  <c:v>19.376999999999999</c:v>
                </c:pt>
                <c:pt idx="2354">
                  <c:v>19.661999999999999</c:v>
                </c:pt>
                <c:pt idx="2355">
                  <c:v>19.472000000000001</c:v>
                </c:pt>
                <c:pt idx="2356">
                  <c:v>20.138000000000009</c:v>
                </c:pt>
                <c:pt idx="2357">
                  <c:v>20.138000000000009</c:v>
                </c:pt>
                <c:pt idx="2358">
                  <c:v>19.757999999999999</c:v>
                </c:pt>
                <c:pt idx="2359">
                  <c:v>19.567</c:v>
                </c:pt>
                <c:pt idx="2360">
                  <c:v>19.567</c:v>
                </c:pt>
                <c:pt idx="2361">
                  <c:v>19.567</c:v>
                </c:pt>
                <c:pt idx="2362">
                  <c:v>19.567</c:v>
                </c:pt>
                <c:pt idx="2363">
                  <c:v>19.567</c:v>
                </c:pt>
                <c:pt idx="2364">
                  <c:v>19.567</c:v>
                </c:pt>
                <c:pt idx="2365">
                  <c:v>19.567</c:v>
                </c:pt>
                <c:pt idx="2366">
                  <c:v>19.472000000000001</c:v>
                </c:pt>
                <c:pt idx="2367">
                  <c:v>19.472000000000001</c:v>
                </c:pt>
                <c:pt idx="2368">
                  <c:v>19.376999999999999</c:v>
                </c:pt>
                <c:pt idx="2369">
                  <c:v>19.376999999999999</c:v>
                </c:pt>
                <c:pt idx="2370">
                  <c:v>19.282</c:v>
                </c:pt>
                <c:pt idx="2371">
                  <c:v>19.282</c:v>
                </c:pt>
                <c:pt idx="2372">
                  <c:v>19.282</c:v>
                </c:pt>
                <c:pt idx="2373">
                  <c:v>19.282</c:v>
                </c:pt>
                <c:pt idx="2374">
                  <c:v>19.187000000000001</c:v>
                </c:pt>
                <c:pt idx="2375">
                  <c:v>19.091999999999999</c:v>
                </c:pt>
                <c:pt idx="2376">
                  <c:v>19.091999999999999</c:v>
                </c:pt>
                <c:pt idx="2377">
                  <c:v>18.995999999999999</c:v>
                </c:pt>
                <c:pt idx="2378">
                  <c:v>18.901</c:v>
                </c:pt>
                <c:pt idx="2379">
                  <c:v>18.806000000000001</c:v>
                </c:pt>
                <c:pt idx="2380">
                  <c:v>18.710999999999999</c:v>
                </c:pt>
                <c:pt idx="2381">
                  <c:v>18.710999999999999</c:v>
                </c:pt>
                <c:pt idx="2382">
                  <c:v>18.616</c:v>
                </c:pt>
                <c:pt idx="2383">
                  <c:v>18.521000000000001</c:v>
                </c:pt>
                <c:pt idx="2384">
                  <c:v>18.425999999999981</c:v>
                </c:pt>
                <c:pt idx="2385">
                  <c:v>18.425999999999981</c:v>
                </c:pt>
                <c:pt idx="2386">
                  <c:v>18.236000000000001</c:v>
                </c:pt>
                <c:pt idx="2387">
                  <c:v>18.14</c:v>
                </c:pt>
                <c:pt idx="2388">
                  <c:v>18.236000000000001</c:v>
                </c:pt>
                <c:pt idx="2389">
                  <c:v>18.236000000000001</c:v>
                </c:pt>
                <c:pt idx="2390">
                  <c:v>18.236000000000001</c:v>
                </c:pt>
                <c:pt idx="2391">
                  <c:v>18.236000000000001</c:v>
                </c:pt>
                <c:pt idx="2392">
                  <c:v>18.236000000000001</c:v>
                </c:pt>
                <c:pt idx="2393">
                  <c:v>18.236000000000001</c:v>
                </c:pt>
                <c:pt idx="2394">
                  <c:v>18.14</c:v>
                </c:pt>
                <c:pt idx="2395">
                  <c:v>18.14</c:v>
                </c:pt>
                <c:pt idx="2396">
                  <c:v>18.14</c:v>
                </c:pt>
                <c:pt idx="2397">
                  <c:v>18.045000000000002</c:v>
                </c:pt>
                <c:pt idx="2398">
                  <c:v>18.045000000000002</c:v>
                </c:pt>
                <c:pt idx="2399">
                  <c:v>18.045000000000002</c:v>
                </c:pt>
                <c:pt idx="2400">
                  <c:v>18.045000000000002</c:v>
                </c:pt>
                <c:pt idx="2401">
                  <c:v>17.855</c:v>
                </c:pt>
                <c:pt idx="2402">
                  <c:v>17.855</c:v>
                </c:pt>
                <c:pt idx="2403">
                  <c:v>17.760000000000002</c:v>
                </c:pt>
                <c:pt idx="2404">
                  <c:v>17.760000000000002</c:v>
                </c:pt>
                <c:pt idx="2405">
                  <c:v>17.664999999999999</c:v>
                </c:pt>
                <c:pt idx="2406">
                  <c:v>17.760000000000002</c:v>
                </c:pt>
                <c:pt idx="2407">
                  <c:v>17.760000000000002</c:v>
                </c:pt>
                <c:pt idx="2408">
                  <c:v>17.57</c:v>
                </c:pt>
                <c:pt idx="2409">
                  <c:v>17.57</c:v>
                </c:pt>
                <c:pt idx="2410">
                  <c:v>17.475000000000001</c:v>
                </c:pt>
                <c:pt idx="2411">
                  <c:v>17.475000000000001</c:v>
                </c:pt>
                <c:pt idx="2412">
                  <c:v>17.379000000000001</c:v>
                </c:pt>
                <c:pt idx="2413">
                  <c:v>17.379000000000001</c:v>
                </c:pt>
                <c:pt idx="2414">
                  <c:v>17.189</c:v>
                </c:pt>
                <c:pt idx="2415">
                  <c:v>17.283999999999999</c:v>
                </c:pt>
                <c:pt idx="2416">
                  <c:v>17.379000000000001</c:v>
                </c:pt>
                <c:pt idx="2417">
                  <c:v>17.189</c:v>
                </c:pt>
                <c:pt idx="2418">
                  <c:v>17.283999999999999</c:v>
                </c:pt>
                <c:pt idx="2419">
                  <c:v>17.189</c:v>
                </c:pt>
                <c:pt idx="2420">
                  <c:v>17.189</c:v>
                </c:pt>
                <c:pt idx="2421">
                  <c:v>17.189</c:v>
                </c:pt>
                <c:pt idx="2422">
                  <c:v>17.189</c:v>
                </c:pt>
                <c:pt idx="2423">
                  <c:v>17.189</c:v>
                </c:pt>
                <c:pt idx="2424">
                  <c:v>16.998999999999999</c:v>
                </c:pt>
                <c:pt idx="2425">
                  <c:v>17.094000000000001</c:v>
                </c:pt>
                <c:pt idx="2426">
                  <c:v>17.094000000000001</c:v>
                </c:pt>
                <c:pt idx="2427">
                  <c:v>16.998999999999999</c:v>
                </c:pt>
                <c:pt idx="2428">
                  <c:v>16.998999999999999</c:v>
                </c:pt>
                <c:pt idx="2429">
                  <c:v>17.094000000000001</c:v>
                </c:pt>
                <c:pt idx="2430">
                  <c:v>17.094000000000001</c:v>
                </c:pt>
                <c:pt idx="2431">
                  <c:v>17.283999999999999</c:v>
                </c:pt>
                <c:pt idx="2432">
                  <c:v>17.475000000000001</c:v>
                </c:pt>
                <c:pt idx="2433">
                  <c:v>17.57</c:v>
                </c:pt>
                <c:pt idx="2434">
                  <c:v>17.664999999999999</c:v>
                </c:pt>
                <c:pt idx="2435">
                  <c:v>17.855</c:v>
                </c:pt>
                <c:pt idx="2436">
                  <c:v>17.95</c:v>
                </c:pt>
                <c:pt idx="2437">
                  <c:v>18.045000000000002</c:v>
                </c:pt>
                <c:pt idx="2438">
                  <c:v>18.901</c:v>
                </c:pt>
                <c:pt idx="2439">
                  <c:v>18.521000000000001</c:v>
                </c:pt>
                <c:pt idx="2440">
                  <c:v>18.616</c:v>
                </c:pt>
                <c:pt idx="2441">
                  <c:v>18.616</c:v>
                </c:pt>
                <c:pt idx="2442">
                  <c:v>18.710999999999999</c:v>
                </c:pt>
                <c:pt idx="2443">
                  <c:v>18.710999999999999</c:v>
                </c:pt>
                <c:pt idx="2444">
                  <c:v>18.995999999999999</c:v>
                </c:pt>
                <c:pt idx="2445">
                  <c:v>19.282</c:v>
                </c:pt>
                <c:pt idx="2446">
                  <c:v>19.376999999999999</c:v>
                </c:pt>
                <c:pt idx="2447">
                  <c:v>19.853000000000009</c:v>
                </c:pt>
                <c:pt idx="2448">
                  <c:v>19.757999999999999</c:v>
                </c:pt>
                <c:pt idx="2449">
                  <c:v>19.567</c:v>
                </c:pt>
                <c:pt idx="2450">
                  <c:v>19.661999999999999</c:v>
                </c:pt>
                <c:pt idx="2451">
                  <c:v>19.853000000000009</c:v>
                </c:pt>
                <c:pt idx="2452">
                  <c:v>20.329000000000001</c:v>
                </c:pt>
                <c:pt idx="2453">
                  <c:v>20.138000000000009</c:v>
                </c:pt>
                <c:pt idx="2454">
                  <c:v>19.757999999999999</c:v>
                </c:pt>
                <c:pt idx="2455">
                  <c:v>19.661999999999999</c:v>
                </c:pt>
                <c:pt idx="2456">
                  <c:v>19.661999999999999</c:v>
                </c:pt>
                <c:pt idx="2457">
                  <c:v>19.661999999999999</c:v>
                </c:pt>
                <c:pt idx="2458">
                  <c:v>19.661999999999999</c:v>
                </c:pt>
                <c:pt idx="2459">
                  <c:v>19.757999999999999</c:v>
                </c:pt>
                <c:pt idx="2460">
                  <c:v>19.757999999999999</c:v>
                </c:pt>
                <c:pt idx="2461">
                  <c:v>19.757999999999999</c:v>
                </c:pt>
                <c:pt idx="2462">
                  <c:v>19.661999999999999</c:v>
                </c:pt>
                <c:pt idx="2463">
                  <c:v>19.567</c:v>
                </c:pt>
                <c:pt idx="2464">
                  <c:v>19.567</c:v>
                </c:pt>
                <c:pt idx="2465">
                  <c:v>19.567</c:v>
                </c:pt>
                <c:pt idx="2466">
                  <c:v>19.472000000000001</c:v>
                </c:pt>
                <c:pt idx="2467">
                  <c:v>19.472000000000001</c:v>
                </c:pt>
                <c:pt idx="2468">
                  <c:v>19.376999999999999</c:v>
                </c:pt>
                <c:pt idx="2469">
                  <c:v>19.376999999999999</c:v>
                </c:pt>
                <c:pt idx="2470">
                  <c:v>19.282</c:v>
                </c:pt>
                <c:pt idx="2471">
                  <c:v>19.282</c:v>
                </c:pt>
                <c:pt idx="2472">
                  <c:v>19.187000000000001</c:v>
                </c:pt>
                <c:pt idx="2473">
                  <c:v>19.091999999999999</c:v>
                </c:pt>
                <c:pt idx="2474">
                  <c:v>18.995999999999999</c:v>
                </c:pt>
                <c:pt idx="2475">
                  <c:v>18.901</c:v>
                </c:pt>
                <c:pt idx="2476">
                  <c:v>18.806000000000001</c:v>
                </c:pt>
                <c:pt idx="2477">
                  <c:v>18.806000000000001</c:v>
                </c:pt>
                <c:pt idx="2478">
                  <c:v>18.710999999999999</c:v>
                </c:pt>
                <c:pt idx="2479">
                  <c:v>18.616</c:v>
                </c:pt>
                <c:pt idx="2480">
                  <c:v>18.521000000000001</c:v>
                </c:pt>
                <c:pt idx="2481">
                  <c:v>18.521000000000001</c:v>
                </c:pt>
                <c:pt idx="2482">
                  <c:v>18.521000000000001</c:v>
                </c:pt>
                <c:pt idx="2483">
                  <c:v>18.425999999999981</c:v>
                </c:pt>
                <c:pt idx="2484">
                  <c:v>18.425999999999981</c:v>
                </c:pt>
                <c:pt idx="2485">
                  <c:v>18.331</c:v>
                </c:pt>
                <c:pt idx="2486">
                  <c:v>18.331</c:v>
                </c:pt>
                <c:pt idx="2487">
                  <c:v>18.331</c:v>
                </c:pt>
                <c:pt idx="2488">
                  <c:v>18.236000000000001</c:v>
                </c:pt>
                <c:pt idx="2489">
                  <c:v>18.14</c:v>
                </c:pt>
                <c:pt idx="2490">
                  <c:v>18.236000000000001</c:v>
                </c:pt>
                <c:pt idx="2491">
                  <c:v>18.045000000000002</c:v>
                </c:pt>
                <c:pt idx="2492">
                  <c:v>18.14</c:v>
                </c:pt>
                <c:pt idx="2493">
                  <c:v>18.045000000000002</c:v>
                </c:pt>
                <c:pt idx="2494">
                  <c:v>17.95</c:v>
                </c:pt>
                <c:pt idx="2495">
                  <c:v>17.95</c:v>
                </c:pt>
                <c:pt idx="2496">
                  <c:v>17.95</c:v>
                </c:pt>
                <c:pt idx="2497">
                  <c:v>17.855</c:v>
                </c:pt>
                <c:pt idx="2498">
                  <c:v>17.95</c:v>
                </c:pt>
                <c:pt idx="2499">
                  <c:v>17.760000000000002</c:v>
                </c:pt>
                <c:pt idx="2500">
                  <c:v>17.760000000000002</c:v>
                </c:pt>
                <c:pt idx="2501">
                  <c:v>17.760000000000002</c:v>
                </c:pt>
                <c:pt idx="2502">
                  <c:v>17.664999999999999</c:v>
                </c:pt>
                <c:pt idx="2503">
                  <c:v>17.760000000000002</c:v>
                </c:pt>
                <c:pt idx="2504">
                  <c:v>17.760000000000002</c:v>
                </c:pt>
                <c:pt idx="2505">
                  <c:v>17.664999999999999</c:v>
                </c:pt>
                <c:pt idx="2506">
                  <c:v>17.664999999999999</c:v>
                </c:pt>
                <c:pt idx="2507">
                  <c:v>17.57</c:v>
                </c:pt>
                <c:pt idx="2508">
                  <c:v>17.57</c:v>
                </c:pt>
                <c:pt idx="2509">
                  <c:v>17.57</c:v>
                </c:pt>
                <c:pt idx="2510">
                  <c:v>17.57</c:v>
                </c:pt>
                <c:pt idx="2511">
                  <c:v>17.475000000000001</c:v>
                </c:pt>
                <c:pt idx="2512">
                  <c:v>17.283999999999999</c:v>
                </c:pt>
                <c:pt idx="2513">
                  <c:v>17.379000000000001</c:v>
                </c:pt>
                <c:pt idx="2514">
                  <c:v>17.283999999999999</c:v>
                </c:pt>
                <c:pt idx="2515">
                  <c:v>17.189</c:v>
                </c:pt>
                <c:pt idx="2516">
                  <c:v>17.189</c:v>
                </c:pt>
                <c:pt idx="2517">
                  <c:v>17.094000000000001</c:v>
                </c:pt>
                <c:pt idx="2518">
                  <c:v>17.094000000000001</c:v>
                </c:pt>
                <c:pt idx="2519">
                  <c:v>17.094000000000001</c:v>
                </c:pt>
                <c:pt idx="2520">
                  <c:v>17.189</c:v>
                </c:pt>
                <c:pt idx="2521">
                  <c:v>17.094000000000001</c:v>
                </c:pt>
                <c:pt idx="2522">
                  <c:v>17.094000000000001</c:v>
                </c:pt>
                <c:pt idx="2523">
                  <c:v>17.094000000000001</c:v>
                </c:pt>
                <c:pt idx="2524">
                  <c:v>17.094000000000001</c:v>
                </c:pt>
                <c:pt idx="2525">
                  <c:v>17.094000000000001</c:v>
                </c:pt>
                <c:pt idx="2526">
                  <c:v>17.189</c:v>
                </c:pt>
                <c:pt idx="2527">
                  <c:v>17.283999999999999</c:v>
                </c:pt>
                <c:pt idx="2528">
                  <c:v>17.760000000000002</c:v>
                </c:pt>
                <c:pt idx="2529">
                  <c:v>17.760000000000002</c:v>
                </c:pt>
                <c:pt idx="2530">
                  <c:v>17.760000000000002</c:v>
                </c:pt>
                <c:pt idx="2531">
                  <c:v>17.855</c:v>
                </c:pt>
                <c:pt idx="2532">
                  <c:v>18.045000000000002</c:v>
                </c:pt>
                <c:pt idx="2533">
                  <c:v>18.14</c:v>
                </c:pt>
                <c:pt idx="2534">
                  <c:v>18.425999999999981</c:v>
                </c:pt>
                <c:pt idx="2535">
                  <c:v>18.616</c:v>
                </c:pt>
                <c:pt idx="2536">
                  <c:v>18.806000000000001</c:v>
                </c:pt>
                <c:pt idx="2537">
                  <c:v>18.710999999999999</c:v>
                </c:pt>
                <c:pt idx="2538">
                  <c:v>18.901</c:v>
                </c:pt>
                <c:pt idx="2539">
                  <c:v>18.901</c:v>
                </c:pt>
                <c:pt idx="2540">
                  <c:v>18.995999999999999</c:v>
                </c:pt>
                <c:pt idx="2541">
                  <c:v>19.567</c:v>
                </c:pt>
                <c:pt idx="2542">
                  <c:v>19.757999999999999</c:v>
                </c:pt>
                <c:pt idx="2543">
                  <c:v>20.234000000000009</c:v>
                </c:pt>
                <c:pt idx="2544">
                  <c:v>19.567</c:v>
                </c:pt>
                <c:pt idx="2545">
                  <c:v>19.567</c:v>
                </c:pt>
                <c:pt idx="2546">
                  <c:v>19.757999999999999</c:v>
                </c:pt>
                <c:pt idx="2547">
                  <c:v>19.757999999999999</c:v>
                </c:pt>
                <c:pt idx="2548">
                  <c:v>20.042999999999999</c:v>
                </c:pt>
                <c:pt idx="2549">
                  <c:v>19.853000000000009</c:v>
                </c:pt>
                <c:pt idx="2550">
                  <c:v>19.757999999999999</c:v>
                </c:pt>
                <c:pt idx="2551">
                  <c:v>19.757999999999999</c:v>
                </c:pt>
                <c:pt idx="2552">
                  <c:v>19.757999999999999</c:v>
                </c:pt>
                <c:pt idx="2553">
                  <c:v>19.757999999999999</c:v>
                </c:pt>
                <c:pt idx="2554">
                  <c:v>19.757999999999999</c:v>
                </c:pt>
                <c:pt idx="2555">
                  <c:v>19.757999999999999</c:v>
                </c:pt>
                <c:pt idx="2556">
                  <c:v>19.757999999999999</c:v>
                </c:pt>
                <c:pt idx="2557">
                  <c:v>19.757999999999999</c:v>
                </c:pt>
                <c:pt idx="2558">
                  <c:v>19.757999999999999</c:v>
                </c:pt>
                <c:pt idx="2559">
                  <c:v>19.661999999999999</c:v>
                </c:pt>
                <c:pt idx="2560">
                  <c:v>19.661999999999999</c:v>
                </c:pt>
                <c:pt idx="2561">
                  <c:v>19.567</c:v>
                </c:pt>
                <c:pt idx="2562">
                  <c:v>19.567</c:v>
                </c:pt>
                <c:pt idx="2563">
                  <c:v>19.567</c:v>
                </c:pt>
                <c:pt idx="2564">
                  <c:v>19.567</c:v>
                </c:pt>
                <c:pt idx="2565">
                  <c:v>19.567</c:v>
                </c:pt>
                <c:pt idx="2566">
                  <c:v>19.472000000000001</c:v>
                </c:pt>
                <c:pt idx="2567">
                  <c:v>19.472000000000001</c:v>
                </c:pt>
                <c:pt idx="2568">
                  <c:v>19.376999999999999</c:v>
                </c:pt>
                <c:pt idx="2569">
                  <c:v>19.282</c:v>
                </c:pt>
                <c:pt idx="2570">
                  <c:v>19.282</c:v>
                </c:pt>
                <c:pt idx="2571">
                  <c:v>19.187000000000001</c:v>
                </c:pt>
                <c:pt idx="2572">
                  <c:v>19.091999999999999</c:v>
                </c:pt>
                <c:pt idx="2573">
                  <c:v>18.995999999999999</c:v>
                </c:pt>
                <c:pt idx="2574">
                  <c:v>18.995999999999999</c:v>
                </c:pt>
                <c:pt idx="2575">
                  <c:v>18.806000000000001</c:v>
                </c:pt>
                <c:pt idx="2576">
                  <c:v>18.806000000000001</c:v>
                </c:pt>
                <c:pt idx="2577">
                  <c:v>18.710999999999999</c:v>
                </c:pt>
                <c:pt idx="2578">
                  <c:v>18.710999999999999</c:v>
                </c:pt>
                <c:pt idx="2579">
                  <c:v>18.616</c:v>
                </c:pt>
                <c:pt idx="2580">
                  <c:v>18.521000000000001</c:v>
                </c:pt>
                <c:pt idx="2581">
                  <c:v>18.616</c:v>
                </c:pt>
                <c:pt idx="2582">
                  <c:v>18.521000000000001</c:v>
                </c:pt>
                <c:pt idx="2583">
                  <c:v>18.425999999999981</c:v>
                </c:pt>
                <c:pt idx="2584">
                  <c:v>18.425999999999981</c:v>
                </c:pt>
                <c:pt idx="2585">
                  <c:v>18.331</c:v>
                </c:pt>
                <c:pt idx="2586">
                  <c:v>18.331</c:v>
                </c:pt>
                <c:pt idx="2587">
                  <c:v>18.236000000000001</c:v>
                </c:pt>
                <c:pt idx="2588">
                  <c:v>18.236000000000001</c:v>
                </c:pt>
                <c:pt idx="2589">
                  <c:v>18.14</c:v>
                </c:pt>
                <c:pt idx="2590">
                  <c:v>18.14</c:v>
                </c:pt>
                <c:pt idx="2591">
                  <c:v>18.045000000000002</c:v>
                </c:pt>
                <c:pt idx="2592">
                  <c:v>18.045000000000002</c:v>
                </c:pt>
                <c:pt idx="2593">
                  <c:v>18.045000000000002</c:v>
                </c:pt>
                <c:pt idx="2594">
                  <c:v>18.045000000000002</c:v>
                </c:pt>
                <c:pt idx="2595">
                  <c:v>17.855</c:v>
                </c:pt>
                <c:pt idx="2596">
                  <c:v>17.95</c:v>
                </c:pt>
                <c:pt idx="2597">
                  <c:v>17.95</c:v>
                </c:pt>
                <c:pt idx="2598">
                  <c:v>17.855</c:v>
                </c:pt>
                <c:pt idx="2599">
                  <c:v>17.855</c:v>
                </c:pt>
                <c:pt idx="2600">
                  <c:v>17.855</c:v>
                </c:pt>
                <c:pt idx="2601">
                  <c:v>17.855</c:v>
                </c:pt>
                <c:pt idx="2602">
                  <c:v>17.664999999999999</c:v>
                </c:pt>
                <c:pt idx="2603">
                  <c:v>17.664999999999999</c:v>
                </c:pt>
                <c:pt idx="2604">
                  <c:v>17.57</c:v>
                </c:pt>
                <c:pt idx="2605">
                  <c:v>17.664999999999999</c:v>
                </c:pt>
                <c:pt idx="2606">
                  <c:v>17.57</c:v>
                </c:pt>
                <c:pt idx="2607">
                  <c:v>17.57</c:v>
                </c:pt>
                <c:pt idx="2608">
                  <c:v>17.475000000000001</c:v>
                </c:pt>
                <c:pt idx="2609">
                  <c:v>17.475000000000001</c:v>
                </c:pt>
                <c:pt idx="2610">
                  <c:v>17.283999999999999</c:v>
                </c:pt>
                <c:pt idx="2611">
                  <c:v>17.379000000000001</c:v>
                </c:pt>
                <c:pt idx="2612">
                  <c:v>17.283999999999999</c:v>
                </c:pt>
                <c:pt idx="2613">
                  <c:v>17.283999999999999</c:v>
                </c:pt>
                <c:pt idx="2614">
                  <c:v>17.189</c:v>
                </c:pt>
                <c:pt idx="2615">
                  <c:v>17.189</c:v>
                </c:pt>
                <c:pt idx="2616">
                  <c:v>16.998999999999999</c:v>
                </c:pt>
                <c:pt idx="2617">
                  <c:v>16.998999999999999</c:v>
                </c:pt>
                <c:pt idx="2618">
                  <c:v>16.998999999999999</c:v>
                </c:pt>
                <c:pt idx="2619">
                  <c:v>17.094000000000001</c:v>
                </c:pt>
                <c:pt idx="2620">
                  <c:v>17.189</c:v>
                </c:pt>
                <c:pt idx="2621">
                  <c:v>17.283999999999999</c:v>
                </c:pt>
                <c:pt idx="2622">
                  <c:v>17.283999999999999</c:v>
                </c:pt>
                <c:pt idx="2623">
                  <c:v>17.57</c:v>
                </c:pt>
                <c:pt idx="2624">
                  <c:v>17.760000000000002</c:v>
                </c:pt>
                <c:pt idx="2625">
                  <c:v>17.855</c:v>
                </c:pt>
                <c:pt idx="2626">
                  <c:v>17.95</c:v>
                </c:pt>
                <c:pt idx="2627">
                  <c:v>18.14</c:v>
                </c:pt>
                <c:pt idx="2628">
                  <c:v>18.236000000000001</c:v>
                </c:pt>
                <c:pt idx="2629">
                  <c:v>18.425999999999981</c:v>
                </c:pt>
                <c:pt idx="2630">
                  <c:v>18.521000000000001</c:v>
                </c:pt>
                <c:pt idx="2631">
                  <c:v>18.710999999999999</c:v>
                </c:pt>
                <c:pt idx="2632">
                  <c:v>18.806000000000001</c:v>
                </c:pt>
                <c:pt idx="2633">
                  <c:v>18.806000000000001</c:v>
                </c:pt>
                <c:pt idx="2634">
                  <c:v>18.995999999999999</c:v>
                </c:pt>
                <c:pt idx="2635">
                  <c:v>19.091999999999999</c:v>
                </c:pt>
                <c:pt idx="2636">
                  <c:v>19.091999999999999</c:v>
                </c:pt>
                <c:pt idx="2637">
                  <c:v>19.757999999999999</c:v>
                </c:pt>
                <c:pt idx="2638">
                  <c:v>20.042999999999999</c:v>
                </c:pt>
                <c:pt idx="2639">
                  <c:v>20.805</c:v>
                </c:pt>
                <c:pt idx="2640">
                  <c:v>20.042999999999999</c:v>
                </c:pt>
                <c:pt idx="2641">
                  <c:v>20.423999999999999</c:v>
                </c:pt>
                <c:pt idx="2642">
                  <c:v>19.757999999999999</c:v>
                </c:pt>
                <c:pt idx="2643">
                  <c:v>19.948</c:v>
                </c:pt>
                <c:pt idx="2644">
                  <c:v>20.042999999999999</c:v>
                </c:pt>
                <c:pt idx="2645">
                  <c:v>19.853000000000009</c:v>
                </c:pt>
                <c:pt idx="2646">
                  <c:v>19.853000000000009</c:v>
                </c:pt>
                <c:pt idx="2647">
                  <c:v>19.853000000000009</c:v>
                </c:pt>
                <c:pt idx="2648">
                  <c:v>19.853000000000009</c:v>
                </c:pt>
                <c:pt idx="2649">
                  <c:v>19.853000000000009</c:v>
                </c:pt>
                <c:pt idx="2650">
                  <c:v>19.757999999999999</c:v>
                </c:pt>
                <c:pt idx="2651">
                  <c:v>19.757999999999999</c:v>
                </c:pt>
                <c:pt idx="2652">
                  <c:v>19.661999999999999</c:v>
                </c:pt>
                <c:pt idx="2653">
                  <c:v>19.661999999999999</c:v>
                </c:pt>
                <c:pt idx="2654">
                  <c:v>19.661999999999999</c:v>
                </c:pt>
                <c:pt idx="2655">
                  <c:v>19.661999999999999</c:v>
                </c:pt>
                <c:pt idx="2656">
                  <c:v>19.661999999999999</c:v>
                </c:pt>
                <c:pt idx="2657">
                  <c:v>19.567</c:v>
                </c:pt>
                <c:pt idx="2658">
                  <c:v>19.661999999999999</c:v>
                </c:pt>
                <c:pt idx="2659">
                  <c:v>19.661999999999999</c:v>
                </c:pt>
                <c:pt idx="2660">
                  <c:v>19.661999999999999</c:v>
                </c:pt>
                <c:pt idx="2661">
                  <c:v>19.661999999999999</c:v>
                </c:pt>
                <c:pt idx="2662">
                  <c:v>19.661999999999999</c:v>
                </c:pt>
                <c:pt idx="2663">
                  <c:v>19.661999999999999</c:v>
                </c:pt>
                <c:pt idx="2664">
                  <c:v>19.567</c:v>
                </c:pt>
                <c:pt idx="2665">
                  <c:v>19.472000000000001</c:v>
                </c:pt>
                <c:pt idx="2666">
                  <c:v>19.472000000000001</c:v>
                </c:pt>
                <c:pt idx="2667">
                  <c:v>19.376999999999999</c:v>
                </c:pt>
                <c:pt idx="2668">
                  <c:v>19.187000000000001</c:v>
                </c:pt>
                <c:pt idx="2669">
                  <c:v>19.187000000000001</c:v>
                </c:pt>
                <c:pt idx="2670">
                  <c:v>19.091999999999999</c:v>
                </c:pt>
                <c:pt idx="2671">
                  <c:v>18.995999999999999</c:v>
                </c:pt>
                <c:pt idx="2672">
                  <c:v>18.995999999999999</c:v>
                </c:pt>
                <c:pt idx="2673">
                  <c:v>18.901</c:v>
                </c:pt>
                <c:pt idx="2674">
                  <c:v>18.901</c:v>
                </c:pt>
                <c:pt idx="2675">
                  <c:v>18.901</c:v>
                </c:pt>
                <c:pt idx="2676">
                  <c:v>18.901</c:v>
                </c:pt>
                <c:pt idx="2677">
                  <c:v>18.806000000000001</c:v>
                </c:pt>
                <c:pt idx="2678">
                  <c:v>18.806000000000001</c:v>
                </c:pt>
                <c:pt idx="2679">
                  <c:v>18.806000000000001</c:v>
                </c:pt>
                <c:pt idx="2680">
                  <c:v>18.806000000000001</c:v>
                </c:pt>
                <c:pt idx="2681">
                  <c:v>18.616</c:v>
                </c:pt>
                <c:pt idx="2682">
                  <c:v>18.710999999999999</c:v>
                </c:pt>
                <c:pt idx="2683">
                  <c:v>18.616</c:v>
                </c:pt>
                <c:pt idx="2684">
                  <c:v>18.616</c:v>
                </c:pt>
                <c:pt idx="2685">
                  <c:v>18.616</c:v>
                </c:pt>
                <c:pt idx="2686">
                  <c:v>18.521000000000001</c:v>
                </c:pt>
                <c:pt idx="2687">
                  <c:v>18.521000000000001</c:v>
                </c:pt>
                <c:pt idx="2688">
                  <c:v>18.425999999999981</c:v>
                </c:pt>
                <c:pt idx="2689">
                  <c:v>18.521000000000001</c:v>
                </c:pt>
                <c:pt idx="2690">
                  <c:v>18.521000000000001</c:v>
                </c:pt>
                <c:pt idx="2691">
                  <c:v>18.521000000000001</c:v>
                </c:pt>
                <c:pt idx="2692">
                  <c:v>18.425999999999981</c:v>
                </c:pt>
                <c:pt idx="2693">
                  <c:v>18.331</c:v>
                </c:pt>
                <c:pt idx="2694">
                  <c:v>18.331</c:v>
                </c:pt>
                <c:pt idx="2695">
                  <c:v>18.331</c:v>
                </c:pt>
                <c:pt idx="2696">
                  <c:v>18.331</c:v>
                </c:pt>
                <c:pt idx="2697">
                  <c:v>18.331</c:v>
                </c:pt>
                <c:pt idx="2698">
                  <c:v>18.425999999999981</c:v>
                </c:pt>
                <c:pt idx="2699">
                  <c:v>18.236000000000001</c:v>
                </c:pt>
                <c:pt idx="2700">
                  <c:v>18.331</c:v>
                </c:pt>
                <c:pt idx="2701">
                  <c:v>18.331</c:v>
                </c:pt>
                <c:pt idx="2702">
                  <c:v>18.236000000000001</c:v>
                </c:pt>
                <c:pt idx="2703">
                  <c:v>18.331</c:v>
                </c:pt>
                <c:pt idx="2704">
                  <c:v>18.331</c:v>
                </c:pt>
                <c:pt idx="2705">
                  <c:v>18.331</c:v>
                </c:pt>
                <c:pt idx="2706">
                  <c:v>18.331</c:v>
                </c:pt>
                <c:pt idx="2707">
                  <c:v>18.425999999999981</c:v>
                </c:pt>
                <c:pt idx="2708">
                  <c:v>18.425999999999981</c:v>
                </c:pt>
                <c:pt idx="2709">
                  <c:v>18.425999999999981</c:v>
                </c:pt>
                <c:pt idx="2710">
                  <c:v>18.425999999999981</c:v>
                </c:pt>
                <c:pt idx="2711">
                  <c:v>18.331</c:v>
                </c:pt>
                <c:pt idx="2712">
                  <c:v>18.331</c:v>
                </c:pt>
                <c:pt idx="2713">
                  <c:v>18.331</c:v>
                </c:pt>
                <c:pt idx="2714">
                  <c:v>18.236000000000001</c:v>
                </c:pt>
                <c:pt idx="2715">
                  <c:v>18.331</c:v>
                </c:pt>
                <c:pt idx="2716">
                  <c:v>18.425999999999981</c:v>
                </c:pt>
                <c:pt idx="2717">
                  <c:v>18.425999999999981</c:v>
                </c:pt>
                <c:pt idx="2718">
                  <c:v>18.425999999999981</c:v>
                </c:pt>
                <c:pt idx="2719">
                  <c:v>18.425999999999981</c:v>
                </c:pt>
                <c:pt idx="2720">
                  <c:v>18.616</c:v>
                </c:pt>
                <c:pt idx="2721">
                  <c:v>18.710999999999999</c:v>
                </c:pt>
                <c:pt idx="2722">
                  <c:v>18.806000000000001</c:v>
                </c:pt>
                <c:pt idx="2723">
                  <c:v>18.901</c:v>
                </c:pt>
                <c:pt idx="2724">
                  <c:v>18.901</c:v>
                </c:pt>
                <c:pt idx="2725">
                  <c:v>18.995999999999999</c:v>
                </c:pt>
                <c:pt idx="2726">
                  <c:v>19.091999999999999</c:v>
                </c:pt>
                <c:pt idx="2727">
                  <c:v>19.472000000000001</c:v>
                </c:pt>
                <c:pt idx="2728">
                  <c:v>19.567</c:v>
                </c:pt>
                <c:pt idx="2729">
                  <c:v>19.472000000000001</c:v>
                </c:pt>
                <c:pt idx="2730">
                  <c:v>19.948</c:v>
                </c:pt>
                <c:pt idx="2731">
                  <c:v>19.853000000000009</c:v>
                </c:pt>
                <c:pt idx="2732">
                  <c:v>19.853000000000009</c:v>
                </c:pt>
                <c:pt idx="2733">
                  <c:v>20.138000000000009</c:v>
                </c:pt>
                <c:pt idx="2734">
                  <c:v>20.518999999999991</c:v>
                </c:pt>
                <c:pt idx="2735">
                  <c:v>21.378</c:v>
                </c:pt>
                <c:pt idx="2736">
                  <c:v>20.614999999999998</c:v>
                </c:pt>
                <c:pt idx="2737">
                  <c:v>20.71</c:v>
                </c:pt>
                <c:pt idx="2738">
                  <c:v>20.901</c:v>
                </c:pt>
                <c:pt idx="2739">
                  <c:v>21.187000000000001</c:v>
                </c:pt>
                <c:pt idx="2740">
                  <c:v>21.282</c:v>
                </c:pt>
                <c:pt idx="2741">
                  <c:v>20.995999999999999</c:v>
                </c:pt>
                <c:pt idx="2742">
                  <c:v>20.614999999999998</c:v>
                </c:pt>
                <c:pt idx="2743">
                  <c:v>20.518999999999991</c:v>
                </c:pt>
                <c:pt idx="2744">
                  <c:v>20.614999999999998</c:v>
                </c:pt>
                <c:pt idx="2745">
                  <c:v>20.71</c:v>
                </c:pt>
                <c:pt idx="2746">
                  <c:v>20.71</c:v>
                </c:pt>
                <c:pt idx="2747">
                  <c:v>20.614999999999998</c:v>
                </c:pt>
                <c:pt idx="2748">
                  <c:v>20.614999999999998</c:v>
                </c:pt>
                <c:pt idx="2749">
                  <c:v>20.518999999999991</c:v>
                </c:pt>
                <c:pt idx="2750">
                  <c:v>20.423999999999999</c:v>
                </c:pt>
                <c:pt idx="2751">
                  <c:v>20.329000000000001</c:v>
                </c:pt>
                <c:pt idx="2752">
                  <c:v>20.234000000000009</c:v>
                </c:pt>
                <c:pt idx="2753">
                  <c:v>20.138000000000009</c:v>
                </c:pt>
                <c:pt idx="2754">
                  <c:v>20.042999999999999</c:v>
                </c:pt>
                <c:pt idx="2755">
                  <c:v>19.948</c:v>
                </c:pt>
                <c:pt idx="2756">
                  <c:v>19.948</c:v>
                </c:pt>
                <c:pt idx="2757">
                  <c:v>19.853000000000009</c:v>
                </c:pt>
                <c:pt idx="2758">
                  <c:v>19.853000000000009</c:v>
                </c:pt>
                <c:pt idx="2759">
                  <c:v>19.948</c:v>
                </c:pt>
                <c:pt idx="2760">
                  <c:v>19.853000000000009</c:v>
                </c:pt>
                <c:pt idx="2761">
                  <c:v>19.853000000000009</c:v>
                </c:pt>
                <c:pt idx="2762">
                  <c:v>19.853000000000009</c:v>
                </c:pt>
                <c:pt idx="2763">
                  <c:v>19.757999999999999</c:v>
                </c:pt>
                <c:pt idx="2764">
                  <c:v>19.757999999999999</c:v>
                </c:pt>
                <c:pt idx="2765">
                  <c:v>19.661999999999999</c:v>
                </c:pt>
                <c:pt idx="2766">
                  <c:v>19.567</c:v>
                </c:pt>
                <c:pt idx="2767">
                  <c:v>19.472000000000001</c:v>
                </c:pt>
                <c:pt idx="2768">
                  <c:v>19.472000000000001</c:v>
                </c:pt>
                <c:pt idx="2769">
                  <c:v>19.472000000000001</c:v>
                </c:pt>
                <c:pt idx="2770">
                  <c:v>19.472000000000001</c:v>
                </c:pt>
                <c:pt idx="2771">
                  <c:v>19.376999999999999</c:v>
                </c:pt>
                <c:pt idx="2772">
                  <c:v>19.376999999999999</c:v>
                </c:pt>
                <c:pt idx="2773">
                  <c:v>19.282</c:v>
                </c:pt>
                <c:pt idx="2774">
                  <c:v>19.187000000000001</c:v>
                </c:pt>
                <c:pt idx="2775">
                  <c:v>19.187000000000001</c:v>
                </c:pt>
                <c:pt idx="2776">
                  <c:v>19.282</c:v>
                </c:pt>
                <c:pt idx="2777">
                  <c:v>19.187000000000001</c:v>
                </c:pt>
                <c:pt idx="2778">
                  <c:v>19.187000000000001</c:v>
                </c:pt>
                <c:pt idx="2779">
                  <c:v>19.091999999999999</c:v>
                </c:pt>
                <c:pt idx="2780">
                  <c:v>18.995999999999999</c:v>
                </c:pt>
                <c:pt idx="2781">
                  <c:v>18.901</c:v>
                </c:pt>
                <c:pt idx="2782">
                  <c:v>18.901</c:v>
                </c:pt>
                <c:pt idx="2783">
                  <c:v>18.901</c:v>
                </c:pt>
                <c:pt idx="2784">
                  <c:v>18.806000000000001</c:v>
                </c:pt>
                <c:pt idx="2785">
                  <c:v>18.901</c:v>
                </c:pt>
                <c:pt idx="2786">
                  <c:v>18.806000000000001</c:v>
                </c:pt>
                <c:pt idx="2787">
                  <c:v>18.806000000000001</c:v>
                </c:pt>
                <c:pt idx="2788">
                  <c:v>18.616</c:v>
                </c:pt>
                <c:pt idx="2789">
                  <c:v>18.710999999999999</c:v>
                </c:pt>
                <c:pt idx="2790">
                  <c:v>18.616</c:v>
                </c:pt>
                <c:pt idx="2791">
                  <c:v>18.521000000000001</c:v>
                </c:pt>
                <c:pt idx="2792">
                  <c:v>18.521000000000001</c:v>
                </c:pt>
                <c:pt idx="2793">
                  <c:v>18.425999999999981</c:v>
                </c:pt>
                <c:pt idx="2794">
                  <c:v>18.425999999999981</c:v>
                </c:pt>
                <c:pt idx="2795">
                  <c:v>18.331</c:v>
                </c:pt>
                <c:pt idx="2796">
                  <c:v>18.236000000000001</c:v>
                </c:pt>
                <c:pt idx="2797">
                  <c:v>18.236000000000001</c:v>
                </c:pt>
                <c:pt idx="2798">
                  <c:v>18.14</c:v>
                </c:pt>
                <c:pt idx="2799">
                  <c:v>18.236000000000001</c:v>
                </c:pt>
                <c:pt idx="2800">
                  <c:v>18.236000000000001</c:v>
                </c:pt>
                <c:pt idx="2801">
                  <c:v>18.236000000000001</c:v>
                </c:pt>
                <c:pt idx="2802">
                  <c:v>17.95</c:v>
                </c:pt>
                <c:pt idx="2803">
                  <c:v>18.045000000000002</c:v>
                </c:pt>
                <c:pt idx="2804">
                  <c:v>18.045000000000002</c:v>
                </c:pt>
                <c:pt idx="2805">
                  <c:v>17.95</c:v>
                </c:pt>
                <c:pt idx="2806">
                  <c:v>17.855</c:v>
                </c:pt>
                <c:pt idx="2807">
                  <c:v>17.95</c:v>
                </c:pt>
                <c:pt idx="2808">
                  <c:v>17.855</c:v>
                </c:pt>
                <c:pt idx="2809">
                  <c:v>17.855</c:v>
                </c:pt>
                <c:pt idx="2810">
                  <c:v>17.855</c:v>
                </c:pt>
                <c:pt idx="2811">
                  <c:v>17.855</c:v>
                </c:pt>
                <c:pt idx="2812">
                  <c:v>17.95</c:v>
                </c:pt>
                <c:pt idx="2813">
                  <c:v>17.855</c:v>
                </c:pt>
                <c:pt idx="2814">
                  <c:v>17.95</c:v>
                </c:pt>
                <c:pt idx="2815">
                  <c:v>18.236000000000001</c:v>
                </c:pt>
                <c:pt idx="2816">
                  <c:v>18.236000000000001</c:v>
                </c:pt>
                <c:pt idx="2817">
                  <c:v>18.425999999999981</c:v>
                </c:pt>
                <c:pt idx="2818">
                  <c:v>18.521000000000001</c:v>
                </c:pt>
                <c:pt idx="2819">
                  <c:v>18.616</c:v>
                </c:pt>
                <c:pt idx="2820">
                  <c:v>18.710999999999999</c:v>
                </c:pt>
                <c:pt idx="2821">
                  <c:v>18.806000000000001</c:v>
                </c:pt>
                <c:pt idx="2822">
                  <c:v>18.806000000000001</c:v>
                </c:pt>
                <c:pt idx="2823">
                  <c:v>19.187000000000001</c:v>
                </c:pt>
                <c:pt idx="2824">
                  <c:v>19.376999999999999</c:v>
                </c:pt>
                <c:pt idx="2825">
                  <c:v>19.376999999999999</c:v>
                </c:pt>
                <c:pt idx="2826">
                  <c:v>19.661999999999999</c:v>
                </c:pt>
                <c:pt idx="2827">
                  <c:v>19.948</c:v>
                </c:pt>
                <c:pt idx="2828">
                  <c:v>19.757999999999999</c:v>
                </c:pt>
                <c:pt idx="2829">
                  <c:v>19.853000000000009</c:v>
                </c:pt>
                <c:pt idx="2830">
                  <c:v>20.518999999999991</c:v>
                </c:pt>
                <c:pt idx="2831">
                  <c:v>21.091000000000001</c:v>
                </c:pt>
                <c:pt idx="2832">
                  <c:v>20.518999999999991</c:v>
                </c:pt>
                <c:pt idx="2833">
                  <c:v>20.71</c:v>
                </c:pt>
                <c:pt idx="2834">
                  <c:v>20.518999999999991</c:v>
                </c:pt>
                <c:pt idx="2835">
                  <c:v>21.282</c:v>
                </c:pt>
                <c:pt idx="2836">
                  <c:v>21.378</c:v>
                </c:pt>
                <c:pt idx="2837">
                  <c:v>20.995999999999999</c:v>
                </c:pt>
                <c:pt idx="2838">
                  <c:v>20.518999999999991</c:v>
                </c:pt>
                <c:pt idx="2839">
                  <c:v>20.614999999999998</c:v>
                </c:pt>
                <c:pt idx="2840">
                  <c:v>20.805</c:v>
                </c:pt>
                <c:pt idx="2841">
                  <c:v>20.614999999999998</c:v>
                </c:pt>
                <c:pt idx="2842">
                  <c:v>20.614999999999998</c:v>
                </c:pt>
                <c:pt idx="2843">
                  <c:v>20.614999999999998</c:v>
                </c:pt>
                <c:pt idx="2844">
                  <c:v>20.71</c:v>
                </c:pt>
                <c:pt idx="2845">
                  <c:v>20.71</c:v>
                </c:pt>
                <c:pt idx="2846">
                  <c:v>20.614999999999998</c:v>
                </c:pt>
                <c:pt idx="2847">
                  <c:v>20.518999999999991</c:v>
                </c:pt>
                <c:pt idx="2848">
                  <c:v>20.518999999999991</c:v>
                </c:pt>
                <c:pt idx="2849">
                  <c:v>20.614999999999998</c:v>
                </c:pt>
                <c:pt idx="2850">
                  <c:v>20.518999999999991</c:v>
                </c:pt>
                <c:pt idx="2851">
                  <c:v>20.423999999999999</c:v>
                </c:pt>
                <c:pt idx="2852">
                  <c:v>20.423999999999999</c:v>
                </c:pt>
                <c:pt idx="2853">
                  <c:v>20.423999999999999</c:v>
                </c:pt>
                <c:pt idx="2854">
                  <c:v>20.329000000000001</c:v>
                </c:pt>
                <c:pt idx="2855">
                  <c:v>20.329000000000001</c:v>
                </c:pt>
                <c:pt idx="2856">
                  <c:v>20.234000000000009</c:v>
                </c:pt>
                <c:pt idx="2857">
                  <c:v>20.234000000000009</c:v>
                </c:pt>
                <c:pt idx="2858">
                  <c:v>20.138000000000009</c:v>
                </c:pt>
                <c:pt idx="2859">
                  <c:v>20.042999999999999</c:v>
                </c:pt>
                <c:pt idx="2860">
                  <c:v>19.948</c:v>
                </c:pt>
                <c:pt idx="2861">
                  <c:v>19.853000000000009</c:v>
                </c:pt>
                <c:pt idx="2862">
                  <c:v>19.757999999999999</c:v>
                </c:pt>
                <c:pt idx="2863">
                  <c:v>19.661999999999999</c:v>
                </c:pt>
                <c:pt idx="2864">
                  <c:v>19.661999999999999</c:v>
                </c:pt>
                <c:pt idx="2865">
                  <c:v>19.567</c:v>
                </c:pt>
                <c:pt idx="2866">
                  <c:v>19.472000000000001</c:v>
                </c:pt>
                <c:pt idx="2867">
                  <c:v>19.472000000000001</c:v>
                </c:pt>
                <c:pt idx="2868">
                  <c:v>19.376999999999999</c:v>
                </c:pt>
                <c:pt idx="2869">
                  <c:v>19.376999999999999</c:v>
                </c:pt>
                <c:pt idx="2870">
                  <c:v>19.282</c:v>
                </c:pt>
                <c:pt idx="2871">
                  <c:v>19.282</c:v>
                </c:pt>
                <c:pt idx="2872">
                  <c:v>19.282</c:v>
                </c:pt>
                <c:pt idx="2873">
                  <c:v>19.282</c:v>
                </c:pt>
                <c:pt idx="2874">
                  <c:v>19.187000000000001</c:v>
                </c:pt>
                <c:pt idx="2875">
                  <c:v>19.187000000000001</c:v>
                </c:pt>
                <c:pt idx="2876">
                  <c:v>19.091999999999999</c:v>
                </c:pt>
                <c:pt idx="2877">
                  <c:v>19.091999999999999</c:v>
                </c:pt>
                <c:pt idx="2878">
                  <c:v>19.091999999999999</c:v>
                </c:pt>
                <c:pt idx="2879">
                  <c:v>19.091999999999999</c:v>
                </c:pt>
                <c:pt idx="2880">
                  <c:v>18.995999999999999</c:v>
                </c:pt>
                <c:pt idx="2881">
                  <c:v>18.995999999999999</c:v>
                </c:pt>
                <c:pt idx="2882">
                  <c:v>18.901</c:v>
                </c:pt>
                <c:pt idx="2883">
                  <c:v>18.806000000000001</c:v>
                </c:pt>
                <c:pt idx="2884">
                  <c:v>18.901</c:v>
                </c:pt>
                <c:pt idx="2885">
                  <c:v>18.806000000000001</c:v>
                </c:pt>
                <c:pt idx="2886">
                  <c:v>18.710999999999999</c:v>
                </c:pt>
                <c:pt idx="2887">
                  <c:v>18.710999999999999</c:v>
                </c:pt>
                <c:pt idx="2888">
                  <c:v>18.616</c:v>
                </c:pt>
                <c:pt idx="2889">
                  <c:v>18.616</c:v>
                </c:pt>
                <c:pt idx="2890">
                  <c:v>18.521000000000001</c:v>
                </c:pt>
                <c:pt idx="2891">
                  <c:v>18.521000000000001</c:v>
                </c:pt>
                <c:pt idx="2892">
                  <c:v>18.521000000000001</c:v>
                </c:pt>
                <c:pt idx="2893">
                  <c:v>18.425999999999981</c:v>
                </c:pt>
                <c:pt idx="2894">
                  <c:v>18.425999999999981</c:v>
                </c:pt>
                <c:pt idx="2895">
                  <c:v>18.331</c:v>
                </c:pt>
                <c:pt idx="2896">
                  <c:v>18.425999999999981</c:v>
                </c:pt>
                <c:pt idx="2897">
                  <c:v>18.331</c:v>
                </c:pt>
                <c:pt idx="2898">
                  <c:v>18.331</c:v>
                </c:pt>
                <c:pt idx="2899">
                  <c:v>18.236000000000001</c:v>
                </c:pt>
                <c:pt idx="2900">
                  <c:v>18.236000000000001</c:v>
                </c:pt>
                <c:pt idx="2901">
                  <c:v>18.14</c:v>
                </c:pt>
                <c:pt idx="2902">
                  <c:v>18.14</c:v>
                </c:pt>
                <c:pt idx="2903">
                  <c:v>18.14</c:v>
                </c:pt>
                <c:pt idx="2904">
                  <c:v>17.95</c:v>
                </c:pt>
                <c:pt idx="2905">
                  <c:v>18.045000000000002</c:v>
                </c:pt>
                <c:pt idx="2906">
                  <c:v>17.95</c:v>
                </c:pt>
                <c:pt idx="2907">
                  <c:v>18.045000000000002</c:v>
                </c:pt>
                <c:pt idx="2908">
                  <c:v>18.14</c:v>
                </c:pt>
                <c:pt idx="2909">
                  <c:v>18.14</c:v>
                </c:pt>
                <c:pt idx="2910">
                  <c:v>18.14</c:v>
                </c:pt>
                <c:pt idx="2911">
                  <c:v>18.236000000000001</c:v>
                </c:pt>
                <c:pt idx="2912">
                  <c:v>18.521000000000001</c:v>
                </c:pt>
                <c:pt idx="2913">
                  <c:v>18.710999999999999</c:v>
                </c:pt>
                <c:pt idx="2914">
                  <c:v>18.710999999999999</c:v>
                </c:pt>
                <c:pt idx="2915">
                  <c:v>18.806000000000001</c:v>
                </c:pt>
                <c:pt idx="2916">
                  <c:v>18.901</c:v>
                </c:pt>
                <c:pt idx="2917">
                  <c:v>18.995999999999999</c:v>
                </c:pt>
                <c:pt idx="2918">
                  <c:v>19.091999999999999</c:v>
                </c:pt>
                <c:pt idx="2919">
                  <c:v>19.472000000000001</c:v>
                </c:pt>
                <c:pt idx="2920">
                  <c:v>19.376999999999999</c:v>
                </c:pt>
                <c:pt idx="2921">
                  <c:v>19.376999999999999</c:v>
                </c:pt>
                <c:pt idx="2922">
                  <c:v>19.661999999999999</c:v>
                </c:pt>
                <c:pt idx="2923">
                  <c:v>20.234000000000009</c:v>
                </c:pt>
                <c:pt idx="2924">
                  <c:v>19.757999999999999</c:v>
                </c:pt>
                <c:pt idx="2925">
                  <c:v>19.948</c:v>
                </c:pt>
                <c:pt idx="2926">
                  <c:v>20.614999999999998</c:v>
                </c:pt>
                <c:pt idx="2927">
                  <c:v>21.187000000000001</c:v>
                </c:pt>
                <c:pt idx="2928">
                  <c:v>20.423999999999999</c:v>
                </c:pt>
                <c:pt idx="2929">
                  <c:v>20.995999999999999</c:v>
                </c:pt>
                <c:pt idx="2930">
                  <c:v>20.901</c:v>
                </c:pt>
                <c:pt idx="2931">
                  <c:v>20.71</c:v>
                </c:pt>
                <c:pt idx="2932">
                  <c:v>21.187000000000001</c:v>
                </c:pt>
                <c:pt idx="2933">
                  <c:v>21.187000000000001</c:v>
                </c:pt>
                <c:pt idx="2934">
                  <c:v>20.614999999999998</c:v>
                </c:pt>
                <c:pt idx="2935">
                  <c:v>20.71</c:v>
                </c:pt>
                <c:pt idx="2936">
                  <c:v>20.995999999999999</c:v>
                </c:pt>
                <c:pt idx="2937">
                  <c:v>20.71</c:v>
                </c:pt>
                <c:pt idx="2938">
                  <c:v>20.805</c:v>
                </c:pt>
                <c:pt idx="2939">
                  <c:v>20.71</c:v>
                </c:pt>
                <c:pt idx="2940">
                  <c:v>20.71</c:v>
                </c:pt>
                <c:pt idx="2941">
                  <c:v>20.71</c:v>
                </c:pt>
                <c:pt idx="2942">
                  <c:v>20.71</c:v>
                </c:pt>
                <c:pt idx="2943">
                  <c:v>20.614999999999998</c:v>
                </c:pt>
                <c:pt idx="2944">
                  <c:v>20.71</c:v>
                </c:pt>
                <c:pt idx="2945">
                  <c:v>20.614999999999998</c:v>
                </c:pt>
                <c:pt idx="2946">
                  <c:v>20.518999999999991</c:v>
                </c:pt>
                <c:pt idx="2947">
                  <c:v>20.518999999999991</c:v>
                </c:pt>
                <c:pt idx="2948">
                  <c:v>20.423999999999999</c:v>
                </c:pt>
                <c:pt idx="2949">
                  <c:v>20.423999999999999</c:v>
                </c:pt>
                <c:pt idx="2950">
                  <c:v>20.423999999999999</c:v>
                </c:pt>
                <c:pt idx="2951">
                  <c:v>20.329000000000001</c:v>
                </c:pt>
                <c:pt idx="2952">
                  <c:v>20.329000000000001</c:v>
                </c:pt>
                <c:pt idx="2953">
                  <c:v>20.234000000000009</c:v>
                </c:pt>
                <c:pt idx="2954">
                  <c:v>20.138000000000009</c:v>
                </c:pt>
                <c:pt idx="2955">
                  <c:v>20.042999999999999</c:v>
                </c:pt>
                <c:pt idx="2956">
                  <c:v>19.948</c:v>
                </c:pt>
                <c:pt idx="2957">
                  <c:v>19.853000000000009</c:v>
                </c:pt>
                <c:pt idx="2958">
                  <c:v>19.757999999999999</c:v>
                </c:pt>
                <c:pt idx="2959">
                  <c:v>19.757999999999999</c:v>
                </c:pt>
                <c:pt idx="2960">
                  <c:v>19.661999999999999</c:v>
                </c:pt>
                <c:pt idx="2961">
                  <c:v>19.567</c:v>
                </c:pt>
                <c:pt idx="2962">
                  <c:v>19.567</c:v>
                </c:pt>
                <c:pt idx="2963">
                  <c:v>19.472000000000001</c:v>
                </c:pt>
                <c:pt idx="2964">
                  <c:v>19.472000000000001</c:v>
                </c:pt>
                <c:pt idx="2965">
                  <c:v>19.376999999999999</c:v>
                </c:pt>
                <c:pt idx="2966">
                  <c:v>19.376999999999999</c:v>
                </c:pt>
                <c:pt idx="2967">
                  <c:v>19.376999999999999</c:v>
                </c:pt>
                <c:pt idx="2968">
                  <c:v>19.282</c:v>
                </c:pt>
                <c:pt idx="2969">
                  <c:v>19.187000000000001</c:v>
                </c:pt>
                <c:pt idx="2970">
                  <c:v>19.187000000000001</c:v>
                </c:pt>
                <c:pt idx="2971">
                  <c:v>19.187000000000001</c:v>
                </c:pt>
                <c:pt idx="2972">
                  <c:v>19.091999999999999</c:v>
                </c:pt>
                <c:pt idx="2973">
                  <c:v>18.995999999999999</c:v>
                </c:pt>
                <c:pt idx="2974">
                  <c:v>19.091999999999999</c:v>
                </c:pt>
                <c:pt idx="2975">
                  <c:v>19.091999999999999</c:v>
                </c:pt>
                <c:pt idx="2976">
                  <c:v>19.091999999999999</c:v>
                </c:pt>
                <c:pt idx="2977">
                  <c:v>18.995999999999999</c:v>
                </c:pt>
                <c:pt idx="2978">
                  <c:v>18.995999999999999</c:v>
                </c:pt>
                <c:pt idx="2979">
                  <c:v>18.901</c:v>
                </c:pt>
                <c:pt idx="2980">
                  <c:v>18.901</c:v>
                </c:pt>
                <c:pt idx="2981">
                  <c:v>18.806000000000001</c:v>
                </c:pt>
                <c:pt idx="2982">
                  <c:v>18.806000000000001</c:v>
                </c:pt>
                <c:pt idx="2983">
                  <c:v>18.710999999999999</c:v>
                </c:pt>
                <c:pt idx="2984">
                  <c:v>18.710999999999999</c:v>
                </c:pt>
                <c:pt idx="2985">
                  <c:v>18.710999999999999</c:v>
                </c:pt>
                <c:pt idx="2986">
                  <c:v>18.710999999999999</c:v>
                </c:pt>
                <c:pt idx="2987">
                  <c:v>18.616</c:v>
                </c:pt>
                <c:pt idx="2988">
                  <c:v>18.710999999999999</c:v>
                </c:pt>
                <c:pt idx="2989">
                  <c:v>18.616</c:v>
                </c:pt>
                <c:pt idx="2990">
                  <c:v>18.616</c:v>
                </c:pt>
                <c:pt idx="2991">
                  <c:v>18.521000000000001</c:v>
                </c:pt>
                <c:pt idx="2992">
                  <c:v>18.521000000000001</c:v>
                </c:pt>
                <c:pt idx="2993">
                  <c:v>18.425999999999981</c:v>
                </c:pt>
                <c:pt idx="2994">
                  <c:v>18.425999999999981</c:v>
                </c:pt>
                <c:pt idx="2995">
                  <c:v>18.425999999999981</c:v>
                </c:pt>
                <c:pt idx="2996">
                  <c:v>18.521000000000001</c:v>
                </c:pt>
                <c:pt idx="2997">
                  <c:v>18.425999999999981</c:v>
                </c:pt>
                <c:pt idx="2998">
                  <c:v>18.425999999999981</c:v>
                </c:pt>
                <c:pt idx="2999">
                  <c:v>18.236000000000001</c:v>
                </c:pt>
                <c:pt idx="3000">
                  <c:v>18.236000000000001</c:v>
                </c:pt>
                <c:pt idx="3001">
                  <c:v>18.236000000000001</c:v>
                </c:pt>
                <c:pt idx="3002">
                  <c:v>18.236000000000001</c:v>
                </c:pt>
                <c:pt idx="3003">
                  <c:v>18.236000000000001</c:v>
                </c:pt>
                <c:pt idx="3004">
                  <c:v>18.236000000000001</c:v>
                </c:pt>
                <c:pt idx="3005">
                  <c:v>18.331</c:v>
                </c:pt>
                <c:pt idx="3006">
                  <c:v>18.425999999999981</c:v>
                </c:pt>
                <c:pt idx="3007">
                  <c:v>18.521000000000001</c:v>
                </c:pt>
                <c:pt idx="3008">
                  <c:v>18.710999999999999</c:v>
                </c:pt>
                <c:pt idx="3009">
                  <c:v>18.901</c:v>
                </c:pt>
                <c:pt idx="3010">
                  <c:v>18.806000000000001</c:v>
                </c:pt>
                <c:pt idx="3011">
                  <c:v>18.901</c:v>
                </c:pt>
                <c:pt idx="3012">
                  <c:v>19.091999999999999</c:v>
                </c:pt>
                <c:pt idx="3013">
                  <c:v>19.091999999999999</c:v>
                </c:pt>
                <c:pt idx="3014">
                  <c:v>19.282</c:v>
                </c:pt>
                <c:pt idx="3015">
                  <c:v>19.661999999999999</c:v>
                </c:pt>
                <c:pt idx="3016">
                  <c:v>19.661999999999999</c:v>
                </c:pt>
                <c:pt idx="3017">
                  <c:v>19.661999999999999</c:v>
                </c:pt>
                <c:pt idx="3018">
                  <c:v>19.853000000000009</c:v>
                </c:pt>
                <c:pt idx="3019">
                  <c:v>20.329000000000001</c:v>
                </c:pt>
                <c:pt idx="3020">
                  <c:v>20.042999999999999</c:v>
                </c:pt>
                <c:pt idx="3021">
                  <c:v>20.329000000000001</c:v>
                </c:pt>
                <c:pt idx="3022">
                  <c:v>20.71</c:v>
                </c:pt>
                <c:pt idx="3023">
                  <c:v>21.282</c:v>
                </c:pt>
                <c:pt idx="3024">
                  <c:v>20.614999999999998</c:v>
                </c:pt>
                <c:pt idx="3025">
                  <c:v>20.995999999999999</c:v>
                </c:pt>
                <c:pt idx="3026">
                  <c:v>20.995999999999999</c:v>
                </c:pt>
                <c:pt idx="3027">
                  <c:v>20.71</c:v>
                </c:pt>
                <c:pt idx="3028">
                  <c:v>20.995999999999999</c:v>
                </c:pt>
                <c:pt idx="3029">
                  <c:v>21.091000000000001</c:v>
                </c:pt>
                <c:pt idx="3030">
                  <c:v>20.71</c:v>
                </c:pt>
                <c:pt idx="3031">
                  <c:v>20.71</c:v>
                </c:pt>
                <c:pt idx="3032">
                  <c:v>20.901</c:v>
                </c:pt>
                <c:pt idx="3033">
                  <c:v>20.805</c:v>
                </c:pt>
                <c:pt idx="3034">
                  <c:v>20.805</c:v>
                </c:pt>
                <c:pt idx="3035">
                  <c:v>20.805</c:v>
                </c:pt>
                <c:pt idx="3036">
                  <c:v>20.805</c:v>
                </c:pt>
                <c:pt idx="3037">
                  <c:v>20.901</c:v>
                </c:pt>
                <c:pt idx="3038">
                  <c:v>20.805</c:v>
                </c:pt>
                <c:pt idx="3039">
                  <c:v>20.805</c:v>
                </c:pt>
                <c:pt idx="3040">
                  <c:v>20.71</c:v>
                </c:pt>
                <c:pt idx="3041">
                  <c:v>20.614999999999998</c:v>
                </c:pt>
                <c:pt idx="3042">
                  <c:v>20.614999999999998</c:v>
                </c:pt>
                <c:pt idx="3043">
                  <c:v>20.614999999999998</c:v>
                </c:pt>
                <c:pt idx="3044">
                  <c:v>20.614999999999998</c:v>
                </c:pt>
                <c:pt idx="3045">
                  <c:v>20.614999999999998</c:v>
                </c:pt>
                <c:pt idx="3046">
                  <c:v>20.614999999999998</c:v>
                </c:pt>
                <c:pt idx="3047">
                  <c:v>20.518999999999991</c:v>
                </c:pt>
                <c:pt idx="3048">
                  <c:v>20.518999999999991</c:v>
                </c:pt>
                <c:pt idx="3049">
                  <c:v>20.423999999999999</c:v>
                </c:pt>
                <c:pt idx="3050">
                  <c:v>20.423999999999999</c:v>
                </c:pt>
                <c:pt idx="3051">
                  <c:v>20.329000000000001</c:v>
                </c:pt>
                <c:pt idx="3052">
                  <c:v>20.234000000000009</c:v>
                </c:pt>
                <c:pt idx="3053">
                  <c:v>20.138000000000009</c:v>
                </c:pt>
                <c:pt idx="3054">
                  <c:v>20.042999999999999</c:v>
                </c:pt>
                <c:pt idx="3055">
                  <c:v>20.042999999999999</c:v>
                </c:pt>
                <c:pt idx="3056">
                  <c:v>19.948</c:v>
                </c:pt>
                <c:pt idx="3057">
                  <c:v>19.853000000000009</c:v>
                </c:pt>
                <c:pt idx="3058">
                  <c:v>19.757999999999999</c:v>
                </c:pt>
                <c:pt idx="3059">
                  <c:v>19.757999999999999</c:v>
                </c:pt>
                <c:pt idx="3060">
                  <c:v>19.757999999999999</c:v>
                </c:pt>
                <c:pt idx="3061">
                  <c:v>19.661999999999999</c:v>
                </c:pt>
                <c:pt idx="3062">
                  <c:v>19.661999999999999</c:v>
                </c:pt>
                <c:pt idx="3063">
                  <c:v>19.567</c:v>
                </c:pt>
                <c:pt idx="3064">
                  <c:v>19.472000000000001</c:v>
                </c:pt>
                <c:pt idx="3065">
                  <c:v>19.472000000000001</c:v>
                </c:pt>
                <c:pt idx="3066">
                  <c:v>19.376999999999999</c:v>
                </c:pt>
                <c:pt idx="3067">
                  <c:v>19.376999999999999</c:v>
                </c:pt>
                <c:pt idx="3068">
                  <c:v>19.376999999999999</c:v>
                </c:pt>
                <c:pt idx="3069">
                  <c:v>19.376999999999999</c:v>
                </c:pt>
                <c:pt idx="3070">
                  <c:v>19.282</c:v>
                </c:pt>
                <c:pt idx="3071">
                  <c:v>19.282</c:v>
                </c:pt>
                <c:pt idx="3072">
                  <c:v>19.187000000000001</c:v>
                </c:pt>
                <c:pt idx="3073">
                  <c:v>19.187000000000001</c:v>
                </c:pt>
                <c:pt idx="3074">
                  <c:v>19.091999999999999</c:v>
                </c:pt>
                <c:pt idx="3075">
                  <c:v>19.091999999999999</c:v>
                </c:pt>
                <c:pt idx="3076">
                  <c:v>18.995999999999999</c:v>
                </c:pt>
                <c:pt idx="3077">
                  <c:v>18.995999999999999</c:v>
                </c:pt>
                <c:pt idx="3078">
                  <c:v>18.995999999999999</c:v>
                </c:pt>
                <c:pt idx="3079">
                  <c:v>18.901</c:v>
                </c:pt>
                <c:pt idx="3080">
                  <c:v>18.901</c:v>
                </c:pt>
                <c:pt idx="3081">
                  <c:v>18.806000000000001</c:v>
                </c:pt>
                <c:pt idx="3082">
                  <c:v>18.710999999999999</c:v>
                </c:pt>
                <c:pt idx="3083">
                  <c:v>18.806000000000001</c:v>
                </c:pt>
                <c:pt idx="3084">
                  <c:v>18.806000000000001</c:v>
                </c:pt>
                <c:pt idx="3085">
                  <c:v>18.806000000000001</c:v>
                </c:pt>
                <c:pt idx="3086">
                  <c:v>18.710999999999999</c:v>
                </c:pt>
                <c:pt idx="3087">
                  <c:v>18.710999999999999</c:v>
                </c:pt>
                <c:pt idx="3088">
                  <c:v>18.710999999999999</c:v>
                </c:pt>
                <c:pt idx="3089">
                  <c:v>18.616</c:v>
                </c:pt>
                <c:pt idx="3090">
                  <c:v>18.616</c:v>
                </c:pt>
                <c:pt idx="3091">
                  <c:v>18.616</c:v>
                </c:pt>
                <c:pt idx="3092">
                  <c:v>18.521000000000001</c:v>
                </c:pt>
                <c:pt idx="3093">
                  <c:v>18.521000000000001</c:v>
                </c:pt>
                <c:pt idx="3094">
                  <c:v>18.521000000000001</c:v>
                </c:pt>
                <c:pt idx="3095">
                  <c:v>18.425999999999981</c:v>
                </c:pt>
                <c:pt idx="3096">
                  <c:v>18.425999999999981</c:v>
                </c:pt>
                <c:pt idx="3097">
                  <c:v>18.425999999999981</c:v>
                </c:pt>
                <c:pt idx="3098">
                  <c:v>18.425999999999981</c:v>
                </c:pt>
                <c:pt idx="3099">
                  <c:v>18.425999999999981</c:v>
                </c:pt>
                <c:pt idx="3100">
                  <c:v>18.425999999999981</c:v>
                </c:pt>
                <c:pt idx="3101">
                  <c:v>18.425999999999981</c:v>
                </c:pt>
                <c:pt idx="3102">
                  <c:v>18.521000000000001</c:v>
                </c:pt>
                <c:pt idx="3103">
                  <c:v>18.710999999999999</c:v>
                </c:pt>
                <c:pt idx="3104">
                  <c:v>18.901</c:v>
                </c:pt>
                <c:pt idx="3105">
                  <c:v>18.995999999999999</c:v>
                </c:pt>
                <c:pt idx="3106">
                  <c:v>18.901</c:v>
                </c:pt>
                <c:pt idx="3107">
                  <c:v>19.091999999999999</c:v>
                </c:pt>
                <c:pt idx="3108">
                  <c:v>19.187000000000001</c:v>
                </c:pt>
                <c:pt idx="3109">
                  <c:v>19.282</c:v>
                </c:pt>
                <c:pt idx="3110">
                  <c:v>19.282</c:v>
                </c:pt>
                <c:pt idx="3111">
                  <c:v>19.567</c:v>
                </c:pt>
                <c:pt idx="3112">
                  <c:v>19.757999999999999</c:v>
                </c:pt>
                <c:pt idx="3113">
                  <c:v>19.757999999999999</c:v>
                </c:pt>
                <c:pt idx="3114">
                  <c:v>19.853000000000009</c:v>
                </c:pt>
                <c:pt idx="3115">
                  <c:v>20.329000000000001</c:v>
                </c:pt>
                <c:pt idx="3116">
                  <c:v>20.042999999999999</c:v>
                </c:pt>
                <c:pt idx="3117">
                  <c:v>20.329000000000001</c:v>
                </c:pt>
                <c:pt idx="3118">
                  <c:v>20.518999999999991</c:v>
                </c:pt>
                <c:pt idx="3119">
                  <c:v>21.091000000000001</c:v>
                </c:pt>
                <c:pt idx="3120">
                  <c:v>20.614999999999998</c:v>
                </c:pt>
                <c:pt idx="3121">
                  <c:v>20.805</c:v>
                </c:pt>
                <c:pt idx="3122">
                  <c:v>21.282</c:v>
                </c:pt>
                <c:pt idx="3123">
                  <c:v>20.805</c:v>
                </c:pt>
                <c:pt idx="3124">
                  <c:v>21.091000000000001</c:v>
                </c:pt>
                <c:pt idx="3125">
                  <c:v>21.472999999999999</c:v>
                </c:pt>
                <c:pt idx="3126">
                  <c:v>20.901</c:v>
                </c:pt>
                <c:pt idx="3127">
                  <c:v>21.091000000000001</c:v>
                </c:pt>
                <c:pt idx="3128">
                  <c:v>21.091000000000001</c:v>
                </c:pt>
                <c:pt idx="3129">
                  <c:v>20.995999999999999</c:v>
                </c:pt>
                <c:pt idx="3130">
                  <c:v>21.091000000000001</c:v>
                </c:pt>
                <c:pt idx="3131">
                  <c:v>21.187000000000001</c:v>
                </c:pt>
                <c:pt idx="3132">
                  <c:v>21.091000000000001</c:v>
                </c:pt>
                <c:pt idx="3133">
                  <c:v>21.091000000000001</c:v>
                </c:pt>
                <c:pt idx="3134">
                  <c:v>20.995999999999999</c:v>
                </c:pt>
                <c:pt idx="3135">
                  <c:v>20.995999999999999</c:v>
                </c:pt>
                <c:pt idx="3136">
                  <c:v>20.901</c:v>
                </c:pt>
                <c:pt idx="3137">
                  <c:v>20.995999999999999</c:v>
                </c:pt>
                <c:pt idx="3138">
                  <c:v>20.995999999999999</c:v>
                </c:pt>
                <c:pt idx="3139">
                  <c:v>20.901</c:v>
                </c:pt>
                <c:pt idx="3140">
                  <c:v>20.805</c:v>
                </c:pt>
                <c:pt idx="3141">
                  <c:v>20.805</c:v>
                </c:pt>
                <c:pt idx="3142">
                  <c:v>20.71</c:v>
                </c:pt>
                <c:pt idx="3143">
                  <c:v>20.71</c:v>
                </c:pt>
                <c:pt idx="3144">
                  <c:v>20.614999999999998</c:v>
                </c:pt>
                <c:pt idx="3145">
                  <c:v>20.614999999999998</c:v>
                </c:pt>
                <c:pt idx="3146">
                  <c:v>20.518999999999991</c:v>
                </c:pt>
                <c:pt idx="3147">
                  <c:v>20.423999999999999</c:v>
                </c:pt>
                <c:pt idx="3148">
                  <c:v>20.329000000000001</c:v>
                </c:pt>
                <c:pt idx="3149">
                  <c:v>20.234000000000009</c:v>
                </c:pt>
                <c:pt idx="3150">
                  <c:v>20.138000000000009</c:v>
                </c:pt>
                <c:pt idx="3151">
                  <c:v>20.042999999999999</c:v>
                </c:pt>
                <c:pt idx="3152">
                  <c:v>19.948</c:v>
                </c:pt>
                <c:pt idx="3153">
                  <c:v>19.948</c:v>
                </c:pt>
                <c:pt idx="3154">
                  <c:v>19.853000000000009</c:v>
                </c:pt>
                <c:pt idx="3155">
                  <c:v>19.853000000000009</c:v>
                </c:pt>
                <c:pt idx="3156">
                  <c:v>19.757999999999999</c:v>
                </c:pt>
                <c:pt idx="3157">
                  <c:v>19.661999999999999</c:v>
                </c:pt>
                <c:pt idx="3158">
                  <c:v>19.661999999999999</c:v>
                </c:pt>
                <c:pt idx="3159">
                  <c:v>19.661999999999999</c:v>
                </c:pt>
                <c:pt idx="3160">
                  <c:v>19.567</c:v>
                </c:pt>
                <c:pt idx="3161">
                  <c:v>19.567</c:v>
                </c:pt>
                <c:pt idx="3162">
                  <c:v>19.567</c:v>
                </c:pt>
                <c:pt idx="3163">
                  <c:v>19.567</c:v>
                </c:pt>
                <c:pt idx="3164">
                  <c:v>19.472000000000001</c:v>
                </c:pt>
                <c:pt idx="3165">
                  <c:v>19.472000000000001</c:v>
                </c:pt>
                <c:pt idx="3166">
                  <c:v>19.376999999999999</c:v>
                </c:pt>
                <c:pt idx="3167">
                  <c:v>19.376999999999999</c:v>
                </c:pt>
                <c:pt idx="3168">
                  <c:v>19.282</c:v>
                </c:pt>
                <c:pt idx="3169">
                  <c:v>19.187000000000001</c:v>
                </c:pt>
                <c:pt idx="3170">
                  <c:v>19.187000000000001</c:v>
                </c:pt>
                <c:pt idx="3171">
                  <c:v>19.187000000000001</c:v>
                </c:pt>
                <c:pt idx="3172">
                  <c:v>19.187000000000001</c:v>
                </c:pt>
                <c:pt idx="3173">
                  <c:v>19.187000000000001</c:v>
                </c:pt>
                <c:pt idx="3174">
                  <c:v>19.187000000000001</c:v>
                </c:pt>
                <c:pt idx="3175">
                  <c:v>19.091999999999999</c:v>
                </c:pt>
                <c:pt idx="3176">
                  <c:v>19.091999999999999</c:v>
                </c:pt>
                <c:pt idx="3177">
                  <c:v>18.995999999999999</c:v>
                </c:pt>
                <c:pt idx="3178">
                  <c:v>19.091999999999999</c:v>
                </c:pt>
                <c:pt idx="3179">
                  <c:v>19.091999999999999</c:v>
                </c:pt>
                <c:pt idx="3180">
                  <c:v>18.995999999999999</c:v>
                </c:pt>
                <c:pt idx="3181">
                  <c:v>18.901</c:v>
                </c:pt>
                <c:pt idx="3182">
                  <c:v>18.806000000000001</c:v>
                </c:pt>
                <c:pt idx="3183">
                  <c:v>18.806000000000001</c:v>
                </c:pt>
                <c:pt idx="3184">
                  <c:v>18.806000000000001</c:v>
                </c:pt>
                <c:pt idx="3185">
                  <c:v>18.710999999999999</c:v>
                </c:pt>
                <c:pt idx="3186">
                  <c:v>18.710999999999999</c:v>
                </c:pt>
                <c:pt idx="3187">
                  <c:v>18.710999999999999</c:v>
                </c:pt>
                <c:pt idx="3188">
                  <c:v>18.616</c:v>
                </c:pt>
                <c:pt idx="3189">
                  <c:v>18.616</c:v>
                </c:pt>
                <c:pt idx="3190">
                  <c:v>18.616</c:v>
                </c:pt>
                <c:pt idx="3191">
                  <c:v>18.521000000000001</c:v>
                </c:pt>
                <c:pt idx="3192">
                  <c:v>18.521000000000001</c:v>
                </c:pt>
                <c:pt idx="3193">
                  <c:v>18.521000000000001</c:v>
                </c:pt>
                <c:pt idx="3194">
                  <c:v>18.425999999999981</c:v>
                </c:pt>
                <c:pt idx="3195">
                  <c:v>18.521000000000001</c:v>
                </c:pt>
                <c:pt idx="3196">
                  <c:v>18.521000000000001</c:v>
                </c:pt>
                <c:pt idx="3197">
                  <c:v>18.521000000000001</c:v>
                </c:pt>
                <c:pt idx="3198">
                  <c:v>18.616</c:v>
                </c:pt>
                <c:pt idx="3199">
                  <c:v>18.901</c:v>
                </c:pt>
                <c:pt idx="3200">
                  <c:v>19.187000000000001</c:v>
                </c:pt>
                <c:pt idx="3201">
                  <c:v>19.282</c:v>
                </c:pt>
                <c:pt idx="3202">
                  <c:v>19.091999999999999</c:v>
                </c:pt>
                <c:pt idx="3203">
                  <c:v>19.187000000000001</c:v>
                </c:pt>
                <c:pt idx="3204">
                  <c:v>19.282</c:v>
                </c:pt>
                <c:pt idx="3205">
                  <c:v>19.472000000000001</c:v>
                </c:pt>
                <c:pt idx="3206">
                  <c:v>19.472000000000001</c:v>
                </c:pt>
                <c:pt idx="3207">
                  <c:v>19.757999999999999</c:v>
                </c:pt>
                <c:pt idx="3208">
                  <c:v>20.138000000000009</c:v>
                </c:pt>
                <c:pt idx="3209">
                  <c:v>19.853000000000009</c:v>
                </c:pt>
                <c:pt idx="3210">
                  <c:v>20.138000000000009</c:v>
                </c:pt>
                <c:pt idx="3211">
                  <c:v>20.423999999999999</c:v>
                </c:pt>
                <c:pt idx="3212">
                  <c:v>20.234000000000009</c:v>
                </c:pt>
                <c:pt idx="3213">
                  <c:v>20.614999999999998</c:v>
                </c:pt>
                <c:pt idx="3214">
                  <c:v>21.091000000000001</c:v>
                </c:pt>
                <c:pt idx="3215">
                  <c:v>21.378</c:v>
                </c:pt>
                <c:pt idx="3216">
                  <c:v>20.901</c:v>
                </c:pt>
                <c:pt idx="3217">
                  <c:v>21.282</c:v>
                </c:pt>
                <c:pt idx="3218">
                  <c:v>21.855</c:v>
                </c:pt>
                <c:pt idx="3219">
                  <c:v>20.901</c:v>
                </c:pt>
                <c:pt idx="3220">
                  <c:v>21.091000000000001</c:v>
                </c:pt>
                <c:pt idx="3221">
                  <c:v>21.378</c:v>
                </c:pt>
                <c:pt idx="3222">
                  <c:v>21.091000000000001</c:v>
                </c:pt>
                <c:pt idx="3223">
                  <c:v>21.282</c:v>
                </c:pt>
                <c:pt idx="3224">
                  <c:v>21.091000000000001</c:v>
                </c:pt>
                <c:pt idx="3225">
                  <c:v>21.091000000000001</c:v>
                </c:pt>
                <c:pt idx="3226">
                  <c:v>21.187000000000001</c:v>
                </c:pt>
                <c:pt idx="3227">
                  <c:v>21.187000000000001</c:v>
                </c:pt>
                <c:pt idx="3228">
                  <c:v>21.187000000000001</c:v>
                </c:pt>
                <c:pt idx="3229">
                  <c:v>21.282</c:v>
                </c:pt>
                <c:pt idx="3230">
                  <c:v>21.091000000000001</c:v>
                </c:pt>
                <c:pt idx="3231">
                  <c:v>21.091000000000001</c:v>
                </c:pt>
                <c:pt idx="3232">
                  <c:v>20.995999999999999</c:v>
                </c:pt>
                <c:pt idx="3233">
                  <c:v>20.995999999999999</c:v>
                </c:pt>
                <c:pt idx="3234">
                  <c:v>20.901</c:v>
                </c:pt>
                <c:pt idx="3235">
                  <c:v>20.901</c:v>
                </c:pt>
                <c:pt idx="3236">
                  <c:v>20.805</c:v>
                </c:pt>
                <c:pt idx="3237">
                  <c:v>20.805</c:v>
                </c:pt>
                <c:pt idx="3238">
                  <c:v>20.805</c:v>
                </c:pt>
                <c:pt idx="3239">
                  <c:v>20.71</c:v>
                </c:pt>
                <c:pt idx="3240">
                  <c:v>20.71</c:v>
                </c:pt>
                <c:pt idx="3241">
                  <c:v>20.614999999999998</c:v>
                </c:pt>
                <c:pt idx="3242">
                  <c:v>20.614999999999998</c:v>
                </c:pt>
                <c:pt idx="3243">
                  <c:v>20.518999999999991</c:v>
                </c:pt>
                <c:pt idx="3244">
                  <c:v>20.423999999999999</c:v>
                </c:pt>
                <c:pt idx="3245">
                  <c:v>20.329000000000001</c:v>
                </c:pt>
                <c:pt idx="3246">
                  <c:v>20.234000000000009</c:v>
                </c:pt>
                <c:pt idx="3247">
                  <c:v>20.138000000000009</c:v>
                </c:pt>
                <c:pt idx="3248">
                  <c:v>20.138000000000009</c:v>
                </c:pt>
                <c:pt idx="3249">
                  <c:v>20.042999999999999</c:v>
                </c:pt>
                <c:pt idx="3250">
                  <c:v>20.042999999999999</c:v>
                </c:pt>
                <c:pt idx="3251">
                  <c:v>19.948</c:v>
                </c:pt>
                <c:pt idx="3252">
                  <c:v>19.853000000000009</c:v>
                </c:pt>
                <c:pt idx="3253">
                  <c:v>19.757999999999999</c:v>
                </c:pt>
                <c:pt idx="3254">
                  <c:v>19.661999999999999</c:v>
                </c:pt>
                <c:pt idx="3255">
                  <c:v>19.661999999999999</c:v>
                </c:pt>
                <c:pt idx="3256">
                  <c:v>19.661999999999999</c:v>
                </c:pt>
                <c:pt idx="3257">
                  <c:v>19.567</c:v>
                </c:pt>
                <c:pt idx="3258">
                  <c:v>19.567</c:v>
                </c:pt>
                <c:pt idx="3259">
                  <c:v>19.472000000000001</c:v>
                </c:pt>
                <c:pt idx="3260">
                  <c:v>19.472000000000001</c:v>
                </c:pt>
                <c:pt idx="3261">
                  <c:v>19.472000000000001</c:v>
                </c:pt>
                <c:pt idx="3262">
                  <c:v>19.472000000000001</c:v>
                </c:pt>
                <c:pt idx="3263">
                  <c:v>19.472000000000001</c:v>
                </c:pt>
                <c:pt idx="3264">
                  <c:v>19.376999999999999</c:v>
                </c:pt>
                <c:pt idx="3265">
                  <c:v>19.282</c:v>
                </c:pt>
                <c:pt idx="3266">
                  <c:v>19.282</c:v>
                </c:pt>
                <c:pt idx="3267">
                  <c:v>19.187000000000001</c:v>
                </c:pt>
                <c:pt idx="3268">
                  <c:v>19.187000000000001</c:v>
                </c:pt>
                <c:pt idx="3269">
                  <c:v>19.187000000000001</c:v>
                </c:pt>
                <c:pt idx="3270">
                  <c:v>19.091999999999999</c:v>
                </c:pt>
                <c:pt idx="3271">
                  <c:v>19.187000000000001</c:v>
                </c:pt>
                <c:pt idx="3272">
                  <c:v>19.091999999999999</c:v>
                </c:pt>
                <c:pt idx="3273">
                  <c:v>19.091999999999999</c:v>
                </c:pt>
                <c:pt idx="3274">
                  <c:v>19.091999999999999</c:v>
                </c:pt>
                <c:pt idx="3275">
                  <c:v>18.995999999999999</c:v>
                </c:pt>
                <c:pt idx="3276">
                  <c:v>18.901</c:v>
                </c:pt>
                <c:pt idx="3277">
                  <c:v>18.901</c:v>
                </c:pt>
                <c:pt idx="3278">
                  <c:v>18.901</c:v>
                </c:pt>
                <c:pt idx="3279">
                  <c:v>18.806000000000001</c:v>
                </c:pt>
                <c:pt idx="3280">
                  <c:v>18.806000000000001</c:v>
                </c:pt>
                <c:pt idx="3281">
                  <c:v>18.806000000000001</c:v>
                </c:pt>
                <c:pt idx="3282">
                  <c:v>18.710999999999999</c:v>
                </c:pt>
                <c:pt idx="3283">
                  <c:v>18.616</c:v>
                </c:pt>
                <c:pt idx="3284">
                  <c:v>18.616</c:v>
                </c:pt>
                <c:pt idx="3285">
                  <c:v>18.521000000000001</c:v>
                </c:pt>
                <c:pt idx="3286">
                  <c:v>18.425999999999981</c:v>
                </c:pt>
                <c:pt idx="3287">
                  <c:v>18.425999999999981</c:v>
                </c:pt>
                <c:pt idx="3288">
                  <c:v>18.521000000000001</c:v>
                </c:pt>
                <c:pt idx="3289">
                  <c:v>18.425999999999981</c:v>
                </c:pt>
                <c:pt idx="3290">
                  <c:v>18.521000000000001</c:v>
                </c:pt>
                <c:pt idx="3291">
                  <c:v>18.521000000000001</c:v>
                </c:pt>
                <c:pt idx="3292">
                  <c:v>18.521000000000001</c:v>
                </c:pt>
                <c:pt idx="3293">
                  <c:v>18.521000000000001</c:v>
                </c:pt>
                <c:pt idx="3294">
                  <c:v>18.616</c:v>
                </c:pt>
                <c:pt idx="3295">
                  <c:v>18.995999999999999</c:v>
                </c:pt>
                <c:pt idx="3296">
                  <c:v>19.187000000000001</c:v>
                </c:pt>
                <c:pt idx="3297">
                  <c:v>19.091999999999999</c:v>
                </c:pt>
                <c:pt idx="3298">
                  <c:v>19.091999999999999</c:v>
                </c:pt>
                <c:pt idx="3299">
                  <c:v>19.187000000000001</c:v>
                </c:pt>
                <c:pt idx="3300">
                  <c:v>19.376999999999999</c:v>
                </c:pt>
                <c:pt idx="3301">
                  <c:v>19.376999999999999</c:v>
                </c:pt>
                <c:pt idx="3302">
                  <c:v>19.472000000000001</c:v>
                </c:pt>
                <c:pt idx="3303">
                  <c:v>19.567</c:v>
                </c:pt>
                <c:pt idx="3304">
                  <c:v>20.138000000000009</c:v>
                </c:pt>
                <c:pt idx="3305">
                  <c:v>19.948</c:v>
                </c:pt>
                <c:pt idx="3306">
                  <c:v>20.138000000000009</c:v>
                </c:pt>
                <c:pt idx="3307">
                  <c:v>20.138000000000009</c:v>
                </c:pt>
                <c:pt idx="3308">
                  <c:v>20.138000000000009</c:v>
                </c:pt>
                <c:pt idx="3309">
                  <c:v>20.329000000000001</c:v>
                </c:pt>
                <c:pt idx="3310">
                  <c:v>20.805</c:v>
                </c:pt>
                <c:pt idx="3311">
                  <c:v>21.091000000000001</c:v>
                </c:pt>
                <c:pt idx="3312">
                  <c:v>20.71</c:v>
                </c:pt>
                <c:pt idx="3313">
                  <c:v>21.187000000000001</c:v>
                </c:pt>
                <c:pt idx="3314">
                  <c:v>21.855</c:v>
                </c:pt>
                <c:pt idx="3315">
                  <c:v>21.187000000000001</c:v>
                </c:pt>
                <c:pt idx="3316">
                  <c:v>20.901</c:v>
                </c:pt>
                <c:pt idx="3317">
                  <c:v>21.091000000000001</c:v>
                </c:pt>
                <c:pt idx="3318">
                  <c:v>21.091000000000001</c:v>
                </c:pt>
                <c:pt idx="3319">
                  <c:v>21.187000000000001</c:v>
                </c:pt>
                <c:pt idx="3320">
                  <c:v>21.091000000000001</c:v>
                </c:pt>
                <c:pt idx="3321">
                  <c:v>21.091000000000001</c:v>
                </c:pt>
                <c:pt idx="3322">
                  <c:v>21.187000000000001</c:v>
                </c:pt>
                <c:pt idx="3323">
                  <c:v>21.091000000000001</c:v>
                </c:pt>
                <c:pt idx="3324">
                  <c:v>20.995999999999999</c:v>
                </c:pt>
                <c:pt idx="3325">
                  <c:v>21.187000000000001</c:v>
                </c:pt>
                <c:pt idx="3326">
                  <c:v>20.995999999999999</c:v>
                </c:pt>
                <c:pt idx="3327">
                  <c:v>20.901</c:v>
                </c:pt>
                <c:pt idx="3328">
                  <c:v>20.901</c:v>
                </c:pt>
                <c:pt idx="3329">
                  <c:v>20.901</c:v>
                </c:pt>
                <c:pt idx="3330">
                  <c:v>20.805</c:v>
                </c:pt>
                <c:pt idx="3331">
                  <c:v>20.805</c:v>
                </c:pt>
                <c:pt idx="3332">
                  <c:v>20.805</c:v>
                </c:pt>
                <c:pt idx="3333">
                  <c:v>20.71</c:v>
                </c:pt>
                <c:pt idx="3334">
                  <c:v>20.614999999999998</c:v>
                </c:pt>
                <c:pt idx="3335">
                  <c:v>20.518999999999991</c:v>
                </c:pt>
                <c:pt idx="3336">
                  <c:v>20.423999999999999</c:v>
                </c:pt>
                <c:pt idx="3337">
                  <c:v>20.329000000000001</c:v>
                </c:pt>
                <c:pt idx="3338">
                  <c:v>20.329000000000001</c:v>
                </c:pt>
                <c:pt idx="3339">
                  <c:v>20.329000000000001</c:v>
                </c:pt>
                <c:pt idx="3340">
                  <c:v>20.234000000000009</c:v>
                </c:pt>
                <c:pt idx="3341">
                  <c:v>20.234000000000009</c:v>
                </c:pt>
                <c:pt idx="3342">
                  <c:v>20.234000000000009</c:v>
                </c:pt>
                <c:pt idx="3343">
                  <c:v>20.138000000000009</c:v>
                </c:pt>
                <c:pt idx="3344">
                  <c:v>20.138000000000009</c:v>
                </c:pt>
                <c:pt idx="3345">
                  <c:v>20.138000000000009</c:v>
                </c:pt>
                <c:pt idx="3346">
                  <c:v>20.138000000000009</c:v>
                </c:pt>
                <c:pt idx="3347">
                  <c:v>20.042999999999999</c:v>
                </c:pt>
                <c:pt idx="3348">
                  <c:v>20.042999999999999</c:v>
                </c:pt>
                <c:pt idx="3349">
                  <c:v>20.042999999999999</c:v>
                </c:pt>
                <c:pt idx="3350">
                  <c:v>19.948</c:v>
                </c:pt>
                <c:pt idx="3351">
                  <c:v>19.948</c:v>
                </c:pt>
                <c:pt idx="3352">
                  <c:v>19.948</c:v>
                </c:pt>
                <c:pt idx="3353">
                  <c:v>19.853000000000009</c:v>
                </c:pt>
                <c:pt idx="3354">
                  <c:v>19.757999999999999</c:v>
                </c:pt>
                <c:pt idx="3355">
                  <c:v>19.757999999999999</c:v>
                </c:pt>
                <c:pt idx="3356">
                  <c:v>19.757999999999999</c:v>
                </c:pt>
                <c:pt idx="3357">
                  <c:v>19.661999999999999</c:v>
                </c:pt>
                <c:pt idx="3358">
                  <c:v>19.661999999999999</c:v>
                </c:pt>
                <c:pt idx="3359">
                  <c:v>19.661999999999999</c:v>
                </c:pt>
                <c:pt idx="3360">
                  <c:v>19.661999999999999</c:v>
                </c:pt>
                <c:pt idx="3361">
                  <c:v>19.661999999999999</c:v>
                </c:pt>
                <c:pt idx="3362">
                  <c:v>19.567</c:v>
                </c:pt>
                <c:pt idx="3363">
                  <c:v>19.567</c:v>
                </c:pt>
                <c:pt idx="3364">
                  <c:v>19.567</c:v>
                </c:pt>
                <c:pt idx="3365">
                  <c:v>19.472000000000001</c:v>
                </c:pt>
                <c:pt idx="3366">
                  <c:v>19.472000000000001</c:v>
                </c:pt>
                <c:pt idx="3367">
                  <c:v>19.472000000000001</c:v>
                </c:pt>
                <c:pt idx="3368">
                  <c:v>19.282</c:v>
                </c:pt>
                <c:pt idx="3369">
                  <c:v>19.472000000000001</c:v>
                </c:pt>
                <c:pt idx="3370">
                  <c:v>19.376999999999999</c:v>
                </c:pt>
                <c:pt idx="3371">
                  <c:v>19.282</c:v>
                </c:pt>
                <c:pt idx="3372">
                  <c:v>19.282</c:v>
                </c:pt>
                <c:pt idx="3373">
                  <c:v>19.282</c:v>
                </c:pt>
                <c:pt idx="3374">
                  <c:v>19.282</c:v>
                </c:pt>
                <c:pt idx="3375">
                  <c:v>19.187000000000001</c:v>
                </c:pt>
                <c:pt idx="3376">
                  <c:v>19.187000000000001</c:v>
                </c:pt>
                <c:pt idx="3377">
                  <c:v>19.187000000000001</c:v>
                </c:pt>
                <c:pt idx="3378">
                  <c:v>19.091999999999999</c:v>
                </c:pt>
                <c:pt idx="3379">
                  <c:v>18.995999999999999</c:v>
                </c:pt>
                <c:pt idx="3380">
                  <c:v>18.995999999999999</c:v>
                </c:pt>
                <c:pt idx="3381">
                  <c:v>18.995999999999999</c:v>
                </c:pt>
                <c:pt idx="3382">
                  <c:v>18.995999999999999</c:v>
                </c:pt>
                <c:pt idx="3383">
                  <c:v>18.995999999999999</c:v>
                </c:pt>
                <c:pt idx="3384">
                  <c:v>18.995999999999999</c:v>
                </c:pt>
                <c:pt idx="3385">
                  <c:v>18.901</c:v>
                </c:pt>
                <c:pt idx="3386">
                  <c:v>18.901</c:v>
                </c:pt>
                <c:pt idx="3387">
                  <c:v>18.901</c:v>
                </c:pt>
                <c:pt idx="3388">
                  <c:v>18.995999999999999</c:v>
                </c:pt>
                <c:pt idx="3389">
                  <c:v>18.995999999999999</c:v>
                </c:pt>
                <c:pt idx="3390">
                  <c:v>18.995999999999999</c:v>
                </c:pt>
                <c:pt idx="3391">
                  <c:v>19.091999999999999</c:v>
                </c:pt>
                <c:pt idx="3392">
                  <c:v>19.282</c:v>
                </c:pt>
                <c:pt idx="3393">
                  <c:v>19.282</c:v>
                </c:pt>
                <c:pt idx="3394">
                  <c:v>19.282</c:v>
                </c:pt>
                <c:pt idx="3395">
                  <c:v>19.282</c:v>
                </c:pt>
                <c:pt idx="3396">
                  <c:v>19.282</c:v>
                </c:pt>
                <c:pt idx="3397">
                  <c:v>19.376999999999999</c:v>
                </c:pt>
                <c:pt idx="3398">
                  <c:v>19.567</c:v>
                </c:pt>
                <c:pt idx="3399">
                  <c:v>19.567</c:v>
                </c:pt>
                <c:pt idx="3400">
                  <c:v>20.042999999999999</c:v>
                </c:pt>
                <c:pt idx="3401">
                  <c:v>19.757999999999999</c:v>
                </c:pt>
                <c:pt idx="3402">
                  <c:v>20.042999999999999</c:v>
                </c:pt>
                <c:pt idx="3403">
                  <c:v>20.329000000000001</c:v>
                </c:pt>
                <c:pt idx="3404">
                  <c:v>19.948</c:v>
                </c:pt>
                <c:pt idx="3405">
                  <c:v>19.948</c:v>
                </c:pt>
                <c:pt idx="3406">
                  <c:v>20.138000000000009</c:v>
                </c:pt>
                <c:pt idx="3407">
                  <c:v>21.091000000000001</c:v>
                </c:pt>
                <c:pt idx="3408">
                  <c:v>20.423999999999999</c:v>
                </c:pt>
                <c:pt idx="3409">
                  <c:v>20.995999999999999</c:v>
                </c:pt>
                <c:pt idx="3410">
                  <c:v>21.76</c:v>
                </c:pt>
                <c:pt idx="3411">
                  <c:v>21.664000000000001</c:v>
                </c:pt>
                <c:pt idx="3412">
                  <c:v>20.71</c:v>
                </c:pt>
                <c:pt idx="3413">
                  <c:v>20.901</c:v>
                </c:pt>
                <c:pt idx="3414">
                  <c:v>20.901</c:v>
                </c:pt>
                <c:pt idx="3415">
                  <c:v>20.901</c:v>
                </c:pt>
                <c:pt idx="3416">
                  <c:v>20.995999999999999</c:v>
                </c:pt>
                <c:pt idx="3417">
                  <c:v>20.901</c:v>
                </c:pt>
                <c:pt idx="3418">
                  <c:v>20.995999999999999</c:v>
                </c:pt>
                <c:pt idx="3419">
                  <c:v>20.995999999999999</c:v>
                </c:pt>
                <c:pt idx="3420">
                  <c:v>20.901</c:v>
                </c:pt>
                <c:pt idx="3421">
                  <c:v>20.901</c:v>
                </c:pt>
                <c:pt idx="3422">
                  <c:v>20.901</c:v>
                </c:pt>
                <c:pt idx="3423">
                  <c:v>20.805</c:v>
                </c:pt>
                <c:pt idx="3424">
                  <c:v>20.71</c:v>
                </c:pt>
                <c:pt idx="3425">
                  <c:v>20.71</c:v>
                </c:pt>
                <c:pt idx="3426">
                  <c:v>20.614999999999998</c:v>
                </c:pt>
                <c:pt idx="3427">
                  <c:v>20.614999999999998</c:v>
                </c:pt>
                <c:pt idx="3428">
                  <c:v>20.614999999999998</c:v>
                </c:pt>
                <c:pt idx="3429">
                  <c:v>20.614999999999998</c:v>
                </c:pt>
                <c:pt idx="3430">
                  <c:v>20.518999999999991</c:v>
                </c:pt>
                <c:pt idx="3431">
                  <c:v>20.518999999999991</c:v>
                </c:pt>
                <c:pt idx="3432">
                  <c:v>20.518999999999991</c:v>
                </c:pt>
                <c:pt idx="3433">
                  <c:v>20.518999999999991</c:v>
                </c:pt>
                <c:pt idx="3434">
                  <c:v>20.423999999999999</c:v>
                </c:pt>
                <c:pt idx="3435">
                  <c:v>20.423999999999999</c:v>
                </c:pt>
                <c:pt idx="3436">
                  <c:v>20.329000000000001</c:v>
                </c:pt>
                <c:pt idx="3437">
                  <c:v>20.329000000000001</c:v>
                </c:pt>
                <c:pt idx="3438">
                  <c:v>20.329000000000001</c:v>
                </c:pt>
                <c:pt idx="3439">
                  <c:v>20.234000000000009</c:v>
                </c:pt>
                <c:pt idx="3440">
                  <c:v>20.234000000000009</c:v>
                </c:pt>
                <c:pt idx="3441">
                  <c:v>20.234000000000009</c:v>
                </c:pt>
                <c:pt idx="3442">
                  <c:v>20.138000000000009</c:v>
                </c:pt>
                <c:pt idx="3443">
                  <c:v>20.138000000000009</c:v>
                </c:pt>
                <c:pt idx="3444">
                  <c:v>20.138000000000009</c:v>
                </c:pt>
                <c:pt idx="3445">
                  <c:v>20.138000000000009</c:v>
                </c:pt>
                <c:pt idx="3446">
                  <c:v>20.042999999999999</c:v>
                </c:pt>
                <c:pt idx="3447">
                  <c:v>20.042999999999999</c:v>
                </c:pt>
                <c:pt idx="3448">
                  <c:v>19.948</c:v>
                </c:pt>
                <c:pt idx="3449">
                  <c:v>19.948</c:v>
                </c:pt>
                <c:pt idx="3450">
                  <c:v>19.948</c:v>
                </c:pt>
                <c:pt idx="3451">
                  <c:v>19.853000000000009</c:v>
                </c:pt>
                <c:pt idx="3452">
                  <c:v>19.853000000000009</c:v>
                </c:pt>
                <c:pt idx="3453">
                  <c:v>19.853000000000009</c:v>
                </c:pt>
                <c:pt idx="3454">
                  <c:v>19.853000000000009</c:v>
                </c:pt>
                <c:pt idx="3455">
                  <c:v>19.757999999999999</c:v>
                </c:pt>
                <c:pt idx="3456">
                  <c:v>19.757999999999999</c:v>
                </c:pt>
                <c:pt idx="3457">
                  <c:v>19.757999999999999</c:v>
                </c:pt>
                <c:pt idx="3458">
                  <c:v>19.757999999999999</c:v>
                </c:pt>
                <c:pt idx="3459">
                  <c:v>19.661999999999999</c:v>
                </c:pt>
                <c:pt idx="3460">
                  <c:v>19.567</c:v>
                </c:pt>
                <c:pt idx="3461">
                  <c:v>19.472000000000001</c:v>
                </c:pt>
                <c:pt idx="3462">
                  <c:v>19.567</c:v>
                </c:pt>
                <c:pt idx="3463">
                  <c:v>19.472000000000001</c:v>
                </c:pt>
                <c:pt idx="3464">
                  <c:v>19.376999999999999</c:v>
                </c:pt>
                <c:pt idx="3465">
                  <c:v>19.187000000000001</c:v>
                </c:pt>
                <c:pt idx="3466">
                  <c:v>19.282</c:v>
                </c:pt>
                <c:pt idx="3467">
                  <c:v>19.282</c:v>
                </c:pt>
                <c:pt idx="3468">
                  <c:v>19.187000000000001</c:v>
                </c:pt>
                <c:pt idx="3469">
                  <c:v>19.091999999999999</c:v>
                </c:pt>
                <c:pt idx="3470">
                  <c:v>19.091999999999999</c:v>
                </c:pt>
                <c:pt idx="3471">
                  <c:v>18.995999999999999</c:v>
                </c:pt>
                <c:pt idx="3472">
                  <c:v>18.995999999999999</c:v>
                </c:pt>
                <c:pt idx="3473">
                  <c:v>18.901</c:v>
                </c:pt>
                <c:pt idx="3474">
                  <c:v>18.901</c:v>
                </c:pt>
                <c:pt idx="3475">
                  <c:v>18.806000000000001</c:v>
                </c:pt>
                <c:pt idx="3476">
                  <c:v>18.806000000000001</c:v>
                </c:pt>
                <c:pt idx="3477">
                  <c:v>18.806000000000001</c:v>
                </c:pt>
                <c:pt idx="3478">
                  <c:v>18.806000000000001</c:v>
                </c:pt>
                <c:pt idx="3479">
                  <c:v>18.710999999999999</c:v>
                </c:pt>
                <c:pt idx="3480">
                  <c:v>18.710999999999999</c:v>
                </c:pt>
                <c:pt idx="3481">
                  <c:v>18.616</c:v>
                </c:pt>
                <c:pt idx="3482">
                  <c:v>18.710999999999999</c:v>
                </c:pt>
                <c:pt idx="3483">
                  <c:v>18.806000000000001</c:v>
                </c:pt>
                <c:pt idx="3484">
                  <c:v>18.710999999999999</c:v>
                </c:pt>
                <c:pt idx="3485">
                  <c:v>18.806000000000001</c:v>
                </c:pt>
                <c:pt idx="3486">
                  <c:v>18.806000000000001</c:v>
                </c:pt>
                <c:pt idx="3487">
                  <c:v>18.995999999999999</c:v>
                </c:pt>
                <c:pt idx="3488">
                  <c:v>19.091999999999999</c:v>
                </c:pt>
                <c:pt idx="3489">
                  <c:v>19.282</c:v>
                </c:pt>
                <c:pt idx="3490">
                  <c:v>19.282</c:v>
                </c:pt>
                <c:pt idx="3491">
                  <c:v>19.282</c:v>
                </c:pt>
                <c:pt idx="3492">
                  <c:v>19.376999999999999</c:v>
                </c:pt>
                <c:pt idx="3493">
                  <c:v>19.472000000000001</c:v>
                </c:pt>
                <c:pt idx="3494">
                  <c:v>19.661999999999999</c:v>
                </c:pt>
                <c:pt idx="3495">
                  <c:v>19.661999999999999</c:v>
                </c:pt>
                <c:pt idx="3496">
                  <c:v>20.234000000000009</c:v>
                </c:pt>
                <c:pt idx="3497">
                  <c:v>19.948</c:v>
                </c:pt>
                <c:pt idx="3498">
                  <c:v>20.042999999999999</c:v>
                </c:pt>
                <c:pt idx="3499">
                  <c:v>20.518999999999991</c:v>
                </c:pt>
                <c:pt idx="3500">
                  <c:v>20.138000000000009</c:v>
                </c:pt>
                <c:pt idx="3501">
                  <c:v>20.329000000000001</c:v>
                </c:pt>
                <c:pt idx="3502">
                  <c:v>20.423999999999999</c:v>
                </c:pt>
                <c:pt idx="3503">
                  <c:v>21.187000000000001</c:v>
                </c:pt>
                <c:pt idx="3504">
                  <c:v>20.614999999999998</c:v>
                </c:pt>
                <c:pt idx="3505">
                  <c:v>21.091000000000001</c:v>
                </c:pt>
                <c:pt idx="3506">
                  <c:v>21.855</c:v>
                </c:pt>
                <c:pt idx="3507">
                  <c:v>21.855</c:v>
                </c:pt>
                <c:pt idx="3508">
                  <c:v>20.995999999999999</c:v>
                </c:pt>
                <c:pt idx="3509">
                  <c:v>20.995999999999999</c:v>
                </c:pt>
                <c:pt idx="3510">
                  <c:v>21.091000000000001</c:v>
                </c:pt>
                <c:pt idx="3511">
                  <c:v>20.995999999999999</c:v>
                </c:pt>
                <c:pt idx="3512">
                  <c:v>20.995999999999999</c:v>
                </c:pt>
                <c:pt idx="3513">
                  <c:v>20.901</c:v>
                </c:pt>
                <c:pt idx="3514">
                  <c:v>21.091000000000001</c:v>
                </c:pt>
                <c:pt idx="3515">
                  <c:v>20.901</c:v>
                </c:pt>
                <c:pt idx="3516">
                  <c:v>20.901</c:v>
                </c:pt>
                <c:pt idx="3517">
                  <c:v>20.901</c:v>
                </c:pt>
                <c:pt idx="3518">
                  <c:v>20.901</c:v>
                </c:pt>
                <c:pt idx="3519">
                  <c:v>20.805</c:v>
                </c:pt>
                <c:pt idx="3520">
                  <c:v>20.805</c:v>
                </c:pt>
                <c:pt idx="3521">
                  <c:v>20.805</c:v>
                </c:pt>
                <c:pt idx="3522">
                  <c:v>20.805</c:v>
                </c:pt>
                <c:pt idx="3523">
                  <c:v>20.614999999999998</c:v>
                </c:pt>
                <c:pt idx="3524">
                  <c:v>20.614999999999998</c:v>
                </c:pt>
                <c:pt idx="3525">
                  <c:v>20.518999999999991</c:v>
                </c:pt>
                <c:pt idx="3526">
                  <c:v>20.518999999999991</c:v>
                </c:pt>
                <c:pt idx="3527">
                  <c:v>20.518999999999991</c:v>
                </c:pt>
                <c:pt idx="3528">
                  <c:v>20.423999999999999</c:v>
                </c:pt>
                <c:pt idx="3529">
                  <c:v>20.423999999999999</c:v>
                </c:pt>
                <c:pt idx="3530">
                  <c:v>20.423999999999999</c:v>
                </c:pt>
                <c:pt idx="3531">
                  <c:v>20.329000000000001</c:v>
                </c:pt>
                <c:pt idx="3532">
                  <c:v>20.329000000000001</c:v>
                </c:pt>
                <c:pt idx="3533">
                  <c:v>20.234000000000009</c:v>
                </c:pt>
                <c:pt idx="3534">
                  <c:v>20.138000000000009</c:v>
                </c:pt>
                <c:pt idx="3535">
                  <c:v>20.138000000000009</c:v>
                </c:pt>
                <c:pt idx="3536">
                  <c:v>20.042999999999999</c:v>
                </c:pt>
                <c:pt idx="3537">
                  <c:v>19.948</c:v>
                </c:pt>
                <c:pt idx="3538">
                  <c:v>19.853000000000009</c:v>
                </c:pt>
                <c:pt idx="3539">
                  <c:v>19.853000000000009</c:v>
                </c:pt>
                <c:pt idx="3540">
                  <c:v>19.757999999999999</c:v>
                </c:pt>
                <c:pt idx="3541">
                  <c:v>19.567</c:v>
                </c:pt>
                <c:pt idx="3542">
                  <c:v>19.567</c:v>
                </c:pt>
                <c:pt idx="3543">
                  <c:v>19.567</c:v>
                </c:pt>
                <c:pt idx="3544">
                  <c:v>19.472000000000001</c:v>
                </c:pt>
                <c:pt idx="3545">
                  <c:v>19.567</c:v>
                </c:pt>
                <c:pt idx="3546">
                  <c:v>19.472000000000001</c:v>
                </c:pt>
                <c:pt idx="3547">
                  <c:v>19.472000000000001</c:v>
                </c:pt>
                <c:pt idx="3548">
                  <c:v>19.472000000000001</c:v>
                </c:pt>
                <c:pt idx="3549">
                  <c:v>19.472000000000001</c:v>
                </c:pt>
                <c:pt idx="3550">
                  <c:v>19.472000000000001</c:v>
                </c:pt>
                <c:pt idx="3551">
                  <c:v>19.376999999999999</c:v>
                </c:pt>
                <c:pt idx="3552">
                  <c:v>19.282</c:v>
                </c:pt>
                <c:pt idx="3553">
                  <c:v>19.282</c:v>
                </c:pt>
                <c:pt idx="3554">
                  <c:v>19.091999999999999</c:v>
                </c:pt>
                <c:pt idx="3555">
                  <c:v>19.091999999999999</c:v>
                </c:pt>
                <c:pt idx="3556">
                  <c:v>19.091999999999999</c:v>
                </c:pt>
                <c:pt idx="3557">
                  <c:v>18.995999999999999</c:v>
                </c:pt>
                <c:pt idx="3558">
                  <c:v>18.995999999999999</c:v>
                </c:pt>
                <c:pt idx="3559">
                  <c:v>18.995999999999999</c:v>
                </c:pt>
                <c:pt idx="3560">
                  <c:v>18.901</c:v>
                </c:pt>
                <c:pt idx="3561">
                  <c:v>18.901</c:v>
                </c:pt>
                <c:pt idx="3562">
                  <c:v>18.901</c:v>
                </c:pt>
                <c:pt idx="3563">
                  <c:v>18.710999999999999</c:v>
                </c:pt>
                <c:pt idx="3564">
                  <c:v>18.710999999999999</c:v>
                </c:pt>
                <c:pt idx="3565">
                  <c:v>18.710999999999999</c:v>
                </c:pt>
                <c:pt idx="3566">
                  <c:v>18.806000000000001</c:v>
                </c:pt>
                <c:pt idx="3567">
                  <c:v>18.616</c:v>
                </c:pt>
                <c:pt idx="3568">
                  <c:v>18.521000000000001</c:v>
                </c:pt>
                <c:pt idx="3569">
                  <c:v>18.521000000000001</c:v>
                </c:pt>
                <c:pt idx="3570">
                  <c:v>18.521000000000001</c:v>
                </c:pt>
                <c:pt idx="3571">
                  <c:v>18.425999999999981</c:v>
                </c:pt>
                <c:pt idx="3572">
                  <c:v>18.616</c:v>
                </c:pt>
                <c:pt idx="3573">
                  <c:v>18.425999999999981</c:v>
                </c:pt>
                <c:pt idx="3574">
                  <c:v>18.521000000000001</c:v>
                </c:pt>
                <c:pt idx="3575">
                  <c:v>18.425999999999981</c:v>
                </c:pt>
                <c:pt idx="3576">
                  <c:v>18.331</c:v>
                </c:pt>
                <c:pt idx="3577">
                  <c:v>18.425999999999981</c:v>
                </c:pt>
                <c:pt idx="3578">
                  <c:v>18.521000000000001</c:v>
                </c:pt>
                <c:pt idx="3579">
                  <c:v>18.521000000000001</c:v>
                </c:pt>
                <c:pt idx="3580">
                  <c:v>18.616</c:v>
                </c:pt>
                <c:pt idx="3581">
                  <c:v>18.616</c:v>
                </c:pt>
                <c:pt idx="3582">
                  <c:v>18.616</c:v>
                </c:pt>
                <c:pt idx="3583">
                  <c:v>18.806000000000001</c:v>
                </c:pt>
                <c:pt idx="3584">
                  <c:v>18.995999999999999</c:v>
                </c:pt>
                <c:pt idx="3585">
                  <c:v>18.995999999999999</c:v>
                </c:pt>
                <c:pt idx="3586">
                  <c:v>19.091999999999999</c:v>
                </c:pt>
                <c:pt idx="3587">
                  <c:v>19.091999999999999</c:v>
                </c:pt>
                <c:pt idx="3588">
                  <c:v>19.187000000000001</c:v>
                </c:pt>
                <c:pt idx="3589">
                  <c:v>19.282</c:v>
                </c:pt>
                <c:pt idx="3590">
                  <c:v>19.472000000000001</c:v>
                </c:pt>
                <c:pt idx="3591">
                  <c:v>19.472000000000001</c:v>
                </c:pt>
                <c:pt idx="3592">
                  <c:v>20.042999999999999</c:v>
                </c:pt>
                <c:pt idx="3593">
                  <c:v>19.853000000000009</c:v>
                </c:pt>
                <c:pt idx="3594">
                  <c:v>19.853000000000009</c:v>
                </c:pt>
                <c:pt idx="3595">
                  <c:v>20.234000000000009</c:v>
                </c:pt>
                <c:pt idx="3596">
                  <c:v>19.948</c:v>
                </c:pt>
                <c:pt idx="3597">
                  <c:v>20.234000000000009</c:v>
                </c:pt>
                <c:pt idx="3598">
                  <c:v>20.234000000000009</c:v>
                </c:pt>
                <c:pt idx="3599">
                  <c:v>20.518999999999991</c:v>
                </c:pt>
                <c:pt idx="3600">
                  <c:v>20.518999999999991</c:v>
                </c:pt>
                <c:pt idx="3601">
                  <c:v>21.091000000000001</c:v>
                </c:pt>
                <c:pt idx="3602">
                  <c:v>21.664000000000001</c:v>
                </c:pt>
                <c:pt idx="3603">
                  <c:v>21.76</c:v>
                </c:pt>
                <c:pt idx="3604">
                  <c:v>20.901</c:v>
                </c:pt>
                <c:pt idx="3605">
                  <c:v>20.901</c:v>
                </c:pt>
                <c:pt idx="3606">
                  <c:v>20.995999999999999</c:v>
                </c:pt>
                <c:pt idx="3607">
                  <c:v>20.901</c:v>
                </c:pt>
                <c:pt idx="3608">
                  <c:v>20.901</c:v>
                </c:pt>
                <c:pt idx="3609">
                  <c:v>20.901</c:v>
                </c:pt>
                <c:pt idx="3610">
                  <c:v>20.901</c:v>
                </c:pt>
                <c:pt idx="3611">
                  <c:v>20.901</c:v>
                </c:pt>
                <c:pt idx="3612">
                  <c:v>20.901</c:v>
                </c:pt>
                <c:pt idx="3613">
                  <c:v>21.091000000000001</c:v>
                </c:pt>
                <c:pt idx="3614">
                  <c:v>20.805</c:v>
                </c:pt>
                <c:pt idx="3615">
                  <c:v>20.71</c:v>
                </c:pt>
                <c:pt idx="3616">
                  <c:v>20.71</c:v>
                </c:pt>
                <c:pt idx="3617">
                  <c:v>20.614999999999998</c:v>
                </c:pt>
                <c:pt idx="3618">
                  <c:v>20.614999999999998</c:v>
                </c:pt>
                <c:pt idx="3619">
                  <c:v>20.614999999999998</c:v>
                </c:pt>
                <c:pt idx="3620">
                  <c:v>20.614999999999998</c:v>
                </c:pt>
                <c:pt idx="3621">
                  <c:v>20.614999999999998</c:v>
                </c:pt>
                <c:pt idx="3622">
                  <c:v>20.518999999999991</c:v>
                </c:pt>
                <c:pt idx="3623">
                  <c:v>20.518999999999991</c:v>
                </c:pt>
                <c:pt idx="3624">
                  <c:v>20.423999999999999</c:v>
                </c:pt>
                <c:pt idx="3625">
                  <c:v>20.423999999999999</c:v>
                </c:pt>
                <c:pt idx="3626">
                  <c:v>20.423999999999999</c:v>
                </c:pt>
                <c:pt idx="3627">
                  <c:v>20.329000000000001</c:v>
                </c:pt>
                <c:pt idx="3628">
                  <c:v>20.234000000000009</c:v>
                </c:pt>
                <c:pt idx="3629">
                  <c:v>20.234000000000009</c:v>
                </c:pt>
                <c:pt idx="3630">
                  <c:v>20.138000000000009</c:v>
                </c:pt>
                <c:pt idx="3631">
                  <c:v>20.042999999999999</c:v>
                </c:pt>
                <c:pt idx="3632">
                  <c:v>19.948</c:v>
                </c:pt>
                <c:pt idx="3633">
                  <c:v>19.948</c:v>
                </c:pt>
                <c:pt idx="3634">
                  <c:v>19.757999999999999</c:v>
                </c:pt>
                <c:pt idx="3635">
                  <c:v>19.853000000000009</c:v>
                </c:pt>
                <c:pt idx="3636">
                  <c:v>19.757999999999999</c:v>
                </c:pt>
                <c:pt idx="3637">
                  <c:v>19.661999999999999</c:v>
                </c:pt>
                <c:pt idx="3638">
                  <c:v>19.757999999999999</c:v>
                </c:pt>
                <c:pt idx="3639">
                  <c:v>19.661999999999999</c:v>
                </c:pt>
                <c:pt idx="3640">
                  <c:v>19.661999999999999</c:v>
                </c:pt>
                <c:pt idx="3641">
                  <c:v>19.757999999999999</c:v>
                </c:pt>
                <c:pt idx="3642">
                  <c:v>19.661999999999999</c:v>
                </c:pt>
                <c:pt idx="3643">
                  <c:v>19.661999999999999</c:v>
                </c:pt>
                <c:pt idx="3644">
                  <c:v>19.661999999999999</c:v>
                </c:pt>
                <c:pt idx="3645">
                  <c:v>19.661999999999999</c:v>
                </c:pt>
                <c:pt idx="3646">
                  <c:v>19.661999999999999</c:v>
                </c:pt>
                <c:pt idx="3647">
                  <c:v>19.567</c:v>
                </c:pt>
                <c:pt idx="3648">
                  <c:v>19.567</c:v>
                </c:pt>
                <c:pt idx="3649">
                  <c:v>19.567</c:v>
                </c:pt>
                <c:pt idx="3650">
                  <c:v>19.567</c:v>
                </c:pt>
                <c:pt idx="3651">
                  <c:v>19.567</c:v>
                </c:pt>
                <c:pt idx="3652">
                  <c:v>19.567</c:v>
                </c:pt>
                <c:pt idx="3653">
                  <c:v>19.472000000000001</c:v>
                </c:pt>
                <c:pt idx="3654">
                  <c:v>19.472000000000001</c:v>
                </c:pt>
                <c:pt idx="3655">
                  <c:v>19.376999999999999</c:v>
                </c:pt>
                <c:pt idx="3656">
                  <c:v>19.282</c:v>
                </c:pt>
                <c:pt idx="3657">
                  <c:v>19.282</c:v>
                </c:pt>
                <c:pt idx="3658">
                  <c:v>19.282</c:v>
                </c:pt>
                <c:pt idx="3659">
                  <c:v>19.282</c:v>
                </c:pt>
                <c:pt idx="3660">
                  <c:v>19.282</c:v>
                </c:pt>
                <c:pt idx="3661">
                  <c:v>19.282</c:v>
                </c:pt>
                <c:pt idx="3662">
                  <c:v>19.187000000000001</c:v>
                </c:pt>
                <c:pt idx="3663">
                  <c:v>19.282</c:v>
                </c:pt>
                <c:pt idx="3664">
                  <c:v>19.187000000000001</c:v>
                </c:pt>
                <c:pt idx="3665">
                  <c:v>19.091999999999999</c:v>
                </c:pt>
                <c:pt idx="3666">
                  <c:v>19.091999999999999</c:v>
                </c:pt>
                <c:pt idx="3667">
                  <c:v>18.995999999999999</c:v>
                </c:pt>
                <c:pt idx="3668">
                  <c:v>18.995999999999999</c:v>
                </c:pt>
                <c:pt idx="3669">
                  <c:v>18.995999999999999</c:v>
                </c:pt>
                <c:pt idx="3670">
                  <c:v>18.901</c:v>
                </c:pt>
                <c:pt idx="3671">
                  <c:v>18.901</c:v>
                </c:pt>
                <c:pt idx="3672">
                  <c:v>18.901</c:v>
                </c:pt>
                <c:pt idx="3673">
                  <c:v>18.901</c:v>
                </c:pt>
                <c:pt idx="3674">
                  <c:v>18.806000000000001</c:v>
                </c:pt>
                <c:pt idx="3675">
                  <c:v>18.901</c:v>
                </c:pt>
                <c:pt idx="3676">
                  <c:v>18.901</c:v>
                </c:pt>
                <c:pt idx="3677">
                  <c:v>18.995999999999999</c:v>
                </c:pt>
                <c:pt idx="3678">
                  <c:v>18.995999999999999</c:v>
                </c:pt>
                <c:pt idx="3679">
                  <c:v>19.187000000000001</c:v>
                </c:pt>
                <c:pt idx="3680">
                  <c:v>19.376999999999999</c:v>
                </c:pt>
                <c:pt idx="3681">
                  <c:v>19.376999999999999</c:v>
                </c:pt>
                <c:pt idx="3682">
                  <c:v>19.472000000000001</c:v>
                </c:pt>
                <c:pt idx="3683">
                  <c:v>19.567</c:v>
                </c:pt>
                <c:pt idx="3684">
                  <c:v>19.661999999999999</c:v>
                </c:pt>
                <c:pt idx="3685">
                  <c:v>19.661999999999999</c:v>
                </c:pt>
                <c:pt idx="3686">
                  <c:v>19.853000000000009</c:v>
                </c:pt>
                <c:pt idx="3687">
                  <c:v>19.853000000000009</c:v>
                </c:pt>
                <c:pt idx="3688">
                  <c:v>20.138000000000009</c:v>
                </c:pt>
                <c:pt idx="3689">
                  <c:v>20.138000000000009</c:v>
                </c:pt>
                <c:pt idx="3690">
                  <c:v>20.329000000000001</c:v>
                </c:pt>
                <c:pt idx="3691">
                  <c:v>20.423999999999999</c:v>
                </c:pt>
                <c:pt idx="3692">
                  <c:v>20.234000000000009</c:v>
                </c:pt>
                <c:pt idx="3693">
                  <c:v>20.329000000000001</c:v>
                </c:pt>
                <c:pt idx="3694">
                  <c:v>20.518999999999991</c:v>
                </c:pt>
                <c:pt idx="3695">
                  <c:v>20.518999999999991</c:v>
                </c:pt>
                <c:pt idx="3696">
                  <c:v>20.71</c:v>
                </c:pt>
                <c:pt idx="3697">
                  <c:v>20.995999999999999</c:v>
                </c:pt>
                <c:pt idx="3698">
                  <c:v>21.378</c:v>
                </c:pt>
                <c:pt idx="3699">
                  <c:v>21.378</c:v>
                </c:pt>
                <c:pt idx="3700">
                  <c:v>21.282</c:v>
                </c:pt>
                <c:pt idx="3701">
                  <c:v>20.995999999999999</c:v>
                </c:pt>
                <c:pt idx="3702">
                  <c:v>21.378</c:v>
                </c:pt>
                <c:pt idx="3703">
                  <c:v>21.091000000000001</c:v>
                </c:pt>
                <c:pt idx="3704">
                  <c:v>21.091000000000001</c:v>
                </c:pt>
                <c:pt idx="3705">
                  <c:v>21.091000000000001</c:v>
                </c:pt>
                <c:pt idx="3706">
                  <c:v>21.091000000000001</c:v>
                </c:pt>
                <c:pt idx="3707">
                  <c:v>21.091000000000001</c:v>
                </c:pt>
                <c:pt idx="3708">
                  <c:v>21.091000000000001</c:v>
                </c:pt>
                <c:pt idx="3709">
                  <c:v>21.091000000000001</c:v>
                </c:pt>
                <c:pt idx="3710">
                  <c:v>21.282</c:v>
                </c:pt>
                <c:pt idx="3711">
                  <c:v>20.995999999999999</c:v>
                </c:pt>
                <c:pt idx="3712">
                  <c:v>20.901</c:v>
                </c:pt>
                <c:pt idx="3713">
                  <c:v>20.805</c:v>
                </c:pt>
                <c:pt idx="3714">
                  <c:v>20.805</c:v>
                </c:pt>
                <c:pt idx="3715">
                  <c:v>20.71</c:v>
                </c:pt>
                <c:pt idx="3716">
                  <c:v>20.614999999999998</c:v>
                </c:pt>
                <c:pt idx="3717">
                  <c:v>20.614999999999998</c:v>
                </c:pt>
                <c:pt idx="3718">
                  <c:v>20.614999999999998</c:v>
                </c:pt>
                <c:pt idx="3719">
                  <c:v>20.518999999999991</c:v>
                </c:pt>
                <c:pt idx="3720">
                  <c:v>20.518999999999991</c:v>
                </c:pt>
                <c:pt idx="3721">
                  <c:v>20.518999999999991</c:v>
                </c:pt>
                <c:pt idx="3722">
                  <c:v>20.518999999999991</c:v>
                </c:pt>
                <c:pt idx="3723">
                  <c:v>20.423999999999999</c:v>
                </c:pt>
                <c:pt idx="3724">
                  <c:v>20.329000000000001</c:v>
                </c:pt>
                <c:pt idx="3725">
                  <c:v>20.329000000000001</c:v>
                </c:pt>
                <c:pt idx="3726">
                  <c:v>20.234000000000009</c:v>
                </c:pt>
                <c:pt idx="3727">
                  <c:v>20.138000000000009</c:v>
                </c:pt>
                <c:pt idx="3728">
                  <c:v>20.042999999999999</c:v>
                </c:pt>
                <c:pt idx="3729">
                  <c:v>20.042999999999999</c:v>
                </c:pt>
                <c:pt idx="3730">
                  <c:v>19.948</c:v>
                </c:pt>
                <c:pt idx="3731">
                  <c:v>19.853000000000009</c:v>
                </c:pt>
                <c:pt idx="3732">
                  <c:v>19.853000000000009</c:v>
                </c:pt>
                <c:pt idx="3733">
                  <c:v>19.853000000000009</c:v>
                </c:pt>
                <c:pt idx="3734">
                  <c:v>19.757999999999999</c:v>
                </c:pt>
                <c:pt idx="3735">
                  <c:v>19.757999999999999</c:v>
                </c:pt>
                <c:pt idx="3736">
                  <c:v>19.757999999999999</c:v>
                </c:pt>
                <c:pt idx="3737">
                  <c:v>19.661999999999999</c:v>
                </c:pt>
                <c:pt idx="3738">
                  <c:v>19.661999999999999</c:v>
                </c:pt>
                <c:pt idx="3739">
                  <c:v>19.567</c:v>
                </c:pt>
                <c:pt idx="3740">
                  <c:v>19.567</c:v>
                </c:pt>
                <c:pt idx="3741">
                  <c:v>19.472000000000001</c:v>
                </c:pt>
                <c:pt idx="3742">
                  <c:v>19.376999999999999</c:v>
                </c:pt>
                <c:pt idx="3743">
                  <c:v>19.376999999999999</c:v>
                </c:pt>
                <c:pt idx="3744">
                  <c:v>19.282</c:v>
                </c:pt>
                <c:pt idx="3745">
                  <c:v>19.282</c:v>
                </c:pt>
                <c:pt idx="3746">
                  <c:v>19.282</c:v>
                </c:pt>
                <c:pt idx="3747">
                  <c:v>19.187000000000001</c:v>
                </c:pt>
                <c:pt idx="3748">
                  <c:v>19.091999999999999</c:v>
                </c:pt>
                <c:pt idx="3749">
                  <c:v>19.091999999999999</c:v>
                </c:pt>
                <c:pt idx="3750">
                  <c:v>18.995999999999999</c:v>
                </c:pt>
                <c:pt idx="3751">
                  <c:v>18.995999999999999</c:v>
                </c:pt>
                <c:pt idx="3752">
                  <c:v>18.995999999999999</c:v>
                </c:pt>
                <c:pt idx="3753">
                  <c:v>18.995999999999999</c:v>
                </c:pt>
                <c:pt idx="3754">
                  <c:v>18.901</c:v>
                </c:pt>
                <c:pt idx="3755">
                  <c:v>18.901</c:v>
                </c:pt>
                <c:pt idx="3756">
                  <c:v>18.806000000000001</c:v>
                </c:pt>
                <c:pt idx="3757">
                  <c:v>18.806000000000001</c:v>
                </c:pt>
                <c:pt idx="3758">
                  <c:v>18.806000000000001</c:v>
                </c:pt>
                <c:pt idx="3759">
                  <c:v>18.806000000000001</c:v>
                </c:pt>
                <c:pt idx="3760">
                  <c:v>18.806000000000001</c:v>
                </c:pt>
                <c:pt idx="3761">
                  <c:v>18.710999999999999</c:v>
                </c:pt>
                <c:pt idx="3762">
                  <c:v>18.710999999999999</c:v>
                </c:pt>
                <c:pt idx="3763">
                  <c:v>18.710999999999999</c:v>
                </c:pt>
                <c:pt idx="3764">
                  <c:v>18.616</c:v>
                </c:pt>
                <c:pt idx="3765">
                  <c:v>18.616</c:v>
                </c:pt>
                <c:pt idx="3766">
                  <c:v>18.616</c:v>
                </c:pt>
                <c:pt idx="3767">
                  <c:v>18.521000000000001</c:v>
                </c:pt>
                <c:pt idx="3768">
                  <c:v>18.425999999999981</c:v>
                </c:pt>
                <c:pt idx="3769">
                  <c:v>18.616</c:v>
                </c:pt>
                <c:pt idx="3770">
                  <c:v>18.616</c:v>
                </c:pt>
                <c:pt idx="3771">
                  <c:v>18.710999999999999</c:v>
                </c:pt>
                <c:pt idx="3772">
                  <c:v>18.710999999999999</c:v>
                </c:pt>
                <c:pt idx="3773">
                  <c:v>18.806000000000001</c:v>
                </c:pt>
                <c:pt idx="3774">
                  <c:v>18.901</c:v>
                </c:pt>
                <c:pt idx="3775">
                  <c:v>18.995999999999999</c:v>
                </c:pt>
                <c:pt idx="3776">
                  <c:v>19.091999999999999</c:v>
                </c:pt>
                <c:pt idx="3777">
                  <c:v>19.091999999999999</c:v>
                </c:pt>
                <c:pt idx="3778">
                  <c:v>19.187000000000001</c:v>
                </c:pt>
                <c:pt idx="3779">
                  <c:v>19.376999999999999</c:v>
                </c:pt>
                <c:pt idx="3780">
                  <c:v>19.376999999999999</c:v>
                </c:pt>
                <c:pt idx="3781">
                  <c:v>19.472000000000001</c:v>
                </c:pt>
                <c:pt idx="3782">
                  <c:v>19.567</c:v>
                </c:pt>
                <c:pt idx="3783">
                  <c:v>19.661999999999999</c:v>
                </c:pt>
                <c:pt idx="3784">
                  <c:v>19.948</c:v>
                </c:pt>
                <c:pt idx="3785">
                  <c:v>19.853000000000009</c:v>
                </c:pt>
                <c:pt idx="3786">
                  <c:v>20.042999999999999</c:v>
                </c:pt>
                <c:pt idx="3787">
                  <c:v>20.329000000000001</c:v>
                </c:pt>
                <c:pt idx="3788">
                  <c:v>20.138000000000009</c:v>
                </c:pt>
                <c:pt idx="3789">
                  <c:v>20.138000000000009</c:v>
                </c:pt>
                <c:pt idx="3790">
                  <c:v>20.423999999999999</c:v>
                </c:pt>
                <c:pt idx="3791">
                  <c:v>20.518999999999991</c:v>
                </c:pt>
                <c:pt idx="3792">
                  <c:v>20.71</c:v>
                </c:pt>
                <c:pt idx="3793">
                  <c:v>20.995999999999999</c:v>
                </c:pt>
                <c:pt idx="3794">
                  <c:v>20.71</c:v>
                </c:pt>
                <c:pt idx="3795">
                  <c:v>20.614999999999998</c:v>
                </c:pt>
                <c:pt idx="3796">
                  <c:v>20.71</c:v>
                </c:pt>
                <c:pt idx="3797">
                  <c:v>20.518999999999991</c:v>
                </c:pt>
                <c:pt idx="3798">
                  <c:v>20.805</c:v>
                </c:pt>
                <c:pt idx="3799">
                  <c:v>20.71</c:v>
                </c:pt>
                <c:pt idx="3800">
                  <c:v>20.614999999999998</c:v>
                </c:pt>
                <c:pt idx="3801">
                  <c:v>20.518999999999991</c:v>
                </c:pt>
                <c:pt idx="3802">
                  <c:v>20.518999999999991</c:v>
                </c:pt>
                <c:pt idx="3803">
                  <c:v>20.518999999999991</c:v>
                </c:pt>
                <c:pt idx="3804">
                  <c:v>20.423999999999999</c:v>
                </c:pt>
                <c:pt idx="3805">
                  <c:v>20.614999999999998</c:v>
                </c:pt>
                <c:pt idx="3806">
                  <c:v>20.518999999999991</c:v>
                </c:pt>
                <c:pt idx="3807">
                  <c:v>20.518999999999991</c:v>
                </c:pt>
                <c:pt idx="3808">
                  <c:v>20.329000000000001</c:v>
                </c:pt>
                <c:pt idx="3809">
                  <c:v>20.329000000000001</c:v>
                </c:pt>
                <c:pt idx="3810">
                  <c:v>20.329000000000001</c:v>
                </c:pt>
                <c:pt idx="3811">
                  <c:v>20.329000000000001</c:v>
                </c:pt>
                <c:pt idx="3812">
                  <c:v>20.329000000000001</c:v>
                </c:pt>
                <c:pt idx="3813">
                  <c:v>20.234000000000009</c:v>
                </c:pt>
                <c:pt idx="3814">
                  <c:v>20.234000000000009</c:v>
                </c:pt>
                <c:pt idx="3815">
                  <c:v>20.234000000000009</c:v>
                </c:pt>
                <c:pt idx="3816">
                  <c:v>20.234000000000009</c:v>
                </c:pt>
                <c:pt idx="3817">
                  <c:v>20.234000000000009</c:v>
                </c:pt>
                <c:pt idx="3818">
                  <c:v>20.234000000000009</c:v>
                </c:pt>
                <c:pt idx="3819">
                  <c:v>20.234000000000009</c:v>
                </c:pt>
                <c:pt idx="3820">
                  <c:v>20.138000000000009</c:v>
                </c:pt>
                <c:pt idx="3821">
                  <c:v>20.138000000000009</c:v>
                </c:pt>
                <c:pt idx="3822">
                  <c:v>20.138000000000009</c:v>
                </c:pt>
                <c:pt idx="3823">
                  <c:v>20.042999999999999</c:v>
                </c:pt>
                <c:pt idx="3824">
                  <c:v>19.948</c:v>
                </c:pt>
                <c:pt idx="3825">
                  <c:v>19.948</c:v>
                </c:pt>
                <c:pt idx="3826">
                  <c:v>19.948</c:v>
                </c:pt>
                <c:pt idx="3827">
                  <c:v>19.948</c:v>
                </c:pt>
                <c:pt idx="3828">
                  <c:v>19.948</c:v>
                </c:pt>
                <c:pt idx="3829">
                  <c:v>19.948</c:v>
                </c:pt>
                <c:pt idx="3830">
                  <c:v>19.948</c:v>
                </c:pt>
                <c:pt idx="3831">
                  <c:v>19.853000000000009</c:v>
                </c:pt>
                <c:pt idx="3832">
                  <c:v>19.853000000000009</c:v>
                </c:pt>
                <c:pt idx="3833">
                  <c:v>19.948</c:v>
                </c:pt>
                <c:pt idx="3834">
                  <c:v>19.853000000000009</c:v>
                </c:pt>
                <c:pt idx="3835">
                  <c:v>19.853000000000009</c:v>
                </c:pt>
                <c:pt idx="3836">
                  <c:v>19.853000000000009</c:v>
                </c:pt>
                <c:pt idx="3837">
                  <c:v>19.853000000000009</c:v>
                </c:pt>
                <c:pt idx="3838">
                  <c:v>19.853000000000009</c:v>
                </c:pt>
                <c:pt idx="3839">
                  <c:v>19.853000000000009</c:v>
                </c:pt>
                <c:pt idx="3840">
                  <c:v>19.757999999999999</c:v>
                </c:pt>
                <c:pt idx="3841">
                  <c:v>19.757999999999999</c:v>
                </c:pt>
                <c:pt idx="3842">
                  <c:v>19.757999999999999</c:v>
                </c:pt>
                <c:pt idx="3843">
                  <c:v>19.757999999999999</c:v>
                </c:pt>
                <c:pt idx="3844">
                  <c:v>19.757999999999999</c:v>
                </c:pt>
                <c:pt idx="3845">
                  <c:v>19.757999999999999</c:v>
                </c:pt>
                <c:pt idx="3846">
                  <c:v>19.757999999999999</c:v>
                </c:pt>
                <c:pt idx="3847">
                  <c:v>19.757999999999999</c:v>
                </c:pt>
                <c:pt idx="3848">
                  <c:v>19.757999999999999</c:v>
                </c:pt>
                <c:pt idx="3849">
                  <c:v>19.757999999999999</c:v>
                </c:pt>
                <c:pt idx="3850">
                  <c:v>19.661999999999999</c:v>
                </c:pt>
                <c:pt idx="3851">
                  <c:v>19.661999999999999</c:v>
                </c:pt>
                <c:pt idx="3852">
                  <c:v>19.661999999999999</c:v>
                </c:pt>
                <c:pt idx="3853">
                  <c:v>19.661999999999999</c:v>
                </c:pt>
                <c:pt idx="3854">
                  <c:v>19.661999999999999</c:v>
                </c:pt>
                <c:pt idx="3855">
                  <c:v>19.661999999999999</c:v>
                </c:pt>
                <c:pt idx="3856">
                  <c:v>19.661999999999999</c:v>
                </c:pt>
                <c:pt idx="3857">
                  <c:v>19.661999999999999</c:v>
                </c:pt>
                <c:pt idx="3858">
                  <c:v>19.567</c:v>
                </c:pt>
                <c:pt idx="3859">
                  <c:v>19.567</c:v>
                </c:pt>
                <c:pt idx="3860">
                  <c:v>19.661999999999999</c:v>
                </c:pt>
                <c:pt idx="3861">
                  <c:v>19.567</c:v>
                </c:pt>
                <c:pt idx="3862">
                  <c:v>19.472000000000001</c:v>
                </c:pt>
                <c:pt idx="3863">
                  <c:v>19.472000000000001</c:v>
                </c:pt>
                <c:pt idx="3864">
                  <c:v>19.472000000000001</c:v>
                </c:pt>
                <c:pt idx="3865">
                  <c:v>19.472000000000001</c:v>
                </c:pt>
                <c:pt idx="3866">
                  <c:v>19.567</c:v>
                </c:pt>
                <c:pt idx="3867">
                  <c:v>19.567</c:v>
                </c:pt>
                <c:pt idx="3868">
                  <c:v>19.567</c:v>
                </c:pt>
                <c:pt idx="3869">
                  <c:v>19.567</c:v>
                </c:pt>
                <c:pt idx="3870">
                  <c:v>19.661999999999999</c:v>
                </c:pt>
                <c:pt idx="3871">
                  <c:v>19.661999999999999</c:v>
                </c:pt>
                <c:pt idx="3872">
                  <c:v>19.853000000000009</c:v>
                </c:pt>
                <c:pt idx="3873">
                  <c:v>19.948</c:v>
                </c:pt>
                <c:pt idx="3874">
                  <c:v>20.042999999999999</c:v>
                </c:pt>
                <c:pt idx="3875">
                  <c:v>20.042999999999999</c:v>
                </c:pt>
                <c:pt idx="3876">
                  <c:v>20.042999999999999</c:v>
                </c:pt>
                <c:pt idx="3877">
                  <c:v>20.138000000000009</c:v>
                </c:pt>
                <c:pt idx="3878">
                  <c:v>20.234000000000009</c:v>
                </c:pt>
                <c:pt idx="3879">
                  <c:v>20.329000000000001</c:v>
                </c:pt>
                <c:pt idx="3880">
                  <c:v>20.518999999999991</c:v>
                </c:pt>
                <c:pt idx="3881">
                  <c:v>20.805</c:v>
                </c:pt>
                <c:pt idx="3882">
                  <c:v>21.472999999999999</c:v>
                </c:pt>
                <c:pt idx="3883">
                  <c:v>20.614999999999998</c:v>
                </c:pt>
                <c:pt idx="3884">
                  <c:v>20.614999999999998</c:v>
                </c:pt>
                <c:pt idx="3885">
                  <c:v>20.71</c:v>
                </c:pt>
                <c:pt idx="3886">
                  <c:v>20.805</c:v>
                </c:pt>
                <c:pt idx="3887">
                  <c:v>21.091000000000001</c:v>
                </c:pt>
                <c:pt idx="3888">
                  <c:v>21.568999999999999</c:v>
                </c:pt>
                <c:pt idx="3889">
                  <c:v>21.282</c:v>
                </c:pt>
                <c:pt idx="3890">
                  <c:v>22.141999999999999</c:v>
                </c:pt>
                <c:pt idx="3891">
                  <c:v>22.332999999999991</c:v>
                </c:pt>
                <c:pt idx="3892">
                  <c:v>21.568999999999999</c:v>
                </c:pt>
                <c:pt idx="3893">
                  <c:v>21.282</c:v>
                </c:pt>
                <c:pt idx="3894">
                  <c:v>21.378</c:v>
                </c:pt>
                <c:pt idx="3895">
                  <c:v>21.187000000000001</c:v>
                </c:pt>
                <c:pt idx="3896">
                  <c:v>21.091000000000001</c:v>
                </c:pt>
                <c:pt idx="3897">
                  <c:v>21.091000000000001</c:v>
                </c:pt>
                <c:pt idx="3898">
                  <c:v>21.091000000000001</c:v>
                </c:pt>
                <c:pt idx="3899">
                  <c:v>21.187000000000001</c:v>
                </c:pt>
                <c:pt idx="3900">
                  <c:v>21.378</c:v>
                </c:pt>
                <c:pt idx="3901">
                  <c:v>21.091000000000001</c:v>
                </c:pt>
                <c:pt idx="3902">
                  <c:v>21.091000000000001</c:v>
                </c:pt>
                <c:pt idx="3903">
                  <c:v>20.995999999999999</c:v>
                </c:pt>
                <c:pt idx="3904">
                  <c:v>20.901</c:v>
                </c:pt>
                <c:pt idx="3905">
                  <c:v>20.995999999999999</c:v>
                </c:pt>
                <c:pt idx="3906">
                  <c:v>20.805</c:v>
                </c:pt>
                <c:pt idx="3907">
                  <c:v>20.71</c:v>
                </c:pt>
                <c:pt idx="3908">
                  <c:v>20.518999999999991</c:v>
                </c:pt>
                <c:pt idx="3909">
                  <c:v>20.423999999999999</c:v>
                </c:pt>
                <c:pt idx="3910">
                  <c:v>20.423999999999999</c:v>
                </c:pt>
                <c:pt idx="3911">
                  <c:v>20.423999999999999</c:v>
                </c:pt>
                <c:pt idx="3912">
                  <c:v>20.329000000000001</c:v>
                </c:pt>
                <c:pt idx="3913">
                  <c:v>20.329000000000001</c:v>
                </c:pt>
                <c:pt idx="3914">
                  <c:v>20.329000000000001</c:v>
                </c:pt>
                <c:pt idx="3915">
                  <c:v>20.329000000000001</c:v>
                </c:pt>
                <c:pt idx="3916">
                  <c:v>20.329000000000001</c:v>
                </c:pt>
                <c:pt idx="3917">
                  <c:v>20.234000000000009</c:v>
                </c:pt>
                <c:pt idx="3918">
                  <c:v>20.234000000000009</c:v>
                </c:pt>
                <c:pt idx="3919">
                  <c:v>20.234000000000009</c:v>
                </c:pt>
                <c:pt idx="3920">
                  <c:v>20.234000000000009</c:v>
                </c:pt>
                <c:pt idx="3921">
                  <c:v>20.138000000000009</c:v>
                </c:pt>
                <c:pt idx="3922">
                  <c:v>20.138000000000009</c:v>
                </c:pt>
                <c:pt idx="3923">
                  <c:v>20.138000000000009</c:v>
                </c:pt>
                <c:pt idx="3924">
                  <c:v>20.138000000000009</c:v>
                </c:pt>
                <c:pt idx="3925">
                  <c:v>20.138000000000009</c:v>
                </c:pt>
                <c:pt idx="3926">
                  <c:v>20.042999999999999</c:v>
                </c:pt>
                <c:pt idx="3927">
                  <c:v>20.042999999999999</c:v>
                </c:pt>
                <c:pt idx="3928">
                  <c:v>20.042999999999999</c:v>
                </c:pt>
                <c:pt idx="3929">
                  <c:v>19.948</c:v>
                </c:pt>
                <c:pt idx="3930">
                  <c:v>19.948</c:v>
                </c:pt>
                <c:pt idx="3931">
                  <c:v>19.948</c:v>
                </c:pt>
                <c:pt idx="3932">
                  <c:v>19.948</c:v>
                </c:pt>
                <c:pt idx="3933">
                  <c:v>19.948</c:v>
                </c:pt>
                <c:pt idx="3934">
                  <c:v>19.948</c:v>
                </c:pt>
                <c:pt idx="3935">
                  <c:v>19.853000000000009</c:v>
                </c:pt>
                <c:pt idx="3936">
                  <c:v>19.948</c:v>
                </c:pt>
                <c:pt idx="3937">
                  <c:v>19.853000000000009</c:v>
                </c:pt>
                <c:pt idx="3938">
                  <c:v>19.853000000000009</c:v>
                </c:pt>
                <c:pt idx="3939">
                  <c:v>19.757999999999999</c:v>
                </c:pt>
                <c:pt idx="3940">
                  <c:v>19.757999999999999</c:v>
                </c:pt>
                <c:pt idx="3941">
                  <c:v>19.757999999999999</c:v>
                </c:pt>
                <c:pt idx="3942">
                  <c:v>19.757999999999999</c:v>
                </c:pt>
                <c:pt idx="3943">
                  <c:v>19.661999999999999</c:v>
                </c:pt>
                <c:pt idx="3944">
                  <c:v>19.567</c:v>
                </c:pt>
                <c:pt idx="3945">
                  <c:v>19.567</c:v>
                </c:pt>
                <c:pt idx="3946">
                  <c:v>19.472000000000001</c:v>
                </c:pt>
                <c:pt idx="3947">
                  <c:v>19.472000000000001</c:v>
                </c:pt>
                <c:pt idx="3948">
                  <c:v>19.472000000000001</c:v>
                </c:pt>
                <c:pt idx="3949">
                  <c:v>19.376999999999999</c:v>
                </c:pt>
                <c:pt idx="3950">
                  <c:v>19.376999999999999</c:v>
                </c:pt>
                <c:pt idx="3951">
                  <c:v>19.376999999999999</c:v>
                </c:pt>
                <c:pt idx="3952">
                  <c:v>19.282</c:v>
                </c:pt>
                <c:pt idx="3953">
                  <c:v>19.187000000000001</c:v>
                </c:pt>
                <c:pt idx="3954">
                  <c:v>19.187000000000001</c:v>
                </c:pt>
                <c:pt idx="3955">
                  <c:v>19.187000000000001</c:v>
                </c:pt>
                <c:pt idx="3956">
                  <c:v>19.091999999999999</c:v>
                </c:pt>
                <c:pt idx="3957">
                  <c:v>19.091999999999999</c:v>
                </c:pt>
                <c:pt idx="3958">
                  <c:v>18.995999999999999</c:v>
                </c:pt>
                <c:pt idx="3959">
                  <c:v>18.995999999999999</c:v>
                </c:pt>
                <c:pt idx="3960">
                  <c:v>18.995999999999999</c:v>
                </c:pt>
                <c:pt idx="3961">
                  <c:v>18.995999999999999</c:v>
                </c:pt>
                <c:pt idx="3962">
                  <c:v>18.995999999999999</c:v>
                </c:pt>
                <c:pt idx="3963">
                  <c:v>19.091999999999999</c:v>
                </c:pt>
                <c:pt idx="3964">
                  <c:v>19.187000000000001</c:v>
                </c:pt>
                <c:pt idx="3965">
                  <c:v>19.282</c:v>
                </c:pt>
                <c:pt idx="3966">
                  <c:v>19.376999999999999</c:v>
                </c:pt>
                <c:pt idx="3967">
                  <c:v>19.376999999999999</c:v>
                </c:pt>
                <c:pt idx="3968">
                  <c:v>19.567</c:v>
                </c:pt>
                <c:pt idx="3969">
                  <c:v>19.567</c:v>
                </c:pt>
                <c:pt idx="3970">
                  <c:v>19.567</c:v>
                </c:pt>
                <c:pt idx="3971">
                  <c:v>19.661999999999999</c:v>
                </c:pt>
                <c:pt idx="3972">
                  <c:v>19.661999999999999</c:v>
                </c:pt>
                <c:pt idx="3973">
                  <c:v>19.853000000000009</c:v>
                </c:pt>
                <c:pt idx="3974">
                  <c:v>19.948</c:v>
                </c:pt>
                <c:pt idx="3975">
                  <c:v>19.948</c:v>
                </c:pt>
                <c:pt idx="3976">
                  <c:v>20.138000000000009</c:v>
                </c:pt>
                <c:pt idx="3977">
                  <c:v>20.329000000000001</c:v>
                </c:pt>
                <c:pt idx="3978">
                  <c:v>20.614999999999998</c:v>
                </c:pt>
                <c:pt idx="3979">
                  <c:v>20.329000000000001</c:v>
                </c:pt>
                <c:pt idx="3980">
                  <c:v>20.329000000000001</c:v>
                </c:pt>
                <c:pt idx="3981">
                  <c:v>20.423999999999999</c:v>
                </c:pt>
                <c:pt idx="3982">
                  <c:v>20.71</c:v>
                </c:pt>
                <c:pt idx="3983">
                  <c:v>20.805</c:v>
                </c:pt>
                <c:pt idx="3984">
                  <c:v>21.091000000000001</c:v>
                </c:pt>
                <c:pt idx="3985">
                  <c:v>21.091000000000001</c:v>
                </c:pt>
                <c:pt idx="3986">
                  <c:v>21.282</c:v>
                </c:pt>
                <c:pt idx="3987">
                  <c:v>21.76</c:v>
                </c:pt>
                <c:pt idx="3988">
                  <c:v>21.472999999999999</c:v>
                </c:pt>
                <c:pt idx="3989">
                  <c:v>21.378</c:v>
                </c:pt>
                <c:pt idx="3990">
                  <c:v>21.568999999999999</c:v>
                </c:pt>
                <c:pt idx="3991">
                  <c:v>21.378</c:v>
                </c:pt>
                <c:pt idx="3992">
                  <c:v>21.282</c:v>
                </c:pt>
                <c:pt idx="3993">
                  <c:v>21.282</c:v>
                </c:pt>
                <c:pt idx="3994">
                  <c:v>21.282</c:v>
                </c:pt>
                <c:pt idx="3995">
                  <c:v>21.282</c:v>
                </c:pt>
                <c:pt idx="3996">
                  <c:v>21.187000000000001</c:v>
                </c:pt>
                <c:pt idx="3997">
                  <c:v>21.282</c:v>
                </c:pt>
                <c:pt idx="3998">
                  <c:v>21.187000000000001</c:v>
                </c:pt>
                <c:pt idx="3999">
                  <c:v>21.187000000000001</c:v>
                </c:pt>
                <c:pt idx="4000">
                  <c:v>21.091000000000001</c:v>
                </c:pt>
                <c:pt idx="4001">
                  <c:v>21.091000000000001</c:v>
                </c:pt>
                <c:pt idx="4002">
                  <c:v>20.995999999999999</c:v>
                </c:pt>
                <c:pt idx="4003">
                  <c:v>20.901</c:v>
                </c:pt>
                <c:pt idx="4004">
                  <c:v>20.805</c:v>
                </c:pt>
                <c:pt idx="4005">
                  <c:v>20.71</c:v>
                </c:pt>
                <c:pt idx="4006">
                  <c:v>20.71</c:v>
                </c:pt>
                <c:pt idx="4007">
                  <c:v>20.614999999999998</c:v>
                </c:pt>
                <c:pt idx="4008">
                  <c:v>20.614999999999998</c:v>
                </c:pt>
                <c:pt idx="4009">
                  <c:v>20.518999999999991</c:v>
                </c:pt>
                <c:pt idx="4010">
                  <c:v>20.329000000000001</c:v>
                </c:pt>
                <c:pt idx="4011">
                  <c:v>20.329000000000001</c:v>
                </c:pt>
                <c:pt idx="4012">
                  <c:v>20.329000000000001</c:v>
                </c:pt>
                <c:pt idx="4013">
                  <c:v>20.234000000000009</c:v>
                </c:pt>
                <c:pt idx="4014">
                  <c:v>20.234000000000009</c:v>
                </c:pt>
                <c:pt idx="4015">
                  <c:v>20.234000000000009</c:v>
                </c:pt>
                <c:pt idx="4016">
                  <c:v>20.234000000000009</c:v>
                </c:pt>
                <c:pt idx="4017">
                  <c:v>20.138000000000009</c:v>
                </c:pt>
                <c:pt idx="4018">
                  <c:v>20.042999999999999</c:v>
                </c:pt>
                <c:pt idx="4019">
                  <c:v>20.042999999999999</c:v>
                </c:pt>
                <c:pt idx="4020">
                  <c:v>20.042999999999999</c:v>
                </c:pt>
                <c:pt idx="4021">
                  <c:v>20.042999999999999</c:v>
                </c:pt>
                <c:pt idx="4022">
                  <c:v>20.042999999999999</c:v>
                </c:pt>
                <c:pt idx="4023">
                  <c:v>19.948</c:v>
                </c:pt>
                <c:pt idx="4024">
                  <c:v>19.948</c:v>
                </c:pt>
                <c:pt idx="4025">
                  <c:v>19.948</c:v>
                </c:pt>
                <c:pt idx="4026">
                  <c:v>19.948</c:v>
                </c:pt>
                <c:pt idx="4027">
                  <c:v>19.948</c:v>
                </c:pt>
                <c:pt idx="4028">
                  <c:v>19.948</c:v>
                </c:pt>
                <c:pt idx="4029">
                  <c:v>19.853000000000009</c:v>
                </c:pt>
                <c:pt idx="4030">
                  <c:v>19.853000000000009</c:v>
                </c:pt>
                <c:pt idx="4031">
                  <c:v>19.853000000000009</c:v>
                </c:pt>
                <c:pt idx="4032">
                  <c:v>19.853000000000009</c:v>
                </c:pt>
                <c:pt idx="4033">
                  <c:v>19.853000000000009</c:v>
                </c:pt>
                <c:pt idx="4034">
                  <c:v>19.853000000000009</c:v>
                </c:pt>
                <c:pt idx="4035">
                  <c:v>19.757999999999999</c:v>
                </c:pt>
                <c:pt idx="4036">
                  <c:v>19.757999999999999</c:v>
                </c:pt>
                <c:pt idx="4037">
                  <c:v>19.757999999999999</c:v>
                </c:pt>
                <c:pt idx="4038">
                  <c:v>19.757999999999999</c:v>
                </c:pt>
                <c:pt idx="4039">
                  <c:v>19.661999999999999</c:v>
                </c:pt>
                <c:pt idx="4040">
                  <c:v>19.661999999999999</c:v>
                </c:pt>
                <c:pt idx="4041">
                  <c:v>19.567</c:v>
                </c:pt>
                <c:pt idx="4042">
                  <c:v>19.567</c:v>
                </c:pt>
                <c:pt idx="4043">
                  <c:v>19.472000000000001</c:v>
                </c:pt>
                <c:pt idx="4044">
                  <c:v>19.472000000000001</c:v>
                </c:pt>
                <c:pt idx="4045">
                  <c:v>19.472000000000001</c:v>
                </c:pt>
                <c:pt idx="4046">
                  <c:v>19.472000000000001</c:v>
                </c:pt>
                <c:pt idx="4047">
                  <c:v>19.472000000000001</c:v>
                </c:pt>
                <c:pt idx="4048">
                  <c:v>19.472000000000001</c:v>
                </c:pt>
                <c:pt idx="4049">
                  <c:v>19.376999999999999</c:v>
                </c:pt>
                <c:pt idx="4050">
                  <c:v>19.282</c:v>
                </c:pt>
                <c:pt idx="4051">
                  <c:v>19.282</c:v>
                </c:pt>
                <c:pt idx="4052">
                  <c:v>19.187000000000001</c:v>
                </c:pt>
                <c:pt idx="4053">
                  <c:v>19.091999999999999</c:v>
                </c:pt>
                <c:pt idx="4054">
                  <c:v>19.187000000000001</c:v>
                </c:pt>
                <c:pt idx="4055">
                  <c:v>19.091999999999999</c:v>
                </c:pt>
                <c:pt idx="4056">
                  <c:v>18.995999999999999</c:v>
                </c:pt>
                <c:pt idx="4057">
                  <c:v>18.995999999999999</c:v>
                </c:pt>
                <c:pt idx="4058">
                  <c:v>19.091999999999999</c:v>
                </c:pt>
                <c:pt idx="4059">
                  <c:v>19.187000000000001</c:v>
                </c:pt>
                <c:pt idx="4060">
                  <c:v>19.187000000000001</c:v>
                </c:pt>
                <c:pt idx="4061">
                  <c:v>19.282</c:v>
                </c:pt>
                <c:pt idx="4062">
                  <c:v>19.282</c:v>
                </c:pt>
                <c:pt idx="4063">
                  <c:v>19.376999999999999</c:v>
                </c:pt>
                <c:pt idx="4064">
                  <c:v>19.472000000000001</c:v>
                </c:pt>
                <c:pt idx="4065">
                  <c:v>19.567</c:v>
                </c:pt>
                <c:pt idx="4066">
                  <c:v>19.661999999999999</c:v>
                </c:pt>
                <c:pt idx="4067">
                  <c:v>19.757999999999999</c:v>
                </c:pt>
                <c:pt idx="4068">
                  <c:v>19.853000000000009</c:v>
                </c:pt>
                <c:pt idx="4069">
                  <c:v>19.948</c:v>
                </c:pt>
                <c:pt idx="4070">
                  <c:v>20.042999999999999</c:v>
                </c:pt>
                <c:pt idx="4071">
                  <c:v>20.042999999999999</c:v>
                </c:pt>
                <c:pt idx="4072">
                  <c:v>20.234000000000009</c:v>
                </c:pt>
                <c:pt idx="4073">
                  <c:v>20.423999999999999</c:v>
                </c:pt>
                <c:pt idx="4074">
                  <c:v>20.614999999999998</c:v>
                </c:pt>
                <c:pt idx="4075">
                  <c:v>20.423999999999999</c:v>
                </c:pt>
                <c:pt idx="4076">
                  <c:v>20.423999999999999</c:v>
                </c:pt>
                <c:pt idx="4077">
                  <c:v>20.518999999999991</c:v>
                </c:pt>
                <c:pt idx="4078">
                  <c:v>20.614999999999998</c:v>
                </c:pt>
                <c:pt idx="4079">
                  <c:v>20.805</c:v>
                </c:pt>
                <c:pt idx="4080">
                  <c:v>21.091000000000001</c:v>
                </c:pt>
                <c:pt idx="4081">
                  <c:v>21.091000000000001</c:v>
                </c:pt>
                <c:pt idx="4082">
                  <c:v>20.995999999999999</c:v>
                </c:pt>
                <c:pt idx="4083">
                  <c:v>21.76</c:v>
                </c:pt>
                <c:pt idx="4084">
                  <c:v>21.187000000000001</c:v>
                </c:pt>
                <c:pt idx="4085">
                  <c:v>21.091000000000001</c:v>
                </c:pt>
                <c:pt idx="4086">
                  <c:v>21.187000000000001</c:v>
                </c:pt>
                <c:pt idx="4087">
                  <c:v>21.282</c:v>
                </c:pt>
                <c:pt idx="4088">
                  <c:v>21.187000000000001</c:v>
                </c:pt>
                <c:pt idx="4089">
                  <c:v>21.187000000000001</c:v>
                </c:pt>
                <c:pt idx="4090">
                  <c:v>21.091000000000001</c:v>
                </c:pt>
                <c:pt idx="4091">
                  <c:v>20.995999999999999</c:v>
                </c:pt>
                <c:pt idx="4092">
                  <c:v>21.091000000000001</c:v>
                </c:pt>
                <c:pt idx="4093">
                  <c:v>21.091000000000001</c:v>
                </c:pt>
                <c:pt idx="4094">
                  <c:v>21.187000000000001</c:v>
                </c:pt>
                <c:pt idx="4095">
                  <c:v>21.091000000000001</c:v>
                </c:pt>
                <c:pt idx="4096">
                  <c:v>20.901</c:v>
                </c:pt>
                <c:pt idx="4097">
                  <c:v>20.901</c:v>
                </c:pt>
                <c:pt idx="4098">
                  <c:v>20.901</c:v>
                </c:pt>
                <c:pt idx="4099">
                  <c:v>20.901</c:v>
                </c:pt>
                <c:pt idx="4100">
                  <c:v>20.901</c:v>
                </c:pt>
                <c:pt idx="4101">
                  <c:v>20.901</c:v>
                </c:pt>
                <c:pt idx="4102">
                  <c:v>20.805</c:v>
                </c:pt>
                <c:pt idx="4103">
                  <c:v>20.71</c:v>
                </c:pt>
                <c:pt idx="4104">
                  <c:v>20.71</c:v>
                </c:pt>
                <c:pt idx="4105">
                  <c:v>20.71</c:v>
                </c:pt>
                <c:pt idx="4106">
                  <c:v>20.614999999999998</c:v>
                </c:pt>
                <c:pt idx="4107">
                  <c:v>20.614999999999998</c:v>
                </c:pt>
                <c:pt idx="4108">
                  <c:v>20.518999999999991</c:v>
                </c:pt>
                <c:pt idx="4109">
                  <c:v>20.518999999999991</c:v>
                </c:pt>
                <c:pt idx="4110">
                  <c:v>20.423999999999999</c:v>
                </c:pt>
                <c:pt idx="4111">
                  <c:v>20.234000000000009</c:v>
                </c:pt>
                <c:pt idx="4112">
                  <c:v>20.042999999999999</c:v>
                </c:pt>
                <c:pt idx="4113">
                  <c:v>20.042999999999999</c:v>
                </c:pt>
                <c:pt idx="4114">
                  <c:v>20.042999999999999</c:v>
                </c:pt>
                <c:pt idx="4115">
                  <c:v>19.948</c:v>
                </c:pt>
                <c:pt idx="4116">
                  <c:v>19.853000000000009</c:v>
                </c:pt>
                <c:pt idx="4117">
                  <c:v>19.853000000000009</c:v>
                </c:pt>
                <c:pt idx="4118">
                  <c:v>19.853000000000009</c:v>
                </c:pt>
                <c:pt idx="4119">
                  <c:v>19.757999999999999</c:v>
                </c:pt>
                <c:pt idx="4120">
                  <c:v>19.757999999999999</c:v>
                </c:pt>
                <c:pt idx="4121">
                  <c:v>19.661999999999999</c:v>
                </c:pt>
                <c:pt idx="4122">
                  <c:v>19.661999999999999</c:v>
                </c:pt>
                <c:pt idx="4123">
                  <c:v>19.661999999999999</c:v>
                </c:pt>
                <c:pt idx="4124">
                  <c:v>19.567</c:v>
                </c:pt>
                <c:pt idx="4125">
                  <c:v>19.472000000000001</c:v>
                </c:pt>
                <c:pt idx="4126">
                  <c:v>19.472000000000001</c:v>
                </c:pt>
                <c:pt idx="4127">
                  <c:v>19.376999999999999</c:v>
                </c:pt>
                <c:pt idx="4128">
                  <c:v>19.376999999999999</c:v>
                </c:pt>
                <c:pt idx="4129">
                  <c:v>19.376999999999999</c:v>
                </c:pt>
                <c:pt idx="4130">
                  <c:v>19.282</c:v>
                </c:pt>
                <c:pt idx="4131">
                  <c:v>19.282</c:v>
                </c:pt>
                <c:pt idx="4132">
                  <c:v>19.187000000000001</c:v>
                </c:pt>
                <c:pt idx="4133">
                  <c:v>19.187000000000001</c:v>
                </c:pt>
                <c:pt idx="4134">
                  <c:v>19.187000000000001</c:v>
                </c:pt>
                <c:pt idx="4135">
                  <c:v>19.091999999999999</c:v>
                </c:pt>
                <c:pt idx="4136">
                  <c:v>19.091999999999999</c:v>
                </c:pt>
                <c:pt idx="4137">
                  <c:v>18.995999999999999</c:v>
                </c:pt>
                <c:pt idx="4138">
                  <c:v>18.995999999999999</c:v>
                </c:pt>
                <c:pt idx="4139">
                  <c:v>18.901</c:v>
                </c:pt>
                <c:pt idx="4140">
                  <c:v>18.901</c:v>
                </c:pt>
                <c:pt idx="4141">
                  <c:v>18.901</c:v>
                </c:pt>
                <c:pt idx="4142">
                  <c:v>18.806000000000001</c:v>
                </c:pt>
                <c:pt idx="4143">
                  <c:v>18.806000000000001</c:v>
                </c:pt>
                <c:pt idx="4144">
                  <c:v>18.710999999999999</c:v>
                </c:pt>
                <c:pt idx="4145">
                  <c:v>18.710999999999999</c:v>
                </c:pt>
                <c:pt idx="4146">
                  <c:v>18.710999999999999</c:v>
                </c:pt>
                <c:pt idx="4147">
                  <c:v>18.616</c:v>
                </c:pt>
                <c:pt idx="4148">
                  <c:v>18.616</c:v>
                </c:pt>
                <c:pt idx="4149">
                  <c:v>18.616</c:v>
                </c:pt>
                <c:pt idx="4150">
                  <c:v>18.521000000000001</c:v>
                </c:pt>
                <c:pt idx="4151">
                  <c:v>18.521000000000001</c:v>
                </c:pt>
                <c:pt idx="4152">
                  <c:v>18.521000000000001</c:v>
                </c:pt>
                <c:pt idx="4153">
                  <c:v>18.521000000000001</c:v>
                </c:pt>
                <c:pt idx="4154">
                  <c:v>18.616</c:v>
                </c:pt>
                <c:pt idx="4155">
                  <c:v>18.616</c:v>
                </c:pt>
                <c:pt idx="4156">
                  <c:v>18.710999999999999</c:v>
                </c:pt>
                <c:pt idx="4157">
                  <c:v>18.710999999999999</c:v>
                </c:pt>
                <c:pt idx="4158">
                  <c:v>18.806000000000001</c:v>
                </c:pt>
                <c:pt idx="4159">
                  <c:v>18.995999999999999</c:v>
                </c:pt>
                <c:pt idx="4160">
                  <c:v>19.091999999999999</c:v>
                </c:pt>
                <c:pt idx="4161">
                  <c:v>19.187000000000001</c:v>
                </c:pt>
                <c:pt idx="4162">
                  <c:v>19.282</c:v>
                </c:pt>
                <c:pt idx="4163">
                  <c:v>19.282</c:v>
                </c:pt>
                <c:pt idx="4164">
                  <c:v>19.472000000000001</c:v>
                </c:pt>
                <c:pt idx="4165">
                  <c:v>19.661999999999999</c:v>
                </c:pt>
                <c:pt idx="4166">
                  <c:v>19.853000000000009</c:v>
                </c:pt>
                <c:pt idx="4167">
                  <c:v>19.853000000000009</c:v>
                </c:pt>
                <c:pt idx="4168">
                  <c:v>19.948</c:v>
                </c:pt>
                <c:pt idx="4169">
                  <c:v>20.234000000000009</c:v>
                </c:pt>
                <c:pt idx="4170">
                  <c:v>20.329000000000001</c:v>
                </c:pt>
                <c:pt idx="4171">
                  <c:v>20.329000000000001</c:v>
                </c:pt>
                <c:pt idx="4172">
                  <c:v>20.329000000000001</c:v>
                </c:pt>
                <c:pt idx="4173">
                  <c:v>20.423999999999999</c:v>
                </c:pt>
                <c:pt idx="4174">
                  <c:v>20.518999999999991</c:v>
                </c:pt>
                <c:pt idx="4175">
                  <c:v>20.71</c:v>
                </c:pt>
                <c:pt idx="4176">
                  <c:v>21.091000000000001</c:v>
                </c:pt>
                <c:pt idx="4177">
                  <c:v>21.091000000000001</c:v>
                </c:pt>
                <c:pt idx="4178">
                  <c:v>21.091000000000001</c:v>
                </c:pt>
                <c:pt idx="4179">
                  <c:v>21.76</c:v>
                </c:pt>
                <c:pt idx="4180">
                  <c:v>21.282</c:v>
                </c:pt>
                <c:pt idx="4181">
                  <c:v>21.472999999999999</c:v>
                </c:pt>
                <c:pt idx="4182">
                  <c:v>21.282</c:v>
                </c:pt>
                <c:pt idx="4183">
                  <c:v>21.187000000000001</c:v>
                </c:pt>
                <c:pt idx="4184">
                  <c:v>21.282</c:v>
                </c:pt>
                <c:pt idx="4185">
                  <c:v>21.378</c:v>
                </c:pt>
                <c:pt idx="4186">
                  <c:v>21.187000000000001</c:v>
                </c:pt>
                <c:pt idx="4187">
                  <c:v>21.282</c:v>
                </c:pt>
                <c:pt idx="4188">
                  <c:v>21.187000000000001</c:v>
                </c:pt>
                <c:pt idx="4189">
                  <c:v>21.378</c:v>
                </c:pt>
                <c:pt idx="4190">
                  <c:v>21.187000000000001</c:v>
                </c:pt>
                <c:pt idx="4191">
                  <c:v>21.091000000000001</c:v>
                </c:pt>
                <c:pt idx="4192">
                  <c:v>20.995999999999999</c:v>
                </c:pt>
                <c:pt idx="4193">
                  <c:v>20.901</c:v>
                </c:pt>
                <c:pt idx="4194">
                  <c:v>20.901</c:v>
                </c:pt>
                <c:pt idx="4195">
                  <c:v>20.805</c:v>
                </c:pt>
                <c:pt idx="4196">
                  <c:v>20.805</c:v>
                </c:pt>
                <c:pt idx="4197">
                  <c:v>20.805</c:v>
                </c:pt>
                <c:pt idx="4198">
                  <c:v>20.805</c:v>
                </c:pt>
                <c:pt idx="4199">
                  <c:v>20.805</c:v>
                </c:pt>
                <c:pt idx="4200">
                  <c:v>20.805</c:v>
                </c:pt>
                <c:pt idx="4201">
                  <c:v>20.71</c:v>
                </c:pt>
                <c:pt idx="4202">
                  <c:v>20.71</c:v>
                </c:pt>
                <c:pt idx="4203">
                  <c:v>20.614999999999998</c:v>
                </c:pt>
                <c:pt idx="4204">
                  <c:v>20.614999999999998</c:v>
                </c:pt>
                <c:pt idx="4205">
                  <c:v>20.518999999999991</c:v>
                </c:pt>
                <c:pt idx="4206">
                  <c:v>20.423999999999999</c:v>
                </c:pt>
                <c:pt idx="4207">
                  <c:v>20.329000000000001</c:v>
                </c:pt>
                <c:pt idx="4208">
                  <c:v>20.234000000000009</c:v>
                </c:pt>
                <c:pt idx="4209">
                  <c:v>20.138000000000009</c:v>
                </c:pt>
                <c:pt idx="4210">
                  <c:v>20.042999999999999</c:v>
                </c:pt>
                <c:pt idx="4211">
                  <c:v>20.042999999999999</c:v>
                </c:pt>
                <c:pt idx="4212">
                  <c:v>19.948</c:v>
                </c:pt>
                <c:pt idx="4213">
                  <c:v>19.948</c:v>
                </c:pt>
                <c:pt idx="4214">
                  <c:v>19.948</c:v>
                </c:pt>
                <c:pt idx="4215">
                  <c:v>19.853000000000009</c:v>
                </c:pt>
                <c:pt idx="4216">
                  <c:v>19.757999999999999</c:v>
                </c:pt>
                <c:pt idx="4217">
                  <c:v>19.757999999999999</c:v>
                </c:pt>
                <c:pt idx="4218">
                  <c:v>19.661999999999999</c:v>
                </c:pt>
                <c:pt idx="4219">
                  <c:v>19.567</c:v>
                </c:pt>
                <c:pt idx="4220">
                  <c:v>19.661999999999999</c:v>
                </c:pt>
                <c:pt idx="4221">
                  <c:v>19.567</c:v>
                </c:pt>
                <c:pt idx="4222">
                  <c:v>19.567</c:v>
                </c:pt>
                <c:pt idx="4223">
                  <c:v>19.567</c:v>
                </c:pt>
                <c:pt idx="4224">
                  <c:v>19.567</c:v>
                </c:pt>
                <c:pt idx="4225">
                  <c:v>19.472000000000001</c:v>
                </c:pt>
                <c:pt idx="4226">
                  <c:v>19.472000000000001</c:v>
                </c:pt>
                <c:pt idx="4227">
                  <c:v>19.376999999999999</c:v>
                </c:pt>
                <c:pt idx="4228">
                  <c:v>19.376999999999999</c:v>
                </c:pt>
                <c:pt idx="4229">
                  <c:v>19.376999999999999</c:v>
                </c:pt>
                <c:pt idx="4230">
                  <c:v>19.376999999999999</c:v>
                </c:pt>
                <c:pt idx="4231">
                  <c:v>19.376999999999999</c:v>
                </c:pt>
                <c:pt idx="4232">
                  <c:v>19.282</c:v>
                </c:pt>
                <c:pt idx="4233">
                  <c:v>19.187000000000001</c:v>
                </c:pt>
                <c:pt idx="4234">
                  <c:v>19.282</c:v>
                </c:pt>
                <c:pt idx="4235">
                  <c:v>19.187000000000001</c:v>
                </c:pt>
                <c:pt idx="4236">
                  <c:v>19.187000000000001</c:v>
                </c:pt>
                <c:pt idx="4237">
                  <c:v>19.187000000000001</c:v>
                </c:pt>
                <c:pt idx="4238">
                  <c:v>19.187000000000001</c:v>
                </c:pt>
                <c:pt idx="4239">
                  <c:v>19.187000000000001</c:v>
                </c:pt>
                <c:pt idx="4240">
                  <c:v>19.187000000000001</c:v>
                </c:pt>
                <c:pt idx="4241">
                  <c:v>19.091999999999999</c:v>
                </c:pt>
                <c:pt idx="4242">
                  <c:v>19.091999999999999</c:v>
                </c:pt>
                <c:pt idx="4243">
                  <c:v>18.995999999999999</c:v>
                </c:pt>
                <c:pt idx="4244">
                  <c:v>18.995999999999999</c:v>
                </c:pt>
                <c:pt idx="4245">
                  <c:v>18.901</c:v>
                </c:pt>
                <c:pt idx="4246">
                  <c:v>18.806000000000001</c:v>
                </c:pt>
                <c:pt idx="4247">
                  <c:v>18.806000000000001</c:v>
                </c:pt>
                <c:pt idx="4248">
                  <c:v>18.806000000000001</c:v>
                </c:pt>
                <c:pt idx="4249">
                  <c:v>18.806000000000001</c:v>
                </c:pt>
                <c:pt idx="4250">
                  <c:v>18.806000000000001</c:v>
                </c:pt>
                <c:pt idx="4251">
                  <c:v>18.901</c:v>
                </c:pt>
                <c:pt idx="4252">
                  <c:v>18.995999999999999</c:v>
                </c:pt>
                <c:pt idx="4253">
                  <c:v>18.995999999999999</c:v>
                </c:pt>
                <c:pt idx="4254">
                  <c:v>19.091999999999999</c:v>
                </c:pt>
                <c:pt idx="4255">
                  <c:v>19.187000000000001</c:v>
                </c:pt>
                <c:pt idx="4256">
                  <c:v>19.282</c:v>
                </c:pt>
                <c:pt idx="4257">
                  <c:v>19.376999999999999</c:v>
                </c:pt>
                <c:pt idx="4258">
                  <c:v>19.472000000000001</c:v>
                </c:pt>
                <c:pt idx="4259">
                  <c:v>19.567</c:v>
                </c:pt>
                <c:pt idx="4260">
                  <c:v>19.661999999999999</c:v>
                </c:pt>
                <c:pt idx="4261">
                  <c:v>19.757999999999999</c:v>
                </c:pt>
                <c:pt idx="4262">
                  <c:v>19.948</c:v>
                </c:pt>
                <c:pt idx="4263">
                  <c:v>19.948</c:v>
                </c:pt>
                <c:pt idx="4264">
                  <c:v>20.138000000000009</c:v>
                </c:pt>
                <c:pt idx="4265">
                  <c:v>20.423999999999999</c:v>
                </c:pt>
                <c:pt idx="4266">
                  <c:v>20.423999999999999</c:v>
                </c:pt>
                <c:pt idx="4267">
                  <c:v>20.423999999999999</c:v>
                </c:pt>
                <c:pt idx="4268">
                  <c:v>20.423999999999999</c:v>
                </c:pt>
                <c:pt idx="4269">
                  <c:v>20.518999999999991</c:v>
                </c:pt>
                <c:pt idx="4270">
                  <c:v>20.614999999999998</c:v>
                </c:pt>
                <c:pt idx="4271">
                  <c:v>20.805</c:v>
                </c:pt>
                <c:pt idx="4272">
                  <c:v>21.378</c:v>
                </c:pt>
                <c:pt idx="4273">
                  <c:v>21.282</c:v>
                </c:pt>
                <c:pt idx="4274">
                  <c:v>21.187000000000001</c:v>
                </c:pt>
                <c:pt idx="4275">
                  <c:v>21.664000000000001</c:v>
                </c:pt>
                <c:pt idx="4276">
                  <c:v>21.282</c:v>
                </c:pt>
                <c:pt idx="4277">
                  <c:v>21.568999999999999</c:v>
                </c:pt>
                <c:pt idx="4278">
                  <c:v>21.378</c:v>
                </c:pt>
                <c:pt idx="4279">
                  <c:v>21.282</c:v>
                </c:pt>
                <c:pt idx="4280">
                  <c:v>21.378</c:v>
                </c:pt>
                <c:pt idx="4281">
                  <c:v>21.568999999999999</c:v>
                </c:pt>
                <c:pt idx="4282">
                  <c:v>21.378</c:v>
                </c:pt>
                <c:pt idx="4283">
                  <c:v>21.378</c:v>
                </c:pt>
                <c:pt idx="4284">
                  <c:v>21.378</c:v>
                </c:pt>
                <c:pt idx="4285">
                  <c:v>21.568999999999999</c:v>
                </c:pt>
                <c:pt idx="4286">
                  <c:v>21.664000000000001</c:v>
                </c:pt>
                <c:pt idx="4287">
                  <c:v>21.378</c:v>
                </c:pt>
                <c:pt idx="4288">
                  <c:v>21.187000000000001</c:v>
                </c:pt>
                <c:pt idx="4289">
                  <c:v>21.187000000000001</c:v>
                </c:pt>
                <c:pt idx="4290">
                  <c:v>21.091000000000001</c:v>
                </c:pt>
                <c:pt idx="4291">
                  <c:v>21.187000000000001</c:v>
                </c:pt>
                <c:pt idx="4292">
                  <c:v>21.091000000000001</c:v>
                </c:pt>
                <c:pt idx="4293">
                  <c:v>21.091000000000001</c:v>
                </c:pt>
                <c:pt idx="4294">
                  <c:v>20.995999999999999</c:v>
                </c:pt>
                <c:pt idx="4295">
                  <c:v>20.995999999999999</c:v>
                </c:pt>
                <c:pt idx="4296">
                  <c:v>20.995999999999999</c:v>
                </c:pt>
                <c:pt idx="4297">
                  <c:v>20.901</c:v>
                </c:pt>
                <c:pt idx="4298">
                  <c:v>20.901</c:v>
                </c:pt>
                <c:pt idx="4299">
                  <c:v>20.805</c:v>
                </c:pt>
                <c:pt idx="4300">
                  <c:v>20.805</c:v>
                </c:pt>
                <c:pt idx="4301">
                  <c:v>20.71</c:v>
                </c:pt>
                <c:pt idx="4302">
                  <c:v>20.71</c:v>
                </c:pt>
                <c:pt idx="4303">
                  <c:v>20.614999999999998</c:v>
                </c:pt>
                <c:pt idx="4304">
                  <c:v>20.518999999999991</c:v>
                </c:pt>
                <c:pt idx="4305">
                  <c:v>20.423999999999999</c:v>
                </c:pt>
                <c:pt idx="4306">
                  <c:v>20.329000000000001</c:v>
                </c:pt>
                <c:pt idx="4307">
                  <c:v>20.329000000000001</c:v>
                </c:pt>
                <c:pt idx="4308">
                  <c:v>20.329000000000001</c:v>
                </c:pt>
                <c:pt idx="4309">
                  <c:v>20.234000000000009</c:v>
                </c:pt>
                <c:pt idx="4310">
                  <c:v>20.234000000000009</c:v>
                </c:pt>
                <c:pt idx="4311">
                  <c:v>20.234000000000009</c:v>
                </c:pt>
                <c:pt idx="4312">
                  <c:v>20.138000000000009</c:v>
                </c:pt>
                <c:pt idx="4313">
                  <c:v>20.138000000000009</c:v>
                </c:pt>
                <c:pt idx="4314">
                  <c:v>20.042999999999999</c:v>
                </c:pt>
                <c:pt idx="4315">
                  <c:v>20.042999999999999</c:v>
                </c:pt>
                <c:pt idx="4316">
                  <c:v>19.948</c:v>
                </c:pt>
                <c:pt idx="4317">
                  <c:v>19.948</c:v>
                </c:pt>
                <c:pt idx="4318">
                  <c:v>19.948</c:v>
                </c:pt>
                <c:pt idx="4319">
                  <c:v>19.948</c:v>
                </c:pt>
                <c:pt idx="4320">
                  <c:v>19.948</c:v>
                </c:pt>
                <c:pt idx="4321">
                  <c:v>19.948</c:v>
                </c:pt>
                <c:pt idx="4322">
                  <c:v>19.948</c:v>
                </c:pt>
                <c:pt idx="4323">
                  <c:v>19.853000000000009</c:v>
                </c:pt>
                <c:pt idx="4324">
                  <c:v>19.853000000000009</c:v>
                </c:pt>
                <c:pt idx="4325">
                  <c:v>19.757999999999999</c:v>
                </c:pt>
                <c:pt idx="4326">
                  <c:v>19.757999999999999</c:v>
                </c:pt>
                <c:pt idx="4327">
                  <c:v>19.757999999999999</c:v>
                </c:pt>
                <c:pt idx="4328">
                  <c:v>19.757999999999999</c:v>
                </c:pt>
                <c:pt idx="4329">
                  <c:v>19.757999999999999</c:v>
                </c:pt>
                <c:pt idx="4330">
                  <c:v>19.757999999999999</c:v>
                </c:pt>
                <c:pt idx="4331">
                  <c:v>19.757999999999999</c:v>
                </c:pt>
                <c:pt idx="4332">
                  <c:v>19.661999999999999</c:v>
                </c:pt>
                <c:pt idx="4333">
                  <c:v>19.757999999999999</c:v>
                </c:pt>
                <c:pt idx="4334">
                  <c:v>19.757999999999999</c:v>
                </c:pt>
                <c:pt idx="4335">
                  <c:v>19.757999999999999</c:v>
                </c:pt>
                <c:pt idx="4336">
                  <c:v>19.757999999999999</c:v>
                </c:pt>
                <c:pt idx="4337">
                  <c:v>19.853000000000009</c:v>
                </c:pt>
                <c:pt idx="4338">
                  <c:v>19.853000000000009</c:v>
                </c:pt>
                <c:pt idx="4339">
                  <c:v>19.853000000000009</c:v>
                </c:pt>
                <c:pt idx="4340">
                  <c:v>19.853000000000009</c:v>
                </c:pt>
                <c:pt idx="4341">
                  <c:v>19.853000000000009</c:v>
                </c:pt>
                <c:pt idx="4342">
                  <c:v>19.757999999999999</c:v>
                </c:pt>
                <c:pt idx="4343">
                  <c:v>19.661999999999999</c:v>
                </c:pt>
                <c:pt idx="4344">
                  <c:v>19.661999999999999</c:v>
                </c:pt>
                <c:pt idx="4345">
                  <c:v>19.661999999999999</c:v>
                </c:pt>
                <c:pt idx="4346">
                  <c:v>19.661999999999999</c:v>
                </c:pt>
                <c:pt idx="4347">
                  <c:v>19.757999999999999</c:v>
                </c:pt>
                <c:pt idx="4348">
                  <c:v>19.757999999999999</c:v>
                </c:pt>
                <c:pt idx="4349">
                  <c:v>19.853000000000009</c:v>
                </c:pt>
                <c:pt idx="4350">
                  <c:v>19.853000000000009</c:v>
                </c:pt>
                <c:pt idx="4351">
                  <c:v>19.948</c:v>
                </c:pt>
                <c:pt idx="4352">
                  <c:v>20.042999999999999</c:v>
                </c:pt>
                <c:pt idx="4353">
                  <c:v>20.042999999999999</c:v>
                </c:pt>
                <c:pt idx="4354">
                  <c:v>20.138000000000009</c:v>
                </c:pt>
                <c:pt idx="4355">
                  <c:v>20.234000000000009</c:v>
                </c:pt>
                <c:pt idx="4356">
                  <c:v>20.234000000000009</c:v>
                </c:pt>
                <c:pt idx="4357">
                  <c:v>20.329000000000001</c:v>
                </c:pt>
                <c:pt idx="4358">
                  <c:v>20.518999999999991</c:v>
                </c:pt>
                <c:pt idx="4359">
                  <c:v>20.518999999999991</c:v>
                </c:pt>
                <c:pt idx="4360">
                  <c:v>20.614999999999998</c:v>
                </c:pt>
                <c:pt idx="4361">
                  <c:v>20.805</c:v>
                </c:pt>
                <c:pt idx="4362">
                  <c:v>20.901</c:v>
                </c:pt>
                <c:pt idx="4363">
                  <c:v>20.995999999999999</c:v>
                </c:pt>
                <c:pt idx="4364">
                  <c:v>20.901</c:v>
                </c:pt>
                <c:pt idx="4365">
                  <c:v>20.995999999999999</c:v>
                </c:pt>
                <c:pt idx="4366">
                  <c:v>21.091000000000001</c:v>
                </c:pt>
                <c:pt idx="4367">
                  <c:v>21.091000000000001</c:v>
                </c:pt>
                <c:pt idx="4368">
                  <c:v>21.091000000000001</c:v>
                </c:pt>
                <c:pt idx="4369">
                  <c:v>21.091000000000001</c:v>
                </c:pt>
                <c:pt idx="4370">
                  <c:v>21.091000000000001</c:v>
                </c:pt>
                <c:pt idx="4371">
                  <c:v>21.091000000000001</c:v>
                </c:pt>
                <c:pt idx="4372">
                  <c:v>21.091000000000001</c:v>
                </c:pt>
                <c:pt idx="4373">
                  <c:v>21.091000000000001</c:v>
                </c:pt>
                <c:pt idx="4374">
                  <c:v>21.091000000000001</c:v>
                </c:pt>
                <c:pt idx="4375">
                  <c:v>21.091000000000001</c:v>
                </c:pt>
                <c:pt idx="4376">
                  <c:v>20.995999999999999</c:v>
                </c:pt>
                <c:pt idx="4377">
                  <c:v>20.995999999999999</c:v>
                </c:pt>
                <c:pt idx="4378">
                  <c:v>20.995999999999999</c:v>
                </c:pt>
                <c:pt idx="4379">
                  <c:v>20.901</c:v>
                </c:pt>
                <c:pt idx="4380">
                  <c:v>20.901</c:v>
                </c:pt>
                <c:pt idx="4381">
                  <c:v>20.995999999999999</c:v>
                </c:pt>
                <c:pt idx="4382">
                  <c:v>20.901</c:v>
                </c:pt>
                <c:pt idx="4383">
                  <c:v>20.901</c:v>
                </c:pt>
                <c:pt idx="4384">
                  <c:v>20.901</c:v>
                </c:pt>
                <c:pt idx="4385">
                  <c:v>20.901</c:v>
                </c:pt>
                <c:pt idx="4386">
                  <c:v>20.805</c:v>
                </c:pt>
                <c:pt idx="4387">
                  <c:v>20.805</c:v>
                </c:pt>
                <c:pt idx="4388">
                  <c:v>20.805</c:v>
                </c:pt>
                <c:pt idx="4389">
                  <c:v>20.805</c:v>
                </c:pt>
                <c:pt idx="4390">
                  <c:v>20.805</c:v>
                </c:pt>
                <c:pt idx="4391">
                  <c:v>20.805</c:v>
                </c:pt>
                <c:pt idx="4392">
                  <c:v>20.71</c:v>
                </c:pt>
                <c:pt idx="4393">
                  <c:v>20.71</c:v>
                </c:pt>
                <c:pt idx="4394">
                  <c:v>20.71</c:v>
                </c:pt>
                <c:pt idx="4395">
                  <c:v>20.71</c:v>
                </c:pt>
                <c:pt idx="4396">
                  <c:v>20.614999999999998</c:v>
                </c:pt>
                <c:pt idx="4397">
                  <c:v>20.614999999999998</c:v>
                </c:pt>
                <c:pt idx="4398">
                  <c:v>20.614999999999998</c:v>
                </c:pt>
                <c:pt idx="4399">
                  <c:v>20.614999999999998</c:v>
                </c:pt>
                <c:pt idx="4400">
                  <c:v>20.518999999999991</c:v>
                </c:pt>
                <c:pt idx="4401">
                  <c:v>20.518999999999991</c:v>
                </c:pt>
                <c:pt idx="4402">
                  <c:v>20.518999999999991</c:v>
                </c:pt>
                <c:pt idx="4403">
                  <c:v>20.518999999999991</c:v>
                </c:pt>
                <c:pt idx="4404">
                  <c:v>20.518999999999991</c:v>
                </c:pt>
                <c:pt idx="4405">
                  <c:v>20.423999999999999</c:v>
                </c:pt>
                <c:pt idx="4406">
                  <c:v>20.423999999999999</c:v>
                </c:pt>
                <c:pt idx="4407">
                  <c:v>20.423999999999999</c:v>
                </c:pt>
                <c:pt idx="4408">
                  <c:v>20.423999999999999</c:v>
                </c:pt>
                <c:pt idx="4409">
                  <c:v>20.423999999999999</c:v>
                </c:pt>
                <c:pt idx="4410">
                  <c:v>20.329000000000001</c:v>
                </c:pt>
                <c:pt idx="4411">
                  <c:v>20.329000000000001</c:v>
                </c:pt>
                <c:pt idx="4412">
                  <c:v>20.329000000000001</c:v>
                </c:pt>
                <c:pt idx="4413">
                  <c:v>20.234000000000009</c:v>
                </c:pt>
                <c:pt idx="4414">
                  <c:v>20.234000000000009</c:v>
                </c:pt>
                <c:pt idx="4415">
                  <c:v>20.234000000000009</c:v>
                </c:pt>
                <c:pt idx="4416">
                  <c:v>20.138000000000009</c:v>
                </c:pt>
                <c:pt idx="4417">
                  <c:v>20.138000000000009</c:v>
                </c:pt>
                <c:pt idx="4418">
                  <c:v>20.042999999999999</c:v>
                </c:pt>
                <c:pt idx="4419">
                  <c:v>20.042999999999999</c:v>
                </c:pt>
                <c:pt idx="4420">
                  <c:v>19.948</c:v>
                </c:pt>
                <c:pt idx="4421">
                  <c:v>19.948</c:v>
                </c:pt>
                <c:pt idx="4422">
                  <c:v>19.853000000000009</c:v>
                </c:pt>
                <c:pt idx="4423">
                  <c:v>19.757999999999999</c:v>
                </c:pt>
                <c:pt idx="4424">
                  <c:v>19.853000000000009</c:v>
                </c:pt>
                <c:pt idx="4425">
                  <c:v>19.757999999999999</c:v>
                </c:pt>
                <c:pt idx="4426">
                  <c:v>19.757999999999999</c:v>
                </c:pt>
                <c:pt idx="4427">
                  <c:v>19.757999999999999</c:v>
                </c:pt>
                <c:pt idx="4428">
                  <c:v>19.661999999999999</c:v>
                </c:pt>
                <c:pt idx="4429">
                  <c:v>19.661999999999999</c:v>
                </c:pt>
                <c:pt idx="4430">
                  <c:v>19.661999999999999</c:v>
                </c:pt>
                <c:pt idx="4431">
                  <c:v>19.567</c:v>
                </c:pt>
                <c:pt idx="4432">
                  <c:v>19.567</c:v>
                </c:pt>
                <c:pt idx="4433">
                  <c:v>19.472000000000001</c:v>
                </c:pt>
                <c:pt idx="4434">
                  <c:v>19.472000000000001</c:v>
                </c:pt>
                <c:pt idx="4435">
                  <c:v>19.472000000000001</c:v>
                </c:pt>
                <c:pt idx="4436">
                  <c:v>19.376999999999999</c:v>
                </c:pt>
                <c:pt idx="4437">
                  <c:v>19.282</c:v>
                </c:pt>
                <c:pt idx="4438">
                  <c:v>19.376999999999999</c:v>
                </c:pt>
                <c:pt idx="4439">
                  <c:v>19.376999999999999</c:v>
                </c:pt>
                <c:pt idx="4440">
                  <c:v>19.187000000000001</c:v>
                </c:pt>
                <c:pt idx="4441">
                  <c:v>19.282</c:v>
                </c:pt>
                <c:pt idx="4442">
                  <c:v>19.282</c:v>
                </c:pt>
                <c:pt idx="4443">
                  <c:v>19.282</c:v>
                </c:pt>
                <c:pt idx="4444">
                  <c:v>19.472000000000001</c:v>
                </c:pt>
                <c:pt idx="4445">
                  <c:v>19.472000000000001</c:v>
                </c:pt>
                <c:pt idx="4446">
                  <c:v>19.567</c:v>
                </c:pt>
                <c:pt idx="4447">
                  <c:v>19.567</c:v>
                </c:pt>
                <c:pt idx="4448">
                  <c:v>19.757999999999999</c:v>
                </c:pt>
                <c:pt idx="4449">
                  <c:v>19.757999999999999</c:v>
                </c:pt>
                <c:pt idx="4450">
                  <c:v>19.948</c:v>
                </c:pt>
                <c:pt idx="4451">
                  <c:v>19.948</c:v>
                </c:pt>
                <c:pt idx="4452">
                  <c:v>20.042999999999999</c:v>
                </c:pt>
                <c:pt idx="4453">
                  <c:v>20.138000000000009</c:v>
                </c:pt>
                <c:pt idx="4454">
                  <c:v>20.234000000000009</c:v>
                </c:pt>
                <c:pt idx="4455">
                  <c:v>20.234000000000009</c:v>
                </c:pt>
                <c:pt idx="4456">
                  <c:v>20.329000000000001</c:v>
                </c:pt>
                <c:pt idx="4457">
                  <c:v>20.423999999999999</c:v>
                </c:pt>
                <c:pt idx="4458">
                  <c:v>20.518999999999991</c:v>
                </c:pt>
                <c:pt idx="4459">
                  <c:v>20.71</c:v>
                </c:pt>
                <c:pt idx="4460">
                  <c:v>20.71</c:v>
                </c:pt>
                <c:pt idx="4461">
                  <c:v>20.71</c:v>
                </c:pt>
                <c:pt idx="4462">
                  <c:v>20.901</c:v>
                </c:pt>
                <c:pt idx="4463">
                  <c:v>20.995999999999999</c:v>
                </c:pt>
                <c:pt idx="4464">
                  <c:v>20.995999999999999</c:v>
                </c:pt>
                <c:pt idx="4465">
                  <c:v>20.995999999999999</c:v>
                </c:pt>
                <c:pt idx="4466">
                  <c:v>20.995999999999999</c:v>
                </c:pt>
                <c:pt idx="4467">
                  <c:v>20.995999999999999</c:v>
                </c:pt>
                <c:pt idx="4468">
                  <c:v>20.995999999999999</c:v>
                </c:pt>
                <c:pt idx="4469">
                  <c:v>20.995999999999999</c:v>
                </c:pt>
                <c:pt idx="4470">
                  <c:v>20.995999999999999</c:v>
                </c:pt>
                <c:pt idx="4471">
                  <c:v>21.091000000000001</c:v>
                </c:pt>
                <c:pt idx="4472">
                  <c:v>21.091000000000001</c:v>
                </c:pt>
                <c:pt idx="4473">
                  <c:v>21.091000000000001</c:v>
                </c:pt>
                <c:pt idx="4474">
                  <c:v>21.091000000000001</c:v>
                </c:pt>
                <c:pt idx="4475">
                  <c:v>21.091000000000001</c:v>
                </c:pt>
                <c:pt idx="4476">
                  <c:v>21.091000000000001</c:v>
                </c:pt>
                <c:pt idx="4477">
                  <c:v>21.091000000000001</c:v>
                </c:pt>
                <c:pt idx="4478">
                  <c:v>21.091000000000001</c:v>
                </c:pt>
                <c:pt idx="4479">
                  <c:v>21.091000000000001</c:v>
                </c:pt>
                <c:pt idx="4480">
                  <c:v>20.995999999999999</c:v>
                </c:pt>
                <c:pt idx="4481">
                  <c:v>20.995999999999999</c:v>
                </c:pt>
                <c:pt idx="4482">
                  <c:v>20.901</c:v>
                </c:pt>
                <c:pt idx="4483">
                  <c:v>20.901</c:v>
                </c:pt>
                <c:pt idx="4484">
                  <c:v>20.805</c:v>
                </c:pt>
                <c:pt idx="4485">
                  <c:v>20.805</c:v>
                </c:pt>
                <c:pt idx="4486">
                  <c:v>20.805</c:v>
                </c:pt>
                <c:pt idx="4487">
                  <c:v>20.71</c:v>
                </c:pt>
                <c:pt idx="4488">
                  <c:v>20.71</c:v>
                </c:pt>
                <c:pt idx="4489">
                  <c:v>20.71</c:v>
                </c:pt>
                <c:pt idx="4490">
                  <c:v>20.614999999999998</c:v>
                </c:pt>
                <c:pt idx="4491">
                  <c:v>20.614999999999998</c:v>
                </c:pt>
                <c:pt idx="4492">
                  <c:v>20.518999999999991</c:v>
                </c:pt>
                <c:pt idx="4493">
                  <c:v>20.518999999999991</c:v>
                </c:pt>
                <c:pt idx="4494">
                  <c:v>20.518999999999991</c:v>
                </c:pt>
                <c:pt idx="4495">
                  <c:v>20.423999999999999</c:v>
                </c:pt>
                <c:pt idx="4496">
                  <c:v>20.423999999999999</c:v>
                </c:pt>
                <c:pt idx="4497">
                  <c:v>20.423999999999999</c:v>
                </c:pt>
                <c:pt idx="4498">
                  <c:v>20.423999999999999</c:v>
                </c:pt>
                <c:pt idx="4499">
                  <c:v>20.329000000000001</c:v>
                </c:pt>
                <c:pt idx="4500">
                  <c:v>20.329000000000001</c:v>
                </c:pt>
                <c:pt idx="4501">
                  <c:v>20.329000000000001</c:v>
                </c:pt>
                <c:pt idx="4502">
                  <c:v>20.329000000000001</c:v>
                </c:pt>
                <c:pt idx="4503">
                  <c:v>20.234000000000009</c:v>
                </c:pt>
                <c:pt idx="4504">
                  <c:v>20.234000000000009</c:v>
                </c:pt>
                <c:pt idx="4505">
                  <c:v>20.234000000000009</c:v>
                </c:pt>
                <c:pt idx="4506">
                  <c:v>20.138000000000009</c:v>
                </c:pt>
                <c:pt idx="4507">
                  <c:v>20.138000000000009</c:v>
                </c:pt>
                <c:pt idx="4508">
                  <c:v>20.042999999999999</c:v>
                </c:pt>
                <c:pt idx="4509">
                  <c:v>20.042999999999999</c:v>
                </c:pt>
                <c:pt idx="4510">
                  <c:v>20.042999999999999</c:v>
                </c:pt>
                <c:pt idx="4511">
                  <c:v>20.042999999999999</c:v>
                </c:pt>
                <c:pt idx="4512">
                  <c:v>19.948</c:v>
                </c:pt>
                <c:pt idx="4513">
                  <c:v>19.948</c:v>
                </c:pt>
                <c:pt idx="4514">
                  <c:v>19.948</c:v>
                </c:pt>
                <c:pt idx="4515">
                  <c:v>19.853000000000009</c:v>
                </c:pt>
                <c:pt idx="4516">
                  <c:v>19.853000000000009</c:v>
                </c:pt>
                <c:pt idx="4517">
                  <c:v>19.853000000000009</c:v>
                </c:pt>
                <c:pt idx="4518">
                  <c:v>19.853000000000009</c:v>
                </c:pt>
                <c:pt idx="4519">
                  <c:v>19.757999999999999</c:v>
                </c:pt>
                <c:pt idx="4520">
                  <c:v>19.757999999999999</c:v>
                </c:pt>
                <c:pt idx="4521">
                  <c:v>19.661999999999999</c:v>
                </c:pt>
                <c:pt idx="4522">
                  <c:v>19.567</c:v>
                </c:pt>
                <c:pt idx="4523">
                  <c:v>19.567</c:v>
                </c:pt>
                <c:pt idx="4524">
                  <c:v>19.472000000000001</c:v>
                </c:pt>
                <c:pt idx="4525">
                  <c:v>19.472000000000001</c:v>
                </c:pt>
                <c:pt idx="4526">
                  <c:v>19.472000000000001</c:v>
                </c:pt>
                <c:pt idx="4527">
                  <c:v>19.376999999999999</c:v>
                </c:pt>
                <c:pt idx="4528">
                  <c:v>19.376999999999999</c:v>
                </c:pt>
                <c:pt idx="4529">
                  <c:v>19.282</c:v>
                </c:pt>
                <c:pt idx="4530">
                  <c:v>19.282</c:v>
                </c:pt>
                <c:pt idx="4531">
                  <c:v>19.187000000000001</c:v>
                </c:pt>
                <c:pt idx="4532">
                  <c:v>19.282</c:v>
                </c:pt>
                <c:pt idx="4533">
                  <c:v>19.187000000000001</c:v>
                </c:pt>
                <c:pt idx="4534">
                  <c:v>19.187000000000001</c:v>
                </c:pt>
                <c:pt idx="4535">
                  <c:v>19.091999999999999</c:v>
                </c:pt>
                <c:pt idx="4536">
                  <c:v>19.091999999999999</c:v>
                </c:pt>
                <c:pt idx="4537">
                  <c:v>19.091999999999999</c:v>
                </c:pt>
                <c:pt idx="4538">
                  <c:v>19.187000000000001</c:v>
                </c:pt>
                <c:pt idx="4539">
                  <c:v>19.187000000000001</c:v>
                </c:pt>
                <c:pt idx="4540">
                  <c:v>19.282</c:v>
                </c:pt>
                <c:pt idx="4541">
                  <c:v>19.282</c:v>
                </c:pt>
                <c:pt idx="4542">
                  <c:v>19.376999999999999</c:v>
                </c:pt>
                <c:pt idx="4543">
                  <c:v>19.567</c:v>
                </c:pt>
                <c:pt idx="4544">
                  <c:v>19.661999999999999</c:v>
                </c:pt>
                <c:pt idx="4545">
                  <c:v>19.661999999999999</c:v>
                </c:pt>
                <c:pt idx="4546">
                  <c:v>19.853000000000009</c:v>
                </c:pt>
                <c:pt idx="4547">
                  <c:v>19.853000000000009</c:v>
                </c:pt>
                <c:pt idx="4548">
                  <c:v>19.853000000000009</c:v>
                </c:pt>
                <c:pt idx="4549">
                  <c:v>19.948</c:v>
                </c:pt>
                <c:pt idx="4550">
                  <c:v>20.329000000000001</c:v>
                </c:pt>
                <c:pt idx="4551">
                  <c:v>20.614999999999998</c:v>
                </c:pt>
                <c:pt idx="4552">
                  <c:v>20.234000000000009</c:v>
                </c:pt>
                <c:pt idx="4553">
                  <c:v>20.518999999999991</c:v>
                </c:pt>
                <c:pt idx="4554">
                  <c:v>20.614999999999998</c:v>
                </c:pt>
                <c:pt idx="4555">
                  <c:v>20.901</c:v>
                </c:pt>
                <c:pt idx="4556">
                  <c:v>20.614999999999998</c:v>
                </c:pt>
                <c:pt idx="4557">
                  <c:v>20.614999999999998</c:v>
                </c:pt>
                <c:pt idx="4558">
                  <c:v>20.71</c:v>
                </c:pt>
                <c:pt idx="4559">
                  <c:v>20.901</c:v>
                </c:pt>
                <c:pt idx="4560">
                  <c:v>21.091000000000001</c:v>
                </c:pt>
                <c:pt idx="4561">
                  <c:v>21.187000000000001</c:v>
                </c:pt>
                <c:pt idx="4562">
                  <c:v>21.568999999999999</c:v>
                </c:pt>
                <c:pt idx="4563">
                  <c:v>21.282</c:v>
                </c:pt>
                <c:pt idx="4564">
                  <c:v>21.568999999999999</c:v>
                </c:pt>
                <c:pt idx="4565">
                  <c:v>21.568999999999999</c:v>
                </c:pt>
                <c:pt idx="4566">
                  <c:v>21.472999999999999</c:v>
                </c:pt>
                <c:pt idx="4567">
                  <c:v>21.378</c:v>
                </c:pt>
                <c:pt idx="4568">
                  <c:v>21.472999999999999</c:v>
                </c:pt>
                <c:pt idx="4569">
                  <c:v>21.568999999999999</c:v>
                </c:pt>
                <c:pt idx="4570">
                  <c:v>21.568999999999999</c:v>
                </c:pt>
                <c:pt idx="4571">
                  <c:v>21.472999999999999</c:v>
                </c:pt>
                <c:pt idx="4572">
                  <c:v>21.472999999999999</c:v>
                </c:pt>
                <c:pt idx="4573">
                  <c:v>21.664000000000001</c:v>
                </c:pt>
                <c:pt idx="4574">
                  <c:v>21.568999999999999</c:v>
                </c:pt>
                <c:pt idx="4575">
                  <c:v>21.378</c:v>
                </c:pt>
                <c:pt idx="4576">
                  <c:v>21.282</c:v>
                </c:pt>
                <c:pt idx="4577">
                  <c:v>21.282</c:v>
                </c:pt>
                <c:pt idx="4578">
                  <c:v>21.187000000000001</c:v>
                </c:pt>
                <c:pt idx="4579">
                  <c:v>21.091000000000001</c:v>
                </c:pt>
                <c:pt idx="4580">
                  <c:v>21.091000000000001</c:v>
                </c:pt>
                <c:pt idx="4581">
                  <c:v>20.995999999999999</c:v>
                </c:pt>
                <c:pt idx="4582">
                  <c:v>20.995999999999999</c:v>
                </c:pt>
                <c:pt idx="4583">
                  <c:v>20.995999999999999</c:v>
                </c:pt>
                <c:pt idx="4584">
                  <c:v>20.901</c:v>
                </c:pt>
                <c:pt idx="4585">
                  <c:v>20.901</c:v>
                </c:pt>
                <c:pt idx="4586">
                  <c:v>20.805</c:v>
                </c:pt>
                <c:pt idx="4587">
                  <c:v>20.805</c:v>
                </c:pt>
                <c:pt idx="4588">
                  <c:v>20.805</c:v>
                </c:pt>
                <c:pt idx="4589">
                  <c:v>20.805</c:v>
                </c:pt>
                <c:pt idx="4590">
                  <c:v>20.71</c:v>
                </c:pt>
                <c:pt idx="4591">
                  <c:v>20.614999999999998</c:v>
                </c:pt>
                <c:pt idx="4592">
                  <c:v>20.518999999999991</c:v>
                </c:pt>
                <c:pt idx="4593">
                  <c:v>20.329000000000001</c:v>
                </c:pt>
                <c:pt idx="4594">
                  <c:v>20.234000000000009</c:v>
                </c:pt>
                <c:pt idx="4595">
                  <c:v>20.234000000000009</c:v>
                </c:pt>
                <c:pt idx="4596">
                  <c:v>20.234000000000009</c:v>
                </c:pt>
                <c:pt idx="4597">
                  <c:v>20.138000000000009</c:v>
                </c:pt>
                <c:pt idx="4598">
                  <c:v>20.138000000000009</c:v>
                </c:pt>
                <c:pt idx="4599">
                  <c:v>20.042999999999999</c:v>
                </c:pt>
                <c:pt idx="4600">
                  <c:v>20.042999999999999</c:v>
                </c:pt>
                <c:pt idx="4601">
                  <c:v>19.948</c:v>
                </c:pt>
                <c:pt idx="4602">
                  <c:v>19.948</c:v>
                </c:pt>
                <c:pt idx="4603">
                  <c:v>19.948</c:v>
                </c:pt>
                <c:pt idx="4604">
                  <c:v>19.948</c:v>
                </c:pt>
                <c:pt idx="4605">
                  <c:v>19.853000000000009</c:v>
                </c:pt>
                <c:pt idx="4606">
                  <c:v>19.853000000000009</c:v>
                </c:pt>
                <c:pt idx="4607">
                  <c:v>19.853000000000009</c:v>
                </c:pt>
                <c:pt idx="4608">
                  <c:v>19.757999999999999</c:v>
                </c:pt>
                <c:pt idx="4609">
                  <c:v>19.757999999999999</c:v>
                </c:pt>
                <c:pt idx="4610">
                  <c:v>19.757999999999999</c:v>
                </c:pt>
                <c:pt idx="4611">
                  <c:v>19.757999999999999</c:v>
                </c:pt>
                <c:pt idx="4612">
                  <c:v>19.661999999999999</c:v>
                </c:pt>
                <c:pt idx="4613">
                  <c:v>19.661999999999999</c:v>
                </c:pt>
                <c:pt idx="4614">
                  <c:v>19.567</c:v>
                </c:pt>
                <c:pt idx="4615">
                  <c:v>19.567</c:v>
                </c:pt>
                <c:pt idx="4616">
                  <c:v>19.472000000000001</c:v>
                </c:pt>
                <c:pt idx="4617">
                  <c:v>19.472000000000001</c:v>
                </c:pt>
                <c:pt idx="4618">
                  <c:v>19.472000000000001</c:v>
                </c:pt>
                <c:pt idx="4619">
                  <c:v>19.376999999999999</c:v>
                </c:pt>
                <c:pt idx="4620">
                  <c:v>19.376999999999999</c:v>
                </c:pt>
                <c:pt idx="4621">
                  <c:v>19.376999999999999</c:v>
                </c:pt>
                <c:pt idx="4622">
                  <c:v>19.282</c:v>
                </c:pt>
                <c:pt idx="4623">
                  <c:v>19.187000000000001</c:v>
                </c:pt>
                <c:pt idx="4624">
                  <c:v>19.187000000000001</c:v>
                </c:pt>
                <c:pt idx="4625">
                  <c:v>19.282</c:v>
                </c:pt>
                <c:pt idx="4626">
                  <c:v>19.187000000000001</c:v>
                </c:pt>
                <c:pt idx="4627">
                  <c:v>19.091999999999999</c:v>
                </c:pt>
                <c:pt idx="4628">
                  <c:v>19.091999999999999</c:v>
                </c:pt>
                <c:pt idx="4629">
                  <c:v>19.091999999999999</c:v>
                </c:pt>
                <c:pt idx="4630">
                  <c:v>19.091999999999999</c:v>
                </c:pt>
                <c:pt idx="4631">
                  <c:v>18.995999999999999</c:v>
                </c:pt>
                <c:pt idx="4632">
                  <c:v>18.995999999999999</c:v>
                </c:pt>
                <c:pt idx="4633">
                  <c:v>18.995999999999999</c:v>
                </c:pt>
                <c:pt idx="4634">
                  <c:v>18.995999999999999</c:v>
                </c:pt>
                <c:pt idx="4635">
                  <c:v>19.091999999999999</c:v>
                </c:pt>
                <c:pt idx="4636">
                  <c:v>19.187000000000001</c:v>
                </c:pt>
                <c:pt idx="4637">
                  <c:v>19.282</c:v>
                </c:pt>
                <c:pt idx="4638">
                  <c:v>19.472000000000001</c:v>
                </c:pt>
                <c:pt idx="4639">
                  <c:v>19.567</c:v>
                </c:pt>
                <c:pt idx="4640">
                  <c:v>19.757999999999999</c:v>
                </c:pt>
                <c:pt idx="4641">
                  <c:v>19.661999999999999</c:v>
                </c:pt>
                <c:pt idx="4642">
                  <c:v>19.757999999999999</c:v>
                </c:pt>
                <c:pt idx="4643">
                  <c:v>19.853000000000009</c:v>
                </c:pt>
                <c:pt idx="4644">
                  <c:v>19.948</c:v>
                </c:pt>
                <c:pt idx="4645">
                  <c:v>19.948</c:v>
                </c:pt>
                <c:pt idx="4646">
                  <c:v>20.329000000000001</c:v>
                </c:pt>
                <c:pt idx="4647">
                  <c:v>20.423999999999999</c:v>
                </c:pt>
                <c:pt idx="4648">
                  <c:v>20.329000000000001</c:v>
                </c:pt>
                <c:pt idx="4649">
                  <c:v>20.518999999999991</c:v>
                </c:pt>
                <c:pt idx="4650">
                  <c:v>20.614999999999998</c:v>
                </c:pt>
                <c:pt idx="4651">
                  <c:v>20.805</c:v>
                </c:pt>
                <c:pt idx="4652">
                  <c:v>20.71</c:v>
                </c:pt>
                <c:pt idx="4653">
                  <c:v>20.805</c:v>
                </c:pt>
                <c:pt idx="4654">
                  <c:v>20.901</c:v>
                </c:pt>
                <c:pt idx="4655">
                  <c:v>20.995999999999999</c:v>
                </c:pt>
                <c:pt idx="4656">
                  <c:v>21.187000000000001</c:v>
                </c:pt>
                <c:pt idx="4657">
                  <c:v>21.378</c:v>
                </c:pt>
                <c:pt idx="4658">
                  <c:v>21.664000000000001</c:v>
                </c:pt>
                <c:pt idx="4659">
                  <c:v>21.472999999999999</c:v>
                </c:pt>
                <c:pt idx="4660">
                  <c:v>21.472999999999999</c:v>
                </c:pt>
                <c:pt idx="4661">
                  <c:v>21.664000000000001</c:v>
                </c:pt>
                <c:pt idx="4662">
                  <c:v>21.568999999999999</c:v>
                </c:pt>
                <c:pt idx="4663">
                  <c:v>21.664000000000001</c:v>
                </c:pt>
                <c:pt idx="4664">
                  <c:v>21.664000000000001</c:v>
                </c:pt>
                <c:pt idx="4665">
                  <c:v>21.664000000000001</c:v>
                </c:pt>
                <c:pt idx="4666">
                  <c:v>21.664000000000001</c:v>
                </c:pt>
                <c:pt idx="4667">
                  <c:v>21.76</c:v>
                </c:pt>
                <c:pt idx="4668">
                  <c:v>21.664000000000001</c:v>
                </c:pt>
                <c:pt idx="4669">
                  <c:v>21.76</c:v>
                </c:pt>
                <c:pt idx="4670">
                  <c:v>21.664000000000001</c:v>
                </c:pt>
                <c:pt idx="4671">
                  <c:v>21.664000000000001</c:v>
                </c:pt>
                <c:pt idx="4672">
                  <c:v>21.568999999999999</c:v>
                </c:pt>
                <c:pt idx="4673">
                  <c:v>21.187000000000001</c:v>
                </c:pt>
                <c:pt idx="4674">
                  <c:v>21.091000000000001</c:v>
                </c:pt>
                <c:pt idx="4675">
                  <c:v>20.995999999999999</c:v>
                </c:pt>
                <c:pt idx="4676">
                  <c:v>20.901</c:v>
                </c:pt>
                <c:pt idx="4677">
                  <c:v>20.901</c:v>
                </c:pt>
                <c:pt idx="4678">
                  <c:v>20.901</c:v>
                </c:pt>
                <c:pt idx="4679">
                  <c:v>20.805</c:v>
                </c:pt>
                <c:pt idx="4680">
                  <c:v>20.805</c:v>
                </c:pt>
                <c:pt idx="4681">
                  <c:v>20.805</c:v>
                </c:pt>
                <c:pt idx="4682">
                  <c:v>20.71</c:v>
                </c:pt>
                <c:pt idx="4683">
                  <c:v>20.805</c:v>
                </c:pt>
                <c:pt idx="4684">
                  <c:v>20.71</c:v>
                </c:pt>
                <c:pt idx="4685">
                  <c:v>20.71</c:v>
                </c:pt>
                <c:pt idx="4686">
                  <c:v>20.614999999999998</c:v>
                </c:pt>
                <c:pt idx="4687">
                  <c:v>20.614999999999998</c:v>
                </c:pt>
                <c:pt idx="4688">
                  <c:v>20.614999999999998</c:v>
                </c:pt>
                <c:pt idx="4689">
                  <c:v>20.614999999999998</c:v>
                </c:pt>
                <c:pt idx="4690">
                  <c:v>20.614999999999998</c:v>
                </c:pt>
                <c:pt idx="4691">
                  <c:v>20.614999999999998</c:v>
                </c:pt>
                <c:pt idx="4692">
                  <c:v>20.614999999999998</c:v>
                </c:pt>
                <c:pt idx="4693">
                  <c:v>20.614999999999998</c:v>
                </c:pt>
                <c:pt idx="4694">
                  <c:v>20.518999999999991</c:v>
                </c:pt>
                <c:pt idx="4695">
                  <c:v>20.518999999999991</c:v>
                </c:pt>
                <c:pt idx="4696">
                  <c:v>20.518999999999991</c:v>
                </c:pt>
                <c:pt idx="4697">
                  <c:v>20.423999999999999</c:v>
                </c:pt>
                <c:pt idx="4698">
                  <c:v>20.423999999999999</c:v>
                </c:pt>
                <c:pt idx="4699">
                  <c:v>20.423999999999999</c:v>
                </c:pt>
                <c:pt idx="4700">
                  <c:v>20.329000000000001</c:v>
                </c:pt>
                <c:pt idx="4701">
                  <c:v>20.329000000000001</c:v>
                </c:pt>
                <c:pt idx="4702">
                  <c:v>20.234000000000009</c:v>
                </c:pt>
                <c:pt idx="4703">
                  <c:v>20.234000000000009</c:v>
                </c:pt>
                <c:pt idx="4704">
                  <c:v>20.138000000000009</c:v>
                </c:pt>
                <c:pt idx="4705">
                  <c:v>20.138000000000009</c:v>
                </c:pt>
                <c:pt idx="4706">
                  <c:v>20.138000000000009</c:v>
                </c:pt>
                <c:pt idx="4707">
                  <c:v>20.042999999999999</c:v>
                </c:pt>
                <c:pt idx="4708">
                  <c:v>20.042999999999999</c:v>
                </c:pt>
                <c:pt idx="4709">
                  <c:v>20.042999999999999</c:v>
                </c:pt>
                <c:pt idx="4710">
                  <c:v>20.042999999999999</c:v>
                </c:pt>
                <c:pt idx="4711">
                  <c:v>20.042999999999999</c:v>
                </c:pt>
                <c:pt idx="4712">
                  <c:v>19.948</c:v>
                </c:pt>
                <c:pt idx="4713">
                  <c:v>19.948</c:v>
                </c:pt>
                <c:pt idx="4714">
                  <c:v>19.853000000000009</c:v>
                </c:pt>
                <c:pt idx="4715">
                  <c:v>19.948</c:v>
                </c:pt>
                <c:pt idx="4716">
                  <c:v>19.853000000000009</c:v>
                </c:pt>
                <c:pt idx="4717">
                  <c:v>19.853000000000009</c:v>
                </c:pt>
                <c:pt idx="4718">
                  <c:v>19.853000000000009</c:v>
                </c:pt>
                <c:pt idx="4719">
                  <c:v>19.853000000000009</c:v>
                </c:pt>
                <c:pt idx="4720">
                  <c:v>19.757999999999999</c:v>
                </c:pt>
                <c:pt idx="4721">
                  <c:v>19.661999999999999</c:v>
                </c:pt>
                <c:pt idx="4722">
                  <c:v>19.661999999999999</c:v>
                </c:pt>
                <c:pt idx="4723">
                  <c:v>19.757999999999999</c:v>
                </c:pt>
                <c:pt idx="4724">
                  <c:v>19.757999999999999</c:v>
                </c:pt>
                <c:pt idx="4725">
                  <c:v>19.757999999999999</c:v>
                </c:pt>
                <c:pt idx="4726">
                  <c:v>19.757999999999999</c:v>
                </c:pt>
                <c:pt idx="4727">
                  <c:v>19.757999999999999</c:v>
                </c:pt>
                <c:pt idx="4728">
                  <c:v>19.757999999999999</c:v>
                </c:pt>
                <c:pt idx="4729">
                  <c:v>19.853000000000009</c:v>
                </c:pt>
                <c:pt idx="4730">
                  <c:v>19.757999999999999</c:v>
                </c:pt>
                <c:pt idx="4731">
                  <c:v>19.757999999999999</c:v>
                </c:pt>
                <c:pt idx="4732">
                  <c:v>19.757999999999999</c:v>
                </c:pt>
                <c:pt idx="4733">
                  <c:v>19.853000000000009</c:v>
                </c:pt>
                <c:pt idx="4734">
                  <c:v>19.853000000000009</c:v>
                </c:pt>
                <c:pt idx="4735">
                  <c:v>20.042999999999999</c:v>
                </c:pt>
                <c:pt idx="4736">
                  <c:v>19.948</c:v>
                </c:pt>
                <c:pt idx="4737">
                  <c:v>20.042999999999999</c:v>
                </c:pt>
                <c:pt idx="4738">
                  <c:v>20.042999999999999</c:v>
                </c:pt>
                <c:pt idx="4739">
                  <c:v>20.042999999999999</c:v>
                </c:pt>
                <c:pt idx="4740">
                  <c:v>20.138000000000009</c:v>
                </c:pt>
                <c:pt idx="4741">
                  <c:v>20.138000000000009</c:v>
                </c:pt>
                <c:pt idx="4742">
                  <c:v>20.518999999999991</c:v>
                </c:pt>
                <c:pt idx="4743">
                  <c:v>20.805</c:v>
                </c:pt>
                <c:pt idx="4744">
                  <c:v>20.518999999999991</c:v>
                </c:pt>
                <c:pt idx="4745">
                  <c:v>20.518999999999991</c:v>
                </c:pt>
                <c:pt idx="4746">
                  <c:v>20.71</c:v>
                </c:pt>
                <c:pt idx="4747">
                  <c:v>20.901</c:v>
                </c:pt>
                <c:pt idx="4748">
                  <c:v>20.71</c:v>
                </c:pt>
                <c:pt idx="4749">
                  <c:v>20.71</c:v>
                </c:pt>
                <c:pt idx="4750">
                  <c:v>20.71</c:v>
                </c:pt>
                <c:pt idx="4751">
                  <c:v>20.71</c:v>
                </c:pt>
                <c:pt idx="4752">
                  <c:v>20.901</c:v>
                </c:pt>
                <c:pt idx="4753">
                  <c:v>20.901</c:v>
                </c:pt>
                <c:pt idx="4754">
                  <c:v>21.091000000000001</c:v>
                </c:pt>
                <c:pt idx="4755">
                  <c:v>21.091000000000001</c:v>
                </c:pt>
                <c:pt idx="4756">
                  <c:v>20.995999999999999</c:v>
                </c:pt>
                <c:pt idx="4757">
                  <c:v>20.901</c:v>
                </c:pt>
                <c:pt idx="4758">
                  <c:v>20.995999999999999</c:v>
                </c:pt>
                <c:pt idx="4759">
                  <c:v>20.901</c:v>
                </c:pt>
                <c:pt idx="4760">
                  <c:v>20.901</c:v>
                </c:pt>
                <c:pt idx="4761">
                  <c:v>20.901</c:v>
                </c:pt>
                <c:pt idx="4762">
                  <c:v>20.995999999999999</c:v>
                </c:pt>
                <c:pt idx="4763">
                  <c:v>20.995999999999999</c:v>
                </c:pt>
                <c:pt idx="4764">
                  <c:v>20.995999999999999</c:v>
                </c:pt>
                <c:pt idx="4765">
                  <c:v>21.091000000000001</c:v>
                </c:pt>
                <c:pt idx="4766">
                  <c:v>20.995999999999999</c:v>
                </c:pt>
                <c:pt idx="4767">
                  <c:v>20.901</c:v>
                </c:pt>
                <c:pt idx="4768">
                  <c:v>20.901</c:v>
                </c:pt>
                <c:pt idx="4769">
                  <c:v>20.805</c:v>
                </c:pt>
                <c:pt idx="4770">
                  <c:v>20.901</c:v>
                </c:pt>
                <c:pt idx="4771">
                  <c:v>20.805</c:v>
                </c:pt>
                <c:pt idx="4772">
                  <c:v>20.805</c:v>
                </c:pt>
                <c:pt idx="4773">
                  <c:v>20.805</c:v>
                </c:pt>
                <c:pt idx="4774">
                  <c:v>20.71</c:v>
                </c:pt>
                <c:pt idx="4775">
                  <c:v>20.71</c:v>
                </c:pt>
                <c:pt idx="4776">
                  <c:v>20.71</c:v>
                </c:pt>
                <c:pt idx="4777">
                  <c:v>20.614999999999998</c:v>
                </c:pt>
                <c:pt idx="4778">
                  <c:v>20.518999999999991</c:v>
                </c:pt>
                <c:pt idx="4779">
                  <c:v>20.423999999999999</c:v>
                </c:pt>
                <c:pt idx="4780">
                  <c:v>20.423999999999999</c:v>
                </c:pt>
                <c:pt idx="4781">
                  <c:v>20.423999999999999</c:v>
                </c:pt>
                <c:pt idx="4782">
                  <c:v>20.329000000000001</c:v>
                </c:pt>
                <c:pt idx="4783">
                  <c:v>20.329000000000001</c:v>
                </c:pt>
                <c:pt idx="4784">
                  <c:v>20.329000000000001</c:v>
                </c:pt>
                <c:pt idx="4785">
                  <c:v>20.329000000000001</c:v>
                </c:pt>
                <c:pt idx="4786">
                  <c:v>20.329000000000001</c:v>
                </c:pt>
                <c:pt idx="4787">
                  <c:v>20.329000000000001</c:v>
                </c:pt>
                <c:pt idx="4788">
                  <c:v>20.329000000000001</c:v>
                </c:pt>
                <c:pt idx="4789">
                  <c:v>20.234000000000009</c:v>
                </c:pt>
                <c:pt idx="4790">
                  <c:v>20.234000000000009</c:v>
                </c:pt>
                <c:pt idx="4791">
                  <c:v>20.234000000000009</c:v>
                </c:pt>
                <c:pt idx="4792">
                  <c:v>20.138000000000009</c:v>
                </c:pt>
                <c:pt idx="4793">
                  <c:v>20.138000000000009</c:v>
                </c:pt>
                <c:pt idx="4794">
                  <c:v>20.042999999999999</c:v>
                </c:pt>
                <c:pt idx="4795">
                  <c:v>20.042999999999999</c:v>
                </c:pt>
                <c:pt idx="4796">
                  <c:v>19.948</c:v>
                </c:pt>
                <c:pt idx="4797">
                  <c:v>20.042999999999999</c:v>
                </c:pt>
                <c:pt idx="4798">
                  <c:v>19.948</c:v>
                </c:pt>
                <c:pt idx="4799">
                  <c:v>19.948</c:v>
                </c:pt>
                <c:pt idx="4800">
                  <c:v>19.948</c:v>
                </c:pt>
                <c:pt idx="4801">
                  <c:v>19.948</c:v>
                </c:pt>
                <c:pt idx="4802">
                  <c:v>19.853000000000009</c:v>
                </c:pt>
                <c:pt idx="4803">
                  <c:v>19.853000000000009</c:v>
                </c:pt>
                <c:pt idx="4804">
                  <c:v>19.853000000000009</c:v>
                </c:pt>
                <c:pt idx="4805">
                  <c:v>19.757999999999999</c:v>
                </c:pt>
                <c:pt idx="4806">
                  <c:v>19.757999999999999</c:v>
                </c:pt>
                <c:pt idx="4807">
                  <c:v>19.757999999999999</c:v>
                </c:pt>
                <c:pt idx="4808">
                  <c:v>19.757999999999999</c:v>
                </c:pt>
                <c:pt idx="4809">
                  <c:v>19.661999999999999</c:v>
                </c:pt>
                <c:pt idx="4810">
                  <c:v>19.567</c:v>
                </c:pt>
                <c:pt idx="4811">
                  <c:v>19.567</c:v>
                </c:pt>
                <c:pt idx="4812">
                  <c:v>19.567</c:v>
                </c:pt>
                <c:pt idx="4813">
                  <c:v>19.567</c:v>
                </c:pt>
                <c:pt idx="4814">
                  <c:v>19.567</c:v>
                </c:pt>
                <c:pt idx="4815">
                  <c:v>19.472000000000001</c:v>
                </c:pt>
                <c:pt idx="4816">
                  <c:v>19.567</c:v>
                </c:pt>
                <c:pt idx="4817">
                  <c:v>19.472000000000001</c:v>
                </c:pt>
                <c:pt idx="4818">
                  <c:v>19.376999999999999</c:v>
                </c:pt>
                <c:pt idx="4819">
                  <c:v>19.472000000000001</c:v>
                </c:pt>
                <c:pt idx="4820">
                  <c:v>19.376999999999999</c:v>
                </c:pt>
                <c:pt idx="4821">
                  <c:v>19.376999999999999</c:v>
                </c:pt>
                <c:pt idx="4822">
                  <c:v>19.376999999999999</c:v>
                </c:pt>
                <c:pt idx="4823">
                  <c:v>19.282</c:v>
                </c:pt>
                <c:pt idx="4824">
                  <c:v>19.282</c:v>
                </c:pt>
                <c:pt idx="4825">
                  <c:v>19.376999999999999</c:v>
                </c:pt>
                <c:pt idx="4826">
                  <c:v>19.376999999999999</c:v>
                </c:pt>
                <c:pt idx="4827">
                  <c:v>19.376999999999999</c:v>
                </c:pt>
                <c:pt idx="4828">
                  <c:v>19.376999999999999</c:v>
                </c:pt>
                <c:pt idx="4829">
                  <c:v>19.376999999999999</c:v>
                </c:pt>
                <c:pt idx="4830">
                  <c:v>19.376999999999999</c:v>
                </c:pt>
                <c:pt idx="4831">
                  <c:v>19.472000000000001</c:v>
                </c:pt>
                <c:pt idx="4832">
                  <c:v>19.567</c:v>
                </c:pt>
                <c:pt idx="4833">
                  <c:v>19.567</c:v>
                </c:pt>
                <c:pt idx="4834">
                  <c:v>19.661999999999999</c:v>
                </c:pt>
                <c:pt idx="4835">
                  <c:v>19.661999999999999</c:v>
                </c:pt>
                <c:pt idx="4836">
                  <c:v>19.757999999999999</c:v>
                </c:pt>
                <c:pt idx="4837">
                  <c:v>19.757999999999999</c:v>
                </c:pt>
                <c:pt idx="4838">
                  <c:v>20.042999999999999</c:v>
                </c:pt>
                <c:pt idx="4839">
                  <c:v>20.518999999999991</c:v>
                </c:pt>
                <c:pt idx="4840">
                  <c:v>20.234000000000009</c:v>
                </c:pt>
                <c:pt idx="4841">
                  <c:v>20.138000000000009</c:v>
                </c:pt>
                <c:pt idx="4842">
                  <c:v>20.423999999999999</c:v>
                </c:pt>
                <c:pt idx="4843">
                  <c:v>20.805</c:v>
                </c:pt>
                <c:pt idx="4844">
                  <c:v>20.329000000000001</c:v>
                </c:pt>
                <c:pt idx="4845">
                  <c:v>20.423999999999999</c:v>
                </c:pt>
                <c:pt idx="4846">
                  <c:v>20.518999999999991</c:v>
                </c:pt>
                <c:pt idx="4847">
                  <c:v>20.614999999999998</c:v>
                </c:pt>
                <c:pt idx="4848">
                  <c:v>20.805</c:v>
                </c:pt>
                <c:pt idx="4849">
                  <c:v>20.805</c:v>
                </c:pt>
                <c:pt idx="4850">
                  <c:v>20.901</c:v>
                </c:pt>
                <c:pt idx="4851">
                  <c:v>20.901</c:v>
                </c:pt>
                <c:pt idx="4852">
                  <c:v>20.995999999999999</c:v>
                </c:pt>
                <c:pt idx="4853">
                  <c:v>20.995999999999999</c:v>
                </c:pt>
                <c:pt idx="4854">
                  <c:v>20.995999999999999</c:v>
                </c:pt>
                <c:pt idx="4855">
                  <c:v>20.901</c:v>
                </c:pt>
                <c:pt idx="4856">
                  <c:v>20.901</c:v>
                </c:pt>
                <c:pt idx="4857">
                  <c:v>20.901</c:v>
                </c:pt>
                <c:pt idx="4858">
                  <c:v>20.805</c:v>
                </c:pt>
                <c:pt idx="4859">
                  <c:v>20.805</c:v>
                </c:pt>
                <c:pt idx="4860">
                  <c:v>20.901</c:v>
                </c:pt>
                <c:pt idx="4861">
                  <c:v>21.187000000000001</c:v>
                </c:pt>
                <c:pt idx="4862">
                  <c:v>20.901</c:v>
                </c:pt>
                <c:pt idx="4863">
                  <c:v>20.805</c:v>
                </c:pt>
                <c:pt idx="4864">
                  <c:v>20.71</c:v>
                </c:pt>
                <c:pt idx="4865">
                  <c:v>20.614999999999998</c:v>
                </c:pt>
                <c:pt idx="4866">
                  <c:v>20.614999999999998</c:v>
                </c:pt>
                <c:pt idx="4867">
                  <c:v>20.518999999999991</c:v>
                </c:pt>
                <c:pt idx="4868">
                  <c:v>20.423999999999999</c:v>
                </c:pt>
                <c:pt idx="4869">
                  <c:v>20.329000000000001</c:v>
                </c:pt>
                <c:pt idx="4870">
                  <c:v>20.234000000000009</c:v>
                </c:pt>
                <c:pt idx="4871">
                  <c:v>20.234000000000009</c:v>
                </c:pt>
                <c:pt idx="4872">
                  <c:v>20.138000000000009</c:v>
                </c:pt>
                <c:pt idx="4873">
                  <c:v>20.042999999999999</c:v>
                </c:pt>
                <c:pt idx="4874">
                  <c:v>20.042999999999999</c:v>
                </c:pt>
                <c:pt idx="4875">
                  <c:v>19.948</c:v>
                </c:pt>
                <c:pt idx="4876">
                  <c:v>19.948</c:v>
                </c:pt>
                <c:pt idx="4877">
                  <c:v>19.853000000000009</c:v>
                </c:pt>
                <c:pt idx="4878">
                  <c:v>19.853000000000009</c:v>
                </c:pt>
                <c:pt idx="4879">
                  <c:v>19.757999999999999</c:v>
                </c:pt>
                <c:pt idx="4880">
                  <c:v>19.757999999999999</c:v>
                </c:pt>
                <c:pt idx="4881">
                  <c:v>19.661999999999999</c:v>
                </c:pt>
                <c:pt idx="4882">
                  <c:v>19.661999999999999</c:v>
                </c:pt>
                <c:pt idx="4883">
                  <c:v>19.661999999999999</c:v>
                </c:pt>
                <c:pt idx="4884">
                  <c:v>19.661999999999999</c:v>
                </c:pt>
                <c:pt idx="4885">
                  <c:v>19.661999999999999</c:v>
                </c:pt>
                <c:pt idx="4886">
                  <c:v>19.661999999999999</c:v>
                </c:pt>
                <c:pt idx="4887">
                  <c:v>19.661999999999999</c:v>
                </c:pt>
                <c:pt idx="4888">
                  <c:v>19.567</c:v>
                </c:pt>
                <c:pt idx="4889">
                  <c:v>19.567</c:v>
                </c:pt>
                <c:pt idx="4890">
                  <c:v>19.567</c:v>
                </c:pt>
                <c:pt idx="4891">
                  <c:v>19.567</c:v>
                </c:pt>
                <c:pt idx="4892">
                  <c:v>19.567</c:v>
                </c:pt>
                <c:pt idx="4893">
                  <c:v>19.472000000000001</c:v>
                </c:pt>
                <c:pt idx="4894">
                  <c:v>19.472000000000001</c:v>
                </c:pt>
                <c:pt idx="4895">
                  <c:v>19.472000000000001</c:v>
                </c:pt>
                <c:pt idx="4896">
                  <c:v>19.376999999999999</c:v>
                </c:pt>
                <c:pt idx="4897">
                  <c:v>19.376999999999999</c:v>
                </c:pt>
                <c:pt idx="4898">
                  <c:v>19.376999999999999</c:v>
                </c:pt>
                <c:pt idx="4899">
                  <c:v>19.376999999999999</c:v>
                </c:pt>
                <c:pt idx="4900">
                  <c:v>19.376999999999999</c:v>
                </c:pt>
                <c:pt idx="4901">
                  <c:v>19.376999999999999</c:v>
                </c:pt>
                <c:pt idx="4902">
                  <c:v>19.282</c:v>
                </c:pt>
                <c:pt idx="4903">
                  <c:v>19.187000000000001</c:v>
                </c:pt>
                <c:pt idx="4904">
                  <c:v>19.187000000000001</c:v>
                </c:pt>
                <c:pt idx="4905">
                  <c:v>19.187000000000001</c:v>
                </c:pt>
                <c:pt idx="4906">
                  <c:v>19.187000000000001</c:v>
                </c:pt>
                <c:pt idx="4907">
                  <c:v>19.091999999999999</c:v>
                </c:pt>
                <c:pt idx="4908">
                  <c:v>19.091999999999999</c:v>
                </c:pt>
                <c:pt idx="4909">
                  <c:v>19.187000000000001</c:v>
                </c:pt>
                <c:pt idx="4910">
                  <c:v>19.091999999999999</c:v>
                </c:pt>
                <c:pt idx="4911">
                  <c:v>19.091999999999999</c:v>
                </c:pt>
                <c:pt idx="4912">
                  <c:v>19.091999999999999</c:v>
                </c:pt>
                <c:pt idx="4913">
                  <c:v>18.901</c:v>
                </c:pt>
                <c:pt idx="4914">
                  <c:v>18.901</c:v>
                </c:pt>
                <c:pt idx="4915">
                  <c:v>18.710999999999999</c:v>
                </c:pt>
                <c:pt idx="4916">
                  <c:v>18.710999999999999</c:v>
                </c:pt>
                <c:pt idx="4917">
                  <c:v>18.710999999999999</c:v>
                </c:pt>
                <c:pt idx="4918">
                  <c:v>18.616</c:v>
                </c:pt>
                <c:pt idx="4919">
                  <c:v>18.616</c:v>
                </c:pt>
                <c:pt idx="4920">
                  <c:v>18.616</c:v>
                </c:pt>
                <c:pt idx="4921">
                  <c:v>18.616</c:v>
                </c:pt>
                <c:pt idx="4922">
                  <c:v>18.710999999999999</c:v>
                </c:pt>
                <c:pt idx="4923">
                  <c:v>18.710999999999999</c:v>
                </c:pt>
                <c:pt idx="4924">
                  <c:v>18.710999999999999</c:v>
                </c:pt>
                <c:pt idx="4925">
                  <c:v>18.806000000000001</c:v>
                </c:pt>
                <c:pt idx="4926">
                  <c:v>18.901</c:v>
                </c:pt>
                <c:pt idx="4927">
                  <c:v>18.995999999999999</c:v>
                </c:pt>
                <c:pt idx="4928">
                  <c:v>19.091999999999999</c:v>
                </c:pt>
                <c:pt idx="4929">
                  <c:v>19.187000000000001</c:v>
                </c:pt>
                <c:pt idx="4930">
                  <c:v>19.282</c:v>
                </c:pt>
                <c:pt idx="4931">
                  <c:v>19.376999999999999</c:v>
                </c:pt>
                <c:pt idx="4932">
                  <c:v>19.472000000000001</c:v>
                </c:pt>
                <c:pt idx="4933">
                  <c:v>19.567</c:v>
                </c:pt>
                <c:pt idx="4934">
                  <c:v>19.757999999999999</c:v>
                </c:pt>
                <c:pt idx="4935">
                  <c:v>20.518999999999991</c:v>
                </c:pt>
                <c:pt idx="4936">
                  <c:v>20.138000000000009</c:v>
                </c:pt>
                <c:pt idx="4937">
                  <c:v>20.042999999999999</c:v>
                </c:pt>
                <c:pt idx="4938">
                  <c:v>20.329000000000001</c:v>
                </c:pt>
                <c:pt idx="4939">
                  <c:v>21.091000000000001</c:v>
                </c:pt>
                <c:pt idx="4940">
                  <c:v>20.329000000000001</c:v>
                </c:pt>
                <c:pt idx="4941">
                  <c:v>20.423999999999999</c:v>
                </c:pt>
                <c:pt idx="4942">
                  <c:v>20.423999999999999</c:v>
                </c:pt>
                <c:pt idx="4943">
                  <c:v>20.518999999999991</c:v>
                </c:pt>
                <c:pt idx="4944">
                  <c:v>20.805</c:v>
                </c:pt>
                <c:pt idx="4945">
                  <c:v>20.805</c:v>
                </c:pt>
                <c:pt idx="4946">
                  <c:v>20.995999999999999</c:v>
                </c:pt>
                <c:pt idx="4947">
                  <c:v>20.995999999999999</c:v>
                </c:pt>
                <c:pt idx="4948">
                  <c:v>21.091000000000001</c:v>
                </c:pt>
                <c:pt idx="4949">
                  <c:v>21.091000000000001</c:v>
                </c:pt>
                <c:pt idx="4950">
                  <c:v>20.995999999999999</c:v>
                </c:pt>
                <c:pt idx="4951">
                  <c:v>20.995999999999999</c:v>
                </c:pt>
                <c:pt idx="4952">
                  <c:v>21.187000000000001</c:v>
                </c:pt>
                <c:pt idx="4953">
                  <c:v>21.091000000000001</c:v>
                </c:pt>
                <c:pt idx="4954">
                  <c:v>21.091000000000001</c:v>
                </c:pt>
                <c:pt idx="4955">
                  <c:v>21.091000000000001</c:v>
                </c:pt>
                <c:pt idx="4956">
                  <c:v>21.568999999999999</c:v>
                </c:pt>
                <c:pt idx="4957">
                  <c:v>21.855</c:v>
                </c:pt>
                <c:pt idx="4958">
                  <c:v>21.282</c:v>
                </c:pt>
                <c:pt idx="4959">
                  <c:v>21.187000000000001</c:v>
                </c:pt>
                <c:pt idx="4960">
                  <c:v>21.091000000000001</c:v>
                </c:pt>
                <c:pt idx="4961">
                  <c:v>20.995999999999999</c:v>
                </c:pt>
                <c:pt idx="4962">
                  <c:v>20.995999999999999</c:v>
                </c:pt>
                <c:pt idx="4963">
                  <c:v>20.995999999999999</c:v>
                </c:pt>
                <c:pt idx="4964">
                  <c:v>20.805</c:v>
                </c:pt>
                <c:pt idx="4965">
                  <c:v>20.71</c:v>
                </c:pt>
                <c:pt idx="4966">
                  <c:v>20.71</c:v>
                </c:pt>
                <c:pt idx="4967">
                  <c:v>20.71</c:v>
                </c:pt>
                <c:pt idx="4968">
                  <c:v>20.71</c:v>
                </c:pt>
                <c:pt idx="4969">
                  <c:v>20.614999999999998</c:v>
                </c:pt>
                <c:pt idx="4970">
                  <c:v>20.518999999999991</c:v>
                </c:pt>
                <c:pt idx="4971">
                  <c:v>20.518999999999991</c:v>
                </c:pt>
                <c:pt idx="4972">
                  <c:v>20.423999999999999</c:v>
                </c:pt>
                <c:pt idx="4973">
                  <c:v>20.329000000000001</c:v>
                </c:pt>
                <c:pt idx="4974">
                  <c:v>20.234000000000009</c:v>
                </c:pt>
                <c:pt idx="4975">
                  <c:v>20.138000000000009</c:v>
                </c:pt>
                <c:pt idx="4976">
                  <c:v>20.138000000000009</c:v>
                </c:pt>
                <c:pt idx="4977">
                  <c:v>20.042999999999999</c:v>
                </c:pt>
                <c:pt idx="4978">
                  <c:v>19.948</c:v>
                </c:pt>
                <c:pt idx="4979">
                  <c:v>19.853000000000009</c:v>
                </c:pt>
                <c:pt idx="4980">
                  <c:v>19.853000000000009</c:v>
                </c:pt>
                <c:pt idx="4981">
                  <c:v>19.853000000000009</c:v>
                </c:pt>
                <c:pt idx="4982">
                  <c:v>19.757999999999999</c:v>
                </c:pt>
                <c:pt idx="4983">
                  <c:v>19.661999999999999</c:v>
                </c:pt>
                <c:pt idx="4984">
                  <c:v>19.661999999999999</c:v>
                </c:pt>
                <c:pt idx="4985">
                  <c:v>19.567</c:v>
                </c:pt>
                <c:pt idx="4986">
                  <c:v>19.567</c:v>
                </c:pt>
                <c:pt idx="4987">
                  <c:v>19.567</c:v>
                </c:pt>
                <c:pt idx="4988">
                  <c:v>19.567</c:v>
                </c:pt>
                <c:pt idx="4989">
                  <c:v>19.472000000000001</c:v>
                </c:pt>
                <c:pt idx="4990">
                  <c:v>19.472000000000001</c:v>
                </c:pt>
                <c:pt idx="4991">
                  <c:v>19.472000000000001</c:v>
                </c:pt>
                <c:pt idx="4992">
                  <c:v>19.376999999999999</c:v>
                </c:pt>
                <c:pt idx="4993">
                  <c:v>19.376999999999999</c:v>
                </c:pt>
                <c:pt idx="4994">
                  <c:v>19.376999999999999</c:v>
                </c:pt>
                <c:pt idx="4995">
                  <c:v>19.376999999999999</c:v>
                </c:pt>
                <c:pt idx="4996">
                  <c:v>19.376999999999999</c:v>
                </c:pt>
                <c:pt idx="4997">
                  <c:v>19.376999999999999</c:v>
                </c:pt>
                <c:pt idx="4998">
                  <c:v>19.376999999999999</c:v>
                </c:pt>
                <c:pt idx="4999">
                  <c:v>19.376999999999999</c:v>
                </c:pt>
                <c:pt idx="5000">
                  <c:v>19.376999999999999</c:v>
                </c:pt>
                <c:pt idx="5001">
                  <c:v>19.282</c:v>
                </c:pt>
                <c:pt idx="5002">
                  <c:v>19.282</c:v>
                </c:pt>
                <c:pt idx="5003">
                  <c:v>19.187000000000001</c:v>
                </c:pt>
                <c:pt idx="5004">
                  <c:v>19.091999999999999</c:v>
                </c:pt>
                <c:pt idx="5005">
                  <c:v>19.091999999999999</c:v>
                </c:pt>
                <c:pt idx="5006">
                  <c:v>19.091999999999999</c:v>
                </c:pt>
                <c:pt idx="5007">
                  <c:v>18.995999999999999</c:v>
                </c:pt>
                <c:pt idx="5008">
                  <c:v>18.995999999999999</c:v>
                </c:pt>
                <c:pt idx="5009">
                  <c:v>18.995999999999999</c:v>
                </c:pt>
                <c:pt idx="5010">
                  <c:v>18.995999999999999</c:v>
                </c:pt>
                <c:pt idx="5011">
                  <c:v>18.995999999999999</c:v>
                </c:pt>
                <c:pt idx="5012">
                  <c:v>18.806000000000001</c:v>
                </c:pt>
                <c:pt idx="5013">
                  <c:v>18.806000000000001</c:v>
                </c:pt>
                <c:pt idx="5014">
                  <c:v>18.806000000000001</c:v>
                </c:pt>
                <c:pt idx="5015">
                  <c:v>18.806000000000001</c:v>
                </c:pt>
                <c:pt idx="5016">
                  <c:v>18.710999999999999</c:v>
                </c:pt>
                <c:pt idx="5017">
                  <c:v>18.806000000000001</c:v>
                </c:pt>
                <c:pt idx="5018">
                  <c:v>18.806000000000001</c:v>
                </c:pt>
                <c:pt idx="5019">
                  <c:v>18.995999999999999</c:v>
                </c:pt>
                <c:pt idx="5020">
                  <c:v>18.995999999999999</c:v>
                </c:pt>
                <c:pt idx="5021">
                  <c:v>19.091999999999999</c:v>
                </c:pt>
                <c:pt idx="5022">
                  <c:v>19.282</c:v>
                </c:pt>
                <c:pt idx="5023">
                  <c:v>19.282</c:v>
                </c:pt>
                <c:pt idx="5024">
                  <c:v>19.376999999999999</c:v>
                </c:pt>
                <c:pt idx="5025">
                  <c:v>19.472000000000001</c:v>
                </c:pt>
                <c:pt idx="5026">
                  <c:v>19.472000000000001</c:v>
                </c:pt>
                <c:pt idx="5027">
                  <c:v>19.567</c:v>
                </c:pt>
                <c:pt idx="5028">
                  <c:v>19.661999999999999</c:v>
                </c:pt>
                <c:pt idx="5029">
                  <c:v>19.757999999999999</c:v>
                </c:pt>
                <c:pt idx="5030">
                  <c:v>20.138000000000009</c:v>
                </c:pt>
                <c:pt idx="5031">
                  <c:v>20.234000000000009</c:v>
                </c:pt>
                <c:pt idx="5032">
                  <c:v>20.423999999999999</c:v>
                </c:pt>
                <c:pt idx="5033">
                  <c:v>20.329000000000001</c:v>
                </c:pt>
                <c:pt idx="5034">
                  <c:v>20.518999999999991</c:v>
                </c:pt>
                <c:pt idx="5035">
                  <c:v>21.282</c:v>
                </c:pt>
                <c:pt idx="5036">
                  <c:v>20.614999999999998</c:v>
                </c:pt>
                <c:pt idx="5037">
                  <c:v>20.805</c:v>
                </c:pt>
                <c:pt idx="5038">
                  <c:v>20.805</c:v>
                </c:pt>
                <c:pt idx="5039">
                  <c:v>20.901</c:v>
                </c:pt>
                <c:pt idx="5040">
                  <c:v>20.995999999999999</c:v>
                </c:pt>
                <c:pt idx="5041">
                  <c:v>20.995999999999999</c:v>
                </c:pt>
                <c:pt idx="5042">
                  <c:v>21.091000000000001</c:v>
                </c:pt>
                <c:pt idx="5043">
                  <c:v>20.995999999999999</c:v>
                </c:pt>
                <c:pt idx="5044">
                  <c:v>21.187000000000001</c:v>
                </c:pt>
                <c:pt idx="5045">
                  <c:v>21.091000000000001</c:v>
                </c:pt>
                <c:pt idx="5046">
                  <c:v>21.091000000000001</c:v>
                </c:pt>
                <c:pt idx="5047">
                  <c:v>21.091000000000001</c:v>
                </c:pt>
                <c:pt idx="5048">
                  <c:v>21.091000000000001</c:v>
                </c:pt>
                <c:pt idx="5049">
                  <c:v>20.995999999999999</c:v>
                </c:pt>
                <c:pt idx="5050">
                  <c:v>20.995999999999999</c:v>
                </c:pt>
                <c:pt idx="5051">
                  <c:v>20.995999999999999</c:v>
                </c:pt>
                <c:pt idx="5052">
                  <c:v>21.282</c:v>
                </c:pt>
                <c:pt idx="5053">
                  <c:v>21.378</c:v>
                </c:pt>
                <c:pt idx="5054">
                  <c:v>21.091000000000001</c:v>
                </c:pt>
                <c:pt idx="5055">
                  <c:v>21.091000000000001</c:v>
                </c:pt>
                <c:pt idx="5056">
                  <c:v>20.995999999999999</c:v>
                </c:pt>
                <c:pt idx="5057">
                  <c:v>20.995999999999999</c:v>
                </c:pt>
                <c:pt idx="5058">
                  <c:v>20.995999999999999</c:v>
                </c:pt>
                <c:pt idx="5059">
                  <c:v>20.995999999999999</c:v>
                </c:pt>
                <c:pt idx="5060">
                  <c:v>20.995999999999999</c:v>
                </c:pt>
                <c:pt idx="5061">
                  <c:v>20.995999999999999</c:v>
                </c:pt>
                <c:pt idx="5062">
                  <c:v>20.901</c:v>
                </c:pt>
                <c:pt idx="5063">
                  <c:v>20.901</c:v>
                </c:pt>
                <c:pt idx="5064">
                  <c:v>20.805</c:v>
                </c:pt>
                <c:pt idx="5065">
                  <c:v>20.805</c:v>
                </c:pt>
                <c:pt idx="5066">
                  <c:v>20.71</c:v>
                </c:pt>
                <c:pt idx="5067">
                  <c:v>20.71</c:v>
                </c:pt>
                <c:pt idx="5068">
                  <c:v>20.71</c:v>
                </c:pt>
                <c:pt idx="5069">
                  <c:v>20.614999999999998</c:v>
                </c:pt>
                <c:pt idx="5070">
                  <c:v>20.614999999999998</c:v>
                </c:pt>
                <c:pt idx="5071">
                  <c:v>20.614999999999998</c:v>
                </c:pt>
                <c:pt idx="5072">
                  <c:v>20.614999999999998</c:v>
                </c:pt>
                <c:pt idx="5073">
                  <c:v>20.518999999999991</c:v>
                </c:pt>
                <c:pt idx="5074">
                  <c:v>20.518999999999991</c:v>
                </c:pt>
                <c:pt idx="5075">
                  <c:v>20.423999999999999</c:v>
                </c:pt>
                <c:pt idx="5076">
                  <c:v>20.423999999999999</c:v>
                </c:pt>
                <c:pt idx="5077">
                  <c:v>20.329000000000001</c:v>
                </c:pt>
                <c:pt idx="5078">
                  <c:v>20.329000000000001</c:v>
                </c:pt>
                <c:pt idx="5079">
                  <c:v>20.329000000000001</c:v>
                </c:pt>
                <c:pt idx="5080">
                  <c:v>20.329000000000001</c:v>
                </c:pt>
                <c:pt idx="5081">
                  <c:v>20.329000000000001</c:v>
                </c:pt>
                <c:pt idx="5082">
                  <c:v>20.234000000000009</c:v>
                </c:pt>
                <c:pt idx="5083">
                  <c:v>20.234000000000009</c:v>
                </c:pt>
                <c:pt idx="5084">
                  <c:v>20.234000000000009</c:v>
                </c:pt>
                <c:pt idx="5085">
                  <c:v>20.234000000000009</c:v>
                </c:pt>
                <c:pt idx="5086">
                  <c:v>20.234000000000009</c:v>
                </c:pt>
                <c:pt idx="5087">
                  <c:v>20.138000000000009</c:v>
                </c:pt>
                <c:pt idx="5088">
                  <c:v>20.138000000000009</c:v>
                </c:pt>
                <c:pt idx="5089">
                  <c:v>20.042999999999999</c:v>
                </c:pt>
                <c:pt idx="5090">
                  <c:v>20.042999999999999</c:v>
                </c:pt>
                <c:pt idx="5091">
                  <c:v>20.042999999999999</c:v>
                </c:pt>
                <c:pt idx="5092">
                  <c:v>20.042999999999999</c:v>
                </c:pt>
                <c:pt idx="5093">
                  <c:v>20.042999999999999</c:v>
                </c:pt>
                <c:pt idx="5094">
                  <c:v>20.042999999999999</c:v>
                </c:pt>
                <c:pt idx="5095">
                  <c:v>20.042999999999999</c:v>
                </c:pt>
                <c:pt idx="5096">
                  <c:v>19.948</c:v>
                </c:pt>
                <c:pt idx="5097">
                  <c:v>19.948</c:v>
                </c:pt>
                <c:pt idx="5098">
                  <c:v>19.948</c:v>
                </c:pt>
                <c:pt idx="5099">
                  <c:v>19.757999999999999</c:v>
                </c:pt>
                <c:pt idx="5100">
                  <c:v>19.757999999999999</c:v>
                </c:pt>
                <c:pt idx="5101">
                  <c:v>19.757999999999999</c:v>
                </c:pt>
                <c:pt idx="5102">
                  <c:v>19.757999999999999</c:v>
                </c:pt>
                <c:pt idx="5103">
                  <c:v>19.757999999999999</c:v>
                </c:pt>
                <c:pt idx="5104">
                  <c:v>19.661999999999999</c:v>
                </c:pt>
                <c:pt idx="5105">
                  <c:v>19.661999999999999</c:v>
                </c:pt>
                <c:pt idx="5106">
                  <c:v>19.661999999999999</c:v>
                </c:pt>
                <c:pt idx="5107">
                  <c:v>19.567</c:v>
                </c:pt>
                <c:pt idx="5108">
                  <c:v>19.661999999999999</c:v>
                </c:pt>
                <c:pt idx="5109">
                  <c:v>19.567</c:v>
                </c:pt>
                <c:pt idx="5110">
                  <c:v>19.567</c:v>
                </c:pt>
                <c:pt idx="5111">
                  <c:v>19.472000000000001</c:v>
                </c:pt>
                <c:pt idx="5112">
                  <c:v>19.567</c:v>
                </c:pt>
                <c:pt idx="5113">
                  <c:v>19.567</c:v>
                </c:pt>
                <c:pt idx="5114">
                  <c:v>19.567</c:v>
                </c:pt>
                <c:pt idx="5115">
                  <c:v>19.567</c:v>
                </c:pt>
                <c:pt idx="5116">
                  <c:v>19.757999999999999</c:v>
                </c:pt>
                <c:pt idx="5117">
                  <c:v>19.853000000000009</c:v>
                </c:pt>
                <c:pt idx="5118">
                  <c:v>19.948</c:v>
                </c:pt>
                <c:pt idx="5119">
                  <c:v>19.948</c:v>
                </c:pt>
                <c:pt idx="5120">
                  <c:v>20.042999999999999</c:v>
                </c:pt>
                <c:pt idx="5121">
                  <c:v>20.042999999999999</c:v>
                </c:pt>
                <c:pt idx="5122">
                  <c:v>20.138000000000009</c:v>
                </c:pt>
                <c:pt idx="5123">
                  <c:v>20.234000000000009</c:v>
                </c:pt>
                <c:pt idx="5124">
                  <c:v>20.329000000000001</c:v>
                </c:pt>
                <c:pt idx="5125">
                  <c:v>20.423999999999999</c:v>
                </c:pt>
                <c:pt idx="5126">
                  <c:v>20.805</c:v>
                </c:pt>
                <c:pt idx="5127">
                  <c:v>20.901</c:v>
                </c:pt>
                <c:pt idx="5128">
                  <c:v>20.995999999999999</c:v>
                </c:pt>
                <c:pt idx="5129">
                  <c:v>20.901</c:v>
                </c:pt>
                <c:pt idx="5130">
                  <c:v>21.091000000000001</c:v>
                </c:pt>
                <c:pt idx="5131">
                  <c:v>22.141999999999999</c:v>
                </c:pt>
                <c:pt idx="5132">
                  <c:v>21.282</c:v>
                </c:pt>
                <c:pt idx="5133">
                  <c:v>21.282</c:v>
                </c:pt>
                <c:pt idx="5134">
                  <c:v>21.187000000000001</c:v>
                </c:pt>
                <c:pt idx="5135">
                  <c:v>21.282</c:v>
                </c:pt>
                <c:pt idx="5136">
                  <c:v>21.568999999999999</c:v>
                </c:pt>
                <c:pt idx="5137">
                  <c:v>21.472999999999999</c:v>
                </c:pt>
                <c:pt idx="5138">
                  <c:v>21.472999999999999</c:v>
                </c:pt>
                <c:pt idx="5139">
                  <c:v>21.568999999999999</c:v>
                </c:pt>
                <c:pt idx="5140">
                  <c:v>21.951000000000001</c:v>
                </c:pt>
                <c:pt idx="5141">
                  <c:v>22.141999999999999</c:v>
                </c:pt>
                <c:pt idx="5142">
                  <c:v>22.045999999999999</c:v>
                </c:pt>
                <c:pt idx="5143">
                  <c:v>22.045999999999999</c:v>
                </c:pt>
                <c:pt idx="5144">
                  <c:v>21.951000000000001</c:v>
                </c:pt>
                <c:pt idx="5145">
                  <c:v>22.141999999999999</c:v>
                </c:pt>
                <c:pt idx="5146">
                  <c:v>22.238</c:v>
                </c:pt>
                <c:pt idx="5147">
                  <c:v>21.951000000000001</c:v>
                </c:pt>
                <c:pt idx="5148">
                  <c:v>21.855</c:v>
                </c:pt>
                <c:pt idx="5149">
                  <c:v>21.855</c:v>
                </c:pt>
                <c:pt idx="5150">
                  <c:v>21.76</c:v>
                </c:pt>
                <c:pt idx="5151">
                  <c:v>21.282</c:v>
                </c:pt>
                <c:pt idx="5152">
                  <c:v>21.091000000000001</c:v>
                </c:pt>
                <c:pt idx="5153">
                  <c:v>21.091000000000001</c:v>
                </c:pt>
                <c:pt idx="5154">
                  <c:v>21.091000000000001</c:v>
                </c:pt>
                <c:pt idx="5155">
                  <c:v>20.995999999999999</c:v>
                </c:pt>
                <c:pt idx="5156">
                  <c:v>20.901</c:v>
                </c:pt>
                <c:pt idx="5157">
                  <c:v>20.901</c:v>
                </c:pt>
                <c:pt idx="5158">
                  <c:v>20.901</c:v>
                </c:pt>
                <c:pt idx="5159">
                  <c:v>20.805</c:v>
                </c:pt>
                <c:pt idx="5160">
                  <c:v>20.71</c:v>
                </c:pt>
                <c:pt idx="5161">
                  <c:v>20.71</c:v>
                </c:pt>
                <c:pt idx="5162">
                  <c:v>20.614999999999998</c:v>
                </c:pt>
                <c:pt idx="5163">
                  <c:v>20.614999999999998</c:v>
                </c:pt>
                <c:pt idx="5164">
                  <c:v>20.518999999999991</c:v>
                </c:pt>
                <c:pt idx="5165">
                  <c:v>20.423999999999999</c:v>
                </c:pt>
                <c:pt idx="5166">
                  <c:v>20.329000000000001</c:v>
                </c:pt>
                <c:pt idx="5167">
                  <c:v>20.329000000000001</c:v>
                </c:pt>
                <c:pt idx="5168">
                  <c:v>20.329000000000001</c:v>
                </c:pt>
                <c:pt idx="5169">
                  <c:v>20.234000000000009</c:v>
                </c:pt>
                <c:pt idx="5170">
                  <c:v>20.234000000000009</c:v>
                </c:pt>
                <c:pt idx="5171">
                  <c:v>20.234000000000009</c:v>
                </c:pt>
                <c:pt idx="5172">
                  <c:v>20.234000000000009</c:v>
                </c:pt>
                <c:pt idx="5173">
                  <c:v>20.138000000000009</c:v>
                </c:pt>
                <c:pt idx="5174">
                  <c:v>20.138000000000009</c:v>
                </c:pt>
                <c:pt idx="5175">
                  <c:v>20.042999999999999</c:v>
                </c:pt>
                <c:pt idx="5176">
                  <c:v>20.042999999999999</c:v>
                </c:pt>
                <c:pt idx="5177">
                  <c:v>19.948</c:v>
                </c:pt>
                <c:pt idx="5178">
                  <c:v>19.948</c:v>
                </c:pt>
                <c:pt idx="5179">
                  <c:v>19.948</c:v>
                </c:pt>
                <c:pt idx="5180">
                  <c:v>19.948</c:v>
                </c:pt>
                <c:pt idx="5181">
                  <c:v>19.853000000000009</c:v>
                </c:pt>
                <c:pt idx="5182">
                  <c:v>19.853000000000009</c:v>
                </c:pt>
                <c:pt idx="5183">
                  <c:v>19.757999999999999</c:v>
                </c:pt>
                <c:pt idx="5184">
                  <c:v>19.757999999999999</c:v>
                </c:pt>
                <c:pt idx="5185">
                  <c:v>19.757999999999999</c:v>
                </c:pt>
                <c:pt idx="5186">
                  <c:v>19.661999999999999</c:v>
                </c:pt>
                <c:pt idx="5187">
                  <c:v>19.661999999999999</c:v>
                </c:pt>
                <c:pt idx="5188">
                  <c:v>19.567</c:v>
                </c:pt>
                <c:pt idx="5189">
                  <c:v>19.567</c:v>
                </c:pt>
                <c:pt idx="5190">
                  <c:v>19.567</c:v>
                </c:pt>
                <c:pt idx="5191">
                  <c:v>19.567</c:v>
                </c:pt>
                <c:pt idx="5192">
                  <c:v>19.567</c:v>
                </c:pt>
                <c:pt idx="5193">
                  <c:v>19.472000000000001</c:v>
                </c:pt>
                <c:pt idx="5194">
                  <c:v>19.472000000000001</c:v>
                </c:pt>
                <c:pt idx="5195">
                  <c:v>19.472000000000001</c:v>
                </c:pt>
                <c:pt idx="5196">
                  <c:v>19.376999999999999</c:v>
                </c:pt>
                <c:pt idx="5197">
                  <c:v>19.376999999999999</c:v>
                </c:pt>
                <c:pt idx="5198">
                  <c:v>19.282</c:v>
                </c:pt>
                <c:pt idx="5199">
                  <c:v>19.282</c:v>
                </c:pt>
                <c:pt idx="5200">
                  <c:v>19.282</c:v>
                </c:pt>
                <c:pt idx="5201">
                  <c:v>19.091999999999999</c:v>
                </c:pt>
                <c:pt idx="5202">
                  <c:v>19.091999999999999</c:v>
                </c:pt>
                <c:pt idx="5203">
                  <c:v>19.091999999999999</c:v>
                </c:pt>
                <c:pt idx="5204">
                  <c:v>19.187000000000001</c:v>
                </c:pt>
                <c:pt idx="5205">
                  <c:v>19.282</c:v>
                </c:pt>
                <c:pt idx="5206">
                  <c:v>19.187000000000001</c:v>
                </c:pt>
                <c:pt idx="5207">
                  <c:v>19.091999999999999</c:v>
                </c:pt>
                <c:pt idx="5208">
                  <c:v>19.091999999999999</c:v>
                </c:pt>
                <c:pt idx="5209">
                  <c:v>19.091999999999999</c:v>
                </c:pt>
                <c:pt idx="5210">
                  <c:v>19.091999999999999</c:v>
                </c:pt>
                <c:pt idx="5211">
                  <c:v>19.187000000000001</c:v>
                </c:pt>
                <c:pt idx="5212">
                  <c:v>19.282</c:v>
                </c:pt>
                <c:pt idx="5213">
                  <c:v>19.376999999999999</c:v>
                </c:pt>
                <c:pt idx="5214">
                  <c:v>19.376999999999999</c:v>
                </c:pt>
                <c:pt idx="5215">
                  <c:v>19.472000000000001</c:v>
                </c:pt>
                <c:pt idx="5216">
                  <c:v>19.472000000000001</c:v>
                </c:pt>
                <c:pt idx="5217">
                  <c:v>19.567</c:v>
                </c:pt>
                <c:pt idx="5218">
                  <c:v>19.567</c:v>
                </c:pt>
                <c:pt idx="5219">
                  <c:v>19.661999999999999</c:v>
                </c:pt>
                <c:pt idx="5220">
                  <c:v>19.757999999999999</c:v>
                </c:pt>
                <c:pt idx="5221">
                  <c:v>19.757999999999999</c:v>
                </c:pt>
                <c:pt idx="5222">
                  <c:v>19.948</c:v>
                </c:pt>
                <c:pt idx="5223">
                  <c:v>20.234000000000009</c:v>
                </c:pt>
                <c:pt idx="5224">
                  <c:v>20.71</c:v>
                </c:pt>
                <c:pt idx="5225">
                  <c:v>20.329000000000001</c:v>
                </c:pt>
                <c:pt idx="5226">
                  <c:v>20.329000000000001</c:v>
                </c:pt>
                <c:pt idx="5227">
                  <c:v>20.71</c:v>
                </c:pt>
                <c:pt idx="5228">
                  <c:v>20.518999999999991</c:v>
                </c:pt>
                <c:pt idx="5229">
                  <c:v>20.518999999999991</c:v>
                </c:pt>
                <c:pt idx="5230">
                  <c:v>20.614999999999998</c:v>
                </c:pt>
                <c:pt idx="5231">
                  <c:v>20.71</c:v>
                </c:pt>
                <c:pt idx="5232">
                  <c:v>20.995999999999999</c:v>
                </c:pt>
                <c:pt idx="5233">
                  <c:v>20.995999999999999</c:v>
                </c:pt>
                <c:pt idx="5234">
                  <c:v>21.187000000000001</c:v>
                </c:pt>
                <c:pt idx="5235">
                  <c:v>21.187000000000001</c:v>
                </c:pt>
                <c:pt idx="5236">
                  <c:v>21.187000000000001</c:v>
                </c:pt>
                <c:pt idx="5237">
                  <c:v>21.378</c:v>
                </c:pt>
                <c:pt idx="5238">
                  <c:v>21.282</c:v>
                </c:pt>
                <c:pt idx="5239">
                  <c:v>21.282</c:v>
                </c:pt>
                <c:pt idx="5240">
                  <c:v>21.187000000000001</c:v>
                </c:pt>
                <c:pt idx="5241">
                  <c:v>21.187000000000001</c:v>
                </c:pt>
                <c:pt idx="5242">
                  <c:v>21.187000000000001</c:v>
                </c:pt>
                <c:pt idx="5243">
                  <c:v>21.187000000000001</c:v>
                </c:pt>
                <c:pt idx="5244">
                  <c:v>21.378</c:v>
                </c:pt>
                <c:pt idx="5245">
                  <c:v>21.282</c:v>
                </c:pt>
                <c:pt idx="5246">
                  <c:v>21.187000000000001</c:v>
                </c:pt>
                <c:pt idx="5247">
                  <c:v>21.187000000000001</c:v>
                </c:pt>
                <c:pt idx="5248">
                  <c:v>21.091000000000001</c:v>
                </c:pt>
                <c:pt idx="5249">
                  <c:v>20.995999999999999</c:v>
                </c:pt>
                <c:pt idx="5250">
                  <c:v>20.901</c:v>
                </c:pt>
                <c:pt idx="5251">
                  <c:v>20.901</c:v>
                </c:pt>
                <c:pt idx="5252">
                  <c:v>20.71</c:v>
                </c:pt>
                <c:pt idx="5253">
                  <c:v>20.614999999999998</c:v>
                </c:pt>
                <c:pt idx="5254">
                  <c:v>20.518999999999991</c:v>
                </c:pt>
                <c:pt idx="5255">
                  <c:v>20.423999999999999</c:v>
                </c:pt>
                <c:pt idx="5256">
                  <c:v>20.329000000000001</c:v>
                </c:pt>
                <c:pt idx="5257">
                  <c:v>20.329000000000001</c:v>
                </c:pt>
                <c:pt idx="5258">
                  <c:v>20.234000000000009</c:v>
                </c:pt>
                <c:pt idx="5259">
                  <c:v>20.138000000000009</c:v>
                </c:pt>
                <c:pt idx="5260">
                  <c:v>20.138000000000009</c:v>
                </c:pt>
                <c:pt idx="5261">
                  <c:v>19.948</c:v>
                </c:pt>
                <c:pt idx="5262">
                  <c:v>19.948</c:v>
                </c:pt>
                <c:pt idx="5263">
                  <c:v>19.853000000000009</c:v>
                </c:pt>
                <c:pt idx="5264">
                  <c:v>19.948</c:v>
                </c:pt>
                <c:pt idx="5265">
                  <c:v>19.757999999999999</c:v>
                </c:pt>
                <c:pt idx="5266">
                  <c:v>19.853000000000009</c:v>
                </c:pt>
                <c:pt idx="5267">
                  <c:v>19.757999999999999</c:v>
                </c:pt>
                <c:pt idx="5268">
                  <c:v>19.757999999999999</c:v>
                </c:pt>
                <c:pt idx="5269">
                  <c:v>19.757999999999999</c:v>
                </c:pt>
                <c:pt idx="5270">
                  <c:v>19.757999999999999</c:v>
                </c:pt>
                <c:pt idx="5271">
                  <c:v>19.661999999999999</c:v>
                </c:pt>
                <c:pt idx="5272">
                  <c:v>19.661999999999999</c:v>
                </c:pt>
                <c:pt idx="5273">
                  <c:v>19.567</c:v>
                </c:pt>
                <c:pt idx="5274">
                  <c:v>19.567</c:v>
                </c:pt>
                <c:pt idx="5275">
                  <c:v>19.567</c:v>
                </c:pt>
                <c:pt idx="5276">
                  <c:v>19.661999999999999</c:v>
                </c:pt>
                <c:pt idx="5277">
                  <c:v>19.567</c:v>
                </c:pt>
                <c:pt idx="5278">
                  <c:v>19.472000000000001</c:v>
                </c:pt>
                <c:pt idx="5279">
                  <c:v>19.472000000000001</c:v>
                </c:pt>
                <c:pt idx="5280">
                  <c:v>19.472000000000001</c:v>
                </c:pt>
                <c:pt idx="5281">
                  <c:v>19.472000000000001</c:v>
                </c:pt>
                <c:pt idx="5282">
                  <c:v>19.472000000000001</c:v>
                </c:pt>
                <c:pt idx="5283">
                  <c:v>19.472000000000001</c:v>
                </c:pt>
                <c:pt idx="5284">
                  <c:v>19.472000000000001</c:v>
                </c:pt>
                <c:pt idx="5285">
                  <c:v>19.472000000000001</c:v>
                </c:pt>
                <c:pt idx="5286">
                  <c:v>19.472000000000001</c:v>
                </c:pt>
                <c:pt idx="5287">
                  <c:v>19.472000000000001</c:v>
                </c:pt>
                <c:pt idx="5288">
                  <c:v>19.376999999999999</c:v>
                </c:pt>
                <c:pt idx="5289">
                  <c:v>19.376999999999999</c:v>
                </c:pt>
                <c:pt idx="5290">
                  <c:v>19.376999999999999</c:v>
                </c:pt>
                <c:pt idx="5291">
                  <c:v>19.282</c:v>
                </c:pt>
                <c:pt idx="5292">
                  <c:v>19.187000000000001</c:v>
                </c:pt>
                <c:pt idx="5293">
                  <c:v>19.282</c:v>
                </c:pt>
                <c:pt idx="5294">
                  <c:v>19.187000000000001</c:v>
                </c:pt>
                <c:pt idx="5295">
                  <c:v>19.187000000000001</c:v>
                </c:pt>
                <c:pt idx="5296">
                  <c:v>19.187000000000001</c:v>
                </c:pt>
                <c:pt idx="5297">
                  <c:v>19.187000000000001</c:v>
                </c:pt>
                <c:pt idx="5298">
                  <c:v>19.187000000000001</c:v>
                </c:pt>
                <c:pt idx="5299">
                  <c:v>19.187000000000001</c:v>
                </c:pt>
                <c:pt idx="5300">
                  <c:v>19.091999999999999</c:v>
                </c:pt>
                <c:pt idx="5301">
                  <c:v>19.091999999999999</c:v>
                </c:pt>
                <c:pt idx="5302">
                  <c:v>19.091999999999999</c:v>
                </c:pt>
                <c:pt idx="5303">
                  <c:v>19.091999999999999</c:v>
                </c:pt>
                <c:pt idx="5304">
                  <c:v>19.091999999999999</c:v>
                </c:pt>
                <c:pt idx="5305">
                  <c:v>19.187000000000001</c:v>
                </c:pt>
                <c:pt idx="5306">
                  <c:v>19.187000000000001</c:v>
                </c:pt>
                <c:pt idx="5307">
                  <c:v>19.091999999999999</c:v>
                </c:pt>
                <c:pt idx="5308">
                  <c:v>19.187000000000001</c:v>
                </c:pt>
                <c:pt idx="5309">
                  <c:v>19.282</c:v>
                </c:pt>
                <c:pt idx="5310">
                  <c:v>19.282</c:v>
                </c:pt>
                <c:pt idx="5311">
                  <c:v>19.282</c:v>
                </c:pt>
                <c:pt idx="5312">
                  <c:v>19.282</c:v>
                </c:pt>
                <c:pt idx="5313">
                  <c:v>19.376999999999999</c:v>
                </c:pt>
                <c:pt idx="5314">
                  <c:v>19.376999999999999</c:v>
                </c:pt>
                <c:pt idx="5315">
                  <c:v>19.567</c:v>
                </c:pt>
                <c:pt idx="5316">
                  <c:v>19.661999999999999</c:v>
                </c:pt>
                <c:pt idx="5317">
                  <c:v>19.757999999999999</c:v>
                </c:pt>
                <c:pt idx="5318">
                  <c:v>19.948</c:v>
                </c:pt>
                <c:pt idx="5319">
                  <c:v>20.423999999999999</c:v>
                </c:pt>
                <c:pt idx="5320">
                  <c:v>20.805</c:v>
                </c:pt>
                <c:pt idx="5321">
                  <c:v>20.234000000000009</c:v>
                </c:pt>
                <c:pt idx="5322">
                  <c:v>20.329000000000001</c:v>
                </c:pt>
                <c:pt idx="5323">
                  <c:v>20.614999999999998</c:v>
                </c:pt>
                <c:pt idx="5324">
                  <c:v>20.518999999999991</c:v>
                </c:pt>
                <c:pt idx="5325">
                  <c:v>20.518999999999991</c:v>
                </c:pt>
                <c:pt idx="5326">
                  <c:v>20.614999999999998</c:v>
                </c:pt>
                <c:pt idx="5327">
                  <c:v>20.71</c:v>
                </c:pt>
                <c:pt idx="5328">
                  <c:v>20.901</c:v>
                </c:pt>
                <c:pt idx="5329">
                  <c:v>20.995999999999999</c:v>
                </c:pt>
                <c:pt idx="5330">
                  <c:v>20.995999999999999</c:v>
                </c:pt>
                <c:pt idx="5331">
                  <c:v>21.091000000000001</c:v>
                </c:pt>
                <c:pt idx="5332">
                  <c:v>21.187000000000001</c:v>
                </c:pt>
                <c:pt idx="5333">
                  <c:v>21.378</c:v>
                </c:pt>
                <c:pt idx="5334">
                  <c:v>21.282</c:v>
                </c:pt>
                <c:pt idx="5335">
                  <c:v>21.282</c:v>
                </c:pt>
                <c:pt idx="5336">
                  <c:v>21.187000000000001</c:v>
                </c:pt>
                <c:pt idx="5337">
                  <c:v>21.187000000000001</c:v>
                </c:pt>
                <c:pt idx="5338">
                  <c:v>21.282</c:v>
                </c:pt>
                <c:pt idx="5339">
                  <c:v>21.187000000000001</c:v>
                </c:pt>
                <c:pt idx="5340">
                  <c:v>21.568999999999999</c:v>
                </c:pt>
                <c:pt idx="5341">
                  <c:v>21.378</c:v>
                </c:pt>
                <c:pt idx="5342">
                  <c:v>21.378</c:v>
                </c:pt>
                <c:pt idx="5343">
                  <c:v>21.472999999999999</c:v>
                </c:pt>
                <c:pt idx="5344">
                  <c:v>21.378</c:v>
                </c:pt>
                <c:pt idx="5345">
                  <c:v>21.187000000000001</c:v>
                </c:pt>
                <c:pt idx="5346">
                  <c:v>21.187000000000001</c:v>
                </c:pt>
                <c:pt idx="5347">
                  <c:v>21.091000000000001</c:v>
                </c:pt>
                <c:pt idx="5348">
                  <c:v>21.091000000000001</c:v>
                </c:pt>
                <c:pt idx="5349">
                  <c:v>20.995999999999999</c:v>
                </c:pt>
                <c:pt idx="5350">
                  <c:v>20.995999999999999</c:v>
                </c:pt>
                <c:pt idx="5351">
                  <c:v>20.995999999999999</c:v>
                </c:pt>
                <c:pt idx="5352">
                  <c:v>20.901</c:v>
                </c:pt>
                <c:pt idx="5353">
                  <c:v>20.805</c:v>
                </c:pt>
                <c:pt idx="5354">
                  <c:v>20.805</c:v>
                </c:pt>
                <c:pt idx="5355">
                  <c:v>20.71</c:v>
                </c:pt>
                <c:pt idx="5356">
                  <c:v>20.71</c:v>
                </c:pt>
                <c:pt idx="5357">
                  <c:v>20.71</c:v>
                </c:pt>
                <c:pt idx="5358">
                  <c:v>20.614999999999998</c:v>
                </c:pt>
                <c:pt idx="5359">
                  <c:v>20.614999999999998</c:v>
                </c:pt>
                <c:pt idx="5360">
                  <c:v>20.614999999999998</c:v>
                </c:pt>
                <c:pt idx="5361">
                  <c:v>20.614999999999998</c:v>
                </c:pt>
                <c:pt idx="5362">
                  <c:v>20.518999999999991</c:v>
                </c:pt>
                <c:pt idx="5363">
                  <c:v>20.518999999999991</c:v>
                </c:pt>
                <c:pt idx="5364">
                  <c:v>20.518999999999991</c:v>
                </c:pt>
                <c:pt idx="5365">
                  <c:v>20.423999999999999</c:v>
                </c:pt>
                <c:pt idx="5366">
                  <c:v>20.423999999999999</c:v>
                </c:pt>
                <c:pt idx="5367">
                  <c:v>20.329000000000001</c:v>
                </c:pt>
                <c:pt idx="5368">
                  <c:v>20.329000000000001</c:v>
                </c:pt>
                <c:pt idx="5369">
                  <c:v>20.329000000000001</c:v>
                </c:pt>
                <c:pt idx="5370">
                  <c:v>20.234000000000009</c:v>
                </c:pt>
                <c:pt idx="5371">
                  <c:v>20.234000000000009</c:v>
                </c:pt>
                <c:pt idx="5372">
                  <c:v>20.138000000000009</c:v>
                </c:pt>
                <c:pt idx="5373">
                  <c:v>20.138000000000009</c:v>
                </c:pt>
                <c:pt idx="5374">
                  <c:v>20.138000000000009</c:v>
                </c:pt>
                <c:pt idx="5375">
                  <c:v>20.138000000000009</c:v>
                </c:pt>
                <c:pt idx="5376">
                  <c:v>20.042999999999999</c:v>
                </c:pt>
                <c:pt idx="5377">
                  <c:v>20.042999999999999</c:v>
                </c:pt>
                <c:pt idx="5378">
                  <c:v>20.042999999999999</c:v>
                </c:pt>
                <c:pt idx="5379">
                  <c:v>19.948</c:v>
                </c:pt>
                <c:pt idx="5380">
                  <c:v>19.853000000000009</c:v>
                </c:pt>
                <c:pt idx="5381">
                  <c:v>19.853000000000009</c:v>
                </c:pt>
                <c:pt idx="5382">
                  <c:v>19.853000000000009</c:v>
                </c:pt>
                <c:pt idx="5383">
                  <c:v>19.757999999999999</c:v>
                </c:pt>
                <c:pt idx="5384">
                  <c:v>19.757999999999999</c:v>
                </c:pt>
                <c:pt idx="5385">
                  <c:v>19.757999999999999</c:v>
                </c:pt>
                <c:pt idx="5386">
                  <c:v>19.757999999999999</c:v>
                </c:pt>
                <c:pt idx="5387">
                  <c:v>19.757999999999999</c:v>
                </c:pt>
                <c:pt idx="5388">
                  <c:v>19.661999999999999</c:v>
                </c:pt>
                <c:pt idx="5389">
                  <c:v>19.661999999999999</c:v>
                </c:pt>
                <c:pt idx="5390">
                  <c:v>19.567</c:v>
                </c:pt>
                <c:pt idx="5391">
                  <c:v>19.567</c:v>
                </c:pt>
                <c:pt idx="5392">
                  <c:v>19.472000000000001</c:v>
                </c:pt>
                <c:pt idx="5393">
                  <c:v>19.567</c:v>
                </c:pt>
                <c:pt idx="5394">
                  <c:v>19.472000000000001</c:v>
                </c:pt>
                <c:pt idx="5395">
                  <c:v>19.472000000000001</c:v>
                </c:pt>
                <c:pt idx="5396">
                  <c:v>19.376999999999999</c:v>
                </c:pt>
                <c:pt idx="5397">
                  <c:v>19.376999999999999</c:v>
                </c:pt>
                <c:pt idx="5398">
                  <c:v>19.472000000000001</c:v>
                </c:pt>
                <c:pt idx="5399">
                  <c:v>19.376999999999999</c:v>
                </c:pt>
                <c:pt idx="5400">
                  <c:v>19.376999999999999</c:v>
                </c:pt>
                <c:pt idx="5401">
                  <c:v>19.472000000000001</c:v>
                </c:pt>
                <c:pt idx="5402">
                  <c:v>19.376999999999999</c:v>
                </c:pt>
                <c:pt idx="5403">
                  <c:v>19.376999999999999</c:v>
                </c:pt>
                <c:pt idx="5404">
                  <c:v>19.376999999999999</c:v>
                </c:pt>
                <c:pt idx="5405">
                  <c:v>19.472000000000001</c:v>
                </c:pt>
                <c:pt idx="5406">
                  <c:v>19.567</c:v>
                </c:pt>
                <c:pt idx="5407">
                  <c:v>19.567</c:v>
                </c:pt>
                <c:pt idx="5408">
                  <c:v>19.661999999999999</c:v>
                </c:pt>
                <c:pt idx="5409">
                  <c:v>19.757999999999999</c:v>
                </c:pt>
                <c:pt idx="5410">
                  <c:v>19.757999999999999</c:v>
                </c:pt>
                <c:pt idx="5411">
                  <c:v>19.948</c:v>
                </c:pt>
                <c:pt idx="5412">
                  <c:v>20.042999999999999</c:v>
                </c:pt>
                <c:pt idx="5413">
                  <c:v>20.042999999999999</c:v>
                </c:pt>
                <c:pt idx="5414">
                  <c:v>20.423999999999999</c:v>
                </c:pt>
                <c:pt idx="5415">
                  <c:v>20.995999999999999</c:v>
                </c:pt>
                <c:pt idx="5416">
                  <c:v>20.995999999999999</c:v>
                </c:pt>
                <c:pt idx="5417">
                  <c:v>20.423999999999999</c:v>
                </c:pt>
                <c:pt idx="5418">
                  <c:v>20.518999999999991</c:v>
                </c:pt>
                <c:pt idx="5419">
                  <c:v>20.805</c:v>
                </c:pt>
                <c:pt idx="5420">
                  <c:v>20.614999999999998</c:v>
                </c:pt>
                <c:pt idx="5421">
                  <c:v>20.614999999999998</c:v>
                </c:pt>
                <c:pt idx="5422">
                  <c:v>20.805</c:v>
                </c:pt>
                <c:pt idx="5423">
                  <c:v>20.995999999999999</c:v>
                </c:pt>
                <c:pt idx="5424">
                  <c:v>21.091000000000001</c:v>
                </c:pt>
                <c:pt idx="5425">
                  <c:v>21.187000000000001</c:v>
                </c:pt>
                <c:pt idx="5426">
                  <c:v>21.091000000000001</c:v>
                </c:pt>
                <c:pt idx="5427">
                  <c:v>21.282</c:v>
                </c:pt>
                <c:pt idx="5428">
                  <c:v>21.472999999999999</c:v>
                </c:pt>
                <c:pt idx="5429">
                  <c:v>21.378</c:v>
                </c:pt>
                <c:pt idx="5430">
                  <c:v>21.282</c:v>
                </c:pt>
                <c:pt idx="5431">
                  <c:v>21.282</c:v>
                </c:pt>
                <c:pt idx="5432">
                  <c:v>21.187000000000001</c:v>
                </c:pt>
                <c:pt idx="5433">
                  <c:v>20.995999999999999</c:v>
                </c:pt>
                <c:pt idx="5434">
                  <c:v>20.995999999999999</c:v>
                </c:pt>
                <c:pt idx="5435">
                  <c:v>20.901</c:v>
                </c:pt>
                <c:pt idx="5436">
                  <c:v>20.901</c:v>
                </c:pt>
                <c:pt idx="5437">
                  <c:v>20.805</c:v>
                </c:pt>
                <c:pt idx="5438">
                  <c:v>20.71</c:v>
                </c:pt>
                <c:pt idx="5439">
                  <c:v>20.71</c:v>
                </c:pt>
                <c:pt idx="5440">
                  <c:v>20.614999999999998</c:v>
                </c:pt>
                <c:pt idx="5441">
                  <c:v>20.614999999999998</c:v>
                </c:pt>
                <c:pt idx="5442">
                  <c:v>20.614999999999998</c:v>
                </c:pt>
                <c:pt idx="5443">
                  <c:v>20.614999999999998</c:v>
                </c:pt>
                <c:pt idx="5444">
                  <c:v>20.614999999999998</c:v>
                </c:pt>
                <c:pt idx="5445">
                  <c:v>20.614999999999998</c:v>
                </c:pt>
                <c:pt idx="5446">
                  <c:v>20.518999999999991</c:v>
                </c:pt>
                <c:pt idx="5447">
                  <c:v>20.518999999999991</c:v>
                </c:pt>
                <c:pt idx="5448">
                  <c:v>20.518999999999991</c:v>
                </c:pt>
                <c:pt idx="5449">
                  <c:v>20.423999999999999</c:v>
                </c:pt>
                <c:pt idx="5450">
                  <c:v>20.329000000000001</c:v>
                </c:pt>
                <c:pt idx="5451">
                  <c:v>20.329000000000001</c:v>
                </c:pt>
                <c:pt idx="5452">
                  <c:v>20.234000000000009</c:v>
                </c:pt>
                <c:pt idx="5453">
                  <c:v>20.234000000000009</c:v>
                </c:pt>
                <c:pt idx="5454">
                  <c:v>20.138000000000009</c:v>
                </c:pt>
                <c:pt idx="5455">
                  <c:v>20.138000000000009</c:v>
                </c:pt>
                <c:pt idx="5456">
                  <c:v>20.138000000000009</c:v>
                </c:pt>
                <c:pt idx="5457">
                  <c:v>20.042999999999999</c:v>
                </c:pt>
                <c:pt idx="5458">
                  <c:v>20.042999999999999</c:v>
                </c:pt>
                <c:pt idx="5459">
                  <c:v>19.948</c:v>
                </c:pt>
                <c:pt idx="5460">
                  <c:v>19.948</c:v>
                </c:pt>
                <c:pt idx="5461">
                  <c:v>19.853000000000009</c:v>
                </c:pt>
                <c:pt idx="5462">
                  <c:v>19.853000000000009</c:v>
                </c:pt>
                <c:pt idx="5463">
                  <c:v>19.853000000000009</c:v>
                </c:pt>
                <c:pt idx="5464">
                  <c:v>19.853000000000009</c:v>
                </c:pt>
                <c:pt idx="5465">
                  <c:v>19.853000000000009</c:v>
                </c:pt>
                <c:pt idx="5466">
                  <c:v>19.757999999999999</c:v>
                </c:pt>
                <c:pt idx="5467">
                  <c:v>19.853000000000009</c:v>
                </c:pt>
                <c:pt idx="5468">
                  <c:v>19.757999999999999</c:v>
                </c:pt>
                <c:pt idx="5469">
                  <c:v>19.757999999999999</c:v>
                </c:pt>
                <c:pt idx="5470">
                  <c:v>19.661999999999999</c:v>
                </c:pt>
                <c:pt idx="5471">
                  <c:v>19.661999999999999</c:v>
                </c:pt>
                <c:pt idx="5472">
                  <c:v>19.661999999999999</c:v>
                </c:pt>
                <c:pt idx="5473">
                  <c:v>19.567</c:v>
                </c:pt>
                <c:pt idx="5474">
                  <c:v>19.567</c:v>
                </c:pt>
                <c:pt idx="5475">
                  <c:v>19.472000000000001</c:v>
                </c:pt>
                <c:pt idx="5476">
                  <c:v>19.472000000000001</c:v>
                </c:pt>
                <c:pt idx="5477">
                  <c:v>19.472000000000001</c:v>
                </c:pt>
                <c:pt idx="5478">
                  <c:v>19.472000000000001</c:v>
                </c:pt>
                <c:pt idx="5479">
                  <c:v>19.376999999999999</c:v>
                </c:pt>
                <c:pt idx="5480">
                  <c:v>19.282</c:v>
                </c:pt>
                <c:pt idx="5481">
                  <c:v>19.282</c:v>
                </c:pt>
                <c:pt idx="5482">
                  <c:v>19.187000000000001</c:v>
                </c:pt>
                <c:pt idx="5483">
                  <c:v>19.282</c:v>
                </c:pt>
                <c:pt idx="5484">
                  <c:v>19.187000000000001</c:v>
                </c:pt>
                <c:pt idx="5485">
                  <c:v>19.282</c:v>
                </c:pt>
                <c:pt idx="5486">
                  <c:v>19.091999999999999</c:v>
                </c:pt>
                <c:pt idx="5487">
                  <c:v>19.187000000000001</c:v>
                </c:pt>
                <c:pt idx="5488">
                  <c:v>19.187000000000001</c:v>
                </c:pt>
                <c:pt idx="5489">
                  <c:v>19.187000000000001</c:v>
                </c:pt>
                <c:pt idx="5490">
                  <c:v>18.995999999999999</c:v>
                </c:pt>
                <c:pt idx="5491">
                  <c:v>18.995999999999999</c:v>
                </c:pt>
                <c:pt idx="5492">
                  <c:v>18.995999999999999</c:v>
                </c:pt>
                <c:pt idx="5493">
                  <c:v>18.995999999999999</c:v>
                </c:pt>
                <c:pt idx="5494">
                  <c:v>18.995999999999999</c:v>
                </c:pt>
                <c:pt idx="5495">
                  <c:v>18.995999999999999</c:v>
                </c:pt>
                <c:pt idx="5496">
                  <c:v>18.995999999999999</c:v>
                </c:pt>
                <c:pt idx="5497">
                  <c:v>18.995999999999999</c:v>
                </c:pt>
                <c:pt idx="5498">
                  <c:v>19.091999999999999</c:v>
                </c:pt>
                <c:pt idx="5499">
                  <c:v>19.187000000000001</c:v>
                </c:pt>
                <c:pt idx="5500">
                  <c:v>19.282</c:v>
                </c:pt>
                <c:pt idx="5501">
                  <c:v>19.282</c:v>
                </c:pt>
                <c:pt idx="5502">
                  <c:v>19.376999999999999</c:v>
                </c:pt>
                <c:pt idx="5503">
                  <c:v>19.376999999999999</c:v>
                </c:pt>
                <c:pt idx="5504">
                  <c:v>19.376999999999999</c:v>
                </c:pt>
                <c:pt idx="5505">
                  <c:v>19.567</c:v>
                </c:pt>
                <c:pt idx="5506">
                  <c:v>19.567</c:v>
                </c:pt>
                <c:pt idx="5507">
                  <c:v>19.661999999999999</c:v>
                </c:pt>
                <c:pt idx="5508">
                  <c:v>19.757999999999999</c:v>
                </c:pt>
                <c:pt idx="5509">
                  <c:v>19.948</c:v>
                </c:pt>
                <c:pt idx="5510">
                  <c:v>20.138000000000009</c:v>
                </c:pt>
                <c:pt idx="5511">
                  <c:v>20.901</c:v>
                </c:pt>
                <c:pt idx="5512">
                  <c:v>20.901</c:v>
                </c:pt>
                <c:pt idx="5513">
                  <c:v>20.423999999999999</c:v>
                </c:pt>
                <c:pt idx="5514">
                  <c:v>20.423999999999999</c:v>
                </c:pt>
                <c:pt idx="5515">
                  <c:v>20.995999999999999</c:v>
                </c:pt>
                <c:pt idx="5516">
                  <c:v>20.71</c:v>
                </c:pt>
                <c:pt idx="5517">
                  <c:v>20.71</c:v>
                </c:pt>
                <c:pt idx="5518">
                  <c:v>20.71</c:v>
                </c:pt>
                <c:pt idx="5519">
                  <c:v>20.901</c:v>
                </c:pt>
                <c:pt idx="5520">
                  <c:v>21.091000000000001</c:v>
                </c:pt>
                <c:pt idx="5521">
                  <c:v>21.187000000000001</c:v>
                </c:pt>
                <c:pt idx="5522">
                  <c:v>21.187000000000001</c:v>
                </c:pt>
                <c:pt idx="5523">
                  <c:v>21.282</c:v>
                </c:pt>
                <c:pt idx="5524">
                  <c:v>21.378</c:v>
                </c:pt>
                <c:pt idx="5525">
                  <c:v>21.282</c:v>
                </c:pt>
                <c:pt idx="5526">
                  <c:v>21.187000000000001</c:v>
                </c:pt>
                <c:pt idx="5527">
                  <c:v>21.378</c:v>
                </c:pt>
                <c:pt idx="5528">
                  <c:v>21.378</c:v>
                </c:pt>
                <c:pt idx="5529">
                  <c:v>21.378</c:v>
                </c:pt>
                <c:pt idx="5530">
                  <c:v>21.378</c:v>
                </c:pt>
                <c:pt idx="5531">
                  <c:v>21.282</c:v>
                </c:pt>
                <c:pt idx="5532">
                  <c:v>21.378</c:v>
                </c:pt>
                <c:pt idx="5533">
                  <c:v>21.378</c:v>
                </c:pt>
                <c:pt idx="5534">
                  <c:v>21.378</c:v>
                </c:pt>
                <c:pt idx="5535">
                  <c:v>21.568999999999999</c:v>
                </c:pt>
                <c:pt idx="5536">
                  <c:v>21.282</c:v>
                </c:pt>
                <c:pt idx="5537">
                  <c:v>21.187000000000001</c:v>
                </c:pt>
                <c:pt idx="5538">
                  <c:v>21.091000000000001</c:v>
                </c:pt>
                <c:pt idx="5539">
                  <c:v>21.091000000000001</c:v>
                </c:pt>
                <c:pt idx="5540">
                  <c:v>20.995999999999999</c:v>
                </c:pt>
                <c:pt idx="5541">
                  <c:v>20.995999999999999</c:v>
                </c:pt>
                <c:pt idx="5542">
                  <c:v>20.901</c:v>
                </c:pt>
                <c:pt idx="5543">
                  <c:v>20.901</c:v>
                </c:pt>
                <c:pt idx="5544">
                  <c:v>20.805</c:v>
                </c:pt>
                <c:pt idx="5545">
                  <c:v>20.805</c:v>
                </c:pt>
                <c:pt idx="5546">
                  <c:v>20.71</c:v>
                </c:pt>
                <c:pt idx="5547">
                  <c:v>20.71</c:v>
                </c:pt>
                <c:pt idx="5548">
                  <c:v>20.614999999999998</c:v>
                </c:pt>
                <c:pt idx="5549">
                  <c:v>20.614999999999998</c:v>
                </c:pt>
                <c:pt idx="5550">
                  <c:v>20.614999999999998</c:v>
                </c:pt>
                <c:pt idx="5551">
                  <c:v>20.614999999999998</c:v>
                </c:pt>
                <c:pt idx="5552">
                  <c:v>20.614999999999998</c:v>
                </c:pt>
                <c:pt idx="5553">
                  <c:v>20.518999999999991</c:v>
                </c:pt>
                <c:pt idx="5554">
                  <c:v>20.518999999999991</c:v>
                </c:pt>
                <c:pt idx="5555">
                  <c:v>20.518999999999991</c:v>
                </c:pt>
                <c:pt idx="5556">
                  <c:v>20.423999999999999</c:v>
                </c:pt>
                <c:pt idx="5557">
                  <c:v>20.423999999999999</c:v>
                </c:pt>
                <c:pt idx="5558">
                  <c:v>20.423999999999999</c:v>
                </c:pt>
                <c:pt idx="5559">
                  <c:v>20.423999999999999</c:v>
                </c:pt>
                <c:pt idx="5560">
                  <c:v>20.329000000000001</c:v>
                </c:pt>
                <c:pt idx="5561">
                  <c:v>20.329000000000001</c:v>
                </c:pt>
                <c:pt idx="5562">
                  <c:v>20.329000000000001</c:v>
                </c:pt>
                <c:pt idx="5563">
                  <c:v>20.329000000000001</c:v>
                </c:pt>
                <c:pt idx="5564">
                  <c:v>20.329000000000001</c:v>
                </c:pt>
                <c:pt idx="5565">
                  <c:v>20.234000000000009</c:v>
                </c:pt>
                <c:pt idx="5566">
                  <c:v>20.234000000000009</c:v>
                </c:pt>
                <c:pt idx="5567">
                  <c:v>20.234000000000009</c:v>
                </c:pt>
                <c:pt idx="5568">
                  <c:v>20.234000000000009</c:v>
                </c:pt>
                <c:pt idx="5569">
                  <c:v>20.138000000000009</c:v>
                </c:pt>
                <c:pt idx="5570">
                  <c:v>20.138000000000009</c:v>
                </c:pt>
                <c:pt idx="5571">
                  <c:v>20.138000000000009</c:v>
                </c:pt>
                <c:pt idx="5572">
                  <c:v>20.138000000000009</c:v>
                </c:pt>
                <c:pt idx="5573">
                  <c:v>20.042999999999999</c:v>
                </c:pt>
                <c:pt idx="5574">
                  <c:v>20.042999999999999</c:v>
                </c:pt>
                <c:pt idx="5575">
                  <c:v>20.042999999999999</c:v>
                </c:pt>
                <c:pt idx="5576">
                  <c:v>20.042999999999999</c:v>
                </c:pt>
                <c:pt idx="5577">
                  <c:v>20.042999999999999</c:v>
                </c:pt>
                <c:pt idx="5578">
                  <c:v>19.948</c:v>
                </c:pt>
                <c:pt idx="5579">
                  <c:v>19.948</c:v>
                </c:pt>
                <c:pt idx="5580">
                  <c:v>19.948</c:v>
                </c:pt>
                <c:pt idx="5581">
                  <c:v>19.853000000000009</c:v>
                </c:pt>
                <c:pt idx="5582">
                  <c:v>19.853000000000009</c:v>
                </c:pt>
                <c:pt idx="5583">
                  <c:v>19.853000000000009</c:v>
                </c:pt>
                <c:pt idx="5584">
                  <c:v>19.853000000000009</c:v>
                </c:pt>
                <c:pt idx="5585">
                  <c:v>19.853000000000009</c:v>
                </c:pt>
                <c:pt idx="5586">
                  <c:v>19.757999999999999</c:v>
                </c:pt>
                <c:pt idx="5587">
                  <c:v>19.853000000000009</c:v>
                </c:pt>
                <c:pt idx="5588">
                  <c:v>19.757999999999999</c:v>
                </c:pt>
                <c:pt idx="5589">
                  <c:v>19.757999999999999</c:v>
                </c:pt>
                <c:pt idx="5590">
                  <c:v>19.757999999999999</c:v>
                </c:pt>
                <c:pt idx="5591">
                  <c:v>19.757999999999999</c:v>
                </c:pt>
                <c:pt idx="5592">
                  <c:v>19.757999999999999</c:v>
                </c:pt>
                <c:pt idx="5593">
                  <c:v>19.757999999999999</c:v>
                </c:pt>
                <c:pt idx="5594">
                  <c:v>19.853000000000009</c:v>
                </c:pt>
                <c:pt idx="5595">
                  <c:v>19.853000000000009</c:v>
                </c:pt>
                <c:pt idx="5596">
                  <c:v>19.948</c:v>
                </c:pt>
                <c:pt idx="5597">
                  <c:v>19.948</c:v>
                </c:pt>
                <c:pt idx="5598">
                  <c:v>20.042999999999999</c:v>
                </c:pt>
                <c:pt idx="5599">
                  <c:v>20.042999999999999</c:v>
                </c:pt>
                <c:pt idx="5600">
                  <c:v>20.042999999999999</c:v>
                </c:pt>
                <c:pt idx="5601">
                  <c:v>20.138000000000009</c:v>
                </c:pt>
                <c:pt idx="5602">
                  <c:v>20.138000000000009</c:v>
                </c:pt>
                <c:pt idx="5603">
                  <c:v>20.329000000000001</c:v>
                </c:pt>
                <c:pt idx="5604">
                  <c:v>20.329000000000001</c:v>
                </c:pt>
                <c:pt idx="5605">
                  <c:v>20.423999999999999</c:v>
                </c:pt>
                <c:pt idx="5606">
                  <c:v>20.518999999999991</c:v>
                </c:pt>
                <c:pt idx="5607">
                  <c:v>20.71</c:v>
                </c:pt>
                <c:pt idx="5608">
                  <c:v>20.805</c:v>
                </c:pt>
                <c:pt idx="5609">
                  <c:v>20.805</c:v>
                </c:pt>
                <c:pt idx="5610">
                  <c:v>20.901</c:v>
                </c:pt>
                <c:pt idx="5611">
                  <c:v>20.995999999999999</c:v>
                </c:pt>
                <c:pt idx="5612">
                  <c:v>20.995999999999999</c:v>
                </c:pt>
                <c:pt idx="5613">
                  <c:v>20.995999999999999</c:v>
                </c:pt>
                <c:pt idx="5614">
                  <c:v>21.091000000000001</c:v>
                </c:pt>
                <c:pt idx="5615">
                  <c:v>21.091000000000001</c:v>
                </c:pt>
                <c:pt idx="5616">
                  <c:v>21.187000000000001</c:v>
                </c:pt>
                <c:pt idx="5617">
                  <c:v>21.187000000000001</c:v>
                </c:pt>
                <c:pt idx="5618">
                  <c:v>21.282</c:v>
                </c:pt>
                <c:pt idx="5619">
                  <c:v>21.187000000000001</c:v>
                </c:pt>
                <c:pt idx="5620">
                  <c:v>21.187000000000001</c:v>
                </c:pt>
                <c:pt idx="5621">
                  <c:v>21.187000000000001</c:v>
                </c:pt>
                <c:pt idx="5622">
                  <c:v>21.091000000000001</c:v>
                </c:pt>
                <c:pt idx="5623">
                  <c:v>21.091000000000001</c:v>
                </c:pt>
                <c:pt idx="5624">
                  <c:v>21.091000000000001</c:v>
                </c:pt>
                <c:pt idx="5625">
                  <c:v>21.091000000000001</c:v>
                </c:pt>
                <c:pt idx="5626">
                  <c:v>20.995999999999999</c:v>
                </c:pt>
                <c:pt idx="5627">
                  <c:v>20.995999999999999</c:v>
                </c:pt>
                <c:pt idx="5628">
                  <c:v>20.901</c:v>
                </c:pt>
                <c:pt idx="5629">
                  <c:v>20.901</c:v>
                </c:pt>
                <c:pt idx="5630">
                  <c:v>20.805</c:v>
                </c:pt>
                <c:pt idx="5631">
                  <c:v>20.805</c:v>
                </c:pt>
                <c:pt idx="5632">
                  <c:v>20.805</c:v>
                </c:pt>
                <c:pt idx="5633">
                  <c:v>20.805</c:v>
                </c:pt>
                <c:pt idx="5634">
                  <c:v>20.805</c:v>
                </c:pt>
                <c:pt idx="5635">
                  <c:v>20.71</c:v>
                </c:pt>
                <c:pt idx="5636">
                  <c:v>20.71</c:v>
                </c:pt>
                <c:pt idx="5637">
                  <c:v>20.71</c:v>
                </c:pt>
                <c:pt idx="5638">
                  <c:v>20.71</c:v>
                </c:pt>
                <c:pt idx="5639">
                  <c:v>20.71</c:v>
                </c:pt>
                <c:pt idx="5640">
                  <c:v>20.71</c:v>
                </c:pt>
                <c:pt idx="5641">
                  <c:v>20.614999999999998</c:v>
                </c:pt>
                <c:pt idx="5642">
                  <c:v>20.614999999999998</c:v>
                </c:pt>
                <c:pt idx="5643">
                  <c:v>20.614999999999998</c:v>
                </c:pt>
                <c:pt idx="5644">
                  <c:v>20.614999999999998</c:v>
                </c:pt>
                <c:pt idx="5645">
                  <c:v>20.518999999999991</c:v>
                </c:pt>
                <c:pt idx="5646">
                  <c:v>20.518999999999991</c:v>
                </c:pt>
                <c:pt idx="5647">
                  <c:v>20.423999999999999</c:v>
                </c:pt>
                <c:pt idx="5648">
                  <c:v>20.423999999999999</c:v>
                </c:pt>
                <c:pt idx="5649">
                  <c:v>20.423999999999999</c:v>
                </c:pt>
                <c:pt idx="5650">
                  <c:v>20.423999999999999</c:v>
                </c:pt>
                <c:pt idx="5651">
                  <c:v>20.423999999999999</c:v>
                </c:pt>
                <c:pt idx="5652">
                  <c:v>20.329000000000001</c:v>
                </c:pt>
                <c:pt idx="5653">
                  <c:v>20.329000000000001</c:v>
                </c:pt>
                <c:pt idx="5654">
                  <c:v>20.329000000000001</c:v>
                </c:pt>
                <c:pt idx="5655">
                  <c:v>20.234000000000009</c:v>
                </c:pt>
                <c:pt idx="5656">
                  <c:v>20.234000000000009</c:v>
                </c:pt>
                <c:pt idx="5657">
                  <c:v>20.138000000000009</c:v>
                </c:pt>
                <c:pt idx="5658">
                  <c:v>20.138000000000009</c:v>
                </c:pt>
                <c:pt idx="5659">
                  <c:v>20.042999999999999</c:v>
                </c:pt>
                <c:pt idx="5660">
                  <c:v>20.042999999999999</c:v>
                </c:pt>
                <c:pt idx="5661">
                  <c:v>20.042999999999999</c:v>
                </c:pt>
                <c:pt idx="5662">
                  <c:v>20.042999999999999</c:v>
                </c:pt>
                <c:pt idx="5663">
                  <c:v>19.948</c:v>
                </c:pt>
                <c:pt idx="5664">
                  <c:v>19.948</c:v>
                </c:pt>
                <c:pt idx="5665">
                  <c:v>19.853000000000009</c:v>
                </c:pt>
                <c:pt idx="5666">
                  <c:v>19.853000000000009</c:v>
                </c:pt>
                <c:pt idx="5667">
                  <c:v>19.853000000000009</c:v>
                </c:pt>
                <c:pt idx="5668">
                  <c:v>19.853000000000009</c:v>
                </c:pt>
                <c:pt idx="5669">
                  <c:v>19.853000000000009</c:v>
                </c:pt>
                <c:pt idx="5670">
                  <c:v>19.853000000000009</c:v>
                </c:pt>
                <c:pt idx="5671">
                  <c:v>19.853000000000009</c:v>
                </c:pt>
                <c:pt idx="5672">
                  <c:v>19.757999999999999</c:v>
                </c:pt>
                <c:pt idx="5673">
                  <c:v>19.757999999999999</c:v>
                </c:pt>
                <c:pt idx="5674">
                  <c:v>19.661999999999999</c:v>
                </c:pt>
                <c:pt idx="5675">
                  <c:v>19.567</c:v>
                </c:pt>
                <c:pt idx="5676">
                  <c:v>19.567</c:v>
                </c:pt>
                <c:pt idx="5677">
                  <c:v>19.567</c:v>
                </c:pt>
                <c:pt idx="5678">
                  <c:v>19.567</c:v>
                </c:pt>
                <c:pt idx="5679">
                  <c:v>19.567</c:v>
                </c:pt>
                <c:pt idx="5680">
                  <c:v>19.567</c:v>
                </c:pt>
                <c:pt idx="5681">
                  <c:v>19.567</c:v>
                </c:pt>
                <c:pt idx="5682">
                  <c:v>19.567</c:v>
                </c:pt>
                <c:pt idx="5683">
                  <c:v>19.567</c:v>
                </c:pt>
                <c:pt idx="5684">
                  <c:v>19.567</c:v>
                </c:pt>
                <c:pt idx="5685">
                  <c:v>19.567</c:v>
                </c:pt>
                <c:pt idx="5686">
                  <c:v>19.567</c:v>
                </c:pt>
                <c:pt idx="5687">
                  <c:v>19.567</c:v>
                </c:pt>
                <c:pt idx="5688">
                  <c:v>19.567</c:v>
                </c:pt>
                <c:pt idx="5689">
                  <c:v>19.567</c:v>
                </c:pt>
                <c:pt idx="5690">
                  <c:v>19.567</c:v>
                </c:pt>
                <c:pt idx="5691">
                  <c:v>19.661999999999999</c:v>
                </c:pt>
                <c:pt idx="5692">
                  <c:v>19.661999999999999</c:v>
                </c:pt>
                <c:pt idx="5693">
                  <c:v>19.757999999999999</c:v>
                </c:pt>
                <c:pt idx="5694">
                  <c:v>19.853000000000009</c:v>
                </c:pt>
                <c:pt idx="5695">
                  <c:v>19.853000000000009</c:v>
                </c:pt>
                <c:pt idx="5696">
                  <c:v>20.042999999999999</c:v>
                </c:pt>
                <c:pt idx="5697">
                  <c:v>19.948</c:v>
                </c:pt>
                <c:pt idx="5698">
                  <c:v>20.042999999999999</c:v>
                </c:pt>
                <c:pt idx="5699">
                  <c:v>20.234000000000009</c:v>
                </c:pt>
                <c:pt idx="5700">
                  <c:v>20.234000000000009</c:v>
                </c:pt>
                <c:pt idx="5701">
                  <c:v>20.329000000000001</c:v>
                </c:pt>
                <c:pt idx="5702">
                  <c:v>20.329000000000001</c:v>
                </c:pt>
                <c:pt idx="5703">
                  <c:v>21.091000000000001</c:v>
                </c:pt>
                <c:pt idx="5704">
                  <c:v>20.995999999999999</c:v>
                </c:pt>
                <c:pt idx="5705">
                  <c:v>20.614999999999998</c:v>
                </c:pt>
                <c:pt idx="5706">
                  <c:v>20.805</c:v>
                </c:pt>
                <c:pt idx="5707">
                  <c:v>21.091000000000001</c:v>
                </c:pt>
                <c:pt idx="5708">
                  <c:v>20.995999999999999</c:v>
                </c:pt>
                <c:pt idx="5709">
                  <c:v>20.995999999999999</c:v>
                </c:pt>
                <c:pt idx="5710">
                  <c:v>21.091000000000001</c:v>
                </c:pt>
                <c:pt idx="5711">
                  <c:v>21.282</c:v>
                </c:pt>
                <c:pt idx="5712">
                  <c:v>21.568999999999999</c:v>
                </c:pt>
                <c:pt idx="5713">
                  <c:v>21.568999999999999</c:v>
                </c:pt>
                <c:pt idx="5714">
                  <c:v>21.664000000000001</c:v>
                </c:pt>
                <c:pt idx="5715">
                  <c:v>21.951000000000001</c:v>
                </c:pt>
                <c:pt idx="5716">
                  <c:v>21.76</c:v>
                </c:pt>
                <c:pt idx="5717">
                  <c:v>21.76</c:v>
                </c:pt>
                <c:pt idx="5718">
                  <c:v>21.855</c:v>
                </c:pt>
                <c:pt idx="5719">
                  <c:v>21.855</c:v>
                </c:pt>
                <c:pt idx="5720">
                  <c:v>22.141999999999999</c:v>
                </c:pt>
                <c:pt idx="5721">
                  <c:v>22.141999999999999</c:v>
                </c:pt>
                <c:pt idx="5722">
                  <c:v>22.141999999999999</c:v>
                </c:pt>
                <c:pt idx="5723">
                  <c:v>21.951000000000001</c:v>
                </c:pt>
                <c:pt idx="5724">
                  <c:v>21.855</c:v>
                </c:pt>
                <c:pt idx="5725">
                  <c:v>21.855</c:v>
                </c:pt>
                <c:pt idx="5726">
                  <c:v>21.855</c:v>
                </c:pt>
                <c:pt idx="5727">
                  <c:v>21.664000000000001</c:v>
                </c:pt>
                <c:pt idx="5728">
                  <c:v>21.568999999999999</c:v>
                </c:pt>
                <c:pt idx="5729">
                  <c:v>21.664000000000001</c:v>
                </c:pt>
                <c:pt idx="5730">
                  <c:v>21.568999999999999</c:v>
                </c:pt>
                <c:pt idx="5731">
                  <c:v>21.378</c:v>
                </c:pt>
                <c:pt idx="5732">
                  <c:v>21.282</c:v>
                </c:pt>
                <c:pt idx="5733">
                  <c:v>21.187000000000001</c:v>
                </c:pt>
                <c:pt idx="5734">
                  <c:v>21.187000000000001</c:v>
                </c:pt>
                <c:pt idx="5735">
                  <c:v>21.091000000000001</c:v>
                </c:pt>
                <c:pt idx="5736">
                  <c:v>20.995999999999999</c:v>
                </c:pt>
                <c:pt idx="5737">
                  <c:v>20.901</c:v>
                </c:pt>
                <c:pt idx="5738">
                  <c:v>20.901</c:v>
                </c:pt>
                <c:pt idx="5739">
                  <c:v>20.805</c:v>
                </c:pt>
                <c:pt idx="5740">
                  <c:v>20.805</c:v>
                </c:pt>
                <c:pt idx="5741">
                  <c:v>20.805</c:v>
                </c:pt>
                <c:pt idx="5742">
                  <c:v>20.805</c:v>
                </c:pt>
                <c:pt idx="5743">
                  <c:v>20.71</c:v>
                </c:pt>
                <c:pt idx="5744">
                  <c:v>20.71</c:v>
                </c:pt>
                <c:pt idx="5745">
                  <c:v>20.71</c:v>
                </c:pt>
                <c:pt idx="5746">
                  <c:v>20.71</c:v>
                </c:pt>
                <c:pt idx="5747">
                  <c:v>20.71</c:v>
                </c:pt>
                <c:pt idx="5748">
                  <c:v>20.71</c:v>
                </c:pt>
                <c:pt idx="5749">
                  <c:v>20.71</c:v>
                </c:pt>
                <c:pt idx="5750">
                  <c:v>20.614999999999998</c:v>
                </c:pt>
                <c:pt idx="5751">
                  <c:v>20.614999999999998</c:v>
                </c:pt>
                <c:pt idx="5752">
                  <c:v>20.614999999999998</c:v>
                </c:pt>
                <c:pt idx="5753">
                  <c:v>20.614999999999998</c:v>
                </c:pt>
                <c:pt idx="5754">
                  <c:v>20.614999999999998</c:v>
                </c:pt>
                <c:pt idx="5755">
                  <c:v>20.614999999999998</c:v>
                </c:pt>
                <c:pt idx="5756">
                  <c:v>20.614999999999998</c:v>
                </c:pt>
                <c:pt idx="5757">
                  <c:v>20.518999999999991</c:v>
                </c:pt>
                <c:pt idx="5758">
                  <c:v>20.518999999999991</c:v>
                </c:pt>
                <c:pt idx="5759">
                  <c:v>20.518999999999991</c:v>
                </c:pt>
                <c:pt idx="5760">
                  <c:v>20.518999999999991</c:v>
                </c:pt>
                <c:pt idx="5761">
                  <c:v>20.518999999999991</c:v>
                </c:pt>
                <c:pt idx="5762">
                  <c:v>20.423999999999999</c:v>
                </c:pt>
                <c:pt idx="5763">
                  <c:v>20.423999999999999</c:v>
                </c:pt>
                <c:pt idx="5764">
                  <c:v>20.423999999999999</c:v>
                </c:pt>
                <c:pt idx="5765">
                  <c:v>20.423999999999999</c:v>
                </c:pt>
                <c:pt idx="5766">
                  <c:v>20.423999999999999</c:v>
                </c:pt>
                <c:pt idx="5767">
                  <c:v>20.423999999999999</c:v>
                </c:pt>
                <c:pt idx="5768">
                  <c:v>20.423999999999999</c:v>
                </c:pt>
                <c:pt idx="5769">
                  <c:v>20.329000000000001</c:v>
                </c:pt>
                <c:pt idx="5770">
                  <c:v>20.329000000000001</c:v>
                </c:pt>
                <c:pt idx="5771">
                  <c:v>20.329000000000001</c:v>
                </c:pt>
                <c:pt idx="5772">
                  <c:v>20.329000000000001</c:v>
                </c:pt>
                <c:pt idx="5773">
                  <c:v>20.234000000000009</c:v>
                </c:pt>
                <c:pt idx="5774">
                  <c:v>20.234000000000009</c:v>
                </c:pt>
                <c:pt idx="5775">
                  <c:v>20.234000000000009</c:v>
                </c:pt>
                <c:pt idx="5776">
                  <c:v>20.138000000000009</c:v>
                </c:pt>
                <c:pt idx="5777">
                  <c:v>20.138000000000009</c:v>
                </c:pt>
                <c:pt idx="5778">
                  <c:v>20.138000000000009</c:v>
                </c:pt>
                <c:pt idx="5779">
                  <c:v>20.138000000000009</c:v>
                </c:pt>
                <c:pt idx="5780">
                  <c:v>20.138000000000009</c:v>
                </c:pt>
                <c:pt idx="5781">
                  <c:v>20.138000000000009</c:v>
                </c:pt>
                <c:pt idx="5782">
                  <c:v>20.138000000000009</c:v>
                </c:pt>
                <c:pt idx="5783">
                  <c:v>20.138000000000009</c:v>
                </c:pt>
                <c:pt idx="5784">
                  <c:v>20.138000000000009</c:v>
                </c:pt>
                <c:pt idx="5785">
                  <c:v>20.138000000000009</c:v>
                </c:pt>
                <c:pt idx="5786">
                  <c:v>20.138000000000009</c:v>
                </c:pt>
                <c:pt idx="5787">
                  <c:v>20.138000000000009</c:v>
                </c:pt>
                <c:pt idx="5788">
                  <c:v>20.138000000000009</c:v>
                </c:pt>
                <c:pt idx="5789">
                  <c:v>20.138000000000009</c:v>
                </c:pt>
                <c:pt idx="5790">
                  <c:v>20.042999999999999</c:v>
                </c:pt>
                <c:pt idx="5791">
                  <c:v>20.042999999999999</c:v>
                </c:pt>
                <c:pt idx="5792">
                  <c:v>20.138000000000009</c:v>
                </c:pt>
                <c:pt idx="5793">
                  <c:v>20.138000000000009</c:v>
                </c:pt>
                <c:pt idx="5794">
                  <c:v>20.234000000000009</c:v>
                </c:pt>
                <c:pt idx="5795">
                  <c:v>20.234000000000009</c:v>
                </c:pt>
                <c:pt idx="5796">
                  <c:v>20.329000000000001</c:v>
                </c:pt>
                <c:pt idx="5797">
                  <c:v>20.805</c:v>
                </c:pt>
                <c:pt idx="5798">
                  <c:v>20.71</c:v>
                </c:pt>
                <c:pt idx="5799">
                  <c:v>20.901</c:v>
                </c:pt>
                <c:pt idx="5800">
                  <c:v>20.71</c:v>
                </c:pt>
                <c:pt idx="5801">
                  <c:v>20.805</c:v>
                </c:pt>
                <c:pt idx="5802">
                  <c:v>20.805</c:v>
                </c:pt>
                <c:pt idx="5803">
                  <c:v>20.995999999999999</c:v>
                </c:pt>
                <c:pt idx="5804">
                  <c:v>21.091000000000001</c:v>
                </c:pt>
                <c:pt idx="5805">
                  <c:v>21.187000000000001</c:v>
                </c:pt>
                <c:pt idx="5806">
                  <c:v>21.091000000000001</c:v>
                </c:pt>
                <c:pt idx="5807">
                  <c:v>21.187000000000001</c:v>
                </c:pt>
                <c:pt idx="5808">
                  <c:v>21.378</c:v>
                </c:pt>
                <c:pt idx="5809">
                  <c:v>21.378</c:v>
                </c:pt>
                <c:pt idx="5810">
                  <c:v>21.664000000000001</c:v>
                </c:pt>
                <c:pt idx="5811">
                  <c:v>21.664000000000001</c:v>
                </c:pt>
                <c:pt idx="5812">
                  <c:v>21.664000000000001</c:v>
                </c:pt>
                <c:pt idx="5813">
                  <c:v>21.664000000000001</c:v>
                </c:pt>
                <c:pt idx="5814">
                  <c:v>21.472999999999999</c:v>
                </c:pt>
                <c:pt idx="5815">
                  <c:v>21.472999999999999</c:v>
                </c:pt>
                <c:pt idx="5816">
                  <c:v>21.664000000000001</c:v>
                </c:pt>
                <c:pt idx="5817">
                  <c:v>21.664000000000001</c:v>
                </c:pt>
                <c:pt idx="5818">
                  <c:v>21.664000000000001</c:v>
                </c:pt>
                <c:pt idx="5819">
                  <c:v>21.664000000000001</c:v>
                </c:pt>
                <c:pt idx="5820">
                  <c:v>21.664000000000001</c:v>
                </c:pt>
                <c:pt idx="5821">
                  <c:v>21.568999999999999</c:v>
                </c:pt>
                <c:pt idx="5822">
                  <c:v>21.664000000000001</c:v>
                </c:pt>
                <c:pt idx="5823">
                  <c:v>21.568999999999999</c:v>
                </c:pt>
                <c:pt idx="5824">
                  <c:v>21.568999999999999</c:v>
                </c:pt>
                <c:pt idx="5825">
                  <c:v>21.664000000000001</c:v>
                </c:pt>
                <c:pt idx="5826">
                  <c:v>21.568999999999999</c:v>
                </c:pt>
                <c:pt idx="5827">
                  <c:v>21.472999999999999</c:v>
                </c:pt>
                <c:pt idx="5828">
                  <c:v>21.378</c:v>
                </c:pt>
                <c:pt idx="5829">
                  <c:v>21.282</c:v>
                </c:pt>
                <c:pt idx="5830">
                  <c:v>21.282</c:v>
                </c:pt>
                <c:pt idx="5831">
                  <c:v>21.187000000000001</c:v>
                </c:pt>
                <c:pt idx="5832">
                  <c:v>21.187000000000001</c:v>
                </c:pt>
                <c:pt idx="5833">
                  <c:v>21.091000000000001</c:v>
                </c:pt>
                <c:pt idx="5834">
                  <c:v>21.091000000000001</c:v>
                </c:pt>
                <c:pt idx="5835">
                  <c:v>20.995999999999999</c:v>
                </c:pt>
                <c:pt idx="5836">
                  <c:v>20.995999999999999</c:v>
                </c:pt>
                <c:pt idx="5837">
                  <c:v>20.995999999999999</c:v>
                </c:pt>
                <c:pt idx="5838">
                  <c:v>20.901</c:v>
                </c:pt>
                <c:pt idx="5839">
                  <c:v>20.901</c:v>
                </c:pt>
                <c:pt idx="5840">
                  <c:v>20.901</c:v>
                </c:pt>
                <c:pt idx="5841">
                  <c:v>20.805</c:v>
                </c:pt>
                <c:pt idx="5842">
                  <c:v>20.805</c:v>
                </c:pt>
                <c:pt idx="5843">
                  <c:v>20.805</c:v>
                </c:pt>
                <c:pt idx="5844">
                  <c:v>20.805</c:v>
                </c:pt>
                <c:pt idx="5845">
                  <c:v>20.71</c:v>
                </c:pt>
                <c:pt idx="5846">
                  <c:v>20.71</c:v>
                </c:pt>
                <c:pt idx="5847">
                  <c:v>20.71</c:v>
                </c:pt>
                <c:pt idx="5848">
                  <c:v>20.614999999999998</c:v>
                </c:pt>
                <c:pt idx="5849">
                  <c:v>20.614999999999998</c:v>
                </c:pt>
                <c:pt idx="5850">
                  <c:v>20.614999999999998</c:v>
                </c:pt>
                <c:pt idx="5851">
                  <c:v>20.614999999999998</c:v>
                </c:pt>
                <c:pt idx="5852">
                  <c:v>20.614999999999998</c:v>
                </c:pt>
                <c:pt idx="5853">
                  <c:v>20.614999999999998</c:v>
                </c:pt>
                <c:pt idx="5854">
                  <c:v>20.614999999999998</c:v>
                </c:pt>
                <c:pt idx="5855">
                  <c:v>20.614999999999998</c:v>
                </c:pt>
                <c:pt idx="5856">
                  <c:v>20.614999999999998</c:v>
                </c:pt>
                <c:pt idx="5857">
                  <c:v>20.518999999999991</c:v>
                </c:pt>
                <c:pt idx="5858">
                  <c:v>20.518999999999991</c:v>
                </c:pt>
                <c:pt idx="5859">
                  <c:v>20.518999999999991</c:v>
                </c:pt>
                <c:pt idx="5860">
                  <c:v>20.518999999999991</c:v>
                </c:pt>
                <c:pt idx="5861">
                  <c:v>20.518999999999991</c:v>
                </c:pt>
                <c:pt idx="5862">
                  <c:v>20.518999999999991</c:v>
                </c:pt>
                <c:pt idx="5863">
                  <c:v>20.518999999999991</c:v>
                </c:pt>
                <c:pt idx="5864">
                  <c:v>20.518999999999991</c:v>
                </c:pt>
                <c:pt idx="5865">
                  <c:v>20.518999999999991</c:v>
                </c:pt>
                <c:pt idx="5866">
                  <c:v>20.518999999999991</c:v>
                </c:pt>
                <c:pt idx="5867">
                  <c:v>20.518999999999991</c:v>
                </c:pt>
                <c:pt idx="5868">
                  <c:v>20.518999999999991</c:v>
                </c:pt>
                <c:pt idx="5869">
                  <c:v>20.518999999999991</c:v>
                </c:pt>
                <c:pt idx="5870">
                  <c:v>20.423999999999999</c:v>
                </c:pt>
                <c:pt idx="5871">
                  <c:v>20.423999999999999</c:v>
                </c:pt>
                <c:pt idx="5872">
                  <c:v>20.423999999999999</c:v>
                </c:pt>
                <c:pt idx="5873">
                  <c:v>20.423999999999999</c:v>
                </c:pt>
                <c:pt idx="5874">
                  <c:v>20.329000000000001</c:v>
                </c:pt>
                <c:pt idx="5875">
                  <c:v>20.329000000000001</c:v>
                </c:pt>
                <c:pt idx="5876">
                  <c:v>20.329000000000001</c:v>
                </c:pt>
                <c:pt idx="5877">
                  <c:v>20.329000000000001</c:v>
                </c:pt>
                <c:pt idx="5878">
                  <c:v>20.329000000000001</c:v>
                </c:pt>
                <c:pt idx="5879">
                  <c:v>20.329000000000001</c:v>
                </c:pt>
                <c:pt idx="5880">
                  <c:v>20.329000000000001</c:v>
                </c:pt>
                <c:pt idx="5881">
                  <c:v>20.329000000000001</c:v>
                </c:pt>
                <c:pt idx="5882">
                  <c:v>20.329000000000001</c:v>
                </c:pt>
                <c:pt idx="5883">
                  <c:v>20.423999999999999</c:v>
                </c:pt>
                <c:pt idx="5884">
                  <c:v>20.423999999999999</c:v>
                </c:pt>
                <c:pt idx="5885">
                  <c:v>20.423999999999999</c:v>
                </c:pt>
                <c:pt idx="5886">
                  <c:v>20.518999999999991</c:v>
                </c:pt>
                <c:pt idx="5887">
                  <c:v>20.518999999999991</c:v>
                </c:pt>
                <c:pt idx="5888">
                  <c:v>20.805</c:v>
                </c:pt>
                <c:pt idx="5889">
                  <c:v>20.614999999999998</c:v>
                </c:pt>
                <c:pt idx="5890">
                  <c:v>20.71</c:v>
                </c:pt>
                <c:pt idx="5891">
                  <c:v>20.71</c:v>
                </c:pt>
                <c:pt idx="5892">
                  <c:v>20.71</c:v>
                </c:pt>
                <c:pt idx="5893">
                  <c:v>21.091000000000001</c:v>
                </c:pt>
                <c:pt idx="5894">
                  <c:v>20.995999999999999</c:v>
                </c:pt>
                <c:pt idx="5895">
                  <c:v>21.091000000000001</c:v>
                </c:pt>
                <c:pt idx="5896">
                  <c:v>21.187000000000001</c:v>
                </c:pt>
                <c:pt idx="5897">
                  <c:v>21.378</c:v>
                </c:pt>
                <c:pt idx="5898">
                  <c:v>21.187000000000001</c:v>
                </c:pt>
                <c:pt idx="5899">
                  <c:v>20.995999999999999</c:v>
                </c:pt>
                <c:pt idx="5900">
                  <c:v>21.091000000000001</c:v>
                </c:pt>
                <c:pt idx="5901">
                  <c:v>20.995999999999999</c:v>
                </c:pt>
                <c:pt idx="5902">
                  <c:v>20.995999999999999</c:v>
                </c:pt>
                <c:pt idx="5903">
                  <c:v>20.995999999999999</c:v>
                </c:pt>
                <c:pt idx="5904">
                  <c:v>20.995999999999999</c:v>
                </c:pt>
                <c:pt idx="5905">
                  <c:v>21.091000000000001</c:v>
                </c:pt>
                <c:pt idx="5906">
                  <c:v>21.091000000000001</c:v>
                </c:pt>
                <c:pt idx="5907">
                  <c:v>21.187000000000001</c:v>
                </c:pt>
                <c:pt idx="5908">
                  <c:v>21.187000000000001</c:v>
                </c:pt>
                <c:pt idx="5909">
                  <c:v>21.091000000000001</c:v>
                </c:pt>
                <c:pt idx="5910">
                  <c:v>21.091000000000001</c:v>
                </c:pt>
                <c:pt idx="5911">
                  <c:v>21.091000000000001</c:v>
                </c:pt>
                <c:pt idx="5912">
                  <c:v>21.091000000000001</c:v>
                </c:pt>
                <c:pt idx="5913">
                  <c:v>21.091000000000001</c:v>
                </c:pt>
                <c:pt idx="5914">
                  <c:v>21.091000000000001</c:v>
                </c:pt>
                <c:pt idx="5915">
                  <c:v>21.091000000000001</c:v>
                </c:pt>
                <c:pt idx="5916">
                  <c:v>21.091000000000001</c:v>
                </c:pt>
                <c:pt idx="5917">
                  <c:v>21.091000000000001</c:v>
                </c:pt>
                <c:pt idx="5918">
                  <c:v>21.091000000000001</c:v>
                </c:pt>
                <c:pt idx="5919">
                  <c:v>21.187000000000001</c:v>
                </c:pt>
                <c:pt idx="5920">
                  <c:v>21.187000000000001</c:v>
                </c:pt>
                <c:pt idx="5921">
                  <c:v>21.091000000000001</c:v>
                </c:pt>
                <c:pt idx="5922">
                  <c:v>21.091000000000001</c:v>
                </c:pt>
                <c:pt idx="5923">
                  <c:v>21.091000000000001</c:v>
                </c:pt>
                <c:pt idx="5924">
                  <c:v>21.091000000000001</c:v>
                </c:pt>
                <c:pt idx="5925">
                  <c:v>21.091000000000001</c:v>
                </c:pt>
                <c:pt idx="5926">
                  <c:v>20.995999999999999</c:v>
                </c:pt>
                <c:pt idx="5927">
                  <c:v>20.995999999999999</c:v>
                </c:pt>
                <c:pt idx="5928">
                  <c:v>20.995999999999999</c:v>
                </c:pt>
                <c:pt idx="5929">
                  <c:v>20.995999999999999</c:v>
                </c:pt>
                <c:pt idx="5930">
                  <c:v>20.995999999999999</c:v>
                </c:pt>
                <c:pt idx="5931">
                  <c:v>20.901</c:v>
                </c:pt>
                <c:pt idx="5932">
                  <c:v>20.901</c:v>
                </c:pt>
                <c:pt idx="5933">
                  <c:v>20.901</c:v>
                </c:pt>
                <c:pt idx="5934">
                  <c:v>20.901</c:v>
                </c:pt>
                <c:pt idx="5935">
                  <c:v>20.901</c:v>
                </c:pt>
                <c:pt idx="5936">
                  <c:v>20.901</c:v>
                </c:pt>
                <c:pt idx="5937">
                  <c:v>20.805</c:v>
                </c:pt>
                <c:pt idx="5938">
                  <c:v>20.805</c:v>
                </c:pt>
                <c:pt idx="5939">
                  <c:v>20.805</c:v>
                </c:pt>
                <c:pt idx="5940">
                  <c:v>20.805</c:v>
                </c:pt>
                <c:pt idx="5941">
                  <c:v>20.805</c:v>
                </c:pt>
                <c:pt idx="5942">
                  <c:v>20.71</c:v>
                </c:pt>
                <c:pt idx="5943">
                  <c:v>20.71</c:v>
                </c:pt>
                <c:pt idx="5944">
                  <c:v>20.71</c:v>
                </c:pt>
                <c:pt idx="5945">
                  <c:v>20.71</c:v>
                </c:pt>
                <c:pt idx="5946">
                  <c:v>20.71</c:v>
                </c:pt>
                <c:pt idx="5947">
                  <c:v>20.71</c:v>
                </c:pt>
                <c:pt idx="5948">
                  <c:v>20.71</c:v>
                </c:pt>
                <c:pt idx="5949">
                  <c:v>20.614999999999998</c:v>
                </c:pt>
                <c:pt idx="5950">
                  <c:v>20.614999999999998</c:v>
                </c:pt>
                <c:pt idx="5951">
                  <c:v>20.71</c:v>
                </c:pt>
                <c:pt idx="5952">
                  <c:v>20.614999999999998</c:v>
                </c:pt>
                <c:pt idx="5953">
                  <c:v>20.614999999999998</c:v>
                </c:pt>
                <c:pt idx="5954">
                  <c:v>20.614999999999998</c:v>
                </c:pt>
                <c:pt idx="5955">
                  <c:v>20.614999999999998</c:v>
                </c:pt>
                <c:pt idx="5956">
                  <c:v>20.614999999999998</c:v>
                </c:pt>
                <c:pt idx="5957">
                  <c:v>20.614999999999998</c:v>
                </c:pt>
                <c:pt idx="5958">
                  <c:v>20.614999999999998</c:v>
                </c:pt>
                <c:pt idx="5959">
                  <c:v>20.614999999999998</c:v>
                </c:pt>
                <c:pt idx="5960">
                  <c:v>20.614999999999998</c:v>
                </c:pt>
                <c:pt idx="5961">
                  <c:v>20.614999999999998</c:v>
                </c:pt>
                <c:pt idx="5962">
                  <c:v>20.518999999999991</c:v>
                </c:pt>
                <c:pt idx="5963">
                  <c:v>20.518999999999991</c:v>
                </c:pt>
                <c:pt idx="5964">
                  <c:v>20.518999999999991</c:v>
                </c:pt>
                <c:pt idx="5965">
                  <c:v>20.518999999999991</c:v>
                </c:pt>
                <c:pt idx="5966">
                  <c:v>20.518999999999991</c:v>
                </c:pt>
                <c:pt idx="5967">
                  <c:v>20.518999999999991</c:v>
                </c:pt>
                <c:pt idx="5968">
                  <c:v>20.518999999999991</c:v>
                </c:pt>
                <c:pt idx="5969">
                  <c:v>20.518999999999991</c:v>
                </c:pt>
                <c:pt idx="5970">
                  <c:v>20.518999999999991</c:v>
                </c:pt>
                <c:pt idx="5971">
                  <c:v>20.423999999999999</c:v>
                </c:pt>
                <c:pt idx="5972">
                  <c:v>20.423999999999999</c:v>
                </c:pt>
                <c:pt idx="5973">
                  <c:v>20.423999999999999</c:v>
                </c:pt>
                <c:pt idx="5974">
                  <c:v>20.423999999999999</c:v>
                </c:pt>
                <c:pt idx="5975">
                  <c:v>20.423999999999999</c:v>
                </c:pt>
                <c:pt idx="5976">
                  <c:v>20.423999999999999</c:v>
                </c:pt>
                <c:pt idx="5977">
                  <c:v>20.423999999999999</c:v>
                </c:pt>
                <c:pt idx="5978">
                  <c:v>20.423999999999999</c:v>
                </c:pt>
                <c:pt idx="5979">
                  <c:v>20.423999999999999</c:v>
                </c:pt>
                <c:pt idx="5980">
                  <c:v>20.423999999999999</c:v>
                </c:pt>
                <c:pt idx="5981">
                  <c:v>20.423999999999999</c:v>
                </c:pt>
                <c:pt idx="5982">
                  <c:v>20.423999999999999</c:v>
                </c:pt>
                <c:pt idx="5983">
                  <c:v>20.423999999999999</c:v>
                </c:pt>
                <c:pt idx="5984">
                  <c:v>20.423999999999999</c:v>
                </c:pt>
                <c:pt idx="5985">
                  <c:v>20.423999999999999</c:v>
                </c:pt>
                <c:pt idx="5986">
                  <c:v>20.518999999999991</c:v>
                </c:pt>
                <c:pt idx="5987">
                  <c:v>20.518999999999991</c:v>
                </c:pt>
                <c:pt idx="5988">
                  <c:v>20.518999999999991</c:v>
                </c:pt>
                <c:pt idx="5989">
                  <c:v>20.518999999999991</c:v>
                </c:pt>
                <c:pt idx="5990">
                  <c:v>20.518999999999991</c:v>
                </c:pt>
                <c:pt idx="5991">
                  <c:v>20.518999999999991</c:v>
                </c:pt>
                <c:pt idx="5992">
                  <c:v>20.518999999999991</c:v>
                </c:pt>
                <c:pt idx="5993">
                  <c:v>20.518999999999991</c:v>
                </c:pt>
                <c:pt idx="5994">
                  <c:v>20.423999999999999</c:v>
                </c:pt>
                <c:pt idx="5995">
                  <c:v>20.423999999999999</c:v>
                </c:pt>
                <c:pt idx="5996">
                  <c:v>20.423999999999999</c:v>
                </c:pt>
                <c:pt idx="5997">
                  <c:v>20.329000000000001</c:v>
                </c:pt>
                <c:pt idx="5998">
                  <c:v>20.423999999999999</c:v>
                </c:pt>
                <c:pt idx="5999">
                  <c:v>20.423999999999999</c:v>
                </c:pt>
                <c:pt idx="6000">
                  <c:v>20.329000000000001</c:v>
                </c:pt>
                <c:pt idx="6001">
                  <c:v>20.423999999999999</c:v>
                </c:pt>
                <c:pt idx="6002">
                  <c:v>20.518999999999991</c:v>
                </c:pt>
                <c:pt idx="6003">
                  <c:v>20.518999999999991</c:v>
                </c:pt>
                <c:pt idx="6004">
                  <c:v>20.518999999999991</c:v>
                </c:pt>
                <c:pt idx="6005">
                  <c:v>20.518999999999991</c:v>
                </c:pt>
                <c:pt idx="6006">
                  <c:v>20.614999999999998</c:v>
                </c:pt>
                <c:pt idx="6007">
                  <c:v>20.614999999999998</c:v>
                </c:pt>
                <c:pt idx="6008">
                  <c:v>20.614999999999998</c:v>
                </c:pt>
                <c:pt idx="6009">
                  <c:v>20.614999999999998</c:v>
                </c:pt>
                <c:pt idx="6010">
                  <c:v>20.71</c:v>
                </c:pt>
                <c:pt idx="6011">
                  <c:v>20.71</c:v>
                </c:pt>
                <c:pt idx="6012">
                  <c:v>20.71</c:v>
                </c:pt>
                <c:pt idx="6013">
                  <c:v>20.71</c:v>
                </c:pt>
                <c:pt idx="6014">
                  <c:v>20.71</c:v>
                </c:pt>
                <c:pt idx="6015">
                  <c:v>20.71</c:v>
                </c:pt>
                <c:pt idx="6016">
                  <c:v>20.71</c:v>
                </c:pt>
                <c:pt idx="6017">
                  <c:v>20.71</c:v>
                </c:pt>
                <c:pt idx="6018">
                  <c:v>20.71</c:v>
                </c:pt>
                <c:pt idx="6019">
                  <c:v>20.71</c:v>
                </c:pt>
                <c:pt idx="6020">
                  <c:v>20.71</c:v>
                </c:pt>
                <c:pt idx="6021">
                  <c:v>20.71</c:v>
                </c:pt>
                <c:pt idx="6022">
                  <c:v>20.71</c:v>
                </c:pt>
                <c:pt idx="6023">
                  <c:v>20.71</c:v>
                </c:pt>
                <c:pt idx="6024">
                  <c:v>20.614999999999998</c:v>
                </c:pt>
                <c:pt idx="6025">
                  <c:v>20.614999999999998</c:v>
                </c:pt>
                <c:pt idx="6026">
                  <c:v>20.614999999999998</c:v>
                </c:pt>
                <c:pt idx="6027">
                  <c:v>20.614999999999998</c:v>
                </c:pt>
                <c:pt idx="6028">
                  <c:v>20.518999999999991</c:v>
                </c:pt>
                <c:pt idx="6029">
                  <c:v>20.518999999999991</c:v>
                </c:pt>
                <c:pt idx="6030">
                  <c:v>20.518999999999991</c:v>
                </c:pt>
                <c:pt idx="6031">
                  <c:v>20.518999999999991</c:v>
                </c:pt>
                <c:pt idx="6032">
                  <c:v>20.518999999999991</c:v>
                </c:pt>
                <c:pt idx="6033">
                  <c:v>20.518999999999991</c:v>
                </c:pt>
                <c:pt idx="6034">
                  <c:v>20.518999999999991</c:v>
                </c:pt>
                <c:pt idx="6035">
                  <c:v>20.423999999999999</c:v>
                </c:pt>
                <c:pt idx="6036">
                  <c:v>20.423999999999999</c:v>
                </c:pt>
                <c:pt idx="6037">
                  <c:v>20.423999999999999</c:v>
                </c:pt>
                <c:pt idx="6038">
                  <c:v>20.423999999999999</c:v>
                </c:pt>
                <c:pt idx="6039">
                  <c:v>20.423999999999999</c:v>
                </c:pt>
                <c:pt idx="6040">
                  <c:v>20.423999999999999</c:v>
                </c:pt>
                <c:pt idx="6041">
                  <c:v>20.423999999999999</c:v>
                </c:pt>
                <c:pt idx="6042">
                  <c:v>20.423999999999999</c:v>
                </c:pt>
                <c:pt idx="6043">
                  <c:v>20.423999999999999</c:v>
                </c:pt>
                <c:pt idx="6044">
                  <c:v>20.423999999999999</c:v>
                </c:pt>
                <c:pt idx="6045">
                  <c:v>20.329000000000001</c:v>
                </c:pt>
                <c:pt idx="6046">
                  <c:v>20.329000000000001</c:v>
                </c:pt>
                <c:pt idx="6047">
                  <c:v>20.329000000000001</c:v>
                </c:pt>
                <c:pt idx="6048">
                  <c:v>20.329000000000001</c:v>
                </c:pt>
                <c:pt idx="6049">
                  <c:v>20.329000000000001</c:v>
                </c:pt>
                <c:pt idx="6050">
                  <c:v>20.329000000000001</c:v>
                </c:pt>
                <c:pt idx="6051">
                  <c:v>20.329000000000001</c:v>
                </c:pt>
                <c:pt idx="6052">
                  <c:v>20.329000000000001</c:v>
                </c:pt>
                <c:pt idx="6053">
                  <c:v>20.329000000000001</c:v>
                </c:pt>
                <c:pt idx="6054">
                  <c:v>20.329000000000001</c:v>
                </c:pt>
                <c:pt idx="6055">
                  <c:v>20.329000000000001</c:v>
                </c:pt>
                <c:pt idx="6056">
                  <c:v>20.329000000000001</c:v>
                </c:pt>
                <c:pt idx="6057">
                  <c:v>20.329000000000001</c:v>
                </c:pt>
                <c:pt idx="6058">
                  <c:v>20.329000000000001</c:v>
                </c:pt>
                <c:pt idx="6059">
                  <c:v>20.329000000000001</c:v>
                </c:pt>
                <c:pt idx="6060">
                  <c:v>20.234000000000009</c:v>
                </c:pt>
                <c:pt idx="6061">
                  <c:v>20.234000000000009</c:v>
                </c:pt>
                <c:pt idx="6062">
                  <c:v>20.234000000000009</c:v>
                </c:pt>
                <c:pt idx="6063">
                  <c:v>20.234000000000009</c:v>
                </c:pt>
                <c:pt idx="6064">
                  <c:v>20.138000000000009</c:v>
                </c:pt>
                <c:pt idx="6065">
                  <c:v>20.138000000000009</c:v>
                </c:pt>
                <c:pt idx="6066">
                  <c:v>20.138000000000009</c:v>
                </c:pt>
                <c:pt idx="6067">
                  <c:v>20.138000000000009</c:v>
                </c:pt>
                <c:pt idx="6068">
                  <c:v>20.138000000000009</c:v>
                </c:pt>
                <c:pt idx="6069">
                  <c:v>20.138000000000009</c:v>
                </c:pt>
                <c:pt idx="6070">
                  <c:v>20.138000000000009</c:v>
                </c:pt>
                <c:pt idx="6071">
                  <c:v>20.138000000000009</c:v>
                </c:pt>
                <c:pt idx="6072">
                  <c:v>20.138000000000009</c:v>
                </c:pt>
                <c:pt idx="6073">
                  <c:v>20.138000000000009</c:v>
                </c:pt>
                <c:pt idx="6074">
                  <c:v>20.138000000000009</c:v>
                </c:pt>
                <c:pt idx="6075">
                  <c:v>20.138000000000009</c:v>
                </c:pt>
                <c:pt idx="6076">
                  <c:v>20.138000000000009</c:v>
                </c:pt>
                <c:pt idx="6077">
                  <c:v>20.138000000000009</c:v>
                </c:pt>
                <c:pt idx="6078">
                  <c:v>20.138000000000009</c:v>
                </c:pt>
                <c:pt idx="6079">
                  <c:v>20.138000000000009</c:v>
                </c:pt>
                <c:pt idx="6080">
                  <c:v>20.138000000000009</c:v>
                </c:pt>
                <c:pt idx="6081">
                  <c:v>20.138000000000009</c:v>
                </c:pt>
                <c:pt idx="6082">
                  <c:v>20.138000000000009</c:v>
                </c:pt>
                <c:pt idx="6083">
                  <c:v>20.138000000000009</c:v>
                </c:pt>
                <c:pt idx="6084">
                  <c:v>20.138000000000009</c:v>
                </c:pt>
                <c:pt idx="6085">
                  <c:v>20.138000000000009</c:v>
                </c:pt>
                <c:pt idx="6086">
                  <c:v>20.138000000000009</c:v>
                </c:pt>
                <c:pt idx="6087">
                  <c:v>20.138000000000009</c:v>
                </c:pt>
                <c:pt idx="6088">
                  <c:v>20.138000000000009</c:v>
                </c:pt>
                <c:pt idx="6089">
                  <c:v>20.234000000000009</c:v>
                </c:pt>
                <c:pt idx="6090">
                  <c:v>20.234000000000009</c:v>
                </c:pt>
                <c:pt idx="6091">
                  <c:v>20.329000000000001</c:v>
                </c:pt>
                <c:pt idx="6092">
                  <c:v>20.329000000000001</c:v>
                </c:pt>
                <c:pt idx="6093">
                  <c:v>20.329000000000001</c:v>
                </c:pt>
                <c:pt idx="6094">
                  <c:v>20.329000000000001</c:v>
                </c:pt>
                <c:pt idx="6095">
                  <c:v>20.329000000000001</c:v>
                </c:pt>
                <c:pt idx="6096">
                  <c:v>20.329000000000001</c:v>
                </c:pt>
                <c:pt idx="6097">
                  <c:v>20.329000000000001</c:v>
                </c:pt>
                <c:pt idx="6098">
                  <c:v>20.423999999999999</c:v>
                </c:pt>
                <c:pt idx="6099">
                  <c:v>20.518999999999991</c:v>
                </c:pt>
                <c:pt idx="6100">
                  <c:v>20.614999999999998</c:v>
                </c:pt>
                <c:pt idx="6101">
                  <c:v>20.71</c:v>
                </c:pt>
                <c:pt idx="6102">
                  <c:v>20.71</c:v>
                </c:pt>
                <c:pt idx="6103">
                  <c:v>20.805</c:v>
                </c:pt>
                <c:pt idx="6104">
                  <c:v>20.901</c:v>
                </c:pt>
                <c:pt idx="6105">
                  <c:v>20.901</c:v>
                </c:pt>
                <c:pt idx="6106">
                  <c:v>21.091000000000001</c:v>
                </c:pt>
                <c:pt idx="6107">
                  <c:v>21.187000000000001</c:v>
                </c:pt>
                <c:pt idx="6108">
                  <c:v>21.091000000000001</c:v>
                </c:pt>
                <c:pt idx="6109">
                  <c:v>21.091000000000001</c:v>
                </c:pt>
                <c:pt idx="6110">
                  <c:v>21.091000000000001</c:v>
                </c:pt>
                <c:pt idx="6111">
                  <c:v>21.091000000000001</c:v>
                </c:pt>
                <c:pt idx="6112">
                  <c:v>21.091000000000001</c:v>
                </c:pt>
                <c:pt idx="6113">
                  <c:v>21.091000000000001</c:v>
                </c:pt>
                <c:pt idx="6114">
                  <c:v>21.091000000000001</c:v>
                </c:pt>
                <c:pt idx="6115">
                  <c:v>21.091000000000001</c:v>
                </c:pt>
                <c:pt idx="6116">
                  <c:v>21.091000000000001</c:v>
                </c:pt>
                <c:pt idx="6117">
                  <c:v>20.995999999999999</c:v>
                </c:pt>
                <c:pt idx="6118">
                  <c:v>20.995999999999999</c:v>
                </c:pt>
                <c:pt idx="6119">
                  <c:v>20.901</c:v>
                </c:pt>
                <c:pt idx="6120">
                  <c:v>20.901</c:v>
                </c:pt>
                <c:pt idx="6121">
                  <c:v>20.901</c:v>
                </c:pt>
                <c:pt idx="6122">
                  <c:v>20.901</c:v>
                </c:pt>
                <c:pt idx="6123">
                  <c:v>20.805</c:v>
                </c:pt>
                <c:pt idx="6124">
                  <c:v>20.805</c:v>
                </c:pt>
                <c:pt idx="6125">
                  <c:v>20.805</c:v>
                </c:pt>
                <c:pt idx="6126">
                  <c:v>20.805</c:v>
                </c:pt>
                <c:pt idx="6127">
                  <c:v>20.805</c:v>
                </c:pt>
                <c:pt idx="6128">
                  <c:v>20.71</c:v>
                </c:pt>
                <c:pt idx="6129">
                  <c:v>20.71</c:v>
                </c:pt>
                <c:pt idx="6130">
                  <c:v>20.71</c:v>
                </c:pt>
                <c:pt idx="6131">
                  <c:v>20.71</c:v>
                </c:pt>
                <c:pt idx="6132">
                  <c:v>20.614999999999998</c:v>
                </c:pt>
                <c:pt idx="6133">
                  <c:v>20.614999999999998</c:v>
                </c:pt>
                <c:pt idx="6134">
                  <c:v>20.614999999999998</c:v>
                </c:pt>
                <c:pt idx="6135">
                  <c:v>20.614999999999998</c:v>
                </c:pt>
                <c:pt idx="6136">
                  <c:v>20.614999999999998</c:v>
                </c:pt>
                <c:pt idx="6137">
                  <c:v>20.614999999999998</c:v>
                </c:pt>
                <c:pt idx="6138">
                  <c:v>20.518999999999991</c:v>
                </c:pt>
                <c:pt idx="6139">
                  <c:v>20.518999999999991</c:v>
                </c:pt>
                <c:pt idx="6140">
                  <c:v>20.518999999999991</c:v>
                </c:pt>
                <c:pt idx="6141">
                  <c:v>20.518999999999991</c:v>
                </c:pt>
                <c:pt idx="6142">
                  <c:v>20.518999999999991</c:v>
                </c:pt>
                <c:pt idx="6143">
                  <c:v>20.518999999999991</c:v>
                </c:pt>
                <c:pt idx="6144">
                  <c:v>20.423999999999999</c:v>
                </c:pt>
                <c:pt idx="6145">
                  <c:v>20.423999999999999</c:v>
                </c:pt>
                <c:pt idx="6146">
                  <c:v>20.423999999999999</c:v>
                </c:pt>
                <c:pt idx="6147">
                  <c:v>20.423999999999999</c:v>
                </c:pt>
                <c:pt idx="6148">
                  <c:v>20.423999999999999</c:v>
                </c:pt>
                <c:pt idx="6149">
                  <c:v>20.423999999999999</c:v>
                </c:pt>
                <c:pt idx="6150">
                  <c:v>20.423999999999999</c:v>
                </c:pt>
                <c:pt idx="6151">
                  <c:v>20.329000000000001</c:v>
                </c:pt>
                <c:pt idx="6152">
                  <c:v>20.329000000000001</c:v>
                </c:pt>
                <c:pt idx="6153">
                  <c:v>20.329000000000001</c:v>
                </c:pt>
                <c:pt idx="6154">
                  <c:v>20.329000000000001</c:v>
                </c:pt>
                <c:pt idx="6155">
                  <c:v>20.234000000000009</c:v>
                </c:pt>
                <c:pt idx="6156">
                  <c:v>20.234000000000009</c:v>
                </c:pt>
                <c:pt idx="6157">
                  <c:v>20.234000000000009</c:v>
                </c:pt>
                <c:pt idx="6158">
                  <c:v>20.234000000000009</c:v>
                </c:pt>
                <c:pt idx="6159">
                  <c:v>20.234000000000009</c:v>
                </c:pt>
                <c:pt idx="6160">
                  <c:v>20.234000000000009</c:v>
                </c:pt>
                <c:pt idx="6161">
                  <c:v>20.138000000000009</c:v>
                </c:pt>
                <c:pt idx="6162">
                  <c:v>20.138000000000009</c:v>
                </c:pt>
                <c:pt idx="6163">
                  <c:v>20.138000000000009</c:v>
                </c:pt>
                <c:pt idx="6164">
                  <c:v>20.138000000000009</c:v>
                </c:pt>
                <c:pt idx="6165">
                  <c:v>20.138000000000009</c:v>
                </c:pt>
                <c:pt idx="6166">
                  <c:v>20.138000000000009</c:v>
                </c:pt>
                <c:pt idx="6167">
                  <c:v>20.042999999999999</c:v>
                </c:pt>
                <c:pt idx="6168">
                  <c:v>20.138000000000009</c:v>
                </c:pt>
                <c:pt idx="6169">
                  <c:v>20.138000000000009</c:v>
                </c:pt>
                <c:pt idx="6170">
                  <c:v>20.138000000000009</c:v>
                </c:pt>
                <c:pt idx="6171">
                  <c:v>20.138000000000009</c:v>
                </c:pt>
                <c:pt idx="6172">
                  <c:v>20.234000000000009</c:v>
                </c:pt>
                <c:pt idx="6173">
                  <c:v>20.234000000000009</c:v>
                </c:pt>
                <c:pt idx="6174">
                  <c:v>20.329000000000001</c:v>
                </c:pt>
                <c:pt idx="6175">
                  <c:v>20.329000000000001</c:v>
                </c:pt>
                <c:pt idx="6176">
                  <c:v>20.614999999999998</c:v>
                </c:pt>
                <c:pt idx="6177">
                  <c:v>20.423999999999999</c:v>
                </c:pt>
                <c:pt idx="6178">
                  <c:v>20.614999999999998</c:v>
                </c:pt>
                <c:pt idx="6179">
                  <c:v>20.614999999999998</c:v>
                </c:pt>
                <c:pt idx="6180">
                  <c:v>20.518999999999991</c:v>
                </c:pt>
                <c:pt idx="6181">
                  <c:v>20.71</c:v>
                </c:pt>
                <c:pt idx="6182">
                  <c:v>20.995999999999999</c:v>
                </c:pt>
                <c:pt idx="6183">
                  <c:v>21.282</c:v>
                </c:pt>
                <c:pt idx="6184">
                  <c:v>21.091000000000001</c:v>
                </c:pt>
                <c:pt idx="6185">
                  <c:v>21.091000000000001</c:v>
                </c:pt>
                <c:pt idx="6186">
                  <c:v>21.282</c:v>
                </c:pt>
                <c:pt idx="6187">
                  <c:v>21.378</c:v>
                </c:pt>
                <c:pt idx="6188">
                  <c:v>21.378</c:v>
                </c:pt>
                <c:pt idx="6189">
                  <c:v>21.472999999999999</c:v>
                </c:pt>
                <c:pt idx="6190">
                  <c:v>21.76</c:v>
                </c:pt>
                <c:pt idx="6191">
                  <c:v>21.855</c:v>
                </c:pt>
                <c:pt idx="6192">
                  <c:v>22.141999999999999</c:v>
                </c:pt>
                <c:pt idx="6193">
                  <c:v>21.855</c:v>
                </c:pt>
                <c:pt idx="6194">
                  <c:v>21.664000000000001</c:v>
                </c:pt>
                <c:pt idx="6195">
                  <c:v>21.855</c:v>
                </c:pt>
                <c:pt idx="6196">
                  <c:v>21.76</c:v>
                </c:pt>
                <c:pt idx="6197">
                  <c:v>21.76</c:v>
                </c:pt>
                <c:pt idx="6198">
                  <c:v>21.76</c:v>
                </c:pt>
                <c:pt idx="6199">
                  <c:v>21.76</c:v>
                </c:pt>
                <c:pt idx="6200">
                  <c:v>21.855</c:v>
                </c:pt>
                <c:pt idx="6201">
                  <c:v>21.76</c:v>
                </c:pt>
                <c:pt idx="6202">
                  <c:v>22.141999999999999</c:v>
                </c:pt>
                <c:pt idx="6203">
                  <c:v>22.045999999999999</c:v>
                </c:pt>
                <c:pt idx="6204">
                  <c:v>21.664000000000001</c:v>
                </c:pt>
                <c:pt idx="6205">
                  <c:v>21.664000000000001</c:v>
                </c:pt>
                <c:pt idx="6206">
                  <c:v>21.664000000000001</c:v>
                </c:pt>
                <c:pt idx="6207">
                  <c:v>21.568999999999999</c:v>
                </c:pt>
                <c:pt idx="6208">
                  <c:v>21.568999999999999</c:v>
                </c:pt>
                <c:pt idx="6209">
                  <c:v>21.568999999999999</c:v>
                </c:pt>
                <c:pt idx="6210">
                  <c:v>21.472999999999999</c:v>
                </c:pt>
                <c:pt idx="6211">
                  <c:v>21.378</c:v>
                </c:pt>
                <c:pt idx="6212">
                  <c:v>21.378</c:v>
                </c:pt>
                <c:pt idx="6213">
                  <c:v>21.282</c:v>
                </c:pt>
                <c:pt idx="6214">
                  <c:v>21.187000000000001</c:v>
                </c:pt>
                <c:pt idx="6215">
                  <c:v>21.187000000000001</c:v>
                </c:pt>
                <c:pt idx="6216">
                  <c:v>21.091000000000001</c:v>
                </c:pt>
                <c:pt idx="6217">
                  <c:v>21.091000000000001</c:v>
                </c:pt>
                <c:pt idx="6218">
                  <c:v>20.995999999999999</c:v>
                </c:pt>
                <c:pt idx="6219">
                  <c:v>20.995999999999999</c:v>
                </c:pt>
                <c:pt idx="6220">
                  <c:v>20.995999999999999</c:v>
                </c:pt>
                <c:pt idx="6221">
                  <c:v>20.901</c:v>
                </c:pt>
                <c:pt idx="6222">
                  <c:v>20.901</c:v>
                </c:pt>
                <c:pt idx="6223">
                  <c:v>20.805</c:v>
                </c:pt>
                <c:pt idx="6224">
                  <c:v>20.805</c:v>
                </c:pt>
                <c:pt idx="6225">
                  <c:v>20.805</c:v>
                </c:pt>
                <c:pt idx="6226">
                  <c:v>20.805</c:v>
                </c:pt>
                <c:pt idx="6227">
                  <c:v>20.805</c:v>
                </c:pt>
                <c:pt idx="6228">
                  <c:v>20.71</c:v>
                </c:pt>
                <c:pt idx="6229">
                  <c:v>20.71</c:v>
                </c:pt>
                <c:pt idx="6230">
                  <c:v>20.71</c:v>
                </c:pt>
                <c:pt idx="6231">
                  <c:v>20.614999999999998</c:v>
                </c:pt>
                <c:pt idx="6232">
                  <c:v>20.614999999999998</c:v>
                </c:pt>
                <c:pt idx="6233">
                  <c:v>20.614999999999998</c:v>
                </c:pt>
                <c:pt idx="6234">
                  <c:v>20.614999999999998</c:v>
                </c:pt>
                <c:pt idx="6235">
                  <c:v>20.518999999999991</c:v>
                </c:pt>
                <c:pt idx="6236">
                  <c:v>20.518999999999991</c:v>
                </c:pt>
                <c:pt idx="6237">
                  <c:v>20.518999999999991</c:v>
                </c:pt>
                <c:pt idx="6238">
                  <c:v>20.423999999999999</c:v>
                </c:pt>
                <c:pt idx="6239">
                  <c:v>20.423999999999999</c:v>
                </c:pt>
                <c:pt idx="6240">
                  <c:v>20.329000000000001</c:v>
                </c:pt>
                <c:pt idx="6241">
                  <c:v>20.329000000000001</c:v>
                </c:pt>
                <c:pt idx="6242">
                  <c:v>20.329000000000001</c:v>
                </c:pt>
                <c:pt idx="6243">
                  <c:v>20.329000000000001</c:v>
                </c:pt>
                <c:pt idx="6244">
                  <c:v>20.234000000000009</c:v>
                </c:pt>
                <c:pt idx="6245">
                  <c:v>20.138000000000009</c:v>
                </c:pt>
                <c:pt idx="6246">
                  <c:v>20.138000000000009</c:v>
                </c:pt>
                <c:pt idx="6247">
                  <c:v>20.042999999999999</c:v>
                </c:pt>
                <c:pt idx="6248">
                  <c:v>20.042999999999999</c:v>
                </c:pt>
                <c:pt idx="6249">
                  <c:v>20.042999999999999</c:v>
                </c:pt>
                <c:pt idx="6250">
                  <c:v>19.948</c:v>
                </c:pt>
                <c:pt idx="6251">
                  <c:v>19.948</c:v>
                </c:pt>
                <c:pt idx="6252">
                  <c:v>19.948</c:v>
                </c:pt>
                <c:pt idx="6253">
                  <c:v>19.948</c:v>
                </c:pt>
                <c:pt idx="6254">
                  <c:v>19.948</c:v>
                </c:pt>
                <c:pt idx="6255">
                  <c:v>19.948</c:v>
                </c:pt>
                <c:pt idx="6256">
                  <c:v>19.948</c:v>
                </c:pt>
                <c:pt idx="6257">
                  <c:v>19.948</c:v>
                </c:pt>
                <c:pt idx="6258">
                  <c:v>19.948</c:v>
                </c:pt>
                <c:pt idx="6259">
                  <c:v>19.853000000000009</c:v>
                </c:pt>
                <c:pt idx="6260">
                  <c:v>19.948</c:v>
                </c:pt>
                <c:pt idx="6261">
                  <c:v>19.853000000000009</c:v>
                </c:pt>
                <c:pt idx="6262">
                  <c:v>19.853000000000009</c:v>
                </c:pt>
                <c:pt idx="6263">
                  <c:v>19.853000000000009</c:v>
                </c:pt>
                <c:pt idx="6264">
                  <c:v>19.853000000000009</c:v>
                </c:pt>
                <c:pt idx="6265">
                  <c:v>19.853000000000009</c:v>
                </c:pt>
                <c:pt idx="6266">
                  <c:v>19.853000000000009</c:v>
                </c:pt>
                <c:pt idx="6267">
                  <c:v>19.853000000000009</c:v>
                </c:pt>
                <c:pt idx="6268">
                  <c:v>19.948</c:v>
                </c:pt>
                <c:pt idx="6269">
                  <c:v>19.948</c:v>
                </c:pt>
                <c:pt idx="6270">
                  <c:v>20.042999999999999</c:v>
                </c:pt>
                <c:pt idx="6271">
                  <c:v>20.138000000000009</c:v>
                </c:pt>
                <c:pt idx="6272">
                  <c:v>20.329000000000001</c:v>
                </c:pt>
                <c:pt idx="6273">
                  <c:v>20.329000000000001</c:v>
                </c:pt>
                <c:pt idx="6274">
                  <c:v>20.329000000000001</c:v>
                </c:pt>
                <c:pt idx="6275">
                  <c:v>20.329000000000001</c:v>
                </c:pt>
                <c:pt idx="6276">
                  <c:v>20.423999999999999</c:v>
                </c:pt>
                <c:pt idx="6277">
                  <c:v>20.518999999999991</c:v>
                </c:pt>
                <c:pt idx="6278">
                  <c:v>20.995999999999999</c:v>
                </c:pt>
                <c:pt idx="6279">
                  <c:v>21.091000000000001</c:v>
                </c:pt>
                <c:pt idx="6280">
                  <c:v>20.901</c:v>
                </c:pt>
                <c:pt idx="6281">
                  <c:v>20.901</c:v>
                </c:pt>
                <c:pt idx="6282">
                  <c:v>20.901</c:v>
                </c:pt>
                <c:pt idx="6283">
                  <c:v>20.995999999999999</c:v>
                </c:pt>
                <c:pt idx="6284">
                  <c:v>21.091000000000001</c:v>
                </c:pt>
                <c:pt idx="6285">
                  <c:v>21.187000000000001</c:v>
                </c:pt>
                <c:pt idx="6286">
                  <c:v>21.282</c:v>
                </c:pt>
                <c:pt idx="6287">
                  <c:v>21.378</c:v>
                </c:pt>
                <c:pt idx="6288">
                  <c:v>21.568999999999999</c:v>
                </c:pt>
                <c:pt idx="6289">
                  <c:v>22.332999999999991</c:v>
                </c:pt>
                <c:pt idx="6290">
                  <c:v>21.568999999999999</c:v>
                </c:pt>
                <c:pt idx="6291">
                  <c:v>21.855</c:v>
                </c:pt>
                <c:pt idx="6292">
                  <c:v>21.664000000000001</c:v>
                </c:pt>
                <c:pt idx="6293">
                  <c:v>21.568999999999999</c:v>
                </c:pt>
                <c:pt idx="6294">
                  <c:v>21.855</c:v>
                </c:pt>
                <c:pt idx="6295">
                  <c:v>21.951000000000001</c:v>
                </c:pt>
                <c:pt idx="6296">
                  <c:v>21.76</c:v>
                </c:pt>
                <c:pt idx="6297">
                  <c:v>21.855</c:v>
                </c:pt>
                <c:pt idx="6298">
                  <c:v>21.855</c:v>
                </c:pt>
                <c:pt idx="6299">
                  <c:v>22.141999999999999</c:v>
                </c:pt>
                <c:pt idx="6300">
                  <c:v>21.855</c:v>
                </c:pt>
                <c:pt idx="6301">
                  <c:v>21.76</c:v>
                </c:pt>
                <c:pt idx="6302">
                  <c:v>21.664000000000001</c:v>
                </c:pt>
                <c:pt idx="6303">
                  <c:v>21.664000000000001</c:v>
                </c:pt>
                <c:pt idx="6304">
                  <c:v>21.664000000000001</c:v>
                </c:pt>
                <c:pt idx="6305">
                  <c:v>21.664000000000001</c:v>
                </c:pt>
                <c:pt idx="6306">
                  <c:v>21.568999999999999</c:v>
                </c:pt>
                <c:pt idx="6307">
                  <c:v>21.568999999999999</c:v>
                </c:pt>
                <c:pt idx="6308">
                  <c:v>21.378</c:v>
                </c:pt>
                <c:pt idx="6309">
                  <c:v>21.378</c:v>
                </c:pt>
                <c:pt idx="6310">
                  <c:v>21.378</c:v>
                </c:pt>
                <c:pt idx="6311">
                  <c:v>21.282</c:v>
                </c:pt>
                <c:pt idx="6312">
                  <c:v>21.187000000000001</c:v>
                </c:pt>
                <c:pt idx="6313">
                  <c:v>21.091000000000001</c:v>
                </c:pt>
                <c:pt idx="6314">
                  <c:v>21.091000000000001</c:v>
                </c:pt>
                <c:pt idx="6315">
                  <c:v>21.091000000000001</c:v>
                </c:pt>
                <c:pt idx="6316">
                  <c:v>20.995999999999999</c:v>
                </c:pt>
                <c:pt idx="6317">
                  <c:v>20.995999999999999</c:v>
                </c:pt>
                <c:pt idx="6318">
                  <c:v>20.901</c:v>
                </c:pt>
                <c:pt idx="6319">
                  <c:v>20.901</c:v>
                </c:pt>
                <c:pt idx="6320">
                  <c:v>20.901</c:v>
                </c:pt>
                <c:pt idx="6321">
                  <c:v>20.901</c:v>
                </c:pt>
                <c:pt idx="6322">
                  <c:v>20.805</c:v>
                </c:pt>
                <c:pt idx="6323">
                  <c:v>20.805</c:v>
                </c:pt>
                <c:pt idx="6324">
                  <c:v>20.805</c:v>
                </c:pt>
                <c:pt idx="6325">
                  <c:v>20.71</c:v>
                </c:pt>
                <c:pt idx="6326">
                  <c:v>20.71</c:v>
                </c:pt>
                <c:pt idx="6327">
                  <c:v>20.71</c:v>
                </c:pt>
                <c:pt idx="6328">
                  <c:v>20.614999999999998</c:v>
                </c:pt>
                <c:pt idx="6329">
                  <c:v>20.518999999999991</c:v>
                </c:pt>
                <c:pt idx="6330">
                  <c:v>20.518999999999991</c:v>
                </c:pt>
                <c:pt idx="6331">
                  <c:v>20.423999999999999</c:v>
                </c:pt>
                <c:pt idx="6332">
                  <c:v>20.423999999999999</c:v>
                </c:pt>
                <c:pt idx="6333">
                  <c:v>20.329000000000001</c:v>
                </c:pt>
                <c:pt idx="6334">
                  <c:v>20.234000000000009</c:v>
                </c:pt>
                <c:pt idx="6335">
                  <c:v>20.138000000000009</c:v>
                </c:pt>
                <c:pt idx="6336">
                  <c:v>20.138000000000009</c:v>
                </c:pt>
                <c:pt idx="6337">
                  <c:v>20.138000000000009</c:v>
                </c:pt>
                <c:pt idx="6338">
                  <c:v>20.042999999999999</c:v>
                </c:pt>
                <c:pt idx="6339">
                  <c:v>20.042999999999999</c:v>
                </c:pt>
                <c:pt idx="6340">
                  <c:v>20.042999999999999</c:v>
                </c:pt>
                <c:pt idx="6341">
                  <c:v>20.042999999999999</c:v>
                </c:pt>
                <c:pt idx="6342">
                  <c:v>20.042999999999999</c:v>
                </c:pt>
                <c:pt idx="6343">
                  <c:v>19.948</c:v>
                </c:pt>
                <c:pt idx="6344">
                  <c:v>19.948</c:v>
                </c:pt>
                <c:pt idx="6345">
                  <c:v>19.853000000000009</c:v>
                </c:pt>
                <c:pt idx="6346">
                  <c:v>19.853000000000009</c:v>
                </c:pt>
                <c:pt idx="6347">
                  <c:v>19.948</c:v>
                </c:pt>
                <c:pt idx="6348">
                  <c:v>19.853000000000009</c:v>
                </c:pt>
                <c:pt idx="6349">
                  <c:v>19.853000000000009</c:v>
                </c:pt>
                <c:pt idx="6350">
                  <c:v>19.853000000000009</c:v>
                </c:pt>
                <c:pt idx="6351">
                  <c:v>19.853000000000009</c:v>
                </c:pt>
                <c:pt idx="6352">
                  <c:v>19.853000000000009</c:v>
                </c:pt>
                <c:pt idx="6353">
                  <c:v>19.853000000000009</c:v>
                </c:pt>
                <c:pt idx="6354">
                  <c:v>19.853000000000009</c:v>
                </c:pt>
                <c:pt idx="6355">
                  <c:v>19.757999999999999</c:v>
                </c:pt>
                <c:pt idx="6356">
                  <c:v>19.661999999999999</c:v>
                </c:pt>
                <c:pt idx="6357">
                  <c:v>19.757999999999999</c:v>
                </c:pt>
                <c:pt idx="6358">
                  <c:v>19.661999999999999</c:v>
                </c:pt>
                <c:pt idx="6359">
                  <c:v>19.661999999999999</c:v>
                </c:pt>
                <c:pt idx="6360">
                  <c:v>19.661999999999999</c:v>
                </c:pt>
                <c:pt idx="6361">
                  <c:v>19.757999999999999</c:v>
                </c:pt>
                <c:pt idx="6362">
                  <c:v>19.853000000000009</c:v>
                </c:pt>
                <c:pt idx="6363">
                  <c:v>19.853000000000009</c:v>
                </c:pt>
                <c:pt idx="6364">
                  <c:v>19.853000000000009</c:v>
                </c:pt>
                <c:pt idx="6365">
                  <c:v>19.948</c:v>
                </c:pt>
                <c:pt idx="6366">
                  <c:v>19.948</c:v>
                </c:pt>
                <c:pt idx="6367">
                  <c:v>19.948</c:v>
                </c:pt>
                <c:pt idx="6368">
                  <c:v>20.138000000000009</c:v>
                </c:pt>
                <c:pt idx="6369">
                  <c:v>20.042999999999999</c:v>
                </c:pt>
                <c:pt idx="6370">
                  <c:v>20.329000000000001</c:v>
                </c:pt>
                <c:pt idx="6371">
                  <c:v>20.234000000000009</c:v>
                </c:pt>
                <c:pt idx="6372">
                  <c:v>20.234000000000009</c:v>
                </c:pt>
                <c:pt idx="6373">
                  <c:v>20.423999999999999</c:v>
                </c:pt>
                <c:pt idx="6374">
                  <c:v>20.614999999999998</c:v>
                </c:pt>
                <c:pt idx="6375">
                  <c:v>20.901</c:v>
                </c:pt>
                <c:pt idx="6376">
                  <c:v>20.901</c:v>
                </c:pt>
                <c:pt idx="6377">
                  <c:v>20.901</c:v>
                </c:pt>
                <c:pt idx="6378">
                  <c:v>20.901</c:v>
                </c:pt>
                <c:pt idx="6379">
                  <c:v>20.995999999999999</c:v>
                </c:pt>
                <c:pt idx="6380">
                  <c:v>20.995999999999999</c:v>
                </c:pt>
                <c:pt idx="6381">
                  <c:v>21.091000000000001</c:v>
                </c:pt>
                <c:pt idx="6382">
                  <c:v>21.187000000000001</c:v>
                </c:pt>
                <c:pt idx="6383">
                  <c:v>21.282</c:v>
                </c:pt>
                <c:pt idx="6384">
                  <c:v>21.378</c:v>
                </c:pt>
                <c:pt idx="6385">
                  <c:v>21.282</c:v>
                </c:pt>
                <c:pt idx="6386">
                  <c:v>21.187000000000001</c:v>
                </c:pt>
                <c:pt idx="6387">
                  <c:v>21.187000000000001</c:v>
                </c:pt>
                <c:pt idx="6388">
                  <c:v>21.091000000000001</c:v>
                </c:pt>
                <c:pt idx="6389">
                  <c:v>21.091000000000001</c:v>
                </c:pt>
                <c:pt idx="6390">
                  <c:v>20.995999999999999</c:v>
                </c:pt>
                <c:pt idx="6391">
                  <c:v>20.995999999999999</c:v>
                </c:pt>
                <c:pt idx="6392">
                  <c:v>20.995999999999999</c:v>
                </c:pt>
                <c:pt idx="6393">
                  <c:v>20.995999999999999</c:v>
                </c:pt>
                <c:pt idx="6394">
                  <c:v>20.995999999999999</c:v>
                </c:pt>
                <c:pt idx="6395">
                  <c:v>20.995999999999999</c:v>
                </c:pt>
                <c:pt idx="6396">
                  <c:v>20.995999999999999</c:v>
                </c:pt>
                <c:pt idx="6397">
                  <c:v>21.091000000000001</c:v>
                </c:pt>
                <c:pt idx="6398">
                  <c:v>21.187000000000001</c:v>
                </c:pt>
                <c:pt idx="6399">
                  <c:v>20.901</c:v>
                </c:pt>
                <c:pt idx="6400">
                  <c:v>20.995999999999999</c:v>
                </c:pt>
                <c:pt idx="6401">
                  <c:v>20.901</c:v>
                </c:pt>
                <c:pt idx="6402">
                  <c:v>20.901</c:v>
                </c:pt>
                <c:pt idx="6403">
                  <c:v>20.901</c:v>
                </c:pt>
                <c:pt idx="6404">
                  <c:v>20.901</c:v>
                </c:pt>
                <c:pt idx="6405">
                  <c:v>20.901</c:v>
                </c:pt>
                <c:pt idx="6406">
                  <c:v>20.901</c:v>
                </c:pt>
                <c:pt idx="6407">
                  <c:v>20.805</c:v>
                </c:pt>
                <c:pt idx="6408">
                  <c:v>20.805</c:v>
                </c:pt>
                <c:pt idx="6409">
                  <c:v>20.805</c:v>
                </c:pt>
                <c:pt idx="6410">
                  <c:v>20.805</c:v>
                </c:pt>
                <c:pt idx="6411">
                  <c:v>20.71</c:v>
                </c:pt>
                <c:pt idx="6412">
                  <c:v>20.71</c:v>
                </c:pt>
                <c:pt idx="6413">
                  <c:v>20.71</c:v>
                </c:pt>
                <c:pt idx="6414">
                  <c:v>20.614999999999998</c:v>
                </c:pt>
                <c:pt idx="6415">
                  <c:v>20.614999999999998</c:v>
                </c:pt>
                <c:pt idx="6416">
                  <c:v>20.614999999999998</c:v>
                </c:pt>
                <c:pt idx="6417">
                  <c:v>20.518999999999991</c:v>
                </c:pt>
                <c:pt idx="6418">
                  <c:v>20.518999999999991</c:v>
                </c:pt>
                <c:pt idx="6419">
                  <c:v>20.423999999999999</c:v>
                </c:pt>
                <c:pt idx="6420">
                  <c:v>20.423999999999999</c:v>
                </c:pt>
                <c:pt idx="6421">
                  <c:v>20.423999999999999</c:v>
                </c:pt>
                <c:pt idx="6422">
                  <c:v>20.423999999999999</c:v>
                </c:pt>
                <c:pt idx="6423">
                  <c:v>20.423999999999999</c:v>
                </c:pt>
                <c:pt idx="6424">
                  <c:v>20.423999999999999</c:v>
                </c:pt>
                <c:pt idx="6425">
                  <c:v>20.329000000000001</c:v>
                </c:pt>
                <c:pt idx="6426">
                  <c:v>20.329000000000001</c:v>
                </c:pt>
                <c:pt idx="6427">
                  <c:v>20.234000000000009</c:v>
                </c:pt>
                <c:pt idx="6428">
                  <c:v>20.234000000000009</c:v>
                </c:pt>
                <c:pt idx="6429">
                  <c:v>20.138000000000009</c:v>
                </c:pt>
                <c:pt idx="6430">
                  <c:v>20.138000000000009</c:v>
                </c:pt>
                <c:pt idx="6431">
                  <c:v>20.042999999999999</c:v>
                </c:pt>
              </c:numCache>
            </c:numRef>
          </c:yVal>
          <c:smooth val="0"/>
          <c:extLst xmlns:c16r2="http://schemas.microsoft.com/office/drawing/2015/06/chart">
            <c:ext xmlns:c16="http://schemas.microsoft.com/office/drawing/2014/chart" uri="{C3380CC4-5D6E-409C-BE32-E72D297353CC}">
              <c16:uniqueId val="{00000000-ECB3-4E12-A1F3-7052C38CC8C1}"/>
            </c:ext>
          </c:extLst>
        </c:ser>
        <c:ser>
          <c:idx val="1"/>
          <c:order val="1"/>
          <c:tx>
            <c:v>Round 1 Hyp</c:v>
          </c:tx>
          <c:spPr>
            <a:ln w="19050" cap="rnd">
              <a:solidFill>
                <a:schemeClr val="accent2"/>
              </a:solidFill>
              <a:round/>
            </a:ln>
            <a:effectLst/>
          </c:spPr>
          <c:marker>
            <c:symbol val="none"/>
          </c:marker>
          <c:xVal>
            <c:numRef>
              <c:f>Sheet1!$F$3:$F$3218</c:f>
              <c:numCache>
                <c:formatCode>0.00</c:formatCode>
                <c:ptCount val="3216"/>
                <c:pt idx="0">
                  <c:v>5.5527777803945398E-3</c:v>
                </c:pt>
                <c:pt idx="1">
                  <c:v>2.6386053243186301E-2</c:v>
                </c:pt>
                <c:pt idx="2">
                  <c:v>4.72193287059781E-2</c:v>
                </c:pt>
                <c:pt idx="3">
                  <c:v>6.8052604168769903E-2</c:v>
                </c:pt>
                <c:pt idx="4">
                  <c:v>8.8885879631561707E-2</c:v>
                </c:pt>
                <c:pt idx="5">
                  <c:v>0.109719155094353</c:v>
                </c:pt>
                <c:pt idx="6">
                  <c:v>0.13055243055714499</c:v>
                </c:pt>
                <c:pt idx="7">
                  <c:v>0.15138570601993701</c:v>
                </c:pt>
                <c:pt idx="8">
                  <c:v>0.17221898148272899</c:v>
                </c:pt>
                <c:pt idx="9">
                  <c:v>0.193052256945521</c:v>
                </c:pt>
                <c:pt idx="10">
                  <c:v>0.21388553240831201</c:v>
                </c:pt>
                <c:pt idx="11">
                  <c:v>0.234718807871104</c:v>
                </c:pt>
                <c:pt idx="12">
                  <c:v>0.25555208333389601</c:v>
                </c:pt>
                <c:pt idx="13">
                  <c:v>0.27638535879668802</c:v>
                </c:pt>
                <c:pt idx="14">
                  <c:v>0.29721863425947997</c:v>
                </c:pt>
                <c:pt idx="15">
                  <c:v>0.31805190972227099</c:v>
                </c:pt>
                <c:pt idx="16">
                  <c:v>0.338885185185063</c:v>
                </c:pt>
                <c:pt idx="17">
                  <c:v>0.35971846064785501</c:v>
                </c:pt>
                <c:pt idx="18">
                  <c:v>0.38055173611064702</c:v>
                </c:pt>
                <c:pt idx="19">
                  <c:v>0.40138501157343898</c:v>
                </c:pt>
                <c:pt idx="20">
                  <c:v>0.42221828703622999</c:v>
                </c:pt>
                <c:pt idx="21">
                  <c:v>0.443051562499022</c:v>
                </c:pt>
                <c:pt idx="22">
                  <c:v>0.46388483796181401</c:v>
                </c:pt>
                <c:pt idx="23">
                  <c:v>0.48471811342460602</c:v>
                </c:pt>
                <c:pt idx="24">
                  <c:v>0.50555138888739704</c:v>
                </c:pt>
                <c:pt idx="25">
                  <c:v>0.52638466435018905</c:v>
                </c:pt>
                <c:pt idx="26">
                  <c:v>0.54721793981298095</c:v>
                </c:pt>
                <c:pt idx="27">
                  <c:v>0.56805121527577296</c:v>
                </c:pt>
                <c:pt idx="28">
                  <c:v>0.58888449073856497</c:v>
                </c:pt>
                <c:pt idx="29">
                  <c:v>0.60971776620135598</c:v>
                </c:pt>
                <c:pt idx="30">
                  <c:v>0.63055104166414799</c:v>
                </c:pt>
                <c:pt idx="31">
                  <c:v>0.65138431712694</c:v>
                </c:pt>
                <c:pt idx="32">
                  <c:v>0.67221759258973202</c:v>
                </c:pt>
                <c:pt idx="33">
                  <c:v>0.69305086805252403</c:v>
                </c:pt>
                <c:pt idx="34">
                  <c:v>0.71388414351531504</c:v>
                </c:pt>
                <c:pt idx="35">
                  <c:v>0.73471741897810705</c:v>
                </c:pt>
                <c:pt idx="36">
                  <c:v>0.75555069444089895</c:v>
                </c:pt>
                <c:pt idx="37">
                  <c:v>0.77638396991096603</c:v>
                </c:pt>
                <c:pt idx="38">
                  <c:v>0.79721724537375804</c:v>
                </c:pt>
                <c:pt idx="39">
                  <c:v>0.81805052083655005</c:v>
                </c:pt>
                <c:pt idx="40">
                  <c:v>0.83888379629934196</c:v>
                </c:pt>
                <c:pt idx="41">
                  <c:v>0.85971707176213397</c:v>
                </c:pt>
                <c:pt idx="42">
                  <c:v>0.88055034722492498</c:v>
                </c:pt>
                <c:pt idx="43">
                  <c:v>0.90138362268771699</c:v>
                </c:pt>
                <c:pt idx="44">
                  <c:v>0.922216898150509</c:v>
                </c:pt>
                <c:pt idx="45">
                  <c:v>0.94305017361330101</c:v>
                </c:pt>
                <c:pt idx="46">
                  <c:v>0.96388344907609302</c:v>
                </c:pt>
                <c:pt idx="47">
                  <c:v>0.98471672453888504</c:v>
                </c:pt>
                <c:pt idx="48">
                  <c:v>1.0055500000016759</c:v>
                </c:pt>
                <c:pt idx="49">
                  <c:v>1.0263832754644679</c:v>
                </c:pt>
                <c:pt idx="50">
                  <c:v>1.04721655092726</c:v>
                </c:pt>
                <c:pt idx="51">
                  <c:v>1.068049826390052</c:v>
                </c:pt>
                <c:pt idx="52">
                  <c:v>1.0888888888875961</c:v>
                </c:pt>
                <c:pt idx="53">
                  <c:v>1.109727835646481</c:v>
                </c:pt>
                <c:pt idx="54">
                  <c:v>1.1305555555591129</c:v>
                </c:pt>
                <c:pt idx="55">
                  <c:v>1.1513888888875961</c:v>
                </c:pt>
                <c:pt idx="56">
                  <c:v>1.172222106484696</c:v>
                </c:pt>
                <c:pt idx="57">
                  <c:v>1.1930553819474881</c:v>
                </c:pt>
                <c:pt idx="58">
                  <c:v>1.2138886574102801</c:v>
                </c:pt>
                <c:pt idx="59">
                  <c:v>1.2347219328730721</c:v>
                </c:pt>
                <c:pt idx="60">
                  <c:v>1.255555208335863</c:v>
                </c:pt>
                <c:pt idx="61">
                  <c:v>1.276388483798655</c:v>
                </c:pt>
                <c:pt idx="62">
                  <c:v>1.297221759261447</c:v>
                </c:pt>
                <c:pt idx="63">
                  <c:v>1.3180550347242399</c:v>
                </c:pt>
                <c:pt idx="64">
                  <c:v>1.338888310187031</c:v>
                </c:pt>
                <c:pt idx="65">
                  <c:v>1.3597215856498219</c:v>
                </c:pt>
                <c:pt idx="66">
                  <c:v>1.3805548611126139</c:v>
                </c:pt>
                <c:pt idx="67">
                  <c:v>1.401388136575406</c:v>
                </c:pt>
                <c:pt idx="68">
                  <c:v>1.4222214120381971</c:v>
                </c:pt>
                <c:pt idx="69">
                  <c:v>1.4430546875009891</c:v>
                </c:pt>
                <c:pt idx="70">
                  <c:v>1.463887962963782</c:v>
                </c:pt>
                <c:pt idx="71">
                  <c:v>1.4847212384265731</c:v>
                </c:pt>
                <c:pt idx="72">
                  <c:v>1.5055545138893649</c:v>
                </c:pt>
                <c:pt idx="73">
                  <c:v>1.5263877893521569</c:v>
                </c:pt>
                <c:pt idx="74">
                  <c:v>1.547221064814948</c:v>
                </c:pt>
                <c:pt idx="75">
                  <c:v>1.56805434027774</c:v>
                </c:pt>
                <c:pt idx="76">
                  <c:v>1.5888876157405321</c:v>
                </c:pt>
                <c:pt idx="77">
                  <c:v>1.6097208912033241</c:v>
                </c:pt>
                <c:pt idx="78">
                  <c:v>1.6305541666661161</c:v>
                </c:pt>
                <c:pt idx="79">
                  <c:v>1.6513874421289081</c:v>
                </c:pt>
                <c:pt idx="80">
                  <c:v>1.672220717591699</c:v>
                </c:pt>
                <c:pt idx="81">
                  <c:v>1.693053993054491</c:v>
                </c:pt>
                <c:pt idx="82">
                  <c:v>1.713887268517283</c:v>
                </c:pt>
                <c:pt idx="83">
                  <c:v>1.734720543980075</c:v>
                </c:pt>
                <c:pt idx="84">
                  <c:v>1.755553819442867</c:v>
                </c:pt>
                <c:pt idx="85">
                  <c:v>1.7763870949056599</c:v>
                </c:pt>
                <c:pt idx="86">
                  <c:v>1.7972203703684499</c:v>
                </c:pt>
                <c:pt idx="87">
                  <c:v>1.818053645831242</c:v>
                </c:pt>
                <c:pt idx="88">
                  <c:v>1.838886921294034</c:v>
                </c:pt>
                <c:pt idx="89">
                  <c:v>1.8597201967568251</c:v>
                </c:pt>
                <c:pt idx="90">
                  <c:v>1.8805534722196171</c:v>
                </c:pt>
                <c:pt idx="91">
                  <c:v>1.901386747682408</c:v>
                </c:pt>
                <c:pt idx="92">
                  <c:v>1.9222200231452009</c:v>
                </c:pt>
                <c:pt idx="93">
                  <c:v>1.943053298607992</c:v>
                </c:pt>
                <c:pt idx="94">
                  <c:v>1.963886574070784</c:v>
                </c:pt>
                <c:pt idx="95">
                  <c:v>1.9847198495335761</c:v>
                </c:pt>
                <c:pt idx="96">
                  <c:v>2.0055531249963678</c:v>
                </c:pt>
                <c:pt idx="97">
                  <c:v>2.026386400466436</c:v>
                </c:pt>
                <c:pt idx="98">
                  <c:v>2.0472196759292269</c:v>
                </c:pt>
                <c:pt idx="99">
                  <c:v>2.0680529513920201</c:v>
                </c:pt>
                <c:pt idx="100">
                  <c:v>2.088886226854811</c:v>
                </c:pt>
                <c:pt idx="101">
                  <c:v>2.1097195023176032</c:v>
                </c:pt>
                <c:pt idx="102">
                  <c:v>2.130552777780395</c:v>
                </c:pt>
                <c:pt idx="103">
                  <c:v>2.1513860532431859</c:v>
                </c:pt>
                <c:pt idx="104">
                  <c:v>2.1722193287059781</c:v>
                </c:pt>
                <c:pt idx="105">
                  <c:v>2.1930526041687681</c:v>
                </c:pt>
                <c:pt idx="106">
                  <c:v>2.2138858796315621</c:v>
                </c:pt>
                <c:pt idx="107">
                  <c:v>2.2347191550943539</c:v>
                </c:pt>
                <c:pt idx="108">
                  <c:v>2.2555524305571439</c:v>
                </c:pt>
                <c:pt idx="109">
                  <c:v>2.2763857060199371</c:v>
                </c:pt>
                <c:pt idx="110">
                  <c:v>2.2972189814827289</c:v>
                </c:pt>
                <c:pt idx="111">
                  <c:v>2.3180522569455202</c:v>
                </c:pt>
                <c:pt idx="112">
                  <c:v>2.338885532408312</c:v>
                </c:pt>
                <c:pt idx="113">
                  <c:v>2.3597188078711042</c:v>
                </c:pt>
                <c:pt idx="114">
                  <c:v>2.380552083333896</c:v>
                </c:pt>
                <c:pt idx="115">
                  <c:v>2.4013853587966878</c:v>
                </c:pt>
                <c:pt idx="116">
                  <c:v>2.4222186342594778</c:v>
                </c:pt>
                <c:pt idx="117">
                  <c:v>2.4430519097222709</c:v>
                </c:pt>
                <c:pt idx="118">
                  <c:v>2.4638851851850632</c:v>
                </c:pt>
                <c:pt idx="119">
                  <c:v>2.484718460647855</c:v>
                </c:pt>
                <c:pt idx="120">
                  <c:v>2.5055517361106472</c:v>
                </c:pt>
                <c:pt idx="121">
                  <c:v>2.526385011573439</c:v>
                </c:pt>
                <c:pt idx="122">
                  <c:v>2.5472182870362312</c:v>
                </c:pt>
                <c:pt idx="123">
                  <c:v>2.5680515624990221</c:v>
                </c:pt>
                <c:pt idx="124">
                  <c:v>2.5888848379618139</c:v>
                </c:pt>
                <c:pt idx="125">
                  <c:v>2.6097181134246039</c:v>
                </c:pt>
                <c:pt idx="126">
                  <c:v>2.6305513888873979</c:v>
                </c:pt>
                <c:pt idx="127">
                  <c:v>2.6513846643501888</c:v>
                </c:pt>
                <c:pt idx="128">
                  <c:v>2.6722179398129811</c:v>
                </c:pt>
                <c:pt idx="129">
                  <c:v>2.6930512152757728</c:v>
                </c:pt>
                <c:pt idx="130">
                  <c:v>2.7138844907385642</c:v>
                </c:pt>
                <c:pt idx="131">
                  <c:v>2.7347177662013582</c:v>
                </c:pt>
                <c:pt idx="132">
                  <c:v>2.7555510416641482</c:v>
                </c:pt>
                <c:pt idx="133">
                  <c:v>2.77638431712694</c:v>
                </c:pt>
                <c:pt idx="134">
                  <c:v>2.7972175925897318</c:v>
                </c:pt>
                <c:pt idx="135">
                  <c:v>2.818050868052524</c:v>
                </c:pt>
                <c:pt idx="136">
                  <c:v>2.8388841435153149</c:v>
                </c:pt>
                <c:pt idx="137">
                  <c:v>2.8597174189781072</c:v>
                </c:pt>
                <c:pt idx="138">
                  <c:v>2.8805506944408981</c:v>
                </c:pt>
                <c:pt idx="139">
                  <c:v>2.9013839699109671</c:v>
                </c:pt>
                <c:pt idx="140">
                  <c:v>2.922217245373758</c:v>
                </c:pt>
                <c:pt idx="141">
                  <c:v>2.9430505208365512</c:v>
                </c:pt>
                <c:pt idx="142">
                  <c:v>2.9638837962993421</c:v>
                </c:pt>
                <c:pt idx="143">
                  <c:v>2.9847170717621339</c:v>
                </c:pt>
                <c:pt idx="144">
                  <c:v>3.0055503472249261</c:v>
                </c:pt>
                <c:pt idx="145">
                  <c:v>3.0263836226877179</c:v>
                </c:pt>
                <c:pt idx="146">
                  <c:v>3.0472168981505101</c:v>
                </c:pt>
                <c:pt idx="147">
                  <c:v>3.068050173613301</c:v>
                </c:pt>
                <c:pt idx="148">
                  <c:v>3.0888834490760928</c:v>
                </c:pt>
                <c:pt idx="149">
                  <c:v>3.1097167245388841</c:v>
                </c:pt>
                <c:pt idx="150">
                  <c:v>3.1305500000016768</c:v>
                </c:pt>
                <c:pt idx="151">
                  <c:v>3.1513832754644682</c:v>
                </c:pt>
                <c:pt idx="152">
                  <c:v>3.17221655092726</c:v>
                </c:pt>
                <c:pt idx="153">
                  <c:v>3.1930498263900522</c:v>
                </c:pt>
                <c:pt idx="154">
                  <c:v>3.2138888888875958</c:v>
                </c:pt>
                <c:pt idx="155">
                  <c:v>3.234722222223354</c:v>
                </c:pt>
                <c:pt idx="156">
                  <c:v>3.2555556134248018</c:v>
                </c:pt>
                <c:pt idx="157">
                  <c:v>3.2763890046262532</c:v>
                </c:pt>
                <c:pt idx="158">
                  <c:v>3.29722239583498</c:v>
                </c:pt>
                <c:pt idx="159">
                  <c:v>3.3180557870364278</c:v>
                </c:pt>
                <c:pt idx="160">
                  <c:v>3.3388891782378778</c:v>
                </c:pt>
                <c:pt idx="161">
                  <c:v>3.3597225694466029</c:v>
                </c:pt>
                <c:pt idx="162">
                  <c:v>3.3805559606480529</c:v>
                </c:pt>
                <c:pt idx="163">
                  <c:v>3.4013893518495029</c:v>
                </c:pt>
                <c:pt idx="164">
                  <c:v>3.422222743058227</c:v>
                </c:pt>
                <c:pt idx="165">
                  <c:v>3.443056134259677</c:v>
                </c:pt>
                <c:pt idx="166">
                  <c:v>3.4638895254611271</c:v>
                </c:pt>
                <c:pt idx="167">
                  <c:v>3.484722916669853</c:v>
                </c:pt>
                <c:pt idx="168">
                  <c:v>3.5055563078713021</c:v>
                </c:pt>
                <c:pt idx="169">
                  <c:v>3.5263896990727521</c:v>
                </c:pt>
                <c:pt idx="170">
                  <c:v>3.5472230902742008</c:v>
                </c:pt>
                <c:pt idx="171">
                  <c:v>3.5680564814829272</c:v>
                </c:pt>
                <c:pt idx="172">
                  <c:v>3.5888898726843772</c:v>
                </c:pt>
                <c:pt idx="173">
                  <c:v>3.6097232638858259</c:v>
                </c:pt>
                <c:pt idx="174">
                  <c:v>3.6305566550945509</c:v>
                </c:pt>
                <c:pt idx="175">
                  <c:v>3.6513900462960009</c:v>
                </c:pt>
                <c:pt idx="176">
                  <c:v>3.6722234374974501</c:v>
                </c:pt>
                <c:pt idx="177">
                  <c:v>3.693056828706176</c:v>
                </c:pt>
                <c:pt idx="178">
                  <c:v>3.713890219907626</c:v>
                </c:pt>
                <c:pt idx="179">
                  <c:v>3.7347236111090751</c:v>
                </c:pt>
                <c:pt idx="180">
                  <c:v>3.7555570023178011</c:v>
                </c:pt>
                <c:pt idx="181">
                  <c:v>3.7763903935192502</c:v>
                </c:pt>
                <c:pt idx="182">
                  <c:v>3.7972237847207002</c:v>
                </c:pt>
                <c:pt idx="183">
                  <c:v>3.818057175929424</c:v>
                </c:pt>
                <c:pt idx="184">
                  <c:v>3.8388905671308748</c:v>
                </c:pt>
                <c:pt idx="185">
                  <c:v>3.8597239583323248</c:v>
                </c:pt>
                <c:pt idx="186">
                  <c:v>3.880557349533774</c:v>
                </c:pt>
                <c:pt idx="187">
                  <c:v>3.9013907407424999</c:v>
                </c:pt>
                <c:pt idx="188">
                  <c:v>3.922224131943949</c:v>
                </c:pt>
                <c:pt idx="189">
                  <c:v>3.9430575231453999</c:v>
                </c:pt>
                <c:pt idx="190">
                  <c:v>3.9638909143541241</c:v>
                </c:pt>
                <c:pt idx="191">
                  <c:v>3.9847243055555741</c:v>
                </c:pt>
                <c:pt idx="192">
                  <c:v>4.0055576967570206</c:v>
                </c:pt>
                <c:pt idx="193">
                  <c:v>4.0263910879657487</c:v>
                </c:pt>
                <c:pt idx="194">
                  <c:v>4.0472244791671974</c:v>
                </c:pt>
                <c:pt idx="195">
                  <c:v>4.0680578703686461</c:v>
                </c:pt>
                <c:pt idx="196">
                  <c:v>4.0888912615773716</c:v>
                </c:pt>
                <c:pt idx="197">
                  <c:v>4.1097246527788229</c:v>
                </c:pt>
                <c:pt idx="198">
                  <c:v>4.1305580439802716</c:v>
                </c:pt>
                <c:pt idx="199">
                  <c:v>4.151391435181722</c:v>
                </c:pt>
                <c:pt idx="200">
                  <c:v>4.1722248263904458</c:v>
                </c:pt>
                <c:pt idx="201">
                  <c:v>4.1930582175918953</c:v>
                </c:pt>
                <c:pt idx="202">
                  <c:v>4.2138916087933467</c:v>
                </c:pt>
                <c:pt idx="203">
                  <c:v>4.2347250000020722</c:v>
                </c:pt>
                <c:pt idx="204">
                  <c:v>4.2555583912035218</c:v>
                </c:pt>
                <c:pt idx="205">
                  <c:v>4.276391782404974</c:v>
                </c:pt>
                <c:pt idx="206">
                  <c:v>4.2972251736136968</c:v>
                </c:pt>
                <c:pt idx="207">
                  <c:v>4.3180585648151446</c:v>
                </c:pt>
                <c:pt idx="208">
                  <c:v>4.3388919560165942</c:v>
                </c:pt>
                <c:pt idx="209">
                  <c:v>4.3597253472253206</c:v>
                </c:pt>
                <c:pt idx="210">
                  <c:v>4.3805587384267692</c:v>
                </c:pt>
                <c:pt idx="211">
                  <c:v>4.4013921296282232</c:v>
                </c:pt>
                <c:pt idx="212">
                  <c:v>4.4222255208369443</c:v>
                </c:pt>
                <c:pt idx="213">
                  <c:v>4.4430589120383956</c:v>
                </c:pt>
                <c:pt idx="214">
                  <c:v>4.4638923032398461</c:v>
                </c:pt>
                <c:pt idx="215">
                  <c:v>4.4847256944412948</c:v>
                </c:pt>
                <c:pt idx="216">
                  <c:v>4.5055590856500203</c:v>
                </c:pt>
                <c:pt idx="217">
                  <c:v>4.5263924768514698</c:v>
                </c:pt>
                <c:pt idx="218">
                  <c:v>4.5472258680529167</c:v>
                </c:pt>
                <c:pt idx="219">
                  <c:v>4.5680592592616449</c:v>
                </c:pt>
                <c:pt idx="220">
                  <c:v>4.5888926504630954</c:v>
                </c:pt>
                <c:pt idx="221">
                  <c:v>4.609726041664544</c:v>
                </c:pt>
                <c:pt idx="222">
                  <c:v>4.6305594328732704</c:v>
                </c:pt>
                <c:pt idx="223">
                  <c:v>4.65139282407472</c:v>
                </c:pt>
                <c:pt idx="224">
                  <c:v>4.6722262152761704</c:v>
                </c:pt>
                <c:pt idx="225">
                  <c:v>4.6930596064848942</c:v>
                </c:pt>
                <c:pt idx="226">
                  <c:v>4.7138929976863437</c:v>
                </c:pt>
                <c:pt idx="227">
                  <c:v>4.7347263888877906</c:v>
                </c:pt>
                <c:pt idx="228">
                  <c:v>4.7555597800892428</c:v>
                </c:pt>
                <c:pt idx="229">
                  <c:v>4.7763931712979701</c:v>
                </c:pt>
                <c:pt idx="230">
                  <c:v>4.7972265624994161</c:v>
                </c:pt>
                <c:pt idx="231">
                  <c:v>4.8180599537008684</c:v>
                </c:pt>
                <c:pt idx="232">
                  <c:v>4.838893344909593</c:v>
                </c:pt>
                <c:pt idx="233">
                  <c:v>4.8597267361110417</c:v>
                </c:pt>
                <c:pt idx="234">
                  <c:v>4.8805601273124903</c:v>
                </c:pt>
                <c:pt idx="235">
                  <c:v>4.9013935185212176</c:v>
                </c:pt>
                <c:pt idx="236">
                  <c:v>4.9222269097226681</c:v>
                </c:pt>
                <c:pt idx="237">
                  <c:v>4.9430603009241203</c:v>
                </c:pt>
                <c:pt idx="238">
                  <c:v>4.963893692132844</c:v>
                </c:pt>
                <c:pt idx="239">
                  <c:v>4.9847270833342918</c:v>
                </c:pt>
                <c:pt idx="240">
                  <c:v>5.0055604745357396</c:v>
                </c:pt>
                <c:pt idx="241">
                  <c:v>5.0263938657371909</c:v>
                </c:pt>
                <c:pt idx="242">
                  <c:v>5.0472272569459147</c:v>
                </c:pt>
                <c:pt idx="243">
                  <c:v>5.068060648147366</c:v>
                </c:pt>
                <c:pt idx="244">
                  <c:v>5.0888940393488156</c:v>
                </c:pt>
                <c:pt idx="245">
                  <c:v>5.1097274305575411</c:v>
                </c:pt>
                <c:pt idx="246">
                  <c:v>5.1305608217589889</c:v>
                </c:pt>
                <c:pt idx="247">
                  <c:v>5.1513942129604384</c:v>
                </c:pt>
                <c:pt idx="248">
                  <c:v>5.1722276041691684</c:v>
                </c:pt>
                <c:pt idx="249">
                  <c:v>5.1930609953706171</c:v>
                </c:pt>
                <c:pt idx="250">
                  <c:v>5.2138943865720648</c:v>
                </c:pt>
                <c:pt idx="251">
                  <c:v>5.2347277777807886</c:v>
                </c:pt>
                <c:pt idx="252">
                  <c:v>5.2555611689822399</c:v>
                </c:pt>
                <c:pt idx="253">
                  <c:v>5.2763945601836904</c:v>
                </c:pt>
                <c:pt idx="254">
                  <c:v>5.297227951392415</c:v>
                </c:pt>
                <c:pt idx="255">
                  <c:v>5.3180613425938672</c:v>
                </c:pt>
                <c:pt idx="256">
                  <c:v>5.3388947337953141</c:v>
                </c:pt>
                <c:pt idx="257">
                  <c:v>5.3597281249967654</c:v>
                </c:pt>
                <c:pt idx="258">
                  <c:v>5.3805615162054856</c:v>
                </c:pt>
                <c:pt idx="259">
                  <c:v>5.4013949074069387</c:v>
                </c:pt>
                <c:pt idx="260">
                  <c:v>5.4222282986083883</c:v>
                </c:pt>
                <c:pt idx="261">
                  <c:v>5.4430616898171147</c:v>
                </c:pt>
                <c:pt idx="262">
                  <c:v>5.4638950810185634</c:v>
                </c:pt>
                <c:pt idx="263">
                  <c:v>5.4847284722200129</c:v>
                </c:pt>
                <c:pt idx="264">
                  <c:v>5.5055618634287384</c:v>
                </c:pt>
                <c:pt idx="265">
                  <c:v>5.526395254630188</c:v>
                </c:pt>
                <c:pt idx="266">
                  <c:v>5.5472286458316402</c:v>
                </c:pt>
                <c:pt idx="267">
                  <c:v>5.5680620370403631</c:v>
                </c:pt>
                <c:pt idx="268">
                  <c:v>5.5888954282418126</c:v>
                </c:pt>
                <c:pt idx="269">
                  <c:v>5.6097288194432622</c:v>
                </c:pt>
                <c:pt idx="270">
                  <c:v>5.6305622106447117</c:v>
                </c:pt>
                <c:pt idx="271">
                  <c:v>5.6513956018534373</c:v>
                </c:pt>
                <c:pt idx="272">
                  <c:v>5.6722289930548904</c:v>
                </c:pt>
                <c:pt idx="273">
                  <c:v>5.6930623842563381</c:v>
                </c:pt>
                <c:pt idx="274">
                  <c:v>5.7138957754650619</c:v>
                </c:pt>
                <c:pt idx="275">
                  <c:v>5.7347291666665097</c:v>
                </c:pt>
                <c:pt idx="276">
                  <c:v>5.7555625578679592</c:v>
                </c:pt>
                <c:pt idx="277">
                  <c:v>5.7763959490766874</c:v>
                </c:pt>
                <c:pt idx="278">
                  <c:v>5.7972293402781361</c:v>
                </c:pt>
                <c:pt idx="279">
                  <c:v>5.8180627314795856</c:v>
                </c:pt>
                <c:pt idx="280">
                  <c:v>5.8388961226883112</c:v>
                </c:pt>
                <c:pt idx="281">
                  <c:v>5.8597295138897607</c:v>
                </c:pt>
                <c:pt idx="282">
                  <c:v>5.8805629050912103</c:v>
                </c:pt>
                <c:pt idx="283">
                  <c:v>5.9013962962926598</c:v>
                </c:pt>
                <c:pt idx="284">
                  <c:v>5.9222296875013871</c:v>
                </c:pt>
                <c:pt idx="285">
                  <c:v>5.9430630787028367</c:v>
                </c:pt>
                <c:pt idx="286">
                  <c:v>5.9638964699042853</c:v>
                </c:pt>
                <c:pt idx="287">
                  <c:v>5.98472986111301</c:v>
                </c:pt>
                <c:pt idx="288">
                  <c:v>6.0055632523144604</c:v>
                </c:pt>
                <c:pt idx="289">
                  <c:v>6.0263966435159073</c:v>
                </c:pt>
                <c:pt idx="290">
                  <c:v>6.0472300347246373</c:v>
                </c:pt>
                <c:pt idx="291">
                  <c:v>6.0680634259260851</c:v>
                </c:pt>
                <c:pt idx="292">
                  <c:v>6.0888968171275319</c:v>
                </c:pt>
                <c:pt idx="293">
                  <c:v>6.1097302083362557</c:v>
                </c:pt>
                <c:pt idx="294">
                  <c:v>6.1305635995377088</c:v>
                </c:pt>
                <c:pt idx="295">
                  <c:v>6.1513969907391584</c:v>
                </c:pt>
                <c:pt idx="296">
                  <c:v>6.1722303819478839</c:v>
                </c:pt>
                <c:pt idx="297">
                  <c:v>6.1930637731493334</c:v>
                </c:pt>
                <c:pt idx="298">
                  <c:v>6.213897164350783</c:v>
                </c:pt>
                <c:pt idx="299">
                  <c:v>6.2347305555522334</c:v>
                </c:pt>
                <c:pt idx="300">
                  <c:v>6.2555639467609563</c:v>
                </c:pt>
                <c:pt idx="301">
                  <c:v>6.2763973379624076</c:v>
                </c:pt>
                <c:pt idx="302">
                  <c:v>6.2972307291638572</c:v>
                </c:pt>
                <c:pt idx="303">
                  <c:v>6.3180641203725827</c:v>
                </c:pt>
                <c:pt idx="304">
                  <c:v>6.3388975115740323</c:v>
                </c:pt>
                <c:pt idx="305">
                  <c:v>6.35973090277548</c:v>
                </c:pt>
                <c:pt idx="306">
                  <c:v>6.3805642939842073</c:v>
                </c:pt>
                <c:pt idx="307">
                  <c:v>6.4013976851856604</c:v>
                </c:pt>
                <c:pt idx="308">
                  <c:v>6.4222310763871064</c:v>
                </c:pt>
                <c:pt idx="309">
                  <c:v>6.443064467595832</c:v>
                </c:pt>
                <c:pt idx="310">
                  <c:v>6.4638978587972797</c:v>
                </c:pt>
                <c:pt idx="311">
                  <c:v>6.4847312499987293</c:v>
                </c:pt>
                <c:pt idx="312">
                  <c:v>6.5055646412001806</c:v>
                </c:pt>
                <c:pt idx="313">
                  <c:v>6.5263980324089061</c:v>
                </c:pt>
                <c:pt idx="314">
                  <c:v>6.5472314236103557</c:v>
                </c:pt>
                <c:pt idx="315">
                  <c:v>6.5680648148118053</c:v>
                </c:pt>
                <c:pt idx="316">
                  <c:v>6.5888982060205308</c:v>
                </c:pt>
                <c:pt idx="317">
                  <c:v>6.6097315972219777</c:v>
                </c:pt>
                <c:pt idx="318">
                  <c:v>6.6305649884234299</c:v>
                </c:pt>
                <c:pt idx="319">
                  <c:v>6.6513983796321554</c:v>
                </c:pt>
                <c:pt idx="320">
                  <c:v>6.672231770833605</c:v>
                </c:pt>
                <c:pt idx="321">
                  <c:v>6.6930651620350536</c:v>
                </c:pt>
                <c:pt idx="322">
                  <c:v>6.71389855324378</c:v>
                </c:pt>
                <c:pt idx="323">
                  <c:v>6.7347319444452296</c:v>
                </c:pt>
                <c:pt idx="324">
                  <c:v>6.75556533564668</c:v>
                </c:pt>
                <c:pt idx="325">
                  <c:v>6.7763987268554047</c:v>
                </c:pt>
                <c:pt idx="326">
                  <c:v>6.7972321180568542</c:v>
                </c:pt>
                <c:pt idx="327">
                  <c:v>6.818065509258302</c:v>
                </c:pt>
                <c:pt idx="328">
                  <c:v>6.8388989004597516</c:v>
                </c:pt>
                <c:pt idx="329">
                  <c:v>6.8597322916684789</c:v>
                </c:pt>
                <c:pt idx="330">
                  <c:v>6.8805656828699284</c:v>
                </c:pt>
                <c:pt idx="331">
                  <c:v>6.9013990740713798</c:v>
                </c:pt>
                <c:pt idx="332">
                  <c:v>6.9222324652801053</c:v>
                </c:pt>
                <c:pt idx="333">
                  <c:v>6.9430658564815513</c:v>
                </c:pt>
                <c:pt idx="334">
                  <c:v>6.9638992476830026</c:v>
                </c:pt>
                <c:pt idx="335">
                  <c:v>6.9847326388917281</c:v>
                </c:pt>
                <c:pt idx="336">
                  <c:v>7.0055660300931777</c:v>
                </c:pt>
                <c:pt idx="337">
                  <c:v>7.0263994212946299</c:v>
                </c:pt>
                <c:pt idx="338">
                  <c:v>7.0472328125033528</c:v>
                </c:pt>
                <c:pt idx="339">
                  <c:v>7.0680662037048023</c:v>
                </c:pt>
                <c:pt idx="340">
                  <c:v>7.0888995949062519</c:v>
                </c:pt>
                <c:pt idx="341">
                  <c:v>7.1097329861077014</c:v>
                </c:pt>
                <c:pt idx="342">
                  <c:v>7.1305663773164252</c:v>
                </c:pt>
                <c:pt idx="343">
                  <c:v>7.1513997685178774</c:v>
                </c:pt>
                <c:pt idx="344">
                  <c:v>7.1722331597193261</c:v>
                </c:pt>
                <c:pt idx="345">
                  <c:v>7.1930665509280498</c:v>
                </c:pt>
                <c:pt idx="346">
                  <c:v>7.2138999421295011</c:v>
                </c:pt>
                <c:pt idx="347">
                  <c:v>7.2347333333309507</c:v>
                </c:pt>
                <c:pt idx="348">
                  <c:v>7.2555667245396771</c:v>
                </c:pt>
                <c:pt idx="349">
                  <c:v>7.2764001157411302</c:v>
                </c:pt>
                <c:pt idx="350">
                  <c:v>7.2972335069425753</c:v>
                </c:pt>
                <c:pt idx="351">
                  <c:v>7.3180668981513008</c:v>
                </c:pt>
                <c:pt idx="352">
                  <c:v>7.3389002893527486</c:v>
                </c:pt>
                <c:pt idx="353">
                  <c:v>7.3597336805542</c:v>
                </c:pt>
                <c:pt idx="354">
                  <c:v>7.3805670717556486</c:v>
                </c:pt>
                <c:pt idx="355">
                  <c:v>7.4014004629643768</c:v>
                </c:pt>
                <c:pt idx="356">
                  <c:v>7.4222338541658246</c:v>
                </c:pt>
                <c:pt idx="357">
                  <c:v>7.443067245367275</c:v>
                </c:pt>
                <c:pt idx="358">
                  <c:v>7.4639006365759961</c:v>
                </c:pt>
                <c:pt idx="359">
                  <c:v>7.4847340277774457</c:v>
                </c:pt>
                <c:pt idx="360">
                  <c:v>7.5055674189788988</c:v>
                </c:pt>
                <c:pt idx="361">
                  <c:v>7.5264008101876243</c:v>
                </c:pt>
                <c:pt idx="362">
                  <c:v>7.5472342013890721</c:v>
                </c:pt>
                <c:pt idx="363">
                  <c:v>7.5680675925905234</c:v>
                </c:pt>
                <c:pt idx="364">
                  <c:v>7.5889009837992489</c:v>
                </c:pt>
                <c:pt idx="365">
                  <c:v>7.6097343750006976</c:v>
                </c:pt>
                <c:pt idx="366">
                  <c:v>7.6305677662021481</c:v>
                </c:pt>
                <c:pt idx="367">
                  <c:v>7.6514011574108727</c:v>
                </c:pt>
                <c:pt idx="368">
                  <c:v>7.6722345486123213</c:v>
                </c:pt>
                <c:pt idx="369">
                  <c:v>7.6930679398137727</c:v>
                </c:pt>
                <c:pt idx="370">
                  <c:v>7.7139013310152196</c:v>
                </c:pt>
                <c:pt idx="371">
                  <c:v>7.7347347222239478</c:v>
                </c:pt>
                <c:pt idx="372">
                  <c:v>7.7555681134253973</c:v>
                </c:pt>
                <c:pt idx="373">
                  <c:v>7.7764015046268469</c:v>
                </c:pt>
                <c:pt idx="374">
                  <c:v>7.7972348958355706</c:v>
                </c:pt>
                <c:pt idx="375">
                  <c:v>7.8180682870370219</c:v>
                </c:pt>
                <c:pt idx="376">
                  <c:v>7.8389016782384697</c:v>
                </c:pt>
                <c:pt idx="377">
                  <c:v>7.8597350694471952</c:v>
                </c:pt>
                <c:pt idx="378">
                  <c:v>7.8805684606486466</c:v>
                </c:pt>
                <c:pt idx="379">
                  <c:v>7.9014018518500961</c:v>
                </c:pt>
                <c:pt idx="380">
                  <c:v>7.9222352430588217</c:v>
                </c:pt>
                <c:pt idx="381">
                  <c:v>7.9430686342602721</c:v>
                </c:pt>
                <c:pt idx="382">
                  <c:v>7.9639020254617208</c:v>
                </c:pt>
                <c:pt idx="383">
                  <c:v>7.9847354166631703</c:v>
                </c:pt>
                <c:pt idx="384">
                  <c:v>8.0055688078718958</c:v>
                </c:pt>
                <c:pt idx="385">
                  <c:v>8.0264021990733472</c:v>
                </c:pt>
                <c:pt idx="386">
                  <c:v>8.047235590274795</c:v>
                </c:pt>
                <c:pt idx="387">
                  <c:v>8.0680689814835151</c:v>
                </c:pt>
                <c:pt idx="388">
                  <c:v>8.08890237268497</c:v>
                </c:pt>
                <c:pt idx="389">
                  <c:v>8.1097357638864196</c:v>
                </c:pt>
                <c:pt idx="390">
                  <c:v>8.1305691550951451</c:v>
                </c:pt>
                <c:pt idx="391">
                  <c:v>8.1514025462965947</c:v>
                </c:pt>
                <c:pt idx="392">
                  <c:v>8.1722359374980478</c:v>
                </c:pt>
                <c:pt idx="393">
                  <c:v>8.1930693287067697</c:v>
                </c:pt>
                <c:pt idx="394">
                  <c:v>8.2139027199082193</c:v>
                </c:pt>
                <c:pt idx="395">
                  <c:v>8.2347361111096724</c:v>
                </c:pt>
                <c:pt idx="396">
                  <c:v>8.2555695023183961</c:v>
                </c:pt>
                <c:pt idx="397">
                  <c:v>8.2764028935198493</c:v>
                </c:pt>
                <c:pt idx="398">
                  <c:v>8.297236284721297</c:v>
                </c:pt>
                <c:pt idx="399">
                  <c:v>8.3180696759227448</c:v>
                </c:pt>
                <c:pt idx="400">
                  <c:v>8.338903067131465</c:v>
                </c:pt>
                <c:pt idx="401">
                  <c:v>8.3597364583329199</c:v>
                </c:pt>
                <c:pt idx="402">
                  <c:v>8.3805698495343695</c:v>
                </c:pt>
                <c:pt idx="403">
                  <c:v>8.4014032407430932</c:v>
                </c:pt>
                <c:pt idx="404">
                  <c:v>8.4222366319445463</c:v>
                </c:pt>
                <c:pt idx="405">
                  <c:v>8.4430700231459923</c:v>
                </c:pt>
                <c:pt idx="406">
                  <c:v>8.4639034143547178</c:v>
                </c:pt>
                <c:pt idx="407">
                  <c:v>8.4847368055561692</c:v>
                </c:pt>
                <c:pt idx="408">
                  <c:v>8.5055701967576205</c:v>
                </c:pt>
                <c:pt idx="409">
                  <c:v>8.526403587966346</c:v>
                </c:pt>
                <c:pt idx="410">
                  <c:v>8.5472369791677956</c:v>
                </c:pt>
                <c:pt idx="411">
                  <c:v>8.5680703703692451</c:v>
                </c:pt>
                <c:pt idx="412">
                  <c:v>8.5889037615706858</c:v>
                </c:pt>
                <c:pt idx="413">
                  <c:v>8.6097371527794166</c:v>
                </c:pt>
                <c:pt idx="414">
                  <c:v>8.6305705439808627</c:v>
                </c:pt>
                <c:pt idx="415">
                  <c:v>8.6514039351823193</c:v>
                </c:pt>
                <c:pt idx="416">
                  <c:v>8.6722373263910413</c:v>
                </c:pt>
                <c:pt idx="417">
                  <c:v>8.6930707175924873</c:v>
                </c:pt>
                <c:pt idx="418">
                  <c:v>8.7139041087939404</c:v>
                </c:pt>
                <c:pt idx="419">
                  <c:v>8.7347375000026677</c:v>
                </c:pt>
                <c:pt idx="420">
                  <c:v>8.7555708912041172</c:v>
                </c:pt>
                <c:pt idx="421">
                  <c:v>8.7764042824055668</c:v>
                </c:pt>
                <c:pt idx="422">
                  <c:v>8.7972376736142905</c:v>
                </c:pt>
                <c:pt idx="423">
                  <c:v>8.8180710648157365</c:v>
                </c:pt>
                <c:pt idx="424">
                  <c:v>8.8389044560171879</c:v>
                </c:pt>
                <c:pt idx="425">
                  <c:v>8.8597378472186392</c:v>
                </c:pt>
                <c:pt idx="426">
                  <c:v>8.8805712384273683</c:v>
                </c:pt>
                <c:pt idx="427">
                  <c:v>8.9014046296288178</c:v>
                </c:pt>
                <c:pt idx="428">
                  <c:v>8.9222380208302638</c:v>
                </c:pt>
                <c:pt idx="429">
                  <c:v>8.9430714120389876</c:v>
                </c:pt>
                <c:pt idx="430">
                  <c:v>8.9639048032404407</c:v>
                </c:pt>
                <c:pt idx="431">
                  <c:v>8.9847381944418885</c:v>
                </c:pt>
                <c:pt idx="432">
                  <c:v>9.0055715856506122</c:v>
                </c:pt>
                <c:pt idx="433">
                  <c:v>9.0264049768520671</c:v>
                </c:pt>
                <c:pt idx="434">
                  <c:v>9.0472383680535096</c:v>
                </c:pt>
                <c:pt idx="435">
                  <c:v>9.0680717592622386</c:v>
                </c:pt>
                <c:pt idx="436">
                  <c:v>9.0889051504636882</c:v>
                </c:pt>
                <c:pt idx="437">
                  <c:v>9.1097385416651377</c:v>
                </c:pt>
                <c:pt idx="438">
                  <c:v>9.1305719328738597</c:v>
                </c:pt>
                <c:pt idx="439">
                  <c:v>9.1514053240753128</c:v>
                </c:pt>
                <c:pt idx="440">
                  <c:v>9.1722387152767624</c:v>
                </c:pt>
                <c:pt idx="441">
                  <c:v>9.1930721064782137</c:v>
                </c:pt>
                <c:pt idx="442">
                  <c:v>9.2139054976869375</c:v>
                </c:pt>
                <c:pt idx="443">
                  <c:v>9.234738888888387</c:v>
                </c:pt>
                <c:pt idx="444">
                  <c:v>9.2555722800898366</c:v>
                </c:pt>
                <c:pt idx="445">
                  <c:v>9.2764056712985621</c:v>
                </c:pt>
                <c:pt idx="446">
                  <c:v>9.2972390625000116</c:v>
                </c:pt>
                <c:pt idx="447">
                  <c:v>9.3180724537014612</c:v>
                </c:pt>
                <c:pt idx="448">
                  <c:v>9.3389058449101814</c:v>
                </c:pt>
                <c:pt idx="449">
                  <c:v>9.3597392361116398</c:v>
                </c:pt>
                <c:pt idx="450">
                  <c:v>9.3805726273130858</c:v>
                </c:pt>
                <c:pt idx="451">
                  <c:v>9.4014060185218167</c:v>
                </c:pt>
                <c:pt idx="452">
                  <c:v>9.4222394097232662</c:v>
                </c:pt>
                <c:pt idx="453">
                  <c:v>9.4430728009247105</c:v>
                </c:pt>
                <c:pt idx="454">
                  <c:v>9.46390619212616</c:v>
                </c:pt>
                <c:pt idx="455">
                  <c:v>9.4847395833348855</c:v>
                </c:pt>
                <c:pt idx="456">
                  <c:v>9.5055729745363369</c:v>
                </c:pt>
                <c:pt idx="457">
                  <c:v>9.5264063657377847</c:v>
                </c:pt>
                <c:pt idx="458">
                  <c:v>9.5472397569465102</c:v>
                </c:pt>
                <c:pt idx="459">
                  <c:v>9.568073148147958</c:v>
                </c:pt>
                <c:pt idx="460">
                  <c:v>9.5889065393494093</c:v>
                </c:pt>
                <c:pt idx="461">
                  <c:v>9.6097399305581348</c:v>
                </c:pt>
                <c:pt idx="462">
                  <c:v>9.630573321759579</c:v>
                </c:pt>
                <c:pt idx="463">
                  <c:v>9.6514067129610392</c:v>
                </c:pt>
                <c:pt idx="464">
                  <c:v>9.6722401041697594</c:v>
                </c:pt>
                <c:pt idx="465">
                  <c:v>9.6930734953712054</c:v>
                </c:pt>
                <c:pt idx="466">
                  <c:v>9.7139068865726585</c:v>
                </c:pt>
                <c:pt idx="467">
                  <c:v>9.7347402777813823</c:v>
                </c:pt>
                <c:pt idx="468">
                  <c:v>9.7555736689828336</c:v>
                </c:pt>
                <c:pt idx="469">
                  <c:v>9.7764070601842832</c:v>
                </c:pt>
                <c:pt idx="470">
                  <c:v>9.797240451385731</c:v>
                </c:pt>
                <c:pt idx="471">
                  <c:v>9.8180738425944529</c:v>
                </c:pt>
                <c:pt idx="472">
                  <c:v>9.8389072337959078</c:v>
                </c:pt>
                <c:pt idx="473">
                  <c:v>9.8597406249973591</c:v>
                </c:pt>
                <c:pt idx="474">
                  <c:v>9.8805740162060882</c:v>
                </c:pt>
                <c:pt idx="475">
                  <c:v>9.9014074074075324</c:v>
                </c:pt>
                <c:pt idx="476">
                  <c:v>9.9222407986089856</c:v>
                </c:pt>
                <c:pt idx="477">
                  <c:v>9.943074189817704</c:v>
                </c:pt>
                <c:pt idx="478">
                  <c:v>9.9639075810191571</c:v>
                </c:pt>
                <c:pt idx="479">
                  <c:v>9.9847409722206066</c:v>
                </c:pt>
                <c:pt idx="480">
                  <c:v>10.00557436342933</c:v>
                </c:pt>
                <c:pt idx="481">
                  <c:v>10.02640775463078</c:v>
                </c:pt>
                <c:pt idx="482">
                  <c:v>10.047241145832229</c:v>
                </c:pt>
                <c:pt idx="483">
                  <c:v>10.068074537033681</c:v>
                </c:pt>
                <c:pt idx="484">
                  <c:v>10.088907928242399</c:v>
                </c:pt>
                <c:pt idx="485">
                  <c:v>10.109741319443859</c:v>
                </c:pt>
                <c:pt idx="486">
                  <c:v>10.130574710645311</c:v>
                </c:pt>
                <c:pt idx="487">
                  <c:v>10.151408101854029</c:v>
                </c:pt>
                <c:pt idx="488">
                  <c:v>10.172241493055481</c:v>
                </c:pt>
                <c:pt idx="489">
                  <c:v>10.19307488425693</c:v>
                </c:pt>
                <c:pt idx="490">
                  <c:v>10.213908275465659</c:v>
                </c:pt>
                <c:pt idx="491">
                  <c:v>10.2347416666671</c:v>
                </c:pt>
                <c:pt idx="492">
                  <c:v>10.25557505786856</c:v>
                </c:pt>
                <c:pt idx="493">
                  <c:v>10.27640844907728</c:v>
                </c:pt>
                <c:pt idx="494">
                  <c:v>10.29724184027873</c:v>
                </c:pt>
                <c:pt idx="495">
                  <c:v>10.318075231480179</c:v>
                </c:pt>
                <c:pt idx="496">
                  <c:v>10.338908622681631</c:v>
                </c:pt>
                <c:pt idx="497">
                  <c:v>10.35974201389036</c:v>
                </c:pt>
                <c:pt idx="498">
                  <c:v>10.3805754050918</c:v>
                </c:pt>
                <c:pt idx="499">
                  <c:v>10.40140879629325</c:v>
                </c:pt>
                <c:pt idx="500">
                  <c:v>10.422242187501981</c:v>
                </c:pt>
                <c:pt idx="501">
                  <c:v>10.44307557870343</c:v>
                </c:pt>
                <c:pt idx="502">
                  <c:v>10.46390896990488</c:v>
                </c:pt>
                <c:pt idx="503">
                  <c:v>10.4847423611136</c:v>
                </c:pt>
                <c:pt idx="504">
                  <c:v>10.50557575231505</c:v>
                </c:pt>
                <c:pt idx="505">
                  <c:v>10.526409143516499</c:v>
                </c:pt>
                <c:pt idx="506">
                  <c:v>10.54724253472523</c:v>
                </c:pt>
                <c:pt idx="507">
                  <c:v>10.56807592592668</c:v>
                </c:pt>
                <c:pt idx="508">
                  <c:v>10.588909317128129</c:v>
                </c:pt>
                <c:pt idx="509">
                  <c:v>10.609742708336849</c:v>
                </c:pt>
                <c:pt idx="510">
                  <c:v>10.630576099538301</c:v>
                </c:pt>
                <c:pt idx="511">
                  <c:v>10.65140949073975</c:v>
                </c:pt>
                <c:pt idx="512">
                  <c:v>10.6722428819412</c:v>
                </c:pt>
                <c:pt idx="513">
                  <c:v>10.693076273149931</c:v>
                </c:pt>
                <c:pt idx="514">
                  <c:v>10.71390966435137</c:v>
                </c:pt>
                <c:pt idx="515">
                  <c:v>10.734743055552819</c:v>
                </c:pt>
                <c:pt idx="516">
                  <c:v>10.75557644676155</c:v>
                </c:pt>
                <c:pt idx="517">
                  <c:v>10.776409837963</c:v>
                </c:pt>
                <c:pt idx="518">
                  <c:v>10.797243229164449</c:v>
                </c:pt>
                <c:pt idx="519">
                  <c:v>10.818076620373169</c:v>
                </c:pt>
                <c:pt idx="520">
                  <c:v>10.838910011574621</c:v>
                </c:pt>
                <c:pt idx="521">
                  <c:v>10.859743402776081</c:v>
                </c:pt>
                <c:pt idx="522">
                  <c:v>10.880576793984799</c:v>
                </c:pt>
                <c:pt idx="523">
                  <c:v>10.901410185186251</c:v>
                </c:pt>
                <c:pt idx="524">
                  <c:v>10.9222435763877</c:v>
                </c:pt>
                <c:pt idx="525">
                  <c:v>10.94307696758915</c:v>
                </c:pt>
                <c:pt idx="526">
                  <c:v>10.963910358797881</c:v>
                </c:pt>
                <c:pt idx="527">
                  <c:v>10.984743749999319</c:v>
                </c:pt>
                <c:pt idx="528">
                  <c:v>11.005577141200771</c:v>
                </c:pt>
                <c:pt idx="529">
                  <c:v>11.0264105324095</c:v>
                </c:pt>
                <c:pt idx="530">
                  <c:v>11.047243923610949</c:v>
                </c:pt>
                <c:pt idx="531">
                  <c:v>11.068077314812401</c:v>
                </c:pt>
                <c:pt idx="532">
                  <c:v>11.088910706021119</c:v>
                </c:pt>
                <c:pt idx="533">
                  <c:v>11.109744097222571</c:v>
                </c:pt>
                <c:pt idx="534">
                  <c:v>11.13057748842402</c:v>
                </c:pt>
                <c:pt idx="535">
                  <c:v>11.151410879632749</c:v>
                </c:pt>
                <c:pt idx="536">
                  <c:v>11.1722442708342</c:v>
                </c:pt>
                <c:pt idx="537">
                  <c:v>11.19307766203565</c:v>
                </c:pt>
                <c:pt idx="538">
                  <c:v>11.21391105324437</c:v>
                </c:pt>
                <c:pt idx="539">
                  <c:v>11.23474444444582</c:v>
                </c:pt>
                <c:pt idx="540">
                  <c:v>11.25557783564728</c:v>
                </c:pt>
                <c:pt idx="541">
                  <c:v>11.276411226848721</c:v>
                </c:pt>
                <c:pt idx="542">
                  <c:v>11.29724461805745</c:v>
                </c:pt>
                <c:pt idx="543">
                  <c:v>11.318078009258899</c:v>
                </c:pt>
                <c:pt idx="544">
                  <c:v>11.338911400460351</c:v>
                </c:pt>
                <c:pt idx="545">
                  <c:v>11.35974479166908</c:v>
                </c:pt>
                <c:pt idx="546">
                  <c:v>11.38057818287052</c:v>
                </c:pt>
                <c:pt idx="547">
                  <c:v>11.40141157407197</c:v>
                </c:pt>
                <c:pt idx="548">
                  <c:v>11.422244965280701</c:v>
                </c:pt>
                <c:pt idx="549">
                  <c:v>11.44307835648215</c:v>
                </c:pt>
                <c:pt idx="550">
                  <c:v>11.463911747683589</c:v>
                </c:pt>
                <c:pt idx="551">
                  <c:v>11.48474513889232</c:v>
                </c:pt>
                <c:pt idx="552">
                  <c:v>11.50557853009377</c:v>
                </c:pt>
                <c:pt idx="553">
                  <c:v>11.526411921295219</c:v>
                </c:pt>
                <c:pt idx="554">
                  <c:v>11.547245312496671</c:v>
                </c:pt>
                <c:pt idx="555">
                  <c:v>11.568078703705391</c:v>
                </c:pt>
                <c:pt idx="556">
                  <c:v>11.588912094906849</c:v>
                </c:pt>
                <c:pt idx="557">
                  <c:v>11.6097454861083</c:v>
                </c:pt>
                <c:pt idx="558">
                  <c:v>11.630578877317021</c:v>
                </c:pt>
                <c:pt idx="559">
                  <c:v>11.65141226851847</c:v>
                </c:pt>
                <c:pt idx="560">
                  <c:v>11.67224565971992</c:v>
                </c:pt>
                <c:pt idx="561">
                  <c:v>11.693079050928651</c:v>
                </c:pt>
                <c:pt idx="562">
                  <c:v>11.71391244213009</c:v>
                </c:pt>
                <c:pt idx="563">
                  <c:v>11.734745833331541</c:v>
                </c:pt>
                <c:pt idx="564">
                  <c:v>11.75557922454027</c:v>
                </c:pt>
                <c:pt idx="565">
                  <c:v>11.776412615741719</c:v>
                </c:pt>
                <c:pt idx="566">
                  <c:v>11.797246006943171</c:v>
                </c:pt>
                <c:pt idx="567">
                  <c:v>11.81807939814462</c:v>
                </c:pt>
                <c:pt idx="568">
                  <c:v>11.838912789353341</c:v>
                </c:pt>
                <c:pt idx="569">
                  <c:v>11.859746180554801</c:v>
                </c:pt>
                <c:pt idx="570">
                  <c:v>11.88057957175625</c:v>
                </c:pt>
                <c:pt idx="571">
                  <c:v>11.901412962964971</c:v>
                </c:pt>
                <c:pt idx="572">
                  <c:v>11.92224635416642</c:v>
                </c:pt>
                <c:pt idx="573">
                  <c:v>11.94307974536787</c:v>
                </c:pt>
                <c:pt idx="574">
                  <c:v>11.96391313657659</c:v>
                </c:pt>
                <c:pt idx="575">
                  <c:v>11.98474652777805</c:v>
                </c:pt>
                <c:pt idx="576">
                  <c:v>12.0055799189795</c:v>
                </c:pt>
                <c:pt idx="577">
                  <c:v>12.02641331018822</c:v>
                </c:pt>
                <c:pt idx="578">
                  <c:v>12.047246701389669</c:v>
                </c:pt>
                <c:pt idx="579">
                  <c:v>12.068080092591121</c:v>
                </c:pt>
                <c:pt idx="580">
                  <c:v>12.088913483799841</c:v>
                </c:pt>
                <c:pt idx="581">
                  <c:v>12.109746875001299</c:v>
                </c:pt>
                <c:pt idx="582">
                  <c:v>12.13058026620274</c:v>
                </c:pt>
                <c:pt idx="583">
                  <c:v>12.1514136574042</c:v>
                </c:pt>
                <c:pt idx="584">
                  <c:v>12.17224704861292</c:v>
                </c:pt>
                <c:pt idx="585">
                  <c:v>12.19308043981437</c:v>
                </c:pt>
                <c:pt idx="586">
                  <c:v>12.213913831015811</c:v>
                </c:pt>
                <c:pt idx="587">
                  <c:v>12.23474722222454</c:v>
                </c:pt>
                <c:pt idx="588">
                  <c:v>12.255580613426</c:v>
                </c:pt>
                <c:pt idx="589">
                  <c:v>12.276414004627441</c:v>
                </c:pt>
                <c:pt idx="590">
                  <c:v>12.297247395836161</c:v>
                </c:pt>
                <c:pt idx="591">
                  <c:v>12.318080787037619</c:v>
                </c:pt>
                <c:pt idx="592">
                  <c:v>12.338914178239071</c:v>
                </c:pt>
                <c:pt idx="593">
                  <c:v>12.3597475694478</c:v>
                </c:pt>
                <c:pt idx="594">
                  <c:v>12.38058096064924</c:v>
                </c:pt>
                <c:pt idx="595">
                  <c:v>12.401414351850701</c:v>
                </c:pt>
                <c:pt idx="596">
                  <c:v>12.422247743052139</c:v>
                </c:pt>
                <c:pt idx="597">
                  <c:v>12.44308113426086</c:v>
                </c:pt>
                <c:pt idx="598">
                  <c:v>12.46391452546232</c:v>
                </c:pt>
                <c:pt idx="599">
                  <c:v>12.484747916663769</c:v>
                </c:pt>
                <c:pt idx="600">
                  <c:v>12.5055813078725</c:v>
                </c:pt>
                <c:pt idx="601">
                  <c:v>12.526414699073939</c:v>
                </c:pt>
                <c:pt idx="602">
                  <c:v>12.54724809027539</c:v>
                </c:pt>
                <c:pt idx="603">
                  <c:v>12.568081481484111</c:v>
                </c:pt>
                <c:pt idx="604">
                  <c:v>12.58891487268556</c:v>
                </c:pt>
                <c:pt idx="605">
                  <c:v>12.60974826388701</c:v>
                </c:pt>
                <c:pt idx="606">
                  <c:v>12.630581655095741</c:v>
                </c:pt>
                <c:pt idx="607">
                  <c:v>12.651415046297201</c:v>
                </c:pt>
                <c:pt idx="608">
                  <c:v>12.67224843749864</c:v>
                </c:pt>
                <c:pt idx="609">
                  <c:v>12.6930818287001</c:v>
                </c:pt>
                <c:pt idx="610">
                  <c:v>12.713915219908809</c:v>
                </c:pt>
                <c:pt idx="611">
                  <c:v>12.734748611110261</c:v>
                </c:pt>
                <c:pt idx="612">
                  <c:v>12.75558200231171</c:v>
                </c:pt>
                <c:pt idx="613">
                  <c:v>12.776415393520439</c:v>
                </c:pt>
                <c:pt idx="614">
                  <c:v>12.79724878472188</c:v>
                </c:pt>
                <c:pt idx="615">
                  <c:v>12.81808217592334</c:v>
                </c:pt>
                <c:pt idx="616">
                  <c:v>12.838915567132061</c:v>
                </c:pt>
                <c:pt idx="617">
                  <c:v>12.85974895833351</c:v>
                </c:pt>
                <c:pt idx="618">
                  <c:v>12.88058234953496</c:v>
                </c:pt>
                <c:pt idx="619">
                  <c:v>12.901415740743699</c:v>
                </c:pt>
                <c:pt idx="620">
                  <c:v>12.92224913194514</c:v>
                </c:pt>
                <c:pt idx="621">
                  <c:v>12.9430825231466</c:v>
                </c:pt>
                <c:pt idx="622">
                  <c:v>12.96391591435531</c:v>
                </c:pt>
                <c:pt idx="623">
                  <c:v>12.984749305556759</c:v>
                </c:pt>
                <c:pt idx="624">
                  <c:v>13.00558269675822</c:v>
                </c:pt>
                <c:pt idx="625">
                  <c:v>13.02641608795966</c:v>
                </c:pt>
                <c:pt idx="626">
                  <c:v>13.0472494791684</c:v>
                </c:pt>
                <c:pt idx="627">
                  <c:v>13.068082870369841</c:v>
                </c:pt>
                <c:pt idx="628">
                  <c:v>13.08891626157128</c:v>
                </c:pt>
                <c:pt idx="629">
                  <c:v>13.10974965278001</c:v>
                </c:pt>
                <c:pt idx="630">
                  <c:v>13.13058304398146</c:v>
                </c:pt>
                <c:pt idx="631">
                  <c:v>13.151416435182909</c:v>
                </c:pt>
                <c:pt idx="632">
                  <c:v>13.17224982639164</c:v>
                </c:pt>
                <c:pt idx="633">
                  <c:v>13.193083217593101</c:v>
                </c:pt>
                <c:pt idx="634">
                  <c:v>13.213916608794531</c:v>
                </c:pt>
                <c:pt idx="635">
                  <c:v>13.23475000000326</c:v>
                </c:pt>
                <c:pt idx="636">
                  <c:v>13.255583391204709</c:v>
                </c:pt>
                <c:pt idx="637">
                  <c:v>13.276416782406161</c:v>
                </c:pt>
                <c:pt idx="638">
                  <c:v>13.29725017360761</c:v>
                </c:pt>
                <c:pt idx="639">
                  <c:v>13.31808356481633</c:v>
                </c:pt>
                <c:pt idx="640">
                  <c:v>13.33891695601778</c:v>
                </c:pt>
                <c:pt idx="641">
                  <c:v>13.35975034721924</c:v>
                </c:pt>
                <c:pt idx="642">
                  <c:v>13.38058373842796</c:v>
                </c:pt>
                <c:pt idx="643">
                  <c:v>13.40141712962941</c:v>
                </c:pt>
                <c:pt idx="644">
                  <c:v>13.422250520830859</c:v>
                </c:pt>
                <c:pt idx="645">
                  <c:v>13.44308391203958</c:v>
                </c:pt>
                <c:pt idx="646">
                  <c:v>13.463917303241031</c:v>
                </c:pt>
                <c:pt idx="647">
                  <c:v>13.48475069444248</c:v>
                </c:pt>
                <c:pt idx="648">
                  <c:v>13.505584085651209</c:v>
                </c:pt>
                <c:pt idx="649">
                  <c:v>13.526417476852661</c:v>
                </c:pt>
                <c:pt idx="650">
                  <c:v>13.54725086805411</c:v>
                </c:pt>
                <c:pt idx="651">
                  <c:v>13.568084259262831</c:v>
                </c:pt>
                <c:pt idx="652">
                  <c:v>13.58891765046428</c:v>
                </c:pt>
                <c:pt idx="653">
                  <c:v>13.60975104166573</c:v>
                </c:pt>
                <c:pt idx="654">
                  <c:v>13.630584432867179</c:v>
                </c:pt>
                <c:pt idx="655">
                  <c:v>13.65141782407591</c:v>
                </c:pt>
                <c:pt idx="656">
                  <c:v>13.67225121527736</c:v>
                </c:pt>
                <c:pt idx="657">
                  <c:v>13.693084606478809</c:v>
                </c:pt>
                <c:pt idx="658">
                  <c:v>13.713917997687529</c:v>
                </c:pt>
                <c:pt idx="659">
                  <c:v>13.734751388888981</c:v>
                </c:pt>
                <c:pt idx="660">
                  <c:v>13.75558478009043</c:v>
                </c:pt>
                <c:pt idx="661">
                  <c:v>13.77641817129915</c:v>
                </c:pt>
                <c:pt idx="662">
                  <c:v>13.7972515625006</c:v>
                </c:pt>
                <c:pt idx="663">
                  <c:v>13.81808495370206</c:v>
                </c:pt>
                <c:pt idx="664">
                  <c:v>13.83891834491078</c:v>
                </c:pt>
                <c:pt idx="665">
                  <c:v>13.85975173611223</c:v>
                </c:pt>
                <c:pt idx="666">
                  <c:v>13.88058512731368</c:v>
                </c:pt>
                <c:pt idx="667">
                  <c:v>13.901418518515131</c:v>
                </c:pt>
                <c:pt idx="668">
                  <c:v>13.922251909723849</c:v>
                </c:pt>
                <c:pt idx="669">
                  <c:v>13.943085300925301</c:v>
                </c:pt>
                <c:pt idx="670">
                  <c:v>13.96391869212675</c:v>
                </c:pt>
                <c:pt idx="671">
                  <c:v>13.984752083335479</c:v>
                </c:pt>
                <c:pt idx="672">
                  <c:v>14.005585474536931</c:v>
                </c:pt>
                <c:pt idx="673">
                  <c:v>14.02641886573838</c:v>
                </c:pt>
                <c:pt idx="674">
                  <c:v>14.0472522569471</c:v>
                </c:pt>
                <c:pt idx="675">
                  <c:v>14.06808564814855</c:v>
                </c:pt>
                <c:pt idx="676">
                  <c:v>14.088919039349999</c:v>
                </c:pt>
                <c:pt idx="677">
                  <c:v>14.10975243055873</c:v>
                </c:pt>
                <c:pt idx="678">
                  <c:v>14.13058582176018</c:v>
                </c:pt>
                <c:pt idx="679">
                  <c:v>14.151419212961629</c:v>
                </c:pt>
                <c:pt idx="680">
                  <c:v>14.172252604163081</c:v>
                </c:pt>
                <c:pt idx="681">
                  <c:v>14.193085995371799</c:v>
                </c:pt>
                <c:pt idx="682">
                  <c:v>14.21391938657325</c:v>
                </c:pt>
                <c:pt idx="683">
                  <c:v>14.2347527777747</c:v>
                </c:pt>
                <c:pt idx="684">
                  <c:v>14.255586168983429</c:v>
                </c:pt>
                <c:pt idx="685">
                  <c:v>14.27641956018488</c:v>
                </c:pt>
                <c:pt idx="686">
                  <c:v>14.297252951386319</c:v>
                </c:pt>
                <c:pt idx="687">
                  <c:v>14.31808634259505</c:v>
                </c:pt>
                <c:pt idx="688">
                  <c:v>14.3389197337965</c:v>
                </c:pt>
                <c:pt idx="689">
                  <c:v>14.359753124997949</c:v>
                </c:pt>
                <c:pt idx="690">
                  <c:v>14.38058651620668</c:v>
                </c:pt>
                <c:pt idx="691">
                  <c:v>14.40141990740813</c:v>
                </c:pt>
                <c:pt idx="692">
                  <c:v>14.422253298609579</c:v>
                </c:pt>
                <c:pt idx="693">
                  <c:v>14.443086689818299</c:v>
                </c:pt>
                <c:pt idx="694">
                  <c:v>14.463920081019751</c:v>
                </c:pt>
                <c:pt idx="695">
                  <c:v>14.4847534722212</c:v>
                </c:pt>
                <c:pt idx="696">
                  <c:v>14.50558686342265</c:v>
                </c:pt>
                <c:pt idx="697">
                  <c:v>14.526420254631381</c:v>
                </c:pt>
                <c:pt idx="698">
                  <c:v>14.54725364583282</c:v>
                </c:pt>
                <c:pt idx="699">
                  <c:v>14.56808703703428</c:v>
                </c:pt>
                <c:pt idx="700">
                  <c:v>14.588920428243</c:v>
                </c:pt>
                <c:pt idx="701">
                  <c:v>14.60975381944445</c:v>
                </c:pt>
                <c:pt idx="702">
                  <c:v>14.630587210645899</c:v>
                </c:pt>
                <c:pt idx="703">
                  <c:v>14.651420601854619</c:v>
                </c:pt>
                <c:pt idx="704">
                  <c:v>14.672253993056071</c:v>
                </c:pt>
                <c:pt idx="705">
                  <c:v>14.69308738425752</c:v>
                </c:pt>
                <c:pt idx="706">
                  <c:v>14.713920775466249</c:v>
                </c:pt>
                <c:pt idx="707">
                  <c:v>14.734754166667701</c:v>
                </c:pt>
                <c:pt idx="708">
                  <c:v>14.75558755786915</c:v>
                </c:pt>
                <c:pt idx="709">
                  <c:v>14.7764209490706</c:v>
                </c:pt>
                <c:pt idx="710">
                  <c:v>14.79725434027932</c:v>
                </c:pt>
                <c:pt idx="711">
                  <c:v>14.81808773148077</c:v>
                </c:pt>
                <c:pt idx="712">
                  <c:v>14.838921122682221</c:v>
                </c:pt>
                <c:pt idx="713">
                  <c:v>14.85975451389095</c:v>
                </c:pt>
                <c:pt idx="714">
                  <c:v>14.880587905092399</c:v>
                </c:pt>
                <c:pt idx="715">
                  <c:v>14.901421296293851</c:v>
                </c:pt>
                <c:pt idx="716">
                  <c:v>14.922254687502569</c:v>
                </c:pt>
                <c:pt idx="717">
                  <c:v>14.943088078704021</c:v>
                </c:pt>
                <c:pt idx="718">
                  <c:v>14.96392146990547</c:v>
                </c:pt>
                <c:pt idx="719">
                  <c:v>14.984754861114199</c:v>
                </c:pt>
                <c:pt idx="720">
                  <c:v>15.005588252315651</c:v>
                </c:pt>
                <c:pt idx="721">
                  <c:v>15.0264216435171</c:v>
                </c:pt>
                <c:pt idx="722">
                  <c:v>15.04725503472582</c:v>
                </c:pt>
                <c:pt idx="723">
                  <c:v>15.06808842592727</c:v>
                </c:pt>
                <c:pt idx="724">
                  <c:v>15.088921817128719</c:v>
                </c:pt>
                <c:pt idx="725">
                  <c:v>15.109755208330171</c:v>
                </c:pt>
                <c:pt idx="726">
                  <c:v>15.1305885995389</c:v>
                </c:pt>
                <c:pt idx="727">
                  <c:v>15.151421990740349</c:v>
                </c:pt>
                <c:pt idx="728">
                  <c:v>15.172255381941801</c:v>
                </c:pt>
                <c:pt idx="729">
                  <c:v>15.193088773150521</c:v>
                </c:pt>
                <c:pt idx="730">
                  <c:v>15.21392216435197</c:v>
                </c:pt>
                <c:pt idx="731">
                  <c:v>15.23475555555342</c:v>
                </c:pt>
                <c:pt idx="732">
                  <c:v>15.255588946762151</c:v>
                </c:pt>
                <c:pt idx="733">
                  <c:v>15.2764223379636</c:v>
                </c:pt>
                <c:pt idx="734">
                  <c:v>15.297255729165039</c:v>
                </c:pt>
                <c:pt idx="735">
                  <c:v>15.31808912037377</c:v>
                </c:pt>
                <c:pt idx="736">
                  <c:v>15.33892251157522</c:v>
                </c:pt>
                <c:pt idx="737">
                  <c:v>15.359755902776669</c:v>
                </c:pt>
                <c:pt idx="738">
                  <c:v>15.380589293978121</c:v>
                </c:pt>
                <c:pt idx="739">
                  <c:v>15.401422685186841</c:v>
                </c:pt>
                <c:pt idx="740">
                  <c:v>15.422256076388299</c:v>
                </c:pt>
                <c:pt idx="741">
                  <c:v>15.443089467589751</c:v>
                </c:pt>
                <c:pt idx="742">
                  <c:v>15.463922858798471</c:v>
                </c:pt>
                <c:pt idx="743">
                  <c:v>15.48475624999992</c:v>
                </c:pt>
                <c:pt idx="744">
                  <c:v>15.50558964120137</c:v>
                </c:pt>
                <c:pt idx="745">
                  <c:v>15.526423032410101</c:v>
                </c:pt>
                <c:pt idx="746">
                  <c:v>15.54725642361154</c:v>
                </c:pt>
                <c:pt idx="747">
                  <c:v>15.568089814813</c:v>
                </c:pt>
                <c:pt idx="748">
                  <c:v>15.58892320602172</c:v>
                </c:pt>
                <c:pt idx="749">
                  <c:v>15.60975659722317</c:v>
                </c:pt>
                <c:pt idx="750">
                  <c:v>15.630589988424621</c:v>
                </c:pt>
                <c:pt idx="751">
                  <c:v>15.65142337962607</c:v>
                </c:pt>
                <c:pt idx="752">
                  <c:v>15.6722567708348</c:v>
                </c:pt>
                <c:pt idx="753">
                  <c:v>15.69309016203624</c:v>
                </c:pt>
                <c:pt idx="754">
                  <c:v>15.71392355323769</c:v>
                </c:pt>
                <c:pt idx="755">
                  <c:v>15.734756944446421</c:v>
                </c:pt>
                <c:pt idx="756">
                  <c:v>15.75559033564787</c:v>
                </c:pt>
                <c:pt idx="757">
                  <c:v>15.77642372684932</c:v>
                </c:pt>
                <c:pt idx="758">
                  <c:v>15.79725711805804</c:v>
                </c:pt>
                <c:pt idx="759">
                  <c:v>15.8180905092595</c:v>
                </c:pt>
                <c:pt idx="760">
                  <c:v>15.838923900460941</c:v>
                </c:pt>
                <c:pt idx="761">
                  <c:v>15.85975729166967</c:v>
                </c:pt>
                <c:pt idx="762">
                  <c:v>15.880590682871119</c:v>
                </c:pt>
                <c:pt idx="763">
                  <c:v>15.901424074072571</c:v>
                </c:pt>
                <c:pt idx="764">
                  <c:v>15.9222574652813</c:v>
                </c:pt>
                <c:pt idx="765">
                  <c:v>15.94309085648274</c:v>
                </c:pt>
                <c:pt idx="766">
                  <c:v>15.963924247684201</c:v>
                </c:pt>
                <c:pt idx="767">
                  <c:v>15.98475763888564</c:v>
                </c:pt>
                <c:pt idx="768">
                  <c:v>16.005591030094362</c:v>
                </c:pt>
                <c:pt idx="769">
                  <c:v>16.026424421295811</c:v>
                </c:pt>
                <c:pt idx="770">
                  <c:v>16.047257812497261</c:v>
                </c:pt>
                <c:pt idx="771">
                  <c:v>16.068091203705979</c:v>
                </c:pt>
                <c:pt idx="772">
                  <c:v>16.088924594907439</c:v>
                </c:pt>
                <c:pt idx="773">
                  <c:v>16.109757986108889</c:v>
                </c:pt>
                <c:pt idx="774">
                  <c:v>16.130591377317611</c:v>
                </c:pt>
                <c:pt idx="775">
                  <c:v>16.151424768519071</c:v>
                </c:pt>
                <c:pt idx="776">
                  <c:v>16.172258159720521</c:v>
                </c:pt>
                <c:pt idx="777">
                  <c:v>16.193091550929239</c:v>
                </c:pt>
                <c:pt idx="778">
                  <c:v>16.213924942130689</c:v>
                </c:pt>
                <c:pt idx="779">
                  <c:v>16.234758333332131</c:v>
                </c:pt>
                <c:pt idx="780">
                  <c:v>16.255591724533591</c:v>
                </c:pt>
                <c:pt idx="781">
                  <c:v>16.27642511574231</c:v>
                </c:pt>
                <c:pt idx="782">
                  <c:v>16.297258506943759</c:v>
                </c:pt>
                <c:pt idx="783">
                  <c:v>16.318091898145209</c:v>
                </c:pt>
                <c:pt idx="784">
                  <c:v>16.338925289353931</c:v>
                </c:pt>
                <c:pt idx="785">
                  <c:v>16.359758680555391</c:v>
                </c:pt>
                <c:pt idx="786">
                  <c:v>16.380592071756819</c:v>
                </c:pt>
                <c:pt idx="787">
                  <c:v>16.401425462965559</c:v>
                </c:pt>
                <c:pt idx="788">
                  <c:v>16.422258854167001</c:v>
                </c:pt>
                <c:pt idx="789">
                  <c:v>16.443092245368451</c:v>
                </c:pt>
                <c:pt idx="790">
                  <c:v>16.46392563657718</c:v>
                </c:pt>
                <c:pt idx="791">
                  <c:v>16.48475902777863</c:v>
                </c:pt>
                <c:pt idx="792">
                  <c:v>16.50559241898009</c:v>
                </c:pt>
                <c:pt idx="793">
                  <c:v>16.526425810188812</c:v>
                </c:pt>
                <c:pt idx="794">
                  <c:v>16.547259201390261</c:v>
                </c:pt>
                <c:pt idx="795">
                  <c:v>16.56809259259169</c:v>
                </c:pt>
                <c:pt idx="796">
                  <c:v>16.58892598379316</c:v>
                </c:pt>
                <c:pt idx="797">
                  <c:v>16.609759375001889</c:v>
                </c:pt>
                <c:pt idx="798">
                  <c:v>16.630592766203328</c:v>
                </c:pt>
                <c:pt idx="799">
                  <c:v>16.651426157404799</c:v>
                </c:pt>
                <c:pt idx="800">
                  <c:v>16.672259548613511</c:v>
                </c:pt>
                <c:pt idx="801">
                  <c:v>16.69309293981496</c:v>
                </c:pt>
                <c:pt idx="802">
                  <c:v>16.71392633101641</c:v>
                </c:pt>
                <c:pt idx="803">
                  <c:v>16.734759722225132</c:v>
                </c:pt>
                <c:pt idx="804">
                  <c:v>16.755593113426581</c:v>
                </c:pt>
                <c:pt idx="805">
                  <c:v>16.77642650462802</c:v>
                </c:pt>
                <c:pt idx="806">
                  <c:v>16.79725989583676</c:v>
                </c:pt>
                <c:pt idx="807">
                  <c:v>16.818093287038209</c:v>
                </c:pt>
                <c:pt idx="808">
                  <c:v>16.838926678239659</c:v>
                </c:pt>
                <c:pt idx="809">
                  <c:v>16.859760069441108</c:v>
                </c:pt>
                <c:pt idx="810">
                  <c:v>16.88059346064983</c:v>
                </c:pt>
                <c:pt idx="811">
                  <c:v>16.90142685185128</c:v>
                </c:pt>
                <c:pt idx="812">
                  <c:v>16.92226024305273</c:v>
                </c:pt>
                <c:pt idx="813">
                  <c:v>16.943093634261459</c:v>
                </c:pt>
                <c:pt idx="814">
                  <c:v>16.963927025462901</c:v>
                </c:pt>
                <c:pt idx="815">
                  <c:v>16.984760416664351</c:v>
                </c:pt>
                <c:pt idx="816">
                  <c:v>17.00559380787308</c:v>
                </c:pt>
                <c:pt idx="817">
                  <c:v>17.026427199074529</c:v>
                </c:pt>
                <c:pt idx="818">
                  <c:v>17.047260590275979</c:v>
                </c:pt>
                <c:pt idx="819">
                  <c:v>17.068093981484701</c:v>
                </c:pt>
                <c:pt idx="820">
                  <c:v>17.08892737268615</c:v>
                </c:pt>
                <c:pt idx="821">
                  <c:v>17.109760763887611</c:v>
                </c:pt>
                <c:pt idx="822">
                  <c:v>17.13059415508906</c:v>
                </c:pt>
                <c:pt idx="823">
                  <c:v>17.151427546297789</c:v>
                </c:pt>
                <c:pt idx="824">
                  <c:v>17.172260937499232</c:v>
                </c:pt>
                <c:pt idx="825">
                  <c:v>17.193094328700681</c:v>
                </c:pt>
                <c:pt idx="826">
                  <c:v>17.21392771990941</c:v>
                </c:pt>
                <c:pt idx="827">
                  <c:v>17.23476111111086</c:v>
                </c:pt>
                <c:pt idx="828">
                  <c:v>17.255594502312299</c:v>
                </c:pt>
                <c:pt idx="829">
                  <c:v>17.27642789352101</c:v>
                </c:pt>
                <c:pt idx="830">
                  <c:v>17.297261284722481</c:v>
                </c:pt>
                <c:pt idx="831">
                  <c:v>17.31809467592392</c:v>
                </c:pt>
                <c:pt idx="832">
                  <c:v>17.33892806713266</c:v>
                </c:pt>
                <c:pt idx="833">
                  <c:v>17.359761458334109</c:v>
                </c:pt>
                <c:pt idx="834">
                  <c:v>17.380594849535541</c:v>
                </c:pt>
                <c:pt idx="835">
                  <c:v>17.401428240744281</c:v>
                </c:pt>
                <c:pt idx="836">
                  <c:v>17.42226163194572</c:v>
                </c:pt>
                <c:pt idx="837">
                  <c:v>17.44309502314718</c:v>
                </c:pt>
                <c:pt idx="838">
                  <c:v>17.463928414348629</c:v>
                </c:pt>
                <c:pt idx="839">
                  <c:v>17.484761805557341</c:v>
                </c:pt>
                <c:pt idx="840">
                  <c:v>17.505595196758801</c:v>
                </c:pt>
                <c:pt idx="841">
                  <c:v>17.52642858796024</c:v>
                </c:pt>
                <c:pt idx="842">
                  <c:v>17.547261979168979</c:v>
                </c:pt>
                <c:pt idx="843">
                  <c:v>17.568095370370429</c:v>
                </c:pt>
                <c:pt idx="844">
                  <c:v>17.588928761571879</c:v>
                </c:pt>
                <c:pt idx="845">
                  <c:v>17.609762152780601</c:v>
                </c:pt>
                <c:pt idx="846">
                  <c:v>17.63059554398205</c:v>
                </c:pt>
                <c:pt idx="847">
                  <c:v>17.6514289351835</c:v>
                </c:pt>
                <c:pt idx="848">
                  <c:v>17.672262326392229</c:v>
                </c:pt>
                <c:pt idx="849">
                  <c:v>17.693095717593678</c:v>
                </c:pt>
                <c:pt idx="850">
                  <c:v>17.713929108795131</c:v>
                </c:pt>
                <c:pt idx="851">
                  <c:v>17.734762499996581</c:v>
                </c:pt>
                <c:pt idx="852">
                  <c:v>17.755595891205299</c:v>
                </c:pt>
                <c:pt idx="853">
                  <c:v>17.776429282406749</c:v>
                </c:pt>
                <c:pt idx="854">
                  <c:v>17.797262673608198</c:v>
                </c:pt>
                <c:pt idx="855">
                  <c:v>17.818096064816931</c:v>
                </c:pt>
                <c:pt idx="856">
                  <c:v>17.838929456018381</c:v>
                </c:pt>
                <c:pt idx="857">
                  <c:v>17.85976284721983</c:v>
                </c:pt>
                <c:pt idx="858">
                  <c:v>17.880596238428549</c:v>
                </c:pt>
                <c:pt idx="859">
                  <c:v>17.901429629630002</c:v>
                </c:pt>
                <c:pt idx="860">
                  <c:v>17.922263020831451</c:v>
                </c:pt>
                <c:pt idx="861">
                  <c:v>17.94309641204018</c:v>
                </c:pt>
                <c:pt idx="862">
                  <c:v>17.963929803241619</c:v>
                </c:pt>
                <c:pt idx="863">
                  <c:v>17.984763194443079</c:v>
                </c:pt>
                <c:pt idx="864">
                  <c:v>18.005596585644518</c:v>
                </c:pt>
                <c:pt idx="865">
                  <c:v>18.02642997685323</c:v>
                </c:pt>
                <c:pt idx="866">
                  <c:v>18.047263368054701</c:v>
                </c:pt>
                <c:pt idx="867">
                  <c:v>18.06809675925615</c:v>
                </c:pt>
                <c:pt idx="868">
                  <c:v>18.088930150464879</c:v>
                </c:pt>
                <c:pt idx="869">
                  <c:v>18.109763541666322</c:v>
                </c:pt>
                <c:pt idx="870">
                  <c:v>18.130596932867771</c:v>
                </c:pt>
                <c:pt idx="871">
                  <c:v>18.1514303240765</c:v>
                </c:pt>
                <c:pt idx="872">
                  <c:v>18.17226371527795</c:v>
                </c:pt>
                <c:pt idx="873">
                  <c:v>18.193097106479399</c:v>
                </c:pt>
                <c:pt idx="874">
                  <c:v>18.213930497688128</c:v>
                </c:pt>
                <c:pt idx="875">
                  <c:v>18.234763888889571</c:v>
                </c:pt>
                <c:pt idx="876">
                  <c:v>18.25559728009102</c:v>
                </c:pt>
                <c:pt idx="877">
                  <c:v>18.27643067129975</c:v>
                </c:pt>
                <c:pt idx="878">
                  <c:v>18.297264062501199</c:v>
                </c:pt>
                <c:pt idx="879">
                  <c:v>18.318097453702649</c:v>
                </c:pt>
                <c:pt idx="880">
                  <c:v>18.338930844904091</c:v>
                </c:pt>
                <c:pt idx="881">
                  <c:v>18.35976423611282</c:v>
                </c:pt>
                <c:pt idx="882">
                  <c:v>18.38059762731427</c:v>
                </c:pt>
                <c:pt idx="883">
                  <c:v>18.401431018515719</c:v>
                </c:pt>
                <c:pt idx="884">
                  <c:v>18.422264409724441</c:v>
                </c:pt>
                <c:pt idx="885">
                  <c:v>18.44309780092588</c:v>
                </c:pt>
                <c:pt idx="886">
                  <c:v>18.46393119212733</c:v>
                </c:pt>
                <c:pt idx="887">
                  <c:v>18.484764583336069</c:v>
                </c:pt>
                <c:pt idx="888">
                  <c:v>18.505597974537519</c:v>
                </c:pt>
                <c:pt idx="889">
                  <c:v>18.526431365738969</c:v>
                </c:pt>
                <c:pt idx="890">
                  <c:v>18.547264756947701</c:v>
                </c:pt>
                <c:pt idx="891">
                  <c:v>18.56809814814914</c:v>
                </c:pt>
                <c:pt idx="892">
                  <c:v>18.58893153935059</c:v>
                </c:pt>
                <c:pt idx="893">
                  <c:v>18.60976493055205</c:v>
                </c:pt>
                <c:pt idx="894">
                  <c:v>18.630598321760779</c:v>
                </c:pt>
                <c:pt idx="895">
                  <c:v>18.651431712962221</c:v>
                </c:pt>
                <c:pt idx="896">
                  <c:v>18.672265104163671</c:v>
                </c:pt>
                <c:pt idx="897">
                  <c:v>18.6930984953724</c:v>
                </c:pt>
                <c:pt idx="898">
                  <c:v>18.713931886573839</c:v>
                </c:pt>
                <c:pt idx="899">
                  <c:v>18.734765277775281</c:v>
                </c:pt>
                <c:pt idx="900">
                  <c:v>18.755598668984021</c:v>
                </c:pt>
                <c:pt idx="901">
                  <c:v>18.776432060185471</c:v>
                </c:pt>
                <c:pt idx="902">
                  <c:v>18.79726545138692</c:v>
                </c:pt>
                <c:pt idx="903">
                  <c:v>18.818098842595649</c:v>
                </c:pt>
                <c:pt idx="904">
                  <c:v>18.838932233797081</c:v>
                </c:pt>
                <c:pt idx="905">
                  <c:v>18.859765624998548</c:v>
                </c:pt>
                <c:pt idx="906">
                  <c:v>18.88059901620727</c:v>
                </c:pt>
                <c:pt idx="907">
                  <c:v>18.90143240740872</c:v>
                </c:pt>
                <c:pt idx="908">
                  <c:v>18.922265798610169</c:v>
                </c:pt>
                <c:pt idx="909">
                  <c:v>18.943099189811619</c:v>
                </c:pt>
                <c:pt idx="910">
                  <c:v>18.96393258102032</c:v>
                </c:pt>
                <c:pt idx="911">
                  <c:v>18.98476597222178</c:v>
                </c:pt>
                <c:pt idx="912">
                  <c:v>19.005599363423229</c:v>
                </c:pt>
                <c:pt idx="913">
                  <c:v>19.026432754631969</c:v>
                </c:pt>
                <c:pt idx="914">
                  <c:v>19.047266145833419</c:v>
                </c:pt>
                <c:pt idx="915">
                  <c:v>19.06809953703485</c:v>
                </c:pt>
                <c:pt idx="916">
                  <c:v>19.08893292824359</c:v>
                </c:pt>
                <c:pt idx="917">
                  <c:v>19.10976631944504</c:v>
                </c:pt>
                <c:pt idx="918">
                  <c:v>19.1305997106465</c:v>
                </c:pt>
                <c:pt idx="919">
                  <c:v>19.151433101855218</c:v>
                </c:pt>
                <c:pt idx="920">
                  <c:v>19.172266493056672</c:v>
                </c:pt>
                <c:pt idx="921">
                  <c:v>19.193099884258121</c:v>
                </c:pt>
                <c:pt idx="922">
                  <c:v>19.213933275459571</c:v>
                </c:pt>
                <c:pt idx="923">
                  <c:v>19.234766666668289</c:v>
                </c:pt>
                <c:pt idx="924">
                  <c:v>19.255600057869739</c:v>
                </c:pt>
                <c:pt idx="925">
                  <c:v>19.276433449071181</c:v>
                </c:pt>
                <c:pt idx="926">
                  <c:v>19.29726684027991</c:v>
                </c:pt>
                <c:pt idx="927">
                  <c:v>19.31810023148136</c:v>
                </c:pt>
                <c:pt idx="928">
                  <c:v>19.33893362268282</c:v>
                </c:pt>
                <c:pt idx="929">
                  <c:v>19.359767013891549</c:v>
                </c:pt>
                <c:pt idx="930">
                  <c:v>19.380600405092991</c:v>
                </c:pt>
                <c:pt idx="931">
                  <c:v>19.401433796294441</c:v>
                </c:pt>
                <c:pt idx="932">
                  <c:v>19.422267187503159</c:v>
                </c:pt>
                <c:pt idx="933">
                  <c:v>19.443100578704609</c:v>
                </c:pt>
                <c:pt idx="934">
                  <c:v>19.463933969906069</c:v>
                </c:pt>
                <c:pt idx="935">
                  <c:v>19.484767361107512</c:v>
                </c:pt>
                <c:pt idx="936">
                  <c:v>19.505600752316241</c:v>
                </c:pt>
                <c:pt idx="937">
                  <c:v>19.52643414351769</c:v>
                </c:pt>
                <c:pt idx="938">
                  <c:v>19.54726753471914</c:v>
                </c:pt>
                <c:pt idx="939">
                  <c:v>19.568100925927851</c:v>
                </c:pt>
                <c:pt idx="940">
                  <c:v>19.588934317129301</c:v>
                </c:pt>
                <c:pt idx="941">
                  <c:v>19.609767708330761</c:v>
                </c:pt>
                <c:pt idx="942">
                  <c:v>19.63060109953949</c:v>
                </c:pt>
                <c:pt idx="943">
                  <c:v>19.65143449074094</c:v>
                </c:pt>
                <c:pt idx="944">
                  <c:v>19.672267881942389</c:v>
                </c:pt>
                <c:pt idx="945">
                  <c:v>19.693101273151111</c:v>
                </c:pt>
                <c:pt idx="946">
                  <c:v>19.713934664352571</c:v>
                </c:pt>
                <c:pt idx="947">
                  <c:v>19.734768055554021</c:v>
                </c:pt>
                <c:pt idx="948">
                  <c:v>19.755601446762739</c:v>
                </c:pt>
                <c:pt idx="949">
                  <c:v>19.776434837964182</c:v>
                </c:pt>
                <c:pt idx="950">
                  <c:v>19.797268229165631</c:v>
                </c:pt>
                <c:pt idx="951">
                  <c:v>19.818101620367091</c:v>
                </c:pt>
                <c:pt idx="952">
                  <c:v>19.83893501157581</c:v>
                </c:pt>
                <c:pt idx="953">
                  <c:v>19.859768402777259</c:v>
                </c:pt>
                <c:pt idx="954">
                  <c:v>19.880601793978709</c:v>
                </c:pt>
                <c:pt idx="955">
                  <c:v>19.901435185187431</c:v>
                </c:pt>
                <c:pt idx="956">
                  <c:v>19.92226857638888</c:v>
                </c:pt>
                <c:pt idx="957">
                  <c:v>19.94310196759033</c:v>
                </c:pt>
                <c:pt idx="958">
                  <c:v>19.963935358799059</c:v>
                </c:pt>
                <c:pt idx="959">
                  <c:v>19.984768750000519</c:v>
                </c:pt>
                <c:pt idx="960">
                  <c:v>20.005602141201951</c:v>
                </c:pt>
                <c:pt idx="961">
                  <c:v>20.026435532410691</c:v>
                </c:pt>
                <c:pt idx="962">
                  <c:v>20.04726892361214</c:v>
                </c:pt>
                <c:pt idx="963">
                  <c:v>20.06810231481359</c:v>
                </c:pt>
                <c:pt idx="964">
                  <c:v>20.08893570601504</c:v>
                </c:pt>
                <c:pt idx="965">
                  <c:v>20.109769097223761</c:v>
                </c:pt>
                <c:pt idx="966">
                  <c:v>20.130602488425211</c:v>
                </c:pt>
                <c:pt idx="967">
                  <c:v>20.151435879626661</c:v>
                </c:pt>
                <c:pt idx="968">
                  <c:v>20.172269270835379</c:v>
                </c:pt>
                <c:pt idx="969">
                  <c:v>20.193102662036839</c:v>
                </c:pt>
                <c:pt idx="970">
                  <c:v>20.213936053238289</c:v>
                </c:pt>
                <c:pt idx="971">
                  <c:v>20.234769444447011</c:v>
                </c:pt>
                <c:pt idx="972">
                  <c:v>20.25560283564846</c:v>
                </c:pt>
                <c:pt idx="973">
                  <c:v>20.27643622684991</c:v>
                </c:pt>
                <c:pt idx="974">
                  <c:v>20.297269618058639</c:v>
                </c:pt>
                <c:pt idx="975">
                  <c:v>20.318103009260081</c:v>
                </c:pt>
                <c:pt idx="976">
                  <c:v>20.338936400461531</c:v>
                </c:pt>
                <c:pt idx="977">
                  <c:v>20.35976979167026</c:v>
                </c:pt>
                <c:pt idx="978">
                  <c:v>20.38060318287171</c:v>
                </c:pt>
                <c:pt idx="979">
                  <c:v>20.401436574073141</c:v>
                </c:pt>
                <c:pt idx="980">
                  <c:v>20.422269965274609</c:v>
                </c:pt>
                <c:pt idx="981">
                  <c:v>20.44310335648332</c:v>
                </c:pt>
                <c:pt idx="982">
                  <c:v>20.46393674768478</c:v>
                </c:pt>
                <c:pt idx="983">
                  <c:v>20.48477013888623</c:v>
                </c:pt>
                <c:pt idx="984">
                  <c:v>20.505603530094959</c:v>
                </c:pt>
                <c:pt idx="985">
                  <c:v>20.526436921296408</c:v>
                </c:pt>
                <c:pt idx="986">
                  <c:v>20.547270312497862</c:v>
                </c:pt>
                <c:pt idx="987">
                  <c:v>20.56810370370658</c:v>
                </c:pt>
                <c:pt idx="988">
                  <c:v>20.588937094908029</c:v>
                </c:pt>
                <c:pt idx="989">
                  <c:v>20.60977048610949</c:v>
                </c:pt>
                <c:pt idx="990">
                  <c:v>20.630603877318201</c:v>
                </c:pt>
                <c:pt idx="991">
                  <c:v>20.651437268519661</c:v>
                </c:pt>
                <c:pt idx="992">
                  <c:v>20.6722706597211</c:v>
                </c:pt>
                <c:pt idx="993">
                  <c:v>20.69310405092256</c:v>
                </c:pt>
                <c:pt idx="994">
                  <c:v>20.713937442131279</c:v>
                </c:pt>
                <c:pt idx="995">
                  <c:v>20.734770833332721</c:v>
                </c:pt>
                <c:pt idx="996">
                  <c:v>20.755604224534181</c:v>
                </c:pt>
                <c:pt idx="997">
                  <c:v>20.7764376157429</c:v>
                </c:pt>
                <c:pt idx="998">
                  <c:v>20.79727100694436</c:v>
                </c:pt>
                <c:pt idx="999">
                  <c:v>20.81810439814581</c:v>
                </c:pt>
                <c:pt idx="1000">
                  <c:v>20.838937789354539</c:v>
                </c:pt>
                <c:pt idx="1001">
                  <c:v>20.859771180555981</c:v>
                </c:pt>
                <c:pt idx="1002">
                  <c:v>20.88060457175742</c:v>
                </c:pt>
                <c:pt idx="1003">
                  <c:v>20.901437962966149</c:v>
                </c:pt>
                <c:pt idx="1004">
                  <c:v>20.922271354167599</c:v>
                </c:pt>
                <c:pt idx="1005">
                  <c:v>20.943104745369041</c:v>
                </c:pt>
                <c:pt idx="1006">
                  <c:v>20.963938136570501</c:v>
                </c:pt>
                <c:pt idx="1007">
                  <c:v>20.98477152777922</c:v>
                </c:pt>
                <c:pt idx="1008">
                  <c:v>21.00560491898068</c:v>
                </c:pt>
                <c:pt idx="1009">
                  <c:v>21.026438310182129</c:v>
                </c:pt>
                <c:pt idx="1010">
                  <c:v>21.047271701390859</c:v>
                </c:pt>
                <c:pt idx="1011">
                  <c:v>21.068105092592301</c:v>
                </c:pt>
                <c:pt idx="1012">
                  <c:v>21.088938483793751</c:v>
                </c:pt>
                <c:pt idx="1013">
                  <c:v>21.10977187500248</c:v>
                </c:pt>
                <c:pt idx="1014">
                  <c:v>21.130605266203929</c:v>
                </c:pt>
                <c:pt idx="1015">
                  <c:v>21.151438657405379</c:v>
                </c:pt>
                <c:pt idx="1016">
                  <c:v>21.172272048614101</c:v>
                </c:pt>
                <c:pt idx="1017">
                  <c:v>21.193105439815561</c:v>
                </c:pt>
                <c:pt idx="1018">
                  <c:v>21.213938831017</c:v>
                </c:pt>
                <c:pt idx="1019">
                  <c:v>21.234772222225729</c:v>
                </c:pt>
                <c:pt idx="1020">
                  <c:v>21.255605613427171</c:v>
                </c:pt>
                <c:pt idx="1021">
                  <c:v>21.276439004628621</c:v>
                </c:pt>
                <c:pt idx="1022">
                  <c:v>21.297272395830081</c:v>
                </c:pt>
                <c:pt idx="1023">
                  <c:v>21.31810578703881</c:v>
                </c:pt>
                <c:pt idx="1024">
                  <c:v>21.338939178240249</c:v>
                </c:pt>
                <c:pt idx="1025">
                  <c:v>21.359772569441699</c:v>
                </c:pt>
                <c:pt idx="1026">
                  <c:v>21.380605960650431</c:v>
                </c:pt>
                <c:pt idx="1027">
                  <c:v>21.40143935185187</c:v>
                </c:pt>
                <c:pt idx="1028">
                  <c:v>21.42227274305332</c:v>
                </c:pt>
                <c:pt idx="1029">
                  <c:v>21.443106134262049</c:v>
                </c:pt>
                <c:pt idx="1030">
                  <c:v>21.463939525463491</c:v>
                </c:pt>
                <c:pt idx="1031">
                  <c:v>21.48477291666493</c:v>
                </c:pt>
                <c:pt idx="1032">
                  <c:v>21.50560630787367</c:v>
                </c:pt>
                <c:pt idx="1033">
                  <c:v>21.526439699075119</c:v>
                </c:pt>
                <c:pt idx="1034">
                  <c:v>21.54727309027658</c:v>
                </c:pt>
                <c:pt idx="1035">
                  <c:v>21.568106481478029</c:v>
                </c:pt>
                <c:pt idx="1036">
                  <c:v>21.58893987268673</c:v>
                </c:pt>
                <c:pt idx="1037">
                  <c:v>21.609773263888201</c:v>
                </c:pt>
                <c:pt idx="1038">
                  <c:v>21.63060665508965</c:v>
                </c:pt>
                <c:pt idx="1039">
                  <c:v>21.651440046298379</c:v>
                </c:pt>
                <c:pt idx="1040">
                  <c:v>21.672273437499829</c:v>
                </c:pt>
                <c:pt idx="1041">
                  <c:v>21.693106828701271</c:v>
                </c:pt>
                <c:pt idx="1042">
                  <c:v>21.71394021991</c:v>
                </c:pt>
                <c:pt idx="1043">
                  <c:v>21.73477361111145</c:v>
                </c:pt>
                <c:pt idx="1044">
                  <c:v>21.7556070023129</c:v>
                </c:pt>
                <c:pt idx="1045">
                  <c:v>21.776440393521611</c:v>
                </c:pt>
                <c:pt idx="1046">
                  <c:v>21.797273784723071</c:v>
                </c:pt>
                <c:pt idx="1047">
                  <c:v>21.818107175924521</c:v>
                </c:pt>
                <c:pt idx="1048">
                  <c:v>21.83894056713325</c:v>
                </c:pt>
                <c:pt idx="1049">
                  <c:v>21.859773958334699</c:v>
                </c:pt>
                <c:pt idx="1050">
                  <c:v>21.880607349536149</c:v>
                </c:pt>
                <c:pt idx="1051">
                  <c:v>21.901440740737581</c:v>
                </c:pt>
                <c:pt idx="1052">
                  <c:v>21.92227413194632</c:v>
                </c:pt>
                <c:pt idx="1053">
                  <c:v>21.94310752314777</c:v>
                </c:pt>
                <c:pt idx="1054">
                  <c:v>21.963940914349219</c:v>
                </c:pt>
                <c:pt idx="1055">
                  <c:v>21.984774305557931</c:v>
                </c:pt>
                <c:pt idx="1056">
                  <c:v>22.00560769675938</c:v>
                </c:pt>
                <c:pt idx="1057">
                  <c:v>22.02644108796083</c:v>
                </c:pt>
                <c:pt idx="1058">
                  <c:v>22.04727447916957</c:v>
                </c:pt>
                <c:pt idx="1059">
                  <c:v>22.068107870371009</c:v>
                </c:pt>
                <c:pt idx="1060">
                  <c:v>22.088941261572469</c:v>
                </c:pt>
                <c:pt idx="1061">
                  <c:v>22.109774652781191</c:v>
                </c:pt>
                <c:pt idx="1062">
                  <c:v>22.130608043982651</c:v>
                </c:pt>
                <c:pt idx="1063">
                  <c:v>22.1514414351841</c:v>
                </c:pt>
                <c:pt idx="1064">
                  <c:v>22.17227482638555</c:v>
                </c:pt>
                <c:pt idx="1065">
                  <c:v>22.193108217594279</c:v>
                </c:pt>
                <c:pt idx="1066">
                  <c:v>22.213941608795729</c:v>
                </c:pt>
                <c:pt idx="1067">
                  <c:v>22.234774999997171</c:v>
                </c:pt>
                <c:pt idx="1068">
                  <c:v>22.25560839120589</c:v>
                </c:pt>
                <c:pt idx="1069">
                  <c:v>22.276441782407339</c:v>
                </c:pt>
                <c:pt idx="1070">
                  <c:v>22.297275173608799</c:v>
                </c:pt>
                <c:pt idx="1071">
                  <c:v>22.318108564817521</c:v>
                </c:pt>
                <c:pt idx="1072">
                  <c:v>22.338941956018971</c:v>
                </c:pt>
                <c:pt idx="1073">
                  <c:v>22.35977534722042</c:v>
                </c:pt>
                <c:pt idx="1074">
                  <c:v>22.380608738429139</c:v>
                </c:pt>
                <c:pt idx="1075">
                  <c:v>22.401442129630588</c:v>
                </c:pt>
                <c:pt idx="1076">
                  <c:v>22.422275520832041</c:v>
                </c:pt>
                <c:pt idx="1077">
                  <c:v>22.443108912033491</c:v>
                </c:pt>
                <c:pt idx="1078">
                  <c:v>22.46394230324222</c:v>
                </c:pt>
                <c:pt idx="1079">
                  <c:v>22.48477569444367</c:v>
                </c:pt>
                <c:pt idx="1080">
                  <c:v>22.505609085645119</c:v>
                </c:pt>
                <c:pt idx="1081">
                  <c:v>22.52644247685383</c:v>
                </c:pt>
                <c:pt idx="1082">
                  <c:v>22.547275868055301</c:v>
                </c:pt>
                <c:pt idx="1083">
                  <c:v>22.56810925925674</c:v>
                </c:pt>
                <c:pt idx="1084">
                  <c:v>22.588942650465469</c:v>
                </c:pt>
                <c:pt idx="1085">
                  <c:v>22.609776041666919</c:v>
                </c:pt>
                <c:pt idx="1086">
                  <c:v>22.630609432868361</c:v>
                </c:pt>
                <c:pt idx="1087">
                  <c:v>22.65144282407709</c:v>
                </c:pt>
                <c:pt idx="1088">
                  <c:v>22.67227621527854</c:v>
                </c:pt>
                <c:pt idx="1089">
                  <c:v>22.69310960647999</c:v>
                </c:pt>
                <c:pt idx="1090">
                  <c:v>22.713942997688719</c:v>
                </c:pt>
                <c:pt idx="1091">
                  <c:v>22.734776388890172</c:v>
                </c:pt>
                <c:pt idx="1092">
                  <c:v>22.755609780091611</c:v>
                </c:pt>
                <c:pt idx="1093">
                  <c:v>22.77644317129306</c:v>
                </c:pt>
                <c:pt idx="1094">
                  <c:v>22.797276562501789</c:v>
                </c:pt>
                <c:pt idx="1095">
                  <c:v>22.818109953703239</c:v>
                </c:pt>
                <c:pt idx="1096">
                  <c:v>22.838943344904688</c:v>
                </c:pt>
                <c:pt idx="1097">
                  <c:v>22.859776736113421</c:v>
                </c:pt>
                <c:pt idx="1098">
                  <c:v>22.880610127314871</c:v>
                </c:pt>
                <c:pt idx="1099">
                  <c:v>22.901443518516309</c:v>
                </c:pt>
                <c:pt idx="1100">
                  <c:v>22.922276909725021</c:v>
                </c:pt>
                <c:pt idx="1101">
                  <c:v>22.943110300926481</c:v>
                </c:pt>
                <c:pt idx="1102">
                  <c:v>22.96394369212792</c:v>
                </c:pt>
                <c:pt idx="1103">
                  <c:v>22.98477708333666</c:v>
                </c:pt>
                <c:pt idx="1104">
                  <c:v>23.005610474538109</c:v>
                </c:pt>
                <c:pt idx="1105">
                  <c:v>23.026443865739559</c:v>
                </c:pt>
                <c:pt idx="1106">
                  <c:v>23.047277256941008</c:v>
                </c:pt>
                <c:pt idx="1107">
                  <c:v>23.06811064814972</c:v>
                </c:pt>
                <c:pt idx="1108">
                  <c:v>23.08894403935118</c:v>
                </c:pt>
                <c:pt idx="1109">
                  <c:v>23.10977743055264</c:v>
                </c:pt>
                <c:pt idx="1110">
                  <c:v>23.130610821761351</c:v>
                </c:pt>
                <c:pt idx="1111">
                  <c:v>23.151444212962812</c:v>
                </c:pt>
                <c:pt idx="1112">
                  <c:v>23.172277604164261</c:v>
                </c:pt>
                <c:pt idx="1113">
                  <c:v>23.19311099537299</c:v>
                </c:pt>
                <c:pt idx="1114">
                  <c:v>23.21394438657444</c:v>
                </c:pt>
                <c:pt idx="1115">
                  <c:v>23.234777777775889</c:v>
                </c:pt>
                <c:pt idx="1116">
                  <c:v>23.255611168984611</c:v>
                </c:pt>
                <c:pt idx="1117">
                  <c:v>23.276444560186061</c:v>
                </c:pt>
                <c:pt idx="1118">
                  <c:v>23.29727795138751</c:v>
                </c:pt>
                <c:pt idx="1119">
                  <c:v>23.31811134258896</c:v>
                </c:pt>
                <c:pt idx="1120">
                  <c:v>23.338944733797689</c:v>
                </c:pt>
                <c:pt idx="1121">
                  <c:v>23.359778124999139</c:v>
                </c:pt>
                <c:pt idx="1122">
                  <c:v>23.380611516200592</c:v>
                </c:pt>
                <c:pt idx="1123">
                  <c:v>23.40144490740931</c:v>
                </c:pt>
                <c:pt idx="1124">
                  <c:v>23.42227829861076</c:v>
                </c:pt>
                <c:pt idx="1125">
                  <c:v>23.443111689812209</c:v>
                </c:pt>
                <c:pt idx="1126">
                  <c:v>23.46394508102092</c:v>
                </c:pt>
                <c:pt idx="1127">
                  <c:v>23.484778472222381</c:v>
                </c:pt>
                <c:pt idx="1128">
                  <c:v>23.50561186342382</c:v>
                </c:pt>
                <c:pt idx="1129">
                  <c:v>23.526445254632559</c:v>
                </c:pt>
                <c:pt idx="1130">
                  <c:v>23.54727864583402</c:v>
                </c:pt>
                <c:pt idx="1131">
                  <c:v>23.568112037035451</c:v>
                </c:pt>
                <c:pt idx="1132">
                  <c:v>23.588945428244202</c:v>
                </c:pt>
                <c:pt idx="1133">
                  <c:v>23.609778819445641</c:v>
                </c:pt>
                <c:pt idx="1134">
                  <c:v>23.63061221064709</c:v>
                </c:pt>
                <c:pt idx="1135">
                  <c:v>23.65144560184854</c:v>
                </c:pt>
                <c:pt idx="1136">
                  <c:v>23.672278993057269</c:v>
                </c:pt>
                <c:pt idx="1137">
                  <c:v>23.693112384258711</c:v>
                </c:pt>
                <c:pt idx="1138">
                  <c:v>23.713945775460161</c:v>
                </c:pt>
                <c:pt idx="1139">
                  <c:v>23.73477916666889</c:v>
                </c:pt>
                <c:pt idx="1140">
                  <c:v>23.755612557870322</c:v>
                </c:pt>
                <c:pt idx="1141">
                  <c:v>23.776445949071778</c:v>
                </c:pt>
                <c:pt idx="1142">
                  <c:v>23.797279340280511</c:v>
                </c:pt>
                <c:pt idx="1143">
                  <c:v>23.818112731481961</c:v>
                </c:pt>
                <c:pt idx="1144">
                  <c:v>23.83894612268341</c:v>
                </c:pt>
                <c:pt idx="1145">
                  <c:v>23.859779513892139</c:v>
                </c:pt>
                <c:pt idx="1146">
                  <c:v>23.880612905093582</c:v>
                </c:pt>
                <c:pt idx="1147">
                  <c:v>23.90144629629502</c:v>
                </c:pt>
                <c:pt idx="1148">
                  <c:v>23.922279687496481</c:v>
                </c:pt>
                <c:pt idx="1149">
                  <c:v>23.943113078705188</c:v>
                </c:pt>
                <c:pt idx="1150">
                  <c:v>23.963946469906659</c:v>
                </c:pt>
                <c:pt idx="1151">
                  <c:v>23.984779861108109</c:v>
                </c:pt>
                <c:pt idx="1152">
                  <c:v>24.00561325231682</c:v>
                </c:pt>
                <c:pt idx="1153">
                  <c:v>24.02644664351828</c:v>
                </c:pt>
                <c:pt idx="1154">
                  <c:v>24.04728003471973</c:v>
                </c:pt>
                <c:pt idx="1155">
                  <c:v>24.068113425928459</c:v>
                </c:pt>
                <c:pt idx="1156">
                  <c:v>24.088946817129891</c:v>
                </c:pt>
                <c:pt idx="1157">
                  <c:v>24.10978020833134</c:v>
                </c:pt>
                <c:pt idx="1158">
                  <c:v>24.13061359954008</c:v>
                </c:pt>
                <c:pt idx="1159">
                  <c:v>24.15144699074153</c:v>
                </c:pt>
                <c:pt idx="1160">
                  <c:v>24.172280381942979</c:v>
                </c:pt>
                <c:pt idx="1161">
                  <c:v>24.193113773151701</c:v>
                </c:pt>
                <c:pt idx="1162">
                  <c:v>24.213947164353161</c:v>
                </c:pt>
                <c:pt idx="1163">
                  <c:v>24.234780555554611</c:v>
                </c:pt>
                <c:pt idx="1164">
                  <c:v>24.25561394675605</c:v>
                </c:pt>
                <c:pt idx="1165">
                  <c:v>24.276447337964779</c:v>
                </c:pt>
                <c:pt idx="1166">
                  <c:v>24.297280729166228</c:v>
                </c:pt>
                <c:pt idx="1167">
                  <c:v>24.318114120367689</c:v>
                </c:pt>
                <c:pt idx="1168">
                  <c:v>24.338947511576411</c:v>
                </c:pt>
                <c:pt idx="1169">
                  <c:v>24.35978090277785</c:v>
                </c:pt>
                <c:pt idx="1170">
                  <c:v>24.380614293979288</c:v>
                </c:pt>
                <c:pt idx="1171">
                  <c:v>24.401447685188021</c:v>
                </c:pt>
                <c:pt idx="1172">
                  <c:v>24.422281076389481</c:v>
                </c:pt>
                <c:pt idx="1173">
                  <c:v>24.443114467590931</c:v>
                </c:pt>
                <c:pt idx="1174">
                  <c:v>24.463947858799649</c:v>
                </c:pt>
                <c:pt idx="1175">
                  <c:v>24.484781250001099</c:v>
                </c:pt>
                <c:pt idx="1176">
                  <c:v>24.505614641202559</c:v>
                </c:pt>
                <c:pt idx="1177">
                  <c:v>24.526448032404002</c:v>
                </c:pt>
                <c:pt idx="1178">
                  <c:v>24.547281423612731</c:v>
                </c:pt>
                <c:pt idx="1179">
                  <c:v>24.56811481481418</c:v>
                </c:pt>
                <c:pt idx="1180">
                  <c:v>24.58894820601563</c:v>
                </c:pt>
                <c:pt idx="1181">
                  <c:v>24.609781597224352</c:v>
                </c:pt>
                <c:pt idx="1182">
                  <c:v>24.630614988425801</c:v>
                </c:pt>
                <c:pt idx="1183">
                  <c:v>24.651448379627251</c:v>
                </c:pt>
                <c:pt idx="1184">
                  <c:v>24.67228177083598</c:v>
                </c:pt>
                <c:pt idx="1185">
                  <c:v>24.69311516203744</c:v>
                </c:pt>
                <c:pt idx="1186">
                  <c:v>24.713948553238879</c:v>
                </c:pt>
                <c:pt idx="1187">
                  <c:v>24.734781944447601</c:v>
                </c:pt>
                <c:pt idx="1188">
                  <c:v>24.75561533564905</c:v>
                </c:pt>
                <c:pt idx="1189">
                  <c:v>24.776448726850511</c:v>
                </c:pt>
                <c:pt idx="1190">
                  <c:v>24.79728211805195</c:v>
                </c:pt>
                <c:pt idx="1191">
                  <c:v>24.818115509260679</c:v>
                </c:pt>
                <c:pt idx="1192">
                  <c:v>24.838948900462132</c:v>
                </c:pt>
                <c:pt idx="1193">
                  <c:v>24.859782291663571</c:v>
                </c:pt>
                <c:pt idx="1194">
                  <c:v>24.8806156828723</c:v>
                </c:pt>
                <c:pt idx="1195">
                  <c:v>24.901449074073739</c:v>
                </c:pt>
                <c:pt idx="1196">
                  <c:v>24.922282465275199</c:v>
                </c:pt>
                <c:pt idx="1197">
                  <c:v>24.943115856483921</c:v>
                </c:pt>
                <c:pt idx="1198">
                  <c:v>24.96394924768536</c:v>
                </c:pt>
                <c:pt idx="1199">
                  <c:v>24.98478263888682</c:v>
                </c:pt>
                <c:pt idx="1200">
                  <c:v>25.005616030095549</c:v>
                </c:pt>
                <c:pt idx="1201">
                  <c:v>25.026449421296999</c:v>
                </c:pt>
                <c:pt idx="1202">
                  <c:v>25.047282812498459</c:v>
                </c:pt>
                <c:pt idx="1203">
                  <c:v>25.068116203707159</c:v>
                </c:pt>
                <c:pt idx="1204">
                  <c:v>25.08894959490862</c:v>
                </c:pt>
                <c:pt idx="1205">
                  <c:v>25.10978298611008</c:v>
                </c:pt>
                <c:pt idx="1206">
                  <c:v>25.130616377311529</c:v>
                </c:pt>
                <c:pt idx="1207">
                  <c:v>25.151449768520251</c:v>
                </c:pt>
                <c:pt idx="1208">
                  <c:v>25.172283159721701</c:v>
                </c:pt>
                <c:pt idx="1209">
                  <c:v>25.193116550923129</c:v>
                </c:pt>
                <c:pt idx="1210">
                  <c:v>25.213949942131869</c:v>
                </c:pt>
                <c:pt idx="1211">
                  <c:v>25.234783333333311</c:v>
                </c:pt>
                <c:pt idx="1212">
                  <c:v>25.255616724534772</c:v>
                </c:pt>
                <c:pt idx="1213">
                  <c:v>25.276450115743501</c:v>
                </c:pt>
                <c:pt idx="1214">
                  <c:v>25.29728350694495</c:v>
                </c:pt>
                <c:pt idx="1215">
                  <c:v>25.3181168981464</c:v>
                </c:pt>
                <c:pt idx="1216">
                  <c:v>25.338950289355129</c:v>
                </c:pt>
                <c:pt idx="1217">
                  <c:v>25.359783680556571</c:v>
                </c:pt>
                <c:pt idx="1218">
                  <c:v>25.380617071758021</c:v>
                </c:pt>
                <c:pt idx="1219">
                  <c:v>25.401450462959481</c:v>
                </c:pt>
                <c:pt idx="1220">
                  <c:v>25.422283854168182</c:v>
                </c:pt>
                <c:pt idx="1221">
                  <c:v>25.443117245369631</c:v>
                </c:pt>
                <c:pt idx="1222">
                  <c:v>25.463950636571081</c:v>
                </c:pt>
                <c:pt idx="1223">
                  <c:v>25.484784027779821</c:v>
                </c:pt>
                <c:pt idx="1224">
                  <c:v>25.50561741898127</c:v>
                </c:pt>
                <c:pt idx="1225">
                  <c:v>25.52645081018272</c:v>
                </c:pt>
                <c:pt idx="1226">
                  <c:v>25.547284201391449</c:v>
                </c:pt>
                <c:pt idx="1227">
                  <c:v>25.568117592592881</c:v>
                </c:pt>
                <c:pt idx="1228">
                  <c:v>25.588950983794341</c:v>
                </c:pt>
                <c:pt idx="1229">
                  <c:v>25.60978437500307</c:v>
                </c:pt>
                <c:pt idx="1230">
                  <c:v>25.63061776620453</c:v>
                </c:pt>
                <c:pt idx="1231">
                  <c:v>25.65145115740598</c:v>
                </c:pt>
                <c:pt idx="1232">
                  <c:v>25.672284548614702</c:v>
                </c:pt>
                <c:pt idx="1233">
                  <c:v>25.693117939816151</c:v>
                </c:pt>
                <c:pt idx="1234">
                  <c:v>25.713951331017601</c:v>
                </c:pt>
                <c:pt idx="1235">
                  <c:v>25.73478472221905</c:v>
                </c:pt>
                <c:pt idx="1236">
                  <c:v>25.755618113427769</c:v>
                </c:pt>
                <c:pt idx="1237">
                  <c:v>25.776451504629222</c:v>
                </c:pt>
                <c:pt idx="1238">
                  <c:v>25.797284895830671</c:v>
                </c:pt>
                <c:pt idx="1239">
                  <c:v>25.81811828703939</c:v>
                </c:pt>
                <c:pt idx="1240">
                  <c:v>25.83895167824085</c:v>
                </c:pt>
                <c:pt idx="1241">
                  <c:v>25.859785069442299</c:v>
                </c:pt>
                <c:pt idx="1242">
                  <c:v>25.880618460651021</c:v>
                </c:pt>
                <c:pt idx="1243">
                  <c:v>25.901451851852471</c:v>
                </c:pt>
                <c:pt idx="1244">
                  <c:v>25.922285243053921</c:v>
                </c:pt>
                <c:pt idx="1245">
                  <c:v>25.943118634262639</c:v>
                </c:pt>
                <c:pt idx="1246">
                  <c:v>25.963952025464099</c:v>
                </c:pt>
                <c:pt idx="1247">
                  <c:v>25.984785416665542</c:v>
                </c:pt>
                <c:pt idx="1248">
                  <c:v>26.005618807866981</c:v>
                </c:pt>
                <c:pt idx="1249">
                  <c:v>26.02645219907572</c:v>
                </c:pt>
                <c:pt idx="1250">
                  <c:v>26.04728559027717</c:v>
                </c:pt>
                <c:pt idx="1251">
                  <c:v>26.068118981478619</c:v>
                </c:pt>
                <c:pt idx="1252">
                  <c:v>26.088952372687331</c:v>
                </c:pt>
                <c:pt idx="1253">
                  <c:v>26.109785763888802</c:v>
                </c:pt>
                <c:pt idx="1254">
                  <c:v>26.13061915509024</c:v>
                </c:pt>
                <c:pt idx="1255">
                  <c:v>26.15145254629897</c:v>
                </c:pt>
                <c:pt idx="1256">
                  <c:v>26.172285937500419</c:v>
                </c:pt>
                <c:pt idx="1257">
                  <c:v>26.193119328701869</c:v>
                </c:pt>
                <c:pt idx="1258">
                  <c:v>26.213952719910601</c:v>
                </c:pt>
                <c:pt idx="1259">
                  <c:v>26.23478611111204</c:v>
                </c:pt>
                <c:pt idx="1260">
                  <c:v>26.255619502313479</c:v>
                </c:pt>
                <c:pt idx="1261">
                  <c:v>26.276452893514939</c:v>
                </c:pt>
                <c:pt idx="1262">
                  <c:v>26.297286284723651</c:v>
                </c:pt>
                <c:pt idx="1263">
                  <c:v>26.3181196759251</c:v>
                </c:pt>
                <c:pt idx="1264">
                  <c:v>26.338953067126571</c:v>
                </c:pt>
                <c:pt idx="1265">
                  <c:v>26.359786458335289</c:v>
                </c:pt>
                <c:pt idx="1266">
                  <c:v>26.380619849536728</c:v>
                </c:pt>
                <c:pt idx="1267">
                  <c:v>26.401453240738181</c:v>
                </c:pt>
                <c:pt idx="1268">
                  <c:v>26.4222866319469</c:v>
                </c:pt>
                <c:pt idx="1269">
                  <c:v>26.44312002314836</c:v>
                </c:pt>
                <c:pt idx="1270">
                  <c:v>26.46395341434982</c:v>
                </c:pt>
                <c:pt idx="1271">
                  <c:v>26.484786805558539</c:v>
                </c:pt>
                <c:pt idx="1272">
                  <c:v>26.505620196759981</c:v>
                </c:pt>
                <c:pt idx="1273">
                  <c:v>26.52645358796142</c:v>
                </c:pt>
                <c:pt idx="1274">
                  <c:v>26.54728697917016</c:v>
                </c:pt>
                <c:pt idx="1275">
                  <c:v>26.568120370371599</c:v>
                </c:pt>
                <c:pt idx="1276">
                  <c:v>26.58895376157307</c:v>
                </c:pt>
                <c:pt idx="1277">
                  <c:v>26.609787152774519</c:v>
                </c:pt>
                <c:pt idx="1278">
                  <c:v>26.63062054398322</c:v>
                </c:pt>
                <c:pt idx="1279">
                  <c:v>26.651453935184701</c:v>
                </c:pt>
                <c:pt idx="1280">
                  <c:v>26.67228732638614</c:v>
                </c:pt>
                <c:pt idx="1281">
                  <c:v>26.693120717594869</c:v>
                </c:pt>
                <c:pt idx="1282">
                  <c:v>26.713954108796319</c:v>
                </c:pt>
                <c:pt idx="1283">
                  <c:v>26.734787499997761</c:v>
                </c:pt>
                <c:pt idx="1284">
                  <c:v>26.75562089120649</c:v>
                </c:pt>
                <c:pt idx="1285">
                  <c:v>26.77645428240794</c:v>
                </c:pt>
                <c:pt idx="1286">
                  <c:v>26.797287673609389</c:v>
                </c:pt>
                <c:pt idx="1287">
                  <c:v>26.818121064818119</c:v>
                </c:pt>
                <c:pt idx="1288">
                  <c:v>26.838954456019572</c:v>
                </c:pt>
                <c:pt idx="1289">
                  <c:v>26.859787847221011</c:v>
                </c:pt>
                <c:pt idx="1290">
                  <c:v>26.88062123842246</c:v>
                </c:pt>
                <c:pt idx="1291">
                  <c:v>26.901454629631189</c:v>
                </c:pt>
                <c:pt idx="1292">
                  <c:v>26.922288020832639</c:v>
                </c:pt>
                <c:pt idx="1293">
                  <c:v>26.943121412034088</c:v>
                </c:pt>
                <c:pt idx="1294">
                  <c:v>26.96395480324281</c:v>
                </c:pt>
                <c:pt idx="1295">
                  <c:v>26.98478819444426</c:v>
                </c:pt>
                <c:pt idx="1296">
                  <c:v>27.005621585645709</c:v>
                </c:pt>
                <c:pt idx="1297">
                  <c:v>27.026454976854438</c:v>
                </c:pt>
                <c:pt idx="1298">
                  <c:v>27.047288368055899</c:v>
                </c:pt>
                <c:pt idx="1299">
                  <c:v>27.06812175925733</c:v>
                </c:pt>
                <c:pt idx="1300">
                  <c:v>27.08895515046607</c:v>
                </c:pt>
                <c:pt idx="1301">
                  <c:v>27.109788541667509</c:v>
                </c:pt>
                <c:pt idx="1302">
                  <c:v>27.130621932868959</c:v>
                </c:pt>
                <c:pt idx="1303">
                  <c:v>27.151455324077698</c:v>
                </c:pt>
                <c:pt idx="1304">
                  <c:v>27.172288715279141</c:v>
                </c:pt>
                <c:pt idx="1305">
                  <c:v>27.193122106480601</c:v>
                </c:pt>
                <c:pt idx="1306">
                  <c:v>27.21395549768204</c:v>
                </c:pt>
                <c:pt idx="1307">
                  <c:v>27.234788888890769</c:v>
                </c:pt>
                <c:pt idx="1308">
                  <c:v>27.25562228009219</c:v>
                </c:pt>
                <c:pt idx="1309">
                  <c:v>27.276455671293661</c:v>
                </c:pt>
                <c:pt idx="1310">
                  <c:v>27.29728906250239</c:v>
                </c:pt>
                <c:pt idx="1311">
                  <c:v>27.318122453703829</c:v>
                </c:pt>
                <c:pt idx="1312">
                  <c:v>27.338955844905289</c:v>
                </c:pt>
                <c:pt idx="1313">
                  <c:v>27.359789236114011</c:v>
                </c:pt>
                <c:pt idx="1314">
                  <c:v>27.380622627315461</c:v>
                </c:pt>
                <c:pt idx="1315">
                  <c:v>27.40145601851691</c:v>
                </c:pt>
                <c:pt idx="1316">
                  <c:v>27.422289409725622</c:v>
                </c:pt>
                <c:pt idx="1317">
                  <c:v>27.44312280092706</c:v>
                </c:pt>
                <c:pt idx="1318">
                  <c:v>27.463956192128531</c:v>
                </c:pt>
                <c:pt idx="1319">
                  <c:v>27.48478958332996</c:v>
                </c:pt>
                <c:pt idx="1320">
                  <c:v>27.505622974538689</c:v>
                </c:pt>
                <c:pt idx="1321">
                  <c:v>27.52645636574016</c:v>
                </c:pt>
                <c:pt idx="1322">
                  <c:v>27.547289756941609</c:v>
                </c:pt>
                <c:pt idx="1323">
                  <c:v>27.56812314815032</c:v>
                </c:pt>
                <c:pt idx="1324">
                  <c:v>27.588956539351781</c:v>
                </c:pt>
                <c:pt idx="1325">
                  <c:v>27.60978993055322</c:v>
                </c:pt>
                <c:pt idx="1326">
                  <c:v>27.630623321761959</c:v>
                </c:pt>
                <c:pt idx="1327">
                  <c:v>27.651456712963409</c:v>
                </c:pt>
                <c:pt idx="1328">
                  <c:v>27.672290104164851</c:v>
                </c:pt>
                <c:pt idx="1329">
                  <c:v>27.69312349537358</c:v>
                </c:pt>
                <c:pt idx="1330">
                  <c:v>27.71395688657503</c:v>
                </c:pt>
                <c:pt idx="1331">
                  <c:v>27.734790277776479</c:v>
                </c:pt>
                <c:pt idx="1332">
                  <c:v>27.755623668977918</c:v>
                </c:pt>
                <c:pt idx="1333">
                  <c:v>27.776457060186662</c:v>
                </c:pt>
                <c:pt idx="1334">
                  <c:v>27.797290451388111</c:v>
                </c:pt>
                <c:pt idx="1335">
                  <c:v>27.81812384258955</c:v>
                </c:pt>
                <c:pt idx="1336">
                  <c:v>27.83895723379829</c:v>
                </c:pt>
                <c:pt idx="1337">
                  <c:v>27.859790624999729</c:v>
                </c:pt>
                <c:pt idx="1338">
                  <c:v>27.880624016201178</c:v>
                </c:pt>
                <c:pt idx="1339">
                  <c:v>27.901457407409911</c:v>
                </c:pt>
                <c:pt idx="1340">
                  <c:v>27.92229079861135</c:v>
                </c:pt>
                <c:pt idx="1341">
                  <c:v>27.94312418981281</c:v>
                </c:pt>
                <c:pt idx="1342">
                  <c:v>27.963957581021521</c:v>
                </c:pt>
                <c:pt idx="1343">
                  <c:v>27.984790972222971</c:v>
                </c:pt>
                <c:pt idx="1344">
                  <c:v>28.005624363424431</c:v>
                </c:pt>
                <c:pt idx="1345">
                  <c:v>28.02645775463316</c:v>
                </c:pt>
                <c:pt idx="1346">
                  <c:v>28.04729114583461</c:v>
                </c:pt>
                <c:pt idx="1347">
                  <c:v>28.068124537036049</c:v>
                </c:pt>
                <c:pt idx="1348">
                  <c:v>28.088957928237509</c:v>
                </c:pt>
                <c:pt idx="1349">
                  <c:v>28.109791319446231</c:v>
                </c:pt>
                <c:pt idx="1350">
                  <c:v>28.13062471064768</c:v>
                </c:pt>
                <c:pt idx="1351">
                  <c:v>28.15145810184913</c:v>
                </c:pt>
                <c:pt idx="1352">
                  <c:v>28.172291493057859</c:v>
                </c:pt>
                <c:pt idx="1353">
                  <c:v>28.193124884259301</c:v>
                </c:pt>
                <c:pt idx="1354">
                  <c:v>28.213958275460751</c:v>
                </c:pt>
                <c:pt idx="1355">
                  <c:v>28.23479166666948</c:v>
                </c:pt>
                <c:pt idx="1356">
                  <c:v>28.25562505787093</c:v>
                </c:pt>
                <c:pt idx="1357">
                  <c:v>28.276458449072379</c:v>
                </c:pt>
                <c:pt idx="1358">
                  <c:v>28.297291840281101</c:v>
                </c:pt>
                <c:pt idx="1359">
                  <c:v>28.318125231482551</c:v>
                </c:pt>
                <c:pt idx="1360">
                  <c:v>28.338958622684011</c:v>
                </c:pt>
                <c:pt idx="1361">
                  <c:v>28.35979201388545</c:v>
                </c:pt>
                <c:pt idx="1362">
                  <c:v>28.380625405094179</c:v>
                </c:pt>
                <c:pt idx="1363">
                  <c:v>28.401458796295628</c:v>
                </c:pt>
                <c:pt idx="1364">
                  <c:v>28.422292187497071</c:v>
                </c:pt>
                <c:pt idx="1365">
                  <c:v>28.443125578705789</c:v>
                </c:pt>
                <c:pt idx="1366">
                  <c:v>28.463958969907249</c:v>
                </c:pt>
                <c:pt idx="1367">
                  <c:v>28.484792361108699</c:v>
                </c:pt>
                <c:pt idx="1368">
                  <c:v>28.505625752317432</c:v>
                </c:pt>
                <c:pt idx="1369">
                  <c:v>28.526459143518881</c:v>
                </c:pt>
                <c:pt idx="1370">
                  <c:v>28.547292534720309</c:v>
                </c:pt>
                <c:pt idx="1371">
                  <c:v>28.568125925929049</c:v>
                </c:pt>
                <c:pt idx="1372">
                  <c:v>28.588959317130499</c:v>
                </c:pt>
                <c:pt idx="1373">
                  <c:v>28.609792708331941</c:v>
                </c:pt>
                <c:pt idx="1374">
                  <c:v>28.630626099533401</c:v>
                </c:pt>
                <c:pt idx="1375">
                  <c:v>28.65145949074213</c:v>
                </c:pt>
                <c:pt idx="1376">
                  <c:v>28.672292881943569</c:v>
                </c:pt>
                <c:pt idx="1377">
                  <c:v>28.693126273145019</c:v>
                </c:pt>
                <c:pt idx="1378">
                  <c:v>28.713959664353759</c:v>
                </c:pt>
                <c:pt idx="1379">
                  <c:v>28.734793055555201</c:v>
                </c:pt>
                <c:pt idx="1380">
                  <c:v>28.755626446756651</c:v>
                </c:pt>
                <c:pt idx="1381">
                  <c:v>28.776459837965358</c:v>
                </c:pt>
                <c:pt idx="1382">
                  <c:v>28.797293229166829</c:v>
                </c:pt>
                <c:pt idx="1383">
                  <c:v>28.818126620368272</c:v>
                </c:pt>
                <c:pt idx="1384">
                  <c:v>28.838960011577001</c:v>
                </c:pt>
                <c:pt idx="1385">
                  <c:v>28.85979340277845</c:v>
                </c:pt>
                <c:pt idx="1386">
                  <c:v>28.880626793979879</c:v>
                </c:pt>
                <c:pt idx="1387">
                  <c:v>28.901460185188629</c:v>
                </c:pt>
                <c:pt idx="1388">
                  <c:v>28.922293576390061</c:v>
                </c:pt>
                <c:pt idx="1389">
                  <c:v>28.943126967591521</c:v>
                </c:pt>
                <c:pt idx="1390">
                  <c:v>28.963960358792971</c:v>
                </c:pt>
                <c:pt idx="1391">
                  <c:v>28.9847937500017</c:v>
                </c:pt>
                <c:pt idx="1392">
                  <c:v>29.005627141203149</c:v>
                </c:pt>
                <c:pt idx="1393">
                  <c:v>29.026460532404599</c:v>
                </c:pt>
                <c:pt idx="1394">
                  <c:v>29.047293923613321</c:v>
                </c:pt>
                <c:pt idx="1395">
                  <c:v>29.06812731481477</c:v>
                </c:pt>
                <c:pt idx="1396">
                  <c:v>29.088960706016231</c:v>
                </c:pt>
                <c:pt idx="1397">
                  <c:v>29.109794097224949</c:v>
                </c:pt>
                <c:pt idx="1398">
                  <c:v>29.130627488426391</c:v>
                </c:pt>
                <c:pt idx="1399">
                  <c:v>29.151460879627841</c:v>
                </c:pt>
                <c:pt idx="1400">
                  <c:v>29.17229427083657</c:v>
                </c:pt>
                <c:pt idx="1401">
                  <c:v>29.19312766203803</c:v>
                </c:pt>
                <c:pt idx="1402">
                  <c:v>29.21396105323948</c:v>
                </c:pt>
                <c:pt idx="1403">
                  <c:v>29.234794444440929</c:v>
                </c:pt>
                <c:pt idx="1404">
                  <c:v>29.25562783564963</c:v>
                </c:pt>
                <c:pt idx="1405">
                  <c:v>29.276461226851101</c:v>
                </c:pt>
                <c:pt idx="1406">
                  <c:v>29.29729461805255</c:v>
                </c:pt>
                <c:pt idx="1407">
                  <c:v>29.318128009261269</c:v>
                </c:pt>
                <c:pt idx="1408">
                  <c:v>29.338961400462729</c:v>
                </c:pt>
                <c:pt idx="1409">
                  <c:v>29.359794791664171</c:v>
                </c:pt>
                <c:pt idx="1410">
                  <c:v>29.38062818287289</c:v>
                </c:pt>
                <c:pt idx="1411">
                  <c:v>29.401461574074339</c:v>
                </c:pt>
                <c:pt idx="1412">
                  <c:v>29.422294965275789</c:v>
                </c:pt>
                <c:pt idx="1413">
                  <c:v>29.443128356484529</c:v>
                </c:pt>
                <c:pt idx="1414">
                  <c:v>29.463961747685971</c:v>
                </c:pt>
                <c:pt idx="1415">
                  <c:v>29.484795138887421</c:v>
                </c:pt>
                <c:pt idx="1416">
                  <c:v>29.505628530096139</c:v>
                </c:pt>
                <c:pt idx="1417">
                  <c:v>29.526461921297599</c:v>
                </c:pt>
                <c:pt idx="1418">
                  <c:v>29.547295312499049</c:v>
                </c:pt>
                <c:pt idx="1419">
                  <c:v>29.568128703700491</c:v>
                </c:pt>
                <c:pt idx="1420">
                  <c:v>29.58896209490922</c:v>
                </c:pt>
                <c:pt idx="1421">
                  <c:v>29.60979548611067</c:v>
                </c:pt>
                <c:pt idx="1422">
                  <c:v>29.63062887731212</c:v>
                </c:pt>
                <c:pt idx="1423">
                  <c:v>29.651462268520842</c:v>
                </c:pt>
                <c:pt idx="1424">
                  <c:v>29.672295659722291</c:v>
                </c:pt>
                <c:pt idx="1425">
                  <c:v>29.69312905092373</c:v>
                </c:pt>
                <c:pt idx="1426">
                  <c:v>29.71396244213247</c:v>
                </c:pt>
                <c:pt idx="1427">
                  <c:v>29.734795833333919</c:v>
                </c:pt>
                <c:pt idx="1428">
                  <c:v>29.755629224535351</c:v>
                </c:pt>
                <c:pt idx="1429">
                  <c:v>29.776462615744091</c:v>
                </c:pt>
                <c:pt idx="1430">
                  <c:v>29.79729600694554</c:v>
                </c:pt>
                <c:pt idx="1431">
                  <c:v>29.81812939814699</c:v>
                </c:pt>
                <c:pt idx="1432">
                  <c:v>29.83896278934845</c:v>
                </c:pt>
                <c:pt idx="1433">
                  <c:v>29.859796180557169</c:v>
                </c:pt>
                <c:pt idx="1434">
                  <c:v>29.8806295717586</c:v>
                </c:pt>
                <c:pt idx="1435">
                  <c:v>29.901462962960061</c:v>
                </c:pt>
                <c:pt idx="1436">
                  <c:v>29.922296354168779</c:v>
                </c:pt>
                <c:pt idx="1437">
                  <c:v>29.943129745370229</c:v>
                </c:pt>
                <c:pt idx="1438">
                  <c:v>29.963963136571689</c:v>
                </c:pt>
                <c:pt idx="1439">
                  <c:v>29.984796527780411</c:v>
                </c:pt>
                <c:pt idx="1440">
                  <c:v>30.00562991898185</c:v>
                </c:pt>
                <c:pt idx="1441">
                  <c:v>30.02646331018331</c:v>
                </c:pt>
                <c:pt idx="1442">
                  <c:v>30.047296701392039</c:v>
                </c:pt>
                <c:pt idx="1443">
                  <c:v>30.068130092593481</c:v>
                </c:pt>
                <c:pt idx="1444">
                  <c:v>30.088963483794942</c:v>
                </c:pt>
                <c:pt idx="1445">
                  <c:v>30.10979687499638</c:v>
                </c:pt>
                <c:pt idx="1446">
                  <c:v>30.13063026620512</c:v>
                </c:pt>
                <c:pt idx="1447">
                  <c:v>30.15146365740657</c:v>
                </c:pt>
                <c:pt idx="1448">
                  <c:v>30.172297048608019</c:v>
                </c:pt>
                <c:pt idx="1449">
                  <c:v>30.193130439816741</c:v>
                </c:pt>
                <c:pt idx="1450">
                  <c:v>30.213963831018201</c:v>
                </c:pt>
                <c:pt idx="1451">
                  <c:v>30.23479722221964</c:v>
                </c:pt>
                <c:pt idx="1452">
                  <c:v>30.255630613428359</c:v>
                </c:pt>
                <c:pt idx="1453">
                  <c:v>30.276464004629808</c:v>
                </c:pt>
                <c:pt idx="1454">
                  <c:v>30.297297395831261</c:v>
                </c:pt>
                <c:pt idx="1455">
                  <c:v>30.318130787039991</c:v>
                </c:pt>
                <c:pt idx="1456">
                  <c:v>30.33896417824144</c:v>
                </c:pt>
                <c:pt idx="1457">
                  <c:v>30.35979756944289</c:v>
                </c:pt>
                <c:pt idx="1458">
                  <c:v>30.380630960651612</c:v>
                </c:pt>
                <c:pt idx="1459">
                  <c:v>30.401464351853061</c:v>
                </c:pt>
                <c:pt idx="1460">
                  <c:v>30.422297743054511</c:v>
                </c:pt>
                <c:pt idx="1461">
                  <c:v>30.44313113425596</c:v>
                </c:pt>
                <c:pt idx="1462">
                  <c:v>30.463964525464689</c:v>
                </c:pt>
                <c:pt idx="1463">
                  <c:v>30.484797916666139</c:v>
                </c:pt>
                <c:pt idx="1464">
                  <c:v>30.505631307867581</c:v>
                </c:pt>
                <c:pt idx="1465">
                  <c:v>30.52646469907631</c:v>
                </c:pt>
                <c:pt idx="1466">
                  <c:v>30.54729809027776</c:v>
                </c:pt>
                <c:pt idx="1467">
                  <c:v>30.56813148147921</c:v>
                </c:pt>
                <c:pt idx="1468">
                  <c:v>30.588964872687939</c:v>
                </c:pt>
                <c:pt idx="1469">
                  <c:v>30.609798263889392</c:v>
                </c:pt>
                <c:pt idx="1470">
                  <c:v>30.630631655090841</c:v>
                </c:pt>
                <c:pt idx="1471">
                  <c:v>30.65146504629957</c:v>
                </c:pt>
                <c:pt idx="1472">
                  <c:v>30.672298437501009</c:v>
                </c:pt>
                <c:pt idx="1473">
                  <c:v>30.693131828702469</c:v>
                </c:pt>
                <c:pt idx="1474">
                  <c:v>30.713965219903919</c:v>
                </c:pt>
                <c:pt idx="1475">
                  <c:v>30.734798611112641</c:v>
                </c:pt>
                <c:pt idx="1476">
                  <c:v>30.75563200231408</c:v>
                </c:pt>
                <c:pt idx="1477">
                  <c:v>30.77646539351554</c:v>
                </c:pt>
                <c:pt idx="1478">
                  <c:v>30.797298784724259</c:v>
                </c:pt>
                <c:pt idx="1479">
                  <c:v>30.818132175925701</c:v>
                </c:pt>
                <c:pt idx="1480">
                  <c:v>30.838965567127161</c:v>
                </c:pt>
                <c:pt idx="1481">
                  <c:v>30.85979895833589</c:v>
                </c:pt>
                <c:pt idx="1482">
                  <c:v>30.880632349537319</c:v>
                </c:pt>
                <c:pt idx="1483">
                  <c:v>30.901465740738789</c:v>
                </c:pt>
                <c:pt idx="1484">
                  <c:v>30.92229913194749</c:v>
                </c:pt>
                <c:pt idx="1485">
                  <c:v>30.94313252314894</c:v>
                </c:pt>
                <c:pt idx="1486">
                  <c:v>30.96396591435041</c:v>
                </c:pt>
                <c:pt idx="1487">
                  <c:v>30.984799305559122</c:v>
                </c:pt>
                <c:pt idx="1488">
                  <c:v>31.005632696760571</c:v>
                </c:pt>
                <c:pt idx="1489">
                  <c:v>31.026466087962021</c:v>
                </c:pt>
                <c:pt idx="1490">
                  <c:v>31.047299479163481</c:v>
                </c:pt>
                <c:pt idx="1491">
                  <c:v>31.068132870372189</c:v>
                </c:pt>
                <c:pt idx="1492">
                  <c:v>31.08896626157366</c:v>
                </c:pt>
                <c:pt idx="1493">
                  <c:v>31.109799652775109</c:v>
                </c:pt>
                <c:pt idx="1494">
                  <c:v>31.130633043983821</c:v>
                </c:pt>
                <c:pt idx="1495">
                  <c:v>31.151466435185281</c:v>
                </c:pt>
                <c:pt idx="1496">
                  <c:v>31.17229982638673</c:v>
                </c:pt>
                <c:pt idx="1497">
                  <c:v>31.193133217595459</c:v>
                </c:pt>
                <c:pt idx="1498">
                  <c:v>31.213966608796909</c:v>
                </c:pt>
                <c:pt idx="1499">
                  <c:v>31.234799999998359</c:v>
                </c:pt>
                <c:pt idx="1500">
                  <c:v>31.255633391207081</c:v>
                </c:pt>
                <c:pt idx="1501">
                  <c:v>31.27646678240853</c:v>
                </c:pt>
                <c:pt idx="1502">
                  <c:v>31.29730017360998</c:v>
                </c:pt>
                <c:pt idx="1503">
                  <c:v>31.318133564811429</c:v>
                </c:pt>
                <c:pt idx="1504">
                  <c:v>31.338966956020158</c:v>
                </c:pt>
                <c:pt idx="1505">
                  <c:v>31.359800347221611</c:v>
                </c:pt>
                <c:pt idx="1506">
                  <c:v>31.38063373842304</c:v>
                </c:pt>
                <c:pt idx="1507">
                  <c:v>31.40146712963179</c:v>
                </c:pt>
                <c:pt idx="1508">
                  <c:v>31.422300520833218</c:v>
                </c:pt>
                <c:pt idx="1509">
                  <c:v>31.443133912034678</c:v>
                </c:pt>
                <c:pt idx="1510">
                  <c:v>31.463967303243411</c:v>
                </c:pt>
                <c:pt idx="1511">
                  <c:v>31.484800694444861</c:v>
                </c:pt>
                <c:pt idx="1512">
                  <c:v>31.5056340856463</c:v>
                </c:pt>
                <c:pt idx="1513">
                  <c:v>31.526467476855029</c:v>
                </c:pt>
                <c:pt idx="1514">
                  <c:v>31.547300868056499</c:v>
                </c:pt>
                <c:pt idx="1515">
                  <c:v>31.568134259257921</c:v>
                </c:pt>
                <c:pt idx="1516">
                  <c:v>31.588967650459381</c:v>
                </c:pt>
                <c:pt idx="1517">
                  <c:v>31.60980104166811</c:v>
                </c:pt>
                <c:pt idx="1518">
                  <c:v>31.630634432869559</c:v>
                </c:pt>
                <c:pt idx="1519">
                  <c:v>31.651467824071009</c:v>
                </c:pt>
                <c:pt idx="1520">
                  <c:v>31.672301215279731</c:v>
                </c:pt>
                <c:pt idx="1521">
                  <c:v>31.693134606481181</c:v>
                </c:pt>
                <c:pt idx="1522">
                  <c:v>31.71396799768263</c:v>
                </c:pt>
                <c:pt idx="1523">
                  <c:v>31.734801388891359</c:v>
                </c:pt>
                <c:pt idx="1524">
                  <c:v>31.755634780092802</c:v>
                </c:pt>
                <c:pt idx="1525">
                  <c:v>31.776468171294251</c:v>
                </c:pt>
                <c:pt idx="1526">
                  <c:v>31.79730156250298</c:v>
                </c:pt>
                <c:pt idx="1527">
                  <c:v>31.81813495370443</c:v>
                </c:pt>
                <c:pt idx="1528">
                  <c:v>31.838968344905879</c:v>
                </c:pt>
                <c:pt idx="1529">
                  <c:v>31.859801736114608</c:v>
                </c:pt>
                <c:pt idx="1530">
                  <c:v>31.880635127316051</c:v>
                </c:pt>
                <c:pt idx="1531">
                  <c:v>31.9014685185175</c:v>
                </c:pt>
                <c:pt idx="1532">
                  <c:v>31.92230190971895</c:v>
                </c:pt>
                <c:pt idx="1533">
                  <c:v>31.943135300927679</c:v>
                </c:pt>
                <c:pt idx="1534">
                  <c:v>31.963968692129129</c:v>
                </c:pt>
                <c:pt idx="1535">
                  <c:v>31.984802083330571</c:v>
                </c:pt>
                <c:pt idx="1536">
                  <c:v>32.005635474539311</c:v>
                </c:pt>
                <c:pt idx="1537">
                  <c:v>32.026468865740753</c:v>
                </c:pt>
                <c:pt idx="1538">
                  <c:v>32.047302256942203</c:v>
                </c:pt>
                <c:pt idx="1539">
                  <c:v>32.068135648150957</c:v>
                </c:pt>
                <c:pt idx="1540">
                  <c:v>32.088969039352357</c:v>
                </c:pt>
                <c:pt idx="1541">
                  <c:v>32.109802430553827</c:v>
                </c:pt>
                <c:pt idx="1542">
                  <c:v>32.130635821762553</c:v>
                </c:pt>
                <c:pt idx="1543">
                  <c:v>32.151469212964003</c:v>
                </c:pt>
                <c:pt idx="1544">
                  <c:v>32.172302604165452</c:v>
                </c:pt>
                <c:pt idx="1545">
                  <c:v>32.193135995366902</c:v>
                </c:pt>
                <c:pt idx="1546">
                  <c:v>32.213969386575627</c:v>
                </c:pt>
                <c:pt idx="1547">
                  <c:v>32.234802777777077</c:v>
                </c:pt>
                <c:pt idx="1548">
                  <c:v>32.255636168978533</c:v>
                </c:pt>
                <c:pt idx="1549">
                  <c:v>32.276469560187238</c:v>
                </c:pt>
                <c:pt idx="1550">
                  <c:v>32.297302951388701</c:v>
                </c:pt>
                <c:pt idx="1551">
                  <c:v>32.318136342590151</c:v>
                </c:pt>
                <c:pt idx="1552">
                  <c:v>32.338969733798884</c:v>
                </c:pt>
                <c:pt idx="1553">
                  <c:v>32.359803125000312</c:v>
                </c:pt>
                <c:pt idx="1554">
                  <c:v>32.380636516201783</c:v>
                </c:pt>
                <c:pt idx="1555">
                  <c:v>32.40146990741048</c:v>
                </c:pt>
                <c:pt idx="1556">
                  <c:v>32.422303298611951</c:v>
                </c:pt>
                <c:pt idx="1557">
                  <c:v>32.443136689813393</c:v>
                </c:pt>
                <c:pt idx="1558">
                  <c:v>32.463970081022133</c:v>
                </c:pt>
                <c:pt idx="1559">
                  <c:v>32.48480347222354</c:v>
                </c:pt>
                <c:pt idx="1560">
                  <c:v>32.505636863425032</c:v>
                </c:pt>
                <c:pt idx="1561">
                  <c:v>32.526470254626467</c:v>
                </c:pt>
                <c:pt idx="1562">
                  <c:v>32.5473036458352</c:v>
                </c:pt>
                <c:pt idx="1563">
                  <c:v>32.568137037036649</c:v>
                </c:pt>
                <c:pt idx="1564">
                  <c:v>32.588970428238099</c:v>
                </c:pt>
                <c:pt idx="1565">
                  <c:v>32.609803819446817</c:v>
                </c:pt>
                <c:pt idx="1566">
                  <c:v>32.630637210648267</c:v>
                </c:pt>
                <c:pt idx="1567">
                  <c:v>32.651470601849717</c:v>
                </c:pt>
                <c:pt idx="1568">
                  <c:v>32.672303993058449</c:v>
                </c:pt>
                <c:pt idx="1569">
                  <c:v>32.693137384259899</c:v>
                </c:pt>
                <c:pt idx="1570">
                  <c:v>32.713970775461348</c:v>
                </c:pt>
                <c:pt idx="1571">
                  <c:v>32.734804166670067</c:v>
                </c:pt>
                <c:pt idx="1572">
                  <c:v>32.755637557871523</c:v>
                </c:pt>
                <c:pt idx="1573">
                  <c:v>32.776470949072973</c:v>
                </c:pt>
                <c:pt idx="1574">
                  <c:v>32.797304340274422</c:v>
                </c:pt>
                <c:pt idx="1575">
                  <c:v>32.818137731483148</c:v>
                </c:pt>
                <c:pt idx="1576">
                  <c:v>32.838971122684598</c:v>
                </c:pt>
                <c:pt idx="1577">
                  <c:v>32.859804513886012</c:v>
                </c:pt>
                <c:pt idx="1578">
                  <c:v>32.880637905094773</c:v>
                </c:pt>
                <c:pt idx="1579">
                  <c:v>32.901471296296187</c:v>
                </c:pt>
                <c:pt idx="1580">
                  <c:v>32.92230468749765</c:v>
                </c:pt>
                <c:pt idx="1581">
                  <c:v>32.943138078706397</c:v>
                </c:pt>
                <c:pt idx="1582">
                  <c:v>32.963971469907847</c:v>
                </c:pt>
                <c:pt idx="1583">
                  <c:v>32.984804861109282</c:v>
                </c:pt>
                <c:pt idx="1584">
                  <c:v>33.005638252318022</c:v>
                </c:pt>
                <c:pt idx="1585">
                  <c:v>33.026471643519471</c:v>
                </c:pt>
                <c:pt idx="1586">
                  <c:v>33.047305034720921</c:v>
                </c:pt>
                <c:pt idx="1587">
                  <c:v>33.068138425922371</c:v>
                </c:pt>
                <c:pt idx="1588">
                  <c:v>33.088971817131103</c:v>
                </c:pt>
                <c:pt idx="1589">
                  <c:v>33.109805208332553</c:v>
                </c:pt>
                <c:pt idx="1590">
                  <c:v>33.130638599534002</c:v>
                </c:pt>
                <c:pt idx="1591">
                  <c:v>33.151471990742699</c:v>
                </c:pt>
                <c:pt idx="1592">
                  <c:v>33.17230538194417</c:v>
                </c:pt>
                <c:pt idx="1593">
                  <c:v>33.19313877314562</c:v>
                </c:pt>
                <c:pt idx="1594">
                  <c:v>33.213972164354352</c:v>
                </c:pt>
                <c:pt idx="1595">
                  <c:v>33.234805555555802</c:v>
                </c:pt>
                <c:pt idx="1596">
                  <c:v>33.255638946757252</c:v>
                </c:pt>
                <c:pt idx="1597">
                  <c:v>33.276472337965998</c:v>
                </c:pt>
                <c:pt idx="1598">
                  <c:v>33.297305729167419</c:v>
                </c:pt>
                <c:pt idx="1599">
                  <c:v>33.318139120368869</c:v>
                </c:pt>
                <c:pt idx="1600">
                  <c:v>33.338972511577602</c:v>
                </c:pt>
                <c:pt idx="1601">
                  <c:v>33.359805902779051</c:v>
                </c:pt>
                <c:pt idx="1602">
                  <c:v>33.380639293980487</c:v>
                </c:pt>
                <c:pt idx="1603">
                  <c:v>33.401472685181943</c:v>
                </c:pt>
                <c:pt idx="1604">
                  <c:v>33.422306076390647</c:v>
                </c:pt>
                <c:pt idx="1605">
                  <c:v>33.44313946759209</c:v>
                </c:pt>
                <c:pt idx="1606">
                  <c:v>33.463972858793547</c:v>
                </c:pt>
                <c:pt idx="1607">
                  <c:v>33.484806250002258</c:v>
                </c:pt>
                <c:pt idx="1608">
                  <c:v>33.505639641203743</c:v>
                </c:pt>
                <c:pt idx="1609">
                  <c:v>33.5264730324052</c:v>
                </c:pt>
                <c:pt idx="1610">
                  <c:v>33.54730642361389</c:v>
                </c:pt>
                <c:pt idx="1611">
                  <c:v>33.568139814815382</c:v>
                </c:pt>
                <c:pt idx="1612">
                  <c:v>33.588973206016817</c:v>
                </c:pt>
                <c:pt idx="1613">
                  <c:v>33.609806597225543</c:v>
                </c:pt>
                <c:pt idx="1614">
                  <c:v>33.630639988426999</c:v>
                </c:pt>
                <c:pt idx="1615">
                  <c:v>33.65147337962842</c:v>
                </c:pt>
                <c:pt idx="1616">
                  <c:v>33.672306770829898</c:v>
                </c:pt>
                <c:pt idx="1617">
                  <c:v>33.693140162038617</c:v>
                </c:pt>
                <c:pt idx="1618">
                  <c:v>33.713973553240038</c:v>
                </c:pt>
                <c:pt idx="1619">
                  <c:v>33.734806944441523</c:v>
                </c:pt>
                <c:pt idx="1620">
                  <c:v>33.755640335650241</c:v>
                </c:pt>
                <c:pt idx="1621">
                  <c:v>33.776473726851698</c:v>
                </c:pt>
                <c:pt idx="1622">
                  <c:v>33.797307118053141</c:v>
                </c:pt>
                <c:pt idx="1623">
                  <c:v>33.818140509261852</c:v>
                </c:pt>
                <c:pt idx="1624">
                  <c:v>33.838973900463323</c:v>
                </c:pt>
                <c:pt idx="1625">
                  <c:v>33.859807291664737</c:v>
                </c:pt>
                <c:pt idx="1626">
                  <c:v>33.880640682873469</c:v>
                </c:pt>
                <c:pt idx="1627">
                  <c:v>33.90147407407494</c:v>
                </c:pt>
                <c:pt idx="1628">
                  <c:v>33.922307465276369</c:v>
                </c:pt>
                <c:pt idx="1629">
                  <c:v>33.943140856485122</c:v>
                </c:pt>
                <c:pt idx="1630">
                  <c:v>33.963974247686551</c:v>
                </c:pt>
                <c:pt idx="1631">
                  <c:v>33.984807638888</c:v>
                </c:pt>
                <c:pt idx="1632">
                  <c:v>34.005641030089457</c:v>
                </c:pt>
                <c:pt idx="1633">
                  <c:v>34.026474421298168</c:v>
                </c:pt>
                <c:pt idx="1634">
                  <c:v>34.047307812499618</c:v>
                </c:pt>
                <c:pt idx="1635">
                  <c:v>34.068141203701103</c:v>
                </c:pt>
                <c:pt idx="1636">
                  <c:v>34.088974594909821</c:v>
                </c:pt>
                <c:pt idx="1637">
                  <c:v>34.109807986111257</c:v>
                </c:pt>
                <c:pt idx="1638">
                  <c:v>34.130641377312692</c:v>
                </c:pt>
                <c:pt idx="1639">
                  <c:v>34.151474768521418</c:v>
                </c:pt>
                <c:pt idx="1640">
                  <c:v>34.172308159722903</c:v>
                </c:pt>
                <c:pt idx="1641">
                  <c:v>34.193141550924338</c:v>
                </c:pt>
                <c:pt idx="1642">
                  <c:v>34.213974942133063</c:v>
                </c:pt>
                <c:pt idx="1643">
                  <c:v>34.234808333334513</c:v>
                </c:pt>
                <c:pt idx="1644">
                  <c:v>34.255641724535963</c:v>
                </c:pt>
                <c:pt idx="1645">
                  <c:v>34.276475115737398</c:v>
                </c:pt>
                <c:pt idx="1646">
                  <c:v>34.297308506946138</c:v>
                </c:pt>
                <c:pt idx="1647">
                  <c:v>34.318141898147573</c:v>
                </c:pt>
                <c:pt idx="1648">
                  <c:v>34.338975289349037</c:v>
                </c:pt>
                <c:pt idx="1649">
                  <c:v>34.359808680557762</c:v>
                </c:pt>
                <c:pt idx="1650">
                  <c:v>34.380642071759191</c:v>
                </c:pt>
                <c:pt idx="1651">
                  <c:v>34.40147546296064</c:v>
                </c:pt>
                <c:pt idx="1652">
                  <c:v>34.422308854169401</c:v>
                </c:pt>
                <c:pt idx="1653">
                  <c:v>34.443142245370851</c:v>
                </c:pt>
                <c:pt idx="1654">
                  <c:v>34.4639756365723</c:v>
                </c:pt>
                <c:pt idx="1655">
                  <c:v>34.48480902778099</c:v>
                </c:pt>
                <c:pt idx="1656">
                  <c:v>34.505642418982447</c:v>
                </c:pt>
                <c:pt idx="1657">
                  <c:v>34.526475810183911</c:v>
                </c:pt>
                <c:pt idx="1658">
                  <c:v>34.547309201385353</c:v>
                </c:pt>
                <c:pt idx="1659">
                  <c:v>34.5681425925941</c:v>
                </c:pt>
                <c:pt idx="1660">
                  <c:v>34.588975983795542</c:v>
                </c:pt>
                <c:pt idx="1661">
                  <c:v>34.609809374996978</c:v>
                </c:pt>
                <c:pt idx="1662">
                  <c:v>34.63064276620571</c:v>
                </c:pt>
                <c:pt idx="1663">
                  <c:v>34.651476157407139</c:v>
                </c:pt>
                <c:pt idx="1664">
                  <c:v>34.672309548608609</c:v>
                </c:pt>
                <c:pt idx="1665">
                  <c:v>34.693142939817342</c:v>
                </c:pt>
                <c:pt idx="1666">
                  <c:v>34.713976331018799</c:v>
                </c:pt>
                <c:pt idx="1667">
                  <c:v>34.734809722220227</c:v>
                </c:pt>
                <c:pt idx="1668">
                  <c:v>34.75564311342896</c:v>
                </c:pt>
                <c:pt idx="1669">
                  <c:v>34.776476504630388</c:v>
                </c:pt>
                <c:pt idx="1670">
                  <c:v>34.797309895831859</c:v>
                </c:pt>
                <c:pt idx="1671">
                  <c:v>34.81814328704057</c:v>
                </c:pt>
                <c:pt idx="1672">
                  <c:v>34.83897667824202</c:v>
                </c:pt>
                <c:pt idx="1673">
                  <c:v>34.859810069443441</c:v>
                </c:pt>
                <c:pt idx="1674">
                  <c:v>34.88064346064489</c:v>
                </c:pt>
                <c:pt idx="1675">
                  <c:v>34.90147685185363</c:v>
                </c:pt>
                <c:pt idx="1676">
                  <c:v>34.922310243055129</c:v>
                </c:pt>
                <c:pt idx="1677">
                  <c:v>34.943143634256543</c:v>
                </c:pt>
                <c:pt idx="1678">
                  <c:v>34.963977025465283</c:v>
                </c:pt>
                <c:pt idx="1679">
                  <c:v>34.984810416666711</c:v>
                </c:pt>
                <c:pt idx="1680">
                  <c:v>35.005643807868182</c:v>
                </c:pt>
                <c:pt idx="1681">
                  <c:v>35.026477199076908</c:v>
                </c:pt>
                <c:pt idx="1682">
                  <c:v>35.047310590278357</c:v>
                </c:pt>
                <c:pt idx="1683">
                  <c:v>35.068143981479828</c:v>
                </c:pt>
                <c:pt idx="1684">
                  <c:v>35.088977372688532</c:v>
                </c:pt>
                <c:pt idx="1685">
                  <c:v>35.109810763889982</c:v>
                </c:pt>
                <c:pt idx="1686">
                  <c:v>35.13064415509141</c:v>
                </c:pt>
                <c:pt idx="1687">
                  <c:v>35.15147754629286</c:v>
                </c:pt>
                <c:pt idx="1688">
                  <c:v>35.172310937501628</c:v>
                </c:pt>
                <c:pt idx="1689">
                  <c:v>35.193144328703063</c:v>
                </c:pt>
                <c:pt idx="1690">
                  <c:v>35.213977719904513</c:v>
                </c:pt>
                <c:pt idx="1691">
                  <c:v>35.234811111113217</c:v>
                </c:pt>
                <c:pt idx="1692">
                  <c:v>35.255644502314659</c:v>
                </c:pt>
                <c:pt idx="1693">
                  <c:v>35.276477893516123</c:v>
                </c:pt>
                <c:pt idx="1694">
                  <c:v>35.297311284724863</c:v>
                </c:pt>
                <c:pt idx="1695">
                  <c:v>35.318144675926291</c:v>
                </c:pt>
                <c:pt idx="1696">
                  <c:v>35.338978067127762</c:v>
                </c:pt>
                <c:pt idx="1697">
                  <c:v>35.359811458336438</c:v>
                </c:pt>
                <c:pt idx="1698">
                  <c:v>35.380644849537923</c:v>
                </c:pt>
                <c:pt idx="1699">
                  <c:v>35.40147824073938</c:v>
                </c:pt>
                <c:pt idx="1700">
                  <c:v>35.422311631940829</c:v>
                </c:pt>
                <c:pt idx="1701">
                  <c:v>35.443145023149548</c:v>
                </c:pt>
                <c:pt idx="1702">
                  <c:v>35.463978414351011</c:v>
                </c:pt>
                <c:pt idx="1703">
                  <c:v>35.48481180555244</c:v>
                </c:pt>
                <c:pt idx="1704">
                  <c:v>35.505645196761179</c:v>
                </c:pt>
                <c:pt idx="1705">
                  <c:v>35.526478587962607</c:v>
                </c:pt>
                <c:pt idx="1706">
                  <c:v>35.547311979164078</c:v>
                </c:pt>
                <c:pt idx="1707">
                  <c:v>35.568145370372811</c:v>
                </c:pt>
                <c:pt idx="1708">
                  <c:v>35.588978761574253</c:v>
                </c:pt>
                <c:pt idx="1709">
                  <c:v>35.609812152775703</c:v>
                </c:pt>
                <c:pt idx="1710">
                  <c:v>35.630645543984429</c:v>
                </c:pt>
                <c:pt idx="1711">
                  <c:v>35.651478935185878</c:v>
                </c:pt>
                <c:pt idx="1712">
                  <c:v>35.672312326387349</c:v>
                </c:pt>
                <c:pt idx="1713">
                  <c:v>35.693145717596053</c:v>
                </c:pt>
                <c:pt idx="1714">
                  <c:v>35.713979108797503</c:v>
                </c:pt>
                <c:pt idx="1715">
                  <c:v>35.734812499998952</c:v>
                </c:pt>
                <c:pt idx="1716">
                  <c:v>35.755645891200388</c:v>
                </c:pt>
                <c:pt idx="1717">
                  <c:v>35.776479282409127</c:v>
                </c:pt>
                <c:pt idx="1718">
                  <c:v>35.797312673610577</c:v>
                </c:pt>
                <c:pt idx="1719">
                  <c:v>35.818146064812012</c:v>
                </c:pt>
                <c:pt idx="1720">
                  <c:v>35.838979456020752</c:v>
                </c:pt>
                <c:pt idx="1721">
                  <c:v>35.859812847222187</c:v>
                </c:pt>
                <c:pt idx="1722">
                  <c:v>35.880646238423637</c:v>
                </c:pt>
                <c:pt idx="1723">
                  <c:v>35.901479629632341</c:v>
                </c:pt>
                <c:pt idx="1724">
                  <c:v>35.922313020833847</c:v>
                </c:pt>
                <c:pt idx="1725">
                  <c:v>35.943146412035283</c:v>
                </c:pt>
                <c:pt idx="1726">
                  <c:v>35.963979803243987</c:v>
                </c:pt>
                <c:pt idx="1727">
                  <c:v>35.984813194445437</c:v>
                </c:pt>
                <c:pt idx="1728">
                  <c:v>36.005646585646879</c:v>
                </c:pt>
                <c:pt idx="1729">
                  <c:v>36.02647997684835</c:v>
                </c:pt>
                <c:pt idx="1730">
                  <c:v>36.047313368057083</c:v>
                </c:pt>
                <c:pt idx="1731">
                  <c:v>36.068146759258518</c:v>
                </c:pt>
                <c:pt idx="1732">
                  <c:v>36.088980150459982</c:v>
                </c:pt>
                <c:pt idx="1733">
                  <c:v>36.1098135416687</c:v>
                </c:pt>
                <c:pt idx="1734">
                  <c:v>36.13064693287015</c:v>
                </c:pt>
                <c:pt idx="1735">
                  <c:v>36.151480324071599</c:v>
                </c:pt>
                <c:pt idx="1736">
                  <c:v>36.172313715280332</c:v>
                </c:pt>
                <c:pt idx="1737">
                  <c:v>36.193147106481781</c:v>
                </c:pt>
                <c:pt idx="1738">
                  <c:v>36.21398049768321</c:v>
                </c:pt>
                <c:pt idx="1739">
                  <c:v>36.234813888891949</c:v>
                </c:pt>
                <c:pt idx="1740">
                  <c:v>36.255647280093378</c:v>
                </c:pt>
                <c:pt idx="1741">
                  <c:v>36.276480671294827</c:v>
                </c:pt>
                <c:pt idx="1742">
                  <c:v>36.297314062503581</c:v>
                </c:pt>
                <c:pt idx="1743">
                  <c:v>36.318147453705009</c:v>
                </c:pt>
                <c:pt idx="1744">
                  <c:v>36.338980844906473</c:v>
                </c:pt>
                <c:pt idx="1745">
                  <c:v>36.359814236107923</c:v>
                </c:pt>
                <c:pt idx="1746">
                  <c:v>36.380647627316613</c:v>
                </c:pt>
                <c:pt idx="1747">
                  <c:v>36.401481018518083</c:v>
                </c:pt>
                <c:pt idx="1748">
                  <c:v>36.422314409719547</c:v>
                </c:pt>
                <c:pt idx="1749">
                  <c:v>36.443147800928273</c:v>
                </c:pt>
                <c:pt idx="1750">
                  <c:v>36.463981192129722</c:v>
                </c:pt>
                <c:pt idx="1751">
                  <c:v>36.484814583331143</c:v>
                </c:pt>
                <c:pt idx="1752">
                  <c:v>36.505647974539897</c:v>
                </c:pt>
                <c:pt idx="1753">
                  <c:v>36.526481365741333</c:v>
                </c:pt>
                <c:pt idx="1754">
                  <c:v>36.547314756942797</c:v>
                </c:pt>
                <c:pt idx="1755">
                  <c:v>36.568148148151543</c:v>
                </c:pt>
                <c:pt idx="1756">
                  <c:v>36.58898153935295</c:v>
                </c:pt>
                <c:pt idx="1757">
                  <c:v>36.609814930554421</c:v>
                </c:pt>
                <c:pt idx="1758">
                  <c:v>36.630648321755871</c:v>
                </c:pt>
                <c:pt idx="1759">
                  <c:v>36.651481712964582</c:v>
                </c:pt>
                <c:pt idx="1760">
                  <c:v>36.672315104166053</c:v>
                </c:pt>
                <c:pt idx="1761">
                  <c:v>36.693148495367502</c:v>
                </c:pt>
                <c:pt idx="1762">
                  <c:v>36.713981886576221</c:v>
                </c:pt>
                <c:pt idx="1763">
                  <c:v>36.73481527777767</c:v>
                </c:pt>
                <c:pt idx="1764">
                  <c:v>36.75564866897912</c:v>
                </c:pt>
                <c:pt idx="1765">
                  <c:v>36.776482060187853</c:v>
                </c:pt>
                <c:pt idx="1766">
                  <c:v>36.797315451389302</c:v>
                </c:pt>
                <c:pt idx="1767">
                  <c:v>36.818148842590752</c:v>
                </c:pt>
                <c:pt idx="1768">
                  <c:v>36.83898223379947</c:v>
                </c:pt>
                <c:pt idx="1769">
                  <c:v>36.85981562500092</c:v>
                </c:pt>
                <c:pt idx="1770">
                  <c:v>36.880649016202327</c:v>
                </c:pt>
                <c:pt idx="1771">
                  <c:v>36.90148240740379</c:v>
                </c:pt>
                <c:pt idx="1772">
                  <c:v>36.922315798612551</c:v>
                </c:pt>
                <c:pt idx="1773">
                  <c:v>36.943149189813987</c:v>
                </c:pt>
                <c:pt idx="1774">
                  <c:v>36.963982581015443</c:v>
                </c:pt>
                <c:pt idx="1775">
                  <c:v>36.984815972224148</c:v>
                </c:pt>
                <c:pt idx="1776">
                  <c:v>37.005649363425597</c:v>
                </c:pt>
                <c:pt idx="1777">
                  <c:v>37.026482754627047</c:v>
                </c:pt>
                <c:pt idx="1778">
                  <c:v>37.047316145835801</c:v>
                </c:pt>
                <c:pt idx="1779">
                  <c:v>37.068149537037243</c:v>
                </c:pt>
                <c:pt idx="1780">
                  <c:v>37.0889829282387</c:v>
                </c:pt>
                <c:pt idx="1781">
                  <c:v>37.109816319447397</c:v>
                </c:pt>
                <c:pt idx="1782">
                  <c:v>37.130649710648846</c:v>
                </c:pt>
                <c:pt idx="1783">
                  <c:v>37.151483101850289</c:v>
                </c:pt>
                <c:pt idx="1784">
                  <c:v>37.172316493059043</c:v>
                </c:pt>
                <c:pt idx="1785">
                  <c:v>37.1931498842605</c:v>
                </c:pt>
                <c:pt idx="1786">
                  <c:v>37.213983275461942</c:v>
                </c:pt>
                <c:pt idx="1787">
                  <c:v>37.23481666666337</c:v>
                </c:pt>
                <c:pt idx="1788">
                  <c:v>37.255650057872103</c:v>
                </c:pt>
                <c:pt idx="1789">
                  <c:v>37.276483449073552</c:v>
                </c:pt>
                <c:pt idx="1790">
                  <c:v>37.297316840275037</c:v>
                </c:pt>
                <c:pt idx="1791">
                  <c:v>37.318150231483742</c:v>
                </c:pt>
                <c:pt idx="1792">
                  <c:v>37.338983622685198</c:v>
                </c:pt>
                <c:pt idx="1793">
                  <c:v>37.359817013886612</c:v>
                </c:pt>
                <c:pt idx="1794">
                  <c:v>37.380650405095338</c:v>
                </c:pt>
                <c:pt idx="1795">
                  <c:v>37.401483796296787</c:v>
                </c:pt>
                <c:pt idx="1796">
                  <c:v>37.422317187498273</c:v>
                </c:pt>
                <c:pt idx="1797">
                  <c:v>37.443150578706998</c:v>
                </c:pt>
                <c:pt idx="1798">
                  <c:v>37.46398396990844</c:v>
                </c:pt>
                <c:pt idx="1799">
                  <c:v>37.484817361109897</c:v>
                </c:pt>
                <c:pt idx="1800">
                  <c:v>37.50565075231134</c:v>
                </c:pt>
                <c:pt idx="1801">
                  <c:v>37.526484143520072</c:v>
                </c:pt>
                <c:pt idx="1802">
                  <c:v>37.547317534721508</c:v>
                </c:pt>
                <c:pt idx="1803">
                  <c:v>37.568150925922978</c:v>
                </c:pt>
                <c:pt idx="1804">
                  <c:v>37.58898431713169</c:v>
                </c:pt>
                <c:pt idx="1805">
                  <c:v>37.609817708333132</c:v>
                </c:pt>
                <c:pt idx="1806">
                  <c:v>37.630651099534568</c:v>
                </c:pt>
                <c:pt idx="1807">
                  <c:v>37.651484490743272</c:v>
                </c:pt>
                <c:pt idx="1808">
                  <c:v>37.672317881944771</c:v>
                </c:pt>
                <c:pt idx="1809">
                  <c:v>37.693151273146213</c:v>
                </c:pt>
                <c:pt idx="1810">
                  <c:v>37.713984664354918</c:v>
                </c:pt>
                <c:pt idx="1811">
                  <c:v>37.734818055556367</c:v>
                </c:pt>
                <c:pt idx="1812">
                  <c:v>37.755651446757838</c:v>
                </c:pt>
                <c:pt idx="1813">
                  <c:v>37.776484837966549</c:v>
                </c:pt>
                <c:pt idx="1814">
                  <c:v>37.797318229168027</c:v>
                </c:pt>
                <c:pt idx="1815">
                  <c:v>37.818151620369463</c:v>
                </c:pt>
                <c:pt idx="1816">
                  <c:v>37.838985011570912</c:v>
                </c:pt>
                <c:pt idx="1817">
                  <c:v>37.859818402779617</c:v>
                </c:pt>
                <c:pt idx="1818">
                  <c:v>37.880651793981073</c:v>
                </c:pt>
                <c:pt idx="1819">
                  <c:v>37.901485185182509</c:v>
                </c:pt>
                <c:pt idx="1820">
                  <c:v>37.922318576391262</c:v>
                </c:pt>
                <c:pt idx="1821">
                  <c:v>37.943151967592698</c:v>
                </c:pt>
                <c:pt idx="1822">
                  <c:v>37.963985358794147</c:v>
                </c:pt>
                <c:pt idx="1823">
                  <c:v>37.984818750002873</c:v>
                </c:pt>
                <c:pt idx="1824">
                  <c:v>38.005652141204337</c:v>
                </c:pt>
                <c:pt idx="1825">
                  <c:v>38.0264855324058</c:v>
                </c:pt>
                <c:pt idx="1826">
                  <c:v>38.047318923614498</c:v>
                </c:pt>
                <c:pt idx="1827">
                  <c:v>38.068152314815983</c:v>
                </c:pt>
                <c:pt idx="1828">
                  <c:v>38.088985706017397</c:v>
                </c:pt>
                <c:pt idx="1829">
                  <c:v>38.109819097218853</c:v>
                </c:pt>
                <c:pt idx="1830">
                  <c:v>38.1306524884276</c:v>
                </c:pt>
                <c:pt idx="1831">
                  <c:v>38.151485879629021</c:v>
                </c:pt>
                <c:pt idx="1832">
                  <c:v>38.172319270830499</c:v>
                </c:pt>
                <c:pt idx="1833">
                  <c:v>38.193152662039211</c:v>
                </c:pt>
                <c:pt idx="1834">
                  <c:v>38.213986053240617</c:v>
                </c:pt>
                <c:pt idx="1835">
                  <c:v>38.234819444442103</c:v>
                </c:pt>
                <c:pt idx="1836">
                  <c:v>38.255652835650842</c:v>
                </c:pt>
                <c:pt idx="1837">
                  <c:v>38.276486226852278</c:v>
                </c:pt>
                <c:pt idx="1838">
                  <c:v>38.297319618053749</c:v>
                </c:pt>
                <c:pt idx="1839">
                  <c:v>38.318153009262439</c:v>
                </c:pt>
                <c:pt idx="1840">
                  <c:v>38.338986400463902</c:v>
                </c:pt>
                <c:pt idx="1841">
                  <c:v>38.359819791665331</c:v>
                </c:pt>
                <c:pt idx="1842">
                  <c:v>38.380653182866787</c:v>
                </c:pt>
                <c:pt idx="1843">
                  <c:v>38.40148657407552</c:v>
                </c:pt>
                <c:pt idx="1844">
                  <c:v>38.422319965276998</c:v>
                </c:pt>
                <c:pt idx="1845">
                  <c:v>38.443153356478433</c:v>
                </c:pt>
                <c:pt idx="1846">
                  <c:v>38.463986747687137</c:v>
                </c:pt>
                <c:pt idx="1847">
                  <c:v>38.484820138888587</c:v>
                </c:pt>
                <c:pt idx="1848">
                  <c:v>38.505653530090058</c:v>
                </c:pt>
                <c:pt idx="1849">
                  <c:v>38.526486921298783</c:v>
                </c:pt>
                <c:pt idx="1850">
                  <c:v>38.547320312500233</c:v>
                </c:pt>
                <c:pt idx="1851">
                  <c:v>38.568153703701682</c:v>
                </c:pt>
                <c:pt idx="1852">
                  <c:v>38.588987094910387</c:v>
                </c:pt>
                <c:pt idx="1853">
                  <c:v>38.609820486111857</c:v>
                </c:pt>
                <c:pt idx="1854">
                  <c:v>38.630653877313293</c:v>
                </c:pt>
                <c:pt idx="1855">
                  <c:v>38.651487268522011</c:v>
                </c:pt>
                <c:pt idx="1856">
                  <c:v>38.672320659723468</c:v>
                </c:pt>
                <c:pt idx="1857">
                  <c:v>38.693154050924932</c:v>
                </c:pt>
                <c:pt idx="1858">
                  <c:v>38.713987442126367</c:v>
                </c:pt>
                <c:pt idx="1859">
                  <c:v>38.734820833335107</c:v>
                </c:pt>
                <c:pt idx="1860">
                  <c:v>38.755654224536563</c:v>
                </c:pt>
                <c:pt idx="1861">
                  <c:v>38.776487615737992</c:v>
                </c:pt>
                <c:pt idx="1862">
                  <c:v>38.797321006946731</c:v>
                </c:pt>
                <c:pt idx="1863">
                  <c:v>38.818154398148181</c:v>
                </c:pt>
                <c:pt idx="1864">
                  <c:v>38.838987789349609</c:v>
                </c:pt>
                <c:pt idx="1865">
                  <c:v>38.859821180558342</c:v>
                </c:pt>
                <c:pt idx="1866">
                  <c:v>38.880654571759791</c:v>
                </c:pt>
                <c:pt idx="1867">
                  <c:v>38.901487962961241</c:v>
                </c:pt>
                <c:pt idx="1868">
                  <c:v>38.922321354169981</c:v>
                </c:pt>
                <c:pt idx="1869">
                  <c:v>38.94315474537143</c:v>
                </c:pt>
                <c:pt idx="1870">
                  <c:v>38.96398813657288</c:v>
                </c:pt>
                <c:pt idx="1871">
                  <c:v>38.984821527774308</c:v>
                </c:pt>
                <c:pt idx="1872">
                  <c:v>39.005654918983062</c:v>
                </c:pt>
                <c:pt idx="1873">
                  <c:v>39.026488310184511</c:v>
                </c:pt>
                <c:pt idx="1874">
                  <c:v>39.047321701385947</c:v>
                </c:pt>
                <c:pt idx="1875">
                  <c:v>39.068155092594679</c:v>
                </c:pt>
                <c:pt idx="1876">
                  <c:v>39.088988483796093</c:v>
                </c:pt>
                <c:pt idx="1877">
                  <c:v>39.109821874997557</c:v>
                </c:pt>
                <c:pt idx="1878">
                  <c:v>39.130655266206297</c:v>
                </c:pt>
                <c:pt idx="1879">
                  <c:v>39.151488657407739</c:v>
                </c:pt>
                <c:pt idx="1880">
                  <c:v>39.172322048609203</c:v>
                </c:pt>
                <c:pt idx="1881">
                  <c:v>39.193155439817929</c:v>
                </c:pt>
                <c:pt idx="1882">
                  <c:v>39.213988831019378</c:v>
                </c:pt>
                <c:pt idx="1883">
                  <c:v>39.234822222220828</c:v>
                </c:pt>
                <c:pt idx="1884">
                  <c:v>39.255655613429553</c:v>
                </c:pt>
                <c:pt idx="1885">
                  <c:v>39.276489004631003</c:v>
                </c:pt>
                <c:pt idx="1886">
                  <c:v>39.297322395832452</c:v>
                </c:pt>
                <c:pt idx="1887">
                  <c:v>39.318155787033902</c:v>
                </c:pt>
                <c:pt idx="1888">
                  <c:v>39.338989178242592</c:v>
                </c:pt>
                <c:pt idx="1889">
                  <c:v>39.359822569444042</c:v>
                </c:pt>
                <c:pt idx="1890">
                  <c:v>39.380655960645512</c:v>
                </c:pt>
                <c:pt idx="1891">
                  <c:v>39.401489351854231</c:v>
                </c:pt>
                <c:pt idx="1892">
                  <c:v>39.422322743055702</c:v>
                </c:pt>
                <c:pt idx="1893">
                  <c:v>39.443156134257151</c:v>
                </c:pt>
                <c:pt idx="1894">
                  <c:v>39.463989525465877</c:v>
                </c:pt>
                <c:pt idx="1895">
                  <c:v>39.484822916667312</c:v>
                </c:pt>
                <c:pt idx="1896">
                  <c:v>39.505656307868783</c:v>
                </c:pt>
                <c:pt idx="1897">
                  <c:v>39.526489699077487</c:v>
                </c:pt>
                <c:pt idx="1898">
                  <c:v>39.547323090278951</c:v>
                </c:pt>
                <c:pt idx="1899">
                  <c:v>39.568156481480401</c:v>
                </c:pt>
                <c:pt idx="1900">
                  <c:v>39.58898987268185</c:v>
                </c:pt>
                <c:pt idx="1901">
                  <c:v>39.609823263890561</c:v>
                </c:pt>
                <c:pt idx="1902">
                  <c:v>39.630656655092011</c:v>
                </c:pt>
                <c:pt idx="1903">
                  <c:v>39.651490046293461</c:v>
                </c:pt>
                <c:pt idx="1904">
                  <c:v>39.6723234375022</c:v>
                </c:pt>
                <c:pt idx="1905">
                  <c:v>39.69315682870365</c:v>
                </c:pt>
                <c:pt idx="1906">
                  <c:v>39.713990219905099</c:v>
                </c:pt>
                <c:pt idx="1907">
                  <c:v>39.734823611113818</c:v>
                </c:pt>
                <c:pt idx="1908">
                  <c:v>39.755657002315267</c:v>
                </c:pt>
                <c:pt idx="1909">
                  <c:v>39.776490393516731</c:v>
                </c:pt>
                <c:pt idx="1910">
                  <c:v>39.79732378472545</c:v>
                </c:pt>
                <c:pt idx="1911">
                  <c:v>39.818157175926899</c:v>
                </c:pt>
                <c:pt idx="1912">
                  <c:v>39.838990567128349</c:v>
                </c:pt>
                <c:pt idx="1913">
                  <c:v>39.859823958329798</c:v>
                </c:pt>
                <c:pt idx="1914">
                  <c:v>39.880657349538517</c:v>
                </c:pt>
                <c:pt idx="1915">
                  <c:v>39.901490740739973</c:v>
                </c:pt>
                <c:pt idx="1916">
                  <c:v>39.922324131941423</c:v>
                </c:pt>
                <c:pt idx="1917">
                  <c:v>39.943157523150148</c:v>
                </c:pt>
                <c:pt idx="1918">
                  <c:v>39.963990914351598</c:v>
                </c:pt>
                <c:pt idx="1919">
                  <c:v>39.984824305553033</c:v>
                </c:pt>
                <c:pt idx="1920">
                  <c:v>40.005657696761773</c:v>
                </c:pt>
                <c:pt idx="1921">
                  <c:v>40.026491087963223</c:v>
                </c:pt>
                <c:pt idx="1922">
                  <c:v>40.047324479164637</c:v>
                </c:pt>
                <c:pt idx="1923">
                  <c:v>40.068157870373398</c:v>
                </c:pt>
                <c:pt idx="1924">
                  <c:v>40.088991261574847</c:v>
                </c:pt>
                <c:pt idx="1925">
                  <c:v>40.109824652776283</c:v>
                </c:pt>
                <c:pt idx="1926">
                  <c:v>40.130658043985022</c:v>
                </c:pt>
                <c:pt idx="1927">
                  <c:v>40.151491435186443</c:v>
                </c:pt>
                <c:pt idx="1928">
                  <c:v>40.172324826387921</c:v>
                </c:pt>
                <c:pt idx="1929">
                  <c:v>40.193158217589399</c:v>
                </c:pt>
                <c:pt idx="1930">
                  <c:v>40.213991608798104</c:v>
                </c:pt>
                <c:pt idx="1931">
                  <c:v>40.234824999999553</c:v>
                </c:pt>
                <c:pt idx="1932">
                  <c:v>40.255658391201003</c:v>
                </c:pt>
                <c:pt idx="1933">
                  <c:v>40.276491782409721</c:v>
                </c:pt>
                <c:pt idx="1934">
                  <c:v>40.297325173611171</c:v>
                </c:pt>
                <c:pt idx="1935">
                  <c:v>40.318158564812599</c:v>
                </c:pt>
                <c:pt idx="1936">
                  <c:v>40.338991956021353</c:v>
                </c:pt>
                <c:pt idx="1937">
                  <c:v>40.359825347222802</c:v>
                </c:pt>
                <c:pt idx="1938">
                  <c:v>40.380658738424252</c:v>
                </c:pt>
                <c:pt idx="1939">
                  <c:v>40.401492129632949</c:v>
                </c:pt>
                <c:pt idx="1940">
                  <c:v>40.42232552083442</c:v>
                </c:pt>
                <c:pt idx="1941">
                  <c:v>40.443158912035877</c:v>
                </c:pt>
                <c:pt idx="1942">
                  <c:v>40.463992303237298</c:v>
                </c:pt>
                <c:pt idx="1943">
                  <c:v>40.48482569444603</c:v>
                </c:pt>
                <c:pt idx="1944">
                  <c:v>40.50565908564748</c:v>
                </c:pt>
                <c:pt idx="1945">
                  <c:v>40.526492476848951</c:v>
                </c:pt>
                <c:pt idx="1946">
                  <c:v>40.547325868057648</c:v>
                </c:pt>
                <c:pt idx="1947">
                  <c:v>40.568159259259119</c:v>
                </c:pt>
                <c:pt idx="1948">
                  <c:v>40.588992650460547</c:v>
                </c:pt>
                <c:pt idx="1949">
                  <c:v>40.609826041669287</c:v>
                </c:pt>
                <c:pt idx="1950">
                  <c:v>40.63065943287075</c:v>
                </c:pt>
                <c:pt idx="1951">
                  <c:v>40.6514928240722</c:v>
                </c:pt>
                <c:pt idx="1952">
                  <c:v>40.672326215280918</c:v>
                </c:pt>
                <c:pt idx="1953">
                  <c:v>40.693159606482368</c:v>
                </c:pt>
                <c:pt idx="1954">
                  <c:v>40.713992997683818</c:v>
                </c:pt>
                <c:pt idx="1955">
                  <c:v>40.734826388885267</c:v>
                </c:pt>
                <c:pt idx="1956">
                  <c:v>40.755659780094</c:v>
                </c:pt>
                <c:pt idx="1957">
                  <c:v>40.776493171295421</c:v>
                </c:pt>
                <c:pt idx="1958">
                  <c:v>40.797326562496899</c:v>
                </c:pt>
                <c:pt idx="1959">
                  <c:v>40.818159953705603</c:v>
                </c:pt>
                <c:pt idx="1960">
                  <c:v>40.838993344907081</c:v>
                </c:pt>
                <c:pt idx="1961">
                  <c:v>40.859826736108502</c:v>
                </c:pt>
                <c:pt idx="1962">
                  <c:v>40.880660127317213</c:v>
                </c:pt>
                <c:pt idx="1963">
                  <c:v>40.90149351851867</c:v>
                </c:pt>
                <c:pt idx="1964">
                  <c:v>40.922326909720141</c:v>
                </c:pt>
                <c:pt idx="1965">
                  <c:v>40.943160300928881</c:v>
                </c:pt>
                <c:pt idx="1966">
                  <c:v>40.963993692130323</c:v>
                </c:pt>
                <c:pt idx="1967">
                  <c:v>40.984827083331737</c:v>
                </c:pt>
                <c:pt idx="1968">
                  <c:v>41.00566047454047</c:v>
                </c:pt>
                <c:pt idx="1969">
                  <c:v>41.026493865741941</c:v>
                </c:pt>
                <c:pt idx="1970">
                  <c:v>41.047327256943369</c:v>
                </c:pt>
                <c:pt idx="1971">
                  <c:v>41.068160648144861</c:v>
                </c:pt>
                <c:pt idx="1972">
                  <c:v>41.088994039353551</c:v>
                </c:pt>
                <c:pt idx="1973">
                  <c:v>41.109827430555008</c:v>
                </c:pt>
                <c:pt idx="1974">
                  <c:v>41.13066082175645</c:v>
                </c:pt>
                <c:pt idx="1975">
                  <c:v>41.15149421296519</c:v>
                </c:pt>
                <c:pt idx="1976">
                  <c:v>41.17232760416664</c:v>
                </c:pt>
                <c:pt idx="1977">
                  <c:v>41.193160995368103</c:v>
                </c:pt>
                <c:pt idx="1978">
                  <c:v>41.213994386576822</c:v>
                </c:pt>
                <c:pt idx="1979">
                  <c:v>41.23482777777825</c:v>
                </c:pt>
                <c:pt idx="1980">
                  <c:v>41.255661168979721</c:v>
                </c:pt>
                <c:pt idx="1981">
                  <c:v>41.276494560188418</c:v>
                </c:pt>
                <c:pt idx="1982">
                  <c:v>41.297327951389903</c:v>
                </c:pt>
                <c:pt idx="1983">
                  <c:v>41.318161342591338</c:v>
                </c:pt>
                <c:pt idx="1984">
                  <c:v>41.338994733792767</c:v>
                </c:pt>
                <c:pt idx="1985">
                  <c:v>41.359828125001492</c:v>
                </c:pt>
                <c:pt idx="1986">
                  <c:v>41.380661516202927</c:v>
                </c:pt>
                <c:pt idx="1987">
                  <c:v>41.401494907404391</c:v>
                </c:pt>
                <c:pt idx="1988">
                  <c:v>41.422328298613138</c:v>
                </c:pt>
                <c:pt idx="1989">
                  <c:v>41.443161689814559</c:v>
                </c:pt>
                <c:pt idx="1990">
                  <c:v>41.463995081016023</c:v>
                </c:pt>
                <c:pt idx="1991">
                  <c:v>41.484828472224741</c:v>
                </c:pt>
                <c:pt idx="1992">
                  <c:v>41.505661863426191</c:v>
                </c:pt>
                <c:pt idx="1993">
                  <c:v>41.526495254627648</c:v>
                </c:pt>
                <c:pt idx="1994">
                  <c:v>41.547328645836373</c:v>
                </c:pt>
                <c:pt idx="1995">
                  <c:v>41.568162037037851</c:v>
                </c:pt>
                <c:pt idx="1996">
                  <c:v>41.588995428239301</c:v>
                </c:pt>
                <c:pt idx="1997">
                  <c:v>41.609828819447998</c:v>
                </c:pt>
                <c:pt idx="1998">
                  <c:v>41.630662210649447</c:v>
                </c:pt>
                <c:pt idx="1999">
                  <c:v>41.651495601850897</c:v>
                </c:pt>
                <c:pt idx="2000">
                  <c:v>41.672328993052361</c:v>
                </c:pt>
                <c:pt idx="2001">
                  <c:v>41.6931623842611</c:v>
                </c:pt>
                <c:pt idx="2002">
                  <c:v>41.713995775462521</c:v>
                </c:pt>
                <c:pt idx="2003">
                  <c:v>41.734829166663971</c:v>
                </c:pt>
                <c:pt idx="2004">
                  <c:v>41.755662557872697</c:v>
                </c:pt>
                <c:pt idx="2005">
                  <c:v>41.77649594907416</c:v>
                </c:pt>
                <c:pt idx="2006">
                  <c:v>41.79732934027561</c:v>
                </c:pt>
                <c:pt idx="2007">
                  <c:v>41.818162731484342</c:v>
                </c:pt>
                <c:pt idx="2008">
                  <c:v>41.838996122685799</c:v>
                </c:pt>
                <c:pt idx="2009">
                  <c:v>41.859829513887213</c:v>
                </c:pt>
                <c:pt idx="2010">
                  <c:v>41.880662905095953</c:v>
                </c:pt>
                <c:pt idx="2011">
                  <c:v>41.901496296297388</c:v>
                </c:pt>
                <c:pt idx="2012">
                  <c:v>41.922329687498859</c:v>
                </c:pt>
                <c:pt idx="2013">
                  <c:v>41.943163078700287</c:v>
                </c:pt>
                <c:pt idx="2014">
                  <c:v>41.963996469909027</c:v>
                </c:pt>
                <c:pt idx="2015">
                  <c:v>41.984829861110462</c:v>
                </c:pt>
                <c:pt idx="2016">
                  <c:v>42.005663252311933</c:v>
                </c:pt>
                <c:pt idx="2017">
                  <c:v>42.026496643520659</c:v>
                </c:pt>
                <c:pt idx="2018">
                  <c:v>42.047330034722108</c:v>
                </c:pt>
                <c:pt idx="2019">
                  <c:v>42.068163425923558</c:v>
                </c:pt>
                <c:pt idx="2020">
                  <c:v>42.088996817132283</c:v>
                </c:pt>
                <c:pt idx="2021">
                  <c:v>42.109830208333733</c:v>
                </c:pt>
                <c:pt idx="2022">
                  <c:v>42.130663599535183</c:v>
                </c:pt>
                <c:pt idx="2023">
                  <c:v>42.151496990743887</c:v>
                </c:pt>
                <c:pt idx="2024">
                  <c:v>42.172330381945358</c:v>
                </c:pt>
                <c:pt idx="2025">
                  <c:v>42.193163773146807</c:v>
                </c:pt>
                <c:pt idx="2026">
                  <c:v>42.213997164348243</c:v>
                </c:pt>
                <c:pt idx="2027">
                  <c:v>42.234830555556982</c:v>
                </c:pt>
                <c:pt idx="2028">
                  <c:v>42.255663946758432</c:v>
                </c:pt>
                <c:pt idx="2029">
                  <c:v>42.276497337959881</c:v>
                </c:pt>
                <c:pt idx="2030">
                  <c:v>42.297330729168607</c:v>
                </c:pt>
                <c:pt idx="2031">
                  <c:v>42.318164120370056</c:v>
                </c:pt>
                <c:pt idx="2032">
                  <c:v>42.338997511571513</c:v>
                </c:pt>
                <c:pt idx="2033">
                  <c:v>42.359830902780217</c:v>
                </c:pt>
                <c:pt idx="2034">
                  <c:v>42.38066429398166</c:v>
                </c:pt>
                <c:pt idx="2035">
                  <c:v>42.401497685183109</c:v>
                </c:pt>
                <c:pt idx="2036">
                  <c:v>42.422331076391863</c:v>
                </c:pt>
                <c:pt idx="2037">
                  <c:v>42.443164467593277</c:v>
                </c:pt>
                <c:pt idx="2038">
                  <c:v>42.463997858794762</c:v>
                </c:pt>
                <c:pt idx="2039">
                  <c:v>42.48483125000346</c:v>
                </c:pt>
                <c:pt idx="2040">
                  <c:v>42.505664641204923</c:v>
                </c:pt>
                <c:pt idx="2041">
                  <c:v>42.52649803240638</c:v>
                </c:pt>
                <c:pt idx="2042">
                  <c:v>42.547331423607822</c:v>
                </c:pt>
                <c:pt idx="2043">
                  <c:v>42.568164814816548</c:v>
                </c:pt>
                <c:pt idx="2044">
                  <c:v>42.588998206018012</c:v>
                </c:pt>
                <c:pt idx="2045">
                  <c:v>42.60983159721944</c:v>
                </c:pt>
                <c:pt idx="2046">
                  <c:v>42.63066498842818</c:v>
                </c:pt>
                <c:pt idx="2047">
                  <c:v>42.651498379629608</c:v>
                </c:pt>
                <c:pt idx="2048">
                  <c:v>42.672331770831079</c:v>
                </c:pt>
                <c:pt idx="2049">
                  <c:v>42.693165162039811</c:v>
                </c:pt>
                <c:pt idx="2050">
                  <c:v>42.71399855324124</c:v>
                </c:pt>
                <c:pt idx="2051">
                  <c:v>42.734831944442703</c:v>
                </c:pt>
                <c:pt idx="2052">
                  <c:v>42.755665335651429</c:v>
                </c:pt>
                <c:pt idx="2053">
                  <c:v>42.776498726852878</c:v>
                </c:pt>
                <c:pt idx="2054">
                  <c:v>42.797332118054349</c:v>
                </c:pt>
                <c:pt idx="2055">
                  <c:v>42.818165509255778</c:v>
                </c:pt>
                <c:pt idx="2056">
                  <c:v>42.838998900464503</c:v>
                </c:pt>
                <c:pt idx="2057">
                  <c:v>42.859832291665953</c:v>
                </c:pt>
                <c:pt idx="2058">
                  <c:v>42.880665682867381</c:v>
                </c:pt>
                <c:pt idx="2059">
                  <c:v>42.901499074076114</c:v>
                </c:pt>
                <c:pt idx="2060">
                  <c:v>42.922332465277577</c:v>
                </c:pt>
                <c:pt idx="2061">
                  <c:v>42.943165856479027</c:v>
                </c:pt>
                <c:pt idx="2062">
                  <c:v>42.963999247687752</c:v>
                </c:pt>
                <c:pt idx="2063">
                  <c:v>42.984832638889202</c:v>
                </c:pt>
                <c:pt idx="2064">
                  <c:v>43.005666030090637</c:v>
                </c:pt>
                <c:pt idx="2065">
                  <c:v>43.026499421299363</c:v>
                </c:pt>
                <c:pt idx="2066">
                  <c:v>43.047332812500848</c:v>
                </c:pt>
                <c:pt idx="2067">
                  <c:v>43.068166203702283</c:v>
                </c:pt>
                <c:pt idx="2068">
                  <c:v>43.088999594911002</c:v>
                </c:pt>
                <c:pt idx="2069">
                  <c:v>43.109832986112451</c:v>
                </c:pt>
                <c:pt idx="2070">
                  <c:v>43.130666377313887</c:v>
                </c:pt>
                <c:pt idx="2071">
                  <c:v>43.151499768515343</c:v>
                </c:pt>
                <c:pt idx="2072">
                  <c:v>43.172333159724083</c:v>
                </c:pt>
                <c:pt idx="2073">
                  <c:v>43.193166550925532</c:v>
                </c:pt>
                <c:pt idx="2074">
                  <c:v>43.213999942126982</c:v>
                </c:pt>
                <c:pt idx="2075">
                  <c:v>43.2348333333357</c:v>
                </c:pt>
                <c:pt idx="2076">
                  <c:v>43.25566672453715</c:v>
                </c:pt>
                <c:pt idx="2077">
                  <c:v>43.2765001157386</c:v>
                </c:pt>
                <c:pt idx="2078">
                  <c:v>43.297333506947332</c:v>
                </c:pt>
                <c:pt idx="2079">
                  <c:v>43.318166898148782</c:v>
                </c:pt>
                <c:pt idx="2080">
                  <c:v>43.339000289350217</c:v>
                </c:pt>
                <c:pt idx="2081">
                  <c:v>43.35983368055895</c:v>
                </c:pt>
                <c:pt idx="2082">
                  <c:v>43.380667071760357</c:v>
                </c:pt>
                <c:pt idx="2083">
                  <c:v>43.401500462961849</c:v>
                </c:pt>
                <c:pt idx="2084">
                  <c:v>43.422333854163298</c:v>
                </c:pt>
                <c:pt idx="2085">
                  <c:v>43.443167245372017</c:v>
                </c:pt>
                <c:pt idx="2086">
                  <c:v>43.464000636573473</c:v>
                </c:pt>
                <c:pt idx="2087">
                  <c:v>43.484834027774923</c:v>
                </c:pt>
                <c:pt idx="2088">
                  <c:v>43.505667418983627</c:v>
                </c:pt>
                <c:pt idx="2089">
                  <c:v>43.526500810185098</c:v>
                </c:pt>
                <c:pt idx="2090">
                  <c:v>43.547334201386533</c:v>
                </c:pt>
                <c:pt idx="2091">
                  <c:v>43.568167592595273</c:v>
                </c:pt>
                <c:pt idx="2092">
                  <c:v>43.589000983796723</c:v>
                </c:pt>
                <c:pt idx="2093">
                  <c:v>43.609834374998172</c:v>
                </c:pt>
                <c:pt idx="2094">
                  <c:v>43.630667766206876</c:v>
                </c:pt>
                <c:pt idx="2095">
                  <c:v>43.651501157408333</c:v>
                </c:pt>
                <c:pt idx="2096">
                  <c:v>43.672334548609797</c:v>
                </c:pt>
                <c:pt idx="2097">
                  <c:v>43.693167939811246</c:v>
                </c:pt>
                <c:pt idx="2098">
                  <c:v>43.714001331019972</c:v>
                </c:pt>
                <c:pt idx="2099">
                  <c:v>43.734834722221422</c:v>
                </c:pt>
                <c:pt idx="2100">
                  <c:v>43.755668113422871</c:v>
                </c:pt>
                <c:pt idx="2101">
                  <c:v>43.776501504631597</c:v>
                </c:pt>
                <c:pt idx="2102">
                  <c:v>43.797334895833053</c:v>
                </c:pt>
                <c:pt idx="2103">
                  <c:v>43.818168287034503</c:v>
                </c:pt>
                <c:pt idx="2104">
                  <c:v>43.839001678243193</c:v>
                </c:pt>
                <c:pt idx="2105">
                  <c:v>43.859835069444642</c:v>
                </c:pt>
                <c:pt idx="2106">
                  <c:v>43.880668460646078</c:v>
                </c:pt>
                <c:pt idx="2107">
                  <c:v>43.901501851854853</c:v>
                </c:pt>
                <c:pt idx="2108">
                  <c:v>43.922335243056303</c:v>
                </c:pt>
                <c:pt idx="2109">
                  <c:v>43.943168634257752</c:v>
                </c:pt>
                <c:pt idx="2110">
                  <c:v>43.964002025466449</c:v>
                </c:pt>
                <c:pt idx="2111">
                  <c:v>43.984835416667899</c:v>
                </c:pt>
                <c:pt idx="2112">
                  <c:v>44.00566880786937</c:v>
                </c:pt>
                <c:pt idx="2113">
                  <c:v>44.026502199070833</c:v>
                </c:pt>
                <c:pt idx="2114">
                  <c:v>44.047335590279552</c:v>
                </c:pt>
                <c:pt idx="2115">
                  <c:v>44.068168981481001</c:v>
                </c:pt>
                <c:pt idx="2116">
                  <c:v>44.089002372682437</c:v>
                </c:pt>
                <c:pt idx="2117">
                  <c:v>44.109835763891162</c:v>
                </c:pt>
                <c:pt idx="2118">
                  <c:v>44.130669155092583</c:v>
                </c:pt>
                <c:pt idx="2119">
                  <c:v>44.151502546294047</c:v>
                </c:pt>
                <c:pt idx="2120">
                  <c:v>44.172335937502801</c:v>
                </c:pt>
                <c:pt idx="2121">
                  <c:v>44.193169328704251</c:v>
                </c:pt>
                <c:pt idx="2122">
                  <c:v>44.2140027199057</c:v>
                </c:pt>
                <c:pt idx="2123">
                  <c:v>44.234836111114397</c:v>
                </c:pt>
                <c:pt idx="2124">
                  <c:v>44.255669502315847</c:v>
                </c:pt>
                <c:pt idx="2125">
                  <c:v>44.276502893517318</c:v>
                </c:pt>
                <c:pt idx="2126">
                  <c:v>44.297336284718781</c:v>
                </c:pt>
                <c:pt idx="2127">
                  <c:v>44.318169675927493</c:v>
                </c:pt>
                <c:pt idx="2128">
                  <c:v>44.339003067128942</c:v>
                </c:pt>
                <c:pt idx="2129">
                  <c:v>44.359836458330363</c:v>
                </c:pt>
                <c:pt idx="2130">
                  <c:v>44.380669849539103</c:v>
                </c:pt>
                <c:pt idx="2131">
                  <c:v>44.401503240740553</c:v>
                </c:pt>
                <c:pt idx="2132">
                  <c:v>44.422336631942017</c:v>
                </c:pt>
                <c:pt idx="2133">
                  <c:v>44.443170023150742</c:v>
                </c:pt>
                <c:pt idx="2134">
                  <c:v>44.46400341435217</c:v>
                </c:pt>
                <c:pt idx="2135">
                  <c:v>44.48483680555362</c:v>
                </c:pt>
                <c:pt idx="2136">
                  <c:v>44.505670196762352</c:v>
                </c:pt>
                <c:pt idx="2137">
                  <c:v>44.526503587963823</c:v>
                </c:pt>
                <c:pt idx="2138">
                  <c:v>44.547336979165273</c:v>
                </c:pt>
                <c:pt idx="2139">
                  <c:v>44.568170370373998</c:v>
                </c:pt>
                <c:pt idx="2140">
                  <c:v>44.589003761575441</c:v>
                </c:pt>
                <c:pt idx="2141">
                  <c:v>44.609837152776898</c:v>
                </c:pt>
                <c:pt idx="2142">
                  <c:v>44.63067054397834</c:v>
                </c:pt>
                <c:pt idx="2143">
                  <c:v>44.651503935187073</c:v>
                </c:pt>
                <c:pt idx="2144">
                  <c:v>44.672337326388522</c:v>
                </c:pt>
                <c:pt idx="2145">
                  <c:v>44.693170717589979</c:v>
                </c:pt>
                <c:pt idx="2146">
                  <c:v>44.714004108798669</c:v>
                </c:pt>
                <c:pt idx="2147">
                  <c:v>44.73483750000014</c:v>
                </c:pt>
                <c:pt idx="2148">
                  <c:v>44.755670891201568</c:v>
                </c:pt>
                <c:pt idx="2149">
                  <c:v>44.776504282410308</c:v>
                </c:pt>
                <c:pt idx="2150">
                  <c:v>44.797337673611757</c:v>
                </c:pt>
                <c:pt idx="2151">
                  <c:v>44.8181710648132</c:v>
                </c:pt>
                <c:pt idx="2152">
                  <c:v>44.839004456021932</c:v>
                </c:pt>
                <c:pt idx="2153">
                  <c:v>44.859837847223361</c:v>
                </c:pt>
                <c:pt idx="2154">
                  <c:v>44.880671238424839</c:v>
                </c:pt>
                <c:pt idx="2155">
                  <c:v>44.90150462962626</c:v>
                </c:pt>
                <c:pt idx="2156">
                  <c:v>44.922338020835028</c:v>
                </c:pt>
                <c:pt idx="2157">
                  <c:v>44.943171412036442</c:v>
                </c:pt>
                <c:pt idx="2158">
                  <c:v>44.964004803237891</c:v>
                </c:pt>
                <c:pt idx="2159">
                  <c:v>44.98483819444661</c:v>
                </c:pt>
                <c:pt idx="2160">
                  <c:v>45.005671585648059</c:v>
                </c:pt>
                <c:pt idx="2161">
                  <c:v>45.026504976849537</c:v>
                </c:pt>
                <c:pt idx="2162">
                  <c:v>45.047338368058263</c:v>
                </c:pt>
                <c:pt idx="2163">
                  <c:v>45.068171759259712</c:v>
                </c:pt>
                <c:pt idx="2164">
                  <c:v>45.089005150461148</c:v>
                </c:pt>
                <c:pt idx="2165">
                  <c:v>45.109838541669902</c:v>
                </c:pt>
                <c:pt idx="2166">
                  <c:v>45.130671932871351</c:v>
                </c:pt>
                <c:pt idx="2167">
                  <c:v>45.151505324072801</c:v>
                </c:pt>
                <c:pt idx="2168">
                  <c:v>45.17233871527425</c:v>
                </c:pt>
                <c:pt idx="2169">
                  <c:v>45.193172106482962</c:v>
                </c:pt>
                <c:pt idx="2170">
                  <c:v>45.21400549768439</c:v>
                </c:pt>
                <c:pt idx="2171">
                  <c:v>45.234838888885861</c:v>
                </c:pt>
                <c:pt idx="2172">
                  <c:v>45.255672280094601</c:v>
                </c:pt>
                <c:pt idx="2173">
                  <c:v>45.276505671296022</c:v>
                </c:pt>
                <c:pt idx="2174">
                  <c:v>45.2973390624975</c:v>
                </c:pt>
                <c:pt idx="2175">
                  <c:v>45.31817245370619</c:v>
                </c:pt>
                <c:pt idx="2176">
                  <c:v>45.339005844907661</c:v>
                </c:pt>
                <c:pt idx="2177">
                  <c:v>45.35983923610911</c:v>
                </c:pt>
                <c:pt idx="2178">
                  <c:v>45.380672627317821</c:v>
                </c:pt>
                <c:pt idx="2179">
                  <c:v>45.401506018519299</c:v>
                </c:pt>
                <c:pt idx="2180">
                  <c:v>45.422339409720742</c:v>
                </c:pt>
                <c:pt idx="2181">
                  <c:v>45.44317280092946</c:v>
                </c:pt>
                <c:pt idx="2182">
                  <c:v>45.46400619213091</c:v>
                </c:pt>
                <c:pt idx="2183">
                  <c:v>45.484839583332317</c:v>
                </c:pt>
                <c:pt idx="2184">
                  <c:v>45.505672974533809</c:v>
                </c:pt>
                <c:pt idx="2185">
                  <c:v>45.52650636574252</c:v>
                </c:pt>
                <c:pt idx="2186">
                  <c:v>45.547339756943977</c:v>
                </c:pt>
                <c:pt idx="2187">
                  <c:v>45.568173148145448</c:v>
                </c:pt>
                <c:pt idx="2188">
                  <c:v>45.589006539354138</c:v>
                </c:pt>
                <c:pt idx="2189">
                  <c:v>45.609839930555609</c:v>
                </c:pt>
                <c:pt idx="2190">
                  <c:v>45.630673321757058</c:v>
                </c:pt>
                <c:pt idx="2191">
                  <c:v>45.651506712965798</c:v>
                </c:pt>
                <c:pt idx="2192">
                  <c:v>45.672340104167233</c:v>
                </c:pt>
                <c:pt idx="2193">
                  <c:v>45.693173495368683</c:v>
                </c:pt>
                <c:pt idx="2194">
                  <c:v>45.714006886577408</c:v>
                </c:pt>
                <c:pt idx="2195">
                  <c:v>45.734840277778858</c:v>
                </c:pt>
                <c:pt idx="2196">
                  <c:v>45.755673668980307</c:v>
                </c:pt>
                <c:pt idx="2197">
                  <c:v>45.776507060181757</c:v>
                </c:pt>
                <c:pt idx="2198">
                  <c:v>45.797340451390461</c:v>
                </c:pt>
                <c:pt idx="2199">
                  <c:v>45.818173842591932</c:v>
                </c:pt>
                <c:pt idx="2200">
                  <c:v>45.83900723379336</c:v>
                </c:pt>
                <c:pt idx="2201">
                  <c:v>45.859840625002079</c:v>
                </c:pt>
                <c:pt idx="2202">
                  <c:v>45.880674016203528</c:v>
                </c:pt>
                <c:pt idx="2203">
                  <c:v>45.901507407404992</c:v>
                </c:pt>
                <c:pt idx="2204">
                  <c:v>45.922340798613732</c:v>
                </c:pt>
                <c:pt idx="2205">
                  <c:v>45.943174189815167</c:v>
                </c:pt>
                <c:pt idx="2206">
                  <c:v>45.964007581016588</c:v>
                </c:pt>
                <c:pt idx="2207">
                  <c:v>45.984840972225342</c:v>
                </c:pt>
                <c:pt idx="2208">
                  <c:v>46.005674363426813</c:v>
                </c:pt>
                <c:pt idx="2209">
                  <c:v>46.026507754628263</c:v>
                </c:pt>
                <c:pt idx="2210">
                  <c:v>46.047341145829712</c:v>
                </c:pt>
                <c:pt idx="2211">
                  <c:v>46.068174537038431</c:v>
                </c:pt>
                <c:pt idx="2212">
                  <c:v>46.08900792823988</c:v>
                </c:pt>
                <c:pt idx="2213">
                  <c:v>46.109841319441323</c:v>
                </c:pt>
                <c:pt idx="2214">
                  <c:v>46.130674710650062</c:v>
                </c:pt>
                <c:pt idx="2215">
                  <c:v>46.151508101851498</c:v>
                </c:pt>
                <c:pt idx="2216">
                  <c:v>46.172341493052947</c:v>
                </c:pt>
                <c:pt idx="2217">
                  <c:v>46.19317488426168</c:v>
                </c:pt>
                <c:pt idx="2218">
                  <c:v>46.214008275463122</c:v>
                </c:pt>
                <c:pt idx="2219">
                  <c:v>46.234841666664543</c:v>
                </c:pt>
                <c:pt idx="2220">
                  <c:v>46.255675057873297</c:v>
                </c:pt>
                <c:pt idx="2221">
                  <c:v>46.276508449074761</c:v>
                </c:pt>
                <c:pt idx="2222">
                  <c:v>46.297341840276211</c:v>
                </c:pt>
                <c:pt idx="2223">
                  <c:v>46.318175231484929</c:v>
                </c:pt>
                <c:pt idx="2224">
                  <c:v>46.339008622686357</c:v>
                </c:pt>
                <c:pt idx="2225">
                  <c:v>46.359842013887807</c:v>
                </c:pt>
                <c:pt idx="2226">
                  <c:v>46.380675405089256</c:v>
                </c:pt>
                <c:pt idx="2227">
                  <c:v>46.401508796298003</c:v>
                </c:pt>
                <c:pt idx="2228">
                  <c:v>46.422342187499453</c:v>
                </c:pt>
                <c:pt idx="2229">
                  <c:v>46.443175578700902</c:v>
                </c:pt>
                <c:pt idx="2230">
                  <c:v>46.464008969909628</c:v>
                </c:pt>
                <c:pt idx="2231">
                  <c:v>46.484842361111063</c:v>
                </c:pt>
                <c:pt idx="2232">
                  <c:v>46.505675752312513</c:v>
                </c:pt>
                <c:pt idx="2233">
                  <c:v>46.526509143521253</c:v>
                </c:pt>
                <c:pt idx="2234">
                  <c:v>46.547342534722702</c:v>
                </c:pt>
                <c:pt idx="2235">
                  <c:v>46.568175925924173</c:v>
                </c:pt>
                <c:pt idx="2236">
                  <c:v>46.589009317132877</c:v>
                </c:pt>
                <c:pt idx="2237">
                  <c:v>46.609842708334327</c:v>
                </c:pt>
                <c:pt idx="2238">
                  <c:v>46.630676099535783</c:v>
                </c:pt>
                <c:pt idx="2239">
                  <c:v>46.651509490737212</c:v>
                </c:pt>
                <c:pt idx="2240">
                  <c:v>46.672342881945951</c:v>
                </c:pt>
                <c:pt idx="2241">
                  <c:v>46.693176273147401</c:v>
                </c:pt>
                <c:pt idx="2242">
                  <c:v>46.714009664348843</c:v>
                </c:pt>
                <c:pt idx="2243">
                  <c:v>46.734843055557562</c:v>
                </c:pt>
                <c:pt idx="2244">
                  <c:v>46.755676446759033</c:v>
                </c:pt>
                <c:pt idx="2245">
                  <c:v>46.776509837960482</c:v>
                </c:pt>
                <c:pt idx="2246">
                  <c:v>46.797343229169201</c:v>
                </c:pt>
                <c:pt idx="2247">
                  <c:v>46.81817662037065</c:v>
                </c:pt>
                <c:pt idx="2248">
                  <c:v>46.8390100115721</c:v>
                </c:pt>
                <c:pt idx="2249">
                  <c:v>46.859843402780811</c:v>
                </c:pt>
                <c:pt idx="2250">
                  <c:v>46.880676793982261</c:v>
                </c:pt>
                <c:pt idx="2251">
                  <c:v>46.901510185183731</c:v>
                </c:pt>
                <c:pt idx="2252">
                  <c:v>46.922343576392443</c:v>
                </c:pt>
                <c:pt idx="2253">
                  <c:v>46.943176967593899</c:v>
                </c:pt>
                <c:pt idx="2254">
                  <c:v>46.964010358795349</c:v>
                </c:pt>
                <c:pt idx="2255">
                  <c:v>46.984843749996777</c:v>
                </c:pt>
                <c:pt idx="2256">
                  <c:v>47.005677141205517</c:v>
                </c:pt>
                <c:pt idx="2257">
                  <c:v>47.026510532406981</c:v>
                </c:pt>
                <c:pt idx="2258">
                  <c:v>47.047343923608423</c:v>
                </c:pt>
                <c:pt idx="2259">
                  <c:v>47.068177314817149</c:v>
                </c:pt>
                <c:pt idx="2260">
                  <c:v>47.089010706018598</c:v>
                </c:pt>
                <c:pt idx="2261">
                  <c:v>47.109844097220027</c:v>
                </c:pt>
                <c:pt idx="2262">
                  <c:v>47.130677488428773</c:v>
                </c:pt>
                <c:pt idx="2263">
                  <c:v>47.151510879630223</c:v>
                </c:pt>
                <c:pt idx="2264">
                  <c:v>47.172344270831672</c:v>
                </c:pt>
                <c:pt idx="2265">
                  <c:v>47.193177662040398</c:v>
                </c:pt>
                <c:pt idx="2266">
                  <c:v>47.214011053241833</c:v>
                </c:pt>
                <c:pt idx="2267">
                  <c:v>47.234844444443283</c:v>
                </c:pt>
                <c:pt idx="2268">
                  <c:v>47.255677835644747</c:v>
                </c:pt>
                <c:pt idx="2269">
                  <c:v>47.276511226853472</c:v>
                </c:pt>
                <c:pt idx="2270">
                  <c:v>47.297344618054922</c:v>
                </c:pt>
                <c:pt idx="2271">
                  <c:v>47.31817800925635</c:v>
                </c:pt>
                <c:pt idx="2272">
                  <c:v>47.339011400465097</c:v>
                </c:pt>
                <c:pt idx="2273">
                  <c:v>47.359844791666497</c:v>
                </c:pt>
                <c:pt idx="2274">
                  <c:v>47.380678182868003</c:v>
                </c:pt>
                <c:pt idx="2275">
                  <c:v>47.401511574076721</c:v>
                </c:pt>
                <c:pt idx="2276">
                  <c:v>47.422344965278171</c:v>
                </c:pt>
                <c:pt idx="2277">
                  <c:v>47.443178356479621</c:v>
                </c:pt>
                <c:pt idx="2278">
                  <c:v>47.464011747688353</c:v>
                </c:pt>
                <c:pt idx="2279">
                  <c:v>47.484845138889803</c:v>
                </c:pt>
                <c:pt idx="2280">
                  <c:v>47.505678530091252</c:v>
                </c:pt>
                <c:pt idx="2281">
                  <c:v>47.526511921292688</c:v>
                </c:pt>
                <c:pt idx="2282">
                  <c:v>47.54734531250142</c:v>
                </c:pt>
                <c:pt idx="2283">
                  <c:v>47.56817870370287</c:v>
                </c:pt>
                <c:pt idx="2284">
                  <c:v>47.589012094904319</c:v>
                </c:pt>
                <c:pt idx="2285">
                  <c:v>47.609845486113038</c:v>
                </c:pt>
                <c:pt idx="2286">
                  <c:v>47.630678877314487</c:v>
                </c:pt>
                <c:pt idx="2287">
                  <c:v>47.651512268515951</c:v>
                </c:pt>
                <c:pt idx="2288">
                  <c:v>47.67234565972467</c:v>
                </c:pt>
                <c:pt idx="2289">
                  <c:v>47.693179050926119</c:v>
                </c:pt>
                <c:pt idx="2290">
                  <c:v>47.714012442127569</c:v>
                </c:pt>
                <c:pt idx="2291">
                  <c:v>47.734845833336287</c:v>
                </c:pt>
                <c:pt idx="2292">
                  <c:v>47.755679224537751</c:v>
                </c:pt>
                <c:pt idx="2293">
                  <c:v>47.7765126157392</c:v>
                </c:pt>
                <c:pt idx="2294">
                  <c:v>47.797346006947919</c:v>
                </c:pt>
                <c:pt idx="2295">
                  <c:v>47.818179398149368</c:v>
                </c:pt>
                <c:pt idx="2296">
                  <c:v>47.839012789350818</c:v>
                </c:pt>
                <c:pt idx="2297">
                  <c:v>47.859846180552239</c:v>
                </c:pt>
                <c:pt idx="2298">
                  <c:v>47.880679571760957</c:v>
                </c:pt>
                <c:pt idx="2299">
                  <c:v>47.901512962962443</c:v>
                </c:pt>
                <c:pt idx="2300">
                  <c:v>47.922346354163899</c:v>
                </c:pt>
                <c:pt idx="2301">
                  <c:v>47.943179745372603</c:v>
                </c:pt>
                <c:pt idx="2302">
                  <c:v>47.964013136574081</c:v>
                </c:pt>
                <c:pt idx="2303">
                  <c:v>47.984846527775488</c:v>
                </c:pt>
                <c:pt idx="2304">
                  <c:v>48.005679918984242</c:v>
                </c:pt>
                <c:pt idx="2305">
                  <c:v>48.026513310185699</c:v>
                </c:pt>
                <c:pt idx="2306">
                  <c:v>48.04734670138712</c:v>
                </c:pt>
                <c:pt idx="2307">
                  <c:v>48.068180092595881</c:v>
                </c:pt>
                <c:pt idx="2308">
                  <c:v>48.089013483797288</c:v>
                </c:pt>
                <c:pt idx="2309">
                  <c:v>48.109846874998773</c:v>
                </c:pt>
                <c:pt idx="2310">
                  <c:v>48.130680266200201</c:v>
                </c:pt>
                <c:pt idx="2311">
                  <c:v>48.151513657408941</c:v>
                </c:pt>
                <c:pt idx="2312">
                  <c:v>48.172347048610398</c:v>
                </c:pt>
                <c:pt idx="2313">
                  <c:v>48.19318043981184</c:v>
                </c:pt>
                <c:pt idx="2314">
                  <c:v>48.214013831020573</c:v>
                </c:pt>
                <c:pt idx="2315">
                  <c:v>48.234847222222001</c:v>
                </c:pt>
                <c:pt idx="2316">
                  <c:v>48.255680613423451</c:v>
                </c:pt>
                <c:pt idx="2317">
                  <c:v>48.276514004632197</c:v>
                </c:pt>
                <c:pt idx="2318">
                  <c:v>48.29734739583364</c:v>
                </c:pt>
                <c:pt idx="2319">
                  <c:v>48.318180787035082</c:v>
                </c:pt>
                <c:pt idx="2320">
                  <c:v>48.339014178243801</c:v>
                </c:pt>
                <c:pt idx="2321">
                  <c:v>48.359847569445222</c:v>
                </c:pt>
                <c:pt idx="2322">
                  <c:v>48.380680960646693</c:v>
                </c:pt>
                <c:pt idx="2323">
                  <c:v>48.40151435185544</c:v>
                </c:pt>
                <c:pt idx="2324">
                  <c:v>48.422347743056903</c:v>
                </c:pt>
                <c:pt idx="2325">
                  <c:v>48.443181134258317</c:v>
                </c:pt>
                <c:pt idx="2326">
                  <c:v>48.464014525459802</c:v>
                </c:pt>
                <c:pt idx="2327">
                  <c:v>48.484847916668492</c:v>
                </c:pt>
                <c:pt idx="2328">
                  <c:v>48.505681307869963</c:v>
                </c:pt>
                <c:pt idx="2329">
                  <c:v>48.526514699071413</c:v>
                </c:pt>
                <c:pt idx="2330">
                  <c:v>48.547348090280117</c:v>
                </c:pt>
                <c:pt idx="2331">
                  <c:v>48.568181481481567</c:v>
                </c:pt>
                <c:pt idx="2332">
                  <c:v>48.589014872683023</c:v>
                </c:pt>
                <c:pt idx="2333">
                  <c:v>48.609848263891763</c:v>
                </c:pt>
                <c:pt idx="2334">
                  <c:v>48.630681655093177</c:v>
                </c:pt>
                <c:pt idx="2335">
                  <c:v>48.651515046294648</c:v>
                </c:pt>
                <c:pt idx="2336">
                  <c:v>48.672348437503402</c:v>
                </c:pt>
                <c:pt idx="2337">
                  <c:v>48.693181828704851</c:v>
                </c:pt>
                <c:pt idx="2338">
                  <c:v>48.714015219906301</c:v>
                </c:pt>
                <c:pt idx="2339">
                  <c:v>48.734848611107743</c:v>
                </c:pt>
                <c:pt idx="2340">
                  <c:v>48.755682002316441</c:v>
                </c:pt>
                <c:pt idx="2341">
                  <c:v>48.776515393517911</c:v>
                </c:pt>
                <c:pt idx="2342">
                  <c:v>48.797348784719361</c:v>
                </c:pt>
                <c:pt idx="2343">
                  <c:v>48.818182175928101</c:v>
                </c:pt>
                <c:pt idx="2344">
                  <c:v>48.839015567129543</c:v>
                </c:pt>
                <c:pt idx="2345">
                  <c:v>48.859848958330971</c:v>
                </c:pt>
                <c:pt idx="2346">
                  <c:v>48.880682349539711</c:v>
                </c:pt>
                <c:pt idx="2347">
                  <c:v>48.901515740741161</c:v>
                </c:pt>
                <c:pt idx="2348">
                  <c:v>48.922349131942603</c:v>
                </c:pt>
                <c:pt idx="2349">
                  <c:v>48.943182523151343</c:v>
                </c:pt>
                <c:pt idx="2350">
                  <c:v>48.9640159143528</c:v>
                </c:pt>
                <c:pt idx="2351">
                  <c:v>48.984849305554221</c:v>
                </c:pt>
                <c:pt idx="2352">
                  <c:v>49.005682696755677</c:v>
                </c:pt>
                <c:pt idx="2353">
                  <c:v>49.02651608796441</c:v>
                </c:pt>
                <c:pt idx="2354">
                  <c:v>49.047349479165852</c:v>
                </c:pt>
                <c:pt idx="2355">
                  <c:v>49.068182870367309</c:v>
                </c:pt>
                <c:pt idx="2356">
                  <c:v>49.089016261576027</c:v>
                </c:pt>
                <c:pt idx="2357">
                  <c:v>49.10984965277747</c:v>
                </c:pt>
                <c:pt idx="2358">
                  <c:v>49.130683043978941</c:v>
                </c:pt>
                <c:pt idx="2359">
                  <c:v>49.151516435187638</c:v>
                </c:pt>
                <c:pt idx="2360">
                  <c:v>49.172349826389109</c:v>
                </c:pt>
                <c:pt idx="2361">
                  <c:v>49.193183217590558</c:v>
                </c:pt>
                <c:pt idx="2362">
                  <c:v>49.214016608799277</c:v>
                </c:pt>
                <c:pt idx="2363">
                  <c:v>49.234850000000733</c:v>
                </c:pt>
                <c:pt idx="2364">
                  <c:v>49.255683391202162</c:v>
                </c:pt>
                <c:pt idx="2365">
                  <c:v>49.276516782410908</c:v>
                </c:pt>
                <c:pt idx="2366">
                  <c:v>49.297350173612337</c:v>
                </c:pt>
                <c:pt idx="2367">
                  <c:v>49.318183564813793</c:v>
                </c:pt>
                <c:pt idx="2368">
                  <c:v>49.339016956015257</c:v>
                </c:pt>
                <c:pt idx="2369">
                  <c:v>49.359850347223983</c:v>
                </c:pt>
                <c:pt idx="2370">
                  <c:v>49.380683738425432</c:v>
                </c:pt>
                <c:pt idx="2371">
                  <c:v>49.401517129626868</c:v>
                </c:pt>
                <c:pt idx="2372">
                  <c:v>49.422350520835607</c:v>
                </c:pt>
                <c:pt idx="2373">
                  <c:v>49.443183912037057</c:v>
                </c:pt>
                <c:pt idx="2374">
                  <c:v>49.464017303238492</c:v>
                </c:pt>
                <c:pt idx="2375">
                  <c:v>49.484850694447211</c:v>
                </c:pt>
                <c:pt idx="2376">
                  <c:v>49.505684085648639</c:v>
                </c:pt>
                <c:pt idx="2377">
                  <c:v>49.526517476850131</c:v>
                </c:pt>
                <c:pt idx="2378">
                  <c:v>49.547350868058857</c:v>
                </c:pt>
                <c:pt idx="2379">
                  <c:v>49.568184259260292</c:v>
                </c:pt>
                <c:pt idx="2380">
                  <c:v>49.589017650461763</c:v>
                </c:pt>
                <c:pt idx="2381">
                  <c:v>49.609851041663191</c:v>
                </c:pt>
                <c:pt idx="2382">
                  <c:v>49.630684432871931</c:v>
                </c:pt>
                <c:pt idx="2383">
                  <c:v>49.65151782407338</c:v>
                </c:pt>
                <c:pt idx="2384">
                  <c:v>49.67235121527483</c:v>
                </c:pt>
                <c:pt idx="2385">
                  <c:v>49.693184606483563</c:v>
                </c:pt>
                <c:pt idx="2386">
                  <c:v>49.714017997684998</c:v>
                </c:pt>
                <c:pt idx="2387">
                  <c:v>49.734851388886447</c:v>
                </c:pt>
                <c:pt idx="2388">
                  <c:v>49.755684780095173</c:v>
                </c:pt>
                <c:pt idx="2389">
                  <c:v>49.776518171296622</c:v>
                </c:pt>
                <c:pt idx="2390">
                  <c:v>49.797351562498079</c:v>
                </c:pt>
                <c:pt idx="2391">
                  <c:v>49.81818495370679</c:v>
                </c:pt>
                <c:pt idx="2392">
                  <c:v>49.839018344908261</c:v>
                </c:pt>
                <c:pt idx="2393">
                  <c:v>49.859851736109711</c:v>
                </c:pt>
                <c:pt idx="2394">
                  <c:v>49.880685127318408</c:v>
                </c:pt>
                <c:pt idx="2395">
                  <c:v>49.901518518519879</c:v>
                </c:pt>
                <c:pt idx="2396">
                  <c:v>49.922351909721328</c:v>
                </c:pt>
                <c:pt idx="2397">
                  <c:v>49.943185300922778</c:v>
                </c:pt>
                <c:pt idx="2398">
                  <c:v>49.964018692131503</c:v>
                </c:pt>
                <c:pt idx="2399">
                  <c:v>49.984852083332932</c:v>
                </c:pt>
                <c:pt idx="2400">
                  <c:v>50.005685474534403</c:v>
                </c:pt>
                <c:pt idx="2401">
                  <c:v>50.026518865743128</c:v>
                </c:pt>
                <c:pt idx="2402">
                  <c:v>50.047352256944578</c:v>
                </c:pt>
                <c:pt idx="2403">
                  <c:v>50.068185648146027</c:v>
                </c:pt>
                <c:pt idx="2404">
                  <c:v>50.089019039354753</c:v>
                </c:pt>
                <c:pt idx="2405">
                  <c:v>50.109852430556202</c:v>
                </c:pt>
                <c:pt idx="2406">
                  <c:v>50.130685821757638</c:v>
                </c:pt>
                <c:pt idx="2407">
                  <c:v>50.151519212966377</c:v>
                </c:pt>
                <c:pt idx="2408">
                  <c:v>50.172352604167848</c:v>
                </c:pt>
                <c:pt idx="2409">
                  <c:v>50.193185995369276</c:v>
                </c:pt>
                <c:pt idx="2410">
                  <c:v>50.214019386570747</c:v>
                </c:pt>
                <c:pt idx="2411">
                  <c:v>50.234852777779452</c:v>
                </c:pt>
                <c:pt idx="2412">
                  <c:v>50.255686168980901</c:v>
                </c:pt>
                <c:pt idx="2413">
                  <c:v>50.276519560182351</c:v>
                </c:pt>
                <c:pt idx="2414">
                  <c:v>50.297352951391083</c:v>
                </c:pt>
                <c:pt idx="2415">
                  <c:v>50.318186342592533</c:v>
                </c:pt>
                <c:pt idx="2416">
                  <c:v>50.339019733793982</c:v>
                </c:pt>
                <c:pt idx="2417">
                  <c:v>50.35985312500268</c:v>
                </c:pt>
                <c:pt idx="2418">
                  <c:v>50.380686516204129</c:v>
                </c:pt>
                <c:pt idx="2419">
                  <c:v>50.4015199074056</c:v>
                </c:pt>
                <c:pt idx="2420">
                  <c:v>50.422353298614333</c:v>
                </c:pt>
                <c:pt idx="2421">
                  <c:v>50.443186689815768</c:v>
                </c:pt>
                <c:pt idx="2422">
                  <c:v>50.46402008101721</c:v>
                </c:pt>
                <c:pt idx="2423">
                  <c:v>50.484853472218639</c:v>
                </c:pt>
                <c:pt idx="2424">
                  <c:v>50.505686863427393</c:v>
                </c:pt>
                <c:pt idx="2425">
                  <c:v>50.526520254628849</c:v>
                </c:pt>
                <c:pt idx="2426">
                  <c:v>50.547353645830299</c:v>
                </c:pt>
                <c:pt idx="2427">
                  <c:v>50.568187037039031</c:v>
                </c:pt>
                <c:pt idx="2428">
                  <c:v>50.58902042824046</c:v>
                </c:pt>
                <c:pt idx="2429">
                  <c:v>50.609853819441923</c:v>
                </c:pt>
                <c:pt idx="2430">
                  <c:v>50.630687210650628</c:v>
                </c:pt>
                <c:pt idx="2431">
                  <c:v>50.651520601852077</c:v>
                </c:pt>
                <c:pt idx="2432">
                  <c:v>50.672353993053548</c:v>
                </c:pt>
                <c:pt idx="2433">
                  <c:v>50.693187384262266</c:v>
                </c:pt>
                <c:pt idx="2434">
                  <c:v>50.714020775463723</c:v>
                </c:pt>
                <c:pt idx="2435">
                  <c:v>50.734854166665173</c:v>
                </c:pt>
                <c:pt idx="2436">
                  <c:v>50.755687557873877</c:v>
                </c:pt>
                <c:pt idx="2437">
                  <c:v>50.776520949075362</c:v>
                </c:pt>
                <c:pt idx="2438">
                  <c:v>50.797354340276797</c:v>
                </c:pt>
                <c:pt idx="2439">
                  <c:v>50.818187731478247</c:v>
                </c:pt>
                <c:pt idx="2440">
                  <c:v>50.839021122686972</c:v>
                </c:pt>
                <c:pt idx="2441">
                  <c:v>50.859854513888394</c:v>
                </c:pt>
                <c:pt idx="2442">
                  <c:v>50.88068790508985</c:v>
                </c:pt>
                <c:pt idx="2443">
                  <c:v>50.901521296298583</c:v>
                </c:pt>
                <c:pt idx="2444">
                  <c:v>50.922354687500047</c:v>
                </c:pt>
                <c:pt idx="2445">
                  <c:v>50.943188078701503</c:v>
                </c:pt>
                <c:pt idx="2446">
                  <c:v>50.964021469910193</c:v>
                </c:pt>
                <c:pt idx="2447">
                  <c:v>50.984854861111643</c:v>
                </c:pt>
                <c:pt idx="2448">
                  <c:v>51.005688252313099</c:v>
                </c:pt>
                <c:pt idx="2449">
                  <c:v>51.02652164352186</c:v>
                </c:pt>
                <c:pt idx="2450">
                  <c:v>51.047355034723303</c:v>
                </c:pt>
                <c:pt idx="2451">
                  <c:v>51.068188425924752</c:v>
                </c:pt>
                <c:pt idx="2452">
                  <c:v>51.089021817126188</c:v>
                </c:pt>
                <c:pt idx="2453">
                  <c:v>51.10985520833492</c:v>
                </c:pt>
                <c:pt idx="2454">
                  <c:v>51.130688599536349</c:v>
                </c:pt>
                <c:pt idx="2455">
                  <c:v>51.15152199073782</c:v>
                </c:pt>
                <c:pt idx="2456">
                  <c:v>51.172355381946552</c:v>
                </c:pt>
                <c:pt idx="2457">
                  <c:v>51.193188773148002</c:v>
                </c:pt>
                <c:pt idx="2458">
                  <c:v>51.214022164349437</c:v>
                </c:pt>
                <c:pt idx="2459">
                  <c:v>51.23485555555817</c:v>
                </c:pt>
                <c:pt idx="2460">
                  <c:v>51.255688946759619</c:v>
                </c:pt>
                <c:pt idx="2461">
                  <c:v>51.276522337961083</c:v>
                </c:pt>
                <c:pt idx="2462">
                  <c:v>51.297355729169801</c:v>
                </c:pt>
                <c:pt idx="2463">
                  <c:v>51.318189120371251</c:v>
                </c:pt>
                <c:pt idx="2464">
                  <c:v>51.339022511572693</c:v>
                </c:pt>
                <c:pt idx="2465">
                  <c:v>51.359855902774143</c:v>
                </c:pt>
                <c:pt idx="2466">
                  <c:v>51.38068929398284</c:v>
                </c:pt>
                <c:pt idx="2467">
                  <c:v>51.401522685184297</c:v>
                </c:pt>
                <c:pt idx="2468">
                  <c:v>51.422356076385782</c:v>
                </c:pt>
                <c:pt idx="2469">
                  <c:v>51.443189467594458</c:v>
                </c:pt>
                <c:pt idx="2470">
                  <c:v>51.464022858795943</c:v>
                </c:pt>
                <c:pt idx="2471">
                  <c:v>51.484856249997392</c:v>
                </c:pt>
                <c:pt idx="2472">
                  <c:v>51.505689641206089</c:v>
                </c:pt>
                <c:pt idx="2473">
                  <c:v>51.526523032407567</c:v>
                </c:pt>
                <c:pt idx="2474">
                  <c:v>51.547356423609003</c:v>
                </c:pt>
                <c:pt idx="2475">
                  <c:v>51.568189814817742</c:v>
                </c:pt>
                <c:pt idx="2476">
                  <c:v>51.589023206019199</c:v>
                </c:pt>
                <c:pt idx="2477">
                  <c:v>51.60985659722062</c:v>
                </c:pt>
                <c:pt idx="2478">
                  <c:v>51.630689988429367</c:v>
                </c:pt>
                <c:pt idx="2479">
                  <c:v>51.651523379630802</c:v>
                </c:pt>
                <c:pt idx="2480">
                  <c:v>51.672356770832273</c:v>
                </c:pt>
                <c:pt idx="2481">
                  <c:v>51.693190162033723</c:v>
                </c:pt>
                <c:pt idx="2482">
                  <c:v>51.714023553242399</c:v>
                </c:pt>
                <c:pt idx="2483">
                  <c:v>51.734856944443898</c:v>
                </c:pt>
                <c:pt idx="2484">
                  <c:v>51.75569033564534</c:v>
                </c:pt>
                <c:pt idx="2485">
                  <c:v>51.77652372685408</c:v>
                </c:pt>
                <c:pt idx="2486">
                  <c:v>51.797357118055523</c:v>
                </c:pt>
                <c:pt idx="2487">
                  <c:v>51.818190509256951</c:v>
                </c:pt>
                <c:pt idx="2488">
                  <c:v>51.839023900465698</c:v>
                </c:pt>
                <c:pt idx="2489">
                  <c:v>51.859857291667112</c:v>
                </c:pt>
                <c:pt idx="2490">
                  <c:v>51.880690682868568</c:v>
                </c:pt>
                <c:pt idx="2491">
                  <c:v>51.901524074077301</c:v>
                </c:pt>
                <c:pt idx="2492">
                  <c:v>51.922357465278758</c:v>
                </c:pt>
                <c:pt idx="2493">
                  <c:v>51.943190856480207</c:v>
                </c:pt>
                <c:pt idx="2494">
                  <c:v>51.96402424768165</c:v>
                </c:pt>
                <c:pt idx="2495">
                  <c:v>51.984857638890368</c:v>
                </c:pt>
                <c:pt idx="2496">
                  <c:v>52.005691030091839</c:v>
                </c:pt>
                <c:pt idx="2497">
                  <c:v>52.02652442129326</c:v>
                </c:pt>
                <c:pt idx="2498">
                  <c:v>52.047357812502007</c:v>
                </c:pt>
                <c:pt idx="2499">
                  <c:v>52.068191203703464</c:v>
                </c:pt>
                <c:pt idx="2500">
                  <c:v>52.089024594904913</c:v>
                </c:pt>
                <c:pt idx="2501">
                  <c:v>52.109857986113617</c:v>
                </c:pt>
                <c:pt idx="2502">
                  <c:v>52.130691377315067</c:v>
                </c:pt>
                <c:pt idx="2503">
                  <c:v>52.151524768516509</c:v>
                </c:pt>
                <c:pt idx="2504">
                  <c:v>52.172358159725263</c:v>
                </c:pt>
                <c:pt idx="2505">
                  <c:v>52.193191550926713</c:v>
                </c:pt>
                <c:pt idx="2506">
                  <c:v>52.214024942128162</c:v>
                </c:pt>
                <c:pt idx="2507">
                  <c:v>52.234858333336902</c:v>
                </c:pt>
                <c:pt idx="2508">
                  <c:v>52.255691724538337</c:v>
                </c:pt>
                <c:pt idx="2509">
                  <c:v>52.276525115739801</c:v>
                </c:pt>
                <c:pt idx="2510">
                  <c:v>52.297358506941251</c:v>
                </c:pt>
                <c:pt idx="2511">
                  <c:v>52.318191898149962</c:v>
                </c:pt>
                <c:pt idx="2512">
                  <c:v>52.339025289351397</c:v>
                </c:pt>
                <c:pt idx="2513">
                  <c:v>52.359858680552847</c:v>
                </c:pt>
                <c:pt idx="2514">
                  <c:v>52.380692071761558</c:v>
                </c:pt>
                <c:pt idx="2515">
                  <c:v>52.401525462963022</c:v>
                </c:pt>
                <c:pt idx="2516">
                  <c:v>52.4223588541645</c:v>
                </c:pt>
                <c:pt idx="2517">
                  <c:v>52.443192245373211</c:v>
                </c:pt>
                <c:pt idx="2518">
                  <c:v>52.464025636574661</c:v>
                </c:pt>
                <c:pt idx="2519">
                  <c:v>52.484859027776089</c:v>
                </c:pt>
                <c:pt idx="2520">
                  <c:v>52.50569241898485</c:v>
                </c:pt>
                <c:pt idx="2521">
                  <c:v>52.5265258101863</c:v>
                </c:pt>
                <c:pt idx="2522">
                  <c:v>52.547359201387742</c:v>
                </c:pt>
                <c:pt idx="2523">
                  <c:v>52.568192592589199</c:v>
                </c:pt>
                <c:pt idx="2524">
                  <c:v>52.589025983797903</c:v>
                </c:pt>
                <c:pt idx="2525">
                  <c:v>52.60985937499936</c:v>
                </c:pt>
                <c:pt idx="2526">
                  <c:v>52.630692766200809</c:v>
                </c:pt>
                <c:pt idx="2527">
                  <c:v>52.651526157409521</c:v>
                </c:pt>
                <c:pt idx="2528">
                  <c:v>52.672359548610999</c:v>
                </c:pt>
                <c:pt idx="2529">
                  <c:v>52.693192939812441</c:v>
                </c:pt>
                <c:pt idx="2530">
                  <c:v>52.714026331021159</c:v>
                </c:pt>
                <c:pt idx="2531">
                  <c:v>52.734859722222588</c:v>
                </c:pt>
                <c:pt idx="2532">
                  <c:v>52.755693113424059</c:v>
                </c:pt>
                <c:pt idx="2533">
                  <c:v>52.776526504632777</c:v>
                </c:pt>
                <c:pt idx="2534">
                  <c:v>52.797359895834241</c:v>
                </c:pt>
                <c:pt idx="2535">
                  <c:v>52.818193287035683</c:v>
                </c:pt>
                <c:pt idx="2536">
                  <c:v>52.839026678237111</c:v>
                </c:pt>
                <c:pt idx="2537">
                  <c:v>52.85986006944583</c:v>
                </c:pt>
                <c:pt idx="2538">
                  <c:v>52.880693460647272</c:v>
                </c:pt>
                <c:pt idx="2539">
                  <c:v>52.901526851848743</c:v>
                </c:pt>
                <c:pt idx="2540">
                  <c:v>52.922360243057483</c:v>
                </c:pt>
                <c:pt idx="2541">
                  <c:v>52.943193634258932</c:v>
                </c:pt>
                <c:pt idx="2542">
                  <c:v>52.964027025460361</c:v>
                </c:pt>
                <c:pt idx="2543">
                  <c:v>52.984860416669079</c:v>
                </c:pt>
                <c:pt idx="2544">
                  <c:v>53.005693807870557</c:v>
                </c:pt>
                <c:pt idx="2545">
                  <c:v>53.026527199072007</c:v>
                </c:pt>
                <c:pt idx="2546">
                  <c:v>53.047360590280732</c:v>
                </c:pt>
                <c:pt idx="2547">
                  <c:v>53.068193981482182</c:v>
                </c:pt>
                <c:pt idx="2548">
                  <c:v>53.08902737268361</c:v>
                </c:pt>
                <c:pt idx="2549">
                  <c:v>53.109860763892328</c:v>
                </c:pt>
                <c:pt idx="2550">
                  <c:v>53.130694155093792</c:v>
                </c:pt>
                <c:pt idx="2551">
                  <c:v>53.151527546295242</c:v>
                </c:pt>
                <c:pt idx="2552">
                  <c:v>53.172360937496713</c:v>
                </c:pt>
                <c:pt idx="2553">
                  <c:v>53.193194328705431</c:v>
                </c:pt>
                <c:pt idx="2554">
                  <c:v>53.214027719906873</c:v>
                </c:pt>
                <c:pt idx="2555">
                  <c:v>53.234861111108323</c:v>
                </c:pt>
                <c:pt idx="2556">
                  <c:v>53.255694502317041</c:v>
                </c:pt>
                <c:pt idx="2557">
                  <c:v>53.276527893518512</c:v>
                </c:pt>
                <c:pt idx="2558">
                  <c:v>53.297361284719962</c:v>
                </c:pt>
                <c:pt idx="2559">
                  <c:v>53.318194675928673</c:v>
                </c:pt>
                <c:pt idx="2560">
                  <c:v>53.339028067130123</c:v>
                </c:pt>
                <c:pt idx="2561">
                  <c:v>53.359861458331537</c:v>
                </c:pt>
                <c:pt idx="2562">
                  <c:v>53.380694849540291</c:v>
                </c:pt>
                <c:pt idx="2563">
                  <c:v>53.401528240741762</c:v>
                </c:pt>
                <c:pt idx="2564">
                  <c:v>53.422361631943197</c:v>
                </c:pt>
                <c:pt idx="2565">
                  <c:v>53.443195023144654</c:v>
                </c:pt>
                <c:pt idx="2566">
                  <c:v>53.464028414353358</c:v>
                </c:pt>
                <c:pt idx="2567">
                  <c:v>53.484861805554807</c:v>
                </c:pt>
                <c:pt idx="2568">
                  <c:v>53.505695196756278</c:v>
                </c:pt>
                <c:pt idx="2569">
                  <c:v>53.526528587965011</c:v>
                </c:pt>
                <c:pt idx="2570">
                  <c:v>53.547361979166432</c:v>
                </c:pt>
                <c:pt idx="2571">
                  <c:v>53.568195370367903</c:v>
                </c:pt>
                <c:pt idx="2572">
                  <c:v>53.589028761576607</c:v>
                </c:pt>
                <c:pt idx="2573">
                  <c:v>53.609862152778078</c:v>
                </c:pt>
                <c:pt idx="2574">
                  <c:v>53.630695543979527</c:v>
                </c:pt>
                <c:pt idx="2575">
                  <c:v>53.651528935188253</c:v>
                </c:pt>
                <c:pt idx="2576">
                  <c:v>53.672362326389703</c:v>
                </c:pt>
                <c:pt idx="2577">
                  <c:v>53.693195717591152</c:v>
                </c:pt>
                <c:pt idx="2578">
                  <c:v>53.714029108799878</c:v>
                </c:pt>
                <c:pt idx="2579">
                  <c:v>53.734862500001327</c:v>
                </c:pt>
                <c:pt idx="2580">
                  <c:v>53.755695891202777</c:v>
                </c:pt>
                <c:pt idx="2581">
                  <c:v>53.776529282404233</c:v>
                </c:pt>
                <c:pt idx="2582">
                  <c:v>53.797362673612938</c:v>
                </c:pt>
                <c:pt idx="2583">
                  <c:v>53.818196064814387</c:v>
                </c:pt>
                <c:pt idx="2584">
                  <c:v>53.839029456015837</c:v>
                </c:pt>
                <c:pt idx="2585">
                  <c:v>53.859862847224562</c:v>
                </c:pt>
                <c:pt idx="2586">
                  <c:v>53.880696238426033</c:v>
                </c:pt>
                <c:pt idx="2587">
                  <c:v>53.901529629627461</c:v>
                </c:pt>
                <c:pt idx="2588">
                  <c:v>53.922363020836201</c:v>
                </c:pt>
                <c:pt idx="2589">
                  <c:v>53.943196412037643</c:v>
                </c:pt>
                <c:pt idx="2590">
                  <c:v>53.964029803239093</c:v>
                </c:pt>
                <c:pt idx="2591">
                  <c:v>53.984863194447811</c:v>
                </c:pt>
                <c:pt idx="2592">
                  <c:v>54.005696585649261</c:v>
                </c:pt>
                <c:pt idx="2593">
                  <c:v>54.026529976850732</c:v>
                </c:pt>
                <c:pt idx="2594">
                  <c:v>54.047363368052167</c:v>
                </c:pt>
                <c:pt idx="2595">
                  <c:v>54.0681967592609</c:v>
                </c:pt>
                <c:pt idx="2596">
                  <c:v>54.089030150462342</c:v>
                </c:pt>
                <c:pt idx="2597">
                  <c:v>54.109863541663778</c:v>
                </c:pt>
                <c:pt idx="2598">
                  <c:v>54.130696932872532</c:v>
                </c:pt>
                <c:pt idx="2599">
                  <c:v>54.151530324073981</c:v>
                </c:pt>
                <c:pt idx="2600">
                  <c:v>54.172363715275431</c:v>
                </c:pt>
                <c:pt idx="2601">
                  <c:v>54.193197106484149</c:v>
                </c:pt>
                <c:pt idx="2602">
                  <c:v>54.214030497685577</c:v>
                </c:pt>
                <c:pt idx="2603">
                  <c:v>54.234863888887048</c:v>
                </c:pt>
                <c:pt idx="2604">
                  <c:v>54.255697280095781</c:v>
                </c:pt>
                <c:pt idx="2605">
                  <c:v>54.276530671297223</c:v>
                </c:pt>
                <c:pt idx="2606">
                  <c:v>54.297364062498673</c:v>
                </c:pt>
                <c:pt idx="2607">
                  <c:v>54.318197453700087</c:v>
                </c:pt>
                <c:pt idx="2608">
                  <c:v>54.339030844908862</c:v>
                </c:pt>
                <c:pt idx="2609">
                  <c:v>54.359864236110283</c:v>
                </c:pt>
                <c:pt idx="2610">
                  <c:v>54.380697627311733</c:v>
                </c:pt>
                <c:pt idx="2611">
                  <c:v>54.401531018520473</c:v>
                </c:pt>
                <c:pt idx="2612">
                  <c:v>54.422364409721922</c:v>
                </c:pt>
                <c:pt idx="2613">
                  <c:v>54.443197800923372</c:v>
                </c:pt>
                <c:pt idx="2614">
                  <c:v>54.464031192132097</c:v>
                </c:pt>
                <c:pt idx="2615">
                  <c:v>54.484864583333497</c:v>
                </c:pt>
                <c:pt idx="2616">
                  <c:v>54.505697974535003</c:v>
                </c:pt>
                <c:pt idx="2617">
                  <c:v>54.526531365743722</c:v>
                </c:pt>
                <c:pt idx="2618">
                  <c:v>54.54736475694515</c:v>
                </c:pt>
                <c:pt idx="2619">
                  <c:v>54.568198148146621</c:v>
                </c:pt>
                <c:pt idx="2620">
                  <c:v>54.589031539355346</c:v>
                </c:pt>
                <c:pt idx="2621">
                  <c:v>54.609864930556803</c:v>
                </c:pt>
                <c:pt idx="2622">
                  <c:v>54.630698321758253</c:v>
                </c:pt>
                <c:pt idx="2623">
                  <c:v>54.651531712959702</c:v>
                </c:pt>
                <c:pt idx="2624">
                  <c:v>54.672365104168421</c:v>
                </c:pt>
                <c:pt idx="2625">
                  <c:v>54.69319849536987</c:v>
                </c:pt>
                <c:pt idx="2626">
                  <c:v>54.71403188657132</c:v>
                </c:pt>
                <c:pt idx="2627">
                  <c:v>54.734865277780052</c:v>
                </c:pt>
                <c:pt idx="2628">
                  <c:v>54.755698668981502</c:v>
                </c:pt>
                <c:pt idx="2629">
                  <c:v>54.776532060182952</c:v>
                </c:pt>
                <c:pt idx="2630">
                  <c:v>54.797365451391649</c:v>
                </c:pt>
                <c:pt idx="2631">
                  <c:v>54.818198842593119</c:v>
                </c:pt>
                <c:pt idx="2632">
                  <c:v>54.839032233794548</c:v>
                </c:pt>
                <c:pt idx="2633">
                  <c:v>54.85986562500328</c:v>
                </c:pt>
                <c:pt idx="2634">
                  <c:v>54.880699016204737</c:v>
                </c:pt>
                <c:pt idx="2635">
                  <c:v>54.901532407406187</c:v>
                </c:pt>
                <c:pt idx="2636">
                  <c:v>54.922365798607643</c:v>
                </c:pt>
                <c:pt idx="2637">
                  <c:v>54.94319918981634</c:v>
                </c:pt>
                <c:pt idx="2638">
                  <c:v>54.964032581017797</c:v>
                </c:pt>
                <c:pt idx="2639">
                  <c:v>54.984865972219239</c:v>
                </c:pt>
                <c:pt idx="2640">
                  <c:v>55.005699363428</c:v>
                </c:pt>
                <c:pt idx="2641">
                  <c:v>55.02653275462945</c:v>
                </c:pt>
                <c:pt idx="2642">
                  <c:v>55.0473661458309</c:v>
                </c:pt>
                <c:pt idx="2643">
                  <c:v>55.068199537039618</c:v>
                </c:pt>
                <c:pt idx="2644">
                  <c:v>55.089032928241068</c:v>
                </c:pt>
                <c:pt idx="2645">
                  <c:v>55.109866319442489</c:v>
                </c:pt>
                <c:pt idx="2646">
                  <c:v>55.130699710651243</c:v>
                </c:pt>
                <c:pt idx="2647">
                  <c:v>55.151533101852692</c:v>
                </c:pt>
                <c:pt idx="2648">
                  <c:v>55.172366493054142</c:v>
                </c:pt>
                <c:pt idx="2649">
                  <c:v>55.193199884262867</c:v>
                </c:pt>
                <c:pt idx="2650">
                  <c:v>55.214033275464303</c:v>
                </c:pt>
                <c:pt idx="2651">
                  <c:v>55.234866666665752</c:v>
                </c:pt>
                <c:pt idx="2652">
                  <c:v>55.255700057867202</c:v>
                </c:pt>
                <c:pt idx="2653">
                  <c:v>55.276533449075963</c:v>
                </c:pt>
                <c:pt idx="2654">
                  <c:v>55.297366840277398</c:v>
                </c:pt>
                <c:pt idx="2655">
                  <c:v>55.318200231478841</c:v>
                </c:pt>
                <c:pt idx="2656">
                  <c:v>55.339033622687552</c:v>
                </c:pt>
                <c:pt idx="2657">
                  <c:v>55.359867013888987</c:v>
                </c:pt>
                <c:pt idx="2658">
                  <c:v>55.380700405090437</c:v>
                </c:pt>
                <c:pt idx="2659">
                  <c:v>55.401533796299198</c:v>
                </c:pt>
                <c:pt idx="2660">
                  <c:v>55.42236718750064</c:v>
                </c:pt>
                <c:pt idx="2661">
                  <c:v>55.443200578702069</c:v>
                </c:pt>
                <c:pt idx="2662">
                  <c:v>55.464033969910822</c:v>
                </c:pt>
                <c:pt idx="2663">
                  <c:v>55.484867361112222</c:v>
                </c:pt>
                <c:pt idx="2664">
                  <c:v>55.505700752313707</c:v>
                </c:pt>
                <c:pt idx="2665">
                  <c:v>55.526534143515171</c:v>
                </c:pt>
                <c:pt idx="2666">
                  <c:v>55.54736753472389</c:v>
                </c:pt>
                <c:pt idx="2667">
                  <c:v>55.568200925925353</c:v>
                </c:pt>
                <c:pt idx="2668">
                  <c:v>55.589034317126803</c:v>
                </c:pt>
                <c:pt idx="2669">
                  <c:v>55.6098677083355</c:v>
                </c:pt>
                <c:pt idx="2670">
                  <c:v>55.630701099536957</c:v>
                </c:pt>
                <c:pt idx="2671">
                  <c:v>55.651534490738392</c:v>
                </c:pt>
                <c:pt idx="2672">
                  <c:v>55.672367881947117</c:v>
                </c:pt>
                <c:pt idx="2673">
                  <c:v>55.693201273148567</c:v>
                </c:pt>
                <c:pt idx="2674">
                  <c:v>55.714034664350017</c:v>
                </c:pt>
                <c:pt idx="2675">
                  <c:v>55.734868055558763</c:v>
                </c:pt>
                <c:pt idx="2676">
                  <c:v>55.755701446760213</c:v>
                </c:pt>
                <c:pt idx="2677">
                  <c:v>55.776534837961663</c:v>
                </c:pt>
                <c:pt idx="2678">
                  <c:v>55.797368229163112</c:v>
                </c:pt>
                <c:pt idx="2679">
                  <c:v>55.818201620371838</c:v>
                </c:pt>
                <c:pt idx="2680">
                  <c:v>55.839035011573301</c:v>
                </c:pt>
                <c:pt idx="2681">
                  <c:v>55.859868402774723</c:v>
                </c:pt>
                <c:pt idx="2682">
                  <c:v>55.880701793983441</c:v>
                </c:pt>
                <c:pt idx="2683">
                  <c:v>55.901535185184912</c:v>
                </c:pt>
                <c:pt idx="2684">
                  <c:v>55.922368576386347</c:v>
                </c:pt>
                <c:pt idx="2685">
                  <c:v>55.943201967595073</c:v>
                </c:pt>
                <c:pt idx="2686">
                  <c:v>55.964035358796522</c:v>
                </c:pt>
                <c:pt idx="2687">
                  <c:v>55.984868749997972</c:v>
                </c:pt>
                <c:pt idx="2688">
                  <c:v>56.005702141206712</c:v>
                </c:pt>
                <c:pt idx="2689">
                  <c:v>56.026535532408161</c:v>
                </c:pt>
                <c:pt idx="2690">
                  <c:v>56.047368923609604</c:v>
                </c:pt>
                <c:pt idx="2691">
                  <c:v>56.06820231481835</c:v>
                </c:pt>
                <c:pt idx="2692">
                  <c:v>56.0890357060198</c:v>
                </c:pt>
                <c:pt idx="2693">
                  <c:v>56.109869097221221</c:v>
                </c:pt>
                <c:pt idx="2694">
                  <c:v>56.130702488422678</c:v>
                </c:pt>
                <c:pt idx="2695">
                  <c:v>56.151535879631403</c:v>
                </c:pt>
                <c:pt idx="2696">
                  <c:v>56.17236927083286</c:v>
                </c:pt>
                <c:pt idx="2697">
                  <c:v>56.193202662034309</c:v>
                </c:pt>
                <c:pt idx="2698">
                  <c:v>56.214036053243007</c:v>
                </c:pt>
                <c:pt idx="2699">
                  <c:v>56.23486944444447</c:v>
                </c:pt>
                <c:pt idx="2700">
                  <c:v>56.255702835645941</c:v>
                </c:pt>
                <c:pt idx="2701">
                  <c:v>56.27653622685466</c:v>
                </c:pt>
                <c:pt idx="2702">
                  <c:v>56.297369618056109</c:v>
                </c:pt>
                <c:pt idx="2703">
                  <c:v>56.31820300925753</c:v>
                </c:pt>
                <c:pt idx="2704">
                  <c:v>56.33903640046627</c:v>
                </c:pt>
                <c:pt idx="2705">
                  <c:v>56.359869791667712</c:v>
                </c:pt>
                <c:pt idx="2706">
                  <c:v>56.380703182869183</c:v>
                </c:pt>
                <c:pt idx="2707">
                  <c:v>56.401536574070633</c:v>
                </c:pt>
                <c:pt idx="2708">
                  <c:v>56.422369965279358</c:v>
                </c:pt>
                <c:pt idx="2709">
                  <c:v>56.443203356480808</c:v>
                </c:pt>
                <c:pt idx="2710">
                  <c:v>56.464036747682243</c:v>
                </c:pt>
                <c:pt idx="2711">
                  <c:v>56.484870138890983</c:v>
                </c:pt>
                <c:pt idx="2712">
                  <c:v>56.505703530092433</c:v>
                </c:pt>
                <c:pt idx="2713">
                  <c:v>56.526536921293882</c:v>
                </c:pt>
                <c:pt idx="2714">
                  <c:v>56.547370312502608</c:v>
                </c:pt>
                <c:pt idx="2715">
                  <c:v>56.568203703704057</c:v>
                </c:pt>
                <c:pt idx="2716">
                  <c:v>56.589037094905507</c:v>
                </c:pt>
                <c:pt idx="2717">
                  <c:v>56.609870486114232</c:v>
                </c:pt>
                <c:pt idx="2718">
                  <c:v>56.630703877315668</c:v>
                </c:pt>
                <c:pt idx="2719">
                  <c:v>56.651537268517117</c:v>
                </c:pt>
                <c:pt idx="2720">
                  <c:v>56.672370659725857</c:v>
                </c:pt>
                <c:pt idx="2721">
                  <c:v>56.693204050927307</c:v>
                </c:pt>
                <c:pt idx="2722">
                  <c:v>56.714037442128763</c:v>
                </c:pt>
                <c:pt idx="2723">
                  <c:v>56.734870833330213</c:v>
                </c:pt>
                <c:pt idx="2724">
                  <c:v>56.755704224538931</c:v>
                </c:pt>
                <c:pt idx="2725">
                  <c:v>56.776537615740367</c:v>
                </c:pt>
                <c:pt idx="2726">
                  <c:v>56.79737100694183</c:v>
                </c:pt>
                <c:pt idx="2727">
                  <c:v>56.818204398150563</c:v>
                </c:pt>
                <c:pt idx="2728">
                  <c:v>56.839037789351998</c:v>
                </c:pt>
                <c:pt idx="2729">
                  <c:v>56.859871180553441</c:v>
                </c:pt>
                <c:pt idx="2730">
                  <c:v>56.880704571762138</c:v>
                </c:pt>
                <c:pt idx="2731">
                  <c:v>56.901537962963623</c:v>
                </c:pt>
                <c:pt idx="2732">
                  <c:v>56.92237135416508</c:v>
                </c:pt>
                <c:pt idx="2733">
                  <c:v>56.943204745373812</c:v>
                </c:pt>
                <c:pt idx="2734">
                  <c:v>56.964038136575262</c:v>
                </c:pt>
                <c:pt idx="2735">
                  <c:v>56.98487152777669</c:v>
                </c:pt>
                <c:pt idx="2736">
                  <c:v>57.005704918978161</c:v>
                </c:pt>
                <c:pt idx="2737">
                  <c:v>57.026538310186901</c:v>
                </c:pt>
                <c:pt idx="2738">
                  <c:v>57.047371701388307</c:v>
                </c:pt>
                <c:pt idx="2739">
                  <c:v>57.0682050925898</c:v>
                </c:pt>
                <c:pt idx="2740">
                  <c:v>57.08903848379849</c:v>
                </c:pt>
                <c:pt idx="2741">
                  <c:v>57.109871874999953</c:v>
                </c:pt>
                <c:pt idx="2742">
                  <c:v>57.130705266201403</c:v>
                </c:pt>
                <c:pt idx="2743">
                  <c:v>57.151538657410107</c:v>
                </c:pt>
                <c:pt idx="2744">
                  <c:v>57.172372048611578</c:v>
                </c:pt>
                <c:pt idx="2745">
                  <c:v>57.193205439813028</c:v>
                </c:pt>
                <c:pt idx="2746">
                  <c:v>57.21403883102176</c:v>
                </c:pt>
                <c:pt idx="2747">
                  <c:v>57.234872222223203</c:v>
                </c:pt>
                <c:pt idx="2748">
                  <c:v>57.255705613424652</c:v>
                </c:pt>
                <c:pt idx="2749">
                  <c:v>57.276539004626102</c:v>
                </c:pt>
                <c:pt idx="2750">
                  <c:v>57.297372395834849</c:v>
                </c:pt>
                <c:pt idx="2751">
                  <c:v>57.318205787036263</c:v>
                </c:pt>
                <c:pt idx="2752">
                  <c:v>57.339039178237734</c:v>
                </c:pt>
                <c:pt idx="2753">
                  <c:v>57.359872569446409</c:v>
                </c:pt>
                <c:pt idx="2754">
                  <c:v>57.380705960647887</c:v>
                </c:pt>
                <c:pt idx="2755">
                  <c:v>57.401539351849337</c:v>
                </c:pt>
                <c:pt idx="2756">
                  <c:v>57.422372743058098</c:v>
                </c:pt>
                <c:pt idx="2757">
                  <c:v>57.443206134259533</c:v>
                </c:pt>
                <c:pt idx="2758">
                  <c:v>57.464039525460983</c:v>
                </c:pt>
                <c:pt idx="2759">
                  <c:v>57.484872916669701</c:v>
                </c:pt>
                <c:pt idx="2760">
                  <c:v>57.505706307871151</c:v>
                </c:pt>
                <c:pt idx="2761">
                  <c:v>57.5265396990726</c:v>
                </c:pt>
                <c:pt idx="2762">
                  <c:v>57.547373090281333</c:v>
                </c:pt>
                <c:pt idx="2763">
                  <c:v>57.568206481482783</c:v>
                </c:pt>
                <c:pt idx="2764">
                  <c:v>57.589039872684218</c:v>
                </c:pt>
                <c:pt idx="2765">
                  <c:v>57.609873263885667</c:v>
                </c:pt>
                <c:pt idx="2766">
                  <c:v>57.630706655094393</c:v>
                </c:pt>
                <c:pt idx="2767">
                  <c:v>57.65154004629585</c:v>
                </c:pt>
                <c:pt idx="2768">
                  <c:v>57.672373437497299</c:v>
                </c:pt>
                <c:pt idx="2769">
                  <c:v>57.693206828706032</c:v>
                </c:pt>
                <c:pt idx="2770">
                  <c:v>57.714040219907467</c:v>
                </c:pt>
                <c:pt idx="2771">
                  <c:v>57.734873611108931</c:v>
                </c:pt>
                <c:pt idx="2772">
                  <c:v>57.755707002317642</c:v>
                </c:pt>
                <c:pt idx="2773">
                  <c:v>57.776540393519099</c:v>
                </c:pt>
                <c:pt idx="2774">
                  <c:v>57.797373784720548</c:v>
                </c:pt>
                <c:pt idx="2775">
                  <c:v>57.818207175929267</c:v>
                </c:pt>
                <c:pt idx="2776">
                  <c:v>57.839040567130724</c:v>
                </c:pt>
                <c:pt idx="2777">
                  <c:v>57.859873958332138</c:v>
                </c:pt>
                <c:pt idx="2778">
                  <c:v>57.880707349533623</c:v>
                </c:pt>
                <c:pt idx="2779">
                  <c:v>57.901540740742327</c:v>
                </c:pt>
                <c:pt idx="2780">
                  <c:v>57.922374131943798</c:v>
                </c:pt>
                <c:pt idx="2781">
                  <c:v>57.943207523145233</c:v>
                </c:pt>
                <c:pt idx="2782">
                  <c:v>57.964040914353973</c:v>
                </c:pt>
                <c:pt idx="2783">
                  <c:v>57.984874305555422</c:v>
                </c:pt>
                <c:pt idx="2784">
                  <c:v>58.005707696756872</c:v>
                </c:pt>
                <c:pt idx="2785">
                  <c:v>58.026541087965597</c:v>
                </c:pt>
                <c:pt idx="2786">
                  <c:v>58.047374479167033</c:v>
                </c:pt>
                <c:pt idx="2787">
                  <c:v>58.068207870368497</c:v>
                </c:pt>
                <c:pt idx="2788">
                  <c:v>58.089041261577201</c:v>
                </c:pt>
                <c:pt idx="2789">
                  <c:v>58.10987465277865</c:v>
                </c:pt>
                <c:pt idx="2790">
                  <c:v>58.130708043980121</c:v>
                </c:pt>
                <c:pt idx="2791">
                  <c:v>58.151541435181549</c:v>
                </c:pt>
                <c:pt idx="2792">
                  <c:v>58.172374826390303</c:v>
                </c:pt>
                <c:pt idx="2793">
                  <c:v>58.193208217591753</c:v>
                </c:pt>
                <c:pt idx="2794">
                  <c:v>58.214041608793181</c:v>
                </c:pt>
                <c:pt idx="2795">
                  <c:v>58.234875000001921</c:v>
                </c:pt>
                <c:pt idx="2796">
                  <c:v>58.25570839120337</c:v>
                </c:pt>
                <c:pt idx="2797">
                  <c:v>58.27654178240482</c:v>
                </c:pt>
                <c:pt idx="2798">
                  <c:v>58.297375173613553</c:v>
                </c:pt>
                <c:pt idx="2799">
                  <c:v>58.318208564814988</c:v>
                </c:pt>
                <c:pt idx="2800">
                  <c:v>58.33904195601643</c:v>
                </c:pt>
                <c:pt idx="2801">
                  <c:v>58.35987534722517</c:v>
                </c:pt>
                <c:pt idx="2802">
                  <c:v>58.38070873842662</c:v>
                </c:pt>
                <c:pt idx="2803">
                  <c:v>58.401542129628048</c:v>
                </c:pt>
                <c:pt idx="2804">
                  <c:v>58.422375520836802</c:v>
                </c:pt>
                <c:pt idx="2805">
                  <c:v>58.443208912038251</c:v>
                </c:pt>
                <c:pt idx="2806">
                  <c:v>58.464042303239687</c:v>
                </c:pt>
                <c:pt idx="2807">
                  <c:v>58.484875694441143</c:v>
                </c:pt>
                <c:pt idx="2808">
                  <c:v>58.505709085649848</c:v>
                </c:pt>
                <c:pt idx="2809">
                  <c:v>58.526542476851318</c:v>
                </c:pt>
                <c:pt idx="2810">
                  <c:v>58.547375868052768</c:v>
                </c:pt>
                <c:pt idx="2811">
                  <c:v>58.568209259261486</c:v>
                </c:pt>
                <c:pt idx="2812">
                  <c:v>58.589042650462943</c:v>
                </c:pt>
                <c:pt idx="2813">
                  <c:v>58.609876041664393</c:v>
                </c:pt>
                <c:pt idx="2814">
                  <c:v>58.630709432873118</c:v>
                </c:pt>
                <c:pt idx="2815">
                  <c:v>58.651542824074568</c:v>
                </c:pt>
                <c:pt idx="2816">
                  <c:v>58.672376215276017</c:v>
                </c:pt>
                <c:pt idx="2817">
                  <c:v>58.693209606484743</c:v>
                </c:pt>
                <c:pt idx="2818">
                  <c:v>58.714042997686192</c:v>
                </c:pt>
                <c:pt idx="2819">
                  <c:v>58.734876388887642</c:v>
                </c:pt>
                <c:pt idx="2820">
                  <c:v>58.755709780089099</c:v>
                </c:pt>
                <c:pt idx="2821">
                  <c:v>58.776543171297803</c:v>
                </c:pt>
                <c:pt idx="2822">
                  <c:v>58.797376562499267</c:v>
                </c:pt>
                <c:pt idx="2823">
                  <c:v>58.818209953700702</c:v>
                </c:pt>
                <c:pt idx="2824">
                  <c:v>58.839043344909442</c:v>
                </c:pt>
                <c:pt idx="2825">
                  <c:v>58.859876736110898</c:v>
                </c:pt>
                <c:pt idx="2826">
                  <c:v>58.880710127312319</c:v>
                </c:pt>
                <c:pt idx="2827">
                  <c:v>58.901543518521073</c:v>
                </c:pt>
                <c:pt idx="2828">
                  <c:v>58.922376909722523</c:v>
                </c:pt>
                <c:pt idx="2829">
                  <c:v>58.943210300923973</c:v>
                </c:pt>
                <c:pt idx="2830">
                  <c:v>58.96404369213267</c:v>
                </c:pt>
                <c:pt idx="2831">
                  <c:v>58.984877083334112</c:v>
                </c:pt>
                <c:pt idx="2832">
                  <c:v>59.005710474535597</c:v>
                </c:pt>
                <c:pt idx="2833">
                  <c:v>59.026543865744301</c:v>
                </c:pt>
                <c:pt idx="2834">
                  <c:v>59.047377256945772</c:v>
                </c:pt>
                <c:pt idx="2835">
                  <c:v>59.068210648147222</c:v>
                </c:pt>
                <c:pt idx="2836">
                  <c:v>59.089044039348643</c:v>
                </c:pt>
                <c:pt idx="2837">
                  <c:v>59.10987743055739</c:v>
                </c:pt>
                <c:pt idx="2838">
                  <c:v>59.130710821758854</c:v>
                </c:pt>
                <c:pt idx="2839">
                  <c:v>59.151544212960268</c:v>
                </c:pt>
                <c:pt idx="2840">
                  <c:v>59.172377604169021</c:v>
                </c:pt>
                <c:pt idx="2841">
                  <c:v>59.193210995370471</c:v>
                </c:pt>
                <c:pt idx="2842">
                  <c:v>59.214044386571913</c:v>
                </c:pt>
                <c:pt idx="2843">
                  <c:v>59.234877777780611</c:v>
                </c:pt>
                <c:pt idx="2844">
                  <c:v>59.255711168982103</c:v>
                </c:pt>
                <c:pt idx="2845">
                  <c:v>59.276544560183517</c:v>
                </c:pt>
                <c:pt idx="2846">
                  <c:v>59.297377951392249</c:v>
                </c:pt>
                <c:pt idx="2847">
                  <c:v>59.318211342593713</c:v>
                </c:pt>
                <c:pt idx="2848">
                  <c:v>59.339044733795141</c:v>
                </c:pt>
                <c:pt idx="2849">
                  <c:v>59.359878124996591</c:v>
                </c:pt>
                <c:pt idx="2850">
                  <c:v>59.380711516205317</c:v>
                </c:pt>
                <c:pt idx="2851">
                  <c:v>59.401544907406773</c:v>
                </c:pt>
                <c:pt idx="2852">
                  <c:v>59.422378298608251</c:v>
                </c:pt>
                <c:pt idx="2853">
                  <c:v>59.443211689816941</c:v>
                </c:pt>
                <c:pt idx="2854">
                  <c:v>59.464045081018391</c:v>
                </c:pt>
                <c:pt idx="2855">
                  <c:v>59.48487847221984</c:v>
                </c:pt>
                <c:pt idx="2856">
                  <c:v>59.505711863428601</c:v>
                </c:pt>
                <c:pt idx="2857">
                  <c:v>59.526545254630037</c:v>
                </c:pt>
                <c:pt idx="2858">
                  <c:v>59.5473786458315</c:v>
                </c:pt>
                <c:pt idx="2859">
                  <c:v>59.568212037040212</c:v>
                </c:pt>
                <c:pt idx="2860">
                  <c:v>59.58904542824164</c:v>
                </c:pt>
                <c:pt idx="2861">
                  <c:v>59.609878819443097</c:v>
                </c:pt>
                <c:pt idx="2862">
                  <c:v>59.63071221064456</c:v>
                </c:pt>
                <c:pt idx="2863">
                  <c:v>59.651545601853272</c:v>
                </c:pt>
                <c:pt idx="2864">
                  <c:v>59.67237899305475</c:v>
                </c:pt>
                <c:pt idx="2865">
                  <c:v>59.693212384256199</c:v>
                </c:pt>
                <c:pt idx="2866">
                  <c:v>59.714045775464903</c:v>
                </c:pt>
                <c:pt idx="2867">
                  <c:v>59.734879166666339</c:v>
                </c:pt>
                <c:pt idx="2868">
                  <c:v>59.75571255786781</c:v>
                </c:pt>
                <c:pt idx="2869">
                  <c:v>59.776545949076542</c:v>
                </c:pt>
                <c:pt idx="2870">
                  <c:v>59.797379340277999</c:v>
                </c:pt>
                <c:pt idx="2871">
                  <c:v>59.818212731479441</c:v>
                </c:pt>
                <c:pt idx="2872">
                  <c:v>59.839046122688153</c:v>
                </c:pt>
                <c:pt idx="2873">
                  <c:v>59.859879513889588</c:v>
                </c:pt>
                <c:pt idx="2874">
                  <c:v>59.880712905091059</c:v>
                </c:pt>
                <c:pt idx="2875">
                  <c:v>59.901546296299777</c:v>
                </c:pt>
                <c:pt idx="2876">
                  <c:v>59.922379687501241</c:v>
                </c:pt>
                <c:pt idx="2877">
                  <c:v>59.943213078702669</c:v>
                </c:pt>
                <c:pt idx="2878">
                  <c:v>59.964046469904112</c:v>
                </c:pt>
                <c:pt idx="2879">
                  <c:v>59.98487986111283</c:v>
                </c:pt>
                <c:pt idx="2880">
                  <c:v>60.005713252314308</c:v>
                </c:pt>
                <c:pt idx="2881">
                  <c:v>60.026546643515758</c:v>
                </c:pt>
                <c:pt idx="2882">
                  <c:v>60.047380034724483</c:v>
                </c:pt>
                <c:pt idx="2883">
                  <c:v>60.068213425925933</c:v>
                </c:pt>
                <c:pt idx="2884">
                  <c:v>60.089046817127382</c:v>
                </c:pt>
                <c:pt idx="2885">
                  <c:v>60.109880208336087</c:v>
                </c:pt>
                <c:pt idx="2886">
                  <c:v>60.130713599537557</c:v>
                </c:pt>
                <c:pt idx="2887">
                  <c:v>60.151546990739007</c:v>
                </c:pt>
                <c:pt idx="2888">
                  <c:v>60.172380381947733</c:v>
                </c:pt>
                <c:pt idx="2889">
                  <c:v>60.193213773149182</c:v>
                </c:pt>
                <c:pt idx="2890">
                  <c:v>60.21404716435061</c:v>
                </c:pt>
                <c:pt idx="2891">
                  <c:v>60.23488055555206</c:v>
                </c:pt>
                <c:pt idx="2892">
                  <c:v>60.255713946760828</c:v>
                </c:pt>
                <c:pt idx="2893">
                  <c:v>60.276547337962263</c:v>
                </c:pt>
                <c:pt idx="2894">
                  <c:v>60.297380729163713</c:v>
                </c:pt>
                <c:pt idx="2895">
                  <c:v>60.318214120372417</c:v>
                </c:pt>
                <c:pt idx="2896">
                  <c:v>60.339047511573867</c:v>
                </c:pt>
                <c:pt idx="2897">
                  <c:v>60.359880902775323</c:v>
                </c:pt>
                <c:pt idx="2898">
                  <c:v>60.380714293984063</c:v>
                </c:pt>
                <c:pt idx="2899">
                  <c:v>60.401547685185491</c:v>
                </c:pt>
                <c:pt idx="2900">
                  <c:v>60.422381076386962</c:v>
                </c:pt>
                <c:pt idx="2901">
                  <c:v>60.443214467595659</c:v>
                </c:pt>
                <c:pt idx="2902">
                  <c:v>60.464047858797109</c:v>
                </c:pt>
                <c:pt idx="2903">
                  <c:v>60.484881249998558</c:v>
                </c:pt>
                <c:pt idx="2904">
                  <c:v>60.505714641207312</c:v>
                </c:pt>
                <c:pt idx="2905">
                  <c:v>60.526548032408762</c:v>
                </c:pt>
                <c:pt idx="2906">
                  <c:v>60.547381423610183</c:v>
                </c:pt>
                <c:pt idx="2907">
                  <c:v>60.568214814811661</c:v>
                </c:pt>
                <c:pt idx="2908">
                  <c:v>60.589048206020379</c:v>
                </c:pt>
                <c:pt idx="2909">
                  <c:v>60.609881597221808</c:v>
                </c:pt>
                <c:pt idx="2910">
                  <c:v>60.630714988423279</c:v>
                </c:pt>
                <c:pt idx="2911">
                  <c:v>60.65154837963199</c:v>
                </c:pt>
                <c:pt idx="2912">
                  <c:v>60.672381770833447</c:v>
                </c:pt>
                <c:pt idx="2913">
                  <c:v>60.693215162034903</c:v>
                </c:pt>
                <c:pt idx="2914">
                  <c:v>60.714048553243593</c:v>
                </c:pt>
                <c:pt idx="2915">
                  <c:v>60.734881944445078</c:v>
                </c:pt>
                <c:pt idx="2916">
                  <c:v>60.755715335646528</c:v>
                </c:pt>
                <c:pt idx="2917">
                  <c:v>60.77654872685526</c:v>
                </c:pt>
                <c:pt idx="2918">
                  <c:v>60.797382118056703</c:v>
                </c:pt>
                <c:pt idx="2919">
                  <c:v>60.818215509258152</c:v>
                </c:pt>
                <c:pt idx="2920">
                  <c:v>60.839048900459602</c:v>
                </c:pt>
                <c:pt idx="2921">
                  <c:v>60.859882291668292</c:v>
                </c:pt>
                <c:pt idx="2922">
                  <c:v>60.880715682869777</c:v>
                </c:pt>
                <c:pt idx="2923">
                  <c:v>60.901549074071227</c:v>
                </c:pt>
                <c:pt idx="2924">
                  <c:v>60.922382465279952</c:v>
                </c:pt>
                <c:pt idx="2925">
                  <c:v>60.943215856481402</c:v>
                </c:pt>
                <c:pt idx="2926">
                  <c:v>60.964049247682837</c:v>
                </c:pt>
                <c:pt idx="2927">
                  <c:v>60.984882638891563</c:v>
                </c:pt>
                <c:pt idx="2928">
                  <c:v>61.005716030093033</c:v>
                </c:pt>
                <c:pt idx="2929">
                  <c:v>61.026549421294462</c:v>
                </c:pt>
                <c:pt idx="2930">
                  <c:v>61.047382812503201</c:v>
                </c:pt>
                <c:pt idx="2931">
                  <c:v>61.068216203704651</c:v>
                </c:pt>
                <c:pt idx="2932">
                  <c:v>61.089049594906093</c:v>
                </c:pt>
                <c:pt idx="2933">
                  <c:v>61.10988298610755</c:v>
                </c:pt>
                <c:pt idx="2934">
                  <c:v>61.130716377316283</c:v>
                </c:pt>
                <c:pt idx="2935">
                  <c:v>61.151549768517732</c:v>
                </c:pt>
                <c:pt idx="2936">
                  <c:v>61.172383159719168</c:v>
                </c:pt>
                <c:pt idx="2937">
                  <c:v>61.1932165509279</c:v>
                </c:pt>
                <c:pt idx="2938">
                  <c:v>61.21404994212935</c:v>
                </c:pt>
                <c:pt idx="2939">
                  <c:v>61.234883333330799</c:v>
                </c:pt>
                <c:pt idx="2940">
                  <c:v>61.255716724539532</c:v>
                </c:pt>
                <c:pt idx="2941">
                  <c:v>61.276550115740982</c:v>
                </c:pt>
                <c:pt idx="2942">
                  <c:v>61.297383506942417</c:v>
                </c:pt>
                <c:pt idx="2943">
                  <c:v>61.31821689815115</c:v>
                </c:pt>
                <c:pt idx="2944">
                  <c:v>61.339050289352578</c:v>
                </c:pt>
                <c:pt idx="2945">
                  <c:v>61.359883680554027</c:v>
                </c:pt>
                <c:pt idx="2946">
                  <c:v>61.38071707176276</c:v>
                </c:pt>
                <c:pt idx="2947">
                  <c:v>61.401550462964217</c:v>
                </c:pt>
                <c:pt idx="2948">
                  <c:v>61.422383854165673</c:v>
                </c:pt>
                <c:pt idx="2949">
                  <c:v>61.443217245367123</c:v>
                </c:pt>
                <c:pt idx="2950">
                  <c:v>61.464050636575863</c:v>
                </c:pt>
                <c:pt idx="2951">
                  <c:v>61.484884027777262</c:v>
                </c:pt>
                <c:pt idx="2952">
                  <c:v>61.505717418978762</c:v>
                </c:pt>
                <c:pt idx="2953">
                  <c:v>61.52655081018748</c:v>
                </c:pt>
                <c:pt idx="2954">
                  <c:v>61.547384201388923</c:v>
                </c:pt>
                <c:pt idx="2955">
                  <c:v>61.568217592590372</c:v>
                </c:pt>
                <c:pt idx="2956">
                  <c:v>61.589050983799098</c:v>
                </c:pt>
                <c:pt idx="2957">
                  <c:v>61.609884375000533</c:v>
                </c:pt>
                <c:pt idx="2958">
                  <c:v>61.630717766201997</c:v>
                </c:pt>
                <c:pt idx="2959">
                  <c:v>61.651551157410722</c:v>
                </c:pt>
                <c:pt idx="2960">
                  <c:v>61.67238454861215</c:v>
                </c:pt>
                <c:pt idx="2961">
                  <c:v>61.693217939813621</c:v>
                </c:pt>
                <c:pt idx="2962">
                  <c:v>61.714051331015071</c:v>
                </c:pt>
                <c:pt idx="2963">
                  <c:v>61.734884722223804</c:v>
                </c:pt>
                <c:pt idx="2964">
                  <c:v>61.75571811342526</c:v>
                </c:pt>
                <c:pt idx="2965">
                  <c:v>61.776551504626703</c:v>
                </c:pt>
                <c:pt idx="2966">
                  <c:v>61.797384895835421</c:v>
                </c:pt>
                <c:pt idx="2967">
                  <c:v>61.818218287036871</c:v>
                </c:pt>
                <c:pt idx="2968">
                  <c:v>61.839051678238299</c:v>
                </c:pt>
                <c:pt idx="2969">
                  <c:v>61.85988506944701</c:v>
                </c:pt>
                <c:pt idx="2970">
                  <c:v>61.880718460648481</c:v>
                </c:pt>
                <c:pt idx="2971">
                  <c:v>61.901551851849938</c:v>
                </c:pt>
                <c:pt idx="2972">
                  <c:v>61.92238524305867</c:v>
                </c:pt>
                <c:pt idx="2973">
                  <c:v>61.94321863426012</c:v>
                </c:pt>
                <c:pt idx="2974">
                  <c:v>61.964052025461562</c:v>
                </c:pt>
                <c:pt idx="2975">
                  <c:v>61.984885416670281</c:v>
                </c:pt>
                <c:pt idx="2976">
                  <c:v>62.005718807871773</c:v>
                </c:pt>
                <c:pt idx="2977">
                  <c:v>62.026552199073201</c:v>
                </c:pt>
                <c:pt idx="2978">
                  <c:v>62.047385590274637</c:v>
                </c:pt>
                <c:pt idx="2979">
                  <c:v>62.068218981483369</c:v>
                </c:pt>
                <c:pt idx="2980">
                  <c:v>62.089052372684819</c:v>
                </c:pt>
                <c:pt idx="2981">
                  <c:v>62.10988576388624</c:v>
                </c:pt>
                <c:pt idx="2982">
                  <c:v>62.130719155095001</c:v>
                </c:pt>
                <c:pt idx="2983">
                  <c:v>62.151552546296443</c:v>
                </c:pt>
                <c:pt idx="2984">
                  <c:v>62.1723859374979</c:v>
                </c:pt>
                <c:pt idx="2985">
                  <c:v>62.193219328706618</c:v>
                </c:pt>
                <c:pt idx="2986">
                  <c:v>62.214052719908068</c:v>
                </c:pt>
                <c:pt idx="2987">
                  <c:v>62.234886111109503</c:v>
                </c:pt>
                <c:pt idx="2988">
                  <c:v>62.255719502318243</c:v>
                </c:pt>
                <c:pt idx="2989">
                  <c:v>62.2765528935197</c:v>
                </c:pt>
                <c:pt idx="2990">
                  <c:v>62.297386284721142</c:v>
                </c:pt>
                <c:pt idx="2991">
                  <c:v>62.31821967592257</c:v>
                </c:pt>
                <c:pt idx="2992">
                  <c:v>62.339053067131303</c:v>
                </c:pt>
                <c:pt idx="2993">
                  <c:v>62.359886458332731</c:v>
                </c:pt>
                <c:pt idx="2994">
                  <c:v>62.380719849534223</c:v>
                </c:pt>
                <c:pt idx="2995">
                  <c:v>62.401553240742942</c:v>
                </c:pt>
                <c:pt idx="2996">
                  <c:v>62.422386631944399</c:v>
                </c:pt>
                <c:pt idx="2997">
                  <c:v>62.443220023145841</c:v>
                </c:pt>
                <c:pt idx="2998">
                  <c:v>62.464053414354552</c:v>
                </c:pt>
                <c:pt idx="2999">
                  <c:v>62.484886805555988</c:v>
                </c:pt>
                <c:pt idx="3000">
                  <c:v>62.505720196757473</c:v>
                </c:pt>
                <c:pt idx="3001">
                  <c:v>62.526553587966198</c:v>
                </c:pt>
                <c:pt idx="3002">
                  <c:v>62.547386979167619</c:v>
                </c:pt>
                <c:pt idx="3003">
                  <c:v>62.568220370369097</c:v>
                </c:pt>
                <c:pt idx="3004">
                  <c:v>62.58905376157054</c:v>
                </c:pt>
                <c:pt idx="3005">
                  <c:v>62.609887152779251</c:v>
                </c:pt>
                <c:pt idx="3006">
                  <c:v>62.630720543980722</c:v>
                </c:pt>
                <c:pt idx="3007">
                  <c:v>62.651553935182157</c:v>
                </c:pt>
                <c:pt idx="3008">
                  <c:v>62.672387326390897</c:v>
                </c:pt>
                <c:pt idx="3009">
                  <c:v>62.693220717592332</c:v>
                </c:pt>
                <c:pt idx="3010">
                  <c:v>62.714054108793768</c:v>
                </c:pt>
                <c:pt idx="3011">
                  <c:v>62.734887500002493</c:v>
                </c:pt>
                <c:pt idx="3012">
                  <c:v>62.755720891203957</c:v>
                </c:pt>
                <c:pt idx="3013">
                  <c:v>62.776554282405421</c:v>
                </c:pt>
                <c:pt idx="3014">
                  <c:v>62.797387673614111</c:v>
                </c:pt>
                <c:pt idx="3015">
                  <c:v>62.81822106481556</c:v>
                </c:pt>
                <c:pt idx="3016">
                  <c:v>62.83905445601701</c:v>
                </c:pt>
                <c:pt idx="3017">
                  <c:v>62.85988784722575</c:v>
                </c:pt>
                <c:pt idx="3018">
                  <c:v>62.880721238427213</c:v>
                </c:pt>
                <c:pt idx="3019">
                  <c:v>62.901554629628642</c:v>
                </c:pt>
                <c:pt idx="3020">
                  <c:v>62.922388020830113</c:v>
                </c:pt>
                <c:pt idx="3021">
                  <c:v>62.943221412038817</c:v>
                </c:pt>
                <c:pt idx="3022">
                  <c:v>62.964054803240259</c:v>
                </c:pt>
                <c:pt idx="3023">
                  <c:v>62.984888194441723</c:v>
                </c:pt>
                <c:pt idx="3024">
                  <c:v>63.005721585650441</c:v>
                </c:pt>
                <c:pt idx="3025">
                  <c:v>63.026554976851912</c:v>
                </c:pt>
                <c:pt idx="3026">
                  <c:v>63.047388368053348</c:v>
                </c:pt>
                <c:pt idx="3027">
                  <c:v>63.068221759262059</c:v>
                </c:pt>
                <c:pt idx="3028">
                  <c:v>63.089055150463523</c:v>
                </c:pt>
                <c:pt idx="3029">
                  <c:v>63.109888541664972</c:v>
                </c:pt>
                <c:pt idx="3030">
                  <c:v>63.130721932873712</c:v>
                </c:pt>
                <c:pt idx="3031">
                  <c:v>63.151555324075161</c:v>
                </c:pt>
                <c:pt idx="3032">
                  <c:v>63.172388715276597</c:v>
                </c:pt>
                <c:pt idx="3033">
                  <c:v>63.193222106478061</c:v>
                </c:pt>
                <c:pt idx="3034">
                  <c:v>63.214055497686772</c:v>
                </c:pt>
                <c:pt idx="3035">
                  <c:v>63.234888888888243</c:v>
                </c:pt>
                <c:pt idx="3036">
                  <c:v>63.255722280089699</c:v>
                </c:pt>
                <c:pt idx="3037">
                  <c:v>63.276555671298397</c:v>
                </c:pt>
                <c:pt idx="3038">
                  <c:v>63.29738906249986</c:v>
                </c:pt>
                <c:pt idx="3039">
                  <c:v>63.318222453701289</c:v>
                </c:pt>
                <c:pt idx="3040">
                  <c:v>63.339055844910042</c:v>
                </c:pt>
                <c:pt idx="3041">
                  <c:v>63.359889236111471</c:v>
                </c:pt>
                <c:pt idx="3042">
                  <c:v>63.38072262731292</c:v>
                </c:pt>
                <c:pt idx="3043">
                  <c:v>63.40155601852166</c:v>
                </c:pt>
                <c:pt idx="3044">
                  <c:v>63.422389409723102</c:v>
                </c:pt>
                <c:pt idx="3045">
                  <c:v>63.443222800924559</c:v>
                </c:pt>
                <c:pt idx="3046">
                  <c:v>63.464056192126009</c:v>
                </c:pt>
                <c:pt idx="3047">
                  <c:v>63.484889583334713</c:v>
                </c:pt>
                <c:pt idx="3048">
                  <c:v>63.505722974536198</c:v>
                </c:pt>
                <c:pt idx="3049">
                  <c:v>63.526556365737633</c:v>
                </c:pt>
                <c:pt idx="3050">
                  <c:v>63.54738975694633</c:v>
                </c:pt>
                <c:pt idx="3051">
                  <c:v>63.568223148147808</c:v>
                </c:pt>
                <c:pt idx="3052">
                  <c:v>63.589056539349237</c:v>
                </c:pt>
                <c:pt idx="3053">
                  <c:v>63.609889930557983</c:v>
                </c:pt>
                <c:pt idx="3054">
                  <c:v>63.630723321759433</c:v>
                </c:pt>
                <c:pt idx="3055">
                  <c:v>63.651556712960883</c:v>
                </c:pt>
                <c:pt idx="3056">
                  <c:v>63.672390104169608</c:v>
                </c:pt>
                <c:pt idx="3057">
                  <c:v>63.693223495371058</c:v>
                </c:pt>
                <c:pt idx="3058">
                  <c:v>63.714056886572507</c:v>
                </c:pt>
                <c:pt idx="3059">
                  <c:v>63.734890277781233</c:v>
                </c:pt>
                <c:pt idx="3060">
                  <c:v>63.755723668982682</c:v>
                </c:pt>
                <c:pt idx="3061">
                  <c:v>63.776557060184132</c:v>
                </c:pt>
                <c:pt idx="3062">
                  <c:v>63.797390451385567</c:v>
                </c:pt>
                <c:pt idx="3063">
                  <c:v>63.818223842594307</c:v>
                </c:pt>
                <c:pt idx="3064">
                  <c:v>63.839057233795756</c:v>
                </c:pt>
                <c:pt idx="3065">
                  <c:v>63.859890624997192</c:v>
                </c:pt>
                <c:pt idx="3066">
                  <c:v>63.880724016205917</c:v>
                </c:pt>
                <c:pt idx="3067">
                  <c:v>63.90155740740736</c:v>
                </c:pt>
                <c:pt idx="3068">
                  <c:v>63.922390798608831</c:v>
                </c:pt>
                <c:pt idx="3069">
                  <c:v>63.943224189817528</c:v>
                </c:pt>
                <c:pt idx="3070">
                  <c:v>63.964057581018992</c:v>
                </c:pt>
                <c:pt idx="3071">
                  <c:v>63.984890972220441</c:v>
                </c:pt>
                <c:pt idx="3072">
                  <c:v>64.005724363429152</c:v>
                </c:pt>
                <c:pt idx="3073">
                  <c:v>64.026557754630602</c:v>
                </c:pt>
                <c:pt idx="3074">
                  <c:v>64.047391145832094</c:v>
                </c:pt>
                <c:pt idx="3075">
                  <c:v>64.068224537033529</c:v>
                </c:pt>
                <c:pt idx="3076">
                  <c:v>64.089057928242255</c:v>
                </c:pt>
                <c:pt idx="3077">
                  <c:v>64.109891319443662</c:v>
                </c:pt>
                <c:pt idx="3078">
                  <c:v>64.130724710645154</c:v>
                </c:pt>
                <c:pt idx="3079">
                  <c:v>64.151558101853851</c:v>
                </c:pt>
                <c:pt idx="3080">
                  <c:v>64.172391493055272</c:v>
                </c:pt>
                <c:pt idx="3081">
                  <c:v>64.193224884256793</c:v>
                </c:pt>
                <c:pt idx="3082">
                  <c:v>64.214058275465504</c:v>
                </c:pt>
                <c:pt idx="3083">
                  <c:v>64.234891666666954</c:v>
                </c:pt>
                <c:pt idx="3084">
                  <c:v>64.255725057868375</c:v>
                </c:pt>
                <c:pt idx="3085">
                  <c:v>64.276558449077143</c:v>
                </c:pt>
                <c:pt idx="3086">
                  <c:v>64.297391840278607</c:v>
                </c:pt>
                <c:pt idx="3087">
                  <c:v>64.318225231480028</c:v>
                </c:pt>
                <c:pt idx="3088">
                  <c:v>64.339058622688725</c:v>
                </c:pt>
                <c:pt idx="3089">
                  <c:v>64.359892013890146</c:v>
                </c:pt>
                <c:pt idx="3090">
                  <c:v>64.380725405091653</c:v>
                </c:pt>
                <c:pt idx="3091">
                  <c:v>64.401558796293102</c:v>
                </c:pt>
                <c:pt idx="3092">
                  <c:v>64.422392187501771</c:v>
                </c:pt>
                <c:pt idx="3093">
                  <c:v>64.443225578703306</c:v>
                </c:pt>
                <c:pt idx="3094">
                  <c:v>64.464058969904727</c:v>
                </c:pt>
                <c:pt idx="3095">
                  <c:v>64.484892361113467</c:v>
                </c:pt>
                <c:pt idx="3096">
                  <c:v>64.505725752314873</c:v>
                </c:pt>
                <c:pt idx="3097">
                  <c:v>64.526559143516351</c:v>
                </c:pt>
                <c:pt idx="3098">
                  <c:v>64.547392534725049</c:v>
                </c:pt>
                <c:pt idx="3099">
                  <c:v>64.568225925926527</c:v>
                </c:pt>
                <c:pt idx="3100">
                  <c:v>64.589059317127948</c:v>
                </c:pt>
                <c:pt idx="3101">
                  <c:v>64.609892708336673</c:v>
                </c:pt>
                <c:pt idx="3102">
                  <c:v>64.630726099538151</c:v>
                </c:pt>
                <c:pt idx="3103">
                  <c:v>64.651559490739601</c:v>
                </c:pt>
                <c:pt idx="3104">
                  <c:v>64.672392881941022</c:v>
                </c:pt>
                <c:pt idx="3105">
                  <c:v>64.693226273149776</c:v>
                </c:pt>
                <c:pt idx="3106">
                  <c:v>64.714059664351254</c:v>
                </c:pt>
                <c:pt idx="3107">
                  <c:v>64.734893055552675</c:v>
                </c:pt>
                <c:pt idx="3108">
                  <c:v>64.755726446761372</c:v>
                </c:pt>
                <c:pt idx="3109">
                  <c:v>64.77655983796285</c:v>
                </c:pt>
                <c:pt idx="3110">
                  <c:v>64.7973932291643</c:v>
                </c:pt>
                <c:pt idx="3111">
                  <c:v>64.818226620373053</c:v>
                </c:pt>
                <c:pt idx="3112">
                  <c:v>64.839060011574446</c:v>
                </c:pt>
                <c:pt idx="3113">
                  <c:v>64.85989340277591</c:v>
                </c:pt>
                <c:pt idx="3114">
                  <c:v>64.880726793984621</c:v>
                </c:pt>
                <c:pt idx="3115">
                  <c:v>64.901560185186099</c:v>
                </c:pt>
                <c:pt idx="3116">
                  <c:v>64.922393576387549</c:v>
                </c:pt>
                <c:pt idx="3117">
                  <c:v>64.943226967588998</c:v>
                </c:pt>
                <c:pt idx="3118">
                  <c:v>64.964060358797724</c:v>
                </c:pt>
                <c:pt idx="3119">
                  <c:v>64.984893749999202</c:v>
                </c:pt>
                <c:pt idx="3120">
                  <c:v>65.005727141200609</c:v>
                </c:pt>
                <c:pt idx="3121">
                  <c:v>65.026560532409306</c:v>
                </c:pt>
                <c:pt idx="3122">
                  <c:v>65.047393923610798</c:v>
                </c:pt>
                <c:pt idx="3123">
                  <c:v>65.068227314812262</c:v>
                </c:pt>
                <c:pt idx="3124">
                  <c:v>65.089060706020945</c:v>
                </c:pt>
                <c:pt idx="3125">
                  <c:v>65.109894097222409</c:v>
                </c:pt>
                <c:pt idx="3126">
                  <c:v>65.130727488423844</c:v>
                </c:pt>
                <c:pt idx="3127">
                  <c:v>65.151560879632598</c:v>
                </c:pt>
                <c:pt idx="3128">
                  <c:v>65.172394270833991</c:v>
                </c:pt>
                <c:pt idx="3129">
                  <c:v>65.193227662035497</c:v>
                </c:pt>
                <c:pt idx="3130">
                  <c:v>65.214061053244222</c:v>
                </c:pt>
                <c:pt idx="3131">
                  <c:v>65.2348944444457</c:v>
                </c:pt>
                <c:pt idx="3132">
                  <c:v>65.255727835647107</c:v>
                </c:pt>
                <c:pt idx="3133">
                  <c:v>65.276561226848571</c:v>
                </c:pt>
                <c:pt idx="3134">
                  <c:v>65.297394618057297</c:v>
                </c:pt>
                <c:pt idx="3135">
                  <c:v>65.318228009258746</c:v>
                </c:pt>
                <c:pt idx="3136">
                  <c:v>65.339061400460182</c:v>
                </c:pt>
                <c:pt idx="3137">
                  <c:v>65.359894791668907</c:v>
                </c:pt>
                <c:pt idx="3138">
                  <c:v>65.380728182870342</c:v>
                </c:pt>
                <c:pt idx="3139">
                  <c:v>65.40156157407182</c:v>
                </c:pt>
                <c:pt idx="3140">
                  <c:v>65.422394965280546</c:v>
                </c:pt>
                <c:pt idx="3141">
                  <c:v>65.443228356481953</c:v>
                </c:pt>
                <c:pt idx="3142">
                  <c:v>65.464061747683445</c:v>
                </c:pt>
                <c:pt idx="3143">
                  <c:v>65.484895138892171</c:v>
                </c:pt>
                <c:pt idx="3144">
                  <c:v>65.505728530093563</c:v>
                </c:pt>
                <c:pt idx="3145">
                  <c:v>65.526561921295098</c:v>
                </c:pt>
                <c:pt idx="3146">
                  <c:v>65.547395312496477</c:v>
                </c:pt>
                <c:pt idx="3147">
                  <c:v>65.568228703705245</c:v>
                </c:pt>
                <c:pt idx="3148">
                  <c:v>65.58906209490668</c:v>
                </c:pt>
                <c:pt idx="3149">
                  <c:v>65.609895486108144</c:v>
                </c:pt>
                <c:pt idx="3150">
                  <c:v>65.630728877316841</c:v>
                </c:pt>
                <c:pt idx="3151">
                  <c:v>65.651562268518333</c:v>
                </c:pt>
                <c:pt idx="3152">
                  <c:v>65.67239565971974</c:v>
                </c:pt>
                <c:pt idx="3153">
                  <c:v>65.693229050928494</c:v>
                </c:pt>
                <c:pt idx="3154">
                  <c:v>65.714062442129944</c:v>
                </c:pt>
                <c:pt idx="3155">
                  <c:v>65.734895833331379</c:v>
                </c:pt>
                <c:pt idx="3156">
                  <c:v>65.755729224540133</c:v>
                </c:pt>
                <c:pt idx="3157">
                  <c:v>65.776562615741568</c:v>
                </c:pt>
                <c:pt idx="3158">
                  <c:v>65.797396006943032</c:v>
                </c:pt>
                <c:pt idx="3159">
                  <c:v>65.818229398151743</c:v>
                </c:pt>
                <c:pt idx="3160">
                  <c:v>65.839062789353207</c:v>
                </c:pt>
                <c:pt idx="3161">
                  <c:v>65.859896180554585</c:v>
                </c:pt>
                <c:pt idx="3162">
                  <c:v>65.880729571756078</c:v>
                </c:pt>
                <c:pt idx="3163">
                  <c:v>65.901562962964803</c:v>
                </c:pt>
                <c:pt idx="3164">
                  <c:v>65.922396354166224</c:v>
                </c:pt>
                <c:pt idx="3165">
                  <c:v>65.943229745367802</c:v>
                </c:pt>
                <c:pt idx="3166">
                  <c:v>65.964063136576442</c:v>
                </c:pt>
                <c:pt idx="3167">
                  <c:v>65.984896527777906</c:v>
                </c:pt>
                <c:pt idx="3168">
                  <c:v>66.005729918979341</c:v>
                </c:pt>
                <c:pt idx="3169">
                  <c:v>66.026563310188052</c:v>
                </c:pt>
                <c:pt idx="3170">
                  <c:v>66.047396701389516</c:v>
                </c:pt>
                <c:pt idx="3171">
                  <c:v>66.068230092590923</c:v>
                </c:pt>
                <c:pt idx="3172">
                  <c:v>66.089063483799706</c:v>
                </c:pt>
                <c:pt idx="3173">
                  <c:v>66.109896875001112</c:v>
                </c:pt>
                <c:pt idx="3174">
                  <c:v>66.130730266202576</c:v>
                </c:pt>
                <c:pt idx="3175">
                  <c:v>66.15156365740404</c:v>
                </c:pt>
                <c:pt idx="3176">
                  <c:v>66.172397048612723</c:v>
                </c:pt>
                <c:pt idx="3177">
                  <c:v>66.193230439814215</c:v>
                </c:pt>
                <c:pt idx="3178">
                  <c:v>66.214063831015693</c:v>
                </c:pt>
                <c:pt idx="3179">
                  <c:v>66.234897222224376</c:v>
                </c:pt>
                <c:pt idx="3180">
                  <c:v>66.255730613425783</c:v>
                </c:pt>
                <c:pt idx="3181">
                  <c:v>66.276564004627303</c:v>
                </c:pt>
                <c:pt idx="3182">
                  <c:v>66.297397395836015</c:v>
                </c:pt>
                <c:pt idx="3183">
                  <c:v>66.318230787037464</c:v>
                </c:pt>
                <c:pt idx="3184">
                  <c:v>66.339064178238914</c:v>
                </c:pt>
                <c:pt idx="3185">
                  <c:v>66.359897569447639</c:v>
                </c:pt>
                <c:pt idx="3186">
                  <c:v>66.380730960649075</c:v>
                </c:pt>
                <c:pt idx="3187">
                  <c:v>66.401564351850567</c:v>
                </c:pt>
                <c:pt idx="3188">
                  <c:v>66.422397743051945</c:v>
                </c:pt>
                <c:pt idx="3189">
                  <c:v>66.443231134260714</c:v>
                </c:pt>
                <c:pt idx="3190">
                  <c:v>66.464064525462206</c:v>
                </c:pt>
                <c:pt idx="3191">
                  <c:v>66.484897916663584</c:v>
                </c:pt>
                <c:pt idx="3192">
                  <c:v>66.505731307872296</c:v>
                </c:pt>
                <c:pt idx="3193">
                  <c:v>66.526564699073802</c:v>
                </c:pt>
                <c:pt idx="3194">
                  <c:v>66.547398090275223</c:v>
                </c:pt>
                <c:pt idx="3195">
                  <c:v>66.568231481483949</c:v>
                </c:pt>
                <c:pt idx="3196">
                  <c:v>66.589064872685384</c:v>
                </c:pt>
                <c:pt idx="3197">
                  <c:v>66.609898263886805</c:v>
                </c:pt>
                <c:pt idx="3198">
                  <c:v>66.630731655095559</c:v>
                </c:pt>
                <c:pt idx="3199">
                  <c:v>66.651565046297037</c:v>
                </c:pt>
                <c:pt idx="3200">
                  <c:v>66.672398437498401</c:v>
                </c:pt>
                <c:pt idx="3201">
                  <c:v>66.693231828707212</c:v>
                </c:pt>
                <c:pt idx="3202">
                  <c:v>66.714065219908704</c:v>
                </c:pt>
                <c:pt idx="3203">
                  <c:v>66.734898611110125</c:v>
                </c:pt>
                <c:pt idx="3204">
                  <c:v>66.755732002311504</c:v>
                </c:pt>
                <c:pt idx="3205">
                  <c:v>66.776565393520258</c:v>
                </c:pt>
                <c:pt idx="3206">
                  <c:v>66.797398784721707</c:v>
                </c:pt>
                <c:pt idx="3207">
                  <c:v>66.818232175923157</c:v>
                </c:pt>
                <c:pt idx="3208">
                  <c:v>66.839065567131911</c:v>
                </c:pt>
                <c:pt idx="3209">
                  <c:v>66.859898958333346</c:v>
                </c:pt>
                <c:pt idx="3210">
                  <c:v>66.880732349534753</c:v>
                </c:pt>
                <c:pt idx="3211">
                  <c:v>66.901565740743564</c:v>
                </c:pt>
                <c:pt idx="3212">
                  <c:v>66.922399131944957</c:v>
                </c:pt>
                <c:pt idx="3213">
                  <c:v>66.943232523146435</c:v>
                </c:pt>
                <c:pt idx="3214">
                  <c:v>66.964065914355174</c:v>
                </c:pt>
                <c:pt idx="3215">
                  <c:v>66.98489930555661</c:v>
                </c:pt>
              </c:numCache>
            </c:numRef>
          </c:xVal>
          <c:yVal>
            <c:numRef>
              <c:f>Sheet1!$G$3:$G$3218</c:f>
              <c:numCache>
                <c:formatCode>General</c:formatCode>
                <c:ptCount val="3216"/>
                <c:pt idx="0">
                  <c:v>19.853000000000009</c:v>
                </c:pt>
                <c:pt idx="1">
                  <c:v>19.853000000000009</c:v>
                </c:pt>
                <c:pt idx="2">
                  <c:v>19.853000000000009</c:v>
                </c:pt>
                <c:pt idx="3">
                  <c:v>19.853000000000009</c:v>
                </c:pt>
                <c:pt idx="4">
                  <c:v>19.853000000000009</c:v>
                </c:pt>
                <c:pt idx="5">
                  <c:v>19.853000000000009</c:v>
                </c:pt>
                <c:pt idx="6">
                  <c:v>19.853000000000009</c:v>
                </c:pt>
                <c:pt idx="7">
                  <c:v>19.853000000000009</c:v>
                </c:pt>
                <c:pt idx="8">
                  <c:v>19.853000000000009</c:v>
                </c:pt>
                <c:pt idx="9">
                  <c:v>19.853000000000009</c:v>
                </c:pt>
                <c:pt idx="10">
                  <c:v>19.853000000000009</c:v>
                </c:pt>
                <c:pt idx="11">
                  <c:v>19.853000000000009</c:v>
                </c:pt>
                <c:pt idx="12">
                  <c:v>19.853000000000009</c:v>
                </c:pt>
                <c:pt idx="13">
                  <c:v>19.853000000000009</c:v>
                </c:pt>
                <c:pt idx="14">
                  <c:v>19.853000000000009</c:v>
                </c:pt>
                <c:pt idx="15">
                  <c:v>19.853000000000009</c:v>
                </c:pt>
                <c:pt idx="16">
                  <c:v>19.853000000000009</c:v>
                </c:pt>
                <c:pt idx="17">
                  <c:v>19.853000000000009</c:v>
                </c:pt>
                <c:pt idx="18">
                  <c:v>19.853000000000009</c:v>
                </c:pt>
                <c:pt idx="19">
                  <c:v>19.853000000000009</c:v>
                </c:pt>
                <c:pt idx="20">
                  <c:v>19.853000000000009</c:v>
                </c:pt>
                <c:pt idx="21">
                  <c:v>19.853000000000009</c:v>
                </c:pt>
                <c:pt idx="22">
                  <c:v>19.853000000000009</c:v>
                </c:pt>
                <c:pt idx="23">
                  <c:v>19.853000000000009</c:v>
                </c:pt>
                <c:pt idx="24">
                  <c:v>19.853000000000009</c:v>
                </c:pt>
                <c:pt idx="25">
                  <c:v>19.853000000000009</c:v>
                </c:pt>
                <c:pt idx="26">
                  <c:v>19.853000000000009</c:v>
                </c:pt>
                <c:pt idx="27">
                  <c:v>19.853000000000009</c:v>
                </c:pt>
                <c:pt idx="28">
                  <c:v>19.853000000000009</c:v>
                </c:pt>
                <c:pt idx="29">
                  <c:v>19.853000000000009</c:v>
                </c:pt>
                <c:pt idx="30">
                  <c:v>19.853000000000009</c:v>
                </c:pt>
                <c:pt idx="31">
                  <c:v>19.853000000000009</c:v>
                </c:pt>
                <c:pt idx="32">
                  <c:v>19.853000000000009</c:v>
                </c:pt>
                <c:pt idx="33">
                  <c:v>19.853000000000009</c:v>
                </c:pt>
                <c:pt idx="34">
                  <c:v>19.853000000000009</c:v>
                </c:pt>
                <c:pt idx="35">
                  <c:v>19.853000000000009</c:v>
                </c:pt>
                <c:pt idx="36">
                  <c:v>19.853000000000009</c:v>
                </c:pt>
                <c:pt idx="37">
                  <c:v>19.853000000000009</c:v>
                </c:pt>
                <c:pt idx="38">
                  <c:v>19.853000000000009</c:v>
                </c:pt>
                <c:pt idx="39">
                  <c:v>19.853000000000009</c:v>
                </c:pt>
                <c:pt idx="40">
                  <c:v>19.853000000000009</c:v>
                </c:pt>
                <c:pt idx="41">
                  <c:v>19.853000000000009</c:v>
                </c:pt>
                <c:pt idx="42">
                  <c:v>19.853000000000009</c:v>
                </c:pt>
                <c:pt idx="43">
                  <c:v>19.853000000000009</c:v>
                </c:pt>
                <c:pt idx="44">
                  <c:v>19.853000000000009</c:v>
                </c:pt>
                <c:pt idx="45">
                  <c:v>19.853000000000009</c:v>
                </c:pt>
                <c:pt idx="46">
                  <c:v>19.853000000000009</c:v>
                </c:pt>
                <c:pt idx="47">
                  <c:v>19.853000000000009</c:v>
                </c:pt>
                <c:pt idx="48">
                  <c:v>19.853000000000009</c:v>
                </c:pt>
                <c:pt idx="49">
                  <c:v>19.853000000000009</c:v>
                </c:pt>
                <c:pt idx="50">
                  <c:v>19.853000000000009</c:v>
                </c:pt>
                <c:pt idx="51">
                  <c:v>19.853000000000009</c:v>
                </c:pt>
                <c:pt idx="52">
                  <c:v>19.853000000000009</c:v>
                </c:pt>
                <c:pt idx="53">
                  <c:v>19.853000000000009</c:v>
                </c:pt>
                <c:pt idx="54">
                  <c:v>19.853000000000009</c:v>
                </c:pt>
                <c:pt idx="55">
                  <c:v>19.757999999999999</c:v>
                </c:pt>
                <c:pt idx="56">
                  <c:v>19.757999999999999</c:v>
                </c:pt>
                <c:pt idx="57">
                  <c:v>19.757999999999999</c:v>
                </c:pt>
                <c:pt idx="58">
                  <c:v>19.757999999999999</c:v>
                </c:pt>
                <c:pt idx="59">
                  <c:v>19.757999999999999</c:v>
                </c:pt>
                <c:pt idx="60">
                  <c:v>19.757999999999999</c:v>
                </c:pt>
                <c:pt idx="61">
                  <c:v>19.757999999999999</c:v>
                </c:pt>
                <c:pt idx="62">
                  <c:v>19.757999999999999</c:v>
                </c:pt>
                <c:pt idx="63">
                  <c:v>19.757999999999999</c:v>
                </c:pt>
                <c:pt idx="64">
                  <c:v>19.757999999999999</c:v>
                </c:pt>
                <c:pt idx="65">
                  <c:v>19.757999999999999</c:v>
                </c:pt>
                <c:pt idx="66">
                  <c:v>19.757999999999999</c:v>
                </c:pt>
                <c:pt idx="67">
                  <c:v>19.757999999999999</c:v>
                </c:pt>
                <c:pt idx="68">
                  <c:v>19.757999999999999</c:v>
                </c:pt>
                <c:pt idx="69">
                  <c:v>19.757999999999999</c:v>
                </c:pt>
                <c:pt idx="70">
                  <c:v>19.757999999999999</c:v>
                </c:pt>
                <c:pt idx="71">
                  <c:v>19.757999999999999</c:v>
                </c:pt>
                <c:pt idx="72">
                  <c:v>19.757999999999999</c:v>
                </c:pt>
                <c:pt idx="73">
                  <c:v>19.757999999999999</c:v>
                </c:pt>
                <c:pt idx="74">
                  <c:v>19.757999999999999</c:v>
                </c:pt>
                <c:pt idx="75">
                  <c:v>19.757999999999999</c:v>
                </c:pt>
                <c:pt idx="76">
                  <c:v>19.757999999999999</c:v>
                </c:pt>
                <c:pt idx="77">
                  <c:v>19.853000000000009</c:v>
                </c:pt>
                <c:pt idx="78">
                  <c:v>19.853000000000009</c:v>
                </c:pt>
                <c:pt idx="79">
                  <c:v>19.853000000000009</c:v>
                </c:pt>
                <c:pt idx="80">
                  <c:v>19.853000000000009</c:v>
                </c:pt>
                <c:pt idx="81">
                  <c:v>19.853000000000009</c:v>
                </c:pt>
                <c:pt idx="82">
                  <c:v>19.853000000000009</c:v>
                </c:pt>
                <c:pt idx="83">
                  <c:v>19.948</c:v>
                </c:pt>
                <c:pt idx="84">
                  <c:v>19.948</c:v>
                </c:pt>
                <c:pt idx="85">
                  <c:v>19.948</c:v>
                </c:pt>
                <c:pt idx="86">
                  <c:v>19.948</c:v>
                </c:pt>
                <c:pt idx="87">
                  <c:v>19.948</c:v>
                </c:pt>
                <c:pt idx="88">
                  <c:v>19.948</c:v>
                </c:pt>
                <c:pt idx="89">
                  <c:v>19.948</c:v>
                </c:pt>
                <c:pt idx="90">
                  <c:v>19.948</c:v>
                </c:pt>
                <c:pt idx="91">
                  <c:v>19.948</c:v>
                </c:pt>
                <c:pt idx="92">
                  <c:v>19.948</c:v>
                </c:pt>
                <c:pt idx="93">
                  <c:v>19.948</c:v>
                </c:pt>
                <c:pt idx="94">
                  <c:v>19.948</c:v>
                </c:pt>
                <c:pt idx="95">
                  <c:v>19.948</c:v>
                </c:pt>
                <c:pt idx="96">
                  <c:v>19.948</c:v>
                </c:pt>
                <c:pt idx="97">
                  <c:v>19.948</c:v>
                </c:pt>
                <c:pt idx="98">
                  <c:v>19.948</c:v>
                </c:pt>
                <c:pt idx="99">
                  <c:v>19.948</c:v>
                </c:pt>
                <c:pt idx="100">
                  <c:v>19.948</c:v>
                </c:pt>
                <c:pt idx="101">
                  <c:v>19.948</c:v>
                </c:pt>
                <c:pt idx="102">
                  <c:v>19.853000000000009</c:v>
                </c:pt>
                <c:pt idx="103">
                  <c:v>19.853000000000009</c:v>
                </c:pt>
                <c:pt idx="104">
                  <c:v>19.853000000000009</c:v>
                </c:pt>
                <c:pt idx="105">
                  <c:v>19.853000000000009</c:v>
                </c:pt>
                <c:pt idx="106">
                  <c:v>19.853000000000009</c:v>
                </c:pt>
                <c:pt idx="107">
                  <c:v>19.853000000000009</c:v>
                </c:pt>
                <c:pt idx="108">
                  <c:v>19.853000000000009</c:v>
                </c:pt>
                <c:pt idx="109">
                  <c:v>19.853000000000009</c:v>
                </c:pt>
                <c:pt idx="110">
                  <c:v>19.853000000000009</c:v>
                </c:pt>
                <c:pt idx="111">
                  <c:v>19.853000000000009</c:v>
                </c:pt>
                <c:pt idx="112">
                  <c:v>19.757999999999999</c:v>
                </c:pt>
                <c:pt idx="113">
                  <c:v>19.757999999999999</c:v>
                </c:pt>
                <c:pt idx="114">
                  <c:v>19.757999999999999</c:v>
                </c:pt>
                <c:pt idx="115">
                  <c:v>19.757999999999999</c:v>
                </c:pt>
                <c:pt idx="116">
                  <c:v>19.757999999999999</c:v>
                </c:pt>
                <c:pt idx="117">
                  <c:v>19.757999999999999</c:v>
                </c:pt>
                <c:pt idx="118">
                  <c:v>19.757999999999999</c:v>
                </c:pt>
                <c:pt idx="119">
                  <c:v>19.757999999999999</c:v>
                </c:pt>
                <c:pt idx="120">
                  <c:v>19.757999999999999</c:v>
                </c:pt>
                <c:pt idx="121">
                  <c:v>19.757999999999999</c:v>
                </c:pt>
                <c:pt idx="122">
                  <c:v>19.853000000000009</c:v>
                </c:pt>
                <c:pt idx="123">
                  <c:v>19.853000000000009</c:v>
                </c:pt>
                <c:pt idx="124">
                  <c:v>19.853000000000009</c:v>
                </c:pt>
                <c:pt idx="125">
                  <c:v>19.853000000000009</c:v>
                </c:pt>
                <c:pt idx="126">
                  <c:v>19.853000000000009</c:v>
                </c:pt>
                <c:pt idx="127">
                  <c:v>19.853000000000009</c:v>
                </c:pt>
                <c:pt idx="128">
                  <c:v>19.948</c:v>
                </c:pt>
                <c:pt idx="129">
                  <c:v>19.948</c:v>
                </c:pt>
                <c:pt idx="130">
                  <c:v>19.948</c:v>
                </c:pt>
                <c:pt idx="131">
                  <c:v>19.948</c:v>
                </c:pt>
                <c:pt idx="132">
                  <c:v>19.948</c:v>
                </c:pt>
                <c:pt idx="133">
                  <c:v>20.042999999999999</c:v>
                </c:pt>
                <c:pt idx="134">
                  <c:v>20.042999999999999</c:v>
                </c:pt>
                <c:pt idx="135">
                  <c:v>20.042999999999999</c:v>
                </c:pt>
                <c:pt idx="136">
                  <c:v>20.042999999999999</c:v>
                </c:pt>
                <c:pt idx="137">
                  <c:v>20.042999999999999</c:v>
                </c:pt>
                <c:pt idx="138">
                  <c:v>20.042999999999999</c:v>
                </c:pt>
                <c:pt idx="139">
                  <c:v>20.042999999999999</c:v>
                </c:pt>
                <c:pt idx="140">
                  <c:v>20.042999999999999</c:v>
                </c:pt>
                <c:pt idx="141">
                  <c:v>20.042999999999999</c:v>
                </c:pt>
                <c:pt idx="142">
                  <c:v>20.042999999999999</c:v>
                </c:pt>
                <c:pt idx="143">
                  <c:v>20.042999999999999</c:v>
                </c:pt>
                <c:pt idx="144">
                  <c:v>20.042999999999999</c:v>
                </c:pt>
                <c:pt idx="145">
                  <c:v>19.948</c:v>
                </c:pt>
                <c:pt idx="146">
                  <c:v>20.042999999999999</c:v>
                </c:pt>
                <c:pt idx="147">
                  <c:v>19.948</c:v>
                </c:pt>
                <c:pt idx="148">
                  <c:v>19.948</c:v>
                </c:pt>
                <c:pt idx="149">
                  <c:v>19.948</c:v>
                </c:pt>
                <c:pt idx="150">
                  <c:v>19.948</c:v>
                </c:pt>
                <c:pt idx="151">
                  <c:v>19.948</c:v>
                </c:pt>
                <c:pt idx="152">
                  <c:v>19.948</c:v>
                </c:pt>
                <c:pt idx="153">
                  <c:v>19.948</c:v>
                </c:pt>
                <c:pt idx="154">
                  <c:v>19.948</c:v>
                </c:pt>
                <c:pt idx="155">
                  <c:v>19.853000000000009</c:v>
                </c:pt>
                <c:pt idx="156">
                  <c:v>19.853000000000009</c:v>
                </c:pt>
                <c:pt idx="157">
                  <c:v>19.853000000000009</c:v>
                </c:pt>
                <c:pt idx="158">
                  <c:v>19.853000000000009</c:v>
                </c:pt>
                <c:pt idx="159">
                  <c:v>19.853000000000009</c:v>
                </c:pt>
                <c:pt idx="160">
                  <c:v>19.853000000000009</c:v>
                </c:pt>
                <c:pt idx="161">
                  <c:v>19.853000000000009</c:v>
                </c:pt>
                <c:pt idx="162">
                  <c:v>19.853000000000009</c:v>
                </c:pt>
                <c:pt idx="163">
                  <c:v>19.853000000000009</c:v>
                </c:pt>
                <c:pt idx="164">
                  <c:v>19.853000000000009</c:v>
                </c:pt>
                <c:pt idx="165">
                  <c:v>19.853000000000009</c:v>
                </c:pt>
                <c:pt idx="166">
                  <c:v>19.853000000000009</c:v>
                </c:pt>
                <c:pt idx="167">
                  <c:v>19.853000000000009</c:v>
                </c:pt>
                <c:pt idx="168">
                  <c:v>19.853000000000009</c:v>
                </c:pt>
                <c:pt idx="169">
                  <c:v>19.853000000000009</c:v>
                </c:pt>
                <c:pt idx="170">
                  <c:v>19.853000000000009</c:v>
                </c:pt>
                <c:pt idx="171">
                  <c:v>19.853000000000009</c:v>
                </c:pt>
                <c:pt idx="172">
                  <c:v>19.853000000000009</c:v>
                </c:pt>
                <c:pt idx="173">
                  <c:v>19.853000000000009</c:v>
                </c:pt>
                <c:pt idx="174">
                  <c:v>19.853000000000009</c:v>
                </c:pt>
                <c:pt idx="175">
                  <c:v>19.948</c:v>
                </c:pt>
                <c:pt idx="176">
                  <c:v>19.948</c:v>
                </c:pt>
                <c:pt idx="177">
                  <c:v>19.948</c:v>
                </c:pt>
                <c:pt idx="178">
                  <c:v>19.948</c:v>
                </c:pt>
                <c:pt idx="179">
                  <c:v>19.948</c:v>
                </c:pt>
                <c:pt idx="180">
                  <c:v>19.948</c:v>
                </c:pt>
                <c:pt idx="181">
                  <c:v>19.948</c:v>
                </c:pt>
                <c:pt idx="182">
                  <c:v>20.042999999999999</c:v>
                </c:pt>
                <c:pt idx="183">
                  <c:v>20.042999999999999</c:v>
                </c:pt>
                <c:pt idx="184">
                  <c:v>20.042999999999999</c:v>
                </c:pt>
                <c:pt idx="185">
                  <c:v>20.042999999999999</c:v>
                </c:pt>
                <c:pt idx="186">
                  <c:v>20.042999999999999</c:v>
                </c:pt>
                <c:pt idx="187">
                  <c:v>20.042999999999999</c:v>
                </c:pt>
                <c:pt idx="188">
                  <c:v>20.042999999999999</c:v>
                </c:pt>
                <c:pt idx="189">
                  <c:v>20.042999999999999</c:v>
                </c:pt>
                <c:pt idx="190">
                  <c:v>20.042999999999999</c:v>
                </c:pt>
                <c:pt idx="191">
                  <c:v>20.042999999999999</c:v>
                </c:pt>
                <c:pt idx="192">
                  <c:v>20.042999999999999</c:v>
                </c:pt>
                <c:pt idx="193">
                  <c:v>20.042999999999999</c:v>
                </c:pt>
                <c:pt idx="194">
                  <c:v>19.948</c:v>
                </c:pt>
                <c:pt idx="195">
                  <c:v>19.948</c:v>
                </c:pt>
                <c:pt idx="196">
                  <c:v>19.948</c:v>
                </c:pt>
                <c:pt idx="197">
                  <c:v>19.948</c:v>
                </c:pt>
                <c:pt idx="198">
                  <c:v>19.948</c:v>
                </c:pt>
                <c:pt idx="199">
                  <c:v>19.948</c:v>
                </c:pt>
                <c:pt idx="200">
                  <c:v>19.948</c:v>
                </c:pt>
                <c:pt idx="201">
                  <c:v>19.948</c:v>
                </c:pt>
                <c:pt idx="202">
                  <c:v>19.948</c:v>
                </c:pt>
                <c:pt idx="203">
                  <c:v>19.948</c:v>
                </c:pt>
                <c:pt idx="204">
                  <c:v>19.948</c:v>
                </c:pt>
                <c:pt idx="205">
                  <c:v>19.853000000000009</c:v>
                </c:pt>
                <c:pt idx="206">
                  <c:v>19.853000000000009</c:v>
                </c:pt>
                <c:pt idx="207">
                  <c:v>19.853000000000009</c:v>
                </c:pt>
                <c:pt idx="208">
                  <c:v>19.853000000000009</c:v>
                </c:pt>
                <c:pt idx="209">
                  <c:v>19.853000000000009</c:v>
                </c:pt>
                <c:pt idx="210">
                  <c:v>19.853000000000009</c:v>
                </c:pt>
                <c:pt idx="211">
                  <c:v>19.853000000000009</c:v>
                </c:pt>
                <c:pt idx="212">
                  <c:v>19.853000000000009</c:v>
                </c:pt>
                <c:pt idx="213">
                  <c:v>19.853000000000009</c:v>
                </c:pt>
                <c:pt idx="214">
                  <c:v>19.853000000000009</c:v>
                </c:pt>
                <c:pt idx="215">
                  <c:v>19.853000000000009</c:v>
                </c:pt>
                <c:pt idx="216">
                  <c:v>19.853000000000009</c:v>
                </c:pt>
                <c:pt idx="217">
                  <c:v>19.853000000000009</c:v>
                </c:pt>
                <c:pt idx="218">
                  <c:v>19.853000000000009</c:v>
                </c:pt>
                <c:pt idx="219">
                  <c:v>19.853000000000009</c:v>
                </c:pt>
                <c:pt idx="220">
                  <c:v>19.853000000000009</c:v>
                </c:pt>
                <c:pt idx="221">
                  <c:v>19.853000000000009</c:v>
                </c:pt>
                <c:pt idx="222">
                  <c:v>19.948</c:v>
                </c:pt>
                <c:pt idx="223">
                  <c:v>19.948</c:v>
                </c:pt>
                <c:pt idx="224">
                  <c:v>19.948</c:v>
                </c:pt>
                <c:pt idx="225">
                  <c:v>19.948</c:v>
                </c:pt>
                <c:pt idx="226">
                  <c:v>20.042999999999999</c:v>
                </c:pt>
                <c:pt idx="227">
                  <c:v>20.042999999999999</c:v>
                </c:pt>
                <c:pt idx="228">
                  <c:v>20.042999999999999</c:v>
                </c:pt>
                <c:pt idx="229">
                  <c:v>20.042999999999999</c:v>
                </c:pt>
                <c:pt idx="230">
                  <c:v>20.042999999999999</c:v>
                </c:pt>
                <c:pt idx="231">
                  <c:v>20.042999999999999</c:v>
                </c:pt>
                <c:pt idx="232">
                  <c:v>20.042999999999999</c:v>
                </c:pt>
                <c:pt idx="233">
                  <c:v>20.042999999999999</c:v>
                </c:pt>
                <c:pt idx="234">
                  <c:v>20.042999999999999</c:v>
                </c:pt>
                <c:pt idx="235">
                  <c:v>20.042999999999999</c:v>
                </c:pt>
                <c:pt idx="236">
                  <c:v>20.042999999999999</c:v>
                </c:pt>
                <c:pt idx="237">
                  <c:v>20.042999999999999</c:v>
                </c:pt>
                <c:pt idx="238">
                  <c:v>20.042999999999999</c:v>
                </c:pt>
                <c:pt idx="239">
                  <c:v>20.042999999999999</c:v>
                </c:pt>
                <c:pt idx="240">
                  <c:v>20.042999999999999</c:v>
                </c:pt>
                <c:pt idx="241">
                  <c:v>20.042999999999999</c:v>
                </c:pt>
                <c:pt idx="242">
                  <c:v>20.042999999999999</c:v>
                </c:pt>
                <c:pt idx="243">
                  <c:v>20.042999999999999</c:v>
                </c:pt>
                <c:pt idx="244">
                  <c:v>19.948</c:v>
                </c:pt>
                <c:pt idx="245">
                  <c:v>19.948</c:v>
                </c:pt>
                <c:pt idx="246">
                  <c:v>19.948</c:v>
                </c:pt>
                <c:pt idx="247">
                  <c:v>19.948</c:v>
                </c:pt>
                <c:pt idx="248">
                  <c:v>19.948</c:v>
                </c:pt>
                <c:pt idx="249">
                  <c:v>19.948</c:v>
                </c:pt>
                <c:pt idx="250">
                  <c:v>19.948</c:v>
                </c:pt>
                <c:pt idx="251">
                  <c:v>19.948</c:v>
                </c:pt>
                <c:pt idx="252">
                  <c:v>19.853000000000009</c:v>
                </c:pt>
                <c:pt idx="253">
                  <c:v>19.853000000000009</c:v>
                </c:pt>
                <c:pt idx="254">
                  <c:v>19.853000000000009</c:v>
                </c:pt>
                <c:pt idx="255">
                  <c:v>19.853000000000009</c:v>
                </c:pt>
                <c:pt idx="256">
                  <c:v>19.853000000000009</c:v>
                </c:pt>
                <c:pt idx="257">
                  <c:v>19.853000000000009</c:v>
                </c:pt>
                <c:pt idx="258">
                  <c:v>19.853000000000009</c:v>
                </c:pt>
                <c:pt idx="259">
                  <c:v>19.757999999999999</c:v>
                </c:pt>
                <c:pt idx="260">
                  <c:v>19.757999999999999</c:v>
                </c:pt>
                <c:pt idx="261">
                  <c:v>19.757999999999999</c:v>
                </c:pt>
                <c:pt idx="262">
                  <c:v>19.757999999999999</c:v>
                </c:pt>
                <c:pt idx="263">
                  <c:v>19.757999999999999</c:v>
                </c:pt>
                <c:pt idx="264">
                  <c:v>19.757999999999999</c:v>
                </c:pt>
                <c:pt idx="265">
                  <c:v>19.757999999999999</c:v>
                </c:pt>
                <c:pt idx="266">
                  <c:v>19.757999999999999</c:v>
                </c:pt>
                <c:pt idx="267">
                  <c:v>19.757999999999999</c:v>
                </c:pt>
                <c:pt idx="268">
                  <c:v>19.853000000000009</c:v>
                </c:pt>
                <c:pt idx="269">
                  <c:v>19.757999999999999</c:v>
                </c:pt>
                <c:pt idx="270">
                  <c:v>19.853000000000009</c:v>
                </c:pt>
                <c:pt idx="271">
                  <c:v>19.853000000000009</c:v>
                </c:pt>
                <c:pt idx="272">
                  <c:v>19.853000000000009</c:v>
                </c:pt>
                <c:pt idx="273">
                  <c:v>19.853000000000009</c:v>
                </c:pt>
                <c:pt idx="274">
                  <c:v>19.853000000000009</c:v>
                </c:pt>
                <c:pt idx="275">
                  <c:v>19.853000000000009</c:v>
                </c:pt>
                <c:pt idx="276">
                  <c:v>19.853000000000009</c:v>
                </c:pt>
                <c:pt idx="277">
                  <c:v>19.853000000000009</c:v>
                </c:pt>
                <c:pt idx="278">
                  <c:v>19.853000000000009</c:v>
                </c:pt>
                <c:pt idx="279">
                  <c:v>19.853000000000009</c:v>
                </c:pt>
                <c:pt idx="280">
                  <c:v>19.853000000000009</c:v>
                </c:pt>
                <c:pt idx="281">
                  <c:v>19.853000000000009</c:v>
                </c:pt>
                <c:pt idx="282">
                  <c:v>19.853000000000009</c:v>
                </c:pt>
                <c:pt idx="283">
                  <c:v>19.853000000000009</c:v>
                </c:pt>
                <c:pt idx="284">
                  <c:v>19.853000000000009</c:v>
                </c:pt>
                <c:pt idx="285">
                  <c:v>19.853000000000009</c:v>
                </c:pt>
                <c:pt idx="286">
                  <c:v>19.853000000000009</c:v>
                </c:pt>
                <c:pt idx="287">
                  <c:v>19.853000000000009</c:v>
                </c:pt>
                <c:pt idx="288">
                  <c:v>19.853000000000009</c:v>
                </c:pt>
                <c:pt idx="289">
                  <c:v>19.853000000000009</c:v>
                </c:pt>
                <c:pt idx="290">
                  <c:v>19.853000000000009</c:v>
                </c:pt>
                <c:pt idx="291">
                  <c:v>19.853000000000009</c:v>
                </c:pt>
                <c:pt idx="292">
                  <c:v>19.853000000000009</c:v>
                </c:pt>
                <c:pt idx="293">
                  <c:v>19.853000000000009</c:v>
                </c:pt>
                <c:pt idx="294">
                  <c:v>19.757999999999999</c:v>
                </c:pt>
                <c:pt idx="295">
                  <c:v>19.757999999999999</c:v>
                </c:pt>
                <c:pt idx="296">
                  <c:v>19.757999999999999</c:v>
                </c:pt>
                <c:pt idx="297">
                  <c:v>19.757999999999999</c:v>
                </c:pt>
                <c:pt idx="298">
                  <c:v>19.757999999999999</c:v>
                </c:pt>
                <c:pt idx="299">
                  <c:v>19.757999999999999</c:v>
                </c:pt>
                <c:pt idx="300">
                  <c:v>19.661999999999999</c:v>
                </c:pt>
                <c:pt idx="301">
                  <c:v>19.661999999999999</c:v>
                </c:pt>
                <c:pt idx="302">
                  <c:v>19.661999999999999</c:v>
                </c:pt>
                <c:pt idx="303">
                  <c:v>19.661999999999999</c:v>
                </c:pt>
                <c:pt idx="304">
                  <c:v>19.661999999999999</c:v>
                </c:pt>
                <c:pt idx="305">
                  <c:v>19.661999999999999</c:v>
                </c:pt>
                <c:pt idx="306">
                  <c:v>19.661999999999999</c:v>
                </c:pt>
                <c:pt idx="307">
                  <c:v>19.661999999999999</c:v>
                </c:pt>
                <c:pt idx="308">
                  <c:v>19.661999999999999</c:v>
                </c:pt>
                <c:pt idx="309">
                  <c:v>19.661999999999999</c:v>
                </c:pt>
                <c:pt idx="310">
                  <c:v>19.567</c:v>
                </c:pt>
                <c:pt idx="311">
                  <c:v>19.567</c:v>
                </c:pt>
                <c:pt idx="312">
                  <c:v>19.661999999999999</c:v>
                </c:pt>
                <c:pt idx="313">
                  <c:v>19.661999999999999</c:v>
                </c:pt>
                <c:pt idx="314">
                  <c:v>19.661999999999999</c:v>
                </c:pt>
                <c:pt idx="315">
                  <c:v>19.661999999999999</c:v>
                </c:pt>
                <c:pt idx="316">
                  <c:v>19.661999999999999</c:v>
                </c:pt>
                <c:pt idx="317">
                  <c:v>19.661999999999999</c:v>
                </c:pt>
                <c:pt idx="318">
                  <c:v>19.661999999999999</c:v>
                </c:pt>
                <c:pt idx="319">
                  <c:v>19.757999999999999</c:v>
                </c:pt>
                <c:pt idx="320">
                  <c:v>19.757999999999999</c:v>
                </c:pt>
                <c:pt idx="321">
                  <c:v>19.757999999999999</c:v>
                </c:pt>
                <c:pt idx="322">
                  <c:v>19.757999999999999</c:v>
                </c:pt>
                <c:pt idx="323">
                  <c:v>19.757999999999999</c:v>
                </c:pt>
                <c:pt idx="324">
                  <c:v>19.757999999999999</c:v>
                </c:pt>
                <c:pt idx="325">
                  <c:v>19.853000000000009</c:v>
                </c:pt>
                <c:pt idx="326">
                  <c:v>19.853000000000009</c:v>
                </c:pt>
                <c:pt idx="327">
                  <c:v>19.853000000000009</c:v>
                </c:pt>
                <c:pt idx="328">
                  <c:v>19.853000000000009</c:v>
                </c:pt>
                <c:pt idx="329">
                  <c:v>19.853000000000009</c:v>
                </c:pt>
                <c:pt idx="330">
                  <c:v>19.853000000000009</c:v>
                </c:pt>
                <c:pt idx="331">
                  <c:v>19.853000000000009</c:v>
                </c:pt>
                <c:pt idx="332">
                  <c:v>19.853000000000009</c:v>
                </c:pt>
                <c:pt idx="333">
                  <c:v>19.853000000000009</c:v>
                </c:pt>
                <c:pt idx="334">
                  <c:v>19.853000000000009</c:v>
                </c:pt>
                <c:pt idx="335">
                  <c:v>19.853000000000009</c:v>
                </c:pt>
                <c:pt idx="336">
                  <c:v>19.853000000000009</c:v>
                </c:pt>
                <c:pt idx="337">
                  <c:v>19.853000000000009</c:v>
                </c:pt>
                <c:pt idx="338">
                  <c:v>19.757999999999999</c:v>
                </c:pt>
                <c:pt idx="339">
                  <c:v>19.757999999999999</c:v>
                </c:pt>
                <c:pt idx="340">
                  <c:v>19.757999999999999</c:v>
                </c:pt>
                <c:pt idx="341">
                  <c:v>19.757999999999999</c:v>
                </c:pt>
                <c:pt idx="342">
                  <c:v>19.757999999999999</c:v>
                </c:pt>
                <c:pt idx="343">
                  <c:v>19.757999999999999</c:v>
                </c:pt>
                <c:pt idx="344">
                  <c:v>19.757999999999999</c:v>
                </c:pt>
                <c:pt idx="345">
                  <c:v>19.757999999999999</c:v>
                </c:pt>
                <c:pt idx="346">
                  <c:v>19.661999999999999</c:v>
                </c:pt>
                <c:pt idx="347">
                  <c:v>19.661999999999999</c:v>
                </c:pt>
                <c:pt idx="348">
                  <c:v>19.661999999999999</c:v>
                </c:pt>
                <c:pt idx="349">
                  <c:v>19.661999999999999</c:v>
                </c:pt>
                <c:pt idx="350">
                  <c:v>19.661999999999999</c:v>
                </c:pt>
                <c:pt idx="351">
                  <c:v>19.661999999999999</c:v>
                </c:pt>
                <c:pt idx="352">
                  <c:v>19.661999999999999</c:v>
                </c:pt>
                <c:pt idx="353">
                  <c:v>19.661999999999999</c:v>
                </c:pt>
                <c:pt idx="354">
                  <c:v>19.567</c:v>
                </c:pt>
                <c:pt idx="355">
                  <c:v>19.567</c:v>
                </c:pt>
                <c:pt idx="356">
                  <c:v>19.567</c:v>
                </c:pt>
                <c:pt idx="357">
                  <c:v>19.567</c:v>
                </c:pt>
                <c:pt idx="358">
                  <c:v>19.567</c:v>
                </c:pt>
                <c:pt idx="359">
                  <c:v>19.567</c:v>
                </c:pt>
                <c:pt idx="360">
                  <c:v>19.567</c:v>
                </c:pt>
                <c:pt idx="361">
                  <c:v>19.567</c:v>
                </c:pt>
                <c:pt idx="362">
                  <c:v>19.661999999999999</c:v>
                </c:pt>
                <c:pt idx="363">
                  <c:v>19.661999999999999</c:v>
                </c:pt>
                <c:pt idx="364">
                  <c:v>19.661999999999999</c:v>
                </c:pt>
                <c:pt idx="365">
                  <c:v>19.661999999999999</c:v>
                </c:pt>
                <c:pt idx="366">
                  <c:v>19.661999999999999</c:v>
                </c:pt>
                <c:pt idx="367">
                  <c:v>19.757999999999999</c:v>
                </c:pt>
                <c:pt idx="368">
                  <c:v>19.757999999999999</c:v>
                </c:pt>
                <c:pt idx="369">
                  <c:v>19.757999999999999</c:v>
                </c:pt>
                <c:pt idx="370">
                  <c:v>19.757999999999999</c:v>
                </c:pt>
                <c:pt idx="371">
                  <c:v>19.757999999999999</c:v>
                </c:pt>
                <c:pt idx="372">
                  <c:v>19.853000000000009</c:v>
                </c:pt>
                <c:pt idx="373">
                  <c:v>19.853000000000009</c:v>
                </c:pt>
                <c:pt idx="374">
                  <c:v>19.853000000000009</c:v>
                </c:pt>
                <c:pt idx="375">
                  <c:v>19.853000000000009</c:v>
                </c:pt>
                <c:pt idx="376">
                  <c:v>19.853000000000009</c:v>
                </c:pt>
                <c:pt idx="377">
                  <c:v>19.853000000000009</c:v>
                </c:pt>
                <c:pt idx="378">
                  <c:v>19.853000000000009</c:v>
                </c:pt>
                <c:pt idx="379">
                  <c:v>19.853000000000009</c:v>
                </c:pt>
                <c:pt idx="380">
                  <c:v>19.853000000000009</c:v>
                </c:pt>
                <c:pt idx="381">
                  <c:v>19.853000000000009</c:v>
                </c:pt>
                <c:pt idx="382">
                  <c:v>19.853000000000009</c:v>
                </c:pt>
                <c:pt idx="383">
                  <c:v>19.853000000000009</c:v>
                </c:pt>
                <c:pt idx="384">
                  <c:v>19.853000000000009</c:v>
                </c:pt>
                <c:pt idx="385">
                  <c:v>19.853000000000009</c:v>
                </c:pt>
                <c:pt idx="386">
                  <c:v>19.853000000000009</c:v>
                </c:pt>
                <c:pt idx="387">
                  <c:v>19.853000000000009</c:v>
                </c:pt>
                <c:pt idx="388">
                  <c:v>19.853000000000009</c:v>
                </c:pt>
                <c:pt idx="389">
                  <c:v>19.853000000000009</c:v>
                </c:pt>
                <c:pt idx="390">
                  <c:v>19.853000000000009</c:v>
                </c:pt>
                <c:pt idx="391">
                  <c:v>19.757999999999999</c:v>
                </c:pt>
                <c:pt idx="392">
                  <c:v>19.757999999999999</c:v>
                </c:pt>
                <c:pt idx="393">
                  <c:v>19.757999999999999</c:v>
                </c:pt>
                <c:pt idx="394">
                  <c:v>19.757999999999999</c:v>
                </c:pt>
                <c:pt idx="395">
                  <c:v>19.757999999999999</c:v>
                </c:pt>
                <c:pt idx="396">
                  <c:v>19.757999999999999</c:v>
                </c:pt>
                <c:pt idx="397">
                  <c:v>19.757999999999999</c:v>
                </c:pt>
                <c:pt idx="398">
                  <c:v>19.757999999999999</c:v>
                </c:pt>
                <c:pt idx="399">
                  <c:v>19.757999999999999</c:v>
                </c:pt>
                <c:pt idx="400">
                  <c:v>19.757999999999999</c:v>
                </c:pt>
                <c:pt idx="401">
                  <c:v>19.661999999999999</c:v>
                </c:pt>
                <c:pt idx="402">
                  <c:v>19.661999999999999</c:v>
                </c:pt>
                <c:pt idx="403">
                  <c:v>19.661999999999999</c:v>
                </c:pt>
                <c:pt idx="404">
                  <c:v>19.661999999999999</c:v>
                </c:pt>
                <c:pt idx="405">
                  <c:v>19.661999999999999</c:v>
                </c:pt>
                <c:pt idx="406">
                  <c:v>19.661999999999999</c:v>
                </c:pt>
                <c:pt idx="407">
                  <c:v>19.661999999999999</c:v>
                </c:pt>
                <c:pt idx="408">
                  <c:v>19.661999999999999</c:v>
                </c:pt>
                <c:pt idx="409">
                  <c:v>19.757999999999999</c:v>
                </c:pt>
                <c:pt idx="410">
                  <c:v>19.757999999999999</c:v>
                </c:pt>
                <c:pt idx="411">
                  <c:v>19.757999999999999</c:v>
                </c:pt>
                <c:pt idx="412">
                  <c:v>19.757999999999999</c:v>
                </c:pt>
                <c:pt idx="413">
                  <c:v>19.757999999999999</c:v>
                </c:pt>
                <c:pt idx="414">
                  <c:v>19.757999999999999</c:v>
                </c:pt>
                <c:pt idx="415">
                  <c:v>19.853000000000009</c:v>
                </c:pt>
                <c:pt idx="416">
                  <c:v>19.853000000000009</c:v>
                </c:pt>
                <c:pt idx="417">
                  <c:v>19.853000000000009</c:v>
                </c:pt>
                <c:pt idx="418">
                  <c:v>19.853000000000009</c:v>
                </c:pt>
                <c:pt idx="419">
                  <c:v>19.948</c:v>
                </c:pt>
                <c:pt idx="420">
                  <c:v>19.948</c:v>
                </c:pt>
                <c:pt idx="421">
                  <c:v>19.948</c:v>
                </c:pt>
                <c:pt idx="422">
                  <c:v>19.948</c:v>
                </c:pt>
                <c:pt idx="423">
                  <c:v>19.948</c:v>
                </c:pt>
                <c:pt idx="424">
                  <c:v>19.948</c:v>
                </c:pt>
                <c:pt idx="425">
                  <c:v>19.948</c:v>
                </c:pt>
                <c:pt idx="426">
                  <c:v>19.948</c:v>
                </c:pt>
                <c:pt idx="427">
                  <c:v>19.948</c:v>
                </c:pt>
                <c:pt idx="428">
                  <c:v>20.042999999999999</c:v>
                </c:pt>
                <c:pt idx="429">
                  <c:v>19.948</c:v>
                </c:pt>
                <c:pt idx="430">
                  <c:v>19.948</c:v>
                </c:pt>
                <c:pt idx="431">
                  <c:v>19.948</c:v>
                </c:pt>
                <c:pt idx="432">
                  <c:v>19.948</c:v>
                </c:pt>
                <c:pt idx="433">
                  <c:v>19.948</c:v>
                </c:pt>
                <c:pt idx="434">
                  <c:v>19.948</c:v>
                </c:pt>
                <c:pt idx="435">
                  <c:v>19.948</c:v>
                </c:pt>
                <c:pt idx="436">
                  <c:v>19.948</c:v>
                </c:pt>
                <c:pt idx="437">
                  <c:v>19.948</c:v>
                </c:pt>
                <c:pt idx="438">
                  <c:v>19.948</c:v>
                </c:pt>
                <c:pt idx="439">
                  <c:v>19.948</c:v>
                </c:pt>
                <c:pt idx="440">
                  <c:v>19.948</c:v>
                </c:pt>
                <c:pt idx="441">
                  <c:v>19.948</c:v>
                </c:pt>
                <c:pt idx="442">
                  <c:v>19.853000000000009</c:v>
                </c:pt>
                <c:pt idx="443">
                  <c:v>19.853000000000009</c:v>
                </c:pt>
                <c:pt idx="444">
                  <c:v>19.853000000000009</c:v>
                </c:pt>
                <c:pt idx="445">
                  <c:v>19.853000000000009</c:v>
                </c:pt>
                <c:pt idx="446">
                  <c:v>19.853000000000009</c:v>
                </c:pt>
                <c:pt idx="447">
                  <c:v>19.853000000000009</c:v>
                </c:pt>
                <c:pt idx="448">
                  <c:v>19.853000000000009</c:v>
                </c:pt>
                <c:pt idx="449">
                  <c:v>19.757999999999999</c:v>
                </c:pt>
                <c:pt idx="450">
                  <c:v>19.757999999999999</c:v>
                </c:pt>
                <c:pt idx="451">
                  <c:v>19.757999999999999</c:v>
                </c:pt>
                <c:pt idx="452">
                  <c:v>19.757999999999999</c:v>
                </c:pt>
                <c:pt idx="453">
                  <c:v>19.757999999999999</c:v>
                </c:pt>
                <c:pt idx="454">
                  <c:v>19.757999999999999</c:v>
                </c:pt>
                <c:pt idx="455">
                  <c:v>19.757999999999999</c:v>
                </c:pt>
                <c:pt idx="456">
                  <c:v>19.757999999999999</c:v>
                </c:pt>
                <c:pt idx="457">
                  <c:v>19.757999999999999</c:v>
                </c:pt>
                <c:pt idx="458">
                  <c:v>19.757999999999999</c:v>
                </c:pt>
                <c:pt idx="459">
                  <c:v>19.757999999999999</c:v>
                </c:pt>
                <c:pt idx="460">
                  <c:v>19.853000000000009</c:v>
                </c:pt>
                <c:pt idx="461">
                  <c:v>19.853000000000009</c:v>
                </c:pt>
                <c:pt idx="462">
                  <c:v>19.853000000000009</c:v>
                </c:pt>
                <c:pt idx="463">
                  <c:v>19.853000000000009</c:v>
                </c:pt>
                <c:pt idx="464">
                  <c:v>19.853000000000009</c:v>
                </c:pt>
                <c:pt idx="465">
                  <c:v>19.948</c:v>
                </c:pt>
                <c:pt idx="466">
                  <c:v>19.948</c:v>
                </c:pt>
                <c:pt idx="467">
                  <c:v>19.948</c:v>
                </c:pt>
                <c:pt idx="468">
                  <c:v>19.948</c:v>
                </c:pt>
                <c:pt idx="469">
                  <c:v>19.948</c:v>
                </c:pt>
                <c:pt idx="470">
                  <c:v>20.042999999999999</c:v>
                </c:pt>
                <c:pt idx="471">
                  <c:v>20.042999999999999</c:v>
                </c:pt>
                <c:pt idx="472">
                  <c:v>20.042999999999999</c:v>
                </c:pt>
                <c:pt idx="473">
                  <c:v>20.042999999999999</c:v>
                </c:pt>
                <c:pt idx="474">
                  <c:v>20.042999999999999</c:v>
                </c:pt>
                <c:pt idx="475">
                  <c:v>20.042999999999999</c:v>
                </c:pt>
                <c:pt idx="476">
                  <c:v>20.042999999999999</c:v>
                </c:pt>
                <c:pt idx="477">
                  <c:v>20.042999999999999</c:v>
                </c:pt>
                <c:pt idx="478">
                  <c:v>20.042999999999999</c:v>
                </c:pt>
                <c:pt idx="479">
                  <c:v>20.042999999999999</c:v>
                </c:pt>
                <c:pt idx="480">
                  <c:v>20.042999999999999</c:v>
                </c:pt>
                <c:pt idx="481">
                  <c:v>20.042999999999999</c:v>
                </c:pt>
                <c:pt idx="482">
                  <c:v>20.042999999999999</c:v>
                </c:pt>
                <c:pt idx="483">
                  <c:v>20.042999999999999</c:v>
                </c:pt>
                <c:pt idx="484">
                  <c:v>20.042999999999999</c:v>
                </c:pt>
                <c:pt idx="485">
                  <c:v>19.948</c:v>
                </c:pt>
                <c:pt idx="486">
                  <c:v>19.948</c:v>
                </c:pt>
                <c:pt idx="487">
                  <c:v>19.948</c:v>
                </c:pt>
                <c:pt idx="488">
                  <c:v>19.948</c:v>
                </c:pt>
                <c:pt idx="489">
                  <c:v>19.948</c:v>
                </c:pt>
                <c:pt idx="490">
                  <c:v>19.948</c:v>
                </c:pt>
                <c:pt idx="491">
                  <c:v>19.948</c:v>
                </c:pt>
                <c:pt idx="492">
                  <c:v>19.948</c:v>
                </c:pt>
                <c:pt idx="493">
                  <c:v>19.853000000000009</c:v>
                </c:pt>
                <c:pt idx="494">
                  <c:v>19.853000000000009</c:v>
                </c:pt>
                <c:pt idx="495">
                  <c:v>19.853000000000009</c:v>
                </c:pt>
                <c:pt idx="496">
                  <c:v>19.853000000000009</c:v>
                </c:pt>
                <c:pt idx="497">
                  <c:v>19.853000000000009</c:v>
                </c:pt>
                <c:pt idx="498">
                  <c:v>19.853000000000009</c:v>
                </c:pt>
                <c:pt idx="499">
                  <c:v>19.853000000000009</c:v>
                </c:pt>
                <c:pt idx="500">
                  <c:v>19.853000000000009</c:v>
                </c:pt>
                <c:pt idx="501">
                  <c:v>19.853000000000009</c:v>
                </c:pt>
                <c:pt idx="502">
                  <c:v>19.853000000000009</c:v>
                </c:pt>
                <c:pt idx="503">
                  <c:v>19.853000000000009</c:v>
                </c:pt>
                <c:pt idx="504">
                  <c:v>19.853000000000009</c:v>
                </c:pt>
                <c:pt idx="505">
                  <c:v>19.853000000000009</c:v>
                </c:pt>
                <c:pt idx="506">
                  <c:v>19.853000000000009</c:v>
                </c:pt>
                <c:pt idx="507">
                  <c:v>19.853000000000009</c:v>
                </c:pt>
                <c:pt idx="508">
                  <c:v>19.853000000000009</c:v>
                </c:pt>
                <c:pt idx="509">
                  <c:v>19.853000000000009</c:v>
                </c:pt>
                <c:pt idx="510">
                  <c:v>19.948</c:v>
                </c:pt>
                <c:pt idx="511">
                  <c:v>19.948</c:v>
                </c:pt>
                <c:pt idx="512">
                  <c:v>19.948</c:v>
                </c:pt>
                <c:pt idx="513">
                  <c:v>19.948</c:v>
                </c:pt>
                <c:pt idx="514">
                  <c:v>19.948</c:v>
                </c:pt>
                <c:pt idx="515">
                  <c:v>20.042999999999999</c:v>
                </c:pt>
                <c:pt idx="516">
                  <c:v>20.042999999999999</c:v>
                </c:pt>
                <c:pt idx="517">
                  <c:v>20.042999999999999</c:v>
                </c:pt>
                <c:pt idx="518">
                  <c:v>20.042999999999999</c:v>
                </c:pt>
                <c:pt idx="519">
                  <c:v>20.042999999999999</c:v>
                </c:pt>
                <c:pt idx="520">
                  <c:v>20.138000000000009</c:v>
                </c:pt>
                <c:pt idx="521">
                  <c:v>20.138000000000009</c:v>
                </c:pt>
                <c:pt idx="522">
                  <c:v>20.138000000000009</c:v>
                </c:pt>
                <c:pt idx="523">
                  <c:v>20.138000000000009</c:v>
                </c:pt>
                <c:pt idx="524">
                  <c:v>20.138000000000009</c:v>
                </c:pt>
                <c:pt idx="525">
                  <c:v>20.138000000000009</c:v>
                </c:pt>
                <c:pt idx="526">
                  <c:v>20.138000000000009</c:v>
                </c:pt>
                <c:pt idx="527">
                  <c:v>20.138000000000009</c:v>
                </c:pt>
                <c:pt idx="528">
                  <c:v>20.138000000000009</c:v>
                </c:pt>
                <c:pt idx="529">
                  <c:v>20.138000000000009</c:v>
                </c:pt>
                <c:pt idx="530">
                  <c:v>20.138000000000009</c:v>
                </c:pt>
                <c:pt idx="531">
                  <c:v>20.042999999999999</c:v>
                </c:pt>
                <c:pt idx="532">
                  <c:v>20.042999999999999</c:v>
                </c:pt>
                <c:pt idx="533">
                  <c:v>20.042999999999999</c:v>
                </c:pt>
                <c:pt idx="534">
                  <c:v>20.042999999999999</c:v>
                </c:pt>
                <c:pt idx="535">
                  <c:v>20.042999999999999</c:v>
                </c:pt>
                <c:pt idx="536">
                  <c:v>20.042999999999999</c:v>
                </c:pt>
                <c:pt idx="537">
                  <c:v>20.042999999999999</c:v>
                </c:pt>
                <c:pt idx="538">
                  <c:v>19.948</c:v>
                </c:pt>
                <c:pt idx="539">
                  <c:v>19.948</c:v>
                </c:pt>
                <c:pt idx="540">
                  <c:v>19.948</c:v>
                </c:pt>
                <c:pt idx="541">
                  <c:v>19.948</c:v>
                </c:pt>
                <c:pt idx="542">
                  <c:v>19.948</c:v>
                </c:pt>
                <c:pt idx="543">
                  <c:v>19.948</c:v>
                </c:pt>
                <c:pt idx="544">
                  <c:v>19.853000000000009</c:v>
                </c:pt>
                <c:pt idx="545">
                  <c:v>19.853000000000009</c:v>
                </c:pt>
                <c:pt idx="546">
                  <c:v>19.853000000000009</c:v>
                </c:pt>
                <c:pt idx="547">
                  <c:v>19.853000000000009</c:v>
                </c:pt>
                <c:pt idx="548">
                  <c:v>19.853000000000009</c:v>
                </c:pt>
                <c:pt idx="549">
                  <c:v>19.853000000000009</c:v>
                </c:pt>
                <c:pt idx="550">
                  <c:v>19.853000000000009</c:v>
                </c:pt>
                <c:pt idx="551">
                  <c:v>19.853000000000009</c:v>
                </c:pt>
                <c:pt idx="552">
                  <c:v>19.853000000000009</c:v>
                </c:pt>
                <c:pt idx="553">
                  <c:v>19.853000000000009</c:v>
                </c:pt>
                <c:pt idx="554">
                  <c:v>19.853000000000009</c:v>
                </c:pt>
                <c:pt idx="555">
                  <c:v>19.853000000000009</c:v>
                </c:pt>
                <c:pt idx="556">
                  <c:v>19.853000000000009</c:v>
                </c:pt>
                <c:pt idx="557">
                  <c:v>19.948</c:v>
                </c:pt>
                <c:pt idx="558">
                  <c:v>19.948</c:v>
                </c:pt>
                <c:pt idx="559">
                  <c:v>19.948</c:v>
                </c:pt>
                <c:pt idx="560">
                  <c:v>19.948</c:v>
                </c:pt>
                <c:pt idx="561">
                  <c:v>19.948</c:v>
                </c:pt>
                <c:pt idx="562">
                  <c:v>20.042999999999999</c:v>
                </c:pt>
                <c:pt idx="563">
                  <c:v>20.042999999999999</c:v>
                </c:pt>
                <c:pt idx="564">
                  <c:v>20.042999999999999</c:v>
                </c:pt>
                <c:pt idx="565">
                  <c:v>20.042999999999999</c:v>
                </c:pt>
                <c:pt idx="566">
                  <c:v>20.042999999999999</c:v>
                </c:pt>
                <c:pt idx="567">
                  <c:v>20.138000000000009</c:v>
                </c:pt>
                <c:pt idx="568">
                  <c:v>20.138000000000009</c:v>
                </c:pt>
                <c:pt idx="569">
                  <c:v>20.138000000000009</c:v>
                </c:pt>
                <c:pt idx="570">
                  <c:v>20.138000000000009</c:v>
                </c:pt>
                <c:pt idx="571">
                  <c:v>20.138000000000009</c:v>
                </c:pt>
                <c:pt idx="572">
                  <c:v>20.138000000000009</c:v>
                </c:pt>
                <c:pt idx="573">
                  <c:v>20.138000000000009</c:v>
                </c:pt>
                <c:pt idx="574">
                  <c:v>20.138000000000009</c:v>
                </c:pt>
                <c:pt idx="575">
                  <c:v>20.138000000000009</c:v>
                </c:pt>
                <c:pt idx="576">
                  <c:v>20.138000000000009</c:v>
                </c:pt>
                <c:pt idx="577">
                  <c:v>20.138000000000009</c:v>
                </c:pt>
                <c:pt idx="578">
                  <c:v>20.138000000000009</c:v>
                </c:pt>
                <c:pt idx="579">
                  <c:v>20.138000000000009</c:v>
                </c:pt>
                <c:pt idx="580">
                  <c:v>20.138000000000009</c:v>
                </c:pt>
                <c:pt idx="581">
                  <c:v>20.042999999999999</c:v>
                </c:pt>
                <c:pt idx="582">
                  <c:v>20.042999999999999</c:v>
                </c:pt>
                <c:pt idx="583">
                  <c:v>20.042999999999999</c:v>
                </c:pt>
                <c:pt idx="584">
                  <c:v>20.042999999999999</c:v>
                </c:pt>
                <c:pt idx="585">
                  <c:v>20.042999999999999</c:v>
                </c:pt>
                <c:pt idx="586">
                  <c:v>20.042999999999999</c:v>
                </c:pt>
                <c:pt idx="587">
                  <c:v>20.042999999999999</c:v>
                </c:pt>
                <c:pt idx="588">
                  <c:v>20.042999999999999</c:v>
                </c:pt>
                <c:pt idx="589">
                  <c:v>19.948</c:v>
                </c:pt>
                <c:pt idx="590">
                  <c:v>19.948</c:v>
                </c:pt>
                <c:pt idx="591">
                  <c:v>19.948</c:v>
                </c:pt>
                <c:pt idx="592">
                  <c:v>19.948</c:v>
                </c:pt>
                <c:pt idx="593">
                  <c:v>19.948</c:v>
                </c:pt>
                <c:pt idx="594">
                  <c:v>19.948</c:v>
                </c:pt>
                <c:pt idx="595">
                  <c:v>19.948</c:v>
                </c:pt>
                <c:pt idx="596">
                  <c:v>19.853000000000009</c:v>
                </c:pt>
                <c:pt idx="597">
                  <c:v>19.853000000000009</c:v>
                </c:pt>
                <c:pt idx="598">
                  <c:v>19.853000000000009</c:v>
                </c:pt>
                <c:pt idx="599">
                  <c:v>19.853000000000009</c:v>
                </c:pt>
                <c:pt idx="600">
                  <c:v>19.948</c:v>
                </c:pt>
                <c:pt idx="601">
                  <c:v>19.948</c:v>
                </c:pt>
                <c:pt idx="602">
                  <c:v>19.948</c:v>
                </c:pt>
                <c:pt idx="603">
                  <c:v>19.948</c:v>
                </c:pt>
                <c:pt idx="604">
                  <c:v>19.948</c:v>
                </c:pt>
                <c:pt idx="605">
                  <c:v>19.948</c:v>
                </c:pt>
                <c:pt idx="606">
                  <c:v>19.948</c:v>
                </c:pt>
                <c:pt idx="607">
                  <c:v>20.042999999999999</c:v>
                </c:pt>
                <c:pt idx="608">
                  <c:v>20.042999999999999</c:v>
                </c:pt>
                <c:pt idx="609">
                  <c:v>20.042999999999999</c:v>
                </c:pt>
                <c:pt idx="610">
                  <c:v>20.042999999999999</c:v>
                </c:pt>
                <c:pt idx="611">
                  <c:v>20.042999999999999</c:v>
                </c:pt>
                <c:pt idx="612">
                  <c:v>20.138000000000009</c:v>
                </c:pt>
                <c:pt idx="613">
                  <c:v>20.138000000000009</c:v>
                </c:pt>
                <c:pt idx="614">
                  <c:v>20.138000000000009</c:v>
                </c:pt>
                <c:pt idx="615">
                  <c:v>20.138000000000009</c:v>
                </c:pt>
                <c:pt idx="616">
                  <c:v>20.138000000000009</c:v>
                </c:pt>
                <c:pt idx="617">
                  <c:v>20.138000000000009</c:v>
                </c:pt>
                <c:pt idx="618">
                  <c:v>20.138000000000009</c:v>
                </c:pt>
                <c:pt idx="619">
                  <c:v>20.138000000000009</c:v>
                </c:pt>
                <c:pt idx="620">
                  <c:v>20.138000000000009</c:v>
                </c:pt>
                <c:pt idx="621">
                  <c:v>20.234000000000009</c:v>
                </c:pt>
                <c:pt idx="622">
                  <c:v>20.234000000000009</c:v>
                </c:pt>
                <c:pt idx="623">
                  <c:v>20.234000000000009</c:v>
                </c:pt>
                <c:pt idx="624">
                  <c:v>20.234000000000009</c:v>
                </c:pt>
                <c:pt idx="625">
                  <c:v>20.234000000000009</c:v>
                </c:pt>
                <c:pt idx="626">
                  <c:v>20.138000000000009</c:v>
                </c:pt>
                <c:pt idx="627">
                  <c:v>20.138000000000009</c:v>
                </c:pt>
                <c:pt idx="628">
                  <c:v>20.138000000000009</c:v>
                </c:pt>
                <c:pt idx="629">
                  <c:v>20.138000000000009</c:v>
                </c:pt>
                <c:pt idx="630">
                  <c:v>20.138000000000009</c:v>
                </c:pt>
                <c:pt idx="631">
                  <c:v>20.138000000000009</c:v>
                </c:pt>
                <c:pt idx="632">
                  <c:v>20.138000000000009</c:v>
                </c:pt>
                <c:pt idx="633">
                  <c:v>20.138000000000009</c:v>
                </c:pt>
                <c:pt idx="634">
                  <c:v>20.138000000000009</c:v>
                </c:pt>
                <c:pt idx="635">
                  <c:v>20.138000000000009</c:v>
                </c:pt>
                <c:pt idx="636">
                  <c:v>20.138000000000009</c:v>
                </c:pt>
                <c:pt idx="637">
                  <c:v>20.138000000000009</c:v>
                </c:pt>
                <c:pt idx="638">
                  <c:v>20.138000000000009</c:v>
                </c:pt>
                <c:pt idx="639">
                  <c:v>20.138000000000009</c:v>
                </c:pt>
                <c:pt idx="640">
                  <c:v>20.042999999999999</c:v>
                </c:pt>
                <c:pt idx="641">
                  <c:v>20.042999999999999</c:v>
                </c:pt>
                <c:pt idx="642">
                  <c:v>20.042999999999999</c:v>
                </c:pt>
                <c:pt idx="643">
                  <c:v>20.042999999999999</c:v>
                </c:pt>
                <c:pt idx="644">
                  <c:v>20.042999999999999</c:v>
                </c:pt>
                <c:pt idx="645">
                  <c:v>20.042999999999999</c:v>
                </c:pt>
                <c:pt idx="646">
                  <c:v>20.042999999999999</c:v>
                </c:pt>
                <c:pt idx="647">
                  <c:v>20.042999999999999</c:v>
                </c:pt>
                <c:pt idx="648">
                  <c:v>20.042999999999999</c:v>
                </c:pt>
                <c:pt idx="649">
                  <c:v>20.042999999999999</c:v>
                </c:pt>
                <c:pt idx="650">
                  <c:v>20.042999999999999</c:v>
                </c:pt>
                <c:pt idx="651">
                  <c:v>20.138000000000009</c:v>
                </c:pt>
                <c:pt idx="652">
                  <c:v>20.138000000000009</c:v>
                </c:pt>
                <c:pt idx="653">
                  <c:v>20.138000000000009</c:v>
                </c:pt>
                <c:pt idx="654">
                  <c:v>20.138000000000009</c:v>
                </c:pt>
                <c:pt idx="655">
                  <c:v>20.138000000000009</c:v>
                </c:pt>
                <c:pt idx="656">
                  <c:v>20.138000000000009</c:v>
                </c:pt>
                <c:pt idx="657">
                  <c:v>20.138000000000009</c:v>
                </c:pt>
                <c:pt idx="658">
                  <c:v>20.234000000000009</c:v>
                </c:pt>
                <c:pt idx="659">
                  <c:v>20.234000000000009</c:v>
                </c:pt>
                <c:pt idx="660">
                  <c:v>20.234000000000009</c:v>
                </c:pt>
                <c:pt idx="661">
                  <c:v>20.234000000000009</c:v>
                </c:pt>
                <c:pt idx="662">
                  <c:v>20.234000000000009</c:v>
                </c:pt>
                <c:pt idx="663">
                  <c:v>20.234000000000009</c:v>
                </c:pt>
                <c:pt idx="664">
                  <c:v>20.234000000000009</c:v>
                </c:pt>
                <c:pt idx="665">
                  <c:v>20.234000000000009</c:v>
                </c:pt>
                <c:pt idx="666">
                  <c:v>20.234000000000009</c:v>
                </c:pt>
                <c:pt idx="667">
                  <c:v>20.234000000000009</c:v>
                </c:pt>
                <c:pt idx="668">
                  <c:v>20.234000000000009</c:v>
                </c:pt>
                <c:pt idx="669">
                  <c:v>20.234000000000009</c:v>
                </c:pt>
                <c:pt idx="670">
                  <c:v>20.234000000000009</c:v>
                </c:pt>
                <c:pt idx="671">
                  <c:v>20.234000000000009</c:v>
                </c:pt>
                <c:pt idx="672">
                  <c:v>20.234000000000009</c:v>
                </c:pt>
                <c:pt idx="673">
                  <c:v>20.234000000000009</c:v>
                </c:pt>
                <c:pt idx="674">
                  <c:v>20.234000000000009</c:v>
                </c:pt>
                <c:pt idx="675">
                  <c:v>20.234000000000009</c:v>
                </c:pt>
                <c:pt idx="676">
                  <c:v>20.138000000000009</c:v>
                </c:pt>
                <c:pt idx="677">
                  <c:v>20.138000000000009</c:v>
                </c:pt>
                <c:pt idx="678">
                  <c:v>20.138000000000009</c:v>
                </c:pt>
                <c:pt idx="679">
                  <c:v>20.138000000000009</c:v>
                </c:pt>
                <c:pt idx="680">
                  <c:v>20.138000000000009</c:v>
                </c:pt>
                <c:pt idx="681">
                  <c:v>20.138000000000009</c:v>
                </c:pt>
                <c:pt idx="682">
                  <c:v>20.042999999999999</c:v>
                </c:pt>
                <c:pt idx="683">
                  <c:v>20.042999999999999</c:v>
                </c:pt>
                <c:pt idx="684">
                  <c:v>20.042999999999999</c:v>
                </c:pt>
                <c:pt idx="685">
                  <c:v>20.042999999999999</c:v>
                </c:pt>
                <c:pt idx="686">
                  <c:v>19.948</c:v>
                </c:pt>
                <c:pt idx="687">
                  <c:v>19.948</c:v>
                </c:pt>
                <c:pt idx="688">
                  <c:v>19.948</c:v>
                </c:pt>
                <c:pt idx="689">
                  <c:v>19.948</c:v>
                </c:pt>
                <c:pt idx="690">
                  <c:v>19.948</c:v>
                </c:pt>
                <c:pt idx="691">
                  <c:v>19.948</c:v>
                </c:pt>
                <c:pt idx="692">
                  <c:v>19.948</c:v>
                </c:pt>
                <c:pt idx="693">
                  <c:v>19.948</c:v>
                </c:pt>
                <c:pt idx="694">
                  <c:v>19.948</c:v>
                </c:pt>
                <c:pt idx="695">
                  <c:v>19.948</c:v>
                </c:pt>
                <c:pt idx="696">
                  <c:v>19.948</c:v>
                </c:pt>
                <c:pt idx="697">
                  <c:v>19.948</c:v>
                </c:pt>
                <c:pt idx="698">
                  <c:v>19.948</c:v>
                </c:pt>
                <c:pt idx="699">
                  <c:v>19.948</c:v>
                </c:pt>
                <c:pt idx="700">
                  <c:v>19.948</c:v>
                </c:pt>
                <c:pt idx="701">
                  <c:v>19.948</c:v>
                </c:pt>
                <c:pt idx="702">
                  <c:v>19.948</c:v>
                </c:pt>
                <c:pt idx="703">
                  <c:v>19.948</c:v>
                </c:pt>
                <c:pt idx="704">
                  <c:v>19.948</c:v>
                </c:pt>
                <c:pt idx="705">
                  <c:v>20.042999999999999</c:v>
                </c:pt>
                <c:pt idx="706">
                  <c:v>20.042999999999999</c:v>
                </c:pt>
                <c:pt idx="707">
                  <c:v>20.042999999999999</c:v>
                </c:pt>
                <c:pt idx="708">
                  <c:v>20.042999999999999</c:v>
                </c:pt>
                <c:pt idx="709">
                  <c:v>20.042999999999999</c:v>
                </c:pt>
                <c:pt idx="710">
                  <c:v>20.042999999999999</c:v>
                </c:pt>
                <c:pt idx="711">
                  <c:v>20.138000000000009</c:v>
                </c:pt>
                <c:pt idx="712">
                  <c:v>20.138000000000009</c:v>
                </c:pt>
                <c:pt idx="713">
                  <c:v>20.138000000000009</c:v>
                </c:pt>
                <c:pt idx="714">
                  <c:v>20.042999999999999</c:v>
                </c:pt>
                <c:pt idx="715">
                  <c:v>20.042999999999999</c:v>
                </c:pt>
                <c:pt idx="716">
                  <c:v>20.042999999999999</c:v>
                </c:pt>
                <c:pt idx="717">
                  <c:v>20.042999999999999</c:v>
                </c:pt>
                <c:pt idx="718">
                  <c:v>20.042999999999999</c:v>
                </c:pt>
                <c:pt idx="719">
                  <c:v>20.042999999999999</c:v>
                </c:pt>
                <c:pt idx="720">
                  <c:v>20.042999999999999</c:v>
                </c:pt>
                <c:pt idx="721">
                  <c:v>20.042999999999999</c:v>
                </c:pt>
                <c:pt idx="722">
                  <c:v>20.042999999999999</c:v>
                </c:pt>
                <c:pt idx="723">
                  <c:v>20.042999999999999</c:v>
                </c:pt>
                <c:pt idx="724">
                  <c:v>19.948</c:v>
                </c:pt>
                <c:pt idx="725">
                  <c:v>19.948</c:v>
                </c:pt>
                <c:pt idx="726">
                  <c:v>19.948</c:v>
                </c:pt>
                <c:pt idx="727">
                  <c:v>19.948</c:v>
                </c:pt>
                <c:pt idx="728">
                  <c:v>19.948</c:v>
                </c:pt>
                <c:pt idx="729">
                  <c:v>19.853000000000009</c:v>
                </c:pt>
                <c:pt idx="730">
                  <c:v>19.853000000000009</c:v>
                </c:pt>
                <c:pt idx="731">
                  <c:v>19.853000000000009</c:v>
                </c:pt>
                <c:pt idx="732">
                  <c:v>19.853000000000009</c:v>
                </c:pt>
                <c:pt idx="733">
                  <c:v>19.853000000000009</c:v>
                </c:pt>
                <c:pt idx="734">
                  <c:v>19.853000000000009</c:v>
                </c:pt>
                <c:pt idx="735">
                  <c:v>19.757999999999999</c:v>
                </c:pt>
                <c:pt idx="736">
                  <c:v>19.757999999999999</c:v>
                </c:pt>
                <c:pt idx="737">
                  <c:v>19.757999999999999</c:v>
                </c:pt>
                <c:pt idx="738">
                  <c:v>19.757999999999999</c:v>
                </c:pt>
                <c:pt idx="739">
                  <c:v>19.757999999999999</c:v>
                </c:pt>
                <c:pt idx="740">
                  <c:v>19.757999999999999</c:v>
                </c:pt>
                <c:pt idx="741">
                  <c:v>19.661999999999999</c:v>
                </c:pt>
                <c:pt idx="742">
                  <c:v>19.757999999999999</c:v>
                </c:pt>
                <c:pt idx="743">
                  <c:v>19.661999999999999</c:v>
                </c:pt>
                <c:pt idx="744">
                  <c:v>19.661999999999999</c:v>
                </c:pt>
                <c:pt idx="745">
                  <c:v>19.757999999999999</c:v>
                </c:pt>
                <c:pt idx="746">
                  <c:v>19.757999999999999</c:v>
                </c:pt>
                <c:pt idx="747">
                  <c:v>19.757999999999999</c:v>
                </c:pt>
                <c:pt idx="748">
                  <c:v>19.757999999999999</c:v>
                </c:pt>
                <c:pt idx="749">
                  <c:v>19.757999999999999</c:v>
                </c:pt>
                <c:pt idx="750">
                  <c:v>19.757999999999999</c:v>
                </c:pt>
                <c:pt idx="751">
                  <c:v>19.757999999999999</c:v>
                </c:pt>
                <c:pt idx="752">
                  <c:v>19.757999999999999</c:v>
                </c:pt>
                <c:pt idx="753">
                  <c:v>19.853000000000009</c:v>
                </c:pt>
                <c:pt idx="754">
                  <c:v>19.853000000000009</c:v>
                </c:pt>
                <c:pt idx="755">
                  <c:v>19.853000000000009</c:v>
                </c:pt>
                <c:pt idx="756">
                  <c:v>19.853000000000009</c:v>
                </c:pt>
                <c:pt idx="757">
                  <c:v>19.853000000000009</c:v>
                </c:pt>
                <c:pt idx="758">
                  <c:v>19.853000000000009</c:v>
                </c:pt>
                <c:pt idx="759">
                  <c:v>19.853000000000009</c:v>
                </c:pt>
                <c:pt idx="760">
                  <c:v>19.853000000000009</c:v>
                </c:pt>
                <c:pt idx="761">
                  <c:v>19.948</c:v>
                </c:pt>
                <c:pt idx="762">
                  <c:v>19.853000000000009</c:v>
                </c:pt>
                <c:pt idx="763">
                  <c:v>19.948</c:v>
                </c:pt>
                <c:pt idx="764">
                  <c:v>19.948</c:v>
                </c:pt>
                <c:pt idx="765">
                  <c:v>19.853000000000009</c:v>
                </c:pt>
                <c:pt idx="766">
                  <c:v>19.853000000000009</c:v>
                </c:pt>
                <c:pt idx="767">
                  <c:v>19.853000000000009</c:v>
                </c:pt>
                <c:pt idx="768">
                  <c:v>19.853000000000009</c:v>
                </c:pt>
                <c:pt idx="769">
                  <c:v>19.853000000000009</c:v>
                </c:pt>
                <c:pt idx="770">
                  <c:v>19.853000000000009</c:v>
                </c:pt>
                <c:pt idx="771">
                  <c:v>19.853000000000009</c:v>
                </c:pt>
                <c:pt idx="772">
                  <c:v>19.853000000000009</c:v>
                </c:pt>
                <c:pt idx="773">
                  <c:v>19.853000000000009</c:v>
                </c:pt>
                <c:pt idx="774">
                  <c:v>19.853000000000009</c:v>
                </c:pt>
                <c:pt idx="775">
                  <c:v>19.757999999999999</c:v>
                </c:pt>
                <c:pt idx="776">
                  <c:v>19.757999999999999</c:v>
                </c:pt>
                <c:pt idx="777">
                  <c:v>19.757999999999999</c:v>
                </c:pt>
                <c:pt idx="778">
                  <c:v>19.757999999999999</c:v>
                </c:pt>
                <c:pt idx="779">
                  <c:v>19.757999999999999</c:v>
                </c:pt>
                <c:pt idx="780">
                  <c:v>19.757999999999999</c:v>
                </c:pt>
                <c:pt idx="781">
                  <c:v>19.757999999999999</c:v>
                </c:pt>
                <c:pt idx="782">
                  <c:v>19.661999999999999</c:v>
                </c:pt>
                <c:pt idx="783">
                  <c:v>19.661999999999999</c:v>
                </c:pt>
                <c:pt idx="784">
                  <c:v>19.661999999999999</c:v>
                </c:pt>
                <c:pt idx="785">
                  <c:v>19.661999999999999</c:v>
                </c:pt>
                <c:pt idx="786">
                  <c:v>19.661999999999999</c:v>
                </c:pt>
                <c:pt idx="787">
                  <c:v>19.661999999999999</c:v>
                </c:pt>
                <c:pt idx="788">
                  <c:v>19.661999999999999</c:v>
                </c:pt>
                <c:pt idx="789">
                  <c:v>19.661999999999999</c:v>
                </c:pt>
                <c:pt idx="790">
                  <c:v>19.661999999999999</c:v>
                </c:pt>
                <c:pt idx="791">
                  <c:v>19.661999999999999</c:v>
                </c:pt>
                <c:pt idx="792">
                  <c:v>19.661999999999999</c:v>
                </c:pt>
                <c:pt idx="793">
                  <c:v>19.661999999999999</c:v>
                </c:pt>
                <c:pt idx="794">
                  <c:v>19.661999999999999</c:v>
                </c:pt>
                <c:pt idx="795">
                  <c:v>19.661999999999999</c:v>
                </c:pt>
                <c:pt idx="796">
                  <c:v>19.661999999999999</c:v>
                </c:pt>
                <c:pt idx="797">
                  <c:v>19.661999999999999</c:v>
                </c:pt>
                <c:pt idx="798">
                  <c:v>19.757999999999999</c:v>
                </c:pt>
                <c:pt idx="799">
                  <c:v>19.757999999999999</c:v>
                </c:pt>
                <c:pt idx="800">
                  <c:v>19.757999999999999</c:v>
                </c:pt>
                <c:pt idx="801">
                  <c:v>19.757999999999999</c:v>
                </c:pt>
                <c:pt idx="802">
                  <c:v>19.853000000000009</c:v>
                </c:pt>
                <c:pt idx="803">
                  <c:v>19.853000000000009</c:v>
                </c:pt>
                <c:pt idx="804">
                  <c:v>19.853000000000009</c:v>
                </c:pt>
                <c:pt idx="805">
                  <c:v>19.853000000000009</c:v>
                </c:pt>
                <c:pt idx="806">
                  <c:v>19.853000000000009</c:v>
                </c:pt>
                <c:pt idx="807">
                  <c:v>19.948</c:v>
                </c:pt>
                <c:pt idx="808">
                  <c:v>19.948</c:v>
                </c:pt>
                <c:pt idx="809">
                  <c:v>19.948</c:v>
                </c:pt>
                <c:pt idx="810">
                  <c:v>19.948</c:v>
                </c:pt>
                <c:pt idx="811">
                  <c:v>19.948</c:v>
                </c:pt>
                <c:pt idx="812">
                  <c:v>19.948</c:v>
                </c:pt>
                <c:pt idx="813">
                  <c:v>19.948</c:v>
                </c:pt>
                <c:pt idx="814">
                  <c:v>19.948</c:v>
                </c:pt>
                <c:pt idx="815">
                  <c:v>19.948</c:v>
                </c:pt>
                <c:pt idx="816">
                  <c:v>19.948</c:v>
                </c:pt>
                <c:pt idx="817">
                  <c:v>19.948</c:v>
                </c:pt>
                <c:pt idx="818">
                  <c:v>19.948</c:v>
                </c:pt>
                <c:pt idx="819">
                  <c:v>19.853000000000009</c:v>
                </c:pt>
                <c:pt idx="820">
                  <c:v>19.853000000000009</c:v>
                </c:pt>
                <c:pt idx="821">
                  <c:v>19.853000000000009</c:v>
                </c:pt>
                <c:pt idx="822">
                  <c:v>19.853000000000009</c:v>
                </c:pt>
                <c:pt idx="823">
                  <c:v>19.853000000000009</c:v>
                </c:pt>
                <c:pt idx="824">
                  <c:v>19.853000000000009</c:v>
                </c:pt>
                <c:pt idx="825">
                  <c:v>19.853000000000009</c:v>
                </c:pt>
                <c:pt idx="826">
                  <c:v>19.853000000000009</c:v>
                </c:pt>
                <c:pt idx="827">
                  <c:v>19.757999999999999</c:v>
                </c:pt>
                <c:pt idx="828">
                  <c:v>19.757999999999999</c:v>
                </c:pt>
                <c:pt idx="829">
                  <c:v>19.757999999999999</c:v>
                </c:pt>
                <c:pt idx="830">
                  <c:v>19.757999999999999</c:v>
                </c:pt>
                <c:pt idx="831">
                  <c:v>19.757999999999999</c:v>
                </c:pt>
                <c:pt idx="832">
                  <c:v>19.757999999999999</c:v>
                </c:pt>
                <c:pt idx="833">
                  <c:v>19.757999999999999</c:v>
                </c:pt>
                <c:pt idx="834">
                  <c:v>19.757999999999999</c:v>
                </c:pt>
                <c:pt idx="835">
                  <c:v>19.757999999999999</c:v>
                </c:pt>
                <c:pt idx="836">
                  <c:v>19.757999999999999</c:v>
                </c:pt>
                <c:pt idx="837">
                  <c:v>19.757999999999999</c:v>
                </c:pt>
                <c:pt idx="838">
                  <c:v>19.757999999999999</c:v>
                </c:pt>
                <c:pt idx="839">
                  <c:v>19.757999999999999</c:v>
                </c:pt>
                <c:pt idx="840">
                  <c:v>19.757999999999999</c:v>
                </c:pt>
                <c:pt idx="841">
                  <c:v>19.757999999999999</c:v>
                </c:pt>
                <c:pt idx="842">
                  <c:v>19.757999999999999</c:v>
                </c:pt>
                <c:pt idx="843">
                  <c:v>19.853000000000009</c:v>
                </c:pt>
                <c:pt idx="844">
                  <c:v>19.757999999999999</c:v>
                </c:pt>
                <c:pt idx="845">
                  <c:v>19.853000000000009</c:v>
                </c:pt>
                <c:pt idx="846">
                  <c:v>19.853000000000009</c:v>
                </c:pt>
                <c:pt idx="847">
                  <c:v>19.853000000000009</c:v>
                </c:pt>
                <c:pt idx="848">
                  <c:v>19.948</c:v>
                </c:pt>
                <c:pt idx="849">
                  <c:v>19.948</c:v>
                </c:pt>
                <c:pt idx="850">
                  <c:v>19.948</c:v>
                </c:pt>
                <c:pt idx="851">
                  <c:v>19.948</c:v>
                </c:pt>
                <c:pt idx="852">
                  <c:v>19.948</c:v>
                </c:pt>
                <c:pt idx="853">
                  <c:v>20.042999999999999</c:v>
                </c:pt>
                <c:pt idx="854">
                  <c:v>20.042999999999999</c:v>
                </c:pt>
                <c:pt idx="855">
                  <c:v>20.042999999999999</c:v>
                </c:pt>
                <c:pt idx="856">
                  <c:v>20.042999999999999</c:v>
                </c:pt>
                <c:pt idx="857">
                  <c:v>20.042999999999999</c:v>
                </c:pt>
                <c:pt idx="858">
                  <c:v>20.042999999999999</c:v>
                </c:pt>
                <c:pt idx="859">
                  <c:v>20.042999999999999</c:v>
                </c:pt>
                <c:pt idx="860">
                  <c:v>20.042999999999999</c:v>
                </c:pt>
                <c:pt idx="861">
                  <c:v>20.042999999999999</c:v>
                </c:pt>
                <c:pt idx="862">
                  <c:v>20.042999999999999</c:v>
                </c:pt>
                <c:pt idx="863">
                  <c:v>20.042999999999999</c:v>
                </c:pt>
                <c:pt idx="864">
                  <c:v>20.042999999999999</c:v>
                </c:pt>
                <c:pt idx="865">
                  <c:v>20.042999999999999</c:v>
                </c:pt>
                <c:pt idx="866">
                  <c:v>20.042999999999999</c:v>
                </c:pt>
                <c:pt idx="867">
                  <c:v>20.042999999999999</c:v>
                </c:pt>
                <c:pt idx="868">
                  <c:v>19.948</c:v>
                </c:pt>
                <c:pt idx="869">
                  <c:v>19.948</c:v>
                </c:pt>
                <c:pt idx="870">
                  <c:v>19.948</c:v>
                </c:pt>
                <c:pt idx="871">
                  <c:v>19.948</c:v>
                </c:pt>
                <c:pt idx="872">
                  <c:v>19.948</c:v>
                </c:pt>
                <c:pt idx="873">
                  <c:v>19.948</c:v>
                </c:pt>
                <c:pt idx="874">
                  <c:v>19.948</c:v>
                </c:pt>
                <c:pt idx="875">
                  <c:v>19.948</c:v>
                </c:pt>
                <c:pt idx="876">
                  <c:v>19.853000000000009</c:v>
                </c:pt>
                <c:pt idx="877">
                  <c:v>19.853000000000009</c:v>
                </c:pt>
                <c:pt idx="878">
                  <c:v>19.853000000000009</c:v>
                </c:pt>
                <c:pt idx="879">
                  <c:v>19.853000000000009</c:v>
                </c:pt>
                <c:pt idx="880">
                  <c:v>19.853000000000009</c:v>
                </c:pt>
                <c:pt idx="881">
                  <c:v>19.853000000000009</c:v>
                </c:pt>
                <c:pt idx="882">
                  <c:v>19.853000000000009</c:v>
                </c:pt>
                <c:pt idx="883">
                  <c:v>19.757999999999999</c:v>
                </c:pt>
                <c:pt idx="884">
                  <c:v>19.757999999999999</c:v>
                </c:pt>
                <c:pt idx="885">
                  <c:v>19.757999999999999</c:v>
                </c:pt>
                <c:pt idx="886">
                  <c:v>19.757999999999999</c:v>
                </c:pt>
                <c:pt idx="887">
                  <c:v>19.757999999999999</c:v>
                </c:pt>
                <c:pt idx="888">
                  <c:v>19.757999999999999</c:v>
                </c:pt>
                <c:pt idx="889">
                  <c:v>19.757999999999999</c:v>
                </c:pt>
                <c:pt idx="890">
                  <c:v>19.853000000000009</c:v>
                </c:pt>
                <c:pt idx="891">
                  <c:v>19.853000000000009</c:v>
                </c:pt>
                <c:pt idx="892">
                  <c:v>19.853000000000009</c:v>
                </c:pt>
                <c:pt idx="893">
                  <c:v>19.853000000000009</c:v>
                </c:pt>
                <c:pt idx="894">
                  <c:v>19.853000000000009</c:v>
                </c:pt>
                <c:pt idx="895">
                  <c:v>19.948</c:v>
                </c:pt>
                <c:pt idx="896">
                  <c:v>19.948</c:v>
                </c:pt>
                <c:pt idx="897">
                  <c:v>19.948</c:v>
                </c:pt>
                <c:pt idx="898">
                  <c:v>19.948</c:v>
                </c:pt>
                <c:pt idx="899">
                  <c:v>20.042999999999999</c:v>
                </c:pt>
                <c:pt idx="900">
                  <c:v>20.042999999999999</c:v>
                </c:pt>
                <c:pt idx="901">
                  <c:v>20.042999999999999</c:v>
                </c:pt>
                <c:pt idx="902">
                  <c:v>20.042999999999999</c:v>
                </c:pt>
                <c:pt idx="903">
                  <c:v>20.042999999999999</c:v>
                </c:pt>
                <c:pt idx="904">
                  <c:v>20.042999999999999</c:v>
                </c:pt>
                <c:pt idx="905">
                  <c:v>20.042999999999999</c:v>
                </c:pt>
                <c:pt idx="906">
                  <c:v>20.042999999999999</c:v>
                </c:pt>
                <c:pt idx="907">
                  <c:v>20.042999999999999</c:v>
                </c:pt>
                <c:pt idx="908">
                  <c:v>20.042999999999999</c:v>
                </c:pt>
                <c:pt idx="909">
                  <c:v>20.042999999999999</c:v>
                </c:pt>
                <c:pt idx="910">
                  <c:v>20.042999999999999</c:v>
                </c:pt>
                <c:pt idx="911">
                  <c:v>20.042999999999999</c:v>
                </c:pt>
                <c:pt idx="912">
                  <c:v>20.042999999999999</c:v>
                </c:pt>
                <c:pt idx="913">
                  <c:v>20.042999999999999</c:v>
                </c:pt>
                <c:pt idx="914">
                  <c:v>20.042999999999999</c:v>
                </c:pt>
                <c:pt idx="915">
                  <c:v>20.042999999999999</c:v>
                </c:pt>
                <c:pt idx="916">
                  <c:v>20.042999999999999</c:v>
                </c:pt>
                <c:pt idx="917">
                  <c:v>20.042999999999999</c:v>
                </c:pt>
                <c:pt idx="918">
                  <c:v>19.948</c:v>
                </c:pt>
                <c:pt idx="919">
                  <c:v>19.948</c:v>
                </c:pt>
                <c:pt idx="920">
                  <c:v>19.948</c:v>
                </c:pt>
                <c:pt idx="921">
                  <c:v>19.948</c:v>
                </c:pt>
                <c:pt idx="922">
                  <c:v>19.948</c:v>
                </c:pt>
                <c:pt idx="923">
                  <c:v>19.948</c:v>
                </c:pt>
                <c:pt idx="924">
                  <c:v>19.948</c:v>
                </c:pt>
                <c:pt idx="925">
                  <c:v>19.948</c:v>
                </c:pt>
                <c:pt idx="926">
                  <c:v>19.853000000000009</c:v>
                </c:pt>
                <c:pt idx="927">
                  <c:v>19.853000000000009</c:v>
                </c:pt>
                <c:pt idx="928">
                  <c:v>19.853000000000009</c:v>
                </c:pt>
                <c:pt idx="929">
                  <c:v>19.853000000000009</c:v>
                </c:pt>
                <c:pt idx="930">
                  <c:v>19.853000000000009</c:v>
                </c:pt>
                <c:pt idx="931">
                  <c:v>19.853000000000009</c:v>
                </c:pt>
                <c:pt idx="932">
                  <c:v>19.853000000000009</c:v>
                </c:pt>
                <c:pt idx="933">
                  <c:v>19.853000000000009</c:v>
                </c:pt>
                <c:pt idx="934">
                  <c:v>19.853000000000009</c:v>
                </c:pt>
                <c:pt idx="935">
                  <c:v>19.853000000000009</c:v>
                </c:pt>
                <c:pt idx="936">
                  <c:v>19.853000000000009</c:v>
                </c:pt>
                <c:pt idx="937">
                  <c:v>19.853000000000009</c:v>
                </c:pt>
                <c:pt idx="938">
                  <c:v>19.853000000000009</c:v>
                </c:pt>
                <c:pt idx="939">
                  <c:v>19.853000000000009</c:v>
                </c:pt>
                <c:pt idx="940">
                  <c:v>19.853000000000009</c:v>
                </c:pt>
                <c:pt idx="941">
                  <c:v>19.948</c:v>
                </c:pt>
                <c:pt idx="942">
                  <c:v>19.948</c:v>
                </c:pt>
                <c:pt idx="943">
                  <c:v>19.948</c:v>
                </c:pt>
                <c:pt idx="944">
                  <c:v>19.948</c:v>
                </c:pt>
                <c:pt idx="945">
                  <c:v>19.948</c:v>
                </c:pt>
                <c:pt idx="946">
                  <c:v>20.042999999999999</c:v>
                </c:pt>
                <c:pt idx="947">
                  <c:v>20.042999999999999</c:v>
                </c:pt>
                <c:pt idx="948">
                  <c:v>20.042999999999999</c:v>
                </c:pt>
                <c:pt idx="949">
                  <c:v>20.042999999999999</c:v>
                </c:pt>
                <c:pt idx="950">
                  <c:v>20.042999999999999</c:v>
                </c:pt>
                <c:pt idx="951">
                  <c:v>20.042999999999999</c:v>
                </c:pt>
                <c:pt idx="952">
                  <c:v>20.042999999999999</c:v>
                </c:pt>
                <c:pt idx="953">
                  <c:v>20.042999999999999</c:v>
                </c:pt>
                <c:pt idx="954">
                  <c:v>20.042999999999999</c:v>
                </c:pt>
                <c:pt idx="955">
                  <c:v>20.042999999999999</c:v>
                </c:pt>
                <c:pt idx="956">
                  <c:v>20.042999999999999</c:v>
                </c:pt>
                <c:pt idx="957">
                  <c:v>20.042999999999999</c:v>
                </c:pt>
                <c:pt idx="958">
                  <c:v>20.042999999999999</c:v>
                </c:pt>
                <c:pt idx="959">
                  <c:v>19.948</c:v>
                </c:pt>
                <c:pt idx="960">
                  <c:v>19.948</c:v>
                </c:pt>
                <c:pt idx="961">
                  <c:v>19.948</c:v>
                </c:pt>
                <c:pt idx="962">
                  <c:v>19.948</c:v>
                </c:pt>
                <c:pt idx="963">
                  <c:v>19.948</c:v>
                </c:pt>
                <c:pt idx="964">
                  <c:v>19.948</c:v>
                </c:pt>
                <c:pt idx="965">
                  <c:v>19.853000000000009</c:v>
                </c:pt>
                <c:pt idx="966">
                  <c:v>19.853000000000009</c:v>
                </c:pt>
                <c:pt idx="967">
                  <c:v>19.853000000000009</c:v>
                </c:pt>
                <c:pt idx="968">
                  <c:v>19.853000000000009</c:v>
                </c:pt>
                <c:pt idx="969">
                  <c:v>19.757999999999999</c:v>
                </c:pt>
                <c:pt idx="970">
                  <c:v>19.757999999999999</c:v>
                </c:pt>
                <c:pt idx="971">
                  <c:v>19.757999999999999</c:v>
                </c:pt>
                <c:pt idx="972">
                  <c:v>19.757999999999999</c:v>
                </c:pt>
                <c:pt idx="973">
                  <c:v>19.757999999999999</c:v>
                </c:pt>
                <c:pt idx="974">
                  <c:v>19.757999999999999</c:v>
                </c:pt>
                <c:pt idx="975">
                  <c:v>19.661999999999999</c:v>
                </c:pt>
                <c:pt idx="976">
                  <c:v>19.661999999999999</c:v>
                </c:pt>
                <c:pt idx="977">
                  <c:v>19.661999999999999</c:v>
                </c:pt>
                <c:pt idx="978">
                  <c:v>19.661999999999999</c:v>
                </c:pt>
                <c:pt idx="979">
                  <c:v>19.661999999999999</c:v>
                </c:pt>
                <c:pt idx="980">
                  <c:v>19.661999999999999</c:v>
                </c:pt>
                <c:pt idx="981">
                  <c:v>19.567</c:v>
                </c:pt>
                <c:pt idx="982">
                  <c:v>19.567</c:v>
                </c:pt>
                <c:pt idx="983">
                  <c:v>19.567</c:v>
                </c:pt>
                <c:pt idx="984">
                  <c:v>19.567</c:v>
                </c:pt>
                <c:pt idx="985">
                  <c:v>19.567</c:v>
                </c:pt>
                <c:pt idx="986">
                  <c:v>19.567</c:v>
                </c:pt>
                <c:pt idx="987">
                  <c:v>19.567</c:v>
                </c:pt>
                <c:pt idx="988">
                  <c:v>19.661999999999999</c:v>
                </c:pt>
                <c:pt idx="989">
                  <c:v>19.661999999999999</c:v>
                </c:pt>
                <c:pt idx="990">
                  <c:v>19.661999999999999</c:v>
                </c:pt>
                <c:pt idx="991">
                  <c:v>19.661999999999999</c:v>
                </c:pt>
                <c:pt idx="992">
                  <c:v>19.661999999999999</c:v>
                </c:pt>
                <c:pt idx="993">
                  <c:v>19.661999999999999</c:v>
                </c:pt>
                <c:pt idx="994">
                  <c:v>19.661999999999999</c:v>
                </c:pt>
                <c:pt idx="995">
                  <c:v>19.757999999999999</c:v>
                </c:pt>
                <c:pt idx="996">
                  <c:v>19.757999999999999</c:v>
                </c:pt>
                <c:pt idx="997">
                  <c:v>19.757999999999999</c:v>
                </c:pt>
                <c:pt idx="998">
                  <c:v>19.757999999999999</c:v>
                </c:pt>
                <c:pt idx="999">
                  <c:v>19.757999999999999</c:v>
                </c:pt>
                <c:pt idx="1000">
                  <c:v>19.757999999999999</c:v>
                </c:pt>
                <c:pt idx="1001">
                  <c:v>19.661999999999999</c:v>
                </c:pt>
                <c:pt idx="1002">
                  <c:v>19.757999999999999</c:v>
                </c:pt>
                <c:pt idx="1003">
                  <c:v>19.661999999999999</c:v>
                </c:pt>
                <c:pt idx="1004">
                  <c:v>19.661999999999999</c:v>
                </c:pt>
                <c:pt idx="1005">
                  <c:v>19.661999999999999</c:v>
                </c:pt>
                <c:pt idx="1006">
                  <c:v>19.661999999999999</c:v>
                </c:pt>
                <c:pt idx="1007">
                  <c:v>19.661999999999999</c:v>
                </c:pt>
                <c:pt idx="1008">
                  <c:v>19.661999999999999</c:v>
                </c:pt>
                <c:pt idx="1009">
                  <c:v>19.661999999999999</c:v>
                </c:pt>
                <c:pt idx="1010">
                  <c:v>19.661999999999999</c:v>
                </c:pt>
                <c:pt idx="1011">
                  <c:v>19.567</c:v>
                </c:pt>
                <c:pt idx="1012">
                  <c:v>19.567</c:v>
                </c:pt>
                <c:pt idx="1013">
                  <c:v>19.567</c:v>
                </c:pt>
                <c:pt idx="1014">
                  <c:v>19.567</c:v>
                </c:pt>
                <c:pt idx="1015">
                  <c:v>19.567</c:v>
                </c:pt>
                <c:pt idx="1016">
                  <c:v>19.567</c:v>
                </c:pt>
                <c:pt idx="1017">
                  <c:v>19.567</c:v>
                </c:pt>
                <c:pt idx="1018">
                  <c:v>19.567</c:v>
                </c:pt>
                <c:pt idx="1019">
                  <c:v>19.472000000000001</c:v>
                </c:pt>
                <c:pt idx="1020">
                  <c:v>19.472000000000001</c:v>
                </c:pt>
                <c:pt idx="1021">
                  <c:v>19.472000000000001</c:v>
                </c:pt>
                <c:pt idx="1022">
                  <c:v>19.472000000000001</c:v>
                </c:pt>
                <c:pt idx="1023">
                  <c:v>19.472000000000001</c:v>
                </c:pt>
                <c:pt idx="1024">
                  <c:v>19.472000000000001</c:v>
                </c:pt>
                <c:pt idx="1025">
                  <c:v>19.376999999999999</c:v>
                </c:pt>
                <c:pt idx="1026">
                  <c:v>19.376999999999999</c:v>
                </c:pt>
                <c:pt idx="1027">
                  <c:v>19.376999999999999</c:v>
                </c:pt>
                <c:pt idx="1028">
                  <c:v>19.376999999999999</c:v>
                </c:pt>
                <c:pt idx="1029">
                  <c:v>19.376999999999999</c:v>
                </c:pt>
                <c:pt idx="1030">
                  <c:v>19.376999999999999</c:v>
                </c:pt>
                <c:pt idx="1031">
                  <c:v>19.376999999999999</c:v>
                </c:pt>
                <c:pt idx="1032">
                  <c:v>19.376999999999999</c:v>
                </c:pt>
                <c:pt idx="1033">
                  <c:v>19.376999999999999</c:v>
                </c:pt>
                <c:pt idx="1034">
                  <c:v>19.376999999999999</c:v>
                </c:pt>
                <c:pt idx="1035">
                  <c:v>19.376999999999999</c:v>
                </c:pt>
                <c:pt idx="1036">
                  <c:v>19.376999999999999</c:v>
                </c:pt>
                <c:pt idx="1037">
                  <c:v>19.376999999999999</c:v>
                </c:pt>
                <c:pt idx="1038">
                  <c:v>19.472000000000001</c:v>
                </c:pt>
                <c:pt idx="1039">
                  <c:v>19.472000000000001</c:v>
                </c:pt>
                <c:pt idx="1040">
                  <c:v>19.472000000000001</c:v>
                </c:pt>
                <c:pt idx="1041">
                  <c:v>19.472000000000001</c:v>
                </c:pt>
                <c:pt idx="1042">
                  <c:v>19.472000000000001</c:v>
                </c:pt>
                <c:pt idx="1043">
                  <c:v>19.567</c:v>
                </c:pt>
                <c:pt idx="1044">
                  <c:v>19.567</c:v>
                </c:pt>
                <c:pt idx="1045">
                  <c:v>19.567</c:v>
                </c:pt>
                <c:pt idx="1046">
                  <c:v>19.567</c:v>
                </c:pt>
                <c:pt idx="1047">
                  <c:v>19.567</c:v>
                </c:pt>
                <c:pt idx="1048">
                  <c:v>19.567</c:v>
                </c:pt>
                <c:pt idx="1049">
                  <c:v>19.567</c:v>
                </c:pt>
                <c:pt idx="1050">
                  <c:v>19.567</c:v>
                </c:pt>
                <c:pt idx="1051">
                  <c:v>19.567</c:v>
                </c:pt>
                <c:pt idx="1052">
                  <c:v>19.567</c:v>
                </c:pt>
                <c:pt idx="1053">
                  <c:v>19.567</c:v>
                </c:pt>
                <c:pt idx="1054">
                  <c:v>19.567</c:v>
                </c:pt>
                <c:pt idx="1055">
                  <c:v>19.567</c:v>
                </c:pt>
                <c:pt idx="1056">
                  <c:v>19.472000000000001</c:v>
                </c:pt>
                <c:pt idx="1057">
                  <c:v>19.472000000000001</c:v>
                </c:pt>
                <c:pt idx="1058">
                  <c:v>19.472000000000001</c:v>
                </c:pt>
                <c:pt idx="1059">
                  <c:v>19.472000000000001</c:v>
                </c:pt>
                <c:pt idx="1060">
                  <c:v>19.472000000000001</c:v>
                </c:pt>
                <c:pt idx="1061">
                  <c:v>19.472000000000001</c:v>
                </c:pt>
                <c:pt idx="1062">
                  <c:v>19.472000000000001</c:v>
                </c:pt>
                <c:pt idx="1063">
                  <c:v>19.472000000000001</c:v>
                </c:pt>
                <c:pt idx="1064">
                  <c:v>19.376999999999999</c:v>
                </c:pt>
                <c:pt idx="1065">
                  <c:v>19.376999999999999</c:v>
                </c:pt>
                <c:pt idx="1066">
                  <c:v>19.376999999999999</c:v>
                </c:pt>
                <c:pt idx="1067">
                  <c:v>19.376999999999999</c:v>
                </c:pt>
                <c:pt idx="1068">
                  <c:v>19.376999999999999</c:v>
                </c:pt>
                <c:pt idx="1069">
                  <c:v>19.376999999999999</c:v>
                </c:pt>
                <c:pt idx="1070">
                  <c:v>19.376999999999999</c:v>
                </c:pt>
                <c:pt idx="1071">
                  <c:v>19.376999999999999</c:v>
                </c:pt>
                <c:pt idx="1072">
                  <c:v>19.376999999999999</c:v>
                </c:pt>
                <c:pt idx="1073">
                  <c:v>19.282</c:v>
                </c:pt>
                <c:pt idx="1074">
                  <c:v>19.282</c:v>
                </c:pt>
                <c:pt idx="1075">
                  <c:v>19.282</c:v>
                </c:pt>
                <c:pt idx="1076">
                  <c:v>19.282</c:v>
                </c:pt>
                <c:pt idx="1077">
                  <c:v>19.282</c:v>
                </c:pt>
                <c:pt idx="1078">
                  <c:v>19.282</c:v>
                </c:pt>
                <c:pt idx="1079">
                  <c:v>19.282</c:v>
                </c:pt>
                <c:pt idx="1080">
                  <c:v>19.282</c:v>
                </c:pt>
                <c:pt idx="1081">
                  <c:v>19.282</c:v>
                </c:pt>
                <c:pt idx="1082">
                  <c:v>19.282</c:v>
                </c:pt>
                <c:pt idx="1083">
                  <c:v>19.376999999999999</c:v>
                </c:pt>
                <c:pt idx="1084">
                  <c:v>19.376999999999999</c:v>
                </c:pt>
                <c:pt idx="1085">
                  <c:v>19.376999999999999</c:v>
                </c:pt>
                <c:pt idx="1086">
                  <c:v>19.376999999999999</c:v>
                </c:pt>
                <c:pt idx="1087">
                  <c:v>19.376999999999999</c:v>
                </c:pt>
                <c:pt idx="1088">
                  <c:v>19.472000000000001</c:v>
                </c:pt>
                <c:pt idx="1089">
                  <c:v>19.472000000000001</c:v>
                </c:pt>
                <c:pt idx="1090">
                  <c:v>19.472000000000001</c:v>
                </c:pt>
                <c:pt idx="1091">
                  <c:v>19.472000000000001</c:v>
                </c:pt>
                <c:pt idx="1092">
                  <c:v>19.567</c:v>
                </c:pt>
                <c:pt idx="1093">
                  <c:v>19.567</c:v>
                </c:pt>
                <c:pt idx="1094">
                  <c:v>19.567</c:v>
                </c:pt>
                <c:pt idx="1095">
                  <c:v>19.567</c:v>
                </c:pt>
                <c:pt idx="1096">
                  <c:v>19.567</c:v>
                </c:pt>
                <c:pt idx="1097">
                  <c:v>19.567</c:v>
                </c:pt>
                <c:pt idx="1098">
                  <c:v>19.567</c:v>
                </c:pt>
                <c:pt idx="1099">
                  <c:v>19.567</c:v>
                </c:pt>
                <c:pt idx="1100">
                  <c:v>19.567</c:v>
                </c:pt>
                <c:pt idx="1101">
                  <c:v>19.567</c:v>
                </c:pt>
                <c:pt idx="1102">
                  <c:v>19.567</c:v>
                </c:pt>
                <c:pt idx="1103">
                  <c:v>19.567</c:v>
                </c:pt>
                <c:pt idx="1104">
                  <c:v>19.567</c:v>
                </c:pt>
                <c:pt idx="1105">
                  <c:v>19.567</c:v>
                </c:pt>
                <c:pt idx="1106">
                  <c:v>19.567</c:v>
                </c:pt>
                <c:pt idx="1107">
                  <c:v>19.567</c:v>
                </c:pt>
                <c:pt idx="1108">
                  <c:v>19.472000000000001</c:v>
                </c:pt>
                <c:pt idx="1109">
                  <c:v>19.567</c:v>
                </c:pt>
                <c:pt idx="1110">
                  <c:v>19.472000000000001</c:v>
                </c:pt>
                <c:pt idx="1111">
                  <c:v>19.472000000000001</c:v>
                </c:pt>
                <c:pt idx="1112">
                  <c:v>19.472000000000001</c:v>
                </c:pt>
                <c:pt idx="1113">
                  <c:v>19.472000000000001</c:v>
                </c:pt>
                <c:pt idx="1114">
                  <c:v>19.472000000000001</c:v>
                </c:pt>
                <c:pt idx="1115">
                  <c:v>19.472000000000001</c:v>
                </c:pt>
                <c:pt idx="1116">
                  <c:v>19.472000000000001</c:v>
                </c:pt>
                <c:pt idx="1117">
                  <c:v>19.472000000000001</c:v>
                </c:pt>
                <c:pt idx="1118">
                  <c:v>19.472000000000001</c:v>
                </c:pt>
                <c:pt idx="1119">
                  <c:v>19.472000000000001</c:v>
                </c:pt>
                <c:pt idx="1120">
                  <c:v>19.472000000000001</c:v>
                </c:pt>
                <c:pt idx="1121">
                  <c:v>19.472000000000001</c:v>
                </c:pt>
                <c:pt idx="1122">
                  <c:v>19.376999999999999</c:v>
                </c:pt>
                <c:pt idx="1123">
                  <c:v>19.376999999999999</c:v>
                </c:pt>
                <c:pt idx="1124">
                  <c:v>19.376999999999999</c:v>
                </c:pt>
                <c:pt idx="1125">
                  <c:v>19.376999999999999</c:v>
                </c:pt>
                <c:pt idx="1126">
                  <c:v>19.376999999999999</c:v>
                </c:pt>
                <c:pt idx="1127">
                  <c:v>19.376999999999999</c:v>
                </c:pt>
                <c:pt idx="1128">
                  <c:v>19.376999999999999</c:v>
                </c:pt>
                <c:pt idx="1129">
                  <c:v>19.472000000000001</c:v>
                </c:pt>
                <c:pt idx="1130">
                  <c:v>19.472000000000001</c:v>
                </c:pt>
                <c:pt idx="1131">
                  <c:v>19.472000000000001</c:v>
                </c:pt>
                <c:pt idx="1132">
                  <c:v>19.472000000000001</c:v>
                </c:pt>
                <c:pt idx="1133">
                  <c:v>19.472000000000001</c:v>
                </c:pt>
                <c:pt idx="1134">
                  <c:v>19.567</c:v>
                </c:pt>
                <c:pt idx="1135">
                  <c:v>19.567</c:v>
                </c:pt>
                <c:pt idx="1136">
                  <c:v>19.567</c:v>
                </c:pt>
                <c:pt idx="1137">
                  <c:v>19.567</c:v>
                </c:pt>
                <c:pt idx="1138">
                  <c:v>19.661999999999999</c:v>
                </c:pt>
                <c:pt idx="1139">
                  <c:v>19.661999999999999</c:v>
                </c:pt>
                <c:pt idx="1140">
                  <c:v>19.661999999999999</c:v>
                </c:pt>
                <c:pt idx="1141">
                  <c:v>19.661999999999999</c:v>
                </c:pt>
                <c:pt idx="1142">
                  <c:v>19.661999999999999</c:v>
                </c:pt>
                <c:pt idx="1143">
                  <c:v>19.757999999999999</c:v>
                </c:pt>
                <c:pt idx="1144">
                  <c:v>19.757999999999999</c:v>
                </c:pt>
                <c:pt idx="1145">
                  <c:v>19.757999999999999</c:v>
                </c:pt>
                <c:pt idx="1146">
                  <c:v>19.757999999999999</c:v>
                </c:pt>
                <c:pt idx="1147">
                  <c:v>19.757999999999999</c:v>
                </c:pt>
                <c:pt idx="1148">
                  <c:v>19.757999999999999</c:v>
                </c:pt>
                <c:pt idx="1149">
                  <c:v>19.757999999999999</c:v>
                </c:pt>
                <c:pt idx="1150">
                  <c:v>19.757999999999999</c:v>
                </c:pt>
                <c:pt idx="1151">
                  <c:v>19.757999999999999</c:v>
                </c:pt>
                <c:pt idx="1152">
                  <c:v>19.661999999999999</c:v>
                </c:pt>
                <c:pt idx="1153">
                  <c:v>19.661999999999999</c:v>
                </c:pt>
                <c:pt idx="1154">
                  <c:v>19.661999999999999</c:v>
                </c:pt>
                <c:pt idx="1155">
                  <c:v>19.661999999999999</c:v>
                </c:pt>
                <c:pt idx="1156">
                  <c:v>19.661999999999999</c:v>
                </c:pt>
                <c:pt idx="1157">
                  <c:v>19.661999999999999</c:v>
                </c:pt>
                <c:pt idx="1158">
                  <c:v>19.661999999999999</c:v>
                </c:pt>
                <c:pt idx="1159">
                  <c:v>19.661999999999999</c:v>
                </c:pt>
                <c:pt idx="1160">
                  <c:v>19.567</c:v>
                </c:pt>
                <c:pt idx="1161">
                  <c:v>19.567</c:v>
                </c:pt>
                <c:pt idx="1162">
                  <c:v>19.567</c:v>
                </c:pt>
                <c:pt idx="1163">
                  <c:v>19.567</c:v>
                </c:pt>
                <c:pt idx="1164">
                  <c:v>19.567</c:v>
                </c:pt>
                <c:pt idx="1165">
                  <c:v>19.567</c:v>
                </c:pt>
                <c:pt idx="1166">
                  <c:v>19.567</c:v>
                </c:pt>
                <c:pt idx="1167">
                  <c:v>19.567</c:v>
                </c:pt>
                <c:pt idx="1168">
                  <c:v>19.472000000000001</c:v>
                </c:pt>
                <c:pt idx="1169">
                  <c:v>19.472000000000001</c:v>
                </c:pt>
                <c:pt idx="1170">
                  <c:v>19.472000000000001</c:v>
                </c:pt>
                <c:pt idx="1171">
                  <c:v>19.472000000000001</c:v>
                </c:pt>
                <c:pt idx="1172">
                  <c:v>19.472000000000001</c:v>
                </c:pt>
                <c:pt idx="1173">
                  <c:v>19.472000000000001</c:v>
                </c:pt>
                <c:pt idx="1174">
                  <c:v>19.472000000000001</c:v>
                </c:pt>
                <c:pt idx="1175">
                  <c:v>19.472000000000001</c:v>
                </c:pt>
                <c:pt idx="1176">
                  <c:v>19.472000000000001</c:v>
                </c:pt>
                <c:pt idx="1177">
                  <c:v>19.472000000000001</c:v>
                </c:pt>
                <c:pt idx="1178">
                  <c:v>19.472000000000001</c:v>
                </c:pt>
                <c:pt idx="1179">
                  <c:v>19.472000000000001</c:v>
                </c:pt>
                <c:pt idx="1180">
                  <c:v>19.567</c:v>
                </c:pt>
                <c:pt idx="1181">
                  <c:v>19.567</c:v>
                </c:pt>
                <c:pt idx="1182">
                  <c:v>19.567</c:v>
                </c:pt>
                <c:pt idx="1183">
                  <c:v>19.567</c:v>
                </c:pt>
                <c:pt idx="1184">
                  <c:v>19.661999999999999</c:v>
                </c:pt>
                <c:pt idx="1185">
                  <c:v>19.661999999999999</c:v>
                </c:pt>
                <c:pt idx="1186">
                  <c:v>19.661999999999999</c:v>
                </c:pt>
                <c:pt idx="1187">
                  <c:v>19.661999999999999</c:v>
                </c:pt>
                <c:pt idx="1188">
                  <c:v>19.757999999999999</c:v>
                </c:pt>
                <c:pt idx="1189">
                  <c:v>19.757999999999999</c:v>
                </c:pt>
                <c:pt idx="1190">
                  <c:v>19.757999999999999</c:v>
                </c:pt>
                <c:pt idx="1191">
                  <c:v>19.757999999999999</c:v>
                </c:pt>
                <c:pt idx="1192">
                  <c:v>19.757999999999999</c:v>
                </c:pt>
                <c:pt idx="1193">
                  <c:v>19.757999999999999</c:v>
                </c:pt>
                <c:pt idx="1194">
                  <c:v>19.757999999999999</c:v>
                </c:pt>
                <c:pt idx="1195">
                  <c:v>19.757999999999999</c:v>
                </c:pt>
                <c:pt idx="1196">
                  <c:v>19.757999999999999</c:v>
                </c:pt>
                <c:pt idx="1197">
                  <c:v>19.757999999999999</c:v>
                </c:pt>
                <c:pt idx="1198">
                  <c:v>19.757999999999999</c:v>
                </c:pt>
                <c:pt idx="1199">
                  <c:v>19.757999999999999</c:v>
                </c:pt>
                <c:pt idx="1200">
                  <c:v>19.757999999999999</c:v>
                </c:pt>
                <c:pt idx="1201">
                  <c:v>19.757999999999999</c:v>
                </c:pt>
                <c:pt idx="1202">
                  <c:v>19.757999999999999</c:v>
                </c:pt>
                <c:pt idx="1203">
                  <c:v>19.757999999999999</c:v>
                </c:pt>
                <c:pt idx="1204">
                  <c:v>19.661999999999999</c:v>
                </c:pt>
                <c:pt idx="1205">
                  <c:v>19.661999999999999</c:v>
                </c:pt>
                <c:pt idx="1206">
                  <c:v>19.661999999999999</c:v>
                </c:pt>
                <c:pt idx="1207">
                  <c:v>19.661999999999999</c:v>
                </c:pt>
                <c:pt idx="1208">
                  <c:v>19.661999999999999</c:v>
                </c:pt>
                <c:pt idx="1209">
                  <c:v>19.661999999999999</c:v>
                </c:pt>
                <c:pt idx="1210">
                  <c:v>19.661999999999999</c:v>
                </c:pt>
                <c:pt idx="1211">
                  <c:v>19.567</c:v>
                </c:pt>
                <c:pt idx="1212">
                  <c:v>19.567</c:v>
                </c:pt>
                <c:pt idx="1213">
                  <c:v>19.567</c:v>
                </c:pt>
                <c:pt idx="1214">
                  <c:v>19.567</c:v>
                </c:pt>
                <c:pt idx="1215">
                  <c:v>19.567</c:v>
                </c:pt>
                <c:pt idx="1216">
                  <c:v>19.567</c:v>
                </c:pt>
                <c:pt idx="1217">
                  <c:v>19.472000000000001</c:v>
                </c:pt>
                <c:pt idx="1218">
                  <c:v>19.472000000000001</c:v>
                </c:pt>
                <c:pt idx="1219">
                  <c:v>19.472000000000001</c:v>
                </c:pt>
                <c:pt idx="1220">
                  <c:v>19.472000000000001</c:v>
                </c:pt>
                <c:pt idx="1221">
                  <c:v>19.472000000000001</c:v>
                </c:pt>
                <c:pt idx="1222">
                  <c:v>19.472000000000001</c:v>
                </c:pt>
                <c:pt idx="1223">
                  <c:v>19.472000000000001</c:v>
                </c:pt>
                <c:pt idx="1224">
                  <c:v>19.472000000000001</c:v>
                </c:pt>
                <c:pt idx="1225">
                  <c:v>19.472000000000001</c:v>
                </c:pt>
                <c:pt idx="1226">
                  <c:v>19.567</c:v>
                </c:pt>
                <c:pt idx="1227">
                  <c:v>19.567</c:v>
                </c:pt>
                <c:pt idx="1228">
                  <c:v>19.567</c:v>
                </c:pt>
                <c:pt idx="1229">
                  <c:v>19.567</c:v>
                </c:pt>
                <c:pt idx="1230">
                  <c:v>19.567</c:v>
                </c:pt>
                <c:pt idx="1231">
                  <c:v>19.661999999999999</c:v>
                </c:pt>
                <c:pt idx="1232">
                  <c:v>19.661999999999999</c:v>
                </c:pt>
                <c:pt idx="1233">
                  <c:v>19.661999999999999</c:v>
                </c:pt>
                <c:pt idx="1234">
                  <c:v>19.661999999999999</c:v>
                </c:pt>
                <c:pt idx="1235">
                  <c:v>19.757999999999999</c:v>
                </c:pt>
                <c:pt idx="1236">
                  <c:v>19.757999999999999</c:v>
                </c:pt>
                <c:pt idx="1237">
                  <c:v>19.757999999999999</c:v>
                </c:pt>
                <c:pt idx="1238">
                  <c:v>19.757999999999999</c:v>
                </c:pt>
                <c:pt idx="1239">
                  <c:v>19.757999999999999</c:v>
                </c:pt>
                <c:pt idx="1240">
                  <c:v>19.757999999999999</c:v>
                </c:pt>
                <c:pt idx="1241">
                  <c:v>19.757999999999999</c:v>
                </c:pt>
                <c:pt idx="1242">
                  <c:v>19.853000000000009</c:v>
                </c:pt>
                <c:pt idx="1243">
                  <c:v>19.853000000000009</c:v>
                </c:pt>
                <c:pt idx="1244">
                  <c:v>19.853000000000009</c:v>
                </c:pt>
                <c:pt idx="1245">
                  <c:v>19.853000000000009</c:v>
                </c:pt>
                <c:pt idx="1246">
                  <c:v>19.757999999999999</c:v>
                </c:pt>
                <c:pt idx="1247">
                  <c:v>19.757999999999999</c:v>
                </c:pt>
                <c:pt idx="1248">
                  <c:v>19.757999999999999</c:v>
                </c:pt>
                <c:pt idx="1249">
                  <c:v>19.757999999999999</c:v>
                </c:pt>
                <c:pt idx="1250">
                  <c:v>19.757999999999999</c:v>
                </c:pt>
                <c:pt idx="1251">
                  <c:v>19.757999999999999</c:v>
                </c:pt>
                <c:pt idx="1252">
                  <c:v>19.757999999999999</c:v>
                </c:pt>
                <c:pt idx="1253">
                  <c:v>19.757999999999999</c:v>
                </c:pt>
                <c:pt idx="1254">
                  <c:v>19.661999999999999</c:v>
                </c:pt>
                <c:pt idx="1255">
                  <c:v>19.661999999999999</c:v>
                </c:pt>
                <c:pt idx="1256">
                  <c:v>19.661999999999999</c:v>
                </c:pt>
                <c:pt idx="1257">
                  <c:v>19.661999999999999</c:v>
                </c:pt>
                <c:pt idx="1258">
                  <c:v>19.661999999999999</c:v>
                </c:pt>
                <c:pt idx="1259">
                  <c:v>19.661999999999999</c:v>
                </c:pt>
                <c:pt idx="1260">
                  <c:v>19.661999999999999</c:v>
                </c:pt>
                <c:pt idx="1261">
                  <c:v>19.567</c:v>
                </c:pt>
                <c:pt idx="1262">
                  <c:v>19.567</c:v>
                </c:pt>
                <c:pt idx="1263">
                  <c:v>19.567</c:v>
                </c:pt>
                <c:pt idx="1264">
                  <c:v>19.567</c:v>
                </c:pt>
                <c:pt idx="1265">
                  <c:v>19.567</c:v>
                </c:pt>
                <c:pt idx="1266">
                  <c:v>19.567</c:v>
                </c:pt>
                <c:pt idx="1267">
                  <c:v>19.567</c:v>
                </c:pt>
                <c:pt idx="1268">
                  <c:v>19.472000000000001</c:v>
                </c:pt>
                <c:pt idx="1269">
                  <c:v>19.472000000000001</c:v>
                </c:pt>
                <c:pt idx="1270">
                  <c:v>19.472000000000001</c:v>
                </c:pt>
                <c:pt idx="1271">
                  <c:v>19.472000000000001</c:v>
                </c:pt>
                <c:pt idx="1272">
                  <c:v>19.472000000000001</c:v>
                </c:pt>
                <c:pt idx="1273">
                  <c:v>19.567</c:v>
                </c:pt>
                <c:pt idx="1274">
                  <c:v>19.567</c:v>
                </c:pt>
                <c:pt idx="1275">
                  <c:v>19.567</c:v>
                </c:pt>
                <c:pt idx="1276">
                  <c:v>19.567</c:v>
                </c:pt>
                <c:pt idx="1277">
                  <c:v>19.567</c:v>
                </c:pt>
                <c:pt idx="1278">
                  <c:v>19.661999999999999</c:v>
                </c:pt>
                <c:pt idx="1279">
                  <c:v>19.661999999999999</c:v>
                </c:pt>
                <c:pt idx="1280">
                  <c:v>19.661999999999999</c:v>
                </c:pt>
                <c:pt idx="1281">
                  <c:v>19.661999999999999</c:v>
                </c:pt>
                <c:pt idx="1282">
                  <c:v>19.757999999999999</c:v>
                </c:pt>
                <c:pt idx="1283">
                  <c:v>19.757999999999999</c:v>
                </c:pt>
                <c:pt idx="1284">
                  <c:v>19.757999999999999</c:v>
                </c:pt>
                <c:pt idx="1285">
                  <c:v>19.757999999999999</c:v>
                </c:pt>
                <c:pt idx="1286">
                  <c:v>19.757999999999999</c:v>
                </c:pt>
                <c:pt idx="1287">
                  <c:v>19.853000000000009</c:v>
                </c:pt>
                <c:pt idx="1288">
                  <c:v>19.853000000000009</c:v>
                </c:pt>
                <c:pt idx="1289">
                  <c:v>19.853000000000009</c:v>
                </c:pt>
                <c:pt idx="1290">
                  <c:v>19.853000000000009</c:v>
                </c:pt>
                <c:pt idx="1291">
                  <c:v>19.853000000000009</c:v>
                </c:pt>
                <c:pt idx="1292">
                  <c:v>19.853000000000009</c:v>
                </c:pt>
                <c:pt idx="1293">
                  <c:v>19.853000000000009</c:v>
                </c:pt>
                <c:pt idx="1294">
                  <c:v>19.853000000000009</c:v>
                </c:pt>
                <c:pt idx="1295">
                  <c:v>19.853000000000009</c:v>
                </c:pt>
                <c:pt idx="1296">
                  <c:v>19.853000000000009</c:v>
                </c:pt>
                <c:pt idx="1297">
                  <c:v>19.853000000000009</c:v>
                </c:pt>
                <c:pt idx="1298">
                  <c:v>19.853000000000009</c:v>
                </c:pt>
                <c:pt idx="1299">
                  <c:v>19.757999999999999</c:v>
                </c:pt>
                <c:pt idx="1300">
                  <c:v>19.757999999999999</c:v>
                </c:pt>
                <c:pt idx="1301">
                  <c:v>19.757999999999999</c:v>
                </c:pt>
                <c:pt idx="1302">
                  <c:v>19.757999999999999</c:v>
                </c:pt>
                <c:pt idx="1303">
                  <c:v>19.757999999999999</c:v>
                </c:pt>
                <c:pt idx="1304">
                  <c:v>19.757999999999999</c:v>
                </c:pt>
                <c:pt idx="1305">
                  <c:v>19.757999999999999</c:v>
                </c:pt>
                <c:pt idx="1306">
                  <c:v>19.661999999999999</c:v>
                </c:pt>
                <c:pt idx="1307">
                  <c:v>19.661999999999999</c:v>
                </c:pt>
                <c:pt idx="1308">
                  <c:v>19.661999999999999</c:v>
                </c:pt>
                <c:pt idx="1309">
                  <c:v>19.661999999999999</c:v>
                </c:pt>
                <c:pt idx="1310">
                  <c:v>19.661999999999999</c:v>
                </c:pt>
                <c:pt idx="1311">
                  <c:v>19.661999999999999</c:v>
                </c:pt>
                <c:pt idx="1312">
                  <c:v>19.567</c:v>
                </c:pt>
                <c:pt idx="1313">
                  <c:v>19.567</c:v>
                </c:pt>
                <c:pt idx="1314">
                  <c:v>19.567</c:v>
                </c:pt>
                <c:pt idx="1315">
                  <c:v>19.567</c:v>
                </c:pt>
                <c:pt idx="1316">
                  <c:v>19.567</c:v>
                </c:pt>
                <c:pt idx="1317">
                  <c:v>19.567</c:v>
                </c:pt>
                <c:pt idx="1318">
                  <c:v>19.567</c:v>
                </c:pt>
                <c:pt idx="1319">
                  <c:v>19.567</c:v>
                </c:pt>
                <c:pt idx="1320">
                  <c:v>19.567</c:v>
                </c:pt>
                <c:pt idx="1321">
                  <c:v>19.567</c:v>
                </c:pt>
                <c:pt idx="1322">
                  <c:v>19.567</c:v>
                </c:pt>
                <c:pt idx="1323">
                  <c:v>19.661999999999999</c:v>
                </c:pt>
                <c:pt idx="1324">
                  <c:v>19.661999999999999</c:v>
                </c:pt>
                <c:pt idx="1325">
                  <c:v>19.661999999999999</c:v>
                </c:pt>
                <c:pt idx="1326">
                  <c:v>19.661999999999999</c:v>
                </c:pt>
                <c:pt idx="1327">
                  <c:v>19.757999999999999</c:v>
                </c:pt>
                <c:pt idx="1328">
                  <c:v>19.757999999999999</c:v>
                </c:pt>
                <c:pt idx="1329">
                  <c:v>19.757999999999999</c:v>
                </c:pt>
                <c:pt idx="1330">
                  <c:v>19.757999999999999</c:v>
                </c:pt>
                <c:pt idx="1331">
                  <c:v>19.757999999999999</c:v>
                </c:pt>
                <c:pt idx="1332">
                  <c:v>19.853000000000009</c:v>
                </c:pt>
                <c:pt idx="1333">
                  <c:v>19.853000000000009</c:v>
                </c:pt>
                <c:pt idx="1334">
                  <c:v>19.853000000000009</c:v>
                </c:pt>
                <c:pt idx="1335">
                  <c:v>19.853000000000009</c:v>
                </c:pt>
                <c:pt idx="1336">
                  <c:v>19.853000000000009</c:v>
                </c:pt>
                <c:pt idx="1337">
                  <c:v>19.853000000000009</c:v>
                </c:pt>
                <c:pt idx="1338">
                  <c:v>19.853000000000009</c:v>
                </c:pt>
                <c:pt idx="1339">
                  <c:v>19.853000000000009</c:v>
                </c:pt>
                <c:pt idx="1340">
                  <c:v>19.853000000000009</c:v>
                </c:pt>
                <c:pt idx="1341">
                  <c:v>19.948</c:v>
                </c:pt>
                <c:pt idx="1342">
                  <c:v>19.853000000000009</c:v>
                </c:pt>
                <c:pt idx="1343">
                  <c:v>19.853000000000009</c:v>
                </c:pt>
                <c:pt idx="1344">
                  <c:v>19.853000000000009</c:v>
                </c:pt>
                <c:pt idx="1345">
                  <c:v>19.853000000000009</c:v>
                </c:pt>
                <c:pt idx="1346">
                  <c:v>19.853000000000009</c:v>
                </c:pt>
                <c:pt idx="1347">
                  <c:v>19.853000000000009</c:v>
                </c:pt>
                <c:pt idx="1348">
                  <c:v>19.853000000000009</c:v>
                </c:pt>
                <c:pt idx="1349">
                  <c:v>19.853000000000009</c:v>
                </c:pt>
                <c:pt idx="1350">
                  <c:v>19.853000000000009</c:v>
                </c:pt>
                <c:pt idx="1351">
                  <c:v>19.853000000000009</c:v>
                </c:pt>
                <c:pt idx="1352">
                  <c:v>19.853000000000009</c:v>
                </c:pt>
                <c:pt idx="1353">
                  <c:v>19.853000000000009</c:v>
                </c:pt>
                <c:pt idx="1354">
                  <c:v>19.853000000000009</c:v>
                </c:pt>
                <c:pt idx="1355">
                  <c:v>19.757999999999999</c:v>
                </c:pt>
                <c:pt idx="1356">
                  <c:v>19.757999999999999</c:v>
                </c:pt>
                <c:pt idx="1357">
                  <c:v>19.757999999999999</c:v>
                </c:pt>
                <c:pt idx="1358">
                  <c:v>19.757999999999999</c:v>
                </c:pt>
                <c:pt idx="1359">
                  <c:v>19.757999999999999</c:v>
                </c:pt>
                <c:pt idx="1360">
                  <c:v>19.757999999999999</c:v>
                </c:pt>
                <c:pt idx="1361">
                  <c:v>19.757999999999999</c:v>
                </c:pt>
                <c:pt idx="1362">
                  <c:v>19.757999999999999</c:v>
                </c:pt>
                <c:pt idx="1363">
                  <c:v>19.757999999999999</c:v>
                </c:pt>
                <c:pt idx="1364">
                  <c:v>19.757999999999999</c:v>
                </c:pt>
                <c:pt idx="1365">
                  <c:v>19.757999999999999</c:v>
                </c:pt>
                <c:pt idx="1366">
                  <c:v>19.757999999999999</c:v>
                </c:pt>
                <c:pt idx="1367">
                  <c:v>19.757999999999999</c:v>
                </c:pt>
                <c:pt idx="1368">
                  <c:v>19.757999999999999</c:v>
                </c:pt>
                <c:pt idx="1369">
                  <c:v>19.757999999999999</c:v>
                </c:pt>
                <c:pt idx="1370">
                  <c:v>19.853000000000009</c:v>
                </c:pt>
                <c:pt idx="1371">
                  <c:v>19.853000000000009</c:v>
                </c:pt>
                <c:pt idx="1372">
                  <c:v>19.853000000000009</c:v>
                </c:pt>
                <c:pt idx="1373">
                  <c:v>19.853000000000009</c:v>
                </c:pt>
                <c:pt idx="1374">
                  <c:v>19.853000000000009</c:v>
                </c:pt>
                <c:pt idx="1375">
                  <c:v>19.948</c:v>
                </c:pt>
                <c:pt idx="1376">
                  <c:v>19.948</c:v>
                </c:pt>
                <c:pt idx="1377">
                  <c:v>19.948</c:v>
                </c:pt>
                <c:pt idx="1378">
                  <c:v>20.042999999999999</c:v>
                </c:pt>
                <c:pt idx="1379">
                  <c:v>20.042999999999999</c:v>
                </c:pt>
                <c:pt idx="1380">
                  <c:v>20.042999999999999</c:v>
                </c:pt>
                <c:pt idx="1381">
                  <c:v>20.042999999999999</c:v>
                </c:pt>
                <c:pt idx="1382">
                  <c:v>20.042999999999999</c:v>
                </c:pt>
                <c:pt idx="1383">
                  <c:v>20.138000000000009</c:v>
                </c:pt>
                <c:pt idx="1384">
                  <c:v>20.138000000000009</c:v>
                </c:pt>
                <c:pt idx="1385">
                  <c:v>20.138000000000009</c:v>
                </c:pt>
                <c:pt idx="1386">
                  <c:v>20.138000000000009</c:v>
                </c:pt>
                <c:pt idx="1387">
                  <c:v>20.138000000000009</c:v>
                </c:pt>
                <c:pt idx="1388">
                  <c:v>20.138000000000009</c:v>
                </c:pt>
                <c:pt idx="1389">
                  <c:v>20.138000000000009</c:v>
                </c:pt>
                <c:pt idx="1390">
                  <c:v>20.138000000000009</c:v>
                </c:pt>
                <c:pt idx="1391">
                  <c:v>20.138000000000009</c:v>
                </c:pt>
                <c:pt idx="1392">
                  <c:v>20.138000000000009</c:v>
                </c:pt>
                <c:pt idx="1393">
                  <c:v>20.042999999999999</c:v>
                </c:pt>
                <c:pt idx="1394">
                  <c:v>20.042999999999999</c:v>
                </c:pt>
                <c:pt idx="1395">
                  <c:v>20.042999999999999</c:v>
                </c:pt>
                <c:pt idx="1396">
                  <c:v>20.042999999999999</c:v>
                </c:pt>
                <c:pt idx="1397">
                  <c:v>20.042999999999999</c:v>
                </c:pt>
                <c:pt idx="1398">
                  <c:v>20.042999999999999</c:v>
                </c:pt>
                <c:pt idx="1399">
                  <c:v>20.042999999999999</c:v>
                </c:pt>
                <c:pt idx="1400">
                  <c:v>20.042999999999999</c:v>
                </c:pt>
                <c:pt idx="1401">
                  <c:v>20.042999999999999</c:v>
                </c:pt>
                <c:pt idx="1402">
                  <c:v>19.948</c:v>
                </c:pt>
                <c:pt idx="1403">
                  <c:v>19.948</c:v>
                </c:pt>
                <c:pt idx="1404">
                  <c:v>19.948</c:v>
                </c:pt>
                <c:pt idx="1405">
                  <c:v>19.948</c:v>
                </c:pt>
                <c:pt idx="1406">
                  <c:v>19.948</c:v>
                </c:pt>
                <c:pt idx="1407">
                  <c:v>19.948</c:v>
                </c:pt>
                <c:pt idx="1408">
                  <c:v>19.853000000000009</c:v>
                </c:pt>
                <c:pt idx="1409">
                  <c:v>19.853000000000009</c:v>
                </c:pt>
                <c:pt idx="1410">
                  <c:v>19.853000000000009</c:v>
                </c:pt>
                <c:pt idx="1411">
                  <c:v>19.853000000000009</c:v>
                </c:pt>
                <c:pt idx="1412">
                  <c:v>19.853000000000009</c:v>
                </c:pt>
                <c:pt idx="1413">
                  <c:v>19.853000000000009</c:v>
                </c:pt>
                <c:pt idx="1414">
                  <c:v>19.853000000000009</c:v>
                </c:pt>
                <c:pt idx="1415">
                  <c:v>19.853000000000009</c:v>
                </c:pt>
                <c:pt idx="1416">
                  <c:v>19.853000000000009</c:v>
                </c:pt>
                <c:pt idx="1417">
                  <c:v>19.853000000000009</c:v>
                </c:pt>
                <c:pt idx="1418">
                  <c:v>19.853000000000009</c:v>
                </c:pt>
                <c:pt idx="1419">
                  <c:v>19.853000000000009</c:v>
                </c:pt>
                <c:pt idx="1420">
                  <c:v>19.948</c:v>
                </c:pt>
                <c:pt idx="1421">
                  <c:v>19.948</c:v>
                </c:pt>
                <c:pt idx="1422">
                  <c:v>19.948</c:v>
                </c:pt>
                <c:pt idx="1423">
                  <c:v>19.948</c:v>
                </c:pt>
                <c:pt idx="1424">
                  <c:v>20.042999999999999</c:v>
                </c:pt>
                <c:pt idx="1425">
                  <c:v>20.042999999999999</c:v>
                </c:pt>
                <c:pt idx="1426">
                  <c:v>20.042999999999999</c:v>
                </c:pt>
                <c:pt idx="1427">
                  <c:v>20.042999999999999</c:v>
                </c:pt>
                <c:pt idx="1428">
                  <c:v>20.138000000000009</c:v>
                </c:pt>
                <c:pt idx="1429">
                  <c:v>20.138000000000009</c:v>
                </c:pt>
                <c:pt idx="1430">
                  <c:v>20.138000000000009</c:v>
                </c:pt>
                <c:pt idx="1431">
                  <c:v>20.138000000000009</c:v>
                </c:pt>
                <c:pt idx="1432">
                  <c:v>20.138000000000009</c:v>
                </c:pt>
                <c:pt idx="1433">
                  <c:v>20.234000000000009</c:v>
                </c:pt>
                <c:pt idx="1434">
                  <c:v>20.234000000000009</c:v>
                </c:pt>
                <c:pt idx="1435">
                  <c:v>20.234000000000009</c:v>
                </c:pt>
                <c:pt idx="1436">
                  <c:v>20.234000000000009</c:v>
                </c:pt>
                <c:pt idx="1437">
                  <c:v>20.234000000000009</c:v>
                </c:pt>
                <c:pt idx="1438">
                  <c:v>20.234000000000009</c:v>
                </c:pt>
                <c:pt idx="1439">
                  <c:v>20.234000000000009</c:v>
                </c:pt>
                <c:pt idx="1440">
                  <c:v>20.234000000000009</c:v>
                </c:pt>
                <c:pt idx="1441">
                  <c:v>20.138000000000009</c:v>
                </c:pt>
                <c:pt idx="1442">
                  <c:v>20.138000000000009</c:v>
                </c:pt>
                <c:pt idx="1443">
                  <c:v>20.138000000000009</c:v>
                </c:pt>
                <c:pt idx="1444">
                  <c:v>20.138000000000009</c:v>
                </c:pt>
                <c:pt idx="1445">
                  <c:v>20.138000000000009</c:v>
                </c:pt>
                <c:pt idx="1446">
                  <c:v>20.138000000000009</c:v>
                </c:pt>
                <c:pt idx="1447">
                  <c:v>20.138000000000009</c:v>
                </c:pt>
                <c:pt idx="1448">
                  <c:v>20.138000000000009</c:v>
                </c:pt>
                <c:pt idx="1449">
                  <c:v>20.042999999999999</c:v>
                </c:pt>
                <c:pt idx="1450">
                  <c:v>20.042999999999999</c:v>
                </c:pt>
                <c:pt idx="1451">
                  <c:v>20.042999999999999</c:v>
                </c:pt>
                <c:pt idx="1452">
                  <c:v>20.042999999999999</c:v>
                </c:pt>
                <c:pt idx="1453">
                  <c:v>20.042999999999999</c:v>
                </c:pt>
                <c:pt idx="1454">
                  <c:v>20.042999999999999</c:v>
                </c:pt>
                <c:pt idx="1455">
                  <c:v>19.948</c:v>
                </c:pt>
                <c:pt idx="1456">
                  <c:v>19.948</c:v>
                </c:pt>
                <c:pt idx="1457">
                  <c:v>19.948</c:v>
                </c:pt>
                <c:pt idx="1458">
                  <c:v>19.948</c:v>
                </c:pt>
                <c:pt idx="1459">
                  <c:v>19.948</c:v>
                </c:pt>
                <c:pt idx="1460">
                  <c:v>19.948</c:v>
                </c:pt>
                <c:pt idx="1461">
                  <c:v>19.948</c:v>
                </c:pt>
                <c:pt idx="1462">
                  <c:v>19.948</c:v>
                </c:pt>
                <c:pt idx="1463">
                  <c:v>19.948</c:v>
                </c:pt>
                <c:pt idx="1464">
                  <c:v>19.948</c:v>
                </c:pt>
                <c:pt idx="1465">
                  <c:v>19.948</c:v>
                </c:pt>
                <c:pt idx="1466">
                  <c:v>19.948</c:v>
                </c:pt>
                <c:pt idx="1467">
                  <c:v>19.948</c:v>
                </c:pt>
                <c:pt idx="1468">
                  <c:v>20.042999999999999</c:v>
                </c:pt>
                <c:pt idx="1469">
                  <c:v>20.042999999999999</c:v>
                </c:pt>
                <c:pt idx="1470">
                  <c:v>20.042999999999999</c:v>
                </c:pt>
                <c:pt idx="1471">
                  <c:v>20.042999999999999</c:v>
                </c:pt>
                <c:pt idx="1472">
                  <c:v>20.042999999999999</c:v>
                </c:pt>
                <c:pt idx="1473">
                  <c:v>20.138000000000009</c:v>
                </c:pt>
                <c:pt idx="1474">
                  <c:v>20.138000000000009</c:v>
                </c:pt>
                <c:pt idx="1475">
                  <c:v>20.138000000000009</c:v>
                </c:pt>
                <c:pt idx="1476">
                  <c:v>20.138000000000009</c:v>
                </c:pt>
                <c:pt idx="1477">
                  <c:v>20.234000000000009</c:v>
                </c:pt>
                <c:pt idx="1478">
                  <c:v>20.234000000000009</c:v>
                </c:pt>
                <c:pt idx="1479">
                  <c:v>20.234000000000009</c:v>
                </c:pt>
                <c:pt idx="1480">
                  <c:v>20.234000000000009</c:v>
                </c:pt>
                <c:pt idx="1481">
                  <c:v>20.234000000000009</c:v>
                </c:pt>
                <c:pt idx="1482">
                  <c:v>20.234000000000009</c:v>
                </c:pt>
                <c:pt idx="1483">
                  <c:v>20.234000000000009</c:v>
                </c:pt>
                <c:pt idx="1484">
                  <c:v>20.234000000000009</c:v>
                </c:pt>
                <c:pt idx="1485">
                  <c:v>20.234000000000009</c:v>
                </c:pt>
                <c:pt idx="1486">
                  <c:v>20.234000000000009</c:v>
                </c:pt>
                <c:pt idx="1487">
                  <c:v>20.234000000000009</c:v>
                </c:pt>
                <c:pt idx="1488">
                  <c:v>20.234000000000009</c:v>
                </c:pt>
                <c:pt idx="1489">
                  <c:v>20.234000000000009</c:v>
                </c:pt>
                <c:pt idx="1490">
                  <c:v>20.234000000000009</c:v>
                </c:pt>
                <c:pt idx="1491">
                  <c:v>20.234000000000009</c:v>
                </c:pt>
                <c:pt idx="1492">
                  <c:v>20.234000000000009</c:v>
                </c:pt>
                <c:pt idx="1493">
                  <c:v>20.234000000000009</c:v>
                </c:pt>
                <c:pt idx="1494">
                  <c:v>20.138000000000009</c:v>
                </c:pt>
                <c:pt idx="1495">
                  <c:v>20.138000000000009</c:v>
                </c:pt>
                <c:pt idx="1496">
                  <c:v>20.138000000000009</c:v>
                </c:pt>
                <c:pt idx="1497">
                  <c:v>20.138000000000009</c:v>
                </c:pt>
                <c:pt idx="1498">
                  <c:v>20.138000000000009</c:v>
                </c:pt>
                <c:pt idx="1499">
                  <c:v>20.138000000000009</c:v>
                </c:pt>
                <c:pt idx="1500">
                  <c:v>20.138000000000009</c:v>
                </c:pt>
                <c:pt idx="1501">
                  <c:v>20.138000000000009</c:v>
                </c:pt>
                <c:pt idx="1502">
                  <c:v>20.042999999999999</c:v>
                </c:pt>
                <c:pt idx="1503">
                  <c:v>20.042999999999999</c:v>
                </c:pt>
                <c:pt idx="1504">
                  <c:v>20.042999999999999</c:v>
                </c:pt>
                <c:pt idx="1505">
                  <c:v>20.042999999999999</c:v>
                </c:pt>
                <c:pt idx="1506">
                  <c:v>20.042999999999999</c:v>
                </c:pt>
                <c:pt idx="1507">
                  <c:v>20.042999999999999</c:v>
                </c:pt>
                <c:pt idx="1508">
                  <c:v>20.042999999999999</c:v>
                </c:pt>
                <c:pt idx="1509">
                  <c:v>20.042999999999999</c:v>
                </c:pt>
                <c:pt idx="1510">
                  <c:v>20.042999999999999</c:v>
                </c:pt>
                <c:pt idx="1511">
                  <c:v>20.042999999999999</c:v>
                </c:pt>
                <c:pt idx="1512">
                  <c:v>20.042999999999999</c:v>
                </c:pt>
                <c:pt idx="1513">
                  <c:v>20.042999999999999</c:v>
                </c:pt>
                <c:pt idx="1514">
                  <c:v>20.042999999999999</c:v>
                </c:pt>
                <c:pt idx="1515">
                  <c:v>20.042999999999999</c:v>
                </c:pt>
                <c:pt idx="1516">
                  <c:v>20.042999999999999</c:v>
                </c:pt>
                <c:pt idx="1517">
                  <c:v>20.042999999999999</c:v>
                </c:pt>
                <c:pt idx="1518">
                  <c:v>20.138000000000009</c:v>
                </c:pt>
                <c:pt idx="1519">
                  <c:v>20.138000000000009</c:v>
                </c:pt>
                <c:pt idx="1520">
                  <c:v>20.138000000000009</c:v>
                </c:pt>
                <c:pt idx="1521">
                  <c:v>20.138000000000009</c:v>
                </c:pt>
                <c:pt idx="1522">
                  <c:v>20.234000000000009</c:v>
                </c:pt>
                <c:pt idx="1523">
                  <c:v>20.234000000000009</c:v>
                </c:pt>
                <c:pt idx="1524">
                  <c:v>20.234000000000009</c:v>
                </c:pt>
                <c:pt idx="1525">
                  <c:v>20.234000000000009</c:v>
                </c:pt>
                <c:pt idx="1526">
                  <c:v>20.234000000000009</c:v>
                </c:pt>
                <c:pt idx="1527">
                  <c:v>20.329000000000001</c:v>
                </c:pt>
                <c:pt idx="1528">
                  <c:v>20.329000000000001</c:v>
                </c:pt>
                <c:pt idx="1529">
                  <c:v>20.329000000000001</c:v>
                </c:pt>
                <c:pt idx="1530">
                  <c:v>20.329000000000001</c:v>
                </c:pt>
                <c:pt idx="1531">
                  <c:v>20.329000000000001</c:v>
                </c:pt>
                <c:pt idx="1532">
                  <c:v>20.329000000000001</c:v>
                </c:pt>
                <c:pt idx="1533">
                  <c:v>20.329000000000001</c:v>
                </c:pt>
                <c:pt idx="1534">
                  <c:v>20.329000000000001</c:v>
                </c:pt>
                <c:pt idx="1535">
                  <c:v>20.329000000000001</c:v>
                </c:pt>
                <c:pt idx="1536">
                  <c:v>20.329000000000001</c:v>
                </c:pt>
                <c:pt idx="1537">
                  <c:v>20.329000000000001</c:v>
                </c:pt>
                <c:pt idx="1538">
                  <c:v>20.329000000000001</c:v>
                </c:pt>
                <c:pt idx="1539">
                  <c:v>20.329000000000001</c:v>
                </c:pt>
                <c:pt idx="1540">
                  <c:v>20.329000000000001</c:v>
                </c:pt>
                <c:pt idx="1541">
                  <c:v>20.234000000000009</c:v>
                </c:pt>
                <c:pt idx="1542">
                  <c:v>20.234000000000009</c:v>
                </c:pt>
                <c:pt idx="1543">
                  <c:v>20.234000000000009</c:v>
                </c:pt>
                <c:pt idx="1544">
                  <c:v>20.234000000000009</c:v>
                </c:pt>
                <c:pt idx="1545">
                  <c:v>20.234000000000009</c:v>
                </c:pt>
                <c:pt idx="1546">
                  <c:v>20.234000000000009</c:v>
                </c:pt>
                <c:pt idx="1547">
                  <c:v>20.138000000000009</c:v>
                </c:pt>
                <c:pt idx="1548">
                  <c:v>20.138000000000009</c:v>
                </c:pt>
                <c:pt idx="1549">
                  <c:v>20.138000000000009</c:v>
                </c:pt>
                <c:pt idx="1550">
                  <c:v>20.138000000000009</c:v>
                </c:pt>
                <c:pt idx="1551">
                  <c:v>20.138000000000009</c:v>
                </c:pt>
                <c:pt idx="1552">
                  <c:v>20.138000000000009</c:v>
                </c:pt>
                <c:pt idx="1553">
                  <c:v>20.138000000000009</c:v>
                </c:pt>
                <c:pt idx="1554">
                  <c:v>20.138000000000009</c:v>
                </c:pt>
                <c:pt idx="1555">
                  <c:v>20.138000000000009</c:v>
                </c:pt>
                <c:pt idx="1556">
                  <c:v>20.138000000000009</c:v>
                </c:pt>
                <c:pt idx="1557">
                  <c:v>20.042999999999999</c:v>
                </c:pt>
                <c:pt idx="1558">
                  <c:v>20.042999999999999</c:v>
                </c:pt>
                <c:pt idx="1559">
                  <c:v>20.042999999999999</c:v>
                </c:pt>
                <c:pt idx="1560">
                  <c:v>20.042999999999999</c:v>
                </c:pt>
                <c:pt idx="1561">
                  <c:v>20.138000000000009</c:v>
                </c:pt>
                <c:pt idx="1562">
                  <c:v>20.138000000000009</c:v>
                </c:pt>
                <c:pt idx="1563">
                  <c:v>20.138000000000009</c:v>
                </c:pt>
                <c:pt idx="1564">
                  <c:v>20.138000000000009</c:v>
                </c:pt>
                <c:pt idx="1565">
                  <c:v>20.138000000000009</c:v>
                </c:pt>
                <c:pt idx="1566">
                  <c:v>20.138000000000009</c:v>
                </c:pt>
                <c:pt idx="1567">
                  <c:v>20.234000000000009</c:v>
                </c:pt>
                <c:pt idx="1568">
                  <c:v>20.234000000000009</c:v>
                </c:pt>
                <c:pt idx="1569">
                  <c:v>20.234000000000009</c:v>
                </c:pt>
                <c:pt idx="1570">
                  <c:v>20.234000000000009</c:v>
                </c:pt>
                <c:pt idx="1571">
                  <c:v>20.329000000000001</c:v>
                </c:pt>
                <c:pt idx="1572">
                  <c:v>20.329000000000001</c:v>
                </c:pt>
                <c:pt idx="1573">
                  <c:v>20.329000000000001</c:v>
                </c:pt>
                <c:pt idx="1574">
                  <c:v>20.329000000000001</c:v>
                </c:pt>
                <c:pt idx="1575">
                  <c:v>20.329000000000001</c:v>
                </c:pt>
                <c:pt idx="1576">
                  <c:v>20.423999999999999</c:v>
                </c:pt>
                <c:pt idx="1577">
                  <c:v>20.423999999999999</c:v>
                </c:pt>
                <c:pt idx="1578">
                  <c:v>20.423999999999999</c:v>
                </c:pt>
                <c:pt idx="1579">
                  <c:v>20.423999999999999</c:v>
                </c:pt>
                <c:pt idx="1580">
                  <c:v>20.423999999999999</c:v>
                </c:pt>
                <c:pt idx="1581">
                  <c:v>20.423999999999999</c:v>
                </c:pt>
                <c:pt idx="1582">
                  <c:v>20.423999999999999</c:v>
                </c:pt>
                <c:pt idx="1583">
                  <c:v>20.423999999999999</c:v>
                </c:pt>
                <c:pt idx="1584">
                  <c:v>20.423999999999999</c:v>
                </c:pt>
                <c:pt idx="1585">
                  <c:v>20.423999999999999</c:v>
                </c:pt>
                <c:pt idx="1586">
                  <c:v>20.329000000000001</c:v>
                </c:pt>
                <c:pt idx="1587">
                  <c:v>20.329000000000001</c:v>
                </c:pt>
                <c:pt idx="1588">
                  <c:v>20.329000000000001</c:v>
                </c:pt>
                <c:pt idx="1589">
                  <c:v>20.329000000000001</c:v>
                </c:pt>
                <c:pt idx="1590">
                  <c:v>20.329000000000001</c:v>
                </c:pt>
                <c:pt idx="1591">
                  <c:v>20.329000000000001</c:v>
                </c:pt>
                <c:pt idx="1592">
                  <c:v>20.329000000000001</c:v>
                </c:pt>
                <c:pt idx="1593">
                  <c:v>20.329000000000001</c:v>
                </c:pt>
                <c:pt idx="1594">
                  <c:v>20.329000000000001</c:v>
                </c:pt>
                <c:pt idx="1595">
                  <c:v>20.234000000000009</c:v>
                </c:pt>
                <c:pt idx="1596">
                  <c:v>20.234000000000009</c:v>
                </c:pt>
                <c:pt idx="1597">
                  <c:v>20.234000000000009</c:v>
                </c:pt>
                <c:pt idx="1598">
                  <c:v>20.234000000000009</c:v>
                </c:pt>
                <c:pt idx="1599">
                  <c:v>20.234000000000009</c:v>
                </c:pt>
                <c:pt idx="1600">
                  <c:v>20.234000000000009</c:v>
                </c:pt>
                <c:pt idx="1601">
                  <c:v>20.234000000000009</c:v>
                </c:pt>
                <c:pt idx="1602">
                  <c:v>20.234000000000009</c:v>
                </c:pt>
                <c:pt idx="1603">
                  <c:v>20.138000000000009</c:v>
                </c:pt>
                <c:pt idx="1604">
                  <c:v>20.138000000000009</c:v>
                </c:pt>
                <c:pt idx="1605">
                  <c:v>20.138000000000009</c:v>
                </c:pt>
                <c:pt idx="1606">
                  <c:v>20.138000000000009</c:v>
                </c:pt>
                <c:pt idx="1607">
                  <c:v>20.138000000000009</c:v>
                </c:pt>
                <c:pt idx="1608">
                  <c:v>20.138000000000009</c:v>
                </c:pt>
                <c:pt idx="1609">
                  <c:v>20.138000000000009</c:v>
                </c:pt>
                <c:pt idx="1610">
                  <c:v>20.234000000000009</c:v>
                </c:pt>
                <c:pt idx="1611">
                  <c:v>20.234000000000009</c:v>
                </c:pt>
                <c:pt idx="1612">
                  <c:v>20.234000000000009</c:v>
                </c:pt>
                <c:pt idx="1613">
                  <c:v>20.234000000000009</c:v>
                </c:pt>
                <c:pt idx="1614">
                  <c:v>20.234000000000009</c:v>
                </c:pt>
                <c:pt idx="1615">
                  <c:v>20.234000000000009</c:v>
                </c:pt>
                <c:pt idx="1616">
                  <c:v>20.329000000000001</c:v>
                </c:pt>
                <c:pt idx="1617">
                  <c:v>20.329000000000001</c:v>
                </c:pt>
                <c:pt idx="1618">
                  <c:v>20.329000000000001</c:v>
                </c:pt>
                <c:pt idx="1619">
                  <c:v>20.329000000000001</c:v>
                </c:pt>
                <c:pt idx="1620">
                  <c:v>20.329000000000001</c:v>
                </c:pt>
                <c:pt idx="1621">
                  <c:v>20.423999999999999</c:v>
                </c:pt>
                <c:pt idx="1622">
                  <c:v>20.423999999999999</c:v>
                </c:pt>
                <c:pt idx="1623">
                  <c:v>20.423999999999999</c:v>
                </c:pt>
                <c:pt idx="1624">
                  <c:v>20.423999999999999</c:v>
                </c:pt>
                <c:pt idx="1625">
                  <c:v>20.423999999999999</c:v>
                </c:pt>
                <c:pt idx="1626">
                  <c:v>20.423999999999999</c:v>
                </c:pt>
                <c:pt idx="1627">
                  <c:v>20.423999999999999</c:v>
                </c:pt>
                <c:pt idx="1628">
                  <c:v>20.423999999999999</c:v>
                </c:pt>
                <c:pt idx="1629">
                  <c:v>20.423999999999999</c:v>
                </c:pt>
                <c:pt idx="1630">
                  <c:v>20.423999999999999</c:v>
                </c:pt>
                <c:pt idx="1631">
                  <c:v>20.423999999999999</c:v>
                </c:pt>
                <c:pt idx="1632">
                  <c:v>20.423999999999999</c:v>
                </c:pt>
                <c:pt idx="1633">
                  <c:v>20.423999999999999</c:v>
                </c:pt>
                <c:pt idx="1634">
                  <c:v>20.423999999999999</c:v>
                </c:pt>
                <c:pt idx="1635">
                  <c:v>20.423999999999999</c:v>
                </c:pt>
                <c:pt idx="1636">
                  <c:v>20.423999999999999</c:v>
                </c:pt>
                <c:pt idx="1637">
                  <c:v>20.423999999999999</c:v>
                </c:pt>
                <c:pt idx="1638">
                  <c:v>20.329000000000001</c:v>
                </c:pt>
                <c:pt idx="1639">
                  <c:v>20.329000000000001</c:v>
                </c:pt>
                <c:pt idx="1640">
                  <c:v>20.329000000000001</c:v>
                </c:pt>
                <c:pt idx="1641">
                  <c:v>20.329000000000001</c:v>
                </c:pt>
                <c:pt idx="1642">
                  <c:v>20.329000000000001</c:v>
                </c:pt>
                <c:pt idx="1643">
                  <c:v>20.329000000000001</c:v>
                </c:pt>
                <c:pt idx="1644">
                  <c:v>20.329000000000001</c:v>
                </c:pt>
                <c:pt idx="1645">
                  <c:v>20.234000000000009</c:v>
                </c:pt>
                <c:pt idx="1646">
                  <c:v>20.234000000000009</c:v>
                </c:pt>
                <c:pt idx="1647">
                  <c:v>20.234000000000009</c:v>
                </c:pt>
                <c:pt idx="1648">
                  <c:v>20.234000000000009</c:v>
                </c:pt>
                <c:pt idx="1649">
                  <c:v>20.234000000000009</c:v>
                </c:pt>
                <c:pt idx="1650">
                  <c:v>20.234000000000009</c:v>
                </c:pt>
                <c:pt idx="1651">
                  <c:v>20.234000000000009</c:v>
                </c:pt>
                <c:pt idx="1652">
                  <c:v>20.138000000000009</c:v>
                </c:pt>
                <c:pt idx="1653">
                  <c:v>20.234000000000009</c:v>
                </c:pt>
                <c:pt idx="1654">
                  <c:v>20.138000000000009</c:v>
                </c:pt>
                <c:pt idx="1655">
                  <c:v>20.138000000000009</c:v>
                </c:pt>
                <c:pt idx="1656">
                  <c:v>20.138000000000009</c:v>
                </c:pt>
                <c:pt idx="1657">
                  <c:v>20.138000000000009</c:v>
                </c:pt>
                <c:pt idx="1658">
                  <c:v>20.234000000000009</c:v>
                </c:pt>
                <c:pt idx="1659">
                  <c:v>20.234000000000009</c:v>
                </c:pt>
                <c:pt idx="1660">
                  <c:v>20.234000000000009</c:v>
                </c:pt>
                <c:pt idx="1661">
                  <c:v>20.234000000000009</c:v>
                </c:pt>
                <c:pt idx="1662">
                  <c:v>20.234000000000009</c:v>
                </c:pt>
                <c:pt idx="1663">
                  <c:v>20.329000000000001</c:v>
                </c:pt>
                <c:pt idx="1664">
                  <c:v>20.329000000000001</c:v>
                </c:pt>
                <c:pt idx="1665">
                  <c:v>20.329000000000001</c:v>
                </c:pt>
                <c:pt idx="1666">
                  <c:v>20.329000000000001</c:v>
                </c:pt>
                <c:pt idx="1667">
                  <c:v>20.329000000000001</c:v>
                </c:pt>
                <c:pt idx="1668">
                  <c:v>20.423999999999999</c:v>
                </c:pt>
                <c:pt idx="1669">
                  <c:v>20.423999999999999</c:v>
                </c:pt>
                <c:pt idx="1670">
                  <c:v>20.423999999999999</c:v>
                </c:pt>
                <c:pt idx="1671">
                  <c:v>20.423999999999999</c:v>
                </c:pt>
                <c:pt idx="1672">
                  <c:v>20.423999999999999</c:v>
                </c:pt>
                <c:pt idx="1673">
                  <c:v>20.423999999999999</c:v>
                </c:pt>
                <c:pt idx="1674">
                  <c:v>20.423999999999999</c:v>
                </c:pt>
                <c:pt idx="1675">
                  <c:v>20.423999999999999</c:v>
                </c:pt>
                <c:pt idx="1676">
                  <c:v>20.423999999999999</c:v>
                </c:pt>
                <c:pt idx="1677">
                  <c:v>20.423999999999999</c:v>
                </c:pt>
                <c:pt idx="1678">
                  <c:v>20.423999999999999</c:v>
                </c:pt>
                <c:pt idx="1679">
                  <c:v>20.423999999999999</c:v>
                </c:pt>
                <c:pt idx="1680">
                  <c:v>20.423999999999999</c:v>
                </c:pt>
                <c:pt idx="1681">
                  <c:v>20.423999999999999</c:v>
                </c:pt>
                <c:pt idx="1682">
                  <c:v>20.423999999999999</c:v>
                </c:pt>
                <c:pt idx="1683">
                  <c:v>20.423999999999999</c:v>
                </c:pt>
                <c:pt idx="1684">
                  <c:v>20.423999999999999</c:v>
                </c:pt>
                <c:pt idx="1685">
                  <c:v>20.423999999999999</c:v>
                </c:pt>
                <c:pt idx="1686">
                  <c:v>20.423999999999999</c:v>
                </c:pt>
                <c:pt idx="1687">
                  <c:v>20.329000000000001</c:v>
                </c:pt>
                <c:pt idx="1688">
                  <c:v>20.423999999999999</c:v>
                </c:pt>
                <c:pt idx="1689">
                  <c:v>20.329000000000001</c:v>
                </c:pt>
                <c:pt idx="1690">
                  <c:v>20.329000000000001</c:v>
                </c:pt>
                <c:pt idx="1691">
                  <c:v>20.329000000000001</c:v>
                </c:pt>
                <c:pt idx="1692">
                  <c:v>20.329000000000001</c:v>
                </c:pt>
                <c:pt idx="1693">
                  <c:v>20.329000000000001</c:v>
                </c:pt>
                <c:pt idx="1694">
                  <c:v>20.329000000000001</c:v>
                </c:pt>
                <c:pt idx="1695">
                  <c:v>20.329000000000001</c:v>
                </c:pt>
                <c:pt idx="1696">
                  <c:v>20.329000000000001</c:v>
                </c:pt>
                <c:pt idx="1697">
                  <c:v>20.234000000000009</c:v>
                </c:pt>
                <c:pt idx="1698">
                  <c:v>20.234000000000009</c:v>
                </c:pt>
                <c:pt idx="1699">
                  <c:v>20.234000000000009</c:v>
                </c:pt>
                <c:pt idx="1700">
                  <c:v>20.234000000000009</c:v>
                </c:pt>
                <c:pt idx="1701">
                  <c:v>20.234000000000009</c:v>
                </c:pt>
                <c:pt idx="1702">
                  <c:v>20.234000000000009</c:v>
                </c:pt>
                <c:pt idx="1703">
                  <c:v>20.234000000000009</c:v>
                </c:pt>
                <c:pt idx="1704">
                  <c:v>20.234000000000009</c:v>
                </c:pt>
                <c:pt idx="1705">
                  <c:v>20.234000000000009</c:v>
                </c:pt>
                <c:pt idx="1706">
                  <c:v>20.234000000000009</c:v>
                </c:pt>
                <c:pt idx="1707">
                  <c:v>20.234000000000009</c:v>
                </c:pt>
                <c:pt idx="1708">
                  <c:v>20.234000000000009</c:v>
                </c:pt>
                <c:pt idx="1709">
                  <c:v>20.234000000000009</c:v>
                </c:pt>
                <c:pt idx="1710">
                  <c:v>20.234000000000009</c:v>
                </c:pt>
                <c:pt idx="1711">
                  <c:v>20.329000000000001</c:v>
                </c:pt>
                <c:pt idx="1712">
                  <c:v>20.329000000000001</c:v>
                </c:pt>
                <c:pt idx="1713">
                  <c:v>20.329000000000001</c:v>
                </c:pt>
                <c:pt idx="1714">
                  <c:v>20.329000000000001</c:v>
                </c:pt>
                <c:pt idx="1715">
                  <c:v>20.329000000000001</c:v>
                </c:pt>
                <c:pt idx="1716">
                  <c:v>20.329000000000001</c:v>
                </c:pt>
                <c:pt idx="1717">
                  <c:v>20.329000000000001</c:v>
                </c:pt>
                <c:pt idx="1718">
                  <c:v>20.423999999999999</c:v>
                </c:pt>
                <c:pt idx="1719">
                  <c:v>20.423999999999999</c:v>
                </c:pt>
                <c:pt idx="1720">
                  <c:v>20.423999999999999</c:v>
                </c:pt>
                <c:pt idx="1721">
                  <c:v>20.423999999999999</c:v>
                </c:pt>
                <c:pt idx="1722">
                  <c:v>20.423999999999999</c:v>
                </c:pt>
                <c:pt idx="1723">
                  <c:v>20.423999999999999</c:v>
                </c:pt>
                <c:pt idx="1724">
                  <c:v>20.423999999999999</c:v>
                </c:pt>
                <c:pt idx="1725">
                  <c:v>20.423999999999999</c:v>
                </c:pt>
                <c:pt idx="1726">
                  <c:v>20.423999999999999</c:v>
                </c:pt>
                <c:pt idx="1727">
                  <c:v>20.423999999999999</c:v>
                </c:pt>
                <c:pt idx="1728">
                  <c:v>20.423999999999999</c:v>
                </c:pt>
                <c:pt idx="1729">
                  <c:v>20.423999999999999</c:v>
                </c:pt>
                <c:pt idx="1730">
                  <c:v>20.423999999999999</c:v>
                </c:pt>
                <c:pt idx="1731">
                  <c:v>20.423999999999999</c:v>
                </c:pt>
                <c:pt idx="1732">
                  <c:v>20.423999999999999</c:v>
                </c:pt>
                <c:pt idx="1733">
                  <c:v>20.423999999999999</c:v>
                </c:pt>
                <c:pt idx="1734">
                  <c:v>20.423999999999999</c:v>
                </c:pt>
                <c:pt idx="1735">
                  <c:v>20.423999999999999</c:v>
                </c:pt>
                <c:pt idx="1736">
                  <c:v>20.329000000000001</c:v>
                </c:pt>
                <c:pt idx="1737">
                  <c:v>20.329000000000001</c:v>
                </c:pt>
                <c:pt idx="1738">
                  <c:v>20.329000000000001</c:v>
                </c:pt>
                <c:pt idx="1739">
                  <c:v>20.329000000000001</c:v>
                </c:pt>
                <c:pt idx="1740">
                  <c:v>20.329000000000001</c:v>
                </c:pt>
                <c:pt idx="1741">
                  <c:v>20.329000000000001</c:v>
                </c:pt>
                <c:pt idx="1742">
                  <c:v>20.329000000000001</c:v>
                </c:pt>
                <c:pt idx="1743">
                  <c:v>20.329000000000001</c:v>
                </c:pt>
                <c:pt idx="1744">
                  <c:v>20.234000000000009</c:v>
                </c:pt>
                <c:pt idx="1745">
                  <c:v>20.234000000000009</c:v>
                </c:pt>
                <c:pt idx="1746">
                  <c:v>20.234000000000009</c:v>
                </c:pt>
                <c:pt idx="1747">
                  <c:v>20.234000000000009</c:v>
                </c:pt>
                <c:pt idx="1748">
                  <c:v>20.234000000000009</c:v>
                </c:pt>
                <c:pt idx="1749">
                  <c:v>20.234000000000009</c:v>
                </c:pt>
                <c:pt idx="1750">
                  <c:v>20.234000000000009</c:v>
                </c:pt>
                <c:pt idx="1751">
                  <c:v>20.234000000000009</c:v>
                </c:pt>
                <c:pt idx="1752">
                  <c:v>20.234000000000009</c:v>
                </c:pt>
                <c:pt idx="1753">
                  <c:v>20.234000000000009</c:v>
                </c:pt>
                <c:pt idx="1754">
                  <c:v>20.234000000000009</c:v>
                </c:pt>
                <c:pt idx="1755">
                  <c:v>20.234000000000009</c:v>
                </c:pt>
                <c:pt idx="1756">
                  <c:v>20.234000000000009</c:v>
                </c:pt>
                <c:pt idx="1757">
                  <c:v>20.329000000000001</c:v>
                </c:pt>
                <c:pt idx="1758">
                  <c:v>20.329000000000001</c:v>
                </c:pt>
                <c:pt idx="1759">
                  <c:v>20.329000000000001</c:v>
                </c:pt>
                <c:pt idx="1760">
                  <c:v>20.329000000000001</c:v>
                </c:pt>
                <c:pt idx="1761">
                  <c:v>20.329000000000001</c:v>
                </c:pt>
                <c:pt idx="1762">
                  <c:v>20.329000000000001</c:v>
                </c:pt>
                <c:pt idx="1763">
                  <c:v>20.423999999999999</c:v>
                </c:pt>
                <c:pt idx="1764">
                  <c:v>20.423999999999999</c:v>
                </c:pt>
                <c:pt idx="1765">
                  <c:v>20.423999999999999</c:v>
                </c:pt>
                <c:pt idx="1766">
                  <c:v>20.423999999999999</c:v>
                </c:pt>
                <c:pt idx="1767">
                  <c:v>20.423999999999999</c:v>
                </c:pt>
                <c:pt idx="1768">
                  <c:v>20.423999999999999</c:v>
                </c:pt>
                <c:pt idx="1769">
                  <c:v>20.423999999999999</c:v>
                </c:pt>
                <c:pt idx="1770">
                  <c:v>20.423999999999999</c:v>
                </c:pt>
                <c:pt idx="1771">
                  <c:v>20.423999999999999</c:v>
                </c:pt>
                <c:pt idx="1772">
                  <c:v>20.423999999999999</c:v>
                </c:pt>
                <c:pt idx="1773">
                  <c:v>20.423999999999999</c:v>
                </c:pt>
                <c:pt idx="1774">
                  <c:v>20.423999999999999</c:v>
                </c:pt>
                <c:pt idx="1775">
                  <c:v>20.423999999999999</c:v>
                </c:pt>
                <c:pt idx="1776">
                  <c:v>20.423999999999999</c:v>
                </c:pt>
                <c:pt idx="1777">
                  <c:v>20.423999999999999</c:v>
                </c:pt>
                <c:pt idx="1778">
                  <c:v>20.423999999999999</c:v>
                </c:pt>
                <c:pt idx="1779">
                  <c:v>20.423999999999999</c:v>
                </c:pt>
                <c:pt idx="1780">
                  <c:v>20.423999999999999</c:v>
                </c:pt>
                <c:pt idx="1781">
                  <c:v>20.329000000000001</c:v>
                </c:pt>
                <c:pt idx="1782">
                  <c:v>20.329000000000001</c:v>
                </c:pt>
                <c:pt idx="1783">
                  <c:v>20.329000000000001</c:v>
                </c:pt>
                <c:pt idx="1784">
                  <c:v>20.329000000000001</c:v>
                </c:pt>
                <c:pt idx="1785">
                  <c:v>20.329000000000001</c:v>
                </c:pt>
                <c:pt idx="1786">
                  <c:v>20.329000000000001</c:v>
                </c:pt>
                <c:pt idx="1787">
                  <c:v>20.329000000000001</c:v>
                </c:pt>
                <c:pt idx="1788">
                  <c:v>20.329000000000001</c:v>
                </c:pt>
                <c:pt idx="1789">
                  <c:v>20.234000000000009</c:v>
                </c:pt>
                <c:pt idx="1790">
                  <c:v>20.234000000000009</c:v>
                </c:pt>
                <c:pt idx="1791">
                  <c:v>20.234000000000009</c:v>
                </c:pt>
                <c:pt idx="1792">
                  <c:v>20.234000000000009</c:v>
                </c:pt>
                <c:pt idx="1793">
                  <c:v>20.234000000000009</c:v>
                </c:pt>
                <c:pt idx="1794">
                  <c:v>20.234000000000009</c:v>
                </c:pt>
                <c:pt idx="1795">
                  <c:v>20.234000000000009</c:v>
                </c:pt>
                <c:pt idx="1796">
                  <c:v>20.234000000000009</c:v>
                </c:pt>
                <c:pt idx="1797">
                  <c:v>20.138000000000009</c:v>
                </c:pt>
                <c:pt idx="1798">
                  <c:v>20.138000000000009</c:v>
                </c:pt>
                <c:pt idx="1799">
                  <c:v>20.138000000000009</c:v>
                </c:pt>
                <c:pt idx="1800">
                  <c:v>20.138000000000009</c:v>
                </c:pt>
                <c:pt idx="1801">
                  <c:v>20.234000000000009</c:v>
                </c:pt>
                <c:pt idx="1802">
                  <c:v>20.234000000000009</c:v>
                </c:pt>
                <c:pt idx="1803">
                  <c:v>20.234000000000009</c:v>
                </c:pt>
                <c:pt idx="1804">
                  <c:v>20.234000000000009</c:v>
                </c:pt>
                <c:pt idx="1805">
                  <c:v>20.234000000000009</c:v>
                </c:pt>
                <c:pt idx="1806">
                  <c:v>20.234000000000009</c:v>
                </c:pt>
                <c:pt idx="1807">
                  <c:v>20.234000000000009</c:v>
                </c:pt>
                <c:pt idx="1808">
                  <c:v>20.329000000000001</c:v>
                </c:pt>
                <c:pt idx="1809">
                  <c:v>20.329000000000001</c:v>
                </c:pt>
                <c:pt idx="1810">
                  <c:v>20.329000000000001</c:v>
                </c:pt>
                <c:pt idx="1811">
                  <c:v>20.329000000000001</c:v>
                </c:pt>
                <c:pt idx="1812">
                  <c:v>20.329000000000001</c:v>
                </c:pt>
                <c:pt idx="1813">
                  <c:v>20.423999999999999</c:v>
                </c:pt>
                <c:pt idx="1814">
                  <c:v>20.329000000000001</c:v>
                </c:pt>
                <c:pt idx="1815">
                  <c:v>20.423999999999999</c:v>
                </c:pt>
                <c:pt idx="1816">
                  <c:v>20.423999999999999</c:v>
                </c:pt>
                <c:pt idx="1817">
                  <c:v>20.423999999999999</c:v>
                </c:pt>
                <c:pt idx="1818">
                  <c:v>20.423999999999999</c:v>
                </c:pt>
                <c:pt idx="1819">
                  <c:v>20.423999999999999</c:v>
                </c:pt>
                <c:pt idx="1820">
                  <c:v>20.423999999999999</c:v>
                </c:pt>
                <c:pt idx="1821">
                  <c:v>20.423999999999999</c:v>
                </c:pt>
                <c:pt idx="1822">
                  <c:v>20.423999999999999</c:v>
                </c:pt>
                <c:pt idx="1823">
                  <c:v>20.423999999999999</c:v>
                </c:pt>
                <c:pt idx="1824">
                  <c:v>20.423999999999999</c:v>
                </c:pt>
                <c:pt idx="1825">
                  <c:v>20.423999999999999</c:v>
                </c:pt>
                <c:pt idx="1826">
                  <c:v>20.423999999999999</c:v>
                </c:pt>
                <c:pt idx="1827">
                  <c:v>20.423999999999999</c:v>
                </c:pt>
                <c:pt idx="1828">
                  <c:v>20.423999999999999</c:v>
                </c:pt>
                <c:pt idx="1829">
                  <c:v>20.329000000000001</c:v>
                </c:pt>
                <c:pt idx="1830">
                  <c:v>20.329000000000001</c:v>
                </c:pt>
                <c:pt idx="1831">
                  <c:v>20.329000000000001</c:v>
                </c:pt>
                <c:pt idx="1832">
                  <c:v>20.329000000000001</c:v>
                </c:pt>
                <c:pt idx="1833">
                  <c:v>20.329000000000001</c:v>
                </c:pt>
                <c:pt idx="1834">
                  <c:v>20.329000000000001</c:v>
                </c:pt>
                <c:pt idx="1835">
                  <c:v>20.329000000000001</c:v>
                </c:pt>
                <c:pt idx="1836">
                  <c:v>20.329000000000001</c:v>
                </c:pt>
                <c:pt idx="1837">
                  <c:v>20.329000000000001</c:v>
                </c:pt>
                <c:pt idx="1838">
                  <c:v>20.329000000000001</c:v>
                </c:pt>
                <c:pt idx="1839">
                  <c:v>20.329000000000001</c:v>
                </c:pt>
                <c:pt idx="1840">
                  <c:v>20.329000000000001</c:v>
                </c:pt>
                <c:pt idx="1841">
                  <c:v>20.234000000000009</c:v>
                </c:pt>
                <c:pt idx="1842">
                  <c:v>20.234000000000009</c:v>
                </c:pt>
                <c:pt idx="1843">
                  <c:v>20.234000000000009</c:v>
                </c:pt>
                <c:pt idx="1844">
                  <c:v>20.234000000000009</c:v>
                </c:pt>
                <c:pt idx="1845">
                  <c:v>20.234000000000009</c:v>
                </c:pt>
                <c:pt idx="1846">
                  <c:v>20.234000000000009</c:v>
                </c:pt>
                <c:pt idx="1847">
                  <c:v>20.234000000000009</c:v>
                </c:pt>
                <c:pt idx="1848">
                  <c:v>20.234000000000009</c:v>
                </c:pt>
                <c:pt idx="1849">
                  <c:v>20.234000000000009</c:v>
                </c:pt>
                <c:pt idx="1850">
                  <c:v>20.234000000000009</c:v>
                </c:pt>
                <c:pt idx="1851">
                  <c:v>20.234000000000009</c:v>
                </c:pt>
                <c:pt idx="1852">
                  <c:v>20.329000000000001</c:v>
                </c:pt>
                <c:pt idx="1853">
                  <c:v>20.329000000000001</c:v>
                </c:pt>
                <c:pt idx="1854">
                  <c:v>20.329000000000001</c:v>
                </c:pt>
                <c:pt idx="1855">
                  <c:v>20.329000000000001</c:v>
                </c:pt>
                <c:pt idx="1856">
                  <c:v>20.329000000000001</c:v>
                </c:pt>
                <c:pt idx="1857">
                  <c:v>20.329000000000001</c:v>
                </c:pt>
                <c:pt idx="1858">
                  <c:v>20.423999999999999</c:v>
                </c:pt>
                <c:pt idx="1859">
                  <c:v>20.423999999999999</c:v>
                </c:pt>
                <c:pt idx="1860">
                  <c:v>20.423999999999999</c:v>
                </c:pt>
                <c:pt idx="1861">
                  <c:v>20.423999999999999</c:v>
                </c:pt>
                <c:pt idx="1862">
                  <c:v>20.423999999999999</c:v>
                </c:pt>
                <c:pt idx="1863">
                  <c:v>20.423999999999999</c:v>
                </c:pt>
                <c:pt idx="1864">
                  <c:v>20.423999999999999</c:v>
                </c:pt>
                <c:pt idx="1865">
                  <c:v>20.423999999999999</c:v>
                </c:pt>
                <c:pt idx="1866">
                  <c:v>20.423999999999999</c:v>
                </c:pt>
                <c:pt idx="1867">
                  <c:v>20.518999999999991</c:v>
                </c:pt>
                <c:pt idx="1868">
                  <c:v>20.423999999999999</c:v>
                </c:pt>
                <c:pt idx="1869">
                  <c:v>20.423999999999999</c:v>
                </c:pt>
                <c:pt idx="1870">
                  <c:v>20.423999999999999</c:v>
                </c:pt>
                <c:pt idx="1871">
                  <c:v>20.423999999999999</c:v>
                </c:pt>
                <c:pt idx="1872">
                  <c:v>20.423999999999999</c:v>
                </c:pt>
                <c:pt idx="1873">
                  <c:v>20.423999999999999</c:v>
                </c:pt>
                <c:pt idx="1874">
                  <c:v>20.423999999999999</c:v>
                </c:pt>
                <c:pt idx="1875">
                  <c:v>20.423999999999999</c:v>
                </c:pt>
                <c:pt idx="1876">
                  <c:v>20.423999999999999</c:v>
                </c:pt>
                <c:pt idx="1877">
                  <c:v>20.423999999999999</c:v>
                </c:pt>
                <c:pt idx="1878">
                  <c:v>20.329000000000001</c:v>
                </c:pt>
                <c:pt idx="1879">
                  <c:v>20.329000000000001</c:v>
                </c:pt>
                <c:pt idx="1880">
                  <c:v>20.329000000000001</c:v>
                </c:pt>
                <c:pt idx="1881">
                  <c:v>20.329000000000001</c:v>
                </c:pt>
                <c:pt idx="1882">
                  <c:v>20.329000000000001</c:v>
                </c:pt>
                <c:pt idx="1883">
                  <c:v>20.329000000000001</c:v>
                </c:pt>
                <c:pt idx="1884">
                  <c:v>20.329000000000001</c:v>
                </c:pt>
                <c:pt idx="1885">
                  <c:v>20.234000000000009</c:v>
                </c:pt>
                <c:pt idx="1886">
                  <c:v>20.234000000000009</c:v>
                </c:pt>
                <c:pt idx="1887">
                  <c:v>20.234000000000009</c:v>
                </c:pt>
                <c:pt idx="1888">
                  <c:v>20.234000000000009</c:v>
                </c:pt>
                <c:pt idx="1889">
                  <c:v>20.234000000000009</c:v>
                </c:pt>
                <c:pt idx="1890">
                  <c:v>20.234000000000009</c:v>
                </c:pt>
                <c:pt idx="1891">
                  <c:v>20.234000000000009</c:v>
                </c:pt>
                <c:pt idx="1892">
                  <c:v>20.234000000000009</c:v>
                </c:pt>
                <c:pt idx="1893">
                  <c:v>20.234000000000009</c:v>
                </c:pt>
                <c:pt idx="1894">
                  <c:v>20.234000000000009</c:v>
                </c:pt>
                <c:pt idx="1895">
                  <c:v>20.138000000000009</c:v>
                </c:pt>
                <c:pt idx="1896">
                  <c:v>20.234000000000009</c:v>
                </c:pt>
                <c:pt idx="1897">
                  <c:v>20.234000000000009</c:v>
                </c:pt>
                <c:pt idx="1898">
                  <c:v>20.234000000000009</c:v>
                </c:pt>
                <c:pt idx="1899">
                  <c:v>20.234000000000009</c:v>
                </c:pt>
                <c:pt idx="1900">
                  <c:v>20.234000000000009</c:v>
                </c:pt>
                <c:pt idx="1901">
                  <c:v>20.234000000000009</c:v>
                </c:pt>
                <c:pt idx="1902">
                  <c:v>20.234000000000009</c:v>
                </c:pt>
                <c:pt idx="1903">
                  <c:v>20.234000000000009</c:v>
                </c:pt>
                <c:pt idx="1904">
                  <c:v>20.329000000000001</c:v>
                </c:pt>
                <c:pt idx="1905">
                  <c:v>20.329000000000001</c:v>
                </c:pt>
                <c:pt idx="1906">
                  <c:v>20.329000000000001</c:v>
                </c:pt>
                <c:pt idx="1907">
                  <c:v>20.329000000000001</c:v>
                </c:pt>
                <c:pt idx="1908">
                  <c:v>20.329000000000001</c:v>
                </c:pt>
                <c:pt idx="1909">
                  <c:v>20.329000000000001</c:v>
                </c:pt>
                <c:pt idx="1910">
                  <c:v>20.329000000000001</c:v>
                </c:pt>
                <c:pt idx="1911">
                  <c:v>20.329000000000001</c:v>
                </c:pt>
                <c:pt idx="1912">
                  <c:v>20.329000000000001</c:v>
                </c:pt>
                <c:pt idx="1913">
                  <c:v>20.329000000000001</c:v>
                </c:pt>
                <c:pt idx="1914">
                  <c:v>20.329000000000001</c:v>
                </c:pt>
                <c:pt idx="1915">
                  <c:v>20.329000000000001</c:v>
                </c:pt>
                <c:pt idx="1916">
                  <c:v>20.329000000000001</c:v>
                </c:pt>
                <c:pt idx="1917">
                  <c:v>20.329000000000001</c:v>
                </c:pt>
                <c:pt idx="1918">
                  <c:v>20.329000000000001</c:v>
                </c:pt>
                <c:pt idx="1919">
                  <c:v>20.329000000000001</c:v>
                </c:pt>
                <c:pt idx="1920">
                  <c:v>20.329000000000001</c:v>
                </c:pt>
                <c:pt idx="1921">
                  <c:v>20.329000000000001</c:v>
                </c:pt>
                <c:pt idx="1922">
                  <c:v>20.329000000000001</c:v>
                </c:pt>
                <c:pt idx="1923">
                  <c:v>20.329000000000001</c:v>
                </c:pt>
                <c:pt idx="1924">
                  <c:v>20.329000000000001</c:v>
                </c:pt>
                <c:pt idx="1925">
                  <c:v>20.329000000000001</c:v>
                </c:pt>
                <c:pt idx="1926">
                  <c:v>20.329000000000001</c:v>
                </c:pt>
                <c:pt idx="1927">
                  <c:v>20.329000000000001</c:v>
                </c:pt>
                <c:pt idx="1928">
                  <c:v>20.329000000000001</c:v>
                </c:pt>
                <c:pt idx="1929">
                  <c:v>20.329000000000001</c:v>
                </c:pt>
                <c:pt idx="1930">
                  <c:v>20.329000000000001</c:v>
                </c:pt>
                <c:pt idx="1931">
                  <c:v>20.329000000000001</c:v>
                </c:pt>
                <c:pt idx="1932">
                  <c:v>20.329000000000001</c:v>
                </c:pt>
                <c:pt idx="1933">
                  <c:v>20.329000000000001</c:v>
                </c:pt>
                <c:pt idx="1934">
                  <c:v>20.329000000000001</c:v>
                </c:pt>
                <c:pt idx="1935">
                  <c:v>20.329000000000001</c:v>
                </c:pt>
                <c:pt idx="1936">
                  <c:v>20.329000000000001</c:v>
                </c:pt>
                <c:pt idx="1937">
                  <c:v>20.329000000000001</c:v>
                </c:pt>
                <c:pt idx="1938">
                  <c:v>20.329000000000001</c:v>
                </c:pt>
                <c:pt idx="1939">
                  <c:v>20.329000000000001</c:v>
                </c:pt>
                <c:pt idx="1940">
                  <c:v>20.329000000000001</c:v>
                </c:pt>
                <c:pt idx="1941">
                  <c:v>20.329000000000001</c:v>
                </c:pt>
                <c:pt idx="1942">
                  <c:v>20.329000000000001</c:v>
                </c:pt>
                <c:pt idx="1943">
                  <c:v>20.329000000000001</c:v>
                </c:pt>
                <c:pt idx="1944">
                  <c:v>20.329000000000001</c:v>
                </c:pt>
                <c:pt idx="1945">
                  <c:v>20.329000000000001</c:v>
                </c:pt>
                <c:pt idx="1946">
                  <c:v>20.329000000000001</c:v>
                </c:pt>
                <c:pt idx="1947">
                  <c:v>20.329000000000001</c:v>
                </c:pt>
                <c:pt idx="1948">
                  <c:v>20.329000000000001</c:v>
                </c:pt>
                <c:pt idx="1949">
                  <c:v>20.423999999999999</c:v>
                </c:pt>
                <c:pt idx="1950">
                  <c:v>20.423999999999999</c:v>
                </c:pt>
                <c:pt idx="1951">
                  <c:v>20.423999999999999</c:v>
                </c:pt>
                <c:pt idx="1952">
                  <c:v>20.423999999999999</c:v>
                </c:pt>
                <c:pt idx="1953">
                  <c:v>20.423999999999999</c:v>
                </c:pt>
                <c:pt idx="1954">
                  <c:v>20.423999999999999</c:v>
                </c:pt>
                <c:pt idx="1955">
                  <c:v>20.518999999999991</c:v>
                </c:pt>
                <c:pt idx="1956">
                  <c:v>20.518999999999991</c:v>
                </c:pt>
                <c:pt idx="1957">
                  <c:v>20.518999999999991</c:v>
                </c:pt>
                <c:pt idx="1958">
                  <c:v>20.518999999999991</c:v>
                </c:pt>
                <c:pt idx="1959">
                  <c:v>20.518999999999991</c:v>
                </c:pt>
                <c:pt idx="1960">
                  <c:v>20.518999999999991</c:v>
                </c:pt>
                <c:pt idx="1961">
                  <c:v>20.518999999999991</c:v>
                </c:pt>
                <c:pt idx="1962">
                  <c:v>20.518999999999991</c:v>
                </c:pt>
                <c:pt idx="1963">
                  <c:v>20.518999999999991</c:v>
                </c:pt>
                <c:pt idx="1964">
                  <c:v>20.518999999999991</c:v>
                </c:pt>
                <c:pt idx="1965">
                  <c:v>20.518999999999991</c:v>
                </c:pt>
                <c:pt idx="1966">
                  <c:v>20.518999999999991</c:v>
                </c:pt>
                <c:pt idx="1967">
                  <c:v>20.518999999999991</c:v>
                </c:pt>
                <c:pt idx="1968">
                  <c:v>20.518999999999991</c:v>
                </c:pt>
                <c:pt idx="1969">
                  <c:v>20.518999999999991</c:v>
                </c:pt>
                <c:pt idx="1970">
                  <c:v>20.518999999999991</c:v>
                </c:pt>
                <c:pt idx="1971">
                  <c:v>20.518999999999991</c:v>
                </c:pt>
                <c:pt idx="1972">
                  <c:v>20.518999999999991</c:v>
                </c:pt>
                <c:pt idx="1973">
                  <c:v>20.423999999999999</c:v>
                </c:pt>
                <c:pt idx="1974">
                  <c:v>20.518999999999991</c:v>
                </c:pt>
                <c:pt idx="1975">
                  <c:v>20.423999999999999</c:v>
                </c:pt>
                <c:pt idx="1976">
                  <c:v>20.423999999999999</c:v>
                </c:pt>
                <c:pt idx="1977">
                  <c:v>20.423999999999999</c:v>
                </c:pt>
                <c:pt idx="1978">
                  <c:v>20.423999999999999</c:v>
                </c:pt>
                <c:pt idx="1979">
                  <c:v>20.423999999999999</c:v>
                </c:pt>
                <c:pt idx="1980">
                  <c:v>20.423999999999999</c:v>
                </c:pt>
                <c:pt idx="1981">
                  <c:v>20.423999999999999</c:v>
                </c:pt>
                <c:pt idx="1982">
                  <c:v>20.423999999999999</c:v>
                </c:pt>
                <c:pt idx="1983">
                  <c:v>20.329000000000001</c:v>
                </c:pt>
                <c:pt idx="1984">
                  <c:v>20.329000000000001</c:v>
                </c:pt>
                <c:pt idx="1985">
                  <c:v>20.329000000000001</c:v>
                </c:pt>
                <c:pt idx="1986">
                  <c:v>20.329000000000001</c:v>
                </c:pt>
                <c:pt idx="1987">
                  <c:v>20.329000000000001</c:v>
                </c:pt>
                <c:pt idx="1988">
                  <c:v>20.329000000000001</c:v>
                </c:pt>
                <c:pt idx="1989">
                  <c:v>20.329000000000001</c:v>
                </c:pt>
                <c:pt idx="1990">
                  <c:v>20.329000000000001</c:v>
                </c:pt>
                <c:pt idx="1991">
                  <c:v>20.329000000000001</c:v>
                </c:pt>
                <c:pt idx="1992">
                  <c:v>20.329000000000001</c:v>
                </c:pt>
                <c:pt idx="1993">
                  <c:v>20.329000000000001</c:v>
                </c:pt>
                <c:pt idx="1994">
                  <c:v>20.329000000000001</c:v>
                </c:pt>
                <c:pt idx="1995">
                  <c:v>20.329000000000001</c:v>
                </c:pt>
                <c:pt idx="1996">
                  <c:v>20.329000000000001</c:v>
                </c:pt>
                <c:pt idx="1997">
                  <c:v>20.329000000000001</c:v>
                </c:pt>
                <c:pt idx="1998">
                  <c:v>20.423999999999999</c:v>
                </c:pt>
                <c:pt idx="1999">
                  <c:v>20.423999999999999</c:v>
                </c:pt>
                <c:pt idx="2000">
                  <c:v>20.423999999999999</c:v>
                </c:pt>
                <c:pt idx="2001">
                  <c:v>20.423999999999999</c:v>
                </c:pt>
                <c:pt idx="2002">
                  <c:v>20.423999999999999</c:v>
                </c:pt>
                <c:pt idx="2003">
                  <c:v>20.518999999999991</c:v>
                </c:pt>
                <c:pt idx="2004">
                  <c:v>20.518999999999991</c:v>
                </c:pt>
                <c:pt idx="2005">
                  <c:v>20.518999999999991</c:v>
                </c:pt>
                <c:pt idx="2006">
                  <c:v>20.518999999999991</c:v>
                </c:pt>
                <c:pt idx="2007">
                  <c:v>20.518999999999991</c:v>
                </c:pt>
                <c:pt idx="2008">
                  <c:v>20.518999999999991</c:v>
                </c:pt>
                <c:pt idx="2009">
                  <c:v>20.518999999999991</c:v>
                </c:pt>
                <c:pt idx="2010">
                  <c:v>20.518999999999991</c:v>
                </c:pt>
                <c:pt idx="2011">
                  <c:v>20.518999999999991</c:v>
                </c:pt>
                <c:pt idx="2012">
                  <c:v>20.518999999999991</c:v>
                </c:pt>
                <c:pt idx="2013">
                  <c:v>20.518999999999991</c:v>
                </c:pt>
                <c:pt idx="2014">
                  <c:v>20.518999999999991</c:v>
                </c:pt>
                <c:pt idx="2015">
                  <c:v>20.518999999999991</c:v>
                </c:pt>
                <c:pt idx="2016">
                  <c:v>20.518999999999991</c:v>
                </c:pt>
                <c:pt idx="2017">
                  <c:v>20.518999999999991</c:v>
                </c:pt>
                <c:pt idx="2018">
                  <c:v>20.518999999999991</c:v>
                </c:pt>
                <c:pt idx="2019">
                  <c:v>20.518999999999991</c:v>
                </c:pt>
                <c:pt idx="2020">
                  <c:v>20.518999999999991</c:v>
                </c:pt>
                <c:pt idx="2021">
                  <c:v>20.518999999999991</c:v>
                </c:pt>
                <c:pt idx="2022">
                  <c:v>20.518999999999991</c:v>
                </c:pt>
                <c:pt idx="2023">
                  <c:v>20.423999999999999</c:v>
                </c:pt>
                <c:pt idx="2024">
                  <c:v>20.423999999999999</c:v>
                </c:pt>
                <c:pt idx="2025">
                  <c:v>20.423999999999999</c:v>
                </c:pt>
                <c:pt idx="2026">
                  <c:v>20.423999999999999</c:v>
                </c:pt>
                <c:pt idx="2027">
                  <c:v>20.423999999999999</c:v>
                </c:pt>
                <c:pt idx="2028">
                  <c:v>20.423999999999999</c:v>
                </c:pt>
                <c:pt idx="2029">
                  <c:v>20.423999999999999</c:v>
                </c:pt>
                <c:pt idx="2030">
                  <c:v>20.423999999999999</c:v>
                </c:pt>
                <c:pt idx="2031">
                  <c:v>20.423999999999999</c:v>
                </c:pt>
                <c:pt idx="2032">
                  <c:v>20.423999999999999</c:v>
                </c:pt>
                <c:pt idx="2033">
                  <c:v>20.329000000000001</c:v>
                </c:pt>
                <c:pt idx="2034">
                  <c:v>20.329000000000001</c:v>
                </c:pt>
                <c:pt idx="2035">
                  <c:v>20.329000000000001</c:v>
                </c:pt>
                <c:pt idx="2036">
                  <c:v>20.329000000000001</c:v>
                </c:pt>
                <c:pt idx="2037">
                  <c:v>20.329000000000001</c:v>
                </c:pt>
                <c:pt idx="2038">
                  <c:v>20.329000000000001</c:v>
                </c:pt>
                <c:pt idx="2039">
                  <c:v>20.329000000000001</c:v>
                </c:pt>
                <c:pt idx="2040">
                  <c:v>20.329000000000001</c:v>
                </c:pt>
                <c:pt idx="2041">
                  <c:v>20.329000000000001</c:v>
                </c:pt>
                <c:pt idx="2042">
                  <c:v>20.329000000000001</c:v>
                </c:pt>
                <c:pt idx="2043">
                  <c:v>20.329000000000001</c:v>
                </c:pt>
                <c:pt idx="2044">
                  <c:v>20.423999999999999</c:v>
                </c:pt>
                <c:pt idx="2045">
                  <c:v>20.423999999999999</c:v>
                </c:pt>
                <c:pt idx="2046">
                  <c:v>20.423999999999999</c:v>
                </c:pt>
                <c:pt idx="2047">
                  <c:v>20.423999999999999</c:v>
                </c:pt>
                <c:pt idx="2048">
                  <c:v>20.423999999999999</c:v>
                </c:pt>
                <c:pt idx="2049">
                  <c:v>20.423999999999999</c:v>
                </c:pt>
                <c:pt idx="2050">
                  <c:v>20.518999999999991</c:v>
                </c:pt>
                <c:pt idx="2051">
                  <c:v>20.518999999999991</c:v>
                </c:pt>
                <c:pt idx="2052">
                  <c:v>20.518999999999991</c:v>
                </c:pt>
                <c:pt idx="2053">
                  <c:v>20.518999999999991</c:v>
                </c:pt>
                <c:pt idx="2054">
                  <c:v>20.518999999999991</c:v>
                </c:pt>
                <c:pt idx="2055">
                  <c:v>20.518999999999991</c:v>
                </c:pt>
                <c:pt idx="2056">
                  <c:v>20.518999999999991</c:v>
                </c:pt>
                <c:pt idx="2057">
                  <c:v>20.518999999999991</c:v>
                </c:pt>
                <c:pt idx="2058">
                  <c:v>20.614999999999998</c:v>
                </c:pt>
                <c:pt idx="2059">
                  <c:v>20.614999999999998</c:v>
                </c:pt>
                <c:pt idx="2060">
                  <c:v>20.518999999999991</c:v>
                </c:pt>
                <c:pt idx="2061">
                  <c:v>20.518999999999991</c:v>
                </c:pt>
                <c:pt idx="2062">
                  <c:v>20.518999999999991</c:v>
                </c:pt>
                <c:pt idx="2063">
                  <c:v>20.518999999999991</c:v>
                </c:pt>
                <c:pt idx="2064">
                  <c:v>20.518999999999991</c:v>
                </c:pt>
                <c:pt idx="2065">
                  <c:v>20.518999999999991</c:v>
                </c:pt>
                <c:pt idx="2066">
                  <c:v>20.518999999999991</c:v>
                </c:pt>
                <c:pt idx="2067">
                  <c:v>20.518999999999991</c:v>
                </c:pt>
                <c:pt idx="2068">
                  <c:v>20.518999999999991</c:v>
                </c:pt>
                <c:pt idx="2069">
                  <c:v>20.518999999999991</c:v>
                </c:pt>
                <c:pt idx="2070">
                  <c:v>20.423999999999999</c:v>
                </c:pt>
                <c:pt idx="2071">
                  <c:v>20.423999999999999</c:v>
                </c:pt>
                <c:pt idx="2072">
                  <c:v>20.423999999999999</c:v>
                </c:pt>
                <c:pt idx="2073">
                  <c:v>20.423999999999999</c:v>
                </c:pt>
                <c:pt idx="2074">
                  <c:v>20.423999999999999</c:v>
                </c:pt>
                <c:pt idx="2075">
                  <c:v>20.329000000000001</c:v>
                </c:pt>
                <c:pt idx="2076">
                  <c:v>20.329000000000001</c:v>
                </c:pt>
                <c:pt idx="2077">
                  <c:v>20.329000000000001</c:v>
                </c:pt>
                <c:pt idx="2078">
                  <c:v>20.329000000000001</c:v>
                </c:pt>
                <c:pt idx="2079">
                  <c:v>20.329000000000001</c:v>
                </c:pt>
                <c:pt idx="2080">
                  <c:v>20.329000000000001</c:v>
                </c:pt>
                <c:pt idx="2081">
                  <c:v>20.234000000000009</c:v>
                </c:pt>
                <c:pt idx="2082">
                  <c:v>20.234000000000009</c:v>
                </c:pt>
                <c:pt idx="2083">
                  <c:v>20.234000000000009</c:v>
                </c:pt>
                <c:pt idx="2084">
                  <c:v>20.234000000000009</c:v>
                </c:pt>
                <c:pt idx="2085">
                  <c:v>20.234000000000009</c:v>
                </c:pt>
                <c:pt idx="2086">
                  <c:v>20.234000000000009</c:v>
                </c:pt>
                <c:pt idx="2087">
                  <c:v>20.234000000000009</c:v>
                </c:pt>
                <c:pt idx="2088">
                  <c:v>20.234000000000009</c:v>
                </c:pt>
                <c:pt idx="2089">
                  <c:v>20.234000000000009</c:v>
                </c:pt>
                <c:pt idx="2090">
                  <c:v>20.234000000000009</c:v>
                </c:pt>
                <c:pt idx="2091">
                  <c:v>20.329000000000001</c:v>
                </c:pt>
                <c:pt idx="2092">
                  <c:v>20.329000000000001</c:v>
                </c:pt>
                <c:pt idx="2093">
                  <c:v>20.329000000000001</c:v>
                </c:pt>
                <c:pt idx="2094">
                  <c:v>20.329000000000001</c:v>
                </c:pt>
                <c:pt idx="2095">
                  <c:v>20.329000000000001</c:v>
                </c:pt>
                <c:pt idx="2096">
                  <c:v>20.329000000000001</c:v>
                </c:pt>
                <c:pt idx="2097">
                  <c:v>20.423999999999999</c:v>
                </c:pt>
                <c:pt idx="2098">
                  <c:v>20.423999999999999</c:v>
                </c:pt>
                <c:pt idx="2099">
                  <c:v>20.423999999999999</c:v>
                </c:pt>
                <c:pt idx="2100">
                  <c:v>20.423999999999999</c:v>
                </c:pt>
                <c:pt idx="2101">
                  <c:v>20.423999999999999</c:v>
                </c:pt>
                <c:pt idx="2102">
                  <c:v>20.518999999999991</c:v>
                </c:pt>
                <c:pt idx="2103">
                  <c:v>20.518999999999991</c:v>
                </c:pt>
                <c:pt idx="2104">
                  <c:v>20.518999999999991</c:v>
                </c:pt>
                <c:pt idx="2105">
                  <c:v>20.518999999999991</c:v>
                </c:pt>
                <c:pt idx="2106">
                  <c:v>20.518999999999991</c:v>
                </c:pt>
                <c:pt idx="2107">
                  <c:v>20.518999999999991</c:v>
                </c:pt>
                <c:pt idx="2108">
                  <c:v>20.518999999999991</c:v>
                </c:pt>
                <c:pt idx="2109">
                  <c:v>20.518999999999991</c:v>
                </c:pt>
                <c:pt idx="2110">
                  <c:v>20.518999999999991</c:v>
                </c:pt>
                <c:pt idx="2111">
                  <c:v>20.518999999999991</c:v>
                </c:pt>
                <c:pt idx="2112">
                  <c:v>20.518999999999991</c:v>
                </c:pt>
                <c:pt idx="2113">
                  <c:v>20.518999999999991</c:v>
                </c:pt>
                <c:pt idx="2114">
                  <c:v>20.518999999999991</c:v>
                </c:pt>
                <c:pt idx="2115">
                  <c:v>20.518999999999991</c:v>
                </c:pt>
                <c:pt idx="2116">
                  <c:v>20.423999999999999</c:v>
                </c:pt>
                <c:pt idx="2117">
                  <c:v>20.423999999999999</c:v>
                </c:pt>
                <c:pt idx="2118">
                  <c:v>20.423999999999999</c:v>
                </c:pt>
                <c:pt idx="2119">
                  <c:v>20.423999999999999</c:v>
                </c:pt>
                <c:pt idx="2120">
                  <c:v>20.423999999999999</c:v>
                </c:pt>
                <c:pt idx="2121">
                  <c:v>20.423999999999999</c:v>
                </c:pt>
                <c:pt idx="2122">
                  <c:v>20.423999999999999</c:v>
                </c:pt>
                <c:pt idx="2123">
                  <c:v>20.423999999999999</c:v>
                </c:pt>
                <c:pt idx="2124">
                  <c:v>20.329000000000001</c:v>
                </c:pt>
                <c:pt idx="2125">
                  <c:v>20.329000000000001</c:v>
                </c:pt>
                <c:pt idx="2126">
                  <c:v>20.329000000000001</c:v>
                </c:pt>
                <c:pt idx="2127">
                  <c:v>20.329000000000001</c:v>
                </c:pt>
                <c:pt idx="2128">
                  <c:v>20.329000000000001</c:v>
                </c:pt>
                <c:pt idx="2129">
                  <c:v>20.329000000000001</c:v>
                </c:pt>
                <c:pt idx="2130">
                  <c:v>20.329000000000001</c:v>
                </c:pt>
                <c:pt idx="2131">
                  <c:v>20.329000000000001</c:v>
                </c:pt>
                <c:pt idx="2132">
                  <c:v>20.234000000000009</c:v>
                </c:pt>
                <c:pt idx="2133">
                  <c:v>20.234000000000009</c:v>
                </c:pt>
                <c:pt idx="2134">
                  <c:v>20.234000000000009</c:v>
                </c:pt>
                <c:pt idx="2135">
                  <c:v>20.234000000000009</c:v>
                </c:pt>
                <c:pt idx="2136">
                  <c:v>20.234000000000009</c:v>
                </c:pt>
                <c:pt idx="2137">
                  <c:v>20.329000000000001</c:v>
                </c:pt>
                <c:pt idx="2138">
                  <c:v>20.329000000000001</c:v>
                </c:pt>
                <c:pt idx="2139">
                  <c:v>20.329000000000001</c:v>
                </c:pt>
                <c:pt idx="2140">
                  <c:v>20.329000000000001</c:v>
                </c:pt>
                <c:pt idx="2141">
                  <c:v>20.329000000000001</c:v>
                </c:pt>
                <c:pt idx="2142">
                  <c:v>20.329000000000001</c:v>
                </c:pt>
                <c:pt idx="2143">
                  <c:v>20.423999999999999</c:v>
                </c:pt>
                <c:pt idx="2144">
                  <c:v>20.423999999999999</c:v>
                </c:pt>
                <c:pt idx="2145">
                  <c:v>20.423999999999999</c:v>
                </c:pt>
                <c:pt idx="2146">
                  <c:v>20.423999999999999</c:v>
                </c:pt>
                <c:pt idx="2147">
                  <c:v>20.518999999999991</c:v>
                </c:pt>
                <c:pt idx="2148">
                  <c:v>20.518999999999991</c:v>
                </c:pt>
                <c:pt idx="2149">
                  <c:v>20.518999999999991</c:v>
                </c:pt>
                <c:pt idx="2150">
                  <c:v>20.518999999999991</c:v>
                </c:pt>
                <c:pt idx="2151">
                  <c:v>20.518999999999991</c:v>
                </c:pt>
                <c:pt idx="2152">
                  <c:v>20.518999999999991</c:v>
                </c:pt>
                <c:pt idx="2153">
                  <c:v>20.518999999999991</c:v>
                </c:pt>
                <c:pt idx="2154">
                  <c:v>20.614999999999998</c:v>
                </c:pt>
                <c:pt idx="2155">
                  <c:v>20.614999999999998</c:v>
                </c:pt>
                <c:pt idx="2156">
                  <c:v>20.614999999999998</c:v>
                </c:pt>
                <c:pt idx="2157">
                  <c:v>20.614999999999998</c:v>
                </c:pt>
                <c:pt idx="2158">
                  <c:v>20.614999999999998</c:v>
                </c:pt>
                <c:pt idx="2159">
                  <c:v>20.614999999999998</c:v>
                </c:pt>
                <c:pt idx="2160">
                  <c:v>20.614999999999998</c:v>
                </c:pt>
                <c:pt idx="2161">
                  <c:v>20.614999999999998</c:v>
                </c:pt>
                <c:pt idx="2162">
                  <c:v>20.614999999999998</c:v>
                </c:pt>
                <c:pt idx="2163">
                  <c:v>20.518999999999991</c:v>
                </c:pt>
                <c:pt idx="2164">
                  <c:v>20.518999999999991</c:v>
                </c:pt>
                <c:pt idx="2165">
                  <c:v>20.518999999999991</c:v>
                </c:pt>
                <c:pt idx="2166">
                  <c:v>20.518999999999991</c:v>
                </c:pt>
                <c:pt idx="2167">
                  <c:v>20.518999999999991</c:v>
                </c:pt>
                <c:pt idx="2168">
                  <c:v>20.518999999999991</c:v>
                </c:pt>
                <c:pt idx="2169">
                  <c:v>20.518999999999991</c:v>
                </c:pt>
                <c:pt idx="2170">
                  <c:v>20.518999999999991</c:v>
                </c:pt>
                <c:pt idx="2171">
                  <c:v>20.518999999999991</c:v>
                </c:pt>
                <c:pt idx="2172">
                  <c:v>20.518999999999991</c:v>
                </c:pt>
                <c:pt idx="2173">
                  <c:v>20.518999999999991</c:v>
                </c:pt>
                <c:pt idx="2174">
                  <c:v>20.518999999999991</c:v>
                </c:pt>
                <c:pt idx="2175">
                  <c:v>20.423999999999999</c:v>
                </c:pt>
                <c:pt idx="2176">
                  <c:v>20.423999999999999</c:v>
                </c:pt>
                <c:pt idx="2177">
                  <c:v>20.423999999999999</c:v>
                </c:pt>
                <c:pt idx="2178">
                  <c:v>20.423999999999999</c:v>
                </c:pt>
                <c:pt idx="2179">
                  <c:v>20.423999999999999</c:v>
                </c:pt>
                <c:pt idx="2180">
                  <c:v>20.423999999999999</c:v>
                </c:pt>
                <c:pt idx="2181">
                  <c:v>20.423999999999999</c:v>
                </c:pt>
                <c:pt idx="2182">
                  <c:v>20.423999999999999</c:v>
                </c:pt>
                <c:pt idx="2183">
                  <c:v>20.423999999999999</c:v>
                </c:pt>
                <c:pt idx="2184">
                  <c:v>20.423999999999999</c:v>
                </c:pt>
                <c:pt idx="2185">
                  <c:v>20.423999999999999</c:v>
                </c:pt>
                <c:pt idx="2186">
                  <c:v>20.518999999999991</c:v>
                </c:pt>
                <c:pt idx="2187">
                  <c:v>20.518999999999991</c:v>
                </c:pt>
                <c:pt idx="2188">
                  <c:v>20.518999999999991</c:v>
                </c:pt>
                <c:pt idx="2189">
                  <c:v>20.518999999999991</c:v>
                </c:pt>
                <c:pt idx="2190">
                  <c:v>20.518999999999991</c:v>
                </c:pt>
                <c:pt idx="2191">
                  <c:v>20.518999999999991</c:v>
                </c:pt>
                <c:pt idx="2192">
                  <c:v>20.518999999999991</c:v>
                </c:pt>
                <c:pt idx="2193">
                  <c:v>20.518999999999991</c:v>
                </c:pt>
                <c:pt idx="2194">
                  <c:v>20.518999999999991</c:v>
                </c:pt>
                <c:pt idx="2195">
                  <c:v>20.614999999999998</c:v>
                </c:pt>
                <c:pt idx="2196">
                  <c:v>20.614999999999998</c:v>
                </c:pt>
                <c:pt idx="2197">
                  <c:v>20.614999999999998</c:v>
                </c:pt>
                <c:pt idx="2198">
                  <c:v>20.614999999999998</c:v>
                </c:pt>
                <c:pt idx="2199">
                  <c:v>20.614999999999998</c:v>
                </c:pt>
                <c:pt idx="2200">
                  <c:v>20.614999999999998</c:v>
                </c:pt>
                <c:pt idx="2201">
                  <c:v>20.614999999999998</c:v>
                </c:pt>
                <c:pt idx="2202">
                  <c:v>20.614999999999998</c:v>
                </c:pt>
                <c:pt idx="2203">
                  <c:v>20.614999999999998</c:v>
                </c:pt>
                <c:pt idx="2204">
                  <c:v>20.614999999999998</c:v>
                </c:pt>
                <c:pt idx="2205">
                  <c:v>20.614999999999998</c:v>
                </c:pt>
                <c:pt idx="2206">
                  <c:v>20.614999999999998</c:v>
                </c:pt>
                <c:pt idx="2207">
                  <c:v>20.614999999999998</c:v>
                </c:pt>
                <c:pt idx="2208">
                  <c:v>20.614999999999998</c:v>
                </c:pt>
                <c:pt idx="2209">
                  <c:v>20.614999999999998</c:v>
                </c:pt>
                <c:pt idx="2210">
                  <c:v>20.614999999999998</c:v>
                </c:pt>
                <c:pt idx="2211">
                  <c:v>20.614999999999998</c:v>
                </c:pt>
                <c:pt idx="2212">
                  <c:v>20.614999999999998</c:v>
                </c:pt>
                <c:pt idx="2213">
                  <c:v>20.614999999999998</c:v>
                </c:pt>
                <c:pt idx="2214">
                  <c:v>20.518999999999991</c:v>
                </c:pt>
                <c:pt idx="2215">
                  <c:v>20.518999999999991</c:v>
                </c:pt>
                <c:pt idx="2216">
                  <c:v>20.518999999999991</c:v>
                </c:pt>
                <c:pt idx="2217">
                  <c:v>20.518999999999991</c:v>
                </c:pt>
                <c:pt idx="2218">
                  <c:v>20.518999999999991</c:v>
                </c:pt>
                <c:pt idx="2219">
                  <c:v>20.518999999999991</c:v>
                </c:pt>
                <c:pt idx="2220">
                  <c:v>20.518999999999991</c:v>
                </c:pt>
                <c:pt idx="2221">
                  <c:v>20.518999999999991</c:v>
                </c:pt>
                <c:pt idx="2222">
                  <c:v>20.518999999999991</c:v>
                </c:pt>
                <c:pt idx="2223">
                  <c:v>20.423999999999999</c:v>
                </c:pt>
                <c:pt idx="2224">
                  <c:v>20.423999999999999</c:v>
                </c:pt>
                <c:pt idx="2225">
                  <c:v>20.423999999999999</c:v>
                </c:pt>
                <c:pt idx="2226">
                  <c:v>20.423999999999999</c:v>
                </c:pt>
                <c:pt idx="2227">
                  <c:v>20.423999999999999</c:v>
                </c:pt>
                <c:pt idx="2228">
                  <c:v>20.423999999999999</c:v>
                </c:pt>
                <c:pt idx="2229">
                  <c:v>20.423999999999999</c:v>
                </c:pt>
                <c:pt idx="2230">
                  <c:v>20.423999999999999</c:v>
                </c:pt>
                <c:pt idx="2231">
                  <c:v>20.423999999999999</c:v>
                </c:pt>
                <c:pt idx="2232">
                  <c:v>20.423999999999999</c:v>
                </c:pt>
                <c:pt idx="2233">
                  <c:v>20.423999999999999</c:v>
                </c:pt>
                <c:pt idx="2234">
                  <c:v>20.423999999999999</c:v>
                </c:pt>
                <c:pt idx="2235">
                  <c:v>20.423999999999999</c:v>
                </c:pt>
                <c:pt idx="2236">
                  <c:v>20.423999999999999</c:v>
                </c:pt>
                <c:pt idx="2237">
                  <c:v>20.423999999999999</c:v>
                </c:pt>
                <c:pt idx="2238">
                  <c:v>20.423999999999999</c:v>
                </c:pt>
                <c:pt idx="2239">
                  <c:v>20.518999999999991</c:v>
                </c:pt>
                <c:pt idx="2240">
                  <c:v>20.518999999999991</c:v>
                </c:pt>
                <c:pt idx="2241">
                  <c:v>20.518999999999991</c:v>
                </c:pt>
                <c:pt idx="2242">
                  <c:v>20.518999999999991</c:v>
                </c:pt>
                <c:pt idx="2243">
                  <c:v>20.518999999999991</c:v>
                </c:pt>
                <c:pt idx="2244">
                  <c:v>20.518999999999991</c:v>
                </c:pt>
                <c:pt idx="2245">
                  <c:v>20.518999999999991</c:v>
                </c:pt>
                <c:pt idx="2246">
                  <c:v>20.518999999999991</c:v>
                </c:pt>
                <c:pt idx="2247">
                  <c:v>20.518999999999991</c:v>
                </c:pt>
                <c:pt idx="2248">
                  <c:v>20.614999999999998</c:v>
                </c:pt>
                <c:pt idx="2249">
                  <c:v>20.614999999999998</c:v>
                </c:pt>
                <c:pt idx="2250">
                  <c:v>20.518999999999991</c:v>
                </c:pt>
                <c:pt idx="2251">
                  <c:v>20.614999999999998</c:v>
                </c:pt>
                <c:pt idx="2252">
                  <c:v>20.518999999999991</c:v>
                </c:pt>
                <c:pt idx="2253">
                  <c:v>20.614999999999998</c:v>
                </c:pt>
                <c:pt idx="2254">
                  <c:v>20.614999999999998</c:v>
                </c:pt>
                <c:pt idx="2255">
                  <c:v>20.518999999999991</c:v>
                </c:pt>
                <c:pt idx="2256">
                  <c:v>20.518999999999991</c:v>
                </c:pt>
                <c:pt idx="2257">
                  <c:v>20.518999999999991</c:v>
                </c:pt>
                <c:pt idx="2258">
                  <c:v>20.518999999999991</c:v>
                </c:pt>
                <c:pt idx="2259">
                  <c:v>20.518999999999991</c:v>
                </c:pt>
                <c:pt idx="2260">
                  <c:v>20.518999999999991</c:v>
                </c:pt>
                <c:pt idx="2261">
                  <c:v>20.518999999999991</c:v>
                </c:pt>
                <c:pt idx="2262">
                  <c:v>20.518999999999991</c:v>
                </c:pt>
                <c:pt idx="2263">
                  <c:v>20.518999999999991</c:v>
                </c:pt>
                <c:pt idx="2264">
                  <c:v>20.518999999999991</c:v>
                </c:pt>
                <c:pt idx="2265">
                  <c:v>20.518999999999991</c:v>
                </c:pt>
                <c:pt idx="2266">
                  <c:v>20.518999999999991</c:v>
                </c:pt>
                <c:pt idx="2267">
                  <c:v>20.423999999999999</c:v>
                </c:pt>
                <c:pt idx="2268">
                  <c:v>20.423999999999999</c:v>
                </c:pt>
                <c:pt idx="2269">
                  <c:v>20.423999999999999</c:v>
                </c:pt>
                <c:pt idx="2270">
                  <c:v>20.423999999999999</c:v>
                </c:pt>
                <c:pt idx="2271">
                  <c:v>20.423999999999999</c:v>
                </c:pt>
                <c:pt idx="2272">
                  <c:v>20.423999999999999</c:v>
                </c:pt>
                <c:pt idx="2273">
                  <c:v>20.423999999999999</c:v>
                </c:pt>
                <c:pt idx="2274">
                  <c:v>20.423999999999999</c:v>
                </c:pt>
                <c:pt idx="2275">
                  <c:v>20.329000000000001</c:v>
                </c:pt>
                <c:pt idx="2276">
                  <c:v>20.329000000000001</c:v>
                </c:pt>
                <c:pt idx="2277">
                  <c:v>20.329000000000001</c:v>
                </c:pt>
                <c:pt idx="2278">
                  <c:v>20.329000000000001</c:v>
                </c:pt>
                <c:pt idx="2279">
                  <c:v>20.329000000000001</c:v>
                </c:pt>
                <c:pt idx="2280">
                  <c:v>20.329000000000001</c:v>
                </c:pt>
                <c:pt idx="2281">
                  <c:v>20.329000000000001</c:v>
                </c:pt>
                <c:pt idx="2282">
                  <c:v>20.423999999999999</c:v>
                </c:pt>
                <c:pt idx="2283">
                  <c:v>20.423999999999999</c:v>
                </c:pt>
                <c:pt idx="2284">
                  <c:v>20.423999999999999</c:v>
                </c:pt>
                <c:pt idx="2285">
                  <c:v>20.423999999999999</c:v>
                </c:pt>
                <c:pt idx="2286">
                  <c:v>20.423999999999999</c:v>
                </c:pt>
                <c:pt idx="2287">
                  <c:v>20.423999999999999</c:v>
                </c:pt>
                <c:pt idx="2288">
                  <c:v>20.518999999999991</c:v>
                </c:pt>
                <c:pt idx="2289">
                  <c:v>20.518999999999991</c:v>
                </c:pt>
                <c:pt idx="2290">
                  <c:v>20.518999999999991</c:v>
                </c:pt>
                <c:pt idx="2291">
                  <c:v>20.518999999999991</c:v>
                </c:pt>
                <c:pt idx="2292">
                  <c:v>20.518999999999991</c:v>
                </c:pt>
                <c:pt idx="2293">
                  <c:v>20.614999999999998</c:v>
                </c:pt>
                <c:pt idx="2294">
                  <c:v>20.614999999999998</c:v>
                </c:pt>
                <c:pt idx="2295">
                  <c:v>20.614999999999998</c:v>
                </c:pt>
                <c:pt idx="2296">
                  <c:v>20.614999999999998</c:v>
                </c:pt>
                <c:pt idx="2297">
                  <c:v>20.614999999999998</c:v>
                </c:pt>
                <c:pt idx="2298">
                  <c:v>20.614999999999998</c:v>
                </c:pt>
                <c:pt idx="2299">
                  <c:v>20.614999999999998</c:v>
                </c:pt>
                <c:pt idx="2300">
                  <c:v>20.614999999999998</c:v>
                </c:pt>
                <c:pt idx="2301">
                  <c:v>20.614999999999998</c:v>
                </c:pt>
                <c:pt idx="2302">
                  <c:v>20.614999999999998</c:v>
                </c:pt>
                <c:pt idx="2303">
                  <c:v>20.614999999999998</c:v>
                </c:pt>
                <c:pt idx="2304">
                  <c:v>20.614999999999998</c:v>
                </c:pt>
                <c:pt idx="2305">
                  <c:v>20.614999999999998</c:v>
                </c:pt>
                <c:pt idx="2306">
                  <c:v>20.614999999999998</c:v>
                </c:pt>
                <c:pt idx="2307">
                  <c:v>20.518999999999991</c:v>
                </c:pt>
                <c:pt idx="2308">
                  <c:v>20.518999999999991</c:v>
                </c:pt>
                <c:pt idx="2309">
                  <c:v>20.518999999999991</c:v>
                </c:pt>
                <c:pt idx="2310">
                  <c:v>20.518999999999991</c:v>
                </c:pt>
                <c:pt idx="2311">
                  <c:v>20.518999999999991</c:v>
                </c:pt>
                <c:pt idx="2312">
                  <c:v>20.518999999999991</c:v>
                </c:pt>
                <c:pt idx="2313">
                  <c:v>20.518999999999991</c:v>
                </c:pt>
                <c:pt idx="2314">
                  <c:v>20.518999999999991</c:v>
                </c:pt>
                <c:pt idx="2315">
                  <c:v>20.423999999999999</c:v>
                </c:pt>
                <c:pt idx="2316">
                  <c:v>20.423999999999999</c:v>
                </c:pt>
                <c:pt idx="2317">
                  <c:v>20.423999999999999</c:v>
                </c:pt>
                <c:pt idx="2318">
                  <c:v>20.423999999999999</c:v>
                </c:pt>
                <c:pt idx="2319">
                  <c:v>20.423999999999999</c:v>
                </c:pt>
                <c:pt idx="2320">
                  <c:v>20.423999999999999</c:v>
                </c:pt>
                <c:pt idx="2321">
                  <c:v>20.423999999999999</c:v>
                </c:pt>
                <c:pt idx="2322">
                  <c:v>20.329000000000001</c:v>
                </c:pt>
                <c:pt idx="2323">
                  <c:v>20.329000000000001</c:v>
                </c:pt>
                <c:pt idx="2324">
                  <c:v>20.329000000000001</c:v>
                </c:pt>
                <c:pt idx="2325">
                  <c:v>20.329000000000001</c:v>
                </c:pt>
                <c:pt idx="2326">
                  <c:v>20.329000000000001</c:v>
                </c:pt>
                <c:pt idx="2327">
                  <c:v>20.329000000000001</c:v>
                </c:pt>
                <c:pt idx="2328">
                  <c:v>20.329000000000001</c:v>
                </c:pt>
                <c:pt idx="2329">
                  <c:v>20.329000000000001</c:v>
                </c:pt>
                <c:pt idx="2330">
                  <c:v>20.423999999999999</c:v>
                </c:pt>
                <c:pt idx="2331">
                  <c:v>20.423999999999999</c:v>
                </c:pt>
                <c:pt idx="2332">
                  <c:v>20.423999999999999</c:v>
                </c:pt>
                <c:pt idx="2333">
                  <c:v>20.423999999999999</c:v>
                </c:pt>
                <c:pt idx="2334">
                  <c:v>20.423999999999999</c:v>
                </c:pt>
                <c:pt idx="2335">
                  <c:v>20.518999999999991</c:v>
                </c:pt>
                <c:pt idx="2336">
                  <c:v>20.518999999999991</c:v>
                </c:pt>
                <c:pt idx="2337">
                  <c:v>20.518999999999991</c:v>
                </c:pt>
                <c:pt idx="2338">
                  <c:v>20.518999999999991</c:v>
                </c:pt>
                <c:pt idx="2339">
                  <c:v>20.518999999999991</c:v>
                </c:pt>
                <c:pt idx="2340">
                  <c:v>20.614999999999998</c:v>
                </c:pt>
                <c:pt idx="2341">
                  <c:v>20.614999999999998</c:v>
                </c:pt>
                <c:pt idx="2342">
                  <c:v>20.614999999999998</c:v>
                </c:pt>
                <c:pt idx="2343">
                  <c:v>20.614999999999998</c:v>
                </c:pt>
                <c:pt idx="2344">
                  <c:v>20.614999999999998</c:v>
                </c:pt>
                <c:pt idx="2345">
                  <c:v>20.614999999999998</c:v>
                </c:pt>
                <c:pt idx="2346">
                  <c:v>20.614999999999998</c:v>
                </c:pt>
                <c:pt idx="2347">
                  <c:v>20.614999999999998</c:v>
                </c:pt>
                <c:pt idx="2348">
                  <c:v>20.614999999999998</c:v>
                </c:pt>
                <c:pt idx="2349">
                  <c:v>20.614999999999998</c:v>
                </c:pt>
                <c:pt idx="2350">
                  <c:v>20.614999999999998</c:v>
                </c:pt>
                <c:pt idx="2351">
                  <c:v>20.614999999999998</c:v>
                </c:pt>
                <c:pt idx="2352">
                  <c:v>20.614999999999998</c:v>
                </c:pt>
                <c:pt idx="2353">
                  <c:v>20.614999999999998</c:v>
                </c:pt>
                <c:pt idx="2354">
                  <c:v>20.614999999999998</c:v>
                </c:pt>
                <c:pt idx="2355">
                  <c:v>20.518999999999991</c:v>
                </c:pt>
                <c:pt idx="2356">
                  <c:v>20.614999999999998</c:v>
                </c:pt>
                <c:pt idx="2357">
                  <c:v>20.518999999999991</c:v>
                </c:pt>
                <c:pt idx="2358">
                  <c:v>20.518999999999991</c:v>
                </c:pt>
                <c:pt idx="2359">
                  <c:v>20.518999999999991</c:v>
                </c:pt>
                <c:pt idx="2360">
                  <c:v>20.518999999999991</c:v>
                </c:pt>
                <c:pt idx="2361">
                  <c:v>20.518999999999991</c:v>
                </c:pt>
                <c:pt idx="2362">
                  <c:v>20.518999999999991</c:v>
                </c:pt>
                <c:pt idx="2363">
                  <c:v>20.518999999999991</c:v>
                </c:pt>
                <c:pt idx="2364">
                  <c:v>20.518999999999991</c:v>
                </c:pt>
                <c:pt idx="2365">
                  <c:v>20.518999999999991</c:v>
                </c:pt>
                <c:pt idx="2366">
                  <c:v>20.518999999999991</c:v>
                </c:pt>
                <c:pt idx="2367">
                  <c:v>20.518999999999991</c:v>
                </c:pt>
                <c:pt idx="2368">
                  <c:v>20.518999999999991</c:v>
                </c:pt>
                <c:pt idx="2369">
                  <c:v>20.423999999999999</c:v>
                </c:pt>
                <c:pt idx="2370">
                  <c:v>20.423999999999999</c:v>
                </c:pt>
                <c:pt idx="2371">
                  <c:v>20.423999999999999</c:v>
                </c:pt>
                <c:pt idx="2372">
                  <c:v>20.423999999999999</c:v>
                </c:pt>
                <c:pt idx="2373">
                  <c:v>20.423999999999999</c:v>
                </c:pt>
                <c:pt idx="2374">
                  <c:v>20.423999999999999</c:v>
                </c:pt>
                <c:pt idx="2375">
                  <c:v>20.423999999999999</c:v>
                </c:pt>
                <c:pt idx="2376">
                  <c:v>20.423999999999999</c:v>
                </c:pt>
                <c:pt idx="2377">
                  <c:v>20.423999999999999</c:v>
                </c:pt>
                <c:pt idx="2378">
                  <c:v>20.518999999999991</c:v>
                </c:pt>
                <c:pt idx="2379">
                  <c:v>20.423999999999999</c:v>
                </c:pt>
                <c:pt idx="2380">
                  <c:v>20.518999999999991</c:v>
                </c:pt>
                <c:pt idx="2381">
                  <c:v>20.518999999999991</c:v>
                </c:pt>
                <c:pt idx="2382">
                  <c:v>20.518999999999991</c:v>
                </c:pt>
                <c:pt idx="2383">
                  <c:v>20.518999999999991</c:v>
                </c:pt>
                <c:pt idx="2384">
                  <c:v>20.518999999999991</c:v>
                </c:pt>
                <c:pt idx="2385">
                  <c:v>20.518999999999991</c:v>
                </c:pt>
                <c:pt idx="2386">
                  <c:v>20.518999999999991</c:v>
                </c:pt>
                <c:pt idx="2387">
                  <c:v>20.518999999999991</c:v>
                </c:pt>
                <c:pt idx="2388">
                  <c:v>20.518999999999991</c:v>
                </c:pt>
                <c:pt idx="2389">
                  <c:v>20.614999999999998</c:v>
                </c:pt>
                <c:pt idx="2390">
                  <c:v>20.614999999999998</c:v>
                </c:pt>
                <c:pt idx="2391">
                  <c:v>20.614999999999998</c:v>
                </c:pt>
                <c:pt idx="2392">
                  <c:v>20.614999999999998</c:v>
                </c:pt>
                <c:pt idx="2393">
                  <c:v>20.614999999999998</c:v>
                </c:pt>
                <c:pt idx="2394">
                  <c:v>20.614999999999998</c:v>
                </c:pt>
                <c:pt idx="2395">
                  <c:v>20.614999999999998</c:v>
                </c:pt>
                <c:pt idx="2396">
                  <c:v>20.518999999999991</c:v>
                </c:pt>
                <c:pt idx="2397">
                  <c:v>20.518999999999991</c:v>
                </c:pt>
                <c:pt idx="2398">
                  <c:v>20.518999999999991</c:v>
                </c:pt>
                <c:pt idx="2399">
                  <c:v>20.518999999999991</c:v>
                </c:pt>
                <c:pt idx="2400">
                  <c:v>20.518999999999991</c:v>
                </c:pt>
                <c:pt idx="2401">
                  <c:v>20.518999999999991</c:v>
                </c:pt>
                <c:pt idx="2402">
                  <c:v>20.518999999999991</c:v>
                </c:pt>
                <c:pt idx="2403">
                  <c:v>20.518999999999991</c:v>
                </c:pt>
                <c:pt idx="2404">
                  <c:v>20.518999999999991</c:v>
                </c:pt>
                <c:pt idx="2405">
                  <c:v>20.518999999999991</c:v>
                </c:pt>
                <c:pt idx="2406">
                  <c:v>20.518999999999991</c:v>
                </c:pt>
                <c:pt idx="2407">
                  <c:v>20.518999999999991</c:v>
                </c:pt>
                <c:pt idx="2408">
                  <c:v>20.423999999999999</c:v>
                </c:pt>
                <c:pt idx="2409">
                  <c:v>20.423999999999999</c:v>
                </c:pt>
                <c:pt idx="2410">
                  <c:v>20.423999999999999</c:v>
                </c:pt>
                <c:pt idx="2411">
                  <c:v>20.423999999999999</c:v>
                </c:pt>
                <c:pt idx="2412">
                  <c:v>20.423999999999999</c:v>
                </c:pt>
                <c:pt idx="2413">
                  <c:v>20.423999999999999</c:v>
                </c:pt>
                <c:pt idx="2414">
                  <c:v>20.423999999999999</c:v>
                </c:pt>
                <c:pt idx="2415">
                  <c:v>20.423999999999999</c:v>
                </c:pt>
                <c:pt idx="2416">
                  <c:v>20.423999999999999</c:v>
                </c:pt>
                <c:pt idx="2417">
                  <c:v>20.423999999999999</c:v>
                </c:pt>
                <c:pt idx="2418">
                  <c:v>20.329000000000001</c:v>
                </c:pt>
                <c:pt idx="2419">
                  <c:v>20.329000000000001</c:v>
                </c:pt>
                <c:pt idx="2420">
                  <c:v>20.329000000000001</c:v>
                </c:pt>
                <c:pt idx="2421">
                  <c:v>20.329000000000001</c:v>
                </c:pt>
                <c:pt idx="2422">
                  <c:v>20.329000000000001</c:v>
                </c:pt>
                <c:pt idx="2423">
                  <c:v>20.329000000000001</c:v>
                </c:pt>
                <c:pt idx="2424">
                  <c:v>20.329000000000001</c:v>
                </c:pt>
                <c:pt idx="2425">
                  <c:v>20.329000000000001</c:v>
                </c:pt>
                <c:pt idx="2426">
                  <c:v>20.329000000000001</c:v>
                </c:pt>
                <c:pt idx="2427">
                  <c:v>20.423999999999999</c:v>
                </c:pt>
                <c:pt idx="2428">
                  <c:v>20.329000000000001</c:v>
                </c:pt>
                <c:pt idx="2429">
                  <c:v>20.423999999999999</c:v>
                </c:pt>
                <c:pt idx="2430">
                  <c:v>20.423999999999999</c:v>
                </c:pt>
                <c:pt idx="2431">
                  <c:v>20.423999999999999</c:v>
                </c:pt>
                <c:pt idx="2432">
                  <c:v>20.423999999999999</c:v>
                </c:pt>
                <c:pt idx="2433">
                  <c:v>20.423999999999999</c:v>
                </c:pt>
                <c:pt idx="2434">
                  <c:v>20.423999999999999</c:v>
                </c:pt>
                <c:pt idx="2435">
                  <c:v>20.423999999999999</c:v>
                </c:pt>
                <c:pt idx="2436">
                  <c:v>20.423999999999999</c:v>
                </c:pt>
                <c:pt idx="2437">
                  <c:v>20.423999999999999</c:v>
                </c:pt>
                <c:pt idx="2438">
                  <c:v>20.518999999999991</c:v>
                </c:pt>
                <c:pt idx="2439">
                  <c:v>20.518999999999991</c:v>
                </c:pt>
                <c:pt idx="2440">
                  <c:v>20.518999999999991</c:v>
                </c:pt>
                <c:pt idx="2441">
                  <c:v>20.518999999999991</c:v>
                </c:pt>
                <c:pt idx="2442">
                  <c:v>20.518999999999991</c:v>
                </c:pt>
                <c:pt idx="2443">
                  <c:v>20.423999999999999</c:v>
                </c:pt>
                <c:pt idx="2444">
                  <c:v>20.423999999999999</c:v>
                </c:pt>
                <c:pt idx="2445">
                  <c:v>20.423999999999999</c:v>
                </c:pt>
                <c:pt idx="2446">
                  <c:v>20.423999999999999</c:v>
                </c:pt>
                <c:pt idx="2447">
                  <c:v>20.423999999999999</c:v>
                </c:pt>
                <c:pt idx="2448">
                  <c:v>20.423999999999999</c:v>
                </c:pt>
                <c:pt idx="2449">
                  <c:v>20.423999999999999</c:v>
                </c:pt>
                <c:pt idx="2450">
                  <c:v>20.423999999999999</c:v>
                </c:pt>
                <c:pt idx="2451">
                  <c:v>20.329000000000001</c:v>
                </c:pt>
                <c:pt idx="2452">
                  <c:v>20.329000000000001</c:v>
                </c:pt>
                <c:pt idx="2453">
                  <c:v>20.329000000000001</c:v>
                </c:pt>
                <c:pt idx="2454">
                  <c:v>20.329000000000001</c:v>
                </c:pt>
                <c:pt idx="2455">
                  <c:v>20.329000000000001</c:v>
                </c:pt>
                <c:pt idx="2456">
                  <c:v>20.329000000000001</c:v>
                </c:pt>
                <c:pt idx="2457">
                  <c:v>20.329000000000001</c:v>
                </c:pt>
                <c:pt idx="2458">
                  <c:v>20.329000000000001</c:v>
                </c:pt>
                <c:pt idx="2459">
                  <c:v>20.329000000000001</c:v>
                </c:pt>
                <c:pt idx="2460">
                  <c:v>20.234000000000009</c:v>
                </c:pt>
                <c:pt idx="2461">
                  <c:v>20.234000000000009</c:v>
                </c:pt>
                <c:pt idx="2462">
                  <c:v>20.234000000000009</c:v>
                </c:pt>
                <c:pt idx="2463">
                  <c:v>20.234000000000009</c:v>
                </c:pt>
                <c:pt idx="2464">
                  <c:v>20.234000000000009</c:v>
                </c:pt>
                <c:pt idx="2465">
                  <c:v>20.234000000000009</c:v>
                </c:pt>
                <c:pt idx="2466">
                  <c:v>20.234000000000009</c:v>
                </c:pt>
                <c:pt idx="2467">
                  <c:v>20.234000000000009</c:v>
                </c:pt>
                <c:pt idx="2468">
                  <c:v>20.138000000000009</c:v>
                </c:pt>
                <c:pt idx="2469">
                  <c:v>20.138000000000009</c:v>
                </c:pt>
                <c:pt idx="2470">
                  <c:v>20.138000000000009</c:v>
                </c:pt>
                <c:pt idx="2471">
                  <c:v>20.138000000000009</c:v>
                </c:pt>
                <c:pt idx="2472">
                  <c:v>20.234000000000009</c:v>
                </c:pt>
                <c:pt idx="2473">
                  <c:v>20.234000000000009</c:v>
                </c:pt>
                <c:pt idx="2474">
                  <c:v>20.234000000000009</c:v>
                </c:pt>
                <c:pt idx="2475">
                  <c:v>20.234000000000009</c:v>
                </c:pt>
                <c:pt idx="2476">
                  <c:v>20.234000000000009</c:v>
                </c:pt>
                <c:pt idx="2477">
                  <c:v>20.234000000000009</c:v>
                </c:pt>
                <c:pt idx="2478">
                  <c:v>20.234000000000009</c:v>
                </c:pt>
                <c:pt idx="2479">
                  <c:v>20.329000000000001</c:v>
                </c:pt>
                <c:pt idx="2480">
                  <c:v>20.329000000000001</c:v>
                </c:pt>
                <c:pt idx="2481">
                  <c:v>20.329000000000001</c:v>
                </c:pt>
                <c:pt idx="2482">
                  <c:v>20.329000000000001</c:v>
                </c:pt>
                <c:pt idx="2483">
                  <c:v>20.329000000000001</c:v>
                </c:pt>
                <c:pt idx="2484">
                  <c:v>20.423999999999999</c:v>
                </c:pt>
                <c:pt idx="2485">
                  <c:v>20.423999999999999</c:v>
                </c:pt>
                <c:pt idx="2486">
                  <c:v>20.423999999999999</c:v>
                </c:pt>
                <c:pt idx="2487">
                  <c:v>20.423999999999999</c:v>
                </c:pt>
                <c:pt idx="2488">
                  <c:v>20.423999999999999</c:v>
                </c:pt>
                <c:pt idx="2489">
                  <c:v>20.423999999999999</c:v>
                </c:pt>
                <c:pt idx="2490">
                  <c:v>20.423999999999999</c:v>
                </c:pt>
                <c:pt idx="2491">
                  <c:v>20.423999999999999</c:v>
                </c:pt>
                <c:pt idx="2492">
                  <c:v>20.423999999999999</c:v>
                </c:pt>
                <c:pt idx="2493">
                  <c:v>20.423999999999999</c:v>
                </c:pt>
                <c:pt idx="2494">
                  <c:v>20.423999999999999</c:v>
                </c:pt>
                <c:pt idx="2495">
                  <c:v>20.423999999999999</c:v>
                </c:pt>
                <c:pt idx="2496">
                  <c:v>20.423999999999999</c:v>
                </c:pt>
                <c:pt idx="2497">
                  <c:v>20.423999999999999</c:v>
                </c:pt>
                <c:pt idx="2498">
                  <c:v>20.423999999999999</c:v>
                </c:pt>
                <c:pt idx="2499">
                  <c:v>20.423999999999999</c:v>
                </c:pt>
                <c:pt idx="2500">
                  <c:v>20.329000000000001</c:v>
                </c:pt>
                <c:pt idx="2501">
                  <c:v>20.329000000000001</c:v>
                </c:pt>
                <c:pt idx="2502">
                  <c:v>20.329000000000001</c:v>
                </c:pt>
                <c:pt idx="2503">
                  <c:v>20.329000000000001</c:v>
                </c:pt>
                <c:pt idx="2504">
                  <c:v>20.329000000000001</c:v>
                </c:pt>
                <c:pt idx="2505">
                  <c:v>20.329000000000001</c:v>
                </c:pt>
                <c:pt idx="2506">
                  <c:v>20.329000000000001</c:v>
                </c:pt>
                <c:pt idx="2507">
                  <c:v>20.329000000000001</c:v>
                </c:pt>
                <c:pt idx="2508">
                  <c:v>20.329000000000001</c:v>
                </c:pt>
                <c:pt idx="2509">
                  <c:v>20.234000000000009</c:v>
                </c:pt>
                <c:pt idx="2510">
                  <c:v>20.234000000000009</c:v>
                </c:pt>
                <c:pt idx="2511">
                  <c:v>20.234000000000009</c:v>
                </c:pt>
                <c:pt idx="2512">
                  <c:v>20.234000000000009</c:v>
                </c:pt>
                <c:pt idx="2513">
                  <c:v>20.234000000000009</c:v>
                </c:pt>
                <c:pt idx="2514">
                  <c:v>20.234000000000009</c:v>
                </c:pt>
                <c:pt idx="2515">
                  <c:v>20.234000000000009</c:v>
                </c:pt>
                <c:pt idx="2516">
                  <c:v>20.234000000000009</c:v>
                </c:pt>
                <c:pt idx="2517">
                  <c:v>20.234000000000009</c:v>
                </c:pt>
                <c:pt idx="2518">
                  <c:v>20.234000000000009</c:v>
                </c:pt>
                <c:pt idx="2519">
                  <c:v>20.234000000000009</c:v>
                </c:pt>
                <c:pt idx="2520">
                  <c:v>20.234000000000009</c:v>
                </c:pt>
                <c:pt idx="2521">
                  <c:v>20.234000000000009</c:v>
                </c:pt>
                <c:pt idx="2522">
                  <c:v>20.234000000000009</c:v>
                </c:pt>
                <c:pt idx="2523">
                  <c:v>20.234000000000009</c:v>
                </c:pt>
                <c:pt idx="2524">
                  <c:v>20.234000000000009</c:v>
                </c:pt>
                <c:pt idx="2525">
                  <c:v>20.329000000000001</c:v>
                </c:pt>
                <c:pt idx="2526">
                  <c:v>20.329000000000001</c:v>
                </c:pt>
                <c:pt idx="2527">
                  <c:v>20.329000000000001</c:v>
                </c:pt>
                <c:pt idx="2528">
                  <c:v>20.329000000000001</c:v>
                </c:pt>
                <c:pt idx="2529">
                  <c:v>20.329000000000001</c:v>
                </c:pt>
                <c:pt idx="2530">
                  <c:v>20.329000000000001</c:v>
                </c:pt>
                <c:pt idx="2531">
                  <c:v>20.423999999999999</c:v>
                </c:pt>
                <c:pt idx="2532">
                  <c:v>20.423999999999999</c:v>
                </c:pt>
                <c:pt idx="2533">
                  <c:v>20.423999999999999</c:v>
                </c:pt>
                <c:pt idx="2534">
                  <c:v>20.423999999999999</c:v>
                </c:pt>
                <c:pt idx="2535">
                  <c:v>20.423999999999999</c:v>
                </c:pt>
                <c:pt idx="2536">
                  <c:v>20.423999999999999</c:v>
                </c:pt>
                <c:pt idx="2537">
                  <c:v>20.423999999999999</c:v>
                </c:pt>
                <c:pt idx="2538">
                  <c:v>20.423999999999999</c:v>
                </c:pt>
                <c:pt idx="2539">
                  <c:v>20.518999999999991</c:v>
                </c:pt>
                <c:pt idx="2540">
                  <c:v>20.518999999999991</c:v>
                </c:pt>
                <c:pt idx="2541">
                  <c:v>20.518999999999991</c:v>
                </c:pt>
                <c:pt idx="2542">
                  <c:v>20.423999999999999</c:v>
                </c:pt>
                <c:pt idx="2543">
                  <c:v>20.518999999999991</c:v>
                </c:pt>
                <c:pt idx="2544">
                  <c:v>20.423999999999999</c:v>
                </c:pt>
                <c:pt idx="2545">
                  <c:v>20.518999999999991</c:v>
                </c:pt>
                <c:pt idx="2546">
                  <c:v>20.518999999999991</c:v>
                </c:pt>
                <c:pt idx="2547">
                  <c:v>20.423999999999999</c:v>
                </c:pt>
                <c:pt idx="2548">
                  <c:v>20.423999999999999</c:v>
                </c:pt>
                <c:pt idx="2549">
                  <c:v>20.423999999999999</c:v>
                </c:pt>
                <c:pt idx="2550">
                  <c:v>20.423999999999999</c:v>
                </c:pt>
                <c:pt idx="2551">
                  <c:v>20.423999999999999</c:v>
                </c:pt>
                <c:pt idx="2552">
                  <c:v>20.423999999999999</c:v>
                </c:pt>
                <c:pt idx="2553">
                  <c:v>20.423999999999999</c:v>
                </c:pt>
                <c:pt idx="2554">
                  <c:v>20.423999999999999</c:v>
                </c:pt>
                <c:pt idx="2555">
                  <c:v>20.423999999999999</c:v>
                </c:pt>
                <c:pt idx="2556">
                  <c:v>20.423999999999999</c:v>
                </c:pt>
                <c:pt idx="2557">
                  <c:v>20.423999999999999</c:v>
                </c:pt>
                <c:pt idx="2558">
                  <c:v>20.423999999999999</c:v>
                </c:pt>
                <c:pt idx="2559">
                  <c:v>20.423999999999999</c:v>
                </c:pt>
                <c:pt idx="2560">
                  <c:v>20.423999999999999</c:v>
                </c:pt>
                <c:pt idx="2561">
                  <c:v>20.423999999999999</c:v>
                </c:pt>
                <c:pt idx="2562">
                  <c:v>20.329000000000001</c:v>
                </c:pt>
                <c:pt idx="2563">
                  <c:v>20.329000000000001</c:v>
                </c:pt>
                <c:pt idx="2564">
                  <c:v>20.329000000000001</c:v>
                </c:pt>
                <c:pt idx="2565">
                  <c:v>20.329000000000001</c:v>
                </c:pt>
                <c:pt idx="2566">
                  <c:v>20.329000000000001</c:v>
                </c:pt>
                <c:pt idx="2567">
                  <c:v>20.423999999999999</c:v>
                </c:pt>
                <c:pt idx="2568">
                  <c:v>20.423999999999999</c:v>
                </c:pt>
                <c:pt idx="2569">
                  <c:v>20.423999999999999</c:v>
                </c:pt>
                <c:pt idx="2570">
                  <c:v>20.423999999999999</c:v>
                </c:pt>
                <c:pt idx="2571">
                  <c:v>20.423999999999999</c:v>
                </c:pt>
                <c:pt idx="2572">
                  <c:v>20.423999999999999</c:v>
                </c:pt>
                <c:pt idx="2573">
                  <c:v>20.423999999999999</c:v>
                </c:pt>
                <c:pt idx="2574">
                  <c:v>20.518999999999991</c:v>
                </c:pt>
                <c:pt idx="2575">
                  <c:v>20.518999999999991</c:v>
                </c:pt>
                <c:pt idx="2576">
                  <c:v>20.518999999999991</c:v>
                </c:pt>
                <c:pt idx="2577">
                  <c:v>20.518999999999991</c:v>
                </c:pt>
                <c:pt idx="2578">
                  <c:v>20.518999999999991</c:v>
                </c:pt>
                <c:pt idx="2579">
                  <c:v>20.614999999999998</c:v>
                </c:pt>
                <c:pt idx="2580">
                  <c:v>20.614999999999998</c:v>
                </c:pt>
                <c:pt idx="2581">
                  <c:v>20.614999999999998</c:v>
                </c:pt>
                <c:pt idx="2582">
                  <c:v>20.614999999999998</c:v>
                </c:pt>
                <c:pt idx="2583">
                  <c:v>20.614999999999998</c:v>
                </c:pt>
                <c:pt idx="2584">
                  <c:v>20.614999999999998</c:v>
                </c:pt>
                <c:pt idx="2585">
                  <c:v>20.614999999999998</c:v>
                </c:pt>
                <c:pt idx="2586">
                  <c:v>20.614999999999998</c:v>
                </c:pt>
                <c:pt idx="2587">
                  <c:v>20.614999999999998</c:v>
                </c:pt>
                <c:pt idx="2588">
                  <c:v>20.614999999999998</c:v>
                </c:pt>
                <c:pt idx="2589">
                  <c:v>20.614999999999998</c:v>
                </c:pt>
                <c:pt idx="2590">
                  <c:v>20.614999999999998</c:v>
                </c:pt>
                <c:pt idx="2591">
                  <c:v>20.518999999999991</c:v>
                </c:pt>
                <c:pt idx="2592">
                  <c:v>20.518999999999991</c:v>
                </c:pt>
                <c:pt idx="2593">
                  <c:v>20.518999999999991</c:v>
                </c:pt>
                <c:pt idx="2594">
                  <c:v>20.518999999999991</c:v>
                </c:pt>
                <c:pt idx="2595">
                  <c:v>20.518999999999991</c:v>
                </c:pt>
                <c:pt idx="2596">
                  <c:v>20.518999999999991</c:v>
                </c:pt>
                <c:pt idx="2597">
                  <c:v>20.518999999999991</c:v>
                </c:pt>
                <c:pt idx="2598">
                  <c:v>20.518999999999991</c:v>
                </c:pt>
                <c:pt idx="2599">
                  <c:v>20.423999999999999</c:v>
                </c:pt>
                <c:pt idx="2600">
                  <c:v>20.423999999999999</c:v>
                </c:pt>
                <c:pt idx="2601">
                  <c:v>20.423999999999999</c:v>
                </c:pt>
                <c:pt idx="2602">
                  <c:v>20.423999999999999</c:v>
                </c:pt>
                <c:pt idx="2603">
                  <c:v>20.423999999999999</c:v>
                </c:pt>
                <c:pt idx="2604">
                  <c:v>20.423999999999999</c:v>
                </c:pt>
                <c:pt idx="2605">
                  <c:v>20.423999999999999</c:v>
                </c:pt>
                <c:pt idx="2606">
                  <c:v>20.329000000000001</c:v>
                </c:pt>
                <c:pt idx="2607">
                  <c:v>20.329000000000001</c:v>
                </c:pt>
                <c:pt idx="2608">
                  <c:v>20.329000000000001</c:v>
                </c:pt>
                <c:pt idx="2609">
                  <c:v>20.329000000000001</c:v>
                </c:pt>
                <c:pt idx="2610">
                  <c:v>20.329000000000001</c:v>
                </c:pt>
                <c:pt idx="2611">
                  <c:v>20.329000000000001</c:v>
                </c:pt>
                <c:pt idx="2612">
                  <c:v>20.329000000000001</c:v>
                </c:pt>
                <c:pt idx="2613">
                  <c:v>20.329000000000001</c:v>
                </c:pt>
                <c:pt idx="2614">
                  <c:v>20.329000000000001</c:v>
                </c:pt>
                <c:pt idx="2615">
                  <c:v>20.329000000000001</c:v>
                </c:pt>
                <c:pt idx="2616">
                  <c:v>20.329000000000001</c:v>
                </c:pt>
                <c:pt idx="2617">
                  <c:v>20.329000000000001</c:v>
                </c:pt>
                <c:pt idx="2618">
                  <c:v>20.329000000000001</c:v>
                </c:pt>
                <c:pt idx="2619">
                  <c:v>20.329000000000001</c:v>
                </c:pt>
                <c:pt idx="2620">
                  <c:v>20.329000000000001</c:v>
                </c:pt>
                <c:pt idx="2621">
                  <c:v>20.329000000000001</c:v>
                </c:pt>
                <c:pt idx="2622">
                  <c:v>20.329000000000001</c:v>
                </c:pt>
                <c:pt idx="2623">
                  <c:v>20.423999999999999</c:v>
                </c:pt>
                <c:pt idx="2624">
                  <c:v>20.423999999999999</c:v>
                </c:pt>
                <c:pt idx="2625">
                  <c:v>20.423999999999999</c:v>
                </c:pt>
                <c:pt idx="2626">
                  <c:v>20.423999999999999</c:v>
                </c:pt>
                <c:pt idx="2627">
                  <c:v>20.423999999999999</c:v>
                </c:pt>
                <c:pt idx="2628">
                  <c:v>20.423999999999999</c:v>
                </c:pt>
                <c:pt idx="2629">
                  <c:v>20.518999999999991</c:v>
                </c:pt>
                <c:pt idx="2630">
                  <c:v>20.518999999999991</c:v>
                </c:pt>
                <c:pt idx="2631">
                  <c:v>20.518999999999991</c:v>
                </c:pt>
                <c:pt idx="2632">
                  <c:v>20.518999999999991</c:v>
                </c:pt>
                <c:pt idx="2633">
                  <c:v>20.518999999999991</c:v>
                </c:pt>
                <c:pt idx="2634">
                  <c:v>20.518999999999991</c:v>
                </c:pt>
                <c:pt idx="2635">
                  <c:v>20.518999999999991</c:v>
                </c:pt>
                <c:pt idx="2636">
                  <c:v>20.518999999999991</c:v>
                </c:pt>
                <c:pt idx="2637">
                  <c:v>20.423999999999999</c:v>
                </c:pt>
                <c:pt idx="2638">
                  <c:v>20.423999999999999</c:v>
                </c:pt>
                <c:pt idx="2639">
                  <c:v>20.423999999999999</c:v>
                </c:pt>
                <c:pt idx="2640">
                  <c:v>20.423999999999999</c:v>
                </c:pt>
                <c:pt idx="2641">
                  <c:v>20.423999999999999</c:v>
                </c:pt>
                <c:pt idx="2642">
                  <c:v>20.423999999999999</c:v>
                </c:pt>
                <c:pt idx="2643">
                  <c:v>20.423999999999999</c:v>
                </c:pt>
                <c:pt idx="2644">
                  <c:v>20.423999999999999</c:v>
                </c:pt>
                <c:pt idx="2645">
                  <c:v>20.329000000000001</c:v>
                </c:pt>
                <c:pt idx="2646">
                  <c:v>20.329000000000001</c:v>
                </c:pt>
                <c:pt idx="2647">
                  <c:v>20.329000000000001</c:v>
                </c:pt>
                <c:pt idx="2648">
                  <c:v>20.329000000000001</c:v>
                </c:pt>
                <c:pt idx="2649">
                  <c:v>20.329000000000001</c:v>
                </c:pt>
                <c:pt idx="2650">
                  <c:v>20.329000000000001</c:v>
                </c:pt>
                <c:pt idx="2651">
                  <c:v>20.329000000000001</c:v>
                </c:pt>
                <c:pt idx="2652">
                  <c:v>20.329000000000001</c:v>
                </c:pt>
                <c:pt idx="2653">
                  <c:v>20.234000000000009</c:v>
                </c:pt>
                <c:pt idx="2654">
                  <c:v>20.234000000000009</c:v>
                </c:pt>
                <c:pt idx="2655">
                  <c:v>20.234000000000009</c:v>
                </c:pt>
                <c:pt idx="2656">
                  <c:v>20.234000000000009</c:v>
                </c:pt>
                <c:pt idx="2657">
                  <c:v>20.234000000000009</c:v>
                </c:pt>
                <c:pt idx="2658">
                  <c:v>20.234000000000009</c:v>
                </c:pt>
                <c:pt idx="2659">
                  <c:v>20.234000000000009</c:v>
                </c:pt>
                <c:pt idx="2660">
                  <c:v>20.234000000000009</c:v>
                </c:pt>
                <c:pt idx="2661">
                  <c:v>20.234000000000009</c:v>
                </c:pt>
                <c:pt idx="2662">
                  <c:v>20.234000000000009</c:v>
                </c:pt>
                <c:pt idx="2663">
                  <c:v>20.234000000000009</c:v>
                </c:pt>
                <c:pt idx="2664">
                  <c:v>20.234000000000009</c:v>
                </c:pt>
                <c:pt idx="2665">
                  <c:v>20.234000000000009</c:v>
                </c:pt>
                <c:pt idx="2666">
                  <c:v>20.234000000000009</c:v>
                </c:pt>
                <c:pt idx="2667">
                  <c:v>20.234000000000009</c:v>
                </c:pt>
                <c:pt idx="2668">
                  <c:v>20.234000000000009</c:v>
                </c:pt>
                <c:pt idx="2669">
                  <c:v>20.234000000000009</c:v>
                </c:pt>
                <c:pt idx="2670">
                  <c:v>20.329000000000001</c:v>
                </c:pt>
                <c:pt idx="2671">
                  <c:v>20.329000000000001</c:v>
                </c:pt>
                <c:pt idx="2672">
                  <c:v>20.329000000000001</c:v>
                </c:pt>
                <c:pt idx="2673">
                  <c:v>20.329000000000001</c:v>
                </c:pt>
                <c:pt idx="2674">
                  <c:v>20.329000000000001</c:v>
                </c:pt>
                <c:pt idx="2675">
                  <c:v>20.423999999999999</c:v>
                </c:pt>
                <c:pt idx="2676">
                  <c:v>20.423999999999999</c:v>
                </c:pt>
                <c:pt idx="2677">
                  <c:v>20.423999999999999</c:v>
                </c:pt>
                <c:pt idx="2678">
                  <c:v>20.423999999999999</c:v>
                </c:pt>
                <c:pt idx="2679">
                  <c:v>20.423999999999999</c:v>
                </c:pt>
                <c:pt idx="2680">
                  <c:v>20.518999999999991</c:v>
                </c:pt>
                <c:pt idx="2681">
                  <c:v>20.518999999999991</c:v>
                </c:pt>
                <c:pt idx="2682">
                  <c:v>20.518999999999991</c:v>
                </c:pt>
                <c:pt idx="2683">
                  <c:v>20.518999999999991</c:v>
                </c:pt>
                <c:pt idx="2684">
                  <c:v>20.518999999999991</c:v>
                </c:pt>
                <c:pt idx="2685">
                  <c:v>20.518999999999991</c:v>
                </c:pt>
                <c:pt idx="2686">
                  <c:v>20.518999999999991</c:v>
                </c:pt>
                <c:pt idx="2687">
                  <c:v>20.518999999999991</c:v>
                </c:pt>
                <c:pt idx="2688">
                  <c:v>20.518999999999991</c:v>
                </c:pt>
                <c:pt idx="2689">
                  <c:v>20.518999999999991</c:v>
                </c:pt>
                <c:pt idx="2690">
                  <c:v>20.518999999999991</c:v>
                </c:pt>
                <c:pt idx="2691">
                  <c:v>20.518999999999991</c:v>
                </c:pt>
                <c:pt idx="2692">
                  <c:v>20.518999999999991</c:v>
                </c:pt>
                <c:pt idx="2693">
                  <c:v>20.423999999999999</c:v>
                </c:pt>
                <c:pt idx="2694">
                  <c:v>20.423999999999999</c:v>
                </c:pt>
                <c:pt idx="2695">
                  <c:v>20.423999999999999</c:v>
                </c:pt>
                <c:pt idx="2696">
                  <c:v>20.423999999999999</c:v>
                </c:pt>
                <c:pt idx="2697">
                  <c:v>20.423999999999999</c:v>
                </c:pt>
                <c:pt idx="2698">
                  <c:v>20.423999999999999</c:v>
                </c:pt>
                <c:pt idx="2699">
                  <c:v>20.423999999999999</c:v>
                </c:pt>
                <c:pt idx="2700">
                  <c:v>20.423999999999999</c:v>
                </c:pt>
                <c:pt idx="2701">
                  <c:v>20.423999999999999</c:v>
                </c:pt>
                <c:pt idx="2702">
                  <c:v>20.329000000000001</c:v>
                </c:pt>
                <c:pt idx="2703">
                  <c:v>20.329000000000001</c:v>
                </c:pt>
                <c:pt idx="2704">
                  <c:v>20.329000000000001</c:v>
                </c:pt>
                <c:pt idx="2705">
                  <c:v>20.329000000000001</c:v>
                </c:pt>
                <c:pt idx="2706">
                  <c:v>20.329000000000001</c:v>
                </c:pt>
                <c:pt idx="2707">
                  <c:v>20.329000000000001</c:v>
                </c:pt>
                <c:pt idx="2708">
                  <c:v>20.329000000000001</c:v>
                </c:pt>
                <c:pt idx="2709">
                  <c:v>20.329000000000001</c:v>
                </c:pt>
                <c:pt idx="2710">
                  <c:v>20.329000000000001</c:v>
                </c:pt>
                <c:pt idx="2711">
                  <c:v>20.329000000000001</c:v>
                </c:pt>
                <c:pt idx="2712">
                  <c:v>20.329000000000001</c:v>
                </c:pt>
                <c:pt idx="2713">
                  <c:v>20.329000000000001</c:v>
                </c:pt>
                <c:pt idx="2714">
                  <c:v>20.329000000000001</c:v>
                </c:pt>
                <c:pt idx="2715">
                  <c:v>20.329000000000001</c:v>
                </c:pt>
                <c:pt idx="2716">
                  <c:v>20.329000000000001</c:v>
                </c:pt>
                <c:pt idx="2717">
                  <c:v>20.329000000000001</c:v>
                </c:pt>
                <c:pt idx="2718">
                  <c:v>20.423999999999999</c:v>
                </c:pt>
                <c:pt idx="2719">
                  <c:v>20.423999999999999</c:v>
                </c:pt>
                <c:pt idx="2720">
                  <c:v>20.423999999999999</c:v>
                </c:pt>
                <c:pt idx="2721">
                  <c:v>20.423999999999999</c:v>
                </c:pt>
                <c:pt idx="2722">
                  <c:v>20.423999999999999</c:v>
                </c:pt>
                <c:pt idx="2723">
                  <c:v>20.423999999999999</c:v>
                </c:pt>
                <c:pt idx="2724">
                  <c:v>20.518999999999991</c:v>
                </c:pt>
                <c:pt idx="2725">
                  <c:v>20.518999999999991</c:v>
                </c:pt>
                <c:pt idx="2726">
                  <c:v>20.518999999999991</c:v>
                </c:pt>
                <c:pt idx="2727">
                  <c:v>20.518999999999991</c:v>
                </c:pt>
                <c:pt idx="2728">
                  <c:v>20.518999999999991</c:v>
                </c:pt>
                <c:pt idx="2729">
                  <c:v>20.518999999999991</c:v>
                </c:pt>
                <c:pt idx="2730">
                  <c:v>20.518999999999991</c:v>
                </c:pt>
                <c:pt idx="2731">
                  <c:v>20.518999999999991</c:v>
                </c:pt>
                <c:pt idx="2732">
                  <c:v>20.518999999999991</c:v>
                </c:pt>
                <c:pt idx="2733">
                  <c:v>20.518999999999991</c:v>
                </c:pt>
                <c:pt idx="2734">
                  <c:v>20.518999999999991</c:v>
                </c:pt>
                <c:pt idx="2735">
                  <c:v>20.423999999999999</c:v>
                </c:pt>
                <c:pt idx="2736">
                  <c:v>20.423999999999999</c:v>
                </c:pt>
                <c:pt idx="2737">
                  <c:v>20.423999999999999</c:v>
                </c:pt>
                <c:pt idx="2738">
                  <c:v>20.423999999999999</c:v>
                </c:pt>
                <c:pt idx="2739">
                  <c:v>20.423999999999999</c:v>
                </c:pt>
                <c:pt idx="2740">
                  <c:v>20.423999999999999</c:v>
                </c:pt>
                <c:pt idx="2741">
                  <c:v>20.423999999999999</c:v>
                </c:pt>
                <c:pt idx="2742">
                  <c:v>20.423999999999999</c:v>
                </c:pt>
                <c:pt idx="2743">
                  <c:v>20.329000000000001</c:v>
                </c:pt>
                <c:pt idx="2744">
                  <c:v>20.329000000000001</c:v>
                </c:pt>
                <c:pt idx="2745">
                  <c:v>20.329000000000001</c:v>
                </c:pt>
                <c:pt idx="2746">
                  <c:v>20.329000000000001</c:v>
                </c:pt>
                <c:pt idx="2747">
                  <c:v>20.329000000000001</c:v>
                </c:pt>
                <c:pt idx="2748">
                  <c:v>20.329000000000001</c:v>
                </c:pt>
                <c:pt idx="2749">
                  <c:v>20.329000000000001</c:v>
                </c:pt>
                <c:pt idx="2750">
                  <c:v>20.329000000000001</c:v>
                </c:pt>
                <c:pt idx="2751">
                  <c:v>20.234000000000009</c:v>
                </c:pt>
                <c:pt idx="2752">
                  <c:v>20.234000000000009</c:v>
                </c:pt>
                <c:pt idx="2753">
                  <c:v>20.234000000000009</c:v>
                </c:pt>
                <c:pt idx="2754">
                  <c:v>20.234000000000009</c:v>
                </c:pt>
                <c:pt idx="2755">
                  <c:v>20.234000000000009</c:v>
                </c:pt>
                <c:pt idx="2756">
                  <c:v>20.234000000000009</c:v>
                </c:pt>
                <c:pt idx="2757">
                  <c:v>20.234000000000009</c:v>
                </c:pt>
                <c:pt idx="2758">
                  <c:v>20.234000000000009</c:v>
                </c:pt>
                <c:pt idx="2759">
                  <c:v>20.234000000000009</c:v>
                </c:pt>
                <c:pt idx="2760">
                  <c:v>20.234000000000009</c:v>
                </c:pt>
                <c:pt idx="2761">
                  <c:v>20.234000000000009</c:v>
                </c:pt>
                <c:pt idx="2762">
                  <c:v>20.234000000000009</c:v>
                </c:pt>
                <c:pt idx="2763">
                  <c:v>20.234000000000009</c:v>
                </c:pt>
                <c:pt idx="2764">
                  <c:v>20.234000000000009</c:v>
                </c:pt>
                <c:pt idx="2765">
                  <c:v>20.329000000000001</c:v>
                </c:pt>
                <c:pt idx="2766">
                  <c:v>20.329000000000001</c:v>
                </c:pt>
                <c:pt idx="2767">
                  <c:v>20.329000000000001</c:v>
                </c:pt>
                <c:pt idx="2768">
                  <c:v>20.329000000000001</c:v>
                </c:pt>
                <c:pt idx="2769">
                  <c:v>20.423999999999999</c:v>
                </c:pt>
                <c:pt idx="2770">
                  <c:v>20.423999999999999</c:v>
                </c:pt>
                <c:pt idx="2771">
                  <c:v>20.423999999999999</c:v>
                </c:pt>
                <c:pt idx="2772">
                  <c:v>20.423999999999999</c:v>
                </c:pt>
                <c:pt idx="2773">
                  <c:v>20.423999999999999</c:v>
                </c:pt>
                <c:pt idx="2774">
                  <c:v>20.518999999999991</c:v>
                </c:pt>
                <c:pt idx="2775">
                  <c:v>20.518999999999991</c:v>
                </c:pt>
                <c:pt idx="2776">
                  <c:v>20.518999999999991</c:v>
                </c:pt>
                <c:pt idx="2777">
                  <c:v>20.518999999999991</c:v>
                </c:pt>
                <c:pt idx="2778">
                  <c:v>20.518999999999991</c:v>
                </c:pt>
                <c:pt idx="2779">
                  <c:v>20.518999999999991</c:v>
                </c:pt>
                <c:pt idx="2780">
                  <c:v>20.518999999999991</c:v>
                </c:pt>
                <c:pt idx="2781">
                  <c:v>20.518999999999991</c:v>
                </c:pt>
                <c:pt idx="2782">
                  <c:v>20.518999999999991</c:v>
                </c:pt>
                <c:pt idx="2783">
                  <c:v>20.518999999999991</c:v>
                </c:pt>
                <c:pt idx="2784">
                  <c:v>20.518999999999991</c:v>
                </c:pt>
                <c:pt idx="2785">
                  <c:v>20.518999999999991</c:v>
                </c:pt>
                <c:pt idx="2786">
                  <c:v>20.518999999999991</c:v>
                </c:pt>
                <c:pt idx="2787">
                  <c:v>20.518999999999991</c:v>
                </c:pt>
                <c:pt idx="2788">
                  <c:v>20.518999999999991</c:v>
                </c:pt>
                <c:pt idx="2789">
                  <c:v>20.518999999999991</c:v>
                </c:pt>
                <c:pt idx="2790">
                  <c:v>20.423999999999999</c:v>
                </c:pt>
                <c:pt idx="2791">
                  <c:v>20.423999999999999</c:v>
                </c:pt>
                <c:pt idx="2792">
                  <c:v>20.423999999999999</c:v>
                </c:pt>
                <c:pt idx="2793">
                  <c:v>20.423999999999999</c:v>
                </c:pt>
                <c:pt idx="2794">
                  <c:v>20.423999999999999</c:v>
                </c:pt>
                <c:pt idx="2795">
                  <c:v>20.423999999999999</c:v>
                </c:pt>
                <c:pt idx="2796">
                  <c:v>20.423999999999999</c:v>
                </c:pt>
                <c:pt idx="2797">
                  <c:v>20.423999999999999</c:v>
                </c:pt>
                <c:pt idx="2798">
                  <c:v>20.423999999999999</c:v>
                </c:pt>
                <c:pt idx="2799">
                  <c:v>20.423999999999999</c:v>
                </c:pt>
                <c:pt idx="2800">
                  <c:v>20.423999999999999</c:v>
                </c:pt>
                <c:pt idx="2801">
                  <c:v>20.423999999999999</c:v>
                </c:pt>
                <c:pt idx="2802">
                  <c:v>20.423999999999999</c:v>
                </c:pt>
                <c:pt idx="2803">
                  <c:v>20.423999999999999</c:v>
                </c:pt>
                <c:pt idx="2804">
                  <c:v>20.423999999999999</c:v>
                </c:pt>
                <c:pt idx="2805">
                  <c:v>20.423999999999999</c:v>
                </c:pt>
                <c:pt idx="2806">
                  <c:v>20.423999999999999</c:v>
                </c:pt>
                <c:pt idx="2807">
                  <c:v>20.423999999999999</c:v>
                </c:pt>
                <c:pt idx="2808">
                  <c:v>20.423999999999999</c:v>
                </c:pt>
                <c:pt idx="2809">
                  <c:v>20.423999999999999</c:v>
                </c:pt>
                <c:pt idx="2810">
                  <c:v>20.423999999999999</c:v>
                </c:pt>
                <c:pt idx="2811">
                  <c:v>20.423999999999999</c:v>
                </c:pt>
                <c:pt idx="2812">
                  <c:v>20.423999999999999</c:v>
                </c:pt>
                <c:pt idx="2813">
                  <c:v>20.423999999999999</c:v>
                </c:pt>
                <c:pt idx="2814">
                  <c:v>20.423999999999999</c:v>
                </c:pt>
                <c:pt idx="2815">
                  <c:v>20.518999999999991</c:v>
                </c:pt>
                <c:pt idx="2816">
                  <c:v>20.518999999999991</c:v>
                </c:pt>
                <c:pt idx="2817">
                  <c:v>20.518999999999991</c:v>
                </c:pt>
                <c:pt idx="2818">
                  <c:v>20.518999999999991</c:v>
                </c:pt>
                <c:pt idx="2819">
                  <c:v>20.518999999999991</c:v>
                </c:pt>
                <c:pt idx="2820">
                  <c:v>20.518999999999991</c:v>
                </c:pt>
                <c:pt idx="2821">
                  <c:v>20.518999999999991</c:v>
                </c:pt>
                <c:pt idx="2822">
                  <c:v>20.518999999999991</c:v>
                </c:pt>
                <c:pt idx="2823">
                  <c:v>20.518999999999991</c:v>
                </c:pt>
                <c:pt idx="2824">
                  <c:v>20.518999999999991</c:v>
                </c:pt>
                <c:pt idx="2825">
                  <c:v>20.518999999999991</c:v>
                </c:pt>
                <c:pt idx="2826">
                  <c:v>20.518999999999991</c:v>
                </c:pt>
                <c:pt idx="2827">
                  <c:v>20.518999999999991</c:v>
                </c:pt>
                <c:pt idx="2828">
                  <c:v>20.518999999999991</c:v>
                </c:pt>
                <c:pt idx="2829">
                  <c:v>20.518999999999991</c:v>
                </c:pt>
                <c:pt idx="2830">
                  <c:v>20.518999999999991</c:v>
                </c:pt>
                <c:pt idx="2831">
                  <c:v>20.518999999999991</c:v>
                </c:pt>
                <c:pt idx="2832">
                  <c:v>20.518999999999991</c:v>
                </c:pt>
                <c:pt idx="2833">
                  <c:v>20.518999999999991</c:v>
                </c:pt>
                <c:pt idx="2834">
                  <c:v>20.518999999999991</c:v>
                </c:pt>
                <c:pt idx="2835">
                  <c:v>20.518999999999991</c:v>
                </c:pt>
                <c:pt idx="2836">
                  <c:v>20.423999999999999</c:v>
                </c:pt>
                <c:pt idx="2837">
                  <c:v>20.423999999999999</c:v>
                </c:pt>
                <c:pt idx="2838">
                  <c:v>20.423999999999999</c:v>
                </c:pt>
                <c:pt idx="2839">
                  <c:v>20.423999999999999</c:v>
                </c:pt>
                <c:pt idx="2840">
                  <c:v>20.423999999999999</c:v>
                </c:pt>
                <c:pt idx="2841">
                  <c:v>20.423999999999999</c:v>
                </c:pt>
                <c:pt idx="2842">
                  <c:v>20.423999999999999</c:v>
                </c:pt>
                <c:pt idx="2843">
                  <c:v>20.423999999999999</c:v>
                </c:pt>
                <c:pt idx="2844">
                  <c:v>20.423999999999999</c:v>
                </c:pt>
                <c:pt idx="2845">
                  <c:v>20.329000000000001</c:v>
                </c:pt>
                <c:pt idx="2846">
                  <c:v>20.329000000000001</c:v>
                </c:pt>
                <c:pt idx="2847">
                  <c:v>20.329000000000001</c:v>
                </c:pt>
                <c:pt idx="2848">
                  <c:v>20.329000000000001</c:v>
                </c:pt>
                <c:pt idx="2849">
                  <c:v>20.329000000000001</c:v>
                </c:pt>
                <c:pt idx="2850">
                  <c:v>20.329000000000001</c:v>
                </c:pt>
                <c:pt idx="2851">
                  <c:v>20.329000000000001</c:v>
                </c:pt>
                <c:pt idx="2852">
                  <c:v>20.329000000000001</c:v>
                </c:pt>
                <c:pt idx="2853">
                  <c:v>20.329000000000001</c:v>
                </c:pt>
                <c:pt idx="2854">
                  <c:v>20.329000000000001</c:v>
                </c:pt>
                <c:pt idx="2855">
                  <c:v>20.329000000000001</c:v>
                </c:pt>
                <c:pt idx="2856">
                  <c:v>20.329000000000001</c:v>
                </c:pt>
                <c:pt idx="2857">
                  <c:v>20.329000000000001</c:v>
                </c:pt>
                <c:pt idx="2858">
                  <c:v>20.329000000000001</c:v>
                </c:pt>
                <c:pt idx="2859">
                  <c:v>20.329000000000001</c:v>
                </c:pt>
                <c:pt idx="2860">
                  <c:v>20.423999999999999</c:v>
                </c:pt>
                <c:pt idx="2861">
                  <c:v>20.423999999999999</c:v>
                </c:pt>
                <c:pt idx="2862">
                  <c:v>20.423999999999999</c:v>
                </c:pt>
                <c:pt idx="2863">
                  <c:v>20.423999999999999</c:v>
                </c:pt>
                <c:pt idx="2864">
                  <c:v>20.518999999999991</c:v>
                </c:pt>
                <c:pt idx="2865">
                  <c:v>20.518999999999991</c:v>
                </c:pt>
                <c:pt idx="2866">
                  <c:v>20.518999999999991</c:v>
                </c:pt>
                <c:pt idx="2867">
                  <c:v>20.518999999999991</c:v>
                </c:pt>
                <c:pt idx="2868">
                  <c:v>20.518999999999991</c:v>
                </c:pt>
                <c:pt idx="2869">
                  <c:v>20.614999999999998</c:v>
                </c:pt>
                <c:pt idx="2870">
                  <c:v>20.614999999999998</c:v>
                </c:pt>
                <c:pt idx="2871">
                  <c:v>20.614999999999998</c:v>
                </c:pt>
                <c:pt idx="2872">
                  <c:v>20.614999999999998</c:v>
                </c:pt>
                <c:pt idx="2873">
                  <c:v>20.614999999999998</c:v>
                </c:pt>
                <c:pt idx="2874">
                  <c:v>20.614999999999998</c:v>
                </c:pt>
                <c:pt idx="2875">
                  <c:v>20.614999999999998</c:v>
                </c:pt>
                <c:pt idx="2876">
                  <c:v>20.614999999999998</c:v>
                </c:pt>
                <c:pt idx="2877">
                  <c:v>20.614999999999998</c:v>
                </c:pt>
                <c:pt idx="2878">
                  <c:v>20.614999999999998</c:v>
                </c:pt>
                <c:pt idx="2879">
                  <c:v>20.614999999999998</c:v>
                </c:pt>
                <c:pt idx="2880">
                  <c:v>20.614999999999998</c:v>
                </c:pt>
                <c:pt idx="2881">
                  <c:v>20.614999999999998</c:v>
                </c:pt>
                <c:pt idx="2882">
                  <c:v>20.518999999999991</c:v>
                </c:pt>
                <c:pt idx="2883">
                  <c:v>20.518999999999991</c:v>
                </c:pt>
                <c:pt idx="2884">
                  <c:v>20.518999999999991</c:v>
                </c:pt>
                <c:pt idx="2885">
                  <c:v>20.518999999999991</c:v>
                </c:pt>
                <c:pt idx="2886">
                  <c:v>20.518999999999991</c:v>
                </c:pt>
                <c:pt idx="2887">
                  <c:v>20.518999999999991</c:v>
                </c:pt>
                <c:pt idx="2888">
                  <c:v>20.518999999999991</c:v>
                </c:pt>
                <c:pt idx="2889">
                  <c:v>20.518999999999991</c:v>
                </c:pt>
                <c:pt idx="2890">
                  <c:v>20.518999999999991</c:v>
                </c:pt>
                <c:pt idx="2891">
                  <c:v>20.518999999999991</c:v>
                </c:pt>
                <c:pt idx="2892">
                  <c:v>20.518999999999991</c:v>
                </c:pt>
                <c:pt idx="2893">
                  <c:v>20.518999999999991</c:v>
                </c:pt>
                <c:pt idx="2894">
                  <c:v>20.518999999999991</c:v>
                </c:pt>
                <c:pt idx="2895">
                  <c:v>20.518999999999991</c:v>
                </c:pt>
                <c:pt idx="2896">
                  <c:v>20.518999999999991</c:v>
                </c:pt>
                <c:pt idx="2897">
                  <c:v>20.518999999999991</c:v>
                </c:pt>
                <c:pt idx="2898">
                  <c:v>20.518999999999991</c:v>
                </c:pt>
                <c:pt idx="2899">
                  <c:v>20.423999999999999</c:v>
                </c:pt>
                <c:pt idx="2900">
                  <c:v>20.423999999999999</c:v>
                </c:pt>
                <c:pt idx="2901">
                  <c:v>20.518999999999991</c:v>
                </c:pt>
                <c:pt idx="2902">
                  <c:v>20.423999999999999</c:v>
                </c:pt>
                <c:pt idx="2903">
                  <c:v>20.423999999999999</c:v>
                </c:pt>
                <c:pt idx="2904">
                  <c:v>20.423999999999999</c:v>
                </c:pt>
                <c:pt idx="2905">
                  <c:v>20.423999999999999</c:v>
                </c:pt>
                <c:pt idx="2906">
                  <c:v>20.518999999999991</c:v>
                </c:pt>
                <c:pt idx="2907">
                  <c:v>20.518999999999991</c:v>
                </c:pt>
                <c:pt idx="2908">
                  <c:v>20.518999999999991</c:v>
                </c:pt>
                <c:pt idx="2909">
                  <c:v>20.518999999999991</c:v>
                </c:pt>
                <c:pt idx="2910">
                  <c:v>20.518999999999991</c:v>
                </c:pt>
                <c:pt idx="2911">
                  <c:v>20.518999999999991</c:v>
                </c:pt>
                <c:pt idx="2912">
                  <c:v>20.518999999999991</c:v>
                </c:pt>
                <c:pt idx="2913">
                  <c:v>20.614999999999998</c:v>
                </c:pt>
                <c:pt idx="2914">
                  <c:v>20.614999999999998</c:v>
                </c:pt>
                <c:pt idx="2915">
                  <c:v>20.614999999999998</c:v>
                </c:pt>
                <c:pt idx="2916">
                  <c:v>20.614999999999998</c:v>
                </c:pt>
                <c:pt idx="2917">
                  <c:v>20.614999999999998</c:v>
                </c:pt>
                <c:pt idx="2918">
                  <c:v>20.614999999999998</c:v>
                </c:pt>
                <c:pt idx="2919">
                  <c:v>20.614999999999998</c:v>
                </c:pt>
                <c:pt idx="2920">
                  <c:v>20.614999999999998</c:v>
                </c:pt>
                <c:pt idx="2921">
                  <c:v>20.614999999999998</c:v>
                </c:pt>
                <c:pt idx="2922">
                  <c:v>20.71</c:v>
                </c:pt>
                <c:pt idx="2923">
                  <c:v>20.614999999999998</c:v>
                </c:pt>
                <c:pt idx="2924">
                  <c:v>20.71</c:v>
                </c:pt>
                <c:pt idx="2925">
                  <c:v>20.71</c:v>
                </c:pt>
                <c:pt idx="2926">
                  <c:v>20.614999999999998</c:v>
                </c:pt>
                <c:pt idx="2927">
                  <c:v>20.614999999999998</c:v>
                </c:pt>
                <c:pt idx="2928">
                  <c:v>20.614999999999998</c:v>
                </c:pt>
                <c:pt idx="2929">
                  <c:v>20.614999999999998</c:v>
                </c:pt>
                <c:pt idx="2930">
                  <c:v>20.614999999999998</c:v>
                </c:pt>
                <c:pt idx="2931">
                  <c:v>20.614999999999998</c:v>
                </c:pt>
                <c:pt idx="2932">
                  <c:v>20.614999999999998</c:v>
                </c:pt>
                <c:pt idx="2933">
                  <c:v>20.614999999999998</c:v>
                </c:pt>
                <c:pt idx="2934">
                  <c:v>20.614999999999998</c:v>
                </c:pt>
                <c:pt idx="2935">
                  <c:v>20.614999999999998</c:v>
                </c:pt>
                <c:pt idx="2936">
                  <c:v>20.614999999999998</c:v>
                </c:pt>
                <c:pt idx="2937">
                  <c:v>20.614999999999998</c:v>
                </c:pt>
                <c:pt idx="2938">
                  <c:v>20.614999999999998</c:v>
                </c:pt>
                <c:pt idx="2939">
                  <c:v>20.614999999999998</c:v>
                </c:pt>
                <c:pt idx="2940">
                  <c:v>20.614999999999998</c:v>
                </c:pt>
                <c:pt idx="2941">
                  <c:v>20.614999999999998</c:v>
                </c:pt>
                <c:pt idx="2942">
                  <c:v>20.614999999999998</c:v>
                </c:pt>
                <c:pt idx="2943">
                  <c:v>20.614999999999998</c:v>
                </c:pt>
                <c:pt idx="2944">
                  <c:v>20.614999999999998</c:v>
                </c:pt>
                <c:pt idx="2945">
                  <c:v>20.614999999999998</c:v>
                </c:pt>
                <c:pt idx="2946">
                  <c:v>20.614999999999998</c:v>
                </c:pt>
                <c:pt idx="2947">
                  <c:v>20.614999999999998</c:v>
                </c:pt>
                <c:pt idx="2948">
                  <c:v>20.614999999999998</c:v>
                </c:pt>
                <c:pt idx="2949">
                  <c:v>20.614999999999998</c:v>
                </c:pt>
                <c:pt idx="2950">
                  <c:v>20.614999999999998</c:v>
                </c:pt>
                <c:pt idx="2951">
                  <c:v>20.614999999999998</c:v>
                </c:pt>
                <c:pt idx="2952">
                  <c:v>20.614999999999998</c:v>
                </c:pt>
                <c:pt idx="2953">
                  <c:v>20.614999999999998</c:v>
                </c:pt>
                <c:pt idx="2954">
                  <c:v>20.614999999999998</c:v>
                </c:pt>
                <c:pt idx="2955">
                  <c:v>20.614999999999998</c:v>
                </c:pt>
                <c:pt idx="2956">
                  <c:v>20.614999999999998</c:v>
                </c:pt>
                <c:pt idx="2957">
                  <c:v>20.614999999999998</c:v>
                </c:pt>
                <c:pt idx="2958">
                  <c:v>20.614999999999998</c:v>
                </c:pt>
                <c:pt idx="2959">
                  <c:v>20.614999999999998</c:v>
                </c:pt>
                <c:pt idx="2960">
                  <c:v>20.614999999999998</c:v>
                </c:pt>
                <c:pt idx="2961">
                  <c:v>20.614999999999998</c:v>
                </c:pt>
                <c:pt idx="2962">
                  <c:v>20.614999999999998</c:v>
                </c:pt>
                <c:pt idx="2963">
                  <c:v>20.614999999999998</c:v>
                </c:pt>
                <c:pt idx="2964">
                  <c:v>20.614999999999998</c:v>
                </c:pt>
                <c:pt idx="2965">
                  <c:v>20.71</c:v>
                </c:pt>
                <c:pt idx="2966">
                  <c:v>20.71</c:v>
                </c:pt>
                <c:pt idx="2967">
                  <c:v>20.71</c:v>
                </c:pt>
                <c:pt idx="2968">
                  <c:v>20.71</c:v>
                </c:pt>
                <c:pt idx="2969">
                  <c:v>20.71</c:v>
                </c:pt>
                <c:pt idx="2970">
                  <c:v>20.71</c:v>
                </c:pt>
                <c:pt idx="2971">
                  <c:v>20.71</c:v>
                </c:pt>
                <c:pt idx="2972">
                  <c:v>20.71</c:v>
                </c:pt>
                <c:pt idx="2973">
                  <c:v>20.71</c:v>
                </c:pt>
                <c:pt idx="2974">
                  <c:v>20.71</c:v>
                </c:pt>
                <c:pt idx="2975">
                  <c:v>20.71</c:v>
                </c:pt>
                <c:pt idx="2976">
                  <c:v>20.71</c:v>
                </c:pt>
                <c:pt idx="2977">
                  <c:v>20.71</c:v>
                </c:pt>
                <c:pt idx="2978">
                  <c:v>20.71</c:v>
                </c:pt>
                <c:pt idx="2979">
                  <c:v>20.71</c:v>
                </c:pt>
                <c:pt idx="2980">
                  <c:v>20.71</c:v>
                </c:pt>
                <c:pt idx="2981">
                  <c:v>20.71</c:v>
                </c:pt>
                <c:pt idx="2982">
                  <c:v>20.71</c:v>
                </c:pt>
                <c:pt idx="2983">
                  <c:v>20.71</c:v>
                </c:pt>
                <c:pt idx="2984">
                  <c:v>20.71</c:v>
                </c:pt>
                <c:pt idx="2985">
                  <c:v>20.71</c:v>
                </c:pt>
                <c:pt idx="2986">
                  <c:v>20.71</c:v>
                </c:pt>
                <c:pt idx="2987">
                  <c:v>20.71</c:v>
                </c:pt>
                <c:pt idx="2988">
                  <c:v>20.614999999999998</c:v>
                </c:pt>
                <c:pt idx="2989">
                  <c:v>20.614999999999998</c:v>
                </c:pt>
                <c:pt idx="2990">
                  <c:v>20.614999999999998</c:v>
                </c:pt>
                <c:pt idx="2991">
                  <c:v>20.614999999999998</c:v>
                </c:pt>
                <c:pt idx="2992">
                  <c:v>20.614999999999998</c:v>
                </c:pt>
                <c:pt idx="2993">
                  <c:v>20.614999999999998</c:v>
                </c:pt>
                <c:pt idx="2994">
                  <c:v>20.614999999999998</c:v>
                </c:pt>
                <c:pt idx="2995">
                  <c:v>20.614999999999998</c:v>
                </c:pt>
                <c:pt idx="2996">
                  <c:v>20.614999999999998</c:v>
                </c:pt>
                <c:pt idx="2997">
                  <c:v>20.614999999999998</c:v>
                </c:pt>
                <c:pt idx="2998">
                  <c:v>20.614999999999998</c:v>
                </c:pt>
                <c:pt idx="2999">
                  <c:v>20.614999999999998</c:v>
                </c:pt>
                <c:pt idx="3000">
                  <c:v>20.614999999999998</c:v>
                </c:pt>
                <c:pt idx="3001">
                  <c:v>20.614999999999998</c:v>
                </c:pt>
                <c:pt idx="3002">
                  <c:v>20.614999999999998</c:v>
                </c:pt>
                <c:pt idx="3003">
                  <c:v>20.614999999999998</c:v>
                </c:pt>
                <c:pt idx="3004">
                  <c:v>20.614999999999998</c:v>
                </c:pt>
                <c:pt idx="3005">
                  <c:v>20.614999999999998</c:v>
                </c:pt>
                <c:pt idx="3006">
                  <c:v>20.614999999999998</c:v>
                </c:pt>
                <c:pt idx="3007">
                  <c:v>20.614999999999998</c:v>
                </c:pt>
                <c:pt idx="3008">
                  <c:v>20.614999999999998</c:v>
                </c:pt>
                <c:pt idx="3009">
                  <c:v>20.614999999999998</c:v>
                </c:pt>
                <c:pt idx="3010">
                  <c:v>20.614999999999998</c:v>
                </c:pt>
                <c:pt idx="3011">
                  <c:v>20.614999999999998</c:v>
                </c:pt>
                <c:pt idx="3012">
                  <c:v>20.614999999999998</c:v>
                </c:pt>
                <c:pt idx="3013">
                  <c:v>20.614999999999998</c:v>
                </c:pt>
                <c:pt idx="3014">
                  <c:v>20.614999999999998</c:v>
                </c:pt>
                <c:pt idx="3015">
                  <c:v>20.614999999999998</c:v>
                </c:pt>
                <c:pt idx="3016">
                  <c:v>20.614999999999998</c:v>
                </c:pt>
                <c:pt idx="3017">
                  <c:v>20.614999999999998</c:v>
                </c:pt>
                <c:pt idx="3018">
                  <c:v>20.614999999999998</c:v>
                </c:pt>
                <c:pt idx="3019">
                  <c:v>20.614999999999998</c:v>
                </c:pt>
                <c:pt idx="3020">
                  <c:v>20.614999999999998</c:v>
                </c:pt>
                <c:pt idx="3021">
                  <c:v>20.614999999999998</c:v>
                </c:pt>
                <c:pt idx="3022">
                  <c:v>20.614999999999998</c:v>
                </c:pt>
                <c:pt idx="3023">
                  <c:v>20.614999999999998</c:v>
                </c:pt>
                <c:pt idx="3024">
                  <c:v>20.614999999999998</c:v>
                </c:pt>
                <c:pt idx="3025">
                  <c:v>20.614999999999998</c:v>
                </c:pt>
                <c:pt idx="3026">
                  <c:v>20.614999999999998</c:v>
                </c:pt>
                <c:pt idx="3027">
                  <c:v>20.614999999999998</c:v>
                </c:pt>
                <c:pt idx="3028">
                  <c:v>20.614999999999998</c:v>
                </c:pt>
                <c:pt idx="3029">
                  <c:v>20.614999999999998</c:v>
                </c:pt>
                <c:pt idx="3030">
                  <c:v>20.518999999999991</c:v>
                </c:pt>
                <c:pt idx="3031">
                  <c:v>20.518999999999991</c:v>
                </c:pt>
                <c:pt idx="3032">
                  <c:v>20.518999999999991</c:v>
                </c:pt>
                <c:pt idx="3033">
                  <c:v>20.518999999999991</c:v>
                </c:pt>
                <c:pt idx="3034">
                  <c:v>20.518999999999991</c:v>
                </c:pt>
                <c:pt idx="3035">
                  <c:v>20.518999999999991</c:v>
                </c:pt>
                <c:pt idx="3036">
                  <c:v>20.518999999999991</c:v>
                </c:pt>
                <c:pt idx="3037">
                  <c:v>20.518999999999991</c:v>
                </c:pt>
                <c:pt idx="3038">
                  <c:v>20.518999999999991</c:v>
                </c:pt>
                <c:pt idx="3039">
                  <c:v>20.518999999999991</c:v>
                </c:pt>
                <c:pt idx="3040">
                  <c:v>20.518999999999991</c:v>
                </c:pt>
                <c:pt idx="3041">
                  <c:v>20.518999999999991</c:v>
                </c:pt>
                <c:pt idx="3042">
                  <c:v>20.518999999999991</c:v>
                </c:pt>
                <c:pt idx="3043">
                  <c:v>20.518999999999991</c:v>
                </c:pt>
                <c:pt idx="3044">
                  <c:v>20.518999999999991</c:v>
                </c:pt>
                <c:pt idx="3045">
                  <c:v>20.518999999999991</c:v>
                </c:pt>
                <c:pt idx="3046">
                  <c:v>20.518999999999991</c:v>
                </c:pt>
                <c:pt idx="3047">
                  <c:v>20.518999999999991</c:v>
                </c:pt>
                <c:pt idx="3048">
                  <c:v>20.518999999999991</c:v>
                </c:pt>
                <c:pt idx="3049">
                  <c:v>20.518999999999991</c:v>
                </c:pt>
                <c:pt idx="3050">
                  <c:v>20.518999999999991</c:v>
                </c:pt>
                <c:pt idx="3051">
                  <c:v>20.518999999999991</c:v>
                </c:pt>
                <c:pt idx="3052">
                  <c:v>20.518999999999991</c:v>
                </c:pt>
                <c:pt idx="3053">
                  <c:v>20.518999999999991</c:v>
                </c:pt>
                <c:pt idx="3054">
                  <c:v>20.518999999999991</c:v>
                </c:pt>
                <c:pt idx="3055">
                  <c:v>20.518999999999991</c:v>
                </c:pt>
                <c:pt idx="3056">
                  <c:v>20.518999999999991</c:v>
                </c:pt>
                <c:pt idx="3057">
                  <c:v>20.518999999999991</c:v>
                </c:pt>
                <c:pt idx="3058">
                  <c:v>20.518999999999991</c:v>
                </c:pt>
                <c:pt idx="3059">
                  <c:v>20.518999999999991</c:v>
                </c:pt>
                <c:pt idx="3060">
                  <c:v>20.518999999999991</c:v>
                </c:pt>
                <c:pt idx="3061">
                  <c:v>20.518999999999991</c:v>
                </c:pt>
                <c:pt idx="3062">
                  <c:v>20.518999999999991</c:v>
                </c:pt>
                <c:pt idx="3063">
                  <c:v>20.518999999999991</c:v>
                </c:pt>
                <c:pt idx="3064">
                  <c:v>20.518999999999991</c:v>
                </c:pt>
                <c:pt idx="3065">
                  <c:v>20.614999999999998</c:v>
                </c:pt>
                <c:pt idx="3066">
                  <c:v>20.614999999999998</c:v>
                </c:pt>
                <c:pt idx="3067">
                  <c:v>20.614999999999998</c:v>
                </c:pt>
                <c:pt idx="3068">
                  <c:v>20.614999999999998</c:v>
                </c:pt>
                <c:pt idx="3069">
                  <c:v>20.614999999999998</c:v>
                </c:pt>
                <c:pt idx="3070">
                  <c:v>20.614999999999998</c:v>
                </c:pt>
                <c:pt idx="3071">
                  <c:v>20.614999999999998</c:v>
                </c:pt>
                <c:pt idx="3072">
                  <c:v>20.614999999999998</c:v>
                </c:pt>
                <c:pt idx="3073">
                  <c:v>20.614999999999998</c:v>
                </c:pt>
                <c:pt idx="3074">
                  <c:v>20.614999999999998</c:v>
                </c:pt>
                <c:pt idx="3075">
                  <c:v>20.614999999999998</c:v>
                </c:pt>
                <c:pt idx="3076">
                  <c:v>20.614999999999998</c:v>
                </c:pt>
                <c:pt idx="3077">
                  <c:v>20.518999999999991</c:v>
                </c:pt>
                <c:pt idx="3078">
                  <c:v>20.614999999999998</c:v>
                </c:pt>
                <c:pt idx="3079">
                  <c:v>20.518999999999991</c:v>
                </c:pt>
                <c:pt idx="3080">
                  <c:v>20.518999999999991</c:v>
                </c:pt>
                <c:pt idx="3081">
                  <c:v>20.518999999999991</c:v>
                </c:pt>
                <c:pt idx="3082">
                  <c:v>20.518999999999991</c:v>
                </c:pt>
                <c:pt idx="3083">
                  <c:v>20.518999999999991</c:v>
                </c:pt>
                <c:pt idx="3084">
                  <c:v>20.518999999999991</c:v>
                </c:pt>
                <c:pt idx="3085">
                  <c:v>20.518999999999991</c:v>
                </c:pt>
                <c:pt idx="3086">
                  <c:v>20.518999999999991</c:v>
                </c:pt>
                <c:pt idx="3087">
                  <c:v>20.518999999999991</c:v>
                </c:pt>
                <c:pt idx="3088">
                  <c:v>20.518999999999991</c:v>
                </c:pt>
                <c:pt idx="3089">
                  <c:v>20.518999999999991</c:v>
                </c:pt>
                <c:pt idx="3090">
                  <c:v>20.518999999999991</c:v>
                </c:pt>
                <c:pt idx="3091">
                  <c:v>20.518999999999991</c:v>
                </c:pt>
                <c:pt idx="3092">
                  <c:v>20.518999999999991</c:v>
                </c:pt>
                <c:pt idx="3093">
                  <c:v>20.518999999999991</c:v>
                </c:pt>
                <c:pt idx="3094">
                  <c:v>20.518999999999991</c:v>
                </c:pt>
                <c:pt idx="3095">
                  <c:v>20.518999999999991</c:v>
                </c:pt>
                <c:pt idx="3096">
                  <c:v>20.518999999999991</c:v>
                </c:pt>
                <c:pt idx="3097">
                  <c:v>20.518999999999991</c:v>
                </c:pt>
                <c:pt idx="3098">
                  <c:v>20.518999999999991</c:v>
                </c:pt>
                <c:pt idx="3099">
                  <c:v>20.518999999999991</c:v>
                </c:pt>
                <c:pt idx="3100">
                  <c:v>20.614999999999998</c:v>
                </c:pt>
                <c:pt idx="3101">
                  <c:v>20.614999999999998</c:v>
                </c:pt>
                <c:pt idx="3102">
                  <c:v>20.614999999999998</c:v>
                </c:pt>
                <c:pt idx="3103">
                  <c:v>20.614999999999998</c:v>
                </c:pt>
                <c:pt idx="3104">
                  <c:v>20.614999999999998</c:v>
                </c:pt>
                <c:pt idx="3105">
                  <c:v>20.71</c:v>
                </c:pt>
                <c:pt idx="3106">
                  <c:v>20.71</c:v>
                </c:pt>
                <c:pt idx="3107">
                  <c:v>20.71</c:v>
                </c:pt>
                <c:pt idx="3108">
                  <c:v>20.71</c:v>
                </c:pt>
                <c:pt idx="3109">
                  <c:v>20.71</c:v>
                </c:pt>
                <c:pt idx="3110">
                  <c:v>20.71</c:v>
                </c:pt>
                <c:pt idx="3111">
                  <c:v>20.71</c:v>
                </c:pt>
                <c:pt idx="3112">
                  <c:v>20.71</c:v>
                </c:pt>
                <c:pt idx="3113">
                  <c:v>20.71</c:v>
                </c:pt>
                <c:pt idx="3114">
                  <c:v>20.71</c:v>
                </c:pt>
                <c:pt idx="3115">
                  <c:v>20.71</c:v>
                </c:pt>
                <c:pt idx="3116">
                  <c:v>20.71</c:v>
                </c:pt>
                <c:pt idx="3117">
                  <c:v>20.71</c:v>
                </c:pt>
                <c:pt idx="3118">
                  <c:v>20.71</c:v>
                </c:pt>
                <c:pt idx="3119">
                  <c:v>20.71</c:v>
                </c:pt>
                <c:pt idx="3120">
                  <c:v>20.71</c:v>
                </c:pt>
                <c:pt idx="3121">
                  <c:v>20.71</c:v>
                </c:pt>
                <c:pt idx="3122">
                  <c:v>20.71</c:v>
                </c:pt>
                <c:pt idx="3123">
                  <c:v>20.614999999999998</c:v>
                </c:pt>
                <c:pt idx="3124">
                  <c:v>20.614999999999998</c:v>
                </c:pt>
                <c:pt idx="3125">
                  <c:v>20.614999999999998</c:v>
                </c:pt>
                <c:pt idx="3126">
                  <c:v>20.614999999999998</c:v>
                </c:pt>
                <c:pt idx="3127">
                  <c:v>20.614999999999998</c:v>
                </c:pt>
                <c:pt idx="3128">
                  <c:v>20.614999999999998</c:v>
                </c:pt>
                <c:pt idx="3129">
                  <c:v>20.614999999999998</c:v>
                </c:pt>
                <c:pt idx="3130">
                  <c:v>20.614999999999998</c:v>
                </c:pt>
                <c:pt idx="3131">
                  <c:v>20.614999999999998</c:v>
                </c:pt>
                <c:pt idx="3132">
                  <c:v>20.518999999999991</c:v>
                </c:pt>
                <c:pt idx="3133">
                  <c:v>20.518999999999991</c:v>
                </c:pt>
                <c:pt idx="3134">
                  <c:v>20.518999999999991</c:v>
                </c:pt>
                <c:pt idx="3135">
                  <c:v>20.518999999999991</c:v>
                </c:pt>
                <c:pt idx="3136">
                  <c:v>20.518999999999991</c:v>
                </c:pt>
                <c:pt idx="3137">
                  <c:v>20.518999999999991</c:v>
                </c:pt>
                <c:pt idx="3138">
                  <c:v>20.518999999999991</c:v>
                </c:pt>
                <c:pt idx="3139">
                  <c:v>20.518999999999991</c:v>
                </c:pt>
                <c:pt idx="3140">
                  <c:v>20.518999999999991</c:v>
                </c:pt>
                <c:pt idx="3141">
                  <c:v>20.518999999999991</c:v>
                </c:pt>
                <c:pt idx="3142">
                  <c:v>20.518999999999991</c:v>
                </c:pt>
                <c:pt idx="3143">
                  <c:v>20.518999999999991</c:v>
                </c:pt>
                <c:pt idx="3144">
                  <c:v>20.518999999999991</c:v>
                </c:pt>
                <c:pt idx="3145">
                  <c:v>20.518999999999991</c:v>
                </c:pt>
                <c:pt idx="3146">
                  <c:v>20.518999999999991</c:v>
                </c:pt>
                <c:pt idx="3147">
                  <c:v>20.518999999999991</c:v>
                </c:pt>
                <c:pt idx="3148">
                  <c:v>20.518999999999991</c:v>
                </c:pt>
                <c:pt idx="3149">
                  <c:v>20.518999999999991</c:v>
                </c:pt>
                <c:pt idx="3150">
                  <c:v>20.614999999999998</c:v>
                </c:pt>
                <c:pt idx="3151">
                  <c:v>20.614999999999998</c:v>
                </c:pt>
                <c:pt idx="3152">
                  <c:v>20.614999999999998</c:v>
                </c:pt>
                <c:pt idx="3153">
                  <c:v>20.614999999999998</c:v>
                </c:pt>
                <c:pt idx="3154">
                  <c:v>20.71</c:v>
                </c:pt>
                <c:pt idx="3155">
                  <c:v>20.71</c:v>
                </c:pt>
                <c:pt idx="3156">
                  <c:v>20.71</c:v>
                </c:pt>
                <c:pt idx="3157">
                  <c:v>20.71</c:v>
                </c:pt>
                <c:pt idx="3158">
                  <c:v>20.71</c:v>
                </c:pt>
                <c:pt idx="3159">
                  <c:v>20.71</c:v>
                </c:pt>
                <c:pt idx="3160">
                  <c:v>20.71</c:v>
                </c:pt>
                <c:pt idx="3161">
                  <c:v>20.71</c:v>
                </c:pt>
                <c:pt idx="3162">
                  <c:v>20.71</c:v>
                </c:pt>
                <c:pt idx="3163">
                  <c:v>20.71</c:v>
                </c:pt>
                <c:pt idx="3164">
                  <c:v>20.71</c:v>
                </c:pt>
                <c:pt idx="3165">
                  <c:v>20.71</c:v>
                </c:pt>
                <c:pt idx="3166">
                  <c:v>20.71</c:v>
                </c:pt>
                <c:pt idx="3167">
                  <c:v>20.71</c:v>
                </c:pt>
                <c:pt idx="3168">
                  <c:v>20.71</c:v>
                </c:pt>
                <c:pt idx="3169">
                  <c:v>20.71</c:v>
                </c:pt>
                <c:pt idx="3170">
                  <c:v>20.71</c:v>
                </c:pt>
                <c:pt idx="3171">
                  <c:v>20.71</c:v>
                </c:pt>
                <c:pt idx="3172">
                  <c:v>20.71</c:v>
                </c:pt>
                <c:pt idx="3173">
                  <c:v>20.71</c:v>
                </c:pt>
                <c:pt idx="3174">
                  <c:v>20.614999999999998</c:v>
                </c:pt>
                <c:pt idx="3175">
                  <c:v>20.614999999999998</c:v>
                </c:pt>
                <c:pt idx="3176">
                  <c:v>20.614999999999998</c:v>
                </c:pt>
                <c:pt idx="3177">
                  <c:v>20.614999999999998</c:v>
                </c:pt>
                <c:pt idx="3178">
                  <c:v>20.614999999999998</c:v>
                </c:pt>
                <c:pt idx="3179">
                  <c:v>20.614999999999998</c:v>
                </c:pt>
                <c:pt idx="3180">
                  <c:v>20.614999999999998</c:v>
                </c:pt>
                <c:pt idx="3181">
                  <c:v>20.518999999999991</c:v>
                </c:pt>
                <c:pt idx="3182">
                  <c:v>20.518999999999991</c:v>
                </c:pt>
                <c:pt idx="3183">
                  <c:v>20.518999999999991</c:v>
                </c:pt>
                <c:pt idx="3184">
                  <c:v>20.518999999999991</c:v>
                </c:pt>
                <c:pt idx="3185">
                  <c:v>20.518999999999991</c:v>
                </c:pt>
                <c:pt idx="3186">
                  <c:v>20.518999999999991</c:v>
                </c:pt>
                <c:pt idx="3187">
                  <c:v>20.518999999999991</c:v>
                </c:pt>
                <c:pt idx="3188">
                  <c:v>20.518999999999991</c:v>
                </c:pt>
                <c:pt idx="3189">
                  <c:v>20.518999999999991</c:v>
                </c:pt>
                <c:pt idx="3190">
                  <c:v>20.518999999999991</c:v>
                </c:pt>
                <c:pt idx="3191">
                  <c:v>20.518999999999991</c:v>
                </c:pt>
                <c:pt idx="3192">
                  <c:v>20.518999999999991</c:v>
                </c:pt>
                <c:pt idx="3193">
                  <c:v>20.518999999999991</c:v>
                </c:pt>
                <c:pt idx="3194">
                  <c:v>20.518999999999991</c:v>
                </c:pt>
                <c:pt idx="3195">
                  <c:v>20.518999999999991</c:v>
                </c:pt>
                <c:pt idx="3196">
                  <c:v>20.518999999999991</c:v>
                </c:pt>
                <c:pt idx="3197">
                  <c:v>20.518999999999991</c:v>
                </c:pt>
                <c:pt idx="3198">
                  <c:v>20.518999999999991</c:v>
                </c:pt>
                <c:pt idx="3199">
                  <c:v>20.614999999999998</c:v>
                </c:pt>
                <c:pt idx="3200">
                  <c:v>20.614999999999998</c:v>
                </c:pt>
                <c:pt idx="3201">
                  <c:v>20.614999999999998</c:v>
                </c:pt>
                <c:pt idx="3202">
                  <c:v>20.614999999999998</c:v>
                </c:pt>
                <c:pt idx="3203">
                  <c:v>20.614999999999998</c:v>
                </c:pt>
                <c:pt idx="3204">
                  <c:v>20.614999999999998</c:v>
                </c:pt>
                <c:pt idx="3205">
                  <c:v>20.614999999999998</c:v>
                </c:pt>
                <c:pt idx="3206">
                  <c:v>20.614999999999998</c:v>
                </c:pt>
                <c:pt idx="3207">
                  <c:v>20.614999999999998</c:v>
                </c:pt>
                <c:pt idx="3208">
                  <c:v>20.614999999999998</c:v>
                </c:pt>
                <c:pt idx="3209">
                  <c:v>20.614999999999998</c:v>
                </c:pt>
                <c:pt idx="3210">
                  <c:v>20.614999999999998</c:v>
                </c:pt>
                <c:pt idx="3211">
                  <c:v>20.614999999999998</c:v>
                </c:pt>
                <c:pt idx="3212">
                  <c:v>20.614999999999998</c:v>
                </c:pt>
                <c:pt idx="3213">
                  <c:v>20.614999999999998</c:v>
                </c:pt>
                <c:pt idx="3214">
                  <c:v>20.614999999999998</c:v>
                </c:pt>
                <c:pt idx="3215">
                  <c:v>20.614999999999998</c:v>
                </c:pt>
              </c:numCache>
            </c:numRef>
          </c:yVal>
          <c:smooth val="0"/>
          <c:extLst xmlns:c16r2="http://schemas.microsoft.com/office/drawing/2015/06/chart">
            <c:ext xmlns:c16="http://schemas.microsoft.com/office/drawing/2014/chart" uri="{C3380CC4-5D6E-409C-BE32-E72D297353CC}">
              <c16:uniqueId val="{00000001-ECB3-4E12-A1F3-7052C38CC8C1}"/>
            </c:ext>
          </c:extLst>
        </c:ser>
        <c:dLbls>
          <c:showLegendKey val="0"/>
          <c:showVal val="0"/>
          <c:showCatName val="0"/>
          <c:showSerName val="0"/>
          <c:showPercent val="0"/>
          <c:showBubbleSize val="0"/>
        </c:dLbls>
        <c:axId val="496880688"/>
        <c:axId val="496879904"/>
        <c:extLst xmlns:c16r2="http://schemas.microsoft.com/office/drawing/2015/06/chart">
          <c:ext xmlns:c15="http://schemas.microsoft.com/office/drawing/2012/chart" uri="{02D57815-91ED-43cb-92C2-25804820EDAC}">
            <c15:filteredScatterSeries>
              <c15:ser>
                <c:idx val="2"/>
                <c:order val="2"/>
                <c:tx>
                  <c:v>Round 2 Surf</c:v>
                </c:tx>
                <c:spPr>
                  <a:ln w="19050" cap="rnd">
                    <a:solidFill>
                      <a:schemeClr val="accent3"/>
                    </a:solidFill>
                    <a:round/>
                  </a:ln>
                  <a:effectLst/>
                </c:spPr>
                <c:marker>
                  <c:symbol val="none"/>
                </c:marker>
                <c:xVal>
                  <c:numRef>
                    <c:extLst xmlns:c16r2="http://schemas.microsoft.com/office/drawing/2015/06/chart">
                      <c:ext uri="{02D57815-91ED-43cb-92C2-25804820EDAC}">
                        <c15:formulaRef>
                          <c15:sqref>Sheet1!$J$3:$J$9794</c15:sqref>
                        </c15:formulaRef>
                      </c:ext>
                    </c:extLst>
                    <c:numCache>
                      <c:formatCode>0.00</c:formatCode>
                      <c:ptCount val="9792"/>
                      <c:pt idx="0">
                        <c:v>0</c:v>
                      </c:pt>
                      <c:pt idx="1">
                        <c:v>6.9444444452528842E-3</c:v>
                      </c:pt>
                      <c:pt idx="2">
                        <c:v>1.3888888890505768E-2</c:v>
                      </c:pt>
                      <c:pt idx="3">
                        <c:v>2.0833333335758653E-2</c:v>
                      </c:pt>
                      <c:pt idx="4">
                        <c:v>2.7777777781011537E-2</c:v>
                      </c:pt>
                      <c:pt idx="5">
                        <c:v>3.4722222218988463E-2</c:v>
                      </c:pt>
                      <c:pt idx="6">
                        <c:v>4.1666666664241347E-2</c:v>
                      </c:pt>
                      <c:pt idx="7">
                        <c:v>4.8611111109494232E-2</c:v>
                      </c:pt>
                      <c:pt idx="8">
                        <c:v>5.5555555554747116E-2</c:v>
                      </c:pt>
                      <c:pt idx="9">
                        <c:v>6.25E-2</c:v>
                      </c:pt>
                      <c:pt idx="10">
                        <c:v>6.9444444445252884E-2</c:v>
                      </c:pt>
                      <c:pt idx="11">
                        <c:v>7.6388888890505768E-2</c:v>
                      </c:pt>
                      <c:pt idx="12">
                        <c:v>8.3333333335758653E-2</c:v>
                      </c:pt>
                      <c:pt idx="13">
                        <c:v>9.0277777781011537E-2</c:v>
                      </c:pt>
                      <c:pt idx="14">
                        <c:v>9.7222222218988463E-2</c:v>
                      </c:pt>
                      <c:pt idx="15">
                        <c:v>0.10416666666424135</c:v>
                      </c:pt>
                      <c:pt idx="16">
                        <c:v>0.11111111110949423</c:v>
                      </c:pt>
                      <c:pt idx="17">
                        <c:v>0.11805555555474712</c:v>
                      </c:pt>
                      <c:pt idx="18">
                        <c:v>0.125</c:v>
                      </c:pt>
                      <c:pt idx="19">
                        <c:v>0.13194444444525288</c:v>
                      </c:pt>
                      <c:pt idx="20">
                        <c:v>0.13888888889050577</c:v>
                      </c:pt>
                      <c:pt idx="21">
                        <c:v>0.14583333333575865</c:v>
                      </c:pt>
                      <c:pt idx="22">
                        <c:v>0.15277777778101154</c:v>
                      </c:pt>
                      <c:pt idx="23">
                        <c:v>0.15972222221898846</c:v>
                      </c:pt>
                      <c:pt idx="24">
                        <c:v>0.16666666666424135</c:v>
                      </c:pt>
                      <c:pt idx="25">
                        <c:v>0.17361111110949423</c:v>
                      </c:pt>
                      <c:pt idx="26">
                        <c:v>0.18055555555474712</c:v>
                      </c:pt>
                      <c:pt idx="27">
                        <c:v>0.1875</c:v>
                      </c:pt>
                      <c:pt idx="28">
                        <c:v>0.19444444444525288</c:v>
                      </c:pt>
                      <c:pt idx="29">
                        <c:v>0.20138888889050577</c:v>
                      </c:pt>
                      <c:pt idx="30">
                        <c:v>0.20833333333575865</c:v>
                      </c:pt>
                      <c:pt idx="31">
                        <c:v>0.21527777778101154</c:v>
                      </c:pt>
                      <c:pt idx="32">
                        <c:v>0.22222222221898846</c:v>
                      </c:pt>
                      <c:pt idx="33">
                        <c:v>0.22916666666424135</c:v>
                      </c:pt>
                      <c:pt idx="34">
                        <c:v>0.23611111110949423</c:v>
                      </c:pt>
                      <c:pt idx="35">
                        <c:v>0.24305555555474712</c:v>
                      </c:pt>
                      <c:pt idx="36">
                        <c:v>0.25</c:v>
                      </c:pt>
                      <c:pt idx="37">
                        <c:v>0.25694444444525288</c:v>
                      </c:pt>
                      <c:pt idx="38">
                        <c:v>0.26388888889050577</c:v>
                      </c:pt>
                      <c:pt idx="39">
                        <c:v>0.27083333333575865</c:v>
                      </c:pt>
                      <c:pt idx="40">
                        <c:v>0.27777777778101154</c:v>
                      </c:pt>
                      <c:pt idx="41">
                        <c:v>0.28472222221898846</c:v>
                      </c:pt>
                      <c:pt idx="42">
                        <c:v>0.29166666666424135</c:v>
                      </c:pt>
                      <c:pt idx="43">
                        <c:v>0.29861111110949423</c:v>
                      </c:pt>
                      <c:pt idx="44">
                        <c:v>0.30555555555474712</c:v>
                      </c:pt>
                      <c:pt idx="45">
                        <c:v>0.3125</c:v>
                      </c:pt>
                      <c:pt idx="46">
                        <c:v>0.31944444444525288</c:v>
                      </c:pt>
                      <c:pt idx="47">
                        <c:v>0.32638888889050577</c:v>
                      </c:pt>
                      <c:pt idx="48">
                        <c:v>0.33333333333575865</c:v>
                      </c:pt>
                      <c:pt idx="49">
                        <c:v>0.34027777778101154</c:v>
                      </c:pt>
                      <c:pt idx="50">
                        <c:v>0.34722222221898846</c:v>
                      </c:pt>
                      <c:pt idx="51">
                        <c:v>0.35416666666424135</c:v>
                      </c:pt>
                      <c:pt idx="52">
                        <c:v>0.36111111110949423</c:v>
                      </c:pt>
                      <c:pt idx="53">
                        <c:v>0.36805555555474712</c:v>
                      </c:pt>
                      <c:pt idx="54">
                        <c:v>0.375</c:v>
                      </c:pt>
                      <c:pt idx="55">
                        <c:v>0.38194444444525288</c:v>
                      </c:pt>
                      <c:pt idx="56">
                        <c:v>0.38888888889050577</c:v>
                      </c:pt>
                      <c:pt idx="57">
                        <c:v>0.39583333333575865</c:v>
                      </c:pt>
                      <c:pt idx="58">
                        <c:v>0.40277777778101154</c:v>
                      </c:pt>
                      <c:pt idx="59">
                        <c:v>0.40972222221898846</c:v>
                      </c:pt>
                      <c:pt idx="60">
                        <c:v>0.41666666666424135</c:v>
                      </c:pt>
                      <c:pt idx="61">
                        <c:v>0.42361111110949423</c:v>
                      </c:pt>
                      <c:pt idx="62">
                        <c:v>0.43055555555474712</c:v>
                      </c:pt>
                      <c:pt idx="63">
                        <c:v>0.4375</c:v>
                      </c:pt>
                      <c:pt idx="64">
                        <c:v>0.44444444444525288</c:v>
                      </c:pt>
                      <c:pt idx="65">
                        <c:v>0.45138888889050577</c:v>
                      </c:pt>
                      <c:pt idx="66">
                        <c:v>0.45833333333575865</c:v>
                      </c:pt>
                      <c:pt idx="67">
                        <c:v>0.46527777778101154</c:v>
                      </c:pt>
                      <c:pt idx="68">
                        <c:v>0.47222222221898846</c:v>
                      </c:pt>
                      <c:pt idx="69">
                        <c:v>0.47916666666424135</c:v>
                      </c:pt>
                      <c:pt idx="70">
                        <c:v>0.48611111110949423</c:v>
                      </c:pt>
                      <c:pt idx="71">
                        <c:v>0.49305555555474712</c:v>
                      </c:pt>
                      <c:pt idx="72">
                        <c:v>0.5</c:v>
                      </c:pt>
                      <c:pt idx="73">
                        <c:v>0.50694444444525288</c:v>
                      </c:pt>
                      <c:pt idx="74">
                        <c:v>0.51388888889050577</c:v>
                      </c:pt>
                      <c:pt idx="75">
                        <c:v>0.52083333333575865</c:v>
                      </c:pt>
                      <c:pt idx="76">
                        <c:v>0.52777777778101154</c:v>
                      </c:pt>
                      <c:pt idx="77">
                        <c:v>0.53472222221898846</c:v>
                      </c:pt>
                      <c:pt idx="78">
                        <c:v>0.54166666666424135</c:v>
                      </c:pt>
                      <c:pt idx="79">
                        <c:v>0.54861111110949423</c:v>
                      </c:pt>
                      <c:pt idx="80">
                        <c:v>0.55555555555474712</c:v>
                      </c:pt>
                      <c:pt idx="81">
                        <c:v>0.5625</c:v>
                      </c:pt>
                      <c:pt idx="82">
                        <c:v>0.56944444444525288</c:v>
                      </c:pt>
                      <c:pt idx="83">
                        <c:v>0.57638888889050577</c:v>
                      </c:pt>
                      <c:pt idx="84">
                        <c:v>0.58333333333575865</c:v>
                      </c:pt>
                      <c:pt idx="85">
                        <c:v>0.59027777778101154</c:v>
                      </c:pt>
                      <c:pt idx="86">
                        <c:v>0.59722222221898846</c:v>
                      </c:pt>
                      <c:pt idx="87">
                        <c:v>0.60416666666424135</c:v>
                      </c:pt>
                      <c:pt idx="88">
                        <c:v>0.61111111110949423</c:v>
                      </c:pt>
                      <c:pt idx="89">
                        <c:v>0.61805555555474712</c:v>
                      </c:pt>
                      <c:pt idx="90">
                        <c:v>0.625</c:v>
                      </c:pt>
                      <c:pt idx="91">
                        <c:v>0.63194444444525288</c:v>
                      </c:pt>
                      <c:pt idx="92">
                        <c:v>0.63888888889050577</c:v>
                      </c:pt>
                      <c:pt idx="93">
                        <c:v>0.64583333333575865</c:v>
                      </c:pt>
                      <c:pt idx="94">
                        <c:v>0.65277777778101154</c:v>
                      </c:pt>
                      <c:pt idx="95">
                        <c:v>0.65972222221898846</c:v>
                      </c:pt>
                      <c:pt idx="96">
                        <c:v>0.66666666666424135</c:v>
                      </c:pt>
                      <c:pt idx="97">
                        <c:v>0.67361111110949423</c:v>
                      </c:pt>
                      <c:pt idx="98">
                        <c:v>0.68055555555474712</c:v>
                      </c:pt>
                      <c:pt idx="99">
                        <c:v>0.6875</c:v>
                      </c:pt>
                      <c:pt idx="100">
                        <c:v>0.69444444444525288</c:v>
                      </c:pt>
                      <c:pt idx="101">
                        <c:v>0.70138888889050577</c:v>
                      </c:pt>
                      <c:pt idx="102">
                        <c:v>0.70833333333575865</c:v>
                      </c:pt>
                      <c:pt idx="103">
                        <c:v>0.71527777778101154</c:v>
                      </c:pt>
                      <c:pt idx="104">
                        <c:v>0.72222222221898846</c:v>
                      </c:pt>
                      <c:pt idx="105">
                        <c:v>0.72916666666424135</c:v>
                      </c:pt>
                      <c:pt idx="106">
                        <c:v>0.73611111110949423</c:v>
                      </c:pt>
                      <c:pt idx="107">
                        <c:v>0.74305555555474712</c:v>
                      </c:pt>
                      <c:pt idx="108">
                        <c:v>0.75</c:v>
                      </c:pt>
                      <c:pt idx="109">
                        <c:v>0.75694444444525288</c:v>
                      </c:pt>
                      <c:pt idx="110">
                        <c:v>0.76388888889050577</c:v>
                      </c:pt>
                      <c:pt idx="111">
                        <c:v>0.77083333333575865</c:v>
                      </c:pt>
                      <c:pt idx="112">
                        <c:v>0.77777777778101154</c:v>
                      </c:pt>
                      <c:pt idx="113">
                        <c:v>0.78472222221898846</c:v>
                      </c:pt>
                      <c:pt idx="114">
                        <c:v>0.79166666666424135</c:v>
                      </c:pt>
                      <c:pt idx="115">
                        <c:v>0.79861111110949423</c:v>
                      </c:pt>
                      <c:pt idx="116">
                        <c:v>0.80555555555474712</c:v>
                      </c:pt>
                      <c:pt idx="117">
                        <c:v>0.8125</c:v>
                      </c:pt>
                      <c:pt idx="118">
                        <c:v>0.81944444444525288</c:v>
                      </c:pt>
                      <c:pt idx="119">
                        <c:v>0.82638888889050577</c:v>
                      </c:pt>
                      <c:pt idx="120">
                        <c:v>0.83333333333575865</c:v>
                      </c:pt>
                      <c:pt idx="121">
                        <c:v>0.84027777778101154</c:v>
                      </c:pt>
                      <c:pt idx="122">
                        <c:v>0.84722222221898846</c:v>
                      </c:pt>
                      <c:pt idx="123">
                        <c:v>0.85416666666424135</c:v>
                      </c:pt>
                      <c:pt idx="124">
                        <c:v>0.86111111110949423</c:v>
                      </c:pt>
                      <c:pt idx="125">
                        <c:v>0.86805555555474712</c:v>
                      </c:pt>
                      <c:pt idx="126">
                        <c:v>0.875</c:v>
                      </c:pt>
                      <c:pt idx="127">
                        <c:v>0.88194444444525288</c:v>
                      </c:pt>
                      <c:pt idx="128">
                        <c:v>0.88888888889050577</c:v>
                      </c:pt>
                      <c:pt idx="129">
                        <c:v>0.89583333333575865</c:v>
                      </c:pt>
                      <c:pt idx="130">
                        <c:v>0.90277777778101154</c:v>
                      </c:pt>
                      <c:pt idx="131">
                        <c:v>0.90972222221898846</c:v>
                      </c:pt>
                      <c:pt idx="132">
                        <c:v>0.91666666666424135</c:v>
                      </c:pt>
                      <c:pt idx="133">
                        <c:v>0.92361111110949423</c:v>
                      </c:pt>
                      <c:pt idx="134">
                        <c:v>0.93055555555474712</c:v>
                      </c:pt>
                      <c:pt idx="135">
                        <c:v>0.9375</c:v>
                      </c:pt>
                      <c:pt idx="136">
                        <c:v>0.94444444444525288</c:v>
                      </c:pt>
                      <c:pt idx="137">
                        <c:v>0.95138888889050577</c:v>
                      </c:pt>
                      <c:pt idx="138">
                        <c:v>0.95833333333575865</c:v>
                      </c:pt>
                      <c:pt idx="139">
                        <c:v>0.96527777778101154</c:v>
                      </c:pt>
                      <c:pt idx="140">
                        <c:v>0.97222222221898846</c:v>
                      </c:pt>
                      <c:pt idx="141">
                        <c:v>0.97916666666424135</c:v>
                      </c:pt>
                      <c:pt idx="142">
                        <c:v>0.98611111110949423</c:v>
                      </c:pt>
                      <c:pt idx="143">
                        <c:v>0.99305555555474712</c:v>
                      </c:pt>
                      <c:pt idx="144">
                        <c:v>1</c:v>
                      </c:pt>
                      <c:pt idx="145">
                        <c:v>1.0069444444452529</c:v>
                      </c:pt>
                      <c:pt idx="146">
                        <c:v>1.0138888888905058</c:v>
                      </c:pt>
                      <c:pt idx="147">
                        <c:v>1.0208333333357587</c:v>
                      </c:pt>
                      <c:pt idx="148">
                        <c:v>1.0277777777810115</c:v>
                      </c:pt>
                      <c:pt idx="149">
                        <c:v>1.0347222222189885</c:v>
                      </c:pt>
                      <c:pt idx="150">
                        <c:v>1.0416666666642413</c:v>
                      </c:pt>
                      <c:pt idx="151">
                        <c:v>1.0486111111094942</c:v>
                      </c:pt>
                      <c:pt idx="152">
                        <c:v>1.0555555555547471</c:v>
                      </c:pt>
                      <c:pt idx="153">
                        <c:v>1.0625</c:v>
                      </c:pt>
                      <c:pt idx="154">
                        <c:v>1.0694444444452529</c:v>
                      </c:pt>
                      <c:pt idx="155">
                        <c:v>1.0763888888905058</c:v>
                      </c:pt>
                      <c:pt idx="156">
                        <c:v>1.0833333333357587</c:v>
                      </c:pt>
                      <c:pt idx="157">
                        <c:v>1.0902777777810115</c:v>
                      </c:pt>
                      <c:pt idx="158">
                        <c:v>1.0972222222189885</c:v>
                      </c:pt>
                      <c:pt idx="159">
                        <c:v>1.1041666666642413</c:v>
                      </c:pt>
                      <c:pt idx="160">
                        <c:v>1.1111111111094942</c:v>
                      </c:pt>
                      <c:pt idx="161">
                        <c:v>1.1180555555547471</c:v>
                      </c:pt>
                      <c:pt idx="162">
                        <c:v>1.125</c:v>
                      </c:pt>
                      <c:pt idx="163">
                        <c:v>1.1319444444452529</c:v>
                      </c:pt>
                      <c:pt idx="164">
                        <c:v>1.1388888888905058</c:v>
                      </c:pt>
                      <c:pt idx="165">
                        <c:v>1.1458333333357587</c:v>
                      </c:pt>
                      <c:pt idx="166">
                        <c:v>1.1527777777810115</c:v>
                      </c:pt>
                      <c:pt idx="167">
                        <c:v>1.1597222222189885</c:v>
                      </c:pt>
                      <c:pt idx="168">
                        <c:v>1.1666666666642413</c:v>
                      </c:pt>
                      <c:pt idx="169">
                        <c:v>1.1736111111094942</c:v>
                      </c:pt>
                      <c:pt idx="170">
                        <c:v>1.1805555555547471</c:v>
                      </c:pt>
                      <c:pt idx="171">
                        <c:v>1.1875</c:v>
                      </c:pt>
                      <c:pt idx="172">
                        <c:v>1.1944444444452529</c:v>
                      </c:pt>
                      <c:pt idx="173">
                        <c:v>1.2013888888905058</c:v>
                      </c:pt>
                      <c:pt idx="174">
                        <c:v>1.2083333333357587</c:v>
                      </c:pt>
                      <c:pt idx="175">
                        <c:v>1.2152777777810115</c:v>
                      </c:pt>
                      <c:pt idx="176">
                        <c:v>1.2222222222189885</c:v>
                      </c:pt>
                      <c:pt idx="177">
                        <c:v>1.2291666666642413</c:v>
                      </c:pt>
                      <c:pt idx="178">
                        <c:v>1.2361111111094942</c:v>
                      </c:pt>
                      <c:pt idx="179">
                        <c:v>1.2430555555547471</c:v>
                      </c:pt>
                      <c:pt idx="180">
                        <c:v>1.25</c:v>
                      </c:pt>
                      <c:pt idx="181">
                        <c:v>1.2569444444452529</c:v>
                      </c:pt>
                      <c:pt idx="182">
                        <c:v>1.2638888888905058</c:v>
                      </c:pt>
                      <c:pt idx="183">
                        <c:v>1.2708333333357587</c:v>
                      </c:pt>
                      <c:pt idx="184">
                        <c:v>1.2777777777810115</c:v>
                      </c:pt>
                      <c:pt idx="185">
                        <c:v>1.2847222222189885</c:v>
                      </c:pt>
                      <c:pt idx="186">
                        <c:v>1.2916666666642413</c:v>
                      </c:pt>
                      <c:pt idx="187">
                        <c:v>1.2986111111094942</c:v>
                      </c:pt>
                      <c:pt idx="188">
                        <c:v>1.3055555555547471</c:v>
                      </c:pt>
                      <c:pt idx="189">
                        <c:v>1.3125</c:v>
                      </c:pt>
                      <c:pt idx="190">
                        <c:v>1.3194444444452529</c:v>
                      </c:pt>
                      <c:pt idx="191">
                        <c:v>1.3263888888905058</c:v>
                      </c:pt>
                      <c:pt idx="192">
                        <c:v>1.3333333333357587</c:v>
                      </c:pt>
                      <c:pt idx="193">
                        <c:v>1.3402777777810115</c:v>
                      </c:pt>
                      <c:pt idx="194">
                        <c:v>1.3472222222189885</c:v>
                      </c:pt>
                      <c:pt idx="195">
                        <c:v>1.3541666666642413</c:v>
                      </c:pt>
                      <c:pt idx="196">
                        <c:v>1.3611111111094942</c:v>
                      </c:pt>
                      <c:pt idx="197">
                        <c:v>1.3680555555547471</c:v>
                      </c:pt>
                      <c:pt idx="198">
                        <c:v>1.375</c:v>
                      </c:pt>
                      <c:pt idx="199">
                        <c:v>1.3819444444452529</c:v>
                      </c:pt>
                      <c:pt idx="200">
                        <c:v>1.3888888888905058</c:v>
                      </c:pt>
                      <c:pt idx="201">
                        <c:v>1.3958333333357587</c:v>
                      </c:pt>
                      <c:pt idx="202">
                        <c:v>1.4027777777810115</c:v>
                      </c:pt>
                      <c:pt idx="203">
                        <c:v>1.4097222222189885</c:v>
                      </c:pt>
                      <c:pt idx="204">
                        <c:v>1.4166666666642413</c:v>
                      </c:pt>
                      <c:pt idx="205">
                        <c:v>1.4236111111094942</c:v>
                      </c:pt>
                      <c:pt idx="206">
                        <c:v>1.4305555555547471</c:v>
                      </c:pt>
                      <c:pt idx="207">
                        <c:v>1.4375</c:v>
                      </c:pt>
                      <c:pt idx="208">
                        <c:v>1.4444444444452529</c:v>
                      </c:pt>
                      <c:pt idx="209">
                        <c:v>1.4513888888905058</c:v>
                      </c:pt>
                      <c:pt idx="210">
                        <c:v>1.4583333333357587</c:v>
                      </c:pt>
                      <c:pt idx="211">
                        <c:v>1.4652777777810115</c:v>
                      </c:pt>
                      <c:pt idx="212">
                        <c:v>1.4722222222189885</c:v>
                      </c:pt>
                      <c:pt idx="213">
                        <c:v>1.4791666666642413</c:v>
                      </c:pt>
                      <c:pt idx="214">
                        <c:v>1.4861111111094942</c:v>
                      </c:pt>
                      <c:pt idx="215">
                        <c:v>1.4930555555547471</c:v>
                      </c:pt>
                      <c:pt idx="216">
                        <c:v>1.5</c:v>
                      </c:pt>
                      <c:pt idx="217">
                        <c:v>1.5069444444452529</c:v>
                      </c:pt>
                      <c:pt idx="218">
                        <c:v>1.5138888888905058</c:v>
                      </c:pt>
                      <c:pt idx="219">
                        <c:v>1.5208333333357587</c:v>
                      </c:pt>
                      <c:pt idx="220">
                        <c:v>1.5277777777810115</c:v>
                      </c:pt>
                      <c:pt idx="221">
                        <c:v>1.5347222222189885</c:v>
                      </c:pt>
                      <c:pt idx="222">
                        <c:v>1.5416666666642413</c:v>
                      </c:pt>
                      <c:pt idx="223">
                        <c:v>1.5486111111094942</c:v>
                      </c:pt>
                      <c:pt idx="224">
                        <c:v>1.5555555555547471</c:v>
                      </c:pt>
                      <c:pt idx="225">
                        <c:v>1.5625</c:v>
                      </c:pt>
                      <c:pt idx="226">
                        <c:v>1.5694444444452529</c:v>
                      </c:pt>
                      <c:pt idx="227">
                        <c:v>1.5763888888905058</c:v>
                      </c:pt>
                      <c:pt idx="228">
                        <c:v>1.5833333333357587</c:v>
                      </c:pt>
                      <c:pt idx="229">
                        <c:v>1.5902777777810115</c:v>
                      </c:pt>
                      <c:pt idx="230">
                        <c:v>1.5972222222189885</c:v>
                      </c:pt>
                      <c:pt idx="231">
                        <c:v>1.6041666666642413</c:v>
                      </c:pt>
                      <c:pt idx="232">
                        <c:v>1.6111111111094942</c:v>
                      </c:pt>
                      <c:pt idx="233">
                        <c:v>1.6180555555547471</c:v>
                      </c:pt>
                      <c:pt idx="234">
                        <c:v>1.625</c:v>
                      </c:pt>
                      <c:pt idx="235">
                        <c:v>1.6319444444452529</c:v>
                      </c:pt>
                      <c:pt idx="236">
                        <c:v>1.6388888888905058</c:v>
                      </c:pt>
                      <c:pt idx="237">
                        <c:v>1.6458333333357587</c:v>
                      </c:pt>
                      <c:pt idx="238">
                        <c:v>1.6527777777810115</c:v>
                      </c:pt>
                      <c:pt idx="239">
                        <c:v>1.6597222222189885</c:v>
                      </c:pt>
                      <c:pt idx="240">
                        <c:v>1.6666666666642413</c:v>
                      </c:pt>
                      <c:pt idx="241">
                        <c:v>1.6736111111094942</c:v>
                      </c:pt>
                      <c:pt idx="242">
                        <c:v>1.6805555555547471</c:v>
                      </c:pt>
                      <c:pt idx="243">
                        <c:v>1.6875</c:v>
                      </c:pt>
                      <c:pt idx="244">
                        <c:v>1.6944444444452529</c:v>
                      </c:pt>
                      <c:pt idx="245">
                        <c:v>1.7013888888905058</c:v>
                      </c:pt>
                      <c:pt idx="246">
                        <c:v>1.7083333333357587</c:v>
                      </c:pt>
                      <c:pt idx="247">
                        <c:v>1.7152777777810115</c:v>
                      </c:pt>
                      <c:pt idx="248">
                        <c:v>1.7222222222189885</c:v>
                      </c:pt>
                      <c:pt idx="249">
                        <c:v>1.7291666666642413</c:v>
                      </c:pt>
                      <c:pt idx="250">
                        <c:v>1.7361111111094942</c:v>
                      </c:pt>
                      <c:pt idx="251">
                        <c:v>1.7430555555547471</c:v>
                      </c:pt>
                      <c:pt idx="252">
                        <c:v>1.75</c:v>
                      </c:pt>
                      <c:pt idx="253">
                        <c:v>1.7569444444452529</c:v>
                      </c:pt>
                      <c:pt idx="254">
                        <c:v>1.7638888888905058</c:v>
                      </c:pt>
                      <c:pt idx="255">
                        <c:v>1.7708333333357587</c:v>
                      </c:pt>
                      <c:pt idx="256">
                        <c:v>1.7777777777810115</c:v>
                      </c:pt>
                      <c:pt idx="257">
                        <c:v>1.7847222222189885</c:v>
                      </c:pt>
                      <c:pt idx="258">
                        <c:v>1.7916666666642413</c:v>
                      </c:pt>
                      <c:pt idx="259">
                        <c:v>1.7986111111094942</c:v>
                      </c:pt>
                      <c:pt idx="260">
                        <c:v>1.8055555555547471</c:v>
                      </c:pt>
                      <c:pt idx="261">
                        <c:v>1.8125</c:v>
                      </c:pt>
                      <c:pt idx="262">
                        <c:v>1.8194444444452529</c:v>
                      </c:pt>
                      <c:pt idx="263">
                        <c:v>1.8263888888905058</c:v>
                      </c:pt>
                      <c:pt idx="264">
                        <c:v>1.8333333333357587</c:v>
                      </c:pt>
                      <c:pt idx="265">
                        <c:v>1.8402777777810115</c:v>
                      </c:pt>
                      <c:pt idx="266">
                        <c:v>1.8472222222189885</c:v>
                      </c:pt>
                      <c:pt idx="267">
                        <c:v>1.8541666666642413</c:v>
                      </c:pt>
                      <c:pt idx="268">
                        <c:v>1.8611111111094942</c:v>
                      </c:pt>
                      <c:pt idx="269">
                        <c:v>1.8680555555547471</c:v>
                      </c:pt>
                      <c:pt idx="270">
                        <c:v>1.875</c:v>
                      </c:pt>
                      <c:pt idx="271">
                        <c:v>1.8819444444452529</c:v>
                      </c:pt>
                      <c:pt idx="272">
                        <c:v>1.8888888888905058</c:v>
                      </c:pt>
                      <c:pt idx="273">
                        <c:v>1.8958333333357587</c:v>
                      </c:pt>
                      <c:pt idx="274">
                        <c:v>1.9027777777810115</c:v>
                      </c:pt>
                      <c:pt idx="275">
                        <c:v>1.9097222222189885</c:v>
                      </c:pt>
                      <c:pt idx="276">
                        <c:v>1.9166666666642413</c:v>
                      </c:pt>
                      <c:pt idx="277">
                        <c:v>1.9236111111094942</c:v>
                      </c:pt>
                      <c:pt idx="278">
                        <c:v>1.9305555555547471</c:v>
                      </c:pt>
                      <c:pt idx="279">
                        <c:v>1.9375</c:v>
                      </c:pt>
                      <c:pt idx="280">
                        <c:v>1.9444444444452529</c:v>
                      </c:pt>
                      <c:pt idx="281">
                        <c:v>1.9513888888905058</c:v>
                      </c:pt>
                      <c:pt idx="282">
                        <c:v>1.9583333333357587</c:v>
                      </c:pt>
                      <c:pt idx="283">
                        <c:v>1.9652777777810115</c:v>
                      </c:pt>
                      <c:pt idx="284">
                        <c:v>1.9722222222189885</c:v>
                      </c:pt>
                      <c:pt idx="285">
                        <c:v>1.9791666666642413</c:v>
                      </c:pt>
                      <c:pt idx="286">
                        <c:v>1.9861111111094942</c:v>
                      </c:pt>
                      <c:pt idx="287">
                        <c:v>1.9930555555547471</c:v>
                      </c:pt>
                      <c:pt idx="288">
                        <c:v>2</c:v>
                      </c:pt>
                      <c:pt idx="289">
                        <c:v>2.0069444444452529</c:v>
                      </c:pt>
                      <c:pt idx="290">
                        <c:v>2.0138888888905058</c:v>
                      </c:pt>
                      <c:pt idx="291">
                        <c:v>2.0208333333357587</c:v>
                      </c:pt>
                      <c:pt idx="292">
                        <c:v>2.0277777777810115</c:v>
                      </c:pt>
                      <c:pt idx="293">
                        <c:v>2.0347222222189885</c:v>
                      </c:pt>
                      <c:pt idx="294">
                        <c:v>2.0416666666642413</c:v>
                      </c:pt>
                      <c:pt idx="295">
                        <c:v>2.0486111111094942</c:v>
                      </c:pt>
                      <c:pt idx="296">
                        <c:v>2.0555555555547471</c:v>
                      </c:pt>
                      <c:pt idx="297">
                        <c:v>2.0625</c:v>
                      </c:pt>
                      <c:pt idx="298">
                        <c:v>2.0694444444452529</c:v>
                      </c:pt>
                      <c:pt idx="299">
                        <c:v>2.0763888888905058</c:v>
                      </c:pt>
                      <c:pt idx="300">
                        <c:v>2.0833333333357587</c:v>
                      </c:pt>
                      <c:pt idx="301">
                        <c:v>2.0902777777810115</c:v>
                      </c:pt>
                      <c:pt idx="302">
                        <c:v>2.0972222222189885</c:v>
                      </c:pt>
                      <c:pt idx="303">
                        <c:v>2.1041666666642413</c:v>
                      </c:pt>
                      <c:pt idx="304">
                        <c:v>2.1111111111094942</c:v>
                      </c:pt>
                      <c:pt idx="305">
                        <c:v>2.1180555555547471</c:v>
                      </c:pt>
                      <c:pt idx="306">
                        <c:v>2.125</c:v>
                      </c:pt>
                      <c:pt idx="307">
                        <c:v>2.1319444444452529</c:v>
                      </c:pt>
                      <c:pt idx="308">
                        <c:v>2.1388888888905058</c:v>
                      </c:pt>
                      <c:pt idx="309">
                        <c:v>2.1458333333357587</c:v>
                      </c:pt>
                      <c:pt idx="310">
                        <c:v>2.1527777777810115</c:v>
                      </c:pt>
                      <c:pt idx="311">
                        <c:v>2.1597222222189885</c:v>
                      </c:pt>
                      <c:pt idx="312">
                        <c:v>2.1666666666642413</c:v>
                      </c:pt>
                      <c:pt idx="313">
                        <c:v>2.1736111111094942</c:v>
                      </c:pt>
                      <c:pt idx="314">
                        <c:v>2.1805555555547471</c:v>
                      </c:pt>
                      <c:pt idx="315">
                        <c:v>2.1875</c:v>
                      </c:pt>
                      <c:pt idx="316">
                        <c:v>2.1944444444452529</c:v>
                      </c:pt>
                      <c:pt idx="317">
                        <c:v>2.2013888888905058</c:v>
                      </c:pt>
                      <c:pt idx="318">
                        <c:v>2.2083333333357587</c:v>
                      </c:pt>
                      <c:pt idx="319">
                        <c:v>2.2152777777810115</c:v>
                      </c:pt>
                      <c:pt idx="320">
                        <c:v>2.2222222222189885</c:v>
                      </c:pt>
                      <c:pt idx="321">
                        <c:v>2.2291666666642413</c:v>
                      </c:pt>
                      <c:pt idx="322">
                        <c:v>2.2361111111094942</c:v>
                      </c:pt>
                      <c:pt idx="323">
                        <c:v>2.2430555555547471</c:v>
                      </c:pt>
                      <c:pt idx="324">
                        <c:v>2.25</c:v>
                      </c:pt>
                      <c:pt idx="325">
                        <c:v>2.2569444444452529</c:v>
                      </c:pt>
                      <c:pt idx="326">
                        <c:v>2.2638888888905058</c:v>
                      </c:pt>
                      <c:pt idx="327">
                        <c:v>2.2708333333357587</c:v>
                      </c:pt>
                      <c:pt idx="328">
                        <c:v>2.2777777777810115</c:v>
                      </c:pt>
                      <c:pt idx="329">
                        <c:v>2.2847222222189885</c:v>
                      </c:pt>
                      <c:pt idx="330">
                        <c:v>2.2916666666642413</c:v>
                      </c:pt>
                      <c:pt idx="331">
                        <c:v>2.2986111111094942</c:v>
                      </c:pt>
                      <c:pt idx="332">
                        <c:v>2.3055555555547471</c:v>
                      </c:pt>
                      <c:pt idx="333">
                        <c:v>2.3125</c:v>
                      </c:pt>
                      <c:pt idx="334">
                        <c:v>2.3194444444452529</c:v>
                      </c:pt>
                      <c:pt idx="335">
                        <c:v>2.3263888888905058</c:v>
                      </c:pt>
                      <c:pt idx="336">
                        <c:v>2.3333333333357587</c:v>
                      </c:pt>
                      <c:pt idx="337">
                        <c:v>2.3402777777810115</c:v>
                      </c:pt>
                      <c:pt idx="338">
                        <c:v>2.3472222222189885</c:v>
                      </c:pt>
                      <c:pt idx="339">
                        <c:v>2.3541666666642413</c:v>
                      </c:pt>
                      <c:pt idx="340">
                        <c:v>2.3611111111094942</c:v>
                      </c:pt>
                      <c:pt idx="341">
                        <c:v>2.3680555555547471</c:v>
                      </c:pt>
                      <c:pt idx="342">
                        <c:v>2.375</c:v>
                      </c:pt>
                      <c:pt idx="343">
                        <c:v>2.3819444444452529</c:v>
                      </c:pt>
                      <c:pt idx="344">
                        <c:v>2.3888888888905058</c:v>
                      </c:pt>
                      <c:pt idx="345">
                        <c:v>2.3958333333357587</c:v>
                      </c:pt>
                      <c:pt idx="346">
                        <c:v>2.4027777777810115</c:v>
                      </c:pt>
                      <c:pt idx="347">
                        <c:v>2.4097222222189885</c:v>
                      </c:pt>
                      <c:pt idx="348">
                        <c:v>2.4166666666642413</c:v>
                      </c:pt>
                      <c:pt idx="349">
                        <c:v>2.4236111111094942</c:v>
                      </c:pt>
                      <c:pt idx="350">
                        <c:v>2.4305555555547471</c:v>
                      </c:pt>
                      <c:pt idx="351">
                        <c:v>2.4375</c:v>
                      </c:pt>
                      <c:pt idx="352">
                        <c:v>2.4444444444452529</c:v>
                      </c:pt>
                      <c:pt idx="353">
                        <c:v>2.4513888888905058</c:v>
                      </c:pt>
                      <c:pt idx="354">
                        <c:v>2.4583333333357587</c:v>
                      </c:pt>
                      <c:pt idx="355">
                        <c:v>2.4652777777810115</c:v>
                      </c:pt>
                      <c:pt idx="356">
                        <c:v>2.4722222222189885</c:v>
                      </c:pt>
                      <c:pt idx="357">
                        <c:v>2.4791666666642413</c:v>
                      </c:pt>
                      <c:pt idx="358">
                        <c:v>2.4861111111094942</c:v>
                      </c:pt>
                      <c:pt idx="359">
                        <c:v>2.4930555555547471</c:v>
                      </c:pt>
                      <c:pt idx="360">
                        <c:v>2.5</c:v>
                      </c:pt>
                      <c:pt idx="361">
                        <c:v>2.5069444444452529</c:v>
                      </c:pt>
                      <c:pt idx="362">
                        <c:v>2.5138888888905058</c:v>
                      </c:pt>
                      <c:pt idx="363">
                        <c:v>2.5208333333357587</c:v>
                      </c:pt>
                      <c:pt idx="364">
                        <c:v>2.5277777777810115</c:v>
                      </c:pt>
                      <c:pt idx="365">
                        <c:v>2.5347222222189885</c:v>
                      </c:pt>
                      <c:pt idx="366">
                        <c:v>2.5416666666642413</c:v>
                      </c:pt>
                      <c:pt idx="367">
                        <c:v>2.5486111111094942</c:v>
                      </c:pt>
                      <c:pt idx="368">
                        <c:v>2.5555555555547471</c:v>
                      </c:pt>
                      <c:pt idx="369">
                        <c:v>2.5625</c:v>
                      </c:pt>
                      <c:pt idx="370">
                        <c:v>2.5694444444452529</c:v>
                      </c:pt>
                      <c:pt idx="371">
                        <c:v>2.5763888888905058</c:v>
                      </c:pt>
                      <c:pt idx="372">
                        <c:v>2.5833333333357587</c:v>
                      </c:pt>
                      <c:pt idx="373">
                        <c:v>2.5902777777810115</c:v>
                      </c:pt>
                      <c:pt idx="374">
                        <c:v>2.5972222222189885</c:v>
                      </c:pt>
                      <c:pt idx="375">
                        <c:v>2.6041666666642413</c:v>
                      </c:pt>
                      <c:pt idx="376">
                        <c:v>2.6111111111094942</c:v>
                      </c:pt>
                      <c:pt idx="377">
                        <c:v>2.6180555555547471</c:v>
                      </c:pt>
                      <c:pt idx="378">
                        <c:v>2.625</c:v>
                      </c:pt>
                      <c:pt idx="379">
                        <c:v>2.6319444444452529</c:v>
                      </c:pt>
                      <c:pt idx="380">
                        <c:v>2.6388888888905058</c:v>
                      </c:pt>
                      <c:pt idx="381">
                        <c:v>2.6458333333357587</c:v>
                      </c:pt>
                      <c:pt idx="382">
                        <c:v>2.6527777777810115</c:v>
                      </c:pt>
                      <c:pt idx="383">
                        <c:v>2.6597222222189885</c:v>
                      </c:pt>
                      <c:pt idx="384">
                        <c:v>2.6666666666642413</c:v>
                      </c:pt>
                      <c:pt idx="385">
                        <c:v>2.6736111111094942</c:v>
                      </c:pt>
                      <c:pt idx="386">
                        <c:v>2.6805555555547471</c:v>
                      </c:pt>
                      <c:pt idx="387">
                        <c:v>2.6875</c:v>
                      </c:pt>
                      <c:pt idx="388">
                        <c:v>2.6944444444452529</c:v>
                      </c:pt>
                      <c:pt idx="389">
                        <c:v>2.7013888888905058</c:v>
                      </c:pt>
                      <c:pt idx="390">
                        <c:v>2.7083333333357587</c:v>
                      </c:pt>
                      <c:pt idx="391">
                        <c:v>2.7152777777810115</c:v>
                      </c:pt>
                      <c:pt idx="392">
                        <c:v>2.7222222222189885</c:v>
                      </c:pt>
                      <c:pt idx="393">
                        <c:v>2.7291666666642413</c:v>
                      </c:pt>
                      <c:pt idx="394">
                        <c:v>2.7361111111094942</c:v>
                      </c:pt>
                      <c:pt idx="395">
                        <c:v>2.7430555555547471</c:v>
                      </c:pt>
                      <c:pt idx="396">
                        <c:v>2.75</c:v>
                      </c:pt>
                      <c:pt idx="397">
                        <c:v>2.7569444444452529</c:v>
                      </c:pt>
                      <c:pt idx="398">
                        <c:v>2.7638888888905058</c:v>
                      </c:pt>
                      <c:pt idx="399">
                        <c:v>2.7708333333357587</c:v>
                      </c:pt>
                      <c:pt idx="400">
                        <c:v>2.7777777777810115</c:v>
                      </c:pt>
                      <c:pt idx="401">
                        <c:v>2.7847222222189885</c:v>
                      </c:pt>
                      <c:pt idx="402">
                        <c:v>2.7916666666642413</c:v>
                      </c:pt>
                      <c:pt idx="403">
                        <c:v>2.7986111111094942</c:v>
                      </c:pt>
                      <c:pt idx="404">
                        <c:v>2.8055555555547471</c:v>
                      </c:pt>
                      <c:pt idx="405">
                        <c:v>2.8125</c:v>
                      </c:pt>
                      <c:pt idx="406">
                        <c:v>2.8194444444452529</c:v>
                      </c:pt>
                      <c:pt idx="407">
                        <c:v>2.8263888888905058</c:v>
                      </c:pt>
                      <c:pt idx="408">
                        <c:v>2.8333333333357587</c:v>
                      </c:pt>
                      <c:pt idx="409">
                        <c:v>2.8402777777810115</c:v>
                      </c:pt>
                      <c:pt idx="410">
                        <c:v>2.8472222222189885</c:v>
                      </c:pt>
                      <c:pt idx="411">
                        <c:v>2.8541666666642413</c:v>
                      </c:pt>
                      <c:pt idx="412">
                        <c:v>2.8611111111094942</c:v>
                      </c:pt>
                      <c:pt idx="413">
                        <c:v>2.8680555555547471</c:v>
                      </c:pt>
                      <c:pt idx="414">
                        <c:v>2.875</c:v>
                      </c:pt>
                      <c:pt idx="415">
                        <c:v>2.8819444444452529</c:v>
                      </c:pt>
                      <c:pt idx="416">
                        <c:v>2.8888888888905058</c:v>
                      </c:pt>
                      <c:pt idx="417">
                        <c:v>2.8958333333357587</c:v>
                      </c:pt>
                      <c:pt idx="418">
                        <c:v>2.9027777777810115</c:v>
                      </c:pt>
                      <c:pt idx="419">
                        <c:v>2.9097222222189885</c:v>
                      </c:pt>
                      <c:pt idx="420">
                        <c:v>2.9166666666642413</c:v>
                      </c:pt>
                      <c:pt idx="421">
                        <c:v>2.9236111111094942</c:v>
                      </c:pt>
                      <c:pt idx="422">
                        <c:v>2.9305555555547471</c:v>
                      </c:pt>
                      <c:pt idx="423">
                        <c:v>2.9375</c:v>
                      </c:pt>
                      <c:pt idx="424">
                        <c:v>2.9444444444452529</c:v>
                      </c:pt>
                      <c:pt idx="425">
                        <c:v>2.9513888888905058</c:v>
                      </c:pt>
                      <c:pt idx="426">
                        <c:v>2.9583333333357587</c:v>
                      </c:pt>
                      <c:pt idx="427">
                        <c:v>2.9652777777810115</c:v>
                      </c:pt>
                      <c:pt idx="428">
                        <c:v>2.9722222222189885</c:v>
                      </c:pt>
                      <c:pt idx="429">
                        <c:v>2.9791666666642413</c:v>
                      </c:pt>
                      <c:pt idx="430">
                        <c:v>2.9861111111094942</c:v>
                      </c:pt>
                      <c:pt idx="431">
                        <c:v>2.9930555555547471</c:v>
                      </c:pt>
                      <c:pt idx="432">
                        <c:v>3</c:v>
                      </c:pt>
                      <c:pt idx="433">
                        <c:v>3.0069444444452529</c:v>
                      </c:pt>
                      <c:pt idx="434">
                        <c:v>3.0138888888905058</c:v>
                      </c:pt>
                      <c:pt idx="435">
                        <c:v>3.0208333333357587</c:v>
                      </c:pt>
                      <c:pt idx="436">
                        <c:v>3.0277777777810115</c:v>
                      </c:pt>
                      <c:pt idx="437">
                        <c:v>3.0347222222189885</c:v>
                      </c:pt>
                      <c:pt idx="438">
                        <c:v>3.0416666666642413</c:v>
                      </c:pt>
                      <c:pt idx="439">
                        <c:v>3.0486111111094942</c:v>
                      </c:pt>
                      <c:pt idx="440">
                        <c:v>3.0555555555547471</c:v>
                      </c:pt>
                      <c:pt idx="441">
                        <c:v>3.0625</c:v>
                      </c:pt>
                      <c:pt idx="442">
                        <c:v>3.0694444444452529</c:v>
                      </c:pt>
                      <c:pt idx="443">
                        <c:v>3.0763888888905058</c:v>
                      </c:pt>
                      <c:pt idx="444">
                        <c:v>3.0833333333357587</c:v>
                      </c:pt>
                      <c:pt idx="445">
                        <c:v>3.0902777777810115</c:v>
                      </c:pt>
                      <c:pt idx="446">
                        <c:v>3.0972222222189885</c:v>
                      </c:pt>
                      <c:pt idx="447">
                        <c:v>3.1041666666642413</c:v>
                      </c:pt>
                      <c:pt idx="448">
                        <c:v>3.1111111111094942</c:v>
                      </c:pt>
                      <c:pt idx="449">
                        <c:v>3.1180555555547471</c:v>
                      </c:pt>
                      <c:pt idx="450">
                        <c:v>3.125</c:v>
                      </c:pt>
                      <c:pt idx="451">
                        <c:v>3.1319444444452529</c:v>
                      </c:pt>
                      <c:pt idx="452">
                        <c:v>3.1388888888905058</c:v>
                      </c:pt>
                      <c:pt idx="453">
                        <c:v>3.1458333333357587</c:v>
                      </c:pt>
                      <c:pt idx="454">
                        <c:v>3.1527777777810115</c:v>
                      </c:pt>
                      <c:pt idx="455">
                        <c:v>3.1597222222189885</c:v>
                      </c:pt>
                      <c:pt idx="456">
                        <c:v>3.1666666666642413</c:v>
                      </c:pt>
                      <c:pt idx="457">
                        <c:v>3.1736111111094942</c:v>
                      </c:pt>
                      <c:pt idx="458">
                        <c:v>3.1805555555547471</c:v>
                      </c:pt>
                      <c:pt idx="459">
                        <c:v>3.1875</c:v>
                      </c:pt>
                      <c:pt idx="460">
                        <c:v>3.1944444444452529</c:v>
                      </c:pt>
                      <c:pt idx="461">
                        <c:v>3.2013888888905058</c:v>
                      </c:pt>
                      <c:pt idx="462">
                        <c:v>3.2083333333357587</c:v>
                      </c:pt>
                      <c:pt idx="463">
                        <c:v>3.2152777777810115</c:v>
                      </c:pt>
                      <c:pt idx="464">
                        <c:v>3.2222222222189885</c:v>
                      </c:pt>
                      <c:pt idx="465">
                        <c:v>3.2291666666642413</c:v>
                      </c:pt>
                      <c:pt idx="466">
                        <c:v>3.2361111111094942</c:v>
                      </c:pt>
                      <c:pt idx="467">
                        <c:v>3.2430555555547471</c:v>
                      </c:pt>
                      <c:pt idx="468">
                        <c:v>3.25</c:v>
                      </c:pt>
                      <c:pt idx="469">
                        <c:v>3.2569444444452529</c:v>
                      </c:pt>
                      <c:pt idx="470">
                        <c:v>3.2638888888905058</c:v>
                      </c:pt>
                      <c:pt idx="471">
                        <c:v>3.2708333333357587</c:v>
                      </c:pt>
                      <c:pt idx="472">
                        <c:v>3.2777777777810115</c:v>
                      </c:pt>
                      <c:pt idx="473">
                        <c:v>3.2847222222189885</c:v>
                      </c:pt>
                      <c:pt idx="474">
                        <c:v>3.2916666666642413</c:v>
                      </c:pt>
                      <c:pt idx="475">
                        <c:v>3.2986111111094942</c:v>
                      </c:pt>
                      <c:pt idx="476">
                        <c:v>3.3055555555547471</c:v>
                      </c:pt>
                      <c:pt idx="477">
                        <c:v>3.3125</c:v>
                      </c:pt>
                      <c:pt idx="478">
                        <c:v>3.3194444444452529</c:v>
                      </c:pt>
                      <c:pt idx="479">
                        <c:v>3.3263888888905058</c:v>
                      </c:pt>
                      <c:pt idx="480">
                        <c:v>3.3333333333357587</c:v>
                      </c:pt>
                      <c:pt idx="481">
                        <c:v>3.3402777777810115</c:v>
                      </c:pt>
                      <c:pt idx="482">
                        <c:v>3.3472222222189885</c:v>
                      </c:pt>
                      <c:pt idx="483">
                        <c:v>3.3541666666642413</c:v>
                      </c:pt>
                      <c:pt idx="484">
                        <c:v>3.3611111111094942</c:v>
                      </c:pt>
                      <c:pt idx="485">
                        <c:v>3.3680555555547471</c:v>
                      </c:pt>
                      <c:pt idx="486">
                        <c:v>3.375</c:v>
                      </c:pt>
                      <c:pt idx="487">
                        <c:v>3.3819444444452529</c:v>
                      </c:pt>
                      <c:pt idx="488">
                        <c:v>3.3888888888905058</c:v>
                      </c:pt>
                      <c:pt idx="489">
                        <c:v>3.3958333333357587</c:v>
                      </c:pt>
                      <c:pt idx="490">
                        <c:v>3.4027777777810115</c:v>
                      </c:pt>
                      <c:pt idx="491">
                        <c:v>3.4097222222189885</c:v>
                      </c:pt>
                      <c:pt idx="492">
                        <c:v>3.4166666666642413</c:v>
                      </c:pt>
                      <c:pt idx="493">
                        <c:v>3.4236111111094942</c:v>
                      </c:pt>
                      <c:pt idx="494">
                        <c:v>3.4305555555547471</c:v>
                      </c:pt>
                      <c:pt idx="495">
                        <c:v>3.4375</c:v>
                      </c:pt>
                      <c:pt idx="496">
                        <c:v>3.4444444444452529</c:v>
                      </c:pt>
                      <c:pt idx="497">
                        <c:v>3.4513888888905058</c:v>
                      </c:pt>
                      <c:pt idx="498">
                        <c:v>3.4583333333357587</c:v>
                      </c:pt>
                      <c:pt idx="499">
                        <c:v>3.4652777777810115</c:v>
                      </c:pt>
                      <c:pt idx="500">
                        <c:v>3.4722222222189885</c:v>
                      </c:pt>
                      <c:pt idx="501">
                        <c:v>3.4791666666642413</c:v>
                      </c:pt>
                      <c:pt idx="502">
                        <c:v>3.4861111111094942</c:v>
                      </c:pt>
                      <c:pt idx="503">
                        <c:v>3.4930555555547471</c:v>
                      </c:pt>
                      <c:pt idx="504">
                        <c:v>3.5</c:v>
                      </c:pt>
                      <c:pt idx="505">
                        <c:v>3.5069444444452529</c:v>
                      </c:pt>
                      <c:pt idx="506">
                        <c:v>3.5138888888905058</c:v>
                      </c:pt>
                      <c:pt idx="507">
                        <c:v>3.5208333333357587</c:v>
                      </c:pt>
                      <c:pt idx="508">
                        <c:v>3.5277777777810115</c:v>
                      </c:pt>
                      <c:pt idx="509">
                        <c:v>3.5347222222189885</c:v>
                      </c:pt>
                      <c:pt idx="510">
                        <c:v>3.5416666666642413</c:v>
                      </c:pt>
                      <c:pt idx="511">
                        <c:v>3.5486111111094942</c:v>
                      </c:pt>
                      <c:pt idx="512">
                        <c:v>3.5555555555547471</c:v>
                      </c:pt>
                      <c:pt idx="513">
                        <c:v>3.5625</c:v>
                      </c:pt>
                      <c:pt idx="514">
                        <c:v>3.5694444444452529</c:v>
                      </c:pt>
                      <c:pt idx="515">
                        <c:v>3.5763888888905058</c:v>
                      </c:pt>
                      <c:pt idx="516">
                        <c:v>3.5833333333357587</c:v>
                      </c:pt>
                      <c:pt idx="517">
                        <c:v>3.5902777777810115</c:v>
                      </c:pt>
                      <c:pt idx="518">
                        <c:v>3.5972222222189885</c:v>
                      </c:pt>
                      <c:pt idx="519">
                        <c:v>3.6041666666642413</c:v>
                      </c:pt>
                      <c:pt idx="520">
                        <c:v>3.6111111111094942</c:v>
                      </c:pt>
                      <c:pt idx="521">
                        <c:v>3.6180555555547471</c:v>
                      </c:pt>
                      <c:pt idx="522">
                        <c:v>3.625</c:v>
                      </c:pt>
                      <c:pt idx="523">
                        <c:v>3.6319444444452529</c:v>
                      </c:pt>
                      <c:pt idx="524">
                        <c:v>3.6388888888905058</c:v>
                      </c:pt>
                      <c:pt idx="525">
                        <c:v>3.6458333333357587</c:v>
                      </c:pt>
                      <c:pt idx="526">
                        <c:v>3.6527777777810115</c:v>
                      </c:pt>
                      <c:pt idx="527">
                        <c:v>3.6597222222189885</c:v>
                      </c:pt>
                      <c:pt idx="528">
                        <c:v>3.6666666666642413</c:v>
                      </c:pt>
                      <c:pt idx="529">
                        <c:v>3.6736111111094942</c:v>
                      </c:pt>
                      <c:pt idx="530">
                        <c:v>3.6805555555547471</c:v>
                      </c:pt>
                      <c:pt idx="531">
                        <c:v>3.6875</c:v>
                      </c:pt>
                      <c:pt idx="532">
                        <c:v>3.6944444444452529</c:v>
                      </c:pt>
                      <c:pt idx="533">
                        <c:v>3.7013888888905058</c:v>
                      </c:pt>
                      <c:pt idx="534">
                        <c:v>3.7083333333357587</c:v>
                      </c:pt>
                      <c:pt idx="535">
                        <c:v>3.7152777777810115</c:v>
                      </c:pt>
                      <c:pt idx="536">
                        <c:v>3.7222222222189885</c:v>
                      </c:pt>
                      <c:pt idx="537">
                        <c:v>3.7291666666642413</c:v>
                      </c:pt>
                      <c:pt idx="538">
                        <c:v>3.7361111111094942</c:v>
                      </c:pt>
                      <c:pt idx="539">
                        <c:v>3.7430555555547471</c:v>
                      </c:pt>
                      <c:pt idx="540">
                        <c:v>3.75</c:v>
                      </c:pt>
                      <c:pt idx="541">
                        <c:v>3.7569444444452529</c:v>
                      </c:pt>
                      <c:pt idx="542">
                        <c:v>3.7638888888905058</c:v>
                      </c:pt>
                      <c:pt idx="543">
                        <c:v>3.7708333333357587</c:v>
                      </c:pt>
                      <c:pt idx="544">
                        <c:v>3.7777777777810115</c:v>
                      </c:pt>
                      <c:pt idx="545">
                        <c:v>3.7847222222189885</c:v>
                      </c:pt>
                      <c:pt idx="546">
                        <c:v>3.7916666666642413</c:v>
                      </c:pt>
                      <c:pt idx="547">
                        <c:v>3.7986111111094942</c:v>
                      </c:pt>
                      <c:pt idx="548">
                        <c:v>3.8055555555547471</c:v>
                      </c:pt>
                      <c:pt idx="549">
                        <c:v>3.8125</c:v>
                      </c:pt>
                      <c:pt idx="550">
                        <c:v>3.8194444444452529</c:v>
                      </c:pt>
                      <c:pt idx="551">
                        <c:v>3.8263888888905058</c:v>
                      </c:pt>
                      <c:pt idx="552">
                        <c:v>3.8333333333357587</c:v>
                      </c:pt>
                      <c:pt idx="553">
                        <c:v>3.8402777777810115</c:v>
                      </c:pt>
                      <c:pt idx="554">
                        <c:v>3.8472222222189885</c:v>
                      </c:pt>
                      <c:pt idx="555">
                        <c:v>3.8541666666642413</c:v>
                      </c:pt>
                      <c:pt idx="556">
                        <c:v>3.8611111111094942</c:v>
                      </c:pt>
                      <c:pt idx="557">
                        <c:v>3.8680555555547471</c:v>
                      </c:pt>
                      <c:pt idx="558">
                        <c:v>3.875</c:v>
                      </c:pt>
                      <c:pt idx="559">
                        <c:v>3.8819444444452529</c:v>
                      </c:pt>
                      <c:pt idx="560">
                        <c:v>3.8888888888905058</c:v>
                      </c:pt>
                      <c:pt idx="561">
                        <c:v>3.8958333333357587</c:v>
                      </c:pt>
                      <c:pt idx="562">
                        <c:v>3.9027777777810115</c:v>
                      </c:pt>
                      <c:pt idx="563">
                        <c:v>3.9097222222189885</c:v>
                      </c:pt>
                      <c:pt idx="564">
                        <c:v>3.9166666666642413</c:v>
                      </c:pt>
                      <c:pt idx="565">
                        <c:v>3.9236111111094942</c:v>
                      </c:pt>
                      <c:pt idx="566">
                        <c:v>3.9305555555547471</c:v>
                      </c:pt>
                      <c:pt idx="567">
                        <c:v>3.9375</c:v>
                      </c:pt>
                      <c:pt idx="568">
                        <c:v>3.9444444444452529</c:v>
                      </c:pt>
                      <c:pt idx="569">
                        <c:v>3.9513888888905058</c:v>
                      </c:pt>
                      <c:pt idx="570">
                        <c:v>3.9583333333357587</c:v>
                      </c:pt>
                      <c:pt idx="571">
                        <c:v>3.9652777777810115</c:v>
                      </c:pt>
                      <c:pt idx="572">
                        <c:v>3.9722222222189885</c:v>
                      </c:pt>
                      <c:pt idx="573">
                        <c:v>3.9791666666642413</c:v>
                      </c:pt>
                      <c:pt idx="574">
                        <c:v>3.9861111111094942</c:v>
                      </c:pt>
                      <c:pt idx="575">
                        <c:v>3.9930555555547471</c:v>
                      </c:pt>
                      <c:pt idx="576">
                        <c:v>4</c:v>
                      </c:pt>
                      <c:pt idx="577">
                        <c:v>4.0069444444452529</c:v>
                      </c:pt>
                      <c:pt idx="578">
                        <c:v>4.0138888888905058</c:v>
                      </c:pt>
                      <c:pt idx="579">
                        <c:v>4.0208333333357587</c:v>
                      </c:pt>
                      <c:pt idx="580">
                        <c:v>4.0277777777810115</c:v>
                      </c:pt>
                      <c:pt idx="581">
                        <c:v>4.0347222222189885</c:v>
                      </c:pt>
                      <c:pt idx="582">
                        <c:v>4.0416666666642413</c:v>
                      </c:pt>
                      <c:pt idx="583">
                        <c:v>4.0486111111094942</c:v>
                      </c:pt>
                      <c:pt idx="584">
                        <c:v>4.0555555555547471</c:v>
                      </c:pt>
                      <c:pt idx="585">
                        <c:v>4.0625</c:v>
                      </c:pt>
                      <c:pt idx="586">
                        <c:v>4.0694444444452529</c:v>
                      </c:pt>
                      <c:pt idx="587">
                        <c:v>4.0763888888905058</c:v>
                      </c:pt>
                      <c:pt idx="588">
                        <c:v>4.0833333333357587</c:v>
                      </c:pt>
                      <c:pt idx="589">
                        <c:v>4.0902777777810115</c:v>
                      </c:pt>
                      <c:pt idx="590">
                        <c:v>4.0972222222189885</c:v>
                      </c:pt>
                      <c:pt idx="591">
                        <c:v>4.1041666666642413</c:v>
                      </c:pt>
                      <c:pt idx="592">
                        <c:v>4.1111111111094942</c:v>
                      </c:pt>
                      <c:pt idx="593">
                        <c:v>4.1180555555547471</c:v>
                      </c:pt>
                      <c:pt idx="594">
                        <c:v>4.125</c:v>
                      </c:pt>
                      <c:pt idx="595">
                        <c:v>4.1319444444452529</c:v>
                      </c:pt>
                      <c:pt idx="596">
                        <c:v>4.1388888888905058</c:v>
                      </c:pt>
                      <c:pt idx="597">
                        <c:v>4.1458333333357587</c:v>
                      </c:pt>
                      <c:pt idx="598">
                        <c:v>4.1527777777810115</c:v>
                      </c:pt>
                      <c:pt idx="599">
                        <c:v>4.1597222222189885</c:v>
                      </c:pt>
                      <c:pt idx="600">
                        <c:v>4.1666666666642413</c:v>
                      </c:pt>
                      <c:pt idx="601">
                        <c:v>4.1736111111094942</c:v>
                      </c:pt>
                      <c:pt idx="602">
                        <c:v>4.1805555555547471</c:v>
                      </c:pt>
                      <c:pt idx="603">
                        <c:v>4.1875</c:v>
                      </c:pt>
                      <c:pt idx="604">
                        <c:v>4.1944444444452529</c:v>
                      </c:pt>
                      <c:pt idx="605">
                        <c:v>4.2013888888905058</c:v>
                      </c:pt>
                      <c:pt idx="606">
                        <c:v>4.2083333333357587</c:v>
                      </c:pt>
                      <c:pt idx="607">
                        <c:v>4.2152777777810115</c:v>
                      </c:pt>
                      <c:pt idx="608">
                        <c:v>4.2222222222189885</c:v>
                      </c:pt>
                      <c:pt idx="609">
                        <c:v>4.2291666666642413</c:v>
                      </c:pt>
                      <c:pt idx="610">
                        <c:v>4.2361111111094942</c:v>
                      </c:pt>
                      <c:pt idx="611">
                        <c:v>4.2430555555547471</c:v>
                      </c:pt>
                      <c:pt idx="612">
                        <c:v>4.25</c:v>
                      </c:pt>
                      <c:pt idx="613">
                        <c:v>4.2569444444452529</c:v>
                      </c:pt>
                      <c:pt idx="614">
                        <c:v>4.2638888888905058</c:v>
                      </c:pt>
                      <c:pt idx="615">
                        <c:v>4.2708333333357587</c:v>
                      </c:pt>
                      <c:pt idx="616">
                        <c:v>4.2777777777810115</c:v>
                      </c:pt>
                      <c:pt idx="617">
                        <c:v>4.2847222222189885</c:v>
                      </c:pt>
                      <c:pt idx="618">
                        <c:v>4.2916666666642413</c:v>
                      </c:pt>
                      <c:pt idx="619">
                        <c:v>4.2986111111094942</c:v>
                      </c:pt>
                      <c:pt idx="620">
                        <c:v>4.3055555555547471</c:v>
                      </c:pt>
                      <c:pt idx="621">
                        <c:v>4.3125</c:v>
                      </c:pt>
                      <c:pt idx="622">
                        <c:v>4.3194444444452529</c:v>
                      </c:pt>
                      <c:pt idx="623">
                        <c:v>4.3263888888905058</c:v>
                      </c:pt>
                      <c:pt idx="624">
                        <c:v>4.3333333333357587</c:v>
                      </c:pt>
                      <c:pt idx="625">
                        <c:v>4.3402777777810115</c:v>
                      </c:pt>
                      <c:pt idx="626">
                        <c:v>4.3472222222189885</c:v>
                      </c:pt>
                      <c:pt idx="627">
                        <c:v>4.3541666666642413</c:v>
                      </c:pt>
                      <c:pt idx="628">
                        <c:v>4.3611111111094942</c:v>
                      </c:pt>
                      <c:pt idx="629">
                        <c:v>4.3680555555547471</c:v>
                      </c:pt>
                      <c:pt idx="630">
                        <c:v>4.375</c:v>
                      </c:pt>
                      <c:pt idx="631">
                        <c:v>4.3819444444452529</c:v>
                      </c:pt>
                      <c:pt idx="632">
                        <c:v>4.3888888888905058</c:v>
                      </c:pt>
                      <c:pt idx="633">
                        <c:v>4.3958333333357587</c:v>
                      </c:pt>
                      <c:pt idx="634">
                        <c:v>4.4027777777810115</c:v>
                      </c:pt>
                      <c:pt idx="635">
                        <c:v>4.4097222222189885</c:v>
                      </c:pt>
                      <c:pt idx="636">
                        <c:v>4.4166666666642413</c:v>
                      </c:pt>
                      <c:pt idx="637">
                        <c:v>4.4236111111094942</c:v>
                      </c:pt>
                      <c:pt idx="638">
                        <c:v>4.4305555555547471</c:v>
                      </c:pt>
                      <c:pt idx="639">
                        <c:v>4.4375</c:v>
                      </c:pt>
                      <c:pt idx="640">
                        <c:v>4.4444444444452529</c:v>
                      </c:pt>
                      <c:pt idx="641">
                        <c:v>4.4513888888905058</c:v>
                      </c:pt>
                      <c:pt idx="642">
                        <c:v>4.4583333333357587</c:v>
                      </c:pt>
                      <c:pt idx="643">
                        <c:v>4.4652777777810115</c:v>
                      </c:pt>
                      <c:pt idx="644">
                        <c:v>4.4722222222189885</c:v>
                      </c:pt>
                      <c:pt idx="645">
                        <c:v>4.4791666666642413</c:v>
                      </c:pt>
                      <c:pt idx="646">
                        <c:v>4.4861111111094942</c:v>
                      </c:pt>
                      <c:pt idx="647">
                        <c:v>4.4930555555547471</c:v>
                      </c:pt>
                      <c:pt idx="648">
                        <c:v>4.5</c:v>
                      </c:pt>
                      <c:pt idx="649">
                        <c:v>4.5069444444452529</c:v>
                      </c:pt>
                      <c:pt idx="650">
                        <c:v>4.5138888888905058</c:v>
                      </c:pt>
                      <c:pt idx="651">
                        <c:v>4.5208333333357587</c:v>
                      </c:pt>
                      <c:pt idx="652">
                        <c:v>4.5277777777810115</c:v>
                      </c:pt>
                      <c:pt idx="653">
                        <c:v>4.5347222222189885</c:v>
                      </c:pt>
                      <c:pt idx="654">
                        <c:v>4.5416666666642413</c:v>
                      </c:pt>
                      <c:pt idx="655">
                        <c:v>4.5486111111094942</c:v>
                      </c:pt>
                      <c:pt idx="656">
                        <c:v>4.5555555555547471</c:v>
                      </c:pt>
                      <c:pt idx="657">
                        <c:v>4.5625</c:v>
                      </c:pt>
                      <c:pt idx="658">
                        <c:v>4.5694444444452529</c:v>
                      </c:pt>
                      <c:pt idx="659">
                        <c:v>4.5763888888905058</c:v>
                      </c:pt>
                      <c:pt idx="660">
                        <c:v>4.5833333333357587</c:v>
                      </c:pt>
                      <c:pt idx="661">
                        <c:v>4.5902777777810115</c:v>
                      </c:pt>
                      <c:pt idx="662">
                        <c:v>4.5972222222189885</c:v>
                      </c:pt>
                      <c:pt idx="663">
                        <c:v>4.6041666666642413</c:v>
                      </c:pt>
                      <c:pt idx="664">
                        <c:v>4.6111111111094942</c:v>
                      </c:pt>
                      <c:pt idx="665">
                        <c:v>4.6180555555547471</c:v>
                      </c:pt>
                      <c:pt idx="666">
                        <c:v>4.625</c:v>
                      </c:pt>
                      <c:pt idx="667">
                        <c:v>4.6319444444452529</c:v>
                      </c:pt>
                      <c:pt idx="668">
                        <c:v>4.6388888888905058</c:v>
                      </c:pt>
                      <c:pt idx="669">
                        <c:v>4.6458333333357587</c:v>
                      </c:pt>
                      <c:pt idx="670">
                        <c:v>4.6527777777810115</c:v>
                      </c:pt>
                      <c:pt idx="671">
                        <c:v>4.6597222222189885</c:v>
                      </c:pt>
                      <c:pt idx="672">
                        <c:v>4.6666666666642413</c:v>
                      </c:pt>
                      <c:pt idx="673">
                        <c:v>4.6736111111094942</c:v>
                      </c:pt>
                      <c:pt idx="674">
                        <c:v>4.6805555555547471</c:v>
                      </c:pt>
                      <c:pt idx="675">
                        <c:v>4.6875</c:v>
                      </c:pt>
                      <c:pt idx="676">
                        <c:v>4.6944444444452529</c:v>
                      </c:pt>
                      <c:pt idx="677">
                        <c:v>4.7013888888905058</c:v>
                      </c:pt>
                      <c:pt idx="678">
                        <c:v>4.7083333333357587</c:v>
                      </c:pt>
                      <c:pt idx="679">
                        <c:v>4.7152777777810115</c:v>
                      </c:pt>
                      <c:pt idx="680">
                        <c:v>4.7222222222189885</c:v>
                      </c:pt>
                      <c:pt idx="681">
                        <c:v>4.7291666666642413</c:v>
                      </c:pt>
                      <c:pt idx="682">
                        <c:v>4.7361111111094942</c:v>
                      </c:pt>
                      <c:pt idx="683">
                        <c:v>4.7430555555547471</c:v>
                      </c:pt>
                      <c:pt idx="684">
                        <c:v>4.75</c:v>
                      </c:pt>
                      <c:pt idx="685">
                        <c:v>4.7569444444452529</c:v>
                      </c:pt>
                      <c:pt idx="686">
                        <c:v>4.7638888888905058</c:v>
                      </c:pt>
                      <c:pt idx="687">
                        <c:v>4.7708333333357587</c:v>
                      </c:pt>
                      <c:pt idx="688">
                        <c:v>4.7777777777810115</c:v>
                      </c:pt>
                      <c:pt idx="689">
                        <c:v>4.7847222222189885</c:v>
                      </c:pt>
                      <c:pt idx="690">
                        <c:v>4.7916666666642413</c:v>
                      </c:pt>
                      <c:pt idx="691">
                        <c:v>4.7986111111094942</c:v>
                      </c:pt>
                      <c:pt idx="692">
                        <c:v>4.8055555555547471</c:v>
                      </c:pt>
                      <c:pt idx="693">
                        <c:v>4.8125</c:v>
                      </c:pt>
                      <c:pt idx="694">
                        <c:v>4.8194444444452529</c:v>
                      </c:pt>
                      <c:pt idx="695">
                        <c:v>4.8263888888905058</c:v>
                      </c:pt>
                      <c:pt idx="696">
                        <c:v>4.8333333333357587</c:v>
                      </c:pt>
                      <c:pt idx="697">
                        <c:v>4.8402777777810115</c:v>
                      </c:pt>
                      <c:pt idx="698">
                        <c:v>4.8472222222189885</c:v>
                      </c:pt>
                      <c:pt idx="699">
                        <c:v>4.8541666666642413</c:v>
                      </c:pt>
                      <c:pt idx="700">
                        <c:v>4.8611111111094942</c:v>
                      </c:pt>
                      <c:pt idx="701">
                        <c:v>4.8680555555547471</c:v>
                      </c:pt>
                      <c:pt idx="702">
                        <c:v>4.875</c:v>
                      </c:pt>
                      <c:pt idx="703">
                        <c:v>4.8819444444452529</c:v>
                      </c:pt>
                      <c:pt idx="704">
                        <c:v>4.8888888888905058</c:v>
                      </c:pt>
                      <c:pt idx="705">
                        <c:v>4.8958333333357587</c:v>
                      </c:pt>
                      <c:pt idx="706">
                        <c:v>4.9027777777810115</c:v>
                      </c:pt>
                      <c:pt idx="707">
                        <c:v>4.9097222222189885</c:v>
                      </c:pt>
                      <c:pt idx="708">
                        <c:v>4.9166666666642413</c:v>
                      </c:pt>
                      <c:pt idx="709">
                        <c:v>4.9236111111094942</c:v>
                      </c:pt>
                      <c:pt idx="710">
                        <c:v>4.9305555555547471</c:v>
                      </c:pt>
                      <c:pt idx="711">
                        <c:v>4.9375</c:v>
                      </c:pt>
                      <c:pt idx="712">
                        <c:v>4.9444444444452529</c:v>
                      </c:pt>
                      <c:pt idx="713">
                        <c:v>4.9513888888905058</c:v>
                      </c:pt>
                      <c:pt idx="714">
                        <c:v>4.9583333333357587</c:v>
                      </c:pt>
                      <c:pt idx="715">
                        <c:v>4.9652777777810115</c:v>
                      </c:pt>
                      <c:pt idx="716">
                        <c:v>4.9722222222189885</c:v>
                      </c:pt>
                      <c:pt idx="717">
                        <c:v>4.9791666666642413</c:v>
                      </c:pt>
                      <c:pt idx="718">
                        <c:v>4.9861111111094942</c:v>
                      </c:pt>
                      <c:pt idx="719">
                        <c:v>4.9930555555547471</c:v>
                      </c:pt>
                      <c:pt idx="720">
                        <c:v>5</c:v>
                      </c:pt>
                      <c:pt idx="721">
                        <c:v>5.0069444444452529</c:v>
                      </c:pt>
                      <c:pt idx="722">
                        <c:v>5.0138888888905058</c:v>
                      </c:pt>
                      <c:pt idx="723">
                        <c:v>5.0208333333357587</c:v>
                      </c:pt>
                      <c:pt idx="724">
                        <c:v>5.0277777777810115</c:v>
                      </c:pt>
                      <c:pt idx="725">
                        <c:v>5.0347222222189885</c:v>
                      </c:pt>
                      <c:pt idx="726">
                        <c:v>5.0416666666642413</c:v>
                      </c:pt>
                      <c:pt idx="727">
                        <c:v>5.0486111111094942</c:v>
                      </c:pt>
                      <c:pt idx="728">
                        <c:v>5.0555555555547471</c:v>
                      </c:pt>
                      <c:pt idx="729">
                        <c:v>5.0625</c:v>
                      </c:pt>
                      <c:pt idx="730">
                        <c:v>5.0694444444452529</c:v>
                      </c:pt>
                      <c:pt idx="731">
                        <c:v>5.0763888888905058</c:v>
                      </c:pt>
                      <c:pt idx="732">
                        <c:v>5.0833333333357587</c:v>
                      </c:pt>
                      <c:pt idx="733">
                        <c:v>5.0902777777810115</c:v>
                      </c:pt>
                      <c:pt idx="734">
                        <c:v>5.0972222222189885</c:v>
                      </c:pt>
                      <c:pt idx="735">
                        <c:v>5.1041666666642413</c:v>
                      </c:pt>
                      <c:pt idx="736">
                        <c:v>5.1111111111094942</c:v>
                      </c:pt>
                      <c:pt idx="737">
                        <c:v>5.1180555555547471</c:v>
                      </c:pt>
                      <c:pt idx="738">
                        <c:v>5.125</c:v>
                      </c:pt>
                      <c:pt idx="739">
                        <c:v>5.1319444444452529</c:v>
                      </c:pt>
                      <c:pt idx="740">
                        <c:v>5.1388888888905058</c:v>
                      </c:pt>
                      <c:pt idx="741">
                        <c:v>5.1458333333357587</c:v>
                      </c:pt>
                      <c:pt idx="742">
                        <c:v>5.1527777777810115</c:v>
                      </c:pt>
                      <c:pt idx="743">
                        <c:v>5.1597222222189885</c:v>
                      </c:pt>
                      <c:pt idx="744">
                        <c:v>5.1666666666642413</c:v>
                      </c:pt>
                      <c:pt idx="745">
                        <c:v>5.1736111111094942</c:v>
                      </c:pt>
                      <c:pt idx="746">
                        <c:v>5.1805555555547471</c:v>
                      </c:pt>
                      <c:pt idx="747">
                        <c:v>5.1875</c:v>
                      </c:pt>
                      <c:pt idx="748">
                        <c:v>5.1944444444452529</c:v>
                      </c:pt>
                      <c:pt idx="749">
                        <c:v>5.2013888888905058</c:v>
                      </c:pt>
                      <c:pt idx="750">
                        <c:v>5.2083333333357587</c:v>
                      </c:pt>
                      <c:pt idx="751">
                        <c:v>5.2152777777810115</c:v>
                      </c:pt>
                      <c:pt idx="752">
                        <c:v>5.2222222222189885</c:v>
                      </c:pt>
                      <c:pt idx="753">
                        <c:v>5.2291666666642413</c:v>
                      </c:pt>
                      <c:pt idx="754">
                        <c:v>5.2361111111094942</c:v>
                      </c:pt>
                      <c:pt idx="755">
                        <c:v>5.2430555555547471</c:v>
                      </c:pt>
                      <c:pt idx="756">
                        <c:v>5.25</c:v>
                      </c:pt>
                      <c:pt idx="757">
                        <c:v>5.2569444444452529</c:v>
                      </c:pt>
                      <c:pt idx="758">
                        <c:v>5.2638888888905058</c:v>
                      </c:pt>
                      <c:pt idx="759">
                        <c:v>5.2708333333357587</c:v>
                      </c:pt>
                      <c:pt idx="760">
                        <c:v>5.2777777777810115</c:v>
                      </c:pt>
                      <c:pt idx="761">
                        <c:v>5.2847222222189885</c:v>
                      </c:pt>
                      <c:pt idx="762">
                        <c:v>5.2916666666642413</c:v>
                      </c:pt>
                      <c:pt idx="763">
                        <c:v>5.2986111111094942</c:v>
                      </c:pt>
                      <c:pt idx="764">
                        <c:v>5.3055555555547471</c:v>
                      </c:pt>
                      <c:pt idx="765">
                        <c:v>5.3125</c:v>
                      </c:pt>
                      <c:pt idx="766">
                        <c:v>5.3194444444452529</c:v>
                      </c:pt>
                      <c:pt idx="767">
                        <c:v>5.3263888888905058</c:v>
                      </c:pt>
                      <c:pt idx="768">
                        <c:v>5.3333333333357587</c:v>
                      </c:pt>
                      <c:pt idx="769">
                        <c:v>5.3402777777810115</c:v>
                      </c:pt>
                      <c:pt idx="770">
                        <c:v>5.3472222222189885</c:v>
                      </c:pt>
                      <c:pt idx="771">
                        <c:v>5.3541666666642413</c:v>
                      </c:pt>
                      <c:pt idx="772">
                        <c:v>5.3611111111094942</c:v>
                      </c:pt>
                      <c:pt idx="773">
                        <c:v>5.3680555555547471</c:v>
                      </c:pt>
                      <c:pt idx="774">
                        <c:v>5.375</c:v>
                      </c:pt>
                      <c:pt idx="775">
                        <c:v>5.3819444444452529</c:v>
                      </c:pt>
                      <c:pt idx="776">
                        <c:v>5.3888888888905058</c:v>
                      </c:pt>
                      <c:pt idx="777">
                        <c:v>5.3958333333357587</c:v>
                      </c:pt>
                      <c:pt idx="778">
                        <c:v>5.4027777777810115</c:v>
                      </c:pt>
                      <c:pt idx="779">
                        <c:v>5.4097222222189885</c:v>
                      </c:pt>
                      <c:pt idx="780">
                        <c:v>5.4166666666642413</c:v>
                      </c:pt>
                      <c:pt idx="781">
                        <c:v>5.4236111111094942</c:v>
                      </c:pt>
                      <c:pt idx="782">
                        <c:v>5.4305555555547471</c:v>
                      </c:pt>
                      <c:pt idx="783">
                        <c:v>5.4375</c:v>
                      </c:pt>
                      <c:pt idx="784">
                        <c:v>5.4444444444452529</c:v>
                      </c:pt>
                      <c:pt idx="785">
                        <c:v>5.4513888888905058</c:v>
                      </c:pt>
                      <c:pt idx="786">
                        <c:v>5.4583333333357587</c:v>
                      </c:pt>
                      <c:pt idx="787">
                        <c:v>5.4652777777810115</c:v>
                      </c:pt>
                      <c:pt idx="788">
                        <c:v>5.4722222222189885</c:v>
                      </c:pt>
                      <c:pt idx="789">
                        <c:v>5.4791666666642413</c:v>
                      </c:pt>
                      <c:pt idx="790">
                        <c:v>5.4861111111094942</c:v>
                      </c:pt>
                      <c:pt idx="791">
                        <c:v>5.4930555555547471</c:v>
                      </c:pt>
                      <c:pt idx="792">
                        <c:v>5.5</c:v>
                      </c:pt>
                      <c:pt idx="793">
                        <c:v>5.5069444444452529</c:v>
                      </c:pt>
                      <c:pt idx="794">
                        <c:v>5.5138888888905058</c:v>
                      </c:pt>
                      <c:pt idx="795">
                        <c:v>5.5208333333357587</c:v>
                      </c:pt>
                      <c:pt idx="796">
                        <c:v>5.5277777777810115</c:v>
                      </c:pt>
                      <c:pt idx="797">
                        <c:v>5.5347222222189885</c:v>
                      </c:pt>
                      <c:pt idx="798">
                        <c:v>5.5416666666642413</c:v>
                      </c:pt>
                      <c:pt idx="799">
                        <c:v>5.5486111111094942</c:v>
                      </c:pt>
                      <c:pt idx="800">
                        <c:v>5.5555555555547471</c:v>
                      </c:pt>
                      <c:pt idx="801">
                        <c:v>5.5625</c:v>
                      </c:pt>
                      <c:pt idx="802">
                        <c:v>5.5694444444452529</c:v>
                      </c:pt>
                      <c:pt idx="803">
                        <c:v>5.5763888888905058</c:v>
                      </c:pt>
                      <c:pt idx="804">
                        <c:v>5.5833333333357587</c:v>
                      </c:pt>
                      <c:pt idx="805">
                        <c:v>5.5902777777810115</c:v>
                      </c:pt>
                      <c:pt idx="806">
                        <c:v>5.5972222222189885</c:v>
                      </c:pt>
                      <c:pt idx="807">
                        <c:v>5.6041666666642413</c:v>
                      </c:pt>
                      <c:pt idx="808">
                        <c:v>5.6111111111094942</c:v>
                      </c:pt>
                      <c:pt idx="809">
                        <c:v>5.6180555555547471</c:v>
                      </c:pt>
                      <c:pt idx="810">
                        <c:v>5.625</c:v>
                      </c:pt>
                      <c:pt idx="811">
                        <c:v>5.6319444444452529</c:v>
                      </c:pt>
                      <c:pt idx="812">
                        <c:v>5.6388888888905058</c:v>
                      </c:pt>
                      <c:pt idx="813">
                        <c:v>5.6458333333357587</c:v>
                      </c:pt>
                      <c:pt idx="814">
                        <c:v>5.6527777777810115</c:v>
                      </c:pt>
                      <c:pt idx="815">
                        <c:v>5.6597222222189885</c:v>
                      </c:pt>
                      <c:pt idx="816">
                        <c:v>5.6666666666642413</c:v>
                      </c:pt>
                      <c:pt idx="817">
                        <c:v>5.6736111111094942</c:v>
                      </c:pt>
                      <c:pt idx="818">
                        <c:v>5.6805555555547471</c:v>
                      </c:pt>
                      <c:pt idx="819">
                        <c:v>5.6875</c:v>
                      </c:pt>
                      <c:pt idx="820">
                        <c:v>5.6944444444452529</c:v>
                      </c:pt>
                      <c:pt idx="821">
                        <c:v>5.7013888888905058</c:v>
                      </c:pt>
                      <c:pt idx="822">
                        <c:v>5.7083333333357587</c:v>
                      </c:pt>
                      <c:pt idx="823">
                        <c:v>5.7152777777810115</c:v>
                      </c:pt>
                      <c:pt idx="824">
                        <c:v>5.7222222222189885</c:v>
                      </c:pt>
                      <c:pt idx="825">
                        <c:v>5.7291666666642413</c:v>
                      </c:pt>
                      <c:pt idx="826">
                        <c:v>5.7361111111094942</c:v>
                      </c:pt>
                      <c:pt idx="827">
                        <c:v>5.7430555555547471</c:v>
                      </c:pt>
                      <c:pt idx="828">
                        <c:v>5.75</c:v>
                      </c:pt>
                      <c:pt idx="829">
                        <c:v>5.7569444444452529</c:v>
                      </c:pt>
                      <c:pt idx="830">
                        <c:v>5.7638888888905058</c:v>
                      </c:pt>
                      <c:pt idx="831">
                        <c:v>5.7708333333357587</c:v>
                      </c:pt>
                      <c:pt idx="832">
                        <c:v>5.7777777777810115</c:v>
                      </c:pt>
                      <c:pt idx="833">
                        <c:v>5.7847222222189885</c:v>
                      </c:pt>
                      <c:pt idx="834">
                        <c:v>5.7916666666642413</c:v>
                      </c:pt>
                      <c:pt idx="835">
                        <c:v>5.7986111111094942</c:v>
                      </c:pt>
                      <c:pt idx="836">
                        <c:v>5.8055555555547471</c:v>
                      </c:pt>
                      <c:pt idx="837">
                        <c:v>5.8125</c:v>
                      </c:pt>
                      <c:pt idx="838">
                        <c:v>5.8194444444452529</c:v>
                      </c:pt>
                      <c:pt idx="839">
                        <c:v>5.8263888888905058</c:v>
                      </c:pt>
                      <c:pt idx="840">
                        <c:v>5.8333333333357587</c:v>
                      </c:pt>
                      <c:pt idx="841">
                        <c:v>5.8402777777810115</c:v>
                      </c:pt>
                      <c:pt idx="842">
                        <c:v>5.8472222222189885</c:v>
                      </c:pt>
                      <c:pt idx="843">
                        <c:v>5.8541666666642413</c:v>
                      </c:pt>
                      <c:pt idx="844">
                        <c:v>5.8611111111094942</c:v>
                      </c:pt>
                      <c:pt idx="845">
                        <c:v>5.8680555555547471</c:v>
                      </c:pt>
                      <c:pt idx="846">
                        <c:v>5.875</c:v>
                      </c:pt>
                      <c:pt idx="847">
                        <c:v>5.8819444444452529</c:v>
                      </c:pt>
                      <c:pt idx="848">
                        <c:v>5.8888888888905058</c:v>
                      </c:pt>
                      <c:pt idx="849">
                        <c:v>5.8958333333357587</c:v>
                      </c:pt>
                      <c:pt idx="850">
                        <c:v>5.9027777777810115</c:v>
                      </c:pt>
                      <c:pt idx="851">
                        <c:v>5.9097222222189885</c:v>
                      </c:pt>
                      <c:pt idx="852">
                        <c:v>5.9166666666642413</c:v>
                      </c:pt>
                      <c:pt idx="853">
                        <c:v>5.9236111111094942</c:v>
                      </c:pt>
                      <c:pt idx="854">
                        <c:v>5.9305555555547471</c:v>
                      </c:pt>
                      <c:pt idx="855">
                        <c:v>5.9375</c:v>
                      </c:pt>
                      <c:pt idx="856">
                        <c:v>5.9444444444452529</c:v>
                      </c:pt>
                      <c:pt idx="857">
                        <c:v>5.9513888888905058</c:v>
                      </c:pt>
                      <c:pt idx="858">
                        <c:v>5.9583333333357587</c:v>
                      </c:pt>
                      <c:pt idx="859">
                        <c:v>5.9652777777810115</c:v>
                      </c:pt>
                      <c:pt idx="860">
                        <c:v>5.9722222222189885</c:v>
                      </c:pt>
                      <c:pt idx="861">
                        <c:v>5.9791666666642413</c:v>
                      </c:pt>
                      <c:pt idx="862">
                        <c:v>5.9861111111094942</c:v>
                      </c:pt>
                      <c:pt idx="863">
                        <c:v>5.9930555555547471</c:v>
                      </c:pt>
                      <c:pt idx="864">
                        <c:v>6</c:v>
                      </c:pt>
                      <c:pt idx="865">
                        <c:v>6.0069444444452529</c:v>
                      </c:pt>
                      <c:pt idx="866">
                        <c:v>6.0138888888905058</c:v>
                      </c:pt>
                      <c:pt idx="867">
                        <c:v>6.0208333333357587</c:v>
                      </c:pt>
                      <c:pt idx="868">
                        <c:v>6.0277777777810115</c:v>
                      </c:pt>
                      <c:pt idx="869">
                        <c:v>6.0347222222189885</c:v>
                      </c:pt>
                      <c:pt idx="870">
                        <c:v>6.0416666666642413</c:v>
                      </c:pt>
                      <c:pt idx="871">
                        <c:v>6.0486111111094942</c:v>
                      </c:pt>
                      <c:pt idx="872">
                        <c:v>6.0555555555547471</c:v>
                      </c:pt>
                      <c:pt idx="873">
                        <c:v>6.0625</c:v>
                      </c:pt>
                      <c:pt idx="874">
                        <c:v>6.0694444444452529</c:v>
                      </c:pt>
                      <c:pt idx="875">
                        <c:v>6.0763888888905058</c:v>
                      </c:pt>
                      <c:pt idx="876">
                        <c:v>6.0833333333357587</c:v>
                      </c:pt>
                      <c:pt idx="877">
                        <c:v>6.0902777777810115</c:v>
                      </c:pt>
                      <c:pt idx="878">
                        <c:v>6.0972222222189885</c:v>
                      </c:pt>
                      <c:pt idx="879">
                        <c:v>6.1041666666642413</c:v>
                      </c:pt>
                      <c:pt idx="880">
                        <c:v>6.1111111111094942</c:v>
                      </c:pt>
                      <c:pt idx="881">
                        <c:v>6.1180555555547471</c:v>
                      </c:pt>
                      <c:pt idx="882">
                        <c:v>6.125</c:v>
                      </c:pt>
                      <c:pt idx="883">
                        <c:v>6.1319444444452529</c:v>
                      </c:pt>
                      <c:pt idx="884">
                        <c:v>6.1388888888905058</c:v>
                      </c:pt>
                      <c:pt idx="885">
                        <c:v>6.1458333333357587</c:v>
                      </c:pt>
                      <c:pt idx="886">
                        <c:v>6.1527777777810115</c:v>
                      </c:pt>
                      <c:pt idx="887">
                        <c:v>6.1597222222189885</c:v>
                      </c:pt>
                      <c:pt idx="888">
                        <c:v>6.1666666666642413</c:v>
                      </c:pt>
                      <c:pt idx="889">
                        <c:v>6.1736111111094942</c:v>
                      </c:pt>
                      <c:pt idx="890">
                        <c:v>6.1805555555547471</c:v>
                      </c:pt>
                      <c:pt idx="891">
                        <c:v>6.1875</c:v>
                      </c:pt>
                      <c:pt idx="892">
                        <c:v>6.1944444444452529</c:v>
                      </c:pt>
                      <c:pt idx="893">
                        <c:v>6.2013888888905058</c:v>
                      </c:pt>
                      <c:pt idx="894">
                        <c:v>6.2083333333357587</c:v>
                      </c:pt>
                      <c:pt idx="895">
                        <c:v>6.2152777777810115</c:v>
                      </c:pt>
                      <c:pt idx="896">
                        <c:v>6.2222222222189885</c:v>
                      </c:pt>
                      <c:pt idx="897">
                        <c:v>6.2291666666642413</c:v>
                      </c:pt>
                      <c:pt idx="898">
                        <c:v>6.2361111111094942</c:v>
                      </c:pt>
                      <c:pt idx="899">
                        <c:v>6.2430555555547471</c:v>
                      </c:pt>
                      <c:pt idx="900">
                        <c:v>6.25</c:v>
                      </c:pt>
                      <c:pt idx="901">
                        <c:v>6.2569444444452529</c:v>
                      </c:pt>
                      <c:pt idx="902">
                        <c:v>6.2638888888905058</c:v>
                      </c:pt>
                      <c:pt idx="903">
                        <c:v>6.2708333333357587</c:v>
                      </c:pt>
                      <c:pt idx="904">
                        <c:v>6.2777777777810115</c:v>
                      </c:pt>
                      <c:pt idx="905">
                        <c:v>6.2847222222189885</c:v>
                      </c:pt>
                      <c:pt idx="906">
                        <c:v>6.2916666666642413</c:v>
                      </c:pt>
                      <c:pt idx="907">
                        <c:v>6.2986111111094942</c:v>
                      </c:pt>
                      <c:pt idx="908">
                        <c:v>6.3055555555547471</c:v>
                      </c:pt>
                      <c:pt idx="909">
                        <c:v>6.3125</c:v>
                      </c:pt>
                      <c:pt idx="910">
                        <c:v>6.3194444444452529</c:v>
                      </c:pt>
                      <c:pt idx="911">
                        <c:v>6.3263888888905058</c:v>
                      </c:pt>
                      <c:pt idx="912">
                        <c:v>6.3333333333357587</c:v>
                      </c:pt>
                      <c:pt idx="913">
                        <c:v>6.3402777777810115</c:v>
                      </c:pt>
                      <c:pt idx="914">
                        <c:v>6.3472222222189885</c:v>
                      </c:pt>
                      <c:pt idx="915">
                        <c:v>6.3541666666642413</c:v>
                      </c:pt>
                      <c:pt idx="916">
                        <c:v>6.3611111111094942</c:v>
                      </c:pt>
                      <c:pt idx="917">
                        <c:v>6.3680555555547471</c:v>
                      </c:pt>
                      <c:pt idx="918">
                        <c:v>6.375</c:v>
                      </c:pt>
                      <c:pt idx="919">
                        <c:v>6.3819444444452529</c:v>
                      </c:pt>
                      <c:pt idx="920">
                        <c:v>6.3888888888905058</c:v>
                      </c:pt>
                      <c:pt idx="921">
                        <c:v>6.3958333333357587</c:v>
                      </c:pt>
                      <c:pt idx="922">
                        <c:v>6.4027777777810115</c:v>
                      </c:pt>
                      <c:pt idx="923">
                        <c:v>6.4097222222189885</c:v>
                      </c:pt>
                      <c:pt idx="924">
                        <c:v>6.4166666666642413</c:v>
                      </c:pt>
                      <c:pt idx="925">
                        <c:v>6.4236111111094942</c:v>
                      </c:pt>
                      <c:pt idx="926">
                        <c:v>6.4305555555547471</c:v>
                      </c:pt>
                      <c:pt idx="927">
                        <c:v>6.4375</c:v>
                      </c:pt>
                      <c:pt idx="928">
                        <c:v>6.4444444444452529</c:v>
                      </c:pt>
                      <c:pt idx="929">
                        <c:v>6.4513888888905058</c:v>
                      </c:pt>
                      <c:pt idx="930">
                        <c:v>6.4583333333357587</c:v>
                      </c:pt>
                      <c:pt idx="931">
                        <c:v>6.4652777777810115</c:v>
                      </c:pt>
                      <c:pt idx="932">
                        <c:v>6.4722222222189885</c:v>
                      </c:pt>
                      <c:pt idx="933">
                        <c:v>6.4791666666642413</c:v>
                      </c:pt>
                      <c:pt idx="934">
                        <c:v>6.4861111111094942</c:v>
                      </c:pt>
                      <c:pt idx="935">
                        <c:v>6.4930555555547471</c:v>
                      </c:pt>
                      <c:pt idx="936">
                        <c:v>6.5</c:v>
                      </c:pt>
                      <c:pt idx="937">
                        <c:v>6.5069444444452529</c:v>
                      </c:pt>
                      <c:pt idx="938">
                        <c:v>6.5138888888905058</c:v>
                      </c:pt>
                      <c:pt idx="939">
                        <c:v>6.5208333333357587</c:v>
                      </c:pt>
                      <c:pt idx="940">
                        <c:v>6.5277777777810115</c:v>
                      </c:pt>
                      <c:pt idx="941">
                        <c:v>6.5347222222189885</c:v>
                      </c:pt>
                      <c:pt idx="942">
                        <c:v>6.5416666666642413</c:v>
                      </c:pt>
                      <c:pt idx="943">
                        <c:v>6.5486111111094942</c:v>
                      </c:pt>
                      <c:pt idx="944">
                        <c:v>6.5555555555547471</c:v>
                      </c:pt>
                      <c:pt idx="945">
                        <c:v>6.5625</c:v>
                      </c:pt>
                      <c:pt idx="946">
                        <c:v>6.5694444444452529</c:v>
                      </c:pt>
                      <c:pt idx="947">
                        <c:v>6.5763888888905058</c:v>
                      </c:pt>
                      <c:pt idx="948">
                        <c:v>6.5833333333357587</c:v>
                      </c:pt>
                      <c:pt idx="949">
                        <c:v>6.5902777777810115</c:v>
                      </c:pt>
                      <c:pt idx="950">
                        <c:v>6.5972222222189885</c:v>
                      </c:pt>
                      <c:pt idx="951">
                        <c:v>6.6041666666642413</c:v>
                      </c:pt>
                      <c:pt idx="952">
                        <c:v>6.6111111111094942</c:v>
                      </c:pt>
                      <c:pt idx="953">
                        <c:v>6.6180555555547471</c:v>
                      </c:pt>
                      <c:pt idx="954">
                        <c:v>6.625</c:v>
                      </c:pt>
                      <c:pt idx="955">
                        <c:v>6.6319444444452529</c:v>
                      </c:pt>
                      <c:pt idx="956">
                        <c:v>6.6388888888905058</c:v>
                      </c:pt>
                      <c:pt idx="957">
                        <c:v>6.6458333333357587</c:v>
                      </c:pt>
                      <c:pt idx="958">
                        <c:v>6.6527777777810115</c:v>
                      </c:pt>
                      <c:pt idx="959">
                        <c:v>6.6597222222189885</c:v>
                      </c:pt>
                      <c:pt idx="960">
                        <c:v>6.6666666666642413</c:v>
                      </c:pt>
                      <c:pt idx="961">
                        <c:v>6.6736111111094942</c:v>
                      </c:pt>
                      <c:pt idx="962">
                        <c:v>6.6805555555547471</c:v>
                      </c:pt>
                      <c:pt idx="963">
                        <c:v>6.6875</c:v>
                      </c:pt>
                      <c:pt idx="964">
                        <c:v>6.6944444444452529</c:v>
                      </c:pt>
                      <c:pt idx="965">
                        <c:v>6.7013888888905058</c:v>
                      </c:pt>
                      <c:pt idx="966">
                        <c:v>6.7083333333357587</c:v>
                      </c:pt>
                      <c:pt idx="967">
                        <c:v>6.7152777777810115</c:v>
                      </c:pt>
                      <c:pt idx="968">
                        <c:v>6.7222222222189885</c:v>
                      </c:pt>
                      <c:pt idx="969">
                        <c:v>6.7291666666642413</c:v>
                      </c:pt>
                      <c:pt idx="970">
                        <c:v>6.7361111111094942</c:v>
                      </c:pt>
                      <c:pt idx="971">
                        <c:v>6.7430555555547471</c:v>
                      </c:pt>
                      <c:pt idx="972">
                        <c:v>6.75</c:v>
                      </c:pt>
                      <c:pt idx="973">
                        <c:v>6.7569444444452529</c:v>
                      </c:pt>
                      <c:pt idx="974">
                        <c:v>6.7638888888905058</c:v>
                      </c:pt>
                      <c:pt idx="975">
                        <c:v>6.7708333333357587</c:v>
                      </c:pt>
                      <c:pt idx="976">
                        <c:v>6.7777777777810115</c:v>
                      </c:pt>
                      <c:pt idx="977">
                        <c:v>6.7847222222189885</c:v>
                      </c:pt>
                      <c:pt idx="978">
                        <c:v>6.7916666666642413</c:v>
                      </c:pt>
                      <c:pt idx="979">
                        <c:v>6.7986111111094942</c:v>
                      </c:pt>
                      <c:pt idx="980">
                        <c:v>6.8055555555547471</c:v>
                      </c:pt>
                      <c:pt idx="981">
                        <c:v>6.8125</c:v>
                      </c:pt>
                      <c:pt idx="982">
                        <c:v>6.8194444444452529</c:v>
                      </c:pt>
                      <c:pt idx="983">
                        <c:v>6.8263888888905058</c:v>
                      </c:pt>
                      <c:pt idx="984">
                        <c:v>6.8333333333357587</c:v>
                      </c:pt>
                      <c:pt idx="985">
                        <c:v>6.8402777777810115</c:v>
                      </c:pt>
                      <c:pt idx="986">
                        <c:v>6.8472222222189885</c:v>
                      </c:pt>
                      <c:pt idx="987">
                        <c:v>6.8541666666642413</c:v>
                      </c:pt>
                      <c:pt idx="988">
                        <c:v>6.8611111111094942</c:v>
                      </c:pt>
                      <c:pt idx="989">
                        <c:v>6.8680555555547471</c:v>
                      </c:pt>
                      <c:pt idx="990">
                        <c:v>6.875</c:v>
                      </c:pt>
                      <c:pt idx="991">
                        <c:v>6.8819444444452529</c:v>
                      </c:pt>
                      <c:pt idx="992">
                        <c:v>6.8888888888905058</c:v>
                      </c:pt>
                      <c:pt idx="993">
                        <c:v>6.8958333333357587</c:v>
                      </c:pt>
                      <c:pt idx="994">
                        <c:v>6.9027777777810115</c:v>
                      </c:pt>
                      <c:pt idx="995">
                        <c:v>6.9097222222189885</c:v>
                      </c:pt>
                      <c:pt idx="996">
                        <c:v>6.9166666666642413</c:v>
                      </c:pt>
                      <c:pt idx="997">
                        <c:v>6.9236111111094942</c:v>
                      </c:pt>
                      <c:pt idx="998">
                        <c:v>6.9305555555547471</c:v>
                      </c:pt>
                      <c:pt idx="999">
                        <c:v>6.9375</c:v>
                      </c:pt>
                      <c:pt idx="1000">
                        <c:v>6.9444444444452529</c:v>
                      </c:pt>
                      <c:pt idx="1001">
                        <c:v>6.9513888888905058</c:v>
                      </c:pt>
                      <c:pt idx="1002">
                        <c:v>6.9583333333357587</c:v>
                      </c:pt>
                      <c:pt idx="1003">
                        <c:v>6.9652777777810115</c:v>
                      </c:pt>
                      <c:pt idx="1004">
                        <c:v>6.9722222222189885</c:v>
                      </c:pt>
                      <c:pt idx="1005">
                        <c:v>6.9791666666642413</c:v>
                      </c:pt>
                      <c:pt idx="1006">
                        <c:v>6.9861111111094942</c:v>
                      </c:pt>
                      <c:pt idx="1007">
                        <c:v>6.9930555555547471</c:v>
                      </c:pt>
                      <c:pt idx="1008">
                        <c:v>7</c:v>
                      </c:pt>
                      <c:pt idx="1009">
                        <c:v>7.0069444444452529</c:v>
                      </c:pt>
                      <c:pt idx="1010">
                        <c:v>7.0138888888905058</c:v>
                      </c:pt>
                      <c:pt idx="1011">
                        <c:v>7.0208333333357587</c:v>
                      </c:pt>
                      <c:pt idx="1012">
                        <c:v>7.0277777777810115</c:v>
                      </c:pt>
                      <c:pt idx="1013">
                        <c:v>7.0347222222189885</c:v>
                      </c:pt>
                      <c:pt idx="1014">
                        <c:v>7.0416666666642413</c:v>
                      </c:pt>
                      <c:pt idx="1015">
                        <c:v>7.0486111111094942</c:v>
                      </c:pt>
                      <c:pt idx="1016">
                        <c:v>7.0555555555547471</c:v>
                      </c:pt>
                      <c:pt idx="1017">
                        <c:v>7.0625</c:v>
                      </c:pt>
                      <c:pt idx="1018">
                        <c:v>7.0694444444452529</c:v>
                      </c:pt>
                      <c:pt idx="1019">
                        <c:v>7.0763888888905058</c:v>
                      </c:pt>
                      <c:pt idx="1020">
                        <c:v>7.0833333333357587</c:v>
                      </c:pt>
                      <c:pt idx="1021">
                        <c:v>7.0902777777810115</c:v>
                      </c:pt>
                      <c:pt idx="1022">
                        <c:v>7.0972222222189885</c:v>
                      </c:pt>
                      <c:pt idx="1023">
                        <c:v>7.1041666666642413</c:v>
                      </c:pt>
                      <c:pt idx="1024">
                        <c:v>7.1111111111094942</c:v>
                      </c:pt>
                      <c:pt idx="1025">
                        <c:v>7.1180555555547471</c:v>
                      </c:pt>
                      <c:pt idx="1026">
                        <c:v>7.125</c:v>
                      </c:pt>
                      <c:pt idx="1027">
                        <c:v>7.1319444444452529</c:v>
                      </c:pt>
                      <c:pt idx="1028">
                        <c:v>7.1388888888905058</c:v>
                      </c:pt>
                      <c:pt idx="1029">
                        <c:v>7.1458333333357587</c:v>
                      </c:pt>
                      <c:pt idx="1030">
                        <c:v>7.1527777777810115</c:v>
                      </c:pt>
                      <c:pt idx="1031">
                        <c:v>7.1597222222189885</c:v>
                      </c:pt>
                      <c:pt idx="1032">
                        <c:v>7.1666666666642413</c:v>
                      </c:pt>
                      <c:pt idx="1033">
                        <c:v>7.1736111111094942</c:v>
                      </c:pt>
                      <c:pt idx="1034">
                        <c:v>7.1805555555547471</c:v>
                      </c:pt>
                      <c:pt idx="1035">
                        <c:v>7.1875</c:v>
                      </c:pt>
                      <c:pt idx="1036">
                        <c:v>7.1944444444452529</c:v>
                      </c:pt>
                      <c:pt idx="1037">
                        <c:v>7.2013888888905058</c:v>
                      </c:pt>
                      <c:pt idx="1038">
                        <c:v>7.2083333333357587</c:v>
                      </c:pt>
                      <c:pt idx="1039">
                        <c:v>7.2152777777810115</c:v>
                      </c:pt>
                      <c:pt idx="1040">
                        <c:v>7.2222222222189885</c:v>
                      </c:pt>
                      <c:pt idx="1041">
                        <c:v>7.2291666666642413</c:v>
                      </c:pt>
                      <c:pt idx="1042">
                        <c:v>7.2361111111094942</c:v>
                      </c:pt>
                      <c:pt idx="1043">
                        <c:v>7.2430555555547471</c:v>
                      </c:pt>
                      <c:pt idx="1044">
                        <c:v>7.25</c:v>
                      </c:pt>
                      <c:pt idx="1045">
                        <c:v>7.2569444444452529</c:v>
                      </c:pt>
                      <c:pt idx="1046">
                        <c:v>7.2638888888905058</c:v>
                      </c:pt>
                      <c:pt idx="1047">
                        <c:v>7.2708333333357587</c:v>
                      </c:pt>
                      <c:pt idx="1048">
                        <c:v>7.2777777777810115</c:v>
                      </c:pt>
                      <c:pt idx="1049">
                        <c:v>7.2847222222189885</c:v>
                      </c:pt>
                      <c:pt idx="1050">
                        <c:v>7.2916666666642413</c:v>
                      </c:pt>
                      <c:pt idx="1051">
                        <c:v>7.2986111111094942</c:v>
                      </c:pt>
                      <c:pt idx="1052">
                        <c:v>7.3055555555547471</c:v>
                      </c:pt>
                      <c:pt idx="1053">
                        <c:v>7.3125</c:v>
                      </c:pt>
                      <c:pt idx="1054">
                        <c:v>7.3194444444452529</c:v>
                      </c:pt>
                      <c:pt idx="1055">
                        <c:v>7.3263888888905058</c:v>
                      </c:pt>
                      <c:pt idx="1056">
                        <c:v>7.3333333333357587</c:v>
                      </c:pt>
                      <c:pt idx="1057">
                        <c:v>7.3402777777810115</c:v>
                      </c:pt>
                      <c:pt idx="1058">
                        <c:v>7.3472222222189885</c:v>
                      </c:pt>
                      <c:pt idx="1059">
                        <c:v>7.3541666666642413</c:v>
                      </c:pt>
                      <c:pt idx="1060">
                        <c:v>7.3611111111094942</c:v>
                      </c:pt>
                      <c:pt idx="1061">
                        <c:v>7.3680555555547471</c:v>
                      </c:pt>
                      <c:pt idx="1062">
                        <c:v>7.375</c:v>
                      </c:pt>
                      <c:pt idx="1063">
                        <c:v>7.3819444444452529</c:v>
                      </c:pt>
                      <c:pt idx="1064">
                        <c:v>7.3888888888905058</c:v>
                      </c:pt>
                      <c:pt idx="1065">
                        <c:v>7.3958333333357587</c:v>
                      </c:pt>
                      <c:pt idx="1066">
                        <c:v>7.4027777777810115</c:v>
                      </c:pt>
                      <c:pt idx="1067">
                        <c:v>7.4097222222189885</c:v>
                      </c:pt>
                      <c:pt idx="1068">
                        <c:v>7.4166666666642413</c:v>
                      </c:pt>
                      <c:pt idx="1069">
                        <c:v>7.4236111111094942</c:v>
                      </c:pt>
                      <c:pt idx="1070">
                        <c:v>7.4305555555547471</c:v>
                      </c:pt>
                      <c:pt idx="1071">
                        <c:v>7.4375</c:v>
                      </c:pt>
                      <c:pt idx="1072">
                        <c:v>7.4444444444452529</c:v>
                      </c:pt>
                      <c:pt idx="1073">
                        <c:v>7.4513888888905058</c:v>
                      </c:pt>
                      <c:pt idx="1074">
                        <c:v>7.4583333333357587</c:v>
                      </c:pt>
                      <c:pt idx="1075">
                        <c:v>7.4652777777810115</c:v>
                      </c:pt>
                      <c:pt idx="1076">
                        <c:v>7.4722222222189885</c:v>
                      </c:pt>
                      <c:pt idx="1077">
                        <c:v>7.4791666666642413</c:v>
                      </c:pt>
                      <c:pt idx="1078">
                        <c:v>7.4861111111094942</c:v>
                      </c:pt>
                      <c:pt idx="1079">
                        <c:v>7.4930555555547471</c:v>
                      </c:pt>
                      <c:pt idx="1080">
                        <c:v>7.5</c:v>
                      </c:pt>
                      <c:pt idx="1081">
                        <c:v>7.5069444444452529</c:v>
                      </c:pt>
                      <c:pt idx="1082">
                        <c:v>7.5138888888905058</c:v>
                      </c:pt>
                      <c:pt idx="1083">
                        <c:v>7.5208333333357587</c:v>
                      </c:pt>
                      <c:pt idx="1084">
                        <c:v>7.5277777777810115</c:v>
                      </c:pt>
                      <c:pt idx="1085">
                        <c:v>7.5347222222189885</c:v>
                      </c:pt>
                      <c:pt idx="1086">
                        <c:v>7.5416666666642413</c:v>
                      </c:pt>
                      <c:pt idx="1087">
                        <c:v>7.5486111111094942</c:v>
                      </c:pt>
                      <c:pt idx="1088">
                        <c:v>7.5555555555547471</c:v>
                      </c:pt>
                      <c:pt idx="1089">
                        <c:v>7.5625</c:v>
                      </c:pt>
                      <c:pt idx="1090">
                        <c:v>7.5694444444452529</c:v>
                      </c:pt>
                      <c:pt idx="1091">
                        <c:v>7.5763888888905058</c:v>
                      </c:pt>
                      <c:pt idx="1092">
                        <c:v>7.5833333333357587</c:v>
                      </c:pt>
                      <c:pt idx="1093">
                        <c:v>7.5902777777810115</c:v>
                      </c:pt>
                      <c:pt idx="1094">
                        <c:v>7.5972222222189885</c:v>
                      </c:pt>
                      <c:pt idx="1095">
                        <c:v>7.6041666666642413</c:v>
                      </c:pt>
                      <c:pt idx="1096">
                        <c:v>7.6111111111094942</c:v>
                      </c:pt>
                      <c:pt idx="1097">
                        <c:v>7.6180555555547471</c:v>
                      </c:pt>
                      <c:pt idx="1098">
                        <c:v>7.625</c:v>
                      </c:pt>
                      <c:pt idx="1099">
                        <c:v>7.6319444444452529</c:v>
                      </c:pt>
                      <c:pt idx="1100">
                        <c:v>7.6388888888905058</c:v>
                      </c:pt>
                      <c:pt idx="1101">
                        <c:v>7.6458333333357587</c:v>
                      </c:pt>
                      <c:pt idx="1102">
                        <c:v>7.6527777777810115</c:v>
                      </c:pt>
                      <c:pt idx="1103">
                        <c:v>7.6597222222189885</c:v>
                      </c:pt>
                      <c:pt idx="1104">
                        <c:v>7.6666666666642413</c:v>
                      </c:pt>
                      <c:pt idx="1105">
                        <c:v>7.6736111111094942</c:v>
                      </c:pt>
                      <c:pt idx="1106">
                        <c:v>7.6805555555547471</c:v>
                      </c:pt>
                      <c:pt idx="1107">
                        <c:v>7.6875</c:v>
                      </c:pt>
                      <c:pt idx="1108">
                        <c:v>7.6944444444452529</c:v>
                      </c:pt>
                      <c:pt idx="1109">
                        <c:v>7.7013888888905058</c:v>
                      </c:pt>
                      <c:pt idx="1110">
                        <c:v>7.7083333333357587</c:v>
                      </c:pt>
                      <c:pt idx="1111">
                        <c:v>7.7152777777810115</c:v>
                      </c:pt>
                      <c:pt idx="1112">
                        <c:v>7.7222222222189885</c:v>
                      </c:pt>
                      <c:pt idx="1113">
                        <c:v>7.7291666666642413</c:v>
                      </c:pt>
                      <c:pt idx="1114">
                        <c:v>7.7361111111094942</c:v>
                      </c:pt>
                      <c:pt idx="1115">
                        <c:v>7.7430555555547471</c:v>
                      </c:pt>
                      <c:pt idx="1116">
                        <c:v>7.75</c:v>
                      </c:pt>
                      <c:pt idx="1117">
                        <c:v>7.7569444444452529</c:v>
                      </c:pt>
                      <c:pt idx="1118">
                        <c:v>7.7638888888905058</c:v>
                      </c:pt>
                      <c:pt idx="1119">
                        <c:v>7.7708333333357587</c:v>
                      </c:pt>
                      <c:pt idx="1120">
                        <c:v>7.7777777777810115</c:v>
                      </c:pt>
                      <c:pt idx="1121">
                        <c:v>7.7847222222189885</c:v>
                      </c:pt>
                      <c:pt idx="1122">
                        <c:v>7.7916666666642413</c:v>
                      </c:pt>
                      <c:pt idx="1123">
                        <c:v>7.7986111111094942</c:v>
                      </c:pt>
                      <c:pt idx="1124">
                        <c:v>7.8055555555547471</c:v>
                      </c:pt>
                      <c:pt idx="1125">
                        <c:v>7.8125</c:v>
                      </c:pt>
                      <c:pt idx="1126">
                        <c:v>7.8194444444452529</c:v>
                      </c:pt>
                      <c:pt idx="1127">
                        <c:v>7.8263888888905058</c:v>
                      </c:pt>
                      <c:pt idx="1128">
                        <c:v>7.8333333333357587</c:v>
                      </c:pt>
                      <c:pt idx="1129">
                        <c:v>7.8402777777810115</c:v>
                      </c:pt>
                      <c:pt idx="1130">
                        <c:v>7.8472222222189885</c:v>
                      </c:pt>
                      <c:pt idx="1131">
                        <c:v>7.8541666666642413</c:v>
                      </c:pt>
                      <c:pt idx="1132">
                        <c:v>7.8611111111094942</c:v>
                      </c:pt>
                      <c:pt idx="1133">
                        <c:v>7.8680555555547471</c:v>
                      </c:pt>
                      <c:pt idx="1134">
                        <c:v>7.875</c:v>
                      </c:pt>
                      <c:pt idx="1135">
                        <c:v>7.8819444444452529</c:v>
                      </c:pt>
                      <c:pt idx="1136">
                        <c:v>7.8888888888905058</c:v>
                      </c:pt>
                      <c:pt idx="1137">
                        <c:v>7.8958333333357587</c:v>
                      </c:pt>
                      <c:pt idx="1138">
                        <c:v>7.9027777777810115</c:v>
                      </c:pt>
                      <c:pt idx="1139">
                        <c:v>7.9097222222189885</c:v>
                      </c:pt>
                      <c:pt idx="1140">
                        <c:v>7.9166666666642413</c:v>
                      </c:pt>
                      <c:pt idx="1141">
                        <c:v>7.9236111111094942</c:v>
                      </c:pt>
                      <c:pt idx="1142">
                        <c:v>7.9305555555547471</c:v>
                      </c:pt>
                      <c:pt idx="1143">
                        <c:v>7.9375</c:v>
                      </c:pt>
                      <c:pt idx="1144">
                        <c:v>7.9444444444452529</c:v>
                      </c:pt>
                      <c:pt idx="1145">
                        <c:v>7.9513888888905058</c:v>
                      </c:pt>
                      <c:pt idx="1146">
                        <c:v>7.9583333333357587</c:v>
                      </c:pt>
                      <c:pt idx="1147">
                        <c:v>7.9652777777810115</c:v>
                      </c:pt>
                      <c:pt idx="1148">
                        <c:v>7.9722222222189885</c:v>
                      </c:pt>
                      <c:pt idx="1149">
                        <c:v>7.9791666666642413</c:v>
                      </c:pt>
                      <c:pt idx="1150">
                        <c:v>7.9861111111094942</c:v>
                      </c:pt>
                      <c:pt idx="1151">
                        <c:v>7.9930555555547471</c:v>
                      </c:pt>
                      <c:pt idx="1152">
                        <c:v>8</c:v>
                      </c:pt>
                      <c:pt idx="1153">
                        <c:v>8.0069444444452529</c:v>
                      </c:pt>
                      <c:pt idx="1154">
                        <c:v>8.0138888888905058</c:v>
                      </c:pt>
                      <c:pt idx="1155">
                        <c:v>8.0208333333357587</c:v>
                      </c:pt>
                      <c:pt idx="1156">
                        <c:v>8.0277777777810115</c:v>
                      </c:pt>
                      <c:pt idx="1157">
                        <c:v>8.0347222222189885</c:v>
                      </c:pt>
                      <c:pt idx="1158">
                        <c:v>8.0416666666642413</c:v>
                      </c:pt>
                      <c:pt idx="1159">
                        <c:v>8.0486111111094942</c:v>
                      </c:pt>
                      <c:pt idx="1160">
                        <c:v>8.0555555555547471</c:v>
                      </c:pt>
                      <c:pt idx="1161">
                        <c:v>8.0625</c:v>
                      </c:pt>
                      <c:pt idx="1162">
                        <c:v>8.0694444444452529</c:v>
                      </c:pt>
                      <c:pt idx="1163">
                        <c:v>8.0763888888905058</c:v>
                      </c:pt>
                      <c:pt idx="1164">
                        <c:v>8.0833333333357587</c:v>
                      </c:pt>
                      <c:pt idx="1165">
                        <c:v>8.0902777777810115</c:v>
                      </c:pt>
                      <c:pt idx="1166">
                        <c:v>8.0972222222189885</c:v>
                      </c:pt>
                      <c:pt idx="1167">
                        <c:v>8.1041666666642413</c:v>
                      </c:pt>
                      <c:pt idx="1168">
                        <c:v>8.1111111111094942</c:v>
                      </c:pt>
                      <c:pt idx="1169">
                        <c:v>8.1180555555547471</c:v>
                      </c:pt>
                      <c:pt idx="1170">
                        <c:v>8.125</c:v>
                      </c:pt>
                      <c:pt idx="1171">
                        <c:v>8.1319444444452529</c:v>
                      </c:pt>
                      <c:pt idx="1172">
                        <c:v>8.1388888888905058</c:v>
                      </c:pt>
                      <c:pt idx="1173">
                        <c:v>8.1458333333357587</c:v>
                      </c:pt>
                      <c:pt idx="1174">
                        <c:v>8.1527777777810115</c:v>
                      </c:pt>
                      <c:pt idx="1175">
                        <c:v>8.1597222222189885</c:v>
                      </c:pt>
                      <c:pt idx="1176">
                        <c:v>8.1666666666642413</c:v>
                      </c:pt>
                      <c:pt idx="1177">
                        <c:v>8.1736111111094942</c:v>
                      </c:pt>
                      <c:pt idx="1178">
                        <c:v>8.1805555555547471</c:v>
                      </c:pt>
                      <c:pt idx="1179">
                        <c:v>8.1875</c:v>
                      </c:pt>
                      <c:pt idx="1180">
                        <c:v>8.1944444444452529</c:v>
                      </c:pt>
                      <c:pt idx="1181">
                        <c:v>8.2013888888905058</c:v>
                      </c:pt>
                      <c:pt idx="1182">
                        <c:v>8.2083333333357587</c:v>
                      </c:pt>
                      <c:pt idx="1183">
                        <c:v>8.2152777777810115</c:v>
                      </c:pt>
                      <c:pt idx="1184">
                        <c:v>8.2222222222189885</c:v>
                      </c:pt>
                      <c:pt idx="1185">
                        <c:v>8.2291666666642413</c:v>
                      </c:pt>
                      <c:pt idx="1186">
                        <c:v>8.2361111111094942</c:v>
                      </c:pt>
                      <c:pt idx="1187">
                        <c:v>8.2430555555547471</c:v>
                      </c:pt>
                      <c:pt idx="1188">
                        <c:v>8.25</c:v>
                      </c:pt>
                      <c:pt idx="1189">
                        <c:v>8.2569444444452529</c:v>
                      </c:pt>
                      <c:pt idx="1190">
                        <c:v>8.2638888888905058</c:v>
                      </c:pt>
                      <c:pt idx="1191">
                        <c:v>8.2708333333357587</c:v>
                      </c:pt>
                      <c:pt idx="1192">
                        <c:v>8.2777777777810115</c:v>
                      </c:pt>
                      <c:pt idx="1193">
                        <c:v>8.2847222222189885</c:v>
                      </c:pt>
                      <c:pt idx="1194">
                        <c:v>8.2916666666642413</c:v>
                      </c:pt>
                      <c:pt idx="1195">
                        <c:v>8.2986111111094942</c:v>
                      </c:pt>
                      <c:pt idx="1196">
                        <c:v>8.3055555555547471</c:v>
                      </c:pt>
                      <c:pt idx="1197">
                        <c:v>8.3125</c:v>
                      </c:pt>
                      <c:pt idx="1198">
                        <c:v>8.3194444444452529</c:v>
                      </c:pt>
                      <c:pt idx="1199">
                        <c:v>8.3263888888905058</c:v>
                      </c:pt>
                      <c:pt idx="1200">
                        <c:v>8.3333333333357587</c:v>
                      </c:pt>
                      <c:pt idx="1201">
                        <c:v>8.3402777777810115</c:v>
                      </c:pt>
                      <c:pt idx="1202">
                        <c:v>8.3472222222189885</c:v>
                      </c:pt>
                      <c:pt idx="1203">
                        <c:v>8.3541666666642413</c:v>
                      </c:pt>
                      <c:pt idx="1204">
                        <c:v>8.3611111111094942</c:v>
                      </c:pt>
                      <c:pt idx="1205">
                        <c:v>8.3680555555547471</c:v>
                      </c:pt>
                      <c:pt idx="1206">
                        <c:v>8.375</c:v>
                      </c:pt>
                      <c:pt idx="1207">
                        <c:v>8.3819444444452529</c:v>
                      </c:pt>
                      <c:pt idx="1208">
                        <c:v>8.3888888888905058</c:v>
                      </c:pt>
                      <c:pt idx="1209">
                        <c:v>8.3958333333357587</c:v>
                      </c:pt>
                      <c:pt idx="1210">
                        <c:v>8.4027777777810115</c:v>
                      </c:pt>
                      <c:pt idx="1211">
                        <c:v>8.4097222222189885</c:v>
                      </c:pt>
                      <c:pt idx="1212">
                        <c:v>8.4166666666642413</c:v>
                      </c:pt>
                      <c:pt idx="1213">
                        <c:v>8.4236111111094942</c:v>
                      </c:pt>
                      <c:pt idx="1214">
                        <c:v>8.4305555555547471</c:v>
                      </c:pt>
                      <c:pt idx="1215">
                        <c:v>8.4375</c:v>
                      </c:pt>
                      <c:pt idx="1216">
                        <c:v>8.4444444444452529</c:v>
                      </c:pt>
                      <c:pt idx="1217">
                        <c:v>8.4513888888905058</c:v>
                      </c:pt>
                      <c:pt idx="1218">
                        <c:v>8.4583333333357587</c:v>
                      </c:pt>
                      <c:pt idx="1219">
                        <c:v>8.4652777777810115</c:v>
                      </c:pt>
                      <c:pt idx="1220">
                        <c:v>8.4722222222189885</c:v>
                      </c:pt>
                      <c:pt idx="1221">
                        <c:v>8.4791666666642413</c:v>
                      </c:pt>
                      <c:pt idx="1222">
                        <c:v>8.4861111111094942</c:v>
                      </c:pt>
                      <c:pt idx="1223">
                        <c:v>8.4930555555547471</c:v>
                      </c:pt>
                      <c:pt idx="1224">
                        <c:v>8.5</c:v>
                      </c:pt>
                      <c:pt idx="1225">
                        <c:v>8.5069444444452529</c:v>
                      </c:pt>
                      <c:pt idx="1226">
                        <c:v>8.5138888888905058</c:v>
                      </c:pt>
                      <c:pt idx="1227">
                        <c:v>8.5208333333357587</c:v>
                      </c:pt>
                      <c:pt idx="1228">
                        <c:v>8.5277777777810115</c:v>
                      </c:pt>
                      <c:pt idx="1229">
                        <c:v>8.5347222222189885</c:v>
                      </c:pt>
                      <c:pt idx="1230">
                        <c:v>8.5416666666642413</c:v>
                      </c:pt>
                      <c:pt idx="1231">
                        <c:v>8.5486111111094942</c:v>
                      </c:pt>
                      <c:pt idx="1232">
                        <c:v>8.5555555555547471</c:v>
                      </c:pt>
                      <c:pt idx="1233">
                        <c:v>8.5625</c:v>
                      </c:pt>
                      <c:pt idx="1234">
                        <c:v>8.5694444444452529</c:v>
                      </c:pt>
                      <c:pt idx="1235">
                        <c:v>8.5763888888905058</c:v>
                      </c:pt>
                      <c:pt idx="1236">
                        <c:v>8.5833333333357587</c:v>
                      </c:pt>
                      <c:pt idx="1237">
                        <c:v>8.5902777777810115</c:v>
                      </c:pt>
                      <c:pt idx="1238">
                        <c:v>8.5972222222189885</c:v>
                      </c:pt>
                      <c:pt idx="1239">
                        <c:v>8.6041666666642413</c:v>
                      </c:pt>
                      <c:pt idx="1240">
                        <c:v>8.6111111111094942</c:v>
                      </c:pt>
                      <c:pt idx="1241">
                        <c:v>8.6180555555547471</c:v>
                      </c:pt>
                      <c:pt idx="1242">
                        <c:v>8.625</c:v>
                      </c:pt>
                      <c:pt idx="1243">
                        <c:v>8.6319444444452529</c:v>
                      </c:pt>
                      <c:pt idx="1244">
                        <c:v>8.6388888888905058</c:v>
                      </c:pt>
                      <c:pt idx="1245">
                        <c:v>8.6458333333357587</c:v>
                      </c:pt>
                      <c:pt idx="1246">
                        <c:v>8.6527777777810115</c:v>
                      </c:pt>
                      <c:pt idx="1247">
                        <c:v>8.6597222222189885</c:v>
                      </c:pt>
                      <c:pt idx="1248">
                        <c:v>8.6666666666642413</c:v>
                      </c:pt>
                      <c:pt idx="1249">
                        <c:v>8.6736111111094942</c:v>
                      </c:pt>
                      <c:pt idx="1250">
                        <c:v>8.6805555555547471</c:v>
                      </c:pt>
                      <c:pt idx="1251">
                        <c:v>8.6875</c:v>
                      </c:pt>
                      <c:pt idx="1252">
                        <c:v>8.6944444444452529</c:v>
                      </c:pt>
                      <c:pt idx="1253">
                        <c:v>8.7013888888905058</c:v>
                      </c:pt>
                      <c:pt idx="1254">
                        <c:v>8.7083333333357587</c:v>
                      </c:pt>
                      <c:pt idx="1255">
                        <c:v>8.7152777777810115</c:v>
                      </c:pt>
                      <c:pt idx="1256">
                        <c:v>8.7222222222189885</c:v>
                      </c:pt>
                      <c:pt idx="1257">
                        <c:v>8.7291666666642413</c:v>
                      </c:pt>
                      <c:pt idx="1258">
                        <c:v>8.7361111111094942</c:v>
                      </c:pt>
                      <c:pt idx="1259">
                        <c:v>8.7430555555547471</c:v>
                      </c:pt>
                      <c:pt idx="1260">
                        <c:v>8.75</c:v>
                      </c:pt>
                      <c:pt idx="1261">
                        <c:v>8.7569444444452529</c:v>
                      </c:pt>
                      <c:pt idx="1262">
                        <c:v>8.7638888888905058</c:v>
                      </c:pt>
                      <c:pt idx="1263">
                        <c:v>8.7708333333357587</c:v>
                      </c:pt>
                      <c:pt idx="1264">
                        <c:v>8.7777777777810115</c:v>
                      </c:pt>
                      <c:pt idx="1265">
                        <c:v>8.7847222222189885</c:v>
                      </c:pt>
                      <c:pt idx="1266">
                        <c:v>8.7916666666642413</c:v>
                      </c:pt>
                      <c:pt idx="1267">
                        <c:v>8.7986111111094942</c:v>
                      </c:pt>
                      <c:pt idx="1268">
                        <c:v>8.8055555555547471</c:v>
                      </c:pt>
                      <c:pt idx="1269">
                        <c:v>8.8125</c:v>
                      </c:pt>
                      <c:pt idx="1270">
                        <c:v>8.8194444444452529</c:v>
                      </c:pt>
                      <c:pt idx="1271">
                        <c:v>8.8263888888905058</c:v>
                      </c:pt>
                      <c:pt idx="1272">
                        <c:v>8.8333333333357587</c:v>
                      </c:pt>
                      <c:pt idx="1273">
                        <c:v>8.8402777777810115</c:v>
                      </c:pt>
                      <c:pt idx="1274">
                        <c:v>8.8472222222189885</c:v>
                      </c:pt>
                      <c:pt idx="1275">
                        <c:v>8.8541666666642413</c:v>
                      </c:pt>
                      <c:pt idx="1276">
                        <c:v>8.8611111111094942</c:v>
                      </c:pt>
                      <c:pt idx="1277">
                        <c:v>8.8680555555547471</c:v>
                      </c:pt>
                      <c:pt idx="1278">
                        <c:v>8.875</c:v>
                      </c:pt>
                      <c:pt idx="1279">
                        <c:v>8.8819444444452529</c:v>
                      </c:pt>
                      <c:pt idx="1280">
                        <c:v>8.8888888888905058</c:v>
                      </c:pt>
                      <c:pt idx="1281">
                        <c:v>8.8958333333357587</c:v>
                      </c:pt>
                      <c:pt idx="1282">
                        <c:v>8.9027777777810115</c:v>
                      </c:pt>
                      <c:pt idx="1283">
                        <c:v>8.9097222222189885</c:v>
                      </c:pt>
                      <c:pt idx="1284">
                        <c:v>8.9166666666642413</c:v>
                      </c:pt>
                      <c:pt idx="1285">
                        <c:v>8.9236111111094942</c:v>
                      </c:pt>
                      <c:pt idx="1286">
                        <c:v>8.9305555555547471</c:v>
                      </c:pt>
                      <c:pt idx="1287">
                        <c:v>8.9375</c:v>
                      </c:pt>
                      <c:pt idx="1288">
                        <c:v>8.9444444444452529</c:v>
                      </c:pt>
                      <c:pt idx="1289">
                        <c:v>8.9513888888905058</c:v>
                      </c:pt>
                      <c:pt idx="1290">
                        <c:v>8.9583333333357587</c:v>
                      </c:pt>
                      <c:pt idx="1291">
                        <c:v>8.9652777777810115</c:v>
                      </c:pt>
                      <c:pt idx="1292">
                        <c:v>8.9722222222189885</c:v>
                      </c:pt>
                      <c:pt idx="1293">
                        <c:v>8.9791666666642413</c:v>
                      </c:pt>
                      <c:pt idx="1294">
                        <c:v>8.9861111111094942</c:v>
                      </c:pt>
                      <c:pt idx="1295">
                        <c:v>8.9930555555547471</c:v>
                      </c:pt>
                      <c:pt idx="1296">
                        <c:v>9</c:v>
                      </c:pt>
                      <c:pt idx="1297">
                        <c:v>9.0069444444452529</c:v>
                      </c:pt>
                      <c:pt idx="1298">
                        <c:v>9.0138888888905058</c:v>
                      </c:pt>
                      <c:pt idx="1299">
                        <c:v>9.0208333333357587</c:v>
                      </c:pt>
                      <c:pt idx="1300">
                        <c:v>9.0277777777810115</c:v>
                      </c:pt>
                      <c:pt idx="1301">
                        <c:v>9.0347222222189885</c:v>
                      </c:pt>
                      <c:pt idx="1302">
                        <c:v>9.0416666666642413</c:v>
                      </c:pt>
                      <c:pt idx="1303">
                        <c:v>9.0486111111094942</c:v>
                      </c:pt>
                      <c:pt idx="1304">
                        <c:v>9.0555555555547471</c:v>
                      </c:pt>
                      <c:pt idx="1305">
                        <c:v>9.0625</c:v>
                      </c:pt>
                      <c:pt idx="1306">
                        <c:v>9.0694444444452529</c:v>
                      </c:pt>
                      <c:pt idx="1307">
                        <c:v>9.0763888888905058</c:v>
                      </c:pt>
                      <c:pt idx="1308">
                        <c:v>9.0833333333357587</c:v>
                      </c:pt>
                      <c:pt idx="1309">
                        <c:v>9.0902777777810115</c:v>
                      </c:pt>
                      <c:pt idx="1310">
                        <c:v>9.0972222222189885</c:v>
                      </c:pt>
                      <c:pt idx="1311">
                        <c:v>9.1041666666642413</c:v>
                      </c:pt>
                      <c:pt idx="1312">
                        <c:v>9.1111111111094942</c:v>
                      </c:pt>
                      <c:pt idx="1313">
                        <c:v>9.1180555555547471</c:v>
                      </c:pt>
                      <c:pt idx="1314">
                        <c:v>9.125</c:v>
                      </c:pt>
                      <c:pt idx="1315">
                        <c:v>9.1319444444452529</c:v>
                      </c:pt>
                      <c:pt idx="1316">
                        <c:v>9.1388888888905058</c:v>
                      </c:pt>
                      <c:pt idx="1317">
                        <c:v>9.1458333333357587</c:v>
                      </c:pt>
                      <c:pt idx="1318">
                        <c:v>9.1527777777810115</c:v>
                      </c:pt>
                      <c:pt idx="1319">
                        <c:v>9.1597222222189885</c:v>
                      </c:pt>
                      <c:pt idx="1320">
                        <c:v>9.1666666666642413</c:v>
                      </c:pt>
                      <c:pt idx="1321">
                        <c:v>9.1736111111094942</c:v>
                      </c:pt>
                      <c:pt idx="1322">
                        <c:v>9.1805555555547471</c:v>
                      </c:pt>
                      <c:pt idx="1323">
                        <c:v>9.1875</c:v>
                      </c:pt>
                      <c:pt idx="1324">
                        <c:v>9.1944444444452529</c:v>
                      </c:pt>
                      <c:pt idx="1325">
                        <c:v>9.2013888888905058</c:v>
                      </c:pt>
                      <c:pt idx="1326">
                        <c:v>9.2083333333357587</c:v>
                      </c:pt>
                      <c:pt idx="1327">
                        <c:v>9.2152777777810115</c:v>
                      </c:pt>
                      <c:pt idx="1328">
                        <c:v>9.2222222222189885</c:v>
                      </c:pt>
                      <c:pt idx="1329">
                        <c:v>9.2291666666642413</c:v>
                      </c:pt>
                      <c:pt idx="1330">
                        <c:v>9.2361111111094942</c:v>
                      </c:pt>
                      <c:pt idx="1331">
                        <c:v>9.2430555555547471</c:v>
                      </c:pt>
                      <c:pt idx="1332">
                        <c:v>9.25</c:v>
                      </c:pt>
                      <c:pt idx="1333">
                        <c:v>9.2569444444452529</c:v>
                      </c:pt>
                      <c:pt idx="1334">
                        <c:v>9.2638888888905058</c:v>
                      </c:pt>
                      <c:pt idx="1335">
                        <c:v>9.2708333333357587</c:v>
                      </c:pt>
                      <c:pt idx="1336">
                        <c:v>9.2777777777810115</c:v>
                      </c:pt>
                      <c:pt idx="1337">
                        <c:v>9.2847222222189885</c:v>
                      </c:pt>
                      <c:pt idx="1338">
                        <c:v>9.2916666666642413</c:v>
                      </c:pt>
                      <c:pt idx="1339">
                        <c:v>9.2986111111094942</c:v>
                      </c:pt>
                      <c:pt idx="1340">
                        <c:v>9.3055555555547471</c:v>
                      </c:pt>
                      <c:pt idx="1341">
                        <c:v>9.3125</c:v>
                      </c:pt>
                      <c:pt idx="1342">
                        <c:v>9.3194444444452529</c:v>
                      </c:pt>
                      <c:pt idx="1343">
                        <c:v>9.3263888888905058</c:v>
                      </c:pt>
                      <c:pt idx="1344">
                        <c:v>9.3333333333357587</c:v>
                      </c:pt>
                      <c:pt idx="1345">
                        <c:v>9.3402777777810115</c:v>
                      </c:pt>
                      <c:pt idx="1346">
                        <c:v>9.3472222222189885</c:v>
                      </c:pt>
                      <c:pt idx="1347">
                        <c:v>9.3541666666642413</c:v>
                      </c:pt>
                      <c:pt idx="1348">
                        <c:v>9.3611111111094942</c:v>
                      </c:pt>
                      <c:pt idx="1349">
                        <c:v>9.3680555555547471</c:v>
                      </c:pt>
                      <c:pt idx="1350">
                        <c:v>9.375</c:v>
                      </c:pt>
                      <c:pt idx="1351">
                        <c:v>9.3819444444452529</c:v>
                      </c:pt>
                      <c:pt idx="1352">
                        <c:v>9.3888888888905058</c:v>
                      </c:pt>
                      <c:pt idx="1353">
                        <c:v>9.3958333333357587</c:v>
                      </c:pt>
                      <c:pt idx="1354">
                        <c:v>9.4027777777810115</c:v>
                      </c:pt>
                      <c:pt idx="1355">
                        <c:v>9.4097222222189885</c:v>
                      </c:pt>
                      <c:pt idx="1356">
                        <c:v>9.4166666666642413</c:v>
                      </c:pt>
                      <c:pt idx="1357">
                        <c:v>9.4236111111094942</c:v>
                      </c:pt>
                      <c:pt idx="1358">
                        <c:v>9.4305555555547471</c:v>
                      </c:pt>
                      <c:pt idx="1359">
                        <c:v>9.4375</c:v>
                      </c:pt>
                      <c:pt idx="1360">
                        <c:v>9.4444444444452529</c:v>
                      </c:pt>
                      <c:pt idx="1361">
                        <c:v>9.4513888888905058</c:v>
                      </c:pt>
                      <c:pt idx="1362">
                        <c:v>9.4583333333357587</c:v>
                      </c:pt>
                      <c:pt idx="1363">
                        <c:v>9.4652777777810115</c:v>
                      </c:pt>
                      <c:pt idx="1364">
                        <c:v>9.4722222222189885</c:v>
                      </c:pt>
                      <c:pt idx="1365">
                        <c:v>9.4791666666642413</c:v>
                      </c:pt>
                      <c:pt idx="1366">
                        <c:v>9.4861111111094942</c:v>
                      </c:pt>
                      <c:pt idx="1367">
                        <c:v>9.4930555555547471</c:v>
                      </c:pt>
                      <c:pt idx="1368">
                        <c:v>9.5</c:v>
                      </c:pt>
                      <c:pt idx="1369">
                        <c:v>9.5069444444452529</c:v>
                      </c:pt>
                      <c:pt idx="1370">
                        <c:v>9.5138888888905058</c:v>
                      </c:pt>
                      <c:pt idx="1371">
                        <c:v>9.5208333333357587</c:v>
                      </c:pt>
                      <c:pt idx="1372">
                        <c:v>9.5277777777810115</c:v>
                      </c:pt>
                      <c:pt idx="1373">
                        <c:v>9.5347222222189885</c:v>
                      </c:pt>
                      <c:pt idx="1374">
                        <c:v>9.5416666666642413</c:v>
                      </c:pt>
                      <c:pt idx="1375">
                        <c:v>9.5486111111094942</c:v>
                      </c:pt>
                      <c:pt idx="1376">
                        <c:v>9.5555555555547471</c:v>
                      </c:pt>
                      <c:pt idx="1377">
                        <c:v>9.5625</c:v>
                      </c:pt>
                      <c:pt idx="1378">
                        <c:v>9.5694444444452529</c:v>
                      </c:pt>
                      <c:pt idx="1379">
                        <c:v>9.5763888888905058</c:v>
                      </c:pt>
                      <c:pt idx="1380">
                        <c:v>9.5833333333357587</c:v>
                      </c:pt>
                      <c:pt idx="1381">
                        <c:v>9.5902777777810115</c:v>
                      </c:pt>
                      <c:pt idx="1382">
                        <c:v>9.5972222222189885</c:v>
                      </c:pt>
                      <c:pt idx="1383">
                        <c:v>9.6041666666642413</c:v>
                      </c:pt>
                      <c:pt idx="1384">
                        <c:v>9.6111111111094942</c:v>
                      </c:pt>
                      <c:pt idx="1385">
                        <c:v>9.6180555555547471</c:v>
                      </c:pt>
                      <c:pt idx="1386">
                        <c:v>9.625</c:v>
                      </c:pt>
                      <c:pt idx="1387">
                        <c:v>9.6319444444452529</c:v>
                      </c:pt>
                      <c:pt idx="1388">
                        <c:v>9.6388888888905058</c:v>
                      </c:pt>
                      <c:pt idx="1389">
                        <c:v>9.6458333333357587</c:v>
                      </c:pt>
                      <c:pt idx="1390">
                        <c:v>9.6527777777810115</c:v>
                      </c:pt>
                      <c:pt idx="1391">
                        <c:v>9.6597222222189885</c:v>
                      </c:pt>
                      <c:pt idx="1392">
                        <c:v>9.6666666666642413</c:v>
                      </c:pt>
                      <c:pt idx="1393">
                        <c:v>9.6736111111094942</c:v>
                      </c:pt>
                      <c:pt idx="1394">
                        <c:v>9.6805555555547471</c:v>
                      </c:pt>
                      <c:pt idx="1395">
                        <c:v>9.6875</c:v>
                      </c:pt>
                      <c:pt idx="1396">
                        <c:v>9.6944444444452529</c:v>
                      </c:pt>
                      <c:pt idx="1397">
                        <c:v>9.7013888888905058</c:v>
                      </c:pt>
                      <c:pt idx="1398">
                        <c:v>9.7083333333357587</c:v>
                      </c:pt>
                      <c:pt idx="1399">
                        <c:v>9.7152777777810115</c:v>
                      </c:pt>
                      <c:pt idx="1400">
                        <c:v>9.7222222222189885</c:v>
                      </c:pt>
                      <c:pt idx="1401">
                        <c:v>9.7291666666642413</c:v>
                      </c:pt>
                      <c:pt idx="1402">
                        <c:v>9.7361111111094942</c:v>
                      </c:pt>
                      <c:pt idx="1403">
                        <c:v>9.7430555555547471</c:v>
                      </c:pt>
                      <c:pt idx="1404">
                        <c:v>9.75</c:v>
                      </c:pt>
                      <c:pt idx="1405">
                        <c:v>9.7569444444452529</c:v>
                      </c:pt>
                      <c:pt idx="1406">
                        <c:v>9.7638888888905058</c:v>
                      </c:pt>
                      <c:pt idx="1407">
                        <c:v>9.7708333333357587</c:v>
                      </c:pt>
                      <c:pt idx="1408">
                        <c:v>9.7777777777810115</c:v>
                      </c:pt>
                      <c:pt idx="1409">
                        <c:v>9.7847222222189885</c:v>
                      </c:pt>
                      <c:pt idx="1410">
                        <c:v>9.7916666666642413</c:v>
                      </c:pt>
                      <c:pt idx="1411">
                        <c:v>9.7986111111094942</c:v>
                      </c:pt>
                      <c:pt idx="1412">
                        <c:v>9.8055555555547471</c:v>
                      </c:pt>
                      <c:pt idx="1413">
                        <c:v>9.8125</c:v>
                      </c:pt>
                      <c:pt idx="1414">
                        <c:v>9.8194444444452529</c:v>
                      </c:pt>
                      <c:pt idx="1415">
                        <c:v>9.8263888888905058</c:v>
                      </c:pt>
                      <c:pt idx="1416">
                        <c:v>9.8333333333357587</c:v>
                      </c:pt>
                      <c:pt idx="1417">
                        <c:v>9.8402777777810115</c:v>
                      </c:pt>
                      <c:pt idx="1418">
                        <c:v>9.8472222222189885</c:v>
                      </c:pt>
                      <c:pt idx="1419">
                        <c:v>9.8541666666642413</c:v>
                      </c:pt>
                      <c:pt idx="1420">
                        <c:v>9.8611111111094942</c:v>
                      </c:pt>
                      <c:pt idx="1421">
                        <c:v>9.8680555555547471</c:v>
                      </c:pt>
                      <c:pt idx="1422">
                        <c:v>9.875</c:v>
                      </c:pt>
                      <c:pt idx="1423">
                        <c:v>9.8819444444452529</c:v>
                      </c:pt>
                      <c:pt idx="1424">
                        <c:v>9.8888888888905058</c:v>
                      </c:pt>
                      <c:pt idx="1425">
                        <c:v>9.8958333333357587</c:v>
                      </c:pt>
                      <c:pt idx="1426">
                        <c:v>9.9027777777810115</c:v>
                      </c:pt>
                      <c:pt idx="1427">
                        <c:v>9.9097222222189885</c:v>
                      </c:pt>
                      <c:pt idx="1428">
                        <c:v>9.9166666666642413</c:v>
                      </c:pt>
                      <c:pt idx="1429">
                        <c:v>9.9236111111094942</c:v>
                      </c:pt>
                      <c:pt idx="1430">
                        <c:v>9.9305555555547471</c:v>
                      </c:pt>
                      <c:pt idx="1431">
                        <c:v>9.9375</c:v>
                      </c:pt>
                      <c:pt idx="1432">
                        <c:v>9.9444444444452529</c:v>
                      </c:pt>
                      <c:pt idx="1433">
                        <c:v>9.9513888888905058</c:v>
                      </c:pt>
                      <c:pt idx="1434">
                        <c:v>9.9583333333357587</c:v>
                      </c:pt>
                      <c:pt idx="1435">
                        <c:v>9.9652777777810115</c:v>
                      </c:pt>
                      <c:pt idx="1436">
                        <c:v>9.9722222222189885</c:v>
                      </c:pt>
                      <c:pt idx="1437">
                        <c:v>9.9791666666642413</c:v>
                      </c:pt>
                      <c:pt idx="1438">
                        <c:v>9.9861111111094942</c:v>
                      </c:pt>
                      <c:pt idx="1439">
                        <c:v>9.9930555555547471</c:v>
                      </c:pt>
                      <c:pt idx="1440">
                        <c:v>10</c:v>
                      </c:pt>
                      <c:pt idx="1441">
                        <c:v>10.006944444445253</c:v>
                      </c:pt>
                      <c:pt idx="1442">
                        <c:v>10.013888888890506</c:v>
                      </c:pt>
                      <c:pt idx="1443">
                        <c:v>10.020833333335759</c:v>
                      </c:pt>
                      <c:pt idx="1444">
                        <c:v>10.027777777781012</c:v>
                      </c:pt>
                      <c:pt idx="1445">
                        <c:v>10.034722222218988</c:v>
                      </c:pt>
                      <c:pt idx="1446">
                        <c:v>10.041666666664241</c:v>
                      </c:pt>
                      <c:pt idx="1447">
                        <c:v>10.048611111109494</c:v>
                      </c:pt>
                      <c:pt idx="1448">
                        <c:v>10.055555555554747</c:v>
                      </c:pt>
                      <c:pt idx="1449">
                        <c:v>10.0625</c:v>
                      </c:pt>
                      <c:pt idx="1450">
                        <c:v>10.069444444445253</c:v>
                      </c:pt>
                      <c:pt idx="1451">
                        <c:v>10.076388888890506</c:v>
                      </c:pt>
                      <c:pt idx="1452">
                        <c:v>10.083333333335759</c:v>
                      </c:pt>
                      <c:pt idx="1453">
                        <c:v>10.090277777781012</c:v>
                      </c:pt>
                      <c:pt idx="1454">
                        <c:v>10.097222222218988</c:v>
                      </c:pt>
                      <c:pt idx="1455">
                        <c:v>10.104166666664241</c:v>
                      </c:pt>
                      <c:pt idx="1456">
                        <c:v>10.111111111109494</c:v>
                      </c:pt>
                      <c:pt idx="1457">
                        <c:v>10.118055555554747</c:v>
                      </c:pt>
                      <c:pt idx="1458">
                        <c:v>10.125</c:v>
                      </c:pt>
                      <c:pt idx="1459">
                        <c:v>10.131944444445253</c:v>
                      </c:pt>
                      <c:pt idx="1460">
                        <c:v>10.138888888890506</c:v>
                      </c:pt>
                      <c:pt idx="1461">
                        <c:v>10.145833333335759</c:v>
                      </c:pt>
                      <c:pt idx="1462">
                        <c:v>10.152777777781012</c:v>
                      </c:pt>
                      <c:pt idx="1463">
                        <c:v>10.159722222218988</c:v>
                      </c:pt>
                      <c:pt idx="1464">
                        <c:v>10.166666666664241</c:v>
                      </c:pt>
                      <c:pt idx="1465">
                        <c:v>10.173611111109494</c:v>
                      </c:pt>
                      <c:pt idx="1466">
                        <c:v>10.180555555554747</c:v>
                      </c:pt>
                      <c:pt idx="1467">
                        <c:v>10.1875</c:v>
                      </c:pt>
                      <c:pt idx="1468">
                        <c:v>10.194444444445253</c:v>
                      </c:pt>
                      <c:pt idx="1469">
                        <c:v>10.201388888890506</c:v>
                      </c:pt>
                      <c:pt idx="1470">
                        <c:v>10.208333333335759</c:v>
                      </c:pt>
                      <c:pt idx="1471">
                        <c:v>10.215277777781012</c:v>
                      </c:pt>
                      <c:pt idx="1472">
                        <c:v>10.222222222218988</c:v>
                      </c:pt>
                      <c:pt idx="1473">
                        <c:v>10.229166666664241</c:v>
                      </c:pt>
                      <c:pt idx="1474">
                        <c:v>10.236111111109494</c:v>
                      </c:pt>
                      <c:pt idx="1475">
                        <c:v>10.243055555554747</c:v>
                      </c:pt>
                      <c:pt idx="1476">
                        <c:v>10.25</c:v>
                      </c:pt>
                      <c:pt idx="1477">
                        <c:v>10.256944444445253</c:v>
                      </c:pt>
                      <c:pt idx="1478">
                        <c:v>10.263888888890506</c:v>
                      </c:pt>
                      <c:pt idx="1479">
                        <c:v>10.270833333335759</c:v>
                      </c:pt>
                      <c:pt idx="1480">
                        <c:v>10.277777777781012</c:v>
                      </c:pt>
                      <c:pt idx="1481">
                        <c:v>10.284722222218988</c:v>
                      </c:pt>
                      <c:pt idx="1482">
                        <c:v>10.291666666664241</c:v>
                      </c:pt>
                      <c:pt idx="1483">
                        <c:v>10.298611111109494</c:v>
                      </c:pt>
                      <c:pt idx="1484">
                        <c:v>10.305555555554747</c:v>
                      </c:pt>
                      <c:pt idx="1485">
                        <c:v>10.3125</c:v>
                      </c:pt>
                      <c:pt idx="1486">
                        <c:v>10.319444444445253</c:v>
                      </c:pt>
                      <c:pt idx="1487">
                        <c:v>10.326388888890506</c:v>
                      </c:pt>
                      <c:pt idx="1488">
                        <c:v>10.333333333335759</c:v>
                      </c:pt>
                      <c:pt idx="1489">
                        <c:v>10.340277777781012</c:v>
                      </c:pt>
                      <c:pt idx="1490">
                        <c:v>10.347222222218988</c:v>
                      </c:pt>
                      <c:pt idx="1491">
                        <c:v>10.354166666664241</c:v>
                      </c:pt>
                      <c:pt idx="1492">
                        <c:v>10.361111111109494</c:v>
                      </c:pt>
                      <c:pt idx="1493">
                        <c:v>10.368055555554747</c:v>
                      </c:pt>
                      <c:pt idx="1494">
                        <c:v>10.375</c:v>
                      </c:pt>
                      <c:pt idx="1495">
                        <c:v>10.381944444445253</c:v>
                      </c:pt>
                      <c:pt idx="1496">
                        <c:v>10.388888888890506</c:v>
                      </c:pt>
                      <c:pt idx="1497">
                        <c:v>10.395833333335759</c:v>
                      </c:pt>
                      <c:pt idx="1498">
                        <c:v>10.402777777781012</c:v>
                      </c:pt>
                      <c:pt idx="1499">
                        <c:v>10.409722222218988</c:v>
                      </c:pt>
                      <c:pt idx="1500">
                        <c:v>10.416666666664241</c:v>
                      </c:pt>
                      <c:pt idx="1501">
                        <c:v>10.423611111109494</c:v>
                      </c:pt>
                      <c:pt idx="1502">
                        <c:v>10.430555555554747</c:v>
                      </c:pt>
                      <c:pt idx="1503">
                        <c:v>10.4375</c:v>
                      </c:pt>
                      <c:pt idx="1504">
                        <c:v>10.444444444445253</c:v>
                      </c:pt>
                      <c:pt idx="1505">
                        <c:v>10.451388888890506</c:v>
                      </c:pt>
                      <c:pt idx="1506">
                        <c:v>10.458333333335759</c:v>
                      </c:pt>
                      <c:pt idx="1507">
                        <c:v>10.465277777781012</c:v>
                      </c:pt>
                      <c:pt idx="1508">
                        <c:v>10.472222222218988</c:v>
                      </c:pt>
                      <c:pt idx="1509">
                        <c:v>10.479166666664241</c:v>
                      </c:pt>
                      <c:pt idx="1510">
                        <c:v>10.486111111109494</c:v>
                      </c:pt>
                      <c:pt idx="1511">
                        <c:v>10.493055555554747</c:v>
                      </c:pt>
                      <c:pt idx="1512">
                        <c:v>10.5</c:v>
                      </c:pt>
                      <c:pt idx="1513">
                        <c:v>10.506944444445253</c:v>
                      </c:pt>
                      <c:pt idx="1514">
                        <c:v>10.513888888890506</c:v>
                      </c:pt>
                      <c:pt idx="1515">
                        <c:v>10.520833333335759</c:v>
                      </c:pt>
                      <c:pt idx="1516">
                        <c:v>10.527777777781012</c:v>
                      </c:pt>
                      <c:pt idx="1517">
                        <c:v>10.534722222218988</c:v>
                      </c:pt>
                      <c:pt idx="1518">
                        <c:v>10.541666666664241</c:v>
                      </c:pt>
                      <c:pt idx="1519">
                        <c:v>10.548611111109494</c:v>
                      </c:pt>
                      <c:pt idx="1520">
                        <c:v>10.555555555554747</c:v>
                      </c:pt>
                      <c:pt idx="1521">
                        <c:v>10.5625</c:v>
                      </c:pt>
                      <c:pt idx="1522">
                        <c:v>10.569444444445253</c:v>
                      </c:pt>
                      <c:pt idx="1523">
                        <c:v>10.576388888890506</c:v>
                      </c:pt>
                      <c:pt idx="1524">
                        <c:v>10.583333333335759</c:v>
                      </c:pt>
                      <c:pt idx="1525">
                        <c:v>10.590277777781012</c:v>
                      </c:pt>
                      <c:pt idx="1526">
                        <c:v>10.597222222218988</c:v>
                      </c:pt>
                      <c:pt idx="1527">
                        <c:v>10.604166666664241</c:v>
                      </c:pt>
                      <c:pt idx="1528">
                        <c:v>10.611111111109494</c:v>
                      </c:pt>
                      <c:pt idx="1529">
                        <c:v>10.618055555554747</c:v>
                      </c:pt>
                      <c:pt idx="1530">
                        <c:v>10.625</c:v>
                      </c:pt>
                      <c:pt idx="1531">
                        <c:v>10.631944444445253</c:v>
                      </c:pt>
                      <c:pt idx="1532">
                        <c:v>10.638888888890506</c:v>
                      </c:pt>
                      <c:pt idx="1533">
                        <c:v>10.645833333335759</c:v>
                      </c:pt>
                      <c:pt idx="1534">
                        <c:v>10.652777777781012</c:v>
                      </c:pt>
                      <c:pt idx="1535">
                        <c:v>10.659722222218988</c:v>
                      </c:pt>
                      <c:pt idx="1536">
                        <c:v>10.666666666664241</c:v>
                      </c:pt>
                      <c:pt idx="1537">
                        <c:v>10.673611111109494</c:v>
                      </c:pt>
                      <c:pt idx="1538">
                        <c:v>10.680555555554747</c:v>
                      </c:pt>
                      <c:pt idx="1539">
                        <c:v>10.6875</c:v>
                      </c:pt>
                      <c:pt idx="1540">
                        <c:v>10.694444444445253</c:v>
                      </c:pt>
                      <c:pt idx="1541">
                        <c:v>10.701388888890506</c:v>
                      </c:pt>
                      <c:pt idx="1542">
                        <c:v>10.708333333335759</c:v>
                      </c:pt>
                      <c:pt idx="1543">
                        <c:v>10.715277777781012</c:v>
                      </c:pt>
                      <c:pt idx="1544">
                        <c:v>10.722222222218988</c:v>
                      </c:pt>
                      <c:pt idx="1545">
                        <c:v>10.729166666664241</c:v>
                      </c:pt>
                      <c:pt idx="1546">
                        <c:v>10.736111111109494</c:v>
                      </c:pt>
                      <c:pt idx="1547">
                        <c:v>10.743055555554747</c:v>
                      </c:pt>
                      <c:pt idx="1548">
                        <c:v>10.75</c:v>
                      </c:pt>
                      <c:pt idx="1549">
                        <c:v>10.756944444445253</c:v>
                      </c:pt>
                      <c:pt idx="1550">
                        <c:v>10.763888888890506</c:v>
                      </c:pt>
                      <c:pt idx="1551">
                        <c:v>10.770833333335759</c:v>
                      </c:pt>
                      <c:pt idx="1552">
                        <c:v>10.777777777781012</c:v>
                      </c:pt>
                      <c:pt idx="1553">
                        <c:v>10.784722222218988</c:v>
                      </c:pt>
                      <c:pt idx="1554">
                        <c:v>10.791666666664241</c:v>
                      </c:pt>
                      <c:pt idx="1555">
                        <c:v>10.798611111109494</c:v>
                      </c:pt>
                      <c:pt idx="1556">
                        <c:v>10.805555555554747</c:v>
                      </c:pt>
                      <c:pt idx="1557">
                        <c:v>10.8125</c:v>
                      </c:pt>
                      <c:pt idx="1558">
                        <c:v>10.819444444445253</c:v>
                      </c:pt>
                      <c:pt idx="1559">
                        <c:v>10.826388888890506</c:v>
                      </c:pt>
                      <c:pt idx="1560">
                        <c:v>10.833333333335759</c:v>
                      </c:pt>
                      <c:pt idx="1561">
                        <c:v>10.840277777781012</c:v>
                      </c:pt>
                      <c:pt idx="1562">
                        <c:v>10.847222222218988</c:v>
                      </c:pt>
                      <c:pt idx="1563">
                        <c:v>10.854166666664241</c:v>
                      </c:pt>
                      <c:pt idx="1564">
                        <c:v>10.861111111109494</c:v>
                      </c:pt>
                      <c:pt idx="1565">
                        <c:v>10.868055555554747</c:v>
                      </c:pt>
                      <c:pt idx="1566">
                        <c:v>10.875</c:v>
                      </c:pt>
                      <c:pt idx="1567">
                        <c:v>10.881944444445253</c:v>
                      </c:pt>
                      <c:pt idx="1568">
                        <c:v>10.888888888890506</c:v>
                      </c:pt>
                      <c:pt idx="1569">
                        <c:v>10.895833333335759</c:v>
                      </c:pt>
                      <c:pt idx="1570">
                        <c:v>10.902777777781012</c:v>
                      </c:pt>
                      <c:pt idx="1571">
                        <c:v>10.909722222218988</c:v>
                      </c:pt>
                      <c:pt idx="1572">
                        <c:v>10.916666666664241</c:v>
                      </c:pt>
                      <c:pt idx="1573">
                        <c:v>10.923611111109494</c:v>
                      </c:pt>
                      <c:pt idx="1574">
                        <c:v>10.930555555554747</c:v>
                      </c:pt>
                      <c:pt idx="1575">
                        <c:v>10.9375</c:v>
                      </c:pt>
                      <c:pt idx="1576">
                        <c:v>10.944444444445253</c:v>
                      </c:pt>
                      <c:pt idx="1577">
                        <c:v>10.951388888890506</c:v>
                      </c:pt>
                      <c:pt idx="1578">
                        <c:v>10.958333333335759</c:v>
                      </c:pt>
                      <c:pt idx="1579">
                        <c:v>10.965277777781012</c:v>
                      </c:pt>
                      <c:pt idx="1580">
                        <c:v>10.972222222218988</c:v>
                      </c:pt>
                      <c:pt idx="1581">
                        <c:v>10.979166666664241</c:v>
                      </c:pt>
                      <c:pt idx="1582">
                        <c:v>10.986111111109494</c:v>
                      </c:pt>
                      <c:pt idx="1583">
                        <c:v>10.993055555554747</c:v>
                      </c:pt>
                      <c:pt idx="1584">
                        <c:v>11</c:v>
                      </c:pt>
                      <c:pt idx="1585">
                        <c:v>11.006944444445253</c:v>
                      </c:pt>
                      <c:pt idx="1586">
                        <c:v>11.013888888890506</c:v>
                      </c:pt>
                      <c:pt idx="1587">
                        <c:v>11.020833333335759</c:v>
                      </c:pt>
                      <c:pt idx="1588">
                        <c:v>11.027777777781012</c:v>
                      </c:pt>
                      <c:pt idx="1589">
                        <c:v>11.034722222218988</c:v>
                      </c:pt>
                      <c:pt idx="1590">
                        <c:v>11.041666666664241</c:v>
                      </c:pt>
                      <c:pt idx="1591">
                        <c:v>11.048611111109494</c:v>
                      </c:pt>
                      <c:pt idx="1592">
                        <c:v>11.055555555554747</c:v>
                      </c:pt>
                      <c:pt idx="1593">
                        <c:v>11.0625</c:v>
                      </c:pt>
                      <c:pt idx="1594">
                        <c:v>11.069444444445253</c:v>
                      </c:pt>
                      <c:pt idx="1595">
                        <c:v>11.076388888890506</c:v>
                      </c:pt>
                      <c:pt idx="1596">
                        <c:v>11.083333333335759</c:v>
                      </c:pt>
                      <c:pt idx="1597">
                        <c:v>11.090277777781012</c:v>
                      </c:pt>
                      <c:pt idx="1598">
                        <c:v>11.097222222218988</c:v>
                      </c:pt>
                      <c:pt idx="1599">
                        <c:v>11.104166666664241</c:v>
                      </c:pt>
                      <c:pt idx="1600">
                        <c:v>11.111111111109494</c:v>
                      </c:pt>
                      <c:pt idx="1601">
                        <c:v>11.118055555554747</c:v>
                      </c:pt>
                      <c:pt idx="1602">
                        <c:v>11.125</c:v>
                      </c:pt>
                      <c:pt idx="1603">
                        <c:v>11.131944444445253</c:v>
                      </c:pt>
                      <c:pt idx="1604">
                        <c:v>11.138888888890506</c:v>
                      </c:pt>
                      <c:pt idx="1605">
                        <c:v>11.145833333335759</c:v>
                      </c:pt>
                      <c:pt idx="1606">
                        <c:v>11.152777777781012</c:v>
                      </c:pt>
                      <c:pt idx="1607">
                        <c:v>11.159722222218988</c:v>
                      </c:pt>
                      <c:pt idx="1608">
                        <c:v>11.166666666664241</c:v>
                      </c:pt>
                      <c:pt idx="1609">
                        <c:v>11.173611111109494</c:v>
                      </c:pt>
                      <c:pt idx="1610">
                        <c:v>11.180555555554747</c:v>
                      </c:pt>
                      <c:pt idx="1611">
                        <c:v>11.1875</c:v>
                      </c:pt>
                      <c:pt idx="1612">
                        <c:v>11.194444444445253</c:v>
                      </c:pt>
                      <c:pt idx="1613">
                        <c:v>11.201388888890506</c:v>
                      </c:pt>
                      <c:pt idx="1614">
                        <c:v>11.208333333335759</c:v>
                      </c:pt>
                      <c:pt idx="1615">
                        <c:v>11.215277777781012</c:v>
                      </c:pt>
                      <c:pt idx="1616">
                        <c:v>11.222222222218988</c:v>
                      </c:pt>
                      <c:pt idx="1617">
                        <c:v>11.229166666664241</c:v>
                      </c:pt>
                      <c:pt idx="1618">
                        <c:v>11.236111111109494</c:v>
                      </c:pt>
                      <c:pt idx="1619">
                        <c:v>11.243055555554747</c:v>
                      </c:pt>
                      <c:pt idx="1620">
                        <c:v>11.25</c:v>
                      </c:pt>
                      <c:pt idx="1621">
                        <c:v>11.256944444445253</c:v>
                      </c:pt>
                      <c:pt idx="1622">
                        <c:v>11.263888888890506</c:v>
                      </c:pt>
                      <c:pt idx="1623">
                        <c:v>11.270833333335759</c:v>
                      </c:pt>
                      <c:pt idx="1624">
                        <c:v>11.277777777781012</c:v>
                      </c:pt>
                      <c:pt idx="1625">
                        <c:v>11.284722222218988</c:v>
                      </c:pt>
                      <c:pt idx="1626">
                        <c:v>11.291666666664241</c:v>
                      </c:pt>
                      <c:pt idx="1627">
                        <c:v>11.298611111109494</c:v>
                      </c:pt>
                      <c:pt idx="1628">
                        <c:v>11.305555555554747</c:v>
                      </c:pt>
                      <c:pt idx="1629">
                        <c:v>11.3125</c:v>
                      </c:pt>
                      <c:pt idx="1630">
                        <c:v>11.319444444445253</c:v>
                      </c:pt>
                      <c:pt idx="1631">
                        <c:v>11.326388888890506</c:v>
                      </c:pt>
                      <c:pt idx="1632">
                        <c:v>11.333333333335759</c:v>
                      </c:pt>
                      <c:pt idx="1633">
                        <c:v>11.340277777781012</c:v>
                      </c:pt>
                      <c:pt idx="1634">
                        <c:v>11.347222222218988</c:v>
                      </c:pt>
                      <c:pt idx="1635">
                        <c:v>11.354166666664241</c:v>
                      </c:pt>
                      <c:pt idx="1636">
                        <c:v>11.361111111109494</c:v>
                      </c:pt>
                      <c:pt idx="1637">
                        <c:v>11.368055555554747</c:v>
                      </c:pt>
                      <c:pt idx="1638">
                        <c:v>11.375</c:v>
                      </c:pt>
                      <c:pt idx="1639">
                        <c:v>11.381944444445253</c:v>
                      </c:pt>
                      <c:pt idx="1640">
                        <c:v>11.388888888890506</c:v>
                      </c:pt>
                      <c:pt idx="1641">
                        <c:v>11.395833333335759</c:v>
                      </c:pt>
                      <c:pt idx="1642">
                        <c:v>11.402777777781012</c:v>
                      </c:pt>
                      <c:pt idx="1643">
                        <c:v>11.409722222218988</c:v>
                      </c:pt>
                      <c:pt idx="1644">
                        <c:v>11.416666666664241</c:v>
                      </c:pt>
                      <c:pt idx="1645">
                        <c:v>11.423611111109494</c:v>
                      </c:pt>
                      <c:pt idx="1646">
                        <c:v>11.430555555554747</c:v>
                      </c:pt>
                      <c:pt idx="1647">
                        <c:v>11.4375</c:v>
                      </c:pt>
                      <c:pt idx="1648">
                        <c:v>11.444444444445253</c:v>
                      </c:pt>
                      <c:pt idx="1649">
                        <c:v>11.451388888890506</c:v>
                      </c:pt>
                      <c:pt idx="1650">
                        <c:v>11.458333333335759</c:v>
                      </c:pt>
                      <c:pt idx="1651">
                        <c:v>11.465277777781012</c:v>
                      </c:pt>
                      <c:pt idx="1652">
                        <c:v>11.472222222218988</c:v>
                      </c:pt>
                      <c:pt idx="1653">
                        <c:v>11.479166666664241</c:v>
                      </c:pt>
                      <c:pt idx="1654">
                        <c:v>11.486111111109494</c:v>
                      </c:pt>
                      <c:pt idx="1655">
                        <c:v>11.493055555554747</c:v>
                      </c:pt>
                      <c:pt idx="1656">
                        <c:v>11.5</c:v>
                      </c:pt>
                      <c:pt idx="1657">
                        <c:v>11.506944444445253</c:v>
                      </c:pt>
                      <c:pt idx="1658">
                        <c:v>11.513888888890506</c:v>
                      </c:pt>
                      <c:pt idx="1659">
                        <c:v>11.520833333335759</c:v>
                      </c:pt>
                      <c:pt idx="1660">
                        <c:v>11.527777777781012</c:v>
                      </c:pt>
                      <c:pt idx="1661">
                        <c:v>11.534722222218988</c:v>
                      </c:pt>
                      <c:pt idx="1662">
                        <c:v>11.541666666664241</c:v>
                      </c:pt>
                      <c:pt idx="1663">
                        <c:v>11.548611111109494</c:v>
                      </c:pt>
                      <c:pt idx="1664">
                        <c:v>11.555555555554747</c:v>
                      </c:pt>
                      <c:pt idx="1665">
                        <c:v>11.5625</c:v>
                      </c:pt>
                      <c:pt idx="1666">
                        <c:v>11.569444444445253</c:v>
                      </c:pt>
                      <c:pt idx="1667">
                        <c:v>11.576388888890506</c:v>
                      </c:pt>
                      <c:pt idx="1668">
                        <c:v>11.583333333335759</c:v>
                      </c:pt>
                      <c:pt idx="1669">
                        <c:v>11.590277777781012</c:v>
                      </c:pt>
                      <c:pt idx="1670">
                        <c:v>11.597222222218988</c:v>
                      </c:pt>
                      <c:pt idx="1671">
                        <c:v>11.604166666664241</c:v>
                      </c:pt>
                      <c:pt idx="1672">
                        <c:v>11.611111111109494</c:v>
                      </c:pt>
                      <c:pt idx="1673">
                        <c:v>11.618055555554747</c:v>
                      </c:pt>
                      <c:pt idx="1674">
                        <c:v>11.625</c:v>
                      </c:pt>
                      <c:pt idx="1675">
                        <c:v>11.631944444445253</c:v>
                      </c:pt>
                      <c:pt idx="1676">
                        <c:v>11.638888888890506</c:v>
                      </c:pt>
                      <c:pt idx="1677">
                        <c:v>11.645833333335759</c:v>
                      </c:pt>
                      <c:pt idx="1678">
                        <c:v>11.652777777781012</c:v>
                      </c:pt>
                      <c:pt idx="1679">
                        <c:v>11.659722222218988</c:v>
                      </c:pt>
                      <c:pt idx="1680">
                        <c:v>11.666666666664241</c:v>
                      </c:pt>
                      <c:pt idx="1681">
                        <c:v>11.673611111109494</c:v>
                      </c:pt>
                      <c:pt idx="1682">
                        <c:v>11.680555555554747</c:v>
                      </c:pt>
                      <c:pt idx="1683">
                        <c:v>11.6875</c:v>
                      </c:pt>
                      <c:pt idx="1684">
                        <c:v>11.694444444445253</c:v>
                      </c:pt>
                      <c:pt idx="1685">
                        <c:v>11.701388888890506</c:v>
                      </c:pt>
                      <c:pt idx="1686">
                        <c:v>11.708333333335759</c:v>
                      </c:pt>
                      <c:pt idx="1687">
                        <c:v>11.715277777781012</c:v>
                      </c:pt>
                      <c:pt idx="1688">
                        <c:v>11.722222222218988</c:v>
                      </c:pt>
                      <c:pt idx="1689">
                        <c:v>11.729166666664241</c:v>
                      </c:pt>
                      <c:pt idx="1690">
                        <c:v>11.736111111109494</c:v>
                      </c:pt>
                      <c:pt idx="1691">
                        <c:v>11.743055555554747</c:v>
                      </c:pt>
                      <c:pt idx="1692">
                        <c:v>11.75</c:v>
                      </c:pt>
                      <c:pt idx="1693">
                        <c:v>11.756944444445253</c:v>
                      </c:pt>
                      <c:pt idx="1694">
                        <c:v>11.763888888890506</c:v>
                      </c:pt>
                      <c:pt idx="1695">
                        <c:v>11.770833333335759</c:v>
                      </c:pt>
                      <c:pt idx="1696">
                        <c:v>11.777777777781012</c:v>
                      </c:pt>
                      <c:pt idx="1697">
                        <c:v>11.784722222218988</c:v>
                      </c:pt>
                      <c:pt idx="1698">
                        <c:v>11.791666666664241</c:v>
                      </c:pt>
                      <c:pt idx="1699">
                        <c:v>11.798611111109494</c:v>
                      </c:pt>
                      <c:pt idx="1700">
                        <c:v>11.805555555554747</c:v>
                      </c:pt>
                      <c:pt idx="1701">
                        <c:v>11.8125</c:v>
                      </c:pt>
                      <c:pt idx="1702">
                        <c:v>11.819444444445253</c:v>
                      </c:pt>
                      <c:pt idx="1703">
                        <c:v>11.826388888890506</c:v>
                      </c:pt>
                      <c:pt idx="1704">
                        <c:v>11.833333333335759</c:v>
                      </c:pt>
                      <c:pt idx="1705">
                        <c:v>11.840277777781012</c:v>
                      </c:pt>
                      <c:pt idx="1706">
                        <c:v>11.847222222218988</c:v>
                      </c:pt>
                      <c:pt idx="1707">
                        <c:v>11.854166666664241</c:v>
                      </c:pt>
                      <c:pt idx="1708">
                        <c:v>11.861111111109494</c:v>
                      </c:pt>
                      <c:pt idx="1709">
                        <c:v>11.868055555554747</c:v>
                      </c:pt>
                      <c:pt idx="1710">
                        <c:v>11.875</c:v>
                      </c:pt>
                      <c:pt idx="1711">
                        <c:v>11.881944444445253</c:v>
                      </c:pt>
                      <c:pt idx="1712">
                        <c:v>11.888888888890506</c:v>
                      </c:pt>
                      <c:pt idx="1713">
                        <c:v>11.895833333335759</c:v>
                      </c:pt>
                      <c:pt idx="1714">
                        <c:v>11.902777777781012</c:v>
                      </c:pt>
                      <c:pt idx="1715">
                        <c:v>11.909722222218988</c:v>
                      </c:pt>
                      <c:pt idx="1716">
                        <c:v>11.916666666664241</c:v>
                      </c:pt>
                      <c:pt idx="1717">
                        <c:v>11.923611111109494</c:v>
                      </c:pt>
                      <c:pt idx="1718">
                        <c:v>11.930555555554747</c:v>
                      </c:pt>
                      <c:pt idx="1719">
                        <c:v>11.9375</c:v>
                      </c:pt>
                      <c:pt idx="1720">
                        <c:v>11.944444444445253</c:v>
                      </c:pt>
                      <c:pt idx="1721">
                        <c:v>11.951388888890506</c:v>
                      </c:pt>
                      <c:pt idx="1722">
                        <c:v>11.958333333335759</c:v>
                      </c:pt>
                      <c:pt idx="1723">
                        <c:v>11.965277777781012</c:v>
                      </c:pt>
                      <c:pt idx="1724">
                        <c:v>11.972222222218988</c:v>
                      </c:pt>
                      <c:pt idx="1725">
                        <c:v>11.979166666664241</c:v>
                      </c:pt>
                      <c:pt idx="1726">
                        <c:v>11.986111111109494</c:v>
                      </c:pt>
                      <c:pt idx="1727">
                        <c:v>11.993055555554747</c:v>
                      </c:pt>
                      <c:pt idx="1728">
                        <c:v>12</c:v>
                      </c:pt>
                      <c:pt idx="1729">
                        <c:v>12.006944444445253</c:v>
                      </c:pt>
                      <c:pt idx="1730">
                        <c:v>12.013888888890506</c:v>
                      </c:pt>
                      <c:pt idx="1731">
                        <c:v>12.020833333335759</c:v>
                      </c:pt>
                      <c:pt idx="1732">
                        <c:v>12.027777777781012</c:v>
                      </c:pt>
                      <c:pt idx="1733">
                        <c:v>12.034722222218988</c:v>
                      </c:pt>
                      <c:pt idx="1734">
                        <c:v>12.041666666664241</c:v>
                      </c:pt>
                      <c:pt idx="1735">
                        <c:v>12.048611111109494</c:v>
                      </c:pt>
                      <c:pt idx="1736">
                        <c:v>12.055555555554747</c:v>
                      </c:pt>
                      <c:pt idx="1737">
                        <c:v>12.0625</c:v>
                      </c:pt>
                      <c:pt idx="1738">
                        <c:v>12.069444444445253</c:v>
                      </c:pt>
                      <c:pt idx="1739">
                        <c:v>12.076388888890506</c:v>
                      </c:pt>
                      <c:pt idx="1740">
                        <c:v>12.083333333335759</c:v>
                      </c:pt>
                      <c:pt idx="1741">
                        <c:v>12.090277777781012</c:v>
                      </c:pt>
                      <c:pt idx="1742">
                        <c:v>12.097222222218988</c:v>
                      </c:pt>
                      <c:pt idx="1743">
                        <c:v>12.104166666664241</c:v>
                      </c:pt>
                      <c:pt idx="1744">
                        <c:v>12.111111111109494</c:v>
                      </c:pt>
                      <c:pt idx="1745">
                        <c:v>12.118055555554747</c:v>
                      </c:pt>
                      <c:pt idx="1746">
                        <c:v>12.125</c:v>
                      </c:pt>
                      <c:pt idx="1747">
                        <c:v>12.131944444445253</c:v>
                      </c:pt>
                      <c:pt idx="1748">
                        <c:v>12.138888888890506</c:v>
                      </c:pt>
                      <c:pt idx="1749">
                        <c:v>12.145833333335759</c:v>
                      </c:pt>
                      <c:pt idx="1750">
                        <c:v>12.152777777781012</c:v>
                      </c:pt>
                      <c:pt idx="1751">
                        <c:v>12.159722222218988</c:v>
                      </c:pt>
                      <c:pt idx="1752">
                        <c:v>12.166666666664241</c:v>
                      </c:pt>
                      <c:pt idx="1753">
                        <c:v>12.173611111109494</c:v>
                      </c:pt>
                      <c:pt idx="1754">
                        <c:v>12.180555555554747</c:v>
                      </c:pt>
                      <c:pt idx="1755">
                        <c:v>12.1875</c:v>
                      </c:pt>
                      <c:pt idx="1756">
                        <c:v>12.194444444445253</c:v>
                      </c:pt>
                      <c:pt idx="1757">
                        <c:v>12.201388888890506</c:v>
                      </c:pt>
                      <c:pt idx="1758">
                        <c:v>12.208333333335759</c:v>
                      </c:pt>
                      <c:pt idx="1759">
                        <c:v>12.215277777781012</c:v>
                      </c:pt>
                      <c:pt idx="1760">
                        <c:v>12.222222222218988</c:v>
                      </c:pt>
                      <c:pt idx="1761">
                        <c:v>12.229166666664241</c:v>
                      </c:pt>
                      <c:pt idx="1762">
                        <c:v>12.236111111109494</c:v>
                      </c:pt>
                      <c:pt idx="1763">
                        <c:v>12.243055555554747</c:v>
                      </c:pt>
                      <c:pt idx="1764">
                        <c:v>12.25</c:v>
                      </c:pt>
                      <c:pt idx="1765">
                        <c:v>12.256944444445253</c:v>
                      </c:pt>
                      <c:pt idx="1766">
                        <c:v>12.263888888890506</c:v>
                      </c:pt>
                      <c:pt idx="1767">
                        <c:v>12.270833333335759</c:v>
                      </c:pt>
                      <c:pt idx="1768">
                        <c:v>12.277777777781012</c:v>
                      </c:pt>
                      <c:pt idx="1769">
                        <c:v>12.284722222218988</c:v>
                      </c:pt>
                      <c:pt idx="1770">
                        <c:v>12.291666666664241</c:v>
                      </c:pt>
                      <c:pt idx="1771">
                        <c:v>12.298611111109494</c:v>
                      </c:pt>
                      <c:pt idx="1772">
                        <c:v>12.305555555554747</c:v>
                      </c:pt>
                      <c:pt idx="1773">
                        <c:v>12.3125</c:v>
                      </c:pt>
                      <c:pt idx="1774">
                        <c:v>12.319444444445253</c:v>
                      </c:pt>
                      <c:pt idx="1775">
                        <c:v>12.326388888890506</c:v>
                      </c:pt>
                      <c:pt idx="1776">
                        <c:v>12.333333333335759</c:v>
                      </c:pt>
                      <c:pt idx="1777">
                        <c:v>12.340277777781012</c:v>
                      </c:pt>
                      <c:pt idx="1778">
                        <c:v>12.347222222218988</c:v>
                      </c:pt>
                      <c:pt idx="1779">
                        <c:v>12.354166666664241</c:v>
                      </c:pt>
                      <c:pt idx="1780">
                        <c:v>12.361111111109494</c:v>
                      </c:pt>
                      <c:pt idx="1781">
                        <c:v>12.368055555554747</c:v>
                      </c:pt>
                      <c:pt idx="1782">
                        <c:v>12.375</c:v>
                      </c:pt>
                      <c:pt idx="1783">
                        <c:v>12.381944444445253</c:v>
                      </c:pt>
                      <c:pt idx="1784">
                        <c:v>12.388888888890506</c:v>
                      </c:pt>
                      <c:pt idx="1785">
                        <c:v>12.395833333335759</c:v>
                      </c:pt>
                      <c:pt idx="1786">
                        <c:v>12.402777777781012</c:v>
                      </c:pt>
                      <c:pt idx="1787">
                        <c:v>12.409722222218988</c:v>
                      </c:pt>
                      <c:pt idx="1788">
                        <c:v>12.416666666664241</c:v>
                      </c:pt>
                      <c:pt idx="1789">
                        <c:v>12.423611111109494</c:v>
                      </c:pt>
                      <c:pt idx="1790">
                        <c:v>12.430555555554747</c:v>
                      </c:pt>
                      <c:pt idx="1791">
                        <c:v>12.4375</c:v>
                      </c:pt>
                      <c:pt idx="1792">
                        <c:v>12.444444444445253</c:v>
                      </c:pt>
                      <c:pt idx="1793">
                        <c:v>12.451388888890506</c:v>
                      </c:pt>
                      <c:pt idx="1794">
                        <c:v>12.458333333335759</c:v>
                      </c:pt>
                      <c:pt idx="1795">
                        <c:v>12.465277777781012</c:v>
                      </c:pt>
                      <c:pt idx="1796">
                        <c:v>12.472222222218988</c:v>
                      </c:pt>
                      <c:pt idx="1797">
                        <c:v>12.479166666664241</c:v>
                      </c:pt>
                      <c:pt idx="1798">
                        <c:v>12.486111111109494</c:v>
                      </c:pt>
                      <c:pt idx="1799">
                        <c:v>12.493055555554747</c:v>
                      </c:pt>
                      <c:pt idx="1800">
                        <c:v>12.5</c:v>
                      </c:pt>
                      <c:pt idx="1801">
                        <c:v>12.506944444445253</c:v>
                      </c:pt>
                      <c:pt idx="1802">
                        <c:v>12.513888888890506</c:v>
                      </c:pt>
                      <c:pt idx="1803">
                        <c:v>12.520833333335759</c:v>
                      </c:pt>
                      <c:pt idx="1804">
                        <c:v>12.527777777781012</c:v>
                      </c:pt>
                      <c:pt idx="1805">
                        <c:v>12.534722222218988</c:v>
                      </c:pt>
                      <c:pt idx="1806">
                        <c:v>12.541666666664241</c:v>
                      </c:pt>
                      <c:pt idx="1807">
                        <c:v>12.548611111109494</c:v>
                      </c:pt>
                      <c:pt idx="1808">
                        <c:v>12.555555555554747</c:v>
                      </c:pt>
                      <c:pt idx="1809">
                        <c:v>12.5625</c:v>
                      </c:pt>
                      <c:pt idx="1810">
                        <c:v>12.569444444445253</c:v>
                      </c:pt>
                      <c:pt idx="1811">
                        <c:v>12.576388888890506</c:v>
                      </c:pt>
                      <c:pt idx="1812">
                        <c:v>12.583333333335759</c:v>
                      </c:pt>
                      <c:pt idx="1813">
                        <c:v>12.590277777781012</c:v>
                      </c:pt>
                      <c:pt idx="1814">
                        <c:v>12.597222222218988</c:v>
                      </c:pt>
                      <c:pt idx="1815">
                        <c:v>12.604166666664241</c:v>
                      </c:pt>
                      <c:pt idx="1816">
                        <c:v>12.611111111109494</c:v>
                      </c:pt>
                      <c:pt idx="1817">
                        <c:v>12.618055555554747</c:v>
                      </c:pt>
                      <c:pt idx="1818">
                        <c:v>12.625</c:v>
                      </c:pt>
                      <c:pt idx="1819">
                        <c:v>12.631944444445253</c:v>
                      </c:pt>
                      <c:pt idx="1820">
                        <c:v>12.638888888890506</c:v>
                      </c:pt>
                      <c:pt idx="1821">
                        <c:v>12.645833333335759</c:v>
                      </c:pt>
                      <c:pt idx="1822">
                        <c:v>12.652777777781012</c:v>
                      </c:pt>
                      <c:pt idx="1823">
                        <c:v>12.659722222218988</c:v>
                      </c:pt>
                      <c:pt idx="1824">
                        <c:v>12.666666666664241</c:v>
                      </c:pt>
                      <c:pt idx="1825">
                        <c:v>12.673611111109494</c:v>
                      </c:pt>
                      <c:pt idx="1826">
                        <c:v>12.680555555554747</c:v>
                      </c:pt>
                      <c:pt idx="1827">
                        <c:v>12.6875</c:v>
                      </c:pt>
                      <c:pt idx="1828">
                        <c:v>12.694444444445253</c:v>
                      </c:pt>
                      <c:pt idx="1829">
                        <c:v>12.701388888890506</c:v>
                      </c:pt>
                      <c:pt idx="1830">
                        <c:v>12.708333333335759</c:v>
                      </c:pt>
                      <c:pt idx="1831">
                        <c:v>12.715277777781012</c:v>
                      </c:pt>
                      <c:pt idx="1832">
                        <c:v>12.722222222218988</c:v>
                      </c:pt>
                      <c:pt idx="1833">
                        <c:v>12.729166666664241</c:v>
                      </c:pt>
                      <c:pt idx="1834">
                        <c:v>12.736111111109494</c:v>
                      </c:pt>
                      <c:pt idx="1835">
                        <c:v>12.743055555554747</c:v>
                      </c:pt>
                      <c:pt idx="1836">
                        <c:v>12.75</c:v>
                      </c:pt>
                      <c:pt idx="1837">
                        <c:v>12.756944444445253</c:v>
                      </c:pt>
                      <c:pt idx="1838">
                        <c:v>12.763888888890506</c:v>
                      </c:pt>
                      <c:pt idx="1839">
                        <c:v>12.770833333335759</c:v>
                      </c:pt>
                      <c:pt idx="1840">
                        <c:v>12.777777777781012</c:v>
                      </c:pt>
                      <c:pt idx="1841">
                        <c:v>12.784722222218988</c:v>
                      </c:pt>
                      <c:pt idx="1842">
                        <c:v>12.791666666664241</c:v>
                      </c:pt>
                      <c:pt idx="1843">
                        <c:v>12.798611111109494</c:v>
                      </c:pt>
                      <c:pt idx="1844">
                        <c:v>12.805555555554747</c:v>
                      </c:pt>
                      <c:pt idx="1845">
                        <c:v>12.8125</c:v>
                      </c:pt>
                      <c:pt idx="1846">
                        <c:v>12.819444444445253</c:v>
                      </c:pt>
                      <c:pt idx="1847">
                        <c:v>12.826388888890506</c:v>
                      </c:pt>
                      <c:pt idx="1848">
                        <c:v>12.833333333335759</c:v>
                      </c:pt>
                      <c:pt idx="1849">
                        <c:v>12.840277777781012</c:v>
                      </c:pt>
                      <c:pt idx="1850">
                        <c:v>12.847222222218988</c:v>
                      </c:pt>
                      <c:pt idx="1851">
                        <c:v>12.854166666664241</c:v>
                      </c:pt>
                      <c:pt idx="1852">
                        <c:v>12.861111111109494</c:v>
                      </c:pt>
                      <c:pt idx="1853">
                        <c:v>12.868055555554747</c:v>
                      </c:pt>
                      <c:pt idx="1854">
                        <c:v>12.875</c:v>
                      </c:pt>
                      <c:pt idx="1855">
                        <c:v>12.881944444445253</c:v>
                      </c:pt>
                      <c:pt idx="1856">
                        <c:v>12.888888888890506</c:v>
                      </c:pt>
                      <c:pt idx="1857">
                        <c:v>12.895833333335759</c:v>
                      </c:pt>
                      <c:pt idx="1858">
                        <c:v>12.902777777781012</c:v>
                      </c:pt>
                      <c:pt idx="1859">
                        <c:v>12.909722222218988</c:v>
                      </c:pt>
                      <c:pt idx="1860">
                        <c:v>12.916666666664241</c:v>
                      </c:pt>
                      <c:pt idx="1861">
                        <c:v>12.923611111109494</c:v>
                      </c:pt>
                      <c:pt idx="1862">
                        <c:v>12.930555555554747</c:v>
                      </c:pt>
                      <c:pt idx="1863">
                        <c:v>12.9375</c:v>
                      </c:pt>
                      <c:pt idx="1864">
                        <c:v>12.944444444445253</c:v>
                      </c:pt>
                      <c:pt idx="1865">
                        <c:v>12.951388888890506</c:v>
                      </c:pt>
                      <c:pt idx="1866">
                        <c:v>12.958333333335759</c:v>
                      </c:pt>
                      <c:pt idx="1867">
                        <c:v>12.965277777781012</c:v>
                      </c:pt>
                      <c:pt idx="1868">
                        <c:v>12.972222222218988</c:v>
                      </c:pt>
                      <c:pt idx="1869">
                        <c:v>12.979166666664241</c:v>
                      </c:pt>
                      <c:pt idx="1870">
                        <c:v>12.986111111109494</c:v>
                      </c:pt>
                      <c:pt idx="1871">
                        <c:v>12.993055555554747</c:v>
                      </c:pt>
                      <c:pt idx="1872">
                        <c:v>13</c:v>
                      </c:pt>
                      <c:pt idx="1873">
                        <c:v>13.006944444445253</c:v>
                      </c:pt>
                      <c:pt idx="1874">
                        <c:v>13.013888888890506</c:v>
                      </c:pt>
                      <c:pt idx="1875">
                        <c:v>13.020833333335759</c:v>
                      </c:pt>
                      <c:pt idx="1876">
                        <c:v>13.027777777781012</c:v>
                      </c:pt>
                      <c:pt idx="1877">
                        <c:v>13.034722222218988</c:v>
                      </c:pt>
                      <c:pt idx="1878">
                        <c:v>13.041666666664241</c:v>
                      </c:pt>
                      <c:pt idx="1879">
                        <c:v>13.048611111109494</c:v>
                      </c:pt>
                      <c:pt idx="1880">
                        <c:v>13.055555555554747</c:v>
                      </c:pt>
                      <c:pt idx="1881">
                        <c:v>13.0625</c:v>
                      </c:pt>
                      <c:pt idx="1882">
                        <c:v>13.069444444445253</c:v>
                      </c:pt>
                      <c:pt idx="1883">
                        <c:v>13.076388888890506</c:v>
                      </c:pt>
                      <c:pt idx="1884">
                        <c:v>13.083333333335759</c:v>
                      </c:pt>
                      <c:pt idx="1885">
                        <c:v>13.090277777781012</c:v>
                      </c:pt>
                      <c:pt idx="1886">
                        <c:v>13.097222222218988</c:v>
                      </c:pt>
                      <c:pt idx="1887">
                        <c:v>13.104166666664241</c:v>
                      </c:pt>
                      <c:pt idx="1888">
                        <c:v>13.111111111109494</c:v>
                      </c:pt>
                      <c:pt idx="1889">
                        <c:v>13.118055555554747</c:v>
                      </c:pt>
                      <c:pt idx="1890">
                        <c:v>13.125</c:v>
                      </c:pt>
                      <c:pt idx="1891">
                        <c:v>13.131944444445253</c:v>
                      </c:pt>
                      <c:pt idx="1892">
                        <c:v>13.138888888890506</c:v>
                      </c:pt>
                      <c:pt idx="1893">
                        <c:v>13.145833333335759</c:v>
                      </c:pt>
                      <c:pt idx="1894">
                        <c:v>13.152777777781012</c:v>
                      </c:pt>
                      <c:pt idx="1895">
                        <c:v>13.159722222218988</c:v>
                      </c:pt>
                      <c:pt idx="1896">
                        <c:v>13.166666666664241</c:v>
                      </c:pt>
                      <c:pt idx="1897">
                        <c:v>13.173611111109494</c:v>
                      </c:pt>
                      <c:pt idx="1898">
                        <c:v>13.180555555554747</c:v>
                      </c:pt>
                      <c:pt idx="1899">
                        <c:v>13.1875</c:v>
                      </c:pt>
                      <c:pt idx="1900">
                        <c:v>13.194444444445253</c:v>
                      </c:pt>
                      <c:pt idx="1901">
                        <c:v>13.201388888890506</c:v>
                      </c:pt>
                      <c:pt idx="1902">
                        <c:v>13.208333333335759</c:v>
                      </c:pt>
                      <c:pt idx="1903">
                        <c:v>13.215277777781012</c:v>
                      </c:pt>
                      <c:pt idx="1904">
                        <c:v>13.222222222218988</c:v>
                      </c:pt>
                      <c:pt idx="1905">
                        <c:v>13.229166666664241</c:v>
                      </c:pt>
                      <c:pt idx="1906">
                        <c:v>13.236111111109494</c:v>
                      </c:pt>
                      <c:pt idx="1907">
                        <c:v>13.243055555554747</c:v>
                      </c:pt>
                      <c:pt idx="1908">
                        <c:v>13.25</c:v>
                      </c:pt>
                      <c:pt idx="1909">
                        <c:v>13.256944444445253</c:v>
                      </c:pt>
                      <c:pt idx="1910">
                        <c:v>13.263888888890506</c:v>
                      </c:pt>
                      <c:pt idx="1911">
                        <c:v>13.270833333335759</c:v>
                      </c:pt>
                      <c:pt idx="1912">
                        <c:v>13.277777777781012</c:v>
                      </c:pt>
                      <c:pt idx="1913">
                        <c:v>13.284722222218988</c:v>
                      </c:pt>
                      <c:pt idx="1914">
                        <c:v>13.291666666664241</c:v>
                      </c:pt>
                      <c:pt idx="1915">
                        <c:v>13.298611111109494</c:v>
                      </c:pt>
                      <c:pt idx="1916">
                        <c:v>13.305555555554747</c:v>
                      </c:pt>
                      <c:pt idx="1917">
                        <c:v>13.3125</c:v>
                      </c:pt>
                      <c:pt idx="1918">
                        <c:v>13.319444444445253</c:v>
                      </c:pt>
                      <c:pt idx="1919">
                        <c:v>13.326388888890506</c:v>
                      </c:pt>
                      <c:pt idx="1920">
                        <c:v>13.333333333335759</c:v>
                      </c:pt>
                      <c:pt idx="1921">
                        <c:v>13.340277777781012</c:v>
                      </c:pt>
                      <c:pt idx="1922">
                        <c:v>13.347222222218988</c:v>
                      </c:pt>
                      <c:pt idx="1923">
                        <c:v>13.354166666664241</c:v>
                      </c:pt>
                      <c:pt idx="1924">
                        <c:v>13.361111111109494</c:v>
                      </c:pt>
                      <c:pt idx="1925">
                        <c:v>13.368055555554747</c:v>
                      </c:pt>
                      <c:pt idx="1926">
                        <c:v>13.375</c:v>
                      </c:pt>
                      <c:pt idx="1927">
                        <c:v>13.381944444445253</c:v>
                      </c:pt>
                      <c:pt idx="1928">
                        <c:v>13.388888888890506</c:v>
                      </c:pt>
                      <c:pt idx="1929">
                        <c:v>13.395833333335759</c:v>
                      </c:pt>
                      <c:pt idx="1930">
                        <c:v>13.402777777781012</c:v>
                      </c:pt>
                      <c:pt idx="1931">
                        <c:v>13.409722222218988</c:v>
                      </c:pt>
                      <c:pt idx="1932">
                        <c:v>13.416666666664241</c:v>
                      </c:pt>
                      <c:pt idx="1933">
                        <c:v>13.423611111109494</c:v>
                      </c:pt>
                      <c:pt idx="1934">
                        <c:v>13.430555555554747</c:v>
                      </c:pt>
                      <c:pt idx="1935">
                        <c:v>13.4375</c:v>
                      </c:pt>
                      <c:pt idx="1936">
                        <c:v>13.444444444445253</c:v>
                      </c:pt>
                      <c:pt idx="1937">
                        <c:v>13.451388888890506</c:v>
                      </c:pt>
                      <c:pt idx="1938">
                        <c:v>13.458333333335759</c:v>
                      </c:pt>
                      <c:pt idx="1939">
                        <c:v>13.465277777781012</c:v>
                      </c:pt>
                      <c:pt idx="1940">
                        <c:v>13.472222222218988</c:v>
                      </c:pt>
                      <c:pt idx="1941">
                        <c:v>13.479166666664241</c:v>
                      </c:pt>
                      <c:pt idx="1942">
                        <c:v>13.486111111109494</c:v>
                      </c:pt>
                      <c:pt idx="1943">
                        <c:v>13.493055555554747</c:v>
                      </c:pt>
                      <c:pt idx="1944">
                        <c:v>13.5</c:v>
                      </c:pt>
                      <c:pt idx="1945">
                        <c:v>13.506944444445253</c:v>
                      </c:pt>
                      <c:pt idx="1946">
                        <c:v>13.513888888890506</c:v>
                      </c:pt>
                      <c:pt idx="1947">
                        <c:v>13.520833333335759</c:v>
                      </c:pt>
                      <c:pt idx="1948">
                        <c:v>13.527777777781012</c:v>
                      </c:pt>
                      <c:pt idx="1949">
                        <c:v>13.534722222218988</c:v>
                      </c:pt>
                      <c:pt idx="1950">
                        <c:v>13.541666666664241</c:v>
                      </c:pt>
                      <c:pt idx="1951">
                        <c:v>13.548611111109494</c:v>
                      </c:pt>
                      <c:pt idx="1952">
                        <c:v>13.555555555554747</c:v>
                      </c:pt>
                      <c:pt idx="1953">
                        <c:v>13.5625</c:v>
                      </c:pt>
                      <c:pt idx="1954">
                        <c:v>13.569444444445253</c:v>
                      </c:pt>
                      <c:pt idx="1955">
                        <c:v>13.576388888890506</c:v>
                      </c:pt>
                      <c:pt idx="1956">
                        <c:v>13.583333333335759</c:v>
                      </c:pt>
                      <c:pt idx="1957">
                        <c:v>13.590277777781012</c:v>
                      </c:pt>
                      <c:pt idx="1958">
                        <c:v>13.597222222218988</c:v>
                      </c:pt>
                      <c:pt idx="1959">
                        <c:v>13.604166666664241</c:v>
                      </c:pt>
                      <c:pt idx="1960">
                        <c:v>13.611111111109494</c:v>
                      </c:pt>
                      <c:pt idx="1961">
                        <c:v>13.618055555554747</c:v>
                      </c:pt>
                      <c:pt idx="1962">
                        <c:v>13.625</c:v>
                      </c:pt>
                      <c:pt idx="1963">
                        <c:v>13.631944444445253</c:v>
                      </c:pt>
                      <c:pt idx="1964">
                        <c:v>13.638888888890506</c:v>
                      </c:pt>
                      <c:pt idx="1965">
                        <c:v>13.645833333335759</c:v>
                      </c:pt>
                      <c:pt idx="1966">
                        <c:v>13.652777777781012</c:v>
                      </c:pt>
                      <c:pt idx="1967">
                        <c:v>13.659722222218988</c:v>
                      </c:pt>
                      <c:pt idx="1968">
                        <c:v>13.666666666664241</c:v>
                      </c:pt>
                      <c:pt idx="1969">
                        <c:v>13.673611111109494</c:v>
                      </c:pt>
                      <c:pt idx="1970">
                        <c:v>13.680555555554747</c:v>
                      </c:pt>
                      <c:pt idx="1971">
                        <c:v>13.6875</c:v>
                      </c:pt>
                      <c:pt idx="1972">
                        <c:v>13.694444444445253</c:v>
                      </c:pt>
                      <c:pt idx="1973">
                        <c:v>13.701388888890506</c:v>
                      </c:pt>
                      <c:pt idx="1974">
                        <c:v>13.708333333335759</c:v>
                      </c:pt>
                      <c:pt idx="1975">
                        <c:v>13.715277777781012</c:v>
                      </c:pt>
                      <c:pt idx="1976">
                        <c:v>13.722222222218988</c:v>
                      </c:pt>
                      <c:pt idx="1977">
                        <c:v>13.729166666664241</c:v>
                      </c:pt>
                      <c:pt idx="1978">
                        <c:v>13.736111111109494</c:v>
                      </c:pt>
                      <c:pt idx="1979">
                        <c:v>13.743055555554747</c:v>
                      </c:pt>
                      <c:pt idx="1980">
                        <c:v>13.75</c:v>
                      </c:pt>
                      <c:pt idx="1981">
                        <c:v>13.756944444445253</c:v>
                      </c:pt>
                      <c:pt idx="1982">
                        <c:v>13.763888888890506</c:v>
                      </c:pt>
                      <c:pt idx="1983">
                        <c:v>13.770833333335759</c:v>
                      </c:pt>
                      <c:pt idx="1984">
                        <c:v>13.777777777781012</c:v>
                      </c:pt>
                      <c:pt idx="1985">
                        <c:v>13.784722222218988</c:v>
                      </c:pt>
                      <c:pt idx="1986">
                        <c:v>13.791666666664241</c:v>
                      </c:pt>
                      <c:pt idx="1987">
                        <c:v>13.798611111109494</c:v>
                      </c:pt>
                      <c:pt idx="1988">
                        <c:v>13.805555555554747</c:v>
                      </c:pt>
                      <c:pt idx="1989">
                        <c:v>13.8125</c:v>
                      </c:pt>
                      <c:pt idx="1990">
                        <c:v>13.819444444445253</c:v>
                      </c:pt>
                      <c:pt idx="1991">
                        <c:v>13.826388888890506</c:v>
                      </c:pt>
                      <c:pt idx="1992">
                        <c:v>13.833333333335759</c:v>
                      </c:pt>
                      <c:pt idx="1993">
                        <c:v>13.840277777781012</c:v>
                      </c:pt>
                      <c:pt idx="1994">
                        <c:v>13.847222222218988</c:v>
                      </c:pt>
                      <c:pt idx="1995">
                        <c:v>13.854166666664241</c:v>
                      </c:pt>
                      <c:pt idx="1996">
                        <c:v>13.861111111109494</c:v>
                      </c:pt>
                      <c:pt idx="1997">
                        <c:v>13.868055555554747</c:v>
                      </c:pt>
                      <c:pt idx="1998">
                        <c:v>13.875</c:v>
                      </c:pt>
                      <c:pt idx="1999">
                        <c:v>13.881944444445253</c:v>
                      </c:pt>
                      <c:pt idx="2000">
                        <c:v>13.888888888890506</c:v>
                      </c:pt>
                      <c:pt idx="2001">
                        <c:v>13.895833333335759</c:v>
                      </c:pt>
                      <c:pt idx="2002">
                        <c:v>13.902777777781012</c:v>
                      </c:pt>
                      <c:pt idx="2003">
                        <c:v>13.909722222218988</c:v>
                      </c:pt>
                      <c:pt idx="2004">
                        <c:v>13.916666666664241</c:v>
                      </c:pt>
                      <c:pt idx="2005">
                        <c:v>13.923611111109494</c:v>
                      </c:pt>
                      <c:pt idx="2006">
                        <c:v>13.930555555554747</c:v>
                      </c:pt>
                      <c:pt idx="2007">
                        <c:v>13.9375</c:v>
                      </c:pt>
                      <c:pt idx="2008">
                        <c:v>13.944444444445253</c:v>
                      </c:pt>
                      <c:pt idx="2009">
                        <c:v>13.951388888890506</c:v>
                      </c:pt>
                      <c:pt idx="2010">
                        <c:v>13.958333333335759</c:v>
                      </c:pt>
                      <c:pt idx="2011">
                        <c:v>13.965277777781012</c:v>
                      </c:pt>
                      <c:pt idx="2012">
                        <c:v>13.972222222218988</c:v>
                      </c:pt>
                      <c:pt idx="2013">
                        <c:v>13.979166666664241</c:v>
                      </c:pt>
                      <c:pt idx="2014">
                        <c:v>13.986111111109494</c:v>
                      </c:pt>
                      <c:pt idx="2015">
                        <c:v>13.993055555554747</c:v>
                      </c:pt>
                      <c:pt idx="2016">
                        <c:v>14</c:v>
                      </c:pt>
                      <c:pt idx="2017">
                        <c:v>14.006944444445253</c:v>
                      </c:pt>
                      <c:pt idx="2018">
                        <c:v>14.013888888890506</c:v>
                      </c:pt>
                      <c:pt idx="2019">
                        <c:v>14.020833333335759</c:v>
                      </c:pt>
                      <c:pt idx="2020">
                        <c:v>14.027777777781012</c:v>
                      </c:pt>
                      <c:pt idx="2021">
                        <c:v>14.034722222218988</c:v>
                      </c:pt>
                      <c:pt idx="2022">
                        <c:v>14.041666666664241</c:v>
                      </c:pt>
                      <c:pt idx="2023">
                        <c:v>14.048611111109494</c:v>
                      </c:pt>
                      <c:pt idx="2024">
                        <c:v>14.055555555554747</c:v>
                      </c:pt>
                      <c:pt idx="2025">
                        <c:v>14.0625</c:v>
                      </c:pt>
                      <c:pt idx="2026">
                        <c:v>14.069444444445253</c:v>
                      </c:pt>
                      <c:pt idx="2027">
                        <c:v>14.076388888890506</c:v>
                      </c:pt>
                      <c:pt idx="2028">
                        <c:v>14.083333333335759</c:v>
                      </c:pt>
                      <c:pt idx="2029">
                        <c:v>14.090277777781012</c:v>
                      </c:pt>
                      <c:pt idx="2030">
                        <c:v>14.097222222218988</c:v>
                      </c:pt>
                      <c:pt idx="2031">
                        <c:v>14.104166666664241</c:v>
                      </c:pt>
                      <c:pt idx="2032">
                        <c:v>14.111111111109494</c:v>
                      </c:pt>
                      <c:pt idx="2033">
                        <c:v>14.118055555554747</c:v>
                      </c:pt>
                      <c:pt idx="2034">
                        <c:v>14.125</c:v>
                      </c:pt>
                      <c:pt idx="2035">
                        <c:v>14.131944444445253</c:v>
                      </c:pt>
                      <c:pt idx="2036">
                        <c:v>14.138888888890506</c:v>
                      </c:pt>
                      <c:pt idx="2037">
                        <c:v>14.145833333335759</c:v>
                      </c:pt>
                      <c:pt idx="2038">
                        <c:v>14.152777777781012</c:v>
                      </c:pt>
                      <c:pt idx="2039">
                        <c:v>14.159722222218988</c:v>
                      </c:pt>
                      <c:pt idx="2040">
                        <c:v>14.166666666664241</c:v>
                      </c:pt>
                      <c:pt idx="2041">
                        <c:v>14.173611111109494</c:v>
                      </c:pt>
                      <c:pt idx="2042">
                        <c:v>14.180555555554747</c:v>
                      </c:pt>
                      <c:pt idx="2043">
                        <c:v>14.1875</c:v>
                      </c:pt>
                      <c:pt idx="2044">
                        <c:v>14.194444444445253</c:v>
                      </c:pt>
                      <c:pt idx="2045">
                        <c:v>14.201388888890506</c:v>
                      </c:pt>
                      <c:pt idx="2046">
                        <c:v>14.208333333335759</c:v>
                      </c:pt>
                      <c:pt idx="2047">
                        <c:v>14.215277777781012</c:v>
                      </c:pt>
                      <c:pt idx="2048">
                        <c:v>14.222222222218988</c:v>
                      </c:pt>
                      <c:pt idx="2049">
                        <c:v>14.229166666664241</c:v>
                      </c:pt>
                      <c:pt idx="2050">
                        <c:v>14.236111111109494</c:v>
                      </c:pt>
                      <c:pt idx="2051">
                        <c:v>14.243055555554747</c:v>
                      </c:pt>
                      <c:pt idx="2052">
                        <c:v>14.25</c:v>
                      </c:pt>
                      <c:pt idx="2053">
                        <c:v>14.256944444445253</c:v>
                      </c:pt>
                      <c:pt idx="2054">
                        <c:v>14.263888888890506</c:v>
                      </c:pt>
                      <c:pt idx="2055">
                        <c:v>14.270833333335759</c:v>
                      </c:pt>
                      <c:pt idx="2056">
                        <c:v>14.277777777781012</c:v>
                      </c:pt>
                      <c:pt idx="2057">
                        <c:v>14.284722222218988</c:v>
                      </c:pt>
                      <c:pt idx="2058">
                        <c:v>14.291666666664241</c:v>
                      </c:pt>
                      <c:pt idx="2059">
                        <c:v>14.298611111109494</c:v>
                      </c:pt>
                      <c:pt idx="2060">
                        <c:v>14.305555555554747</c:v>
                      </c:pt>
                      <c:pt idx="2061">
                        <c:v>14.3125</c:v>
                      </c:pt>
                      <c:pt idx="2062">
                        <c:v>14.319444444445253</c:v>
                      </c:pt>
                      <c:pt idx="2063">
                        <c:v>14.326388888890506</c:v>
                      </c:pt>
                      <c:pt idx="2064">
                        <c:v>14.333333333335759</c:v>
                      </c:pt>
                      <c:pt idx="2065">
                        <c:v>14.340277777781012</c:v>
                      </c:pt>
                      <c:pt idx="2066">
                        <c:v>14.347222222218988</c:v>
                      </c:pt>
                      <c:pt idx="2067">
                        <c:v>14.354166666664241</c:v>
                      </c:pt>
                      <c:pt idx="2068">
                        <c:v>14.361111111109494</c:v>
                      </c:pt>
                      <c:pt idx="2069">
                        <c:v>14.368055555554747</c:v>
                      </c:pt>
                      <c:pt idx="2070">
                        <c:v>14.375</c:v>
                      </c:pt>
                      <c:pt idx="2071">
                        <c:v>14.381944444445253</c:v>
                      </c:pt>
                      <c:pt idx="2072">
                        <c:v>14.388888888890506</c:v>
                      </c:pt>
                      <c:pt idx="2073">
                        <c:v>14.395833333335759</c:v>
                      </c:pt>
                      <c:pt idx="2074">
                        <c:v>14.402777777781012</c:v>
                      </c:pt>
                      <c:pt idx="2075">
                        <c:v>14.409722222218988</c:v>
                      </c:pt>
                      <c:pt idx="2076">
                        <c:v>14.416666666664241</c:v>
                      </c:pt>
                      <c:pt idx="2077">
                        <c:v>14.423611111109494</c:v>
                      </c:pt>
                      <c:pt idx="2078">
                        <c:v>14.430555555554747</c:v>
                      </c:pt>
                      <c:pt idx="2079">
                        <c:v>14.4375</c:v>
                      </c:pt>
                      <c:pt idx="2080">
                        <c:v>14.444444444445253</c:v>
                      </c:pt>
                      <c:pt idx="2081">
                        <c:v>14.451388888890506</c:v>
                      </c:pt>
                      <c:pt idx="2082">
                        <c:v>14.458333333335759</c:v>
                      </c:pt>
                      <c:pt idx="2083">
                        <c:v>14.465277777781012</c:v>
                      </c:pt>
                      <c:pt idx="2084">
                        <c:v>14.472222222218988</c:v>
                      </c:pt>
                      <c:pt idx="2085">
                        <c:v>14.479166666664241</c:v>
                      </c:pt>
                      <c:pt idx="2086">
                        <c:v>14.486111111109494</c:v>
                      </c:pt>
                      <c:pt idx="2087">
                        <c:v>14.493055555554747</c:v>
                      </c:pt>
                      <c:pt idx="2088">
                        <c:v>14.5</c:v>
                      </c:pt>
                      <c:pt idx="2089">
                        <c:v>14.506944444445253</c:v>
                      </c:pt>
                      <c:pt idx="2090">
                        <c:v>14.513888888890506</c:v>
                      </c:pt>
                      <c:pt idx="2091">
                        <c:v>14.520833333335759</c:v>
                      </c:pt>
                      <c:pt idx="2092">
                        <c:v>14.527777777781012</c:v>
                      </c:pt>
                      <c:pt idx="2093">
                        <c:v>14.534722222218988</c:v>
                      </c:pt>
                      <c:pt idx="2094">
                        <c:v>14.541666666664241</c:v>
                      </c:pt>
                      <c:pt idx="2095">
                        <c:v>14.548611111109494</c:v>
                      </c:pt>
                      <c:pt idx="2096">
                        <c:v>14.555555555554747</c:v>
                      </c:pt>
                      <c:pt idx="2097">
                        <c:v>14.5625</c:v>
                      </c:pt>
                      <c:pt idx="2098">
                        <c:v>14.569444444445253</c:v>
                      </c:pt>
                      <c:pt idx="2099">
                        <c:v>14.576388888890506</c:v>
                      </c:pt>
                      <c:pt idx="2100">
                        <c:v>14.583333333335759</c:v>
                      </c:pt>
                      <c:pt idx="2101">
                        <c:v>14.590277777781012</c:v>
                      </c:pt>
                      <c:pt idx="2102">
                        <c:v>14.597222222218988</c:v>
                      </c:pt>
                      <c:pt idx="2103">
                        <c:v>14.604166666664241</c:v>
                      </c:pt>
                      <c:pt idx="2104">
                        <c:v>14.611111111109494</c:v>
                      </c:pt>
                      <c:pt idx="2105">
                        <c:v>14.618055555554747</c:v>
                      </c:pt>
                      <c:pt idx="2106">
                        <c:v>14.625</c:v>
                      </c:pt>
                      <c:pt idx="2107">
                        <c:v>14.631944444445253</c:v>
                      </c:pt>
                      <c:pt idx="2108">
                        <c:v>14.638888888890506</c:v>
                      </c:pt>
                      <c:pt idx="2109">
                        <c:v>14.645833333335759</c:v>
                      </c:pt>
                      <c:pt idx="2110">
                        <c:v>14.652777777781012</c:v>
                      </c:pt>
                      <c:pt idx="2111">
                        <c:v>14.659722222218988</c:v>
                      </c:pt>
                      <c:pt idx="2112">
                        <c:v>14.666666666664241</c:v>
                      </c:pt>
                      <c:pt idx="2113">
                        <c:v>14.673611111109494</c:v>
                      </c:pt>
                      <c:pt idx="2114">
                        <c:v>14.680555555554747</c:v>
                      </c:pt>
                      <c:pt idx="2115">
                        <c:v>14.6875</c:v>
                      </c:pt>
                      <c:pt idx="2116">
                        <c:v>14.694444444445253</c:v>
                      </c:pt>
                      <c:pt idx="2117">
                        <c:v>14.701388888890506</c:v>
                      </c:pt>
                      <c:pt idx="2118">
                        <c:v>14.708333333335759</c:v>
                      </c:pt>
                      <c:pt idx="2119">
                        <c:v>14.715277777781012</c:v>
                      </c:pt>
                      <c:pt idx="2120">
                        <c:v>14.722222222218988</c:v>
                      </c:pt>
                      <c:pt idx="2121">
                        <c:v>14.729166666664241</c:v>
                      </c:pt>
                      <c:pt idx="2122">
                        <c:v>14.736111111109494</c:v>
                      </c:pt>
                      <c:pt idx="2123">
                        <c:v>14.743055555554747</c:v>
                      </c:pt>
                      <c:pt idx="2124">
                        <c:v>14.75</c:v>
                      </c:pt>
                      <c:pt idx="2125">
                        <c:v>14.756944444445253</c:v>
                      </c:pt>
                      <c:pt idx="2126">
                        <c:v>14.763888888890506</c:v>
                      </c:pt>
                      <c:pt idx="2127">
                        <c:v>14.770833333335759</c:v>
                      </c:pt>
                      <c:pt idx="2128">
                        <c:v>14.777777777781012</c:v>
                      </c:pt>
                      <c:pt idx="2129">
                        <c:v>14.784722222218988</c:v>
                      </c:pt>
                      <c:pt idx="2130">
                        <c:v>14.791666666664241</c:v>
                      </c:pt>
                      <c:pt idx="2131">
                        <c:v>14.798611111109494</c:v>
                      </c:pt>
                      <c:pt idx="2132">
                        <c:v>14.805555555554747</c:v>
                      </c:pt>
                      <c:pt idx="2133">
                        <c:v>14.8125</c:v>
                      </c:pt>
                      <c:pt idx="2134">
                        <c:v>14.819444444445253</c:v>
                      </c:pt>
                      <c:pt idx="2135">
                        <c:v>14.826388888890506</c:v>
                      </c:pt>
                      <c:pt idx="2136">
                        <c:v>14.833333333335759</c:v>
                      </c:pt>
                      <c:pt idx="2137">
                        <c:v>14.840277777781012</c:v>
                      </c:pt>
                      <c:pt idx="2138">
                        <c:v>14.847222222218988</c:v>
                      </c:pt>
                      <c:pt idx="2139">
                        <c:v>14.854166666664241</c:v>
                      </c:pt>
                      <c:pt idx="2140">
                        <c:v>14.861111111109494</c:v>
                      </c:pt>
                      <c:pt idx="2141">
                        <c:v>14.868055555554747</c:v>
                      </c:pt>
                      <c:pt idx="2142">
                        <c:v>14.875</c:v>
                      </c:pt>
                      <c:pt idx="2143">
                        <c:v>14.881944444445253</c:v>
                      </c:pt>
                      <c:pt idx="2144">
                        <c:v>14.888888888890506</c:v>
                      </c:pt>
                      <c:pt idx="2145">
                        <c:v>14.895833333335759</c:v>
                      </c:pt>
                      <c:pt idx="2146">
                        <c:v>14.902777777781012</c:v>
                      </c:pt>
                      <c:pt idx="2147">
                        <c:v>14.909722222218988</c:v>
                      </c:pt>
                      <c:pt idx="2148">
                        <c:v>14.916666666664241</c:v>
                      </c:pt>
                      <c:pt idx="2149">
                        <c:v>14.923611111109494</c:v>
                      </c:pt>
                      <c:pt idx="2150">
                        <c:v>14.930555555554747</c:v>
                      </c:pt>
                      <c:pt idx="2151">
                        <c:v>14.9375</c:v>
                      </c:pt>
                      <c:pt idx="2152">
                        <c:v>14.944444444445253</c:v>
                      </c:pt>
                      <c:pt idx="2153">
                        <c:v>14.951388888890506</c:v>
                      </c:pt>
                      <c:pt idx="2154">
                        <c:v>14.958333333335759</c:v>
                      </c:pt>
                      <c:pt idx="2155">
                        <c:v>14.965277777781012</c:v>
                      </c:pt>
                      <c:pt idx="2156">
                        <c:v>14.972222222218988</c:v>
                      </c:pt>
                      <c:pt idx="2157">
                        <c:v>14.979166666664241</c:v>
                      </c:pt>
                      <c:pt idx="2158">
                        <c:v>14.986111111109494</c:v>
                      </c:pt>
                      <c:pt idx="2159">
                        <c:v>14.993055555554747</c:v>
                      </c:pt>
                      <c:pt idx="2160">
                        <c:v>15</c:v>
                      </c:pt>
                      <c:pt idx="2161">
                        <c:v>15.006944444445253</c:v>
                      </c:pt>
                      <c:pt idx="2162">
                        <c:v>15.013888888890506</c:v>
                      </c:pt>
                      <c:pt idx="2163">
                        <c:v>15.020833333335759</c:v>
                      </c:pt>
                      <c:pt idx="2164">
                        <c:v>15.027777777781012</c:v>
                      </c:pt>
                      <c:pt idx="2165">
                        <c:v>15.034722222218988</c:v>
                      </c:pt>
                      <c:pt idx="2166">
                        <c:v>15.041666666664241</c:v>
                      </c:pt>
                      <c:pt idx="2167">
                        <c:v>15.048611111109494</c:v>
                      </c:pt>
                      <c:pt idx="2168">
                        <c:v>15.055555555554747</c:v>
                      </c:pt>
                      <c:pt idx="2169">
                        <c:v>15.0625</c:v>
                      </c:pt>
                      <c:pt idx="2170">
                        <c:v>15.069444444445253</c:v>
                      </c:pt>
                      <c:pt idx="2171">
                        <c:v>15.076388888890506</c:v>
                      </c:pt>
                      <c:pt idx="2172">
                        <c:v>15.083333333335759</c:v>
                      </c:pt>
                      <c:pt idx="2173">
                        <c:v>15.090277777781012</c:v>
                      </c:pt>
                      <c:pt idx="2174">
                        <c:v>15.097222222218988</c:v>
                      </c:pt>
                      <c:pt idx="2175">
                        <c:v>15.104166666664241</c:v>
                      </c:pt>
                      <c:pt idx="2176">
                        <c:v>15.111111111109494</c:v>
                      </c:pt>
                      <c:pt idx="2177">
                        <c:v>15.118055555554747</c:v>
                      </c:pt>
                      <c:pt idx="2178">
                        <c:v>15.125</c:v>
                      </c:pt>
                      <c:pt idx="2179">
                        <c:v>15.131944444445253</c:v>
                      </c:pt>
                      <c:pt idx="2180">
                        <c:v>15.138888888890506</c:v>
                      </c:pt>
                      <c:pt idx="2181">
                        <c:v>15.145833333335759</c:v>
                      </c:pt>
                      <c:pt idx="2182">
                        <c:v>15.152777777781012</c:v>
                      </c:pt>
                      <c:pt idx="2183">
                        <c:v>15.159722222218988</c:v>
                      </c:pt>
                      <c:pt idx="2184">
                        <c:v>15.166666666664241</c:v>
                      </c:pt>
                      <c:pt idx="2185">
                        <c:v>15.173611111109494</c:v>
                      </c:pt>
                      <c:pt idx="2186">
                        <c:v>15.180555555554747</c:v>
                      </c:pt>
                      <c:pt idx="2187">
                        <c:v>15.1875</c:v>
                      </c:pt>
                      <c:pt idx="2188">
                        <c:v>15.194444444445253</c:v>
                      </c:pt>
                      <c:pt idx="2189">
                        <c:v>15.201388888890506</c:v>
                      </c:pt>
                      <c:pt idx="2190">
                        <c:v>15.208333333335759</c:v>
                      </c:pt>
                      <c:pt idx="2191">
                        <c:v>15.215277777781012</c:v>
                      </c:pt>
                      <c:pt idx="2192">
                        <c:v>15.222222222218988</c:v>
                      </c:pt>
                      <c:pt idx="2193">
                        <c:v>15.229166666664241</c:v>
                      </c:pt>
                      <c:pt idx="2194">
                        <c:v>15.236111111109494</c:v>
                      </c:pt>
                      <c:pt idx="2195">
                        <c:v>15.243055555554747</c:v>
                      </c:pt>
                      <c:pt idx="2196">
                        <c:v>15.25</c:v>
                      </c:pt>
                      <c:pt idx="2197">
                        <c:v>15.256944444445253</c:v>
                      </c:pt>
                      <c:pt idx="2198">
                        <c:v>15.263888888890506</c:v>
                      </c:pt>
                      <c:pt idx="2199">
                        <c:v>15.270833333335759</c:v>
                      </c:pt>
                      <c:pt idx="2200">
                        <c:v>15.277777777781012</c:v>
                      </c:pt>
                      <c:pt idx="2201">
                        <c:v>15.284722222218988</c:v>
                      </c:pt>
                      <c:pt idx="2202">
                        <c:v>15.291666666664241</c:v>
                      </c:pt>
                      <c:pt idx="2203">
                        <c:v>15.298611111109494</c:v>
                      </c:pt>
                      <c:pt idx="2204">
                        <c:v>15.305555555554747</c:v>
                      </c:pt>
                      <c:pt idx="2205">
                        <c:v>15.3125</c:v>
                      </c:pt>
                      <c:pt idx="2206">
                        <c:v>15.319444444445253</c:v>
                      </c:pt>
                      <c:pt idx="2207">
                        <c:v>15.326388888890506</c:v>
                      </c:pt>
                      <c:pt idx="2208">
                        <c:v>15.333333333335759</c:v>
                      </c:pt>
                      <c:pt idx="2209">
                        <c:v>15.340277777781012</c:v>
                      </c:pt>
                      <c:pt idx="2210">
                        <c:v>15.347222222218988</c:v>
                      </c:pt>
                      <c:pt idx="2211">
                        <c:v>15.354166666664241</c:v>
                      </c:pt>
                      <c:pt idx="2212">
                        <c:v>15.361111111109494</c:v>
                      </c:pt>
                      <c:pt idx="2213">
                        <c:v>15.368055555554747</c:v>
                      </c:pt>
                      <c:pt idx="2214">
                        <c:v>15.375</c:v>
                      </c:pt>
                      <c:pt idx="2215">
                        <c:v>15.381944444445253</c:v>
                      </c:pt>
                      <c:pt idx="2216">
                        <c:v>15.388888888890506</c:v>
                      </c:pt>
                      <c:pt idx="2217">
                        <c:v>15.395833333335759</c:v>
                      </c:pt>
                      <c:pt idx="2218">
                        <c:v>15.402777777781012</c:v>
                      </c:pt>
                      <c:pt idx="2219">
                        <c:v>15.409722222218988</c:v>
                      </c:pt>
                      <c:pt idx="2220">
                        <c:v>15.416666666664241</c:v>
                      </c:pt>
                      <c:pt idx="2221">
                        <c:v>15.423611111109494</c:v>
                      </c:pt>
                      <c:pt idx="2222">
                        <c:v>15.430555555554747</c:v>
                      </c:pt>
                      <c:pt idx="2223">
                        <c:v>15.4375</c:v>
                      </c:pt>
                      <c:pt idx="2224">
                        <c:v>15.444444444445253</c:v>
                      </c:pt>
                      <c:pt idx="2225">
                        <c:v>15.451388888890506</c:v>
                      </c:pt>
                      <c:pt idx="2226">
                        <c:v>15.458333333335759</c:v>
                      </c:pt>
                      <c:pt idx="2227">
                        <c:v>15.465277777781012</c:v>
                      </c:pt>
                      <c:pt idx="2228">
                        <c:v>15.472222222218988</c:v>
                      </c:pt>
                      <c:pt idx="2229">
                        <c:v>15.479166666664241</c:v>
                      </c:pt>
                      <c:pt idx="2230">
                        <c:v>15.486111111109494</c:v>
                      </c:pt>
                      <c:pt idx="2231">
                        <c:v>15.493055555554747</c:v>
                      </c:pt>
                      <c:pt idx="2232">
                        <c:v>15.5</c:v>
                      </c:pt>
                      <c:pt idx="2233">
                        <c:v>15.506944444445253</c:v>
                      </c:pt>
                      <c:pt idx="2234">
                        <c:v>15.513888888890506</c:v>
                      </c:pt>
                      <c:pt idx="2235">
                        <c:v>15.520833333335759</c:v>
                      </c:pt>
                      <c:pt idx="2236">
                        <c:v>15.527777777781012</c:v>
                      </c:pt>
                      <c:pt idx="2237">
                        <c:v>15.534722222218988</c:v>
                      </c:pt>
                      <c:pt idx="2238">
                        <c:v>15.541666666664241</c:v>
                      </c:pt>
                      <c:pt idx="2239">
                        <c:v>15.548611111109494</c:v>
                      </c:pt>
                      <c:pt idx="2240">
                        <c:v>15.555555555554747</c:v>
                      </c:pt>
                      <c:pt idx="2241">
                        <c:v>15.5625</c:v>
                      </c:pt>
                      <c:pt idx="2242">
                        <c:v>15.569444444445253</c:v>
                      </c:pt>
                      <c:pt idx="2243">
                        <c:v>15.576388888890506</c:v>
                      </c:pt>
                      <c:pt idx="2244">
                        <c:v>15.583333333335759</c:v>
                      </c:pt>
                      <c:pt idx="2245">
                        <c:v>15.590277777781012</c:v>
                      </c:pt>
                      <c:pt idx="2246">
                        <c:v>15.597222222218988</c:v>
                      </c:pt>
                      <c:pt idx="2247">
                        <c:v>15.604166666664241</c:v>
                      </c:pt>
                      <c:pt idx="2248">
                        <c:v>15.611111111109494</c:v>
                      </c:pt>
                      <c:pt idx="2249">
                        <c:v>15.618055555554747</c:v>
                      </c:pt>
                      <c:pt idx="2250">
                        <c:v>15.625</c:v>
                      </c:pt>
                      <c:pt idx="2251">
                        <c:v>15.631944444445253</c:v>
                      </c:pt>
                      <c:pt idx="2252">
                        <c:v>15.638888888890506</c:v>
                      </c:pt>
                      <c:pt idx="2253">
                        <c:v>15.645833333335759</c:v>
                      </c:pt>
                      <c:pt idx="2254">
                        <c:v>15.652777777781012</c:v>
                      </c:pt>
                      <c:pt idx="2255">
                        <c:v>15.659722222218988</c:v>
                      </c:pt>
                      <c:pt idx="2256">
                        <c:v>15.666666666664241</c:v>
                      </c:pt>
                      <c:pt idx="2257">
                        <c:v>15.673611111109494</c:v>
                      </c:pt>
                      <c:pt idx="2258">
                        <c:v>15.680555555554747</c:v>
                      </c:pt>
                      <c:pt idx="2259">
                        <c:v>15.6875</c:v>
                      </c:pt>
                      <c:pt idx="2260">
                        <c:v>15.694444444445253</c:v>
                      </c:pt>
                      <c:pt idx="2261">
                        <c:v>15.701388888890506</c:v>
                      </c:pt>
                      <c:pt idx="2262">
                        <c:v>15.708333333335759</c:v>
                      </c:pt>
                      <c:pt idx="2263">
                        <c:v>15.715277777781012</c:v>
                      </c:pt>
                      <c:pt idx="2264">
                        <c:v>15.722222222218988</c:v>
                      </c:pt>
                      <c:pt idx="2265">
                        <c:v>15.729166666664241</c:v>
                      </c:pt>
                      <c:pt idx="2266">
                        <c:v>15.736111111109494</c:v>
                      </c:pt>
                      <c:pt idx="2267">
                        <c:v>15.743055555554747</c:v>
                      </c:pt>
                      <c:pt idx="2268">
                        <c:v>15.75</c:v>
                      </c:pt>
                      <c:pt idx="2269">
                        <c:v>15.756944444445253</c:v>
                      </c:pt>
                      <c:pt idx="2270">
                        <c:v>15.763888888890506</c:v>
                      </c:pt>
                      <c:pt idx="2271">
                        <c:v>15.770833333335759</c:v>
                      </c:pt>
                      <c:pt idx="2272">
                        <c:v>15.777777777781012</c:v>
                      </c:pt>
                      <c:pt idx="2273">
                        <c:v>15.784722222218988</c:v>
                      </c:pt>
                      <c:pt idx="2274">
                        <c:v>15.791666666664241</c:v>
                      </c:pt>
                      <c:pt idx="2275">
                        <c:v>15.798611111109494</c:v>
                      </c:pt>
                      <c:pt idx="2276">
                        <c:v>15.805555555554747</c:v>
                      </c:pt>
                      <c:pt idx="2277">
                        <c:v>15.8125</c:v>
                      </c:pt>
                      <c:pt idx="2278">
                        <c:v>15.819444444445253</c:v>
                      </c:pt>
                      <c:pt idx="2279">
                        <c:v>15.826388888890506</c:v>
                      </c:pt>
                      <c:pt idx="2280">
                        <c:v>15.833333333335759</c:v>
                      </c:pt>
                      <c:pt idx="2281">
                        <c:v>15.840277777781012</c:v>
                      </c:pt>
                      <c:pt idx="2282">
                        <c:v>15.847222222218988</c:v>
                      </c:pt>
                      <c:pt idx="2283">
                        <c:v>15.854166666664241</c:v>
                      </c:pt>
                      <c:pt idx="2284">
                        <c:v>15.861111111109494</c:v>
                      </c:pt>
                      <c:pt idx="2285">
                        <c:v>15.868055555554747</c:v>
                      </c:pt>
                      <c:pt idx="2286">
                        <c:v>15.875</c:v>
                      </c:pt>
                      <c:pt idx="2287">
                        <c:v>15.881944444445253</c:v>
                      </c:pt>
                      <c:pt idx="2288">
                        <c:v>15.888888888890506</c:v>
                      </c:pt>
                      <c:pt idx="2289">
                        <c:v>15.895833333335759</c:v>
                      </c:pt>
                      <c:pt idx="2290">
                        <c:v>15.902777777781012</c:v>
                      </c:pt>
                      <c:pt idx="2291">
                        <c:v>15.909722222218988</c:v>
                      </c:pt>
                      <c:pt idx="2292">
                        <c:v>15.916666666664241</c:v>
                      </c:pt>
                      <c:pt idx="2293">
                        <c:v>15.923611111109494</c:v>
                      </c:pt>
                      <c:pt idx="2294">
                        <c:v>15.930555555554747</c:v>
                      </c:pt>
                      <c:pt idx="2295">
                        <c:v>15.9375</c:v>
                      </c:pt>
                      <c:pt idx="2296">
                        <c:v>15.944444444445253</c:v>
                      </c:pt>
                      <c:pt idx="2297">
                        <c:v>15.951388888890506</c:v>
                      </c:pt>
                      <c:pt idx="2298">
                        <c:v>15.958333333335759</c:v>
                      </c:pt>
                      <c:pt idx="2299">
                        <c:v>15.965277777781012</c:v>
                      </c:pt>
                      <c:pt idx="2300">
                        <c:v>15.972222222218988</c:v>
                      </c:pt>
                      <c:pt idx="2301">
                        <c:v>15.979166666664241</c:v>
                      </c:pt>
                      <c:pt idx="2302">
                        <c:v>15.986111111109494</c:v>
                      </c:pt>
                      <c:pt idx="2303">
                        <c:v>15.993055555554747</c:v>
                      </c:pt>
                      <c:pt idx="2304">
                        <c:v>16</c:v>
                      </c:pt>
                      <c:pt idx="2305">
                        <c:v>16.006944444445253</c:v>
                      </c:pt>
                      <c:pt idx="2306">
                        <c:v>16.013888888890506</c:v>
                      </c:pt>
                      <c:pt idx="2307">
                        <c:v>16.020833333335759</c:v>
                      </c:pt>
                      <c:pt idx="2308">
                        <c:v>16.027777777781012</c:v>
                      </c:pt>
                      <c:pt idx="2309">
                        <c:v>16.034722222218988</c:v>
                      </c:pt>
                      <c:pt idx="2310">
                        <c:v>16.041666666664241</c:v>
                      </c:pt>
                      <c:pt idx="2311">
                        <c:v>16.048611111109494</c:v>
                      </c:pt>
                      <c:pt idx="2312">
                        <c:v>16.055555555554747</c:v>
                      </c:pt>
                      <c:pt idx="2313">
                        <c:v>16.0625</c:v>
                      </c:pt>
                      <c:pt idx="2314">
                        <c:v>16.069444444445253</c:v>
                      </c:pt>
                      <c:pt idx="2315">
                        <c:v>16.076388888890506</c:v>
                      </c:pt>
                      <c:pt idx="2316">
                        <c:v>16.083333333335759</c:v>
                      </c:pt>
                      <c:pt idx="2317">
                        <c:v>16.090277777781012</c:v>
                      </c:pt>
                      <c:pt idx="2318">
                        <c:v>16.097222222218988</c:v>
                      </c:pt>
                      <c:pt idx="2319">
                        <c:v>16.104166666664241</c:v>
                      </c:pt>
                      <c:pt idx="2320">
                        <c:v>16.111111111109494</c:v>
                      </c:pt>
                      <c:pt idx="2321">
                        <c:v>16.118055555554747</c:v>
                      </c:pt>
                      <c:pt idx="2322">
                        <c:v>16.125</c:v>
                      </c:pt>
                      <c:pt idx="2323">
                        <c:v>16.131944444445253</c:v>
                      </c:pt>
                      <c:pt idx="2324">
                        <c:v>16.138888888890506</c:v>
                      </c:pt>
                      <c:pt idx="2325">
                        <c:v>16.145833333335759</c:v>
                      </c:pt>
                      <c:pt idx="2326">
                        <c:v>16.152777777781012</c:v>
                      </c:pt>
                      <c:pt idx="2327">
                        <c:v>16.159722222218988</c:v>
                      </c:pt>
                      <c:pt idx="2328">
                        <c:v>16.166666666664241</c:v>
                      </c:pt>
                      <c:pt idx="2329">
                        <c:v>16.173611111109494</c:v>
                      </c:pt>
                      <c:pt idx="2330">
                        <c:v>16.180555555554747</c:v>
                      </c:pt>
                      <c:pt idx="2331">
                        <c:v>16.1875</c:v>
                      </c:pt>
                      <c:pt idx="2332">
                        <c:v>16.194444444445253</c:v>
                      </c:pt>
                      <c:pt idx="2333">
                        <c:v>16.201388888890506</c:v>
                      </c:pt>
                      <c:pt idx="2334">
                        <c:v>16.208333333335759</c:v>
                      </c:pt>
                      <c:pt idx="2335">
                        <c:v>16.215277777781012</c:v>
                      </c:pt>
                      <c:pt idx="2336">
                        <c:v>16.222222222218988</c:v>
                      </c:pt>
                      <c:pt idx="2337">
                        <c:v>16.229166666664241</c:v>
                      </c:pt>
                      <c:pt idx="2338">
                        <c:v>16.236111111109494</c:v>
                      </c:pt>
                      <c:pt idx="2339">
                        <c:v>16.243055555554747</c:v>
                      </c:pt>
                      <c:pt idx="2340">
                        <c:v>16.25</c:v>
                      </c:pt>
                      <c:pt idx="2341">
                        <c:v>16.256944444445253</c:v>
                      </c:pt>
                      <c:pt idx="2342">
                        <c:v>16.263888888890506</c:v>
                      </c:pt>
                      <c:pt idx="2343">
                        <c:v>16.270833333335759</c:v>
                      </c:pt>
                      <c:pt idx="2344">
                        <c:v>16.277777777781012</c:v>
                      </c:pt>
                      <c:pt idx="2345">
                        <c:v>16.284722222218988</c:v>
                      </c:pt>
                      <c:pt idx="2346">
                        <c:v>16.291666666664241</c:v>
                      </c:pt>
                      <c:pt idx="2347">
                        <c:v>16.298611111109494</c:v>
                      </c:pt>
                      <c:pt idx="2348">
                        <c:v>16.305555555554747</c:v>
                      </c:pt>
                      <c:pt idx="2349">
                        <c:v>16.3125</c:v>
                      </c:pt>
                      <c:pt idx="2350">
                        <c:v>16.319444444445253</c:v>
                      </c:pt>
                      <c:pt idx="2351">
                        <c:v>16.326388888890506</c:v>
                      </c:pt>
                      <c:pt idx="2352">
                        <c:v>16.333333333335759</c:v>
                      </c:pt>
                      <c:pt idx="2353">
                        <c:v>16.340277777781012</c:v>
                      </c:pt>
                      <c:pt idx="2354">
                        <c:v>16.347222222218988</c:v>
                      </c:pt>
                      <c:pt idx="2355">
                        <c:v>16.354166666664241</c:v>
                      </c:pt>
                      <c:pt idx="2356">
                        <c:v>16.361111111109494</c:v>
                      </c:pt>
                      <c:pt idx="2357">
                        <c:v>16.368055555554747</c:v>
                      </c:pt>
                      <c:pt idx="2358">
                        <c:v>16.375</c:v>
                      </c:pt>
                      <c:pt idx="2359">
                        <c:v>16.381944444445253</c:v>
                      </c:pt>
                      <c:pt idx="2360">
                        <c:v>16.388888888890506</c:v>
                      </c:pt>
                      <c:pt idx="2361">
                        <c:v>16.395833333335759</c:v>
                      </c:pt>
                      <c:pt idx="2362">
                        <c:v>16.402777777781012</c:v>
                      </c:pt>
                      <c:pt idx="2363">
                        <c:v>16.409722222218988</c:v>
                      </c:pt>
                      <c:pt idx="2364">
                        <c:v>16.416666666664241</c:v>
                      </c:pt>
                      <c:pt idx="2365">
                        <c:v>16.423611111109494</c:v>
                      </c:pt>
                      <c:pt idx="2366">
                        <c:v>16.430555555554747</c:v>
                      </c:pt>
                      <c:pt idx="2367">
                        <c:v>16.4375</c:v>
                      </c:pt>
                      <c:pt idx="2368">
                        <c:v>16.444444444445253</c:v>
                      </c:pt>
                      <c:pt idx="2369">
                        <c:v>16.451388888890506</c:v>
                      </c:pt>
                      <c:pt idx="2370">
                        <c:v>16.458333333335759</c:v>
                      </c:pt>
                      <c:pt idx="2371">
                        <c:v>16.465277777781012</c:v>
                      </c:pt>
                      <c:pt idx="2372">
                        <c:v>16.472222222218988</c:v>
                      </c:pt>
                      <c:pt idx="2373">
                        <c:v>16.479166666664241</c:v>
                      </c:pt>
                      <c:pt idx="2374">
                        <c:v>16.486111111109494</c:v>
                      </c:pt>
                      <c:pt idx="2375">
                        <c:v>16.493055555554747</c:v>
                      </c:pt>
                      <c:pt idx="2376">
                        <c:v>16.5</c:v>
                      </c:pt>
                      <c:pt idx="2377">
                        <c:v>16.506944444445253</c:v>
                      </c:pt>
                      <c:pt idx="2378">
                        <c:v>16.513888888890506</c:v>
                      </c:pt>
                      <c:pt idx="2379">
                        <c:v>16.520833333335759</c:v>
                      </c:pt>
                      <c:pt idx="2380">
                        <c:v>16.527777777781012</c:v>
                      </c:pt>
                      <c:pt idx="2381">
                        <c:v>16.534722222218988</c:v>
                      </c:pt>
                      <c:pt idx="2382">
                        <c:v>16.541666666664241</c:v>
                      </c:pt>
                      <c:pt idx="2383">
                        <c:v>16.548611111109494</c:v>
                      </c:pt>
                      <c:pt idx="2384">
                        <c:v>16.555555555554747</c:v>
                      </c:pt>
                      <c:pt idx="2385">
                        <c:v>16.5625</c:v>
                      </c:pt>
                      <c:pt idx="2386">
                        <c:v>16.569444444445253</c:v>
                      </c:pt>
                      <c:pt idx="2387">
                        <c:v>16.576388888890506</c:v>
                      </c:pt>
                      <c:pt idx="2388">
                        <c:v>16.583333333335759</c:v>
                      </c:pt>
                      <c:pt idx="2389">
                        <c:v>16.590277777781012</c:v>
                      </c:pt>
                      <c:pt idx="2390">
                        <c:v>16.597222222218988</c:v>
                      </c:pt>
                      <c:pt idx="2391">
                        <c:v>16.604166666664241</c:v>
                      </c:pt>
                      <c:pt idx="2392">
                        <c:v>16.611111111109494</c:v>
                      </c:pt>
                      <c:pt idx="2393">
                        <c:v>16.618055555554747</c:v>
                      </c:pt>
                      <c:pt idx="2394">
                        <c:v>16.625</c:v>
                      </c:pt>
                      <c:pt idx="2395">
                        <c:v>16.631944444445253</c:v>
                      </c:pt>
                      <c:pt idx="2396">
                        <c:v>16.638888888890506</c:v>
                      </c:pt>
                      <c:pt idx="2397">
                        <c:v>16.645833333335759</c:v>
                      </c:pt>
                      <c:pt idx="2398">
                        <c:v>16.652777777781012</c:v>
                      </c:pt>
                      <c:pt idx="2399">
                        <c:v>16.659722222218988</c:v>
                      </c:pt>
                      <c:pt idx="2400">
                        <c:v>16.666666666664241</c:v>
                      </c:pt>
                      <c:pt idx="2401">
                        <c:v>16.673611111109494</c:v>
                      </c:pt>
                      <c:pt idx="2402">
                        <c:v>16.680555555554747</c:v>
                      </c:pt>
                      <c:pt idx="2403">
                        <c:v>16.6875</c:v>
                      </c:pt>
                      <c:pt idx="2404">
                        <c:v>16.694444444445253</c:v>
                      </c:pt>
                      <c:pt idx="2405">
                        <c:v>16.701388888890506</c:v>
                      </c:pt>
                      <c:pt idx="2406">
                        <c:v>16.708333333335759</c:v>
                      </c:pt>
                      <c:pt idx="2407">
                        <c:v>16.715277777781012</c:v>
                      </c:pt>
                      <c:pt idx="2408">
                        <c:v>16.722222222218988</c:v>
                      </c:pt>
                      <c:pt idx="2409">
                        <c:v>16.729166666664241</c:v>
                      </c:pt>
                      <c:pt idx="2410">
                        <c:v>16.736111111109494</c:v>
                      </c:pt>
                      <c:pt idx="2411">
                        <c:v>16.743055555554747</c:v>
                      </c:pt>
                      <c:pt idx="2412">
                        <c:v>16.75</c:v>
                      </c:pt>
                      <c:pt idx="2413">
                        <c:v>16.756944444445253</c:v>
                      </c:pt>
                      <c:pt idx="2414">
                        <c:v>16.763888888890506</c:v>
                      </c:pt>
                      <c:pt idx="2415">
                        <c:v>16.770833333335759</c:v>
                      </c:pt>
                      <c:pt idx="2416">
                        <c:v>16.777777777781012</c:v>
                      </c:pt>
                      <c:pt idx="2417">
                        <c:v>16.784722222218988</c:v>
                      </c:pt>
                      <c:pt idx="2418">
                        <c:v>16.791666666664241</c:v>
                      </c:pt>
                      <c:pt idx="2419">
                        <c:v>16.798611111109494</c:v>
                      </c:pt>
                      <c:pt idx="2420">
                        <c:v>16.805555555554747</c:v>
                      </c:pt>
                      <c:pt idx="2421">
                        <c:v>16.8125</c:v>
                      </c:pt>
                      <c:pt idx="2422">
                        <c:v>16.819444444445253</c:v>
                      </c:pt>
                      <c:pt idx="2423">
                        <c:v>16.826388888890506</c:v>
                      </c:pt>
                      <c:pt idx="2424">
                        <c:v>16.833333333335759</c:v>
                      </c:pt>
                      <c:pt idx="2425">
                        <c:v>16.840277777781012</c:v>
                      </c:pt>
                      <c:pt idx="2426">
                        <c:v>16.847222222218988</c:v>
                      </c:pt>
                      <c:pt idx="2427">
                        <c:v>16.854166666664241</c:v>
                      </c:pt>
                      <c:pt idx="2428">
                        <c:v>16.861111111109494</c:v>
                      </c:pt>
                      <c:pt idx="2429">
                        <c:v>16.868055555554747</c:v>
                      </c:pt>
                      <c:pt idx="2430">
                        <c:v>16.875</c:v>
                      </c:pt>
                      <c:pt idx="2431">
                        <c:v>16.881944444445253</c:v>
                      </c:pt>
                      <c:pt idx="2432">
                        <c:v>16.888888888890506</c:v>
                      </c:pt>
                      <c:pt idx="2433">
                        <c:v>16.895833333335759</c:v>
                      </c:pt>
                      <c:pt idx="2434">
                        <c:v>16.902777777781012</c:v>
                      </c:pt>
                      <c:pt idx="2435">
                        <c:v>16.909722222218988</c:v>
                      </c:pt>
                      <c:pt idx="2436">
                        <c:v>16.916666666664241</c:v>
                      </c:pt>
                      <c:pt idx="2437">
                        <c:v>16.923611111109494</c:v>
                      </c:pt>
                      <c:pt idx="2438">
                        <c:v>16.930555555554747</c:v>
                      </c:pt>
                      <c:pt idx="2439">
                        <c:v>16.9375</c:v>
                      </c:pt>
                      <c:pt idx="2440">
                        <c:v>16.944444444445253</c:v>
                      </c:pt>
                      <c:pt idx="2441">
                        <c:v>16.951388888890506</c:v>
                      </c:pt>
                      <c:pt idx="2442">
                        <c:v>16.958333333335759</c:v>
                      </c:pt>
                      <c:pt idx="2443">
                        <c:v>16.965277777781012</c:v>
                      </c:pt>
                      <c:pt idx="2444">
                        <c:v>16.972222222218988</c:v>
                      </c:pt>
                      <c:pt idx="2445">
                        <c:v>16.979166666664241</c:v>
                      </c:pt>
                      <c:pt idx="2446">
                        <c:v>16.986111111109494</c:v>
                      </c:pt>
                      <c:pt idx="2447">
                        <c:v>16.993055555554747</c:v>
                      </c:pt>
                      <c:pt idx="2448">
                        <c:v>17</c:v>
                      </c:pt>
                      <c:pt idx="2449">
                        <c:v>17.006944444445253</c:v>
                      </c:pt>
                      <c:pt idx="2450">
                        <c:v>17.013888888890506</c:v>
                      </c:pt>
                      <c:pt idx="2451">
                        <c:v>17.020833333335759</c:v>
                      </c:pt>
                      <c:pt idx="2452">
                        <c:v>17.027777777781012</c:v>
                      </c:pt>
                      <c:pt idx="2453">
                        <c:v>17.034722222218988</c:v>
                      </c:pt>
                      <c:pt idx="2454">
                        <c:v>17.041666666664241</c:v>
                      </c:pt>
                      <c:pt idx="2455">
                        <c:v>17.048611111109494</c:v>
                      </c:pt>
                      <c:pt idx="2456">
                        <c:v>17.055555555554747</c:v>
                      </c:pt>
                      <c:pt idx="2457">
                        <c:v>17.0625</c:v>
                      </c:pt>
                      <c:pt idx="2458">
                        <c:v>17.069444444445253</c:v>
                      </c:pt>
                      <c:pt idx="2459">
                        <c:v>17.076388888890506</c:v>
                      </c:pt>
                      <c:pt idx="2460">
                        <c:v>17.083333333335759</c:v>
                      </c:pt>
                      <c:pt idx="2461">
                        <c:v>17.090277777781012</c:v>
                      </c:pt>
                      <c:pt idx="2462">
                        <c:v>17.097222222218988</c:v>
                      </c:pt>
                      <c:pt idx="2463">
                        <c:v>17.104166666664241</c:v>
                      </c:pt>
                      <c:pt idx="2464">
                        <c:v>17.111111111109494</c:v>
                      </c:pt>
                      <c:pt idx="2465">
                        <c:v>17.118055555554747</c:v>
                      </c:pt>
                      <c:pt idx="2466">
                        <c:v>17.125</c:v>
                      </c:pt>
                      <c:pt idx="2467">
                        <c:v>17.131944444445253</c:v>
                      </c:pt>
                      <c:pt idx="2468">
                        <c:v>17.138888888890506</c:v>
                      </c:pt>
                      <c:pt idx="2469">
                        <c:v>17.145833333335759</c:v>
                      </c:pt>
                      <c:pt idx="2470">
                        <c:v>17.152777777781012</c:v>
                      </c:pt>
                      <c:pt idx="2471">
                        <c:v>17.159722222218988</c:v>
                      </c:pt>
                      <c:pt idx="2472">
                        <c:v>17.166666666664241</c:v>
                      </c:pt>
                      <c:pt idx="2473">
                        <c:v>17.173611111109494</c:v>
                      </c:pt>
                      <c:pt idx="2474">
                        <c:v>17.180555555554747</c:v>
                      </c:pt>
                      <c:pt idx="2475">
                        <c:v>17.1875</c:v>
                      </c:pt>
                      <c:pt idx="2476">
                        <c:v>17.194444444445253</c:v>
                      </c:pt>
                      <c:pt idx="2477">
                        <c:v>17.201388888890506</c:v>
                      </c:pt>
                      <c:pt idx="2478">
                        <c:v>17.208333333335759</c:v>
                      </c:pt>
                      <c:pt idx="2479">
                        <c:v>17.215277777781012</c:v>
                      </c:pt>
                      <c:pt idx="2480">
                        <c:v>17.222222222218988</c:v>
                      </c:pt>
                      <c:pt idx="2481">
                        <c:v>17.229166666664241</c:v>
                      </c:pt>
                      <c:pt idx="2482">
                        <c:v>17.236111111109494</c:v>
                      </c:pt>
                      <c:pt idx="2483">
                        <c:v>17.243055555554747</c:v>
                      </c:pt>
                      <c:pt idx="2484">
                        <c:v>17.25</c:v>
                      </c:pt>
                      <c:pt idx="2485">
                        <c:v>17.256944444445253</c:v>
                      </c:pt>
                      <c:pt idx="2486">
                        <c:v>17.263888888890506</c:v>
                      </c:pt>
                      <c:pt idx="2487">
                        <c:v>17.270833333335759</c:v>
                      </c:pt>
                      <c:pt idx="2488">
                        <c:v>17.277777777781012</c:v>
                      </c:pt>
                      <c:pt idx="2489">
                        <c:v>17.284722222218988</c:v>
                      </c:pt>
                      <c:pt idx="2490">
                        <c:v>17.291666666664241</c:v>
                      </c:pt>
                      <c:pt idx="2491">
                        <c:v>17.298611111109494</c:v>
                      </c:pt>
                      <c:pt idx="2492">
                        <c:v>17.305555555554747</c:v>
                      </c:pt>
                      <c:pt idx="2493">
                        <c:v>17.3125</c:v>
                      </c:pt>
                      <c:pt idx="2494">
                        <c:v>17.319444444445253</c:v>
                      </c:pt>
                      <c:pt idx="2495">
                        <c:v>17.326388888890506</c:v>
                      </c:pt>
                      <c:pt idx="2496">
                        <c:v>17.333333333335759</c:v>
                      </c:pt>
                      <c:pt idx="2497">
                        <c:v>17.340277777781012</c:v>
                      </c:pt>
                      <c:pt idx="2498">
                        <c:v>17.347222222218988</c:v>
                      </c:pt>
                      <c:pt idx="2499">
                        <c:v>17.354166666664241</c:v>
                      </c:pt>
                      <c:pt idx="2500">
                        <c:v>17.361111111109494</c:v>
                      </c:pt>
                      <c:pt idx="2501">
                        <c:v>17.368055555554747</c:v>
                      </c:pt>
                      <c:pt idx="2502">
                        <c:v>17.375</c:v>
                      </c:pt>
                      <c:pt idx="2503">
                        <c:v>17.381944444445253</c:v>
                      </c:pt>
                      <c:pt idx="2504">
                        <c:v>17.388888888890506</c:v>
                      </c:pt>
                      <c:pt idx="2505">
                        <c:v>17.395833333335759</c:v>
                      </c:pt>
                      <c:pt idx="2506">
                        <c:v>17.402777777781012</c:v>
                      </c:pt>
                      <c:pt idx="2507">
                        <c:v>17.409722222218988</c:v>
                      </c:pt>
                      <c:pt idx="2508">
                        <c:v>17.416666666664241</c:v>
                      </c:pt>
                      <c:pt idx="2509">
                        <c:v>17.423611111109494</c:v>
                      </c:pt>
                      <c:pt idx="2510">
                        <c:v>17.430555555554747</c:v>
                      </c:pt>
                      <c:pt idx="2511">
                        <c:v>17.4375</c:v>
                      </c:pt>
                      <c:pt idx="2512">
                        <c:v>17.444444444445253</c:v>
                      </c:pt>
                      <c:pt idx="2513">
                        <c:v>17.451388888890506</c:v>
                      </c:pt>
                      <c:pt idx="2514">
                        <c:v>17.458333333335759</c:v>
                      </c:pt>
                      <c:pt idx="2515">
                        <c:v>17.465277777781012</c:v>
                      </c:pt>
                      <c:pt idx="2516">
                        <c:v>17.472222222218988</c:v>
                      </c:pt>
                      <c:pt idx="2517">
                        <c:v>17.479166666664241</c:v>
                      </c:pt>
                      <c:pt idx="2518">
                        <c:v>17.486111111109494</c:v>
                      </c:pt>
                      <c:pt idx="2519">
                        <c:v>17.493055555554747</c:v>
                      </c:pt>
                      <c:pt idx="2520">
                        <c:v>17.5</c:v>
                      </c:pt>
                      <c:pt idx="2521">
                        <c:v>17.506944444445253</c:v>
                      </c:pt>
                      <c:pt idx="2522">
                        <c:v>17.513888888890506</c:v>
                      </c:pt>
                      <c:pt idx="2523">
                        <c:v>17.520833333335759</c:v>
                      </c:pt>
                      <c:pt idx="2524">
                        <c:v>17.527777777781012</c:v>
                      </c:pt>
                      <c:pt idx="2525">
                        <c:v>17.534722222218988</c:v>
                      </c:pt>
                      <c:pt idx="2526">
                        <c:v>17.541666666664241</c:v>
                      </c:pt>
                      <c:pt idx="2527">
                        <c:v>17.548611111109494</c:v>
                      </c:pt>
                      <c:pt idx="2528">
                        <c:v>17.555555555554747</c:v>
                      </c:pt>
                      <c:pt idx="2529">
                        <c:v>17.5625</c:v>
                      </c:pt>
                      <c:pt idx="2530">
                        <c:v>17.569444444445253</c:v>
                      </c:pt>
                      <c:pt idx="2531">
                        <c:v>17.576388888890506</c:v>
                      </c:pt>
                      <c:pt idx="2532">
                        <c:v>17.583333333335759</c:v>
                      </c:pt>
                      <c:pt idx="2533">
                        <c:v>17.590277777781012</c:v>
                      </c:pt>
                      <c:pt idx="2534">
                        <c:v>17.597222222218988</c:v>
                      </c:pt>
                      <c:pt idx="2535">
                        <c:v>17.604166666664241</c:v>
                      </c:pt>
                      <c:pt idx="2536">
                        <c:v>17.611111111109494</c:v>
                      </c:pt>
                      <c:pt idx="2537">
                        <c:v>17.618055555554747</c:v>
                      </c:pt>
                      <c:pt idx="2538">
                        <c:v>17.625</c:v>
                      </c:pt>
                      <c:pt idx="2539">
                        <c:v>17.631944444445253</c:v>
                      </c:pt>
                      <c:pt idx="2540">
                        <c:v>17.638888888890506</c:v>
                      </c:pt>
                      <c:pt idx="2541">
                        <c:v>17.645833333335759</c:v>
                      </c:pt>
                      <c:pt idx="2542">
                        <c:v>17.652777777781012</c:v>
                      </c:pt>
                      <c:pt idx="2543">
                        <c:v>17.659722222218988</c:v>
                      </c:pt>
                      <c:pt idx="2544">
                        <c:v>17.666666666664241</c:v>
                      </c:pt>
                      <c:pt idx="2545">
                        <c:v>17.673611111109494</c:v>
                      </c:pt>
                      <c:pt idx="2546">
                        <c:v>17.680555555554747</c:v>
                      </c:pt>
                      <c:pt idx="2547">
                        <c:v>17.6875</c:v>
                      </c:pt>
                      <c:pt idx="2548">
                        <c:v>17.694444444445253</c:v>
                      </c:pt>
                      <c:pt idx="2549">
                        <c:v>17.701388888890506</c:v>
                      </c:pt>
                      <c:pt idx="2550">
                        <c:v>17.708333333335759</c:v>
                      </c:pt>
                      <c:pt idx="2551">
                        <c:v>17.715277777781012</c:v>
                      </c:pt>
                      <c:pt idx="2552">
                        <c:v>17.722222222218988</c:v>
                      </c:pt>
                      <c:pt idx="2553">
                        <c:v>17.729166666664241</c:v>
                      </c:pt>
                      <c:pt idx="2554">
                        <c:v>17.736111111109494</c:v>
                      </c:pt>
                      <c:pt idx="2555">
                        <c:v>17.743055555554747</c:v>
                      </c:pt>
                      <c:pt idx="2556">
                        <c:v>17.75</c:v>
                      </c:pt>
                      <c:pt idx="2557">
                        <c:v>17.756944444445253</c:v>
                      </c:pt>
                      <c:pt idx="2558">
                        <c:v>17.763888888890506</c:v>
                      </c:pt>
                      <c:pt idx="2559">
                        <c:v>17.770833333335759</c:v>
                      </c:pt>
                      <c:pt idx="2560">
                        <c:v>17.777777777781012</c:v>
                      </c:pt>
                      <c:pt idx="2561">
                        <c:v>17.784722222218988</c:v>
                      </c:pt>
                      <c:pt idx="2562">
                        <c:v>17.791666666664241</c:v>
                      </c:pt>
                      <c:pt idx="2563">
                        <c:v>17.798611111109494</c:v>
                      </c:pt>
                      <c:pt idx="2564">
                        <c:v>17.805555555554747</c:v>
                      </c:pt>
                      <c:pt idx="2565">
                        <c:v>17.8125</c:v>
                      </c:pt>
                      <c:pt idx="2566">
                        <c:v>17.819444444445253</c:v>
                      </c:pt>
                      <c:pt idx="2567">
                        <c:v>17.826388888890506</c:v>
                      </c:pt>
                      <c:pt idx="2568">
                        <c:v>17.833333333335759</c:v>
                      </c:pt>
                      <c:pt idx="2569">
                        <c:v>17.840277777781012</c:v>
                      </c:pt>
                      <c:pt idx="2570">
                        <c:v>17.847222222218988</c:v>
                      </c:pt>
                      <c:pt idx="2571">
                        <c:v>17.854166666664241</c:v>
                      </c:pt>
                      <c:pt idx="2572">
                        <c:v>17.861111111109494</c:v>
                      </c:pt>
                      <c:pt idx="2573">
                        <c:v>17.868055555554747</c:v>
                      </c:pt>
                      <c:pt idx="2574">
                        <c:v>17.875</c:v>
                      </c:pt>
                      <c:pt idx="2575">
                        <c:v>17.881944444445253</c:v>
                      </c:pt>
                      <c:pt idx="2576">
                        <c:v>17.888888888890506</c:v>
                      </c:pt>
                      <c:pt idx="2577">
                        <c:v>17.895833333335759</c:v>
                      </c:pt>
                      <c:pt idx="2578">
                        <c:v>17.902777777781012</c:v>
                      </c:pt>
                      <c:pt idx="2579">
                        <c:v>17.909722222218988</c:v>
                      </c:pt>
                      <c:pt idx="2580">
                        <c:v>17.916666666664241</c:v>
                      </c:pt>
                      <c:pt idx="2581">
                        <c:v>17.923611111109494</c:v>
                      </c:pt>
                      <c:pt idx="2582">
                        <c:v>17.930555555554747</c:v>
                      </c:pt>
                      <c:pt idx="2583">
                        <c:v>17.9375</c:v>
                      </c:pt>
                      <c:pt idx="2584">
                        <c:v>17.944444444445253</c:v>
                      </c:pt>
                      <c:pt idx="2585">
                        <c:v>17.951388888890506</c:v>
                      </c:pt>
                      <c:pt idx="2586">
                        <c:v>17.958333333335759</c:v>
                      </c:pt>
                      <c:pt idx="2587">
                        <c:v>17.965277777781012</c:v>
                      </c:pt>
                      <c:pt idx="2588">
                        <c:v>17.972222222218988</c:v>
                      </c:pt>
                      <c:pt idx="2589">
                        <c:v>17.979166666664241</c:v>
                      </c:pt>
                      <c:pt idx="2590">
                        <c:v>17.986111111109494</c:v>
                      </c:pt>
                      <c:pt idx="2591">
                        <c:v>17.993055555554747</c:v>
                      </c:pt>
                      <c:pt idx="2592">
                        <c:v>18</c:v>
                      </c:pt>
                      <c:pt idx="2593">
                        <c:v>18.006944444445253</c:v>
                      </c:pt>
                      <c:pt idx="2594">
                        <c:v>18.013888888890506</c:v>
                      </c:pt>
                      <c:pt idx="2595">
                        <c:v>18.020833333335759</c:v>
                      </c:pt>
                      <c:pt idx="2596">
                        <c:v>18.027777777781012</c:v>
                      </c:pt>
                      <c:pt idx="2597">
                        <c:v>18.034722222218988</c:v>
                      </c:pt>
                      <c:pt idx="2598">
                        <c:v>18.041666666664241</c:v>
                      </c:pt>
                      <c:pt idx="2599">
                        <c:v>18.048611111109494</c:v>
                      </c:pt>
                      <c:pt idx="2600">
                        <c:v>18.055555555554747</c:v>
                      </c:pt>
                      <c:pt idx="2601">
                        <c:v>18.0625</c:v>
                      </c:pt>
                      <c:pt idx="2602">
                        <c:v>18.069444444445253</c:v>
                      </c:pt>
                      <c:pt idx="2603">
                        <c:v>18.076388888890506</c:v>
                      </c:pt>
                      <c:pt idx="2604">
                        <c:v>18.083333333335759</c:v>
                      </c:pt>
                      <c:pt idx="2605">
                        <c:v>18.090277777781012</c:v>
                      </c:pt>
                      <c:pt idx="2606">
                        <c:v>18.097222222218988</c:v>
                      </c:pt>
                      <c:pt idx="2607">
                        <c:v>18.104166666664241</c:v>
                      </c:pt>
                      <c:pt idx="2608">
                        <c:v>18.111111111109494</c:v>
                      </c:pt>
                      <c:pt idx="2609">
                        <c:v>18.118055555554747</c:v>
                      </c:pt>
                      <c:pt idx="2610">
                        <c:v>18.125</c:v>
                      </c:pt>
                      <c:pt idx="2611">
                        <c:v>18.131944444445253</c:v>
                      </c:pt>
                      <c:pt idx="2612">
                        <c:v>18.138888888890506</c:v>
                      </c:pt>
                      <c:pt idx="2613">
                        <c:v>18.145833333335759</c:v>
                      </c:pt>
                      <c:pt idx="2614">
                        <c:v>18.152777777781012</c:v>
                      </c:pt>
                      <c:pt idx="2615">
                        <c:v>18.159722222218988</c:v>
                      </c:pt>
                      <c:pt idx="2616">
                        <c:v>18.166666666664241</c:v>
                      </c:pt>
                      <c:pt idx="2617">
                        <c:v>18.173611111109494</c:v>
                      </c:pt>
                      <c:pt idx="2618">
                        <c:v>18.180555555554747</c:v>
                      </c:pt>
                      <c:pt idx="2619">
                        <c:v>18.1875</c:v>
                      </c:pt>
                      <c:pt idx="2620">
                        <c:v>18.194444444445253</c:v>
                      </c:pt>
                      <c:pt idx="2621">
                        <c:v>18.201388888890506</c:v>
                      </c:pt>
                      <c:pt idx="2622">
                        <c:v>18.208333333335759</c:v>
                      </c:pt>
                      <c:pt idx="2623">
                        <c:v>18.215277777781012</c:v>
                      </c:pt>
                      <c:pt idx="2624">
                        <c:v>18.222222222218988</c:v>
                      </c:pt>
                      <c:pt idx="2625">
                        <c:v>18.229166666664241</c:v>
                      </c:pt>
                      <c:pt idx="2626">
                        <c:v>18.236111111109494</c:v>
                      </c:pt>
                      <c:pt idx="2627">
                        <c:v>18.243055555554747</c:v>
                      </c:pt>
                      <c:pt idx="2628">
                        <c:v>18.25</c:v>
                      </c:pt>
                      <c:pt idx="2629">
                        <c:v>18.256944444445253</c:v>
                      </c:pt>
                      <c:pt idx="2630">
                        <c:v>18.263888888890506</c:v>
                      </c:pt>
                      <c:pt idx="2631">
                        <c:v>18.270833333335759</c:v>
                      </c:pt>
                      <c:pt idx="2632">
                        <c:v>18.277777777781012</c:v>
                      </c:pt>
                      <c:pt idx="2633">
                        <c:v>18.284722222218988</c:v>
                      </c:pt>
                      <c:pt idx="2634">
                        <c:v>18.291666666664241</c:v>
                      </c:pt>
                      <c:pt idx="2635">
                        <c:v>18.298611111109494</c:v>
                      </c:pt>
                      <c:pt idx="2636">
                        <c:v>18.305555555554747</c:v>
                      </c:pt>
                      <c:pt idx="2637">
                        <c:v>18.3125</c:v>
                      </c:pt>
                      <c:pt idx="2638">
                        <c:v>18.319444444445253</c:v>
                      </c:pt>
                      <c:pt idx="2639">
                        <c:v>18.326388888890506</c:v>
                      </c:pt>
                      <c:pt idx="2640">
                        <c:v>18.333333333335759</c:v>
                      </c:pt>
                      <c:pt idx="2641">
                        <c:v>18.340277777781012</c:v>
                      </c:pt>
                      <c:pt idx="2642">
                        <c:v>18.347222222218988</c:v>
                      </c:pt>
                      <c:pt idx="2643">
                        <c:v>18.354166666664241</c:v>
                      </c:pt>
                      <c:pt idx="2644">
                        <c:v>18.361111111109494</c:v>
                      </c:pt>
                      <c:pt idx="2645">
                        <c:v>18.368055555554747</c:v>
                      </c:pt>
                      <c:pt idx="2646">
                        <c:v>18.375</c:v>
                      </c:pt>
                      <c:pt idx="2647">
                        <c:v>18.381944444445253</c:v>
                      </c:pt>
                      <c:pt idx="2648">
                        <c:v>18.388888888890506</c:v>
                      </c:pt>
                      <c:pt idx="2649">
                        <c:v>18.395833333335759</c:v>
                      </c:pt>
                      <c:pt idx="2650">
                        <c:v>18.402777777781012</c:v>
                      </c:pt>
                      <c:pt idx="2651">
                        <c:v>18.409722222218988</c:v>
                      </c:pt>
                      <c:pt idx="2652">
                        <c:v>18.416666666664241</c:v>
                      </c:pt>
                      <c:pt idx="2653">
                        <c:v>18.423611111109494</c:v>
                      </c:pt>
                      <c:pt idx="2654">
                        <c:v>18.430555555554747</c:v>
                      </c:pt>
                      <c:pt idx="2655">
                        <c:v>18.4375</c:v>
                      </c:pt>
                      <c:pt idx="2656">
                        <c:v>18.444444444445253</c:v>
                      </c:pt>
                      <c:pt idx="2657">
                        <c:v>18.451388888890506</c:v>
                      </c:pt>
                      <c:pt idx="2658">
                        <c:v>18.458333333335759</c:v>
                      </c:pt>
                      <c:pt idx="2659">
                        <c:v>18.465277777781012</c:v>
                      </c:pt>
                      <c:pt idx="2660">
                        <c:v>18.472222222218988</c:v>
                      </c:pt>
                      <c:pt idx="2661">
                        <c:v>18.479166666664241</c:v>
                      </c:pt>
                      <c:pt idx="2662">
                        <c:v>18.486111111109494</c:v>
                      </c:pt>
                      <c:pt idx="2663">
                        <c:v>18.493055555554747</c:v>
                      </c:pt>
                      <c:pt idx="2664">
                        <c:v>18.5</c:v>
                      </c:pt>
                      <c:pt idx="2665">
                        <c:v>18.506944444445253</c:v>
                      </c:pt>
                      <c:pt idx="2666">
                        <c:v>18.513888888890506</c:v>
                      </c:pt>
                      <c:pt idx="2667">
                        <c:v>18.520833333335759</c:v>
                      </c:pt>
                      <c:pt idx="2668">
                        <c:v>18.527777777781012</c:v>
                      </c:pt>
                      <c:pt idx="2669">
                        <c:v>18.534722222218988</c:v>
                      </c:pt>
                      <c:pt idx="2670">
                        <c:v>18.541666666664241</c:v>
                      </c:pt>
                      <c:pt idx="2671">
                        <c:v>18.548611111109494</c:v>
                      </c:pt>
                      <c:pt idx="2672">
                        <c:v>18.555555555554747</c:v>
                      </c:pt>
                      <c:pt idx="2673">
                        <c:v>18.5625</c:v>
                      </c:pt>
                      <c:pt idx="2674">
                        <c:v>18.569444444445253</c:v>
                      </c:pt>
                      <c:pt idx="2675">
                        <c:v>18.576388888890506</c:v>
                      </c:pt>
                      <c:pt idx="2676">
                        <c:v>18.583333333335759</c:v>
                      </c:pt>
                      <c:pt idx="2677">
                        <c:v>18.590277777781012</c:v>
                      </c:pt>
                      <c:pt idx="2678">
                        <c:v>18.597222222218988</c:v>
                      </c:pt>
                      <c:pt idx="2679">
                        <c:v>18.604166666664241</c:v>
                      </c:pt>
                      <c:pt idx="2680">
                        <c:v>18.611111111109494</c:v>
                      </c:pt>
                      <c:pt idx="2681">
                        <c:v>18.618055555554747</c:v>
                      </c:pt>
                      <c:pt idx="2682">
                        <c:v>18.625</c:v>
                      </c:pt>
                      <c:pt idx="2683">
                        <c:v>18.631944444445253</c:v>
                      </c:pt>
                      <c:pt idx="2684">
                        <c:v>18.638888888890506</c:v>
                      </c:pt>
                      <c:pt idx="2685">
                        <c:v>18.645833333335759</c:v>
                      </c:pt>
                      <c:pt idx="2686">
                        <c:v>18.652777777781012</c:v>
                      </c:pt>
                      <c:pt idx="2687">
                        <c:v>18.659722222218988</c:v>
                      </c:pt>
                      <c:pt idx="2688">
                        <c:v>18.666666666664241</c:v>
                      </c:pt>
                      <c:pt idx="2689">
                        <c:v>18.673611111109494</c:v>
                      </c:pt>
                      <c:pt idx="2690">
                        <c:v>18.680555555554747</c:v>
                      </c:pt>
                      <c:pt idx="2691">
                        <c:v>18.6875</c:v>
                      </c:pt>
                      <c:pt idx="2692">
                        <c:v>18.694444444445253</c:v>
                      </c:pt>
                      <c:pt idx="2693">
                        <c:v>18.701388888890506</c:v>
                      </c:pt>
                      <c:pt idx="2694">
                        <c:v>18.708333333335759</c:v>
                      </c:pt>
                      <c:pt idx="2695">
                        <c:v>18.715277777781012</c:v>
                      </c:pt>
                      <c:pt idx="2696">
                        <c:v>18.722222222218988</c:v>
                      </c:pt>
                      <c:pt idx="2697">
                        <c:v>18.729166666664241</c:v>
                      </c:pt>
                      <c:pt idx="2698">
                        <c:v>18.736111111109494</c:v>
                      </c:pt>
                      <c:pt idx="2699">
                        <c:v>18.743055555554747</c:v>
                      </c:pt>
                      <c:pt idx="2700">
                        <c:v>18.75</c:v>
                      </c:pt>
                      <c:pt idx="2701">
                        <c:v>18.756944444445253</c:v>
                      </c:pt>
                      <c:pt idx="2702">
                        <c:v>18.763888888890506</c:v>
                      </c:pt>
                      <c:pt idx="2703">
                        <c:v>18.770833333335759</c:v>
                      </c:pt>
                      <c:pt idx="2704">
                        <c:v>18.777777777781012</c:v>
                      </c:pt>
                      <c:pt idx="2705">
                        <c:v>18.784722222218988</c:v>
                      </c:pt>
                      <c:pt idx="2706">
                        <c:v>18.791666666664241</c:v>
                      </c:pt>
                      <c:pt idx="2707">
                        <c:v>18.798611111109494</c:v>
                      </c:pt>
                      <c:pt idx="2708">
                        <c:v>18.805555555554747</c:v>
                      </c:pt>
                      <c:pt idx="2709">
                        <c:v>18.8125</c:v>
                      </c:pt>
                      <c:pt idx="2710">
                        <c:v>18.819444444445253</c:v>
                      </c:pt>
                      <c:pt idx="2711">
                        <c:v>18.826388888890506</c:v>
                      </c:pt>
                      <c:pt idx="2712">
                        <c:v>18.833333333335759</c:v>
                      </c:pt>
                      <c:pt idx="2713">
                        <c:v>18.840277777781012</c:v>
                      </c:pt>
                      <c:pt idx="2714">
                        <c:v>18.847222222218988</c:v>
                      </c:pt>
                      <c:pt idx="2715">
                        <c:v>18.854166666664241</c:v>
                      </c:pt>
                      <c:pt idx="2716">
                        <c:v>18.861111111109494</c:v>
                      </c:pt>
                      <c:pt idx="2717">
                        <c:v>18.868055555554747</c:v>
                      </c:pt>
                      <c:pt idx="2718">
                        <c:v>18.875</c:v>
                      </c:pt>
                      <c:pt idx="2719">
                        <c:v>18.881944444445253</c:v>
                      </c:pt>
                      <c:pt idx="2720">
                        <c:v>18.888888888890506</c:v>
                      </c:pt>
                      <c:pt idx="2721">
                        <c:v>18.895833333335759</c:v>
                      </c:pt>
                      <c:pt idx="2722">
                        <c:v>18.902777777781012</c:v>
                      </c:pt>
                      <c:pt idx="2723">
                        <c:v>18.909722222218988</c:v>
                      </c:pt>
                      <c:pt idx="2724">
                        <c:v>18.916666666664241</c:v>
                      </c:pt>
                      <c:pt idx="2725">
                        <c:v>18.923611111109494</c:v>
                      </c:pt>
                      <c:pt idx="2726">
                        <c:v>18.930555555554747</c:v>
                      </c:pt>
                      <c:pt idx="2727">
                        <c:v>18.9375</c:v>
                      </c:pt>
                      <c:pt idx="2728">
                        <c:v>18.944444444445253</c:v>
                      </c:pt>
                      <c:pt idx="2729">
                        <c:v>18.951388888890506</c:v>
                      </c:pt>
                      <c:pt idx="2730">
                        <c:v>18.958333333335759</c:v>
                      </c:pt>
                      <c:pt idx="2731">
                        <c:v>18.965277777781012</c:v>
                      </c:pt>
                      <c:pt idx="2732">
                        <c:v>18.972222222218988</c:v>
                      </c:pt>
                      <c:pt idx="2733">
                        <c:v>18.979166666664241</c:v>
                      </c:pt>
                      <c:pt idx="2734">
                        <c:v>18.986111111109494</c:v>
                      </c:pt>
                      <c:pt idx="2735">
                        <c:v>18.993055555554747</c:v>
                      </c:pt>
                      <c:pt idx="2736">
                        <c:v>19</c:v>
                      </c:pt>
                      <c:pt idx="2737">
                        <c:v>19.006944444445253</c:v>
                      </c:pt>
                      <c:pt idx="2738">
                        <c:v>19.013888888890506</c:v>
                      </c:pt>
                      <c:pt idx="2739">
                        <c:v>19.020833333335759</c:v>
                      </c:pt>
                      <c:pt idx="2740">
                        <c:v>19.027777777781012</c:v>
                      </c:pt>
                      <c:pt idx="2741">
                        <c:v>19.034722222218988</c:v>
                      </c:pt>
                      <c:pt idx="2742">
                        <c:v>19.041666666664241</c:v>
                      </c:pt>
                      <c:pt idx="2743">
                        <c:v>19.048611111109494</c:v>
                      </c:pt>
                      <c:pt idx="2744">
                        <c:v>19.055555555554747</c:v>
                      </c:pt>
                      <c:pt idx="2745">
                        <c:v>19.0625</c:v>
                      </c:pt>
                      <c:pt idx="2746">
                        <c:v>19.069444444445253</c:v>
                      </c:pt>
                      <c:pt idx="2747">
                        <c:v>19.076388888890506</c:v>
                      </c:pt>
                      <c:pt idx="2748">
                        <c:v>19.083333333335759</c:v>
                      </c:pt>
                      <c:pt idx="2749">
                        <c:v>19.090277777781012</c:v>
                      </c:pt>
                      <c:pt idx="2750">
                        <c:v>19.097222222218988</c:v>
                      </c:pt>
                      <c:pt idx="2751">
                        <c:v>19.104166666664241</c:v>
                      </c:pt>
                      <c:pt idx="2752">
                        <c:v>19.111111111109494</c:v>
                      </c:pt>
                      <c:pt idx="2753">
                        <c:v>19.118055555554747</c:v>
                      </c:pt>
                      <c:pt idx="2754">
                        <c:v>19.125</c:v>
                      </c:pt>
                      <c:pt idx="2755">
                        <c:v>19.131944444445253</c:v>
                      </c:pt>
                      <c:pt idx="2756">
                        <c:v>19.138888888890506</c:v>
                      </c:pt>
                      <c:pt idx="2757">
                        <c:v>19.145833333335759</c:v>
                      </c:pt>
                      <c:pt idx="2758">
                        <c:v>19.152777777781012</c:v>
                      </c:pt>
                      <c:pt idx="2759">
                        <c:v>19.159722222218988</c:v>
                      </c:pt>
                      <c:pt idx="2760">
                        <c:v>19.166666666664241</c:v>
                      </c:pt>
                      <c:pt idx="2761">
                        <c:v>19.173611111109494</c:v>
                      </c:pt>
                      <c:pt idx="2762">
                        <c:v>19.180555555554747</c:v>
                      </c:pt>
                      <c:pt idx="2763">
                        <c:v>19.1875</c:v>
                      </c:pt>
                      <c:pt idx="2764">
                        <c:v>19.194444444445253</c:v>
                      </c:pt>
                      <c:pt idx="2765">
                        <c:v>19.201388888890506</c:v>
                      </c:pt>
                      <c:pt idx="2766">
                        <c:v>19.208333333335759</c:v>
                      </c:pt>
                      <c:pt idx="2767">
                        <c:v>19.215277777781012</c:v>
                      </c:pt>
                      <c:pt idx="2768">
                        <c:v>19.222222222218988</c:v>
                      </c:pt>
                      <c:pt idx="2769">
                        <c:v>19.229166666664241</c:v>
                      </c:pt>
                      <c:pt idx="2770">
                        <c:v>19.236111111109494</c:v>
                      </c:pt>
                      <c:pt idx="2771">
                        <c:v>19.243055555554747</c:v>
                      </c:pt>
                      <c:pt idx="2772">
                        <c:v>19.25</c:v>
                      </c:pt>
                      <c:pt idx="2773">
                        <c:v>19.256944444445253</c:v>
                      </c:pt>
                      <c:pt idx="2774">
                        <c:v>19.263888888890506</c:v>
                      </c:pt>
                      <c:pt idx="2775">
                        <c:v>19.270833333335759</c:v>
                      </c:pt>
                      <c:pt idx="2776">
                        <c:v>19.277777777781012</c:v>
                      </c:pt>
                      <c:pt idx="2777">
                        <c:v>19.284722222218988</c:v>
                      </c:pt>
                      <c:pt idx="2778">
                        <c:v>19.291666666664241</c:v>
                      </c:pt>
                      <c:pt idx="2779">
                        <c:v>19.298611111109494</c:v>
                      </c:pt>
                      <c:pt idx="2780">
                        <c:v>19.305555555554747</c:v>
                      </c:pt>
                      <c:pt idx="2781">
                        <c:v>19.3125</c:v>
                      </c:pt>
                      <c:pt idx="2782">
                        <c:v>19.319444444445253</c:v>
                      </c:pt>
                      <c:pt idx="2783">
                        <c:v>19.326388888890506</c:v>
                      </c:pt>
                      <c:pt idx="2784">
                        <c:v>19.333333333335759</c:v>
                      </c:pt>
                      <c:pt idx="2785">
                        <c:v>19.340277777781012</c:v>
                      </c:pt>
                      <c:pt idx="2786">
                        <c:v>19.347222222218988</c:v>
                      </c:pt>
                      <c:pt idx="2787">
                        <c:v>19.354166666664241</c:v>
                      </c:pt>
                      <c:pt idx="2788">
                        <c:v>19.361111111109494</c:v>
                      </c:pt>
                      <c:pt idx="2789">
                        <c:v>19.368055555554747</c:v>
                      </c:pt>
                      <c:pt idx="2790">
                        <c:v>19.375</c:v>
                      </c:pt>
                      <c:pt idx="2791">
                        <c:v>19.381944444445253</c:v>
                      </c:pt>
                      <c:pt idx="2792">
                        <c:v>19.388888888890506</c:v>
                      </c:pt>
                      <c:pt idx="2793">
                        <c:v>19.395833333335759</c:v>
                      </c:pt>
                      <c:pt idx="2794">
                        <c:v>19.402777777781012</c:v>
                      </c:pt>
                      <c:pt idx="2795">
                        <c:v>19.409722222218988</c:v>
                      </c:pt>
                      <c:pt idx="2796">
                        <c:v>19.416666666664241</c:v>
                      </c:pt>
                      <c:pt idx="2797">
                        <c:v>19.423611111109494</c:v>
                      </c:pt>
                      <c:pt idx="2798">
                        <c:v>19.430555555554747</c:v>
                      </c:pt>
                      <c:pt idx="2799">
                        <c:v>19.4375</c:v>
                      </c:pt>
                      <c:pt idx="2800">
                        <c:v>19.444444444445253</c:v>
                      </c:pt>
                      <c:pt idx="2801">
                        <c:v>19.451388888890506</c:v>
                      </c:pt>
                      <c:pt idx="2802">
                        <c:v>19.458333333335759</c:v>
                      </c:pt>
                      <c:pt idx="2803">
                        <c:v>19.465277777781012</c:v>
                      </c:pt>
                      <c:pt idx="2804">
                        <c:v>19.472222222218988</c:v>
                      </c:pt>
                      <c:pt idx="2805">
                        <c:v>19.479166666664241</c:v>
                      </c:pt>
                      <c:pt idx="2806">
                        <c:v>19.486111111109494</c:v>
                      </c:pt>
                      <c:pt idx="2807">
                        <c:v>19.493055555554747</c:v>
                      </c:pt>
                      <c:pt idx="2808">
                        <c:v>19.5</c:v>
                      </c:pt>
                      <c:pt idx="2809">
                        <c:v>19.506944444445253</c:v>
                      </c:pt>
                      <c:pt idx="2810">
                        <c:v>19.513888888890506</c:v>
                      </c:pt>
                      <c:pt idx="2811">
                        <c:v>19.520833333335759</c:v>
                      </c:pt>
                      <c:pt idx="2812">
                        <c:v>19.527777777781012</c:v>
                      </c:pt>
                      <c:pt idx="2813">
                        <c:v>19.534722222218988</c:v>
                      </c:pt>
                      <c:pt idx="2814">
                        <c:v>19.541666666664241</c:v>
                      </c:pt>
                      <c:pt idx="2815">
                        <c:v>19.548611111109494</c:v>
                      </c:pt>
                      <c:pt idx="2816">
                        <c:v>19.555555555554747</c:v>
                      </c:pt>
                      <c:pt idx="2817">
                        <c:v>19.5625</c:v>
                      </c:pt>
                      <c:pt idx="2818">
                        <c:v>19.569444444445253</c:v>
                      </c:pt>
                      <c:pt idx="2819">
                        <c:v>19.576388888890506</c:v>
                      </c:pt>
                      <c:pt idx="2820">
                        <c:v>19.583333333335759</c:v>
                      </c:pt>
                      <c:pt idx="2821">
                        <c:v>19.590277777781012</c:v>
                      </c:pt>
                      <c:pt idx="2822">
                        <c:v>19.597222222218988</c:v>
                      </c:pt>
                      <c:pt idx="2823">
                        <c:v>19.604166666664241</c:v>
                      </c:pt>
                      <c:pt idx="2824">
                        <c:v>19.611111111109494</c:v>
                      </c:pt>
                      <c:pt idx="2825">
                        <c:v>19.618055555554747</c:v>
                      </c:pt>
                      <c:pt idx="2826">
                        <c:v>19.625</c:v>
                      </c:pt>
                      <c:pt idx="2827">
                        <c:v>19.631944444445253</c:v>
                      </c:pt>
                      <c:pt idx="2828">
                        <c:v>19.638888888890506</c:v>
                      </c:pt>
                      <c:pt idx="2829">
                        <c:v>19.645833333335759</c:v>
                      </c:pt>
                      <c:pt idx="2830">
                        <c:v>19.652777777781012</c:v>
                      </c:pt>
                      <c:pt idx="2831">
                        <c:v>19.659722222218988</c:v>
                      </c:pt>
                      <c:pt idx="2832">
                        <c:v>19.666666666664241</c:v>
                      </c:pt>
                      <c:pt idx="2833">
                        <c:v>19.673611111109494</c:v>
                      </c:pt>
                      <c:pt idx="2834">
                        <c:v>19.680555555554747</c:v>
                      </c:pt>
                      <c:pt idx="2835">
                        <c:v>19.6875</c:v>
                      </c:pt>
                      <c:pt idx="2836">
                        <c:v>19.694444444445253</c:v>
                      </c:pt>
                      <c:pt idx="2837">
                        <c:v>19.701388888890506</c:v>
                      </c:pt>
                      <c:pt idx="2838">
                        <c:v>19.708333333335759</c:v>
                      </c:pt>
                      <c:pt idx="2839">
                        <c:v>19.715277777781012</c:v>
                      </c:pt>
                      <c:pt idx="2840">
                        <c:v>19.722222222218988</c:v>
                      </c:pt>
                      <c:pt idx="2841">
                        <c:v>19.729166666664241</c:v>
                      </c:pt>
                      <c:pt idx="2842">
                        <c:v>19.736111111109494</c:v>
                      </c:pt>
                      <c:pt idx="2843">
                        <c:v>19.743055555554747</c:v>
                      </c:pt>
                      <c:pt idx="2844">
                        <c:v>19.75</c:v>
                      </c:pt>
                      <c:pt idx="2845">
                        <c:v>19.756944444445253</c:v>
                      </c:pt>
                      <c:pt idx="2846">
                        <c:v>19.763888888890506</c:v>
                      </c:pt>
                      <c:pt idx="2847">
                        <c:v>19.770833333335759</c:v>
                      </c:pt>
                      <c:pt idx="2848">
                        <c:v>19.777777777781012</c:v>
                      </c:pt>
                      <c:pt idx="2849">
                        <c:v>19.784722222218988</c:v>
                      </c:pt>
                      <c:pt idx="2850">
                        <c:v>19.791666666664241</c:v>
                      </c:pt>
                      <c:pt idx="2851">
                        <c:v>19.798611111109494</c:v>
                      </c:pt>
                      <c:pt idx="2852">
                        <c:v>19.805555555554747</c:v>
                      </c:pt>
                      <c:pt idx="2853">
                        <c:v>19.8125</c:v>
                      </c:pt>
                      <c:pt idx="2854">
                        <c:v>19.819444444445253</c:v>
                      </c:pt>
                      <c:pt idx="2855">
                        <c:v>19.826388888890506</c:v>
                      </c:pt>
                      <c:pt idx="2856">
                        <c:v>19.833333333335759</c:v>
                      </c:pt>
                      <c:pt idx="2857">
                        <c:v>19.840277777781012</c:v>
                      </c:pt>
                      <c:pt idx="2858">
                        <c:v>19.847222222218988</c:v>
                      </c:pt>
                      <c:pt idx="2859">
                        <c:v>19.854166666664241</c:v>
                      </c:pt>
                      <c:pt idx="2860">
                        <c:v>19.861111111109494</c:v>
                      </c:pt>
                      <c:pt idx="2861">
                        <c:v>19.868055555554747</c:v>
                      </c:pt>
                      <c:pt idx="2862">
                        <c:v>19.875</c:v>
                      </c:pt>
                      <c:pt idx="2863">
                        <c:v>19.881944444445253</c:v>
                      </c:pt>
                      <c:pt idx="2864">
                        <c:v>19.888888888890506</c:v>
                      </c:pt>
                      <c:pt idx="2865">
                        <c:v>19.895833333335759</c:v>
                      </c:pt>
                      <c:pt idx="2866">
                        <c:v>19.902777777781012</c:v>
                      </c:pt>
                      <c:pt idx="2867">
                        <c:v>19.909722222218988</c:v>
                      </c:pt>
                      <c:pt idx="2868">
                        <c:v>19.916666666664241</c:v>
                      </c:pt>
                      <c:pt idx="2869">
                        <c:v>19.923611111109494</c:v>
                      </c:pt>
                      <c:pt idx="2870">
                        <c:v>19.930555555554747</c:v>
                      </c:pt>
                      <c:pt idx="2871">
                        <c:v>19.9375</c:v>
                      </c:pt>
                      <c:pt idx="2872">
                        <c:v>19.944444444445253</c:v>
                      </c:pt>
                      <c:pt idx="2873">
                        <c:v>19.951388888890506</c:v>
                      </c:pt>
                      <c:pt idx="2874">
                        <c:v>19.958333333335759</c:v>
                      </c:pt>
                      <c:pt idx="2875">
                        <c:v>19.965277777781012</c:v>
                      </c:pt>
                      <c:pt idx="2876">
                        <c:v>19.972222222218988</c:v>
                      </c:pt>
                      <c:pt idx="2877">
                        <c:v>19.979166666664241</c:v>
                      </c:pt>
                      <c:pt idx="2878">
                        <c:v>19.986111111109494</c:v>
                      </c:pt>
                      <c:pt idx="2879">
                        <c:v>19.993055555554747</c:v>
                      </c:pt>
                      <c:pt idx="2880">
                        <c:v>20</c:v>
                      </c:pt>
                      <c:pt idx="2881">
                        <c:v>20.006944444445253</c:v>
                      </c:pt>
                      <c:pt idx="2882">
                        <c:v>20.013888888890506</c:v>
                      </c:pt>
                      <c:pt idx="2883">
                        <c:v>20.020833333335759</c:v>
                      </c:pt>
                      <c:pt idx="2884">
                        <c:v>20.027777777781012</c:v>
                      </c:pt>
                      <c:pt idx="2885">
                        <c:v>20.034722222218988</c:v>
                      </c:pt>
                      <c:pt idx="2886">
                        <c:v>20.041666666664241</c:v>
                      </c:pt>
                      <c:pt idx="2887">
                        <c:v>20.048611111109494</c:v>
                      </c:pt>
                      <c:pt idx="2888">
                        <c:v>20.055555555554747</c:v>
                      </c:pt>
                      <c:pt idx="2889">
                        <c:v>20.0625</c:v>
                      </c:pt>
                      <c:pt idx="2890">
                        <c:v>20.069444444445253</c:v>
                      </c:pt>
                      <c:pt idx="2891">
                        <c:v>20.076388888890506</c:v>
                      </c:pt>
                      <c:pt idx="2892">
                        <c:v>20.083333333335759</c:v>
                      </c:pt>
                      <c:pt idx="2893">
                        <c:v>20.090277777781012</c:v>
                      </c:pt>
                      <c:pt idx="2894">
                        <c:v>20.097222222218988</c:v>
                      </c:pt>
                      <c:pt idx="2895">
                        <c:v>20.104166666664241</c:v>
                      </c:pt>
                      <c:pt idx="2896">
                        <c:v>20.111111111109494</c:v>
                      </c:pt>
                      <c:pt idx="2897">
                        <c:v>20.118055555554747</c:v>
                      </c:pt>
                      <c:pt idx="2898">
                        <c:v>20.125</c:v>
                      </c:pt>
                      <c:pt idx="2899">
                        <c:v>20.131944444445253</c:v>
                      </c:pt>
                      <c:pt idx="2900">
                        <c:v>20.138888888890506</c:v>
                      </c:pt>
                      <c:pt idx="2901">
                        <c:v>20.145833333335759</c:v>
                      </c:pt>
                      <c:pt idx="2902">
                        <c:v>20.152777777781012</c:v>
                      </c:pt>
                      <c:pt idx="2903">
                        <c:v>20.159722222218988</c:v>
                      </c:pt>
                      <c:pt idx="2904">
                        <c:v>20.166666666664241</c:v>
                      </c:pt>
                      <c:pt idx="2905">
                        <c:v>20.173611111109494</c:v>
                      </c:pt>
                      <c:pt idx="2906">
                        <c:v>20.180555555554747</c:v>
                      </c:pt>
                      <c:pt idx="2907">
                        <c:v>20.1875</c:v>
                      </c:pt>
                      <c:pt idx="2908">
                        <c:v>20.194444444445253</c:v>
                      </c:pt>
                      <c:pt idx="2909">
                        <c:v>20.201388888890506</c:v>
                      </c:pt>
                      <c:pt idx="2910">
                        <c:v>20.208333333335759</c:v>
                      </c:pt>
                      <c:pt idx="2911">
                        <c:v>20.215277777781012</c:v>
                      </c:pt>
                      <c:pt idx="2912">
                        <c:v>20.222222222218988</c:v>
                      </c:pt>
                      <c:pt idx="2913">
                        <c:v>20.229166666664241</c:v>
                      </c:pt>
                      <c:pt idx="2914">
                        <c:v>20.236111111109494</c:v>
                      </c:pt>
                      <c:pt idx="2915">
                        <c:v>20.243055555554747</c:v>
                      </c:pt>
                      <c:pt idx="2916">
                        <c:v>20.25</c:v>
                      </c:pt>
                      <c:pt idx="2917">
                        <c:v>20.256944444445253</c:v>
                      </c:pt>
                      <c:pt idx="2918">
                        <c:v>20.263888888890506</c:v>
                      </c:pt>
                      <c:pt idx="2919">
                        <c:v>20.270833333335759</c:v>
                      </c:pt>
                      <c:pt idx="2920">
                        <c:v>20.277777777781012</c:v>
                      </c:pt>
                      <c:pt idx="2921">
                        <c:v>20.284722222218988</c:v>
                      </c:pt>
                      <c:pt idx="2922">
                        <c:v>20.291666666664241</c:v>
                      </c:pt>
                      <c:pt idx="2923">
                        <c:v>20.298611111109494</c:v>
                      </c:pt>
                      <c:pt idx="2924">
                        <c:v>20.305555555554747</c:v>
                      </c:pt>
                      <c:pt idx="2925">
                        <c:v>20.3125</c:v>
                      </c:pt>
                      <c:pt idx="2926">
                        <c:v>20.319444444445253</c:v>
                      </c:pt>
                      <c:pt idx="2927">
                        <c:v>20.326388888890506</c:v>
                      </c:pt>
                      <c:pt idx="2928">
                        <c:v>20.333333333335759</c:v>
                      </c:pt>
                      <c:pt idx="2929">
                        <c:v>20.340277777781012</c:v>
                      </c:pt>
                      <c:pt idx="2930">
                        <c:v>20.347222222218988</c:v>
                      </c:pt>
                      <c:pt idx="2931">
                        <c:v>20.354166666664241</c:v>
                      </c:pt>
                      <c:pt idx="2932">
                        <c:v>20.361111111109494</c:v>
                      </c:pt>
                      <c:pt idx="2933">
                        <c:v>20.368055555554747</c:v>
                      </c:pt>
                      <c:pt idx="2934">
                        <c:v>20.375</c:v>
                      </c:pt>
                      <c:pt idx="2935">
                        <c:v>20.381944444445253</c:v>
                      </c:pt>
                      <c:pt idx="2936">
                        <c:v>20.388888888890506</c:v>
                      </c:pt>
                      <c:pt idx="2937">
                        <c:v>20.395833333335759</c:v>
                      </c:pt>
                      <c:pt idx="2938">
                        <c:v>20.402777777781012</c:v>
                      </c:pt>
                      <c:pt idx="2939">
                        <c:v>20.409722222218988</c:v>
                      </c:pt>
                      <c:pt idx="2940">
                        <c:v>20.416666666664241</c:v>
                      </c:pt>
                      <c:pt idx="2941">
                        <c:v>20.423611111109494</c:v>
                      </c:pt>
                      <c:pt idx="2942">
                        <c:v>20.430555555554747</c:v>
                      </c:pt>
                      <c:pt idx="2943">
                        <c:v>20.4375</c:v>
                      </c:pt>
                      <c:pt idx="2944">
                        <c:v>20.444444444445253</c:v>
                      </c:pt>
                      <c:pt idx="2945">
                        <c:v>20.451388888890506</c:v>
                      </c:pt>
                      <c:pt idx="2946">
                        <c:v>20.458333333335759</c:v>
                      </c:pt>
                      <c:pt idx="2947">
                        <c:v>20.465277777781012</c:v>
                      </c:pt>
                      <c:pt idx="2948">
                        <c:v>20.472222222218988</c:v>
                      </c:pt>
                      <c:pt idx="2949">
                        <c:v>20.479166666664241</c:v>
                      </c:pt>
                      <c:pt idx="2950">
                        <c:v>20.486111111109494</c:v>
                      </c:pt>
                      <c:pt idx="2951">
                        <c:v>20.493055555554747</c:v>
                      </c:pt>
                      <c:pt idx="2952">
                        <c:v>20.5</c:v>
                      </c:pt>
                      <c:pt idx="2953">
                        <c:v>20.506944444445253</c:v>
                      </c:pt>
                      <c:pt idx="2954">
                        <c:v>20.513888888890506</c:v>
                      </c:pt>
                      <c:pt idx="2955">
                        <c:v>20.520833333335759</c:v>
                      </c:pt>
                      <c:pt idx="2956">
                        <c:v>20.527777777781012</c:v>
                      </c:pt>
                      <c:pt idx="2957">
                        <c:v>20.534722222218988</c:v>
                      </c:pt>
                      <c:pt idx="2958">
                        <c:v>20.541666666664241</c:v>
                      </c:pt>
                      <c:pt idx="2959">
                        <c:v>20.548611111109494</c:v>
                      </c:pt>
                      <c:pt idx="2960">
                        <c:v>20.555555555554747</c:v>
                      </c:pt>
                      <c:pt idx="2961">
                        <c:v>20.5625</c:v>
                      </c:pt>
                      <c:pt idx="2962">
                        <c:v>20.569444444445253</c:v>
                      </c:pt>
                      <c:pt idx="2963">
                        <c:v>20.576388888890506</c:v>
                      </c:pt>
                      <c:pt idx="2964">
                        <c:v>20.583333333335759</c:v>
                      </c:pt>
                      <c:pt idx="2965">
                        <c:v>20.590277777781012</c:v>
                      </c:pt>
                      <c:pt idx="2966">
                        <c:v>20.597222222218988</c:v>
                      </c:pt>
                      <c:pt idx="2967">
                        <c:v>20.604166666664241</c:v>
                      </c:pt>
                      <c:pt idx="2968">
                        <c:v>20.611111111109494</c:v>
                      </c:pt>
                      <c:pt idx="2969">
                        <c:v>20.618055555554747</c:v>
                      </c:pt>
                      <c:pt idx="2970">
                        <c:v>20.625</c:v>
                      </c:pt>
                      <c:pt idx="2971">
                        <c:v>20.631944444445253</c:v>
                      </c:pt>
                      <c:pt idx="2972">
                        <c:v>20.638888888890506</c:v>
                      </c:pt>
                      <c:pt idx="2973">
                        <c:v>20.645833333335759</c:v>
                      </c:pt>
                      <c:pt idx="2974">
                        <c:v>20.652777777781012</c:v>
                      </c:pt>
                      <c:pt idx="2975">
                        <c:v>20.659722222218988</c:v>
                      </c:pt>
                      <c:pt idx="2976">
                        <c:v>20.666666666664241</c:v>
                      </c:pt>
                      <c:pt idx="2977">
                        <c:v>20.673611111109494</c:v>
                      </c:pt>
                      <c:pt idx="2978">
                        <c:v>20.680555555554747</c:v>
                      </c:pt>
                      <c:pt idx="2979">
                        <c:v>20.6875</c:v>
                      </c:pt>
                      <c:pt idx="2980">
                        <c:v>20.694444444445253</c:v>
                      </c:pt>
                      <c:pt idx="2981">
                        <c:v>20.701388888890506</c:v>
                      </c:pt>
                      <c:pt idx="2982">
                        <c:v>20.708333333335759</c:v>
                      </c:pt>
                      <c:pt idx="2983">
                        <c:v>20.715277777781012</c:v>
                      </c:pt>
                      <c:pt idx="2984">
                        <c:v>20.722222222218988</c:v>
                      </c:pt>
                      <c:pt idx="2985">
                        <c:v>20.729166666664241</c:v>
                      </c:pt>
                      <c:pt idx="2986">
                        <c:v>20.736111111109494</c:v>
                      </c:pt>
                      <c:pt idx="2987">
                        <c:v>20.743055555554747</c:v>
                      </c:pt>
                      <c:pt idx="2988">
                        <c:v>20.75</c:v>
                      </c:pt>
                      <c:pt idx="2989">
                        <c:v>20.756944444445253</c:v>
                      </c:pt>
                      <c:pt idx="2990">
                        <c:v>20.763888888890506</c:v>
                      </c:pt>
                      <c:pt idx="2991">
                        <c:v>20.770833333335759</c:v>
                      </c:pt>
                      <c:pt idx="2992">
                        <c:v>20.777777777781012</c:v>
                      </c:pt>
                      <c:pt idx="2993">
                        <c:v>20.784722222218988</c:v>
                      </c:pt>
                      <c:pt idx="2994">
                        <c:v>20.791666666664241</c:v>
                      </c:pt>
                      <c:pt idx="2995">
                        <c:v>20.798611111109494</c:v>
                      </c:pt>
                      <c:pt idx="2996">
                        <c:v>20.805555555554747</c:v>
                      </c:pt>
                      <c:pt idx="2997">
                        <c:v>20.8125</c:v>
                      </c:pt>
                      <c:pt idx="2998">
                        <c:v>20.819444444445253</c:v>
                      </c:pt>
                      <c:pt idx="2999">
                        <c:v>20.826388888890506</c:v>
                      </c:pt>
                      <c:pt idx="3000">
                        <c:v>20.833333333335759</c:v>
                      </c:pt>
                      <c:pt idx="3001">
                        <c:v>20.840277777781012</c:v>
                      </c:pt>
                      <c:pt idx="3002">
                        <c:v>20.847222222218988</c:v>
                      </c:pt>
                      <c:pt idx="3003">
                        <c:v>20.854166666664241</c:v>
                      </c:pt>
                      <c:pt idx="3004">
                        <c:v>20.861111111109494</c:v>
                      </c:pt>
                      <c:pt idx="3005">
                        <c:v>20.868055555554747</c:v>
                      </c:pt>
                      <c:pt idx="3006">
                        <c:v>20.875</c:v>
                      </c:pt>
                      <c:pt idx="3007">
                        <c:v>20.881944444445253</c:v>
                      </c:pt>
                      <c:pt idx="3008">
                        <c:v>20.888888888890506</c:v>
                      </c:pt>
                      <c:pt idx="3009">
                        <c:v>20.895833333335759</c:v>
                      </c:pt>
                      <c:pt idx="3010">
                        <c:v>20.902777777781012</c:v>
                      </c:pt>
                      <c:pt idx="3011">
                        <c:v>20.909722222218988</c:v>
                      </c:pt>
                      <c:pt idx="3012">
                        <c:v>20.916666666664241</c:v>
                      </c:pt>
                      <c:pt idx="3013">
                        <c:v>20.923611111109494</c:v>
                      </c:pt>
                      <c:pt idx="3014">
                        <c:v>20.930555555554747</c:v>
                      </c:pt>
                      <c:pt idx="3015">
                        <c:v>20.9375</c:v>
                      </c:pt>
                      <c:pt idx="3016">
                        <c:v>20.944444444445253</c:v>
                      </c:pt>
                      <c:pt idx="3017">
                        <c:v>20.951388888890506</c:v>
                      </c:pt>
                      <c:pt idx="3018">
                        <c:v>20.958333333335759</c:v>
                      </c:pt>
                      <c:pt idx="3019">
                        <c:v>20.965277777781012</c:v>
                      </c:pt>
                      <c:pt idx="3020">
                        <c:v>20.972222222218988</c:v>
                      </c:pt>
                      <c:pt idx="3021">
                        <c:v>20.979166666664241</c:v>
                      </c:pt>
                      <c:pt idx="3022">
                        <c:v>20.986111111109494</c:v>
                      </c:pt>
                      <c:pt idx="3023">
                        <c:v>20.993055555554747</c:v>
                      </c:pt>
                      <c:pt idx="3024">
                        <c:v>21</c:v>
                      </c:pt>
                      <c:pt idx="3025">
                        <c:v>21.006944444445253</c:v>
                      </c:pt>
                      <c:pt idx="3026">
                        <c:v>21.013888888890506</c:v>
                      </c:pt>
                      <c:pt idx="3027">
                        <c:v>21.020833333335759</c:v>
                      </c:pt>
                      <c:pt idx="3028">
                        <c:v>21.027777777781012</c:v>
                      </c:pt>
                      <c:pt idx="3029">
                        <c:v>21.034722222218988</c:v>
                      </c:pt>
                      <c:pt idx="3030">
                        <c:v>21.041666666664241</c:v>
                      </c:pt>
                      <c:pt idx="3031">
                        <c:v>21.048611111109494</c:v>
                      </c:pt>
                      <c:pt idx="3032">
                        <c:v>21.055555555554747</c:v>
                      </c:pt>
                      <c:pt idx="3033">
                        <c:v>21.0625</c:v>
                      </c:pt>
                      <c:pt idx="3034">
                        <c:v>21.069444444445253</c:v>
                      </c:pt>
                      <c:pt idx="3035">
                        <c:v>21.076388888890506</c:v>
                      </c:pt>
                      <c:pt idx="3036">
                        <c:v>21.083333333335759</c:v>
                      </c:pt>
                      <c:pt idx="3037">
                        <c:v>21.090277777781012</c:v>
                      </c:pt>
                      <c:pt idx="3038">
                        <c:v>21.097222222218988</c:v>
                      </c:pt>
                      <c:pt idx="3039">
                        <c:v>21.104166666664241</c:v>
                      </c:pt>
                      <c:pt idx="3040">
                        <c:v>21.111111111109494</c:v>
                      </c:pt>
                      <c:pt idx="3041">
                        <c:v>21.118055555554747</c:v>
                      </c:pt>
                      <c:pt idx="3042">
                        <c:v>21.125</c:v>
                      </c:pt>
                      <c:pt idx="3043">
                        <c:v>21.131944444445253</c:v>
                      </c:pt>
                      <c:pt idx="3044">
                        <c:v>21.138888888890506</c:v>
                      </c:pt>
                      <c:pt idx="3045">
                        <c:v>21.145833333335759</c:v>
                      </c:pt>
                      <c:pt idx="3046">
                        <c:v>21.152777777781012</c:v>
                      </c:pt>
                      <c:pt idx="3047">
                        <c:v>21.159722222218988</c:v>
                      </c:pt>
                      <c:pt idx="3048">
                        <c:v>21.166666666664241</c:v>
                      </c:pt>
                      <c:pt idx="3049">
                        <c:v>21.173611111109494</c:v>
                      </c:pt>
                      <c:pt idx="3050">
                        <c:v>21.180555555554747</c:v>
                      </c:pt>
                      <c:pt idx="3051">
                        <c:v>21.1875</c:v>
                      </c:pt>
                      <c:pt idx="3052">
                        <c:v>21.194444444445253</c:v>
                      </c:pt>
                      <c:pt idx="3053">
                        <c:v>21.201388888890506</c:v>
                      </c:pt>
                      <c:pt idx="3054">
                        <c:v>21.208333333335759</c:v>
                      </c:pt>
                      <c:pt idx="3055">
                        <c:v>21.215277777781012</c:v>
                      </c:pt>
                      <c:pt idx="3056">
                        <c:v>21.222222222218988</c:v>
                      </c:pt>
                      <c:pt idx="3057">
                        <c:v>21.229166666664241</c:v>
                      </c:pt>
                      <c:pt idx="3058">
                        <c:v>21.236111111109494</c:v>
                      </c:pt>
                      <c:pt idx="3059">
                        <c:v>21.243055555554747</c:v>
                      </c:pt>
                      <c:pt idx="3060">
                        <c:v>21.25</c:v>
                      </c:pt>
                      <c:pt idx="3061">
                        <c:v>21.256944444445253</c:v>
                      </c:pt>
                      <c:pt idx="3062">
                        <c:v>21.263888888890506</c:v>
                      </c:pt>
                      <c:pt idx="3063">
                        <c:v>21.270833333335759</c:v>
                      </c:pt>
                      <c:pt idx="3064">
                        <c:v>21.277777777781012</c:v>
                      </c:pt>
                      <c:pt idx="3065">
                        <c:v>21.284722222218988</c:v>
                      </c:pt>
                      <c:pt idx="3066">
                        <c:v>21.291666666664241</c:v>
                      </c:pt>
                      <c:pt idx="3067">
                        <c:v>21.298611111109494</c:v>
                      </c:pt>
                      <c:pt idx="3068">
                        <c:v>21.305555555554747</c:v>
                      </c:pt>
                      <c:pt idx="3069">
                        <c:v>21.3125</c:v>
                      </c:pt>
                      <c:pt idx="3070">
                        <c:v>21.319444444445253</c:v>
                      </c:pt>
                      <c:pt idx="3071">
                        <c:v>21.326388888890506</c:v>
                      </c:pt>
                      <c:pt idx="3072">
                        <c:v>21.333333333335759</c:v>
                      </c:pt>
                      <c:pt idx="3073">
                        <c:v>21.340277777781012</c:v>
                      </c:pt>
                      <c:pt idx="3074">
                        <c:v>21.347222222218988</c:v>
                      </c:pt>
                      <c:pt idx="3075">
                        <c:v>21.354166666664241</c:v>
                      </c:pt>
                      <c:pt idx="3076">
                        <c:v>21.361111111109494</c:v>
                      </c:pt>
                      <c:pt idx="3077">
                        <c:v>21.368055555554747</c:v>
                      </c:pt>
                      <c:pt idx="3078">
                        <c:v>21.375</c:v>
                      </c:pt>
                      <c:pt idx="3079">
                        <c:v>21.381944444445253</c:v>
                      </c:pt>
                      <c:pt idx="3080">
                        <c:v>21.388888888890506</c:v>
                      </c:pt>
                      <c:pt idx="3081">
                        <c:v>21.395833333335759</c:v>
                      </c:pt>
                      <c:pt idx="3082">
                        <c:v>21.402777777781012</c:v>
                      </c:pt>
                      <c:pt idx="3083">
                        <c:v>21.409722222218988</c:v>
                      </c:pt>
                      <c:pt idx="3084">
                        <c:v>21.416666666664241</c:v>
                      </c:pt>
                      <c:pt idx="3085">
                        <c:v>21.423611111109494</c:v>
                      </c:pt>
                      <c:pt idx="3086">
                        <c:v>21.430555555554747</c:v>
                      </c:pt>
                      <c:pt idx="3087">
                        <c:v>21.4375</c:v>
                      </c:pt>
                      <c:pt idx="3088">
                        <c:v>21.444444444445253</c:v>
                      </c:pt>
                      <c:pt idx="3089">
                        <c:v>21.451388888890506</c:v>
                      </c:pt>
                      <c:pt idx="3090">
                        <c:v>21.458333333335759</c:v>
                      </c:pt>
                      <c:pt idx="3091">
                        <c:v>21.465277777781012</c:v>
                      </c:pt>
                      <c:pt idx="3092">
                        <c:v>21.472222222218988</c:v>
                      </c:pt>
                      <c:pt idx="3093">
                        <c:v>21.479166666664241</c:v>
                      </c:pt>
                      <c:pt idx="3094">
                        <c:v>21.486111111109494</c:v>
                      </c:pt>
                      <c:pt idx="3095">
                        <c:v>21.493055555554747</c:v>
                      </c:pt>
                      <c:pt idx="3096">
                        <c:v>21.5</c:v>
                      </c:pt>
                      <c:pt idx="3097">
                        <c:v>21.506944444445253</c:v>
                      </c:pt>
                      <c:pt idx="3098">
                        <c:v>21.513888888890506</c:v>
                      </c:pt>
                      <c:pt idx="3099">
                        <c:v>21.520833333335759</c:v>
                      </c:pt>
                      <c:pt idx="3100">
                        <c:v>21.527777777781012</c:v>
                      </c:pt>
                      <c:pt idx="3101">
                        <c:v>21.534722222218988</c:v>
                      </c:pt>
                      <c:pt idx="3102">
                        <c:v>21.541666666664241</c:v>
                      </c:pt>
                      <c:pt idx="3103">
                        <c:v>21.548611111109494</c:v>
                      </c:pt>
                      <c:pt idx="3104">
                        <c:v>21.555555555554747</c:v>
                      </c:pt>
                      <c:pt idx="3105">
                        <c:v>21.5625</c:v>
                      </c:pt>
                      <c:pt idx="3106">
                        <c:v>21.569444444445253</c:v>
                      </c:pt>
                      <c:pt idx="3107">
                        <c:v>21.576388888890506</c:v>
                      </c:pt>
                      <c:pt idx="3108">
                        <c:v>21.583333333335759</c:v>
                      </c:pt>
                      <c:pt idx="3109">
                        <c:v>21.590277777781012</c:v>
                      </c:pt>
                      <c:pt idx="3110">
                        <c:v>21.597222222218988</c:v>
                      </c:pt>
                      <c:pt idx="3111">
                        <c:v>21.604166666664241</c:v>
                      </c:pt>
                      <c:pt idx="3112">
                        <c:v>21.611111111109494</c:v>
                      </c:pt>
                      <c:pt idx="3113">
                        <c:v>21.618055555554747</c:v>
                      </c:pt>
                      <c:pt idx="3114">
                        <c:v>21.625</c:v>
                      </c:pt>
                      <c:pt idx="3115">
                        <c:v>21.631944444445253</c:v>
                      </c:pt>
                      <c:pt idx="3116">
                        <c:v>21.638888888890506</c:v>
                      </c:pt>
                      <c:pt idx="3117">
                        <c:v>21.645833333335759</c:v>
                      </c:pt>
                      <c:pt idx="3118">
                        <c:v>21.652777777781012</c:v>
                      </c:pt>
                      <c:pt idx="3119">
                        <c:v>21.659722222218988</c:v>
                      </c:pt>
                      <c:pt idx="3120">
                        <c:v>21.666666666664241</c:v>
                      </c:pt>
                      <c:pt idx="3121">
                        <c:v>21.673611111109494</c:v>
                      </c:pt>
                      <c:pt idx="3122">
                        <c:v>21.680555555554747</c:v>
                      </c:pt>
                      <c:pt idx="3123">
                        <c:v>21.6875</c:v>
                      </c:pt>
                      <c:pt idx="3124">
                        <c:v>21.694444444445253</c:v>
                      </c:pt>
                      <c:pt idx="3125">
                        <c:v>21.701388888890506</c:v>
                      </c:pt>
                      <c:pt idx="3126">
                        <c:v>21.708333333335759</c:v>
                      </c:pt>
                      <c:pt idx="3127">
                        <c:v>21.715277777781012</c:v>
                      </c:pt>
                      <c:pt idx="3128">
                        <c:v>21.722222222218988</c:v>
                      </c:pt>
                      <c:pt idx="3129">
                        <c:v>21.729166666664241</c:v>
                      </c:pt>
                      <c:pt idx="3130">
                        <c:v>21.736111111109494</c:v>
                      </c:pt>
                      <c:pt idx="3131">
                        <c:v>21.743055555554747</c:v>
                      </c:pt>
                      <c:pt idx="3132">
                        <c:v>21.75</c:v>
                      </c:pt>
                      <c:pt idx="3133">
                        <c:v>21.756944444445253</c:v>
                      </c:pt>
                      <c:pt idx="3134">
                        <c:v>21.763888888890506</c:v>
                      </c:pt>
                      <c:pt idx="3135">
                        <c:v>21.770833333335759</c:v>
                      </c:pt>
                      <c:pt idx="3136">
                        <c:v>21.777777777781012</c:v>
                      </c:pt>
                      <c:pt idx="3137">
                        <c:v>21.784722222218988</c:v>
                      </c:pt>
                      <c:pt idx="3138">
                        <c:v>21.791666666664241</c:v>
                      </c:pt>
                      <c:pt idx="3139">
                        <c:v>21.798611111109494</c:v>
                      </c:pt>
                      <c:pt idx="3140">
                        <c:v>21.805555555554747</c:v>
                      </c:pt>
                      <c:pt idx="3141">
                        <c:v>21.8125</c:v>
                      </c:pt>
                      <c:pt idx="3142">
                        <c:v>21.819444444445253</c:v>
                      </c:pt>
                      <c:pt idx="3143">
                        <c:v>21.826388888890506</c:v>
                      </c:pt>
                      <c:pt idx="3144">
                        <c:v>21.833333333335759</c:v>
                      </c:pt>
                      <c:pt idx="3145">
                        <c:v>21.840277777781012</c:v>
                      </c:pt>
                      <c:pt idx="3146">
                        <c:v>21.847222222218988</c:v>
                      </c:pt>
                      <c:pt idx="3147">
                        <c:v>21.854166666664241</c:v>
                      </c:pt>
                      <c:pt idx="3148">
                        <c:v>21.861111111109494</c:v>
                      </c:pt>
                      <c:pt idx="3149">
                        <c:v>21.868055555554747</c:v>
                      </c:pt>
                      <c:pt idx="3150">
                        <c:v>21.875</c:v>
                      </c:pt>
                      <c:pt idx="3151">
                        <c:v>21.881944444445253</c:v>
                      </c:pt>
                      <c:pt idx="3152">
                        <c:v>21.888888888890506</c:v>
                      </c:pt>
                      <c:pt idx="3153">
                        <c:v>21.895833333335759</c:v>
                      </c:pt>
                      <c:pt idx="3154">
                        <c:v>21.902777777781012</c:v>
                      </c:pt>
                      <c:pt idx="3155">
                        <c:v>21.909722222218988</c:v>
                      </c:pt>
                      <c:pt idx="3156">
                        <c:v>21.916666666664241</c:v>
                      </c:pt>
                      <c:pt idx="3157">
                        <c:v>21.923611111109494</c:v>
                      </c:pt>
                      <c:pt idx="3158">
                        <c:v>21.930555555554747</c:v>
                      </c:pt>
                      <c:pt idx="3159">
                        <c:v>21.9375</c:v>
                      </c:pt>
                      <c:pt idx="3160">
                        <c:v>21.944444444445253</c:v>
                      </c:pt>
                      <c:pt idx="3161">
                        <c:v>21.951388888890506</c:v>
                      </c:pt>
                      <c:pt idx="3162">
                        <c:v>21.958333333335759</c:v>
                      </c:pt>
                      <c:pt idx="3163">
                        <c:v>21.965277777781012</c:v>
                      </c:pt>
                      <c:pt idx="3164">
                        <c:v>21.972222222218988</c:v>
                      </c:pt>
                      <c:pt idx="3165">
                        <c:v>21.979166666664241</c:v>
                      </c:pt>
                      <c:pt idx="3166">
                        <c:v>21.986111111109494</c:v>
                      </c:pt>
                      <c:pt idx="3167">
                        <c:v>21.993055555554747</c:v>
                      </c:pt>
                      <c:pt idx="3168">
                        <c:v>22</c:v>
                      </c:pt>
                      <c:pt idx="3169">
                        <c:v>22.006944444445253</c:v>
                      </c:pt>
                      <c:pt idx="3170">
                        <c:v>22.013888888890506</c:v>
                      </c:pt>
                      <c:pt idx="3171">
                        <c:v>22.020833333335759</c:v>
                      </c:pt>
                      <c:pt idx="3172">
                        <c:v>22.027777777781012</c:v>
                      </c:pt>
                      <c:pt idx="3173">
                        <c:v>22.034722222218988</c:v>
                      </c:pt>
                      <c:pt idx="3174">
                        <c:v>22.041666666664241</c:v>
                      </c:pt>
                      <c:pt idx="3175">
                        <c:v>22.048611111109494</c:v>
                      </c:pt>
                      <c:pt idx="3176">
                        <c:v>22.055555555554747</c:v>
                      </c:pt>
                      <c:pt idx="3177">
                        <c:v>22.0625</c:v>
                      </c:pt>
                      <c:pt idx="3178">
                        <c:v>22.069444444445253</c:v>
                      </c:pt>
                      <c:pt idx="3179">
                        <c:v>22.076388888890506</c:v>
                      </c:pt>
                      <c:pt idx="3180">
                        <c:v>22.083333333335759</c:v>
                      </c:pt>
                      <c:pt idx="3181">
                        <c:v>22.090277777781012</c:v>
                      </c:pt>
                      <c:pt idx="3182">
                        <c:v>22.097222222218988</c:v>
                      </c:pt>
                      <c:pt idx="3183">
                        <c:v>22.104166666664241</c:v>
                      </c:pt>
                      <c:pt idx="3184">
                        <c:v>22.111111111109494</c:v>
                      </c:pt>
                      <c:pt idx="3185">
                        <c:v>22.118055555554747</c:v>
                      </c:pt>
                      <c:pt idx="3186">
                        <c:v>22.125</c:v>
                      </c:pt>
                      <c:pt idx="3187">
                        <c:v>22.131944444445253</c:v>
                      </c:pt>
                      <c:pt idx="3188">
                        <c:v>22.138888888890506</c:v>
                      </c:pt>
                      <c:pt idx="3189">
                        <c:v>22.145833333335759</c:v>
                      </c:pt>
                      <c:pt idx="3190">
                        <c:v>22.152777777781012</c:v>
                      </c:pt>
                      <c:pt idx="3191">
                        <c:v>22.159722222218988</c:v>
                      </c:pt>
                      <c:pt idx="3192">
                        <c:v>22.166666666664241</c:v>
                      </c:pt>
                      <c:pt idx="3193">
                        <c:v>22.173611111109494</c:v>
                      </c:pt>
                      <c:pt idx="3194">
                        <c:v>22.180555555554747</c:v>
                      </c:pt>
                      <c:pt idx="3195">
                        <c:v>22.1875</c:v>
                      </c:pt>
                      <c:pt idx="3196">
                        <c:v>22.194444444445253</c:v>
                      </c:pt>
                      <c:pt idx="3197">
                        <c:v>22.201388888890506</c:v>
                      </c:pt>
                      <c:pt idx="3198">
                        <c:v>22.208333333335759</c:v>
                      </c:pt>
                      <c:pt idx="3199">
                        <c:v>22.215277777781012</c:v>
                      </c:pt>
                      <c:pt idx="3200">
                        <c:v>22.222222222218988</c:v>
                      </c:pt>
                      <c:pt idx="3201">
                        <c:v>22.229166666664241</c:v>
                      </c:pt>
                      <c:pt idx="3202">
                        <c:v>22.236111111109494</c:v>
                      </c:pt>
                      <c:pt idx="3203">
                        <c:v>22.243055555554747</c:v>
                      </c:pt>
                      <c:pt idx="3204">
                        <c:v>22.25</c:v>
                      </c:pt>
                      <c:pt idx="3205">
                        <c:v>22.256944444445253</c:v>
                      </c:pt>
                      <c:pt idx="3206">
                        <c:v>22.263888888890506</c:v>
                      </c:pt>
                      <c:pt idx="3207">
                        <c:v>22.270833333335759</c:v>
                      </c:pt>
                      <c:pt idx="3208">
                        <c:v>22.277777777781012</c:v>
                      </c:pt>
                      <c:pt idx="3209">
                        <c:v>22.284722222218988</c:v>
                      </c:pt>
                      <c:pt idx="3210">
                        <c:v>22.291666666664241</c:v>
                      </c:pt>
                      <c:pt idx="3211">
                        <c:v>22.298611111109494</c:v>
                      </c:pt>
                      <c:pt idx="3212">
                        <c:v>22.305555555554747</c:v>
                      </c:pt>
                      <c:pt idx="3213">
                        <c:v>22.3125</c:v>
                      </c:pt>
                      <c:pt idx="3214">
                        <c:v>22.319444444445253</c:v>
                      </c:pt>
                      <c:pt idx="3215">
                        <c:v>22.326388888890506</c:v>
                      </c:pt>
                      <c:pt idx="3216">
                        <c:v>22.333333333335759</c:v>
                      </c:pt>
                      <c:pt idx="3217">
                        <c:v>22.340277777781012</c:v>
                      </c:pt>
                      <c:pt idx="3218">
                        <c:v>22.347222222218988</c:v>
                      </c:pt>
                      <c:pt idx="3219">
                        <c:v>22.354166666664241</c:v>
                      </c:pt>
                      <c:pt idx="3220">
                        <c:v>22.361111111109494</c:v>
                      </c:pt>
                      <c:pt idx="3221">
                        <c:v>22.368055555554747</c:v>
                      </c:pt>
                      <c:pt idx="3222">
                        <c:v>22.375</c:v>
                      </c:pt>
                      <c:pt idx="3223">
                        <c:v>22.381944444445253</c:v>
                      </c:pt>
                      <c:pt idx="3224">
                        <c:v>22.388888888890506</c:v>
                      </c:pt>
                      <c:pt idx="3225">
                        <c:v>22.395833333335759</c:v>
                      </c:pt>
                      <c:pt idx="3226">
                        <c:v>22.402777777781012</c:v>
                      </c:pt>
                      <c:pt idx="3227">
                        <c:v>22.409722222218988</c:v>
                      </c:pt>
                      <c:pt idx="3228">
                        <c:v>22.416666666664241</c:v>
                      </c:pt>
                      <c:pt idx="3229">
                        <c:v>22.423611111109494</c:v>
                      </c:pt>
                      <c:pt idx="3230">
                        <c:v>22.430555555554747</c:v>
                      </c:pt>
                      <c:pt idx="3231">
                        <c:v>22.4375</c:v>
                      </c:pt>
                      <c:pt idx="3232">
                        <c:v>22.444444444445253</c:v>
                      </c:pt>
                      <c:pt idx="3233">
                        <c:v>22.451388888890506</c:v>
                      </c:pt>
                      <c:pt idx="3234">
                        <c:v>22.458333333335759</c:v>
                      </c:pt>
                      <c:pt idx="3235">
                        <c:v>22.465277777781012</c:v>
                      </c:pt>
                      <c:pt idx="3236">
                        <c:v>22.472222222218988</c:v>
                      </c:pt>
                      <c:pt idx="3237">
                        <c:v>22.479166666664241</c:v>
                      </c:pt>
                      <c:pt idx="3238">
                        <c:v>22.486111111109494</c:v>
                      </c:pt>
                      <c:pt idx="3239">
                        <c:v>22.493055555554747</c:v>
                      </c:pt>
                      <c:pt idx="3240">
                        <c:v>22.5</c:v>
                      </c:pt>
                      <c:pt idx="3241">
                        <c:v>22.506944444445253</c:v>
                      </c:pt>
                      <c:pt idx="3242">
                        <c:v>22.513888888890506</c:v>
                      </c:pt>
                      <c:pt idx="3243">
                        <c:v>22.520833333335759</c:v>
                      </c:pt>
                      <c:pt idx="3244">
                        <c:v>22.527777777781012</c:v>
                      </c:pt>
                      <c:pt idx="3245">
                        <c:v>22.534722222218988</c:v>
                      </c:pt>
                      <c:pt idx="3246">
                        <c:v>22.541666666664241</c:v>
                      </c:pt>
                      <c:pt idx="3247">
                        <c:v>22.548611111109494</c:v>
                      </c:pt>
                      <c:pt idx="3248">
                        <c:v>22.555555555554747</c:v>
                      </c:pt>
                      <c:pt idx="3249">
                        <c:v>22.5625</c:v>
                      </c:pt>
                      <c:pt idx="3250">
                        <c:v>22.569444444445253</c:v>
                      </c:pt>
                      <c:pt idx="3251">
                        <c:v>22.576388888890506</c:v>
                      </c:pt>
                      <c:pt idx="3252">
                        <c:v>22.583333333335759</c:v>
                      </c:pt>
                      <c:pt idx="3253">
                        <c:v>22.590277777781012</c:v>
                      </c:pt>
                      <c:pt idx="3254">
                        <c:v>22.597222222218988</c:v>
                      </c:pt>
                      <c:pt idx="3255">
                        <c:v>22.604166666664241</c:v>
                      </c:pt>
                      <c:pt idx="3256">
                        <c:v>22.611111111109494</c:v>
                      </c:pt>
                      <c:pt idx="3257">
                        <c:v>22.618055555554747</c:v>
                      </c:pt>
                      <c:pt idx="3258">
                        <c:v>22.625</c:v>
                      </c:pt>
                      <c:pt idx="3259">
                        <c:v>22.631944444445253</c:v>
                      </c:pt>
                      <c:pt idx="3260">
                        <c:v>22.638888888890506</c:v>
                      </c:pt>
                      <c:pt idx="3261">
                        <c:v>22.645833333335759</c:v>
                      </c:pt>
                      <c:pt idx="3262">
                        <c:v>22.652777777781012</c:v>
                      </c:pt>
                      <c:pt idx="3263">
                        <c:v>22.659722222218988</c:v>
                      </c:pt>
                      <c:pt idx="3264">
                        <c:v>22.666666666664241</c:v>
                      </c:pt>
                      <c:pt idx="3265">
                        <c:v>22.673611111109494</c:v>
                      </c:pt>
                      <c:pt idx="3266">
                        <c:v>22.680555555554747</c:v>
                      </c:pt>
                      <c:pt idx="3267">
                        <c:v>22.6875</c:v>
                      </c:pt>
                      <c:pt idx="3268">
                        <c:v>22.694444444445253</c:v>
                      </c:pt>
                      <c:pt idx="3269">
                        <c:v>22.701388888890506</c:v>
                      </c:pt>
                      <c:pt idx="3270">
                        <c:v>22.708333333335759</c:v>
                      </c:pt>
                      <c:pt idx="3271">
                        <c:v>22.715277777781012</c:v>
                      </c:pt>
                      <c:pt idx="3272">
                        <c:v>22.722222222218988</c:v>
                      </c:pt>
                      <c:pt idx="3273">
                        <c:v>22.729166666664241</c:v>
                      </c:pt>
                      <c:pt idx="3274">
                        <c:v>22.736111111109494</c:v>
                      </c:pt>
                      <c:pt idx="3275">
                        <c:v>22.743055555554747</c:v>
                      </c:pt>
                      <c:pt idx="3276">
                        <c:v>22.75</c:v>
                      </c:pt>
                      <c:pt idx="3277">
                        <c:v>22.756944444445253</c:v>
                      </c:pt>
                      <c:pt idx="3278">
                        <c:v>22.763888888890506</c:v>
                      </c:pt>
                      <c:pt idx="3279">
                        <c:v>22.770833333335759</c:v>
                      </c:pt>
                      <c:pt idx="3280">
                        <c:v>22.777777777781012</c:v>
                      </c:pt>
                      <c:pt idx="3281">
                        <c:v>22.784722222218988</c:v>
                      </c:pt>
                      <c:pt idx="3282">
                        <c:v>22.791666666664241</c:v>
                      </c:pt>
                      <c:pt idx="3283">
                        <c:v>22.798611111109494</c:v>
                      </c:pt>
                      <c:pt idx="3284">
                        <c:v>22.805555555554747</c:v>
                      </c:pt>
                      <c:pt idx="3285">
                        <c:v>22.8125</c:v>
                      </c:pt>
                      <c:pt idx="3286">
                        <c:v>22.819444444445253</c:v>
                      </c:pt>
                      <c:pt idx="3287">
                        <c:v>22.826388888890506</c:v>
                      </c:pt>
                      <c:pt idx="3288">
                        <c:v>22.833333333335759</c:v>
                      </c:pt>
                      <c:pt idx="3289">
                        <c:v>22.840277777781012</c:v>
                      </c:pt>
                      <c:pt idx="3290">
                        <c:v>22.847222222218988</c:v>
                      </c:pt>
                      <c:pt idx="3291">
                        <c:v>22.854166666664241</c:v>
                      </c:pt>
                      <c:pt idx="3292">
                        <c:v>22.861111111109494</c:v>
                      </c:pt>
                      <c:pt idx="3293">
                        <c:v>22.868055555554747</c:v>
                      </c:pt>
                      <c:pt idx="3294">
                        <c:v>22.875</c:v>
                      </c:pt>
                      <c:pt idx="3295">
                        <c:v>22.881944444445253</c:v>
                      </c:pt>
                      <c:pt idx="3296">
                        <c:v>22.888888888890506</c:v>
                      </c:pt>
                      <c:pt idx="3297">
                        <c:v>22.895833333335759</c:v>
                      </c:pt>
                      <c:pt idx="3298">
                        <c:v>22.902777777781012</c:v>
                      </c:pt>
                      <c:pt idx="3299">
                        <c:v>22.909722222218988</c:v>
                      </c:pt>
                      <c:pt idx="3300">
                        <c:v>22.916666666664241</c:v>
                      </c:pt>
                      <c:pt idx="3301">
                        <c:v>22.923611111109494</c:v>
                      </c:pt>
                      <c:pt idx="3302">
                        <c:v>22.930555555554747</c:v>
                      </c:pt>
                      <c:pt idx="3303">
                        <c:v>22.9375</c:v>
                      </c:pt>
                      <c:pt idx="3304">
                        <c:v>22.944444444445253</c:v>
                      </c:pt>
                      <c:pt idx="3305">
                        <c:v>22.951388888890506</c:v>
                      </c:pt>
                      <c:pt idx="3306">
                        <c:v>22.958333333335759</c:v>
                      </c:pt>
                      <c:pt idx="3307">
                        <c:v>22.965277777781012</c:v>
                      </c:pt>
                      <c:pt idx="3308">
                        <c:v>22.972222222218988</c:v>
                      </c:pt>
                      <c:pt idx="3309">
                        <c:v>22.979166666664241</c:v>
                      </c:pt>
                      <c:pt idx="3310">
                        <c:v>22.986111111109494</c:v>
                      </c:pt>
                      <c:pt idx="3311">
                        <c:v>22.993055555554747</c:v>
                      </c:pt>
                      <c:pt idx="3312">
                        <c:v>23</c:v>
                      </c:pt>
                      <c:pt idx="3313">
                        <c:v>23.006944444445253</c:v>
                      </c:pt>
                      <c:pt idx="3314">
                        <c:v>23.013888888890506</c:v>
                      </c:pt>
                      <c:pt idx="3315">
                        <c:v>23.020833333335759</c:v>
                      </c:pt>
                      <c:pt idx="3316">
                        <c:v>23.027777777781012</c:v>
                      </c:pt>
                      <c:pt idx="3317">
                        <c:v>23.034722222218988</c:v>
                      </c:pt>
                      <c:pt idx="3318">
                        <c:v>23.041666666664241</c:v>
                      </c:pt>
                      <c:pt idx="3319">
                        <c:v>23.048611111109494</c:v>
                      </c:pt>
                      <c:pt idx="3320">
                        <c:v>23.055555555554747</c:v>
                      </c:pt>
                      <c:pt idx="3321">
                        <c:v>23.0625</c:v>
                      </c:pt>
                      <c:pt idx="3322">
                        <c:v>23.069444444445253</c:v>
                      </c:pt>
                      <c:pt idx="3323">
                        <c:v>23.076388888890506</c:v>
                      </c:pt>
                      <c:pt idx="3324">
                        <c:v>23.083333333335759</c:v>
                      </c:pt>
                      <c:pt idx="3325">
                        <c:v>23.090277777781012</c:v>
                      </c:pt>
                      <c:pt idx="3326">
                        <c:v>23.097222222218988</c:v>
                      </c:pt>
                      <c:pt idx="3327">
                        <c:v>23.104166666664241</c:v>
                      </c:pt>
                      <c:pt idx="3328">
                        <c:v>23.111111111109494</c:v>
                      </c:pt>
                      <c:pt idx="3329">
                        <c:v>23.118055555554747</c:v>
                      </c:pt>
                      <c:pt idx="3330">
                        <c:v>23.125</c:v>
                      </c:pt>
                      <c:pt idx="3331">
                        <c:v>23.131944444445253</c:v>
                      </c:pt>
                      <c:pt idx="3332">
                        <c:v>23.138888888890506</c:v>
                      </c:pt>
                      <c:pt idx="3333">
                        <c:v>23.145833333335759</c:v>
                      </c:pt>
                      <c:pt idx="3334">
                        <c:v>23.152777777781012</c:v>
                      </c:pt>
                      <c:pt idx="3335">
                        <c:v>23.159722222218988</c:v>
                      </c:pt>
                      <c:pt idx="3336">
                        <c:v>23.166666666664241</c:v>
                      </c:pt>
                      <c:pt idx="3337">
                        <c:v>23.173611111109494</c:v>
                      </c:pt>
                      <c:pt idx="3338">
                        <c:v>23.180555555554747</c:v>
                      </c:pt>
                      <c:pt idx="3339">
                        <c:v>23.1875</c:v>
                      </c:pt>
                      <c:pt idx="3340">
                        <c:v>23.194444444445253</c:v>
                      </c:pt>
                      <c:pt idx="3341">
                        <c:v>23.201388888890506</c:v>
                      </c:pt>
                      <c:pt idx="3342">
                        <c:v>23.208333333335759</c:v>
                      </c:pt>
                      <c:pt idx="3343">
                        <c:v>23.215277777781012</c:v>
                      </c:pt>
                      <c:pt idx="3344">
                        <c:v>23.222222222218988</c:v>
                      </c:pt>
                      <c:pt idx="3345">
                        <c:v>23.229166666664241</c:v>
                      </c:pt>
                      <c:pt idx="3346">
                        <c:v>23.236111111109494</c:v>
                      </c:pt>
                      <c:pt idx="3347">
                        <c:v>23.243055555554747</c:v>
                      </c:pt>
                      <c:pt idx="3348">
                        <c:v>23.25</c:v>
                      </c:pt>
                      <c:pt idx="3349">
                        <c:v>23.256944444445253</c:v>
                      </c:pt>
                      <c:pt idx="3350">
                        <c:v>23.263888888890506</c:v>
                      </c:pt>
                      <c:pt idx="3351">
                        <c:v>23.270833333335759</c:v>
                      </c:pt>
                      <c:pt idx="3352">
                        <c:v>23.277777777781012</c:v>
                      </c:pt>
                      <c:pt idx="3353">
                        <c:v>23.284722222218988</c:v>
                      </c:pt>
                      <c:pt idx="3354">
                        <c:v>23.291666666664241</c:v>
                      </c:pt>
                      <c:pt idx="3355">
                        <c:v>23.298611111109494</c:v>
                      </c:pt>
                      <c:pt idx="3356">
                        <c:v>23.305555555554747</c:v>
                      </c:pt>
                      <c:pt idx="3357">
                        <c:v>23.3125</c:v>
                      </c:pt>
                      <c:pt idx="3358">
                        <c:v>23.319444444445253</c:v>
                      </c:pt>
                      <c:pt idx="3359">
                        <c:v>23.326388888890506</c:v>
                      </c:pt>
                      <c:pt idx="3360">
                        <c:v>23.333333333335759</c:v>
                      </c:pt>
                      <c:pt idx="3361">
                        <c:v>23.340277777781012</c:v>
                      </c:pt>
                      <c:pt idx="3362">
                        <c:v>23.347222222218988</c:v>
                      </c:pt>
                      <c:pt idx="3363">
                        <c:v>23.354166666664241</c:v>
                      </c:pt>
                      <c:pt idx="3364">
                        <c:v>23.361111111109494</c:v>
                      </c:pt>
                      <c:pt idx="3365">
                        <c:v>23.368055555554747</c:v>
                      </c:pt>
                      <c:pt idx="3366">
                        <c:v>23.375</c:v>
                      </c:pt>
                      <c:pt idx="3367">
                        <c:v>23.381944444445253</c:v>
                      </c:pt>
                      <c:pt idx="3368">
                        <c:v>23.388888888890506</c:v>
                      </c:pt>
                      <c:pt idx="3369">
                        <c:v>23.395833333335759</c:v>
                      </c:pt>
                      <c:pt idx="3370">
                        <c:v>23.402777777781012</c:v>
                      </c:pt>
                      <c:pt idx="3371">
                        <c:v>23.409722222218988</c:v>
                      </c:pt>
                      <c:pt idx="3372">
                        <c:v>23.416666666664241</c:v>
                      </c:pt>
                      <c:pt idx="3373">
                        <c:v>23.423611111109494</c:v>
                      </c:pt>
                      <c:pt idx="3374">
                        <c:v>23.430555555554747</c:v>
                      </c:pt>
                      <c:pt idx="3375">
                        <c:v>23.4375</c:v>
                      </c:pt>
                      <c:pt idx="3376">
                        <c:v>23.444444444445253</c:v>
                      </c:pt>
                      <c:pt idx="3377">
                        <c:v>23.451388888890506</c:v>
                      </c:pt>
                      <c:pt idx="3378">
                        <c:v>23.458333333335759</c:v>
                      </c:pt>
                      <c:pt idx="3379">
                        <c:v>23.465277777781012</c:v>
                      </c:pt>
                      <c:pt idx="3380">
                        <c:v>23.472222222218988</c:v>
                      </c:pt>
                      <c:pt idx="3381">
                        <c:v>23.479166666664241</c:v>
                      </c:pt>
                      <c:pt idx="3382">
                        <c:v>23.486111111109494</c:v>
                      </c:pt>
                      <c:pt idx="3383">
                        <c:v>23.493055555554747</c:v>
                      </c:pt>
                      <c:pt idx="3384">
                        <c:v>23.5</c:v>
                      </c:pt>
                      <c:pt idx="3385">
                        <c:v>23.506944444445253</c:v>
                      </c:pt>
                      <c:pt idx="3386">
                        <c:v>23.513888888890506</c:v>
                      </c:pt>
                      <c:pt idx="3387">
                        <c:v>23.520833333335759</c:v>
                      </c:pt>
                      <c:pt idx="3388">
                        <c:v>23.527777777781012</c:v>
                      </c:pt>
                      <c:pt idx="3389">
                        <c:v>23.534722222218988</c:v>
                      </c:pt>
                      <c:pt idx="3390">
                        <c:v>23.541666666664241</c:v>
                      </c:pt>
                      <c:pt idx="3391">
                        <c:v>23.548611111109494</c:v>
                      </c:pt>
                      <c:pt idx="3392">
                        <c:v>23.555555555554747</c:v>
                      </c:pt>
                      <c:pt idx="3393">
                        <c:v>23.5625</c:v>
                      </c:pt>
                      <c:pt idx="3394">
                        <c:v>23.569444444445253</c:v>
                      </c:pt>
                      <c:pt idx="3395">
                        <c:v>23.576388888890506</c:v>
                      </c:pt>
                      <c:pt idx="3396">
                        <c:v>23.583333333335759</c:v>
                      </c:pt>
                      <c:pt idx="3397">
                        <c:v>23.590277777781012</c:v>
                      </c:pt>
                      <c:pt idx="3398">
                        <c:v>23.597222222218988</c:v>
                      </c:pt>
                      <c:pt idx="3399">
                        <c:v>23.604166666664241</c:v>
                      </c:pt>
                      <c:pt idx="3400">
                        <c:v>23.611111111109494</c:v>
                      </c:pt>
                      <c:pt idx="3401">
                        <c:v>23.618055555554747</c:v>
                      </c:pt>
                      <c:pt idx="3402">
                        <c:v>23.625</c:v>
                      </c:pt>
                      <c:pt idx="3403">
                        <c:v>23.631944444445253</c:v>
                      </c:pt>
                      <c:pt idx="3404">
                        <c:v>23.638888888890506</c:v>
                      </c:pt>
                      <c:pt idx="3405">
                        <c:v>23.645833333335759</c:v>
                      </c:pt>
                      <c:pt idx="3406">
                        <c:v>23.652777777781012</c:v>
                      </c:pt>
                      <c:pt idx="3407">
                        <c:v>23.659722222218988</c:v>
                      </c:pt>
                      <c:pt idx="3408">
                        <c:v>23.666666666664241</c:v>
                      </c:pt>
                      <c:pt idx="3409">
                        <c:v>23.673611111109494</c:v>
                      </c:pt>
                      <c:pt idx="3410">
                        <c:v>23.680555555554747</c:v>
                      </c:pt>
                      <c:pt idx="3411">
                        <c:v>23.6875</c:v>
                      </c:pt>
                      <c:pt idx="3412">
                        <c:v>23.694444444445253</c:v>
                      </c:pt>
                      <c:pt idx="3413">
                        <c:v>23.701388888890506</c:v>
                      </c:pt>
                      <c:pt idx="3414">
                        <c:v>23.708333333335759</c:v>
                      </c:pt>
                      <c:pt idx="3415">
                        <c:v>23.715277777781012</c:v>
                      </c:pt>
                      <c:pt idx="3416">
                        <c:v>23.722222222218988</c:v>
                      </c:pt>
                      <c:pt idx="3417">
                        <c:v>23.729166666664241</c:v>
                      </c:pt>
                      <c:pt idx="3418">
                        <c:v>23.736111111109494</c:v>
                      </c:pt>
                      <c:pt idx="3419">
                        <c:v>23.743055555554747</c:v>
                      </c:pt>
                      <c:pt idx="3420">
                        <c:v>23.75</c:v>
                      </c:pt>
                      <c:pt idx="3421">
                        <c:v>23.756944444445253</c:v>
                      </c:pt>
                      <c:pt idx="3422">
                        <c:v>23.763888888890506</c:v>
                      </c:pt>
                      <c:pt idx="3423">
                        <c:v>23.770833333335759</c:v>
                      </c:pt>
                      <c:pt idx="3424">
                        <c:v>23.777777777781012</c:v>
                      </c:pt>
                      <c:pt idx="3425">
                        <c:v>23.784722222218988</c:v>
                      </c:pt>
                      <c:pt idx="3426">
                        <c:v>23.791666666664241</c:v>
                      </c:pt>
                      <c:pt idx="3427">
                        <c:v>23.798611111109494</c:v>
                      </c:pt>
                      <c:pt idx="3428">
                        <c:v>23.805555555554747</c:v>
                      </c:pt>
                      <c:pt idx="3429">
                        <c:v>23.8125</c:v>
                      </c:pt>
                      <c:pt idx="3430">
                        <c:v>23.819444444445253</c:v>
                      </c:pt>
                      <c:pt idx="3431">
                        <c:v>23.826388888890506</c:v>
                      </c:pt>
                      <c:pt idx="3432">
                        <c:v>23.833333333335759</c:v>
                      </c:pt>
                      <c:pt idx="3433">
                        <c:v>23.840277777781012</c:v>
                      </c:pt>
                      <c:pt idx="3434">
                        <c:v>23.847222222218988</c:v>
                      </c:pt>
                      <c:pt idx="3435">
                        <c:v>23.854166666664241</c:v>
                      </c:pt>
                      <c:pt idx="3436">
                        <c:v>23.861111111109494</c:v>
                      </c:pt>
                      <c:pt idx="3437">
                        <c:v>23.868055555554747</c:v>
                      </c:pt>
                      <c:pt idx="3438">
                        <c:v>23.875</c:v>
                      </c:pt>
                      <c:pt idx="3439">
                        <c:v>23.881944444445253</c:v>
                      </c:pt>
                      <c:pt idx="3440">
                        <c:v>23.888888888890506</c:v>
                      </c:pt>
                      <c:pt idx="3441">
                        <c:v>23.895833333335759</c:v>
                      </c:pt>
                      <c:pt idx="3442">
                        <c:v>23.902777777781012</c:v>
                      </c:pt>
                      <c:pt idx="3443">
                        <c:v>23.909722222218988</c:v>
                      </c:pt>
                      <c:pt idx="3444">
                        <c:v>23.916666666664241</c:v>
                      </c:pt>
                      <c:pt idx="3445">
                        <c:v>23.923611111109494</c:v>
                      </c:pt>
                      <c:pt idx="3446">
                        <c:v>23.930555555554747</c:v>
                      </c:pt>
                      <c:pt idx="3447">
                        <c:v>23.9375</c:v>
                      </c:pt>
                      <c:pt idx="3448">
                        <c:v>23.944444444445253</c:v>
                      </c:pt>
                      <c:pt idx="3449">
                        <c:v>23.951388888890506</c:v>
                      </c:pt>
                      <c:pt idx="3450">
                        <c:v>23.958333333335759</c:v>
                      </c:pt>
                      <c:pt idx="3451">
                        <c:v>23.965277777781012</c:v>
                      </c:pt>
                      <c:pt idx="3452">
                        <c:v>23.972222222218988</c:v>
                      </c:pt>
                      <c:pt idx="3453">
                        <c:v>23.979166666664241</c:v>
                      </c:pt>
                      <c:pt idx="3454">
                        <c:v>23.986111111109494</c:v>
                      </c:pt>
                      <c:pt idx="3455">
                        <c:v>23.993055555554747</c:v>
                      </c:pt>
                      <c:pt idx="3456">
                        <c:v>24</c:v>
                      </c:pt>
                      <c:pt idx="3457">
                        <c:v>24.006944444445253</c:v>
                      </c:pt>
                      <c:pt idx="3458">
                        <c:v>24.013888888890506</c:v>
                      </c:pt>
                      <c:pt idx="3459">
                        <c:v>24.020833333335759</c:v>
                      </c:pt>
                      <c:pt idx="3460">
                        <c:v>24.027777777781012</c:v>
                      </c:pt>
                      <c:pt idx="3461">
                        <c:v>24.034722222218988</c:v>
                      </c:pt>
                      <c:pt idx="3462">
                        <c:v>24.041666666664241</c:v>
                      </c:pt>
                      <c:pt idx="3463">
                        <c:v>24.048611111109494</c:v>
                      </c:pt>
                      <c:pt idx="3464">
                        <c:v>24.055555555554747</c:v>
                      </c:pt>
                      <c:pt idx="3465">
                        <c:v>24.0625</c:v>
                      </c:pt>
                      <c:pt idx="3466">
                        <c:v>24.069444444445253</c:v>
                      </c:pt>
                      <c:pt idx="3467">
                        <c:v>24.076388888890506</c:v>
                      </c:pt>
                      <c:pt idx="3468">
                        <c:v>24.083333333335759</c:v>
                      </c:pt>
                      <c:pt idx="3469">
                        <c:v>24.090277777781012</c:v>
                      </c:pt>
                      <c:pt idx="3470">
                        <c:v>24.097222222218988</c:v>
                      </c:pt>
                      <c:pt idx="3471">
                        <c:v>24.104166666664241</c:v>
                      </c:pt>
                      <c:pt idx="3472">
                        <c:v>24.111111111109494</c:v>
                      </c:pt>
                      <c:pt idx="3473">
                        <c:v>24.118055555554747</c:v>
                      </c:pt>
                      <c:pt idx="3474">
                        <c:v>24.125</c:v>
                      </c:pt>
                      <c:pt idx="3475">
                        <c:v>24.131944444445253</c:v>
                      </c:pt>
                      <c:pt idx="3476">
                        <c:v>24.138888888890506</c:v>
                      </c:pt>
                      <c:pt idx="3477">
                        <c:v>24.145833333335759</c:v>
                      </c:pt>
                      <c:pt idx="3478">
                        <c:v>24.152777777781012</c:v>
                      </c:pt>
                      <c:pt idx="3479">
                        <c:v>24.159722222218988</c:v>
                      </c:pt>
                      <c:pt idx="3480">
                        <c:v>24.166666666664241</c:v>
                      </c:pt>
                      <c:pt idx="3481">
                        <c:v>24.173611111109494</c:v>
                      </c:pt>
                      <c:pt idx="3482">
                        <c:v>24.180555555554747</c:v>
                      </c:pt>
                      <c:pt idx="3483">
                        <c:v>24.1875</c:v>
                      </c:pt>
                      <c:pt idx="3484">
                        <c:v>24.194444444445253</c:v>
                      </c:pt>
                      <c:pt idx="3485">
                        <c:v>24.201388888890506</c:v>
                      </c:pt>
                      <c:pt idx="3486">
                        <c:v>24.208333333335759</c:v>
                      </c:pt>
                      <c:pt idx="3487">
                        <c:v>24.215277777781012</c:v>
                      </c:pt>
                      <c:pt idx="3488">
                        <c:v>24.222222222218988</c:v>
                      </c:pt>
                      <c:pt idx="3489">
                        <c:v>24.229166666664241</c:v>
                      </c:pt>
                      <c:pt idx="3490">
                        <c:v>24.236111111109494</c:v>
                      </c:pt>
                      <c:pt idx="3491">
                        <c:v>24.243055555554747</c:v>
                      </c:pt>
                      <c:pt idx="3492">
                        <c:v>24.25</c:v>
                      </c:pt>
                      <c:pt idx="3493">
                        <c:v>24.256944444445253</c:v>
                      </c:pt>
                      <c:pt idx="3494">
                        <c:v>24.263888888890506</c:v>
                      </c:pt>
                      <c:pt idx="3495">
                        <c:v>24.270833333335759</c:v>
                      </c:pt>
                      <c:pt idx="3496">
                        <c:v>24.277777777781012</c:v>
                      </c:pt>
                      <c:pt idx="3497">
                        <c:v>24.284722222218988</c:v>
                      </c:pt>
                      <c:pt idx="3498">
                        <c:v>24.291666666664241</c:v>
                      </c:pt>
                      <c:pt idx="3499">
                        <c:v>24.298611111109494</c:v>
                      </c:pt>
                      <c:pt idx="3500">
                        <c:v>24.305555555554747</c:v>
                      </c:pt>
                      <c:pt idx="3501">
                        <c:v>24.3125</c:v>
                      </c:pt>
                      <c:pt idx="3502">
                        <c:v>24.319444444445253</c:v>
                      </c:pt>
                      <c:pt idx="3503">
                        <c:v>24.326388888890506</c:v>
                      </c:pt>
                      <c:pt idx="3504">
                        <c:v>24.333333333335759</c:v>
                      </c:pt>
                      <c:pt idx="3505">
                        <c:v>24.340277777781012</c:v>
                      </c:pt>
                      <c:pt idx="3506">
                        <c:v>24.347222222218988</c:v>
                      </c:pt>
                      <c:pt idx="3507">
                        <c:v>24.354166666664241</c:v>
                      </c:pt>
                      <c:pt idx="3508">
                        <c:v>24.361111111109494</c:v>
                      </c:pt>
                      <c:pt idx="3509">
                        <c:v>24.368055555554747</c:v>
                      </c:pt>
                      <c:pt idx="3510">
                        <c:v>24.375</c:v>
                      </c:pt>
                      <c:pt idx="3511">
                        <c:v>24.381944444445253</c:v>
                      </c:pt>
                      <c:pt idx="3512">
                        <c:v>24.388888888890506</c:v>
                      </c:pt>
                      <c:pt idx="3513">
                        <c:v>24.395833333335759</c:v>
                      </c:pt>
                      <c:pt idx="3514">
                        <c:v>24.402777777781012</c:v>
                      </c:pt>
                      <c:pt idx="3515">
                        <c:v>24.409722222218988</c:v>
                      </c:pt>
                      <c:pt idx="3516">
                        <c:v>24.416666666664241</c:v>
                      </c:pt>
                      <c:pt idx="3517">
                        <c:v>24.423611111109494</c:v>
                      </c:pt>
                      <c:pt idx="3518">
                        <c:v>24.430555555554747</c:v>
                      </c:pt>
                      <c:pt idx="3519">
                        <c:v>24.4375</c:v>
                      </c:pt>
                      <c:pt idx="3520">
                        <c:v>24.444444444445253</c:v>
                      </c:pt>
                      <c:pt idx="3521">
                        <c:v>24.451388888890506</c:v>
                      </c:pt>
                      <c:pt idx="3522">
                        <c:v>24.458333333335759</c:v>
                      </c:pt>
                      <c:pt idx="3523">
                        <c:v>24.465277777781012</c:v>
                      </c:pt>
                      <c:pt idx="3524">
                        <c:v>24.472222222218988</c:v>
                      </c:pt>
                      <c:pt idx="3525">
                        <c:v>24.479166666664241</c:v>
                      </c:pt>
                      <c:pt idx="3526">
                        <c:v>24.486111111109494</c:v>
                      </c:pt>
                      <c:pt idx="3527">
                        <c:v>24.493055555554747</c:v>
                      </c:pt>
                      <c:pt idx="3528">
                        <c:v>24.5</c:v>
                      </c:pt>
                      <c:pt idx="3529">
                        <c:v>24.506944444445253</c:v>
                      </c:pt>
                      <c:pt idx="3530">
                        <c:v>24.513888888890506</c:v>
                      </c:pt>
                      <c:pt idx="3531">
                        <c:v>24.520833333335759</c:v>
                      </c:pt>
                      <c:pt idx="3532">
                        <c:v>24.527777777781012</c:v>
                      </c:pt>
                      <c:pt idx="3533">
                        <c:v>24.534722222218988</c:v>
                      </c:pt>
                      <c:pt idx="3534">
                        <c:v>24.541666666664241</c:v>
                      </c:pt>
                      <c:pt idx="3535">
                        <c:v>24.548611111109494</c:v>
                      </c:pt>
                      <c:pt idx="3536">
                        <c:v>24.555555555554747</c:v>
                      </c:pt>
                      <c:pt idx="3537">
                        <c:v>24.5625</c:v>
                      </c:pt>
                      <c:pt idx="3538">
                        <c:v>24.569444444445253</c:v>
                      </c:pt>
                      <c:pt idx="3539">
                        <c:v>24.576388888890506</c:v>
                      </c:pt>
                      <c:pt idx="3540">
                        <c:v>24.583333333335759</c:v>
                      </c:pt>
                      <c:pt idx="3541">
                        <c:v>24.590277777781012</c:v>
                      </c:pt>
                      <c:pt idx="3542">
                        <c:v>24.597222222218988</c:v>
                      </c:pt>
                      <c:pt idx="3543">
                        <c:v>24.604166666664241</c:v>
                      </c:pt>
                      <c:pt idx="3544">
                        <c:v>24.611111111109494</c:v>
                      </c:pt>
                      <c:pt idx="3545">
                        <c:v>24.618055555554747</c:v>
                      </c:pt>
                      <c:pt idx="3546">
                        <c:v>24.625</c:v>
                      </c:pt>
                      <c:pt idx="3547">
                        <c:v>24.631944444445253</c:v>
                      </c:pt>
                      <c:pt idx="3548">
                        <c:v>24.638888888890506</c:v>
                      </c:pt>
                      <c:pt idx="3549">
                        <c:v>24.645833333335759</c:v>
                      </c:pt>
                      <c:pt idx="3550">
                        <c:v>24.652777777781012</c:v>
                      </c:pt>
                      <c:pt idx="3551">
                        <c:v>24.659722222218988</c:v>
                      </c:pt>
                      <c:pt idx="3552">
                        <c:v>24.666666666664241</c:v>
                      </c:pt>
                      <c:pt idx="3553">
                        <c:v>24.673611111109494</c:v>
                      </c:pt>
                      <c:pt idx="3554">
                        <c:v>24.680555555554747</c:v>
                      </c:pt>
                      <c:pt idx="3555">
                        <c:v>24.6875</c:v>
                      </c:pt>
                      <c:pt idx="3556">
                        <c:v>24.694444444445253</c:v>
                      </c:pt>
                      <c:pt idx="3557">
                        <c:v>24.701388888890506</c:v>
                      </c:pt>
                      <c:pt idx="3558">
                        <c:v>24.708333333335759</c:v>
                      </c:pt>
                      <c:pt idx="3559">
                        <c:v>24.715277777781012</c:v>
                      </c:pt>
                      <c:pt idx="3560">
                        <c:v>24.722222222218988</c:v>
                      </c:pt>
                      <c:pt idx="3561">
                        <c:v>24.729166666664241</c:v>
                      </c:pt>
                      <c:pt idx="3562">
                        <c:v>24.736111111109494</c:v>
                      </c:pt>
                      <c:pt idx="3563">
                        <c:v>24.743055555554747</c:v>
                      </c:pt>
                      <c:pt idx="3564">
                        <c:v>24.75</c:v>
                      </c:pt>
                      <c:pt idx="3565">
                        <c:v>24.756944444445253</c:v>
                      </c:pt>
                      <c:pt idx="3566">
                        <c:v>24.763888888890506</c:v>
                      </c:pt>
                      <c:pt idx="3567">
                        <c:v>24.770833333335759</c:v>
                      </c:pt>
                      <c:pt idx="3568">
                        <c:v>24.777777777781012</c:v>
                      </c:pt>
                      <c:pt idx="3569">
                        <c:v>24.784722222218988</c:v>
                      </c:pt>
                      <c:pt idx="3570">
                        <c:v>24.791666666664241</c:v>
                      </c:pt>
                      <c:pt idx="3571">
                        <c:v>24.798611111109494</c:v>
                      </c:pt>
                      <c:pt idx="3572">
                        <c:v>24.805555555554747</c:v>
                      </c:pt>
                      <c:pt idx="3573">
                        <c:v>24.8125</c:v>
                      </c:pt>
                      <c:pt idx="3574">
                        <c:v>24.819444444445253</c:v>
                      </c:pt>
                      <c:pt idx="3575">
                        <c:v>24.826388888890506</c:v>
                      </c:pt>
                      <c:pt idx="3576">
                        <c:v>24.833333333335759</c:v>
                      </c:pt>
                      <c:pt idx="3577">
                        <c:v>24.840277777781012</c:v>
                      </c:pt>
                      <c:pt idx="3578">
                        <c:v>24.847222222218988</c:v>
                      </c:pt>
                      <c:pt idx="3579">
                        <c:v>24.854166666664241</c:v>
                      </c:pt>
                      <c:pt idx="3580">
                        <c:v>24.861111111109494</c:v>
                      </c:pt>
                      <c:pt idx="3581">
                        <c:v>24.868055555554747</c:v>
                      </c:pt>
                      <c:pt idx="3582">
                        <c:v>24.875</c:v>
                      </c:pt>
                      <c:pt idx="3583">
                        <c:v>24.881944444445253</c:v>
                      </c:pt>
                      <c:pt idx="3584">
                        <c:v>24.888888888890506</c:v>
                      </c:pt>
                      <c:pt idx="3585">
                        <c:v>24.895833333335759</c:v>
                      </c:pt>
                      <c:pt idx="3586">
                        <c:v>24.902777777781012</c:v>
                      </c:pt>
                      <c:pt idx="3587">
                        <c:v>24.909722222218988</c:v>
                      </c:pt>
                      <c:pt idx="3588">
                        <c:v>24.916666666664241</c:v>
                      </c:pt>
                      <c:pt idx="3589">
                        <c:v>24.923611111109494</c:v>
                      </c:pt>
                      <c:pt idx="3590">
                        <c:v>24.930555555554747</c:v>
                      </c:pt>
                      <c:pt idx="3591">
                        <c:v>24.9375</c:v>
                      </c:pt>
                      <c:pt idx="3592">
                        <c:v>24.944444444445253</c:v>
                      </c:pt>
                      <c:pt idx="3593">
                        <c:v>24.951388888890506</c:v>
                      </c:pt>
                      <c:pt idx="3594">
                        <c:v>24.958333333335759</c:v>
                      </c:pt>
                      <c:pt idx="3595">
                        <c:v>24.965277777781012</c:v>
                      </c:pt>
                      <c:pt idx="3596">
                        <c:v>24.972222222218988</c:v>
                      </c:pt>
                      <c:pt idx="3597">
                        <c:v>24.979166666664241</c:v>
                      </c:pt>
                      <c:pt idx="3598">
                        <c:v>24.986111111109494</c:v>
                      </c:pt>
                      <c:pt idx="3599">
                        <c:v>24.993055555554747</c:v>
                      </c:pt>
                      <c:pt idx="3600">
                        <c:v>25</c:v>
                      </c:pt>
                      <c:pt idx="3601">
                        <c:v>25.006944444445253</c:v>
                      </c:pt>
                      <c:pt idx="3602">
                        <c:v>25.013888888890506</c:v>
                      </c:pt>
                      <c:pt idx="3603">
                        <c:v>25.020833333335759</c:v>
                      </c:pt>
                      <c:pt idx="3604">
                        <c:v>25.027777777781012</c:v>
                      </c:pt>
                      <c:pt idx="3605">
                        <c:v>25.034722222218988</c:v>
                      </c:pt>
                      <c:pt idx="3606">
                        <c:v>25.041666666664241</c:v>
                      </c:pt>
                      <c:pt idx="3607">
                        <c:v>25.048611111109494</c:v>
                      </c:pt>
                      <c:pt idx="3608">
                        <c:v>25.055555555554747</c:v>
                      </c:pt>
                      <c:pt idx="3609">
                        <c:v>25.0625</c:v>
                      </c:pt>
                      <c:pt idx="3610">
                        <c:v>25.069444444445253</c:v>
                      </c:pt>
                      <c:pt idx="3611">
                        <c:v>25.076388888890506</c:v>
                      </c:pt>
                      <c:pt idx="3612">
                        <c:v>25.083333333335759</c:v>
                      </c:pt>
                      <c:pt idx="3613">
                        <c:v>25.090277777781012</c:v>
                      </c:pt>
                      <c:pt idx="3614">
                        <c:v>25.097222222218988</c:v>
                      </c:pt>
                      <c:pt idx="3615">
                        <c:v>25.104166666664241</c:v>
                      </c:pt>
                      <c:pt idx="3616">
                        <c:v>25.111111111109494</c:v>
                      </c:pt>
                      <c:pt idx="3617">
                        <c:v>25.118055555554747</c:v>
                      </c:pt>
                      <c:pt idx="3618">
                        <c:v>25.125</c:v>
                      </c:pt>
                      <c:pt idx="3619">
                        <c:v>25.131944444445253</c:v>
                      </c:pt>
                      <c:pt idx="3620">
                        <c:v>25.138888888890506</c:v>
                      </c:pt>
                      <c:pt idx="3621">
                        <c:v>25.145833333335759</c:v>
                      </c:pt>
                      <c:pt idx="3622">
                        <c:v>25.152777777781012</c:v>
                      </c:pt>
                      <c:pt idx="3623">
                        <c:v>25.159722222218988</c:v>
                      </c:pt>
                      <c:pt idx="3624">
                        <c:v>25.166666666664241</c:v>
                      </c:pt>
                      <c:pt idx="3625">
                        <c:v>25.173611111109494</c:v>
                      </c:pt>
                      <c:pt idx="3626">
                        <c:v>25.180555555554747</c:v>
                      </c:pt>
                      <c:pt idx="3627">
                        <c:v>25.1875</c:v>
                      </c:pt>
                      <c:pt idx="3628">
                        <c:v>25.194444444445253</c:v>
                      </c:pt>
                      <c:pt idx="3629">
                        <c:v>25.201388888890506</c:v>
                      </c:pt>
                      <c:pt idx="3630">
                        <c:v>25.208333333335759</c:v>
                      </c:pt>
                      <c:pt idx="3631">
                        <c:v>25.215277777781012</c:v>
                      </c:pt>
                      <c:pt idx="3632">
                        <c:v>25.222222222218988</c:v>
                      </c:pt>
                      <c:pt idx="3633">
                        <c:v>25.229166666664241</c:v>
                      </c:pt>
                      <c:pt idx="3634">
                        <c:v>25.236111111109494</c:v>
                      </c:pt>
                      <c:pt idx="3635">
                        <c:v>25.243055555554747</c:v>
                      </c:pt>
                      <c:pt idx="3636">
                        <c:v>25.25</c:v>
                      </c:pt>
                      <c:pt idx="3637">
                        <c:v>25.256944444445253</c:v>
                      </c:pt>
                      <c:pt idx="3638">
                        <c:v>25.263888888890506</c:v>
                      </c:pt>
                      <c:pt idx="3639">
                        <c:v>25.270833333335759</c:v>
                      </c:pt>
                      <c:pt idx="3640">
                        <c:v>25.277777777781012</c:v>
                      </c:pt>
                      <c:pt idx="3641">
                        <c:v>25.284722222218988</c:v>
                      </c:pt>
                      <c:pt idx="3642">
                        <c:v>25.291666666664241</c:v>
                      </c:pt>
                      <c:pt idx="3643">
                        <c:v>25.298611111109494</c:v>
                      </c:pt>
                      <c:pt idx="3644">
                        <c:v>25.305555555554747</c:v>
                      </c:pt>
                      <c:pt idx="3645">
                        <c:v>25.3125</c:v>
                      </c:pt>
                      <c:pt idx="3646">
                        <c:v>25.319444444445253</c:v>
                      </c:pt>
                      <c:pt idx="3647">
                        <c:v>25.326388888890506</c:v>
                      </c:pt>
                      <c:pt idx="3648">
                        <c:v>25.333333333335759</c:v>
                      </c:pt>
                      <c:pt idx="3649">
                        <c:v>25.340277777781012</c:v>
                      </c:pt>
                      <c:pt idx="3650">
                        <c:v>25.347222222218988</c:v>
                      </c:pt>
                      <c:pt idx="3651">
                        <c:v>25.354166666664241</c:v>
                      </c:pt>
                      <c:pt idx="3652">
                        <c:v>25.361111111109494</c:v>
                      </c:pt>
                      <c:pt idx="3653">
                        <c:v>25.368055555554747</c:v>
                      </c:pt>
                      <c:pt idx="3654">
                        <c:v>25.375</c:v>
                      </c:pt>
                      <c:pt idx="3655">
                        <c:v>25.381944444445253</c:v>
                      </c:pt>
                      <c:pt idx="3656">
                        <c:v>25.388888888890506</c:v>
                      </c:pt>
                      <c:pt idx="3657">
                        <c:v>25.395833333335759</c:v>
                      </c:pt>
                      <c:pt idx="3658">
                        <c:v>25.402777777781012</c:v>
                      </c:pt>
                      <c:pt idx="3659">
                        <c:v>25.409722222218988</c:v>
                      </c:pt>
                      <c:pt idx="3660">
                        <c:v>25.416666666664241</c:v>
                      </c:pt>
                      <c:pt idx="3661">
                        <c:v>25.423611111109494</c:v>
                      </c:pt>
                      <c:pt idx="3662">
                        <c:v>25.430555555554747</c:v>
                      </c:pt>
                      <c:pt idx="3663">
                        <c:v>25.4375</c:v>
                      </c:pt>
                      <c:pt idx="3664">
                        <c:v>25.444444444445253</c:v>
                      </c:pt>
                      <c:pt idx="3665">
                        <c:v>25.451388888890506</c:v>
                      </c:pt>
                      <c:pt idx="3666">
                        <c:v>25.458333333335759</c:v>
                      </c:pt>
                      <c:pt idx="3667">
                        <c:v>25.465277777781012</c:v>
                      </c:pt>
                      <c:pt idx="3668">
                        <c:v>25.472222222218988</c:v>
                      </c:pt>
                      <c:pt idx="3669">
                        <c:v>25.479166666664241</c:v>
                      </c:pt>
                      <c:pt idx="3670">
                        <c:v>25.486111111109494</c:v>
                      </c:pt>
                      <c:pt idx="3671">
                        <c:v>25.493055555554747</c:v>
                      </c:pt>
                      <c:pt idx="3672">
                        <c:v>25.5</c:v>
                      </c:pt>
                      <c:pt idx="3673">
                        <c:v>25.506944444445253</c:v>
                      </c:pt>
                      <c:pt idx="3674">
                        <c:v>25.513888888890506</c:v>
                      </c:pt>
                      <c:pt idx="3675">
                        <c:v>25.520833333335759</c:v>
                      </c:pt>
                      <c:pt idx="3676">
                        <c:v>25.527777777781012</c:v>
                      </c:pt>
                      <c:pt idx="3677">
                        <c:v>25.534722222218988</c:v>
                      </c:pt>
                      <c:pt idx="3678">
                        <c:v>25.541666666664241</c:v>
                      </c:pt>
                      <c:pt idx="3679">
                        <c:v>25.548611111109494</c:v>
                      </c:pt>
                      <c:pt idx="3680">
                        <c:v>25.555555555554747</c:v>
                      </c:pt>
                      <c:pt idx="3681">
                        <c:v>25.5625</c:v>
                      </c:pt>
                      <c:pt idx="3682">
                        <c:v>25.569444444445253</c:v>
                      </c:pt>
                      <c:pt idx="3683">
                        <c:v>25.576388888890506</c:v>
                      </c:pt>
                      <c:pt idx="3684">
                        <c:v>25.583333333335759</c:v>
                      </c:pt>
                      <c:pt idx="3685">
                        <c:v>25.590277777781012</c:v>
                      </c:pt>
                      <c:pt idx="3686">
                        <c:v>25.597222222218988</c:v>
                      </c:pt>
                      <c:pt idx="3687">
                        <c:v>25.604166666664241</c:v>
                      </c:pt>
                      <c:pt idx="3688">
                        <c:v>25.611111111109494</c:v>
                      </c:pt>
                      <c:pt idx="3689">
                        <c:v>25.618055555554747</c:v>
                      </c:pt>
                      <c:pt idx="3690">
                        <c:v>25.625</c:v>
                      </c:pt>
                      <c:pt idx="3691">
                        <c:v>25.631944444445253</c:v>
                      </c:pt>
                      <c:pt idx="3692">
                        <c:v>25.638888888890506</c:v>
                      </c:pt>
                      <c:pt idx="3693">
                        <c:v>25.645833333335759</c:v>
                      </c:pt>
                      <c:pt idx="3694">
                        <c:v>25.652777777781012</c:v>
                      </c:pt>
                      <c:pt idx="3695">
                        <c:v>25.659722222218988</c:v>
                      </c:pt>
                      <c:pt idx="3696">
                        <c:v>25.666666666664241</c:v>
                      </c:pt>
                      <c:pt idx="3697">
                        <c:v>25.673611111109494</c:v>
                      </c:pt>
                      <c:pt idx="3698">
                        <c:v>25.680555555554747</c:v>
                      </c:pt>
                      <c:pt idx="3699">
                        <c:v>25.6875</c:v>
                      </c:pt>
                      <c:pt idx="3700">
                        <c:v>25.694444444445253</c:v>
                      </c:pt>
                      <c:pt idx="3701">
                        <c:v>25.701388888890506</c:v>
                      </c:pt>
                      <c:pt idx="3702">
                        <c:v>25.708333333335759</c:v>
                      </c:pt>
                      <c:pt idx="3703">
                        <c:v>25.715277777781012</c:v>
                      </c:pt>
                      <c:pt idx="3704">
                        <c:v>25.722222222218988</c:v>
                      </c:pt>
                      <c:pt idx="3705">
                        <c:v>25.729166666664241</c:v>
                      </c:pt>
                      <c:pt idx="3706">
                        <c:v>25.736111111109494</c:v>
                      </c:pt>
                      <c:pt idx="3707">
                        <c:v>25.743055555554747</c:v>
                      </c:pt>
                      <c:pt idx="3708">
                        <c:v>25.75</c:v>
                      </c:pt>
                      <c:pt idx="3709">
                        <c:v>25.756944444445253</c:v>
                      </c:pt>
                      <c:pt idx="3710">
                        <c:v>25.763888888890506</c:v>
                      </c:pt>
                      <c:pt idx="3711">
                        <c:v>25.770833333335759</c:v>
                      </c:pt>
                      <c:pt idx="3712">
                        <c:v>25.777777777781012</c:v>
                      </c:pt>
                      <c:pt idx="3713">
                        <c:v>25.784722222218988</c:v>
                      </c:pt>
                      <c:pt idx="3714">
                        <c:v>25.791666666664241</c:v>
                      </c:pt>
                      <c:pt idx="3715">
                        <c:v>25.798611111109494</c:v>
                      </c:pt>
                      <c:pt idx="3716">
                        <c:v>25.805555555554747</c:v>
                      </c:pt>
                      <c:pt idx="3717">
                        <c:v>25.8125</c:v>
                      </c:pt>
                      <c:pt idx="3718">
                        <c:v>25.819444444445253</c:v>
                      </c:pt>
                      <c:pt idx="3719">
                        <c:v>25.826388888890506</c:v>
                      </c:pt>
                      <c:pt idx="3720">
                        <c:v>25.833333333335759</c:v>
                      </c:pt>
                      <c:pt idx="3721">
                        <c:v>25.840277777781012</c:v>
                      </c:pt>
                      <c:pt idx="3722">
                        <c:v>25.847222222218988</c:v>
                      </c:pt>
                      <c:pt idx="3723">
                        <c:v>25.854166666664241</c:v>
                      </c:pt>
                      <c:pt idx="3724">
                        <c:v>25.861111111109494</c:v>
                      </c:pt>
                      <c:pt idx="3725">
                        <c:v>25.868055555554747</c:v>
                      </c:pt>
                      <c:pt idx="3726">
                        <c:v>25.875</c:v>
                      </c:pt>
                      <c:pt idx="3727">
                        <c:v>25.881944444445253</c:v>
                      </c:pt>
                      <c:pt idx="3728">
                        <c:v>25.888888888890506</c:v>
                      </c:pt>
                      <c:pt idx="3729">
                        <c:v>25.895833333335759</c:v>
                      </c:pt>
                      <c:pt idx="3730">
                        <c:v>25.902777777781012</c:v>
                      </c:pt>
                      <c:pt idx="3731">
                        <c:v>25.909722222218988</c:v>
                      </c:pt>
                      <c:pt idx="3732">
                        <c:v>25.916666666664241</c:v>
                      </c:pt>
                      <c:pt idx="3733">
                        <c:v>25.923611111109494</c:v>
                      </c:pt>
                      <c:pt idx="3734">
                        <c:v>25.930555555554747</c:v>
                      </c:pt>
                      <c:pt idx="3735">
                        <c:v>25.9375</c:v>
                      </c:pt>
                      <c:pt idx="3736">
                        <c:v>25.944444444445253</c:v>
                      </c:pt>
                      <c:pt idx="3737">
                        <c:v>25.951388888890506</c:v>
                      </c:pt>
                      <c:pt idx="3738">
                        <c:v>25.958333333335759</c:v>
                      </c:pt>
                      <c:pt idx="3739">
                        <c:v>25.965277777781012</c:v>
                      </c:pt>
                      <c:pt idx="3740">
                        <c:v>25.972222222218988</c:v>
                      </c:pt>
                      <c:pt idx="3741">
                        <c:v>25.979166666664241</c:v>
                      </c:pt>
                      <c:pt idx="3742">
                        <c:v>25.986111111109494</c:v>
                      </c:pt>
                      <c:pt idx="3743">
                        <c:v>25.993055555554747</c:v>
                      </c:pt>
                      <c:pt idx="3744">
                        <c:v>26</c:v>
                      </c:pt>
                      <c:pt idx="3745">
                        <c:v>26.006944444445253</c:v>
                      </c:pt>
                      <c:pt idx="3746">
                        <c:v>26.013888888890506</c:v>
                      </c:pt>
                      <c:pt idx="3747">
                        <c:v>26.020833333335759</c:v>
                      </c:pt>
                      <c:pt idx="3748">
                        <c:v>26.027777777781012</c:v>
                      </c:pt>
                      <c:pt idx="3749">
                        <c:v>26.034722222218988</c:v>
                      </c:pt>
                      <c:pt idx="3750">
                        <c:v>26.041666666664241</c:v>
                      </c:pt>
                      <c:pt idx="3751">
                        <c:v>26.048611111109494</c:v>
                      </c:pt>
                      <c:pt idx="3752">
                        <c:v>26.055555555554747</c:v>
                      </c:pt>
                      <c:pt idx="3753">
                        <c:v>26.0625</c:v>
                      </c:pt>
                      <c:pt idx="3754">
                        <c:v>26.069444444445253</c:v>
                      </c:pt>
                      <c:pt idx="3755">
                        <c:v>26.076388888890506</c:v>
                      </c:pt>
                      <c:pt idx="3756">
                        <c:v>26.083333333335759</c:v>
                      </c:pt>
                      <c:pt idx="3757">
                        <c:v>26.090277777781012</c:v>
                      </c:pt>
                      <c:pt idx="3758">
                        <c:v>26.097222222218988</c:v>
                      </c:pt>
                      <c:pt idx="3759">
                        <c:v>26.104166666664241</c:v>
                      </c:pt>
                      <c:pt idx="3760">
                        <c:v>26.111111111109494</c:v>
                      </c:pt>
                      <c:pt idx="3761">
                        <c:v>26.118055555554747</c:v>
                      </c:pt>
                      <c:pt idx="3762">
                        <c:v>26.125</c:v>
                      </c:pt>
                      <c:pt idx="3763">
                        <c:v>26.131944444445253</c:v>
                      </c:pt>
                      <c:pt idx="3764">
                        <c:v>26.138888888890506</c:v>
                      </c:pt>
                      <c:pt idx="3765">
                        <c:v>26.145833333335759</c:v>
                      </c:pt>
                      <c:pt idx="3766">
                        <c:v>26.152777777781012</c:v>
                      </c:pt>
                      <c:pt idx="3767">
                        <c:v>26.159722222218988</c:v>
                      </c:pt>
                      <c:pt idx="3768">
                        <c:v>26.166666666664241</c:v>
                      </c:pt>
                      <c:pt idx="3769">
                        <c:v>26.173611111109494</c:v>
                      </c:pt>
                      <c:pt idx="3770">
                        <c:v>26.180555555554747</c:v>
                      </c:pt>
                      <c:pt idx="3771">
                        <c:v>26.1875</c:v>
                      </c:pt>
                      <c:pt idx="3772">
                        <c:v>26.194444444445253</c:v>
                      </c:pt>
                      <c:pt idx="3773">
                        <c:v>26.201388888890506</c:v>
                      </c:pt>
                      <c:pt idx="3774">
                        <c:v>26.208333333335759</c:v>
                      </c:pt>
                      <c:pt idx="3775">
                        <c:v>26.215277777781012</c:v>
                      </c:pt>
                      <c:pt idx="3776">
                        <c:v>26.222222222218988</c:v>
                      </c:pt>
                      <c:pt idx="3777">
                        <c:v>26.229166666664241</c:v>
                      </c:pt>
                      <c:pt idx="3778">
                        <c:v>26.236111111109494</c:v>
                      </c:pt>
                      <c:pt idx="3779">
                        <c:v>26.243055555554747</c:v>
                      </c:pt>
                      <c:pt idx="3780">
                        <c:v>26.25</c:v>
                      </c:pt>
                      <c:pt idx="3781">
                        <c:v>26.256944444445253</c:v>
                      </c:pt>
                      <c:pt idx="3782">
                        <c:v>26.263888888890506</c:v>
                      </c:pt>
                      <c:pt idx="3783">
                        <c:v>26.270833333335759</c:v>
                      </c:pt>
                      <c:pt idx="3784">
                        <c:v>26.277777777781012</c:v>
                      </c:pt>
                      <c:pt idx="3785">
                        <c:v>26.284722222218988</c:v>
                      </c:pt>
                      <c:pt idx="3786">
                        <c:v>26.291666666664241</c:v>
                      </c:pt>
                      <c:pt idx="3787">
                        <c:v>26.298611111109494</c:v>
                      </c:pt>
                      <c:pt idx="3788">
                        <c:v>26.305555555554747</c:v>
                      </c:pt>
                      <c:pt idx="3789">
                        <c:v>26.3125</c:v>
                      </c:pt>
                      <c:pt idx="3790">
                        <c:v>26.319444444445253</c:v>
                      </c:pt>
                      <c:pt idx="3791">
                        <c:v>26.326388888890506</c:v>
                      </c:pt>
                      <c:pt idx="3792">
                        <c:v>26.333333333335759</c:v>
                      </c:pt>
                      <c:pt idx="3793">
                        <c:v>26.340277777781012</c:v>
                      </c:pt>
                      <c:pt idx="3794">
                        <c:v>26.347222222218988</c:v>
                      </c:pt>
                      <c:pt idx="3795">
                        <c:v>26.354166666664241</c:v>
                      </c:pt>
                      <c:pt idx="3796">
                        <c:v>26.361111111109494</c:v>
                      </c:pt>
                      <c:pt idx="3797">
                        <c:v>26.368055555554747</c:v>
                      </c:pt>
                      <c:pt idx="3798">
                        <c:v>26.375</c:v>
                      </c:pt>
                      <c:pt idx="3799">
                        <c:v>26.381944444445253</c:v>
                      </c:pt>
                      <c:pt idx="3800">
                        <c:v>26.388888888890506</c:v>
                      </c:pt>
                      <c:pt idx="3801">
                        <c:v>26.395833333335759</c:v>
                      </c:pt>
                      <c:pt idx="3802">
                        <c:v>26.402777777781012</c:v>
                      </c:pt>
                      <c:pt idx="3803">
                        <c:v>26.409722222218988</c:v>
                      </c:pt>
                      <c:pt idx="3804">
                        <c:v>26.416666666664241</c:v>
                      </c:pt>
                      <c:pt idx="3805">
                        <c:v>26.423611111109494</c:v>
                      </c:pt>
                      <c:pt idx="3806">
                        <c:v>26.430555555554747</c:v>
                      </c:pt>
                      <c:pt idx="3807">
                        <c:v>26.4375</c:v>
                      </c:pt>
                      <c:pt idx="3808">
                        <c:v>26.444444444445253</c:v>
                      </c:pt>
                      <c:pt idx="3809">
                        <c:v>26.451388888890506</c:v>
                      </c:pt>
                      <c:pt idx="3810">
                        <c:v>26.458333333335759</c:v>
                      </c:pt>
                      <c:pt idx="3811">
                        <c:v>26.465277777781012</c:v>
                      </c:pt>
                      <c:pt idx="3812">
                        <c:v>26.472222222218988</c:v>
                      </c:pt>
                      <c:pt idx="3813">
                        <c:v>26.479166666664241</c:v>
                      </c:pt>
                      <c:pt idx="3814">
                        <c:v>26.486111111109494</c:v>
                      </c:pt>
                      <c:pt idx="3815">
                        <c:v>26.493055555554747</c:v>
                      </c:pt>
                      <c:pt idx="3816">
                        <c:v>26.5</c:v>
                      </c:pt>
                      <c:pt idx="3817">
                        <c:v>26.506944444445253</c:v>
                      </c:pt>
                      <c:pt idx="3818">
                        <c:v>26.513888888890506</c:v>
                      </c:pt>
                      <c:pt idx="3819">
                        <c:v>26.520833333335759</c:v>
                      </c:pt>
                      <c:pt idx="3820">
                        <c:v>26.527777777781012</c:v>
                      </c:pt>
                      <c:pt idx="3821">
                        <c:v>26.534722222218988</c:v>
                      </c:pt>
                      <c:pt idx="3822">
                        <c:v>26.541666666664241</c:v>
                      </c:pt>
                      <c:pt idx="3823">
                        <c:v>26.548611111109494</c:v>
                      </c:pt>
                      <c:pt idx="3824">
                        <c:v>26.555555555554747</c:v>
                      </c:pt>
                      <c:pt idx="3825">
                        <c:v>26.5625</c:v>
                      </c:pt>
                      <c:pt idx="3826">
                        <c:v>26.569444444445253</c:v>
                      </c:pt>
                      <c:pt idx="3827">
                        <c:v>26.576388888890506</c:v>
                      </c:pt>
                      <c:pt idx="3828">
                        <c:v>26.583333333335759</c:v>
                      </c:pt>
                      <c:pt idx="3829">
                        <c:v>26.590277777781012</c:v>
                      </c:pt>
                      <c:pt idx="3830">
                        <c:v>26.597222222218988</c:v>
                      </c:pt>
                      <c:pt idx="3831">
                        <c:v>26.604166666664241</c:v>
                      </c:pt>
                      <c:pt idx="3832">
                        <c:v>26.611111111109494</c:v>
                      </c:pt>
                      <c:pt idx="3833">
                        <c:v>26.618055555554747</c:v>
                      </c:pt>
                      <c:pt idx="3834">
                        <c:v>26.625</c:v>
                      </c:pt>
                      <c:pt idx="3835">
                        <c:v>26.631944444445253</c:v>
                      </c:pt>
                      <c:pt idx="3836">
                        <c:v>26.638888888890506</c:v>
                      </c:pt>
                      <c:pt idx="3837">
                        <c:v>26.645833333335759</c:v>
                      </c:pt>
                      <c:pt idx="3838">
                        <c:v>26.652777777781012</c:v>
                      </c:pt>
                      <c:pt idx="3839">
                        <c:v>26.659722222218988</c:v>
                      </c:pt>
                      <c:pt idx="3840">
                        <c:v>26.666666666664241</c:v>
                      </c:pt>
                      <c:pt idx="3841">
                        <c:v>26.673611111109494</c:v>
                      </c:pt>
                      <c:pt idx="3842">
                        <c:v>26.680555555554747</c:v>
                      </c:pt>
                      <c:pt idx="3843">
                        <c:v>26.6875</c:v>
                      </c:pt>
                      <c:pt idx="3844">
                        <c:v>26.694444444445253</c:v>
                      </c:pt>
                      <c:pt idx="3845">
                        <c:v>26.701388888890506</c:v>
                      </c:pt>
                      <c:pt idx="3846">
                        <c:v>26.708333333335759</c:v>
                      </c:pt>
                      <c:pt idx="3847">
                        <c:v>26.715277777781012</c:v>
                      </c:pt>
                      <c:pt idx="3848">
                        <c:v>26.722222222218988</c:v>
                      </c:pt>
                      <c:pt idx="3849">
                        <c:v>26.729166666664241</c:v>
                      </c:pt>
                      <c:pt idx="3850">
                        <c:v>26.736111111109494</c:v>
                      </c:pt>
                      <c:pt idx="3851">
                        <c:v>26.743055555554747</c:v>
                      </c:pt>
                      <c:pt idx="3852">
                        <c:v>26.75</c:v>
                      </c:pt>
                      <c:pt idx="3853">
                        <c:v>26.756944444445253</c:v>
                      </c:pt>
                      <c:pt idx="3854">
                        <c:v>26.763888888890506</c:v>
                      </c:pt>
                      <c:pt idx="3855">
                        <c:v>26.770833333335759</c:v>
                      </c:pt>
                      <c:pt idx="3856">
                        <c:v>26.777777777781012</c:v>
                      </c:pt>
                      <c:pt idx="3857">
                        <c:v>26.784722222218988</c:v>
                      </c:pt>
                      <c:pt idx="3858">
                        <c:v>26.791666666664241</c:v>
                      </c:pt>
                      <c:pt idx="3859">
                        <c:v>26.798611111109494</c:v>
                      </c:pt>
                      <c:pt idx="3860">
                        <c:v>26.805555555554747</c:v>
                      </c:pt>
                      <c:pt idx="3861">
                        <c:v>26.8125</c:v>
                      </c:pt>
                      <c:pt idx="3862">
                        <c:v>26.819444444445253</c:v>
                      </c:pt>
                      <c:pt idx="3863">
                        <c:v>26.826388888890506</c:v>
                      </c:pt>
                      <c:pt idx="3864">
                        <c:v>26.833333333335759</c:v>
                      </c:pt>
                      <c:pt idx="3865">
                        <c:v>26.840277777781012</c:v>
                      </c:pt>
                      <c:pt idx="3866">
                        <c:v>26.847222222218988</c:v>
                      </c:pt>
                      <c:pt idx="3867">
                        <c:v>26.854166666664241</c:v>
                      </c:pt>
                      <c:pt idx="3868">
                        <c:v>26.861111111109494</c:v>
                      </c:pt>
                      <c:pt idx="3869">
                        <c:v>26.868055555554747</c:v>
                      </c:pt>
                      <c:pt idx="3870">
                        <c:v>26.875</c:v>
                      </c:pt>
                      <c:pt idx="3871">
                        <c:v>26.881944444445253</c:v>
                      </c:pt>
                      <c:pt idx="3872">
                        <c:v>26.888888888890506</c:v>
                      </c:pt>
                      <c:pt idx="3873">
                        <c:v>26.895833333335759</c:v>
                      </c:pt>
                      <c:pt idx="3874">
                        <c:v>26.902777777781012</c:v>
                      </c:pt>
                      <c:pt idx="3875">
                        <c:v>26.909722222218988</c:v>
                      </c:pt>
                      <c:pt idx="3876">
                        <c:v>26.916666666664241</c:v>
                      </c:pt>
                      <c:pt idx="3877">
                        <c:v>26.923611111109494</c:v>
                      </c:pt>
                      <c:pt idx="3878">
                        <c:v>26.930555555554747</c:v>
                      </c:pt>
                      <c:pt idx="3879">
                        <c:v>26.9375</c:v>
                      </c:pt>
                      <c:pt idx="3880">
                        <c:v>26.944444444445253</c:v>
                      </c:pt>
                      <c:pt idx="3881">
                        <c:v>26.951388888890506</c:v>
                      </c:pt>
                      <c:pt idx="3882">
                        <c:v>26.958333333335759</c:v>
                      </c:pt>
                      <c:pt idx="3883">
                        <c:v>26.965277777781012</c:v>
                      </c:pt>
                      <c:pt idx="3884">
                        <c:v>26.972222222218988</c:v>
                      </c:pt>
                      <c:pt idx="3885">
                        <c:v>26.979166666664241</c:v>
                      </c:pt>
                      <c:pt idx="3886">
                        <c:v>26.986111111109494</c:v>
                      </c:pt>
                      <c:pt idx="3887">
                        <c:v>26.993055555554747</c:v>
                      </c:pt>
                      <c:pt idx="3888">
                        <c:v>27</c:v>
                      </c:pt>
                      <c:pt idx="3889">
                        <c:v>27.006944444445253</c:v>
                      </c:pt>
                      <c:pt idx="3890">
                        <c:v>27.013888888890506</c:v>
                      </c:pt>
                      <c:pt idx="3891">
                        <c:v>27.020833333335759</c:v>
                      </c:pt>
                      <c:pt idx="3892">
                        <c:v>27.027777777781012</c:v>
                      </c:pt>
                      <c:pt idx="3893">
                        <c:v>27.034722222218988</c:v>
                      </c:pt>
                      <c:pt idx="3894">
                        <c:v>27.041666666664241</c:v>
                      </c:pt>
                      <c:pt idx="3895">
                        <c:v>27.048611111109494</c:v>
                      </c:pt>
                      <c:pt idx="3896">
                        <c:v>27.055555555554747</c:v>
                      </c:pt>
                      <c:pt idx="3897">
                        <c:v>27.0625</c:v>
                      </c:pt>
                      <c:pt idx="3898">
                        <c:v>27.069444444445253</c:v>
                      </c:pt>
                      <c:pt idx="3899">
                        <c:v>27.076388888890506</c:v>
                      </c:pt>
                      <c:pt idx="3900">
                        <c:v>27.083333333335759</c:v>
                      </c:pt>
                      <c:pt idx="3901">
                        <c:v>27.090277777781012</c:v>
                      </c:pt>
                      <c:pt idx="3902">
                        <c:v>27.097222222218988</c:v>
                      </c:pt>
                      <c:pt idx="3903">
                        <c:v>27.104166666664241</c:v>
                      </c:pt>
                      <c:pt idx="3904">
                        <c:v>27.111111111109494</c:v>
                      </c:pt>
                      <c:pt idx="3905">
                        <c:v>27.118055555554747</c:v>
                      </c:pt>
                      <c:pt idx="3906">
                        <c:v>27.125</c:v>
                      </c:pt>
                      <c:pt idx="3907">
                        <c:v>27.131944444445253</c:v>
                      </c:pt>
                      <c:pt idx="3908">
                        <c:v>27.138888888890506</c:v>
                      </c:pt>
                      <c:pt idx="3909">
                        <c:v>27.145833333335759</c:v>
                      </c:pt>
                      <c:pt idx="3910">
                        <c:v>27.152777777781012</c:v>
                      </c:pt>
                      <c:pt idx="3911">
                        <c:v>27.159722222218988</c:v>
                      </c:pt>
                      <c:pt idx="3912">
                        <c:v>27.166666666664241</c:v>
                      </c:pt>
                      <c:pt idx="3913">
                        <c:v>27.173611111109494</c:v>
                      </c:pt>
                      <c:pt idx="3914">
                        <c:v>27.180555555554747</c:v>
                      </c:pt>
                      <c:pt idx="3915">
                        <c:v>27.1875</c:v>
                      </c:pt>
                      <c:pt idx="3916">
                        <c:v>27.194444444445253</c:v>
                      </c:pt>
                      <c:pt idx="3917">
                        <c:v>27.201388888890506</c:v>
                      </c:pt>
                      <c:pt idx="3918">
                        <c:v>27.208333333335759</c:v>
                      </c:pt>
                      <c:pt idx="3919">
                        <c:v>27.215277777781012</c:v>
                      </c:pt>
                      <c:pt idx="3920">
                        <c:v>27.222222222218988</c:v>
                      </c:pt>
                      <c:pt idx="3921">
                        <c:v>27.229166666664241</c:v>
                      </c:pt>
                      <c:pt idx="3922">
                        <c:v>27.236111111109494</c:v>
                      </c:pt>
                      <c:pt idx="3923">
                        <c:v>27.243055555554747</c:v>
                      </c:pt>
                      <c:pt idx="3924">
                        <c:v>27.25</c:v>
                      </c:pt>
                      <c:pt idx="3925">
                        <c:v>27.256944444445253</c:v>
                      </c:pt>
                      <c:pt idx="3926">
                        <c:v>27.263888888890506</c:v>
                      </c:pt>
                      <c:pt idx="3927">
                        <c:v>27.270833333335759</c:v>
                      </c:pt>
                      <c:pt idx="3928">
                        <c:v>27.277777777781012</c:v>
                      </c:pt>
                      <c:pt idx="3929">
                        <c:v>27.284722222218988</c:v>
                      </c:pt>
                      <c:pt idx="3930">
                        <c:v>27.291666666664241</c:v>
                      </c:pt>
                      <c:pt idx="3931">
                        <c:v>27.298611111109494</c:v>
                      </c:pt>
                      <c:pt idx="3932">
                        <c:v>27.305555555554747</c:v>
                      </c:pt>
                      <c:pt idx="3933">
                        <c:v>27.3125</c:v>
                      </c:pt>
                      <c:pt idx="3934">
                        <c:v>27.319444444445253</c:v>
                      </c:pt>
                      <c:pt idx="3935">
                        <c:v>27.326388888890506</c:v>
                      </c:pt>
                      <c:pt idx="3936">
                        <c:v>27.333333333335759</c:v>
                      </c:pt>
                      <c:pt idx="3937">
                        <c:v>27.340277777781012</c:v>
                      </c:pt>
                      <c:pt idx="3938">
                        <c:v>27.347222222218988</c:v>
                      </c:pt>
                      <c:pt idx="3939">
                        <c:v>27.354166666664241</c:v>
                      </c:pt>
                      <c:pt idx="3940">
                        <c:v>27.361111111109494</c:v>
                      </c:pt>
                      <c:pt idx="3941">
                        <c:v>27.368055555554747</c:v>
                      </c:pt>
                      <c:pt idx="3942">
                        <c:v>27.375</c:v>
                      </c:pt>
                      <c:pt idx="3943">
                        <c:v>27.381944444445253</c:v>
                      </c:pt>
                      <c:pt idx="3944">
                        <c:v>27.388888888890506</c:v>
                      </c:pt>
                      <c:pt idx="3945">
                        <c:v>27.395833333335759</c:v>
                      </c:pt>
                      <c:pt idx="3946">
                        <c:v>27.402777777781012</c:v>
                      </c:pt>
                      <c:pt idx="3947">
                        <c:v>27.409722222218988</c:v>
                      </c:pt>
                      <c:pt idx="3948">
                        <c:v>27.416666666664241</c:v>
                      </c:pt>
                      <c:pt idx="3949">
                        <c:v>27.423611111109494</c:v>
                      </c:pt>
                      <c:pt idx="3950">
                        <c:v>27.430555555554747</c:v>
                      </c:pt>
                      <c:pt idx="3951">
                        <c:v>27.4375</c:v>
                      </c:pt>
                      <c:pt idx="3952">
                        <c:v>27.444444444445253</c:v>
                      </c:pt>
                      <c:pt idx="3953">
                        <c:v>27.451388888890506</c:v>
                      </c:pt>
                      <c:pt idx="3954">
                        <c:v>27.458333333335759</c:v>
                      </c:pt>
                      <c:pt idx="3955">
                        <c:v>27.465277777781012</c:v>
                      </c:pt>
                      <c:pt idx="3956">
                        <c:v>27.472222222218988</c:v>
                      </c:pt>
                      <c:pt idx="3957">
                        <c:v>27.479166666664241</c:v>
                      </c:pt>
                      <c:pt idx="3958">
                        <c:v>27.486111111109494</c:v>
                      </c:pt>
                      <c:pt idx="3959">
                        <c:v>27.493055555554747</c:v>
                      </c:pt>
                      <c:pt idx="3960">
                        <c:v>27.5</c:v>
                      </c:pt>
                      <c:pt idx="3961">
                        <c:v>27.506944444445253</c:v>
                      </c:pt>
                      <c:pt idx="3962">
                        <c:v>27.513888888890506</c:v>
                      </c:pt>
                      <c:pt idx="3963">
                        <c:v>27.520833333335759</c:v>
                      </c:pt>
                      <c:pt idx="3964">
                        <c:v>27.527777777781012</c:v>
                      </c:pt>
                      <c:pt idx="3965">
                        <c:v>27.534722222218988</c:v>
                      </c:pt>
                      <c:pt idx="3966">
                        <c:v>27.541666666664241</c:v>
                      </c:pt>
                      <c:pt idx="3967">
                        <c:v>27.548611111109494</c:v>
                      </c:pt>
                      <c:pt idx="3968">
                        <c:v>27.555555555554747</c:v>
                      </c:pt>
                      <c:pt idx="3969">
                        <c:v>27.5625</c:v>
                      </c:pt>
                      <c:pt idx="3970">
                        <c:v>27.569444444445253</c:v>
                      </c:pt>
                      <c:pt idx="3971">
                        <c:v>27.576388888890506</c:v>
                      </c:pt>
                      <c:pt idx="3972">
                        <c:v>27.583333333335759</c:v>
                      </c:pt>
                      <c:pt idx="3973">
                        <c:v>27.590277777781012</c:v>
                      </c:pt>
                      <c:pt idx="3974">
                        <c:v>27.597222222218988</c:v>
                      </c:pt>
                      <c:pt idx="3975">
                        <c:v>27.604166666664241</c:v>
                      </c:pt>
                      <c:pt idx="3976">
                        <c:v>27.611111111109494</c:v>
                      </c:pt>
                      <c:pt idx="3977">
                        <c:v>27.618055555554747</c:v>
                      </c:pt>
                      <c:pt idx="3978">
                        <c:v>27.625</c:v>
                      </c:pt>
                      <c:pt idx="3979">
                        <c:v>27.631944444445253</c:v>
                      </c:pt>
                      <c:pt idx="3980">
                        <c:v>27.638888888890506</c:v>
                      </c:pt>
                      <c:pt idx="3981">
                        <c:v>27.645833333335759</c:v>
                      </c:pt>
                      <c:pt idx="3982">
                        <c:v>27.652777777781012</c:v>
                      </c:pt>
                      <c:pt idx="3983">
                        <c:v>27.659722222218988</c:v>
                      </c:pt>
                      <c:pt idx="3984">
                        <c:v>27.666666666664241</c:v>
                      </c:pt>
                      <c:pt idx="3985">
                        <c:v>27.673611111109494</c:v>
                      </c:pt>
                      <c:pt idx="3986">
                        <c:v>27.680555555554747</c:v>
                      </c:pt>
                      <c:pt idx="3987">
                        <c:v>27.6875</c:v>
                      </c:pt>
                      <c:pt idx="3988">
                        <c:v>27.694444444445253</c:v>
                      </c:pt>
                      <c:pt idx="3989">
                        <c:v>27.701388888890506</c:v>
                      </c:pt>
                      <c:pt idx="3990">
                        <c:v>27.708333333335759</c:v>
                      </c:pt>
                      <c:pt idx="3991">
                        <c:v>27.715277777781012</c:v>
                      </c:pt>
                      <c:pt idx="3992">
                        <c:v>27.722222222218988</c:v>
                      </c:pt>
                      <c:pt idx="3993">
                        <c:v>27.729166666664241</c:v>
                      </c:pt>
                      <c:pt idx="3994">
                        <c:v>27.736111111109494</c:v>
                      </c:pt>
                      <c:pt idx="3995">
                        <c:v>27.743055555554747</c:v>
                      </c:pt>
                      <c:pt idx="3996">
                        <c:v>27.75</c:v>
                      </c:pt>
                      <c:pt idx="3997">
                        <c:v>27.756944444445253</c:v>
                      </c:pt>
                      <c:pt idx="3998">
                        <c:v>27.763888888890506</c:v>
                      </c:pt>
                      <c:pt idx="3999">
                        <c:v>27.770833333335759</c:v>
                      </c:pt>
                      <c:pt idx="4000">
                        <c:v>27.777777777781012</c:v>
                      </c:pt>
                      <c:pt idx="4001">
                        <c:v>27.784722222218988</c:v>
                      </c:pt>
                      <c:pt idx="4002">
                        <c:v>27.791666666664241</c:v>
                      </c:pt>
                      <c:pt idx="4003">
                        <c:v>27.798611111109494</c:v>
                      </c:pt>
                      <c:pt idx="4004">
                        <c:v>27.805555555554747</c:v>
                      </c:pt>
                      <c:pt idx="4005">
                        <c:v>27.8125</c:v>
                      </c:pt>
                      <c:pt idx="4006">
                        <c:v>27.819444444445253</c:v>
                      </c:pt>
                      <c:pt idx="4007">
                        <c:v>27.826388888890506</c:v>
                      </c:pt>
                      <c:pt idx="4008">
                        <c:v>27.833333333335759</c:v>
                      </c:pt>
                      <c:pt idx="4009">
                        <c:v>27.840277777781012</c:v>
                      </c:pt>
                      <c:pt idx="4010">
                        <c:v>27.847222222218988</c:v>
                      </c:pt>
                      <c:pt idx="4011">
                        <c:v>27.854166666664241</c:v>
                      </c:pt>
                      <c:pt idx="4012">
                        <c:v>27.861111111109494</c:v>
                      </c:pt>
                      <c:pt idx="4013">
                        <c:v>27.868055555554747</c:v>
                      </c:pt>
                      <c:pt idx="4014">
                        <c:v>27.875</c:v>
                      </c:pt>
                      <c:pt idx="4015">
                        <c:v>27.881944444445253</c:v>
                      </c:pt>
                      <c:pt idx="4016">
                        <c:v>27.888888888890506</c:v>
                      </c:pt>
                      <c:pt idx="4017">
                        <c:v>27.895833333335759</c:v>
                      </c:pt>
                      <c:pt idx="4018">
                        <c:v>27.902777777781012</c:v>
                      </c:pt>
                      <c:pt idx="4019">
                        <c:v>27.909722222218988</c:v>
                      </c:pt>
                      <c:pt idx="4020">
                        <c:v>27.916666666664241</c:v>
                      </c:pt>
                      <c:pt idx="4021">
                        <c:v>27.923611111109494</c:v>
                      </c:pt>
                      <c:pt idx="4022">
                        <c:v>27.930555555554747</c:v>
                      </c:pt>
                      <c:pt idx="4023">
                        <c:v>27.9375</c:v>
                      </c:pt>
                      <c:pt idx="4024">
                        <c:v>27.944444444445253</c:v>
                      </c:pt>
                      <c:pt idx="4025">
                        <c:v>27.951388888890506</c:v>
                      </c:pt>
                      <c:pt idx="4026">
                        <c:v>27.958333333335759</c:v>
                      </c:pt>
                      <c:pt idx="4027">
                        <c:v>27.965277777781012</c:v>
                      </c:pt>
                      <c:pt idx="4028">
                        <c:v>27.972222222218988</c:v>
                      </c:pt>
                      <c:pt idx="4029">
                        <c:v>27.979166666664241</c:v>
                      </c:pt>
                      <c:pt idx="4030">
                        <c:v>27.986111111109494</c:v>
                      </c:pt>
                      <c:pt idx="4031">
                        <c:v>27.993055555554747</c:v>
                      </c:pt>
                      <c:pt idx="4032">
                        <c:v>28</c:v>
                      </c:pt>
                      <c:pt idx="4033">
                        <c:v>28.006944444445253</c:v>
                      </c:pt>
                      <c:pt idx="4034">
                        <c:v>28.013888888890506</c:v>
                      </c:pt>
                      <c:pt idx="4035">
                        <c:v>28.020833333335759</c:v>
                      </c:pt>
                      <c:pt idx="4036">
                        <c:v>28.027777777781012</c:v>
                      </c:pt>
                      <c:pt idx="4037">
                        <c:v>28.034722222218988</c:v>
                      </c:pt>
                      <c:pt idx="4038">
                        <c:v>28.041666666664241</c:v>
                      </c:pt>
                      <c:pt idx="4039">
                        <c:v>28.048611111109494</c:v>
                      </c:pt>
                      <c:pt idx="4040">
                        <c:v>28.055555555554747</c:v>
                      </c:pt>
                      <c:pt idx="4041">
                        <c:v>28.0625</c:v>
                      </c:pt>
                      <c:pt idx="4042">
                        <c:v>28.069444444445253</c:v>
                      </c:pt>
                      <c:pt idx="4043">
                        <c:v>28.076388888890506</c:v>
                      </c:pt>
                      <c:pt idx="4044">
                        <c:v>28.083333333335759</c:v>
                      </c:pt>
                      <c:pt idx="4045">
                        <c:v>28.090277777781012</c:v>
                      </c:pt>
                      <c:pt idx="4046">
                        <c:v>28.097222222218988</c:v>
                      </c:pt>
                      <c:pt idx="4047">
                        <c:v>28.104166666664241</c:v>
                      </c:pt>
                      <c:pt idx="4048">
                        <c:v>28.111111111109494</c:v>
                      </c:pt>
                      <c:pt idx="4049">
                        <c:v>28.118055555554747</c:v>
                      </c:pt>
                      <c:pt idx="4050">
                        <c:v>28.125</c:v>
                      </c:pt>
                      <c:pt idx="4051">
                        <c:v>28.131944444445253</c:v>
                      </c:pt>
                      <c:pt idx="4052">
                        <c:v>28.138888888890506</c:v>
                      </c:pt>
                      <c:pt idx="4053">
                        <c:v>28.145833333335759</c:v>
                      </c:pt>
                      <c:pt idx="4054">
                        <c:v>28.152777777781012</c:v>
                      </c:pt>
                      <c:pt idx="4055">
                        <c:v>28.159722222218988</c:v>
                      </c:pt>
                      <c:pt idx="4056">
                        <c:v>28.166666666664241</c:v>
                      </c:pt>
                      <c:pt idx="4057">
                        <c:v>28.173611111109494</c:v>
                      </c:pt>
                      <c:pt idx="4058">
                        <c:v>28.180555555554747</c:v>
                      </c:pt>
                      <c:pt idx="4059">
                        <c:v>28.1875</c:v>
                      </c:pt>
                      <c:pt idx="4060">
                        <c:v>28.194444444445253</c:v>
                      </c:pt>
                      <c:pt idx="4061">
                        <c:v>28.201388888890506</c:v>
                      </c:pt>
                      <c:pt idx="4062">
                        <c:v>28.208333333335759</c:v>
                      </c:pt>
                      <c:pt idx="4063">
                        <c:v>28.215277777781012</c:v>
                      </c:pt>
                      <c:pt idx="4064">
                        <c:v>28.222222222218988</c:v>
                      </c:pt>
                      <c:pt idx="4065">
                        <c:v>28.229166666664241</c:v>
                      </c:pt>
                      <c:pt idx="4066">
                        <c:v>28.236111111109494</c:v>
                      </c:pt>
                      <c:pt idx="4067">
                        <c:v>28.243055555554747</c:v>
                      </c:pt>
                      <c:pt idx="4068">
                        <c:v>28.25</c:v>
                      </c:pt>
                      <c:pt idx="4069">
                        <c:v>28.256944444445253</c:v>
                      </c:pt>
                      <c:pt idx="4070">
                        <c:v>28.263888888890506</c:v>
                      </c:pt>
                      <c:pt idx="4071">
                        <c:v>28.270833333335759</c:v>
                      </c:pt>
                      <c:pt idx="4072">
                        <c:v>28.277777777781012</c:v>
                      </c:pt>
                      <c:pt idx="4073">
                        <c:v>28.284722222218988</c:v>
                      </c:pt>
                      <c:pt idx="4074">
                        <c:v>28.291666666664241</c:v>
                      </c:pt>
                      <c:pt idx="4075">
                        <c:v>28.298611111109494</c:v>
                      </c:pt>
                      <c:pt idx="4076">
                        <c:v>28.305555555554747</c:v>
                      </c:pt>
                      <c:pt idx="4077">
                        <c:v>28.3125</c:v>
                      </c:pt>
                      <c:pt idx="4078">
                        <c:v>28.319444444445253</c:v>
                      </c:pt>
                      <c:pt idx="4079">
                        <c:v>28.326388888890506</c:v>
                      </c:pt>
                      <c:pt idx="4080">
                        <c:v>28.333333333335759</c:v>
                      </c:pt>
                      <c:pt idx="4081">
                        <c:v>28.340277777781012</c:v>
                      </c:pt>
                      <c:pt idx="4082">
                        <c:v>28.347222222218988</c:v>
                      </c:pt>
                      <c:pt idx="4083">
                        <c:v>28.354166666664241</c:v>
                      </c:pt>
                      <c:pt idx="4084">
                        <c:v>28.361111111109494</c:v>
                      </c:pt>
                      <c:pt idx="4085">
                        <c:v>28.368055555554747</c:v>
                      </c:pt>
                      <c:pt idx="4086">
                        <c:v>28.375</c:v>
                      </c:pt>
                      <c:pt idx="4087">
                        <c:v>28.381944444445253</c:v>
                      </c:pt>
                      <c:pt idx="4088">
                        <c:v>28.388888888890506</c:v>
                      </c:pt>
                      <c:pt idx="4089">
                        <c:v>28.395833333335759</c:v>
                      </c:pt>
                      <c:pt idx="4090">
                        <c:v>28.402777777781012</c:v>
                      </c:pt>
                      <c:pt idx="4091">
                        <c:v>28.409722222218988</c:v>
                      </c:pt>
                      <c:pt idx="4092">
                        <c:v>28.416666666664241</c:v>
                      </c:pt>
                      <c:pt idx="4093">
                        <c:v>28.423611111109494</c:v>
                      </c:pt>
                      <c:pt idx="4094">
                        <c:v>28.430555555554747</c:v>
                      </c:pt>
                      <c:pt idx="4095">
                        <c:v>28.4375</c:v>
                      </c:pt>
                      <c:pt idx="4096">
                        <c:v>28.444444444445253</c:v>
                      </c:pt>
                      <c:pt idx="4097">
                        <c:v>28.451388888890506</c:v>
                      </c:pt>
                      <c:pt idx="4098">
                        <c:v>28.458333333335759</c:v>
                      </c:pt>
                      <c:pt idx="4099">
                        <c:v>28.465277777781012</c:v>
                      </c:pt>
                      <c:pt idx="4100">
                        <c:v>28.472222222218988</c:v>
                      </c:pt>
                      <c:pt idx="4101">
                        <c:v>28.479166666664241</c:v>
                      </c:pt>
                      <c:pt idx="4102">
                        <c:v>28.486111111109494</c:v>
                      </c:pt>
                      <c:pt idx="4103">
                        <c:v>28.493055555554747</c:v>
                      </c:pt>
                      <c:pt idx="4104">
                        <c:v>28.5</c:v>
                      </c:pt>
                      <c:pt idx="4105">
                        <c:v>28.506944444445253</c:v>
                      </c:pt>
                      <c:pt idx="4106">
                        <c:v>28.513888888890506</c:v>
                      </c:pt>
                      <c:pt idx="4107">
                        <c:v>28.520833333335759</c:v>
                      </c:pt>
                      <c:pt idx="4108">
                        <c:v>28.527777777781012</c:v>
                      </c:pt>
                      <c:pt idx="4109">
                        <c:v>28.534722222218988</c:v>
                      </c:pt>
                      <c:pt idx="4110">
                        <c:v>28.541666666664241</c:v>
                      </c:pt>
                      <c:pt idx="4111">
                        <c:v>28.548611111109494</c:v>
                      </c:pt>
                      <c:pt idx="4112">
                        <c:v>28.555555555554747</c:v>
                      </c:pt>
                      <c:pt idx="4113">
                        <c:v>28.5625</c:v>
                      </c:pt>
                      <c:pt idx="4114">
                        <c:v>28.569444444445253</c:v>
                      </c:pt>
                      <c:pt idx="4115">
                        <c:v>28.576388888890506</c:v>
                      </c:pt>
                      <c:pt idx="4116">
                        <c:v>28.583333333335759</c:v>
                      </c:pt>
                      <c:pt idx="4117">
                        <c:v>28.590277777781012</c:v>
                      </c:pt>
                      <c:pt idx="4118">
                        <c:v>28.597222222218988</c:v>
                      </c:pt>
                      <c:pt idx="4119">
                        <c:v>28.604166666664241</c:v>
                      </c:pt>
                      <c:pt idx="4120">
                        <c:v>28.611111111109494</c:v>
                      </c:pt>
                      <c:pt idx="4121">
                        <c:v>28.618055555554747</c:v>
                      </c:pt>
                      <c:pt idx="4122">
                        <c:v>28.625</c:v>
                      </c:pt>
                      <c:pt idx="4123">
                        <c:v>28.631944444445253</c:v>
                      </c:pt>
                      <c:pt idx="4124">
                        <c:v>28.638888888890506</c:v>
                      </c:pt>
                      <c:pt idx="4125">
                        <c:v>28.645833333335759</c:v>
                      </c:pt>
                      <c:pt idx="4126">
                        <c:v>28.652777777781012</c:v>
                      </c:pt>
                      <c:pt idx="4127">
                        <c:v>28.659722222218988</c:v>
                      </c:pt>
                      <c:pt idx="4128">
                        <c:v>28.666666666664241</c:v>
                      </c:pt>
                      <c:pt idx="4129">
                        <c:v>28.673611111109494</c:v>
                      </c:pt>
                      <c:pt idx="4130">
                        <c:v>28.680555555554747</c:v>
                      </c:pt>
                      <c:pt idx="4131">
                        <c:v>28.6875</c:v>
                      </c:pt>
                      <c:pt idx="4132">
                        <c:v>28.694444444445253</c:v>
                      </c:pt>
                      <c:pt idx="4133">
                        <c:v>28.701388888890506</c:v>
                      </c:pt>
                      <c:pt idx="4134">
                        <c:v>28.708333333335759</c:v>
                      </c:pt>
                      <c:pt idx="4135">
                        <c:v>28.715277777781012</c:v>
                      </c:pt>
                      <c:pt idx="4136">
                        <c:v>28.722222222218988</c:v>
                      </c:pt>
                      <c:pt idx="4137">
                        <c:v>28.729166666664241</c:v>
                      </c:pt>
                      <c:pt idx="4138">
                        <c:v>28.736111111109494</c:v>
                      </c:pt>
                      <c:pt idx="4139">
                        <c:v>28.743055555554747</c:v>
                      </c:pt>
                      <c:pt idx="4140">
                        <c:v>28.75</c:v>
                      </c:pt>
                      <c:pt idx="4141">
                        <c:v>28.756944444445253</c:v>
                      </c:pt>
                      <c:pt idx="4142">
                        <c:v>28.763888888890506</c:v>
                      </c:pt>
                      <c:pt idx="4143">
                        <c:v>28.770833333335759</c:v>
                      </c:pt>
                      <c:pt idx="4144">
                        <c:v>28.777777777781012</c:v>
                      </c:pt>
                      <c:pt idx="4145">
                        <c:v>28.784722222218988</c:v>
                      </c:pt>
                      <c:pt idx="4146">
                        <c:v>28.791666666664241</c:v>
                      </c:pt>
                      <c:pt idx="4147">
                        <c:v>28.798611111109494</c:v>
                      </c:pt>
                      <c:pt idx="4148">
                        <c:v>28.805555555554747</c:v>
                      </c:pt>
                      <c:pt idx="4149">
                        <c:v>28.8125</c:v>
                      </c:pt>
                      <c:pt idx="4150">
                        <c:v>28.819444444445253</c:v>
                      </c:pt>
                      <c:pt idx="4151">
                        <c:v>28.826388888890506</c:v>
                      </c:pt>
                      <c:pt idx="4152">
                        <c:v>28.833333333335759</c:v>
                      </c:pt>
                      <c:pt idx="4153">
                        <c:v>28.840277777781012</c:v>
                      </c:pt>
                      <c:pt idx="4154">
                        <c:v>28.847222222218988</c:v>
                      </c:pt>
                      <c:pt idx="4155">
                        <c:v>28.854166666664241</c:v>
                      </c:pt>
                      <c:pt idx="4156">
                        <c:v>28.861111111109494</c:v>
                      </c:pt>
                      <c:pt idx="4157">
                        <c:v>28.868055555554747</c:v>
                      </c:pt>
                      <c:pt idx="4158">
                        <c:v>28.875</c:v>
                      </c:pt>
                      <c:pt idx="4159">
                        <c:v>28.881944444445253</c:v>
                      </c:pt>
                      <c:pt idx="4160">
                        <c:v>28.888888888890506</c:v>
                      </c:pt>
                      <c:pt idx="4161">
                        <c:v>28.895833333335759</c:v>
                      </c:pt>
                      <c:pt idx="4162">
                        <c:v>28.902777777781012</c:v>
                      </c:pt>
                      <c:pt idx="4163">
                        <c:v>28.909722222218988</c:v>
                      </c:pt>
                      <c:pt idx="4164">
                        <c:v>28.916666666664241</c:v>
                      </c:pt>
                      <c:pt idx="4165">
                        <c:v>28.923611111109494</c:v>
                      </c:pt>
                      <c:pt idx="4166">
                        <c:v>28.930555555554747</c:v>
                      </c:pt>
                      <c:pt idx="4167">
                        <c:v>28.9375</c:v>
                      </c:pt>
                      <c:pt idx="4168">
                        <c:v>28.944444444445253</c:v>
                      </c:pt>
                      <c:pt idx="4169">
                        <c:v>28.951388888890506</c:v>
                      </c:pt>
                      <c:pt idx="4170">
                        <c:v>28.958333333335759</c:v>
                      </c:pt>
                      <c:pt idx="4171">
                        <c:v>28.965277777781012</c:v>
                      </c:pt>
                      <c:pt idx="4172">
                        <c:v>28.972222222218988</c:v>
                      </c:pt>
                      <c:pt idx="4173">
                        <c:v>28.979166666664241</c:v>
                      </c:pt>
                      <c:pt idx="4174">
                        <c:v>28.986111111109494</c:v>
                      </c:pt>
                      <c:pt idx="4175">
                        <c:v>28.993055555554747</c:v>
                      </c:pt>
                      <c:pt idx="4176">
                        <c:v>29</c:v>
                      </c:pt>
                      <c:pt idx="4177">
                        <c:v>29.006944444445253</c:v>
                      </c:pt>
                      <c:pt idx="4178">
                        <c:v>29.013888888890506</c:v>
                      </c:pt>
                      <c:pt idx="4179">
                        <c:v>29.020833333335759</c:v>
                      </c:pt>
                      <c:pt idx="4180">
                        <c:v>29.027777777781012</c:v>
                      </c:pt>
                      <c:pt idx="4181">
                        <c:v>29.034722222218988</c:v>
                      </c:pt>
                      <c:pt idx="4182">
                        <c:v>29.041666666664241</c:v>
                      </c:pt>
                      <c:pt idx="4183">
                        <c:v>29.048611111109494</c:v>
                      </c:pt>
                      <c:pt idx="4184">
                        <c:v>29.055555555554747</c:v>
                      </c:pt>
                      <c:pt idx="4185">
                        <c:v>29.0625</c:v>
                      </c:pt>
                      <c:pt idx="4186">
                        <c:v>29.069444444445253</c:v>
                      </c:pt>
                      <c:pt idx="4187">
                        <c:v>29.076388888890506</c:v>
                      </c:pt>
                      <c:pt idx="4188">
                        <c:v>29.083333333335759</c:v>
                      </c:pt>
                      <c:pt idx="4189">
                        <c:v>29.090277777781012</c:v>
                      </c:pt>
                      <c:pt idx="4190">
                        <c:v>29.097222222218988</c:v>
                      </c:pt>
                      <c:pt idx="4191">
                        <c:v>29.104166666664241</c:v>
                      </c:pt>
                      <c:pt idx="4192">
                        <c:v>29.111111111109494</c:v>
                      </c:pt>
                      <c:pt idx="4193">
                        <c:v>29.118055555554747</c:v>
                      </c:pt>
                      <c:pt idx="4194">
                        <c:v>29.125</c:v>
                      </c:pt>
                      <c:pt idx="4195">
                        <c:v>29.131944444445253</c:v>
                      </c:pt>
                      <c:pt idx="4196">
                        <c:v>29.138888888890506</c:v>
                      </c:pt>
                      <c:pt idx="4197">
                        <c:v>29.145833333335759</c:v>
                      </c:pt>
                      <c:pt idx="4198">
                        <c:v>29.152777777781012</c:v>
                      </c:pt>
                      <c:pt idx="4199">
                        <c:v>29.159722222218988</c:v>
                      </c:pt>
                      <c:pt idx="4200">
                        <c:v>29.166666666664241</c:v>
                      </c:pt>
                      <c:pt idx="4201">
                        <c:v>29.173611111109494</c:v>
                      </c:pt>
                      <c:pt idx="4202">
                        <c:v>29.180555555554747</c:v>
                      </c:pt>
                      <c:pt idx="4203">
                        <c:v>29.1875</c:v>
                      </c:pt>
                      <c:pt idx="4204">
                        <c:v>29.194444444445253</c:v>
                      </c:pt>
                      <c:pt idx="4205">
                        <c:v>29.201388888890506</c:v>
                      </c:pt>
                      <c:pt idx="4206">
                        <c:v>29.208333333335759</c:v>
                      </c:pt>
                      <c:pt idx="4207">
                        <c:v>29.215277777781012</c:v>
                      </c:pt>
                      <c:pt idx="4208">
                        <c:v>29.222222222218988</c:v>
                      </c:pt>
                      <c:pt idx="4209">
                        <c:v>29.229166666664241</c:v>
                      </c:pt>
                      <c:pt idx="4210">
                        <c:v>29.236111111109494</c:v>
                      </c:pt>
                      <c:pt idx="4211">
                        <c:v>29.243055555554747</c:v>
                      </c:pt>
                      <c:pt idx="4212">
                        <c:v>29.25</c:v>
                      </c:pt>
                      <c:pt idx="4213">
                        <c:v>29.256944444445253</c:v>
                      </c:pt>
                      <c:pt idx="4214">
                        <c:v>29.263888888890506</c:v>
                      </c:pt>
                      <c:pt idx="4215">
                        <c:v>29.270833333335759</c:v>
                      </c:pt>
                      <c:pt idx="4216">
                        <c:v>29.277777777781012</c:v>
                      </c:pt>
                      <c:pt idx="4217">
                        <c:v>29.284722222218988</c:v>
                      </c:pt>
                      <c:pt idx="4218">
                        <c:v>29.291666666664241</c:v>
                      </c:pt>
                      <c:pt idx="4219">
                        <c:v>29.298611111109494</c:v>
                      </c:pt>
                      <c:pt idx="4220">
                        <c:v>29.305555555554747</c:v>
                      </c:pt>
                      <c:pt idx="4221">
                        <c:v>29.3125</c:v>
                      </c:pt>
                      <c:pt idx="4222">
                        <c:v>29.319444444445253</c:v>
                      </c:pt>
                      <c:pt idx="4223">
                        <c:v>29.326388888890506</c:v>
                      </c:pt>
                      <c:pt idx="4224">
                        <c:v>29.333333333335759</c:v>
                      </c:pt>
                      <c:pt idx="4225">
                        <c:v>29.340277777781012</c:v>
                      </c:pt>
                      <c:pt idx="4226">
                        <c:v>29.347222222218988</c:v>
                      </c:pt>
                      <c:pt idx="4227">
                        <c:v>29.354166666664241</c:v>
                      </c:pt>
                      <c:pt idx="4228">
                        <c:v>29.361111111109494</c:v>
                      </c:pt>
                      <c:pt idx="4229">
                        <c:v>29.368055555554747</c:v>
                      </c:pt>
                      <c:pt idx="4230">
                        <c:v>29.375</c:v>
                      </c:pt>
                      <c:pt idx="4231">
                        <c:v>29.381944444445253</c:v>
                      </c:pt>
                      <c:pt idx="4232">
                        <c:v>29.388888888890506</c:v>
                      </c:pt>
                      <c:pt idx="4233">
                        <c:v>29.395833333335759</c:v>
                      </c:pt>
                      <c:pt idx="4234">
                        <c:v>29.402777777781012</c:v>
                      </c:pt>
                      <c:pt idx="4235">
                        <c:v>29.409722222218988</c:v>
                      </c:pt>
                      <c:pt idx="4236">
                        <c:v>29.416666666664241</c:v>
                      </c:pt>
                      <c:pt idx="4237">
                        <c:v>29.423611111109494</c:v>
                      </c:pt>
                      <c:pt idx="4238">
                        <c:v>29.430555555554747</c:v>
                      </c:pt>
                      <c:pt idx="4239">
                        <c:v>29.4375</c:v>
                      </c:pt>
                      <c:pt idx="4240">
                        <c:v>29.444444444445253</c:v>
                      </c:pt>
                      <c:pt idx="4241">
                        <c:v>29.451388888890506</c:v>
                      </c:pt>
                      <c:pt idx="4242">
                        <c:v>29.458333333335759</c:v>
                      </c:pt>
                      <c:pt idx="4243">
                        <c:v>29.465277777781012</c:v>
                      </c:pt>
                      <c:pt idx="4244">
                        <c:v>29.472222222218988</c:v>
                      </c:pt>
                      <c:pt idx="4245">
                        <c:v>29.479166666664241</c:v>
                      </c:pt>
                      <c:pt idx="4246">
                        <c:v>29.486111111109494</c:v>
                      </c:pt>
                      <c:pt idx="4247">
                        <c:v>29.493055555554747</c:v>
                      </c:pt>
                      <c:pt idx="4248">
                        <c:v>29.5</c:v>
                      </c:pt>
                      <c:pt idx="4249">
                        <c:v>29.506944444445253</c:v>
                      </c:pt>
                      <c:pt idx="4250">
                        <c:v>29.513888888890506</c:v>
                      </c:pt>
                      <c:pt idx="4251">
                        <c:v>29.520833333335759</c:v>
                      </c:pt>
                      <c:pt idx="4252">
                        <c:v>29.527777777781012</c:v>
                      </c:pt>
                      <c:pt idx="4253">
                        <c:v>29.534722222218988</c:v>
                      </c:pt>
                      <c:pt idx="4254">
                        <c:v>29.541666666664241</c:v>
                      </c:pt>
                      <c:pt idx="4255">
                        <c:v>29.548611111109494</c:v>
                      </c:pt>
                      <c:pt idx="4256">
                        <c:v>29.555555555554747</c:v>
                      </c:pt>
                      <c:pt idx="4257">
                        <c:v>29.5625</c:v>
                      </c:pt>
                      <c:pt idx="4258">
                        <c:v>29.569444444445253</c:v>
                      </c:pt>
                      <c:pt idx="4259">
                        <c:v>29.576388888890506</c:v>
                      </c:pt>
                      <c:pt idx="4260">
                        <c:v>29.583333333335759</c:v>
                      </c:pt>
                      <c:pt idx="4261">
                        <c:v>29.590277777781012</c:v>
                      </c:pt>
                      <c:pt idx="4262">
                        <c:v>29.597222222218988</c:v>
                      </c:pt>
                      <c:pt idx="4263">
                        <c:v>29.604166666664241</c:v>
                      </c:pt>
                      <c:pt idx="4264">
                        <c:v>29.611111111109494</c:v>
                      </c:pt>
                      <c:pt idx="4265">
                        <c:v>29.618055555554747</c:v>
                      </c:pt>
                      <c:pt idx="4266">
                        <c:v>29.625</c:v>
                      </c:pt>
                      <c:pt idx="4267">
                        <c:v>29.631944444445253</c:v>
                      </c:pt>
                      <c:pt idx="4268">
                        <c:v>29.638888888890506</c:v>
                      </c:pt>
                      <c:pt idx="4269">
                        <c:v>29.645833333335759</c:v>
                      </c:pt>
                      <c:pt idx="4270">
                        <c:v>29.652777777781012</c:v>
                      </c:pt>
                      <c:pt idx="4271">
                        <c:v>29.659722222218988</c:v>
                      </c:pt>
                      <c:pt idx="4272">
                        <c:v>29.666666666664241</c:v>
                      </c:pt>
                      <c:pt idx="4273">
                        <c:v>29.673611111109494</c:v>
                      </c:pt>
                      <c:pt idx="4274">
                        <c:v>29.680555555554747</c:v>
                      </c:pt>
                      <c:pt idx="4275">
                        <c:v>29.6875</c:v>
                      </c:pt>
                      <c:pt idx="4276">
                        <c:v>29.694444444445253</c:v>
                      </c:pt>
                      <c:pt idx="4277">
                        <c:v>29.701388888890506</c:v>
                      </c:pt>
                      <c:pt idx="4278">
                        <c:v>29.708333333335759</c:v>
                      </c:pt>
                      <c:pt idx="4279">
                        <c:v>29.715277777781012</c:v>
                      </c:pt>
                      <c:pt idx="4280">
                        <c:v>29.722222222218988</c:v>
                      </c:pt>
                      <c:pt idx="4281">
                        <c:v>29.729166666664241</c:v>
                      </c:pt>
                      <c:pt idx="4282">
                        <c:v>29.736111111109494</c:v>
                      </c:pt>
                      <c:pt idx="4283">
                        <c:v>29.743055555554747</c:v>
                      </c:pt>
                      <c:pt idx="4284">
                        <c:v>29.75</c:v>
                      </c:pt>
                      <c:pt idx="4285">
                        <c:v>29.756944444445253</c:v>
                      </c:pt>
                      <c:pt idx="4286">
                        <c:v>29.763888888890506</c:v>
                      </c:pt>
                      <c:pt idx="4287">
                        <c:v>29.770833333335759</c:v>
                      </c:pt>
                      <c:pt idx="4288">
                        <c:v>29.777777777781012</c:v>
                      </c:pt>
                      <c:pt idx="4289">
                        <c:v>29.784722222218988</c:v>
                      </c:pt>
                      <c:pt idx="4290">
                        <c:v>29.791666666664241</c:v>
                      </c:pt>
                      <c:pt idx="4291">
                        <c:v>29.798611111109494</c:v>
                      </c:pt>
                      <c:pt idx="4292">
                        <c:v>29.805555555554747</c:v>
                      </c:pt>
                      <c:pt idx="4293">
                        <c:v>29.8125</c:v>
                      </c:pt>
                      <c:pt idx="4294">
                        <c:v>29.819444444445253</c:v>
                      </c:pt>
                      <c:pt idx="4295">
                        <c:v>29.826388888890506</c:v>
                      </c:pt>
                      <c:pt idx="4296">
                        <c:v>29.833333333335759</c:v>
                      </c:pt>
                      <c:pt idx="4297">
                        <c:v>29.840277777781012</c:v>
                      </c:pt>
                      <c:pt idx="4298">
                        <c:v>29.847222222218988</c:v>
                      </c:pt>
                      <c:pt idx="4299">
                        <c:v>29.854166666664241</c:v>
                      </c:pt>
                      <c:pt idx="4300">
                        <c:v>29.861111111109494</c:v>
                      </c:pt>
                      <c:pt idx="4301">
                        <c:v>29.868055555554747</c:v>
                      </c:pt>
                      <c:pt idx="4302">
                        <c:v>29.875</c:v>
                      </c:pt>
                      <c:pt idx="4303">
                        <c:v>29.881944444445253</c:v>
                      </c:pt>
                      <c:pt idx="4304">
                        <c:v>29.888888888890506</c:v>
                      </c:pt>
                      <c:pt idx="4305">
                        <c:v>29.895833333335759</c:v>
                      </c:pt>
                      <c:pt idx="4306">
                        <c:v>29.902777777781012</c:v>
                      </c:pt>
                      <c:pt idx="4307">
                        <c:v>29.909722222218988</c:v>
                      </c:pt>
                      <c:pt idx="4308">
                        <c:v>29.916666666664241</c:v>
                      </c:pt>
                      <c:pt idx="4309">
                        <c:v>29.923611111109494</c:v>
                      </c:pt>
                      <c:pt idx="4310">
                        <c:v>29.930555555554747</c:v>
                      </c:pt>
                      <c:pt idx="4311">
                        <c:v>29.9375</c:v>
                      </c:pt>
                      <c:pt idx="4312">
                        <c:v>29.944444444445253</c:v>
                      </c:pt>
                      <c:pt idx="4313">
                        <c:v>29.951388888890506</c:v>
                      </c:pt>
                      <c:pt idx="4314">
                        <c:v>29.958333333335759</c:v>
                      </c:pt>
                      <c:pt idx="4315">
                        <c:v>29.965277777781012</c:v>
                      </c:pt>
                      <c:pt idx="4316">
                        <c:v>29.972222222218988</c:v>
                      </c:pt>
                      <c:pt idx="4317">
                        <c:v>29.979166666664241</c:v>
                      </c:pt>
                      <c:pt idx="4318">
                        <c:v>29.986111111109494</c:v>
                      </c:pt>
                      <c:pt idx="4319">
                        <c:v>29.993055555554747</c:v>
                      </c:pt>
                      <c:pt idx="4320">
                        <c:v>30</c:v>
                      </c:pt>
                      <c:pt idx="4321">
                        <c:v>30.006944444445253</c:v>
                      </c:pt>
                      <c:pt idx="4322">
                        <c:v>30.013888888890506</c:v>
                      </c:pt>
                      <c:pt idx="4323">
                        <c:v>30.020833333335759</c:v>
                      </c:pt>
                      <c:pt idx="4324">
                        <c:v>30.027777777781012</c:v>
                      </c:pt>
                      <c:pt idx="4325">
                        <c:v>30.034722222218988</c:v>
                      </c:pt>
                      <c:pt idx="4326">
                        <c:v>30.041666666664241</c:v>
                      </c:pt>
                      <c:pt idx="4327">
                        <c:v>30.048611111109494</c:v>
                      </c:pt>
                      <c:pt idx="4328">
                        <c:v>30.055555555554747</c:v>
                      </c:pt>
                      <c:pt idx="4329">
                        <c:v>30.0625</c:v>
                      </c:pt>
                      <c:pt idx="4330">
                        <c:v>30.069444444445253</c:v>
                      </c:pt>
                      <c:pt idx="4331">
                        <c:v>30.076388888890506</c:v>
                      </c:pt>
                      <c:pt idx="4332">
                        <c:v>30.083333333335759</c:v>
                      </c:pt>
                      <c:pt idx="4333">
                        <c:v>30.090277777781012</c:v>
                      </c:pt>
                      <c:pt idx="4334">
                        <c:v>30.097222222218988</c:v>
                      </c:pt>
                      <c:pt idx="4335">
                        <c:v>30.104166666664241</c:v>
                      </c:pt>
                      <c:pt idx="4336">
                        <c:v>30.111111111109494</c:v>
                      </c:pt>
                      <c:pt idx="4337">
                        <c:v>30.118055555554747</c:v>
                      </c:pt>
                      <c:pt idx="4338">
                        <c:v>30.125</c:v>
                      </c:pt>
                      <c:pt idx="4339">
                        <c:v>30.131944444445253</c:v>
                      </c:pt>
                      <c:pt idx="4340">
                        <c:v>30.138888888890506</c:v>
                      </c:pt>
                      <c:pt idx="4341">
                        <c:v>30.145833333335759</c:v>
                      </c:pt>
                      <c:pt idx="4342">
                        <c:v>30.152777777781012</c:v>
                      </c:pt>
                      <c:pt idx="4343">
                        <c:v>30.159722222218988</c:v>
                      </c:pt>
                      <c:pt idx="4344">
                        <c:v>30.166666666664241</c:v>
                      </c:pt>
                      <c:pt idx="4345">
                        <c:v>30.173611111109494</c:v>
                      </c:pt>
                      <c:pt idx="4346">
                        <c:v>30.180555555554747</c:v>
                      </c:pt>
                      <c:pt idx="4347">
                        <c:v>30.1875</c:v>
                      </c:pt>
                      <c:pt idx="4348">
                        <c:v>30.194444444445253</c:v>
                      </c:pt>
                      <c:pt idx="4349">
                        <c:v>30.201388888890506</c:v>
                      </c:pt>
                      <c:pt idx="4350">
                        <c:v>30.208333333335759</c:v>
                      </c:pt>
                      <c:pt idx="4351">
                        <c:v>30.215277777781012</c:v>
                      </c:pt>
                      <c:pt idx="4352">
                        <c:v>30.222222222218988</c:v>
                      </c:pt>
                      <c:pt idx="4353">
                        <c:v>30.229166666664241</c:v>
                      </c:pt>
                      <c:pt idx="4354">
                        <c:v>30.236111111109494</c:v>
                      </c:pt>
                      <c:pt idx="4355">
                        <c:v>30.243055555554747</c:v>
                      </c:pt>
                      <c:pt idx="4356">
                        <c:v>30.25</c:v>
                      </c:pt>
                      <c:pt idx="4357">
                        <c:v>30.256944444445253</c:v>
                      </c:pt>
                      <c:pt idx="4358">
                        <c:v>30.263888888890506</c:v>
                      </c:pt>
                      <c:pt idx="4359">
                        <c:v>30.270833333335759</c:v>
                      </c:pt>
                      <c:pt idx="4360">
                        <c:v>30.277777777781012</c:v>
                      </c:pt>
                      <c:pt idx="4361">
                        <c:v>30.284722222218988</c:v>
                      </c:pt>
                      <c:pt idx="4362">
                        <c:v>30.291666666664241</c:v>
                      </c:pt>
                      <c:pt idx="4363">
                        <c:v>30.298611111109494</c:v>
                      </c:pt>
                      <c:pt idx="4364">
                        <c:v>30.305555555554747</c:v>
                      </c:pt>
                      <c:pt idx="4365">
                        <c:v>30.3125</c:v>
                      </c:pt>
                      <c:pt idx="4366">
                        <c:v>30.319444444445253</c:v>
                      </c:pt>
                      <c:pt idx="4367">
                        <c:v>30.326388888890506</c:v>
                      </c:pt>
                      <c:pt idx="4368">
                        <c:v>30.333333333335759</c:v>
                      </c:pt>
                      <c:pt idx="4369">
                        <c:v>30.340277777781012</c:v>
                      </c:pt>
                      <c:pt idx="4370">
                        <c:v>30.347222222218988</c:v>
                      </c:pt>
                      <c:pt idx="4371">
                        <c:v>30.354166666664241</c:v>
                      </c:pt>
                      <c:pt idx="4372">
                        <c:v>30.361111111109494</c:v>
                      </c:pt>
                      <c:pt idx="4373">
                        <c:v>30.368055555554747</c:v>
                      </c:pt>
                      <c:pt idx="4374">
                        <c:v>30.375</c:v>
                      </c:pt>
                      <c:pt idx="4375">
                        <c:v>30.381944444445253</c:v>
                      </c:pt>
                      <c:pt idx="4376">
                        <c:v>30.388888888890506</c:v>
                      </c:pt>
                      <c:pt idx="4377">
                        <c:v>30.395833333335759</c:v>
                      </c:pt>
                      <c:pt idx="4378">
                        <c:v>30.402777777781012</c:v>
                      </c:pt>
                      <c:pt idx="4379">
                        <c:v>30.409722222218988</c:v>
                      </c:pt>
                      <c:pt idx="4380">
                        <c:v>30.416666666664241</c:v>
                      </c:pt>
                      <c:pt idx="4381">
                        <c:v>30.423611111109494</c:v>
                      </c:pt>
                      <c:pt idx="4382">
                        <c:v>30.430555555554747</c:v>
                      </c:pt>
                      <c:pt idx="4383">
                        <c:v>30.4375</c:v>
                      </c:pt>
                      <c:pt idx="4384">
                        <c:v>30.444444444445253</c:v>
                      </c:pt>
                      <c:pt idx="4385">
                        <c:v>30.451388888890506</c:v>
                      </c:pt>
                      <c:pt idx="4386">
                        <c:v>30.458333333335759</c:v>
                      </c:pt>
                      <c:pt idx="4387">
                        <c:v>30.465277777781012</c:v>
                      </c:pt>
                      <c:pt idx="4388">
                        <c:v>30.472222222218988</c:v>
                      </c:pt>
                      <c:pt idx="4389">
                        <c:v>30.479166666664241</c:v>
                      </c:pt>
                      <c:pt idx="4390">
                        <c:v>30.486111111109494</c:v>
                      </c:pt>
                      <c:pt idx="4391">
                        <c:v>30.493055555554747</c:v>
                      </c:pt>
                      <c:pt idx="4392">
                        <c:v>30.5</c:v>
                      </c:pt>
                      <c:pt idx="4393">
                        <c:v>30.506944444445253</c:v>
                      </c:pt>
                      <c:pt idx="4394">
                        <c:v>30.513888888890506</c:v>
                      </c:pt>
                      <c:pt idx="4395">
                        <c:v>30.520833333335759</c:v>
                      </c:pt>
                      <c:pt idx="4396">
                        <c:v>30.527777777781012</c:v>
                      </c:pt>
                      <c:pt idx="4397">
                        <c:v>30.534722222218988</c:v>
                      </c:pt>
                      <c:pt idx="4398">
                        <c:v>30.541666666664241</c:v>
                      </c:pt>
                      <c:pt idx="4399">
                        <c:v>30.548611111109494</c:v>
                      </c:pt>
                      <c:pt idx="4400">
                        <c:v>30.555555555554747</c:v>
                      </c:pt>
                      <c:pt idx="4401">
                        <c:v>30.5625</c:v>
                      </c:pt>
                      <c:pt idx="4402">
                        <c:v>30.569444444445253</c:v>
                      </c:pt>
                      <c:pt idx="4403">
                        <c:v>30.576388888890506</c:v>
                      </c:pt>
                      <c:pt idx="4404">
                        <c:v>30.583333333335759</c:v>
                      </c:pt>
                      <c:pt idx="4405">
                        <c:v>30.590277777781012</c:v>
                      </c:pt>
                      <c:pt idx="4406">
                        <c:v>30.597222222218988</c:v>
                      </c:pt>
                      <c:pt idx="4407">
                        <c:v>30.604166666664241</c:v>
                      </c:pt>
                      <c:pt idx="4408">
                        <c:v>30.611111111109494</c:v>
                      </c:pt>
                      <c:pt idx="4409">
                        <c:v>30.618055555554747</c:v>
                      </c:pt>
                      <c:pt idx="4410">
                        <c:v>30.625</c:v>
                      </c:pt>
                      <c:pt idx="4411">
                        <c:v>30.631944444445253</c:v>
                      </c:pt>
                      <c:pt idx="4412">
                        <c:v>30.638888888890506</c:v>
                      </c:pt>
                      <c:pt idx="4413">
                        <c:v>30.645833333335759</c:v>
                      </c:pt>
                      <c:pt idx="4414">
                        <c:v>30.652777777781012</c:v>
                      </c:pt>
                      <c:pt idx="4415">
                        <c:v>30.659722222218988</c:v>
                      </c:pt>
                      <c:pt idx="4416">
                        <c:v>30.666666666664241</c:v>
                      </c:pt>
                      <c:pt idx="4417">
                        <c:v>30.673611111109494</c:v>
                      </c:pt>
                      <c:pt idx="4418">
                        <c:v>30.680555555554747</c:v>
                      </c:pt>
                      <c:pt idx="4419">
                        <c:v>30.6875</c:v>
                      </c:pt>
                      <c:pt idx="4420">
                        <c:v>30.694444444445253</c:v>
                      </c:pt>
                      <c:pt idx="4421">
                        <c:v>30.701388888890506</c:v>
                      </c:pt>
                      <c:pt idx="4422">
                        <c:v>30.708333333335759</c:v>
                      </c:pt>
                      <c:pt idx="4423">
                        <c:v>30.715277777781012</c:v>
                      </c:pt>
                      <c:pt idx="4424">
                        <c:v>30.722222222218988</c:v>
                      </c:pt>
                      <c:pt idx="4425">
                        <c:v>30.729166666664241</c:v>
                      </c:pt>
                      <c:pt idx="4426">
                        <c:v>30.736111111109494</c:v>
                      </c:pt>
                      <c:pt idx="4427">
                        <c:v>30.743055555554747</c:v>
                      </c:pt>
                      <c:pt idx="4428">
                        <c:v>30.75</c:v>
                      </c:pt>
                      <c:pt idx="4429">
                        <c:v>30.756944444445253</c:v>
                      </c:pt>
                      <c:pt idx="4430">
                        <c:v>30.763888888890506</c:v>
                      </c:pt>
                      <c:pt idx="4431">
                        <c:v>30.770833333335759</c:v>
                      </c:pt>
                      <c:pt idx="4432">
                        <c:v>30.777777777781012</c:v>
                      </c:pt>
                      <c:pt idx="4433">
                        <c:v>30.784722222218988</c:v>
                      </c:pt>
                      <c:pt idx="4434">
                        <c:v>30.791666666664241</c:v>
                      </c:pt>
                      <c:pt idx="4435">
                        <c:v>30.798611111109494</c:v>
                      </c:pt>
                      <c:pt idx="4436">
                        <c:v>30.805555555554747</c:v>
                      </c:pt>
                      <c:pt idx="4437">
                        <c:v>30.8125</c:v>
                      </c:pt>
                      <c:pt idx="4438">
                        <c:v>30.819444444445253</c:v>
                      </c:pt>
                      <c:pt idx="4439">
                        <c:v>30.826388888890506</c:v>
                      </c:pt>
                      <c:pt idx="4440">
                        <c:v>30.833333333335759</c:v>
                      </c:pt>
                      <c:pt idx="4441">
                        <c:v>30.840277777781012</c:v>
                      </c:pt>
                      <c:pt idx="4442">
                        <c:v>30.847222222218988</c:v>
                      </c:pt>
                      <c:pt idx="4443">
                        <c:v>30.854166666664241</c:v>
                      </c:pt>
                      <c:pt idx="4444">
                        <c:v>30.861111111109494</c:v>
                      </c:pt>
                      <c:pt idx="4445">
                        <c:v>30.868055555554747</c:v>
                      </c:pt>
                      <c:pt idx="4446">
                        <c:v>30.875</c:v>
                      </c:pt>
                      <c:pt idx="4447">
                        <c:v>30.881944444445253</c:v>
                      </c:pt>
                      <c:pt idx="4448">
                        <c:v>30.888888888890506</c:v>
                      </c:pt>
                      <c:pt idx="4449">
                        <c:v>30.895833333335759</c:v>
                      </c:pt>
                      <c:pt idx="4450">
                        <c:v>30.902777777781012</c:v>
                      </c:pt>
                      <c:pt idx="4451">
                        <c:v>30.909722222218988</c:v>
                      </c:pt>
                      <c:pt idx="4452">
                        <c:v>30.916666666664241</c:v>
                      </c:pt>
                      <c:pt idx="4453">
                        <c:v>30.923611111109494</c:v>
                      </c:pt>
                      <c:pt idx="4454">
                        <c:v>30.930555555554747</c:v>
                      </c:pt>
                      <c:pt idx="4455">
                        <c:v>30.9375</c:v>
                      </c:pt>
                      <c:pt idx="4456">
                        <c:v>30.944444444445253</c:v>
                      </c:pt>
                      <c:pt idx="4457">
                        <c:v>30.951388888890506</c:v>
                      </c:pt>
                      <c:pt idx="4458">
                        <c:v>30.958333333335759</c:v>
                      </c:pt>
                      <c:pt idx="4459">
                        <c:v>30.965277777781012</c:v>
                      </c:pt>
                      <c:pt idx="4460">
                        <c:v>30.972222222218988</c:v>
                      </c:pt>
                      <c:pt idx="4461">
                        <c:v>30.979166666664241</c:v>
                      </c:pt>
                      <c:pt idx="4462">
                        <c:v>30.986111111109494</c:v>
                      </c:pt>
                      <c:pt idx="4463">
                        <c:v>30.993055555554747</c:v>
                      </c:pt>
                      <c:pt idx="4464">
                        <c:v>31</c:v>
                      </c:pt>
                      <c:pt idx="4465">
                        <c:v>31.006944444445253</c:v>
                      </c:pt>
                      <c:pt idx="4466">
                        <c:v>31.013888888890506</c:v>
                      </c:pt>
                      <c:pt idx="4467">
                        <c:v>31.020833333335759</c:v>
                      </c:pt>
                      <c:pt idx="4468">
                        <c:v>31.027777777781012</c:v>
                      </c:pt>
                      <c:pt idx="4469">
                        <c:v>31.034722222218988</c:v>
                      </c:pt>
                      <c:pt idx="4470">
                        <c:v>31.041666666664241</c:v>
                      </c:pt>
                      <c:pt idx="4471">
                        <c:v>31.048611111109494</c:v>
                      </c:pt>
                      <c:pt idx="4472">
                        <c:v>31.055555555554747</c:v>
                      </c:pt>
                      <c:pt idx="4473">
                        <c:v>31.0625</c:v>
                      </c:pt>
                      <c:pt idx="4474">
                        <c:v>31.069444444445253</c:v>
                      </c:pt>
                      <c:pt idx="4475">
                        <c:v>31.076388888890506</c:v>
                      </c:pt>
                      <c:pt idx="4476">
                        <c:v>31.083333333335759</c:v>
                      </c:pt>
                      <c:pt idx="4477">
                        <c:v>31.090277777781012</c:v>
                      </c:pt>
                      <c:pt idx="4478">
                        <c:v>31.097222222218988</c:v>
                      </c:pt>
                      <c:pt idx="4479">
                        <c:v>31.104166666664241</c:v>
                      </c:pt>
                      <c:pt idx="4480">
                        <c:v>31.111111111109494</c:v>
                      </c:pt>
                      <c:pt idx="4481">
                        <c:v>31.118055555554747</c:v>
                      </c:pt>
                      <c:pt idx="4482">
                        <c:v>31.125</c:v>
                      </c:pt>
                      <c:pt idx="4483">
                        <c:v>31.131944444445253</c:v>
                      </c:pt>
                      <c:pt idx="4484">
                        <c:v>31.138888888890506</c:v>
                      </c:pt>
                      <c:pt idx="4485">
                        <c:v>31.145833333335759</c:v>
                      </c:pt>
                      <c:pt idx="4486">
                        <c:v>31.152777777781012</c:v>
                      </c:pt>
                      <c:pt idx="4487">
                        <c:v>31.159722222218988</c:v>
                      </c:pt>
                      <c:pt idx="4488">
                        <c:v>31.166666666664241</c:v>
                      </c:pt>
                      <c:pt idx="4489">
                        <c:v>31.173611111109494</c:v>
                      </c:pt>
                      <c:pt idx="4490">
                        <c:v>31.180555555554747</c:v>
                      </c:pt>
                      <c:pt idx="4491">
                        <c:v>31.1875</c:v>
                      </c:pt>
                      <c:pt idx="4492">
                        <c:v>31.194444444445253</c:v>
                      </c:pt>
                      <c:pt idx="4493">
                        <c:v>31.201388888890506</c:v>
                      </c:pt>
                      <c:pt idx="4494">
                        <c:v>31.208333333335759</c:v>
                      </c:pt>
                      <c:pt idx="4495">
                        <c:v>31.215277777781012</c:v>
                      </c:pt>
                      <c:pt idx="4496">
                        <c:v>31.222222222218988</c:v>
                      </c:pt>
                      <c:pt idx="4497">
                        <c:v>31.229166666664241</c:v>
                      </c:pt>
                      <c:pt idx="4498">
                        <c:v>31.236111111109494</c:v>
                      </c:pt>
                      <c:pt idx="4499">
                        <c:v>31.243055555554747</c:v>
                      </c:pt>
                      <c:pt idx="4500">
                        <c:v>31.25</c:v>
                      </c:pt>
                      <c:pt idx="4501">
                        <c:v>31.256944444445253</c:v>
                      </c:pt>
                      <c:pt idx="4502">
                        <c:v>31.263888888890506</c:v>
                      </c:pt>
                      <c:pt idx="4503">
                        <c:v>31.270833333335759</c:v>
                      </c:pt>
                      <c:pt idx="4504">
                        <c:v>31.277777777781012</c:v>
                      </c:pt>
                      <c:pt idx="4505">
                        <c:v>31.284722222218988</c:v>
                      </c:pt>
                      <c:pt idx="4506">
                        <c:v>31.291666666664241</c:v>
                      </c:pt>
                      <c:pt idx="4507">
                        <c:v>31.298611111109494</c:v>
                      </c:pt>
                      <c:pt idx="4508">
                        <c:v>31.305555555554747</c:v>
                      </c:pt>
                      <c:pt idx="4509">
                        <c:v>31.3125</c:v>
                      </c:pt>
                      <c:pt idx="4510">
                        <c:v>31.319444444445253</c:v>
                      </c:pt>
                      <c:pt idx="4511">
                        <c:v>31.326388888890506</c:v>
                      </c:pt>
                      <c:pt idx="4512">
                        <c:v>31.333333333335759</c:v>
                      </c:pt>
                      <c:pt idx="4513">
                        <c:v>31.340277777781012</c:v>
                      </c:pt>
                      <c:pt idx="4514">
                        <c:v>31.347222222218988</c:v>
                      </c:pt>
                      <c:pt idx="4515">
                        <c:v>31.354166666664241</c:v>
                      </c:pt>
                      <c:pt idx="4516">
                        <c:v>31.361111111109494</c:v>
                      </c:pt>
                      <c:pt idx="4517">
                        <c:v>31.368055555554747</c:v>
                      </c:pt>
                      <c:pt idx="4518">
                        <c:v>31.375</c:v>
                      </c:pt>
                      <c:pt idx="4519">
                        <c:v>31.381944444445253</c:v>
                      </c:pt>
                      <c:pt idx="4520">
                        <c:v>31.388888888890506</c:v>
                      </c:pt>
                      <c:pt idx="4521">
                        <c:v>31.395833333335759</c:v>
                      </c:pt>
                      <c:pt idx="4522">
                        <c:v>31.402777777781012</c:v>
                      </c:pt>
                      <c:pt idx="4523">
                        <c:v>31.409722222218988</c:v>
                      </c:pt>
                      <c:pt idx="4524">
                        <c:v>31.416666666664241</c:v>
                      </c:pt>
                      <c:pt idx="4525">
                        <c:v>31.423611111109494</c:v>
                      </c:pt>
                      <c:pt idx="4526">
                        <c:v>31.430555555554747</c:v>
                      </c:pt>
                      <c:pt idx="4527">
                        <c:v>31.4375</c:v>
                      </c:pt>
                      <c:pt idx="4528">
                        <c:v>31.444444444445253</c:v>
                      </c:pt>
                      <c:pt idx="4529">
                        <c:v>31.451388888890506</c:v>
                      </c:pt>
                      <c:pt idx="4530">
                        <c:v>31.458333333335759</c:v>
                      </c:pt>
                      <c:pt idx="4531">
                        <c:v>31.465277777781012</c:v>
                      </c:pt>
                      <c:pt idx="4532">
                        <c:v>31.472222222218988</c:v>
                      </c:pt>
                      <c:pt idx="4533">
                        <c:v>31.479166666664241</c:v>
                      </c:pt>
                      <c:pt idx="4534">
                        <c:v>31.486111111109494</c:v>
                      </c:pt>
                      <c:pt idx="4535">
                        <c:v>31.493055555554747</c:v>
                      </c:pt>
                      <c:pt idx="4536">
                        <c:v>31.5</c:v>
                      </c:pt>
                      <c:pt idx="4537">
                        <c:v>31.506944444445253</c:v>
                      </c:pt>
                      <c:pt idx="4538">
                        <c:v>31.513888888890506</c:v>
                      </c:pt>
                      <c:pt idx="4539">
                        <c:v>31.520833333335759</c:v>
                      </c:pt>
                      <c:pt idx="4540">
                        <c:v>31.527777777781012</c:v>
                      </c:pt>
                      <c:pt idx="4541">
                        <c:v>31.534722222218988</c:v>
                      </c:pt>
                      <c:pt idx="4542">
                        <c:v>31.541666666664241</c:v>
                      </c:pt>
                      <c:pt idx="4543">
                        <c:v>31.548611111109494</c:v>
                      </c:pt>
                      <c:pt idx="4544">
                        <c:v>31.555555555554747</c:v>
                      </c:pt>
                      <c:pt idx="4545">
                        <c:v>31.5625</c:v>
                      </c:pt>
                      <c:pt idx="4546">
                        <c:v>31.569444444445253</c:v>
                      </c:pt>
                      <c:pt idx="4547">
                        <c:v>31.576388888890506</c:v>
                      </c:pt>
                      <c:pt idx="4548">
                        <c:v>31.583333333335759</c:v>
                      </c:pt>
                      <c:pt idx="4549">
                        <c:v>31.590277777781012</c:v>
                      </c:pt>
                      <c:pt idx="4550">
                        <c:v>31.597222222218988</c:v>
                      </c:pt>
                      <c:pt idx="4551">
                        <c:v>31.604166666664241</c:v>
                      </c:pt>
                      <c:pt idx="4552">
                        <c:v>31.611111111109494</c:v>
                      </c:pt>
                      <c:pt idx="4553">
                        <c:v>31.618055555554747</c:v>
                      </c:pt>
                      <c:pt idx="4554">
                        <c:v>31.625</c:v>
                      </c:pt>
                      <c:pt idx="4555">
                        <c:v>31.631944444445253</c:v>
                      </c:pt>
                      <c:pt idx="4556">
                        <c:v>31.638888888890506</c:v>
                      </c:pt>
                      <c:pt idx="4557">
                        <c:v>31.645833333335759</c:v>
                      </c:pt>
                      <c:pt idx="4558">
                        <c:v>31.652777777781012</c:v>
                      </c:pt>
                      <c:pt idx="4559">
                        <c:v>31.659722222218988</c:v>
                      </c:pt>
                      <c:pt idx="4560">
                        <c:v>31.666666666664241</c:v>
                      </c:pt>
                      <c:pt idx="4561">
                        <c:v>31.673611111109494</c:v>
                      </c:pt>
                      <c:pt idx="4562">
                        <c:v>31.680555555554747</c:v>
                      </c:pt>
                      <c:pt idx="4563">
                        <c:v>31.6875</c:v>
                      </c:pt>
                      <c:pt idx="4564">
                        <c:v>31.694444444445253</c:v>
                      </c:pt>
                      <c:pt idx="4565">
                        <c:v>31.701388888890506</c:v>
                      </c:pt>
                      <c:pt idx="4566">
                        <c:v>31.708333333335759</c:v>
                      </c:pt>
                      <c:pt idx="4567">
                        <c:v>31.715277777781012</c:v>
                      </c:pt>
                      <c:pt idx="4568">
                        <c:v>31.722222222218988</c:v>
                      </c:pt>
                      <c:pt idx="4569">
                        <c:v>31.729166666664241</c:v>
                      </c:pt>
                      <c:pt idx="4570">
                        <c:v>31.736111111109494</c:v>
                      </c:pt>
                      <c:pt idx="4571">
                        <c:v>31.743055555554747</c:v>
                      </c:pt>
                      <c:pt idx="4572">
                        <c:v>31.75</c:v>
                      </c:pt>
                      <c:pt idx="4573">
                        <c:v>31.756944444445253</c:v>
                      </c:pt>
                      <c:pt idx="4574">
                        <c:v>31.763888888890506</c:v>
                      </c:pt>
                      <c:pt idx="4575">
                        <c:v>31.770833333335759</c:v>
                      </c:pt>
                      <c:pt idx="4576">
                        <c:v>31.777777777781012</c:v>
                      </c:pt>
                      <c:pt idx="4577">
                        <c:v>31.784722222218988</c:v>
                      </c:pt>
                      <c:pt idx="4578">
                        <c:v>31.791666666664241</c:v>
                      </c:pt>
                      <c:pt idx="4579">
                        <c:v>31.798611111109494</c:v>
                      </c:pt>
                      <c:pt idx="4580">
                        <c:v>31.805555555554747</c:v>
                      </c:pt>
                      <c:pt idx="4581">
                        <c:v>31.8125</c:v>
                      </c:pt>
                      <c:pt idx="4582">
                        <c:v>31.819444444445253</c:v>
                      </c:pt>
                      <c:pt idx="4583">
                        <c:v>31.826388888890506</c:v>
                      </c:pt>
                      <c:pt idx="4584">
                        <c:v>31.833333333335759</c:v>
                      </c:pt>
                      <c:pt idx="4585">
                        <c:v>31.840277777781012</c:v>
                      </c:pt>
                      <c:pt idx="4586">
                        <c:v>31.847222222218988</c:v>
                      </c:pt>
                      <c:pt idx="4587">
                        <c:v>31.854166666664241</c:v>
                      </c:pt>
                      <c:pt idx="4588">
                        <c:v>31.861111111109494</c:v>
                      </c:pt>
                      <c:pt idx="4589">
                        <c:v>31.868055555554747</c:v>
                      </c:pt>
                      <c:pt idx="4590">
                        <c:v>31.875</c:v>
                      </c:pt>
                      <c:pt idx="4591">
                        <c:v>31.881944444445253</c:v>
                      </c:pt>
                      <c:pt idx="4592">
                        <c:v>31.888888888890506</c:v>
                      </c:pt>
                      <c:pt idx="4593">
                        <c:v>31.895833333335759</c:v>
                      </c:pt>
                      <c:pt idx="4594">
                        <c:v>31.902777777781012</c:v>
                      </c:pt>
                      <c:pt idx="4595">
                        <c:v>31.909722222218988</c:v>
                      </c:pt>
                      <c:pt idx="4596">
                        <c:v>31.916666666664241</c:v>
                      </c:pt>
                      <c:pt idx="4597">
                        <c:v>31.923611111109494</c:v>
                      </c:pt>
                      <c:pt idx="4598">
                        <c:v>31.930555555554747</c:v>
                      </c:pt>
                      <c:pt idx="4599">
                        <c:v>31.9375</c:v>
                      </c:pt>
                      <c:pt idx="4600">
                        <c:v>31.944444444445253</c:v>
                      </c:pt>
                      <c:pt idx="4601">
                        <c:v>31.951388888890506</c:v>
                      </c:pt>
                      <c:pt idx="4602">
                        <c:v>31.958333333335759</c:v>
                      </c:pt>
                      <c:pt idx="4603">
                        <c:v>31.965277777781012</c:v>
                      </c:pt>
                      <c:pt idx="4604">
                        <c:v>31.972222222218988</c:v>
                      </c:pt>
                      <c:pt idx="4605">
                        <c:v>31.979166666664241</c:v>
                      </c:pt>
                      <c:pt idx="4606">
                        <c:v>31.986111111109494</c:v>
                      </c:pt>
                      <c:pt idx="4607">
                        <c:v>31.993055555554747</c:v>
                      </c:pt>
                      <c:pt idx="4608">
                        <c:v>32</c:v>
                      </c:pt>
                      <c:pt idx="4609">
                        <c:v>32.006944444445253</c:v>
                      </c:pt>
                      <c:pt idx="4610">
                        <c:v>32.013888888890506</c:v>
                      </c:pt>
                      <c:pt idx="4611">
                        <c:v>32.020833333335759</c:v>
                      </c:pt>
                      <c:pt idx="4612">
                        <c:v>32.027777777781012</c:v>
                      </c:pt>
                      <c:pt idx="4613">
                        <c:v>32.034722222218988</c:v>
                      </c:pt>
                      <c:pt idx="4614">
                        <c:v>32.041666666664241</c:v>
                      </c:pt>
                      <c:pt idx="4615">
                        <c:v>32.048611111109494</c:v>
                      </c:pt>
                      <c:pt idx="4616">
                        <c:v>32.055555555554747</c:v>
                      </c:pt>
                      <c:pt idx="4617">
                        <c:v>32.0625</c:v>
                      </c:pt>
                      <c:pt idx="4618">
                        <c:v>32.069444444445253</c:v>
                      </c:pt>
                      <c:pt idx="4619">
                        <c:v>32.076388888890506</c:v>
                      </c:pt>
                      <c:pt idx="4620">
                        <c:v>32.083333333335759</c:v>
                      </c:pt>
                      <c:pt idx="4621">
                        <c:v>32.090277777781012</c:v>
                      </c:pt>
                      <c:pt idx="4622">
                        <c:v>32.097222222218988</c:v>
                      </c:pt>
                      <c:pt idx="4623">
                        <c:v>32.104166666664241</c:v>
                      </c:pt>
                      <c:pt idx="4624">
                        <c:v>32.111111111109494</c:v>
                      </c:pt>
                      <c:pt idx="4625">
                        <c:v>32.118055555554747</c:v>
                      </c:pt>
                      <c:pt idx="4626">
                        <c:v>32.125</c:v>
                      </c:pt>
                      <c:pt idx="4627">
                        <c:v>32.131944444445253</c:v>
                      </c:pt>
                      <c:pt idx="4628">
                        <c:v>32.138888888890506</c:v>
                      </c:pt>
                      <c:pt idx="4629">
                        <c:v>32.145833333335759</c:v>
                      </c:pt>
                      <c:pt idx="4630">
                        <c:v>32.152777777781012</c:v>
                      </c:pt>
                      <c:pt idx="4631">
                        <c:v>32.159722222218988</c:v>
                      </c:pt>
                      <c:pt idx="4632">
                        <c:v>32.166666666664241</c:v>
                      </c:pt>
                      <c:pt idx="4633">
                        <c:v>32.173611111109494</c:v>
                      </c:pt>
                      <c:pt idx="4634">
                        <c:v>32.180555555554747</c:v>
                      </c:pt>
                      <c:pt idx="4635">
                        <c:v>32.1875</c:v>
                      </c:pt>
                      <c:pt idx="4636">
                        <c:v>32.194444444445253</c:v>
                      </c:pt>
                      <c:pt idx="4637">
                        <c:v>32.201388888890506</c:v>
                      </c:pt>
                      <c:pt idx="4638">
                        <c:v>32.208333333335759</c:v>
                      </c:pt>
                      <c:pt idx="4639">
                        <c:v>32.215277777781012</c:v>
                      </c:pt>
                      <c:pt idx="4640">
                        <c:v>32.222222222218988</c:v>
                      </c:pt>
                      <c:pt idx="4641">
                        <c:v>32.229166666664241</c:v>
                      </c:pt>
                      <c:pt idx="4642">
                        <c:v>32.236111111109494</c:v>
                      </c:pt>
                      <c:pt idx="4643">
                        <c:v>32.243055555554747</c:v>
                      </c:pt>
                      <c:pt idx="4644">
                        <c:v>32.25</c:v>
                      </c:pt>
                      <c:pt idx="4645">
                        <c:v>32.256944444445253</c:v>
                      </c:pt>
                      <c:pt idx="4646">
                        <c:v>32.263888888890506</c:v>
                      </c:pt>
                      <c:pt idx="4647">
                        <c:v>32.270833333335759</c:v>
                      </c:pt>
                      <c:pt idx="4648">
                        <c:v>32.277777777781012</c:v>
                      </c:pt>
                      <c:pt idx="4649">
                        <c:v>32.284722222218988</c:v>
                      </c:pt>
                      <c:pt idx="4650">
                        <c:v>32.291666666664241</c:v>
                      </c:pt>
                      <c:pt idx="4651">
                        <c:v>32.298611111109494</c:v>
                      </c:pt>
                      <c:pt idx="4652">
                        <c:v>32.305555555554747</c:v>
                      </c:pt>
                      <c:pt idx="4653">
                        <c:v>32.3125</c:v>
                      </c:pt>
                      <c:pt idx="4654">
                        <c:v>32.319444444445253</c:v>
                      </c:pt>
                      <c:pt idx="4655">
                        <c:v>32.326388888890506</c:v>
                      </c:pt>
                      <c:pt idx="4656">
                        <c:v>32.333333333335759</c:v>
                      </c:pt>
                      <c:pt idx="4657">
                        <c:v>32.340277777781012</c:v>
                      </c:pt>
                      <c:pt idx="4658">
                        <c:v>32.347222222218988</c:v>
                      </c:pt>
                      <c:pt idx="4659">
                        <c:v>32.354166666664241</c:v>
                      </c:pt>
                      <c:pt idx="4660">
                        <c:v>32.361111111109494</c:v>
                      </c:pt>
                      <c:pt idx="4661">
                        <c:v>32.368055555554747</c:v>
                      </c:pt>
                      <c:pt idx="4662">
                        <c:v>32.375</c:v>
                      </c:pt>
                      <c:pt idx="4663">
                        <c:v>32.381944444445253</c:v>
                      </c:pt>
                      <c:pt idx="4664">
                        <c:v>32.388888888890506</c:v>
                      </c:pt>
                      <c:pt idx="4665">
                        <c:v>32.395833333335759</c:v>
                      </c:pt>
                      <c:pt idx="4666">
                        <c:v>32.402777777781012</c:v>
                      </c:pt>
                      <c:pt idx="4667">
                        <c:v>32.409722222218988</c:v>
                      </c:pt>
                      <c:pt idx="4668">
                        <c:v>32.416666666664241</c:v>
                      </c:pt>
                      <c:pt idx="4669">
                        <c:v>32.423611111109494</c:v>
                      </c:pt>
                      <c:pt idx="4670">
                        <c:v>32.430555555554747</c:v>
                      </c:pt>
                      <c:pt idx="4671">
                        <c:v>32.4375</c:v>
                      </c:pt>
                      <c:pt idx="4672">
                        <c:v>32.444444444445253</c:v>
                      </c:pt>
                      <c:pt idx="4673">
                        <c:v>32.451388888890506</c:v>
                      </c:pt>
                      <c:pt idx="4674">
                        <c:v>32.458333333335759</c:v>
                      </c:pt>
                      <c:pt idx="4675">
                        <c:v>32.465277777781012</c:v>
                      </c:pt>
                      <c:pt idx="4676">
                        <c:v>32.472222222218988</c:v>
                      </c:pt>
                      <c:pt idx="4677">
                        <c:v>32.479166666664241</c:v>
                      </c:pt>
                      <c:pt idx="4678">
                        <c:v>32.486111111109494</c:v>
                      </c:pt>
                      <c:pt idx="4679">
                        <c:v>32.493055555554747</c:v>
                      </c:pt>
                      <c:pt idx="4680">
                        <c:v>32.5</c:v>
                      </c:pt>
                      <c:pt idx="4681">
                        <c:v>32.506944444445253</c:v>
                      </c:pt>
                      <c:pt idx="4682">
                        <c:v>32.513888888890506</c:v>
                      </c:pt>
                      <c:pt idx="4683">
                        <c:v>32.520833333335759</c:v>
                      </c:pt>
                      <c:pt idx="4684">
                        <c:v>32.527777777781012</c:v>
                      </c:pt>
                      <c:pt idx="4685">
                        <c:v>32.534722222218988</c:v>
                      </c:pt>
                      <c:pt idx="4686">
                        <c:v>32.541666666664241</c:v>
                      </c:pt>
                      <c:pt idx="4687">
                        <c:v>32.548611111109494</c:v>
                      </c:pt>
                      <c:pt idx="4688">
                        <c:v>32.555555555554747</c:v>
                      </c:pt>
                      <c:pt idx="4689">
                        <c:v>32.5625</c:v>
                      </c:pt>
                      <c:pt idx="4690">
                        <c:v>32.569444444445253</c:v>
                      </c:pt>
                      <c:pt idx="4691">
                        <c:v>32.576388888890506</c:v>
                      </c:pt>
                      <c:pt idx="4692">
                        <c:v>32.583333333335759</c:v>
                      </c:pt>
                      <c:pt idx="4693">
                        <c:v>32.590277777781012</c:v>
                      </c:pt>
                      <c:pt idx="4694">
                        <c:v>32.597222222218988</c:v>
                      </c:pt>
                      <c:pt idx="4695">
                        <c:v>32.604166666664241</c:v>
                      </c:pt>
                      <c:pt idx="4696">
                        <c:v>32.611111111109494</c:v>
                      </c:pt>
                      <c:pt idx="4697">
                        <c:v>32.618055555554747</c:v>
                      </c:pt>
                      <c:pt idx="4698">
                        <c:v>32.625</c:v>
                      </c:pt>
                      <c:pt idx="4699">
                        <c:v>32.631944444445253</c:v>
                      </c:pt>
                      <c:pt idx="4700">
                        <c:v>32.638888888890506</c:v>
                      </c:pt>
                      <c:pt idx="4701">
                        <c:v>32.645833333335759</c:v>
                      </c:pt>
                      <c:pt idx="4702">
                        <c:v>32.652777777781012</c:v>
                      </c:pt>
                      <c:pt idx="4703">
                        <c:v>32.659722222218988</c:v>
                      </c:pt>
                      <c:pt idx="4704">
                        <c:v>32.666666666664241</c:v>
                      </c:pt>
                      <c:pt idx="4705">
                        <c:v>32.673611111109494</c:v>
                      </c:pt>
                      <c:pt idx="4706">
                        <c:v>32.680555555554747</c:v>
                      </c:pt>
                      <c:pt idx="4707">
                        <c:v>32.6875</c:v>
                      </c:pt>
                      <c:pt idx="4708">
                        <c:v>32.694444444445253</c:v>
                      </c:pt>
                      <c:pt idx="4709">
                        <c:v>32.701388888890506</c:v>
                      </c:pt>
                      <c:pt idx="4710">
                        <c:v>32.708333333335759</c:v>
                      </c:pt>
                      <c:pt idx="4711">
                        <c:v>32.715277777781012</c:v>
                      </c:pt>
                      <c:pt idx="4712">
                        <c:v>32.722222222218988</c:v>
                      </c:pt>
                      <c:pt idx="4713">
                        <c:v>32.729166666664241</c:v>
                      </c:pt>
                      <c:pt idx="4714">
                        <c:v>32.736111111109494</c:v>
                      </c:pt>
                      <c:pt idx="4715">
                        <c:v>32.743055555554747</c:v>
                      </c:pt>
                      <c:pt idx="4716">
                        <c:v>32.75</c:v>
                      </c:pt>
                      <c:pt idx="4717">
                        <c:v>32.756944444445253</c:v>
                      </c:pt>
                      <c:pt idx="4718">
                        <c:v>32.763888888890506</c:v>
                      </c:pt>
                      <c:pt idx="4719">
                        <c:v>32.770833333335759</c:v>
                      </c:pt>
                      <c:pt idx="4720">
                        <c:v>32.777777777781012</c:v>
                      </c:pt>
                      <c:pt idx="4721">
                        <c:v>32.784722222218988</c:v>
                      </c:pt>
                      <c:pt idx="4722">
                        <c:v>32.791666666664241</c:v>
                      </c:pt>
                      <c:pt idx="4723">
                        <c:v>32.798611111109494</c:v>
                      </c:pt>
                      <c:pt idx="4724">
                        <c:v>32.805555555554747</c:v>
                      </c:pt>
                      <c:pt idx="4725">
                        <c:v>32.8125</c:v>
                      </c:pt>
                      <c:pt idx="4726">
                        <c:v>32.819444444445253</c:v>
                      </c:pt>
                      <c:pt idx="4727">
                        <c:v>32.826388888890506</c:v>
                      </c:pt>
                      <c:pt idx="4728">
                        <c:v>32.833333333335759</c:v>
                      </c:pt>
                      <c:pt idx="4729">
                        <c:v>32.840277777781012</c:v>
                      </c:pt>
                      <c:pt idx="4730">
                        <c:v>32.847222222218988</c:v>
                      </c:pt>
                      <c:pt idx="4731">
                        <c:v>32.854166666664241</c:v>
                      </c:pt>
                      <c:pt idx="4732">
                        <c:v>32.861111111109494</c:v>
                      </c:pt>
                      <c:pt idx="4733">
                        <c:v>32.868055555554747</c:v>
                      </c:pt>
                      <c:pt idx="4734">
                        <c:v>32.875</c:v>
                      </c:pt>
                      <c:pt idx="4735">
                        <c:v>32.881944444445253</c:v>
                      </c:pt>
                      <c:pt idx="4736">
                        <c:v>32.888888888890506</c:v>
                      </c:pt>
                      <c:pt idx="4737">
                        <c:v>32.895833333335759</c:v>
                      </c:pt>
                      <c:pt idx="4738">
                        <c:v>32.902777777781012</c:v>
                      </c:pt>
                      <c:pt idx="4739">
                        <c:v>32.909722222218988</c:v>
                      </c:pt>
                      <c:pt idx="4740">
                        <c:v>32.916666666664241</c:v>
                      </c:pt>
                      <c:pt idx="4741">
                        <c:v>32.923611111109494</c:v>
                      </c:pt>
                      <c:pt idx="4742">
                        <c:v>32.930555555554747</c:v>
                      </c:pt>
                      <c:pt idx="4743">
                        <c:v>32.9375</c:v>
                      </c:pt>
                      <c:pt idx="4744">
                        <c:v>32.944444444445253</c:v>
                      </c:pt>
                      <c:pt idx="4745">
                        <c:v>32.951388888890506</c:v>
                      </c:pt>
                      <c:pt idx="4746">
                        <c:v>32.958333333335759</c:v>
                      </c:pt>
                      <c:pt idx="4747">
                        <c:v>32.965277777781012</c:v>
                      </c:pt>
                      <c:pt idx="4748">
                        <c:v>32.972222222218988</c:v>
                      </c:pt>
                      <c:pt idx="4749">
                        <c:v>32.979166666664241</c:v>
                      </c:pt>
                      <c:pt idx="4750">
                        <c:v>32.986111111109494</c:v>
                      </c:pt>
                      <c:pt idx="4751">
                        <c:v>32.993055555554747</c:v>
                      </c:pt>
                      <c:pt idx="4752">
                        <c:v>33</c:v>
                      </c:pt>
                      <c:pt idx="4753">
                        <c:v>33.006944444445253</c:v>
                      </c:pt>
                      <c:pt idx="4754">
                        <c:v>33.013888888890506</c:v>
                      </c:pt>
                      <c:pt idx="4755">
                        <c:v>33.020833333335759</c:v>
                      </c:pt>
                      <c:pt idx="4756">
                        <c:v>33.027777777781012</c:v>
                      </c:pt>
                      <c:pt idx="4757">
                        <c:v>33.034722222218988</c:v>
                      </c:pt>
                      <c:pt idx="4758">
                        <c:v>33.041666666664241</c:v>
                      </c:pt>
                      <c:pt idx="4759">
                        <c:v>33.048611111109494</c:v>
                      </c:pt>
                      <c:pt idx="4760">
                        <c:v>33.055555555554747</c:v>
                      </c:pt>
                      <c:pt idx="4761">
                        <c:v>33.0625</c:v>
                      </c:pt>
                      <c:pt idx="4762">
                        <c:v>33.069444444445253</c:v>
                      </c:pt>
                      <c:pt idx="4763">
                        <c:v>33.076388888890506</c:v>
                      </c:pt>
                      <c:pt idx="4764">
                        <c:v>33.083333333335759</c:v>
                      </c:pt>
                      <c:pt idx="4765">
                        <c:v>33.090277777781012</c:v>
                      </c:pt>
                      <c:pt idx="4766">
                        <c:v>33.097222222218988</c:v>
                      </c:pt>
                      <c:pt idx="4767">
                        <c:v>33.104166666664241</c:v>
                      </c:pt>
                      <c:pt idx="4768">
                        <c:v>33.111111111109494</c:v>
                      </c:pt>
                      <c:pt idx="4769">
                        <c:v>33.118055555554747</c:v>
                      </c:pt>
                      <c:pt idx="4770">
                        <c:v>33.125</c:v>
                      </c:pt>
                      <c:pt idx="4771">
                        <c:v>33.131944444445253</c:v>
                      </c:pt>
                      <c:pt idx="4772">
                        <c:v>33.138888888890506</c:v>
                      </c:pt>
                      <c:pt idx="4773">
                        <c:v>33.145833333335759</c:v>
                      </c:pt>
                      <c:pt idx="4774">
                        <c:v>33.152777777781012</c:v>
                      </c:pt>
                      <c:pt idx="4775">
                        <c:v>33.159722222218988</c:v>
                      </c:pt>
                      <c:pt idx="4776">
                        <c:v>33.166666666664241</c:v>
                      </c:pt>
                      <c:pt idx="4777">
                        <c:v>33.173611111109494</c:v>
                      </c:pt>
                      <c:pt idx="4778">
                        <c:v>33.180555555554747</c:v>
                      </c:pt>
                      <c:pt idx="4779">
                        <c:v>33.1875</c:v>
                      </c:pt>
                      <c:pt idx="4780">
                        <c:v>33.194444444445253</c:v>
                      </c:pt>
                      <c:pt idx="4781">
                        <c:v>33.201388888890506</c:v>
                      </c:pt>
                      <c:pt idx="4782">
                        <c:v>33.208333333335759</c:v>
                      </c:pt>
                      <c:pt idx="4783">
                        <c:v>33.215277777781012</c:v>
                      </c:pt>
                      <c:pt idx="4784">
                        <c:v>33.222222222218988</c:v>
                      </c:pt>
                      <c:pt idx="4785">
                        <c:v>33.229166666664241</c:v>
                      </c:pt>
                      <c:pt idx="4786">
                        <c:v>33.236111111109494</c:v>
                      </c:pt>
                      <c:pt idx="4787">
                        <c:v>33.243055555554747</c:v>
                      </c:pt>
                      <c:pt idx="4788">
                        <c:v>33.25</c:v>
                      </c:pt>
                      <c:pt idx="4789">
                        <c:v>33.256944444445253</c:v>
                      </c:pt>
                      <c:pt idx="4790">
                        <c:v>33.263888888890506</c:v>
                      </c:pt>
                      <c:pt idx="4791">
                        <c:v>33.270833333335759</c:v>
                      </c:pt>
                      <c:pt idx="4792">
                        <c:v>33.277777777781012</c:v>
                      </c:pt>
                      <c:pt idx="4793">
                        <c:v>33.284722222218988</c:v>
                      </c:pt>
                      <c:pt idx="4794">
                        <c:v>33.291666666664241</c:v>
                      </c:pt>
                      <c:pt idx="4795">
                        <c:v>33.298611111109494</c:v>
                      </c:pt>
                      <c:pt idx="4796">
                        <c:v>33.305555555554747</c:v>
                      </c:pt>
                      <c:pt idx="4797">
                        <c:v>33.3125</c:v>
                      </c:pt>
                      <c:pt idx="4798">
                        <c:v>33.319444444445253</c:v>
                      </c:pt>
                      <c:pt idx="4799">
                        <c:v>33.326388888890506</c:v>
                      </c:pt>
                      <c:pt idx="4800">
                        <c:v>33.333333333335759</c:v>
                      </c:pt>
                      <c:pt idx="4801">
                        <c:v>33.340277777781012</c:v>
                      </c:pt>
                      <c:pt idx="4802">
                        <c:v>33.347222222218988</c:v>
                      </c:pt>
                      <c:pt idx="4803">
                        <c:v>33.354166666664241</c:v>
                      </c:pt>
                      <c:pt idx="4804">
                        <c:v>33.361111111109494</c:v>
                      </c:pt>
                      <c:pt idx="4805">
                        <c:v>33.368055555554747</c:v>
                      </c:pt>
                      <c:pt idx="4806">
                        <c:v>33.375</c:v>
                      </c:pt>
                      <c:pt idx="4807">
                        <c:v>33.381944444445253</c:v>
                      </c:pt>
                      <c:pt idx="4808">
                        <c:v>33.388888888890506</c:v>
                      </c:pt>
                      <c:pt idx="4809">
                        <c:v>33.395833333335759</c:v>
                      </c:pt>
                      <c:pt idx="4810">
                        <c:v>33.402777777781012</c:v>
                      </c:pt>
                      <c:pt idx="4811">
                        <c:v>33.409722222218988</c:v>
                      </c:pt>
                      <c:pt idx="4812">
                        <c:v>33.416666666664241</c:v>
                      </c:pt>
                      <c:pt idx="4813">
                        <c:v>33.423611111109494</c:v>
                      </c:pt>
                      <c:pt idx="4814">
                        <c:v>33.430555555554747</c:v>
                      </c:pt>
                      <c:pt idx="4815">
                        <c:v>33.4375</c:v>
                      </c:pt>
                      <c:pt idx="4816">
                        <c:v>33.444444444445253</c:v>
                      </c:pt>
                      <c:pt idx="4817">
                        <c:v>33.451388888890506</c:v>
                      </c:pt>
                      <c:pt idx="4818">
                        <c:v>33.458333333335759</c:v>
                      </c:pt>
                      <c:pt idx="4819">
                        <c:v>33.465277777781012</c:v>
                      </c:pt>
                      <c:pt idx="4820">
                        <c:v>33.472222222218988</c:v>
                      </c:pt>
                      <c:pt idx="4821">
                        <c:v>33.479166666664241</c:v>
                      </c:pt>
                      <c:pt idx="4822">
                        <c:v>33.486111111109494</c:v>
                      </c:pt>
                      <c:pt idx="4823">
                        <c:v>33.493055555554747</c:v>
                      </c:pt>
                      <c:pt idx="4824">
                        <c:v>33.5</c:v>
                      </c:pt>
                      <c:pt idx="4825">
                        <c:v>33.506944444445253</c:v>
                      </c:pt>
                      <c:pt idx="4826">
                        <c:v>33.513888888890506</c:v>
                      </c:pt>
                      <c:pt idx="4827">
                        <c:v>33.520833333335759</c:v>
                      </c:pt>
                      <c:pt idx="4828">
                        <c:v>33.527777777781012</c:v>
                      </c:pt>
                      <c:pt idx="4829">
                        <c:v>33.534722222218988</c:v>
                      </c:pt>
                      <c:pt idx="4830">
                        <c:v>33.541666666664241</c:v>
                      </c:pt>
                      <c:pt idx="4831">
                        <c:v>33.548611111109494</c:v>
                      </c:pt>
                      <c:pt idx="4832">
                        <c:v>33.555555555554747</c:v>
                      </c:pt>
                      <c:pt idx="4833">
                        <c:v>33.5625</c:v>
                      </c:pt>
                      <c:pt idx="4834">
                        <c:v>33.569444444445253</c:v>
                      </c:pt>
                      <c:pt idx="4835">
                        <c:v>33.576388888890506</c:v>
                      </c:pt>
                      <c:pt idx="4836">
                        <c:v>33.583333333335759</c:v>
                      </c:pt>
                      <c:pt idx="4837">
                        <c:v>33.590277777781012</c:v>
                      </c:pt>
                      <c:pt idx="4838">
                        <c:v>33.597222222218988</c:v>
                      </c:pt>
                      <c:pt idx="4839">
                        <c:v>33.604166666664241</c:v>
                      </c:pt>
                      <c:pt idx="4840">
                        <c:v>33.611111111109494</c:v>
                      </c:pt>
                      <c:pt idx="4841">
                        <c:v>33.618055555554747</c:v>
                      </c:pt>
                      <c:pt idx="4842">
                        <c:v>33.625</c:v>
                      </c:pt>
                      <c:pt idx="4843">
                        <c:v>33.631944444445253</c:v>
                      </c:pt>
                      <c:pt idx="4844">
                        <c:v>33.638888888890506</c:v>
                      </c:pt>
                      <c:pt idx="4845">
                        <c:v>33.645833333335759</c:v>
                      </c:pt>
                      <c:pt idx="4846">
                        <c:v>33.652777777781012</c:v>
                      </c:pt>
                      <c:pt idx="4847">
                        <c:v>33.659722222218988</c:v>
                      </c:pt>
                      <c:pt idx="4848">
                        <c:v>33.666666666664241</c:v>
                      </c:pt>
                      <c:pt idx="4849">
                        <c:v>33.673611111109494</c:v>
                      </c:pt>
                      <c:pt idx="4850">
                        <c:v>33.680555555554747</c:v>
                      </c:pt>
                      <c:pt idx="4851">
                        <c:v>33.6875</c:v>
                      </c:pt>
                      <c:pt idx="4852">
                        <c:v>33.694444444445253</c:v>
                      </c:pt>
                      <c:pt idx="4853">
                        <c:v>33.701388888890506</c:v>
                      </c:pt>
                      <c:pt idx="4854">
                        <c:v>33.708333333335759</c:v>
                      </c:pt>
                      <c:pt idx="4855">
                        <c:v>33.715277777781012</c:v>
                      </c:pt>
                      <c:pt idx="4856">
                        <c:v>33.722222222218988</c:v>
                      </c:pt>
                      <c:pt idx="4857">
                        <c:v>33.729166666664241</c:v>
                      </c:pt>
                      <c:pt idx="4858">
                        <c:v>33.736111111109494</c:v>
                      </c:pt>
                      <c:pt idx="4859">
                        <c:v>33.743055555554747</c:v>
                      </c:pt>
                      <c:pt idx="4860">
                        <c:v>33.75</c:v>
                      </c:pt>
                      <c:pt idx="4861">
                        <c:v>33.756944444445253</c:v>
                      </c:pt>
                      <c:pt idx="4862">
                        <c:v>33.763888888890506</c:v>
                      </c:pt>
                      <c:pt idx="4863">
                        <c:v>33.770833333335759</c:v>
                      </c:pt>
                      <c:pt idx="4864">
                        <c:v>33.777777777781012</c:v>
                      </c:pt>
                      <c:pt idx="4865">
                        <c:v>33.784722222218988</c:v>
                      </c:pt>
                      <c:pt idx="4866">
                        <c:v>33.791666666664241</c:v>
                      </c:pt>
                      <c:pt idx="4867">
                        <c:v>33.798611111109494</c:v>
                      </c:pt>
                      <c:pt idx="4868">
                        <c:v>33.805555555554747</c:v>
                      </c:pt>
                      <c:pt idx="4869">
                        <c:v>33.8125</c:v>
                      </c:pt>
                      <c:pt idx="4870">
                        <c:v>33.819444444445253</c:v>
                      </c:pt>
                      <c:pt idx="4871">
                        <c:v>33.826388888890506</c:v>
                      </c:pt>
                      <c:pt idx="4872">
                        <c:v>33.833333333335759</c:v>
                      </c:pt>
                      <c:pt idx="4873">
                        <c:v>33.840277777781012</c:v>
                      </c:pt>
                      <c:pt idx="4874">
                        <c:v>33.847222222218988</c:v>
                      </c:pt>
                      <c:pt idx="4875">
                        <c:v>33.854166666664241</c:v>
                      </c:pt>
                      <c:pt idx="4876">
                        <c:v>33.861111111109494</c:v>
                      </c:pt>
                      <c:pt idx="4877">
                        <c:v>33.868055555554747</c:v>
                      </c:pt>
                      <c:pt idx="4878">
                        <c:v>33.875</c:v>
                      </c:pt>
                      <c:pt idx="4879">
                        <c:v>33.881944444445253</c:v>
                      </c:pt>
                      <c:pt idx="4880">
                        <c:v>33.888888888890506</c:v>
                      </c:pt>
                      <c:pt idx="4881">
                        <c:v>33.895833333335759</c:v>
                      </c:pt>
                      <c:pt idx="4882">
                        <c:v>33.902777777781012</c:v>
                      </c:pt>
                      <c:pt idx="4883">
                        <c:v>33.909722222218988</c:v>
                      </c:pt>
                      <c:pt idx="4884">
                        <c:v>33.916666666664241</c:v>
                      </c:pt>
                      <c:pt idx="4885">
                        <c:v>33.923611111109494</c:v>
                      </c:pt>
                      <c:pt idx="4886">
                        <c:v>33.930555555554747</c:v>
                      </c:pt>
                      <c:pt idx="4887">
                        <c:v>33.9375</c:v>
                      </c:pt>
                      <c:pt idx="4888">
                        <c:v>33.944444444445253</c:v>
                      </c:pt>
                      <c:pt idx="4889">
                        <c:v>33.951388888890506</c:v>
                      </c:pt>
                      <c:pt idx="4890">
                        <c:v>33.958333333335759</c:v>
                      </c:pt>
                      <c:pt idx="4891">
                        <c:v>33.965277777781012</c:v>
                      </c:pt>
                      <c:pt idx="4892">
                        <c:v>33.972222222218988</c:v>
                      </c:pt>
                      <c:pt idx="4893">
                        <c:v>33.979166666664241</c:v>
                      </c:pt>
                      <c:pt idx="4894">
                        <c:v>33.986111111109494</c:v>
                      </c:pt>
                      <c:pt idx="4895">
                        <c:v>33.993055555554747</c:v>
                      </c:pt>
                      <c:pt idx="4896">
                        <c:v>34</c:v>
                      </c:pt>
                      <c:pt idx="4897">
                        <c:v>34.006944444445253</c:v>
                      </c:pt>
                      <c:pt idx="4898">
                        <c:v>34.013888888890506</c:v>
                      </c:pt>
                      <c:pt idx="4899">
                        <c:v>34.020833333335759</c:v>
                      </c:pt>
                      <c:pt idx="4900">
                        <c:v>34.027777777781012</c:v>
                      </c:pt>
                      <c:pt idx="4901">
                        <c:v>34.034722222218988</c:v>
                      </c:pt>
                      <c:pt idx="4902">
                        <c:v>34.041666666664241</c:v>
                      </c:pt>
                      <c:pt idx="4903">
                        <c:v>34.048611111109494</c:v>
                      </c:pt>
                      <c:pt idx="4904">
                        <c:v>34.055555555554747</c:v>
                      </c:pt>
                      <c:pt idx="4905">
                        <c:v>34.0625</c:v>
                      </c:pt>
                      <c:pt idx="4906">
                        <c:v>34.069444444445253</c:v>
                      </c:pt>
                      <c:pt idx="4907">
                        <c:v>34.076388888890506</c:v>
                      </c:pt>
                      <c:pt idx="4908">
                        <c:v>34.083333333335759</c:v>
                      </c:pt>
                      <c:pt idx="4909">
                        <c:v>34.090277777781012</c:v>
                      </c:pt>
                      <c:pt idx="4910">
                        <c:v>34.097222222218988</c:v>
                      </c:pt>
                      <c:pt idx="4911">
                        <c:v>34.104166666664241</c:v>
                      </c:pt>
                      <c:pt idx="4912">
                        <c:v>34.111111111109494</c:v>
                      </c:pt>
                      <c:pt idx="4913">
                        <c:v>34.118055555554747</c:v>
                      </c:pt>
                      <c:pt idx="4914">
                        <c:v>34.125</c:v>
                      </c:pt>
                      <c:pt idx="4915">
                        <c:v>34.131944444445253</c:v>
                      </c:pt>
                      <c:pt idx="4916">
                        <c:v>34.138888888890506</c:v>
                      </c:pt>
                      <c:pt idx="4917">
                        <c:v>34.145833333335759</c:v>
                      </c:pt>
                      <c:pt idx="4918">
                        <c:v>34.152777777781012</c:v>
                      </c:pt>
                      <c:pt idx="4919">
                        <c:v>34.159722222218988</c:v>
                      </c:pt>
                      <c:pt idx="4920">
                        <c:v>34.166666666664241</c:v>
                      </c:pt>
                      <c:pt idx="4921">
                        <c:v>34.173611111109494</c:v>
                      </c:pt>
                      <c:pt idx="4922">
                        <c:v>34.180555555554747</c:v>
                      </c:pt>
                      <c:pt idx="4923">
                        <c:v>34.1875</c:v>
                      </c:pt>
                      <c:pt idx="4924">
                        <c:v>34.194444444445253</c:v>
                      </c:pt>
                      <c:pt idx="4925">
                        <c:v>34.201388888890506</c:v>
                      </c:pt>
                      <c:pt idx="4926">
                        <c:v>34.208333333335759</c:v>
                      </c:pt>
                      <c:pt idx="4927">
                        <c:v>34.215277777781012</c:v>
                      </c:pt>
                      <c:pt idx="4928">
                        <c:v>34.222222222218988</c:v>
                      </c:pt>
                      <c:pt idx="4929">
                        <c:v>34.229166666664241</c:v>
                      </c:pt>
                      <c:pt idx="4930">
                        <c:v>34.236111111109494</c:v>
                      </c:pt>
                      <c:pt idx="4931">
                        <c:v>34.243055555554747</c:v>
                      </c:pt>
                      <c:pt idx="4932">
                        <c:v>34.25</c:v>
                      </c:pt>
                      <c:pt idx="4933">
                        <c:v>34.256944444445253</c:v>
                      </c:pt>
                      <c:pt idx="4934">
                        <c:v>34.263888888890506</c:v>
                      </c:pt>
                      <c:pt idx="4935">
                        <c:v>34.270833333335759</c:v>
                      </c:pt>
                      <c:pt idx="4936">
                        <c:v>34.277777777781012</c:v>
                      </c:pt>
                      <c:pt idx="4937">
                        <c:v>34.284722222218988</c:v>
                      </c:pt>
                      <c:pt idx="4938">
                        <c:v>34.291666666664241</c:v>
                      </c:pt>
                      <c:pt idx="4939">
                        <c:v>34.298611111109494</c:v>
                      </c:pt>
                      <c:pt idx="4940">
                        <c:v>34.305555555554747</c:v>
                      </c:pt>
                      <c:pt idx="4941">
                        <c:v>34.3125</c:v>
                      </c:pt>
                      <c:pt idx="4942">
                        <c:v>34.319444444445253</c:v>
                      </c:pt>
                      <c:pt idx="4943">
                        <c:v>34.326388888890506</c:v>
                      </c:pt>
                      <c:pt idx="4944">
                        <c:v>34.333333333335759</c:v>
                      </c:pt>
                      <c:pt idx="4945">
                        <c:v>34.340277777781012</c:v>
                      </c:pt>
                      <c:pt idx="4946">
                        <c:v>34.347222222218988</c:v>
                      </c:pt>
                      <c:pt idx="4947">
                        <c:v>34.354166666664241</c:v>
                      </c:pt>
                      <c:pt idx="4948">
                        <c:v>34.361111111109494</c:v>
                      </c:pt>
                      <c:pt idx="4949">
                        <c:v>34.368055555554747</c:v>
                      </c:pt>
                      <c:pt idx="4950">
                        <c:v>34.375</c:v>
                      </c:pt>
                      <c:pt idx="4951">
                        <c:v>34.381944444445253</c:v>
                      </c:pt>
                      <c:pt idx="4952">
                        <c:v>34.388888888890506</c:v>
                      </c:pt>
                      <c:pt idx="4953">
                        <c:v>34.395833333335759</c:v>
                      </c:pt>
                      <c:pt idx="4954">
                        <c:v>34.402777777781012</c:v>
                      </c:pt>
                      <c:pt idx="4955">
                        <c:v>34.409722222218988</c:v>
                      </c:pt>
                      <c:pt idx="4956">
                        <c:v>34.416666666664241</c:v>
                      </c:pt>
                      <c:pt idx="4957">
                        <c:v>34.423611111109494</c:v>
                      </c:pt>
                      <c:pt idx="4958">
                        <c:v>34.430555555554747</c:v>
                      </c:pt>
                      <c:pt idx="4959">
                        <c:v>34.4375</c:v>
                      </c:pt>
                      <c:pt idx="4960">
                        <c:v>34.444444444445253</c:v>
                      </c:pt>
                      <c:pt idx="4961">
                        <c:v>34.451388888890506</c:v>
                      </c:pt>
                      <c:pt idx="4962">
                        <c:v>34.458333333335759</c:v>
                      </c:pt>
                      <c:pt idx="4963">
                        <c:v>34.465277777781012</c:v>
                      </c:pt>
                      <c:pt idx="4964">
                        <c:v>34.472222222218988</c:v>
                      </c:pt>
                      <c:pt idx="4965">
                        <c:v>34.479166666664241</c:v>
                      </c:pt>
                      <c:pt idx="4966">
                        <c:v>34.486111111109494</c:v>
                      </c:pt>
                      <c:pt idx="4967">
                        <c:v>34.493055555554747</c:v>
                      </c:pt>
                      <c:pt idx="4968">
                        <c:v>34.5</c:v>
                      </c:pt>
                      <c:pt idx="4969">
                        <c:v>34.506944444445253</c:v>
                      </c:pt>
                      <c:pt idx="4970">
                        <c:v>34.513888888890506</c:v>
                      </c:pt>
                      <c:pt idx="4971">
                        <c:v>34.520833333335759</c:v>
                      </c:pt>
                      <c:pt idx="4972">
                        <c:v>34.527777777781012</c:v>
                      </c:pt>
                      <c:pt idx="4973">
                        <c:v>34.534722222218988</c:v>
                      </c:pt>
                      <c:pt idx="4974">
                        <c:v>34.541666666664241</c:v>
                      </c:pt>
                      <c:pt idx="4975">
                        <c:v>34.548611111109494</c:v>
                      </c:pt>
                      <c:pt idx="4976">
                        <c:v>34.555555555554747</c:v>
                      </c:pt>
                      <c:pt idx="4977">
                        <c:v>34.5625</c:v>
                      </c:pt>
                      <c:pt idx="4978">
                        <c:v>34.569444444445253</c:v>
                      </c:pt>
                      <c:pt idx="4979">
                        <c:v>34.576388888890506</c:v>
                      </c:pt>
                      <c:pt idx="4980">
                        <c:v>34.583333333335759</c:v>
                      </c:pt>
                      <c:pt idx="4981">
                        <c:v>34.590277777781012</c:v>
                      </c:pt>
                      <c:pt idx="4982">
                        <c:v>34.597222222218988</c:v>
                      </c:pt>
                      <c:pt idx="4983">
                        <c:v>34.604166666664241</c:v>
                      </c:pt>
                      <c:pt idx="4984">
                        <c:v>34.611111111109494</c:v>
                      </c:pt>
                      <c:pt idx="4985">
                        <c:v>34.618055555554747</c:v>
                      </c:pt>
                      <c:pt idx="4986">
                        <c:v>34.625</c:v>
                      </c:pt>
                      <c:pt idx="4987">
                        <c:v>34.631944444445253</c:v>
                      </c:pt>
                      <c:pt idx="4988">
                        <c:v>34.638888888890506</c:v>
                      </c:pt>
                      <c:pt idx="4989">
                        <c:v>34.645833333335759</c:v>
                      </c:pt>
                      <c:pt idx="4990">
                        <c:v>34.652777777781012</c:v>
                      </c:pt>
                      <c:pt idx="4991">
                        <c:v>34.659722222218988</c:v>
                      </c:pt>
                      <c:pt idx="4992">
                        <c:v>34.666666666664241</c:v>
                      </c:pt>
                      <c:pt idx="4993">
                        <c:v>34.673611111109494</c:v>
                      </c:pt>
                      <c:pt idx="4994">
                        <c:v>34.680555555554747</c:v>
                      </c:pt>
                      <c:pt idx="4995">
                        <c:v>34.6875</c:v>
                      </c:pt>
                      <c:pt idx="4996">
                        <c:v>34.694444444445253</c:v>
                      </c:pt>
                      <c:pt idx="4997">
                        <c:v>34.701388888890506</c:v>
                      </c:pt>
                      <c:pt idx="4998">
                        <c:v>34.708333333335759</c:v>
                      </c:pt>
                      <c:pt idx="4999">
                        <c:v>34.715277777781012</c:v>
                      </c:pt>
                      <c:pt idx="5000">
                        <c:v>34.722222222218988</c:v>
                      </c:pt>
                      <c:pt idx="5001">
                        <c:v>34.729166666664241</c:v>
                      </c:pt>
                      <c:pt idx="5002">
                        <c:v>34.736111111109494</c:v>
                      </c:pt>
                      <c:pt idx="5003">
                        <c:v>34.743055555554747</c:v>
                      </c:pt>
                      <c:pt idx="5004">
                        <c:v>34.75</c:v>
                      </c:pt>
                      <c:pt idx="5005">
                        <c:v>34.756944444445253</c:v>
                      </c:pt>
                      <c:pt idx="5006">
                        <c:v>34.763888888890506</c:v>
                      </c:pt>
                      <c:pt idx="5007">
                        <c:v>34.770833333335759</c:v>
                      </c:pt>
                      <c:pt idx="5008">
                        <c:v>34.777777777781012</c:v>
                      </c:pt>
                      <c:pt idx="5009">
                        <c:v>34.784722222218988</c:v>
                      </c:pt>
                      <c:pt idx="5010">
                        <c:v>34.791666666664241</c:v>
                      </c:pt>
                      <c:pt idx="5011">
                        <c:v>34.798611111109494</c:v>
                      </c:pt>
                      <c:pt idx="5012">
                        <c:v>34.805555555554747</c:v>
                      </c:pt>
                      <c:pt idx="5013">
                        <c:v>34.8125</c:v>
                      </c:pt>
                      <c:pt idx="5014">
                        <c:v>34.819444444445253</c:v>
                      </c:pt>
                      <c:pt idx="5015">
                        <c:v>34.826388888890506</c:v>
                      </c:pt>
                      <c:pt idx="5016">
                        <c:v>34.833333333335759</c:v>
                      </c:pt>
                      <c:pt idx="5017">
                        <c:v>34.840277777781012</c:v>
                      </c:pt>
                      <c:pt idx="5018">
                        <c:v>34.847222222218988</c:v>
                      </c:pt>
                      <c:pt idx="5019">
                        <c:v>34.854166666664241</c:v>
                      </c:pt>
                      <c:pt idx="5020">
                        <c:v>34.861111111109494</c:v>
                      </c:pt>
                      <c:pt idx="5021">
                        <c:v>34.868055555554747</c:v>
                      </c:pt>
                      <c:pt idx="5022">
                        <c:v>34.875</c:v>
                      </c:pt>
                      <c:pt idx="5023">
                        <c:v>34.881944444445253</c:v>
                      </c:pt>
                      <c:pt idx="5024">
                        <c:v>34.888888888890506</c:v>
                      </c:pt>
                      <c:pt idx="5025">
                        <c:v>34.895833333335759</c:v>
                      </c:pt>
                      <c:pt idx="5026">
                        <c:v>34.902777777781012</c:v>
                      </c:pt>
                      <c:pt idx="5027">
                        <c:v>34.909722222218988</c:v>
                      </c:pt>
                      <c:pt idx="5028">
                        <c:v>34.916666666664241</c:v>
                      </c:pt>
                      <c:pt idx="5029">
                        <c:v>34.923611111109494</c:v>
                      </c:pt>
                      <c:pt idx="5030">
                        <c:v>34.930555555554747</c:v>
                      </c:pt>
                      <c:pt idx="5031">
                        <c:v>34.9375</c:v>
                      </c:pt>
                      <c:pt idx="5032">
                        <c:v>34.944444444445253</c:v>
                      </c:pt>
                      <c:pt idx="5033">
                        <c:v>34.951388888890506</c:v>
                      </c:pt>
                      <c:pt idx="5034">
                        <c:v>34.958333333335759</c:v>
                      </c:pt>
                      <c:pt idx="5035">
                        <c:v>34.965277777781012</c:v>
                      </c:pt>
                      <c:pt idx="5036">
                        <c:v>34.972222222218988</c:v>
                      </c:pt>
                      <c:pt idx="5037">
                        <c:v>34.979166666664241</c:v>
                      </c:pt>
                      <c:pt idx="5038">
                        <c:v>34.986111111109494</c:v>
                      </c:pt>
                      <c:pt idx="5039">
                        <c:v>34.993055555554747</c:v>
                      </c:pt>
                      <c:pt idx="5040">
                        <c:v>35</c:v>
                      </c:pt>
                      <c:pt idx="5041">
                        <c:v>35.006944444445253</c:v>
                      </c:pt>
                      <c:pt idx="5042">
                        <c:v>35.013888888890506</c:v>
                      </c:pt>
                      <c:pt idx="5043">
                        <c:v>35.020833333335759</c:v>
                      </c:pt>
                      <c:pt idx="5044">
                        <c:v>35.027777777781012</c:v>
                      </c:pt>
                      <c:pt idx="5045">
                        <c:v>35.034722222218988</c:v>
                      </c:pt>
                      <c:pt idx="5046">
                        <c:v>35.041666666664241</c:v>
                      </c:pt>
                      <c:pt idx="5047">
                        <c:v>35.048611111109494</c:v>
                      </c:pt>
                      <c:pt idx="5048">
                        <c:v>35.055555555554747</c:v>
                      </c:pt>
                      <c:pt idx="5049">
                        <c:v>35.0625</c:v>
                      </c:pt>
                      <c:pt idx="5050">
                        <c:v>35.069444444445253</c:v>
                      </c:pt>
                      <c:pt idx="5051">
                        <c:v>35.076388888890506</c:v>
                      </c:pt>
                      <c:pt idx="5052">
                        <c:v>35.083333333335759</c:v>
                      </c:pt>
                      <c:pt idx="5053">
                        <c:v>35.090277777781012</c:v>
                      </c:pt>
                      <c:pt idx="5054">
                        <c:v>35.097222222218988</c:v>
                      </c:pt>
                      <c:pt idx="5055">
                        <c:v>35.104166666664241</c:v>
                      </c:pt>
                      <c:pt idx="5056">
                        <c:v>35.111111111109494</c:v>
                      </c:pt>
                      <c:pt idx="5057">
                        <c:v>35.118055555554747</c:v>
                      </c:pt>
                      <c:pt idx="5058">
                        <c:v>35.125</c:v>
                      </c:pt>
                      <c:pt idx="5059">
                        <c:v>35.131944444445253</c:v>
                      </c:pt>
                      <c:pt idx="5060">
                        <c:v>35.138888888890506</c:v>
                      </c:pt>
                      <c:pt idx="5061">
                        <c:v>35.145833333335759</c:v>
                      </c:pt>
                      <c:pt idx="5062">
                        <c:v>35.152777777781012</c:v>
                      </c:pt>
                      <c:pt idx="5063">
                        <c:v>35.159722222218988</c:v>
                      </c:pt>
                      <c:pt idx="5064">
                        <c:v>35.166666666664241</c:v>
                      </c:pt>
                      <c:pt idx="5065">
                        <c:v>35.173611111109494</c:v>
                      </c:pt>
                      <c:pt idx="5066">
                        <c:v>35.180555555554747</c:v>
                      </c:pt>
                      <c:pt idx="5067">
                        <c:v>35.1875</c:v>
                      </c:pt>
                      <c:pt idx="5068">
                        <c:v>35.194444444445253</c:v>
                      </c:pt>
                      <c:pt idx="5069">
                        <c:v>35.201388888890506</c:v>
                      </c:pt>
                      <c:pt idx="5070">
                        <c:v>35.208333333335759</c:v>
                      </c:pt>
                      <c:pt idx="5071">
                        <c:v>35.215277777781012</c:v>
                      </c:pt>
                      <c:pt idx="5072">
                        <c:v>35.222222222218988</c:v>
                      </c:pt>
                      <c:pt idx="5073">
                        <c:v>35.229166666664241</c:v>
                      </c:pt>
                      <c:pt idx="5074">
                        <c:v>35.236111111109494</c:v>
                      </c:pt>
                      <c:pt idx="5075">
                        <c:v>35.243055555554747</c:v>
                      </c:pt>
                      <c:pt idx="5076">
                        <c:v>35.25</c:v>
                      </c:pt>
                      <c:pt idx="5077">
                        <c:v>35.256944444445253</c:v>
                      </c:pt>
                      <c:pt idx="5078">
                        <c:v>35.263888888890506</c:v>
                      </c:pt>
                      <c:pt idx="5079">
                        <c:v>35.270833333335759</c:v>
                      </c:pt>
                      <c:pt idx="5080">
                        <c:v>35.277777777781012</c:v>
                      </c:pt>
                      <c:pt idx="5081">
                        <c:v>35.284722222218988</c:v>
                      </c:pt>
                      <c:pt idx="5082">
                        <c:v>35.291666666664241</c:v>
                      </c:pt>
                      <c:pt idx="5083">
                        <c:v>35.298611111109494</c:v>
                      </c:pt>
                      <c:pt idx="5084">
                        <c:v>35.305555555554747</c:v>
                      </c:pt>
                      <c:pt idx="5085">
                        <c:v>35.3125</c:v>
                      </c:pt>
                      <c:pt idx="5086">
                        <c:v>35.319444444445253</c:v>
                      </c:pt>
                      <c:pt idx="5087">
                        <c:v>35.326388888890506</c:v>
                      </c:pt>
                      <c:pt idx="5088">
                        <c:v>35.333333333335759</c:v>
                      </c:pt>
                      <c:pt idx="5089">
                        <c:v>35.340277777781012</c:v>
                      </c:pt>
                      <c:pt idx="5090">
                        <c:v>35.347222222218988</c:v>
                      </c:pt>
                      <c:pt idx="5091">
                        <c:v>35.354166666664241</c:v>
                      </c:pt>
                      <c:pt idx="5092">
                        <c:v>35.361111111109494</c:v>
                      </c:pt>
                      <c:pt idx="5093">
                        <c:v>35.368055555554747</c:v>
                      </c:pt>
                      <c:pt idx="5094">
                        <c:v>35.375</c:v>
                      </c:pt>
                      <c:pt idx="5095">
                        <c:v>35.381944444445253</c:v>
                      </c:pt>
                      <c:pt idx="5096">
                        <c:v>35.388888888890506</c:v>
                      </c:pt>
                      <c:pt idx="5097">
                        <c:v>35.395833333335759</c:v>
                      </c:pt>
                      <c:pt idx="5098">
                        <c:v>35.402777777781012</c:v>
                      </c:pt>
                      <c:pt idx="5099">
                        <c:v>35.409722222218988</c:v>
                      </c:pt>
                      <c:pt idx="5100">
                        <c:v>35.416666666664241</c:v>
                      </c:pt>
                      <c:pt idx="5101">
                        <c:v>35.423611111109494</c:v>
                      </c:pt>
                      <c:pt idx="5102">
                        <c:v>35.430555555554747</c:v>
                      </c:pt>
                      <c:pt idx="5103">
                        <c:v>35.4375</c:v>
                      </c:pt>
                      <c:pt idx="5104">
                        <c:v>35.444444444445253</c:v>
                      </c:pt>
                      <c:pt idx="5105">
                        <c:v>35.451388888890506</c:v>
                      </c:pt>
                      <c:pt idx="5106">
                        <c:v>35.458333333335759</c:v>
                      </c:pt>
                      <c:pt idx="5107">
                        <c:v>35.465277777781012</c:v>
                      </c:pt>
                      <c:pt idx="5108">
                        <c:v>35.472222222218988</c:v>
                      </c:pt>
                      <c:pt idx="5109">
                        <c:v>35.479166666664241</c:v>
                      </c:pt>
                      <c:pt idx="5110">
                        <c:v>35.486111111109494</c:v>
                      </c:pt>
                      <c:pt idx="5111">
                        <c:v>35.493055555554747</c:v>
                      </c:pt>
                      <c:pt idx="5112">
                        <c:v>35.5</c:v>
                      </c:pt>
                      <c:pt idx="5113">
                        <c:v>35.506944444445253</c:v>
                      </c:pt>
                      <c:pt idx="5114">
                        <c:v>35.513888888890506</c:v>
                      </c:pt>
                      <c:pt idx="5115">
                        <c:v>35.520833333335759</c:v>
                      </c:pt>
                      <c:pt idx="5116">
                        <c:v>35.527777777781012</c:v>
                      </c:pt>
                      <c:pt idx="5117">
                        <c:v>35.534722222218988</c:v>
                      </c:pt>
                      <c:pt idx="5118">
                        <c:v>35.541666666664241</c:v>
                      </c:pt>
                      <c:pt idx="5119">
                        <c:v>35.548611111109494</c:v>
                      </c:pt>
                      <c:pt idx="5120">
                        <c:v>35.555555555554747</c:v>
                      </c:pt>
                      <c:pt idx="5121">
                        <c:v>35.5625</c:v>
                      </c:pt>
                      <c:pt idx="5122">
                        <c:v>35.569444444445253</c:v>
                      </c:pt>
                      <c:pt idx="5123">
                        <c:v>35.576388888890506</c:v>
                      </c:pt>
                      <c:pt idx="5124">
                        <c:v>35.583333333335759</c:v>
                      </c:pt>
                      <c:pt idx="5125">
                        <c:v>35.590277777781012</c:v>
                      </c:pt>
                      <c:pt idx="5126">
                        <c:v>35.597222222218988</c:v>
                      </c:pt>
                      <c:pt idx="5127">
                        <c:v>35.604166666664241</c:v>
                      </c:pt>
                      <c:pt idx="5128">
                        <c:v>35.611111111109494</c:v>
                      </c:pt>
                      <c:pt idx="5129">
                        <c:v>35.618055555554747</c:v>
                      </c:pt>
                      <c:pt idx="5130">
                        <c:v>35.625</c:v>
                      </c:pt>
                      <c:pt idx="5131">
                        <c:v>35.631944444445253</c:v>
                      </c:pt>
                      <c:pt idx="5132">
                        <c:v>35.638888888890506</c:v>
                      </c:pt>
                      <c:pt idx="5133">
                        <c:v>35.645833333335759</c:v>
                      </c:pt>
                      <c:pt idx="5134">
                        <c:v>35.652777777781012</c:v>
                      </c:pt>
                      <c:pt idx="5135">
                        <c:v>35.659722222218988</c:v>
                      </c:pt>
                      <c:pt idx="5136">
                        <c:v>35.666666666664241</c:v>
                      </c:pt>
                      <c:pt idx="5137">
                        <c:v>35.673611111109494</c:v>
                      </c:pt>
                      <c:pt idx="5138">
                        <c:v>35.680555555554747</c:v>
                      </c:pt>
                      <c:pt idx="5139">
                        <c:v>35.6875</c:v>
                      </c:pt>
                      <c:pt idx="5140">
                        <c:v>35.694444444445253</c:v>
                      </c:pt>
                      <c:pt idx="5141">
                        <c:v>35.701388888890506</c:v>
                      </c:pt>
                      <c:pt idx="5142">
                        <c:v>35.708333333335759</c:v>
                      </c:pt>
                      <c:pt idx="5143">
                        <c:v>35.715277777781012</c:v>
                      </c:pt>
                      <c:pt idx="5144">
                        <c:v>35.722222222218988</c:v>
                      </c:pt>
                      <c:pt idx="5145">
                        <c:v>35.729166666664241</c:v>
                      </c:pt>
                      <c:pt idx="5146">
                        <c:v>35.736111111109494</c:v>
                      </c:pt>
                      <c:pt idx="5147">
                        <c:v>35.743055555554747</c:v>
                      </c:pt>
                      <c:pt idx="5148">
                        <c:v>35.75</c:v>
                      </c:pt>
                      <c:pt idx="5149">
                        <c:v>35.756944444445253</c:v>
                      </c:pt>
                      <c:pt idx="5150">
                        <c:v>35.763888888890506</c:v>
                      </c:pt>
                      <c:pt idx="5151">
                        <c:v>35.770833333335759</c:v>
                      </c:pt>
                      <c:pt idx="5152">
                        <c:v>35.777777777781012</c:v>
                      </c:pt>
                      <c:pt idx="5153">
                        <c:v>35.784722222218988</c:v>
                      </c:pt>
                      <c:pt idx="5154">
                        <c:v>35.791666666664241</c:v>
                      </c:pt>
                      <c:pt idx="5155">
                        <c:v>35.798611111109494</c:v>
                      </c:pt>
                      <c:pt idx="5156">
                        <c:v>35.805555555554747</c:v>
                      </c:pt>
                      <c:pt idx="5157">
                        <c:v>35.8125</c:v>
                      </c:pt>
                      <c:pt idx="5158">
                        <c:v>35.819444444445253</c:v>
                      </c:pt>
                      <c:pt idx="5159">
                        <c:v>35.826388888890506</c:v>
                      </c:pt>
                      <c:pt idx="5160">
                        <c:v>35.833333333335759</c:v>
                      </c:pt>
                      <c:pt idx="5161">
                        <c:v>35.840277777781012</c:v>
                      </c:pt>
                      <c:pt idx="5162">
                        <c:v>35.847222222218988</c:v>
                      </c:pt>
                      <c:pt idx="5163">
                        <c:v>35.854166666664241</c:v>
                      </c:pt>
                      <c:pt idx="5164">
                        <c:v>35.861111111109494</c:v>
                      </c:pt>
                      <c:pt idx="5165">
                        <c:v>35.868055555554747</c:v>
                      </c:pt>
                      <c:pt idx="5166">
                        <c:v>35.875</c:v>
                      </c:pt>
                      <c:pt idx="5167">
                        <c:v>35.881944444445253</c:v>
                      </c:pt>
                      <c:pt idx="5168">
                        <c:v>35.888888888890506</c:v>
                      </c:pt>
                      <c:pt idx="5169">
                        <c:v>35.895833333335759</c:v>
                      </c:pt>
                      <c:pt idx="5170">
                        <c:v>35.902777777781012</c:v>
                      </c:pt>
                      <c:pt idx="5171">
                        <c:v>35.909722222218988</c:v>
                      </c:pt>
                      <c:pt idx="5172">
                        <c:v>35.916666666664241</c:v>
                      </c:pt>
                      <c:pt idx="5173">
                        <c:v>35.923611111109494</c:v>
                      </c:pt>
                      <c:pt idx="5174">
                        <c:v>35.930555555554747</c:v>
                      </c:pt>
                      <c:pt idx="5175">
                        <c:v>35.9375</c:v>
                      </c:pt>
                      <c:pt idx="5176">
                        <c:v>35.944444444445253</c:v>
                      </c:pt>
                      <c:pt idx="5177">
                        <c:v>35.951388888890506</c:v>
                      </c:pt>
                      <c:pt idx="5178">
                        <c:v>35.958333333335759</c:v>
                      </c:pt>
                      <c:pt idx="5179">
                        <c:v>35.965277777781012</c:v>
                      </c:pt>
                      <c:pt idx="5180">
                        <c:v>35.972222222218988</c:v>
                      </c:pt>
                      <c:pt idx="5181">
                        <c:v>35.979166666664241</c:v>
                      </c:pt>
                      <c:pt idx="5182">
                        <c:v>35.986111111109494</c:v>
                      </c:pt>
                      <c:pt idx="5183">
                        <c:v>35.993055555554747</c:v>
                      </c:pt>
                      <c:pt idx="5184">
                        <c:v>36</c:v>
                      </c:pt>
                      <c:pt idx="5185">
                        <c:v>36.006944444445253</c:v>
                      </c:pt>
                      <c:pt idx="5186">
                        <c:v>36.013888888890506</c:v>
                      </c:pt>
                      <c:pt idx="5187">
                        <c:v>36.020833333335759</c:v>
                      </c:pt>
                      <c:pt idx="5188">
                        <c:v>36.027777777781012</c:v>
                      </c:pt>
                      <c:pt idx="5189">
                        <c:v>36.034722222218988</c:v>
                      </c:pt>
                      <c:pt idx="5190">
                        <c:v>36.041666666664241</c:v>
                      </c:pt>
                      <c:pt idx="5191">
                        <c:v>36.048611111109494</c:v>
                      </c:pt>
                      <c:pt idx="5192">
                        <c:v>36.055555555554747</c:v>
                      </c:pt>
                      <c:pt idx="5193">
                        <c:v>36.0625</c:v>
                      </c:pt>
                      <c:pt idx="5194">
                        <c:v>36.069444444445253</c:v>
                      </c:pt>
                      <c:pt idx="5195">
                        <c:v>36.076388888890506</c:v>
                      </c:pt>
                      <c:pt idx="5196">
                        <c:v>36.083333333335759</c:v>
                      </c:pt>
                      <c:pt idx="5197">
                        <c:v>36.090277777781012</c:v>
                      </c:pt>
                      <c:pt idx="5198">
                        <c:v>36.097222222218988</c:v>
                      </c:pt>
                      <c:pt idx="5199">
                        <c:v>36.104166666664241</c:v>
                      </c:pt>
                      <c:pt idx="5200">
                        <c:v>36.111111111109494</c:v>
                      </c:pt>
                      <c:pt idx="5201">
                        <c:v>36.118055555554747</c:v>
                      </c:pt>
                      <c:pt idx="5202">
                        <c:v>36.125</c:v>
                      </c:pt>
                      <c:pt idx="5203">
                        <c:v>36.131944444445253</c:v>
                      </c:pt>
                      <c:pt idx="5204">
                        <c:v>36.138888888890506</c:v>
                      </c:pt>
                      <c:pt idx="5205">
                        <c:v>36.145833333335759</c:v>
                      </c:pt>
                      <c:pt idx="5206">
                        <c:v>36.152777777781012</c:v>
                      </c:pt>
                      <c:pt idx="5207">
                        <c:v>36.159722222218988</c:v>
                      </c:pt>
                      <c:pt idx="5208">
                        <c:v>36.166666666664241</c:v>
                      </c:pt>
                      <c:pt idx="5209">
                        <c:v>36.173611111109494</c:v>
                      </c:pt>
                      <c:pt idx="5210">
                        <c:v>36.180555555554747</c:v>
                      </c:pt>
                      <c:pt idx="5211">
                        <c:v>36.1875</c:v>
                      </c:pt>
                      <c:pt idx="5212">
                        <c:v>36.194444444445253</c:v>
                      </c:pt>
                      <c:pt idx="5213">
                        <c:v>36.201388888890506</c:v>
                      </c:pt>
                      <c:pt idx="5214">
                        <c:v>36.208333333335759</c:v>
                      </c:pt>
                      <c:pt idx="5215">
                        <c:v>36.215277777781012</c:v>
                      </c:pt>
                      <c:pt idx="5216">
                        <c:v>36.222222222218988</c:v>
                      </c:pt>
                      <c:pt idx="5217">
                        <c:v>36.229166666664241</c:v>
                      </c:pt>
                      <c:pt idx="5218">
                        <c:v>36.236111111109494</c:v>
                      </c:pt>
                      <c:pt idx="5219">
                        <c:v>36.243055555554747</c:v>
                      </c:pt>
                      <c:pt idx="5220">
                        <c:v>36.25</c:v>
                      </c:pt>
                      <c:pt idx="5221">
                        <c:v>36.256944444445253</c:v>
                      </c:pt>
                      <c:pt idx="5222">
                        <c:v>36.263888888890506</c:v>
                      </c:pt>
                      <c:pt idx="5223">
                        <c:v>36.270833333335759</c:v>
                      </c:pt>
                      <c:pt idx="5224">
                        <c:v>36.277777777781012</c:v>
                      </c:pt>
                      <c:pt idx="5225">
                        <c:v>36.284722222218988</c:v>
                      </c:pt>
                      <c:pt idx="5226">
                        <c:v>36.291666666664241</c:v>
                      </c:pt>
                      <c:pt idx="5227">
                        <c:v>36.298611111109494</c:v>
                      </c:pt>
                      <c:pt idx="5228">
                        <c:v>36.305555555554747</c:v>
                      </c:pt>
                      <c:pt idx="5229">
                        <c:v>36.3125</c:v>
                      </c:pt>
                      <c:pt idx="5230">
                        <c:v>36.319444444445253</c:v>
                      </c:pt>
                      <c:pt idx="5231">
                        <c:v>36.326388888890506</c:v>
                      </c:pt>
                      <c:pt idx="5232">
                        <c:v>36.333333333335759</c:v>
                      </c:pt>
                      <c:pt idx="5233">
                        <c:v>36.340277777781012</c:v>
                      </c:pt>
                      <c:pt idx="5234">
                        <c:v>36.347222222218988</c:v>
                      </c:pt>
                      <c:pt idx="5235">
                        <c:v>36.354166666664241</c:v>
                      </c:pt>
                      <c:pt idx="5236">
                        <c:v>36.361111111109494</c:v>
                      </c:pt>
                      <c:pt idx="5237">
                        <c:v>36.368055555554747</c:v>
                      </c:pt>
                      <c:pt idx="5238">
                        <c:v>36.375</c:v>
                      </c:pt>
                      <c:pt idx="5239">
                        <c:v>36.381944444445253</c:v>
                      </c:pt>
                      <c:pt idx="5240">
                        <c:v>36.388888888890506</c:v>
                      </c:pt>
                      <c:pt idx="5241">
                        <c:v>36.395833333335759</c:v>
                      </c:pt>
                      <c:pt idx="5242">
                        <c:v>36.402777777781012</c:v>
                      </c:pt>
                      <c:pt idx="5243">
                        <c:v>36.409722222218988</c:v>
                      </c:pt>
                      <c:pt idx="5244">
                        <c:v>36.416666666664241</c:v>
                      </c:pt>
                      <c:pt idx="5245">
                        <c:v>36.423611111109494</c:v>
                      </c:pt>
                      <c:pt idx="5246">
                        <c:v>36.430555555554747</c:v>
                      </c:pt>
                      <c:pt idx="5247">
                        <c:v>36.4375</c:v>
                      </c:pt>
                      <c:pt idx="5248">
                        <c:v>36.444444444445253</c:v>
                      </c:pt>
                      <c:pt idx="5249">
                        <c:v>36.451388888890506</c:v>
                      </c:pt>
                      <c:pt idx="5250">
                        <c:v>36.458333333335759</c:v>
                      </c:pt>
                      <c:pt idx="5251">
                        <c:v>36.465277777781012</c:v>
                      </c:pt>
                      <c:pt idx="5252">
                        <c:v>36.472222222218988</c:v>
                      </c:pt>
                      <c:pt idx="5253">
                        <c:v>36.479166666664241</c:v>
                      </c:pt>
                      <c:pt idx="5254">
                        <c:v>36.486111111109494</c:v>
                      </c:pt>
                      <c:pt idx="5255">
                        <c:v>36.493055555554747</c:v>
                      </c:pt>
                      <c:pt idx="5256">
                        <c:v>36.5</c:v>
                      </c:pt>
                      <c:pt idx="5257">
                        <c:v>36.506944444445253</c:v>
                      </c:pt>
                      <c:pt idx="5258">
                        <c:v>36.513888888890506</c:v>
                      </c:pt>
                      <c:pt idx="5259">
                        <c:v>36.520833333335759</c:v>
                      </c:pt>
                      <c:pt idx="5260">
                        <c:v>36.527777777781012</c:v>
                      </c:pt>
                      <c:pt idx="5261">
                        <c:v>36.534722222218988</c:v>
                      </c:pt>
                      <c:pt idx="5262">
                        <c:v>36.541666666664241</c:v>
                      </c:pt>
                      <c:pt idx="5263">
                        <c:v>36.548611111109494</c:v>
                      </c:pt>
                      <c:pt idx="5264">
                        <c:v>36.555555555554747</c:v>
                      </c:pt>
                      <c:pt idx="5265">
                        <c:v>36.5625</c:v>
                      </c:pt>
                      <c:pt idx="5266">
                        <c:v>36.569444444445253</c:v>
                      </c:pt>
                      <c:pt idx="5267">
                        <c:v>36.576388888890506</c:v>
                      </c:pt>
                      <c:pt idx="5268">
                        <c:v>36.583333333335759</c:v>
                      </c:pt>
                      <c:pt idx="5269">
                        <c:v>36.590277777781012</c:v>
                      </c:pt>
                      <c:pt idx="5270">
                        <c:v>36.597222222218988</c:v>
                      </c:pt>
                      <c:pt idx="5271">
                        <c:v>36.604166666664241</c:v>
                      </c:pt>
                      <c:pt idx="5272">
                        <c:v>36.611111111109494</c:v>
                      </c:pt>
                      <c:pt idx="5273">
                        <c:v>36.618055555554747</c:v>
                      </c:pt>
                      <c:pt idx="5274">
                        <c:v>36.625</c:v>
                      </c:pt>
                      <c:pt idx="5275">
                        <c:v>36.631944444445253</c:v>
                      </c:pt>
                      <c:pt idx="5276">
                        <c:v>36.638888888890506</c:v>
                      </c:pt>
                      <c:pt idx="5277">
                        <c:v>36.645833333335759</c:v>
                      </c:pt>
                      <c:pt idx="5278">
                        <c:v>36.652777777781012</c:v>
                      </c:pt>
                      <c:pt idx="5279">
                        <c:v>36.659722222218988</c:v>
                      </c:pt>
                      <c:pt idx="5280">
                        <c:v>36.666666666664241</c:v>
                      </c:pt>
                      <c:pt idx="5281">
                        <c:v>36.673611111109494</c:v>
                      </c:pt>
                      <c:pt idx="5282">
                        <c:v>36.680555555554747</c:v>
                      </c:pt>
                      <c:pt idx="5283">
                        <c:v>36.6875</c:v>
                      </c:pt>
                      <c:pt idx="5284">
                        <c:v>36.694444444445253</c:v>
                      </c:pt>
                      <c:pt idx="5285">
                        <c:v>36.701388888890506</c:v>
                      </c:pt>
                      <c:pt idx="5286">
                        <c:v>36.708333333335759</c:v>
                      </c:pt>
                      <c:pt idx="5287">
                        <c:v>36.715277777781012</c:v>
                      </c:pt>
                      <c:pt idx="5288">
                        <c:v>36.722222222218988</c:v>
                      </c:pt>
                      <c:pt idx="5289">
                        <c:v>36.729166666664241</c:v>
                      </c:pt>
                      <c:pt idx="5290">
                        <c:v>36.736111111109494</c:v>
                      </c:pt>
                      <c:pt idx="5291">
                        <c:v>36.743055555554747</c:v>
                      </c:pt>
                      <c:pt idx="5292">
                        <c:v>36.75</c:v>
                      </c:pt>
                      <c:pt idx="5293">
                        <c:v>36.756944444445253</c:v>
                      </c:pt>
                      <c:pt idx="5294">
                        <c:v>36.763888888890506</c:v>
                      </c:pt>
                      <c:pt idx="5295">
                        <c:v>36.770833333335759</c:v>
                      </c:pt>
                      <c:pt idx="5296">
                        <c:v>36.777777777781012</c:v>
                      </c:pt>
                      <c:pt idx="5297">
                        <c:v>36.784722222218988</c:v>
                      </c:pt>
                      <c:pt idx="5298">
                        <c:v>36.791666666664241</c:v>
                      </c:pt>
                      <c:pt idx="5299">
                        <c:v>36.798611111109494</c:v>
                      </c:pt>
                      <c:pt idx="5300">
                        <c:v>36.805555555554747</c:v>
                      </c:pt>
                      <c:pt idx="5301">
                        <c:v>36.8125</c:v>
                      </c:pt>
                      <c:pt idx="5302">
                        <c:v>36.819444444445253</c:v>
                      </c:pt>
                      <c:pt idx="5303">
                        <c:v>36.826388888890506</c:v>
                      </c:pt>
                      <c:pt idx="5304">
                        <c:v>36.833333333335759</c:v>
                      </c:pt>
                      <c:pt idx="5305">
                        <c:v>36.840277777781012</c:v>
                      </c:pt>
                      <c:pt idx="5306">
                        <c:v>36.847222222218988</c:v>
                      </c:pt>
                      <c:pt idx="5307">
                        <c:v>36.854166666664241</c:v>
                      </c:pt>
                      <c:pt idx="5308">
                        <c:v>36.861111111109494</c:v>
                      </c:pt>
                      <c:pt idx="5309">
                        <c:v>36.868055555554747</c:v>
                      </c:pt>
                      <c:pt idx="5310">
                        <c:v>36.875</c:v>
                      </c:pt>
                      <c:pt idx="5311">
                        <c:v>36.881944444445253</c:v>
                      </c:pt>
                      <c:pt idx="5312">
                        <c:v>36.888888888890506</c:v>
                      </c:pt>
                      <c:pt idx="5313">
                        <c:v>36.895833333335759</c:v>
                      </c:pt>
                      <c:pt idx="5314">
                        <c:v>36.902777777781012</c:v>
                      </c:pt>
                      <c:pt idx="5315">
                        <c:v>36.909722222218988</c:v>
                      </c:pt>
                      <c:pt idx="5316">
                        <c:v>36.916666666664241</c:v>
                      </c:pt>
                      <c:pt idx="5317">
                        <c:v>36.923611111109494</c:v>
                      </c:pt>
                      <c:pt idx="5318">
                        <c:v>36.930555555554747</c:v>
                      </c:pt>
                      <c:pt idx="5319">
                        <c:v>36.9375</c:v>
                      </c:pt>
                      <c:pt idx="5320">
                        <c:v>36.944444444445253</c:v>
                      </c:pt>
                      <c:pt idx="5321">
                        <c:v>36.951388888890506</c:v>
                      </c:pt>
                      <c:pt idx="5322">
                        <c:v>36.958333333335759</c:v>
                      </c:pt>
                      <c:pt idx="5323">
                        <c:v>36.965277777781012</c:v>
                      </c:pt>
                      <c:pt idx="5324">
                        <c:v>36.972222222218988</c:v>
                      </c:pt>
                      <c:pt idx="5325">
                        <c:v>36.979166666664241</c:v>
                      </c:pt>
                      <c:pt idx="5326">
                        <c:v>36.986111111109494</c:v>
                      </c:pt>
                      <c:pt idx="5327">
                        <c:v>36.993055555554747</c:v>
                      </c:pt>
                      <c:pt idx="5328">
                        <c:v>37</c:v>
                      </c:pt>
                      <c:pt idx="5329">
                        <c:v>37.006944444445253</c:v>
                      </c:pt>
                      <c:pt idx="5330">
                        <c:v>37.013888888890506</c:v>
                      </c:pt>
                      <c:pt idx="5331">
                        <c:v>37.020833333335759</c:v>
                      </c:pt>
                      <c:pt idx="5332">
                        <c:v>37.027777777781012</c:v>
                      </c:pt>
                      <c:pt idx="5333">
                        <c:v>37.034722222218988</c:v>
                      </c:pt>
                      <c:pt idx="5334">
                        <c:v>37.041666666664241</c:v>
                      </c:pt>
                      <c:pt idx="5335">
                        <c:v>37.048611111109494</c:v>
                      </c:pt>
                      <c:pt idx="5336">
                        <c:v>37.055555555554747</c:v>
                      </c:pt>
                      <c:pt idx="5337">
                        <c:v>37.0625</c:v>
                      </c:pt>
                      <c:pt idx="5338">
                        <c:v>37.069444444445253</c:v>
                      </c:pt>
                      <c:pt idx="5339">
                        <c:v>37.076388888890506</c:v>
                      </c:pt>
                      <c:pt idx="5340">
                        <c:v>37.083333333335759</c:v>
                      </c:pt>
                      <c:pt idx="5341">
                        <c:v>37.090277777781012</c:v>
                      </c:pt>
                      <c:pt idx="5342">
                        <c:v>37.097222222218988</c:v>
                      </c:pt>
                      <c:pt idx="5343">
                        <c:v>37.104166666664241</c:v>
                      </c:pt>
                      <c:pt idx="5344">
                        <c:v>37.111111111109494</c:v>
                      </c:pt>
                      <c:pt idx="5345">
                        <c:v>37.118055555554747</c:v>
                      </c:pt>
                      <c:pt idx="5346">
                        <c:v>37.125</c:v>
                      </c:pt>
                      <c:pt idx="5347">
                        <c:v>37.131944444445253</c:v>
                      </c:pt>
                      <c:pt idx="5348">
                        <c:v>37.138888888890506</c:v>
                      </c:pt>
                      <c:pt idx="5349">
                        <c:v>37.145833333335759</c:v>
                      </c:pt>
                      <c:pt idx="5350">
                        <c:v>37.152777777781012</c:v>
                      </c:pt>
                      <c:pt idx="5351">
                        <c:v>37.159722222218988</c:v>
                      </c:pt>
                      <c:pt idx="5352">
                        <c:v>37.166666666664241</c:v>
                      </c:pt>
                      <c:pt idx="5353">
                        <c:v>37.173611111109494</c:v>
                      </c:pt>
                      <c:pt idx="5354">
                        <c:v>37.180555555554747</c:v>
                      </c:pt>
                      <c:pt idx="5355">
                        <c:v>37.1875</c:v>
                      </c:pt>
                      <c:pt idx="5356">
                        <c:v>37.194444444445253</c:v>
                      </c:pt>
                      <c:pt idx="5357">
                        <c:v>37.201388888890506</c:v>
                      </c:pt>
                      <c:pt idx="5358">
                        <c:v>37.208333333335759</c:v>
                      </c:pt>
                      <c:pt idx="5359">
                        <c:v>37.215277777781012</c:v>
                      </c:pt>
                      <c:pt idx="5360">
                        <c:v>37.222222222218988</c:v>
                      </c:pt>
                      <c:pt idx="5361">
                        <c:v>37.229166666664241</c:v>
                      </c:pt>
                      <c:pt idx="5362">
                        <c:v>37.236111111109494</c:v>
                      </c:pt>
                      <c:pt idx="5363">
                        <c:v>37.243055555554747</c:v>
                      </c:pt>
                      <c:pt idx="5364">
                        <c:v>37.25</c:v>
                      </c:pt>
                      <c:pt idx="5365">
                        <c:v>37.256944444445253</c:v>
                      </c:pt>
                      <c:pt idx="5366">
                        <c:v>37.263888888890506</c:v>
                      </c:pt>
                      <c:pt idx="5367">
                        <c:v>37.270833333335759</c:v>
                      </c:pt>
                      <c:pt idx="5368">
                        <c:v>37.277777777781012</c:v>
                      </c:pt>
                      <c:pt idx="5369">
                        <c:v>37.284722222218988</c:v>
                      </c:pt>
                      <c:pt idx="5370">
                        <c:v>37.291666666664241</c:v>
                      </c:pt>
                      <c:pt idx="5371">
                        <c:v>37.298611111109494</c:v>
                      </c:pt>
                      <c:pt idx="5372">
                        <c:v>37.305555555554747</c:v>
                      </c:pt>
                      <c:pt idx="5373">
                        <c:v>37.3125</c:v>
                      </c:pt>
                      <c:pt idx="5374">
                        <c:v>37.319444444445253</c:v>
                      </c:pt>
                      <c:pt idx="5375">
                        <c:v>37.326388888890506</c:v>
                      </c:pt>
                      <c:pt idx="5376">
                        <c:v>37.333333333335759</c:v>
                      </c:pt>
                      <c:pt idx="5377">
                        <c:v>37.340277777781012</c:v>
                      </c:pt>
                      <c:pt idx="5378">
                        <c:v>37.347222222218988</c:v>
                      </c:pt>
                      <c:pt idx="5379">
                        <c:v>37.354166666664241</c:v>
                      </c:pt>
                      <c:pt idx="5380">
                        <c:v>37.361111111109494</c:v>
                      </c:pt>
                      <c:pt idx="5381">
                        <c:v>37.368055555554747</c:v>
                      </c:pt>
                      <c:pt idx="5382">
                        <c:v>37.375</c:v>
                      </c:pt>
                      <c:pt idx="5383">
                        <c:v>37.381944444445253</c:v>
                      </c:pt>
                      <c:pt idx="5384">
                        <c:v>37.388888888890506</c:v>
                      </c:pt>
                      <c:pt idx="5385">
                        <c:v>37.395833333335759</c:v>
                      </c:pt>
                      <c:pt idx="5386">
                        <c:v>37.402777777781012</c:v>
                      </c:pt>
                      <c:pt idx="5387">
                        <c:v>37.409722222218988</c:v>
                      </c:pt>
                      <c:pt idx="5388">
                        <c:v>37.416666666664241</c:v>
                      </c:pt>
                      <c:pt idx="5389">
                        <c:v>37.423611111109494</c:v>
                      </c:pt>
                      <c:pt idx="5390">
                        <c:v>37.430555555554747</c:v>
                      </c:pt>
                      <c:pt idx="5391">
                        <c:v>37.4375</c:v>
                      </c:pt>
                      <c:pt idx="5392">
                        <c:v>37.444444444445253</c:v>
                      </c:pt>
                      <c:pt idx="5393">
                        <c:v>37.451388888890506</c:v>
                      </c:pt>
                      <c:pt idx="5394">
                        <c:v>37.458333333335759</c:v>
                      </c:pt>
                      <c:pt idx="5395">
                        <c:v>37.465277777781012</c:v>
                      </c:pt>
                      <c:pt idx="5396">
                        <c:v>37.472222222218988</c:v>
                      </c:pt>
                      <c:pt idx="5397">
                        <c:v>37.479166666664241</c:v>
                      </c:pt>
                      <c:pt idx="5398">
                        <c:v>37.486111111109494</c:v>
                      </c:pt>
                      <c:pt idx="5399">
                        <c:v>37.493055555554747</c:v>
                      </c:pt>
                      <c:pt idx="5400">
                        <c:v>37.5</c:v>
                      </c:pt>
                      <c:pt idx="5401">
                        <c:v>37.506944444445253</c:v>
                      </c:pt>
                      <c:pt idx="5402">
                        <c:v>37.513888888890506</c:v>
                      </c:pt>
                      <c:pt idx="5403">
                        <c:v>37.520833333335759</c:v>
                      </c:pt>
                      <c:pt idx="5404">
                        <c:v>37.527777777781012</c:v>
                      </c:pt>
                      <c:pt idx="5405">
                        <c:v>37.534722222218988</c:v>
                      </c:pt>
                      <c:pt idx="5406">
                        <c:v>37.541666666664241</c:v>
                      </c:pt>
                      <c:pt idx="5407">
                        <c:v>37.548611111109494</c:v>
                      </c:pt>
                      <c:pt idx="5408">
                        <c:v>37.555555555554747</c:v>
                      </c:pt>
                      <c:pt idx="5409">
                        <c:v>37.5625</c:v>
                      </c:pt>
                      <c:pt idx="5410">
                        <c:v>37.569444444445253</c:v>
                      </c:pt>
                      <c:pt idx="5411">
                        <c:v>37.576388888890506</c:v>
                      </c:pt>
                      <c:pt idx="5412">
                        <c:v>37.583333333335759</c:v>
                      </c:pt>
                      <c:pt idx="5413">
                        <c:v>37.590277777781012</c:v>
                      </c:pt>
                      <c:pt idx="5414">
                        <c:v>37.597222222218988</c:v>
                      </c:pt>
                      <c:pt idx="5415">
                        <c:v>37.604166666664241</c:v>
                      </c:pt>
                      <c:pt idx="5416">
                        <c:v>37.611111111109494</c:v>
                      </c:pt>
                      <c:pt idx="5417">
                        <c:v>37.618055555554747</c:v>
                      </c:pt>
                      <c:pt idx="5418">
                        <c:v>37.625</c:v>
                      </c:pt>
                      <c:pt idx="5419">
                        <c:v>37.631944444445253</c:v>
                      </c:pt>
                      <c:pt idx="5420">
                        <c:v>37.638888888890506</c:v>
                      </c:pt>
                      <c:pt idx="5421">
                        <c:v>37.645833333335759</c:v>
                      </c:pt>
                      <c:pt idx="5422">
                        <c:v>37.652777777781012</c:v>
                      </c:pt>
                      <c:pt idx="5423">
                        <c:v>37.659722222218988</c:v>
                      </c:pt>
                      <c:pt idx="5424">
                        <c:v>37.666666666664241</c:v>
                      </c:pt>
                      <c:pt idx="5425">
                        <c:v>37.673611111109494</c:v>
                      </c:pt>
                      <c:pt idx="5426">
                        <c:v>37.680555555554747</c:v>
                      </c:pt>
                      <c:pt idx="5427">
                        <c:v>37.6875</c:v>
                      </c:pt>
                      <c:pt idx="5428">
                        <c:v>37.694444444445253</c:v>
                      </c:pt>
                      <c:pt idx="5429">
                        <c:v>37.701388888890506</c:v>
                      </c:pt>
                      <c:pt idx="5430">
                        <c:v>37.708333333335759</c:v>
                      </c:pt>
                      <c:pt idx="5431">
                        <c:v>37.715277777781012</c:v>
                      </c:pt>
                      <c:pt idx="5432">
                        <c:v>37.722222222218988</c:v>
                      </c:pt>
                      <c:pt idx="5433">
                        <c:v>37.729166666664241</c:v>
                      </c:pt>
                      <c:pt idx="5434">
                        <c:v>37.736111111109494</c:v>
                      </c:pt>
                      <c:pt idx="5435">
                        <c:v>37.743055555554747</c:v>
                      </c:pt>
                      <c:pt idx="5436">
                        <c:v>37.75</c:v>
                      </c:pt>
                      <c:pt idx="5437">
                        <c:v>37.756944444445253</c:v>
                      </c:pt>
                      <c:pt idx="5438">
                        <c:v>37.763888888890506</c:v>
                      </c:pt>
                      <c:pt idx="5439">
                        <c:v>37.770833333335759</c:v>
                      </c:pt>
                      <c:pt idx="5440">
                        <c:v>37.777777777781012</c:v>
                      </c:pt>
                      <c:pt idx="5441">
                        <c:v>37.784722222218988</c:v>
                      </c:pt>
                      <c:pt idx="5442">
                        <c:v>37.791666666664241</c:v>
                      </c:pt>
                      <c:pt idx="5443">
                        <c:v>37.798611111109494</c:v>
                      </c:pt>
                      <c:pt idx="5444">
                        <c:v>37.805555555554747</c:v>
                      </c:pt>
                      <c:pt idx="5445">
                        <c:v>37.8125</c:v>
                      </c:pt>
                      <c:pt idx="5446">
                        <c:v>37.819444444445253</c:v>
                      </c:pt>
                      <c:pt idx="5447">
                        <c:v>37.826388888890506</c:v>
                      </c:pt>
                      <c:pt idx="5448">
                        <c:v>37.833333333335759</c:v>
                      </c:pt>
                      <c:pt idx="5449">
                        <c:v>37.840277777781012</c:v>
                      </c:pt>
                      <c:pt idx="5450">
                        <c:v>37.847222222218988</c:v>
                      </c:pt>
                      <c:pt idx="5451">
                        <c:v>37.854166666664241</c:v>
                      </c:pt>
                      <c:pt idx="5452">
                        <c:v>37.861111111109494</c:v>
                      </c:pt>
                      <c:pt idx="5453">
                        <c:v>37.868055555554747</c:v>
                      </c:pt>
                      <c:pt idx="5454">
                        <c:v>37.875</c:v>
                      </c:pt>
                      <c:pt idx="5455">
                        <c:v>37.881944444445253</c:v>
                      </c:pt>
                      <c:pt idx="5456">
                        <c:v>37.888888888890506</c:v>
                      </c:pt>
                      <c:pt idx="5457">
                        <c:v>37.895833333335759</c:v>
                      </c:pt>
                      <c:pt idx="5458">
                        <c:v>37.902777777781012</c:v>
                      </c:pt>
                      <c:pt idx="5459">
                        <c:v>37.909722222218988</c:v>
                      </c:pt>
                      <c:pt idx="5460">
                        <c:v>37.916666666664241</c:v>
                      </c:pt>
                      <c:pt idx="5461">
                        <c:v>37.923611111109494</c:v>
                      </c:pt>
                      <c:pt idx="5462">
                        <c:v>37.930555555554747</c:v>
                      </c:pt>
                      <c:pt idx="5463">
                        <c:v>37.9375</c:v>
                      </c:pt>
                      <c:pt idx="5464">
                        <c:v>37.944444444445253</c:v>
                      </c:pt>
                      <c:pt idx="5465">
                        <c:v>37.951388888890506</c:v>
                      </c:pt>
                      <c:pt idx="5466">
                        <c:v>37.958333333335759</c:v>
                      </c:pt>
                      <c:pt idx="5467">
                        <c:v>37.965277777781012</c:v>
                      </c:pt>
                      <c:pt idx="5468">
                        <c:v>37.972222222218988</c:v>
                      </c:pt>
                      <c:pt idx="5469">
                        <c:v>37.979166666664241</c:v>
                      </c:pt>
                      <c:pt idx="5470">
                        <c:v>37.986111111109494</c:v>
                      </c:pt>
                      <c:pt idx="5471">
                        <c:v>37.993055555554747</c:v>
                      </c:pt>
                      <c:pt idx="5472">
                        <c:v>38</c:v>
                      </c:pt>
                      <c:pt idx="5473">
                        <c:v>38.006944444445253</c:v>
                      </c:pt>
                      <c:pt idx="5474">
                        <c:v>38.013888888890506</c:v>
                      </c:pt>
                      <c:pt idx="5475">
                        <c:v>38.020833333335759</c:v>
                      </c:pt>
                      <c:pt idx="5476">
                        <c:v>38.027777777781012</c:v>
                      </c:pt>
                      <c:pt idx="5477">
                        <c:v>38.034722222218988</c:v>
                      </c:pt>
                      <c:pt idx="5478">
                        <c:v>38.041666666664241</c:v>
                      </c:pt>
                      <c:pt idx="5479">
                        <c:v>38.048611111109494</c:v>
                      </c:pt>
                      <c:pt idx="5480">
                        <c:v>38.055555555554747</c:v>
                      </c:pt>
                      <c:pt idx="5481">
                        <c:v>38.0625</c:v>
                      </c:pt>
                      <c:pt idx="5482">
                        <c:v>38.069444444445253</c:v>
                      </c:pt>
                      <c:pt idx="5483">
                        <c:v>38.076388888890506</c:v>
                      </c:pt>
                      <c:pt idx="5484">
                        <c:v>38.083333333335759</c:v>
                      </c:pt>
                      <c:pt idx="5485">
                        <c:v>38.090277777781012</c:v>
                      </c:pt>
                      <c:pt idx="5486">
                        <c:v>38.097222222218988</c:v>
                      </c:pt>
                      <c:pt idx="5487">
                        <c:v>38.104166666664241</c:v>
                      </c:pt>
                      <c:pt idx="5488">
                        <c:v>38.111111111109494</c:v>
                      </c:pt>
                      <c:pt idx="5489">
                        <c:v>38.118055555554747</c:v>
                      </c:pt>
                      <c:pt idx="5490">
                        <c:v>38.125</c:v>
                      </c:pt>
                      <c:pt idx="5491">
                        <c:v>38.131944444445253</c:v>
                      </c:pt>
                      <c:pt idx="5492">
                        <c:v>38.138888888890506</c:v>
                      </c:pt>
                      <c:pt idx="5493">
                        <c:v>38.145833333335759</c:v>
                      </c:pt>
                      <c:pt idx="5494">
                        <c:v>38.152777777781012</c:v>
                      </c:pt>
                      <c:pt idx="5495">
                        <c:v>38.159722222218988</c:v>
                      </c:pt>
                      <c:pt idx="5496">
                        <c:v>38.166666666664241</c:v>
                      </c:pt>
                      <c:pt idx="5497">
                        <c:v>38.173611111109494</c:v>
                      </c:pt>
                      <c:pt idx="5498">
                        <c:v>38.180555555554747</c:v>
                      </c:pt>
                      <c:pt idx="5499">
                        <c:v>38.1875</c:v>
                      </c:pt>
                      <c:pt idx="5500">
                        <c:v>38.194444444445253</c:v>
                      </c:pt>
                      <c:pt idx="5501">
                        <c:v>38.201388888890506</c:v>
                      </c:pt>
                      <c:pt idx="5502">
                        <c:v>38.208333333335759</c:v>
                      </c:pt>
                      <c:pt idx="5503">
                        <c:v>38.215277777781012</c:v>
                      </c:pt>
                      <c:pt idx="5504">
                        <c:v>38.222222222218988</c:v>
                      </c:pt>
                      <c:pt idx="5505">
                        <c:v>38.229166666664241</c:v>
                      </c:pt>
                      <c:pt idx="5506">
                        <c:v>38.236111111109494</c:v>
                      </c:pt>
                      <c:pt idx="5507">
                        <c:v>38.243055555554747</c:v>
                      </c:pt>
                      <c:pt idx="5508">
                        <c:v>38.25</c:v>
                      </c:pt>
                      <c:pt idx="5509">
                        <c:v>38.256944444445253</c:v>
                      </c:pt>
                      <c:pt idx="5510">
                        <c:v>38.263888888890506</c:v>
                      </c:pt>
                      <c:pt idx="5511">
                        <c:v>38.270833333335759</c:v>
                      </c:pt>
                      <c:pt idx="5512">
                        <c:v>38.277777777781012</c:v>
                      </c:pt>
                      <c:pt idx="5513">
                        <c:v>38.284722222218988</c:v>
                      </c:pt>
                      <c:pt idx="5514">
                        <c:v>38.291666666664241</c:v>
                      </c:pt>
                      <c:pt idx="5515">
                        <c:v>38.298611111109494</c:v>
                      </c:pt>
                      <c:pt idx="5516">
                        <c:v>38.305555555554747</c:v>
                      </c:pt>
                      <c:pt idx="5517">
                        <c:v>38.3125</c:v>
                      </c:pt>
                      <c:pt idx="5518">
                        <c:v>38.319444444445253</c:v>
                      </c:pt>
                      <c:pt idx="5519">
                        <c:v>38.326388888890506</c:v>
                      </c:pt>
                      <c:pt idx="5520">
                        <c:v>38.333333333335759</c:v>
                      </c:pt>
                      <c:pt idx="5521">
                        <c:v>38.340277777781012</c:v>
                      </c:pt>
                      <c:pt idx="5522">
                        <c:v>38.347222222218988</c:v>
                      </c:pt>
                      <c:pt idx="5523">
                        <c:v>38.354166666664241</c:v>
                      </c:pt>
                      <c:pt idx="5524">
                        <c:v>38.361111111109494</c:v>
                      </c:pt>
                      <c:pt idx="5525">
                        <c:v>38.368055555554747</c:v>
                      </c:pt>
                      <c:pt idx="5526">
                        <c:v>38.375</c:v>
                      </c:pt>
                      <c:pt idx="5527">
                        <c:v>38.381944444445253</c:v>
                      </c:pt>
                      <c:pt idx="5528">
                        <c:v>38.388888888890506</c:v>
                      </c:pt>
                      <c:pt idx="5529">
                        <c:v>38.395833333335759</c:v>
                      </c:pt>
                      <c:pt idx="5530">
                        <c:v>38.402777777781012</c:v>
                      </c:pt>
                      <c:pt idx="5531">
                        <c:v>38.409722222218988</c:v>
                      </c:pt>
                      <c:pt idx="5532">
                        <c:v>38.416666666664241</c:v>
                      </c:pt>
                      <c:pt idx="5533">
                        <c:v>38.423611111109494</c:v>
                      </c:pt>
                      <c:pt idx="5534">
                        <c:v>38.430555555554747</c:v>
                      </c:pt>
                      <c:pt idx="5535">
                        <c:v>38.4375</c:v>
                      </c:pt>
                      <c:pt idx="5536">
                        <c:v>38.444444444445253</c:v>
                      </c:pt>
                      <c:pt idx="5537">
                        <c:v>38.451388888890506</c:v>
                      </c:pt>
                      <c:pt idx="5538">
                        <c:v>38.458333333335759</c:v>
                      </c:pt>
                      <c:pt idx="5539">
                        <c:v>38.465277777781012</c:v>
                      </c:pt>
                      <c:pt idx="5540">
                        <c:v>38.472222222218988</c:v>
                      </c:pt>
                      <c:pt idx="5541">
                        <c:v>38.479166666664241</c:v>
                      </c:pt>
                      <c:pt idx="5542">
                        <c:v>38.486111111109494</c:v>
                      </c:pt>
                      <c:pt idx="5543">
                        <c:v>38.493055555554747</c:v>
                      </c:pt>
                      <c:pt idx="5544">
                        <c:v>38.5</c:v>
                      </c:pt>
                      <c:pt idx="5545">
                        <c:v>38.506944444445253</c:v>
                      </c:pt>
                      <c:pt idx="5546">
                        <c:v>38.513888888890506</c:v>
                      </c:pt>
                      <c:pt idx="5547">
                        <c:v>38.520833333335759</c:v>
                      </c:pt>
                      <c:pt idx="5548">
                        <c:v>38.527777777781012</c:v>
                      </c:pt>
                      <c:pt idx="5549">
                        <c:v>38.534722222218988</c:v>
                      </c:pt>
                      <c:pt idx="5550">
                        <c:v>38.541666666664241</c:v>
                      </c:pt>
                      <c:pt idx="5551">
                        <c:v>38.548611111109494</c:v>
                      </c:pt>
                      <c:pt idx="5552">
                        <c:v>38.555555555554747</c:v>
                      </c:pt>
                      <c:pt idx="5553">
                        <c:v>38.5625</c:v>
                      </c:pt>
                      <c:pt idx="5554">
                        <c:v>38.569444444445253</c:v>
                      </c:pt>
                      <c:pt idx="5555">
                        <c:v>38.576388888890506</c:v>
                      </c:pt>
                      <c:pt idx="5556">
                        <c:v>38.583333333335759</c:v>
                      </c:pt>
                      <c:pt idx="5557">
                        <c:v>38.590277777781012</c:v>
                      </c:pt>
                      <c:pt idx="5558">
                        <c:v>38.597222222218988</c:v>
                      </c:pt>
                      <c:pt idx="5559">
                        <c:v>38.604166666664241</c:v>
                      </c:pt>
                      <c:pt idx="5560">
                        <c:v>38.611111111109494</c:v>
                      </c:pt>
                      <c:pt idx="5561">
                        <c:v>38.618055555554747</c:v>
                      </c:pt>
                      <c:pt idx="5562">
                        <c:v>38.625</c:v>
                      </c:pt>
                      <c:pt idx="5563">
                        <c:v>38.631944444445253</c:v>
                      </c:pt>
                      <c:pt idx="5564">
                        <c:v>38.638888888890506</c:v>
                      </c:pt>
                      <c:pt idx="5565">
                        <c:v>38.645833333335759</c:v>
                      </c:pt>
                      <c:pt idx="5566">
                        <c:v>38.652777777781012</c:v>
                      </c:pt>
                      <c:pt idx="5567">
                        <c:v>38.659722222218988</c:v>
                      </c:pt>
                      <c:pt idx="5568">
                        <c:v>38.666666666664241</c:v>
                      </c:pt>
                      <c:pt idx="5569">
                        <c:v>38.673611111109494</c:v>
                      </c:pt>
                      <c:pt idx="5570">
                        <c:v>38.680555555554747</c:v>
                      </c:pt>
                      <c:pt idx="5571">
                        <c:v>38.6875</c:v>
                      </c:pt>
                      <c:pt idx="5572">
                        <c:v>38.694444444445253</c:v>
                      </c:pt>
                      <c:pt idx="5573">
                        <c:v>38.701388888890506</c:v>
                      </c:pt>
                      <c:pt idx="5574">
                        <c:v>38.708333333335759</c:v>
                      </c:pt>
                      <c:pt idx="5575">
                        <c:v>38.715277777781012</c:v>
                      </c:pt>
                      <c:pt idx="5576">
                        <c:v>38.722222222218988</c:v>
                      </c:pt>
                      <c:pt idx="5577">
                        <c:v>38.729166666664241</c:v>
                      </c:pt>
                      <c:pt idx="5578">
                        <c:v>38.736111111109494</c:v>
                      </c:pt>
                      <c:pt idx="5579">
                        <c:v>38.743055555554747</c:v>
                      </c:pt>
                      <c:pt idx="5580">
                        <c:v>38.75</c:v>
                      </c:pt>
                      <c:pt idx="5581">
                        <c:v>38.756944444445253</c:v>
                      </c:pt>
                      <c:pt idx="5582">
                        <c:v>38.763888888890506</c:v>
                      </c:pt>
                      <c:pt idx="5583">
                        <c:v>38.770833333335759</c:v>
                      </c:pt>
                      <c:pt idx="5584">
                        <c:v>38.777777777781012</c:v>
                      </c:pt>
                      <c:pt idx="5585">
                        <c:v>38.784722222218988</c:v>
                      </c:pt>
                      <c:pt idx="5586">
                        <c:v>38.791666666664241</c:v>
                      </c:pt>
                      <c:pt idx="5587">
                        <c:v>38.798611111109494</c:v>
                      </c:pt>
                      <c:pt idx="5588">
                        <c:v>38.805555555554747</c:v>
                      </c:pt>
                      <c:pt idx="5589">
                        <c:v>38.8125</c:v>
                      </c:pt>
                      <c:pt idx="5590">
                        <c:v>38.819444444445253</c:v>
                      </c:pt>
                      <c:pt idx="5591">
                        <c:v>38.826388888890506</c:v>
                      </c:pt>
                      <c:pt idx="5592">
                        <c:v>38.833333333335759</c:v>
                      </c:pt>
                      <c:pt idx="5593">
                        <c:v>38.840277777781012</c:v>
                      </c:pt>
                      <c:pt idx="5594">
                        <c:v>38.847222222218988</c:v>
                      </c:pt>
                      <c:pt idx="5595">
                        <c:v>38.854166666664241</c:v>
                      </c:pt>
                      <c:pt idx="5596">
                        <c:v>38.861111111109494</c:v>
                      </c:pt>
                      <c:pt idx="5597">
                        <c:v>38.868055555554747</c:v>
                      </c:pt>
                      <c:pt idx="5598">
                        <c:v>38.875</c:v>
                      </c:pt>
                      <c:pt idx="5599">
                        <c:v>38.881944444445253</c:v>
                      </c:pt>
                      <c:pt idx="5600">
                        <c:v>38.888888888890506</c:v>
                      </c:pt>
                      <c:pt idx="5601">
                        <c:v>38.895833333335759</c:v>
                      </c:pt>
                      <c:pt idx="5602">
                        <c:v>38.902777777781012</c:v>
                      </c:pt>
                      <c:pt idx="5603">
                        <c:v>38.909722222218988</c:v>
                      </c:pt>
                      <c:pt idx="5604">
                        <c:v>38.916666666664241</c:v>
                      </c:pt>
                      <c:pt idx="5605">
                        <c:v>38.923611111109494</c:v>
                      </c:pt>
                      <c:pt idx="5606">
                        <c:v>38.930555555554747</c:v>
                      </c:pt>
                      <c:pt idx="5607">
                        <c:v>38.9375</c:v>
                      </c:pt>
                      <c:pt idx="5608">
                        <c:v>38.944444444445253</c:v>
                      </c:pt>
                      <c:pt idx="5609">
                        <c:v>38.951388888890506</c:v>
                      </c:pt>
                      <c:pt idx="5610">
                        <c:v>38.958333333335759</c:v>
                      </c:pt>
                      <c:pt idx="5611">
                        <c:v>38.965277777781012</c:v>
                      </c:pt>
                      <c:pt idx="5612">
                        <c:v>38.972222222218988</c:v>
                      </c:pt>
                      <c:pt idx="5613">
                        <c:v>38.979166666664241</c:v>
                      </c:pt>
                      <c:pt idx="5614">
                        <c:v>38.986111111109494</c:v>
                      </c:pt>
                      <c:pt idx="5615">
                        <c:v>38.993055555554747</c:v>
                      </c:pt>
                      <c:pt idx="5616">
                        <c:v>39</c:v>
                      </c:pt>
                      <c:pt idx="5617">
                        <c:v>39.006944444445253</c:v>
                      </c:pt>
                      <c:pt idx="5618">
                        <c:v>39.013888888890506</c:v>
                      </c:pt>
                      <c:pt idx="5619">
                        <c:v>39.020833333335759</c:v>
                      </c:pt>
                      <c:pt idx="5620">
                        <c:v>39.027777777781012</c:v>
                      </c:pt>
                      <c:pt idx="5621">
                        <c:v>39.034722222218988</c:v>
                      </c:pt>
                      <c:pt idx="5622">
                        <c:v>39.041666666664241</c:v>
                      </c:pt>
                      <c:pt idx="5623">
                        <c:v>39.048611111109494</c:v>
                      </c:pt>
                      <c:pt idx="5624">
                        <c:v>39.055555555554747</c:v>
                      </c:pt>
                      <c:pt idx="5625">
                        <c:v>39.0625</c:v>
                      </c:pt>
                      <c:pt idx="5626">
                        <c:v>39.069444444445253</c:v>
                      </c:pt>
                      <c:pt idx="5627">
                        <c:v>39.076388888890506</c:v>
                      </c:pt>
                      <c:pt idx="5628">
                        <c:v>39.083333333335759</c:v>
                      </c:pt>
                      <c:pt idx="5629">
                        <c:v>39.090277777781012</c:v>
                      </c:pt>
                      <c:pt idx="5630">
                        <c:v>39.097222222218988</c:v>
                      </c:pt>
                      <c:pt idx="5631">
                        <c:v>39.104166666664241</c:v>
                      </c:pt>
                      <c:pt idx="5632">
                        <c:v>39.111111111109494</c:v>
                      </c:pt>
                      <c:pt idx="5633">
                        <c:v>39.118055555554747</c:v>
                      </c:pt>
                      <c:pt idx="5634">
                        <c:v>39.125</c:v>
                      </c:pt>
                      <c:pt idx="5635">
                        <c:v>39.131944444445253</c:v>
                      </c:pt>
                      <c:pt idx="5636">
                        <c:v>39.138888888890506</c:v>
                      </c:pt>
                      <c:pt idx="5637">
                        <c:v>39.145833333335759</c:v>
                      </c:pt>
                      <c:pt idx="5638">
                        <c:v>39.152777777781012</c:v>
                      </c:pt>
                      <c:pt idx="5639">
                        <c:v>39.159722222218988</c:v>
                      </c:pt>
                      <c:pt idx="5640">
                        <c:v>39.166666666664241</c:v>
                      </c:pt>
                      <c:pt idx="5641">
                        <c:v>39.173611111109494</c:v>
                      </c:pt>
                      <c:pt idx="5642">
                        <c:v>39.180555555554747</c:v>
                      </c:pt>
                      <c:pt idx="5643">
                        <c:v>39.1875</c:v>
                      </c:pt>
                      <c:pt idx="5644">
                        <c:v>39.194444444445253</c:v>
                      </c:pt>
                      <c:pt idx="5645">
                        <c:v>39.201388888890506</c:v>
                      </c:pt>
                      <c:pt idx="5646">
                        <c:v>39.208333333335759</c:v>
                      </c:pt>
                      <c:pt idx="5647">
                        <c:v>39.215277777781012</c:v>
                      </c:pt>
                      <c:pt idx="5648">
                        <c:v>39.222222222218988</c:v>
                      </c:pt>
                      <c:pt idx="5649">
                        <c:v>39.229166666664241</c:v>
                      </c:pt>
                      <c:pt idx="5650">
                        <c:v>39.236111111109494</c:v>
                      </c:pt>
                      <c:pt idx="5651">
                        <c:v>39.243055555554747</c:v>
                      </c:pt>
                      <c:pt idx="5652">
                        <c:v>39.25</c:v>
                      </c:pt>
                      <c:pt idx="5653">
                        <c:v>39.256944444445253</c:v>
                      </c:pt>
                      <c:pt idx="5654">
                        <c:v>39.263888888890506</c:v>
                      </c:pt>
                      <c:pt idx="5655">
                        <c:v>39.270833333335759</c:v>
                      </c:pt>
                      <c:pt idx="5656">
                        <c:v>39.277777777781012</c:v>
                      </c:pt>
                      <c:pt idx="5657">
                        <c:v>39.284722222218988</c:v>
                      </c:pt>
                      <c:pt idx="5658">
                        <c:v>39.291666666664241</c:v>
                      </c:pt>
                      <c:pt idx="5659">
                        <c:v>39.298611111109494</c:v>
                      </c:pt>
                      <c:pt idx="5660">
                        <c:v>39.305555555554747</c:v>
                      </c:pt>
                      <c:pt idx="5661">
                        <c:v>39.3125</c:v>
                      </c:pt>
                      <c:pt idx="5662">
                        <c:v>39.319444444445253</c:v>
                      </c:pt>
                      <c:pt idx="5663">
                        <c:v>39.326388888890506</c:v>
                      </c:pt>
                      <c:pt idx="5664">
                        <c:v>39.333333333335759</c:v>
                      </c:pt>
                      <c:pt idx="5665">
                        <c:v>39.340277777781012</c:v>
                      </c:pt>
                      <c:pt idx="5666">
                        <c:v>39.347222222218988</c:v>
                      </c:pt>
                      <c:pt idx="5667">
                        <c:v>39.354166666664241</c:v>
                      </c:pt>
                      <c:pt idx="5668">
                        <c:v>39.361111111109494</c:v>
                      </c:pt>
                      <c:pt idx="5669">
                        <c:v>39.368055555554747</c:v>
                      </c:pt>
                      <c:pt idx="5670">
                        <c:v>39.375</c:v>
                      </c:pt>
                      <c:pt idx="5671">
                        <c:v>39.381944444445253</c:v>
                      </c:pt>
                      <c:pt idx="5672">
                        <c:v>39.388888888890506</c:v>
                      </c:pt>
                      <c:pt idx="5673">
                        <c:v>39.395833333335759</c:v>
                      </c:pt>
                      <c:pt idx="5674">
                        <c:v>39.402777777781012</c:v>
                      </c:pt>
                      <c:pt idx="5675">
                        <c:v>39.409722222218988</c:v>
                      </c:pt>
                      <c:pt idx="5676">
                        <c:v>39.416666666664241</c:v>
                      </c:pt>
                      <c:pt idx="5677">
                        <c:v>39.423611111109494</c:v>
                      </c:pt>
                      <c:pt idx="5678">
                        <c:v>39.430555555554747</c:v>
                      </c:pt>
                      <c:pt idx="5679">
                        <c:v>39.4375</c:v>
                      </c:pt>
                      <c:pt idx="5680">
                        <c:v>39.444444444445253</c:v>
                      </c:pt>
                      <c:pt idx="5681">
                        <c:v>39.451388888890506</c:v>
                      </c:pt>
                      <c:pt idx="5682">
                        <c:v>39.458333333335759</c:v>
                      </c:pt>
                      <c:pt idx="5683">
                        <c:v>39.465277777781012</c:v>
                      </c:pt>
                      <c:pt idx="5684">
                        <c:v>39.472222222218988</c:v>
                      </c:pt>
                      <c:pt idx="5685">
                        <c:v>39.479166666664241</c:v>
                      </c:pt>
                      <c:pt idx="5686">
                        <c:v>39.486111111109494</c:v>
                      </c:pt>
                      <c:pt idx="5687">
                        <c:v>39.493055555554747</c:v>
                      </c:pt>
                      <c:pt idx="5688">
                        <c:v>39.5</c:v>
                      </c:pt>
                      <c:pt idx="5689">
                        <c:v>39.506944444445253</c:v>
                      </c:pt>
                      <c:pt idx="5690">
                        <c:v>39.513888888890506</c:v>
                      </c:pt>
                      <c:pt idx="5691">
                        <c:v>39.520833333335759</c:v>
                      </c:pt>
                      <c:pt idx="5692">
                        <c:v>39.527777777781012</c:v>
                      </c:pt>
                      <c:pt idx="5693">
                        <c:v>39.534722222218988</c:v>
                      </c:pt>
                      <c:pt idx="5694">
                        <c:v>39.541666666664241</c:v>
                      </c:pt>
                      <c:pt idx="5695">
                        <c:v>39.548611111109494</c:v>
                      </c:pt>
                      <c:pt idx="5696">
                        <c:v>39.555555555554747</c:v>
                      </c:pt>
                      <c:pt idx="5697">
                        <c:v>39.5625</c:v>
                      </c:pt>
                      <c:pt idx="5698">
                        <c:v>39.569444444445253</c:v>
                      </c:pt>
                      <c:pt idx="5699">
                        <c:v>39.576388888890506</c:v>
                      </c:pt>
                      <c:pt idx="5700">
                        <c:v>39.583333333335759</c:v>
                      </c:pt>
                      <c:pt idx="5701">
                        <c:v>39.590277777781012</c:v>
                      </c:pt>
                      <c:pt idx="5702">
                        <c:v>39.597222222218988</c:v>
                      </c:pt>
                      <c:pt idx="5703">
                        <c:v>39.604166666664241</c:v>
                      </c:pt>
                      <c:pt idx="5704">
                        <c:v>39.611111111109494</c:v>
                      </c:pt>
                      <c:pt idx="5705">
                        <c:v>39.618055555554747</c:v>
                      </c:pt>
                      <c:pt idx="5706">
                        <c:v>39.625</c:v>
                      </c:pt>
                      <c:pt idx="5707">
                        <c:v>39.631944444445253</c:v>
                      </c:pt>
                      <c:pt idx="5708">
                        <c:v>39.638888888890506</c:v>
                      </c:pt>
                      <c:pt idx="5709">
                        <c:v>39.645833333335759</c:v>
                      </c:pt>
                      <c:pt idx="5710">
                        <c:v>39.652777777781012</c:v>
                      </c:pt>
                      <c:pt idx="5711">
                        <c:v>39.659722222218988</c:v>
                      </c:pt>
                      <c:pt idx="5712">
                        <c:v>39.666666666664241</c:v>
                      </c:pt>
                      <c:pt idx="5713">
                        <c:v>39.673611111109494</c:v>
                      </c:pt>
                      <c:pt idx="5714">
                        <c:v>39.680555555554747</c:v>
                      </c:pt>
                      <c:pt idx="5715">
                        <c:v>39.6875</c:v>
                      </c:pt>
                      <c:pt idx="5716">
                        <c:v>39.694444444445253</c:v>
                      </c:pt>
                      <c:pt idx="5717">
                        <c:v>39.701388888890506</c:v>
                      </c:pt>
                      <c:pt idx="5718">
                        <c:v>39.708333333335759</c:v>
                      </c:pt>
                      <c:pt idx="5719">
                        <c:v>39.715277777781012</c:v>
                      </c:pt>
                      <c:pt idx="5720">
                        <c:v>39.722222222218988</c:v>
                      </c:pt>
                      <c:pt idx="5721">
                        <c:v>39.729166666664241</c:v>
                      </c:pt>
                      <c:pt idx="5722">
                        <c:v>39.736111111109494</c:v>
                      </c:pt>
                      <c:pt idx="5723">
                        <c:v>39.743055555554747</c:v>
                      </c:pt>
                      <c:pt idx="5724">
                        <c:v>39.75</c:v>
                      </c:pt>
                      <c:pt idx="5725">
                        <c:v>39.756944444445253</c:v>
                      </c:pt>
                      <c:pt idx="5726">
                        <c:v>39.763888888890506</c:v>
                      </c:pt>
                      <c:pt idx="5727">
                        <c:v>39.770833333335759</c:v>
                      </c:pt>
                      <c:pt idx="5728">
                        <c:v>39.777777777781012</c:v>
                      </c:pt>
                      <c:pt idx="5729">
                        <c:v>39.784722222218988</c:v>
                      </c:pt>
                      <c:pt idx="5730">
                        <c:v>39.791666666664241</c:v>
                      </c:pt>
                      <c:pt idx="5731">
                        <c:v>39.798611111109494</c:v>
                      </c:pt>
                      <c:pt idx="5732">
                        <c:v>39.805555555554747</c:v>
                      </c:pt>
                      <c:pt idx="5733">
                        <c:v>39.8125</c:v>
                      </c:pt>
                      <c:pt idx="5734">
                        <c:v>39.819444444445253</c:v>
                      </c:pt>
                      <c:pt idx="5735">
                        <c:v>39.826388888890506</c:v>
                      </c:pt>
                      <c:pt idx="5736">
                        <c:v>39.833333333335759</c:v>
                      </c:pt>
                      <c:pt idx="5737">
                        <c:v>39.840277777781012</c:v>
                      </c:pt>
                      <c:pt idx="5738">
                        <c:v>39.847222222218988</c:v>
                      </c:pt>
                      <c:pt idx="5739">
                        <c:v>39.854166666664241</c:v>
                      </c:pt>
                      <c:pt idx="5740">
                        <c:v>39.861111111109494</c:v>
                      </c:pt>
                      <c:pt idx="5741">
                        <c:v>39.868055555554747</c:v>
                      </c:pt>
                      <c:pt idx="5742">
                        <c:v>39.875</c:v>
                      </c:pt>
                      <c:pt idx="5743">
                        <c:v>39.881944444445253</c:v>
                      </c:pt>
                      <c:pt idx="5744">
                        <c:v>39.888888888890506</c:v>
                      </c:pt>
                      <c:pt idx="5745">
                        <c:v>39.895833333335759</c:v>
                      </c:pt>
                      <c:pt idx="5746">
                        <c:v>39.902777777781012</c:v>
                      </c:pt>
                      <c:pt idx="5747">
                        <c:v>39.909722222218988</c:v>
                      </c:pt>
                      <c:pt idx="5748">
                        <c:v>39.916666666664241</c:v>
                      </c:pt>
                      <c:pt idx="5749">
                        <c:v>39.923611111109494</c:v>
                      </c:pt>
                      <c:pt idx="5750">
                        <c:v>39.930555555554747</c:v>
                      </c:pt>
                      <c:pt idx="5751">
                        <c:v>39.9375</c:v>
                      </c:pt>
                      <c:pt idx="5752">
                        <c:v>39.944444444445253</c:v>
                      </c:pt>
                      <c:pt idx="5753">
                        <c:v>39.951388888890506</c:v>
                      </c:pt>
                      <c:pt idx="5754">
                        <c:v>39.958333333335759</c:v>
                      </c:pt>
                      <c:pt idx="5755">
                        <c:v>39.965277777781012</c:v>
                      </c:pt>
                      <c:pt idx="5756">
                        <c:v>39.972222222218988</c:v>
                      </c:pt>
                      <c:pt idx="5757">
                        <c:v>39.979166666664241</c:v>
                      </c:pt>
                      <c:pt idx="5758">
                        <c:v>39.986111111109494</c:v>
                      </c:pt>
                      <c:pt idx="5759">
                        <c:v>39.993055555554747</c:v>
                      </c:pt>
                      <c:pt idx="5760">
                        <c:v>40</c:v>
                      </c:pt>
                      <c:pt idx="5761">
                        <c:v>40.006944444445253</c:v>
                      </c:pt>
                      <c:pt idx="5762">
                        <c:v>40.013888888890506</c:v>
                      </c:pt>
                      <c:pt idx="5763">
                        <c:v>40.020833333335759</c:v>
                      </c:pt>
                      <c:pt idx="5764">
                        <c:v>40.027777777781012</c:v>
                      </c:pt>
                      <c:pt idx="5765">
                        <c:v>40.034722222218988</c:v>
                      </c:pt>
                      <c:pt idx="5766">
                        <c:v>40.041666666664241</c:v>
                      </c:pt>
                      <c:pt idx="5767">
                        <c:v>40.048611111109494</c:v>
                      </c:pt>
                      <c:pt idx="5768">
                        <c:v>40.055555555554747</c:v>
                      </c:pt>
                      <c:pt idx="5769">
                        <c:v>40.0625</c:v>
                      </c:pt>
                      <c:pt idx="5770">
                        <c:v>40.069444444445253</c:v>
                      </c:pt>
                      <c:pt idx="5771">
                        <c:v>40.076388888890506</c:v>
                      </c:pt>
                      <c:pt idx="5772">
                        <c:v>40.083333333335759</c:v>
                      </c:pt>
                      <c:pt idx="5773">
                        <c:v>40.090277777781012</c:v>
                      </c:pt>
                      <c:pt idx="5774">
                        <c:v>40.097222222218988</c:v>
                      </c:pt>
                      <c:pt idx="5775">
                        <c:v>40.104166666664241</c:v>
                      </c:pt>
                      <c:pt idx="5776">
                        <c:v>40.111111111109494</c:v>
                      </c:pt>
                      <c:pt idx="5777">
                        <c:v>40.118055555554747</c:v>
                      </c:pt>
                      <c:pt idx="5778">
                        <c:v>40.125</c:v>
                      </c:pt>
                      <c:pt idx="5779">
                        <c:v>40.131944444445253</c:v>
                      </c:pt>
                      <c:pt idx="5780">
                        <c:v>40.138888888890506</c:v>
                      </c:pt>
                      <c:pt idx="5781">
                        <c:v>40.145833333335759</c:v>
                      </c:pt>
                      <c:pt idx="5782">
                        <c:v>40.152777777781012</c:v>
                      </c:pt>
                      <c:pt idx="5783">
                        <c:v>40.159722222218988</c:v>
                      </c:pt>
                      <c:pt idx="5784">
                        <c:v>40.166666666664241</c:v>
                      </c:pt>
                      <c:pt idx="5785">
                        <c:v>40.173611111109494</c:v>
                      </c:pt>
                      <c:pt idx="5786">
                        <c:v>40.180555555554747</c:v>
                      </c:pt>
                      <c:pt idx="5787">
                        <c:v>40.1875</c:v>
                      </c:pt>
                      <c:pt idx="5788">
                        <c:v>40.194444444445253</c:v>
                      </c:pt>
                      <c:pt idx="5789">
                        <c:v>40.201388888890506</c:v>
                      </c:pt>
                      <c:pt idx="5790">
                        <c:v>40.208333333335759</c:v>
                      </c:pt>
                      <c:pt idx="5791">
                        <c:v>40.215277777781012</c:v>
                      </c:pt>
                      <c:pt idx="5792">
                        <c:v>40.222222222218988</c:v>
                      </c:pt>
                      <c:pt idx="5793">
                        <c:v>40.229166666664241</c:v>
                      </c:pt>
                      <c:pt idx="5794">
                        <c:v>40.236111111109494</c:v>
                      </c:pt>
                      <c:pt idx="5795">
                        <c:v>40.243055555554747</c:v>
                      </c:pt>
                      <c:pt idx="5796">
                        <c:v>40.25</c:v>
                      </c:pt>
                      <c:pt idx="5797">
                        <c:v>40.256944444445253</c:v>
                      </c:pt>
                      <c:pt idx="5798">
                        <c:v>40.263888888890506</c:v>
                      </c:pt>
                      <c:pt idx="5799">
                        <c:v>40.270833333335759</c:v>
                      </c:pt>
                      <c:pt idx="5800">
                        <c:v>40.277777777781012</c:v>
                      </c:pt>
                      <c:pt idx="5801">
                        <c:v>40.284722222218988</c:v>
                      </c:pt>
                      <c:pt idx="5802">
                        <c:v>40.291666666664241</c:v>
                      </c:pt>
                      <c:pt idx="5803">
                        <c:v>40.298611111109494</c:v>
                      </c:pt>
                      <c:pt idx="5804">
                        <c:v>40.305555555554747</c:v>
                      </c:pt>
                      <c:pt idx="5805">
                        <c:v>40.3125</c:v>
                      </c:pt>
                      <c:pt idx="5806">
                        <c:v>40.319444444445253</c:v>
                      </c:pt>
                      <c:pt idx="5807">
                        <c:v>40.326388888890506</c:v>
                      </c:pt>
                      <c:pt idx="5808">
                        <c:v>40.333333333335759</c:v>
                      </c:pt>
                      <c:pt idx="5809">
                        <c:v>40.340277777781012</c:v>
                      </c:pt>
                      <c:pt idx="5810">
                        <c:v>40.347222222218988</c:v>
                      </c:pt>
                      <c:pt idx="5811">
                        <c:v>40.354166666664241</c:v>
                      </c:pt>
                      <c:pt idx="5812">
                        <c:v>40.361111111109494</c:v>
                      </c:pt>
                      <c:pt idx="5813">
                        <c:v>40.368055555554747</c:v>
                      </c:pt>
                      <c:pt idx="5814">
                        <c:v>40.375</c:v>
                      </c:pt>
                      <c:pt idx="5815">
                        <c:v>40.381944444445253</c:v>
                      </c:pt>
                      <c:pt idx="5816">
                        <c:v>40.388888888890506</c:v>
                      </c:pt>
                      <c:pt idx="5817">
                        <c:v>40.395833333335759</c:v>
                      </c:pt>
                      <c:pt idx="5818">
                        <c:v>40.402777777781012</c:v>
                      </c:pt>
                      <c:pt idx="5819">
                        <c:v>40.409722222218988</c:v>
                      </c:pt>
                      <c:pt idx="5820">
                        <c:v>40.416666666664241</c:v>
                      </c:pt>
                      <c:pt idx="5821">
                        <c:v>40.423611111109494</c:v>
                      </c:pt>
                      <c:pt idx="5822">
                        <c:v>40.430555555554747</c:v>
                      </c:pt>
                      <c:pt idx="5823">
                        <c:v>40.4375</c:v>
                      </c:pt>
                      <c:pt idx="5824">
                        <c:v>40.444444444445253</c:v>
                      </c:pt>
                      <c:pt idx="5825">
                        <c:v>40.451388888890506</c:v>
                      </c:pt>
                      <c:pt idx="5826">
                        <c:v>40.458333333335759</c:v>
                      </c:pt>
                      <c:pt idx="5827">
                        <c:v>40.465277777781012</c:v>
                      </c:pt>
                      <c:pt idx="5828">
                        <c:v>40.472222222218988</c:v>
                      </c:pt>
                      <c:pt idx="5829">
                        <c:v>40.479166666664241</c:v>
                      </c:pt>
                      <c:pt idx="5830">
                        <c:v>40.486111111109494</c:v>
                      </c:pt>
                      <c:pt idx="5831">
                        <c:v>40.493055555554747</c:v>
                      </c:pt>
                      <c:pt idx="5832">
                        <c:v>40.5</c:v>
                      </c:pt>
                      <c:pt idx="5833">
                        <c:v>40.506944444445253</c:v>
                      </c:pt>
                      <c:pt idx="5834">
                        <c:v>40.513888888890506</c:v>
                      </c:pt>
                      <c:pt idx="5835">
                        <c:v>40.520833333335759</c:v>
                      </c:pt>
                      <c:pt idx="5836">
                        <c:v>40.527777777781012</c:v>
                      </c:pt>
                      <c:pt idx="5837">
                        <c:v>40.534722222218988</c:v>
                      </c:pt>
                      <c:pt idx="5838">
                        <c:v>40.541666666664241</c:v>
                      </c:pt>
                      <c:pt idx="5839">
                        <c:v>40.548611111109494</c:v>
                      </c:pt>
                      <c:pt idx="5840">
                        <c:v>40.555555555554747</c:v>
                      </c:pt>
                      <c:pt idx="5841">
                        <c:v>40.5625</c:v>
                      </c:pt>
                      <c:pt idx="5842">
                        <c:v>40.569444444445253</c:v>
                      </c:pt>
                      <c:pt idx="5843">
                        <c:v>40.576388888890506</c:v>
                      </c:pt>
                      <c:pt idx="5844">
                        <c:v>40.583333333335759</c:v>
                      </c:pt>
                      <c:pt idx="5845">
                        <c:v>40.590277777781012</c:v>
                      </c:pt>
                      <c:pt idx="5846">
                        <c:v>40.597222222218988</c:v>
                      </c:pt>
                      <c:pt idx="5847">
                        <c:v>40.604166666664241</c:v>
                      </c:pt>
                      <c:pt idx="5848">
                        <c:v>40.611111111109494</c:v>
                      </c:pt>
                      <c:pt idx="5849">
                        <c:v>40.618055555554747</c:v>
                      </c:pt>
                      <c:pt idx="5850">
                        <c:v>40.625</c:v>
                      </c:pt>
                      <c:pt idx="5851">
                        <c:v>40.631944444445253</c:v>
                      </c:pt>
                      <c:pt idx="5852">
                        <c:v>40.638888888890506</c:v>
                      </c:pt>
                      <c:pt idx="5853">
                        <c:v>40.645833333335759</c:v>
                      </c:pt>
                      <c:pt idx="5854">
                        <c:v>40.652777777781012</c:v>
                      </c:pt>
                      <c:pt idx="5855">
                        <c:v>40.659722222218988</c:v>
                      </c:pt>
                      <c:pt idx="5856">
                        <c:v>40.666666666664241</c:v>
                      </c:pt>
                      <c:pt idx="5857">
                        <c:v>40.673611111109494</c:v>
                      </c:pt>
                      <c:pt idx="5858">
                        <c:v>40.680555555554747</c:v>
                      </c:pt>
                      <c:pt idx="5859">
                        <c:v>40.6875</c:v>
                      </c:pt>
                      <c:pt idx="5860">
                        <c:v>40.694444444445253</c:v>
                      </c:pt>
                      <c:pt idx="5861">
                        <c:v>40.701388888890506</c:v>
                      </c:pt>
                      <c:pt idx="5862">
                        <c:v>40.708333333335759</c:v>
                      </c:pt>
                      <c:pt idx="5863">
                        <c:v>40.715277777781012</c:v>
                      </c:pt>
                      <c:pt idx="5864">
                        <c:v>40.722222222218988</c:v>
                      </c:pt>
                      <c:pt idx="5865">
                        <c:v>40.729166666664241</c:v>
                      </c:pt>
                      <c:pt idx="5866">
                        <c:v>40.736111111109494</c:v>
                      </c:pt>
                      <c:pt idx="5867">
                        <c:v>40.743055555554747</c:v>
                      </c:pt>
                      <c:pt idx="5868">
                        <c:v>40.75</c:v>
                      </c:pt>
                      <c:pt idx="5869">
                        <c:v>40.756944444445253</c:v>
                      </c:pt>
                      <c:pt idx="5870">
                        <c:v>40.763888888890506</c:v>
                      </c:pt>
                      <c:pt idx="5871">
                        <c:v>40.770833333335759</c:v>
                      </c:pt>
                      <c:pt idx="5872">
                        <c:v>40.777777777781012</c:v>
                      </c:pt>
                      <c:pt idx="5873">
                        <c:v>40.784722222218988</c:v>
                      </c:pt>
                      <c:pt idx="5874">
                        <c:v>40.791666666664241</c:v>
                      </c:pt>
                      <c:pt idx="5875">
                        <c:v>40.798611111109494</c:v>
                      </c:pt>
                      <c:pt idx="5876">
                        <c:v>40.805555555554747</c:v>
                      </c:pt>
                      <c:pt idx="5877">
                        <c:v>40.8125</c:v>
                      </c:pt>
                      <c:pt idx="5878">
                        <c:v>40.819444444445253</c:v>
                      </c:pt>
                      <c:pt idx="5879">
                        <c:v>40.826388888890506</c:v>
                      </c:pt>
                      <c:pt idx="5880">
                        <c:v>40.833333333335759</c:v>
                      </c:pt>
                      <c:pt idx="5881">
                        <c:v>40.840277777781012</c:v>
                      </c:pt>
                      <c:pt idx="5882">
                        <c:v>40.847222222218988</c:v>
                      </c:pt>
                      <c:pt idx="5883">
                        <c:v>40.854166666664241</c:v>
                      </c:pt>
                      <c:pt idx="5884">
                        <c:v>40.861111111109494</c:v>
                      </c:pt>
                      <c:pt idx="5885">
                        <c:v>40.868055555554747</c:v>
                      </c:pt>
                      <c:pt idx="5886">
                        <c:v>40.875</c:v>
                      </c:pt>
                      <c:pt idx="5887">
                        <c:v>40.881944444445253</c:v>
                      </c:pt>
                      <c:pt idx="5888">
                        <c:v>40.888888888890506</c:v>
                      </c:pt>
                      <c:pt idx="5889">
                        <c:v>40.895833333335759</c:v>
                      </c:pt>
                      <c:pt idx="5890">
                        <c:v>40.902777777781012</c:v>
                      </c:pt>
                      <c:pt idx="5891">
                        <c:v>40.909722222218988</c:v>
                      </c:pt>
                      <c:pt idx="5892">
                        <c:v>40.916666666664241</c:v>
                      </c:pt>
                      <c:pt idx="5893">
                        <c:v>40.923611111109494</c:v>
                      </c:pt>
                      <c:pt idx="5894">
                        <c:v>40.930555555554747</c:v>
                      </c:pt>
                      <c:pt idx="5895">
                        <c:v>40.9375</c:v>
                      </c:pt>
                      <c:pt idx="5896">
                        <c:v>40.944444444445253</c:v>
                      </c:pt>
                      <c:pt idx="5897">
                        <c:v>40.951388888890506</c:v>
                      </c:pt>
                      <c:pt idx="5898">
                        <c:v>40.958333333335759</c:v>
                      </c:pt>
                      <c:pt idx="5899">
                        <c:v>40.965277777781012</c:v>
                      </c:pt>
                      <c:pt idx="5900">
                        <c:v>40.972222222218988</c:v>
                      </c:pt>
                      <c:pt idx="5901">
                        <c:v>40.979166666664241</c:v>
                      </c:pt>
                      <c:pt idx="5902">
                        <c:v>40.986111111109494</c:v>
                      </c:pt>
                      <c:pt idx="5903">
                        <c:v>40.993055555554747</c:v>
                      </c:pt>
                      <c:pt idx="5904">
                        <c:v>41</c:v>
                      </c:pt>
                      <c:pt idx="5905">
                        <c:v>41.006944444445253</c:v>
                      </c:pt>
                      <c:pt idx="5906">
                        <c:v>41.013888888890506</c:v>
                      </c:pt>
                      <c:pt idx="5907">
                        <c:v>41.020833333335759</c:v>
                      </c:pt>
                      <c:pt idx="5908">
                        <c:v>41.027777777781012</c:v>
                      </c:pt>
                      <c:pt idx="5909">
                        <c:v>41.034722222218988</c:v>
                      </c:pt>
                      <c:pt idx="5910">
                        <c:v>41.041666666664241</c:v>
                      </c:pt>
                      <c:pt idx="5911">
                        <c:v>41.048611111109494</c:v>
                      </c:pt>
                      <c:pt idx="5912">
                        <c:v>41.055555555554747</c:v>
                      </c:pt>
                      <c:pt idx="5913">
                        <c:v>41.0625</c:v>
                      </c:pt>
                      <c:pt idx="5914">
                        <c:v>41.069444444445253</c:v>
                      </c:pt>
                      <c:pt idx="5915">
                        <c:v>41.076388888890506</c:v>
                      </c:pt>
                      <c:pt idx="5916">
                        <c:v>41.083333333335759</c:v>
                      </c:pt>
                      <c:pt idx="5917">
                        <c:v>41.090277777781012</c:v>
                      </c:pt>
                      <c:pt idx="5918">
                        <c:v>41.097222222218988</c:v>
                      </c:pt>
                      <c:pt idx="5919">
                        <c:v>41.104166666664241</c:v>
                      </c:pt>
                      <c:pt idx="5920">
                        <c:v>41.111111111109494</c:v>
                      </c:pt>
                      <c:pt idx="5921">
                        <c:v>41.118055555554747</c:v>
                      </c:pt>
                      <c:pt idx="5922">
                        <c:v>41.125</c:v>
                      </c:pt>
                      <c:pt idx="5923">
                        <c:v>41.131944444445253</c:v>
                      </c:pt>
                      <c:pt idx="5924">
                        <c:v>41.138888888890506</c:v>
                      </c:pt>
                      <c:pt idx="5925">
                        <c:v>41.145833333335759</c:v>
                      </c:pt>
                      <c:pt idx="5926">
                        <c:v>41.152777777781012</c:v>
                      </c:pt>
                      <c:pt idx="5927">
                        <c:v>41.159722222218988</c:v>
                      </c:pt>
                      <c:pt idx="5928">
                        <c:v>41.166666666664241</c:v>
                      </c:pt>
                      <c:pt idx="5929">
                        <c:v>41.173611111109494</c:v>
                      </c:pt>
                      <c:pt idx="5930">
                        <c:v>41.180555555554747</c:v>
                      </c:pt>
                      <c:pt idx="5931">
                        <c:v>41.1875</c:v>
                      </c:pt>
                      <c:pt idx="5932">
                        <c:v>41.194444444445253</c:v>
                      </c:pt>
                      <c:pt idx="5933">
                        <c:v>41.201388888890506</c:v>
                      </c:pt>
                      <c:pt idx="5934">
                        <c:v>41.208333333335759</c:v>
                      </c:pt>
                      <c:pt idx="5935">
                        <c:v>41.215277777781012</c:v>
                      </c:pt>
                      <c:pt idx="5936">
                        <c:v>41.222222222218988</c:v>
                      </c:pt>
                      <c:pt idx="5937">
                        <c:v>41.229166666664241</c:v>
                      </c:pt>
                      <c:pt idx="5938">
                        <c:v>41.236111111109494</c:v>
                      </c:pt>
                      <c:pt idx="5939">
                        <c:v>41.243055555554747</c:v>
                      </c:pt>
                      <c:pt idx="5940">
                        <c:v>41.25</c:v>
                      </c:pt>
                      <c:pt idx="5941">
                        <c:v>41.256944444445253</c:v>
                      </c:pt>
                      <c:pt idx="5942">
                        <c:v>41.263888888890506</c:v>
                      </c:pt>
                      <c:pt idx="5943">
                        <c:v>41.270833333335759</c:v>
                      </c:pt>
                      <c:pt idx="5944">
                        <c:v>41.277777777781012</c:v>
                      </c:pt>
                      <c:pt idx="5945">
                        <c:v>41.284722222218988</c:v>
                      </c:pt>
                      <c:pt idx="5946">
                        <c:v>41.291666666664241</c:v>
                      </c:pt>
                      <c:pt idx="5947">
                        <c:v>41.298611111109494</c:v>
                      </c:pt>
                      <c:pt idx="5948">
                        <c:v>41.305555555554747</c:v>
                      </c:pt>
                      <c:pt idx="5949">
                        <c:v>41.3125</c:v>
                      </c:pt>
                      <c:pt idx="5950">
                        <c:v>41.319444444445253</c:v>
                      </c:pt>
                      <c:pt idx="5951">
                        <c:v>41.326388888890506</c:v>
                      </c:pt>
                      <c:pt idx="5952">
                        <c:v>41.333333333335759</c:v>
                      </c:pt>
                      <c:pt idx="5953">
                        <c:v>41.340277777781012</c:v>
                      </c:pt>
                      <c:pt idx="5954">
                        <c:v>41.347222222218988</c:v>
                      </c:pt>
                      <c:pt idx="5955">
                        <c:v>41.354166666664241</c:v>
                      </c:pt>
                      <c:pt idx="5956">
                        <c:v>41.361111111109494</c:v>
                      </c:pt>
                      <c:pt idx="5957">
                        <c:v>41.368055555554747</c:v>
                      </c:pt>
                      <c:pt idx="5958">
                        <c:v>41.375</c:v>
                      </c:pt>
                      <c:pt idx="5959">
                        <c:v>41.381944444445253</c:v>
                      </c:pt>
                      <c:pt idx="5960">
                        <c:v>41.388888888890506</c:v>
                      </c:pt>
                      <c:pt idx="5961">
                        <c:v>41.395833333335759</c:v>
                      </c:pt>
                      <c:pt idx="5962">
                        <c:v>41.402777777781012</c:v>
                      </c:pt>
                      <c:pt idx="5963">
                        <c:v>41.409722222218988</c:v>
                      </c:pt>
                      <c:pt idx="5964">
                        <c:v>41.416666666664241</c:v>
                      </c:pt>
                      <c:pt idx="5965">
                        <c:v>41.423611111109494</c:v>
                      </c:pt>
                      <c:pt idx="5966">
                        <c:v>41.430555555554747</c:v>
                      </c:pt>
                      <c:pt idx="5967">
                        <c:v>41.4375</c:v>
                      </c:pt>
                      <c:pt idx="5968">
                        <c:v>41.444444444445253</c:v>
                      </c:pt>
                      <c:pt idx="5969">
                        <c:v>41.451388888890506</c:v>
                      </c:pt>
                      <c:pt idx="5970">
                        <c:v>41.458333333335759</c:v>
                      </c:pt>
                      <c:pt idx="5971">
                        <c:v>41.465277777781012</c:v>
                      </c:pt>
                      <c:pt idx="5972">
                        <c:v>41.472222222218988</c:v>
                      </c:pt>
                      <c:pt idx="5973">
                        <c:v>41.479166666664241</c:v>
                      </c:pt>
                      <c:pt idx="5974">
                        <c:v>41.486111111109494</c:v>
                      </c:pt>
                      <c:pt idx="5975">
                        <c:v>41.493055555554747</c:v>
                      </c:pt>
                      <c:pt idx="5976">
                        <c:v>41.5</c:v>
                      </c:pt>
                      <c:pt idx="5977">
                        <c:v>41.506944444445253</c:v>
                      </c:pt>
                      <c:pt idx="5978">
                        <c:v>41.513888888890506</c:v>
                      </c:pt>
                      <c:pt idx="5979">
                        <c:v>41.520833333335759</c:v>
                      </c:pt>
                      <c:pt idx="5980">
                        <c:v>41.527777777781012</c:v>
                      </c:pt>
                      <c:pt idx="5981">
                        <c:v>41.534722222218988</c:v>
                      </c:pt>
                      <c:pt idx="5982">
                        <c:v>41.541666666664241</c:v>
                      </c:pt>
                      <c:pt idx="5983">
                        <c:v>41.548611111109494</c:v>
                      </c:pt>
                      <c:pt idx="5984">
                        <c:v>41.555555555554747</c:v>
                      </c:pt>
                      <c:pt idx="5985">
                        <c:v>41.5625</c:v>
                      </c:pt>
                      <c:pt idx="5986">
                        <c:v>41.569444444445253</c:v>
                      </c:pt>
                      <c:pt idx="5987">
                        <c:v>41.576388888890506</c:v>
                      </c:pt>
                      <c:pt idx="5988">
                        <c:v>41.583333333335759</c:v>
                      </c:pt>
                      <c:pt idx="5989">
                        <c:v>41.590277777781012</c:v>
                      </c:pt>
                      <c:pt idx="5990">
                        <c:v>41.597222222218988</c:v>
                      </c:pt>
                      <c:pt idx="5991">
                        <c:v>41.604166666664241</c:v>
                      </c:pt>
                      <c:pt idx="5992">
                        <c:v>41.611111111109494</c:v>
                      </c:pt>
                      <c:pt idx="5993">
                        <c:v>41.618055555554747</c:v>
                      </c:pt>
                      <c:pt idx="5994">
                        <c:v>41.625</c:v>
                      </c:pt>
                      <c:pt idx="5995">
                        <c:v>41.631944444445253</c:v>
                      </c:pt>
                      <c:pt idx="5996">
                        <c:v>41.638888888890506</c:v>
                      </c:pt>
                      <c:pt idx="5997">
                        <c:v>41.645833333335759</c:v>
                      </c:pt>
                      <c:pt idx="5998">
                        <c:v>41.652777777781012</c:v>
                      </c:pt>
                      <c:pt idx="5999">
                        <c:v>41.659722222218988</c:v>
                      </c:pt>
                      <c:pt idx="6000">
                        <c:v>41.666666666664241</c:v>
                      </c:pt>
                      <c:pt idx="6001">
                        <c:v>41.673611111109494</c:v>
                      </c:pt>
                      <c:pt idx="6002">
                        <c:v>41.680555555554747</c:v>
                      </c:pt>
                      <c:pt idx="6003">
                        <c:v>41.6875</c:v>
                      </c:pt>
                      <c:pt idx="6004">
                        <c:v>41.694444444445253</c:v>
                      </c:pt>
                      <c:pt idx="6005">
                        <c:v>41.701388888890506</c:v>
                      </c:pt>
                      <c:pt idx="6006">
                        <c:v>41.708333333335759</c:v>
                      </c:pt>
                      <c:pt idx="6007">
                        <c:v>41.715277777781012</c:v>
                      </c:pt>
                      <c:pt idx="6008">
                        <c:v>41.722222222218988</c:v>
                      </c:pt>
                      <c:pt idx="6009">
                        <c:v>41.729166666664241</c:v>
                      </c:pt>
                      <c:pt idx="6010">
                        <c:v>41.736111111109494</c:v>
                      </c:pt>
                      <c:pt idx="6011">
                        <c:v>41.743055555554747</c:v>
                      </c:pt>
                      <c:pt idx="6012">
                        <c:v>41.75</c:v>
                      </c:pt>
                      <c:pt idx="6013">
                        <c:v>41.756944444445253</c:v>
                      </c:pt>
                      <c:pt idx="6014">
                        <c:v>41.763888888890506</c:v>
                      </c:pt>
                      <c:pt idx="6015">
                        <c:v>41.770833333335759</c:v>
                      </c:pt>
                      <c:pt idx="6016">
                        <c:v>41.777777777781012</c:v>
                      </c:pt>
                      <c:pt idx="6017">
                        <c:v>41.784722222218988</c:v>
                      </c:pt>
                      <c:pt idx="6018">
                        <c:v>41.791666666664241</c:v>
                      </c:pt>
                      <c:pt idx="6019">
                        <c:v>41.798611111109494</c:v>
                      </c:pt>
                      <c:pt idx="6020">
                        <c:v>41.805555555554747</c:v>
                      </c:pt>
                      <c:pt idx="6021">
                        <c:v>41.8125</c:v>
                      </c:pt>
                      <c:pt idx="6022">
                        <c:v>41.819444444445253</c:v>
                      </c:pt>
                      <c:pt idx="6023">
                        <c:v>41.826388888890506</c:v>
                      </c:pt>
                      <c:pt idx="6024">
                        <c:v>41.833333333335759</c:v>
                      </c:pt>
                      <c:pt idx="6025">
                        <c:v>41.840277777781012</c:v>
                      </c:pt>
                      <c:pt idx="6026">
                        <c:v>41.847222222218988</c:v>
                      </c:pt>
                      <c:pt idx="6027">
                        <c:v>41.854166666664241</c:v>
                      </c:pt>
                      <c:pt idx="6028">
                        <c:v>41.861111111109494</c:v>
                      </c:pt>
                      <c:pt idx="6029">
                        <c:v>41.868055555554747</c:v>
                      </c:pt>
                      <c:pt idx="6030">
                        <c:v>41.875</c:v>
                      </c:pt>
                      <c:pt idx="6031">
                        <c:v>41.881944444445253</c:v>
                      </c:pt>
                      <c:pt idx="6032">
                        <c:v>41.888888888890506</c:v>
                      </c:pt>
                      <c:pt idx="6033">
                        <c:v>41.895833333335759</c:v>
                      </c:pt>
                      <c:pt idx="6034">
                        <c:v>41.902777777781012</c:v>
                      </c:pt>
                      <c:pt idx="6035">
                        <c:v>41.909722222218988</c:v>
                      </c:pt>
                      <c:pt idx="6036">
                        <c:v>41.916666666664241</c:v>
                      </c:pt>
                      <c:pt idx="6037">
                        <c:v>41.923611111109494</c:v>
                      </c:pt>
                      <c:pt idx="6038">
                        <c:v>41.930555555554747</c:v>
                      </c:pt>
                      <c:pt idx="6039">
                        <c:v>41.9375</c:v>
                      </c:pt>
                      <c:pt idx="6040">
                        <c:v>41.944444444445253</c:v>
                      </c:pt>
                      <c:pt idx="6041">
                        <c:v>41.951388888890506</c:v>
                      </c:pt>
                      <c:pt idx="6042">
                        <c:v>41.958333333335759</c:v>
                      </c:pt>
                      <c:pt idx="6043">
                        <c:v>41.965277777781012</c:v>
                      </c:pt>
                      <c:pt idx="6044">
                        <c:v>41.972222222218988</c:v>
                      </c:pt>
                      <c:pt idx="6045">
                        <c:v>41.979166666664241</c:v>
                      </c:pt>
                      <c:pt idx="6046">
                        <c:v>41.986111111109494</c:v>
                      </c:pt>
                      <c:pt idx="6047">
                        <c:v>41.993055555554747</c:v>
                      </c:pt>
                      <c:pt idx="6048">
                        <c:v>42</c:v>
                      </c:pt>
                      <c:pt idx="6049">
                        <c:v>42.006944444445253</c:v>
                      </c:pt>
                      <c:pt idx="6050">
                        <c:v>42.013888888890506</c:v>
                      </c:pt>
                      <c:pt idx="6051">
                        <c:v>42.020833333335759</c:v>
                      </c:pt>
                      <c:pt idx="6052">
                        <c:v>42.027777777781012</c:v>
                      </c:pt>
                      <c:pt idx="6053">
                        <c:v>42.034722222218988</c:v>
                      </c:pt>
                      <c:pt idx="6054">
                        <c:v>42.041666666664241</c:v>
                      </c:pt>
                      <c:pt idx="6055">
                        <c:v>42.048611111109494</c:v>
                      </c:pt>
                      <c:pt idx="6056">
                        <c:v>42.055555555554747</c:v>
                      </c:pt>
                      <c:pt idx="6057">
                        <c:v>42.0625</c:v>
                      </c:pt>
                      <c:pt idx="6058">
                        <c:v>42.069444444445253</c:v>
                      </c:pt>
                      <c:pt idx="6059">
                        <c:v>42.076388888890506</c:v>
                      </c:pt>
                      <c:pt idx="6060">
                        <c:v>42.083333333335759</c:v>
                      </c:pt>
                      <c:pt idx="6061">
                        <c:v>42.090277777781012</c:v>
                      </c:pt>
                      <c:pt idx="6062">
                        <c:v>42.097222222218988</c:v>
                      </c:pt>
                      <c:pt idx="6063">
                        <c:v>42.104166666664241</c:v>
                      </c:pt>
                      <c:pt idx="6064">
                        <c:v>42.111111111109494</c:v>
                      </c:pt>
                      <c:pt idx="6065">
                        <c:v>42.118055555554747</c:v>
                      </c:pt>
                      <c:pt idx="6066">
                        <c:v>42.125</c:v>
                      </c:pt>
                      <c:pt idx="6067">
                        <c:v>42.131944444445253</c:v>
                      </c:pt>
                      <c:pt idx="6068">
                        <c:v>42.138888888890506</c:v>
                      </c:pt>
                      <c:pt idx="6069">
                        <c:v>42.145833333335759</c:v>
                      </c:pt>
                      <c:pt idx="6070">
                        <c:v>42.152777777781012</c:v>
                      </c:pt>
                      <c:pt idx="6071">
                        <c:v>42.159722222218988</c:v>
                      </c:pt>
                      <c:pt idx="6072">
                        <c:v>42.166666666664241</c:v>
                      </c:pt>
                      <c:pt idx="6073">
                        <c:v>42.173611111109494</c:v>
                      </c:pt>
                      <c:pt idx="6074">
                        <c:v>42.180555555554747</c:v>
                      </c:pt>
                      <c:pt idx="6075">
                        <c:v>42.1875</c:v>
                      </c:pt>
                      <c:pt idx="6076">
                        <c:v>42.194444444445253</c:v>
                      </c:pt>
                      <c:pt idx="6077">
                        <c:v>42.201388888890506</c:v>
                      </c:pt>
                      <c:pt idx="6078">
                        <c:v>42.208333333335759</c:v>
                      </c:pt>
                      <c:pt idx="6079">
                        <c:v>42.215277777781012</c:v>
                      </c:pt>
                      <c:pt idx="6080">
                        <c:v>42.222222222218988</c:v>
                      </c:pt>
                      <c:pt idx="6081">
                        <c:v>42.229166666664241</c:v>
                      </c:pt>
                      <c:pt idx="6082">
                        <c:v>42.236111111109494</c:v>
                      </c:pt>
                      <c:pt idx="6083">
                        <c:v>42.243055555554747</c:v>
                      </c:pt>
                      <c:pt idx="6084">
                        <c:v>42.25</c:v>
                      </c:pt>
                      <c:pt idx="6085">
                        <c:v>42.256944444445253</c:v>
                      </c:pt>
                      <c:pt idx="6086">
                        <c:v>42.263888888890506</c:v>
                      </c:pt>
                      <c:pt idx="6087">
                        <c:v>42.270833333335759</c:v>
                      </c:pt>
                      <c:pt idx="6088">
                        <c:v>42.277777777781012</c:v>
                      </c:pt>
                      <c:pt idx="6089">
                        <c:v>42.284722222218988</c:v>
                      </c:pt>
                      <c:pt idx="6090">
                        <c:v>42.291666666664241</c:v>
                      </c:pt>
                      <c:pt idx="6091">
                        <c:v>42.298611111109494</c:v>
                      </c:pt>
                      <c:pt idx="6092">
                        <c:v>42.305555555554747</c:v>
                      </c:pt>
                      <c:pt idx="6093">
                        <c:v>42.3125</c:v>
                      </c:pt>
                      <c:pt idx="6094">
                        <c:v>42.319444444445253</c:v>
                      </c:pt>
                      <c:pt idx="6095">
                        <c:v>42.326388888890506</c:v>
                      </c:pt>
                      <c:pt idx="6096">
                        <c:v>42.333333333335759</c:v>
                      </c:pt>
                      <c:pt idx="6097">
                        <c:v>42.340277777781012</c:v>
                      </c:pt>
                      <c:pt idx="6098">
                        <c:v>42.347222222218988</c:v>
                      </c:pt>
                      <c:pt idx="6099">
                        <c:v>42.354166666664241</c:v>
                      </c:pt>
                      <c:pt idx="6100">
                        <c:v>42.361111111109494</c:v>
                      </c:pt>
                      <c:pt idx="6101">
                        <c:v>42.368055555554747</c:v>
                      </c:pt>
                      <c:pt idx="6102">
                        <c:v>42.375</c:v>
                      </c:pt>
                      <c:pt idx="6103">
                        <c:v>42.381944444445253</c:v>
                      </c:pt>
                      <c:pt idx="6104">
                        <c:v>42.388888888890506</c:v>
                      </c:pt>
                      <c:pt idx="6105">
                        <c:v>42.395833333335759</c:v>
                      </c:pt>
                      <c:pt idx="6106">
                        <c:v>42.402777777781012</c:v>
                      </c:pt>
                      <c:pt idx="6107">
                        <c:v>42.409722222218988</c:v>
                      </c:pt>
                      <c:pt idx="6108">
                        <c:v>42.416666666664241</c:v>
                      </c:pt>
                      <c:pt idx="6109">
                        <c:v>42.423611111109494</c:v>
                      </c:pt>
                      <c:pt idx="6110">
                        <c:v>42.430555555554747</c:v>
                      </c:pt>
                      <c:pt idx="6111">
                        <c:v>42.4375</c:v>
                      </c:pt>
                      <c:pt idx="6112">
                        <c:v>42.444444444445253</c:v>
                      </c:pt>
                      <c:pt idx="6113">
                        <c:v>42.451388888890506</c:v>
                      </c:pt>
                      <c:pt idx="6114">
                        <c:v>42.458333333335759</c:v>
                      </c:pt>
                      <c:pt idx="6115">
                        <c:v>42.465277777781012</c:v>
                      </c:pt>
                      <c:pt idx="6116">
                        <c:v>42.472222222218988</c:v>
                      </c:pt>
                      <c:pt idx="6117">
                        <c:v>42.479166666664241</c:v>
                      </c:pt>
                      <c:pt idx="6118">
                        <c:v>42.486111111109494</c:v>
                      </c:pt>
                      <c:pt idx="6119">
                        <c:v>42.493055555554747</c:v>
                      </c:pt>
                      <c:pt idx="6120">
                        <c:v>42.5</c:v>
                      </c:pt>
                      <c:pt idx="6121">
                        <c:v>42.506944444445253</c:v>
                      </c:pt>
                      <c:pt idx="6122">
                        <c:v>42.513888888890506</c:v>
                      </c:pt>
                      <c:pt idx="6123">
                        <c:v>42.520833333335759</c:v>
                      </c:pt>
                      <c:pt idx="6124">
                        <c:v>42.527777777781012</c:v>
                      </c:pt>
                      <c:pt idx="6125">
                        <c:v>42.534722222218988</c:v>
                      </c:pt>
                      <c:pt idx="6126">
                        <c:v>42.541666666664241</c:v>
                      </c:pt>
                      <c:pt idx="6127">
                        <c:v>42.548611111109494</c:v>
                      </c:pt>
                      <c:pt idx="6128">
                        <c:v>42.555555555554747</c:v>
                      </c:pt>
                      <c:pt idx="6129">
                        <c:v>42.5625</c:v>
                      </c:pt>
                      <c:pt idx="6130">
                        <c:v>42.569444444445253</c:v>
                      </c:pt>
                      <c:pt idx="6131">
                        <c:v>42.576388888890506</c:v>
                      </c:pt>
                      <c:pt idx="6132">
                        <c:v>42.583333333335759</c:v>
                      </c:pt>
                      <c:pt idx="6133">
                        <c:v>42.590277777781012</c:v>
                      </c:pt>
                      <c:pt idx="6134">
                        <c:v>42.597222222218988</c:v>
                      </c:pt>
                      <c:pt idx="6135">
                        <c:v>42.604166666664241</c:v>
                      </c:pt>
                      <c:pt idx="6136">
                        <c:v>42.611111111109494</c:v>
                      </c:pt>
                      <c:pt idx="6137">
                        <c:v>42.618055555554747</c:v>
                      </c:pt>
                      <c:pt idx="6138">
                        <c:v>42.625</c:v>
                      </c:pt>
                      <c:pt idx="6139">
                        <c:v>42.631944444445253</c:v>
                      </c:pt>
                      <c:pt idx="6140">
                        <c:v>42.638888888890506</c:v>
                      </c:pt>
                      <c:pt idx="6141">
                        <c:v>42.645833333335759</c:v>
                      </c:pt>
                      <c:pt idx="6142">
                        <c:v>42.652777777781012</c:v>
                      </c:pt>
                      <c:pt idx="6143">
                        <c:v>42.659722222218988</c:v>
                      </c:pt>
                      <c:pt idx="6144">
                        <c:v>42.666666666664241</c:v>
                      </c:pt>
                      <c:pt idx="6145">
                        <c:v>42.673611111109494</c:v>
                      </c:pt>
                      <c:pt idx="6146">
                        <c:v>42.680555555554747</c:v>
                      </c:pt>
                      <c:pt idx="6147">
                        <c:v>42.6875</c:v>
                      </c:pt>
                      <c:pt idx="6148">
                        <c:v>42.694444444445253</c:v>
                      </c:pt>
                      <c:pt idx="6149">
                        <c:v>42.701388888890506</c:v>
                      </c:pt>
                      <c:pt idx="6150">
                        <c:v>42.708333333335759</c:v>
                      </c:pt>
                      <c:pt idx="6151">
                        <c:v>42.715277777781012</c:v>
                      </c:pt>
                      <c:pt idx="6152">
                        <c:v>42.722222222218988</c:v>
                      </c:pt>
                      <c:pt idx="6153">
                        <c:v>42.729166666664241</c:v>
                      </c:pt>
                      <c:pt idx="6154">
                        <c:v>42.736111111109494</c:v>
                      </c:pt>
                      <c:pt idx="6155">
                        <c:v>42.743055555554747</c:v>
                      </c:pt>
                      <c:pt idx="6156">
                        <c:v>42.75</c:v>
                      </c:pt>
                      <c:pt idx="6157">
                        <c:v>42.756944444445253</c:v>
                      </c:pt>
                      <c:pt idx="6158">
                        <c:v>42.763888888890506</c:v>
                      </c:pt>
                      <c:pt idx="6159">
                        <c:v>42.770833333335759</c:v>
                      </c:pt>
                      <c:pt idx="6160">
                        <c:v>42.777777777781012</c:v>
                      </c:pt>
                      <c:pt idx="6161">
                        <c:v>42.784722222218988</c:v>
                      </c:pt>
                      <c:pt idx="6162">
                        <c:v>42.791666666664241</c:v>
                      </c:pt>
                      <c:pt idx="6163">
                        <c:v>42.798611111109494</c:v>
                      </c:pt>
                      <c:pt idx="6164">
                        <c:v>42.805555555554747</c:v>
                      </c:pt>
                      <c:pt idx="6165">
                        <c:v>42.8125</c:v>
                      </c:pt>
                      <c:pt idx="6166">
                        <c:v>42.819444444445253</c:v>
                      </c:pt>
                      <c:pt idx="6167">
                        <c:v>42.826388888890506</c:v>
                      </c:pt>
                      <c:pt idx="6168">
                        <c:v>42.833333333335759</c:v>
                      </c:pt>
                      <c:pt idx="6169">
                        <c:v>42.840277777781012</c:v>
                      </c:pt>
                      <c:pt idx="6170">
                        <c:v>42.847222222218988</c:v>
                      </c:pt>
                      <c:pt idx="6171">
                        <c:v>42.854166666664241</c:v>
                      </c:pt>
                      <c:pt idx="6172">
                        <c:v>42.861111111109494</c:v>
                      </c:pt>
                      <c:pt idx="6173">
                        <c:v>42.868055555554747</c:v>
                      </c:pt>
                      <c:pt idx="6174">
                        <c:v>42.875</c:v>
                      </c:pt>
                      <c:pt idx="6175">
                        <c:v>42.881944444445253</c:v>
                      </c:pt>
                      <c:pt idx="6176">
                        <c:v>42.888888888890506</c:v>
                      </c:pt>
                      <c:pt idx="6177">
                        <c:v>42.895833333335759</c:v>
                      </c:pt>
                      <c:pt idx="6178">
                        <c:v>42.902777777781012</c:v>
                      </c:pt>
                      <c:pt idx="6179">
                        <c:v>42.909722222218988</c:v>
                      </c:pt>
                      <c:pt idx="6180">
                        <c:v>42.916666666664241</c:v>
                      </c:pt>
                      <c:pt idx="6181">
                        <c:v>42.923611111109494</c:v>
                      </c:pt>
                      <c:pt idx="6182">
                        <c:v>42.930555555554747</c:v>
                      </c:pt>
                      <c:pt idx="6183">
                        <c:v>42.9375</c:v>
                      </c:pt>
                      <c:pt idx="6184">
                        <c:v>42.944444444445253</c:v>
                      </c:pt>
                      <c:pt idx="6185">
                        <c:v>42.951388888890506</c:v>
                      </c:pt>
                      <c:pt idx="6186">
                        <c:v>42.958333333335759</c:v>
                      </c:pt>
                      <c:pt idx="6187">
                        <c:v>42.965277777781012</c:v>
                      </c:pt>
                      <c:pt idx="6188">
                        <c:v>42.972222222218988</c:v>
                      </c:pt>
                      <c:pt idx="6189">
                        <c:v>42.979166666664241</c:v>
                      </c:pt>
                      <c:pt idx="6190">
                        <c:v>42.986111111109494</c:v>
                      </c:pt>
                      <c:pt idx="6191">
                        <c:v>42.993055555554747</c:v>
                      </c:pt>
                      <c:pt idx="6192">
                        <c:v>43</c:v>
                      </c:pt>
                      <c:pt idx="6193">
                        <c:v>43.006944444445253</c:v>
                      </c:pt>
                      <c:pt idx="6194">
                        <c:v>43.013888888890506</c:v>
                      </c:pt>
                      <c:pt idx="6195">
                        <c:v>43.020833333335759</c:v>
                      </c:pt>
                      <c:pt idx="6196">
                        <c:v>43.027777777781012</c:v>
                      </c:pt>
                      <c:pt idx="6197">
                        <c:v>43.034722222218988</c:v>
                      </c:pt>
                      <c:pt idx="6198">
                        <c:v>43.041666666664241</c:v>
                      </c:pt>
                      <c:pt idx="6199">
                        <c:v>43.048611111109494</c:v>
                      </c:pt>
                      <c:pt idx="6200">
                        <c:v>43.055555555554747</c:v>
                      </c:pt>
                      <c:pt idx="6201">
                        <c:v>43.0625</c:v>
                      </c:pt>
                      <c:pt idx="6202">
                        <c:v>43.069444444445253</c:v>
                      </c:pt>
                      <c:pt idx="6203">
                        <c:v>43.076388888890506</c:v>
                      </c:pt>
                      <c:pt idx="6204">
                        <c:v>43.083333333335759</c:v>
                      </c:pt>
                      <c:pt idx="6205">
                        <c:v>43.090277777781012</c:v>
                      </c:pt>
                      <c:pt idx="6206">
                        <c:v>43.097222222218988</c:v>
                      </c:pt>
                      <c:pt idx="6207">
                        <c:v>43.104166666664241</c:v>
                      </c:pt>
                      <c:pt idx="6208">
                        <c:v>43.111111111109494</c:v>
                      </c:pt>
                      <c:pt idx="6209">
                        <c:v>43.118055555554747</c:v>
                      </c:pt>
                      <c:pt idx="6210">
                        <c:v>43.125</c:v>
                      </c:pt>
                      <c:pt idx="6211">
                        <c:v>43.131944444445253</c:v>
                      </c:pt>
                      <c:pt idx="6212">
                        <c:v>43.138888888890506</c:v>
                      </c:pt>
                      <c:pt idx="6213">
                        <c:v>43.145833333335759</c:v>
                      </c:pt>
                      <c:pt idx="6214">
                        <c:v>43.152777777781012</c:v>
                      </c:pt>
                      <c:pt idx="6215">
                        <c:v>43.159722222218988</c:v>
                      </c:pt>
                      <c:pt idx="6216">
                        <c:v>43.166666666664241</c:v>
                      </c:pt>
                      <c:pt idx="6217">
                        <c:v>43.173611111109494</c:v>
                      </c:pt>
                      <c:pt idx="6218">
                        <c:v>43.180555555554747</c:v>
                      </c:pt>
                      <c:pt idx="6219">
                        <c:v>43.1875</c:v>
                      </c:pt>
                      <c:pt idx="6220">
                        <c:v>43.194444444445253</c:v>
                      </c:pt>
                      <c:pt idx="6221">
                        <c:v>43.201388888890506</c:v>
                      </c:pt>
                      <c:pt idx="6222">
                        <c:v>43.208333333335759</c:v>
                      </c:pt>
                      <c:pt idx="6223">
                        <c:v>43.215277777781012</c:v>
                      </c:pt>
                      <c:pt idx="6224">
                        <c:v>43.222222222218988</c:v>
                      </c:pt>
                      <c:pt idx="6225">
                        <c:v>43.229166666664241</c:v>
                      </c:pt>
                      <c:pt idx="6226">
                        <c:v>43.236111111109494</c:v>
                      </c:pt>
                      <c:pt idx="6227">
                        <c:v>43.243055555554747</c:v>
                      </c:pt>
                      <c:pt idx="6228">
                        <c:v>43.25</c:v>
                      </c:pt>
                      <c:pt idx="6229">
                        <c:v>43.256944444445253</c:v>
                      </c:pt>
                      <c:pt idx="6230">
                        <c:v>43.263888888890506</c:v>
                      </c:pt>
                      <c:pt idx="6231">
                        <c:v>43.270833333335759</c:v>
                      </c:pt>
                      <c:pt idx="6232">
                        <c:v>43.277777777781012</c:v>
                      </c:pt>
                      <c:pt idx="6233">
                        <c:v>43.284722222218988</c:v>
                      </c:pt>
                      <c:pt idx="6234">
                        <c:v>43.291666666664241</c:v>
                      </c:pt>
                      <c:pt idx="6235">
                        <c:v>43.298611111109494</c:v>
                      </c:pt>
                      <c:pt idx="6236">
                        <c:v>43.305555555554747</c:v>
                      </c:pt>
                      <c:pt idx="6237">
                        <c:v>43.3125</c:v>
                      </c:pt>
                      <c:pt idx="6238">
                        <c:v>43.319444444445253</c:v>
                      </c:pt>
                      <c:pt idx="6239">
                        <c:v>43.326388888890506</c:v>
                      </c:pt>
                      <c:pt idx="6240">
                        <c:v>43.333333333335759</c:v>
                      </c:pt>
                      <c:pt idx="6241">
                        <c:v>43.340277777781012</c:v>
                      </c:pt>
                      <c:pt idx="6242">
                        <c:v>43.347222222218988</c:v>
                      </c:pt>
                      <c:pt idx="6243">
                        <c:v>43.354166666664241</c:v>
                      </c:pt>
                      <c:pt idx="6244">
                        <c:v>43.361111111109494</c:v>
                      </c:pt>
                      <c:pt idx="6245">
                        <c:v>43.368055555554747</c:v>
                      </c:pt>
                      <c:pt idx="6246">
                        <c:v>43.375</c:v>
                      </c:pt>
                      <c:pt idx="6247">
                        <c:v>43.381944444445253</c:v>
                      </c:pt>
                      <c:pt idx="6248">
                        <c:v>43.388888888890506</c:v>
                      </c:pt>
                      <c:pt idx="6249">
                        <c:v>43.395833333335759</c:v>
                      </c:pt>
                      <c:pt idx="6250">
                        <c:v>43.402777777781012</c:v>
                      </c:pt>
                      <c:pt idx="6251">
                        <c:v>43.409722222218988</c:v>
                      </c:pt>
                      <c:pt idx="6252">
                        <c:v>43.416666666664241</c:v>
                      </c:pt>
                      <c:pt idx="6253">
                        <c:v>43.423611111109494</c:v>
                      </c:pt>
                      <c:pt idx="6254">
                        <c:v>43.430555555554747</c:v>
                      </c:pt>
                      <c:pt idx="6255">
                        <c:v>43.4375</c:v>
                      </c:pt>
                      <c:pt idx="6256">
                        <c:v>43.444444444445253</c:v>
                      </c:pt>
                      <c:pt idx="6257">
                        <c:v>43.451388888890506</c:v>
                      </c:pt>
                      <c:pt idx="6258">
                        <c:v>43.458333333335759</c:v>
                      </c:pt>
                      <c:pt idx="6259">
                        <c:v>43.465277777781012</c:v>
                      </c:pt>
                      <c:pt idx="6260">
                        <c:v>43.472222222218988</c:v>
                      </c:pt>
                      <c:pt idx="6261">
                        <c:v>43.479166666664241</c:v>
                      </c:pt>
                      <c:pt idx="6262">
                        <c:v>43.486111111109494</c:v>
                      </c:pt>
                      <c:pt idx="6263">
                        <c:v>43.493055555554747</c:v>
                      </c:pt>
                      <c:pt idx="6264">
                        <c:v>43.5</c:v>
                      </c:pt>
                      <c:pt idx="6265">
                        <c:v>43.506944444445253</c:v>
                      </c:pt>
                      <c:pt idx="6266">
                        <c:v>43.513888888890506</c:v>
                      </c:pt>
                      <c:pt idx="6267">
                        <c:v>43.520833333335759</c:v>
                      </c:pt>
                      <c:pt idx="6268">
                        <c:v>43.527777777781012</c:v>
                      </c:pt>
                      <c:pt idx="6269">
                        <c:v>43.534722222218988</c:v>
                      </c:pt>
                      <c:pt idx="6270">
                        <c:v>43.541666666664241</c:v>
                      </c:pt>
                      <c:pt idx="6271">
                        <c:v>43.548611111109494</c:v>
                      </c:pt>
                      <c:pt idx="6272">
                        <c:v>43.555555555554747</c:v>
                      </c:pt>
                      <c:pt idx="6273">
                        <c:v>43.5625</c:v>
                      </c:pt>
                      <c:pt idx="6274">
                        <c:v>43.569444444445253</c:v>
                      </c:pt>
                      <c:pt idx="6275">
                        <c:v>43.576388888890506</c:v>
                      </c:pt>
                      <c:pt idx="6276">
                        <c:v>43.583333333335759</c:v>
                      </c:pt>
                      <c:pt idx="6277">
                        <c:v>43.590277777781012</c:v>
                      </c:pt>
                      <c:pt idx="6278">
                        <c:v>43.597222222218988</c:v>
                      </c:pt>
                      <c:pt idx="6279">
                        <c:v>43.604166666664241</c:v>
                      </c:pt>
                      <c:pt idx="6280">
                        <c:v>43.611111111109494</c:v>
                      </c:pt>
                      <c:pt idx="6281">
                        <c:v>43.618055555554747</c:v>
                      </c:pt>
                      <c:pt idx="6282">
                        <c:v>43.625</c:v>
                      </c:pt>
                      <c:pt idx="6283">
                        <c:v>43.631944444445253</c:v>
                      </c:pt>
                      <c:pt idx="6284">
                        <c:v>43.638888888890506</c:v>
                      </c:pt>
                      <c:pt idx="6285">
                        <c:v>43.645833333335759</c:v>
                      </c:pt>
                      <c:pt idx="6286">
                        <c:v>43.652777777781012</c:v>
                      </c:pt>
                      <c:pt idx="6287">
                        <c:v>43.659722222218988</c:v>
                      </c:pt>
                      <c:pt idx="6288">
                        <c:v>43.666666666664241</c:v>
                      </c:pt>
                      <c:pt idx="6289">
                        <c:v>43.673611111109494</c:v>
                      </c:pt>
                      <c:pt idx="6290">
                        <c:v>43.680555555554747</c:v>
                      </c:pt>
                      <c:pt idx="6291">
                        <c:v>43.6875</c:v>
                      </c:pt>
                      <c:pt idx="6292">
                        <c:v>43.694444444445253</c:v>
                      </c:pt>
                      <c:pt idx="6293">
                        <c:v>43.701388888890506</c:v>
                      </c:pt>
                      <c:pt idx="6294">
                        <c:v>43.708333333335759</c:v>
                      </c:pt>
                      <c:pt idx="6295">
                        <c:v>43.715277777781012</c:v>
                      </c:pt>
                      <c:pt idx="6296">
                        <c:v>43.722222222218988</c:v>
                      </c:pt>
                      <c:pt idx="6297">
                        <c:v>43.729166666664241</c:v>
                      </c:pt>
                      <c:pt idx="6298">
                        <c:v>43.736111111109494</c:v>
                      </c:pt>
                      <c:pt idx="6299">
                        <c:v>43.743055555554747</c:v>
                      </c:pt>
                      <c:pt idx="6300">
                        <c:v>43.75</c:v>
                      </c:pt>
                      <c:pt idx="6301">
                        <c:v>43.756944444445253</c:v>
                      </c:pt>
                      <c:pt idx="6302">
                        <c:v>43.763888888890506</c:v>
                      </c:pt>
                      <c:pt idx="6303">
                        <c:v>43.770833333335759</c:v>
                      </c:pt>
                      <c:pt idx="6304">
                        <c:v>43.777777777781012</c:v>
                      </c:pt>
                      <c:pt idx="6305">
                        <c:v>43.784722222218988</c:v>
                      </c:pt>
                      <c:pt idx="6306">
                        <c:v>43.791666666664241</c:v>
                      </c:pt>
                      <c:pt idx="6307">
                        <c:v>43.798611111109494</c:v>
                      </c:pt>
                      <c:pt idx="6308">
                        <c:v>43.805555555554747</c:v>
                      </c:pt>
                      <c:pt idx="6309">
                        <c:v>43.8125</c:v>
                      </c:pt>
                      <c:pt idx="6310">
                        <c:v>43.819444444445253</c:v>
                      </c:pt>
                      <c:pt idx="6311">
                        <c:v>43.826388888890506</c:v>
                      </c:pt>
                      <c:pt idx="6312">
                        <c:v>43.833333333335759</c:v>
                      </c:pt>
                      <c:pt idx="6313">
                        <c:v>43.840277777781012</c:v>
                      </c:pt>
                      <c:pt idx="6314">
                        <c:v>43.847222222218988</c:v>
                      </c:pt>
                      <c:pt idx="6315">
                        <c:v>43.854166666664241</c:v>
                      </c:pt>
                      <c:pt idx="6316">
                        <c:v>43.861111111109494</c:v>
                      </c:pt>
                      <c:pt idx="6317">
                        <c:v>43.868055555554747</c:v>
                      </c:pt>
                      <c:pt idx="6318">
                        <c:v>43.875</c:v>
                      </c:pt>
                      <c:pt idx="6319">
                        <c:v>43.881944444445253</c:v>
                      </c:pt>
                      <c:pt idx="6320">
                        <c:v>43.888888888890506</c:v>
                      </c:pt>
                      <c:pt idx="6321">
                        <c:v>43.895833333335759</c:v>
                      </c:pt>
                      <c:pt idx="6322">
                        <c:v>43.902777777781012</c:v>
                      </c:pt>
                      <c:pt idx="6323">
                        <c:v>43.909722222218988</c:v>
                      </c:pt>
                      <c:pt idx="6324">
                        <c:v>43.916666666664241</c:v>
                      </c:pt>
                      <c:pt idx="6325">
                        <c:v>43.923611111109494</c:v>
                      </c:pt>
                      <c:pt idx="6326">
                        <c:v>43.930555555554747</c:v>
                      </c:pt>
                      <c:pt idx="6327">
                        <c:v>43.9375</c:v>
                      </c:pt>
                      <c:pt idx="6328">
                        <c:v>43.944444444445253</c:v>
                      </c:pt>
                      <c:pt idx="6329">
                        <c:v>43.951388888890506</c:v>
                      </c:pt>
                      <c:pt idx="6330">
                        <c:v>43.958333333335759</c:v>
                      </c:pt>
                      <c:pt idx="6331">
                        <c:v>43.965277777781012</c:v>
                      </c:pt>
                      <c:pt idx="6332">
                        <c:v>43.972222222218988</c:v>
                      </c:pt>
                      <c:pt idx="6333">
                        <c:v>43.979166666664241</c:v>
                      </c:pt>
                      <c:pt idx="6334">
                        <c:v>43.986111111109494</c:v>
                      </c:pt>
                      <c:pt idx="6335">
                        <c:v>43.993055555554747</c:v>
                      </c:pt>
                      <c:pt idx="6336">
                        <c:v>44</c:v>
                      </c:pt>
                      <c:pt idx="6337">
                        <c:v>44.006944444445253</c:v>
                      </c:pt>
                      <c:pt idx="6338">
                        <c:v>44.013888888890506</c:v>
                      </c:pt>
                      <c:pt idx="6339">
                        <c:v>44.020833333335759</c:v>
                      </c:pt>
                      <c:pt idx="6340">
                        <c:v>44.027777777781012</c:v>
                      </c:pt>
                      <c:pt idx="6341">
                        <c:v>44.034722222218988</c:v>
                      </c:pt>
                      <c:pt idx="6342">
                        <c:v>44.041666666664241</c:v>
                      </c:pt>
                      <c:pt idx="6343">
                        <c:v>44.048611111109494</c:v>
                      </c:pt>
                      <c:pt idx="6344">
                        <c:v>44.055555555554747</c:v>
                      </c:pt>
                      <c:pt idx="6345">
                        <c:v>44.0625</c:v>
                      </c:pt>
                      <c:pt idx="6346">
                        <c:v>44.069444444445253</c:v>
                      </c:pt>
                      <c:pt idx="6347">
                        <c:v>44.076388888890506</c:v>
                      </c:pt>
                      <c:pt idx="6348">
                        <c:v>44.083333333335759</c:v>
                      </c:pt>
                      <c:pt idx="6349">
                        <c:v>44.090277777781012</c:v>
                      </c:pt>
                      <c:pt idx="6350">
                        <c:v>44.097222222218988</c:v>
                      </c:pt>
                      <c:pt idx="6351">
                        <c:v>44.104166666664241</c:v>
                      </c:pt>
                      <c:pt idx="6352">
                        <c:v>44.111111111109494</c:v>
                      </c:pt>
                      <c:pt idx="6353">
                        <c:v>44.118055555554747</c:v>
                      </c:pt>
                      <c:pt idx="6354">
                        <c:v>44.125</c:v>
                      </c:pt>
                      <c:pt idx="6355">
                        <c:v>44.131944444445253</c:v>
                      </c:pt>
                      <c:pt idx="6356">
                        <c:v>44.138888888890506</c:v>
                      </c:pt>
                      <c:pt idx="6357">
                        <c:v>44.145833333335759</c:v>
                      </c:pt>
                      <c:pt idx="6358">
                        <c:v>44.152777777781012</c:v>
                      </c:pt>
                      <c:pt idx="6359">
                        <c:v>44.159722222218988</c:v>
                      </c:pt>
                      <c:pt idx="6360">
                        <c:v>44.166666666664241</c:v>
                      </c:pt>
                      <c:pt idx="6361">
                        <c:v>44.173611111109494</c:v>
                      </c:pt>
                      <c:pt idx="6362">
                        <c:v>44.180555555554747</c:v>
                      </c:pt>
                      <c:pt idx="6363">
                        <c:v>44.1875</c:v>
                      </c:pt>
                      <c:pt idx="6364">
                        <c:v>44.194444444445253</c:v>
                      </c:pt>
                      <c:pt idx="6365">
                        <c:v>44.201388888890506</c:v>
                      </c:pt>
                      <c:pt idx="6366">
                        <c:v>44.208333333335759</c:v>
                      </c:pt>
                      <c:pt idx="6367">
                        <c:v>44.215277777781012</c:v>
                      </c:pt>
                      <c:pt idx="6368">
                        <c:v>44.222222222218988</c:v>
                      </c:pt>
                      <c:pt idx="6369">
                        <c:v>44.229166666664241</c:v>
                      </c:pt>
                      <c:pt idx="6370">
                        <c:v>44.236111111109494</c:v>
                      </c:pt>
                      <c:pt idx="6371">
                        <c:v>44.243055555554747</c:v>
                      </c:pt>
                      <c:pt idx="6372">
                        <c:v>44.25</c:v>
                      </c:pt>
                      <c:pt idx="6373">
                        <c:v>44.256944444445253</c:v>
                      </c:pt>
                      <c:pt idx="6374">
                        <c:v>44.263888888890506</c:v>
                      </c:pt>
                      <c:pt idx="6375">
                        <c:v>44.270833333335759</c:v>
                      </c:pt>
                      <c:pt idx="6376">
                        <c:v>44.277777777781012</c:v>
                      </c:pt>
                      <c:pt idx="6377">
                        <c:v>44.284722222218988</c:v>
                      </c:pt>
                      <c:pt idx="6378">
                        <c:v>44.291666666664241</c:v>
                      </c:pt>
                      <c:pt idx="6379">
                        <c:v>44.298611111109494</c:v>
                      </c:pt>
                      <c:pt idx="6380">
                        <c:v>44.305555555554747</c:v>
                      </c:pt>
                      <c:pt idx="6381">
                        <c:v>44.3125</c:v>
                      </c:pt>
                      <c:pt idx="6382">
                        <c:v>44.319444444445253</c:v>
                      </c:pt>
                      <c:pt idx="6383">
                        <c:v>44.326388888890506</c:v>
                      </c:pt>
                      <c:pt idx="6384">
                        <c:v>44.333333333335759</c:v>
                      </c:pt>
                      <c:pt idx="6385">
                        <c:v>44.340277777781012</c:v>
                      </c:pt>
                      <c:pt idx="6386">
                        <c:v>44.347222222218988</c:v>
                      </c:pt>
                      <c:pt idx="6387">
                        <c:v>44.354166666664241</c:v>
                      </c:pt>
                      <c:pt idx="6388">
                        <c:v>44.361111111109494</c:v>
                      </c:pt>
                      <c:pt idx="6389">
                        <c:v>44.368055555554747</c:v>
                      </c:pt>
                      <c:pt idx="6390">
                        <c:v>44.375</c:v>
                      </c:pt>
                      <c:pt idx="6391">
                        <c:v>44.381944444445253</c:v>
                      </c:pt>
                      <c:pt idx="6392">
                        <c:v>44.388888888890506</c:v>
                      </c:pt>
                      <c:pt idx="6393">
                        <c:v>44.395833333335759</c:v>
                      </c:pt>
                      <c:pt idx="6394">
                        <c:v>44.402777777781012</c:v>
                      </c:pt>
                      <c:pt idx="6395">
                        <c:v>44.409722222218988</c:v>
                      </c:pt>
                      <c:pt idx="6396">
                        <c:v>44.416666666664241</c:v>
                      </c:pt>
                      <c:pt idx="6397">
                        <c:v>44.423611111109494</c:v>
                      </c:pt>
                      <c:pt idx="6398">
                        <c:v>44.430555555554747</c:v>
                      </c:pt>
                      <c:pt idx="6399">
                        <c:v>44.4375</c:v>
                      </c:pt>
                      <c:pt idx="6400">
                        <c:v>44.444444444445253</c:v>
                      </c:pt>
                      <c:pt idx="6401">
                        <c:v>44.451388888890506</c:v>
                      </c:pt>
                      <c:pt idx="6402">
                        <c:v>44.458333333335759</c:v>
                      </c:pt>
                      <c:pt idx="6403">
                        <c:v>44.465277777781012</c:v>
                      </c:pt>
                      <c:pt idx="6404">
                        <c:v>44.472222222218988</c:v>
                      </c:pt>
                      <c:pt idx="6405">
                        <c:v>44.479166666664241</c:v>
                      </c:pt>
                      <c:pt idx="6406">
                        <c:v>44.486111111109494</c:v>
                      </c:pt>
                      <c:pt idx="6407">
                        <c:v>44.493055555554747</c:v>
                      </c:pt>
                      <c:pt idx="6408">
                        <c:v>44.5</c:v>
                      </c:pt>
                      <c:pt idx="6409">
                        <c:v>44.506944444445253</c:v>
                      </c:pt>
                      <c:pt idx="6410">
                        <c:v>44.513888888890506</c:v>
                      </c:pt>
                      <c:pt idx="6411">
                        <c:v>44.520833333335759</c:v>
                      </c:pt>
                      <c:pt idx="6412">
                        <c:v>44.527777777781012</c:v>
                      </c:pt>
                      <c:pt idx="6413">
                        <c:v>44.534722222218988</c:v>
                      </c:pt>
                      <c:pt idx="6414">
                        <c:v>44.541666666664241</c:v>
                      </c:pt>
                      <c:pt idx="6415">
                        <c:v>44.548611111109494</c:v>
                      </c:pt>
                      <c:pt idx="6416">
                        <c:v>44.555555555554747</c:v>
                      </c:pt>
                      <c:pt idx="6417">
                        <c:v>44.5625</c:v>
                      </c:pt>
                      <c:pt idx="6418">
                        <c:v>44.569444444445253</c:v>
                      </c:pt>
                      <c:pt idx="6419">
                        <c:v>44.576388888890506</c:v>
                      </c:pt>
                      <c:pt idx="6420">
                        <c:v>44.583333333335759</c:v>
                      </c:pt>
                      <c:pt idx="6421">
                        <c:v>44.590277777781012</c:v>
                      </c:pt>
                      <c:pt idx="6422">
                        <c:v>44.597222222218988</c:v>
                      </c:pt>
                      <c:pt idx="6423">
                        <c:v>44.604166666664241</c:v>
                      </c:pt>
                      <c:pt idx="6424">
                        <c:v>44.611111111109494</c:v>
                      </c:pt>
                      <c:pt idx="6425">
                        <c:v>44.618055555554747</c:v>
                      </c:pt>
                      <c:pt idx="6426">
                        <c:v>44.625</c:v>
                      </c:pt>
                      <c:pt idx="6427">
                        <c:v>44.631944444445253</c:v>
                      </c:pt>
                      <c:pt idx="6428">
                        <c:v>44.638888888890506</c:v>
                      </c:pt>
                      <c:pt idx="6429">
                        <c:v>44.645833333335759</c:v>
                      </c:pt>
                      <c:pt idx="6430">
                        <c:v>44.652777777781012</c:v>
                      </c:pt>
                      <c:pt idx="6431">
                        <c:v>44.659722222218988</c:v>
                      </c:pt>
                      <c:pt idx="6432">
                        <c:v>44.666666666664241</c:v>
                      </c:pt>
                      <c:pt idx="6433">
                        <c:v>44.673611111109494</c:v>
                      </c:pt>
                      <c:pt idx="6434">
                        <c:v>44.680555555554747</c:v>
                      </c:pt>
                      <c:pt idx="6435">
                        <c:v>44.6875</c:v>
                      </c:pt>
                      <c:pt idx="6436">
                        <c:v>44.694444444445253</c:v>
                      </c:pt>
                      <c:pt idx="6437">
                        <c:v>44.701388888890506</c:v>
                      </c:pt>
                      <c:pt idx="6438">
                        <c:v>44.708333333335759</c:v>
                      </c:pt>
                      <c:pt idx="6439">
                        <c:v>44.715277777781012</c:v>
                      </c:pt>
                      <c:pt idx="6440">
                        <c:v>44.722222222218988</c:v>
                      </c:pt>
                      <c:pt idx="6441">
                        <c:v>44.729166666664241</c:v>
                      </c:pt>
                      <c:pt idx="6442">
                        <c:v>44.736111111109494</c:v>
                      </c:pt>
                      <c:pt idx="6443">
                        <c:v>44.743055555554747</c:v>
                      </c:pt>
                      <c:pt idx="6444">
                        <c:v>44.75</c:v>
                      </c:pt>
                      <c:pt idx="6445">
                        <c:v>44.756944444445253</c:v>
                      </c:pt>
                      <c:pt idx="6446">
                        <c:v>44.763888888890506</c:v>
                      </c:pt>
                      <c:pt idx="6447">
                        <c:v>44.770833333335759</c:v>
                      </c:pt>
                      <c:pt idx="6448">
                        <c:v>44.777777777781012</c:v>
                      </c:pt>
                      <c:pt idx="6449">
                        <c:v>44.784722222218988</c:v>
                      </c:pt>
                      <c:pt idx="6450">
                        <c:v>44.791666666664241</c:v>
                      </c:pt>
                      <c:pt idx="6451">
                        <c:v>44.798611111109494</c:v>
                      </c:pt>
                      <c:pt idx="6452">
                        <c:v>44.805555555554747</c:v>
                      </c:pt>
                      <c:pt idx="6453">
                        <c:v>44.8125</c:v>
                      </c:pt>
                      <c:pt idx="6454">
                        <c:v>44.819444444445253</c:v>
                      </c:pt>
                      <c:pt idx="6455">
                        <c:v>44.826388888890506</c:v>
                      </c:pt>
                      <c:pt idx="6456">
                        <c:v>44.833333333335759</c:v>
                      </c:pt>
                      <c:pt idx="6457">
                        <c:v>44.840277777781012</c:v>
                      </c:pt>
                      <c:pt idx="6458">
                        <c:v>44.847222222218988</c:v>
                      </c:pt>
                      <c:pt idx="6459">
                        <c:v>44.854166666664241</c:v>
                      </c:pt>
                      <c:pt idx="6460">
                        <c:v>44.861111111109494</c:v>
                      </c:pt>
                      <c:pt idx="6461">
                        <c:v>44.868055555554747</c:v>
                      </c:pt>
                      <c:pt idx="6462">
                        <c:v>44.875</c:v>
                      </c:pt>
                      <c:pt idx="6463">
                        <c:v>44.881944444445253</c:v>
                      </c:pt>
                      <c:pt idx="6464">
                        <c:v>44.888888888890506</c:v>
                      </c:pt>
                      <c:pt idx="6465">
                        <c:v>44.895833333335759</c:v>
                      </c:pt>
                      <c:pt idx="6466">
                        <c:v>44.902777777781012</c:v>
                      </c:pt>
                      <c:pt idx="6467">
                        <c:v>44.909722222218988</c:v>
                      </c:pt>
                      <c:pt idx="6468">
                        <c:v>44.916666666664241</c:v>
                      </c:pt>
                      <c:pt idx="6469">
                        <c:v>44.923611111109494</c:v>
                      </c:pt>
                      <c:pt idx="6470">
                        <c:v>44.930555555554747</c:v>
                      </c:pt>
                      <c:pt idx="6471">
                        <c:v>44.9375</c:v>
                      </c:pt>
                      <c:pt idx="6472">
                        <c:v>44.944444444445253</c:v>
                      </c:pt>
                      <c:pt idx="6473">
                        <c:v>44.951388888890506</c:v>
                      </c:pt>
                      <c:pt idx="6474">
                        <c:v>44.958333333335759</c:v>
                      </c:pt>
                      <c:pt idx="6475">
                        <c:v>44.965277777781012</c:v>
                      </c:pt>
                      <c:pt idx="6476">
                        <c:v>44.972222222218988</c:v>
                      </c:pt>
                      <c:pt idx="6477">
                        <c:v>44.979166666664241</c:v>
                      </c:pt>
                      <c:pt idx="6478">
                        <c:v>44.986111111109494</c:v>
                      </c:pt>
                      <c:pt idx="6479">
                        <c:v>44.993055555554747</c:v>
                      </c:pt>
                      <c:pt idx="6480">
                        <c:v>45</c:v>
                      </c:pt>
                      <c:pt idx="6481">
                        <c:v>45.006944444445253</c:v>
                      </c:pt>
                      <c:pt idx="6482">
                        <c:v>45.013888888890506</c:v>
                      </c:pt>
                      <c:pt idx="6483">
                        <c:v>45.020833333335759</c:v>
                      </c:pt>
                      <c:pt idx="6484">
                        <c:v>45.027777777781012</c:v>
                      </c:pt>
                      <c:pt idx="6485">
                        <c:v>45.034722222218988</c:v>
                      </c:pt>
                      <c:pt idx="6486">
                        <c:v>45.041666666664241</c:v>
                      </c:pt>
                      <c:pt idx="6487">
                        <c:v>45.048611111109494</c:v>
                      </c:pt>
                      <c:pt idx="6488">
                        <c:v>45.055555555554747</c:v>
                      </c:pt>
                      <c:pt idx="6489">
                        <c:v>45.0625</c:v>
                      </c:pt>
                      <c:pt idx="6490">
                        <c:v>45.069444444445253</c:v>
                      </c:pt>
                      <c:pt idx="6491">
                        <c:v>45.076388888890506</c:v>
                      </c:pt>
                      <c:pt idx="6492">
                        <c:v>45.083333333335759</c:v>
                      </c:pt>
                      <c:pt idx="6493">
                        <c:v>45.090277777781012</c:v>
                      </c:pt>
                      <c:pt idx="6494">
                        <c:v>45.097222222218988</c:v>
                      </c:pt>
                      <c:pt idx="6495">
                        <c:v>45.104166666664241</c:v>
                      </c:pt>
                      <c:pt idx="6496">
                        <c:v>45.111111111109494</c:v>
                      </c:pt>
                      <c:pt idx="6497">
                        <c:v>45.118055555554747</c:v>
                      </c:pt>
                      <c:pt idx="6498">
                        <c:v>45.125</c:v>
                      </c:pt>
                      <c:pt idx="6499">
                        <c:v>45.131944444445253</c:v>
                      </c:pt>
                      <c:pt idx="6500">
                        <c:v>45.138888888890506</c:v>
                      </c:pt>
                      <c:pt idx="6501">
                        <c:v>45.145833333335759</c:v>
                      </c:pt>
                      <c:pt idx="6502">
                        <c:v>45.152777777781012</c:v>
                      </c:pt>
                      <c:pt idx="6503">
                        <c:v>45.159722222218988</c:v>
                      </c:pt>
                      <c:pt idx="6504">
                        <c:v>45.166666666664241</c:v>
                      </c:pt>
                      <c:pt idx="6505">
                        <c:v>45.173611111109494</c:v>
                      </c:pt>
                      <c:pt idx="6506">
                        <c:v>45.180555555554747</c:v>
                      </c:pt>
                      <c:pt idx="6507">
                        <c:v>45.1875</c:v>
                      </c:pt>
                      <c:pt idx="6508">
                        <c:v>45.194444444445253</c:v>
                      </c:pt>
                      <c:pt idx="6509">
                        <c:v>45.201388888890506</c:v>
                      </c:pt>
                      <c:pt idx="6510">
                        <c:v>45.208333333335759</c:v>
                      </c:pt>
                      <c:pt idx="6511">
                        <c:v>45.215277777781012</c:v>
                      </c:pt>
                      <c:pt idx="6512">
                        <c:v>45.222222222218988</c:v>
                      </c:pt>
                      <c:pt idx="6513">
                        <c:v>45.229166666664241</c:v>
                      </c:pt>
                      <c:pt idx="6514">
                        <c:v>45.236111111109494</c:v>
                      </c:pt>
                      <c:pt idx="6515">
                        <c:v>45.243055555554747</c:v>
                      </c:pt>
                      <c:pt idx="6516">
                        <c:v>45.25</c:v>
                      </c:pt>
                      <c:pt idx="6517">
                        <c:v>45.256944444445253</c:v>
                      </c:pt>
                      <c:pt idx="6518">
                        <c:v>45.263888888890506</c:v>
                      </c:pt>
                      <c:pt idx="6519">
                        <c:v>45.270833333335759</c:v>
                      </c:pt>
                      <c:pt idx="6520">
                        <c:v>45.277777777781012</c:v>
                      </c:pt>
                      <c:pt idx="6521">
                        <c:v>45.284722222218988</c:v>
                      </c:pt>
                      <c:pt idx="6522">
                        <c:v>45.291666666664241</c:v>
                      </c:pt>
                      <c:pt idx="6523">
                        <c:v>45.298611111109494</c:v>
                      </c:pt>
                      <c:pt idx="6524">
                        <c:v>45.305555555554747</c:v>
                      </c:pt>
                      <c:pt idx="6525">
                        <c:v>45.3125</c:v>
                      </c:pt>
                      <c:pt idx="6526">
                        <c:v>45.319444444445253</c:v>
                      </c:pt>
                      <c:pt idx="6527">
                        <c:v>45.326388888890506</c:v>
                      </c:pt>
                      <c:pt idx="6528">
                        <c:v>45.333333333335759</c:v>
                      </c:pt>
                      <c:pt idx="6529">
                        <c:v>45.340277777781012</c:v>
                      </c:pt>
                      <c:pt idx="6530">
                        <c:v>45.347222222218988</c:v>
                      </c:pt>
                      <c:pt idx="6531">
                        <c:v>45.354166666664241</c:v>
                      </c:pt>
                      <c:pt idx="6532">
                        <c:v>45.361111111109494</c:v>
                      </c:pt>
                      <c:pt idx="6533">
                        <c:v>45.368055555554747</c:v>
                      </c:pt>
                      <c:pt idx="6534">
                        <c:v>45.375</c:v>
                      </c:pt>
                      <c:pt idx="6535">
                        <c:v>45.381944444445253</c:v>
                      </c:pt>
                      <c:pt idx="6536">
                        <c:v>45.388888888890506</c:v>
                      </c:pt>
                      <c:pt idx="6537">
                        <c:v>45.395833333335759</c:v>
                      </c:pt>
                      <c:pt idx="6538">
                        <c:v>45.402777777781012</c:v>
                      </c:pt>
                      <c:pt idx="6539">
                        <c:v>45.409722222218988</c:v>
                      </c:pt>
                      <c:pt idx="6540">
                        <c:v>45.416666666664241</c:v>
                      </c:pt>
                      <c:pt idx="6541">
                        <c:v>45.423611111109494</c:v>
                      </c:pt>
                      <c:pt idx="6542">
                        <c:v>45.430555555554747</c:v>
                      </c:pt>
                      <c:pt idx="6543">
                        <c:v>45.4375</c:v>
                      </c:pt>
                      <c:pt idx="6544">
                        <c:v>45.444444444445253</c:v>
                      </c:pt>
                      <c:pt idx="6545">
                        <c:v>45.451388888890506</c:v>
                      </c:pt>
                      <c:pt idx="6546">
                        <c:v>45.458333333335759</c:v>
                      </c:pt>
                      <c:pt idx="6547">
                        <c:v>45.465277777781012</c:v>
                      </c:pt>
                      <c:pt idx="6548">
                        <c:v>45.472222222218988</c:v>
                      </c:pt>
                      <c:pt idx="6549">
                        <c:v>45.479166666664241</c:v>
                      </c:pt>
                      <c:pt idx="6550">
                        <c:v>45.486111111109494</c:v>
                      </c:pt>
                      <c:pt idx="6551">
                        <c:v>45.493055555554747</c:v>
                      </c:pt>
                      <c:pt idx="6552">
                        <c:v>45.5</c:v>
                      </c:pt>
                      <c:pt idx="6553">
                        <c:v>45.506944444445253</c:v>
                      </c:pt>
                      <c:pt idx="6554">
                        <c:v>45.513888888890506</c:v>
                      </c:pt>
                      <c:pt idx="6555">
                        <c:v>45.520833333335759</c:v>
                      </c:pt>
                      <c:pt idx="6556">
                        <c:v>45.527777777781012</c:v>
                      </c:pt>
                      <c:pt idx="6557">
                        <c:v>45.534722222218988</c:v>
                      </c:pt>
                      <c:pt idx="6558">
                        <c:v>45.541666666664241</c:v>
                      </c:pt>
                      <c:pt idx="6559">
                        <c:v>45.548611111109494</c:v>
                      </c:pt>
                      <c:pt idx="6560">
                        <c:v>45.555555555554747</c:v>
                      </c:pt>
                      <c:pt idx="6561">
                        <c:v>45.5625</c:v>
                      </c:pt>
                      <c:pt idx="6562">
                        <c:v>45.569444444445253</c:v>
                      </c:pt>
                      <c:pt idx="6563">
                        <c:v>45.576388888890506</c:v>
                      </c:pt>
                      <c:pt idx="6564">
                        <c:v>45.583333333335759</c:v>
                      </c:pt>
                      <c:pt idx="6565">
                        <c:v>45.590277777781012</c:v>
                      </c:pt>
                      <c:pt idx="6566">
                        <c:v>45.597222222218988</c:v>
                      </c:pt>
                      <c:pt idx="6567">
                        <c:v>45.604166666664241</c:v>
                      </c:pt>
                      <c:pt idx="6568">
                        <c:v>45.611111111109494</c:v>
                      </c:pt>
                      <c:pt idx="6569">
                        <c:v>45.618055555554747</c:v>
                      </c:pt>
                      <c:pt idx="6570">
                        <c:v>45.625</c:v>
                      </c:pt>
                      <c:pt idx="6571">
                        <c:v>45.631944444445253</c:v>
                      </c:pt>
                      <c:pt idx="6572">
                        <c:v>45.638888888890506</c:v>
                      </c:pt>
                      <c:pt idx="6573">
                        <c:v>45.645833333335759</c:v>
                      </c:pt>
                      <c:pt idx="6574">
                        <c:v>45.652777777781012</c:v>
                      </c:pt>
                      <c:pt idx="6575">
                        <c:v>45.659722222218988</c:v>
                      </c:pt>
                      <c:pt idx="6576">
                        <c:v>45.666666666664241</c:v>
                      </c:pt>
                      <c:pt idx="6577">
                        <c:v>45.673611111109494</c:v>
                      </c:pt>
                      <c:pt idx="6578">
                        <c:v>45.680555555554747</c:v>
                      </c:pt>
                      <c:pt idx="6579">
                        <c:v>45.6875</c:v>
                      </c:pt>
                      <c:pt idx="6580">
                        <c:v>45.694444444445253</c:v>
                      </c:pt>
                      <c:pt idx="6581">
                        <c:v>45.701388888890506</c:v>
                      </c:pt>
                      <c:pt idx="6582">
                        <c:v>45.708333333335759</c:v>
                      </c:pt>
                      <c:pt idx="6583">
                        <c:v>45.715277777781012</c:v>
                      </c:pt>
                      <c:pt idx="6584">
                        <c:v>45.722222222218988</c:v>
                      </c:pt>
                      <c:pt idx="6585">
                        <c:v>45.729166666664241</c:v>
                      </c:pt>
                      <c:pt idx="6586">
                        <c:v>45.736111111109494</c:v>
                      </c:pt>
                      <c:pt idx="6587">
                        <c:v>45.743055555554747</c:v>
                      </c:pt>
                      <c:pt idx="6588">
                        <c:v>45.75</c:v>
                      </c:pt>
                      <c:pt idx="6589">
                        <c:v>45.756944444445253</c:v>
                      </c:pt>
                      <c:pt idx="6590">
                        <c:v>45.763888888890506</c:v>
                      </c:pt>
                      <c:pt idx="6591">
                        <c:v>45.770833333335759</c:v>
                      </c:pt>
                      <c:pt idx="6592">
                        <c:v>45.777777777781012</c:v>
                      </c:pt>
                      <c:pt idx="6593">
                        <c:v>45.784722222218988</c:v>
                      </c:pt>
                      <c:pt idx="6594">
                        <c:v>45.791666666664241</c:v>
                      </c:pt>
                      <c:pt idx="6595">
                        <c:v>45.798611111109494</c:v>
                      </c:pt>
                      <c:pt idx="6596">
                        <c:v>45.805555555554747</c:v>
                      </c:pt>
                      <c:pt idx="6597">
                        <c:v>45.8125</c:v>
                      </c:pt>
                      <c:pt idx="6598">
                        <c:v>45.819444444445253</c:v>
                      </c:pt>
                      <c:pt idx="6599">
                        <c:v>45.826388888890506</c:v>
                      </c:pt>
                      <c:pt idx="6600">
                        <c:v>45.833333333335759</c:v>
                      </c:pt>
                      <c:pt idx="6601">
                        <c:v>45.840277777781012</c:v>
                      </c:pt>
                      <c:pt idx="6602">
                        <c:v>45.847222222218988</c:v>
                      </c:pt>
                      <c:pt idx="6603">
                        <c:v>45.854166666664241</c:v>
                      </c:pt>
                      <c:pt idx="6604">
                        <c:v>45.861111111109494</c:v>
                      </c:pt>
                      <c:pt idx="6605">
                        <c:v>45.868055555554747</c:v>
                      </c:pt>
                      <c:pt idx="6606">
                        <c:v>45.875</c:v>
                      </c:pt>
                      <c:pt idx="6607">
                        <c:v>45.881944444445253</c:v>
                      </c:pt>
                      <c:pt idx="6608">
                        <c:v>45.888888888890506</c:v>
                      </c:pt>
                      <c:pt idx="6609">
                        <c:v>45.895833333335759</c:v>
                      </c:pt>
                      <c:pt idx="6610">
                        <c:v>45.902777777781012</c:v>
                      </c:pt>
                      <c:pt idx="6611">
                        <c:v>45.909722222218988</c:v>
                      </c:pt>
                      <c:pt idx="6612">
                        <c:v>45.916666666664241</c:v>
                      </c:pt>
                      <c:pt idx="6613">
                        <c:v>45.923611111109494</c:v>
                      </c:pt>
                      <c:pt idx="6614">
                        <c:v>45.930555555554747</c:v>
                      </c:pt>
                      <c:pt idx="6615">
                        <c:v>45.9375</c:v>
                      </c:pt>
                      <c:pt idx="6616">
                        <c:v>45.944444444445253</c:v>
                      </c:pt>
                      <c:pt idx="6617">
                        <c:v>45.951388888890506</c:v>
                      </c:pt>
                      <c:pt idx="6618">
                        <c:v>45.958333333335759</c:v>
                      </c:pt>
                      <c:pt idx="6619">
                        <c:v>45.965277777781012</c:v>
                      </c:pt>
                      <c:pt idx="6620">
                        <c:v>45.972222222218988</c:v>
                      </c:pt>
                      <c:pt idx="6621">
                        <c:v>45.979166666664241</c:v>
                      </c:pt>
                      <c:pt idx="6622">
                        <c:v>45.986111111109494</c:v>
                      </c:pt>
                      <c:pt idx="6623">
                        <c:v>45.993055555554747</c:v>
                      </c:pt>
                      <c:pt idx="6624">
                        <c:v>46</c:v>
                      </c:pt>
                      <c:pt idx="6625">
                        <c:v>46.006944444445253</c:v>
                      </c:pt>
                      <c:pt idx="6626">
                        <c:v>46.013888888890506</c:v>
                      </c:pt>
                      <c:pt idx="6627">
                        <c:v>46.020833333335759</c:v>
                      </c:pt>
                      <c:pt idx="6628">
                        <c:v>46.027777777781012</c:v>
                      </c:pt>
                      <c:pt idx="6629">
                        <c:v>46.034722222218988</c:v>
                      </c:pt>
                      <c:pt idx="6630">
                        <c:v>46.041666666664241</c:v>
                      </c:pt>
                      <c:pt idx="6631">
                        <c:v>46.048611111109494</c:v>
                      </c:pt>
                      <c:pt idx="6632">
                        <c:v>46.055555555554747</c:v>
                      </c:pt>
                      <c:pt idx="6633">
                        <c:v>46.0625</c:v>
                      </c:pt>
                      <c:pt idx="6634">
                        <c:v>46.069444444445253</c:v>
                      </c:pt>
                      <c:pt idx="6635">
                        <c:v>46.076388888890506</c:v>
                      </c:pt>
                      <c:pt idx="6636">
                        <c:v>46.083333333335759</c:v>
                      </c:pt>
                      <c:pt idx="6637">
                        <c:v>46.090277777781012</c:v>
                      </c:pt>
                      <c:pt idx="6638">
                        <c:v>46.097222222218988</c:v>
                      </c:pt>
                      <c:pt idx="6639">
                        <c:v>46.104166666664241</c:v>
                      </c:pt>
                      <c:pt idx="6640">
                        <c:v>46.111111111109494</c:v>
                      </c:pt>
                      <c:pt idx="6641">
                        <c:v>46.118055555554747</c:v>
                      </c:pt>
                      <c:pt idx="6642">
                        <c:v>46.125</c:v>
                      </c:pt>
                      <c:pt idx="6643">
                        <c:v>46.131944444445253</c:v>
                      </c:pt>
                      <c:pt idx="6644">
                        <c:v>46.138888888890506</c:v>
                      </c:pt>
                      <c:pt idx="6645">
                        <c:v>46.145833333335759</c:v>
                      </c:pt>
                      <c:pt idx="6646">
                        <c:v>46.152777777781012</c:v>
                      </c:pt>
                      <c:pt idx="6647">
                        <c:v>46.159722222218988</c:v>
                      </c:pt>
                      <c:pt idx="6648">
                        <c:v>46.166666666664241</c:v>
                      </c:pt>
                      <c:pt idx="6649">
                        <c:v>46.173611111109494</c:v>
                      </c:pt>
                      <c:pt idx="6650">
                        <c:v>46.180555555554747</c:v>
                      </c:pt>
                      <c:pt idx="6651">
                        <c:v>46.1875</c:v>
                      </c:pt>
                      <c:pt idx="6652">
                        <c:v>46.194444444445253</c:v>
                      </c:pt>
                      <c:pt idx="6653">
                        <c:v>46.201388888890506</c:v>
                      </c:pt>
                      <c:pt idx="6654">
                        <c:v>46.208333333335759</c:v>
                      </c:pt>
                      <c:pt idx="6655">
                        <c:v>46.215277777781012</c:v>
                      </c:pt>
                      <c:pt idx="6656">
                        <c:v>46.222222222218988</c:v>
                      </c:pt>
                      <c:pt idx="6657">
                        <c:v>46.229166666664241</c:v>
                      </c:pt>
                      <c:pt idx="6658">
                        <c:v>46.236111111109494</c:v>
                      </c:pt>
                      <c:pt idx="6659">
                        <c:v>46.243055555554747</c:v>
                      </c:pt>
                      <c:pt idx="6660">
                        <c:v>46.25</c:v>
                      </c:pt>
                      <c:pt idx="6661">
                        <c:v>46.256944444445253</c:v>
                      </c:pt>
                      <c:pt idx="6662">
                        <c:v>46.263888888890506</c:v>
                      </c:pt>
                      <c:pt idx="6663">
                        <c:v>46.270833333335759</c:v>
                      </c:pt>
                      <c:pt idx="6664">
                        <c:v>46.277777777781012</c:v>
                      </c:pt>
                      <c:pt idx="6665">
                        <c:v>46.284722222218988</c:v>
                      </c:pt>
                      <c:pt idx="6666">
                        <c:v>46.291666666664241</c:v>
                      </c:pt>
                      <c:pt idx="6667">
                        <c:v>46.298611111109494</c:v>
                      </c:pt>
                      <c:pt idx="6668">
                        <c:v>46.305555555554747</c:v>
                      </c:pt>
                      <c:pt idx="6669">
                        <c:v>46.3125</c:v>
                      </c:pt>
                      <c:pt idx="6670">
                        <c:v>46.319444444445253</c:v>
                      </c:pt>
                      <c:pt idx="6671">
                        <c:v>46.326388888890506</c:v>
                      </c:pt>
                      <c:pt idx="6672">
                        <c:v>46.333333333335759</c:v>
                      </c:pt>
                      <c:pt idx="6673">
                        <c:v>46.340277777781012</c:v>
                      </c:pt>
                      <c:pt idx="6674">
                        <c:v>46.347222222218988</c:v>
                      </c:pt>
                      <c:pt idx="6675">
                        <c:v>46.354166666664241</c:v>
                      </c:pt>
                      <c:pt idx="6676">
                        <c:v>46.361111111109494</c:v>
                      </c:pt>
                      <c:pt idx="6677">
                        <c:v>46.368055555554747</c:v>
                      </c:pt>
                      <c:pt idx="6678">
                        <c:v>46.375</c:v>
                      </c:pt>
                      <c:pt idx="6679">
                        <c:v>46.381944444445253</c:v>
                      </c:pt>
                      <c:pt idx="6680">
                        <c:v>46.388888888890506</c:v>
                      </c:pt>
                      <c:pt idx="6681">
                        <c:v>46.395833333335759</c:v>
                      </c:pt>
                      <c:pt idx="6682">
                        <c:v>46.402777777781012</c:v>
                      </c:pt>
                      <c:pt idx="6683">
                        <c:v>46.409722222218988</c:v>
                      </c:pt>
                      <c:pt idx="6684">
                        <c:v>46.416666666664241</c:v>
                      </c:pt>
                      <c:pt idx="6685">
                        <c:v>46.423611111109494</c:v>
                      </c:pt>
                      <c:pt idx="6686">
                        <c:v>46.430555555554747</c:v>
                      </c:pt>
                      <c:pt idx="6687">
                        <c:v>46.4375</c:v>
                      </c:pt>
                      <c:pt idx="6688">
                        <c:v>46.444444444445253</c:v>
                      </c:pt>
                      <c:pt idx="6689">
                        <c:v>46.451388888890506</c:v>
                      </c:pt>
                      <c:pt idx="6690">
                        <c:v>46.458333333335759</c:v>
                      </c:pt>
                      <c:pt idx="6691">
                        <c:v>46.465277777781012</c:v>
                      </c:pt>
                      <c:pt idx="6692">
                        <c:v>46.472222222218988</c:v>
                      </c:pt>
                      <c:pt idx="6693">
                        <c:v>46.479166666664241</c:v>
                      </c:pt>
                      <c:pt idx="6694">
                        <c:v>46.486111111109494</c:v>
                      </c:pt>
                      <c:pt idx="6695">
                        <c:v>46.493055555554747</c:v>
                      </c:pt>
                      <c:pt idx="6696">
                        <c:v>46.5</c:v>
                      </c:pt>
                      <c:pt idx="6697">
                        <c:v>46.506944444445253</c:v>
                      </c:pt>
                      <c:pt idx="6698">
                        <c:v>46.513888888890506</c:v>
                      </c:pt>
                      <c:pt idx="6699">
                        <c:v>46.520833333335759</c:v>
                      </c:pt>
                      <c:pt idx="6700">
                        <c:v>46.527777777781012</c:v>
                      </c:pt>
                      <c:pt idx="6701">
                        <c:v>46.534722222218988</c:v>
                      </c:pt>
                      <c:pt idx="6702">
                        <c:v>46.541666666664241</c:v>
                      </c:pt>
                      <c:pt idx="6703">
                        <c:v>46.548611111109494</c:v>
                      </c:pt>
                      <c:pt idx="6704">
                        <c:v>46.555555555554747</c:v>
                      </c:pt>
                      <c:pt idx="6705">
                        <c:v>46.5625</c:v>
                      </c:pt>
                      <c:pt idx="6706">
                        <c:v>46.569444444445253</c:v>
                      </c:pt>
                      <c:pt idx="6707">
                        <c:v>46.576388888890506</c:v>
                      </c:pt>
                      <c:pt idx="6708">
                        <c:v>46.583333333335759</c:v>
                      </c:pt>
                      <c:pt idx="6709">
                        <c:v>46.590277777781012</c:v>
                      </c:pt>
                      <c:pt idx="6710">
                        <c:v>46.597222222218988</c:v>
                      </c:pt>
                      <c:pt idx="6711">
                        <c:v>46.604166666664241</c:v>
                      </c:pt>
                      <c:pt idx="6712">
                        <c:v>46.611111111109494</c:v>
                      </c:pt>
                      <c:pt idx="6713">
                        <c:v>46.618055555554747</c:v>
                      </c:pt>
                      <c:pt idx="6714">
                        <c:v>46.625</c:v>
                      </c:pt>
                      <c:pt idx="6715">
                        <c:v>46.631944444445253</c:v>
                      </c:pt>
                      <c:pt idx="6716">
                        <c:v>46.638888888890506</c:v>
                      </c:pt>
                      <c:pt idx="6717">
                        <c:v>46.645833333335759</c:v>
                      </c:pt>
                      <c:pt idx="6718">
                        <c:v>46.652777777781012</c:v>
                      </c:pt>
                      <c:pt idx="6719">
                        <c:v>46.659722222218988</c:v>
                      </c:pt>
                      <c:pt idx="6720">
                        <c:v>46.666666666664241</c:v>
                      </c:pt>
                      <c:pt idx="6721">
                        <c:v>46.673611111109494</c:v>
                      </c:pt>
                      <c:pt idx="6722">
                        <c:v>46.680555555554747</c:v>
                      </c:pt>
                      <c:pt idx="6723">
                        <c:v>46.6875</c:v>
                      </c:pt>
                      <c:pt idx="6724">
                        <c:v>46.694444444445253</c:v>
                      </c:pt>
                      <c:pt idx="6725">
                        <c:v>46.701388888890506</c:v>
                      </c:pt>
                      <c:pt idx="6726">
                        <c:v>46.708333333335759</c:v>
                      </c:pt>
                      <c:pt idx="6727">
                        <c:v>46.715277777781012</c:v>
                      </c:pt>
                      <c:pt idx="6728">
                        <c:v>46.722222222218988</c:v>
                      </c:pt>
                      <c:pt idx="6729">
                        <c:v>46.729166666664241</c:v>
                      </c:pt>
                      <c:pt idx="6730">
                        <c:v>46.736111111109494</c:v>
                      </c:pt>
                      <c:pt idx="6731">
                        <c:v>46.743055555554747</c:v>
                      </c:pt>
                      <c:pt idx="6732">
                        <c:v>46.75</c:v>
                      </c:pt>
                      <c:pt idx="6733">
                        <c:v>46.756944444445253</c:v>
                      </c:pt>
                      <c:pt idx="6734">
                        <c:v>46.763888888890506</c:v>
                      </c:pt>
                      <c:pt idx="6735">
                        <c:v>46.770833333335759</c:v>
                      </c:pt>
                      <c:pt idx="6736">
                        <c:v>46.777777777781012</c:v>
                      </c:pt>
                      <c:pt idx="6737">
                        <c:v>46.784722222218988</c:v>
                      </c:pt>
                      <c:pt idx="6738">
                        <c:v>46.791666666664241</c:v>
                      </c:pt>
                      <c:pt idx="6739">
                        <c:v>46.798611111109494</c:v>
                      </c:pt>
                      <c:pt idx="6740">
                        <c:v>46.805555555554747</c:v>
                      </c:pt>
                      <c:pt idx="6741">
                        <c:v>46.8125</c:v>
                      </c:pt>
                      <c:pt idx="6742">
                        <c:v>46.819444444445253</c:v>
                      </c:pt>
                      <c:pt idx="6743">
                        <c:v>46.826388888890506</c:v>
                      </c:pt>
                      <c:pt idx="6744">
                        <c:v>46.833333333335759</c:v>
                      </c:pt>
                      <c:pt idx="6745">
                        <c:v>46.840277777781012</c:v>
                      </c:pt>
                      <c:pt idx="6746">
                        <c:v>46.847222222218988</c:v>
                      </c:pt>
                      <c:pt idx="6747">
                        <c:v>46.854166666664241</c:v>
                      </c:pt>
                      <c:pt idx="6748">
                        <c:v>46.861111111109494</c:v>
                      </c:pt>
                      <c:pt idx="6749">
                        <c:v>46.868055555554747</c:v>
                      </c:pt>
                      <c:pt idx="6750">
                        <c:v>46.875</c:v>
                      </c:pt>
                      <c:pt idx="6751">
                        <c:v>46.881944444445253</c:v>
                      </c:pt>
                      <c:pt idx="6752">
                        <c:v>46.888888888890506</c:v>
                      </c:pt>
                      <c:pt idx="6753">
                        <c:v>46.895833333335759</c:v>
                      </c:pt>
                      <c:pt idx="6754">
                        <c:v>46.902777777781012</c:v>
                      </c:pt>
                      <c:pt idx="6755">
                        <c:v>46.909722222218988</c:v>
                      </c:pt>
                      <c:pt idx="6756">
                        <c:v>46.916666666664241</c:v>
                      </c:pt>
                      <c:pt idx="6757">
                        <c:v>46.923611111109494</c:v>
                      </c:pt>
                      <c:pt idx="6758">
                        <c:v>46.930555555554747</c:v>
                      </c:pt>
                      <c:pt idx="6759">
                        <c:v>46.9375</c:v>
                      </c:pt>
                      <c:pt idx="6760">
                        <c:v>46.944444444445253</c:v>
                      </c:pt>
                      <c:pt idx="6761">
                        <c:v>46.951388888890506</c:v>
                      </c:pt>
                      <c:pt idx="6762">
                        <c:v>46.958333333335759</c:v>
                      </c:pt>
                      <c:pt idx="6763">
                        <c:v>46.965277777781012</c:v>
                      </c:pt>
                      <c:pt idx="6764">
                        <c:v>46.972222222218988</c:v>
                      </c:pt>
                      <c:pt idx="6765">
                        <c:v>46.979166666664241</c:v>
                      </c:pt>
                      <c:pt idx="6766">
                        <c:v>46.986111111109494</c:v>
                      </c:pt>
                      <c:pt idx="6767">
                        <c:v>46.993055555554747</c:v>
                      </c:pt>
                      <c:pt idx="6768">
                        <c:v>47</c:v>
                      </c:pt>
                      <c:pt idx="6769">
                        <c:v>47.006944444445253</c:v>
                      </c:pt>
                      <c:pt idx="6770">
                        <c:v>47.013888888890506</c:v>
                      </c:pt>
                      <c:pt idx="6771">
                        <c:v>47.020833333335759</c:v>
                      </c:pt>
                      <c:pt idx="6772">
                        <c:v>47.027777777781012</c:v>
                      </c:pt>
                      <c:pt idx="6773">
                        <c:v>47.034722222218988</c:v>
                      </c:pt>
                      <c:pt idx="6774">
                        <c:v>47.041666666664241</c:v>
                      </c:pt>
                      <c:pt idx="6775">
                        <c:v>47.048611111109494</c:v>
                      </c:pt>
                      <c:pt idx="6776">
                        <c:v>47.055555555554747</c:v>
                      </c:pt>
                      <c:pt idx="6777">
                        <c:v>47.0625</c:v>
                      </c:pt>
                      <c:pt idx="6778">
                        <c:v>47.069444444445253</c:v>
                      </c:pt>
                      <c:pt idx="6779">
                        <c:v>47.076388888890506</c:v>
                      </c:pt>
                      <c:pt idx="6780">
                        <c:v>47.083333333335759</c:v>
                      </c:pt>
                      <c:pt idx="6781">
                        <c:v>47.090277777781012</c:v>
                      </c:pt>
                      <c:pt idx="6782">
                        <c:v>47.097222222218988</c:v>
                      </c:pt>
                      <c:pt idx="6783">
                        <c:v>47.104166666664241</c:v>
                      </c:pt>
                      <c:pt idx="6784">
                        <c:v>47.111111111109494</c:v>
                      </c:pt>
                      <c:pt idx="6785">
                        <c:v>47.118055555554747</c:v>
                      </c:pt>
                      <c:pt idx="6786">
                        <c:v>47.125</c:v>
                      </c:pt>
                      <c:pt idx="6787">
                        <c:v>47.131944444445253</c:v>
                      </c:pt>
                      <c:pt idx="6788">
                        <c:v>47.138888888890506</c:v>
                      </c:pt>
                      <c:pt idx="6789">
                        <c:v>47.145833333335759</c:v>
                      </c:pt>
                      <c:pt idx="6790">
                        <c:v>47.152777777781012</c:v>
                      </c:pt>
                      <c:pt idx="6791">
                        <c:v>47.159722222218988</c:v>
                      </c:pt>
                      <c:pt idx="6792">
                        <c:v>47.166666666664241</c:v>
                      </c:pt>
                      <c:pt idx="6793">
                        <c:v>47.173611111109494</c:v>
                      </c:pt>
                      <c:pt idx="6794">
                        <c:v>47.180555555554747</c:v>
                      </c:pt>
                      <c:pt idx="6795">
                        <c:v>47.1875</c:v>
                      </c:pt>
                      <c:pt idx="6796">
                        <c:v>47.194444444445253</c:v>
                      </c:pt>
                      <c:pt idx="6797">
                        <c:v>47.201388888890506</c:v>
                      </c:pt>
                      <c:pt idx="6798">
                        <c:v>47.208333333335759</c:v>
                      </c:pt>
                      <c:pt idx="6799">
                        <c:v>47.215277777781012</c:v>
                      </c:pt>
                      <c:pt idx="6800">
                        <c:v>47.222222222218988</c:v>
                      </c:pt>
                      <c:pt idx="6801">
                        <c:v>47.229166666664241</c:v>
                      </c:pt>
                      <c:pt idx="6802">
                        <c:v>47.236111111109494</c:v>
                      </c:pt>
                      <c:pt idx="6803">
                        <c:v>47.243055555554747</c:v>
                      </c:pt>
                      <c:pt idx="6804">
                        <c:v>47.25</c:v>
                      </c:pt>
                      <c:pt idx="6805">
                        <c:v>47.256944444445253</c:v>
                      </c:pt>
                      <c:pt idx="6806">
                        <c:v>47.263888888890506</c:v>
                      </c:pt>
                      <c:pt idx="6807">
                        <c:v>47.270833333335759</c:v>
                      </c:pt>
                      <c:pt idx="6808">
                        <c:v>47.277777777781012</c:v>
                      </c:pt>
                      <c:pt idx="6809">
                        <c:v>47.284722222218988</c:v>
                      </c:pt>
                      <c:pt idx="6810">
                        <c:v>47.291666666664241</c:v>
                      </c:pt>
                      <c:pt idx="6811">
                        <c:v>47.298611111109494</c:v>
                      </c:pt>
                      <c:pt idx="6812">
                        <c:v>47.305555555554747</c:v>
                      </c:pt>
                      <c:pt idx="6813">
                        <c:v>47.3125</c:v>
                      </c:pt>
                      <c:pt idx="6814">
                        <c:v>47.319444444445253</c:v>
                      </c:pt>
                      <c:pt idx="6815">
                        <c:v>47.326388888890506</c:v>
                      </c:pt>
                      <c:pt idx="6816">
                        <c:v>47.333333333335759</c:v>
                      </c:pt>
                      <c:pt idx="6817">
                        <c:v>47.340277777781012</c:v>
                      </c:pt>
                      <c:pt idx="6818">
                        <c:v>47.347222222218988</c:v>
                      </c:pt>
                      <c:pt idx="6819">
                        <c:v>47.354166666664241</c:v>
                      </c:pt>
                      <c:pt idx="6820">
                        <c:v>47.361111111109494</c:v>
                      </c:pt>
                      <c:pt idx="6821">
                        <c:v>47.368055555554747</c:v>
                      </c:pt>
                      <c:pt idx="6822">
                        <c:v>47.375</c:v>
                      </c:pt>
                      <c:pt idx="6823">
                        <c:v>47.381944444445253</c:v>
                      </c:pt>
                      <c:pt idx="6824">
                        <c:v>47.388888888890506</c:v>
                      </c:pt>
                      <c:pt idx="6825">
                        <c:v>47.395833333335759</c:v>
                      </c:pt>
                      <c:pt idx="6826">
                        <c:v>47.402777777781012</c:v>
                      </c:pt>
                      <c:pt idx="6827">
                        <c:v>47.409722222218988</c:v>
                      </c:pt>
                      <c:pt idx="6828">
                        <c:v>47.416666666664241</c:v>
                      </c:pt>
                      <c:pt idx="6829">
                        <c:v>47.423611111109494</c:v>
                      </c:pt>
                      <c:pt idx="6830">
                        <c:v>47.430555555554747</c:v>
                      </c:pt>
                      <c:pt idx="6831">
                        <c:v>47.4375</c:v>
                      </c:pt>
                      <c:pt idx="6832">
                        <c:v>47.444444444445253</c:v>
                      </c:pt>
                      <c:pt idx="6833">
                        <c:v>47.451388888890506</c:v>
                      </c:pt>
                      <c:pt idx="6834">
                        <c:v>47.458333333335759</c:v>
                      </c:pt>
                      <c:pt idx="6835">
                        <c:v>47.465277777781012</c:v>
                      </c:pt>
                      <c:pt idx="6836">
                        <c:v>47.472222222218988</c:v>
                      </c:pt>
                      <c:pt idx="6837">
                        <c:v>47.479166666664241</c:v>
                      </c:pt>
                      <c:pt idx="6838">
                        <c:v>47.486111111109494</c:v>
                      </c:pt>
                      <c:pt idx="6839">
                        <c:v>47.493055555554747</c:v>
                      </c:pt>
                      <c:pt idx="6840">
                        <c:v>47.5</c:v>
                      </c:pt>
                      <c:pt idx="6841">
                        <c:v>47.506944444445253</c:v>
                      </c:pt>
                      <c:pt idx="6842">
                        <c:v>47.513888888890506</c:v>
                      </c:pt>
                      <c:pt idx="6843">
                        <c:v>47.520833333335759</c:v>
                      </c:pt>
                      <c:pt idx="6844">
                        <c:v>47.527777777781012</c:v>
                      </c:pt>
                      <c:pt idx="6845">
                        <c:v>47.534722222218988</c:v>
                      </c:pt>
                      <c:pt idx="6846">
                        <c:v>47.541666666664241</c:v>
                      </c:pt>
                      <c:pt idx="6847">
                        <c:v>47.548611111109494</c:v>
                      </c:pt>
                      <c:pt idx="6848">
                        <c:v>47.555555555554747</c:v>
                      </c:pt>
                      <c:pt idx="6849">
                        <c:v>47.5625</c:v>
                      </c:pt>
                      <c:pt idx="6850">
                        <c:v>47.569444444445253</c:v>
                      </c:pt>
                      <c:pt idx="6851">
                        <c:v>47.576388888890506</c:v>
                      </c:pt>
                      <c:pt idx="6852">
                        <c:v>47.583333333335759</c:v>
                      </c:pt>
                      <c:pt idx="6853">
                        <c:v>47.590277777781012</c:v>
                      </c:pt>
                      <c:pt idx="6854">
                        <c:v>47.597222222218988</c:v>
                      </c:pt>
                      <c:pt idx="6855">
                        <c:v>47.604166666664241</c:v>
                      </c:pt>
                      <c:pt idx="6856">
                        <c:v>47.611111111109494</c:v>
                      </c:pt>
                      <c:pt idx="6857">
                        <c:v>47.618055555554747</c:v>
                      </c:pt>
                      <c:pt idx="6858">
                        <c:v>47.625</c:v>
                      </c:pt>
                      <c:pt idx="6859">
                        <c:v>47.631944444445253</c:v>
                      </c:pt>
                      <c:pt idx="6860">
                        <c:v>47.638888888890506</c:v>
                      </c:pt>
                      <c:pt idx="6861">
                        <c:v>47.645833333335759</c:v>
                      </c:pt>
                      <c:pt idx="6862">
                        <c:v>47.652777777781012</c:v>
                      </c:pt>
                      <c:pt idx="6863">
                        <c:v>47.659722222218988</c:v>
                      </c:pt>
                      <c:pt idx="6864">
                        <c:v>47.666666666664241</c:v>
                      </c:pt>
                      <c:pt idx="6865">
                        <c:v>47.673611111109494</c:v>
                      </c:pt>
                      <c:pt idx="6866">
                        <c:v>47.680555555554747</c:v>
                      </c:pt>
                      <c:pt idx="6867">
                        <c:v>47.6875</c:v>
                      </c:pt>
                      <c:pt idx="6868">
                        <c:v>47.694444444445253</c:v>
                      </c:pt>
                      <c:pt idx="6869">
                        <c:v>47.701388888890506</c:v>
                      </c:pt>
                      <c:pt idx="6870">
                        <c:v>47.708333333335759</c:v>
                      </c:pt>
                      <c:pt idx="6871">
                        <c:v>47.715277777781012</c:v>
                      </c:pt>
                      <c:pt idx="6872">
                        <c:v>47.722222222218988</c:v>
                      </c:pt>
                      <c:pt idx="6873">
                        <c:v>47.729166666664241</c:v>
                      </c:pt>
                      <c:pt idx="6874">
                        <c:v>47.736111111109494</c:v>
                      </c:pt>
                      <c:pt idx="6875">
                        <c:v>47.743055555554747</c:v>
                      </c:pt>
                      <c:pt idx="6876">
                        <c:v>47.75</c:v>
                      </c:pt>
                      <c:pt idx="6877">
                        <c:v>47.756944444445253</c:v>
                      </c:pt>
                      <c:pt idx="6878">
                        <c:v>47.763888888890506</c:v>
                      </c:pt>
                      <c:pt idx="6879">
                        <c:v>47.770833333335759</c:v>
                      </c:pt>
                      <c:pt idx="6880">
                        <c:v>47.777777777781012</c:v>
                      </c:pt>
                      <c:pt idx="6881">
                        <c:v>47.784722222218988</c:v>
                      </c:pt>
                      <c:pt idx="6882">
                        <c:v>47.791666666664241</c:v>
                      </c:pt>
                      <c:pt idx="6883">
                        <c:v>47.798611111109494</c:v>
                      </c:pt>
                      <c:pt idx="6884">
                        <c:v>47.805555555554747</c:v>
                      </c:pt>
                      <c:pt idx="6885">
                        <c:v>47.8125</c:v>
                      </c:pt>
                      <c:pt idx="6886">
                        <c:v>47.819444444445253</c:v>
                      </c:pt>
                      <c:pt idx="6887">
                        <c:v>47.826388888890506</c:v>
                      </c:pt>
                      <c:pt idx="6888">
                        <c:v>47.833333333335759</c:v>
                      </c:pt>
                      <c:pt idx="6889">
                        <c:v>47.840277777781012</c:v>
                      </c:pt>
                      <c:pt idx="6890">
                        <c:v>47.847222222218988</c:v>
                      </c:pt>
                      <c:pt idx="6891">
                        <c:v>47.854166666664241</c:v>
                      </c:pt>
                      <c:pt idx="6892">
                        <c:v>47.861111111109494</c:v>
                      </c:pt>
                      <c:pt idx="6893">
                        <c:v>47.868055555554747</c:v>
                      </c:pt>
                      <c:pt idx="6894">
                        <c:v>47.875</c:v>
                      </c:pt>
                      <c:pt idx="6895">
                        <c:v>47.881944444445253</c:v>
                      </c:pt>
                      <c:pt idx="6896">
                        <c:v>47.888888888890506</c:v>
                      </c:pt>
                      <c:pt idx="6897">
                        <c:v>47.895833333335759</c:v>
                      </c:pt>
                      <c:pt idx="6898">
                        <c:v>47.902777777781012</c:v>
                      </c:pt>
                      <c:pt idx="6899">
                        <c:v>47.909722222218988</c:v>
                      </c:pt>
                      <c:pt idx="6900">
                        <c:v>47.916666666664241</c:v>
                      </c:pt>
                      <c:pt idx="6901">
                        <c:v>47.923611111109494</c:v>
                      </c:pt>
                      <c:pt idx="6902">
                        <c:v>47.930555555554747</c:v>
                      </c:pt>
                      <c:pt idx="6903">
                        <c:v>47.9375</c:v>
                      </c:pt>
                      <c:pt idx="6904">
                        <c:v>47.944444444445253</c:v>
                      </c:pt>
                      <c:pt idx="6905">
                        <c:v>47.951388888890506</c:v>
                      </c:pt>
                      <c:pt idx="6906">
                        <c:v>47.958333333335759</c:v>
                      </c:pt>
                      <c:pt idx="6907">
                        <c:v>47.965277777781012</c:v>
                      </c:pt>
                      <c:pt idx="6908">
                        <c:v>47.972222222218988</c:v>
                      </c:pt>
                      <c:pt idx="6909">
                        <c:v>47.979166666664241</c:v>
                      </c:pt>
                      <c:pt idx="6910">
                        <c:v>47.986111111109494</c:v>
                      </c:pt>
                      <c:pt idx="6911">
                        <c:v>47.993055555554747</c:v>
                      </c:pt>
                      <c:pt idx="6912">
                        <c:v>48</c:v>
                      </c:pt>
                      <c:pt idx="6913">
                        <c:v>48.006944444445253</c:v>
                      </c:pt>
                      <c:pt idx="6914">
                        <c:v>48.013888888890506</c:v>
                      </c:pt>
                      <c:pt idx="6915">
                        <c:v>48.020833333335759</c:v>
                      </c:pt>
                      <c:pt idx="6916">
                        <c:v>48.027777777781012</c:v>
                      </c:pt>
                      <c:pt idx="6917">
                        <c:v>48.034722222218988</c:v>
                      </c:pt>
                      <c:pt idx="6918">
                        <c:v>48.041666666664241</c:v>
                      </c:pt>
                      <c:pt idx="6919">
                        <c:v>48.048611111109494</c:v>
                      </c:pt>
                      <c:pt idx="6920">
                        <c:v>48.055555555554747</c:v>
                      </c:pt>
                      <c:pt idx="6921">
                        <c:v>48.0625</c:v>
                      </c:pt>
                      <c:pt idx="6922">
                        <c:v>48.069444444445253</c:v>
                      </c:pt>
                      <c:pt idx="6923">
                        <c:v>48.076388888890506</c:v>
                      </c:pt>
                      <c:pt idx="6924">
                        <c:v>48.083333333335759</c:v>
                      </c:pt>
                      <c:pt idx="6925">
                        <c:v>48.090277777781012</c:v>
                      </c:pt>
                      <c:pt idx="6926">
                        <c:v>48.097222222218988</c:v>
                      </c:pt>
                      <c:pt idx="6927">
                        <c:v>48.104166666664241</c:v>
                      </c:pt>
                      <c:pt idx="6928">
                        <c:v>48.111111111109494</c:v>
                      </c:pt>
                      <c:pt idx="6929">
                        <c:v>48.118055555554747</c:v>
                      </c:pt>
                      <c:pt idx="6930">
                        <c:v>48.125</c:v>
                      </c:pt>
                      <c:pt idx="6931">
                        <c:v>48.131944444445253</c:v>
                      </c:pt>
                      <c:pt idx="6932">
                        <c:v>48.138888888890506</c:v>
                      </c:pt>
                      <c:pt idx="6933">
                        <c:v>48.145833333335759</c:v>
                      </c:pt>
                      <c:pt idx="6934">
                        <c:v>48.152777777781012</c:v>
                      </c:pt>
                      <c:pt idx="6935">
                        <c:v>48.159722222218988</c:v>
                      </c:pt>
                      <c:pt idx="6936">
                        <c:v>48.166666666664241</c:v>
                      </c:pt>
                      <c:pt idx="6937">
                        <c:v>48.173611111109494</c:v>
                      </c:pt>
                      <c:pt idx="6938">
                        <c:v>48.180555555554747</c:v>
                      </c:pt>
                      <c:pt idx="6939">
                        <c:v>48.1875</c:v>
                      </c:pt>
                      <c:pt idx="6940">
                        <c:v>48.194444444445253</c:v>
                      </c:pt>
                      <c:pt idx="6941">
                        <c:v>48.201388888890506</c:v>
                      </c:pt>
                      <c:pt idx="6942">
                        <c:v>48.208333333335759</c:v>
                      </c:pt>
                      <c:pt idx="6943">
                        <c:v>48.215277777781012</c:v>
                      </c:pt>
                      <c:pt idx="6944">
                        <c:v>48.222222222218988</c:v>
                      </c:pt>
                      <c:pt idx="6945">
                        <c:v>48.229166666664241</c:v>
                      </c:pt>
                      <c:pt idx="6946">
                        <c:v>48.236111111109494</c:v>
                      </c:pt>
                      <c:pt idx="6947">
                        <c:v>48.243055555554747</c:v>
                      </c:pt>
                      <c:pt idx="6948">
                        <c:v>48.25</c:v>
                      </c:pt>
                      <c:pt idx="6949">
                        <c:v>48.256944444445253</c:v>
                      </c:pt>
                      <c:pt idx="6950">
                        <c:v>48.263888888890506</c:v>
                      </c:pt>
                      <c:pt idx="6951">
                        <c:v>48.270833333335759</c:v>
                      </c:pt>
                      <c:pt idx="6952">
                        <c:v>48.277777777781012</c:v>
                      </c:pt>
                      <c:pt idx="6953">
                        <c:v>48.284722222218988</c:v>
                      </c:pt>
                      <c:pt idx="6954">
                        <c:v>48.291666666664241</c:v>
                      </c:pt>
                      <c:pt idx="6955">
                        <c:v>48.298611111109494</c:v>
                      </c:pt>
                      <c:pt idx="6956">
                        <c:v>48.305555555554747</c:v>
                      </c:pt>
                      <c:pt idx="6957">
                        <c:v>48.3125</c:v>
                      </c:pt>
                      <c:pt idx="6958">
                        <c:v>48.319444444445253</c:v>
                      </c:pt>
                      <c:pt idx="6959">
                        <c:v>48.326388888890506</c:v>
                      </c:pt>
                      <c:pt idx="6960">
                        <c:v>48.333333333335759</c:v>
                      </c:pt>
                      <c:pt idx="6961">
                        <c:v>48.340277777781012</c:v>
                      </c:pt>
                      <c:pt idx="6962">
                        <c:v>48.347222222218988</c:v>
                      </c:pt>
                      <c:pt idx="6963">
                        <c:v>48.354166666664241</c:v>
                      </c:pt>
                      <c:pt idx="6964">
                        <c:v>48.361111111109494</c:v>
                      </c:pt>
                      <c:pt idx="6965">
                        <c:v>48.368055555554747</c:v>
                      </c:pt>
                      <c:pt idx="6966">
                        <c:v>48.375</c:v>
                      </c:pt>
                      <c:pt idx="6967">
                        <c:v>48.381944444445253</c:v>
                      </c:pt>
                      <c:pt idx="6968">
                        <c:v>48.388888888890506</c:v>
                      </c:pt>
                      <c:pt idx="6969">
                        <c:v>48.395833333335759</c:v>
                      </c:pt>
                      <c:pt idx="6970">
                        <c:v>48.402777777781012</c:v>
                      </c:pt>
                      <c:pt idx="6971">
                        <c:v>48.409722222218988</c:v>
                      </c:pt>
                      <c:pt idx="6972">
                        <c:v>48.416666666664241</c:v>
                      </c:pt>
                      <c:pt idx="6973">
                        <c:v>48.423611111109494</c:v>
                      </c:pt>
                      <c:pt idx="6974">
                        <c:v>48.430555555554747</c:v>
                      </c:pt>
                      <c:pt idx="6975">
                        <c:v>48.4375</c:v>
                      </c:pt>
                      <c:pt idx="6976">
                        <c:v>48.444444444445253</c:v>
                      </c:pt>
                      <c:pt idx="6977">
                        <c:v>48.451388888890506</c:v>
                      </c:pt>
                      <c:pt idx="6978">
                        <c:v>48.458333333335759</c:v>
                      </c:pt>
                      <c:pt idx="6979">
                        <c:v>48.465277777781012</c:v>
                      </c:pt>
                      <c:pt idx="6980">
                        <c:v>48.472222222218988</c:v>
                      </c:pt>
                      <c:pt idx="6981">
                        <c:v>48.479166666664241</c:v>
                      </c:pt>
                      <c:pt idx="6982">
                        <c:v>48.486111111109494</c:v>
                      </c:pt>
                      <c:pt idx="6983">
                        <c:v>48.493055555554747</c:v>
                      </c:pt>
                      <c:pt idx="6984">
                        <c:v>48.5</c:v>
                      </c:pt>
                      <c:pt idx="6985">
                        <c:v>48.506944444445253</c:v>
                      </c:pt>
                      <c:pt idx="6986">
                        <c:v>48.513888888890506</c:v>
                      </c:pt>
                      <c:pt idx="6987">
                        <c:v>48.520833333335759</c:v>
                      </c:pt>
                      <c:pt idx="6988">
                        <c:v>48.527777777781012</c:v>
                      </c:pt>
                      <c:pt idx="6989">
                        <c:v>48.534722222218988</c:v>
                      </c:pt>
                      <c:pt idx="6990">
                        <c:v>48.541666666664241</c:v>
                      </c:pt>
                      <c:pt idx="6991">
                        <c:v>48.548611111109494</c:v>
                      </c:pt>
                      <c:pt idx="6992">
                        <c:v>48.555555555554747</c:v>
                      </c:pt>
                      <c:pt idx="6993">
                        <c:v>48.5625</c:v>
                      </c:pt>
                      <c:pt idx="6994">
                        <c:v>48.569444444445253</c:v>
                      </c:pt>
                      <c:pt idx="6995">
                        <c:v>48.576388888890506</c:v>
                      </c:pt>
                      <c:pt idx="6996">
                        <c:v>48.583333333335759</c:v>
                      </c:pt>
                      <c:pt idx="6997">
                        <c:v>48.590277777781012</c:v>
                      </c:pt>
                      <c:pt idx="6998">
                        <c:v>48.597222222218988</c:v>
                      </c:pt>
                      <c:pt idx="6999">
                        <c:v>48.604166666664241</c:v>
                      </c:pt>
                      <c:pt idx="7000">
                        <c:v>48.611111111109494</c:v>
                      </c:pt>
                      <c:pt idx="7001">
                        <c:v>48.618055555554747</c:v>
                      </c:pt>
                      <c:pt idx="7002">
                        <c:v>48.625</c:v>
                      </c:pt>
                      <c:pt idx="7003">
                        <c:v>48.631944444445253</c:v>
                      </c:pt>
                      <c:pt idx="7004">
                        <c:v>48.638888888890506</c:v>
                      </c:pt>
                      <c:pt idx="7005">
                        <c:v>48.645833333335759</c:v>
                      </c:pt>
                      <c:pt idx="7006">
                        <c:v>48.652777777781012</c:v>
                      </c:pt>
                      <c:pt idx="7007">
                        <c:v>48.659722222218988</c:v>
                      </c:pt>
                      <c:pt idx="7008">
                        <c:v>48.666666666664241</c:v>
                      </c:pt>
                      <c:pt idx="7009">
                        <c:v>48.673611111109494</c:v>
                      </c:pt>
                      <c:pt idx="7010">
                        <c:v>48.680555555554747</c:v>
                      </c:pt>
                      <c:pt idx="7011">
                        <c:v>48.6875</c:v>
                      </c:pt>
                      <c:pt idx="7012">
                        <c:v>48.694444444445253</c:v>
                      </c:pt>
                      <c:pt idx="7013">
                        <c:v>48.701388888890506</c:v>
                      </c:pt>
                      <c:pt idx="7014">
                        <c:v>48.708333333335759</c:v>
                      </c:pt>
                      <c:pt idx="7015">
                        <c:v>48.715277777781012</c:v>
                      </c:pt>
                      <c:pt idx="7016">
                        <c:v>48.722222222218988</c:v>
                      </c:pt>
                      <c:pt idx="7017">
                        <c:v>48.729166666664241</c:v>
                      </c:pt>
                      <c:pt idx="7018">
                        <c:v>48.736111111109494</c:v>
                      </c:pt>
                      <c:pt idx="7019">
                        <c:v>48.743055555554747</c:v>
                      </c:pt>
                      <c:pt idx="7020">
                        <c:v>48.75</c:v>
                      </c:pt>
                      <c:pt idx="7021">
                        <c:v>48.756944444445253</c:v>
                      </c:pt>
                      <c:pt idx="7022">
                        <c:v>48.763888888890506</c:v>
                      </c:pt>
                      <c:pt idx="7023">
                        <c:v>48.770833333335759</c:v>
                      </c:pt>
                      <c:pt idx="7024">
                        <c:v>48.777777777781012</c:v>
                      </c:pt>
                      <c:pt idx="7025">
                        <c:v>48.784722222218988</c:v>
                      </c:pt>
                      <c:pt idx="7026">
                        <c:v>48.791666666664241</c:v>
                      </c:pt>
                      <c:pt idx="7027">
                        <c:v>48.798611111109494</c:v>
                      </c:pt>
                      <c:pt idx="7028">
                        <c:v>48.805555555554747</c:v>
                      </c:pt>
                      <c:pt idx="7029">
                        <c:v>48.8125</c:v>
                      </c:pt>
                      <c:pt idx="7030">
                        <c:v>48.819444444445253</c:v>
                      </c:pt>
                      <c:pt idx="7031">
                        <c:v>48.826388888890506</c:v>
                      </c:pt>
                      <c:pt idx="7032">
                        <c:v>48.833333333335759</c:v>
                      </c:pt>
                      <c:pt idx="7033">
                        <c:v>48.840277777781012</c:v>
                      </c:pt>
                      <c:pt idx="7034">
                        <c:v>48.847222222218988</c:v>
                      </c:pt>
                      <c:pt idx="7035">
                        <c:v>48.854166666664241</c:v>
                      </c:pt>
                      <c:pt idx="7036">
                        <c:v>48.861111111109494</c:v>
                      </c:pt>
                      <c:pt idx="7037">
                        <c:v>48.868055555554747</c:v>
                      </c:pt>
                      <c:pt idx="7038">
                        <c:v>48.875</c:v>
                      </c:pt>
                      <c:pt idx="7039">
                        <c:v>48.881944444445253</c:v>
                      </c:pt>
                      <c:pt idx="7040">
                        <c:v>48.888888888890506</c:v>
                      </c:pt>
                      <c:pt idx="7041">
                        <c:v>48.895833333335759</c:v>
                      </c:pt>
                      <c:pt idx="7042">
                        <c:v>48.902777777781012</c:v>
                      </c:pt>
                      <c:pt idx="7043">
                        <c:v>48.909722222218988</c:v>
                      </c:pt>
                      <c:pt idx="7044">
                        <c:v>48.916666666664241</c:v>
                      </c:pt>
                      <c:pt idx="7045">
                        <c:v>48.923611111109494</c:v>
                      </c:pt>
                      <c:pt idx="7046">
                        <c:v>48.930555555554747</c:v>
                      </c:pt>
                      <c:pt idx="7047">
                        <c:v>48.9375</c:v>
                      </c:pt>
                      <c:pt idx="7048">
                        <c:v>48.944444444445253</c:v>
                      </c:pt>
                      <c:pt idx="7049">
                        <c:v>48.951388888890506</c:v>
                      </c:pt>
                      <c:pt idx="7050">
                        <c:v>48.958333333335759</c:v>
                      </c:pt>
                      <c:pt idx="7051">
                        <c:v>48.965277777781012</c:v>
                      </c:pt>
                      <c:pt idx="7052">
                        <c:v>48.972222222218988</c:v>
                      </c:pt>
                      <c:pt idx="7053">
                        <c:v>48.979166666664241</c:v>
                      </c:pt>
                      <c:pt idx="7054">
                        <c:v>48.986111111109494</c:v>
                      </c:pt>
                      <c:pt idx="7055">
                        <c:v>48.993055555554747</c:v>
                      </c:pt>
                      <c:pt idx="7056">
                        <c:v>49</c:v>
                      </c:pt>
                      <c:pt idx="7057">
                        <c:v>49.006944444445253</c:v>
                      </c:pt>
                      <c:pt idx="7058">
                        <c:v>49.013888888890506</c:v>
                      </c:pt>
                      <c:pt idx="7059">
                        <c:v>49.020833333335759</c:v>
                      </c:pt>
                      <c:pt idx="7060">
                        <c:v>49.027777777781012</c:v>
                      </c:pt>
                      <c:pt idx="7061">
                        <c:v>49.034722222218988</c:v>
                      </c:pt>
                      <c:pt idx="7062">
                        <c:v>49.041666666664241</c:v>
                      </c:pt>
                      <c:pt idx="7063">
                        <c:v>49.048611111109494</c:v>
                      </c:pt>
                      <c:pt idx="7064">
                        <c:v>49.055555555554747</c:v>
                      </c:pt>
                      <c:pt idx="7065">
                        <c:v>49.0625</c:v>
                      </c:pt>
                      <c:pt idx="7066">
                        <c:v>49.069444444445253</c:v>
                      </c:pt>
                      <c:pt idx="7067">
                        <c:v>49.076388888890506</c:v>
                      </c:pt>
                      <c:pt idx="7068">
                        <c:v>49.083333333335759</c:v>
                      </c:pt>
                      <c:pt idx="7069">
                        <c:v>49.090277777781012</c:v>
                      </c:pt>
                      <c:pt idx="7070">
                        <c:v>49.097222222218988</c:v>
                      </c:pt>
                      <c:pt idx="7071">
                        <c:v>49.104166666664241</c:v>
                      </c:pt>
                      <c:pt idx="7072">
                        <c:v>49.111111111109494</c:v>
                      </c:pt>
                      <c:pt idx="7073">
                        <c:v>49.118055555554747</c:v>
                      </c:pt>
                      <c:pt idx="7074">
                        <c:v>49.125</c:v>
                      </c:pt>
                      <c:pt idx="7075">
                        <c:v>49.131944444445253</c:v>
                      </c:pt>
                      <c:pt idx="7076">
                        <c:v>49.138888888890506</c:v>
                      </c:pt>
                      <c:pt idx="7077">
                        <c:v>49.145833333335759</c:v>
                      </c:pt>
                      <c:pt idx="7078">
                        <c:v>49.152777777781012</c:v>
                      </c:pt>
                      <c:pt idx="7079">
                        <c:v>49.159722222218988</c:v>
                      </c:pt>
                      <c:pt idx="7080">
                        <c:v>49.166666666664241</c:v>
                      </c:pt>
                      <c:pt idx="7081">
                        <c:v>49.173611111109494</c:v>
                      </c:pt>
                      <c:pt idx="7082">
                        <c:v>49.180555555554747</c:v>
                      </c:pt>
                      <c:pt idx="7083">
                        <c:v>49.1875</c:v>
                      </c:pt>
                      <c:pt idx="7084">
                        <c:v>49.194444444445253</c:v>
                      </c:pt>
                      <c:pt idx="7085">
                        <c:v>49.201388888890506</c:v>
                      </c:pt>
                      <c:pt idx="7086">
                        <c:v>49.208333333335759</c:v>
                      </c:pt>
                      <c:pt idx="7087">
                        <c:v>49.215277777781012</c:v>
                      </c:pt>
                      <c:pt idx="7088">
                        <c:v>49.222222222218988</c:v>
                      </c:pt>
                      <c:pt idx="7089">
                        <c:v>49.229166666664241</c:v>
                      </c:pt>
                      <c:pt idx="7090">
                        <c:v>49.236111111109494</c:v>
                      </c:pt>
                      <c:pt idx="7091">
                        <c:v>49.243055555554747</c:v>
                      </c:pt>
                      <c:pt idx="7092">
                        <c:v>49.25</c:v>
                      </c:pt>
                      <c:pt idx="7093">
                        <c:v>49.256944444445253</c:v>
                      </c:pt>
                      <c:pt idx="7094">
                        <c:v>49.263888888890506</c:v>
                      </c:pt>
                      <c:pt idx="7095">
                        <c:v>49.270833333335759</c:v>
                      </c:pt>
                      <c:pt idx="7096">
                        <c:v>49.277777777781012</c:v>
                      </c:pt>
                      <c:pt idx="7097">
                        <c:v>49.284722222218988</c:v>
                      </c:pt>
                      <c:pt idx="7098">
                        <c:v>49.291666666664241</c:v>
                      </c:pt>
                      <c:pt idx="7099">
                        <c:v>49.298611111109494</c:v>
                      </c:pt>
                      <c:pt idx="7100">
                        <c:v>49.305555555554747</c:v>
                      </c:pt>
                      <c:pt idx="7101">
                        <c:v>49.3125</c:v>
                      </c:pt>
                      <c:pt idx="7102">
                        <c:v>49.319444444445253</c:v>
                      </c:pt>
                      <c:pt idx="7103">
                        <c:v>49.326388888890506</c:v>
                      </c:pt>
                      <c:pt idx="7104">
                        <c:v>49.333333333335759</c:v>
                      </c:pt>
                      <c:pt idx="7105">
                        <c:v>49.340277777781012</c:v>
                      </c:pt>
                      <c:pt idx="7106">
                        <c:v>49.347222222218988</c:v>
                      </c:pt>
                      <c:pt idx="7107">
                        <c:v>49.354166666664241</c:v>
                      </c:pt>
                      <c:pt idx="7108">
                        <c:v>49.361111111109494</c:v>
                      </c:pt>
                      <c:pt idx="7109">
                        <c:v>49.368055555554747</c:v>
                      </c:pt>
                      <c:pt idx="7110">
                        <c:v>49.375</c:v>
                      </c:pt>
                      <c:pt idx="7111">
                        <c:v>49.381944444445253</c:v>
                      </c:pt>
                      <c:pt idx="7112">
                        <c:v>49.388888888890506</c:v>
                      </c:pt>
                      <c:pt idx="7113">
                        <c:v>49.395833333335759</c:v>
                      </c:pt>
                      <c:pt idx="7114">
                        <c:v>49.402777777781012</c:v>
                      </c:pt>
                      <c:pt idx="7115">
                        <c:v>49.409722222218988</c:v>
                      </c:pt>
                      <c:pt idx="7116">
                        <c:v>49.416666666664241</c:v>
                      </c:pt>
                      <c:pt idx="7117">
                        <c:v>49.423611111109494</c:v>
                      </c:pt>
                      <c:pt idx="7118">
                        <c:v>49.430555555554747</c:v>
                      </c:pt>
                      <c:pt idx="7119">
                        <c:v>49.4375</c:v>
                      </c:pt>
                      <c:pt idx="7120">
                        <c:v>49.444444444445253</c:v>
                      </c:pt>
                      <c:pt idx="7121">
                        <c:v>49.451388888890506</c:v>
                      </c:pt>
                      <c:pt idx="7122">
                        <c:v>49.458333333335759</c:v>
                      </c:pt>
                      <c:pt idx="7123">
                        <c:v>49.465277777781012</c:v>
                      </c:pt>
                      <c:pt idx="7124">
                        <c:v>49.472222222218988</c:v>
                      </c:pt>
                      <c:pt idx="7125">
                        <c:v>49.479166666664241</c:v>
                      </c:pt>
                      <c:pt idx="7126">
                        <c:v>49.486111111109494</c:v>
                      </c:pt>
                      <c:pt idx="7127">
                        <c:v>49.493055555554747</c:v>
                      </c:pt>
                      <c:pt idx="7128">
                        <c:v>49.5</c:v>
                      </c:pt>
                      <c:pt idx="7129">
                        <c:v>49.506944444445253</c:v>
                      </c:pt>
                      <c:pt idx="7130">
                        <c:v>49.513888888890506</c:v>
                      </c:pt>
                      <c:pt idx="7131">
                        <c:v>49.520833333335759</c:v>
                      </c:pt>
                      <c:pt idx="7132">
                        <c:v>49.527777777781012</c:v>
                      </c:pt>
                      <c:pt idx="7133">
                        <c:v>49.534722222218988</c:v>
                      </c:pt>
                      <c:pt idx="7134">
                        <c:v>49.541666666664241</c:v>
                      </c:pt>
                      <c:pt idx="7135">
                        <c:v>49.548611111109494</c:v>
                      </c:pt>
                      <c:pt idx="7136">
                        <c:v>49.555555555554747</c:v>
                      </c:pt>
                      <c:pt idx="7137">
                        <c:v>49.5625</c:v>
                      </c:pt>
                      <c:pt idx="7138">
                        <c:v>49.569444444445253</c:v>
                      </c:pt>
                      <c:pt idx="7139">
                        <c:v>49.576388888890506</c:v>
                      </c:pt>
                      <c:pt idx="7140">
                        <c:v>49.583333333335759</c:v>
                      </c:pt>
                      <c:pt idx="7141">
                        <c:v>49.590277777781012</c:v>
                      </c:pt>
                      <c:pt idx="7142">
                        <c:v>49.597222222218988</c:v>
                      </c:pt>
                      <c:pt idx="7143">
                        <c:v>49.604166666664241</c:v>
                      </c:pt>
                      <c:pt idx="7144">
                        <c:v>49.611111111109494</c:v>
                      </c:pt>
                      <c:pt idx="7145">
                        <c:v>49.618055555554747</c:v>
                      </c:pt>
                      <c:pt idx="7146">
                        <c:v>49.625</c:v>
                      </c:pt>
                      <c:pt idx="7147">
                        <c:v>49.631944444445253</c:v>
                      </c:pt>
                      <c:pt idx="7148">
                        <c:v>49.638888888890506</c:v>
                      </c:pt>
                      <c:pt idx="7149">
                        <c:v>49.645833333335759</c:v>
                      </c:pt>
                      <c:pt idx="7150">
                        <c:v>49.652777777781012</c:v>
                      </c:pt>
                      <c:pt idx="7151">
                        <c:v>49.659722222218988</c:v>
                      </c:pt>
                      <c:pt idx="7152">
                        <c:v>49.666666666664241</c:v>
                      </c:pt>
                      <c:pt idx="7153">
                        <c:v>49.673611111109494</c:v>
                      </c:pt>
                      <c:pt idx="7154">
                        <c:v>49.680555555554747</c:v>
                      </c:pt>
                      <c:pt idx="7155">
                        <c:v>49.6875</c:v>
                      </c:pt>
                      <c:pt idx="7156">
                        <c:v>49.694444444445253</c:v>
                      </c:pt>
                      <c:pt idx="7157">
                        <c:v>49.701388888890506</c:v>
                      </c:pt>
                      <c:pt idx="7158">
                        <c:v>49.708333333335759</c:v>
                      </c:pt>
                      <c:pt idx="7159">
                        <c:v>49.715277777781012</c:v>
                      </c:pt>
                      <c:pt idx="7160">
                        <c:v>49.722222222218988</c:v>
                      </c:pt>
                      <c:pt idx="7161">
                        <c:v>49.729166666664241</c:v>
                      </c:pt>
                      <c:pt idx="7162">
                        <c:v>49.736111111109494</c:v>
                      </c:pt>
                      <c:pt idx="7163">
                        <c:v>49.743055555554747</c:v>
                      </c:pt>
                      <c:pt idx="7164">
                        <c:v>49.75</c:v>
                      </c:pt>
                      <c:pt idx="7165">
                        <c:v>49.756944444445253</c:v>
                      </c:pt>
                      <c:pt idx="7166">
                        <c:v>49.763888888890506</c:v>
                      </c:pt>
                      <c:pt idx="7167">
                        <c:v>49.770833333335759</c:v>
                      </c:pt>
                      <c:pt idx="7168">
                        <c:v>49.777777777781012</c:v>
                      </c:pt>
                      <c:pt idx="7169">
                        <c:v>49.784722222218988</c:v>
                      </c:pt>
                      <c:pt idx="7170">
                        <c:v>49.791666666664241</c:v>
                      </c:pt>
                      <c:pt idx="7171">
                        <c:v>49.798611111109494</c:v>
                      </c:pt>
                      <c:pt idx="7172">
                        <c:v>49.805555555554747</c:v>
                      </c:pt>
                      <c:pt idx="7173">
                        <c:v>49.8125</c:v>
                      </c:pt>
                      <c:pt idx="7174">
                        <c:v>49.819444444445253</c:v>
                      </c:pt>
                      <c:pt idx="7175">
                        <c:v>49.826388888890506</c:v>
                      </c:pt>
                      <c:pt idx="7176">
                        <c:v>49.833333333335759</c:v>
                      </c:pt>
                      <c:pt idx="7177">
                        <c:v>49.840277777781012</c:v>
                      </c:pt>
                      <c:pt idx="7178">
                        <c:v>49.847222222218988</c:v>
                      </c:pt>
                      <c:pt idx="7179">
                        <c:v>49.854166666664241</c:v>
                      </c:pt>
                      <c:pt idx="7180">
                        <c:v>49.861111111109494</c:v>
                      </c:pt>
                      <c:pt idx="7181">
                        <c:v>49.868055555554747</c:v>
                      </c:pt>
                      <c:pt idx="7182">
                        <c:v>49.875</c:v>
                      </c:pt>
                      <c:pt idx="7183">
                        <c:v>49.881944444445253</c:v>
                      </c:pt>
                      <c:pt idx="7184">
                        <c:v>49.888888888890506</c:v>
                      </c:pt>
                      <c:pt idx="7185">
                        <c:v>49.895833333335759</c:v>
                      </c:pt>
                      <c:pt idx="7186">
                        <c:v>49.902777777781012</c:v>
                      </c:pt>
                      <c:pt idx="7187">
                        <c:v>49.909722222218988</c:v>
                      </c:pt>
                      <c:pt idx="7188">
                        <c:v>49.916666666664241</c:v>
                      </c:pt>
                      <c:pt idx="7189">
                        <c:v>49.923611111109494</c:v>
                      </c:pt>
                      <c:pt idx="7190">
                        <c:v>49.930555555554747</c:v>
                      </c:pt>
                      <c:pt idx="7191">
                        <c:v>49.9375</c:v>
                      </c:pt>
                      <c:pt idx="7192">
                        <c:v>49.944444444445253</c:v>
                      </c:pt>
                      <c:pt idx="7193">
                        <c:v>49.951388888890506</c:v>
                      </c:pt>
                      <c:pt idx="7194">
                        <c:v>49.958333333335759</c:v>
                      </c:pt>
                      <c:pt idx="7195">
                        <c:v>49.965277777781012</c:v>
                      </c:pt>
                      <c:pt idx="7196">
                        <c:v>49.972222222218988</c:v>
                      </c:pt>
                      <c:pt idx="7197">
                        <c:v>49.979166666664241</c:v>
                      </c:pt>
                      <c:pt idx="7198">
                        <c:v>49.986111111109494</c:v>
                      </c:pt>
                      <c:pt idx="7199">
                        <c:v>49.993055555554747</c:v>
                      </c:pt>
                      <c:pt idx="7200">
                        <c:v>50</c:v>
                      </c:pt>
                      <c:pt idx="7201">
                        <c:v>50.006944444445253</c:v>
                      </c:pt>
                      <c:pt idx="7202">
                        <c:v>50.013888888890506</c:v>
                      </c:pt>
                      <c:pt idx="7203">
                        <c:v>50.020833333335759</c:v>
                      </c:pt>
                      <c:pt idx="7204">
                        <c:v>50.027777777781012</c:v>
                      </c:pt>
                      <c:pt idx="7205">
                        <c:v>50.034722222218988</c:v>
                      </c:pt>
                      <c:pt idx="7206">
                        <c:v>50.041666666664241</c:v>
                      </c:pt>
                      <c:pt idx="7207">
                        <c:v>50.048611111109494</c:v>
                      </c:pt>
                      <c:pt idx="7208">
                        <c:v>50.055555555554747</c:v>
                      </c:pt>
                      <c:pt idx="7209">
                        <c:v>50.0625</c:v>
                      </c:pt>
                      <c:pt idx="7210">
                        <c:v>50.069444444445253</c:v>
                      </c:pt>
                      <c:pt idx="7211">
                        <c:v>50.076388888890506</c:v>
                      </c:pt>
                      <c:pt idx="7212">
                        <c:v>50.083333333335759</c:v>
                      </c:pt>
                      <c:pt idx="7213">
                        <c:v>50.090277777781012</c:v>
                      </c:pt>
                      <c:pt idx="7214">
                        <c:v>50.097222222218988</c:v>
                      </c:pt>
                      <c:pt idx="7215">
                        <c:v>50.104166666664241</c:v>
                      </c:pt>
                      <c:pt idx="7216">
                        <c:v>50.111111111109494</c:v>
                      </c:pt>
                      <c:pt idx="7217">
                        <c:v>50.118055555554747</c:v>
                      </c:pt>
                      <c:pt idx="7218">
                        <c:v>50.125</c:v>
                      </c:pt>
                      <c:pt idx="7219">
                        <c:v>50.131944444445253</c:v>
                      </c:pt>
                      <c:pt idx="7220">
                        <c:v>50.138888888890506</c:v>
                      </c:pt>
                      <c:pt idx="7221">
                        <c:v>50.145833333335759</c:v>
                      </c:pt>
                      <c:pt idx="7222">
                        <c:v>50.152777777781012</c:v>
                      </c:pt>
                      <c:pt idx="7223">
                        <c:v>50.159722222218988</c:v>
                      </c:pt>
                      <c:pt idx="7224">
                        <c:v>50.166666666664241</c:v>
                      </c:pt>
                      <c:pt idx="7225">
                        <c:v>50.173611111109494</c:v>
                      </c:pt>
                      <c:pt idx="7226">
                        <c:v>50.180555555554747</c:v>
                      </c:pt>
                      <c:pt idx="7227">
                        <c:v>50.1875</c:v>
                      </c:pt>
                      <c:pt idx="7228">
                        <c:v>50.194444444445253</c:v>
                      </c:pt>
                      <c:pt idx="7229">
                        <c:v>50.201388888890506</c:v>
                      </c:pt>
                      <c:pt idx="7230">
                        <c:v>50.208333333335759</c:v>
                      </c:pt>
                      <c:pt idx="7231">
                        <c:v>50.215277777781012</c:v>
                      </c:pt>
                      <c:pt idx="7232">
                        <c:v>50.222222222218988</c:v>
                      </c:pt>
                      <c:pt idx="7233">
                        <c:v>50.229166666664241</c:v>
                      </c:pt>
                      <c:pt idx="7234">
                        <c:v>50.236111111109494</c:v>
                      </c:pt>
                      <c:pt idx="7235">
                        <c:v>50.243055555554747</c:v>
                      </c:pt>
                      <c:pt idx="7236">
                        <c:v>50.25</c:v>
                      </c:pt>
                      <c:pt idx="7237">
                        <c:v>50.256944444445253</c:v>
                      </c:pt>
                      <c:pt idx="7238">
                        <c:v>50.263888888890506</c:v>
                      </c:pt>
                      <c:pt idx="7239">
                        <c:v>50.270833333335759</c:v>
                      </c:pt>
                      <c:pt idx="7240">
                        <c:v>50.277777777781012</c:v>
                      </c:pt>
                      <c:pt idx="7241">
                        <c:v>50.284722222218988</c:v>
                      </c:pt>
                      <c:pt idx="7242">
                        <c:v>50.291666666664241</c:v>
                      </c:pt>
                      <c:pt idx="7243">
                        <c:v>50.298611111109494</c:v>
                      </c:pt>
                      <c:pt idx="7244">
                        <c:v>50.305555555554747</c:v>
                      </c:pt>
                      <c:pt idx="7245">
                        <c:v>50.3125</c:v>
                      </c:pt>
                      <c:pt idx="7246">
                        <c:v>50.319444444445253</c:v>
                      </c:pt>
                      <c:pt idx="7247">
                        <c:v>50.326388888890506</c:v>
                      </c:pt>
                      <c:pt idx="7248">
                        <c:v>50.333333333335759</c:v>
                      </c:pt>
                      <c:pt idx="7249">
                        <c:v>50.340277777781012</c:v>
                      </c:pt>
                      <c:pt idx="7250">
                        <c:v>50.347222222218988</c:v>
                      </c:pt>
                      <c:pt idx="7251">
                        <c:v>50.354166666664241</c:v>
                      </c:pt>
                      <c:pt idx="7252">
                        <c:v>50.361111111109494</c:v>
                      </c:pt>
                      <c:pt idx="7253">
                        <c:v>50.368055555554747</c:v>
                      </c:pt>
                      <c:pt idx="7254">
                        <c:v>50.375</c:v>
                      </c:pt>
                      <c:pt idx="7255">
                        <c:v>50.381944444445253</c:v>
                      </c:pt>
                      <c:pt idx="7256">
                        <c:v>50.388888888890506</c:v>
                      </c:pt>
                      <c:pt idx="7257">
                        <c:v>50.395833333335759</c:v>
                      </c:pt>
                      <c:pt idx="7258">
                        <c:v>50.402777777781012</c:v>
                      </c:pt>
                      <c:pt idx="7259">
                        <c:v>50.409722222218988</c:v>
                      </c:pt>
                      <c:pt idx="7260">
                        <c:v>50.416666666664241</c:v>
                      </c:pt>
                      <c:pt idx="7261">
                        <c:v>50.423611111109494</c:v>
                      </c:pt>
                      <c:pt idx="7262">
                        <c:v>50.430555555554747</c:v>
                      </c:pt>
                      <c:pt idx="7263">
                        <c:v>50.4375</c:v>
                      </c:pt>
                      <c:pt idx="7264">
                        <c:v>50.444444444445253</c:v>
                      </c:pt>
                      <c:pt idx="7265">
                        <c:v>50.451388888890506</c:v>
                      </c:pt>
                      <c:pt idx="7266">
                        <c:v>50.458333333335759</c:v>
                      </c:pt>
                      <c:pt idx="7267">
                        <c:v>50.465277777781012</c:v>
                      </c:pt>
                      <c:pt idx="7268">
                        <c:v>50.472222222218988</c:v>
                      </c:pt>
                      <c:pt idx="7269">
                        <c:v>50.479166666664241</c:v>
                      </c:pt>
                      <c:pt idx="7270">
                        <c:v>50.486111111109494</c:v>
                      </c:pt>
                      <c:pt idx="7271">
                        <c:v>50.493055555554747</c:v>
                      </c:pt>
                      <c:pt idx="7272">
                        <c:v>50.5</c:v>
                      </c:pt>
                      <c:pt idx="7273">
                        <c:v>50.506944444445253</c:v>
                      </c:pt>
                      <c:pt idx="7274">
                        <c:v>50.513888888890506</c:v>
                      </c:pt>
                      <c:pt idx="7275">
                        <c:v>50.520833333335759</c:v>
                      </c:pt>
                      <c:pt idx="7276">
                        <c:v>50.527777777781012</c:v>
                      </c:pt>
                      <c:pt idx="7277">
                        <c:v>50.534722222218988</c:v>
                      </c:pt>
                      <c:pt idx="7278">
                        <c:v>50.541666666664241</c:v>
                      </c:pt>
                      <c:pt idx="7279">
                        <c:v>50.548611111109494</c:v>
                      </c:pt>
                      <c:pt idx="7280">
                        <c:v>50.555555555554747</c:v>
                      </c:pt>
                      <c:pt idx="7281">
                        <c:v>50.5625</c:v>
                      </c:pt>
                      <c:pt idx="7282">
                        <c:v>50.569444444445253</c:v>
                      </c:pt>
                      <c:pt idx="7283">
                        <c:v>50.576388888890506</c:v>
                      </c:pt>
                      <c:pt idx="7284">
                        <c:v>50.583333333335759</c:v>
                      </c:pt>
                      <c:pt idx="7285">
                        <c:v>50.590277777781012</c:v>
                      </c:pt>
                      <c:pt idx="7286">
                        <c:v>50.597222222218988</c:v>
                      </c:pt>
                      <c:pt idx="7287">
                        <c:v>50.604166666664241</c:v>
                      </c:pt>
                      <c:pt idx="7288">
                        <c:v>50.611111111109494</c:v>
                      </c:pt>
                      <c:pt idx="7289">
                        <c:v>50.618055555554747</c:v>
                      </c:pt>
                      <c:pt idx="7290">
                        <c:v>50.625</c:v>
                      </c:pt>
                      <c:pt idx="7291">
                        <c:v>50.631944444445253</c:v>
                      </c:pt>
                      <c:pt idx="7292">
                        <c:v>50.638888888890506</c:v>
                      </c:pt>
                      <c:pt idx="7293">
                        <c:v>50.645833333335759</c:v>
                      </c:pt>
                      <c:pt idx="7294">
                        <c:v>50.652777777781012</c:v>
                      </c:pt>
                      <c:pt idx="7295">
                        <c:v>50.659722222218988</c:v>
                      </c:pt>
                      <c:pt idx="7296">
                        <c:v>50.666666666664241</c:v>
                      </c:pt>
                      <c:pt idx="7297">
                        <c:v>50.673611111109494</c:v>
                      </c:pt>
                      <c:pt idx="7298">
                        <c:v>50.680555555554747</c:v>
                      </c:pt>
                      <c:pt idx="7299">
                        <c:v>50.6875</c:v>
                      </c:pt>
                      <c:pt idx="7300">
                        <c:v>50.694444444445253</c:v>
                      </c:pt>
                      <c:pt idx="7301">
                        <c:v>50.701388888890506</c:v>
                      </c:pt>
                      <c:pt idx="7302">
                        <c:v>50.708333333335759</c:v>
                      </c:pt>
                      <c:pt idx="7303">
                        <c:v>50.715277777781012</c:v>
                      </c:pt>
                      <c:pt idx="7304">
                        <c:v>50.722222222218988</c:v>
                      </c:pt>
                      <c:pt idx="7305">
                        <c:v>50.729166666664241</c:v>
                      </c:pt>
                      <c:pt idx="7306">
                        <c:v>50.736111111109494</c:v>
                      </c:pt>
                      <c:pt idx="7307">
                        <c:v>50.743055555554747</c:v>
                      </c:pt>
                      <c:pt idx="7308">
                        <c:v>50.75</c:v>
                      </c:pt>
                      <c:pt idx="7309">
                        <c:v>50.756944444445253</c:v>
                      </c:pt>
                      <c:pt idx="7310">
                        <c:v>50.763888888890506</c:v>
                      </c:pt>
                      <c:pt idx="7311">
                        <c:v>50.770833333335759</c:v>
                      </c:pt>
                      <c:pt idx="7312">
                        <c:v>50.777777777781012</c:v>
                      </c:pt>
                      <c:pt idx="7313">
                        <c:v>50.784722222218988</c:v>
                      </c:pt>
                      <c:pt idx="7314">
                        <c:v>50.791666666664241</c:v>
                      </c:pt>
                      <c:pt idx="7315">
                        <c:v>50.798611111109494</c:v>
                      </c:pt>
                      <c:pt idx="7316">
                        <c:v>50.805555555554747</c:v>
                      </c:pt>
                      <c:pt idx="7317">
                        <c:v>50.8125</c:v>
                      </c:pt>
                      <c:pt idx="7318">
                        <c:v>50.819444444445253</c:v>
                      </c:pt>
                      <c:pt idx="7319">
                        <c:v>50.826388888890506</c:v>
                      </c:pt>
                      <c:pt idx="7320">
                        <c:v>50.833333333335759</c:v>
                      </c:pt>
                      <c:pt idx="7321">
                        <c:v>50.840277777781012</c:v>
                      </c:pt>
                      <c:pt idx="7322">
                        <c:v>50.847222222218988</c:v>
                      </c:pt>
                      <c:pt idx="7323">
                        <c:v>50.854166666664241</c:v>
                      </c:pt>
                      <c:pt idx="7324">
                        <c:v>50.861111111109494</c:v>
                      </c:pt>
                      <c:pt idx="7325">
                        <c:v>50.868055555554747</c:v>
                      </c:pt>
                      <c:pt idx="7326">
                        <c:v>50.875</c:v>
                      </c:pt>
                      <c:pt idx="7327">
                        <c:v>50.881944444445253</c:v>
                      </c:pt>
                      <c:pt idx="7328">
                        <c:v>50.888888888890506</c:v>
                      </c:pt>
                      <c:pt idx="7329">
                        <c:v>50.895833333335759</c:v>
                      </c:pt>
                      <c:pt idx="7330">
                        <c:v>50.902777777781012</c:v>
                      </c:pt>
                      <c:pt idx="7331">
                        <c:v>50.909722222218988</c:v>
                      </c:pt>
                      <c:pt idx="7332">
                        <c:v>50.916666666664241</c:v>
                      </c:pt>
                      <c:pt idx="7333">
                        <c:v>50.923611111109494</c:v>
                      </c:pt>
                      <c:pt idx="7334">
                        <c:v>50.930555555554747</c:v>
                      </c:pt>
                      <c:pt idx="7335">
                        <c:v>50.9375</c:v>
                      </c:pt>
                      <c:pt idx="7336">
                        <c:v>50.944444444445253</c:v>
                      </c:pt>
                      <c:pt idx="7337">
                        <c:v>50.951388888890506</c:v>
                      </c:pt>
                      <c:pt idx="7338">
                        <c:v>50.958333333335759</c:v>
                      </c:pt>
                      <c:pt idx="7339">
                        <c:v>50.965277777781012</c:v>
                      </c:pt>
                      <c:pt idx="7340">
                        <c:v>50.972222222218988</c:v>
                      </c:pt>
                      <c:pt idx="7341">
                        <c:v>50.979166666664241</c:v>
                      </c:pt>
                      <c:pt idx="7342">
                        <c:v>50.986111111109494</c:v>
                      </c:pt>
                      <c:pt idx="7343">
                        <c:v>50.993055555554747</c:v>
                      </c:pt>
                      <c:pt idx="7344">
                        <c:v>51</c:v>
                      </c:pt>
                      <c:pt idx="7345">
                        <c:v>51.006944444445253</c:v>
                      </c:pt>
                      <c:pt idx="7346">
                        <c:v>51.013888888890506</c:v>
                      </c:pt>
                      <c:pt idx="7347">
                        <c:v>51.020833333335759</c:v>
                      </c:pt>
                      <c:pt idx="7348">
                        <c:v>51.027777777781012</c:v>
                      </c:pt>
                      <c:pt idx="7349">
                        <c:v>51.034722222218988</c:v>
                      </c:pt>
                      <c:pt idx="7350">
                        <c:v>51.041666666664241</c:v>
                      </c:pt>
                      <c:pt idx="7351">
                        <c:v>51.048611111109494</c:v>
                      </c:pt>
                      <c:pt idx="7352">
                        <c:v>51.055555555554747</c:v>
                      </c:pt>
                      <c:pt idx="7353">
                        <c:v>51.0625</c:v>
                      </c:pt>
                      <c:pt idx="7354">
                        <c:v>51.069444444445253</c:v>
                      </c:pt>
                      <c:pt idx="7355">
                        <c:v>51.076388888890506</c:v>
                      </c:pt>
                      <c:pt idx="7356">
                        <c:v>51.083333333335759</c:v>
                      </c:pt>
                      <c:pt idx="7357">
                        <c:v>51.090277777781012</c:v>
                      </c:pt>
                      <c:pt idx="7358">
                        <c:v>51.097222222218988</c:v>
                      </c:pt>
                      <c:pt idx="7359">
                        <c:v>51.104166666664241</c:v>
                      </c:pt>
                      <c:pt idx="7360">
                        <c:v>51.111111111109494</c:v>
                      </c:pt>
                      <c:pt idx="7361">
                        <c:v>51.118055555554747</c:v>
                      </c:pt>
                      <c:pt idx="7362">
                        <c:v>51.125</c:v>
                      </c:pt>
                      <c:pt idx="7363">
                        <c:v>51.131944444445253</c:v>
                      </c:pt>
                      <c:pt idx="7364">
                        <c:v>51.138888888890506</c:v>
                      </c:pt>
                      <c:pt idx="7365">
                        <c:v>51.145833333335759</c:v>
                      </c:pt>
                      <c:pt idx="7366">
                        <c:v>51.152777777781012</c:v>
                      </c:pt>
                      <c:pt idx="7367">
                        <c:v>51.159722222218988</c:v>
                      </c:pt>
                      <c:pt idx="7368">
                        <c:v>51.166666666664241</c:v>
                      </c:pt>
                      <c:pt idx="7369">
                        <c:v>51.173611111109494</c:v>
                      </c:pt>
                      <c:pt idx="7370">
                        <c:v>51.180555555554747</c:v>
                      </c:pt>
                      <c:pt idx="7371">
                        <c:v>51.1875</c:v>
                      </c:pt>
                      <c:pt idx="7372">
                        <c:v>51.194444444445253</c:v>
                      </c:pt>
                      <c:pt idx="7373">
                        <c:v>51.201388888890506</c:v>
                      </c:pt>
                      <c:pt idx="7374">
                        <c:v>51.208333333335759</c:v>
                      </c:pt>
                      <c:pt idx="7375">
                        <c:v>51.215277777781012</c:v>
                      </c:pt>
                      <c:pt idx="7376">
                        <c:v>51.222222222218988</c:v>
                      </c:pt>
                      <c:pt idx="7377">
                        <c:v>51.229166666664241</c:v>
                      </c:pt>
                      <c:pt idx="7378">
                        <c:v>51.236111111109494</c:v>
                      </c:pt>
                      <c:pt idx="7379">
                        <c:v>51.243055555554747</c:v>
                      </c:pt>
                      <c:pt idx="7380">
                        <c:v>51.25</c:v>
                      </c:pt>
                      <c:pt idx="7381">
                        <c:v>51.256944444445253</c:v>
                      </c:pt>
                      <c:pt idx="7382">
                        <c:v>51.263888888890506</c:v>
                      </c:pt>
                      <c:pt idx="7383">
                        <c:v>51.270833333335759</c:v>
                      </c:pt>
                      <c:pt idx="7384">
                        <c:v>51.277777777781012</c:v>
                      </c:pt>
                      <c:pt idx="7385">
                        <c:v>51.284722222218988</c:v>
                      </c:pt>
                      <c:pt idx="7386">
                        <c:v>51.291666666664241</c:v>
                      </c:pt>
                      <c:pt idx="7387">
                        <c:v>51.298611111109494</c:v>
                      </c:pt>
                      <c:pt idx="7388">
                        <c:v>51.305555555554747</c:v>
                      </c:pt>
                      <c:pt idx="7389">
                        <c:v>51.3125</c:v>
                      </c:pt>
                      <c:pt idx="7390">
                        <c:v>51.319444444445253</c:v>
                      </c:pt>
                      <c:pt idx="7391">
                        <c:v>51.326388888890506</c:v>
                      </c:pt>
                      <c:pt idx="7392">
                        <c:v>51.333333333335759</c:v>
                      </c:pt>
                      <c:pt idx="7393">
                        <c:v>51.340277777781012</c:v>
                      </c:pt>
                      <c:pt idx="7394">
                        <c:v>51.347222222218988</c:v>
                      </c:pt>
                      <c:pt idx="7395">
                        <c:v>51.354166666664241</c:v>
                      </c:pt>
                      <c:pt idx="7396">
                        <c:v>51.361111111109494</c:v>
                      </c:pt>
                      <c:pt idx="7397">
                        <c:v>51.368055555554747</c:v>
                      </c:pt>
                      <c:pt idx="7398">
                        <c:v>51.375</c:v>
                      </c:pt>
                      <c:pt idx="7399">
                        <c:v>51.381944444445253</c:v>
                      </c:pt>
                      <c:pt idx="7400">
                        <c:v>51.388888888890506</c:v>
                      </c:pt>
                      <c:pt idx="7401">
                        <c:v>51.395833333335759</c:v>
                      </c:pt>
                      <c:pt idx="7402">
                        <c:v>51.402777777781012</c:v>
                      </c:pt>
                      <c:pt idx="7403">
                        <c:v>51.409722222218988</c:v>
                      </c:pt>
                      <c:pt idx="7404">
                        <c:v>51.416666666664241</c:v>
                      </c:pt>
                      <c:pt idx="7405">
                        <c:v>51.423611111109494</c:v>
                      </c:pt>
                      <c:pt idx="7406">
                        <c:v>51.430555555554747</c:v>
                      </c:pt>
                      <c:pt idx="7407">
                        <c:v>51.4375</c:v>
                      </c:pt>
                      <c:pt idx="7408">
                        <c:v>51.444444444445253</c:v>
                      </c:pt>
                      <c:pt idx="7409">
                        <c:v>51.451388888890506</c:v>
                      </c:pt>
                      <c:pt idx="7410">
                        <c:v>51.458333333335759</c:v>
                      </c:pt>
                      <c:pt idx="7411">
                        <c:v>51.465277777781012</c:v>
                      </c:pt>
                      <c:pt idx="7412">
                        <c:v>51.472222222218988</c:v>
                      </c:pt>
                      <c:pt idx="7413">
                        <c:v>51.479166666664241</c:v>
                      </c:pt>
                      <c:pt idx="7414">
                        <c:v>51.486111111109494</c:v>
                      </c:pt>
                      <c:pt idx="7415">
                        <c:v>51.493055555554747</c:v>
                      </c:pt>
                      <c:pt idx="7416">
                        <c:v>51.5</c:v>
                      </c:pt>
                      <c:pt idx="7417">
                        <c:v>51.506944444445253</c:v>
                      </c:pt>
                      <c:pt idx="7418">
                        <c:v>51.513888888890506</c:v>
                      </c:pt>
                      <c:pt idx="7419">
                        <c:v>51.520833333335759</c:v>
                      </c:pt>
                      <c:pt idx="7420">
                        <c:v>51.527777777781012</c:v>
                      </c:pt>
                      <c:pt idx="7421">
                        <c:v>51.534722222218988</c:v>
                      </c:pt>
                      <c:pt idx="7422">
                        <c:v>51.541666666664241</c:v>
                      </c:pt>
                      <c:pt idx="7423">
                        <c:v>51.548611111109494</c:v>
                      </c:pt>
                      <c:pt idx="7424">
                        <c:v>51.555555555554747</c:v>
                      </c:pt>
                      <c:pt idx="7425">
                        <c:v>51.5625</c:v>
                      </c:pt>
                      <c:pt idx="7426">
                        <c:v>51.569444444445253</c:v>
                      </c:pt>
                      <c:pt idx="7427">
                        <c:v>51.576388888890506</c:v>
                      </c:pt>
                      <c:pt idx="7428">
                        <c:v>51.583333333335759</c:v>
                      </c:pt>
                      <c:pt idx="7429">
                        <c:v>51.590277777781012</c:v>
                      </c:pt>
                      <c:pt idx="7430">
                        <c:v>51.597222222218988</c:v>
                      </c:pt>
                      <c:pt idx="7431">
                        <c:v>51.604166666664241</c:v>
                      </c:pt>
                      <c:pt idx="7432">
                        <c:v>51.611111111109494</c:v>
                      </c:pt>
                      <c:pt idx="7433">
                        <c:v>51.618055555554747</c:v>
                      </c:pt>
                      <c:pt idx="7434">
                        <c:v>51.625</c:v>
                      </c:pt>
                      <c:pt idx="7435">
                        <c:v>51.631944444445253</c:v>
                      </c:pt>
                      <c:pt idx="7436">
                        <c:v>51.638888888890506</c:v>
                      </c:pt>
                      <c:pt idx="7437">
                        <c:v>51.645833333335759</c:v>
                      </c:pt>
                      <c:pt idx="7438">
                        <c:v>51.652777777781012</c:v>
                      </c:pt>
                      <c:pt idx="7439">
                        <c:v>51.659722222218988</c:v>
                      </c:pt>
                      <c:pt idx="7440">
                        <c:v>51.666666666664241</c:v>
                      </c:pt>
                      <c:pt idx="7441">
                        <c:v>51.673611111109494</c:v>
                      </c:pt>
                      <c:pt idx="7442">
                        <c:v>51.680555555554747</c:v>
                      </c:pt>
                      <c:pt idx="7443">
                        <c:v>51.6875</c:v>
                      </c:pt>
                      <c:pt idx="7444">
                        <c:v>51.694444444445253</c:v>
                      </c:pt>
                      <c:pt idx="7445">
                        <c:v>51.701388888890506</c:v>
                      </c:pt>
                      <c:pt idx="7446">
                        <c:v>51.708333333335759</c:v>
                      </c:pt>
                      <c:pt idx="7447">
                        <c:v>51.715277777781012</c:v>
                      </c:pt>
                      <c:pt idx="7448">
                        <c:v>51.722222222218988</c:v>
                      </c:pt>
                      <c:pt idx="7449">
                        <c:v>51.729166666664241</c:v>
                      </c:pt>
                      <c:pt idx="7450">
                        <c:v>51.736111111109494</c:v>
                      </c:pt>
                      <c:pt idx="7451">
                        <c:v>51.743055555554747</c:v>
                      </c:pt>
                      <c:pt idx="7452">
                        <c:v>51.75</c:v>
                      </c:pt>
                      <c:pt idx="7453">
                        <c:v>51.756944444445253</c:v>
                      </c:pt>
                      <c:pt idx="7454">
                        <c:v>51.763888888890506</c:v>
                      </c:pt>
                      <c:pt idx="7455">
                        <c:v>51.770833333335759</c:v>
                      </c:pt>
                      <c:pt idx="7456">
                        <c:v>51.777777777781012</c:v>
                      </c:pt>
                      <c:pt idx="7457">
                        <c:v>51.784722222218988</c:v>
                      </c:pt>
                      <c:pt idx="7458">
                        <c:v>51.791666666664241</c:v>
                      </c:pt>
                      <c:pt idx="7459">
                        <c:v>51.798611111109494</c:v>
                      </c:pt>
                      <c:pt idx="7460">
                        <c:v>51.805555555554747</c:v>
                      </c:pt>
                      <c:pt idx="7461">
                        <c:v>51.8125</c:v>
                      </c:pt>
                      <c:pt idx="7462">
                        <c:v>51.819444444445253</c:v>
                      </c:pt>
                      <c:pt idx="7463">
                        <c:v>51.826388888890506</c:v>
                      </c:pt>
                      <c:pt idx="7464">
                        <c:v>51.833333333335759</c:v>
                      </c:pt>
                      <c:pt idx="7465">
                        <c:v>51.840277777781012</c:v>
                      </c:pt>
                      <c:pt idx="7466">
                        <c:v>51.847222222218988</c:v>
                      </c:pt>
                      <c:pt idx="7467">
                        <c:v>51.854166666664241</c:v>
                      </c:pt>
                      <c:pt idx="7468">
                        <c:v>51.861111111109494</c:v>
                      </c:pt>
                      <c:pt idx="7469">
                        <c:v>51.868055555554747</c:v>
                      </c:pt>
                      <c:pt idx="7470">
                        <c:v>51.875</c:v>
                      </c:pt>
                      <c:pt idx="7471">
                        <c:v>51.881944444445253</c:v>
                      </c:pt>
                      <c:pt idx="7472">
                        <c:v>51.888888888890506</c:v>
                      </c:pt>
                      <c:pt idx="7473">
                        <c:v>51.895833333335759</c:v>
                      </c:pt>
                      <c:pt idx="7474">
                        <c:v>51.902777777781012</c:v>
                      </c:pt>
                      <c:pt idx="7475">
                        <c:v>51.909722222218988</c:v>
                      </c:pt>
                      <c:pt idx="7476">
                        <c:v>51.916666666664241</c:v>
                      </c:pt>
                      <c:pt idx="7477">
                        <c:v>51.923611111109494</c:v>
                      </c:pt>
                      <c:pt idx="7478">
                        <c:v>51.930555555554747</c:v>
                      </c:pt>
                      <c:pt idx="7479">
                        <c:v>51.9375</c:v>
                      </c:pt>
                      <c:pt idx="7480">
                        <c:v>51.944444444445253</c:v>
                      </c:pt>
                      <c:pt idx="7481">
                        <c:v>51.951388888890506</c:v>
                      </c:pt>
                      <c:pt idx="7482">
                        <c:v>51.958333333335759</c:v>
                      </c:pt>
                      <c:pt idx="7483">
                        <c:v>51.965277777781012</c:v>
                      </c:pt>
                      <c:pt idx="7484">
                        <c:v>51.972222222218988</c:v>
                      </c:pt>
                      <c:pt idx="7485">
                        <c:v>51.979166666664241</c:v>
                      </c:pt>
                      <c:pt idx="7486">
                        <c:v>51.986111111109494</c:v>
                      </c:pt>
                      <c:pt idx="7487">
                        <c:v>51.993055555554747</c:v>
                      </c:pt>
                      <c:pt idx="7488">
                        <c:v>52</c:v>
                      </c:pt>
                      <c:pt idx="7489">
                        <c:v>52.006944444445253</c:v>
                      </c:pt>
                      <c:pt idx="7490">
                        <c:v>52.013888888890506</c:v>
                      </c:pt>
                      <c:pt idx="7491">
                        <c:v>52.020833333335759</c:v>
                      </c:pt>
                      <c:pt idx="7492">
                        <c:v>52.027777777781012</c:v>
                      </c:pt>
                      <c:pt idx="7493">
                        <c:v>52.034722222218988</c:v>
                      </c:pt>
                      <c:pt idx="7494">
                        <c:v>52.041666666664241</c:v>
                      </c:pt>
                      <c:pt idx="7495">
                        <c:v>52.048611111109494</c:v>
                      </c:pt>
                      <c:pt idx="7496">
                        <c:v>52.055555555554747</c:v>
                      </c:pt>
                      <c:pt idx="7497">
                        <c:v>52.0625</c:v>
                      </c:pt>
                      <c:pt idx="7498">
                        <c:v>52.069444444445253</c:v>
                      </c:pt>
                      <c:pt idx="7499">
                        <c:v>52.076388888890506</c:v>
                      </c:pt>
                      <c:pt idx="7500">
                        <c:v>52.083333333335759</c:v>
                      </c:pt>
                      <c:pt idx="7501">
                        <c:v>52.090277777781012</c:v>
                      </c:pt>
                      <c:pt idx="7502">
                        <c:v>52.097222222218988</c:v>
                      </c:pt>
                      <c:pt idx="7503">
                        <c:v>52.104166666664241</c:v>
                      </c:pt>
                      <c:pt idx="7504">
                        <c:v>52.111111111109494</c:v>
                      </c:pt>
                      <c:pt idx="7505">
                        <c:v>52.118055555554747</c:v>
                      </c:pt>
                      <c:pt idx="7506">
                        <c:v>52.125</c:v>
                      </c:pt>
                      <c:pt idx="7507">
                        <c:v>52.131944444445253</c:v>
                      </c:pt>
                      <c:pt idx="7508">
                        <c:v>52.138888888890506</c:v>
                      </c:pt>
                      <c:pt idx="7509">
                        <c:v>52.145833333335759</c:v>
                      </c:pt>
                      <c:pt idx="7510">
                        <c:v>52.152777777781012</c:v>
                      </c:pt>
                      <c:pt idx="7511">
                        <c:v>52.159722222218988</c:v>
                      </c:pt>
                      <c:pt idx="7512">
                        <c:v>52.166666666664241</c:v>
                      </c:pt>
                      <c:pt idx="7513">
                        <c:v>52.173611111109494</c:v>
                      </c:pt>
                      <c:pt idx="7514">
                        <c:v>52.180555555554747</c:v>
                      </c:pt>
                      <c:pt idx="7515">
                        <c:v>52.1875</c:v>
                      </c:pt>
                      <c:pt idx="7516">
                        <c:v>52.194444444445253</c:v>
                      </c:pt>
                      <c:pt idx="7517">
                        <c:v>52.201388888890506</c:v>
                      </c:pt>
                      <c:pt idx="7518">
                        <c:v>52.208333333335759</c:v>
                      </c:pt>
                      <c:pt idx="7519">
                        <c:v>52.215277777781012</c:v>
                      </c:pt>
                      <c:pt idx="7520">
                        <c:v>52.222222222218988</c:v>
                      </c:pt>
                      <c:pt idx="7521">
                        <c:v>52.229166666664241</c:v>
                      </c:pt>
                      <c:pt idx="7522">
                        <c:v>52.236111111109494</c:v>
                      </c:pt>
                      <c:pt idx="7523">
                        <c:v>52.243055555554747</c:v>
                      </c:pt>
                      <c:pt idx="7524">
                        <c:v>52.25</c:v>
                      </c:pt>
                      <c:pt idx="7525">
                        <c:v>52.256944444445253</c:v>
                      </c:pt>
                      <c:pt idx="7526">
                        <c:v>52.263888888890506</c:v>
                      </c:pt>
                      <c:pt idx="7527">
                        <c:v>52.270833333335759</c:v>
                      </c:pt>
                      <c:pt idx="7528">
                        <c:v>52.277777777781012</c:v>
                      </c:pt>
                      <c:pt idx="7529">
                        <c:v>52.284722222218988</c:v>
                      </c:pt>
                      <c:pt idx="7530">
                        <c:v>52.291666666664241</c:v>
                      </c:pt>
                      <c:pt idx="7531">
                        <c:v>52.298611111109494</c:v>
                      </c:pt>
                      <c:pt idx="7532">
                        <c:v>52.305555555554747</c:v>
                      </c:pt>
                      <c:pt idx="7533">
                        <c:v>52.3125</c:v>
                      </c:pt>
                      <c:pt idx="7534">
                        <c:v>52.319444444445253</c:v>
                      </c:pt>
                      <c:pt idx="7535">
                        <c:v>52.326388888890506</c:v>
                      </c:pt>
                      <c:pt idx="7536">
                        <c:v>52.333333333335759</c:v>
                      </c:pt>
                      <c:pt idx="7537">
                        <c:v>52.340277777781012</c:v>
                      </c:pt>
                      <c:pt idx="7538">
                        <c:v>52.347222222218988</c:v>
                      </c:pt>
                      <c:pt idx="7539">
                        <c:v>52.354166666664241</c:v>
                      </c:pt>
                      <c:pt idx="7540">
                        <c:v>52.361111111109494</c:v>
                      </c:pt>
                      <c:pt idx="7541">
                        <c:v>52.368055555554747</c:v>
                      </c:pt>
                      <c:pt idx="7542">
                        <c:v>52.375</c:v>
                      </c:pt>
                      <c:pt idx="7543">
                        <c:v>52.381944444445253</c:v>
                      </c:pt>
                      <c:pt idx="7544">
                        <c:v>52.388888888890506</c:v>
                      </c:pt>
                      <c:pt idx="7545">
                        <c:v>52.395833333335759</c:v>
                      </c:pt>
                      <c:pt idx="7546">
                        <c:v>52.402777777781012</c:v>
                      </c:pt>
                      <c:pt idx="7547">
                        <c:v>52.409722222218988</c:v>
                      </c:pt>
                      <c:pt idx="7548">
                        <c:v>52.416666666664241</c:v>
                      </c:pt>
                      <c:pt idx="7549">
                        <c:v>52.423611111109494</c:v>
                      </c:pt>
                      <c:pt idx="7550">
                        <c:v>52.430555555554747</c:v>
                      </c:pt>
                      <c:pt idx="7551">
                        <c:v>52.4375</c:v>
                      </c:pt>
                      <c:pt idx="7552">
                        <c:v>52.444444444445253</c:v>
                      </c:pt>
                      <c:pt idx="7553">
                        <c:v>52.451388888890506</c:v>
                      </c:pt>
                      <c:pt idx="7554">
                        <c:v>52.458333333335759</c:v>
                      </c:pt>
                      <c:pt idx="7555">
                        <c:v>52.465277777781012</c:v>
                      </c:pt>
                      <c:pt idx="7556">
                        <c:v>52.472222222218988</c:v>
                      </c:pt>
                      <c:pt idx="7557">
                        <c:v>52.479166666664241</c:v>
                      </c:pt>
                      <c:pt idx="7558">
                        <c:v>52.486111111109494</c:v>
                      </c:pt>
                      <c:pt idx="7559">
                        <c:v>52.493055555554747</c:v>
                      </c:pt>
                      <c:pt idx="7560">
                        <c:v>52.5</c:v>
                      </c:pt>
                      <c:pt idx="7561">
                        <c:v>52.506944444445253</c:v>
                      </c:pt>
                      <c:pt idx="7562">
                        <c:v>52.513888888890506</c:v>
                      </c:pt>
                      <c:pt idx="7563">
                        <c:v>52.520833333335759</c:v>
                      </c:pt>
                      <c:pt idx="7564">
                        <c:v>52.527777777781012</c:v>
                      </c:pt>
                      <c:pt idx="7565">
                        <c:v>52.534722222218988</c:v>
                      </c:pt>
                      <c:pt idx="7566">
                        <c:v>52.541666666664241</c:v>
                      </c:pt>
                      <c:pt idx="7567">
                        <c:v>52.548611111109494</c:v>
                      </c:pt>
                      <c:pt idx="7568">
                        <c:v>52.555555555554747</c:v>
                      </c:pt>
                      <c:pt idx="7569">
                        <c:v>52.5625</c:v>
                      </c:pt>
                      <c:pt idx="7570">
                        <c:v>52.569444444445253</c:v>
                      </c:pt>
                      <c:pt idx="7571">
                        <c:v>52.576388888890506</c:v>
                      </c:pt>
                      <c:pt idx="7572">
                        <c:v>52.583333333335759</c:v>
                      </c:pt>
                      <c:pt idx="7573">
                        <c:v>52.590277777781012</c:v>
                      </c:pt>
                      <c:pt idx="7574">
                        <c:v>52.597222222218988</c:v>
                      </c:pt>
                      <c:pt idx="7575">
                        <c:v>52.604166666664241</c:v>
                      </c:pt>
                      <c:pt idx="7576">
                        <c:v>52.611111111109494</c:v>
                      </c:pt>
                      <c:pt idx="7577">
                        <c:v>52.618055555554747</c:v>
                      </c:pt>
                      <c:pt idx="7578">
                        <c:v>52.625</c:v>
                      </c:pt>
                      <c:pt idx="7579">
                        <c:v>52.631944444445253</c:v>
                      </c:pt>
                      <c:pt idx="7580">
                        <c:v>52.638888888890506</c:v>
                      </c:pt>
                      <c:pt idx="7581">
                        <c:v>52.645833333335759</c:v>
                      </c:pt>
                      <c:pt idx="7582">
                        <c:v>52.652777777781012</c:v>
                      </c:pt>
                      <c:pt idx="7583">
                        <c:v>52.659722222218988</c:v>
                      </c:pt>
                      <c:pt idx="7584">
                        <c:v>52.666666666664241</c:v>
                      </c:pt>
                      <c:pt idx="7585">
                        <c:v>52.673611111109494</c:v>
                      </c:pt>
                      <c:pt idx="7586">
                        <c:v>52.680555555554747</c:v>
                      </c:pt>
                      <c:pt idx="7587">
                        <c:v>52.6875</c:v>
                      </c:pt>
                      <c:pt idx="7588">
                        <c:v>52.694444444445253</c:v>
                      </c:pt>
                      <c:pt idx="7589">
                        <c:v>52.701388888890506</c:v>
                      </c:pt>
                      <c:pt idx="7590">
                        <c:v>52.708333333335759</c:v>
                      </c:pt>
                      <c:pt idx="7591">
                        <c:v>52.715277777781012</c:v>
                      </c:pt>
                      <c:pt idx="7592">
                        <c:v>52.722222222218988</c:v>
                      </c:pt>
                      <c:pt idx="7593">
                        <c:v>52.729166666664241</c:v>
                      </c:pt>
                      <c:pt idx="7594">
                        <c:v>52.736111111109494</c:v>
                      </c:pt>
                      <c:pt idx="7595">
                        <c:v>52.743055555554747</c:v>
                      </c:pt>
                      <c:pt idx="7596">
                        <c:v>52.75</c:v>
                      </c:pt>
                      <c:pt idx="7597">
                        <c:v>52.756944444445253</c:v>
                      </c:pt>
                      <c:pt idx="7598">
                        <c:v>52.763888888890506</c:v>
                      </c:pt>
                      <c:pt idx="7599">
                        <c:v>52.770833333335759</c:v>
                      </c:pt>
                      <c:pt idx="7600">
                        <c:v>52.777777777781012</c:v>
                      </c:pt>
                      <c:pt idx="7601">
                        <c:v>52.784722222218988</c:v>
                      </c:pt>
                      <c:pt idx="7602">
                        <c:v>52.791666666664241</c:v>
                      </c:pt>
                      <c:pt idx="7603">
                        <c:v>52.798611111109494</c:v>
                      </c:pt>
                      <c:pt idx="7604">
                        <c:v>52.805555555554747</c:v>
                      </c:pt>
                      <c:pt idx="7605">
                        <c:v>52.8125</c:v>
                      </c:pt>
                      <c:pt idx="7606">
                        <c:v>52.819444444445253</c:v>
                      </c:pt>
                      <c:pt idx="7607">
                        <c:v>52.826388888890506</c:v>
                      </c:pt>
                      <c:pt idx="7608">
                        <c:v>52.833333333335759</c:v>
                      </c:pt>
                      <c:pt idx="7609">
                        <c:v>52.840277777781012</c:v>
                      </c:pt>
                      <c:pt idx="7610">
                        <c:v>52.847222222218988</c:v>
                      </c:pt>
                      <c:pt idx="7611">
                        <c:v>52.854166666664241</c:v>
                      </c:pt>
                      <c:pt idx="7612">
                        <c:v>52.861111111109494</c:v>
                      </c:pt>
                      <c:pt idx="7613">
                        <c:v>52.868055555554747</c:v>
                      </c:pt>
                      <c:pt idx="7614">
                        <c:v>52.875</c:v>
                      </c:pt>
                      <c:pt idx="7615">
                        <c:v>52.881944444445253</c:v>
                      </c:pt>
                      <c:pt idx="7616">
                        <c:v>52.888888888890506</c:v>
                      </c:pt>
                      <c:pt idx="7617">
                        <c:v>52.895833333335759</c:v>
                      </c:pt>
                      <c:pt idx="7618">
                        <c:v>52.902777777781012</c:v>
                      </c:pt>
                      <c:pt idx="7619">
                        <c:v>52.909722222218988</c:v>
                      </c:pt>
                      <c:pt idx="7620">
                        <c:v>52.916666666664241</c:v>
                      </c:pt>
                      <c:pt idx="7621">
                        <c:v>52.923611111109494</c:v>
                      </c:pt>
                      <c:pt idx="7622">
                        <c:v>52.930555555554747</c:v>
                      </c:pt>
                      <c:pt idx="7623">
                        <c:v>52.9375</c:v>
                      </c:pt>
                      <c:pt idx="7624">
                        <c:v>52.944444444445253</c:v>
                      </c:pt>
                      <c:pt idx="7625">
                        <c:v>52.951388888890506</c:v>
                      </c:pt>
                      <c:pt idx="7626">
                        <c:v>52.958333333335759</c:v>
                      </c:pt>
                      <c:pt idx="7627">
                        <c:v>52.965277777781012</c:v>
                      </c:pt>
                      <c:pt idx="7628">
                        <c:v>52.972222222218988</c:v>
                      </c:pt>
                      <c:pt idx="7629">
                        <c:v>52.979166666664241</c:v>
                      </c:pt>
                      <c:pt idx="7630">
                        <c:v>52.986111111109494</c:v>
                      </c:pt>
                      <c:pt idx="7631">
                        <c:v>52.993055555554747</c:v>
                      </c:pt>
                      <c:pt idx="7632">
                        <c:v>53</c:v>
                      </c:pt>
                      <c:pt idx="7633">
                        <c:v>53.006944444445253</c:v>
                      </c:pt>
                      <c:pt idx="7634">
                        <c:v>53.013888888890506</c:v>
                      </c:pt>
                      <c:pt idx="7635">
                        <c:v>53.020833333335759</c:v>
                      </c:pt>
                      <c:pt idx="7636">
                        <c:v>53.027777777781012</c:v>
                      </c:pt>
                      <c:pt idx="7637">
                        <c:v>53.034722222218988</c:v>
                      </c:pt>
                      <c:pt idx="7638">
                        <c:v>53.041666666664241</c:v>
                      </c:pt>
                      <c:pt idx="7639">
                        <c:v>53.048611111109494</c:v>
                      </c:pt>
                      <c:pt idx="7640">
                        <c:v>53.055555555554747</c:v>
                      </c:pt>
                      <c:pt idx="7641">
                        <c:v>53.0625</c:v>
                      </c:pt>
                      <c:pt idx="7642">
                        <c:v>53.069444444445253</c:v>
                      </c:pt>
                      <c:pt idx="7643">
                        <c:v>53.076388888890506</c:v>
                      </c:pt>
                      <c:pt idx="7644">
                        <c:v>53.083333333335759</c:v>
                      </c:pt>
                      <c:pt idx="7645">
                        <c:v>53.090277777781012</c:v>
                      </c:pt>
                      <c:pt idx="7646">
                        <c:v>53.097222222218988</c:v>
                      </c:pt>
                      <c:pt idx="7647">
                        <c:v>53.104166666664241</c:v>
                      </c:pt>
                      <c:pt idx="7648">
                        <c:v>53.111111111109494</c:v>
                      </c:pt>
                      <c:pt idx="7649">
                        <c:v>53.118055555554747</c:v>
                      </c:pt>
                      <c:pt idx="7650">
                        <c:v>53.125</c:v>
                      </c:pt>
                      <c:pt idx="7651">
                        <c:v>53.131944444445253</c:v>
                      </c:pt>
                      <c:pt idx="7652">
                        <c:v>53.138888888890506</c:v>
                      </c:pt>
                      <c:pt idx="7653">
                        <c:v>53.145833333335759</c:v>
                      </c:pt>
                      <c:pt idx="7654">
                        <c:v>53.152777777781012</c:v>
                      </c:pt>
                      <c:pt idx="7655">
                        <c:v>53.159722222218988</c:v>
                      </c:pt>
                      <c:pt idx="7656">
                        <c:v>53.166666666664241</c:v>
                      </c:pt>
                      <c:pt idx="7657">
                        <c:v>53.173611111109494</c:v>
                      </c:pt>
                      <c:pt idx="7658">
                        <c:v>53.180555555554747</c:v>
                      </c:pt>
                      <c:pt idx="7659">
                        <c:v>53.1875</c:v>
                      </c:pt>
                      <c:pt idx="7660">
                        <c:v>53.194444444445253</c:v>
                      </c:pt>
                      <c:pt idx="7661">
                        <c:v>53.201388888890506</c:v>
                      </c:pt>
                      <c:pt idx="7662">
                        <c:v>53.208333333335759</c:v>
                      </c:pt>
                      <c:pt idx="7663">
                        <c:v>53.215277777781012</c:v>
                      </c:pt>
                      <c:pt idx="7664">
                        <c:v>53.222222222218988</c:v>
                      </c:pt>
                      <c:pt idx="7665">
                        <c:v>53.229166666664241</c:v>
                      </c:pt>
                      <c:pt idx="7666">
                        <c:v>53.236111111109494</c:v>
                      </c:pt>
                      <c:pt idx="7667">
                        <c:v>53.243055555554747</c:v>
                      </c:pt>
                      <c:pt idx="7668">
                        <c:v>53.25</c:v>
                      </c:pt>
                      <c:pt idx="7669">
                        <c:v>53.256944444445253</c:v>
                      </c:pt>
                      <c:pt idx="7670">
                        <c:v>53.263888888890506</c:v>
                      </c:pt>
                      <c:pt idx="7671">
                        <c:v>53.270833333335759</c:v>
                      </c:pt>
                      <c:pt idx="7672">
                        <c:v>53.277777777781012</c:v>
                      </c:pt>
                      <c:pt idx="7673">
                        <c:v>53.284722222218988</c:v>
                      </c:pt>
                      <c:pt idx="7674">
                        <c:v>53.291666666664241</c:v>
                      </c:pt>
                      <c:pt idx="7675">
                        <c:v>53.298611111109494</c:v>
                      </c:pt>
                      <c:pt idx="7676">
                        <c:v>53.305555555554747</c:v>
                      </c:pt>
                      <c:pt idx="7677">
                        <c:v>53.3125</c:v>
                      </c:pt>
                      <c:pt idx="7678">
                        <c:v>53.319444444445253</c:v>
                      </c:pt>
                      <c:pt idx="7679">
                        <c:v>53.326388888890506</c:v>
                      </c:pt>
                      <c:pt idx="7680">
                        <c:v>53.333333333335759</c:v>
                      </c:pt>
                      <c:pt idx="7681">
                        <c:v>53.340277777781012</c:v>
                      </c:pt>
                      <c:pt idx="7682">
                        <c:v>53.347222222218988</c:v>
                      </c:pt>
                      <c:pt idx="7683">
                        <c:v>53.354166666664241</c:v>
                      </c:pt>
                      <c:pt idx="7684">
                        <c:v>53.361111111109494</c:v>
                      </c:pt>
                      <c:pt idx="7685">
                        <c:v>53.368055555554747</c:v>
                      </c:pt>
                      <c:pt idx="7686">
                        <c:v>53.375</c:v>
                      </c:pt>
                      <c:pt idx="7687">
                        <c:v>53.381944444445253</c:v>
                      </c:pt>
                      <c:pt idx="7688">
                        <c:v>53.388888888890506</c:v>
                      </c:pt>
                      <c:pt idx="7689">
                        <c:v>53.395833333335759</c:v>
                      </c:pt>
                      <c:pt idx="7690">
                        <c:v>53.402777777781012</c:v>
                      </c:pt>
                      <c:pt idx="7691">
                        <c:v>53.409722222218988</c:v>
                      </c:pt>
                      <c:pt idx="7692">
                        <c:v>53.416666666664241</c:v>
                      </c:pt>
                      <c:pt idx="7693">
                        <c:v>53.423611111109494</c:v>
                      </c:pt>
                      <c:pt idx="7694">
                        <c:v>53.430555555554747</c:v>
                      </c:pt>
                      <c:pt idx="7695">
                        <c:v>53.4375</c:v>
                      </c:pt>
                      <c:pt idx="7696">
                        <c:v>53.444444444445253</c:v>
                      </c:pt>
                      <c:pt idx="7697">
                        <c:v>53.451388888890506</c:v>
                      </c:pt>
                      <c:pt idx="7698">
                        <c:v>53.458333333335759</c:v>
                      </c:pt>
                      <c:pt idx="7699">
                        <c:v>53.465277777781012</c:v>
                      </c:pt>
                      <c:pt idx="7700">
                        <c:v>53.472222222218988</c:v>
                      </c:pt>
                      <c:pt idx="7701">
                        <c:v>53.479166666664241</c:v>
                      </c:pt>
                      <c:pt idx="7702">
                        <c:v>53.486111111109494</c:v>
                      </c:pt>
                      <c:pt idx="7703">
                        <c:v>53.493055555554747</c:v>
                      </c:pt>
                      <c:pt idx="7704">
                        <c:v>53.5</c:v>
                      </c:pt>
                      <c:pt idx="7705">
                        <c:v>53.506944444445253</c:v>
                      </c:pt>
                      <c:pt idx="7706">
                        <c:v>53.513888888890506</c:v>
                      </c:pt>
                      <c:pt idx="7707">
                        <c:v>53.520833333335759</c:v>
                      </c:pt>
                      <c:pt idx="7708">
                        <c:v>53.527777777781012</c:v>
                      </c:pt>
                      <c:pt idx="7709">
                        <c:v>53.534722222218988</c:v>
                      </c:pt>
                      <c:pt idx="7710">
                        <c:v>53.541666666664241</c:v>
                      </c:pt>
                      <c:pt idx="7711">
                        <c:v>53.548611111109494</c:v>
                      </c:pt>
                      <c:pt idx="7712">
                        <c:v>53.555555555554747</c:v>
                      </c:pt>
                      <c:pt idx="7713">
                        <c:v>53.5625</c:v>
                      </c:pt>
                      <c:pt idx="7714">
                        <c:v>53.569444444445253</c:v>
                      </c:pt>
                      <c:pt idx="7715">
                        <c:v>53.576388888890506</c:v>
                      </c:pt>
                      <c:pt idx="7716">
                        <c:v>53.583333333335759</c:v>
                      </c:pt>
                      <c:pt idx="7717">
                        <c:v>53.590277777781012</c:v>
                      </c:pt>
                      <c:pt idx="7718">
                        <c:v>53.597222222218988</c:v>
                      </c:pt>
                      <c:pt idx="7719">
                        <c:v>53.604166666664241</c:v>
                      </c:pt>
                      <c:pt idx="7720">
                        <c:v>53.611111111109494</c:v>
                      </c:pt>
                      <c:pt idx="7721">
                        <c:v>53.618055555554747</c:v>
                      </c:pt>
                      <c:pt idx="7722">
                        <c:v>53.625</c:v>
                      </c:pt>
                      <c:pt idx="7723">
                        <c:v>53.631944444445253</c:v>
                      </c:pt>
                      <c:pt idx="7724">
                        <c:v>53.638888888890506</c:v>
                      </c:pt>
                      <c:pt idx="7725">
                        <c:v>53.645833333335759</c:v>
                      </c:pt>
                      <c:pt idx="7726">
                        <c:v>53.652777777781012</c:v>
                      </c:pt>
                      <c:pt idx="7727">
                        <c:v>53.659722222218988</c:v>
                      </c:pt>
                      <c:pt idx="7728">
                        <c:v>53.666666666664241</c:v>
                      </c:pt>
                      <c:pt idx="7729">
                        <c:v>53.673611111109494</c:v>
                      </c:pt>
                      <c:pt idx="7730">
                        <c:v>53.680555555554747</c:v>
                      </c:pt>
                      <c:pt idx="7731">
                        <c:v>53.6875</c:v>
                      </c:pt>
                      <c:pt idx="7732">
                        <c:v>53.694444444445253</c:v>
                      </c:pt>
                      <c:pt idx="7733">
                        <c:v>53.701388888890506</c:v>
                      </c:pt>
                      <c:pt idx="7734">
                        <c:v>53.708333333335759</c:v>
                      </c:pt>
                      <c:pt idx="7735">
                        <c:v>53.715277777781012</c:v>
                      </c:pt>
                      <c:pt idx="7736">
                        <c:v>53.722222222218988</c:v>
                      </c:pt>
                      <c:pt idx="7737">
                        <c:v>53.729166666664241</c:v>
                      </c:pt>
                      <c:pt idx="7738">
                        <c:v>53.736111111109494</c:v>
                      </c:pt>
                      <c:pt idx="7739">
                        <c:v>53.743055555554747</c:v>
                      </c:pt>
                      <c:pt idx="7740">
                        <c:v>53.75</c:v>
                      </c:pt>
                      <c:pt idx="7741">
                        <c:v>53.756944444445253</c:v>
                      </c:pt>
                      <c:pt idx="7742">
                        <c:v>53.763888888890506</c:v>
                      </c:pt>
                      <c:pt idx="7743">
                        <c:v>53.770833333335759</c:v>
                      </c:pt>
                      <c:pt idx="7744">
                        <c:v>53.777777777781012</c:v>
                      </c:pt>
                      <c:pt idx="7745">
                        <c:v>53.784722222218988</c:v>
                      </c:pt>
                      <c:pt idx="7746">
                        <c:v>53.791666666664241</c:v>
                      </c:pt>
                      <c:pt idx="7747">
                        <c:v>53.798611111109494</c:v>
                      </c:pt>
                      <c:pt idx="7748">
                        <c:v>53.805555555554747</c:v>
                      </c:pt>
                      <c:pt idx="7749">
                        <c:v>53.8125</c:v>
                      </c:pt>
                      <c:pt idx="7750">
                        <c:v>53.819444444445253</c:v>
                      </c:pt>
                      <c:pt idx="7751">
                        <c:v>53.826388888890506</c:v>
                      </c:pt>
                      <c:pt idx="7752">
                        <c:v>53.833333333335759</c:v>
                      </c:pt>
                      <c:pt idx="7753">
                        <c:v>53.840277777781012</c:v>
                      </c:pt>
                      <c:pt idx="7754">
                        <c:v>53.847222222218988</c:v>
                      </c:pt>
                      <c:pt idx="7755">
                        <c:v>53.854166666664241</c:v>
                      </c:pt>
                      <c:pt idx="7756">
                        <c:v>53.861111111109494</c:v>
                      </c:pt>
                      <c:pt idx="7757">
                        <c:v>53.868055555554747</c:v>
                      </c:pt>
                      <c:pt idx="7758">
                        <c:v>53.875</c:v>
                      </c:pt>
                      <c:pt idx="7759">
                        <c:v>53.881944444445253</c:v>
                      </c:pt>
                      <c:pt idx="7760">
                        <c:v>53.888888888890506</c:v>
                      </c:pt>
                      <c:pt idx="7761">
                        <c:v>53.895833333335759</c:v>
                      </c:pt>
                      <c:pt idx="7762">
                        <c:v>53.902777777781012</c:v>
                      </c:pt>
                      <c:pt idx="7763">
                        <c:v>53.909722222218988</c:v>
                      </c:pt>
                      <c:pt idx="7764">
                        <c:v>53.916666666664241</c:v>
                      </c:pt>
                      <c:pt idx="7765">
                        <c:v>53.923611111109494</c:v>
                      </c:pt>
                      <c:pt idx="7766">
                        <c:v>53.930555555554747</c:v>
                      </c:pt>
                      <c:pt idx="7767">
                        <c:v>53.9375</c:v>
                      </c:pt>
                      <c:pt idx="7768">
                        <c:v>53.944444444445253</c:v>
                      </c:pt>
                      <c:pt idx="7769">
                        <c:v>53.951388888890506</c:v>
                      </c:pt>
                      <c:pt idx="7770">
                        <c:v>53.958333333335759</c:v>
                      </c:pt>
                      <c:pt idx="7771">
                        <c:v>53.965277777781012</c:v>
                      </c:pt>
                      <c:pt idx="7772">
                        <c:v>53.972222222218988</c:v>
                      </c:pt>
                      <c:pt idx="7773">
                        <c:v>53.979166666664241</c:v>
                      </c:pt>
                      <c:pt idx="7774">
                        <c:v>53.986111111109494</c:v>
                      </c:pt>
                      <c:pt idx="7775">
                        <c:v>53.993055555554747</c:v>
                      </c:pt>
                      <c:pt idx="7776">
                        <c:v>54</c:v>
                      </c:pt>
                      <c:pt idx="7777">
                        <c:v>54.006944444445253</c:v>
                      </c:pt>
                      <c:pt idx="7778">
                        <c:v>54.013888888890506</c:v>
                      </c:pt>
                      <c:pt idx="7779">
                        <c:v>54.020833333335759</c:v>
                      </c:pt>
                      <c:pt idx="7780">
                        <c:v>54.027777777781012</c:v>
                      </c:pt>
                      <c:pt idx="7781">
                        <c:v>54.034722222218988</c:v>
                      </c:pt>
                      <c:pt idx="7782">
                        <c:v>54.041666666664241</c:v>
                      </c:pt>
                      <c:pt idx="7783">
                        <c:v>54.048611111109494</c:v>
                      </c:pt>
                      <c:pt idx="7784">
                        <c:v>54.055555555554747</c:v>
                      </c:pt>
                      <c:pt idx="7785">
                        <c:v>54.0625</c:v>
                      </c:pt>
                      <c:pt idx="7786">
                        <c:v>54.069444444445253</c:v>
                      </c:pt>
                      <c:pt idx="7787">
                        <c:v>54.076388888890506</c:v>
                      </c:pt>
                      <c:pt idx="7788">
                        <c:v>54.083333333335759</c:v>
                      </c:pt>
                      <c:pt idx="7789">
                        <c:v>54.090277777781012</c:v>
                      </c:pt>
                      <c:pt idx="7790">
                        <c:v>54.097222222218988</c:v>
                      </c:pt>
                      <c:pt idx="7791">
                        <c:v>54.104166666664241</c:v>
                      </c:pt>
                      <c:pt idx="7792">
                        <c:v>54.111111111109494</c:v>
                      </c:pt>
                      <c:pt idx="7793">
                        <c:v>54.118055555554747</c:v>
                      </c:pt>
                      <c:pt idx="7794">
                        <c:v>54.125</c:v>
                      </c:pt>
                      <c:pt idx="7795">
                        <c:v>54.131944444445253</c:v>
                      </c:pt>
                      <c:pt idx="7796">
                        <c:v>54.138888888890506</c:v>
                      </c:pt>
                      <c:pt idx="7797">
                        <c:v>54.145833333335759</c:v>
                      </c:pt>
                      <c:pt idx="7798">
                        <c:v>54.152777777781012</c:v>
                      </c:pt>
                      <c:pt idx="7799">
                        <c:v>54.159722222218988</c:v>
                      </c:pt>
                      <c:pt idx="7800">
                        <c:v>54.166666666664241</c:v>
                      </c:pt>
                      <c:pt idx="7801">
                        <c:v>54.173611111109494</c:v>
                      </c:pt>
                      <c:pt idx="7802">
                        <c:v>54.180555555554747</c:v>
                      </c:pt>
                      <c:pt idx="7803">
                        <c:v>54.1875</c:v>
                      </c:pt>
                      <c:pt idx="7804">
                        <c:v>54.194444444445253</c:v>
                      </c:pt>
                      <c:pt idx="7805">
                        <c:v>54.201388888890506</c:v>
                      </c:pt>
                      <c:pt idx="7806">
                        <c:v>54.208333333335759</c:v>
                      </c:pt>
                      <c:pt idx="7807">
                        <c:v>54.215277777781012</c:v>
                      </c:pt>
                      <c:pt idx="7808">
                        <c:v>54.222222222218988</c:v>
                      </c:pt>
                      <c:pt idx="7809">
                        <c:v>54.229166666664241</c:v>
                      </c:pt>
                      <c:pt idx="7810">
                        <c:v>54.236111111109494</c:v>
                      </c:pt>
                      <c:pt idx="7811">
                        <c:v>54.243055555554747</c:v>
                      </c:pt>
                      <c:pt idx="7812">
                        <c:v>54.25</c:v>
                      </c:pt>
                      <c:pt idx="7813">
                        <c:v>54.256944444445253</c:v>
                      </c:pt>
                      <c:pt idx="7814">
                        <c:v>54.263888888890506</c:v>
                      </c:pt>
                      <c:pt idx="7815">
                        <c:v>54.270833333335759</c:v>
                      </c:pt>
                      <c:pt idx="7816">
                        <c:v>54.277777777781012</c:v>
                      </c:pt>
                      <c:pt idx="7817">
                        <c:v>54.284722222218988</c:v>
                      </c:pt>
                      <c:pt idx="7818">
                        <c:v>54.291666666664241</c:v>
                      </c:pt>
                      <c:pt idx="7819">
                        <c:v>54.298611111109494</c:v>
                      </c:pt>
                      <c:pt idx="7820">
                        <c:v>54.305555555554747</c:v>
                      </c:pt>
                      <c:pt idx="7821">
                        <c:v>54.3125</c:v>
                      </c:pt>
                      <c:pt idx="7822">
                        <c:v>54.319444444445253</c:v>
                      </c:pt>
                      <c:pt idx="7823">
                        <c:v>54.326388888890506</c:v>
                      </c:pt>
                      <c:pt idx="7824">
                        <c:v>54.333333333335759</c:v>
                      </c:pt>
                      <c:pt idx="7825">
                        <c:v>54.340277777781012</c:v>
                      </c:pt>
                      <c:pt idx="7826">
                        <c:v>54.347222222218988</c:v>
                      </c:pt>
                      <c:pt idx="7827">
                        <c:v>54.354166666664241</c:v>
                      </c:pt>
                      <c:pt idx="7828">
                        <c:v>54.361111111109494</c:v>
                      </c:pt>
                      <c:pt idx="7829">
                        <c:v>54.368055555554747</c:v>
                      </c:pt>
                      <c:pt idx="7830">
                        <c:v>54.375</c:v>
                      </c:pt>
                      <c:pt idx="7831">
                        <c:v>54.381944444445253</c:v>
                      </c:pt>
                      <c:pt idx="7832">
                        <c:v>54.388888888890506</c:v>
                      </c:pt>
                      <c:pt idx="7833">
                        <c:v>54.395833333335759</c:v>
                      </c:pt>
                      <c:pt idx="7834">
                        <c:v>54.402777777781012</c:v>
                      </c:pt>
                      <c:pt idx="7835">
                        <c:v>54.409722222218988</c:v>
                      </c:pt>
                      <c:pt idx="7836">
                        <c:v>54.416666666664241</c:v>
                      </c:pt>
                      <c:pt idx="7837">
                        <c:v>54.423611111109494</c:v>
                      </c:pt>
                      <c:pt idx="7838">
                        <c:v>54.430555555554747</c:v>
                      </c:pt>
                      <c:pt idx="7839">
                        <c:v>54.4375</c:v>
                      </c:pt>
                      <c:pt idx="7840">
                        <c:v>54.444444444445253</c:v>
                      </c:pt>
                      <c:pt idx="7841">
                        <c:v>54.451388888890506</c:v>
                      </c:pt>
                      <c:pt idx="7842">
                        <c:v>54.458333333335759</c:v>
                      </c:pt>
                      <c:pt idx="7843">
                        <c:v>54.465277777781012</c:v>
                      </c:pt>
                      <c:pt idx="7844">
                        <c:v>54.472222222218988</c:v>
                      </c:pt>
                      <c:pt idx="7845">
                        <c:v>54.479166666664241</c:v>
                      </c:pt>
                      <c:pt idx="7846">
                        <c:v>54.486111111109494</c:v>
                      </c:pt>
                      <c:pt idx="7847">
                        <c:v>54.493055555554747</c:v>
                      </c:pt>
                      <c:pt idx="7848">
                        <c:v>54.5</c:v>
                      </c:pt>
                      <c:pt idx="7849">
                        <c:v>54.506944444445253</c:v>
                      </c:pt>
                      <c:pt idx="7850">
                        <c:v>54.513888888890506</c:v>
                      </c:pt>
                      <c:pt idx="7851">
                        <c:v>54.520833333335759</c:v>
                      </c:pt>
                      <c:pt idx="7852">
                        <c:v>54.527777777781012</c:v>
                      </c:pt>
                      <c:pt idx="7853">
                        <c:v>54.534722222218988</c:v>
                      </c:pt>
                      <c:pt idx="7854">
                        <c:v>54.541666666664241</c:v>
                      </c:pt>
                      <c:pt idx="7855">
                        <c:v>54.548611111109494</c:v>
                      </c:pt>
                      <c:pt idx="7856">
                        <c:v>54.555555555554747</c:v>
                      </c:pt>
                      <c:pt idx="7857">
                        <c:v>54.5625</c:v>
                      </c:pt>
                      <c:pt idx="7858">
                        <c:v>54.569444444445253</c:v>
                      </c:pt>
                      <c:pt idx="7859">
                        <c:v>54.576388888890506</c:v>
                      </c:pt>
                      <c:pt idx="7860">
                        <c:v>54.583333333335759</c:v>
                      </c:pt>
                      <c:pt idx="7861">
                        <c:v>54.590277777781012</c:v>
                      </c:pt>
                      <c:pt idx="7862">
                        <c:v>54.597222222218988</c:v>
                      </c:pt>
                      <c:pt idx="7863">
                        <c:v>54.604166666664241</c:v>
                      </c:pt>
                      <c:pt idx="7864">
                        <c:v>54.611111111109494</c:v>
                      </c:pt>
                      <c:pt idx="7865">
                        <c:v>54.618055555554747</c:v>
                      </c:pt>
                      <c:pt idx="7866">
                        <c:v>54.625</c:v>
                      </c:pt>
                      <c:pt idx="7867">
                        <c:v>54.631944444445253</c:v>
                      </c:pt>
                      <c:pt idx="7868">
                        <c:v>54.638888888890506</c:v>
                      </c:pt>
                      <c:pt idx="7869">
                        <c:v>54.645833333335759</c:v>
                      </c:pt>
                      <c:pt idx="7870">
                        <c:v>54.652777777781012</c:v>
                      </c:pt>
                      <c:pt idx="7871">
                        <c:v>54.659722222218988</c:v>
                      </c:pt>
                      <c:pt idx="7872">
                        <c:v>54.666666666664241</c:v>
                      </c:pt>
                      <c:pt idx="7873">
                        <c:v>54.673611111109494</c:v>
                      </c:pt>
                      <c:pt idx="7874">
                        <c:v>54.680555555554747</c:v>
                      </c:pt>
                      <c:pt idx="7875">
                        <c:v>54.6875</c:v>
                      </c:pt>
                      <c:pt idx="7876">
                        <c:v>54.694444444445253</c:v>
                      </c:pt>
                      <c:pt idx="7877">
                        <c:v>54.701388888890506</c:v>
                      </c:pt>
                      <c:pt idx="7878">
                        <c:v>54.708333333335759</c:v>
                      </c:pt>
                      <c:pt idx="7879">
                        <c:v>54.715277777781012</c:v>
                      </c:pt>
                      <c:pt idx="7880">
                        <c:v>54.722222222218988</c:v>
                      </c:pt>
                      <c:pt idx="7881">
                        <c:v>54.729166666664241</c:v>
                      </c:pt>
                      <c:pt idx="7882">
                        <c:v>54.736111111109494</c:v>
                      </c:pt>
                      <c:pt idx="7883">
                        <c:v>54.743055555554747</c:v>
                      </c:pt>
                      <c:pt idx="7884">
                        <c:v>54.75</c:v>
                      </c:pt>
                      <c:pt idx="7885">
                        <c:v>54.756944444445253</c:v>
                      </c:pt>
                      <c:pt idx="7886">
                        <c:v>54.763888888890506</c:v>
                      </c:pt>
                      <c:pt idx="7887">
                        <c:v>54.770833333335759</c:v>
                      </c:pt>
                      <c:pt idx="7888">
                        <c:v>54.777777777781012</c:v>
                      </c:pt>
                      <c:pt idx="7889">
                        <c:v>54.784722222218988</c:v>
                      </c:pt>
                      <c:pt idx="7890">
                        <c:v>54.791666666664241</c:v>
                      </c:pt>
                      <c:pt idx="7891">
                        <c:v>54.798611111109494</c:v>
                      </c:pt>
                      <c:pt idx="7892">
                        <c:v>54.805555555554747</c:v>
                      </c:pt>
                      <c:pt idx="7893">
                        <c:v>54.8125</c:v>
                      </c:pt>
                      <c:pt idx="7894">
                        <c:v>54.819444444445253</c:v>
                      </c:pt>
                      <c:pt idx="7895">
                        <c:v>54.826388888890506</c:v>
                      </c:pt>
                      <c:pt idx="7896">
                        <c:v>54.833333333335759</c:v>
                      </c:pt>
                      <c:pt idx="7897">
                        <c:v>54.840277777781012</c:v>
                      </c:pt>
                      <c:pt idx="7898">
                        <c:v>54.847222222218988</c:v>
                      </c:pt>
                      <c:pt idx="7899">
                        <c:v>54.854166666664241</c:v>
                      </c:pt>
                      <c:pt idx="7900">
                        <c:v>54.861111111109494</c:v>
                      </c:pt>
                      <c:pt idx="7901">
                        <c:v>54.868055555554747</c:v>
                      </c:pt>
                      <c:pt idx="7902">
                        <c:v>54.875</c:v>
                      </c:pt>
                      <c:pt idx="7903">
                        <c:v>54.881944444445253</c:v>
                      </c:pt>
                      <c:pt idx="7904">
                        <c:v>54.888888888890506</c:v>
                      </c:pt>
                      <c:pt idx="7905">
                        <c:v>54.895833333335759</c:v>
                      </c:pt>
                      <c:pt idx="7906">
                        <c:v>54.902777777781012</c:v>
                      </c:pt>
                      <c:pt idx="7907">
                        <c:v>54.909722222218988</c:v>
                      </c:pt>
                      <c:pt idx="7908">
                        <c:v>54.916666666664241</c:v>
                      </c:pt>
                      <c:pt idx="7909">
                        <c:v>54.923611111109494</c:v>
                      </c:pt>
                      <c:pt idx="7910">
                        <c:v>54.930555555554747</c:v>
                      </c:pt>
                      <c:pt idx="7911">
                        <c:v>54.9375</c:v>
                      </c:pt>
                      <c:pt idx="7912">
                        <c:v>54.944444444445253</c:v>
                      </c:pt>
                      <c:pt idx="7913">
                        <c:v>54.951388888890506</c:v>
                      </c:pt>
                      <c:pt idx="7914">
                        <c:v>54.958333333335759</c:v>
                      </c:pt>
                      <c:pt idx="7915">
                        <c:v>54.965277777781012</c:v>
                      </c:pt>
                      <c:pt idx="7916">
                        <c:v>54.972222222218988</c:v>
                      </c:pt>
                      <c:pt idx="7917">
                        <c:v>54.979166666664241</c:v>
                      </c:pt>
                      <c:pt idx="7918">
                        <c:v>54.986111111109494</c:v>
                      </c:pt>
                      <c:pt idx="7919">
                        <c:v>54.993055555554747</c:v>
                      </c:pt>
                      <c:pt idx="7920">
                        <c:v>55</c:v>
                      </c:pt>
                      <c:pt idx="7921">
                        <c:v>55.006944444445253</c:v>
                      </c:pt>
                      <c:pt idx="7922">
                        <c:v>55.013888888890506</c:v>
                      </c:pt>
                      <c:pt idx="7923">
                        <c:v>55.020833333335759</c:v>
                      </c:pt>
                      <c:pt idx="7924">
                        <c:v>55.027777777781012</c:v>
                      </c:pt>
                      <c:pt idx="7925">
                        <c:v>55.034722222218988</c:v>
                      </c:pt>
                      <c:pt idx="7926">
                        <c:v>55.041666666664241</c:v>
                      </c:pt>
                      <c:pt idx="7927">
                        <c:v>55.048611111109494</c:v>
                      </c:pt>
                      <c:pt idx="7928">
                        <c:v>55.055555555554747</c:v>
                      </c:pt>
                      <c:pt idx="7929">
                        <c:v>55.0625</c:v>
                      </c:pt>
                      <c:pt idx="7930">
                        <c:v>55.069444444445253</c:v>
                      </c:pt>
                      <c:pt idx="7931">
                        <c:v>55.076388888890506</c:v>
                      </c:pt>
                      <c:pt idx="7932">
                        <c:v>55.083333333335759</c:v>
                      </c:pt>
                      <c:pt idx="7933">
                        <c:v>55.090277777781012</c:v>
                      </c:pt>
                      <c:pt idx="7934">
                        <c:v>55.097222222218988</c:v>
                      </c:pt>
                      <c:pt idx="7935">
                        <c:v>55.104166666664241</c:v>
                      </c:pt>
                      <c:pt idx="7936">
                        <c:v>55.111111111109494</c:v>
                      </c:pt>
                      <c:pt idx="7937">
                        <c:v>55.118055555554747</c:v>
                      </c:pt>
                      <c:pt idx="7938">
                        <c:v>55.125</c:v>
                      </c:pt>
                      <c:pt idx="7939">
                        <c:v>55.131944444445253</c:v>
                      </c:pt>
                      <c:pt idx="7940">
                        <c:v>55.138888888890506</c:v>
                      </c:pt>
                      <c:pt idx="7941">
                        <c:v>55.145833333335759</c:v>
                      </c:pt>
                      <c:pt idx="7942">
                        <c:v>55.152777777781012</c:v>
                      </c:pt>
                      <c:pt idx="7943">
                        <c:v>55.159722222218988</c:v>
                      </c:pt>
                      <c:pt idx="7944">
                        <c:v>55.166666666664241</c:v>
                      </c:pt>
                      <c:pt idx="7945">
                        <c:v>55.173611111109494</c:v>
                      </c:pt>
                      <c:pt idx="7946">
                        <c:v>55.180555555554747</c:v>
                      </c:pt>
                      <c:pt idx="7947">
                        <c:v>55.1875</c:v>
                      </c:pt>
                      <c:pt idx="7948">
                        <c:v>55.194444444445253</c:v>
                      </c:pt>
                      <c:pt idx="7949">
                        <c:v>55.201388888890506</c:v>
                      </c:pt>
                      <c:pt idx="7950">
                        <c:v>55.208333333335759</c:v>
                      </c:pt>
                      <c:pt idx="7951">
                        <c:v>55.215277777781012</c:v>
                      </c:pt>
                      <c:pt idx="7952">
                        <c:v>55.222222222218988</c:v>
                      </c:pt>
                      <c:pt idx="7953">
                        <c:v>55.229166666664241</c:v>
                      </c:pt>
                      <c:pt idx="7954">
                        <c:v>55.236111111109494</c:v>
                      </c:pt>
                      <c:pt idx="7955">
                        <c:v>55.243055555554747</c:v>
                      </c:pt>
                      <c:pt idx="7956">
                        <c:v>55.25</c:v>
                      </c:pt>
                      <c:pt idx="7957">
                        <c:v>55.256944444445253</c:v>
                      </c:pt>
                      <c:pt idx="7958">
                        <c:v>55.263888888890506</c:v>
                      </c:pt>
                      <c:pt idx="7959">
                        <c:v>55.270833333335759</c:v>
                      </c:pt>
                      <c:pt idx="7960">
                        <c:v>55.277777777781012</c:v>
                      </c:pt>
                      <c:pt idx="7961">
                        <c:v>55.284722222218988</c:v>
                      </c:pt>
                      <c:pt idx="7962">
                        <c:v>55.291666666664241</c:v>
                      </c:pt>
                      <c:pt idx="7963">
                        <c:v>55.298611111109494</c:v>
                      </c:pt>
                      <c:pt idx="7964">
                        <c:v>55.305555555554747</c:v>
                      </c:pt>
                      <c:pt idx="7965">
                        <c:v>55.3125</c:v>
                      </c:pt>
                      <c:pt idx="7966">
                        <c:v>55.319444444445253</c:v>
                      </c:pt>
                      <c:pt idx="7967">
                        <c:v>55.326388888890506</c:v>
                      </c:pt>
                      <c:pt idx="7968">
                        <c:v>55.333333333335759</c:v>
                      </c:pt>
                      <c:pt idx="7969">
                        <c:v>55.340277777781012</c:v>
                      </c:pt>
                      <c:pt idx="7970">
                        <c:v>55.347222222218988</c:v>
                      </c:pt>
                      <c:pt idx="7971">
                        <c:v>55.354166666664241</c:v>
                      </c:pt>
                      <c:pt idx="7972">
                        <c:v>55.361111111109494</c:v>
                      </c:pt>
                      <c:pt idx="7973">
                        <c:v>55.368055555554747</c:v>
                      </c:pt>
                      <c:pt idx="7974">
                        <c:v>55.375</c:v>
                      </c:pt>
                      <c:pt idx="7975">
                        <c:v>55.381944444445253</c:v>
                      </c:pt>
                      <c:pt idx="7976">
                        <c:v>55.388888888890506</c:v>
                      </c:pt>
                      <c:pt idx="7977">
                        <c:v>55.395833333335759</c:v>
                      </c:pt>
                      <c:pt idx="7978">
                        <c:v>55.402777777781012</c:v>
                      </c:pt>
                      <c:pt idx="7979">
                        <c:v>55.409722222218988</c:v>
                      </c:pt>
                      <c:pt idx="7980">
                        <c:v>55.416666666664241</c:v>
                      </c:pt>
                      <c:pt idx="7981">
                        <c:v>55.423611111109494</c:v>
                      </c:pt>
                      <c:pt idx="7982">
                        <c:v>55.430555555554747</c:v>
                      </c:pt>
                      <c:pt idx="7983">
                        <c:v>55.4375</c:v>
                      </c:pt>
                      <c:pt idx="7984">
                        <c:v>55.444444444445253</c:v>
                      </c:pt>
                      <c:pt idx="7985">
                        <c:v>55.451388888890506</c:v>
                      </c:pt>
                      <c:pt idx="7986">
                        <c:v>55.458333333335759</c:v>
                      </c:pt>
                      <c:pt idx="7987">
                        <c:v>55.465277777781012</c:v>
                      </c:pt>
                      <c:pt idx="7988">
                        <c:v>55.472222222218988</c:v>
                      </c:pt>
                      <c:pt idx="7989">
                        <c:v>55.479166666664241</c:v>
                      </c:pt>
                      <c:pt idx="7990">
                        <c:v>55.486111111109494</c:v>
                      </c:pt>
                      <c:pt idx="7991">
                        <c:v>55.493055555554747</c:v>
                      </c:pt>
                      <c:pt idx="7992">
                        <c:v>55.5</c:v>
                      </c:pt>
                      <c:pt idx="7993">
                        <c:v>55.506944444445253</c:v>
                      </c:pt>
                      <c:pt idx="7994">
                        <c:v>55.513888888890506</c:v>
                      </c:pt>
                      <c:pt idx="7995">
                        <c:v>55.520833333335759</c:v>
                      </c:pt>
                      <c:pt idx="7996">
                        <c:v>55.527777777781012</c:v>
                      </c:pt>
                      <c:pt idx="7997">
                        <c:v>55.534722222218988</c:v>
                      </c:pt>
                      <c:pt idx="7998">
                        <c:v>55.541666666664241</c:v>
                      </c:pt>
                      <c:pt idx="7999">
                        <c:v>55.548611111109494</c:v>
                      </c:pt>
                      <c:pt idx="8000">
                        <c:v>55.555555555554747</c:v>
                      </c:pt>
                      <c:pt idx="8001">
                        <c:v>55.5625</c:v>
                      </c:pt>
                      <c:pt idx="8002">
                        <c:v>55.569444444445253</c:v>
                      </c:pt>
                      <c:pt idx="8003">
                        <c:v>55.576388888890506</c:v>
                      </c:pt>
                      <c:pt idx="8004">
                        <c:v>55.583333333335759</c:v>
                      </c:pt>
                      <c:pt idx="8005">
                        <c:v>55.590277777781012</c:v>
                      </c:pt>
                      <c:pt idx="8006">
                        <c:v>55.597222222218988</c:v>
                      </c:pt>
                      <c:pt idx="8007">
                        <c:v>55.604166666664241</c:v>
                      </c:pt>
                      <c:pt idx="8008">
                        <c:v>55.611111111109494</c:v>
                      </c:pt>
                      <c:pt idx="8009">
                        <c:v>55.618055555554747</c:v>
                      </c:pt>
                      <c:pt idx="8010">
                        <c:v>55.625</c:v>
                      </c:pt>
                      <c:pt idx="8011">
                        <c:v>55.631944444445253</c:v>
                      </c:pt>
                      <c:pt idx="8012">
                        <c:v>55.638888888890506</c:v>
                      </c:pt>
                      <c:pt idx="8013">
                        <c:v>55.645833333335759</c:v>
                      </c:pt>
                      <c:pt idx="8014">
                        <c:v>55.652777777781012</c:v>
                      </c:pt>
                      <c:pt idx="8015">
                        <c:v>55.659722222218988</c:v>
                      </c:pt>
                      <c:pt idx="8016">
                        <c:v>55.666666666664241</c:v>
                      </c:pt>
                      <c:pt idx="8017">
                        <c:v>55.673611111109494</c:v>
                      </c:pt>
                      <c:pt idx="8018">
                        <c:v>55.680555555554747</c:v>
                      </c:pt>
                      <c:pt idx="8019">
                        <c:v>55.6875</c:v>
                      </c:pt>
                      <c:pt idx="8020">
                        <c:v>55.694444444445253</c:v>
                      </c:pt>
                      <c:pt idx="8021">
                        <c:v>55.701388888890506</c:v>
                      </c:pt>
                      <c:pt idx="8022">
                        <c:v>55.708333333335759</c:v>
                      </c:pt>
                      <c:pt idx="8023">
                        <c:v>55.715277777781012</c:v>
                      </c:pt>
                      <c:pt idx="8024">
                        <c:v>55.722222222218988</c:v>
                      </c:pt>
                      <c:pt idx="8025">
                        <c:v>55.729166666664241</c:v>
                      </c:pt>
                      <c:pt idx="8026">
                        <c:v>55.736111111109494</c:v>
                      </c:pt>
                      <c:pt idx="8027">
                        <c:v>55.743055555554747</c:v>
                      </c:pt>
                      <c:pt idx="8028">
                        <c:v>55.75</c:v>
                      </c:pt>
                      <c:pt idx="8029">
                        <c:v>55.756944444445253</c:v>
                      </c:pt>
                      <c:pt idx="8030">
                        <c:v>55.763888888890506</c:v>
                      </c:pt>
                      <c:pt idx="8031">
                        <c:v>55.770833333335759</c:v>
                      </c:pt>
                      <c:pt idx="8032">
                        <c:v>55.777777777781012</c:v>
                      </c:pt>
                      <c:pt idx="8033">
                        <c:v>55.784722222218988</c:v>
                      </c:pt>
                      <c:pt idx="8034">
                        <c:v>55.791666666664241</c:v>
                      </c:pt>
                      <c:pt idx="8035">
                        <c:v>55.798611111109494</c:v>
                      </c:pt>
                      <c:pt idx="8036">
                        <c:v>55.805555555554747</c:v>
                      </c:pt>
                      <c:pt idx="8037">
                        <c:v>55.8125</c:v>
                      </c:pt>
                      <c:pt idx="8038">
                        <c:v>55.819444444445253</c:v>
                      </c:pt>
                      <c:pt idx="8039">
                        <c:v>55.826388888890506</c:v>
                      </c:pt>
                      <c:pt idx="8040">
                        <c:v>55.833333333335759</c:v>
                      </c:pt>
                      <c:pt idx="8041">
                        <c:v>55.840277777781012</c:v>
                      </c:pt>
                      <c:pt idx="8042">
                        <c:v>55.847222222218988</c:v>
                      </c:pt>
                      <c:pt idx="8043">
                        <c:v>55.854166666664241</c:v>
                      </c:pt>
                      <c:pt idx="8044">
                        <c:v>55.861111111109494</c:v>
                      </c:pt>
                      <c:pt idx="8045">
                        <c:v>55.868055555554747</c:v>
                      </c:pt>
                      <c:pt idx="8046">
                        <c:v>55.875</c:v>
                      </c:pt>
                      <c:pt idx="8047">
                        <c:v>55.881944444445253</c:v>
                      </c:pt>
                      <c:pt idx="8048">
                        <c:v>55.888888888890506</c:v>
                      </c:pt>
                      <c:pt idx="8049">
                        <c:v>55.895833333335759</c:v>
                      </c:pt>
                      <c:pt idx="8050">
                        <c:v>55.902777777781012</c:v>
                      </c:pt>
                      <c:pt idx="8051">
                        <c:v>55.909722222218988</c:v>
                      </c:pt>
                      <c:pt idx="8052">
                        <c:v>55.916666666664241</c:v>
                      </c:pt>
                      <c:pt idx="8053">
                        <c:v>55.923611111109494</c:v>
                      </c:pt>
                      <c:pt idx="8054">
                        <c:v>55.930555555554747</c:v>
                      </c:pt>
                      <c:pt idx="8055">
                        <c:v>55.9375</c:v>
                      </c:pt>
                      <c:pt idx="8056">
                        <c:v>55.944444444445253</c:v>
                      </c:pt>
                      <c:pt idx="8057">
                        <c:v>55.951388888890506</c:v>
                      </c:pt>
                      <c:pt idx="8058">
                        <c:v>55.958333333335759</c:v>
                      </c:pt>
                      <c:pt idx="8059">
                        <c:v>55.965277777781012</c:v>
                      </c:pt>
                      <c:pt idx="8060">
                        <c:v>55.972222222218988</c:v>
                      </c:pt>
                      <c:pt idx="8061">
                        <c:v>55.979166666664241</c:v>
                      </c:pt>
                      <c:pt idx="8062">
                        <c:v>55.986111111109494</c:v>
                      </c:pt>
                      <c:pt idx="8063">
                        <c:v>55.993055555554747</c:v>
                      </c:pt>
                      <c:pt idx="8064">
                        <c:v>56</c:v>
                      </c:pt>
                      <c:pt idx="8065">
                        <c:v>56.006944444445253</c:v>
                      </c:pt>
                      <c:pt idx="8066">
                        <c:v>56.013888888890506</c:v>
                      </c:pt>
                      <c:pt idx="8067">
                        <c:v>56.020833333335759</c:v>
                      </c:pt>
                      <c:pt idx="8068">
                        <c:v>56.027777777781012</c:v>
                      </c:pt>
                      <c:pt idx="8069">
                        <c:v>56.034722222218988</c:v>
                      </c:pt>
                      <c:pt idx="8070">
                        <c:v>56.041666666664241</c:v>
                      </c:pt>
                      <c:pt idx="8071">
                        <c:v>56.048611111109494</c:v>
                      </c:pt>
                      <c:pt idx="8072">
                        <c:v>56.055555555554747</c:v>
                      </c:pt>
                      <c:pt idx="8073">
                        <c:v>56.0625</c:v>
                      </c:pt>
                      <c:pt idx="8074">
                        <c:v>56.069444444445253</c:v>
                      </c:pt>
                      <c:pt idx="8075">
                        <c:v>56.076388888890506</c:v>
                      </c:pt>
                      <c:pt idx="8076">
                        <c:v>56.083333333335759</c:v>
                      </c:pt>
                      <c:pt idx="8077">
                        <c:v>56.090277777781012</c:v>
                      </c:pt>
                      <c:pt idx="8078">
                        <c:v>56.097222222218988</c:v>
                      </c:pt>
                      <c:pt idx="8079">
                        <c:v>56.104166666664241</c:v>
                      </c:pt>
                      <c:pt idx="8080">
                        <c:v>56.111111111109494</c:v>
                      </c:pt>
                      <c:pt idx="8081">
                        <c:v>56.118055555554747</c:v>
                      </c:pt>
                      <c:pt idx="8082">
                        <c:v>56.125</c:v>
                      </c:pt>
                      <c:pt idx="8083">
                        <c:v>56.131944444445253</c:v>
                      </c:pt>
                      <c:pt idx="8084">
                        <c:v>56.138888888890506</c:v>
                      </c:pt>
                      <c:pt idx="8085">
                        <c:v>56.145833333335759</c:v>
                      </c:pt>
                      <c:pt idx="8086">
                        <c:v>56.152777777781012</c:v>
                      </c:pt>
                      <c:pt idx="8087">
                        <c:v>56.159722222218988</c:v>
                      </c:pt>
                      <c:pt idx="8088">
                        <c:v>56.166666666664241</c:v>
                      </c:pt>
                      <c:pt idx="8089">
                        <c:v>56.173611111109494</c:v>
                      </c:pt>
                      <c:pt idx="8090">
                        <c:v>56.180555555554747</c:v>
                      </c:pt>
                      <c:pt idx="8091">
                        <c:v>56.1875</c:v>
                      </c:pt>
                      <c:pt idx="8092">
                        <c:v>56.194444444445253</c:v>
                      </c:pt>
                      <c:pt idx="8093">
                        <c:v>56.201388888890506</c:v>
                      </c:pt>
                      <c:pt idx="8094">
                        <c:v>56.208333333335759</c:v>
                      </c:pt>
                      <c:pt idx="8095">
                        <c:v>56.215277777781012</c:v>
                      </c:pt>
                      <c:pt idx="8096">
                        <c:v>56.222222222218988</c:v>
                      </c:pt>
                      <c:pt idx="8097">
                        <c:v>56.229166666664241</c:v>
                      </c:pt>
                      <c:pt idx="8098">
                        <c:v>56.236111111109494</c:v>
                      </c:pt>
                      <c:pt idx="8099">
                        <c:v>56.243055555554747</c:v>
                      </c:pt>
                      <c:pt idx="8100">
                        <c:v>56.25</c:v>
                      </c:pt>
                      <c:pt idx="8101">
                        <c:v>56.256944444445253</c:v>
                      </c:pt>
                      <c:pt idx="8102">
                        <c:v>56.263888888890506</c:v>
                      </c:pt>
                      <c:pt idx="8103">
                        <c:v>56.270833333335759</c:v>
                      </c:pt>
                      <c:pt idx="8104">
                        <c:v>56.277777777781012</c:v>
                      </c:pt>
                      <c:pt idx="8105">
                        <c:v>56.284722222218988</c:v>
                      </c:pt>
                      <c:pt idx="8106">
                        <c:v>56.291666666664241</c:v>
                      </c:pt>
                      <c:pt idx="8107">
                        <c:v>56.298611111109494</c:v>
                      </c:pt>
                      <c:pt idx="8108">
                        <c:v>56.305555555554747</c:v>
                      </c:pt>
                      <c:pt idx="8109">
                        <c:v>56.3125</c:v>
                      </c:pt>
                      <c:pt idx="8110">
                        <c:v>56.319444444445253</c:v>
                      </c:pt>
                      <c:pt idx="8111">
                        <c:v>56.326388888890506</c:v>
                      </c:pt>
                      <c:pt idx="8112">
                        <c:v>56.333333333335759</c:v>
                      </c:pt>
                      <c:pt idx="8113">
                        <c:v>56.340277777781012</c:v>
                      </c:pt>
                      <c:pt idx="8114">
                        <c:v>56.347222222218988</c:v>
                      </c:pt>
                      <c:pt idx="8115">
                        <c:v>56.354166666664241</c:v>
                      </c:pt>
                      <c:pt idx="8116">
                        <c:v>56.361111111109494</c:v>
                      </c:pt>
                      <c:pt idx="8117">
                        <c:v>56.368055555554747</c:v>
                      </c:pt>
                      <c:pt idx="8118">
                        <c:v>56.375</c:v>
                      </c:pt>
                      <c:pt idx="8119">
                        <c:v>56.381944444445253</c:v>
                      </c:pt>
                      <c:pt idx="8120">
                        <c:v>56.388888888890506</c:v>
                      </c:pt>
                      <c:pt idx="8121">
                        <c:v>56.395833333335759</c:v>
                      </c:pt>
                      <c:pt idx="8122">
                        <c:v>56.402777777781012</c:v>
                      </c:pt>
                      <c:pt idx="8123">
                        <c:v>56.409722222218988</c:v>
                      </c:pt>
                      <c:pt idx="8124">
                        <c:v>56.416666666664241</c:v>
                      </c:pt>
                      <c:pt idx="8125">
                        <c:v>56.423611111109494</c:v>
                      </c:pt>
                      <c:pt idx="8126">
                        <c:v>56.430555555554747</c:v>
                      </c:pt>
                      <c:pt idx="8127">
                        <c:v>56.4375</c:v>
                      </c:pt>
                      <c:pt idx="8128">
                        <c:v>56.444444444445253</c:v>
                      </c:pt>
                      <c:pt idx="8129">
                        <c:v>56.451388888890506</c:v>
                      </c:pt>
                      <c:pt idx="8130">
                        <c:v>56.458333333335759</c:v>
                      </c:pt>
                      <c:pt idx="8131">
                        <c:v>56.465277777781012</c:v>
                      </c:pt>
                      <c:pt idx="8132">
                        <c:v>56.472222222218988</c:v>
                      </c:pt>
                      <c:pt idx="8133">
                        <c:v>56.479166666664241</c:v>
                      </c:pt>
                      <c:pt idx="8134">
                        <c:v>56.486111111109494</c:v>
                      </c:pt>
                      <c:pt idx="8135">
                        <c:v>56.493055555554747</c:v>
                      </c:pt>
                      <c:pt idx="8136">
                        <c:v>56.5</c:v>
                      </c:pt>
                      <c:pt idx="8137">
                        <c:v>56.506944444445253</c:v>
                      </c:pt>
                      <c:pt idx="8138">
                        <c:v>56.513888888890506</c:v>
                      </c:pt>
                      <c:pt idx="8139">
                        <c:v>56.520833333335759</c:v>
                      </c:pt>
                      <c:pt idx="8140">
                        <c:v>56.527777777781012</c:v>
                      </c:pt>
                      <c:pt idx="8141">
                        <c:v>56.534722222218988</c:v>
                      </c:pt>
                      <c:pt idx="8142">
                        <c:v>56.541666666664241</c:v>
                      </c:pt>
                      <c:pt idx="8143">
                        <c:v>56.548611111109494</c:v>
                      </c:pt>
                      <c:pt idx="8144">
                        <c:v>56.555555555554747</c:v>
                      </c:pt>
                      <c:pt idx="8145">
                        <c:v>56.5625</c:v>
                      </c:pt>
                      <c:pt idx="8146">
                        <c:v>56.569444444445253</c:v>
                      </c:pt>
                      <c:pt idx="8147">
                        <c:v>56.576388888890506</c:v>
                      </c:pt>
                      <c:pt idx="8148">
                        <c:v>56.583333333335759</c:v>
                      </c:pt>
                      <c:pt idx="8149">
                        <c:v>56.590277777781012</c:v>
                      </c:pt>
                      <c:pt idx="8150">
                        <c:v>56.597222222218988</c:v>
                      </c:pt>
                      <c:pt idx="8151">
                        <c:v>56.604166666664241</c:v>
                      </c:pt>
                      <c:pt idx="8152">
                        <c:v>56.611111111109494</c:v>
                      </c:pt>
                      <c:pt idx="8153">
                        <c:v>56.618055555554747</c:v>
                      </c:pt>
                      <c:pt idx="8154">
                        <c:v>56.625</c:v>
                      </c:pt>
                      <c:pt idx="8155">
                        <c:v>56.631944444445253</c:v>
                      </c:pt>
                      <c:pt idx="8156">
                        <c:v>56.638888888890506</c:v>
                      </c:pt>
                      <c:pt idx="8157">
                        <c:v>56.645833333335759</c:v>
                      </c:pt>
                      <c:pt idx="8158">
                        <c:v>56.652777777781012</c:v>
                      </c:pt>
                      <c:pt idx="8159">
                        <c:v>56.659722222218988</c:v>
                      </c:pt>
                      <c:pt idx="8160">
                        <c:v>56.666666666664241</c:v>
                      </c:pt>
                      <c:pt idx="8161">
                        <c:v>56.673611111109494</c:v>
                      </c:pt>
                      <c:pt idx="8162">
                        <c:v>56.680555555554747</c:v>
                      </c:pt>
                      <c:pt idx="8163">
                        <c:v>56.6875</c:v>
                      </c:pt>
                      <c:pt idx="8164">
                        <c:v>56.694444444445253</c:v>
                      </c:pt>
                      <c:pt idx="8165">
                        <c:v>56.701388888890506</c:v>
                      </c:pt>
                      <c:pt idx="8166">
                        <c:v>56.708333333335759</c:v>
                      </c:pt>
                      <c:pt idx="8167">
                        <c:v>56.715277777781012</c:v>
                      </c:pt>
                      <c:pt idx="8168">
                        <c:v>56.722222222218988</c:v>
                      </c:pt>
                      <c:pt idx="8169">
                        <c:v>56.729166666664241</c:v>
                      </c:pt>
                      <c:pt idx="8170">
                        <c:v>56.736111111109494</c:v>
                      </c:pt>
                      <c:pt idx="8171">
                        <c:v>56.743055555554747</c:v>
                      </c:pt>
                      <c:pt idx="8172">
                        <c:v>56.75</c:v>
                      </c:pt>
                      <c:pt idx="8173">
                        <c:v>56.756944444445253</c:v>
                      </c:pt>
                      <c:pt idx="8174">
                        <c:v>56.763888888890506</c:v>
                      </c:pt>
                      <c:pt idx="8175">
                        <c:v>56.770833333335759</c:v>
                      </c:pt>
                      <c:pt idx="8176">
                        <c:v>56.777777777781012</c:v>
                      </c:pt>
                      <c:pt idx="8177">
                        <c:v>56.784722222218988</c:v>
                      </c:pt>
                      <c:pt idx="8178">
                        <c:v>56.791666666664241</c:v>
                      </c:pt>
                      <c:pt idx="8179">
                        <c:v>56.798611111109494</c:v>
                      </c:pt>
                      <c:pt idx="8180">
                        <c:v>56.805555555554747</c:v>
                      </c:pt>
                      <c:pt idx="8181">
                        <c:v>56.8125</c:v>
                      </c:pt>
                      <c:pt idx="8182">
                        <c:v>56.819444444445253</c:v>
                      </c:pt>
                      <c:pt idx="8183">
                        <c:v>56.826388888890506</c:v>
                      </c:pt>
                      <c:pt idx="8184">
                        <c:v>56.833333333335759</c:v>
                      </c:pt>
                      <c:pt idx="8185">
                        <c:v>56.840277777781012</c:v>
                      </c:pt>
                      <c:pt idx="8186">
                        <c:v>56.847222222218988</c:v>
                      </c:pt>
                      <c:pt idx="8187">
                        <c:v>56.854166666664241</c:v>
                      </c:pt>
                      <c:pt idx="8188">
                        <c:v>56.861111111109494</c:v>
                      </c:pt>
                      <c:pt idx="8189">
                        <c:v>56.868055555554747</c:v>
                      </c:pt>
                      <c:pt idx="8190">
                        <c:v>56.875</c:v>
                      </c:pt>
                      <c:pt idx="8191">
                        <c:v>56.881944444445253</c:v>
                      </c:pt>
                      <c:pt idx="8192">
                        <c:v>56.888888888890506</c:v>
                      </c:pt>
                      <c:pt idx="8193">
                        <c:v>56.895833333335759</c:v>
                      </c:pt>
                      <c:pt idx="8194">
                        <c:v>56.902777777781012</c:v>
                      </c:pt>
                      <c:pt idx="8195">
                        <c:v>56.909722222218988</c:v>
                      </c:pt>
                      <c:pt idx="8196">
                        <c:v>56.916666666664241</c:v>
                      </c:pt>
                      <c:pt idx="8197">
                        <c:v>56.923611111109494</c:v>
                      </c:pt>
                      <c:pt idx="8198">
                        <c:v>56.930555555554747</c:v>
                      </c:pt>
                      <c:pt idx="8199">
                        <c:v>56.9375</c:v>
                      </c:pt>
                      <c:pt idx="8200">
                        <c:v>56.944444444445253</c:v>
                      </c:pt>
                      <c:pt idx="8201">
                        <c:v>56.951388888890506</c:v>
                      </c:pt>
                      <c:pt idx="8202">
                        <c:v>56.958333333335759</c:v>
                      </c:pt>
                      <c:pt idx="8203">
                        <c:v>56.965277777781012</c:v>
                      </c:pt>
                      <c:pt idx="8204">
                        <c:v>56.972222222218988</c:v>
                      </c:pt>
                      <c:pt idx="8205">
                        <c:v>56.979166666664241</c:v>
                      </c:pt>
                      <c:pt idx="8206">
                        <c:v>56.986111111109494</c:v>
                      </c:pt>
                      <c:pt idx="8207">
                        <c:v>56.993055555554747</c:v>
                      </c:pt>
                      <c:pt idx="8208">
                        <c:v>57</c:v>
                      </c:pt>
                      <c:pt idx="8209">
                        <c:v>57.006944444445253</c:v>
                      </c:pt>
                      <c:pt idx="8210">
                        <c:v>57.013888888890506</c:v>
                      </c:pt>
                      <c:pt idx="8211">
                        <c:v>57.020833333335759</c:v>
                      </c:pt>
                      <c:pt idx="8212">
                        <c:v>57.027777777781012</c:v>
                      </c:pt>
                      <c:pt idx="8213">
                        <c:v>57.034722222218988</c:v>
                      </c:pt>
                      <c:pt idx="8214">
                        <c:v>57.041666666664241</c:v>
                      </c:pt>
                      <c:pt idx="8215">
                        <c:v>57.048611111109494</c:v>
                      </c:pt>
                      <c:pt idx="8216">
                        <c:v>57.055555555554747</c:v>
                      </c:pt>
                      <c:pt idx="8217">
                        <c:v>57.0625</c:v>
                      </c:pt>
                      <c:pt idx="8218">
                        <c:v>57.069444444445253</c:v>
                      </c:pt>
                      <c:pt idx="8219">
                        <c:v>57.076388888890506</c:v>
                      </c:pt>
                      <c:pt idx="8220">
                        <c:v>57.083333333335759</c:v>
                      </c:pt>
                      <c:pt idx="8221">
                        <c:v>57.090277777781012</c:v>
                      </c:pt>
                      <c:pt idx="8222">
                        <c:v>57.097222222218988</c:v>
                      </c:pt>
                      <c:pt idx="8223">
                        <c:v>57.104166666664241</c:v>
                      </c:pt>
                      <c:pt idx="8224">
                        <c:v>57.111111111109494</c:v>
                      </c:pt>
                      <c:pt idx="8225">
                        <c:v>57.118055555554747</c:v>
                      </c:pt>
                      <c:pt idx="8226">
                        <c:v>57.125</c:v>
                      </c:pt>
                      <c:pt idx="8227">
                        <c:v>57.131944444445253</c:v>
                      </c:pt>
                      <c:pt idx="8228">
                        <c:v>57.138888888890506</c:v>
                      </c:pt>
                      <c:pt idx="8229">
                        <c:v>57.145833333335759</c:v>
                      </c:pt>
                      <c:pt idx="8230">
                        <c:v>57.152777777781012</c:v>
                      </c:pt>
                      <c:pt idx="8231">
                        <c:v>57.159722222218988</c:v>
                      </c:pt>
                      <c:pt idx="8232">
                        <c:v>57.166666666664241</c:v>
                      </c:pt>
                      <c:pt idx="8233">
                        <c:v>57.173611111109494</c:v>
                      </c:pt>
                      <c:pt idx="8234">
                        <c:v>57.180555555554747</c:v>
                      </c:pt>
                      <c:pt idx="8235">
                        <c:v>57.1875</c:v>
                      </c:pt>
                      <c:pt idx="8236">
                        <c:v>57.194444444445253</c:v>
                      </c:pt>
                      <c:pt idx="8237">
                        <c:v>57.201388888890506</c:v>
                      </c:pt>
                      <c:pt idx="8238">
                        <c:v>57.208333333335759</c:v>
                      </c:pt>
                      <c:pt idx="8239">
                        <c:v>57.215277777781012</c:v>
                      </c:pt>
                      <c:pt idx="8240">
                        <c:v>57.222222222218988</c:v>
                      </c:pt>
                      <c:pt idx="8241">
                        <c:v>57.229166666664241</c:v>
                      </c:pt>
                      <c:pt idx="8242">
                        <c:v>57.236111111109494</c:v>
                      </c:pt>
                      <c:pt idx="8243">
                        <c:v>57.243055555554747</c:v>
                      </c:pt>
                      <c:pt idx="8244">
                        <c:v>57.25</c:v>
                      </c:pt>
                      <c:pt idx="8245">
                        <c:v>57.256944444445253</c:v>
                      </c:pt>
                      <c:pt idx="8246">
                        <c:v>57.263888888890506</c:v>
                      </c:pt>
                      <c:pt idx="8247">
                        <c:v>57.270833333335759</c:v>
                      </c:pt>
                      <c:pt idx="8248">
                        <c:v>57.277777777781012</c:v>
                      </c:pt>
                      <c:pt idx="8249">
                        <c:v>57.284722222218988</c:v>
                      </c:pt>
                      <c:pt idx="8250">
                        <c:v>57.291666666664241</c:v>
                      </c:pt>
                      <c:pt idx="8251">
                        <c:v>57.298611111109494</c:v>
                      </c:pt>
                      <c:pt idx="8252">
                        <c:v>57.305555555554747</c:v>
                      </c:pt>
                      <c:pt idx="8253">
                        <c:v>57.3125</c:v>
                      </c:pt>
                      <c:pt idx="8254">
                        <c:v>57.319444444445253</c:v>
                      </c:pt>
                      <c:pt idx="8255">
                        <c:v>57.326388888890506</c:v>
                      </c:pt>
                      <c:pt idx="8256">
                        <c:v>57.333333333335759</c:v>
                      </c:pt>
                      <c:pt idx="8257">
                        <c:v>57.340277777781012</c:v>
                      </c:pt>
                      <c:pt idx="8258">
                        <c:v>57.347222222218988</c:v>
                      </c:pt>
                      <c:pt idx="8259">
                        <c:v>57.354166666664241</c:v>
                      </c:pt>
                      <c:pt idx="8260">
                        <c:v>57.361111111109494</c:v>
                      </c:pt>
                      <c:pt idx="8261">
                        <c:v>57.368055555554747</c:v>
                      </c:pt>
                      <c:pt idx="8262">
                        <c:v>57.375</c:v>
                      </c:pt>
                      <c:pt idx="8263">
                        <c:v>57.381944444445253</c:v>
                      </c:pt>
                      <c:pt idx="8264">
                        <c:v>57.388888888890506</c:v>
                      </c:pt>
                      <c:pt idx="8265">
                        <c:v>57.395833333335759</c:v>
                      </c:pt>
                      <c:pt idx="8266">
                        <c:v>57.402777777781012</c:v>
                      </c:pt>
                      <c:pt idx="8267">
                        <c:v>57.409722222218988</c:v>
                      </c:pt>
                      <c:pt idx="8268">
                        <c:v>57.416666666664241</c:v>
                      </c:pt>
                      <c:pt idx="8269">
                        <c:v>57.423611111109494</c:v>
                      </c:pt>
                      <c:pt idx="8270">
                        <c:v>57.430555555554747</c:v>
                      </c:pt>
                      <c:pt idx="8271">
                        <c:v>57.4375</c:v>
                      </c:pt>
                      <c:pt idx="8272">
                        <c:v>57.444444444445253</c:v>
                      </c:pt>
                      <c:pt idx="8273">
                        <c:v>57.451388888890506</c:v>
                      </c:pt>
                      <c:pt idx="8274">
                        <c:v>57.458333333335759</c:v>
                      </c:pt>
                      <c:pt idx="8275">
                        <c:v>57.465277777781012</c:v>
                      </c:pt>
                      <c:pt idx="8276">
                        <c:v>57.472222222218988</c:v>
                      </c:pt>
                      <c:pt idx="8277">
                        <c:v>57.479166666664241</c:v>
                      </c:pt>
                      <c:pt idx="8278">
                        <c:v>57.486111111109494</c:v>
                      </c:pt>
                      <c:pt idx="8279">
                        <c:v>57.493055555554747</c:v>
                      </c:pt>
                      <c:pt idx="8280">
                        <c:v>57.5</c:v>
                      </c:pt>
                      <c:pt idx="8281">
                        <c:v>57.506944444445253</c:v>
                      </c:pt>
                      <c:pt idx="8282">
                        <c:v>57.513888888890506</c:v>
                      </c:pt>
                      <c:pt idx="8283">
                        <c:v>57.520833333335759</c:v>
                      </c:pt>
                      <c:pt idx="8284">
                        <c:v>57.527777777781012</c:v>
                      </c:pt>
                      <c:pt idx="8285">
                        <c:v>57.534722222218988</c:v>
                      </c:pt>
                      <c:pt idx="8286">
                        <c:v>57.541666666664241</c:v>
                      </c:pt>
                      <c:pt idx="8287">
                        <c:v>57.548611111109494</c:v>
                      </c:pt>
                      <c:pt idx="8288">
                        <c:v>57.555555555554747</c:v>
                      </c:pt>
                      <c:pt idx="8289">
                        <c:v>57.5625</c:v>
                      </c:pt>
                      <c:pt idx="8290">
                        <c:v>57.569444444445253</c:v>
                      </c:pt>
                      <c:pt idx="8291">
                        <c:v>57.576388888890506</c:v>
                      </c:pt>
                      <c:pt idx="8292">
                        <c:v>57.583333333335759</c:v>
                      </c:pt>
                      <c:pt idx="8293">
                        <c:v>57.590277777781012</c:v>
                      </c:pt>
                      <c:pt idx="8294">
                        <c:v>57.597222222218988</c:v>
                      </c:pt>
                      <c:pt idx="8295">
                        <c:v>57.604166666664241</c:v>
                      </c:pt>
                      <c:pt idx="8296">
                        <c:v>57.611111111109494</c:v>
                      </c:pt>
                      <c:pt idx="8297">
                        <c:v>57.618055555554747</c:v>
                      </c:pt>
                      <c:pt idx="8298">
                        <c:v>57.625</c:v>
                      </c:pt>
                      <c:pt idx="8299">
                        <c:v>57.631944444445253</c:v>
                      </c:pt>
                      <c:pt idx="8300">
                        <c:v>57.638888888890506</c:v>
                      </c:pt>
                      <c:pt idx="8301">
                        <c:v>57.645833333335759</c:v>
                      </c:pt>
                      <c:pt idx="8302">
                        <c:v>57.652777777781012</c:v>
                      </c:pt>
                      <c:pt idx="8303">
                        <c:v>57.659722222218988</c:v>
                      </c:pt>
                      <c:pt idx="8304">
                        <c:v>57.666666666664241</c:v>
                      </c:pt>
                      <c:pt idx="8305">
                        <c:v>57.673611111109494</c:v>
                      </c:pt>
                      <c:pt idx="8306">
                        <c:v>57.680555555554747</c:v>
                      </c:pt>
                      <c:pt idx="8307">
                        <c:v>57.6875</c:v>
                      </c:pt>
                      <c:pt idx="8308">
                        <c:v>57.694444444445253</c:v>
                      </c:pt>
                      <c:pt idx="8309">
                        <c:v>57.701388888890506</c:v>
                      </c:pt>
                      <c:pt idx="8310">
                        <c:v>57.708333333335759</c:v>
                      </c:pt>
                      <c:pt idx="8311">
                        <c:v>57.715277777781012</c:v>
                      </c:pt>
                      <c:pt idx="8312">
                        <c:v>57.722222222218988</c:v>
                      </c:pt>
                      <c:pt idx="8313">
                        <c:v>57.729166666664241</c:v>
                      </c:pt>
                      <c:pt idx="8314">
                        <c:v>57.736111111109494</c:v>
                      </c:pt>
                      <c:pt idx="8315">
                        <c:v>57.743055555554747</c:v>
                      </c:pt>
                      <c:pt idx="8316">
                        <c:v>57.75</c:v>
                      </c:pt>
                      <c:pt idx="8317">
                        <c:v>57.756944444445253</c:v>
                      </c:pt>
                      <c:pt idx="8318">
                        <c:v>57.763888888890506</c:v>
                      </c:pt>
                      <c:pt idx="8319">
                        <c:v>57.770833333335759</c:v>
                      </c:pt>
                      <c:pt idx="8320">
                        <c:v>57.777777777781012</c:v>
                      </c:pt>
                      <c:pt idx="8321">
                        <c:v>57.784722222218988</c:v>
                      </c:pt>
                      <c:pt idx="8322">
                        <c:v>57.791666666664241</c:v>
                      </c:pt>
                      <c:pt idx="8323">
                        <c:v>57.798611111109494</c:v>
                      </c:pt>
                      <c:pt idx="8324">
                        <c:v>57.805555555554747</c:v>
                      </c:pt>
                      <c:pt idx="8325">
                        <c:v>57.8125</c:v>
                      </c:pt>
                      <c:pt idx="8326">
                        <c:v>57.819444444445253</c:v>
                      </c:pt>
                      <c:pt idx="8327">
                        <c:v>57.826388888890506</c:v>
                      </c:pt>
                      <c:pt idx="8328">
                        <c:v>57.833333333335759</c:v>
                      </c:pt>
                      <c:pt idx="8329">
                        <c:v>57.840277777781012</c:v>
                      </c:pt>
                      <c:pt idx="8330">
                        <c:v>57.847222222218988</c:v>
                      </c:pt>
                      <c:pt idx="8331">
                        <c:v>57.854166666664241</c:v>
                      </c:pt>
                      <c:pt idx="8332">
                        <c:v>57.861111111109494</c:v>
                      </c:pt>
                      <c:pt idx="8333">
                        <c:v>57.868055555554747</c:v>
                      </c:pt>
                      <c:pt idx="8334">
                        <c:v>57.875</c:v>
                      </c:pt>
                      <c:pt idx="8335">
                        <c:v>57.881944444445253</c:v>
                      </c:pt>
                      <c:pt idx="8336">
                        <c:v>57.888888888890506</c:v>
                      </c:pt>
                      <c:pt idx="8337">
                        <c:v>57.895833333335759</c:v>
                      </c:pt>
                      <c:pt idx="8338">
                        <c:v>57.902777777781012</c:v>
                      </c:pt>
                      <c:pt idx="8339">
                        <c:v>57.909722222218988</c:v>
                      </c:pt>
                      <c:pt idx="8340">
                        <c:v>57.916666666664241</c:v>
                      </c:pt>
                      <c:pt idx="8341">
                        <c:v>57.923611111109494</c:v>
                      </c:pt>
                      <c:pt idx="8342">
                        <c:v>57.930555555554747</c:v>
                      </c:pt>
                      <c:pt idx="8343">
                        <c:v>57.9375</c:v>
                      </c:pt>
                      <c:pt idx="8344">
                        <c:v>57.944444444445253</c:v>
                      </c:pt>
                      <c:pt idx="8345">
                        <c:v>57.951388888890506</c:v>
                      </c:pt>
                      <c:pt idx="8346">
                        <c:v>57.958333333335759</c:v>
                      </c:pt>
                      <c:pt idx="8347">
                        <c:v>57.965277777781012</c:v>
                      </c:pt>
                      <c:pt idx="8348">
                        <c:v>57.972222222218988</c:v>
                      </c:pt>
                      <c:pt idx="8349">
                        <c:v>57.979166666664241</c:v>
                      </c:pt>
                      <c:pt idx="8350">
                        <c:v>57.986111111109494</c:v>
                      </c:pt>
                      <c:pt idx="8351">
                        <c:v>57.993055555554747</c:v>
                      </c:pt>
                      <c:pt idx="8352">
                        <c:v>58</c:v>
                      </c:pt>
                      <c:pt idx="8353">
                        <c:v>58.006944444445253</c:v>
                      </c:pt>
                      <c:pt idx="8354">
                        <c:v>58.013888888890506</c:v>
                      </c:pt>
                      <c:pt idx="8355">
                        <c:v>58.020833333335759</c:v>
                      </c:pt>
                      <c:pt idx="8356">
                        <c:v>58.027777777781012</c:v>
                      </c:pt>
                      <c:pt idx="8357">
                        <c:v>58.034722222218988</c:v>
                      </c:pt>
                      <c:pt idx="8358">
                        <c:v>58.041666666664241</c:v>
                      </c:pt>
                      <c:pt idx="8359">
                        <c:v>58.048611111109494</c:v>
                      </c:pt>
                      <c:pt idx="8360">
                        <c:v>58.055555555554747</c:v>
                      </c:pt>
                      <c:pt idx="8361">
                        <c:v>58.0625</c:v>
                      </c:pt>
                      <c:pt idx="8362">
                        <c:v>58.069444444445253</c:v>
                      </c:pt>
                      <c:pt idx="8363">
                        <c:v>58.076388888890506</c:v>
                      </c:pt>
                      <c:pt idx="8364">
                        <c:v>58.083333333335759</c:v>
                      </c:pt>
                      <c:pt idx="8365">
                        <c:v>58.090277777781012</c:v>
                      </c:pt>
                      <c:pt idx="8366">
                        <c:v>58.097222222218988</c:v>
                      </c:pt>
                      <c:pt idx="8367">
                        <c:v>58.104166666664241</c:v>
                      </c:pt>
                      <c:pt idx="8368">
                        <c:v>58.111111111109494</c:v>
                      </c:pt>
                      <c:pt idx="8369">
                        <c:v>58.118055555554747</c:v>
                      </c:pt>
                      <c:pt idx="8370">
                        <c:v>58.125</c:v>
                      </c:pt>
                      <c:pt idx="8371">
                        <c:v>58.131944444445253</c:v>
                      </c:pt>
                      <c:pt idx="8372">
                        <c:v>58.138888888890506</c:v>
                      </c:pt>
                      <c:pt idx="8373">
                        <c:v>58.145833333335759</c:v>
                      </c:pt>
                      <c:pt idx="8374">
                        <c:v>58.152777777781012</c:v>
                      </c:pt>
                      <c:pt idx="8375">
                        <c:v>58.159722222218988</c:v>
                      </c:pt>
                      <c:pt idx="8376">
                        <c:v>58.166666666664241</c:v>
                      </c:pt>
                      <c:pt idx="8377">
                        <c:v>58.173611111109494</c:v>
                      </c:pt>
                      <c:pt idx="8378">
                        <c:v>58.180555555554747</c:v>
                      </c:pt>
                      <c:pt idx="8379">
                        <c:v>58.1875</c:v>
                      </c:pt>
                      <c:pt idx="8380">
                        <c:v>58.194444444445253</c:v>
                      </c:pt>
                      <c:pt idx="8381">
                        <c:v>58.201388888890506</c:v>
                      </c:pt>
                      <c:pt idx="8382">
                        <c:v>58.208333333335759</c:v>
                      </c:pt>
                      <c:pt idx="8383">
                        <c:v>58.215277777781012</c:v>
                      </c:pt>
                      <c:pt idx="8384">
                        <c:v>58.222222222218988</c:v>
                      </c:pt>
                      <c:pt idx="8385">
                        <c:v>58.229166666664241</c:v>
                      </c:pt>
                      <c:pt idx="8386">
                        <c:v>58.236111111109494</c:v>
                      </c:pt>
                      <c:pt idx="8387">
                        <c:v>58.243055555554747</c:v>
                      </c:pt>
                      <c:pt idx="8388">
                        <c:v>58.25</c:v>
                      </c:pt>
                      <c:pt idx="8389">
                        <c:v>58.256944444445253</c:v>
                      </c:pt>
                      <c:pt idx="8390">
                        <c:v>58.263888888890506</c:v>
                      </c:pt>
                      <c:pt idx="8391">
                        <c:v>58.270833333335759</c:v>
                      </c:pt>
                      <c:pt idx="8392">
                        <c:v>58.277777777781012</c:v>
                      </c:pt>
                      <c:pt idx="8393">
                        <c:v>58.284722222218988</c:v>
                      </c:pt>
                      <c:pt idx="8394">
                        <c:v>58.291666666664241</c:v>
                      </c:pt>
                      <c:pt idx="8395">
                        <c:v>58.298611111109494</c:v>
                      </c:pt>
                      <c:pt idx="8396">
                        <c:v>58.305555555554747</c:v>
                      </c:pt>
                      <c:pt idx="8397">
                        <c:v>58.3125</c:v>
                      </c:pt>
                      <c:pt idx="8398">
                        <c:v>58.319444444445253</c:v>
                      </c:pt>
                      <c:pt idx="8399">
                        <c:v>58.326388888890506</c:v>
                      </c:pt>
                      <c:pt idx="8400">
                        <c:v>58.333333333335759</c:v>
                      </c:pt>
                      <c:pt idx="8401">
                        <c:v>58.340277777781012</c:v>
                      </c:pt>
                      <c:pt idx="8402">
                        <c:v>58.347222222218988</c:v>
                      </c:pt>
                      <c:pt idx="8403">
                        <c:v>58.354166666664241</c:v>
                      </c:pt>
                      <c:pt idx="8404">
                        <c:v>58.361111111109494</c:v>
                      </c:pt>
                      <c:pt idx="8405">
                        <c:v>58.368055555554747</c:v>
                      </c:pt>
                      <c:pt idx="8406">
                        <c:v>58.375</c:v>
                      </c:pt>
                      <c:pt idx="8407">
                        <c:v>58.381944444445253</c:v>
                      </c:pt>
                      <c:pt idx="8408">
                        <c:v>58.388888888890506</c:v>
                      </c:pt>
                      <c:pt idx="8409">
                        <c:v>58.395833333335759</c:v>
                      </c:pt>
                      <c:pt idx="8410">
                        <c:v>58.402777777781012</c:v>
                      </c:pt>
                      <c:pt idx="8411">
                        <c:v>58.409722222218988</c:v>
                      </c:pt>
                      <c:pt idx="8412">
                        <c:v>58.416666666664241</c:v>
                      </c:pt>
                      <c:pt idx="8413">
                        <c:v>58.423611111109494</c:v>
                      </c:pt>
                      <c:pt idx="8414">
                        <c:v>58.430555555554747</c:v>
                      </c:pt>
                      <c:pt idx="8415">
                        <c:v>58.4375</c:v>
                      </c:pt>
                      <c:pt idx="8416">
                        <c:v>58.444444444445253</c:v>
                      </c:pt>
                      <c:pt idx="8417">
                        <c:v>58.451388888890506</c:v>
                      </c:pt>
                      <c:pt idx="8418">
                        <c:v>58.458333333335759</c:v>
                      </c:pt>
                      <c:pt idx="8419">
                        <c:v>58.465277777781012</c:v>
                      </c:pt>
                      <c:pt idx="8420">
                        <c:v>58.472222222218988</c:v>
                      </c:pt>
                      <c:pt idx="8421">
                        <c:v>58.479166666664241</c:v>
                      </c:pt>
                      <c:pt idx="8422">
                        <c:v>58.486111111109494</c:v>
                      </c:pt>
                      <c:pt idx="8423">
                        <c:v>58.493055555554747</c:v>
                      </c:pt>
                      <c:pt idx="8424">
                        <c:v>58.5</c:v>
                      </c:pt>
                      <c:pt idx="8425">
                        <c:v>58.506944444445253</c:v>
                      </c:pt>
                      <c:pt idx="8426">
                        <c:v>58.513888888890506</c:v>
                      </c:pt>
                      <c:pt idx="8427">
                        <c:v>58.520833333335759</c:v>
                      </c:pt>
                      <c:pt idx="8428">
                        <c:v>58.527777777781012</c:v>
                      </c:pt>
                      <c:pt idx="8429">
                        <c:v>58.534722222218988</c:v>
                      </c:pt>
                      <c:pt idx="8430">
                        <c:v>58.541666666664241</c:v>
                      </c:pt>
                      <c:pt idx="8431">
                        <c:v>58.548611111109494</c:v>
                      </c:pt>
                      <c:pt idx="8432">
                        <c:v>58.555555555554747</c:v>
                      </c:pt>
                      <c:pt idx="8433">
                        <c:v>58.5625</c:v>
                      </c:pt>
                      <c:pt idx="8434">
                        <c:v>58.569444444445253</c:v>
                      </c:pt>
                      <c:pt idx="8435">
                        <c:v>58.576388888890506</c:v>
                      </c:pt>
                      <c:pt idx="8436">
                        <c:v>58.583333333335759</c:v>
                      </c:pt>
                      <c:pt idx="8437">
                        <c:v>58.590277777781012</c:v>
                      </c:pt>
                      <c:pt idx="8438">
                        <c:v>58.597222222218988</c:v>
                      </c:pt>
                      <c:pt idx="8439">
                        <c:v>58.604166666664241</c:v>
                      </c:pt>
                      <c:pt idx="8440">
                        <c:v>58.611111111109494</c:v>
                      </c:pt>
                      <c:pt idx="8441">
                        <c:v>58.618055555554747</c:v>
                      </c:pt>
                      <c:pt idx="8442">
                        <c:v>58.625</c:v>
                      </c:pt>
                      <c:pt idx="8443">
                        <c:v>58.631944444445253</c:v>
                      </c:pt>
                      <c:pt idx="8444">
                        <c:v>58.638888888890506</c:v>
                      </c:pt>
                      <c:pt idx="8445">
                        <c:v>58.645833333335759</c:v>
                      </c:pt>
                      <c:pt idx="8446">
                        <c:v>58.652777777781012</c:v>
                      </c:pt>
                      <c:pt idx="8447">
                        <c:v>58.659722222218988</c:v>
                      </c:pt>
                      <c:pt idx="8448">
                        <c:v>58.666666666664241</c:v>
                      </c:pt>
                      <c:pt idx="8449">
                        <c:v>58.673611111109494</c:v>
                      </c:pt>
                      <c:pt idx="8450">
                        <c:v>58.680555555554747</c:v>
                      </c:pt>
                      <c:pt idx="8451">
                        <c:v>58.6875</c:v>
                      </c:pt>
                      <c:pt idx="8452">
                        <c:v>58.694444444445253</c:v>
                      </c:pt>
                      <c:pt idx="8453">
                        <c:v>58.701388888890506</c:v>
                      </c:pt>
                      <c:pt idx="8454">
                        <c:v>58.708333333335759</c:v>
                      </c:pt>
                      <c:pt idx="8455">
                        <c:v>58.715277777781012</c:v>
                      </c:pt>
                      <c:pt idx="8456">
                        <c:v>58.722222222218988</c:v>
                      </c:pt>
                      <c:pt idx="8457">
                        <c:v>58.729166666664241</c:v>
                      </c:pt>
                      <c:pt idx="8458">
                        <c:v>58.736111111109494</c:v>
                      </c:pt>
                      <c:pt idx="8459">
                        <c:v>58.743055555554747</c:v>
                      </c:pt>
                      <c:pt idx="8460">
                        <c:v>58.75</c:v>
                      </c:pt>
                      <c:pt idx="8461">
                        <c:v>58.756944444445253</c:v>
                      </c:pt>
                      <c:pt idx="8462">
                        <c:v>58.763888888890506</c:v>
                      </c:pt>
                      <c:pt idx="8463">
                        <c:v>58.770833333335759</c:v>
                      </c:pt>
                      <c:pt idx="8464">
                        <c:v>58.777777777781012</c:v>
                      </c:pt>
                      <c:pt idx="8465">
                        <c:v>58.784722222218988</c:v>
                      </c:pt>
                      <c:pt idx="8466">
                        <c:v>58.791666666664241</c:v>
                      </c:pt>
                      <c:pt idx="8467">
                        <c:v>58.798611111109494</c:v>
                      </c:pt>
                      <c:pt idx="8468">
                        <c:v>58.805555555554747</c:v>
                      </c:pt>
                      <c:pt idx="8469">
                        <c:v>58.8125</c:v>
                      </c:pt>
                      <c:pt idx="8470">
                        <c:v>58.819444444445253</c:v>
                      </c:pt>
                      <c:pt idx="8471">
                        <c:v>58.826388888890506</c:v>
                      </c:pt>
                      <c:pt idx="8472">
                        <c:v>58.833333333335759</c:v>
                      </c:pt>
                      <c:pt idx="8473">
                        <c:v>58.840277777781012</c:v>
                      </c:pt>
                      <c:pt idx="8474">
                        <c:v>58.847222222218988</c:v>
                      </c:pt>
                      <c:pt idx="8475">
                        <c:v>58.854166666664241</c:v>
                      </c:pt>
                      <c:pt idx="8476">
                        <c:v>58.861111111109494</c:v>
                      </c:pt>
                      <c:pt idx="8477">
                        <c:v>58.868055555554747</c:v>
                      </c:pt>
                      <c:pt idx="8478">
                        <c:v>58.875</c:v>
                      </c:pt>
                      <c:pt idx="8479">
                        <c:v>58.881944444445253</c:v>
                      </c:pt>
                      <c:pt idx="8480">
                        <c:v>58.888888888890506</c:v>
                      </c:pt>
                      <c:pt idx="8481">
                        <c:v>58.895833333335759</c:v>
                      </c:pt>
                      <c:pt idx="8482">
                        <c:v>58.902777777781012</c:v>
                      </c:pt>
                      <c:pt idx="8483">
                        <c:v>58.909722222218988</c:v>
                      </c:pt>
                      <c:pt idx="8484">
                        <c:v>58.916666666664241</c:v>
                      </c:pt>
                      <c:pt idx="8485">
                        <c:v>58.923611111109494</c:v>
                      </c:pt>
                      <c:pt idx="8486">
                        <c:v>58.930555555554747</c:v>
                      </c:pt>
                      <c:pt idx="8487">
                        <c:v>58.9375</c:v>
                      </c:pt>
                      <c:pt idx="8488">
                        <c:v>58.944444444445253</c:v>
                      </c:pt>
                      <c:pt idx="8489">
                        <c:v>58.951388888890506</c:v>
                      </c:pt>
                      <c:pt idx="8490">
                        <c:v>58.958333333335759</c:v>
                      </c:pt>
                      <c:pt idx="8491">
                        <c:v>58.965277777781012</c:v>
                      </c:pt>
                      <c:pt idx="8492">
                        <c:v>58.972222222218988</c:v>
                      </c:pt>
                      <c:pt idx="8493">
                        <c:v>58.979166666664241</c:v>
                      </c:pt>
                      <c:pt idx="8494">
                        <c:v>58.986111111109494</c:v>
                      </c:pt>
                      <c:pt idx="8495">
                        <c:v>58.993055555554747</c:v>
                      </c:pt>
                      <c:pt idx="8496">
                        <c:v>59</c:v>
                      </c:pt>
                      <c:pt idx="8497">
                        <c:v>59.006944444445253</c:v>
                      </c:pt>
                      <c:pt idx="8498">
                        <c:v>59.013888888890506</c:v>
                      </c:pt>
                      <c:pt idx="8499">
                        <c:v>59.020833333335759</c:v>
                      </c:pt>
                      <c:pt idx="8500">
                        <c:v>59.027777777781012</c:v>
                      </c:pt>
                      <c:pt idx="8501">
                        <c:v>59.034722222218988</c:v>
                      </c:pt>
                      <c:pt idx="8502">
                        <c:v>59.041666666664241</c:v>
                      </c:pt>
                      <c:pt idx="8503">
                        <c:v>59.048611111109494</c:v>
                      </c:pt>
                      <c:pt idx="8504">
                        <c:v>59.055555555554747</c:v>
                      </c:pt>
                      <c:pt idx="8505">
                        <c:v>59.0625</c:v>
                      </c:pt>
                      <c:pt idx="8506">
                        <c:v>59.069444444445253</c:v>
                      </c:pt>
                      <c:pt idx="8507">
                        <c:v>59.076388888890506</c:v>
                      </c:pt>
                      <c:pt idx="8508">
                        <c:v>59.083333333335759</c:v>
                      </c:pt>
                      <c:pt idx="8509">
                        <c:v>59.090277777781012</c:v>
                      </c:pt>
                      <c:pt idx="8510">
                        <c:v>59.097222222218988</c:v>
                      </c:pt>
                      <c:pt idx="8511">
                        <c:v>59.104166666664241</c:v>
                      </c:pt>
                      <c:pt idx="8512">
                        <c:v>59.111111111109494</c:v>
                      </c:pt>
                      <c:pt idx="8513">
                        <c:v>59.118055555554747</c:v>
                      </c:pt>
                      <c:pt idx="8514">
                        <c:v>59.125</c:v>
                      </c:pt>
                      <c:pt idx="8515">
                        <c:v>59.131944444445253</c:v>
                      </c:pt>
                      <c:pt idx="8516">
                        <c:v>59.138888888890506</c:v>
                      </c:pt>
                      <c:pt idx="8517">
                        <c:v>59.145833333335759</c:v>
                      </c:pt>
                      <c:pt idx="8518">
                        <c:v>59.152777777781012</c:v>
                      </c:pt>
                      <c:pt idx="8519">
                        <c:v>59.159722222218988</c:v>
                      </c:pt>
                      <c:pt idx="8520">
                        <c:v>59.166666666664241</c:v>
                      </c:pt>
                      <c:pt idx="8521">
                        <c:v>59.173611111109494</c:v>
                      </c:pt>
                      <c:pt idx="8522">
                        <c:v>59.180555555554747</c:v>
                      </c:pt>
                      <c:pt idx="8523">
                        <c:v>59.1875</c:v>
                      </c:pt>
                      <c:pt idx="8524">
                        <c:v>59.194444444445253</c:v>
                      </c:pt>
                      <c:pt idx="8525">
                        <c:v>59.201388888890506</c:v>
                      </c:pt>
                      <c:pt idx="8526">
                        <c:v>59.208333333335759</c:v>
                      </c:pt>
                      <c:pt idx="8527">
                        <c:v>59.215277777781012</c:v>
                      </c:pt>
                      <c:pt idx="8528">
                        <c:v>59.222222222218988</c:v>
                      </c:pt>
                      <c:pt idx="8529">
                        <c:v>59.229166666664241</c:v>
                      </c:pt>
                      <c:pt idx="8530">
                        <c:v>59.236111111109494</c:v>
                      </c:pt>
                      <c:pt idx="8531">
                        <c:v>59.243055555554747</c:v>
                      </c:pt>
                      <c:pt idx="8532">
                        <c:v>59.25</c:v>
                      </c:pt>
                      <c:pt idx="8533">
                        <c:v>59.256944444445253</c:v>
                      </c:pt>
                      <c:pt idx="8534">
                        <c:v>59.263888888890506</c:v>
                      </c:pt>
                      <c:pt idx="8535">
                        <c:v>59.270833333335759</c:v>
                      </c:pt>
                      <c:pt idx="8536">
                        <c:v>59.277777777781012</c:v>
                      </c:pt>
                      <c:pt idx="8537">
                        <c:v>59.284722222218988</c:v>
                      </c:pt>
                      <c:pt idx="8538">
                        <c:v>59.291666666664241</c:v>
                      </c:pt>
                      <c:pt idx="8539">
                        <c:v>59.298611111109494</c:v>
                      </c:pt>
                      <c:pt idx="8540">
                        <c:v>59.305555555554747</c:v>
                      </c:pt>
                      <c:pt idx="8541">
                        <c:v>59.3125</c:v>
                      </c:pt>
                      <c:pt idx="8542">
                        <c:v>59.319444444445253</c:v>
                      </c:pt>
                      <c:pt idx="8543">
                        <c:v>59.326388888890506</c:v>
                      </c:pt>
                      <c:pt idx="8544">
                        <c:v>59.333333333335759</c:v>
                      </c:pt>
                      <c:pt idx="8545">
                        <c:v>59.340277777781012</c:v>
                      </c:pt>
                      <c:pt idx="8546">
                        <c:v>59.347222222218988</c:v>
                      </c:pt>
                      <c:pt idx="8547">
                        <c:v>59.354166666664241</c:v>
                      </c:pt>
                      <c:pt idx="8548">
                        <c:v>59.361111111109494</c:v>
                      </c:pt>
                      <c:pt idx="8549">
                        <c:v>59.368055555554747</c:v>
                      </c:pt>
                      <c:pt idx="8550">
                        <c:v>59.375</c:v>
                      </c:pt>
                      <c:pt idx="8551">
                        <c:v>59.381944444445253</c:v>
                      </c:pt>
                      <c:pt idx="8552">
                        <c:v>59.388888888890506</c:v>
                      </c:pt>
                      <c:pt idx="8553">
                        <c:v>59.395833333335759</c:v>
                      </c:pt>
                      <c:pt idx="8554">
                        <c:v>59.402777777781012</c:v>
                      </c:pt>
                      <c:pt idx="8555">
                        <c:v>59.409722222218988</c:v>
                      </c:pt>
                      <c:pt idx="8556">
                        <c:v>59.416666666664241</c:v>
                      </c:pt>
                      <c:pt idx="8557">
                        <c:v>59.423611111109494</c:v>
                      </c:pt>
                      <c:pt idx="8558">
                        <c:v>59.430555555554747</c:v>
                      </c:pt>
                      <c:pt idx="8559">
                        <c:v>59.4375</c:v>
                      </c:pt>
                      <c:pt idx="8560">
                        <c:v>59.444444444445253</c:v>
                      </c:pt>
                      <c:pt idx="8561">
                        <c:v>59.451388888890506</c:v>
                      </c:pt>
                      <c:pt idx="8562">
                        <c:v>59.458333333335759</c:v>
                      </c:pt>
                      <c:pt idx="8563">
                        <c:v>59.465277777781012</c:v>
                      </c:pt>
                      <c:pt idx="8564">
                        <c:v>59.472222222218988</c:v>
                      </c:pt>
                      <c:pt idx="8565">
                        <c:v>59.479166666664241</c:v>
                      </c:pt>
                      <c:pt idx="8566">
                        <c:v>59.486111111109494</c:v>
                      </c:pt>
                      <c:pt idx="8567">
                        <c:v>59.493055555554747</c:v>
                      </c:pt>
                      <c:pt idx="8568">
                        <c:v>59.5</c:v>
                      </c:pt>
                      <c:pt idx="8569">
                        <c:v>59.506944444445253</c:v>
                      </c:pt>
                      <c:pt idx="8570">
                        <c:v>59.513888888890506</c:v>
                      </c:pt>
                      <c:pt idx="8571">
                        <c:v>59.520833333335759</c:v>
                      </c:pt>
                      <c:pt idx="8572">
                        <c:v>59.527777777781012</c:v>
                      </c:pt>
                      <c:pt idx="8573">
                        <c:v>59.534722222218988</c:v>
                      </c:pt>
                      <c:pt idx="8574">
                        <c:v>59.541666666664241</c:v>
                      </c:pt>
                      <c:pt idx="8575">
                        <c:v>59.548611111109494</c:v>
                      </c:pt>
                      <c:pt idx="8576">
                        <c:v>59.555555555554747</c:v>
                      </c:pt>
                      <c:pt idx="8577">
                        <c:v>59.5625</c:v>
                      </c:pt>
                      <c:pt idx="8578">
                        <c:v>59.569444444445253</c:v>
                      </c:pt>
                      <c:pt idx="8579">
                        <c:v>59.576388888890506</c:v>
                      </c:pt>
                      <c:pt idx="8580">
                        <c:v>59.583333333335759</c:v>
                      </c:pt>
                      <c:pt idx="8581">
                        <c:v>59.590277777781012</c:v>
                      </c:pt>
                      <c:pt idx="8582">
                        <c:v>59.597222222218988</c:v>
                      </c:pt>
                      <c:pt idx="8583">
                        <c:v>59.604166666664241</c:v>
                      </c:pt>
                      <c:pt idx="8584">
                        <c:v>59.611111111109494</c:v>
                      </c:pt>
                      <c:pt idx="8585">
                        <c:v>59.618055555554747</c:v>
                      </c:pt>
                      <c:pt idx="8586">
                        <c:v>59.625</c:v>
                      </c:pt>
                      <c:pt idx="8587">
                        <c:v>59.631944444445253</c:v>
                      </c:pt>
                      <c:pt idx="8588">
                        <c:v>59.638888888890506</c:v>
                      </c:pt>
                      <c:pt idx="8589">
                        <c:v>59.645833333335759</c:v>
                      </c:pt>
                      <c:pt idx="8590">
                        <c:v>59.652777777781012</c:v>
                      </c:pt>
                      <c:pt idx="8591">
                        <c:v>59.659722222218988</c:v>
                      </c:pt>
                      <c:pt idx="8592">
                        <c:v>59.666666666664241</c:v>
                      </c:pt>
                      <c:pt idx="8593">
                        <c:v>59.673611111109494</c:v>
                      </c:pt>
                      <c:pt idx="8594">
                        <c:v>59.680555555554747</c:v>
                      </c:pt>
                      <c:pt idx="8595">
                        <c:v>59.6875</c:v>
                      </c:pt>
                      <c:pt idx="8596">
                        <c:v>59.694444444445253</c:v>
                      </c:pt>
                      <c:pt idx="8597">
                        <c:v>59.701388888890506</c:v>
                      </c:pt>
                      <c:pt idx="8598">
                        <c:v>59.708333333335759</c:v>
                      </c:pt>
                      <c:pt idx="8599">
                        <c:v>59.715277777781012</c:v>
                      </c:pt>
                      <c:pt idx="8600">
                        <c:v>59.722222222218988</c:v>
                      </c:pt>
                      <c:pt idx="8601">
                        <c:v>59.729166666664241</c:v>
                      </c:pt>
                      <c:pt idx="8602">
                        <c:v>59.736111111109494</c:v>
                      </c:pt>
                      <c:pt idx="8603">
                        <c:v>59.743055555554747</c:v>
                      </c:pt>
                      <c:pt idx="8604">
                        <c:v>59.75</c:v>
                      </c:pt>
                      <c:pt idx="8605">
                        <c:v>59.756944444445253</c:v>
                      </c:pt>
                      <c:pt idx="8606">
                        <c:v>59.763888888890506</c:v>
                      </c:pt>
                      <c:pt idx="8607">
                        <c:v>59.770833333335759</c:v>
                      </c:pt>
                      <c:pt idx="8608">
                        <c:v>59.777777777781012</c:v>
                      </c:pt>
                      <c:pt idx="8609">
                        <c:v>59.784722222218988</c:v>
                      </c:pt>
                      <c:pt idx="8610">
                        <c:v>59.791666666664241</c:v>
                      </c:pt>
                      <c:pt idx="8611">
                        <c:v>59.798611111109494</c:v>
                      </c:pt>
                      <c:pt idx="8612">
                        <c:v>59.805555555554747</c:v>
                      </c:pt>
                      <c:pt idx="8613">
                        <c:v>59.8125</c:v>
                      </c:pt>
                      <c:pt idx="8614">
                        <c:v>59.819444444445253</c:v>
                      </c:pt>
                      <c:pt idx="8615">
                        <c:v>59.826388888890506</c:v>
                      </c:pt>
                      <c:pt idx="8616">
                        <c:v>59.833333333335759</c:v>
                      </c:pt>
                      <c:pt idx="8617">
                        <c:v>59.840277777781012</c:v>
                      </c:pt>
                      <c:pt idx="8618">
                        <c:v>59.847222222218988</c:v>
                      </c:pt>
                      <c:pt idx="8619">
                        <c:v>59.854166666664241</c:v>
                      </c:pt>
                      <c:pt idx="8620">
                        <c:v>59.861111111109494</c:v>
                      </c:pt>
                      <c:pt idx="8621">
                        <c:v>59.868055555554747</c:v>
                      </c:pt>
                      <c:pt idx="8622">
                        <c:v>59.875</c:v>
                      </c:pt>
                      <c:pt idx="8623">
                        <c:v>59.881944444445253</c:v>
                      </c:pt>
                      <c:pt idx="8624">
                        <c:v>59.888888888890506</c:v>
                      </c:pt>
                      <c:pt idx="8625">
                        <c:v>59.895833333335759</c:v>
                      </c:pt>
                      <c:pt idx="8626">
                        <c:v>59.902777777781012</c:v>
                      </c:pt>
                      <c:pt idx="8627">
                        <c:v>59.909722222218988</c:v>
                      </c:pt>
                      <c:pt idx="8628">
                        <c:v>59.916666666664241</c:v>
                      </c:pt>
                      <c:pt idx="8629">
                        <c:v>59.923611111109494</c:v>
                      </c:pt>
                      <c:pt idx="8630">
                        <c:v>59.930555555554747</c:v>
                      </c:pt>
                      <c:pt idx="8631">
                        <c:v>59.9375</c:v>
                      </c:pt>
                      <c:pt idx="8632">
                        <c:v>59.944444444445253</c:v>
                      </c:pt>
                      <c:pt idx="8633">
                        <c:v>59.951388888890506</c:v>
                      </c:pt>
                      <c:pt idx="8634">
                        <c:v>59.958333333335759</c:v>
                      </c:pt>
                      <c:pt idx="8635">
                        <c:v>59.965277777781012</c:v>
                      </c:pt>
                      <c:pt idx="8636">
                        <c:v>59.972222222218988</c:v>
                      </c:pt>
                      <c:pt idx="8637">
                        <c:v>59.979166666664241</c:v>
                      </c:pt>
                      <c:pt idx="8638">
                        <c:v>59.986111111109494</c:v>
                      </c:pt>
                      <c:pt idx="8639">
                        <c:v>59.993055555554747</c:v>
                      </c:pt>
                      <c:pt idx="8640">
                        <c:v>60</c:v>
                      </c:pt>
                      <c:pt idx="8641">
                        <c:v>60.006944444445253</c:v>
                      </c:pt>
                      <c:pt idx="8642">
                        <c:v>60.013888888890506</c:v>
                      </c:pt>
                      <c:pt idx="8643">
                        <c:v>60.020833333335759</c:v>
                      </c:pt>
                      <c:pt idx="8644">
                        <c:v>60.027777777781012</c:v>
                      </c:pt>
                      <c:pt idx="8645">
                        <c:v>60.034722222218988</c:v>
                      </c:pt>
                      <c:pt idx="8646">
                        <c:v>60.041666666664241</c:v>
                      </c:pt>
                      <c:pt idx="8647">
                        <c:v>60.048611111109494</c:v>
                      </c:pt>
                      <c:pt idx="8648">
                        <c:v>60.055555555554747</c:v>
                      </c:pt>
                      <c:pt idx="8649">
                        <c:v>60.0625</c:v>
                      </c:pt>
                      <c:pt idx="8650">
                        <c:v>60.069444444445253</c:v>
                      </c:pt>
                      <c:pt idx="8651">
                        <c:v>60.076388888890506</c:v>
                      </c:pt>
                      <c:pt idx="8652">
                        <c:v>60.083333333335759</c:v>
                      </c:pt>
                      <c:pt idx="8653">
                        <c:v>60.090277777781012</c:v>
                      </c:pt>
                      <c:pt idx="8654">
                        <c:v>60.097222222218988</c:v>
                      </c:pt>
                      <c:pt idx="8655">
                        <c:v>60.104166666664241</c:v>
                      </c:pt>
                      <c:pt idx="8656">
                        <c:v>60.111111111109494</c:v>
                      </c:pt>
                      <c:pt idx="8657">
                        <c:v>60.118055555554747</c:v>
                      </c:pt>
                      <c:pt idx="8658">
                        <c:v>60.125</c:v>
                      </c:pt>
                      <c:pt idx="8659">
                        <c:v>60.131944444445253</c:v>
                      </c:pt>
                      <c:pt idx="8660">
                        <c:v>60.138888888890506</c:v>
                      </c:pt>
                      <c:pt idx="8661">
                        <c:v>60.145833333335759</c:v>
                      </c:pt>
                      <c:pt idx="8662">
                        <c:v>60.152777777781012</c:v>
                      </c:pt>
                      <c:pt idx="8663">
                        <c:v>60.159722222218988</c:v>
                      </c:pt>
                      <c:pt idx="8664">
                        <c:v>60.166666666664241</c:v>
                      </c:pt>
                      <c:pt idx="8665">
                        <c:v>60.173611111109494</c:v>
                      </c:pt>
                      <c:pt idx="8666">
                        <c:v>60.180555555554747</c:v>
                      </c:pt>
                      <c:pt idx="8667">
                        <c:v>60.1875</c:v>
                      </c:pt>
                      <c:pt idx="8668">
                        <c:v>60.194444444445253</c:v>
                      </c:pt>
                      <c:pt idx="8669">
                        <c:v>60.201388888890506</c:v>
                      </c:pt>
                      <c:pt idx="8670">
                        <c:v>60.208333333335759</c:v>
                      </c:pt>
                      <c:pt idx="8671">
                        <c:v>60.215277777781012</c:v>
                      </c:pt>
                      <c:pt idx="8672">
                        <c:v>60.222222222218988</c:v>
                      </c:pt>
                      <c:pt idx="8673">
                        <c:v>60.229166666664241</c:v>
                      </c:pt>
                      <c:pt idx="8674">
                        <c:v>60.236111111109494</c:v>
                      </c:pt>
                      <c:pt idx="8675">
                        <c:v>60.243055555554747</c:v>
                      </c:pt>
                      <c:pt idx="8676">
                        <c:v>60.25</c:v>
                      </c:pt>
                      <c:pt idx="8677">
                        <c:v>60.256944444445253</c:v>
                      </c:pt>
                      <c:pt idx="8678">
                        <c:v>60.263888888890506</c:v>
                      </c:pt>
                      <c:pt idx="8679">
                        <c:v>60.270833333335759</c:v>
                      </c:pt>
                      <c:pt idx="8680">
                        <c:v>60.277777777781012</c:v>
                      </c:pt>
                      <c:pt idx="8681">
                        <c:v>60.284722222218988</c:v>
                      </c:pt>
                      <c:pt idx="8682">
                        <c:v>60.291666666664241</c:v>
                      </c:pt>
                      <c:pt idx="8683">
                        <c:v>60.298611111109494</c:v>
                      </c:pt>
                      <c:pt idx="8684">
                        <c:v>60.305555555554747</c:v>
                      </c:pt>
                      <c:pt idx="8685">
                        <c:v>60.3125</c:v>
                      </c:pt>
                      <c:pt idx="8686">
                        <c:v>60.319444444445253</c:v>
                      </c:pt>
                      <c:pt idx="8687">
                        <c:v>60.326388888890506</c:v>
                      </c:pt>
                      <c:pt idx="8688">
                        <c:v>60.333333333335759</c:v>
                      </c:pt>
                      <c:pt idx="8689">
                        <c:v>60.340277777781012</c:v>
                      </c:pt>
                      <c:pt idx="8690">
                        <c:v>60.347222222218988</c:v>
                      </c:pt>
                      <c:pt idx="8691">
                        <c:v>60.354166666664241</c:v>
                      </c:pt>
                      <c:pt idx="8692">
                        <c:v>60.361111111109494</c:v>
                      </c:pt>
                      <c:pt idx="8693">
                        <c:v>60.368055555554747</c:v>
                      </c:pt>
                      <c:pt idx="8694">
                        <c:v>60.375</c:v>
                      </c:pt>
                      <c:pt idx="8695">
                        <c:v>60.381944444445253</c:v>
                      </c:pt>
                      <c:pt idx="8696">
                        <c:v>60.388888888890506</c:v>
                      </c:pt>
                      <c:pt idx="8697">
                        <c:v>60.395833333335759</c:v>
                      </c:pt>
                      <c:pt idx="8698">
                        <c:v>60.402777777781012</c:v>
                      </c:pt>
                      <c:pt idx="8699">
                        <c:v>60.409722222218988</c:v>
                      </c:pt>
                      <c:pt idx="8700">
                        <c:v>60.416666666664241</c:v>
                      </c:pt>
                      <c:pt idx="8701">
                        <c:v>60.423611111109494</c:v>
                      </c:pt>
                      <c:pt idx="8702">
                        <c:v>60.430555555554747</c:v>
                      </c:pt>
                      <c:pt idx="8703">
                        <c:v>60.4375</c:v>
                      </c:pt>
                      <c:pt idx="8704">
                        <c:v>60.444444444445253</c:v>
                      </c:pt>
                      <c:pt idx="8705">
                        <c:v>60.451388888890506</c:v>
                      </c:pt>
                      <c:pt idx="8706">
                        <c:v>60.458333333335759</c:v>
                      </c:pt>
                      <c:pt idx="8707">
                        <c:v>60.465277777781012</c:v>
                      </c:pt>
                      <c:pt idx="8708">
                        <c:v>60.472222222218988</c:v>
                      </c:pt>
                      <c:pt idx="8709">
                        <c:v>60.479166666664241</c:v>
                      </c:pt>
                      <c:pt idx="8710">
                        <c:v>60.486111111109494</c:v>
                      </c:pt>
                      <c:pt idx="8711">
                        <c:v>60.493055555554747</c:v>
                      </c:pt>
                      <c:pt idx="8712">
                        <c:v>60.5</c:v>
                      </c:pt>
                      <c:pt idx="8713">
                        <c:v>60.506944444445253</c:v>
                      </c:pt>
                      <c:pt idx="8714">
                        <c:v>60.513888888890506</c:v>
                      </c:pt>
                      <c:pt idx="8715">
                        <c:v>60.520833333335759</c:v>
                      </c:pt>
                      <c:pt idx="8716">
                        <c:v>60.527777777781012</c:v>
                      </c:pt>
                      <c:pt idx="8717">
                        <c:v>60.534722222218988</c:v>
                      </c:pt>
                      <c:pt idx="8718">
                        <c:v>60.541666666664241</c:v>
                      </c:pt>
                      <c:pt idx="8719">
                        <c:v>60.548611111109494</c:v>
                      </c:pt>
                      <c:pt idx="8720">
                        <c:v>60.555555555554747</c:v>
                      </c:pt>
                      <c:pt idx="8721">
                        <c:v>60.5625</c:v>
                      </c:pt>
                      <c:pt idx="8722">
                        <c:v>60.569444444445253</c:v>
                      </c:pt>
                      <c:pt idx="8723">
                        <c:v>60.576388888890506</c:v>
                      </c:pt>
                      <c:pt idx="8724">
                        <c:v>60.583333333335759</c:v>
                      </c:pt>
                      <c:pt idx="8725">
                        <c:v>60.590277777781012</c:v>
                      </c:pt>
                      <c:pt idx="8726">
                        <c:v>60.597222222218988</c:v>
                      </c:pt>
                      <c:pt idx="8727">
                        <c:v>60.604166666664241</c:v>
                      </c:pt>
                      <c:pt idx="8728">
                        <c:v>60.611111111109494</c:v>
                      </c:pt>
                      <c:pt idx="8729">
                        <c:v>60.618055555554747</c:v>
                      </c:pt>
                      <c:pt idx="8730">
                        <c:v>60.625</c:v>
                      </c:pt>
                      <c:pt idx="8731">
                        <c:v>60.631944444445253</c:v>
                      </c:pt>
                      <c:pt idx="8732">
                        <c:v>60.638888888890506</c:v>
                      </c:pt>
                      <c:pt idx="8733">
                        <c:v>60.645833333335759</c:v>
                      </c:pt>
                      <c:pt idx="8734">
                        <c:v>60.652777777781012</c:v>
                      </c:pt>
                      <c:pt idx="8735">
                        <c:v>60.659722222218988</c:v>
                      </c:pt>
                      <c:pt idx="8736">
                        <c:v>60.666666666664241</c:v>
                      </c:pt>
                      <c:pt idx="8737">
                        <c:v>60.673611111109494</c:v>
                      </c:pt>
                      <c:pt idx="8738">
                        <c:v>60.680555555554747</c:v>
                      </c:pt>
                      <c:pt idx="8739">
                        <c:v>60.6875</c:v>
                      </c:pt>
                      <c:pt idx="8740">
                        <c:v>60.694444444445253</c:v>
                      </c:pt>
                      <c:pt idx="8741">
                        <c:v>60.701388888890506</c:v>
                      </c:pt>
                      <c:pt idx="8742">
                        <c:v>60.708333333335759</c:v>
                      </c:pt>
                      <c:pt idx="8743">
                        <c:v>60.715277777781012</c:v>
                      </c:pt>
                      <c:pt idx="8744">
                        <c:v>60.722222222218988</c:v>
                      </c:pt>
                      <c:pt idx="8745">
                        <c:v>60.729166666664241</c:v>
                      </c:pt>
                      <c:pt idx="8746">
                        <c:v>60.736111111109494</c:v>
                      </c:pt>
                      <c:pt idx="8747">
                        <c:v>60.743055555554747</c:v>
                      </c:pt>
                      <c:pt idx="8748">
                        <c:v>60.75</c:v>
                      </c:pt>
                      <c:pt idx="8749">
                        <c:v>60.756944444445253</c:v>
                      </c:pt>
                      <c:pt idx="8750">
                        <c:v>60.763888888890506</c:v>
                      </c:pt>
                      <c:pt idx="8751">
                        <c:v>60.770833333335759</c:v>
                      </c:pt>
                      <c:pt idx="8752">
                        <c:v>60.777777777781012</c:v>
                      </c:pt>
                      <c:pt idx="8753">
                        <c:v>60.784722222218988</c:v>
                      </c:pt>
                      <c:pt idx="8754">
                        <c:v>60.791666666664241</c:v>
                      </c:pt>
                      <c:pt idx="8755">
                        <c:v>60.798611111109494</c:v>
                      </c:pt>
                      <c:pt idx="8756">
                        <c:v>60.805555555554747</c:v>
                      </c:pt>
                      <c:pt idx="8757">
                        <c:v>60.8125</c:v>
                      </c:pt>
                      <c:pt idx="8758">
                        <c:v>60.819444444445253</c:v>
                      </c:pt>
                      <c:pt idx="8759">
                        <c:v>60.826388888890506</c:v>
                      </c:pt>
                      <c:pt idx="8760">
                        <c:v>60.833333333335759</c:v>
                      </c:pt>
                      <c:pt idx="8761">
                        <c:v>60.840277777781012</c:v>
                      </c:pt>
                      <c:pt idx="8762">
                        <c:v>60.847222222218988</c:v>
                      </c:pt>
                      <c:pt idx="8763">
                        <c:v>60.854166666664241</c:v>
                      </c:pt>
                      <c:pt idx="8764">
                        <c:v>60.861111111109494</c:v>
                      </c:pt>
                      <c:pt idx="8765">
                        <c:v>60.868055555554747</c:v>
                      </c:pt>
                      <c:pt idx="8766">
                        <c:v>60.875</c:v>
                      </c:pt>
                      <c:pt idx="8767">
                        <c:v>60.881944444445253</c:v>
                      </c:pt>
                      <c:pt idx="8768">
                        <c:v>60.888888888890506</c:v>
                      </c:pt>
                      <c:pt idx="8769">
                        <c:v>60.895833333335759</c:v>
                      </c:pt>
                      <c:pt idx="8770">
                        <c:v>60.902777777781012</c:v>
                      </c:pt>
                      <c:pt idx="8771">
                        <c:v>60.909722222218988</c:v>
                      </c:pt>
                      <c:pt idx="8772">
                        <c:v>60.916666666664241</c:v>
                      </c:pt>
                      <c:pt idx="8773">
                        <c:v>60.923611111109494</c:v>
                      </c:pt>
                      <c:pt idx="8774">
                        <c:v>60.930555555554747</c:v>
                      </c:pt>
                      <c:pt idx="8775">
                        <c:v>60.9375</c:v>
                      </c:pt>
                      <c:pt idx="8776">
                        <c:v>60.944444444445253</c:v>
                      </c:pt>
                      <c:pt idx="8777">
                        <c:v>60.951388888890506</c:v>
                      </c:pt>
                      <c:pt idx="8778">
                        <c:v>60.958333333335759</c:v>
                      </c:pt>
                      <c:pt idx="8779">
                        <c:v>60.965277777781012</c:v>
                      </c:pt>
                      <c:pt idx="8780">
                        <c:v>60.972222222218988</c:v>
                      </c:pt>
                      <c:pt idx="8781">
                        <c:v>60.979166666664241</c:v>
                      </c:pt>
                      <c:pt idx="8782">
                        <c:v>60.986111111109494</c:v>
                      </c:pt>
                      <c:pt idx="8783">
                        <c:v>60.993055555554747</c:v>
                      </c:pt>
                      <c:pt idx="8784">
                        <c:v>61</c:v>
                      </c:pt>
                      <c:pt idx="8785">
                        <c:v>61.006944444445253</c:v>
                      </c:pt>
                      <c:pt idx="8786">
                        <c:v>61.013888888890506</c:v>
                      </c:pt>
                      <c:pt idx="8787">
                        <c:v>61.020833333335759</c:v>
                      </c:pt>
                      <c:pt idx="8788">
                        <c:v>61.027777777781012</c:v>
                      </c:pt>
                      <c:pt idx="8789">
                        <c:v>61.034722222218988</c:v>
                      </c:pt>
                      <c:pt idx="8790">
                        <c:v>61.041666666664241</c:v>
                      </c:pt>
                      <c:pt idx="8791">
                        <c:v>61.048611111109494</c:v>
                      </c:pt>
                      <c:pt idx="8792">
                        <c:v>61.055555555554747</c:v>
                      </c:pt>
                      <c:pt idx="8793">
                        <c:v>61.0625</c:v>
                      </c:pt>
                      <c:pt idx="8794">
                        <c:v>61.069444444445253</c:v>
                      </c:pt>
                      <c:pt idx="8795">
                        <c:v>61.076388888890506</c:v>
                      </c:pt>
                      <c:pt idx="8796">
                        <c:v>61.083333333335759</c:v>
                      </c:pt>
                      <c:pt idx="8797">
                        <c:v>61.090277777781012</c:v>
                      </c:pt>
                      <c:pt idx="8798">
                        <c:v>61.097222222218988</c:v>
                      </c:pt>
                      <c:pt idx="8799">
                        <c:v>61.104166666664241</c:v>
                      </c:pt>
                      <c:pt idx="8800">
                        <c:v>61.111111111109494</c:v>
                      </c:pt>
                      <c:pt idx="8801">
                        <c:v>61.118055555554747</c:v>
                      </c:pt>
                      <c:pt idx="8802">
                        <c:v>61.125</c:v>
                      </c:pt>
                      <c:pt idx="8803">
                        <c:v>61.131944444445253</c:v>
                      </c:pt>
                      <c:pt idx="8804">
                        <c:v>61.138888888890506</c:v>
                      </c:pt>
                      <c:pt idx="8805">
                        <c:v>61.145833333335759</c:v>
                      </c:pt>
                      <c:pt idx="8806">
                        <c:v>61.152777777781012</c:v>
                      </c:pt>
                      <c:pt idx="8807">
                        <c:v>61.159722222218988</c:v>
                      </c:pt>
                      <c:pt idx="8808">
                        <c:v>61.166666666664241</c:v>
                      </c:pt>
                      <c:pt idx="8809">
                        <c:v>61.173611111109494</c:v>
                      </c:pt>
                      <c:pt idx="8810">
                        <c:v>61.180555555554747</c:v>
                      </c:pt>
                      <c:pt idx="8811">
                        <c:v>61.1875</c:v>
                      </c:pt>
                      <c:pt idx="8812">
                        <c:v>61.194444444445253</c:v>
                      </c:pt>
                      <c:pt idx="8813">
                        <c:v>61.201388888890506</c:v>
                      </c:pt>
                      <c:pt idx="8814">
                        <c:v>61.208333333335759</c:v>
                      </c:pt>
                      <c:pt idx="8815">
                        <c:v>61.215277777781012</c:v>
                      </c:pt>
                      <c:pt idx="8816">
                        <c:v>61.222222222218988</c:v>
                      </c:pt>
                      <c:pt idx="8817">
                        <c:v>61.229166666664241</c:v>
                      </c:pt>
                      <c:pt idx="8818">
                        <c:v>61.236111111109494</c:v>
                      </c:pt>
                      <c:pt idx="8819">
                        <c:v>61.243055555554747</c:v>
                      </c:pt>
                      <c:pt idx="8820">
                        <c:v>61.25</c:v>
                      </c:pt>
                      <c:pt idx="8821">
                        <c:v>61.256944444445253</c:v>
                      </c:pt>
                      <c:pt idx="8822">
                        <c:v>61.263888888890506</c:v>
                      </c:pt>
                      <c:pt idx="8823">
                        <c:v>61.270833333335759</c:v>
                      </c:pt>
                      <c:pt idx="8824">
                        <c:v>61.277777777781012</c:v>
                      </c:pt>
                      <c:pt idx="8825">
                        <c:v>61.284722222218988</c:v>
                      </c:pt>
                      <c:pt idx="8826">
                        <c:v>61.291666666664241</c:v>
                      </c:pt>
                      <c:pt idx="8827">
                        <c:v>61.298611111109494</c:v>
                      </c:pt>
                      <c:pt idx="8828">
                        <c:v>61.305555555554747</c:v>
                      </c:pt>
                      <c:pt idx="8829">
                        <c:v>61.3125</c:v>
                      </c:pt>
                      <c:pt idx="8830">
                        <c:v>61.319444444445253</c:v>
                      </c:pt>
                      <c:pt idx="8831">
                        <c:v>61.326388888890506</c:v>
                      </c:pt>
                      <c:pt idx="8832">
                        <c:v>61.333333333335759</c:v>
                      </c:pt>
                      <c:pt idx="8833">
                        <c:v>61.340277777781012</c:v>
                      </c:pt>
                      <c:pt idx="8834">
                        <c:v>61.347222222218988</c:v>
                      </c:pt>
                      <c:pt idx="8835">
                        <c:v>61.354166666664241</c:v>
                      </c:pt>
                      <c:pt idx="8836">
                        <c:v>61.361111111109494</c:v>
                      </c:pt>
                      <c:pt idx="8837">
                        <c:v>61.368055555554747</c:v>
                      </c:pt>
                      <c:pt idx="8838">
                        <c:v>61.375</c:v>
                      </c:pt>
                      <c:pt idx="8839">
                        <c:v>61.381944444445253</c:v>
                      </c:pt>
                      <c:pt idx="8840">
                        <c:v>61.388888888890506</c:v>
                      </c:pt>
                      <c:pt idx="8841">
                        <c:v>61.395833333335759</c:v>
                      </c:pt>
                      <c:pt idx="8842">
                        <c:v>61.402777777781012</c:v>
                      </c:pt>
                      <c:pt idx="8843">
                        <c:v>61.409722222218988</c:v>
                      </c:pt>
                      <c:pt idx="8844">
                        <c:v>61.416666666664241</c:v>
                      </c:pt>
                      <c:pt idx="8845">
                        <c:v>61.423611111109494</c:v>
                      </c:pt>
                      <c:pt idx="8846">
                        <c:v>61.430555555554747</c:v>
                      </c:pt>
                      <c:pt idx="8847">
                        <c:v>61.4375</c:v>
                      </c:pt>
                      <c:pt idx="8848">
                        <c:v>61.444444444445253</c:v>
                      </c:pt>
                      <c:pt idx="8849">
                        <c:v>61.451388888890506</c:v>
                      </c:pt>
                      <c:pt idx="8850">
                        <c:v>61.458333333335759</c:v>
                      </c:pt>
                      <c:pt idx="8851">
                        <c:v>61.465277777781012</c:v>
                      </c:pt>
                      <c:pt idx="8852">
                        <c:v>61.472222222218988</c:v>
                      </c:pt>
                      <c:pt idx="8853">
                        <c:v>61.479166666664241</c:v>
                      </c:pt>
                      <c:pt idx="8854">
                        <c:v>61.486111111109494</c:v>
                      </c:pt>
                      <c:pt idx="8855">
                        <c:v>61.493055555554747</c:v>
                      </c:pt>
                      <c:pt idx="8856">
                        <c:v>61.5</c:v>
                      </c:pt>
                      <c:pt idx="8857">
                        <c:v>61.506944444445253</c:v>
                      </c:pt>
                      <c:pt idx="8858">
                        <c:v>61.513888888890506</c:v>
                      </c:pt>
                      <c:pt idx="8859">
                        <c:v>61.520833333335759</c:v>
                      </c:pt>
                      <c:pt idx="8860">
                        <c:v>61.527777777781012</c:v>
                      </c:pt>
                      <c:pt idx="8861">
                        <c:v>61.534722222218988</c:v>
                      </c:pt>
                      <c:pt idx="8862">
                        <c:v>61.541666666664241</c:v>
                      </c:pt>
                      <c:pt idx="8863">
                        <c:v>61.548611111109494</c:v>
                      </c:pt>
                      <c:pt idx="8864">
                        <c:v>61.555555555554747</c:v>
                      </c:pt>
                      <c:pt idx="8865">
                        <c:v>61.5625</c:v>
                      </c:pt>
                      <c:pt idx="8866">
                        <c:v>61.569444444445253</c:v>
                      </c:pt>
                      <c:pt idx="8867">
                        <c:v>61.576388888890506</c:v>
                      </c:pt>
                      <c:pt idx="8868">
                        <c:v>61.583333333335759</c:v>
                      </c:pt>
                      <c:pt idx="8869">
                        <c:v>61.590277777781012</c:v>
                      </c:pt>
                      <c:pt idx="8870">
                        <c:v>61.597222222218988</c:v>
                      </c:pt>
                      <c:pt idx="8871">
                        <c:v>61.604166666664241</c:v>
                      </c:pt>
                      <c:pt idx="8872">
                        <c:v>61.611111111109494</c:v>
                      </c:pt>
                      <c:pt idx="8873">
                        <c:v>61.618055555554747</c:v>
                      </c:pt>
                      <c:pt idx="8874">
                        <c:v>61.625</c:v>
                      </c:pt>
                      <c:pt idx="8875">
                        <c:v>61.631944444445253</c:v>
                      </c:pt>
                      <c:pt idx="8876">
                        <c:v>61.638888888890506</c:v>
                      </c:pt>
                      <c:pt idx="8877">
                        <c:v>61.645833333335759</c:v>
                      </c:pt>
                      <c:pt idx="8878">
                        <c:v>61.652777777781012</c:v>
                      </c:pt>
                      <c:pt idx="8879">
                        <c:v>61.659722222218988</c:v>
                      </c:pt>
                      <c:pt idx="8880">
                        <c:v>61.666666666664241</c:v>
                      </c:pt>
                      <c:pt idx="8881">
                        <c:v>61.673611111109494</c:v>
                      </c:pt>
                      <c:pt idx="8882">
                        <c:v>61.680555555554747</c:v>
                      </c:pt>
                      <c:pt idx="8883">
                        <c:v>61.6875</c:v>
                      </c:pt>
                      <c:pt idx="8884">
                        <c:v>61.694444444445253</c:v>
                      </c:pt>
                      <c:pt idx="8885">
                        <c:v>61.701388888890506</c:v>
                      </c:pt>
                      <c:pt idx="8886">
                        <c:v>61.708333333335759</c:v>
                      </c:pt>
                      <c:pt idx="8887">
                        <c:v>61.715277777781012</c:v>
                      </c:pt>
                      <c:pt idx="8888">
                        <c:v>61.722222222218988</c:v>
                      </c:pt>
                      <c:pt idx="8889">
                        <c:v>61.729166666664241</c:v>
                      </c:pt>
                      <c:pt idx="8890">
                        <c:v>61.736111111109494</c:v>
                      </c:pt>
                      <c:pt idx="8891">
                        <c:v>61.743055555554747</c:v>
                      </c:pt>
                      <c:pt idx="8892">
                        <c:v>61.75</c:v>
                      </c:pt>
                      <c:pt idx="8893">
                        <c:v>61.756944444445253</c:v>
                      </c:pt>
                      <c:pt idx="8894">
                        <c:v>61.763888888890506</c:v>
                      </c:pt>
                      <c:pt idx="8895">
                        <c:v>61.770833333335759</c:v>
                      </c:pt>
                      <c:pt idx="8896">
                        <c:v>61.777777777781012</c:v>
                      </c:pt>
                      <c:pt idx="8897">
                        <c:v>61.784722222218988</c:v>
                      </c:pt>
                      <c:pt idx="8898">
                        <c:v>61.791666666664241</c:v>
                      </c:pt>
                      <c:pt idx="8899">
                        <c:v>61.798611111109494</c:v>
                      </c:pt>
                      <c:pt idx="8900">
                        <c:v>61.805555555554747</c:v>
                      </c:pt>
                      <c:pt idx="8901">
                        <c:v>61.8125</c:v>
                      </c:pt>
                      <c:pt idx="8902">
                        <c:v>61.819444444445253</c:v>
                      </c:pt>
                      <c:pt idx="8903">
                        <c:v>61.826388888890506</c:v>
                      </c:pt>
                      <c:pt idx="8904">
                        <c:v>61.833333333335759</c:v>
                      </c:pt>
                      <c:pt idx="8905">
                        <c:v>61.840277777781012</c:v>
                      </c:pt>
                      <c:pt idx="8906">
                        <c:v>61.847222222218988</c:v>
                      </c:pt>
                      <c:pt idx="8907">
                        <c:v>61.854166666664241</c:v>
                      </c:pt>
                      <c:pt idx="8908">
                        <c:v>61.861111111109494</c:v>
                      </c:pt>
                      <c:pt idx="8909">
                        <c:v>61.868055555554747</c:v>
                      </c:pt>
                      <c:pt idx="8910">
                        <c:v>61.875</c:v>
                      </c:pt>
                      <c:pt idx="8911">
                        <c:v>61.881944444445253</c:v>
                      </c:pt>
                      <c:pt idx="8912">
                        <c:v>61.888888888890506</c:v>
                      </c:pt>
                      <c:pt idx="8913">
                        <c:v>61.895833333335759</c:v>
                      </c:pt>
                      <c:pt idx="8914">
                        <c:v>61.902777777781012</c:v>
                      </c:pt>
                      <c:pt idx="8915">
                        <c:v>61.909722222218988</c:v>
                      </c:pt>
                      <c:pt idx="8916">
                        <c:v>61.916666666664241</c:v>
                      </c:pt>
                      <c:pt idx="8917">
                        <c:v>61.923611111109494</c:v>
                      </c:pt>
                      <c:pt idx="8918">
                        <c:v>61.930555555554747</c:v>
                      </c:pt>
                      <c:pt idx="8919">
                        <c:v>61.9375</c:v>
                      </c:pt>
                      <c:pt idx="8920">
                        <c:v>61.944444444445253</c:v>
                      </c:pt>
                      <c:pt idx="8921">
                        <c:v>61.951388888890506</c:v>
                      </c:pt>
                      <c:pt idx="8922">
                        <c:v>61.958333333335759</c:v>
                      </c:pt>
                      <c:pt idx="8923">
                        <c:v>61.965277777781012</c:v>
                      </c:pt>
                      <c:pt idx="8924">
                        <c:v>61.972222222218988</c:v>
                      </c:pt>
                      <c:pt idx="8925">
                        <c:v>61.979166666664241</c:v>
                      </c:pt>
                      <c:pt idx="8926">
                        <c:v>61.986111111109494</c:v>
                      </c:pt>
                      <c:pt idx="8927">
                        <c:v>61.993055555554747</c:v>
                      </c:pt>
                      <c:pt idx="8928">
                        <c:v>62</c:v>
                      </c:pt>
                      <c:pt idx="8929">
                        <c:v>62.006944444445253</c:v>
                      </c:pt>
                      <c:pt idx="8930">
                        <c:v>62.013888888890506</c:v>
                      </c:pt>
                      <c:pt idx="8931">
                        <c:v>62.020833333335759</c:v>
                      </c:pt>
                      <c:pt idx="8932">
                        <c:v>62.027777777781012</c:v>
                      </c:pt>
                      <c:pt idx="8933">
                        <c:v>62.034722222218988</c:v>
                      </c:pt>
                      <c:pt idx="8934">
                        <c:v>62.041666666664241</c:v>
                      </c:pt>
                      <c:pt idx="8935">
                        <c:v>62.048611111109494</c:v>
                      </c:pt>
                      <c:pt idx="8936">
                        <c:v>62.055555555554747</c:v>
                      </c:pt>
                      <c:pt idx="8937">
                        <c:v>62.0625</c:v>
                      </c:pt>
                      <c:pt idx="8938">
                        <c:v>62.069444444445253</c:v>
                      </c:pt>
                      <c:pt idx="8939">
                        <c:v>62.076388888890506</c:v>
                      </c:pt>
                      <c:pt idx="8940">
                        <c:v>62.083333333335759</c:v>
                      </c:pt>
                      <c:pt idx="8941">
                        <c:v>62.090277777781012</c:v>
                      </c:pt>
                      <c:pt idx="8942">
                        <c:v>62.097222222218988</c:v>
                      </c:pt>
                      <c:pt idx="8943">
                        <c:v>62.104166666664241</c:v>
                      </c:pt>
                      <c:pt idx="8944">
                        <c:v>62.111111111109494</c:v>
                      </c:pt>
                      <c:pt idx="8945">
                        <c:v>62.118055555554747</c:v>
                      </c:pt>
                      <c:pt idx="8946">
                        <c:v>62.125</c:v>
                      </c:pt>
                      <c:pt idx="8947">
                        <c:v>62.131944444445253</c:v>
                      </c:pt>
                      <c:pt idx="8948">
                        <c:v>62.138888888890506</c:v>
                      </c:pt>
                      <c:pt idx="8949">
                        <c:v>62.145833333335759</c:v>
                      </c:pt>
                      <c:pt idx="8950">
                        <c:v>62.152777777781012</c:v>
                      </c:pt>
                      <c:pt idx="8951">
                        <c:v>62.159722222218988</c:v>
                      </c:pt>
                      <c:pt idx="8952">
                        <c:v>62.166666666664241</c:v>
                      </c:pt>
                      <c:pt idx="8953">
                        <c:v>62.173611111109494</c:v>
                      </c:pt>
                      <c:pt idx="8954">
                        <c:v>62.180555555554747</c:v>
                      </c:pt>
                      <c:pt idx="8955">
                        <c:v>62.1875</c:v>
                      </c:pt>
                      <c:pt idx="8956">
                        <c:v>62.194444444445253</c:v>
                      </c:pt>
                      <c:pt idx="8957">
                        <c:v>62.201388888890506</c:v>
                      </c:pt>
                      <c:pt idx="8958">
                        <c:v>62.208333333335759</c:v>
                      </c:pt>
                      <c:pt idx="8959">
                        <c:v>62.215277777781012</c:v>
                      </c:pt>
                      <c:pt idx="8960">
                        <c:v>62.222222222218988</c:v>
                      </c:pt>
                      <c:pt idx="8961">
                        <c:v>62.229166666664241</c:v>
                      </c:pt>
                      <c:pt idx="8962">
                        <c:v>62.236111111109494</c:v>
                      </c:pt>
                      <c:pt idx="8963">
                        <c:v>62.243055555554747</c:v>
                      </c:pt>
                      <c:pt idx="8964">
                        <c:v>62.25</c:v>
                      </c:pt>
                      <c:pt idx="8965">
                        <c:v>62.256944444445253</c:v>
                      </c:pt>
                      <c:pt idx="8966">
                        <c:v>62.263888888890506</c:v>
                      </c:pt>
                      <c:pt idx="8967">
                        <c:v>62.270833333335759</c:v>
                      </c:pt>
                      <c:pt idx="8968">
                        <c:v>62.277777777781012</c:v>
                      </c:pt>
                      <c:pt idx="8969">
                        <c:v>62.284722222218988</c:v>
                      </c:pt>
                      <c:pt idx="8970">
                        <c:v>62.291666666664241</c:v>
                      </c:pt>
                      <c:pt idx="8971">
                        <c:v>62.298611111109494</c:v>
                      </c:pt>
                      <c:pt idx="8972">
                        <c:v>62.305555555554747</c:v>
                      </c:pt>
                      <c:pt idx="8973">
                        <c:v>62.3125</c:v>
                      </c:pt>
                      <c:pt idx="8974">
                        <c:v>62.319444444445253</c:v>
                      </c:pt>
                      <c:pt idx="8975">
                        <c:v>62.326388888890506</c:v>
                      </c:pt>
                      <c:pt idx="8976">
                        <c:v>62.333333333335759</c:v>
                      </c:pt>
                      <c:pt idx="8977">
                        <c:v>62.340277777781012</c:v>
                      </c:pt>
                      <c:pt idx="8978">
                        <c:v>62.347222222218988</c:v>
                      </c:pt>
                      <c:pt idx="8979">
                        <c:v>62.354166666664241</c:v>
                      </c:pt>
                      <c:pt idx="8980">
                        <c:v>62.361111111109494</c:v>
                      </c:pt>
                      <c:pt idx="8981">
                        <c:v>62.368055555554747</c:v>
                      </c:pt>
                      <c:pt idx="8982">
                        <c:v>62.375</c:v>
                      </c:pt>
                      <c:pt idx="8983">
                        <c:v>62.381944444445253</c:v>
                      </c:pt>
                      <c:pt idx="8984">
                        <c:v>62.388888888890506</c:v>
                      </c:pt>
                      <c:pt idx="8985">
                        <c:v>62.395833333335759</c:v>
                      </c:pt>
                      <c:pt idx="8986">
                        <c:v>62.402777777781012</c:v>
                      </c:pt>
                      <c:pt idx="8987">
                        <c:v>62.409722222218988</c:v>
                      </c:pt>
                      <c:pt idx="8988">
                        <c:v>62.416666666664241</c:v>
                      </c:pt>
                      <c:pt idx="8989">
                        <c:v>62.423611111109494</c:v>
                      </c:pt>
                      <c:pt idx="8990">
                        <c:v>62.430555555554747</c:v>
                      </c:pt>
                      <c:pt idx="8991">
                        <c:v>62.4375</c:v>
                      </c:pt>
                      <c:pt idx="8992">
                        <c:v>62.444444444445253</c:v>
                      </c:pt>
                      <c:pt idx="8993">
                        <c:v>62.451388888890506</c:v>
                      </c:pt>
                      <c:pt idx="8994">
                        <c:v>62.458333333335759</c:v>
                      </c:pt>
                      <c:pt idx="8995">
                        <c:v>62.465277777781012</c:v>
                      </c:pt>
                      <c:pt idx="8996">
                        <c:v>62.472222222218988</c:v>
                      </c:pt>
                      <c:pt idx="8997">
                        <c:v>62.479166666664241</c:v>
                      </c:pt>
                      <c:pt idx="8998">
                        <c:v>62.486111111109494</c:v>
                      </c:pt>
                      <c:pt idx="8999">
                        <c:v>62.493055555554747</c:v>
                      </c:pt>
                      <c:pt idx="9000">
                        <c:v>62.5</c:v>
                      </c:pt>
                      <c:pt idx="9001">
                        <c:v>62.506944444445253</c:v>
                      </c:pt>
                      <c:pt idx="9002">
                        <c:v>62.513888888890506</c:v>
                      </c:pt>
                      <c:pt idx="9003">
                        <c:v>62.520833333335759</c:v>
                      </c:pt>
                      <c:pt idx="9004">
                        <c:v>62.527777777781012</c:v>
                      </c:pt>
                      <c:pt idx="9005">
                        <c:v>62.534722222218988</c:v>
                      </c:pt>
                      <c:pt idx="9006">
                        <c:v>62.541666666664241</c:v>
                      </c:pt>
                      <c:pt idx="9007">
                        <c:v>62.548611111109494</c:v>
                      </c:pt>
                      <c:pt idx="9008">
                        <c:v>62.555555555554747</c:v>
                      </c:pt>
                      <c:pt idx="9009">
                        <c:v>62.5625</c:v>
                      </c:pt>
                      <c:pt idx="9010">
                        <c:v>62.569444444445253</c:v>
                      </c:pt>
                      <c:pt idx="9011">
                        <c:v>62.576388888890506</c:v>
                      </c:pt>
                      <c:pt idx="9012">
                        <c:v>62.583333333335759</c:v>
                      </c:pt>
                      <c:pt idx="9013">
                        <c:v>62.590277777781012</c:v>
                      </c:pt>
                      <c:pt idx="9014">
                        <c:v>62.597222222218988</c:v>
                      </c:pt>
                      <c:pt idx="9015">
                        <c:v>62.604166666664241</c:v>
                      </c:pt>
                      <c:pt idx="9016">
                        <c:v>62.611111111109494</c:v>
                      </c:pt>
                      <c:pt idx="9017">
                        <c:v>62.618055555554747</c:v>
                      </c:pt>
                      <c:pt idx="9018">
                        <c:v>62.625</c:v>
                      </c:pt>
                      <c:pt idx="9019">
                        <c:v>62.631944444445253</c:v>
                      </c:pt>
                      <c:pt idx="9020">
                        <c:v>62.638888888890506</c:v>
                      </c:pt>
                      <c:pt idx="9021">
                        <c:v>62.645833333335759</c:v>
                      </c:pt>
                      <c:pt idx="9022">
                        <c:v>62.652777777781012</c:v>
                      </c:pt>
                      <c:pt idx="9023">
                        <c:v>62.659722222218988</c:v>
                      </c:pt>
                      <c:pt idx="9024">
                        <c:v>62.666666666664241</c:v>
                      </c:pt>
                      <c:pt idx="9025">
                        <c:v>62.673611111109494</c:v>
                      </c:pt>
                      <c:pt idx="9026">
                        <c:v>62.680555555554747</c:v>
                      </c:pt>
                      <c:pt idx="9027">
                        <c:v>62.6875</c:v>
                      </c:pt>
                      <c:pt idx="9028">
                        <c:v>62.694444444445253</c:v>
                      </c:pt>
                      <c:pt idx="9029">
                        <c:v>62.701388888890506</c:v>
                      </c:pt>
                      <c:pt idx="9030">
                        <c:v>62.708333333335759</c:v>
                      </c:pt>
                      <c:pt idx="9031">
                        <c:v>62.715277777781012</c:v>
                      </c:pt>
                      <c:pt idx="9032">
                        <c:v>62.722222222218988</c:v>
                      </c:pt>
                      <c:pt idx="9033">
                        <c:v>62.729166666664241</c:v>
                      </c:pt>
                      <c:pt idx="9034">
                        <c:v>62.736111111109494</c:v>
                      </c:pt>
                      <c:pt idx="9035">
                        <c:v>62.743055555554747</c:v>
                      </c:pt>
                      <c:pt idx="9036">
                        <c:v>62.75</c:v>
                      </c:pt>
                      <c:pt idx="9037">
                        <c:v>62.756944444445253</c:v>
                      </c:pt>
                      <c:pt idx="9038">
                        <c:v>62.763888888890506</c:v>
                      </c:pt>
                      <c:pt idx="9039">
                        <c:v>62.770833333335759</c:v>
                      </c:pt>
                      <c:pt idx="9040">
                        <c:v>62.777777777781012</c:v>
                      </c:pt>
                      <c:pt idx="9041">
                        <c:v>62.784722222218988</c:v>
                      </c:pt>
                      <c:pt idx="9042">
                        <c:v>62.791666666664241</c:v>
                      </c:pt>
                      <c:pt idx="9043">
                        <c:v>62.798611111109494</c:v>
                      </c:pt>
                      <c:pt idx="9044">
                        <c:v>62.805555555554747</c:v>
                      </c:pt>
                      <c:pt idx="9045">
                        <c:v>62.8125</c:v>
                      </c:pt>
                      <c:pt idx="9046">
                        <c:v>62.819444444445253</c:v>
                      </c:pt>
                      <c:pt idx="9047">
                        <c:v>62.826388888890506</c:v>
                      </c:pt>
                      <c:pt idx="9048">
                        <c:v>62.833333333335759</c:v>
                      </c:pt>
                      <c:pt idx="9049">
                        <c:v>62.840277777781012</c:v>
                      </c:pt>
                      <c:pt idx="9050">
                        <c:v>62.847222222218988</c:v>
                      </c:pt>
                      <c:pt idx="9051">
                        <c:v>62.854166666664241</c:v>
                      </c:pt>
                      <c:pt idx="9052">
                        <c:v>62.861111111109494</c:v>
                      </c:pt>
                      <c:pt idx="9053">
                        <c:v>62.868055555554747</c:v>
                      </c:pt>
                      <c:pt idx="9054">
                        <c:v>62.875</c:v>
                      </c:pt>
                      <c:pt idx="9055">
                        <c:v>62.881944444445253</c:v>
                      </c:pt>
                      <c:pt idx="9056">
                        <c:v>62.888888888890506</c:v>
                      </c:pt>
                      <c:pt idx="9057">
                        <c:v>62.895833333335759</c:v>
                      </c:pt>
                      <c:pt idx="9058">
                        <c:v>62.902777777781012</c:v>
                      </c:pt>
                      <c:pt idx="9059">
                        <c:v>62.909722222218988</c:v>
                      </c:pt>
                      <c:pt idx="9060">
                        <c:v>62.916666666664241</c:v>
                      </c:pt>
                      <c:pt idx="9061">
                        <c:v>62.923611111109494</c:v>
                      </c:pt>
                      <c:pt idx="9062">
                        <c:v>62.930555555554747</c:v>
                      </c:pt>
                      <c:pt idx="9063">
                        <c:v>62.9375</c:v>
                      </c:pt>
                      <c:pt idx="9064">
                        <c:v>62.944444444445253</c:v>
                      </c:pt>
                      <c:pt idx="9065">
                        <c:v>62.951388888890506</c:v>
                      </c:pt>
                      <c:pt idx="9066">
                        <c:v>62.958333333335759</c:v>
                      </c:pt>
                      <c:pt idx="9067">
                        <c:v>62.965277777781012</c:v>
                      </c:pt>
                      <c:pt idx="9068">
                        <c:v>62.972222222218988</c:v>
                      </c:pt>
                      <c:pt idx="9069">
                        <c:v>62.979166666664241</c:v>
                      </c:pt>
                      <c:pt idx="9070">
                        <c:v>62.986111111109494</c:v>
                      </c:pt>
                      <c:pt idx="9071">
                        <c:v>62.993055555554747</c:v>
                      </c:pt>
                      <c:pt idx="9072">
                        <c:v>63</c:v>
                      </c:pt>
                      <c:pt idx="9073">
                        <c:v>63.006944444445253</c:v>
                      </c:pt>
                      <c:pt idx="9074">
                        <c:v>63.013888888890506</c:v>
                      </c:pt>
                      <c:pt idx="9075">
                        <c:v>63.020833333335759</c:v>
                      </c:pt>
                      <c:pt idx="9076">
                        <c:v>63.027777777781012</c:v>
                      </c:pt>
                      <c:pt idx="9077">
                        <c:v>63.034722222218988</c:v>
                      </c:pt>
                      <c:pt idx="9078">
                        <c:v>63.041666666664241</c:v>
                      </c:pt>
                      <c:pt idx="9079">
                        <c:v>63.048611111109494</c:v>
                      </c:pt>
                      <c:pt idx="9080">
                        <c:v>63.055555555554747</c:v>
                      </c:pt>
                      <c:pt idx="9081">
                        <c:v>63.0625</c:v>
                      </c:pt>
                      <c:pt idx="9082">
                        <c:v>63.069444444445253</c:v>
                      </c:pt>
                      <c:pt idx="9083">
                        <c:v>63.076388888890506</c:v>
                      </c:pt>
                      <c:pt idx="9084">
                        <c:v>63.083333333335759</c:v>
                      </c:pt>
                      <c:pt idx="9085">
                        <c:v>63.090277777781012</c:v>
                      </c:pt>
                      <c:pt idx="9086">
                        <c:v>63.097222222218988</c:v>
                      </c:pt>
                      <c:pt idx="9087">
                        <c:v>63.104166666664241</c:v>
                      </c:pt>
                      <c:pt idx="9088">
                        <c:v>63.111111111109494</c:v>
                      </c:pt>
                      <c:pt idx="9089">
                        <c:v>63.118055555554747</c:v>
                      </c:pt>
                      <c:pt idx="9090">
                        <c:v>63.125</c:v>
                      </c:pt>
                      <c:pt idx="9091">
                        <c:v>63.131944444445253</c:v>
                      </c:pt>
                      <c:pt idx="9092">
                        <c:v>63.138888888890506</c:v>
                      </c:pt>
                      <c:pt idx="9093">
                        <c:v>63.145833333335759</c:v>
                      </c:pt>
                      <c:pt idx="9094">
                        <c:v>63.152777777781012</c:v>
                      </c:pt>
                      <c:pt idx="9095">
                        <c:v>63.159722222218988</c:v>
                      </c:pt>
                      <c:pt idx="9096">
                        <c:v>63.166666666664241</c:v>
                      </c:pt>
                      <c:pt idx="9097">
                        <c:v>63.173611111109494</c:v>
                      </c:pt>
                      <c:pt idx="9098">
                        <c:v>63.180555555554747</c:v>
                      </c:pt>
                      <c:pt idx="9099">
                        <c:v>63.1875</c:v>
                      </c:pt>
                      <c:pt idx="9100">
                        <c:v>63.194444444445253</c:v>
                      </c:pt>
                      <c:pt idx="9101">
                        <c:v>63.201388888890506</c:v>
                      </c:pt>
                      <c:pt idx="9102">
                        <c:v>63.208333333335759</c:v>
                      </c:pt>
                      <c:pt idx="9103">
                        <c:v>63.215277777781012</c:v>
                      </c:pt>
                      <c:pt idx="9104">
                        <c:v>63.222222222218988</c:v>
                      </c:pt>
                      <c:pt idx="9105">
                        <c:v>63.229166666664241</c:v>
                      </c:pt>
                      <c:pt idx="9106">
                        <c:v>63.236111111109494</c:v>
                      </c:pt>
                      <c:pt idx="9107">
                        <c:v>63.243055555554747</c:v>
                      </c:pt>
                      <c:pt idx="9108">
                        <c:v>63.25</c:v>
                      </c:pt>
                      <c:pt idx="9109">
                        <c:v>63.256944444445253</c:v>
                      </c:pt>
                      <c:pt idx="9110">
                        <c:v>63.263888888890506</c:v>
                      </c:pt>
                      <c:pt idx="9111">
                        <c:v>63.270833333335759</c:v>
                      </c:pt>
                      <c:pt idx="9112">
                        <c:v>63.277777777781012</c:v>
                      </c:pt>
                      <c:pt idx="9113">
                        <c:v>63.284722222218988</c:v>
                      </c:pt>
                      <c:pt idx="9114">
                        <c:v>63.291666666664241</c:v>
                      </c:pt>
                      <c:pt idx="9115">
                        <c:v>63.298611111109494</c:v>
                      </c:pt>
                      <c:pt idx="9116">
                        <c:v>63.305555555554747</c:v>
                      </c:pt>
                      <c:pt idx="9117">
                        <c:v>63.3125</c:v>
                      </c:pt>
                      <c:pt idx="9118">
                        <c:v>63.319444444445253</c:v>
                      </c:pt>
                      <c:pt idx="9119">
                        <c:v>63.326388888890506</c:v>
                      </c:pt>
                      <c:pt idx="9120">
                        <c:v>63.333333333335759</c:v>
                      </c:pt>
                      <c:pt idx="9121">
                        <c:v>63.340277777781012</c:v>
                      </c:pt>
                      <c:pt idx="9122">
                        <c:v>63.347222222218988</c:v>
                      </c:pt>
                      <c:pt idx="9123">
                        <c:v>63.354166666664241</c:v>
                      </c:pt>
                      <c:pt idx="9124">
                        <c:v>63.361111111109494</c:v>
                      </c:pt>
                      <c:pt idx="9125">
                        <c:v>63.368055555554747</c:v>
                      </c:pt>
                      <c:pt idx="9126">
                        <c:v>63.375</c:v>
                      </c:pt>
                      <c:pt idx="9127">
                        <c:v>63.381944444445253</c:v>
                      </c:pt>
                      <c:pt idx="9128">
                        <c:v>63.388888888890506</c:v>
                      </c:pt>
                      <c:pt idx="9129">
                        <c:v>63.395833333335759</c:v>
                      </c:pt>
                      <c:pt idx="9130">
                        <c:v>63.402777777781012</c:v>
                      </c:pt>
                      <c:pt idx="9131">
                        <c:v>63.409722222218988</c:v>
                      </c:pt>
                      <c:pt idx="9132">
                        <c:v>63.416666666664241</c:v>
                      </c:pt>
                      <c:pt idx="9133">
                        <c:v>63.423611111109494</c:v>
                      </c:pt>
                      <c:pt idx="9134">
                        <c:v>63.430555555554747</c:v>
                      </c:pt>
                      <c:pt idx="9135">
                        <c:v>63.4375</c:v>
                      </c:pt>
                      <c:pt idx="9136">
                        <c:v>63.444444444445253</c:v>
                      </c:pt>
                      <c:pt idx="9137">
                        <c:v>63.451388888890506</c:v>
                      </c:pt>
                      <c:pt idx="9138">
                        <c:v>63.458333333335759</c:v>
                      </c:pt>
                      <c:pt idx="9139">
                        <c:v>63.465277777781012</c:v>
                      </c:pt>
                      <c:pt idx="9140">
                        <c:v>63.472222222218988</c:v>
                      </c:pt>
                      <c:pt idx="9141">
                        <c:v>63.479166666664241</c:v>
                      </c:pt>
                      <c:pt idx="9142">
                        <c:v>63.486111111109494</c:v>
                      </c:pt>
                      <c:pt idx="9143">
                        <c:v>63.493055555554747</c:v>
                      </c:pt>
                      <c:pt idx="9144">
                        <c:v>63.5</c:v>
                      </c:pt>
                      <c:pt idx="9145">
                        <c:v>63.506944444445253</c:v>
                      </c:pt>
                      <c:pt idx="9146">
                        <c:v>63.513888888890506</c:v>
                      </c:pt>
                      <c:pt idx="9147">
                        <c:v>63.520833333335759</c:v>
                      </c:pt>
                      <c:pt idx="9148">
                        <c:v>63.527777777781012</c:v>
                      </c:pt>
                      <c:pt idx="9149">
                        <c:v>63.534722222218988</c:v>
                      </c:pt>
                      <c:pt idx="9150">
                        <c:v>63.541666666664241</c:v>
                      </c:pt>
                      <c:pt idx="9151">
                        <c:v>63.548611111109494</c:v>
                      </c:pt>
                      <c:pt idx="9152">
                        <c:v>63.555555555554747</c:v>
                      </c:pt>
                      <c:pt idx="9153">
                        <c:v>63.5625</c:v>
                      </c:pt>
                      <c:pt idx="9154">
                        <c:v>63.569444444445253</c:v>
                      </c:pt>
                      <c:pt idx="9155">
                        <c:v>63.576388888890506</c:v>
                      </c:pt>
                      <c:pt idx="9156">
                        <c:v>63.583333333335759</c:v>
                      </c:pt>
                      <c:pt idx="9157">
                        <c:v>63.590277777781012</c:v>
                      </c:pt>
                      <c:pt idx="9158">
                        <c:v>63.597222222218988</c:v>
                      </c:pt>
                      <c:pt idx="9159">
                        <c:v>63.604166666664241</c:v>
                      </c:pt>
                      <c:pt idx="9160">
                        <c:v>63.611111111109494</c:v>
                      </c:pt>
                      <c:pt idx="9161">
                        <c:v>63.618055555554747</c:v>
                      </c:pt>
                      <c:pt idx="9162">
                        <c:v>63.625</c:v>
                      </c:pt>
                      <c:pt idx="9163">
                        <c:v>63.631944444445253</c:v>
                      </c:pt>
                      <c:pt idx="9164">
                        <c:v>63.638888888890506</c:v>
                      </c:pt>
                      <c:pt idx="9165">
                        <c:v>63.645833333335759</c:v>
                      </c:pt>
                      <c:pt idx="9166">
                        <c:v>63.652777777781012</c:v>
                      </c:pt>
                      <c:pt idx="9167">
                        <c:v>63.659722222218988</c:v>
                      </c:pt>
                      <c:pt idx="9168">
                        <c:v>63.666666666664241</c:v>
                      </c:pt>
                      <c:pt idx="9169">
                        <c:v>63.673611111109494</c:v>
                      </c:pt>
                      <c:pt idx="9170">
                        <c:v>63.680555555554747</c:v>
                      </c:pt>
                      <c:pt idx="9171">
                        <c:v>63.6875</c:v>
                      </c:pt>
                      <c:pt idx="9172">
                        <c:v>63.694444444445253</c:v>
                      </c:pt>
                      <c:pt idx="9173">
                        <c:v>63.701388888890506</c:v>
                      </c:pt>
                      <c:pt idx="9174">
                        <c:v>63.708333333335759</c:v>
                      </c:pt>
                      <c:pt idx="9175">
                        <c:v>63.715277777781012</c:v>
                      </c:pt>
                      <c:pt idx="9176">
                        <c:v>63.722222222218988</c:v>
                      </c:pt>
                      <c:pt idx="9177">
                        <c:v>63.729166666664241</c:v>
                      </c:pt>
                      <c:pt idx="9178">
                        <c:v>63.736111111109494</c:v>
                      </c:pt>
                      <c:pt idx="9179">
                        <c:v>63.743055555554747</c:v>
                      </c:pt>
                      <c:pt idx="9180">
                        <c:v>63.75</c:v>
                      </c:pt>
                      <c:pt idx="9181">
                        <c:v>63.756944444445253</c:v>
                      </c:pt>
                      <c:pt idx="9182">
                        <c:v>63.763888888890506</c:v>
                      </c:pt>
                      <c:pt idx="9183">
                        <c:v>63.770833333335759</c:v>
                      </c:pt>
                      <c:pt idx="9184">
                        <c:v>63.777777777781012</c:v>
                      </c:pt>
                      <c:pt idx="9185">
                        <c:v>63.784722222218988</c:v>
                      </c:pt>
                      <c:pt idx="9186">
                        <c:v>63.791666666664241</c:v>
                      </c:pt>
                      <c:pt idx="9187">
                        <c:v>63.798611111109494</c:v>
                      </c:pt>
                      <c:pt idx="9188">
                        <c:v>63.805555555554747</c:v>
                      </c:pt>
                      <c:pt idx="9189">
                        <c:v>63.8125</c:v>
                      </c:pt>
                      <c:pt idx="9190">
                        <c:v>63.819444444445253</c:v>
                      </c:pt>
                      <c:pt idx="9191">
                        <c:v>63.826388888890506</c:v>
                      </c:pt>
                      <c:pt idx="9192">
                        <c:v>63.833333333335759</c:v>
                      </c:pt>
                      <c:pt idx="9193">
                        <c:v>63.840277777781012</c:v>
                      </c:pt>
                      <c:pt idx="9194">
                        <c:v>63.847222222218988</c:v>
                      </c:pt>
                      <c:pt idx="9195">
                        <c:v>63.854166666664241</c:v>
                      </c:pt>
                      <c:pt idx="9196">
                        <c:v>63.861111111109494</c:v>
                      </c:pt>
                      <c:pt idx="9197">
                        <c:v>63.868055555554747</c:v>
                      </c:pt>
                      <c:pt idx="9198">
                        <c:v>63.875</c:v>
                      </c:pt>
                      <c:pt idx="9199">
                        <c:v>63.881944444445253</c:v>
                      </c:pt>
                      <c:pt idx="9200">
                        <c:v>63.888888888890506</c:v>
                      </c:pt>
                      <c:pt idx="9201">
                        <c:v>63.895833333335759</c:v>
                      </c:pt>
                      <c:pt idx="9202">
                        <c:v>63.902777777781012</c:v>
                      </c:pt>
                      <c:pt idx="9203">
                        <c:v>63.909722222218988</c:v>
                      </c:pt>
                      <c:pt idx="9204">
                        <c:v>63.916666666664241</c:v>
                      </c:pt>
                      <c:pt idx="9205">
                        <c:v>63.923611111109494</c:v>
                      </c:pt>
                      <c:pt idx="9206">
                        <c:v>63.930555555554747</c:v>
                      </c:pt>
                      <c:pt idx="9207">
                        <c:v>63.9375</c:v>
                      </c:pt>
                      <c:pt idx="9208">
                        <c:v>63.944444444445253</c:v>
                      </c:pt>
                      <c:pt idx="9209">
                        <c:v>63.951388888890506</c:v>
                      </c:pt>
                      <c:pt idx="9210">
                        <c:v>63.958333333335759</c:v>
                      </c:pt>
                      <c:pt idx="9211">
                        <c:v>63.965277777781012</c:v>
                      </c:pt>
                      <c:pt idx="9212">
                        <c:v>63.972222222218988</c:v>
                      </c:pt>
                      <c:pt idx="9213">
                        <c:v>63.979166666664241</c:v>
                      </c:pt>
                      <c:pt idx="9214">
                        <c:v>63.986111111109494</c:v>
                      </c:pt>
                      <c:pt idx="9215">
                        <c:v>63.993055555554747</c:v>
                      </c:pt>
                      <c:pt idx="9216">
                        <c:v>64</c:v>
                      </c:pt>
                      <c:pt idx="9217">
                        <c:v>64.006944444445253</c:v>
                      </c:pt>
                      <c:pt idx="9218">
                        <c:v>64.013888888890506</c:v>
                      </c:pt>
                      <c:pt idx="9219">
                        <c:v>64.020833333335759</c:v>
                      </c:pt>
                      <c:pt idx="9220">
                        <c:v>64.027777777781012</c:v>
                      </c:pt>
                      <c:pt idx="9221">
                        <c:v>64.034722222218988</c:v>
                      </c:pt>
                      <c:pt idx="9222">
                        <c:v>64.041666666664241</c:v>
                      </c:pt>
                      <c:pt idx="9223">
                        <c:v>64.048611111109494</c:v>
                      </c:pt>
                      <c:pt idx="9224">
                        <c:v>64.055555555554747</c:v>
                      </c:pt>
                      <c:pt idx="9225">
                        <c:v>64.0625</c:v>
                      </c:pt>
                      <c:pt idx="9226">
                        <c:v>64.069444444445253</c:v>
                      </c:pt>
                      <c:pt idx="9227">
                        <c:v>64.076388888890506</c:v>
                      </c:pt>
                      <c:pt idx="9228">
                        <c:v>64.083333333335759</c:v>
                      </c:pt>
                      <c:pt idx="9229">
                        <c:v>64.090277777781012</c:v>
                      </c:pt>
                      <c:pt idx="9230">
                        <c:v>64.097222222218988</c:v>
                      </c:pt>
                      <c:pt idx="9231">
                        <c:v>64.104166666664241</c:v>
                      </c:pt>
                      <c:pt idx="9232">
                        <c:v>64.111111111109494</c:v>
                      </c:pt>
                      <c:pt idx="9233">
                        <c:v>64.118055555554747</c:v>
                      </c:pt>
                      <c:pt idx="9234">
                        <c:v>64.125</c:v>
                      </c:pt>
                      <c:pt idx="9235">
                        <c:v>64.131944444445253</c:v>
                      </c:pt>
                      <c:pt idx="9236">
                        <c:v>64.138888888890506</c:v>
                      </c:pt>
                      <c:pt idx="9237">
                        <c:v>64.145833333335759</c:v>
                      </c:pt>
                      <c:pt idx="9238">
                        <c:v>64.152777777781012</c:v>
                      </c:pt>
                      <c:pt idx="9239">
                        <c:v>64.159722222218988</c:v>
                      </c:pt>
                      <c:pt idx="9240">
                        <c:v>64.166666666664241</c:v>
                      </c:pt>
                      <c:pt idx="9241">
                        <c:v>64.173611111109494</c:v>
                      </c:pt>
                      <c:pt idx="9242">
                        <c:v>64.180555555554747</c:v>
                      </c:pt>
                      <c:pt idx="9243">
                        <c:v>64.1875</c:v>
                      </c:pt>
                      <c:pt idx="9244">
                        <c:v>64.194444444445253</c:v>
                      </c:pt>
                      <c:pt idx="9245">
                        <c:v>64.201388888890506</c:v>
                      </c:pt>
                      <c:pt idx="9246">
                        <c:v>64.208333333335759</c:v>
                      </c:pt>
                      <c:pt idx="9247">
                        <c:v>64.215277777781012</c:v>
                      </c:pt>
                      <c:pt idx="9248">
                        <c:v>64.222222222218988</c:v>
                      </c:pt>
                      <c:pt idx="9249">
                        <c:v>64.229166666664241</c:v>
                      </c:pt>
                      <c:pt idx="9250">
                        <c:v>64.236111111109494</c:v>
                      </c:pt>
                      <c:pt idx="9251">
                        <c:v>64.243055555554747</c:v>
                      </c:pt>
                      <c:pt idx="9252">
                        <c:v>64.25</c:v>
                      </c:pt>
                      <c:pt idx="9253">
                        <c:v>64.256944444445253</c:v>
                      </c:pt>
                      <c:pt idx="9254">
                        <c:v>64.263888888890506</c:v>
                      </c:pt>
                      <c:pt idx="9255">
                        <c:v>64.270833333335759</c:v>
                      </c:pt>
                      <c:pt idx="9256">
                        <c:v>64.277777777781012</c:v>
                      </c:pt>
                      <c:pt idx="9257">
                        <c:v>64.284722222218988</c:v>
                      </c:pt>
                      <c:pt idx="9258">
                        <c:v>64.291666666664241</c:v>
                      </c:pt>
                      <c:pt idx="9259">
                        <c:v>64.298611111109494</c:v>
                      </c:pt>
                      <c:pt idx="9260">
                        <c:v>64.305555555554747</c:v>
                      </c:pt>
                      <c:pt idx="9261">
                        <c:v>64.3125</c:v>
                      </c:pt>
                      <c:pt idx="9262">
                        <c:v>64.319444444445253</c:v>
                      </c:pt>
                      <c:pt idx="9263">
                        <c:v>64.326388888890506</c:v>
                      </c:pt>
                      <c:pt idx="9264">
                        <c:v>64.333333333335759</c:v>
                      </c:pt>
                      <c:pt idx="9265">
                        <c:v>64.340277777781012</c:v>
                      </c:pt>
                      <c:pt idx="9266">
                        <c:v>64.347222222218988</c:v>
                      </c:pt>
                      <c:pt idx="9267">
                        <c:v>64.354166666664241</c:v>
                      </c:pt>
                      <c:pt idx="9268">
                        <c:v>64.361111111109494</c:v>
                      </c:pt>
                      <c:pt idx="9269">
                        <c:v>64.368055555554747</c:v>
                      </c:pt>
                      <c:pt idx="9270">
                        <c:v>64.375</c:v>
                      </c:pt>
                      <c:pt idx="9271">
                        <c:v>64.381944444445253</c:v>
                      </c:pt>
                      <c:pt idx="9272">
                        <c:v>64.388888888890506</c:v>
                      </c:pt>
                      <c:pt idx="9273">
                        <c:v>64.395833333335759</c:v>
                      </c:pt>
                      <c:pt idx="9274">
                        <c:v>64.402777777781012</c:v>
                      </c:pt>
                      <c:pt idx="9275">
                        <c:v>64.409722222218988</c:v>
                      </c:pt>
                      <c:pt idx="9276">
                        <c:v>64.416666666664241</c:v>
                      </c:pt>
                      <c:pt idx="9277">
                        <c:v>64.423611111109494</c:v>
                      </c:pt>
                      <c:pt idx="9278">
                        <c:v>64.430555555554747</c:v>
                      </c:pt>
                      <c:pt idx="9279">
                        <c:v>64.4375</c:v>
                      </c:pt>
                      <c:pt idx="9280">
                        <c:v>64.444444444445253</c:v>
                      </c:pt>
                      <c:pt idx="9281">
                        <c:v>64.451388888890506</c:v>
                      </c:pt>
                      <c:pt idx="9282">
                        <c:v>64.458333333335759</c:v>
                      </c:pt>
                      <c:pt idx="9283">
                        <c:v>64.465277777781012</c:v>
                      </c:pt>
                      <c:pt idx="9284">
                        <c:v>64.472222222218988</c:v>
                      </c:pt>
                      <c:pt idx="9285">
                        <c:v>64.479166666664241</c:v>
                      </c:pt>
                      <c:pt idx="9286">
                        <c:v>64.486111111109494</c:v>
                      </c:pt>
                      <c:pt idx="9287">
                        <c:v>64.493055555554747</c:v>
                      </c:pt>
                      <c:pt idx="9288">
                        <c:v>64.5</c:v>
                      </c:pt>
                      <c:pt idx="9289">
                        <c:v>64.506944444445253</c:v>
                      </c:pt>
                      <c:pt idx="9290">
                        <c:v>64.513888888890506</c:v>
                      </c:pt>
                      <c:pt idx="9291">
                        <c:v>64.520833333335759</c:v>
                      </c:pt>
                      <c:pt idx="9292">
                        <c:v>64.527777777781012</c:v>
                      </c:pt>
                      <c:pt idx="9293">
                        <c:v>64.534722222218988</c:v>
                      </c:pt>
                      <c:pt idx="9294">
                        <c:v>64.541666666664241</c:v>
                      </c:pt>
                      <c:pt idx="9295">
                        <c:v>64.548611111109494</c:v>
                      </c:pt>
                      <c:pt idx="9296">
                        <c:v>64.555555555554747</c:v>
                      </c:pt>
                      <c:pt idx="9297">
                        <c:v>64.5625</c:v>
                      </c:pt>
                      <c:pt idx="9298">
                        <c:v>64.569444444445253</c:v>
                      </c:pt>
                      <c:pt idx="9299">
                        <c:v>64.576388888890506</c:v>
                      </c:pt>
                      <c:pt idx="9300">
                        <c:v>64.583333333335759</c:v>
                      </c:pt>
                      <c:pt idx="9301">
                        <c:v>64.590277777781012</c:v>
                      </c:pt>
                      <c:pt idx="9302">
                        <c:v>64.597222222218988</c:v>
                      </c:pt>
                      <c:pt idx="9303">
                        <c:v>64.604166666664241</c:v>
                      </c:pt>
                      <c:pt idx="9304">
                        <c:v>64.611111111109494</c:v>
                      </c:pt>
                      <c:pt idx="9305">
                        <c:v>64.618055555554747</c:v>
                      </c:pt>
                      <c:pt idx="9306">
                        <c:v>64.625</c:v>
                      </c:pt>
                      <c:pt idx="9307">
                        <c:v>64.631944444445253</c:v>
                      </c:pt>
                      <c:pt idx="9308">
                        <c:v>64.638888888890506</c:v>
                      </c:pt>
                      <c:pt idx="9309">
                        <c:v>64.645833333335759</c:v>
                      </c:pt>
                      <c:pt idx="9310">
                        <c:v>64.652777777781012</c:v>
                      </c:pt>
                      <c:pt idx="9311">
                        <c:v>64.659722222218988</c:v>
                      </c:pt>
                      <c:pt idx="9312">
                        <c:v>64.666666666664241</c:v>
                      </c:pt>
                      <c:pt idx="9313">
                        <c:v>64.673611111109494</c:v>
                      </c:pt>
                      <c:pt idx="9314">
                        <c:v>64.680555555554747</c:v>
                      </c:pt>
                      <c:pt idx="9315">
                        <c:v>64.6875</c:v>
                      </c:pt>
                      <c:pt idx="9316">
                        <c:v>64.694444444445253</c:v>
                      </c:pt>
                      <c:pt idx="9317">
                        <c:v>64.701388888890506</c:v>
                      </c:pt>
                      <c:pt idx="9318">
                        <c:v>64.708333333335759</c:v>
                      </c:pt>
                      <c:pt idx="9319">
                        <c:v>64.715277777781012</c:v>
                      </c:pt>
                      <c:pt idx="9320">
                        <c:v>64.722222222218988</c:v>
                      </c:pt>
                      <c:pt idx="9321">
                        <c:v>64.729166666664241</c:v>
                      </c:pt>
                      <c:pt idx="9322">
                        <c:v>64.736111111109494</c:v>
                      </c:pt>
                      <c:pt idx="9323">
                        <c:v>64.743055555554747</c:v>
                      </c:pt>
                      <c:pt idx="9324">
                        <c:v>64.75</c:v>
                      </c:pt>
                      <c:pt idx="9325">
                        <c:v>64.756944444445253</c:v>
                      </c:pt>
                      <c:pt idx="9326">
                        <c:v>64.763888888890506</c:v>
                      </c:pt>
                      <c:pt idx="9327">
                        <c:v>64.770833333335759</c:v>
                      </c:pt>
                      <c:pt idx="9328">
                        <c:v>64.777777777781012</c:v>
                      </c:pt>
                      <c:pt idx="9329">
                        <c:v>64.784722222218988</c:v>
                      </c:pt>
                      <c:pt idx="9330">
                        <c:v>64.791666666664241</c:v>
                      </c:pt>
                      <c:pt idx="9331">
                        <c:v>64.798611111109494</c:v>
                      </c:pt>
                      <c:pt idx="9332">
                        <c:v>64.805555555554747</c:v>
                      </c:pt>
                      <c:pt idx="9333">
                        <c:v>64.8125</c:v>
                      </c:pt>
                      <c:pt idx="9334">
                        <c:v>64.819444444445253</c:v>
                      </c:pt>
                      <c:pt idx="9335">
                        <c:v>64.826388888890506</c:v>
                      </c:pt>
                      <c:pt idx="9336">
                        <c:v>64.833333333335759</c:v>
                      </c:pt>
                      <c:pt idx="9337">
                        <c:v>64.840277777781012</c:v>
                      </c:pt>
                      <c:pt idx="9338">
                        <c:v>64.847222222218988</c:v>
                      </c:pt>
                      <c:pt idx="9339">
                        <c:v>64.854166666664241</c:v>
                      </c:pt>
                      <c:pt idx="9340">
                        <c:v>64.861111111109494</c:v>
                      </c:pt>
                      <c:pt idx="9341">
                        <c:v>64.868055555554747</c:v>
                      </c:pt>
                      <c:pt idx="9342">
                        <c:v>64.875</c:v>
                      </c:pt>
                      <c:pt idx="9343">
                        <c:v>64.881944444445253</c:v>
                      </c:pt>
                      <c:pt idx="9344">
                        <c:v>64.888888888890506</c:v>
                      </c:pt>
                      <c:pt idx="9345">
                        <c:v>64.895833333335759</c:v>
                      </c:pt>
                      <c:pt idx="9346">
                        <c:v>64.902777777781012</c:v>
                      </c:pt>
                      <c:pt idx="9347">
                        <c:v>64.909722222218988</c:v>
                      </c:pt>
                      <c:pt idx="9348">
                        <c:v>64.916666666664241</c:v>
                      </c:pt>
                      <c:pt idx="9349">
                        <c:v>64.923611111109494</c:v>
                      </c:pt>
                      <c:pt idx="9350">
                        <c:v>64.930555555554747</c:v>
                      </c:pt>
                      <c:pt idx="9351">
                        <c:v>64.9375</c:v>
                      </c:pt>
                      <c:pt idx="9352">
                        <c:v>64.944444444445253</c:v>
                      </c:pt>
                      <c:pt idx="9353">
                        <c:v>64.951388888890506</c:v>
                      </c:pt>
                      <c:pt idx="9354">
                        <c:v>64.958333333335759</c:v>
                      </c:pt>
                      <c:pt idx="9355">
                        <c:v>64.965277777781012</c:v>
                      </c:pt>
                      <c:pt idx="9356">
                        <c:v>64.972222222218988</c:v>
                      </c:pt>
                      <c:pt idx="9357">
                        <c:v>64.979166666664241</c:v>
                      </c:pt>
                      <c:pt idx="9358">
                        <c:v>64.986111111109494</c:v>
                      </c:pt>
                      <c:pt idx="9359">
                        <c:v>64.993055555554747</c:v>
                      </c:pt>
                      <c:pt idx="9360">
                        <c:v>65</c:v>
                      </c:pt>
                      <c:pt idx="9361">
                        <c:v>65.006944444445253</c:v>
                      </c:pt>
                      <c:pt idx="9362">
                        <c:v>65.013888888890506</c:v>
                      </c:pt>
                      <c:pt idx="9363">
                        <c:v>65.020833333335759</c:v>
                      </c:pt>
                      <c:pt idx="9364">
                        <c:v>65.027777777781012</c:v>
                      </c:pt>
                      <c:pt idx="9365">
                        <c:v>65.034722222218988</c:v>
                      </c:pt>
                      <c:pt idx="9366">
                        <c:v>65.041666666664241</c:v>
                      </c:pt>
                      <c:pt idx="9367">
                        <c:v>65.048611111109494</c:v>
                      </c:pt>
                      <c:pt idx="9368">
                        <c:v>65.055555555554747</c:v>
                      </c:pt>
                      <c:pt idx="9369">
                        <c:v>65.0625</c:v>
                      </c:pt>
                      <c:pt idx="9370">
                        <c:v>65.069444444445253</c:v>
                      </c:pt>
                      <c:pt idx="9371">
                        <c:v>65.076388888890506</c:v>
                      </c:pt>
                      <c:pt idx="9372">
                        <c:v>65.083333333335759</c:v>
                      </c:pt>
                      <c:pt idx="9373">
                        <c:v>65.090277777781012</c:v>
                      </c:pt>
                      <c:pt idx="9374">
                        <c:v>65.097222222218988</c:v>
                      </c:pt>
                      <c:pt idx="9375">
                        <c:v>65.104166666664241</c:v>
                      </c:pt>
                      <c:pt idx="9376">
                        <c:v>65.111111111109494</c:v>
                      </c:pt>
                      <c:pt idx="9377">
                        <c:v>65.118055555554747</c:v>
                      </c:pt>
                      <c:pt idx="9378">
                        <c:v>65.125</c:v>
                      </c:pt>
                      <c:pt idx="9379">
                        <c:v>65.131944444445253</c:v>
                      </c:pt>
                      <c:pt idx="9380">
                        <c:v>65.138888888890506</c:v>
                      </c:pt>
                      <c:pt idx="9381">
                        <c:v>65.145833333335759</c:v>
                      </c:pt>
                      <c:pt idx="9382">
                        <c:v>65.152777777781012</c:v>
                      </c:pt>
                      <c:pt idx="9383">
                        <c:v>65.159722222218988</c:v>
                      </c:pt>
                      <c:pt idx="9384">
                        <c:v>65.166666666664241</c:v>
                      </c:pt>
                      <c:pt idx="9385">
                        <c:v>65.173611111109494</c:v>
                      </c:pt>
                      <c:pt idx="9386">
                        <c:v>65.180555555554747</c:v>
                      </c:pt>
                      <c:pt idx="9387">
                        <c:v>65.1875</c:v>
                      </c:pt>
                      <c:pt idx="9388">
                        <c:v>65.194444444445253</c:v>
                      </c:pt>
                      <c:pt idx="9389">
                        <c:v>65.201388888890506</c:v>
                      </c:pt>
                      <c:pt idx="9390">
                        <c:v>65.208333333335759</c:v>
                      </c:pt>
                      <c:pt idx="9391">
                        <c:v>65.215277777781012</c:v>
                      </c:pt>
                      <c:pt idx="9392">
                        <c:v>65.222222222218988</c:v>
                      </c:pt>
                      <c:pt idx="9393">
                        <c:v>65.229166666664241</c:v>
                      </c:pt>
                      <c:pt idx="9394">
                        <c:v>65.236111111109494</c:v>
                      </c:pt>
                      <c:pt idx="9395">
                        <c:v>65.243055555554747</c:v>
                      </c:pt>
                      <c:pt idx="9396">
                        <c:v>65.25</c:v>
                      </c:pt>
                      <c:pt idx="9397">
                        <c:v>65.256944444445253</c:v>
                      </c:pt>
                      <c:pt idx="9398">
                        <c:v>65.263888888890506</c:v>
                      </c:pt>
                      <c:pt idx="9399">
                        <c:v>65.270833333335759</c:v>
                      </c:pt>
                      <c:pt idx="9400">
                        <c:v>65.277777777781012</c:v>
                      </c:pt>
                      <c:pt idx="9401">
                        <c:v>65.284722222218988</c:v>
                      </c:pt>
                      <c:pt idx="9402">
                        <c:v>65.291666666664241</c:v>
                      </c:pt>
                      <c:pt idx="9403">
                        <c:v>65.298611111109494</c:v>
                      </c:pt>
                      <c:pt idx="9404">
                        <c:v>65.305555555554747</c:v>
                      </c:pt>
                      <c:pt idx="9405">
                        <c:v>65.3125</c:v>
                      </c:pt>
                      <c:pt idx="9406">
                        <c:v>65.319444444445253</c:v>
                      </c:pt>
                      <c:pt idx="9407">
                        <c:v>65.326388888890506</c:v>
                      </c:pt>
                      <c:pt idx="9408">
                        <c:v>65.333333333335759</c:v>
                      </c:pt>
                      <c:pt idx="9409">
                        <c:v>65.340277777781012</c:v>
                      </c:pt>
                      <c:pt idx="9410">
                        <c:v>65.347222222218988</c:v>
                      </c:pt>
                      <c:pt idx="9411">
                        <c:v>65.354166666664241</c:v>
                      </c:pt>
                      <c:pt idx="9412">
                        <c:v>65.361111111109494</c:v>
                      </c:pt>
                      <c:pt idx="9413">
                        <c:v>65.368055555554747</c:v>
                      </c:pt>
                      <c:pt idx="9414">
                        <c:v>65.375</c:v>
                      </c:pt>
                      <c:pt idx="9415">
                        <c:v>65.381944444445253</c:v>
                      </c:pt>
                      <c:pt idx="9416">
                        <c:v>65.388888888890506</c:v>
                      </c:pt>
                      <c:pt idx="9417">
                        <c:v>65.395833333335759</c:v>
                      </c:pt>
                      <c:pt idx="9418">
                        <c:v>65.402777777781012</c:v>
                      </c:pt>
                      <c:pt idx="9419">
                        <c:v>65.409722222218988</c:v>
                      </c:pt>
                      <c:pt idx="9420">
                        <c:v>65.416666666664241</c:v>
                      </c:pt>
                      <c:pt idx="9421">
                        <c:v>65.423611111109494</c:v>
                      </c:pt>
                      <c:pt idx="9422">
                        <c:v>65.430555555554747</c:v>
                      </c:pt>
                      <c:pt idx="9423">
                        <c:v>65.4375</c:v>
                      </c:pt>
                      <c:pt idx="9424">
                        <c:v>65.444444444445253</c:v>
                      </c:pt>
                      <c:pt idx="9425">
                        <c:v>65.451388888890506</c:v>
                      </c:pt>
                      <c:pt idx="9426">
                        <c:v>65.458333333335759</c:v>
                      </c:pt>
                      <c:pt idx="9427">
                        <c:v>65.465277777781012</c:v>
                      </c:pt>
                      <c:pt idx="9428">
                        <c:v>65.472222222218988</c:v>
                      </c:pt>
                      <c:pt idx="9429">
                        <c:v>65.479166666664241</c:v>
                      </c:pt>
                      <c:pt idx="9430">
                        <c:v>65.486111111109494</c:v>
                      </c:pt>
                      <c:pt idx="9431">
                        <c:v>65.493055555554747</c:v>
                      </c:pt>
                      <c:pt idx="9432">
                        <c:v>65.5</c:v>
                      </c:pt>
                      <c:pt idx="9433">
                        <c:v>65.506944444445253</c:v>
                      </c:pt>
                      <c:pt idx="9434">
                        <c:v>65.513888888890506</c:v>
                      </c:pt>
                      <c:pt idx="9435">
                        <c:v>65.520833333335759</c:v>
                      </c:pt>
                      <c:pt idx="9436">
                        <c:v>65.527777777781012</c:v>
                      </c:pt>
                      <c:pt idx="9437">
                        <c:v>65.534722222218988</c:v>
                      </c:pt>
                      <c:pt idx="9438">
                        <c:v>65.541666666664241</c:v>
                      </c:pt>
                      <c:pt idx="9439">
                        <c:v>65.548611111109494</c:v>
                      </c:pt>
                      <c:pt idx="9440">
                        <c:v>65.555555555554747</c:v>
                      </c:pt>
                      <c:pt idx="9441">
                        <c:v>65.5625</c:v>
                      </c:pt>
                      <c:pt idx="9442">
                        <c:v>65.569444444445253</c:v>
                      </c:pt>
                      <c:pt idx="9443">
                        <c:v>65.576388888890506</c:v>
                      </c:pt>
                      <c:pt idx="9444">
                        <c:v>65.583333333335759</c:v>
                      </c:pt>
                      <c:pt idx="9445">
                        <c:v>65.590277777781012</c:v>
                      </c:pt>
                      <c:pt idx="9446">
                        <c:v>65.597222222218988</c:v>
                      </c:pt>
                      <c:pt idx="9447">
                        <c:v>65.604166666664241</c:v>
                      </c:pt>
                      <c:pt idx="9448">
                        <c:v>65.611111111109494</c:v>
                      </c:pt>
                      <c:pt idx="9449">
                        <c:v>65.618055555554747</c:v>
                      </c:pt>
                      <c:pt idx="9450">
                        <c:v>65.625</c:v>
                      </c:pt>
                      <c:pt idx="9451">
                        <c:v>65.631944444445253</c:v>
                      </c:pt>
                      <c:pt idx="9452">
                        <c:v>65.638888888890506</c:v>
                      </c:pt>
                      <c:pt idx="9453">
                        <c:v>65.645833333335759</c:v>
                      </c:pt>
                      <c:pt idx="9454">
                        <c:v>65.652777777781012</c:v>
                      </c:pt>
                      <c:pt idx="9455">
                        <c:v>65.659722222218988</c:v>
                      </c:pt>
                      <c:pt idx="9456">
                        <c:v>65.666666666664241</c:v>
                      </c:pt>
                      <c:pt idx="9457">
                        <c:v>65.673611111109494</c:v>
                      </c:pt>
                      <c:pt idx="9458">
                        <c:v>65.680555555554747</c:v>
                      </c:pt>
                      <c:pt idx="9459">
                        <c:v>65.6875</c:v>
                      </c:pt>
                      <c:pt idx="9460">
                        <c:v>65.694444444445253</c:v>
                      </c:pt>
                      <c:pt idx="9461">
                        <c:v>65.701388888890506</c:v>
                      </c:pt>
                      <c:pt idx="9462">
                        <c:v>65.708333333335759</c:v>
                      </c:pt>
                      <c:pt idx="9463">
                        <c:v>65.715277777781012</c:v>
                      </c:pt>
                      <c:pt idx="9464">
                        <c:v>65.722222222218988</c:v>
                      </c:pt>
                      <c:pt idx="9465">
                        <c:v>65.729166666664241</c:v>
                      </c:pt>
                      <c:pt idx="9466">
                        <c:v>65.736111111109494</c:v>
                      </c:pt>
                      <c:pt idx="9467">
                        <c:v>65.743055555554747</c:v>
                      </c:pt>
                      <c:pt idx="9468">
                        <c:v>65.75</c:v>
                      </c:pt>
                      <c:pt idx="9469">
                        <c:v>65.756944444445253</c:v>
                      </c:pt>
                      <c:pt idx="9470">
                        <c:v>65.763888888890506</c:v>
                      </c:pt>
                      <c:pt idx="9471">
                        <c:v>65.770833333335759</c:v>
                      </c:pt>
                      <c:pt idx="9472">
                        <c:v>65.777777777781012</c:v>
                      </c:pt>
                      <c:pt idx="9473">
                        <c:v>65.784722222218988</c:v>
                      </c:pt>
                      <c:pt idx="9474">
                        <c:v>65.791666666664241</c:v>
                      </c:pt>
                      <c:pt idx="9475">
                        <c:v>65.798611111109494</c:v>
                      </c:pt>
                      <c:pt idx="9476">
                        <c:v>65.805555555554747</c:v>
                      </c:pt>
                      <c:pt idx="9477">
                        <c:v>65.8125</c:v>
                      </c:pt>
                      <c:pt idx="9478">
                        <c:v>65.819444444445253</c:v>
                      </c:pt>
                      <c:pt idx="9479">
                        <c:v>65.826388888890506</c:v>
                      </c:pt>
                      <c:pt idx="9480">
                        <c:v>65.833333333335759</c:v>
                      </c:pt>
                      <c:pt idx="9481">
                        <c:v>65.840277777781012</c:v>
                      </c:pt>
                      <c:pt idx="9482">
                        <c:v>65.847222222218988</c:v>
                      </c:pt>
                      <c:pt idx="9483">
                        <c:v>65.854166666664241</c:v>
                      </c:pt>
                      <c:pt idx="9484">
                        <c:v>65.861111111109494</c:v>
                      </c:pt>
                      <c:pt idx="9485">
                        <c:v>65.868055555554747</c:v>
                      </c:pt>
                      <c:pt idx="9486">
                        <c:v>65.875</c:v>
                      </c:pt>
                      <c:pt idx="9487">
                        <c:v>65.881944444445253</c:v>
                      </c:pt>
                      <c:pt idx="9488">
                        <c:v>65.888888888890506</c:v>
                      </c:pt>
                      <c:pt idx="9489">
                        <c:v>65.895833333335759</c:v>
                      </c:pt>
                      <c:pt idx="9490">
                        <c:v>65.902777777781012</c:v>
                      </c:pt>
                      <c:pt idx="9491">
                        <c:v>65.909722222218988</c:v>
                      </c:pt>
                      <c:pt idx="9492">
                        <c:v>65.916666666664241</c:v>
                      </c:pt>
                      <c:pt idx="9493">
                        <c:v>65.923611111109494</c:v>
                      </c:pt>
                      <c:pt idx="9494">
                        <c:v>65.930555555554747</c:v>
                      </c:pt>
                      <c:pt idx="9495">
                        <c:v>65.9375</c:v>
                      </c:pt>
                      <c:pt idx="9496">
                        <c:v>65.944444444445253</c:v>
                      </c:pt>
                      <c:pt idx="9497">
                        <c:v>65.951388888890506</c:v>
                      </c:pt>
                      <c:pt idx="9498">
                        <c:v>65.958333333335759</c:v>
                      </c:pt>
                      <c:pt idx="9499">
                        <c:v>65.965277777781012</c:v>
                      </c:pt>
                      <c:pt idx="9500">
                        <c:v>65.972222222218988</c:v>
                      </c:pt>
                      <c:pt idx="9501">
                        <c:v>65.979166666664241</c:v>
                      </c:pt>
                      <c:pt idx="9502">
                        <c:v>65.986111111109494</c:v>
                      </c:pt>
                      <c:pt idx="9503">
                        <c:v>65.993055555554747</c:v>
                      </c:pt>
                      <c:pt idx="9504">
                        <c:v>66</c:v>
                      </c:pt>
                      <c:pt idx="9505">
                        <c:v>66.006944444445253</c:v>
                      </c:pt>
                      <c:pt idx="9506">
                        <c:v>66.013888888890506</c:v>
                      </c:pt>
                      <c:pt idx="9507">
                        <c:v>66.020833333335759</c:v>
                      </c:pt>
                      <c:pt idx="9508">
                        <c:v>66.027777777781012</c:v>
                      </c:pt>
                      <c:pt idx="9509">
                        <c:v>66.034722222218988</c:v>
                      </c:pt>
                      <c:pt idx="9510">
                        <c:v>66.041666666664241</c:v>
                      </c:pt>
                      <c:pt idx="9511">
                        <c:v>66.048611111109494</c:v>
                      </c:pt>
                      <c:pt idx="9512">
                        <c:v>66.055555555554747</c:v>
                      </c:pt>
                      <c:pt idx="9513">
                        <c:v>66.0625</c:v>
                      </c:pt>
                      <c:pt idx="9514">
                        <c:v>66.069444444445253</c:v>
                      </c:pt>
                      <c:pt idx="9515">
                        <c:v>66.076388888890506</c:v>
                      </c:pt>
                      <c:pt idx="9516">
                        <c:v>66.083333333335759</c:v>
                      </c:pt>
                      <c:pt idx="9517">
                        <c:v>66.090277777781012</c:v>
                      </c:pt>
                      <c:pt idx="9518">
                        <c:v>66.097222222218988</c:v>
                      </c:pt>
                      <c:pt idx="9519">
                        <c:v>66.104166666664241</c:v>
                      </c:pt>
                      <c:pt idx="9520">
                        <c:v>66.111111111109494</c:v>
                      </c:pt>
                      <c:pt idx="9521">
                        <c:v>66.118055555554747</c:v>
                      </c:pt>
                      <c:pt idx="9522">
                        <c:v>66.125</c:v>
                      </c:pt>
                      <c:pt idx="9523">
                        <c:v>66.131944444445253</c:v>
                      </c:pt>
                      <c:pt idx="9524">
                        <c:v>66.138888888890506</c:v>
                      </c:pt>
                      <c:pt idx="9525">
                        <c:v>66.145833333335759</c:v>
                      </c:pt>
                      <c:pt idx="9526">
                        <c:v>66.152777777781012</c:v>
                      </c:pt>
                      <c:pt idx="9527">
                        <c:v>66.159722222218988</c:v>
                      </c:pt>
                      <c:pt idx="9528">
                        <c:v>66.166666666664241</c:v>
                      </c:pt>
                      <c:pt idx="9529">
                        <c:v>66.173611111109494</c:v>
                      </c:pt>
                      <c:pt idx="9530">
                        <c:v>66.180555555554747</c:v>
                      </c:pt>
                      <c:pt idx="9531">
                        <c:v>66.1875</c:v>
                      </c:pt>
                      <c:pt idx="9532">
                        <c:v>66.194444444445253</c:v>
                      </c:pt>
                      <c:pt idx="9533">
                        <c:v>66.201388888890506</c:v>
                      </c:pt>
                      <c:pt idx="9534">
                        <c:v>66.208333333335759</c:v>
                      </c:pt>
                      <c:pt idx="9535">
                        <c:v>66.215277777781012</c:v>
                      </c:pt>
                      <c:pt idx="9536">
                        <c:v>66.222222222218988</c:v>
                      </c:pt>
                      <c:pt idx="9537">
                        <c:v>66.229166666664241</c:v>
                      </c:pt>
                      <c:pt idx="9538">
                        <c:v>66.236111111109494</c:v>
                      </c:pt>
                      <c:pt idx="9539">
                        <c:v>66.243055555554747</c:v>
                      </c:pt>
                      <c:pt idx="9540">
                        <c:v>66.25</c:v>
                      </c:pt>
                      <c:pt idx="9541">
                        <c:v>66.256944444445253</c:v>
                      </c:pt>
                      <c:pt idx="9542">
                        <c:v>66.263888888890506</c:v>
                      </c:pt>
                      <c:pt idx="9543">
                        <c:v>66.270833333335759</c:v>
                      </c:pt>
                      <c:pt idx="9544">
                        <c:v>66.277777777781012</c:v>
                      </c:pt>
                      <c:pt idx="9545">
                        <c:v>66.284722222218988</c:v>
                      </c:pt>
                      <c:pt idx="9546">
                        <c:v>66.291666666664241</c:v>
                      </c:pt>
                      <c:pt idx="9547">
                        <c:v>66.298611111109494</c:v>
                      </c:pt>
                      <c:pt idx="9548">
                        <c:v>66.305555555554747</c:v>
                      </c:pt>
                      <c:pt idx="9549">
                        <c:v>66.3125</c:v>
                      </c:pt>
                      <c:pt idx="9550">
                        <c:v>66.319444444445253</c:v>
                      </c:pt>
                      <c:pt idx="9551">
                        <c:v>66.326388888890506</c:v>
                      </c:pt>
                      <c:pt idx="9552">
                        <c:v>66.333333333335759</c:v>
                      </c:pt>
                      <c:pt idx="9553">
                        <c:v>66.340277777781012</c:v>
                      </c:pt>
                      <c:pt idx="9554">
                        <c:v>66.347222222218988</c:v>
                      </c:pt>
                      <c:pt idx="9555">
                        <c:v>66.354166666664241</c:v>
                      </c:pt>
                      <c:pt idx="9556">
                        <c:v>66.361111111109494</c:v>
                      </c:pt>
                      <c:pt idx="9557">
                        <c:v>66.368055555554747</c:v>
                      </c:pt>
                      <c:pt idx="9558">
                        <c:v>66.375</c:v>
                      </c:pt>
                      <c:pt idx="9559">
                        <c:v>66.381944444445253</c:v>
                      </c:pt>
                      <c:pt idx="9560">
                        <c:v>66.388888888890506</c:v>
                      </c:pt>
                      <c:pt idx="9561">
                        <c:v>66.395833333335759</c:v>
                      </c:pt>
                      <c:pt idx="9562">
                        <c:v>66.402777777781012</c:v>
                      </c:pt>
                      <c:pt idx="9563">
                        <c:v>66.409722222218988</c:v>
                      </c:pt>
                      <c:pt idx="9564">
                        <c:v>66.416666666664241</c:v>
                      </c:pt>
                      <c:pt idx="9565">
                        <c:v>66.423611111109494</c:v>
                      </c:pt>
                      <c:pt idx="9566">
                        <c:v>66.430555555554747</c:v>
                      </c:pt>
                      <c:pt idx="9567">
                        <c:v>66.4375</c:v>
                      </c:pt>
                      <c:pt idx="9568">
                        <c:v>66.444444444445253</c:v>
                      </c:pt>
                      <c:pt idx="9569">
                        <c:v>66.451388888890506</c:v>
                      </c:pt>
                      <c:pt idx="9570">
                        <c:v>66.458333333335759</c:v>
                      </c:pt>
                      <c:pt idx="9571">
                        <c:v>66.465277777781012</c:v>
                      </c:pt>
                      <c:pt idx="9572">
                        <c:v>66.472222222218988</c:v>
                      </c:pt>
                      <c:pt idx="9573">
                        <c:v>66.479166666664241</c:v>
                      </c:pt>
                      <c:pt idx="9574">
                        <c:v>66.486111111109494</c:v>
                      </c:pt>
                      <c:pt idx="9575">
                        <c:v>66.493055555554747</c:v>
                      </c:pt>
                      <c:pt idx="9576">
                        <c:v>66.5</c:v>
                      </c:pt>
                      <c:pt idx="9577">
                        <c:v>66.506944444445253</c:v>
                      </c:pt>
                      <c:pt idx="9578">
                        <c:v>66.513888888890506</c:v>
                      </c:pt>
                      <c:pt idx="9579">
                        <c:v>66.520833333335759</c:v>
                      </c:pt>
                      <c:pt idx="9580">
                        <c:v>66.527777777781012</c:v>
                      </c:pt>
                      <c:pt idx="9581">
                        <c:v>66.534722222218988</c:v>
                      </c:pt>
                      <c:pt idx="9582">
                        <c:v>66.541666666664241</c:v>
                      </c:pt>
                      <c:pt idx="9583">
                        <c:v>66.548611111109494</c:v>
                      </c:pt>
                      <c:pt idx="9584">
                        <c:v>66.555555555554747</c:v>
                      </c:pt>
                      <c:pt idx="9585">
                        <c:v>66.5625</c:v>
                      </c:pt>
                      <c:pt idx="9586">
                        <c:v>66.569444444445253</c:v>
                      </c:pt>
                      <c:pt idx="9587">
                        <c:v>66.576388888890506</c:v>
                      </c:pt>
                      <c:pt idx="9588">
                        <c:v>66.583333333335759</c:v>
                      </c:pt>
                      <c:pt idx="9589">
                        <c:v>66.590277777781012</c:v>
                      </c:pt>
                      <c:pt idx="9590">
                        <c:v>66.597222222218988</c:v>
                      </c:pt>
                      <c:pt idx="9591">
                        <c:v>66.604166666664241</c:v>
                      </c:pt>
                      <c:pt idx="9592">
                        <c:v>66.611111111109494</c:v>
                      </c:pt>
                      <c:pt idx="9593">
                        <c:v>66.618055555554747</c:v>
                      </c:pt>
                      <c:pt idx="9594">
                        <c:v>66.625</c:v>
                      </c:pt>
                      <c:pt idx="9595">
                        <c:v>66.631944444445253</c:v>
                      </c:pt>
                      <c:pt idx="9596">
                        <c:v>66.638888888890506</c:v>
                      </c:pt>
                      <c:pt idx="9597">
                        <c:v>66.645833333335759</c:v>
                      </c:pt>
                      <c:pt idx="9598">
                        <c:v>66.652777777781012</c:v>
                      </c:pt>
                      <c:pt idx="9599">
                        <c:v>66.659722222218988</c:v>
                      </c:pt>
                      <c:pt idx="9600">
                        <c:v>66.666666666664241</c:v>
                      </c:pt>
                      <c:pt idx="9601">
                        <c:v>66.673611111109494</c:v>
                      </c:pt>
                      <c:pt idx="9602">
                        <c:v>66.680555555554747</c:v>
                      </c:pt>
                      <c:pt idx="9603">
                        <c:v>66.6875</c:v>
                      </c:pt>
                      <c:pt idx="9604">
                        <c:v>66.694444444445253</c:v>
                      </c:pt>
                      <c:pt idx="9605">
                        <c:v>66.701388888890506</c:v>
                      </c:pt>
                      <c:pt idx="9606">
                        <c:v>66.708333333335759</c:v>
                      </c:pt>
                      <c:pt idx="9607">
                        <c:v>66.715277777781012</c:v>
                      </c:pt>
                      <c:pt idx="9608">
                        <c:v>66.722222222218988</c:v>
                      </c:pt>
                      <c:pt idx="9609">
                        <c:v>66.729166666664241</c:v>
                      </c:pt>
                      <c:pt idx="9610">
                        <c:v>66.736111111109494</c:v>
                      </c:pt>
                      <c:pt idx="9611">
                        <c:v>66.743055555554747</c:v>
                      </c:pt>
                      <c:pt idx="9612">
                        <c:v>66.75</c:v>
                      </c:pt>
                      <c:pt idx="9613">
                        <c:v>66.756944444445253</c:v>
                      </c:pt>
                      <c:pt idx="9614">
                        <c:v>66.763888888890506</c:v>
                      </c:pt>
                      <c:pt idx="9615">
                        <c:v>66.770833333335759</c:v>
                      </c:pt>
                      <c:pt idx="9616">
                        <c:v>66.777777777781012</c:v>
                      </c:pt>
                      <c:pt idx="9617">
                        <c:v>66.784722222218988</c:v>
                      </c:pt>
                      <c:pt idx="9618">
                        <c:v>66.791666666664241</c:v>
                      </c:pt>
                      <c:pt idx="9619">
                        <c:v>66.798611111109494</c:v>
                      </c:pt>
                      <c:pt idx="9620">
                        <c:v>66.805555555554747</c:v>
                      </c:pt>
                      <c:pt idx="9621">
                        <c:v>66.8125</c:v>
                      </c:pt>
                      <c:pt idx="9622">
                        <c:v>66.819444444445253</c:v>
                      </c:pt>
                      <c:pt idx="9623">
                        <c:v>66.826388888890506</c:v>
                      </c:pt>
                      <c:pt idx="9624">
                        <c:v>66.833333333335759</c:v>
                      </c:pt>
                      <c:pt idx="9625">
                        <c:v>66.840277777781012</c:v>
                      </c:pt>
                      <c:pt idx="9626">
                        <c:v>66.847222222218988</c:v>
                      </c:pt>
                      <c:pt idx="9627">
                        <c:v>66.854166666664241</c:v>
                      </c:pt>
                      <c:pt idx="9628">
                        <c:v>66.861111111109494</c:v>
                      </c:pt>
                      <c:pt idx="9629">
                        <c:v>66.868055555554747</c:v>
                      </c:pt>
                      <c:pt idx="9630">
                        <c:v>66.875</c:v>
                      </c:pt>
                      <c:pt idx="9631">
                        <c:v>66.881944444445253</c:v>
                      </c:pt>
                      <c:pt idx="9632">
                        <c:v>66.888888888890506</c:v>
                      </c:pt>
                      <c:pt idx="9633">
                        <c:v>66.895833333335759</c:v>
                      </c:pt>
                      <c:pt idx="9634">
                        <c:v>66.902777777781012</c:v>
                      </c:pt>
                      <c:pt idx="9635">
                        <c:v>66.909722222218988</c:v>
                      </c:pt>
                      <c:pt idx="9636">
                        <c:v>66.916666666664241</c:v>
                      </c:pt>
                      <c:pt idx="9637">
                        <c:v>66.923611111109494</c:v>
                      </c:pt>
                      <c:pt idx="9638">
                        <c:v>66.930555555554747</c:v>
                      </c:pt>
                      <c:pt idx="9639">
                        <c:v>66.9375</c:v>
                      </c:pt>
                      <c:pt idx="9640">
                        <c:v>66.944444444445253</c:v>
                      </c:pt>
                      <c:pt idx="9641">
                        <c:v>66.951388888890506</c:v>
                      </c:pt>
                      <c:pt idx="9642">
                        <c:v>66.958333333335759</c:v>
                      </c:pt>
                      <c:pt idx="9643">
                        <c:v>66.965277777781012</c:v>
                      </c:pt>
                      <c:pt idx="9644">
                        <c:v>66.972222222218988</c:v>
                      </c:pt>
                      <c:pt idx="9645">
                        <c:v>66.979166666664241</c:v>
                      </c:pt>
                      <c:pt idx="9646">
                        <c:v>66.986111111109494</c:v>
                      </c:pt>
                      <c:pt idx="9647">
                        <c:v>66.993055555554747</c:v>
                      </c:pt>
                      <c:pt idx="9648">
                        <c:v>67</c:v>
                      </c:pt>
                      <c:pt idx="9649">
                        <c:v>67.006944444445253</c:v>
                      </c:pt>
                      <c:pt idx="9650">
                        <c:v>67.013888888890506</c:v>
                      </c:pt>
                      <c:pt idx="9651">
                        <c:v>67.020833333335759</c:v>
                      </c:pt>
                      <c:pt idx="9652">
                        <c:v>67.027777777781012</c:v>
                      </c:pt>
                      <c:pt idx="9653">
                        <c:v>67.034722222218988</c:v>
                      </c:pt>
                      <c:pt idx="9654">
                        <c:v>67.041666666664241</c:v>
                      </c:pt>
                      <c:pt idx="9655">
                        <c:v>67.048611111109494</c:v>
                      </c:pt>
                      <c:pt idx="9656">
                        <c:v>67.055555555554747</c:v>
                      </c:pt>
                      <c:pt idx="9657">
                        <c:v>67.0625</c:v>
                      </c:pt>
                      <c:pt idx="9658">
                        <c:v>67.069444444445253</c:v>
                      </c:pt>
                      <c:pt idx="9659">
                        <c:v>67.076388888890506</c:v>
                      </c:pt>
                      <c:pt idx="9660">
                        <c:v>67.083333333335759</c:v>
                      </c:pt>
                      <c:pt idx="9661">
                        <c:v>67.090277777781012</c:v>
                      </c:pt>
                      <c:pt idx="9662">
                        <c:v>67.097222222218988</c:v>
                      </c:pt>
                      <c:pt idx="9663">
                        <c:v>67.104166666664241</c:v>
                      </c:pt>
                      <c:pt idx="9664">
                        <c:v>67.111111111109494</c:v>
                      </c:pt>
                      <c:pt idx="9665">
                        <c:v>67.118055555554747</c:v>
                      </c:pt>
                      <c:pt idx="9666">
                        <c:v>67.125</c:v>
                      </c:pt>
                      <c:pt idx="9667">
                        <c:v>67.131944444445253</c:v>
                      </c:pt>
                      <c:pt idx="9668">
                        <c:v>67.138888888890506</c:v>
                      </c:pt>
                      <c:pt idx="9669">
                        <c:v>67.145833333335759</c:v>
                      </c:pt>
                      <c:pt idx="9670">
                        <c:v>67.152777777781012</c:v>
                      </c:pt>
                      <c:pt idx="9671">
                        <c:v>67.159722222218988</c:v>
                      </c:pt>
                      <c:pt idx="9672">
                        <c:v>67.166666666664241</c:v>
                      </c:pt>
                      <c:pt idx="9673">
                        <c:v>67.173611111109494</c:v>
                      </c:pt>
                      <c:pt idx="9674">
                        <c:v>67.180555555554747</c:v>
                      </c:pt>
                      <c:pt idx="9675">
                        <c:v>67.1875</c:v>
                      </c:pt>
                      <c:pt idx="9676">
                        <c:v>67.194444444445253</c:v>
                      </c:pt>
                      <c:pt idx="9677">
                        <c:v>67.201388888890506</c:v>
                      </c:pt>
                      <c:pt idx="9678">
                        <c:v>67.208333333335759</c:v>
                      </c:pt>
                      <c:pt idx="9679">
                        <c:v>67.215277777781012</c:v>
                      </c:pt>
                      <c:pt idx="9680">
                        <c:v>67.222222222218988</c:v>
                      </c:pt>
                      <c:pt idx="9681">
                        <c:v>67.229166666664241</c:v>
                      </c:pt>
                      <c:pt idx="9682">
                        <c:v>67.236111111109494</c:v>
                      </c:pt>
                      <c:pt idx="9683">
                        <c:v>67.243055555554747</c:v>
                      </c:pt>
                      <c:pt idx="9684">
                        <c:v>67.25</c:v>
                      </c:pt>
                      <c:pt idx="9685">
                        <c:v>67.256944444445253</c:v>
                      </c:pt>
                      <c:pt idx="9686">
                        <c:v>67.263888888890506</c:v>
                      </c:pt>
                      <c:pt idx="9687">
                        <c:v>67.270833333335759</c:v>
                      </c:pt>
                      <c:pt idx="9688">
                        <c:v>67.277777777781012</c:v>
                      </c:pt>
                      <c:pt idx="9689">
                        <c:v>67.284722222218988</c:v>
                      </c:pt>
                      <c:pt idx="9690">
                        <c:v>67.291666666664241</c:v>
                      </c:pt>
                      <c:pt idx="9691">
                        <c:v>67.298611111109494</c:v>
                      </c:pt>
                      <c:pt idx="9692">
                        <c:v>67.305555555554747</c:v>
                      </c:pt>
                      <c:pt idx="9693">
                        <c:v>67.3125</c:v>
                      </c:pt>
                      <c:pt idx="9694">
                        <c:v>67.319444444445253</c:v>
                      </c:pt>
                      <c:pt idx="9695">
                        <c:v>67.326388888890506</c:v>
                      </c:pt>
                      <c:pt idx="9696">
                        <c:v>67.333333333335759</c:v>
                      </c:pt>
                      <c:pt idx="9697">
                        <c:v>67.340277777781012</c:v>
                      </c:pt>
                      <c:pt idx="9698">
                        <c:v>67.347222222218988</c:v>
                      </c:pt>
                      <c:pt idx="9699">
                        <c:v>67.354166666664241</c:v>
                      </c:pt>
                      <c:pt idx="9700">
                        <c:v>67.361111111109494</c:v>
                      </c:pt>
                      <c:pt idx="9701">
                        <c:v>67.368055555554747</c:v>
                      </c:pt>
                      <c:pt idx="9702">
                        <c:v>67.375</c:v>
                      </c:pt>
                      <c:pt idx="9703">
                        <c:v>67.381944444445253</c:v>
                      </c:pt>
                      <c:pt idx="9704">
                        <c:v>67.388888888890506</c:v>
                      </c:pt>
                      <c:pt idx="9705">
                        <c:v>67.395833333335759</c:v>
                      </c:pt>
                      <c:pt idx="9706">
                        <c:v>67.402777777781012</c:v>
                      </c:pt>
                      <c:pt idx="9707">
                        <c:v>67.409722222218988</c:v>
                      </c:pt>
                      <c:pt idx="9708">
                        <c:v>67.416666666664241</c:v>
                      </c:pt>
                      <c:pt idx="9709">
                        <c:v>67.423611111109494</c:v>
                      </c:pt>
                      <c:pt idx="9710">
                        <c:v>67.430555555554747</c:v>
                      </c:pt>
                      <c:pt idx="9711">
                        <c:v>67.4375</c:v>
                      </c:pt>
                      <c:pt idx="9712">
                        <c:v>67.444444444445253</c:v>
                      </c:pt>
                      <c:pt idx="9713">
                        <c:v>67.451388888890506</c:v>
                      </c:pt>
                      <c:pt idx="9714">
                        <c:v>67.458333333335759</c:v>
                      </c:pt>
                      <c:pt idx="9715">
                        <c:v>67.465277777781012</c:v>
                      </c:pt>
                      <c:pt idx="9716">
                        <c:v>67.472222222218988</c:v>
                      </c:pt>
                      <c:pt idx="9717">
                        <c:v>67.479166666664241</c:v>
                      </c:pt>
                      <c:pt idx="9718">
                        <c:v>67.486111111109494</c:v>
                      </c:pt>
                      <c:pt idx="9719">
                        <c:v>67.493055555554747</c:v>
                      </c:pt>
                      <c:pt idx="9720">
                        <c:v>67.5</c:v>
                      </c:pt>
                      <c:pt idx="9721">
                        <c:v>67.506944444445253</c:v>
                      </c:pt>
                      <c:pt idx="9722">
                        <c:v>67.513888888890506</c:v>
                      </c:pt>
                      <c:pt idx="9723">
                        <c:v>67.520833333335759</c:v>
                      </c:pt>
                      <c:pt idx="9724">
                        <c:v>67.527777777781012</c:v>
                      </c:pt>
                      <c:pt idx="9725">
                        <c:v>67.534722222218988</c:v>
                      </c:pt>
                      <c:pt idx="9726">
                        <c:v>67.541666666664241</c:v>
                      </c:pt>
                      <c:pt idx="9727">
                        <c:v>67.548611111109494</c:v>
                      </c:pt>
                      <c:pt idx="9728">
                        <c:v>67.555555555554747</c:v>
                      </c:pt>
                      <c:pt idx="9729">
                        <c:v>67.5625</c:v>
                      </c:pt>
                      <c:pt idx="9730">
                        <c:v>67.569444444445253</c:v>
                      </c:pt>
                      <c:pt idx="9731">
                        <c:v>67.576388888890506</c:v>
                      </c:pt>
                      <c:pt idx="9732">
                        <c:v>67.583333333335759</c:v>
                      </c:pt>
                      <c:pt idx="9733">
                        <c:v>67.590277777781012</c:v>
                      </c:pt>
                      <c:pt idx="9734">
                        <c:v>67.597222222218988</c:v>
                      </c:pt>
                      <c:pt idx="9735">
                        <c:v>67.604166666664241</c:v>
                      </c:pt>
                      <c:pt idx="9736">
                        <c:v>67.611111111109494</c:v>
                      </c:pt>
                      <c:pt idx="9737">
                        <c:v>67.618055555554747</c:v>
                      </c:pt>
                      <c:pt idx="9738">
                        <c:v>67.625</c:v>
                      </c:pt>
                      <c:pt idx="9739">
                        <c:v>67.631944444445253</c:v>
                      </c:pt>
                      <c:pt idx="9740">
                        <c:v>67.638888888890506</c:v>
                      </c:pt>
                      <c:pt idx="9741">
                        <c:v>67.645833333335759</c:v>
                      </c:pt>
                      <c:pt idx="9742">
                        <c:v>67.652777777781012</c:v>
                      </c:pt>
                      <c:pt idx="9743">
                        <c:v>67.659722222218988</c:v>
                      </c:pt>
                      <c:pt idx="9744">
                        <c:v>67.666666666664241</c:v>
                      </c:pt>
                      <c:pt idx="9745">
                        <c:v>67.673611111109494</c:v>
                      </c:pt>
                      <c:pt idx="9746">
                        <c:v>67.680555555554747</c:v>
                      </c:pt>
                      <c:pt idx="9747">
                        <c:v>67.6875</c:v>
                      </c:pt>
                      <c:pt idx="9748">
                        <c:v>67.694444444445253</c:v>
                      </c:pt>
                      <c:pt idx="9749">
                        <c:v>67.701388888890506</c:v>
                      </c:pt>
                      <c:pt idx="9750">
                        <c:v>67.708333333335759</c:v>
                      </c:pt>
                      <c:pt idx="9751">
                        <c:v>67.715277777781012</c:v>
                      </c:pt>
                      <c:pt idx="9752">
                        <c:v>67.722222222218988</c:v>
                      </c:pt>
                      <c:pt idx="9753">
                        <c:v>67.729166666664241</c:v>
                      </c:pt>
                      <c:pt idx="9754">
                        <c:v>67.736111111109494</c:v>
                      </c:pt>
                      <c:pt idx="9755">
                        <c:v>67.743055555554747</c:v>
                      </c:pt>
                      <c:pt idx="9756">
                        <c:v>67.75</c:v>
                      </c:pt>
                      <c:pt idx="9757">
                        <c:v>67.756944444445253</c:v>
                      </c:pt>
                      <c:pt idx="9758">
                        <c:v>67.763888888890506</c:v>
                      </c:pt>
                      <c:pt idx="9759">
                        <c:v>67.770833333335759</c:v>
                      </c:pt>
                      <c:pt idx="9760">
                        <c:v>67.777777777781012</c:v>
                      </c:pt>
                      <c:pt idx="9761">
                        <c:v>67.784722222218988</c:v>
                      </c:pt>
                      <c:pt idx="9762">
                        <c:v>67.791666666664241</c:v>
                      </c:pt>
                      <c:pt idx="9763">
                        <c:v>67.798611111109494</c:v>
                      </c:pt>
                      <c:pt idx="9764">
                        <c:v>67.805555555554747</c:v>
                      </c:pt>
                      <c:pt idx="9765">
                        <c:v>67.8125</c:v>
                      </c:pt>
                      <c:pt idx="9766">
                        <c:v>67.819444444445253</c:v>
                      </c:pt>
                      <c:pt idx="9767">
                        <c:v>67.826388888890506</c:v>
                      </c:pt>
                      <c:pt idx="9768">
                        <c:v>67.833333333335759</c:v>
                      </c:pt>
                      <c:pt idx="9769">
                        <c:v>67.840277777781012</c:v>
                      </c:pt>
                      <c:pt idx="9770">
                        <c:v>67.847222222218988</c:v>
                      </c:pt>
                      <c:pt idx="9771">
                        <c:v>67.854166666664241</c:v>
                      </c:pt>
                      <c:pt idx="9772">
                        <c:v>67.861111111109494</c:v>
                      </c:pt>
                      <c:pt idx="9773">
                        <c:v>67.868055555554747</c:v>
                      </c:pt>
                      <c:pt idx="9774">
                        <c:v>67.875</c:v>
                      </c:pt>
                      <c:pt idx="9775">
                        <c:v>67.881944444445253</c:v>
                      </c:pt>
                      <c:pt idx="9776">
                        <c:v>67.888888888890506</c:v>
                      </c:pt>
                      <c:pt idx="9777">
                        <c:v>67.895833333335759</c:v>
                      </c:pt>
                      <c:pt idx="9778">
                        <c:v>67.902777777781012</c:v>
                      </c:pt>
                      <c:pt idx="9779">
                        <c:v>67.909722222218988</c:v>
                      </c:pt>
                      <c:pt idx="9780">
                        <c:v>67.916666666664241</c:v>
                      </c:pt>
                      <c:pt idx="9781">
                        <c:v>67.923611111109494</c:v>
                      </c:pt>
                      <c:pt idx="9782">
                        <c:v>67.930555555554747</c:v>
                      </c:pt>
                      <c:pt idx="9783">
                        <c:v>67.9375</c:v>
                      </c:pt>
                      <c:pt idx="9784">
                        <c:v>67.944444444445253</c:v>
                      </c:pt>
                      <c:pt idx="9785">
                        <c:v>67.951388888890506</c:v>
                      </c:pt>
                      <c:pt idx="9786">
                        <c:v>67.958333333335759</c:v>
                      </c:pt>
                      <c:pt idx="9787">
                        <c:v>67.965277777781012</c:v>
                      </c:pt>
                      <c:pt idx="9788">
                        <c:v>67.972222222218988</c:v>
                      </c:pt>
                      <c:pt idx="9789">
                        <c:v>67.979166666664241</c:v>
                      </c:pt>
                      <c:pt idx="9790">
                        <c:v>67.986111111109494</c:v>
                      </c:pt>
                      <c:pt idx="9791">
                        <c:v>67.993055555554747</c:v>
                      </c:pt>
                    </c:numCache>
                  </c:numRef>
                </c:xVal>
                <c:yVal>
                  <c:numRef>
                    <c:extLst xmlns:c16r2="http://schemas.microsoft.com/office/drawing/2015/06/chart">
                      <c:ext uri="{02D57815-91ED-43cb-92C2-25804820EDAC}">
                        <c15:formulaRef>
                          <c15:sqref>Sheet1!$K$3:$K$9794</c15:sqref>
                        </c15:formulaRef>
                      </c:ext>
                    </c:extLst>
                    <c:numCache>
                      <c:formatCode>General</c:formatCode>
                      <c:ptCount val="9792"/>
                      <c:pt idx="0">
                        <c:v>20.71</c:v>
                      </c:pt>
                      <c:pt idx="1">
                        <c:v>20.71</c:v>
                      </c:pt>
                      <c:pt idx="2">
                        <c:v>20.614999999999998</c:v>
                      </c:pt>
                      <c:pt idx="3">
                        <c:v>20.614999999999998</c:v>
                      </c:pt>
                      <c:pt idx="4">
                        <c:v>20.614999999999998</c:v>
                      </c:pt>
                      <c:pt idx="5">
                        <c:v>20.614999999999998</c:v>
                      </c:pt>
                      <c:pt idx="6">
                        <c:v>20.518999999999998</c:v>
                      </c:pt>
                      <c:pt idx="7">
                        <c:v>20.423999999999999</c:v>
                      </c:pt>
                      <c:pt idx="8">
                        <c:v>20.423999999999999</c:v>
                      </c:pt>
                      <c:pt idx="9">
                        <c:v>20.423999999999999</c:v>
                      </c:pt>
                      <c:pt idx="10">
                        <c:v>20.329000000000001</c:v>
                      </c:pt>
                      <c:pt idx="11">
                        <c:v>20.423999999999999</c:v>
                      </c:pt>
                      <c:pt idx="12">
                        <c:v>20.423999999999999</c:v>
                      </c:pt>
                      <c:pt idx="13">
                        <c:v>20.329000000000001</c:v>
                      </c:pt>
                      <c:pt idx="14">
                        <c:v>20.329000000000001</c:v>
                      </c:pt>
                      <c:pt idx="15">
                        <c:v>20.234000000000002</c:v>
                      </c:pt>
                      <c:pt idx="16">
                        <c:v>20.329000000000001</c:v>
                      </c:pt>
                      <c:pt idx="17">
                        <c:v>20.234000000000002</c:v>
                      </c:pt>
                      <c:pt idx="18">
                        <c:v>20.234000000000002</c:v>
                      </c:pt>
                      <c:pt idx="19">
                        <c:v>20.138000000000002</c:v>
                      </c:pt>
                      <c:pt idx="20">
                        <c:v>20.234000000000002</c:v>
                      </c:pt>
                      <c:pt idx="21">
                        <c:v>20.138000000000002</c:v>
                      </c:pt>
                      <c:pt idx="22">
                        <c:v>20.138000000000002</c:v>
                      </c:pt>
                      <c:pt idx="23">
                        <c:v>20.138000000000002</c:v>
                      </c:pt>
                      <c:pt idx="24">
                        <c:v>20.138000000000002</c:v>
                      </c:pt>
                      <c:pt idx="25">
                        <c:v>20.042999999999999</c:v>
                      </c:pt>
                      <c:pt idx="26">
                        <c:v>20.042999999999999</c:v>
                      </c:pt>
                      <c:pt idx="27">
                        <c:v>20.042999999999999</c:v>
                      </c:pt>
                      <c:pt idx="28">
                        <c:v>19.948</c:v>
                      </c:pt>
                      <c:pt idx="29">
                        <c:v>19.948</c:v>
                      </c:pt>
                      <c:pt idx="30">
                        <c:v>19.948</c:v>
                      </c:pt>
                      <c:pt idx="31">
                        <c:v>19.948</c:v>
                      </c:pt>
                      <c:pt idx="32">
                        <c:v>19.853000000000002</c:v>
                      </c:pt>
                      <c:pt idx="33">
                        <c:v>19.853000000000002</c:v>
                      </c:pt>
                      <c:pt idx="34">
                        <c:v>19.757999999999999</c:v>
                      </c:pt>
                      <c:pt idx="35">
                        <c:v>19.757999999999999</c:v>
                      </c:pt>
                      <c:pt idx="36">
                        <c:v>19.757999999999999</c:v>
                      </c:pt>
                      <c:pt idx="37">
                        <c:v>19.661999999999999</c:v>
                      </c:pt>
                      <c:pt idx="38">
                        <c:v>19.661999999999999</c:v>
                      </c:pt>
                      <c:pt idx="39">
                        <c:v>19.661999999999999</c:v>
                      </c:pt>
                      <c:pt idx="40">
                        <c:v>19.661999999999999</c:v>
                      </c:pt>
                      <c:pt idx="41">
                        <c:v>19.661999999999999</c:v>
                      </c:pt>
                      <c:pt idx="42">
                        <c:v>19.661999999999999</c:v>
                      </c:pt>
                      <c:pt idx="43">
                        <c:v>19.661999999999999</c:v>
                      </c:pt>
                      <c:pt idx="44">
                        <c:v>19.661999999999999</c:v>
                      </c:pt>
                      <c:pt idx="45">
                        <c:v>19.661999999999999</c:v>
                      </c:pt>
                      <c:pt idx="46">
                        <c:v>19.567</c:v>
                      </c:pt>
                      <c:pt idx="47">
                        <c:v>19.567</c:v>
                      </c:pt>
                      <c:pt idx="48">
                        <c:v>19.661999999999999</c:v>
                      </c:pt>
                      <c:pt idx="49">
                        <c:v>19.567</c:v>
                      </c:pt>
                      <c:pt idx="50">
                        <c:v>19.948</c:v>
                      </c:pt>
                      <c:pt idx="51">
                        <c:v>19.853000000000002</c:v>
                      </c:pt>
                      <c:pt idx="52">
                        <c:v>19.853000000000002</c:v>
                      </c:pt>
                      <c:pt idx="53">
                        <c:v>19.853000000000002</c:v>
                      </c:pt>
                      <c:pt idx="54">
                        <c:v>19.757999999999999</c:v>
                      </c:pt>
                      <c:pt idx="55">
                        <c:v>19.853000000000002</c:v>
                      </c:pt>
                      <c:pt idx="56">
                        <c:v>19.853000000000002</c:v>
                      </c:pt>
                      <c:pt idx="57">
                        <c:v>19.948</c:v>
                      </c:pt>
                      <c:pt idx="58">
                        <c:v>19.948</c:v>
                      </c:pt>
                      <c:pt idx="59">
                        <c:v>19.948</c:v>
                      </c:pt>
                      <c:pt idx="60">
                        <c:v>20.329000000000001</c:v>
                      </c:pt>
                      <c:pt idx="61">
                        <c:v>20.423999999999999</c:v>
                      </c:pt>
                      <c:pt idx="62">
                        <c:v>20.234000000000002</c:v>
                      </c:pt>
                      <c:pt idx="63">
                        <c:v>20.329000000000001</c:v>
                      </c:pt>
                      <c:pt idx="64">
                        <c:v>20.329000000000001</c:v>
                      </c:pt>
                      <c:pt idx="65">
                        <c:v>20.423999999999999</c:v>
                      </c:pt>
                      <c:pt idx="66">
                        <c:v>20.518999999999998</c:v>
                      </c:pt>
                      <c:pt idx="67">
                        <c:v>20.614999999999998</c:v>
                      </c:pt>
                      <c:pt idx="68">
                        <c:v>20.614999999999998</c:v>
                      </c:pt>
                      <c:pt idx="69">
                        <c:v>20.71</c:v>
                      </c:pt>
                      <c:pt idx="70">
                        <c:v>21.091000000000001</c:v>
                      </c:pt>
                      <c:pt idx="71">
                        <c:v>20.995999999999999</c:v>
                      </c:pt>
                      <c:pt idx="72">
                        <c:v>20.995999999999999</c:v>
                      </c:pt>
                      <c:pt idx="73">
                        <c:v>21.568999999999999</c:v>
                      </c:pt>
                      <c:pt idx="74">
                        <c:v>21.76</c:v>
                      </c:pt>
                      <c:pt idx="75">
                        <c:v>21.187000000000001</c:v>
                      </c:pt>
                      <c:pt idx="76">
                        <c:v>21.091000000000001</c:v>
                      </c:pt>
                      <c:pt idx="77">
                        <c:v>21.378</c:v>
                      </c:pt>
                      <c:pt idx="78">
                        <c:v>22.716999999999999</c:v>
                      </c:pt>
                      <c:pt idx="79">
                        <c:v>22.524999999999999</c:v>
                      </c:pt>
                      <c:pt idx="80">
                        <c:v>22.428999999999998</c:v>
                      </c:pt>
                      <c:pt idx="81">
                        <c:v>22.238</c:v>
                      </c:pt>
                      <c:pt idx="82">
                        <c:v>22.141999999999999</c:v>
                      </c:pt>
                      <c:pt idx="83">
                        <c:v>21.378</c:v>
                      </c:pt>
                      <c:pt idx="84">
                        <c:v>21.187000000000001</c:v>
                      </c:pt>
                      <c:pt idx="85">
                        <c:v>21.187000000000001</c:v>
                      </c:pt>
                      <c:pt idx="86">
                        <c:v>21.187000000000001</c:v>
                      </c:pt>
                      <c:pt idx="87">
                        <c:v>21.282</c:v>
                      </c:pt>
                      <c:pt idx="88">
                        <c:v>21.187000000000001</c:v>
                      </c:pt>
                      <c:pt idx="89">
                        <c:v>21.187000000000001</c:v>
                      </c:pt>
                      <c:pt idx="90">
                        <c:v>21.091000000000001</c:v>
                      </c:pt>
                      <c:pt idx="91">
                        <c:v>21.091000000000001</c:v>
                      </c:pt>
                      <c:pt idx="92">
                        <c:v>21.091000000000001</c:v>
                      </c:pt>
                      <c:pt idx="93">
                        <c:v>21.091000000000001</c:v>
                      </c:pt>
                      <c:pt idx="94">
                        <c:v>20.995999999999999</c:v>
                      </c:pt>
                      <c:pt idx="95">
                        <c:v>20.995999999999999</c:v>
                      </c:pt>
                      <c:pt idx="96">
                        <c:v>20.901</c:v>
                      </c:pt>
                      <c:pt idx="97">
                        <c:v>20.901</c:v>
                      </c:pt>
                      <c:pt idx="98">
                        <c:v>20.901</c:v>
                      </c:pt>
                      <c:pt idx="99">
                        <c:v>20.901</c:v>
                      </c:pt>
                      <c:pt idx="100">
                        <c:v>20.805</c:v>
                      </c:pt>
                      <c:pt idx="101">
                        <c:v>20.805</c:v>
                      </c:pt>
                      <c:pt idx="102">
                        <c:v>20.805</c:v>
                      </c:pt>
                      <c:pt idx="103">
                        <c:v>20.71</c:v>
                      </c:pt>
                      <c:pt idx="104">
                        <c:v>20.71</c:v>
                      </c:pt>
                      <c:pt idx="105">
                        <c:v>20.71</c:v>
                      </c:pt>
                      <c:pt idx="106">
                        <c:v>20.71</c:v>
                      </c:pt>
                      <c:pt idx="107">
                        <c:v>20.71</c:v>
                      </c:pt>
                      <c:pt idx="108">
                        <c:v>20.614999999999998</c:v>
                      </c:pt>
                      <c:pt idx="109">
                        <c:v>20.614999999999998</c:v>
                      </c:pt>
                      <c:pt idx="110">
                        <c:v>20.614999999999998</c:v>
                      </c:pt>
                      <c:pt idx="111">
                        <c:v>20.518999999999998</c:v>
                      </c:pt>
                      <c:pt idx="112">
                        <c:v>20.423999999999999</c:v>
                      </c:pt>
                      <c:pt idx="113">
                        <c:v>20.423999999999999</c:v>
                      </c:pt>
                      <c:pt idx="114">
                        <c:v>20.423999999999999</c:v>
                      </c:pt>
                      <c:pt idx="115">
                        <c:v>20.329000000000001</c:v>
                      </c:pt>
                      <c:pt idx="116">
                        <c:v>20.329000000000001</c:v>
                      </c:pt>
                      <c:pt idx="117">
                        <c:v>20.234000000000002</c:v>
                      </c:pt>
                      <c:pt idx="118">
                        <c:v>20.329000000000001</c:v>
                      </c:pt>
                      <c:pt idx="119">
                        <c:v>20.234000000000002</c:v>
                      </c:pt>
                      <c:pt idx="120">
                        <c:v>20.234000000000002</c:v>
                      </c:pt>
                      <c:pt idx="121">
                        <c:v>20.234000000000002</c:v>
                      </c:pt>
                      <c:pt idx="122">
                        <c:v>20.042999999999999</c:v>
                      </c:pt>
                      <c:pt idx="123">
                        <c:v>20.042999999999999</c:v>
                      </c:pt>
                      <c:pt idx="124">
                        <c:v>20.042999999999999</c:v>
                      </c:pt>
                      <c:pt idx="125">
                        <c:v>20.042999999999999</c:v>
                      </c:pt>
                      <c:pt idx="126">
                        <c:v>19.948</c:v>
                      </c:pt>
                      <c:pt idx="127">
                        <c:v>19.948</c:v>
                      </c:pt>
                      <c:pt idx="128">
                        <c:v>19.948</c:v>
                      </c:pt>
                      <c:pt idx="129">
                        <c:v>19.948</c:v>
                      </c:pt>
                      <c:pt idx="130">
                        <c:v>20.042999999999999</c:v>
                      </c:pt>
                      <c:pt idx="131">
                        <c:v>19.948</c:v>
                      </c:pt>
                      <c:pt idx="132">
                        <c:v>19.948</c:v>
                      </c:pt>
                      <c:pt idx="133">
                        <c:v>19.948</c:v>
                      </c:pt>
                      <c:pt idx="134">
                        <c:v>19.853000000000002</c:v>
                      </c:pt>
                      <c:pt idx="135">
                        <c:v>19.853000000000002</c:v>
                      </c:pt>
                      <c:pt idx="136">
                        <c:v>19.757999999999999</c:v>
                      </c:pt>
                      <c:pt idx="137">
                        <c:v>19.853000000000002</c:v>
                      </c:pt>
                      <c:pt idx="138">
                        <c:v>19.853000000000002</c:v>
                      </c:pt>
                      <c:pt idx="139">
                        <c:v>19.853000000000002</c:v>
                      </c:pt>
                      <c:pt idx="140">
                        <c:v>19.757999999999999</c:v>
                      </c:pt>
                      <c:pt idx="141">
                        <c:v>19.661999999999999</c:v>
                      </c:pt>
                      <c:pt idx="142">
                        <c:v>19.567</c:v>
                      </c:pt>
                      <c:pt idx="143">
                        <c:v>19.472000000000001</c:v>
                      </c:pt>
                      <c:pt idx="144">
                        <c:v>19.567</c:v>
                      </c:pt>
                      <c:pt idx="145">
                        <c:v>19.567</c:v>
                      </c:pt>
                      <c:pt idx="146">
                        <c:v>19.472000000000001</c:v>
                      </c:pt>
                      <c:pt idx="147">
                        <c:v>19.376999999999999</c:v>
                      </c:pt>
                      <c:pt idx="148">
                        <c:v>19.472000000000001</c:v>
                      </c:pt>
                      <c:pt idx="149">
                        <c:v>19.376999999999999</c:v>
                      </c:pt>
                      <c:pt idx="150">
                        <c:v>19.376999999999999</c:v>
                      </c:pt>
                      <c:pt idx="151">
                        <c:v>19.472000000000001</c:v>
                      </c:pt>
                      <c:pt idx="152">
                        <c:v>19.472000000000001</c:v>
                      </c:pt>
                      <c:pt idx="153">
                        <c:v>19.376999999999999</c:v>
                      </c:pt>
                      <c:pt idx="154">
                        <c:v>19.282</c:v>
                      </c:pt>
                      <c:pt idx="155">
                        <c:v>19.282</c:v>
                      </c:pt>
                      <c:pt idx="156">
                        <c:v>19.282</c:v>
                      </c:pt>
                      <c:pt idx="157">
                        <c:v>19.282</c:v>
                      </c:pt>
                      <c:pt idx="158">
                        <c:v>19.187000000000001</c:v>
                      </c:pt>
                      <c:pt idx="159">
                        <c:v>19.282</c:v>
                      </c:pt>
                      <c:pt idx="160">
                        <c:v>19.282</c:v>
                      </c:pt>
                      <c:pt idx="161">
                        <c:v>19.187000000000001</c:v>
                      </c:pt>
                      <c:pt idx="162">
                        <c:v>19.091999999999999</c:v>
                      </c:pt>
                      <c:pt idx="163">
                        <c:v>19.187000000000001</c:v>
                      </c:pt>
                      <c:pt idx="164">
                        <c:v>19.187000000000001</c:v>
                      </c:pt>
                      <c:pt idx="165">
                        <c:v>19.091999999999999</c:v>
                      </c:pt>
                      <c:pt idx="166">
                        <c:v>19.091999999999999</c:v>
                      </c:pt>
                      <c:pt idx="167">
                        <c:v>19.187000000000001</c:v>
                      </c:pt>
                      <c:pt idx="168">
                        <c:v>19.091999999999999</c:v>
                      </c:pt>
                      <c:pt idx="169">
                        <c:v>18.995999999999999</c:v>
                      </c:pt>
                      <c:pt idx="170">
                        <c:v>19.187000000000001</c:v>
                      </c:pt>
                      <c:pt idx="171">
                        <c:v>19.187000000000001</c:v>
                      </c:pt>
                      <c:pt idx="172">
                        <c:v>19.091999999999999</c:v>
                      </c:pt>
                      <c:pt idx="173">
                        <c:v>18.995999999999999</c:v>
                      </c:pt>
                      <c:pt idx="174">
                        <c:v>18.995999999999999</c:v>
                      </c:pt>
                      <c:pt idx="175">
                        <c:v>19.187000000000001</c:v>
                      </c:pt>
                      <c:pt idx="176">
                        <c:v>19.091999999999999</c:v>
                      </c:pt>
                      <c:pt idx="177">
                        <c:v>18.995999999999999</c:v>
                      </c:pt>
                      <c:pt idx="178">
                        <c:v>19.091999999999999</c:v>
                      </c:pt>
                      <c:pt idx="179">
                        <c:v>18.995999999999999</c:v>
                      </c:pt>
                      <c:pt idx="180">
                        <c:v>18.806000000000001</c:v>
                      </c:pt>
                      <c:pt idx="181">
                        <c:v>18.901</c:v>
                      </c:pt>
                      <c:pt idx="182">
                        <c:v>18.806000000000001</c:v>
                      </c:pt>
                      <c:pt idx="183">
                        <c:v>18.806000000000001</c:v>
                      </c:pt>
                      <c:pt idx="184">
                        <c:v>18.806000000000001</c:v>
                      </c:pt>
                      <c:pt idx="185">
                        <c:v>18.806000000000001</c:v>
                      </c:pt>
                      <c:pt idx="186">
                        <c:v>18.806000000000001</c:v>
                      </c:pt>
                      <c:pt idx="187">
                        <c:v>18.806000000000001</c:v>
                      </c:pt>
                      <c:pt idx="188">
                        <c:v>18.901</c:v>
                      </c:pt>
                      <c:pt idx="189">
                        <c:v>18.901</c:v>
                      </c:pt>
                      <c:pt idx="190">
                        <c:v>19.091999999999999</c:v>
                      </c:pt>
                      <c:pt idx="191">
                        <c:v>19.091999999999999</c:v>
                      </c:pt>
                      <c:pt idx="192">
                        <c:v>19.091999999999999</c:v>
                      </c:pt>
                      <c:pt idx="193">
                        <c:v>19.187000000000001</c:v>
                      </c:pt>
                      <c:pt idx="194">
                        <c:v>19.282</c:v>
                      </c:pt>
                      <c:pt idx="195">
                        <c:v>19.472000000000001</c:v>
                      </c:pt>
                      <c:pt idx="196">
                        <c:v>19.472000000000001</c:v>
                      </c:pt>
                      <c:pt idx="197">
                        <c:v>19.472000000000001</c:v>
                      </c:pt>
                      <c:pt idx="198">
                        <c:v>19.567</c:v>
                      </c:pt>
                      <c:pt idx="199">
                        <c:v>19.567</c:v>
                      </c:pt>
                      <c:pt idx="200">
                        <c:v>19.661999999999999</c:v>
                      </c:pt>
                      <c:pt idx="201">
                        <c:v>19.757999999999999</c:v>
                      </c:pt>
                      <c:pt idx="202">
                        <c:v>19.853000000000002</c:v>
                      </c:pt>
                      <c:pt idx="203">
                        <c:v>19.853000000000002</c:v>
                      </c:pt>
                      <c:pt idx="204">
                        <c:v>20.042999999999999</c:v>
                      </c:pt>
                      <c:pt idx="205">
                        <c:v>20.518999999999998</c:v>
                      </c:pt>
                      <c:pt idx="206">
                        <c:v>20.329000000000001</c:v>
                      </c:pt>
                      <c:pt idx="207">
                        <c:v>20.995999999999999</c:v>
                      </c:pt>
                      <c:pt idx="208">
                        <c:v>20.518999999999998</c:v>
                      </c:pt>
                      <c:pt idx="209">
                        <c:v>20.614999999999998</c:v>
                      </c:pt>
                      <c:pt idx="210">
                        <c:v>20.71</c:v>
                      </c:pt>
                      <c:pt idx="211">
                        <c:v>20.71</c:v>
                      </c:pt>
                      <c:pt idx="212">
                        <c:v>20.71</c:v>
                      </c:pt>
                      <c:pt idx="213">
                        <c:v>20.71</c:v>
                      </c:pt>
                      <c:pt idx="214">
                        <c:v>21.282</c:v>
                      </c:pt>
                      <c:pt idx="215">
                        <c:v>21.472999999999999</c:v>
                      </c:pt>
                      <c:pt idx="216">
                        <c:v>21.187000000000001</c:v>
                      </c:pt>
                      <c:pt idx="217">
                        <c:v>22.428999999999998</c:v>
                      </c:pt>
                      <c:pt idx="218">
                        <c:v>21.855</c:v>
                      </c:pt>
                      <c:pt idx="219">
                        <c:v>21.472999999999999</c:v>
                      </c:pt>
                      <c:pt idx="220">
                        <c:v>21.568999999999999</c:v>
                      </c:pt>
                      <c:pt idx="221">
                        <c:v>21.568999999999999</c:v>
                      </c:pt>
                      <c:pt idx="222">
                        <c:v>22.716999999999999</c:v>
                      </c:pt>
                      <c:pt idx="223">
                        <c:v>21.664000000000001</c:v>
                      </c:pt>
                      <c:pt idx="224">
                        <c:v>22.524999999999999</c:v>
                      </c:pt>
                      <c:pt idx="225">
                        <c:v>22.524999999999999</c:v>
                      </c:pt>
                      <c:pt idx="226">
                        <c:v>22.332999999999998</c:v>
                      </c:pt>
                      <c:pt idx="227">
                        <c:v>21.568999999999999</c:v>
                      </c:pt>
                      <c:pt idx="228">
                        <c:v>21.472999999999999</c:v>
                      </c:pt>
                      <c:pt idx="229">
                        <c:v>21.568999999999999</c:v>
                      </c:pt>
                      <c:pt idx="230">
                        <c:v>21.472999999999999</c:v>
                      </c:pt>
                      <c:pt idx="231">
                        <c:v>21.568999999999999</c:v>
                      </c:pt>
                      <c:pt idx="232">
                        <c:v>21.472999999999999</c:v>
                      </c:pt>
                      <c:pt idx="233">
                        <c:v>21.472999999999999</c:v>
                      </c:pt>
                      <c:pt idx="234">
                        <c:v>21.472999999999999</c:v>
                      </c:pt>
                      <c:pt idx="235">
                        <c:v>21.472999999999999</c:v>
                      </c:pt>
                      <c:pt idx="236">
                        <c:v>21.472999999999999</c:v>
                      </c:pt>
                      <c:pt idx="237">
                        <c:v>21.378</c:v>
                      </c:pt>
                      <c:pt idx="238">
                        <c:v>21.378</c:v>
                      </c:pt>
                      <c:pt idx="239">
                        <c:v>21.378</c:v>
                      </c:pt>
                      <c:pt idx="240">
                        <c:v>21.378</c:v>
                      </c:pt>
                      <c:pt idx="241">
                        <c:v>21.282</c:v>
                      </c:pt>
                      <c:pt idx="242">
                        <c:v>21.282</c:v>
                      </c:pt>
                      <c:pt idx="243">
                        <c:v>21.282</c:v>
                      </c:pt>
                      <c:pt idx="244">
                        <c:v>21.282</c:v>
                      </c:pt>
                      <c:pt idx="245">
                        <c:v>21.187000000000001</c:v>
                      </c:pt>
                      <c:pt idx="246">
                        <c:v>21.187000000000001</c:v>
                      </c:pt>
                      <c:pt idx="247">
                        <c:v>21.187000000000001</c:v>
                      </c:pt>
                      <c:pt idx="248">
                        <c:v>21.091000000000001</c:v>
                      </c:pt>
                      <c:pt idx="249">
                        <c:v>21.091000000000001</c:v>
                      </c:pt>
                      <c:pt idx="250">
                        <c:v>21.091000000000001</c:v>
                      </c:pt>
                      <c:pt idx="251">
                        <c:v>21.091000000000001</c:v>
                      </c:pt>
                      <c:pt idx="252">
                        <c:v>20.995999999999999</c:v>
                      </c:pt>
                      <c:pt idx="253">
                        <c:v>20.901</c:v>
                      </c:pt>
                      <c:pt idx="254">
                        <c:v>20.805</c:v>
                      </c:pt>
                      <c:pt idx="255">
                        <c:v>20.71</c:v>
                      </c:pt>
                      <c:pt idx="256">
                        <c:v>20.614999999999998</c:v>
                      </c:pt>
                      <c:pt idx="257">
                        <c:v>20.614999999999998</c:v>
                      </c:pt>
                      <c:pt idx="258">
                        <c:v>20.518999999999998</c:v>
                      </c:pt>
                      <c:pt idx="259">
                        <c:v>20.518999999999998</c:v>
                      </c:pt>
                      <c:pt idx="260">
                        <c:v>20.423999999999999</c:v>
                      </c:pt>
                      <c:pt idx="261">
                        <c:v>20.423999999999999</c:v>
                      </c:pt>
                      <c:pt idx="262">
                        <c:v>20.329000000000001</c:v>
                      </c:pt>
                      <c:pt idx="263">
                        <c:v>20.329000000000001</c:v>
                      </c:pt>
                      <c:pt idx="264">
                        <c:v>20.329000000000001</c:v>
                      </c:pt>
                      <c:pt idx="265">
                        <c:v>20.329000000000001</c:v>
                      </c:pt>
                      <c:pt idx="266">
                        <c:v>20.329000000000001</c:v>
                      </c:pt>
                      <c:pt idx="267">
                        <c:v>20.329000000000001</c:v>
                      </c:pt>
                      <c:pt idx="268">
                        <c:v>20.423999999999999</c:v>
                      </c:pt>
                      <c:pt idx="269">
                        <c:v>20.423999999999999</c:v>
                      </c:pt>
                      <c:pt idx="270">
                        <c:v>20.423999999999999</c:v>
                      </c:pt>
                      <c:pt idx="271">
                        <c:v>20.423999999999999</c:v>
                      </c:pt>
                      <c:pt idx="272">
                        <c:v>20.423999999999999</c:v>
                      </c:pt>
                      <c:pt idx="273">
                        <c:v>20.423999999999999</c:v>
                      </c:pt>
                      <c:pt idx="274">
                        <c:v>20.423999999999999</c:v>
                      </c:pt>
                      <c:pt idx="275">
                        <c:v>20.423999999999999</c:v>
                      </c:pt>
                      <c:pt idx="276">
                        <c:v>20.329000000000001</c:v>
                      </c:pt>
                      <c:pt idx="277">
                        <c:v>20.329000000000001</c:v>
                      </c:pt>
                      <c:pt idx="278">
                        <c:v>20.329000000000001</c:v>
                      </c:pt>
                      <c:pt idx="279">
                        <c:v>20.329000000000001</c:v>
                      </c:pt>
                      <c:pt idx="280">
                        <c:v>20.329000000000001</c:v>
                      </c:pt>
                      <c:pt idx="281">
                        <c:v>20.329000000000001</c:v>
                      </c:pt>
                      <c:pt idx="282">
                        <c:v>20.234000000000002</c:v>
                      </c:pt>
                      <c:pt idx="283">
                        <c:v>20.234000000000002</c:v>
                      </c:pt>
                      <c:pt idx="284">
                        <c:v>20.234000000000002</c:v>
                      </c:pt>
                      <c:pt idx="285">
                        <c:v>20.138000000000002</c:v>
                      </c:pt>
                      <c:pt idx="286">
                        <c:v>20.138000000000002</c:v>
                      </c:pt>
                      <c:pt idx="287">
                        <c:v>20.138000000000002</c:v>
                      </c:pt>
                      <c:pt idx="288">
                        <c:v>20.138000000000002</c:v>
                      </c:pt>
                      <c:pt idx="289">
                        <c:v>20.042999999999999</c:v>
                      </c:pt>
                      <c:pt idx="290">
                        <c:v>20.042999999999999</c:v>
                      </c:pt>
                      <c:pt idx="291">
                        <c:v>20.042999999999999</c:v>
                      </c:pt>
                      <c:pt idx="292">
                        <c:v>19.948</c:v>
                      </c:pt>
                      <c:pt idx="293">
                        <c:v>20.042999999999999</c:v>
                      </c:pt>
                      <c:pt idx="294">
                        <c:v>20.138000000000002</c:v>
                      </c:pt>
                      <c:pt idx="295">
                        <c:v>20.042999999999999</c:v>
                      </c:pt>
                      <c:pt idx="296">
                        <c:v>20.042999999999999</c:v>
                      </c:pt>
                      <c:pt idx="297">
                        <c:v>19.948</c:v>
                      </c:pt>
                      <c:pt idx="298">
                        <c:v>19.853000000000002</c:v>
                      </c:pt>
                      <c:pt idx="299">
                        <c:v>19.948</c:v>
                      </c:pt>
                      <c:pt idx="300">
                        <c:v>19.948</c:v>
                      </c:pt>
                      <c:pt idx="301">
                        <c:v>19.948</c:v>
                      </c:pt>
                      <c:pt idx="302">
                        <c:v>19.948</c:v>
                      </c:pt>
                      <c:pt idx="303">
                        <c:v>19.853000000000002</c:v>
                      </c:pt>
                      <c:pt idx="304">
                        <c:v>19.853000000000002</c:v>
                      </c:pt>
                      <c:pt idx="305">
                        <c:v>19.948</c:v>
                      </c:pt>
                      <c:pt idx="306">
                        <c:v>19.853000000000002</c:v>
                      </c:pt>
                      <c:pt idx="307">
                        <c:v>19.853000000000002</c:v>
                      </c:pt>
                      <c:pt idx="308">
                        <c:v>19.853000000000002</c:v>
                      </c:pt>
                      <c:pt idx="309">
                        <c:v>19.757999999999999</c:v>
                      </c:pt>
                      <c:pt idx="310">
                        <c:v>19.757999999999999</c:v>
                      </c:pt>
                      <c:pt idx="311">
                        <c:v>19.757999999999999</c:v>
                      </c:pt>
                      <c:pt idx="312">
                        <c:v>19.661999999999999</c:v>
                      </c:pt>
                      <c:pt idx="313">
                        <c:v>19.757999999999999</c:v>
                      </c:pt>
                      <c:pt idx="314">
                        <c:v>19.661999999999999</c:v>
                      </c:pt>
                      <c:pt idx="315">
                        <c:v>19.757999999999999</c:v>
                      </c:pt>
                      <c:pt idx="316">
                        <c:v>19.757999999999999</c:v>
                      </c:pt>
                      <c:pt idx="317">
                        <c:v>19.661999999999999</c:v>
                      </c:pt>
                      <c:pt idx="318">
                        <c:v>19.567</c:v>
                      </c:pt>
                      <c:pt idx="319">
                        <c:v>19.567</c:v>
                      </c:pt>
                      <c:pt idx="320">
                        <c:v>19.472000000000001</c:v>
                      </c:pt>
                      <c:pt idx="321">
                        <c:v>19.567</c:v>
                      </c:pt>
                      <c:pt idx="322">
                        <c:v>19.472000000000001</c:v>
                      </c:pt>
                      <c:pt idx="323">
                        <c:v>19.472000000000001</c:v>
                      </c:pt>
                      <c:pt idx="324">
                        <c:v>19.376999999999999</c:v>
                      </c:pt>
                      <c:pt idx="325">
                        <c:v>19.376999999999999</c:v>
                      </c:pt>
                      <c:pt idx="326">
                        <c:v>19.376999999999999</c:v>
                      </c:pt>
                      <c:pt idx="327">
                        <c:v>19.376999999999999</c:v>
                      </c:pt>
                      <c:pt idx="328">
                        <c:v>19.282</c:v>
                      </c:pt>
                      <c:pt idx="329">
                        <c:v>19.376999999999999</c:v>
                      </c:pt>
                      <c:pt idx="330">
                        <c:v>19.376999999999999</c:v>
                      </c:pt>
                      <c:pt idx="331">
                        <c:v>19.376999999999999</c:v>
                      </c:pt>
                      <c:pt idx="332">
                        <c:v>19.376999999999999</c:v>
                      </c:pt>
                      <c:pt idx="333">
                        <c:v>19.472000000000001</c:v>
                      </c:pt>
                      <c:pt idx="334">
                        <c:v>19.567</c:v>
                      </c:pt>
                      <c:pt idx="335">
                        <c:v>19.567</c:v>
                      </c:pt>
                      <c:pt idx="336">
                        <c:v>19.661999999999999</c:v>
                      </c:pt>
                      <c:pt idx="337">
                        <c:v>19.757999999999999</c:v>
                      </c:pt>
                      <c:pt idx="338">
                        <c:v>20.329000000000001</c:v>
                      </c:pt>
                      <c:pt idx="339">
                        <c:v>20.042999999999999</c:v>
                      </c:pt>
                      <c:pt idx="340">
                        <c:v>19.948</c:v>
                      </c:pt>
                      <c:pt idx="341">
                        <c:v>20.042999999999999</c:v>
                      </c:pt>
                      <c:pt idx="342">
                        <c:v>20.042999999999999</c:v>
                      </c:pt>
                      <c:pt idx="343">
                        <c:v>20.138000000000002</c:v>
                      </c:pt>
                      <c:pt idx="344">
                        <c:v>20.138000000000002</c:v>
                      </c:pt>
                      <c:pt idx="345">
                        <c:v>20.234000000000002</c:v>
                      </c:pt>
                      <c:pt idx="346">
                        <c:v>20.234000000000002</c:v>
                      </c:pt>
                      <c:pt idx="347">
                        <c:v>20.329000000000001</c:v>
                      </c:pt>
                      <c:pt idx="348">
                        <c:v>20.423999999999999</c:v>
                      </c:pt>
                      <c:pt idx="349">
                        <c:v>20.518999999999998</c:v>
                      </c:pt>
                      <c:pt idx="350">
                        <c:v>20.614999999999998</c:v>
                      </c:pt>
                      <c:pt idx="351">
                        <c:v>21.091000000000001</c:v>
                      </c:pt>
                      <c:pt idx="352">
                        <c:v>20.805</c:v>
                      </c:pt>
                      <c:pt idx="353">
                        <c:v>20.805</c:v>
                      </c:pt>
                      <c:pt idx="354">
                        <c:v>20.995999999999999</c:v>
                      </c:pt>
                      <c:pt idx="355">
                        <c:v>20.901</c:v>
                      </c:pt>
                      <c:pt idx="356">
                        <c:v>20.995999999999999</c:v>
                      </c:pt>
                      <c:pt idx="357">
                        <c:v>20.995999999999999</c:v>
                      </c:pt>
                      <c:pt idx="358">
                        <c:v>21.664000000000001</c:v>
                      </c:pt>
                      <c:pt idx="359">
                        <c:v>21.472999999999999</c:v>
                      </c:pt>
                      <c:pt idx="360">
                        <c:v>21.187000000000001</c:v>
                      </c:pt>
                      <c:pt idx="361">
                        <c:v>21.282</c:v>
                      </c:pt>
                      <c:pt idx="362">
                        <c:v>21.951000000000001</c:v>
                      </c:pt>
                      <c:pt idx="363">
                        <c:v>21.378</c:v>
                      </c:pt>
                      <c:pt idx="364">
                        <c:v>21.378</c:v>
                      </c:pt>
                      <c:pt idx="365">
                        <c:v>21.568999999999999</c:v>
                      </c:pt>
                      <c:pt idx="366">
                        <c:v>21.378</c:v>
                      </c:pt>
                      <c:pt idx="367">
                        <c:v>21.472999999999999</c:v>
                      </c:pt>
                      <c:pt idx="368">
                        <c:v>21.378</c:v>
                      </c:pt>
                      <c:pt idx="369">
                        <c:v>22.141999999999999</c:v>
                      </c:pt>
                      <c:pt idx="370">
                        <c:v>22.045999999999999</c:v>
                      </c:pt>
                      <c:pt idx="371">
                        <c:v>21.568999999999999</c:v>
                      </c:pt>
                      <c:pt idx="372">
                        <c:v>21.472999999999999</c:v>
                      </c:pt>
                      <c:pt idx="373">
                        <c:v>21.472999999999999</c:v>
                      </c:pt>
                      <c:pt idx="374">
                        <c:v>21.472999999999999</c:v>
                      </c:pt>
                      <c:pt idx="375">
                        <c:v>21.568999999999999</c:v>
                      </c:pt>
                      <c:pt idx="376">
                        <c:v>21.472999999999999</c:v>
                      </c:pt>
                      <c:pt idx="377">
                        <c:v>21.472999999999999</c:v>
                      </c:pt>
                      <c:pt idx="378">
                        <c:v>21.378</c:v>
                      </c:pt>
                      <c:pt idx="379">
                        <c:v>21.378</c:v>
                      </c:pt>
                      <c:pt idx="380">
                        <c:v>21.282</c:v>
                      </c:pt>
                      <c:pt idx="381">
                        <c:v>21.091000000000001</c:v>
                      </c:pt>
                      <c:pt idx="382">
                        <c:v>20.995999999999999</c:v>
                      </c:pt>
                      <c:pt idx="383">
                        <c:v>20.995999999999999</c:v>
                      </c:pt>
                      <c:pt idx="384">
                        <c:v>20.901</c:v>
                      </c:pt>
                      <c:pt idx="385">
                        <c:v>20.901</c:v>
                      </c:pt>
                      <c:pt idx="386">
                        <c:v>20.901</c:v>
                      </c:pt>
                      <c:pt idx="387">
                        <c:v>20.901</c:v>
                      </c:pt>
                      <c:pt idx="388">
                        <c:v>20.901</c:v>
                      </c:pt>
                      <c:pt idx="389">
                        <c:v>20.805</c:v>
                      </c:pt>
                      <c:pt idx="390">
                        <c:v>20.805</c:v>
                      </c:pt>
                      <c:pt idx="391">
                        <c:v>20.805</c:v>
                      </c:pt>
                      <c:pt idx="392">
                        <c:v>20.71</c:v>
                      </c:pt>
                      <c:pt idx="393">
                        <c:v>20.71</c:v>
                      </c:pt>
                      <c:pt idx="394">
                        <c:v>20.614999999999998</c:v>
                      </c:pt>
                      <c:pt idx="395">
                        <c:v>20.518999999999998</c:v>
                      </c:pt>
                      <c:pt idx="396">
                        <c:v>20.518999999999998</c:v>
                      </c:pt>
                      <c:pt idx="397">
                        <c:v>20.518999999999998</c:v>
                      </c:pt>
                      <c:pt idx="398">
                        <c:v>20.423999999999999</c:v>
                      </c:pt>
                      <c:pt idx="399">
                        <c:v>20.423999999999999</c:v>
                      </c:pt>
                      <c:pt idx="400">
                        <c:v>20.329000000000001</c:v>
                      </c:pt>
                      <c:pt idx="401">
                        <c:v>20.329000000000001</c:v>
                      </c:pt>
                      <c:pt idx="402">
                        <c:v>20.329000000000001</c:v>
                      </c:pt>
                      <c:pt idx="403">
                        <c:v>20.329000000000001</c:v>
                      </c:pt>
                      <c:pt idx="404">
                        <c:v>20.329000000000001</c:v>
                      </c:pt>
                      <c:pt idx="405">
                        <c:v>20.234000000000002</c:v>
                      </c:pt>
                      <c:pt idx="406">
                        <c:v>20.138000000000002</c:v>
                      </c:pt>
                      <c:pt idx="407">
                        <c:v>20.138000000000002</c:v>
                      </c:pt>
                      <c:pt idx="408">
                        <c:v>20.234000000000002</c:v>
                      </c:pt>
                      <c:pt idx="409">
                        <c:v>20.138000000000002</c:v>
                      </c:pt>
                      <c:pt idx="410">
                        <c:v>20.138000000000002</c:v>
                      </c:pt>
                      <c:pt idx="411">
                        <c:v>20.138000000000002</c:v>
                      </c:pt>
                      <c:pt idx="412">
                        <c:v>20.042999999999999</c:v>
                      </c:pt>
                      <c:pt idx="413">
                        <c:v>20.042999999999999</c:v>
                      </c:pt>
                      <c:pt idx="414">
                        <c:v>20.042999999999999</c:v>
                      </c:pt>
                      <c:pt idx="415">
                        <c:v>20.042999999999999</c:v>
                      </c:pt>
                      <c:pt idx="416">
                        <c:v>19.948</c:v>
                      </c:pt>
                      <c:pt idx="417">
                        <c:v>19.948</c:v>
                      </c:pt>
                      <c:pt idx="418">
                        <c:v>19.948</c:v>
                      </c:pt>
                      <c:pt idx="419">
                        <c:v>19.948</c:v>
                      </c:pt>
                      <c:pt idx="420">
                        <c:v>19.853000000000002</c:v>
                      </c:pt>
                      <c:pt idx="421">
                        <c:v>19.853000000000002</c:v>
                      </c:pt>
                      <c:pt idx="422">
                        <c:v>19.853000000000002</c:v>
                      </c:pt>
                      <c:pt idx="423">
                        <c:v>19.853000000000002</c:v>
                      </c:pt>
                      <c:pt idx="424">
                        <c:v>19.853000000000002</c:v>
                      </c:pt>
                      <c:pt idx="425">
                        <c:v>19.853000000000002</c:v>
                      </c:pt>
                      <c:pt idx="426">
                        <c:v>19.948</c:v>
                      </c:pt>
                      <c:pt idx="427">
                        <c:v>19.948</c:v>
                      </c:pt>
                      <c:pt idx="428">
                        <c:v>19.853000000000002</c:v>
                      </c:pt>
                      <c:pt idx="429">
                        <c:v>19.757999999999999</c:v>
                      </c:pt>
                      <c:pt idx="430">
                        <c:v>19.757999999999999</c:v>
                      </c:pt>
                      <c:pt idx="431">
                        <c:v>19.757999999999999</c:v>
                      </c:pt>
                      <c:pt idx="432">
                        <c:v>19.757999999999999</c:v>
                      </c:pt>
                      <c:pt idx="433">
                        <c:v>19.757999999999999</c:v>
                      </c:pt>
                      <c:pt idx="434">
                        <c:v>19.661999999999999</c:v>
                      </c:pt>
                      <c:pt idx="435">
                        <c:v>19.661999999999999</c:v>
                      </c:pt>
                      <c:pt idx="436">
                        <c:v>19.661999999999999</c:v>
                      </c:pt>
                      <c:pt idx="437">
                        <c:v>19.661999999999999</c:v>
                      </c:pt>
                      <c:pt idx="438">
                        <c:v>19.567</c:v>
                      </c:pt>
                      <c:pt idx="439">
                        <c:v>19.661999999999999</c:v>
                      </c:pt>
                      <c:pt idx="440">
                        <c:v>19.567</c:v>
                      </c:pt>
                      <c:pt idx="441">
                        <c:v>19.567</c:v>
                      </c:pt>
                      <c:pt idx="442">
                        <c:v>19.567</c:v>
                      </c:pt>
                      <c:pt idx="443">
                        <c:v>19.567</c:v>
                      </c:pt>
                      <c:pt idx="444">
                        <c:v>19.567</c:v>
                      </c:pt>
                      <c:pt idx="445">
                        <c:v>19.661999999999999</c:v>
                      </c:pt>
                      <c:pt idx="446">
                        <c:v>19.661999999999999</c:v>
                      </c:pt>
                      <c:pt idx="447">
                        <c:v>19.567</c:v>
                      </c:pt>
                      <c:pt idx="448">
                        <c:v>19.567</c:v>
                      </c:pt>
                      <c:pt idx="449">
                        <c:v>19.567</c:v>
                      </c:pt>
                      <c:pt idx="450">
                        <c:v>19.567</c:v>
                      </c:pt>
                      <c:pt idx="451">
                        <c:v>19.567</c:v>
                      </c:pt>
                      <c:pt idx="452">
                        <c:v>19.567</c:v>
                      </c:pt>
                      <c:pt idx="453">
                        <c:v>19.567</c:v>
                      </c:pt>
                      <c:pt idx="454">
                        <c:v>19.472000000000001</c:v>
                      </c:pt>
                      <c:pt idx="455">
                        <c:v>19.472000000000001</c:v>
                      </c:pt>
                      <c:pt idx="456">
                        <c:v>19.472000000000001</c:v>
                      </c:pt>
                      <c:pt idx="457">
                        <c:v>19.472000000000001</c:v>
                      </c:pt>
                      <c:pt idx="458">
                        <c:v>19.472000000000001</c:v>
                      </c:pt>
                      <c:pt idx="459">
                        <c:v>19.472000000000001</c:v>
                      </c:pt>
                      <c:pt idx="460">
                        <c:v>19.472000000000001</c:v>
                      </c:pt>
                      <c:pt idx="461">
                        <c:v>19.376999999999999</c:v>
                      </c:pt>
                      <c:pt idx="462">
                        <c:v>19.376999999999999</c:v>
                      </c:pt>
                      <c:pt idx="463">
                        <c:v>19.376999999999999</c:v>
                      </c:pt>
                      <c:pt idx="464">
                        <c:v>19.376999999999999</c:v>
                      </c:pt>
                      <c:pt idx="465">
                        <c:v>19.472000000000001</c:v>
                      </c:pt>
                      <c:pt idx="466">
                        <c:v>19.376999999999999</c:v>
                      </c:pt>
                      <c:pt idx="467">
                        <c:v>19.376999999999999</c:v>
                      </c:pt>
                      <c:pt idx="468">
                        <c:v>19.376999999999999</c:v>
                      </c:pt>
                      <c:pt idx="469">
                        <c:v>19.376999999999999</c:v>
                      </c:pt>
                      <c:pt idx="470">
                        <c:v>19.376999999999999</c:v>
                      </c:pt>
                      <c:pt idx="471">
                        <c:v>19.472000000000001</c:v>
                      </c:pt>
                      <c:pt idx="472">
                        <c:v>19.376999999999999</c:v>
                      </c:pt>
                      <c:pt idx="473">
                        <c:v>19.376999999999999</c:v>
                      </c:pt>
                      <c:pt idx="474">
                        <c:v>19.376999999999999</c:v>
                      </c:pt>
                      <c:pt idx="475">
                        <c:v>19.282</c:v>
                      </c:pt>
                      <c:pt idx="476">
                        <c:v>19.282</c:v>
                      </c:pt>
                      <c:pt idx="477">
                        <c:v>19.282</c:v>
                      </c:pt>
                      <c:pt idx="478">
                        <c:v>19.376999999999999</c:v>
                      </c:pt>
                      <c:pt idx="479">
                        <c:v>19.472000000000001</c:v>
                      </c:pt>
                      <c:pt idx="480">
                        <c:v>19.376999999999999</c:v>
                      </c:pt>
                      <c:pt idx="481">
                        <c:v>19.472000000000001</c:v>
                      </c:pt>
                      <c:pt idx="482">
                        <c:v>19.853000000000002</c:v>
                      </c:pt>
                      <c:pt idx="483">
                        <c:v>19.567</c:v>
                      </c:pt>
                      <c:pt idx="484">
                        <c:v>19.567</c:v>
                      </c:pt>
                      <c:pt idx="485">
                        <c:v>19.567</c:v>
                      </c:pt>
                      <c:pt idx="486">
                        <c:v>19.661999999999999</c:v>
                      </c:pt>
                      <c:pt idx="487">
                        <c:v>19.757999999999999</c:v>
                      </c:pt>
                      <c:pt idx="488">
                        <c:v>19.853000000000002</c:v>
                      </c:pt>
                      <c:pt idx="489">
                        <c:v>19.853000000000002</c:v>
                      </c:pt>
                      <c:pt idx="490">
                        <c:v>19.948</c:v>
                      </c:pt>
                      <c:pt idx="491">
                        <c:v>19.948</c:v>
                      </c:pt>
                      <c:pt idx="492">
                        <c:v>20.042999999999999</c:v>
                      </c:pt>
                      <c:pt idx="493">
                        <c:v>20.042999999999999</c:v>
                      </c:pt>
                      <c:pt idx="494">
                        <c:v>20.042999999999999</c:v>
                      </c:pt>
                      <c:pt idx="495">
                        <c:v>20.329000000000001</c:v>
                      </c:pt>
                      <c:pt idx="496">
                        <c:v>20.423999999999999</c:v>
                      </c:pt>
                      <c:pt idx="497">
                        <c:v>20.423999999999999</c:v>
                      </c:pt>
                      <c:pt idx="498">
                        <c:v>20.518999999999998</c:v>
                      </c:pt>
                      <c:pt idx="499">
                        <c:v>20.614999999999998</c:v>
                      </c:pt>
                      <c:pt idx="500">
                        <c:v>20.71</c:v>
                      </c:pt>
                      <c:pt idx="501">
                        <c:v>20.805</c:v>
                      </c:pt>
                      <c:pt idx="502">
                        <c:v>20.805</c:v>
                      </c:pt>
                      <c:pt idx="503">
                        <c:v>20.901</c:v>
                      </c:pt>
                      <c:pt idx="504">
                        <c:v>20.995999999999999</c:v>
                      </c:pt>
                      <c:pt idx="505">
                        <c:v>20.995999999999999</c:v>
                      </c:pt>
                      <c:pt idx="506">
                        <c:v>21.091000000000001</c:v>
                      </c:pt>
                      <c:pt idx="507">
                        <c:v>20.995999999999999</c:v>
                      </c:pt>
                      <c:pt idx="508">
                        <c:v>21.187000000000001</c:v>
                      </c:pt>
                      <c:pt idx="509">
                        <c:v>21.091000000000001</c:v>
                      </c:pt>
                      <c:pt idx="510">
                        <c:v>21.472999999999999</c:v>
                      </c:pt>
                      <c:pt idx="511">
                        <c:v>21.76</c:v>
                      </c:pt>
                      <c:pt idx="512">
                        <c:v>21.951000000000001</c:v>
                      </c:pt>
                      <c:pt idx="513">
                        <c:v>21.568999999999999</c:v>
                      </c:pt>
                      <c:pt idx="514">
                        <c:v>21.76</c:v>
                      </c:pt>
                      <c:pt idx="515">
                        <c:v>21.378</c:v>
                      </c:pt>
                      <c:pt idx="516">
                        <c:v>21.187000000000001</c:v>
                      </c:pt>
                      <c:pt idx="517">
                        <c:v>21.187000000000001</c:v>
                      </c:pt>
                      <c:pt idx="518">
                        <c:v>21.282</c:v>
                      </c:pt>
                      <c:pt idx="519">
                        <c:v>21.378</c:v>
                      </c:pt>
                      <c:pt idx="520">
                        <c:v>21.282</c:v>
                      </c:pt>
                      <c:pt idx="521">
                        <c:v>21.282</c:v>
                      </c:pt>
                      <c:pt idx="522">
                        <c:v>21.282</c:v>
                      </c:pt>
                      <c:pt idx="523">
                        <c:v>21.282</c:v>
                      </c:pt>
                      <c:pt idx="524">
                        <c:v>21.187000000000001</c:v>
                      </c:pt>
                      <c:pt idx="525">
                        <c:v>21.187000000000001</c:v>
                      </c:pt>
                      <c:pt idx="526">
                        <c:v>21.187000000000001</c:v>
                      </c:pt>
                      <c:pt idx="527">
                        <c:v>21.091000000000001</c:v>
                      </c:pt>
                      <c:pt idx="528">
                        <c:v>21.091000000000001</c:v>
                      </c:pt>
                      <c:pt idx="529">
                        <c:v>21.091000000000001</c:v>
                      </c:pt>
                      <c:pt idx="530">
                        <c:v>21.091000000000001</c:v>
                      </c:pt>
                      <c:pt idx="531">
                        <c:v>21.091000000000001</c:v>
                      </c:pt>
                      <c:pt idx="532">
                        <c:v>20.995999999999999</c:v>
                      </c:pt>
                      <c:pt idx="533">
                        <c:v>20.995999999999999</c:v>
                      </c:pt>
                      <c:pt idx="534">
                        <c:v>20.995999999999999</c:v>
                      </c:pt>
                      <c:pt idx="535">
                        <c:v>20.995999999999999</c:v>
                      </c:pt>
                      <c:pt idx="536">
                        <c:v>20.995999999999999</c:v>
                      </c:pt>
                      <c:pt idx="537">
                        <c:v>20.901</c:v>
                      </c:pt>
                      <c:pt idx="538">
                        <c:v>20.901</c:v>
                      </c:pt>
                      <c:pt idx="539">
                        <c:v>20.901</c:v>
                      </c:pt>
                      <c:pt idx="540">
                        <c:v>20.805</c:v>
                      </c:pt>
                      <c:pt idx="541">
                        <c:v>20.805</c:v>
                      </c:pt>
                      <c:pt idx="542">
                        <c:v>20.71</c:v>
                      </c:pt>
                      <c:pt idx="543">
                        <c:v>20.614999999999998</c:v>
                      </c:pt>
                      <c:pt idx="544">
                        <c:v>20.614999999999998</c:v>
                      </c:pt>
                      <c:pt idx="545">
                        <c:v>20.518999999999998</c:v>
                      </c:pt>
                      <c:pt idx="546">
                        <c:v>20.518999999999998</c:v>
                      </c:pt>
                      <c:pt idx="547">
                        <c:v>20.423999999999999</c:v>
                      </c:pt>
                      <c:pt idx="548">
                        <c:v>20.329000000000001</c:v>
                      </c:pt>
                      <c:pt idx="549">
                        <c:v>20.329000000000001</c:v>
                      </c:pt>
                      <c:pt idx="550">
                        <c:v>20.329000000000001</c:v>
                      </c:pt>
                      <c:pt idx="551">
                        <c:v>20.234000000000002</c:v>
                      </c:pt>
                      <c:pt idx="552">
                        <c:v>20.234000000000002</c:v>
                      </c:pt>
                      <c:pt idx="553">
                        <c:v>20.234000000000002</c:v>
                      </c:pt>
                      <c:pt idx="554">
                        <c:v>20.138000000000002</c:v>
                      </c:pt>
                      <c:pt idx="555">
                        <c:v>20.138000000000002</c:v>
                      </c:pt>
                      <c:pt idx="556">
                        <c:v>20.138000000000002</c:v>
                      </c:pt>
                      <c:pt idx="557">
                        <c:v>20.138000000000002</c:v>
                      </c:pt>
                      <c:pt idx="558">
                        <c:v>20.138000000000002</c:v>
                      </c:pt>
                      <c:pt idx="559">
                        <c:v>20.138000000000002</c:v>
                      </c:pt>
                      <c:pt idx="560">
                        <c:v>20.138000000000002</c:v>
                      </c:pt>
                      <c:pt idx="561">
                        <c:v>20.138000000000002</c:v>
                      </c:pt>
                      <c:pt idx="562">
                        <c:v>20.138000000000002</c:v>
                      </c:pt>
                      <c:pt idx="563">
                        <c:v>20.042999999999999</c:v>
                      </c:pt>
                      <c:pt idx="564">
                        <c:v>19.948</c:v>
                      </c:pt>
                      <c:pt idx="565">
                        <c:v>19.948</c:v>
                      </c:pt>
                      <c:pt idx="566">
                        <c:v>19.948</c:v>
                      </c:pt>
                      <c:pt idx="567">
                        <c:v>19.948</c:v>
                      </c:pt>
                      <c:pt idx="568">
                        <c:v>19.948</c:v>
                      </c:pt>
                      <c:pt idx="569">
                        <c:v>19.948</c:v>
                      </c:pt>
                      <c:pt idx="570">
                        <c:v>19.853000000000002</c:v>
                      </c:pt>
                      <c:pt idx="571">
                        <c:v>19.853000000000002</c:v>
                      </c:pt>
                      <c:pt idx="572">
                        <c:v>19.757999999999999</c:v>
                      </c:pt>
                      <c:pt idx="573">
                        <c:v>19.757999999999999</c:v>
                      </c:pt>
                      <c:pt idx="574">
                        <c:v>19.661999999999999</c:v>
                      </c:pt>
                      <c:pt idx="575">
                        <c:v>19.661999999999999</c:v>
                      </c:pt>
                      <c:pt idx="576">
                        <c:v>19.661999999999999</c:v>
                      </c:pt>
                      <c:pt idx="577">
                        <c:v>19.661999999999999</c:v>
                      </c:pt>
                      <c:pt idx="578">
                        <c:v>19.661999999999999</c:v>
                      </c:pt>
                      <c:pt idx="579">
                        <c:v>19.661999999999999</c:v>
                      </c:pt>
                      <c:pt idx="580">
                        <c:v>19.567</c:v>
                      </c:pt>
                      <c:pt idx="581">
                        <c:v>19.661999999999999</c:v>
                      </c:pt>
                      <c:pt idx="582">
                        <c:v>19.567</c:v>
                      </c:pt>
                      <c:pt idx="583">
                        <c:v>19.567</c:v>
                      </c:pt>
                      <c:pt idx="584">
                        <c:v>19.472000000000001</c:v>
                      </c:pt>
                      <c:pt idx="585">
                        <c:v>19.472000000000001</c:v>
                      </c:pt>
                      <c:pt idx="586">
                        <c:v>19.376999999999999</c:v>
                      </c:pt>
                      <c:pt idx="587">
                        <c:v>19.376999999999999</c:v>
                      </c:pt>
                      <c:pt idx="588">
                        <c:v>19.282</c:v>
                      </c:pt>
                      <c:pt idx="589">
                        <c:v>19.282</c:v>
                      </c:pt>
                      <c:pt idx="590">
                        <c:v>19.187000000000001</c:v>
                      </c:pt>
                      <c:pt idx="591">
                        <c:v>19.187000000000001</c:v>
                      </c:pt>
                      <c:pt idx="592">
                        <c:v>19.187000000000001</c:v>
                      </c:pt>
                      <c:pt idx="593">
                        <c:v>19.091999999999999</c:v>
                      </c:pt>
                      <c:pt idx="594">
                        <c:v>19.091999999999999</c:v>
                      </c:pt>
                      <c:pt idx="595">
                        <c:v>19.091999999999999</c:v>
                      </c:pt>
                      <c:pt idx="596">
                        <c:v>18.995999999999999</c:v>
                      </c:pt>
                      <c:pt idx="597">
                        <c:v>19.091999999999999</c:v>
                      </c:pt>
                      <c:pt idx="598">
                        <c:v>18.995999999999999</c:v>
                      </c:pt>
                      <c:pt idx="599">
                        <c:v>18.995999999999999</c:v>
                      </c:pt>
                      <c:pt idx="600">
                        <c:v>18.995999999999999</c:v>
                      </c:pt>
                      <c:pt idx="601">
                        <c:v>18.901</c:v>
                      </c:pt>
                      <c:pt idx="602">
                        <c:v>18.901</c:v>
                      </c:pt>
                      <c:pt idx="603">
                        <c:v>18.901</c:v>
                      </c:pt>
                      <c:pt idx="604">
                        <c:v>18.995999999999999</c:v>
                      </c:pt>
                      <c:pt idx="605">
                        <c:v>18.995999999999999</c:v>
                      </c:pt>
                      <c:pt idx="606">
                        <c:v>18.901</c:v>
                      </c:pt>
                      <c:pt idx="607">
                        <c:v>18.806000000000001</c:v>
                      </c:pt>
                      <c:pt idx="608">
                        <c:v>18.806000000000001</c:v>
                      </c:pt>
                      <c:pt idx="609">
                        <c:v>18.806000000000001</c:v>
                      </c:pt>
                      <c:pt idx="610">
                        <c:v>18.806000000000001</c:v>
                      </c:pt>
                      <c:pt idx="611">
                        <c:v>18.806000000000001</c:v>
                      </c:pt>
                      <c:pt idx="612">
                        <c:v>18.806000000000001</c:v>
                      </c:pt>
                      <c:pt idx="613">
                        <c:v>18.710999999999999</c:v>
                      </c:pt>
                      <c:pt idx="614">
                        <c:v>18.710999999999999</c:v>
                      </c:pt>
                      <c:pt idx="615">
                        <c:v>18.710999999999999</c:v>
                      </c:pt>
                      <c:pt idx="616">
                        <c:v>18.616</c:v>
                      </c:pt>
                      <c:pt idx="617">
                        <c:v>18.616</c:v>
                      </c:pt>
                      <c:pt idx="618">
                        <c:v>18.710999999999999</c:v>
                      </c:pt>
                      <c:pt idx="619">
                        <c:v>18.806000000000001</c:v>
                      </c:pt>
                      <c:pt idx="620">
                        <c:v>18.806000000000001</c:v>
                      </c:pt>
                      <c:pt idx="621">
                        <c:v>18.806000000000001</c:v>
                      </c:pt>
                      <c:pt idx="622">
                        <c:v>18.806000000000001</c:v>
                      </c:pt>
                      <c:pt idx="623">
                        <c:v>18.995999999999999</c:v>
                      </c:pt>
                      <c:pt idx="624">
                        <c:v>18.995999999999999</c:v>
                      </c:pt>
                      <c:pt idx="625">
                        <c:v>19.091999999999999</c:v>
                      </c:pt>
                      <c:pt idx="626">
                        <c:v>19.853000000000002</c:v>
                      </c:pt>
                      <c:pt idx="627">
                        <c:v>19.472000000000001</c:v>
                      </c:pt>
                      <c:pt idx="628">
                        <c:v>19.376999999999999</c:v>
                      </c:pt>
                      <c:pt idx="629">
                        <c:v>19.376999999999999</c:v>
                      </c:pt>
                      <c:pt idx="630">
                        <c:v>19.472000000000001</c:v>
                      </c:pt>
                      <c:pt idx="631">
                        <c:v>19.472000000000001</c:v>
                      </c:pt>
                      <c:pt idx="632">
                        <c:v>19.567</c:v>
                      </c:pt>
                      <c:pt idx="633">
                        <c:v>19.567</c:v>
                      </c:pt>
                      <c:pt idx="634">
                        <c:v>19.661999999999999</c:v>
                      </c:pt>
                      <c:pt idx="635">
                        <c:v>19.853000000000002</c:v>
                      </c:pt>
                      <c:pt idx="636">
                        <c:v>20.805</c:v>
                      </c:pt>
                      <c:pt idx="637">
                        <c:v>20.042999999999999</c:v>
                      </c:pt>
                      <c:pt idx="638">
                        <c:v>20.138000000000002</c:v>
                      </c:pt>
                      <c:pt idx="639">
                        <c:v>20.329000000000001</c:v>
                      </c:pt>
                      <c:pt idx="640">
                        <c:v>20.329000000000001</c:v>
                      </c:pt>
                      <c:pt idx="641">
                        <c:v>20.329000000000001</c:v>
                      </c:pt>
                      <c:pt idx="642">
                        <c:v>20.423999999999999</c:v>
                      </c:pt>
                      <c:pt idx="643">
                        <c:v>20.423999999999999</c:v>
                      </c:pt>
                      <c:pt idx="644">
                        <c:v>20.518999999999998</c:v>
                      </c:pt>
                      <c:pt idx="645">
                        <c:v>20.71</c:v>
                      </c:pt>
                      <c:pt idx="646">
                        <c:v>21.187000000000001</c:v>
                      </c:pt>
                      <c:pt idx="647">
                        <c:v>21.282</c:v>
                      </c:pt>
                      <c:pt idx="648">
                        <c:v>22.045999999999999</c:v>
                      </c:pt>
                      <c:pt idx="649">
                        <c:v>21.568999999999999</c:v>
                      </c:pt>
                      <c:pt idx="650">
                        <c:v>21.378</c:v>
                      </c:pt>
                      <c:pt idx="651">
                        <c:v>21.187000000000001</c:v>
                      </c:pt>
                      <c:pt idx="652">
                        <c:v>21.282</c:v>
                      </c:pt>
                      <c:pt idx="653">
                        <c:v>21.568999999999999</c:v>
                      </c:pt>
                      <c:pt idx="654">
                        <c:v>22.428999999999998</c:v>
                      </c:pt>
                      <c:pt idx="655">
                        <c:v>21.951000000000001</c:v>
                      </c:pt>
                      <c:pt idx="656">
                        <c:v>22.141999999999999</c:v>
                      </c:pt>
                      <c:pt idx="657">
                        <c:v>21.951000000000001</c:v>
                      </c:pt>
                      <c:pt idx="658">
                        <c:v>21.951000000000001</c:v>
                      </c:pt>
                      <c:pt idx="659">
                        <c:v>21.472999999999999</c:v>
                      </c:pt>
                      <c:pt idx="660">
                        <c:v>21.282</c:v>
                      </c:pt>
                      <c:pt idx="661">
                        <c:v>21.282</c:v>
                      </c:pt>
                      <c:pt idx="662">
                        <c:v>21.282</c:v>
                      </c:pt>
                      <c:pt idx="663">
                        <c:v>21.472999999999999</c:v>
                      </c:pt>
                      <c:pt idx="664">
                        <c:v>21.282</c:v>
                      </c:pt>
                      <c:pt idx="665">
                        <c:v>21.282</c:v>
                      </c:pt>
                      <c:pt idx="666">
                        <c:v>21.282</c:v>
                      </c:pt>
                      <c:pt idx="667">
                        <c:v>21.282</c:v>
                      </c:pt>
                      <c:pt idx="668">
                        <c:v>21.187000000000001</c:v>
                      </c:pt>
                      <c:pt idx="669">
                        <c:v>21.187000000000001</c:v>
                      </c:pt>
                      <c:pt idx="670">
                        <c:v>21.187000000000001</c:v>
                      </c:pt>
                      <c:pt idx="671">
                        <c:v>21.187000000000001</c:v>
                      </c:pt>
                      <c:pt idx="672">
                        <c:v>21.091000000000001</c:v>
                      </c:pt>
                      <c:pt idx="673">
                        <c:v>21.091000000000001</c:v>
                      </c:pt>
                      <c:pt idx="674">
                        <c:v>21.091000000000001</c:v>
                      </c:pt>
                      <c:pt idx="675">
                        <c:v>21.091000000000001</c:v>
                      </c:pt>
                      <c:pt idx="676">
                        <c:v>20.995999999999999</c:v>
                      </c:pt>
                      <c:pt idx="677">
                        <c:v>20.995999999999999</c:v>
                      </c:pt>
                      <c:pt idx="678">
                        <c:v>20.995999999999999</c:v>
                      </c:pt>
                      <c:pt idx="679">
                        <c:v>20.901</c:v>
                      </c:pt>
                      <c:pt idx="680">
                        <c:v>20.901</c:v>
                      </c:pt>
                      <c:pt idx="681">
                        <c:v>20.901</c:v>
                      </c:pt>
                      <c:pt idx="682">
                        <c:v>20.901</c:v>
                      </c:pt>
                      <c:pt idx="683">
                        <c:v>20.805</c:v>
                      </c:pt>
                      <c:pt idx="684">
                        <c:v>20.805</c:v>
                      </c:pt>
                      <c:pt idx="685">
                        <c:v>20.805</c:v>
                      </c:pt>
                      <c:pt idx="686">
                        <c:v>20.71</c:v>
                      </c:pt>
                      <c:pt idx="687">
                        <c:v>20.71</c:v>
                      </c:pt>
                      <c:pt idx="688">
                        <c:v>20.71</c:v>
                      </c:pt>
                      <c:pt idx="689">
                        <c:v>20.614999999999998</c:v>
                      </c:pt>
                      <c:pt idx="690">
                        <c:v>20.614999999999998</c:v>
                      </c:pt>
                      <c:pt idx="691">
                        <c:v>20.518999999999998</c:v>
                      </c:pt>
                      <c:pt idx="692">
                        <c:v>20.423999999999999</c:v>
                      </c:pt>
                      <c:pt idx="693">
                        <c:v>20.329000000000001</c:v>
                      </c:pt>
                      <c:pt idx="694">
                        <c:v>20.329000000000001</c:v>
                      </c:pt>
                      <c:pt idx="695">
                        <c:v>20.234000000000002</c:v>
                      </c:pt>
                      <c:pt idx="696">
                        <c:v>20.138000000000002</c:v>
                      </c:pt>
                      <c:pt idx="697">
                        <c:v>20.138000000000002</c:v>
                      </c:pt>
                      <c:pt idx="698">
                        <c:v>20.138000000000002</c:v>
                      </c:pt>
                      <c:pt idx="699">
                        <c:v>20.042999999999999</c:v>
                      </c:pt>
                      <c:pt idx="700">
                        <c:v>20.042999999999999</c:v>
                      </c:pt>
                      <c:pt idx="701">
                        <c:v>19.948</c:v>
                      </c:pt>
                      <c:pt idx="702">
                        <c:v>19.948</c:v>
                      </c:pt>
                      <c:pt idx="703">
                        <c:v>19.948</c:v>
                      </c:pt>
                      <c:pt idx="704">
                        <c:v>19.853000000000002</c:v>
                      </c:pt>
                      <c:pt idx="705">
                        <c:v>19.853000000000002</c:v>
                      </c:pt>
                      <c:pt idx="706">
                        <c:v>19.853000000000002</c:v>
                      </c:pt>
                      <c:pt idx="707">
                        <c:v>19.853000000000002</c:v>
                      </c:pt>
                      <c:pt idx="708">
                        <c:v>19.757999999999999</c:v>
                      </c:pt>
                      <c:pt idx="709">
                        <c:v>19.757999999999999</c:v>
                      </c:pt>
                      <c:pt idx="710">
                        <c:v>19.853000000000002</c:v>
                      </c:pt>
                      <c:pt idx="711">
                        <c:v>19.757999999999999</c:v>
                      </c:pt>
                      <c:pt idx="712">
                        <c:v>19.757999999999999</c:v>
                      </c:pt>
                      <c:pt idx="713">
                        <c:v>19.853000000000002</c:v>
                      </c:pt>
                      <c:pt idx="714">
                        <c:v>19.757999999999999</c:v>
                      </c:pt>
                      <c:pt idx="715">
                        <c:v>19.757999999999999</c:v>
                      </c:pt>
                      <c:pt idx="716">
                        <c:v>19.757999999999999</c:v>
                      </c:pt>
                      <c:pt idx="717">
                        <c:v>19.661999999999999</c:v>
                      </c:pt>
                      <c:pt idx="718">
                        <c:v>19.661999999999999</c:v>
                      </c:pt>
                      <c:pt idx="719">
                        <c:v>19.661999999999999</c:v>
                      </c:pt>
                      <c:pt idx="720">
                        <c:v>19.661999999999999</c:v>
                      </c:pt>
                      <c:pt idx="721">
                        <c:v>19.567</c:v>
                      </c:pt>
                      <c:pt idx="722">
                        <c:v>19.567</c:v>
                      </c:pt>
                      <c:pt idx="723">
                        <c:v>19.567</c:v>
                      </c:pt>
                      <c:pt idx="724">
                        <c:v>19.567</c:v>
                      </c:pt>
                      <c:pt idx="725">
                        <c:v>19.567</c:v>
                      </c:pt>
                      <c:pt idx="726">
                        <c:v>19.567</c:v>
                      </c:pt>
                      <c:pt idx="727">
                        <c:v>19.472000000000001</c:v>
                      </c:pt>
                      <c:pt idx="728">
                        <c:v>19.472000000000001</c:v>
                      </c:pt>
                      <c:pt idx="729">
                        <c:v>19.472000000000001</c:v>
                      </c:pt>
                      <c:pt idx="730">
                        <c:v>19.376999999999999</c:v>
                      </c:pt>
                      <c:pt idx="731">
                        <c:v>19.376999999999999</c:v>
                      </c:pt>
                      <c:pt idx="732">
                        <c:v>19.376999999999999</c:v>
                      </c:pt>
                      <c:pt idx="733">
                        <c:v>19.376999999999999</c:v>
                      </c:pt>
                      <c:pt idx="734">
                        <c:v>19.472000000000001</c:v>
                      </c:pt>
                      <c:pt idx="735">
                        <c:v>19.376999999999999</c:v>
                      </c:pt>
                      <c:pt idx="736">
                        <c:v>19.376999999999999</c:v>
                      </c:pt>
                      <c:pt idx="737">
                        <c:v>19.282</c:v>
                      </c:pt>
                      <c:pt idx="738">
                        <c:v>19.187000000000001</c:v>
                      </c:pt>
                      <c:pt idx="739">
                        <c:v>19.187000000000001</c:v>
                      </c:pt>
                      <c:pt idx="740">
                        <c:v>19.187000000000001</c:v>
                      </c:pt>
                      <c:pt idx="741">
                        <c:v>19.187000000000001</c:v>
                      </c:pt>
                      <c:pt idx="742">
                        <c:v>19.187000000000001</c:v>
                      </c:pt>
                      <c:pt idx="743">
                        <c:v>19.187000000000001</c:v>
                      </c:pt>
                      <c:pt idx="744">
                        <c:v>19.091999999999999</c:v>
                      </c:pt>
                      <c:pt idx="745">
                        <c:v>18.995999999999999</c:v>
                      </c:pt>
                      <c:pt idx="746">
                        <c:v>18.995999999999999</c:v>
                      </c:pt>
                      <c:pt idx="747">
                        <c:v>19.091999999999999</c:v>
                      </c:pt>
                      <c:pt idx="748">
                        <c:v>19.091999999999999</c:v>
                      </c:pt>
                      <c:pt idx="749">
                        <c:v>18.995999999999999</c:v>
                      </c:pt>
                      <c:pt idx="750">
                        <c:v>18.995999999999999</c:v>
                      </c:pt>
                      <c:pt idx="751">
                        <c:v>19.091999999999999</c:v>
                      </c:pt>
                      <c:pt idx="752">
                        <c:v>18.995999999999999</c:v>
                      </c:pt>
                      <c:pt idx="753">
                        <c:v>18.995999999999999</c:v>
                      </c:pt>
                      <c:pt idx="754">
                        <c:v>18.995999999999999</c:v>
                      </c:pt>
                      <c:pt idx="755">
                        <c:v>18.901</c:v>
                      </c:pt>
                      <c:pt idx="756">
                        <c:v>18.995999999999999</c:v>
                      </c:pt>
                      <c:pt idx="757">
                        <c:v>18.901</c:v>
                      </c:pt>
                      <c:pt idx="758">
                        <c:v>18.806000000000001</c:v>
                      </c:pt>
                      <c:pt idx="759">
                        <c:v>18.901</c:v>
                      </c:pt>
                      <c:pt idx="760">
                        <c:v>18.901</c:v>
                      </c:pt>
                      <c:pt idx="761">
                        <c:v>18.901</c:v>
                      </c:pt>
                      <c:pt idx="762">
                        <c:v>18.901</c:v>
                      </c:pt>
                      <c:pt idx="763">
                        <c:v>18.995999999999999</c:v>
                      </c:pt>
                      <c:pt idx="764">
                        <c:v>18.995999999999999</c:v>
                      </c:pt>
                      <c:pt idx="765">
                        <c:v>18.901</c:v>
                      </c:pt>
                      <c:pt idx="766">
                        <c:v>18.995999999999999</c:v>
                      </c:pt>
                      <c:pt idx="767">
                        <c:v>19.187000000000001</c:v>
                      </c:pt>
                      <c:pt idx="768">
                        <c:v>19.187000000000001</c:v>
                      </c:pt>
                      <c:pt idx="769">
                        <c:v>19.187000000000001</c:v>
                      </c:pt>
                      <c:pt idx="770">
                        <c:v>19.661999999999999</c:v>
                      </c:pt>
                      <c:pt idx="771">
                        <c:v>19.376999999999999</c:v>
                      </c:pt>
                      <c:pt idx="772">
                        <c:v>19.472000000000001</c:v>
                      </c:pt>
                      <c:pt idx="773">
                        <c:v>19.472000000000001</c:v>
                      </c:pt>
                      <c:pt idx="774">
                        <c:v>19.472000000000001</c:v>
                      </c:pt>
                      <c:pt idx="775">
                        <c:v>19.567</c:v>
                      </c:pt>
                      <c:pt idx="776">
                        <c:v>19.661999999999999</c:v>
                      </c:pt>
                      <c:pt idx="777">
                        <c:v>19.661999999999999</c:v>
                      </c:pt>
                      <c:pt idx="778">
                        <c:v>19.757999999999999</c:v>
                      </c:pt>
                      <c:pt idx="779">
                        <c:v>19.948</c:v>
                      </c:pt>
                      <c:pt idx="780">
                        <c:v>21.091000000000001</c:v>
                      </c:pt>
                      <c:pt idx="781">
                        <c:v>20.329000000000001</c:v>
                      </c:pt>
                      <c:pt idx="782">
                        <c:v>20.329000000000001</c:v>
                      </c:pt>
                      <c:pt idx="783">
                        <c:v>20.423999999999999</c:v>
                      </c:pt>
                      <c:pt idx="784">
                        <c:v>20.423999999999999</c:v>
                      </c:pt>
                      <c:pt idx="785">
                        <c:v>20.423999999999999</c:v>
                      </c:pt>
                      <c:pt idx="786">
                        <c:v>20.614999999999998</c:v>
                      </c:pt>
                      <c:pt idx="787">
                        <c:v>20.614999999999998</c:v>
                      </c:pt>
                      <c:pt idx="788">
                        <c:v>20.71</c:v>
                      </c:pt>
                      <c:pt idx="789">
                        <c:v>20.995999999999999</c:v>
                      </c:pt>
                      <c:pt idx="790">
                        <c:v>20.995999999999999</c:v>
                      </c:pt>
                      <c:pt idx="791">
                        <c:v>21.091000000000001</c:v>
                      </c:pt>
                      <c:pt idx="792">
                        <c:v>21.855</c:v>
                      </c:pt>
                      <c:pt idx="793">
                        <c:v>21.378</c:v>
                      </c:pt>
                      <c:pt idx="794">
                        <c:v>21.091000000000001</c:v>
                      </c:pt>
                      <c:pt idx="795">
                        <c:v>20.995999999999999</c:v>
                      </c:pt>
                      <c:pt idx="796">
                        <c:v>21.472999999999999</c:v>
                      </c:pt>
                      <c:pt idx="797">
                        <c:v>22.045999999999999</c:v>
                      </c:pt>
                      <c:pt idx="798">
                        <c:v>22.238</c:v>
                      </c:pt>
                      <c:pt idx="799">
                        <c:v>21.951000000000001</c:v>
                      </c:pt>
                      <c:pt idx="800">
                        <c:v>22.141999999999999</c:v>
                      </c:pt>
                      <c:pt idx="801">
                        <c:v>21.855</c:v>
                      </c:pt>
                      <c:pt idx="802">
                        <c:v>22.045999999999999</c:v>
                      </c:pt>
                      <c:pt idx="803">
                        <c:v>21.472999999999999</c:v>
                      </c:pt>
                      <c:pt idx="804">
                        <c:v>21.472999999999999</c:v>
                      </c:pt>
                      <c:pt idx="805">
                        <c:v>21.378</c:v>
                      </c:pt>
                      <c:pt idx="806">
                        <c:v>21.472999999999999</c:v>
                      </c:pt>
                      <c:pt idx="807">
                        <c:v>21.664000000000001</c:v>
                      </c:pt>
                      <c:pt idx="808">
                        <c:v>21.472999999999999</c:v>
                      </c:pt>
                      <c:pt idx="809">
                        <c:v>21.378</c:v>
                      </c:pt>
                      <c:pt idx="810">
                        <c:v>21.378</c:v>
                      </c:pt>
                      <c:pt idx="811">
                        <c:v>21.378</c:v>
                      </c:pt>
                      <c:pt idx="812">
                        <c:v>21.378</c:v>
                      </c:pt>
                      <c:pt idx="813">
                        <c:v>21.378</c:v>
                      </c:pt>
                      <c:pt idx="814">
                        <c:v>21.282</c:v>
                      </c:pt>
                      <c:pt idx="815">
                        <c:v>21.282</c:v>
                      </c:pt>
                      <c:pt idx="816">
                        <c:v>21.282</c:v>
                      </c:pt>
                      <c:pt idx="817">
                        <c:v>21.282</c:v>
                      </c:pt>
                      <c:pt idx="818">
                        <c:v>21.282</c:v>
                      </c:pt>
                      <c:pt idx="819">
                        <c:v>21.187000000000001</c:v>
                      </c:pt>
                      <c:pt idx="820">
                        <c:v>21.187000000000001</c:v>
                      </c:pt>
                      <c:pt idx="821">
                        <c:v>21.187000000000001</c:v>
                      </c:pt>
                      <c:pt idx="822">
                        <c:v>21.091000000000001</c:v>
                      </c:pt>
                      <c:pt idx="823">
                        <c:v>21.091000000000001</c:v>
                      </c:pt>
                      <c:pt idx="824">
                        <c:v>21.091000000000001</c:v>
                      </c:pt>
                      <c:pt idx="825">
                        <c:v>21.091000000000001</c:v>
                      </c:pt>
                      <c:pt idx="826">
                        <c:v>21.091000000000001</c:v>
                      </c:pt>
                      <c:pt idx="827">
                        <c:v>20.995999999999999</c:v>
                      </c:pt>
                      <c:pt idx="828">
                        <c:v>20.995999999999999</c:v>
                      </c:pt>
                      <c:pt idx="829">
                        <c:v>20.995999999999999</c:v>
                      </c:pt>
                      <c:pt idx="830">
                        <c:v>20.995999999999999</c:v>
                      </c:pt>
                      <c:pt idx="831">
                        <c:v>20.901</c:v>
                      </c:pt>
                      <c:pt idx="832">
                        <c:v>20.901</c:v>
                      </c:pt>
                      <c:pt idx="833">
                        <c:v>20.901</c:v>
                      </c:pt>
                      <c:pt idx="834">
                        <c:v>20.901</c:v>
                      </c:pt>
                      <c:pt idx="835">
                        <c:v>20.805</c:v>
                      </c:pt>
                      <c:pt idx="836">
                        <c:v>20.805</c:v>
                      </c:pt>
                      <c:pt idx="837">
                        <c:v>20.805</c:v>
                      </c:pt>
                      <c:pt idx="838">
                        <c:v>20.71</c:v>
                      </c:pt>
                      <c:pt idx="839">
                        <c:v>20.71</c:v>
                      </c:pt>
                      <c:pt idx="840">
                        <c:v>20.614999999999998</c:v>
                      </c:pt>
                      <c:pt idx="841">
                        <c:v>20.614999999999998</c:v>
                      </c:pt>
                      <c:pt idx="842">
                        <c:v>20.518999999999998</c:v>
                      </c:pt>
                      <c:pt idx="843">
                        <c:v>20.518999999999998</c:v>
                      </c:pt>
                      <c:pt idx="844">
                        <c:v>20.518999999999998</c:v>
                      </c:pt>
                      <c:pt idx="845">
                        <c:v>20.423999999999999</c:v>
                      </c:pt>
                      <c:pt idx="846">
                        <c:v>20.423999999999999</c:v>
                      </c:pt>
                      <c:pt idx="847">
                        <c:v>20.423999999999999</c:v>
                      </c:pt>
                      <c:pt idx="848">
                        <c:v>20.423999999999999</c:v>
                      </c:pt>
                      <c:pt idx="849">
                        <c:v>20.329000000000001</c:v>
                      </c:pt>
                      <c:pt idx="850">
                        <c:v>20.329000000000001</c:v>
                      </c:pt>
                      <c:pt idx="851">
                        <c:v>20.329000000000001</c:v>
                      </c:pt>
                      <c:pt idx="852">
                        <c:v>20.234000000000002</c:v>
                      </c:pt>
                      <c:pt idx="853">
                        <c:v>20.234000000000002</c:v>
                      </c:pt>
                      <c:pt idx="854">
                        <c:v>20.234000000000002</c:v>
                      </c:pt>
                      <c:pt idx="855">
                        <c:v>20.138000000000002</c:v>
                      </c:pt>
                      <c:pt idx="856">
                        <c:v>20.042999999999999</c:v>
                      </c:pt>
                      <c:pt idx="857">
                        <c:v>20.042999999999999</c:v>
                      </c:pt>
                      <c:pt idx="858">
                        <c:v>20.042999999999999</c:v>
                      </c:pt>
                      <c:pt idx="859">
                        <c:v>20.042999999999999</c:v>
                      </c:pt>
                      <c:pt idx="860">
                        <c:v>20.042999999999999</c:v>
                      </c:pt>
                      <c:pt idx="861">
                        <c:v>20.138000000000002</c:v>
                      </c:pt>
                      <c:pt idx="862">
                        <c:v>20.042999999999999</c:v>
                      </c:pt>
                      <c:pt idx="863">
                        <c:v>20.042999999999999</c:v>
                      </c:pt>
                      <c:pt idx="864">
                        <c:v>19.948</c:v>
                      </c:pt>
                      <c:pt idx="865">
                        <c:v>19.948</c:v>
                      </c:pt>
                      <c:pt idx="866">
                        <c:v>19.948</c:v>
                      </c:pt>
                      <c:pt idx="867">
                        <c:v>19.948</c:v>
                      </c:pt>
                      <c:pt idx="868">
                        <c:v>19.948</c:v>
                      </c:pt>
                      <c:pt idx="869">
                        <c:v>19.853000000000002</c:v>
                      </c:pt>
                      <c:pt idx="870">
                        <c:v>19.853000000000002</c:v>
                      </c:pt>
                      <c:pt idx="871">
                        <c:v>19.853000000000002</c:v>
                      </c:pt>
                      <c:pt idx="872">
                        <c:v>19.853000000000002</c:v>
                      </c:pt>
                      <c:pt idx="873">
                        <c:v>19.853000000000002</c:v>
                      </c:pt>
                      <c:pt idx="874">
                        <c:v>19.853000000000002</c:v>
                      </c:pt>
                      <c:pt idx="875">
                        <c:v>19.757999999999999</c:v>
                      </c:pt>
                      <c:pt idx="876">
                        <c:v>19.757999999999999</c:v>
                      </c:pt>
                      <c:pt idx="877">
                        <c:v>19.757999999999999</c:v>
                      </c:pt>
                      <c:pt idx="878">
                        <c:v>19.757999999999999</c:v>
                      </c:pt>
                      <c:pt idx="879">
                        <c:v>19.661999999999999</c:v>
                      </c:pt>
                      <c:pt idx="880">
                        <c:v>19.661999999999999</c:v>
                      </c:pt>
                      <c:pt idx="881">
                        <c:v>19.567</c:v>
                      </c:pt>
                      <c:pt idx="882">
                        <c:v>19.567</c:v>
                      </c:pt>
                      <c:pt idx="883">
                        <c:v>19.661999999999999</c:v>
                      </c:pt>
                      <c:pt idx="884">
                        <c:v>19.472000000000001</c:v>
                      </c:pt>
                      <c:pt idx="885">
                        <c:v>19.472000000000001</c:v>
                      </c:pt>
                      <c:pt idx="886">
                        <c:v>19.472000000000001</c:v>
                      </c:pt>
                      <c:pt idx="887">
                        <c:v>19.376999999999999</c:v>
                      </c:pt>
                      <c:pt idx="888">
                        <c:v>19.376999999999999</c:v>
                      </c:pt>
                      <c:pt idx="889">
                        <c:v>19.376999999999999</c:v>
                      </c:pt>
                      <c:pt idx="890">
                        <c:v>19.376999999999999</c:v>
                      </c:pt>
                      <c:pt idx="891">
                        <c:v>19.282</c:v>
                      </c:pt>
                      <c:pt idx="892">
                        <c:v>19.282</c:v>
                      </c:pt>
                      <c:pt idx="893">
                        <c:v>19.187000000000001</c:v>
                      </c:pt>
                      <c:pt idx="894">
                        <c:v>19.187000000000001</c:v>
                      </c:pt>
                      <c:pt idx="895">
                        <c:v>19.187000000000001</c:v>
                      </c:pt>
                      <c:pt idx="896">
                        <c:v>19.187000000000001</c:v>
                      </c:pt>
                      <c:pt idx="897">
                        <c:v>19.187000000000001</c:v>
                      </c:pt>
                      <c:pt idx="898">
                        <c:v>19.187000000000001</c:v>
                      </c:pt>
                      <c:pt idx="899">
                        <c:v>19.091999999999999</c:v>
                      </c:pt>
                      <c:pt idx="900">
                        <c:v>19.091999999999999</c:v>
                      </c:pt>
                      <c:pt idx="901">
                        <c:v>19.091999999999999</c:v>
                      </c:pt>
                      <c:pt idx="902">
                        <c:v>19.091999999999999</c:v>
                      </c:pt>
                      <c:pt idx="903">
                        <c:v>19.091999999999999</c:v>
                      </c:pt>
                      <c:pt idx="904">
                        <c:v>19.091999999999999</c:v>
                      </c:pt>
                      <c:pt idx="905">
                        <c:v>19.091999999999999</c:v>
                      </c:pt>
                      <c:pt idx="906">
                        <c:v>19.091999999999999</c:v>
                      </c:pt>
                      <c:pt idx="907">
                        <c:v>19.187000000000001</c:v>
                      </c:pt>
                      <c:pt idx="908">
                        <c:v>19.187000000000001</c:v>
                      </c:pt>
                      <c:pt idx="909">
                        <c:v>19.187000000000001</c:v>
                      </c:pt>
                      <c:pt idx="910">
                        <c:v>19.187000000000001</c:v>
                      </c:pt>
                      <c:pt idx="911">
                        <c:v>19.376999999999999</c:v>
                      </c:pt>
                      <c:pt idx="912">
                        <c:v>19.376999999999999</c:v>
                      </c:pt>
                      <c:pt idx="913">
                        <c:v>19.376999999999999</c:v>
                      </c:pt>
                      <c:pt idx="914">
                        <c:v>19.567</c:v>
                      </c:pt>
                      <c:pt idx="915">
                        <c:v>19.661999999999999</c:v>
                      </c:pt>
                      <c:pt idx="916">
                        <c:v>19.661999999999999</c:v>
                      </c:pt>
                      <c:pt idx="917">
                        <c:v>19.661999999999999</c:v>
                      </c:pt>
                      <c:pt idx="918">
                        <c:v>19.757999999999999</c:v>
                      </c:pt>
                      <c:pt idx="919">
                        <c:v>19.853000000000002</c:v>
                      </c:pt>
                      <c:pt idx="920">
                        <c:v>19.853000000000002</c:v>
                      </c:pt>
                      <c:pt idx="921">
                        <c:v>19.948</c:v>
                      </c:pt>
                      <c:pt idx="922">
                        <c:v>20.234000000000002</c:v>
                      </c:pt>
                      <c:pt idx="923">
                        <c:v>20.329000000000001</c:v>
                      </c:pt>
                      <c:pt idx="924">
                        <c:v>21.472999999999999</c:v>
                      </c:pt>
                      <c:pt idx="925">
                        <c:v>20.518999999999998</c:v>
                      </c:pt>
                      <c:pt idx="926">
                        <c:v>20.518999999999998</c:v>
                      </c:pt>
                      <c:pt idx="927">
                        <c:v>20.518999999999998</c:v>
                      </c:pt>
                      <c:pt idx="928">
                        <c:v>20.71</c:v>
                      </c:pt>
                      <c:pt idx="929">
                        <c:v>20.71</c:v>
                      </c:pt>
                      <c:pt idx="930">
                        <c:v>21.091000000000001</c:v>
                      </c:pt>
                      <c:pt idx="931">
                        <c:v>21.091000000000001</c:v>
                      </c:pt>
                      <c:pt idx="932">
                        <c:v>21.091000000000001</c:v>
                      </c:pt>
                      <c:pt idx="933">
                        <c:v>21.282</c:v>
                      </c:pt>
                      <c:pt idx="934">
                        <c:v>21.282</c:v>
                      </c:pt>
                      <c:pt idx="935">
                        <c:v>21.472999999999999</c:v>
                      </c:pt>
                      <c:pt idx="936">
                        <c:v>21.472999999999999</c:v>
                      </c:pt>
                      <c:pt idx="937">
                        <c:v>21.472999999999999</c:v>
                      </c:pt>
                      <c:pt idx="938">
                        <c:v>21.472999999999999</c:v>
                      </c:pt>
                      <c:pt idx="939">
                        <c:v>21.472999999999999</c:v>
                      </c:pt>
                      <c:pt idx="940">
                        <c:v>21.664000000000001</c:v>
                      </c:pt>
                      <c:pt idx="941">
                        <c:v>22.238</c:v>
                      </c:pt>
                      <c:pt idx="942">
                        <c:v>21.855</c:v>
                      </c:pt>
                      <c:pt idx="943">
                        <c:v>21.664000000000001</c:v>
                      </c:pt>
                      <c:pt idx="944">
                        <c:v>22.045999999999999</c:v>
                      </c:pt>
                      <c:pt idx="945">
                        <c:v>21.951000000000001</c:v>
                      </c:pt>
                      <c:pt idx="946">
                        <c:v>21.664000000000001</c:v>
                      </c:pt>
                      <c:pt idx="947">
                        <c:v>21.664000000000001</c:v>
                      </c:pt>
                      <c:pt idx="948">
                        <c:v>21.568999999999999</c:v>
                      </c:pt>
                      <c:pt idx="949">
                        <c:v>21.568999999999999</c:v>
                      </c:pt>
                      <c:pt idx="950">
                        <c:v>21.568999999999999</c:v>
                      </c:pt>
                      <c:pt idx="951">
                        <c:v>21.568999999999999</c:v>
                      </c:pt>
                      <c:pt idx="952">
                        <c:v>21.472999999999999</c:v>
                      </c:pt>
                      <c:pt idx="953">
                        <c:v>21.378</c:v>
                      </c:pt>
                      <c:pt idx="954">
                        <c:v>21.378</c:v>
                      </c:pt>
                      <c:pt idx="955">
                        <c:v>21.378</c:v>
                      </c:pt>
                      <c:pt idx="956">
                        <c:v>21.378</c:v>
                      </c:pt>
                      <c:pt idx="957">
                        <c:v>21.282</c:v>
                      </c:pt>
                      <c:pt idx="958">
                        <c:v>21.378</c:v>
                      </c:pt>
                      <c:pt idx="959">
                        <c:v>21.282</c:v>
                      </c:pt>
                      <c:pt idx="960">
                        <c:v>21.282</c:v>
                      </c:pt>
                      <c:pt idx="961">
                        <c:v>21.282</c:v>
                      </c:pt>
                      <c:pt idx="962">
                        <c:v>21.282</c:v>
                      </c:pt>
                      <c:pt idx="963">
                        <c:v>21.282</c:v>
                      </c:pt>
                      <c:pt idx="964">
                        <c:v>21.187000000000001</c:v>
                      </c:pt>
                      <c:pt idx="965">
                        <c:v>21.187000000000001</c:v>
                      </c:pt>
                      <c:pt idx="966">
                        <c:v>21.187000000000001</c:v>
                      </c:pt>
                      <c:pt idx="967">
                        <c:v>21.091000000000001</c:v>
                      </c:pt>
                      <c:pt idx="968">
                        <c:v>21.091000000000001</c:v>
                      </c:pt>
                      <c:pt idx="969">
                        <c:v>20.995999999999999</c:v>
                      </c:pt>
                      <c:pt idx="970">
                        <c:v>20.995999999999999</c:v>
                      </c:pt>
                      <c:pt idx="971">
                        <c:v>20.901</c:v>
                      </c:pt>
                      <c:pt idx="972">
                        <c:v>20.901</c:v>
                      </c:pt>
                      <c:pt idx="973">
                        <c:v>20.901</c:v>
                      </c:pt>
                      <c:pt idx="974">
                        <c:v>20.901</c:v>
                      </c:pt>
                      <c:pt idx="975">
                        <c:v>20.901</c:v>
                      </c:pt>
                      <c:pt idx="976">
                        <c:v>20.901</c:v>
                      </c:pt>
                      <c:pt idx="977">
                        <c:v>20.901</c:v>
                      </c:pt>
                      <c:pt idx="978">
                        <c:v>20.901</c:v>
                      </c:pt>
                      <c:pt idx="979">
                        <c:v>20.901</c:v>
                      </c:pt>
                      <c:pt idx="980">
                        <c:v>20.901</c:v>
                      </c:pt>
                      <c:pt idx="981">
                        <c:v>20.805</c:v>
                      </c:pt>
                      <c:pt idx="982">
                        <c:v>20.805</c:v>
                      </c:pt>
                      <c:pt idx="983">
                        <c:v>20.805</c:v>
                      </c:pt>
                      <c:pt idx="984">
                        <c:v>20.71</c:v>
                      </c:pt>
                      <c:pt idx="985">
                        <c:v>20.71</c:v>
                      </c:pt>
                      <c:pt idx="986">
                        <c:v>20.71</c:v>
                      </c:pt>
                      <c:pt idx="987">
                        <c:v>20.614999999999998</c:v>
                      </c:pt>
                      <c:pt idx="988">
                        <c:v>20.614999999999998</c:v>
                      </c:pt>
                      <c:pt idx="989">
                        <c:v>20.614999999999998</c:v>
                      </c:pt>
                      <c:pt idx="990">
                        <c:v>20.518999999999998</c:v>
                      </c:pt>
                      <c:pt idx="991">
                        <c:v>20.518999999999998</c:v>
                      </c:pt>
                      <c:pt idx="992">
                        <c:v>20.518999999999998</c:v>
                      </c:pt>
                      <c:pt idx="993">
                        <c:v>20.423999999999999</c:v>
                      </c:pt>
                      <c:pt idx="994">
                        <c:v>20.423999999999999</c:v>
                      </c:pt>
                      <c:pt idx="995">
                        <c:v>20.423999999999999</c:v>
                      </c:pt>
                      <c:pt idx="996">
                        <c:v>20.423999999999999</c:v>
                      </c:pt>
                      <c:pt idx="997">
                        <c:v>20.329000000000001</c:v>
                      </c:pt>
                      <c:pt idx="998">
                        <c:v>20.329000000000001</c:v>
                      </c:pt>
                      <c:pt idx="999">
                        <c:v>20.329000000000001</c:v>
                      </c:pt>
                      <c:pt idx="1000">
                        <c:v>20.329000000000001</c:v>
                      </c:pt>
                      <c:pt idx="1001">
                        <c:v>20.234000000000002</c:v>
                      </c:pt>
                      <c:pt idx="1002">
                        <c:v>20.234000000000002</c:v>
                      </c:pt>
                      <c:pt idx="1003">
                        <c:v>20.234000000000002</c:v>
                      </c:pt>
                      <c:pt idx="1004">
                        <c:v>20.234000000000002</c:v>
                      </c:pt>
                      <c:pt idx="1005">
                        <c:v>20.138000000000002</c:v>
                      </c:pt>
                      <c:pt idx="1006">
                        <c:v>20.138000000000002</c:v>
                      </c:pt>
                      <c:pt idx="1007">
                        <c:v>20.042999999999999</c:v>
                      </c:pt>
                      <c:pt idx="1008">
                        <c:v>20.042999999999999</c:v>
                      </c:pt>
                      <c:pt idx="1009">
                        <c:v>20.042999999999999</c:v>
                      </c:pt>
                      <c:pt idx="1010">
                        <c:v>20.042999999999999</c:v>
                      </c:pt>
                      <c:pt idx="1011">
                        <c:v>20.042999999999999</c:v>
                      </c:pt>
                      <c:pt idx="1012">
                        <c:v>20.042999999999999</c:v>
                      </c:pt>
                      <c:pt idx="1013">
                        <c:v>20.042999999999999</c:v>
                      </c:pt>
                      <c:pt idx="1014">
                        <c:v>19.948</c:v>
                      </c:pt>
                      <c:pt idx="1015">
                        <c:v>19.948</c:v>
                      </c:pt>
                      <c:pt idx="1016">
                        <c:v>20.042999999999999</c:v>
                      </c:pt>
                      <c:pt idx="1017">
                        <c:v>19.948</c:v>
                      </c:pt>
                      <c:pt idx="1018">
                        <c:v>19.948</c:v>
                      </c:pt>
                      <c:pt idx="1019">
                        <c:v>19.948</c:v>
                      </c:pt>
                      <c:pt idx="1020">
                        <c:v>19.948</c:v>
                      </c:pt>
                      <c:pt idx="1021">
                        <c:v>19.948</c:v>
                      </c:pt>
                      <c:pt idx="1022">
                        <c:v>19.948</c:v>
                      </c:pt>
                      <c:pt idx="1023">
                        <c:v>19.948</c:v>
                      </c:pt>
                      <c:pt idx="1024">
                        <c:v>19.948</c:v>
                      </c:pt>
                      <c:pt idx="1025">
                        <c:v>19.853000000000002</c:v>
                      </c:pt>
                      <c:pt idx="1026">
                        <c:v>19.853000000000002</c:v>
                      </c:pt>
                      <c:pt idx="1027">
                        <c:v>19.853000000000002</c:v>
                      </c:pt>
                      <c:pt idx="1028">
                        <c:v>19.853000000000002</c:v>
                      </c:pt>
                      <c:pt idx="1029">
                        <c:v>19.757999999999999</c:v>
                      </c:pt>
                      <c:pt idx="1030">
                        <c:v>19.757999999999999</c:v>
                      </c:pt>
                      <c:pt idx="1031">
                        <c:v>19.757999999999999</c:v>
                      </c:pt>
                      <c:pt idx="1032">
                        <c:v>19.757999999999999</c:v>
                      </c:pt>
                      <c:pt idx="1033">
                        <c:v>19.661999999999999</c:v>
                      </c:pt>
                      <c:pt idx="1034">
                        <c:v>19.661999999999999</c:v>
                      </c:pt>
                      <c:pt idx="1035">
                        <c:v>19.661999999999999</c:v>
                      </c:pt>
                      <c:pt idx="1036">
                        <c:v>19.757999999999999</c:v>
                      </c:pt>
                      <c:pt idx="1037">
                        <c:v>19.757999999999999</c:v>
                      </c:pt>
                      <c:pt idx="1038">
                        <c:v>19.757999999999999</c:v>
                      </c:pt>
                      <c:pt idx="1039">
                        <c:v>19.661999999999999</c:v>
                      </c:pt>
                      <c:pt idx="1040">
                        <c:v>19.567</c:v>
                      </c:pt>
                      <c:pt idx="1041">
                        <c:v>19.567</c:v>
                      </c:pt>
                      <c:pt idx="1042">
                        <c:v>19.567</c:v>
                      </c:pt>
                      <c:pt idx="1043">
                        <c:v>19.567</c:v>
                      </c:pt>
                      <c:pt idx="1044">
                        <c:v>19.472000000000001</c:v>
                      </c:pt>
                      <c:pt idx="1045">
                        <c:v>19.472000000000001</c:v>
                      </c:pt>
                      <c:pt idx="1046">
                        <c:v>19.472000000000001</c:v>
                      </c:pt>
                      <c:pt idx="1047">
                        <c:v>19.472000000000001</c:v>
                      </c:pt>
                      <c:pt idx="1048">
                        <c:v>19.567</c:v>
                      </c:pt>
                      <c:pt idx="1049">
                        <c:v>19.472000000000001</c:v>
                      </c:pt>
                      <c:pt idx="1050">
                        <c:v>19.472000000000001</c:v>
                      </c:pt>
                      <c:pt idx="1051">
                        <c:v>19.472000000000001</c:v>
                      </c:pt>
                      <c:pt idx="1052">
                        <c:v>19.472000000000001</c:v>
                      </c:pt>
                      <c:pt idx="1053">
                        <c:v>19.567</c:v>
                      </c:pt>
                      <c:pt idx="1054">
                        <c:v>19.567</c:v>
                      </c:pt>
                      <c:pt idx="1055">
                        <c:v>19.661999999999999</c:v>
                      </c:pt>
                      <c:pt idx="1056">
                        <c:v>19.757999999999999</c:v>
                      </c:pt>
                      <c:pt idx="1057">
                        <c:v>19.757999999999999</c:v>
                      </c:pt>
                      <c:pt idx="1058">
                        <c:v>19.853000000000002</c:v>
                      </c:pt>
                      <c:pt idx="1059">
                        <c:v>19.853000000000002</c:v>
                      </c:pt>
                      <c:pt idx="1060">
                        <c:v>19.948</c:v>
                      </c:pt>
                      <c:pt idx="1061">
                        <c:v>19.948</c:v>
                      </c:pt>
                      <c:pt idx="1062">
                        <c:v>20.042999999999999</c:v>
                      </c:pt>
                      <c:pt idx="1063">
                        <c:v>20.138000000000002</c:v>
                      </c:pt>
                      <c:pt idx="1064">
                        <c:v>20.138000000000002</c:v>
                      </c:pt>
                      <c:pt idx="1065">
                        <c:v>20.138000000000002</c:v>
                      </c:pt>
                      <c:pt idx="1066">
                        <c:v>20.71</c:v>
                      </c:pt>
                      <c:pt idx="1067">
                        <c:v>20.805</c:v>
                      </c:pt>
                      <c:pt idx="1068">
                        <c:v>21.472999999999999</c:v>
                      </c:pt>
                      <c:pt idx="1069">
                        <c:v>20.71</c:v>
                      </c:pt>
                      <c:pt idx="1070">
                        <c:v>20.71</c:v>
                      </c:pt>
                      <c:pt idx="1071">
                        <c:v>20.71</c:v>
                      </c:pt>
                      <c:pt idx="1072">
                        <c:v>20.901</c:v>
                      </c:pt>
                      <c:pt idx="1073">
                        <c:v>20.805</c:v>
                      </c:pt>
                      <c:pt idx="1074">
                        <c:v>20.995999999999999</c:v>
                      </c:pt>
                      <c:pt idx="1075">
                        <c:v>20.995999999999999</c:v>
                      </c:pt>
                      <c:pt idx="1076">
                        <c:v>21.091000000000001</c:v>
                      </c:pt>
                      <c:pt idx="1077">
                        <c:v>21.187000000000001</c:v>
                      </c:pt>
                      <c:pt idx="1078">
                        <c:v>21.187000000000001</c:v>
                      </c:pt>
                      <c:pt idx="1079">
                        <c:v>21.568999999999999</c:v>
                      </c:pt>
                      <c:pt idx="1080">
                        <c:v>21.472999999999999</c:v>
                      </c:pt>
                      <c:pt idx="1081">
                        <c:v>21.472999999999999</c:v>
                      </c:pt>
                      <c:pt idx="1082">
                        <c:v>21.568999999999999</c:v>
                      </c:pt>
                      <c:pt idx="1083">
                        <c:v>21.568999999999999</c:v>
                      </c:pt>
                      <c:pt idx="1084">
                        <c:v>21.76</c:v>
                      </c:pt>
                      <c:pt idx="1085">
                        <c:v>22.332999999999998</c:v>
                      </c:pt>
                      <c:pt idx="1086">
                        <c:v>21.855</c:v>
                      </c:pt>
                      <c:pt idx="1087">
                        <c:v>21.855</c:v>
                      </c:pt>
                      <c:pt idx="1088">
                        <c:v>21.855</c:v>
                      </c:pt>
                      <c:pt idx="1089">
                        <c:v>22.045999999999999</c:v>
                      </c:pt>
                      <c:pt idx="1090">
                        <c:v>21.855</c:v>
                      </c:pt>
                      <c:pt idx="1091">
                        <c:v>21.76</c:v>
                      </c:pt>
                      <c:pt idx="1092">
                        <c:v>21.664000000000001</c:v>
                      </c:pt>
                      <c:pt idx="1093">
                        <c:v>21.664000000000001</c:v>
                      </c:pt>
                      <c:pt idx="1094">
                        <c:v>21.664000000000001</c:v>
                      </c:pt>
                      <c:pt idx="1095">
                        <c:v>21.664000000000001</c:v>
                      </c:pt>
                      <c:pt idx="1096">
                        <c:v>21.76</c:v>
                      </c:pt>
                      <c:pt idx="1097">
                        <c:v>21.664000000000001</c:v>
                      </c:pt>
                      <c:pt idx="1098">
                        <c:v>21.664000000000001</c:v>
                      </c:pt>
                      <c:pt idx="1099">
                        <c:v>21.664000000000001</c:v>
                      </c:pt>
                      <c:pt idx="1100">
                        <c:v>21.664000000000001</c:v>
                      </c:pt>
                      <c:pt idx="1101">
                        <c:v>21.568999999999999</c:v>
                      </c:pt>
                      <c:pt idx="1102">
                        <c:v>21.568999999999999</c:v>
                      </c:pt>
                      <c:pt idx="1103">
                        <c:v>21.568999999999999</c:v>
                      </c:pt>
                      <c:pt idx="1104">
                        <c:v>21.472999999999999</c:v>
                      </c:pt>
                      <c:pt idx="1105">
                        <c:v>21.472999999999999</c:v>
                      </c:pt>
                      <c:pt idx="1106">
                        <c:v>21.472999999999999</c:v>
                      </c:pt>
                      <c:pt idx="1107">
                        <c:v>21.378</c:v>
                      </c:pt>
                      <c:pt idx="1108">
                        <c:v>21.282</c:v>
                      </c:pt>
                      <c:pt idx="1109">
                        <c:v>21.282</c:v>
                      </c:pt>
                      <c:pt idx="1110">
                        <c:v>21.282</c:v>
                      </c:pt>
                      <c:pt idx="1111">
                        <c:v>21.282</c:v>
                      </c:pt>
                      <c:pt idx="1112">
                        <c:v>21.282</c:v>
                      </c:pt>
                      <c:pt idx="1113">
                        <c:v>21.187000000000001</c:v>
                      </c:pt>
                      <c:pt idx="1114">
                        <c:v>21.187000000000001</c:v>
                      </c:pt>
                      <c:pt idx="1115">
                        <c:v>21.187000000000001</c:v>
                      </c:pt>
                      <c:pt idx="1116">
                        <c:v>21.091000000000001</c:v>
                      </c:pt>
                      <c:pt idx="1117">
                        <c:v>21.091000000000001</c:v>
                      </c:pt>
                      <c:pt idx="1118">
                        <c:v>21.091000000000001</c:v>
                      </c:pt>
                      <c:pt idx="1119">
                        <c:v>21.091000000000001</c:v>
                      </c:pt>
                      <c:pt idx="1120">
                        <c:v>21.091000000000001</c:v>
                      </c:pt>
                      <c:pt idx="1121">
                        <c:v>20.995999999999999</c:v>
                      </c:pt>
                      <c:pt idx="1122">
                        <c:v>20.995999999999999</c:v>
                      </c:pt>
                      <c:pt idx="1123">
                        <c:v>20.995999999999999</c:v>
                      </c:pt>
                      <c:pt idx="1124">
                        <c:v>20.995999999999999</c:v>
                      </c:pt>
                      <c:pt idx="1125">
                        <c:v>20.995999999999999</c:v>
                      </c:pt>
                      <c:pt idx="1126">
                        <c:v>20.995999999999999</c:v>
                      </c:pt>
                      <c:pt idx="1127">
                        <c:v>20.901</c:v>
                      </c:pt>
                      <c:pt idx="1128">
                        <c:v>20.901</c:v>
                      </c:pt>
                      <c:pt idx="1129">
                        <c:v>20.901</c:v>
                      </c:pt>
                      <c:pt idx="1130">
                        <c:v>20.901</c:v>
                      </c:pt>
                      <c:pt idx="1131">
                        <c:v>20.805</c:v>
                      </c:pt>
                      <c:pt idx="1132">
                        <c:v>20.805</c:v>
                      </c:pt>
                      <c:pt idx="1133">
                        <c:v>20.805</c:v>
                      </c:pt>
                      <c:pt idx="1134">
                        <c:v>20.805</c:v>
                      </c:pt>
                      <c:pt idx="1135">
                        <c:v>20.71</c:v>
                      </c:pt>
                      <c:pt idx="1136">
                        <c:v>20.71</c:v>
                      </c:pt>
                      <c:pt idx="1137">
                        <c:v>20.71</c:v>
                      </c:pt>
                      <c:pt idx="1138">
                        <c:v>20.614999999999998</c:v>
                      </c:pt>
                      <c:pt idx="1139">
                        <c:v>20.71</c:v>
                      </c:pt>
                      <c:pt idx="1140">
                        <c:v>20.71</c:v>
                      </c:pt>
                      <c:pt idx="1141">
                        <c:v>20.71</c:v>
                      </c:pt>
                      <c:pt idx="1142">
                        <c:v>20.71</c:v>
                      </c:pt>
                      <c:pt idx="1143">
                        <c:v>20.71</c:v>
                      </c:pt>
                      <c:pt idx="1144">
                        <c:v>20.71</c:v>
                      </c:pt>
                      <c:pt idx="1145">
                        <c:v>20.71</c:v>
                      </c:pt>
                      <c:pt idx="1146">
                        <c:v>20.71</c:v>
                      </c:pt>
                      <c:pt idx="1147">
                        <c:v>20.71</c:v>
                      </c:pt>
                      <c:pt idx="1148">
                        <c:v>20.71</c:v>
                      </c:pt>
                      <c:pt idx="1149">
                        <c:v>20.71</c:v>
                      </c:pt>
                      <c:pt idx="1150">
                        <c:v>20.71</c:v>
                      </c:pt>
                      <c:pt idx="1151">
                        <c:v>20.71</c:v>
                      </c:pt>
                      <c:pt idx="1152">
                        <c:v>20.614999999999998</c:v>
                      </c:pt>
                      <c:pt idx="1153">
                        <c:v>20.614999999999998</c:v>
                      </c:pt>
                      <c:pt idx="1154">
                        <c:v>20.614999999999998</c:v>
                      </c:pt>
                      <c:pt idx="1155">
                        <c:v>20.614999999999998</c:v>
                      </c:pt>
                      <c:pt idx="1156">
                        <c:v>20.518999999999998</c:v>
                      </c:pt>
                      <c:pt idx="1157">
                        <c:v>20.518999999999998</c:v>
                      </c:pt>
                      <c:pt idx="1158">
                        <c:v>20.518999999999998</c:v>
                      </c:pt>
                      <c:pt idx="1159">
                        <c:v>20.518999999999998</c:v>
                      </c:pt>
                      <c:pt idx="1160">
                        <c:v>20.423999999999999</c:v>
                      </c:pt>
                      <c:pt idx="1161">
                        <c:v>20.423999999999999</c:v>
                      </c:pt>
                      <c:pt idx="1162">
                        <c:v>20.423999999999999</c:v>
                      </c:pt>
                      <c:pt idx="1163">
                        <c:v>20.329000000000001</c:v>
                      </c:pt>
                      <c:pt idx="1164">
                        <c:v>20.329000000000001</c:v>
                      </c:pt>
                      <c:pt idx="1165">
                        <c:v>20.234000000000002</c:v>
                      </c:pt>
                      <c:pt idx="1166">
                        <c:v>20.138000000000002</c:v>
                      </c:pt>
                      <c:pt idx="1167">
                        <c:v>20.042999999999999</c:v>
                      </c:pt>
                      <c:pt idx="1168">
                        <c:v>20.138000000000002</c:v>
                      </c:pt>
                      <c:pt idx="1169">
                        <c:v>20.138000000000002</c:v>
                      </c:pt>
                      <c:pt idx="1170">
                        <c:v>20.042999999999999</c:v>
                      </c:pt>
                      <c:pt idx="1171">
                        <c:v>20.042999999999999</c:v>
                      </c:pt>
                      <c:pt idx="1172">
                        <c:v>20.042999999999999</c:v>
                      </c:pt>
                      <c:pt idx="1173">
                        <c:v>20.042999999999999</c:v>
                      </c:pt>
                      <c:pt idx="1174">
                        <c:v>19.948</c:v>
                      </c:pt>
                      <c:pt idx="1175">
                        <c:v>19.948</c:v>
                      </c:pt>
                      <c:pt idx="1176">
                        <c:v>19.853000000000002</c:v>
                      </c:pt>
                      <c:pt idx="1177">
                        <c:v>19.757999999999999</c:v>
                      </c:pt>
                      <c:pt idx="1178">
                        <c:v>19.757999999999999</c:v>
                      </c:pt>
                      <c:pt idx="1179">
                        <c:v>19.853000000000002</c:v>
                      </c:pt>
                      <c:pt idx="1180">
                        <c:v>19.757999999999999</c:v>
                      </c:pt>
                      <c:pt idx="1181">
                        <c:v>19.757999999999999</c:v>
                      </c:pt>
                      <c:pt idx="1182">
                        <c:v>19.853000000000002</c:v>
                      </c:pt>
                      <c:pt idx="1183">
                        <c:v>19.853000000000002</c:v>
                      </c:pt>
                      <c:pt idx="1184">
                        <c:v>19.853000000000002</c:v>
                      </c:pt>
                      <c:pt idx="1185">
                        <c:v>19.853000000000002</c:v>
                      </c:pt>
                      <c:pt idx="1186">
                        <c:v>19.661999999999999</c:v>
                      </c:pt>
                      <c:pt idx="1187">
                        <c:v>19.661999999999999</c:v>
                      </c:pt>
                      <c:pt idx="1188">
                        <c:v>19.661999999999999</c:v>
                      </c:pt>
                      <c:pt idx="1189">
                        <c:v>19.661999999999999</c:v>
                      </c:pt>
                      <c:pt idx="1190">
                        <c:v>19.567</c:v>
                      </c:pt>
                      <c:pt idx="1191">
                        <c:v>19.567</c:v>
                      </c:pt>
                      <c:pt idx="1192">
                        <c:v>19.567</c:v>
                      </c:pt>
                      <c:pt idx="1193">
                        <c:v>19.472000000000001</c:v>
                      </c:pt>
                      <c:pt idx="1194">
                        <c:v>19.567</c:v>
                      </c:pt>
                      <c:pt idx="1195">
                        <c:v>19.567</c:v>
                      </c:pt>
                      <c:pt idx="1196">
                        <c:v>19.567</c:v>
                      </c:pt>
                      <c:pt idx="1197">
                        <c:v>19.661999999999999</c:v>
                      </c:pt>
                      <c:pt idx="1198">
                        <c:v>19.661999999999999</c:v>
                      </c:pt>
                      <c:pt idx="1199">
                        <c:v>19.757999999999999</c:v>
                      </c:pt>
                      <c:pt idx="1200">
                        <c:v>19.853000000000002</c:v>
                      </c:pt>
                      <c:pt idx="1201">
                        <c:v>19.853000000000002</c:v>
                      </c:pt>
                      <c:pt idx="1202">
                        <c:v>19.853000000000002</c:v>
                      </c:pt>
                      <c:pt idx="1203">
                        <c:v>19.948</c:v>
                      </c:pt>
                      <c:pt idx="1204">
                        <c:v>20.042999999999999</c:v>
                      </c:pt>
                      <c:pt idx="1205">
                        <c:v>20.042999999999999</c:v>
                      </c:pt>
                      <c:pt idx="1206">
                        <c:v>20.042999999999999</c:v>
                      </c:pt>
                      <c:pt idx="1207">
                        <c:v>20.138000000000002</c:v>
                      </c:pt>
                      <c:pt idx="1208">
                        <c:v>20.138000000000002</c:v>
                      </c:pt>
                      <c:pt idx="1209">
                        <c:v>20.234000000000002</c:v>
                      </c:pt>
                      <c:pt idx="1210">
                        <c:v>20.518999999999998</c:v>
                      </c:pt>
                      <c:pt idx="1211">
                        <c:v>21.091000000000001</c:v>
                      </c:pt>
                      <c:pt idx="1212">
                        <c:v>21.568999999999999</c:v>
                      </c:pt>
                      <c:pt idx="1213">
                        <c:v>20.995999999999999</c:v>
                      </c:pt>
                      <c:pt idx="1214">
                        <c:v>20.901</c:v>
                      </c:pt>
                      <c:pt idx="1215">
                        <c:v>20.805</c:v>
                      </c:pt>
                      <c:pt idx="1216">
                        <c:v>20.995999999999999</c:v>
                      </c:pt>
                      <c:pt idx="1217">
                        <c:v>20.901</c:v>
                      </c:pt>
                      <c:pt idx="1218">
                        <c:v>20.901</c:v>
                      </c:pt>
                      <c:pt idx="1219">
                        <c:v>20.995999999999999</c:v>
                      </c:pt>
                      <c:pt idx="1220">
                        <c:v>21.091000000000001</c:v>
                      </c:pt>
                      <c:pt idx="1221">
                        <c:v>21.378</c:v>
                      </c:pt>
                      <c:pt idx="1222">
                        <c:v>21.187000000000001</c:v>
                      </c:pt>
                      <c:pt idx="1223">
                        <c:v>21.472999999999999</c:v>
                      </c:pt>
                      <c:pt idx="1224">
                        <c:v>21.378</c:v>
                      </c:pt>
                      <c:pt idx="1225">
                        <c:v>21.664000000000001</c:v>
                      </c:pt>
                      <c:pt idx="1226">
                        <c:v>21.568999999999999</c:v>
                      </c:pt>
                      <c:pt idx="1227">
                        <c:v>21.568999999999999</c:v>
                      </c:pt>
                      <c:pt idx="1228">
                        <c:v>21.855</c:v>
                      </c:pt>
                      <c:pt idx="1229">
                        <c:v>22.238</c:v>
                      </c:pt>
                      <c:pt idx="1230">
                        <c:v>21.951000000000001</c:v>
                      </c:pt>
                      <c:pt idx="1231">
                        <c:v>22.045999999999999</c:v>
                      </c:pt>
                      <c:pt idx="1232">
                        <c:v>21.855</c:v>
                      </c:pt>
                      <c:pt idx="1233">
                        <c:v>22.141999999999999</c:v>
                      </c:pt>
                      <c:pt idx="1234">
                        <c:v>21.855</c:v>
                      </c:pt>
                      <c:pt idx="1235">
                        <c:v>21.855</c:v>
                      </c:pt>
                      <c:pt idx="1236">
                        <c:v>21.664000000000001</c:v>
                      </c:pt>
                      <c:pt idx="1237">
                        <c:v>21.664000000000001</c:v>
                      </c:pt>
                      <c:pt idx="1238">
                        <c:v>21.76</c:v>
                      </c:pt>
                      <c:pt idx="1239">
                        <c:v>21.76</c:v>
                      </c:pt>
                      <c:pt idx="1240">
                        <c:v>21.855</c:v>
                      </c:pt>
                      <c:pt idx="1241">
                        <c:v>21.76</c:v>
                      </c:pt>
                      <c:pt idx="1242">
                        <c:v>21.664000000000001</c:v>
                      </c:pt>
                      <c:pt idx="1243">
                        <c:v>21.76</c:v>
                      </c:pt>
                      <c:pt idx="1244">
                        <c:v>21.664000000000001</c:v>
                      </c:pt>
                      <c:pt idx="1245">
                        <c:v>21.664000000000001</c:v>
                      </c:pt>
                      <c:pt idx="1246">
                        <c:v>21.568999999999999</c:v>
                      </c:pt>
                      <c:pt idx="1247">
                        <c:v>21.568999999999999</c:v>
                      </c:pt>
                      <c:pt idx="1248">
                        <c:v>21.472999999999999</c:v>
                      </c:pt>
                      <c:pt idx="1249">
                        <c:v>21.472999999999999</c:v>
                      </c:pt>
                      <c:pt idx="1250">
                        <c:v>21.472999999999999</c:v>
                      </c:pt>
                      <c:pt idx="1251">
                        <c:v>21.378</c:v>
                      </c:pt>
                      <c:pt idx="1252">
                        <c:v>21.378</c:v>
                      </c:pt>
                      <c:pt idx="1253">
                        <c:v>21.378</c:v>
                      </c:pt>
                      <c:pt idx="1254">
                        <c:v>21.378</c:v>
                      </c:pt>
                      <c:pt idx="1255">
                        <c:v>21.282</c:v>
                      </c:pt>
                      <c:pt idx="1256">
                        <c:v>21.282</c:v>
                      </c:pt>
                      <c:pt idx="1257">
                        <c:v>21.282</c:v>
                      </c:pt>
                      <c:pt idx="1258">
                        <c:v>21.187000000000001</c:v>
                      </c:pt>
                      <c:pt idx="1259">
                        <c:v>21.187000000000001</c:v>
                      </c:pt>
                      <c:pt idx="1260">
                        <c:v>21.187000000000001</c:v>
                      </c:pt>
                      <c:pt idx="1261">
                        <c:v>21.187000000000001</c:v>
                      </c:pt>
                      <c:pt idx="1262">
                        <c:v>21.091000000000001</c:v>
                      </c:pt>
                      <c:pt idx="1263">
                        <c:v>21.091000000000001</c:v>
                      </c:pt>
                      <c:pt idx="1264">
                        <c:v>21.091000000000001</c:v>
                      </c:pt>
                      <c:pt idx="1265">
                        <c:v>21.091000000000001</c:v>
                      </c:pt>
                      <c:pt idx="1266">
                        <c:v>21.091000000000001</c:v>
                      </c:pt>
                      <c:pt idx="1267">
                        <c:v>21.091000000000001</c:v>
                      </c:pt>
                      <c:pt idx="1268">
                        <c:v>20.995999999999999</c:v>
                      </c:pt>
                      <c:pt idx="1269">
                        <c:v>20.995999999999999</c:v>
                      </c:pt>
                      <c:pt idx="1270">
                        <c:v>20.995999999999999</c:v>
                      </c:pt>
                      <c:pt idx="1271">
                        <c:v>20.995999999999999</c:v>
                      </c:pt>
                      <c:pt idx="1272">
                        <c:v>20.901</c:v>
                      </c:pt>
                      <c:pt idx="1273">
                        <c:v>20.901</c:v>
                      </c:pt>
                      <c:pt idx="1274">
                        <c:v>20.901</c:v>
                      </c:pt>
                      <c:pt idx="1275">
                        <c:v>20.901</c:v>
                      </c:pt>
                      <c:pt idx="1276">
                        <c:v>20.805</c:v>
                      </c:pt>
                      <c:pt idx="1277">
                        <c:v>20.805</c:v>
                      </c:pt>
                      <c:pt idx="1278">
                        <c:v>20.805</c:v>
                      </c:pt>
                      <c:pt idx="1279">
                        <c:v>20.71</c:v>
                      </c:pt>
                      <c:pt idx="1280">
                        <c:v>20.71</c:v>
                      </c:pt>
                      <c:pt idx="1281">
                        <c:v>20.71</c:v>
                      </c:pt>
                      <c:pt idx="1282">
                        <c:v>20.614999999999998</c:v>
                      </c:pt>
                      <c:pt idx="1283">
                        <c:v>20.614999999999998</c:v>
                      </c:pt>
                      <c:pt idx="1284">
                        <c:v>20.614999999999998</c:v>
                      </c:pt>
                      <c:pt idx="1285">
                        <c:v>20.614999999999998</c:v>
                      </c:pt>
                      <c:pt idx="1286">
                        <c:v>20.614999999999998</c:v>
                      </c:pt>
                      <c:pt idx="1287">
                        <c:v>20.518999999999998</c:v>
                      </c:pt>
                      <c:pt idx="1288">
                        <c:v>20.518999999999998</c:v>
                      </c:pt>
                      <c:pt idx="1289">
                        <c:v>20.423999999999999</c:v>
                      </c:pt>
                      <c:pt idx="1290">
                        <c:v>20.423999999999999</c:v>
                      </c:pt>
                      <c:pt idx="1291">
                        <c:v>20.423999999999999</c:v>
                      </c:pt>
                      <c:pt idx="1292">
                        <c:v>20.423999999999999</c:v>
                      </c:pt>
                      <c:pt idx="1293">
                        <c:v>20.423999999999999</c:v>
                      </c:pt>
                      <c:pt idx="1294">
                        <c:v>20.329000000000001</c:v>
                      </c:pt>
                      <c:pt idx="1295">
                        <c:v>20.329000000000001</c:v>
                      </c:pt>
                      <c:pt idx="1296">
                        <c:v>20.329000000000001</c:v>
                      </c:pt>
                      <c:pt idx="1297">
                        <c:v>20.234000000000002</c:v>
                      </c:pt>
                      <c:pt idx="1298">
                        <c:v>20.234000000000002</c:v>
                      </c:pt>
                      <c:pt idx="1299">
                        <c:v>20.234000000000002</c:v>
                      </c:pt>
                      <c:pt idx="1300">
                        <c:v>20.138000000000002</c:v>
                      </c:pt>
                      <c:pt idx="1301">
                        <c:v>20.042999999999999</c:v>
                      </c:pt>
                      <c:pt idx="1302">
                        <c:v>20.042999999999999</c:v>
                      </c:pt>
                      <c:pt idx="1303">
                        <c:v>20.042999999999999</c:v>
                      </c:pt>
                      <c:pt idx="1304">
                        <c:v>20.042999999999999</c:v>
                      </c:pt>
                      <c:pt idx="1305">
                        <c:v>20.042999999999999</c:v>
                      </c:pt>
                      <c:pt idx="1306">
                        <c:v>19.948</c:v>
                      </c:pt>
                      <c:pt idx="1307">
                        <c:v>19.948</c:v>
                      </c:pt>
                      <c:pt idx="1308">
                        <c:v>19.948</c:v>
                      </c:pt>
                      <c:pt idx="1309">
                        <c:v>19.948</c:v>
                      </c:pt>
                      <c:pt idx="1310">
                        <c:v>19.948</c:v>
                      </c:pt>
                      <c:pt idx="1311">
                        <c:v>19.853000000000002</c:v>
                      </c:pt>
                      <c:pt idx="1312">
                        <c:v>19.757999999999999</c:v>
                      </c:pt>
                      <c:pt idx="1313">
                        <c:v>19.757999999999999</c:v>
                      </c:pt>
                      <c:pt idx="1314">
                        <c:v>19.757999999999999</c:v>
                      </c:pt>
                      <c:pt idx="1315">
                        <c:v>19.661999999999999</c:v>
                      </c:pt>
                      <c:pt idx="1316">
                        <c:v>19.567</c:v>
                      </c:pt>
                      <c:pt idx="1317">
                        <c:v>19.567</c:v>
                      </c:pt>
                      <c:pt idx="1318">
                        <c:v>19.567</c:v>
                      </c:pt>
                      <c:pt idx="1319">
                        <c:v>19.567</c:v>
                      </c:pt>
                      <c:pt idx="1320">
                        <c:v>19.472000000000001</c:v>
                      </c:pt>
                      <c:pt idx="1321">
                        <c:v>19.472000000000001</c:v>
                      </c:pt>
                      <c:pt idx="1322">
                        <c:v>19.472000000000001</c:v>
                      </c:pt>
                      <c:pt idx="1323">
                        <c:v>19.472000000000001</c:v>
                      </c:pt>
                      <c:pt idx="1324">
                        <c:v>19.472000000000001</c:v>
                      </c:pt>
                      <c:pt idx="1325">
                        <c:v>19.376999999999999</c:v>
                      </c:pt>
                      <c:pt idx="1326">
                        <c:v>19.376999999999999</c:v>
                      </c:pt>
                      <c:pt idx="1327">
                        <c:v>19.376999999999999</c:v>
                      </c:pt>
                      <c:pt idx="1328">
                        <c:v>19.376999999999999</c:v>
                      </c:pt>
                      <c:pt idx="1329">
                        <c:v>19.376999999999999</c:v>
                      </c:pt>
                      <c:pt idx="1330">
                        <c:v>19.282</c:v>
                      </c:pt>
                      <c:pt idx="1331">
                        <c:v>19.187000000000001</c:v>
                      </c:pt>
                      <c:pt idx="1332">
                        <c:v>19.187000000000001</c:v>
                      </c:pt>
                      <c:pt idx="1333">
                        <c:v>19.187000000000001</c:v>
                      </c:pt>
                      <c:pt idx="1334">
                        <c:v>19.091999999999999</c:v>
                      </c:pt>
                      <c:pt idx="1335">
                        <c:v>19.091999999999999</c:v>
                      </c:pt>
                      <c:pt idx="1336">
                        <c:v>19.187000000000001</c:v>
                      </c:pt>
                      <c:pt idx="1337">
                        <c:v>19.091999999999999</c:v>
                      </c:pt>
                      <c:pt idx="1338">
                        <c:v>19.091999999999999</c:v>
                      </c:pt>
                      <c:pt idx="1339">
                        <c:v>19.091999999999999</c:v>
                      </c:pt>
                      <c:pt idx="1340">
                        <c:v>19.187000000000001</c:v>
                      </c:pt>
                      <c:pt idx="1341">
                        <c:v>19.187000000000001</c:v>
                      </c:pt>
                      <c:pt idx="1342">
                        <c:v>19.282</c:v>
                      </c:pt>
                      <c:pt idx="1343">
                        <c:v>19.472000000000001</c:v>
                      </c:pt>
                      <c:pt idx="1344">
                        <c:v>19.472000000000001</c:v>
                      </c:pt>
                      <c:pt idx="1345">
                        <c:v>19.472000000000001</c:v>
                      </c:pt>
                      <c:pt idx="1346">
                        <c:v>19.567</c:v>
                      </c:pt>
                      <c:pt idx="1347">
                        <c:v>19.567</c:v>
                      </c:pt>
                      <c:pt idx="1348">
                        <c:v>19.661999999999999</c:v>
                      </c:pt>
                      <c:pt idx="1349">
                        <c:v>19.661999999999999</c:v>
                      </c:pt>
                      <c:pt idx="1350">
                        <c:v>19.757999999999999</c:v>
                      </c:pt>
                      <c:pt idx="1351">
                        <c:v>19.853000000000002</c:v>
                      </c:pt>
                      <c:pt idx="1352">
                        <c:v>19.948</c:v>
                      </c:pt>
                      <c:pt idx="1353">
                        <c:v>19.948</c:v>
                      </c:pt>
                      <c:pt idx="1354">
                        <c:v>20.042999999999999</c:v>
                      </c:pt>
                      <c:pt idx="1355">
                        <c:v>20.71</c:v>
                      </c:pt>
                      <c:pt idx="1356">
                        <c:v>21.091000000000001</c:v>
                      </c:pt>
                      <c:pt idx="1357">
                        <c:v>20.805</c:v>
                      </c:pt>
                      <c:pt idx="1358">
                        <c:v>20.71</c:v>
                      </c:pt>
                      <c:pt idx="1359">
                        <c:v>20.614999999999998</c:v>
                      </c:pt>
                      <c:pt idx="1360">
                        <c:v>20.614999999999998</c:v>
                      </c:pt>
                      <c:pt idx="1361">
                        <c:v>20.71</c:v>
                      </c:pt>
                      <c:pt idx="1362">
                        <c:v>20.805</c:v>
                      </c:pt>
                      <c:pt idx="1363">
                        <c:v>20.901</c:v>
                      </c:pt>
                      <c:pt idx="1364">
                        <c:v>21.091000000000001</c:v>
                      </c:pt>
                      <c:pt idx="1365">
                        <c:v>21.282</c:v>
                      </c:pt>
                      <c:pt idx="1366">
                        <c:v>21.378</c:v>
                      </c:pt>
                      <c:pt idx="1367">
                        <c:v>21.664000000000001</c:v>
                      </c:pt>
                      <c:pt idx="1368">
                        <c:v>21.472999999999999</c:v>
                      </c:pt>
                      <c:pt idx="1369">
                        <c:v>21.855</c:v>
                      </c:pt>
                      <c:pt idx="1370">
                        <c:v>21.76</c:v>
                      </c:pt>
                      <c:pt idx="1371">
                        <c:v>21.568999999999999</c:v>
                      </c:pt>
                      <c:pt idx="1372">
                        <c:v>21.951000000000001</c:v>
                      </c:pt>
                      <c:pt idx="1373">
                        <c:v>21.951000000000001</c:v>
                      </c:pt>
                      <c:pt idx="1374">
                        <c:v>21.855</c:v>
                      </c:pt>
                      <c:pt idx="1375">
                        <c:v>21.951000000000001</c:v>
                      </c:pt>
                      <c:pt idx="1376">
                        <c:v>21.664000000000001</c:v>
                      </c:pt>
                      <c:pt idx="1377">
                        <c:v>21.568999999999999</c:v>
                      </c:pt>
                      <c:pt idx="1378">
                        <c:v>21.664000000000001</c:v>
                      </c:pt>
                      <c:pt idx="1379">
                        <c:v>21.951000000000001</c:v>
                      </c:pt>
                      <c:pt idx="1380">
                        <c:v>21.664000000000001</c:v>
                      </c:pt>
                      <c:pt idx="1381">
                        <c:v>21.568999999999999</c:v>
                      </c:pt>
                      <c:pt idx="1382">
                        <c:v>21.568999999999999</c:v>
                      </c:pt>
                      <c:pt idx="1383">
                        <c:v>21.664000000000001</c:v>
                      </c:pt>
                      <c:pt idx="1384">
                        <c:v>21.76</c:v>
                      </c:pt>
                      <c:pt idx="1385">
                        <c:v>21.664000000000001</c:v>
                      </c:pt>
                      <c:pt idx="1386">
                        <c:v>21.568999999999999</c:v>
                      </c:pt>
                      <c:pt idx="1387">
                        <c:v>21.568999999999999</c:v>
                      </c:pt>
                      <c:pt idx="1388">
                        <c:v>21.568999999999999</c:v>
                      </c:pt>
                      <c:pt idx="1389">
                        <c:v>21.472999999999999</c:v>
                      </c:pt>
                      <c:pt idx="1390">
                        <c:v>21.472999999999999</c:v>
                      </c:pt>
                      <c:pt idx="1391">
                        <c:v>21.378</c:v>
                      </c:pt>
                      <c:pt idx="1392">
                        <c:v>21.378</c:v>
                      </c:pt>
                      <c:pt idx="1393">
                        <c:v>21.282</c:v>
                      </c:pt>
                      <c:pt idx="1394">
                        <c:v>21.282</c:v>
                      </c:pt>
                      <c:pt idx="1395">
                        <c:v>21.282</c:v>
                      </c:pt>
                      <c:pt idx="1396">
                        <c:v>21.282</c:v>
                      </c:pt>
                      <c:pt idx="1397">
                        <c:v>21.282</c:v>
                      </c:pt>
                      <c:pt idx="1398">
                        <c:v>21.187000000000001</c:v>
                      </c:pt>
                      <c:pt idx="1399">
                        <c:v>21.187000000000001</c:v>
                      </c:pt>
                      <c:pt idx="1400">
                        <c:v>21.187000000000001</c:v>
                      </c:pt>
                      <c:pt idx="1401">
                        <c:v>21.187000000000001</c:v>
                      </c:pt>
                      <c:pt idx="1402">
                        <c:v>21.187000000000001</c:v>
                      </c:pt>
                      <c:pt idx="1403">
                        <c:v>21.187000000000001</c:v>
                      </c:pt>
                      <c:pt idx="1404">
                        <c:v>21.187000000000001</c:v>
                      </c:pt>
                      <c:pt idx="1405">
                        <c:v>21.091000000000001</c:v>
                      </c:pt>
                      <c:pt idx="1406">
                        <c:v>21.091000000000001</c:v>
                      </c:pt>
                      <c:pt idx="1407">
                        <c:v>21.091000000000001</c:v>
                      </c:pt>
                      <c:pt idx="1408">
                        <c:v>21.091000000000001</c:v>
                      </c:pt>
                      <c:pt idx="1409">
                        <c:v>21.091000000000001</c:v>
                      </c:pt>
                      <c:pt idx="1410">
                        <c:v>21.091000000000001</c:v>
                      </c:pt>
                      <c:pt idx="1411">
                        <c:v>21.091000000000001</c:v>
                      </c:pt>
                      <c:pt idx="1412">
                        <c:v>20.995999999999999</c:v>
                      </c:pt>
                      <c:pt idx="1413">
                        <c:v>20.995999999999999</c:v>
                      </c:pt>
                      <c:pt idx="1414">
                        <c:v>20.995999999999999</c:v>
                      </c:pt>
                      <c:pt idx="1415">
                        <c:v>20.995999999999999</c:v>
                      </c:pt>
                      <c:pt idx="1416">
                        <c:v>20.995999999999999</c:v>
                      </c:pt>
                      <c:pt idx="1417">
                        <c:v>20.995999999999999</c:v>
                      </c:pt>
                      <c:pt idx="1418">
                        <c:v>20.995999999999999</c:v>
                      </c:pt>
                      <c:pt idx="1419">
                        <c:v>20.995999999999999</c:v>
                      </c:pt>
                      <c:pt idx="1420">
                        <c:v>20.901</c:v>
                      </c:pt>
                      <c:pt idx="1421">
                        <c:v>20.901</c:v>
                      </c:pt>
                      <c:pt idx="1422">
                        <c:v>20.901</c:v>
                      </c:pt>
                      <c:pt idx="1423">
                        <c:v>20.901</c:v>
                      </c:pt>
                      <c:pt idx="1424">
                        <c:v>20.805</c:v>
                      </c:pt>
                      <c:pt idx="1425">
                        <c:v>20.805</c:v>
                      </c:pt>
                      <c:pt idx="1426">
                        <c:v>20.805</c:v>
                      </c:pt>
                      <c:pt idx="1427">
                        <c:v>20.805</c:v>
                      </c:pt>
                      <c:pt idx="1428">
                        <c:v>20.805</c:v>
                      </c:pt>
                      <c:pt idx="1429">
                        <c:v>20.71</c:v>
                      </c:pt>
                      <c:pt idx="1430">
                        <c:v>20.71</c:v>
                      </c:pt>
                      <c:pt idx="1431">
                        <c:v>20.71</c:v>
                      </c:pt>
                      <c:pt idx="1432">
                        <c:v>20.71</c:v>
                      </c:pt>
                      <c:pt idx="1433">
                        <c:v>20.71</c:v>
                      </c:pt>
                      <c:pt idx="1434">
                        <c:v>20.71</c:v>
                      </c:pt>
                      <c:pt idx="1435">
                        <c:v>20.71</c:v>
                      </c:pt>
                      <c:pt idx="1436">
                        <c:v>20.71</c:v>
                      </c:pt>
                      <c:pt idx="1437">
                        <c:v>20.71</c:v>
                      </c:pt>
                      <c:pt idx="1438">
                        <c:v>20.614999999999998</c:v>
                      </c:pt>
                      <c:pt idx="1439">
                        <c:v>20.614999999999998</c:v>
                      </c:pt>
                      <c:pt idx="1440">
                        <c:v>20.614999999999998</c:v>
                      </c:pt>
                      <c:pt idx="1441">
                        <c:v>20.614999999999998</c:v>
                      </c:pt>
                      <c:pt idx="1442">
                        <c:v>20.614999999999998</c:v>
                      </c:pt>
                      <c:pt idx="1443">
                        <c:v>20.614999999999998</c:v>
                      </c:pt>
                      <c:pt idx="1444">
                        <c:v>20.614999999999998</c:v>
                      </c:pt>
                      <c:pt idx="1445">
                        <c:v>20.614999999999998</c:v>
                      </c:pt>
                      <c:pt idx="1446">
                        <c:v>20.614999999999998</c:v>
                      </c:pt>
                      <c:pt idx="1447">
                        <c:v>20.614999999999998</c:v>
                      </c:pt>
                      <c:pt idx="1448">
                        <c:v>20.614999999999998</c:v>
                      </c:pt>
                      <c:pt idx="1449">
                        <c:v>20.518999999999998</c:v>
                      </c:pt>
                      <c:pt idx="1450">
                        <c:v>20.518999999999998</c:v>
                      </c:pt>
                      <c:pt idx="1451">
                        <c:v>20.518999999999998</c:v>
                      </c:pt>
                      <c:pt idx="1452">
                        <c:v>20.518999999999998</c:v>
                      </c:pt>
                      <c:pt idx="1453">
                        <c:v>20.518999999999998</c:v>
                      </c:pt>
                      <c:pt idx="1454">
                        <c:v>20.518999999999998</c:v>
                      </c:pt>
                      <c:pt idx="1455">
                        <c:v>20.518999999999998</c:v>
                      </c:pt>
                      <c:pt idx="1456">
                        <c:v>20.518999999999998</c:v>
                      </c:pt>
                      <c:pt idx="1457">
                        <c:v>20.518999999999998</c:v>
                      </c:pt>
                      <c:pt idx="1458">
                        <c:v>20.518999999999998</c:v>
                      </c:pt>
                      <c:pt idx="1459">
                        <c:v>20.518999999999998</c:v>
                      </c:pt>
                      <c:pt idx="1460">
                        <c:v>20.518999999999998</c:v>
                      </c:pt>
                      <c:pt idx="1461">
                        <c:v>20.423999999999999</c:v>
                      </c:pt>
                      <c:pt idx="1462">
                        <c:v>20.423999999999999</c:v>
                      </c:pt>
                      <c:pt idx="1463">
                        <c:v>20.423999999999999</c:v>
                      </c:pt>
                      <c:pt idx="1464">
                        <c:v>20.423999999999999</c:v>
                      </c:pt>
                      <c:pt idx="1465">
                        <c:v>20.423999999999999</c:v>
                      </c:pt>
                      <c:pt idx="1466">
                        <c:v>20.423999999999999</c:v>
                      </c:pt>
                      <c:pt idx="1467">
                        <c:v>20.423999999999999</c:v>
                      </c:pt>
                      <c:pt idx="1468">
                        <c:v>20.423999999999999</c:v>
                      </c:pt>
                      <c:pt idx="1469">
                        <c:v>20.329000000000001</c:v>
                      </c:pt>
                      <c:pt idx="1470">
                        <c:v>20.329000000000001</c:v>
                      </c:pt>
                      <c:pt idx="1471">
                        <c:v>20.329000000000001</c:v>
                      </c:pt>
                      <c:pt idx="1472">
                        <c:v>20.329000000000001</c:v>
                      </c:pt>
                      <c:pt idx="1473">
                        <c:v>20.329000000000001</c:v>
                      </c:pt>
                      <c:pt idx="1474">
                        <c:v>20.329000000000001</c:v>
                      </c:pt>
                      <c:pt idx="1475">
                        <c:v>20.329000000000001</c:v>
                      </c:pt>
                      <c:pt idx="1476">
                        <c:v>20.329000000000001</c:v>
                      </c:pt>
                      <c:pt idx="1477">
                        <c:v>20.329000000000001</c:v>
                      </c:pt>
                      <c:pt idx="1478">
                        <c:v>20.329000000000001</c:v>
                      </c:pt>
                      <c:pt idx="1479">
                        <c:v>20.329000000000001</c:v>
                      </c:pt>
                      <c:pt idx="1480">
                        <c:v>20.329000000000001</c:v>
                      </c:pt>
                      <c:pt idx="1481">
                        <c:v>20.329000000000001</c:v>
                      </c:pt>
                      <c:pt idx="1482">
                        <c:v>20.423999999999999</c:v>
                      </c:pt>
                      <c:pt idx="1483">
                        <c:v>20.423999999999999</c:v>
                      </c:pt>
                      <c:pt idx="1484">
                        <c:v>20.423999999999999</c:v>
                      </c:pt>
                      <c:pt idx="1485">
                        <c:v>20.423999999999999</c:v>
                      </c:pt>
                      <c:pt idx="1486">
                        <c:v>20.518999999999998</c:v>
                      </c:pt>
                      <c:pt idx="1487">
                        <c:v>20.518999999999998</c:v>
                      </c:pt>
                      <c:pt idx="1488">
                        <c:v>20.518999999999998</c:v>
                      </c:pt>
                      <c:pt idx="1489">
                        <c:v>20.614999999999998</c:v>
                      </c:pt>
                      <c:pt idx="1490">
                        <c:v>20.614999999999998</c:v>
                      </c:pt>
                      <c:pt idx="1491">
                        <c:v>20.614999999999998</c:v>
                      </c:pt>
                      <c:pt idx="1492">
                        <c:v>20.71</c:v>
                      </c:pt>
                      <c:pt idx="1493">
                        <c:v>20.71</c:v>
                      </c:pt>
                      <c:pt idx="1494">
                        <c:v>20.71</c:v>
                      </c:pt>
                      <c:pt idx="1495">
                        <c:v>20.805</c:v>
                      </c:pt>
                      <c:pt idx="1496">
                        <c:v>20.805</c:v>
                      </c:pt>
                      <c:pt idx="1497">
                        <c:v>20.805</c:v>
                      </c:pt>
                      <c:pt idx="1498">
                        <c:v>20.901</c:v>
                      </c:pt>
                      <c:pt idx="1499">
                        <c:v>20.901</c:v>
                      </c:pt>
                      <c:pt idx="1500">
                        <c:v>20.901</c:v>
                      </c:pt>
                      <c:pt idx="1501">
                        <c:v>20.901</c:v>
                      </c:pt>
                      <c:pt idx="1502">
                        <c:v>20.901</c:v>
                      </c:pt>
                      <c:pt idx="1503">
                        <c:v>20.995999999999999</c:v>
                      </c:pt>
                      <c:pt idx="1504">
                        <c:v>21.091000000000001</c:v>
                      </c:pt>
                      <c:pt idx="1505">
                        <c:v>21.091000000000001</c:v>
                      </c:pt>
                      <c:pt idx="1506">
                        <c:v>21.187000000000001</c:v>
                      </c:pt>
                      <c:pt idx="1507">
                        <c:v>21.187000000000001</c:v>
                      </c:pt>
                      <c:pt idx="1508">
                        <c:v>21.187000000000001</c:v>
                      </c:pt>
                      <c:pt idx="1509">
                        <c:v>21.282</c:v>
                      </c:pt>
                      <c:pt idx="1510">
                        <c:v>21.378</c:v>
                      </c:pt>
                      <c:pt idx="1511">
                        <c:v>21.378</c:v>
                      </c:pt>
                      <c:pt idx="1512">
                        <c:v>21.378</c:v>
                      </c:pt>
                      <c:pt idx="1513">
                        <c:v>21.472999999999999</c:v>
                      </c:pt>
                      <c:pt idx="1514">
                        <c:v>21.472999999999999</c:v>
                      </c:pt>
                      <c:pt idx="1515">
                        <c:v>21.472999999999999</c:v>
                      </c:pt>
                      <c:pt idx="1516">
                        <c:v>21.472999999999999</c:v>
                      </c:pt>
                      <c:pt idx="1517">
                        <c:v>21.472999999999999</c:v>
                      </c:pt>
                      <c:pt idx="1518">
                        <c:v>21.664000000000001</c:v>
                      </c:pt>
                      <c:pt idx="1519">
                        <c:v>21.568999999999999</c:v>
                      </c:pt>
                      <c:pt idx="1520">
                        <c:v>21.664000000000001</c:v>
                      </c:pt>
                      <c:pt idx="1521">
                        <c:v>21.664000000000001</c:v>
                      </c:pt>
                      <c:pt idx="1522">
                        <c:v>21.664000000000001</c:v>
                      </c:pt>
                      <c:pt idx="1523">
                        <c:v>21.664000000000001</c:v>
                      </c:pt>
                      <c:pt idx="1524">
                        <c:v>21.664000000000001</c:v>
                      </c:pt>
                      <c:pt idx="1525">
                        <c:v>21.568999999999999</c:v>
                      </c:pt>
                      <c:pt idx="1526">
                        <c:v>21.664000000000001</c:v>
                      </c:pt>
                      <c:pt idx="1527">
                        <c:v>21.664000000000001</c:v>
                      </c:pt>
                      <c:pt idx="1528">
                        <c:v>21.664000000000001</c:v>
                      </c:pt>
                      <c:pt idx="1529">
                        <c:v>21.568999999999999</c:v>
                      </c:pt>
                      <c:pt idx="1530">
                        <c:v>21.568999999999999</c:v>
                      </c:pt>
                      <c:pt idx="1531">
                        <c:v>21.472999999999999</c:v>
                      </c:pt>
                      <c:pt idx="1532">
                        <c:v>21.472999999999999</c:v>
                      </c:pt>
                      <c:pt idx="1533">
                        <c:v>21.472999999999999</c:v>
                      </c:pt>
                      <c:pt idx="1534">
                        <c:v>21.472999999999999</c:v>
                      </c:pt>
                      <c:pt idx="1535">
                        <c:v>21.378</c:v>
                      </c:pt>
                      <c:pt idx="1536">
                        <c:v>21.378</c:v>
                      </c:pt>
                      <c:pt idx="1537">
                        <c:v>21.378</c:v>
                      </c:pt>
                      <c:pt idx="1538">
                        <c:v>21.282</c:v>
                      </c:pt>
                      <c:pt idx="1539">
                        <c:v>21.282</c:v>
                      </c:pt>
                      <c:pt idx="1540">
                        <c:v>21.282</c:v>
                      </c:pt>
                      <c:pt idx="1541">
                        <c:v>21.282</c:v>
                      </c:pt>
                      <c:pt idx="1542">
                        <c:v>21.282</c:v>
                      </c:pt>
                      <c:pt idx="1543">
                        <c:v>21.187000000000001</c:v>
                      </c:pt>
                      <c:pt idx="1544">
                        <c:v>21.187000000000001</c:v>
                      </c:pt>
                      <c:pt idx="1545">
                        <c:v>21.187000000000001</c:v>
                      </c:pt>
                      <c:pt idx="1546">
                        <c:v>21.187000000000001</c:v>
                      </c:pt>
                      <c:pt idx="1547">
                        <c:v>21.091000000000001</c:v>
                      </c:pt>
                      <c:pt idx="1548">
                        <c:v>21.091000000000001</c:v>
                      </c:pt>
                      <c:pt idx="1549">
                        <c:v>21.091000000000001</c:v>
                      </c:pt>
                      <c:pt idx="1550">
                        <c:v>21.091000000000001</c:v>
                      </c:pt>
                      <c:pt idx="1551">
                        <c:v>21.091000000000001</c:v>
                      </c:pt>
                      <c:pt idx="1552">
                        <c:v>21.091000000000001</c:v>
                      </c:pt>
                      <c:pt idx="1553">
                        <c:v>20.995999999999999</c:v>
                      </c:pt>
                      <c:pt idx="1554">
                        <c:v>20.995999999999999</c:v>
                      </c:pt>
                      <c:pt idx="1555">
                        <c:v>20.995999999999999</c:v>
                      </c:pt>
                      <c:pt idx="1556">
                        <c:v>20.995999999999999</c:v>
                      </c:pt>
                      <c:pt idx="1557">
                        <c:v>20.995999999999999</c:v>
                      </c:pt>
                      <c:pt idx="1558">
                        <c:v>20.995999999999999</c:v>
                      </c:pt>
                      <c:pt idx="1559">
                        <c:v>20.901</c:v>
                      </c:pt>
                      <c:pt idx="1560">
                        <c:v>20.901</c:v>
                      </c:pt>
                      <c:pt idx="1561">
                        <c:v>20.901</c:v>
                      </c:pt>
                      <c:pt idx="1562">
                        <c:v>20.901</c:v>
                      </c:pt>
                      <c:pt idx="1563">
                        <c:v>20.901</c:v>
                      </c:pt>
                      <c:pt idx="1564">
                        <c:v>20.805</c:v>
                      </c:pt>
                      <c:pt idx="1565">
                        <c:v>20.805</c:v>
                      </c:pt>
                      <c:pt idx="1566">
                        <c:v>20.805</c:v>
                      </c:pt>
                      <c:pt idx="1567">
                        <c:v>20.805</c:v>
                      </c:pt>
                      <c:pt idx="1568">
                        <c:v>20.71</c:v>
                      </c:pt>
                      <c:pt idx="1569">
                        <c:v>20.71</c:v>
                      </c:pt>
                      <c:pt idx="1570">
                        <c:v>20.71</c:v>
                      </c:pt>
                      <c:pt idx="1571">
                        <c:v>20.71</c:v>
                      </c:pt>
                      <c:pt idx="1572">
                        <c:v>20.71</c:v>
                      </c:pt>
                      <c:pt idx="1573">
                        <c:v>20.71</c:v>
                      </c:pt>
                      <c:pt idx="1574">
                        <c:v>20.71</c:v>
                      </c:pt>
                      <c:pt idx="1575">
                        <c:v>20.71</c:v>
                      </c:pt>
                      <c:pt idx="1576">
                        <c:v>20.71</c:v>
                      </c:pt>
                      <c:pt idx="1577">
                        <c:v>20.71</c:v>
                      </c:pt>
                      <c:pt idx="1578">
                        <c:v>20.71</c:v>
                      </c:pt>
                      <c:pt idx="1579">
                        <c:v>20.71</c:v>
                      </c:pt>
                      <c:pt idx="1580">
                        <c:v>20.71</c:v>
                      </c:pt>
                      <c:pt idx="1581">
                        <c:v>20.71</c:v>
                      </c:pt>
                      <c:pt idx="1582">
                        <c:v>20.71</c:v>
                      </c:pt>
                      <c:pt idx="1583">
                        <c:v>20.614999999999998</c:v>
                      </c:pt>
                      <c:pt idx="1584">
                        <c:v>20.614999999999998</c:v>
                      </c:pt>
                      <c:pt idx="1585">
                        <c:v>20.71</c:v>
                      </c:pt>
                      <c:pt idx="1586">
                        <c:v>20.614999999999998</c:v>
                      </c:pt>
                      <c:pt idx="1587">
                        <c:v>20.614999999999998</c:v>
                      </c:pt>
                      <c:pt idx="1588">
                        <c:v>20.614999999999998</c:v>
                      </c:pt>
                      <c:pt idx="1589">
                        <c:v>20.614999999999998</c:v>
                      </c:pt>
                      <c:pt idx="1590">
                        <c:v>20.614999999999998</c:v>
                      </c:pt>
                      <c:pt idx="1591">
                        <c:v>20.614999999999998</c:v>
                      </c:pt>
                      <c:pt idx="1592">
                        <c:v>20.614999999999998</c:v>
                      </c:pt>
                      <c:pt idx="1593">
                        <c:v>20.614999999999998</c:v>
                      </c:pt>
                      <c:pt idx="1594">
                        <c:v>20.614999999999998</c:v>
                      </c:pt>
                      <c:pt idx="1595">
                        <c:v>20.614999999999998</c:v>
                      </c:pt>
                      <c:pt idx="1596">
                        <c:v>20.518999999999998</c:v>
                      </c:pt>
                      <c:pt idx="1597">
                        <c:v>20.518999999999998</c:v>
                      </c:pt>
                      <c:pt idx="1598">
                        <c:v>20.518999999999998</c:v>
                      </c:pt>
                      <c:pt idx="1599">
                        <c:v>20.518999999999998</c:v>
                      </c:pt>
                      <c:pt idx="1600">
                        <c:v>20.423999999999999</c:v>
                      </c:pt>
                      <c:pt idx="1601">
                        <c:v>20.423999999999999</c:v>
                      </c:pt>
                      <c:pt idx="1602">
                        <c:v>20.423999999999999</c:v>
                      </c:pt>
                      <c:pt idx="1603">
                        <c:v>20.423999999999999</c:v>
                      </c:pt>
                      <c:pt idx="1604">
                        <c:v>20.423999999999999</c:v>
                      </c:pt>
                      <c:pt idx="1605">
                        <c:v>20.423999999999999</c:v>
                      </c:pt>
                      <c:pt idx="1606">
                        <c:v>20.329000000000001</c:v>
                      </c:pt>
                      <c:pt idx="1607">
                        <c:v>20.329000000000001</c:v>
                      </c:pt>
                      <c:pt idx="1608">
                        <c:v>20.329000000000001</c:v>
                      </c:pt>
                      <c:pt idx="1609">
                        <c:v>20.329000000000001</c:v>
                      </c:pt>
                      <c:pt idx="1610">
                        <c:v>20.329000000000001</c:v>
                      </c:pt>
                      <c:pt idx="1611">
                        <c:v>20.234000000000002</c:v>
                      </c:pt>
                      <c:pt idx="1612">
                        <c:v>20.234000000000002</c:v>
                      </c:pt>
                      <c:pt idx="1613">
                        <c:v>20.234000000000002</c:v>
                      </c:pt>
                      <c:pt idx="1614">
                        <c:v>20.234000000000002</c:v>
                      </c:pt>
                      <c:pt idx="1615">
                        <c:v>20.234000000000002</c:v>
                      </c:pt>
                      <c:pt idx="1616">
                        <c:v>20.234000000000002</c:v>
                      </c:pt>
                      <c:pt idx="1617">
                        <c:v>20.234000000000002</c:v>
                      </c:pt>
                      <c:pt idx="1618">
                        <c:v>20.234000000000002</c:v>
                      </c:pt>
                      <c:pt idx="1619">
                        <c:v>20.234000000000002</c:v>
                      </c:pt>
                      <c:pt idx="1620">
                        <c:v>20.234000000000002</c:v>
                      </c:pt>
                      <c:pt idx="1621">
                        <c:v>20.234000000000002</c:v>
                      </c:pt>
                      <c:pt idx="1622">
                        <c:v>20.234000000000002</c:v>
                      </c:pt>
                      <c:pt idx="1623">
                        <c:v>20.234000000000002</c:v>
                      </c:pt>
                      <c:pt idx="1624">
                        <c:v>20.138000000000002</c:v>
                      </c:pt>
                      <c:pt idx="1625">
                        <c:v>20.138000000000002</c:v>
                      </c:pt>
                      <c:pt idx="1626">
                        <c:v>20.138000000000002</c:v>
                      </c:pt>
                      <c:pt idx="1627">
                        <c:v>20.138000000000002</c:v>
                      </c:pt>
                      <c:pt idx="1628">
                        <c:v>20.138000000000002</c:v>
                      </c:pt>
                      <c:pt idx="1629">
                        <c:v>20.234000000000002</c:v>
                      </c:pt>
                      <c:pt idx="1630">
                        <c:v>20.138000000000002</c:v>
                      </c:pt>
                      <c:pt idx="1631">
                        <c:v>20.234000000000002</c:v>
                      </c:pt>
                      <c:pt idx="1632">
                        <c:v>20.234000000000002</c:v>
                      </c:pt>
                      <c:pt idx="1633">
                        <c:v>20.234000000000002</c:v>
                      </c:pt>
                      <c:pt idx="1634">
                        <c:v>20.329000000000001</c:v>
                      </c:pt>
                      <c:pt idx="1635">
                        <c:v>20.329000000000001</c:v>
                      </c:pt>
                      <c:pt idx="1636">
                        <c:v>20.329000000000001</c:v>
                      </c:pt>
                      <c:pt idx="1637">
                        <c:v>20.329000000000001</c:v>
                      </c:pt>
                      <c:pt idx="1638">
                        <c:v>20.329000000000001</c:v>
                      </c:pt>
                      <c:pt idx="1639">
                        <c:v>20.423999999999999</c:v>
                      </c:pt>
                      <c:pt idx="1640">
                        <c:v>20.423999999999999</c:v>
                      </c:pt>
                      <c:pt idx="1641">
                        <c:v>20.518999999999998</c:v>
                      </c:pt>
                      <c:pt idx="1642">
                        <c:v>20.518999999999998</c:v>
                      </c:pt>
                      <c:pt idx="1643">
                        <c:v>20.518999999999998</c:v>
                      </c:pt>
                      <c:pt idx="1644">
                        <c:v>20.518999999999998</c:v>
                      </c:pt>
                      <c:pt idx="1645">
                        <c:v>20.71</c:v>
                      </c:pt>
                      <c:pt idx="1646">
                        <c:v>20.614999999999998</c:v>
                      </c:pt>
                      <c:pt idx="1647">
                        <c:v>20.71</c:v>
                      </c:pt>
                      <c:pt idx="1648">
                        <c:v>20.71</c:v>
                      </c:pt>
                      <c:pt idx="1649">
                        <c:v>20.71</c:v>
                      </c:pt>
                      <c:pt idx="1650">
                        <c:v>20.71</c:v>
                      </c:pt>
                      <c:pt idx="1651">
                        <c:v>20.805</c:v>
                      </c:pt>
                      <c:pt idx="1652">
                        <c:v>20.805</c:v>
                      </c:pt>
                      <c:pt idx="1653">
                        <c:v>20.901</c:v>
                      </c:pt>
                      <c:pt idx="1654">
                        <c:v>20.805</c:v>
                      </c:pt>
                      <c:pt idx="1655">
                        <c:v>20.805</c:v>
                      </c:pt>
                      <c:pt idx="1656">
                        <c:v>20.805</c:v>
                      </c:pt>
                      <c:pt idx="1657">
                        <c:v>20.805</c:v>
                      </c:pt>
                      <c:pt idx="1658">
                        <c:v>20.805</c:v>
                      </c:pt>
                      <c:pt idx="1659">
                        <c:v>20.805</c:v>
                      </c:pt>
                      <c:pt idx="1660">
                        <c:v>20.995999999999999</c:v>
                      </c:pt>
                      <c:pt idx="1661">
                        <c:v>20.901</c:v>
                      </c:pt>
                      <c:pt idx="1662">
                        <c:v>20.995999999999999</c:v>
                      </c:pt>
                      <c:pt idx="1663">
                        <c:v>20.995999999999999</c:v>
                      </c:pt>
                      <c:pt idx="1664">
                        <c:v>20.995999999999999</c:v>
                      </c:pt>
                      <c:pt idx="1665">
                        <c:v>20.995999999999999</c:v>
                      </c:pt>
                      <c:pt idx="1666">
                        <c:v>20.995999999999999</c:v>
                      </c:pt>
                      <c:pt idx="1667">
                        <c:v>20.995999999999999</c:v>
                      </c:pt>
                      <c:pt idx="1668">
                        <c:v>20.995999999999999</c:v>
                      </c:pt>
                      <c:pt idx="1669">
                        <c:v>20.995999999999999</c:v>
                      </c:pt>
                      <c:pt idx="1670">
                        <c:v>20.995999999999999</c:v>
                      </c:pt>
                      <c:pt idx="1671">
                        <c:v>20.995999999999999</c:v>
                      </c:pt>
                      <c:pt idx="1672">
                        <c:v>21.187000000000001</c:v>
                      </c:pt>
                      <c:pt idx="1673">
                        <c:v>21.091000000000001</c:v>
                      </c:pt>
                      <c:pt idx="1674">
                        <c:v>21.091000000000001</c:v>
                      </c:pt>
                      <c:pt idx="1675">
                        <c:v>21.091000000000001</c:v>
                      </c:pt>
                      <c:pt idx="1676">
                        <c:v>21.091000000000001</c:v>
                      </c:pt>
                      <c:pt idx="1677">
                        <c:v>21.091000000000001</c:v>
                      </c:pt>
                      <c:pt idx="1678">
                        <c:v>21.091000000000001</c:v>
                      </c:pt>
                      <c:pt idx="1679">
                        <c:v>21.091000000000001</c:v>
                      </c:pt>
                      <c:pt idx="1680">
                        <c:v>21.091000000000001</c:v>
                      </c:pt>
                      <c:pt idx="1681">
                        <c:v>20.995999999999999</c:v>
                      </c:pt>
                      <c:pt idx="1682">
                        <c:v>20.995999999999999</c:v>
                      </c:pt>
                      <c:pt idx="1683">
                        <c:v>20.995999999999999</c:v>
                      </c:pt>
                      <c:pt idx="1684">
                        <c:v>20.995999999999999</c:v>
                      </c:pt>
                      <c:pt idx="1685">
                        <c:v>20.901</c:v>
                      </c:pt>
                      <c:pt idx="1686">
                        <c:v>20.901</c:v>
                      </c:pt>
                      <c:pt idx="1687">
                        <c:v>20.901</c:v>
                      </c:pt>
                      <c:pt idx="1688">
                        <c:v>20.901</c:v>
                      </c:pt>
                      <c:pt idx="1689">
                        <c:v>20.805</c:v>
                      </c:pt>
                      <c:pt idx="1690">
                        <c:v>20.805</c:v>
                      </c:pt>
                      <c:pt idx="1691">
                        <c:v>20.805</c:v>
                      </c:pt>
                      <c:pt idx="1692">
                        <c:v>20.71</c:v>
                      </c:pt>
                      <c:pt idx="1693">
                        <c:v>20.614999999999998</c:v>
                      </c:pt>
                      <c:pt idx="1694">
                        <c:v>20.614999999999998</c:v>
                      </c:pt>
                      <c:pt idx="1695">
                        <c:v>20.614999999999998</c:v>
                      </c:pt>
                      <c:pt idx="1696">
                        <c:v>20.518999999999998</c:v>
                      </c:pt>
                      <c:pt idx="1697">
                        <c:v>20.518999999999998</c:v>
                      </c:pt>
                      <c:pt idx="1698">
                        <c:v>20.518999999999998</c:v>
                      </c:pt>
                      <c:pt idx="1699">
                        <c:v>20.518999999999998</c:v>
                      </c:pt>
                      <c:pt idx="1700">
                        <c:v>20.518999999999998</c:v>
                      </c:pt>
                      <c:pt idx="1701">
                        <c:v>20.518999999999998</c:v>
                      </c:pt>
                      <c:pt idx="1702">
                        <c:v>20.423999999999999</c:v>
                      </c:pt>
                      <c:pt idx="1703">
                        <c:v>20.423999999999999</c:v>
                      </c:pt>
                      <c:pt idx="1704">
                        <c:v>20.423999999999999</c:v>
                      </c:pt>
                      <c:pt idx="1705">
                        <c:v>20.423999999999999</c:v>
                      </c:pt>
                      <c:pt idx="1706">
                        <c:v>20.423999999999999</c:v>
                      </c:pt>
                      <c:pt idx="1707">
                        <c:v>20.423999999999999</c:v>
                      </c:pt>
                      <c:pt idx="1708">
                        <c:v>20.329000000000001</c:v>
                      </c:pt>
                      <c:pt idx="1709">
                        <c:v>20.329000000000001</c:v>
                      </c:pt>
                      <c:pt idx="1710">
                        <c:v>20.329000000000001</c:v>
                      </c:pt>
                      <c:pt idx="1711">
                        <c:v>20.329000000000001</c:v>
                      </c:pt>
                      <c:pt idx="1712">
                        <c:v>20.234000000000002</c:v>
                      </c:pt>
                      <c:pt idx="1713">
                        <c:v>20.234000000000002</c:v>
                      </c:pt>
                      <c:pt idx="1714">
                        <c:v>20.138000000000002</c:v>
                      </c:pt>
                      <c:pt idx="1715">
                        <c:v>20.138000000000002</c:v>
                      </c:pt>
                      <c:pt idx="1716">
                        <c:v>20.138000000000002</c:v>
                      </c:pt>
                      <c:pt idx="1717">
                        <c:v>20.138000000000002</c:v>
                      </c:pt>
                      <c:pt idx="1718">
                        <c:v>20.138000000000002</c:v>
                      </c:pt>
                      <c:pt idx="1719">
                        <c:v>20.138000000000002</c:v>
                      </c:pt>
                      <c:pt idx="1720">
                        <c:v>20.138000000000002</c:v>
                      </c:pt>
                      <c:pt idx="1721">
                        <c:v>20.138000000000002</c:v>
                      </c:pt>
                      <c:pt idx="1722">
                        <c:v>20.042999999999999</c:v>
                      </c:pt>
                      <c:pt idx="1723">
                        <c:v>19.948</c:v>
                      </c:pt>
                      <c:pt idx="1724">
                        <c:v>20.042999999999999</c:v>
                      </c:pt>
                      <c:pt idx="1725">
                        <c:v>19.948</c:v>
                      </c:pt>
                      <c:pt idx="1726">
                        <c:v>19.948</c:v>
                      </c:pt>
                      <c:pt idx="1727">
                        <c:v>19.948</c:v>
                      </c:pt>
                      <c:pt idx="1728">
                        <c:v>19.948</c:v>
                      </c:pt>
                      <c:pt idx="1729">
                        <c:v>19.948</c:v>
                      </c:pt>
                      <c:pt idx="1730">
                        <c:v>19.948</c:v>
                      </c:pt>
                      <c:pt idx="1731">
                        <c:v>19.948</c:v>
                      </c:pt>
                      <c:pt idx="1732">
                        <c:v>19.853000000000002</c:v>
                      </c:pt>
                      <c:pt idx="1733">
                        <c:v>19.853000000000002</c:v>
                      </c:pt>
                      <c:pt idx="1734">
                        <c:v>19.853000000000002</c:v>
                      </c:pt>
                      <c:pt idx="1735">
                        <c:v>19.853000000000002</c:v>
                      </c:pt>
                      <c:pt idx="1736">
                        <c:v>19.853000000000002</c:v>
                      </c:pt>
                      <c:pt idx="1737">
                        <c:v>19.757999999999999</c:v>
                      </c:pt>
                      <c:pt idx="1738">
                        <c:v>19.757999999999999</c:v>
                      </c:pt>
                      <c:pt idx="1739">
                        <c:v>19.757999999999999</c:v>
                      </c:pt>
                      <c:pt idx="1740">
                        <c:v>19.757999999999999</c:v>
                      </c:pt>
                      <c:pt idx="1741">
                        <c:v>19.757999999999999</c:v>
                      </c:pt>
                      <c:pt idx="1742">
                        <c:v>19.661999999999999</c:v>
                      </c:pt>
                      <c:pt idx="1743">
                        <c:v>19.661999999999999</c:v>
                      </c:pt>
                      <c:pt idx="1744">
                        <c:v>19.661999999999999</c:v>
                      </c:pt>
                      <c:pt idx="1745">
                        <c:v>19.661999999999999</c:v>
                      </c:pt>
                      <c:pt idx="1746">
                        <c:v>19.661999999999999</c:v>
                      </c:pt>
                      <c:pt idx="1747">
                        <c:v>19.661999999999999</c:v>
                      </c:pt>
                      <c:pt idx="1748">
                        <c:v>19.567</c:v>
                      </c:pt>
                      <c:pt idx="1749">
                        <c:v>19.567</c:v>
                      </c:pt>
                      <c:pt idx="1750">
                        <c:v>19.567</c:v>
                      </c:pt>
                      <c:pt idx="1751">
                        <c:v>19.567</c:v>
                      </c:pt>
                      <c:pt idx="1752">
                        <c:v>19.472000000000001</c:v>
                      </c:pt>
                      <c:pt idx="1753">
                        <c:v>19.472000000000001</c:v>
                      </c:pt>
                      <c:pt idx="1754">
                        <c:v>19.472000000000001</c:v>
                      </c:pt>
                      <c:pt idx="1755">
                        <c:v>19.472000000000001</c:v>
                      </c:pt>
                      <c:pt idx="1756">
                        <c:v>19.472000000000001</c:v>
                      </c:pt>
                      <c:pt idx="1757">
                        <c:v>19.472000000000001</c:v>
                      </c:pt>
                      <c:pt idx="1758">
                        <c:v>19.376999999999999</c:v>
                      </c:pt>
                      <c:pt idx="1759">
                        <c:v>19.282</c:v>
                      </c:pt>
                      <c:pt idx="1760">
                        <c:v>19.376999999999999</c:v>
                      </c:pt>
                      <c:pt idx="1761">
                        <c:v>19.376999999999999</c:v>
                      </c:pt>
                      <c:pt idx="1762">
                        <c:v>19.376999999999999</c:v>
                      </c:pt>
                      <c:pt idx="1763">
                        <c:v>19.282</c:v>
                      </c:pt>
                      <c:pt idx="1764">
                        <c:v>19.282</c:v>
                      </c:pt>
                      <c:pt idx="1765">
                        <c:v>19.282</c:v>
                      </c:pt>
                      <c:pt idx="1766">
                        <c:v>19.282</c:v>
                      </c:pt>
                      <c:pt idx="1767">
                        <c:v>19.282</c:v>
                      </c:pt>
                      <c:pt idx="1768">
                        <c:v>19.187000000000001</c:v>
                      </c:pt>
                      <c:pt idx="1769">
                        <c:v>19.187000000000001</c:v>
                      </c:pt>
                      <c:pt idx="1770">
                        <c:v>19.187000000000001</c:v>
                      </c:pt>
                      <c:pt idx="1771">
                        <c:v>19.187000000000001</c:v>
                      </c:pt>
                      <c:pt idx="1772">
                        <c:v>19.187000000000001</c:v>
                      </c:pt>
                      <c:pt idx="1773">
                        <c:v>19.187000000000001</c:v>
                      </c:pt>
                      <c:pt idx="1774">
                        <c:v>19.187000000000001</c:v>
                      </c:pt>
                      <c:pt idx="1775">
                        <c:v>19.376999999999999</c:v>
                      </c:pt>
                      <c:pt idx="1776">
                        <c:v>19.472000000000001</c:v>
                      </c:pt>
                      <c:pt idx="1777">
                        <c:v>19.472000000000001</c:v>
                      </c:pt>
                      <c:pt idx="1778">
                        <c:v>19.567</c:v>
                      </c:pt>
                      <c:pt idx="1779">
                        <c:v>19.567</c:v>
                      </c:pt>
                      <c:pt idx="1780">
                        <c:v>19.567</c:v>
                      </c:pt>
                      <c:pt idx="1781">
                        <c:v>19.567</c:v>
                      </c:pt>
                      <c:pt idx="1782">
                        <c:v>19.661999999999999</c:v>
                      </c:pt>
                      <c:pt idx="1783">
                        <c:v>19.661999999999999</c:v>
                      </c:pt>
                      <c:pt idx="1784">
                        <c:v>19.757999999999999</c:v>
                      </c:pt>
                      <c:pt idx="1785">
                        <c:v>19.757999999999999</c:v>
                      </c:pt>
                      <c:pt idx="1786">
                        <c:v>20.423999999999999</c:v>
                      </c:pt>
                      <c:pt idx="1787">
                        <c:v>20.71</c:v>
                      </c:pt>
                      <c:pt idx="1788">
                        <c:v>20.71</c:v>
                      </c:pt>
                      <c:pt idx="1789">
                        <c:v>20.71</c:v>
                      </c:pt>
                      <c:pt idx="1790">
                        <c:v>20.71</c:v>
                      </c:pt>
                      <c:pt idx="1791">
                        <c:v>20.518999999999998</c:v>
                      </c:pt>
                      <c:pt idx="1792">
                        <c:v>20.518999999999998</c:v>
                      </c:pt>
                      <c:pt idx="1793">
                        <c:v>20.423999999999999</c:v>
                      </c:pt>
                      <c:pt idx="1794">
                        <c:v>20.423999999999999</c:v>
                      </c:pt>
                      <c:pt idx="1795">
                        <c:v>20.518999999999998</c:v>
                      </c:pt>
                      <c:pt idx="1796">
                        <c:v>20.518999999999998</c:v>
                      </c:pt>
                      <c:pt idx="1797">
                        <c:v>20.805</c:v>
                      </c:pt>
                      <c:pt idx="1798">
                        <c:v>20.71</c:v>
                      </c:pt>
                      <c:pt idx="1799">
                        <c:v>20.995999999999999</c:v>
                      </c:pt>
                      <c:pt idx="1800">
                        <c:v>20.995999999999999</c:v>
                      </c:pt>
                      <c:pt idx="1801">
                        <c:v>21.282</c:v>
                      </c:pt>
                      <c:pt idx="1802">
                        <c:v>20.995999999999999</c:v>
                      </c:pt>
                      <c:pt idx="1803">
                        <c:v>20.995999999999999</c:v>
                      </c:pt>
                      <c:pt idx="1804">
                        <c:v>21.187000000000001</c:v>
                      </c:pt>
                      <c:pt idx="1805">
                        <c:v>21.378</c:v>
                      </c:pt>
                      <c:pt idx="1806">
                        <c:v>21.282</c:v>
                      </c:pt>
                      <c:pt idx="1807">
                        <c:v>21.187000000000001</c:v>
                      </c:pt>
                      <c:pt idx="1808">
                        <c:v>21.187000000000001</c:v>
                      </c:pt>
                      <c:pt idx="1809">
                        <c:v>21.282</c:v>
                      </c:pt>
                      <c:pt idx="1810">
                        <c:v>21.282</c:v>
                      </c:pt>
                      <c:pt idx="1811">
                        <c:v>21.664000000000001</c:v>
                      </c:pt>
                      <c:pt idx="1812">
                        <c:v>21.282</c:v>
                      </c:pt>
                      <c:pt idx="1813">
                        <c:v>21.282</c:v>
                      </c:pt>
                      <c:pt idx="1814">
                        <c:v>21.187000000000001</c:v>
                      </c:pt>
                      <c:pt idx="1815">
                        <c:v>21.187000000000001</c:v>
                      </c:pt>
                      <c:pt idx="1816">
                        <c:v>21.568999999999999</c:v>
                      </c:pt>
                      <c:pt idx="1817">
                        <c:v>21.282</c:v>
                      </c:pt>
                      <c:pt idx="1818">
                        <c:v>21.187000000000001</c:v>
                      </c:pt>
                      <c:pt idx="1819">
                        <c:v>21.187000000000001</c:v>
                      </c:pt>
                      <c:pt idx="1820">
                        <c:v>21.187000000000001</c:v>
                      </c:pt>
                      <c:pt idx="1821">
                        <c:v>21.091000000000001</c:v>
                      </c:pt>
                      <c:pt idx="1822">
                        <c:v>21.091000000000001</c:v>
                      </c:pt>
                      <c:pt idx="1823">
                        <c:v>21.091000000000001</c:v>
                      </c:pt>
                      <c:pt idx="1824">
                        <c:v>20.995999999999999</c:v>
                      </c:pt>
                      <c:pt idx="1825">
                        <c:v>20.995999999999999</c:v>
                      </c:pt>
                      <c:pt idx="1826">
                        <c:v>20.995999999999999</c:v>
                      </c:pt>
                      <c:pt idx="1827">
                        <c:v>20.995999999999999</c:v>
                      </c:pt>
                      <c:pt idx="1828">
                        <c:v>20.995999999999999</c:v>
                      </c:pt>
                      <c:pt idx="1829">
                        <c:v>20.995999999999999</c:v>
                      </c:pt>
                      <c:pt idx="1830">
                        <c:v>20.901</c:v>
                      </c:pt>
                      <c:pt idx="1831">
                        <c:v>20.901</c:v>
                      </c:pt>
                      <c:pt idx="1832">
                        <c:v>20.901</c:v>
                      </c:pt>
                      <c:pt idx="1833">
                        <c:v>20.805</c:v>
                      </c:pt>
                      <c:pt idx="1834">
                        <c:v>20.805</c:v>
                      </c:pt>
                      <c:pt idx="1835">
                        <c:v>20.805</c:v>
                      </c:pt>
                      <c:pt idx="1836">
                        <c:v>20.71</c:v>
                      </c:pt>
                      <c:pt idx="1837">
                        <c:v>20.71</c:v>
                      </c:pt>
                      <c:pt idx="1838">
                        <c:v>20.71</c:v>
                      </c:pt>
                      <c:pt idx="1839">
                        <c:v>20.614999999999998</c:v>
                      </c:pt>
                      <c:pt idx="1840">
                        <c:v>20.614999999999998</c:v>
                      </c:pt>
                      <c:pt idx="1841">
                        <c:v>20.518999999999998</c:v>
                      </c:pt>
                      <c:pt idx="1842">
                        <c:v>20.518999999999998</c:v>
                      </c:pt>
                      <c:pt idx="1843">
                        <c:v>20.518999999999998</c:v>
                      </c:pt>
                      <c:pt idx="1844">
                        <c:v>20.423999999999999</c:v>
                      </c:pt>
                      <c:pt idx="1845">
                        <c:v>20.423999999999999</c:v>
                      </c:pt>
                      <c:pt idx="1846">
                        <c:v>20.329000000000001</c:v>
                      </c:pt>
                      <c:pt idx="1847">
                        <c:v>20.234000000000002</c:v>
                      </c:pt>
                      <c:pt idx="1848">
                        <c:v>20.234000000000002</c:v>
                      </c:pt>
                      <c:pt idx="1849">
                        <c:v>20.234000000000002</c:v>
                      </c:pt>
                      <c:pt idx="1850">
                        <c:v>20.138000000000002</c:v>
                      </c:pt>
                      <c:pt idx="1851">
                        <c:v>20.138000000000002</c:v>
                      </c:pt>
                      <c:pt idx="1852">
                        <c:v>20.042999999999999</c:v>
                      </c:pt>
                      <c:pt idx="1853">
                        <c:v>20.042999999999999</c:v>
                      </c:pt>
                      <c:pt idx="1854">
                        <c:v>19.948</c:v>
                      </c:pt>
                      <c:pt idx="1855">
                        <c:v>19.948</c:v>
                      </c:pt>
                      <c:pt idx="1856">
                        <c:v>19.853000000000002</c:v>
                      </c:pt>
                      <c:pt idx="1857">
                        <c:v>19.948</c:v>
                      </c:pt>
                      <c:pt idx="1858">
                        <c:v>19.853000000000002</c:v>
                      </c:pt>
                      <c:pt idx="1859">
                        <c:v>19.948</c:v>
                      </c:pt>
                      <c:pt idx="1860">
                        <c:v>19.853000000000002</c:v>
                      </c:pt>
                      <c:pt idx="1861">
                        <c:v>19.757999999999999</c:v>
                      </c:pt>
                      <c:pt idx="1862">
                        <c:v>19.757999999999999</c:v>
                      </c:pt>
                      <c:pt idx="1863">
                        <c:v>19.757999999999999</c:v>
                      </c:pt>
                      <c:pt idx="1864">
                        <c:v>19.661999999999999</c:v>
                      </c:pt>
                      <c:pt idx="1865">
                        <c:v>19.661999999999999</c:v>
                      </c:pt>
                      <c:pt idx="1866">
                        <c:v>19.661999999999999</c:v>
                      </c:pt>
                      <c:pt idx="1867">
                        <c:v>19.661999999999999</c:v>
                      </c:pt>
                      <c:pt idx="1868">
                        <c:v>19.661999999999999</c:v>
                      </c:pt>
                      <c:pt idx="1869">
                        <c:v>19.661999999999999</c:v>
                      </c:pt>
                      <c:pt idx="1870">
                        <c:v>19.661999999999999</c:v>
                      </c:pt>
                      <c:pt idx="1871">
                        <c:v>19.567</c:v>
                      </c:pt>
                      <c:pt idx="1872">
                        <c:v>19.472000000000001</c:v>
                      </c:pt>
                      <c:pt idx="1873">
                        <c:v>19.472000000000001</c:v>
                      </c:pt>
                      <c:pt idx="1874">
                        <c:v>19.472000000000001</c:v>
                      </c:pt>
                      <c:pt idx="1875">
                        <c:v>19.472000000000001</c:v>
                      </c:pt>
                      <c:pt idx="1876">
                        <c:v>19.376999999999999</c:v>
                      </c:pt>
                      <c:pt idx="1877">
                        <c:v>19.376999999999999</c:v>
                      </c:pt>
                      <c:pt idx="1878">
                        <c:v>19.376999999999999</c:v>
                      </c:pt>
                      <c:pt idx="1879">
                        <c:v>19.376999999999999</c:v>
                      </c:pt>
                      <c:pt idx="1880">
                        <c:v>19.282</c:v>
                      </c:pt>
                      <c:pt idx="1881">
                        <c:v>19.376999999999999</c:v>
                      </c:pt>
                      <c:pt idx="1882">
                        <c:v>19.282</c:v>
                      </c:pt>
                      <c:pt idx="1883">
                        <c:v>19.282</c:v>
                      </c:pt>
                      <c:pt idx="1884">
                        <c:v>19.187000000000001</c:v>
                      </c:pt>
                      <c:pt idx="1885">
                        <c:v>19.187000000000001</c:v>
                      </c:pt>
                      <c:pt idx="1886">
                        <c:v>19.187000000000001</c:v>
                      </c:pt>
                      <c:pt idx="1887">
                        <c:v>19.187000000000001</c:v>
                      </c:pt>
                      <c:pt idx="1888">
                        <c:v>19.091999999999999</c:v>
                      </c:pt>
                      <c:pt idx="1889">
                        <c:v>19.091999999999999</c:v>
                      </c:pt>
                      <c:pt idx="1890">
                        <c:v>19.187000000000001</c:v>
                      </c:pt>
                      <c:pt idx="1891">
                        <c:v>19.091999999999999</c:v>
                      </c:pt>
                      <c:pt idx="1892">
                        <c:v>18.995999999999999</c:v>
                      </c:pt>
                      <c:pt idx="1893">
                        <c:v>18.995999999999999</c:v>
                      </c:pt>
                      <c:pt idx="1894">
                        <c:v>18.995999999999999</c:v>
                      </c:pt>
                      <c:pt idx="1895">
                        <c:v>18.995999999999999</c:v>
                      </c:pt>
                      <c:pt idx="1896">
                        <c:v>18.995999999999999</c:v>
                      </c:pt>
                      <c:pt idx="1897">
                        <c:v>18.995999999999999</c:v>
                      </c:pt>
                      <c:pt idx="1898">
                        <c:v>18.995999999999999</c:v>
                      </c:pt>
                      <c:pt idx="1899">
                        <c:v>18.995999999999999</c:v>
                      </c:pt>
                      <c:pt idx="1900">
                        <c:v>18.901</c:v>
                      </c:pt>
                      <c:pt idx="1901">
                        <c:v>18.901</c:v>
                      </c:pt>
                      <c:pt idx="1902">
                        <c:v>18.806000000000001</c:v>
                      </c:pt>
                      <c:pt idx="1903">
                        <c:v>18.806000000000001</c:v>
                      </c:pt>
                      <c:pt idx="1904">
                        <c:v>18.806000000000001</c:v>
                      </c:pt>
                      <c:pt idx="1905">
                        <c:v>18.710999999999999</c:v>
                      </c:pt>
                      <c:pt idx="1906">
                        <c:v>18.710999999999999</c:v>
                      </c:pt>
                      <c:pt idx="1907">
                        <c:v>18.710999999999999</c:v>
                      </c:pt>
                      <c:pt idx="1908">
                        <c:v>18.710999999999999</c:v>
                      </c:pt>
                      <c:pt idx="1909">
                        <c:v>18.710999999999999</c:v>
                      </c:pt>
                      <c:pt idx="1910">
                        <c:v>18.710999999999999</c:v>
                      </c:pt>
                      <c:pt idx="1911">
                        <c:v>18.710999999999999</c:v>
                      </c:pt>
                      <c:pt idx="1912">
                        <c:v>18.616</c:v>
                      </c:pt>
                      <c:pt idx="1913">
                        <c:v>18.710999999999999</c:v>
                      </c:pt>
                      <c:pt idx="1914">
                        <c:v>18.616</c:v>
                      </c:pt>
                      <c:pt idx="1915">
                        <c:v>18.616</c:v>
                      </c:pt>
                      <c:pt idx="1916">
                        <c:v>18.616</c:v>
                      </c:pt>
                      <c:pt idx="1917">
                        <c:v>18.616</c:v>
                      </c:pt>
                      <c:pt idx="1918">
                        <c:v>18.710999999999999</c:v>
                      </c:pt>
                      <c:pt idx="1919">
                        <c:v>18.710999999999999</c:v>
                      </c:pt>
                      <c:pt idx="1920">
                        <c:v>19.091999999999999</c:v>
                      </c:pt>
                      <c:pt idx="1921">
                        <c:v>18.995999999999999</c:v>
                      </c:pt>
                      <c:pt idx="1922">
                        <c:v>18.995999999999999</c:v>
                      </c:pt>
                      <c:pt idx="1923">
                        <c:v>19.091999999999999</c:v>
                      </c:pt>
                      <c:pt idx="1924">
                        <c:v>19.091999999999999</c:v>
                      </c:pt>
                      <c:pt idx="1925">
                        <c:v>19.187000000000001</c:v>
                      </c:pt>
                      <c:pt idx="1926">
                        <c:v>19.282</c:v>
                      </c:pt>
                      <c:pt idx="1927">
                        <c:v>19.282</c:v>
                      </c:pt>
                      <c:pt idx="1928">
                        <c:v>19.376999999999999</c:v>
                      </c:pt>
                      <c:pt idx="1929">
                        <c:v>19.376999999999999</c:v>
                      </c:pt>
                      <c:pt idx="1930">
                        <c:v>20.138000000000002</c:v>
                      </c:pt>
                      <c:pt idx="1931">
                        <c:v>21.091000000000001</c:v>
                      </c:pt>
                      <c:pt idx="1932">
                        <c:v>20.71</c:v>
                      </c:pt>
                      <c:pt idx="1933">
                        <c:v>20.518999999999998</c:v>
                      </c:pt>
                      <c:pt idx="1934">
                        <c:v>20.518999999999998</c:v>
                      </c:pt>
                      <c:pt idx="1935">
                        <c:v>20.423999999999999</c:v>
                      </c:pt>
                      <c:pt idx="1936">
                        <c:v>20.423999999999999</c:v>
                      </c:pt>
                      <c:pt idx="1937">
                        <c:v>20.234000000000002</c:v>
                      </c:pt>
                      <c:pt idx="1938">
                        <c:v>20.234000000000002</c:v>
                      </c:pt>
                      <c:pt idx="1939">
                        <c:v>20.234000000000002</c:v>
                      </c:pt>
                      <c:pt idx="1940">
                        <c:v>20.518999999999998</c:v>
                      </c:pt>
                      <c:pt idx="1941">
                        <c:v>20.805</c:v>
                      </c:pt>
                      <c:pt idx="1942">
                        <c:v>20.614999999999998</c:v>
                      </c:pt>
                      <c:pt idx="1943">
                        <c:v>21.282</c:v>
                      </c:pt>
                      <c:pt idx="1944">
                        <c:v>21.091000000000001</c:v>
                      </c:pt>
                      <c:pt idx="1945">
                        <c:v>20.995999999999999</c:v>
                      </c:pt>
                      <c:pt idx="1946">
                        <c:v>20.995999999999999</c:v>
                      </c:pt>
                      <c:pt idx="1947">
                        <c:v>20.901</c:v>
                      </c:pt>
                      <c:pt idx="1948">
                        <c:v>21.091000000000001</c:v>
                      </c:pt>
                      <c:pt idx="1949">
                        <c:v>21.187000000000001</c:v>
                      </c:pt>
                      <c:pt idx="1950">
                        <c:v>21.187000000000001</c:v>
                      </c:pt>
                      <c:pt idx="1951">
                        <c:v>21.091000000000001</c:v>
                      </c:pt>
                      <c:pt idx="1952">
                        <c:v>21.091000000000001</c:v>
                      </c:pt>
                      <c:pt idx="1953">
                        <c:v>21.282</c:v>
                      </c:pt>
                      <c:pt idx="1954">
                        <c:v>21.472999999999999</c:v>
                      </c:pt>
                      <c:pt idx="1955">
                        <c:v>21.472999999999999</c:v>
                      </c:pt>
                      <c:pt idx="1956">
                        <c:v>21.282</c:v>
                      </c:pt>
                      <c:pt idx="1957">
                        <c:v>21.187000000000001</c:v>
                      </c:pt>
                      <c:pt idx="1958">
                        <c:v>21.187000000000001</c:v>
                      </c:pt>
                      <c:pt idx="1959">
                        <c:v>21.282</c:v>
                      </c:pt>
                      <c:pt idx="1960">
                        <c:v>21.472999999999999</c:v>
                      </c:pt>
                      <c:pt idx="1961">
                        <c:v>21.282</c:v>
                      </c:pt>
                      <c:pt idx="1962">
                        <c:v>21.187000000000001</c:v>
                      </c:pt>
                      <c:pt idx="1963">
                        <c:v>21.187000000000001</c:v>
                      </c:pt>
                      <c:pt idx="1964">
                        <c:v>21.187000000000001</c:v>
                      </c:pt>
                      <c:pt idx="1965">
                        <c:v>21.091000000000001</c:v>
                      </c:pt>
                      <c:pt idx="1966">
                        <c:v>21.091000000000001</c:v>
                      </c:pt>
                      <c:pt idx="1967">
                        <c:v>21.091000000000001</c:v>
                      </c:pt>
                      <c:pt idx="1968">
                        <c:v>21.091000000000001</c:v>
                      </c:pt>
                      <c:pt idx="1969">
                        <c:v>21.091000000000001</c:v>
                      </c:pt>
                      <c:pt idx="1970">
                        <c:v>21.091000000000001</c:v>
                      </c:pt>
                      <c:pt idx="1971">
                        <c:v>20.995999999999999</c:v>
                      </c:pt>
                      <c:pt idx="1972">
                        <c:v>20.995999999999999</c:v>
                      </c:pt>
                      <c:pt idx="1973">
                        <c:v>20.995999999999999</c:v>
                      </c:pt>
                      <c:pt idx="1974">
                        <c:v>20.995999999999999</c:v>
                      </c:pt>
                      <c:pt idx="1975">
                        <c:v>20.901</c:v>
                      </c:pt>
                      <c:pt idx="1976">
                        <c:v>20.901</c:v>
                      </c:pt>
                      <c:pt idx="1977">
                        <c:v>20.901</c:v>
                      </c:pt>
                      <c:pt idx="1978">
                        <c:v>20.901</c:v>
                      </c:pt>
                      <c:pt idx="1979">
                        <c:v>20.805</c:v>
                      </c:pt>
                      <c:pt idx="1980">
                        <c:v>20.805</c:v>
                      </c:pt>
                      <c:pt idx="1981">
                        <c:v>20.805</c:v>
                      </c:pt>
                      <c:pt idx="1982">
                        <c:v>20.805</c:v>
                      </c:pt>
                      <c:pt idx="1983">
                        <c:v>20.71</c:v>
                      </c:pt>
                      <c:pt idx="1984">
                        <c:v>20.71</c:v>
                      </c:pt>
                      <c:pt idx="1985">
                        <c:v>20.71</c:v>
                      </c:pt>
                      <c:pt idx="1986">
                        <c:v>20.614999999999998</c:v>
                      </c:pt>
                      <c:pt idx="1987">
                        <c:v>20.614999999999998</c:v>
                      </c:pt>
                      <c:pt idx="1988">
                        <c:v>20.614999999999998</c:v>
                      </c:pt>
                      <c:pt idx="1989">
                        <c:v>20.518999999999998</c:v>
                      </c:pt>
                      <c:pt idx="1990">
                        <c:v>20.518999999999998</c:v>
                      </c:pt>
                      <c:pt idx="1991">
                        <c:v>20.423999999999999</c:v>
                      </c:pt>
                      <c:pt idx="1992">
                        <c:v>20.423999999999999</c:v>
                      </c:pt>
                      <c:pt idx="1993">
                        <c:v>20.329000000000001</c:v>
                      </c:pt>
                      <c:pt idx="1994">
                        <c:v>20.234000000000002</c:v>
                      </c:pt>
                      <c:pt idx="1995">
                        <c:v>20.234000000000002</c:v>
                      </c:pt>
                      <c:pt idx="1996">
                        <c:v>20.138000000000002</c:v>
                      </c:pt>
                      <c:pt idx="1997">
                        <c:v>20.138000000000002</c:v>
                      </c:pt>
                      <c:pt idx="1998">
                        <c:v>20.138000000000002</c:v>
                      </c:pt>
                      <c:pt idx="1999">
                        <c:v>20.042999999999999</c:v>
                      </c:pt>
                      <c:pt idx="2000">
                        <c:v>20.042999999999999</c:v>
                      </c:pt>
                      <c:pt idx="2001">
                        <c:v>19.948</c:v>
                      </c:pt>
                      <c:pt idx="2002">
                        <c:v>19.853000000000002</c:v>
                      </c:pt>
                      <c:pt idx="2003">
                        <c:v>19.853000000000002</c:v>
                      </c:pt>
                      <c:pt idx="2004">
                        <c:v>19.757999999999999</c:v>
                      </c:pt>
                      <c:pt idx="2005">
                        <c:v>19.757999999999999</c:v>
                      </c:pt>
                      <c:pt idx="2006">
                        <c:v>19.757999999999999</c:v>
                      </c:pt>
                      <c:pt idx="2007">
                        <c:v>19.757999999999999</c:v>
                      </c:pt>
                      <c:pt idx="2008">
                        <c:v>19.757999999999999</c:v>
                      </c:pt>
                      <c:pt idx="2009">
                        <c:v>19.757999999999999</c:v>
                      </c:pt>
                      <c:pt idx="2010">
                        <c:v>19.757999999999999</c:v>
                      </c:pt>
                      <c:pt idx="2011">
                        <c:v>19.757999999999999</c:v>
                      </c:pt>
                      <c:pt idx="2012">
                        <c:v>19.661999999999999</c:v>
                      </c:pt>
                      <c:pt idx="2013">
                        <c:v>19.661999999999999</c:v>
                      </c:pt>
                      <c:pt idx="2014">
                        <c:v>19.567</c:v>
                      </c:pt>
                      <c:pt idx="2015">
                        <c:v>19.567</c:v>
                      </c:pt>
                      <c:pt idx="2016">
                        <c:v>19.567</c:v>
                      </c:pt>
                      <c:pt idx="2017">
                        <c:v>19.567</c:v>
                      </c:pt>
                      <c:pt idx="2018">
                        <c:v>19.567</c:v>
                      </c:pt>
                      <c:pt idx="2019">
                        <c:v>19.567</c:v>
                      </c:pt>
                      <c:pt idx="2020">
                        <c:v>19.567</c:v>
                      </c:pt>
                      <c:pt idx="2021">
                        <c:v>19.472000000000001</c:v>
                      </c:pt>
                      <c:pt idx="2022">
                        <c:v>19.472000000000001</c:v>
                      </c:pt>
                      <c:pt idx="2023">
                        <c:v>19.472000000000001</c:v>
                      </c:pt>
                      <c:pt idx="2024">
                        <c:v>19.472000000000001</c:v>
                      </c:pt>
                      <c:pt idx="2025">
                        <c:v>19.472000000000001</c:v>
                      </c:pt>
                      <c:pt idx="2026">
                        <c:v>19.472000000000001</c:v>
                      </c:pt>
                      <c:pt idx="2027">
                        <c:v>19.282</c:v>
                      </c:pt>
                      <c:pt idx="2028">
                        <c:v>19.376999999999999</c:v>
                      </c:pt>
                      <c:pt idx="2029">
                        <c:v>19.376999999999999</c:v>
                      </c:pt>
                      <c:pt idx="2030">
                        <c:v>19.282</c:v>
                      </c:pt>
                      <c:pt idx="2031">
                        <c:v>19.282</c:v>
                      </c:pt>
                      <c:pt idx="2032">
                        <c:v>19.187000000000001</c:v>
                      </c:pt>
                      <c:pt idx="2033">
                        <c:v>19.282</c:v>
                      </c:pt>
                      <c:pt idx="2034">
                        <c:v>19.282</c:v>
                      </c:pt>
                      <c:pt idx="2035">
                        <c:v>19.282</c:v>
                      </c:pt>
                      <c:pt idx="2036">
                        <c:v>19.282</c:v>
                      </c:pt>
                      <c:pt idx="2037">
                        <c:v>19.376999999999999</c:v>
                      </c:pt>
                      <c:pt idx="2038">
                        <c:v>19.376999999999999</c:v>
                      </c:pt>
                      <c:pt idx="2039">
                        <c:v>19.376999999999999</c:v>
                      </c:pt>
                      <c:pt idx="2040">
                        <c:v>19.282</c:v>
                      </c:pt>
                      <c:pt idx="2041">
                        <c:v>19.282</c:v>
                      </c:pt>
                      <c:pt idx="2042">
                        <c:v>19.187000000000001</c:v>
                      </c:pt>
                      <c:pt idx="2043">
                        <c:v>19.187000000000001</c:v>
                      </c:pt>
                      <c:pt idx="2044">
                        <c:v>19.187000000000001</c:v>
                      </c:pt>
                      <c:pt idx="2045">
                        <c:v>19.091999999999999</c:v>
                      </c:pt>
                      <c:pt idx="2046">
                        <c:v>18.995999999999999</c:v>
                      </c:pt>
                      <c:pt idx="2047">
                        <c:v>18.995999999999999</c:v>
                      </c:pt>
                      <c:pt idx="2048">
                        <c:v>18.995999999999999</c:v>
                      </c:pt>
                      <c:pt idx="2049">
                        <c:v>18.995999999999999</c:v>
                      </c:pt>
                      <c:pt idx="2050">
                        <c:v>19.091999999999999</c:v>
                      </c:pt>
                      <c:pt idx="2051">
                        <c:v>19.091999999999999</c:v>
                      </c:pt>
                      <c:pt idx="2052">
                        <c:v>19.091999999999999</c:v>
                      </c:pt>
                      <c:pt idx="2053">
                        <c:v>19.091999999999999</c:v>
                      </c:pt>
                      <c:pt idx="2054">
                        <c:v>18.995999999999999</c:v>
                      </c:pt>
                      <c:pt idx="2055">
                        <c:v>18.995999999999999</c:v>
                      </c:pt>
                      <c:pt idx="2056">
                        <c:v>18.901</c:v>
                      </c:pt>
                      <c:pt idx="2057">
                        <c:v>18.901</c:v>
                      </c:pt>
                      <c:pt idx="2058">
                        <c:v>18.995999999999999</c:v>
                      </c:pt>
                      <c:pt idx="2059">
                        <c:v>18.995999999999999</c:v>
                      </c:pt>
                      <c:pt idx="2060">
                        <c:v>18.995999999999999</c:v>
                      </c:pt>
                      <c:pt idx="2061">
                        <c:v>19.091999999999999</c:v>
                      </c:pt>
                      <c:pt idx="2062">
                        <c:v>19.091999999999999</c:v>
                      </c:pt>
                      <c:pt idx="2063">
                        <c:v>19.187000000000001</c:v>
                      </c:pt>
                      <c:pt idx="2064">
                        <c:v>19.376999999999999</c:v>
                      </c:pt>
                      <c:pt idx="2065">
                        <c:v>19.376999999999999</c:v>
                      </c:pt>
                      <c:pt idx="2066">
                        <c:v>19.376999999999999</c:v>
                      </c:pt>
                      <c:pt idx="2067">
                        <c:v>19.376999999999999</c:v>
                      </c:pt>
                      <c:pt idx="2068">
                        <c:v>19.376999999999999</c:v>
                      </c:pt>
                      <c:pt idx="2069">
                        <c:v>19.472000000000001</c:v>
                      </c:pt>
                      <c:pt idx="2070">
                        <c:v>19.567</c:v>
                      </c:pt>
                      <c:pt idx="2071">
                        <c:v>19.567</c:v>
                      </c:pt>
                      <c:pt idx="2072">
                        <c:v>19.661999999999999</c:v>
                      </c:pt>
                      <c:pt idx="2073">
                        <c:v>19.853000000000002</c:v>
                      </c:pt>
                      <c:pt idx="2074">
                        <c:v>20.423999999999999</c:v>
                      </c:pt>
                      <c:pt idx="2075">
                        <c:v>20.901</c:v>
                      </c:pt>
                      <c:pt idx="2076">
                        <c:v>20.805</c:v>
                      </c:pt>
                      <c:pt idx="2077">
                        <c:v>20.995999999999999</c:v>
                      </c:pt>
                      <c:pt idx="2078">
                        <c:v>20.614999999999998</c:v>
                      </c:pt>
                      <c:pt idx="2079">
                        <c:v>20.71</c:v>
                      </c:pt>
                      <c:pt idx="2080">
                        <c:v>20.71</c:v>
                      </c:pt>
                      <c:pt idx="2081">
                        <c:v>20.614999999999998</c:v>
                      </c:pt>
                      <c:pt idx="2082">
                        <c:v>20.614999999999998</c:v>
                      </c:pt>
                      <c:pt idx="2083">
                        <c:v>20.71</c:v>
                      </c:pt>
                      <c:pt idx="2084">
                        <c:v>20.901</c:v>
                      </c:pt>
                      <c:pt idx="2085">
                        <c:v>21.378</c:v>
                      </c:pt>
                      <c:pt idx="2086">
                        <c:v>21.091000000000001</c:v>
                      </c:pt>
                      <c:pt idx="2087">
                        <c:v>21.664000000000001</c:v>
                      </c:pt>
                      <c:pt idx="2088">
                        <c:v>21.472999999999999</c:v>
                      </c:pt>
                      <c:pt idx="2089">
                        <c:v>21.378</c:v>
                      </c:pt>
                      <c:pt idx="2090">
                        <c:v>21.282</c:v>
                      </c:pt>
                      <c:pt idx="2091">
                        <c:v>21.378</c:v>
                      </c:pt>
                      <c:pt idx="2092">
                        <c:v>21.378</c:v>
                      </c:pt>
                      <c:pt idx="2093">
                        <c:v>21.568999999999999</c:v>
                      </c:pt>
                      <c:pt idx="2094">
                        <c:v>21.472999999999999</c:v>
                      </c:pt>
                      <c:pt idx="2095">
                        <c:v>21.378</c:v>
                      </c:pt>
                      <c:pt idx="2096">
                        <c:v>21.378</c:v>
                      </c:pt>
                      <c:pt idx="2097">
                        <c:v>21.568999999999999</c:v>
                      </c:pt>
                      <c:pt idx="2098">
                        <c:v>21.76</c:v>
                      </c:pt>
                      <c:pt idx="2099">
                        <c:v>21.568999999999999</c:v>
                      </c:pt>
                      <c:pt idx="2100">
                        <c:v>21.568999999999999</c:v>
                      </c:pt>
                      <c:pt idx="2101">
                        <c:v>21.568999999999999</c:v>
                      </c:pt>
                      <c:pt idx="2102">
                        <c:v>21.472999999999999</c:v>
                      </c:pt>
                      <c:pt idx="2103">
                        <c:v>21.568999999999999</c:v>
                      </c:pt>
                      <c:pt idx="2104">
                        <c:v>21.76</c:v>
                      </c:pt>
                      <c:pt idx="2105">
                        <c:v>21.664000000000001</c:v>
                      </c:pt>
                      <c:pt idx="2106">
                        <c:v>21.472999999999999</c:v>
                      </c:pt>
                      <c:pt idx="2107">
                        <c:v>21.378</c:v>
                      </c:pt>
                      <c:pt idx="2108">
                        <c:v>21.378</c:v>
                      </c:pt>
                      <c:pt idx="2109">
                        <c:v>21.378</c:v>
                      </c:pt>
                      <c:pt idx="2110">
                        <c:v>21.378</c:v>
                      </c:pt>
                      <c:pt idx="2111">
                        <c:v>21.378</c:v>
                      </c:pt>
                      <c:pt idx="2112">
                        <c:v>21.282</c:v>
                      </c:pt>
                      <c:pt idx="2113">
                        <c:v>21.282</c:v>
                      </c:pt>
                      <c:pt idx="2114">
                        <c:v>21.282</c:v>
                      </c:pt>
                      <c:pt idx="2115">
                        <c:v>21.282</c:v>
                      </c:pt>
                      <c:pt idx="2116">
                        <c:v>21.187000000000001</c:v>
                      </c:pt>
                      <c:pt idx="2117">
                        <c:v>21.187000000000001</c:v>
                      </c:pt>
                      <c:pt idx="2118">
                        <c:v>21.187000000000001</c:v>
                      </c:pt>
                      <c:pt idx="2119">
                        <c:v>21.187000000000001</c:v>
                      </c:pt>
                      <c:pt idx="2120">
                        <c:v>21.091000000000001</c:v>
                      </c:pt>
                      <c:pt idx="2121">
                        <c:v>21.091000000000001</c:v>
                      </c:pt>
                      <c:pt idx="2122">
                        <c:v>21.091000000000001</c:v>
                      </c:pt>
                      <c:pt idx="2123">
                        <c:v>21.091000000000001</c:v>
                      </c:pt>
                      <c:pt idx="2124">
                        <c:v>20.995999999999999</c:v>
                      </c:pt>
                      <c:pt idx="2125">
                        <c:v>20.995999999999999</c:v>
                      </c:pt>
                      <c:pt idx="2126">
                        <c:v>20.995999999999999</c:v>
                      </c:pt>
                      <c:pt idx="2127">
                        <c:v>20.995999999999999</c:v>
                      </c:pt>
                      <c:pt idx="2128">
                        <c:v>20.901</c:v>
                      </c:pt>
                      <c:pt idx="2129">
                        <c:v>20.901</c:v>
                      </c:pt>
                      <c:pt idx="2130">
                        <c:v>20.901</c:v>
                      </c:pt>
                      <c:pt idx="2131">
                        <c:v>20.901</c:v>
                      </c:pt>
                      <c:pt idx="2132">
                        <c:v>20.901</c:v>
                      </c:pt>
                      <c:pt idx="2133">
                        <c:v>20.805</c:v>
                      </c:pt>
                      <c:pt idx="2134">
                        <c:v>20.805</c:v>
                      </c:pt>
                      <c:pt idx="2135">
                        <c:v>20.805</c:v>
                      </c:pt>
                      <c:pt idx="2136">
                        <c:v>20.71</c:v>
                      </c:pt>
                      <c:pt idx="2137">
                        <c:v>20.71</c:v>
                      </c:pt>
                      <c:pt idx="2138">
                        <c:v>20.614999999999998</c:v>
                      </c:pt>
                      <c:pt idx="2139">
                        <c:v>20.518999999999998</c:v>
                      </c:pt>
                      <c:pt idx="2140">
                        <c:v>20.518999999999998</c:v>
                      </c:pt>
                      <c:pt idx="2141">
                        <c:v>20.518999999999998</c:v>
                      </c:pt>
                      <c:pt idx="2142">
                        <c:v>20.423999999999999</c:v>
                      </c:pt>
                      <c:pt idx="2143">
                        <c:v>20.329000000000001</c:v>
                      </c:pt>
                      <c:pt idx="2144">
                        <c:v>20.329000000000001</c:v>
                      </c:pt>
                      <c:pt idx="2145">
                        <c:v>20.329000000000001</c:v>
                      </c:pt>
                      <c:pt idx="2146">
                        <c:v>20.329000000000001</c:v>
                      </c:pt>
                      <c:pt idx="2147">
                        <c:v>20.234000000000002</c:v>
                      </c:pt>
                      <c:pt idx="2148">
                        <c:v>20.234000000000002</c:v>
                      </c:pt>
                      <c:pt idx="2149">
                        <c:v>20.138000000000002</c:v>
                      </c:pt>
                      <c:pt idx="2150">
                        <c:v>20.138000000000002</c:v>
                      </c:pt>
                      <c:pt idx="2151">
                        <c:v>20.138000000000002</c:v>
                      </c:pt>
                      <c:pt idx="2152">
                        <c:v>20.042999999999999</c:v>
                      </c:pt>
                      <c:pt idx="2153">
                        <c:v>20.042999999999999</c:v>
                      </c:pt>
                      <c:pt idx="2154">
                        <c:v>20.042999999999999</c:v>
                      </c:pt>
                      <c:pt idx="2155">
                        <c:v>19.948</c:v>
                      </c:pt>
                      <c:pt idx="2156">
                        <c:v>19.948</c:v>
                      </c:pt>
                      <c:pt idx="2157">
                        <c:v>19.948</c:v>
                      </c:pt>
                      <c:pt idx="2158">
                        <c:v>19.948</c:v>
                      </c:pt>
                      <c:pt idx="2159">
                        <c:v>19.853000000000002</c:v>
                      </c:pt>
                      <c:pt idx="2160">
                        <c:v>19.853000000000002</c:v>
                      </c:pt>
                      <c:pt idx="2161">
                        <c:v>19.853000000000002</c:v>
                      </c:pt>
                      <c:pt idx="2162">
                        <c:v>19.853000000000002</c:v>
                      </c:pt>
                      <c:pt idx="2163">
                        <c:v>19.757999999999999</c:v>
                      </c:pt>
                      <c:pt idx="2164">
                        <c:v>19.661999999999999</c:v>
                      </c:pt>
                      <c:pt idx="2165">
                        <c:v>19.661999999999999</c:v>
                      </c:pt>
                      <c:pt idx="2166">
                        <c:v>19.661999999999999</c:v>
                      </c:pt>
                      <c:pt idx="2167">
                        <c:v>19.661999999999999</c:v>
                      </c:pt>
                      <c:pt idx="2168">
                        <c:v>19.661999999999999</c:v>
                      </c:pt>
                      <c:pt idx="2169">
                        <c:v>19.661999999999999</c:v>
                      </c:pt>
                      <c:pt idx="2170">
                        <c:v>19.661999999999999</c:v>
                      </c:pt>
                      <c:pt idx="2171">
                        <c:v>19.567</c:v>
                      </c:pt>
                      <c:pt idx="2172">
                        <c:v>19.567</c:v>
                      </c:pt>
                      <c:pt idx="2173">
                        <c:v>19.472000000000001</c:v>
                      </c:pt>
                      <c:pt idx="2174">
                        <c:v>19.567</c:v>
                      </c:pt>
                      <c:pt idx="2175">
                        <c:v>19.472000000000001</c:v>
                      </c:pt>
                      <c:pt idx="2176">
                        <c:v>19.376999999999999</c:v>
                      </c:pt>
                      <c:pt idx="2177">
                        <c:v>19.376999999999999</c:v>
                      </c:pt>
                      <c:pt idx="2178">
                        <c:v>19.472000000000001</c:v>
                      </c:pt>
                      <c:pt idx="2179">
                        <c:v>19.472000000000001</c:v>
                      </c:pt>
                      <c:pt idx="2180">
                        <c:v>19.472000000000001</c:v>
                      </c:pt>
                      <c:pt idx="2181">
                        <c:v>19.472000000000001</c:v>
                      </c:pt>
                      <c:pt idx="2182">
                        <c:v>19.376999999999999</c:v>
                      </c:pt>
                      <c:pt idx="2183">
                        <c:v>19.376999999999999</c:v>
                      </c:pt>
                      <c:pt idx="2184">
                        <c:v>19.376999999999999</c:v>
                      </c:pt>
                      <c:pt idx="2185">
                        <c:v>19.376999999999999</c:v>
                      </c:pt>
                      <c:pt idx="2186">
                        <c:v>19.282</c:v>
                      </c:pt>
                      <c:pt idx="2187">
                        <c:v>19.282</c:v>
                      </c:pt>
                      <c:pt idx="2188">
                        <c:v>19.187000000000001</c:v>
                      </c:pt>
                      <c:pt idx="2189">
                        <c:v>19.187000000000001</c:v>
                      </c:pt>
                      <c:pt idx="2190">
                        <c:v>19.187000000000001</c:v>
                      </c:pt>
                      <c:pt idx="2191">
                        <c:v>19.187000000000001</c:v>
                      </c:pt>
                      <c:pt idx="2192">
                        <c:v>19.091999999999999</c:v>
                      </c:pt>
                      <c:pt idx="2193">
                        <c:v>19.091999999999999</c:v>
                      </c:pt>
                      <c:pt idx="2194">
                        <c:v>19.187000000000001</c:v>
                      </c:pt>
                      <c:pt idx="2195">
                        <c:v>19.091999999999999</c:v>
                      </c:pt>
                      <c:pt idx="2196">
                        <c:v>18.995999999999999</c:v>
                      </c:pt>
                      <c:pt idx="2197">
                        <c:v>18.995999999999999</c:v>
                      </c:pt>
                      <c:pt idx="2198">
                        <c:v>18.995999999999999</c:v>
                      </c:pt>
                      <c:pt idx="2199">
                        <c:v>18.995999999999999</c:v>
                      </c:pt>
                      <c:pt idx="2200">
                        <c:v>18.995999999999999</c:v>
                      </c:pt>
                      <c:pt idx="2201">
                        <c:v>18.995999999999999</c:v>
                      </c:pt>
                      <c:pt idx="2202">
                        <c:v>18.995999999999999</c:v>
                      </c:pt>
                      <c:pt idx="2203">
                        <c:v>18.995999999999999</c:v>
                      </c:pt>
                      <c:pt idx="2204">
                        <c:v>19.091999999999999</c:v>
                      </c:pt>
                      <c:pt idx="2205">
                        <c:v>18.995999999999999</c:v>
                      </c:pt>
                      <c:pt idx="2206">
                        <c:v>19.091999999999999</c:v>
                      </c:pt>
                      <c:pt idx="2207">
                        <c:v>19.187000000000001</c:v>
                      </c:pt>
                      <c:pt idx="2208">
                        <c:v>19.187000000000001</c:v>
                      </c:pt>
                      <c:pt idx="2209">
                        <c:v>19.376999999999999</c:v>
                      </c:pt>
                      <c:pt idx="2210">
                        <c:v>19.376999999999999</c:v>
                      </c:pt>
                      <c:pt idx="2211">
                        <c:v>19.376999999999999</c:v>
                      </c:pt>
                      <c:pt idx="2212">
                        <c:v>19.376999999999999</c:v>
                      </c:pt>
                      <c:pt idx="2213">
                        <c:v>19.376999999999999</c:v>
                      </c:pt>
                      <c:pt idx="2214">
                        <c:v>19.472000000000001</c:v>
                      </c:pt>
                      <c:pt idx="2215">
                        <c:v>19.472000000000001</c:v>
                      </c:pt>
                      <c:pt idx="2216">
                        <c:v>19.567</c:v>
                      </c:pt>
                      <c:pt idx="2217">
                        <c:v>19.948</c:v>
                      </c:pt>
                      <c:pt idx="2218">
                        <c:v>20.234000000000002</c:v>
                      </c:pt>
                      <c:pt idx="2219">
                        <c:v>20.518999999999998</c:v>
                      </c:pt>
                      <c:pt idx="2220">
                        <c:v>20.423999999999999</c:v>
                      </c:pt>
                      <c:pt idx="2221">
                        <c:v>20.901</c:v>
                      </c:pt>
                      <c:pt idx="2222">
                        <c:v>20.614999999999998</c:v>
                      </c:pt>
                      <c:pt idx="2223">
                        <c:v>20.71</c:v>
                      </c:pt>
                      <c:pt idx="2224">
                        <c:v>20.518999999999998</c:v>
                      </c:pt>
                      <c:pt idx="2225">
                        <c:v>20.518999999999998</c:v>
                      </c:pt>
                      <c:pt idx="2226">
                        <c:v>20.423999999999999</c:v>
                      </c:pt>
                      <c:pt idx="2227">
                        <c:v>20.518999999999998</c:v>
                      </c:pt>
                      <c:pt idx="2228">
                        <c:v>20.71</c:v>
                      </c:pt>
                      <c:pt idx="2229">
                        <c:v>20.995999999999999</c:v>
                      </c:pt>
                      <c:pt idx="2230">
                        <c:v>20.901</c:v>
                      </c:pt>
                      <c:pt idx="2231">
                        <c:v>21.282</c:v>
                      </c:pt>
                      <c:pt idx="2232">
                        <c:v>21.378</c:v>
                      </c:pt>
                      <c:pt idx="2233">
                        <c:v>21.282</c:v>
                      </c:pt>
                      <c:pt idx="2234">
                        <c:v>21.187000000000001</c:v>
                      </c:pt>
                      <c:pt idx="2235">
                        <c:v>21.091000000000001</c:v>
                      </c:pt>
                      <c:pt idx="2236">
                        <c:v>21.091000000000001</c:v>
                      </c:pt>
                      <c:pt idx="2237">
                        <c:v>21.282</c:v>
                      </c:pt>
                      <c:pt idx="2238">
                        <c:v>21.378</c:v>
                      </c:pt>
                      <c:pt idx="2239">
                        <c:v>21.282</c:v>
                      </c:pt>
                      <c:pt idx="2240">
                        <c:v>21.282</c:v>
                      </c:pt>
                      <c:pt idx="2241">
                        <c:v>21.472999999999999</c:v>
                      </c:pt>
                      <c:pt idx="2242">
                        <c:v>21.664000000000001</c:v>
                      </c:pt>
                      <c:pt idx="2243">
                        <c:v>21.472999999999999</c:v>
                      </c:pt>
                      <c:pt idx="2244">
                        <c:v>21.472999999999999</c:v>
                      </c:pt>
                      <c:pt idx="2245">
                        <c:v>21.568999999999999</c:v>
                      </c:pt>
                      <c:pt idx="2246">
                        <c:v>21.472999999999999</c:v>
                      </c:pt>
                      <c:pt idx="2247">
                        <c:v>21.472999999999999</c:v>
                      </c:pt>
                      <c:pt idx="2248">
                        <c:v>21.568999999999999</c:v>
                      </c:pt>
                      <c:pt idx="2249">
                        <c:v>21.472999999999999</c:v>
                      </c:pt>
                      <c:pt idx="2250">
                        <c:v>21.472999999999999</c:v>
                      </c:pt>
                      <c:pt idx="2251">
                        <c:v>21.472999999999999</c:v>
                      </c:pt>
                      <c:pt idx="2252">
                        <c:v>21.472999999999999</c:v>
                      </c:pt>
                      <c:pt idx="2253">
                        <c:v>21.472999999999999</c:v>
                      </c:pt>
                      <c:pt idx="2254">
                        <c:v>21.378</c:v>
                      </c:pt>
                      <c:pt idx="2255">
                        <c:v>21.378</c:v>
                      </c:pt>
                      <c:pt idx="2256">
                        <c:v>21.378</c:v>
                      </c:pt>
                      <c:pt idx="2257">
                        <c:v>21.378</c:v>
                      </c:pt>
                      <c:pt idx="2258">
                        <c:v>21.282</c:v>
                      </c:pt>
                      <c:pt idx="2259">
                        <c:v>21.282</c:v>
                      </c:pt>
                      <c:pt idx="2260">
                        <c:v>21.282</c:v>
                      </c:pt>
                      <c:pt idx="2261">
                        <c:v>21.187000000000001</c:v>
                      </c:pt>
                      <c:pt idx="2262">
                        <c:v>21.187000000000001</c:v>
                      </c:pt>
                      <c:pt idx="2263">
                        <c:v>21.187000000000001</c:v>
                      </c:pt>
                      <c:pt idx="2264">
                        <c:v>21.187000000000001</c:v>
                      </c:pt>
                      <c:pt idx="2265">
                        <c:v>21.091000000000001</c:v>
                      </c:pt>
                      <c:pt idx="2266">
                        <c:v>21.091000000000001</c:v>
                      </c:pt>
                      <c:pt idx="2267">
                        <c:v>21.091000000000001</c:v>
                      </c:pt>
                      <c:pt idx="2268">
                        <c:v>21.091000000000001</c:v>
                      </c:pt>
                      <c:pt idx="2269">
                        <c:v>21.091000000000001</c:v>
                      </c:pt>
                      <c:pt idx="2270">
                        <c:v>20.995999999999999</c:v>
                      </c:pt>
                      <c:pt idx="2271">
                        <c:v>20.995999999999999</c:v>
                      </c:pt>
                      <c:pt idx="2272">
                        <c:v>20.995999999999999</c:v>
                      </c:pt>
                      <c:pt idx="2273">
                        <c:v>20.995999999999999</c:v>
                      </c:pt>
                      <c:pt idx="2274">
                        <c:v>20.901</c:v>
                      </c:pt>
                      <c:pt idx="2275">
                        <c:v>20.901</c:v>
                      </c:pt>
                      <c:pt idx="2276">
                        <c:v>20.901</c:v>
                      </c:pt>
                      <c:pt idx="2277">
                        <c:v>20.901</c:v>
                      </c:pt>
                      <c:pt idx="2278">
                        <c:v>20.805</c:v>
                      </c:pt>
                      <c:pt idx="2279">
                        <c:v>20.805</c:v>
                      </c:pt>
                      <c:pt idx="2280">
                        <c:v>20.71</c:v>
                      </c:pt>
                      <c:pt idx="2281">
                        <c:v>20.71</c:v>
                      </c:pt>
                      <c:pt idx="2282">
                        <c:v>20.71</c:v>
                      </c:pt>
                      <c:pt idx="2283">
                        <c:v>20.71</c:v>
                      </c:pt>
                      <c:pt idx="2284">
                        <c:v>20.71</c:v>
                      </c:pt>
                      <c:pt idx="2285">
                        <c:v>20.71</c:v>
                      </c:pt>
                      <c:pt idx="2286">
                        <c:v>20.71</c:v>
                      </c:pt>
                      <c:pt idx="2287">
                        <c:v>20.71</c:v>
                      </c:pt>
                      <c:pt idx="2288">
                        <c:v>20.71</c:v>
                      </c:pt>
                      <c:pt idx="2289">
                        <c:v>20.71</c:v>
                      </c:pt>
                      <c:pt idx="2290">
                        <c:v>20.71</c:v>
                      </c:pt>
                      <c:pt idx="2291">
                        <c:v>20.614999999999998</c:v>
                      </c:pt>
                      <c:pt idx="2292">
                        <c:v>20.614999999999998</c:v>
                      </c:pt>
                      <c:pt idx="2293">
                        <c:v>20.614999999999998</c:v>
                      </c:pt>
                      <c:pt idx="2294">
                        <c:v>20.518999999999998</c:v>
                      </c:pt>
                      <c:pt idx="2295">
                        <c:v>20.518999999999998</c:v>
                      </c:pt>
                      <c:pt idx="2296">
                        <c:v>20.423999999999999</c:v>
                      </c:pt>
                      <c:pt idx="2297">
                        <c:v>20.423999999999999</c:v>
                      </c:pt>
                      <c:pt idx="2298">
                        <c:v>20.423999999999999</c:v>
                      </c:pt>
                      <c:pt idx="2299">
                        <c:v>20.423999999999999</c:v>
                      </c:pt>
                      <c:pt idx="2300">
                        <c:v>20.423999999999999</c:v>
                      </c:pt>
                      <c:pt idx="2301">
                        <c:v>20.423999999999999</c:v>
                      </c:pt>
                      <c:pt idx="2302">
                        <c:v>20.423999999999999</c:v>
                      </c:pt>
                      <c:pt idx="2303">
                        <c:v>20.423999999999999</c:v>
                      </c:pt>
                      <c:pt idx="2304">
                        <c:v>20.423999999999999</c:v>
                      </c:pt>
                      <c:pt idx="2305">
                        <c:v>20.423999999999999</c:v>
                      </c:pt>
                      <c:pt idx="2306">
                        <c:v>20.423999999999999</c:v>
                      </c:pt>
                      <c:pt idx="2307">
                        <c:v>20.423999999999999</c:v>
                      </c:pt>
                      <c:pt idx="2308">
                        <c:v>20.423999999999999</c:v>
                      </c:pt>
                      <c:pt idx="2309">
                        <c:v>20.423999999999999</c:v>
                      </c:pt>
                      <c:pt idx="2310">
                        <c:v>20.423999999999999</c:v>
                      </c:pt>
                      <c:pt idx="2311">
                        <c:v>20.423999999999999</c:v>
                      </c:pt>
                      <c:pt idx="2312">
                        <c:v>20.423999999999999</c:v>
                      </c:pt>
                      <c:pt idx="2313">
                        <c:v>20.423999999999999</c:v>
                      </c:pt>
                      <c:pt idx="2314">
                        <c:v>20.423999999999999</c:v>
                      </c:pt>
                      <c:pt idx="2315">
                        <c:v>20.423999999999999</c:v>
                      </c:pt>
                      <c:pt idx="2316">
                        <c:v>20.423999999999999</c:v>
                      </c:pt>
                      <c:pt idx="2317">
                        <c:v>20.423999999999999</c:v>
                      </c:pt>
                      <c:pt idx="2318">
                        <c:v>20.423999999999999</c:v>
                      </c:pt>
                      <c:pt idx="2319">
                        <c:v>20.423999999999999</c:v>
                      </c:pt>
                      <c:pt idx="2320">
                        <c:v>20.423999999999999</c:v>
                      </c:pt>
                      <c:pt idx="2321">
                        <c:v>20.423999999999999</c:v>
                      </c:pt>
                      <c:pt idx="2322">
                        <c:v>20.423999999999999</c:v>
                      </c:pt>
                      <c:pt idx="2323">
                        <c:v>20.423999999999999</c:v>
                      </c:pt>
                      <c:pt idx="2324">
                        <c:v>20.423999999999999</c:v>
                      </c:pt>
                      <c:pt idx="2325">
                        <c:v>20.423999999999999</c:v>
                      </c:pt>
                      <c:pt idx="2326">
                        <c:v>20.423999999999999</c:v>
                      </c:pt>
                      <c:pt idx="2327">
                        <c:v>20.423999999999999</c:v>
                      </c:pt>
                      <c:pt idx="2328">
                        <c:v>20.329000000000001</c:v>
                      </c:pt>
                      <c:pt idx="2329">
                        <c:v>20.329000000000001</c:v>
                      </c:pt>
                      <c:pt idx="2330">
                        <c:v>20.329000000000001</c:v>
                      </c:pt>
                      <c:pt idx="2331">
                        <c:v>20.234000000000002</c:v>
                      </c:pt>
                      <c:pt idx="2332">
                        <c:v>20.234000000000002</c:v>
                      </c:pt>
                      <c:pt idx="2333">
                        <c:v>20.234000000000002</c:v>
                      </c:pt>
                      <c:pt idx="2334">
                        <c:v>20.234000000000002</c:v>
                      </c:pt>
                      <c:pt idx="2335">
                        <c:v>20.234000000000002</c:v>
                      </c:pt>
                      <c:pt idx="2336">
                        <c:v>20.234000000000002</c:v>
                      </c:pt>
                      <c:pt idx="2337">
                        <c:v>20.138000000000002</c:v>
                      </c:pt>
                      <c:pt idx="2338">
                        <c:v>20.138000000000002</c:v>
                      </c:pt>
                      <c:pt idx="2339">
                        <c:v>20.042999999999999</c:v>
                      </c:pt>
                      <c:pt idx="2340">
                        <c:v>20.042999999999999</c:v>
                      </c:pt>
                      <c:pt idx="2341">
                        <c:v>20.042999999999999</c:v>
                      </c:pt>
                      <c:pt idx="2342">
                        <c:v>20.042999999999999</c:v>
                      </c:pt>
                      <c:pt idx="2343">
                        <c:v>20.042999999999999</c:v>
                      </c:pt>
                      <c:pt idx="2344">
                        <c:v>20.042999999999999</c:v>
                      </c:pt>
                      <c:pt idx="2345">
                        <c:v>20.042999999999999</c:v>
                      </c:pt>
                      <c:pt idx="2346">
                        <c:v>20.042999999999999</c:v>
                      </c:pt>
                      <c:pt idx="2347">
                        <c:v>20.042999999999999</c:v>
                      </c:pt>
                      <c:pt idx="2348">
                        <c:v>20.042999999999999</c:v>
                      </c:pt>
                      <c:pt idx="2349">
                        <c:v>20.042999999999999</c:v>
                      </c:pt>
                      <c:pt idx="2350">
                        <c:v>20.042999999999999</c:v>
                      </c:pt>
                      <c:pt idx="2351">
                        <c:v>20.138000000000002</c:v>
                      </c:pt>
                      <c:pt idx="2352">
                        <c:v>20.138000000000002</c:v>
                      </c:pt>
                      <c:pt idx="2353">
                        <c:v>20.234000000000002</c:v>
                      </c:pt>
                      <c:pt idx="2354">
                        <c:v>20.234000000000002</c:v>
                      </c:pt>
                      <c:pt idx="2355">
                        <c:v>20.234000000000002</c:v>
                      </c:pt>
                      <c:pt idx="2356">
                        <c:v>20.234000000000002</c:v>
                      </c:pt>
                      <c:pt idx="2357">
                        <c:v>20.234000000000002</c:v>
                      </c:pt>
                      <c:pt idx="2358">
                        <c:v>20.329000000000001</c:v>
                      </c:pt>
                      <c:pt idx="2359">
                        <c:v>20.329000000000001</c:v>
                      </c:pt>
                      <c:pt idx="2360">
                        <c:v>20.518999999999998</c:v>
                      </c:pt>
                      <c:pt idx="2361">
                        <c:v>20.805</c:v>
                      </c:pt>
                      <c:pt idx="2362">
                        <c:v>20.805</c:v>
                      </c:pt>
                      <c:pt idx="2363">
                        <c:v>21.282</c:v>
                      </c:pt>
                      <c:pt idx="2364">
                        <c:v>21.187000000000001</c:v>
                      </c:pt>
                      <c:pt idx="2365">
                        <c:v>21.378</c:v>
                      </c:pt>
                      <c:pt idx="2366">
                        <c:v>21.378</c:v>
                      </c:pt>
                      <c:pt idx="2367">
                        <c:v>21.187000000000001</c:v>
                      </c:pt>
                      <c:pt idx="2368">
                        <c:v>20.995999999999999</c:v>
                      </c:pt>
                      <c:pt idx="2369">
                        <c:v>21.187000000000001</c:v>
                      </c:pt>
                      <c:pt idx="2370">
                        <c:v>21.091000000000001</c:v>
                      </c:pt>
                      <c:pt idx="2371">
                        <c:v>20.995999999999999</c:v>
                      </c:pt>
                      <c:pt idx="2372">
                        <c:v>21.187000000000001</c:v>
                      </c:pt>
                      <c:pt idx="2373">
                        <c:v>21.472999999999999</c:v>
                      </c:pt>
                      <c:pt idx="2374">
                        <c:v>21.472999999999999</c:v>
                      </c:pt>
                      <c:pt idx="2375">
                        <c:v>21.472999999999999</c:v>
                      </c:pt>
                      <c:pt idx="2376">
                        <c:v>21.664000000000001</c:v>
                      </c:pt>
                      <c:pt idx="2377">
                        <c:v>21.664000000000001</c:v>
                      </c:pt>
                      <c:pt idx="2378">
                        <c:v>21.568999999999999</c:v>
                      </c:pt>
                      <c:pt idx="2379">
                        <c:v>21.568999999999999</c:v>
                      </c:pt>
                      <c:pt idx="2380">
                        <c:v>21.568999999999999</c:v>
                      </c:pt>
                      <c:pt idx="2381">
                        <c:v>21.664000000000001</c:v>
                      </c:pt>
                      <c:pt idx="2382">
                        <c:v>21.855</c:v>
                      </c:pt>
                      <c:pt idx="2383">
                        <c:v>21.664000000000001</c:v>
                      </c:pt>
                      <c:pt idx="2384">
                        <c:v>21.664000000000001</c:v>
                      </c:pt>
                      <c:pt idx="2385">
                        <c:v>21.76</c:v>
                      </c:pt>
                      <c:pt idx="2386">
                        <c:v>21.855</c:v>
                      </c:pt>
                      <c:pt idx="2387">
                        <c:v>21.76</c:v>
                      </c:pt>
                      <c:pt idx="2388">
                        <c:v>21.76</c:v>
                      </c:pt>
                      <c:pt idx="2389">
                        <c:v>21.76</c:v>
                      </c:pt>
                      <c:pt idx="2390">
                        <c:v>21.664000000000001</c:v>
                      </c:pt>
                      <c:pt idx="2391">
                        <c:v>21.664000000000001</c:v>
                      </c:pt>
                      <c:pt idx="2392">
                        <c:v>21.855</c:v>
                      </c:pt>
                      <c:pt idx="2393">
                        <c:v>21.664000000000001</c:v>
                      </c:pt>
                      <c:pt idx="2394">
                        <c:v>21.568999999999999</c:v>
                      </c:pt>
                      <c:pt idx="2395">
                        <c:v>21.568999999999999</c:v>
                      </c:pt>
                      <c:pt idx="2396">
                        <c:v>21.568999999999999</c:v>
                      </c:pt>
                      <c:pt idx="2397">
                        <c:v>21.76</c:v>
                      </c:pt>
                      <c:pt idx="2398">
                        <c:v>21.664000000000001</c:v>
                      </c:pt>
                      <c:pt idx="2399">
                        <c:v>21.664000000000001</c:v>
                      </c:pt>
                      <c:pt idx="2400">
                        <c:v>21.568999999999999</c:v>
                      </c:pt>
                      <c:pt idx="2401">
                        <c:v>21.568999999999999</c:v>
                      </c:pt>
                      <c:pt idx="2402">
                        <c:v>21.472999999999999</c:v>
                      </c:pt>
                      <c:pt idx="2403">
                        <c:v>21.472999999999999</c:v>
                      </c:pt>
                      <c:pt idx="2404">
                        <c:v>21.472999999999999</c:v>
                      </c:pt>
                      <c:pt idx="2405">
                        <c:v>21.472999999999999</c:v>
                      </c:pt>
                      <c:pt idx="2406">
                        <c:v>21.378</c:v>
                      </c:pt>
                      <c:pt idx="2407">
                        <c:v>21.378</c:v>
                      </c:pt>
                      <c:pt idx="2408">
                        <c:v>21.378</c:v>
                      </c:pt>
                      <c:pt idx="2409">
                        <c:v>21.378</c:v>
                      </c:pt>
                      <c:pt idx="2410">
                        <c:v>21.282</c:v>
                      </c:pt>
                      <c:pt idx="2411">
                        <c:v>21.282</c:v>
                      </c:pt>
                      <c:pt idx="2412">
                        <c:v>21.282</c:v>
                      </c:pt>
                      <c:pt idx="2413">
                        <c:v>21.187000000000001</c:v>
                      </c:pt>
                      <c:pt idx="2414">
                        <c:v>21.187000000000001</c:v>
                      </c:pt>
                      <c:pt idx="2415">
                        <c:v>21.187000000000001</c:v>
                      </c:pt>
                      <c:pt idx="2416">
                        <c:v>21.187000000000001</c:v>
                      </c:pt>
                      <c:pt idx="2417">
                        <c:v>21.091000000000001</c:v>
                      </c:pt>
                      <c:pt idx="2418">
                        <c:v>21.091000000000001</c:v>
                      </c:pt>
                      <c:pt idx="2419">
                        <c:v>21.091000000000001</c:v>
                      </c:pt>
                      <c:pt idx="2420">
                        <c:v>21.091000000000001</c:v>
                      </c:pt>
                      <c:pt idx="2421">
                        <c:v>20.995999999999999</c:v>
                      </c:pt>
                      <c:pt idx="2422">
                        <c:v>20.995999999999999</c:v>
                      </c:pt>
                      <c:pt idx="2423">
                        <c:v>20.995999999999999</c:v>
                      </c:pt>
                      <c:pt idx="2424">
                        <c:v>20.995999999999999</c:v>
                      </c:pt>
                      <c:pt idx="2425">
                        <c:v>20.995999999999999</c:v>
                      </c:pt>
                      <c:pt idx="2426">
                        <c:v>20.995999999999999</c:v>
                      </c:pt>
                      <c:pt idx="2427">
                        <c:v>20.901</c:v>
                      </c:pt>
                      <c:pt idx="2428">
                        <c:v>20.901</c:v>
                      </c:pt>
                      <c:pt idx="2429">
                        <c:v>20.901</c:v>
                      </c:pt>
                      <c:pt idx="2430">
                        <c:v>20.901</c:v>
                      </c:pt>
                      <c:pt idx="2431">
                        <c:v>20.805</c:v>
                      </c:pt>
                      <c:pt idx="2432">
                        <c:v>20.805</c:v>
                      </c:pt>
                      <c:pt idx="2433">
                        <c:v>20.805</c:v>
                      </c:pt>
                      <c:pt idx="2434">
                        <c:v>20.805</c:v>
                      </c:pt>
                      <c:pt idx="2435">
                        <c:v>20.805</c:v>
                      </c:pt>
                      <c:pt idx="2436">
                        <c:v>20.805</c:v>
                      </c:pt>
                      <c:pt idx="2437">
                        <c:v>20.805</c:v>
                      </c:pt>
                      <c:pt idx="2438">
                        <c:v>20.805</c:v>
                      </c:pt>
                      <c:pt idx="2439">
                        <c:v>20.805</c:v>
                      </c:pt>
                      <c:pt idx="2440">
                        <c:v>20.805</c:v>
                      </c:pt>
                      <c:pt idx="2441">
                        <c:v>20.805</c:v>
                      </c:pt>
                      <c:pt idx="2442">
                        <c:v>20.71</c:v>
                      </c:pt>
                      <c:pt idx="2443">
                        <c:v>20.71</c:v>
                      </c:pt>
                      <c:pt idx="2444">
                        <c:v>20.71</c:v>
                      </c:pt>
                      <c:pt idx="2445">
                        <c:v>20.71</c:v>
                      </c:pt>
                      <c:pt idx="2446">
                        <c:v>20.71</c:v>
                      </c:pt>
                      <c:pt idx="2447">
                        <c:v>20.71</c:v>
                      </c:pt>
                      <c:pt idx="2448">
                        <c:v>20.71</c:v>
                      </c:pt>
                      <c:pt idx="2449">
                        <c:v>20.71</c:v>
                      </c:pt>
                      <c:pt idx="2450">
                        <c:v>20.71</c:v>
                      </c:pt>
                      <c:pt idx="2451">
                        <c:v>20.71</c:v>
                      </c:pt>
                      <c:pt idx="2452">
                        <c:v>20.71</c:v>
                      </c:pt>
                      <c:pt idx="2453">
                        <c:v>20.71</c:v>
                      </c:pt>
                      <c:pt idx="2454">
                        <c:v>20.71</c:v>
                      </c:pt>
                      <c:pt idx="2455">
                        <c:v>20.71</c:v>
                      </c:pt>
                      <c:pt idx="2456">
                        <c:v>20.71</c:v>
                      </c:pt>
                      <c:pt idx="2457">
                        <c:v>20.614999999999998</c:v>
                      </c:pt>
                      <c:pt idx="2458">
                        <c:v>20.614999999999998</c:v>
                      </c:pt>
                      <c:pt idx="2459">
                        <c:v>20.614999999999998</c:v>
                      </c:pt>
                      <c:pt idx="2460">
                        <c:v>20.614999999999998</c:v>
                      </c:pt>
                      <c:pt idx="2461">
                        <c:v>20.614999999999998</c:v>
                      </c:pt>
                      <c:pt idx="2462">
                        <c:v>20.614999999999998</c:v>
                      </c:pt>
                      <c:pt idx="2463">
                        <c:v>20.614999999999998</c:v>
                      </c:pt>
                      <c:pt idx="2464">
                        <c:v>20.614999999999998</c:v>
                      </c:pt>
                      <c:pt idx="2465">
                        <c:v>20.614999999999998</c:v>
                      </c:pt>
                      <c:pt idx="2466">
                        <c:v>20.614999999999998</c:v>
                      </c:pt>
                      <c:pt idx="2467">
                        <c:v>20.614999999999998</c:v>
                      </c:pt>
                      <c:pt idx="2468">
                        <c:v>20.614999999999998</c:v>
                      </c:pt>
                      <c:pt idx="2469">
                        <c:v>20.518999999999998</c:v>
                      </c:pt>
                      <c:pt idx="2470">
                        <c:v>20.518999999999998</c:v>
                      </c:pt>
                      <c:pt idx="2471">
                        <c:v>20.518999999999998</c:v>
                      </c:pt>
                      <c:pt idx="2472">
                        <c:v>20.423999999999999</c:v>
                      </c:pt>
                      <c:pt idx="2473">
                        <c:v>20.423999999999999</c:v>
                      </c:pt>
                      <c:pt idx="2474">
                        <c:v>20.423999999999999</c:v>
                      </c:pt>
                      <c:pt idx="2475">
                        <c:v>20.423999999999999</c:v>
                      </c:pt>
                      <c:pt idx="2476">
                        <c:v>20.329000000000001</c:v>
                      </c:pt>
                      <c:pt idx="2477">
                        <c:v>20.329000000000001</c:v>
                      </c:pt>
                      <c:pt idx="2478">
                        <c:v>20.329000000000001</c:v>
                      </c:pt>
                      <c:pt idx="2479">
                        <c:v>20.329000000000001</c:v>
                      </c:pt>
                      <c:pt idx="2480">
                        <c:v>20.329000000000001</c:v>
                      </c:pt>
                      <c:pt idx="2481">
                        <c:v>20.234000000000002</c:v>
                      </c:pt>
                      <c:pt idx="2482">
                        <c:v>20.234000000000002</c:v>
                      </c:pt>
                      <c:pt idx="2483">
                        <c:v>20.234000000000002</c:v>
                      </c:pt>
                      <c:pt idx="2484">
                        <c:v>20.234000000000002</c:v>
                      </c:pt>
                      <c:pt idx="2485">
                        <c:v>20.234000000000002</c:v>
                      </c:pt>
                      <c:pt idx="2486">
                        <c:v>20.234000000000002</c:v>
                      </c:pt>
                      <c:pt idx="2487">
                        <c:v>20.234000000000002</c:v>
                      </c:pt>
                      <c:pt idx="2488">
                        <c:v>20.234000000000002</c:v>
                      </c:pt>
                      <c:pt idx="2489">
                        <c:v>20.234000000000002</c:v>
                      </c:pt>
                      <c:pt idx="2490">
                        <c:v>20.234000000000002</c:v>
                      </c:pt>
                      <c:pt idx="2491">
                        <c:v>20.234000000000002</c:v>
                      </c:pt>
                      <c:pt idx="2492">
                        <c:v>20.234000000000002</c:v>
                      </c:pt>
                      <c:pt idx="2493">
                        <c:v>20.234000000000002</c:v>
                      </c:pt>
                      <c:pt idx="2494">
                        <c:v>20.234000000000002</c:v>
                      </c:pt>
                      <c:pt idx="2495">
                        <c:v>20.234000000000002</c:v>
                      </c:pt>
                      <c:pt idx="2496">
                        <c:v>20.234000000000002</c:v>
                      </c:pt>
                      <c:pt idx="2497">
                        <c:v>20.329000000000001</c:v>
                      </c:pt>
                      <c:pt idx="2498">
                        <c:v>20.329000000000001</c:v>
                      </c:pt>
                      <c:pt idx="2499">
                        <c:v>20.329000000000001</c:v>
                      </c:pt>
                      <c:pt idx="2500">
                        <c:v>20.329000000000001</c:v>
                      </c:pt>
                      <c:pt idx="2501">
                        <c:v>20.423999999999999</c:v>
                      </c:pt>
                      <c:pt idx="2502">
                        <c:v>20.423999999999999</c:v>
                      </c:pt>
                      <c:pt idx="2503">
                        <c:v>20.423999999999999</c:v>
                      </c:pt>
                      <c:pt idx="2504">
                        <c:v>20.518999999999998</c:v>
                      </c:pt>
                      <c:pt idx="2505">
                        <c:v>20.614999999999998</c:v>
                      </c:pt>
                      <c:pt idx="2506">
                        <c:v>20.71</c:v>
                      </c:pt>
                      <c:pt idx="2507">
                        <c:v>21.091000000000001</c:v>
                      </c:pt>
                      <c:pt idx="2508">
                        <c:v>21.091000000000001</c:v>
                      </c:pt>
                      <c:pt idx="2509">
                        <c:v>21.187000000000001</c:v>
                      </c:pt>
                      <c:pt idx="2510">
                        <c:v>21.187000000000001</c:v>
                      </c:pt>
                      <c:pt idx="2511">
                        <c:v>21.091000000000001</c:v>
                      </c:pt>
                      <c:pt idx="2512">
                        <c:v>20.995999999999999</c:v>
                      </c:pt>
                      <c:pt idx="2513">
                        <c:v>21.091000000000001</c:v>
                      </c:pt>
                      <c:pt idx="2514">
                        <c:v>21.091000000000001</c:v>
                      </c:pt>
                      <c:pt idx="2515">
                        <c:v>21.091000000000001</c:v>
                      </c:pt>
                      <c:pt idx="2516">
                        <c:v>21.187000000000001</c:v>
                      </c:pt>
                      <c:pt idx="2517">
                        <c:v>21.282</c:v>
                      </c:pt>
                      <c:pt idx="2518">
                        <c:v>21.378</c:v>
                      </c:pt>
                      <c:pt idx="2519">
                        <c:v>21.472999999999999</c:v>
                      </c:pt>
                      <c:pt idx="2520">
                        <c:v>21.568999999999999</c:v>
                      </c:pt>
                      <c:pt idx="2521">
                        <c:v>21.568999999999999</c:v>
                      </c:pt>
                      <c:pt idx="2522">
                        <c:v>21.472999999999999</c:v>
                      </c:pt>
                      <c:pt idx="2523">
                        <c:v>21.568999999999999</c:v>
                      </c:pt>
                      <c:pt idx="2524">
                        <c:v>21.568999999999999</c:v>
                      </c:pt>
                      <c:pt idx="2525">
                        <c:v>21.664000000000001</c:v>
                      </c:pt>
                      <c:pt idx="2526">
                        <c:v>21.855</c:v>
                      </c:pt>
                      <c:pt idx="2527">
                        <c:v>21.664000000000001</c:v>
                      </c:pt>
                      <c:pt idx="2528">
                        <c:v>21.76</c:v>
                      </c:pt>
                      <c:pt idx="2529">
                        <c:v>21.855</c:v>
                      </c:pt>
                      <c:pt idx="2530">
                        <c:v>22.141999999999999</c:v>
                      </c:pt>
                      <c:pt idx="2531">
                        <c:v>22.238</c:v>
                      </c:pt>
                      <c:pt idx="2532">
                        <c:v>22.141999999999999</c:v>
                      </c:pt>
                      <c:pt idx="2533">
                        <c:v>22.045999999999999</c:v>
                      </c:pt>
                      <c:pt idx="2534">
                        <c:v>21.855</c:v>
                      </c:pt>
                      <c:pt idx="2535">
                        <c:v>21.76</c:v>
                      </c:pt>
                      <c:pt idx="2536">
                        <c:v>21.951000000000001</c:v>
                      </c:pt>
                      <c:pt idx="2537">
                        <c:v>21.76</c:v>
                      </c:pt>
                      <c:pt idx="2538">
                        <c:v>21.76</c:v>
                      </c:pt>
                      <c:pt idx="2539">
                        <c:v>21.76</c:v>
                      </c:pt>
                      <c:pt idx="2540">
                        <c:v>21.664000000000001</c:v>
                      </c:pt>
                      <c:pt idx="2541">
                        <c:v>21.664000000000001</c:v>
                      </c:pt>
                      <c:pt idx="2542">
                        <c:v>21.664000000000001</c:v>
                      </c:pt>
                      <c:pt idx="2543">
                        <c:v>21.664000000000001</c:v>
                      </c:pt>
                      <c:pt idx="2544">
                        <c:v>21.664000000000001</c:v>
                      </c:pt>
                      <c:pt idx="2545">
                        <c:v>21.568999999999999</c:v>
                      </c:pt>
                      <c:pt idx="2546">
                        <c:v>21.568999999999999</c:v>
                      </c:pt>
                      <c:pt idx="2547">
                        <c:v>21.568999999999999</c:v>
                      </c:pt>
                      <c:pt idx="2548">
                        <c:v>21.568999999999999</c:v>
                      </c:pt>
                      <c:pt idx="2549">
                        <c:v>21.472999999999999</c:v>
                      </c:pt>
                      <c:pt idx="2550">
                        <c:v>21.472999999999999</c:v>
                      </c:pt>
                      <c:pt idx="2551">
                        <c:v>21.472999999999999</c:v>
                      </c:pt>
                      <c:pt idx="2552">
                        <c:v>21.378</c:v>
                      </c:pt>
                      <c:pt idx="2553">
                        <c:v>21.378</c:v>
                      </c:pt>
                      <c:pt idx="2554">
                        <c:v>21.378</c:v>
                      </c:pt>
                      <c:pt idx="2555">
                        <c:v>21.282</c:v>
                      </c:pt>
                      <c:pt idx="2556">
                        <c:v>21.282</c:v>
                      </c:pt>
                      <c:pt idx="2557">
                        <c:v>21.282</c:v>
                      </c:pt>
                      <c:pt idx="2558">
                        <c:v>21.282</c:v>
                      </c:pt>
                      <c:pt idx="2559">
                        <c:v>21.187000000000001</c:v>
                      </c:pt>
                      <c:pt idx="2560">
                        <c:v>21.187000000000001</c:v>
                      </c:pt>
                      <c:pt idx="2561">
                        <c:v>21.187000000000001</c:v>
                      </c:pt>
                      <c:pt idx="2562">
                        <c:v>21.187000000000001</c:v>
                      </c:pt>
                      <c:pt idx="2563">
                        <c:v>21.187000000000001</c:v>
                      </c:pt>
                      <c:pt idx="2564">
                        <c:v>21.091000000000001</c:v>
                      </c:pt>
                      <c:pt idx="2565">
                        <c:v>21.091000000000001</c:v>
                      </c:pt>
                      <c:pt idx="2566">
                        <c:v>21.091000000000001</c:v>
                      </c:pt>
                      <c:pt idx="2567">
                        <c:v>21.091000000000001</c:v>
                      </c:pt>
                      <c:pt idx="2568">
                        <c:v>21.091000000000001</c:v>
                      </c:pt>
                      <c:pt idx="2569">
                        <c:v>20.995999999999999</c:v>
                      </c:pt>
                      <c:pt idx="2570">
                        <c:v>20.995999999999999</c:v>
                      </c:pt>
                      <c:pt idx="2571">
                        <c:v>20.995999999999999</c:v>
                      </c:pt>
                      <c:pt idx="2572">
                        <c:v>20.995999999999999</c:v>
                      </c:pt>
                      <c:pt idx="2573">
                        <c:v>20.901</c:v>
                      </c:pt>
                      <c:pt idx="2574">
                        <c:v>20.901</c:v>
                      </c:pt>
                      <c:pt idx="2575">
                        <c:v>20.901</c:v>
                      </c:pt>
                      <c:pt idx="2576">
                        <c:v>20.805</c:v>
                      </c:pt>
                      <c:pt idx="2577">
                        <c:v>20.805</c:v>
                      </c:pt>
                      <c:pt idx="2578">
                        <c:v>20.805</c:v>
                      </c:pt>
                      <c:pt idx="2579">
                        <c:v>20.805</c:v>
                      </c:pt>
                      <c:pt idx="2580">
                        <c:v>20.805</c:v>
                      </c:pt>
                      <c:pt idx="2581">
                        <c:v>20.71</c:v>
                      </c:pt>
                      <c:pt idx="2582">
                        <c:v>20.71</c:v>
                      </c:pt>
                      <c:pt idx="2583">
                        <c:v>20.71</c:v>
                      </c:pt>
                      <c:pt idx="2584">
                        <c:v>20.614999999999998</c:v>
                      </c:pt>
                      <c:pt idx="2585">
                        <c:v>20.614999999999998</c:v>
                      </c:pt>
                      <c:pt idx="2586">
                        <c:v>20.614999999999998</c:v>
                      </c:pt>
                      <c:pt idx="2587">
                        <c:v>20.614999999999998</c:v>
                      </c:pt>
                      <c:pt idx="2588">
                        <c:v>20.614999999999998</c:v>
                      </c:pt>
                      <c:pt idx="2589">
                        <c:v>20.614999999999998</c:v>
                      </c:pt>
                      <c:pt idx="2590">
                        <c:v>20.518999999999998</c:v>
                      </c:pt>
                      <c:pt idx="2591">
                        <c:v>20.518999999999998</c:v>
                      </c:pt>
                      <c:pt idx="2592">
                        <c:v>20.518999999999998</c:v>
                      </c:pt>
                      <c:pt idx="2593">
                        <c:v>20.518999999999998</c:v>
                      </c:pt>
                      <c:pt idx="2594">
                        <c:v>20.518999999999998</c:v>
                      </c:pt>
                      <c:pt idx="2595">
                        <c:v>20.518999999999998</c:v>
                      </c:pt>
                      <c:pt idx="2596">
                        <c:v>20.423999999999999</c:v>
                      </c:pt>
                      <c:pt idx="2597">
                        <c:v>20.423999999999999</c:v>
                      </c:pt>
                      <c:pt idx="2598">
                        <c:v>20.423999999999999</c:v>
                      </c:pt>
                      <c:pt idx="2599">
                        <c:v>20.329000000000001</c:v>
                      </c:pt>
                      <c:pt idx="2600">
                        <c:v>20.329000000000001</c:v>
                      </c:pt>
                      <c:pt idx="2601">
                        <c:v>20.329000000000001</c:v>
                      </c:pt>
                      <c:pt idx="2602">
                        <c:v>20.234000000000002</c:v>
                      </c:pt>
                      <c:pt idx="2603">
                        <c:v>20.234000000000002</c:v>
                      </c:pt>
                      <c:pt idx="2604">
                        <c:v>20.234000000000002</c:v>
                      </c:pt>
                      <c:pt idx="2605">
                        <c:v>20.234000000000002</c:v>
                      </c:pt>
                      <c:pt idx="2606">
                        <c:v>20.138000000000002</c:v>
                      </c:pt>
                      <c:pt idx="2607">
                        <c:v>20.138000000000002</c:v>
                      </c:pt>
                      <c:pt idx="2608">
                        <c:v>20.138000000000002</c:v>
                      </c:pt>
                      <c:pt idx="2609">
                        <c:v>20.138000000000002</c:v>
                      </c:pt>
                      <c:pt idx="2610">
                        <c:v>20.138000000000002</c:v>
                      </c:pt>
                      <c:pt idx="2611">
                        <c:v>20.138000000000002</c:v>
                      </c:pt>
                      <c:pt idx="2612">
                        <c:v>20.042999999999999</c:v>
                      </c:pt>
                      <c:pt idx="2613">
                        <c:v>20.042999999999999</c:v>
                      </c:pt>
                      <c:pt idx="2614">
                        <c:v>19.948</c:v>
                      </c:pt>
                      <c:pt idx="2615">
                        <c:v>20.042999999999999</c:v>
                      </c:pt>
                      <c:pt idx="2616">
                        <c:v>20.042999999999999</c:v>
                      </c:pt>
                      <c:pt idx="2617">
                        <c:v>20.042999999999999</c:v>
                      </c:pt>
                      <c:pt idx="2618">
                        <c:v>19.853000000000002</c:v>
                      </c:pt>
                      <c:pt idx="2619">
                        <c:v>19.853000000000002</c:v>
                      </c:pt>
                      <c:pt idx="2620">
                        <c:v>19.853000000000002</c:v>
                      </c:pt>
                      <c:pt idx="2621">
                        <c:v>19.757999999999999</c:v>
                      </c:pt>
                      <c:pt idx="2622">
                        <c:v>19.757999999999999</c:v>
                      </c:pt>
                      <c:pt idx="2623">
                        <c:v>19.853000000000002</c:v>
                      </c:pt>
                      <c:pt idx="2624">
                        <c:v>19.757999999999999</c:v>
                      </c:pt>
                      <c:pt idx="2625">
                        <c:v>19.661999999999999</c:v>
                      </c:pt>
                      <c:pt idx="2626">
                        <c:v>19.661999999999999</c:v>
                      </c:pt>
                      <c:pt idx="2627">
                        <c:v>19.661999999999999</c:v>
                      </c:pt>
                      <c:pt idx="2628">
                        <c:v>19.567</c:v>
                      </c:pt>
                      <c:pt idx="2629">
                        <c:v>19.567</c:v>
                      </c:pt>
                      <c:pt idx="2630">
                        <c:v>19.567</c:v>
                      </c:pt>
                      <c:pt idx="2631">
                        <c:v>19.567</c:v>
                      </c:pt>
                      <c:pt idx="2632">
                        <c:v>19.567</c:v>
                      </c:pt>
                      <c:pt idx="2633">
                        <c:v>19.567</c:v>
                      </c:pt>
                      <c:pt idx="2634">
                        <c:v>19.567</c:v>
                      </c:pt>
                      <c:pt idx="2635">
                        <c:v>19.472000000000001</c:v>
                      </c:pt>
                      <c:pt idx="2636">
                        <c:v>19.567</c:v>
                      </c:pt>
                      <c:pt idx="2637">
                        <c:v>19.661999999999999</c:v>
                      </c:pt>
                      <c:pt idx="2638">
                        <c:v>19.661999999999999</c:v>
                      </c:pt>
                      <c:pt idx="2639">
                        <c:v>19.853000000000002</c:v>
                      </c:pt>
                      <c:pt idx="2640">
                        <c:v>19.853000000000002</c:v>
                      </c:pt>
                      <c:pt idx="2641">
                        <c:v>19.948</c:v>
                      </c:pt>
                      <c:pt idx="2642">
                        <c:v>19.948</c:v>
                      </c:pt>
                      <c:pt idx="2643">
                        <c:v>20.042999999999999</c:v>
                      </c:pt>
                      <c:pt idx="2644">
                        <c:v>20.042999999999999</c:v>
                      </c:pt>
                      <c:pt idx="2645">
                        <c:v>20.138000000000002</c:v>
                      </c:pt>
                      <c:pt idx="2646">
                        <c:v>20.138000000000002</c:v>
                      </c:pt>
                      <c:pt idx="2647">
                        <c:v>20.234000000000002</c:v>
                      </c:pt>
                      <c:pt idx="2648">
                        <c:v>20.329000000000001</c:v>
                      </c:pt>
                      <c:pt idx="2649">
                        <c:v>20.518999999999998</c:v>
                      </c:pt>
                      <c:pt idx="2650">
                        <c:v>20.805</c:v>
                      </c:pt>
                      <c:pt idx="2651">
                        <c:v>21.76</c:v>
                      </c:pt>
                      <c:pt idx="2652">
                        <c:v>21.568999999999999</c:v>
                      </c:pt>
                      <c:pt idx="2653">
                        <c:v>21.378</c:v>
                      </c:pt>
                      <c:pt idx="2654">
                        <c:v>21.378</c:v>
                      </c:pt>
                      <c:pt idx="2655">
                        <c:v>20.901</c:v>
                      </c:pt>
                      <c:pt idx="2656">
                        <c:v>20.995999999999999</c:v>
                      </c:pt>
                      <c:pt idx="2657">
                        <c:v>21.091000000000001</c:v>
                      </c:pt>
                      <c:pt idx="2658">
                        <c:v>20.995999999999999</c:v>
                      </c:pt>
                      <c:pt idx="2659">
                        <c:v>20.901</c:v>
                      </c:pt>
                      <c:pt idx="2660">
                        <c:v>20.995999999999999</c:v>
                      </c:pt>
                      <c:pt idx="2661">
                        <c:v>21.472999999999999</c:v>
                      </c:pt>
                      <c:pt idx="2662">
                        <c:v>21.472999999999999</c:v>
                      </c:pt>
                      <c:pt idx="2663">
                        <c:v>22.332999999999998</c:v>
                      </c:pt>
                      <c:pt idx="2664">
                        <c:v>21.664000000000001</c:v>
                      </c:pt>
                      <c:pt idx="2665">
                        <c:v>21.568999999999999</c:v>
                      </c:pt>
                      <c:pt idx="2666">
                        <c:v>21.472999999999999</c:v>
                      </c:pt>
                      <c:pt idx="2667">
                        <c:v>21.472999999999999</c:v>
                      </c:pt>
                      <c:pt idx="2668">
                        <c:v>21.472999999999999</c:v>
                      </c:pt>
                      <c:pt idx="2669">
                        <c:v>21.951000000000001</c:v>
                      </c:pt>
                      <c:pt idx="2670">
                        <c:v>21.76</c:v>
                      </c:pt>
                      <c:pt idx="2671">
                        <c:v>21.664000000000001</c:v>
                      </c:pt>
                      <c:pt idx="2672">
                        <c:v>21.568999999999999</c:v>
                      </c:pt>
                      <c:pt idx="2673">
                        <c:v>22.045999999999999</c:v>
                      </c:pt>
                      <c:pt idx="2674">
                        <c:v>22.141999999999999</c:v>
                      </c:pt>
                      <c:pt idx="2675">
                        <c:v>22.045999999999999</c:v>
                      </c:pt>
                      <c:pt idx="2676">
                        <c:v>21.951000000000001</c:v>
                      </c:pt>
                      <c:pt idx="2677">
                        <c:v>22.141999999999999</c:v>
                      </c:pt>
                      <c:pt idx="2678">
                        <c:v>21.76</c:v>
                      </c:pt>
                      <c:pt idx="2679">
                        <c:v>21.664000000000001</c:v>
                      </c:pt>
                      <c:pt idx="2680">
                        <c:v>21.855</c:v>
                      </c:pt>
                      <c:pt idx="2681">
                        <c:v>21.76</c:v>
                      </c:pt>
                      <c:pt idx="2682">
                        <c:v>21.664000000000001</c:v>
                      </c:pt>
                      <c:pt idx="2683">
                        <c:v>21.664000000000001</c:v>
                      </c:pt>
                      <c:pt idx="2684">
                        <c:v>21.568999999999999</c:v>
                      </c:pt>
                      <c:pt idx="2685">
                        <c:v>21.568999999999999</c:v>
                      </c:pt>
                      <c:pt idx="2686">
                        <c:v>21.568999999999999</c:v>
                      </c:pt>
                      <c:pt idx="2687">
                        <c:v>21.568999999999999</c:v>
                      </c:pt>
                      <c:pt idx="2688">
                        <c:v>21.568999999999999</c:v>
                      </c:pt>
                      <c:pt idx="2689">
                        <c:v>21.472999999999999</c:v>
                      </c:pt>
                      <c:pt idx="2690">
                        <c:v>21.472999999999999</c:v>
                      </c:pt>
                      <c:pt idx="2691">
                        <c:v>21.472999999999999</c:v>
                      </c:pt>
                      <c:pt idx="2692">
                        <c:v>21.472999999999999</c:v>
                      </c:pt>
                      <c:pt idx="2693">
                        <c:v>21.378</c:v>
                      </c:pt>
                      <c:pt idx="2694">
                        <c:v>21.378</c:v>
                      </c:pt>
                      <c:pt idx="2695">
                        <c:v>21.378</c:v>
                      </c:pt>
                      <c:pt idx="2696">
                        <c:v>21.282</c:v>
                      </c:pt>
                      <c:pt idx="2697">
                        <c:v>21.282</c:v>
                      </c:pt>
                      <c:pt idx="2698">
                        <c:v>21.282</c:v>
                      </c:pt>
                      <c:pt idx="2699">
                        <c:v>21.187000000000001</c:v>
                      </c:pt>
                      <c:pt idx="2700">
                        <c:v>21.187000000000001</c:v>
                      </c:pt>
                      <c:pt idx="2701">
                        <c:v>21.187000000000001</c:v>
                      </c:pt>
                      <c:pt idx="2702">
                        <c:v>21.187000000000001</c:v>
                      </c:pt>
                      <c:pt idx="2703">
                        <c:v>21.187000000000001</c:v>
                      </c:pt>
                      <c:pt idx="2704">
                        <c:v>21.091000000000001</c:v>
                      </c:pt>
                      <c:pt idx="2705">
                        <c:v>21.091000000000001</c:v>
                      </c:pt>
                      <c:pt idx="2706">
                        <c:v>21.091000000000001</c:v>
                      </c:pt>
                      <c:pt idx="2707">
                        <c:v>21.091000000000001</c:v>
                      </c:pt>
                      <c:pt idx="2708">
                        <c:v>21.091000000000001</c:v>
                      </c:pt>
                      <c:pt idx="2709">
                        <c:v>21.091000000000001</c:v>
                      </c:pt>
                      <c:pt idx="2710">
                        <c:v>21.091000000000001</c:v>
                      </c:pt>
                      <c:pt idx="2711">
                        <c:v>20.995999999999999</c:v>
                      </c:pt>
                      <c:pt idx="2712">
                        <c:v>20.995999999999999</c:v>
                      </c:pt>
                      <c:pt idx="2713">
                        <c:v>20.901</c:v>
                      </c:pt>
                      <c:pt idx="2714">
                        <c:v>20.901</c:v>
                      </c:pt>
                      <c:pt idx="2715">
                        <c:v>20.901</c:v>
                      </c:pt>
                      <c:pt idx="2716">
                        <c:v>20.805</c:v>
                      </c:pt>
                      <c:pt idx="2717">
                        <c:v>20.805</c:v>
                      </c:pt>
                      <c:pt idx="2718">
                        <c:v>20.805</c:v>
                      </c:pt>
                      <c:pt idx="2719">
                        <c:v>20.805</c:v>
                      </c:pt>
                      <c:pt idx="2720">
                        <c:v>20.71</c:v>
                      </c:pt>
                      <c:pt idx="2721">
                        <c:v>20.71</c:v>
                      </c:pt>
                      <c:pt idx="2722">
                        <c:v>20.614999999999998</c:v>
                      </c:pt>
                      <c:pt idx="2723">
                        <c:v>20.614999999999998</c:v>
                      </c:pt>
                      <c:pt idx="2724">
                        <c:v>20.518999999999998</c:v>
                      </c:pt>
                      <c:pt idx="2725">
                        <c:v>20.518999999999998</c:v>
                      </c:pt>
                      <c:pt idx="2726">
                        <c:v>20.518999999999998</c:v>
                      </c:pt>
                      <c:pt idx="2727">
                        <c:v>20.518999999999998</c:v>
                      </c:pt>
                      <c:pt idx="2728">
                        <c:v>20.518999999999998</c:v>
                      </c:pt>
                      <c:pt idx="2729">
                        <c:v>20.518999999999998</c:v>
                      </c:pt>
                      <c:pt idx="2730">
                        <c:v>20.423999999999999</c:v>
                      </c:pt>
                      <c:pt idx="2731">
                        <c:v>20.423999999999999</c:v>
                      </c:pt>
                      <c:pt idx="2732">
                        <c:v>20.423999999999999</c:v>
                      </c:pt>
                      <c:pt idx="2733">
                        <c:v>20.423999999999999</c:v>
                      </c:pt>
                      <c:pt idx="2734">
                        <c:v>20.329000000000001</c:v>
                      </c:pt>
                      <c:pt idx="2735">
                        <c:v>20.329000000000001</c:v>
                      </c:pt>
                      <c:pt idx="2736">
                        <c:v>20.329000000000001</c:v>
                      </c:pt>
                      <c:pt idx="2737">
                        <c:v>20.329000000000001</c:v>
                      </c:pt>
                      <c:pt idx="2738">
                        <c:v>20.329000000000001</c:v>
                      </c:pt>
                      <c:pt idx="2739">
                        <c:v>20.234000000000002</c:v>
                      </c:pt>
                      <c:pt idx="2740">
                        <c:v>20.329000000000001</c:v>
                      </c:pt>
                      <c:pt idx="2741">
                        <c:v>20.234000000000002</c:v>
                      </c:pt>
                      <c:pt idx="2742">
                        <c:v>20.234000000000002</c:v>
                      </c:pt>
                      <c:pt idx="2743">
                        <c:v>20.234000000000002</c:v>
                      </c:pt>
                      <c:pt idx="2744">
                        <c:v>20.234000000000002</c:v>
                      </c:pt>
                      <c:pt idx="2745">
                        <c:v>20.234000000000002</c:v>
                      </c:pt>
                      <c:pt idx="2746">
                        <c:v>20.234000000000002</c:v>
                      </c:pt>
                      <c:pt idx="2747">
                        <c:v>20.138000000000002</c:v>
                      </c:pt>
                      <c:pt idx="2748">
                        <c:v>20.042999999999999</c:v>
                      </c:pt>
                      <c:pt idx="2749">
                        <c:v>20.138000000000002</c:v>
                      </c:pt>
                      <c:pt idx="2750">
                        <c:v>20.042999999999999</c:v>
                      </c:pt>
                      <c:pt idx="2751">
                        <c:v>20.042999999999999</c:v>
                      </c:pt>
                      <c:pt idx="2752">
                        <c:v>20.042999999999999</c:v>
                      </c:pt>
                      <c:pt idx="2753">
                        <c:v>20.138000000000002</c:v>
                      </c:pt>
                      <c:pt idx="2754">
                        <c:v>20.042999999999999</c:v>
                      </c:pt>
                      <c:pt idx="2755">
                        <c:v>20.042999999999999</c:v>
                      </c:pt>
                      <c:pt idx="2756">
                        <c:v>20.042999999999999</c:v>
                      </c:pt>
                      <c:pt idx="2757">
                        <c:v>20.042999999999999</c:v>
                      </c:pt>
                      <c:pt idx="2758">
                        <c:v>20.042999999999999</c:v>
                      </c:pt>
                      <c:pt idx="2759">
                        <c:v>20.042999999999999</c:v>
                      </c:pt>
                      <c:pt idx="2760">
                        <c:v>20.042999999999999</c:v>
                      </c:pt>
                      <c:pt idx="2761">
                        <c:v>20.042999999999999</c:v>
                      </c:pt>
                      <c:pt idx="2762">
                        <c:v>19.948</c:v>
                      </c:pt>
                      <c:pt idx="2763">
                        <c:v>19.948</c:v>
                      </c:pt>
                      <c:pt idx="2764">
                        <c:v>20.042999999999999</c:v>
                      </c:pt>
                      <c:pt idx="2765">
                        <c:v>19.948</c:v>
                      </c:pt>
                      <c:pt idx="2766">
                        <c:v>19.948</c:v>
                      </c:pt>
                      <c:pt idx="2767">
                        <c:v>19.948</c:v>
                      </c:pt>
                      <c:pt idx="2768">
                        <c:v>19.948</c:v>
                      </c:pt>
                      <c:pt idx="2769">
                        <c:v>19.853000000000002</c:v>
                      </c:pt>
                      <c:pt idx="2770">
                        <c:v>19.853000000000002</c:v>
                      </c:pt>
                      <c:pt idx="2771">
                        <c:v>19.853000000000002</c:v>
                      </c:pt>
                      <c:pt idx="2772">
                        <c:v>19.853000000000002</c:v>
                      </c:pt>
                      <c:pt idx="2773">
                        <c:v>19.757999999999999</c:v>
                      </c:pt>
                      <c:pt idx="2774">
                        <c:v>19.757999999999999</c:v>
                      </c:pt>
                      <c:pt idx="2775">
                        <c:v>19.757999999999999</c:v>
                      </c:pt>
                      <c:pt idx="2776">
                        <c:v>19.757999999999999</c:v>
                      </c:pt>
                      <c:pt idx="2777">
                        <c:v>19.757999999999999</c:v>
                      </c:pt>
                      <c:pt idx="2778">
                        <c:v>19.853000000000002</c:v>
                      </c:pt>
                      <c:pt idx="2779">
                        <c:v>19.853000000000002</c:v>
                      </c:pt>
                      <c:pt idx="2780">
                        <c:v>19.853000000000002</c:v>
                      </c:pt>
                      <c:pt idx="2781">
                        <c:v>19.948</c:v>
                      </c:pt>
                      <c:pt idx="2782">
                        <c:v>19.948</c:v>
                      </c:pt>
                      <c:pt idx="2783">
                        <c:v>20.042999999999999</c:v>
                      </c:pt>
                      <c:pt idx="2784">
                        <c:v>20.042999999999999</c:v>
                      </c:pt>
                      <c:pt idx="2785">
                        <c:v>20.138000000000002</c:v>
                      </c:pt>
                      <c:pt idx="2786">
                        <c:v>20.138000000000002</c:v>
                      </c:pt>
                      <c:pt idx="2787">
                        <c:v>20.234000000000002</c:v>
                      </c:pt>
                      <c:pt idx="2788">
                        <c:v>20.234000000000002</c:v>
                      </c:pt>
                      <c:pt idx="2789">
                        <c:v>20.329000000000001</c:v>
                      </c:pt>
                      <c:pt idx="2790">
                        <c:v>20.329000000000001</c:v>
                      </c:pt>
                      <c:pt idx="2791">
                        <c:v>20.423999999999999</c:v>
                      </c:pt>
                      <c:pt idx="2792">
                        <c:v>20.423999999999999</c:v>
                      </c:pt>
                      <c:pt idx="2793">
                        <c:v>20.614999999999998</c:v>
                      </c:pt>
                      <c:pt idx="2794">
                        <c:v>20.995999999999999</c:v>
                      </c:pt>
                      <c:pt idx="2795">
                        <c:v>21.378</c:v>
                      </c:pt>
                      <c:pt idx="2796">
                        <c:v>21.472999999999999</c:v>
                      </c:pt>
                      <c:pt idx="2797">
                        <c:v>21.187000000000001</c:v>
                      </c:pt>
                      <c:pt idx="2798">
                        <c:v>20.995999999999999</c:v>
                      </c:pt>
                      <c:pt idx="2799">
                        <c:v>20.995999999999999</c:v>
                      </c:pt>
                      <c:pt idx="2800">
                        <c:v>21.091000000000001</c:v>
                      </c:pt>
                      <c:pt idx="2801">
                        <c:v>20.995999999999999</c:v>
                      </c:pt>
                      <c:pt idx="2802">
                        <c:v>20.995999999999999</c:v>
                      </c:pt>
                      <c:pt idx="2803">
                        <c:v>21.187000000000001</c:v>
                      </c:pt>
                      <c:pt idx="2804">
                        <c:v>21.282</c:v>
                      </c:pt>
                      <c:pt idx="2805">
                        <c:v>21.378</c:v>
                      </c:pt>
                      <c:pt idx="2806">
                        <c:v>21.664000000000001</c:v>
                      </c:pt>
                      <c:pt idx="2807">
                        <c:v>22.332999999999998</c:v>
                      </c:pt>
                      <c:pt idx="2808">
                        <c:v>21.76</c:v>
                      </c:pt>
                      <c:pt idx="2809">
                        <c:v>21.76</c:v>
                      </c:pt>
                      <c:pt idx="2810">
                        <c:v>21.664000000000001</c:v>
                      </c:pt>
                      <c:pt idx="2811">
                        <c:v>21.664000000000001</c:v>
                      </c:pt>
                      <c:pt idx="2812">
                        <c:v>21.664000000000001</c:v>
                      </c:pt>
                      <c:pt idx="2813">
                        <c:v>22.141999999999999</c:v>
                      </c:pt>
                      <c:pt idx="2814">
                        <c:v>21.855</c:v>
                      </c:pt>
                      <c:pt idx="2815">
                        <c:v>21.855</c:v>
                      </c:pt>
                      <c:pt idx="2816">
                        <c:v>21.76</c:v>
                      </c:pt>
                      <c:pt idx="2817">
                        <c:v>22.238</c:v>
                      </c:pt>
                      <c:pt idx="2818">
                        <c:v>22.332999999999998</c:v>
                      </c:pt>
                      <c:pt idx="2819">
                        <c:v>22.332999999999998</c:v>
                      </c:pt>
                      <c:pt idx="2820">
                        <c:v>22.238</c:v>
                      </c:pt>
                      <c:pt idx="2821">
                        <c:v>22.141999999999999</c:v>
                      </c:pt>
                      <c:pt idx="2822">
                        <c:v>21.855</c:v>
                      </c:pt>
                      <c:pt idx="2823">
                        <c:v>21.76</c:v>
                      </c:pt>
                      <c:pt idx="2824">
                        <c:v>21.951000000000001</c:v>
                      </c:pt>
                      <c:pt idx="2825">
                        <c:v>21.855</c:v>
                      </c:pt>
                      <c:pt idx="2826">
                        <c:v>21.76</c:v>
                      </c:pt>
                      <c:pt idx="2827">
                        <c:v>21.76</c:v>
                      </c:pt>
                      <c:pt idx="2828">
                        <c:v>21.76</c:v>
                      </c:pt>
                      <c:pt idx="2829">
                        <c:v>21.664000000000001</c:v>
                      </c:pt>
                      <c:pt idx="2830">
                        <c:v>21.664000000000001</c:v>
                      </c:pt>
                      <c:pt idx="2831">
                        <c:v>21.664000000000001</c:v>
                      </c:pt>
                      <c:pt idx="2832">
                        <c:v>21.664000000000001</c:v>
                      </c:pt>
                      <c:pt idx="2833">
                        <c:v>21.568999999999999</c:v>
                      </c:pt>
                      <c:pt idx="2834">
                        <c:v>21.568999999999999</c:v>
                      </c:pt>
                      <c:pt idx="2835">
                        <c:v>21.568999999999999</c:v>
                      </c:pt>
                      <c:pt idx="2836">
                        <c:v>21.472999999999999</c:v>
                      </c:pt>
                      <c:pt idx="2837">
                        <c:v>21.472999999999999</c:v>
                      </c:pt>
                      <c:pt idx="2838">
                        <c:v>21.472999999999999</c:v>
                      </c:pt>
                      <c:pt idx="2839">
                        <c:v>21.378</c:v>
                      </c:pt>
                      <c:pt idx="2840">
                        <c:v>21.378</c:v>
                      </c:pt>
                      <c:pt idx="2841">
                        <c:v>21.378</c:v>
                      </c:pt>
                      <c:pt idx="2842">
                        <c:v>21.282</c:v>
                      </c:pt>
                      <c:pt idx="2843">
                        <c:v>21.282</c:v>
                      </c:pt>
                      <c:pt idx="2844">
                        <c:v>21.282</c:v>
                      </c:pt>
                      <c:pt idx="2845">
                        <c:v>21.282</c:v>
                      </c:pt>
                      <c:pt idx="2846">
                        <c:v>21.282</c:v>
                      </c:pt>
                      <c:pt idx="2847">
                        <c:v>21.282</c:v>
                      </c:pt>
                      <c:pt idx="2848">
                        <c:v>21.187000000000001</c:v>
                      </c:pt>
                      <c:pt idx="2849">
                        <c:v>21.187000000000001</c:v>
                      </c:pt>
                      <c:pt idx="2850">
                        <c:v>21.187000000000001</c:v>
                      </c:pt>
                      <c:pt idx="2851">
                        <c:v>21.187000000000001</c:v>
                      </c:pt>
                      <c:pt idx="2852">
                        <c:v>21.187000000000001</c:v>
                      </c:pt>
                      <c:pt idx="2853">
                        <c:v>21.091000000000001</c:v>
                      </c:pt>
                      <c:pt idx="2854">
                        <c:v>21.091000000000001</c:v>
                      </c:pt>
                      <c:pt idx="2855">
                        <c:v>21.091000000000001</c:v>
                      </c:pt>
                      <c:pt idx="2856">
                        <c:v>21.091000000000001</c:v>
                      </c:pt>
                      <c:pt idx="2857">
                        <c:v>21.091000000000001</c:v>
                      </c:pt>
                      <c:pt idx="2858">
                        <c:v>20.995999999999999</c:v>
                      </c:pt>
                      <c:pt idx="2859">
                        <c:v>20.995999999999999</c:v>
                      </c:pt>
                      <c:pt idx="2860">
                        <c:v>20.901</c:v>
                      </c:pt>
                      <c:pt idx="2861">
                        <c:v>20.901</c:v>
                      </c:pt>
                      <c:pt idx="2862">
                        <c:v>20.901</c:v>
                      </c:pt>
                      <c:pt idx="2863">
                        <c:v>20.901</c:v>
                      </c:pt>
                      <c:pt idx="2864">
                        <c:v>20.901</c:v>
                      </c:pt>
                      <c:pt idx="2865">
                        <c:v>20.901</c:v>
                      </c:pt>
                      <c:pt idx="2866">
                        <c:v>20.805</c:v>
                      </c:pt>
                      <c:pt idx="2867">
                        <c:v>20.805</c:v>
                      </c:pt>
                      <c:pt idx="2868">
                        <c:v>20.71</c:v>
                      </c:pt>
                      <c:pt idx="2869">
                        <c:v>20.71</c:v>
                      </c:pt>
                      <c:pt idx="2870">
                        <c:v>20.71</c:v>
                      </c:pt>
                      <c:pt idx="2871">
                        <c:v>20.71</c:v>
                      </c:pt>
                      <c:pt idx="2872">
                        <c:v>20.71</c:v>
                      </c:pt>
                      <c:pt idx="2873">
                        <c:v>20.71</c:v>
                      </c:pt>
                      <c:pt idx="2874">
                        <c:v>20.614999999999998</c:v>
                      </c:pt>
                      <c:pt idx="2875">
                        <c:v>20.614999999999998</c:v>
                      </c:pt>
                      <c:pt idx="2876">
                        <c:v>20.614999999999998</c:v>
                      </c:pt>
                      <c:pt idx="2877">
                        <c:v>20.614999999999998</c:v>
                      </c:pt>
                      <c:pt idx="2878">
                        <c:v>20.614999999999998</c:v>
                      </c:pt>
                      <c:pt idx="2879">
                        <c:v>20.614999999999998</c:v>
                      </c:pt>
                      <c:pt idx="2880">
                        <c:v>20.518999999999998</c:v>
                      </c:pt>
                      <c:pt idx="2881">
                        <c:v>20.518999999999998</c:v>
                      </c:pt>
                      <c:pt idx="2882">
                        <c:v>20.518999999999998</c:v>
                      </c:pt>
                      <c:pt idx="2883">
                        <c:v>20.518999999999998</c:v>
                      </c:pt>
                      <c:pt idx="2884">
                        <c:v>20.423999999999999</c:v>
                      </c:pt>
                      <c:pt idx="2885">
                        <c:v>20.423999999999999</c:v>
                      </c:pt>
                      <c:pt idx="2886">
                        <c:v>20.423999999999999</c:v>
                      </c:pt>
                      <c:pt idx="2887">
                        <c:v>20.423999999999999</c:v>
                      </c:pt>
                      <c:pt idx="2888">
                        <c:v>20.329000000000001</c:v>
                      </c:pt>
                      <c:pt idx="2889">
                        <c:v>20.329000000000001</c:v>
                      </c:pt>
                      <c:pt idx="2890">
                        <c:v>20.329000000000001</c:v>
                      </c:pt>
                      <c:pt idx="2891">
                        <c:v>20.329000000000001</c:v>
                      </c:pt>
                      <c:pt idx="2892">
                        <c:v>20.329000000000001</c:v>
                      </c:pt>
                      <c:pt idx="2893">
                        <c:v>20.234000000000002</c:v>
                      </c:pt>
                      <c:pt idx="2894">
                        <c:v>20.234000000000002</c:v>
                      </c:pt>
                      <c:pt idx="2895">
                        <c:v>20.234000000000002</c:v>
                      </c:pt>
                      <c:pt idx="2896">
                        <c:v>20.234000000000002</c:v>
                      </c:pt>
                      <c:pt idx="2897">
                        <c:v>20.138000000000002</c:v>
                      </c:pt>
                      <c:pt idx="2898">
                        <c:v>20.042999999999999</c:v>
                      </c:pt>
                      <c:pt idx="2899">
                        <c:v>20.042999999999999</c:v>
                      </c:pt>
                      <c:pt idx="2900">
                        <c:v>20.042999999999999</c:v>
                      </c:pt>
                      <c:pt idx="2901">
                        <c:v>19.948</c:v>
                      </c:pt>
                      <c:pt idx="2902">
                        <c:v>19.948</c:v>
                      </c:pt>
                      <c:pt idx="2903">
                        <c:v>19.853000000000002</c:v>
                      </c:pt>
                      <c:pt idx="2904">
                        <c:v>19.853000000000002</c:v>
                      </c:pt>
                      <c:pt idx="2905">
                        <c:v>19.948</c:v>
                      </c:pt>
                      <c:pt idx="2906">
                        <c:v>19.948</c:v>
                      </c:pt>
                      <c:pt idx="2907">
                        <c:v>19.853000000000002</c:v>
                      </c:pt>
                      <c:pt idx="2908">
                        <c:v>19.853000000000002</c:v>
                      </c:pt>
                      <c:pt idx="2909">
                        <c:v>19.853000000000002</c:v>
                      </c:pt>
                      <c:pt idx="2910">
                        <c:v>19.853000000000002</c:v>
                      </c:pt>
                      <c:pt idx="2911">
                        <c:v>19.853000000000002</c:v>
                      </c:pt>
                      <c:pt idx="2912">
                        <c:v>19.853000000000002</c:v>
                      </c:pt>
                      <c:pt idx="2913">
                        <c:v>19.757999999999999</c:v>
                      </c:pt>
                      <c:pt idx="2914">
                        <c:v>19.757999999999999</c:v>
                      </c:pt>
                      <c:pt idx="2915">
                        <c:v>19.853000000000002</c:v>
                      </c:pt>
                      <c:pt idx="2916">
                        <c:v>19.853000000000002</c:v>
                      </c:pt>
                      <c:pt idx="2917">
                        <c:v>19.853000000000002</c:v>
                      </c:pt>
                      <c:pt idx="2918">
                        <c:v>19.757999999999999</c:v>
                      </c:pt>
                      <c:pt idx="2919">
                        <c:v>19.853000000000002</c:v>
                      </c:pt>
                      <c:pt idx="2920">
                        <c:v>19.853000000000002</c:v>
                      </c:pt>
                      <c:pt idx="2921">
                        <c:v>19.853000000000002</c:v>
                      </c:pt>
                      <c:pt idx="2922">
                        <c:v>19.853000000000002</c:v>
                      </c:pt>
                      <c:pt idx="2923">
                        <c:v>19.853000000000002</c:v>
                      </c:pt>
                      <c:pt idx="2924">
                        <c:v>19.853000000000002</c:v>
                      </c:pt>
                      <c:pt idx="2925">
                        <c:v>19.853000000000002</c:v>
                      </c:pt>
                      <c:pt idx="2926">
                        <c:v>19.853000000000002</c:v>
                      </c:pt>
                      <c:pt idx="2927">
                        <c:v>19.948</c:v>
                      </c:pt>
                      <c:pt idx="2928">
                        <c:v>19.948</c:v>
                      </c:pt>
                      <c:pt idx="2929">
                        <c:v>19.948</c:v>
                      </c:pt>
                      <c:pt idx="2930">
                        <c:v>19.948</c:v>
                      </c:pt>
                      <c:pt idx="2931">
                        <c:v>20.042999999999999</c:v>
                      </c:pt>
                      <c:pt idx="2932">
                        <c:v>20.042999999999999</c:v>
                      </c:pt>
                      <c:pt idx="2933">
                        <c:v>20.042999999999999</c:v>
                      </c:pt>
                      <c:pt idx="2934">
                        <c:v>20.138000000000002</c:v>
                      </c:pt>
                      <c:pt idx="2935">
                        <c:v>20.234000000000002</c:v>
                      </c:pt>
                      <c:pt idx="2936">
                        <c:v>20.234000000000002</c:v>
                      </c:pt>
                      <c:pt idx="2937">
                        <c:v>20.234000000000002</c:v>
                      </c:pt>
                      <c:pt idx="2938">
                        <c:v>20.329000000000001</c:v>
                      </c:pt>
                      <c:pt idx="2939">
                        <c:v>20.329000000000001</c:v>
                      </c:pt>
                      <c:pt idx="2940">
                        <c:v>20.423999999999999</c:v>
                      </c:pt>
                      <c:pt idx="2941">
                        <c:v>20.423999999999999</c:v>
                      </c:pt>
                      <c:pt idx="2942">
                        <c:v>20.518999999999998</c:v>
                      </c:pt>
                      <c:pt idx="2943">
                        <c:v>20.614999999999998</c:v>
                      </c:pt>
                      <c:pt idx="2944">
                        <c:v>20.614999999999998</c:v>
                      </c:pt>
                      <c:pt idx="2945">
                        <c:v>20.71</c:v>
                      </c:pt>
                      <c:pt idx="2946">
                        <c:v>20.71</c:v>
                      </c:pt>
                      <c:pt idx="2947">
                        <c:v>20.71</c:v>
                      </c:pt>
                      <c:pt idx="2948">
                        <c:v>20.805</c:v>
                      </c:pt>
                      <c:pt idx="2949">
                        <c:v>20.805</c:v>
                      </c:pt>
                      <c:pt idx="2950">
                        <c:v>21.187000000000001</c:v>
                      </c:pt>
                      <c:pt idx="2951">
                        <c:v>21.664000000000001</c:v>
                      </c:pt>
                      <c:pt idx="2952">
                        <c:v>21.472999999999999</c:v>
                      </c:pt>
                      <c:pt idx="2953">
                        <c:v>21.472999999999999</c:v>
                      </c:pt>
                      <c:pt idx="2954">
                        <c:v>21.282</c:v>
                      </c:pt>
                      <c:pt idx="2955">
                        <c:v>21.378</c:v>
                      </c:pt>
                      <c:pt idx="2956">
                        <c:v>21.472999999999999</c:v>
                      </c:pt>
                      <c:pt idx="2957">
                        <c:v>21.568999999999999</c:v>
                      </c:pt>
                      <c:pt idx="2958">
                        <c:v>21.568999999999999</c:v>
                      </c:pt>
                      <c:pt idx="2959">
                        <c:v>21.472999999999999</c:v>
                      </c:pt>
                      <c:pt idx="2960">
                        <c:v>21.568999999999999</c:v>
                      </c:pt>
                      <c:pt idx="2961">
                        <c:v>21.664000000000001</c:v>
                      </c:pt>
                      <c:pt idx="2962">
                        <c:v>21.951000000000001</c:v>
                      </c:pt>
                      <c:pt idx="2963">
                        <c:v>21.951000000000001</c:v>
                      </c:pt>
                      <c:pt idx="2964">
                        <c:v>21.951000000000001</c:v>
                      </c:pt>
                      <c:pt idx="2965">
                        <c:v>21.855</c:v>
                      </c:pt>
                      <c:pt idx="2966">
                        <c:v>21.664000000000001</c:v>
                      </c:pt>
                      <c:pt idx="2967">
                        <c:v>21.568999999999999</c:v>
                      </c:pt>
                      <c:pt idx="2968">
                        <c:v>21.568999999999999</c:v>
                      </c:pt>
                      <c:pt idx="2969">
                        <c:v>21.664000000000001</c:v>
                      </c:pt>
                      <c:pt idx="2970">
                        <c:v>21.568999999999999</c:v>
                      </c:pt>
                      <c:pt idx="2971">
                        <c:v>21.568999999999999</c:v>
                      </c:pt>
                      <c:pt idx="2972">
                        <c:v>21.568999999999999</c:v>
                      </c:pt>
                      <c:pt idx="2973">
                        <c:v>21.568999999999999</c:v>
                      </c:pt>
                      <c:pt idx="2974">
                        <c:v>21.472999999999999</c:v>
                      </c:pt>
                      <c:pt idx="2975">
                        <c:v>21.472999999999999</c:v>
                      </c:pt>
                      <c:pt idx="2976">
                        <c:v>21.472999999999999</c:v>
                      </c:pt>
                      <c:pt idx="2977">
                        <c:v>21.472999999999999</c:v>
                      </c:pt>
                      <c:pt idx="2978">
                        <c:v>21.472999999999999</c:v>
                      </c:pt>
                      <c:pt idx="2979">
                        <c:v>21.378</c:v>
                      </c:pt>
                      <c:pt idx="2980">
                        <c:v>21.378</c:v>
                      </c:pt>
                      <c:pt idx="2981">
                        <c:v>21.378</c:v>
                      </c:pt>
                      <c:pt idx="2982">
                        <c:v>21.378</c:v>
                      </c:pt>
                      <c:pt idx="2983">
                        <c:v>21.282</c:v>
                      </c:pt>
                      <c:pt idx="2984">
                        <c:v>21.282</c:v>
                      </c:pt>
                      <c:pt idx="2985">
                        <c:v>21.282</c:v>
                      </c:pt>
                      <c:pt idx="2986">
                        <c:v>21.282</c:v>
                      </c:pt>
                      <c:pt idx="2987">
                        <c:v>21.187000000000001</c:v>
                      </c:pt>
                      <c:pt idx="2988">
                        <c:v>21.187000000000001</c:v>
                      </c:pt>
                      <c:pt idx="2989">
                        <c:v>21.187000000000001</c:v>
                      </c:pt>
                      <c:pt idx="2990">
                        <c:v>21.187000000000001</c:v>
                      </c:pt>
                      <c:pt idx="2991">
                        <c:v>21.187000000000001</c:v>
                      </c:pt>
                      <c:pt idx="2992">
                        <c:v>21.187000000000001</c:v>
                      </c:pt>
                      <c:pt idx="2993">
                        <c:v>21.187000000000001</c:v>
                      </c:pt>
                      <c:pt idx="2994">
                        <c:v>21.187000000000001</c:v>
                      </c:pt>
                      <c:pt idx="2995">
                        <c:v>21.091000000000001</c:v>
                      </c:pt>
                      <c:pt idx="2996">
                        <c:v>21.091000000000001</c:v>
                      </c:pt>
                      <c:pt idx="2997">
                        <c:v>21.091000000000001</c:v>
                      </c:pt>
                      <c:pt idx="2998">
                        <c:v>21.091000000000001</c:v>
                      </c:pt>
                      <c:pt idx="2999">
                        <c:v>21.091000000000001</c:v>
                      </c:pt>
                      <c:pt idx="3000">
                        <c:v>21.091000000000001</c:v>
                      </c:pt>
                      <c:pt idx="3001">
                        <c:v>20.995999999999999</c:v>
                      </c:pt>
                      <c:pt idx="3002">
                        <c:v>20.995999999999999</c:v>
                      </c:pt>
                      <c:pt idx="3003">
                        <c:v>20.995999999999999</c:v>
                      </c:pt>
                      <c:pt idx="3004">
                        <c:v>20.901</c:v>
                      </c:pt>
                      <c:pt idx="3005">
                        <c:v>20.901</c:v>
                      </c:pt>
                      <c:pt idx="3006">
                        <c:v>20.901</c:v>
                      </c:pt>
                      <c:pt idx="3007">
                        <c:v>20.901</c:v>
                      </c:pt>
                      <c:pt idx="3008">
                        <c:v>20.901</c:v>
                      </c:pt>
                      <c:pt idx="3009">
                        <c:v>20.901</c:v>
                      </c:pt>
                      <c:pt idx="3010">
                        <c:v>20.901</c:v>
                      </c:pt>
                      <c:pt idx="3011">
                        <c:v>20.901</c:v>
                      </c:pt>
                      <c:pt idx="3012">
                        <c:v>20.901</c:v>
                      </c:pt>
                      <c:pt idx="3013">
                        <c:v>20.901</c:v>
                      </c:pt>
                      <c:pt idx="3014">
                        <c:v>20.901</c:v>
                      </c:pt>
                      <c:pt idx="3015">
                        <c:v>20.901</c:v>
                      </c:pt>
                      <c:pt idx="3016">
                        <c:v>20.901</c:v>
                      </c:pt>
                      <c:pt idx="3017">
                        <c:v>20.805</c:v>
                      </c:pt>
                      <c:pt idx="3018">
                        <c:v>20.805</c:v>
                      </c:pt>
                      <c:pt idx="3019">
                        <c:v>20.805</c:v>
                      </c:pt>
                      <c:pt idx="3020">
                        <c:v>20.71</c:v>
                      </c:pt>
                      <c:pt idx="3021">
                        <c:v>20.71</c:v>
                      </c:pt>
                      <c:pt idx="3022">
                        <c:v>20.71</c:v>
                      </c:pt>
                      <c:pt idx="3023">
                        <c:v>20.71</c:v>
                      </c:pt>
                      <c:pt idx="3024">
                        <c:v>20.71</c:v>
                      </c:pt>
                      <c:pt idx="3025">
                        <c:v>20.71</c:v>
                      </c:pt>
                      <c:pt idx="3026">
                        <c:v>20.614999999999998</c:v>
                      </c:pt>
                      <c:pt idx="3027">
                        <c:v>20.614999999999998</c:v>
                      </c:pt>
                      <c:pt idx="3028">
                        <c:v>20.614999999999998</c:v>
                      </c:pt>
                      <c:pt idx="3029">
                        <c:v>20.614999999999998</c:v>
                      </c:pt>
                      <c:pt idx="3030">
                        <c:v>20.614999999999998</c:v>
                      </c:pt>
                      <c:pt idx="3031">
                        <c:v>20.518999999999998</c:v>
                      </c:pt>
                      <c:pt idx="3032">
                        <c:v>20.518999999999998</c:v>
                      </c:pt>
                      <c:pt idx="3033">
                        <c:v>20.518999999999998</c:v>
                      </c:pt>
                      <c:pt idx="3034">
                        <c:v>20.518999999999998</c:v>
                      </c:pt>
                      <c:pt idx="3035">
                        <c:v>20.518999999999998</c:v>
                      </c:pt>
                      <c:pt idx="3036">
                        <c:v>20.614999999999998</c:v>
                      </c:pt>
                      <c:pt idx="3037">
                        <c:v>20.518999999999998</c:v>
                      </c:pt>
                      <c:pt idx="3038">
                        <c:v>20.518999999999998</c:v>
                      </c:pt>
                      <c:pt idx="3039">
                        <c:v>20.518999999999998</c:v>
                      </c:pt>
                      <c:pt idx="3040">
                        <c:v>20.518999999999998</c:v>
                      </c:pt>
                      <c:pt idx="3041">
                        <c:v>20.518999999999998</c:v>
                      </c:pt>
                      <c:pt idx="3042">
                        <c:v>20.518999999999998</c:v>
                      </c:pt>
                      <c:pt idx="3043">
                        <c:v>20.423999999999999</c:v>
                      </c:pt>
                      <c:pt idx="3044">
                        <c:v>20.423999999999999</c:v>
                      </c:pt>
                      <c:pt idx="3045">
                        <c:v>20.423999999999999</c:v>
                      </c:pt>
                      <c:pt idx="3046">
                        <c:v>20.423999999999999</c:v>
                      </c:pt>
                      <c:pt idx="3047">
                        <c:v>20.423999999999999</c:v>
                      </c:pt>
                      <c:pt idx="3048">
                        <c:v>20.423999999999999</c:v>
                      </c:pt>
                      <c:pt idx="3049">
                        <c:v>20.423999999999999</c:v>
                      </c:pt>
                      <c:pt idx="3050">
                        <c:v>20.423999999999999</c:v>
                      </c:pt>
                      <c:pt idx="3051">
                        <c:v>20.423999999999999</c:v>
                      </c:pt>
                      <c:pt idx="3052">
                        <c:v>20.423999999999999</c:v>
                      </c:pt>
                      <c:pt idx="3053">
                        <c:v>20.423999999999999</c:v>
                      </c:pt>
                      <c:pt idx="3054">
                        <c:v>20.423999999999999</c:v>
                      </c:pt>
                      <c:pt idx="3055">
                        <c:v>20.423999999999999</c:v>
                      </c:pt>
                      <c:pt idx="3056">
                        <c:v>20.423999999999999</c:v>
                      </c:pt>
                      <c:pt idx="3057">
                        <c:v>20.423999999999999</c:v>
                      </c:pt>
                      <c:pt idx="3058">
                        <c:v>20.423999999999999</c:v>
                      </c:pt>
                      <c:pt idx="3059">
                        <c:v>20.423999999999999</c:v>
                      </c:pt>
                      <c:pt idx="3060">
                        <c:v>20.329000000000001</c:v>
                      </c:pt>
                      <c:pt idx="3061">
                        <c:v>20.329000000000001</c:v>
                      </c:pt>
                      <c:pt idx="3062">
                        <c:v>20.329000000000001</c:v>
                      </c:pt>
                      <c:pt idx="3063">
                        <c:v>20.329000000000001</c:v>
                      </c:pt>
                      <c:pt idx="3064">
                        <c:v>20.329000000000001</c:v>
                      </c:pt>
                      <c:pt idx="3065">
                        <c:v>20.329000000000001</c:v>
                      </c:pt>
                      <c:pt idx="3066">
                        <c:v>20.329000000000001</c:v>
                      </c:pt>
                      <c:pt idx="3067">
                        <c:v>20.329000000000001</c:v>
                      </c:pt>
                      <c:pt idx="3068">
                        <c:v>20.329000000000001</c:v>
                      </c:pt>
                      <c:pt idx="3069">
                        <c:v>20.423999999999999</c:v>
                      </c:pt>
                      <c:pt idx="3070">
                        <c:v>20.423999999999999</c:v>
                      </c:pt>
                      <c:pt idx="3071">
                        <c:v>20.423999999999999</c:v>
                      </c:pt>
                      <c:pt idx="3072">
                        <c:v>20.423999999999999</c:v>
                      </c:pt>
                      <c:pt idx="3073">
                        <c:v>20.423999999999999</c:v>
                      </c:pt>
                      <c:pt idx="3074">
                        <c:v>20.518999999999998</c:v>
                      </c:pt>
                      <c:pt idx="3075">
                        <c:v>20.518999999999998</c:v>
                      </c:pt>
                      <c:pt idx="3076">
                        <c:v>20.518999999999998</c:v>
                      </c:pt>
                      <c:pt idx="3077">
                        <c:v>20.518999999999998</c:v>
                      </c:pt>
                      <c:pt idx="3078">
                        <c:v>20.614999999999998</c:v>
                      </c:pt>
                      <c:pt idx="3079">
                        <c:v>20.614999999999998</c:v>
                      </c:pt>
                      <c:pt idx="3080">
                        <c:v>20.614999999999998</c:v>
                      </c:pt>
                      <c:pt idx="3081">
                        <c:v>20.805</c:v>
                      </c:pt>
                      <c:pt idx="3082">
                        <c:v>21.282</c:v>
                      </c:pt>
                      <c:pt idx="3083">
                        <c:v>21.091000000000001</c:v>
                      </c:pt>
                      <c:pt idx="3084">
                        <c:v>21.091000000000001</c:v>
                      </c:pt>
                      <c:pt idx="3085">
                        <c:v>21.091000000000001</c:v>
                      </c:pt>
                      <c:pt idx="3086">
                        <c:v>21.091000000000001</c:v>
                      </c:pt>
                      <c:pt idx="3087">
                        <c:v>21.091000000000001</c:v>
                      </c:pt>
                      <c:pt idx="3088">
                        <c:v>21.187000000000001</c:v>
                      </c:pt>
                      <c:pt idx="3089">
                        <c:v>21.187000000000001</c:v>
                      </c:pt>
                      <c:pt idx="3090">
                        <c:v>21.091000000000001</c:v>
                      </c:pt>
                      <c:pt idx="3091">
                        <c:v>21.187000000000001</c:v>
                      </c:pt>
                      <c:pt idx="3092">
                        <c:v>21.282</c:v>
                      </c:pt>
                      <c:pt idx="3093">
                        <c:v>21.282</c:v>
                      </c:pt>
                      <c:pt idx="3094">
                        <c:v>21.378</c:v>
                      </c:pt>
                      <c:pt idx="3095">
                        <c:v>21.568999999999999</c:v>
                      </c:pt>
                      <c:pt idx="3096">
                        <c:v>21.664000000000001</c:v>
                      </c:pt>
                      <c:pt idx="3097">
                        <c:v>21.664000000000001</c:v>
                      </c:pt>
                      <c:pt idx="3098">
                        <c:v>21.664000000000001</c:v>
                      </c:pt>
                      <c:pt idx="3099">
                        <c:v>21.664000000000001</c:v>
                      </c:pt>
                      <c:pt idx="3100">
                        <c:v>21.664000000000001</c:v>
                      </c:pt>
                      <c:pt idx="3101">
                        <c:v>21.664000000000001</c:v>
                      </c:pt>
                      <c:pt idx="3102">
                        <c:v>21.664000000000001</c:v>
                      </c:pt>
                      <c:pt idx="3103">
                        <c:v>21.664000000000001</c:v>
                      </c:pt>
                      <c:pt idx="3104">
                        <c:v>21.76</c:v>
                      </c:pt>
                      <c:pt idx="3105">
                        <c:v>21.951000000000001</c:v>
                      </c:pt>
                      <c:pt idx="3106">
                        <c:v>21.855</c:v>
                      </c:pt>
                      <c:pt idx="3107">
                        <c:v>22.045999999999999</c:v>
                      </c:pt>
                      <c:pt idx="3108">
                        <c:v>22.045999999999999</c:v>
                      </c:pt>
                      <c:pt idx="3109">
                        <c:v>21.951000000000001</c:v>
                      </c:pt>
                      <c:pt idx="3110">
                        <c:v>21.76</c:v>
                      </c:pt>
                      <c:pt idx="3111">
                        <c:v>21.76</c:v>
                      </c:pt>
                      <c:pt idx="3112">
                        <c:v>21.76</c:v>
                      </c:pt>
                      <c:pt idx="3113">
                        <c:v>21.664000000000001</c:v>
                      </c:pt>
                      <c:pt idx="3114">
                        <c:v>21.76</c:v>
                      </c:pt>
                      <c:pt idx="3115">
                        <c:v>21.664000000000001</c:v>
                      </c:pt>
                      <c:pt idx="3116">
                        <c:v>21.664000000000001</c:v>
                      </c:pt>
                      <c:pt idx="3117">
                        <c:v>21.568999999999999</c:v>
                      </c:pt>
                      <c:pt idx="3118">
                        <c:v>21.568999999999999</c:v>
                      </c:pt>
                      <c:pt idx="3119">
                        <c:v>21.568999999999999</c:v>
                      </c:pt>
                      <c:pt idx="3120">
                        <c:v>21.472999999999999</c:v>
                      </c:pt>
                      <c:pt idx="3121">
                        <c:v>21.472999999999999</c:v>
                      </c:pt>
                      <c:pt idx="3122">
                        <c:v>21.472999999999999</c:v>
                      </c:pt>
                      <c:pt idx="3123">
                        <c:v>21.472999999999999</c:v>
                      </c:pt>
                      <c:pt idx="3124">
                        <c:v>21.378</c:v>
                      </c:pt>
                      <c:pt idx="3125">
                        <c:v>21.378</c:v>
                      </c:pt>
                      <c:pt idx="3126">
                        <c:v>21.378</c:v>
                      </c:pt>
                      <c:pt idx="3127">
                        <c:v>21.378</c:v>
                      </c:pt>
                      <c:pt idx="3128">
                        <c:v>21.378</c:v>
                      </c:pt>
                      <c:pt idx="3129">
                        <c:v>21.282</c:v>
                      </c:pt>
                      <c:pt idx="3130">
                        <c:v>21.282</c:v>
                      </c:pt>
                      <c:pt idx="3131">
                        <c:v>21.282</c:v>
                      </c:pt>
                      <c:pt idx="3132">
                        <c:v>21.282</c:v>
                      </c:pt>
                      <c:pt idx="3133">
                        <c:v>21.187000000000001</c:v>
                      </c:pt>
                      <c:pt idx="3134">
                        <c:v>21.187000000000001</c:v>
                      </c:pt>
                      <c:pt idx="3135">
                        <c:v>21.187000000000001</c:v>
                      </c:pt>
                      <c:pt idx="3136">
                        <c:v>21.187000000000001</c:v>
                      </c:pt>
                      <c:pt idx="3137">
                        <c:v>21.091000000000001</c:v>
                      </c:pt>
                      <c:pt idx="3138">
                        <c:v>21.091000000000001</c:v>
                      </c:pt>
                      <c:pt idx="3139">
                        <c:v>21.091000000000001</c:v>
                      </c:pt>
                      <c:pt idx="3140">
                        <c:v>21.091000000000001</c:v>
                      </c:pt>
                      <c:pt idx="3141">
                        <c:v>21.091000000000001</c:v>
                      </c:pt>
                      <c:pt idx="3142">
                        <c:v>21.091000000000001</c:v>
                      </c:pt>
                      <c:pt idx="3143">
                        <c:v>21.091000000000001</c:v>
                      </c:pt>
                      <c:pt idx="3144">
                        <c:v>20.995999999999999</c:v>
                      </c:pt>
                      <c:pt idx="3145">
                        <c:v>20.995999999999999</c:v>
                      </c:pt>
                      <c:pt idx="3146">
                        <c:v>20.995999999999999</c:v>
                      </c:pt>
                      <c:pt idx="3147">
                        <c:v>20.995999999999999</c:v>
                      </c:pt>
                      <c:pt idx="3148">
                        <c:v>20.995999999999999</c:v>
                      </c:pt>
                      <c:pt idx="3149">
                        <c:v>20.995999999999999</c:v>
                      </c:pt>
                      <c:pt idx="3150">
                        <c:v>20.995999999999999</c:v>
                      </c:pt>
                      <c:pt idx="3151">
                        <c:v>20.995999999999999</c:v>
                      </c:pt>
                      <c:pt idx="3152">
                        <c:v>20.901</c:v>
                      </c:pt>
                      <c:pt idx="3153">
                        <c:v>20.901</c:v>
                      </c:pt>
                      <c:pt idx="3154">
                        <c:v>20.805</c:v>
                      </c:pt>
                      <c:pt idx="3155">
                        <c:v>20.805</c:v>
                      </c:pt>
                      <c:pt idx="3156">
                        <c:v>20.805</c:v>
                      </c:pt>
                      <c:pt idx="3157">
                        <c:v>20.805</c:v>
                      </c:pt>
                      <c:pt idx="3158">
                        <c:v>20.805</c:v>
                      </c:pt>
                      <c:pt idx="3159">
                        <c:v>20.805</c:v>
                      </c:pt>
                      <c:pt idx="3160">
                        <c:v>20.805</c:v>
                      </c:pt>
                      <c:pt idx="3161">
                        <c:v>20.71</c:v>
                      </c:pt>
                      <c:pt idx="3162">
                        <c:v>20.71</c:v>
                      </c:pt>
                      <c:pt idx="3163">
                        <c:v>20.71</c:v>
                      </c:pt>
                      <c:pt idx="3164">
                        <c:v>20.71</c:v>
                      </c:pt>
                      <c:pt idx="3165">
                        <c:v>20.614999999999998</c:v>
                      </c:pt>
                      <c:pt idx="3166">
                        <c:v>20.614999999999998</c:v>
                      </c:pt>
                      <c:pt idx="3167">
                        <c:v>20.614999999999998</c:v>
                      </c:pt>
                      <c:pt idx="3168">
                        <c:v>20.614999999999998</c:v>
                      </c:pt>
                      <c:pt idx="3169">
                        <c:v>20.614999999999998</c:v>
                      </c:pt>
                      <c:pt idx="3170">
                        <c:v>20.518999999999998</c:v>
                      </c:pt>
                      <c:pt idx="3171">
                        <c:v>20.518999999999998</c:v>
                      </c:pt>
                      <c:pt idx="3172">
                        <c:v>20.518999999999998</c:v>
                      </c:pt>
                      <c:pt idx="3173">
                        <c:v>20.518999999999998</c:v>
                      </c:pt>
                      <c:pt idx="3174">
                        <c:v>20.518999999999998</c:v>
                      </c:pt>
                      <c:pt idx="3175">
                        <c:v>20.423999999999999</c:v>
                      </c:pt>
                      <c:pt idx="3176">
                        <c:v>20.518999999999998</c:v>
                      </c:pt>
                      <c:pt idx="3177">
                        <c:v>20.423999999999999</c:v>
                      </c:pt>
                      <c:pt idx="3178">
                        <c:v>20.423999999999999</c:v>
                      </c:pt>
                      <c:pt idx="3179">
                        <c:v>20.423999999999999</c:v>
                      </c:pt>
                      <c:pt idx="3180">
                        <c:v>20.329000000000001</c:v>
                      </c:pt>
                      <c:pt idx="3181">
                        <c:v>20.329000000000001</c:v>
                      </c:pt>
                      <c:pt idx="3182">
                        <c:v>20.329000000000001</c:v>
                      </c:pt>
                      <c:pt idx="3183">
                        <c:v>20.329000000000001</c:v>
                      </c:pt>
                      <c:pt idx="3184">
                        <c:v>20.234000000000002</c:v>
                      </c:pt>
                      <c:pt idx="3185">
                        <c:v>20.234000000000002</c:v>
                      </c:pt>
                      <c:pt idx="3186">
                        <c:v>20.234000000000002</c:v>
                      </c:pt>
                      <c:pt idx="3187">
                        <c:v>20.138000000000002</c:v>
                      </c:pt>
                      <c:pt idx="3188">
                        <c:v>20.138000000000002</c:v>
                      </c:pt>
                      <c:pt idx="3189">
                        <c:v>20.138000000000002</c:v>
                      </c:pt>
                      <c:pt idx="3190">
                        <c:v>20.138000000000002</c:v>
                      </c:pt>
                      <c:pt idx="3191">
                        <c:v>20.138000000000002</c:v>
                      </c:pt>
                      <c:pt idx="3192">
                        <c:v>20.138000000000002</c:v>
                      </c:pt>
                      <c:pt idx="3193">
                        <c:v>20.138000000000002</c:v>
                      </c:pt>
                      <c:pt idx="3194">
                        <c:v>20.138000000000002</c:v>
                      </c:pt>
                      <c:pt idx="3195">
                        <c:v>20.042999999999999</c:v>
                      </c:pt>
                      <c:pt idx="3196">
                        <c:v>20.042999999999999</c:v>
                      </c:pt>
                      <c:pt idx="3197">
                        <c:v>20.042999999999999</c:v>
                      </c:pt>
                      <c:pt idx="3198">
                        <c:v>20.042999999999999</c:v>
                      </c:pt>
                      <c:pt idx="3199">
                        <c:v>19.948</c:v>
                      </c:pt>
                      <c:pt idx="3200">
                        <c:v>20.042999999999999</c:v>
                      </c:pt>
                      <c:pt idx="3201">
                        <c:v>19.948</c:v>
                      </c:pt>
                      <c:pt idx="3202">
                        <c:v>19.948</c:v>
                      </c:pt>
                      <c:pt idx="3203">
                        <c:v>19.948</c:v>
                      </c:pt>
                      <c:pt idx="3204">
                        <c:v>19.948</c:v>
                      </c:pt>
                      <c:pt idx="3205">
                        <c:v>19.853000000000002</c:v>
                      </c:pt>
                      <c:pt idx="3206">
                        <c:v>19.853000000000002</c:v>
                      </c:pt>
                      <c:pt idx="3207">
                        <c:v>19.853000000000002</c:v>
                      </c:pt>
                      <c:pt idx="3208">
                        <c:v>19.757999999999999</c:v>
                      </c:pt>
                      <c:pt idx="3209">
                        <c:v>19.853000000000002</c:v>
                      </c:pt>
                      <c:pt idx="3210">
                        <c:v>19.757999999999999</c:v>
                      </c:pt>
                      <c:pt idx="3211">
                        <c:v>19.757999999999999</c:v>
                      </c:pt>
                      <c:pt idx="3212">
                        <c:v>19.853000000000002</c:v>
                      </c:pt>
                      <c:pt idx="3213">
                        <c:v>19.853000000000002</c:v>
                      </c:pt>
                      <c:pt idx="3214">
                        <c:v>19.853000000000002</c:v>
                      </c:pt>
                      <c:pt idx="3215">
                        <c:v>19.948</c:v>
                      </c:pt>
                      <c:pt idx="3216">
                        <c:v>19.948</c:v>
                      </c:pt>
                      <c:pt idx="3217">
                        <c:v>19.948</c:v>
                      </c:pt>
                      <c:pt idx="3218">
                        <c:v>20.042999999999999</c:v>
                      </c:pt>
                      <c:pt idx="3219">
                        <c:v>20.042999999999999</c:v>
                      </c:pt>
                      <c:pt idx="3220">
                        <c:v>20.138000000000002</c:v>
                      </c:pt>
                      <c:pt idx="3221">
                        <c:v>20.138000000000002</c:v>
                      </c:pt>
                      <c:pt idx="3222">
                        <c:v>20.234000000000002</c:v>
                      </c:pt>
                      <c:pt idx="3223">
                        <c:v>20.234000000000002</c:v>
                      </c:pt>
                      <c:pt idx="3224">
                        <c:v>20.329000000000001</c:v>
                      </c:pt>
                      <c:pt idx="3225">
                        <c:v>20.329000000000001</c:v>
                      </c:pt>
                      <c:pt idx="3226">
                        <c:v>20.805</c:v>
                      </c:pt>
                      <c:pt idx="3227">
                        <c:v>20.805</c:v>
                      </c:pt>
                      <c:pt idx="3228">
                        <c:v>20.71</c:v>
                      </c:pt>
                      <c:pt idx="3229">
                        <c:v>20.71</c:v>
                      </c:pt>
                      <c:pt idx="3230">
                        <c:v>20.805</c:v>
                      </c:pt>
                      <c:pt idx="3231">
                        <c:v>20.805</c:v>
                      </c:pt>
                      <c:pt idx="3232">
                        <c:v>20.805</c:v>
                      </c:pt>
                      <c:pt idx="3233">
                        <c:v>20.805</c:v>
                      </c:pt>
                      <c:pt idx="3234">
                        <c:v>20.901</c:v>
                      </c:pt>
                      <c:pt idx="3235">
                        <c:v>20.901</c:v>
                      </c:pt>
                      <c:pt idx="3236">
                        <c:v>20.995999999999999</c:v>
                      </c:pt>
                      <c:pt idx="3237">
                        <c:v>21.187000000000001</c:v>
                      </c:pt>
                      <c:pt idx="3238">
                        <c:v>21.282</c:v>
                      </c:pt>
                      <c:pt idx="3239">
                        <c:v>21.378</c:v>
                      </c:pt>
                      <c:pt idx="3240">
                        <c:v>21.568999999999999</c:v>
                      </c:pt>
                      <c:pt idx="3241">
                        <c:v>21.472999999999999</c:v>
                      </c:pt>
                      <c:pt idx="3242">
                        <c:v>21.472999999999999</c:v>
                      </c:pt>
                      <c:pt idx="3243">
                        <c:v>21.472999999999999</c:v>
                      </c:pt>
                      <c:pt idx="3244">
                        <c:v>21.378</c:v>
                      </c:pt>
                      <c:pt idx="3245">
                        <c:v>21.472999999999999</c:v>
                      </c:pt>
                      <c:pt idx="3246">
                        <c:v>21.472999999999999</c:v>
                      </c:pt>
                      <c:pt idx="3247">
                        <c:v>21.378</c:v>
                      </c:pt>
                      <c:pt idx="3248">
                        <c:v>21.378</c:v>
                      </c:pt>
                      <c:pt idx="3249">
                        <c:v>21.472999999999999</c:v>
                      </c:pt>
                      <c:pt idx="3250">
                        <c:v>21.472999999999999</c:v>
                      </c:pt>
                      <c:pt idx="3251">
                        <c:v>21.568999999999999</c:v>
                      </c:pt>
                      <c:pt idx="3252">
                        <c:v>21.472999999999999</c:v>
                      </c:pt>
                      <c:pt idx="3253">
                        <c:v>21.472999999999999</c:v>
                      </c:pt>
                      <c:pt idx="3254">
                        <c:v>21.472999999999999</c:v>
                      </c:pt>
                      <c:pt idx="3255">
                        <c:v>21.472999999999999</c:v>
                      </c:pt>
                      <c:pt idx="3256">
                        <c:v>21.472999999999999</c:v>
                      </c:pt>
                      <c:pt idx="3257">
                        <c:v>21.472999999999999</c:v>
                      </c:pt>
                      <c:pt idx="3258">
                        <c:v>21.472999999999999</c:v>
                      </c:pt>
                      <c:pt idx="3259">
                        <c:v>21.472999999999999</c:v>
                      </c:pt>
                      <c:pt idx="3260">
                        <c:v>21.472999999999999</c:v>
                      </c:pt>
                      <c:pt idx="3261">
                        <c:v>21.378</c:v>
                      </c:pt>
                      <c:pt idx="3262">
                        <c:v>21.378</c:v>
                      </c:pt>
                      <c:pt idx="3263">
                        <c:v>21.378</c:v>
                      </c:pt>
                      <c:pt idx="3264">
                        <c:v>21.282</c:v>
                      </c:pt>
                      <c:pt idx="3265">
                        <c:v>21.282</c:v>
                      </c:pt>
                      <c:pt idx="3266">
                        <c:v>21.282</c:v>
                      </c:pt>
                      <c:pt idx="3267">
                        <c:v>21.282</c:v>
                      </c:pt>
                      <c:pt idx="3268">
                        <c:v>21.187000000000001</c:v>
                      </c:pt>
                      <c:pt idx="3269">
                        <c:v>21.091000000000001</c:v>
                      </c:pt>
                      <c:pt idx="3270">
                        <c:v>21.091000000000001</c:v>
                      </c:pt>
                      <c:pt idx="3271">
                        <c:v>20.995999999999999</c:v>
                      </c:pt>
                      <c:pt idx="3272">
                        <c:v>20.901</c:v>
                      </c:pt>
                      <c:pt idx="3273">
                        <c:v>20.901</c:v>
                      </c:pt>
                      <c:pt idx="3274">
                        <c:v>20.901</c:v>
                      </c:pt>
                      <c:pt idx="3275">
                        <c:v>20.805</c:v>
                      </c:pt>
                      <c:pt idx="3276">
                        <c:v>20.805</c:v>
                      </c:pt>
                      <c:pt idx="3277">
                        <c:v>20.805</c:v>
                      </c:pt>
                      <c:pt idx="3278">
                        <c:v>20.805</c:v>
                      </c:pt>
                      <c:pt idx="3279">
                        <c:v>20.805</c:v>
                      </c:pt>
                      <c:pt idx="3280">
                        <c:v>20.71</c:v>
                      </c:pt>
                      <c:pt idx="3281">
                        <c:v>20.71</c:v>
                      </c:pt>
                      <c:pt idx="3282">
                        <c:v>20.71</c:v>
                      </c:pt>
                      <c:pt idx="3283">
                        <c:v>20.71</c:v>
                      </c:pt>
                      <c:pt idx="3284">
                        <c:v>20.71</c:v>
                      </c:pt>
                      <c:pt idx="3285">
                        <c:v>20.71</c:v>
                      </c:pt>
                      <c:pt idx="3286">
                        <c:v>20.71</c:v>
                      </c:pt>
                      <c:pt idx="3287">
                        <c:v>20.614999999999998</c:v>
                      </c:pt>
                      <c:pt idx="3288">
                        <c:v>20.71</c:v>
                      </c:pt>
                      <c:pt idx="3289">
                        <c:v>20.614999999999998</c:v>
                      </c:pt>
                      <c:pt idx="3290">
                        <c:v>20.614999999999998</c:v>
                      </c:pt>
                      <c:pt idx="3291">
                        <c:v>20.614999999999998</c:v>
                      </c:pt>
                      <c:pt idx="3292">
                        <c:v>20.614999999999998</c:v>
                      </c:pt>
                      <c:pt idx="3293">
                        <c:v>20.614999999999998</c:v>
                      </c:pt>
                      <c:pt idx="3294">
                        <c:v>20.614999999999998</c:v>
                      </c:pt>
                      <c:pt idx="3295">
                        <c:v>20.614999999999998</c:v>
                      </c:pt>
                      <c:pt idx="3296">
                        <c:v>20.614999999999998</c:v>
                      </c:pt>
                      <c:pt idx="3297">
                        <c:v>20.614999999999998</c:v>
                      </c:pt>
                      <c:pt idx="3298">
                        <c:v>20.518999999999998</c:v>
                      </c:pt>
                      <c:pt idx="3299">
                        <c:v>20.518999999999998</c:v>
                      </c:pt>
                      <c:pt idx="3300">
                        <c:v>20.518999999999998</c:v>
                      </c:pt>
                      <c:pt idx="3301">
                        <c:v>20.518999999999998</c:v>
                      </c:pt>
                      <c:pt idx="3302">
                        <c:v>20.518999999999998</c:v>
                      </c:pt>
                      <c:pt idx="3303">
                        <c:v>20.423999999999999</c:v>
                      </c:pt>
                      <c:pt idx="3304">
                        <c:v>20.423999999999999</c:v>
                      </c:pt>
                      <c:pt idx="3305">
                        <c:v>20.423999999999999</c:v>
                      </c:pt>
                      <c:pt idx="3306">
                        <c:v>20.423999999999999</c:v>
                      </c:pt>
                      <c:pt idx="3307">
                        <c:v>20.423999999999999</c:v>
                      </c:pt>
                      <c:pt idx="3308">
                        <c:v>20.329000000000001</c:v>
                      </c:pt>
                      <c:pt idx="3309">
                        <c:v>20.329000000000001</c:v>
                      </c:pt>
                      <c:pt idx="3310">
                        <c:v>20.329000000000001</c:v>
                      </c:pt>
                      <c:pt idx="3311">
                        <c:v>20.329000000000001</c:v>
                      </c:pt>
                      <c:pt idx="3312">
                        <c:v>20.329000000000001</c:v>
                      </c:pt>
                      <c:pt idx="3313">
                        <c:v>20.234000000000002</c:v>
                      </c:pt>
                      <c:pt idx="3314">
                        <c:v>20.234000000000002</c:v>
                      </c:pt>
                      <c:pt idx="3315">
                        <c:v>20.234000000000002</c:v>
                      </c:pt>
                      <c:pt idx="3316">
                        <c:v>20.234000000000002</c:v>
                      </c:pt>
                      <c:pt idx="3317">
                        <c:v>20.234000000000002</c:v>
                      </c:pt>
                      <c:pt idx="3318">
                        <c:v>20.234000000000002</c:v>
                      </c:pt>
                      <c:pt idx="3319">
                        <c:v>20.234000000000002</c:v>
                      </c:pt>
                      <c:pt idx="3320">
                        <c:v>20.234000000000002</c:v>
                      </c:pt>
                      <c:pt idx="3321">
                        <c:v>20.234000000000002</c:v>
                      </c:pt>
                      <c:pt idx="3322">
                        <c:v>20.138000000000002</c:v>
                      </c:pt>
                      <c:pt idx="3323">
                        <c:v>20.138000000000002</c:v>
                      </c:pt>
                      <c:pt idx="3324">
                        <c:v>20.234000000000002</c:v>
                      </c:pt>
                      <c:pt idx="3325">
                        <c:v>20.234000000000002</c:v>
                      </c:pt>
                      <c:pt idx="3326">
                        <c:v>20.138000000000002</c:v>
                      </c:pt>
                      <c:pt idx="3327">
                        <c:v>20.042999999999999</c:v>
                      </c:pt>
                      <c:pt idx="3328">
                        <c:v>20.042999999999999</c:v>
                      </c:pt>
                      <c:pt idx="3329">
                        <c:v>20.042999999999999</c:v>
                      </c:pt>
                      <c:pt idx="3330">
                        <c:v>20.042999999999999</c:v>
                      </c:pt>
                      <c:pt idx="3331">
                        <c:v>20.042999999999999</c:v>
                      </c:pt>
                      <c:pt idx="3332">
                        <c:v>20.042999999999999</c:v>
                      </c:pt>
                      <c:pt idx="3333">
                        <c:v>20.138000000000002</c:v>
                      </c:pt>
                      <c:pt idx="3334">
                        <c:v>20.138000000000002</c:v>
                      </c:pt>
                      <c:pt idx="3335">
                        <c:v>20.042999999999999</c:v>
                      </c:pt>
                      <c:pt idx="3336">
                        <c:v>20.042999999999999</c:v>
                      </c:pt>
                      <c:pt idx="3337">
                        <c:v>20.042999999999999</c:v>
                      </c:pt>
                      <c:pt idx="3338">
                        <c:v>20.042999999999999</c:v>
                      </c:pt>
                      <c:pt idx="3339">
                        <c:v>20.042999999999999</c:v>
                      </c:pt>
                      <c:pt idx="3340">
                        <c:v>20.042999999999999</c:v>
                      </c:pt>
                      <c:pt idx="3341">
                        <c:v>20.042999999999999</c:v>
                      </c:pt>
                      <c:pt idx="3342">
                        <c:v>20.042999999999999</c:v>
                      </c:pt>
                      <c:pt idx="3343">
                        <c:v>20.042999999999999</c:v>
                      </c:pt>
                      <c:pt idx="3344">
                        <c:v>19.948</c:v>
                      </c:pt>
                      <c:pt idx="3345">
                        <c:v>19.948</c:v>
                      </c:pt>
                      <c:pt idx="3346">
                        <c:v>19.948</c:v>
                      </c:pt>
                      <c:pt idx="3347">
                        <c:v>19.948</c:v>
                      </c:pt>
                      <c:pt idx="3348">
                        <c:v>19.948</c:v>
                      </c:pt>
                      <c:pt idx="3349">
                        <c:v>19.948</c:v>
                      </c:pt>
                      <c:pt idx="3350">
                        <c:v>19.948</c:v>
                      </c:pt>
                      <c:pt idx="3351">
                        <c:v>19.948</c:v>
                      </c:pt>
                      <c:pt idx="3352">
                        <c:v>19.948</c:v>
                      </c:pt>
                      <c:pt idx="3353">
                        <c:v>19.948</c:v>
                      </c:pt>
                      <c:pt idx="3354">
                        <c:v>19.948</c:v>
                      </c:pt>
                      <c:pt idx="3355">
                        <c:v>19.948</c:v>
                      </c:pt>
                      <c:pt idx="3356">
                        <c:v>19.948</c:v>
                      </c:pt>
                      <c:pt idx="3357">
                        <c:v>19.948</c:v>
                      </c:pt>
                      <c:pt idx="3358">
                        <c:v>19.948</c:v>
                      </c:pt>
                      <c:pt idx="3359">
                        <c:v>19.948</c:v>
                      </c:pt>
                      <c:pt idx="3360">
                        <c:v>20.042999999999999</c:v>
                      </c:pt>
                      <c:pt idx="3361">
                        <c:v>20.042999999999999</c:v>
                      </c:pt>
                      <c:pt idx="3362">
                        <c:v>20.042999999999999</c:v>
                      </c:pt>
                      <c:pt idx="3363">
                        <c:v>20.042999999999999</c:v>
                      </c:pt>
                      <c:pt idx="3364">
                        <c:v>20.042999999999999</c:v>
                      </c:pt>
                      <c:pt idx="3365">
                        <c:v>20.138000000000002</c:v>
                      </c:pt>
                      <c:pt idx="3366">
                        <c:v>20.138000000000002</c:v>
                      </c:pt>
                      <c:pt idx="3367">
                        <c:v>20.138000000000002</c:v>
                      </c:pt>
                      <c:pt idx="3368">
                        <c:v>20.234000000000002</c:v>
                      </c:pt>
                      <c:pt idx="3369">
                        <c:v>20.329000000000001</c:v>
                      </c:pt>
                      <c:pt idx="3370">
                        <c:v>20.518999999999998</c:v>
                      </c:pt>
                      <c:pt idx="3371">
                        <c:v>20.518999999999998</c:v>
                      </c:pt>
                      <c:pt idx="3372">
                        <c:v>20.614999999999998</c:v>
                      </c:pt>
                      <c:pt idx="3373">
                        <c:v>20.518999999999998</c:v>
                      </c:pt>
                      <c:pt idx="3374">
                        <c:v>20.614999999999998</c:v>
                      </c:pt>
                      <c:pt idx="3375">
                        <c:v>20.614999999999998</c:v>
                      </c:pt>
                      <c:pt idx="3376">
                        <c:v>20.71</c:v>
                      </c:pt>
                      <c:pt idx="3377">
                        <c:v>20.614999999999998</c:v>
                      </c:pt>
                      <c:pt idx="3378">
                        <c:v>20.71</c:v>
                      </c:pt>
                      <c:pt idx="3379">
                        <c:v>20.71</c:v>
                      </c:pt>
                      <c:pt idx="3380">
                        <c:v>20.71</c:v>
                      </c:pt>
                      <c:pt idx="3381">
                        <c:v>20.901</c:v>
                      </c:pt>
                      <c:pt idx="3382">
                        <c:v>20.995999999999999</c:v>
                      </c:pt>
                      <c:pt idx="3383">
                        <c:v>21.091000000000001</c:v>
                      </c:pt>
                      <c:pt idx="3384">
                        <c:v>21.282</c:v>
                      </c:pt>
                      <c:pt idx="3385">
                        <c:v>21.187000000000001</c:v>
                      </c:pt>
                      <c:pt idx="3386">
                        <c:v>21.282</c:v>
                      </c:pt>
                      <c:pt idx="3387">
                        <c:v>21.187000000000001</c:v>
                      </c:pt>
                      <c:pt idx="3388">
                        <c:v>21.187000000000001</c:v>
                      </c:pt>
                      <c:pt idx="3389">
                        <c:v>21.187000000000001</c:v>
                      </c:pt>
                      <c:pt idx="3390">
                        <c:v>21.282</c:v>
                      </c:pt>
                      <c:pt idx="3391">
                        <c:v>21.378</c:v>
                      </c:pt>
                      <c:pt idx="3392">
                        <c:v>21.282</c:v>
                      </c:pt>
                      <c:pt idx="3393">
                        <c:v>21.472999999999999</c:v>
                      </c:pt>
                      <c:pt idx="3394">
                        <c:v>21.76</c:v>
                      </c:pt>
                      <c:pt idx="3395">
                        <c:v>21.855</c:v>
                      </c:pt>
                      <c:pt idx="3396">
                        <c:v>21.951000000000001</c:v>
                      </c:pt>
                      <c:pt idx="3397">
                        <c:v>21.664000000000001</c:v>
                      </c:pt>
                      <c:pt idx="3398">
                        <c:v>21.568999999999999</c:v>
                      </c:pt>
                      <c:pt idx="3399">
                        <c:v>21.472999999999999</c:v>
                      </c:pt>
                      <c:pt idx="3400">
                        <c:v>21.378</c:v>
                      </c:pt>
                      <c:pt idx="3401">
                        <c:v>21.378</c:v>
                      </c:pt>
                      <c:pt idx="3402">
                        <c:v>21.378</c:v>
                      </c:pt>
                      <c:pt idx="3403">
                        <c:v>21.282</c:v>
                      </c:pt>
                      <c:pt idx="3404">
                        <c:v>21.282</c:v>
                      </c:pt>
                      <c:pt idx="3405">
                        <c:v>21.282</c:v>
                      </c:pt>
                      <c:pt idx="3406">
                        <c:v>21.282</c:v>
                      </c:pt>
                      <c:pt idx="3407">
                        <c:v>21.282</c:v>
                      </c:pt>
                      <c:pt idx="3408">
                        <c:v>21.282</c:v>
                      </c:pt>
                      <c:pt idx="3409">
                        <c:v>21.282</c:v>
                      </c:pt>
                      <c:pt idx="3410">
                        <c:v>21.187000000000001</c:v>
                      </c:pt>
                      <c:pt idx="3411">
                        <c:v>21.187000000000001</c:v>
                      </c:pt>
                      <c:pt idx="3412">
                        <c:v>21.187000000000001</c:v>
                      </c:pt>
                      <c:pt idx="3413">
                        <c:v>21.091000000000001</c:v>
                      </c:pt>
                      <c:pt idx="3414">
                        <c:v>21.091000000000001</c:v>
                      </c:pt>
                      <c:pt idx="3415">
                        <c:v>21.091000000000001</c:v>
                      </c:pt>
                      <c:pt idx="3416">
                        <c:v>21.091000000000001</c:v>
                      </c:pt>
                      <c:pt idx="3417">
                        <c:v>20.995999999999999</c:v>
                      </c:pt>
                      <c:pt idx="3418">
                        <c:v>20.995999999999999</c:v>
                      </c:pt>
                      <c:pt idx="3419">
                        <c:v>20.995999999999999</c:v>
                      </c:pt>
                      <c:pt idx="3420">
                        <c:v>20.901</c:v>
                      </c:pt>
                      <c:pt idx="3421">
                        <c:v>20.901</c:v>
                      </c:pt>
                      <c:pt idx="3422">
                        <c:v>20.901</c:v>
                      </c:pt>
                      <c:pt idx="3423">
                        <c:v>20.901</c:v>
                      </c:pt>
                      <c:pt idx="3424">
                        <c:v>20.901</c:v>
                      </c:pt>
                      <c:pt idx="3425">
                        <c:v>20.805</c:v>
                      </c:pt>
                      <c:pt idx="3426">
                        <c:v>20.805</c:v>
                      </c:pt>
                      <c:pt idx="3427">
                        <c:v>20.805</c:v>
                      </c:pt>
                      <c:pt idx="3428">
                        <c:v>20.805</c:v>
                      </c:pt>
                      <c:pt idx="3429">
                        <c:v>20.805</c:v>
                      </c:pt>
                      <c:pt idx="3430">
                        <c:v>20.71</c:v>
                      </c:pt>
                      <c:pt idx="3431">
                        <c:v>20.71</c:v>
                      </c:pt>
                      <c:pt idx="3432">
                        <c:v>20.71</c:v>
                      </c:pt>
                      <c:pt idx="3433">
                        <c:v>20.614999999999998</c:v>
                      </c:pt>
                      <c:pt idx="3434">
                        <c:v>20.614999999999998</c:v>
                      </c:pt>
                      <c:pt idx="3435">
                        <c:v>20.614999999999998</c:v>
                      </c:pt>
                      <c:pt idx="3436">
                        <c:v>20.614999999999998</c:v>
                      </c:pt>
                      <c:pt idx="3437">
                        <c:v>20.518999999999998</c:v>
                      </c:pt>
                      <c:pt idx="3438">
                        <c:v>20.518999999999998</c:v>
                      </c:pt>
                      <c:pt idx="3439">
                        <c:v>20.423999999999999</c:v>
                      </c:pt>
                      <c:pt idx="3440">
                        <c:v>20.423999999999999</c:v>
                      </c:pt>
                      <c:pt idx="3441">
                        <c:v>20.423999999999999</c:v>
                      </c:pt>
                      <c:pt idx="3442">
                        <c:v>20.329000000000001</c:v>
                      </c:pt>
                      <c:pt idx="3443">
                        <c:v>20.329000000000001</c:v>
                      </c:pt>
                      <c:pt idx="3444">
                        <c:v>20.234000000000002</c:v>
                      </c:pt>
                      <c:pt idx="3445">
                        <c:v>20.234000000000002</c:v>
                      </c:pt>
                      <c:pt idx="3446">
                        <c:v>20.138000000000002</c:v>
                      </c:pt>
                      <c:pt idx="3447">
                        <c:v>20.138000000000002</c:v>
                      </c:pt>
                      <c:pt idx="3448">
                        <c:v>20.138000000000002</c:v>
                      </c:pt>
                      <c:pt idx="3449">
                        <c:v>20.042999999999999</c:v>
                      </c:pt>
                      <c:pt idx="3450">
                        <c:v>20.042999999999999</c:v>
                      </c:pt>
                      <c:pt idx="3451">
                        <c:v>19.948</c:v>
                      </c:pt>
                      <c:pt idx="3452">
                        <c:v>19.948</c:v>
                      </c:pt>
                      <c:pt idx="3453">
                        <c:v>19.948</c:v>
                      </c:pt>
                      <c:pt idx="3454">
                        <c:v>19.853000000000002</c:v>
                      </c:pt>
                      <c:pt idx="3455">
                        <c:v>19.853000000000002</c:v>
                      </c:pt>
                      <c:pt idx="3456">
                        <c:v>19.757999999999999</c:v>
                      </c:pt>
                      <c:pt idx="3457">
                        <c:v>19.757999999999999</c:v>
                      </c:pt>
                      <c:pt idx="3458">
                        <c:v>19.757999999999999</c:v>
                      </c:pt>
                      <c:pt idx="3459">
                        <c:v>19.757999999999999</c:v>
                      </c:pt>
                      <c:pt idx="3460">
                        <c:v>19.757999999999999</c:v>
                      </c:pt>
                      <c:pt idx="3461">
                        <c:v>19.661999999999999</c:v>
                      </c:pt>
                      <c:pt idx="3462">
                        <c:v>19.661999999999999</c:v>
                      </c:pt>
                      <c:pt idx="3463">
                        <c:v>19.661999999999999</c:v>
                      </c:pt>
                      <c:pt idx="3464">
                        <c:v>19.661999999999999</c:v>
                      </c:pt>
                      <c:pt idx="3465">
                        <c:v>19.661999999999999</c:v>
                      </c:pt>
                      <c:pt idx="3466">
                        <c:v>19.567</c:v>
                      </c:pt>
                      <c:pt idx="3467">
                        <c:v>19.567</c:v>
                      </c:pt>
                      <c:pt idx="3468">
                        <c:v>19.567</c:v>
                      </c:pt>
                      <c:pt idx="3469">
                        <c:v>19.567</c:v>
                      </c:pt>
                      <c:pt idx="3470">
                        <c:v>19.472000000000001</c:v>
                      </c:pt>
                      <c:pt idx="3471">
                        <c:v>19.472000000000001</c:v>
                      </c:pt>
                      <c:pt idx="3472">
                        <c:v>19.472000000000001</c:v>
                      </c:pt>
                      <c:pt idx="3473">
                        <c:v>19.472000000000001</c:v>
                      </c:pt>
                      <c:pt idx="3474">
                        <c:v>19.376999999999999</c:v>
                      </c:pt>
                      <c:pt idx="3475">
                        <c:v>19.376999999999999</c:v>
                      </c:pt>
                      <c:pt idx="3476">
                        <c:v>19.376999999999999</c:v>
                      </c:pt>
                      <c:pt idx="3477">
                        <c:v>19.376999999999999</c:v>
                      </c:pt>
                      <c:pt idx="3478">
                        <c:v>19.282</c:v>
                      </c:pt>
                      <c:pt idx="3479">
                        <c:v>19.282</c:v>
                      </c:pt>
                      <c:pt idx="3480">
                        <c:v>19.282</c:v>
                      </c:pt>
                      <c:pt idx="3481">
                        <c:v>19.187000000000001</c:v>
                      </c:pt>
                      <c:pt idx="3482">
                        <c:v>19.282</c:v>
                      </c:pt>
                      <c:pt idx="3483">
                        <c:v>19.187000000000001</c:v>
                      </c:pt>
                      <c:pt idx="3484">
                        <c:v>19.187000000000001</c:v>
                      </c:pt>
                      <c:pt idx="3485">
                        <c:v>19.091999999999999</c:v>
                      </c:pt>
                      <c:pt idx="3486">
                        <c:v>19.187000000000001</c:v>
                      </c:pt>
                      <c:pt idx="3487">
                        <c:v>19.187000000000001</c:v>
                      </c:pt>
                      <c:pt idx="3488">
                        <c:v>19.091999999999999</c:v>
                      </c:pt>
                      <c:pt idx="3489">
                        <c:v>19.091999999999999</c:v>
                      </c:pt>
                      <c:pt idx="3490">
                        <c:v>18.995999999999999</c:v>
                      </c:pt>
                      <c:pt idx="3491">
                        <c:v>18.995999999999999</c:v>
                      </c:pt>
                      <c:pt idx="3492">
                        <c:v>18.995999999999999</c:v>
                      </c:pt>
                      <c:pt idx="3493">
                        <c:v>18.995999999999999</c:v>
                      </c:pt>
                      <c:pt idx="3494">
                        <c:v>18.901</c:v>
                      </c:pt>
                      <c:pt idx="3495">
                        <c:v>18.901</c:v>
                      </c:pt>
                      <c:pt idx="3496">
                        <c:v>18.901</c:v>
                      </c:pt>
                      <c:pt idx="3497">
                        <c:v>18.901</c:v>
                      </c:pt>
                      <c:pt idx="3498">
                        <c:v>18.901</c:v>
                      </c:pt>
                      <c:pt idx="3499">
                        <c:v>18.901</c:v>
                      </c:pt>
                      <c:pt idx="3500">
                        <c:v>18.901</c:v>
                      </c:pt>
                      <c:pt idx="3501">
                        <c:v>18.995999999999999</c:v>
                      </c:pt>
                      <c:pt idx="3502">
                        <c:v>18.995999999999999</c:v>
                      </c:pt>
                      <c:pt idx="3503">
                        <c:v>18.995999999999999</c:v>
                      </c:pt>
                      <c:pt idx="3504">
                        <c:v>18.995999999999999</c:v>
                      </c:pt>
                      <c:pt idx="3505">
                        <c:v>19.091999999999999</c:v>
                      </c:pt>
                      <c:pt idx="3506">
                        <c:v>19.091999999999999</c:v>
                      </c:pt>
                      <c:pt idx="3507">
                        <c:v>19.187000000000001</c:v>
                      </c:pt>
                      <c:pt idx="3508">
                        <c:v>19.187000000000001</c:v>
                      </c:pt>
                      <c:pt idx="3509">
                        <c:v>19.187000000000001</c:v>
                      </c:pt>
                      <c:pt idx="3510">
                        <c:v>19.282</c:v>
                      </c:pt>
                      <c:pt idx="3511">
                        <c:v>19.282</c:v>
                      </c:pt>
                      <c:pt idx="3512">
                        <c:v>19.282</c:v>
                      </c:pt>
                      <c:pt idx="3513">
                        <c:v>19.472000000000001</c:v>
                      </c:pt>
                      <c:pt idx="3514">
                        <c:v>19.948</c:v>
                      </c:pt>
                      <c:pt idx="3515">
                        <c:v>19.948</c:v>
                      </c:pt>
                      <c:pt idx="3516">
                        <c:v>19.853000000000002</c:v>
                      </c:pt>
                      <c:pt idx="3517">
                        <c:v>19.853000000000002</c:v>
                      </c:pt>
                      <c:pt idx="3518">
                        <c:v>20.042999999999999</c:v>
                      </c:pt>
                      <c:pt idx="3519">
                        <c:v>20.042999999999999</c:v>
                      </c:pt>
                      <c:pt idx="3520">
                        <c:v>20.042999999999999</c:v>
                      </c:pt>
                      <c:pt idx="3521">
                        <c:v>19.948</c:v>
                      </c:pt>
                      <c:pt idx="3522">
                        <c:v>20.042999999999999</c:v>
                      </c:pt>
                      <c:pt idx="3523">
                        <c:v>20.042999999999999</c:v>
                      </c:pt>
                      <c:pt idx="3524">
                        <c:v>20.138000000000002</c:v>
                      </c:pt>
                      <c:pt idx="3525">
                        <c:v>20.234000000000002</c:v>
                      </c:pt>
                      <c:pt idx="3526">
                        <c:v>20.518999999999998</c:v>
                      </c:pt>
                      <c:pt idx="3527">
                        <c:v>20.518999999999998</c:v>
                      </c:pt>
                      <c:pt idx="3528">
                        <c:v>20.901</c:v>
                      </c:pt>
                      <c:pt idx="3529">
                        <c:v>20.901</c:v>
                      </c:pt>
                      <c:pt idx="3530">
                        <c:v>21.091000000000001</c:v>
                      </c:pt>
                      <c:pt idx="3531">
                        <c:v>20.901</c:v>
                      </c:pt>
                      <c:pt idx="3532">
                        <c:v>20.805</c:v>
                      </c:pt>
                      <c:pt idx="3533">
                        <c:v>20.805</c:v>
                      </c:pt>
                      <c:pt idx="3534">
                        <c:v>20.901</c:v>
                      </c:pt>
                      <c:pt idx="3535">
                        <c:v>20.901</c:v>
                      </c:pt>
                      <c:pt idx="3536">
                        <c:v>20.901</c:v>
                      </c:pt>
                      <c:pt idx="3537">
                        <c:v>21.282</c:v>
                      </c:pt>
                      <c:pt idx="3538">
                        <c:v>21.472999999999999</c:v>
                      </c:pt>
                      <c:pt idx="3539">
                        <c:v>21.664000000000001</c:v>
                      </c:pt>
                      <c:pt idx="3540">
                        <c:v>21.76</c:v>
                      </c:pt>
                      <c:pt idx="3541">
                        <c:v>21.472999999999999</c:v>
                      </c:pt>
                      <c:pt idx="3542">
                        <c:v>21.282</c:v>
                      </c:pt>
                      <c:pt idx="3543">
                        <c:v>21.187000000000001</c:v>
                      </c:pt>
                      <c:pt idx="3544">
                        <c:v>21.187000000000001</c:v>
                      </c:pt>
                      <c:pt idx="3545">
                        <c:v>21.187000000000001</c:v>
                      </c:pt>
                      <c:pt idx="3546">
                        <c:v>21.091000000000001</c:v>
                      </c:pt>
                      <c:pt idx="3547">
                        <c:v>21.091000000000001</c:v>
                      </c:pt>
                      <c:pt idx="3548">
                        <c:v>21.091000000000001</c:v>
                      </c:pt>
                      <c:pt idx="3549">
                        <c:v>21.091000000000001</c:v>
                      </c:pt>
                      <c:pt idx="3550">
                        <c:v>21.091000000000001</c:v>
                      </c:pt>
                      <c:pt idx="3551">
                        <c:v>21.091000000000001</c:v>
                      </c:pt>
                      <c:pt idx="3552">
                        <c:v>21.091000000000001</c:v>
                      </c:pt>
                      <c:pt idx="3553">
                        <c:v>20.995999999999999</c:v>
                      </c:pt>
                      <c:pt idx="3554">
                        <c:v>20.995999999999999</c:v>
                      </c:pt>
                      <c:pt idx="3555">
                        <c:v>20.995999999999999</c:v>
                      </c:pt>
                      <c:pt idx="3556">
                        <c:v>20.995999999999999</c:v>
                      </c:pt>
                      <c:pt idx="3557">
                        <c:v>20.995999999999999</c:v>
                      </c:pt>
                      <c:pt idx="3558">
                        <c:v>20.901</c:v>
                      </c:pt>
                      <c:pt idx="3559">
                        <c:v>20.901</c:v>
                      </c:pt>
                      <c:pt idx="3560">
                        <c:v>20.901</c:v>
                      </c:pt>
                      <c:pt idx="3561">
                        <c:v>20.805</c:v>
                      </c:pt>
                      <c:pt idx="3562">
                        <c:v>20.805</c:v>
                      </c:pt>
                      <c:pt idx="3563">
                        <c:v>20.805</c:v>
                      </c:pt>
                      <c:pt idx="3564">
                        <c:v>20.71</c:v>
                      </c:pt>
                      <c:pt idx="3565">
                        <c:v>20.71</c:v>
                      </c:pt>
                      <c:pt idx="3566">
                        <c:v>20.71</c:v>
                      </c:pt>
                      <c:pt idx="3567">
                        <c:v>20.614999999999998</c:v>
                      </c:pt>
                      <c:pt idx="3568">
                        <c:v>20.518999999999998</c:v>
                      </c:pt>
                      <c:pt idx="3569">
                        <c:v>20.518999999999998</c:v>
                      </c:pt>
                      <c:pt idx="3570">
                        <c:v>20.518999999999998</c:v>
                      </c:pt>
                      <c:pt idx="3571">
                        <c:v>20.423999999999999</c:v>
                      </c:pt>
                      <c:pt idx="3572">
                        <c:v>20.423999999999999</c:v>
                      </c:pt>
                      <c:pt idx="3573">
                        <c:v>20.423999999999999</c:v>
                      </c:pt>
                      <c:pt idx="3574">
                        <c:v>20.329000000000001</c:v>
                      </c:pt>
                      <c:pt idx="3575">
                        <c:v>20.329000000000001</c:v>
                      </c:pt>
                      <c:pt idx="3576">
                        <c:v>20.234000000000002</c:v>
                      </c:pt>
                      <c:pt idx="3577">
                        <c:v>20.234000000000002</c:v>
                      </c:pt>
                      <c:pt idx="3578">
                        <c:v>20.234000000000002</c:v>
                      </c:pt>
                      <c:pt idx="3579">
                        <c:v>20.234000000000002</c:v>
                      </c:pt>
                      <c:pt idx="3580">
                        <c:v>20.234000000000002</c:v>
                      </c:pt>
                      <c:pt idx="3581">
                        <c:v>20.138000000000002</c:v>
                      </c:pt>
                      <c:pt idx="3582">
                        <c:v>20.234000000000002</c:v>
                      </c:pt>
                      <c:pt idx="3583">
                        <c:v>20.234000000000002</c:v>
                      </c:pt>
                      <c:pt idx="3584">
                        <c:v>20.234000000000002</c:v>
                      </c:pt>
                      <c:pt idx="3585">
                        <c:v>20.234000000000002</c:v>
                      </c:pt>
                      <c:pt idx="3586">
                        <c:v>20.234000000000002</c:v>
                      </c:pt>
                      <c:pt idx="3587">
                        <c:v>20.234000000000002</c:v>
                      </c:pt>
                      <c:pt idx="3588">
                        <c:v>20.138000000000002</c:v>
                      </c:pt>
                      <c:pt idx="3589">
                        <c:v>20.138000000000002</c:v>
                      </c:pt>
                      <c:pt idx="3590">
                        <c:v>20.138000000000002</c:v>
                      </c:pt>
                      <c:pt idx="3591">
                        <c:v>20.138000000000002</c:v>
                      </c:pt>
                      <c:pt idx="3592">
                        <c:v>20.042999999999999</c:v>
                      </c:pt>
                      <c:pt idx="3593">
                        <c:v>20.042999999999999</c:v>
                      </c:pt>
                      <c:pt idx="3594">
                        <c:v>19.948</c:v>
                      </c:pt>
                      <c:pt idx="3595">
                        <c:v>19.948</c:v>
                      </c:pt>
                      <c:pt idx="3596">
                        <c:v>19.948</c:v>
                      </c:pt>
                      <c:pt idx="3597">
                        <c:v>19.853000000000002</c:v>
                      </c:pt>
                      <c:pt idx="3598">
                        <c:v>19.853000000000002</c:v>
                      </c:pt>
                      <c:pt idx="3599">
                        <c:v>19.757999999999999</c:v>
                      </c:pt>
                      <c:pt idx="3600">
                        <c:v>19.757999999999999</c:v>
                      </c:pt>
                      <c:pt idx="3601">
                        <c:v>19.661999999999999</c:v>
                      </c:pt>
                      <c:pt idx="3602">
                        <c:v>19.661999999999999</c:v>
                      </c:pt>
                      <c:pt idx="3603">
                        <c:v>19.661999999999999</c:v>
                      </c:pt>
                      <c:pt idx="3604">
                        <c:v>19.661999999999999</c:v>
                      </c:pt>
                      <c:pt idx="3605">
                        <c:v>19.661999999999999</c:v>
                      </c:pt>
                      <c:pt idx="3606">
                        <c:v>19.661999999999999</c:v>
                      </c:pt>
                      <c:pt idx="3607">
                        <c:v>19.661999999999999</c:v>
                      </c:pt>
                      <c:pt idx="3608">
                        <c:v>19.661999999999999</c:v>
                      </c:pt>
                      <c:pt idx="3609">
                        <c:v>19.661999999999999</c:v>
                      </c:pt>
                      <c:pt idx="3610">
                        <c:v>19.661999999999999</c:v>
                      </c:pt>
                      <c:pt idx="3611">
                        <c:v>19.567</c:v>
                      </c:pt>
                      <c:pt idx="3612">
                        <c:v>19.567</c:v>
                      </c:pt>
                      <c:pt idx="3613">
                        <c:v>19.567</c:v>
                      </c:pt>
                      <c:pt idx="3614">
                        <c:v>19.567</c:v>
                      </c:pt>
                      <c:pt idx="3615">
                        <c:v>19.567</c:v>
                      </c:pt>
                      <c:pt idx="3616">
                        <c:v>19.472000000000001</c:v>
                      </c:pt>
                      <c:pt idx="3617">
                        <c:v>19.472000000000001</c:v>
                      </c:pt>
                      <c:pt idx="3618">
                        <c:v>19.472000000000001</c:v>
                      </c:pt>
                      <c:pt idx="3619">
                        <c:v>19.472000000000001</c:v>
                      </c:pt>
                      <c:pt idx="3620">
                        <c:v>19.376999999999999</c:v>
                      </c:pt>
                      <c:pt idx="3621">
                        <c:v>19.376999999999999</c:v>
                      </c:pt>
                      <c:pt idx="3622">
                        <c:v>19.376999999999999</c:v>
                      </c:pt>
                      <c:pt idx="3623">
                        <c:v>19.376999999999999</c:v>
                      </c:pt>
                      <c:pt idx="3624">
                        <c:v>19.376999999999999</c:v>
                      </c:pt>
                      <c:pt idx="3625">
                        <c:v>19.376999999999999</c:v>
                      </c:pt>
                      <c:pt idx="3626">
                        <c:v>19.376999999999999</c:v>
                      </c:pt>
                      <c:pt idx="3627">
                        <c:v>19.376999999999999</c:v>
                      </c:pt>
                      <c:pt idx="3628">
                        <c:v>19.376999999999999</c:v>
                      </c:pt>
                      <c:pt idx="3629">
                        <c:v>19.376999999999999</c:v>
                      </c:pt>
                      <c:pt idx="3630">
                        <c:v>19.282</c:v>
                      </c:pt>
                      <c:pt idx="3631">
                        <c:v>19.282</c:v>
                      </c:pt>
                      <c:pt idx="3632">
                        <c:v>19.282</c:v>
                      </c:pt>
                      <c:pt idx="3633">
                        <c:v>19.282</c:v>
                      </c:pt>
                      <c:pt idx="3634">
                        <c:v>19.282</c:v>
                      </c:pt>
                      <c:pt idx="3635">
                        <c:v>19.282</c:v>
                      </c:pt>
                      <c:pt idx="3636">
                        <c:v>19.282</c:v>
                      </c:pt>
                      <c:pt idx="3637">
                        <c:v>19.187000000000001</c:v>
                      </c:pt>
                      <c:pt idx="3638">
                        <c:v>19.187000000000001</c:v>
                      </c:pt>
                      <c:pt idx="3639">
                        <c:v>19.187000000000001</c:v>
                      </c:pt>
                      <c:pt idx="3640">
                        <c:v>19.187000000000001</c:v>
                      </c:pt>
                      <c:pt idx="3641">
                        <c:v>19.187000000000001</c:v>
                      </c:pt>
                      <c:pt idx="3642">
                        <c:v>19.187000000000001</c:v>
                      </c:pt>
                      <c:pt idx="3643">
                        <c:v>19.187000000000001</c:v>
                      </c:pt>
                      <c:pt idx="3644">
                        <c:v>19.187000000000001</c:v>
                      </c:pt>
                      <c:pt idx="3645">
                        <c:v>19.187000000000001</c:v>
                      </c:pt>
                      <c:pt idx="3646">
                        <c:v>19.187000000000001</c:v>
                      </c:pt>
                      <c:pt idx="3647">
                        <c:v>19.282</c:v>
                      </c:pt>
                      <c:pt idx="3648">
                        <c:v>19.282</c:v>
                      </c:pt>
                      <c:pt idx="3649">
                        <c:v>19.376999999999999</c:v>
                      </c:pt>
                      <c:pt idx="3650">
                        <c:v>19.472000000000001</c:v>
                      </c:pt>
                      <c:pt idx="3651">
                        <c:v>19.472000000000001</c:v>
                      </c:pt>
                      <c:pt idx="3652">
                        <c:v>19.567</c:v>
                      </c:pt>
                      <c:pt idx="3653">
                        <c:v>19.567</c:v>
                      </c:pt>
                      <c:pt idx="3654">
                        <c:v>19.661999999999999</c:v>
                      </c:pt>
                      <c:pt idx="3655">
                        <c:v>19.661999999999999</c:v>
                      </c:pt>
                      <c:pt idx="3656">
                        <c:v>19.757999999999999</c:v>
                      </c:pt>
                      <c:pt idx="3657">
                        <c:v>19.853000000000002</c:v>
                      </c:pt>
                      <c:pt idx="3658">
                        <c:v>20.329000000000001</c:v>
                      </c:pt>
                      <c:pt idx="3659">
                        <c:v>20.234000000000002</c:v>
                      </c:pt>
                      <c:pt idx="3660">
                        <c:v>20.234000000000002</c:v>
                      </c:pt>
                      <c:pt idx="3661">
                        <c:v>20.234000000000002</c:v>
                      </c:pt>
                      <c:pt idx="3662">
                        <c:v>20.329000000000001</c:v>
                      </c:pt>
                      <c:pt idx="3663">
                        <c:v>20.329000000000001</c:v>
                      </c:pt>
                      <c:pt idx="3664">
                        <c:v>20.329000000000001</c:v>
                      </c:pt>
                      <c:pt idx="3665">
                        <c:v>20.329000000000001</c:v>
                      </c:pt>
                      <c:pt idx="3666">
                        <c:v>20.329000000000001</c:v>
                      </c:pt>
                      <c:pt idx="3667">
                        <c:v>20.423999999999999</c:v>
                      </c:pt>
                      <c:pt idx="3668">
                        <c:v>20.423999999999999</c:v>
                      </c:pt>
                      <c:pt idx="3669">
                        <c:v>20.518999999999998</c:v>
                      </c:pt>
                      <c:pt idx="3670">
                        <c:v>20.518999999999998</c:v>
                      </c:pt>
                      <c:pt idx="3671">
                        <c:v>20.805</c:v>
                      </c:pt>
                      <c:pt idx="3672">
                        <c:v>21.091000000000001</c:v>
                      </c:pt>
                      <c:pt idx="3673">
                        <c:v>21.091000000000001</c:v>
                      </c:pt>
                      <c:pt idx="3674">
                        <c:v>21.187000000000001</c:v>
                      </c:pt>
                      <c:pt idx="3675">
                        <c:v>21.187000000000001</c:v>
                      </c:pt>
                      <c:pt idx="3676">
                        <c:v>20.995999999999999</c:v>
                      </c:pt>
                      <c:pt idx="3677">
                        <c:v>20.995999999999999</c:v>
                      </c:pt>
                      <c:pt idx="3678">
                        <c:v>20.995999999999999</c:v>
                      </c:pt>
                      <c:pt idx="3679">
                        <c:v>20.995999999999999</c:v>
                      </c:pt>
                      <c:pt idx="3680">
                        <c:v>21.091000000000001</c:v>
                      </c:pt>
                      <c:pt idx="3681">
                        <c:v>21.091000000000001</c:v>
                      </c:pt>
                      <c:pt idx="3682">
                        <c:v>21.568999999999999</c:v>
                      </c:pt>
                      <c:pt idx="3683">
                        <c:v>21.855</c:v>
                      </c:pt>
                      <c:pt idx="3684">
                        <c:v>21.855</c:v>
                      </c:pt>
                      <c:pt idx="3685">
                        <c:v>21.664000000000001</c:v>
                      </c:pt>
                      <c:pt idx="3686">
                        <c:v>21.472999999999999</c:v>
                      </c:pt>
                      <c:pt idx="3687">
                        <c:v>21.282</c:v>
                      </c:pt>
                      <c:pt idx="3688">
                        <c:v>21.282</c:v>
                      </c:pt>
                      <c:pt idx="3689">
                        <c:v>21.282</c:v>
                      </c:pt>
                      <c:pt idx="3690">
                        <c:v>21.187000000000001</c:v>
                      </c:pt>
                      <c:pt idx="3691">
                        <c:v>21.187000000000001</c:v>
                      </c:pt>
                      <c:pt idx="3692">
                        <c:v>21.187000000000001</c:v>
                      </c:pt>
                      <c:pt idx="3693">
                        <c:v>21.187000000000001</c:v>
                      </c:pt>
                      <c:pt idx="3694">
                        <c:v>21.091000000000001</c:v>
                      </c:pt>
                      <c:pt idx="3695">
                        <c:v>21.091000000000001</c:v>
                      </c:pt>
                      <c:pt idx="3696">
                        <c:v>21.091000000000001</c:v>
                      </c:pt>
                      <c:pt idx="3697">
                        <c:v>21.091000000000001</c:v>
                      </c:pt>
                      <c:pt idx="3698">
                        <c:v>21.091000000000001</c:v>
                      </c:pt>
                      <c:pt idx="3699">
                        <c:v>20.995999999999999</c:v>
                      </c:pt>
                      <c:pt idx="3700">
                        <c:v>20.995999999999999</c:v>
                      </c:pt>
                      <c:pt idx="3701">
                        <c:v>20.901</c:v>
                      </c:pt>
                      <c:pt idx="3702">
                        <c:v>20.901</c:v>
                      </c:pt>
                      <c:pt idx="3703">
                        <c:v>20.805</c:v>
                      </c:pt>
                      <c:pt idx="3704">
                        <c:v>20.71</c:v>
                      </c:pt>
                      <c:pt idx="3705">
                        <c:v>20.71</c:v>
                      </c:pt>
                      <c:pt idx="3706">
                        <c:v>20.71</c:v>
                      </c:pt>
                      <c:pt idx="3707">
                        <c:v>20.614999999999998</c:v>
                      </c:pt>
                      <c:pt idx="3708">
                        <c:v>20.614999999999998</c:v>
                      </c:pt>
                      <c:pt idx="3709">
                        <c:v>20.614999999999998</c:v>
                      </c:pt>
                      <c:pt idx="3710">
                        <c:v>20.518999999999998</c:v>
                      </c:pt>
                      <c:pt idx="3711">
                        <c:v>20.518999999999998</c:v>
                      </c:pt>
                      <c:pt idx="3712">
                        <c:v>20.518999999999998</c:v>
                      </c:pt>
                      <c:pt idx="3713">
                        <c:v>20.518999999999998</c:v>
                      </c:pt>
                      <c:pt idx="3714">
                        <c:v>20.518999999999998</c:v>
                      </c:pt>
                      <c:pt idx="3715">
                        <c:v>20.518999999999998</c:v>
                      </c:pt>
                      <c:pt idx="3716">
                        <c:v>20.423999999999999</c:v>
                      </c:pt>
                      <c:pt idx="3717">
                        <c:v>20.423999999999999</c:v>
                      </c:pt>
                      <c:pt idx="3718">
                        <c:v>20.423999999999999</c:v>
                      </c:pt>
                      <c:pt idx="3719">
                        <c:v>20.423999999999999</c:v>
                      </c:pt>
                      <c:pt idx="3720">
                        <c:v>20.423999999999999</c:v>
                      </c:pt>
                      <c:pt idx="3721">
                        <c:v>20.329000000000001</c:v>
                      </c:pt>
                      <c:pt idx="3722">
                        <c:v>20.329000000000001</c:v>
                      </c:pt>
                      <c:pt idx="3723">
                        <c:v>20.329000000000001</c:v>
                      </c:pt>
                      <c:pt idx="3724">
                        <c:v>20.329000000000001</c:v>
                      </c:pt>
                      <c:pt idx="3725">
                        <c:v>20.329000000000001</c:v>
                      </c:pt>
                      <c:pt idx="3726">
                        <c:v>20.329000000000001</c:v>
                      </c:pt>
                      <c:pt idx="3727">
                        <c:v>20.329000000000001</c:v>
                      </c:pt>
                      <c:pt idx="3728">
                        <c:v>20.234000000000002</c:v>
                      </c:pt>
                      <c:pt idx="3729">
                        <c:v>20.329000000000001</c:v>
                      </c:pt>
                      <c:pt idx="3730">
                        <c:v>20.329000000000001</c:v>
                      </c:pt>
                      <c:pt idx="3731">
                        <c:v>20.234000000000002</c:v>
                      </c:pt>
                      <c:pt idx="3732">
                        <c:v>20.234000000000002</c:v>
                      </c:pt>
                      <c:pt idx="3733">
                        <c:v>20.234000000000002</c:v>
                      </c:pt>
                      <c:pt idx="3734">
                        <c:v>20.234000000000002</c:v>
                      </c:pt>
                      <c:pt idx="3735">
                        <c:v>20.234000000000002</c:v>
                      </c:pt>
                      <c:pt idx="3736">
                        <c:v>20.138000000000002</c:v>
                      </c:pt>
                      <c:pt idx="3737">
                        <c:v>20.138000000000002</c:v>
                      </c:pt>
                      <c:pt idx="3738">
                        <c:v>20.138000000000002</c:v>
                      </c:pt>
                      <c:pt idx="3739">
                        <c:v>20.138000000000002</c:v>
                      </c:pt>
                      <c:pt idx="3740">
                        <c:v>20.042999999999999</c:v>
                      </c:pt>
                      <c:pt idx="3741">
                        <c:v>20.042999999999999</c:v>
                      </c:pt>
                      <c:pt idx="3742">
                        <c:v>20.042999999999999</c:v>
                      </c:pt>
                      <c:pt idx="3743">
                        <c:v>20.042999999999999</c:v>
                      </c:pt>
                      <c:pt idx="3744">
                        <c:v>20.042999999999999</c:v>
                      </c:pt>
                      <c:pt idx="3745">
                        <c:v>20.042999999999999</c:v>
                      </c:pt>
                      <c:pt idx="3746">
                        <c:v>20.042999999999999</c:v>
                      </c:pt>
                      <c:pt idx="3747">
                        <c:v>20.042999999999999</c:v>
                      </c:pt>
                      <c:pt idx="3748">
                        <c:v>19.948</c:v>
                      </c:pt>
                      <c:pt idx="3749">
                        <c:v>19.948</c:v>
                      </c:pt>
                      <c:pt idx="3750">
                        <c:v>19.948</c:v>
                      </c:pt>
                      <c:pt idx="3751">
                        <c:v>19.948</c:v>
                      </c:pt>
                      <c:pt idx="3752">
                        <c:v>19.948</c:v>
                      </c:pt>
                      <c:pt idx="3753">
                        <c:v>19.948</c:v>
                      </c:pt>
                      <c:pt idx="3754">
                        <c:v>19.948</c:v>
                      </c:pt>
                      <c:pt idx="3755">
                        <c:v>19.853000000000002</c:v>
                      </c:pt>
                      <c:pt idx="3756">
                        <c:v>19.853000000000002</c:v>
                      </c:pt>
                      <c:pt idx="3757">
                        <c:v>19.853000000000002</c:v>
                      </c:pt>
                      <c:pt idx="3758">
                        <c:v>19.853000000000002</c:v>
                      </c:pt>
                      <c:pt idx="3759">
                        <c:v>19.853000000000002</c:v>
                      </c:pt>
                      <c:pt idx="3760">
                        <c:v>19.853000000000002</c:v>
                      </c:pt>
                      <c:pt idx="3761">
                        <c:v>19.948</c:v>
                      </c:pt>
                      <c:pt idx="3762">
                        <c:v>19.948</c:v>
                      </c:pt>
                      <c:pt idx="3763">
                        <c:v>19.853000000000002</c:v>
                      </c:pt>
                      <c:pt idx="3764">
                        <c:v>19.853000000000002</c:v>
                      </c:pt>
                      <c:pt idx="3765">
                        <c:v>19.853000000000002</c:v>
                      </c:pt>
                      <c:pt idx="3766">
                        <c:v>19.853000000000002</c:v>
                      </c:pt>
                      <c:pt idx="3767">
                        <c:v>19.853000000000002</c:v>
                      </c:pt>
                      <c:pt idx="3768">
                        <c:v>19.853000000000002</c:v>
                      </c:pt>
                      <c:pt idx="3769">
                        <c:v>19.853000000000002</c:v>
                      </c:pt>
                      <c:pt idx="3770">
                        <c:v>19.853000000000002</c:v>
                      </c:pt>
                      <c:pt idx="3771">
                        <c:v>19.757999999999999</c:v>
                      </c:pt>
                      <c:pt idx="3772">
                        <c:v>19.757999999999999</c:v>
                      </c:pt>
                      <c:pt idx="3773">
                        <c:v>19.757999999999999</c:v>
                      </c:pt>
                      <c:pt idx="3774">
                        <c:v>19.661999999999999</c:v>
                      </c:pt>
                      <c:pt idx="3775">
                        <c:v>19.757999999999999</c:v>
                      </c:pt>
                      <c:pt idx="3776">
                        <c:v>19.757999999999999</c:v>
                      </c:pt>
                      <c:pt idx="3777">
                        <c:v>19.757999999999999</c:v>
                      </c:pt>
                      <c:pt idx="3778">
                        <c:v>19.757999999999999</c:v>
                      </c:pt>
                      <c:pt idx="3779">
                        <c:v>19.757999999999999</c:v>
                      </c:pt>
                      <c:pt idx="3780">
                        <c:v>19.661999999999999</c:v>
                      </c:pt>
                      <c:pt idx="3781">
                        <c:v>19.757999999999999</c:v>
                      </c:pt>
                      <c:pt idx="3782">
                        <c:v>19.661999999999999</c:v>
                      </c:pt>
                      <c:pt idx="3783">
                        <c:v>19.661999999999999</c:v>
                      </c:pt>
                      <c:pt idx="3784">
                        <c:v>19.757999999999999</c:v>
                      </c:pt>
                      <c:pt idx="3785">
                        <c:v>19.757999999999999</c:v>
                      </c:pt>
                      <c:pt idx="3786">
                        <c:v>19.757999999999999</c:v>
                      </c:pt>
                      <c:pt idx="3787">
                        <c:v>19.661999999999999</c:v>
                      </c:pt>
                      <c:pt idx="3788">
                        <c:v>19.661999999999999</c:v>
                      </c:pt>
                      <c:pt idx="3789">
                        <c:v>19.661999999999999</c:v>
                      </c:pt>
                      <c:pt idx="3790">
                        <c:v>19.661999999999999</c:v>
                      </c:pt>
                      <c:pt idx="3791">
                        <c:v>19.757999999999999</c:v>
                      </c:pt>
                      <c:pt idx="3792">
                        <c:v>19.853000000000002</c:v>
                      </c:pt>
                      <c:pt idx="3793">
                        <c:v>19.853000000000002</c:v>
                      </c:pt>
                      <c:pt idx="3794">
                        <c:v>19.853000000000002</c:v>
                      </c:pt>
                      <c:pt idx="3795">
                        <c:v>19.948</c:v>
                      </c:pt>
                      <c:pt idx="3796">
                        <c:v>19.948</c:v>
                      </c:pt>
                      <c:pt idx="3797">
                        <c:v>19.948</c:v>
                      </c:pt>
                      <c:pt idx="3798">
                        <c:v>20.042999999999999</c:v>
                      </c:pt>
                      <c:pt idx="3799">
                        <c:v>20.042999999999999</c:v>
                      </c:pt>
                      <c:pt idx="3800">
                        <c:v>20.042999999999999</c:v>
                      </c:pt>
                      <c:pt idx="3801">
                        <c:v>20.138000000000002</c:v>
                      </c:pt>
                      <c:pt idx="3802">
                        <c:v>20.614999999999998</c:v>
                      </c:pt>
                      <c:pt idx="3803">
                        <c:v>20.518999999999998</c:v>
                      </c:pt>
                      <c:pt idx="3804">
                        <c:v>20.423999999999999</c:v>
                      </c:pt>
                      <c:pt idx="3805">
                        <c:v>20.423999999999999</c:v>
                      </c:pt>
                      <c:pt idx="3806">
                        <c:v>20.614999999999998</c:v>
                      </c:pt>
                      <c:pt idx="3807">
                        <c:v>20.518999999999998</c:v>
                      </c:pt>
                      <c:pt idx="3808">
                        <c:v>20.518999999999998</c:v>
                      </c:pt>
                      <c:pt idx="3809">
                        <c:v>20.518999999999998</c:v>
                      </c:pt>
                      <c:pt idx="3810">
                        <c:v>20.614999999999998</c:v>
                      </c:pt>
                      <c:pt idx="3811">
                        <c:v>20.614999999999998</c:v>
                      </c:pt>
                      <c:pt idx="3812">
                        <c:v>20.614999999999998</c:v>
                      </c:pt>
                      <c:pt idx="3813">
                        <c:v>20.805</c:v>
                      </c:pt>
                      <c:pt idx="3814">
                        <c:v>21.187000000000001</c:v>
                      </c:pt>
                      <c:pt idx="3815">
                        <c:v>21.187000000000001</c:v>
                      </c:pt>
                      <c:pt idx="3816">
                        <c:v>21.282</c:v>
                      </c:pt>
                      <c:pt idx="3817">
                        <c:v>21.568999999999999</c:v>
                      </c:pt>
                      <c:pt idx="3818">
                        <c:v>21.472999999999999</c:v>
                      </c:pt>
                      <c:pt idx="3819">
                        <c:v>21.378</c:v>
                      </c:pt>
                      <c:pt idx="3820">
                        <c:v>21.187000000000001</c:v>
                      </c:pt>
                      <c:pt idx="3821">
                        <c:v>21.091000000000001</c:v>
                      </c:pt>
                      <c:pt idx="3822">
                        <c:v>21.568999999999999</c:v>
                      </c:pt>
                      <c:pt idx="3823">
                        <c:v>21.378</c:v>
                      </c:pt>
                      <c:pt idx="3824">
                        <c:v>21.378</c:v>
                      </c:pt>
                      <c:pt idx="3825">
                        <c:v>21.855</c:v>
                      </c:pt>
                      <c:pt idx="3826">
                        <c:v>21.951000000000001</c:v>
                      </c:pt>
                      <c:pt idx="3827">
                        <c:v>21.951000000000001</c:v>
                      </c:pt>
                      <c:pt idx="3828">
                        <c:v>22.045999999999999</c:v>
                      </c:pt>
                      <c:pt idx="3829">
                        <c:v>21.664000000000001</c:v>
                      </c:pt>
                      <c:pt idx="3830">
                        <c:v>21.472999999999999</c:v>
                      </c:pt>
                      <c:pt idx="3831">
                        <c:v>21.378</c:v>
                      </c:pt>
                      <c:pt idx="3832">
                        <c:v>21.378</c:v>
                      </c:pt>
                      <c:pt idx="3833">
                        <c:v>21.378</c:v>
                      </c:pt>
                      <c:pt idx="3834">
                        <c:v>21.378</c:v>
                      </c:pt>
                      <c:pt idx="3835">
                        <c:v>21.378</c:v>
                      </c:pt>
                      <c:pt idx="3836">
                        <c:v>21.378</c:v>
                      </c:pt>
                      <c:pt idx="3837">
                        <c:v>21.378</c:v>
                      </c:pt>
                      <c:pt idx="3838">
                        <c:v>21.282</c:v>
                      </c:pt>
                      <c:pt idx="3839">
                        <c:v>21.187000000000001</c:v>
                      </c:pt>
                      <c:pt idx="3840">
                        <c:v>21.187000000000001</c:v>
                      </c:pt>
                      <c:pt idx="3841">
                        <c:v>21.187000000000001</c:v>
                      </c:pt>
                      <c:pt idx="3842">
                        <c:v>21.187000000000001</c:v>
                      </c:pt>
                      <c:pt idx="3843">
                        <c:v>21.091000000000001</c:v>
                      </c:pt>
                      <c:pt idx="3844">
                        <c:v>21.091000000000001</c:v>
                      </c:pt>
                      <c:pt idx="3845">
                        <c:v>21.091000000000001</c:v>
                      </c:pt>
                      <c:pt idx="3846">
                        <c:v>21.091000000000001</c:v>
                      </c:pt>
                      <c:pt idx="3847">
                        <c:v>21.091000000000001</c:v>
                      </c:pt>
                      <c:pt idx="3848">
                        <c:v>20.995999999999999</c:v>
                      </c:pt>
                      <c:pt idx="3849">
                        <c:v>20.995999999999999</c:v>
                      </c:pt>
                      <c:pt idx="3850">
                        <c:v>20.995999999999999</c:v>
                      </c:pt>
                      <c:pt idx="3851">
                        <c:v>20.995999999999999</c:v>
                      </c:pt>
                      <c:pt idx="3852">
                        <c:v>20.995999999999999</c:v>
                      </c:pt>
                      <c:pt idx="3853">
                        <c:v>20.901</c:v>
                      </c:pt>
                      <c:pt idx="3854">
                        <c:v>20.901</c:v>
                      </c:pt>
                      <c:pt idx="3855">
                        <c:v>20.901</c:v>
                      </c:pt>
                      <c:pt idx="3856">
                        <c:v>20.901</c:v>
                      </c:pt>
                      <c:pt idx="3857">
                        <c:v>20.805</c:v>
                      </c:pt>
                      <c:pt idx="3858">
                        <c:v>20.805</c:v>
                      </c:pt>
                      <c:pt idx="3859">
                        <c:v>20.805</c:v>
                      </c:pt>
                      <c:pt idx="3860">
                        <c:v>20.805</c:v>
                      </c:pt>
                      <c:pt idx="3861">
                        <c:v>20.71</c:v>
                      </c:pt>
                      <c:pt idx="3862">
                        <c:v>20.71</c:v>
                      </c:pt>
                      <c:pt idx="3863">
                        <c:v>20.71</c:v>
                      </c:pt>
                      <c:pt idx="3864">
                        <c:v>20.614999999999998</c:v>
                      </c:pt>
                      <c:pt idx="3865">
                        <c:v>20.614999999999998</c:v>
                      </c:pt>
                      <c:pt idx="3866">
                        <c:v>20.614999999999998</c:v>
                      </c:pt>
                      <c:pt idx="3867">
                        <c:v>20.614999999999998</c:v>
                      </c:pt>
                      <c:pt idx="3868">
                        <c:v>20.518999999999998</c:v>
                      </c:pt>
                      <c:pt idx="3869">
                        <c:v>20.518999999999998</c:v>
                      </c:pt>
                      <c:pt idx="3870">
                        <c:v>20.518999999999998</c:v>
                      </c:pt>
                      <c:pt idx="3871">
                        <c:v>20.518999999999998</c:v>
                      </c:pt>
                      <c:pt idx="3872">
                        <c:v>20.518999999999998</c:v>
                      </c:pt>
                      <c:pt idx="3873">
                        <c:v>20.423999999999999</c:v>
                      </c:pt>
                      <c:pt idx="3874">
                        <c:v>20.423999999999999</c:v>
                      </c:pt>
                      <c:pt idx="3875">
                        <c:v>20.423999999999999</c:v>
                      </c:pt>
                      <c:pt idx="3876">
                        <c:v>20.423999999999999</c:v>
                      </c:pt>
                      <c:pt idx="3877">
                        <c:v>20.423999999999999</c:v>
                      </c:pt>
                      <c:pt idx="3878">
                        <c:v>20.423999999999999</c:v>
                      </c:pt>
                      <c:pt idx="3879">
                        <c:v>20.423999999999999</c:v>
                      </c:pt>
                      <c:pt idx="3880">
                        <c:v>20.423999999999999</c:v>
                      </c:pt>
                      <c:pt idx="3881">
                        <c:v>20.423999999999999</c:v>
                      </c:pt>
                      <c:pt idx="3882">
                        <c:v>20.329000000000001</c:v>
                      </c:pt>
                      <c:pt idx="3883">
                        <c:v>20.423999999999999</c:v>
                      </c:pt>
                      <c:pt idx="3884">
                        <c:v>20.329000000000001</c:v>
                      </c:pt>
                      <c:pt idx="3885">
                        <c:v>20.329000000000001</c:v>
                      </c:pt>
                      <c:pt idx="3886">
                        <c:v>20.329000000000001</c:v>
                      </c:pt>
                      <c:pt idx="3887">
                        <c:v>20.329000000000001</c:v>
                      </c:pt>
                      <c:pt idx="3888">
                        <c:v>20.329000000000001</c:v>
                      </c:pt>
                      <c:pt idx="3889">
                        <c:v>20.329000000000001</c:v>
                      </c:pt>
                      <c:pt idx="3890">
                        <c:v>20.329000000000001</c:v>
                      </c:pt>
                      <c:pt idx="3891">
                        <c:v>20.234000000000002</c:v>
                      </c:pt>
                      <c:pt idx="3892">
                        <c:v>20.234000000000002</c:v>
                      </c:pt>
                      <c:pt idx="3893">
                        <c:v>20.234000000000002</c:v>
                      </c:pt>
                      <c:pt idx="3894">
                        <c:v>20.234000000000002</c:v>
                      </c:pt>
                      <c:pt idx="3895">
                        <c:v>20.138000000000002</c:v>
                      </c:pt>
                      <c:pt idx="3896">
                        <c:v>20.138000000000002</c:v>
                      </c:pt>
                      <c:pt idx="3897">
                        <c:v>20.138000000000002</c:v>
                      </c:pt>
                      <c:pt idx="3898">
                        <c:v>20.138000000000002</c:v>
                      </c:pt>
                      <c:pt idx="3899">
                        <c:v>20.138000000000002</c:v>
                      </c:pt>
                      <c:pt idx="3900">
                        <c:v>20.138000000000002</c:v>
                      </c:pt>
                      <c:pt idx="3901">
                        <c:v>20.138000000000002</c:v>
                      </c:pt>
                      <c:pt idx="3902">
                        <c:v>20.042999999999999</c:v>
                      </c:pt>
                      <c:pt idx="3903">
                        <c:v>20.042999999999999</c:v>
                      </c:pt>
                      <c:pt idx="3904">
                        <c:v>20.042999999999999</c:v>
                      </c:pt>
                      <c:pt idx="3905">
                        <c:v>20.042999999999999</c:v>
                      </c:pt>
                      <c:pt idx="3906">
                        <c:v>20.042999999999999</c:v>
                      </c:pt>
                      <c:pt idx="3907">
                        <c:v>20.042999999999999</c:v>
                      </c:pt>
                      <c:pt idx="3908">
                        <c:v>19.948</c:v>
                      </c:pt>
                      <c:pt idx="3909">
                        <c:v>19.948</c:v>
                      </c:pt>
                      <c:pt idx="3910">
                        <c:v>19.948</c:v>
                      </c:pt>
                      <c:pt idx="3911">
                        <c:v>19.948</c:v>
                      </c:pt>
                      <c:pt idx="3912">
                        <c:v>19.853000000000002</c:v>
                      </c:pt>
                      <c:pt idx="3913">
                        <c:v>19.853000000000002</c:v>
                      </c:pt>
                      <c:pt idx="3914">
                        <c:v>19.853000000000002</c:v>
                      </c:pt>
                      <c:pt idx="3915">
                        <c:v>19.853000000000002</c:v>
                      </c:pt>
                      <c:pt idx="3916">
                        <c:v>19.853000000000002</c:v>
                      </c:pt>
                      <c:pt idx="3917">
                        <c:v>19.853000000000002</c:v>
                      </c:pt>
                      <c:pt idx="3918">
                        <c:v>19.757999999999999</c:v>
                      </c:pt>
                      <c:pt idx="3919">
                        <c:v>19.757999999999999</c:v>
                      </c:pt>
                      <c:pt idx="3920">
                        <c:v>19.757999999999999</c:v>
                      </c:pt>
                      <c:pt idx="3921">
                        <c:v>19.757999999999999</c:v>
                      </c:pt>
                      <c:pt idx="3922">
                        <c:v>19.757999999999999</c:v>
                      </c:pt>
                      <c:pt idx="3923">
                        <c:v>19.757999999999999</c:v>
                      </c:pt>
                      <c:pt idx="3924">
                        <c:v>19.757999999999999</c:v>
                      </c:pt>
                      <c:pt idx="3925">
                        <c:v>19.661999999999999</c:v>
                      </c:pt>
                      <c:pt idx="3926">
                        <c:v>19.661999999999999</c:v>
                      </c:pt>
                      <c:pt idx="3927">
                        <c:v>19.661999999999999</c:v>
                      </c:pt>
                      <c:pt idx="3928">
                        <c:v>19.661999999999999</c:v>
                      </c:pt>
                      <c:pt idx="3929">
                        <c:v>19.661999999999999</c:v>
                      </c:pt>
                      <c:pt idx="3930">
                        <c:v>19.567</c:v>
                      </c:pt>
                      <c:pt idx="3931">
                        <c:v>19.567</c:v>
                      </c:pt>
                      <c:pt idx="3932">
                        <c:v>19.567</c:v>
                      </c:pt>
                      <c:pt idx="3933">
                        <c:v>19.567</c:v>
                      </c:pt>
                      <c:pt idx="3934">
                        <c:v>19.567</c:v>
                      </c:pt>
                      <c:pt idx="3935">
                        <c:v>19.661999999999999</c:v>
                      </c:pt>
                      <c:pt idx="3936">
                        <c:v>19.661999999999999</c:v>
                      </c:pt>
                      <c:pt idx="3937">
                        <c:v>19.661999999999999</c:v>
                      </c:pt>
                      <c:pt idx="3938">
                        <c:v>19.757999999999999</c:v>
                      </c:pt>
                      <c:pt idx="3939">
                        <c:v>19.853000000000002</c:v>
                      </c:pt>
                      <c:pt idx="3940">
                        <c:v>19.853000000000002</c:v>
                      </c:pt>
                      <c:pt idx="3941">
                        <c:v>19.853000000000002</c:v>
                      </c:pt>
                      <c:pt idx="3942">
                        <c:v>19.948</c:v>
                      </c:pt>
                      <c:pt idx="3943">
                        <c:v>20.042999999999999</c:v>
                      </c:pt>
                      <c:pt idx="3944">
                        <c:v>20.042999999999999</c:v>
                      </c:pt>
                      <c:pt idx="3945">
                        <c:v>20.138000000000002</c:v>
                      </c:pt>
                      <c:pt idx="3946">
                        <c:v>20.329000000000001</c:v>
                      </c:pt>
                      <c:pt idx="3947">
                        <c:v>20.329000000000001</c:v>
                      </c:pt>
                      <c:pt idx="3948">
                        <c:v>20.329000000000001</c:v>
                      </c:pt>
                      <c:pt idx="3949">
                        <c:v>20.423999999999999</c:v>
                      </c:pt>
                      <c:pt idx="3950">
                        <c:v>20.423999999999999</c:v>
                      </c:pt>
                      <c:pt idx="3951">
                        <c:v>20.423999999999999</c:v>
                      </c:pt>
                      <c:pt idx="3952">
                        <c:v>20.423999999999999</c:v>
                      </c:pt>
                      <c:pt idx="3953">
                        <c:v>20.423999999999999</c:v>
                      </c:pt>
                      <c:pt idx="3954">
                        <c:v>20.518999999999998</c:v>
                      </c:pt>
                      <c:pt idx="3955">
                        <c:v>20.518999999999998</c:v>
                      </c:pt>
                      <c:pt idx="3956">
                        <c:v>20.518999999999998</c:v>
                      </c:pt>
                      <c:pt idx="3957">
                        <c:v>20.71</c:v>
                      </c:pt>
                      <c:pt idx="3958">
                        <c:v>20.995999999999999</c:v>
                      </c:pt>
                      <c:pt idx="3959">
                        <c:v>21.091000000000001</c:v>
                      </c:pt>
                      <c:pt idx="3960">
                        <c:v>20.995999999999999</c:v>
                      </c:pt>
                      <c:pt idx="3961">
                        <c:v>21.187000000000001</c:v>
                      </c:pt>
                      <c:pt idx="3962">
                        <c:v>21.282</c:v>
                      </c:pt>
                      <c:pt idx="3963">
                        <c:v>21.187000000000001</c:v>
                      </c:pt>
                      <c:pt idx="3964">
                        <c:v>21.091000000000001</c:v>
                      </c:pt>
                      <c:pt idx="3965">
                        <c:v>21.091000000000001</c:v>
                      </c:pt>
                      <c:pt idx="3966">
                        <c:v>21.091000000000001</c:v>
                      </c:pt>
                      <c:pt idx="3967">
                        <c:v>21.091000000000001</c:v>
                      </c:pt>
                      <c:pt idx="3968">
                        <c:v>21.091000000000001</c:v>
                      </c:pt>
                      <c:pt idx="3969">
                        <c:v>21.472999999999999</c:v>
                      </c:pt>
                      <c:pt idx="3970">
                        <c:v>21.76</c:v>
                      </c:pt>
                      <c:pt idx="3971">
                        <c:v>22.238</c:v>
                      </c:pt>
                      <c:pt idx="3972">
                        <c:v>21.855</c:v>
                      </c:pt>
                      <c:pt idx="3973">
                        <c:v>21.76</c:v>
                      </c:pt>
                      <c:pt idx="3974">
                        <c:v>21.568999999999999</c:v>
                      </c:pt>
                      <c:pt idx="3975">
                        <c:v>21.378</c:v>
                      </c:pt>
                      <c:pt idx="3976">
                        <c:v>21.282</c:v>
                      </c:pt>
                      <c:pt idx="3977">
                        <c:v>21.282</c:v>
                      </c:pt>
                      <c:pt idx="3978">
                        <c:v>21.282</c:v>
                      </c:pt>
                      <c:pt idx="3979">
                        <c:v>21.187000000000001</c:v>
                      </c:pt>
                      <c:pt idx="3980">
                        <c:v>21.187000000000001</c:v>
                      </c:pt>
                      <c:pt idx="3981">
                        <c:v>21.187000000000001</c:v>
                      </c:pt>
                      <c:pt idx="3982">
                        <c:v>21.091000000000001</c:v>
                      </c:pt>
                      <c:pt idx="3983">
                        <c:v>21.091000000000001</c:v>
                      </c:pt>
                      <c:pt idx="3984">
                        <c:v>20.995999999999999</c:v>
                      </c:pt>
                      <c:pt idx="3985">
                        <c:v>20.995999999999999</c:v>
                      </c:pt>
                      <c:pt idx="3986">
                        <c:v>20.995999999999999</c:v>
                      </c:pt>
                      <c:pt idx="3987">
                        <c:v>20.901</c:v>
                      </c:pt>
                      <c:pt idx="3988">
                        <c:v>20.995999999999999</c:v>
                      </c:pt>
                      <c:pt idx="3989">
                        <c:v>20.901</c:v>
                      </c:pt>
                      <c:pt idx="3990">
                        <c:v>20.901</c:v>
                      </c:pt>
                      <c:pt idx="3991">
                        <c:v>20.901</c:v>
                      </c:pt>
                      <c:pt idx="3992">
                        <c:v>20.901</c:v>
                      </c:pt>
                      <c:pt idx="3993">
                        <c:v>20.805</c:v>
                      </c:pt>
                      <c:pt idx="3994">
                        <c:v>20.805</c:v>
                      </c:pt>
                      <c:pt idx="3995">
                        <c:v>20.805</c:v>
                      </c:pt>
                      <c:pt idx="3996">
                        <c:v>20.805</c:v>
                      </c:pt>
                      <c:pt idx="3997">
                        <c:v>20.805</c:v>
                      </c:pt>
                      <c:pt idx="3998">
                        <c:v>20.71</c:v>
                      </c:pt>
                      <c:pt idx="3999">
                        <c:v>20.71</c:v>
                      </c:pt>
                      <c:pt idx="4000">
                        <c:v>20.614999999999998</c:v>
                      </c:pt>
                      <c:pt idx="4001">
                        <c:v>20.614999999999998</c:v>
                      </c:pt>
                      <c:pt idx="4002">
                        <c:v>20.614999999999998</c:v>
                      </c:pt>
                      <c:pt idx="4003">
                        <c:v>20.614999999999998</c:v>
                      </c:pt>
                      <c:pt idx="4004">
                        <c:v>20.518999999999998</c:v>
                      </c:pt>
                      <c:pt idx="4005">
                        <c:v>20.518999999999998</c:v>
                      </c:pt>
                      <c:pt idx="4006">
                        <c:v>20.423999999999999</c:v>
                      </c:pt>
                      <c:pt idx="4007">
                        <c:v>20.423999999999999</c:v>
                      </c:pt>
                      <c:pt idx="4008">
                        <c:v>20.423999999999999</c:v>
                      </c:pt>
                      <c:pt idx="4009">
                        <c:v>20.329000000000001</c:v>
                      </c:pt>
                      <c:pt idx="4010">
                        <c:v>20.329000000000001</c:v>
                      </c:pt>
                      <c:pt idx="4011">
                        <c:v>20.234000000000002</c:v>
                      </c:pt>
                      <c:pt idx="4012">
                        <c:v>20.234000000000002</c:v>
                      </c:pt>
                      <c:pt idx="4013">
                        <c:v>20.234000000000002</c:v>
                      </c:pt>
                      <c:pt idx="4014">
                        <c:v>20.138000000000002</c:v>
                      </c:pt>
                      <c:pt idx="4015">
                        <c:v>20.138000000000002</c:v>
                      </c:pt>
                      <c:pt idx="4016">
                        <c:v>20.138000000000002</c:v>
                      </c:pt>
                      <c:pt idx="4017">
                        <c:v>20.138000000000002</c:v>
                      </c:pt>
                      <c:pt idx="4018">
                        <c:v>20.042999999999999</c:v>
                      </c:pt>
                      <c:pt idx="4019">
                        <c:v>20.042999999999999</c:v>
                      </c:pt>
                      <c:pt idx="4020">
                        <c:v>20.042999999999999</c:v>
                      </c:pt>
                      <c:pt idx="4021">
                        <c:v>20.042999999999999</c:v>
                      </c:pt>
                      <c:pt idx="4022">
                        <c:v>20.042999999999999</c:v>
                      </c:pt>
                      <c:pt idx="4023">
                        <c:v>20.042999999999999</c:v>
                      </c:pt>
                      <c:pt idx="4024">
                        <c:v>19.948</c:v>
                      </c:pt>
                      <c:pt idx="4025">
                        <c:v>19.948</c:v>
                      </c:pt>
                      <c:pt idx="4026">
                        <c:v>19.948</c:v>
                      </c:pt>
                      <c:pt idx="4027">
                        <c:v>19.948</c:v>
                      </c:pt>
                      <c:pt idx="4028">
                        <c:v>19.948</c:v>
                      </c:pt>
                      <c:pt idx="4029">
                        <c:v>19.948</c:v>
                      </c:pt>
                      <c:pt idx="4030">
                        <c:v>19.853000000000002</c:v>
                      </c:pt>
                      <c:pt idx="4031">
                        <c:v>19.853000000000002</c:v>
                      </c:pt>
                      <c:pt idx="4032">
                        <c:v>19.853000000000002</c:v>
                      </c:pt>
                      <c:pt idx="4033">
                        <c:v>19.757999999999999</c:v>
                      </c:pt>
                      <c:pt idx="4034">
                        <c:v>19.757999999999999</c:v>
                      </c:pt>
                      <c:pt idx="4035">
                        <c:v>19.757999999999999</c:v>
                      </c:pt>
                      <c:pt idx="4036">
                        <c:v>19.661999999999999</c:v>
                      </c:pt>
                      <c:pt idx="4037">
                        <c:v>19.757999999999999</c:v>
                      </c:pt>
                      <c:pt idx="4038">
                        <c:v>19.661999999999999</c:v>
                      </c:pt>
                      <c:pt idx="4039">
                        <c:v>19.661999999999999</c:v>
                      </c:pt>
                      <c:pt idx="4040">
                        <c:v>19.661999999999999</c:v>
                      </c:pt>
                      <c:pt idx="4041">
                        <c:v>19.661999999999999</c:v>
                      </c:pt>
                      <c:pt idx="4042">
                        <c:v>19.661999999999999</c:v>
                      </c:pt>
                      <c:pt idx="4043">
                        <c:v>19.567</c:v>
                      </c:pt>
                      <c:pt idx="4044">
                        <c:v>19.567</c:v>
                      </c:pt>
                      <c:pt idx="4045">
                        <c:v>19.567</c:v>
                      </c:pt>
                      <c:pt idx="4046">
                        <c:v>19.567</c:v>
                      </c:pt>
                      <c:pt idx="4047">
                        <c:v>19.567</c:v>
                      </c:pt>
                      <c:pt idx="4048">
                        <c:v>19.567</c:v>
                      </c:pt>
                      <c:pt idx="4049">
                        <c:v>19.472000000000001</c:v>
                      </c:pt>
                      <c:pt idx="4050">
                        <c:v>19.472000000000001</c:v>
                      </c:pt>
                      <c:pt idx="4051">
                        <c:v>19.376999999999999</c:v>
                      </c:pt>
                      <c:pt idx="4052">
                        <c:v>19.472000000000001</c:v>
                      </c:pt>
                      <c:pt idx="4053">
                        <c:v>19.376999999999999</c:v>
                      </c:pt>
                      <c:pt idx="4054">
                        <c:v>19.376999999999999</c:v>
                      </c:pt>
                      <c:pt idx="4055">
                        <c:v>19.376999999999999</c:v>
                      </c:pt>
                      <c:pt idx="4056">
                        <c:v>19.376999999999999</c:v>
                      </c:pt>
                      <c:pt idx="4057">
                        <c:v>19.376999999999999</c:v>
                      </c:pt>
                      <c:pt idx="4058">
                        <c:v>19.282</c:v>
                      </c:pt>
                      <c:pt idx="4059">
                        <c:v>19.282</c:v>
                      </c:pt>
                      <c:pt idx="4060">
                        <c:v>19.187000000000001</c:v>
                      </c:pt>
                      <c:pt idx="4061">
                        <c:v>19.187000000000001</c:v>
                      </c:pt>
                      <c:pt idx="4062">
                        <c:v>19.187000000000001</c:v>
                      </c:pt>
                      <c:pt idx="4063">
                        <c:v>19.091999999999999</c:v>
                      </c:pt>
                      <c:pt idx="4064">
                        <c:v>19.091999999999999</c:v>
                      </c:pt>
                      <c:pt idx="4065">
                        <c:v>19.187000000000001</c:v>
                      </c:pt>
                      <c:pt idx="4066">
                        <c:v>19.187000000000001</c:v>
                      </c:pt>
                      <c:pt idx="4067">
                        <c:v>19.187000000000001</c:v>
                      </c:pt>
                      <c:pt idx="4068">
                        <c:v>19.091999999999999</c:v>
                      </c:pt>
                      <c:pt idx="4069">
                        <c:v>19.091999999999999</c:v>
                      </c:pt>
                      <c:pt idx="4070">
                        <c:v>18.995999999999999</c:v>
                      </c:pt>
                      <c:pt idx="4071">
                        <c:v>18.995999999999999</c:v>
                      </c:pt>
                      <c:pt idx="4072">
                        <c:v>18.995999999999999</c:v>
                      </c:pt>
                      <c:pt idx="4073">
                        <c:v>18.995999999999999</c:v>
                      </c:pt>
                      <c:pt idx="4074">
                        <c:v>18.995999999999999</c:v>
                      </c:pt>
                      <c:pt idx="4075">
                        <c:v>18.995999999999999</c:v>
                      </c:pt>
                      <c:pt idx="4076">
                        <c:v>19.091999999999999</c:v>
                      </c:pt>
                      <c:pt idx="4077">
                        <c:v>19.091999999999999</c:v>
                      </c:pt>
                      <c:pt idx="4078">
                        <c:v>19.091999999999999</c:v>
                      </c:pt>
                      <c:pt idx="4079">
                        <c:v>19.091999999999999</c:v>
                      </c:pt>
                      <c:pt idx="4080">
                        <c:v>19.091999999999999</c:v>
                      </c:pt>
                      <c:pt idx="4081">
                        <c:v>19.091999999999999</c:v>
                      </c:pt>
                      <c:pt idx="4082">
                        <c:v>19.187000000000001</c:v>
                      </c:pt>
                      <c:pt idx="4083">
                        <c:v>19.282</c:v>
                      </c:pt>
                      <c:pt idx="4084">
                        <c:v>19.376999999999999</c:v>
                      </c:pt>
                      <c:pt idx="4085">
                        <c:v>19.376999999999999</c:v>
                      </c:pt>
                      <c:pt idx="4086">
                        <c:v>19.472000000000001</c:v>
                      </c:pt>
                      <c:pt idx="4087">
                        <c:v>19.472000000000001</c:v>
                      </c:pt>
                      <c:pt idx="4088">
                        <c:v>19.567</c:v>
                      </c:pt>
                      <c:pt idx="4089">
                        <c:v>19.757999999999999</c:v>
                      </c:pt>
                      <c:pt idx="4090">
                        <c:v>19.757999999999999</c:v>
                      </c:pt>
                      <c:pt idx="4091">
                        <c:v>19.757999999999999</c:v>
                      </c:pt>
                      <c:pt idx="4092">
                        <c:v>19.853000000000002</c:v>
                      </c:pt>
                      <c:pt idx="4093">
                        <c:v>19.948</c:v>
                      </c:pt>
                      <c:pt idx="4094">
                        <c:v>19.948</c:v>
                      </c:pt>
                      <c:pt idx="4095">
                        <c:v>20.042999999999999</c:v>
                      </c:pt>
                      <c:pt idx="4096">
                        <c:v>20.042999999999999</c:v>
                      </c:pt>
                      <c:pt idx="4097">
                        <c:v>20.138000000000002</c:v>
                      </c:pt>
                      <c:pt idx="4098">
                        <c:v>20.138000000000002</c:v>
                      </c:pt>
                      <c:pt idx="4099">
                        <c:v>20.234000000000002</c:v>
                      </c:pt>
                      <c:pt idx="4100">
                        <c:v>20.329000000000001</c:v>
                      </c:pt>
                      <c:pt idx="4101">
                        <c:v>20.423999999999999</c:v>
                      </c:pt>
                      <c:pt idx="4102">
                        <c:v>20.518999999999998</c:v>
                      </c:pt>
                      <c:pt idx="4103">
                        <c:v>20.71</c:v>
                      </c:pt>
                      <c:pt idx="4104">
                        <c:v>20.901</c:v>
                      </c:pt>
                      <c:pt idx="4105">
                        <c:v>20.901</c:v>
                      </c:pt>
                      <c:pt idx="4106">
                        <c:v>20.901</c:v>
                      </c:pt>
                      <c:pt idx="4107">
                        <c:v>20.805</c:v>
                      </c:pt>
                      <c:pt idx="4108">
                        <c:v>20.805</c:v>
                      </c:pt>
                      <c:pt idx="4109">
                        <c:v>20.805</c:v>
                      </c:pt>
                      <c:pt idx="4110">
                        <c:v>20.901</c:v>
                      </c:pt>
                      <c:pt idx="4111">
                        <c:v>20.995999999999999</c:v>
                      </c:pt>
                      <c:pt idx="4112">
                        <c:v>21.091000000000001</c:v>
                      </c:pt>
                      <c:pt idx="4113">
                        <c:v>21.091000000000001</c:v>
                      </c:pt>
                      <c:pt idx="4114">
                        <c:v>21.187000000000001</c:v>
                      </c:pt>
                      <c:pt idx="4115">
                        <c:v>21.378</c:v>
                      </c:pt>
                      <c:pt idx="4116">
                        <c:v>21.187000000000001</c:v>
                      </c:pt>
                      <c:pt idx="4117">
                        <c:v>21.091000000000001</c:v>
                      </c:pt>
                      <c:pt idx="4118">
                        <c:v>21.091000000000001</c:v>
                      </c:pt>
                      <c:pt idx="4119">
                        <c:v>21.091000000000001</c:v>
                      </c:pt>
                      <c:pt idx="4120">
                        <c:v>20.995999999999999</c:v>
                      </c:pt>
                      <c:pt idx="4121">
                        <c:v>20.995999999999999</c:v>
                      </c:pt>
                      <c:pt idx="4122">
                        <c:v>20.995999999999999</c:v>
                      </c:pt>
                      <c:pt idx="4123">
                        <c:v>20.995999999999999</c:v>
                      </c:pt>
                      <c:pt idx="4124">
                        <c:v>20.995999999999999</c:v>
                      </c:pt>
                      <c:pt idx="4125">
                        <c:v>20.995999999999999</c:v>
                      </c:pt>
                      <c:pt idx="4126">
                        <c:v>20.995999999999999</c:v>
                      </c:pt>
                      <c:pt idx="4127">
                        <c:v>20.995999999999999</c:v>
                      </c:pt>
                      <c:pt idx="4128">
                        <c:v>20.995999999999999</c:v>
                      </c:pt>
                      <c:pt idx="4129">
                        <c:v>20.901</c:v>
                      </c:pt>
                      <c:pt idx="4130">
                        <c:v>20.901</c:v>
                      </c:pt>
                      <c:pt idx="4131">
                        <c:v>20.901</c:v>
                      </c:pt>
                      <c:pt idx="4132">
                        <c:v>20.901</c:v>
                      </c:pt>
                      <c:pt idx="4133">
                        <c:v>20.901</c:v>
                      </c:pt>
                      <c:pt idx="4134">
                        <c:v>20.901</c:v>
                      </c:pt>
                      <c:pt idx="4135">
                        <c:v>20.901</c:v>
                      </c:pt>
                      <c:pt idx="4136">
                        <c:v>20.805</c:v>
                      </c:pt>
                      <c:pt idx="4137">
                        <c:v>20.805</c:v>
                      </c:pt>
                      <c:pt idx="4138">
                        <c:v>20.805</c:v>
                      </c:pt>
                      <c:pt idx="4139">
                        <c:v>20.805</c:v>
                      </c:pt>
                      <c:pt idx="4140">
                        <c:v>20.71</c:v>
                      </c:pt>
                      <c:pt idx="4141">
                        <c:v>20.71</c:v>
                      </c:pt>
                      <c:pt idx="4142">
                        <c:v>20.614999999999998</c:v>
                      </c:pt>
                      <c:pt idx="4143">
                        <c:v>20.614999999999998</c:v>
                      </c:pt>
                      <c:pt idx="4144">
                        <c:v>20.614999999999998</c:v>
                      </c:pt>
                      <c:pt idx="4145">
                        <c:v>20.518999999999998</c:v>
                      </c:pt>
                      <c:pt idx="4146">
                        <c:v>20.518999999999998</c:v>
                      </c:pt>
                      <c:pt idx="4147">
                        <c:v>20.518999999999998</c:v>
                      </c:pt>
                      <c:pt idx="4148">
                        <c:v>20.518999999999998</c:v>
                      </c:pt>
                      <c:pt idx="4149">
                        <c:v>20.423999999999999</c:v>
                      </c:pt>
                      <c:pt idx="4150">
                        <c:v>20.423999999999999</c:v>
                      </c:pt>
                      <c:pt idx="4151">
                        <c:v>20.423999999999999</c:v>
                      </c:pt>
                      <c:pt idx="4152">
                        <c:v>20.329000000000001</c:v>
                      </c:pt>
                      <c:pt idx="4153">
                        <c:v>20.329000000000001</c:v>
                      </c:pt>
                      <c:pt idx="4154">
                        <c:v>20.329000000000001</c:v>
                      </c:pt>
                      <c:pt idx="4155">
                        <c:v>20.234000000000002</c:v>
                      </c:pt>
                      <c:pt idx="4156">
                        <c:v>20.234000000000002</c:v>
                      </c:pt>
                      <c:pt idx="4157">
                        <c:v>20.234000000000002</c:v>
                      </c:pt>
                      <c:pt idx="4158">
                        <c:v>20.138000000000002</c:v>
                      </c:pt>
                      <c:pt idx="4159">
                        <c:v>20.138000000000002</c:v>
                      </c:pt>
                      <c:pt idx="4160">
                        <c:v>20.138000000000002</c:v>
                      </c:pt>
                      <c:pt idx="4161">
                        <c:v>20.042999999999999</c:v>
                      </c:pt>
                      <c:pt idx="4162">
                        <c:v>20.042999999999999</c:v>
                      </c:pt>
                      <c:pt idx="4163">
                        <c:v>20.042999999999999</c:v>
                      </c:pt>
                      <c:pt idx="4164">
                        <c:v>20.042999999999999</c:v>
                      </c:pt>
                      <c:pt idx="4165">
                        <c:v>20.042999999999999</c:v>
                      </c:pt>
                      <c:pt idx="4166">
                        <c:v>20.042999999999999</c:v>
                      </c:pt>
                      <c:pt idx="4167">
                        <c:v>19.948</c:v>
                      </c:pt>
                      <c:pt idx="4168">
                        <c:v>19.948</c:v>
                      </c:pt>
                      <c:pt idx="4169">
                        <c:v>19.948</c:v>
                      </c:pt>
                      <c:pt idx="4170">
                        <c:v>19.948</c:v>
                      </c:pt>
                      <c:pt idx="4171">
                        <c:v>19.948</c:v>
                      </c:pt>
                      <c:pt idx="4172">
                        <c:v>19.948</c:v>
                      </c:pt>
                      <c:pt idx="4173">
                        <c:v>19.948</c:v>
                      </c:pt>
                      <c:pt idx="4174">
                        <c:v>19.948</c:v>
                      </c:pt>
                      <c:pt idx="4175">
                        <c:v>19.948</c:v>
                      </c:pt>
                      <c:pt idx="4176">
                        <c:v>19.948</c:v>
                      </c:pt>
                      <c:pt idx="4177">
                        <c:v>19.948</c:v>
                      </c:pt>
                      <c:pt idx="4178">
                        <c:v>19.853000000000002</c:v>
                      </c:pt>
                      <c:pt idx="4179">
                        <c:v>19.853000000000002</c:v>
                      </c:pt>
                      <c:pt idx="4180">
                        <c:v>19.853000000000002</c:v>
                      </c:pt>
                      <c:pt idx="4181">
                        <c:v>19.757999999999999</c:v>
                      </c:pt>
                      <c:pt idx="4182">
                        <c:v>19.757999999999999</c:v>
                      </c:pt>
                      <c:pt idx="4183">
                        <c:v>19.757999999999999</c:v>
                      </c:pt>
                      <c:pt idx="4184">
                        <c:v>19.757999999999999</c:v>
                      </c:pt>
                      <c:pt idx="4185">
                        <c:v>19.757999999999999</c:v>
                      </c:pt>
                      <c:pt idx="4186">
                        <c:v>19.757999999999999</c:v>
                      </c:pt>
                      <c:pt idx="4187">
                        <c:v>19.661999999999999</c:v>
                      </c:pt>
                      <c:pt idx="4188">
                        <c:v>19.661999999999999</c:v>
                      </c:pt>
                      <c:pt idx="4189">
                        <c:v>19.661999999999999</c:v>
                      </c:pt>
                      <c:pt idx="4190">
                        <c:v>19.661999999999999</c:v>
                      </c:pt>
                      <c:pt idx="4191">
                        <c:v>19.661999999999999</c:v>
                      </c:pt>
                      <c:pt idx="4192">
                        <c:v>19.661999999999999</c:v>
                      </c:pt>
                      <c:pt idx="4193">
                        <c:v>19.661999999999999</c:v>
                      </c:pt>
                      <c:pt idx="4194">
                        <c:v>19.567</c:v>
                      </c:pt>
                      <c:pt idx="4195">
                        <c:v>19.472000000000001</c:v>
                      </c:pt>
                      <c:pt idx="4196">
                        <c:v>19.661999999999999</c:v>
                      </c:pt>
                      <c:pt idx="4197">
                        <c:v>19.661999999999999</c:v>
                      </c:pt>
                      <c:pt idx="4198">
                        <c:v>19.567</c:v>
                      </c:pt>
                      <c:pt idx="4199">
                        <c:v>19.567</c:v>
                      </c:pt>
                      <c:pt idx="4200">
                        <c:v>19.567</c:v>
                      </c:pt>
                      <c:pt idx="4201">
                        <c:v>19.567</c:v>
                      </c:pt>
                      <c:pt idx="4202">
                        <c:v>19.472000000000001</c:v>
                      </c:pt>
                      <c:pt idx="4203">
                        <c:v>19.472000000000001</c:v>
                      </c:pt>
                      <c:pt idx="4204">
                        <c:v>19.472000000000001</c:v>
                      </c:pt>
                      <c:pt idx="4205">
                        <c:v>19.472000000000001</c:v>
                      </c:pt>
                      <c:pt idx="4206">
                        <c:v>19.376999999999999</c:v>
                      </c:pt>
                      <c:pt idx="4207">
                        <c:v>19.376999999999999</c:v>
                      </c:pt>
                      <c:pt idx="4208">
                        <c:v>19.376999999999999</c:v>
                      </c:pt>
                      <c:pt idx="4209">
                        <c:v>19.376999999999999</c:v>
                      </c:pt>
                      <c:pt idx="4210">
                        <c:v>19.376999999999999</c:v>
                      </c:pt>
                      <c:pt idx="4211">
                        <c:v>19.376999999999999</c:v>
                      </c:pt>
                      <c:pt idx="4212">
                        <c:v>19.376999999999999</c:v>
                      </c:pt>
                      <c:pt idx="4213">
                        <c:v>19.282</c:v>
                      </c:pt>
                      <c:pt idx="4214">
                        <c:v>19.282</c:v>
                      </c:pt>
                      <c:pt idx="4215">
                        <c:v>19.282</c:v>
                      </c:pt>
                      <c:pt idx="4216">
                        <c:v>19.282</c:v>
                      </c:pt>
                      <c:pt idx="4217">
                        <c:v>19.282</c:v>
                      </c:pt>
                      <c:pt idx="4218">
                        <c:v>19.282</c:v>
                      </c:pt>
                      <c:pt idx="4219">
                        <c:v>19.187000000000001</c:v>
                      </c:pt>
                      <c:pt idx="4220">
                        <c:v>19.187000000000001</c:v>
                      </c:pt>
                      <c:pt idx="4221">
                        <c:v>19.187000000000001</c:v>
                      </c:pt>
                      <c:pt idx="4222">
                        <c:v>19.282</c:v>
                      </c:pt>
                      <c:pt idx="4223">
                        <c:v>19.282</c:v>
                      </c:pt>
                      <c:pt idx="4224">
                        <c:v>19.282</c:v>
                      </c:pt>
                      <c:pt idx="4225">
                        <c:v>19.282</c:v>
                      </c:pt>
                      <c:pt idx="4226">
                        <c:v>19.282</c:v>
                      </c:pt>
                      <c:pt idx="4227">
                        <c:v>19.376999999999999</c:v>
                      </c:pt>
                      <c:pt idx="4228">
                        <c:v>19.472000000000001</c:v>
                      </c:pt>
                      <c:pt idx="4229">
                        <c:v>19.472000000000001</c:v>
                      </c:pt>
                      <c:pt idx="4230">
                        <c:v>19.567</c:v>
                      </c:pt>
                      <c:pt idx="4231">
                        <c:v>19.661999999999999</c:v>
                      </c:pt>
                      <c:pt idx="4232">
                        <c:v>19.661999999999999</c:v>
                      </c:pt>
                      <c:pt idx="4233">
                        <c:v>19.853000000000002</c:v>
                      </c:pt>
                      <c:pt idx="4234">
                        <c:v>19.853000000000002</c:v>
                      </c:pt>
                      <c:pt idx="4235">
                        <c:v>19.948</c:v>
                      </c:pt>
                      <c:pt idx="4236">
                        <c:v>19.948</c:v>
                      </c:pt>
                      <c:pt idx="4237">
                        <c:v>19.948</c:v>
                      </c:pt>
                      <c:pt idx="4238">
                        <c:v>20.042999999999999</c:v>
                      </c:pt>
                      <c:pt idx="4239">
                        <c:v>20.042999999999999</c:v>
                      </c:pt>
                      <c:pt idx="4240">
                        <c:v>20.042999999999999</c:v>
                      </c:pt>
                      <c:pt idx="4241">
                        <c:v>20.138000000000002</c:v>
                      </c:pt>
                      <c:pt idx="4242">
                        <c:v>20.234000000000002</c:v>
                      </c:pt>
                      <c:pt idx="4243">
                        <c:v>20.234000000000002</c:v>
                      </c:pt>
                      <c:pt idx="4244">
                        <c:v>20.329000000000001</c:v>
                      </c:pt>
                      <c:pt idx="4245">
                        <c:v>20.71</c:v>
                      </c:pt>
                      <c:pt idx="4246">
                        <c:v>20.614999999999998</c:v>
                      </c:pt>
                      <c:pt idx="4247">
                        <c:v>20.71</c:v>
                      </c:pt>
                      <c:pt idx="4248">
                        <c:v>21.187000000000001</c:v>
                      </c:pt>
                      <c:pt idx="4249">
                        <c:v>20.901</c:v>
                      </c:pt>
                      <c:pt idx="4250">
                        <c:v>20.995999999999999</c:v>
                      </c:pt>
                      <c:pt idx="4251">
                        <c:v>20.901</c:v>
                      </c:pt>
                      <c:pt idx="4252">
                        <c:v>20.805</c:v>
                      </c:pt>
                      <c:pt idx="4253">
                        <c:v>20.901</c:v>
                      </c:pt>
                      <c:pt idx="4254">
                        <c:v>20.901</c:v>
                      </c:pt>
                      <c:pt idx="4255">
                        <c:v>21.091000000000001</c:v>
                      </c:pt>
                      <c:pt idx="4256">
                        <c:v>21.472999999999999</c:v>
                      </c:pt>
                      <c:pt idx="4257">
                        <c:v>21.76</c:v>
                      </c:pt>
                      <c:pt idx="4258">
                        <c:v>22.045999999999999</c:v>
                      </c:pt>
                      <c:pt idx="4259">
                        <c:v>22.141999999999999</c:v>
                      </c:pt>
                      <c:pt idx="4260">
                        <c:v>21.855</c:v>
                      </c:pt>
                      <c:pt idx="4261">
                        <c:v>21.472999999999999</c:v>
                      </c:pt>
                      <c:pt idx="4262">
                        <c:v>21.472999999999999</c:v>
                      </c:pt>
                      <c:pt idx="4263">
                        <c:v>21.187000000000001</c:v>
                      </c:pt>
                      <c:pt idx="4264">
                        <c:v>21.187000000000001</c:v>
                      </c:pt>
                      <c:pt idx="4265">
                        <c:v>21.187000000000001</c:v>
                      </c:pt>
                      <c:pt idx="4266">
                        <c:v>21.091000000000001</c:v>
                      </c:pt>
                      <c:pt idx="4267">
                        <c:v>21.091000000000001</c:v>
                      </c:pt>
                      <c:pt idx="4268">
                        <c:v>21.091000000000001</c:v>
                      </c:pt>
                      <c:pt idx="4269">
                        <c:v>21.091000000000001</c:v>
                      </c:pt>
                      <c:pt idx="4270">
                        <c:v>21.091000000000001</c:v>
                      </c:pt>
                      <c:pt idx="4271">
                        <c:v>20.995999999999999</c:v>
                      </c:pt>
                      <c:pt idx="4272">
                        <c:v>20.901</c:v>
                      </c:pt>
                      <c:pt idx="4273">
                        <c:v>20.901</c:v>
                      </c:pt>
                      <c:pt idx="4274">
                        <c:v>20.901</c:v>
                      </c:pt>
                      <c:pt idx="4275">
                        <c:v>20.901</c:v>
                      </c:pt>
                      <c:pt idx="4276">
                        <c:v>20.901</c:v>
                      </c:pt>
                      <c:pt idx="4277">
                        <c:v>20.805</c:v>
                      </c:pt>
                      <c:pt idx="4278">
                        <c:v>20.805</c:v>
                      </c:pt>
                      <c:pt idx="4279">
                        <c:v>20.805</c:v>
                      </c:pt>
                      <c:pt idx="4280">
                        <c:v>20.805</c:v>
                      </c:pt>
                      <c:pt idx="4281">
                        <c:v>20.71</c:v>
                      </c:pt>
                      <c:pt idx="4282">
                        <c:v>20.71</c:v>
                      </c:pt>
                      <c:pt idx="4283">
                        <c:v>20.71</c:v>
                      </c:pt>
                      <c:pt idx="4284">
                        <c:v>20.71</c:v>
                      </c:pt>
                      <c:pt idx="4285">
                        <c:v>20.614999999999998</c:v>
                      </c:pt>
                      <c:pt idx="4286">
                        <c:v>20.614999999999998</c:v>
                      </c:pt>
                      <c:pt idx="4287">
                        <c:v>20.614999999999998</c:v>
                      </c:pt>
                      <c:pt idx="4288">
                        <c:v>20.518999999999998</c:v>
                      </c:pt>
                      <c:pt idx="4289">
                        <c:v>20.423999999999999</c:v>
                      </c:pt>
                      <c:pt idx="4290">
                        <c:v>20.329000000000001</c:v>
                      </c:pt>
                      <c:pt idx="4291">
                        <c:v>20.329000000000001</c:v>
                      </c:pt>
                      <c:pt idx="4292">
                        <c:v>20.329000000000001</c:v>
                      </c:pt>
                      <c:pt idx="4293">
                        <c:v>20.329000000000001</c:v>
                      </c:pt>
                      <c:pt idx="4294">
                        <c:v>20.234000000000002</c:v>
                      </c:pt>
                      <c:pt idx="4295">
                        <c:v>20.234000000000002</c:v>
                      </c:pt>
                      <c:pt idx="4296">
                        <c:v>20.234000000000002</c:v>
                      </c:pt>
                      <c:pt idx="4297">
                        <c:v>20.234000000000002</c:v>
                      </c:pt>
                      <c:pt idx="4298">
                        <c:v>20.234000000000002</c:v>
                      </c:pt>
                      <c:pt idx="4299">
                        <c:v>20.234000000000002</c:v>
                      </c:pt>
                      <c:pt idx="4300">
                        <c:v>20.234000000000002</c:v>
                      </c:pt>
                      <c:pt idx="4301">
                        <c:v>20.234000000000002</c:v>
                      </c:pt>
                      <c:pt idx="4302">
                        <c:v>20.234000000000002</c:v>
                      </c:pt>
                      <c:pt idx="4303">
                        <c:v>20.234000000000002</c:v>
                      </c:pt>
                      <c:pt idx="4304">
                        <c:v>20.234000000000002</c:v>
                      </c:pt>
                      <c:pt idx="4305">
                        <c:v>20.234000000000002</c:v>
                      </c:pt>
                      <c:pt idx="4306">
                        <c:v>20.234000000000002</c:v>
                      </c:pt>
                      <c:pt idx="4307">
                        <c:v>20.234000000000002</c:v>
                      </c:pt>
                      <c:pt idx="4308">
                        <c:v>20.234000000000002</c:v>
                      </c:pt>
                      <c:pt idx="4309">
                        <c:v>20.138000000000002</c:v>
                      </c:pt>
                      <c:pt idx="4310">
                        <c:v>20.138000000000002</c:v>
                      </c:pt>
                      <c:pt idx="4311">
                        <c:v>20.138000000000002</c:v>
                      </c:pt>
                      <c:pt idx="4312">
                        <c:v>20.138000000000002</c:v>
                      </c:pt>
                      <c:pt idx="4313">
                        <c:v>20.138000000000002</c:v>
                      </c:pt>
                      <c:pt idx="4314">
                        <c:v>20.138000000000002</c:v>
                      </c:pt>
                      <c:pt idx="4315">
                        <c:v>20.042999999999999</c:v>
                      </c:pt>
                      <c:pt idx="4316">
                        <c:v>20.042999999999999</c:v>
                      </c:pt>
                      <c:pt idx="4317">
                        <c:v>20.042999999999999</c:v>
                      </c:pt>
                      <c:pt idx="4318">
                        <c:v>20.042999999999999</c:v>
                      </c:pt>
                      <c:pt idx="4319">
                        <c:v>19.948</c:v>
                      </c:pt>
                      <c:pt idx="4320">
                        <c:v>19.948</c:v>
                      </c:pt>
                      <c:pt idx="4321">
                        <c:v>19.948</c:v>
                      </c:pt>
                      <c:pt idx="4322">
                        <c:v>19.948</c:v>
                      </c:pt>
                      <c:pt idx="4323">
                        <c:v>19.948</c:v>
                      </c:pt>
                      <c:pt idx="4324">
                        <c:v>19.948</c:v>
                      </c:pt>
                      <c:pt idx="4325">
                        <c:v>19.948</c:v>
                      </c:pt>
                      <c:pt idx="4326">
                        <c:v>19.948</c:v>
                      </c:pt>
                      <c:pt idx="4327">
                        <c:v>19.948</c:v>
                      </c:pt>
                      <c:pt idx="4328">
                        <c:v>19.948</c:v>
                      </c:pt>
                      <c:pt idx="4329">
                        <c:v>19.948</c:v>
                      </c:pt>
                      <c:pt idx="4330">
                        <c:v>19.948</c:v>
                      </c:pt>
                      <c:pt idx="4331">
                        <c:v>19.948</c:v>
                      </c:pt>
                      <c:pt idx="4332">
                        <c:v>19.948</c:v>
                      </c:pt>
                      <c:pt idx="4333">
                        <c:v>19.948</c:v>
                      </c:pt>
                      <c:pt idx="4334">
                        <c:v>19.948</c:v>
                      </c:pt>
                      <c:pt idx="4335">
                        <c:v>19.948</c:v>
                      </c:pt>
                      <c:pt idx="4336">
                        <c:v>19.853000000000002</c:v>
                      </c:pt>
                      <c:pt idx="4337">
                        <c:v>19.853000000000002</c:v>
                      </c:pt>
                      <c:pt idx="4338">
                        <c:v>19.853000000000002</c:v>
                      </c:pt>
                      <c:pt idx="4339">
                        <c:v>19.757999999999999</c:v>
                      </c:pt>
                      <c:pt idx="4340">
                        <c:v>19.853000000000002</c:v>
                      </c:pt>
                      <c:pt idx="4341">
                        <c:v>19.853000000000002</c:v>
                      </c:pt>
                      <c:pt idx="4342">
                        <c:v>19.853000000000002</c:v>
                      </c:pt>
                      <c:pt idx="4343">
                        <c:v>19.853000000000002</c:v>
                      </c:pt>
                      <c:pt idx="4344">
                        <c:v>19.757999999999999</c:v>
                      </c:pt>
                      <c:pt idx="4345">
                        <c:v>19.757999999999999</c:v>
                      </c:pt>
                      <c:pt idx="4346">
                        <c:v>19.757999999999999</c:v>
                      </c:pt>
                      <c:pt idx="4347">
                        <c:v>19.757999999999999</c:v>
                      </c:pt>
                      <c:pt idx="4348">
                        <c:v>19.757999999999999</c:v>
                      </c:pt>
                      <c:pt idx="4349">
                        <c:v>19.661999999999999</c:v>
                      </c:pt>
                      <c:pt idx="4350">
                        <c:v>19.661999999999999</c:v>
                      </c:pt>
                      <c:pt idx="4351">
                        <c:v>19.661999999999999</c:v>
                      </c:pt>
                      <c:pt idx="4352">
                        <c:v>19.567</c:v>
                      </c:pt>
                      <c:pt idx="4353">
                        <c:v>19.567</c:v>
                      </c:pt>
                      <c:pt idx="4354">
                        <c:v>19.567</c:v>
                      </c:pt>
                      <c:pt idx="4355">
                        <c:v>19.661999999999999</c:v>
                      </c:pt>
                      <c:pt idx="4356">
                        <c:v>19.567</c:v>
                      </c:pt>
                      <c:pt idx="4357">
                        <c:v>19.567</c:v>
                      </c:pt>
                      <c:pt idx="4358">
                        <c:v>19.567</c:v>
                      </c:pt>
                      <c:pt idx="4359">
                        <c:v>19.567</c:v>
                      </c:pt>
                      <c:pt idx="4360">
                        <c:v>19.567</c:v>
                      </c:pt>
                      <c:pt idx="4361">
                        <c:v>19.567</c:v>
                      </c:pt>
                      <c:pt idx="4362">
                        <c:v>19.567</c:v>
                      </c:pt>
                      <c:pt idx="4363">
                        <c:v>19.567</c:v>
                      </c:pt>
                      <c:pt idx="4364">
                        <c:v>19.567</c:v>
                      </c:pt>
                      <c:pt idx="4365">
                        <c:v>19.567</c:v>
                      </c:pt>
                      <c:pt idx="4366">
                        <c:v>19.661999999999999</c:v>
                      </c:pt>
                      <c:pt idx="4367">
                        <c:v>19.661999999999999</c:v>
                      </c:pt>
                      <c:pt idx="4368">
                        <c:v>19.757999999999999</c:v>
                      </c:pt>
                      <c:pt idx="4369">
                        <c:v>19.757999999999999</c:v>
                      </c:pt>
                      <c:pt idx="4370">
                        <c:v>19.757999999999999</c:v>
                      </c:pt>
                      <c:pt idx="4371">
                        <c:v>19.757999999999999</c:v>
                      </c:pt>
                      <c:pt idx="4372">
                        <c:v>19.757999999999999</c:v>
                      </c:pt>
                      <c:pt idx="4373">
                        <c:v>19.757999999999999</c:v>
                      </c:pt>
                      <c:pt idx="4374">
                        <c:v>19.757999999999999</c:v>
                      </c:pt>
                      <c:pt idx="4375">
                        <c:v>19.757999999999999</c:v>
                      </c:pt>
                      <c:pt idx="4376">
                        <c:v>19.757999999999999</c:v>
                      </c:pt>
                      <c:pt idx="4377">
                        <c:v>19.757999999999999</c:v>
                      </c:pt>
                      <c:pt idx="4378">
                        <c:v>19.661999999999999</c:v>
                      </c:pt>
                      <c:pt idx="4379">
                        <c:v>19.661999999999999</c:v>
                      </c:pt>
                      <c:pt idx="4380">
                        <c:v>19.661999999999999</c:v>
                      </c:pt>
                      <c:pt idx="4381">
                        <c:v>19.661999999999999</c:v>
                      </c:pt>
                      <c:pt idx="4382">
                        <c:v>19.661999999999999</c:v>
                      </c:pt>
                      <c:pt idx="4383">
                        <c:v>19.661999999999999</c:v>
                      </c:pt>
                      <c:pt idx="4384">
                        <c:v>19.661999999999999</c:v>
                      </c:pt>
                      <c:pt idx="4385">
                        <c:v>19.661999999999999</c:v>
                      </c:pt>
                      <c:pt idx="4386">
                        <c:v>19.661999999999999</c:v>
                      </c:pt>
                      <c:pt idx="4387">
                        <c:v>19.661999999999999</c:v>
                      </c:pt>
                      <c:pt idx="4388">
                        <c:v>19.757999999999999</c:v>
                      </c:pt>
                      <c:pt idx="4389">
                        <c:v>19.757999999999999</c:v>
                      </c:pt>
                      <c:pt idx="4390">
                        <c:v>19.757999999999999</c:v>
                      </c:pt>
                      <c:pt idx="4391">
                        <c:v>19.853000000000002</c:v>
                      </c:pt>
                      <c:pt idx="4392">
                        <c:v>19.853000000000002</c:v>
                      </c:pt>
                      <c:pt idx="4393">
                        <c:v>19.948</c:v>
                      </c:pt>
                      <c:pt idx="4394">
                        <c:v>19.948</c:v>
                      </c:pt>
                      <c:pt idx="4395">
                        <c:v>20.042999999999999</c:v>
                      </c:pt>
                      <c:pt idx="4396">
                        <c:v>20.042999999999999</c:v>
                      </c:pt>
                      <c:pt idx="4397">
                        <c:v>20.042999999999999</c:v>
                      </c:pt>
                      <c:pt idx="4398">
                        <c:v>20.042999999999999</c:v>
                      </c:pt>
                      <c:pt idx="4399">
                        <c:v>20.042999999999999</c:v>
                      </c:pt>
                      <c:pt idx="4400">
                        <c:v>20.042999999999999</c:v>
                      </c:pt>
                      <c:pt idx="4401">
                        <c:v>20.234000000000002</c:v>
                      </c:pt>
                      <c:pt idx="4402">
                        <c:v>20.329000000000001</c:v>
                      </c:pt>
                      <c:pt idx="4403">
                        <c:v>20.234000000000002</c:v>
                      </c:pt>
                      <c:pt idx="4404">
                        <c:v>20.234000000000002</c:v>
                      </c:pt>
                      <c:pt idx="4405">
                        <c:v>20.329000000000001</c:v>
                      </c:pt>
                      <c:pt idx="4406">
                        <c:v>20.329000000000001</c:v>
                      </c:pt>
                      <c:pt idx="4407">
                        <c:v>20.423999999999999</c:v>
                      </c:pt>
                      <c:pt idx="4408">
                        <c:v>20.423999999999999</c:v>
                      </c:pt>
                      <c:pt idx="4409">
                        <c:v>20.423999999999999</c:v>
                      </c:pt>
                      <c:pt idx="4410">
                        <c:v>20.518999999999998</c:v>
                      </c:pt>
                      <c:pt idx="4411">
                        <c:v>20.423999999999999</c:v>
                      </c:pt>
                      <c:pt idx="4412">
                        <c:v>20.518999999999998</c:v>
                      </c:pt>
                      <c:pt idx="4413">
                        <c:v>20.518999999999998</c:v>
                      </c:pt>
                      <c:pt idx="4414">
                        <c:v>20.518999999999998</c:v>
                      </c:pt>
                      <c:pt idx="4415">
                        <c:v>20.518999999999998</c:v>
                      </c:pt>
                      <c:pt idx="4416">
                        <c:v>20.518999999999998</c:v>
                      </c:pt>
                      <c:pt idx="4417">
                        <c:v>20.518999999999998</c:v>
                      </c:pt>
                      <c:pt idx="4418">
                        <c:v>20.518999999999998</c:v>
                      </c:pt>
                      <c:pt idx="4419">
                        <c:v>20.518999999999998</c:v>
                      </c:pt>
                      <c:pt idx="4420">
                        <c:v>20.423999999999999</c:v>
                      </c:pt>
                      <c:pt idx="4421">
                        <c:v>20.423999999999999</c:v>
                      </c:pt>
                      <c:pt idx="4422">
                        <c:v>20.423999999999999</c:v>
                      </c:pt>
                      <c:pt idx="4423">
                        <c:v>20.329000000000001</c:v>
                      </c:pt>
                      <c:pt idx="4424">
                        <c:v>20.329000000000001</c:v>
                      </c:pt>
                      <c:pt idx="4425">
                        <c:v>20.329000000000001</c:v>
                      </c:pt>
                      <c:pt idx="4426">
                        <c:v>20.234000000000002</c:v>
                      </c:pt>
                      <c:pt idx="4427">
                        <c:v>20.234000000000002</c:v>
                      </c:pt>
                      <c:pt idx="4428">
                        <c:v>20.138000000000002</c:v>
                      </c:pt>
                      <c:pt idx="4429">
                        <c:v>20.138000000000002</c:v>
                      </c:pt>
                      <c:pt idx="4430">
                        <c:v>20.042999999999999</c:v>
                      </c:pt>
                      <c:pt idx="4431">
                        <c:v>20.042999999999999</c:v>
                      </c:pt>
                      <c:pt idx="4432">
                        <c:v>20.042999999999999</c:v>
                      </c:pt>
                      <c:pt idx="4433">
                        <c:v>19.948</c:v>
                      </c:pt>
                      <c:pt idx="4434">
                        <c:v>19.948</c:v>
                      </c:pt>
                      <c:pt idx="4435">
                        <c:v>19.853000000000002</c:v>
                      </c:pt>
                      <c:pt idx="4436">
                        <c:v>19.853000000000002</c:v>
                      </c:pt>
                      <c:pt idx="4437">
                        <c:v>19.853000000000002</c:v>
                      </c:pt>
                      <c:pt idx="4438">
                        <c:v>19.757999999999999</c:v>
                      </c:pt>
                      <c:pt idx="4439">
                        <c:v>19.757999999999999</c:v>
                      </c:pt>
                      <c:pt idx="4440">
                        <c:v>19.757999999999999</c:v>
                      </c:pt>
                      <c:pt idx="4441">
                        <c:v>19.661999999999999</c:v>
                      </c:pt>
                      <c:pt idx="4442">
                        <c:v>19.661999999999999</c:v>
                      </c:pt>
                      <c:pt idx="4443">
                        <c:v>19.567</c:v>
                      </c:pt>
                      <c:pt idx="4444">
                        <c:v>19.567</c:v>
                      </c:pt>
                      <c:pt idx="4445">
                        <c:v>19.567</c:v>
                      </c:pt>
                      <c:pt idx="4446">
                        <c:v>19.567</c:v>
                      </c:pt>
                      <c:pt idx="4447">
                        <c:v>19.472000000000001</c:v>
                      </c:pt>
                      <c:pt idx="4448">
                        <c:v>19.472000000000001</c:v>
                      </c:pt>
                      <c:pt idx="4449">
                        <c:v>19.376999999999999</c:v>
                      </c:pt>
                      <c:pt idx="4450">
                        <c:v>19.376999999999999</c:v>
                      </c:pt>
                      <c:pt idx="4451">
                        <c:v>19.376999999999999</c:v>
                      </c:pt>
                      <c:pt idx="4452">
                        <c:v>19.376999999999999</c:v>
                      </c:pt>
                      <c:pt idx="4453">
                        <c:v>19.472000000000001</c:v>
                      </c:pt>
                      <c:pt idx="4454">
                        <c:v>19.376999999999999</c:v>
                      </c:pt>
                      <c:pt idx="4455">
                        <c:v>19.472000000000001</c:v>
                      </c:pt>
                      <c:pt idx="4456">
                        <c:v>19.282</c:v>
                      </c:pt>
                      <c:pt idx="4457">
                        <c:v>19.282</c:v>
                      </c:pt>
                      <c:pt idx="4458">
                        <c:v>19.282</c:v>
                      </c:pt>
                      <c:pt idx="4459">
                        <c:v>19.187000000000001</c:v>
                      </c:pt>
                      <c:pt idx="4460">
                        <c:v>19.187000000000001</c:v>
                      </c:pt>
                      <c:pt idx="4461">
                        <c:v>19.187000000000001</c:v>
                      </c:pt>
                      <c:pt idx="4462">
                        <c:v>19.187000000000001</c:v>
                      </c:pt>
                      <c:pt idx="4463">
                        <c:v>19.091999999999999</c:v>
                      </c:pt>
                      <c:pt idx="4464">
                        <c:v>19.091999999999999</c:v>
                      </c:pt>
                      <c:pt idx="4465">
                        <c:v>19.091999999999999</c:v>
                      </c:pt>
                      <c:pt idx="4466">
                        <c:v>18.995999999999999</c:v>
                      </c:pt>
                      <c:pt idx="4467">
                        <c:v>18.995999999999999</c:v>
                      </c:pt>
                      <c:pt idx="4468">
                        <c:v>18.995999999999999</c:v>
                      </c:pt>
                      <c:pt idx="4469">
                        <c:v>18.995999999999999</c:v>
                      </c:pt>
                      <c:pt idx="4470">
                        <c:v>19.091999999999999</c:v>
                      </c:pt>
                      <c:pt idx="4471">
                        <c:v>19.091999999999999</c:v>
                      </c:pt>
                      <c:pt idx="4472">
                        <c:v>18.995999999999999</c:v>
                      </c:pt>
                      <c:pt idx="4473">
                        <c:v>18.995999999999999</c:v>
                      </c:pt>
                      <c:pt idx="4474">
                        <c:v>18.901</c:v>
                      </c:pt>
                      <c:pt idx="4475">
                        <c:v>18.901</c:v>
                      </c:pt>
                      <c:pt idx="4476">
                        <c:v>18.901</c:v>
                      </c:pt>
                      <c:pt idx="4477">
                        <c:v>18.901</c:v>
                      </c:pt>
                      <c:pt idx="4478">
                        <c:v>18.995999999999999</c:v>
                      </c:pt>
                      <c:pt idx="4479">
                        <c:v>18.901</c:v>
                      </c:pt>
                      <c:pt idx="4480">
                        <c:v>18.901</c:v>
                      </c:pt>
                      <c:pt idx="4481">
                        <c:v>18.806000000000001</c:v>
                      </c:pt>
                      <c:pt idx="4482">
                        <c:v>18.806000000000001</c:v>
                      </c:pt>
                      <c:pt idx="4483">
                        <c:v>18.901</c:v>
                      </c:pt>
                      <c:pt idx="4484">
                        <c:v>18.806000000000001</c:v>
                      </c:pt>
                      <c:pt idx="4485">
                        <c:v>18.806000000000001</c:v>
                      </c:pt>
                      <c:pt idx="4486">
                        <c:v>18.710999999999999</c:v>
                      </c:pt>
                      <c:pt idx="4487">
                        <c:v>18.710999999999999</c:v>
                      </c:pt>
                      <c:pt idx="4488">
                        <c:v>18.806000000000001</c:v>
                      </c:pt>
                      <c:pt idx="4489">
                        <c:v>18.710999999999999</c:v>
                      </c:pt>
                      <c:pt idx="4490">
                        <c:v>18.710999999999999</c:v>
                      </c:pt>
                      <c:pt idx="4491">
                        <c:v>18.710999999999999</c:v>
                      </c:pt>
                      <c:pt idx="4492">
                        <c:v>18.710999999999999</c:v>
                      </c:pt>
                      <c:pt idx="4493">
                        <c:v>18.710999999999999</c:v>
                      </c:pt>
                      <c:pt idx="4494">
                        <c:v>18.616</c:v>
                      </c:pt>
                      <c:pt idx="4495">
                        <c:v>18.521000000000001</c:v>
                      </c:pt>
                      <c:pt idx="4496">
                        <c:v>18.521000000000001</c:v>
                      </c:pt>
                      <c:pt idx="4497">
                        <c:v>18.521000000000001</c:v>
                      </c:pt>
                      <c:pt idx="4498">
                        <c:v>18.425999999999998</c:v>
                      </c:pt>
                      <c:pt idx="4499">
                        <c:v>18.425999999999998</c:v>
                      </c:pt>
                      <c:pt idx="4500">
                        <c:v>18.425999999999998</c:v>
                      </c:pt>
                      <c:pt idx="4501">
                        <c:v>18.425999999999998</c:v>
                      </c:pt>
                      <c:pt idx="4502">
                        <c:v>18.331</c:v>
                      </c:pt>
                      <c:pt idx="4503">
                        <c:v>18.331</c:v>
                      </c:pt>
                      <c:pt idx="4504">
                        <c:v>18.425999999999998</c:v>
                      </c:pt>
                      <c:pt idx="4505">
                        <c:v>18.425999999999998</c:v>
                      </c:pt>
                      <c:pt idx="4506">
                        <c:v>18.331</c:v>
                      </c:pt>
                      <c:pt idx="4507">
                        <c:v>18.236000000000001</c:v>
                      </c:pt>
                      <c:pt idx="4508">
                        <c:v>18.331</c:v>
                      </c:pt>
                      <c:pt idx="4509">
                        <c:v>18.331</c:v>
                      </c:pt>
                      <c:pt idx="4510">
                        <c:v>18.331</c:v>
                      </c:pt>
                      <c:pt idx="4511">
                        <c:v>18.425999999999998</c:v>
                      </c:pt>
                      <c:pt idx="4512">
                        <c:v>18.425999999999998</c:v>
                      </c:pt>
                      <c:pt idx="4513">
                        <c:v>18.521000000000001</c:v>
                      </c:pt>
                      <c:pt idx="4514">
                        <c:v>18.521000000000001</c:v>
                      </c:pt>
                      <c:pt idx="4515">
                        <c:v>18.616</c:v>
                      </c:pt>
                      <c:pt idx="4516">
                        <c:v>18.616</c:v>
                      </c:pt>
                      <c:pt idx="4517">
                        <c:v>18.710999999999999</c:v>
                      </c:pt>
                      <c:pt idx="4518">
                        <c:v>18.806000000000001</c:v>
                      </c:pt>
                      <c:pt idx="4519">
                        <c:v>18.806000000000001</c:v>
                      </c:pt>
                      <c:pt idx="4520">
                        <c:v>18.995999999999999</c:v>
                      </c:pt>
                      <c:pt idx="4521">
                        <c:v>18.995999999999999</c:v>
                      </c:pt>
                      <c:pt idx="4522">
                        <c:v>19.091999999999999</c:v>
                      </c:pt>
                      <c:pt idx="4523">
                        <c:v>19.187000000000001</c:v>
                      </c:pt>
                      <c:pt idx="4524">
                        <c:v>19.187000000000001</c:v>
                      </c:pt>
                      <c:pt idx="4525">
                        <c:v>19.376999999999999</c:v>
                      </c:pt>
                      <c:pt idx="4526">
                        <c:v>19.376999999999999</c:v>
                      </c:pt>
                      <c:pt idx="4527">
                        <c:v>19.472000000000001</c:v>
                      </c:pt>
                      <c:pt idx="4528">
                        <c:v>19.567</c:v>
                      </c:pt>
                      <c:pt idx="4529">
                        <c:v>19.567</c:v>
                      </c:pt>
                      <c:pt idx="4530">
                        <c:v>19.757999999999999</c:v>
                      </c:pt>
                      <c:pt idx="4531">
                        <c:v>19.757999999999999</c:v>
                      </c:pt>
                      <c:pt idx="4532">
                        <c:v>19.853000000000002</c:v>
                      </c:pt>
                      <c:pt idx="4533">
                        <c:v>20.042999999999999</c:v>
                      </c:pt>
                      <c:pt idx="4534">
                        <c:v>20.042999999999999</c:v>
                      </c:pt>
                      <c:pt idx="4535">
                        <c:v>20.329000000000001</c:v>
                      </c:pt>
                      <c:pt idx="4536">
                        <c:v>20.614999999999998</c:v>
                      </c:pt>
                      <c:pt idx="4537">
                        <c:v>20.614999999999998</c:v>
                      </c:pt>
                      <c:pt idx="4538">
                        <c:v>20.71</c:v>
                      </c:pt>
                      <c:pt idx="4539">
                        <c:v>20.518999999999998</c:v>
                      </c:pt>
                      <c:pt idx="4540">
                        <c:v>20.518999999999998</c:v>
                      </c:pt>
                      <c:pt idx="4541">
                        <c:v>20.518999999999998</c:v>
                      </c:pt>
                      <c:pt idx="4542">
                        <c:v>20.614999999999998</c:v>
                      </c:pt>
                      <c:pt idx="4543">
                        <c:v>20.71</c:v>
                      </c:pt>
                      <c:pt idx="4544">
                        <c:v>21.282</c:v>
                      </c:pt>
                      <c:pt idx="4545">
                        <c:v>21.472999999999999</c:v>
                      </c:pt>
                      <c:pt idx="4546">
                        <c:v>21.472999999999999</c:v>
                      </c:pt>
                      <c:pt idx="4547">
                        <c:v>21.472999999999999</c:v>
                      </c:pt>
                      <c:pt idx="4548">
                        <c:v>21.187000000000001</c:v>
                      </c:pt>
                      <c:pt idx="4549">
                        <c:v>21.091000000000001</c:v>
                      </c:pt>
                      <c:pt idx="4550">
                        <c:v>21.282</c:v>
                      </c:pt>
                      <c:pt idx="4551">
                        <c:v>20.995999999999999</c:v>
                      </c:pt>
                      <c:pt idx="4552">
                        <c:v>20.901</c:v>
                      </c:pt>
                      <c:pt idx="4553">
                        <c:v>20.901</c:v>
                      </c:pt>
                      <c:pt idx="4554">
                        <c:v>20.995999999999999</c:v>
                      </c:pt>
                      <c:pt idx="4555">
                        <c:v>20.901</c:v>
                      </c:pt>
                      <c:pt idx="4556">
                        <c:v>20.901</c:v>
                      </c:pt>
                      <c:pt idx="4557">
                        <c:v>20.901</c:v>
                      </c:pt>
                      <c:pt idx="4558">
                        <c:v>20.901</c:v>
                      </c:pt>
                      <c:pt idx="4559">
                        <c:v>20.805</c:v>
                      </c:pt>
                      <c:pt idx="4560">
                        <c:v>20.805</c:v>
                      </c:pt>
                      <c:pt idx="4561">
                        <c:v>20.805</c:v>
                      </c:pt>
                      <c:pt idx="4562">
                        <c:v>20.805</c:v>
                      </c:pt>
                      <c:pt idx="4563">
                        <c:v>20.71</c:v>
                      </c:pt>
                      <c:pt idx="4564">
                        <c:v>20.71</c:v>
                      </c:pt>
                      <c:pt idx="4565">
                        <c:v>20.71</c:v>
                      </c:pt>
                      <c:pt idx="4566">
                        <c:v>20.71</c:v>
                      </c:pt>
                      <c:pt idx="4567">
                        <c:v>20.614999999999998</c:v>
                      </c:pt>
                      <c:pt idx="4568">
                        <c:v>20.614999999999998</c:v>
                      </c:pt>
                      <c:pt idx="4569">
                        <c:v>20.614999999999998</c:v>
                      </c:pt>
                      <c:pt idx="4570">
                        <c:v>20.614999999999998</c:v>
                      </c:pt>
                      <c:pt idx="4571">
                        <c:v>20.518999999999998</c:v>
                      </c:pt>
                      <c:pt idx="4572">
                        <c:v>20.518999999999998</c:v>
                      </c:pt>
                      <c:pt idx="4573">
                        <c:v>20.518999999999998</c:v>
                      </c:pt>
                      <c:pt idx="4574">
                        <c:v>20.423999999999999</c:v>
                      </c:pt>
                      <c:pt idx="4575">
                        <c:v>20.423999999999999</c:v>
                      </c:pt>
                      <c:pt idx="4576">
                        <c:v>20.329000000000001</c:v>
                      </c:pt>
                      <c:pt idx="4577">
                        <c:v>20.329000000000001</c:v>
                      </c:pt>
                      <c:pt idx="4578">
                        <c:v>20.234000000000002</c:v>
                      </c:pt>
                      <c:pt idx="4579">
                        <c:v>20.234000000000002</c:v>
                      </c:pt>
                      <c:pt idx="4580">
                        <c:v>20.234000000000002</c:v>
                      </c:pt>
                      <c:pt idx="4581">
                        <c:v>20.138000000000002</c:v>
                      </c:pt>
                      <c:pt idx="4582">
                        <c:v>20.042999999999999</c:v>
                      </c:pt>
                      <c:pt idx="4583">
                        <c:v>20.042999999999999</c:v>
                      </c:pt>
                      <c:pt idx="4584">
                        <c:v>20.042999999999999</c:v>
                      </c:pt>
                      <c:pt idx="4585">
                        <c:v>19.853000000000002</c:v>
                      </c:pt>
                      <c:pt idx="4586">
                        <c:v>19.853000000000002</c:v>
                      </c:pt>
                      <c:pt idx="4587">
                        <c:v>19.853000000000002</c:v>
                      </c:pt>
                      <c:pt idx="4588">
                        <c:v>19.757999999999999</c:v>
                      </c:pt>
                      <c:pt idx="4589">
                        <c:v>19.757999999999999</c:v>
                      </c:pt>
                      <c:pt idx="4590">
                        <c:v>19.661999999999999</c:v>
                      </c:pt>
                      <c:pt idx="4591">
                        <c:v>19.661999999999999</c:v>
                      </c:pt>
                      <c:pt idx="4592">
                        <c:v>19.661999999999999</c:v>
                      </c:pt>
                      <c:pt idx="4593">
                        <c:v>19.567</c:v>
                      </c:pt>
                      <c:pt idx="4594">
                        <c:v>19.567</c:v>
                      </c:pt>
                      <c:pt idx="4595">
                        <c:v>19.567</c:v>
                      </c:pt>
                      <c:pt idx="4596">
                        <c:v>19.472000000000001</c:v>
                      </c:pt>
                      <c:pt idx="4597">
                        <c:v>19.472000000000001</c:v>
                      </c:pt>
                      <c:pt idx="4598">
                        <c:v>19.472000000000001</c:v>
                      </c:pt>
                      <c:pt idx="4599">
                        <c:v>19.376999999999999</c:v>
                      </c:pt>
                      <c:pt idx="4600">
                        <c:v>19.376999999999999</c:v>
                      </c:pt>
                      <c:pt idx="4601">
                        <c:v>19.472000000000001</c:v>
                      </c:pt>
                      <c:pt idx="4602">
                        <c:v>19.376999999999999</c:v>
                      </c:pt>
                      <c:pt idx="4603">
                        <c:v>19.376999999999999</c:v>
                      </c:pt>
                      <c:pt idx="4604">
                        <c:v>19.376999999999999</c:v>
                      </c:pt>
                      <c:pt idx="4605">
                        <c:v>19.376999999999999</c:v>
                      </c:pt>
                      <c:pt idx="4606">
                        <c:v>19.282</c:v>
                      </c:pt>
                      <c:pt idx="4607">
                        <c:v>19.282</c:v>
                      </c:pt>
                      <c:pt idx="4608">
                        <c:v>19.282</c:v>
                      </c:pt>
                      <c:pt idx="4609">
                        <c:v>19.282</c:v>
                      </c:pt>
                      <c:pt idx="4610">
                        <c:v>19.282</c:v>
                      </c:pt>
                      <c:pt idx="4611">
                        <c:v>19.282</c:v>
                      </c:pt>
                      <c:pt idx="4612">
                        <c:v>19.282</c:v>
                      </c:pt>
                      <c:pt idx="4613">
                        <c:v>19.282</c:v>
                      </c:pt>
                      <c:pt idx="4614">
                        <c:v>19.282</c:v>
                      </c:pt>
                      <c:pt idx="4615">
                        <c:v>19.187000000000001</c:v>
                      </c:pt>
                      <c:pt idx="4616">
                        <c:v>19.187000000000001</c:v>
                      </c:pt>
                      <c:pt idx="4617">
                        <c:v>19.187000000000001</c:v>
                      </c:pt>
                      <c:pt idx="4618">
                        <c:v>19.187000000000001</c:v>
                      </c:pt>
                      <c:pt idx="4619">
                        <c:v>19.187000000000001</c:v>
                      </c:pt>
                      <c:pt idx="4620">
                        <c:v>19.091999999999999</c:v>
                      </c:pt>
                      <c:pt idx="4621">
                        <c:v>19.091999999999999</c:v>
                      </c:pt>
                      <c:pt idx="4622">
                        <c:v>18.995999999999999</c:v>
                      </c:pt>
                      <c:pt idx="4623">
                        <c:v>19.091999999999999</c:v>
                      </c:pt>
                      <c:pt idx="4624">
                        <c:v>18.995999999999999</c:v>
                      </c:pt>
                      <c:pt idx="4625">
                        <c:v>18.995999999999999</c:v>
                      </c:pt>
                      <c:pt idx="4626">
                        <c:v>18.995999999999999</c:v>
                      </c:pt>
                      <c:pt idx="4627">
                        <c:v>18.995999999999999</c:v>
                      </c:pt>
                      <c:pt idx="4628">
                        <c:v>18.995999999999999</c:v>
                      </c:pt>
                      <c:pt idx="4629">
                        <c:v>18.995999999999999</c:v>
                      </c:pt>
                      <c:pt idx="4630">
                        <c:v>18.901</c:v>
                      </c:pt>
                      <c:pt idx="4631">
                        <c:v>18.806000000000001</c:v>
                      </c:pt>
                      <c:pt idx="4632">
                        <c:v>18.806000000000001</c:v>
                      </c:pt>
                      <c:pt idx="4633">
                        <c:v>18.901</c:v>
                      </c:pt>
                      <c:pt idx="4634">
                        <c:v>18.901</c:v>
                      </c:pt>
                      <c:pt idx="4635">
                        <c:v>18.806000000000001</c:v>
                      </c:pt>
                      <c:pt idx="4636">
                        <c:v>18.806000000000001</c:v>
                      </c:pt>
                      <c:pt idx="4637">
                        <c:v>18.806000000000001</c:v>
                      </c:pt>
                      <c:pt idx="4638">
                        <c:v>18.710999999999999</c:v>
                      </c:pt>
                      <c:pt idx="4639">
                        <c:v>18.806000000000001</c:v>
                      </c:pt>
                      <c:pt idx="4640">
                        <c:v>18.710999999999999</c:v>
                      </c:pt>
                      <c:pt idx="4641">
                        <c:v>18.710999999999999</c:v>
                      </c:pt>
                      <c:pt idx="4642">
                        <c:v>18.710999999999999</c:v>
                      </c:pt>
                      <c:pt idx="4643">
                        <c:v>18.616</c:v>
                      </c:pt>
                      <c:pt idx="4644">
                        <c:v>18.616</c:v>
                      </c:pt>
                      <c:pt idx="4645">
                        <c:v>18.616</c:v>
                      </c:pt>
                      <c:pt idx="4646">
                        <c:v>18.616</c:v>
                      </c:pt>
                      <c:pt idx="4647">
                        <c:v>18.616</c:v>
                      </c:pt>
                      <c:pt idx="4648">
                        <c:v>18.616</c:v>
                      </c:pt>
                      <c:pt idx="4649">
                        <c:v>18.521000000000001</c:v>
                      </c:pt>
                      <c:pt idx="4650">
                        <c:v>18.616</c:v>
                      </c:pt>
                      <c:pt idx="4651">
                        <c:v>18.616</c:v>
                      </c:pt>
                      <c:pt idx="4652">
                        <c:v>18.616</c:v>
                      </c:pt>
                      <c:pt idx="4653">
                        <c:v>18.710999999999999</c:v>
                      </c:pt>
                      <c:pt idx="4654">
                        <c:v>18.710999999999999</c:v>
                      </c:pt>
                      <c:pt idx="4655">
                        <c:v>18.710999999999999</c:v>
                      </c:pt>
                      <c:pt idx="4656">
                        <c:v>18.806000000000001</c:v>
                      </c:pt>
                      <c:pt idx="4657">
                        <c:v>18.806000000000001</c:v>
                      </c:pt>
                      <c:pt idx="4658">
                        <c:v>18.901</c:v>
                      </c:pt>
                      <c:pt idx="4659">
                        <c:v>18.901</c:v>
                      </c:pt>
                      <c:pt idx="4660">
                        <c:v>18.995999999999999</c:v>
                      </c:pt>
                      <c:pt idx="4661">
                        <c:v>18.995999999999999</c:v>
                      </c:pt>
                      <c:pt idx="4662">
                        <c:v>19.091999999999999</c:v>
                      </c:pt>
                      <c:pt idx="4663">
                        <c:v>19.187000000000001</c:v>
                      </c:pt>
                      <c:pt idx="4664">
                        <c:v>19.376999999999999</c:v>
                      </c:pt>
                      <c:pt idx="4665">
                        <c:v>19.282</c:v>
                      </c:pt>
                      <c:pt idx="4666">
                        <c:v>19.376999999999999</c:v>
                      </c:pt>
                      <c:pt idx="4667">
                        <c:v>19.376999999999999</c:v>
                      </c:pt>
                      <c:pt idx="4668">
                        <c:v>19.472000000000001</c:v>
                      </c:pt>
                      <c:pt idx="4669">
                        <c:v>19.661999999999999</c:v>
                      </c:pt>
                      <c:pt idx="4670">
                        <c:v>19.661999999999999</c:v>
                      </c:pt>
                      <c:pt idx="4671">
                        <c:v>19.757999999999999</c:v>
                      </c:pt>
                      <c:pt idx="4672">
                        <c:v>19.757999999999999</c:v>
                      </c:pt>
                      <c:pt idx="4673">
                        <c:v>19.853000000000002</c:v>
                      </c:pt>
                      <c:pt idx="4674">
                        <c:v>20.042999999999999</c:v>
                      </c:pt>
                      <c:pt idx="4675">
                        <c:v>20.042999999999999</c:v>
                      </c:pt>
                      <c:pt idx="4676">
                        <c:v>20.138000000000002</c:v>
                      </c:pt>
                      <c:pt idx="4677">
                        <c:v>20.329000000000001</c:v>
                      </c:pt>
                      <c:pt idx="4678">
                        <c:v>20.329000000000001</c:v>
                      </c:pt>
                      <c:pt idx="4679">
                        <c:v>20.614999999999998</c:v>
                      </c:pt>
                      <c:pt idx="4680">
                        <c:v>20.805</c:v>
                      </c:pt>
                      <c:pt idx="4681">
                        <c:v>20.805</c:v>
                      </c:pt>
                      <c:pt idx="4682">
                        <c:v>21.091000000000001</c:v>
                      </c:pt>
                      <c:pt idx="4683">
                        <c:v>20.805</c:v>
                      </c:pt>
                      <c:pt idx="4684">
                        <c:v>20.71</c:v>
                      </c:pt>
                      <c:pt idx="4685">
                        <c:v>20.805</c:v>
                      </c:pt>
                      <c:pt idx="4686">
                        <c:v>20.805</c:v>
                      </c:pt>
                      <c:pt idx="4687">
                        <c:v>20.995999999999999</c:v>
                      </c:pt>
                      <c:pt idx="4688">
                        <c:v>21.568999999999999</c:v>
                      </c:pt>
                      <c:pt idx="4689">
                        <c:v>21.76</c:v>
                      </c:pt>
                      <c:pt idx="4690">
                        <c:v>22.045999999999999</c:v>
                      </c:pt>
                      <c:pt idx="4691">
                        <c:v>21.664000000000001</c:v>
                      </c:pt>
                      <c:pt idx="4692">
                        <c:v>21.282</c:v>
                      </c:pt>
                      <c:pt idx="4693">
                        <c:v>21.282</c:v>
                      </c:pt>
                      <c:pt idx="4694">
                        <c:v>21.378</c:v>
                      </c:pt>
                      <c:pt idx="4695">
                        <c:v>21.187000000000001</c:v>
                      </c:pt>
                      <c:pt idx="4696">
                        <c:v>21.091000000000001</c:v>
                      </c:pt>
                      <c:pt idx="4697">
                        <c:v>21.091000000000001</c:v>
                      </c:pt>
                      <c:pt idx="4698">
                        <c:v>20.995999999999999</c:v>
                      </c:pt>
                      <c:pt idx="4699">
                        <c:v>20.995999999999999</c:v>
                      </c:pt>
                      <c:pt idx="4700">
                        <c:v>20.995999999999999</c:v>
                      </c:pt>
                      <c:pt idx="4701">
                        <c:v>20.995999999999999</c:v>
                      </c:pt>
                      <c:pt idx="4702">
                        <c:v>20.995999999999999</c:v>
                      </c:pt>
                      <c:pt idx="4703">
                        <c:v>20.995999999999999</c:v>
                      </c:pt>
                      <c:pt idx="4704">
                        <c:v>20.995999999999999</c:v>
                      </c:pt>
                      <c:pt idx="4705">
                        <c:v>20.995999999999999</c:v>
                      </c:pt>
                      <c:pt idx="4706">
                        <c:v>20.901</c:v>
                      </c:pt>
                      <c:pt idx="4707">
                        <c:v>20.901</c:v>
                      </c:pt>
                      <c:pt idx="4708">
                        <c:v>20.901</c:v>
                      </c:pt>
                      <c:pt idx="4709">
                        <c:v>20.901</c:v>
                      </c:pt>
                      <c:pt idx="4710">
                        <c:v>20.805</c:v>
                      </c:pt>
                      <c:pt idx="4711">
                        <c:v>20.805</c:v>
                      </c:pt>
                      <c:pt idx="4712">
                        <c:v>20.805</c:v>
                      </c:pt>
                      <c:pt idx="4713">
                        <c:v>20.805</c:v>
                      </c:pt>
                      <c:pt idx="4714">
                        <c:v>20.805</c:v>
                      </c:pt>
                      <c:pt idx="4715">
                        <c:v>20.71</c:v>
                      </c:pt>
                      <c:pt idx="4716">
                        <c:v>20.71</c:v>
                      </c:pt>
                      <c:pt idx="4717">
                        <c:v>20.71</c:v>
                      </c:pt>
                      <c:pt idx="4718">
                        <c:v>20.614999999999998</c:v>
                      </c:pt>
                      <c:pt idx="4719">
                        <c:v>20.614999999999998</c:v>
                      </c:pt>
                      <c:pt idx="4720">
                        <c:v>20.518999999999998</c:v>
                      </c:pt>
                      <c:pt idx="4721">
                        <c:v>20.518999999999998</c:v>
                      </c:pt>
                      <c:pt idx="4722">
                        <c:v>20.518999999999998</c:v>
                      </c:pt>
                      <c:pt idx="4723">
                        <c:v>20.423999999999999</c:v>
                      </c:pt>
                      <c:pt idx="4724">
                        <c:v>20.329000000000001</c:v>
                      </c:pt>
                      <c:pt idx="4725">
                        <c:v>20.329000000000001</c:v>
                      </c:pt>
                      <c:pt idx="4726">
                        <c:v>20.234000000000002</c:v>
                      </c:pt>
                      <c:pt idx="4727">
                        <c:v>20.234000000000002</c:v>
                      </c:pt>
                      <c:pt idx="4728">
                        <c:v>20.234000000000002</c:v>
                      </c:pt>
                      <c:pt idx="4729">
                        <c:v>20.138000000000002</c:v>
                      </c:pt>
                      <c:pt idx="4730">
                        <c:v>20.042999999999999</c:v>
                      </c:pt>
                      <c:pt idx="4731">
                        <c:v>20.042999999999999</c:v>
                      </c:pt>
                      <c:pt idx="4732">
                        <c:v>19.948</c:v>
                      </c:pt>
                      <c:pt idx="4733">
                        <c:v>19.948</c:v>
                      </c:pt>
                      <c:pt idx="4734">
                        <c:v>19.948</c:v>
                      </c:pt>
                      <c:pt idx="4735">
                        <c:v>19.853000000000002</c:v>
                      </c:pt>
                      <c:pt idx="4736">
                        <c:v>19.853000000000002</c:v>
                      </c:pt>
                      <c:pt idx="4737">
                        <c:v>19.853000000000002</c:v>
                      </c:pt>
                      <c:pt idx="4738">
                        <c:v>19.853000000000002</c:v>
                      </c:pt>
                      <c:pt idx="4739">
                        <c:v>19.757999999999999</c:v>
                      </c:pt>
                      <c:pt idx="4740">
                        <c:v>19.757999999999999</c:v>
                      </c:pt>
                      <c:pt idx="4741">
                        <c:v>19.757999999999999</c:v>
                      </c:pt>
                      <c:pt idx="4742">
                        <c:v>19.661999999999999</c:v>
                      </c:pt>
                      <c:pt idx="4743">
                        <c:v>19.661999999999999</c:v>
                      </c:pt>
                      <c:pt idx="4744">
                        <c:v>19.661999999999999</c:v>
                      </c:pt>
                      <c:pt idx="4745">
                        <c:v>19.661999999999999</c:v>
                      </c:pt>
                      <c:pt idx="4746">
                        <c:v>19.661999999999999</c:v>
                      </c:pt>
                      <c:pt idx="4747">
                        <c:v>19.567</c:v>
                      </c:pt>
                      <c:pt idx="4748">
                        <c:v>19.661999999999999</c:v>
                      </c:pt>
                      <c:pt idx="4749">
                        <c:v>19.567</c:v>
                      </c:pt>
                      <c:pt idx="4750">
                        <c:v>19.567</c:v>
                      </c:pt>
                      <c:pt idx="4751">
                        <c:v>19.567</c:v>
                      </c:pt>
                      <c:pt idx="4752">
                        <c:v>19.567</c:v>
                      </c:pt>
                      <c:pt idx="4753">
                        <c:v>19.472000000000001</c:v>
                      </c:pt>
                      <c:pt idx="4754">
                        <c:v>19.472000000000001</c:v>
                      </c:pt>
                      <c:pt idx="4755">
                        <c:v>19.472000000000001</c:v>
                      </c:pt>
                      <c:pt idx="4756">
                        <c:v>19.472000000000001</c:v>
                      </c:pt>
                      <c:pt idx="4757">
                        <c:v>19.472000000000001</c:v>
                      </c:pt>
                      <c:pt idx="4758">
                        <c:v>19.376999999999999</c:v>
                      </c:pt>
                      <c:pt idx="4759">
                        <c:v>19.376999999999999</c:v>
                      </c:pt>
                      <c:pt idx="4760">
                        <c:v>19.376999999999999</c:v>
                      </c:pt>
                      <c:pt idx="4761">
                        <c:v>19.376999999999999</c:v>
                      </c:pt>
                      <c:pt idx="4762">
                        <c:v>19.282</c:v>
                      </c:pt>
                      <c:pt idx="4763">
                        <c:v>19.282</c:v>
                      </c:pt>
                      <c:pt idx="4764">
                        <c:v>19.282</c:v>
                      </c:pt>
                      <c:pt idx="4765">
                        <c:v>19.187000000000001</c:v>
                      </c:pt>
                      <c:pt idx="4766">
                        <c:v>19.187000000000001</c:v>
                      </c:pt>
                      <c:pt idx="4767">
                        <c:v>19.187000000000001</c:v>
                      </c:pt>
                      <c:pt idx="4768">
                        <c:v>19.187000000000001</c:v>
                      </c:pt>
                      <c:pt idx="4769">
                        <c:v>19.091999999999999</c:v>
                      </c:pt>
                      <c:pt idx="4770">
                        <c:v>19.187000000000001</c:v>
                      </c:pt>
                      <c:pt idx="4771">
                        <c:v>19.187000000000001</c:v>
                      </c:pt>
                      <c:pt idx="4772">
                        <c:v>19.091999999999999</c:v>
                      </c:pt>
                      <c:pt idx="4773">
                        <c:v>19.091999999999999</c:v>
                      </c:pt>
                      <c:pt idx="4774">
                        <c:v>19.091999999999999</c:v>
                      </c:pt>
                      <c:pt idx="4775">
                        <c:v>18.995999999999999</c:v>
                      </c:pt>
                      <c:pt idx="4776">
                        <c:v>18.995999999999999</c:v>
                      </c:pt>
                      <c:pt idx="4777">
                        <c:v>18.995999999999999</c:v>
                      </c:pt>
                      <c:pt idx="4778">
                        <c:v>18.995999999999999</c:v>
                      </c:pt>
                      <c:pt idx="4779">
                        <c:v>18.901</c:v>
                      </c:pt>
                      <c:pt idx="4780">
                        <c:v>18.901</c:v>
                      </c:pt>
                      <c:pt idx="4781">
                        <c:v>18.806000000000001</c:v>
                      </c:pt>
                      <c:pt idx="4782">
                        <c:v>18.901</c:v>
                      </c:pt>
                      <c:pt idx="4783">
                        <c:v>18.901</c:v>
                      </c:pt>
                      <c:pt idx="4784">
                        <c:v>18.901</c:v>
                      </c:pt>
                      <c:pt idx="4785">
                        <c:v>18.806000000000001</c:v>
                      </c:pt>
                      <c:pt idx="4786">
                        <c:v>18.806000000000001</c:v>
                      </c:pt>
                      <c:pt idx="4787">
                        <c:v>18.806000000000001</c:v>
                      </c:pt>
                      <c:pt idx="4788">
                        <c:v>18.710999999999999</c:v>
                      </c:pt>
                      <c:pt idx="4789">
                        <c:v>18.806000000000001</c:v>
                      </c:pt>
                      <c:pt idx="4790">
                        <c:v>18.710999999999999</c:v>
                      </c:pt>
                      <c:pt idx="4791">
                        <c:v>18.710999999999999</c:v>
                      </c:pt>
                      <c:pt idx="4792">
                        <c:v>18.710999999999999</c:v>
                      </c:pt>
                      <c:pt idx="4793">
                        <c:v>18.710999999999999</c:v>
                      </c:pt>
                      <c:pt idx="4794">
                        <c:v>18.710999999999999</c:v>
                      </c:pt>
                      <c:pt idx="4795">
                        <c:v>18.710999999999999</c:v>
                      </c:pt>
                      <c:pt idx="4796">
                        <c:v>18.710999999999999</c:v>
                      </c:pt>
                      <c:pt idx="4797">
                        <c:v>18.710999999999999</c:v>
                      </c:pt>
                      <c:pt idx="4798">
                        <c:v>18.806000000000001</c:v>
                      </c:pt>
                      <c:pt idx="4799">
                        <c:v>18.901</c:v>
                      </c:pt>
                      <c:pt idx="4800">
                        <c:v>18.901</c:v>
                      </c:pt>
                      <c:pt idx="4801">
                        <c:v>18.995999999999999</c:v>
                      </c:pt>
                      <c:pt idx="4802">
                        <c:v>18.995999999999999</c:v>
                      </c:pt>
                      <c:pt idx="4803">
                        <c:v>19.091999999999999</c:v>
                      </c:pt>
                      <c:pt idx="4804">
                        <c:v>19.187000000000001</c:v>
                      </c:pt>
                      <c:pt idx="4805">
                        <c:v>19.187000000000001</c:v>
                      </c:pt>
                      <c:pt idx="4806">
                        <c:v>19.282</c:v>
                      </c:pt>
                      <c:pt idx="4807">
                        <c:v>19.282</c:v>
                      </c:pt>
                      <c:pt idx="4808">
                        <c:v>19.472000000000001</c:v>
                      </c:pt>
                      <c:pt idx="4809">
                        <c:v>19.472000000000001</c:v>
                      </c:pt>
                      <c:pt idx="4810">
                        <c:v>19.567</c:v>
                      </c:pt>
                      <c:pt idx="4811">
                        <c:v>19.567</c:v>
                      </c:pt>
                      <c:pt idx="4812">
                        <c:v>19.661999999999999</c:v>
                      </c:pt>
                      <c:pt idx="4813">
                        <c:v>19.757999999999999</c:v>
                      </c:pt>
                      <c:pt idx="4814">
                        <c:v>19.757999999999999</c:v>
                      </c:pt>
                      <c:pt idx="4815">
                        <c:v>19.853000000000002</c:v>
                      </c:pt>
                      <c:pt idx="4816">
                        <c:v>19.948</c:v>
                      </c:pt>
                      <c:pt idx="4817">
                        <c:v>19.948</c:v>
                      </c:pt>
                      <c:pt idx="4818">
                        <c:v>20.042999999999999</c:v>
                      </c:pt>
                      <c:pt idx="4819">
                        <c:v>20.138000000000002</c:v>
                      </c:pt>
                      <c:pt idx="4820">
                        <c:v>20.138000000000002</c:v>
                      </c:pt>
                      <c:pt idx="4821">
                        <c:v>20.329000000000001</c:v>
                      </c:pt>
                      <c:pt idx="4822">
                        <c:v>20.423999999999999</c:v>
                      </c:pt>
                      <c:pt idx="4823">
                        <c:v>20.995999999999999</c:v>
                      </c:pt>
                      <c:pt idx="4824">
                        <c:v>20.901</c:v>
                      </c:pt>
                      <c:pt idx="4825">
                        <c:v>20.805</c:v>
                      </c:pt>
                      <c:pt idx="4826">
                        <c:v>21.091000000000001</c:v>
                      </c:pt>
                      <c:pt idx="4827">
                        <c:v>20.901</c:v>
                      </c:pt>
                      <c:pt idx="4828">
                        <c:v>20.901</c:v>
                      </c:pt>
                      <c:pt idx="4829">
                        <c:v>20.805</c:v>
                      </c:pt>
                      <c:pt idx="4830">
                        <c:v>20.805</c:v>
                      </c:pt>
                      <c:pt idx="4831">
                        <c:v>20.901</c:v>
                      </c:pt>
                      <c:pt idx="4832">
                        <c:v>21.378</c:v>
                      </c:pt>
                      <c:pt idx="4833">
                        <c:v>21.091000000000001</c:v>
                      </c:pt>
                      <c:pt idx="4834">
                        <c:v>20.901</c:v>
                      </c:pt>
                      <c:pt idx="4835">
                        <c:v>21.187000000000001</c:v>
                      </c:pt>
                      <c:pt idx="4836">
                        <c:v>21.091000000000001</c:v>
                      </c:pt>
                      <c:pt idx="4837">
                        <c:v>20.995999999999999</c:v>
                      </c:pt>
                      <c:pt idx="4838">
                        <c:v>20.901</c:v>
                      </c:pt>
                      <c:pt idx="4839">
                        <c:v>20.805</c:v>
                      </c:pt>
                      <c:pt idx="4840">
                        <c:v>20.805</c:v>
                      </c:pt>
                      <c:pt idx="4841">
                        <c:v>20.805</c:v>
                      </c:pt>
                      <c:pt idx="4842">
                        <c:v>20.805</c:v>
                      </c:pt>
                      <c:pt idx="4843">
                        <c:v>20.901</c:v>
                      </c:pt>
                      <c:pt idx="4844">
                        <c:v>20.805</c:v>
                      </c:pt>
                      <c:pt idx="4845">
                        <c:v>20.805</c:v>
                      </c:pt>
                      <c:pt idx="4846">
                        <c:v>20.805</c:v>
                      </c:pt>
                      <c:pt idx="4847">
                        <c:v>20.805</c:v>
                      </c:pt>
                      <c:pt idx="4848">
                        <c:v>20.805</c:v>
                      </c:pt>
                      <c:pt idx="4849">
                        <c:v>20.805</c:v>
                      </c:pt>
                      <c:pt idx="4850">
                        <c:v>20.805</c:v>
                      </c:pt>
                      <c:pt idx="4851">
                        <c:v>20.805</c:v>
                      </c:pt>
                      <c:pt idx="4852">
                        <c:v>20.805</c:v>
                      </c:pt>
                      <c:pt idx="4853">
                        <c:v>20.71</c:v>
                      </c:pt>
                      <c:pt idx="4854">
                        <c:v>20.71</c:v>
                      </c:pt>
                      <c:pt idx="4855">
                        <c:v>20.71</c:v>
                      </c:pt>
                      <c:pt idx="4856">
                        <c:v>20.71</c:v>
                      </c:pt>
                      <c:pt idx="4857">
                        <c:v>20.71</c:v>
                      </c:pt>
                      <c:pt idx="4858">
                        <c:v>20.614999999999998</c:v>
                      </c:pt>
                      <c:pt idx="4859">
                        <c:v>20.614999999999998</c:v>
                      </c:pt>
                      <c:pt idx="4860">
                        <c:v>20.614999999999998</c:v>
                      </c:pt>
                      <c:pt idx="4861">
                        <c:v>20.614999999999998</c:v>
                      </c:pt>
                      <c:pt idx="4862">
                        <c:v>20.518999999999998</c:v>
                      </c:pt>
                      <c:pt idx="4863">
                        <c:v>20.423999999999999</c:v>
                      </c:pt>
                      <c:pt idx="4864">
                        <c:v>20.423999999999999</c:v>
                      </c:pt>
                      <c:pt idx="4865">
                        <c:v>20.423999999999999</c:v>
                      </c:pt>
                      <c:pt idx="4866">
                        <c:v>20.423999999999999</c:v>
                      </c:pt>
                      <c:pt idx="4867">
                        <c:v>20.423999999999999</c:v>
                      </c:pt>
                      <c:pt idx="4868">
                        <c:v>20.329000000000001</c:v>
                      </c:pt>
                      <c:pt idx="4869">
                        <c:v>20.329000000000001</c:v>
                      </c:pt>
                      <c:pt idx="4870">
                        <c:v>20.234000000000002</c:v>
                      </c:pt>
                      <c:pt idx="4871">
                        <c:v>20.234000000000002</c:v>
                      </c:pt>
                      <c:pt idx="4872">
                        <c:v>20.138000000000002</c:v>
                      </c:pt>
                      <c:pt idx="4873">
                        <c:v>20.138000000000002</c:v>
                      </c:pt>
                      <c:pt idx="4874">
                        <c:v>20.138000000000002</c:v>
                      </c:pt>
                      <c:pt idx="4875">
                        <c:v>20.042999999999999</c:v>
                      </c:pt>
                      <c:pt idx="4876">
                        <c:v>20.042999999999999</c:v>
                      </c:pt>
                      <c:pt idx="4877">
                        <c:v>20.042999999999999</c:v>
                      </c:pt>
                      <c:pt idx="4878">
                        <c:v>20.042999999999999</c:v>
                      </c:pt>
                      <c:pt idx="4879">
                        <c:v>19.948</c:v>
                      </c:pt>
                      <c:pt idx="4880">
                        <c:v>19.948</c:v>
                      </c:pt>
                      <c:pt idx="4881">
                        <c:v>19.853000000000002</c:v>
                      </c:pt>
                      <c:pt idx="4882">
                        <c:v>19.853000000000002</c:v>
                      </c:pt>
                      <c:pt idx="4883">
                        <c:v>19.853000000000002</c:v>
                      </c:pt>
                      <c:pt idx="4884">
                        <c:v>19.853000000000002</c:v>
                      </c:pt>
                      <c:pt idx="4885">
                        <c:v>19.853000000000002</c:v>
                      </c:pt>
                      <c:pt idx="4886">
                        <c:v>19.757999999999999</c:v>
                      </c:pt>
                      <c:pt idx="4887">
                        <c:v>19.757999999999999</c:v>
                      </c:pt>
                      <c:pt idx="4888">
                        <c:v>19.757999999999999</c:v>
                      </c:pt>
                      <c:pt idx="4889">
                        <c:v>19.757999999999999</c:v>
                      </c:pt>
                      <c:pt idx="4890">
                        <c:v>19.757999999999999</c:v>
                      </c:pt>
                      <c:pt idx="4891">
                        <c:v>19.661999999999999</c:v>
                      </c:pt>
                      <c:pt idx="4892">
                        <c:v>19.661999999999999</c:v>
                      </c:pt>
                      <c:pt idx="4893">
                        <c:v>19.661999999999999</c:v>
                      </c:pt>
                      <c:pt idx="4894">
                        <c:v>19.661999999999999</c:v>
                      </c:pt>
                      <c:pt idx="4895">
                        <c:v>19.661999999999999</c:v>
                      </c:pt>
                      <c:pt idx="4896">
                        <c:v>19.567</c:v>
                      </c:pt>
                      <c:pt idx="4897">
                        <c:v>19.567</c:v>
                      </c:pt>
                      <c:pt idx="4898">
                        <c:v>19.567</c:v>
                      </c:pt>
                      <c:pt idx="4899">
                        <c:v>19.567</c:v>
                      </c:pt>
                      <c:pt idx="4900">
                        <c:v>19.567</c:v>
                      </c:pt>
                      <c:pt idx="4901">
                        <c:v>19.567</c:v>
                      </c:pt>
                      <c:pt idx="4902">
                        <c:v>19.472000000000001</c:v>
                      </c:pt>
                      <c:pt idx="4903">
                        <c:v>19.472000000000001</c:v>
                      </c:pt>
                      <c:pt idx="4904">
                        <c:v>19.472000000000001</c:v>
                      </c:pt>
                      <c:pt idx="4905">
                        <c:v>19.472000000000001</c:v>
                      </c:pt>
                      <c:pt idx="4906">
                        <c:v>19.472000000000001</c:v>
                      </c:pt>
                      <c:pt idx="4907">
                        <c:v>19.472000000000001</c:v>
                      </c:pt>
                      <c:pt idx="4908">
                        <c:v>19.472000000000001</c:v>
                      </c:pt>
                      <c:pt idx="4909">
                        <c:v>19.376999999999999</c:v>
                      </c:pt>
                      <c:pt idx="4910">
                        <c:v>19.376999999999999</c:v>
                      </c:pt>
                      <c:pt idx="4911">
                        <c:v>19.376999999999999</c:v>
                      </c:pt>
                      <c:pt idx="4912">
                        <c:v>19.376999999999999</c:v>
                      </c:pt>
                      <c:pt idx="4913">
                        <c:v>19.376999999999999</c:v>
                      </c:pt>
                      <c:pt idx="4914">
                        <c:v>19.376999999999999</c:v>
                      </c:pt>
                      <c:pt idx="4915">
                        <c:v>19.376999999999999</c:v>
                      </c:pt>
                      <c:pt idx="4916">
                        <c:v>19.376999999999999</c:v>
                      </c:pt>
                      <c:pt idx="4917">
                        <c:v>19.376999999999999</c:v>
                      </c:pt>
                      <c:pt idx="4918">
                        <c:v>19.282</c:v>
                      </c:pt>
                      <c:pt idx="4919">
                        <c:v>19.282</c:v>
                      </c:pt>
                      <c:pt idx="4920">
                        <c:v>19.187000000000001</c:v>
                      </c:pt>
                      <c:pt idx="4921">
                        <c:v>19.187000000000001</c:v>
                      </c:pt>
                      <c:pt idx="4922">
                        <c:v>19.187000000000001</c:v>
                      </c:pt>
                      <c:pt idx="4923">
                        <c:v>19.187000000000001</c:v>
                      </c:pt>
                      <c:pt idx="4924">
                        <c:v>19.187000000000001</c:v>
                      </c:pt>
                      <c:pt idx="4925">
                        <c:v>19.187000000000001</c:v>
                      </c:pt>
                      <c:pt idx="4926">
                        <c:v>19.187000000000001</c:v>
                      </c:pt>
                      <c:pt idx="4927">
                        <c:v>19.187000000000001</c:v>
                      </c:pt>
                      <c:pt idx="4928">
                        <c:v>19.091999999999999</c:v>
                      </c:pt>
                      <c:pt idx="4929">
                        <c:v>19.091999999999999</c:v>
                      </c:pt>
                      <c:pt idx="4930">
                        <c:v>19.091999999999999</c:v>
                      </c:pt>
                      <c:pt idx="4931">
                        <c:v>19.091999999999999</c:v>
                      </c:pt>
                      <c:pt idx="4932">
                        <c:v>19.091999999999999</c:v>
                      </c:pt>
                      <c:pt idx="4933">
                        <c:v>19.091999999999999</c:v>
                      </c:pt>
                      <c:pt idx="4934">
                        <c:v>19.091999999999999</c:v>
                      </c:pt>
                      <c:pt idx="4935">
                        <c:v>19.091999999999999</c:v>
                      </c:pt>
                      <c:pt idx="4936">
                        <c:v>18.995999999999999</c:v>
                      </c:pt>
                      <c:pt idx="4937">
                        <c:v>18.995999999999999</c:v>
                      </c:pt>
                      <c:pt idx="4938">
                        <c:v>18.995999999999999</c:v>
                      </c:pt>
                      <c:pt idx="4939">
                        <c:v>18.995999999999999</c:v>
                      </c:pt>
                      <c:pt idx="4940">
                        <c:v>18.995999999999999</c:v>
                      </c:pt>
                      <c:pt idx="4941">
                        <c:v>18.995999999999999</c:v>
                      </c:pt>
                      <c:pt idx="4942">
                        <c:v>18.995999999999999</c:v>
                      </c:pt>
                      <c:pt idx="4943">
                        <c:v>18.995999999999999</c:v>
                      </c:pt>
                      <c:pt idx="4944">
                        <c:v>18.995999999999999</c:v>
                      </c:pt>
                      <c:pt idx="4945">
                        <c:v>19.091999999999999</c:v>
                      </c:pt>
                      <c:pt idx="4946">
                        <c:v>19.091999999999999</c:v>
                      </c:pt>
                      <c:pt idx="4947">
                        <c:v>19.091999999999999</c:v>
                      </c:pt>
                      <c:pt idx="4948">
                        <c:v>19.187000000000001</c:v>
                      </c:pt>
                      <c:pt idx="4949">
                        <c:v>19.282</c:v>
                      </c:pt>
                      <c:pt idx="4950">
                        <c:v>19.282</c:v>
                      </c:pt>
                      <c:pt idx="4951">
                        <c:v>19.376999999999999</c:v>
                      </c:pt>
                      <c:pt idx="4952">
                        <c:v>19.376999999999999</c:v>
                      </c:pt>
                      <c:pt idx="4953">
                        <c:v>19.472000000000001</c:v>
                      </c:pt>
                      <c:pt idx="4954">
                        <c:v>19.567</c:v>
                      </c:pt>
                      <c:pt idx="4955">
                        <c:v>19.567</c:v>
                      </c:pt>
                      <c:pt idx="4956">
                        <c:v>19.661999999999999</c:v>
                      </c:pt>
                      <c:pt idx="4957">
                        <c:v>19.757999999999999</c:v>
                      </c:pt>
                      <c:pt idx="4958">
                        <c:v>19.853000000000002</c:v>
                      </c:pt>
                      <c:pt idx="4959">
                        <c:v>19.853000000000002</c:v>
                      </c:pt>
                      <c:pt idx="4960">
                        <c:v>19.948</c:v>
                      </c:pt>
                      <c:pt idx="4961">
                        <c:v>20.042999999999999</c:v>
                      </c:pt>
                      <c:pt idx="4962">
                        <c:v>20.042999999999999</c:v>
                      </c:pt>
                      <c:pt idx="4963">
                        <c:v>20.138000000000002</c:v>
                      </c:pt>
                      <c:pt idx="4964">
                        <c:v>20.234000000000002</c:v>
                      </c:pt>
                      <c:pt idx="4965">
                        <c:v>20.423999999999999</c:v>
                      </c:pt>
                      <c:pt idx="4966">
                        <c:v>20.518999999999998</c:v>
                      </c:pt>
                      <c:pt idx="4967">
                        <c:v>21.378</c:v>
                      </c:pt>
                      <c:pt idx="4968">
                        <c:v>20.901</c:v>
                      </c:pt>
                      <c:pt idx="4969">
                        <c:v>20.805</c:v>
                      </c:pt>
                      <c:pt idx="4970">
                        <c:v>21.091000000000001</c:v>
                      </c:pt>
                      <c:pt idx="4971">
                        <c:v>20.901</c:v>
                      </c:pt>
                      <c:pt idx="4972">
                        <c:v>20.901</c:v>
                      </c:pt>
                      <c:pt idx="4973">
                        <c:v>20.901</c:v>
                      </c:pt>
                      <c:pt idx="4974">
                        <c:v>20.901</c:v>
                      </c:pt>
                      <c:pt idx="4975">
                        <c:v>20.995999999999999</c:v>
                      </c:pt>
                      <c:pt idx="4976">
                        <c:v>21.951000000000001</c:v>
                      </c:pt>
                      <c:pt idx="4977">
                        <c:v>21.76</c:v>
                      </c:pt>
                      <c:pt idx="4978">
                        <c:v>21.855</c:v>
                      </c:pt>
                      <c:pt idx="4979">
                        <c:v>21.855</c:v>
                      </c:pt>
                      <c:pt idx="4980">
                        <c:v>21.472999999999999</c:v>
                      </c:pt>
                      <c:pt idx="4981">
                        <c:v>21.378</c:v>
                      </c:pt>
                      <c:pt idx="4982">
                        <c:v>21.568999999999999</c:v>
                      </c:pt>
                      <c:pt idx="4983">
                        <c:v>21.282</c:v>
                      </c:pt>
                      <c:pt idx="4984">
                        <c:v>21.187000000000001</c:v>
                      </c:pt>
                      <c:pt idx="4985">
                        <c:v>21.187000000000001</c:v>
                      </c:pt>
                      <c:pt idx="4986">
                        <c:v>21.187000000000001</c:v>
                      </c:pt>
                      <c:pt idx="4987">
                        <c:v>21.187000000000001</c:v>
                      </c:pt>
                      <c:pt idx="4988">
                        <c:v>21.091000000000001</c:v>
                      </c:pt>
                      <c:pt idx="4989">
                        <c:v>21.091000000000001</c:v>
                      </c:pt>
                      <c:pt idx="4990">
                        <c:v>21.091000000000001</c:v>
                      </c:pt>
                      <c:pt idx="4991">
                        <c:v>20.995999999999999</c:v>
                      </c:pt>
                      <c:pt idx="4992">
                        <c:v>20.995999999999999</c:v>
                      </c:pt>
                      <c:pt idx="4993">
                        <c:v>20.995999999999999</c:v>
                      </c:pt>
                      <c:pt idx="4994">
                        <c:v>20.995999999999999</c:v>
                      </c:pt>
                      <c:pt idx="4995">
                        <c:v>20.901</c:v>
                      </c:pt>
                      <c:pt idx="4996">
                        <c:v>20.901</c:v>
                      </c:pt>
                      <c:pt idx="4997">
                        <c:v>20.901</c:v>
                      </c:pt>
                      <c:pt idx="4998">
                        <c:v>20.901</c:v>
                      </c:pt>
                      <c:pt idx="4999">
                        <c:v>20.901</c:v>
                      </c:pt>
                      <c:pt idx="5000">
                        <c:v>20.901</c:v>
                      </c:pt>
                      <c:pt idx="5001">
                        <c:v>20.805</c:v>
                      </c:pt>
                      <c:pt idx="5002">
                        <c:v>20.805</c:v>
                      </c:pt>
                      <c:pt idx="5003">
                        <c:v>20.71</c:v>
                      </c:pt>
                      <c:pt idx="5004">
                        <c:v>20.71</c:v>
                      </c:pt>
                      <c:pt idx="5005">
                        <c:v>20.71</c:v>
                      </c:pt>
                      <c:pt idx="5006">
                        <c:v>20.71</c:v>
                      </c:pt>
                      <c:pt idx="5007">
                        <c:v>20.614999999999998</c:v>
                      </c:pt>
                      <c:pt idx="5008">
                        <c:v>20.614999999999998</c:v>
                      </c:pt>
                      <c:pt idx="5009">
                        <c:v>20.518999999999998</c:v>
                      </c:pt>
                      <c:pt idx="5010">
                        <c:v>20.614999999999998</c:v>
                      </c:pt>
                      <c:pt idx="5011">
                        <c:v>20.614999999999998</c:v>
                      </c:pt>
                      <c:pt idx="5012">
                        <c:v>20.614999999999998</c:v>
                      </c:pt>
                      <c:pt idx="5013">
                        <c:v>20.614999999999998</c:v>
                      </c:pt>
                      <c:pt idx="5014">
                        <c:v>20.614999999999998</c:v>
                      </c:pt>
                      <c:pt idx="5015">
                        <c:v>20.518999999999998</c:v>
                      </c:pt>
                      <c:pt idx="5016">
                        <c:v>20.518999999999998</c:v>
                      </c:pt>
                      <c:pt idx="5017">
                        <c:v>20.423999999999999</c:v>
                      </c:pt>
                      <c:pt idx="5018">
                        <c:v>20.423999999999999</c:v>
                      </c:pt>
                      <c:pt idx="5019">
                        <c:v>20.329000000000001</c:v>
                      </c:pt>
                      <c:pt idx="5020">
                        <c:v>20.329000000000001</c:v>
                      </c:pt>
                      <c:pt idx="5021">
                        <c:v>20.329000000000001</c:v>
                      </c:pt>
                      <c:pt idx="5022">
                        <c:v>20.329000000000001</c:v>
                      </c:pt>
                      <c:pt idx="5023">
                        <c:v>20.329000000000001</c:v>
                      </c:pt>
                      <c:pt idx="5024">
                        <c:v>20.329000000000001</c:v>
                      </c:pt>
                      <c:pt idx="5025">
                        <c:v>20.234000000000002</c:v>
                      </c:pt>
                      <c:pt idx="5026">
                        <c:v>20.234000000000002</c:v>
                      </c:pt>
                      <c:pt idx="5027">
                        <c:v>20.234000000000002</c:v>
                      </c:pt>
                      <c:pt idx="5028">
                        <c:v>20.138000000000002</c:v>
                      </c:pt>
                      <c:pt idx="5029">
                        <c:v>20.138000000000002</c:v>
                      </c:pt>
                      <c:pt idx="5030">
                        <c:v>20.042999999999999</c:v>
                      </c:pt>
                      <c:pt idx="5031">
                        <c:v>20.042999999999999</c:v>
                      </c:pt>
                      <c:pt idx="5032">
                        <c:v>20.042999999999999</c:v>
                      </c:pt>
                      <c:pt idx="5033">
                        <c:v>20.042999999999999</c:v>
                      </c:pt>
                      <c:pt idx="5034">
                        <c:v>19.948</c:v>
                      </c:pt>
                      <c:pt idx="5035">
                        <c:v>19.948</c:v>
                      </c:pt>
                      <c:pt idx="5036">
                        <c:v>19.948</c:v>
                      </c:pt>
                      <c:pt idx="5037">
                        <c:v>19.948</c:v>
                      </c:pt>
                      <c:pt idx="5038">
                        <c:v>19.853000000000002</c:v>
                      </c:pt>
                      <c:pt idx="5039">
                        <c:v>19.853000000000002</c:v>
                      </c:pt>
                      <c:pt idx="5040">
                        <c:v>19.853000000000002</c:v>
                      </c:pt>
                      <c:pt idx="5041">
                        <c:v>19.853000000000002</c:v>
                      </c:pt>
                      <c:pt idx="5042">
                        <c:v>19.757999999999999</c:v>
                      </c:pt>
                      <c:pt idx="5043">
                        <c:v>19.757999999999999</c:v>
                      </c:pt>
                      <c:pt idx="5044">
                        <c:v>19.757999999999999</c:v>
                      </c:pt>
                      <c:pt idx="5045">
                        <c:v>19.757999999999999</c:v>
                      </c:pt>
                      <c:pt idx="5046">
                        <c:v>19.757999999999999</c:v>
                      </c:pt>
                      <c:pt idx="5047">
                        <c:v>19.757999999999999</c:v>
                      </c:pt>
                      <c:pt idx="5048">
                        <c:v>19.757999999999999</c:v>
                      </c:pt>
                      <c:pt idx="5049">
                        <c:v>19.661999999999999</c:v>
                      </c:pt>
                      <c:pt idx="5050">
                        <c:v>19.661999999999999</c:v>
                      </c:pt>
                      <c:pt idx="5051">
                        <c:v>19.757999999999999</c:v>
                      </c:pt>
                      <c:pt idx="5052">
                        <c:v>19.661999999999999</c:v>
                      </c:pt>
                      <c:pt idx="5053">
                        <c:v>19.661999999999999</c:v>
                      </c:pt>
                      <c:pt idx="5054">
                        <c:v>19.661999999999999</c:v>
                      </c:pt>
                      <c:pt idx="5055">
                        <c:v>19.567</c:v>
                      </c:pt>
                      <c:pt idx="5056">
                        <c:v>19.567</c:v>
                      </c:pt>
                      <c:pt idx="5057">
                        <c:v>19.567</c:v>
                      </c:pt>
                      <c:pt idx="5058">
                        <c:v>19.472000000000001</c:v>
                      </c:pt>
                      <c:pt idx="5059">
                        <c:v>19.472000000000001</c:v>
                      </c:pt>
                      <c:pt idx="5060">
                        <c:v>19.472000000000001</c:v>
                      </c:pt>
                      <c:pt idx="5061">
                        <c:v>19.472000000000001</c:v>
                      </c:pt>
                      <c:pt idx="5062">
                        <c:v>19.472000000000001</c:v>
                      </c:pt>
                      <c:pt idx="5063">
                        <c:v>19.376999999999999</c:v>
                      </c:pt>
                      <c:pt idx="5064">
                        <c:v>19.472000000000001</c:v>
                      </c:pt>
                      <c:pt idx="5065">
                        <c:v>19.472000000000001</c:v>
                      </c:pt>
                      <c:pt idx="5066">
                        <c:v>19.376999999999999</c:v>
                      </c:pt>
                      <c:pt idx="5067">
                        <c:v>19.376999999999999</c:v>
                      </c:pt>
                      <c:pt idx="5068">
                        <c:v>19.376999999999999</c:v>
                      </c:pt>
                      <c:pt idx="5069">
                        <c:v>19.376999999999999</c:v>
                      </c:pt>
                      <c:pt idx="5070">
                        <c:v>19.376999999999999</c:v>
                      </c:pt>
                      <c:pt idx="5071">
                        <c:v>19.376999999999999</c:v>
                      </c:pt>
                      <c:pt idx="5072">
                        <c:v>19.282</c:v>
                      </c:pt>
                      <c:pt idx="5073">
                        <c:v>19.282</c:v>
                      </c:pt>
                      <c:pt idx="5074">
                        <c:v>19.282</c:v>
                      </c:pt>
                      <c:pt idx="5075">
                        <c:v>19.282</c:v>
                      </c:pt>
                      <c:pt idx="5076">
                        <c:v>19.282</c:v>
                      </c:pt>
                      <c:pt idx="5077">
                        <c:v>19.282</c:v>
                      </c:pt>
                      <c:pt idx="5078">
                        <c:v>19.187000000000001</c:v>
                      </c:pt>
                      <c:pt idx="5079">
                        <c:v>19.187000000000001</c:v>
                      </c:pt>
                      <c:pt idx="5080">
                        <c:v>19.187000000000001</c:v>
                      </c:pt>
                      <c:pt idx="5081">
                        <c:v>19.282</c:v>
                      </c:pt>
                      <c:pt idx="5082">
                        <c:v>19.187000000000001</c:v>
                      </c:pt>
                      <c:pt idx="5083">
                        <c:v>19.187000000000001</c:v>
                      </c:pt>
                      <c:pt idx="5084">
                        <c:v>19.187000000000001</c:v>
                      </c:pt>
                      <c:pt idx="5085">
                        <c:v>19.282</c:v>
                      </c:pt>
                      <c:pt idx="5086">
                        <c:v>19.282</c:v>
                      </c:pt>
                      <c:pt idx="5087">
                        <c:v>19.282</c:v>
                      </c:pt>
                      <c:pt idx="5088">
                        <c:v>19.282</c:v>
                      </c:pt>
                      <c:pt idx="5089">
                        <c:v>19.376999999999999</c:v>
                      </c:pt>
                      <c:pt idx="5090">
                        <c:v>19.376999999999999</c:v>
                      </c:pt>
                      <c:pt idx="5091">
                        <c:v>19.376999999999999</c:v>
                      </c:pt>
                      <c:pt idx="5092">
                        <c:v>19.472000000000001</c:v>
                      </c:pt>
                      <c:pt idx="5093">
                        <c:v>19.472000000000001</c:v>
                      </c:pt>
                      <c:pt idx="5094">
                        <c:v>19.567</c:v>
                      </c:pt>
                      <c:pt idx="5095">
                        <c:v>19.567</c:v>
                      </c:pt>
                      <c:pt idx="5096">
                        <c:v>19.661999999999999</c:v>
                      </c:pt>
                      <c:pt idx="5097">
                        <c:v>19.661999999999999</c:v>
                      </c:pt>
                      <c:pt idx="5098">
                        <c:v>19.757999999999999</c:v>
                      </c:pt>
                      <c:pt idx="5099">
                        <c:v>19.757999999999999</c:v>
                      </c:pt>
                      <c:pt idx="5100">
                        <c:v>19.853000000000002</c:v>
                      </c:pt>
                      <c:pt idx="5101">
                        <c:v>19.948</c:v>
                      </c:pt>
                      <c:pt idx="5102">
                        <c:v>19.948</c:v>
                      </c:pt>
                      <c:pt idx="5103">
                        <c:v>19.948</c:v>
                      </c:pt>
                      <c:pt idx="5104">
                        <c:v>19.948</c:v>
                      </c:pt>
                      <c:pt idx="5105">
                        <c:v>20.042999999999999</c:v>
                      </c:pt>
                      <c:pt idx="5106">
                        <c:v>20.138000000000002</c:v>
                      </c:pt>
                      <c:pt idx="5107">
                        <c:v>20.138000000000002</c:v>
                      </c:pt>
                      <c:pt idx="5108">
                        <c:v>20.138000000000002</c:v>
                      </c:pt>
                      <c:pt idx="5109">
                        <c:v>20.234000000000002</c:v>
                      </c:pt>
                      <c:pt idx="5110">
                        <c:v>20.329000000000001</c:v>
                      </c:pt>
                      <c:pt idx="5111">
                        <c:v>21.091000000000001</c:v>
                      </c:pt>
                      <c:pt idx="5112">
                        <c:v>20.614999999999998</c:v>
                      </c:pt>
                      <c:pt idx="5113">
                        <c:v>20.518999999999998</c:v>
                      </c:pt>
                      <c:pt idx="5114">
                        <c:v>20.71</c:v>
                      </c:pt>
                      <c:pt idx="5115">
                        <c:v>20.614999999999998</c:v>
                      </c:pt>
                      <c:pt idx="5116">
                        <c:v>20.614999999999998</c:v>
                      </c:pt>
                      <c:pt idx="5117">
                        <c:v>20.614999999999998</c:v>
                      </c:pt>
                      <c:pt idx="5118">
                        <c:v>20.614999999999998</c:v>
                      </c:pt>
                      <c:pt idx="5119">
                        <c:v>20.71</c:v>
                      </c:pt>
                      <c:pt idx="5120">
                        <c:v>21.472999999999999</c:v>
                      </c:pt>
                      <c:pt idx="5121">
                        <c:v>21.568999999999999</c:v>
                      </c:pt>
                      <c:pt idx="5122">
                        <c:v>21.664000000000001</c:v>
                      </c:pt>
                      <c:pt idx="5123">
                        <c:v>21.378</c:v>
                      </c:pt>
                      <c:pt idx="5124">
                        <c:v>21.091000000000001</c:v>
                      </c:pt>
                      <c:pt idx="5125">
                        <c:v>20.995999999999999</c:v>
                      </c:pt>
                      <c:pt idx="5126">
                        <c:v>21.091000000000001</c:v>
                      </c:pt>
                      <c:pt idx="5127">
                        <c:v>20.995999999999999</c:v>
                      </c:pt>
                      <c:pt idx="5128">
                        <c:v>20.805</c:v>
                      </c:pt>
                      <c:pt idx="5129">
                        <c:v>20.805</c:v>
                      </c:pt>
                      <c:pt idx="5130">
                        <c:v>20.71</c:v>
                      </c:pt>
                      <c:pt idx="5131">
                        <c:v>20.614999999999998</c:v>
                      </c:pt>
                      <c:pt idx="5132">
                        <c:v>20.518999999999998</c:v>
                      </c:pt>
                      <c:pt idx="5133">
                        <c:v>20.423999999999999</c:v>
                      </c:pt>
                      <c:pt idx="5134">
                        <c:v>20.423999999999999</c:v>
                      </c:pt>
                      <c:pt idx="5135">
                        <c:v>20.329000000000001</c:v>
                      </c:pt>
                      <c:pt idx="5136">
                        <c:v>20.234000000000002</c:v>
                      </c:pt>
                      <c:pt idx="5137">
                        <c:v>20.234000000000002</c:v>
                      </c:pt>
                      <c:pt idx="5138">
                        <c:v>20.138000000000002</c:v>
                      </c:pt>
                      <c:pt idx="5139">
                        <c:v>20.042999999999999</c:v>
                      </c:pt>
                      <c:pt idx="5140">
                        <c:v>19.948</c:v>
                      </c:pt>
                      <c:pt idx="5141">
                        <c:v>19.948</c:v>
                      </c:pt>
                      <c:pt idx="5142">
                        <c:v>19.948</c:v>
                      </c:pt>
                      <c:pt idx="5143">
                        <c:v>19.948</c:v>
                      </c:pt>
                      <c:pt idx="5144">
                        <c:v>19.948</c:v>
                      </c:pt>
                      <c:pt idx="5145">
                        <c:v>19.853000000000002</c:v>
                      </c:pt>
                      <c:pt idx="5146">
                        <c:v>19.853000000000002</c:v>
                      </c:pt>
                      <c:pt idx="5147">
                        <c:v>19.757999999999999</c:v>
                      </c:pt>
                      <c:pt idx="5148">
                        <c:v>19.661999999999999</c:v>
                      </c:pt>
                      <c:pt idx="5149">
                        <c:v>19.661999999999999</c:v>
                      </c:pt>
                      <c:pt idx="5150">
                        <c:v>19.661999999999999</c:v>
                      </c:pt>
                      <c:pt idx="5151">
                        <c:v>19.661999999999999</c:v>
                      </c:pt>
                      <c:pt idx="5152">
                        <c:v>19.661999999999999</c:v>
                      </c:pt>
                      <c:pt idx="5153">
                        <c:v>19.661999999999999</c:v>
                      </c:pt>
                      <c:pt idx="5154">
                        <c:v>19.567</c:v>
                      </c:pt>
                      <c:pt idx="5155">
                        <c:v>19.567</c:v>
                      </c:pt>
                      <c:pt idx="5156">
                        <c:v>19.567</c:v>
                      </c:pt>
                      <c:pt idx="5157">
                        <c:v>19.567</c:v>
                      </c:pt>
                      <c:pt idx="5158">
                        <c:v>19.472000000000001</c:v>
                      </c:pt>
                      <c:pt idx="5159">
                        <c:v>19.472000000000001</c:v>
                      </c:pt>
                      <c:pt idx="5160">
                        <c:v>19.472000000000001</c:v>
                      </c:pt>
                      <c:pt idx="5161">
                        <c:v>19.472000000000001</c:v>
                      </c:pt>
                      <c:pt idx="5162">
                        <c:v>19.472000000000001</c:v>
                      </c:pt>
                      <c:pt idx="5163">
                        <c:v>19.472000000000001</c:v>
                      </c:pt>
                      <c:pt idx="5164">
                        <c:v>19.472000000000001</c:v>
                      </c:pt>
                      <c:pt idx="5165">
                        <c:v>19.472000000000001</c:v>
                      </c:pt>
                      <c:pt idx="5166">
                        <c:v>19.376999999999999</c:v>
                      </c:pt>
                      <c:pt idx="5167">
                        <c:v>19.376999999999999</c:v>
                      </c:pt>
                      <c:pt idx="5168">
                        <c:v>19.376999999999999</c:v>
                      </c:pt>
                      <c:pt idx="5169">
                        <c:v>19.376999999999999</c:v>
                      </c:pt>
                      <c:pt idx="5170">
                        <c:v>19.376999999999999</c:v>
                      </c:pt>
                      <c:pt idx="5171">
                        <c:v>19.376999999999999</c:v>
                      </c:pt>
                      <c:pt idx="5172">
                        <c:v>19.376999999999999</c:v>
                      </c:pt>
                      <c:pt idx="5173">
                        <c:v>19.282</c:v>
                      </c:pt>
                      <c:pt idx="5174">
                        <c:v>19.282</c:v>
                      </c:pt>
                      <c:pt idx="5175">
                        <c:v>19.282</c:v>
                      </c:pt>
                      <c:pt idx="5176">
                        <c:v>19.282</c:v>
                      </c:pt>
                      <c:pt idx="5177">
                        <c:v>19.376999999999999</c:v>
                      </c:pt>
                      <c:pt idx="5178">
                        <c:v>19.376999999999999</c:v>
                      </c:pt>
                      <c:pt idx="5179">
                        <c:v>19.376999999999999</c:v>
                      </c:pt>
                      <c:pt idx="5180">
                        <c:v>19.376999999999999</c:v>
                      </c:pt>
                      <c:pt idx="5181">
                        <c:v>19.376999999999999</c:v>
                      </c:pt>
                      <c:pt idx="5182">
                        <c:v>19.376999999999999</c:v>
                      </c:pt>
                      <c:pt idx="5183">
                        <c:v>19.376999999999999</c:v>
                      </c:pt>
                      <c:pt idx="5184">
                        <c:v>19.376999999999999</c:v>
                      </c:pt>
                      <c:pt idx="5185">
                        <c:v>19.282</c:v>
                      </c:pt>
                      <c:pt idx="5186">
                        <c:v>19.187000000000001</c:v>
                      </c:pt>
                      <c:pt idx="5187">
                        <c:v>19.187000000000001</c:v>
                      </c:pt>
                      <c:pt idx="5188">
                        <c:v>19.187000000000001</c:v>
                      </c:pt>
                      <c:pt idx="5189">
                        <c:v>19.091999999999999</c:v>
                      </c:pt>
                      <c:pt idx="5190">
                        <c:v>19.187000000000001</c:v>
                      </c:pt>
                      <c:pt idx="5191">
                        <c:v>19.187000000000001</c:v>
                      </c:pt>
                      <c:pt idx="5192">
                        <c:v>19.091999999999999</c:v>
                      </c:pt>
                      <c:pt idx="5193">
                        <c:v>19.091999999999999</c:v>
                      </c:pt>
                      <c:pt idx="5194">
                        <c:v>19.091999999999999</c:v>
                      </c:pt>
                      <c:pt idx="5195">
                        <c:v>18.995999999999999</c:v>
                      </c:pt>
                      <c:pt idx="5196">
                        <c:v>19.091999999999999</c:v>
                      </c:pt>
                      <c:pt idx="5197">
                        <c:v>19.091999999999999</c:v>
                      </c:pt>
                      <c:pt idx="5198">
                        <c:v>19.091999999999999</c:v>
                      </c:pt>
                      <c:pt idx="5199">
                        <c:v>19.091999999999999</c:v>
                      </c:pt>
                      <c:pt idx="5200">
                        <c:v>19.091999999999999</c:v>
                      </c:pt>
                      <c:pt idx="5201">
                        <c:v>18.995999999999999</c:v>
                      </c:pt>
                      <c:pt idx="5202">
                        <c:v>18.995999999999999</c:v>
                      </c:pt>
                      <c:pt idx="5203">
                        <c:v>18.995999999999999</c:v>
                      </c:pt>
                      <c:pt idx="5204">
                        <c:v>18.901</c:v>
                      </c:pt>
                      <c:pt idx="5205">
                        <c:v>18.901</c:v>
                      </c:pt>
                      <c:pt idx="5206">
                        <c:v>18.806000000000001</c:v>
                      </c:pt>
                      <c:pt idx="5207">
                        <c:v>18.806000000000001</c:v>
                      </c:pt>
                      <c:pt idx="5208">
                        <c:v>18.901</c:v>
                      </c:pt>
                      <c:pt idx="5209">
                        <c:v>18.806000000000001</c:v>
                      </c:pt>
                      <c:pt idx="5210">
                        <c:v>18.806000000000001</c:v>
                      </c:pt>
                      <c:pt idx="5211">
                        <c:v>18.806000000000001</c:v>
                      </c:pt>
                      <c:pt idx="5212">
                        <c:v>18.806000000000001</c:v>
                      </c:pt>
                      <c:pt idx="5213">
                        <c:v>18.806000000000001</c:v>
                      </c:pt>
                      <c:pt idx="5214">
                        <c:v>18.710999999999999</c:v>
                      </c:pt>
                      <c:pt idx="5215">
                        <c:v>18.710999999999999</c:v>
                      </c:pt>
                      <c:pt idx="5216">
                        <c:v>18.710999999999999</c:v>
                      </c:pt>
                      <c:pt idx="5217">
                        <c:v>18.710999999999999</c:v>
                      </c:pt>
                      <c:pt idx="5218">
                        <c:v>18.710999999999999</c:v>
                      </c:pt>
                      <c:pt idx="5219">
                        <c:v>18.616</c:v>
                      </c:pt>
                      <c:pt idx="5220">
                        <c:v>18.616</c:v>
                      </c:pt>
                      <c:pt idx="5221">
                        <c:v>18.616</c:v>
                      </c:pt>
                      <c:pt idx="5222">
                        <c:v>18.521000000000001</c:v>
                      </c:pt>
                      <c:pt idx="5223">
                        <c:v>18.521000000000001</c:v>
                      </c:pt>
                      <c:pt idx="5224">
                        <c:v>18.521000000000001</c:v>
                      </c:pt>
                      <c:pt idx="5225">
                        <c:v>18.521000000000001</c:v>
                      </c:pt>
                      <c:pt idx="5226">
                        <c:v>18.521000000000001</c:v>
                      </c:pt>
                      <c:pt idx="5227">
                        <c:v>18.521000000000001</c:v>
                      </c:pt>
                      <c:pt idx="5228">
                        <c:v>18.521000000000001</c:v>
                      </c:pt>
                      <c:pt idx="5229">
                        <c:v>18.521000000000001</c:v>
                      </c:pt>
                      <c:pt idx="5230">
                        <c:v>18.616</c:v>
                      </c:pt>
                      <c:pt idx="5231">
                        <c:v>18.521000000000001</c:v>
                      </c:pt>
                      <c:pt idx="5232">
                        <c:v>18.616</c:v>
                      </c:pt>
                      <c:pt idx="5233">
                        <c:v>18.616</c:v>
                      </c:pt>
                      <c:pt idx="5234">
                        <c:v>18.710999999999999</c:v>
                      </c:pt>
                      <c:pt idx="5235">
                        <c:v>18.710999999999999</c:v>
                      </c:pt>
                      <c:pt idx="5236">
                        <c:v>18.806000000000001</c:v>
                      </c:pt>
                      <c:pt idx="5237">
                        <c:v>18.806000000000001</c:v>
                      </c:pt>
                      <c:pt idx="5238">
                        <c:v>18.901</c:v>
                      </c:pt>
                      <c:pt idx="5239">
                        <c:v>18.995999999999999</c:v>
                      </c:pt>
                      <c:pt idx="5240">
                        <c:v>19.091999999999999</c:v>
                      </c:pt>
                      <c:pt idx="5241">
                        <c:v>19.091999999999999</c:v>
                      </c:pt>
                      <c:pt idx="5242">
                        <c:v>19.091999999999999</c:v>
                      </c:pt>
                      <c:pt idx="5243">
                        <c:v>19.187000000000001</c:v>
                      </c:pt>
                      <c:pt idx="5244">
                        <c:v>19.282</c:v>
                      </c:pt>
                      <c:pt idx="5245">
                        <c:v>19.472000000000001</c:v>
                      </c:pt>
                      <c:pt idx="5246">
                        <c:v>19.567</c:v>
                      </c:pt>
                      <c:pt idx="5247">
                        <c:v>19.472000000000001</c:v>
                      </c:pt>
                      <c:pt idx="5248">
                        <c:v>19.567</c:v>
                      </c:pt>
                      <c:pt idx="5249">
                        <c:v>19.567</c:v>
                      </c:pt>
                      <c:pt idx="5250">
                        <c:v>19.661999999999999</c:v>
                      </c:pt>
                      <c:pt idx="5251">
                        <c:v>19.661999999999999</c:v>
                      </c:pt>
                      <c:pt idx="5252">
                        <c:v>19.661999999999999</c:v>
                      </c:pt>
                      <c:pt idx="5253">
                        <c:v>19.853000000000002</c:v>
                      </c:pt>
                      <c:pt idx="5254">
                        <c:v>20.042999999999999</c:v>
                      </c:pt>
                      <c:pt idx="5255">
                        <c:v>20.71</c:v>
                      </c:pt>
                      <c:pt idx="5256">
                        <c:v>20.234000000000002</c:v>
                      </c:pt>
                      <c:pt idx="5257">
                        <c:v>20.042999999999999</c:v>
                      </c:pt>
                      <c:pt idx="5258">
                        <c:v>20.234000000000002</c:v>
                      </c:pt>
                      <c:pt idx="5259">
                        <c:v>20.234000000000002</c:v>
                      </c:pt>
                      <c:pt idx="5260">
                        <c:v>20.234000000000002</c:v>
                      </c:pt>
                      <c:pt idx="5261">
                        <c:v>20.138000000000002</c:v>
                      </c:pt>
                      <c:pt idx="5262">
                        <c:v>20.234000000000002</c:v>
                      </c:pt>
                      <c:pt idx="5263">
                        <c:v>20.329000000000001</c:v>
                      </c:pt>
                      <c:pt idx="5264">
                        <c:v>21.187000000000001</c:v>
                      </c:pt>
                      <c:pt idx="5265">
                        <c:v>21.187000000000001</c:v>
                      </c:pt>
                      <c:pt idx="5266">
                        <c:v>21.091000000000001</c:v>
                      </c:pt>
                      <c:pt idx="5267">
                        <c:v>21.187000000000001</c:v>
                      </c:pt>
                      <c:pt idx="5268">
                        <c:v>20.805</c:v>
                      </c:pt>
                      <c:pt idx="5269">
                        <c:v>20.805</c:v>
                      </c:pt>
                      <c:pt idx="5270">
                        <c:v>20.901</c:v>
                      </c:pt>
                      <c:pt idx="5271">
                        <c:v>20.901</c:v>
                      </c:pt>
                      <c:pt idx="5272">
                        <c:v>20.614999999999998</c:v>
                      </c:pt>
                      <c:pt idx="5273">
                        <c:v>20.614999999999998</c:v>
                      </c:pt>
                      <c:pt idx="5274">
                        <c:v>20.518999999999998</c:v>
                      </c:pt>
                      <c:pt idx="5275">
                        <c:v>20.518999999999998</c:v>
                      </c:pt>
                      <c:pt idx="5276">
                        <c:v>20.423999999999999</c:v>
                      </c:pt>
                      <c:pt idx="5277">
                        <c:v>20.423999999999999</c:v>
                      </c:pt>
                      <c:pt idx="5278">
                        <c:v>20.329000000000001</c:v>
                      </c:pt>
                      <c:pt idx="5279">
                        <c:v>20.329000000000001</c:v>
                      </c:pt>
                      <c:pt idx="5280">
                        <c:v>20.234000000000002</c:v>
                      </c:pt>
                      <c:pt idx="5281">
                        <c:v>20.234000000000002</c:v>
                      </c:pt>
                      <c:pt idx="5282">
                        <c:v>20.234000000000002</c:v>
                      </c:pt>
                      <c:pt idx="5283">
                        <c:v>20.138000000000002</c:v>
                      </c:pt>
                      <c:pt idx="5284">
                        <c:v>20.138000000000002</c:v>
                      </c:pt>
                      <c:pt idx="5285">
                        <c:v>20.138000000000002</c:v>
                      </c:pt>
                      <c:pt idx="5286">
                        <c:v>20.138000000000002</c:v>
                      </c:pt>
                      <c:pt idx="5287">
                        <c:v>20.042999999999999</c:v>
                      </c:pt>
                      <c:pt idx="5288">
                        <c:v>20.042999999999999</c:v>
                      </c:pt>
                      <c:pt idx="5289">
                        <c:v>20.042999999999999</c:v>
                      </c:pt>
                      <c:pt idx="5290">
                        <c:v>20.042999999999999</c:v>
                      </c:pt>
                      <c:pt idx="5291">
                        <c:v>20.042999999999999</c:v>
                      </c:pt>
                      <c:pt idx="5292">
                        <c:v>19.948</c:v>
                      </c:pt>
                      <c:pt idx="5293">
                        <c:v>19.948</c:v>
                      </c:pt>
                      <c:pt idx="5294">
                        <c:v>19.948</c:v>
                      </c:pt>
                      <c:pt idx="5295">
                        <c:v>19.948</c:v>
                      </c:pt>
                      <c:pt idx="5296">
                        <c:v>19.948</c:v>
                      </c:pt>
                      <c:pt idx="5297">
                        <c:v>19.948</c:v>
                      </c:pt>
                      <c:pt idx="5298">
                        <c:v>19.948</c:v>
                      </c:pt>
                      <c:pt idx="5299">
                        <c:v>19.948</c:v>
                      </c:pt>
                      <c:pt idx="5300">
                        <c:v>19.853000000000002</c:v>
                      </c:pt>
                      <c:pt idx="5301">
                        <c:v>19.948</c:v>
                      </c:pt>
                      <c:pt idx="5302">
                        <c:v>19.853000000000002</c:v>
                      </c:pt>
                      <c:pt idx="5303">
                        <c:v>19.853000000000002</c:v>
                      </c:pt>
                      <c:pt idx="5304">
                        <c:v>19.853000000000002</c:v>
                      </c:pt>
                      <c:pt idx="5305">
                        <c:v>19.757999999999999</c:v>
                      </c:pt>
                      <c:pt idx="5306">
                        <c:v>19.757999999999999</c:v>
                      </c:pt>
                      <c:pt idx="5307">
                        <c:v>19.757999999999999</c:v>
                      </c:pt>
                      <c:pt idx="5308">
                        <c:v>19.757999999999999</c:v>
                      </c:pt>
                      <c:pt idx="5309">
                        <c:v>19.757999999999999</c:v>
                      </c:pt>
                      <c:pt idx="5310">
                        <c:v>19.757999999999999</c:v>
                      </c:pt>
                      <c:pt idx="5311">
                        <c:v>19.757999999999999</c:v>
                      </c:pt>
                      <c:pt idx="5312">
                        <c:v>19.661999999999999</c:v>
                      </c:pt>
                      <c:pt idx="5313">
                        <c:v>19.661999999999999</c:v>
                      </c:pt>
                      <c:pt idx="5314">
                        <c:v>19.567</c:v>
                      </c:pt>
                      <c:pt idx="5315">
                        <c:v>19.567</c:v>
                      </c:pt>
                      <c:pt idx="5316">
                        <c:v>19.567</c:v>
                      </c:pt>
                      <c:pt idx="5317">
                        <c:v>19.567</c:v>
                      </c:pt>
                      <c:pt idx="5318">
                        <c:v>19.567</c:v>
                      </c:pt>
                      <c:pt idx="5319">
                        <c:v>19.567</c:v>
                      </c:pt>
                      <c:pt idx="5320">
                        <c:v>19.567</c:v>
                      </c:pt>
                      <c:pt idx="5321">
                        <c:v>19.472000000000001</c:v>
                      </c:pt>
                      <c:pt idx="5322">
                        <c:v>19.472000000000001</c:v>
                      </c:pt>
                      <c:pt idx="5323">
                        <c:v>19.567</c:v>
                      </c:pt>
                      <c:pt idx="5324">
                        <c:v>19.472000000000001</c:v>
                      </c:pt>
                      <c:pt idx="5325">
                        <c:v>19.472000000000001</c:v>
                      </c:pt>
                      <c:pt idx="5326">
                        <c:v>19.472000000000001</c:v>
                      </c:pt>
                      <c:pt idx="5327">
                        <c:v>19.472000000000001</c:v>
                      </c:pt>
                      <c:pt idx="5328">
                        <c:v>19.472000000000001</c:v>
                      </c:pt>
                      <c:pt idx="5329">
                        <c:v>19.472000000000001</c:v>
                      </c:pt>
                      <c:pt idx="5330">
                        <c:v>19.376999999999999</c:v>
                      </c:pt>
                      <c:pt idx="5331">
                        <c:v>19.376999999999999</c:v>
                      </c:pt>
                      <c:pt idx="5332">
                        <c:v>19.376999999999999</c:v>
                      </c:pt>
                      <c:pt idx="5333">
                        <c:v>19.376999999999999</c:v>
                      </c:pt>
                      <c:pt idx="5334">
                        <c:v>19.376999999999999</c:v>
                      </c:pt>
                      <c:pt idx="5335">
                        <c:v>19.282</c:v>
                      </c:pt>
                      <c:pt idx="5336">
                        <c:v>19.376999999999999</c:v>
                      </c:pt>
                      <c:pt idx="5337">
                        <c:v>19.376999999999999</c:v>
                      </c:pt>
                      <c:pt idx="5338">
                        <c:v>19.282</c:v>
                      </c:pt>
                      <c:pt idx="5339">
                        <c:v>19.282</c:v>
                      </c:pt>
                      <c:pt idx="5340">
                        <c:v>19.282</c:v>
                      </c:pt>
                      <c:pt idx="5341">
                        <c:v>19.187000000000001</c:v>
                      </c:pt>
                      <c:pt idx="5342">
                        <c:v>19.187000000000001</c:v>
                      </c:pt>
                      <c:pt idx="5343">
                        <c:v>19.187000000000001</c:v>
                      </c:pt>
                      <c:pt idx="5344">
                        <c:v>19.091999999999999</c:v>
                      </c:pt>
                      <c:pt idx="5345">
                        <c:v>19.091999999999999</c:v>
                      </c:pt>
                      <c:pt idx="5346">
                        <c:v>19.091999999999999</c:v>
                      </c:pt>
                      <c:pt idx="5347">
                        <c:v>19.091999999999999</c:v>
                      </c:pt>
                      <c:pt idx="5348">
                        <c:v>18.995999999999999</c:v>
                      </c:pt>
                      <c:pt idx="5349">
                        <c:v>18.995999999999999</c:v>
                      </c:pt>
                      <c:pt idx="5350">
                        <c:v>18.995999999999999</c:v>
                      </c:pt>
                      <c:pt idx="5351">
                        <c:v>18.901</c:v>
                      </c:pt>
                      <c:pt idx="5352">
                        <c:v>18.806000000000001</c:v>
                      </c:pt>
                      <c:pt idx="5353">
                        <c:v>18.806000000000001</c:v>
                      </c:pt>
                      <c:pt idx="5354">
                        <c:v>18.901</c:v>
                      </c:pt>
                      <c:pt idx="5355">
                        <c:v>18.806000000000001</c:v>
                      </c:pt>
                      <c:pt idx="5356">
                        <c:v>18.806000000000001</c:v>
                      </c:pt>
                      <c:pt idx="5357">
                        <c:v>18.806000000000001</c:v>
                      </c:pt>
                      <c:pt idx="5358">
                        <c:v>18.806000000000001</c:v>
                      </c:pt>
                      <c:pt idx="5359">
                        <c:v>18.806000000000001</c:v>
                      </c:pt>
                      <c:pt idx="5360">
                        <c:v>18.806000000000001</c:v>
                      </c:pt>
                      <c:pt idx="5361">
                        <c:v>18.710999999999999</c:v>
                      </c:pt>
                      <c:pt idx="5362">
                        <c:v>18.710999999999999</c:v>
                      </c:pt>
                      <c:pt idx="5363">
                        <c:v>18.710999999999999</c:v>
                      </c:pt>
                      <c:pt idx="5364">
                        <c:v>18.710999999999999</c:v>
                      </c:pt>
                      <c:pt idx="5365">
                        <c:v>18.616</c:v>
                      </c:pt>
                      <c:pt idx="5366">
                        <c:v>18.616</c:v>
                      </c:pt>
                      <c:pt idx="5367">
                        <c:v>18.616</c:v>
                      </c:pt>
                      <c:pt idx="5368">
                        <c:v>18.521000000000001</c:v>
                      </c:pt>
                      <c:pt idx="5369">
                        <c:v>18.521000000000001</c:v>
                      </c:pt>
                      <c:pt idx="5370">
                        <c:v>18.521000000000001</c:v>
                      </c:pt>
                      <c:pt idx="5371">
                        <c:v>18.521000000000001</c:v>
                      </c:pt>
                      <c:pt idx="5372">
                        <c:v>18.521000000000001</c:v>
                      </c:pt>
                      <c:pt idx="5373">
                        <c:v>18.521000000000001</c:v>
                      </c:pt>
                      <c:pt idx="5374">
                        <c:v>18.616</c:v>
                      </c:pt>
                      <c:pt idx="5375">
                        <c:v>18.521000000000001</c:v>
                      </c:pt>
                      <c:pt idx="5376">
                        <c:v>18.521000000000001</c:v>
                      </c:pt>
                      <c:pt idx="5377">
                        <c:v>18.616</c:v>
                      </c:pt>
                      <c:pt idx="5378">
                        <c:v>18.710999999999999</c:v>
                      </c:pt>
                      <c:pt idx="5379">
                        <c:v>18.710999999999999</c:v>
                      </c:pt>
                      <c:pt idx="5380">
                        <c:v>18.995999999999999</c:v>
                      </c:pt>
                      <c:pt idx="5381">
                        <c:v>18.901</c:v>
                      </c:pt>
                      <c:pt idx="5382">
                        <c:v>18.901</c:v>
                      </c:pt>
                      <c:pt idx="5383">
                        <c:v>18.995999999999999</c:v>
                      </c:pt>
                      <c:pt idx="5384">
                        <c:v>19.091999999999999</c:v>
                      </c:pt>
                      <c:pt idx="5385">
                        <c:v>19.091999999999999</c:v>
                      </c:pt>
                      <c:pt idx="5386">
                        <c:v>19.187000000000001</c:v>
                      </c:pt>
                      <c:pt idx="5387">
                        <c:v>19.282</c:v>
                      </c:pt>
                      <c:pt idx="5388">
                        <c:v>19.282</c:v>
                      </c:pt>
                      <c:pt idx="5389">
                        <c:v>19.472000000000001</c:v>
                      </c:pt>
                      <c:pt idx="5390">
                        <c:v>19.472000000000001</c:v>
                      </c:pt>
                      <c:pt idx="5391">
                        <c:v>19.472000000000001</c:v>
                      </c:pt>
                      <c:pt idx="5392">
                        <c:v>19.472000000000001</c:v>
                      </c:pt>
                      <c:pt idx="5393">
                        <c:v>19.567</c:v>
                      </c:pt>
                      <c:pt idx="5394">
                        <c:v>19.567</c:v>
                      </c:pt>
                      <c:pt idx="5395">
                        <c:v>19.661999999999999</c:v>
                      </c:pt>
                      <c:pt idx="5396">
                        <c:v>19.757999999999999</c:v>
                      </c:pt>
                      <c:pt idx="5397">
                        <c:v>19.757999999999999</c:v>
                      </c:pt>
                      <c:pt idx="5398">
                        <c:v>20.234000000000002</c:v>
                      </c:pt>
                      <c:pt idx="5399">
                        <c:v>20.329000000000001</c:v>
                      </c:pt>
                      <c:pt idx="5400">
                        <c:v>20.423999999999999</c:v>
                      </c:pt>
                      <c:pt idx="5401">
                        <c:v>20.329000000000001</c:v>
                      </c:pt>
                      <c:pt idx="5402">
                        <c:v>20.329000000000001</c:v>
                      </c:pt>
                      <c:pt idx="5403">
                        <c:v>20.329000000000001</c:v>
                      </c:pt>
                      <c:pt idx="5404">
                        <c:v>20.329000000000001</c:v>
                      </c:pt>
                      <c:pt idx="5405">
                        <c:v>20.329000000000001</c:v>
                      </c:pt>
                      <c:pt idx="5406">
                        <c:v>20.423999999999999</c:v>
                      </c:pt>
                      <c:pt idx="5407">
                        <c:v>20.423999999999999</c:v>
                      </c:pt>
                      <c:pt idx="5408">
                        <c:v>20.805</c:v>
                      </c:pt>
                      <c:pt idx="5409">
                        <c:v>21.091000000000001</c:v>
                      </c:pt>
                      <c:pt idx="5410">
                        <c:v>21.091000000000001</c:v>
                      </c:pt>
                      <c:pt idx="5411">
                        <c:v>20.995999999999999</c:v>
                      </c:pt>
                      <c:pt idx="5412">
                        <c:v>20.71</c:v>
                      </c:pt>
                      <c:pt idx="5413">
                        <c:v>20.901</c:v>
                      </c:pt>
                      <c:pt idx="5414">
                        <c:v>20.805</c:v>
                      </c:pt>
                      <c:pt idx="5415">
                        <c:v>20.901</c:v>
                      </c:pt>
                      <c:pt idx="5416">
                        <c:v>20.71</c:v>
                      </c:pt>
                      <c:pt idx="5417">
                        <c:v>20.71</c:v>
                      </c:pt>
                      <c:pt idx="5418">
                        <c:v>20.71</c:v>
                      </c:pt>
                      <c:pt idx="5419">
                        <c:v>20.614999999999998</c:v>
                      </c:pt>
                      <c:pt idx="5420">
                        <c:v>20.614999999999998</c:v>
                      </c:pt>
                      <c:pt idx="5421">
                        <c:v>20.614999999999998</c:v>
                      </c:pt>
                      <c:pt idx="5422">
                        <c:v>20.614999999999998</c:v>
                      </c:pt>
                      <c:pt idx="5423">
                        <c:v>20.614999999999998</c:v>
                      </c:pt>
                      <c:pt idx="5424">
                        <c:v>20.518999999999998</c:v>
                      </c:pt>
                      <c:pt idx="5425">
                        <c:v>20.423999999999999</c:v>
                      </c:pt>
                      <c:pt idx="5426">
                        <c:v>20.423999999999999</c:v>
                      </c:pt>
                      <c:pt idx="5427">
                        <c:v>20.423999999999999</c:v>
                      </c:pt>
                      <c:pt idx="5428">
                        <c:v>20.329000000000001</c:v>
                      </c:pt>
                      <c:pt idx="5429">
                        <c:v>20.329000000000001</c:v>
                      </c:pt>
                      <c:pt idx="5430">
                        <c:v>20.329000000000001</c:v>
                      </c:pt>
                      <c:pt idx="5431">
                        <c:v>20.234000000000002</c:v>
                      </c:pt>
                      <c:pt idx="5432">
                        <c:v>20.234000000000002</c:v>
                      </c:pt>
                      <c:pt idx="5433">
                        <c:v>20.138000000000002</c:v>
                      </c:pt>
                      <c:pt idx="5434">
                        <c:v>20.138000000000002</c:v>
                      </c:pt>
                      <c:pt idx="5435">
                        <c:v>20.042999999999999</c:v>
                      </c:pt>
                      <c:pt idx="5436">
                        <c:v>20.042999999999999</c:v>
                      </c:pt>
                      <c:pt idx="5437">
                        <c:v>20.042999999999999</c:v>
                      </c:pt>
                      <c:pt idx="5438">
                        <c:v>19.948</c:v>
                      </c:pt>
                      <c:pt idx="5439">
                        <c:v>19.948</c:v>
                      </c:pt>
                      <c:pt idx="5440">
                        <c:v>19.948</c:v>
                      </c:pt>
                      <c:pt idx="5441">
                        <c:v>19.948</c:v>
                      </c:pt>
                      <c:pt idx="5442">
                        <c:v>19.948</c:v>
                      </c:pt>
                      <c:pt idx="5443">
                        <c:v>19.853000000000002</c:v>
                      </c:pt>
                      <c:pt idx="5444">
                        <c:v>19.853000000000002</c:v>
                      </c:pt>
                      <c:pt idx="5445">
                        <c:v>19.757999999999999</c:v>
                      </c:pt>
                      <c:pt idx="5446">
                        <c:v>19.757999999999999</c:v>
                      </c:pt>
                      <c:pt idx="5447">
                        <c:v>19.757999999999999</c:v>
                      </c:pt>
                      <c:pt idx="5448">
                        <c:v>19.757999999999999</c:v>
                      </c:pt>
                      <c:pt idx="5449">
                        <c:v>19.757999999999999</c:v>
                      </c:pt>
                      <c:pt idx="5450">
                        <c:v>19.757999999999999</c:v>
                      </c:pt>
                      <c:pt idx="5451">
                        <c:v>19.757999999999999</c:v>
                      </c:pt>
                      <c:pt idx="5452">
                        <c:v>19.757999999999999</c:v>
                      </c:pt>
                      <c:pt idx="5453">
                        <c:v>19.757999999999999</c:v>
                      </c:pt>
                      <c:pt idx="5454">
                        <c:v>19.757999999999999</c:v>
                      </c:pt>
                      <c:pt idx="5455">
                        <c:v>19.757999999999999</c:v>
                      </c:pt>
                      <c:pt idx="5456">
                        <c:v>19.757999999999999</c:v>
                      </c:pt>
                      <c:pt idx="5457">
                        <c:v>19.757999999999999</c:v>
                      </c:pt>
                      <c:pt idx="5458">
                        <c:v>19.757999999999999</c:v>
                      </c:pt>
                      <c:pt idx="5459">
                        <c:v>19.757999999999999</c:v>
                      </c:pt>
                      <c:pt idx="5460">
                        <c:v>19.757999999999999</c:v>
                      </c:pt>
                      <c:pt idx="5461">
                        <c:v>19.757999999999999</c:v>
                      </c:pt>
                      <c:pt idx="5462">
                        <c:v>19.661999999999999</c:v>
                      </c:pt>
                      <c:pt idx="5463">
                        <c:v>19.661999999999999</c:v>
                      </c:pt>
                      <c:pt idx="5464">
                        <c:v>19.661999999999999</c:v>
                      </c:pt>
                      <c:pt idx="5465">
                        <c:v>19.661999999999999</c:v>
                      </c:pt>
                      <c:pt idx="5466">
                        <c:v>19.661999999999999</c:v>
                      </c:pt>
                      <c:pt idx="5467">
                        <c:v>19.661999999999999</c:v>
                      </c:pt>
                      <c:pt idx="5468">
                        <c:v>19.661999999999999</c:v>
                      </c:pt>
                      <c:pt idx="5469">
                        <c:v>19.567</c:v>
                      </c:pt>
                      <c:pt idx="5470">
                        <c:v>19.661999999999999</c:v>
                      </c:pt>
                      <c:pt idx="5471">
                        <c:v>19.567</c:v>
                      </c:pt>
                      <c:pt idx="5472">
                        <c:v>19.661999999999999</c:v>
                      </c:pt>
                      <c:pt idx="5473">
                        <c:v>19.567</c:v>
                      </c:pt>
                      <c:pt idx="5474">
                        <c:v>19.567</c:v>
                      </c:pt>
                      <c:pt idx="5475">
                        <c:v>19.567</c:v>
                      </c:pt>
                      <c:pt idx="5476">
                        <c:v>19.567</c:v>
                      </c:pt>
                      <c:pt idx="5477">
                        <c:v>19.567</c:v>
                      </c:pt>
                      <c:pt idx="5478">
                        <c:v>19.567</c:v>
                      </c:pt>
                      <c:pt idx="5479">
                        <c:v>19.567</c:v>
                      </c:pt>
                      <c:pt idx="5480">
                        <c:v>19.567</c:v>
                      </c:pt>
                      <c:pt idx="5481">
                        <c:v>19.567</c:v>
                      </c:pt>
                      <c:pt idx="5482">
                        <c:v>19.567</c:v>
                      </c:pt>
                      <c:pt idx="5483">
                        <c:v>19.567</c:v>
                      </c:pt>
                      <c:pt idx="5484">
                        <c:v>19.567</c:v>
                      </c:pt>
                      <c:pt idx="5485">
                        <c:v>19.567</c:v>
                      </c:pt>
                      <c:pt idx="5486">
                        <c:v>19.472000000000001</c:v>
                      </c:pt>
                      <c:pt idx="5487">
                        <c:v>19.472000000000001</c:v>
                      </c:pt>
                      <c:pt idx="5488">
                        <c:v>19.472000000000001</c:v>
                      </c:pt>
                      <c:pt idx="5489">
                        <c:v>19.472000000000001</c:v>
                      </c:pt>
                      <c:pt idx="5490">
                        <c:v>19.472000000000001</c:v>
                      </c:pt>
                      <c:pt idx="5491">
                        <c:v>19.472000000000001</c:v>
                      </c:pt>
                      <c:pt idx="5492">
                        <c:v>19.472000000000001</c:v>
                      </c:pt>
                      <c:pt idx="5493">
                        <c:v>19.472000000000001</c:v>
                      </c:pt>
                      <c:pt idx="5494">
                        <c:v>19.376999999999999</c:v>
                      </c:pt>
                      <c:pt idx="5495">
                        <c:v>19.472000000000001</c:v>
                      </c:pt>
                      <c:pt idx="5496">
                        <c:v>19.376999999999999</c:v>
                      </c:pt>
                      <c:pt idx="5497">
                        <c:v>19.376999999999999</c:v>
                      </c:pt>
                      <c:pt idx="5498">
                        <c:v>19.376999999999999</c:v>
                      </c:pt>
                      <c:pt idx="5499">
                        <c:v>19.376999999999999</c:v>
                      </c:pt>
                      <c:pt idx="5500">
                        <c:v>19.376999999999999</c:v>
                      </c:pt>
                      <c:pt idx="5501">
                        <c:v>19.376999999999999</c:v>
                      </c:pt>
                      <c:pt idx="5502">
                        <c:v>19.376999999999999</c:v>
                      </c:pt>
                      <c:pt idx="5503">
                        <c:v>19.282</c:v>
                      </c:pt>
                      <c:pt idx="5504">
                        <c:v>19.376999999999999</c:v>
                      </c:pt>
                      <c:pt idx="5505">
                        <c:v>19.282</c:v>
                      </c:pt>
                      <c:pt idx="5506">
                        <c:v>19.282</c:v>
                      </c:pt>
                      <c:pt idx="5507">
                        <c:v>19.282</c:v>
                      </c:pt>
                      <c:pt idx="5508">
                        <c:v>19.282</c:v>
                      </c:pt>
                      <c:pt idx="5509">
                        <c:v>19.282</c:v>
                      </c:pt>
                      <c:pt idx="5510">
                        <c:v>19.187000000000001</c:v>
                      </c:pt>
                      <c:pt idx="5511">
                        <c:v>19.187000000000001</c:v>
                      </c:pt>
                      <c:pt idx="5512">
                        <c:v>19.187000000000001</c:v>
                      </c:pt>
                      <c:pt idx="5513">
                        <c:v>19.187000000000001</c:v>
                      </c:pt>
                      <c:pt idx="5514">
                        <c:v>19.187000000000001</c:v>
                      </c:pt>
                      <c:pt idx="5515">
                        <c:v>19.187000000000001</c:v>
                      </c:pt>
                      <c:pt idx="5516">
                        <c:v>19.187000000000001</c:v>
                      </c:pt>
                      <c:pt idx="5517">
                        <c:v>19.187000000000001</c:v>
                      </c:pt>
                      <c:pt idx="5518">
                        <c:v>19.187000000000001</c:v>
                      </c:pt>
                      <c:pt idx="5519">
                        <c:v>19.282</c:v>
                      </c:pt>
                      <c:pt idx="5520">
                        <c:v>19.282</c:v>
                      </c:pt>
                      <c:pt idx="5521">
                        <c:v>19.282</c:v>
                      </c:pt>
                      <c:pt idx="5522">
                        <c:v>19.282</c:v>
                      </c:pt>
                      <c:pt idx="5523">
                        <c:v>19.376999999999999</c:v>
                      </c:pt>
                      <c:pt idx="5524">
                        <c:v>19.472000000000001</c:v>
                      </c:pt>
                      <c:pt idx="5525">
                        <c:v>19.472000000000001</c:v>
                      </c:pt>
                      <c:pt idx="5526">
                        <c:v>19.661999999999999</c:v>
                      </c:pt>
                      <c:pt idx="5527">
                        <c:v>19.567</c:v>
                      </c:pt>
                      <c:pt idx="5528">
                        <c:v>19.567</c:v>
                      </c:pt>
                      <c:pt idx="5529">
                        <c:v>19.661999999999999</c:v>
                      </c:pt>
                      <c:pt idx="5530">
                        <c:v>19.661999999999999</c:v>
                      </c:pt>
                      <c:pt idx="5531">
                        <c:v>19.757999999999999</c:v>
                      </c:pt>
                      <c:pt idx="5532">
                        <c:v>19.853000000000002</c:v>
                      </c:pt>
                      <c:pt idx="5533">
                        <c:v>19.853000000000002</c:v>
                      </c:pt>
                      <c:pt idx="5534">
                        <c:v>20.042999999999999</c:v>
                      </c:pt>
                      <c:pt idx="5535">
                        <c:v>20.042999999999999</c:v>
                      </c:pt>
                      <c:pt idx="5536">
                        <c:v>20.042999999999999</c:v>
                      </c:pt>
                      <c:pt idx="5537">
                        <c:v>20.042999999999999</c:v>
                      </c:pt>
                      <c:pt idx="5538">
                        <c:v>20.138000000000002</c:v>
                      </c:pt>
                      <c:pt idx="5539">
                        <c:v>20.138000000000002</c:v>
                      </c:pt>
                      <c:pt idx="5540">
                        <c:v>20.234000000000002</c:v>
                      </c:pt>
                      <c:pt idx="5541">
                        <c:v>20.329000000000001</c:v>
                      </c:pt>
                      <c:pt idx="5542">
                        <c:v>20.995999999999999</c:v>
                      </c:pt>
                      <c:pt idx="5543">
                        <c:v>20.901</c:v>
                      </c:pt>
                      <c:pt idx="5544">
                        <c:v>20.805</c:v>
                      </c:pt>
                      <c:pt idx="5545">
                        <c:v>20.805</c:v>
                      </c:pt>
                      <c:pt idx="5546">
                        <c:v>20.901</c:v>
                      </c:pt>
                      <c:pt idx="5547">
                        <c:v>20.71</c:v>
                      </c:pt>
                      <c:pt idx="5548">
                        <c:v>20.805</c:v>
                      </c:pt>
                      <c:pt idx="5549">
                        <c:v>20.71</c:v>
                      </c:pt>
                      <c:pt idx="5550">
                        <c:v>20.71</c:v>
                      </c:pt>
                      <c:pt idx="5551">
                        <c:v>20.71</c:v>
                      </c:pt>
                      <c:pt idx="5552">
                        <c:v>21.091000000000001</c:v>
                      </c:pt>
                      <c:pt idx="5553">
                        <c:v>21.378</c:v>
                      </c:pt>
                      <c:pt idx="5554">
                        <c:v>21.378</c:v>
                      </c:pt>
                      <c:pt idx="5555">
                        <c:v>21.282</c:v>
                      </c:pt>
                      <c:pt idx="5556">
                        <c:v>21.187000000000001</c:v>
                      </c:pt>
                      <c:pt idx="5557">
                        <c:v>21.187000000000001</c:v>
                      </c:pt>
                      <c:pt idx="5558">
                        <c:v>21.091000000000001</c:v>
                      </c:pt>
                      <c:pt idx="5559">
                        <c:v>21.282</c:v>
                      </c:pt>
                      <c:pt idx="5560">
                        <c:v>20.995999999999999</c:v>
                      </c:pt>
                      <c:pt idx="5561">
                        <c:v>20.995999999999999</c:v>
                      </c:pt>
                      <c:pt idx="5562">
                        <c:v>20.901</c:v>
                      </c:pt>
                      <c:pt idx="5563">
                        <c:v>20.995999999999999</c:v>
                      </c:pt>
                      <c:pt idx="5564">
                        <c:v>20.901</c:v>
                      </c:pt>
                      <c:pt idx="5565">
                        <c:v>20.901</c:v>
                      </c:pt>
                      <c:pt idx="5566">
                        <c:v>20.901</c:v>
                      </c:pt>
                      <c:pt idx="5567">
                        <c:v>20.901</c:v>
                      </c:pt>
                      <c:pt idx="5568">
                        <c:v>20.901</c:v>
                      </c:pt>
                      <c:pt idx="5569">
                        <c:v>20.805</c:v>
                      </c:pt>
                      <c:pt idx="5570">
                        <c:v>20.805</c:v>
                      </c:pt>
                      <c:pt idx="5571">
                        <c:v>20.805</c:v>
                      </c:pt>
                      <c:pt idx="5572">
                        <c:v>20.71</c:v>
                      </c:pt>
                      <c:pt idx="5573">
                        <c:v>20.614999999999998</c:v>
                      </c:pt>
                      <c:pt idx="5574">
                        <c:v>20.614999999999998</c:v>
                      </c:pt>
                      <c:pt idx="5575">
                        <c:v>20.614999999999998</c:v>
                      </c:pt>
                      <c:pt idx="5576">
                        <c:v>20.518999999999998</c:v>
                      </c:pt>
                      <c:pt idx="5577">
                        <c:v>20.518999999999998</c:v>
                      </c:pt>
                      <c:pt idx="5578">
                        <c:v>20.518999999999998</c:v>
                      </c:pt>
                      <c:pt idx="5579">
                        <c:v>20.518999999999998</c:v>
                      </c:pt>
                      <c:pt idx="5580">
                        <c:v>20.423999999999999</c:v>
                      </c:pt>
                      <c:pt idx="5581">
                        <c:v>20.423999999999999</c:v>
                      </c:pt>
                      <c:pt idx="5582">
                        <c:v>20.423999999999999</c:v>
                      </c:pt>
                      <c:pt idx="5583">
                        <c:v>20.329000000000001</c:v>
                      </c:pt>
                      <c:pt idx="5584">
                        <c:v>20.423999999999999</c:v>
                      </c:pt>
                      <c:pt idx="5585">
                        <c:v>20.329000000000001</c:v>
                      </c:pt>
                      <c:pt idx="5586">
                        <c:v>20.329000000000001</c:v>
                      </c:pt>
                      <c:pt idx="5587">
                        <c:v>20.234000000000002</c:v>
                      </c:pt>
                      <c:pt idx="5588">
                        <c:v>20.234000000000002</c:v>
                      </c:pt>
                      <c:pt idx="5589">
                        <c:v>20.234000000000002</c:v>
                      </c:pt>
                      <c:pt idx="5590">
                        <c:v>20.234000000000002</c:v>
                      </c:pt>
                      <c:pt idx="5591">
                        <c:v>20.234000000000002</c:v>
                      </c:pt>
                      <c:pt idx="5592">
                        <c:v>20.138000000000002</c:v>
                      </c:pt>
                      <c:pt idx="5593">
                        <c:v>20.138000000000002</c:v>
                      </c:pt>
                      <c:pt idx="5594">
                        <c:v>20.138000000000002</c:v>
                      </c:pt>
                      <c:pt idx="5595">
                        <c:v>20.138000000000002</c:v>
                      </c:pt>
                      <c:pt idx="5596">
                        <c:v>20.042999999999999</c:v>
                      </c:pt>
                      <c:pt idx="5597">
                        <c:v>20.042999999999999</c:v>
                      </c:pt>
                      <c:pt idx="5598">
                        <c:v>20.042999999999999</c:v>
                      </c:pt>
                      <c:pt idx="5599">
                        <c:v>20.042999999999999</c:v>
                      </c:pt>
                      <c:pt idx="5600">
                        <c:v>20.042999999999999</c:v>
                      </c:pt>
                      <c:pt idx="5601">
                        <c:v>20.042999999999999</c:v>
                      </c:pt>
                      <c:pt idx="5602">
                        <c:v>20.042999999999999</c:v>
                      </c:pt>
                      <c:pt idx="5603">
                        <c:v>20.042999999999999</c:v>
                      </c:pt>
                      <c:pt idx="5604">
                        <c:v>20.042999999999999</c:v>
                      </c:pt>
                      <c:pt idx="5605">
                        <c:v>20.042999999999999</c:v>
                      </c:pt>
                      <c:pt idx="5606">
                        <c:v>20.042999999999999</c:v>
                      </c:pt>
                      <c:pt idx="5607">
                        <c:v>20.042999999999999</c:v>
                      </c:pt>
                      <c:pt idx="5608">
                        <c:v>19.948</c:v>
                      </c:pt>
                      <c:pt idx="5609">
                        <c:v>19.948</c:v>
                      </c:pt>
                      <c:pt idx="5610">
                        <c:v>19.948</c:v>
                      </c:pt>
                      <c:pt idx="5611">
                        <c:v>19.948</c:v>
                      </c:pt>
                      <c:pt idx="5612">
                        <c:v>19.948</c:v>
                      </c:pt>
                      <c:pt idx="5613">
                        <c:v>19.853000000000002</c:v>
                      </c:pt>
                      <c:pt idx="5614">
                        <c:v>19.853000000000002</c:v>
                      </c:pt>
                      <c:pt idx="5615">
                        <c:v>19.853000000000002</c:v>
                      </c:pt>
                      <c:pt idx="5616">
                        <c:v>19.853000000000002</c:v>
                      </c:pt>
                      <c:pt idx="5617">
                        <c:v>19.757999999999999</c:v>
                      </c:pt>
                      <c:pt idx="5618">
                        <c:v>19.757999999999999</c:v>
                      </c:pt>
                      <c:pt idx="5619">
                        <c:v>19.757999999999999</c:v>
                      </c:pt>
                      <c:pt idx="5620">
                        <c:v>19.757999999999999</c:v>
                      </c:pt>
                      <c:pt idx="5621">
                        <c:v>19.757999999999999</c:v>
                      </c:pt>
                      <c:pt idx="5622">
                        <c:v>19.757999999999999</c:v>
                      </c:pt>
                      <c:pt idx="5623">
                        <c:v>19.757999999999999</c:v>
                      </c:pt>
                      <c:pt idx="5624">
                        <c:v>19.757999999999999</c:v>
                      </c:pt>
                      <c:pt idx="5625">
                        <c:v>19.757999999999999</c:v>
                      </c:pt>
                      <c:pt idx="5626">
                        <c:v>19.661999999999999</c:v>
                      </c:pt>
                      <c:pt idx="5627">
                        <c:v>19.757999999999999</c:v>
                      </c:pt>
                      <c:pt idx="5628">
                        <c:v>19.757999999999999</c:v>
                      </c:pt>
                      <c:pt idx="5629">
                        <c:v>19.661999999999999</c:v>
                      </c:pt>
                      <c:pt idx="5630">
                        <c:v>19.661999999999999</c:v>
                      </c:pt>
                      <c:pt idx="5631">
                        <c:v>19.661999999999999</c:v>
                      </c:pt>
                      <c:pt idx="5632">
                        <c:v>19.661999999999999</c:v>
                      </c:pt>
                      <c:pt idx="5633">
                        <c:v>19.661999999999999</c:v>
                      </c:pt>
                      <c:pt idx="5634">
                        <c:v>19.661999999999999</c:v>
                      </c:pt>
                      <c:pt idx="5635">
                        <c:v>19.567</c:v>
                      </c:pt>
                      <c:pt idx="5636">
                        <c:v>19.567</c:v>
                      </c:pt>
                      <c:pt idx="5637">
                        <c:v>19.567</c:v>
                      </c:pt>
                      <c:pt idx="5638">
                        <c:v>19.567</c:v>
                      </c:pt>
                      <c:pt idx="5639">
                        <c:v>19.567</c:v>
                      </c:pt>
                      <c:pt idx="5640">
                        <c:v>19.472000000000001</c:v>
                      </c:pt>
                      <c:pt idx="5641">
                        <c:v>19.472000000000001</c:v>
                      </c:pt>
                      <c:pt idx="5642">
                        <c:v>19.567</c:v>
                      </c:pt>
                      <c:pt idx="5643">
                        <c:v>19.472000000000001</c:v>
                      </c:pt>
                      <c:pt idx="5644">
                        <c:v>19.472000000000001</c:v>
                      </c:pt>
                      <c:pt idx="5645">
                        <c:v>19.472000000000001</c:v>
                      </c:pt>
                      <c:pt idx="5646">
                        <c:v>19.472000000000001</c:v>
                      </c:pt>
                      <c:pt idx="5647">
                        <c:v>19.567</c:v>
                      </c:pt>
                      <c:pt idx="5648">
                        <c:v>19.472000000000001</c:v>
                      </c:pt>
                      <c:pt idx="5649">
                        <c:v>19.472000000000001</c:v>
                      </c:pt>
                      <c:pt idx="5650">
                        <c:v>19.472000000000001</c:v>
                      </c:pt>
                      <c:pt idx="5651">
                        <c:v>19.472000000000001</c:v>
                      </c:pt>
                      <c:pt idx="5652">
                        <c:v>19.472000000000001</c:v>
                      </c:pt>
                      <c:pt idx="5653">
                        <c:v>19.472000000000001</c:v>
                      </c:pt>
                      <c:pt idx="5654">
                        <c:v>19.472000000000001</c:v>
                      </c:pt>
                      <c:pt idx="5655">
                        <c:v>19.472000000000001</c:v>
                      </c:pt>
                      <c:pt idx="5656">
                        <c:v>19.472000000000001</c:v>
                      </c:pt>
                      <c:pt idx="5657">
                        <c:v>19.472000000000001</c:v>
                      </c:pt>
                      <c:pt idx="5658">
                        <c:v>19.472000000000001</c:v>
                      </c:pt>
                      <c:pt idx="5659">
                        <c:v>19.472000000000001</c:v>
                      </c:pt>
                      <c:pt idx="5660">
                        <c:v>19.472000000000001</c:v>
                      </c:pt>
                      <c:pt idx="5661">
                        <c:v>19.472000000000001</c:v>
                      </c:pt>
                      <c:pt idx="5662">
                        <c:v>19.472000000000001</c:v>
                      </c:pt>
                      <c:pt idx="5663">
                        <c:v>19.472000000000001</c:v>
                      </c:pt>
                      <c:pt idx="5664">
                        <c:v>19.567</c:v>
                      </c:pt>
                      <c:pt idx="5665">
                        <c:v>19.567</c:v>
                      </c:pt>
                      <c:pt idx="5666">
                        <c:v>19.567</c:v>
                      </c:pt>
                      <c:pt idx="5667">
                        <c:v>19.661999999999999</c:v>
                      </c:pt>
                      <c:pt idx="5668">
                        <c:v>19.853000000000002</c:v>
                      </c:pt>
                      <c:pt idx="5669">
                        <c:v>19.757999999999999</c:v>
                      </c:pt>
                      <c:pt idx="5670">
                        <c:v>19.853000000000002</c:v>
                      </c:pt>
                      <c:pt idx="5671">
                        <c:v>19.853000000000002</c:v>
                      </c:pt>
                      <c:pt idx="5672">
                        <c:v>19.853000000000002</c:v>
                      </c:pt>
                      <c:pt idx="5673">
                        <c:v>19.948</c:v>
                      </c:pt>
                      <c:pt idx="5674">
                        <c:v>19.948</c:v>
                      </c:pt>
                      <c:pt idx="5675">
                        <c:v>20.042999999999999</c:v>
                      </c:pt>
                      <c:pt idx="5676">
                        <c:v>20.138000000000002</c:v>
                      </c:pt>
                      <c:pt idx="5677">
                        <c:v>20.138000000000002</c:v>
                      </c:pt>
                      <c:pt idx="5678">
                        <c:v>20.329000000000001</c:v>
                      </c:pt>
                      <c:pt idx="5679">
                        <c:v>20.234000000000002</c:v>
                      </c:pt>
                      <c:pt idx="5680">
                        <c:v>20.329000000000001</c:v>
                      </c:pt>
                      <c:pt idx="5681">
                        <c:v>20.329000000000001</c:v>
                      </c:pt>
                      <c:pt idx="5682">
                        <c:v>20.423999999999999</c:v>
                      </c:pt>
                      <c:pt idx="5683">
                        <c:v>20.423999999999999</c:v>
                      </c:pt>
                      <c:pt idx="5684">
                        <c:v>20.423999999999999</c:v>
                      </c:pt>
                      <c:pt idx="5685">
                        <c:v>20.995999999999999</c:v>
                      </c:pt>
                      <c:pt idx="5686">
                        <c:v>21.76</c:v>
                      </c:pt>
                      <c:pt idx="5687">
                        <c:v>21.187000000000001</c:v>
                      </c:pt>
                      <c:pt idx="5688">
                        <c:v>20.995999999999999</c:v>
                      </c:pt>
                      <c:pt idx="5689">
                        <c:v>21.187000000000001</c:v>
                      </c:pt>
                      <c:pt idx="5690">
                        <c:v>21.091000000000001</c:v>
                      </c:pt>
                      <c:pt idx="5691">
                        <c:v>21.091000000000001</c:v>
                      </c:pt>
                      <c:pt idx="5692">
                        <c:v>20.995999999999999</c:v>
                      </c:pt>
                      <c:pt idx="5693">
                        <c:v>20.901</c:v>
                      </c:pt>
                      <c:pt idx="5694">
                        <c:v>20.995999999999999</c:v>
                      </c:pt>
                      <c:pt idx="5695">
                        <c:v>20.995999999999999</c:v>
                      </c:pt>
                      <c:pt idx="5696">
                        <c:v>21.472999999999999</c:v>
                      </c:pt>
                      <c:pt idx="5697">
                        <c:v>21.378</c:v>
                      </c:pt>
                      <c:pt idx="5698">
                        <c:v>21.378</c:v>
                      </c:pt>
                      <c:pt idx="5699">
                        <c:v>21.664000000000001</c:v>
                      </c:pt>
                      <c:pt idx="5700">
                        <c:v>21.378</c:v>
                      </c:pt>
                      <c:pt idx="5701">
                        <c:v>21.187000000000001</c:v>
                      </c:pt>
                      <c:pt idx="5702">
                        <c:v>21.187000000000001</c:v>
                      </c:pt>
                      <c:pt idx="5703">
                        <c:v>21.472999999999999</c:v>
                      </c:pt>
                      <c:pt idx="5704">
                        <c:v>21.187000000000001</c:v>
                      </c:pt>
                      <c:pt idx="5705">
                        <c:v>21.091000000000001</c:v>
                      </c:pt>
                      <c:pt idx="5706">
                        <c:v>21.091000000000001</c:v>
                      </c:pt>
                      <c:pt idx="5707">
                        <c:v>21.091000000000001</c:v>
                      </c:pt>
                      <c:pt idx="5708">
                        <c:v>21.091000000000001</c:v>
                      </c:pt>
                      <c:pt idx="5709">
                        <c:v>21.091000000000001</c:v>
                      </c:pt>
                      <c:pt idx="5710">
                        <c:v>20.995999999999999</c:v>
                      </c:pt>
                      <c:pt idx="5711">
                        <c:v>20.995999999999999</c:v>
                      </c:pt>
                      <c:pt idx="5712">
                        <c:v>20.995999999999999</c:v>
                      </c:pt>
                      <c:pt idx="5713">
                        <c:v>20.995999999999999</c:v>
                      </c:pt>
                      <c:pt idx="5714">
                        <c:v>20.901</c:v>
                      </c:pt>
                      <c:pt idx="5715">
                        <c:v>20.901</c:v>
                      </c:pt>
                      <c:pt idx="5716">
                        <c:v>20.901</c:v>
                      </c:pt>
                      <c:pt idx="5717">
                        <c:v>20.805</c:v>
                      </c:pt>
                      <c:pt idx="5718">
                        <c:v>20.805</c:v>
                      </c:pt>
                      <c:pt idx="5719">
                        <c:v>20.805</c:v>
                      </c:pt>
                      <c:pt idx="5720">
                        <c:v>20.805</c:v>
                      </c:pt>
                      <c:pt idx="5721">
                        <c:v>20.71</c:v>
                      </c:pt>
                      <c:pt idx="5722">
                        <c:v>20.614999999999998</c:v>
                      </c:pt>
                      <c:pt idx="5723">
                        <c:v>20.614999999999998</c:v>
                      </c:pt>
                      <c:pt idx="5724">
                        <c:v>20.614999999999998</c:v>
                      </c:pt>
                      <c:pt idx="5725">
                        <c:v>20.614999999999998</c:v>
                      </c:pt>
                      <c:pt idx="5726">
                        <c:v>20.518999999999998</c:v>
                      </c:pt>
                      <c:pt idx="5727">
                        <c:v>20.518999999999998</c:v>
                      </c:pt>
                      <c:pt idx="5728">
                        <c:v>20.518999999999998</c:v>
                      </c:pt>
                      <c:pt idx="5729">
                        <c:v>20.329000000000001</c:v>
                      </c:pt>
                      <c:pt idx="5730">
                        <c:v>20.234000000000002</c:v>
                      </c:pt>
                      <c:pt idx="5731">
                        <c:v>20.234000000000002</c:v>
                      </c:pt>
                      <c:pt idx="5732">
                        <c:v>20.138000000000002</c:v>
                      </c:pt>
                      <c:pt idx="5733">
                        <c:v>20.138000000000002</c:v>
                      </c:pt>
                      <c:pt idx="5734">
                        <c:v>20.042999999999999</c:v>
                      </c:pt>
                      <c:pt idx="5735">
                        <c:v>20.042999999999999</c:v>
                      </c:pt>
                      <c:pt idx="5736">
                        <c:v>20.042999999999999</c:v>
                      </c:pt>
                      <c:pt idx="5737">
                        <c:v>19.948</c:v>
                      </c:pt>
                      <c:pt idx="5738">
                        <c:v>19.948</c:v>
                      </c:pt>
                      <c:pt idx="5739">
                        <c:v>19.853000000000002</c:v>
                      </c:pt>
                      <c:pt idx="5740">
                        <c:v>19.853000000000002</c:v>
                      </c:pt>
                      <c:pt idx="5741">
                        <c:v>19.853000000000002</c:v>
                      </c:pt>
                      <c:pt idx="5742">
                        <c:v>19.757999999999999</c:v>
                      </c:pt>
                      <c:pt idx="5743">
                        <c:v>19.757999999999999</c:v>
                      </c:pt>
                      <c:pt idx="5744">
                        <c:v>19.757999999999999</c:v>
                      </c:pt>
                      <c:pt idx="5745">
                        <c:v>19.661999999999999</c:v>
                      </c:pt>
                      <c:pt idx="5746">
                        <c:v>19.661999999999999</c:v>
                      </c:pt>
                      <c:pt idx="5747">
                        <c:v>19.661999999999999</c:v>
                      </c:pt>
                      <c:pt idx="5748">
                        <c:v>19.661999999999999</c:v>
                      </c:pt>
                      <c:pt idx="5749">
                        <c:v>19.661999999999999</c:v>
                      </c:pt>
                      <c:pt idx="5750">
                        <c:v>19.661999999999999</c:v>
                      </c:pt>
                      <c:pt idx="5751">
                        <c:v>19.567</c:v>
                      </c:pt>
                      <c:pt idx="5752">
                        <c:v>19.661999999999999</c:v>
                      </c:pt>
                      <c:pt idx="5753">
                        <c:v>19.661999999999999</c:v>
                      </c:pt>
                      <c:pt idx="5754">
                        <c:v>19.567</c:v>
                      </c:pt>
                      <c:pt idx="5755">
                        <c:v>19.567</c:v>
                      </c:pt>
                      <c:pt idx="5756">
                        <c:v>19.567</c:v>
                      </c:pt>
                      <c:pt idx="5757">
                        <c:v>19.567</c:v>
                      </c:pt>
                      <c:pt idx="5758">
                        <c:v>19.567</c:v>
                      </c:pt>
                      <c:pt idx="5759">
                        <c:v>19.567</c:v>
                      </c:pt>
                      <c:pt idx="5760">
                        <c:v>19.567</c:v>
                      </c:pt>
                      <c:pt idx="5761">
                        <c:v>19.567</c:v>
                      </c:pt>
                      <c:pt idx="5762">
                        <c:v>19.567</c:v>
                      </c:pt>
                      <c:pt idx="5763">
                        <c:v>19.567</c:v>
                      </c:pt>
                      <c:pt idx="5764">
                        <c:v>19.567</c:v>
                      </c:pt>
                      <c:pt idx="5765">
                        <c:v>19.567</c:v>
                      </c:pt>
                      <c:pt idx="5766">
                        <c:v>19.567</c:v>
                      </c:pt>
                      <c:pt idx="5767">
                        <c:v>19.567</c:v>
                      </c:pt>
                      <c:pt idx="5768">
                        <c:v>19.567</c:v>
                      </c:pt>
                      <c:pt idx="5769">
                        <c:v>19.472000000000001</c:v>
                      </c:pt>
                      <c:pt idx="5770">
                        <c:v>19.567</c:v>
                      </c:pt>
                      <c:pt idx="5771">
                        <c:v>19.472000000000001</c:v>
                      </c:pt>
                      <c:pt idx="5772">
                        <c:v>19.472000000000001</c:v>
                      </c:pt>
                      <c:pt idx="5773">
                        <c:v>19.472000000000001</c:v>
                      </c:pt>
                      <c:pt idx="5774">
                        <c:v>19.472000000000001</c:v>
                      </c:pt>
                      <c:pt idx="5775">
                        <c:v>19.472000000000001</c:v>
                      </c:pt>
                      <c:pt idx="5776">
                        <c:v>19.472000000000001</c:v>
                      </c:pt>
                      <c:pt idx="5777">
                        <c:v>19.567</c:v>
                      </c:pt>
                      <c:pt idx="5778">
                        <c:v>19.472000000000001</c:v>
                      </c:pt>
                      <c:pt idx="5779">
                        <c:v>19.472000000000001</c:v>
                      </c:pt>
                      <c:pt idx="5780">
                        <c:v>19.472000000000001</c:v>
                      </c:pt>
                      <c:pt idx="5781">
                        <c:v>19.472000000000001</c:v>
                      </c:pt>
                      <c:pt idx="5782">
                        <c:v>19.376999999999999</c:v>
                      </c:pt>
                      <c:pt idx="5783">
                        <c:v>19.376999999999999</c:v>
                      </c:pt>
                      <c:pt idx="5784">
                        <c:v>19.376999999999999</c:v>
                      </c:pt>
                      <c:pt idx="5785">
                        <c:v>19.376999999999999</c:v>
                      </c:pt>
                      <c:pt idx="5786">
                        <c:v>19.282</c:v>
                      </c:pt>
                      <c:pt idx="5787">
                        <c:v>19.187000000000001</c:v>
                      </c:pt>
                      <c:pt idx="5788">
                        <c:v>19.187000000000001</c:v>
                      </c:pt>
                      <c:pt idx="5789">
                        <c:v>19.187000000000001</c:v>
                      </c:pt>
                      <c:pt idx="5790">
                        <c:v>19.187000000000001</c:v>
                      </c:pt>
                      <c:pt idx="5791">
                        <c:v>19.091999999999999</c:v>
                      </c:pt>
                      <c:pt idx="5792">
                        <c:v>19.091999999999999</c:v>
                      </c:pt>
                      <c:pt idx="5793">
                        <c:v>19.091999999999999</c:v>
                      </c:pt>
                      <c:pt idx="5794">
                        <c:v>19.091999999999999</c:v>
                      </c:pt>
                      <c:pt idx="5795">
                        <c:v>19.091999999999999</c:v>
                      </c:pt>
                      <c:pt idx="5796">
                        <c:v>19.091999999999999</c:v>
                      </c:pt>
                      <c:pt idx="5797">
                        <c:v>18.995999999999999</c:v>
                      </c:pt>
                      <c:pt idx="5798">
                        <c:v>19.091999999999999</c:v>
                      </c:pt>
                      <c:pt idx="5799">
                        <c:v>18.995999999999999</c:v>
                      </c:pt>
                      <c:pt idx="5800">
                        <c:v>18.995999999999999</c:v>
                      </c:pt>
                      <c:pt idx="5801">
                        <c:v>18.995999999999999</c:v>
                      </c:pt>
                      <c:pt idx="5802">
                        <c:v>18.901</c:v>
                      </c:pt>
                      <c:pt idx="5803">
                        <c:v>18.901</c:v>
                      </c:pt>
                      <c:pt idx="5804">
                        <c:v>18.901</c:v>
                      </c:pt>
                      <c:pt idx="5805">
                        <c:v>18.995999999999999</c:v>
                      </c:pt>
                      <c:pt idx="5806">
                        <c:v>18.901</c:v>
                      </c:pt>
                      <c:pt idx="5807">
                        <c:v>18.995999999999999</c:v>
                      </c:pt>
                      <c:pt idx="5808">
                        <c:v>19.091999999999999</c:v>
                      </c:pt>
                      <c:pt idx="5809">
                        <c:v>19.091999999999999</c:v>
                      </c:pt>
                      <c:pt idx="5810">
                        <c:v>19.091999999999999</c:v>
                      </c:pt>
                      <c:pt idx="5811">
                        <c:v>19.187000000000001</c:v>
                      </c:pt>
                      <c:pt idx="5812">
                        <c:v>19.187000000000001</c:v>
                      </c:pt>
                      <c:pt idx="5813">
                        <c:v>19.187000000000001</c:v>
                      </c:pt>
                      <c:pt idx="5814">
                        <c:v>19.282</c:v>
                      </c:pt>
                      <c:pt idx="5815">
                        <c:v>19.282</c:v>
                      </c:pt>
                      <c:pt idx="5816">
                        <c:v>19.376999999999999</c:v>
                      </c:pt>
                      <c:pt idx="5817">
                        <c:v>19.376999999999999</c:v>
                      </c:pt>
                      <c:pt idx="5818">
                        <c:v>19.472000000000001</c:v>
                      </c:pt>
                      <c:pt idx="5819">
                        <c:v>19.567</c:v>
                      </c:pt>
                      <c:pt idx="5820">
                        <c:v>19.661999999999999</c:v>
                      </c:pt>
                      <c:pt idx="5821">
                        <c:v>19.661999999999999</c:v>
                      </c:pt>
                      <c:pt idx="5822">
                        <c:v>19.853000000000002</c:v>
                      </c:pt>
                      <c:pt idx="5823">
                        <c:v>19.757999999999999</c:v>
                      </c:pt>
                      <c:pt idx="5824">
                        <c:v>19.853000000000002</c:v>
                      </c:pt>
                      <c:pt idx="5825">
                        <c:v>19.853000000000002</c:v>
                      </c:pt>
                      <c:pt idx="5826">
                        <c:v>19.948</c:v>
                      </c:pt>
                      <c:pt idx="5827">
                        <c:v>19.948</c:v>
                      </c:pt>
                      <c:pt idx="5828">
                        <c:v>20.042999999999999</c:v>
                      </c:pt>
                      <c:pt idx="5829">
                        <c:v>20.423999999999999</c:v>
                      </c:pt>
                      <c:pt idx="5830">
                        <c:v>21.378</c:v>
                      </c:pt>
                      <c:pt idx="5831">
                        <c:v>20.995999999999999</c:v>
                      </c:pt>
                      <c:pt idx="5832">
                        <c:v>20.71</c:v>
                      </c:pt>
                      <c:pt idx="5833">
                        <c:v>20.71</c:v>
                      </c:pt>
                      <c:pt idx="5834">
                        <c:v>20.805</c:v>
                      </c:pt>
                      <c:pt idx="5835">
                        <c:v>20.901</c:v>
                      </c:pt>
                      <c:pt idx="5836">
                        <c:v>20.805</c:v>
                      </c:pt>
                      <c:pt idx="5837">
                        <c:v>20.805</c:v>
                      </c:pt>
                      <c:pt idx="5838">
                        <c:v>20.805</c:v>
                      </c:pt>
                      <c:pt idx="5839">
                        <c:v>20.805</c:v>
                      </c:pt>
                      <c:pt idx="5840">
                        <c:v>21.187000000000001</c:v>
                      </c:pt>
                      <c:pt idx="5841">
                        <c:v>21.282</c:v>
                      </c:pt>
                      <c:pt idx="5842">
                        <c:v>21.187000000000001</c:v>
                      </c:pt>
                      <c:pt idx="5843">
                        <c:v>21.472999999999999</c:v>
                      </c:pt>
                      <c:pt idx="5844">
                        <c:v>21.187000000000001</c:v>
                      </c:pt>
                      <c:pt idx="5845">
                        <c:v>20.995999999999999</c:v>
                      </c:pt>
                      <c:pt idx="5846">
                        <c:v>21.091000000000001</c:v>
                      </c:pt>
                      <c:pt idx="5847">
                        <c:v>21.472999999999999</c:v>
                      </c:pt>
                      <c:pt idx="5848">
                        <c:v>21.187000000000001</c:v>
                      </c:pt>
                      <c:pt idx="5849">
                        <c:v>21.091000000000001</c:v>
                      </c:pt>
                      <c:pt idx="5850">
                        <c:v>20.995999999999999</c:v>
                      </c:pt>
                      <c:pt idx="5851">
                        <c:v>20.995999999999999</c:v>
                      </c:pt>
                      <c:pt idx="5852">
                        <c:v>20.995999999999999</c:v>
                      </c:pt>
                      <c:pt idx="5853">
                        <c:v>20.995999999999999</c:v>
                      </c:pt>
                      <c:pt idx="5854">
                        <c:v>20.995999999999999</c:v>
                      </c:pt>
                      <c:pt idx="5855">
                        <c:v>20.995999999999999</c:v>
                      </c:pt>
                      <c:pt idx="5856">
                        <c:v>20.995999999999999</c:v>
                      </c:pt>
                      <c:pt idx="5857">
                        <c:v>20.901</c:v>
                      </c:pt>
                      <c:pt idx="5858">
                        <c:v>20.901</c:v>
                      </c:pt>
                      <c:pt idx="5859">
                        <c:v>20.901</c:v>
                      </c:pt>
                      <c:pt idx="5860">
                        <c:v>20.805</c:v>
                      </c:pt>
                      <c:pt idx="5861">
                        <c:v>20.805</c:v>
                      </c:pt>
                      <c:pt idx="5862">
                        <c:v>20.805</c:v>
                      </c:pt>
                      <c:pt idx="5863">
                        <c:v>20.71</c:v>
                      </c:pt>
                      <c:pt idx="5864">
                        <c:v>20.71</c:v>
                      </c:pt>
                      <c:pt idx="5865">
                        <c:v>20.71</c:v>
                      </c:pt>
                      <c:pt idx="5866">
                        <c:v>20.71</c:v>
                      </c:pt>
                      <c:pt idx="5867">
                        <c:v>20.614999999999998</c:v>
                      </c:pt>
                      <c:pt idx="5868">
                        <c:v>20.614999999999998</c:v>
                      </c:pt>
                      <c:pt idx="5869">
                        <c:v>20.614999999999998</c:v>
                      </c:pt>
                      <c:pt idx="5870">
                        <c:v>20.518999999999998</c:v>
                      </c:pt>
                      <c:pt idx="5871">
                        <c:v>20.518999999999998</c:v>
                      </c:pt>
                      <c:pt idx="5872">
                        <c:v>20.423999999999999</c:v>
                      </c:pt>
                      <c:pt idx="5873">
                        <c:v>20.423999999999999</c:v>
                      </c:pt>
                      <c:pt idx="5874">
                        <c:v>20.329000000000001</c:v>
                      </c:pt>
                      <c:pt idx="5875">
                        <c:v>20.329000000000001</c:v>
                      </c:pt>
                      <c:pt idx="5876">
                        <c:v>20.234000000000002</c:v>
                      </c:pt>
                      <c:pt idx="5877">
                        <c:v>20.138000000000002</c:v>
                      </c:pt>
                      <c:pt idx="5878">
                        <c:v>20.138000000000002</c:v>
                      </c:pt>
                      <c:pt idx="5879">
                        <c:v>20.042999999999999</c:v>
                      </c:pt>
                      <c:pt idx="5880">
                        <c:v>20.042999999999999</c:v>
                      </c:pt>
                      <c:pt idx="5881">
                        <c:v>20.042999999999999</c:v>
                      </c:pt>
                      <c:pt idx="5882">
                        <c:v>19.948</c:v>
                      </c:pt>
                      <c:pt idx="5883">
                        <c:v>19.853000000000002</c:v>
                      </c:pt>
                      <c:pt idx="5884">
                        <c:v>19.853000000000002</c:v>
                      </c:pt>
                      <c:pt idx="5885">
                        <c:v>19.757999999999999</c:v>
                      </c:pt>
                      <c:pt idx="5886">
                        <c:v>19.757999999999999</c:v>
                      </c:pt>
                      <c:pt idx="5887">
                        <c:v>19.661999999999999</c:v>
                      </c:pt>
                      <c:pt idx="5888">
                        <c:v>19.661999999999999</c:v>
                      </c:pt>
                      <c:pt idx="5889">
                        <c:v>19.661999999999999</c:v>
                      </c:pt>
                      <c:pt idx="5890">
                        <c:v>19.661999999999999</c:v>
                      </c:pt>
                      <c:pt idx="5891">
                        <c:v>19.661999999999999</c:v>
                      </c:pt>
                      <c:pt idx="5892">
                        <c:v>19.661999999999999</c:v>
                      </c:pt>
                      <c:pt idx="5893">
                        <c:v>19.661999999999999</c:v>
                      </c:pt>
                      <c:pt idx="5894">
                        <c:v>19.661999999999999</c:v>
                      </c:pt>
                      <c:pt idx="5895">
                        <c:v>19.661999999999999</c:v>
                      </c:pt>
                      <c:pt idx="5896">
                        <c:v>19.661999999999999</c:v>
                      </c:pt>
                      <c:pt idx="5897">
                        <c:v>19.567</c:v>
                      </c:pt>
                      <c:pt idx="5898">
                        <c:v>19.472000000000001</c:v>
                      </c:pt>
                      <c:pt idx="5899">
                        <c:v>19.472000000000001</c:v>
                      </c:pt>
                      <c:pt idx="5900">
                        <c:v>19.376999999999999</c:v>
                      </c:pt>
                      <c:pt idx="5901">
                        <c:v>19.472000000000001</c:v>
                      </c:pt>
                      <c:pt idx="5902">
                        <c:v>19.472000000000001</c:v>
                      </c:pt>
                      <c:pt idx="5903">
                        <c:v>19.472000000000001</c:v>
                      </c:pt>
                      <c:pt idx="5904">
                        <c:v>19.376999999999999</c:v>
                      </c:pt>
                      <c:pt idx="5905">
                        <c:v>19.376999999999999</c:v>
                      </c:pt>
                      <c:pt idx="5906">
                        <c:v>19.282</c:v>
                      </c:pt>
                      <c:pt idx="5907">
                        <c:v>19.376999999999999</c:v>
                      </c:pt>
                      <c:pt idx="5908">
                        <c:v>19.376999999999999</c:v>
                      </c:pt>
                      <c:pt idx="5909">
                        <c:v>19.376999999999999</c:v>
                      </c:pt>
                      <c:pt idx="5910">
                        <c:v>19.376999999999999</c:v>
                      </c:pt>
                      <c:pt idx="5911">
                        <c:v>19.376999999999999</c:v>
                      </c:pt>
                      <c:pt idx="5912">
                        <c:v>19.282</c:v>
                      </c:pt>
                      <c:pt idx="5913">
                        <c:v>19.187000000000001</c:v>
                      </c:pt>
                      <c:pt idx="5914">
                        <c:v>19.282</c:v>
                      </c:pt>
                      <c:pt idx="5915">
                        <c:v>19.282</c:v>
                      </c:pt>
                      <c:pt idx="5916">
                        <c:v>19.282</c:v>
                      </c:pt>
                      <c:pt idx="5917">
                        <c:v>19.187000000000001</c:v>
                      </c:pt>
                      <c:pt idx="5918">
                        <c:v>19.187000000000001</c:v>
                      </c:pt>
                      <c:pt idx="5919">
                        <c:v>19.091999999999999</c:v>
                      </c:pt>
                      <c:pt idx="5920">
                        <c:v>19.187000000000001</c:v>
                      </c:pt>
                      <c:pt idx="5921">
                        <c:v>19.187000000000001</c:v>
                      </c:pt>
                      <c:pt idx="5922">
                        <c:v>19.091999999999999</c:v>
                      </c:pt>
                      <c:pt idx="5923">
                        <c:v>19.091999999999999</c:v>
                      </c:pt>
                      <c:pt idx="5924">
                        <c:v>19.091999999999999</c:v>
                      </c:pt>
                      <c:pt idx="5925">
                        <c:v>18.995999999999999</c:v>
                      </c:pt>
                      <c:pt idx="5926">
                        <c:v>18.995999999999999</c:v>
                      </c:pt>
                      <c:pt idx="5927">
                        <c:v>18.995999999999999</c:v>
                      </c:pt>
                      <c:pt idx="5928">
                        <c:v>18.995999999999999</c:v>
                      </c:pt>
                      <c:pt idx="5929">
                        <c:v>18.995999999999999</c:v>
                      </c:pt>
                      <c:pt idx="5930">
                        <c:v>18.995999999999999</c:v>
                      </c:pt>
                      <c:pt idx="5931">
                        <c:v>18.995999999999999</c:v>
                      </c:pt>
                      <c:pt idx="5932">
                        <c:v>18.995999999999999</c:v>
                      </c:pt>
                      <c:pt idx="5933">
                        <c:v>18.995999999999999</c:v>
                      </c:pt>
                      <c:pt idx="5934">
                        <c:v>18.901</c:v>
                      </c:pt>
                      <c:pt idx="5935">
                        <c:v>18.901</c:v>
                      </c:pt>
                      <c:pt idx="5936">
                        <c:v>18.901</c:v>
                      </c:pt>
                      <c:pt idx="5937">
                        <c:v>18.901</c:v>
                      </c:pt>
                      <c:pt idx="5938">
                        <c:v>18.806000000000001</c:v>
                      </c:pt>
                      <c:pt idx="5939">
                        <c:v>18.901</c:v>
                      </c:pt>
                      <c:pt idx="5940">
                        <c:v>18.806000000000001</c:v>
                      </c:pt>
                      <c:pt idx="5941">
                        <c:v>18.710999999999999</c:v>
                      </c:pt>
                      <c:pt idx="5942">
                        <c:v>18.806000000000001</c:v>
                      </c:pt>
                      <c:pt idx="5943">
                        <c:v>18.806000000000001</c:v>
                      </c:pt>
                      <c:pt idx="5944">
                        <c:v>18.806000000000001</c:v>
                      </c:pt>
                      <c:pt idx="5945">
                        <c:v>18.710999999999999</c:v>
                      </c:pt>
                      <c:pt idx="5946">
                        <c:v>18.710999999999999</c:v>
                      </c:pt>
                      <c:pt idx="5947">
                        <c:v>18.806000000000001</c:v>
                      </c:pt>
                      <c:pt idx="5948">
                        <c:v>18.806000000000001</c:v>
                      </c:pt>
                      <c:pt idx="5949">
                        <c:v>18.710999999999999</c:v>
                      </c:pt>
                      <c:pt idx="5950">
                        <c:v>18.806000000000001</c:v>
                      </c:pt>
                      <c:pt idx="5951">
                        <c:v>18.806000000000001</c:v>
                      </c:pt>
                      <c:pt idx="5952">
                        <c:v>18.806000000000001</c:v>
                      </c:pt>
                      <c:pt idx="5953">
                        <c:v>18.806000000000001</c:v>
                      </c:pt>
                      <c:pt idx="5954">
                        <c:v>18.995999999999999</c:v>
                      </c:pt>
                      <c:pt idx="5955">
                        <c:v>18.995999999999999</c:v>
                      </c:pt>
                      <c:pt idx="5956">
                        <c:v>19.091999999999999</c:v>
                      </c:pt>
                      <c:pt idx="5957">
                        <c:v>19.091999999999999</c:v>
                      </c:pt>
                      <c:pt idx="5958">
                        <c:v>19.187000000000001</c:v>
                      </c:pt>
                      <c:pt idx="5959">
                        <c:v>19.282</c:v>
                      </c:pt>
                      <c:pt idx="5960">
                        <c:v>19.282</c:v>
                      </c:pt>
                      <c:pt idx="5961">
                        <c:v>19.376999999999999</c:v>
                      </c:pt>
                      <c:pt idx="5962">
                        <c:v>19.376999999999999</c:v>
                      </c:pt>
                      <c:pt idx="5963">
                        <c:v>19.567</c:v>
                      </c:pt>
                      <c:pt idx="5964">
                        <c:v>19.567</c:v>
                      </c:pt>
                      <c:pt idx="5965">
                        <c:v>19.661999999999999</c:v>
                      </c:pt>
                      <c:pt idx="5966">
                        <c:v>19.853000000000002</c:v>
                      </c:pt>
                      <c:pt idx="5967">
                        <c:v>19.757999999999999</c:v>
                      </c:pt>
                      <c:pt idx="5968">
                        <c:v>19.853000000000002</c:v>
                      </c:pt>
                      <c:pt idx="5969">
                        <c:v>19.948</c:v>
                      </c:pt>
                      <c:pt idx="5970">
                        <c:v>19.948</c:v>
                      </c:pt>
                      <c:pt idx="5971">
                        <c:v>20.042999999999999</c:v>
                      </c:pt>
                      <c:pt idx="5972">
                        <c:v>20.138000000000002</c:v>
                      </c:pt>
                      <c:pt idx="5973">
                        <c:v>20.234000000000002</c:v>
                      </c:pt>
                      <c:pt idx="5974">
                        <c:v>20.71</c:v>
                      </c:pt>
                      <c:pt idx="5975">
                        <c:v>20.805</c:v>
                      </c:pt>
                      <c:pt idx="5976">
                        <c:v>20.614999999999998</c:v>
                      </c:pt>
                      <c:pt idx="5977">
                        <c:v>20.518999999999998</c:v>
                      </c:pt>
                      <c:pt idx="5978">
                        <c:v>20.614999999999998</c:v>
                      </c:pt>
                      <c:pt idx="5979">
                        <c:v>20.71</c:v>
                      </c:pt>
                      <c:pt idx="5980">
                        <c:v>20.805</c:v>
                      </c:pt>
                      <c:pt idx="5981">
                        <c:v>20.805</c:v>
                      </c:pt>
                      <c:pt idx="5982">
                        <c:v>20.71</c:v>
                      </c:pt>
                      <c:pt idx="5983">
                        <c:v>20.805</c:v>
                      </c:pt>
                      <c:pt idx="5984">
                        <c:v>20.901</c:v>
                      </c:pt>
                      <c:pt idx="5985">
                        <c:v>20.805</c:v>
                      </c:pt>
                      <c:pt idx="5986">
                        <c:v>20.995999999999999</c:v>
                      </c:pt>
                      <c:pt idx="5987">
                        <c:v>21.282</c:v>
                      </c:pt>
                      <c:pt idx="5988">
                        <c:v>21.187000000000001</c:v>
                      </c:pt>
                      <c:pt idx="5989">
                        <c:v>20.995999999999999</c:v>
                      </c:pt>
                      <c:pt idx="5990">
                        <c:v>21.091000000000001</c:v>
                      </c:pt>
                      <c:pt idx="5991">
                        <c:v>21.187000000000001</c:v>
                      </c:pt>
                      <c:pt idx="5992">
                        <c:v>20.995999999999999</c:v>
                      </c:pt>
                      <c:pt idx="5993">
                        <c:v>20.995999999999999</c:v>
                      </c:pt>
                      <c:pt idx="5994">
                        <c:v>20.995999999999999</c:v>
                      </c:pt>
                      <c:pt idx="5995">
                        <c:v>20.995999999999999</c:v>
                      </c:pt>
                      <c:pt idx="5996">
                        <c:v>20.901</c:v>
                      </c:pt>
                      <c:pt idx="5997">
                        <c:v>20.901</c:v>
                      </c:pt>
                      <c:pt idx="5998">
                        <c:v>20.901</c:v>
                      </c:pt>
                      <c:pt idx="5999">
                        <c:v>20.901</c:v>
                      </c:pt>
                      <c:pt idx="6000">
                        <c:v>20.901</c:v>
                      </c:pt>
                      <c:pt idx="6001">
                        <c:v>20.901</c:v>
                      </c:pt>
                      <c:pt idx="6002">
                        <c:v>20.805</c:v>
                      </c:pt>
                      <c:pt idx="6003">
                        <c:v>20.805</c:v>
                      </c:pt>
                      <c:pt idx="6004">
                        <c:v>20.805</c:v>
                      </c:pt>
                      <c:pt idx="6005">
                        <c:v>20.805</c:v>
                      </c:pt>
                      <c:pt idx="6006">
                        <c:v>20.805</c:v>
                      </c:pt>
                      <c:pt idx="6007">
                        <c:v>20.805</c:v>
                      </c:pt>
                      <c:pt idx="6008">
                        <c:v>20.805</c:v>
                      </c:pt>
                      <c:pt idx="6009">
                        <c:v>20.805</c:v>
                      </c:pt>
                      <c:pt idx="6010">
                        <c:v>20.71</c:v>
                      </c:pt>
                      <c:pt idx="6011">
                        <c:v>20.71</c:v>
                      </c:pt>
                      <c:pt idx="6012">
                        <c:v>20.71</c:v>
                      </c:pt>
                      <c:pt idx="6013">
                        <c:v>20.614999999999998</c:v>
                      </c:pt>
                      <c:pt idx="6014">
                        <c:v>20.614999999999998</c:v>
                      </c:pt>
                      <c:pt idx="6015">
                        <c:v>20.614999999999998</c:v>
                      </c:pt>
                      <c:pt idx="6016">
                        <c:v>20.614999999999998</c:v>
                      </c:pt>
                      <c:pt idx="6017">
                        <c:v>20.518999999999998</c:v>
                      </c:pt>
                      <c:pt idx="6018">
                        <c:v>20.518999999999998</c:v>
                      </c:pt>
                      <c:pt idx="6019">
                        <c:v>20.518999999999998</c:v>
                      </c:pt>
                      <c:pt idx="6020">
                        <c:v>20.423999999999999</c:v>
                      </c:pt>
                      <c:pt idx="6021">
                        <c:v>20.423999999999999</c:v>
                      </c:pt>
                      <c:pt idx="6022">
                        <c:v>20.423999999999999</c:v>
                      </c:pt>
                      <c:pt idx="6023">
                        <c:v>20.329000000000001</c:v>
                      </c:pt>
                      <c:pt idx="6024">
                        <c:v>20.329000000000001</c:v>
                      </c:pt>
                      <c:pt idx="6025">
                        <c:v>20.234000000000002</c:v>
                      </c:pt>
                      <c:pt idx="6026">
                        <c:v>20.234000000000002</c:v>
                      </c:pt>
                      <c:pt idx="6027">
                        <c:v>20.234000000000002</c:v>
                      </c:pt>
                      <c:pt idx="6028">
                        <c:v>20.138000000000002</c:v>
                      </c:pt>
                      <c:pt idx="6029">
                        <c:v>20.138000000000002</c:v>
                      </c:pt>
                      <c:pt idx="6030">
                        <c:v>20.042999999999999</c:v>
                      </c:pt>
                      <c:pt idx="6031">
                        <c:v>20.138000000000002</c:v>
                      </c:pt>
                      <c:pt idx="6032">
                        <c:v>20.042999999999999</c:v>
                      </c:pt>
                      <c:pt idx="6033">
                        <c:v>20.042999999999999</c:v>
                      </c:pt>
                      <c:pt idx="6034">
                        <c:v>20.042999999999999</c:v>
                      </c:pt>
                      <c:pt idx="6035">
                        <c:v>20.042999999999999</c:v>
                      </c:pt>
                      <c:pt idx="6036">
                        <c:v>19.948</c:v>
                      </c:pt>
                      <c:pt idx="6037">
                        <c:v>19.948</c:v>
                      </c:pt>
                      <c:pt idx="6038">
                        <c:v>19.948</c:v>
                      </c:pt>
                      <c:pt idx="6039">
                        <c:v>19.948</c:v>
                      </c:pt>
                      <c:pt idx="6040">
                        <c:v>19.948</c:v>
                      </c:pt>
                      <c:pt idx="6041">
                        <c:v>19.948</c:v>
                      </c:pt>
                      <c:pt idx="6042">
                        <c:v>19.948</c:v>
                      </c:pt>
                      <c:pt idx="6043">
                        <c:v>19.948</c:v>
                      </c:pt>
                      <c:pt idx="6044">
                        <c:v>19.948</c:v>
                      </c:pt>
                      <c:pt idx="6045">
                        <c:v>19.948</c:v>
                      </c:pt>
                      <c:pt idx="6046">
                        <c:v>19.853000000000002</c:v>
                      </c:pt>
                      <c:pt idx="6047">
                        <c:v>19.853000000000002</c:v>
                      </c:pt>
                      <c:pt idx="6048">
                        <c:v>19.853000000000002</c:v>
                      </c:pt>
                      <c:pt idx="6049">
                        <c:v>19.853000000000002</c:v>
                      </c:pt>
                      <c:pt idx="6050">
                        <c:v>19.853000000000002</c:v>
                      </c:pt>
                      <c:pt idx="6051">
                        <c:v>19.853000000000002</c:v>
                      </c:pt>
                      <c:pt idx="6052">
                        <c:v>19.853000000000002</c:v>
                      </c:pt>
                      <c:pt idx="6053">
                        <c:v>19.853000000000002</c:v>
                      </c:pt>
                      <c:pt idx="6054">
                        <c:v>19.757999999999999</c:v>
                      </c:pt>
                      <c:pt idx="6055">
                        <c:v>19.757999999999999</c:v>
                      </c:pt>
                      <c:pt idx="6056">
                        <c:v>19.757999999999999</c:v>
                      </c:pt>
                      <c:pt idx="6057">
                        <c:v>19.757999999999999</c:v>
                      </c:pt>
                      <c:pt idx="6058">
                        <c:v>19.757999999999999</c:v>
                      </c:pt>
                      <c:pt idx="6059">
                        <c:v>19.757999999999999</c:v>
                      </c:pt>
                      <c:pt idx="6060">
                        <c:v>19.757999999999999</c:v>
                      </c:pt>
                      <c:pt idx="6061">
                        <c:v>19.757999999999999</c:v>
                      </c:pt>
                      <c:pt idx="6062">
                        <c:v>19.661999999999999</c:v>
                      </c:pt>
                      <c:pt idx="6063">
                        <c:v>19.661999999999999</c:v>
                      </c:pt>
                      <c:pt idx="6064">
                        <c:v>19.661999999999999</c:v>
                      </c:pt>
                      <c:pt idx="6065">
                        <c:v>19.661999999999999</c:v>
                      </c:pt>
                      <c:pt idx="6066">
                        <c:v>19.661999999999999</c:v>
                      </c:pt>
                      <c:pt idx="6067">
                        <c:v>19.661999999999999</c:v>
                      </c:pt>
                      <c:pt idx="6068">
                        <c:v>19.661999999999999</c:v>
                      </c:pt>
                      <c:pt idx="6069">
                        <c:v>19.567</c:v>
                      </c:pt>
                      <c:pt idx="6070">
                        <c:v>19.661999999999999</c:v>
                      </c:pt>
                      <c:pt idx="6071">
                        <c:v>19.567</c:v>
                      </c:pt>
                      <c:pt idx="6072">
                        <c:v>19.472000000000001</c:v>
                      </c:pt>
                      <c:pt idx="6073">
                        <c:v>19.567</c:v>
                      </c:pt>
                      <c:pt idx="6074">
                        <c:v>19.567</c:v>
                      </c:pt>
                      <c:pt idx="6075">
                        <c:v>19.567</c:v>
                      </c:pt>
                      <c:pt idx="6076">
                        <c:v>19.472000000000001</c:v>
                      </c:pt>
                      <c:pt idx="6077">
                        <c:v>19.472000000000001</c:v>
                      </c:pt>
                      <c:pt idx="6078">
                        <c:v>19.472000000000001</c:v>
                      </c:pt>
                      <c:pt idx="6079">
                        <c:v>19.472000000000001</c:v>
                      </c:pt>
                      <c:pt idx="6080">
                        <c:v>19.472000000000001</c:v>
                      </c:pt>
                      <c:pt idx="6081">
                        <c:v>19.472000000000001</c:v>
                      </c:pt>
                      <c:pt idx="6082">
                        <c:v>19.472000000000001</c:v>
                      </c:pt>
                      <c:pt idx="6083">
                        <c:v>19.472000000000001</c:v>
                      </c:pt>
                      <c:pt idx="6084">
                        <c:v>19.472000000000001</c:v>
                      </c:pt>
                      <c:pt idx="6085">
                        <c:v>19.472000000000001</c:v>
                      </c:pt>
                      <c:pt idx="6086">
                        <c:v>19.472000000000001</c:v>
                      </c:pt>
                      <c:pt idx="6087">
                        <c:v>19.472000000000001</c:v>
                      </c:pt>
                      <c:pt idx="6088">
                        <c:v>19.472000000000001</c:v>
                      </c:pt>
                      <c:pt idx="6089">
                        <c:v>19.472000000000001</c:v>
                      </c:pt>
                      <c:pt idx="6090">
                        <c:v>19.472000000000001</c:v>
                      </c:pt>
                      <c:pt idx="6091">
                        <c:v>19.472000000000001</c:v>
                      </c:pt>
                      <c:pt idx="6092">
                        <c:v>19.472000000000001</c:v>
                      </c:pt>
                      <c:pt idx="6093">
                        <c:v>19.472000000000001</c:v>
                      </c:pt>
                      <c:pt idx="6094">
                        <c:v>19.472000000000001</c:v>
                      </c:pt>
                      <c:pt idx="6095">
                        <c:v>19.472000000000001</c:v>
                      </c:pt>
                      <c:pt idx="6096">
                        <c:v>19.567</c:v>
                      </c:pt>
                      <c:pt idx="6097">
                        <c:v>19.567</c:v>
                      </c:pt>
                      <c:pt idx="6098">
                        <c:v>19.567</c:v>
                      </c:pt>
                      <c:pt idx="6099">
                        <c:v>19.661999999999999</c:v>
                      </c:pt>
                      <c:pt idx="6100">
                        <c:v>19.757999999999999</c:v>
                      </c:pt>
                      <c:pt idx="6101">
                        <c:v>19.757999999999999</c:v>
                      </c:pt>
                      <c:pt idx="6102">
                        <c:v>19.853000000000002</c:v>
                      </c:pt>
                      <c:pt idx="6103">
                        <c:v>19.948</c:v>
                      </c:pt>
                      <c:pt idx="6104">
                        <c:v>19.948</c:v>
                      </c:pt>
                      <c:pt idx="6105">
                        <c:v>20.042999999999999</c:v>
                      </c:pt>
                      <c:pt idx="6106">
                        <c:v>20.138000000000002</c:v>
                      </c:pt>
                      <c:pt idx="6107">
                        <c:v>20.234000000000002</c:v>
                      </c:pt>
                      <c:pt idx="6108">
                        <c:v>20.234000000000002</c:v>
                      </c:pt>
                      <c:pt idx="6109">
                        <c:v>20.329000000000001</c:v>
                      </c:pt>
                      <c:pt idx="6110">
                        <c:v>20.329000000000001</c:v>
                      </c:pt>
                      <c:pt idx="6111">
                        <c:v>20.423999999999999</c:v>
                      </c:pt>
                      <c:pt idx="6112">
                        <c:v>20.423999999999999</c:v>
                      </c:pt>
                      <c:pt idx="6113">
                        <c:v>20.423999999999999</c:v>
                      </c:pt>
                      <c:pt idx="6114">
                        <c:v>20.518999999999998</c:v>
                      </c:pt>
                      <c:pt idx="6115">
                        <c:v>20.518999999999998</c:v>
                      </c:pt>
                      <c:pt idx="6116">
                        <c:v>20.614999999999998</c:v>
                      </c:pt>
                      <c:pt idx="6117">
                        <c:v>20.71</c:v>
                      </c:pt>
                      <c:pt idx="6118">
                        <c:v>20.71</c:v>
                      </c:pt>
                      <c:pt idx="6119">
                        <c:v>20.805</c:v>
                      </c:pt>
                      <c:pt idx="6120">
                        <c:v>20.901</c:v>
                      </c:pt>
                      <c:pt idx="6121">
                        <c:v>20.995999999999999</c:v>
                      </c:pt>
                      <c:pt idx="6122">
                        <c:v>20.995999999999999</c:v>
                      </c:pt>
                      <c:pt idx="6123">
                        <c:v>20.995999999999999</c:v>
                      </c:pt>
                      <c:pt idx="6124">
                        <c:v>20.995999999999999</c:v>
                      </c:pt>
                      <c:pt idx="6125">
                        <c:v>21.091000000000001</c:v>
                      </c:pt>
                      <c:pt idx="6126">
                        <c:v>21.187000000000001</c:v>
                      </c:pt>
                      <c:pt idx="6127">
                        <c:v>21.187000000000001</c:v>
                      </c:pt>
                      <c:pt idx="6128">
                        <c:v>21.282</c:v>
                      </c:pt>
                      <c:pt idx="6129">
                        <c:v>21.187000000000001</c:v>
                      </c:pt>
                      <c:pt idx="6130">
                        <c:v>21.187000000000001</c:v>
                      </c:pt>
                      <c:pt idx="6131">
                        <c:v>21.187000000000001</c:v>
                      </c:pt>
                      <c:pt idx="6132">
                        <c:v>21.282</c:v>
                      </c:pt>
                      <c:pt idx="6133">
                        <c:v>21.282</c:v>
                      </c:pt>
                      <c:pt idx="6134">
                        <c:v>21.187000000000001</c:v>
                      </c:pt>
                      <c:pt idx="6135">
                        <c:v>21.378</c:v>
                      </c:pt>
                      <c:pt idx="6136">
                        <c:v>21.282</c:v>
                      </c:pt>
                      <c:pt idx="6137">
                        <c:v>21.187000000000001</c:v>
                      </c:pt>
                      <c:pt idx="6138">
                        <c:v>21.187000000000001</c:v>
                      </c:pt>
                      <c:pt idx="6139">
                        <c:v>21.187000000000001</c:v>
                      </c:pt>
                      <c:pt idx="6140">
                        <c:v>21.187000000000001</c:v>
                      </c:pt>
                      <c:pt idx="6141">
                        <c:v>21.187000000000001</c:v>
                      </c:pt>
                      <c:pt idx="6142">
                        <c:v>21.091000000000001</c:v>
                      </c:pt>
                      <c:pt idx="6143">
                        <c:v>21.091000000000001</c:v>
                      </c:pt>
                      <c:pt idx="6144">
                        <c:v>21.091000000000001</c:v>
                      </c:pt>
                      <c:pt idx="6145">
                        <c:v>21.091000000000001</c:v>
                      </c:pt>
                      <c:pt idx="6146">
                        <c:v>20.995999999999999</c:v>
                      </c:pt>
                      <c:pt idx="6147">
                        <c:v>20.995999999999999</c:v>
                      </c:pt>
                      <c:pt idx="6148">
                        <c:v>20.995999999999999</c:v>
                      </c:pt>
                      <c:pt idx="6149">
                        <c:v>20.995999999999999</c:v>
                      </c:pt>
                      <c:pt idx="6150">
                        <c:v>20.995999999999999</c:v>
                      </c:pt>
                      <c:pt idx="6151">
                        <c:v>20.901</c:v>
                      </c:pt>
                      <c:pt idx="6152">
                        <c:v>20.901</c:v>
                      </c:pt>
                      <c:pt idx="6153">
                        <c:v>20.901</c:v>
                      </c:pt>
                      <c:pt idx="6154">
                        <c:v>20.901</c:v>
                      </c:pt>
                      <c:pt idx="6155">
                        <c:v>20.805</c:v>
                      </c:pt>
                      <c:pt idx="6156">
                        <c:v>20.805</c:v>
                      </c:pt>
                      <c:pt idx="6157">
                        <c:v>20.805</c:v>
                      </c:pt>
                      <c:pt idx="6158">
                        <c:v>20.71</c:v>
                      </c:pt>
                      <c:pt idx="6159">
                        <c:v>20.71</c:v>
                      </c:pt>
                      <c:pt idx="6160">
                        <c:v>20.71</c:v>
                      </c:pt>
                      <c:pt idx="6161">
                        <c:v>20.71</c:v>
                      </c:pt>
                      <c:pt idx="6162">
                        <c:v>20.71</c:v>
                      </c:pt>
                      <c:pt idx="6163">
                        <c:v>20.71</c:v>
                      </c:pt>
                      <c:pt idx="6164">
                        <c:v>20.71</c:v>
                      </c:pt>
                      <c:pt idx="6165">
                        <c:v>20.71</c:v>
                      </c:pt>
                      <c:pt idx="6166">
                        <c:v>20.71</c:v>
                      </c:pt>
                      <c:pt idx="6167">
                        <c:v>20.71</c:v>
                      </c:pt>
                      <c:pt idx="6168">
                        <c:v>20.71</c:v>
                      </c:pt>
                      <c:pt idx="6169">
                        <c:v>20.71</c:v>
                      </c:pt>
                      <c:pt idx="6170">
                        <c:v>20.71</c:v>
                      </c:pt>
                      <c:pt idx="6171">
                        <c:v>20.614999999999998</c:v>
                      </c:pt>
                      <c:pt idx="6172">
                        <c:v>20.614999999999998</c:v>
                      </c:pt>
                      <c:pt idx="6173">
                        <c:v>20.614999999999998</c:v>
                      </c:pt>
                      <c:pt idx="6174">
                        <c:v>20.614999999999998</c:v>
                      </c:pt>
                      <c:pt idx="6175">
                        <c:v>20.614999999999998</c:v>
                      </c:pt>
                      <c:pt idx="6176">
                        <c:v>20.614999999999998</c:v>
                      </c:pt>
                      <c:pt idx="6177">
                        <c:v>20.518999999999998</c:v>
                      </c:pt>
                      <c:pt idx="6178">
                        <c:v>20.518999999999998</c:v>
                      </c:pt>
                      <c:pt idx="6179">
                        <c:v>20.518999999999998</c:v>
                      </c:pt>
                      <c:pt idx="6180">
                        <c:v>20.518999999999998</c:v>
                      </c:pt>
                      <c:pt idx="6181">
                        <c:v>20.518999999999998</c:v>
                      </c:pt>
                      <c:pt idx="6182">
                        <c:v>20.518999999999998</c:v>
                      </c:pt>
                      <c:pt idx="6183">
                        <c:v>20.518999999999998</c:v>
                      </c:pt>
                      <c:pt idx="6184">
                        <c:v>20.518999999999998</c:v>
                      </c:pt>
                      <c:pt idx="6185">
                        <c:v>20.423999999999999</c:v>
                      </c:pt>
                      <c:pt idx="6186">
                        <c:v>20.423999999999999</c:v>
                      </c:pt>
                      <c:pt idx="6187">
                        <c:v>20.423999999999999</c:v>
                      </c:pt>
                      <c:pt idx="6188">
                        <c:v>20.423999999999999</c:v>
                      </c:pt>
                      <c:pt idx="6189">
                        <c:v>20.423999999999999</c:v>
                      </c:pt>
                      <c:pt idx="6190">
                        <c:v>20.423999999999999</c:v>
                      </c:pt>
                      <c:pt idx="6191">
                        <c:v>20.329000000000001</c:v>
                      </c:pt>
                      <c:pt idx="6192">
                        <c:v>20.329000000000001</c:v>
                      </c:pt>
                      <c:pt idx="6193">
                        <c:v>20.329000000000001</c:v>
                      </c:pt>
                      <c:pt idx="6194">
                        <c:v>20.329000000000001</c:v>
                      </c:pt>
                      <c:pt idx="6195">
                        <c:v>20.234000000000002</c:v>
                      </c:pt>
                      <c:pt idx="6196">
                        <c:v>20.234000000000002</c:v>
                      </c:pt>
                      <c:pt idx="6197">
                        <c:v>20.234000000000002</c:v>
                      </c:pt>
                      <c:pt idx="6198">
                        <c:v>20.234000000000002</c:v>
                      </c:pt>
                      <c:pt idx="6199">
                        <c:v>20.234000000000002</c:v>
                      </c:pt>
                      <c:pt idx="6200">
                        <c:v>20.138000000000002</c:v>
                      </c:pt>
                      <c:pt idx="6201">
                        <c:v>20.138000000000002</c:v>
                      </c:pt>
                      <c:pt idx="6202">
                        <c:v>20.138000000000002</c:v>
                      </c:pt>
                      <c:pt idx="6203">
                        <c:v>20.138000000000002</c:v>
                      </c:pt>
                      <c:pt idx="6204">
                        <c:v>20.138000000000002</c:v>
                      </c:pt>
                      <c:pt idx="6205">
                        <c:v>20.138000000000002</c:v>
                      </c:pt>
                      <c:pt idx="6206">
                        <c:v>20.138000000000002</c:v>
                      </c:pt>
                      <c:pt idx="6207">
                        <c:v>20.138000000000002</c:v>
                      </c:pt>
                      <c:pt idx="6208">
                        <c:v>20.138000000000002</c:v>
                      </c:pt>
                      <c:pt idx="6209">
                        <c:v>20.042999999999999</c:v>
                      </c:pt>
                      <c:pt idx="6210">
                        <c:v>20.042999999999999</c:v>
                      </c:pt>
                      <c:pt idx="6211">
                        <c:v>20.042999999999999</c:v>
                      </c:pt>
                      <c:pt idx="6212">
                        <c:v>20.042999999999999</c:v>
                      </c:pt>
                      <c:pt idx="6213">
                        <c:v>20.042999999999999</c:v>
                      </c:pt>
                      <c:pt idx="6214">
                        <c:v>20.042999999999999</c:v>
                      </c:pt>
                      <c:pt idx="6215">
                        <c:v>20.042999999999999</c:v>
                      </c:pt>
                      <c:pt idx="6216">
                        <c:v>19.948</c:v>
                      </c:pt>
                      <c:pt idx="6217">
                        <c:v>19.948</c:v>
                      </c:pt>
                      <c:pt idx="6218">
                        <c:v>19.948</c:v>
                      </c:pt>
                      <c:pt idx="6219">
                        <c:v>19.948</c:v>
                      </c:pt>
                      <c:pt idx="6220">
                        <c:v>19.948</c:v>
                      </c:pt>
                      <c:pt idx="6221">
                        <c:v>19.948</c:v>
                      </c:pt>
                      <c:pt idx="6222">
                        <c:v>19.948</c:v>
                      </c:pt>
                      <c:pt idx="6223">
                        <c:v>19.948</c:v>
                      </c:pt>
                      <c:pt idx="6224">
                        <c:v>19.948</c:v>
                      </c:pt>
                      <c:pt idx="6225">
                        <c:v>19.948</c:v>
                      </c:pt>
                      <c:pt idx="6226">
                        <c:v>19.948</c:v>
                      </c:pt>
                      <c:pt idx="6227">
                        <c:v>19.948</c:v>
                      </c:pt>
                      <c:pt idx="6228">
                        <c:v>19.948</c:v>
                      </c:pt>
                      <c:pt idx="6229">
                        <c:v>20.042999999999999</c:v>
                      </c:pt>
                      <c:pt idx="6230">
                        <c:v>20.042999999999999</c:v>
                      </c:pt>
                      <c:pt idx="6231">
                        <c:v>20.042999999999999</c:v>
                      </c:pt>
                      <c:pt idx="6232">
                        <c:v>20.042999999999999</c:v>
                      </c:pt>
                      <c:pt idx="6233">
                        <c:v>20.042999999999999</c:v>
                      </c:pt>
                      <c:pt idx="6234">
                        <c:v>20.138000000000002</c:v>
                      </c:pt>
                      <c:pt idx="6235">
                        <c:v>20.138000000000002</c:v>
                      </c:pt>
                      <c:pt idx="6236">
                        <c:v>20.234000000000002</c:v>
                      </c:pt>
                      <c:pt idx="6237">
                        <c:v>20.234000000000002</c:v>
                      </c:pt>
                      <c:pt idx="6238">
                        <c:v>20.234000000000002</c:v>
                      </c:pt>
                      <c:pt idx="6239">
                        <c:v>20.329000000000001</c:v>
                      </c:pt>
                      <c:pt idx="6240">
                        <c:v>20.329000000000001</c:v>
                      </c:pt>
                      <c:pt idx="6241">
                        <c:v>20.329000000000001</c:v>
                      </c:pt>
                      <c:pt idx="6242">
                        <c:v>20.329000000000001</c:v>
                      </c:pt>
                      <c:pt idx="6243">
                        <c:v>20.329000000000001</c:v>
                      </c:pt>
                      <c:pt idx="6244">
                        <c:v>20.329000000000001</c:v>
                      </c:pt>
                      <c:pt idx="6245">
                        <c:v>20.329000000000001</c:v>
                      </c:pt>
                      <c:pt idx="6246">
                        <c:v>20.329000000000001</c:v>
                      </c:pt>
                      <c:pt idx="6247">
                        <c:v>20.329000000000001</c:v>
                      </c:pt>
                      <c:pt idx="6248">
                        <c:v>20.329000000000001</c:v>
                      </c:pt>
                      <c:pt idx="6249">
                        <c:v>20.329000000000001</c:v>
                      </c:pt>
                      <c:pt idx="6250">
                        <c:v>20.329000000000001</c:v>
                      </c:pt>
                      <c:pt idx="6251">
                        <c:v>20.329000000000001</c:v>
                      </c:pt>
                      <c:pt idx="6252">
                        <c:v>20.329000000000001</c:v>
                      </c:pt>
                      <c:pt idx="6253">
                        <c:v>20.329000000000001</c:v>
                      </c:pt>
                      <c:pt idx="6254">
                        <c:v>20.234000000000002</c:v>
                      </c:pt>
                      <c:pt idx="6255">
                        <c:v>20.138000000000002</c:v>
                      </c:pt>
                      <c:pt idx="6256">
                        <c:v>20.042999999999999</c:v>
                      </c:pt>
                      <c:pt idx="6257">
                        <c:v>20.138000000000002</c:v>
                      </c:pt>
                      <c:pt idx="6258">
                        <c:v>20.138000000000002</c:v>
                      </c:pt>
                      <c:pt idx="6259">
                        <c:v>20.138000000000002</c:v>
                      </c:pt>
                      <c:pt idx="6260">
                        <c:v>20.234000000000002</c:v>
                      </c:pt>
                      <c:pt idx="6261">
                        <c:v>20.234000000000002</c:v>
                      </c:pt>
                      <c:pt idx="6262">
                        <c:v>20.234000000000002</c:v>
                      </c:pt>
                      <c:pt idx="6263">
                        <c:v>20.234000000000002</c:v>
                      </c:pt>
                      <c:pt idx="6264">
                        <c:v>20.234000000000002</c:v>
                      </c:pt>
                      <c:pt idx="6265">
                        <c:v>20.234000000000002</c:v>
                      </c:pt>
                      <c:pt idx="6266">
                        <c:v>20.234000000000002</c:v>
                      </c:pt>
                      <c:pt idx="6267">
                        <c:v>20.234000000000002</c:v>
                      </c:pt>
                      <c:pt idx="6268">
                        <c:v>20.234000000000002</c:v>
                      </c:pt>
                      <c:pt idx="6269">
                        <c:v>20.234000000000002</c:v>
                      </c:pt>
                      <c:pt idx="6270">
                        <c:v>20.234000000000002</c:v>
                      </c:pt>
                      <c:pt idx="6271">
                        <c:v>20.234000000000002</c:v>
                      </c:pt>
                      <c:pt idx="6272">
                        <c:v>20.234000000000002</c:v>
                      </c:pt>
                      <c:pt idx="6273">
                        <c:v>20.234000000000002</c:v>
                      </c:pt>
                      <c:pt idx="6274">
                        <c:v>20.234000000000002</c:v>
                      </c:pt>
                      <c:pt idx="6275">
                        <c:v>20.234000000000002</c:v>
                      </c:pt>
                      <c:pt idx="6276">
                        <c:v>20.329000000000001</c:v>
                      </c:pt>
                      <c:pt idx="6277">
                        <c:v>20.329000000000001</c:v>
                      </c:pt>
                      <c:pt idx="6278">
                        <c:v>20.329000000000001</c:v>
                      </c:pt>
                      <c:pt idx="6279">
                        <c:v>20.329000000000001</c:v>
                      </c:pt>
                      <c:pt idx="6280">
                        <c:v>20.329000000000001</c:v>
                      </c:pt>
                      <c:pt idx="6281">
                        <c:v>20.329000000000001</c:v>
                      </c:pt>
                      <c:pt idx="6282">
                        <c:v>20.329000000000001</c:v>
                      </c:pt>
                      <c:pt idx="6283">
                        <c:v>20.329000000000001</c:v>
                      </c:pt>
                      <c:pt idx="6284">
                        <c:v>20.329000000000001</c:v>
                      </c:pt>
                      <c:pt idx="6285">
                        <c:v>20.329000000000001</c:v>
                      </c:pt>
                      <c:pt idx="6286">
                        <c:v>20.329000000000001</c:v>
                      </c:pt>
                      <c:pt idx="6287">
                        <c:v>20.329000000000001</c:v>
                      </c:pt>
                      <c:pt idx="6288">
                        <c:v>20.329000000000001</c:v>
                      </c:pt>
                      <c:pt idx="6289">
                        <c:v>20.329000000000001</c:v>
                      </c:pt>
                      <c:pt idx="6290">
                        <c:v>20.329000000000001</c:v>
                      </c:pt>
                      <c:pt idx="6291">
                        <c:v>20.329000000000001</c:v>
                      </c:pt>
                      <c:pt idx="6292">
                        <c:v>20.329000000000001</c:v>
                      </c:pt>
                      <c:pt idx="6293">
                        <c:v>20.329000000000001</c:v>
                      </c:pt>
                      <c:pt idx="6294">
                        <c:v>20.329000000000001</c:v>
                      </c:pt>
                      <c:pt idx="6295">
                        <c:v>20.329000000000001</c:v>
                      </c:pt>
                      <c:pt idx="6296">
                        <c:v>20.329000000000001</c:v>
                      </c:pt>
                      <c:pt idx="6297">
                        <c:v>20.329000000000001</c:v>
                      </c:pt>
                      <c:pt idx="6298">
                        <c:v>20.234000000000002</c:v>
                      </c:pt>
                      <c:pt idx="6299">
                        <c:v>20.234000000000002</c:v>
                      </c:pt>
                      <c:pt idx="6300">
                        <c:v>20.234000000000002</c:v>
                      </c:pt>
                      <c:pt idx="6301">
                        <c:v>20.234000000000002</c:v>
                      </c:pt>
                      <c:pt idx="6302">
                        <c:v>20.234000000000002</c:v>
                      </c:pt>
                      <c:pt idx="6303">
                        <c:v>20.234000000000002</c:v>
                      </c:pt>
                      <c:pt idx="6304">
                        <c:v>20.234000000000002</c:v>
                      </c:pt>
                      <c:pt idx="6305">
                        <c:v>20.138000000000002</c:v>
                      </c:pt>
                      <c:pt idx="6306">
                        <c:v>20.138000000000002</c:v>
                      </c:pt>
                      <c:pt idx="6307">
                        <c:v>20.138000000000002</c:v>
                      </c:pt>
                      <c:pt idx="6308">
                        <c:v>20.138000000000002</c:v>
                      </c:pt>
                      <c:pt idx="6309">
                        <c:v>20.138000000000002</c:v>
                      </c:pt>
                      <c:pt idx="6310">
                        <c:v>20.138000000000002</c:v>
                      </c:pt>
                      <c:pt idx="6311">
                        <c:v>20.138000000000002</c:v>
                      </c:pt>
                      <c:pt idx="6312">
                        <c:v>20.138000000000002</c:v>
                      </c:pt>
                      <c:pt idx="6313">
                        <c:v>20.138000000000002</c:v>
                      </c:pt>
                      <c:pt idx="6314">
                        <c:v>20.138000000000002</c:v>
                      </c:pt>
                      <c:pt idx="6315">
                        <c:v>20.042999999999999</c:v>
                      </c:pt>
                      <c:pt idx="6316">
                        <c:v>20.042999999999999</c:v>
                      </c:pt>
                      <c:pt idx="6317">
                        <c:v>20.042999999999999</c:v>
                      </c:pt>
                      <c:pt idx="6318">
                        <c:v>19.948</c:v>
                      </c:pt>
                      <c:pt idx="6319">
                        <c:v>20.042999999999999</c:v>
                      </c:pt>
                      <c:pt idx="6320">
                        <c:v>19.948</c:v>
                      </c:pt>
                      <c:pt idx="6321">
                        <c:v>19.948</c:v>
                      </c:pt>
                      <c:pt idx="6322">
                        <c:v>19.948</c:v>
                      </c:pt>
                      <c:pt idx="6323">
                        <c:v>19.948</c:v>
                      </c:pt>
                      <c:pt idx="6324">
                        <c:v>19.948</c:v>
                      </c:pt>
                      <c:pt idx="6325">
                        <c:v>19.948</c:v>
                      </c:pt>
                      <c:pt idx="6326">
                        <c:v>19.853000000000002</c:v>
                      </c:pt>
                      <c:pt idx="6327">
                        <c:v>19.853000000000002</c:v>
                      </c:pt>
                      <c:pt idx="6328">
                        <c:v>19.853000000000002</c:v>
                      </c:pt>
                      <c:pt idx="6329">
                        <c:v>19.757999999999999</c:v>
                      </c:pt>
                      <c:pt idx="6330">
                        <c:v>19.757999999999999</c:v>
                      </c:pt>
                      <c:pt idx="6331">
                        <c:v>19.757999999999999</c:v>
                      </c:pt>
                      <c:pt idx="6332">
                        <c:v>19.757999999999999</c:v>
                      </c:pt>
                      <c:pt idx="6333">
                        <c:v>19.757999999999999</c:v>
                      </c:pt>
                      <c:pt idx="6334">
                        <c:v>19.757999999999999</c:v>
                      </c:pt>
                      <c:pt idx="6335">
                        <c:v>19.757999999999999</c:v>
                      </c:pt>
                      <c:pt idx="6336">
                        <c:v>19.757999999999999</c:v>
                      </c:pt>
                      <c:pt idx="6337">
                        <c:v>19.757999999999999</c:v>
                      </c:pt>
                      <c:pt idx="6338">
                        <c:v>19.757999999999999</c:v>
                      </c:pt>
                      <c:pt idx="6339">
                        <c:v>19.757999999999999</c:v>
                      </c:pt>
                      <c:pt idx="6340">
                        <c:v>19.757999999999999</c:v>
                      </c:pt>
                      <c:pt idx="6341">
                        <c:v>19.757999999999999</c:v>
                      </c:pt>
                      <c:pt idx="6342">
                        <c:v>19.661999999999999</c:v>
                      </c:pt>
                      <c:pt idx="6343">
                        <c:v>19.661999999999999</c:v>
                      </c:pt>
                      <c:pt idx="6344">
                        <c:v>19.661999999999999</c:v>
                      </c:pt>
                      <c:pt idx="6345">
                        <c:v>19.661999999999999</c:v>
                      </c:pt>
                      <c:pt idx="6346">
                        <c:v>19.661999999999999</c:v>
                      </c:pt>
                      <c:pt idx="6347">
                        <c:v>19.661999999999999</c:v>
                      </c:pt>
                      <c:pt idx="6348">
                        <c:v>19.661999999999999</c:v>
                      </c:pt>
                      <c:pt idx="6349">
                        <c:v>19.661999999999999</c:v>
                      </c:pt>
                      <c:pt idx="6350">
                        <c:v>19.661999999999999</c:v>
                      </c:pt>
                      <c:pt idx="6351">
                        <c:v>19.661999999999999</c:v>
                      </c:pt>
                      <c:pt idx="6352">
                        <c:v>19.661999999999999</c:v>
                      </c:pt>
                      <c:pt idx="6353">
                        <c:v>19.661999999999999</c:v>
                      </c:pt>
                      <c:pt idx="6354">
                        <c:v>19.661999999999999</c:v>
                      </c:pt>
                      <c:pt idx="6355">
                        <c:v>19.661999999999999</c:v>
                      </c:pt>
                      <c:pt idx="6356">
                        <c:v>19.567</c:v>
                      </c:pt>
                      <c:pt idx="6357">
                        <c:v>19.472000000000001</c:v>
                      </c:pt>
                      <c:pt idx="6358">
                        <c:v>19.567</c:v>
                      </c:pt>
                      <c:pt idx="6359">
                        <c:v>19.567</c:v>
                      </c:pt>
                      <c:pt idx="6360">
                        <c:v>19.567</c:v>
                      </c:pt>
                      <c:pt idx="6361">
                        <c:v>19.567</c:v>
                      </c:pt>
                      <c:pt idx="6362">
                        <c:v>19.472000000000001</c:v>
                      </c:pt>
                      <c:pt idx="6363">
                        <c:v>19.472000000000001</c:v>
                      </c:pt>
                      <c:pt idx="6364">
                        <c:v>19.567</c:v>
                      </c:pt>
                      <c:pt idx="6365">
                        <c:v>19.472000000000001</c:v>
                      </c:pt>
                      <c:pt idx="6366">
                        <c:v>19.472000000000001</c:v>
                      </c:pt>
                      <c:pt idx="6367">
                        <c:v>19.472000000000001</c:v>
                      </c:pt>
                      <c:pt idx="6368">
                        <c:v>19.472000000000001</c:v>
                      </c:pt>
                      <c:pt idx="6369">
                        <c:v>19.472000000000001</c:v>
                      </c:pt>
                      <c:pt idx="6370">
                        <c:v>19.472000000000001</c:v>
                      </c:pt>
                      <c:pt idx="6371">
                        <c:v>19.472000000000001</c:v>
                      </c:pt>
                      <c:pt idx="6372">
                        <c:v>19.472000000000001</c:v>
                      </c:pt>
                      <c:pt idx="6373">
                        <c:v>19.472000000000001</c:v>
                      </c:pt>
                      <c:pt idx="6374">
                        <c:v>19.472000000000001</c:v>
                      </c:pt>
                      <c:pt idx="6375">
                        <c:v>19.472000000000001</c:v>
                      </c:pt>
                      <c:pt idx="6376">
                        <c:v>19.472000000000001</c:v>
                      </c:pt>
                      <c:pt idx="6377">
                        <c:v>19.472000000000001</c:v>
                      </c:pt>
                      <c:pt idx="6378">
                        <c:v>19.472000000000001</c:v>
                      </c:pt>
                      <c:pt idx="6379">
                        <c:v>19.472000000000001</c:v>
                      </c:pt>
                      <c:pt idx="6380">
                        <c:v>19.472000000000001</c:v>
                      </c:pt>
                      <c:pt idx="6381">
                        <c:v>19.472000000000001</c:v>
                      </c:pt>
                      <c:pt idx="6382">
                        <c:v>19.472000000000001</c:v>
                      </c:pt>
                      <c:pt idx="6383">
                        <c:v>19.472000000000001</c:v>
                      </c:pt>
                      <c:pt idx="6384">
                        <c:v>19.472000000000001</c:v>
                      </c:pt>
                      <c:pt idx="6385">
                        <c:v>19.472000000000001</c:v>
                      </c:pt>
                      <c:pt idx="6386">
                        <c:v>19.472000000000001</c:v>
                      </c:pt>
                      <c:pt idx="6387">
                        <c:v>19.567</c:v>
                      </c:pt>
                      <c:pt idx="6388">
                        <c:v>19.661999999999999</c:v>
                      </c:pt>
                      <c:pt idx="6389">
                        <c:v>19.661999999999999</c:v>
                      </c:pt>
                      <c:pt idx="6390">
                        <c:v>19.757999999999999</c:v>
                      </c:pt>
                      <c:pt idx="6391">
                        <c:v>19.757999999999999</c:v>
                      </c:pt>
                      <c:pt idx="6392">
                        <c:v>19.757999999999999</c:v>
                      </c:pt>
                      <c:pt idx="6393">
                        <c:v>19.853000000000002</c:v>
                      </c:pt>
                      <c:pt idx="6394">
                        <c:v>19.853000000000002</c:v>
                      </c:pt>
                      <c:pt idx="6395">
                        <c:v>19.853000000000002</c:v>
                      </c:pt>
                      <c:pt idx="6396">
                        <c:v>19.948</c:v>
                      </c:pt>
                      <c:pt idx="6397">
                        <c:v>20.042999999999999</c:v>
                      </c:pt>
                      <c:pt idx="6398">
                        <c:v>20.042999999999999</c:v>
                      </c:pt>
                      <c:pt idx="6399">
                        <c:v>20.138000000000002</c:v>
                      </c:pt>
                      <c:pt idx="6400">
                        <c:v>20.234000000000002</c:v>
                      </c:pt>
                      <c:pt idx="6401">
                        <c:v>20.329000000000001</c:v>
                      </c:pt>
                      <c:pt idx="6402">
                        <c:v>20.329000000000001</c:v>
                      </c:pt>
                      <c:pt idx="6403">
                        <c:v>20.423999999999999</c:v>
                      </c:pt>
                      <c:pt idx="6404">
                        <c:v>20.423999999999999</c:v>
                      </c:pt>
                      <c:pt idx="6405">
                        <c:v>20.423999999999999</c:v>
                      </c:pt>
                      <c:pt idx="6406">
                        <c:v>20.901</c:v>
                      </c:pt>
                      <c:pt idx="6407">
                        <c:v>20.71</c:v>
                      </c:pt>
                      <c:pt idx="6408">
                        <c:v>20.805</c:v>
                      </c:pt>
                      <c:pt idx="6409">
                        <c:v>20.805</c:v>
                      </c:pt>
                      <c:pt idx="6410">
                        <c:v>20.805</c:v>
                      </c:pt>
                      <c:pt idx="6411">
                        <c:v>20.805</c:v>
                      </c:pt>
                      <c:pt idx="6412">
                        <c:v>20.805</c:v>
                      </c:pt>
                      <c:pt idx="6413">
                        <c:v>20.805</c:v>
                      </c:pt>
                      <c:pt idx="6414">
                        <c:v>20.805</c:v>
                      </c:pt>
                      <c:pt idx="6415">
                        <c:v>20.901</c:v>
                      </c:pt>
                      <c:pt idx="6416">
                        <c:v>20.901</c:v>
                      </c:pt>
                      <c:pt idx="6417">
                        <c:v>20.901</c:v>
                      </c:pt>
                      <c:pt idx="6418">
                        <c:v>20.901</c:v>
                      </c:pt>
                      <c:pt idx="6419">
                        <c:v>20.901</c:v>
                      </c:pt>
                      <c:pt idx="6420">
                        <c:v>20.901</c:v>
                      </c:pt>
                      <c:pt idx="6421">
                        <c:v>20.901</c:v>
                      </c:pt>
                      <c:pt idx="6422">
                        <c:v>20.901</c:v>
                      </c:pt>
                      <c:pt idx="6423">
                        <c:v>20.901</c:v>
                      </c:pt>
                      <c:pt idx="6424">
                        <c:v>20.805</c:v>
                      </c:pt>
                      <c:pt idx="6425">
                        <c:v>20.805</c:v>
                      </c:pt>
                      <c:pt idx="6426">
                        <c:v>20.805</c:v>
                      </c:pt>
                      <c:pt idx="6427">
                        <c:v>20.71</c:v>
                      </c:pt>
                      <c:pt idx="6428">
                        <c:v>20.614999999999998</c:v>
                      </c:pt>
                      <c:pt idx="6429">
                        <c:v>20.614999999999998</c:v>
                      </c:pt>
                      <c:pt idx="6430">
                        <c:v>20.518999999999998</c:v>
                      </c:pt>
                      <c:pt idx="6431">
                        <c:v>20.518999999999998</c:v>
                      </c:pt>
                      <c:pt idx="6432">
                        <c:v>20.518999999999998</c:v>
                      </c:pt>
                      <c:pt idx="6433">
                        <c:v>20.423999999999999</c:v>
                      </c:pt>
                      <c:pt idx="6434">
                        <c:v>20.423999999999999</c:v>
                      </c:pt>
                      <c:pt idx="6435">
                        <c:v>20.423999999999999</c:v>
                      </c:pt>
                      <c:pt idx="6436">
                        <c:v>20.423999999999999</c:v>
                      </c:pt>
                      <c:pt idx="6437">
                        <c:v>20.423999999999999</c:v>
                      </c:pt>
                      <c:pt idx="6438">
                        <c:v>20.329000000000001</c:v>
                      </c:pt>
                      <c:pt idx="6439">
                        <c:v>20.329000000000001</c:v>
                      </c:pt>
                      <c:pt idx="6440">
                        <c:v>20.329000000000001</c:v>
                      </c:pt>
                      <c:pt idx="6441">
                        <c:v>20.234000000000002</c:v>
                      </c:pt>
                      <c:pt idx="6442">
                        <c:v>20.234000000000002</c:v>
                      </c:pt>
                      <c:pt idx="6443">
                        <c:v>20.234000000000002</c:v>
                      </c:pt>
                      <c:pt idx="6444">
                        <c:v>20.138000000000002</c:v>
                      </c:pt>
                      <c:pt idx="6445">
                        <c:v>20.138000000000002</c:v>
                      </c:pt>
                      <c:pt idx="6446">
                        <c:v>20.138000000000002</c:v>
                      </c:pt>
                      <c:pt idx="6447">
                        <c:v>20.138000000000002</c:v>
                      </c:pt>
                      <c:pt idx="6448">
                        <c:v>20.138000000000002</c:v>
                      </c:pt>
                      <c:pt idx="6449">
                        <c:v>20.138000000000002</c:v>
                      </c:pt>
                      <c:pt idx="6450">
                        <c:v>20.138000000000002</c:v>
                      </c:pt>
                      <c:pt idx="6451">
                        <c:v>20.138000000000002</c:v>
                      </c:pt>
                      <c:pt idx="6452">
                        <c:v>20.138000000000002</c:v>
                      </c:pt>
                      <c:pt idx="6453">
                        <c:v>20.138000000000002</c:v>
                      </c:pt>
                      <c:pt idx="6454">
                        <c:v>20.138000000000002</c:v>
                      </c:pt>
                      <c:pt idx="6455">
                        <c:v>20.042999999999999</c:v>
                      </c:pt>
                      <c:pt idx="6456">
                        <c:v>20.042999999999999</c:v>
                      </c:pt>
                      <c:pt idx="6457">
                        <c:v>20.042999999999999</c:v>
                      </c:pt>
                      <c:pt idx="6458">
                        <c:v>20.042999999999999</c:v>
                      </c:pt>
                      <c:pt idx="6459">
                        <c:v>20.042999999999999</c:v>
                      </c:pt>
                      <c:pt idx="6460">
                        <c:v>20.042999999999999</c:v>
                      </c:pt>
                      <c:pt idx="6461">
                        <c:v>20.042999999999999</c:v>
                      </c:pt>
                      <c:pt idx="6462">
                        <c:v>20.042999999999999</c:v>
                      </c:pt>
                      <c:pt idx="6463">
                        <c:v>20.042999999999999</c:v>
                      </c:pt>
                      <c:pt idx="6464">
                        <c:v>20.042999999999999</c:v>
                      </c:pt>
                      <c:pt idx="6465">
                        <c:v>20.042999999999999</c:v>
                      </c:pt>
                      <c:pt idx="6466">
                        <c:v>20.042999999999999</c:v>
                      </c:pt>
                      <c:pt idx="6467">
                        <c:v>20.042999999999999</c:v>
                      </c:pt>
                      <c:pt idx="6468">
                        <c:v>20.042999999999999</c:v>
                      </c:pt>
                      <c:pt idx="6469">
                        <c:v>20.042999999999999</c:v>
                      </c:pt>
                      <c:pt idx="6470">
                        <c:v>20.042999999999999</c:v>
                      </c:pt>
                      <c:pt idx="6471">
                        <c:v>19.948</c:v>
                      </c:pt>
                      <c:pt idx="6472">
                        <c:v>20.042999999999999</c:v>
                      </c:pt>
                      <c:pt idx="6473">
                        <c:v>20.042999999999999</c:v>
                      </c:pt>
                      <c:pt idx="6474">
                        <c:v>19.948</c:v>
                      </c:pt>
                      <c:pt idx="6475">
                        <c:v>19.948</c:v>
                      </c:pt>
                      <c:pt idx="6476">
                        <c:v>19.948</c:v>
                      </c:pt>
                      <c:pt idx="6477">
                        <c:v>19.853000000000002</c:v>
                      </c:pt>
                      <c:pt idx="6478">
                        <c:v>19.853000000000002</c:v>
                      </c:pt>
                      <c:pt idx="6479">
                        <c:v>19.853000000000002</c:v>
                      </c:pt>
                      <c:pt idx="6480">
                        <c:v>19.853000000000002</c:v>
                      </c:pt>
                      <c:pt idx="6481">
                        <c:v>19.853000000000002</c:v>
                      </c:pt>
                      <c:pt idx="6482">
                        <c:v>19.853000000000002</c:v>
                      </c:pt>
                      <c:pt idx="6483">
                        <c:v>19.853000000000002</c:v>
                      </c:pt>
                      <c:pt idx="6484">
                        <c:v>19.853000000000002</c:v>
                      </c:pt>
                      <c:pt idx="6485">
                        <c:v>19.853000000000002</c:v>
                      </c:pt>
                      <c:pt idx="6486">
                        <c:v>19.853000000000002</c:v>
                      </c:pt>
                      <c:pt idx="6487">
                        <c:v>19.757999999999999</c:v>
                      </c:pt>
                      <c:pt idx="6488">
                        <c:v>19.853000000000002</c:v>
                      </c:pt>
                      <c:pt idx="6489">
                        <c:v>19.757999999999999</c:v>
                      </c:pt>
                      <c:pt idx="6490">
                        <c:v>19.757999999999999</c:v>
                      </c:pt>
                      <c:pt idx="6491">
                        <c:v>19.757999999999999</c:v>
                      </c:pt>
                      <c:pt idx="6492">
                        <c:v>19.757999999999999</c:v>
                      </c:pt>
                      <c:pt idx="6493">
                        <c:v>19.853000000000002</c:v>
                      </c:pt>
                      <c:pt idx="6494">
                        <c:v>19.757999999999999</c:v>
                      </c:pt>
                      <c:pt idx="6495">
                        <c:v>19.757999999999999</c:v>
                      </c:pt>
                      <c:pt idx="6496">
                        <c:v>19.757999999999999</c:v>
                      </c:pt>
                      <c:pt idx="6497">
                        <c:v>19.757999999999999</c:v>
                      </c:pt>
                      <c:pt idx="6498">
                        <c:v>19.757999999999999</c:v>
                      </c:pt>
                      <c:pt idx="6499">
                        <c:v>19.757999999999999</c:v>
                      </c:pt>
                      <c:pt idx="6500">
                        <c:v>19.757999999999999</c:v>
                      </c:pt>
                      <c:pt idx="6501">
                        <c:v>19.757999999999999</c:v>
                      </c:pt>
                      <c:pt idx="6502">
                        <c:v>19.757999999999999</c:v>
                      </c:pt>
                      <c:pt idx="6503">
                        <c:v>19.757999999999999</c:v>
                      </c:pt>
                      <c:pt idx="6504">
                        <c:v>19.757999999999999</c:v>
                      </c:pt>
                      <c:pt idx="6505">
                        <c:v>19.757999999999999</c:v>
                      </c:pt>
                      <c:pt idx="6506">
                        <c:v>19.757999999999999</c:v>
                      </c:pt>
                      <c:pt idx="6507">
                        <c:v>19.757999999999999</c:v>
                      </c:pt>
                      <c:pt idx="6508">
                        <c:v>19.661999999999999</c:v>
                      </c:pt>
                      <c:pt idx="6509">
                        <c:v>19.661999999999999</c:v>
                      </c:pt>
                      <c:pt idx="6510">
                        <c:v>19.757999999999999</c:v>
                      </c:pt>
                      <c:pt idx="6511">
                        <c:v>19.757999999999999</c:v>
                      </c:pt>
                      <c:pt idx="6512">
                        <c:v>19.757999999999999</c:v>
                      </c:pt>
                      <c:pt idx="6513">
                        <c:v>19.757999999999999</c:v>
                      </c:pt>
                      <c:pt idx="6514">
                        <c:v>19.757999999999999</c:v>
                      </c:pt>
                      <c:pt idx="6515">
                        <c:v>19.661999999999999</c:v>
                      </c:pt>
                      <c:pt idx="6516">
                        <c:v>19.757999999999999</c:v>
                      </c:pt>
                      <c:pt idx="6517">
                        <c:v>19.661999999999999</c:v>
                      </c:pt>
                      <c:pt idx="6518">
                        <c:v>19.661999999999999</c:v>
                      </c:pt>
                      <c:pt idx="6519">
                        <c:v>19.661999999999999</c:v>
                      </c:pt>
                      <c:pt idx="6520">
                        <c:v>19.757999999999999</c:v>
                      </c:pt>
                      <c:pt idx="6521">
                        <c:v>19.661999999999999</c:v>
                      </c:pt>
                      <c:pt idx="6522">
                        <c:v>19.661999999999999</c:v>
                      </c:pt>
                      <c:pt idx="6523">
                        <c:v>19.661999999999999</c:v>
                      </c:pt>
                      <c:pt idx="6524">
                        <c:v>19.661999999999999</c:v>
                      </c:pt>
                      <c:pt idx="6525">
                        <c:v>19.757999999999999</c:v>
                      </c:pt>
                      <c:pt idx="6526">
                        <c:v>19.661999999999999</c:v>
                      </c:pt>
                      <c:pt idx="6527">
                        <c:v>19.757999999999999</c:v>
                      </c:pt>
                      <c:pt idx="6528">
                        <c:v>19.757999999999999</c:v>
                      </c:pt>
                      <c:pt idx="6529">
                        <c:v>19.757999999999999</c:v>
                      </c:pt>
                      <c:pt idx="6530">
                        <c:v>19.757999999999999</c:v>
                      </c:pt>
                      <c:pt idx="6531">
                        <c:v>19.757999999999999</c:v>
                      </c:pt>
                      <c:pt idx="6532">
                        <c:v>19.757999999999999</c:v>
                      </c:pt>
                      <c:pt idx="6533">
                        <c:v>19.853000000000002</c:v>
                      </c:pt>
                      <c:pt idx="6534">
                        <c:v>19.853000000000002</c:v>
                      </c:pt>
                      <c:pt idx="6535">
                        <c:v>19.948</c:v>
                      </c:pt>
                      <c:pt idx="6536">
                        <c:v>20.042999999999999</c:v>
                      </c:pt>
                      <c:pt idx="6537">
                        <c:v>20.042999999999999</c:v>
                      </c:pt>
                      <c:pt idx="6538">
                        <c:v>20.042999999999999</c:v>
                      </c:pt>
                      <c:pt idx="6539">
                        <c:v>20.138000000000002</c:v>
                      </c:pt>
                      <c:pt idx="6540">
                        <c:v>20.042999999999999</c:v>
                      </c:pt>
                      <c:pt idx="6541">
                        <c:v>20.042999999999999</c:v>
                      </c:pt>
                      <c:pt idx="6542">
                        <c:v>20.138000000000002</c:v>
                      </c:pt>
                      <c:pt idx="6543">
                        <c:v>20.234000000000002</c:v>
                      </c:pt>
                      <c:pt idx="6544">
                        <c:v>20.329000000000001</c:v>
                      </c:pt>
                      <c:pt idx="6545">
                        <c:v>20.329000000000001</c:v>
                      </c:pt>
                      <c:pt idx="6546">
                        <c:v>20.423999999999999</c:v>
                      </c:pt>
                      <c:pt idx="6547">
                        <c:v>20.423999999999999</c:v>
                      </c:pt>
                      <c:pt idx="6548">
                        <c:v>20.423999999999999</c:v>
                      </c:pt>
                      <c:pt idx="6549">
                        <c:v>20.423999999999999</c:v>
                      </c:pt>
                      <c:pt idx="6550">
                        <c:v>20.995999999999999</c:v>
                      </c:pt>
                      <c:pt idx="6551">
                        <c:v>20.71</c:v>
                      </c:pt>
                      <c:pt idx="6552">
                        <c:v>20.614999999999998</c:v>
                      </c:pt>
                      <c:pt idx="6553">
                        <c:v>20.614999999999998</c:v>
                      </c:pt>
                      <c:pt idx="6554">
                        <c:v>20.614999999999998</c:v>
                      </c:pt>
                      <c:pt idx="6555">
                        <c:v>20.71</c:v>
                      </c:pt>
                      <c:pt idx="6556">
                        <c:v>20.614999999999998</c:v>
                      </c:pt>
                      <c:pt idx="6557">
                        <c:v>20.614999999999998</c:v>
                      </c:pt>
                      <c:pt idx="6558">
                        <c:v>20.614999999999998</c:v>
                      </c:pt>
                      <c:pt idx="6559">
                        <c:v>20.614999999999998</c:v>
                      </c:pt>
                      <c:pt idx="6560">
                        <c:v>20.71</c:v>
                      </c:pt>
                      <c:pt idx="6561">
                        <c:v>20.805</c:v>
                      </c:pt>
                      <c:pt idx="6562">
                        <c:v>20.805</c:v>
                      </c:pt>
                      <c:pt idx="6563">
                        <c:v>20.901</c:v>
                      </c:pt>
                      <c:pt idx="6564">
                        <c:v>20.901</c:v>
                      </c:pt>
                      <c:pt idx="6565">
                        <c:v>20.805</c:v>
                      </c:pt>
                      <c:pt idx="6566">
                        <c:v>20.805</c:v>
                      </c:pt>
                      <c:pt idx="6567">
                        <c:v>20.71</c:v>
                      </c:pt>
                      <c:pt idx="6568">
                        <c:v>20.71</c:v>
                      </c:pt>
                      <c:pt idx="6569">
                        <c:v>20.71</c:v>
                      </c:pt>
                      <c:pt idx="6570">
                        <c:v>20.614999999999998</c:v>
                      </c:pt>
                      <c:pt idx="6571">
                        <c:v>20.614999999999998</c:v>
                      </c:pt>
                      <c:pt idx="6572">
                        <c:v>20.614999999999998</c:v>
                      </c:pt>
                      <c:pt idx="6573">
                        <c:v>20.614999999999998</c:v>
                      </c:pt>
                      <c:pt idx="6574">
                        <c:v>20.614999999999998</c:v>
                      </c:pt>
                      <c:pt idx="6575">
                        <c:v>20.614999999999998</c:v>
                      </c:pt>
                      <c:pt idx="6576">
                        <c:v>20.518999999999998</c:v>
                      </c:pt>
                      <c:pt idx="6577">
                        <c:v>20.518999999999998</c:v>
                      </c:pt>
                      <c:pt idx="6578">
                        <c:v>20.518999999999998</c:v>
                      </c:pt>
                      <c:pt idx="6579">
                        <c:v>20.518999999999998</c:v>
                      </c:pt>
                      <c:pt idx="6580">
                        <c:v>20.423999999999999</c:v>
                      </c:pt>
                      <c:pt idx="6581">
                        <c:v>20.423999999999999</c:v>
                      </c:pt>
                      <c:pt idx="6582">
                        <c:v>20.329000000000001</c:v>
                      </c:pt>
                      <c:pt idx="6583">
                        <c:v>20.329000000000001</c:v>
                      </c:pt>
                      <c:pt idx="6584">
                        <c:v>20.329000000000001</c:v>
                      </c:pt>
                      <c:pt idx="6585">
                        <c:v>20.329000000000001</c:v>
                      </c:pt>
                      <c:pt idx="6586">
                        <c:v>20.329000000000001</c:v>
                      </c:pt>
                      <c:pt idx="6587">
                        <c:v>20.329000000000001</c:v>
                      </c:pt>
                      <c:pt idx="6588">
                        <c:v>20.234000000000002</c:v>
                      </c:pt>
                      <c:pt idx="6589">
                        <c:v>20.234000000000002</c:v>
                      </c:pt>
                      <c:pt idx="6590">
                        <c:v>20.234000000000002</c:v>
                      </c:pt>
                      <c:pt idx="6591">
                        <c:v>20.234000000000002</c:v>
                      </c:pt>
                      <c:pt idx="6592">
                        <c:v>20.234000000000002</c:v>
                      </c:pt>
                      <c:pt idx="6593">
                        <c:v>20.138000000000002</c:v>
                      </c:pt>
                      <c:pt idx="6594">
                        <c:v>20.138000000000002</c:v>
                      </c:pt>
                      <c:pt idx="6595">
                        <c:v>20.138000000000002</c:v>
                      </c:pt>
                      <c:pt idx="6596">
                        <c:v>20.042999999999999</c:v>
                      </c:pt>
                      <c:pt idx="6597">
                        <c:v>20.042999999999999</c:v>
                      </c:pt>
                      <c:pt idx="6598">
                        <c:v>20.042999999999999</c:v>
                      </c:pt>
                      <c:pt idx="6599">
                        <c:v>20.042999999999999</c:v>
                      </c:pt>
                      <c:pt idx="6600">
                        <c:v>19.948</c:v>
                      </c:pt>
                      <c:pt idx="6601">
                        <c:v>19.948</c:v>
                      </c:pt>
                      <c:pt idx="6602">
                        <c:v>19.948</c:v>
                      </c:pt>
                      <c:pt idx="6603">
                        <c:v>19.853000000000002</c:v>
                      </c:pt>
                      <c:pt idx="6604">
                        <c:v>19.853000000000002</c:v>
                      </c:pt>
                      <c:pt idx="6605">
                        <c:v>19.853000000000002</c:v>
                      </c:pt>
                      <c:pt idx="6606">
                        <c:v>19.853000000000002</c:v>
                      </c:pt>
                      <c:pt idx="6607">
                        <c:v>19.853000000000002</c:v>
                      </c:pt>
                      <c:pt idx="6608">
                        <c:v>19.853000000000002</c:v>
                      </c:pt>
                      <c:pt idx="6609">
                        <c:v>19.757999999999999</c:v>
                      </c:pt>
                      <c:pt idx="6610">
                        <c:v>19.757999999999999</c:v>
                      </c:pt>
                      <c:pt idx="6611">
                        <c:v>19.757999999999999</c:v>
                      </c:pt>
                      <c:pt idx="6612">
                        <c:v>19.757999999999999</c:v>
                      </c:pt>
                      <c:pt idx="6613">
                        <c:v>19.661999999999999</c:v>
                      </c:pt>
                      <c:pt idx="6614">
                        <c:v>19.757999999999999</c:v>
                      </c:pt>
                      <c:pt idx="6615">
                        <c:v>19.661999999999999</c:v>
                      </c:pt>
                      <c:pt idx="6616">
                        <c:v>19.567</c:v>
                      </c:pt>
                      <c:pt idx="6617">
                        <c:v>19.661999999999999</c:v>
                      </c:pt>
                      <c:pt idx="6618">
                        <c:v>19.567</c:v>
                      </c:pt>
                      <c:pt idx="6619">
                        <c:v>19.567</c:v>
                      </c:pt>
                      <c:pt idx="6620">
                        <c:v>19.472000000000001</c:v>
                      </c:pt>
                      <c:pt idx="6621">
                        <c:v>19.472000000000001</c:v>
                      </c:pt>
                      <c:pt idx="6622">
                        <c:v>19.472000000000001</c:v>
                      </c:pt>
                      <c:pt idx="6623">
                        <c:v>19.472000000000001</c:v>
                      </c:pt>
                      <c:pt idx="6624">
                        <c:v>19.472000000000001</c:v>
                      </c:pt>
                      <c:pt idx="6625">
                        <c:v>19.472000000000001</c:v>
                      </c:pt>
                      <c:pt idx="6626">
                        <c:v>19.376999999999999</c:v>
                      </c:pt>
                      <c:pt idx="6627">
                        <c:v>19.376999999999999</c:v>
                      </c:pt>
                      <c:pt idx="6628">
                        <c:v>19.376999999999999</c:v>
                      </c:pt>
                      <c:pt idx="6629">
                        <c:v>19.376999999999999</c:v>
                      </c:pt>
                      <c:pt idx="6630">
                        <c:v>19.376999999999999</c:v>
                      </c:pt>
                      <c:pt idx="6631">
                        <c:v>19.376999999999999</c:v>
                      </c:pt>
                      <c:pt idx="6632">
                        <c:v>19.376999999999999</c:v>
                      </c:pt>
                      <c:pt idx="6633">
                        <c:v>19.376999999999999</c:v>
                      </c:pt>
                      <c:pt idx="6634">
                        <c:v>19.282</c:v>
                      </c:pt>
                      <c:pt idx="6635">
                        <c:v>19.282</c:v>
                      </c:pt>
                      <c:pt idx="6636">
                        <c:v>19.282</c:v>
                      </c:pt>
                      <c:pt idx="6637">
                        <c:v>19.187000000000001</c:v>
                      </c:pt>
                      <c:pt idx="6638">
                        <c:v>19.187000000000001</c:v>
                      </c:pt>
                      <c:pt idx="6639">
                        <c:v>19.187000000000001</c:v>
                      </c:pt>
                      <c:pt idx="6640">
                        <c:v>19.187000000000001</c:v>
                      </c:pt>
                      <c:pt idx="6641">
                        <c:v>19.091999999999999</c:v>
                      </c:pt>
                      <c:pt idx="6642">
                        <c:v>19.091999999999999</c:v>
                      </c:pt>
                      <c:pt idx="6643">
                        <c:v>19.091999999999999</c:v>
                      </c:pt>
                      <c:pt idx="6644">
                        <c:v>19.091999999999999</c:v>
                      </c:pt>
                      <c:pt idx="6645">
                        <c:v>19.091999999999999</c:v>
                      </c:pt>
                      <c:pt idx="6646">
                        <c:v>19.091999999999999</c:v>
                      </c:pt>
                      <c:pt idx="6647">
                        <c:v>18.995999999999999</c:v>
                      </c:pt>
                      <c:pt idx="6648">
                        <c:v>19.091999999999999</c:v>
                      </c:pt>
                      <c:pt idx="6649">
                        <c:v>19.091999999999999</c:v>
                      </c:pt>
                      <c:pt idx="6650">
                        <c:v>18.995999999999999</c:v>
                      </c:pt>
                      <c:pt idx="6651">
                        <c:v>18.995999999999999</c:v>
                      </c:pt>
                      <c:pt idx="6652">
                        <c:v>18.995999999999999</c:v>
                      </c:pt>
                      <c:pt idx="6653">
                        <c:v>18.995999999999999</c:v>
                      </c:pt>
                      <c:pt idx="6654">
                        <c:v>18.995999999999999</c:v>
                      </c:pt>
                      <c:pt idx="6655">
                        <c:v>18.995999999999999</c:v>
                      </c:pt>
                      <c:pt idx="6656">
                        <c:v>18.995999999999999</c:v>
                      </c:pt>
                      <c:pt idx="6657">
                        <c:v>18.995999999999999</c:v>
                      </c:pt>
                      <c:pt idx="6658">
                        <c:v>18.901</c:v>
                      </c:pt>
                      <c:pt idx="6659">
                        <c:v>18.806000000000001</c:v>
                      </c:pt>
                      <c:pt idx="6660">
                        <c:v>18.806000000000001</c:v>
                      </c:pt>
                      <c:pt idx="6661">
                        <c:v>18.710999999999999</c:v>
                      </c:pt>
                      <c:pt idx="6662">
                        <c:v>18.710999999999999</c:v>
                      </c:pt>
                      <c:pt idx="6663">
                        <c:v>18.710999999999999</c:v>
                      </c:pt>
                      <c:pt idx="6664">
                        <c:v>18.710999999999999</c:v>
                      </c:pt>
                      <c:pt idx="6665">
                        <c:v>18.710999999999999</c:v>
                      </c:pt>
                      <c:pt idx="6666">
                        <c:v>18.710999999999999</c:v>
                      </c:pt>
                      <c:pt idx="6667">
                        <c:v>18.710999999999999</c:v>
                      </c:pt>
                      <c:pt idx="6668">
                        <c:v>18.710999999999999</c:v>
                      </c:pt>
                      <c:pt idx="6669">
                        <c:v>18.710999999999999</c:v>
                      </c:pt>
                      <c:pt idx="6670">
                        <c:v>18.710999999999999</c:v>
                      </c:pt>
                      <c:pt idx="6671">
                        <c:v>18.710999999999999</c:v>
                      </c:pt>
                      <c:pt idx="6672">
                        <c:v>18.806000000000001</c:v>
                      </c:pt>
                      <c:pt idx="6673">
                        <c:v>18.806000000000001</c:v>
                      </c:pt>
                      <c:pt idx="6674">
                        <c:v>18.806000000000001</c:v>
                      </c:pt>
                      <c:pt idx="6675">
                        <c:v>18.806000000000001</c:v>
                      </c:pt>
                      <c:pt idx="6676">
                        <c:v>18.901</c:v>
                      </c:pt>
                      <c:pt idx="6677">
                        <c:v>18.995999999999999</c:v>
                      </c:pt>
                      <c:pt idx="6678">
                        <c:v>18.995999999999999</c:v>
                      </c:pt>
                      <c:pt idx="6679">
                        <c:v>19.091999999999999</c:v>
                      </c:pt>
                      <c:pt idx="6680">
                        <c:v>19.187000000000001</c:v>
                      </c:pt>
                      <c:pt idx="6681">
                        <c:v>19.187000000000001</c:v>
                      </c:pt>
                      <c:pt idx="6682">
                        <c:v>19.376999999999999</c:v>
                      </c:pt>
                      <c:pt idx="6683">
                        <c:v>19.376999999999999</c:v>
                      </c:pt>
                      <c:pt idx="6684">
                        <c:v>19.376999999999999</c:v>
                      </c:pt>
                      <c:pt idx="6685">
                        <c:v>19.472000000000001</c:v>
                      </c:pt>
                      <c:pt idx="6686">
                        <c:v>19.472000000000001</c:v>
                      </c:pt>
                      <c:pt idx="6687">
                        <c:v>19.567</c:v>
                      </c:pt>
                      <c:pt idx="6688">
                        <c:v>19.567</c:v>
                      </c:pt>
                      <c:pt idx="6689">
                        <c:v>19.661999999999999</c:v>
                      </c:pt>
                      <c:pt idx="6690">
                        <c:v>19.661999999999999</c:v>
                      </c:pt>
                      <c:pt idx="6691">
                        <c:v>19.757999999999999</c:v>
                      </c:pt>
                      <c:pt idx="6692">
                        <c:v>19.757999999999999</c:v>
                      </c:pt>
                      <c:pt idx="6693">
                        <c:v>19.853000000000002</c:v>
                      </c:pt>
                      <c:pt idx="6694">
                        <c:v>20.995999999999999</c:v>
                      </c:pt>
                      <c:pt idx="6695">
                        <c:v>20.614999999999998</c:v>
                      </c:pt>
                      <c:pt idx="6696">
                        <c:v>20.234000000000002</c:v>
                      </c:pt>
                      <c:pt idx="6697">
                        <c:v>20.329000000000001</c:v>
                      </c:pt>
                      <c:pt idx="6698">
                        <c:v>20.329000000000001</c:v>
                      </c:pt>
                      <c:pt idx="6699">
                        <c:v>20.423999999999999</c:v>
                      </c:pt>
                      <c:pt idx="6700">
                        <c:v>20.518999999999998</c:v>
                      </c:pt>
                      <c:pt idx="6701">
                        <c:v>20.423999999999999</c:v>
                      </c:pt>
                      <c:pt idx="6702">
                        <c:v>20.423999999999999</c:v>
                      </c:pt>
                      <c:pt idx="6703">
                        <c:v>20.423999999999999</c:v>
                      </c:pt>
                      <c:pt idx="6704">
                        <c:v>20.518999999999998</c:v>
                      </c:pt>
                      <c:pt idx="6705">
                        <c:v>20.518999999999998</c:v>
                      </c:pt>
                      <c:pt idx="6706">
                        <c:v>20.614999999999998</c:v>
                      </c:pt>
                      <c:pt idx="6707">
                        <c:v>20.71</c:v>
                      </c:pt>
                      <c:pt idx="6708">
                        <c:v>20.901</c:v>
                      </c:pt>
                      <c:pt idx="6709">
                        <c:v>20.71</c:v>
                      </c:pt>
                      <c:pt idx="6710">
                        <c:v>20.805</c:v>
                      </c:pt>
                      <c:pt idx="6711">
                        <c:v>20.805</c:v>
                      </c:pt>
                      <c:pt idx="6712">
                        <c:v>20.71</c:v>
                      </c:pt>
                      <c:pt idx="6713">
                        <c:v>20.71</c:v>
                      </c:pt>
                      <c:pt idx="6714">
                        <c:v>20.614999999999998</c:v>
                      </c:pt>
                      <c:pt idx="6715">
                        <c:v>20.614999999999998</c:v>
                      </c:pt>
                      <c:pt idx="6716">
                        <c:v>20.614999999999998</c:v>
                      </c:pt>
                      <c:pt idx="6717">
                        <c:v>20.614999999999998</c:v>
                      </c:pt>
                      <c:pt idx="6718">
                        <c:v>20.614999999999998</c:v>
                      </c:pt>
                      <c:pt idx="6719">
                        <c:v>20.518999999999998</c:v>
                      </c:pt>
                      <c:pt idx="6720">
                        <c:v>20.518999999999998</c:v>
                      </c:pt>
                      <c:pt idx="6721">
                        <c:v>20.518999999999998</c:v>
                      </c:pt>
                      <c:pt idx="6722">
                        <c:v>20.518999999999998</c:v>
                      </c:pt>
                      <c:pt idx="6723">
                        <c:v>20.423999999999999</c:v>
                      </c:pt>
                      <c:pt idx="6724">
                        <c:v>20.423999999999999</c:v>
                      </c:pt>
                      <c:pt idx="6725">
                        <c:v>20.423999999999999</c:v>
                      </c:pt>
                      <c:pt idx="6726">
                        <c:v>20.329000000000001</c:v>
                      </c:pt>
                      <c:pt idx="6727">
                        <c:v>20.329000000000001</c:v>
                      </c:pt>
                      <c:pt idx="6728">
                        <c:v>20.329000000000001</c:v>
                      </c:pt>
                      <c:pt idx="6729">
                        <c:v>20.234000000000002</c:v>
                      </c:pt>
                      <c:pt idx="6730">
                        <c:v>20.234000000000002</c:v>
                      </c:pt>
                      <c:pt idx="6731">
                        <c:v>20.234000000000002</c:v>
                      </c:pt>
                      <c:pt idx="6732">
                        <c:v>20.138000000000002</c:v>
                      </c:pt>
                      <c:pt idx="6733">
                        <c:v>20.042999999999999</c:v>
                      </c:pt>
                      <c:pt idx="6734">
                        <c:v>20.042999999999999</c:v>
                      </c:pt>
                      <c:pt idx="6735">
                        <c:v>20.042999999999999</c:v>
                      </c:pt>
                      <c:pt idx="6736">
                        <c:v>19.948</c:v>
                      </c:pt>
                      <c:pt idx="6737">
                        <c:v>19.853000000000002</c:v>
                      </c:pt>
                      <c:pt idx="6738">
                        <c:v>19.853000000000002</c:v>
                      </c:pt>
                      <c:pt idx="6739">
                        <c:v>19.853000000000002</c:v>
                      </c:pt>
                      <c:pt idx="6740">
                        <c:v>19.757999999999999</c:v>
                      </c:pt>
                      <c:pt idx="6741">
                        <c:v>19.661999999999999</c:v>
                      </c:pt>
                      <c:pt idx="6742">
                        <c:v>19.661999999999999</c:v>
                      </c:pt>
                      <c:pt idx="6743">
                        <c:v>19.661999999999999</c:v>
                      </c:pt>
                      <c:pt idx="6744">
                        <c:v>19.661999999999999</c:v>
                      </c:pt>
                      <c:pt idx="6745">
                        <c:v>19.661999999999999</c:v>
                      </c:pt>
                      <c:pt idx="6746">
                        <c:v>19.661999999999999</c:v>
                      </c:pt>
                      <c:pt idx="6747">
                        <c:v>19.567</c:v>
                      </c:pt>
                      <c:pt idx="6748">
                        <c:v>19.567</c:v>
                      </c:pt>
                      <c:pt idx="6749">
                        <c:v>19.567</c:v>
                      </c:pt>
                      <c:pt idx="6750">
                        <c:v>19.472000000000001</c:v>
                      </c:pt>
                      <c:pt idx="6751">
                        <c:v>19.472000000000001</c:v>
                      </c:pt>
                      <c:pt idx="6752">
                        <c:v>19.472000000000001</c:v>
                      </c:pt>
                      <c:pt idx="6753">
                        <c:v>19.472000000000001</c:v>
                      </c:pt>
                      <c:pt idx="6754">
                        <c:v>19.376999999999999</c:v>
                      </c:pt>
                      <c:pt idx="6755">
                        <c:v>19.376999999999999</c:v>
                      </c:pt>
                      <c:pt idx="6756">
                        <c:v>19.376999999999999</c:v>
                      </c:pt>
                      <c:pt idx="6757">
                        <c:v>19.376999999999999</c:v>
                      </c:pt>
                      <c:pt idx="6758">
                        <c:v>19.376999999999999</c:v>
                      </c:pt>
                      <c:pt idx="6759">
                        <c:v>19.282</c:v>
                      </c:pt>
                      <c:pt idx="6760">
                        <c:v>19.282</c:v>
                      </c:pt>
                      <c:pt idx="6761">
                        <c:v>19.282</c:v>
                      </c:pt>
                      <c:pt idx="6762">
                        <c:v>19.282</c:v>
                      </c:pt>
                      <c:pt idx="6763">
                        <c:v>19.187000000000001</c:v>
                      </c:pt>
                      <c:pt idx="6764">
                        <c:v>19.187000000000001</c:v>
                      </c:pt>
                      <c:pt idx="6765">
                        <c:v>19.187000000000001</c:v>
                      </c:pt>
                      <c:pt idx="6766">
                        <c:v>19.187000000000001</c:v>
                      </c:pt>
                      <c:pt idx="6767">
                        <c:v>19.091999999999999</c:v>
                      </c:pt>
                      <c:pt idx="6768">
                        <c:v>19.091999999999999</c:v>
                      </c:pt>
                      <c:pt idx="6769">
                        <c:v>19.091999999999999</c:v>
                      </c:pt>
                      <c:pt idx="6770">
                        <c:v>19.091999999999999</c:v>
                      </c:pt>
                      <c:pt idx="6771">
                        <c:v>19.091999999999999</c:v>
                      </c:pt>
                      <c:pt idx="6772">
                        <c:v>19.091999999999999</c:v>
                      </c:pt>
                      <c:pt idx="6773">
                        <c:v>18.995999999999999</c:v>
                      </c:pt>
                      <c:pt idx="6774">
                        <c:v>18.995999999999999</c:v>
                      </c:pt>
                      <c:pt idx="6775">
                        <c:v>18.995999999999999</c:v>
                      </c:pt>
                      <c:pt idx="6776">
                        <c:v>18.995999999999999</c:v>
                      </c:pt>
                      <c:pt idx="6777">
                        <c:v>18.995999999999999</c:v>
                      </c:pt>
                      <c:pt idx="6778">
                        <c:v>18.901</c:v>
                      </c:pt>
                      <c:pt idx="6779">
                        <c:v>18.901</c:v>
                      </c:pt>
                      <c:pt idx="6780">
                        <c:v>18.901</c:v>
                      </c:pt>
                      <c:pt idx="6781">
                        <c:v>18.806000000000001</c:v>
                      </c:pt>
                      <c:pt idx="6782">
                        <c:v>18.806000000000001</c:v>
                      </c:pt>
                      <c:pt idx="6783">
                        <c:v>18.901</c:v>
                      </c:pt>
                      <c:pt idx="6784">
                        <c:v>18.806000000000001</c:v>
                      </c:pt>
                      <c:pt idx="6785">
                        <c:v>18.806000000000001</c:v>
                      </c:pt>
                      <c:pt idx="6786">
                        <c:v>18.710999999999999</c:v>
                      </c:pt>
                      <c:pt idx="6787">
                        <c:v>18.710999999999999</c:v>
                      </c:pt>
                      <c:pt idx="6788">
                        <c:v>18.710999999999999</c:v>
                      </c:pt>
                      <c:pt idx="6789">
                        <c:v>18.710999999999999</c:v>
                      </c:pt>
                      <c:pt idx="6790">
                        <c:v>18.806000000000001</c:v>
                      </c:pt>
                      <c:pt idx="6791">
                        <c:v>18.806000000000001</c:v>
                      </c:pt>
                      <c:pt idx="6792">
                        <c:v>18.710999999999999</c:v>
                      </c:pt>
                      <c:pt idx="6793">
                        <c:v>18.710999999999999</c:v>
                      </c:pt>
                      <c:pt idx="6794">
                        <c:v>18.710999999999999</c:v>
                      </c:pt>
                      <c:pt idx="6795">
                        <c:v>18.616</c:v>
                      </c:pt>
                      <c:pt idx="6796">
                        <c:v>18.616</c:v>
                      </c:pt>
                      <c:pt idx="6797">
                        <c:v>18.616</c:v>
                      </c:pt>
                      <c:pt idx="6798">
                        <c:v>18.616</c:v>
                      </c:pt>
                      <c:pt idx="6799">
                        <c:v>18.616</c:v>
                      </c:pt>
                      <c:pt idx="6800">
                        <c:v>18.710999999999999</c:v>
                      </c:pt>
                      <c:pt idx="6801">
                        <c:v>18.616</c:v>
                      </c:pt>
                      <c:pt idx="6802">
                        <c:v>18.616</c:v>
                      </c:pt>
                      <c:pt idx="6803">
                        <c:v>18.521000000000001</c:v>
                      </c:pt>
                      <c:pt idx="6804">
                        <c:v>18.521000000000001</c:v>
                      </c:pt>
                      <c:pt idx="6805">
                        <c:v>18.521000000000001</c:v>
                      </c:pt>
                      <c:pt idx="6806">
                        <c:v>18.521000000000001</c:v>
                      </c:pt>
                      <c:pt idx="6807">
                        <c:v>18.425999999999998</c:v>
                      </c:pt>
                      <c:pt idx="6808">
                        <c:v>18.425999999999998</c:v>
                      </c:pt>
                      <c:pt idx="6809">
                        <c:v>18.425999999999998</c:v>
                      </c:pt>
                      <c:pt idx="6810">
                        <c:v>18.425999999999998</c:v>
                      </c:pt>
                      <c:pt idx="6811">
                        <c:v>18.425999999999998</c:v>
                      </c:pt>
                      <c:pt idx="6812">
                        <c:v>18.425999999999998</c:v>
                      </c:pt>
                      <c:pt idx="6813">
                        <c:v>18.425999999999998</c:v>
                      </c:pt>
                      <c:pt idx="6814">
                        <c:v>18.425999999999998</c:v>
                      </c:pt>
                      <c:pt idx="6815">
                        <c:v>18.521000000000001</c:v>
                      </c:pt>
                      <c:pt idx="6816">
                        <c:v>18.521000000000001</c:v>
                      </c:pt>
                      <c:pt idx="6817">
                        <c:v>18.521000000000001</c:v>
                      </c:pt>
                      <c:pt idx="6818">
                        <c:v>18.521000000000001</c:v>
                      </c:pt>
                      <c:pt idx="6819">
                        <c:v>18.616</c:v>
                      </c:pt>
                      <c:pt idx="6820">
                        <c:v>18.710999999999999</c:v>
                      </c:pt>
                      <c:pt idx="6821">
                        <c:v>18.710999999999999</c:v>
                      </c:pt>
                      <c:pt idx="6822">
                        <c:v>18.710999999999999</c:v>
                      </c:pt>
                      <c:pt idx="6823">
                        <c:v>18.806000000000001</c:v>
                      </c:pt>
                      <c:pt idx="6824">
                        <c:v>18.901</c:v>
                      </c:pt>
                      <c:pt idx="6825">
                        <c:v>18.901</c:v>
                      </c:pt>
                      <c:pt idx="6826">
                        <c:v>19.091999999999999</c:v>
                      </c:pt>
                      <c:pt idx="6827">
                        <c:v>19.091999999999999</c:v>
                      </c:pt>
                      <c:pt idx="6828">
                        <c:v>19.091999999999999</c:v>
                      </c:pt>
                      <c:pt idx="6829">
                        <c:v>19.187000000000001</c:v>
                      </c:pt>
                      <c:pt idx="6830">
                        <c:v>19.282</c:v>
                      </c:pt>
                      <c:pt idx="6831">
                        <c:v>19.282</c:v>
                      </c:pt>
                      <c:pt idx="6832">
                        <c:v>19.376999999999999</c:v>
                      </c:pt>
                      <c:pt idx="6833">
                        <c:v>19.376999999999999</c:v>
                      </c:pt>
                      <c:pt idx="6834">
                        <c:v>19.472000000000001</c:v>
                      </c:pt>
                      <c:pt idx="6835">
                        <c:v>19.567</c:v>
                      </c:pt>
                      <c:pt idx="6836">
                        <c:v>19.661999999999999</c:v>
                      </c:pt>
                      <c:pt idx="6837">
                        <c:v>19.661999999999999</c:v>
                      </c:pt>
                      <c:pt idx="6838">
                        <c:v>20.805</c:v>
                      </c:pt>
                      <c:pt idx="6839">
                        <c:v>20.518999999999998</c:v>
                      </c:pt>
                      <c:pt idx="6840">
                        <c:v>20.138000000000002</c:v>
                      </c:pt>
                      <c:pt idx="6841">
                        <c:v>20.138000000000002</c:v>
                      </c:pt>
                      <c:pt idx="6842">
                        <c:v>20.138000000000002</c:v>
                      </c:pt>
                      <c:pt idx="6843">
                        <c:v>20.329000000000001</c:v>
                      </c:pt>
                      <c:pt idx="6844">
                        <c:v>20.423999999999999</c:v>
                      </c:pt>
                      <c:pt idx="6845">
                        <c:v>20.329000000000001</c:v>
                      </c:pt>
                      <c:pt idx="6846">
                        <c:v>20.329000000000001</c:v>
                      </c:pt>
                      <c:pt idx="6847">
                        <c:v>20.423999999999999</c:v>
                      </c:pt>
                      <c:pt idx="6848">
                        <c:v>20.423999999999999</c:v>
                      </c:pt>
                      <c:pt idx="6849">
                        <c:v>20.518999999999998</c:v>
                      </c:pt>
                      <c:pt idx="6850">
                        <c:v>20.518999999999998</c:v>
                      </c:pt>
                      <c:pt idx="6851">
                        <c:v>20.71</c:v>
                      </c:pt>
                      <c:pt idx="6852">
                        <c:v>20.805</c:v>
                      </c:pt>
                      <c:pt idx="6853">
                        <c:v>20.71</c:v>
                      </c:pt>
                      <c:pt idx="6854">
                        <c:v>20.805</c:v>
                      </c:pt>
                      <c:pt idx="6855">
                        <c:v>20.805</c:v>
                      </c:pt>
                      <c:pt idx="6856">
                        <c:v>20.71</c:v>
                      </c:pt>
                      <c:pt idx="6857">
                        <c:v>20.614999999999998</c:v>
                      </c:pt>
                      <c:pt idx="6858">
                        <c:v>20.614999999999998</c:v>
                      </c:pt>
                      <c:pt idx="6859">
                        <c:v>20.614999999999998</c:v>
                      </c:pt>
                      <c:pt idx="6860">
                        <c:v>20.518999999999998</c:v>
                      </c:pt>
                      <c:pt idx="6861">
                        <c:v>20.518999999999998</c:v>
                      </c:pt>
                      <c:pt idx="6862">
                        <c:v>20.518999999999998</c:v>
                      </c:pt>
                      <c:pt idx="6863">
                        <c:v>20.518999999999998</c:v>
                      </c:pt>
                      <c:pt idx="6864">
                        <c:v>20.518999999999998</c:v>
                      </c:pt>
                      <c:pt idx="6865">
                        <c:v>20.518999999999998</c:v>
                      </c:pt>
                      <c:pt idx="6866">
                        <c:v>20.423999999999999</c:v>
                      </c:pt>
                      <c:pt idx="6867">
                        <c:v>20.423999999999999</c:v>
                      </c:pt>
                      <c:pt idx="6868">
                        <c:v>20.329000000000001</c:v>
                      </c:pt>
                      <c:pt idx="6869">
                        <c:v>20.329000000000001</c:v>
                      </c:pt>
                      <c:pt idx="6870">
                        <c:v>20.329000000000001</c:v>
                      </c:pt>
                      <c:pt idx="6871">
                        <c:v>20.234000000000002</c:v>
                      </c:pt>
                      <c:pt idx="6872">
                        <c:v>20.234000000000002</c:v>
                      </c:pt>
                      <c:pt idx="6873">
                        <c:v>20.138000000000002</c:v>
                      </c:pt>
                      <c:pt idx="6874">
                        <c:v>20.042999999999999</c:v>
                      </c:pt>
                      <c:pt idx="6875">
                        <c:v>19.948</c:v>
                      </c:pt>
                      <c:pt idx="6876">
                        <c:v>19.948</c:v>
                      </c:pt>
                      <c:pt idx="6877">
                        <c:v>19.948</c:v>
                      </c:pt>
                      <c:pt idx="6878">
                        <c:v>19.853000000000002</c:v>
                      </c:pt>
                      <c:pt idx="6879">
                        <c:v>19.853000000000002</c:v>
                      </c:pt>
                      <c:pt idx="6880">
                        <c:v>19.757999999999999</c:v>
                      </c:pt>
                      <c:pt idx="6881">
                        <c:v>19.757999999999999</c:v>
                      </c:pt>
                      <c:pt idx="6882">
                        <c:v>19.757999999999999</c:v>
                      </c:pt>
                      <c:pt idx="6883">
                        <c:v>19.661999999999999</c:v>
                      </c:pt>
                      <c:pt idx="6884">
                        <c:v>19.661999999999999</c:v>
                      </c:pt>
                      <c:pt idx="6885">
                        <c:v>19.661999999999999</c:v>
                      </c:pt>
                      <c:pt idx="6886">
                        <c:v>19.567</c:v>
                      </c:pt>
                      <c:pt idx="6887">
                        <c:v>19.472000000000001</c:v>
                      </c:pt>
                      <c:pt idx="6888">
                        <c:v>19.472000000000001</c:v>
                      </c:pt>
                      <c:pt idx="6889">
                        <c:v>19.567</c:v>
                      </c:pt>
                      <c:pt idx="6890">
                        <c:v>19.472000000000001</c:v>
                      </c:pt>
                      <c:pt idx="6891">
                        <c:v>19.472000000000001</c:v>
                      </c:pt>
                      <c:pt idx="6892">
                        <c:v>19.472000000000001</c:v>
                      </c:pt>
                      <c:pt idx="6893">
                        <c:v>19.472000000000001</c:v>
                      </c:pt>
                      <c:pt idx="6894">
                        <c:v>19.472000000000001</c:v>
                      </c:pt>
                      <c:pt idx="6895">
                        <c:v>19.376999999999999</c:v>
                      </c:pt>
                      <c:pt idx="6896">
                        <c:v>19.376999999999999</c:v>
                      </c:pt>
                      <c:pt idx="6897">
                        <c:v>19.282</c:v>
                      </c:pt>
                      <c:pt idx="6898">
                        <c:v>19.282</c:v>
                      </c:pt>
                      <c:pt idx="6899">
                        <c:v>19.282</c:v>
                      </c:pt>
                      <c:pt idx="6900">
                        <c:v>19.376999999999999</c:v>
                      </c:pt>
                      <c:pt idx="6901">
                        <c:v>19.282</c:v>
                      </c:pt>
                      <c:pt idx="6902">
                        <c:v>19.282</c:v>
                      </c:pt>
                      <c:pt idx="6903">
                        <c:v>19.282</c:v>
                      </c:pt>
                      <c:pt idx="6904">
                        <c:v>19.282</c:v>
                      </c:pt>
                      <c:pt idx="6905">
                        <c:v>19.282</c:v>
                      </c:pt>
                      <c:pt idx="6906">
                        <c:v>19.282</c:v>
                      </c:pt>
                      <c:pt idx="6907">
                        <c:v>19.187000000000001</c:v>
                      </c:pt>
                      <c:pt idx="6908">
                        <c:v>19.187000000000001</c:v>
                      </c:pt>
                      <c:pt idx="6909">
                        <c:v>19.187000000000001</c:v>
                      </c:pt>
                      <c:pt idx="6910">
                        <c:v>19.091999999999999</c:v>
                      </c:pt>
                      <c:pt idx="6911">
                        <c:v>19.091999999999999</c:v>
                      </c:pt>
                      <c:pt idx="6912">
                        <c:v>19.091999999999999</c:v>
                      </c:pt>
                      <c:pt idx="6913">
                        <c:v>19.091999999999999</c:v>
                      </c:pt>
                      <c:pt idx="6914">
                        <c:v>19.091999999999999</c:v>
                      </c:pt>
                      <c:pt idx="6915">
                        <c:v>19.091999999999999</c:v>
                      </c:pt>
                      <c:pt idx="6916">
                        <c:v>19.091999999999999</c:v>
                      </c:pt>
                      <c:pt idx="6917">
                        <c:v>18.995999999999999</c:v>
                      </c:pt>
                      <c:pt idx="6918">
                        <c:v>18.995999999999999</c:v>
                      </c:pt>
                      <c:pt idx="6919">
                        <c:v>18.995999999999999</c:v>
                      </c:pt>
                      <c:pt idx="6920">
                        <c:v>18.995999999999999</c:v>
                      </c:pt>
                      <c:pt idx="6921">
                        <c:v>18.901</c:v>
                      </c:pt>
                      <c:pt idx="6922">
                        <c:v>18.901</c:v>
                      </c:pt>
                      <c:pt idx="6923">
                        <c:v>18.901</c:v>
                      </c:pt>
                      <c:pt idx="6924">
                        <c:v>18.901</c:v>
                      </c:pt>
                      <c:pt idx="6925">
                        <c:v>18.901</c:v>
                      </c:pt>
                      <c:pt idx="6926">
                        <c:v>18.806000000000001</c:v>
                      </c:pt>
                      <c:pt idx="6927">
                        <c:v>18.806000000000001</c:v>
                      </c:pt>
                      <c:pt idx="6928">
                        <c:v>18.806000000000001</c:v>
                      </c:pt>
                      <c:pt idx="6929">
                        <c:v>18.806000000000001</c:v>
                      </c:pt>
                      <c:pt idx="6930">
                        <c:v>18.806000000000001</c:v>
                      </c:pt>
                      <c:pt idx="6931">
                        <c:v>18.806000000000001</c:v>
                      </c:pt>
                      <c:pt idx="6932">
                        <c:v>18.806000000000001</c:v>
                      </c:pt>
                      <c:pt idx="6933">
                        <c:v>18.806000000000001</c:v>
                      </c:pt>
                      <c:pt idx="6934">
                        <c:v>18.806000000000001</c:v>
                      </c:pt>
                      <c:pt idx="6935">
                        <c:v>18.806000000000001</c:v>
                      </c:pt>
                      <c:pt idx="6936">
                        <c:v>18.710999999999999</c:v>
                      </c:pt>
                      <c:pt idx="6937">
                        <c:v>18.806000000000001</c:v>
                      </c:pt>
                      <c:pt idx="6938">
                        <c:v>18.806000000000001</c:v>
                      </c:pt>
                      <c:pt idx="6939">
                        <c:v>18.710999999999999</c:v>
                      </c:pt>
                      <c:pt idx="6940">
                        <c:v>18.806000000000001</c:v>
                      </c:pt>
                      <c:pt idx="6941">
                        <c:v>18.710999999999999</c:v>
                      </c:pt>
                      <c:pt idx="6942">
                        <c:v>18.710999999999999</c:v>
                      </c:pt>
                      <c:pt idx="6943">
                        <c:v>18.710999999999999</c:v>
                      </c:pt>
                      <c:pt idx="6944">
                        <c:v>18.616</c:v>
                      </c:pt>
                      <c:pt idx="6945">
                        <c:v>18.616</c:v>
                      </c:pt>
                      <c:pt idx="6946">
                        <c:v>18.521000000000001</c:v>
                      </c:pt>
                      <c:pt idx="6947">
                        <c:v>18.616</c:v>
                      </c:pt>
                      <c:pt idx="6948">
                        <c:v>18.616</c:v>
                      </c:pt>
                      <c:pt idx="6949">
                        <c:v>18.521000000000001</c:v>
                      </c:pt>
                      <c:pt idx="6950">
                        <c:v>18.521000000000001</c:v>
                      </c:pt>
                      <c:pt idx="6951">
                        <c:v>18.521000000000001</c:v>
                      </c:pt>
                      <c:pt idx="6952">
                        <c:v>18.521000000000001</c:v>
                      </c:pt>
                      <c:pt idx="6953">
                        <c:v>18.521000000000001</c:v>
                      </c:pt>
                      <c:pt idx="6954">
                        <c:v>18.425999999999998</c:v>
                      </c:pt>
                      <c:pt idx="6955">
                        <c:v>18.425999999999998</c:v>
                      </c:pt>
                      <c:pt idx="6956">
                        <c:v>18.425999999999998</c:v>
                      </c:pt>
                      <c:pt idx="6957">
                        <c:v>18.521000000000001</c:v>
                      </c:pt>
                      <c:pt idx="6958">
                        <c:v>18.425999999999998</c:v>
                      </c:pt>
                      <c:pt idx="6959">
                        <c:v>18.425999999999998</c:v>
                      </c:pt>
                      <c:pt idx="6960">
                        <c:v>18.425999999999998</c:v>
                      </c:pt>
                      <c:pt idx="6961">
                        <c:v>18.521000000000001</c:v>
                      </c:pt>
                      <c:pt idx="6962">
                        <c:v>18.616</c:v>
                      </c:pt>
                      <c:pt idx="6963">
                        <c:v>18.616</c:v>
                      </c:pt>
                      <c:pt idx="6964">
                        <c:v>18.710999999999999</c:v>
                      </c:pt>
                      <c:pt idx="6965">
                        <c:v>18.710999999999999</c:v>
                      </c:pt>
                      <c:pt idx="6966">
                        <c:v>18.806000000000001</c:v>
                      </c:pt>
                      <c:pt idx="6967">
                        <c:v>18.806000000000001</c:v>
                      </c:pt>
                      <c:pt idx="6968">
                        <c:v>18.901</c:v>
                      </c:pt>
                      <c:pt idx="6969">
                        <c:v>18.901</c:v>
                      </c:pt>
                      <c:pt idx="6970">
                        <c:v>19.091999999999999</c:v>
                      </c:pt>
                      <c:pt idx="6971">
                        <c:v>19.091999999999999</c:v>
                      </c:pt>
                      <c:pt idx="6972">
                        <c:v>19.187000000000001</c:v>
                      </c:pt>
                      <c:pt idx="6973">
                        <c:v>19.187000000000001</c:v>
                      </c:pt>
                      <c:pt idx="6974">
                        <c:v>19.282</c:v>
                      </c:pt>
                      <c:pt idx="6975">
                        <c:v>19.376999999999999</c:v>
                      </c:pt>
                      <c:pt idx="6976">
                        <c:v>19.376999999999999</c:v>
                      </c:pt>
                      <c:pt idx="6977">
                        <c:v>19.472000000000001</c:v>
                      </c:pt>
                      <c:pt idx="6978">
                        <c:v>19.472000000000001</c:v>
                      </c:pt>
                      <c:pt idx="6979">
                        <c:v>19.567</c:v>
                      </c:pt>
                      <c:pt idx="6980">
                        <c:v>19.567</c:v>
                      </c:pt>
                      <c:pt idx="6981">
                        <c:v>19.661999999999999</c:v>
                      </c:pt>
                      <c:pt idx="6982">
                        <c:v>20.423999999999999</c:v>
                      </c:pt>
                      <c:pt idx="6983">
                        <c:v>20.423999999999999</c:v>
                      </c:pt>
                      <c:pt idx="6984">
                        <c:v>20.138000000000002</c:v>
                      </c:pt>
                      <c:pt idx="6985">
                        <c:v>20.042999999999999</c:v>
                      </c:pt>
                      <c:pt idx="6986">
                        <c:v>20.042999999999999</c:v>
                      </c:pt>
                      <c:pt idx="6987">
                        <c:v>20.138000000000002</c:v>
                      </c:pt>
                      <c:pt idx="6988">
                        <c:v>20.329000000000001</c:v>
                      </c:pt>
                      <c:pt idx="6989">
                        <c:v>20.234000000000002</c:v>
                      </c:pt>
                      <c:pt idx="6990">
                        <c:v>20.234000000000002</c:v>
                      </c:pt>
                      <c:pt idx="6991">
                        <c:v>20.329000000000001</c:v>
                      </c:pt>
                      <c:pt idx="6992">
                        <c:v>20.329000000000001</c:v>
                      </c:pt>
                      <c:pt idx="6993">
                        <c:v>20.423999999999999</c:v>
                      </c:pt>
                      <c:pt idx="6994">
                        <c:v>20.423999999999999</c:v>
                      </c:pt>
                      <c:pt idx="6995">
                        <c:v>20.614999999999998</c:v>
                      </c:pt>
                      <c:pt idx="6996">
                        <c:v>20.71</c:v>
                      </c:pt>
                      <c:pt idx="6997">
                        <c:v>20.614999999999998</c:v>
                      </c:pt>
                      <c:pt idx="6998">
                        <c:v>20.71</c:v>
                      </c:pt>
                      <c:pt idx="6999">
                        <c:v>20.614999999999998</c:v>
                      </c:pt>
                      <c:pt idx="7000">
                        <c:v>20.614999999999998</c:v>
                      </c:pt>
                      <c:pt idx="7001">
                        <c:v>20.614999999999998</c:v>
                      </c:pt>
                      <c:pt idx="7002">
                        <c:v>20.614999999999998</c:v>
                      </c:pt>
                      <c:pt idx="7003">
                        <c:v>20.518999999999998</c:v>
                      </c:pt>
                      <c:pt idx="7004">
                        <c:v>20.518999999999998</c:v>
                      </c:pt>
                      <c:pt idx="7005">
                        <c:v>20.518999999999998</c:v>
                      </c:pt>
                      <c:pt idx="7006">
                        <c:v>20.518999999999998</c:v>
                      </c:pt>
                      <c:pt idx="7007">
                        <c:v>20.518999999999998</c:v>
                      </c:pt>
                      <c:pt idx="7008">
                        <c:v>20.518999999999998</c:v>
                      </c:pt>
                      <c:pt idx="7009">
                        <c:v>20.423999999999999</c:v>
                      </c:pt>
                      <c:pt idx="7010">
                        <c:v>20.423999999999999</c:v>
                      </c:pt>
                      <c:pt idx="7011">
                        <c:v>20.423999999999999</c:v>
                      </c:pt>
                      <c:pt idx="7012">
                        <c:v>20.329000000000001</c:v>
                      </c:pt>
                      <c:pt idx="7013">
                        <c:v>20.423999999999999</c:v>
                      </c:pt>
                      <c:pt idx="7014">
                        <c:v>20.329000000000001</c:v>
                      </c:pt>
                      <c:pt idx="7015">
                        <c:v>20.234000000000002</c:v>
                      </c:pt>
                      <c:pt idx="7016">
                        <c:v>20.234000000000002</c:v>
                      </c:pt>
                      <c:pt idx="7017">
                        <c:v>20.138000000000002</c:v>
                      </c:pt>
                      <c:pt idx="7018">
                        <c:v>20.042999999999999</c:v>
                      </c:pt>
                      <c:pt idx="7019">
                        <c:v>20.042999999999999</c:v>
                      </c:pt>
                      <c:pt idx="7020">
                        <c:v>20.042999999999999</c:v>
                      </c:pt>
                      <c:pt idx="7021">
                        <c:v>19.948</c:v>
                      </c:pt>
                      <c:pt idx="7022">
                        <c:v>19.948</c:v>
                      </c:pt>
                      <c:pt idx="7023">
                        <c:v>19.853000000000002</c:v>
                      </c:pt>
                      <c:pt idx="7024">
                        <c:v>19.853000000000002</c:v>
                      </c:pt>
                      <c:pt idx="7025">
                        <c:v>19.757999999999999</c:v>
                      </c:pt>
                      <c:pt idx="7026">
                        <c:v>19.757999999999999</c:v>
                      </c:pt>
                      <c:pt idx="7027">
                        <c:v>19.757999999999999</c:v>
                      </c:pt>
                      <c:pt idx="7028">
                        <c:v>19.757999999999999</c:v>
                      </c:pt>
                      <c:pt idx="7029">
                        <c:v>19.661999999999999</c:v>
                      </c:pt>
                      <c:pt idx="7030">
                        <c:v>19.661999999999999</c:v>
                      </c:pt>
                      <c:pt idx="7031">
                        <c:v>19.567</c:v>
                      </c:pt>
                      <c:pt idx="7032">
                        <c:v>19.567</c:v>
                      </c:pt>
                      <c:pt idx="7033">
                        <c:v>19.567</c:v>
                      </c:pt>
                      <c:pt idx="7034">
                        <c:v>19.567</c:v>
                      </c:pt>
                      <c:pt idx="7035">
                        <c:v>19.567</c:v>
                      </c:pt>
                      <c:pt idx="7036">
                        <c:v>19.472000000000001</c:v>
                      </c:pt>
                      <c:pt idx="7037">
                        <c:v>19.472000000000001</c:v>
                      </c:pt>
                      <c:pt idx="7038">
                        <c:v>19.472000000000001</c:v>
                      </c:pt>
                      <c:pt idx="7039">
                        <c:v>19.472000000000001</c:v>
                      </c:pt>
                      <c:pt idx="7040">
                        <c:v>19.472000000000001</c:v>
                      </c:pt>
                      <c:pt idx="7041">
                        <c:v>19.472000000000001</c:v>
                      </c:pt>
                      <c:pt idx="7042">
                        <c:v>19.472000000000001</c:v>
                      </c:pt>
                      <c:pt idx="7043">
                        <c:v>19.472000000000001</c:v>
                      </c:pt>
                      <c:pt idx="7044">
                        <c:v>19.376999999999999</c:v>
                      </c:pt>
                      <c:pt idx="7045">
                        <c:v>19.376999999999999</c:v>
                      </c:pt>
                      <c:pt idx="7046">
                        <c:v>19.282</c:v>
                      </c:pt>
                      <c:pt idx="7047">
                        <c:v>19.282</c:v>
                      </c:pt>
                      <c:pt idx="7048">
                        <c:v>19.282</c:v>
                      </c:pt>
                      <c:pt idx="7049">
                        <c:v>19.282</c:v>
                      </c:pt>
                      <c:pt idx="7050">
                        <c:v>19.282</c:v>
                      </c:pt>
                      <c:pt idx="7051">
                        <c:v>19.282</c:v>
                      </c:pt>
                      <c:pt idx="7052">
                        <c:v>19.187000000000001</c:v>
                      </c:pt>
                      <c:pt idx="7053">
                        <c:v>19.187000000000001</c:v>
                      </c:pt>
                      <c:pt idx="7054">
                        <c:v>19.187000000000001</c:v>
                      </c:pt>
                      <c:pt idx="7055">
                        <c:v>19.187000000000001</c:v>
                      </c:pt>
                      <c:pt idx="7056">
                        <c:v>19.187000000000001</c:v>
                      </c:pt>
                      <c:pt idx="7057">
                        <c:v>19.187000000000001</c:v>
                      </c:pt>
                      <c:pt idx="7058">
                        <c:v>19.187000000000001</c:v>
                      </c:pt>
                      <c:pt idx="7059">
                        <c:v>19.091999999999999</c:v>
                      </c:pt>
                      <c:pt idx="7060">
                        <c:v>19.091999999999999</c:v>
                      </c:pt>
                      <c:pt idx="7061">
                        <c:v>19.091999999999999</c:v>
                      </c:pt>
                      <c:pt idx="7062">
                        <c:v>18.995999999999999</c:v>
                      </c:pt>
                      <c:pt idx="7063">
                        <c:v>19.091999999999999</c:v>
                      </c:pt>
                      <c:pt idx="7064">
                        <c:v>18.995999999999999</c:v>
                      </c:pt>
                      <c:pt idx="7065">
                        <c:v>18.995999999999999</c:v>
                      </c:pt>
                      <c:pt idx="7066">
                        <c:v>18.995999999999999</c:v>
                      </c:pt>
                      <c:pt idx="7067">
                        <c:v>18.995999999999999</c:v>
                      </c:pt>
                      <c:pt idx="7068">
                        <c:v>18.995999999999999</c:v>
                      </c:pt>
                      <c:pt idx="7069">
                        <c:v>18.901</c:v>
                      </c:pt>
                      <c:pt idx="7070">
                        <c:v>18.901</c:v>
                      </c:pt>
                      <c:pt idx="7071">
                        <c:v>18.901</c:v>
                      </c:pt>
                      <c:pt idx="7072">
                        <c:v>18.806000000000001</c:v>
                      </c:pt>
                      <c:pt idx="7073">
                        <c:v>18.806000000000001</c:v>
                      </c:pt>
                      <c:pt idx="7074">
                        <c:v>18.710999999999999</c:v>
                      </c:pt>
                      <c:pt idx="7075">
                        <c:v>18.806000000000001</c:v>
                      </c:pt>
                      <c:pt idx="7076">
                        <c:v>18.806000000000001</c:v>
                      </c:pt>
                      <c:pt idx="7077">
                        <c:v>18.710999999999999</c:v>
                      </c:pt>
                      <c:pt idx="7078">
                        <c:v>18.806000000000001</c:v>
                      </c:pt>
                      <c:pt idx="7079">
                        <c:v>18.806000000000001</c:v>
                      </c:pt>
                      <c:pt idx="7080">
                        <c:v>18.710999999999999</c:v>
                      </c:pt>
                      <c:pt idx="7081">
                        <c:v>18.710999999999999</c:v>
                      </c:pt>
                      <c:pt idx="7082">
                        <c:v>18.710999999999999</c:v>
                      </c:pt>
                      <c:pt idx="7083">
                        <c:v>18.710999999999999</c:v>
                      </c:pt>
                      <c:pt idx="7084">
                        <c:v>18.710999999999999</c:v>
                      </c:pt>
                      <c:pt idx="7085">
                        <c:v>18.616</c:v>
                      </c:pt>
                      <c:pt idx="7086">
                        <c:v>18.710999999999999</c:v>
                      </c:pt>
                      <c:pt idx="7087">
                        <c:v>18.710999999999999</c:v>
                      </c:pt>
                      <c:pt idx="7088">
                        <c:v>18.710999999999999</c:v>
                      </c:pt>
                      <c:pt idx="7089">
                        <c:v>18.616</c:v>
                      </c:pt>
                      <c:pt idx="7090">
                        <c:v>18.616</c:v>
                      </c:pt>
                      <c:pt idx="7091">
                        <c:v>18.521000000000001</c:v>
                      </c:pt>
                      <c:pt idx="7092">
                        <c:v>18.521000000000001</c:v>
                      </c:pt>
                      <c:pt idx="7093">
                        <c:v>18.521000000000001</c:v>
                      </c:pt>
                      <c:pt idx="7094">
                        <c:v>18.425999999999998</c:v>
                      </c:pt>
                      <c:pt idx="7095">
                        <c:v>18.425999999999998</c:v>
                      </c:pt>
                      <c:pt idx="7096">
                        <c:v>18.425999999999998</c:v>
                      </c:pt>
                      <c:pt idx="7097">
                        <c:v>18.331</c:v>
                      </c:pt>
                      <c:pt idx="7098">
                        <c:v>18.331</c:v>
                      </c:pt>
                      <c:pt idx="7099">
                        <c:v>18.331</c:v>
                      </c:pt>
                      <c:pt idx="7100">
                        <c:v>18.331</c:v>
                      </c:pt>
                      <c:pt idx="7101">
                        <c:v>18.331</c:v>
                      </c:pt>
                      <c:pt idx="7102">
                        <c:v>18.425999999999998</c:v>
                      </c:pt>
                      <c:pt idx="7103">
                        <c:v>18.425999999999998</c:v>
                      </c:pt>
                      <c:pt idx="7104">
                        <c:v>18.425999999999998</c:v>
                      </c:pt>
                      <c:pt idx="7105">
                        <c:v>18.425999999999998</c:v>
                      </c:pt>
                      <c:pt idx="7106">
                        <c:v>18.521000000000001</c:v>
                      </c:pt>
                      <c:pt idx="7107">
                        <c:v>18.521000000000001</c:v>
                      </c:pt>
                      <c:pt idx="7108">
                        <c:v>18.616</c:v>
                      </c:pt>
                      <c:pt idx="7109">
                        <c:v>18.616</c:v>
                      </c:pt>
                      <c:pt idx="7110">
                        <c:v>18.710999999999999</c:v>
                      </c:pt>
                      <c:pt idx="7111">
                        <c:v>18.806000000000001</c:v>
                      </c:pt>
                      <c:pt idx="7112">
                        <c:v>18.901</c:v>
                      </c:pt>
                      <c:pt idx="7113">
                        <c:v>18.995999999999999</c:v>
                      </c:pt>
                      <c:pt idx="7114">
                        <c:v>19.091999999999999</c:v>
                      </c:pt>
                      <c:pt idx="7115">
                        <c:v>19.091999999999999</c:v>
                      </c:pt>
                      <c:pt idx="7116">
                        <c:v>19.187000000000001</c:v>
                      </c:pt>
                      <c:pt idx="7117">
                        <c:v>19.187000000000001</c:v>
                      </c:pt>
                      <c:pt idx="7118">
                        <c:v>19.282</c:v>
                      </c:pt>
                      <c:pt idx="7119">
                        <c:v>19.376999999999999</c:v>
                      </c:pt>
                      <c:pt idx="7120">
                        <c:v>19.376999999999999</c:v>
                      </c:pt>
                      <c:pt idx="7121">
                        <c:v>19.472000000000001</c:v>
                      </c:pt>
                      <c:pt idx="7122">
                        <c:v>19.472000000000001</c:v>
                      </c:pt>
                      <c:pt idx="7123">
                        <c:v>19.567</c:v>
                      </c:pt>
                      <c:pt idx="7124">
                        <c:v>19.661999999999999</c:v>
                      </c:pt>
                      <c:pt idx="7125">
                        <c:v>19.757999999999999</c:v>
                      </c:pt>
                      <c:pt idx="7126">
                        <c:v>20.234000000000002</c:v>
                      </c:pt>
                      <c:pt idx="7127">
                        <c:v>20.234000000000002</c:v>
                      </c:pt>
                      <c:pt idx="7128">
                        <c:v>20.138000000000002</c:v>
                      </c:pt>
                      <c:pt idx="7129">
                        <c:v>20.138000000000002</c:v>
                      </c:pt>
                      <c:pt idx="7130">
                        <c:v>20.234000000000002</c:v>
                      </c:pt>
                      <c:pt idx="7131">
                        <c:v>20.234000000000002</c:v>
                      </c:pt>
                      <c:pt idx="7132">
                        <c:v>20.423999999999999</c:v>
                      </c:pt>
                      <c:pt idx="7133">
                        <c:v>20.423999999999999</c:v>
                      </c:pt>
                      <c:pt idx="7134">
                        <c:v>20.423999999999999</c:v>
                      </c:pt>
                      <c:pt idx="7135">
                        <c:v>20.423999999999999</c:v>
                      </c:pt>
                      <c:pt idx="7136">
                        <c:v>20.423999999999999</c:v>
                      </c:pt>
                      <c:pt idx="7137">
                        <c:v>20.518999999999998</c:v>
                      </c:pt>
                      <c:pt idx="7138">
                        <c:v>20.614999999999998</c:v>
                      </c:pt>
                      <c:pt idx="7139">
                        <c:v>20.71</c:v>
                      </c:pt>
                      <c:pt idx="7140">
                        <c:v>20.901</c:v>
                      </c:pt>
                      <c:pt idx="7141">
                        <c:v>20.805</c:v>
                      </c:pt>
                      <c:pt idx="7142">
                        <c:v>20.805</c:v>
                      </c:pt>
                      <c:pt idx="7143">
                        <c:v>20.805</c:v>
                      </c:pt>
                      <c:pt idx="7144">
                        <c:v>20.805</c:v>
                      </c:pt>
                      <c:pt idx="7145">
                        <c:v>20.71</c:v>
                      </c:pt>
                      <c:pt idx="7146">
                        <c:v>20.805</c:v>
                      </c:pt>
                      <c:pt idx="7147">
                        <c:v>20.71</c:v>
                      </c:pt>
                      <c:pt idx="7148">
                        <c:v>20.71</c:v>
                      </c:pt>
                      <c:pt idx="7149">
                        <c:v>20.71</c:v>
                      </c:pt>
                      <c:pt idx="7150">
                        <c:v>20.71</c:v>
                      </c:pt>
                      <c:pt idx="7151">
                        <c:v>20.71</c:v>
                      </c:pt>
                      <c:pt idx="7152">
                        <c:v>20.71</c:v>
                      </c:pt>
                      <c:pt idx="7153">
                        <c:v>20.614999999999998</c:v>
                      </c:pt>
                      <c:pt idx="7154">
                        <c:v>20.614999999999998</c:v>
                      </c:pt>
                      <c:pt idx="7155">
                        <c:v>20.518999999999998</c:v>
                      </c:pt>
                      <c:pt idx="7156">
                        <c:v>20.518999999999998</c:v>
                      </c:pt>
                      <c:pt idx="7157">
                        <c:v>20.518999999999998</c:v>
                      </c:pt>
                      <c:pt idx="7158">
                        <c:v>20.518999999999998</c:v>
                      </c:pt>
                      <c:pt idx="7159">
                        <c:v>20.518999999999998</c:v>
                      </c:pt>
                      <c:pt idx="7160">
                        <c:v>20.518999999999998</c:v>
                      </c:pt>
                      <c:pt idx="7161">
                        <c:v>20.518999999999998</c:v>
                      </c:pt>
                      <c:pt idx="7162">
                        <c:v>20.518999999999998</c:v>
                      </c:pt>
                      <c:pt idx="7163">
                        <c:v>20.423999999999999</c:v>
                      </c:pt>
                      <c:pt idx="7164">
                        <c:v>20.423999999999999</c:v>
                      </c:pt>
                      <c:pt idx="7165">
                        <c:v>20.423999999999999</c:v>
                      </c:pt>
                      <c:pt idx="7166">
                        <c:v>20.329000000000001</c:v>
                      </c:pt>
                      <c:pt idx="7167">
                        <c:v>20.329000000000001</c:v>
                      </c:pt>
                      <c:pt idx="7168">
                        <c:v>20.234000000000002</c:v>
                      </c:pt>
                      <c:pt idx="7169">
                        <c:v>20.234000000000002</c:v>
                      </c:pt>
                      <c:pt idx="7170">
                        <c:v>20.234000000000002</c:v>
                      </c:pt>
                      <c:pt idx="7171">
                        <c:v>20.138000000000002</c:v>
                      </c:pt>
                      <c:pt idx="7172">
                        <c:v>20.138000000000002</c:v>
                      </c:pt>
                      <c:pt idx="7173">
                        <c:v>20.138000000000002</c:v>
                      </c:pt>
                      <c:pt idx="7174">
                        <c:v>20.042999999999999</c:v>
                      </c:pt>
                      <c:pt idx="7175">
                        <c:v>20.042999999999999</c:v>
                      </c:pt>
                      <c:pt idx="7176">
                        <c:v>20.138000000000002</c:v>
                      </c:pt>
                      <c:pt idx="7177">
                        <c:v>20.042999999999999</c:v>
                      </c:pt>
                      <c:pt idx="7178">
                        <c:v>19.948</c:v>
                      </c:pt>
                      <c:pt idx="7179">
                        <c:v>19.948</c:v>
                      </c:pt>
                      <c:pt idx="7180">
                        <c:v>19.948</c:v>
                      </c:pt>
                      <c:pt idx="7181">
                        <c:v>19.853000000000002</c:v>
                      </c:pt>
                      <c:pt idx="7182">
                        <c:v>19.853000000000002</c:v>
                      </c:pt>
                      <c:pt idx="7183">
                        <c:v>19.853000000000002</c:v>
                      </c:pt>
                      <c:pt idx="7184">
                        <c:v>19.853000000000002</c:v>
                      </c:pt>
                      <c:pt idx="7185">
                        <c:v>19.853000000000002</c:v>
                      </c:pt>
                      <c:pt idx="7186">
                        <c:v>19.757999999999999</c:v>
                      </c:pt>
                      <c:pt idx="7187">
                        <c:v>19.757999999999999</c:v>
                      </c:pt>
                      <c:pt idx="7188">
                        <c:v>19.757999999999999</c:v>
                      </c:pt>
                      <c:pt idx="7189">
                        <c:v>19.661999999999999</c:v>
                      </c:pt>
                      <c:pt idx="7190">
                        <c:v>19.661999999999999</c:v>
                      </c:pt>
                      <c:pt idx="7191">
                        <c:v>19.661999999999999</c:v>
                      </c:pt>
                      <c:pt idx="7192">
                        <c:v>19.661999999999999</c:v>
                      </c:pt>
                      <c:pt idx="7193">
                        <c:v>19.661999999999999</c:v>
                      </c:pt>
                      <c:pt idx="7194">
                        <c:v>19.661999999999999</c:v>
                      </c:pt>
                      <c:pt idx="7195">
                        <c:v>19.661999999999999</c:v>
                      </c:pt>
                      <c:pt idx="7196">
                        <c:v>19.661999999999999</c:v>
                      </c:pt>
                      <c:pt idx="7197">
                        <c:v>19.567</c:v>
                      </c:pt>
                      <c:pt idx="7198">
                        <c:v>19.567</c:v>
                      </c:pt>
                      <c:pt idx="7199">
                        <c:v>19.567</c:v>
                      </c:pt>
                      <c:pt idx="7200">
                        <c:v>19.567</c:v>
                      </c:pt>
                      <c:pt idx="7201">
                        <c:v>19.567</c:v>
                      </c:pt>
                      <c:pt idx="7202">
                        <c:v>19.567</c:v>
                      </c:pt>
                      <c:pt idx="7203">
                        <c:v>19.472000000000001</c:v>
                      </c:pt>
                      <c:pt idx="7204">
                        <c:v>19.472000000000001</c:v>
                      </c:pt>
                      <c:pt idx="7205">
                        <c:v>19.472000000000001</c:v>
                      </c:pt>
                      <c:pt idx="7206">
                        <c:v>19.472000000000001</c:v>
                      </c:pt>
                      <c:pt idx="7207">
                        <c:v>19.472000000000001</c:v>
                      </c:pt>
                      <c:pt idx="7208">
                        <c:v>19.472000000000001</c:v>
                      </c:pt>
                      <c:pt idx="7209">
                        <c:v>19.472000000000001</c:v>
                      </c:pt>
                      <c:pt idx="7210">
                        <c:v>19.472000000000001</c:v>
                      </c:pt>
                      <c:pt idx="7211">
                        <c:v>19.472000000000001</c:v>
                      </c:pt>
                      <c:pt idx="7212">
                        <c:v>19.376999999999999</c:v>
                      </c:pt>
                      <c:pt idx="7213">
                        <c:v>19.376999999999999</c:v>
                      </c:pt>
                      <c:pt idx="7214">
                        <c:v>19.376999999999999</c:v>
                      </c:pt>
                      <c:pt idx="7215">
                        <c:v>19.376999999999999</c:v>
                      </c:pt>
                      <c:pt idx="7216">
                        <c:v>19.376999999999999</c:v>
                      </c:pt>
                      <c:pt idx="7217">
                        <c:v>19.376999999999999</c:v>
                      </c:pt>
                      <c:pt idx="7218">
                        <c:v>19.282</c:v>
                      </c:pt>
                      <c:pt idx="7219">
                        <c:v>19.376999999999999</c:v>
                      </c:pt>
                      <c:pt idx="7220">
                        <c:v>19.376999999999999</c:v>
                      </c:pt>
                      <c:pt idx="7221">
                        <c:v>19.282</c:v>
                      </c:pt>
                      <c:pt idx="7222">
                        <c:v>19.282</c:v>
                      </c:pt>
                      <c:pt idx="7223">
                        <c:v>19.376999999999999</c:v>
                      </c:pt>
                      <c:pt idx="7224">
                        <c:v>19.376999999999999</c:v>
                      </c:pt>
                      <c:pt idx="7225">
                        <c:v>19.282</c:v>
                      </c:pt>
                      <c:pt idx="7226">
                        <c:v>19.282</c:v>
                      </c:pt>
                      <c:pt idx="7227">
                        <c:v>19.282</c:v>
                      </c:pt>
                      <c:pt idx="7228">
                        <c:v>19.282</c:v>
                      </c:pt>
                      <c:pt idx="7229">
                        <c:v>19.187000000000001</c:v>
                      </c:pt>
                      <c:pt idx="7230">
                        <c:v>19.187000000000001</c:v>
                      </c:pt>
                      <c:pt idx="7231">
                        <c:v>19.282</c:v>
                      </c:pt>
                      <c:pt idx="7232">
                        <c:v>19.187000000000001</c:v>
                      </c:pt>
                      <c:pt idx="7233">
                        <c:v>19.282</c:v>
                      </c:pt>
                      <c:pt idx="7234">
                        <c:v>19.282</c:v>
                      </c:pt>
                      <c:pt idx="7235">
                        <c:v>19.282</c:v>
                      </c:pt>
                      <c:pt idx="7236">
                        <c:v>19.282</c:v>
                      </c:pt>
                      <c:pt idx="7237">
                        <c:v>19.282</c:v>
                      </c:pt>
                      <c:pt idx="7238">
                        <c:v>19.282</c:v>
                      </c:pt>
                      <c:pt idx="7239">
                        <c:v>19.282</c:v>
                      </c:pt>
                      <c:pt idx="7240">
                        <c:v>19.282</c:v>
                      </c:pt>
                      <c:pt idx="7241">
                        <c:v>19.282</c:v>
                      </c:pt>
                      <c:pt idx="7242">
                        <c:v>19.282</c:v>
                      </c:pt>
                      <c:pt idx="7243">
                        <c:v>19.282</c:v>
                      </c:pt>
                      <c:pt idx="7244">
                        <c:v>19.282</c:v>
                      </c:pt>
                      <c:pt idx="7245">
                        <c:v>19.282</c:v>
                      </c:pt>
                      <c:pt idx="7246">
                        <c:v>19.282</c:v>
                      </c:pt>
                      <c:pt idx="7247">
                        <c:v>19.376999999999999</c:v>
                      </c:pt>
                      <c:pt idx="7248">
                        <c:v>19.376999999999999</c:v>
                      </c:pt>
                      <c:pt idx="7249">
                        <c:v>19.376999999999999</c:v>
                      </c:pt>
                      <c:pt idx="7250">
                        <c:v>19.376999999999999</c:v>
                      </c:pt>
                      <c:pt idx="7251">
                        <c:v>19.376999999999999</c:v>
                      </c:pt>
                      <c:pt idx="7252">
                        <c:v>19.472000000000001</c:v>
                      </c:pt>
                      <c:pt idx="7253">
                        <c:v>19.472000000000001</c:v>
                      </c:pt>
                      <c:pt idx="7254">
                        <c:v>19.567</c:v>
                      </c:pt>
                      <c:pt idx="7255">
                        <c:v>19.661999999999999</c:v>
                      </c:pt>
                      <c:pt idx="7256">
                        <c:v>19.757999999999999</c:v>
                      </c:pt>
                      <c:pt idx="7257">
                        <c:v>19.757999999999999</c:v>
                      </c:pt>
                      <c:pt idx="7258">
                        <c:v>19.853000000000002</c:v>
                      </c:pt>
                      <c:pt idx="7259">
                        <c:v>19.853000000000002</c:v>
                      </c:pt>
                      <c:pt idx="7260">
                        <c:v>19.948</c:v>
                      </c:pt>
                      <c:pt idx="7261">
                        <c:v>19.948</c:v>
                      </c:pt>
                      <c:pt idx="7262">
                        <c:v>20.042999999999999</c:v>
                      </c:pt>
                      <c:pt idx="7263">
                        <c:v>20.042999999999999</c:v>
                      </c:pt>
                      <c:pt idx="7264">
                        <c:v>20.042999999999999</c:v>
                      </c:pt>
                      <c:pt idx="7265">
                        <c:v>20.138000000000002</c:v>
                      </c:pt>
                      <c:pt idx="7266">
                        <c:v>20.138000000000002</c:v>
                      </c:pt>
                      <c:pt idx="7267">
                        <c:v>20.138000000000002</c:v>
                      </c:pt>
                      <c:pt idx="7268">
                        <c:v>20.234000000000002</c:v>
                      </c:pt>
                      <c:pt idx="7269">
                        <c:v>20.423999999999999</c:v>
                      </c:pt>
                      <c:pt idx="7270">
                        <c:v>20.614999999999998</c:v>
                      </c:pt>
                      <c:pt idx="7271">
                        <c:v>20.71</c:v>
                      </c:pt>
                      <c:pt idx="7272">
                        <c:v>20.71</c:v>
                      </c:pt>
                      <c:pt idx="7273">
                        <c:v>20.71</c:v>
                      </c:pt>
                      <c:pt idx="7274">
                        <c:v>20.71</c:v>
                      </c:pt>
                      <c:pt idx="7275">
                        <c:v>20.71</c:v>
                      </c:pt>
                      <c:pt idx="7276">
                        <c:v>20.805</c:v>
                      </c:pt>
                      <c:pt idx="7277">
                        <c:v>20.805</c:v>
                      </c:pt>
                      <c:pt idx="7278">
                        <c:v>20.805</c:v>
                      </c:pt>
                      <c:pt idx="7279">
                        <c:v>20.805</c:v>
                      </c:pt>
                      <c:pt idx="7280">
                        <c:v>20.805</c:v>
                      </c:pt>
                      <c:pt idx="7281">
                        <c:v>20.901</c:v>
                      </c:pt>
                      <c:pt idx="7282">
                        <c:v>20.901</c:v>
                      </c:pt>
                      <c:pt idx="7283">
                        <c:v>20.995999999999999</c:v>
                      </c:pt>
                      <c:pt idx="7284">
                        <c:v>20.995999999999999</c:v>
                      </c:pt>
                      <c:pt idx="7285">
                        <c:v>20.901</c:v>
                      </c:pt>
                      <c:pt idx="7286">
                        <c:v>20.901</c:v>
                      </c:pt>
                      <c:pt idx="7287">
                        <c:v>20.901</c:v>
                      </c:pt>
                      <c:pt idx="7288">
                        <c:v>20.995999999999999</c:v>
                      </c:pt>
                      <c:pt idx="7289">
                        <c:v>20.901</c:v>
                      </c:pt>
                      <c:pt idx="7290">
                        <c:v>20.995999999999999</c:v>
                      </c:pt>
                      <c:pt idx="7291">
                        <c:v>20.901</c:v>
                      </c:pt>
                      <c:pt idx="7292">
                        <c:v>20.901</c:v>
                      </c:pt>
                      <c:pt idx="7293">
                        <c:v>20.901</c:v>
                      </c:pt>
                      <c:pt idx="7294">
                        <c:v>20.901</c:v>
                      </c:pt>
                      <c:pt idx="7295">
                        <c:v>20.901</c:v>
                      </c:pt>
                      <c:pt idx="7296">
                        <c:v>20.805</c:v>
                      </c:pt>
                      <c:pt idx="7297">
                        <c:v>20.805</c:v>
                      </c:pt>
                      <c:pt idx="7298">
                        <c:v>20.805</c:v>
                      </c:pt>
                      <c:pt idx="7299">
                        <c:v>20.805</c:v>
                      </c:pt>
                      <c:pt idx="7300">
                        <c:v>20.805</c:v>
                      </c:pt>
                      <c:pt idx="7301">
                        <c:v>20.805</c:v>
                      </c:pt>
                      <c:pt idx="7302">
                        <c:v>20.805</c:v>
                      </c:pt>
                      <c:pt idx="7303">
                        <c:v>20.71</c:v>
                      </c:pt>
                      <c:pt idx="7304">
                        <c:v>20.71</c:v>
                      </c:pt>
                      <c:pt idx="7305">
                        <c:v>20.71</c:v>
                      </c:pt>
                      <c:pt idx="7306">
                        <c:v>20.614999999999998</c:v>
                      </c:pt>
                      <c:pt idx="7307">
                        <c:v>20.614999999999998</c:v>
                      </c:pt>
                      <c:pt idx="7308">
                        <c:v>20.614999999999998</c:v>
                      </c:pt>
                      <c:pt idx="7309">
                        <c:v>20.614999999999998</c:v>
                      </c:pt>
                      <c:pt idx="7310">
                        <c:v>20.518999999999998</c:v>
                      </c:pt>
                      <c:pt idx="7311">
                        <c:v>20.518999999999998</c:v>
                      </c:pt>
                      <c:pt idx="7312">
                        <c:v>20.518999999999998</c:v>
                      </c:pt>
                      <c:pt idx="7313">
                        <c:v>20.423999999999999</c:v>
                      </c:pt>
                      <c:pt idx="7314">
                        <c:v>20.423999999999999</c:v>
                      </c:pt>
                      <c:pt idx="7315">
                        <c:v>20.423999999999999</c:v>
                      </c:pt>
                      <c:pt idx="7316">
                        <c:v>20.329000000000001</c:v>
                      </c:pt>
                      <c:pt idx="7317">
                        <c:v>20.329000000000001</c:v>
                      </c:pt>
                      <c:pt idx="7318">
                        <c:v>20.329000000000001</c:v>
                      </c:pt>
                      <c:pt idx="7319">
                        <c:v>20.329000000000001</c:v>
                      </c:pt>
                      <c:pt idx="7320">
                        <c:v>20.329000000000001</c:v>
                      </c:pt>
                      <c:pt idx="7321">
                        <c:v>20.234000000000002</c:v>
                      </c:pt>
                      <c:pt idx="7322">
                        <c:v>20.329000000000001</c:v>
                      </c:pt>
                      <c:pt idx="7323">
                        <c:v>20.234000000000002</c:v>
                      </c:pt>
                      <c:pt idx="7324">
                        <c:v>20.234000000000002</c:v>
                      </c:pt>
                      <c:pt idx="7325">
                        <c:v>20.234000000000002</c:v>
                      </c:pt>
                      <c:pt idx="7326">
                        <c:v>20.234000000000002</c:v>
                      </c:pt>
                      <c:pt idx="7327">
                        <c:v>20.234000000000002</c:v>
                      </c:pt>
                      <c:pt idx="7328">
                        <c:v>20.234000000000002</c:v>
                      </c:pt>
                      <c:pt idx="7329">
                        <c:v>20.234000000000002</c:v>
                      </c:pt>
                      <c:pt idx="7330">
                        <c:v>20.234000000000002</c:v>
                      </c:pt>
                      <c:pt idx="7331">
                        <c:v>20.138000000000002</c:v>
                      </c:pt>
                      <c:pt idx="7332">
                        <c:v>20.138000000000002</c:v>
                      </c:pt>
                      <c:pt idx="7333">
                        <c:v>20.138000000000002</c:v>
                      </c:pt>
                      <c:pt idx="7334">
                        <c:v>20.138000000000002</c:v>
                      </c:pt>
                      <c:pt idx="7335">
                        <c:v>20.138000000000002</c:v>
                      </c:pt>
                      <c:pt idx="7336">
                        <c:v>20.138000000000002</c:v>
                      </c:pt>
                      <c:pt idx="7337">
                        <c:v>20.138000000000002</c:v>
                      </c:pt>
                      <c:pt idx="7338">
                        <c:v>20.042999999999999</c:v>
                      </c:pt>
                      <c:pt idx="7339">
                        <c:v>20.042999999999999</c:v>
                      </c:pt>
                      <c:pt idx="7340">
                        <c:v>20.042999999999999</c:v>
                      </c:pt>
                      <c:pt idx="7341">
                        <c:v>20.042999999999999</c:v>
                      </c:pt>
                      <c:pt idx="7342">
                        <c:v>20.042999999999999</c:v>
                      </c:pt>
                      <c:pt idx="7343">
                        <c:v>20.042999999999999</c:v>
                      </c:pt>
                      <c:pt idx="7344">
                        <c:v>20.042999999999999</c:v>
                      </c:pt>
                      <c:pt idx="7345">
                        <c:v>20.042999999999999</c:v>
                      </c:pt>
                      <c:pt idx="7346">
                        <c:v>20.042999999999999</c:v>
                      </c:pt>
                      <c:pt idx="7347">
                        <c:v>20.042999999999999</c:v>
                      </c:pt>
                      <c:pt idx="7348">
                        <c:v>20.042999999999999</c:v>
                      </c:pt>
                      <c:pt idx="7349">
                        <c:v>20.042999999999999</c:v>
                      </c:pt>
                      <c:pt idx="7350">
                        <c:v>20.042999999999999</c:v>
                      </c:pt>
                      <c:pt idx="7351">
                        <c:v>20.138000000000002</c:v>
                      </c:pt>
                      <c:pt idx="7352">
                        <c:v>20.138000000000002</c:v>
                      </c:pt>
                      <c:pt idx="7353">
                        <c:v>20.138000000000002</c:v>
                      </c:pt>
                      <c:pt idx="7354">
                        <c:v>20.042999999999999</c:v>
                      </c:pt>
                      <c:pt idx="7355">
                        <c:v>20.042999999999999</c:v>
                      </c:pt>
                      <c:pt idx="7356">
                        <c:v>20.138000000000002</c:v>
                      </c:pt>
                      <c:pt idx="7357">
                        <c:v>20.042999999999999</c:v>
                      </c:pt>
                      <c:pt idx="7358">
                        <c:v>20.042999999999999</c:v>
                      </c:pt>
                      <c:pt idx="7359">
                        <c:v>20.042999999999999</c:v>
                      </c:pt>
                      <c:pt idx="7360">
                        <c:v>20.042999999999999</c:v>
                      </c:pt>
                      <c:pt idx="7361">
                        <c:v>20.042999999999999</c:v>
                      </c:pt>
                      <c:pt idx="7362">
                        <c:v>20.138000000000002</c:v>
                      </c:pt>
                      <c:pt idx="7363">
                        <c:v>20.042999999999999</c:v>
                      </c:pt>
                      <c:pt idx="7364">
                        <c:v>20.042999999999999</c:v>
                      </c:pt>
                      <c:pt idx="7365">
                        <c:v>20.042999999999999</c:v>
                      </c:pt>
                      <c:pt idx="7366">
                        <c:v>20.042999999999999</c:v>
                      </c:pt>
                      <c:pt idx="7367">
                        <c:v>20.042999999999999</c:v>
                      </c:pt>
                      <c:pt idx="7368">
                        <c:v>20.042999999999999</c:v>
                      </c:pt>
                      <c:pt idx="7369">
                        <c:v>20.042999999999999</c:v>
                      </c:pt>
                      <c:pt idx="7370">
                        <c:v>20.138000000000002</c:v>
                      </c:pt>
                      <c:pt idx="7371">
                        <c:v>20.138000000000002</c:v>
                      </c:pt>
                      <c:pt idx="7372">
                        <c:v>20.138000000000002</c:v>
                      </c:pt>
                      <c:pt idx="7373">
                        <c:v>20.138000000000002</c:v>
                      </c:pt>
                      <c:pt idx="7374">
                        <c:v>20.138000000000002</c:v>
                      </c:pt>
                      <c:pt idx="7375">
                        <c:v>20.138000000000002</c:v>
                      </c:pt>
                      <c:pt idx="7376">
                        <c:v>20.138000000000002</c:v>
                      </c:pt>
                      <c:pt idx="7377">
                        <c:v>20.138000000000002</c:v>
                      </c:pt>
                      <c:pt idx="7378">
                        <c:v>20.138000000000002</c:v>
                      </c:pt>
                      <c:pt idx="7379">
                        <c:v>20.138000000000002</c:v>
                      </c:pt>
                      <c:pt idx="7380">
                        <c:v>20.138000000000002</c:v>
                      </c:pt>
                      <c:pt idx="7381">
                        <c:v>20.138000000000002</c:v>
                      </c:pt>
                      <c:pt idx="7382">
                        <c:v>20.138000000000002</c:v>
                      </c:pt>
                      <c:pt idx="7383">
                        <c:v>20.138000000000002</c:v>
                      </c:pt>
                      <c:pt idx="7384">
                        <c:v>20.138000000000002</c:v>
                      </c:pt>
                      <c:pt idx="7385">
                        <c:v>20.138000000000002</c:v>
                      </c:pt>
                      <c:pt idx="7386">
                        <c:v>20.138000000000002</c:v>
                      </c:pt>
                      <c:pt idx="7387">
                        <c:v>20.138000000000002</c:v>
                      </c:pt>
                      <c:pt idx="7388">
                        <c:v>20.138000000000002</c:v>
                      </c:pt>
                      <c:pt idx="7389">
                        <c:v>20.138000000000002</c:v>
                      </c:pt>
                      <c:pt idx="7390">
                        <c:v>20.138000000000002</c:v>
                      </c:pt>
                      <c:pt idx="7391">
                        <c:v>20.234000000000002</c:v>
                      </c:pt>
                      <c:pt idx="7392">
                        <c:v>20.234000000000002</c:v>
                      </c:pt>
                      <c:pt idx="7393">
                        <c:v>20.234000000000002</c:v>
                      </c:pt>
                      <c:pt idx="7394">
                        <c:v>20.234000000000002</c:v>
                      </c:pt>
                      <c:pt idx="7395">
                        <c:v>20.234000000000002</c:v>
                      </c:pt>
                      <c:pt idx="7396">
                        <c:v>20.329000000000001</c:v>
                      </c:pt>
                      <c:pt idx="7397">
                        <c:v>20.329000000000001</c:v>
                      </c:pt>
                      <c:pt idx="7398">
                        <c:v>20.329000000000001</c:v>
                      </c:pt>
                      <c:pt idx="7399">
                        <c:v>20.329000000000001</c:v>
                      </c:pt>
                      <c:pt idx="7400">
                        <c:v>20.329000000000001</c:v>
                      </c:pt>
                      <c:pt idx="7401">
                        <c:v>20.423999999999999</c:v>
                      </c:pt>
                      <c:pt idx="7402">
                        <c:v>20.423999999999999</c:v>
                      </c:pt>
                      <c:pt idx="7403">
                        <c:v>20.423999999999999</c:v>
                      </c:pt>
                      <c:pt idx="7404">
                        <c:v>20.423999999999999</c:v>
                      </c:pt>
                      <c:pt idx="7405">
                        <c:v>20.423999999999999</c:v>
                      </c:pt>
                      <c:pt idx="7406">
                        <c:v>20.423999999999999</c:v>
                      </c:pt>
                      <c:pt idx="7407">
                        <c:v>20.423999999999999</c:v>
                      </c:pt>
                      <c:pt idx="7408">
                        <c:v>20.329000000000001</c:v>
                      </c:pt>
                      <c:pt idx="7409">
                        <c:v>20.423999999999999</c:v>
                      </c:pt>
                      <c:pt idx="7410">
                        <c:v>20.423999999999999</c:v>
                      </c:pt>
                      <c:pt idx="7411">
                        <c:v>20.423999999999999</c:v>
                      </c:pt>
                      <c:pt idx="7412">
                        <c:v>20.423999999999999</c:v>
                      </c:pt>
                      <c:pt idx="7413">
                        <c:v>20.423999999999999</c:v>
                      </c:pt>
                      <c:pt idx="7414">
                        <c:v>20.423999999999999</c:v>
                      </c:pt>
                      <c:pt idx="7415">
                        <c:v>20.329000000000001</c:v>
                      </c:pt>
                      <c:pt idx="7416">
                        <c:v>20.423999999999999</c:v>
                      </c:pt>
                      <c:pt idx="7417">
                        <c:v>20.423999999999999</c:v>
                      </c:pt>
                      <c:pt idx="7418">
                        <c:v>20.423999999999999</c:v>
                      </c:pt>
                      <c:pt idx="7419">
                        <c:v>20.423999999999999</c:v>
                      </c:pt>
                      <c:pt idx="7420">
                        <c:v>20.423999999999999</c:v>
                      </c:pt>
                      <c:pt idx="7421">
                        <c:v>20.423999999999999</c:v>
                      </c:pt>
                      <c:pt idx="7422">
                        <c:v>20.423999999999999</c:v>
                      </c:pt>
                      <c:pt idx="7423">
                        <c:v>20.423999999999999</c:v>
                      </c:pt>
                      <c:pt idx="7424">
                        <c:v>20.423999999999999</c:v>
                      </c:pt>
                      <c:pt idx="7425">
                        <c:v>20.423999999999999</c:v>
                      </c:pt>
                      <c:pt idx="7426">
                        <c:v>20.423999999999999</c:v>
                      </c:pt>
                      <c:pt idx="7427">
                        <c:v>20.423999999999999</c:v>
                      </c:pt>
                      <c:pt idx="7428">
                        <c:v>20.423999999999999</c:v>
                      </c:pt>
                      <c:pt idx="7429">
                        <c:v>20.518999999999998</c:v>
                      </c:pt>
                      <c:pt idx="7430">
                        <c:v>20.518999999999998</c:v>
                      </c:pt>
                      <c:pt idx="7431">
                        <c:v>20.518999999999998</c:v>
                      </c:pt>
                      <c:pt idx="7432">
                        <c:v>20.518999999999998</c:v>
                      </c:pt>
                      <c:pt idx="7433">
                        <c:v>20.518999999999998</c:v>
                      </c:pt>
                      <c:pt idx="7434">
                        <c:v>20.518999999999998</c:v>
                      </c:pt>
                      <c:pt idx="7435">
                        <c:v>20.518999999999998</c:v>
                      </c:pt>
                      <c:pt idx="7436">
                        <c:v>20.518999999999998</c:v>
                      </c:pt>
                      <c:pt idx="7437">
                        <c:v>20.518999999999998</c:v>
                      </c:pt>
                      <c:pt idx="7438">
                        <c:v>20.518999999999998</c:v>
                      </c:pt>
                      <c:pt idx="7439">
                        <c:v>20.518999999999998</c:v>
                      </c:pt>
                      <c:pt idx="7440">
                        <c:v>20.518999999999998</c:v>
                      </c:pt>
                      <c:pt idx="7441">
                        <c:v>20.518999999999998</c:v>
                      </c:pt>
                      <c:pt idx="7442">
                        <c:v>20.518999999999998</c:v>
                      </c:pt>
                      <c:pt idx="7443">
                        <c:v>20.518999999999998</c:v>
                      </c:pt>
                      <c:pt idx="7444">
                        <c:v>20.518999999999998</c:v>
                      </c:pt>
                      <c:pt idx="7445">
                        <c:v>20.518999999999998</c:v>
                      </c:pt>
                      <c:pt idx="7446">
                        <c:v>20.518999999999998</c:v>
                      </c:pt>
                      <c:pt idx="7447">
                        <c:v>20.518999999999998</c:v>
                      </c:pt>
                      <c:pt idx="7448">
                        <c:v>20.518999999999998</c:v>
                      </c:pt>
                      <c:pt idx="7449">
                        <c:v>20.518999999999998</c:v>
                      </c:pt>
                      <c:pt idx="7450">
                        <c:v>20.518999999999998</c:v>
                      </c:pt>
                      <c:pt idx="7451">
                        <c:v>20.518999999999998</c:v>
                      </c:pt>
                      <c:pt idx="7452">
                        <c:v>20.518999999999998</c:v>
                      </c:pt>
                      <c:pt idx="7453">
                        <c:v>20.518999999999998</c:v>
                      </c:pt>
                      <c:pt idx="7454">
                        <c:v>20.518999999999998</c:v>
                      </c:pt>
                      <c:pt idx="7455">
                        <c:v>20.518999999999998</c:v>
                      </c:pt>
                      <c:pt idx="7456">
                        <c:v>20.518999999999998</c:v>
                      </c:pt>
                      <c:pt idx="7457">
                        <c:v>20.518999999999998</c:v>
                      </c:pt>
                      <c:pt idx="7458">
                        <c:v>20.518999999999998</c:v>
                      </c:pt>
                      <c:pt idx="7459">
                        <c:v>20.518999999999998</c:v>
                      </c:pt>
                      <c:pt idx="7460">
                        <c:v>20.518999999999998</c:v>
                      </c:pt>
                      <c:pt idx="7461">
                        <c:v>20.518999999999998</c:v>
                      </c:pt>
                      <c:pt idx="7462">
                        <c:v>20.518999999999998</c:v>
                      </c:pt>
                      <c:pt idx="7463">
                        <c:v>20.518999999999998</c:v>
                      </c:pt>
                      <c:pt idx="7464">
                        <c:v>20.423999999999999</c:v>
                      </c:pt>
                      <c:pt idx="7465">
                        <c:v>20.423999999999999</c:v>
                      </c:pt>
                      <c:pt idx="7466">
                        <c:v>20.518999999999998</c:v>
                      </c:pt>
                      <c:pt idx="7467">
                        <c:v>20.518999999999998</c:v>
                      </c:pt>
                      <c:pt idx="7468">
                        <c:v>20.518999999999998</c:v>
                      </c:pt>
                      <c:pt idx="7469">
                        <c:v>20.518999999999998</c:v>
                      </c:pt>
                      <c:pt idx="7470">
                        <c:v>20.518999999999998</c:v>
                      </c:pt>
                      <c:pt idx="7471">
                        <c:v>20.518999999999998</c:v>
                      </c:pt>
                      <c:pt idx="7472">
                        <c:v>20.518999999999998</c:v>
                      </c:pt>
                      <c:pt idx="7473">
                        <c:v>20.518999999999998</c:v>
                      </c:pt>
                      <c:pt idx="7474">
                        <c:v>20.518999999999998</c:v>
                      </c:pt>
                      <c:pt idx="7475">
                        <c:v>20.518999999999998</c:v>
                      </c:pt>
                      <c:pt idx="7476">
                        <c:v>20.518999999999998</c:v>
                      </c:pt>
                      <c:pt idx="7477">
                        <c:v>20.518999999999998</c:v>
                      </c:pt>
                      <c:pt idx="7478">
                        <c:v>20.518999999999998</c:v>
                      </c:pt>
                      <c:pt idx="7479">
                        <c:v>20.518999999999998</c:v>
                      </c:pt>
                      <c:pt idx="7480">
                        <c:v>20.518999999999998</c:v>
                      </c:pt>
                      <c:pt idx="7481">
                        <c:v>20.423999999999999</c:v>
                      </c:pt>
                      <c:pt idx="7482">
                        <c:v>20.423999999999999</c:v>
                      </c:pt>
                      <c:pt idx="7483">
                        <c:v>20.423999999999999</c:v>
                      </c:pt>
                      <c:pt idx="7484">
                        <c:v>20.423999999999999</c:v>
                      </c:pt>
                      <c:pt idx="7485">
                        <c:v>20.423999999999999</c:v>
                      </c:pt>
                      <c:pt idx="7486">
                        <c:v>20.423999999999999</c:v>
                      </c:pt>
                      <c:pt idx="7487">
                        <c:v>20.423999999999999</c:v>
                      </c:pt>
                      <c:pt idx="7488">
                        <c:v>20.423999999999999</c:v>
                      </c:pt>
                      <c:pt idx="7489">
                        <c:v>20.423999999999999</c:v>
                      </c:pt>
                      <c:pt idx="7490">
                        <c:v>20.423999999999999</c:v>
                      </c:pt>
                      <c:pt idx="7491">
                        <c:v>20.329000000000001</c:v>
                      </c:pt>
                      <c:pt idx="7492">
                        <c:v>20.329000000000001</c:v>
                      </c:pt>
                      <c:pt idx="7493">
                        <c:v>20.329000000000001</c:v>
                      </c:pt>
                      <c:pt idx="7494">
                        <c:v>20.329000000000001</c:v>
                      </c:pt>
                      <c:pt idx="7495">
                        <c:v>20.329000000000001</c:v>
                      </c:pt>
                      <c:pt idx="7496">
                        <c:v>20.329000000000001</c:v>
                      </c:pt>
                      <c:pt idx="7497">
                        <c:v>20.329000000000001</c:v>
                      </c:pt>
                      <c:pt idx="7498">
                        <c:v>20.329000000000001</c:v>
                      </c:pt>
                      <c:pt idx="7499">
                        <c:v>20.329000000000001</c:v>
                      </c:pt>
                      <c:pt idx="7500">
                        <c:v>20.234000000000002</c:v>
                      </c:pt>
                      <c:pt idx="7501">
                        <c:v>20.234000000000002</c:v>
                      </c:pt>
                      <c:pt idx="7502">
                        <c:v>20.234000000000002</c:v>
                      </c:pt>
                      <c:pt idx="7503">
                        <c:v>20.234000000000002</c:v>
                      </c:pt>
                      <c:pt idx="7504">
                        <c:v>20.234000000000002</c:v>
                      </c:pt>
                      <c:pt idx="7505">
                        <c:v>20.234000000000002</c:v>
                      </c:pt>
                      <c:pt idx="7506">
                        <c:v>20.234000000000002</c:v>
                      </c:pt>
                      <c:pt idx="7507">
                        <c:v>20.234000000000002</c:v>
                      </c:pt>
                      <c:pt idx="7508">
                        <c:v>20.138000000000002</c:v>
                      </c:pt>
                      <c:pt idx="7509">
                        <c:v>20.138000000000002</c:v>
                      </c:pt>
                      <c:pt idx="7510">
                        <c:v>20.138000000000002</c:v>
                      </c:pt>
                      <c:pt idx="7511">
                        <c:v>20.138000000000002</c:v>
                      </c:pt>
                      <c:pt idx="7512">
                        <c:v>20.138000000000002</c:v>
                      </c:pt>
                      <c:pt idx="7513">
                        <c:v>20.138000000000002</c:v>
                      </c:pt>
                      <c:pt idx="7514">
                        <c:v>20.042999999999999</c:v>
                      </c:pt>
                      <c:pt idx="7515">
                        <c:v>20.042999999999999</c:v>
                      </c:pt>
                      <c:pt idx="7516">
                        <c:v>20.042999999999999</c:v>
                      </c:pt>
                      <c:pt idx="7517">
                        <c:v>20.042999999999999</c:v>
                      </c:pt>
                      <c:pt idx="7518">
                        <c:v>20.042999999999999</c:v>
                      </c:pt>
                      <c:pt idx="7519">
                        <c:v>20.042999999999999</c:v>
                      </c:pt>
                      <c:pt idx="7520">
                        <c:v>20.042999999999999</c:v>
                      </c:pt>
                      <c:pt idx="7521">
                        <c:v>19.948</c:v>
                      </c:pt>
                      <c:pt idx="7522">
                        <c:v>19.948</c:v>
                      </c:pt>
                      <c:pt idx="7523">
                        <c:v>19.948</c:v>
                      </c:pt>
                      <c:pt idx="7524">
                        <c:v>19.853000000000002</c:v>
                      </c:pt>
                      <c:pt idx="7525">
                        <c:v>19.853000000000002</c:v>
                      </c:pt>
                      <c:pt idx="7526">
                        <c:v>19.853000000000002</c:v>
                      </c:pt>
                      <c:pt idx="7527">
                        <c:v>19.757999999999999</c:v>
                      </c:pt>
                      <c:pt idx="7528">
                        <c:v>19.757999999999999</c:v>
                      </c:pt>
                      <c:pt idx="7529">
                        <c:v>19.757999999999999</c:v>
                      </c:pt>
                      <c:pt idx="7530">
                        <c:v>19.757999999999999</c:v>
                      </c:pt>
                      <c:pt idx="7531">
                        <c:v>19.757999999999999</c:v>
                      </c:pt>
                      <c:pt idx="7532">
                        <c:v>19.757999999999999</c:v>
                      </c:pt>
                      <c:pt idx="7533">
                        <c:v>19.757999999999999</c:v>
                      </c:pt>
                      <c:pt idx="7534">
                        <c:v>19.757999999999999</c:v>
                      </c:pt>
                      <c:pt idx="7535">
                        <c:v>19.757999999999999</c:v>
                      </c:pt>
                      <c:pt idx="7536">
                        <c:v>19.757999999999999</c:v>
                      </c:pt>
                      <c:pt idx="7537">
                        <c:v>19.757999999999999</c:v>
                      </c:pt>
                      <c:pt idx="7538">
                        <c:v>19.757999999999999</c:v>
                      </c:pt>
                      <c:pt idx="7539">
                        <c:v>19.757999999999999</c:v>
                      </c:pt>
                      <c:pt idx="7540">
                        <c:v>19.757999999999999</c:v>
                      </c:pt>
                      <c:pt idx="7541">
                        <c:v>19.853000000000002</c:v>
                      </c:pt>
                      <c:pt idx="7542">
                        <c:v>19.853000000000002</c:v>
                      </c:pt>
                      <c:pt idx="7543">
                        <c:v>19.757999999999999</c:v>
                      </c:pt>
                      <c:pt idx="7544">
                        <c:v>19.757999999999999</c:v>
                      </c:pt>
                      <c:pt idx="7545">
                        <c:v>19.853000000000002</c:v>
                      </c:pt>
                      <c:pt idx="7546">
                        <c:v>20.042999999999999</c:v>
                      </c:pt>
                      <c:pt idx="7547">
                        <c:v>19.948</c:v>
                      </c:pt>
                      <c:pt idx="7548">
                        <c:v>19.853000000000002</c:v>
                      </c:pt>
                      <c:pt idx="7549">
                        <c:v>19.853000000000002</c:v>
                      </c:pt>
                      <c:pt idx="7550">
                        <c:v>19.853000000000002</c:v>
                      </c:pt>
                      <c:pt idx="7551">
                        <c:v>19.948</c:v>
                      </c:pt>
                      <c:pt idx="7552">
                        <c:v>19.948</c:v>
                      </c:pt>
                      <c:pt idx="7553">
                        <c:v>20.042999999999999</c:v>
                      </c:pt>
                      <c:pt idx="7554">
                        <c:v>20.042999999999999</c:v>
                      </c:pt>
                      <c:pt idx="7555">
                        <c:v>20.042999999999999</c:v>
                      </c:pt>
                      <c:pt idx="7556">
                        <c:v>20.042999999999999</c:v>
                      </c:pt>
                      <c:pt idx="7557">
                        <c:v>20.042999999999999</c:v>
                      </c:pt>
                      <c:pt idx="7558">
                        <c:v>20.234000000000002</c:v>
                      </c:pt>
                      <c:pt idx="7559">
                        <c:v>20.423999999999999</c:v>
                      </c:pt>
                      <c:pt idx="7560">
                        <c:v>20.234000000000002</c:v>
                      </c:pt>
                      <c:pt idx="7561">
                        <c:v>20.234000000000002</c:v>
                      </c:pt>
                      <c:pt idx="7562">
                        <c:v>20.234000000000002</c:v>
                      </c:pt>
                      <c:pt idx="7563">
                        <c:v>20.234000000000002</c:v>
                      </c:pt>
                      <c:pt idx="7564">
                        <c:v>20.423999999999999</c:v>
                      </c:pt>
                      <c:pt idx="7565">
                        <c:v>20.518999999999998</c:v>
                      </c:pt>
                      <c:pt idx="7566">
                        <c:v>20.423999999999999</c:v>
                      </c:pt>
                      <c:pt idx="7567">
                        <c:v>20.423999999999999</c:v>
                      </c:pt>
                      <c:pt idx="7568">
                        <c:v>20.423999999999999</c:v>
                      </c:pt>
                      <c:pt idx="7569">
                        <c:v>20.423999999999999</c:v>
                      </c:pt>
                      <c:pt idx="7570">
                        <c:v>20.614999999999998</c:v>
                      </c:pt>
                      <c:pt idx="7571">
                        <c:v>20.614999999999998</c:v>
                      </c:pt>
                      <c:pt idx="7572">
                        <c:v>20.614999999999998</c:v>
                      </c:pt>
                      <c:pt idx="7573">
                        <c:v>20.614999999999998</c:v>
                      </c:pt>
                      <c:pt idx="7574">
                        <c:v>20.518999999999998</c:v>
                      </c:pt>
                      <c:pt idx="7575">
                        <c:v>20.518999999999998</c:v>
                      </c:pt>
                      <c:pt idx="7576">
                        <c:v>20.423999999999999</c:v>
                      </c:pt>
                      <c:pt idx="7577">
                        <c:v>20.423999999999999</c:v>
                      </c:pt>
                      <c:pt idx="7578">
                        <c:v>20.423999999999999</c:v>
                      </c:pt>
                      <c:pt idx="7579">
                        <c:v>20.329000000000001</c:v>
                      </c:pt>
                      <c:pt idx="7580">
                        <c:v>20.329000000000001</c:v>
                      </c:pt>
                      <c:pt idx="7581">
                        <c:v>20.234000000000002</c:v>
                      </c:pt>
                      <c:pt idx="7582">
                        <c:v>20.234000000000002</c:v>
                      </c:pt>
                      <c:pt idx="7583">
                        <c:v>20.138000000000002</c:v>
                      </c:pt>
                      <c:pt idx="7584">
                        <c:v>20.138000000000002</c:v>
                      </c:pt>
                      <c:pt idx="7585">
                        <c:v>20.138000000000002</c:v>
                      </c:pt>
                      <c:pt idx="7586">
                        <c:v>20.042999999999999</c:v>
                      </c:pt>
                      <c:pt idx="7587">
                        <c:v>20.042999999999999</c:v>
                      </c:pt>
                      <c:pt idx="7588">
                        <c:v>20.042999999999999</c:v>
                      </c:pt>
                      <c:pt idx="7589">
                        <c:v>20.042999999999999</c:v>
                      </c:pt>
                      <c:pt idx="7590">
                        <c:v>20.042999999999999</c:v>
                      </c:pt>
                      <c:pt idx="7591">
                        <c:v>20.042999999999999</c:v>
                      </c:pt>
                      <c:pt idx="7592">
                        <c:v>20.042999999999999</c:v>
                      </c:pt>
                      <c:pt idx="7593">
                        <c:v>20.042999999999999</c:v>
                      </c:pt>
                      <c:pt idx="7594">
                        <c:v>19.948</c:v>
                      </c:pt>
                      <c:pt idx="7595">
                        <c:v>19.948</c:v>
                      </c:pt>
                      <c:pt idx="7596">
                        <c:v>19.948</c:v>
                      </c:pt>
                      <c:pt idx="7597">
                        <c:v>19.948</c:v>
                      </c:pt>
                      <c:pt idx="7598">
                        <c:v>19.948</c:v>
                      </c:pt>
                      <c:pt idx="7599">
                        <c:v>19.853000000000002</c:v>
                      </c:pt>
                      <c:pt idx="7600">
                        <c:v>19.853000000000002</c:v>
                      </c:pt>
                      <c:pt idx="7601">
                        <c:v>19.853000000000002</c:v>
                      </c:pt>
                      <c:pt idx="7602">
                        <c:v>19.853000000000002</c:v>
                      </c:pt>
                      <c:pt idx="7603">
                        <c:v>19.757999999999999</c:v>
                      </c:pt>
                      <c:pt idx="7604">
                        <c:v>19.757999999999999</c:v>
                      </c:pt>
                      <c:pt idx="7605">
                        <c:v>19.757999999999999</c:v>
                      </c:pt>
                      <c:pt idx="7606">
                        <c:v>19.661999999999999</c:v>
                      </c:pt>
                      <c:pt idx="7607">
                        <c:v>19.661999999999999</c:v>
                      </c:pt>
                      <c:pt idx="7608">
                        <c:v>19.661999999999999</c:v>
                      </c:pt>
                      <c:pt idx="7609">
                        <c:v>19.661999999999999</c:v>
                      </c:pt>
                      <c:pt idx="7610">
                        <c:v>19.661999999999999</c:v>
                      </c:pt>
                      <c:pt idx="7611">
                        <c:v>19.661999999999999</c:v>
                      </c:pt>
                      <c:pt idx="7612">
                        <c:v>19.567</c:v>
                      </c:pt>
                      <c:pt idx="7613">
                        <c:v>19.567</c:v>
                      </c:pt>
                      <c:pt idx="7614">
                        <c:v>19.567</c:v>
                      </c:pt>
                      <c:pt idx="7615">
                        <c:v>19.567</c:v>
                      </c:pt>
                      <c:pt idx="7616">
                        <c:v>19.567</c:v>
                      </c:pt>
                      <c:pt idx="7617">
                        <c:v>19.567</c:v>
                      </c:pt>
                      <c:pt idx="7618">
                        <c:v>19.567</c:v>
                      </c:pt>
                      <c:pt idx="7619">
                        <c:v>19.567</c:v>
                      </c:pt>
                      <c:pt idx="7620">
                        <c:v>19.567</c:v>
                      </c:pt>
                      <c:pt idx="7621">
                        <c:v>19.567</c:v>
                      </c:pt>
                      <c:pt idx="7622">
                        <c:v>19.567</c:v>
                      </c:pt>
                      <c:pt idx="7623">
                        <c:v>19.567</c:v>
                      </c:pt>
                      <c:pt idx="7624">
                        <c:v>19.567</c:v>
                      </c:pt>
                      <c:pt idx="7625">
                        <c:v>19.567</c:v>
                      </c:pt>
                      <c:pt idx="7626">
                        <c:v>19.567</c:v>
                      </c:pt>
                      <c:pt idx="7627">
                        <c:v>19.567</c:v>
                      </c:pt>
                      <c:pt idx="7628">
                        <c:v>19.472000000000001</c:v>
                      </c:pt>
                      <c:pt idx="7629">
                        <c:v>19.472000000000001</c:v>
                      </c:pt>
                      <c:pt idx="7630">
                        <c:v>19.472000000000001</c:v>
                      </c:pt>
                      <c:pt idx="7631">
                        <c:v>19.472000000000001</c:v>
                      </c:pt>
                      <c:pt idx="7632">
                        <c:v>19.472000000000001</c:v>
                      </c:pt>
                      <c:pt idx="7633">
                        <c:v>19.472000000000001</c:v>
                      </c:pt>
                      <c:pt idx="7634">
                        <c:v>19.376999999999999</c:v>
                      </c:pt>
                      <c:pt idx="7635">
                        <c:v>19.376999999999999</c:v>
                      </c:pt>
                      <c:pt idx="7636">
                        <c:v>19.376999999999999</c:v>
                      </c:pt>
                      <c:pt idx="7637">
                        <c:v>19.282</c:v>
                      </c:pt>
                      <c:pt idx="7638">
                        <c:v>19.282</c:v>
                      </c:pt>
                      <c:pt idx="7639">
                        <c:v>19.282</c:v>
                      </c:pt>
                      <c:pt idx="7640">
                        <c:v>19.282</c:v>
                      </c:pt>
                      <c:pt idx="7641">
                        <c:v>19.282</c:v>
                      </c:pt>
                      <c:pt idx="7642">
                        <c:v>19.282</c:v>
                      </c:pt>
                      <c:pt idx="7643">
                        <c:v>19.282</c:v>
                      </c:pt>
                      <c:pt idx="7644">
                        <c:v>19.187000000000001</c:v>
                      </c:pt>
                      <c:pt idx="7645">
                        <c:v>19.187000000000001</c:v>
                      </c:pt>
                      <c:pt idx="7646">
                        <c:v>19.187000000000001</c:v>
                      </c:pt>
                      <c:pt idx="7647">
                        <c:v>19.187000000000001</c:v>
                      </c:pt>
                      <c:pt idx="7648">
                        <c:v>19.091999999999999</c:v>
                      </c:pt>
                      <c:pt idx="7649">
                        <c:v>19.091999999999999</c:v>
                      </c:pt>
                      <c:pt idx="7650">
                        <c:v>19.091999999999999</c:v>
                      </c:pt>
                      <c:pt idx="7651">
                        <c:v>19.091999999999999</c:v>
                      </c:pt>
                      <c:pt idx="7652">
                        <c:v>18.995999999999999</c:v>
                      </c:pt>
                      <c:pt idx="7653">
                        <c:v>19.091999999999999</c:v>
                      </c:pt>
                      <c:pt idx="7654">
                        <c:v>18.995999999999999</c:v>
                      </c:pt>
                      <c:pt idx="7655">
                        <c:v>18.995999999999999</c:v>
                      </c:pt>
                      <c:pt idx="7656">
                        <c:v>18.995999999999999</c:v>
                      </c:pt>
                      <c:pt idx="7657">
                        <c:v>18.995999999999999</c:v>
                      </c:pt>
                      <c:pt idx="7658">
                        <c:v>18.995999999999999</c:v>
                      </c:pt>
                      <c:pt idx="7659">
                        <c:v>18.995999999999999</c:v>
                      </c:pt>
                      <c:pt idx="7660">
                        <c:v>18.901</c:v>
                      </c:pt>
                      <c:pt idx="7661">
                        <c:v>18.901</c:v>
                      </c:pt>
                      <c:pt idx="7662">
                        <c:v>18.901</c:v>
                      </c:pt>
                      <c:pt idx="7663">
                        <c:v>18.901</c:v>
                      </c:pt>
                      <c:pt idx="7664">
                        <c:v>18.806000000000001</c:v>
                      </c:pt>
                      <c:pt idx="7665">
                        <c:v>18.806000000000001</c:v>
                      </c:pt>
                      <c:pt idx="7666">
                        <c:v>18.806000000000001</c:v>
                      </c:pt>
                      <c:pt idx="7667">
                        <c:v>18.710999999999999</c:v>
                      </c:pt>
                      <c:pt idx="7668">
                        <c:v>18.710999999999999</c:v>
                      </c:pt>
                      <c:pt idx="7669">
                        <c:v>18.710999999999999</c:v>
                      </c:pt>
                      <c:pt idx="7670">
                        <c:v>18.710999999999999</c:v>
                      </c:pt>
                      <c:pt idx="7671">
                        <c:v>18.616</c:v>
                      </c:pt>
                      <c:pt idx="7672">
                        <c:v>18.616</c:v>
                      </c:pt>
                      <c:pt idx="7673">
                        <c:v>18.616</c:v>
                      </c:pt>
                      <c:pt idx="7674">
                        <c:v>18.616</c:v>
                      </c:pt>
                      <c:pt idx="7675">
                        <c:v>18.521000000000001</c:v>
                      </c:pt>
                      <c:pt idx="7676">
                        <c:v>18.521000000000001</c:v>
                      </c:pt>
                      <c:pt idx="7677">
                        <c:v>18.521000000000001</c:v>
                      </c:pt>
                      <c:pt idx="7678">
                        <c:v>18.425999999999998</c:v>
                      </c:pt>
                      <c:pt idx="7679">
                        <c:v>18.425999999999998</c:v>
                      </c:pt>
                      <c:pt idx="7680">
                        <c:v>18.521000000000001</c:v>
                      </c:pt>
                      <c:pt idx="7681">
                        <c:v>18.521000000000001</c:v>
                      </c:pt>
                      <c:pt idx="7682">
                        <c:v>18.521000000000001</c:v>
                      </c:pt>
                      <c:pt idx="7683">
                        <c:v>18.521000000000001</c:v>
                      </c:pt>
                      <c:pt idx="7684">
                        <c:v>18.710999999999999</c:v>
                      </c:pt>
                      <c:pt idx="7685">
                        <c:v>18.710999999999999</c:v>
                      </c:pt>
                      <c:pt idx="7686">
                        <c:v>18.710999999999999</c:v>
                      </c:pt>
                      <c:pt idx="7687">
                        <c:v>18.806000000000001</c:v>
                      </c:pt>
                      <c:pt idx="7688">
                        <c:v>18.806000000000001</c:v>
                      </c:pt>
                      <c:pt idx="7689">
                        <c:v>18.806000000000001</c:v>
                      </c:pt>
                      <c:pt idx="7690">
                        <c:v>19.282</c:v>
                      </c:pt>
                      <c:pt idx="7691">
                        <c:v>18.995999999999999</c:v>
                      </c:pt>
                      <c:pt idx="7692">
                        <c:v>18.995999999999999</c:v>
                      </c:pt>
                      <c:pt idx="7693">
                        <c:v>18.995999999999999</c:v>
                      </c:pt>
                      <c:pt idx="7694">
                        <c:v>18.995999999999999</c:v>
                      </c:pt>
                      <c:pt idx="7695">
                        <c:v>19.091999999999999</c:v>
                      </c:pt>
                      <c:pt idx="7696">
                        <c:v>19.091999999999999</c:v>
                      </c:pt>
                      <c:pt idx="7697">
                        <c:v>19.187000000000001</c:v>
                      </c:pt>
                      <c:pt idx="7698">
                        <c:v>19.187000000000001</c:v>
                      </c:pt>
                      <c:pt idx="7699">
                        <c:v>19.187000000000001</c:v>
                      </c:pt>
                      <c:pt idx="7700">
                        <c:v>19.187000000000001</c:v>
                      </c:pt>
                      <c:pt idx="7701">
                        <c:v>19.187000000000001</c:v>
                      </c:pt>
                      <c:pt idx="7702">
                        <c:v>19.376999999999999</c:v>
                      </c:pt>
                      <c:pt idx="7703">
                        <c:v>19.661999999999999</c:v>
                      </c:pt>
                      <c:pt idx="7704">
                        <c:v>19.567</c:v>
                      </c:pt>
                      <c:pt idx="7705">
                        <c:v>19.567</c:v>
                      </c:pt>
                      <c:pt idx="7706">
                        <c:v>19.661999999999999</c:v>
                      </c:pt>
                      <c:pt idx="7707">
                        <c:v>19.661999999999999</c:v>
                      </c:pt>
                      <c:pt idx="7708">
                        <c:v>19.661999999999999</c:v>
                      </c:pt>
                      <c:pt idx="7709">
                        <c:v>20.042999999999999</c:v>
                      </c:pt>
                      <c:pt idx="7710">
                        <c:v>19.757999999999999</c:v>
                      </c:pt>
                      <c:pt idx="7711">
                        <c:v>19.757999999999999</c:v>
                      </c:pt>
                      <c:pt idx="7712">
                        <c:v>19.853000000000002</c:v>
                      </c:pt>
                      <c:pt idx="7713">
                        <c:v>19.853000000000002</c:v>
                      </c:pt>
                      <c:pt idx="7714">
                        <c:v>20.042999999999999</c:v>
                      </c:pt>
                      <c:pt idx="7715">
                        <c:v>20.138000000000002</c:v>
                      </c:pt>
                      <c:pt idx="7716">
                        <c:v>20.423999999999999</c:v>
                      </c:pt>
                      <c:pt idx="7717">
                        <c:v>20.234000000000002</c:v>
                      </c:pt>
                      <c:pt idx="7718">
                        <c:v>20.042999999999999</c:v>
                      </c:pt>
                      <c:pt idx="7719">
                        <c:v>20.042999999999999</c:v>
                      </c:pt>
                      <c:pt idx="7720">
                        <c:v>19.948</c:v>
                      </c:pt>
                      <c:pt idx="7721">
                        <c:v>19.948</c:v>
                      </c:pt>
                      <c:pt idx="7722">
                        <c:v>19.948</c:v>
                      </c:pt>
                      <c:pt idx="7723">
                        <c:v>19.853000000000002</c:v>
                      </c:pt>
                      <c:pt idx="7724">
                        <c:v>19.853000000000002</c:v>
                      </c:pt>
                      <c:pt idx="7725">
                        <c:v>19.757999999999999</c:v>
                      </c:pt>
                      <c:pt idx="7726">
                        <c:v>19.757999999999999</c:v>
                      </c:pt>
                      <c:pt idx="7727">
                        <c:v>19.757999999999999</c:v>
                      </c:pt>
                      <c:pt idx="7728">
                        <c:v>19.757999999999999</c:v>
                      </c:pt>
                      <c:pt idx="7729">
                        <c:v>19.757999999999999</c:v>
                      </c:pt>
                      <c:pt idx="7730">
                        <c:v>19.757999999999999</c:v>
                      </c:pt>
                      <c:pt idx="7731">
                        <c:v>19.661999999999999</c:v>
                      </c:pt>
                      <c:pt idx="7732">
                        <c:v>19.567</c:v>
                      </c:pt>
                      <c:pt idx="7733">
                        <c:v>19.567</c:v>
                      </c:pt>
                      <c:pt idx="7734">
                        <c:v>19.472000000000001</c:v>
                      </c:pt>
                      <c:pt idx="7735">
                        <c:v>19.472000000000001</c:v>
                      </c:pt>
                      <c:pt idx="7736">
                        <c:v>19.472000000000001</c:v>
                      </c:pt>
                      <c:pt idx="7737">
                        <c:v>19.376999999999999</c:v>
                      </c:pt>
                      <c:pt idx="7738">
                        <c:v>19.376999999999999</c:v>
                      </c:pt>
                      <c:pt idx="7739">
                        <c:v>19.282</c:v>
                      </c:pt>
                      <c:pt idx="7740">
                        <c:v>19.282</c:v>
                      </c:pt>
                      <c:pt idx="7741">
                        <c:v>19.187000000000001</c:v>
                      </c:pt>
                      <c:pt idx="7742">
                        <c:v>19.091999999999999</c:v>
                      </c:pt>
                      <c:pt idx="7743">
                        <c:v>19.091999999999999</c:v>
                      </c:pt>
                      <c:pt idx="7744">
                        <c:v>19.091999999999999</c:v>
                      </c:pt>
                      <c:pt idx="7745">
                        <c:v>18.995999999999999</c:v>
                      </c:pt>
                      <c:pt idx="7746">
                        <c:v>18.901</c:v>
                      </c:pt>
                      <c:pt idx="7747">
                        <c:v>18.806000000000001</c:v>
                      </c:pt>
                      <c:pt idx="7748">
                        <c:v>18.806000000000001</c:v>
                      </c:pt>
                      <c:pt idx="7749">
                        <c:v>18.806000000000001</c:v>
                      </c:pt>
                      <c:pt idx="7750">
                        <c:v>18.806000000000001</c:v>
                      </c:pt>
                      <c:pt idx="7751">
                        <c:v>18.806000000000001</c:v>
                      </c:pt>
                      <c:pt idx="7752">
                        <c:v>18.806000000000001</c:v>
                      </c:pt>
                      <c:pt idx="7753">
                        <c:v>18.710999999999999</c:v>
                      </c:pt>
                      <c:pt idx="7754">
                        <c:v>18.710999999999999</c:v>
                      </c:pt>
                      <c:pt idx="7755">
                        <c:v>18.710999999999999</c:v>
                      </c:pt>
                      <c:pt idx="7756">
                        <c:v>18.710999999999999</c:v>
                      </c:pt>
                      <c:pt idx="7757">
                        <c:v>18.710999999999999</c:v>
                      </c:pt>
                      <c:pt idx="7758">
                        <c:v>18.616</c:v>
                      </c:pt>
                      <c:pt idx="7759">
                        <c:v>18.710999999999999</c:v>
                      </c:pt>
                      <c:pt idx="7760">
                        <c:v>18.616</c:v>
                      </c:pt>
                      <c:pt idx="7761">
                        <c:v>18.616</c:v>
                      </c:pt>
                      <c:pt idx="7762">
                        <c:v>18.616</c:v>
                      </c:pt>
                      <c:pt idx="7763">
                        <c:v>18.521000000000001</c:v>
                      </c:pt>
                      <c:pt idx="7764">
                        <c:v>18.521000000000001</c:v>
                      </c:pt>
                      <c:pt idx="7765">
                        <c:v>18.521000000000001</c:v>
                      </c:pt>
                      <c:pt idx="7766">
                        <c:v>18.521000000000001</c:v>
                      </c:pt>
                      <c:pt idx="7767">
                        <c:v>18.425999999999998</c:v>
                      </c:pt>
                      <c:pt idx="7768">
                        <c:v>18.425999999999998</c:v>
                      </c:pt>
                      <c:pt idx="7769">
                        <c:v>18.425999999999998</c:v>
                      </c:pt>
                      <c:pt idx="7770">
                        <c:v>18.331</c:v>
                      </c:pt>
                      <c:pt idx="7771">
                        <c:v>18.236000000000001</c:v>
                      </c:pt>
                      <c:pt idx="7772">
                        <c:v>18.236000000000001</c:v>
                      </c:pt>
                      <c:pt idx="7773">
                        <c:v>18.14</c:v>
                      </c:pt>
                      <c:pt idx="7774">
                        <c:v>18.14</c:v>
                      </c:pt>
                      <c:pt idx="7775">
                        <c:v>18.14</c:v>
                      </c:pt>
                      <c:pt idx="7776">
                        <c:v>18.14</c:v>
                      </c:pt>
                      <c:pt idx="7777">
                        <c:v>18.14</c:v>
                      </c:pt>
                      <c:pt idx="7778">
                        <c:v>18.14</c:v>
                      </c:pt>
                      <c:pt idx="7779">
                        <c:v>18.045000000000002</c:v>
                      </c:pt>
                      <c:pt idx="7780">
                        <c:v>18.045000000000002</c:v>
                      </c:pt>
                      <c:pt idx="7781">
                        <c:v>18.045000000000002</c:v>
                      </c:pt>
                      <c:pt idx="7782">
                        <c:v>17.95</c:v>
                      </c:pt>
                      <c:pt idx="7783">
                        <c:v>17.95</c:v>
                      </c:pt>
                      <c:pt idx="7784">
                        <c:v>17.95</c:v>
                      </c:pt>
                      <c:pt idx="7785">
                        <c:v>17.95</c:v>
                      </c:pt>
                      <c:pt idx="7786">
                        <c:v>17.95</c:v>
                      </c:pt>
                      <c:pt idx="7787">
                        <c:v>17.95</c:v>
                      </c:pt>
                      <c:pt idx="7788">
                        <c:v>17.95</c:v>
                      </c:pt>
                      <c:pt idx="7789">
                        <c:v>17.855</c:v>
                      </c:pt>
                      <c:pt idx="7790">
                        <c:v>17.855</c:v>
                      </c:pt>
                      <c:pt idx="7791">
                        <c:v>17.855</c:v>
                      </c:pt>
                      <c:pt idx="7792">
                        <c:v>17.855</c:v>
                      </c:pt>
                      <c:pt idx="7793">
                        <c:v>17.855</c:v>
                      </c:pt>
                      <c:pt idx="7794">
                        <c:v>17.855</c:v>
                      </c:pt>
                      <c:pt idx="7795">
                        <c:v>17.760000000000002</c:v>
                      </c:pt>
                      <c:pt idx="7796">
                        <c:v>17.760000000000002</c:v>
                      </c:pt>
                      <c:pt idx="7797">
                        <c:v>17.760000000000002</c:v>
                      </c:pt>
                      <c:pt idx="7798">
                        <c:v>17.760000000000002</c:v>
                      </c:pt>
                      <c:pt idx="7799">
                        <c:v>17.760000000000002</c:v>
                      </c:pt>
                      <c:pt idx="7800">
                        <c:v>17.760000000000002</c:v>
                      </c:pt>
                      <c:pt idx="7801">
                        <c:v>17.664999999999999</c:v>
                      </c:pt>
                      <c:pt idx="7802">
                        <c:v>17.664999999999999</c:v>
                      </c:pt>
                      <c:pt idx="7803">
                        <c:v>17.664999999999999</c:v>
                      </c:pt>
                      <c:pt idx="7804">
                        <c:v>17.664999999999999</c:v>
                      </c:pt>
                      <c:pt idx="7805">
                        <c:v>17.664999999999999</c:v>
                      </c:pt>
                      <c:pt idx="7806">
                        <c:v>17.664999999999999</c:v>
                      </c:pt>
                      <c:pt idx="7807">
                        <c:v>17.57</c:v>
                      </c:pt>
                      <c:pt idx="7808">
                        <c:v>17.57</c:v>
                      </c:pt>
                      <c:pt idx="7809">
                        <c:v>17.57</c:v>
                      </c:pt>
                      <c:pt idx="7810">
                        <c:v>17.475000000000001</c:v>
                      </c:pt>
                      <c:pt idx="7811">
                        <c:v>17.475000000000001</c:v>
                      </c:pt>
                      <c:pt idx="7812">
                        <c:v>17.475000000000001</c:v>
                      </c:pt>
                      <c:pt idx="7813">
                        <c:v>17.475000000000001</c:v>
                      </c:pt>
                      <c:pt idx="7814">
                        <c:v>17.475000000000001</c:v>
                      </c:pt>
                      <c:pt idx="7815">
                        <c:v>17.379000000000001</c:v>
                      </c:pt>
                      <c:pt idx="7816">
                        <c:v>17.475000000000001</c:v>
                      </c:pt>
                      <c:pt idx="7817">
                        <c:v>17.379000000000001</c:v>
                      </c:pt>
                      <c:pt idx="7818">
                        <c:v>17.475000000000001</c:v>
                      </c:pt>
                      <c:pt idx="7819">
                        <c:v>17.379000000000001</c:v>
                      </c:pt>
                      <c:pt idx="7820">
                        <c:v>17.379000000000001</c:v>
                      </c:pt>
                      <c:pt idx="7821">
                        <c:v>17.379000000000001</c:v>
                      </c:pt>
                      <c:pt idx="7822">
                        <c:v>17.379000000000001</c:v>
                      </c:pt>
                      <c:pt idx="7823">
                        <c:v>17.475000000000001</c:v>
                      </c:pt>
                      <c:pt idx="7824">
                        <c:v>17.475000000000001</c:v>
                      </c:pt>
                      <c:pt idx="7825">
                        <c:v>17.475000000000001</c:v>
                      </c:pt>
                      <c:pt idx="7826">
                        <c:v>17.475000000000001</c:v>
                      </c:pt>
                      <c:pt idx="7827">
                        <c:v>17.57</c:v>
                      </c:pt>
                      <c:pt idx="7828">
                        <c:v>17.760000000000002</c:v>
                      </c:pt>
                      <c:pt idx="7829">
                        <c:v>17.855</c:v>
                      </c:pt>
                      <c:pt idx="7830">
                        <c:v>17.95</c:v>
                      </c:pt>
                      <c:pt idx="7831">
                        <c:v>17.95</c:v>
                      </c:pt>
                      <c:pt idx="7832">
                        <c:v>18.14</c:v>
                      </c:pt>
                      <c:pt idx="7833">
                        <c:v>18.236000000000001</c:v>
                      </c:pt>
                      <c:pt idx="7834">
                        <c:v>18.521000000000001</c:v>
                      </c:pt>
                      <c:pt idx="7835">
                        <c:v>18.425999999999998</c:v>
                      </c:pt>
                      <c:pt idx="7836">
                        <c:v>18.425999999999998</c:v>
                      </c:pt>
                      <c:pt idx="7837">
                        <c:v>18.425999999999998</c:v>
                      </c:pt>
                      <c:pt idx="7838">
                        <c:v>18.425999999999998</c:v>
                      </c:pt>
                      <c:pt idx="7839">
                        <c:v>18.521000000000001</c:v>
                      </c:pt>
                      <c:pt idx="7840">
                        <c:v>18.521000000000001</c:v>
                      </c:pt>
                      <c:pt idx="7841">
                        <c:v>18.616</c:v>
                      </c:pt>
                      <c:pt idx="7842">
                        <c:v>18.710999999999999</c:v>
                      </c:pt>
                      <c:pt idx="7843">
                        <c:v>18.710999999999999</c:v>
                      </c:pt>
                      <c:pt idx="7844">
                        <c:v>18.710999999999999</c:v>
                      </c:pt>
                      <c:pt idx="7845">
                        <c:v>18.806000000000001</c:v>
                      </c:pt>
                      <c:pt idx="7846">
                        <c:v>18.995999999999999</c:v>
                      </c:pt>
                      <c:pt idx="7847">
                        <c:v>19.187000000000001</c:v>
                      </c:pt>
                      <c:pt idx="7848">
                        <c:v>19.187000000000001</c:v>
                      </c:pt>
                      <c:pt idx="7849">
                        <c:v>19.187000000000001</c:v>
                      </c:pt>
                      <c:pt idx="7850">
                        <c:v>19.187000000000001</c:v>
                      </c:pt>
                      <c:pt idx="7851">
                        <c:v>19.187000000000001</c:v>
                      </c:pt>
                      <c:pt idx="7852">
                        <c:v>19.282</c:v>
                      </c:pt>
                      <c:pt idx="7853">
                        <c:v>19.567</c:v>
                      </c:pt>
                      <c:pt idx="7854">
                        <c:v>19.472000000000001</c:v>
                      </c:pt>
                      <c:pt idx="7855">
                        <c:v>19.472000000000001</c:v>
                      </c:pt>
                      <c:pt idx="7856">
                        <c:v>19.567</c:v>
                      </c:pt>
                      <c:pt idx="7857">
                        <c:v>19.567</c:v>
                      </c:pt>
                      <c:pt idx="7858">
                        <c:v>19.661999999999999</c:v>
                      </c:pt>
                      <c:pt idx="7859">
                        <c:v>19.853000000000002</c:v>
                      </c:pt>
                      <c:pt idx="7860">
                        <c:v>19.948</c:v>
                      </c:pt>
                      <c:pt idx="7861">
                        <c:v>19.948</c:v>
                      </c:pt>
                      <c:pt idx="7862">
                        <c:v>19.853000000000002</c:v>
                      </c:pt>
                      <c:pt idx="7863">
                        <c:v>19.757999999999999</c:v>
                      </c:pt>
                      <c:pt idx="7864">
                        <c:v>19.757999999999999</c:v>
                      </c:pt>
                      <c:pt idx="7865">
                        <c:v>19.757999999999999</c:v>
                      </c:pt>
                      <c:pt idx="7866">
                        <c:v>19.757999999999999</c:v>
                      </c:pt>
                      <c:pt idx="7867">
                        <c:v>19.661999999999999</c:v>
                      </c:pt>
                      <c:pt idx="7868">
                        <c:v>19.661999999999999</c:v>
                      </c:pt>
                      <c:pt idx="7869">
                        <c:v>19.661999999999999</c:v>
                      </c:pt>
                      <c:pt idx="7870">
                        <c:v>19.661999999999999</c:v>
                      </c:pt>
                      <c:pt idx="7871">
                        <c:v>19.567</c:v>
                      </c:pt>
                      <c:pt idx="7872">
                        <c:v>19.567</c:v>
                      </c:pt>
                      <c:pt idx="7873">
                        <c:v>19.567</c:v>
                      </c:pt>
                      <c:pt idx="7874">
                        <c:v>19.567</c:v>
                      </c:pt>
                      <c:pt idx="7875">
                        <c:v>19.567</c:v>
                      </c:pt>
                      <c:pt idx="7876">
                        <c:v>19.567</c:v>
                      </c:pt>
                      <c:pt idx="7877">
                        <c:v>19.472000000000001</c:v>
                      </c:pt>
                      <c:pt idx="7878">
                        <c:v>19.472000000000001</c:v>
                      </c:pt>
                      <c:pt idx="7879">
                        <c:v>19.472000000000001</c:v>
                      </c:pt>
                      <c:pt idx="7880">
                        <c:v>19.376999999999999</c:v>
                      </c:pt>
                      <c:pt idx="7881">
                        <c:v>19.376999999999999</c:v>
                      </c:pt>
                      <c:pt idx="7882">
                        <c:v>19.376999999999999</c:v>
                      </c:pt>
                      <c:pt idx="7883">
                        <c:v>19.376999999999999</c:v>
                      </c:pt>
                      <c:pt idx="7884">
                        <c:v>19.282</c:v>
                      </c:pt>
                      <c:pt idx="7885">
                        <c:v>19.282</c:v>
                      </c:pt>
                      <c:pt idx="7886">
                        <c:v>19.282</c:v>
                      </c:pt>
                      <c:pt idx="7887">
                        <c:v>19.282</c:v>
                      </c:pt>
                      <c:pt idx="7888">
                        <c:v>19.187000000000001</c:v>
                      </c:pt>
                      <c:pt idx="7889">
                        <c:v>19.187000000000001</c:v>
                      </c:pt>
                      <c:pt idx="7890">
                        <c:v>19.187000000000001</c:v>
                      </c:pt>
                      <c:pt idx="7891">
                        <c:v>19.187000000000001</c:v>
                      </c:pt>
                      <c:pt idx="7892">
                        <c:v>19.091999999999999</c:v>
                      </c:pt>
                      <c:pt idx="7893">
                        <c:v>19.091999999999999</c:v>
                      </c:pt>
                      <c:pt idx="7894">
                        <c:v>19.091999999999999</c:v>
                      </c:pt>
                      <c:pt idx="7895">
                        <c:v>19.091999999999999</c:v>
                      </c:pt>
                      <c:pt idx="7896">
                        <c:v>19.091999999999999</c:v>
                      </c:pt>
                      <c:pt idx="7897">
                        <c:v>18.995999999999999</c:v>
                      </c:pt>
                      <c:pt idx="7898">
                        <c:v>18.995999999999999</c:v>
                      </c:pt>
                      <c:pt idx="7899">
                        <c:v>18.995999999999999</c:v>
                      </c:pt>
                      <c:pt idx="7900">
                        <c:v>18.995999999999999</c:v>
                      </c:pt>
                      <c:pt idx="7901">
                        <c:v>18.995999999999999</c:v>
                      </c:pt>
                      <c:pt idx="7902">
                        <c:v>18.901</c:v>
                      </c:pt>
                      <c:pt idx="7903">
                        <c:v>18.901</c:v>
                      </c:pt>
                      <c:pt idx="7904">
                        <c:v>18.806000000000001</c:v>
                      </c:pt>
                      <c:pt idx="7905">
                        <c:v>18.806000000000001</c:v>
                      </c:pt>
                      <c:pt idx="7906">
                        <c:v>18.806000000000001</c:v>
                      </c:pt>
                      <c:pt idx="7907">
                        <c:v>18.806000000000001</c:v>
                      </c:pt>
                      <c:pt idx="7908">
                        <c:v>18.710999999999999</c:v>
                      </c:pt>
                      <c:pt idx="7909">
                        <c:v>18.710999999999999</c:v>
                      </c:pt>
                      <c:pt idx="7910">
                        <c:v>18.710999999999999</c:v>
                      </c:pt>
                      <c:pt idx="7911">
                        <c:v>18.616</c:v>
                      </c:pt>
                      <c:pt idx="7912">
                        <c:v>18.616</c:v>
                      </c:pt>
                      <c:pt idx="7913">
                        <c:v>18.616</c:v>
                      </c:pt>
                      <c:pt idx="7914">
                        <c:v>18.521000000000001</c:v>
                      </c:pt>
                      <c:pt idx="7915">
                        <c:v>18.521000000000001</c:v>
                      </c:pt>
                      <c:pt idx="7916">
                        <c:v>18.521000000000001</c:v>
                      </c:pt>
                      <c:pt idx="7917">
                        <c:v>18.521000000000001</c:v>
                      </c:pt>
                      <c:pt idx="7918">
                        <c:v>18.521000000000001</c:v>
                      </c:pt>
                      <c:pt idx="7919">
                        <c:v>18.425999999999998</c:v>
                      </c:pt>
                      <c:pt idx="7920">
                        <c:v>18.425999999999998</c:v>
                      </c:pt>
                      <c:pt idx="7921">
                        <c:v>18.425999999999998</c:v>
                      </c:pt>
                      <c:pt idx="7922">
                        <c:v>18.425999999999998</c:v>
                      </c:pt>
                      <c:pt idx="7923">
                        <c:v>18.331</c:v>
                      </c:pt>
                      <c:pt idx="7924">
                        <c:v>18.425999999999998</c:v>
                      </c:pt>
                      <c:pt idx="7925">
                        <c:v>18.425999999999998</c:v>
                      </c:pt>
                      <c:pt idx="7926">
                        <c:v>18.331</c:v>
                      </c:pt>
                      <c:pt idx="7927">
                        <c:v>18.331</c:v>
                      </c:pt>
                      <c:pt idx="7928">
                        <c:v>18.331</c:v>
                      </c:pt>
                      <c:pt idx="7929">
                        <c:v>18.236000000000001</c:v>
                      </c:pt>
                      <c:pt idx="7930">
                        <c:v>18.236000000000001</c:v>
                      </c:pt>
                      <c:pt idx="7931">
                        <c:v>18.331</c:v>
                      </c:pt>
                      <c:pt idx="7932">
                        <c:v>18.236000000000001</c:v>
                      </c:pt>
                      <c:pt idx="7933">
                        <c:v>18.236000000000001</c:v>
                      </c:pt>
                      <c:pt idx="7934">
                        <c:v>18.236000000000001</c:v>
                      </c:pt>
                      <c:pt idx="7935">
                        <c:v>18.236000000000001</c:v>
                      </c:pt>
                      <c:pt idx="7936">
                        <c:v>18.14</c:v>
                      </c:pt>
                      <c:pt idx="7937">
                        <c:v>18.236000000000001</c:v>
                      </c:pt>
                      <c:pt idx="7938">
                        <c:v>18.14</c:v>
                      </c:pt>
                      <c:pt idx="7939">
                        <c:v>18.14</c:v>
                      </c:pt>
                      <c:pt idx="7940">
                        <c:v>18.14</c:v>
                      </c:pt>
                      <c:pt idx="7941">
                        <c:v>18.045000000000002</c:v>
                      </c:pt>
                      <c:pt idx="7942">
                        <c:v>18.045000000000002</c:v>
                      </c:pt>
                      <c:pt idx="7943">
                        <c:v>18.045000000000002</c:v>
                      </c:pt>
                      <c:pt idx="7944">
                        <c:v>18.045000000000002</c:v>
                      </c:pt>
                      <c:pt idx="7945">
                        <c:v>18.045000000000002</c:v>
                      </c:pt>
                      <c:pt idx="7946">
                        <c:v>18.045000000000002</c:v>
                      </c:pt>
                      <c:pt idx="7947">
                        <c:v>18.045000000000002</c:v>
                      </c:pt>
                      <c:pt idx="7948">
                        <c:v>17.95</c:v>
                      </c:pt>
                      <c:pt idx="7949">
                        <c:v>18.045000000000002</c:v>
                      </c:pt>
                      <c:pt idx="7950">
                        <c:v>17.95</c:v>
                      </c:pt>
                      <c:pt idx="7951">
                        <c:v>17.95</c:v>
                      </c:pt>
                      <c:pt idx="7952">
                        <c:v>17.95</c:v>
                      </c:pt>
                      <c:pt idx="7953">
                        <c:v>17.95</c:v>
                      </c:pt>
                      <c:pt idx="7954">
                        <c:v>17.95</c:v>
                      </c:pt>
                      <c:pt idx="7955">
                        <c:v>17.855</c:v>
                      </c:pt>
                      <c:pt idx="7956">
                        <c:v>17.855</c:v>
                      </c:pt>
                      <c:pt idx="7957">
                        <c:v>17.855</c:v>
                      </c:pt>
                      <c:pt idx="7958">
                        <c:v>17.760000000000002</c:v>
                      </c:pt>
                      <c:pt idx="7959">
                        <c:v>17.760000000000002</c:v>
                      </c:pt>
                      <c:pt idx="7960">
                        <c:v>17.760000000000002</c:v>
                      </c:pt>
                      <c:pt idx="7961">
                        <c:v>17.760000000000002</c:v>
                      </c:pt>
                      <c:pt idx="7962">
                        <c:v>17.760000000000002</c:v>
                      </c:pt>
                      <c:pt idx="7963">
                        <c:v>17.760000000000002</c:v>
                      </c:pt>
                      <c:pt idx="7964">
                        <c:v>17.760000000000002</c:v>
                      </c:pt>
                      <c:pt idx="7965">
                        <c:v>17.760000000000002</c:v>
                      </c:pt>
                      <c:pt idx="7966">
                        <c:v>17.760000000000002</c:v>
                      </c:pt>
                      <c:pt idx="7967">
                        <c:v>17.855</c:v>
                      </c:pt>
                      <c:pt idx="7968">
                        <c:v>17.855</c:v>
                      </c:pt>
                      <c:pt idx="7969">
                        <c:v>17.95</c:v>
                      </c:pt>
                      <c:pt idx="7970">
                        <c:v>18.045000000000002</c:v>
                      </c:pt>
                      <c:pt idx="7971">
                        <c:v>18.045000000000002</c:v>
                      </c:pt>
                      <c:pt idx="7972">
                        <c:v>18.045000000000002</c:v>
                      </c:pt>
                      <c:pt idx="7973">
                        <c:v>18.14</c:v>
                      </c:pt>
                      <c:pt idx="7974">
                        <c:v>18.236000000000001</c:v>
                      </c:pt>
                      <c:pt idx="7975">
                        <c:v>18.425999999999998</c:v>
                      </c:pt>
                      <c:pt idx="7976">
                        <c:v>18.425999999999998</c:v>
                      </c:pt>
                      <c:pt idx="7977">
                        <c:v>18.806000000000001</c:v>
                      </c:pt>
                      <c:pt idx="7978">
                        <c:v>18.806000000000001</c:v>
                      </c:pt>
                      <c:pt idx="7979">
                        <c:v>18.710999999999999</c:v>
                      </c:pt>
                      <c:pt idx="7980">
                        <c:v>18.710999999999999</c:v>
                      </c:pt>
                      <c:pt idx="7981">
                        <c:v>18.806000000000001</c:v>
                      </c:pt>
                      <c:pt idx="7982">
                        <c:v>18.806000000000001</c:v>
                      </c:pt>
                      <c:pt idx="7983">
                        <c:v>18.806000000000001</c:v>
                      </c:pt>
                      <c:pt idx="7984">
                        <c:v>18.901</c:v>
                      </c:pt>
                      <c:pt idx="7985">
                        <c:v>18.901</c:v>
                      </c:pt>
                      <c:pt idx="7986">
                        <c:v>19.091999999999999</c:v>
                      </c:pt>
                      <c:pt idx="7987">
                        <c:v>19.091999999999999</c:v>
                      </c:pt>
                      <c:pt idx="7988">
                        <c:v>19.091999999999999</c:v>
                      </c:pt>
                      <c:pt idx="7989">
                        <c:v>19.187000000000001</c:v>
                      </c:pt>
                      <c:pt idx="7990">
                        <c:v>19.282</c:v>
                      </c:pt>
                      <c:pt idx="7991">
                        <c:v>19.567</c:v>
                      </c:pt>
                      <c:pt idx="7992">
                        <c:v>19.472000000000001</c:v>
                      </c:pt>
                      <c:pt idx="7993">
                        <c:v>19.472000000000001</c:v>
                      </c:pt>
                      <c:pt idx="7994">
                        <c:v>19.567</c:v>
                      </c:pt>
                      <c:pt idx="7995">
                        <c:v>19.661999999999999</c:v>
                      </c:pt>
                      <c:pt idx="7996">
                        <c:v>19.661999999999999</c:v>
                      </c:pt>
                      <c:pt idx="7997">
                        <c:v>20.138000000000002</c:v>
                      </c:pt>
                      <c:pt idx="7998">
                        <c:v>20.042999999999999</c:v>
                      </c:pt>
                      <c:pt idx="7999">
                        <c:v>19.948</c:v>
                      </c:pt>
                      <c:pt idx="8000">
                        <c:v>19.948</c:v>
                      </c:pt>
                      <c:pt idx="8001">
                        <c:v>19.948</c:v>
                      </c:pt>
                      <c:pt idx="8002">
                        <c:v>20.042999999999999</c:v>
                      </c:pt>
                      <c:pt idx="8003">
                        <c:v>20.234000000000002</c:v>
                      </c:pt>
                      <c:pt idx="8004">
                        <c:v>20.329000000000001</c:v>
                      </c:pt>
                      <c:pt idx="8005">
                        <c:v>20.234000000000002</c:v>
                      </c:pt>
                      <c:pt idx="8006">
                        <c:v>20.138000000000002</c:v>
                      </c:pt>
                      <c:pt idx="8007">
                        <c:v>20.138000000000002</c:v>
                      </c:pt>
                      <c:pt idx="8008">
                        <c:v>20.138000000000002</c:v>
                      </c:pt>
                      <c:pt idx="8009">
                        <c:v>20.138000000000002</c:v>
                      </c:pt>
                      <c:pt idx="8010">
                        <c:v>20.042999999999999</c:v>
                      </c:pt>
                      <c:pt idx="8011">
                        <c:v>20.042999999999999</c:v>
                      </c:pt>
                      <c:pt idx="8012">
                        <c:v>20.042999999999999</c:v>
                      </c:pt>
                      <c:pt idx="8013">
                        <c:v>20.042999999999999</c:v>
                      </c:pt>
                      <c:pt idx="8014">
                        <c:v>20.042999999999999</c:v>
                      </c:pt>
                      <c:pt idx="8015">
                        <c:v>20.042999999999999</c:v>
                      </c:pt>
                      <c:pt idx="8016">
                        <c:v>20.042999999999999</c:v>
                      </c:pt>
                      <c:pt idx="8017">
                        <c:v>20.042999999999999</c:v>
                      </c:pt>
                      <c:pt idx="8018">
                        <c:v>20.042999999999999</c:v>
                      </c:pt>
                      <c:pt idx="8019">
                        <c:v>19.948</c:v>
                      </c:pt>
                      <c:pt idx="8020">
                        <c:v>19.948</c:v>
                      </c:pt>
                      <c:pt idx="8021">
                        <c:v>19.948</c:v>
                      </c:pt>
                      <c:pt idx="8022">
                        <c:v>19.853000000000002</c:v>
                      </c:pt>
                      <c:pt idx="8023">
                        <c:v>19.853000000000002</c:v>
                      </c:pt>
                      <c:pt idx="8024">
                        <c:v>19.757999999999999</c:v>
                      </c:pt>
                      <c:pt idx="8025">
                        <c:v>19.757999999999999</c:v>
                      </c:pt>
                      <c:pt idx="8026">
                        <c:v>19.757999999999999</c:v>
                      </c:pt>
                      <c:pt idx="8027">
                        <c:v>19.661999999999999</c:v>
                      </c:pt>
                      <c:pt idx="8028">
                        <c:v>19.661999999999999</c:v>
                      </c:pt>
                      <c:pt idx="8029">
                        <c:v>19.567</c:v>
                      </c:pt>
                      <c:pt idx="8030">
                        <c:v>19.567</c:v>
                      </c:pt>
                      <c:pt idx="8031">
                        <c:v>19.472000000000001</c:v>
                      </c:pt>
                      <c:pt idx="8032">
                        <c:v>19.472000000000001</c:v>
                      </c:pt>
                      <c:pt idx="8033">
                        <c:v>19.376999999999999</c:v>
                      </c:pt>
                      <c:pt idx="8034">
                        <c:v>19.376999999999999</c:v>
                      </c:pt>
                      <c:pt idx="8035">
                        <c:v>19.282</c:v>
                      </c:pt>
                      <c:pt idx="8036">
                        <c:v>19.282</c:v>
                      </c:pt>
                      <c:pt idx="8037">
                        <c:v>19.187000000000001</c:v>
                      </c:pt>
                      <c:pt idx="8038">
                        <c:v>19.187000000000001</c:v>
                      </c:pt>
                      <c:pt idx="8039">
                        <c:v>19.091999999999999</c:v>
                      </c:pt>
                      <c:pt idx="8040">
                        <c:v>19.091999999999999</c:v>
                      </c:pt>
                      <c:pt idx="8041">
                        <c:v>19.091999999999999</c:v>
                      </c:pt>
                      <c:pt idx="8042">
                        <c:v>19.091999999999999</c:v>
                      </c:pt>
                      <c:pt idx="8043">
                        <c:v>18.995999999999999</c:v>
                      </c:pt>
                      <c:pt idx="8044">
                        <c:v>18.995999999999999</c:v>
                      </c:pt>
                      <c:pt idx="8045">
                        <c:v>18.995999999999999</c:v>
                      </c:pt>
                      <c:pt idx="8046">
                        <c:v>18.995999999999999</c:v>
                      </c:pt>
                      <c:pt idx="8047">
                        <c:v>18.995999999999999</c:v>
                      </c:pt>
                      <c:pt idx="8048">
                        <c:v>18.995999999999999</c:v>
                      </c:pt>
                      <c:pt idx="8049">
                        <c:v>18.901</c:v>
                      </c:pt>
                      <c:pt idx="8050">
                        <c:v>18.901</c:v>
                      </c:pt>
                      <c:pt idx="8051">
                        <c:v>18.901</c:v>
                      </c:pt>
                      <c:pt idx="8052">
                        <c:v>18.806000000000001</c:v>
                      </c:pt>
                      <c:pt idx="8053">
                        <c:v>18.710999999999999</c:v>
                      </c:pt>
                      <c:pt idx="8054">
                        <c:v>18.806000000000001</c:v>
                      </c:pt>
                      <c:pt idx="8055">
                        <c:v>18.710999999999999</c:v>
                      </c:pt>
                      <c:pt idx="8056">
                        <c:v>18.710999999999999</c:v>
                      </c:pt>
                      <c:pt idx="8057">
                        <c:v>18.710999999999999</c:v>
                      </c:pt>
                      <c:pt idx="8058">
                        <c:v>18.710999999999999</c:v>
                      </c:pt>
                      <c:pt idx="8059">
                        <c:v>18.710999999999999</c:v>
                      </c:pt>
                      <c:pt idx="8060">
                        <c:v>18.616</c:v>
                      </c:pt>
                      <c:pt idx="8061">
                        <c:v>18.616</c:v>
                      </c:pt>
                      <c:pt idx="8062">
                        <c:v>18.616</c:v>
                      </c:pt>
                      <c:pt idx="8063">
                        <c:v>18.616</c:v>
                      </c:pt>
                      <c:pt idx="8064">
                        <c:v>18.521000000000001</c:v>
                      </c:pt>
                      <c:pt idx="8065">
                        <c:v>18.521000000000001</c:v>
                      </c:pt>
                      <c:pt idx="8066">
                        <c:v>18.521000000000001</c:v>
                      </c:pt>
                      <c:pt idx="8067">
                        <c:v>18.425999999999998</c:v>
                      </c:pt>
                      <c:pt idx="8068">
                        <c:v>18.425999999999998</c:v>
                      </c:pt>
                      <c:pt idx="8069">
                        <c:v>18.521000000000001</c:v>
                      </c:pt>
                      <c:pt idx="8070">
                        <c:v>18.521000000000001</c:v>
                      </c:pt>
                      <c:pt idx="8071">
                        <c:v>18.425999999999998</c:v>
                      </c:pt>
                      <c:pt idx="8072">
                        <c:v>18.331</c:v>
                      </c:pt>
                      <c:pt idx="8073">
                        <c:v>18.331</c:v>
                      </c:pt>
                      <c:pt idx="8074">
                        <c:v>18.331</c:v>
                      </c:pt>
                      <c:pt idx="8075">
                        <c:v>18.331</c:v>
                      </c:pt>
                      <c:pt idx="8076">
                        <c:v>18.236000000000001</c:v>
                      </c:pt>
                      <c:pt idx="8077">
                        <c:v>18.236000000000001</c:v>
                      </c:pt>
                      <c:pt idx="8078">
                        <c:v>18.236000000000001</c:v>
                      </c:pt>
                      <c:pt idx="8079">
                        <c:v>18.236000000000001</c:v>
                      </c:pt>
                      <c:pt idx="8080">
                        <c:v>18.236000000000001</c:v>
                      </c:pt>
                      <c:pt idx="8081">
                        <c:v>18.236000000000001</c:v>
                      </c:pt>
                      <c:pt idx="8082">
                        <c:v>18.236000000000001</c:v>
                      </c:pt>
                      <c:pt idx="8083">
                        <c:v>18.14</c:v>
                      </c:pt>
                      <c:pt idx="8084">
                        <c:v>18.14</c:v>
                      </c:pt>
                      <c:pt idx="8085">
                        <c:v>18.045000000000002</c:v>
                      </c:pt>
                      <c:pt idx="8086">
                        <c:v>18.045000000000002</c:v>
                      </c:pt>
                      <c:pt idx="8087">
                        <c:v>18.045000000000002</c:v>
                      </c:pt>
                      <c:pt idx="8088">
                        <c:v>18.045000000000002</c:v>
                      </c:pt>
                      <c:pt idx="8089">
                        <c:v>18.14</c:v>
                      </c:pt>
                      <c:pt idx="8090">
                        <c:v>18.045000000000002</c:v>
                      </c:pt>
                      <c:pt idx="8091">
                        <c:v>18.045000000000002</c:v>
                      </c:pt>
                      <c:pt idx="8092">
                        <c:v>18.045000000000002</c:v>
                      </c:pt>
                      <c:pt idx="8093">
                        <c:v>18.045000000000002</c:v>
                      </c:pt>
                      <c:pt idx="8094">
                        <c:v>17.95</c:v>
                      </c:pt>
                      <c:pt idx="8095">
                        <c:v>17.95</c:v>
                      </c:pt>
                      <c:pt idx="8096">
                        <c:v>17.95</c:v>
                      </c:pt>
                      <c:pt idx="8097">
                        <c:v>17.855</c:v>
                      </c:pt>
                      <c:pt idx="8098">
                        <c:v>17.855</c:v>
                      </c:pt>
                      <c:pt idx="8099">
                        <c:v>17.855</c:v>
                      </c:pt>
                      <c:pt idx="8100">
                        <c:v>17.855</c:v>
                      </c:pt>
                      <c:pt idx="8101">
                        <c:v>17.855</c:v>
                      </c:pt>
                      <c:pt idx="8102">
                        <c:v>17.855</c:v>
                      </c:pt>
                      <c:pt idx="8103">
                        <c:v>17.855</c:v>
                      </c:pt>
                      <c:pt idx="8104">
                        <c:v>17.855</c:v>
                      </c:pt>
                      <c:pt idx="8105">
                        <c:v>17.855</c:v>
                      </c:pt>
                      <c:pt idx="8106">
                        <c:v>17.760000000000002</c:v>
                      </c:pt>
                      <c:pt idx="8107">
                        <c:v>17.760000000000002</c:v>
                      </c:pt>
                      <c:pt idx="8108">
                        <c:v>17.760000000000002</c:v>
                      </c:pt>
                      <c:pt idx="8109">
                        <c:v>17.760000000000002</c:v>
                      </c:pt>
                      <c:pt idx="8110">
                        <c:v>17.760000000000002</c:v>
                      </c:pt>
                      <c:pt idx="8111">
                        <c:v>17.855</c:v>
                      </c:pt>
                      <c:pt idx="8112">
                        <c:v>17.855</c:v>
                      </c:pt>
                      <c:pt idx="8113">
                        <c:v>17.855</c:v>
                      </c:pt>
                      <c:pt idx="8114">
                        <c:v>18.045000000000002</c:v>
                      </c:pt>
                      <c:pt idx="8115">
                        <c:v>17.95</c:v>
                      </c:pt>
                      <c:pt idx="8116">
                        <c:v>18.045000000000002</c:v>
                      </c:pt>
                      <c:pt idx="8117">
                        <c:v>18.045000000000002</c:v>
                      </c:pt>
                      <c:pt idx="8118">
                        <c:v>18.14</c:v>
                      </c:pt>
                      <c:pt idx="8119">
                        <c:v>18.236000000000001</c:v>
                      </c:pt>
                      <c:pt idx="8120">
                        <c:v>18.331</c:v>
                      </c:pt>
                      <c:pt idx="8121">
                        <c:v>18.806000000000001</c:v>
                      </c:pt>
                      <c:pt idx="8122">
                        <c:v>18.806000000000001</c:v>
                      </c:pt>
                      <c:pt idx="8123">
                        <c:v>18.806000000000001</c:v>
                      </c:pt>
                      <c:pt idx="8124">
                        <c:v>18.806000000000001</c:v>
                      </c:pt>
                      <c:pt idx="8125">
                        <c:v>18.806000000000001</c:v>
                      </c:pt>
                      <c:pt idx="8126">
                        <c:v>18.806000000000001</c:v>
                      </c:pt>
                      <c:pt idx="8127">
                        <c:v>18.901</c:v>
                      </c:pt>
                      <c:pt idx="8128">
                        <c:v>19.091999999999999</c:v>
                      </c:pt>
                      <c:pt idx="8129">
                        <c:v>19.091999999999999</c:v>
                      </c:pt>
                      <c:pt idx="8130">
                        <c:v>19.187000000000001</c:v>
                      </c:pt>
                      <c:pt idx="8131">
                        <c:v>19.187000000000001</c:v>
                      </c:pt>
                      <c:pt idx="8132">
                        <c:v>19.187000000000001</c:v>
                      </c:pt>
                      <c:pt idx="8133">
                        <c:v>19.282</c:v>
                      </c:pt>
                      <c:pt idx="8134">
                        <c:v>19.376999999999999</c:v>
                      </c:pt>
                      <c:pt idx="8135">
                        <c:v>19.661999999999999</c:v>
                      </c:pt>
                      <c:pt idx="8136">
                        <c:v>19.661999999999999</c:v>
                      </c:pt>
                      <c:pt idx="8137">
                        <c:v>19.567</c:v>
                      </c:pt>
                      <c:pt idx="8138">
                        <c:v>19.661999999999999</c:v>
                      </c:pt>
                      <c:pt idx="8139">
                        <c:v>19.757999999999999</c:v>
                      </c:pt>
                      <c:pt idx="8140">
                        <c:v>19.853000000000002</c:v>
                      </c:pt>
                      <c:pt idx="8141">
                        <c:v>20.423999999999999</c:v>
                      </c:pt>
                      <c:pt idx="8142">
                        <c:v>20.042999999999999</c:v>
                      </c:pt>
                      <c:pt idx="8143">
                        <c:v>19.948</c:v>
                      </c:pt>
                      <c:pt idx="8144">
                        <c:v>19.948</c:v>
                      </c:pt>
                      <c:pt idx="8145">
                        <c:v>19.948</c:v>
                      </c:pt>
                      <c:pt idx="8146">
                        <c:v>20.042999999999999</c:v>
                      </c:pt>
                      <c:pt idx="8147">
                        <c:v>20.329000000000001</c:v>
                      </c:pt>
                      <c:pt idx="8148">
                        <c:v>20.614999999999998</c:v>
                      </c:pt>
                      <c:pt idx="8149">
                        <c:v>20.423999999999999</c:v>
                      </c:pt>
                      <c:pt idx="8150">
                        <c:v>20.234000000000002</c:v>
                      </c:pt>
                      <c:pt idx="8151">
                        <c:v>20.138000000000002</c:v>
                      </c:pt>
                      <c:pt idx="8152">
                        <c:v>20.138000000000002</c:v>
                      </c:pt>
                      <c:pt idx="8153">
                        <c:v>20.138000000000002</c:v>
                      </c:pt>
                      <c:pt idx="8154">
                        <c:v>20.138000000000002</c:v>
                      </c:pt>
                      <c:pt idx="8155">
                        <c:v>20.138000000000002</c:v>
                      </c:pt>
                      <c:pt idx="8156">
                        <c:v>20.138000000000002</c:v>
                      </c:pt>
                      <c:pt idx="8157">
                        <c:v>20.138000000000002</c:v>
                      </c:pt>
                      <c:pt idx="8158">
                        <c:v>20.138000000000002</c:v>
                      </c:pt>
                      <c:pt idx="8159">
                        <c:v>20.138000000000002</c:v>
                      </c:pt>
                      <c:pt idx="8160">
                        <c:v>20.042999999999999</c:v>
                      </c:pt>
                      <c:pt idx="8161">
                        <c:v>20.042999999999999</c:v>
                      </c:pt>
                      <c:pt idx="8162">
                        <c:v>20.042999999999999</c:v>
                      </c:pt>
                      <c:pt idx="8163">
                        <c:v>19.948</c:v>
                      </c:pt>
                      <c:pt idx="8164">
                        <c:v>19.948</c:v>
                      </c:pt>
                      <c:pt idx="8165">
                        <c:v>19.948</c:v>
                      </c:pt>
                      <c:pt idx="8166">
                        <c:v>19.853000000000002</c:v>
                      </c:pt>
                      <c:pt idx="8167">
                        <c:v>19.853000000000002</c:v>
                      </c:pt>
                      <c:pt idx="8168">
                        <c:v>19.853000000000002</c:v>
                      </c:pt>
                      <c:pt idx="8169">
                        <c:v>19.757999999999999</c:v>
                      </c:pt>
                      <c:pt idx="8170">
                        <c:v>19.757999999999999</c:v>
                      </c:pt>
                      <c:pt idx="8171">
                        <c:v>19.661999999999999</c:v>
                      </c:pt>
                      <c:pt idx="8172">
                        <c:v>19.661999999999999</c:v>
                      </c:pt>
                      <c:pt idx="8173">
                        <c:v>19.567</c:v>
                      </c:pt>
                      <c:pt idx="8174">
                        <c:v>19.472000000000001</c:v>
                      </c:pt>
                      <c:pt idx="8175">
                        <c:v>19.472000000000001</c:v>
                      </c:pt>
                      <c:pt idx="8176">
                        <c:v>19.376999999999999</c:v>
                      </c:pt>
                      <c:pt idx="8177">
                        <c:v>19.282</c:v>
                      </c:pt>
                      <c:pt idx="8178">
                        <c:v>19.282</c:v>
                      </c:pt>
                      <c:pt idx="8179">
                        <c:v>19.187000000000001</c:v>
                      </c:pt>
                      <c:pt idx="8180">
                        <c:v>19.187000000000001</c:v>
                      </c:pt>
                      <c:pt idx="8181">
                        <c:v>19.091999999999999</c:v>
                      </c:pt>
                      <c:pt idx="8182">
                        <c:v>19.091999999999999</c:v>
                      </c:pt>
                      <c:pt idx="8183">
                        <c:v>19.091999999999999</c:v>
                      </c:pt>
                      <c:pt idx="8184">
                        <c:v>18.995999999999999</c:v>
                      </c:pt>
                      <c:pt idx="8185">
                        <c:v>18.901</c:v>
                      </c:pt>
                      <c:pt idx="8186">
                        <c:v>18.901</c:v>
                      </c:pt>
                      <c:pt idx="8187">
                        <c:v>18.901</c:v>
                      </c:pt>
                      <c:pt idx="8188">
                        <c:v>18.806000000000001</c:v>
                      </c:pt>
                      <c:pt idx="8189">
                        <c:v>18.806000000000001</c:v>
                      </c:pt>
                      <c:pt idx="8190">
                        <c:v>18.806000000000001</c:v>
                      </c:pt>
                      <c:pt idx="8191">
                        <c:v>18.806000000000001</c:v>
                      </c:pt>
                      <c:pt idx="8192">
                        <c:v>18.806000000000001</c:v>
                      </c:pt>
                      <c:pt idx="8193">
                        <c:v>18.901</c:v>
                      </c:pt>
                      <c:pt idx="8194">
                        <c:v>18.806000000000001</c:v>
                      </c:pt>
                      <c:pt idx="8195">
                        <c:v>18.806000000000001</c:v>
                      </c:pt>
                      <c:pt idx="8196">
                        <c:v>18.806000000000001</c:v>
                      </c:pt>
                      <c:pt idx="8197">
                        <c:v>18.710999999999999</c:v>
                      </c:pt>
                      <c:pt idx="8198">
                        <c:v>18.710999999999999</c:v>
                      </c:pt>
                      <c:pt idx="8199">
                        <c:v>18.616</c:v>
                      </c:pt>
                      <c:pt idx="8200">
                        <c:v>18.710999999999999</c:v>
                      </c:pt>
                      <c:pt idx="8201">
                        <c:v>18.616</c:v>
                      </c:pt>
                      <c:pt idx="8202">
                        <c:v>18.521000000000001</c:v>
                      </c:pt>
                      <c:pt idx="8203">
                        <c:v>18.521000000000001</c:v>
                      </c:pt>
                      <c:pt idx="8204">
                        <c:v>18.521000000000001</c:v>
                      </c:pt>
                      <c:pt idx="8205">
                        <c:v>18.521000000000001</c:v>
                      </c:pt>
                      <c:pt idx="8206">
                        <c:v>18.521000000000001</c:v>
                      </c:pt>
                      <c:pt idx="8207">
                        <c:v>18.425999999999998</c:v>
                      </c:pt>
                      <c:pt idx="8208">
                        <c:v>18.425999999999998</c:v>
                      </c:pt>
                      <c:pt idx="8209">
                        <c:v>18.331</c:v>
                      </c:pt>
                      <c:pt idx="8210">
                        <c:v>18.425999999999998</c:v>
                      </c:pt>
                      <c:pt idx="8211">
                        <c:v>18.331</c:v>
                      </c:pt>
                      <c:pt idx="8212">
                        <c:v>18.331</c:v>
                      </c:pt>
                      <c:pt idx="8213">
                        <c:v>18.331</c:v>
                      </c:pt>
                      <c:pt idx="8214">
                        <c:v>18.331</c:v>
                      </c:pt>
                      <c:pt idx="8215">
                        <c:v>18.236000000000001</c:v>
                      </c:pt>
                      <c:pt idx="8216">
                        <c:v>18.236000000000001</c:v>
                      </c:pt>
                      <c:pt idx="8217">
                        <c:v>18.14</c:v>
                      </c:pt>
                      <c:pt idx="8218">
                        <c:v>18.14</c:v>
                      </c:pt>
                      <c:pt idx="8219">
                        <c:v>18.14</c:v>
                      </c:pt>
                      <c:pt idx="8220">
                        <c:v>18.14</c:v>
                      </c:pt>
                      <c:pt idx="8221">
                        <c:v>18.045000000000002</c:v>
                      </c:pt>
                      <c:pt idx="8222">
                        <c:v>18.045000000000002</c:v>
                      </c:pt>
                      <c:pt idx="8223">
                        <c:v>18.045000000000002</c:v>
                      </c:pt>
                      <c:pt idx="8224">
                        <c:v>17.95</c:v>
                      </c:pt>
                      <c:pt idx="8225">
                        <c:v>17.95</c:v>
                      </c:pt>
                      <c:pt idx="8226">
                        <c:v>17.95</c:v>
                      </c:pt>
                      <c:pt idx="8227">
                        <c:v>17.855</c:v>
                      </c:pt>
                      <c:pt idx="8228">
                        <c:v>17.95</c:v>
                      </c:pt>
                      <c:pt idx="8229">
                        <c:v>17.95</c:v>
                      </c:pt>
                      <c:pt idx="8230">
                        <c:v>17.95</c:v>
                      </c:pt>
                      <c:pt idx="8231">
                        <c:v>17.95</c:v>
                      </c:pt>
                      <c:pt idx="8232">
                        <c:v>17.95</c:v>
                      </c:pt>
                      <c:pt idx="8233">
                        <c:v>17.855</c:v>
                      </c:pt>
                      <c:pt idx="8234">
                        <c:v>17.855</c:v>
                      </c:pt>
                      <c:pt idx="8235">
                        <c:v>17.855</c:v>
                      </c:pt>
                      <c:pt idx="8236">
                        <c:v>17.95</c:v>
                      </c:pt>
                      <c:pt idx="8237">
                        <c:v>17.855</c:v>
                      </c:pt>
                      <c:pt idx="8238">
                        <c:v>17.855</c:v>
                      </c:pt>
                      <c:pt idx="8239">
                        <c:v>17.760000000000002</c:v>
                      </c:pt>
                      <c:pt idx="8240">
                        <c:v>17.760000000000002</c:v>
                      </c:pt>
                      <c:pt idx="8241">
                        <c:v>17.760000000000002</c:v>
                      </c:pt>
                      <c:pt idx="8242">
                        <c:v>17.760000000000002</c:v>
                      </c:pt>
                      <c:pt idx="8243">
                        <c:v>17.760000000000002</c:v>
                      </c:pt>
                      <c:pt idx="8244">
                        <c:v>17.760000000000002</c:v>
                      </c:pt>
                      <c:pt idx="8245">
                        <c:v>17.760000000000002</c:v>
                      </c:pt>
                      <c:pt idx="8246">
                        <c:v>17.760000000000002</c:v>
                      </c:pt>
                      <c:pt idx="8247">
                        <c:v>17.760000000000002</c:v>
                      </c:pt>
                      <c:pt idx="8248">
                        <c:v>17.760000000000002</c:v>
                      </c:pt>
                      <c:pt idx="8249">
                        <c:v>17.664999999999999</c:v>
                      </c:pt>
                      <c:pt idx="8250">
                        <c:v>17.664999999999999</c:v>
                      </c:pt>
                      <c:pt idx="8251">
                        <c:v>17.664999999999999</c:v>
                      </c:pt>
                      <c:pt idx="8252">
                        <c:v>17.664999999999999</c:v>
                      </c:pt>
                      <c:pt idx="8253">
                        <c:v>17.664999999999999</c:v>
                      </c:pt>
                      <c:pt idx="8254">
                        <c:v>17.664999999999999</c:v>
                      </c:pt>
                      <c:pt idx="8255">
                        <c:v>17.664999999999999</c:v>
                      </c:pt>
                      <c:pt idx="8256">
                        <c:v>17.760000000000002</c:v>
                      </c:pt>
                      <c:pt idx="8257">
                        <c:v>17.760000000000002</c:v>
                      </c:pt>
                      <c:pt idx="8258">
                        <c:v>17.855</c:v>
                      </c:pt>
                      <c:pt idx="8259">
                        <c:v>17.760000000000002</c:v>
                      </c:pt>
                      <c:pt idx="8260">
                        <c:v>17.855</c:v>
                      </c:pt>
                      <c:pt idx="8261">
                        <c:v>17.95</c:v>
                      </c:pt>
                      <c:pt idx="8262">
                        <c:v>18.045000000000002</c:v>
                      </c:pt>
                      <c:pt idx="8263">
                        <c:v>18.14</c:v>
                      </c:pt>
                      <c:pt idx="8264">
                        <c:v>18.236000000000001</c:v>
                      </c:pt>
                      <c:pt idx="8265">
                        <c:v>18.331</c:v>
                      </c:pt>
                      <c:pt idx="8266">
                        <c:v>18.425999999999998</c:v>
                      </c:pt>
                      <c:pt idx="8267">
                        <c:v>18.425999999999998</c:v>
                      </c:pt>
                      <c:pt idx="8268">
                        <c:v>18.521000000000001</c:v>
                      </c:pt>
                      <c:pt idx="8269">
                        <c:v>18.616</c:v>
                      </c:pt>
                      <c:pt idx="8270">
                        <c:v>18.616</c:v>
                      </c:pt>
                      <c:pt idx="8271">
                        <c:v>18.710999999999999</c:v>
                      </c:pt>
                      <c:pt idx="8272">
                        <c:v>18.806000000000001</c:v>
                      </c:pt>
                      <c:pt idx="8273">
                        <c:v>18.901</c:v>
                      </c:pt>
                      <c:pt idx="8274">
                        <c:v>18.995999999999999</c:v>
                      </c:pt>
                      <c:pt idx="8275">
                        <c:v>18.995999999999999</c:v>
                      </c:pt>
                      <c:pt idx="8276">
                        <c:v>18.995999999999999</c:v>
                      </c:pt>
                      <c:pt idx="8277">
                        <c:v>19.091999999999999</c:v>
                      </c:pt>
                      <c:pt idx="8278">
                        <c:v>19.282</c:v>
                      </c:pt>
                      <c:pt idx="8279">
                        <c:v>19.472000000000001</c:v>
                      </c:pt>
                      <c:pt idx="8280">
                        <c:v>19.567</c:v>
                      </c:pt>
                      <c:pt idx="8281">
                        <c:v>19.567</c:v>
                      </c:pt>
                      <c:pt idx="8282">
                        <c:v>19.567</c:v>
                      </c:pt>
                      <c:pt idx="8283">
                        <c:v>19.661999999999999</c:v>
                      </c:pt>
                      <c:pt idx="8284">
                        <c:v>19.757999999999999</c:v>
                      </c:pt>
                      <c:pt idx="8285">
                        <c:v>20.329000000000001</c:v>
                      </c:pt>
                      <c:pt idx="8286">
                        <c:v>20.138000000000002</c:v>
                      </c:pt>
                      <c:pt idx="8287">
                        <c:v>19.948</c:v>
                      </c:pt>
                      <c:pt idx="8288">
                        <c:v>19.948</c:v>
                      </c:pt>
                      <c:pt idx="8289">
                        <c:v>19.948</c:v>
                      </c:pt>
                      <c:pt idx="8290">
                        <c:v>20.138000000000002</c:v>
                      </c:pt>
                      <c:pt idx="8291">
                        <c:v>20.234000000000002</c:v>
                      </c:pt>
                      <c:pt idx="8292">
                        <c:v>20.423999999999999</c:v>
                      </c:pt>
                      <c:pt idx="8293">
                        <c:v>20.234000000000002</c:v>
                      </c:pt>
                      <c:pt idx="8294">
                        <c:v>20.138000000000002</c:v>
                      </c:pt>
                      <c:pt idx="8295">
                        <c:v>20.138000000000002</c:v>
                      </c:pt>
                      <c:pt idx="8296">
                        <c:v>20.138000000000002</c:v>
                      </c:pt>
                      <c:pt idx="8297">
                        <c:v>20.138000000000002</c:v>
                      </c:pt>
                      <c:pt idx="8298">
                        <c:v>20.042999999999999</c:v>
                      </c:pt>
                      <c:pt idx="8299">
                        <c:v>20.042999999999999</c:v>
                      </c:pt>
                      <c:pt idx="8300">
                        <c:v>20.042999999999999</c:v>
                      </c:pt>
                      <c:pt idx="8301">
                        <c:v>20.042999999999999</c:v>
                      </c:pt>
                      <c:pt idx="8302">
                        <c:v>19.948</c:v>
                      </c:pt>
                      <c:pt idx="8303">
                        <c:v>19.948</c:v>
                      </c:pt>
                      <c:pt idx="8304">
                        <c:v>19.948</c:v>
                      </c:pt>
                      <c:pt idx="8305">
                        <c:v>19.948</c:v>
                      </c:pt>
                      <c:pt idx="8306">
                        <c:v>19.853000000000002</c:v>
                      </c:pt>
                      <c:pt idx="8307">
                        <c:v>19.853000000000002</c:v>
                      </c:pt>
                      <c:pt idx="8308">
                        <c:v>19.853000000000002</c:v>
                      </c:pt>
                      <c:pt idx="8309">
                        <c:v>19.853000000000002</c:v>
                      </c:pt>
                      <c:pt idx="8310">
                        <c:v>19.757999999999999</c:v>
                      </c:pt>
                      <c:pt idx="8311">
                        <c:v>19.757999999999999</c:v>
                      </c:pt>
                      <c:pt idx="8312">
                        <c:v>19.757999999999999</c:v>
                      </c:pt>
                      <c:pt idx="8313">
                        <c:v>19.661999999999999</c:v>
                      </c:pt>
                      <c:pt idx="8314">
                        <c:v>19.661999999999999</c:v>
                      </c:pt>
                      <c:pt idx="8315">
                        <c:v>19.567</c:v>
                      </c:pt>
                      <c:pt idx="8316">
                        <c:v>19.567</c:v>
                      </c:pt>
                      <c:pt idx="8317">
                        <c:v>19.472000000000001</c:v>
                      </c:pt>
                      <c:pt idx="8318">
                        <c:v>19.472000000000001</c:v>
                      </c:pt>
                      <c:pt idx="8319">
                        <c:v>19.472000000000001</c:v>
                      </c:pt>
                      <c:pt idx="8320">
                        <c:v>19.376999999999999</c:v>
                      </c:pt>
                      <c:pt idx="8321">
                        <c:v>19.282</c:v>
                      </c:pt>
                      <c:pt idx="8322">
                        <c:v>19.282</c:v>
                      </c:pt>
                      <c:pt idx="8323">
                        <c:v>19.282</c:v>
                      </c:pt>
                      <c:pt idx="8324">
                        <c:v>19.187000000000001</c:v>
                      </c:pt>
                      <c:pt idx="8325">
                        <c:v>19.187000000000001</c:v>
                      </c:pt>
                      <c:pt idx="8326">
                        <c:v>19.091999999999999</c:v>
                      </c:pt>
                      <c:pt idx="8327">
                        <c:v>19.091999999999999</c:v>
                      </c:pt>
                      <c:pt idx="8328">
                        <c:v>19.091999999999999</c:v>
                      </c:pt>
                      <c:pt idx="8329">
                        <c:v>18.995999999999999</c:v>
                      </c:pt>
                      <c:pt idx="8330">
                        <c:v>18.995999999999999</c:v>
                      </c:pt>
                      <c:pt idx="8331">
                        <c:v>18.995999999999999</c:v>
                      </c:pt>
                      <c:pt idx="8332">
                        <c:v>18.995999999999999</c:v>
                      </c:pt>
                      <c:pt idx="8333">
                        <c:v>18.995999999999999</c:v>
                      </c:pt>
                      <c:pt idx="8334">
                        <c:v>18.901</c:v>
                      </c:pt>
                      <c:pt idx="8335">
                        <c:v>18.901</c:v>
                      </c:pt>
                      <c:pt idx="8336">
                        <c:v>18.806000000000001</c:v>
                      </c:pt>
                      <c:pt idx="8337">
                        <c:v>18.806000000000001</c:v>
                      </c:pt>
                      <c:pt idx="8338">
                        <c:v>18.806000000000001</c:v>
                      </c:pt>
                      <c:pt idx="8339">
                        <c:v>18.806000000000001</c:v>
                      </c:pt>
                      <c:pt idx="8340">
                        <c:v>18.710999999999999</c:v>
                      </c:pt>
                      <c:pt idx="8341">
                        <c:v>18.710999999999999</c:v>
                      </c:pt>
                      <c:pt idx="8342">
                        <c:v>18.806000000000001</c:v>
                      </c:pt>
                      <c:pt idx="8343">
                        <c:v>18.710999999999999</c:v>
                      </c:pt>
                      <c:pt idx="8344">
                        <c:v>18.710999999999999</c:v>
                      </c:pt>
                      <c:pt idx="8345">
                        <c:v>18.710999999999999</c:v>
                      </c:pt>
                      <c:pt idx="8346">
                        <c:v>18.806000000000001</c:v>
                      </c:pt>
                      <c:pt idx="8347">
                        <c:v>18.806000000000001</c:v>
                      </c:pt>
                      <c:pt idx="8348">
                        <c:v>18.710999999999999</c:v>
                      </c:pt>
                      <c:pt idx="8349">
                        <c:v>18.710999999999999</c:v>
                      </c:pt>
                      <c:pt idx="8350">
                        <c:v>18.710999999999999</c:v>
                      </c:pt>
                      <c:pt idx="8351">
                        <c:v>18.710999999999999</c:v>
                      </c:pt>
                      <c:pt idx="8352">
                        <c:v>18.710999999999999</c:v>
                      </c:pt>
                      <c:pt idx="8353">
                        <c:v>18.616</c:v>
                      </c:pt>
                      <c:pt idx="8354">
                        <c:v>18.616</c:v>
                      </c:pt>
                      <c:pt idx="8355">
                        <c:v>18.521000000000001</c:v>
                      </c:pt>
                      <c:pt idx="8356">
                        <c:v>18.616</c:v>
                      </c:pt>
                      <c:pt idx="8357">
                        <c:v>18.521000000000001</c:v>
                      </c:pt>
                      <c:pt idx="8358">
                        <c:v>18.521000000000001</c:v>
                      </c:pt>
                      <c:pt idx="8359">
                        <c:v>18.521000000000001</c:v>
                      </c:pt>
                      <c:pt idx="8360">
                        <c:v>18.521000000000001</c:v>
                      </c:pt>
                      <c:pt idx="8361">
                        <c:v>18.425999999999998</c:v>
                      </c:pt>
                      <c:pt idx="8362">
                        <c:v>18.425999999999998</c:v>
                      </c:pt>
                      <c:pt idx="8363">
                        <c:v>18.425999999999998</c:v>
                      </c:pt>
                      <c:pt idx="8364">
                        <c:v>18.425999999999998</c:v>
                      </c:pt>
                      <c:pt idx="8365">
                        <c:v>18.425999999999998</c:v>
                      </c:pt>
                      <c:pt idx="8366">
                        <c:v>18.331</c:v>
                      </c:pt>
                      <c:pt idx="8367">
                        <c:v>18.425999999999998</c:v>
                      </c:pt>
                      <c:pt idx="8368">
                        <c:v>18.331</c:v>
                      </c:pt>
                      <c:pt idx="8369">
                        <c:v>18.331</c:v>
                      </c:pt>
                      <c:pt idx="8370">
                        <c:v>18.331</c:v>
                      </c:pt>
                      <c:pt idx="8371">
                        <c:v>18.331</c:v>
                      </c:pt>
                      <c:pt idx="8372">
                        <c:v>18.331</c:v>
                      </c:pt>
                      <c:pt idx="8373">
                        <c:v>18.425999999999998</c:v>
                      </c:pt>
                      <c:pt idx="8374">
                        <c:v>18.331</c:v>
                      </c:pt>
                      <c:pt idx="8375">
                        <c:v>18.331</c:v>
                      </c:pt>
                      <c:pt idx="8376">
                        <c:v>18.331</c:v>
                      </c:pt>
                      <c:pt idx="8377">
                        <c:v>18.331</c:v>
                      </c:pt>
                      <c:pt idx="8378">
                        <c:v>18.331</c:v>
                      </c:pt>
                      <c:pt idx="8379">
                        <c:v>18.331</c:v>
                      </c:pt>
                      <c:pt idx="8380">
                        <c:v>18.425999999999998</c:v>
                      </c:pt>
                      <c:pt idx="8381">
                        <c:v>18.331</c:v>
                      </c:pt>
                      <c:pt idx="8382">
                        <c:v>18.331</c:v>
                      </c:pt>
                      <c:pt idx="8383">
                        <c:v>18.331</c:v>
                      </c:pt>
                      <c:pt idx="8384">
                        <c:v>18.331</c:v>
                      </c:pt>
                      <c:pt idx="8385">
                        <c:v>18.425999999999998</c:v>
                      </c:pt>
                      <c:pt idx="8386">
                        <c:v>18.331</c:v>
                      </c:pt>
                      <c:pt idx="8387">
                        <c:v>18.331</c:v>
                      </c:pt>
                      <c:pt idx="8388">
                        <c:v>18.236000000000001</c:v>
                      </c:pt>
                      <c:pt idx="8389">
                        <c:v>18.236000000000001</c:v>
                      </c:pt>
                      <c:pt idx="8390">
                        <c:v>18.331</c:v>
                      </c:pt>
                      <c:pt idx="8391">
                        <c:v>18.236000000000001</c:v>
                      </c:pt>
                      <c:pt idx="8392">
                        <c:v>18.236000000000001</c:v>
                      </c:pt>
                      <c:pt idx="8393">
                        <c:v>18.236000000000001</c:v>
                      </c:pt>
                      <c:pt idx="8394">
                        <c:v>18.236000000000001</c:v>
                      </c:pt>
                      <c:pt idx="8395">
                        <c:v>18.236000000000001</c:v>
                      </c:pt>
                      <c:pt idx="8396">
                        <c:v>18.236000000000001</c:v>
                      </c:pt>
                      <c:pt idx="8397">
                        <c:v>18.236000000000001</c:v>
                      </c:pt>
                      <c:pt idx="8398">
                        <c:v>18.236000000000001</c:v>
                      </c:pt>
                      <c:pt idx="8399">
                        <c:v>18.236000000000001</c:v>
                      </c:pt>
                      <c:pt idx="8400">
                        <c:v>18.236000000000001</c:v>
                      </c:pt>
                      <c:pt idx="8401">
                        <c:v>18.331</c:v>
                      </c:pt>
                      <c:pt idx="8402">
                        <c:v>18.331</c:v>
                      </c:pt>
                      <c:pt idx="8403">
                        <c:v>18.331</c:v>
                      </c:pt>
                      <c:pt idx="8404">
                        <c:v>18.331</c:v>
                      </c:pt>
                      <c:pt idx="8405">
                        <c:v>18.425999999999998</c:v>
                      </c:pt>
                      <c:pt idx="8406">
                        <c:v>18.616</c:v>
                      </c:pt>
                      <c:pt idx="8407">
                        <c:v>18.616</c:v>
                      </c:pt>
                      <c:pt idx="8408">
                        <c:v>18.710999999999999</c:v>
                      </c:pt>
                      <c:pt idx="8409">
                        <c:v>18.901</c:v>
                      </c:pt>
                      <c:pt idx="8410">
                        <c:v>19.091999999999999</c:v>
                      </c:pt>
                      <c:pt idx="8411">
                        <c:v>19.091999999999999</c:v>
                      </c:pt>
                      <c:pt idx="8412">
                        <c:v>19.091999999999999</c:v>
                      </c:pt>
                      <c:pt idx="8413">
                        <c:v>19.187000000000001</c:v>
                      </c:pt>
                      <c:pt idx="8414">
                        <c:v>19.187000000000001</c:v>
                      </c:pt>
                      <c:pt idx="8415">
                        <c:v>19.187000000000001</c:v>
                      </c:pt>
                      <c:pt idx="8416">
                        <c:v>19.282</c:v>
                      </c:pt>
                      <c:pt idx="8417">
                        <c:v>19.376999999999999</c:v>
                      </c:pt>
                      <c:pt idx="8418">
                        <c:v>19.376999999999999</c:v>
                      </c:pt>
                      <c:pt idx="8419">
                        <c:v>19.472000000000001</c:v>
                      </c:pt>
                      <c:pt idx="8420">
                        <c:v>19.472000000000001</c:v>
                      </c:pt>
                      <c:pt idx="8421">
                        <c:v>19.567</c:v>
                      </c:pt>
                      <c:pt idx="8422">
                        <c:v>19.661999999999999</c:v>
                      </c:pt>
                      <c:pt idx="8423">
                        <c:v>19.757999999999999</c:v>
                      </c:pt>
                      <c:pt idx="8424">
                        <c:v>19.853000000000002</c:v>
                      </c:pt>
                      <c:pt idx="8425">
                        <c:v>19.757999999999999</c:v>
                      </c:pt>
                      <c:pt idx="8426">
                        <c:v>19.948</c:v>
                      </c:pt>
                      <c:pt idx="8427">
                        <c:v>19.948</c:v>
                      </c:pt>
                      <c:pt idx="8428">
                        <c:v>19.948</c:v>
                      </c:pt>
                      <c:pt idx="8429">
                        <c:v>20.329000000000001</c:v>
                      </c:pt>
                      <c:pt idx="8430">
                        <c:v>20.234000000000002</c:v>
                      </c:pt>
                      <c:pt idx="8431">
                        <c:v>20.234000000000002</c:v>
                      </c:pt>
                      <c:pt idx="8432">
                        <c:v>20.234000000000002</c:v>
                      </c:pt>
                      <c:pt idx="8433">
                        <c:v>20.234000000000002</c:v>
                      </c:pt>
                      <c:pt idx="8434">
                        <c:v>20.329000000000001</c:v>
                      </c:pt>
                      <c:pt idx="8435">
                        <c:v>20.423999999999999</c:v>
                      </c:pt>
                      <c:pt idx="8436">
                        <c:v>20.518999999999998</c:v>
                      </c:pt>
                      <c:pt idx="8437">
                        <c:v>20.518999999999998</c:v>
                      </c:pt>
                      <c:pt idx="8438">
                        <c:v>20.329000000000001</c:v>
                      </c:pt>
                      <c:pt idx="8439">
                        <c:v>20.329000000000001</c:v>
                      </c:pt>
                      <c:pt idx="8440">
                        <c:v>20.329000000000001</c:v>
                      </c:pt>
                      <c:pt idx="8441">
                        <c:v>20.329000000000001</c:v>
                      </c:pt>
                      <c:pt idx="8442">
                        <c:v>20.329000000000001</c:v>
                      </c:pt>
                      <c:pt idx="8443">
                        <c:v>20.234000000000002</c:v>
                      </c:pt>
                      <c:pt idx="8444">
                        <c:v>20.234000000000002</c:v>
                      </c:pt>
                      <c:pt idx="8445">
                        <c:v>20.234000000000002</c:v>
                      </c:pt>
                      <c:pt idx="8446">
                        <c:v>20.234000000000002</c:v>
                      </c:pt>
                      <c:pt idx="8447">
                        <c:v>20.234000000000002</c:v>
                      </c:pt>
                      <c:pt idx="8448">
                        <c:v>20.138000000000002</c:v>
                      </c:pt>
                      <c:pt idx="8449">
                        <c:v>20.138000000000002</c:v>
                      </c:pt>
                      <c:pt idx="8450">
                        <c:v>20.042999999999999</c:v>
                      </c:pt>
                      <c:pt idx="8451">
                        <c:v>20.042999999999999</c:v>
                      </c:pt>
                      <c:pt idx="8452">
                        <c:v>20.042999999999999</c:v>
                      </c:pt>
                      <c:pt idx="8453">
                        <c:v>20.042999999999999</c:v>
                      </c:pt>
                      <c:pt idx="8454">
                        <c:v>20.042999999999999</c:v>
                      </c:pt>
                      <c:pt idx="8455">
                        <c:v>19.948</c:v>
                      </c:pt>
                      <c:pt idx="8456">
                        <c:v>19.948</c:v>
                      </c:pt>
                      <c:pt idx="8457">
                        <c:v>19.948</c:v>
                      </c:pt>
                      <c:pt idx="8458">
                        <c:v>19.853000000000002</c:v>
                      </c:pt>
                      <c:pt idx="8459">
                        <c:v>19.853000000000002</c:v>
                      </c:pt>
                      <c:pt idx="8460">
                        <c:v>19.853000000000002</c:v>
                      </c:pt>
                      <c:pt idx="8461">
                        <c:v>19.757999999999999</c:v>
                      </c:pt>
                      <c:pt idx="8462">
                        <c:v>19.757999999999999</c:v>
                      </c:pt>
                      <c:pt idx="8463">
                        <c:v>19.757999999999999</c:v>
                      </c:pt>
                      <c:pt idx="8464">
                        <c:v>19.757999999999999</c:v>
                      </c:pt>
                      <c:pt idx="8465">
                        <c:v>19.661999999999999</c:v>
                      </c:pt>
                      <c:pt idx="8466">
                        <c:v>19.661999999999999</c:v>
                      </c:pt>
                      <c:pt idx="8467">
                        <c:v>19.567</c:v>
                      </c:pt>
                      <c:pt idx="8468">
                        <c:v>19.567</c:v>
                      </c:pt>
                      <c:pt idx="8469">
                        <c:v>19.472000000000001</c:v>
                      </c:pt>
                      <c:pt idx="8470">
                        <c:v>19.472000000000001</c:v>
                      </c:pt>
                      <c:pt idx="8471">
                        <c:v>19.472000000000001</c:v>
                      </c:pt>
                      <c:pt idx="8472">
                        <c:v>19.472000000000001</c:v>
                      </c:pt>
                      <c:pt idx="8473">
                        <c:v>19.472000000000001</c:v>
                      </c:pt>
                      <c:pt idx="8474">
                        <c:v>19.472000000000001</c:v>
                      </c:pt>
                      <c:pt idx="8475">
                        <c:v>19.376999999999999</c:v>
                      </c:pt>
                      <c:pt idx="8476">
                        <c:v>19.376999999999999</c:v>
                      </c:pt>
                      <c:pt idx="8477">
                        <c:v>19.376999999999999</c:v>
                      </c:pt>
                      <c:pt idx="8478">
                        <c:v>19.376999999999999</c:v>
                      </c:pt>
                      <c:pt idx="8479">
                        <c:v>19.282</c:v>
                      </c:pt>
                      <c:pt idx="8480">
                        <c:v>19.282</c:v>
                      </c:pt>
                      <c:pt idx="8481">
                        <c:v>19.282</c:v>
                      </c:pt>
                      <c:pt idx="8482">
                        <c:v>19.282</c:v>
                      </c:pt>
                      <c:pt idx="8483">
                        <c:v>19.282</c:v>
                      </c:pt>
                      <c:pt idx="8484">
                        <c:v>19.187000000000001</c:v>
                      </c:pt>
                      <c:pt idx="8485">
                        <c:v>19.187000000000001</c:v>
                      </c:pt>
                      <c:pt idx="8486">
                        <c:v>19.187000000000001</c:v>
                      </c:pt>
                      <c:pt idx="8487">
                        <c:v>19.187000000000001</c:v>
                      </c:pt>
                      <c:pt idx="8488">
                        <c:v>19.187000000000001</c:v>
                      </c:pt>
                      <c:pt idx="8489">
                        <c:v>19.091999999999999</c:v>
                      </c:pt>
                      <c:pt idx="8490">
                        <c:v>19.091999999999999</c:v>
                      </c:pt>
                      <c:pt idx="8491">
                        <c:v>19.091999999999999</c:v>
                      </c:pt>
                      <c:pt idx="8492">
                        <c:v>19.091999999999999</c:v>
                      </c:pt>
                      <c:pt idx="8493">
                        <c:v>19.091999999999999</c:v>
                      </c:pt>
                      <c:pt idx="8494">
                        <c:v>19.091999999999999</c:v>
                      </c:pt>
                      <c:pt idx="8495">
                        <c:v>18.995999999999999</c:v>
                      </c:pt>
                      <c:pt idx="8496">
                        <c:v>18.995999999999999</c:v>
                      </c:pt>
                      <c:pt idx="8497">
                        <c:v>18.995999999999999</c:v>
                      </c:pt>
                      <c:pt idx="8498">
                        <c:v>18.995999999999999</c:v>
                      </c:pt>
                      <c:pt idx="8499">
                        <c:v>18.995999999999999</c:v>
                      </c:pt>
                      <c:pt idx="8500">
                        <c:v>18.901</c:v>
                      </c:pt>
                      <c:pt idx="8501">
                        <c:v>18.901</c:v>
                      </c:pt>
                      <c:pt idx="8502">
                        <c:v>18.901</c:v>
                      </c:pt>
                      <c:pt idx="8503">
                        <c:v>18.806000000000001</c:v>
                      </c:pt>
                      <c:pt idx="8504">
                        <c:v>18.806000000000001</c:v>
                      </c:pt>
                      <c:pt idx="8505">
                        <c:v>18.710999999999999</c:v>
                      </c:pt>
                      <c:pt idx="8506">
                        <c:v>18.710999999999999</c:v>
                      </c:pt>
                      <c:pt idx="8507">
                        <c:v>18.710999999999999</c:v>
                      </c:pt>
                      <c:pt idx="8508">
                        <c:v>18.710999999999999</c:v>
                      </c:pt>
                      <c:pt idx="8509">
                        <c:v>18.710999999999999</c:v>
                      </c:pt>
                      <c:pt idx="8510">
                        <c:v>18.710999999999999</c:v>
                      </c:pt>
                      <c:pt idx="8511">
                        <c:v>18.616</c:v>
                      </c:pt>
                      <c:pt idx="8512">
                        <c:v>18.616</c:v>
                      </c:pt>
                      <c:pt idx="8513">
                        <c:v>18.616</c:v>
                      </c:pt>
                      <c:pt idx="8514">
                        <c:v>18.616</c:v>
                      </c:pt>
                      <c:pt idx="8515">
                        <c:v>18.616</c:v>
                      </c:pt>
                      <c:pt idx="8516">
                        <c:v>18.521000000000001</c:v>
                      </c:pt>
                      <c:pt idx="8517">
                        <c:v>18.521000000000001</c:v>
                      </c:pt>
                      <c:pt idx="8518">
                        <c:v>18.616</c:v>
                      </c:pt>
                      <c:pt idx="8519">
                        <c:v>18.521000000000001</c:v>
                      </c:pt>
                      <c:pt idx="8520">
                        <c:v>18.521000000000001</c:v>
                      </c:pt>
                      <c:pt idx="8521">
                        <c:v>18.521000000000001</c:v>
                      </c:pt>
                      <c:pt idx="8522">
                        <c:v>18.521000000000001</c:v>
                      </c:pt>
                      <c:pt idx="8523">
                        <c:v>18.521000000000001</c:v>
                      </c:pt>
                      <c:pt idx="8524">
                        <c:v>18.521000000000001</c:v>
                      </c:pt>
                      <c:pt idx="8525">
                        <c:v>18.425999999999998</c:v>
                      </c:pt>
                      <c:pt idx="8526">
                        <c:v>18.425999999999998</c:v>
                      </c:pt>
                      <c:pt idx="8527">
                        <c:v>18.425999999999998</c:v>
                      </c:pt>
                      <c:pt idx="8528">
                        <c:v>18.425999999999998</c:v>
                      </c:pt>
                      <c:pt idx="8529">
                        <c:v>18.425999999999998</c:v>
                      </c:pt>
                      <c:pt idx="8530">
                        <c:v>18.425999999999998</c:v>
                      </c:pt>
                      <c:pt idx="8531">
                        <c:v>18.425999999999998</c:v>
                      </c:pt>
                      <c:pt idx="8532">
                        <c:v>18.425999999999998</c:v>
                      </c:pt>
                      <c:pt idx="8533">
                        <c:v>18.425999999999998</c:v>
                      </c:pt>
                      <c:pt idx="8534">
                        <c:v>18.331</c:v>
                      </c:pt>
                      <c:pt idx="8535">
                        <c:v>18.331</c:v>
                      </c:pt>
                      <c:pt idx="8536">
                        <c:v>18.331</c:v>
                      </c:pt>
                      <c:pt idx="8537">
                        <c:v>18.331</c:v>
                      </c:pt>
                      <c:pt idx="8538">
                        <c:v>18.331</c:v>
                      </c:pt>
                      <c:pt idx="8539">
                        <c:v>18.331</c:v>
                      </c:pt>
                      <c:pt idx="8540">
                        <c:v>18.331</c:v>
                      </c:pt>
                      <c:pt idx="8541">
                        <c:v>18.331</c:v>
                      </c:pt>
                      <c:pt idx="8542">
                        <c:v>18.331</c:v>
                      </c:pt>
                      <c:pt idx="8543">
                        <c:v>18.331</c:v>
                      </c:pt>
                      <c:pt idx="8544">
                        <c:v>18.425999999999998</c:v>
                      </c:pt>
                      <c:pt idx="8545">
                        <c:v>18.425999999999998</c:v>
                      </c:pt>
                      <c:pt idx="8546">
                        <c:v>18.425999999999998</c:v>
                      </c:pt>
                      <c:pt idx="8547">
                        <c:v>18.331</c:v>
                      </c:pt>
                      <c:pt idx="8548">
                        <c:v>18.425999999999998</c:v>
                      </c:pt>
                      <c:pt idx="8549">
                        <c:v>18.521000000000001</c:v>
                      </c:pt>
                      <c:pt idx="8550">
                        <c:v>18.521000000000001</c:v>
                      </c:pt>
                      <c:pt idx="8551">
                        <c:v>18.521000000000001</c:v>
                      </c:pt>
                      <c:pt idx="8552">
                        <c:v>18.710999999999999</c:v>
                      </c:pt>
                      <c:pt idx="8553">
                        <c:v>18.995999999999999</c:v>
                      </c:pt>
                      <c:pt idx="8554">
                        <c:v>19.187000000000001</c:v>
                      </c:pt>
                      <c:pt idx="8555">
                        <c:v>19.091999999999999</c:v>
                      </c:pt>
                      <c:pt idx="8556">
                        <c:v>19.187000000000001</c:v>
                      </c:pt>
                      <c:pt idx="8557">
                        <c:v>19.187000000000001</c:v>
                      </c:pt>
                      <c:pt idx="8558">
                        <c:v>19.282</c:v>
                      </c:pt>
                      <c:pt idx="8559">
                        <c:v>19.282</c:v>
                      </c:pt>
                      <c:pt idx="8560">
                        <c:v>19.282</c:v>
                      </c:pt>
                      <c:pt idx="8561">
                        <c:v>19.376999999999999</c:v>
                      </c:pt>
                      <c:pt idx="8562">
                        <c:v>19.376999999999999</c:v>
                      </c:pt>
                      <c:pt idx="8563">
                        <c:v>19.472000000000001</c:v>
                      </c:pt>
                      <c:pt idx="8564">
                        <c:v>19.567</c:v>
                      </c:pt>
                      <c:pt idx="8565">
                        <c:v>19.567</c:v>
                      </c:pt>
                      <c:pt idx="8566">
                        <c:v>19.661999999999999</c:v>
                      </c:pt>
                      <c:pt idx="8567">
                        <c:v>19.661999999999999</c:v>
                      </c:pt>
                      <c:pt idx="8568">
                        <c:v>19.757999999999999</c:v>
                      </c:pt>
                      <c:pt idx="8569">
                        <c:v>19.757999999999999</c:v>
                      </c:pt>
                      <c:pt idx="8570">
                        <c:v>19.757999999999999</c:v>
                      </c:pt>
                      <c:pt idx="8571">
                        <c:v>19.757999999999999</c:v>
                      </c:pt>
                      <c:pt idx="8572">
                        <c:v>19.853000000000002</c:v>
                      </c:pt>
                      <c:pt idx="8573">
                        <c:v>19.853000000000002</c:v>
                      </c:pt>
                      <c:pt idx="8574">
                        <c:v>19.853000000000002</c:v>
                      </c:pt>
                      <c:pt idx="8575">
                        <c:v>19.853000000000002</c:v>
                      </c:pt>
                      <c:pt idx="8576">
                        <c:v>19.853000000000002</c:v>
                      </c:pt>
                      <c:pt idx="8577">
                        <c:v>19.948</c:v>
                      </c:pt>
                      <c:pt idx="8578">
                        <c:v>19.948</c:v>
                      </c:pt>
                      <c:pt idx="8579">
                        <c:v>20.042999999999999</c:v>
                      </c:pt>
                      <c:pt idx="8580">
                        <c:v>20.042999999999999</c:v>
                      </c:pt>
                      <c:pt idx="8581">
                        <c:v>20.138000000000002</c:v>
                      </c:pt>
                      <c:pt idx="8582">
                        <c:v>20.138000000000002</c:v>
                      </c:pt>
                      <c:pt idx="8583">
                        <c:v>20.138000000000002</c:v>
                      </c:pt>
                      <c:pt idx="8584">
                        <c:v>20.138000000000002</c:v>
                      </c:pt>
                      <c:pt idx="8585">
                        <c:v>20.138000000000002</c:v>
                      </c:pt>
                      <c:pt idx="8586">
                        <c:v>20.138000000000002</c:v>
                      </c:pt>
                      <c:pt idx="8587">
                        <c:v>20.138000000000002</c:v>
                      </c:pt>
                      <c:pt idx="8588">
                        <c:v>20.138000000000002</c:v>
                      </c:pt>
                      <c:pt idx="8589">
                        <c:v>20.042999999999999</c:v>
                      </c:pt>
                      <c:pt idx="8590">
                        <c:v>20.138000000000002</c:v>
                      </c:pt>
                      <c:pt idx="8591">
                        <c:v>20.042999999999999</c:v>
                      </c:pt>
                      <c:pt idx="8592">
                        <c:v>20.042999999999999</c:v>
                      </c:pt>
                      <c:pt idx="8593">
                        <c:v>20.042999999999999</c:v>
                      </c:pt>
                      <c:pt idx="8594">
                        <c:v>20.042999999999999</c:v>
                      </c:pt>
                      <c:pt idx="8595">
                        <c:v>20.042999999999999</c:v>
                      </c:pt>
                      <c:pt idx="8596">
                        <c:v>20.042999999999999</c:v>
                      </c:pt>
                      <c:pt idx="8597">
                        <c:v>19.948</c:v>
                      </c:pt>
                      <c:pt idx="8598">
                        <c:v>19.948</c:v>
                      </c:pt>
                      <c:pt idx="8599">
                        <c:v>19.948</c:v>
                      </c:pt>
                      <c:pt idx="8600">
                        <c:v>19.853000000000002</c:v>
                      </c:pt>
                      <c:pt idx="8601">
                        <c:v>19.853000000000002</c:v>
                      </c:pt>
                      <c:pt idx="8602">
                        <c:v>19.853000000000002</c:v>
                      </c:pt>
                      <c:pt idx="8603">
                        <c:v>19.757999999999999</c:v>
                      </c:pt>
                      <c:pt idx="8604">
                        <c:v>19.757999999999999</c:v>
                      </c:pt>
                      <c:pt idx="8605">
                        <c:v>19.661999999999999</c:v>
                      </c:pt>
                      <c:pt idx="8606">
                        <c:v>19.661999999999999</c:v>
                      </c:pt>
                      <c:pt idx="8607">
                        <c:v>19.567</c:v>
                      </c:pt>
                      <c:pt idx="8608">
                        <c:v>19.472000000000001</c:v>
                      </c:pt>
                      <c:pt idx="8609">
                        <c:v>19.472000000000001</c:v>
                      </c:pt>
                      <c:pt idx="8610">
                        <c:v>19.472000000000001</c:v>
                      </c:pt>
                      <c:pt idx="8611">
                        <c:v>19.376999999999999</c:v>
                      </c:pt>
                      <c:pt idx="8612">
                        <c:v>19.376999999999999</c:v>
                      </c:pt>
                      <c:pt idx="8613">
                        <c:v>19.376999999999999</c:v>
                      </c:pt>
                      <c:pt idx="8614">
                        <c:v>19.376999999999999</c:v>
                      </c:pt>
                      <c:pt idx="8615">
                        <c:v>19.376999999999999</c:v>
                      </c:pt>
                      <c:pt idx="8616">
                        <c:v>19.282</c:v>
                      </c:pt>
                      <c:pt idx="8617">
                        <c:v>19.282</c:v>
                      </c:pt>
                      <c:pt idx="8618">
                        <c:v>19.282</c:v>
                      </c:pt>
                      <c:pt idx="8619">
                        <c:v>19.282</c:v>
                      </c:pt>
                      <c:pt idx="8620">
                        <c:v>19.187000000000001</c:v>
                      </c:pt>
                      <c:pt idx="8621">
                        <c:v>19.187000000000001</c:v>
                      </c:pt>
                      <c:pt idx="8622">
                        <c:v>19.187000000000001</c:v>
                      </c:pt>
                      <c:pt idx="8623">
                        <c:v>19.187000000000001</c:v>
                      </c:pt>
                      <c:pt idx="8624">
                        <c:v>19.187000000000001</c:v>
                      </c:pt>
                      <c:pt idx="8625">
                        <c:v>19.187000000000001</c:v>
                      </c:pt>
                      <c:pt idx="8626">
                        <c:v>19.187000000000001</c:v>
                      </c:pt>
                      <c:pt idx="8627">
                        <c:v>19.091999999999999</c:v>
                      </c:pt>
                      <c:pt idx="8628">
                        <c:v>19.091999999999999</c:v>
                      </c:pt>
                      <c:pt idx="8629">
                        <c:v>19.091999999999999</c:v>
                      </c:pt>
                      <c:pt idx="8630">
                        <c:v>19.091999999999999</c:v>
                      </c:pt>
                      <c:pt idx="8631">
                        <c:v>19.091999999999999</c:v>
                      </c:pt>
                      <c:pt idx="8632">
                        <c:v>19.091999999999999</c:v>
                      </c:pt>
                      <c:pt idx="8633">
                        <c:v>19.091999999999999</c:v>
                      </c:pt>
                      <c:pt idx="8634">
                        <c:v>18.995999999999999</c:v>
                      </c:pt>
                      <c:pt idx="8635">
                        <c:v>18.995999999999999</c:v>
                      </c:pt>
                      <c:pt idx="8636">
                        <c:v>18.901</c:v>
                      </c:pt>
                      <c:pt idx="8637">
                        <c:v>18.901</c:v>
                      </c:pt>
                      <c:pt idx="8638">
                        <c:v>18.901</c:v>
                      </c:pt>
                      <c:pt idx="8639">
                        <c:v>18.901</c:v>
                      </c:pt>
                      <c:pt idx="8640">
                        <c:v>18.806000000000001</c:v>
                      </c:pt>
                      <c:pt idx="8641">
                        <c:v>18.806000000000001</c:v>
                      </c:pt>
                      <c:pt idx="8642">
                        <c:v>18.901</c:v>
                      </c:pt>
                      <c:pt idx="8643">
                        <c:v>18.806000000000001</c:v>
                      </c:pt>
                      <c:pt idx="8644">
                        <c:v>18.806000000000001</c:v>
                      </c:pt>
                      <c:pt idx="8645">
                        <c:v>18.806000000000001</c:v>
                      </c:pt>
                      <c:pt idx="8646">
                        <c:v>18.806000000000001</c:v>
                      </c:pt>
                      <c:pt idx="8647">
                        <c:v>18.710999999999999</c:v>
                      </c:pt>
                      <c:pt idx="8648">
                        <c:v>18.806000000000001</c:v>
                      </c:pt>
                      <c:pt idx="8649">
                        <c:v>18.710999999999999</c:v>
                      </c:pt>
                      <c:pt idx="8650">
                        <c:v>18.710999999999999</c:v>
                      </c:pt>
                      <c:pt idx="8651">
                        <c:v>18.710999999999999</c:v>
                      </c:pt>
                      <c:pt idx="8652">
                        <c:v>18.710999999999999</c:v>
                      </c:pt>
                      <c:pt idx="8653">
                        <c:v>18.710999999999999</c:v>
                      </c:pt>
                      <c:pt idx="8654">
                        <c:v>18.710999999999999</c:v>
                      </c:pt>
                      <c:pt idx="8655">
                        <c:v>18.710999999999999</c:v>
                      </c:pt>
                      <c:pt idx="8656">
                        <c:v>18.616</c:v>
                      </c:pt>
                      <c:pt idx="8657">
                        <c:v>18.616</c:v>
                      </c:pt>
                      <c:pt idx="8658">
                        <c:v>18.616</c:v>
                      </c:pt>
                      <c:pt idx="8659">
                        <c:v>18.616</c:v>
                      </c:pt>
                      <c:pt idx="8660">
                        <c:v>18.521000000000001</c:v>
                      </c:pt>
                      <c:pt idx="8661">
                        <c:v>18.521000000000001</c:v>
                      </c:pt>
                      <c:pt idx="8662">
                        <c:v>18.521000000000001</c:v>
                      </c:pt>
                      <c:pt idx="8663">
                        <c:v>18.521000000000001</c:v>
                      </c:pt>
                      <c:pt idx="8664">
                        <c:v>18.521000000000001</c:v>
                      </c:pt>
                      <c:pt idx="8665">
                        <c:v>18.521000000000001</c:v>
                      </c:pt>
                      <c:pt idx="8666">
                        <c:v>18.521000000000001</c:v>
                      </c:pt>
                      <c:pt idx="8667">
                        <c:v>18.521000000000001</c:v>
                      </c:pt>
                      <c:pt idx="8668">
                        <c:v>18.521000000000001</c:v>
                      </c:pt>
                      <c:pt idx="8669">
                        <c:v>18.521000000000001</c:v>
                      </c:pt>
                      <c:pt idx="8670">
                        <c:v>18.521000000000001</c:v>
                      </c:pt>
                      <c:pt idx="8671">
                        <c:v>18.425999999999998</c:v>
                      </c:pt>
                      <c:pt idx="8672">
                        <c:v>18.425999999999998</c:v>
                      </c:pt>
                      <c:pt idx="8673">
                        <c:v>18.425999999999998</c:v>
                      </c:pt>
                      <c:pt idx="8674">
                        <c:v>18.425999999999998</c:v>
                      </c:pt>
                      <c:pt idx="8675">
                        <c:v>18.331</c:v>
                      </c:pt>
                      <c:pt idx="8676">
                        <c:v>18.331</c:v>
                      </c:pt>
                      <c:pt idx="8677">
                        <c:v>18.331</c:v>
                      </c:pt>
                      <c:pt idx="8678">
                        <c:v>18.331</c:v>
                      </c:pt>
                      <c:pt idx="8679">
                        <c:v>18.425999999999998</c:v>
                      </c:pt>
                      <c:pt idx="8680">
                        <c:v>18.425999999999998</c:v>
                      </c:pt>
                      <c:pt idx="8681">
                        <c:v>18.331</c:v>
                      </c:pt>
                      <c:pt idx="8682">
                        <c:v>18.331</c:v>
                      </c:pt>
                      <c:pt idx="8683">
                        <c:v>18.331</c:v>
                      </c:pt>
                      <c:pt idx="8684">
                        <c:v>18.331</c:v>
                      </c:pt>
                      <c:pt idx="8685">
                        <c:v>18.331</c:v>
                      </c:pt>
                      <c:pt idx="8686">
                        <c:v>18.331</c:v>
                      </c:pt>
                      <c:pt idx="8687">
                        <c:v>18.331</c:v>
                      </c:pt>
                      <c:pt idx="8688">
                        <c:v>18.331</c:v>
                      </c:pt>
                      <c:pt idx="8689">
                        <c:v>18.331</c:v>
                      </c:pt>
                      <c:pt idx="8690">
                        <c:v>18.331</c:v>
                      </c:pt>
                      <c:pt idx="8691">
                        <c:v>18.425999999999998</c:v>
                      </c:pt>
                      <c:pt idx="8692">
                        <c:v>18.425999999999998</c:v>
                      </c:pt>
                      <c:pt idx="8693">
                        <c:v>18.425999999999998</c:v>
                      </c:pt>
                      <c:pt idx="8694">
                        <c:v>18.521000000000001</c:v>
                      </c:pt>
                      <c:pt idx="8695">
                        <c:v>18.521000000000001</c:v>
                      </c:pt>
                      <c:pt idx="8696">
                        <c:v>18.616</c:v>
                      </c:pt>
                      <c:pt idx="8697">
                        <c:v>18.616</c:v>
                      </c:pt>
                      <c:pt idx="8698">
                        <c:v>18.710999999999999</c:v>
                      </c:pt>
                      <c:pt idx="8699">
                        <c:v>18.806000000000001</c:v>
                      </c:pt>
                      <c:pt idx="8700">
                        <c:v>18.806000000000001</c:v>
                      </c:pt>
                      <c:pt idx="8701">
                        <c:v>18.806000000000001</c:v>
                      </c:pt>
                      <c:pt idx="8702">
                        <c:v>18.806000000000001</c:v>
                      </c:pt>
                      <c:pt idx="8703">
                        <c:v>18.901</c:v>
                      </c:pt>
                      <c:pt idx="8704">
                        <c:v>18.995999999999999</c:v>
                      </c:pt>
                      <c:pt idx="8705">
                        <c:v>19.091999999999999</c:v>
                      </c:pt>
                      <c:pt idx="8706">
                        <c:v>19.187000000000001</c:v>
                      </c:pt>
                      <c:pt idx="8707">
                        <c:v>19.187000000000001</c:v>
                      </c:pt>
                      <c:pt idx="8708">
                        <c:v>19.187000000000001</c:v>
                      </c:pt>
                      <c:pt idx="8709">
                        <c:v>19.282</c:v>
                      </c:pt>
                      <c:pt idx="8710">
                        <c:v>19.282</c:v>
                      </c:pt>
                      <c:pt idx="8711">
                        <c:v>19.376999999999999</c:v>
                      </c:pt>
                      <c:pt idx="8712">
                        <c:v>19.472000000000001</c:v>
                      </c:pt>
                      <c:pt idx="8713">
                        <c:v>19.472000000000001</c:v>
                      </c:pt>
                      <c:pt idx="8714">
                        <c:v>19.472000000000001</c:v>
                      </c:pt>
                      <c:pt idx="8715">
                        <c:v>19.567</c:v>
                      </c:pt>
                      <c:pt idx="8716">
                        <c:v>19.567</c:v>
                      </c:pt>
                      <c:pt idx="8717">
                        <c:v>19.661999999999999</c:v>
                      </c:pt>
                      <c:pt idx="8718">
                        <c:v>19.661999999999999</c:v>
                      </c:pt>
                      <c:pt idx="8719">
                        <c:v>19.661999999999999</c:v>
                      </c:pt>
                      <c:pt idx="8720">
                        <c:v>19.757999999999999</c:v>
                      </c:pt>
                      <c:pt idx="8721">
                        <c:v>19.757999999999999</c:v>
                      </c:pt>
                      <c:pt idx="8722">
                        <c:v>19.757999999999999</c:v>
                      </c:pt>
                      <c:pt idx="8723">
                        <c:v>19.757999999999999</c:v>
                      </c:pt>
                      <c:pt idx="8724">
                        <c:v>19.757999999999999</c:v>
                      </c:pt>
                      <c:pt idx="8725">
                        <c:v>19.757999999999999</c:v>
                      </c:pt>
                      <c:pt idx="8726">
                        <c:v>19.757999999999999</c:v>
                      </c:pt>
                      <c:pt idx="8727">
                        <c:v>19.757999999999999</c:v>
                      </c:pt>
                      <c:pt idx="8728">
                        <c:v>19.757999999999999</c:v>
                      </c:pt>
                      <c:pt idx="8729">
                        <c:v>19.853000000000002</c:v>
                      </c:pt>
                      <c:pt idx="8730">
                        <c:v>19.853000000000002</c:v>
                      </c:pt>
                      <c:pt idx="8731">
                        <c:v>19.853000000000002</c:v>
                      </c:pt>
                      <c:pt idx="8732">
                        <c:v>19.853000000000002</c:v>
                      </c:pt>
                      <c:pt idx="8733">
                        <c:v>19.853000000000002</c:v>
                      </c:pt>
                      <c:pt idx="8734">
                        <c:v>19.853000000000002</c:v>
                      </c:pt>
                      <c:pt idx="8735">
                        <c:v>19.853000000000002</c:v>
                      </c:pt>
                      <c:pt idx="8736">
                        <c:v>19.757999999999999</c:v>
                      </c:pt>
                      <c:pt idx="8737">
                        <c:v>19.757999999999999</c:v>
                      </c:pt>
                      <c:pt idx="8738">
                        <c:v>19.757999999999999</c:v>
                      </c:pt>
                      <c:pt idx="8739">
                        <c:v>19.757999999999999</c:v>
                      </c:pt>
                      <c:pt idx="8740">
                        <c:v>19.757999999999999</c:v>
                      </c:pt>
                      <c:pt idx="8741">
                        <c:v>19.757999999999999</c:v>
                      </c:pt>
                      <c:pt idx="8742">
                        <c:v>19.661999999999999</c:v>
                      </c:pt>
                      <c:pt idx="8743">
                        <c:v>19.661999999999999</c:v>
                      </c:pt>
                      <c:pt idx="8744">
                        <c:v>19.661999999999999</c:v>
                      </c:pt>
                      <c:pt idx="8745">
                        <c:v>19.661999999999999</c:v>
                      </c:pt>
                      <c:pt idx="8746">
                        <c:v>19.567</c:v>
                      </c:pt>
                      <c:pt idx="8747">
                        <c:v>19.567</c:v>
                      </c:pt>
                      <c:pt idx="8748">
                        <c:v>19.567</c:v>
                      </c:pt>
                      <c:pt idx="8749">
                        <c:v>19.567</c:v>
                      </c:pt>
                      <c:pt idx="8750">
                        <c:v>19.472000000000001</c:v>
                      </c:pt>
                      <c:pt idx="8751">
                        <c:v>19.472000000000001</c:v>
                      </c:pt>
                      <c:pt idx="8752">
                        <c:v>19.472000000000001</c:v>
                      </c:pt>
                      <c:pt idx="8753">
                        <c:v>19.472000000000001</c:v>
                      </c:pt>
                      <c:pt idx="8754">
                        <c:v>19.472000000000001</c:v>
                      </c:pt>
                      <c:pt idx="8755">
                        <c:v>19.376999999999999</c:v>
                      </c:pt>
                      <c:pt idx="8756">
                        <c:v>19.376999999999999</c:v>
                      </c:pt>
                      <c:pt idx="8757">
                        <c:v>19.376999999999999</c:v>
                      </c:pt>
                      <c:pt idx="8758">
                        <c:v>19.376999999999999</c:v>
                      </c:pt>
                      <c:pt idx="8759">
                        <c:v>19.376999999999999</c:v>
                      </c:pt>
                      <c:pt idx="8760">
                        <c:v>19.282</c:v>
                      </c:pt>
                      <c:pt idx="8761">
                        <c:v>19.282</c:v>
                      </c:pt>
                      <c:pt idx="8762">
                        <c:v>19.282</c:v>
                      </c:pt>
                      <c:pt idx="8763">
                        <c:v>19.376999999999999</c:v>
                      </c:pt>
                      <c:pt idx="8764">
                        <c:v>19.282</c:v>
                      </c:pt>
                      <c:pt idx="8765">
                        <c:v>19.282</c:v>
                      </c:pt>
                      <c:pt idx="8766">
                        <c:v>19.282</c:v>
                      </c:pt>
                      <c:pt idx="8767">
                        <c:v>19.282</c:v>
                      </c:pt>
                      <c:pt idx="8768">
                        <c:v>19.282</c:v>
                      </c:pt>
                      <c:pt idx="8769">
                        <c:v>19.282</c:v>
                      </c:pt>
                      <c:pt idx="8770">
                        <c:v>19.187000000000001</c:v>
                      </c:pt>
                      <c:pt idx="8771">
                        <c:v>19.187000000000001</c:v>
                      </c:pt>
                      <c:pt idx="8772">
                        <c:v>19.187000000000001</c:v>
                      </c:pt>
                      <c:pt idx="8773">
                        <c:v>19.187000000000001</c:v>
                      </c:pt>
                      <c:pt idx="8774">
                        <c:v>19.187000000000001</c:v>
                      </c:pt>
                      <c:pt idx="8775">
                        <c:v>19.187000000000001</c:v>
                      </c:pt>
                      <c:pt idx="8776">
                        <c:v>19.187000000000001</c:v>
                      </c:pt>
                      <c:pt idx="8777">
                        <c:v>19.187000000000001</c:v>
                      </c:pt>
                      <c:pt idx="8778">
                        <c:v>19.187000000000001</c:v>
                      </c:pt>
                      <c:pt idx="8779">
                        <c:v>19.091999999999999</c:v>
                      </c:pt>
                      <c:pt idx="8780">
                        <c:v>19.091999999999999</c:v>
                      </c:pt>
                      <c:pt idx="8781">
                        <c:v>19.091999999999999</c:v>
                      </c:pt>
                      <c:pt idx="8782">
                        <c:v>18.995999999999999</c:v>
                      </c:pt>
                      <c:pt idx="8783">
                        <c:v>18.995999999999999</c:v>
                      </c:pt>
                      <c:pt idx="8784">
                        <c:v>18.995999999999999</c:v>
                      </c:pt>
                      <c:pt idx="8785">
                        <c:v>19.091999999999999</c:v>
                      </c:pt>
                      <c:pt idx="8786">
                        <c:v>19.091999999999999</c:v>
                      </c:pt>
                      <c:pt idx="8787">
                        <c:v>19.091999999999999</c:v>
                      </c:pt>
                      <c:pt idx="8788">
                        <c:v>19.091999999999999</c:v>
                      </c:pt>
                      <c:pt idx="8789">
                        <c:v>18.995999999999999</c:v>
                      </c:pt>
                      <c:pt idx="8790">
                        <c:v>18.995999999999999</c:v>
                      </c:pt>
                      <c:pt idx="8791">
                        <c:v>18.995999999999999</c:v>
                      </c:pt>
                      <c:pt idx="8792">
                        <c:v>18.995999999999999</c:v>
                      </c:pt>
                      <c:pt idx="8793">
                        <c:v>18.995999999999999</c:v>
                      </c:pt>
                      <c:pt idx="8794">
                        <c:v>18.901</c:v>
                      </c:pt>
                      <c:pt idx="8795">
                        <c:v>18.901</c:v>
                      </c:pt>
                      <c:pt idx="8796">
                        <c:v>18.901</c:v>
                      </c:pt>
                      <c:pt idx="8797">
                        <c:v>18.901</c:v>
                      </c:pt>
                      <c:pt idx="8798">
                        <c:v>18.806000000000001</c:v>
                      </c:pt>
                      <c:pt idx="8799">
                        <c:v>18.806000000000001</c:v>
                      </c:pt>
                      <c:pt idx="8800">
                        <c:v>18.806000000000001</c:v>
                      </c:pt>
                      <c:pt idx="8801">
                        <c:v>18.710999999999999</c:v>
                      </c:pt>
                      <c:pt idx="8802">
                        <c:v>18.710999999999999</c:v>
                      </c:pt>
                      <c:pt idx="8803">
                        <c:v>18.710999999999999</c:v>
                      </c:pt>
                      <c:pt idx="8804">
                        <c:v>18.616</c:v>
                      </c:pt>
                      <c:pt idx="8805">
                        <c:v>18.521000000000001</c:v>
                      </c:pt>
                      <c:pt idx="8806">
                        <c:v>18.616</c:v>
                      </c:pt>
                      <c:pt idx="8807">
                        <c:v>18.521000000000001</c:v>
                      </c:pt>
                      <c:pt idx="8808">
                        <c:v>18.425999999999998</c:v>
                      </c:pt>
                      <c:pt idx="8809">
                        <c:v>18.425999999999998</c:v>
                      </c:pt>
                      <c:pt idx="8810">
                        <c:v>18.521000000000001</c:v>
                      </c:pt>
                      <c:pt idx="8811">
                        <c:v>18.425999999999998</c:v>
                      </c:pt>
                      <c:pt idx="8812">
                        <c:v>18.425999999999998</c:v>
                      </c:pt>
                      <c:pt idx="8813">
                        <c:v>18.425999999999998</c:v>
                      </c:pt>
                      <c:pt idx="8814">
                        <c:v>18.425999999999998</c:v>
                      </c:pt>
                      <c:pt idx="8815">
                        <c:v>18.425999999999998</c:v>
                      </c:pt>
                      <c:pt idx="8816">
                        <c:v>18.331</c:v>
                      </c:pt>
                      <c:pt idx="8817">
                        <c:v>18.331</c:v>
                      </c:pt>
                      <c:pt idx="8818">
                        <c:v>18.331</c:v>
                      </c:pt>
                      <c:pt idx="8819">
                        <c:v>18.236000000000001</c:v>
                      </c:pt>
                      <c:pt idx="8820">
                        <c:v>18.14</c:v>
                      </c:pt>
                      <c:pt idx="8821">
                        <c:v>18.14</c:v>
                      </c:pt>
                      <c:pt idx="8822">
                        <c:v>18.14</c:v>
                      </c:pt>
                      <c:pt idx="8823">
                        <c:v>18.236000000000001</c:v>
                      </c:pt>
                      <c:pt idx="8824">
                        <c:v>18.14</c:v>
                      </c:pt>
                      <c:pt idx="8825">
                        <c:v>18.14</c:v>
                      </c:pt>
                      <c:pt idx="8826">
                        <c:v>18.045000000000002</c:v>
                      </c:pt>
                      <c:pt idx="8827">
                        <c:v>18.045000000000002</c:v>
                      </c:pt>
                      <c:pt idx="8828">
                        <c:v>18.045000000000002</c:v>
                      </c:pt>
                      <c:pt idx="8829">
                        <c:v>18.045000000000002</c:v>
                      </c:pt>
                      <c:pt idx="8830">
                        <c:v>17.95</c:v>
                      </c:pt>
                      <c:pt idx="8831">
                        <c:v>17.95</c:v>
                      </c:pt>
                      <c:pt idx="8832">
                        <c:v>18.045000000000002</c:v>
                      </c:pt>
                      <c:pt idx="8833">
                        <c:v>18.045000000000002</c:v>
                      </c:pt>
                      <c:pt idx="8834">
                        <c:v>18.045000000000002</c:v>
                      </c:pt>
                      <c:pt idx="8835">
                        <c:v>18.045000000000002</c:v>
                      </c:pt>
                      <c:pt idx="8836">
                        <c:v>18.14</c:v>
                      </c:pt>
                      <c:pt idx="8837">
                        <c:v>18.331</c:v>
                      </c:pt>
                      <c:pt idx="8838">
                        <c:v>18.331</c:v>
                      </c:pt>
                      <c:pt idx="8839">
                        <c:v>18.331</c:v>
                      </c:pt>
                      <c:pt idx="8840">
                        <c:v>18.425999999999998</c:v>
                      </c:pt>
                      <c:pt idx="8841">
                        <c:v>18.616</c:v>
                      </c:pt>
                      <c:pt idx="8842">
                        <c:v>18.806000000000001</c:v>
                      </c:pt>
                      <c:pt idx="8843">
                        <c:v>18.710999999999999</c:v>
                      </c:pt>
                      <c:pt idx="8844">
                        <c:v>18.806000000000001</c:v>
                      </c:pt>
                      <c:pt idx="8845">
                        <c:v>18.806000000000001</c:v>
                      </c:pt>
                      <c:pt idx="8846">
                        <c:v>18.806000000000001</c:v>
                      </c:pt>
                      <c:pt idx="8847">
                        <c:v>18.995999999999999</c:v>
                      </c:pt>
                      <c:pt idx="8848">
                        <c:v>18.995999999999999</c:v>
                      </c:pt>
                      <c:pt idx="8849">
                        <c:v>19.091999999999999</c:v>
                      </c:pt>
                      <c:pt idx="8850">
                        <c:v>19.376999999999999</c:v>
                      </c:pt>
                      <c:pt idx="8851">
                        <c:v>19.282</c:v>
                      </c:pt>
                      <c:pt idx="8852">
                        <c:v>19.282</c:v>
                      </c:pt>
                      <c:pt idx="8853">
                        <c:v>19.376999999999999</c:v>
                      </c:pt>
                      <c:pt idx="8854">
                        <c:v>19.472000000000001</c:v>
                      </c:pt>
                      <c:pt idx="8855">
                        <c:v>19.757999999999999</c:v>
                      </c:pt>
                      <c:pt idx="8856">
                        <c:v>19.853000000000002</c:v>
                      </c:pt>
                      <c:pt idx="8857">
                        <c:v>19.853000000000002</c:v>
                      </c:pt>
                      <c:pt idx="8858">
                        <c:v>19.757999999999999</c:v>
                      </c:pt>
                      <c:pt idx="8859">
                        <c:v>19.853000000000002</c:v>
                      </c:pt>
                      <c:pt idx="8860">
                        <c:v>19.853000000000002</c:v>
                      </c:pt>
                      <c:pt idx="8861">
                        <c:v>20.234000000000002</c:v>
                      </c:pt>
                      <c:pt idx="8862">
                        <c:v>20.329000000000001</c:v>
                      </c:pt>
                      <c:pt idx="8863">
                        <c:v>20.042999999999999</c:v>
                      </c:pt>
                      <c:pt idx="8864">
                        <c:v>20.042999999999999</c:v>
                      </c:pt>
                      <c:pt idx="8865">
                        <c:v>20.042999999999999</c:v>
                      </c:pt>
                      <c:pt idx="8866">
                        <c:v>20.138000000000002</c:v>
                      </c:pt>
                      <c:pt idx="8867">
                        <c:v>20.329000000000001</c:v>
                      </c:pt>
                      <c:pt idx="8868">
                        <c:v>20.423999999999999</c:v>
                      </c:pt>
                      <c:pt idx="8869">
                        <c:v>20.329000000000001</c:v>
                      </c:pt>
                      <c:pt idx="8870">
                        <c:v>20.234000000000002</c:v>
                      </c:pt>
                      <c:pt idx="8871">
                        <c:v>20.042999999999999</c:v>
                      </c:pt>
                      <c:pt idx="8872">
                        <c:v>20.042999999999999</c:v>
                      </c:pt>
                      <c:pt idx="8873">
                        <c:v>19.948</c:v>
                      </c:pt>
                      <c:pt idx="8874">
                        <c:v>19.948</c:v>
                      </c:pt>
                      <c:pt idx="8875">
                        <c:v>20.042999999999999</c:v>
                      </c:pt>
                      <c:pt idx="8876">
                        <c:v>20.042999999999999</c:v>
                      </c:pt>
                      <c:pt idx="8877">
                        <c:v>20.042999999999999</c:v>
                      </c:pt>
                      <c:pt idx="8878">
                        <c:v>20.042999999999999</c:v>
                      </c:pt>
                      <c:pt idx="8879">
                        <c:v>19.948</c:v>
                      </c:pt>
                      <c:pt idx="8880">
                        <c:v>19.948</c:v>
                      </c:pt>
                      <c:pt idx="8881">
                        <c:v>19.853000000000002</c:v>
                      </c:pt>
                      <c:pt idx="8882">
                        <c:v>19.853000000000002</c:v>
                      </c:pt>
                      <c:pt idx="8883">
                        <c:v>19.853000000000002</c:v>
                      </c:pt>
                      <c:pt idx="8884">
                        <c:v>19.853000000000002</c:v>
                      </c:pt>
                      <c:pt idx="8885">
                        <c:v>19.757999999999999</c:v>
                      </c:pt>
                      <c:pt idx="8886">
                        <c:v>19.757999999999999</c:v>
                      </c:pt>
                      <c:pt idx="8887">
                        <c:v>19.661999999999999</c:v>
                      </c:pt>
                      <c:pt idx="8888">
                        <c:v>19.661999999999999</c:v>
                      </c:pt>
                      <c:pt idx="8889">
                        <c:v>19.567</c:v>
                      </c:pt>
                      <c:pt idx="8890">
                        <c:v>19.567</c:v>
                      </c:pt>
                      <c:pt idx="8891">
                        <c:v>19.472000000000001</c:v>
                      </c:pt>
                      <c:pt idx="8892">
                        <c:v>19.472000000000001</c:v>
                      </c:pt>
                      <c:pt idx="8893">
                        <c:v>19.376999999999999</c:v>
                      </c:pt>
                      <c:pt idx="8894">
                        <c:v>19.282</c:v>
                      </c:pt>
                      <c:pt idx="8895">
                        <c:v>19.282</c:v>
                      </c:pt>
                      <c:pt idx="8896">
                        <c:v>19.282</c:v>
                      </c:pt>
                      <c:pt idx="8897">
                        <c:v>19.187000000000001</c:v>
                      </c:pt>
                      <c:pt idx="8898">
                        <c:v>19.187000000000001</c:v>
                      </c:pt>
                      <c:pt idx="8899">
                        <c:v>18.995999999999999</c:v>
                      </c:pt>
                      <c:pt idx="8900">
                        <c:v>19.091999999999999</c:v>
                      </c:pt>
                      <c:pt idx="8901">
                        <c:v>18.901</c:v>
                      </c:pt>
                      <c:pt idx="8902">
                        <c:v>18.901</c:v>
                      </c:pt>
                      <c:pt idx="8903">
                        <c:v>18.995999999999999</c:v>
                      </c:pt>
                      <c:pt idx="8904">
                        <c:v>18.901</c:v>
                      </c:pt>
                      <c:pt idx="8905">
                        <c:v>18.806000000000001</c:v>
                      </c:pt>
                      <c:pt idx="8906">
                        <c:v>18.806000000000001</c:v>
                      </c:pt>
                      <c:pt idx="8907">
                        <c:v>18.710999999999999</c:v>
                      </c:pt>
                      <c:pt idx="8908">
                        <c:v>18.616</c:v>
                      </c:pt>
                      <c:pt idx="8909">
                        <c:v>18.616</c:v>
                      </c:pt>
                      <c:pt idx="8910">
                        <c:v>18.616</c:v>
                      </c:pt>
                      <c:pt idx="8911">
                        <c:v>18.616</c:v>
                      </c:pt>
                      <c:pt idx="8912">
                        <c:v>18.521000000000001</c:v>
                      </c:pt>
                      <c:pt idx="8913">
                        <c:v>18.521000000000001</c:v>
                      </c:pt>
                      <c:pt idx="8914">
                        <c:v>18.521000000000001</c:v>
                      </c:pt>
                      <c:pt idx="8915">
                        <c:v>18.425999999999998</c:v>
                      </c:pt>
                      <c:pt idx="8916">
                        <c:v>18.425999999999998</c:v>
                      </c:pt>
                      <c:pt idx="8917">
                        <c:v>18.425999999999998</c:v>
                      </c:pt>
                      <c:pt idx="8918">
                        <c:v>18.425999999999998</c:v>
                      </c:pt>
                      <c:pt idx="8919">
                        <c:v>18.425999999999998</c:v>
                      </c:pt>
                      <c:pt idx="8920">
                        <c:v>18.425999999999998</c:v>
                      </c:pt>
                      <c:pt idx="8921">
                        <c:v>18.331</c:v>
                      </c:pt>
                      <c:pt idx="8922">
                        <c:v>18.331</c:v>
                      </c:pt>
                      <c:pt idx="8923">
                        <c:v>18.331</c:v>
                      </c:pt>
                      <c:pt idx="8924">
                        <c:v>18.236000000000001</c:v>
                      </c:pt>
                      <c:pt idx="8925">
                        <c:v>18.236000000000001</c:v>
                      </c:pt>
                      <c:pt idx="8926">
                        <c:v>18.236000000000001</c:v>
                      </c:pt>
                      <c:pt idx="8927">
                        <c:v>18.14</c:v>
                      </c:pt>
                      <c:pt idx="8928">
                        <c:v>18.14</c:v>
                      </c:pt>
                      <c:pt idx="8929">
                        <c:v>18.236000000000001</c:v>
                      </c:pt>
                      <c:pt idx="8930">
                        <c:v>18.14</c:v>
                      </c:pt>
                      <c:pt idx="8931">
                        <c:v>18.14</c:v>
                      </c:pt>
                      <c:pt idx="8932">
                        <c:v>18.14</c:v>
                      </c:pt>
                      <c:pt idx="8933">
                        <c:v>18.14</c:v>
                      </c:pt>
                      <c:pt idx="8934">
                        <c:v>18.14</c:v>
                      </c:pt>
                      <c:pt idx="8935">
                        <c:v>18.045000000000002</c:v>
                      </c:pt>
                      <c:pt idx="8936">
                        <c:v>18.045000000000002</c:v>
                      </c:pt>
                      <c:pt idx="8937">
                        <c:v>18.045000000000002</c:v>
                      </c:pt>
                      <c:pt idx="8938">
                        <c:v>18.045000000000002</c:v>
                      </c:pt>
                      <c:pt idx="8939">
                        <c:v>18.045000000000002</c:v>
                      </c:pt>
                      <c:pt idx="8940">
                        <c:v>17.95</c:v>
                      </c:pt>
                      <c:pt idx="8941">
                        <c:v>17.95</c:v>
                      </c:pt>
                      <c:pt idx="8942">
                        <c:v>17.95</c:v>
                      </c:pt>
                      <c:pt idx="8943">
                        <c:v>17.95</c:v>
                      </c:pt>
                      <c:pt idx="8944">
                        <c:v>17.95</c:v>
                      </c:pt>
                      <c:pt idx="8945">
                        <c:v>17.95</c:v>
                      </c:pt>
                      <c:pt idx="8946">
                        <c:v>17.855</c:v>
                      </c:pt>
                      <c:pt idx="8947">
                        <c:v>17.855</c:v>
                      </c:pt>
                      <c:pt idx="8948">
                        <c:v>17.855</c:v>
                      </c:pt>
                      <c:pt idx="8949">
                        <c:v>17.855</c:v>
                      </c:pt>
                      <c:pt idx="8950">
                        <c:v>17.855</c:v>
                      </c:pt>
                      <c:pt idx="8951">
                        <c:v>17.760000000000002</c:v>
                      </c:pt>
                      <c:pt idx="8952">
                        <c:v>17.664999999999999</c:v>
                      </c:pt>
                      <c:pt idx="8953">
                        <c:v>17.664999999999999</c:v>
                      </c:pt>
                      <c:pt idx="8954">
                        <c:v>17.760000000000002</c:v>
                      </c:pt>
                      <c:pt idx="8955">
                        <c:v>17.760000000000002</c:v>
                      </c:pt>
                      <c:pt idx="8956">
                        <c:v>17.664999999999999</c:v>
                      </c:pt>
                      <c:pt idx="8957">
                        <c:v>17.664999999999999</c:v>
                      </c:pt>
                      <c:pt idx="8958">
                        <c:v>17.664999999999999</c:v>
                      </c:pt>
                      <c:pt idx="8959">
                        <c:v>17.664999999999999</c:v>
                      </c:pt>
                      <c:pt idx="8960">
                        <c:v>17.664999999999999</c:v>
                      </c:pt>
                      <c:pt idx="8961">
                        <c:v>17.664999999999999</c:v>
                      </c:pt>
                      <c:pt idx="8962">
                        <c:v>17.664999999999999</c:v>
                      </c:pt>
                      <c:pt idx="8963">
                        <c:v>17.664999999999999</c:v>
                      </c:pt>
                      <c:pt idx="8964">
                        <c:v>17.760000000000002</c:v>
                      </c:pt>
                      <c:pt idx="8965">
                        <c:v>17.664999999999999</c:v>
                      </c:pt>
                      <c:pt idx="8966">
                        <c:v>17.57</c:v>
                      </c:pt>
                      <c:pt idx="8967">
                        <c:v>17.57</c:v>
                      </c:pt>
                      <c:pt idx="8968">
                        <c:v>17.57</c:v>
                      </c:pt>
                      <c:pt idx="8969">
                        <c:v>17.57</c:v>
                      </c:pt>
                      <c:pt idx="8970">
                        <c:v>17.57</c:v>
                      </c:pt>
                      <c:pt idx="8971">
                        <c:v>17.475000000000001</c:v>
                      </c:pt>
                      <c:pt idx="8972">
                        <c:v>17.475000000000001</c:v>
                      </c:pt>
                      <c:pt idx="8973">
                        <c:v>17.475000000000001</c:v>
                      </c:pt>
                      <c:pt idx="8974">
                        <c:v>17.475000000000001</c:v>
                      </c:pt>
                      <c:pt idx="8975">
                        <c:v>17.57</c:v>
                      </c:pt>
                      <c:pt idx="8976">
                        <c:v>17.664999999999999</c:v>
                      </c:pt>
                      <c:pt idx="8977">
                        <c:v>17.57</c:v>
                      </c:pt>
                      <c:pt idx="8978">
                        <c:v>17.760000000000002</c:v>
                      </c:pt>
                      <c:pt idx="8979">
                        <c:v>17.760000000000002</c:v>
                      </c:pt>
                      <c:pt idx="8980">
                        <c:v>17.760000000000002</c:v>
                      </c:pt>
                      <c:pt idx="8981">
                        <c:v>17.95</c:v>
                      </c:pt>
                      <c:pt idx="8982">
                        <c:v>18.045000000000002</c:v>
                      </c:pt>
                      <c:pt idx="8983">
                        <c:v>17.95</c:v>
                      </c:pt>
                      <c:pt idx="8984">
                        <c:v>17.95</c:v>
                      </c:pt>
                      <c:pt idx="8985">
                        <c:v>18.14</c:v>
                      </c:pt>
                      <c:pt idx="8986">
                        <c:v>18.331</c:v>
                      </c:pt>
                      <c:pt idx="8987">
                        <c:v>18.331</c:v>
                      </c:pt>
                      <c:pt idx="8988">
                        <c:v>18.425999999999998</c:v>
                      </c:pt>
                      <c:pt idx="8989">
                        <c:v>18.521000000000001</c:v>
                      </c:pt>
                      <c:pt idx="8990">
                        <c:v>18.616</c:v>
                      </c:pt>
                      <c:pt idx="8991">
                        <c:v>18.806000000000001</c:v>
                      </c:pt>
                      <c:pt idx="8992">
                        <c:v>18.806000000000001</c:v>
                      </c:pt>
                      <c:pt idx="8993">
                        <c:v>18.901</c:v>
                      </c:pt>
                      <c:pt idx="8994">
                        <c:v>19.187000000000001</c:v>
                      </c:pt>
                      <c:pt idx="8995">
                        <c:v>19.187000000000001</c:v>
                      </c:pt>
                      <c:pt idx="8996">
                        <c:v>19.091999999999999</c:v>
                      </c:pt>
                      <c:pt idx="8997">
                        <c:v>19.187000000000001</c:v>
                      </c:pt>
                      <c:pt idx="8998">
                        <c:v>19.187000000000001</c:v>
                      </c:pt>
                      <c:pt idx="8999">
                        <c:v>19.376999999999999</c:v>
                      </c:pt>
                      <c:pt idx="9000">
                        <c:v>19.567</c:v>
                      </c:pt>
                      <c:pt idx="9001">
                        <c:v>19.567</c:v>
                      </c:pt>
                      <c:pt idx="9002">
                        <c:v>19.567</c:v>
                      </c:pt>
                      <c:pt idx="9003">
                        <c:v>19.567</c:v>
                      </c:pt>
                      <c:pt idx="9004">
                        <c:v>19.757999999999999</c:v>
                      </c:pt>
                      <c:pt idx="9005">
                        <c:v>20.138000000000002</c:v>
                      </c:pt>
                      <c:pt idx="9006">
                        <c:v>20.138000000000002</c:v>
                      </c:pt>
                      <c:pt idx="9007">
                        <c:v>19.853000000000002</c:v>
                      </c:pt>
                      <c:pt idx="9008">
                        <c:v>19.853000000000002</c:v>
                      </c:pt>
                      <c:pt idx="9009">
                        <c:v>19.853000000000002</c:v>
                      </c:pt>
                      <c:pt idx="9010">
                        <c:v>19.948</c:v>
                      </c:pt>
                      <c:pt idx="9011">
                        <c:v>20.234000000000002</c:v>
                      </c:pt>
                      <c:pt idx="9012">
                        <c:v>20.329000000000001</c:v>
                      </c:pt>
                      <c:pt idx="9013">
                        <c:v>20.234000000000002</c:v>
                      </c:pt>
                      <c:pt idx="9014">
                        <c:v>20.042999999999999</c:v>
                      </c:pt>
                      <c:pt idx="9015">
                        <c:v>19.948</c:v>
                      </c:pt>
                      <c:pt idx="9016">
                        <c:v>20.042999999999999</c:v>
                      </c:pt>
                      <c:pt idx="9017">
                        <c:v>19.948</c:v>
                      </c:pt>
                      <c:pt idx="9018">
                        <c:v>19.948</c:v>
                      </c:pt>
                      <c:pt idx="9019">
                        <c:v>19.948</c:v>
                      </c:pt>
                      <c:pt idx="9020">
                        <c:v>19.948</c:v>
                      </c:pt>
                      <c:pt idx="9021">
                        <c:v>19.948</c:v>
                      </c:pt>
                      <c:pt idx="9022">
                        <c:v>19.948</c:v>
                      </c:pt>
                      <c:pt idx="9023">
                        <c:v>19.948</c:v>
                      </c:pt>
                      <c:pt idx="9024">
                        <c:v>19.948</c:v>
                      </c:pt>
                      <c:pt idx="9025">
                        <c:v>19.948</c:v>
                      </c:pt>
                      <c:pt idx="9026">
                        <c:v>19.948</c:v>
                      </c:pt>
                      <c:pt idx="9027">
                        <c:v>19.853000000000002</c:v>
                      </c:pt>
                      <c:pt idx="9028">
                        <c:v>19.853000000000002</c:v>
                      </c:pt>
                      <c:pt idx="9029">
                        <c:v>19.757999999999999</c:v>
                      </c:pt>
                      <c:pt idx="9030">
                        <c:v>19.757999999999999</c:v>
                      </c:pt>
                      <c:pt idx="9031">
                        <c:v>19.757999999999999</c:v>
                      </c:pt>
                      <c:pt idx="9032">
                        <c:v>19.757999999999999</c:v>
                      </c:pt>
                      <c:pt idx="9033">
                        <c:v>19.757999999999999</c:v>
                      </c:pt>
                      <c:pt idx="9034">
                        <c:v>19.661999999999999</c:v>
                      </c:pt>
                      <c:pt idx="9035">
                        <c:v>19.567</c:v>
                      </c:pt>
                      <c:pt idx="9036">
                        <c:v>19.472000000000001</c:v>
                      </c:pt>
                      <c:pt idx="9037">
                        <c:v>19.376999999999999</c:v>
                      </c:pt>
                      <c:pt idx="9038">
                        <c:v>19.376999999999999</c:v>
                      </c:pt>
                      <c:pt idx="9039">
                        <c:v>19.282</c:v>
                      </c:pt>
                      <c:pt idx="9040">
                        <c:v>19.282</c:v>
                      </c:pt>
                      <c:pt idx="9041">
                        <c:v>19.187000000000001</c:v>
                      </c:pt>
                      <c:pt idx="9042">
                        <c:v>19.187000000000001</c:v>
                      </c:pt>
                      <c:pt idx="9043">
                        <c:v>19.187000000000001</c:v>
                      </c:pt>
                      <c:pt idx="9044">
                        <c:v>19.091999999999999</c:v>
                      </c:pt>
                      <c:pt idx="9045">
                        <c:v>19.091999999999999</c:v>
                      </c:pt>
                      <c:pt idx="9046">
                        <c:v>19.091999999999999</c:v>
                      </c:pt>
                      <c:pt idx="9047">
                        <c:v>18.995999999999999</c:v>
                      </c:pt>
                      <c:pt idx="9048">
                        <c:v>18.995999999999999</c:v>
                      </c:pt>
                      <c:pt idx="9049">
                        <c:v>18.995999999999999</c:v>
                      </c:pt>
                      <c:pt idx="9050">
                        <c:v>18.901</c:v>
                      </c:pt>
                      <c:pt idx="9051">
                        <c:v>18.901</c:v>
                      </c:pt>
                      <c:pt idx="9052">
                        <c:v>18.901</c:v>
                      </c:pt>
                      <c:pt idx="9053">
                        <c:v>18.901</c:v>
                      </c:pt>
                      <c:pt idx="9054">
                        <c:v>18.901</c:v>
                      </c:pt>
                      <c:pt idx="9055">
                        <c:v>18.806000000000001</c:v>
                      </c:pt>
                      <c:pt idx="9056">
                        <c:v>18.806000000000001</c:v>
                      </c:pt>
                      <c:pt idx="9057">
                        <c:v>18.806000000000001</c:v>
                      </c:pt>
                      <c:pt idx="9058">
                        <c:v>18.710999999999999</c:v>
                      </c:pt>
                      <c:pt idx="9059">
                        <c:v>18.710999999999999</c:v>
                      </c:pt>
                      <c:pt idx="9060">
                        <c:v>18.710999999999999</c:v>
                      </c:pt>
                      <c:pt idx="9061">
                        <c:v>18.710999999999999</c:v>
                      </c:pt>
                      <c:pt idx="9062">
                        <c:v>18.616</c:v>
                      </c:pt>
                      <c:pt idx="9063">
                        <c:v>18.616</c:v>
                      </c:pt>
                      <c:pt idx="9064">
                        <c:v>18.616</c:v>
                      </c:pt>
                      <c:pt idx="9065">
                        <c:v>18.616</c:v>
                      </c:pt>
                      <c:pt idx="9066">
                        <c:v>18.616</c:v>
                      </c:pt>
                      <c:pt idx="9067">
                        <c:v>18.616</c:v>
                      </c:pt>
                      <c:pt idx="9068">
                        <c:v>18.616</c:v>
                      </c:pt>
                      <c:pt idx="9069">
                        <c:v>18.521000000000001</c:v>
                      </c:pt>
                      <c:pt idx="9070">
                        <c:v>18.521000000000001</c:v>
                      </c:pt>
                      <c:pt idx="9071">
                        <c:v>18.616</c:v>
                      </c:pt>
                      <c:pt idx="9072">
                        <c:v>18.521000000000001</c:v>
                      </c:pt>
                      <c:pt idx="9073">
                        <c:v>18.521000000000001</c:v>
                      </c:pt>
                      <c:pt idx="9074">
                        <c:v>18.521000000000001</c:v>
                      </c:pt>
                      <c:pt idx="9075">
                        <c:v>18.521000000000001</c:v>
                      </c:pt>
                      <c:pt idx="9076">
                        <c:v>18.425999999999998</c:v>
                      </c:pt>
                      <c:pt idx="9077">
                        <c:v>18.425999999999998</c:v>
                      </c:pt>
                      <c:pt idx="9078">
                        <c:v>18.425999999999998</c:v>
                      </c:pt>
                      <c:pt idx="9079">
                        <c:v>18.425999999999998</c:v>
                      </c:pt>
                      <c:pt idx="9080">
                        <c:v>18.331</c:v>
                      </c:pt>
                      <c:pt idx="9081">
                        <c:v>18.331</c:v>
                      </c:pt>
                      <c:pt idx="9082">
                        <c:v>18.331</c:v>
                      </c:pt>
                      <c:pt idx="9083">
                        <c:v>18.331</c:v>
                      </c:pt>
                      <c:pt idx="9084">
                        <c:v>18.236000000000001</c:v>
                      </c:pt>
                      <c:pt idx="9085">
                        <c:v>18.236000000000001</c:v>
                      </c:pt>
                      <c:pt idx="9086">
                        <c:v>18.236000000000001</c:v>
                      </c:pt>
                      <c:pt idx="9087">
                        <c:v>18.236000000000001</c:v>
                      </c:pt>
                      <c:pt idx="9088">
                        <c:v>18.236000000000001</c:v>
                      </c:pt>
                      <c:pt idx="9089">
                        <c:v>18.236000000000001</c:v>
                      </c:pt>
                      <c:pt idx="9090">
                        <c:v>18.14</c:v>
                      </c:pt>
                      <c:pt idx="9091">
                        <c:v>18.14</c:v>
                      </c:pt>
                      <c:pt idx="9092">
                        <c:v>18.14</c:v>
                      </c:pt>
                      <c:pt idx="9093">
                        <c:v>18.14</c:v>
                      </c:pt>
                      <c:pt idx="9094">
                        <c:v>18.14</c:v>
                      </c:pt>
                      <c:pt idx="9095">
                        <c:v>18.14</c:v>
                      </c:pt>
                      <c:pt idx="9096">
                        <c:v>18.14</c:v>
                      </c:pt>
                      <c:pt idx="9097">
                        <c:v>18.14</c:v>
                      </c:pt>
                      <c:pt idx="9098">
                        <c:v>18.045000000000002</c:v>
                      </c:pt>
                      <c:pt idx="9099">
                        <c:v>18.045000000000002</c:v>
                      </c:pt>
                      <c:pt idx="9100">
                        <c:v>18.045000000000002</c:v>
                      </c:pt>
                      <c:pt idx="9101">
                        <c:v>18.045000000000002</c:v>
                      </c:pt>
                      <c:pt idx="9102">
                        <c:v>18.045000000000002</c:v>
                      </c:pt>
                      <c:pt idx="9103">
                        <c:v>17.95</c:v>
                      </c:pt>
                      <c:pt idx="9104">
                        <c:v>17.95</c:v>
                      </c:pt>
                      <c:pt idx="9105">
                        <c:v>17.95</c:v>
                      </c:pt>
                      <c:pt idx="9106">
                        <c:v>17.95</c:v>
                      </c:pt>
                      <c:pt idx="9107">
                        <c:v>17.95</c:v>
                      </c:pt>
                      <c:pt idx="9108">
                        <c:v>17.855</c:v>
                      </c:pt>
                      <c:pt idx="9109">
                        <c:v>17.855</c:v>
                      </c:pt>
                      <c:pt idx="9110">
                        <c:v>17.855</c:v>
                      </c:pt>
                      <c:pt idx="9111">
                        <c:v>17.855</c:v>
                      </c:pt>
                      <c:pt idx="9112">
                        <c:v>17.760000000000002</c:v>
                      </c:pt>
                      <c:pt idx="9113">
                        <c:v>17.760000000000002</c:v>
                      </c:pt>
                      <c:pt idx="9114">
                        <c:v>17.664999999999999</c:v>
                      </c:pt>
                      <c:pt idx="9115">
                        <c:v>17.57</c:v>
                      </c:pt>
                      <c:pt idx="9116">
                        <c:v>17.664999999999999</c:v>
                      </c:pt>
                      <c:pt idx="9117">
                        <c:v>17.664999999999999</c:v>
                      </c:pt>
                      <c:pt idx="9118">
                        <c:v>17.664999999999999</c:v>
                      </c:pt>
                      <c:pt idx="9119">
                        <c:v>17.57</c:v>
                      </c:pt>
                      <c:pt idx="9120">
                        <c:v>17.57</c:v>
                      </c:pt>
                      <c:pt idx="9121">
                        <c:v>17.57</c:v>
                      </c:pt>
                      <c:pt idx="9122">
                        <c:v>17.760000000000002</c:v>
                      </c:pt>
                      <c:pt idx="9123">
                        <c:v>17.855</c:v>
                      </c:pt>
                      <c:pt idx="9124">
                        <c:v>17.855</c:v>
                      </c:pt>
                      <c:pt idx="9125">
                        <c:v>17.95</c:v>
                      </c:pt>
                      <c:pt idx="9126">
                        <c:v>17.95</c:v>
                      </c:pt>
                      <c:pt idx="9127">
                        <c:v>18.045000000000002</c:v>
                      </c:pt>
                      <c:pt idx="9128">
                        <c:v>18.236000000000001</c:v>
                      </c:pt>
                      <c:pt idx="9129">
                        <c:v>18.331</c:v>
                      </c:pt>
                      <c:pt idx="9130">
                        <c:v>18.521000000000001</c:v>
                      </c:pt>
                      <c:pt idx="9131">
                        <c:v>18.521000000000001</c:v>
                      </c:pt>
                      <c:pt idx="9132">
                        <c:v>18.616</c:v>
                      </c:pt>
                      <c:pt idx="9133">
                        <c:v>18.710999999999999</c:v>
                      </c:pt>
                      <c:pt idx="9134">
                        <c:v>18.710999999999999</c:v>
                      </c:pt>
                      <c:pt idx="9135">
                        <c:v>18.806000000000001</c:v>
                      </c:pt>
                      <c:pt idx="9136">
                        <c:v>18.806000000000001</c:v>
                      </c:pt>
                      <c:pt idx="9137">
                        <c:v>18.995999999999999</c:v>
                      </c:pt>
                      <c:pt idx="9138">
                        <c:v>19.282</c:v>
                      </c:pt>
                      <c:pt idx="9139">
                        <c:v>19.282</c:v>
                      </c:pt>
                      <c:pt idx="9140">
                        <c:v>19.282</c:v>
                      </c:pt>
                      <c:pt idx="9141">
                        <c:v>19.282</c:v>
                      </c:pt>
                      <c:pt idx="9142">
                        <c:v>19.282</c:v>
                      </c:pt>
                      <c:pt idx="9143">
                        <c:v>19.282</c:v>
                      </c:pt>
                      <c:pt idx="9144">
                        <c:v>19.376999999999999</c:v>
                      </c:pt>
                      <c:pt idx="9145">
                        <c:v>19.282</c:v>
                      </c:pt>
                      <c:pt idx="9146">
                        <c:v>19.282</c:v>
                      </c:pt>
                      <c:pt idx="9147">
                        <c:v>19.376999999999999</c:v>
                      </c:pt>
                      <c:pt idx="9148">
                        <c:v>19.376999999999999</c:v>
                      </c:pt>
                      <c:pt idx="9149">
                        <c:v>19.472000000000001</c:v>
                      </c:pt>
                      <c:pt idx="9150">
                        <c:v>19.472000000000001</c:v>
                      </c:pt>
                      <c:pt idx="9151">
                        <c:v>19.567</c:v>
                      </c:pt>
                      <c:pt idx="9152">
                        <c:v>19.661999999999999</c:v>
                      </c:pt>
                      <c:pt idx="9153">
                        <c:v>19.661999999999999</c:v>
                      </c:pt>
                      <c:pt idx="9154">
                        <c:v>19.661999999999999</c:v>
                      </c:pt>
                      <c:pt idx="9155">
                        <c:v>20.042999999999999</c:v>
                      </c:pt>
                      <c:pt idx="9156">
                        <c:v>20.138000000000002</c:v>
                      </c:pt>
                      <c:pt idx="9157">
                        <c:v>20.138000000000002</c:v>
                      </c:pt>
                      <c:pt idx="9158">
                        <c:v>19.948</c:v>
                      </c:pt>
                      <c:pt idx="9159">
                        <c:v>19.853000000000002</c:v>
                      </c:pt>
                      <c:pt idx="9160">
                        <c:v>19.853000000000002</c:v>
                      </c:pt>
                      <c:pt idx="9161">
                        <c:v>19.853000000000002</c:v>
                      </c:pt>
                      <c:pt idx="9162">
                        <c:v>19.853000000000002</c:v>
                      </c:pt>
                      <c:pt idx="9163">
                        <c:v>19.853000000000002</c:v>
                      </c:pt>
                      <c:pt idx="9164">
                        <c:v>19.853000000000002</c:v>
                      </c:pt>
                      <c:pt idx="9165">
                        <c:v>19.853000000000002</c:v>
                      </c:pt>
                      <c:pt idx="9166">
                        <c:v>19.853000000000002</c:v>
                      </c:pt>
                      <c:pt idx="9167">
                        <c:v>19.853000000000002</c:v>
                      </c:pt>
                      <c:pt idx="9168">
                        <c:v>19.853000000000002</c:v>
                      </c:pt>
                      <c:pt idx="9169">
                        <c:v>19.853000000000002</c:v>
                      </c:pt>
                      <c:pt idx="9170">
                        <c:v>19.853000000000002</c:v>
                      </c:pt>
                      <c:pt idx="9171">
                        <c:v>19.948</c:v>
                      </c:pt>
                      <c:pt idx="9172">
                        <c:v>19.853000000000002</c:v>
                      </c:pt>
                      <c:pt idx="9173">
                        <c:v>19.853000000000002</c:v>
                      </c:pt>
                      <c:pt idx="9174">
                        <c:v>19.757999999999999</c:v>
                      </c:pt>
                      <c:pt idx="9175">
                        <c:v>19.661999999999999</c:v>
                      </c:pt>
                      <c:pt idx="9176">
                        <c:v>19.661999999999999</c:v>
                      </c:pt>
                      <c:pt idx="9177">
                        <c:v>19.567</c:v>
                      </c:pt>
                      <c:pt idx="9178">
                        <c:v>19.567</c:v>
                      </c:pt>
                      <c:pt idx="9179">
                        <c:v>19.567</c:v>
                      </c:pt>
                      <c:pt idx="9180">
                        <c:v>19.472000000000001</c:v>
                      </c:pt>
                      <c:pt idx="9181">
                        <c:v>19.472000000000001</c:v>
                      </c:pt>
                      <c:pt idx="9182">
                        <c:v>19.376999999999999</c:v>
                      </c:pt>
                      <c:pt idx="9183">
                        <c:v>19.376999999999999</c:v>
                      </c:pt>
                      <c:pt idx="9184">
                        <c:v>19.376999999999999</c:v>
                      </c:pt>
                      <c:pt idx="9185">
                        <c:v>19.282</c:v>
                      </c:pt>
                      <c:pt idx="9186">
                        <c:v>19.282</c:v>
                      </c:pt>
                      <c:pt idx="9187">
                        <c:v>19.187000000000001</c:v>
                      </c:pt>
                      <c:pt idx="9188">
                        <c:v>19.091999999999999</c:v>
                      </c:pt>
                      <c:pt idx="9189">
                        <c:v>19.091999999999999</c:v>
                      </c:pt>
                      <c:pt idx="9190">
                        <c:v>19.091999999999999</c:v>
                      </c:pt>
                      <c:pt idx="9191">
                        <c:v>18.995999999999999</c:v>
                      </c:pt>
                      <c:pt idx="9192">
                        <c:v>18.901</c:v>
                      </c:pt>
                      <c:pt idx="9193">
                        <c:v>18.901</c:v>
                      </c:pt>
                      <c:pt idx="9194">
                        <c:v>18.806000000000001</c:v>
                      </c:pt>
                      <c:pt idx="9195">
                        <c:v>18.806000000000001</c:v>
                      </c:pt>
                      <c:pt idx="9196">
                        <c:v>18.901</c:v>
                      </c:pt>
                      <c:pt idx="9197">
                        <c:v>18.901</c:v>
                      </c:pt>
                      <c:pt idx="9198">
                        <c:v>18.806000000000001</c:v>
                      </c:pt>
                      <c:pt idx="9199">
                        <c:v>18.710999999999999</c:v>
                      </c:pt>
                      <c:pt idx="9200">
                        <c:v>18.710999999999999</c:v>
                      </c:pt>
                      <c:pt idx="9201">
                        <c:v>18.710999999999999</c:v>
                      </c:pt>
                      <c:pt idx="9202">
                        <c:v>18.616</c:v>
                      </c:pt>
                      <c:pt idx="9203">
                        <c:v>18.710999999999999</c:v>
                      </c:pt>
                      <c:pt idx="9204">
                        <c:v>18.710999999999999</c:v>
                      </c:pt>
                      <c:pt idx="9205">
                        <c:v>18.710999999999999</c:v>
                      </c:pt>
                      <c:pt idx="9206">
                        <c:v>18.710999999999999</c:v>
                      </c:pt>
                      <c:pt idx="9207">
                        <c:v>18.710999999999999</c:v>
                      </c:pt>
                      <c:pt idx="9208">
                        <c:v>18.616</c:v>
                      </c:pt>
                      <c:pt idx="9209">
                        <c:v>18.616</c:v>
                      </c:pt>
                      <c:pt idx="9210">
                        <c:v>18.521000000000001</c:v>
                      </c:pt>
                      <c:pt idx="9211">
                        <c:v>18.616</c:v>
                      </c:pt>
                      <c:pt idx="9212">
                        <c:v>18.521000000000001</c:v>
                      </c:pt>
                      <c:pt idx="9213">
                        <c:v>18.616</c:v>
                      </c:pt>
                      <c:pt idx="9214">
                        <c:v>18.616</c:v>
                      </c:pt>
                      <c:pt idx="9215">
                        <c:v>18.616</c:v>
                      </c:pt>
                      <c:pt idx="9216">
                        <c:v>18.521000000000001</c:v>
                      </c:pt>
                      <c:pt idx="9217">
                        <c:v>18.521000000000001</c:v>
                      </c:pt>
                      <c:pt idx="9218">
                        <c:v>18.521000000000001</c:v>
                      </c:pt>
                      <c:pt idx="9219">
                        <c:v>18.521000000000001</c:v>
                      </c:pt>
                      <c:pt idx="9220">
                        <c:v>18.521000000000001</c:v>
                      </c:pt>
                      <c:pt idx="9221">
                        <c:v>18.616</c:v>
                      </c:pt>
                      <c:pt idx="9222">
                        <c:v>18.521000000000001</c:v>
                      </c:pt>
                      <c:pt idx="9223">
                        <c:v>18.521000000000001</c:v>
                      </c:pt>
                      <c:pt idx="9224">
                        <c:v>18.521000000000001</c:v>
                      </c:pt>
                      <c:pt idx="9225">
                        <c:v>18.425999999999998</c:v>
                      </c:pt>
                      <c:pt idx="9226">
                        <c:v>18.425999999999998</c:v>
                      </c:pt>
                      <c:pt idx="9227">
                        <c:v>18.425999999999998</c:v>
                      </c:pt>
                      <c:pt idx="9228">
                        <c:v>18.425999999999998</c:v>
                      </c:pt>
                      <c:pt idx="9229">
                        <c:v>18.425999999999998</c:v>
                      </c:pt>
                      <c:pt idx="9230">
                        <c:v>18.425999999999998</c:v>
                      </c:pt>
                      <c:pt idx="9231">
                        <c:v>18.425999999999998</c:v>
                      </c:pt>
                      <c:pt idx="9232">
                        <c:v>18.425999999999998</c:v>
                      </c:pt>
                      <c:pt idx="9233">
                        <c:v>18.425999999999998</c:v>
                      </c:pt>
                      <c:pt idx="9234">
                        <c:v>18.425999999999998</c:v>
                      </c:pt>
                      <c:pt idx="9235">
                        <c:v>18.331</c:v>
                      </c:pt>
                      <c:pt idx="9236">
                        <c:v>18.331</c:v>
                      </c:pt>
                      <c:pt idx="9237">
                        <c:v>18.331</c:v>
                      </c:pt>
                      <c:pt idx="9238">
                        <c:v>18.331</c:v>
                      </c:pt>
                      <c:pt idx="9239">
                        <c:v>18.331</c:v>
                      </c:pt>
                      <c:pt idx="9240">
                        <c:v>18.236000000000001</c:v>
                      </c:pt>
                      <c:pt idx="9241">
                        <c:v>18.236000000000001</c:v>
                      </c:pt>
                      <c:pt idx="9242">
                        <c:v>18.236000000000001</c:v>
                      </c:pt>
                      <c:pt idx="9243">
                        <c:v>18.236000000000001</c:v>
                      </c:pt>
                      <c:pt idx="9244">
                        <c:v>18.236000000000001</c:v>
                      </c:pt>
                      <c:pt idx="9245">
                        <c:v>18.236000000000001</c:v>
                      </c:pt>
                      <c:pt idx="9246">
                        <c:v>18.236000000000001</c:v>
                      </c:pt>
                      <c:pt idx="9247">
                        <c:v>18.236000000000001</c:v>
                      </c:pt>
                      <c:pt idx="9248">
                        <c:v>18.331</c:v>
                      </c:pt>
                      <c:pt idx="9249">
                        <c:v>18.331</c:v>
                      </c:pt>
                      <c:pt idx="9250">
                        <c:v>18.331</c:v>
                      </c:pt>
                      <c:pt idx="9251">
                        <c:v>18.331</c:v>
                      </c:pt>
                      <c:pt idx="9252">
                        <c:v>18.236000000000001</c:v>
                      </c:pt>
                      <c:pt idx="9253">
                        <c:v>18.236000000000001</c:v>
                      </c:pt>
                      <c:pt idx="9254">
                        <c:v>18.236000000000001</c:v>
                      </c:pt>
                      <c:pt idx="9255">
                        <c:v>18.14</c:v>
                      </c:pt>
                      <c:pt idx="9256">
                        <c:v>18.236000000000001</c:v>
                      </c:pt>
                      <c:pt idx="9257">
                        <c:v>18.14</c:v>
                      </c:pt>
                      <c:pt idx="9258">
                        <c:v>18.236000000000001</c:v>
                      </c:pt>
                      <c:pt idx="9259">
                        <c:v>18.14</c:v>
                      </c:pt>
                      <c:pt idx="9260">
                        <c:v>18.14</c:v>
                      </c:pt>
                      <c:pt idx="9261">
                        <c:v>18.331</c:v>
                      </c:pt>
                      <c:pt idx="9262">
                        <c:v>18.331</c:v>
                      </c:pt>
                      <c:pt idx="9263">
                        <c:v>18.331</c:v>
                      </c:pt>
                      <c:pt idx="9264">
                        <c:v>18.331</c:v>
                      </c:pt>
                      <c:pt idx="9265">
                        <c:v>18.331</c:v>
                      </c:pt>
                      <c:pt idx="9266">
                        <c:v>18.331</c:v>
                      </c:pt>
                      <c:pt idx="9267">
                        <c:v>18.331</c:v>
                      </c:pt>
                      <c:pt idx="9268">
                        <c:v>18.521000000000001</c:v>
                      </c:pt>
                      <c:pt idx="9269">
                        <c:v>18.521000000000001</c:v>
                      </c:pt>
                      <c:pt idx="9270">
                        <c:v>18.521000000000001</c:v>
                      </c:pt>
                      <c:pt idx="9271">
                        <c:v>18.521000000000001</c:v>
                      </c:pt>
                      <c:pt idx="9272">
                        <c:v>18.616</c:v>
                      </c:pt>
                      <c:pt idx="9273">
                        <c:v>18.710999999999999</c:v>
                      </c:pt>
                      <c:pt idx="9274">
                        <c:v>18.995999999999999</c:v>
                      </c:pt>
                      <c:pt idx="9275">
                        <c:v>18.995999999999999</c:v>
                      </c:pt>
                      <c:pt idx="9276">
                        <c:v>19.091999999999999</c:v>
                      </c:pt>
                      <c:pt idx="9277">
                        <c:v>19.091999999999999</c:v>
                      </c:pt>
                      <c:pt idx="9278">
                        <c:v>19.187000000000001</c:v>
                      </c:pt>
                      <c:pt idx="9279">
                        <c:v>19.282</c:v>
                      </c:pt>
                      <c:pt idx="9280">
                        <c:v>19.282</c:v>
                      </c:pt>
                      <c:pt idx="9281">
                        <c:v>19.282</c:v>
                      </c:pt>
                      <c:pt idx="9282">
                        <c:v>19.661999999999999</c:v>
                      </c:pt>
                      <c:pt idx="9283">
                        <c:v>19.757999999999999</c:v>
                      </c:pt>
                      <c:pt idx="9284">
                        <c:v>19.661999999999999</c:v>
                      </c:pt>
                      <c:pt idx="9285">
                        <c:v>19.661999999999999</c:v>
                      </c:pt>
                      <c:pt idx="9286">
                        <c:v>19.661999999999999</c:v>
                      </c:pt>
                      <c:pt idx="9287">
                        <c:v>19.853000000000002</c:v>
                      </c:pt>
                      <c:pt idx="9288">
                        <c:v>20.042999999999999</c:v>
                      </c:pt>
                      <c:pt idx="9289">
                        <c:v>19.948</c:v>
                      </c:pt>
                      <c:pt idx="9290">
                        <c:v>19.948</c:v>
                      </c:pt>
                      <c:pt idx="9291">
                        <c:v>20.138000000000002</c:v>
                      </c:pt>
                      <c:pt idx="9292">
                        <c:v>20.423999999999999</c:v>
                      </c:pt>
                      <c:pt idx="9293">
                        <c:v>20.423999999999999</c:v>
                      </c:pt>
                      <c:pt idx="9294">
                        <c:v>20.423999999999999</c:v>
                      </c:pt>
                      <c:pt idx="9295">
                        <c:v>20.234000000000002</c:v>
                      </c:pt>
                      <c:pt idx="9296">
                        <c:v>20.234000000000002</c:v>
                      </c:pt>
                      <c:pt idx="9297">
                        <c:v>20.234000000000002</c:v>
                      </c:pt>
                      <c:pt idx="9298">
                        <c:v>20.234000000000002</c:v>
                      </c:pt>
                      <c:pt idx="9299">
                        <c:v>20.614999999999998</c:v>
                      </c:pt>
                      <c:pt idx="9300">
                        <c:v>20.329000000000001</c:v>
                      </c:pt>
                      <c:pt idx="9301">
                        <c:v>20.329000000000001</c:v>
                      </c:pt>
                      <c:pt idx="9302">
                        <c:v>20.234000000000002</c:v>
                      </c:pt>
                      <c:pt idx="9303">
                        <c:v>20.234000000000002</c:v>
                      </c:pt>
                      <c:pt idx="9304">
                        <c:v>20.234000000000002</c:v>
                      </c:pt>
                      <c:pt idx="9305">
                        <c:v>20.234000000000002</c:v>
                      </c:pt>
                      <c:pt idx="9306">
                        <c:v>20.234000000000002</c:v>
                      </c:pt>
                      <c:pt idx="9307">
                        <c:v>20.234000000000002</c:v>
                      </c:pt>
                      <c:pt idx="9308">
                        <c:v>20.234000000000002</c:v>
                      </c:pt>
                      <c:pt idx="9309">
                        <c:v>20.234000000000002</c:v>
                      </c:pt>
                      <c:pt idx="9310">
                        <c:v>20.234000000000002</c:v>
                      </c:pt>
                      <c:pt idx="9311">
                        <c:v>20.234000000000002</c:v>
                      </c:pt>
                      <c:pt idx="9312">
                        <c:v>20.329000000000001</c:v>
                      </c:pt>
                      <c:pt idx="9313">
                        <c:v>20.234000000000002</c:v>
                      </c:pt>
                      <c:pt idx="9314">
                        <c:v>20.234000000000002</c:v>
                      </c:pt>
                      <c:pt idx="9315">
                        <c:v>20.234000000000002</c:v>
                      </c:pt>
                      <c:pt idx="9316">
                        <c:v>20.234000000000002</c:v>
                      </c:pt>
                      <c:pt idx="9317">
                        <c:v>20.138000000000002</c:v>
                      </c:pt>
                      <c:pt idx="9318">
                        <c:v>20.138000000000002</c:v>
                      </c:pt>
                      <c:pt idx="9319">
                        <c:v>20.138000000000002</c:v>
                      </c:pt>
                      <c:pt idx="9320">
                        <c:v>20.138000000000002</c:v>
                      </c:pt>
                      <c:pt idx="9321">
                        <c:v>20.042999999999999</c:v>
                      </c:pt>
                      <c:pt idx="9322">
                        <c:v>20.042999999999999</c:v>
                      </c:pt>
                      <c:pt idx="9323">
                        <c:v>20.042999999999999</c:v>
                      </c:pt>
                      <c:pt idx="9324">
                        <c:v>20.042999999999999</c:v>
                      </c:pt>
                      <c:pt idx="9325">
                        <c:v>19.948</c:v>
                      </c:pt>
                      <c:pt idx="9326">
                        <c:v>19.948</c:v>
                      </c:pt>
                      <c:pt idx="9327">
                        <c:v>19.948</c:v>
                      </c:pt>
                      <c:pt idx="9328">
                        <c:v>19.853000000000002</c:v>
                      </c:pt>
                      <c:pt idx="9329">
                        <c:v>19.853000000000002</c:v>
                      </c:pt>
                      <c:pt idx="9330">
                        <c:v>19.853000000000002</c:v>
                      </c:pt>
                      <c:pt idx="9331">
                        <c:v>19.757999999999999</c:v>
                      </c:pt>
                      <c:pt idx="9332">
                        <c:v>19.757999999999999</c:v>
                      </c:pt>
                      <c:pt idx="9333">
                        <c:v>19.757999999999999</c:v>
                      </c:pt>
                      <c:pt idx="9334">
                        <c:v>19.661999999999999</c:v>
                      </c:pt>
                      <c:pt idx="9335">
                        <c:v>19.661999999999999</c:v>
                      </c:pt>
                      <c:pt idx="9336">
                        <c:v>19.567</c:v>
                      </c:pt>
                      <c:pt idx="9337">
                        <c:v>19.567</c:v>
                      </c:pt>
                      <c:pt idx="9338">
                        <c:v>19.567</c:v>
                      </c:pt>
                      <c:pt idx="9339">
                        <c:v>19.472000000000001</c:v>
                      </c:pt>
                      <c:pt idx="9340">
                        <c:v>19.472000000000001</c:v>
                      </c:pt>
                      <c:pt idx="9341">
                        <c:v>19.472000000000001</c:v>
                      </c:pt>
                      <c:pt idx="9342">
                        <c:v>19.376999999999999</c:v>
                      </c:pt>
                      <c:pt idx="9343">
                        <c:v>19.376999999999999</c:v>
                      </c:pt>
                      <c:pt idx="9344">
                        <c:v>19.376999999999999</c:v>
                      </c:pt>
                      <c:pt idx="9345">
                        <c:v>19.376999999999999</c:v>
                      </c:pt>
                      <c:pt idx="9346">
                        <c:v>19.282</c:v>
                      </c:pt>
                      <c:pt idx="9347">
                        <c:v>19.282</c:v>
                      </c:pt>
                      <c:pt idx="9348">
                        <c:v>19.282</c:v>
                      </c:pt>
                      <c:pt idx="9349">
                        <c:v>19.187000000000001</c:v>
                      </c:pt>
                      <c:pt idx="9350">
                        <c:v>19.187000000000001</c:v>
                      </c:pt>
                      <c:pt idx="9351">
                        <c:v>19.187000000000001</c:v>
                      </c:pt>
                      <c:pt idx="9352">
                        <c:v>19.187000000000001</c:v>
                      </c:pt>
                      <c:pt idx="9353">
                        <c:v>19.187000000000001</c:v>
                      </c:pt>
                      <c:pt idx="9354">
                        <c:v>19.187000000000001</c:v>
                      </c:pt>
                      <c:pt idx="9355">
                        <c:v>19.091999999999999</c:v>
                      </c:pt>
                      <c:pt idx="9356">
                        <c:v>19.091999999999999</c:v>
                      </c:pt>
                      <c:pt idx="9357">
                        <c:v>19.187000000000001</c:v>
                      </c:pt>
                      <c:pt idx="9358">
                        <c:v>19.091999999999999</c:v>
                      </c:pt>
                      <c:pt idx="9359">
                        <c:v>19.091999999999999</c:v>
                      </c:pt>
                      <c:pt idx="9360">
                        <c:v>19.091999999999999</c:v>
                      </c:pt>
                      <c:pt idx="9361">
                        <c:v>19.091999999999999</c:v>
                      </c:pt>
                      <c:pt idx="9362">
                        <c:v>19.091999999999999</c:v>
                      </c:pt>
                      <c:pt idx="9363">
                        <c:v>18.995999999999999</c:v>
                      </c:pt>
                      <c:pt idx="9364">
                        <c:v>18.901</c:v>
                      </c:pt>
                      <c:pt idx="9365">
                        <c:v>18.806000000000001</c:v>
                      </c:pt>
                      <c:pt idx="9366">
                        <c:v>18.806000000000001</c:v>
                      </c:pt>
                      <c:pt idx="9367">
                        <c:v>18.901</c:v>
                      </c:pt>
                      <c:pt idx="9368">
                        <c:v>18.901</c:v>
                      </c:pt>
                      <c:pt idx="9369">
                        <c:v>18.901</c:v>
                      </c:pt>
                      <c:pt idx="9370">
                        <c:v>18.806000000000001</c:v>
                      </c:pt>
                      <c:pt idx="9371">
                        <c:v>18.806000000000001</c:v>
                      </c:pt>
                      <c:pt idx="9372">
                        <c:v>18.806000000000001</c:v>
                      </c:pt>
                      <c:pt idx="9373">
                        <c:v>18.806000000000001</c:v>
                      </c:pt>
                      <c:pt idx="9374">
                        <c:v>18.710999999999999</c:v>
                      </c:pt>
                      <c:pt idx="9375">
                        <c:v>18.806000000000001</c:v>
                      </c:pt>
                      <c:pt idx="9376">
                        <c:v>18.806000000000001</c:v>
                      </c:pt>
                      <c:pt idx="9377">
                        <c:v>18.710999999999999</c:v>
                      </c:pt>
                      <c:pt idx="9378">
                        <c:v>18.710999999999999</c:v>
                      </c:pt>
                      <c:pt idx="9379">
                        <c:v>18.710999999999999</c:v>
                      </c:pt>
                      <c:pt idx="9380">
                        <c:v>18.710999999999999</c:v>
                      </c:pt>
                      <c:pt idx="9381">
                        <c:v>18.710999999999999</c:v>
                      </c:pt>
                      <c:pt idx="9382">
                        <c:v>18.616</c:v>
                      </c:pt>
                      <c:pt idx="9383">
                        <c:v>18.616</c:v>
                      </c:pt>
                      <c:pt idx="9384">
                        <c:v>18.616</c:v>
                      </c:pt>
                      <c:pt idx="9385">
                        <c:v>18.616</c:v>
                      </c:pt>
                      <c:pt idx="9386">
                        <c:v>18.521000000000001</c:v>
                      </c:pt>
                      <c:pt idx="9387">
                        <c:v>18.521000000000001</c:v>
                      </c:pt>
                      <c:pt idx="9388">
                        <c:v>18.616</c:v>
                      </c:pt>
                      <c:pt idx="9389">
                        <c:v>18.521000000000001</c:v>
                      </c:pt>
                      <c:pt idx="9390">
                        <c:v>18.521000000000001</c:v>
                      </c:pt>
                      <c:pt idx="9391">
                        <c:v>18.521000000000001</c:v>
                      </c:pt>
                      <c:pt idx="9392">
                        <c:v>18.521000000000001</c:v>
                      </c:pt>
                      <c:pt idx="9393">
                        <c:v>18.521000000000001</c:v>
                      </c:pt>
                      <c:pt idx="9394">
                        <c:v>18.425999999999998</c:v>
                      </c:pt>
                      <c:pt idx="9395">
                        <c:v>18.425999999999998</c:v>
                      </c:pt>
                      <c:pt idx="9396">
                        <c:v>18.425999999999998</c:v>
                      </c:pt>
                      <c:pt idx="9397">
                        <c:v>18.425999999999998</c:v>
                      </c:pt>
                      <c:pt idx="9398">
                        <c:v>18.425999999999998</c:v>
                      </c:pt>
                      <c:pt idx="9399">
                        <c:v>18.425999999999998</c:v>
                      </c:pt>
                      <c:pt idx="9400">
                        <c:v>18.425999999999998</c:v>
                      </c:pt>
                      <c:pt idx="9401">
                        <c:v>18.425999999999998</c:v>
                      </c:pt>
                      <c:pt idx="9402">
                        <c:v>18.425999999999998</c:v>
                      </c:pt>
                      <c:pt idx="9403">
                        <c:v>18.425999999999998</c:v>
                      </c:pt>
                      <c:pt idx="9404">
                        <c:v>18.331</c:v>
                      </c:pt>
                      <c:pt idx="9405">
                        <c:v>18.236000000000001</c:v>
                      </c:pt>
                      <c:pt idx="9406">
                        <c:v>18.331</c:v>
                      </c:pt>
                      <c:pt idx="9407">
                        <c:v>18.425999999999998</c:v>
                      </c:pt>
                      <c:pt idx="9408">
                        <c:v>18.331</c:v>
                      </c:pt>
                      <c:pt idx="9409">
                        <c:v>18.425999999999998</c:v>
                      </c:pt>
                      <c:pt idx="9410">
                        <c:v>18.521000000000001</c:v>
                      </c:pt>
                      <c:pt idx="9411">
                        <c:v>18.616</c:v>
                      </c:pt>
                      <c:pt idx="9412">
                        <c:v>18.806000000000001</c:v>
                      </c:pt>
                      <c:pt idx="9413">
                        <c:v>18.806000000000001</c:v>
                      </c:pt>
                      <c:pt idx="9414">
                        <c:v>18.901</c:v>
                      </c:pt>
                      <c:pt idx="9415">
                        <c:v>18.901</c:v>
                      </c:pt>
                      <c:pt idx="9416">
                        <c:v>18.995999999999999</c:v>
                      </c:pt>
                      <c:pt idx="9417">
                        <c:v>19.091999999999999</c:v>
                      </c:pt>
                      <c:pt idx="9418">
                        <c:v>19.282</c:v>
                      </c:pt>
                      <c:pt idx="9419">
                        <c:v>19.187000000000001</c:v>
                      </c:pt>
                      <c:pt idx="9420">
                        <c:v>19.187000000000001</c:v>
                      </c:pt>
                      <c:pt idx="9421">
                        <c:v>19.282</c:v>
                      </c:pt>
                      <c:pt idx="9422">
                        <c:v>19.282</c:v>
                      </c:pt>
                      <c:pt idx="9423">
                        <c:v>19.376999999999999</c:v>
                      </c:pt>
                      <c:pt idx="9424">
                        <c:v>19.472000000000001</c:v>
                      </c:pt>
                      <c:pt idx="9425">
                        <c:v>19.661999999999999</c:v>
                      </c:pt>
                      <c:pt idx="9426">
                        <c:v>20.042999999999999</c:v>
                      </c:pt>
                      <c:pt idx="9427">
                        <c:v>20.042999999999999</c:v>
                      </c:pt>
                      <c:pt idx="9428">
                        <c:v>19.948</c:v>
                      </c:pt>
                      <c:pt idx="9429">
                        <c:v>19.948</c:v>
                      </c:pt>
                      <c:pt idx="9430">
                        <c:v>19.948</c:v>
                      </c:pt>
                      <c:pt idx="9431">
                        <c:v>20.042999999999999</c:v>
                      </c:pt>
                      <c:pt idx="9432">
                        <c:v>20.138000000000002</c:v>
                      </c:pt>
                      <c:pt idx="9433">
                        <c:v>20.138000000000002</c:v>
                      </c:pt>
                      <c:pt idx="9434">
                        <c:v>20.138000000000002</c:v>
                      </c:pt>
                      <c:pt idx="9435">
                        <c:v>20.329000000000001</c:v>
                      </c:pt>
                      <c:pt idx="9436">
                        <c:v>20.518999999999998</c:v>
                      </c:pt>
                      <c:pt idx="9437">
                        <c:v>20.71</c:v>
                      </c:pt>
                      <c:pt idx="9438">
                        <c:v>20.805</c:v>
                      </c:pt>
                      <c:pt idx="9439">
                        <c:v>20.71</c:v>
                      </c:pt>
                      <c:pt idx="9440">
                        <c:v>20.614999999999998</c:v>
                      </c:pt>
                      <c:pt idx="9441">
                        <c:v>20.614999999999998</c:v>
                      </c:pt>
                      <c:pt idx="9442">
                        <c:v>20.518999999999998</c:v>
                      </c:pt>
                      <c:pt idx="9443">
                        <c:v>20.518999999999998</c:v>
                      </c:pt>
                      <c:pt idx="9444">
                        <c:v>20.518999999999998</c:v>
                      </c:pt>
                      <c:pt idx="9445">
                        <c:v>20.423999999999999</c:v>
                      </c:pt>
                      <c:pt idx="9446">
                        <c:v>20.329000000000001</c:v>
                      </c:pt>
                      <c:pt idx="9447">
                        <c:v>20.329000000000001</c:v>
                      </c:pt>
                      <c:pt idx="9448">
                        <c:v>20.329000000000001</c:v>
                      </c:pt>
                      <c:pt idx="9449">
                        <c:v>20.329000000000001</c:v>
                      </c:pt>
                      <c:pt idx="9450">
                        <c:v>20.329000000000001</c:v>
                      </c:pt>
                      <c:pt idx="9451">
                        <c:v>20.329000000000001</c:v>
                      </c:pt>
                      <c:pt idx="9452">
                        <c:v>20.329000000000001</c:v>
                      </c:pt>
                      <c:pt idx="9453">
                        <c:v>20.329000000000001</c:v>
                      </c:pt>
                      <c:pt idx="9454">
                        <c:v>20.329000000000001</c:v>
                      </c:pt>
                      <c:pt idx="9455">
                        <c:v>20.329000000000001</c:v>
                      </c:pt>
                      <c:pt idx="9456">
                        <c:v>20.329000000000001</c:v>
                      </c:pt>
                      <c:pt idx="9457">
                        <c:v>20.234000000000002</c:v>
                      </c:pt>
                      <c:pt idx="9458">
                        <c:v>20.329000000000001</c:v>
                      </c:pt>
                      <c:pt idx="9459">
                        <c:v>20.329000000000001</c:v>
                      </c:pt>
                      <c:pt idx="9460">
                        <c:v>20.329000000000001</c:v>
                      </c:pt>
                      <c:pt idx="9461">
                        <c:v>20.234000000000002</c:v>
                      </c:pt>
                      <c:pt idx="9462">
                        <c:v>20.234000000000002</c:v>
                      </c:pt>
                      <c:pt idx="9463">
                        <c:v>20.138000000000002</c:v>
                      </c:pt>
                      <c:pt idx="9464">
                        <c:v>20.138000000000002</c:v>
                      </c:pt>
                      <c:pt idx="9465">
                        <c:v>20.138000000000002</c:v>
                      </c:pt>
                      <c:pt idx="9466">
                        <c:v>20.138000000000002</c:v>
                      </c:pt>
                      <c:pt idx="9467">
                        <c:v>20.138000000000002</c:v>
                      </c:pt>
                      <c:pt idx="9468">
                        <c:v>20.042999999999999</c:v>
                      </c:pt>
                      <c:pt idx="9469">
                        <c:v>20.042999999999999</c:v>
                      </c:pt>
                      <c:pt idx="9470">
                        <c:v>20.042999999999999</c:v>
                      </c:pt>
                      <c:pt idx="9471">
                        <c:v>19.948</c:v>
                      </c:pt>
                      <c:pt idx="9472">
                        <c:v>19.948</c:v>
                      </c:pt>
                      <c:pt idx="9473">
                        <c:v>19.948</c:v>
                      </c:pt>
                      <c:pt idx="9474">
                        <c:v>19.853000000000002</c:v>
                      </c:pt>
                      <c:pt idx="9475">
                        <c:v>19.853000000000002</c:v>
                      </c:pt>
                      <c:pt idx="9476">
                        <c:v>19.853000000000002</c:v>
                      </c:pt>
                      <c:pt idx="9477">
                        <c:v>19.757999999999999</c:v>
                      </c:pt>
                      <c:pt idx="9478">
                        <c:v>19.757999999999999</c:v>
                      </c:pt>
                      <c:pt idx="9479">
                        <c:v>19.757999999999999</c:v>
                      </c:pt>
                      <c:pt idx="9480">
                        <c:v>19.661999999999999</c:v>
                      </c:pt>
                      <c:pt idx="9481">
                        <c:v>19.661999999999999</c:v>
                      </c:pt>
                      <c:pt idx="9482">
                        <c:v>19.661999999999999</c:v>
                      </c:pt>
                      <c:pt idx="9483">
                        <c:v>19.661999999999999</c:v>
                      </c:pt>
                      <c:pt idx="9484">
                        <c:v>19.567</c:v>
                      </c:pt>
                      <c:pt idx="9485">
                        <c:v>19.472000000000001</c:v>
                      </c:pt>
                      <c:pt idx="9486">
                        <c:v>19.472000000000001</c:v>
                      </c:pt>
                      <c:pt idx="9487">
                        <c:v>19.376999999999999</c:v>
                      </c:pt>
                      <c:pt idx="9488">
                        <c:v>19.282</c:v>
                      </c:pt>
                      <c:pt idx="9489">
                        <c:v>19.376999999999999</c:v>
                      </c:pt>
                      <c:pt idx="9490">
                        <c:v>19.282</c:v>
                      </c:pt>
                      <c:pt idx="9491">
                        <c:v>19.282</c:v>
                      </c:pt>
                      <c:pt idx="9492">
                        <c:v>19.282</c:v>
                      </c:pt>
                      <c:pt idx="9493">
                        <c:v>19.187000000000001</c:v>
                      </c:pt>
                      <c:pt idx="9494">
                        <c:v>19.187000000000001</c:v>
                      </c:pt>
                      <c:pt idx="9495">
                        <c:v>19.091999999999999</c:v>
                      </c:pt>
                      <c:pt idx="9496">
                        <c:v>19.091999999999999</c:v>
                      </c:pt>
                      <c:pt idx="9497">
                        <c:v>18.995999999999999</c:v>
                      </c:pt>
                      <c:pt idx="9498">
                        <c:v>19.091999999999999</c:v>
                      </c:pt>
                      <c:pt idx="9499">
                        <c:v>18.995999999999999</c:v>
                      </c:pt>
                      <c:pt idx="9500">
                        <c:v>18.995999999999999</c:v>
                      </c:pt>
                      <c:pt idx="9501">
                        <c:v>18.995999999999999</c:v>
                      </c:pt>
                      <c:pt idx="9502">
                        <c:v>18.901</c:v>
                      </c:pt>
                      <c:pt idx="9503">
                        <c:v>18.710999999999999</c:v>
                      </c:pt>
                      <c:pt idx="9504">
                        <c:v>18.806000000000001</c:v>
                      </c:pt>
                      <c:pt idx="9505">
                        <c:v>18.710999999999999</c:v>
                      </c:pt>
                      <c:pt idx="9506">
                        <c:v>18.710999999999999</c:v>
                      </c:pt>
                      <c:pt idx="9507">
                        <c:v>18.710999999999999</c:v>
                      </c:pt>
                      <c:pt idx="9508">
                        <c:v>18.616</c:v>
                      </c:pt>
                      <c:pt idx="9509">
                        <c:v>18.616</c:v>
                      </c:pt>
                      <c:pt idx="9510">
                        <c:v>18.521000000000001</c:v>
                      </c:pt>
                      <c:pt idx="9511">
                        <c:v>18.521000000000001</c:v>
                      </c:pt>
                      <c:pt idx="9512">
                        <c:v>18.425999999999998</c:v>
                      </c:pt>
                      <c:pt idx="9513">
                        <c:v>18.425999999999998</c:v>
                      </c:pt>
                      <c:pt idx="9514">
                        <c:v>18.331</c:v>
                      </c:pt>
                      <c:pt idx="9515">
                        <c:v>18.331</c:v>
                      </c:pt>
                      <c:pt idx="9516">
                        <c:v>18.236000000000001</c:v>
                      </c:pt>
                      <c:pt idx="9517">
                        <c:v>18.236000000000001</c:v>
                      </c:pt>
                      <c:pt idx="9518">
                        <c:v>18.236000000000001</c:v>
                      </c:pt>
                      <c:pt idx="9519">
                        <c:v>18.14</c:v>
                      </c:pt>
                      <c:pt idx="9520">
                        <c:v>18.14</c:v>
                      </c:pt>
                      <c:pt idx="9521">
                        <c:v>18.045000000000002</c:v>
                      </c:pt>
                      <c:pt idx="9522">
                        <c:v>18.045000000000002</c:v>
                      </c:pt>
                      <c:pt idx="9523">
                        <c:v>17.95</c:v>
                      </c:pt>
                      <c:pt idx="9524">
                        <c:v>17.95</c:v>
                      </c:pt>
                      <c:pt idx="9525">
                        <c:v>17.95</c:v>
                      </c:pt>
                      <c:pt idx="9526">
                        <c:v>17.855</c:v>
                      </c:pt>
                      <c:pt idx="9527">
                        <c:v>17.760000000000002</c:v>
                      </c:pt>
                      <c:pt idx="9528">
                        <c:v>17.760000000000002</c:v>
                      </c:pt>
                      <c:pt idx="9529">
                        <c:v>17.760000000000002</c:v>
                      </c:pt>
                      <c:pt idx="9530">
                        <c:v>17.760000000000002</c:v>
                      </c:pt>
                      <c:pt idx="9531">
                        <c:v>17.760000000000002</c:v>
                      </c:pt>
                      <c:pt idx="9532">
                        <c:v>17.664999999999999</c:v>
                      </c:pt>
                      <c:pt idx="9533">
                        <c:v>17.664999999999999</c:v>
                      </c:pt>
                      <c:pt idx="9534">
                        <c:v>17.664999999999999</c:v>
                      </c:pt>
                      <c:pt idx="9535">
                        <c:v>17.57</c:v>
                      </c:pt>
                      <c:pt idx="9536">
                        <c:v>17.475000000000001</c:v>
                      </c:pt>
                      <c:pt idx="9537">
                        <c:v>17.379000000000001</c:v>
                      </c:pt>
                      <c:pt idx="9538">
                        <c:v>17.379000000000001</c:v>
                      </c:pt>
                      <c:pt idx="9539">
                        <c:v>17.379000000000001</c:v>
                      </c:pt>
                      <c:pt idx="9540">
                        <c:v>17.379000000000001</c:v>
                      </c:pt>
                      <c:pt idx="9541">
                        <c:v>17.283999999999999</c:v>
                      </c:pt>
                      <c:pt idx="9542">
                        <c:v>17.283999999999999</c:v>
                      </c:pt>
                      <c:pt idx="9543">
                        <c:v>17.283999999999999</c:v>
                      </c:pt>
                      <c:pt idx="9544">
                        <c:v>17.379000000000001</c:v>
                      </c:pt>
                      <c:pt idx="9545">
                        <c:v>17.189</c:v>
                      </c:pt>
                      <c:pt idx="9546">
                        <c:v>17.094000000000001</c:v>
                      </c:pt>
                      <c:pt idx="9547">
                        <c:v>17.189</c:v>
                      </c:pt>
                      <c:pt idx="9548">
                        <c:v>17.094000000000001</c:v>
                      </c:pt>
                      <c:pt idx="9549">
                        <c:v>17.094000000000001</c:v>
                      </c:pt>
                      <c:pt idx="9550">
                        <c:v>17.094000000000001</c:v>
                      </c:pt>
                      <c:pt idx="9551">
                        <c:v>17.094000000000001</c:v>
                      </c:pt>
                      <c:pt idx="9552">
                        <c:v>17.189</c:v>
                      </c:pt>
                      <c:pt idx="9553">
                        <c:v>17.189</c:v>
                      </c:pt>
                      <c:pt idx="9554">
                        <c:v>17.189</c:v>
                      </c:pt>
                      <c:pt idx="9555">
                        <c:v>17.189</c:v>
                      </c:pt>
                      <c:pt idx="9556">
                        <c:v>17.379000000000001</c:v>
                      </c:pt>
                      <c:pt idx="9557">
                        <c:v>17.475000000000001</c:v>
                      </c:pt>
                      <c:pt idx="9558">
                        <c:v>17.475000000000001</c:v>
                      </c:pt>
                      <c:pt idx="9559">
                        <c:v>17.664999999999999</c:v>
                      </c:pt>
                      <c:pt idx="9560">
                        <c:v>17.760000000000002</c:v>
                      </c:pt>
                      <c:pt idx="9561">
                        <c:v>17.760000000000002</c:v>
                      </c:pt>
                      <c:pt idx="9562">
                        <c:v>17.95</c:v>
                      </c:pt>
                      <c:pt idx="9563">
                        <c:v>18.045000000000002</c:v>
                      </c:pt>
                      <c:pt idx="9564">
                        <c:v>18.14</c:v>
                      </c:pt>
                      <c:pt idx="9565">
                        <c:v>18.14</c:v>
                      </c:pt>
                      <c:pt idx="9566">
                        <c:v>18.236000000000001</c:v>
                      </c:pt>
                      <c:pt idx="9567">
                        <c:v>18.236000000000001</c:v>
                      </c:pt>
                      <c:pt idx="9568">
                        <c:v>18.331</c:v>
                      </c:pt>
                      <c:pt idx="9569">
                        <c:v>18.331</c:v>
                      </c:pt>
                      <c:pt idx="9570">
                        <c:v>18.995999999999999</c:v>
                      </c:pt>
                      <c:pt idx="9571">
                        <c:v>18.806000000000001</c:v>
                      </c:pt>
                      <c:pt idx="9572">
                        <c:v>18.616</c:v>
                      </c:pt>
                      <c:pt idx="9573">
                        <c:v>18.710999999999999</c:v>
                      </c:pt>
                      <c:pt idx="9574">
                        <c:v>18.710999999999999</c:v>
                      </c:pt>
                      <c:pt idx="9575">
                        <c:v>18.901</c:v>
                      </c:pt>
                      <c:pt idx="9576">
                        <c:v>18.995999999999999</c:v>
                      </c:pt>
                      <c:pt idx="9577">
                        <c:v>18.995999999999999</c:v>
                      </c:pt>
                      <c:pt idx="9578">
                        <c:v>18.806000000000001</c:v>
                      </c:pt>
                      <c:pt idx="9579">
                        <c:v>18.901</c:v>
                      </c:pt>
                      <c:pt idx="9580">
                        <c:v>18.995999999999999</c:v>
                      </c:pt>
                      <c:pt idx="9581">
                        <c:v>19.282</c:v>
                      </c:pt>
                      <c:pt idx="9582">
                        <c:v>19.853000000000002</c:v>
                      </c:pt>
                      <c:pt idx="9583">
                        <c:v>19.376999999999999</c:v>
                      </c:pt>
                      <c:pt idx="9584">
                        <c:v>19.376999999999999</c:v>
                      </c:pt>
                      <c:pt idx="9585">
                        <c:v>19.282</c:v>
                      </c:pt>
                      <c:pt idx="9586">
                        <c:v>19.376999999999999</c:v>
                      </c:pt>
                      <c:pt idx="9587">
                        <c:v>19.757999999999999</c:v>
                      </c:pt>
                      <c:pt idx="9588">
                        <c:v>19.567</c:v>
                      </c:pt>
                      <c:pt idx="9589">
                        <c:v>19.472000000000001</c:v>
                      </c:pt>
                      <c:pt idx="9590">
                        <c:v>19.282</c:v>
                      </c:pt>
                      <c:pt idx="9591">
                        <c:v>19.376999999999999</c:v>
                      </c:pt>
                      <c:pt idx="9592">
                        <c:v>19.376999999999999</c:v>
                      </c:pt>
                      <c:pt idx="9593">
                        <c:v>19.282</c:v>
                      </c:pt>
                      <c:pt idx="9594">
                        <c:v>19.187000000000001</c:v>
                      </c:pt>
                      <c:pt idx="9595">
                        <c:v>19.187000000000001</c:v>
                      </c:pt>
                      <c:pt idx="9596">
                        <c:v>19.091999999999999</c:v>
                      </c:pt>
                      <c:pt idx="9597">
                        <c:v>18.995999999999999</c:v>
                      </c:pt>
                      <c:pt idx="9598">
                        <c:v>19.091999999999999</c:v>
                      </c:pt>
                      <c:pt idx="9599">
                        <c:v>19.187000000000001</c:v>
                      </c:pt>
                      <c:pt idx="9600">
                        <c:v>19.187000000000001</c:v>
                      </c:pt>
                      <c:pt idx="9601">
                        <c:v>19.187000000000001</c:v>
                      </c:pt>
                      <c:pt idx="9602">
                        <c:v>19.187000000000001</c:v>
                      </c:pt>
                      <c:pt idx="9603">
                        <c:v>19.091999999999999</c:v>
                      </c:pt>
                      <c:pt idx="9604">
                        <c:v>18.995999999999999</c:v>
                      </c:pt>
                      <c:pt idx="9605">
                        <c:v>18.995999999999999</c:v>
                      </c:pt>
                      <c:pt idx="9606">
                        <c:v>18.901</c:v>
                      </c:pt>
                      <c:pt idx="9607">
                        <c:v>18.806000000000001</c:v>
                      </c:pt>
                      <c:pt idx="9608">
                        <c:v>18.806000000000001</c:v>
                      </c:pt>
                      <c:pt idx="9609">
                        <c:v>18.710999999999999</c:v>
                      </c:pt>
                      <c:pt idx="9610">
                        <c:v>18.710999999999999</c:v>
                      </c:pt>
                      <c:pt idx="9611">
                        <c:v>18.710999999999999</c:v>
                      </c:pt>
                      <c:pt idx="9612">
                        <c:v>18.616</c:v>
                      </c:pt>
                      <c:pt idx="9613">
                        <c:v>18.521000000000001</c:v>
                      </c:pt>
                      <c:pt idx="9614">
                        <c:v>18.616</c:v>
                      </c:pt>
                      <c:pt idx="9615">
                        <c:v>18.616</c:v>
                      </c:pt>
                      <c:pt idx="9616">
                        <c:v>18.616</c:v>
                      </c:pt>
                      <c:pt idx="9617">
                        <c:v>18.521000000000001</c:v>
                      </c:pt>
                      <c:pt idx="9618">
                        <c:v>18.425999999999998</c:v>
                      </c:pt>
                      <c:pt idx="9619">
                        <c:v>18.331</c:v>
                      </c:pt>
                      <c:pt idx="9620">
                        <c:v>18.331</c:v>
                      </c:pt>
                      <c:pt idx="9621">
                        <c:v>18.236000000000001</c:v>
                      </c:pt>
                      <c:pt idx="9622">
                        <c:v>18.236000000000001</c:v>
                      </c:pt>
                      <c:pt idx="9623">
                        <c:v>18.236000000000001</c:v>
                      </c:pt>
                      <c:pt idx="9624">
                        <c:v>18.14</c:v>
                      </c:pt>
                      <c:pt idx="9625">
                        <c:v>18.045000000000002</c:v>
                      </c:pt>
                      <c:pt idx="9626">
                        <c:v>18.14</c:v>
                      </c:pt>
                      <c:pt idx="9627">
                        <c:v>18.045000000000002</c:v>
                      </c:pt>
                      <c:pt idx="9628">
                        <c:v>17.95</c:v>
                      </c:pt>
                      <c:pt idx="9629">
                        <c:v>17.95</c:v>
                      </c:pt>
                      <c:pt idx="9630">
                        <c:v>17.95</c:v>
                      </c:pt>
                      <c:pt idx="9631">
                        <c:v>18.045000000000002</c:v>
                      </c:pt>
                      <c:pt idx="9632">
                        <c:v>17.855</c:v>
                      </c:pt>
                      <c:pt idx="9633">
                        <c:v>17.855</c:v>
                      </c:pt>
                      <c:pt idx="9634">
                        <c:v>17.760000000000002</c:v>
                      </c:pt>
                      <c:pt idx="9635">
                        <c:v>17.855</c:v>
                      </c:pt>
                      <c:pt idx="9636">
                        <c:v>17.760000000000002</c:v>
                      </c:pt>
                      <c:pt idx="9637">
                        <c:v>17.664999999999999</c:v>
                      </c:pt>
                      <c:pt idx="9638">
                        <c:v>17.664999999999999</c:v>
                      </c:pt>
                      <c:pt idx="9639">
                        <c:v>17.760000000000002</c:v>
                      </c:pt>
                      <c:pt idx="9640">
                        <c:v>17.57</c:v>
                      </c:pt>
                      <c:pt idx="9641">
                        <c:v>17.664999999999999</c:v>
                      </c:pt>
                      <c:pt idx="9642">
                        <c:v>17.57</c:v>
                      </c:pt>
                      <c:pt idx="9643">
                        <c:v>17.664999999999999</c:v>
                      </c:pt>
                      <c:pt idx="9644">
                        <c:v>17.57</c:v>
                      </c:pt>
                      <c:pt idx="9645">
                        <c:v>17.475000000000001</c:v>
                      </c:pt>
                      <c:pt idx="9646">
                        <c:v>17.57</c:v>
                      </c:pt>
                      <c:pt idx="9647">
                        <c:v>17.57</c:v>
                      </c:pt>
                      <c:pt idx="9648">
                        <c:v>17.475000000000001</c:v>
                      </c:pt>
                      <c:pt idx="9649">
                        <c:v>17.379000000000001</c:v>
                      </c:pt>
                      <c:pt idx="9650">
                        <c:v>17.379000000000001</c:v>
                      </c:pt>
                      <c:pt idx="9651">
                        <c:v>17.475000000000001</c:v>
                      </c:pt>
                      <c:pt idx="9652">
                        <c:v>17.475000000000001</c:v>
                      </c:pt>
                      <c:pt idx="9653">
                        <c:v>17.475000000000001</c:v>
                      </c:pt>
                      <c:pt idx="9654">
                        <c:v>17.379000000000001</c:v>
                      </c:pt>
                      <c:pt idx="9655">
                        <c:v>17.379000000000001</c:v>
                      </c:pt>
                      <c:pt idx="9656">
                        <c:v>17.379000000000001</c:v>
                      </c:pt>
                      <c:pt idx="9657">
                        <c:v>17.379000000000001</c:v>
                      </c:pt>
                      <c:pt idx="9658">
                        <c:v>17.283999999999999</c:v>
                      </c:pt>
                      <c:pt idx="9659">
                        <c:v>17.379000000000001</c:v>
                      </c:pt>
                      <c:pt idx="9660">
                        <c:v>17.189</c:v>
                      </c:pt>
                      <c:pt idx="9661">
                        <c:v>17.283999999999999</c:v>
                      </c:pt>
                      <c:pt idx="9662">
                        <c:v>17.189</c:v>
                      </c:pt>
                      <c:pt idx="9663">
                        <c:v>17.189</c:v>
                      </c:pt>
                      <c:pt idx="9664">
                        <c:v>17.189</c:v>
                      </c:pt>
                      <c:pt idx="9665">
                        <c:v>17.189</c:v>
                      </c:pt>
                      <c:pt idx="9666">
                        <c:v>17.189</c:v>
                      </c:pt>
                      <c:pt idx="9667">
                        <c:v>17.283999999999999</c:v>
                      </c:pt>
                      <c:pt idx="9668">
                        <c:v>17.189</c:v>
                      </c:pt>
                      <c:pt idx="9669">
                        <c:v>17.094000000000001</c:v>
                      </c:pt>
                      <c:pt idx="9670">
                        <c:v>17.094000000000001</c:v>
                      </c:pt>
                      <c:pt idx="9671">
                        <c:v>17.094000000000001</c:v>
                      </c:pt>
                      <c:pt idx="9672">
                        <c:v>17.094000000000001</c:v>
                      </c:pt>
                      <c:pt idx="9673">
                        <c:v>16.998999999999999</c:v>
                      </c:pt>
                      <c:pt idx="9674">
                        <c:v>16.998999999999999</c:v>
                      </c:pt>
                      <c:pt idx="9675">
                        <c:v>17.094000000000001</c:v>
                      </c:pt>
                      <c:pt idx="9676">
                        <c:v>17.094000000000001</c:v>
                      </c:pt>
                      <c:pt idx="9677">
                        <c:v>17.189</c:v>
                      </c:pt>
                      <c:pt idx="9678">
                        <c:v>17.094000000000001</c:v>
                      </c:pt>
                      <c:pt idx="9679">
                        <c:v>17.094000000000001</c:v>
                      </c:pt>
                      <c:pt idx="9680">
                        <c:v>16.998999999999999</c:v>
                      </c:pt>
                      <c:pt idx="9681">
                        <c:v>16.998999999999999</c:v>
                      </c:pt>
                      <c:pt idx="9682">
                        <c:v>16.998999999999999</c:v>
                      </c:pt>
                      <c:pt idx="9683">
                        <c:v>16.998999999999999</c:v>
                      </c:pt>
                      <c:pt idx="9684">
                        <c:v>16.902999999999999</c:v>
                      </c:pt>
                      <c:pt idx="9685">
                        <c:v>16.998999999999999</c:v>
                      </c:pt>
                      <c:pt idx="9686">
                        <c:v>16.998999999999999</c:v>
                      </c:pt>
                      <c:pt idx="9687">
                        <c:v>16.902999999999999</c:v>
                      </c:pt>
                      <c:pt idx="9688">
                        <c:v>16.808</c:v>
                      </c:pt>
                      <c:pt idx="9689">
                        <c:v>16.902999999999999</c:v>
                      </c:pt>
                      <c:pt idx="9690">
                        <c:v>17.094000000000001</c:v>
                      </c:pt>
                      <c:pt idx="9691">
                        <c:v>17.094000000000001</c:v>
                      </c:pt>
                      <c:pt idx="9692">
                        <c:v>17.094000000000001</c:v>
                      </c:pt>
                      <c:pt idx="9693">
                        <c:v>17.094000000000001</c:v>
                      </c:pt>
                      <c:pt idx="9694">
                        <c:v>16.998999999999999</c:v>
                      </c:pt>
                      <c:pt idx="9695">
                        <c:v>16.998999999999999</c:v>
                      </c:pt>
                      <c:pt idx="9696">
                        <c:v>16.902999999999999</c:v>
                      </c:pt>
                      <c:pt idx="9697">
                        <c:v>16.902999999999999</c:v>
                      </c:pt>
                      <c:pt idx="9698">
                        <c:v>16.902999999999999</c:v>
                      </c:pt>
                      <c:pt idx="9699">
                        <c:v>16.902999999999999</c:v>
                      </c:pt>
                      <c:pt idx="9700">
                        <c:v>17.094000000000001</c:v>
                      </c:pt>
                      <c:pt idx="9701">
                        <c:v>17.379000000000001</c:v>
                      </c:pt>
                      <c:pt idx="9702">
                        <c:v>17.475000000000001</c:v>
                      </c:pt>
                      <c:pt idx="9703">
                        <c:v>17.57</c:v>
                      </c:pt>
                      <c:pt idx="9704">
                        <c:v>17.664999999999999</c:v>
                      </c:pt>
                      <c:pt idx="9705">
                        <c:v>17.664999999999999</c:v>
                      </c:pt>
                      <c:pt idx="9706">
                        <c:v>17.760000000000002</c:v>
                      </c:pt>
                      <c:pt idx="9707">
                        <c:v>17.95</c:v>
                      </c:pt>
                      <c:pt idx="9708">
                        <c:v>17.95</c:v>
                      </c:pt>
                      <c:pt idx="9709">
                        <c:v>17.95</c:v>
                      </c:pt>
                      <c:pt idx="9710">
                        <c:v>18.045000000000002</c:v>
                      </c:pt>
                      <c:pt idx="9711">
                        <c:v>18.045000000000002</c:v>
                      </c:pt>
                      <c:pt idx="9712">
                        <c:v>18.14</c:v>
                      </c:pt>
                      <c:pt idx="9713">
                        <c:v>18.14</c:v>
                      </c:pt>
                      <c:pt idx="9714">
                        <c:v>18.806000000000001</c:v>
                      </c:pt>
                      <c:pt idx="9715">
                        <c:v>18.806000000000001</c:v>
                      </c:pt>
                      <c:pt idx="9716">
                        <c:v>18.521000000000001</c:v>
                      </c:pt>
                      <c:pt idx="9717">
                        <c:v>18.521000000000001</c:v>
                      </c:pt>
                      <c:pt idx="9718">
                        <c:v>18.521000000000001</c:v>
                      </c:pt>
                      <c:pt idx="9719">
                        <c:v>18.710999999999999</c:v>
                      </c:pt>
                      <c:pt idx="9720">
                        <c:v>18.710999999999999</c:v>
                      </c:pt>
                      <c:pt idx="9721">
                        <c:v>18.710999999999999</c:v>
                      </c:pt>
                      <c:pt idx="9722">
                        <c:v>18.710999999999999</c:v>
                      </c:pt>
                      <c:pt idx="9723">
                        <c:v>18.806000000000001</c:v>
                      </c:pt>
                      <c:pt idx="9724">
                        <c:v>18.995999999999999</c:v>
                      </c:pt>
                      <c:pt idx="9725">
                        <c:v>19.187000000000001</c:v>
                      </c:pt>
                      <c:pt idx="9726">
                        <c:v>19.661999999999999</c:v>
                      </c:pt>
                      <c:pt idx="9727">
                        <c:v>19.187000000000001</c:v>
                      </c:pt>
                      <c:pt idx="9728">
                        <c:v>19.187000000000001</c:v>
                      </c:pt>
                      <c:pt idx="9729">
                        <c:v>19.187000000000001</c:v>
                      </c:pt>
                      <c:pt idx="9730">
                        <c:v>19.187000000000001</c:v>
                      </c:pt>
                      <c:pt idx="9731">
                        <c:v>19.376999999999999</c:v>
                      </c:pt>
                      <c:pt idx="9732">
                        <c:v>19.282</c:v>
                      </c:pt>
                      <c:pt idx="9733">
                        <c:v>19.282</c:v>
                      </c:pt>
                      <c:pt idx="9734">
                        <c:v>19.187000000000001</c:v>
                      </c:pt>
                      <c:pt idx="9735">
                        <c:v>19.187000000000001</c:v>
                      </c:pt>
                      <c:pt idx="9736">
                        <c:v>19.187000000000001</c:v>
                      </c:pt>
                      <c:pt idx="9737">
                        <c:v>19.187000000000001</c:v>
                      </c:pt>
                      <c:pt idx="9738">
                        <c:v>19.187000000000001</c:v>
                      </c:pt>
                      <c:pt idx="9739">
                        <c:v>19.187000000000001</c:v>
                      </c:pt>
                      <c:pt idx="9740">
                        <c:v>19.187000000000001</c:v>
                      </c:pt>
                      <c:pt idx="9741">
                        <c:v>19.091999999999999</c:v>
                      </c:pt>
                      <c:pt idx="9742">
                        <c:v>19.187000000000001</c:v>
                      </c:pt>
                      <c:pt idx="9743">
                        <c:v>19.187000000000001</c:v>
                      </c:pt>
                      <c:pt idx="9744">
                        <c:v>19.187000000000001</c:v>
                      </c:pt>
                      <c:pt idx="9745">
                        <c:v>19.187000000000001</c:v>
                      </c:pt>
                      <c:pt idx="9746">
                        <c:v>19.187000000000001</c:v>
                      </c:pt>
                      <c:pt idx="9747">
                        <c:v>19.091999999999999</c:v>
                      </c:pt>
                      <c:pt idx="9748">
                        <c:v>18.901</c:v>
                      </c:pt>
                      <c:pt idx="9749">
                        <c:v>18.806000000000001</c:v>
                      </c:pt>
                      <c:pt idx="9750">
                        <c:v>18.806000000000001</c:v>
                      </c:pt>
                      <c:pt idx="9751">
                        <c:v>18.710999999999999</c:v>
                      </c:pt>
                      <c:pt idx="9752">
                        <c:v>18.710999999999999</c:v>
                      </c:pt>
                      <c:pt idx="9753">
                        <c:v>18.710999999999999</c:v>
                      </c:pt>
                      <c:pt idx="9754">
                        <c:v>18.710999999999999</c:v>
                      </c:pt>
                      <c:pt idx="9755">
                        <c:v>18.710999999999999</c:v>
                      </c:pt>
                      <c:pt idx="9756">
                        <c:v>18.710999999999999</c:v>
                      </c:pt>
                      <c:pt idx="9757">
                        <c:v>18.710999999999999</c:v>
                      </c:pt>
                      <c:pt idx="9758">
                        <c:v>18.710999999999999</c:v>
                      </c:pt>
                      <c:pt idx="9759">
                        <c:v>18.616</c:v>
                      </c:pt>
                      <c:pt idx="9760">
                        <c:v>18.616</c:v>
                      </c:pt>
                      <c:pt idx="9761">
                        <c:v>18.425999999999998</c:v>
                      </c:pt>
                      <c:pt idx="9762">
                        <c:v>18.521000000000001</c:v>
                      </c:pt>
                      <c:pt idx="9763">
                        <c:v>18.425999999999998</c:v>
                      </c:pt>
                      <c:pt idx="9764">
                        <c:v>18.425999999999998</c:v>
                      </c:pt>
                      <c:pt idx="9765">
                        <c:v>18.425999999999998</c:v>
                      </c:pt>
                      <c:pt idx="9766">
                        <c:v>18.521000000000001</c:v>
                      </c:pt>
                      <c:pt idx="9767">
                        <c:v>18.331</c:v>
                      </c:pt>
                      <c:pt idx="9768">
                        <c:v>18.236000000000001</c:v>
                      </c:pt>
                      <c:pt idx="9769">
                        <c:v>18.14</c:v>
                      </c:pt>
                      <c:pt idx="9770">
                        <c:v>18.045000000000002</c:v>
                      </c:pt>
                      <c:pt idx="9771">
                        <c:v>18.045000000000002</c:v>
                      </c:pt>
                      <c:pt idx="9772">
                        <c:v>18.045000000000002</c:v>
                      </c:pt>
                      <c:pt idx="9773">
                        <c:v>17.95</c:v>
                      </c:pt>
                      <c:pt idx="9774">
                        <c:v>17.95</c:v>
                      </c:pt>
                      <c:pt idx="9775">
                        <c:v>17.95</c:v>
                      </c:pt>
                      <c:pt idx="9776">
                        <c:v>17.855</c:v>
                      </c:pt>
                      <c:pt idx="9777">
                        <c:v>17.855</c:v>
                      </c:pt>
                      <c:pt idx="9778">
                        <c:v>17.95</c:v>
                      </c:pt>
                      <c:pt idx="9779">
                        <c:v>17.95</c:v>
                      </c:pt>
                      <c:pt idx="9780">
                        <c:v>18.045000000000002</c:v>
                      </c:pt>
                      <c:pt idx="9781">
                        <c:v>17.855</c:v>
                      </c:pt>
                      <c:pt idx="9782">
                        <c:v>17.760000000000002</c:v>
                      </c:pt>
                      <c:pt idx="9783">
                        <c:v>17.855</c:v>
                      </c:pt>
                      <c:pt idx="9784">
                        <c:v>17.760000000000002</c:v>
                      </c:pt>
                      <c:pt idx="9785">
                        <c:v>17.760000000000002</c:v>
                      </c:pt>
                      <c:pt idx="9786">
                        <c:v>17.760000000000002</c:v>
                      </c:pt>
                      <c:pt idx="9787">
                        <c:v>17.664999999999999</c:v>
                      </c:pt>
                      <c:pt idx="9788">
                        <c:v>17.664999999999999</c:v>
                      </c:pt>
                      <c:pt idx="9789">
                        <c:v>17.760000000000002</c:v>
                      </c:pt>
                      <c:pt idx="9790">
                        <c:v>17.855</c:v>
                      </c:pt>
                      <c:pt idx="9791">
                        <c:v>17.760000000000002</c:v>
                      </c:pt>
                    </c:numCache>
                  </c:numRef>
                </c:yVal>
                <c:smooth val="0"/>
                <c:extLst xmlns:c16r2="http://schemas.microsoft.com/office/drawing/2015/06/chart">
                  <c:ext xmlns:c16="http://schemas.microsoft.com/office/drawing/2014/chart" uri="{C3380CC4-5D6E-409C-BE32-E72D297353CC}">
                    <c16:uniqueId val="{00000002-ECB3-4E12-A1F3-7052C38CC8C1}"/>
                  </c:ext>
                </c:extLst>
              </c15:ser>
            </c15:filteredScatterSeries>
            <c15:filteredScatterSeries>
              <c15:ser>
                <c:idx val="3"/>
                <c:order val="3"/>
                <c:tx>
                  <c:v>Round 2 Hyp</c:v>
                </c:tx>
                <c:spPr>
                  <a:ln w="19050" cap="rnd">
                    <a:solidFill>
                      <a:schemeClr val="accent4"/>
                    </a:solidFill>
                    <a:round/>
                  </a:ln>
                  <a:effectLst/>
                </c:spPr>
                <c:marker>
                  <c:symbol val="none"/>
                </c:marker>
                <c:xVal>
                  <c:numRef>
                    <c:extLst xmlns:c16r2="http://schemas.microsoft.com/office/drawing/2015/06/chart" xmlns:c15="http://schemas.microsoft.com/office/drawing/2012/chart">
                      <c:ext xmlns:c15="http://schemas.microsoft.com/office/drawing/2012/chart" uri="{02D57815-91ED-43cb-92C2-25804820EDAC}">
                        <c15:formulaRef>
                          <c15:sqref>Sheet1!$N$3:$N$9794</c15:sqref>
                        </c15:formulaRef>
                      </c:ext>
                    </c:extLst>
                    <c:numCache>
                      <c:formatCode>0.00</c:formatCode>
                      <c:ptCount val="9792"/>
                      <c:pt idx="0">
                        <c:v>0</c:v>
                      </c:pt>
                      <c:pt idx="1">
                        <c:v>6.9444444452528842E-3</c:v>
                      </c:pt>
                      <c:pt idx="2">
                        <c:v>1.3888888890505768E-2</c:v>
                      </c:pt>
                      <c:pt idx="3">
                        <c:v>2.0833333335758653E-2</c:v>
                      </c:pt>
                      <c:pt idx="4">
                        <c:v>2.7777777781011537E-2</c:v>
                      </c:pt>
                      <c:pt idx="5">
                        <c:v>3.4722222218988463E-2</c:v>
                      </c:pt>
                      <c:pt idx="6">
                        <c:v>4.1666666664241347E-2</c:v>
                      </c:pt>
                      <c:pt idx="7">
                        <c:v>4.8611111109494232E-2</c:v>
                      </c:pt>
                      <c:pt idx="8">
                        <c:v>5.5555555554747116E-2</c:v>
                      </c:pt>
                      <c:pt idx="9">
                        <c:v>6.25E-2</c:v>
                      </c:pt>
                      <c:pt idx="10">
                        <c:v>6.9444444445252884E-2</c:v>
                      </c:pt>
                      <c:pt idx="11">
                        <c:v>7.6388888890505768E-2</c:v>
                      </c:pt>
                      <c:pt idx="12">
                        <c:v>8.3333333335758653E-2</c:v>
                      </c:pt>
                      <c:pt idx="13">
                        <c:v>9.0277777781011537E-2</c:v>
                      </c:pt>
                      <c:pt idx="14">
                        <c:v>9.7222222218988463E-2</c:v>
                      </c:pt>
                      <c:pt idx="15">
                        <c:v>0.10416666666424135</c:v>
                      </c:pt>
                      <c:pt idx="16">
                        <c:v>0.11111111110949423</c:v>
                      </c:pt>
                      <c:pt idx="17">
                        <c:v>0.11805555555474712</c:v>
                      </c:pt>
                      <c:pt idx="18">
                        <c:v>0.125</c:v>
                      </c:pt>
                      <c:pt idx="19">
                        <c:v>0.13194444444525288</c:v>
                      </c:pt>
                      <c:pt idx="20">
                        <c:v>0.13888888889050577</c:v>
                      </c:pt>
                      <c:pt idx="21">
                        <c:v>0.14583333333575865</c:v>
                      </c:pt>
                      <c:pt idx="22">
                        <c:v>0.15277777778101154</c:v>
                      </c:pt>
                      <c:pt idx="23">
                        <c:v>0.15972222221898846</c:v>
                      </c:pt>
                      <c:pt idx="24">
                        <c:v>0.16666666666424135</c:v>
                      </c:pt>
                      <c:pt idx="25">
                        <c:v>0.17361111110949423</c:v>
                      </c:pt>
                      <c:pt idx="26">
                        <c:v>0.18055555555474712</c:v>
                      </c:pt>
                      <c:pt idx="27">
                        <c:v>0.1875</c:v>
                      </c:pt>
                      <c:pt idx="28">
                        <c:v>0.19444444444525288</c:v>
                      </c:pt>
                      <c:pt idx="29">
                        <c:v>0.20138888889050577</c:v>
                      </c:pt>
                      <c:pt idx="30">
                        <c:v>0.20833333333575865</c:v>
                      </c:pt>
                      <c:pt idx="31">
                        <c:v>0.21527777778101154</c:v>
                      </c:pt>
                      <c:pt idx="32">
                        <c:v>0.22222222221898846</c:v>
                      </c:pt>
                      <c:pt idx="33">
                        <c:v>0.22916666666424135</c:v>
                      </c:pt>
                      <c:pt idx="34">
                        <c:v>0.23611111110949423</c:v>
                      </c:pt>
                      <c:pt idx="35">
                        <c:v>0.24305555555474712</c:v>
                      </c:pt>
                      <c:pt idx="36">
                        <c:v>0.25</c:v>
                      </c:pt>
                      <c:pt idx="37">
                        <c:v>0.25694444444525288</c:v>
                      </c:pt>
                      <c:pt idx="38">
                        <c:v>0.26388888889050577</c:v>
                      </c:pt>
                      <c:pt idx="39">
                        <c:v>0.27083333333575865</c:v>
                      </c:pt>
                      <c:pt idx="40">
                        <c:v>0.27777777778101154</c:v>
                      </c:pt>
                      <c:pt idx="41">
                        <c:v>0.28472222221898846</c:v>
                      </c:pt>
                      <c:pt idx="42">
                        <c:v>0.29166666666424135</c:v>
                      </c:pt>
                      <c:pt idx="43">
                        <c:v>0.29861111110949423</c:v>
                      </c:pt>
                      <c:pt idx="44">
                        <c:v>0.30555555555474712</c:v>
                      </c:pt>
                      <c:pt idx="45">
                        <c:v>0.3125</c:v>
                      </c:pt>
                      <c:pt idx="46">
                        <c:v>0.31944444444525288</c:v>
                      </c:pt>
                      <c:pt idx="47">
                        <c:v>0.32638888889050577</c:v>
                      </c:pt>
                      <c:pt idx="48">
                        <c:v>0.33333333333575865</c:v>
                      </c:pt>
                      <c:pt idx="49">
                        <c:v>0.34027777778101154</c:v>
                      </c:pt>
                      <c:pt idx="50">
                        <c:v>0.34722222221898846</c:v>
                      </c:pt>
                      <c:pt idx="51">
                        <c:v>0.35416666666424135</c:v>
                      </c:pt>
                      <c:pt idx="52">
                        <c:v>0.36111111110949423</c:v>
                      </c:pt>
                      <c:pt idx="53">
                        <c:v>0.36805555555474712</c:v>
                      </c:pt>
                      <c:pt idx="54">
                        <c:v>0.375</c:v>
                      </c:pt>
                      <c:pt idx="55">
                        <c:v>0.38194444444525288</c:v>
                      </c:pt>
                      <c:pt idx="56">
                        <c:v>0.38888888889050577</c:v>
                      </c:pt>
                      <c:pt idx="57">
                        <c:v>0.39583333333575865</c:v>
                      </c:pt>
                      <c:pt idx="58">
                        <c:v>0.40277777778101154</c:v>
                      </c:pt>
                      <c:pt idx="59">
                        <c:v>0.40972222221898846</c:v>
                      </c:pt>
                      <c:pt idx="60">
                        <c:v>0.41666666666424135</c:v>
                      </c:pt>
                      <c:pt idx="61">
                        <c:v>0.42361111110949423</c:v>
                      </c:pt>
                      <c:pt idx="62">
                        <c:v>0.43055555555474712</c:v>
                      </c:pt>
                      <c:pt idx="63">
                        <c:v>0.4375</c:v>
                      </c:pt>
                      <c:pt idx="64">
                        <c:v>0.44444444444525288</c:v>
                      </c:pt>
                      <c:pt idx="65">
                        <c:v>0.45138888889050577</c:v>
                      </c:pt>
                      <c:pt idx="66">
                        <c:v>0.45833333333575865</c:v>
                      </c:pt>
                      <c:pt idx="67">
                        <c:v>0.46527777778101154</c:v>
                      </c:pt>
                      <c:pt idx="68">
                        <c:v>0.47222222221898846</c:v>
                      </c:pt>
                      <c:pt idx="69">
                        <c:v>0.47916666666424135</c:v>
                      </c:pt>
                      <c:pt idx="70">
                        <c:v>0.48611111110949423</c:v>
                      </c:pt>
                      <c:pt idx="71">
                        <c:v>0.49305555555474712</c:v>
                      </c:pt>
                      <c:pt idx="72">
                        <c:v>0.5</c:v>
                      </c:pt>
                      <c:pt idx="73">
                        <c:v>0.50694444444525288</c:v>
                      </c:pt>
                      <c:pt idx="74">
                        <c:v>0.51388888889050577</c:v>
                      </c:pt>
                      <c:pt idx="75">
                        <c:v>0.52083333333575865</c:v>
                      </c:pt>
                      <c:pt idx="76">
                        <c:v>0.52777777778101154</c:v>
                      </c:pt>
                      <c:pt idx="77">
                        <c:v>0.53472222221898846</c:v>
                      </c:pt>
                      <c:pt idx="78">
                        <c:v>0.54166666666424135</c:v>
                      </c:pt>
                      <c:pt idx="79">
                        <c:v>0.54861111110949423</c:v>
                      </c:pt>
                      <c:pt idx="80">
                        <c:v>0.55555555555474712</c:v>
                      </c:pt>
                      <c:pt idx="81">
                        <c:v>0.5625</c:v>
                      </c:pt>
                      <c:pt idx="82">
                        <c:v>0.56944444444525288</c:v>
                      </c:pt>
                      <c:pt idx="83">
                        <c:v>0.57638888889050577</c:v>
                      </c:pt>
                      <c:pt idx="84">
                        <c:v>0.58333333333575865</c:v>
                      </c:pt>
                      <c:pt idx="85">
                        <c:v>0.59027777778101154</c:v>
                      </c:pt>
                      <c:pt idx="86">
                        <c:v>0.59722222221898846</c:v>
                      </c:pt>
                      <c:pt idx="87">
                        <c:v>0.60416666666424135</c:v>
                      </c:pt>
                      <c:pt idx="88">
                        <c:v>0.61111111110949423</c:v>
                      </c:pt>
                      <c:pt idx="89">
                        <c:v>0.61805555555474712</c:v>
                      </c:pt>
                      <c:pt idx="90">
                        <c:v>0.625</c:v>
                      </c:pt>
                      <c:pt idx="91">
                        <c:v>0.63194444444525288</c:v>
                      </c:pt>
                      <c:pt idx="92">
                        <c:v>0.63888888889050577</c:v>
                      </c:pt>
                      <c:pt idx="93">
                        <c:v>0.64583333333575865</c:v>
                      </c:pt>
                      <c:pt idx="94">
                        <c:v>0.65277777778101154</c:v>
                      </c:pt>
                      <c:pt idx="95">
                        <c:v>0.65972222221898846</c:v>
                      </c:pt>
                      <c:pt idx="96">
                        <c:v>0.66666666666424135</c:v>
                      </c:pt>
                      <c:pt idx="97">
                        <c:v>0.67361111110949423</c:v>
                      </c:pt>
                      <c:pt idx="98">
                        <c:v>0.68055555555474712</c:v>
                      </c:pt>
                      <c:pt idx="99">
                        <c:v>0.6875</c:v>
                      </c:pt>
                      <c:pt idx="100">
                        <c:v>0.69444444444525288</c:v>
                      </c:pt>
                      <c:pt idx="101">
                        <c:v>0.70138888889050577</c:v>
                      </c:pt>
                      <c:pt idx="102">
                        <c:v>0.70833333333575865</c:v>
                      </c:pt>
                      <c:pt idx="103">
                        <c:v>0.71527777778101154</c:v>
                      </c:pt>
                      <c:pt idx="104">
                        <c:v>0.72222222221898846</c:v>
                      </c:pt>
                      <c:pt idx="105">
                        <c:v>0.72916666666424135</c:v>
                      </c:pt>
                      <c:pt idx="106">
                        <c:v>0.73611111110949423</c:v>
                      </c:pt>
                      <c:pt idx="107">
                        <c:v>0.74305555555474712</c:v>
                      </c:pt>
                      <c:pt idx="108">
                        <c:v>0.75</c:v>
                      </c:pt>
                      <c:pt idx="109">
                        <c:v>0.75694444444525288</c:v>
                      </c:pt>
                      <c:pt idx="110">
                        <c:v>0.76388888889050577</c:v>
                      </c:pt>
                      <c:pt idx="111">
                        <c:v>0.77083333333575865</c:v>
                      </c:pt>
                      <c:pt idx="112">
                        <c:v>0.77777777778101154</c:v>
                      </c:pt>
                      <c:pt idx="113">
                        <c:v>0.78472222221898846</c:v>
                      </c:pt>
                      <c:pt idx="114">
                        <c:v>0.79166666666424135</c:v>
                      </c:pt>
                      <c:pt idx="115">
                        <c:v>0.79861111110949423</c:v>
                      </c:pt>
                      <c:pt idx="116">
                        <c:v>0.80555555555474712</c:v>
                      </c:pt>
                      <c:pt idx="117">
                        <c:v>0.8125</c:v>
                      </c:pt>
                      <c:pt idx="118">
                        <c:v>0.81944444444525288</c:v>
                      </c:pt>
                      <c:pt idx="119">
                        <c:v>0.82638888889050577</c:v>
                      </c:pt>
                      <c:pt idx="120">
                        <c:v>0.83333333333575865</c:v>
                      </c:pt>
                      <c:pt idx="121">
                        <c:v>0.84027777778101154</c:v>
                      </c:pt>
                      <c:pt idx="122">
                        <c:v>0.84722222221898846</c:v>
                      </c:pt>
                      <c:pt idx="123">
                        <c:v>0.85416666666424135</c:v>
                      </c:pt>
                      <c:pt idx="124">
                        <c:v>0.86111111110949423</c:v>
                      </c:pt>
                      <c:pt idx="125">
                        <c:v>0.86805555555474712</c:v>
                      </c:pt>
                      <c:pt idx="126">
                        <c:v>0.875</c:v>
                      </c:pt>
                      <c:pt idx="127">
                        <c:v>0.88194444444525288</c:v>
                      </c:pt>
                      <c:pt idx="128">
                        <c:v>0.88888888889050577</c:v>
                      </c:pt>
                      <c:pt idx="129">
                        <c:v>0.89583333333575865</c:v>
                      </c:pt>
                      <c:pt idx="130">
                        <c:v>0.90277777778101154</c:v>
                      </c:pt>
                      <c:pt idx="131">
                        <c:v>0.90972222221898846</c:v>
                      </c:pt>
                      <c:pt idx="132">
                        <c:v>0.91666666666424135</c:v>
                      </c:pt>
                      <c:pt idx="133">
                        <c:v>0.92361111110949423</c:v>
                      </c:pt>
                      <c:pt idx="134">
                        <c:v>0.93055555555474712</c:v>
                      </c:pt>
                      <c:pt idx="135">
                        <c:v>0.9375</c:v>
                      </c:pt>
                      <c:pt idx="136">
                        <c:v>0.94444444444525288</c:v>
                      </c:pt>
                      <c:pt idx="137">
                        <c:v>0.95138888889050577</c:v>
                      </c:pt>
                      <c:pt idx="138">
                        <c:v>0.95833333333575865</c:v>
                      </c:pt>
                      <c:pt idx="139">
                        <c:v>0.96527777778101154</c:v>
                      </c:pt>
                      <c:pt idx="140">
                        <c:v>0.97222222221898846</c:v>
                      </c:pt>
                      <c:pt idx="141">
                        <c:v>0.97916666666424135</c:v>
                      </c:pt>
                      <c:pt idx="142">
                        <c:v>0.98611111110949423</c:v>
                      </c:pt>
                      <c:pt idx="143">
                        <c:v>0.99305555555474712</c:v>
                      </c:pt>
                      <c:pt idx="144">
                        <c:v>1</c:v>
                      </c:pt>
                      <c:pt idx="145">
                        <c:v>1.0069444444452529</c:v>
                      </c:pt>
                      <c:pt idx="146">
                        <c:v>1.0138888888905058</c:v>
                      </c:pt>
                      <c:pt idx="147">
                        <c:v>1.0208333333357587</c:v>
                      </c:pt>
                      <c:pt idx="148">
                        <c:v>1.0277777777810115</c:v>
                      </c:pt>
                      <c:pt idx="149">
                        <c:v>1.0347222222189885</c:v>
                      </c:pt>
                      <c:pt idx="150">
                        <c:v>1.0416666666642413</c:v>
                      </c:pt>
                      <c:pt idx="151">
                        <c:v>1.0486111111094942</c:v>
                      </c:pt>
                      <c:pt idx="152">
                        <c:v>1.0555555555547471</c:v>
                      </c:pt>
                      <c:pt idx="153">
                        <c:v>1.0625</c:v>
                      </c:pt>
                      <c:pt idx="154">
                        <c:v>1.0694444444452529</c:v>
                      </c:pt>
                      <c:pt idx="155">
                        <c:v>1.0763888888905058</c:v>
                      </c:pt>
                      <c:pt idx="156">
                        <c:v>1.0833333333357587</c:v>
                      </c:pt>
                      <c:pt idx="157">
                        <c:v>1.0902777777810115</c:v>
                      </c:pt>
                      <c:pt idx="158">
                        <c:v>1.0972222222189885</c:v>
                      </c:pt>
                      <c:pt idx="159">
                        <c:v>1.1041666666642413</c:v>
                      </c:pt>
                      <c:pt idx="160">
                        <c:v>1.1111111111094942</c:v>
                      </c:pt>
                      <c:pt idx="161">
                        <c:v>1.1180555555547471</c:v>
                      </c:pt>
                      <c:pt idx="162">
                        <c:v>1.125</c:v>
                      </c:pt>
                      <c:pt idx="163">
                        <c:v>1.1319444444452529</c:v>
                      </c:pt>
                      <c:pt idx="164">
                        <c:v>1.1388888888905058</c:v>
                      </c:pt>
                      <c:pt idx="165">
                        <c:v>1.1458333333357587</c:v>
                      </c:pt>
                      <c:pt idx="166">
                        <c:v>1.1527777777810115</c:v>
                      </c:pt>
                      <c:pt idx="167">
                        <c:v>1.1597222222189885</c:v>
                      </c:pt>
                      <c:pt idx="168">
                        <c:v>1.1666666666642413</c:v>
                      </c:pt>
                      <c:pt idx="169">
                        <c:v>1.1736111111094942</c:v>
                      </c:pt>
                      <c:pt idx="170">
                        <c:v>1.1805555555547471</c:v>
                      </c:pt>
                      <c:pt idx="171">
                        <c:v>1.1875</c:v>
                      </c:pt>
                      <c:pt idx="172">
                        <c:v>1.1944444444452529</c:v>
                      </c:pt>
                      <c:pt idx="173">
                        <c:v>1.2013888888905058</c:v>
                      </c:pt>
                      <c:pt idx="174">
                        <c:v>1.2083333333357587</c:v>
                      </c:pt>
                      <c:pt idx="175">
                        <c:v>1.2152777777810115</c:v>
                      </c:pt>
                      <c:pt idx="176">
                        <c:v>1.2222222222189885</c:v>
                      </c:pt>
                      <c:pt idx="177">
                        <c:v>1.2291666666642413</c:v>
                      </c:pt>
                      <c:pt idx="178">
                        <c:v>1.2361111111094942</c:v>
                      </c:pt>
                      <c:pt idx="179">
                        <c:v>1.2430555555547471</c:v>
                      </c:pt>
                      <c:pt idx="180">
                        <c:v>1.25</c:v>
                      </c:pt>
                      <c:pt idx="181">
                        <c:v>1.2569444444452529</c:v>
                      </c:pt>
                      <c:pt idx="182">
                        <c:v>1.2638888888905058</c:v>
                      </c:pt>
                      <c:pt idx="183">
                        <c:v>1.2708333333357587</c:v>
                      </c:pt>
                      <c:pt idx="184">
                        <c:v>1.2777777777810115</c:v>
                      </c:pt>
                      <c:pt idx="185">
                        <c:v>1.2847222222189885</c:v>
                      </c:pt>
                      <c:pt idx="186">
                        <c:v>1.2916666666642413</c:v>
                      </c:pt>
                      <c:pt idx="187">
                        <c:v>1.2986111111094942</c:v>
                      </c:pt>
                      <c:pt idx="188">
                        <c:v>1.3055555555547471</c:v>
                      </c:pt>
                      <c:pt idx="189">
                        <c:v>1.3125</c:v>
                      </c:pt>
                      <c:pt idx="190">
                        <c:v>1.3194444444452529</c:v>
                      </c:pt>
                      <c:pt idx="191">
                        <c:v>1.3263888888905058</c:v>
                      </c:pt>
                      <c:pt idx="192">
                        <c:v>1.3333333333357587</c:v>
                      </c:pt>
                      <c:pt idx="193">
                        <c:v>1.3402777777810115</c:v>
                      </c:pt>
                      <c:pt idx="194">
                        <c:v>1.3472222222189885</c:v>
                      </c:pt>
                      <c:pt idx="195">
                        <c:v>1.3541666666642413</c:v>
                      </c:pt>
                      <c:pt idx="196">
                        <c:v>1.3611111111094942</c:v>
                      </c:pt>
                      <c:pt idx="197">
                        <c:v>1.3680555555547471</c:v>
                      </c:pt>
                      <c:pt idx="198">
                        <c:v>1.375</c:v>
                      </c:pt>
                      <c:pt idx="199">
                        <c:v>1.3819444444452529</c:v>
                      </c:pt>
                      <c:pt idx="200">
                        <c:v>1.3888888888905058</c:v>
                      </c:pt>
                      <c:pt idx="201">
                        <c:v>1.3958333333357587</c:v>
                      </c:pt>
                      <c:pt idx="202">
                        <c:v>1.4027777777810115</c:v>
                      </c:pt>
                      <c:pt idx="203">
                        <c:v>1.4097222222189885</c:v>
                      </c:pt>
                      <c:pt idx="204">
                        <c:v>1.4166666666642413</c:v>
                      </c:pt>
                      <c:pt idx="205">
                        <c:v>1.4236111111094942</c:v>
                      </c:pt>
                      <c:pt idx="206">
                        <c:v>1.4305555555547471</c:v>
                      </c:pt>
                      <c:pt idx="207">
                        <c:v>1.4375</c:v>
                      </c:pt>
                      <c:pt idx="208">
                        <c:v>1.4444444444452529</c:v>
                      </c:pt>
                      <c:pt idx="209">
                        <c:v>1.4513888888905058</c:v>
                      </c:pt>
                      <c:pt idx="210">
                        <c:v>1.4583333333357587</c:v>
                      </c:pt>
                      <c:pt idx="211">
                        <c:v>1.4652777777810115</c:v>
                      </c:pt>
                      <c:pt idx="212">
                        <c:v>1.4722222222189885</c:v>
                      </c:pt>
                      <c:pt idx="213">
                        <c:v>1.4791666666642413</c:v>
                      </c:pt>
                      <c:pt idx="214">
                        <c:v>1.4861111111094942</c:v>
                      </c:pt>
                      <c:pt idx="215">
                        <c:v>1.4930555555547471</c:v>
                      </c:pt>
                      <c:pt idx="216">
                        <c:v>1.5</c:v>
                      </c:pt>
                      <c:pt idx="217">
                        <c:v>1.5069444444452529</c:v>
                      </c:pt>
                      <c:pt idx="218">
                        <c:v>1.5138888888905058</c:v>
                      </c:pt>
                      <c:pt idx="219">
                        <c:v>1.5208333333357587</c:v>
                      </c:pt>
                      <c:pt idx="220">
                        <c:v>1.5277777777810115</c:v>
                      </c:pt>
                      <c:pt idx="221">
                        <c:v>1.5347222222189885</c:v>
                      </c:pt>
                      <c:pt idx="222">
                        <c:v>1.5416666666642413</c:v>
                      </c:pt>
                      <c:pt idx="223">
                        <c:v>1.5486111111094942</c:v>
                      </c:pt>
                      <c:pt idx="224">
                        <c:v>1.5555555555547471</c:v>
                      </c:pt>
                      <c:pt idx="225">
                        <c:v>1.5625</c:v>
                      </c:pt>
                      <c:pt idx="226">
                        <c:v>1.5694444444452529</c:v>
                      </c:pt>
                      <c:pt idx="227">
                        <c:v>1.5763888888905058</c:v>
                      </c:pt>
                      <c:pt idx="228">
                        <c:v>1.5833333333357587</c:v>
                      </c:pt>
                      <c:pt idx="229">
                        <c:v>1.5902777777810115</c:v>
                      </c:pt>
                      <c:pt idx="230">
                        <c:v>1.5972222222189885</c:v>
                      </c:pt>
                      <c:pt idx="231">
                        <c:v>1.6041666666642413</c:v>
                      </c:pt>
                      <c:pt idx="232">
                        <c:v>1.6111111111094942</c:v>
                      </c:pt>
                      <c:pt idx="233">
                        <c:v>1.6180555555547471</c:v>
                      </c:pt>
                      <c:pt idx="234">
                        <c:v>1.625</c:v>
                      </c:pt>
                      <c:pt idx="235">
                        <c:v>1.6319444444452529</c:v>
                      </c:pt>
                      <c:pt idx="236">
                        <c:v>1.6388888888905058</c:v>
                      </c:pt>
                      <c:pt idx="237">
                        <c:v>1.6458333333357587</c:v>
                      </c:pt>
                      <c:pt idx="238">
                        <c:v>1.6527777777810115</c:v>
                      </c:pt>
                      <c:pt idx="239">
                        <c:v>1.6597222222189885</c:v>
                      </c:pt>
                      <c:pt idx="240">
                        <c:v>1.6666666666642413</c:v>
                      </c:pt>
                      <c:pt idx="241">
                        <c:v>1.6736111111094942</c:v>
                      </c:pt>
                      <c:pt idx="242">
                        <c:v>1.6805555555547471</c:v>
                      </c:pt>
                      <c:pt idx="243">
                        <c:v>1.6875</c:v>
                      </c:pt>
                      <c:pt idx="244">
                        <c:v>1.6944444444452529</c:v>
                      </c:pt>
                      <c:pt idx="245">
                        <c:v>1.7013888888905058</c:v>
                      </c:pt>
                      <c:pt idx="246">
                        <c:v>1.7083333333357587</c:v>
                      </c:pt>
                      <c:pt idx="247">
                        <c:v>1.7152777777810115</c:v>
                      </c:pt>
                      <c:pt idx="248">
                        <c:v>1.7222222222189885</c:v>
                      </c:pt>
                      <c:pt idx="249">
                        <c:v>1.7291666666642413</c:v>
                      </c:pt>
                      <c:pt idx="250">
                        <c:v>1.7361111111094942</c:v>
                      </c:pt>
                      <c:pt idx="251">
                        <c:v>1.7430555555547471</c:v>
                      </c:pt>
                      <c:pt idx="252">
                        <c:v>1.75</c:v>
                      </c:pt>
                      <c:pt idx="253">
                        <c:v>1.7569444444452529</c:v>
                      </c:pt>
                      <c:pt idx="254">
                        <c:v>1.7638888888905058</c:v>
                      </c:pt>
                      <c:pt idx="255">
                        <c:v>1.7708333333357587</c:v>
                      </c:pt>
                      <c:pt idx="256">
                        <c:v>1.7777777777810115</c:v>
                      </c:pt>
                      <c:pt idx="257">
                        <c:v>1.7847222222189885</c:v>
                      </c:pt>
                      <c:pt idx="258">
                        <c:v>1.7916666666642413</c:v>
                      </c:pt>
                      <c:pt idx="259">
                        <c:v>1.7986111111094942</c:v>
                      </c:pt>
                      <c:pt idx="260">
                        <c:v>1.8055555555547471</c:v>
                      </c:pt>
                      <c:pt idx="261">
                        <c:v>1.8125</c:v>
                      </c:pt>
                      <c:pt idx="262">
                        <c:v>1.8194444444452529</c:v>
                      </c:pt>
                      <c:pt idx="263">
                        <c:v>1.8263888888905058</c:v>
                      </c:pt>
                      <c:pt idx="264">
                        <c:v>1.8333333333357587</c:v>
                      </c:pt>
                      <c:pt idx="265">
                        <c:v>1.8402777777810115</c:v>
                      </c:pt>
                      <c:pt idx="266">
                        <c:v>1.8472222222189885</c:v>
                      </c:pt>
                      <c:pt idx="267">
                        <c:v>1.8541666666642413</c:v>
                      </c:pt>
                      <c:pt idx="268">
                        <c:v>1.8611111111094942</c:v>
                      </c:pt>
                      <c:pt idx="269">
                        <c:v>1.8680555555547471</c:v>
                      </c:pt>
                      <c:pt idx="270">
                        <c:v>1.875</c:v>
                      </c:pt>
                      <c:pt idx="271">
                        <c:v>1.8819444444452529</c:v>
                      </c:pt>
                      <c:pt idx="272">
                        <c:v>1.8888888888905058</c:v>
                      </c:pt>
                      <c:pt idx="273">
                        <c:v>1.8958333333357587</c:v>
                      </c:pt>
                      <c:pt idx="274">
                        <c:v>1.9027777777810115</c:v>
                      </c:pt>
                      <c:pt idx="275">
                        <c:v>1.9097222222189885</c:v>
                      </c:pt>
                      <c:pt idx="276">
                        <c:v>1.9166666666642413</c:v>
                      </c:pt>
                      <c:pt idx="277">
                        <c:v>1.9236111111094942</c:v>
                      </c:pt>
                      <c:pt idx="278">
                        <c:v>1.9305555555547471</c:v>
                      </c:pt>
                      <c:pt idx="279">
                        <c:v>1.9375</c:v>
                      </c:pt>
                      <c:pt idx="280">
                        <c:v>1.9444444444452529</c:v>
                      </c:pt>
                      <c:pt idx="281">
                        <c:v>1.9513888888905058</c:v>
                      </c:pt>
                      <c:pt idx="282">
                        <c:v>1.9583333333357587</c:v>
                      </c:pt>
                      <c:pt idx="283">
                        <c:v>1.9652777777810115</c:v>
                      </c:pt>
                      <c:pt idx="284">
                        <c:v>1.9722222222189885</c:v>
                      </c:pt>
                      <c:pt idx="285">
                        <c:v>1.9791666666642413</c:v>
                      </c:pt>
                      <c:pt idx="286">
                        <c:v>1.9861111111094942</c:v>
                      </c:pt>
                      <c:pt idx="287">
                        <c:v>1.9930555555547471</c:v>
                      </c:pt>
                      <c:pt idx="288">
                        <c:v>2</c:v>
                      </c:pt>
                      <c:pt idx="289">
                        <c:v>2.0069444444452529</c:v>
                      </c:pt>
                      <c:pt idx="290">
                        <c:v>2.0138888888905058</c:v>
                      </c:pt>
                      <c:pt idx="291">
                        <c:v>2.0208333333357587</c:v>
                      </c:pt>
                      <c:pt idx="292">
                        <c:v>2.0277777777810115</c:v>
                      </c:pt>
                      <c:pt idx="293">
                        <c:v>2.0347222222189885</c:v>
                      </c:pt>
                      <c:pt idx="294">
                        <c:v>2.0416666666642413</c:v>
                      </c:pt>
                      <c:pt idx="295">
                        <c:v>2.0486111111094942</c:v>
                      </c:pt>
                      <c:pt idx="296">
                        <c:v>2.0555555555547471</c:v>
                      </c:pt>
                      <c:pt idx="297">
                        <c:v>2.0625</c:v>
                      </c:pt>
                      <c:pt idx="298">
                        <c:v>2.0694444444452529</c:v>
                      </c:pt>
                      <c:pt idx="299">
                        <c:v>2.0763888888905058</c:v>
                      </c:pt>
                      <c:pt idx="300">
                        <c:v>2.0833333333357587</c:v>
                      </c:pt>
                      <c:pt idx="301">
                        <c:v>2.0902777777810115</c:v>
                      </c:pt>
                      <c:pt idx="302">
                        <c:v>2.0972222222189885</c:v>
                      </c:pt>
                      <c:pt idx="303">
                        <c:v>2.1041666666642413</c:v>
                      </c:pt>
                      <c:pt idx="304">
                        <c:v>2.1111111111094942</c:v>
                      </c:pt>
                      <c:pt idx="305">
                        <c:v>2.1180555555547471</c:v>
                      </c:pt>
                      <c:pt idx="306">
                        <c:v>2.125</c:v>
                      </c:pt>
                      <c:pt idx="307">
                        <c:v>2.1319444444452529</c:v>
                      </c:pt>
                      <c:pt idx="308">
                        <c:v>2.1388888888905058</c:v>
                      </c:pt>
                      <c:pt idx="309">
                        <c:v>2.1458333333357587</c:v>
                      </c:pt>
                      <c:pt idx="310">
                        <c:v>2.1527777777810115</c:v>
                      </c:pt>
                      <c:pt idx="311">
                        <c:v>2.1597222222189885</c:v>
                      </c:pt>
                      <c:pt idx="312">
                        <c:v>2.1666666666642413</c:v>
                      </c:pt>
                      <c:pt idx="313">
                        <c:v>2.1736111111094942</c:v>
                      </c:pt>
                      <c:pt idx="314">
                        <c:v>2.1805555555547471</c:v>
                      </c:pt>
                      <c:pt idx="315">
                        <c:v>2.1875</c:v>
                      </c:pt>
                      <c:pt idx="316">
                        <c:v>2.1944444444452529</c:v>
                      </c:pt>
                      <c:pt idx="317">
                        <c:v>2.2013888888905058</c:v>
                      </c:pt>
                      <c:pt idx="318">
                        <c:v>2.2083333333357587</c:v>
                      </c:pt>
                      <c:pt idx="319">
                        <c:v>2.2152777777810115</c:v>
                      </c:pt>
                      <c:pt idx="320">
                        <c:v>2.2222222222189885</c:v>
                      </c:pt>
                      <c:pt idx="321">
                        <c:v>2.2291666666642413</c:v>
                      </c:pt>
                      <c:pt idx="322">
                        <c:v>2.2361111111094942</c:v>
                      </c:pt>
                      <c:pt idx="323">
                        <c:v>2.2430555555547471</c:v>
                      </c:pt>
                      <c:pt idx="324">
                        <c:v>2.25</c:v>
                      </c:pt>
                      <c:pt idx="325">
                        <c:v>2.2569444444452529</c:v>
                      </c:pt>
                      <c:pt idx="326">
                        <c:v>2.2638888888905058</c:v>
                      </c:pt>
                      <c:pt idx="327">
                        <c:v>2.2708333333357587</c:v>
                      </c:pt>
                      <c:pt idx="328">
                        <c:v>2.2777777777810115</c:v>
                      </c:pt>
                      <c:pt idx="329">
                        <c:v>2.2847222222189885</c:v>
                      </c:pt>
                      <c:pt idx="330">
                        <c:v>2.2916666666642413</c:v>
                      </c:pt>
                      <c:pt idx="331">
                        <c:v>2.2986111111094942</c:v>
                      </c:pt>
                      <c:pt idx="332">
                        <c:v>2.3055555555547471</c:v>
                      </c:pt>
                      <c:pt idx="333">
                        <c:v>2.3125</c:v>
                      </c:pt>
                      <c:pt idx="334">
                        <c:v>2.3194444444452529</c:v>
                      </c:pt>
                      <c:pt idx="335">
                        <c:v>2.3263888888905058</c:v>
                      </c:pt>
                      <c:pt idx="336">
                        <c:v>2.3333333333357587</c:v>
                      </c:pt>
                      <c:pt idx="337">
                        <c:v>2.3402777777810115</c:v>
                      </c:pt>
                      <c:pt idx="338">
                        <c:v>2.3472222222189885</c:v>
                      </c:pt>
                      <c:pt idx="339">
                        <c:v>2.3541666666642413</c:v>
                      </c:pt>
                      <c:pt idx="340">
                        <c:v>2.3611111111094942</c:v>
                      </c:pt>
                      <c:pt idx="341">
                        <c:v>2.3680555555547471</c:v>
                      </c:pt>
                      <c:pt idx="342">
                        <c:v>2.375</c:v>
                      </c:pt>
                      <c:pt idx="343">
                        <c:v>2.3819444444452529</c:v>
                      </c:pt>
                      <c:pt idx="344">
                        <c:v>2.3888888888905058</c:v>
                      </c:pt>
                      <c:pt idx="345">
                        <c:v>2.3958333333357587</c:v>
                      </c:pt>
                      <c:pt idx="346">
                        <c:v>2.4027777777810115</c:v>
                      </c:pt>
                      <c:pt idx="347">
                        <c:v>2.4097222222189885</c:v>
                      </c:pt>
                      <c:pt idx="348">
                        <c:v>2.4166666666642413</c:v>
                      </c:pt>
                      <c:pt idx="349">
                        <c:v>2.4236111111094942</c:v>
                      </c:pt>
                      <c:pt idx="350">
                        <c:v>2.4305555555547471</c:v>
                      </c:pt>
                      <c:pt idx="351">
                        <c:v>2.4375</c:v>
                      </c:pt>
                      <c:pt idx="352">
                        <c:v>2.4444444444452529</c:v>
                      </c:pt>
                      <c:pt idx="353">
                        <c:v>2.4513888888905058</c:v>
                      </c:pt>
                      <c:pt idx="354">
                        <c:v>2.4583333333357587</c:v>
                      </c:pt>
                      <c:pt idx="355">
                        <c:v>2.4652777777810115</c:v>
                      </c:pt>
                      <c:pt idx="356">
                        <c:v>2.4722222222189885</c:v>
                      </c:pt>
                      <c:pt idx="357">
                        <c:v>2.4791666666642413</c:v>
                      </c:pt>
                      <c:pt idx="358">
                        <c:v>2.4861111111094942</c:v>
                      </c:pt>
                      <c:pt idx="359">
                        <c:v>2.4930555555547471</c:v>
                      </c:pt>
                      <c:pt idx="360">
                        <c:v>2.5</c:v>
                      </c:pt>
                      <c:pt idx="361">
                        <c:v>2.5069444444452529</c:v>
                      </c:pt>
                      <c:pt idx="362">
                        <c:v>2.5138888888905058</c:v>
                      </c:pt>
                      <c:pt idx="363">
                        <c:v>2.5208333333357587</c:v>
                      </c:pt>
                      <c:pt idx="364">
                        <c:v>2.5277777777810115</c:v>
                      </c:pt>
                      <c:pt idx="365">
                        <c:v>2.5347222222189885</c:v>
                      </c:pt>
                      <c:pt idx="366">
                        <c:v>2.5416666666642413</c:v>
                      </c:pt>
                      <c:pt idx="367">
                        <c:v>2.5486111111094942</c:v>
                      </c:pt>
                      <c:pt idx="368">
                        <c:v>2.5555555555547471</c:v>
                      </c:pt>
                      <c:pt idx="369">
                        <c:v>2.5625</c:v>
                      </c:pt>
                      <c:pt idx="370">
                        <c:v>2.5694444444452529</c:v>
                      </c:pt>
                      <c:pt idx="371">
                        <c:v>2.5763888888905058</c:v>
                      </c:pt>
                      <c:pt idx="372">
                        <c:v>2.5833333333357587</c:v>
                      </c:pt>
                      <c:pt idx="373">
                        <c:v>2.5902777777810115</c:v>
                      </c:pt>
                      <c:pt idx="374">
                        <c:v>2.5972222222189885</c:v>
                      </c:pt>
                      <c:pt idx="375">
                        <c:v>2.6041666666642413</c:v>
                      </c:pt>
                      <c:pt idx="376">
                        <c:v>2.6111111111094942</c:v>
                      </c:pt>
                      <c:pt idx="377">
                        <c:v>2.6180555555547471</c:v>
                      </c:pt>
                      <c:pt idx="378">
                        <c:v>2.625</c:v>
                      </c:pt>
                      <c:pt idx="379">
                        <c:v>2.6319444444452529</c:v>
                      </c:pt>
                      <c:pt idx="380">
                        <c:v>2.6388888888905058</c:v>
                      </c:pt>
                      <c:pt idx="381">
                        <c:v>2.6458333333357587</c:v>
                      </c:pt>
                      <c:pt idx="382">
                        <c:v>2.6527777777810115</c:v>
                      </c:pt>
                      <c:pt idx="383">
                        <c:v>2.6597222222189885</c:v>
                      </c:pt>
                      <c:pt idx="384">
                        <c:v>2.6666666666642413</c:v>
                      </c:pt>
                      <c:pt idx="385">
                        <c:v>2.6736111111094942</c:v>
                      </c:pt>
                      <c:pt idx="386">
                        <c:v>2.6805555555547471</c:v>
                      </c:pt>
                      <c:pt idx="387">
                        <c:v>2.6875</c:v>
                      </c:pt>
                      <c:pt idx="388">
                        <c:v>2.6944444444452529</c:v>
                      </c:pt>
                      <c:pt idx="389">
                        <c:v>2.7013888888905058</c:v>
                      </c:pt>
                      <c:pt idx="390">
                        <c:v>2.7083333333357587</c:v>
                      </c:pt>
                      <c:pt idx="391">
                        <c:v>2.7152777777810115</c:v>
                      </c:pt>
                      <c:pt idx="392">
                        <c:v>2.7222222222189885</c:v>
                      </c:pt>
                      <c:pt idx="393">
                        <c:v>2.7291666666642413</c:v>
                      </c:pt>
                      <c:pt idx="394">
                        <c:v>2.7361111111094942</c:v>
                      </c:pt>
                      <c:pt idx="395">
                        <c:v>2.7430555555547471</c:v>
                      </c:pt>
                      <c:pt idx="396">
                        <c:v>2.75</c:v>
                      </c:pt>
                      <c:pt idx="397">
                        <c:v>2.7569444444452529</c:v>
                      </c:pt>
                      <c:pt idx="398">
                        <c:v>2.7638888888905058</c:v>
                      </c:pt>
                      <c:pt idx="399">
                        <c:v>2.7708333333357587</c:v>
                      </c:pt>
                      <c:pt idx="400">
                        <c:v>2.7777777777810115</c:v>
                      </c:pt>
                      <c:pt idx="401">
                        <c:v>2.7847222222189885</c:v>
                      </c:pt>
                      <c:pt idx="402">
                        <c:v>2.7916666666642413</c:v>
                      </c:pt>
                      <c:pt idx="403">
                        <c:v>2.7986111111094942</c:v>
                      </c:pt>
                      <c:pt idx="404">
                        <c:v>2.8055555555547471</c:v>
                      </c:pt>
                      <c:pt idx="405">
                        <c:v>2.8125</c:v>
                      </c:pt>
                      <c:pt idx="406">
                        <c:v>2.8194444444452529</c:v>
                      </c:pt>
                      <c:pt idx="407">
                        <c:v>2.8263888888905058</c:v>
                      </c:pt>
                      <c:pt idx="408">
                        <c:v>2.8333333333357587</c:v>
                      </c:pt>
                      <c:pt idx="409">
                        <c:v>2.8402777777810115</c:v>
                      </c:pt>
                      <c:pt idx="410">
                        <c:v>2.8472222222189885</c:v>
                      </c:pt>
                      <c:pt idx="411">
                        <c:v>2.8541666666642413</c:v>
                      </c:pt>
                      <c:pt idx="412">
                        <c:v>2.8611111111094942</c:v>
                      </c:pt>
                      <c:pt idx="413">
                        <c:v>2.8680555555547471</c:v>
                      </c:pt>
                      <c:pt idx="414">
                        <c:v>2.875</c:v>
                      </c:pt>
                      <c:pt idx="415">
                        <c:v>2.8819444444452529</c:v>
                      </c:pt>
                      <c:pt idx="416">
                        <c:v>2.8888888888905058</c:v>
                      </c:pt>
                      <c:pt idx="417">
                        <c:v>2.8958333333357587</c:v>
                      </c:pt>
                      <c:pt idx="418">
                        <c:v>2.9027777777810115</c:v>
                      </c:pt>
                      <c:pt idx="419">
                        <c:v>2.9097222222189885</c:v>
                      </c:pt>
                      <c:pt idx="420">
                        <c:v>2.9166666666642413</c:v>
                      </c:pt>
                      <c:pt idx="421">
                        <c:v>2.9236111111094942</c:v>
                      </c:pt>
                      <c:pt idx="422">
                        <c:v>2.9305555555547471</c:v>
                      </c:pt>
                      <c:pt idx="423">
                        <c:v>2.9375</c:v>
                      </c:pt>
                      <c:pt idx="424">
                        <c:v>2.9444444444452529</c:v>
                      </c:pt>
                      <c:pt idx="425">
                        <c:v>2.9513888888905058</c:v>
                      </c:pt>
                      <c:pt idx="426">
                        <c:v>2.9583333333357587</c:v>
                      </c:pt>
                      <c:pt idx="427">
                        <c:v>2.9652777777810115</c:v>
                      </c:pt>
                      <c:pt idx="428">
                        <c:v>2.9722222222189885</c:v>
                      </c:pt>
                      <c:pt idx="429">
                        <c:v>2.9791666666642413</c:v>
                      </c:pt>
                      <c:pt idx="430">
                        <c:v>2.9861111111094942</c:v>
                      </c:pt>
                      <c:pt idx="431">
                        <c:v>2.9930555555547471</c:v>
                      </c:pt>
                      <c:pt idx="432">
                        <c:v>3</c:v>
                      </c:pt>
                      <c:pt idx="433">
                        <c:v>3.0069444444452529</c:v>
                      </c:pt>
                      <c:pt idx="434">
                        <c:v>3.0138888888905058</c:v>
                      </c:pt>
                      <c:pt idx="435">
                        <c:v>3.0208333333357587</c:v>
                      </c:pt>
                      <c:pt idx="436">
                        <c:v>3.0277777777810115</c:v>
                      </c:pt>
                      <c:pt idx="437">
                        <c:v>3.0347222222189885</c:v>
                      </c:pt>
                      <c:pt idx="438">
                        <c:v>3.0416666666642413</c:v>
                      </c:pt>
                      <c:pt idx="439">
                        <c:v>3.0486111111094942</c:v>
                      </c:pt>
                      <c:pt idx="440">
                        <c:v>3.0555555555547471</c:v>
                      </c:pt>
                      <c:pt idx="441">
                        <c:v>3.0625</c:v>
                      </c:pt>
                      <c:pt idx="442">
                        <c:v>3.0694444444452529</c:v>
                      </c:pt>
                      <c:pt idx="443">
                        <c:v>3.0763888888905058</c:v>
                      </c:pt>
                      <c:pt idx="444">
                        <c:v>3.0833333333357587</c:v>
                      </c:pt>
                      <c:pt idx="445">
                        <c:v>3.0902777777810115</c:v>
                      </c:pt>
                      <c:pt idx="446">
                        <c:v>3.0972222222189885</c:v>
                      </c:pt>
                      <c:pt idx="447">
                        <c:v>3.1041666666642413</c:v>
                      </c:pt>
                      <c:pt idx="448">
                        <c:v>3.1111111111094942</c:v>
                      </c:pt>
                      <c:pt idx="449">
                        <c:v>3.1180555555547471</c:v>
                      </c:pt>
                      <c:pt idx="450">
                        <c:v>3.125</c:v>
                      </c:pt>
                      <c:pt idx="451">
                        <c:v>3.1319444444452529</c:v>
                      </c:pt>
                      <c:pt idx="452">
                        <c:v>3.1388888888905058</c:v>
                      </c:pt>
                      <c:pt idx="453">
                        <c:v>3.1458333333357587</c:v>
                      </c:pt>
                      <c:pt idx="454">
                        <c:v>3.1527777777810115</c:v>
                      </c:pt>
                      <c:pt idx="455">
                        <c:v>3.1597222222189885</c:v>
                      </c:pt>
                      <c:pt idx="456">
                        <c:v>3.1666666666642413</c:v>
                      </c:pt>
                      <c:pt idx="457">
                        <c:v>3.1736111111094942</c:v>
                      </c:pt>
                      <c:pt idx="458">
                        <c:v>3.1805555555547471</c:v>
                      </c:pt>
                      <c:pt idx="459">
                        <c:v>3.1875</c:v>
                      </c:pt>
                      <c:pt idx="460">
                        <c:v>3.1944444444452529</c:v>
                      </c:pt>
                      <c:pt idx="461">
                        <c:v>3.2013888888905058</c:v>
                      </c:pt>
                      <c:pt idx="462">
                        <c:v>3.2083333333357587</c:v>
                      </c:pt>
                      <c:pt idx="463">
                        <c:v>3.2152777777810115</c:v>
                      </c:pt>
                      <c:pt idx="464">
                        <c:v>3.2222222222189885</c:v>
                      </c:pt>
                      <c:pt idx="465">
                        <c:v>3.2291666666642413</c:v>
                      </c:pt>
                      <c:pt idx="466">
                        <c:v>3.2361111111094942</c:v>
                      </c:pt>
                      <c:pt idx="467">
                        <c:v>3.2430555555547471</c:v>
                      </c:pt>
                      <c:pt idx="468">
                        <c:v>3.25</c:v>
                      </c:pt>
                      <c:pt idx="469">
                        <c:v>3.2569444444452529</c:v>
                      </c:pt>
                      <c:pt idx="470">
                        <c:v>3.2638888888905058</c:v>
                      </c:pt>
                      <c:pt idx="471">
                        <c:v>3.2708333333357587</c:v>
                      </c:pt>
                      <c:pt idx="472">
                        <c:v>3.2777777777810115</c:v>
                      </c:pt>
                      <c:pt idx="473">
                        <c:v>3.2847222222189885</c:v>
                      </c:pt>
                      <c:pt idx="474">
                        <c:v>3.2916666666642413</c:v>
                      </c:pt>
                      <c:pt idx="475">
                        <c:v>3.2986111111094942</c:v>
                      </c:pt>
                      <c:pt idx="476">
                        <c:v>3.3055555555547471</c:v>
                      </c:pt>
                      <c:pt idx="477">
                        <c:v>3.3125</c:v>
                      </c:pt>
                      <c:pt idx="478">
                        <c:v>3.3194444444452529</c:v>
                      </c:pt>
                      <c:pt idx="479">
                        <c:v>3.3263888888905058</c:v>
                      </c:pt>
                      <c:pt idx="480">
                        <c:v>3.3333333333357587</c:v>
                      </c:pt>
                      <c:pt idx="481">
                        <c:v>3.3402777777810115</c:v>
                      </c:pt>
                      <c:pt idx="482">
                        <c:v>3.3472222222189885</c:v>
                      </c:pt>
                      <c:pt idx="483">
                        <c:v>3.3541666666642413</c:v>
                      </c:pt>
                      <c:pt idx="484">
                        <c:v>3.3611111111094942</c:v>
                      </c:pt>
                      <c:pt idx="485">
                        <c:v>3.3680555555547471</c:v>
                      </c:pt>
                      <c:pt idx="486">
                        <c:v>3.375</c:v>
                      </c:pt>
                      <c:pt idx="487">
                        <c:v>3.3819444444452529</c:v>
                      </c:pt>
                      <c:pt idx="488">
                        <c:v>3.3888888888905058</c:v>
                      </c:pt>
                      <c:pt idx="489">
                        <c:v>3.3958333333357587</c:v>
                      </c:pt>
                      <c:pt idx="490">
                        <c:v>3.4027777777810115</c:v>
                      </c:pt>
                      <c:pt idx="491">
                        <c:v>3.4097222222189885</c:v>
                      </c:pt>
                      <c:pt idx="492">
                        <c:v>3.4166666666642413</c:v>
                      </c:pt>
                      <c:pt idx="493">
                        <c:v>3.4236111111094942</c:v>
                      </c:pt>
                      <c:pt idx="494">
                        <c:v>3.4305555555547471</c:v>
                      </c:pt>
                      <c:pt idx="495">
                        <c:v>3.4375</c:v>
                      </c:pt>
                      <c:pt idx="496">
                        <c:v>3.4444444444452529</c:v>
                      </c:pt>
                      <c:pt idx="497">
                        <c:v>3.4513888888905058</c:v>
                      </c:pt>
                      <c:pt idx="498">
                        <c:v>3.4583333333357587</c:v>
                      </c:pt>
                      <c:pt idx="499">
                        <c:v>3.4652777777810115</c:v>
                      </c:pt>
                      <c:pt idx="500">
                        <c:v>3.4722222222189885</c:v>
                      </c:pt>
                      <c:pt idx="501">
                        <c:v>3.4791666666642413</c:v>
                      </c:pt>
                      <c:pt idx="502">
                        <c:v>3.4861111111094942</c:v>
                      </c:pt>
                      <c:pt idx="503">
                        <c:v>3.4930555555547471</c:v>
                      </c:pt>
                      <c:pt idx="504">
                        <c:v>3.5</c:v>
                      </c:pt>
                      <c:pt idx="505">
                        <c:v>3.5069444444452529</c:v>
                      </c:pt>
                      <c:pt idx="506">
                        <c:v>3.5138888888905058</c:v>
                      </c:pt>
                      <c:pt idx="507">
                        <c:v>3.5208333333357587</c:v>
                      </c:pt>
                      <c:pt idx="508">
                        <c:v>3.5277777777810115</c:v>
                      </c:pt>
                      <c:pt idx="509">
                        <c:v>3.5347222222189885</c:v>
                      </c:pt>
                      <c:pt idx="510">
                        <c:v>3.5416666666642413</c:v>
                      </c:pt>
                      <c:pt idx="511">
                        <c:v>3.5486111111094942</c:v>
                      </c:pt>
                      <c:pt idx="512">
                        <c:v>3.5555555555547471</c:v>
                      </c:pt>
                      <c:pt idx="513">
                        <c:v>3.5625</c:v>
                      </c:pt>
                      <c:pt idx="514">
                        <c:v>3.5694444444452529</c:v>
                      </c:pt>
                      <c:pt idx="515">
                        <c:v>3.5763888888905058</c:v>
                      </c:pt>
                      <c:pt idx="516">
                        <c:v>3.5833333333357587</c:v>
                      </c:pt>
                      <c:pt idx="517">
                        <c:v>3.5902777777810115</c:v>
                      </c:pt>
                      <c:pt idx="518">
                        <c:v>3.5972222222189885</c:v>
                      </c:pt>
                      <c:pt idx="519">
                        <c:v>3.6041666666642413</c:v>
                      </c:pt>
                      <c:pt idx="520">
                        <c:v>3.6111111111094942</c:v>
                      </c:pt>
                      <c:pt idx="521">
                        <c:v>3.6180555555547471</c:v>
                      </c:pt>
                      <c:pt idx="522">
                        <c:v>3.625</c:v>
                      </c:pt>
                      <c:pt idx="523">
                        <c:v>3.6319444444452529</c:v>
                      </c:pt>
                      <c:pt idx="524">
                        <c:v>3.6388888888905058</c:v>
                      </c:pt>
                      <c:pt idx="525">
                        <c:v>3.6458333333357587</c:v>
                      </c:pt>
                      <c:pt idx="526">
                        <c:v>3.6527777777810115</c:v>
                      </c:pt>
                      <c:pt idx="527">
                        <c:v>3.6597222222189885</c:v>
                      </c:pt>
                      <c:pt idx="528">
                        <c:v>3.6666666666642413</c:v>
                      </c:pt>
                      <c:pt idx="529">
                        <c:v>3.6736111111094942</c:v>
                      </c:pt>
                      <c:pt idx="530">
                        <c:v>3.6805555555547471</c:v>
                      </c:pt>
                      <c:pt idx="531">
                        <c:v>3.6875</c:v>
                      </c:pt>
                      <c:pt idx="532">
                        <c:v>3.6944444444452529</c:v>
                      </c:pt>
                      <c:pt idx="533">
                        <c:v>3.7013888888905058</c:v>
                      </c:pt>
                      <c:pt idx="534">
                        <c:v>3.7083333333357587</c:v>
                      </c:pt>
                      <c:pt idx="535">
                        <c:v>3.7152777777810115</c:v>
                      </c:pt>
                      <c:pt idx="536">
                        <c:v>3.7222222222189885</c:v>
                      </c:pt>
                      <c:pt idx="537">
                        <c:v>3.7291666666642413</c:v>
                      </c:pt>
                      <c:pt idx="538">
                        <c:v>3.7361111111094942</c:v>
                      </c:pt>
                      <c:pt idx="539">
                        <c:v>3.7430555555547471</c:v>
                      </c:pt>
                      <c:pt idx="540">
                        <c:v>3.75</c:v>
                      </c:pt>
                      <c:pt idx="541">
                        <c:v>3.7569444444452529</c:v>
                      </c:pt>
                      <c:pt idx="542">
                        <c:v>3.7638888888905058</c:v>
                      </c:pt>
                      <c:pt idx="543">
                        <c:v>3.7708333333357587</c:v>
                      </c:pt>
                      <c:pt idx="544">
                        <c:v>3.7777777777810115</c:v>
                      </c:pt>
                      <c:pt idx="545">
                        <c:v>3.7847222222189885</c:v>
                      </c:pt>
                      <c:pt idx="546">
                        <c:v>3.7916666666642413</c:v>
                      </c:pt>
                      <c:pt idx="547">
                        <c:v>3.7986111111094942</c:v>
                      </c:pt>
                      <c:pt idx="548">
                        <c:v>3.8055555555547471</c:v>
                      </c:pt>
                      <c:pt idx="549">
                        <c:v>3.8125</c:v>
                      </c:pt>
                      <c:pt idx="550">
                        <c:v>3.8194444444452529</c:v>
                      </c:pt>
                      <c:pt idx="551">
                        <c:v>3.8263888888905058</c:v>
                      </c:pt>
                      <c:pt idx="552">
                        <c:v>3.8333333333357587</c:v>
                      </c:pt>
                      <c:pt idx="553">
                        <c:v>3.8402777777810115</c:v>
                      </c:pt>
                      <c:pt idx="554">
                        <c:v>3.8472222222189885</c:v>
                      </c:pt>
                      <c:pt idx="555">
                        <c:v>3.8541666666642413</c:v>
                      </c:pt>
                      <c:pt idx="556">
                        <c:v>3.8611111111094942</c:v>
                      </c:pt>
                      <c:pt idx="557">
                        <c:v>3.8680555555547471</c:v>
                      </c:pt>
                      <c:pt idx="558">
                        <c:v>3.875</c:v>
                      </c:pt>
                      <c:pt idx="559">
                        <c:v>3.8819444444452529</c:v>
                      </c:pt>
                      <c:pt idx="560">
                        <c:v>3.8888888888905058</c:v>
                      </c:pt>
                      <c:pt idx="561">
                        <c:v>3.8958333333357587</c:v>
                      </c:pt>
                      <c:pt idx="562">
                        <c:v>3.9027777777810115</c:v>
                      </c:pt>
                      <c:pt idx="563">
                        <c:v>3.9097222222189885</c:v>
                      </c:pt>
                      <c:pt idx="564">
                        <c:v>3.9166666666642413</c:v>
                      </c:pt>
                      <c:pt idx="565">
                        <c:v>3.9236111111094942</c:v>
                      </c:pt>
                      <c:pt idx="566">
                        <c:v>3.9305555555547471</c:v>
                      </c:pt>
                      <c:pt idx="567">
                        <c:v>3.9375</c:v>
                      </c:pt>
                      <c:pt idx="568">
                        <c:v>3.9444444444452529</c:v>
                      </c:pt>
                      <c:pt idx="569">
                        <c:v>3.9513888888905058</c:v>
                      </c:pt>
                      <c:pt idx="570">
                        <c:v>3.9583333333357587</c:v>
                      </c:pt>
                      <c:pt idx="571">
                        <c:v>3.9652777777810115</c:v>
                      </c:pt>
                      <c:pt idx="572">
                        <c:v>3.9722222222189885</c:v>
                      </c:pt>
                      <c:pt idx="573">
                        <c:v>3.9791666666642413</c:v>
                      </c:pt>
                      <c:pt idx="574">
                        <c:v>3.9861111111094942</c:v>
                      </c:pt>
                      <c:pt idx="575">
                        <c:v>3.9930555555547471</c:v>
                      </c:pt>
                      <c:pt idx="576">
                        <c:v>4</c:v>
                      </c:pt>
                      <c:pt idx="577">
                        <c:v>4.0069444444452529</c:v>
                      </c:pt>
                      <c:pt idx="578">
                        <c:v>4.0138888888905058</c:v>
                      </c:pt>
                      <c:pt idx="579">
                        <c:v>4.0208333333357587</c:v>
                      </c:pt>
                      <c:pt idx="580">
                        <c:v>4.0277777777810115</c:v>
                      </c:pt>
                      <c:pt idx="581">
                        <c:v>4.0347222222189885</c:v>
                      </c:pt>
                      <c:pt idx="582">
                        <c:v>4.0416666666642413</c:v>
                      </c:pt>
                      <c:pt idx="583">
                        <c:v>4.0486111111094942</c:v>
                      </c:pt>
                      <c:pt idx="584">
                        <c:v>4.0555555555547471</c:v>
                      </c:pt>
                      <c:pt idx="585">
                        <c:v>4.0625</c:v>
                      </c:pt>
                      <c:pt idx="586">
                        <c:v>4.0694444444452529</c:v>
                      </c:pt>
                      <c:pt idx="587">
                        <c:v>4.0763888888905058</c:v>
                      </c:pt>
                      <c:pt idx="588">
                        <c:v>4.0833333333357587</c:v>
                      </c:pt>
                      <c:pt idx="589">
                        <c:v>4.0902777777810115</c:v>
                      </c:pt>
                      <c:pt idx="590">
                        <c:v>4.0972222222189885</c:v>
                      </c:pt>
                      <c:pt idx="591">
                        <c:v>4.1041666666642413</c:v>
                      </c:pt>
                      <c:pt idx="592">
                        <c:v>4.1111111111094942</c:v>
                      </c:pt>
                      <c:pt idx="593">
                        <c:v>4.1180555555547471</c:v>
                      </c:pt>
                      <c:pt idx="594">
                        <c:v>4.125</c:v>
                      </c:pt>
                      <c:pt idx="595">
                        <c:v>4.1319444444452529</c:v>
                      </c:pt>
                      <c:pt idx="596">
                        <c:v>4.1388888888905058</c:v>
                      </c:pt>
                      <c:pt idx="597">
                        <c:v>4.1458333333357587</c:v>
                      </c:pt>
                      <c:pt idx="598">
                        <c:v>4.1527777777810115</c:v>
                      </c:pt>
                      <c:pt idx="599">
                        <c:v>4.1597222222189885</c:v>
                      </c:pt>
                      <c:pt idx="600">
                        <c:v>4.1666666666642413</c:v>
                      </c:pt>
                      <c:pt idx="601">
                        <c:v>4.1736111111094942</c:v>
                      </c:pt>
                      <c:pt idx="602">
                        <c:v>4.1805555555547471</c:v>
                      </c:pt>
                      <c:pt idx="603">
                        <c:v>4.1875</c:v>
                      </c:pt>
                      <c:pt idx="604">
                        <c:v>4.1944444444452529</c:v>
                      </c:pt>
                      <c:pt idx="605">
                        <c:v>4.2013888888905058</c:v>
                      </c:pt>
                      <c:pt idx="606">
                        <c:v>4.2083333333357587</c:v>
                      </c:pt>
                      <c:pt idx="607">
                        <c:v>4.2152777777810115</c:v>
                      </c:pt>
                      <c:pt idx="608">
                        <c:v>4.2222222222189885</c:v>
                      </c:pt>
                      <c:pt idx="609">
                        <c:v>4.2291666666642413</c:v>
                      </c:pt>
                      <c:pt idx="610">
                        <c:v>4.2361111111094942</c:v>
                      </c:pt>
                      <c:pt idx="611">
                        <c:v>4.2430555555547471</c:v>
                      </c:pt>
                      <c:pt idx="612">
                        <c:v>4.25</c:v>
                      </c:pt>
                      <c:pt idx="613">
                        <c:v>4.2569444444452529</c:v>
                      </c:pt>
                      <c:pt idx="614">
                        <c:v>4.2638888888905058</c:v>
                      </c:pt>
                      <c:pt idx="615">
                        <c:v>4.2708333333357587</c:v>
                      </c:pt>
                      <c:pt idx="616">
                        <c:v>4.2777777777810115</c:v>
                      </c:pt>
                      <c:pt idx="617">
                        <c:v>4.2847222222189885</c:v>
                      </c:pt>
                      <c:pt idx="618">
                        <c:v>4.2916666666642413</c:v>
                      </c:pt>
                      <c:pt idx="619">
                        <c:v>4.2986111111094942</c:v>
                      </c:pt>
                      <c:pt idx="620">
                        <c:v>4.3055555555547471</c:v>
                      </c:pt>
                      <c:pt idx="621">
                        <c:v>4.3125</c:v>
                      </c:pt>
                      <c:pt idx="622">
                        <c:v>4.3194444444452529</c:v>
                      </c:pt>
                      <c:pt idx="623">
                        <c:v>4.3263888888905058</c:v>
                      </c:pt>
                      <c:pt idx="624">
                        <c:v>4.3333333333357587</c:v>
                      </c:pt>
                      <c:pt idx="625">
                        <c:v>4.3402777777810115</c:v>
                      </c:pt>
                      <c:pt idx="626">
                        <c:v>4.3472222222189885</c:v>
                      </c:pt>
                      <c:pt idx="627">
                        <c:v>4.3541666666642413</c:v>
                      </c:pt>
                      <c:pt idx="628">
                        <c:v>4.3611111111094942</c:v>
                      </c:pt>
                      <c:pt idx="629">
                        <c:v>4.3680555555547471</c:v>
                      </c:pt>
                      <c:pt idx="630">
                        <c:v>4.375</c:v>
                      </c:pt>
                      <c:pt idx="631">
                        <c:v>4.3819444444452529</c:v>
                      </c:pt>
                      <c:pt idx="632">
                        <c:v>4.3888888888905058</c:v>
                      </c:pt>
                      <c:pt idx="633">
                        <c:v>4.3958333333357587</c:v>
                      </c:pt>
                      <c:pt idx="634">
                        <c:v>4.4027777777810115</c:v>
                      </c:pt>
                      <c:pt idx="635">
                        <c:v>4.4097222222189885</c:v>
                      </c:pt>
                      <c:pt idx="636">
                        <c:v>4.4166666666642413</c:v>
                      </c:pt>
                      <c:pt idx="637">
                        <c:v>4.4236111111094942</c:v>
                      </c:pt>
                      <c:pt idx="638">
                        <c:v>4.4305555555547471</c:v>
                      </c:pt>
                      <c:pt idx="639">
                        <c:v>4.4375</c:v>
                      </c:pt>
                      <c:pt idx="640">
                        <c:v>4.4444444444452529</c:v>
                      </c:pt>
                      <c:pt idx="641">
                        <c:v>4.4513888888905058</c:v>
                      </c:pt>
                      <c:pt idx="642">
                        <c:v>4.4583333333357587</c:v>
                      </c:pt>
                      <c:pt idx="643">
                        <c:v>4.4652777777810115</c:v>
                      </c:pt>
                      <c:pt idx="644">
                        <c:v>4.4722222222189885</c:v>
                      </c:pt>
                      <c:pt idx="645">
                        <c:v>4.4791666666642413</c:v>
                      </c:pt>
                      <c:pt idx="646">
                        <c:v>4.4861111111094942</c:v>
                      </c:pt>
                      <c:pt idx="647">
                        <c:v>4.4930555555547471</c:v>
                      </c:pt>
                      <c:pt idx="648">
                        <c:v>4.5</c:v>
                      </c:pt>
                      <c:pt idx="649">
                        <c:v>4.5069444444452529</c:v>
                      </c:pt>
                      <c:pt idx="650">
                        <c:v>4.5138888888905058</c:v>
                      </c:pt>
                      <c:pt idx="651">
                        <c:v>4.5208333333357587</c:v>
                      </c:pt>
                      <c:pt idx="652">
                        <c:v>4.5277777777810115</c:v>
                      </c:pt>
                      <c:pt idx="653">
                        <c:v>4.5347222222189885</c:v>
                      </c:pt>
                      <c:pt idx="654">
                        <c:v>4.5416666666642413</c:v>
                      </c:pt>
                      <c:pt idx="655">
                        <c:v>4.5486111111094942</c:v>
                      </c:pt>
                      <c:pt idx="656">
                        <c:v>4.5555555555547471</c:v>
                      </c:pt>
                      <c:pt idx="657">
                        <c:v>4.5625</c:v>
                      </c:pt>
                      <c:pt idx="658">
                        <c:v>4.5694444444452529</c:v>
                      </c:pt>
                      <c:pt idx="659">
                        <c:v>4.5763888888905058</c:v>
                      </c:pt>
                      <c:pt idx="660">
                        <c:v>4.5833333333357587</c:v>
                      </c:pt>
                      <c:pt idx="661">
                        <c:v>4.5902777777810115</c:v>
                      </c:pt>
                      <c:pt idx="662">
                        <c:v>4.5972222222189885</c:v>
                      </c:pt>
                      <c:pt idx="663">
                        <c:v>4.6041666666642413</c:v>
                      </c:pt>
                      <c:pt idx="664">
                        <c:v>4.6111111111094942</c:v>
                      </c:pt>
                      <c:pt idx="665">
                        <c:v>4.6180555555547471</c:v>
                      </c:pt>
                      <c:pt idx="666">
                        <c:v>4.625</c:v>
                      </c:pt>
                      <c:pt idx="667">
                        <c:v>4.6319444444452529</c:v>
                      </c:pt>
                      <c:pt idx="668">
                        <c:v>4.6388888888905058</c:v>
                      </c:pt>
                      <c:pt idx="669">
                        <c:v>4.6458333333357587</c:v>
                      </c:pt>
                      <c:pt idx="670">
                        <c:v>4.6527777777810115</c:v>
                      </c:pt>
                      <c:pt idx="671">
                        <c:v>4.6597222222189885</c:v>
                      </c:pt>
                      <c:pt idx="672">
                        <c:v>4.6666666666642413</c:v>
                      </c:pt>
                      <c:pt idx="673">
                        <c:v>4.6736111111094942</c:v>
                      </c:pt>
                      <c:pt idx="674">
                        <c:v>4.6805555555547471</c:v>
                      </c:pt>
                      <c:pt idx="675">
                        <c:v>4.6875</c:v>
                      </c:pt>
                      <c:pt idx="676">
                        <c:v>4.6944444444452529</c:v>
                      </c:pt>
                      <c:pt idx="677">
                        <c:v>4.7013888888905058</c:v>
                      </c:pt>
                      <c:pt idx="678">
                        <c:v>4.7083333333357587</c:v>
                      </c:pt>
                      <c:pt idx="679">
                        <c:v>4.7152777777810115</c:v>
                      </c:pt>
                      <c:pt idx="680">
                        <c:v>4.7222222222189885</c:v>
                      </c:pt>
                      <c:pt idx="681">
                        <c:v>4.7291666666642413</c:v>
                      </c:pt>
                      <c:pt idx="682">
                        <c:v>4.7361111111094942</c:v>
                      </c:pt>
                      <c:pt idx="683">
                        <c:v>4.7430555555547471</c:v>
                      </c:pt>
                      <c:pt idx="684">
                        <c:v>4.75</c:v>
                      </c:pt>
                      <c:pt idx="685">
                        <c:v>4.7569444444452529</c:v>
                      </c:pt>
                      <c:pt idx="686">
                        <c:v>4.7638888888905058</c:v>
                      </c:pt>
                      <c:pt idx="687">
                        <c:v>4.7708333333357587</c:v>
                      </c:pt>
                      <c:pt idx="688">
                        <c:v>4.7777777777810115</c:v>
                      </c:pt>
                      <c:pt idx="689">
                        <c:v>4.7847222222189885</c:v>
                      </c:pt>
                      <c:pt idx="690">
                        <c:v>4.7916666666642413</c:v>
                      </c:pt>
                      <c:pt idx="691">
                        <c:v>4.7986111111094942</c:v>
                      </c:pt>
                      <c:pt idx="692">
                        <c:v>4.8055555555547471</c:v>
                      </c:pt>
                      <c:pt idx="693">
                        <c:v>4.8125</c:v>
                      </c:pt>
                      <c:pt idx="694">
                        <c:v>4.8194444444452529</c:v>
                      </c:pt>
                      <c:pt idx="695">
                        <c:v>4.8263888888905058</c:v>
                      </c:pt>
                      <c:pt idx="696">
                        <c:v>4.8333333333357587</c:v>
                      </c:pt>
                      <c:pt idx="697">
                        <c:v>4.8402777777810115</c:v>
                      </c:pt>
                      <c:pt idx="698">
                        <c:v>4.8472222222189885</c:v>
                      </c:pt>
                      <c:pt idx="699">
                        <c:v>4.8541666666642413</c:v>
                      </c:pt>
                      <c:pt idx="700">
                        <c:v>4.8611111111094942</c:v>
                      </c:pt>
                      <c:pt idx="701">
                        <c:v>4.8680555555547471</c:v>
                      </c:pt>
                      <c:pt idx="702">
                        <c:v>4.875</c:v>
                      </c:pt>
                      <c:pt idx="703">
                        <c:v>4.8819444444452529</c:v>
                      </c:pt>
                      <c:pt idx="704">
                        <c:v>4.8888888888905058</c:v>
                      </c:pt>
                      <c:pt idx="705">
                        <c:v>4.8958333333357587</c:v>
                      </c:pt>
                      <c:pt idx="706">
                        <c:v>4.9027777777810115</c:v>
                      </c:pt>
                      <c:pt idx="707">
                        <c:v>4.9097222222189885</c:v>
                      </c:pt>
                      <c:pt idx="708">
                        <c:v>4.9166666666642413</c:v>
                      </c:pt>
                      <c:pt idx="709">
                        <c:v>4.9236111111094942</c:v>
                      </c:pt>
                      <c:pt idx="710">
                        <c:v>4.9305555555547471</c:v>
                      </c:pt>
                      <c:pt idx="711">
                        <c:v>4.9375</c:v>
                      </c:pt>
                      <c:pt idx="712">
                        <c:v>4.9444444444452529</c:v>
                      </c:pt>
                      <c:pt idx="713">
                        <c:v>4.9513888888905058</c:v>
                      </c:pt>
                      <c:pt idx="714">
                        <c:v>4.9583333333357587</c:v>
                      </c:pt>
                      <c:pt idx="715">
                        <c:v>4.9652777777810115</c:v>
                      </c:pt>
                      <c:pt idx="716">
                        <c:v>4.9722222222189885</c:v>
                      </c:pt>
                      <c:pt idx="717">
                        <c:v>4.9791666666642413</c:v>
                      </c:pt>
                      <c:pt idx="718">
                        <c:v>4.9861111111094942</c:v>
                      </c:pt>
                      <c:pt idx="719">
                        <c:v>4.9930555555547471</c:v>
                      </c:pt>
                      <c:pt idx="720">
                        <c:v>5</c:v>
                      </c:pt>
                      <c:pt idx="721">
                        <c:v>5.0069444444452529</c:v>
                      </c:pt>
                      <c:pt idx="722">
                        <c:v>5.0138888888905058</c:v>
                      </c:pt>
                      <c:pt idx="723">
                        <c:v>5.0208333333357587</c:v>
                      </c:pt>
                      <c:pt idx="724">
                        <c:v>5.0277777777810115</c:v>
                      </c:pt>
                      <c:pt idx="725">
                        <c:v>5.0347222222189885</c:v>
                      </c:pt>
                      <c:pt idx="726">
                        <c:v>5.0416666666642413</c:v>
                      </c:pt>
                      <c:pt idx="727">
                        <c:v>5.0486111111094942</c:v>
                      </c:pt>
                      <c:pt idx="728">
                        <c:v>5.0555555555547471</c:v>
                      </c:pt>
                      <c:pt idx="729">
                        <c:v>5.0625</c:v>
                      </c:pt>
                      <c:pt idx="730">
                        <c:v>5.0694444444452529</c:v>
                      </c:pt>
                      <c:pt idx="731">
                        <c:v>5.0763888888905058</c:v>
                      </c:pt>
                      <c:pt idx="732">
                        <c:v>5.0833333333357587</c:v>
                      </c:pt>
                      <c:pt idx="733">
                        <c:v>5.0902777777810115</c:v>
                      </c:pt>
                      <c:pt idx="734">
                        <c:v>5.0972222222189885</c:v>
                      </c:pt>
                      <c:pt idx="735">
                        <c:v>5.1041666666642413</c:v>
                      </c:pt>
                      <c:pt idx="736">
                        <c:v>5.1111111111094942</c:v>
                      </c:pt>
                      <c:pt idx="737">
                        <c:v>5.1180555555547471</c:v>
                      </c:pt>
                      <c:pt idx="738">
                        <c:v>5.125</c:v>
                      </c:pt>
                      <c:pt idx="739">
                        <c:v>5.1319444444452529</c:v>
                      </c:pt>
                      <c:pt idx="740">
                        <c:v>5.1388888888905058</c:v>
                      </c:pt>
                      <c:pt idx="741">
                        <c:v>5.1458333333357587</c:v>
                      </c:pt>
                      <c:pt idx="742">
                        <c:v>5.1527777777810115</c:v>
                      </c:pt>
                      <c:pt idx="743">
                        <c:v>5.1597222222189885</c:v>
                      </c:pt>
                      <c:pt idx="744">
                        <c:v>5.1666666666642413</c:v>
                      </c:pt>
                      <c:pt idx="745">
                        <c:v>5.1736111111094942</c:v>
                      </c:pt>
                      <c:pt idx="746">
                        <c:v>5.1805555555547471</c:v>
                      </c:pt>
                      <c:pt idx="747">
                        <c:v>5.1875</c:v>
                      </c:pt>
                      <c:pt idx="748">
                        <c:v>5.1944444444452529</c:v>
                      </c:pt>
                      <c:pt idx="749">
                        <c:v>5.2013888888905058</c:v>
                      </c:pt>
                      <c:pt idx="750">
                        <c:v>5.2083333333357587</c:v>
                      </c:pt>
                      <c:pt idx="751">
                        <c:v>5.2152777777810115</c:v>
                      </c:pt>
                      <c:pt idx="752">
                        <c:v>5.2222222222189885</c:v>
                      </c:pt>
                      <c:pt idx="753">
                        <c:v>5.2291666666642413</c:v>
                      </c:pt>
                      <c:pt idx="754">
                        <c:v>5.2361111111094942</c:v>
                      </c:pt>
                      <c:pt idx="755">
                        <c:v>5.2430555555547471</c:v>
                      </c:pt>
                      <c:pt idx="756">
                        <c:v>5.25</c:v>
                      </c:pt>
                      <c:pt idx="757">
                        <c:v>5.2569444444452529</c:v>
                      </c:pt>
                      <c:pt idx="758">
                        <c:v>5.2638888888905058</c:v>
                      </c:pt>
                      <c:pt idx="759">
                        <c:v>5.2708333333357587</c:v>
                      </c:pt>
                      <c:pt idx="760">
                        <c:v>5.2777777777810115</c:v>
                      </c:pt>
                      <c:pt idx="761">
                        <c:v>5.2847222222189885</c:v>
                      </c:pt>
                      <c:pt idx="762">
                        <c:v>5.2916666666642413</c:v>
                      </c:pt>
                      <c:pt idx="763">
                        <c:v>5.2986111111094942</c:v>
                      </c:pt>
                      <c:pt idx="764">
                        <c:v>5.3055555555547471</c:v>
                      </c:pt>
                      <c:pt idx="765">
                        <c:v>5.3125</c:v>
                      </c:pt>
                      <c:pt idx="766">
                        <c:v>5.3194444444452529</c:v>
                      </c:pt>
                      <c:pt idx="767">
                        <c:v>5.3263888888905058</c:v>
                      </c:pt>
                      <c:pt idx="768">
                        <c:v>5.3333333333357587</c:v>
                      </c:pt>
                      <c:pt idx="769">
                        <c:v>5.3402777777810115</c:v>
                      </c:pt>
                      <c:pt idx="770">
                        <c:v>5.3472222222189885</c:v>
                      </c:pt>
                      <c:pt idx="771">
                        <c:v>5.3541666666642413</c:v>
                      </c:pt>
                      <c:pt idx="772">
                        <c:v>5.3611111111094942</c:v>
                      </c:pt>
                      <c:pt idx="773">
                        <c:v>5.3680555555547471</c:v>
                      </c:pt>
                      <c:pt idx="774">
                        <c:v>5.375</c:v>
                      </c:pt>
                      <c:pt idx="775">
                        <c:v>5.3819444444452529</c:v>
                      </c:pt>
                      <c:pt idx="776">
                        <c:v>5.3888888888905058</c:v>
                      </c:pt>
                      <c:pt idx="777">
                        <c:v>5.3958333333357587</c:v>
                      </c:pt>
                      <c:pt idx="778">
                        <c:v>5.4027777777810115</c:v>
                      </c:pt>
                      <c:pt idx="779">
                        <c:v>5.4097222222189885</c:v>
                      </c:pt>
                      <c:pt idx="780">
                        <c:v>5.4166666666642413</c:v>
                      </c:pt>
                      <c:pt idx="781">
                        <c:v>5.4236111111094942</c:v>
                      </c:pt>
                      <c:pt idx="782">
                        <c:v>5.4305555555547471</c:v>
                      </c:pt>
                      <c:pt idx="783">
                        <c:v>5.4375</c:v>
                      </c:pt>
                      <c:pt idx="784">
                        <c:v>5.4444444444452529</c:v>
                      </c:pt>
                      <c:pt idx="785">
                        <c:v>5.4513888888905058</c:v>
                      </c:pt>
                      <c:pt idx="786">
                        <c:v>5.4583333333357587</c:v>
                      </c:pt>
                      <c:pt idx="787">
                        <c:v>5.4652777777810115</c:v>
                      </c:pt>
                      <c:pt idx="788">
                        <c:v>5.4722222222189885</c:v>
                      </c:pt>
                      <c:pt idx="789">
                        <c:v>5.4791666666642413</c:v>
                      </c:pt>
                      <c:pt idx="790">
                        <c:v>5.4861111111094942</c:v>
                      </c:pt>
                      <c:pt idx="791">
                        <c:v>5.4930555555547471</c:v>
                      </c:pt>
                      <c:pt idx="792">
                        <c:v>5.5</c:v>
                      </c:pt>
                      <c:pt idx="793">
                        <c:v>5.5069444444452529</c:v>
                      </c:pt>
                      <c:pt idx="794">
                        <c:v>5.5138888888905058</c:v>
                      </c:pt>
                      <c:pt idx="795">
                        <c:v>5.5208333333357587</c:v>
                      </c:pt>
                      <c:pt idx="796">
                        <c:v>5.5277777777810115</c:v>
                      </c:pt>
                      <c:pt idx="797">
                        <c:v>5.5347222222189885</c:v>
                      </c:pt>
                      <c:pt idx="798">
                        <c:v>5.5416666666642413</c:v>
                      </c:pt>
                      <c:pt idx="799">
                        <c:v>5.5486111111094942</c:v>
                      </c:pt>
                      <c:pt idx="800">
                        <c:v>5.5555555555547471</c:v>
                      </c:pt>
                      <c:pt idx="801">
                        <c:v>5.5625</c:v>
                      </c:pt>
                      <c:pt idx="802">
                        <c:v>5.5694444444452529</c:v>
                      </c:pt>
                      <c:pt idx="803">
                        <c:v>5.5763888888905058</c:v>
                      </c:pt>
                      <c:pt idx="804">
                        <c:v>5.5833333333357587</c:v>
                      </c:pt>
                      <c:pt idx="805">
                        <c:v>5.5902777777810115</c:v>
                      </c:pt>
                      <c:pt idx="806">
                        <c:v>5.5972222222189885</c:v>
                      </c:pt>
                      <c:pt idx="807">
                        <c:v>5.6041666666642413</c:v>
                      </c:pt>
                      <c:pt idx="808">
                        <c:v>5.6111111111094942</c:v>
                      </c:pt>
                      <c:pt idx="809">
                        <c:v>5.6180555555547471</c:v>
                      </c:pt>
                      <c:pt idx="810">
                        <c:v>5.625</c:v>
                      </c:pt>
                      <c:pt idx="811">
                        <c:v>5.6319444444452529</c:v>
                      </c:pt>
                      <c:pt idx="812">
                        <c:v>5.6388888888905058</c:v>
                      </c:pt>
                      <c:pt idx="813">
                        <c:v>5.6458333333357587</c:v>
                      </c:pt>
                      <c:pt idx="814">
                        <c:v>5.6527777777810115</c:v>
                      </c:pt>
                      <c:pt idx="815">
                        <c:v>5.6597222222189885</c:v>
                      </c:pt>
                      <c:pt idx="816">
                        <c:v>5.6666666666642413</c:v>
                      </c:pt>
                      <c:pt idx="817">
                        <c:v>5.6736111111094942</c:v>
                      </c:pt>
                      <c:pt idx="818">
                        <c:v>5.6805555555547471</c:v>
                      </c:pt>
                      <c:pt idx="819">
                        <c:v>5.6875</c:v>
                      </c:pt>
                      <c:pt idx="820">
                        <c:v>5.6944444444452529</c:v>
                      </c:pt>
                      <c:pt idx="821">
                        <c:v>5.7013888888905058</c:v>
                      </c:pt>
                      <c:pt idx="822">
                        <c:v>5.7083333333357587</c:v>
                      </c:pt>
                      <c:pt idx="823">
                        <c:v>5.7152777777810115</c:v>
                      </c:pt>
                      <c:pt idx="824">
                        <c:v>5.7222222222189885</c:v>
                      </c:pt>
                      <c:pt idx="825">
                        <c:v>5.7291666666642413</c:v>
                      </c:pt>
                      <c:pt idx="826">
                        <c:v>5.7361111111094942</c:v>
                      </c:pt>
                      <c:pt idx="827">
                        <c:v>5.7430555555547471</c:v>
                      </c:pt>
                      <c:pt idx="828">
                        <c:v>5.75</c:v>
                      </c:pt>
                      <c:pt idx="829">
                        <c:v>5.7569444444452529</c:v>
                      </c:pt>
                      <c:pt idx="830">
                        <c:v>5.7638888888905058</c:v>
                      </c:pt>
                      <c:pt idx="831">
                        <c:v>5.7708333333357587</c:v>
                      </c:pt>
                      <c:pt idx="832">
                        <c:v>5.7777777777810115</c:v>
                      </c:pt>
                      <c:pt idx="833">
                        <c:v>5.7847222222189885</c:v>
                      </c:pt>
                      <c:pt idx="834">
                        <c:v>5.7916666666642413</c:v>
                      </c:pt>
                      <c:pt idx="835">
                        <c:v>5.7986111111094942</c:v>
                      </c:pt>
                      <c:pt idx="836">
                        <c:v>5.8055555555547471</c:v>
                      </c:pt>
                      <c:pt idx="837">
                        <c:v>5.8125</c:v>
                      </c:pt>
                      <c:pt idx="838">
                        <c:v>5.8194444444452529</c:v>
                      </c:pt>
                      <c:pt idx="839">
                        <c:v>5.8263888888905058</c:v>
                      </c:pt>
                      <c:pt idx="840">
                        <c:v>5.8333333333357587</c:v>
                      </c:pt>
                      <c:pt idx="841">
                        <c:v>5.8402777777810115</c:v>
                      </c:pt>
                      <c:pt idx="842">
                        <c:v>5.8472222222189885</c:v>
                      </c:pt>
                      <c:pt idx="843">
                        <c:v>5.8541666666642413</c:v>
                      </c:pt>
                      <c:pt idx="844">
                        <c:v>5.8611111111094942</c:v>
                      </c:pt>
                      <c:pt idx="845">
                        <c:v>5.8680555555547471</c:v>
                      </c:pt>
                      <c:pt idx="846">
                        <c:v>5.875</c:v>
                      </c:pt>
                      <c:pt idx="847">
                        <c:v>5.8819444444452529</c:v>
                      </c:pt>
                      <c:pt idx="848">
                        <c:v>5.8888888888905058</c:v>
                      </c:pt>
                      <c:pt idx="849">
                        <c:v>5.8958333333357587</c:v>
                      </c:pt>
                      <c:pt idx="850">
                        <c:v>5.9027777777810115</c:v>
                      </c:pt>
                      <c:pt idx="851">
                        <c:v>5.9097222222189885</c:v>
                      </c:pt>
                      <c:pt idx="852">
                        <c:v>5.9166666666642413</c:v>
                      </c:pt>
                      <c:pt idx="853">
                        <c:v>5.9236111111094942</c:v>
                      </c:pt>
                      <c:pt idx="854">
                        <c:v>5.9305555555547471</c:v>
                      </c:pt>
                      <c:pt idx="855">
                        <c:v>5.9375</c:v>
                      </c:pt>
                      <c:pt idx="856">
                        <c:v>5.9444444444452529</c:v>
                      </c:pt>
                      <c:pt idx="857">
                        <c:v>5.9513888888905058</c:v>
                      </c:pt>
                      <c:pt idx="858">
                        <c:v>5.9583333333357587</c:v>
                      </c:pt>
                      <c:pt idx="859">
                        <c:v>5.9652777777810115</c:v>
                      </c:pt>
                      <c:pt idx="860">
                        <c:v>5.9722222222189885</c:v>
                      </c:pt>
                      <c:pt idx="861">
                        <c:v>5.9791666666642413</c:v>
                      </c:pt>
                      <c:pt idx="862">
                        <c:v>5.9861111111094942</c:v>
                      </c:pt>
                      <c:pt idx="863">
                        <c:v>5.9930555555547471</c:v>
                      </c:pt>
                      <c:pt idx="864">
                        <c:v>6</c:v>
                      </c:pt>
                      <c:pt idx="865">
                        <c:v>6.0069444444452529</c:v>
                      </c:pt>
                      <c:pt idx="866">
                        <c:v>6.0138888888905058</c:v>
                      </c:pt>
                      <c:pt idx="867">
                        <c:v>6.0208333333357587</c:v>
                      </c:pt>
                      <c:pt idx="868">
                        <c:v>6.0277777777810115</c:v>
                      </c:pt>
                      <c:pt idx="869">
                        <c:v>6.0347222222189885</c:v>
                      </c:pt>
                      <c:pt idx="870">
                        <c:v>6.0416666666642413</c:v>
                      </c:pt>
                      <c:pt idx="871">
                        <c:v>6.0486111111094942</c:v>
                      </c:pt>
                      <c:pt idx="872">
                        <c:v>6.0555555555547471</c:v>
                      </c:pt>
                      <c:pt idx="873">
                        <c:v>6.0625</c:v>
                      </c:pt>
                      <c:pt idx="874">
                        <c:v>6.0694444444452529</c:v>
                      </c:pt>
                      <c:pt idx="875">
                        <c:v>6.0763888888905058</c:v>
                      </c:pt>
                      <c:pt idx="876">
                        <c:v>6.0833333333357587</c:v>
                      </c:pt>
                      <c:pt idx="877">
                        <c:v>6.0902777777810115</c:v>
                      </c:pt>
                      <c:pt idx="878">
                        <c:v>6.0972222222189885</c:v>
                      </c:pt>
                      <c:pt idx="879">
                        <c:v>6.1041666666642413</c:v>
                      </c:pt>
                      <c:pt idx="880">
                        <c:v>6.1111111111094942</c:v>
                      </c:pt>
                      <c:pt idx="881">
                        <c:v>6.1180555555547471</c:v>
                      </c:pt>
                      <c:pt idx="882">
                        <c:v>6.125</c:v>
                      </c:pt>
                      <c:pt idx="883">
                        <c:v>6.1319444444452529</c:v>
                      </c:pt>
                      <c:pt idx="884">
                        <c:v>6.1388888888905058</c:v>
                      </c:pt>
                      <c:pt idx="885">
                        <c:v>6.1458333333357587</c:v>
                      </c:pt>
                      <c:pt idx="886">
                        <c:v>6.1527777777810115</c:v>
                      </c:pt>
                      <c:pt idx="887">
                        <c:v>6.1597222222189885</c:v>
                      </c:pt>
                      <c:pt idx="888">
                        <c:v>6.1666666666642413</c:v>
                      </c:pt>
                      <c:pt idx="889">
                        <c:v>6.1736111111094942</c:v>
                      </c:pt>
                      <c:pt idx="890">
                        <c:v>6.1805555555547471</c:v>
                      </c:pt>
                      <c:pt idx="891">
                        <c:v>6.1875</c:v>
                      </c:pt>
                      <c:pt idx="892">
                        <c:v>6.1944444444452529</c:v>
                      </c:pt>
                      <c:pt idx="893">
                        <c:v>6.2013888888905058</c:v>
                      </c:pt>
                      <c:pt idx="894">
                        <c:v>6.2083333333357587</c:v>
                      </c:pt>
                      <c:pt idx="895">
                        <c:v>6.2152777777810115</c:v>
                      </c:pt>
                      <c:pt idx="896">
                        <c:v>6.2222222222189885</c:v>
                      </c:pt>
                      <c:pt idx="897">
                        <c:v>6.2291666666642413</c:v>
                      </c:pt>
                      <c:pt idx="898">
                        <c:v>6.2361111111094942</c:v>
                      </c:pt>
                      <c:pt idx="899">
                        <c:v>6.2430555555547471</c:v>
                      </c:pt>
                      <c:pt idx="900">
                        <c:v>6.25</c:v>
                      </c:pt>
                      <c:pt idx="901">
                        <c:v>6.2569444444452529</c:v>
                      </c:pt>
                      <c:pt idx="902">
                        <c:v>6.2638888888905058</c:v>
                      </c:pt>
                      <c:pt idx="903">
                        <c:v>6.2708333333357587</c:v>
                      </c:pt>
                      <c:pt idx="904">
                        <c:v>6.2777777777810115</c:v>
                      </c:pt>
                      <c:pt idx="905">
                        <c:v>6.2847222222189885</c:v>
                      </c:pt>
                      <c:pt idx="906">
                        <c:v>6.2916666666642413</c:v>
                      </c:pt>
                      <c:pt idx="907">
                        <c:v>6.2986111111094942</c:v>
                      </c:pt>
                      <c:pt idx="908">
                        <c:v>6.3055555555547471</c:v>
                      </c:pt>
                      <c:pt idx="909">
                        <c:v>6.3125</c:v>
                      </c:pt>
                      <c:pt idx="910">
                        <c:v>6.3194444444452529</c:v>
                      </c:pt>
                      <c:pt idx="911">
                        <c:v>6.3263888888905058</c:v>
                      </c:pt>
                      <c:pt idx="912">
                        <c:v>6.3333333333357587</c:v>
                      </c:pt>
                      <c:pt idx="913">
                        <c:v>6.3402777777810115</c:v>
                      </c:pt>
                      <c:pt idx="914">
                        <c:v>6.3472222222189885</c:v>
                      </c:pt>
                      <c:pt idx="915">
                        <c:v>6.3541666666642413</c:v>
                      </c:pt>
                      <c:pt idx="916">
                        <c:v>6.3611111111094942</c:v>
                      </c:pt>
                      <c:pt idx="917">
                        <c:v>6.3680555555547471</c:v>
                      </c:pt>
                      <c:pt idx="918">
                        <c:v>6.375</c:v>
                      </c:pt>
                      <c:pt idx="919">
                        <c:v>6.3819444444452529</c:v>
                      </c:pt>
                      <c:pt idx="920">
                        <c:v>6.3888888888905058</c:v>
                      </c:pt>
                      <c:pt idx="921">
                        <c:v>6.3958333333357587</c:v>
                      </c:pt>
                      <c:pt idx="922">
                        <c:v>6.4027777777810115</c:v>
                      </c:pt>
                      <c:pt idx="923">
                        <c:v>6.4097222222189885</c:v>
                      </c:pt>
                      <c:pt idx="924">
                        <c:v>6.4166666666642413</c:v>
                      </c:pt>
                      <c:pt idx="925">
                        <c:v>6.4236111111094942</c:v>
                      </c:pt>
                      <c:pt idx="926">
                        <c:v>6.4305555555547471</c:v>
                      </c:pt>
                      <c:pt idx="927">
                        <c:v>6.4375</c:v>
                      </c:pt>
                      <c:pt idx="928">
                        <c:v>6.4444444444452529</c:v>
                      </c:pt>
                      <c:pt idx="929">
                        <c:v>6.4513888888905058</c:v>
                      </c:pt>
                      <c:pt idx="930">
                        <c:v>6.4583333333357587</c:v>
                      </c:pt>
                      <c:pt idx="931">
                        <c:v>6.4652777777810115</c:v>
                      </c:pt>
                      <c:pt idx="932">
                        <c:v>6.4722222222189885</c:v>
                      </c:pt>
                      <c:pt idx="933">
                        <c:v>6.4791666666642413</c:v>
                      </c:pt>
                      <c:pt idx="934">
                        <c:v>6.4861111111094942</c:v>
                      </c:pt>
                      <c:pt idx="935">
                        <c:v>6.4930555555547471</c:v>
                      </c:pt>
                      <c:pt idx="936">
                        <c:v>6.5</c:v>
                      </c:pt>
                      <c:pt idx="937">
                        <c:v>6.5069444444452529</c:v>
                      </c:pt>
                      <c:pt idx="938">
                        <c:v>6.5138888888905058</c:v>
                      </c:pt>
                      <c:pt idx="939">
                        <c:v>6.5208333333357587</c:v>
                      </c:pt>
                      <c:pt idx="940">
                        <c:v>6.5277777777810115</c:v>
                      </c:pt>
                      <c:pt idx="941">
                        <c:v>6.5347222222189885</c:v>
                      </c:pt>
                      <c:pt idx="942">
                        <c:v>6.5416666666642413</c:v>
                      </c:pt>
                      <c:pt idx="943">
                        <c:v>6.5486111111094942</c:v>
                      </c:pt>
                      <c:pt idx="944">
                        <c:v>6.5555555555547471</c:v>
                      </c:pt>
                      <c:pt idx="945">
                        <c:v>6.5625</c:v>
                      </c:pt>
                      <c:pt idx="946">
                        <c:v>6.5694444444452529</c:v>
                      </c:pt>
                      <c:pt idx="947">
                        <c:v>6.5763888888905058</c:v>
                      </c:pt>
                      <c:pt idx="948">
                        <c:v>6.5833333333357587</c:v>
                      </c:pt>
                      <c:pt idx="949">
                        <c:v>6.5902777777810115</c:v>
                      </c:pt>
                      <c:pt idx="950">
                        <c:v>6.5972222222189885</c:v>
                      </c:pt>
                      <c:pt idx="951">
                        <c:v>6.6041666666642413</c:v>
                      </c:pt>
                      <c:pt idx="952">
                        <c:v>6.6111111111094942</c:v>
                      </c:pt>
                      <c:pt idx="953">
                        <c:v>6.6180555555547471</c:v>
                      </c:pt>
                      <c:pt idx="954">
                        <c:v>6.625</c:v>
                      </c:pt>
                      <c:pt idx="955">
                        <c:v>6.6319444444452529</c:v>
                      </c:pt>
                      <c:pt idx="956">
                        <c:v>6.6388888888905058</c:v>
                      </c:pt>
                      <c:pt idx="957">
                        <c:v>6.6458333333357587</c:v>
                      </c:pt>
                      <c:pt idx="958">
                        <c:v>6.6527777777810115</c:v>
                      </c:pt>
                      <c:pt idx="959">
                        <c:v>6.6597222222189885</c:v>
                      </c:pt>
                      <c:pt idx="960">
                        <c:v>6.6666666666642413</c:v>
                      </c:pt>
                      <c:pt idx="961">
                        <c:v>6.6736111111094942</c:v>
                      </c:pt>
                      <c:pt idx="962">
                        <c:v>6.6805555555547471</c:v>
                      </c:pt>
                      <c:pt idx="963">
                        <c:v>6.6875</c:v>
                      </c:pt>
                      <c:pt idx="964">
                        <c:v>6.6944444444452529</c:v>
                      </c:pt>
                      <c:pt idx="965">
                        <c:v>6.7013888888905058</c:v>
                      </c:pt>
                      <c:pt idx="966">
                        <c:v>6.7083333333357587</c:v>
                      </c:pt>
                      <c:pt idx="967">
                        <c:v>6.7152777777810115</c:v>
                      </c:pt>
                      <c:pt idx="968">
                        <c:v>6.7222222222189885</c:v>
                      </c:pt>
                      <c:pt idx="969">
                        <c:v>6.7291666666642413</c:v>
                      </c:pt>
                      <c:pt idx="970">
                        <c:v>6.7361111111094942</c:v>
                      </c:pt>
                      <c:pt idx="971">
                        <c:v>6.7430555555547471</c:v>
                      </c:pt>
                      <c:pt idx="972">
                        <c:v>6.75</c:v>
                      </c:pt>
                      <c:pt idx="973">
                        <c:v>6.7569444444452529</c:v>
                      </c:pt>
                      <c:pt idx="974">
                        <c:v>6.7638888888905058</c:v>
                      </c:pt>
                      <c:pt idx="975">
                        <c:v>6.7708333333357587</c:v>
                      </c:pt>
                      <c:pt idx="976">
                        <c:v>6.7777777777810115</c:v>
                      </c:pt>
                      <c:pt idx="977">
                        <c:v>6.7847222222189885</c:v>
                      </c:pt>
                      <c:pt idx="978">
                        <c:v>6.7916666666642413</c:v>
                      </c:pt>
                      <c:pt idx="979">
                        <c:v>6.7986111111094942</c:v>
                      </c:pt>
                      <c:pt idx="980">
                        <c:v>6.8055555555547471</c:v>
                      </c:pt>
                      <c:pt idx="981">
                        <c:v>6.8125</c:v>
                      </c:pt>
                      <c:pt idx="982">
                        <c:v>6.8194444444452529</c:v>
                      </c:pt>
                      <c:pt idx="983">
                        <c:v>6.8263888888905058</c:v>
                      </c:pt>
                      <c:pt idx="984">
                        <c:v>6.8333333333357587</c:v>
                      </c:pt>
                      <c:pt idx="985">
                        <c:v>6.8402777777810115</c:v>
                      </c:pt>
                      <c:pt idx="986">
                        <c:v>6.8472222222189885</c:v>
                      </c:pt>
                      <c:pt idx="987">
                        <c:v>6.8541666666642413</c:v>
                      </c:pt>
                      <c:pt idx="988">
                        <c:v>6.8611111111094942</c:v>
                      </c:pt>
                      <c:pt idx="989">
                        <c:v>6.8680555555547471</c:v>
                      </c:pt>
                      <c:pt idx="990">
                        <c:v>6.875</c:v>
                      </c:pt>
                      <c:pt idx="991">
                        <c:v>6.8819444444452529</c:v>
                      </c:pt>
                      <c:pt idx="992">
                        <c:v>6.8888888888905058</c:v>
                      </c:pt>
                      <c:pt idx="993">
                        <c:v>6.8958333333357587</c:v>
                      </c:pt>
                      <c:pt idx="994">
                        <c:v>6.9027777777810115</c:v>
                      </c:pt>
                      <c:pt idx="995">
                        <c:v>6.9097222222189885</c:v>
                      </c:pt>
                      <c:pt idx="996">
                        <c:v>6.9166666666642413</c:v>
                      </c:pt>
                      <c:pt idx="997">
                        <c:v>6.9236111111094942</c:v>
                      </c:pt>
                      <c:pt idx="998">
                        <c:v>6.9305555555547471</c:v>
                      </c:pt>
                      <c:pt idx="999">
                        <c:v>6.9375</c:v>
                      </c:pt>
                      <c:pt idx="1000">
                        <c:v>6.9444444444452529</c:v>
                      </c:pt>
                      <c:pt idx="1001">
                        <c:v>6.9513888888905058</c:v>
                      </c:pt>
                      <c:pt idx="1002">
                        <c:v>6.9583333333357587</c:v>
                      </c:pt>
                      <c:pt idx="1003">
                        <c:v>6.9652777777810115</c:v>
                      </c:pt>
                      <c:pt idx="1004">
                        <c:v>6.9722222222189885</c:v>
                      </c:pt>
                      <c:pt idx="1005">
                        <c:v>6.9791666666642413</c:v>
                      </c:pt>
                      <c:pt idx="1006">
                        <c:v>6.9861111111094942</c:v>
                      </c:pt>
                      <c:pt idx="1007">
                        <c:v>6.9930555555547471</c:v>
                      </c:pt>
                      <c:pt idx="1008">
                        <c:v>7</c:v>
                      </c:pt>
                      <c:pt idx="1009">
                        <c:v>7.0069444444452529</c:v>
                      </c:pt>
                      <c:pt idx="1010">
                        <c:v>7.0138888888905058</c:v>
                      </c:pt>
                      <c:pt idx="1011">
                        <c:v>7.0208333333357587</c:v>
                      </c:pt>
                      <c:pt idx="1012">
                        <c:v>7.0277777777810115</c:v>
                      </c:pt>
                      <c:pt idx="1013">
                        <c:v>7.0347222222189885</c:v>
                      </c:pt>
                      <c:pt idx="1014">
                        <c:v>7.0416666666642413</c:v>
                      </c:pt>
                      <c:pt idx="1015">
                        <c:v>7.0486111111094942</c:v>
                      </c:pt>
                      <c:pt idx="1016">
                        <c:v>7.0555555555547471</c:v>
                      </c:pt>
                      <c:pt idx="1017">
                        <c:v>7.0625</c:v>
                      </c:pt>
                      <c:pt idx="1018">
                        <c:v>7.0694444444452529</c:v>
                      </c:pt>
                      <c:pt idx="1019">
                        <c:v>7.0763888888905058</c:v>
                      </c:pt>
                      <c:pt idx="1020">
                        <c:v>7.0833333333357587</c:v>
                      </c:pt>
                      <c:pt idx="1021">
                        <c:v>7.0902777777810115</c:v>
                      </c:pt>
                      <c:pt idx="1022">
                        <c:v>7.0972222222189885</c:v>
                      </c:pt>
                      <c:pt idx="1023">
                        <c:v>7.1041666666642413</c:v>
                      </c:pt>
                      <c:pt idx="1024">
                        <c:v>7.1111111111094942</c:v>
                      </c:pt>
                      <c:pt idx="1025">
                        <c:v>7.1180555555547471</c:v>
                      </c:pt>
                      <c:pt idx="1026">
                        <c:v>7.125</c:v>
                      </c:pt>
                      <c:pt idx="1027">
                        <c:v>7.1319444444452529</c:v>
                      </c:pt>
                      <c:pt idx="1028">
                        <c:v>7.1388888888905058</c:v>
                      </c:pt>
                      <c:pt idx="1029">
                        <c:v>7.1458333333357587</c:v>
                      </c:pt>
                      <c:pt idx="1030">
                        <c:v>7.1527777777810115</c:v>
                      </c:pt>
                      <c:pt idx="1031">
                        <c:v>7.1597222222189885</c:v>
                      </c:pt>
                      <c:pt idx="1032">
                        <c:v>7.1666666666642413</c:v>
                      </c:pt>
                      <c:pt idx="1033">
                        <c:v>7.1736111111094942</c:v>
                      </c:pt>
                      <c:pt idx="1034">
                        <c:v>7.1805555555547471</c:v>
                      </c:pt>
                      <c:pt idx="1035">
                        <c:v>7.1875</c:v>
                      </c:pt>
                      <c:pt idx="1036">
                        <c:v>7.1944444444452529</c:v>
                      </c:pt>
                      <c:pt idx="1037">
                        <c:v>7.2013888888905058</c:v>
                      </c:pt>
                      <c:pt idx="1038">
                        <c:v>7.2083333333357587</c:v>
                      </c:pt>
                      <c:pt idx="1039">
                        <c:v>7.2152777777810115</c:v>
                      </c:pt>
                      <c:pt idx="1040">
                        <c:v>7.2222222222189885</c:v>
                      </c:pt>
                      <c:pt idx="1041">
                        <c:v>7.2291666666642413</c:v>
                      </c:pt>
                      <c:pt idx="1042">
                        <c:v>7.2361111111094942</c:v>
                      </c:pt>
                      <c:pt idx="1043">
                        <c:v>7.2430555555547471</c:v>
                      </c:pt>
                      <c:pt idx="1044">
                        <c:v>7.25</c:v>
                      </c:pt>
                      <c:pt idx="1045">
                        <c:v>7.2569444444452529</c:v>
                      </c:pt>
                      <c:pt idx="1046">
                        <c:v>7.2638888888905058</c:v>
                      </c:pt>
                      <c:pt idx="1047">
                        <c:v>7.2708333333357587</c:v>
                      </c:pt>
                      <c:pt idx="1048">
                        <c:v>7.2777777777810115</c:v>
                      </c:pt>
                      <c:pt idx="1049">
                        <c:v>7.2847222222189885</c:v>
                      </c:pt>
                      <c:pt idx="1050">
                        <c:v>7.2916666666642413</c:v>
                      </c:pt>
                      <c:pt idx="1051">
                        <c:v>7.2986111111094942</c:v>
                      </c:pt>
                      <c:pt idx="1052">
                        <c:v>7.3055555555547471</c:v>
                      </c:pt>
                      <c:pt idx="1053">
                        <c:v>7.3125</c:v>
                      </c:pt>
                      <c:pt idx="1054">
                        <c:v>7.3194444444452529</c:v>
                      </c:pt>
                      <c:pt idx="1055">
                        <c:v>7.3263888888905058</c:v>
                      </c:pt>
                      <c:pt idx="1056">
                        <c:v>7.3333333333357587</c:v>
                      </c:pt>
                      <c:pt idx="1057">
                        <c:v>7.3402777777810115</c:v>
                      </c:pt>
                      <c:pt idx="1058">
                        <c:v>7.3472222222189885</c:v>
                      </c:pt>
                      <c:pt idx="1059">
                        <c:v>7.3541666666642413</c:v>
                      </c:pt>
                      <c:pt idx="1060">
                        <c:v>7.3611111111094942</c:v>
                      </c:pt>
                      <c:pt idx="1061">
                        <c:v>7.3680555555547471</c:v>
                      </c:pt>
                      <c:pt idx="1062">
                        <c:v>7.375</c:v>
                      </c:pt>
                      <c:pt idx="1063">
                        <c:v>7.3819444444452529</c:v>
                      </c:pt>
                      <c:pt idx="1064">
                        <c:v>7.3888888888905058</c:v>
                      </c:pt>
                      <c:pt idx="1065">
                        <c:v>7.3958333333357587</c:v>
                      </c:pt>
                      <c:pt idx="1066">
                        <c:v>7.4027777777810115</c:v>
                      </c:pt>
                      <c:pt idx="1067">
                        <c:v>7.4097222222189885</c:v>
                      </c:pt>
                      <c:pt idx="1068">
                        <c:v>7.4166666666642413</c:v>
                      </c:pt>
                      <c:pt idx="1069">
                        <c:v>7.4236111111094942</c:v>
                      </c:pt>
                      <c:pt idx="1070">
                        <c:v>7.4305555555547471</c:v>
                      </c:pt>
                      <c:pt idx="1071">
                        <c:v>7.4375</c:v>
                      </c:pt>
                      <c:pt idx="1072">
                        <c:v>7.4444444444452529</c:v>
                      </c:pt>
                      <c:pt idx="1073">
                        <c:v>7.4513888888905058</c:v>
                      </c:pt>
                      <c:pt idx="1074">
                        <c:v>7.4583333333357587</c:v>
                      </c:pt>
                      <c:pt idx="1075">
                        <c:v>7.4652777777810115</c:v>
                      </c:pt>
                      <c:pt idx="1076">
                        <c:v>7.4722222222189885</c:v>
                      </c:pt>
                      <c:pt idx="1077">
                        <c:v>7.4791666666642413</c:v>
                      </c:pt>
                      <c:pt idx="1078">
                        <c:v>7.4861111111094942</c:v>
                      </c:pt>
                      <c:pt idx="1079">
                        <c:v>7.4930555555547471</c:v>
                      </c:pt>
                      <c:pt idx="1080">
                        <c:v>7.5</c:v>
                      </c:pt>
                      <c:pt idx="1081">
                        <c:v>7.5069444444452529</c:v>
                      </c:pt>
                      <c:pt idx="1082">
                        <c:v>7.5138888888905058</c:v>
                      </c:pt>
                      <c:pt idx="1083">
                        <c:v>7.5208333333357587</c:v>
                      </c:pt>
                      <c:pt idx="1084">
                        <c:v>7.5277777777810115</c:v>
                      </c:pt>
                      <c:pt idx="1085">
                        <c:v>7.5347222222189885</c:v>
                      </c:pt>
                      <c:pt idx="1086">
                        <c:v>7.5416666666642413</c:v>
                      </c:pt>
                      <c:pt idx="1087">
                        <c:v>7.5486111111094942</c:v>
                      </c:pt>
                      <c:pt idx="1088">
                        <c:v>7.5555555555547471</c:v>
                      </c:pt>
                      <c:pt idx="1089">
                        <c:v>7.5625</c:v>
                      </c:pt>
                      <c:pt idx="1090">
                        <c:v>7.5694444444452529</c:v>
                      </c:pt>
                      <c:pt idx="1091">
                        <c:v>7.5763888888905058</c:v>
                      </c:pt>
                      <c:pt idx="1092">
                        <c:v>7.5833333333357587</c:v>
                      </c:pt>
                      <c:pt idx="1093">
                        <c:v>7.5902777777810115</c:v>
                      </c:pt>
                      <c:pt idx="1094">
                        <c:v>7.5972222222189885</c:v>
                      </c:pt>
                      <c:pt idx="1095">
                        <c:v>7.6041666666642413</c:v>
                      </c:pt>
                      <c:pt idx="1096">
                        <c:v>7.6111111111094942</c:v>
                      </c:pt>
                      <c:pt idx="1097">
                        <c:v>7.6180555555547471</c:v>
                      </c:pt>
                      <c:pt idx="1098">
                        <c:v>7.625</c:v>
                      </c:pt>
                      <c:pt idx="1099">
                        <c:v>7.6319444444452529</c:v>
                      </c:pt>
                      <c:pt idx="1100">
                        <c:v>7.6388888888905058</c:v>
                      </c:pt>
                      <c:pt idx="1101">
                        <c:v>7.6458333333357587</c:v>
                      </c:pt>
                      <c:pt idx="1102">
                        <c:v>7.6527777777810115</c:v>
                      </c:pt>
                      <c:pt idx="1103">
                        <c:v>7.6597222222189885</c:v>
                      </c:pt>
                      <c:pt idx="1104">
                        <c:v>7.6666666666642413</c:v>
                      </c:pt>
                      <c:pt idx="1105">
                        <c:v>7.6736111111094942</c:v>
                      </c:pt>
                      <c:pt idx="1106">
                        <c:v>7.6805555555547471</c:v>
                      </c:pt>
                      <c:pt idx="1107">
                        <c:v>7.6875</c:v>
                      </c:pt>
                      <c:pt idx="1108">
                        <c:v>7.6944444444452529</c:v>
                      </c:pt>
                      <c:pt idx="1109">
                        <c:v>7.7013888888905058</c:v>
                      </c:pt>
                      <c:pt idx="1110">
                        <c:v>7.7083333333357587</c:v>
                      </c:pt>
                      <c:pt idx="1111">
                        <c:v>7.7152777777810115</c:v>
                      </c:pt>
                      <c:pt idx="1112">
                        <c:v>7.7222222222189885</c:v>
                      </c:pt>
                      <c:pt idx="1113">
                        <c:v>7.7291666666642413</c:v>
                      </c:pt>
                      <c:pt idx="1114">
                        <c:v>7.7361111111094942</c:v>
                      </c:pt>
                      <c:pt idx="1115">
                        <c:v>7.7430555555547471</c:v>
                      </c:pt>
                      <c:pt idx="1116">
                        <c:v>7.75</c:v>
                      </c:pt>
                      <c:pt idx="1117">
                        <c:v>7.7569444444452529</c:v>
                      </c:pt>
                      <c:pt idx="1118">
                        <c:v>7.7638888888905058</c:v>
                      </c:pt>
                      <c:pt idx="1119">
                        <c:v>7.7708333333357587</c:v>
                      </c:pt>
                      <c:pt idx="1120">
                        <c:v>7.7777777777810115</c:v>
                      </c:pt>
                      <c:pt idx="1121">
                        <c:v>7.7847222222189885</c:v>
                      </c:pt>
                      <c:pt idx="1122">
                        <c:v>7.7916666666642413</c:v>
                      </c:pt>
                      <c:pt idx="1123">
                        <c:v>7.7986111111094942</c:v>
                      </c:pt>
                      <c:pt idx="1124">
                        <c:v>7.8055555555547471</c:v>
                      </c:pt>
                      <c:pt idx="1125">
                        <c:v>7.8125</c:v>
                      </c:pt>
                      <c:pt idx="1126">
                        <c:v>7.8194444444452529</c:v>
                      </c:pt>
                      <c:pt idx="1127">
                        <c:v>7.8263888888905058</c:v>
                      </c:pt>
                      <c:pt idx="1128">
                        <c:v>7.8333333333357587</c:v>
                      </c:pt>
                      <c:pt idx="1129">
                        <c:v>7.8402777777810115</c:v>
                      </c:pt>
                      <c:pt idx="1130">
                        <c:v>7.8472222222189885</c:v>
                      </c:pt>
                      <c:pt idx="1131">
                        <c:v>7.8541666666642413</c:v>
                      </c:pt>
                      <c:pt idx="1132">
                        <c:v>7.8611111111094942</c:v>
                      </c:pt>
                      <c:pt idx="1133">
                        <c:v>7.8680555555547471</c:v>
                      </c:pt>
                      <c:pt idx="1134">
                        <c:v>7.875</c:v>
                      </c:pt>
                      <c:pt idx="1135">
                        <c:v>7.8819444444452529</c:v>
                      </c:pt>
                      <c:pt idx="1136">
                        <c:v>7.8888888888905058</c:v>
                      </c:pt>
                      <c:pt idx="1137">
                        <c:v>7.8958333333357587</c:v>
                      </c:pt>
                      <c:pt idx="1138">
                        <c:v>7.9027777777810115</c:v>
                      </c:pt>
                      <c:pt idx="1139">
                        <c:v>7.9097222222189885</c:v>
                      </c:pt>
                      <c:pt idx="1140">
                        <c:v>7.9166666666642413</c:v>
                      </c:pt>
                      <c:pt idx="1141">
                        <c:v>7.9236111111094942</c:v>
                      </c:pt>
                      <c:pt idx="1142">
                        <c:v>7.9305555555547471</c:v>
                      </c:pt>
                      <c:pt idx="1143">
                        <c:v>7.9375</c:v>
                      </c:pt>
                      <c:pt idx="1144">
                        <c:v>7.9444444444452529</c:v>
                      </c:pt>
                      <c:pt idx="1145">
                        <c:v>7.9513888888905058</c:v>
                      </c:pt>
                      <c:pt idx="1146">
                        <c:v>7.9583333333357587</c:v>
                      </c:pt>
                      <c:pt idx="1147">
                        <c:v>7.9652777777810115</c:v>
                      </c:pt>
                      <c:pt idx="1148">
                        <c:v>7.9722222222189885</c:v>
                      </c:pt>
                      <c:pt idx="1149">
                        <c:v>7.9791666666642413</c:v>
                      </c:pt>
                      <c:pt idx="1150">
                        <c:v>7.9861111111094942</c:v>
                      </c:pt>
                      <c:pt idx="1151">
                        <c:v>7.9930555555547471</c:v>
                      </c:pt>
                      <c:pt idx="1152">
                        <c:v>8</c:v>
                      </c:pt>
                      <c:pt idx="1153">
                        <c:v>8.0069444444452529</c:v>
                      </c:pt>
                      <c:pt idx="1154">
                        <c:v>8.0138888888905058</c:v>
                      </c:pt>
                      <c:pt idx="1155">
                        <c:v>8.0208333333357587</c:v>
                      </c:pt>
                      <c:pt idx="1156">
                        <c:v>8.0277777777810115</c:v>
                      </c:pt>
                      <c:pt idx="1157">
                        <c:v>8.0347222222189885</c:v>
                      </c:pt>
                      <c:pt idx="1158">
                        <c:v>8.0416666666642413</c:v>
                      </c:pt>
                      <c:pt idx="1159">
                        <c:v>8.0486111111094942</c:v>
                      </c:pt>
                      <c:pt idx="1160">
                        <c:v>8.0555555555547471</c:v>
                      </c:pt>
                      <c:pt idx="1161">
                        <c:v>8.0625</c:v>
                      </c:pt>
                      <c:pt idx="1162">
                        <c:v>8.0694444444452529</c:v>
                      </c:pt>
                      <c:pt idx="1163">
                        <c:v>8.0763888888905058</c:v>
                      </c:pt>
                      <c:pt idx="1164">
                        <c:v>8.0833333333357587</c:v>
                      </c:pt>
                      <c:pt idx="1165">
                        <c:v>8.0902777777810115</c:v>
                      </c:pt>
                      <c:pt idx="1166">
                        <c:v>8.0972222222189885</c:v>
                      </c:pt>
                      <c:pt idx="1167">
                        <c:v>8.1041666666642413</c:v>
                      </c:pt>
                      <c:pt idx="1168">
                        <c:v>8.1111111111094942</c:v>
                      </c:pt>
                      <c:pt idx="1169">
                        <c:v>8.1180555555547471</c:v>
                      </c:pt>
                      <c:pt idx="1170">
                        <c:v>8.125</c:v>
                      </c:pt>
                      <c:pt idx="1171">
                        <c:v>8.1319444444452529</c:v>
                      </c:pt>
                      <c:pt idx="1172">
                        <c:v>8.1388888888905058</c:v>
                      </c:pt>
                      <c:pt idx="1173">
                        <c:v>8.1458333333357587</c:v>
                      </c:pt>
                      <c:pt idx="1174">
                        <c:v>8.1527777777810115</c:v>
                      </c:pt>
                      <c:pt idx="1175">
                        <c:v>8.1597222222189885</c:v>
                      </c:pt>
                      <c:pt idx="1176">
                        <c:v>8.1666666666642413</c:v>
                      </c:pt>
                      <c:pt idx="1177">
                        <c:v>8.1736111111094942</c:v>
                      </c:pt>
                      <c:pt idx="1178">
                        <c:v>8.1805555555547471</c:v>
                      </c:pt>
                      <c:pt idx="1179">
                        <c:v>8.1875</c:v>
                      </c:pt>
                      <c:pt idx="1180">
                        <c:v>8.1944444444452529</c:v>
                      </c:pt>
                      <c:pt idx="1181">
                        <c:v>8.2013888888905058</c:v>
                      </c:pt>
                      <c:pt idx="1182">
                        <c:v>8.2083333333357587</c:v>
                      </c:pt>
                      <c:pt idx="1183">
                        <c:v>8.2152777777810115</c:v>
                      </c:pt>
                      <c:pt idx="1184">
                        <c:v>8.2222222222189885</c:v>
                      </c:pt>
                      <c:pt idx="1185">
                        <c:v>8.2291666666642413</c:v>
                      </c:pt>
                      <c:pt idx="1186">
                        <c:v>8.2361111111094942</c:v>
                      </c:pt>
                      <c:pt idx="1187">
                        <c:v>8.2430555555547471</c:v>
                      </c:pt>
                      <c:pt idx="1188">
                        <c:v>8.25</c:v>
                      </c:pt>
                      <c:pt idx="1189">
                        <c:v>8.2569444444452529</c:v>
                      </c:pt>
                      <c:pt idx="1190">
                        <c:v>8.2638888888905058</c:v>
                      </c:pt>
                      <c:pt idx="1191">
                        <c:v>8.2708333333357587</c:v>
                      </c:pt>
                      <c:pt idx="1192">
                        <c:v>8.2777777777810115</c:v>
                      </c:pt>
                      <c:pt idx="1193">
                        <c:v>8.2847222222189885</c:v>
                      </c:pt>
                      <c:pt idx="1194">
                        <c:v>8.2916666666642413</c:v>
                      </c:pt>
                      <c:pt idx="1195">
                        <c:v>8.2986111111094942</c:v>
                      </c:pt>
                      <c:pt idx="1196">
                        <c:v>8.3055555555547471</c:v>
                      </c:pt>
                      <c:pt idx="1197">
                        <c:v>8.3125</c:v>
                      </c:pt>
                      <c:pt idx="1198">
                        <c:v>8.3194444444452529</c:v>
                      </c:pt>
                      <c:pt idx="1199">
                        <c:v>8.3263888888905058</c:v>
                      </c:pt>
                      <c:pt idx="1200">
                        <c:v>8.3333333333357587</c:v>
                      </c:pt>
                      <c:pt idx="1201">
                        <c:v>8.3402777777810115</c:v>
                      </c:pt>
                      <c:pt idx="1202">
                        <c:v>8.3472222222189885</c:v>
                      </c:pt>
                      <c:pt idx="1203">
                        <c:v>8.3541666666642413</c:v>
                      </c:pt>
                      <c:pt idx="1204">
                        <c:v>8.3611111111094942</c:v>
                      </c:pt>
                      <c:pt idx="1205">
                        <c:v>8.3680555555547471</c:v>
                      </c:pt>
                      <c:pt idx="1206">
                        <c:v>8.375</c:v>
                      </c:pt>
                      <c:pt idx="1207">
                        <c:v>8.3819444444452529</c:v>
                      </c:pt>
                      <c:pt idx="1208">
                        <c:v>8.3888888888905058</c:v>
                      </c:pt>
                      <c:pt idx="1209">
                        <c:v>8.3958333333357587</c:v>
                      </c:pt>
                      <c:pt idx="1210">
                        <c:v>8.4027777777810115</c:v>
                      </c:pt>
                      <c:pt idx="1211">
                        <c:v>8.4097222222189885</c:v>
                      </c:pt>
                      <c:pt idx="1212">
                        <c:v>8.4166666666642413</c:v>
                      </c:pt>
                      <c:pt idx="1213">
                        <c:v>8.4236111111094942</c:v>
                      </c:pt>
                      <c:pt idx="1214">
                        <c:v>8.4305555555547471</c:v>
                      </c:pt>
                      <c:pt idx="1215">
                        <c:v>8.4375</c:v>
                      </c:pt>
                      <c:pt idx="1216">
                        <c:v>8.4444444444452529</c:v>
                      </c:pt>
                      <c:pt idx="1217">
                        <c:v>8.4513888888905058</c:v>
                      </c:pt>
                      <c:pt idx="1218">
                        <c:v>8.4583333333357587</c:v>
                      </c:pt>
                      <c:pt idx="1219">
                        <c:v>8.4652777777810115</c:v>
                      </c:pt>
                      <c:pt idx="1220">
                        <c:v>8.4722222222189885</c:v>
                      </c:pt>
                      <c:pt idx="1221">
                        <c:v>8.4791666666642413</c:v>
                      </c:pt>
                      <c:pt idx="1222">
                        <c:v>8.4861111111094942</c:v>
                      </c:pt>
                      <c:pt idx="1223">
                        <c:v>8.4930555555547471</c:v>
                      </c:pt>
                      <c:pt idx="1224">
                        <c:v>8.5</c:v>
                      </c:pt>
                      <c:pt idx="1225">
                        <c:v>8.5069444444452529</c:v>
                      </c:pt>
                      <c:pt idx="1226">
                        <c:v>8.5138888888905058</c:v>
                      </c:pt>
                      <c:pt idx="1227">
                        <c:v>8.5208333333357587</c:v>
                      </c:pt>
                      <c:pt idx="1228">
                        <c:v>8.5277777777810115</c:v>
                      </c:pt>
                      <c:pt idx="1229">
                        <c:v>8.5347222222189885</c:v>
                      </c:pt>
                      <c:pt idx="1230">
                        <c:v>8.5416666666642413</c:v>
                      </c:pt>
                      <c:pt idx="1231">
                        <c:v>8.5486111111094942</c:v>
                      </c:pt>
                      <c:pt idx="1232">
                        <c:v>8.5555555555547471</c:v>
                      </c:pt>
                      <c:pt idx="1233">
                        <c:v>8.5625</c:v>
                      </c:pt>
                      <c:pt idx="1234">
                        <c:v>8.5694444444452529</c:v>
                      </c:pt>
                      <c:pt idx="1235">
                        <c:v>8.5763888888905058</c:v>
                      </c:pt>
                      <c:pt idx="1236">
                        <c:v>8.5833333333357587</c:v>
                      </c:pt>
                      <c:pt idx="1237">
                        <c:v>8.5902777777810115</c:v>
                      </c:pt>
                      <c:pt idx="1238">
                        <c:v>8.5972222222189885</c:v>
                      </c:pt>
                      <c:pt idx="1239">
                        <c:v>8.6041666666642413</c:v>
                      </c:pt>
                      <c:pt idx="1240">
                        <c:v>8.6111111111094942</c:v>
                      </c:pt>
                      <c:pt idx="1241">
                        <c:v>8.6180555555547471</c:v>
                      </c:pt>
                      <c:pt idx="1242">
                        <c:v>8.625</c:v>
                      </c:pt>
                      <c:pt idx="1243">
                        <c:v>8.6319444444452529</c:v>
                      </c:pt>
                      <c:pt idx="1244">
                        <c:v>8.6388888888905058</c:v>
                      </c:pt>
                      <c:pt idx="1245">
                        <c:v>8.6458333333357587</c:v>
                      </c:pt>
                      <c:pt idx="1246">
                        <c:v>8.6527777777810115</c:v>
                      </c:pt>
                      <c:pt idx="1247">
                        <c:v>8.6597222222189885</c:v>
                      </c:pt>
                      <c:pt idx="1248">
                        <c:v>8.6666666666642413</c:v>
                      </c:pt>
                      <c:pt idx="1249">
                        <c:v>8.6736111111094942</c:v>
                      </c:pt>
                      <c:pt idx="1250">
                        <c:v>8.6805555555547471</c:v>
                      </c:pt>
                      <c:pt idx="1251">
                        <c:v>8.6875</c:v>
                      </c:pt>
                      <c:pt idx="1252">
                        <c:v>8.6944444444452529</c:v>
                      </c:pt>
                      <c:pt idx="1253">
                        <c:v>8.7013888888905058</c:v>
                      </c:pt>
                      <c:pt idx="1254">
                        <c:v>8.7083333333357587</c:v>
                      </c:pt>
                      <c:pt idx="1255">
                        <c:v>8.7152777777810115</c:v>
                      </c:pt>
                      <c:pt idx="1256">
                        <c:v>8.7222222222189885</c:v>
                      </c:pt>
                      <c:pt idx="1257">
                        <c:v>8.7291666666642413</c:v>
                      </c:pt>
                      <c:pt idx="1258">
                        <c:v>8.7361111111094942</c:v>
                      </c:pt>
                      <c:pt idx="1259">
                        <c:v>8.7430555555547471</c:v>
                      </c:pt>
                      <c:pt idx="1260">
                        <c:v>8.75</c:v>
                      </c:pt>
                      <c:pt idx="1261">
                        <c:v>8.7569444444452529</c:v>
                      </c:pt>
                      <c:pt idx="1262">
                        <c:v>8.7638888888905058</c:v>
                      </c:pt>
                      <c:pt idx="1263">
                        <c:v>8.7708333333357587</c:v>
                      </c:pt>
                      <c:pt idx="1264">
                        <c:v>8.7777777777810115</c:v>
                      </c:pt>
                      <c:pt idx="1265">
                        <c:v>8.7847222222189885</c:v>
                      </c:pt>
                      <c:pt idx="1266">
                        <c:v>8.7916666666642413</c:v>
                      </c:pt>
                      <c:pt idx="1267">
                        <c:v>8.7986111111094942</c:v>
                      </c:pt>
                      <c:pt idx="1268">
                        <c:v>8.8055555555547471</c:v>
                      </c:pt>
                      <c:pt idx="1269">
                        <c:v>8.8125</c:v>
                      </c:pt>
                      <c:pt idx="1270">
                        <c:v>8.8194444444452529</c:v>
                      </c:pt>
                      <c:pt idx="1271">
                        <c:v>8.8263888888905058</c:v>
                      </c:pt>
                      <c:pt idx="1272">
                        <c:v>8.8333333333357587</c:v>
                      </c:pt>
                      <c:pt idx="1273">
                        <c:v>8.8402777777810115</c:v>
                      </c:pt>
                      <c:pt idx="1274">
                        <c:v>8.8472222222189885</c:v>
                      </c:pt>
                      <c:pt idx="1275">
                        <c:v>8.8541666666642413</c:v>
                      </c:pt>
                      <c:pt idx="1276">
                        <c:v>8.8611111111094942</c:v>
                      </c:pt>
                      <c:pt idx="1277">
                        <c:v>8.8680555555547471</c:v>
                      </c:pt>
                      <c:pt idx="1278">
                        <c:v>8.875</c:v>
                      </c:pt>
                      <c:pt idx="1279">
                        <c:v>8.8819444444452529</c:v>
                      </c:pt>
                      <c:pt idx="1280">
                        <c:v>8.8888888888905058</c:v>
                      </c:pt>
                      <c:pt idx="1281">
                        <c:v>8.8958333333357587</c:v>
                      </c:pt>
                      <c:pt idx="1282">
                        <c:v>8.9027777777810115</c:v>
                      </c:pt>
                      <c:pt idx="1283">
                        <c:v>8.9097222222189885</c:v>
                      </c:pt>
                      <c:pt idx="1284">
                        <c:v>8.9166666666642413</c:v>
                      </c:pt>
                      <c:pt idx="1285">
                        <c:v>8.9236111111094942</c:v>
                      </c:pt>
                      <c:pt idx="1286">
                        <c:v>8.9305555555547471</c:v>
                      </c:pt>
                      <c:pt idx="1287">
                        <c:v>8.9375</c:v>
                      </c:pt>
                      <c:pt idx="1288">
                        <c:v>8.9444444444452529</c:v>
                      </c:pt>
                      <c:pt idx="1289">
                        <c:v>8.9513888888905058</c:v>
                      </c:pt>
                      <c:pt idx="1290">
                        <c:v>8.9583333333357587</c:v>
                      </c:pt>
                      <c:pt idx="1291">
                        <c:v>8.9652777777810115</c:v>
                      </c:pt>
                      <c:pt idx="1292">
                        <c:v>8.9722222222189885</c:v>
                      </c:pt>
                      <c:pt idx="1293">
                        <c:v>8.9791666666642413</c:v>
                      </c:pt>
                      <c:pt idx="1294">
                        <c:v>8.9861111111094942</c:v>
                      </c:pt>
                      <c:pt idx="1295">
                        <c:v>8.9930555555547471</c:v>
                      </c:pt>
                      <c:pt idx="1296">
                        <c:v>9</c:v>
                      </c:pt>
                      <c:pt idx="1297">
                        <c:v>9.0069444444452529</c:v>
                      </c:pt>
                      <c:pt idx="1298">
                        <c:v>9.0138888888905058</c:v>
                      </c:pt>
                      <c:pt idx="1299">
                        <c:v>9.0208333333357587</c:v>
                      </c:pt>
                      <c:pt idx="1300">
                        <c:v>9.0277777777810115</c:v>
                      </c:pt>
                      <c:pt idx="1301">
                        <c:v>9.0347222222189885</c:v>
                      </c:pt>
                      <c:pt idx="1302">
                        <c:v>9.0416666666642413</c:v>
                      </c:pt>
                      <c:pt idx="1303">
                        <c:v>9.0486111111094942</c:v>
                      </c:pt>
                      <c:pt idx="1304">
                        <c:v>9.0555555555547471</c:v>
                      </c:pt>
                      <c:pt idx="1305">
                        <c:v>9.0625</c:v>
                      </c:pt>
                      <c:pt idx="1306">
                        <c:v>9.0694444444452529</c:v>
                      </c:pt>
                      <c:pt idx="1307">
                        <c:v>9.0763888888905058</c:v>
                      </c:pt>
                      <c:pt idx="1308">
                        <c:v>9.0833333333357587</c:v>
                      </c:pt>
                      <c:pt idx="1309">
                        <c:v>9.0902777777810115</c:v>
                      </c:pt>
                      <c:pt idx="1310">
                        <c:v>9.0972222222189885</c:v>
                      </c:pt>
                      <c:pt idx="1311">
                        <c:v>9.1041666666642413</c:v>
                      </c:pt>
                      <c:pt idx="1312">
                        <c:v>9.1111111111094942</c:v>
                      </c:pt>
                      <c:pt idx="1313">
                        <c:v>9.1180555555547471</c:v>
                      </c:pt>
                      <c:pt idx="1314">
                        <c:v>9.125</c:v>
                      </c:pt>
                      <c:pt idx="1315">
                        <c:v>9.1319444444452529</c:v>
                      </c:pt>
                      <c:pt idx="1316">
                        <c:v>9.1388888888905058</c:v>
                      </c:pt>
                      <c:pt idx="1317">
                        <c:v>9.1458333333357587</c:v>
                      </c:pt>
                      <c:pt idx="1318">
                        <c:v>9.1527777777810115</c:v>
                      </c:pt>
                      <c:pt idx="1319">
                        <c:v>9.1597222222189885</c:v>
                      </c:pt>
                      <c:pt idx="1320">
                        <c:v>9.1666666666642413</c:v>
                      </c:pt>
                      <c:pt idx="1321">
                        <c:v>9.1736111111094942</c:v>
                      </c:pt>
                      <c:pt idx="1322">
                        <c:v>9.1805555555547471</c:v>
                      </c:pt>
                      <c:pt idx="1323">
                        <c:v>9.1875</c:v>
                      </c:pt>
                      <c:pt idx="1324">
                        <c:v>9.1944444444452529</c:v>
                      </c:pt>
                      <c:pt idx="1325">
                        <c:v>9.2013888888905058</c:v>
                      </c:pt>
                      <c:pt idx="1326">
                        <c:v>9.2083333333357587</c:v>
                      </c:pt>
                      <c:pt idx="1327">
                        <c:v>9.2152777777810115</c:v>
                      </c:pt>
                      <c:pt idx="1328">
                        <c:v>9.2222222222189885</c:v>
                      </c:pt>
                      <c:pt idx="1329">
                        <c:v>9.2291666666642413</c:v>
                      </c:pt>
                      <c:pt idx="1330">
                        <c:v>9.2361111111094942</c:v>
                      </c:pt>
                      <c:pt idx="1331">
                        <c:v>9.2430555555547471</c:v>
                      </c:pt>
                      <c:pt idx="1332">
                        <c:v>9.25</c:v>
                      </c:pt>
                      <c:pt idx="1333">
                        <c:v>9.2569444444452529</c:v>
                      </c:pt>
                      <c:pt idx="1334">
                        <c:v>9.2638888888905058</c:v>
                      </c:pt>
                      <c:pt idx="1335">
                        <c:v>9.2708333333357587</c:v>
                      </c:pt>
                      <c:pt idx="1336">
                        <c:v>9.2777777777810115</c:v>
                      </c:pt>
                      <c:pt idx="1337">
                        <c:v>9.2847222222189885</c:v>
                      </c:pt>
                      <c:pt idx="1338">
                        <c:v>9.2916666666642413</c:v>
                      </c:pt>
                      <c:pt idx="1339">
                        <c:v>9.2986111111094942</c:v>
                      </c:pt>
                      <c:pt idx="1340">
                        <c:v>9.3055555555547471</c:v>
                      </c:pt>
                      <c:pt idx="1341">
                        <c:v>9.3125</c:v>
                      </c:pt>
                      <c:pt idx="1342">
                        <c:v>9.3194444444452529</c:v>
                      </c:pt>
                      <c:pt idx="1343">
                        <c:v>9.3263888888905058</c:v>
                      </c:pt>
                      <c:pt idx="1344">
                        <c:v>9.3333333333357587</c:v>
                      </c:pt>
                      <c:pt idx="1345">
                        <c:v>9.3402777777810115</c:v>
                      </c:pt>
                      <c:pt idx="1346">
                        <c:v>9.3472222222189885</c:v>
                      </c:pt>
                      <c:pt idx="1347">
                        <c:v>9.3541666666642413</c:v>
                      </c:pt>
                      <c:pt idx="1348">
                        <c:v>9.3611111111094942</c:v>
                      </c:pt>
                      <c:pt idx="1349">
                        <c:v>9.3680555555547471</c:v>
                      </c:pt>
                      <c:pt idx="1350">
                        <c:v>9.375</c:v>
                      </c:pt>
                      <c:pt idx="1351">
                        <c:v>9.3819444444452529</c:v>
                      </c:pt>
                      <c:pt idx="1352">
                        <c:v>9.3888888888905058</c:v>
                      </c:pt>
                      <c:pt idx="1353">
                        <c:v>9.3958333333357587</c:v>
                      </c:pt>
                      <c:pt idx="1354">
                        <c:v>9.4027777777810115</c:v>
                      </c:pt>
                      <c:pt idx="1355">
                        <c:v>9.4097222222189885</c:v>
                      </c:pt>
                      <c:pt idx="1356">
                        <c:v>9.4166666666642413</c:v>
                      </c:pt>
                      <c:pt idx="1357">
                        <c:v>9.4236111111094942</c:v>
                      </c:pt>
                      <c:pt idx="1358">
                        <c:v>9.4305555555547471</c:v>
                      </c:pt>
                      <c:pt idx="1359">
                        <c:v>9.4375</c:v>
                      </c:pt>
                      <c:pt idx="1360">
                        <c:v>9.4444444444452529</c:v>
                      </c:pt>
                      <c:pt idx="1361">
                        <c:v>9.4513888888905058</c:v>
                      </c:pt>
                      <c:pt idx="1362">
                        <c:v>9.4583333333357587</c:v>
                      </c:pt>
                      <c:pt idx="1363">
                        <c:v>9.4652777777810115</c:v>
                      </c:pt>
                      <c:pt idx="1364">
                        <c:v>9.4722222222189885</c:v>
                      </c:pt>
                      <c:pt idx="1365">
                        <c:v>9.4791666666642413</c:v>
                      </c:pt>
                      <c:pt idx="1366">
                        <c:v>9.4861111111094942</c:v>
                      </c:pt>
                      <c:pt idx="1367">
                        <c:v>9.4930555555547471</c:v>
                      </c:pt>
                      <c:pt idx="1368">
                        <c:v>9.5</c:v>
                      </c:pt>
                      <c:pt idx="1369">
                        <c:v>9.5069444444452529</c:v>
                      </c:pt>
                      <c:pt idx="1370">
                        <c:v>9.5138888888905058</c:v>
                      </c:pt>
                      <c:pt idx="1371">
                        <c:v>9.5208333333357587</c:v>
                      </c:pt>
                      <c:pt idx="1372">
                        <c:v>9.5277777777810115</c:v>
                      </c:pt>
                      <c:pt idx="1373">
                        <c:v>9.5347222222189885</c:v>
                      </c:pt>
                      <c:pt idx="1374">
                        <c:v>9.5416666666642413</c:v>
                      </c:pt>
                      <c:pt idx="1375">
                        <c:v>9.5486111111094942</c:v>
                      </c:pt>
                      <c:pt idx="1376">
                        <c:v>9.5555555555547471</c:v>
                      </c:pt>
                      <c:pt idx="1377">
                        <c:v>9.5625</c:v>
                      </c:pt>
                      <c:pt idx="1378">
                        <c:v>9.5694444444452529</c:v>
                      </c:pt>
                      <c:pt idx="1379">
                        <c:v>9.5763888888905058</c:v>
                      </c:pt>
                      <c:pt idx="1380">
                        <c:v>9.5833333333357587</c:v>
                      </c:pt>
                      <c:pt idx="1381">
                        <c:v>9.5902777777810115</c:v>
                      </c:pt>
                      <c:pt idx="1382">
                        <c:v>9.5972222222189885</c:v>
                      </c:pt>
                      <c:pt idx="1383">
                        <c:v>9.6041666666642413</c:v>
                      </c:pt>
                      <c:pt idx="1384">
                        <c:v>9.6111111111094942</c:v>
                      </c:pt>
                      <c:pt idx="1385">
                        <c:v>9.6180555555547471</c:v>
                      </c:pt>
                      <c:pt idx="1386">
                        <c:v>9.625</c:v>
                      </c:pt>
                      <c:pt idx="1387">
                        <c:v>9.6319444444452529</c:v>
                      </c:pt>
                      <c:pt idx="1388">
                        <c:v>9.6388888888905058</c:v>
                      </c:pt>
                      <c:pt idx="1389">
                        <c:v>9.6458333333357587</c:v>
                      </c:pt>
                      <c:pt idx="1390">
                        <c:v>9.6527777777810115</c:v>
                      </c:pt>
                      <c:pt idx="1391">
                        <c:v>9.6597222222189885</c:v>
                      </c:pt>
                      <c:pt idx="1392">
                        <c:v>9.6666666666642413</c:v>
                      </c:pt>
                      <c:pt idx="1393">
                        <c:v>9.6736111111094942</c:v>
                      </c:pt>
                      <c:pt idx="1394">
                        <c:v>9.6805555555547471</c:v>
                      </c:pt>
                      <c:pt idx="1395">
                        <c:v>9.6875</c:v>
                      </c:pt>
                      <c:pt idx="1396">
                        <c:v>9.6944444444452529</c:v>
                      </c:pt>
                      <c:pt idx="1397">
                        <c:v>9.7013888888905058</c:v>
                      </c:pt>
                      <c:pt idx="1398">
                        <c:v>9.7083333333357587</c:v>
                      </c:pt>
                      <c:pt idx="1399">
                        <c:v>9.7152777777810115</c:v>
                      </c:pt>
                      <c:pt idx="1400">
                        <c:v>9.7222222222189885</c:v>
                      </c:pt>
                      <c:pt idx="1401">
                        <c:v>9.7291666666642413</c:v>
                      </c:pt>
                      <c:pt idx="1402">
                        <c:v>9.7361111111094942</c:v>
                      </c:pt>
                      <c:pt idx="1403">
                        <c:v>9.7430555555547471</c:v>
                      </c:pt>
                      <c:pt idx="1404">
                        <c:v>9.75</c:v>
                      </c:pt>
                      <c:pt idx="1405">
                        <c:v>9.7569444444452529</c:v>
                      </c:pt>
                      <c:pt idx="1406">
                        <c:v>9.7638888888905058</c:v>
                      </c:pt>
                      <c:pt idx="1407">
                        <c:v>9.7708333333357587</c:v>
                      </c:pt>
                      <c:pt idx="1408">
                        <c:v>9.7777777777810115</c:v>
                      </c:pt>
                      <c:pt idx="1409">
                        <c:v>9.7847222222189885</c:v>
                      </c:pt>
                      <c:pt idx="1410">
                        <c:v>9.7916666666642413</c:v>
                      </c:pt>
                      <c:pt idx="1411">
                        <c:v>9.7986111111094942</c:v>
                      </c:pt>
                      <c:pt idx="1412">
                        <c:v>9.8055555555547471</c:v>
                      </c:pt>
                      <c:pt idx="1413">
                        <c:v>9.8125</c:v>
                      </c:pt>
                      <c:pt idx="1414">
                        <c:v>9.8194444444452529</c:v>
                      </c:pt>
                      <c:pt idx="1415">
                        <c:v>9.8263888888905058</c:v>
                      </c:pt>
                      <c:pt idx="1416">
                        <c:v>9.8333333333357587</c:v>
                      </c:pt>
                      <c:pt idx="1417">
                        <c:v>9.8402777777810115</c:v>
                      </c:pt>
                      <c:pt idx="1418">
                        <c:v>9.8472222222189885</c:v>
                      </c:pt>
                      <c:pt idx="1419">
                        <c:v>9.8541666666642413</c:v>
                      </c:pt>
                      <c:pt idx="1420">
                        <c:v>9.8611111111094942</c:v>
                      </c:pt>
                      <c:pt idx="1421">
                        <c:v>9.8680555555547471</c:v>
                      </c:pt>
                      <c:pt idx="1422">
                        <c:v>9.875</c:v>
                      </c:pt>
                      <c:pt idx="1423">
                        <c:v>9.8819444444452529</c:v>
                      </c:pt>
                      <c:pt idx="1424">
                        <c:v>9.8888888888905058</c:v>
                      </c:pt>
                      <c:pt idx="1425">
                        <c:v>9.8958333333357587</c:v>
                      </c:pt>
                      <c:pt idx="1426">
                        <c:v>9.9027777777810115</c:v>
                      </c:pt>
                      <c:pt idx="1427">
                        <c:v>9.9097222222189885</c:v>
                      </c:pt>
                      <c:pt idx="1428">
                        <c:v>9.9166666666642413</c:v>
                      </c:pt>
                      <c:pt idx="1429">
                        <c:v>9.9236111111094942</c:v>
                      </c:pt>
                      <c:pt idx="1430">
                        <c:v>9.9305555555547471</c:v>
                      </c:pt>
                      <c:pt idx="1431">
                        <c:v>9.9375</c:v>
                      </c:pt>
                      <c:pt idx="1432">
                        <c:v>9.9444444444452529</c:v>
                      </c:pt>
                      <c:pt idx="1433">
                        <c:v>9.9513888888905058</c:v>
                      </c:pt>
                      <c:pt idx="1434">
                        <c:v>9.9583333333357587</c:v>
                      </c:pt>
                      <c:pt idx="1435">
                        <c:v>9.9652777777810115</c:v>
                      </c:pt>
                      <c:pt idx="1436">
                        <c:v>9.9722222222189885</c:v>
                      </c:pt>
                      <c:pt idx="1437">
                        <c:v>9.9791666666642413</c:v>
                      </c:pt>
                      <c:pt idx="1438">
                        <c:v>9.9861111111094942</c:v>
                      </c:pt>
                      <c:pt idx="1439">
                        <c:v>9.9930555555547471</c:v>
                      </c:pt>
                      <c:pt idx="1440">
                        <c:v>10</c:v>
                      </c:pt>
                      <c:pt idx="1441">
                        <c:v>10.006944444445253</c:v>
                      </c:pt>
                      <c:pt idx="1442">
                        <c:v>10.013888888890506</c:v>
                      </c:pt>
                      <c:pt idx="1443">
                        <c:v>10.020833333335759</c:v>
                      </c:pt>
                      <c:pt idx="1444">
                        <c:v>10.027777777781012</c:v>
                      </c:pt>
                      <c:pt idx="1445">
                        <c:v>10.034722222218988</c:v>
                      </c:pt>
                      <c:pt idx="1446">
                        <c:v>10.041666666664241</c:v>
                      </c:pt>
                      <c:pt idx="1447">
                        <c:v>10.048611111109494</c:v>
                      </c:pt>
                      <c:pt idx="1448">
                        <c:v>10.055555555554747</c:v>
                      </c:pt>
                      <c:pt idx="1449">
                        <c:v>10.0625</c:v>
                      </c:pt>
                      <c:pt idx="1450">
                        <c:v>10.069444444445253</c:v>
                      </c:pt>
                      <c:pt idx="1451">
                        <c:v>10.076388888890506</c:v>
                      </c:pt>
                      <c:pt idx="1452">
                        <c:v>10.083333333335759</c:v>
                      </c:pt>
                      <c:pt idx="1453">
                        <c:v>10.090277777781012</c:v>
                      </c:pt>
                      <c:pt idx="1454">
                        <c:v>10.097222222218988</c:v>
                      </c:pt>
                      <c:pt idx="1455">
                        <c:v>10.104166666664241</c:v>
                      </c:pt>
                      <c:pt idx="1456">
                        <c:v>10.111111111109494</c:v>
                      </c:pt>
                      <c:pt idx="1457">
                        <c:v>10.118055555554747</c:v>
                      </c:pt>
                      <c:pt idx="1458">
                        <c:v>10.125</c:v>
                      </c:pt>
                      <c:pt idx="1459">
                        <c:v>10.131944444445253</c:v>
                      </c:pt>
                      <c:pt idx="1460">
                        <c:v>10.138888888890506</c:v>
                      </c:pt>
                      <c:pt idx="1461">
                        <c:v>10.145833333335759</c:v>
                      </c:pt>
                      <c:pt idx="1462">
                        <c:v>10.152777777781012</c:v>
                      </c:pt>
                      <c:pt idx="1463">
                        <c:v>10.159722222218988</c:v>
                      </c:pt>
                      <c:pt idx="1464">
                        <c:v>10.166666666664241</c:v>
                      </c:pt>
                      <c:pt idx="1465">
                        <c:v>10.173611111109494</c:v>
                      </c:pt>
                      <c:pt idx="1466">
                        <c:v>10.180555555554747</c:v>
                      </c:pt>
                      <c:pt idx="1467">
                        <c:v>10.1875</c:v>
                      </c:pt>
                      <c:pt idx="1468">
                        <c:v>10.194444444445253</c:v>
                      </c:pt>
                      <c:pt idx="1469">
                        <c:v>10.201388888890506</c:v>
                      </c:pt>
                      <c:pt idx="1470">
                        <c:v>10.208333333335759</c:v>
                      </c:pt>
                      <c:pt idx="1471">
                        <c:v>10.215277777781012</c:v>
                      </c:pt>
                      <c:pt idx="1472">
                        <c:v>10.222222222218988</c:v>
                      </c:pt>
                      <c:pt idx="1473">
                        <c:v>10.229166666664241</c:v>
                      </c:pt>
                      <c:pt idx="1474">
                        <c:v>10.236111111109494</c:v>
                      </c:pt>
                      <c:pt idx="1475">
                        <c:v>10.243055555554747</c:v>
                      </c:pt>
                      <c:pt idx="1476">
                        <c:v>10.25</c:v>
                      </c:pt>
                      <c:pt idx="1477">
                        <c:v>10.256944444445253</c:v>
                      </c:pt>
                      <c:pt idx="1478">
                        <c:v>10.263888888890506</c:v>
                      </c:pt>
                      <c:pt idx="1479">
                        <c:v>10.270833333335759</c:v>
                      </c:pt>
                      <c:pt idx="1480">
                        <c:v>10.277777777781012</c:v>
                      </c:pt>
                      <c:pt idx="1481">
                        <c:v>10.284722222218988</c:v>
                      </c:pt>
                      <c:pt idx="1482">
                        <c:v>10.291666666664241</c:v>
                      </c:pt>
                      <c:pt idx="1483">
                        <c:v>10.298611111109494</c:v>
                      </c:pt>
                      <c:pt idx="1484">
                        <c:v>10.305555555554747</c:v>
                      </c:pt>
                      <c:pt idx="1485">
                        <c:v>10.3125</c:v>
                      </c:pt>
                      <c:pt idx="1486">
                        <c:v>10.319444444445253</c:v>
                      </c:pt>
                      <c:pt idx="1487">
                        <c:v>10.326388888890506</c:v>
                      </c:pt>
                      <c:pt idx="1488">
                        <c:v>10.333333333335759</c:v>
                      </c:pt>
                      <c:pt idx="1489">
                        <c:v>10.340277777781012</c:v>
                      </c:pt>
                      <c:pt idx="1490">
                        <c:v>10.347222222218988</c:v>
                      </c:pt>
                      <c:pt idx="1491">
                        <c:v>10.354166666664241</c:v>
                      </c:pt>
                      <c:pt idx="1492">
                        <c:v>10.361111111109494</c:v>
                      </c:pt>
                      <c:pt idx="1493">
                        <c:v>10.368055555554747</c:v>
                      </c:pt>
                      <c:pt idx="1494">
                        <c:v>10.375</c:v>
                      </c:pt>
                      <c:pt idx="1495">
                        <c:v>10.381944444445253</c:v>
                      </c:pt>
                      <c:pt idx="1496">
                        <c:v>10.388888888890506</c:v>
                      </c:pt>
                      <c:pt idx="1497">
                        <c:v>10.395833333335759</c:v>
                      </c:pt>
                      <c:pt idx="1498">
                        <c:v>10.402777777781012</c:v>
                      </c:pt>
                      <c:pt idx="1499">
                        <c:v>10.409722222218988</c:v>
                      </c:pt>
                      <c:pt idx="1500">
                        <c:v>10.416666666664241</c:v>
                      </c:pt>
                      <c:pt idx="1501">
                        <c:v>10.423611111109494</c:v>
                      </c:pt>
                      <c:pt idx="1502">
                        <c:v>10.430555555554747</c:v>
                      </c:pt>
                      <c:pt idx="1503">
                        <c:v>10.4375</c:v>
                      </c:pt>
                      <c:pt idx="1504">
                        <c:v>10.444444444445253</c:v>
                      </c:pt>
                      <c:pt idx="1505">
                        <c:v>10.451388888890506</c:v>
                      </c:pt>
                      <c:pt idx="1506">
                        <c:v>10.458333333335759</c:v>
                      </c:pt>
                      <c:pt idx="1507">
                        <c:v>10.465277777781012</c:v>
                      </c:pt>
                      <c:pt idx="1508">
                        <c:v>10.472222222218988</c:v>
                      </c:pt>
                      <c:pt idx="1509">
                        <c:v>10.479166666664241</c:v>
                      </c:pt>
                      <c:pt idx="1510">
                        <c:v>10.486111111109494</c:v>
                      </c:pt>
                      <c:pt idx="1511">
                        <c:v>10.493055555554747</c:v>
                      </c:pt>
                      <c:pt idx="1512">
                        <c:v>10.5</c:v>
                      </c:pt>
                      <c:pt idx="1513">
                        <c:v>10.506944444445253</c:v>
                      </c:pt>
                      <c:pt idx="1514">
                        <c:v>10.513888888890506</c:v>
                      </c:pt>
                      <c:pt idx="1515">
                        <c:v>10.520833333335759</c:v>
                      </c:pt>
                      <c:pt idx="1516">
                        <c:v>10.527777777781012</c:v>
                      </c:pt>
                      <c:pt idx="1517">
                        <c:v>10.534722222218988</c:v>
                      </c:pt>
                      <c:pt idx="1518">
                        <c:v>10.541666666664241</c:v>
                      </c:pt>
                      <c:pt idx="1519">
                        <c:v>10.548611111109494</c:v>
                      </c:pt>
                      <c:pt idx="1520">
                        <c:v>10.555555555554747</c:v>
                      </c:pt>
                      <c:pt idx="1521">
                        <c:v>10.5625</c:v>
                      </c:pt>
                      <c:pt idx="1522">
                        <c:v>10.569444444445253</c:v>
                      </c:pt>
                      <c:pt idx="1523">
                        <c:v>10.576388888890506</c:v>
                      </c:pt>
                      <c:pt idx="1524">
                        <c:v>10.583333333335759</c:v>
                      </c:pt>
                      <c:pt idx="1525">
                        <c:v>10.590277777781012</c:v>
                      </c:pt>
                      <c:pt idx="1526">
                        <c:v>10.597222222218988</c:v>
                      </c:pt>
                      <c:pt idx="1527">
                        <c:v>10.604166666664241</c:v>
                      </c:pt>
                      <c:pt idx="1528">
                        <c:v>10.611111111109494</c:v>
                      </c:pt>
                      <c:pt idx="1529">
                        <c:v>10.618055555554747</c:v>
                      </c:pt>
                      <c:pt idx="1530">
                        <c:v>10.625</c:v>
                      </c:pt>
                      <c:pt idx="1531">
                        <c:v>10.631944444445253</c:v>
                      </c:pt>
                      <c:pt idx="1532">
                        <c:v>10.638888888890506</c:v>
                      </c:pt>
                      <c:pt idx="1533">
                        <c:v>10.645833333335759</c:v>
                      </c:pt>
                      <c:pt idx="1534">
                        <c:v>10.652777777781012</c:v>
                      </c:pt>
                      <c:pt idx="1535">
                        <c:v>10.659722222218988</c:v>
                      </c:pt>
                      <c:pt idx="1536">
                        <c:v>10.666666666664241</c:v>
                      </c:pt>
                      <c:pt idx="1537">
                        <c:v>10.673611111109494</c:v>
                      </c:pt>
                      <c:pt idx="1538">
                        <c:v>10.680555555554747</c:v>
                      </c:pt>
                      <c:pt idx="1539">
                        <c:v>10.6875</c:v>
                      </c:pt>
                      <c:pt idx="1540">
                        <c:v>10.694444444445253</c:v>
                      </c:pt>
                      <c:pt idx="1541">
                        <c:v>10.701388888890506</c:v>
                      </c:pt>
                      <c:pt idx="1542">
                        <c:v>10.708333333335759</c:v>
                      </c:pt>
                      <c:pt idx="1543">
                        <c:v>10.715277777781012</c:v>
                      </c:pt>
                      <c:pt idx="1544">
                        <c:v>10.722222222218988</c:v>
                      </c:pt>
                      <c:pt idx="1545">
                        <c:v>10.729166666664241</c:v>
                      </c:pt>
                      <c:pt idx="1546">
                        <c:v>10.736111111109494</c:v>
                      </c:pt>
                      <c:pt idx="1547">
                        <c:v>10.743055555554747</c:v>
                      </c:pt>
                      <c:pt idx="1548">
                        <c:v>10.75</c:v>
                      </c:pt>
                      <c:pt idx="1549">
                        <c:v>10.756944444445253</c:v>
                      </c:pt>
                      <c:pt idx="1550">
                        <c:v>10.763888888890506</c:v>
                      </c:pt>
                      <c:pt idx="1551">
                        <c:v>10.770833333335759</c:v>
                      </c:pt>
                      <c:pt idx="1552">
                        <c:v>10.777777777781012</c:v>
                      </c:pt>
                      <c:pt idx="1553">
                        <c:v>10.784722222218988</c:v>
                      </c:pt>
                      <c:pt idx="1554">
                        <c:v>10.791666666664241</c:v>
                      </c:pt>
                      <c:pt idx="1555">
                        <c:v>10.798611111109494</c:v>
                      </c:pt>
                      <c:pt idx="1556">
                        <c:v>10.805555555554747</c:v>
                      </c:pt>
                      <c:pt idx="1557">
                        <c:v>10.8125</c:v>
                      </c:pt>
                      <c:pt idx="1558">
                        <c:v>10.819444444445253</c:v>
                      </c:pt>
                      <c:pt idx="1559">
                        <c:v>10.826388888890506</c:v>
                      </c:pt>
                      <c:pt idx="1560">
                        <c:v>10.833333333335759</c:v>
                      </c:pt>
                      <c:pt idx="1561">
                        <c:v>10.840277777781012</c:v>
                      </c:pt>
                      <c:pt idx="1562">
                        <c:v>10.847222222218988</c:v>
                      </c:pt>
                      <c:pt idx="1563">
                        <c:v>10.854166666664241</c:v>
                      </c:pt>
                      <c:pt idx="1564">
                        <c:v>10.861111111109494</c:v>
                      </c:pt>
                      <c:pt idx="1565">
                        <c:v>10.868055555554747</c:v>
                      </c:pt>
                      <c:pt idx="1566">
                        <c:v>10.875</c:v>
                      </c:pt>
                      <c:pt idx="1567">
                        <c:v>10.881944444445253</c:v>
                      </c:pt>
                      <c:pt idx="1568">
                        <c:v>10.888888888890506</c:v>
                      </c:pt>
                      <c:pt idx="1569">
                        <c:v>10.895833333335759</c:v>
                      </c:pt>
                      <c:pt idx="1570">
                        <c:v>10.902777777781012</c:v>
                      </c:pt>
                      <c:pt idx="1571">
                        <c:v>10.909722222218988</c:v>
                      </c:pt>
                      <c:pt idx="1572">
                        <c:v>10.916666666664241</c:v>
                      </c:pt>
                      <c:pt idx="1573">
                        <c:v>10.923611111109494</c:v>
                      </c:pt>
                      <c:pt idx="1574">
                        <c:v>10.930555555554747</c:v>
                      </c:pt>
                      <c:pt idx="1575">
                        <c:v>10.9375</c:v>
                      </c:pt>
                      <c:pt idx="1576">
                        <c:v>10.944444444445253</c:v>
                      </c:pt>
                      <c:pt idx="1577">
                        <c:v>10.951388888890506</c:v>
                      </c:pt>
                      <c:pt idx="1578">
                        <c:v>10.958333333335759</c:v>
                      </c:pt>
                      <c:pt idx="1579">
                        <c:v>10.965277777781012</c:v>
                      </c:pt>
                      <c:pt idx="1580">
                        <c:v>10.972222222218988</c:v>
                      </c:pt>
                      <c:pt idx="1581">
                        <c:v>10.979166666664241</c:v>
                      </c:pt>
                      <c:pt idx="1582">
                        <c:v>10.986111111109494</c:v>
                      </c:pt>
                      <c:pt idx="1583">
                        <c:v>10.993055555554747</c:v>
                      </c:pt>
                      <c:pt idx="1584">
                        <c:v>11</c:v>
                      </c:pt>
                      <c:pt idx="1585">
                        <c:v>11.006944444445253</c:v>
                      </c:pt>
                      <c:pt idx="1586">
                        <c:v>11.013888888890506</c:v>
                      </c:pt>
                      <c:pt idx="1587">
                        <c:v>11.020833333335759</c:v>
                      </c:pt>
                      <c:pt idx="1588">
                        <c:v>11.027777777781012</c:v>
                      </c:pt>
                      <c:pt idx="1589">
                        <c:v>11.034722222218988</c:v>
                      </c:pt>
                      <c:pt idx="1590">
                        <c:v>11.041666666664241</c:v>
                      </c:pt>
                      <c:pt idx="1591">
                        <c:v>11.048611111109494</c:v>
                      </c:pt>
                      <c:pt idx="1592">
                        <c:v>11.055555555554747</c:v>
                      </c:pt>
                      <c:pt idx="1593">
                        <c:v>11.0625</c:v>
                      </c:pt>
                      <c:pt idx="1594">
                        <c:v>11.069444444445253</c:v>
                      </c:pt>
                      <c:pt idx="1595">
                        <c:v>11.076388888890506</c:v>
                      </c:pt>
                      <c:pt idx="1596">
                        <c:v>11.083333333335759</c:v>
                      </c:pt>
                      <c:pt idx="1597">
                        <c:v>11.090277777781012</c:v>
                      </c:pt>
                      <c:pt idx="1598">
                        <c:v>11.097222222218988</c:v>
                      </c:pt>
                      <c:pt idx="1599">
                        <c:v>11.104166666664241</c:v>
                      </c:pt>
                      <c:pt idx="1600">
                        <c:v>11.111111111109494</c:v>
                      </c:pt>
                      <c:pt idx="1601">
                        <c:v>11.118055555554747</c:v>
                      </c:pt>
                      <c:pt idx="1602">
                        <c:v>11.125</c:v>
                      </c:pt>
                      <c:pt idx="1603">
                        <c:v>11.131944444445253</c:v>
                      </c:pt>
                      <c:pt idx="1604">
                        <c:v>11.138888888890506</c:v>
                      </c:pt>
                      <c:pt idx="1605">
                        <c:v>11.145833333335759</c:v>
                      </c:pt>
                      <c:pt idx="1606">
                        <c:v>11.152777777781012</c:v>
                      </c:pt>
                      <c:pt idx="1607">
                        <c:v>11.159722222218988</c:v>
                      </c:pt>
                      <c:pt idx="1608">
                        <c:v>11.166666666664241</c:v>
                      </c:pt>
                      <c:pt idx="1609">
                        <c:v>11.173611111109494</c:v>
                      </c:pt>
                      <c:pt idx="1610">
                        <c:v>11.180555555554747</c:v>
                      </c:pt>
                      <c:pt idx="1611">
                        <c:v>11.1875</c:v>
                      </c:pt>
                      <c:pt idx="1612">
                        <c:v>11.194444444445253</c:v>
                      </c:pt>
                      <c:pt idx="1613">
                        <c:v>11.201388888890506</c:v>
                      </c:pt>
                      <c:pt idx="1614">
                        <c:v>11.208333333335759</c:v>
                      </c:pt>
                      <c:pt idx="1615">
                        <c:v>11.215277777781012</c:v>
                      </c:pt>
                      <c:pt idx="1616">
                        <c:v>11.222222222218988</c:v>
                      </c:pt>
                      <c:pt idx="1617">
                        <c:v>11.229166666664241</c:v>
                      </c:pt>
                      <c:pt idx="1618">
                        <c:v>11.236111111109494</c:v>
                      </c:pt>
                      <c:pt idx="1619">
                        <c:v>11.243055555554747</c:v>
                      </c:pt>
                      <c:pt idx="1620">
                        <c:v>11.25</c:v>
                      </c:pt>
                      <c:pt idx="1621">
                        <c:v>11.256944444445253</c:v>
                      </c:pt>
                      <c:pt idx="1622">
                        <c:v>11.263888888890506</c:v>
                      </c:pt>
                      <c:pt idx="1623">
                        <c:v>11.270833333335759</c:v>
                      </c:pt>
                      <c:pt idx="1624">
                        <c:v>11.277777777781012</c:v>
                      </c:pt>
                      <c:pt idx="1625">
                        <c:v>11.284722222218988</c:v>
                      </c:pt>
                      <c:pt idx="1626">
                        <c:v>11.291666666664241</c:v>
                      </c:pt>
                      <c:pt idx="1627">
                        <c:v>11.298611111109494</c:v>
                      </c:pt>
                      <c:pt idx="1628">
                        <c:v>11.305555555554747</c:v>
                      </c:pt>
                      <c:pt idx="1629">
                        <c:v>11.3125</c:v>
                      </c:pt>
                      <c:pt idx="1630">
                        <c:v>11.319444444445253</c:v>
                      </c:pt>
                      <c:pt idx="1631">
                        <c:v>11.326388888890506</c:v>
                      </c:pt>
                      <c:pt idx="1632">
                        <c:v>11.333333333335759</c:v>
                      </c:pt>
                      <c:pt idx="1633">
                        <c:v>11.340277777781012</c:v>
                      </c:pt>
                      <c:pt idx="1634">
                        <c:v>11.347222222218988</c:v>
                      </c:pt>
                      <c:pt idx="1635">
                        <c:v>11.354166666664241</c:v>
                      </c:pt>
                      <c:pt idx="1636">
                        <c:v>11.361111111109494</c:v>
                      </c:pt>
                      <c:pt idx="1637">
                        <c:v>11.368055555554747</c:v>
                      </c:pt>
                      <c:pt idx="1638">
                        <c:v>11.375</c:v>
                      </c:pt>
                      <c:pt idx="1639">
                        <c:v>11.381944444445253</c:v>
                      </c:pt>
                      <c:pt idx="1640">
                        <c:v>11.388888888890506</c:v>
                      </c:pt>
                      <c:pt idx="1641">
                        <c:v>11.395833333335759</c:v>
                      </c:pt>
                      <c:pt idx="1642">
                        <c:v>11.402777777781012</c:v>
                      </c:pt>
                      <c:pt idx="1643">
                        <c:v>11.409722222218988</c:v>
                      </c:pt>
                      <c:pt idx="1644">
                        <c:v>11.416666666664241</c:v>
                      </c:pt>
                      <c:pt idx="1645">
                        <c:v>11.423611111109494</c:v>
                      </c:pt>
                      <c:pt idx="1646">
                        <c:v>11.430555555554747</c:v>
                      </c:pt>
                      <c:pt idx="1647">
                        <c:v>11.4375</c:v>
                      </c:pt>
                      <c:pt idx="1648">
                        <c:v>11.444444444445253</c:v>
                      </c:pt>
                      <c:pt idx="1649">
                        <c:v>11.451388888890506</c:v>
                      </c:pt>
                      <c:pt idx="1650">
                        <c:v>11.458333333335759</c:v>
                      </c:pt>
                      <c:pt idx="1651">
                        <c:v>11.465277777781012</c:v>
                      </c:pt>
                      <c:pt idx="1652">
                        <c:v>11.472222222218988</c:v>
                      </c:pt>
                      <c:pt idx="1653">
                        <c:v>11.479166666664241</c:v>
                      </c:pt>
                      <c:pt idx="1654">
                        <c:v>11.486111111109494</c:v>
                      </c:pt>
                      <c:pt idx="1655">
                        <c:v>11.493055555554747</c:v>
                      </c:pt>
                      <c:pt idx="1656">
                        <c:v>11.5</c:v>
                      </c:pt>
                      <c:pt idx="1657">
                        <c:v>11.506944444445253</c:v>
                      </c:pt>
                      <c:pt idx="1658">
                        <c:v>11.513888888890506</c:v>
                      </c:pt>
                      <c:pt idx="1659">
                        <c:v>11.520833333335759</c:v>
                      </c:pt>
                      <c:pt idx="1660">
                        <c:v>11.527777777781012</c:v>
                      </c:pt>
                      <c:pt idx="1661">
                        <c:v>11.534722222218988</c:v>
                      </c:pt>
                      <c:pt idx="1662">
                        <c:v>11.541666666664241</c:v>
                      </c:pt>
                      <c:pt idx="1663">
                        <c:v>11.548611111109494</c:v>
                      </c:pt>
                      <c:pt idx="1664">
                        <c:v>11.555555555554747</c:v>
                      </c:pt>
                      <c:pt idx="1665">
                        <c:v>11.5625</c:v>
                      </c:pt>
                      <c:pt idx="1666">
                        <c:v>11.569444444445253</c:v>
                      </c:pt>
                      <c:pt idx="1667">
                        <c:v>11.576388888890506</c:v>
                      </c:pt>
                      <c:pt idx="1668">
                        <c:v>11.583333333335759</c:v>
                      </c:pt>
                      <c:pt idx="1669">
                        <c:v>11.590277777781012</c:v>
                      </c:pt>
                      <c:pt idx="1670">
                        <c:v>11.597222222218988</c:v>
                      </c:pt>
                      <c:pt idx="1671">
                        <c:v>11.604166666664241</c:v>
                      </c:pt>
                      <c:pt idx="1672">
                        <c:v>11.611111111109494</c:v>
                      </c:pt>
                      <c:pt idx="1673">
                        <c:v>11.618055555554747</c:v>
                      </c:pt>
                      <c:pt idx="1674">
                        <c:v>11.625</c:v>
                      </c:pt>
                      <c:pt idx="1675">
                        <c:v>11.631944444445253</c:v>
                      </c:pt>
                      <c:pt idx="1676">
                        <c:v>11.638888888890506</c:v>
                      </c:pt>
                      <c:pt idx="1677">
                        <c:v>11.645833333335759</c:v>
                      </c:pt>
                      <c:pt idx="1678">
                        <c:v>11.652777777781012</c:v>
                      </c:pt>
                      <c:pt idx="1679">
                        <c:v>11.659722222218988</c:v>
                      </c:pt>
                      <c:pt idx="1680">
                        <c:v>11.666666666664241</c:v>
                      </c:pt>
                      <c:pt idx="1681">
                        <c:v>11.673611111109494</c:v>
                      </c:pt>
                      <c:pt idx="1682">
                        <c:v>11.680555555554747</c:v>
                      </c:pt>
                      <c:pt idx="1683">
                        <c:v>11.6875</c:v>
                      </c:pt>
                      <c:pt idx="1684">
                        <c:v>11.694444444445253</c:v>
                      </c:pt>
                      <c:pt idx="1685">
                        <c:v>11.701388888890506</c:v>
                      </c:pt>
                      <c:pt idx="1686">
                        <c:v>11.708333333335759</c:v>
                      </c:pt>
                      <c:pt idx="1687">
                        <c:v>11.715277777781012</c:v>
                      </c:pt>
                      <c:pt idx="1688">
                        <c:v>11.722222222218988</c:v>
                      </c:pt>
                      <c:pt idx="1689">
                        <c:v>11.729166666664241</c:v>
                      </c:pt>
                      <c:pt idx="1690">
                        <c:v>11.736111111109494</c:v>
                      </c:pt>
                      <c:pt idx="1691">
                        <c:v>11.743055555554747</c:v>
                      </c:pt>
                      <c:pt idx="1692">
                        <c:v>11.75</c:v>
                      </c:pt>
                      <c:pt idx="1693">
                        <c:v>11.756944444445253</c:v>
                      </c:pt>
                      <c:pt idx="1694">
                        <c:v>11.763888888890506</c:v>
                      </c:pt>
                      <c:pt idx="1695">
                        <c:v>11.770833333335759</c:v>
                      </c:pt>
                      <c:pt idx="1696">
                        <c:v>11.777777777781012</c:v>
                      </c:pt>
                      <c:pt idx="1697">
                        <c:v>11.784722222218988</c:v>
                      </c:pt>
                      <c:pt idx="1698">
                        <c:v>11.791666666664241</c:v>
                      </c:pt>
                      <c:pt idx="1699">
                        <c:v>11.798611111109494</c:v>
                      </c:pt>
                      <c:pt idx="1700">
                        <c:v>11.805555555554747</c:v>
                      </c:pt>
                      <c:pt idx="1701">
                        <c:v>11.8125</c:v>
                      </c:pt>
                      <c:pt idx="1702">
                        <c:v>11.819444444445253</c:v>
                      </c:pt>
                      <c:pt idx="1703">
                        <c:v>11.826388888890506</c:v>
                      </c:pt>
                      <c:pt idx="1704">
                        <c:v>11.833333333335759</c:v>
                      </c:pt>
                      <c:pt idx="1705">
                        <c:v>11.840277777781012</c:v>
                      </c:pt>
                      <c:pt idx="1706">
                        <c:v>11.847222222218988</c:v>
                      </c:pt>
                      <c:pt idx="1707">
                        <c:v>11.854166666664241</c:v>
                      </c:pt>
                      <c:pt idx="1708">
                        <c:v>11.861111111109494</c:v>
                      </c:pt>
                      <c:pt idx="1709">
                        <c:v>11.868055555554747</c:v>
                      </c:pt>
                      <c:pt idx="1710">
                        <c:v>11.875</c:v>
                      </c:pt>
                      <c:pt idx="1711">
                        <c:v>11.881944444445253</c:v>
                      </c:pt>
                      <c:pt idx="1712">
                        <c:v>11.888888888890506</c:v>
                      </c:pt>
                      <c:pt idx="1713">
                        <c:v>11.895833333335759</c:v>
                      </c:pt>
                      <c:pt idx="1714">
                        <c:v>11.902777777781012</c:v>
                      </c:pt>
                      <c:pt idx="1715">
                        <c:v>11.909722222218988</c:v>
                      </c:pt>
                      <c:pt idx="1716">
                        <c:v>11.916666666664241</c:v>
                      </c:pt>
                      <c:pt idx="1717">
                        <c:v>11.923611111109494</c:v>
                      </c:pt>
                      <c:pt idx="1718">
                        <c:v>11.930555555554747</c:v>
                      </c:pt>
                      <c:pt idx="1719">
                        <c:v>11.9375</c:v>
                      </c:pt>
                      <c:pt idx="1720">
                        <c:v>11.944444444445253</c:v>
                      </c:pt>
                      <c:pt idx="1721">
                        <c:v>11.951388888890506</c:v>
                      </c:pt>
                      <c:pt idx="1722">
                        <c:v>11.958333333335759</c:v>
                      </c:pt>
                      <c:pt idx="1723">
                        <c:v>11.965277777781012</c:v>
                      </c:pt>
                      <c:pt idx="1724">
                        <c:v>11.972222222218988</c:v>
                      </c:pt>
                      <c:pt idx="1725">
                        <c:v>11.979166666664241</c:v>
                      </c:pt>
                      <c:pt idx="1726">
                        <c:v>11.986111111109494</c:v>
                      </c:pt>
                      <c:pt idx="1727">
                        <c:v>11.993055555554747</c:v>
                      </c:pt>
                      <c:pt idx="1728">
                        <c:v>12</c:v>
                      </c:pt>
                      <c:pt idx="1729">
                        <c:v>12.006944444445253</c:v>
                      </c:pt>
                      <c:pt idx="1730">
                        <c:v>12.013888888890506</c:v>
                      </c:pt>
                      <c:pt idx="1731">
                        <c:v>12.020833333335759</c:v>
                      </c:pt>
                      <c:pt idx="1732">
                        <c:v>12.027777777781012</c:v>
                      </c:pt>
                      <c:pt idx="1733">
                        <c:v>12.034722222218988</c:v>
                      </c:pt>
                      <c:pt idx="1734">
                        <c:v>12.041666666664241</c:v>
                      </c:pt>
                      <c:pt idx="1735">
                        <c:v>12.048611111109494</c:v>
                      </c:pt>
                      <c:pt idx="1736">
                        <c:v>12.055555555554747</c:v>
                      </c:pt>
                      <c:pt idx="1737">
                        <c:v>12.0625</c:v>
                      </c:pt>
                      <c:pt idx="1738">
                        <c:v>12.069444444445253</c:v>
                      </c:pt>
                      <c:pt idx="1739">
                        <c:v>12.076388888890506</c:v>
                      </c:pt>
                      <c:pt idx="1740">
                        <c:v>12.083333333335759</c:v>
                      </c:pt>
                      <c:pt idx="1741">
                        <c:v>12.090277777781012</c:v>
                      </c:pt>
                      <c:pt idx="1742">
                        <c:v>12.097222222218988</c:v>
                      </c:pt>
                      <c:pt idx="1743">
                        <c:v>12.104166666664241</c:v>
                      </c:pt>
                      <c:pt idx="1744">
                        <c:v>12.111111111109494</c:v>
                      </c:pt>
                      <c:pt idx="1745">
                        <c:v>12.118055555554747</c:v>
                      </c:pt>
                      <c:pt idx="1746">
                        <c:v>12.125</c:v>
                      </c:pt>
                      <c:pt idx="1747">
                        <c:v>12.131944444445253</c:v>
                      </c:pt>
                      <c:pt idx="1748">
                        <c:v>12.138888888890506</c:v>
                      </c:pt>
                      <c:pt idx="1749">
                        <c:v>12.145833333335759</c:v>
                      </c:pt>
                      <c:pt idx="1750">
                        <c:v>12.152777777781012</c:v>
                      </c:pt>
                      <c:pt idx="1751">
                        <c:v>12.159722222218988</c:v>
                      </c:pt>
                      <c:pt idx="1752">
                        <c:v>12.166666666664241</c:v>
                      </c:pt>
                      <c:pt idx="1753">
                        <c:v>12.173611111109494</c:v>
                      </c:pt>
                      <c:pt idx="1754">
                        <c:v>12.180555555554747</c:v>
                      </c:pt>
                      <c:pt idx="1755">
                        <c:v>12.1875</c:v>
                      </c:pt>
                      <c:pt idx="1756">
                        <c:v>12.194444444445253</c:v>
                      </c:pt>
                      <c:pt idx="1757">
                        <c:v>12.201388888890506</c:v>
                      </c:pt>
                      <c:pt idx="1758">
                        <c:v>12.208333333335759</c:v>
                      </c:pt>
                      <c:pt idx="1759">
                        <c:v>12.215277777781012</c:v>
                      </c:pt>
                      <c:pt idx="1760">
                        <c:v>12.222222222218988</c:v>
                      </c:pt>
                      <c:pt idx="1761">
                        <c:v>12.229166666664241</c:v>
                      </c:pt>
                      <c:pt idx="1762">
                        <c:v>12.236111111109494</c:v>
                      </c:pt>
                      <c:pt idx="1763">
                        <c:v>12.243055555554747</c:v>
                      </c:pt>
                      <c:pt idx="1764">
                        <c:v>12.25</c:v>
                      </c:pt>
                      <c:pt idx="1765">
                        <c:v>12.256944444445253</c:v>
                      </c:pt>
                      <c:pt idx="1766">
                        <c:v>12.263888888890506</c:v>
                      </c:pt>
                      <c:pt idx="1767">
                        <c:v>12.270833333335759</c:v>
                      </c:pt>
                      <c:pt idx="1768">
                        <c:v>12.277777777781012</c:v>
                      </c:pt>
                      <c:pt idx="1769">
                        <c:v>12.284722222218988</c:v>
                      </c:pt>
                      <c:pt idx="1770">
                        <c:v>12.291666666664241</c:v>
                      </c:pt>
                      <c:pt idx="1771">
                        <c:v>12.298611111109494</c:v>
                      </c:pt>
                      <c:pt idx="1772">
                        <c:v>12.305555555554747</c:v>
                      </c:pt>
                      <c:pt idx="1773">
                        <c:v>12.3125</c:v>
                      </c:pt>
                      <c:pt idx="1774">
                        <c:v>12.319444444445253</c:v>
                      </c:pt>
                      <c:pt idx="1775">
                        <c:v>12.326388888890506</c:v>
                      </c:pt>
                      <c:pt idx="1776">
                        <c:v>12.333333333335759</c:v>
                      </c:pt>
                      <c:pt idx="1777">
                        <c:v>12.340277777781012</c:v>
                      </c:pt>
                      <c:pt idx="1778">
                        <c:v>12.347222222218988</c:v>
                      </c:pt>
                      <c:pt idx="1779">
                        <c:v>12.354166666664241</c:v>
                      </c:pt>
                      <c:pt idx="1780">
                        <c:v>12.361111111109494</c:v>
                      </c:pt>
                      <c:pt idx="1781">
                        <c:v>12.368055555554747</c:v>
                      </c:pt>
                      <c:pt idx="1782">
                        <c:v>12.375</c:v>
                      </c:pt>
                      <c:pt idx="1783">
                        <c:v>12.381944444445253</c:v>
                      </c:pt>
                      <c:pt idx="1784">
                        <c:v>12.388888888890506</c:v>
                      </c:pt>
                      <c:pt idx="1785">
                        <c:v>12.395833333335759</c:v>
                      </c:pt>
                      <c:pt idx="1786">
                        <c:v>12.402777777781012</c:v>
                      </c:pt>
                      <c:pt idx="1787">
                        <c:v>12.409722222218988</c:v>
                      </c:pt>
                      <c:pt idx="1788">
                        <c:v>12.416666666664241</c:v>
                      </c:pt>
                      <c:pt idx="1789">
                        <c:v>12.423611111109494</c:v>
                      </c:pt>
                      <c:pt idx="1790">
                        <c:v>12.430555555554747</c:v>
                      </c:pt>
                      <c:pt idx="1791">
                        <c:v>12.4375</c:v>
                      </c:pt>
                      <c:pt idx="1792">
                        <c:v>12.444444444445253</c:v>
                      </c:pt>
                      <c:pt idx="1793">
                        <c:v>12.451388888890506</c:v>
                      </c:pt>
                      <c:pt idx="1794">
                        <c:v>12.458333333335759</c:v>
                      </c:pt>
                      <c:pt idx="1795">
                        <c:v>12.465277777781012</c:v>
                      </c:pt>
                      <c:pt idx="1796">
                        <c:v>12.472222222218988</c:v>
                      </c:pt>
                      <c:pt idx="1797">
                        <c:v>12.479166666664241</c:v>
                      </c:pt>
                      <c:pt idx="1798">
                        <c:v>12.486111111109494</c:v>
                      </c:pt>
                      <c:pt idx="1799">
                        <c:v>12.493055555554747</c:v>
                      </c:pt>
                      <c:pt idx="1800">
                        <c:v>12.5</c:v>
                      </c:pt>
                      <c:pt idx="1801">
                        <c:v>12.506944444445253</c:v>
                      </c:pt>
                      <c:pt idx="1802">
                        <c:v>12.513888888890506</c:v>
                      </c:pt>
                      <c:pt idx="1803">
                        <c:v>12.520833333335759</c:v>
                      </c:pt>
                      <c:pt idx="1804">
                        <c:v>12.527777777781012</c:v>
                      </c:pt>
                      <c:pt idx="1805">
                        <c:v>12.534722222218988</c:v>
                      </c:pt>
                      <c:pt idx="1806">
                        <c:v>12.541666666664241</c:v>
                      </c:pt>
                      <c:pt idx="1807">
                        <c:v>12.548611111109494</c:v>
                      </c:pt>
                      <c:pt idx="1808">
                        <c:v>12.555555555554747</c:v>
                      </c:pt>
                      <c:pt idx="1809">
                        <c:v>12.5625</c:v>
                      </c:pt>
                      <c:pt idx="1810">
                        <c:v>12.569444444445253</c:v>
                      </c:pt>
                      <c:pt idx="1811">
                        <c:v>12.576388888890506</c:v>
                      </c:pt>
                      <c:pt idx="1812">
                        <c:v>12.583333333335759</c:v>
                      </c:pt>
                      <c:pt idx="1813">
                        <c:v>12.590277777781012</c:v>
                      </c:pt>
                      <c:pt idx="1814">
                        <c:v>12.597222222218988</c:v>
                      </c:pt>
                      <c:pt idx="1815">
                        <c:v>12.604166666664241</c:v>
                      </c:pt>
                      <c:pt idx="1816">
                        <c:v>12.611111111109494</c:v>
                      </c:pt>
                      <c:pt idx="1817">
                        <c:v>12.618055555554747</c:v>
                      </c:pt>
                      <c:pt idx="1818">
                        <c:v>12.625</c:v>
                      </c:pt>
                      <c:pt idx="1819">
                        <c:v>12.631944444445253</c:v>
                      </c:pt>
                      <c:pt idx="1820">
                        <c:v>12.638888888890506</c:v>
                      </c:pt>
                      <c:pt idx="1821">
                        <c:v>12.645833333335759</c:v>
                      </c:pt>
                      <c:pt idx="1822">
                        <c:v>12.652777777781012</c:v>
                      </c:pt>
                      <c:pt idx="1823">
                        <c:v>12.659722222218988</c:v>
                      </c:pt>
                      <c:pt idx="1824">
                        <c:v>12.666666666664241</c:v>
                      </c:pt>
                      <c:pt idx="1825">
                        <c:v>12.673611111109494</c:v>
                      </c:pt>
                      <c:pt idx="1826">
                        <c:v>12.680555555554747</c:v>
                      </c:pt>
                      <c:pt idx="1827">
                        <c:v>12.6875</c:v>
                      </c:pt>
                      <c:pt idx="1828">
                        <c:v>12.694444444445253</c:v>
                      </c:pt>
                      <c:pt idx="1829">
                        <c:v>12.701388888890506</c:v>
                      </c:pt>
                      <c:pt idx="1830">
                        <c:v>12.708333333335759</c:v>
                      </c:pt>
                      <c:pt idx="1831">
                        <c:v>12.715277777781012</c:v>
                      </c:pt>
                      <c:pt idx="1832">
                        <c:v>12.722222222218988</c:v>
                      </c:pt>
                      <c:pt idx="1833">
                        <c:v>12.729166666664241</c:v>
                      </c:pt>
                      <c:pt idx="1834">
                        <c:v>12.736111111109494</c:v>
                      </c:pt>
                      <c:pt idx="1835">
                        <c:v>12.743055555554747</c:v>
                      </c:pt>
                      <c:pt idx="1836">
                        <c:v>12.75</c:v>
                      </c:pt>
                      <c:pt idx="1837">
                        <c:v>12.756944444445253</c:v>
                      </c:pt>
                      <c:pt idx="1838">
                        <c:v>12.763888888890506</c:v>
                      </c:pt>
                      <c:pt idx="1839">
                        <c:v>12.770833333335759</c:v>
                      </c:pt>
                      <c:pt idx="1840">
                        <c:v>12.777777777781012</c:v>
                      </c:pt>
                      <c:pt idx="1841">
                        <c:v>12.784722222218988</c:v>
                      </c:pt>
                      <c:pt idx="1842">
                        <c:v>12.791666666664241</c:v>
                      </c:pt>
                      <c:pt idx="1843">
                        <c:v>12.798611111109494</c:v>
                      </c:pt>
                      <c:pt idx="1844">
                        <c:v>12.805555555554747</c:v>
                      </c:pt>
                      <c:pt idx="1845">
                        <c:v>12.8125</c:v>
                      </c:pt>
                      <c:pt idx="1846">
                        <c:v>12.819444444445253</c:v>
                      </c:pt>
                      <c:pt idx="1847">
                        <c:v>12.826388888890506</c:v>
                      </c:pt>
                      <c:pt idx="1848">
                        <c:v>12.833333333335759</c:v>
                      </c:pt>
                      <c:pt idx="1849">
                        <c:v>12.840277777781012</c:v>
                      </c:pt>
                      <c:pt idx="1850">
                        <c:v>12.847222222218988</c:v>
                      </c:pt>
                      <c:pt idx="1851">
                        <c:v>12.854166666664241</c:v>
                      </c:pt>
                      <c:pt idx="1852">
                        <c:v>12.861111111109494</c:v>
                      </c:pt>
                      <c:pt idx="1853">
                        <c:v>12.868055555554747</c:v>
                      </c:pt>
                      <c:pt idx="1854">
                        <c:v>12.875</c:v>
                      </c:pt>
                      <c:pt idx="1855">
                        <c:v>12.881944444445253</c:v>
                      </c:pt>
                      <c:pt idx="1856">
                        <c:v>12.888888888890506</c:v>
                      </c:pt>
                      <c:pt idx="1857">
                        <c:v>12.895833333335759</c:v>
                      </c:pt>
                      <c:pt idx="1858">
                        <c:v>12.902777777781012</c:v>
                      </c:pt>
                      <c:pt idx="1859">
                        <c:v>12.909722222218988</c:v>
                      </c:pt>
                      <c:pt idx="1860">
                        <c:v>12.916666666664241</c:v>
                      </c:pt>
                      <c:pt idx="1861">
                        <c:v>12.923611111109494</c:v>
                      </c:pt>
                      <c:pt idx="1862">
                        <c:v>12.930555555554747</c:v>
                      </c:pt>
                      <c:pt idx="1863">
                        <c:v>12.9375</c:v>
                      </c:pt>
                      <c:pt idx="1864">
                        <c:v>12.944444444445253</c:v>
                      </c:pt>
                      <c:pt idx="1865">
                        <c:v>12.951388888890506</c:v>
                      </c:pt>
                      <c:pt idx="1866">
                        <c:v>12.958333333335759</c:v>
                      </c:pt>
                      <c:pt idx="1867">
                        <c:v>12.965277777781012</c:v>
                      </c:pt>
                      <c:pt idx="1868">
                        <c:v>12.972222222218988</c:v>
                      </c:pt>
                      <c:pt idx="1869">
                        <c:v>12.979166666664241</c:v>
                      </c:pt>
                      <c:pt idx="1870">
                        <c:v>12.986111111109494</c:v>
                      </c:pt>
                      <c:pt idx="1871">
                        <c:v>12.993055555554747</c:v>
                      </c:pt>
                      <c:pt idx="1872">
                        <c:v>13</c:v>
                      </c:pt>
                      <c:pt idx="1873">
                        <c:v>13.006944444445253</c:v>
                      </c:pt>
                      <c:pt idx="1874">
                        <c:v>13.013888888890506</c:v>
                      </c:pt>
                      <c:pt idx="1875">
                        <c:v>13.020833333335759</c:v>
                      </c:pt>
                      <c:pt idx="1876">
                        <c:v>13.027777777781012</c:v>
                      </c:pt>
                      <c:pt idx="1877">
                        <c:v>13.034722222218988</c:v>
                      </c:pt>
                      <c:pt idx="1878">
                        <c:v>13.041666666664241</c:v>
                      </c:pt>
                      <c:pt idx="1879">
                        <c:v>13.048611111109494</c:v>
                      </c:pt>
                      <c:pt idx="1880">
                        <c:v>13.055555555554747</c:v>
                      </c:pt>
                      <c:pt idx="1881">
                        <c:v>13.0625</c:v>
                      </c:pt>
                      <c:pt idx="1882">
                        <c:v>13.069444444445253</c:v>
                      </c:pt>
                      <c:pt idx="1883">
                        <c:v>13.076388888890506</c:v>
                      </c:pt>
                      <c:pt idx="1884">
                        <c:v>13.083333333335759</c:v>
                      </c:pt>
                      <c:pt idx="1885">
                        <c:v>13.090277777781012</c:v>
                      </c:pt>
                      <c:pt idx="1886">
                        <c:v>13.097222222218988</c:v>
                      </c:pt>
                      <c:pt idx="1887">
                        <c:v>13.104166666664241</c:v>
                      </c:pt>
                      <c:pt idx="1888">
                        <c:v>13.111111111109494</c:v>
                      </c:pt>
                      <c:pt idx="1889">
                        <c:v>13.118055555554747</c:v>
                      </c:pt>
                      <c:pt idx="1890">
                        <c:v>13.125</c:v>
                      </c:pt>
                      <c:pt idx="1891">
                        <c:v>13.131944444445253</c:v>
                      </c:pt>
                      <c:pt idx="1892">
                        <c:v>13.138888888890506</c:v>
                      </c:pt>
                      <c:pt idx="1893">
                        <c:v>13.145833333335759</c:v>
                      </c:pt>
                      <c:pt idx="1894">
                        <c:v>13.152777777781012</c:v>
                      </c:pt>
                      <c:pt idx="1895">
                        <c:v>13.159722222218988</c:v>
                      </c:pt>
                      <c:pt idx="1896">
                        <c:v>13.166666666664241</c:v>
                      </c:pt>
                      <c:pt idx="1897">
                        <c:v>13.173611111109494</c:v>
                      </c:pt>
                      <c:pt idx="1898">
                        <c:v>13.180555555554747</c:v>
                      </c:pt>
                      <c:pt idx="1899">
                        <c:v>13.1875</c:v>
                      </c:pt>
                      <c:pt idx="1900">
                        <c:v>13.194444444445253</c:v>
                      </c:pt>
                      <c:pt idx="1901">
                        <c:v>13.201388888890506</c:v>
                      </c:pt>
                      <c:pt idx="1902">
                        <c:v>13.208333333335759</c:v>
                      </c:pt>
                      <c:pt idx="1903">
                        <c:v>13.215277777781012</c:v>
                      </c:pt>
                      <c:pt idx="1904">
                        <c:v>13.222222222218988</c:v>
                      </c:pt>
                      <c:pt idx="1905">
                        <c:v>13.229166666664241</c:v>
                      </c:pt>
                      <c:pt idx="1906">
                        <c:v>13.236111111109494</c:v>
                      </c:pt>
                      <c:pt idx="1907">
                        <c:v>13.243055555554747</c:v>
                      </c:pt>
                      <c:pt idx="1908">
                        <c:v>13.25</c:v>
                      </c:pt>
                      <c:pt idx="1909">
                        <c:v>13.256944444445253</c:v>
                      </c:pt>
                      <c:pt idx="1910">
                        <c:v>13.263888888890506</c:v>
                      </c:pt>
                      <c:pt idx="1911">
                        <c:v>13.270833333335759</c:v>
                      </c:pt>
                      <c:pt idx="1912">
                        <c:v>13.277777777781012</c:v>
                      </c:pt>
                      <c:pt idx="1913">
                        <c:v>13.284722222218988</c:v>
                      </c:pt>
                      <c:pt idx="1914">
                        <c:v>13.291666666664241</c:v>
                      </c:pt>
                      <c:pt idx="1915">
                        <c:v>13.298611111109494</c:v>
                      </c:pt>
                      <c:pt idx="1916">
                        <c:v>13.305555555554747</c:v>
                      </c:pt>
                      <c:pt idx="1917">
                        <c:v>13.3125</c:v>
                      </c:pt>
                      <c:pt idx="1918">
                        <c:v>13.319444444445253</c:v>
                      </c:pt>
                      <c:pt idx="1919">
                        <c:v>13.326388888890506</c:v>
                      </c:pt>
                      <c:pt idx="1920">
                        <c:v>13.333333333335759</c:v>
                      </c:pt>
                      <c:pt idx="1921">
                        <c:v>13.340277777781012</c:v>
                      </c:pt>
                      <c:pt idx="1922">
                        <c:v>13.347222222218988</c:v>
                      </c:pt>
                      <c:pt idx="1923">
                        <c:v>13.354166666664241</c:v>
                      </c:pt>
                      <c:pt idx="1924">
                        <c:v>13.361111111109494</c:v>
                      </c:pt>
                      <c:pt idx="1925">
                        <c:v>13.368055555554747</c:v>
                      </c:pt>
                      <c:pt idx="1926">
                        <c:v>13.375</c:v>
                      </c:pt>
                      <c:pt idx="1927">
                        <c:v>13.381944444445253</c:v>
                      </c:pt>
                      <c:pt idx="1928">
                        <c:v>13.388888888890506</c:v>
                      </c:pt>
                      <c:pt idx="1929">
                        <c:v>13.395833333335759</c:v>
                      </c:pt>
                      <c:pt idx="1930">
                        <c:v>13.402777777781012</c:v>
                      </c:pt>
                      <c:pt idx="1931">
                        <c:v>13.409722222218988</c:v>
                      </c:pt>
                      <c:pt idx="1932">
                        <c:v>13.416666666664241</c:v>
                      </c:pt>
                      <c:pt idx="1933">
                        <c:v>13.423611111109494</c:v>
                      </c:pt>
                      <c:pt idx="1934">
                        <c:v>13.430555555554747</c:v>
                      </c:pt>
                      <c:pt idx="1935">
                        <c:v>13.4375</c:v>
                      </c:pt>
                      <c:pt idx="1936">
                        <c:v>13.444444444445253</c:v>
                      </c:pt>
                      <c:pt idx="1937">
                        <c:v>13.451388888890506</c:v>
                      </c:pt>
                      <c:pt idx="1938">
                        <c:v>13.458333333335759</c:v>
                      </c:pt>
                      <c:pt idx="1939">
                        <c:v>13.465277777781012</c:v>
                      </c:pt>
                      <c:pt idx="1940">
                        <c:v>13.472222222218988</c:v>
                      </c:pt>
                      <c:pt idx="1941">
                        <c:v>13.479166666664241</c:v>
                      </c:pt>
                      <c:pt idx="1942">
                        <c:v>13.486111111109494</c:v>
                      </c:pt>
                      <c:pt idx="1943">
                        <c:v>13.493055555554747</c:v>
                      </c:pt>
                      <c:pt idx="1944">
                        <c:v>13.5</c:v>
                      </c:pt>
                      <c:pt idx="1945">
                        <c:v>13.506944444445253</c:v>
                      </c:pt>
                      <c:pt idx="1946">
                        <c:v>13.513888888890506</c:v>
                      </c:pt>
                      <c:pt idx="1947">
                        <c:v>13.520833333335759</c:v>
                      </c:pt>
                      <c:pt idx="1948">
                        <c:v>13.527777777781012</c:v>
                      </c:pt>
                      <c:pt idx="1949">
                        <c:v>13.534722222218988</c:v>
                      </c:pt>
                      <c:pt idx="1950">
                        <c:v>13.541666666664241</c:v>
                      </c:pt>
                      <c:pt idx="1951">
                        <c:v>13.548611111109494</c:v>
                      </c:pt>
                      <c:pt idx="1952">
                        <c:v>13.555555555554747</c:v>
                      </c:pt>
                      <c:pt idx="1953">
                        <c:v>13.5625</c:v>
                      </c:pt>
                      <c:pt idx="1954">
                        <c:v>13.569444444445253</c:v>
                      </c:pt>
                      <c:pt idx="1955">
                        <c:v>13.576388888890506</c:v>
                      </c:pt>
                      <c:pt idx="1956">
                        <c:v>13.583333333335759</c:v>
                      </c:pt>
                      <c:pt idx="1957">
                        <c:v>13.590277777781012</c:v>
                      </c:pt>
                      <c:pt idx="1958">
                        <c:v>13.597222222218988</c:v>
                      </c:pt>
                      <c:pt idx="1959">
                        <c:v>13.604166666664241</c:v>
                      </c:pt>
                      <c:pt idx="1960">
                        <c:v>13.611111111109494</c:v>
                      </c:pt>
                      <c:pt idx="1961">
                        <c:v>13.618055555554747</c:v>
                      </c:pt>
                      <c:pt idx="1962">
                        <c:v>13.625</c:v>
                      </c:pt>
                      <c:pt idx="1963">
                        <c:v>13.631944444445253</c:v>
                      </c:pt>
                      <c:pt idx="1964">
                        <c:v>13.638888888890506</c:v>
                      </c:pt>
                      <c:pt idx="1965">
                        <c:v>13.645833333335759</c:v>
                      </c:pt>
                      <c:pt idx="1966">
                        <c:v>13.652777777781012</c:v>
                      </c:pt>
                      <c:pt idx="1967">
                        <c:v>13.659722222218988</c:v>
                      </c:pt>
                      <c:pt idx="1968">
                        <c:v>13.666666666664241</c:v>
                      </c:pt>
                      <c:pt idx="1969">
                        <c:v>13.673611111109494</c:v>
                      </c:pt>
                      <c:pt idx="1970">
                        <c:v>13.680555555554747</c:v>
                      </c:pt>
                      <c:pt idx="1971">
                        <c:v>13.6875</c:v>
                      </c:pt>
                      <c:pt idx="1972">
                        <c:v>13.694444444445253</c:v>
                      </c:pt>
                      <c:pt idx="1973">
                        <c:v>13.701388888890506</c:v>
                      </c:pt>
                      <c:pt idx="1974">
                        <c:v>13.708333333335759</c:v>
                      </c:pt>
                      <c:pt idx="1975">
                        <c:v>13.715277777781012</c:v>
                      </c:pt>
                      <c:pt idx="1976">
                        <c:v>13.722222222218988</c:v>
                      </c:pt>
                      <c:pt idx="1977">
                        <c:v>13.729166666664241</c:v>
                      </c:pt>
                      <c:pt idx="1978">
                        <c:v>13.736111111109494</c:v>
                      </c:pt>
                      <c:pt idx="1979">
                        <c:v>13.743055555554747</c:v>
                      </c:pt>
                      <c:pt idx="1980">
                        <c:v>13.75</c:v>
                      </c:pt>
                      <c:pt idx="1981">
                        <c:v>13.756944444445253</c:v>
                      </c:pt>
                      <c:pt idx="1982">
                        <c:v>13.763888888890506</c:v>
                      </c:pt>
                      <c:pt idx="1983">
                        <c:v>13.770833333335759</c:v>
                      </c:pt>
                      <c:pt idx="1984">
                        <c:v>13.777777777781012</c:v>
                      </c:pt>
                      <c:pt idx="1985">
                        <c:v>13.784722222218988</c:v>
                      </c:pt>
                      <c:pt idx="1986">
                        <c:v>13.791666666664241</c:v>
                      </c:pt>
                      <c:pt idx="1987">
                        <c:v>13.798611111109494</c:v>
                      </c:pt>
                      <c:pt idx="1988">
                        <c:v>13.805555555554747</c:v>
                      </c:pt>
                      <c:pt idx="1989">
                        <c:v>13.8125</c:v>
                      </c:pt>
                      <c:pt idx="1990">
                        <c:v>13.819444444445253</c:v>
                      </c:pt>
                      <c:pt idx="1991">
                        <c:v>13.826388888890506</c:v>
                      </c:pt>
                      <c:pt idx="1992">
                        <c:v>13.833333333335759</c:v>
                      </c:pt>
                      <c:pt idx="1993">
                        <c:v>13.840277777781012</c:v>
                      </c:pt>
                      <c:pt idx="1994">
                        <c:v>13.847222222218988</c:v>
                      </c:pt>
                      <c:pt idx="1995">
                        <c:v>13.854166666664241</c:v>
                      </c:pt>
                      <c:pt idx="1996">
                        <c:v>13.861111111109494</c:v>
                      </c:pt>
                      <c:pt idx="1997">
                        <c:v>13.868055555554747</c:v>
                      </c:pt>
                      <c:pt idx="1998">
                        <c:v>13.875</c:v>
                      </c:pt>
                      <c:pt idx="1999">
                        <c:v>13.881944444445253</c:v>
                      </c:pt>
                      <c:pt idx="2000">
                        <c:v>13.888888888890506</c:v>
                      </c:pt>
                      <c:pt idx="2001">
                        <c:v>13.895833333335759</c:v>
                      </c:pt>
                      <c:pt idx="2002">
                        <c:v>13.902777777781012</c:v>
                      </c:pt>
                      <c:pt idx="2003">
                        <c:v>13.909722222218988</c:v>
                      </c:pt>
                      <c:pt idx="2004">
                        <c:v>13.916666666664241</c:v>
                      </c:pt>
                      <c:pt idx="2005">
                        <c:v>13.923611111109494</c:v>
                      </c:pt>
                      <c:pt idx="2006">
                        <c:v>13.930555555554747</c:v>
                      </c:pt>
                      <c:pt idx="2007">
                        <c:v>13.9375</c:v>
                      </c:pt>
                      <c:pt idx="2008">
                        <c:v>13.944444444445253</c:v>
                      </c:pt>
                      <c:pt idx="2009">
                        <c:v>13.951388888890506</c:v>
                      </c:pt>
                      <c:pt idx="2010">
                        <c:v>13.958333333335759</c:v>
                      </c:pt>
                      <c:pt idx="2011">
                        <c:v>13.965277777781012</c:v>
                      </c:pt>
                      <c:pt idx="2012">
                        <c:v>13.972222222218988</c:v>
                      </c:pt>
                      <c:pt idx="2013">
                        <c:v>13.979166666664241</c:v>
                      </c:pt>
                      <c:pt idx="2014">
                        <c:v>13.986111111109494</c:v>
                      </c:pt>
                      <c:pt idx="2015">
                        <c:v>13.993055555554747</c:v>
                      </c:pt>
                      <c:pt idx="2016">
                        <c:v>14</c:v>
                      </c:pt>
                      <c:pt idx="2017">
                        <c:v>14.006944444445253</c:v>
                      </c:pt>
                      <c:pt idx="2018">
                        <c:v>14.013888888890506</c:v>
                      </c:pt>
                      <c:pt idx="2019">
                        <c:v>14.020833333335759</c:v>
                      </c:pt>
                      <c:pt idx="2020">
                        <c:v>14.027777777781012</c:v>
                      </c:pt>
                      <c:pt idx="2021">
                        <c:v>14.034722222218988</c:v>
                      </c:pt>
                      <c:pt idx="2022">
                        <c:v>14.041666666664241</c:v>
                      </c:pt>
                      <c:pt idx="2023">
                        <c:v>14.048611111109494</c:v>
                      </c:pt>
                      <c:pt idx="2024">
                        <c:v>14.055555555554747</c:v>
                      </c:pt>
                      <c:pt idx="2025">
                        <c:v>14.0625</c:v>
                      </c:pt>
                      <c:pt idx="2026">
                        <c:v>14.069444444445253</c:v>
                      </c:pt>
                      <c:pt idx="2027">
                        <c:v>14.076388888890506</c:v>
                      </c:pt>
                      <c:pt idx="2028">
                        <c:v>14.083333333335759</c:v>
                      </c:pt>
                      <c:pt idx="2029">
                        <c:v>14.090277777781012</c:v>
                      </c:pt>
                      <c:pt idx="2030">
                        <c:v>14.097222222218988</c:v>
                      </c:pt>
                      <c:pt idx="2031">
                        <c:v>14.104166666664241</c:v>
                      </c:pt>
                      <c:pt idx="2032">
                        <c:v>14.111111111109494</c:v>
                      </c:pt>
                      <c:pt idx="2033">
                        <c:v>14.118055555554747</c:v>
                      </c:pt>
                      <c:pt idx="2034">
                        <c:v>14.125</c:v>
                      </c:pt>
                      <c:pt idx="2035">
                        <c:v>14.131944444445253</c:v>
                      </c:pt>
                      <c:pt idx="2036">
                        <c:v>14.138888888890506</c:v>
                      </c:pt>
                      <c:pt idx="2037">
                        <c:v>14.145833333335759</c:v>
                      </c:pt>
                      <c:pt idx="2038">
                        <c:v>14.152777777781012</c:v>
                      </c:pt>
                      <c:pt idx="2039">
                        <c:v>14.159722222218988</c:v>
                      </c:pt>
                      <c:pt idx="2040">
                        <c:v>14.166666666664241</c:v>
                      </c:pt>
                      <c:pt idx="2041">
                        <c:v>14.173611111109494</c:v>
                      </c:pt>
                      <c:pt idx="2042">
                        <c:v>14.180555555554747</c:v>
                      </c:pt>
                      <c:pt idx="2043">
                        <c:v>14.1875</c:v>
                      </c:pt>
                      <c:pt idx="2044">
                        <c:v>14.194444444445253</c:v>
                      </c:pt>
                      <c:pt idx="2045">
                        <c:v>14.201388888890506</c:v>
                      </c:pt>
                      <c:pt idx="2046">
                        <c:v>14.208333333335759</c:v>
                      </c:pt>
                      <c:pt idx="2047">
                        <c:v>14.215277777781012</c:v>
                      </c:pt>
                      <c:pt idx="2048">
                        <c:v>14.222222222218988</c:v>
                      </c:pt>
                      <c:pt idx="2049">
                        <c:v>14.229166666664241</c:v>
                      </c:pt>
                      <c:pt idx="2050">
                        <c:v>14.236111111109494</c:v>
                      </c:pt>
                      <c:pt idx="2051">
                        <c:v>14.243055555554747</c:v>
                      </c:pt>
                      <c:pt idx="2052">
                        <c:v>14.25</c:v>
                      </c:pt>
                      <c:pt idx="2053">
                        <c:v>14.256944444445253</c:v>
                      </c:pt>
                      <c:pt idx="2054">
                        <c:v>14.263888888890506</c:v>
                      </c:pt>
                      <c:pt idx="2055">
                        <c:v>14.270833333335759</c:v>
                      </c:pt>
                      <c:pt idx="2056">
                        <c:v>14.277777777781012</c:v>
                      </c:pt>
                      <c:pt idx="2057">
                        <c:v>14.284722222218988</c:v>
                      </c:pt>
                      <c:pt idx="2058">
                        <c:v>14.291666666664241</c:v>
                      </c:pt>
                      <c:pt idx="2059">
                        <c:v>14.298611111109494</c:v>
                      </c:pt>
                      <c:pt idx="2060">
                        <c:v>14.305555555554747</c:v>
                      </c:pt>
                      <c:pt idx="2061">
                        <c:v>14.3125</c:v>
                      </c:pt>
                      <c:pt idx="2062">
                        <c:v>14.319444444445253</c:v>
                      </c:pt>
                      <c:pt idx="2063">
                        <c:v>14.326388888890506</c:v>
                      </c:pt>
                      <c:pt idx="2064">
                        <c:v>14.333333333335759</c:v>
                      </c:pt>
                      <c:pt idx="2065">
                        <c:v>14.340277777781012</c:v>
                      </c:pt>
                      <c:pt idx="2066">
                        <c:v>14.347222222218988</c:v>
                      </c:pt>
                      <c:pt idx="2067">
                        <c:v>14.354166666664241</c:v>
                      </c:pt>
                      <c:pt idx="2068">
                        <c:v>14.361111111109494</c:v>
                      </c:pt>
                      <c:pt idx="2069">
                        <c:v>14.368055555554747</c:v>
                      </c:pt>
                      <c:pt idx="2070">
                        <c:v>14.375</c:v>
                      </c:pt>
                      <c:pt idx="2071">
                        <c:v>14.381944444445253</c:v>
                      </c:pt>
                      <c:pt idx="2072">
                        <c:v>14.388888888890506</c:v>
                      </c:pt>
                      <c:pt idx="2073">
                        <c:v>14.395833333335759</c:v>
                      </c:pt>
                      <c:pt idx="2074">
                        <c:v>14.402777777781012</c:v>
                      </c:pt>
                      <c:pt idx="2075">
                        <c:v>14.409722222218988</c:v>
                      </c:pt>
                      <c:pt idx="2076">
                        <c:v>14.416666666664241</c:v>
                      </c:pt>
                      <c:pt idx="2077">
                        <c:v>14.423611111109494</c:v>
                      </c:pt>
                      <c:pt idx="2078">
                        <c:v>14.430555555554747</c:v>
                      </c:pt>
                      <c:pt idx="2079">
                        <c:v>14.4375</c:v>
                      </c:pt>
                      <c:pt idx="2080">
                        <c:v>14.444444444445253</c:v>
                      </c:pt>
                      <c:pt idx="2081">
                        <c:v>14.451388888890506</c:v>
                      </c:pt>
                      <c:pt idx="2082">
                        <c:v>14.458333333335759</c:v>
                      </c:pt>
                      <c:pt idx="2083">
                        <c:v>14.465277777781012</c:v>
                      </c:pt>
                      <c:pt idx="2084">
                        <c:v>14.472222222218988</c:v>
                      </c:pt>
                      <c:pt idx="2085">
                        <c:v>14.479166666664241</c:v>
                      </c:pt>
                      <c:pt idx="2086">
                        <c:v>14.486111111109494</c:v>
                      </c:pt>
                      <c:pt idx="2087">
                        <c:v>14.493055555554747</c:v>
                      </c:pt>
                      <c:pt idx="2088">
                        <c:v>14.5</c:v>
                      </c:pt>
                      <c:pt idx="2089">
                        <c:v>14.506944444445253</c:v>
                      </c:pt>
                      <c:pt idx="2090">
                        <c:v>14.513888888890506</c:v>
                      </c:pt>
                      <c:pt idx="2091">
                        <c:v>14.520833333335759</c:v>
                      </c:pt>
                      <c:pt idx="2092">
                        <c:v>14.527777777781012</c:v>
                      </c:pt>
                      <c:pt idx="2093">
                        <c:v>14.534722222218988</c:v>
                      </c:pt>
                      <c:pt idx="2094">
                        <c:v>14.541666666664241</c:v>
                      </c:pt>
                      <c:pt idx="2095">
                        <c:v>14.548611111109494</c:v>
                      </c:pt>
                      <c:pt idx="2096">
                        <c:v>14.555555555554747</c:v>
                      </c:pt>
                      <c:pt idx="2097">
                        <c:v>14.5625</c:v>
                      </c:pt>
                      <c:pt idx="2098">
                        <c:v>14.569444444445253</c:v>
                      </c:pt>
                      <c:pt idx="2099">
                        <c:v>14.576388888890506</c:v>
                      </c:pt>
                      <c:pt idx="2100">
                        <c:v>14.583333333335759</c:v>
                      </c:pt>
                      <c:pt idx="2101">
                        <c:v>14.590277777781012</c:v>
                      </c:pt>
                      <c:pt idx="2102">
                        <c:v>14.597222222218988</c:v>
                      </c:pt>
                      <c:pt idx="2103">
                        <c:v>14.604166666664241</c:v>
                      </c:pt>
                      <c:pt idx="2104">
                        <c:v>14.611111111109494</c:v>
                      </c:pt>
                      <c:pt idx="2105">
                        <c:v>14.618055555554747</c:v>
                      </c:pt>
                      <c:pt idx="2106">
                        <c:v>14.625</c:v>
                      </c:pt>
                      <c:pt idx="2107">
                        <c:v>14.631944444445253</c:v>
                      </c:pt>
                      <c:pt idx="2108">
                        <c:v>14.638888888890506</c:v>
                      </c:pt>
                      <c:pt idx="2109">
                        <c:v>14.645833333335759</c:v>
                      </c:pt>
                      <c:pt idx="2110">
                        <c:v>14.652777777781012</c:v>
                      </c:pt>
                      <c:pt idx="2111">
                        <c:v>14.659722222218988</c:v>
                      </c:pt>
                      <c:pt idx="2112">
                        <c:v>14.666666666664241</c:v>
                      </c:pt>
                      <c:pt idx="2113">
                        <c:v>14.673611111109494</c:v>
                      </c:pt>
                      <c:pt idx="2114">
                        <c:v>14.680555555554747</c:v>
                      </c:pt>
                      <c:pt idx="2115">
                        <c:v>14.6875</c:v>
                      </c:pt>
                      <c:pt idx="2116">
                        <c:v>14.694444444445253</c:v>
                      </c:pt>
                      <c:pt idx="2117">
                        <c:v>14.701388888890506</c:v>
                      </c:pt>
                      <c:pt idx="2118">
                        <c:v>14.708333333335759</c:v>
                      </c:pt>
                      <c:pt idx="2119">
                        <c:v>14.715277777781012</c:v>
                      </c:pt>
                      <c:pt idx="2120">
                        <c:v>14.722222222218988</c:v>
                      </c:pt>
                      <c:pt idx="2121">
                        <c:v>14.729166666664241</c:v>
                      </c:pt>
                      <c:pt idx="2122">
                        <c:v>14.736111111109494</c:v>
                      </c:pt>
                      <c:pt idx="2123">
                        <c:v>14.743055555554747</c:v>
                      </c:pt>
                      <c:pt idx="2124">
                        <c:v>14.75</c:v>
                      </c:pt>
                      <c:pt idx="2125">
                        <c:v>14.756944444445253</c:v>
                      </c:pt>
                      <c:pt idx="2126">
                        <c:v>14.763888888890506</c:v>
                      </c:pt>
                      <c:pt idx="2127">
                        <c:v>14.770833333335759</c:v>
                      </c:pt>
                      <c:pt idx="2128">
                        <c:v>14.777777777781012</c:v>
                      </c:pt>
                      <c:pt idx="2129">
                        <c:v>14.784722222218988</c:v>
                      </c:pt>
                      <c:pt idx="2130">
                        <c:v>14.791666666664241</c:v>
                      </c:pt>
                      <c:pt idx="2131">
                        <c:v>14.798611111109494</c:v>
                      </c:pt>
                      <c:pt idx="2132">
                        <c:v>14.805555555554747</c:v>
                      </c:pt>
                      <c:pt idx="2133">
                        <c:v>14.8125</c:v>
                      </c:pt>
                      <c:pt idx="2134">
                        <c:v>14.819444444445253</c:v>
                      </c:pt>
                      <c:pt idx="2135">
                        <c:v>14.826388888890506</c:v>
                      </c:pt>
                      <c:pt idx="2136">
                        <c:v>14.833333333335759</c:v>
                      </c:pt>
                      <c:pt idx="2137">
                        <c:v>14.840277777781012</c:v>
                      </c:pt>
                      <c:pt idx="2138">
                        <c:v>14.847222222218988</c:v>
                      </c:pt>
                      <c:pt idx="2139">
                        <c:v>14.854166666664241</c:v>
                      </c:pt>
                      <c:pt idx="2140">
                        <c:v>14.861111111109494</c:v>
                      </c:pt>
                      <c:pt idx="2141">
                        <c:v>14.868055555554747</c:v>
                      </c:pt>
                      <c:pt idx="2142">
                        <c:v>14.875</c:v>
                      </c:pt>
                      <c:pt idx="2143">
                        <c:v>14.881944444445253</c:v>
                      </c:pt>
                      <c:pt idx="2144">
                        <c:v>14.888888888890506</c:v>
                      </c:pt>
                      <c:pt idx="2145">
                        <c:v>14.895833333335759</c:v>
                      </c:pt>
                      <c:pt idx="2146">
                        <c:v>14.902777777781012</c:v>
                      </c:pt>
                      <c:pt idx="2147">
                        <c:v>14.909722222218988</c:v>
                      </c:pt>
                      <c:pt idx="2148">
                        <c:v>14.916666666664241</c:v>
                      </c:pt>
                      <c:pt idx="2149">
                        <c:v>14.923611111109494</c:v>
                      </c:pt>
                      <c:pt idx="2150">
                        <c:v>14.930555555554747</c:v>
                      </c:pt>
                      <c:pt idx="2151">
                        <c:v>14.9375</c:v>
                      </c:pt>
                      <c:pt idx="2152">
                        <c:v>14.944444444445253</c:v>
                      </c:pt>
                      <c:pt idx="2153">
                        <c:v>14.951388888890506</c:v>
                      </c:pt>
                      <c:pt idx="2154">
                        <c:v>14.958333333335759</c:v>
                      </c:pt>
                      <c:pt idx="2155">
                        <c:v>14.965277777781012</c:v>
                      </c:pt>
                      <c:pt idx="2156">
                        <c:v>14.972222222218988</c:v>
                      </c:pt>
                      <c:pt idx="2157">
                        <c:v>14.979166666664241</c:v>
                      </c:pt>
                      <c:pt idx="2158">
                        <c:v>14.986111111109494</c:v>
                      </c:pt>
                      <c:pt idx="2159">
                        <c:v>14.993055555554747</c:v>
                      </c:pt>
                      <c:pt idx="2160">
                        <c:v>15</c:v>
                      </c:pt>
                      <c:pt idx="2161">
                        <c:v>15.006944444445253</c:v>
                      </c:pt>
                      <c:pt idx="2162">
                        <c:v>15.013888888890506</c:v>
                      </c:pt>
                      <c:pt idx="2163">
                        <c:v>15.020833333335759</c:v>
                      </c:pt>
                      <c:pt idx="2164">
                        <c:v>15.027777777781012</c:v>
                      </c:pt>
                      <c:pt idx="2165">
                        <c:v>15.034722222218988</c:v>
                      </c:pt>
                      <c:pt idx="2166">
                        <c:v>15.041666666664241</c:v>
                      </c:pt>
                      <c:pt idx="2167">
                        <c:v>15.048611111109494</c:v>
                      </c:pt>
                      <c:pt idx="2168">
                        <c:v>15.055555555554747</c:v>
                      </c:pt>
                      <c:pt idx="2169">
                        <c:v>15.0625</c:v>
                      </c:pt>
                      <c:pt idx="2170">
                        <c:v>15.069444444445253</c:v>
                      </c:pt>
                      <c:pt idx="2171">
                        <c:v>15.076388888890506</c:v>
                      </c:pt>
                      <c:pt idx="2172">
                        <c:v>15.083333333335759</c:v>
                      </c:pt>
                      <c:pt idx="2173">
                        <c:v>15.090277777781012</c:v>
                      </c:pt>
                      <c:pt idx="2174">
                        <c:v>15.097222222218988</c:v>
                      </c:pt>
                      <c:pt idx="2175">
                        <c:v>15.104166666664241</c:v>
                      </c:pt>
                      <c:pt idx="2176">
                        <c:v>15.111111111109494</c:v>
                      </c:pt>
                      <c:pt idx="2177">
                        <c:v>15.118055555554747</c:v>
                      </c:pt>
                      <c:pt idx="2178">
                        <c:v>15.125</c:v>
                      </c:pt>
                      <c:pt idx="2179">
                        <c:v>15.131944444445253</c:v>
                      </c:pt>
                      <c:pt idx="2180">
                        <c:v>15.138888888890506</c:v>
                      </c:pt>
                      <c:pt idx="2181">
                        <c:v>15.145833333335759</c:v>
                      </c:pt>
                      <c:pt idx="2182">
                        <c:v>15.152777777781012</c:v>
                      </c:pt>
                      <c:pt idx="2183">
                        <c:v>15.159722222218988</c:v>
                      </c:pt>
                      <c:pt idx="2184">
                        <c:v>15.166666666664241</c:v>
                      </c:pt>
                      <c:pt idx="2185">
                        <c:v>15.173611111109494</c:v>
                      </c:pt>
                      <c:pt idx="2186">
                        <c:v>15.180555555554747</c:v>
                      </c:pt>
                      <c:pt idx="2187">
                        <c:v>15.1875</c:v>
                      </c:pt>
                      <c:pt idx="2188">
                        <c:v>15.194444444445253</c:v>
                      </c:pt>
                      <c:pt idx="2189">
                        <c:v>15.201388888890506</c:v>
                      </c:pt>
                      <c:pt idx="2190">
                        <c:v>15.208333333335759</c:v>
                      </c:pt>
                      <c:pt idx="2191">
                        <c:v>15.215277777781012</c:v>
                      </c:pt>
                      <c:pt idx="2192">
                        <c:v>15.222222222218988</c:v>
                      </c:pt>
                      <c:pt idx="2193">
                        <c:v>15.229166666664241</c:v>
                      </c:pt>
                      <c:pt idx="2194">
                        <c:v>15.236111111109494</c:v>
                      </c:pt>
                      <c:pt idx="2195">
                        <c:v>15.243055555554747</c:v>
                      </c:pt>
                      <c:pt idx="2196">
                        <c:v>15.25</c:v>
                      </c:pt>
                      <c:pt idx="2197">
                        <c:v>15.256944444445253</c:v>
                      </c:pt>
                      <c:pt idx="2198">
                        <c:v>15.263888888890506</c:v>
                      </c:pt>
                      <c:pt idx="2199">
                        <c:v>15.270833333335759</c:v>
                      </c:pt>
                      <c:pt idx="2200">
                        <c:v>15.277777777781012</c:v>
                      </c:pt>
                      <c:pt idx="2201">
                        <c:v>15.284722222218988</c:v>
                      </c:pt>
                      <c:pt idx="2202">
                        <c:v>15.291666666664241</c:v>
                      </c:pt>
                      <c:pt idx="2203">
                        <c:v>15.298611111109494</c:v>
                      </c:pt>
                      <c:pt idx="2204">
                        <c:v>15.305555555554747</c:v>
                      </c:pt>
                      <c:pt idx="2205">
                        <c:v>15.3125</c:v>
                      </c:pt>
                      <c:pt idx="2206">
                        <c:v>15.319444444445253</c:v>
                      </c:pt>
                      <c:pt idx="2207">
                        <c:v>15.326388888890506</c:v>
                      </c:pt>
                      <c:pt idx="2208">
                        <c:v>15.333333333335759</c:v>
                      </c:pt>
                      <c:pt idx="2209">
                        <c:v>15.340277777781012</c:v>
                      </c:pt>
                      <c:pt idx="2210">
                        <c:v>15.347222222218988</c:v>
                      </c:pt>
                      <c:pt idx="2211">
                        <c:v>15.354166666664241</c:v>
                      </c:pt>
                      <c:pt idx="2212">
                        <c:v>15.361111111109494</c:v>
                      </c:pt>
                      <c:pt idx="2213">
                        <c:v>15.368055555554747</c:v>
                      </c:pt>
                      <c:pt idx="2214">
                        <c:v>15.375</c:v>
                      </c:pt>
                      <c:pt idx="2215">
                        <c:v>15.381944444445253</c:v>
                      </c:pt>
                      <c:pt idx="2216">
                        <c:v>15.388888888890506</c:v>
                      </c:pt>
                      <c:pt idx="2217">
                        <c:v>15.395833333335759</c:v>
                      </c:pt>
                      <c:pt idx="2218">
                        <c:v>15.402777777781012</c:v>
                      </c:pt>
                      <c:pt idx="2219">
                        <c:v>15.409722222218988</c:v>
                      </c:pt>
                      <c:pt idx="2220">
                        <c:v>15.416666666664241</c:v>
                      </c:pt>
                      <c:pt idx="2221">
                        <c:v>15.423611111109494</c:v>
                      </c:pt>
                      <c:pt idx="2222">
                        <c:v>15.430555555554747</c:v>
                      </c:pt>
                      <c:pt idx="2223">
                        <c:v>15.4375</c:v>
                      </c:pt>
                      <c:pt idx="2224">
                        <c:v>15.444444444445253</c:v>
                      </c:pt>
                      <c:pt idx="2225">
                        <c:v>15.451388888890506</c:v>
                      </c:pt>
                      <c:pt idx="2226">
                        <c:v>15.458333333335759</c:v>
                      </c:pt>
                      <c:pt idx="2227">
                        <c:v>15.465277777781012</c:v>
                      </c:pt>
                      <c:pt idx="2228">
                        <c:v>15.472222222218988</c:v>
                      </c:pt>
                      <c:pt idx="2229">
                        <c:v>15.479166666664241</c:v>
                      </c:pt>
                      <c:pt idx="2230">
                        <c:v>15.486111111109494</c:v>
                      </c:pt>
                      <c:pt idx="2231">
                        <c:v>15.493055555554747</c:v>
                      </c:pt>
                      <c:pt idx="2232">
                        <c:v>15.5</c:v>
                      </c:pt>
                      <c:pt idx="2233">
                        <c:v>15.506944444445253</c:v>
                      </c:pt>
                      <c:pt idx="2234">
                        <c:v>15.513888888890506</c:v>
                      </c:pt>
                      <c:pt idx="2235">
                        <c:v>15.520833333335759</c:v>
                      </c:pt>
                      <c:pt idx="2236">
                        <c:v>15.527777777781012</c:v>
                      </c:pt>
                      <c:pt idx="2237">
                        <c:v>15.534722222218988</c:v>
                      </c:pt>
                      <c:pt idx="2238">
                        <c:v>15.541666666664241</c:v>
                      </c:pt>
                      <c:pt idx="2239">
                        <c:v>15.548611111109494</c:v>
                      </c:pt>
                      <c:pt idx="2240">
                        <c:v>15.555555555554747</c:v>
                      </c:pt>
                      <c:pt idx="2241">
                        <c:v>15.5625</c:v>
                      </c:pt>
                      <c:pt idx="2242">
                        <c:v>15.569444444445253</c:v>
                      </c:pt>
                      <c:pt idx="2243">
                        <c:v>15.576388888890506</c:v>
                      </c:pt>
                      <c:pt idx="2244">
                        <c:v>15.583333333335759</c:v>
                      </c:pt>
                      <c:pt idx="2245">
                        <c:v>15.590277777781012</c:v>
                      </c:pt>
                      <c:pt idx="2246">
                        <c:v>15.597222222218988</c:v>
                      </c:pt>
                      <c:pt idx="2247">
                        <c:v>15.604166666664241</c:v>
                      </c:pt>
                      <c:pt idx="2248">
                        <c:v>15.611111111109494</c:v>
                      </c:pt>
                      <c:pt idx="2249">
                        <c:v>15.618055555554747</c:v>
                      </c:pt>
                      <c:pt idx="2250">
                        <c:v>15.625</c:v>
                      </c:pt>
                      <c:pt idx="2251">
                        <c:v>15.631944444445253</c:v>
                      </c:pt>
                      <c:pt idx="2252">
                        <c:v>15.638888888890506</c:v>
                      </c:pt>
                      <c:pt idx="2253">
                        <c:v>15.645833333335759</c:v>
                      </c:pt>
                      <c:pt idx="2254">
                        <c:v>15.652777777781012</c:v>
                      </c:pt>
                      <c:pt idx="2255">
                        <c:v>15.659722222218988</c:v>
                      </c:pt>
                      <c:pt idx="2256">
                        <c:v>15.666666666664241</c:v>
                      </c:pt>
                      <c:pt idx="2257">
                        <c:v>15.673611111109494</c:v>
                      </c:pt>
                      <c:pt idx="2258">
                        <c:v>15.680555555554747</c:v>
                      </c:pt>
                      <c:pt idx="2259">
                        <c:v>15.6875</c:v>
                      </c:pt>
                      <c:pt idx="2260">
                        <c:v>15.694444444445253</c:v>
                      </c:pt>
                      <c:pt idx="2261">
                        <c:v>15.701388888890506</c:v>
                      </c:pt>
                      <c:pt idx="2262">
                        <c:v>15.708333333335759</c:v>
                      </c:pt>
                      <c:pt idx="2263">
                        <c:v>15.715277777781012</c:v>
                      </c:pt>
                      <c:pt idx="2264">
                        <c:v>15.722222222218988</c:v>
                      </c:pt>
                      <c:pt idx="2265">
                        <c:v>15.729166666664241</c:v>
                      </c:pt>
                      <c:pt idx="2266">
                        <c:v>15.736111111109494</c:v>
                      </c:pt>
                      <c:pt idx="2267">
                        <c:v>15.743055555554747</c:v>
                      </c:pt>
                      <c:pt idx="2268">
                        <c:v>15.75</c:v>
                      </c:pt>
                      <c:pt idx="2269">
                        <c:v>15.756944444445253</c:v>
                      </c:pt>
                      <c:pt idx="2270">
                        <c:v>15.763888888890506</c:v>
                      </c:pt>
                      <c:pt idx="2271">
                        <c:v>15.770833333335759</c:v>
                      </c:pt>
                      <c:pt idx="2272">
                        <c:v>15.777777777781012</c:v>
                      </c:pt>
                      <c:pt idx="2273">
                        <c:v>15.784722222218988</c:v>
                      </c:pt>
                      <c:pt idx="2274">
                        <c:v>15.791666666664241</c:v>
                      </c:pt>
                      <c:pt idx="2275">
                        <c:v>15.798611111109494</c:v>
                      </c:pt>
                      <c:pt idx="2276">
                        <c:v>15.805555555554747</c:v>
                      </c:pt>
                      <c:pt idx="2277">
                        <c:v>15.8125</c:v>
                      </c:pt>
                      <c:pt idx="2278">
                        <c:v>15.819444444445253</c:v>
                      </c:pt>
                      <c:pt idx="2279">
                        <c:v>15.826388888890506</c:v>
                      </c:pt>
                      <c:pt idx="2280">
                        <c:v>15.833333333335759</c:v>
                      </c:pt>
                      <c:pt idx="2281">
                        <c:v>15.840277777781012</c:v>
                      </c:pt>
                      <c:pt idx="2282">
                        <c:v>15.847222222218988</c:v>
                      </c:pt>
                      <c:pt idx="2283">
                        <c:v>15.854166666664241</c:v>
                      </c:pt>
                      <c:pt idx="2284">
                        <c:v>15.861111111109494</c:v>
                      </c:pt>
                      <c:pt idx="2285">
                        <c:v>15.868055555554747</c:v>
                      </c:pt>
                      <c:pt idx="2286">
                        <c:v>15.875</c:v>
                      </c:pt>
                      <c:pt idx="2287">
                        <c:v>15.881944444445253</c:v>
                      </c:pt>
                      <c:pt idx="2288">
                        <c:v>15.888888888890506</c:v>
                      </c:pt>
                      <c:pt idx="2289">
                        <c:v>15.895833333335759</c:v>
                      </c:pt>
                      <c:pt idx="2290">
                        <c:v>15.902777777781012</c:v>
                      </c:pt>
                      <c:pt idx="2291">
                        <c:v>15.909722222218988</c:v>
                      </c:pt>
                      <c:pt idx="2292">
                        <c:v>15.916666666664241</c:v>
                      </c:pt>
                      <c:pt idx="2293">
                        <c:v>15.923611111109494</c:v>
                      </c:pt>
                      <c:pt idx="2294">
                        <c:v>15.930555555554747</c:v>
                      </c:pt>
                      <c:pt idx="2295">
                        <c:v>15.9375</c:v>
                      </c:pt>
                      <c:pt idx="2296">
                        <c:v>15.944444444445253</c:v>
                      </c:pt>
                      <c:pt idx="2297">
                        <c:v>15.951388888890506</c:v>
                      </c:pt>
                      <c:pt idx="2298">
                        <c:v>15.958333333335759</c:v>
                      </c:pt>
                      <c:pt idx="2299">
                        <c:v>15.965277777781012</c:v>
                      </c:pt>
                      <c:pt idx="2300">
                        <c:v>15.972222222218988</c:v>
                      </c:pt>
                      <c:pt idx="2301">
                        <c:v>15.979166666664241</c:v>
                      </c:pt>
                      <c:pt idx="2302">
                        <c:v>15.986111111109494</c:v>
                      </c:pt>
                      <c:pt idx="2303">
                        <c:v>15.993055555554747</c:v>
                      </c:pt>
                      <c:pt idx="2304">
                        <c:v>16</c:v>
                      </c:pt>
                      <c:pt idx="2305">
                        <c:v>16.006944444445253</c:v>
                      </c:pt>
                      <c:pt idx="2306">
                        <c:v>16.013888888890506</c:v>
                      </c:pt>
                      <c:pt idx="2307">
                        <c:v>16.020833333335759</c:v>
                      </c:pt>
                      <c:pt idx="2308">
                        <c:v>16.027777777781012</c:v>
                      </c:pt>
                      <c:pt idx="2309">
                        <c:v>16.034722222218988</c:v>
                      </c:pt>
                      <c:pt idx="2310">
                        <c:v>16.041666666664241</c:v>
                      </c:pt>
                      <c:pt idx="2311">
                        <c:v>16.048611111109494</c:v>
                      </c:pt>
                      <c:pt idx="2312">
                        <c:v>16.055555555554747</c:v>
                      </c:pt>
                      <c:pt idx="2313">
                        <c:v>16.0625</c:v>
                      </c:pt>
                      <c:pt idx="2314">
                        <c:v>16.069444444445253</c:v>
                      </c:pt>
                      <c:pt idx="2315">
                        <c:v>16.076388888890506</c:v>
                      </c:pt>
                      <c:pt idx="2316">
                        <c:v>16.083333333335759</c:v>
                      </c:pt>
                      <c:pt idx="2317">
                        <c:v>16.090277777781012</c:v>
                      </c:pt>
                      <c:pt idx="2318">
                        <c:v>16.097222222218988</c:v>
                      </c:pt>
                      <c:pt idx="2319">
                        <c:v>16.104166666664241</c:v>
                      </c:pt>
                      <c:pt idx="2320">
                        <c:v>16.111111111109494</c:v>
                      </c:pt>
                      <c:pt idx="2321">
                        <c:v>16.118055555554747</c:v>
                      </c:pt>
                      <c:pt idx="2322">
                        <c:v>16.125</c:v>
                      </c:pt>
                      <c:pt idx="2323">
                        <c:v>16.131944444445253</c:v>
                      </c:pt>
                      <c:pt idx="2324">
                        <c:v>16.138888888890506</c:v>
                      </c:pt>
                      <c:pt idx="2325">
                        <c:v>16.145833333335759</c:v>
                      </c:pt>
                      <c:pt idx="2326">
                        <c:v>16.152777777781012</c:v>
                      </c:pt>
                      <c:pt idx="2327">
                        <c:v>16.159722222218988</c:v>
                      </c:pt>
                      <c:pt idx="2328">
                        <c:v>16.166666666664241</c:v>
                      </c:pt>
                      <c:pt idx="2329">
                        <c:v>16.173611111109494</c:v>
                      </c:pt>
                      <c:pt idx="2330">
                        <c:v>16.180555555554747</c:v>
                      </c:pt>
                      <c:pt idx="2331">
                        <c:v>16.1875</c:v>
                      </c:pt>
                      <c:pt idx="2332">
                        <c:v>16.194444444445253</c:v>
                      </c:pt>
                      <c:pt idx="2333">
                        <c:v>16.201388888890506</c:v>
                      </c:pt>
                      <c:pt idx="2334">
                        <c:v>16.208333333335759</c:v>
                      </c:pt>
                      <c:pt idx="2335">
                        <c:v>16.215277777781012</c:v>
                      </c:pt>
                      <c:pt idx="2336">
                        <c:v>16.222222222218988</c:v>
                      </c:pt>
                      <c:pt idx="2337">
                        <c:v>16.229166666664241</c:v>
                      </c:pt>
                      <c:pt idx="2338">
                        <c:v>16.236111111109494</c:v>
                      </c:pt>
                      <c:pt idx="2339">
                        <c:v>16.243055555554747</c:v>
                      </c:pt>
                      <c:pt idx="2340">
                        <c:v>16.25</c:v>
                      </c:pt>
                      <c:pt idx="2341">
                        <c:v>16.256944444445253</c:v>
                      </c:pt>
                      <c:pt idx="2342">
                        <c:v>16.263888888890506</c:v>
                      </c:pt>
                      <c:pt idx="2343">
                        <c:v>16.270833333335759</c:v>
                      </c:pt>
                      <c:pt idx="2344">
                        <c:v>16.277777777781012</c:v>
                      </c:pt>
                      <c:pt idx="2345">
                        <c:v>16.284722222218988</c:v>
                      </c:pt>
                      <c:pt idx="2346">
                        <c:v>16.291666666664241</c:v>
                      </c:pt>
                      <c:pt idx="2347">
                        <c:v>16.298611111109494</c:v>
                      </c:pt>
                      <c:pt idx="2348">
                        <c:v>16.305555555554747</c:v>
                      </c:pt>
                      <c:pt idx="2349">
                        <c:v>16.3125</c:v>
                      </c:pt>
                      <c:pt idx="2350">
                        <c:v>16.319444444445253</c:v>
                      </c:pt>
                      <c:pt idx="2351">
                        <c:v>16.326388888890506</c:v>
                      </c:pt>
                      <c:pt idx="2352">
                        <c:v>16.333333333335759</c:v>
                      </c:pt>
                      <c:pt idx="2353">
                        <c:v>16.340277777781012</c:v>
                      </c:pt>
                      <c:pt idx="2354">
                        <c:v>16.347222222218988</c:v>
                      </c:pt>
                      <c:pt idx="2355">
                        <c:v>16.354166666664241</c:v>
                      </c:pt>
                      <c:pt idx="2356">
                        <c:v>16.361111111109494</c:v>
                      </c:pt>
                      <c:pt idx="2357">
                        <c:v>16.368055555554747</c:v>
                      </c:pt>
                      <c:pt idx="2358">
                        <c:v>16.375</c:v>
                      </c:pt>
                      <c:pt idx="2359">
                        <c:v>16.381944444445253</c:v>
                      </c:pt>
                      <c:pt idx="2360">
                        <c:v>16.388888888890506</c:v>
                      </c:pt>
                      <c:pt idx="2361">
                        <c:v>16.395833333335759</c:v>
                      </c:pt>
                      <c:pt idx="2362">
                        <c:v>16.402777777781012</c:v>
                      </c:pt>
                      <c:pt idx="2363">
                        <c:v>16.409722222218988</c:v>
                      </c:pt>
                      <c:pt idx="2364">
                        <c:v>16.416666666664241</c:v>
                      </c:pt>
                      <c:pt idx="2365">
                        <c:v>16.423611111109494</c:v>
                      </c:pt>
                      <c:pt idx="2366">
                        <c:v>16.430555555554747</c:v>
                      </c:pt>
                      <c:pt idx="2367">
                        <c:v>16.4375</c:v>
                      </c:pt>
                      <c:pt idx="2368">
                        <c:v>16.444444444445253</c:v>
                      </c:pt>
                      <c:pt idx="2369">
                        <c:v>16.451388888890506</c:v>
                      </c:pt>
                      <c:pt idx="2370">
                        <c:v>16.458333333335759</c:v>
                      </c:pt>
                      <c:pt idx="2371">
                        <c:v>16.465277777781012</c:v>
                      </c:pt>
                      <c:pt idx="2372">
                        <c:v>16.472222222218988</c:v>
                      </c:pt>
                      <c:pt idx="2373">
                        <c:v>16.479166666664241</c:v>
                      </c:pt>
                      <c:pt idx="2374">
                        <c:v>16.486111111109494</c:v>
                      </c:pt>
                      <c:pt idx="2375">
                        <c:v>16.493055555554747</c:v>
                      </c:pt>
                      <c:pt idx="2376">
                        <c:v>16.5</c:v>
                      </c:pt>
                      <c:pt idx="2377">
                        <c:v>16.506944444445253</c:v>
                      </c:pt>
                      <c:pt idx="2378">
                        <c:v>16.513888888890506</c:v>
                      </c:pt>
                      <c:pt idx="2379">
                        <c:v>16.520833333335759</c:v>
                      </c:pt>
                      <c:pt idx="2380">
                        <c:v>16.527777777781012</c:v>
                      </c:pt>
                      <c:pt idx="2381">
                        <c:v>16.534722222218988</c:v>
                      </c:pt>
                      <c:pt idx="2382">
                        <c:v>16.541666666664241</c:v>
                      </c:pt>
                      <c:pt idx="2383">
                        <c:v>16.548611111109494</c:v>
                      </c:pt>
                      <c:pt idx="2384">
                        <c:v>16.555555555554747</c:v>
                      </c:pt>
                      <c:pt idx="2385">
                        <c:v>16.5625</c:v>
                      </c:pt>
                      <c:pt idx="2386">
                        <c:v>16.569444444445253</c:v>
                      </c:pt>
                      <c:pt idx="2387">
                        <c:v>16.576388888890506</c:v>
                      </c:pt>
                      <c:pt idx="2388">
                        <c:v>16.583333333335759</c:v>
                      </c:pt>
                      <c:pt idx="2389">
                        <c:v>16.590277777781012</c:v>
                      </c:pt>
                      <c:pt idx="2390">
                        <c:v>16.597222222218988</c:v>
                      </c:pt>
                      <c:pt idx="2391">
                        <c:v>16.604166666664241</c:v>
                      </c:pt>
                      <c:pt idx="2392">
                        <c:v>16.611111111109494</c:v>
                      </c:pt>
                      <c:pt idx="2393">
                        <c:v>16.618055555554747</c:v>
                      </c:pt>
                      <c:pt idx="2394">
                        <c:v>16.625</c:v>
                      </c:pt>
                      <c:pt idx="2395">
                        <c:v>16.631944444445253</c:v>
                      </c:pt>
                      <c:pt idx="2396">
                        <c:v>16.638888888890506</c:v>
                      </c:pt>
                      <c:pt idx="2397">
                        <c:v>16.645833333335759</c:v>
                      </c:pt>
                      <c:pt idx="2398">
                        <c:v>16.652777777781012</c:v>
                      </c:pt>
                      <c:pt idx="2399">
                        <c:v>16.659722222218988</c:v>
                      </c:pt>
                      <c:pt idx="2400">
                        <c:v>16.666666666664241</c:v>
                      </c:pt>
                      <c:pt idx="2401">
                        <c:v>16.673611111109494</c:v>
                      </c:pt>
                      <c:pt idx="2402">
                        <c:v>16.680555555554747</c:v>
                      </c:pt>
                      <c:pt idx="2403">
                        <c:v>16.6875</c:v>
                      </c:pt>
                      <c:pt idx="2404">
                        <c:v>16.694444444445253</c:v>
                      </c:pt>
                      <c:pt idx="2405">
                        <c:v>16.701388888890506</c:v>
                      </c:pt>
                      <c:pt idx="2406">
                        <c:v>16.708333333335759</c:v>
                      </c:pt>
                      <c:pt idx="2407">
                        <c:v>16.715277777781012</c:v>
                      </c:pt>
                      <c:pt idx="2408">
                        <c:v>16.722222222218988</c:v>
                      </c:pt>
                      <c:pt idx="2409">
                        <c:v>16.729166666664241</c:v>
                      </c:pt>
                      <c:pt idx="2410">
                        <c:v>16.736111111109494</c:v>
                      </c:pt>
                      <c:pt idx="2411">
                        <c:v>16.743055555554747</c:v>
                      </c:pt>
                      <c:pt idx="2412">
                        <c:v>16.75</c:v>
                      </c:pt>
                      <c:pt idx="2413">
                        <c:v>16.756944444445253</c:v>
                      </c:pt>
                      <c:pt idx="2414">
                        <c:v>16.763888888890506</c:v>
                      </c:pt>
                      <c:pt idx="2415">
                        <c:v>16.770833333335759</c:v>
                      </c:pt>
                      <c:pt idx="2416">
                        <c:v>16.777777777781012</c:v>
                      </c:pt>
                      <c:pt idx="2417">
                        <c:v>16.784722222218988</c:v>
                      </c:pt>
                      <c:pt idx="2418">
                        <c:v>16.791666666664241</c:v>
                      </c:pt>
                      <c:pt idx="2419">
                        <c:v>16.798611111109494</c:v>
                      </c:pt>
                      <c:pt idx="2420">
                        <c:v>16.805555555554747</c:v>
                      </c:pt>
                      <c:pt idx="2421">
                        <c:v>16.8125</c:v>
                      </c:pt>
                      <c:pt idx="2422">
                        <c:v>16.819444444445253</c:v>
                      </c:pt>
                      <c:pt idx="2423">
                        <c:v>16.826388888890506</c:v>
                      </c:pt>
                      <c:pt idx="2424">
                        <c:v>16.833333333335759</c:v>
                      </c:pt>
                      <c:pt idx="2425">
                        <c:v>16.840277777781012</c:v>
                      </c:pt>
                      <c:pt idx="2426">
                        <c:v>16.847222222218988</c:v>
                      </c:pt>
                      <c:pt idx="2427">
                        <c:v>16.854166666664241</c:v>
                      </c:pt>
                      <c:pt idx="2428">
                        <c:v>16.861111111109494</c:v>
                      </c:pt>
                      <c:pt idx="2429">
                        <c:v>16.868055555554747</c:v>
                      </c:pt>
                      <c:pt idx="2430">
                        <c:v>16.875</c:v>
                      </c:pt>
                      <c:pt idx="2431">
                        <c:v>16.881944444445253</c:v>
                      </c:pt>
                      <c:pt idx="2432">
                        <c:v>16.888888888890506</c:v>
                      </c:pt>
                      <c:pt idx="2433">
                        <c:v>16.895833333335759</c:v>
                      </c:pt>
                      <c:pt idx="2434">
                        <c:v>16.902777777781012</c:v>
                      </c:pt>
                      <c:pt idx="2435">
                        <c:v>16.909722222218988</c:v>
                      </c:pt>
                      <c:pt idx="2436">
                        <c:v>16.916666666664241</c:v>
                      </c:pt>
                      <c:pt idx="2437">
                        <c:v>16.923611111109494</c:v>
                      </c:pt>
                      <c:pt idx="2438">
                        <c:v>16.930555555554747</c:v>
                      </c:pt>
                      <c:pt idx="2439">
                        <c:v>16.9375</c:v>
                      </c:pt>
                      <c:pt idx="2440">
                        <c:v>16.944444444445253</c:v>
                      </c:pt>
                      <c:pt idx="2441">
                        <c:v>16.951388888890506</c:v>
                      </c:pt>
                      <c:pt idx="2442">
                        <c:v>16.958333333335759</c:v>
                      </c:pt>
                      <c:pt idx="2443">
                        <c:v>16.965277777781012</c:v>
                      </c:pt>
                      <c:pt idx="2444">
                        <c:v>16.972222222218988</c:v>
                      </c:pt>
                      <c:pt idx="2445">
                        <c:v>16.979166666664241</c:v>
                      </c:pt>
                      <c:pt idx="2446">
                        <c:v>16.986111111109494</c:v>
                      </c:pt>
                      <c:pt idx="2447">
                        <c:v>16.993055555554747</c:v>
                      </c:pt>
                      <c:pt idx="2448">
                        <c:v>17</c:v>
                      </c:pt>
                      <c:pt idx="2449">
                        <c:v>17.006944444445253</c:v>
                      </c:pt>
                      <c:pt idx="2450">
                        <c:v>17.013888888890506</c:v>
                      </c:pt>
                      <c:pt idx="2451">
                        <c:v>17.020833333335759</c:v>
                      </c:pt>
                      <c:pt idx="2452">
                        <c:v>17.027777777781012</c:v>
                      </c:pt>
                      <c:pt idx="2453">
                        <c:v>17.034722222218988</c:v>
                      </c:pt>
                      <c:pt idx="2454">
                        <c:v>17.041666666664241</c:v>
                      </c:pt>
                      <c:pt idx="2455">
                        <c:v>17.048611111109494</c:v>
                      </c:pt>
                      <c:pt idx="2456">
                        <c:v>17.055555555554747</c:v>
                      </c:pt>
                      <c:pt idx="2457">
                        <c:v>17.0625</c:v>
                      </c:pt>
                      <c:pt idx="2458">
                        <c:v>17.069444444445253</c:v>
                      </c:pt>
                      <c:pt idx="2459">
                        <c:v>17.076388888890506</c:v>
                      </c:pt>
                      <c:pt idx="2460">
                        <c:v>17.083333333335759</c:v>
                      </c:pt>
                      <c:pt idx="2461">
                        <c:v>17.090277777781012</c:v>
                      </c:pt>
                      <c:pt idx="2462">
                        <c:v>17.097222222218988</c:v>
                      </c:pt>
                      <c:pt idx="2463">
                        <c:v>17.104166666664241</c:v>
                      </c:pt>
                      <c:pt idx="2464">
                        <c:v>17.111111111109494</c:v>
                      </c:pt>
                      <c:pt idx="2465">
                        <c:v>17.118055555554747</c:v>
                      </c:pt>
                      <c:pt idx="2466">
                        <c:v>17.125</c:v>
                      </c:pt>
                      <c:pt idx="2467">
                        <c:v>17.131944444445253</c:v>
                      </c:pt>
                      <c:pt idx="2468">
                        <c:v>17.138888888890506</c:v>
                      </c:pt>
                      <c:pt idx="2469">
                        <c:v>17.145833333335759</c:v>
                      </c:pt>
                      <c:pt idx="2470">
                        <c:v>17.152777777781012</c:v>
                      </c:pt>
                      <c:pt idx="2471">
                        <c:v>17.159722222218988</c:v>
                      </c:pt>
                      <c:pt idx="2472">
                        <c:v>17.166666666664241</c:v>
                      </c:pt>
                      <c:pt idx="2473">
                        <c:v>17.173611111109494</c:v>
                      </c:pt>
                      <c:pt idx="2474">
                        <c:v>17.180555555554747</c:v>
                      </c:pt>
                      <c:pt idx="2475">
                        <c:v>17.1875</c:v>
                      </c:pt>
                      <c:pt idx="2476">
                        <c:v>17.194444444445253</c:v>
                      </c:pt>
                      <c:pt idx="2477">
                        <c:v>17.201388888890506</c:v>
                      </c:pt>
                      <c:pt idx="2478">
                        <c:v>17.208333333335759</c:v>
                      </c:pt>
                      <c:pt idx="2479">
                        <c:v>17.215277777781012</c:v>
                      </c:pt>
                      <c:pt idx="2480">
                        <c:v>17.222222222218988</c:v>
                      </c:pt>
                      <c:pt idx="2481">
                        <c:v>17.229166666664241</c:v>
                      </c:pt>
                      <c:pt idx="2482">
                        <c:v>17.236111111109494</c:v>
                      </c:pt>
                      <c:pt idx="2483">
                        <c:v>17.243055555554747</c:v>
                      </c:pt>
                      <c:pt idx="2484">
                        <c:v>17.25</c:v>
                      </c:pt>
                      <c:pt idx="2485">
                        <c:v>17.256944444445253</c:v>
                      </c:pt>
                      <c:pt idx="2486">
                        <c:v>17.263888888890506</c:v>
                      </c:pt>
                      <c:pt idx="2487">
                        <c:v>17.270833333335759</c:v>
                      </c:pt>
                      <c:pt idx="2488">
                        <c:v>17.277777777781012</c:v>
                      </c:pt>
                      <c:pt idx="2489">
                        <c:v>17.284722222218988</c:v>
                      </c:pt>
                      <c:pt idx="2490">
                        <c:v>17.291666666664241</c:v>
                      </c:pt>
                      <c:pt idx="2491">
                        <c:v>17.298611111109494</c:v>
                      </c:pt>
                      <c:pt idx="2492">
                        <c:v>17.305555555554747</c:v>
                      </c:pt>
                      <c:pt idx="2493">
                        <c:v>17.3125</c:v>
                      </c:pt>
                      <c:pt idx="2494">
                        <c:v>17.319444444445253</c:v>
                      </c:pt>
                      <c:pt idx="2495">
                        <c:v>17.326388888890506</c:v>
                      </c:pt>
                      <c:pt idx="2496">
                        <c:v>17.333333333335759</c:v>
                      </c:pt>
                      <c:pt idx="2497">
                        <c:v>17.340277777781012</c:v>
                      </c:pt>
                      <c:pt idx="2498">
                        <c:v>17.347222222218988</c:v>
                      </c:pt>
                      <c:pt idx="2499">
                        <c:v>17.354166666664241</c:v>
                      </c:pt>
                      <c:pt idx="2500">
                        <c:v>17.361111111109494</c:v>
                      </c:pt>
                      <c:pt idx="2501">
                        <c:v>17.368055555554747</c:v>
                      </c:pt>
                      <c:pt idx="2502">
                        <c:v>17.375</c:v>
                      </c:pt>
                      <c:pt idx="2503">
                        <c:v>17.381944444445253</c:v>
                      </c:pt>
                      <c:pt idx="2504">
                        <c:v>17.388888888890506</c:v>
                      </c:pt>
                      <c:pt idx="2505">
                        <c:v>17.395833333335759</c:v>
                      </c:pt>
                      <c:pt idx="2506">
                        <c:v>17.402777777781012</c:v>
                      </c:pt>
                      <c:pt idx="2507">
                        <c:v>17.409722222218988</c:v>
                      </c:pt>
                      <c:pt idx="2508">
                        <c:v>17.416666666664241</c:v>
                      </c:pt>
                      <c:pt idx="2509">
                        <c:v>17.423611111109494</c:v>
                      </c:pt>
                      <c:pt idx="2510">
                        <c:v>17.430555555554747</c:v>
                      </c:pt>
                      <c:pt idx="2511">
                        <c:v>17.4375</c:v>
                      </c:pt>
                      <c:pt idx="2512">
                        <c:v>17.444444444445253</c:v>
                      </c:pt>
                      <c:pt idx="2513">
                        <c:v>17.451388888890506</c:v>
                      </c:pt>
                      <c:pt idx="2514">
                        <c:v>17.458333333335759</c:v>
                      </c:pt>
                      <c:pt idx="2515">
                        <c:v>17.465277777781012</c:v>
                      </c:pt>
                      <c:pt idx="2516">
                        <c:v>17.472222222218988</c:v>
                      </c:pt>
                      <c:pt idx="2517">
                        <c:v>17.479166666664241</c:v>
                      </c:pt>
                      <c:pt idx="2518">
                        <c:v>17.486111111109494</c:v>
                      </c:pt>
                      <c:pt idx="2519">
                        <c:v>17.493055555554747</c:v>
                      </c:pt>
                      <c:pt idx="2520">
                        <c:v>17.5</c:v>
                      </c:pt>
                      <c:pt idx="2521">
                        <c:v>17.506944444445253</c:v>
                      </c:pt>
                      <c:pt idx="2522">
                        <c:v>17.513888888890506</c:v>
                      </c:pt>
                      <c:pt idx="2523">
                        <c:v>17.520833333335759</c:v>
                      </c:pt>
                      <c:pt idx="2524">
                        <c:v>17.527777777781012</c:v>
                      </c:pt>
                      <c:pt idx="2525">
                        <c:v>17.534722222218988</c:v>
                      </c:pt>
                      <c:pt idx="2526">
                        <c:v>17.541666666664241</c:v>
                      </c:pt>
                      <c:pt idx="2527">
                        <c:v>17.548611111109494</c:v>
                      </c:pt>
                      <c:pt idx="2528">
                        <c:v>17.555555555554747</c:v>
                      </c:pt>
                      <c:pt idx="2529">
                        <c:v>17.5625</c:v>
                      </c:pt>
                      <c:pt idx="2530">
                        <c:v>17.569444444445253</c:v>
                      </c:pt>
                      <c:pt idx="2531">
                        <c:v>17.576388888890506</c:v>
                      </c:pt>
                      <c:pt idx="2532">
                        <c:v>17.583333333335759</c:v>
                      </c:pt>
                      <c:pt idx="2533">
                        <c:v>17.590277777781012</c:v>
                      </c:pt>
                      <c:pt idx="2534">
                        <c:v>17.597222222218988</c:v>
                      </c:pt>
                      <c:pt idx="2535">
                        <c:v>17.604166666664241</c:v>
                      </c:pt>
                      <c:pt idx="2536">
                        <c:v>17.611111111109494</c:v>
                      </c:pt>
                      <c:pt idx="2537">
                        <c:v>17.618055555554747</c:v>
                      </c:pt>
                      <c:pt idx="2538">
                        <c:v>17.625</c:v>
                      </c:pt>
                      <c:pt idx="2539">
                        <c:v>17.631944444445253</c:v>
                      </c:pt>
                      <c:pt idx="2540">
                        <c:v>17.638888888890506</c:v>
                      </c:pt>
                      <c:pt idx="2541">
                        <c:v>17.645833333335759</c:v>
                      </c:pt>
                      <c:pt idx="2542">
                        <c:v>17.652777777781012</c:v>
                      </c:pt>
                      <c:pt idx="2543">
                        <c:v>17.659722222218988</c:v>
                      </c:pt>
                      <c:pt idx="2544">
                        <c:v>17.666666666664241</c:v>
                      </c:pt>
                      <c:pt idx="2545">
                        <c:v>17.673611111109494</c:v>
                      </c:pt>
                      <c:pt idx="2546">
                        <c:v>17.680555555554747</c:v>
                      </c:pt>
                      <c:pt idx="2547">
                        <c:v>17.6875</c:v>
                      </c:pt>
                      <c:pt idx="2548">
                        <c:v>17.694444444445253</c:v>
                      </c:pt>
                      <c:pt idx="2549">
                        <c:v>17.701388888890506</c:v>
                      </c:pt>
                      <c:pt idx="2550">
                        <c:v>17.708333333335759</c:v>
                      </c:pt>
                      <c:pt idx="2551">
                        <c:v>17.715277777781012</c:v>
                      </c:pt>
                      <c:pt idx="2552">
                        <c:v>17.722222222218988</c:v>
                      </c:pt>
                      <c:pt idx="2553">
                        <c:v>17.729166666664241</c:v>
                      </c:pt>
                      <c:pt idx="2554">
                        <c:v>17.736111111109494</c:v>
                      </c:pt>
                      <c:pt idx="2555">
                        <c:v>17.743055555554747</c:v>
                      </c:pt>
                      <c:pt idx="2556">
                        <c:v>17.75</c:v>
                      </c:pt>
                      <c:pt idx="2557">
                        <c:v>17.756944444445253</c:v>
                      </c:pt>
                      <c:pt idx="2558">
                        <c:v>17.763888888890506</c:v>
                      </c:pt>
                      <c:pt idx="2559">
                        <c:v>17.770833333335759</c:v>
                      </c:pt>
                      <c:pt idx="2560">
                        <c:v>17.777777777781012</c:v>
                      </c:pt>
                      <c:pt idx="2561">
                        <c:v>17.784722222218988</c:v>
                      </c:pt>
                      <c:pt idx="2562">
                        <c:v>17.791666666664241</c:v>
                      </c:pt>
                      <c:pt idx="2563">
                        <c:v>17.798611111109494</c:v>
                      </c:pt>
                      <c:pt idx="2564">
                        <c:v>17.805555555554747</c:v>
                      </c:pt>
                      <c:pt idx="2565">
                        <c:v>17.8125</c:v>
                      </c:pt>
                      <c:pt idx="2566">
                        <c:v>17.819444444445253</c:v>
                      </c:pt>
                      <c:pt idx="2567">
                        <c:v>17.826388888890506</c:v>
                      </c:pt>
                      <c:pt idx="2568">
                        <c:v>17.833333333335759</c:v>
                      </c:pt>
                      <c:pt idx="2569">
                        <c:v>17.840277777781012</c:v>
                      </c:pt>
                      <c:pt idx="2570">
                        <c:v>17.847222222218988</c:v>
                      </c:pt>
                      <c:pt idx="2571">
                        <c:v>17.854166666664241</c:v>
                      </c:pt>
                      <c:pt idx="2572">
                        <c:v>17.861111111109494</c:v>
                      </c:pt>
                      <c:pt idx="2573">
                        <c:v>17.868055555554747</c:v>
                      </c:pt>
                      <c:pt idx="2574">
                        <c:v>17.875</c:v>
                      </c:pt>
                      <c:pt idx="2575">
                        <c:v>17.881944444445253</c:v>
                      </c:pt>
                      <c:pt idx="2576">
                        <c:v>17.888888888890506</c:v>
                      </c:pt>
                      <c:pt idx="2577">
                        <c:v>17.895833333335759</c:v>
                      </c:pt>
                      <c:pt idx="2578">
                        <c:v>17.902777777781012</c:v>
                      </c:pt>
                      <c:pt idx="2579">
                        <c:v>17.909722222218988</c:v>
                      </c:pt>
                      <c:pt idx="2580">
                        <c:v>17.916666666664241</c:v>
                      </c:pt>
                      <c:pt idx="2581">
                        <c:v>17.923611111109494</c:v>
                      </c:pt>
                      <c:pt idx="2582">
                        <c:v>17.930555555554747</c:v>
                      </c:pt>
                      <c:pt idx="2583">
                        <c:v>17.9375</c:v>
                      </c:pt>
                      <c:pt idx="2584">
                        <c:v>17.944444444445253</c:v>
                      </c:pt>
                      <c:pt idx="2585">
                        <c:v>17.951388888890506</c:v>
                      </c:pt>
                      <c:pt idx="2586">
                        <c:v>17.958333333335759</c:v>
                      </c:pt>
                      <c:pt idx="2587">
                        <c:v>17.965277777781012</c:v>
                      </c:pt>
                      <c:pt idx="2588">
                        <c:v>17.972222222218988</c:v>
                      </c:pt>
                      <c:pt idx="2589">
                        <c:v>17.979166666664241</c:v>
                      </c:pt>
                      <c:pt idx="2590">
                        <c:v>17.986111111109494</c:v>
                      </c:pt>
                      <c:pt idx="2591">
                        <c:v>17.993055555554747</c:v>
                      </c:pt>
                      <c:pt idx="2592">
                        <c:v>18</c:v>
                      </c:pt>
                      <c:pt idx="2593">
                        <c:v>18.006944444445253</c:v>
                      </c:pt>
                      <c:pt idx="2594">
                        <c:v>18.013888888890506</c:v>
                      </c:pt>
                      <c:pt idx="2595">
                        <c:v>18.020833333335759</c:v>
                      </c:pt>
                      <c:pt idx="2596">
                        <c:v>18.027777777781012</c:v>
                      </c:pt>
                      <c:pt idx="2597">
                        <c:v>18.034722222218988</c:v>
                      </c:pt>
                      <c:pt idx="2598">
                        <c:v>18.041666666664241</c:v>
                      </c:pt>
                      <c:pt idx="2599">
                        <c:v>18.048611111109494</c:v>
                      </c:pt>
                      <c:pt idx="2600">
                        <c:v>18.055555555554747</c:v>
                      </c:pt>
                      <c:pt idx="2601">
                        <c:v>18.0625</c:v>
                      </c:pt>
                      <c:pt idx="2602">
                        <c:v>18.069444444445253</c:v>
                      </c:pt>
                      <c:pt idx="2603">
                        <c:v>18.076388888890506</c:v>
                      </c:pt>
                      <c:pt idx="2604">
                        <c:v>18.083333333335759</c:v>
                      </c:pt>
                      <c:pt idx="2605">
                        <c:v>18.090277777781012</c:v>
                      </c:pt>
                      <c:pt idx="2606">
                        <c:v>18.097222222218988</c:v>
                      </c:pt>
                      <c:pt idx="2607">
                        <c:v>18.104166666664241</c:v>
                      </c:pt>
                      <c:pt idx="2608">
                        <c:v>18.111111111109494</c:v>
                      </c:pt>
                      <c:pt idx="2609">
                        <c:v>18.118055555554747</c:v>
                      </c:pt>
                      <c:pt idx="2610">
                        <c:v>18.125</c:v>
                      </c:pt>
                      <c:pt idx="2611">
                        <c:v>18.131944444445253</c:v>
                      </c:pt>
                      <c:pt idx="2612">
                        <c:v>18.138888888890506</c:v>
                      </c:pt>
                      <c:pt idx="2613">
                        <c:v>18.145833333335759</c:v>
                      </c:pt>
                      <c:pt idx="2614">
                        <c:v>18.152777777781012</c:v>
                      </c:pt>
                      <c:pt idx="2615">
                        <c:v>18.159722222218988</c:v>
                      </c:pt>
                      <c:pt idx="2616">
                        <c:v>18.166666666664241</c:v>
                      </c:pt>
                      <c:pt idx="2617">
                        <c:v>18.173611111109494</c:v>
                      </c:pt>
                      <c:pt idx="2618">
                        <c:v>18.180555555554747</c:v>
                      </c:pt>
                      <c:pt idx="2619">
                        <c:v>18.1875</c:v>
                      </c:pt>
                      <c:pt idx="2620">
                        <c:v>18.194444444445253</c:v>
                      </c:pt>
                      <c:pt idx="2621">
                        <c:v>18.201388888890506</c:v>
                      </c:pt>
                      <c:pt idx="2622">
                        <c:v>18.208333333335759</c:v>
                      </c:pt>
                      <c:pt idx="2623">
                        <c:v>18.215277777781012</c:v>
                      </c:pt>
                      <c:pt idx="2624">
                        <c:v>18.222222222218988</c:v>
                      </c:pt>
                      <c:pt idx="2625">
                        <c:v>18.229166666664241</c:v>
                      </c:pt>
                      <c:pt idx="2626">
                        <c:v>18.236111111109494</c:v>
                      </c:pt>
                      <c:pt idx="2627">
                        <c:v>18.243055555554747</c:v>
                      </c:pt>
                      <c:pt idx="2628">
                        <c:v>18.25</c:v>
                      </c:pt>
                      <c:pt idx="2629">
                        <c:v>18.256944444445253</c:v>
                      </c:pt>
                      <c:pt idx="2630">
                        <c:v>18.263888888890506</c:v>
                      </c:pt>
                      <c:pt idx="2631">
                        <c:v>18.270833333335759</c:v>
                      </c:pt>
                      <c:pt idx="2632">
                        <c:v>18.277777777781012</c:v>
                      </c:pt>
                      <c:pt idx="2633">
                        <c:v>18.284722222218988</c:v>
                      </c:pt>
                      <c:pt idx="2634">
                        <c:v>18.291666666664241</c:v>
                      </c:pt>
                      <c:pt idx="2635">
                        <c:v>18.298611111109494</c:v>
                      </c:pt>
                      <c:pt idx="2636">
                        <c:v>18.305555555554747</c:v>
                      </c:pt>
                      <c:pt idx="2637">
                        <c:v>18.3125</c:v>
                      </c:pt>
                      <c:pt idx="2638">
                        <c:v>18.319444444445253</c:v>
                      </c:pt>
                      <c:pt idx="2639">
                        <c:v>18.326388888890506</c:v>
                      </c:pt>
                      <c:pt idx="2640">
                        <c:v>18.333333333335759</c:v>
                      </c:pt>
                      <c:pt idx="2641">
                        <c:v>18.340277777781012</c:v>
                      </c:pt>
                      <c:pt idx="2642">
                        <c:v>18.347222222218988</c:v>
                      </c:pt>
                      <c:pt idx="2643">
                        <c:v>18.354166666664241</c:v>
                      </c:pt>
                      <c:pt idx="2644">
                        <c:v>18.361111111109494</c:v>
                      </c:pt>
                      <c:pt idx="2645">
                        <c:v>18.368055555554747</c:v>
                      </c:pt>
                      <c:pt idx="2646">
                        <c:v>18.375</c:v>
                      </c:pt>
                      <c:pt idx="2647">
                        <c:v>18.381944444445253</c:v>
                      </c:pt>
                      <c:pt idx="2648">
                        <c:v>18.388888888890506</c:v>
                      </c:pt>
                      <c:pt idx="2649">
                        <c:v>18.395833333335759</c:v>
                      </c:pt>
                      <c:pt idx="2650">
                        <c:v>18.402777777781012</c:v>
                      </c:pt>
                      <c:pt idx="2651">
                        <c:v>18.409722222218988</c:v>
                      </c:pt>
                      <c:pt idx="2652">
                        <c:v>18.416666666664241</c:v>
                      </c:pt>
                      <c:pt idx="2653">
                        <c:v>18.423611111109494</c:v>
                      </c:pt>
                      <c:pt idx="2654">
                        <c:v>18.430555555554747</c:v>
                      </c:pt>
                      <c:pt idx="2655">
                        <c:v>18.4375</c:v>
                      </c:pt>
                      <c:pt idx="2656">
                        <c:v>18.444444444445253</c:v>
                      </c:pt>
                      <c:pt idx="2657">
                        <c:v>18.451388888890506</c:v>
                      </c:pt>
                      <c:pt idx="2658">
                        <c:v>18.458333333335759</c:v>
                      </c:pt>
                      <c:pt idx="2659">
                        <c:v>18.465277777781012</c:v>
                      </c:pt>
                      <c:pt idx="2660">
                        <c:v>18.472222222218988</c:v>
                      </c:pt>
                      <c:pt idx="2661">
                        <c:v>18.479166666664241</c:v>
                      </c:pt>
                      <c:pt idx="2662">
                        <c:v>18.486111111109494</c:v>
                      </c:pt>
                      <c:pt idx="2663">
                        <c:v>18.493055555554747</c:v>
                      </c:pt>
                      <c:pt idx="2664">
                        <c:v>18.5</c:v>
                      </c:pt>
                      <c:pt idx="2665">
                        <c:v>18.506944444445253</c:v>
                      </c:pt>
                      <c:pt idx="2666">
                        <c:v>18.513888888890506</c:v>
                      </c:pt>
                      <c:pt idx="2667">
                        <c:v>18.520833333335759</c:v>
                      </c:pt>
                      <c:pt idx="2668">
                        <c:v>18.527777777781012</c:v>
                      </c:pt>
                      <c:pt idx="2669">
                        <c:v>18.534722222218988</c:v>
                      </c:pt>
                      <c:pt idx="2670">
                        <c:v>18.541666666664241</c:v>
                      </c:pt>
                      <c:pt idx="2671">
                        <c:v>18.548611111109494</c:v>
                      </c:pt>
                      <c:pt idx="2672">
                        <c:v>18.555555555554747</c:v>
                      </c:pt>
                      <c:pt idx="2673">
                        <c:v>18.5625</c:v>
                      </c:pt>
                      <c:pt idx="2674">
                        <c:v>18.569444444445253</c:v>
                      </c:pt>
                      <c:pt idx="2675">
                        <c:v>18.576388888890506</c:v>
                      </c:pt>
                      <c:pt idx="2676">
                        <c:v>18.583333333335759</c:v>
                      </c:pt>
                      <c:pt idx="2677">
                        <c:v>18.590277777781012</c:v>
                      </c:pt>
                      <c:pt idx="2678">
                        <c:v>18.597222222218988</c:v>
                      </c:pt>
                      <c:pt idx="2679">
                        <c:v>18.604166666664241</c:v>
                      </c:pt>
                      <c:pt idx="2680">
                        <c:v>18.611111111109494</c:v>
                      </c:pt>
                      <c:pt idx="2681">
                        <c:v>18.618055555554747</c:v>
                      </c:pt>
                      <c:pt idx="2682">
                        <c:v>18.625</c:v>
                      </c:pt>
                      <c:pt idx="2683">
                        <c:v>18.631944444445253</c:v>
                      </c:pt>
                      <c:pt idx="2684">
                        <c:v>18.638888888890506</c:v>
                      </c:pt>
                      <c:pt idx="2685">
                        <c:v>18.645833333335759</c:v>
                      </c:pt>
                      <c:pt idx="2686">
                        <c:v>18.652777777781012</c:v>
                      </c:pt>
                      <c:pt idx="2687">
                        <c:v>18.659722222218988</c:v>
                      </c:pt>
                      <c:pt idx="2688">
                        <c:v>18.666666666664241</c:v>
                      </c:pt>
                      <c:pt idx="2689">
                        <c:v>18.673611111109494</c:v>
                      </c:pt>
                      <c:pt idx="2690">
                        <c:v>18.680555555554747</c:v>
                      </c:pt>
                      <c:pt idx="2691">
                        <c:v>18.6875</c:v>
                      </c:pt>
                      <c:pt idx="2692">
                        <c:v>18.694444444445253</c:v>
                      </c:pt>
                      <c:pt idx="2693">
                        <c:v>18.701388888890506</c:v>
                      </c:pt>
                      <c:pt idx="2694">
                        <c:v>18.708333333335759</c:v>
                      </c:pt>
                      <c:pt idx="2695">
                        <c:v>18.715277777781012</c:v>
                      </c:pt>
                      <c:pt idx="2696">
                        <c:v>18.722222222218988</c:v>
                      </c:pt>
                      <c:pt idx="2697">
                        <c:v>18.729166666664241</c:v>
                      </c:pt>
                      <c:pt idx="2698">
                        <c:v>18.736111111109494</c:v>
                      </c:pt>
                      <c:pt idx="2699">
                        <c:v>18.743055555554747</c:v>
                      </c:pt>
                      <c:pt idx="2700">
                        <c:v>18.75</c:v>
                      </c:pt>
                      <c:pt idx="2701">
                        <c:v>18.756944444445253</c:v>
                      </c:pt>
                      <c:pt idx="2702">
                        <c:v>18.763888888890506</c:v>
                      </c:pt>
                      <c:pt idx="2703">
                        <c:v>18.770833333335759</c:v>
                      </c:pt>
                      <c:pt idx="2704">
                        <c:v>18.777777777781012</c:v>
                      </c:pt>
                      <c:pt idx="2705">
                        <c:v>18.784722222218988</c:v>
                      </c:pt>
                      <c:pt idx="2706">
                        <c:v>18.791666666664241</c:v>
                      </c:pt>
                      <c:pt idx="2707">
                        <c:v>18.798611111109494</c:v>
                      </c:pt>
                      <c:pt idx="2708">
                        <c:v>18.805555555554747</c:v>
                      </c:pt>
                      <c:pt idx="2709">
                        <c:v>18.8125</c:v>
                      </c:pt>
                      <c:pt idx="2710">
                        <c:v>18.819444444445253</c:v>
                      </c:pt>
                      <c:pt idx="2711">
                        <c:v>18.826388888890506</c:v>
                      </c:pt>
                      <c:pt idx="2712">
                        <c:v>18.833333333335759</c:v>
                      </c:pt>
                      <c:pt idx="2713">
                        <c:v>18.840277777781012</c:v>
                      </c:pt>
                      <c:pt idx="2714">
                        <c:v>18.847222222218988</c:v>
                      </c:pt>
                      <c:pt idx="2715">
                        <c:v>18.854166666664241</c:v>
                      </c:pt>
                      <c:pt idx="2716">
                        <c:v>18.861111111109494</c:v>
                      </c:pt>
                      <c:pt idx="2717">
                        <c:v>18.868055555554747</c:v>
                      </c:pt>
                      <c:pt idx="2718">
                        <c:v>18.875</c:v>
                      </c:pt>
                      <c:pt idx="2719">
                        <c:v>18.881944444445253</c:v>
                      </c:pt>
                      <c:pt idx="2720">
                        <c:v>18.888888888890506</c:v>
                      </c:pt>
                      <c:pt idx="2721">
                        <c:v>18.895833333335759</c:v>
                      </c:pt>
                      <c:pt idx="2722">
                        <c:v>18.902777777781012</c:v>
                      </c:pt>
                      <c:pt idx="2723">
                        <c:v>18.909722222218988</c:v>
                      </c:pt>
                      <c:pt idx="2724">
                        <c:v>18.916666666664241</c:v>
                      </c:pt>
                      <c:pt idx="2725">
                        <c:v>18.923611111109494</c:v>
                      </c:pt>
                      <c:pt idx="2726">
                        <c:v>18.930555555554747</c:v>
                      </c:pt>
                      <c:pt idx="2727">
                        <c:v>18.9375</c:v>
                      </c:pt>
                      <c:pt idx="2728">
                        <c:v>18.944444444445253</c:v>
                      </c:pt>
                      <c:pt idx="2729">
                        <c:v>18.951388888890506</c:v>
                      </c:pt>
                      <c:pt idx="2730">
                        <c:v>18.958333333335759</c:v>
                      </c:pt>
                      <c:pt idx="2731">
                        <c:v>18.965277777781012</c:v>
                      </c:pt>
                      <c:pt idx="2732">
                        <c:v>18.972222222218988</c:v>
                      </c:pt>
                      <c:pt idx="2733">
                        <c:v>18.979166666664241</c:v>
                      </c:pt>
                      <c:pt idx="2734">
                        <c:v>18.986111111109494</c:v>
                      </c:pt>
                      <c:pt idx="2735">
                        <c:v>18.993055555554747</c:v>
                      </c:pt>
                      <c:pt idx="2736">
                        <c:v>19</c:v>
                      </c:pt>
                      <c:pt idx="2737">
                        <c:v>19.006944444445253</c:v>
                      </c:pt>
                      <c:pt idx="2738">
                        <c:v>19.013888888890506</c:v>
                      </c:pt>
                      <c:pt idx="2739">
                        <c:v>19.020833333335759</c:v>
                      </c:pt>
                      <c:pt idx="2740">
                        <c:v>19.027777777781012</c:v>
                      </c:pt>
                      <c:pt idx="2741">
                        <c:v>19.034722222218988</c:v>
                      </c:pt>
                      <c:pt idx="2742">
                        <c:v>19.041666666664241</c:v>
                      </c:pt>
                      <c:pt idx="2743">
                        <c:v>19.048611111109494</c:v>
                      </c:pt>
                      <c:pt idx="2744">
                        <c:v>19.055555555554747</c:v>
                      </c:pt>
                      <c:pt idx="2745">
                        <c:v>19.0625</c:v>
                      </c:pt>
                      <c:pt idx="2746">
                        <c:v>19.069444444445253</c:v>
                      </c:pt>
                      <c:pt idx="2747">
                        <c:v>19.076388888890506</c:v>
                      </c:pt>
                      <c:pt idx="2748">
                        <c:v>19.083333333335759</c:v>
                      </c:pt>
                      <c:pt idx="2749">
                        <c:v>19.090277777781012</c:v>
                      </c:pt>
                      <c:pt idx="2750">
                        <c:v>19.097222222218988</c:v>
                      </c:pt>
                      <c:pt idx="2751">
                        <c:v>19.104166666664241</c:v>
                      </c:pt>
                      <c:pt idx="2752">
                        <c:v>19.111111111109494</c:v>
                      </c:pt>
                      <c:pt idx="2753">
                        <c:v>19.118055555554747</c:v>
                      </c:pt>
                      <c:pt idx="2754">
                        <c:v>19.125</c:v>
                      </c:pt>
                      <c:pt idx="2755">
                        <c:v>19.131944444445253</c:v>
                      </c:pt>
                      <c:pt idx="2756">
                        <c:v>19.138888888890506</c:v>
                      </c:pt>
                      <c:pt idx="2757">
                        <c:v>19.145833333335759</c:v>
                      </c:pt>
                      <c:pt idx="2758">
                        <c:v>19.152777777781012</c:v>
                      </c:pt>
                      <c:pt idx="2759">
                        <c:v>19.159722222218988</c:v>
                      </c:pt>
                      <c:pt idx="2760">
                        <c:v>19.166666666664241</c:v>
                      </c:pt>
                      <c:pt idx="2761">
                        <c:v>19.173611111109494</c:v>
                      </c:pt>
                      <c:pt idx="2762">
                        <c:v>19.180555555554747</c:v>
                      </c:pt>
                      <c:pt idx="2763">
                        <c:v>19.1875</c:v>
                      </c:pt>
                      <c:pt idx="2764">
                        <c:v>19.194444444445253</c:v>
                      </c:pt>
                      <c:pt idx="2765">
                        <c:v>19.201388888890506</c:v>
                      </c:pt>
                      <c:pt idx="2766">
                        <c:v>19.208333333335759</c:v>
                      </c:pt>
                      <c:pt idx="2767">
                        <c:v>19.215277777781012</c:v>
                      </c:pt>
                      <c:pt idx="2768">
                        <c:v>19.222222222218988</c:v>
                      </c:pt>
                      <c:pt idx="2769">
                        <c:v>19.229166666664241</c:v>
                      </c:pt>
                      <c:pt idx="2770">
                        <c:v>19.236111111109494</c:v>
                      </c:pt>
                      <c:pt idx="2771">
                        <c:v>19.243055555554747</c:v>
                      </c:pt>
                      <c:pt idx="2772">
                        <c:v>19.25</c:v>
                      </c:pt>
                      <c:pt idx="2773">
                        <c:v>19.256944444445253</c:v>
                      </c:pt>
                      <c:pt idx="2774">
                        <c:v>19.263888888890506</c:v>
                      </c:pt>
                      <c:pt idx="2775">
                        <c:v>19.270833333335759</c:v>
                      </c:pt>
                      <c:pt idx="2776">
                        <c:v>19.277777777781012</c:v>
                      </c:pt>
                      <c:pt idx="2777">
                        <c:v>19.284722222218988</c:v>
                      </c:pt>
                      <c:pt idx="2778">
                        <c:v>19.291666666664241</c:v>
                      </c:pt>
                      <c:pt idx="2779">
                        <c:v>19.298611111109494</c:v>
                      </c:pt>
                      <c:pt idx="2780">
                        <c:v>19.305555555554747</c:v>
                      </c:pt>
                      <c:pt idx="2781">
                        <c:v>19.3125</c:v>
                      </c:pt>
                      <c:pt idx="2782">
                        <c:v>19.319444444445253</c:v>
                      </c:pt>
                      <c:pt idx="2783">
                        <c:v>19.326388888890506</c:v>
                      </c:pt>
                      <c:pt idx="2784">
                        <c:v>19.333333333335759</c:v>
                      </c:pt>
                      <c:pt idx="2785">
                        <c:v>19.340277777781012</c:v>
                      </c:pt>
                      <c:pt idx="2786">
                        <c:v>19.347222222218988</c:v>
                      </c:pt>
                      <c:pt idx="2787">
                        <c:v>19.354166666664241</c:v>
                      </c:pt>
                      <c:pt idx="2788">
                        <c:v>19.361111111109494</c:v>
                      </c:pt>
                      <c:pt idx="2789">
                        <c:v>19.368055555554747</c:v>
                      </c:pt>
                      <c:pt idx="2790">
                        <c:v>19.375</c:v>
                      </c:pt>
                      <c:pt idx="2791">
                        <c:v>19.381944444445253</c:v>
                      </c:pt>
                      <c:pt idx="2792">
                        <c:v>19.388888888890506</c:v>
                      </c:pt>
                      <c:pt idx="2793">
                        <c:v>19.395833333335759</c:v>
                      </c:pt>
                      <c:pt idx="2794">
                        <c:v>19.402777777781012</c:v>
                      </c:pt>
                      <c:pt idx="2795">
                        <c:v>19.409722222218988</c:v>
                      </c:pt>
                      <c:pt idx="2796">
                        <c:v>19.416666666664241</c:v>
                      </c:pt>
                      <c:pt idx="2797">
                        <c:v>19.423611111109494</c:v>
                      </c:pt>
                      <c:pt idx="2798">
                        <c:v>19.430555555554747</c:v>
                      </c:pt>
                      <c:pt idx="2799">
                        <c:v>19.4375</c:v>
                      </c:pt>
                      <c:pt idx="2800">
                        <c:v>19.444444444445253</c:v>
                      </c:pt>
                      <c:pt idx="2801">
                        <c:v>19.451388888890506</c:v>
                      </c:pt>
                      <c:pt idx="2802">
                        <c:v>19.458333333335759</c:v>
                      </c:pt>
                      <c:pt idx="2803">
                        <c:v>19.465277777781012</c:v>
                      </c:pt>
                      <c:pt idx="2804">
                        <c:v>19.472222222218988</c:v>
                      </c:pt>
                      <c:pt idx="2805">
                        <c:v>19.479166666664241</c:v>
                      </c:pt>
                      <c:pt idx="2806">
                        <c:v>19.486111111109494</c:v>
                      </c:pt>
                      <c:pt idx="2807">
                        <c:v>19.493055555554747</c:v>
                      </c:pt>
                      <c:pt idx="2808">
                        <c:v>19.5</c:v>
                      </c:pt>
                      <c:pt idx="2809">
                        <c:v>19.506944444445253</c:v>
                      </c:pt>
                      <c:pt idx="2810">
                        <c:v>19.513888888890506</c:v>
                      </c:pt>
                      <c:pt idx="2811">
                        <c:v>19.520833333335759</c:v>
                      </c:pt>
                      <c:pt idx="2812">
                        <c:v>19.527777777781012</c:v>
                      </c:pt>
                      <c:pt idx="2813">
                        <c:v>19.534722222218988</c:v>
                      </c:pt>
                      <c:pt idx="2814">
                        <c:v>19.541666666664241</c:v>
                      </c:pt>
                      <c:pt idx="2815">
                        <c:v>19.548611111109494</c:v>
                      </c:pt>
                      <c:pt idx="2816">
                        <c:v>19.555555555554747</c:v>
                      </c:pt>
                      <c:pt idx="2817">
                        <c:v>19.5625</c:v>
                      </c:pt>
                      <c:pt idx="2818">
                        <c:v>19.569444444445253</c:v>
                      </c:pt>
                      <c:pt idx="2819">
                        <c:v>19.576388888890506</c:v>
                      </c:pt>
                      <c:pt idx="2820">
                        <c:v>19.583333333335759</c:v>
                      </c:pt>
                      <c:pt idx="2821">
                        <c:v>19.590277777781012</c:v>
                      </c:pt>
                      <c:pt idx="2822">
                        <c:v>19.597222222218988</c:v>
                      </c:pt>
                      <c:pt idx="2823">
                        <c:v>19.604166666664241</c:v>
                      </c:pt>
                      <c:pt idx="2824">
                        <c:v>19.611111111109494</c:v>
                      </c:pt>
                      <c:pt idx="2825">
                        <c:v>19.618055555554747</c:v>
                      </c:pt>
                      <c:pt idx="2826">
                        <c:v>19.625</c:v>
                      </c:pt>
                      <c:pt idx="2827">
                        <c:v>19.631944444445253</c:v>
                      </c:pt>
                      <c:pt idx="2828">
                        <c:v>19.638888888890506</c:v>
                      </c:pt>
                      <c:pt idx="2829">
                        <c:v>19.645833333335759</c:v>
                      </c:pt>
                      <c:pt idx="2830">
                        <c:v>19.652777777781012</c:v>
                      </c:pt>
                      <c:pt idx="2831">
                        <c:v>19.659722222218988</c:v>
                      </c:pt>
                      <c:pt idx="2832">
                        <c:v>19.666666666664241</c:v>
                      </c:pt>
                      <c:pt idx="2833">
                        <c:v>19.673611111109494</c:v>
                      </c:pt>
                      <c:pt idx="2834">
                        <c:v>19.680555555554747</c:v>
                      </c:pt>
                      <c:pt idx="2835">
                        <c:v>19.6875</c:v>
                      </c:pt>
                      <c:pt idx="2836">
                        <c:v>19.694444444445253</c:v>
                      </c:pt>
                      <c:pt idx="2837">
                        <c:v>19.701388888890506</c:v>
                      </c:pt>
                      <c:pt idx="2838">
                        <c:v>19.708333333335759</c:v>
                      </c:pt>
                      <c:pt idx="2839">
                        <c:v>19.715277777781012</c:v>
                      </c:pt>
                      <c:pt idx="2840">
                        <c:v>19.722222222218988</c:v>
                      </c:pt>
                      <c:pt idx="2841">
                        <c:v>19.729166666664241</c:v>
                      </c:pt>
                      <c:pt idx="2842">
                        <c:v>19.736111111109494</c:v>
                      </c:pt>
                      <c:pt idx="2843">
                        <c:v>19.743055555554747</c:v>
                      </c:pt>
                      <c:pt idx="2844">
                        <c:v>19.75</c:v>
                      </c:pt>
                      <c:pt idx="2845">
                        <c:v>19.756944444445253</c:v>
                      </c:pt>
                      <c:pt idx="2846">
                        <c:v>19.763888888890506</c:v>
                      </c:pt>
                      <c:pt idx="2847">
                        <c:v>19.770833333335759</c:v>
                      </c:pt>
                      <c:pt idx="2848">
                        <c:v>19.777777777781012</c:v>
                      </c:pt>
                      <c:pt idx="2849">
                        <c:v>19.784722222218988</c:v>
                      </c:pt>
                      <c:pt idx="2850">
                        <c:v>19.791666666664241</c:v>
                      </c:pt>
                      <c:pt idx="2851">
                        <c:v>19.798611111109494</c:v>
                      </c:pt>
                      <c:pt idx="2852">
                        <c:v>19.805555555554747</c:v>
                      </c:pt>
                      <c:pt idx="2853">
                        <c:v>19.8125</c:v>
                      </c:pt>
                      <c:pt idx="2854">
                        <c:v>19.819444444445253</c:v>
                      </c:pt>
                      <c:pt idx="2855">
                        <c:v>19.826388888890506</c:v>
                      </c:pt>
                      <c:pt idx="2856">
                        <c:v>19.833333333335759</c:v>
                      </c:pt>
                      <c:pt idx="2857">
                        <c:v>19.840277777781012</c:v>
                      </c:pt>
                      <c:pt idx="2858">
                        <c:v>19.847222222218988</c:v>
                      </c:pt>
                      <c:pt idx="2859">
                        <c:v>19.854166666664241</c:v>
                      </c:pt>
                      <c:pt idx="2860">
                        <c:v>19.861111111109494</c:v>
                      </c:pt>
                      <c:pt idx="2861">
                        <c:v>19.868055555554747</c:v>
                      </c:pt>
                      <c:pt idx="2862">
                        <c:v>19.875</c:v>
                      </c:pt>
                      <c:pt idx="2863">
                        <c:v>19.881944444445253</c:v>
                      </c:pt>
                      <c:pt idx="2864">
                        <c:v>19.888888888890506</c:v>
                      </c:pt>
                      <c:pt idx="2865">
                        <c:v>19.895833333335759</c:v>
                      </c:pt>
                      <c:pt idx="2866">
                        <c:v>19.902777777781012</c:v>
                      </c:pt>
                      <c:pt idx="2867">
                        <c:v>19.909722222218988</c:v>
                      </c:pt>
                      <c:pt idx="2868">
                        <c:v>19.916666666664241</c:v>
                      </c:pt>
                      <c:pt idx="2869">
                        <c:v>19.923611111109494</c:v>
                      </c:pt>
                      <c:pt idx="2870">
                        <c:v>19.930555555554747</c:v>
                      </c:pt>
                      <c:pt idx="2871">
                        <c:v>19.9375</c:v>
                      </c:pt>
                      <c:pt idx="2872">
                        <c:v>19.944444444445253</c:v>
                      </c:pt>
                      <c:pt idx="2873">
                        <c:v>19.951388888890506</c:v>
                      </c:pt>
                      <c:pt idx="2874">
                        <c:v>19.958333333335759</c:v>
                      </c:pt>
                      <c:pt idx="2875">
                        <c:v>19.965277777781012</c:v>
                      </c:pt>
                      <c:pt idx="2876">
                        <c:v>19.972222222218988</c:v>
                      </c:pt>
                      <c:pt idx="2877">
                        <c:v>19.979166666664241</c:v>
                      </c:pt>
                      <c:pt idx="2878">
                        <c:v>19.986111111109494</c:v>
                      </c:pt>
                      <c:pt idx="2879">
                        <c:v>19.993055555554747</c:v>
                      </c:pt>
                      <c:pt idx="2880">
                        <c:v>20</c:v>
                      </c:pt>
                      <c:pt idx="2881">
                        <c:v>20.006944444445253</c:v>
                      </c:pt>
                      <c:pt idx="2882">
                        <c:v>20.013888888890506</c:v>
                      </c:pt>
                      <c:pt idx="2883">
                        <c:v>20.020833333335759</c:v>
                      </c:pt>
                      <c:pt idx="2884">
                        <c:v>20.027777777781012</c:v>
                      </c:pt>
                      <c:pt idx="2885">
                        <c:v>20.034722222218988</c:v>
                      </c:pt>
                      <c:pt idx="2886">
                        <c:v>20.041666666664241</c:v>
                      </c:pt>
                      <c:pt idx="2887">
                        <c:v>20.048611111109494</c:v>
                      </c:pt>
                      <c:pt idx="2888">
                        <c:v>20.055555555554747</c:v>
                      </c:pt>
                      <c:pt idx="2889">
                        <c:v>20.0625</c:v>
                      </c:pt>
                      <c:pt idx="2890">
                        <c:v>20.069444444445253</c:v>
                      </c:pt>
                      <c:pt idx="2891">
                        <c:v>20.076388888890506</c:v>
                      </c:pt>
                      <c:pt idx="2892">
                        <c:v>20.083333333335759</c:v>
                      </c:pt>
                      <c:pt idx="2893">
                        <c:v>20.090277777781012</c:v>
                      </c:pt>
                      <c:pt idx="2894">
                        <c:v>20.097222222218988</c:v>
                      </c:pt>
                      <c:pt idx="2895">
                        <c:v>20.104166666664241</c:v>
                      </c:pt>
                      <c:pt idx="2896">
                        <c:v>20.111111111109494</c:v>
                      </c:pt>
                      <c:pt idx="2897">
                        <c:v>20.118055555554747</c:v>
                      </c:pt>
                      <c:pt idx="2898">
                        <c:v>20.125</c:v>
                      </c:pt>
                      <c:pt idx="2899">
                        <c:v>20.131944444445253</c:v>
                      </c:pt>
                      <c:pt idx="2900">
                        <c:v>20.138888888890506</c:v>
                      </c:pt>
                      <c:pt idx="2901">
                        <c:v>20.145833333335759</c:v>
                      </c:pt>
                      <c:pt idx="2902">
                        <c:v>20.152777777781012</c:v>
                      </c:pt>
                      <c:pt idx="2903">
                        <c:v>20.159722222218988</c:v>
                      </c:pt>
                      <c:pt idx="2904">
                        <c:v>20.166666666664241</c:v>
                      </c:pt>
                      <c:pt idx="2905">
                        <c:v>20.173611111109494</c:v>
                      </c:pt>
                      <c:pt idx="2906">
                        <c:v>20.180555555554747</c:v>
                      </c:pt>
                      <c:pt idx="2907">
                        <c:v>20.1875</c:v>
                      </c:pt>
                      <c:pt idx="2908">
                        <c:v>20.194444444445253</c:v>
                      </c:pt>
                      <c:pt idx="2909">
                        <c:v>20.201388888890506</c:v>
                      </c:pt>
                      <c:pt idx="2910">
                        <c:v>20.208333333335759</c:v>
                      </c:pt>
                      <c:pt idx="2911">
                        <c:v>20.215277777781012</c:v>
                      </c:pt>
                      <c:pt idx="2912">
                        <c:v>20.222222222218988</c:v>
                      </c:pt>
                      <c:pt idx="2913">
                        <c:v>20.229166666664241</c:v>
                      </c:pt>
                      <c:pt idx="2914">
                        <c:v>20.236111111109494</c:v>
                      </c:pt>
                      <c:pt idx="2915">
                        <c:v>20.243055555554747</c:v>
                      </c:pt>
                      <c:pt idx="2916">
                        <c:v>20.25</c:v>
                      </c:pt>
                      <c:pt idx="2917">
                        <c:v>20.256944444445253</c:v>
                      </c:pt>
                      <c:pt idx="2918">
                        <c:v>20.263888888890506</c:v>
                      </c:pt>
                      <c:pt idx="2919">
                        <c:v>20.270833333335759</c:v>
                      </c:pt>
                      <c:pt idx="2920">
                        <c:v>20.277777777781012</c:v>
                      </c:pt>
                      <c:pt idx="2921">
                        <c:v>20.284722222218988</c:v>
                      </c:pt>
                      <c:pt idx="2922">
                        <c:v>20.291666666664241</c:v>
                      </c:pt>
                      <c:pt idx="2923">
                        <c:v>20.298611111109494</c:v>
                      </c:pt>
                      <c:pt idx="2924">
                        <c:v>20.305555555554747</c:v>
                      </c:pt>
                      <c:pt idx="2925">
                        <c:v>20.3125</c:v>
                      </c:pt>
                      <c:pt idx="2926">
                        <c:v>20.319444444445253</c:v>
                      </c:pt>
                      <c:pt idx="2927">
                        <c:v>20.326388888890506</c:v>
                      </c:pt>
                      <c:pt idx="2928">
                        <c:v>20.333333333335759</c:v>
                      </c:pt>
                      <c:pt idx="2929">
                        <c:v>20.340277777781012</c:v>
                      </c:pt>
                      <c:pt idx="2930">
                        <c:v>20.347222222218988</c:v>
                      </c:pt>
                      <c:pt idx="2931">
                        <c:v>20.354166666664241</c:v>
                      </c:pt>
                      <c:pt idx="2932">
                        <c:v>20.361111111109494</c:v>
                      </c:pt>
                      <c:pt idx="2933">
                        <c:v>20.368055555554747</c:v>
                      </c:pt>
                      <c:pt idx="2934">
                        <c:v>20.375</c:v>
                      </c:pt>
                      <c:pt idx="2935">
                        <c:v>20.381944444445253</c:v>
                      </c:pt>
                      <c:pt idx="2936">
                        <c:v>20.388888888890506</c:v>
                      </c:pt>
                      <c:pt idx="2937">
                        <c:v>20.395833333335759</c:v>
                      </c:pt>
                      <c:pt idx="2938">
                        <c:v>20.402777777781012</c:v>
                      </c:pt>
                      <c:pt idx="2939">
                        <c:v>20.409722222218988</c:v>
                      </c:pt>
                      <c:pt idx="2940">
                        <c:v>20.416666666664241</c:v>
                      </c:pt>
                      <c:pt idx="2941">
                        <c:v>20.423611111109494</c:v>
                      </c:pt>
                      <c:pt idx="2942">
                        <c:v>20.430555555554747</c:v>
                      </c:pt>
                      <c:pt idx="2943">
                        <c:v>20.4375</c:v>
                      </c:pt>
                      <c:pt idx="2944">
                        <c:v>20.444444444445253</c:v>
                      </c:pt>
                      <c:pt idx="2945">
                        <c:v>20.451388888890506</c:v>
                      </c:pt>
                      <c:pt idx="2946">
                        <c:v>20.458333333335759</c:v>
                      </c:pt>
                      <c:pt idx="2947">
                        <c:v>20.465277777781012</c:v>
                      </c:pt>
                      <c:pt idx="2948">
                        <c:v>20.472222222218988</c:v>
                      </c:pt>
                      <c:pt idx="2949">
                        <c:v>20.479166666664241</c:v>
                      </c:pt>
                      <c:pt idx="2950">
                        <c:v>20.486111111109494</c:v>
                      </c:pt>
                      <c:pt idx="2951">
                        <c:v>20.493055555554747</c:v>
                      </c:pt>
                      <c:pt idx="2952">
                        <c:v>20.5</c:v>
                      </c:pt>
                      <c:pt idx="2953">
                        <c:v>20.506944444445253</c:v>
                      </c:pt>
                      <c:pt idx="2954">
                        <c:v>20.513888888890506</c:v>
                      </c:pt>
                      <c:pt idx="2955">
                        <c:v>20.520833333335759</c:v>
                      </c:pt>
                      <c:pt idx="2956">
                        <c:v>20.527777777781012</c:v>
                      </c:pt>
                      <c:pt idx="2957">
                        <c:v>20.534722222218988</c:v>
                      </c:pt>
                      <c:pt idx="2958">
                        <c:v>20.541666666664241</c:v>
                      </c:pt>
                      <c:pt idx="2959">
                        <c:v>20.548611111109494</c:v>
                      </c:pt>
                      <c:pt idx="2960">
                        <c:v>20.555555555554747</c:v>
                      </c:pt>
                      <c:pt idx="2961">
                        <c:v>20.5625</c:v>
                      </c:pt>
                      <c:pt idx="2962">
                        <c:v>20.569444444445253</c:v>
                      </c:pt>
                      <c:pt idx="2963">
                        <c:v>20.576388888890506</c:v>
                      </c:pt>
                      <c:pt idx="2964">
                        <c:v>20.583333333335759</c:v>
                      </c:pt>
                      <c:pt idx="2965">
                        <c:v>20.590277777781012</c:v>
                      </c:pt>
                      <c:pt idx="2966">
                        <c:v>20.597222222218988</c:v>
                      </c:pt>
                      <c:pt idx="2967">
                        <c:v>20.604166666664241</c:v>
                      </c:pt>
                      <c:pt idx="2968">
                        <c:v>20.611111111109494</c:v>
                      </c:pt>
                      <c:pt idx="2969">
                        <c:v>20.618055555554747</c:v>
                      </c:pt>
                      <c:pt idx="2970">
                        <c:v>20.625</c:v>
                      </c:pt>
                      <c:pt idx="2971">
                        <c:v>20.631944444445253</c:v>
                      </c:pt>
                      <c:pt idx="2972">
                        <c:v>20.638888888890506</c:v>
                      </c:pt>
                      <c:pt idx="2973">
                        <c:v>20.645833333335759</c:v>
                      </c:pt>
                      <c:pt idx="2974">
                        <c:v>20.652777777781012</c:v>
                      </c:pt>
                      <c:pt idx="2975">
                        <c:v>20.659722222218988</c:v>
                      </c:pt>
                      <c:pt idx="2976">
                        <c:v>20.666666666664241</c:v>
                      </c:pt>
                      <c:pt idx="2977">
                        <c:v>20.673611111109494</c:v>
                      </c:pt>
                      <c:pt idx="2978">
                        <c:v>20.680555555554747</c:v>
                      </c:pt>
                      <c:pt idx="2979">
                        <c:v>20.6875</c:v>
                      </c:pt>
                      <c:pt idx="2980">
                        <c:v>20.694444444445253</c:v>
                      </c:pt>
                      <c:pt idx="2981">
                        <c:v>20.701388888890506</c:v>
                      </c:pt>
                      <c:pt idx="2982">
                        <c:v>20.708333333335759</c:v>
                      </c:pt>
                      <c:pt idx="2983">
                        <c:v>20.715277777781012</c:v>
                      </c:pt>
                      <c:pt idx="2984">
                        <c:v>20.722222222218988</c:v>
                      </c:pt>
                      <c:pt idx="2985">
                        <c:v>20.729166666664241</c:v>
                      </c:pt>
                      <c:pt idx="2986">
                        <c:v>20.736111111109494</c:v>
                      </c:pt>
                      <c:pt idx="2987">
                        <c:v>20.743055555554747</c:v>
                      </c:pt>
                      <c:pt idx="2988">
                        <c:v>20.75</c:v>
                      </c:pt>
                      <c:pt idx="2989">
                        <c:v>20.756944444445253</c:v>
                      </c:pt>
                      <c:pt idx="2990">
                        <c:v>20.763888888890506</c:v>
                      </c:pt>
                      <c:pt idx="2991">
                        <c:v>20.770833333335759</c:v>
                      </c:pt>
                      <c:pt idx="2992">
                        <c:v>20.777777777781012</c:v>
                      </c:pt>
                      <c:pt idx="2993">
                        <c:v>20.784722222218988</c:v>
                      </c:pt>
                      <c:pt idx="2994">
                        <c:v>20.791666666664241</c:v>
                      </c:pt>
                      <c:pt idx="2995">
                        <c:v>20.798611111109494</c:v>
                      </c:pt>
                      <c:pt idx="2996">
                        <c:v>20.805555555554747</c:v>
                      </c:pt>
                      <c:pt idx="2997">
                        <c:v>20.8125</c:v>
                      </c:pt>
                      <c:pt idx="2998">
                        <c:v>20.819444444445253</c:v>
                      </c:pt>
                      <c:pt idx="2999">
                        <c:v>20.826388888890506</c:v>
                      </c:pt>
                      <c:pt idx="3000">
                        <c:v>20.833333333335759</c:v>
                      </c:pt>
                      <c:pt idx="3001">
                        <c:v>20.840277777781012</c:v>
                      </c:pt>
                      <c:pt idx="3002">
                        <c:v>20.847222222218988</c:v>
                      </c:pt>
                      <c:pt idx="3003">
                        <c:v>20.854166666664241</c:v>
                      </c:pt>
                      <c:pt idx="3004">
                        <c:v>20.861111111109494</c:v>
                      </c:pt>
                      <c:pt idx="3005">
                        <c:v>20.868055555554747</c:v>
                      </c:pt>
                      <c:pt idx="3006">
                        <c:v>20.875</c:v>
                      </c:pt>
                      <c:pt idx="3007">
                        <c:v>20.881944444445253</c:v>
                      </c:pt>
                      <c:pt idx="3008">
                        <c:v>20.888888888890506</c:v>
                      </c:pt>
                      <c:pt idx="3009">
                        <c:v>20.895833333335759</c:v>
                      </c:pt>
                      <c:pt idx="3010">
                        <c:v>20.902777777781012</c:v>
                      </c:pt>
                      <c:pt idx="3011">
                        <c:v>20.909722222218988</c:v>
                      </c:pt>
                      <c:pt idx="3012">
                        <c:v>20.916666666664241</c:v>
                      </c:pt>
                      <c:pt idx="3013">
                        <c:v>20.923611111109494</c:v>
                      </c:pt>
                      <c:pt idx="3014">
                        <c:v>20.930555555554747</c:v>
                      </c:pt>
                      <c:pt idx="3015">
                        <c:v>20.9375</c:v>
                      </c:pt>
                      <c:pt idx="3016">
                        <c:v>20.944444444445253</c:v>
                      </c:pt>
                      <c:pt idx="3017">
                        <c:v>20.951388888890506</c:v>
                      </c:pt>
                      <c:pt idx="3018">
                        <c:v>20.958333333335759</c:v>
                      </c:pt>
                      <c:pt idx="3019">
                        <c:v>20.965277777781012</c:v>
                      </c:pt>
                      <c:pt idx="3020">
                        <c:v>20.972222222218988</c:v>
                      </c:pt>
                      <c:pt idx="3021">
                        <c:v>20.979166666664241</c:v>
                      </c:pt>
                      <c:pt idx="3022">
                        <c:v>20.986111111109494</c:v>
                      </c:pt>
                      <c:pt idx="3023">
                        <c:v>20.993055555554747</c:v>
                      </c:pt>
                      <c:pt idx="3024">
                        <c:v>21</c:v>
                      </c:pt>
                      <c:pt idx="3025">
                        <c:v>21.006944444445253</c:v>
                      </c:pt>
                      <c:pt idx="3026">
                        <c:v>21.013888888890506</c:v>
                      </c:pt>
                      <c:pt idx="3027">
                        <c:v>21.020833333335759</c:v>
                      </c:pt>
                      <c:pt idx="3028">
                        <c:v>21.027777777781012</c:v>
                      </c:pt>
                      <c:pt idx="3029">
                        <c:v>21.034722222218988</c:v>
                      </c:pt>
                      <c:pt idx="3030">
                        <c:v>21.041666666664241</c:v>
                      </c:pt>
                      <c:pt idx="3031">
                        <c:v>21.048611111109494</c:v>
                      </c:pt>
                      <c:pt idx="3032">
                        <c:v>21.055555555554747</c:v>
                      </c:pt>
                      <c:pt idx="3033">
                        <c:v>21.0625</c:v>
                      </c:pt>
                      <c:pt idx="3034">
                        <c:v>21.069444444445253</c:v>
                      </c:pt>
                      <c:pt idx="3035">
                        <c:v>21.076388888890506</c:v>
                      </c:pt>
                      <c:pt idx="3036">
                        <c:v>21.083333333335759</c:v>
                      </c:pt>
                      <c:pt idx="3037">
                        <c:v>21.090277777781012</c:v>
                      </c:pt>
                      <c:pt idx="3038">
                        <c:v>21.097222222218988</c:v>
                      </c:pt>
                      <c:pt idx="3039">
                        <c:v>21.104166666664241</c:v>
                      </c:pt>
                      <c:pt idx="3040">
                        <c:v>21.111111111109494</c:v>
                      </c:pt>
                      <c:pt idx="3041">
                        <c:v>21.118055555554747</c:v>
                      </c:pt>
                      <c:pt idx="3042">
                        <c:v>21.125</c:v>
                      </c:pt>
                      <c:pt idx="3043">
                        <c:v>21.131944444445253</c:v>
                      </c:pt>
                      <c:pt idx="3044">
                        <c:v>21.138888888890506</c:v>
                      </c:pt>
                      <c:pt idx="3045">
                        <c:v>21.145833333335759</c:v>
                      </c:pt>
                      <c:pt idx="3046">
                        <c:v>21.152777777781012</c:v>
                      </c:pt>
                      <c:pt idx="3047">
                        <c:v>21.159722222218988</c:v>
                      </c:pt>
                      <c:pt idx="3048">
                        <c:v>21.166666666664241</c:v>
                      </c:pt>
                      <c:pt idx="3049">
                        <c:v>21.173611111109494</c:v>
                      </c:pt>
                      <c:pt idx="3050">
                        <c:v>21.180555555554747</c:v>
                      </c:pt>
                      <c:pt idx="3051">
                        <c:v>21.1875</c:v>
                      </c:pt>
                      <c:pt idx="3052">
                        <c:v>21.194444444445253</c:v>
                      </c:pt>
                      <c:pt idx="3053">
                        <c:v>21.201388888890506</c:v>
                      </c:pt>
                      <c:pt idx="3054">
                        <c:v>21.208333333335759</c:v>
                      </c:pt>
                      <c:pt idx="3055">
                        <c:v>21.215277777781012</c:v>
                      </c:pt>
                      <c:pt idx="3056">
                        <c:v>21.222222222218988</c:v>
                      </c:pt>
                      <c:pt idx="3057">
                        <c:v>21.229166666664241</c:v>
                      </c:pt>
                      <c:pt idx="3058">
                        <c:v>21.236111111109494</c:v>
                      </c:pt>
                      <c:pt idx="3059">
                        <c:v>21.243055555554747</c:v>
                      </c:pt>
                      <c:pt idx="3060">
                        <c:v>21.25</c:v>
                      </c:pt>
                      <c:pt idx="3061">
                        <c:v>21.256944444445253</c:v>
                      </c:pt>
                      <c:pt idx="3062">
                        <c:v>21.263888888890506</c:v>
                      </c:pt>
                      <c:pt idx="3063">
                        <c:v>21.270833333335759</c:v>
                      </c:pt>
                      <c:pt idx="3064">
                        <c:v>21.277777777781012</c:v>
                      </c:pt>
                      <c:pt idx="3065">
                        <c:v>21.284722222218988</c:v>
                      </c:pt>
                      <c:pt idx="3066">
                        <c:v>21.291666666664241</c:v>
                      </c:pt>
                      <c:pt idx="3067">
                        <c:v>21.298611111109494</c:v>
                      </c:pt>
                      <c:pt idx="3068">
                        <c:v>21.305555555554747</c:v>
                      </c:pt>
                      <c:pt idx="3069">
                        <c:v>21.3125</c:v>
                      </c:pt>
                      <c:pt idx="3070">
                        <c:v>21.319444444445253</c:v>
                      </c:pt>
                      <c:pt idx="3071">
                        <c:v>21.326388888890506</c:v>
                      </c:pt>
                      <c:pt idx="3072">
                        <c:v>21.333333333335759</c:v>
                      </c:pt>
                      <c:pt idx="3073">
                        <c:v>21.340277777781012</c:v>
                      </c:pt>
                      <c:pt idx="3074">
                        <c:v>21.347222222218988</c:v>
                      </c:pt>
                      <c:pt idx="3075">
                        <c:v>21.354166666664241</c:v>
                      </c:pt>
                      <c:pt idx="3076">
                        <c:v>21.361111111109494</c:v>
                      </c:pt>
                      <c:pt idx="3077">
                        <c:v>21.368055555554747</c:v>
                      </c:pt>
                      <c:pt idx="3078">
                        <c:v>21.375</c:v>
                      </c:pt>
                      <c:pt idx="3079">
                        <c:v>21.381944444445253</c:v>
                      </c:pt>
                      <c:pt idx="3080">
                        <c:v>21.388888888890506</c:v>
                      </c:pt>
                      <c:pt idx="3081">
                        <c:v>21.395833333335759</c:v>
                      </c:pt>
                      <c:pt idx="3082">
                        <c:v>21.402777777781012</c:v>
                      </c:pt>
                      <c:pt idx="3083">
                        <c:v>21.409722222218988</c:v>
                      </c:pt>
                      <c:pt idx="3084">
                        <c:v>21.416666666664241</c:v>
                      </c:pt>
                      <c:pt idx="3085">
                        <c:v>21.423611111109494</c:v>
                      </c:pt>
                      <c:pt idx="3086">
                        <c:v>21.430555555554747</c:v>
                      </c:pt>
                      <c:pt idx="3087">
                        <c:v>21.4375</c:v>
                      </c:pt>
                      <c:pt idx="3088">
                        <c:v>21.444444444445253</c:v>
                      </c:pt>
                      <c:pt idx="3089">
                        <c:v>21.451388888890506</c:v>
                      </c:pt>
                      <c:pt idx="3090">
                        <c:v>21.458333333335759</c:v>
                      </c:pt>
                      <c:pt idx="3091">
                        <c:v>21.465277777781012</c:v>
                      </c:pt>
                      <c:pt idx="3092">
                        <c:v>21.472222222218988</c:v>
                      </c:pt>
                      <c:pt idx="3093">
                        <c:v>21.479166666664241</c:v>
                      </c:pt>
                      <c:pt idx="3094">
                        <c:v>21.486111111109494</c:v>
                      </c:pt>
                      <c:pt idx="3095">
                        <c:v>21.493055555554747</c:v>
                      </c:pt>
                      <c:pt idx="3096">
                        <c:v>21.5</c:v>
                      </c:pt>
                      <c:pt idx="3097">
                        <c:v>21.506944444445253</c:v>
                      </c:pt>
                      <c:pt idx="3098">
                        <c:v>21.513888888890506</c:v>
                      </c:pt>
                      <c:pt idx="3099">
                        <c:v>21.520833333335759</c:v>
                      </c:pt>
                      <c:pt idx="3100">
                        <c:v>21.527777777781012</c:v>
                      </c:pt>
                      <c:pt idx="3101">
                        <c:v>21.534722222218988</c:v>
                      </c:pt>
                      <c:pt idx="3102">
                        <c:v>21.541666666664241</c:v>
                      </c:pt>
                      <c:pt idx="3103">
                        <c:v>21.548611111109494</c:v>
                      </c:pt>
                      <c:pt idx="3104">
                        <c:v>21.555555555554747</c:v>
                      </c:pt>
                      <c:pt idx="3105">
                        <c:v>21.5625</c:v>
                      </c:pt>
                      <c:pt idx="3106">
                        <c:v>21.569444444445253</c:v>
                      </c:pt>
                      <c:pt idx="3107">
                        <c:v>21.576388888890506</c:v>
                      </c:pt>
                      <c:pt idx="3108">
                        <c:v>21.583333333335759</c:v>
                      </c:pt>
                      <c:pt idx="3109">
                        <c:v>21.590277777781012</c:v>
                      </c:pt>
                      <c:pt idx="3110">
                        <c:v>21.597222222218988</c:v>
                      </c:pt>
                      <c:pt idx="3111">
                        <c:v>21.604166666664241</c:v>
                      </c:pt>
                      <c:pt idx="3112">
                        <c:v>21.611111111109494</c:v>
                      </c:pt>
                      <c:pt idx="3113">
                        <c:v>21.618055555554747</c:v>
                      </c:pt>
                      <c:pt idx="3114">
                        <c:v>21.625</c:v>
                      </c:pt>
                      <c:pt idx="3115">
                        <c:v>21.631944444445253</c:v>
                      </c:pt>
                      <c:pt idx="3116">
                        <c:v>21.638888888890506</c:v>
                      </c:pt>
                      <c:pt idx="3117">
                        <c:v>21.645833333335759</c:v>
                      </c:pt>
                      <c:pt idx="3118">
                        <c:v>21.652777777781012</c:v>
                      </c:pt>
                      <c:pt idx="3119">
                        <c:v>21.659722222218988</c:v>
                      </c:pt>
                      <c:pt idx="3120">
                        <c:v>21.666666666664241</c:v>
                      </c:pt>
                      <c:pt idx="3121">
                        <c:v>21.673611111109494</c:v>
                      </c:pt>
                      <c:pt idx="3122">
                        <c:v>21.680555555554747</c:v>
                      </c:pt>
                      <c:pt idx="3123">
                        <c:v>21.6875</c:v>
                      </c:pt>
                      <c:pt idx="3124">
                        <c:v>21.694444444445253</c:v>
                      </c:pt>
                      <c:pt idx="3125">
                        <c:v>21.701388888890506</c:v>
                      </c:pt>
                      <c:pt idx="3126">
                        <c:v>21.708333333335759</c:v>
                      </c:pt>
                      <c:pt idx="3127">
                        <c:v>21.715277777781012</c:v>
                      </c:pt>
                      <c:pt idx="3128">
                        <c:v>21.722222222218988</c:v>
                      </c:pt>
                      <c:pt idx="3129">
                        <c:v>21.729166666664241</c:v>
                      </c:pt>
                      <c:pt idx="3130">
                        <c:v>21.736111111109494</c:v>
                      </c:pt>
                      <c:pt idx="3131">
                        <c:v>21.743055555554747</c:v>
                      </c:pt>
                      <c:pt idx="3132">
                        <c:v>21.75</c:v>
                      </c:pt>
                      <c:pt idx="3133">
                        <c:v>21.756944444445253</c:v>
                      </c:pt>
                      <c:pt idx="3134">
                        <c:v>21.763888888890506</c:v>
                      </c:pt>
                      <c:pt idx="3135">
                        <c:v>21.770833333335759</c:v>
                      </c:pt>
                      <c:pt idx="3136">
                        <c:v>21.777777777781012</c:v>
                      </c:pt>
                      <c:pt idx="3137">
                        <c:v>21.784722222218988</c:v>
                      </c:pt>
                      <c:pt idx="3138">
                        <c:v>21.791666666664241</c:v>
                      </c:pt>
                      <c:pt idx="3139">
                        <c:v>21.798611111109494</c:v>
                      </c:pt>
                      <c:pt idx="3140">
                        <c:v>21.805555555554747</c:v>
                      </c:pt>
                      <c:pt idx="3141">
                        <c:v>21.8125</c:v>
                      </c:pt>
                      <c:pt idx="3142">
                        <c:v>21.819444444445253</c:v>
                      </c:pt>
                      <c:pt idx="3143">
                        <c:v>21.826388888890506</c:v>
                      </c:pt>
                      <c:pt idx="3144">
                        <c:v>21.833333333335759</c:v>
                      </c:pt>
                      <c:pt idx="3145">
                        <c:v>21.840277777781012</c:v>
                      </c:pt>
                      <c:pt idx="3146">
                        <c:v>21.847222222218988</c:v>
                      </c:pt>
                      <c:pt idx="3147">
                        <c:v>21.854166666664241</c:v>
                      </c:pt>
                      <c:pt idx="3148">
                        <c:v>21.861111111109494</c:v>
                      </c:pt>
                      <c:pt idx="3149">
                        <c:v>21.868055555554747</c:v>
                      </c:pt>
                      <c:pt idx="3150">
                        <c:v>21.875</c:v>
                      </c:pt>
                      <c:pt idx="3151">
                        <c:v>21.881944444445253</c:v>
                      </c:pt>
                      <c:pt idx="3152">
                        <c:v>21.888888888890506</c:v>
                      </c:pt>
                      <c:pt idx="3153">
                        <c:v>21.895833333335759</c:v>
                      </c:pt>
                      <c:pt idx="3154">
                        <c:v>21.902777777781012</c:v>
                      </c:pt>
                      <c:pt idx="3155">
                        <c:v>21.909722222218988</c:v>
                      </c:pt>
                      <c:pt idx="3156">
                        <c:v>21.916666666664241</c:v>
                      </c:pt>
                      <c:pt idx="3157">
                        <c:v>21.923611111109494</c:v>
                      </c:pt>
                      <c:pt idx="3158">
                        <c:v>21.930555555554747</c:v>
                      </c:pt>
                      <c:pt idx="3159">
                        <c:v>21.9375</c:v>
                      </c:pt>
                      <c:pt idx="3160">
                        <c:v>21.944444444445253</c:v>
                      </c:pt>
                      <c:pt idx="3161">
                        <c:v>21.951388888890506</c:v>
                      </c:pt>
                      <c:pt idx="3162">
                        <c:v>21.958333333335759</c:v>
                      </c:pt>
                      <c:pt idx="3163">
                        <c:v>21.965277777781012</c:v>
                      </c:pt>
                      <c:pt idx="3164">
                        <c:v>21.972222222218988</c:v>
                      </c:pt>
                      <c:pt idx="3165">
                        <c:v>21.979166666664241</c:v>
                      </c:pt>
                      <c:pt idx="3166">
                        <c:v>21.986111111109494</c:v>
                      </c:pt>
                      <c:pt idx="3167">
                        <c:v>21.993055555554747</c:v>
                      </c:pt>
                      <c:pt idx="3168">
                        <c:v>22</c:v>
                      </c:pt>
                      <c:pt idx="3169">
                        <c:v>22.006944444445253</c:v>
                      </c:pt>
                      <c:pt idx="3170">
                        <c:v>22.013888888890506</c:v>
                      </c:pt>
                      <c:pt idx="3171">
                        <c:v>22.020833333335759</c:v>
                      </c:pt>
                      <c:pt idx="3172">
                        <c:v>22.027777777781012</c:v>
                      </c:pt>
                      <c:pt idx="3173">
                        <c:v>22.034722222218988</c:v>
                      </c:pt>
                      <c:pt idx="3174">
                        <c:v>22.041666666664241</c:v>
                      </c:pt>
                      <c:pt idx="3175">
                        <c:v>22.048611111109494</c:v>
                      </c:pt>
                      <c:pt idx="3176">
                        <c:v>22.055555555554747</c:v>
                      </c:pt>
                      <c:pt idx="3177">
                        <c:v>22.0625</c:v>
                      </c:pt>
                      <c:pt idx="3178">
                        <c:v>22.069444444445253</c:v>
                      </c:pt>
                      <c:pt idx="3179">
                        <c:v>22.076388888890506</c:v>
                      </c:pt>
                      <c:pt idx="3180">
                        <c:v>22.083333333335759</c:v>
                      </c:pt>
                      <c:pt idx="3181">
                        <c:v>22.090277777781012</c:v>
                      </c:pt>
                      <c:pt idx="3182">
                        <c:v>22.097222222218988</c:v>
                      </c:pt>
                      <c:pt idx="3183">
                        <c:v>22.104166666664241</c:v>
                      </c:pt>
                      <c:pt idx="3184">
                        <c:v>22.111111111109494</c:v>
                      </c:pt>
                      <c:pt idx="3185">
                        <c:v>22.118055555554747</c:v>
                      </c:pt>
                      <c:pt idx="3186">
                        <c:v>22.125</c:v>
                      </c:pt>
                      <c:pt idx="3187">
                        <c:v>22.131944444445253</c:v>
                      </c:pt>
                      <c:pt idx="3188">
                        <c:v>22.138888888890506</c:v>
                      </c:pt>
                      <c:pt idx="3189">
                        <c:v>22.145833333335759</c:v>
                      </c:pt>
                      <c:pt idx="3190">
                        <c:v>22.152777777781012</c:v>
                      </c:pt>
                      <c:pt idx="3191">
                        <c:v>22.159722222218988</c:v>
                      </c:pt>
                      <c:pt idx="3192">
                        <c:v>22.166666666664241</c:v>
                      </c:pt>
                      <c:pt idx="3193">
                        <c:v>22.173611111109494</c:v>
                      </c:pt>
                      <c:pt idx="3194">
                        <c:v>22.180555555554747</c:v>
                      </c:pt>
                      <c:pt idx="3195">
                        <c:v>22.1875</c:v>
                      </c:pt>
                      <c:pt idx="3196">
                        <c:v>22.194444444445253</c:v>
                      </c:pt>
                      <c:pt idx="3197">
                        <c:v>22.201388888890506</c:v>
                      </c:pt>
                      <c:pt idx="3198">
                        <c:v>22.208333333335759</c:v>
                      </c:pt>
                      <c:pt idx="3199">
                        <c:v>22.215277777781012</c:v>
                      </c:pt>
                      <c:pt idx="3200">
                        <c:v>22.222222222218988</c:v>
                      </c:pt>
                      <c:pt idx="3201">
                        <c:v>22.229166666664241</c:v>
                      </c:pt>
                      <c:pt idx="3202">
                        <c:v>22.236111111109494</c:v>
                      </c:pt>
                      <c:pt idx="3203">
                        <c:v>22.243055555554747</c:v>
                      </c:pt>
                      <c:pt idx="3204">
                        <c:v>22.25</c:v>
                      </c:pt>
                      <c:pt idx="3205">
                        <c:v>22.256944444445253</c:v>
                      </c:pt>
                      <c:pt idx="3206">
                        <c:v>22.263888888890506</c:v>
                      </c:pt>
                      <c:pt idx="3207">
                        <c:v>22.270833333335759</c:v>
                      </c:pt>
                      <c:pt idx="3208">
                        <c:v>22.277777777781012</c:v>
                      </c:pt>
                      <c:pt idx="3209">
                        <c:v>22.284722222218988</c:v>
                      </c:pt>
                      <c:pt idx="3210">
                        <c:v>22.291666666664241</c:v>
                      </c:pt>
                      <c:pt idx="3211">
                        <c:v>22.298611111109494</c:v>
                      </c:pt>
                      <c:pt idx="3212">
                        <c:v>22.305555555554747</c:v>
                      </c:pt>
                      <c:pt idx="3213">
                        <c:v>22.3125</c:v>
                      </c:pt>
                      <c:pt idx="3214">
                        <c:v>22.319444444445253</c:v>
                      </c:pt>
                      <c:pt idx="3215">
                        <c:v>22.326388888890506</c:v>
                      </c:pt>
                      <c:pt idx="3216">
                        <c:v>22.333333333335759</c:v>
                      </c:pt>
                      <c:pt idx="3217">
                        <c:v>22.340277777781012</c:v>
                      </c:pt>
                      <c:pt idx="3218">
                        <c:v>22.347222222218988</c:v>
                      </c:pt>
                      <c:pt idx="3219">
                        <c:v>22.354166666664241</c:v>
                      </c:pt>
                      <c:pt idx="3220">
                        <c:v>22.361111111109494</c:v>
                      </c:pt>
                      <c:pt idx="3221">
                        <c:v>22.368055555554747</c:v>
                      </c:pt>
                      <c:pt idx="3222">
                        <c:v>22.375</c:v>
                      </c:pt>
                      <c:pt idx="3223">
                        <c:v>22.381944444445253</c:v>
                      </c:pt>
                      <c:pt idx="3224">
                        <c:v>22.388888888890506</c:v>
                      </c:pt>
                      <c:pt idx="3225">
                        <c:v>22.395833333335759</c:v>
                      </c:pt>
                      <c:pt idx="3226">
                        <c:v>22.402777777781012</c:v>
                      </c:pt>
                      <c:pt idx="3227">
                        <c:v>22.409722222218988</c:v>
                      </c:pt>
                      <c:pt idx="3228">
                        <c:v>22.416666666664241</c:v>
                      </c:pt>
                      <c:pt idx="3229">
                        <c:v>22.423611111109494</c:v>
                      </c:pt>
                      <c:pt idx="3230">
                        <c:v>22.430555555554747</c:v>
                      </c:pt>
                      <c:pt idx="3231">
                        <c:v>22.4375</c:v>
                      </c:pt>
                      <c:pt idx="3232">
                        <c:v>22.444444444445253</c:v>
                      </c:pt>
                      <c:pt idx="3233">
                        <c:v>22.451388888890506</c:v>
                      </c:pt>
                      <c:pt idx="3234">
                        <c:v>22.458333333335759</c:v>
                      </c:pt>
                      <c:pt idx="3235">
                        <c:v>22.465277777781012</c:v>
                      </c:pt>
                      <c:pt idx="3236">
                        <c:v>22.472222222218988</c:v>
                      </c:pt>
                      <c:pt idx="3237">
                        <c:v>22.479166666664241</c:v>
                      </c:pt>
                      <c:pt idx="3238">
                        <c:v>22.486111111109494</c:v>
                      </c:pt>
                      <c:pt idx="3239">
                        <c:v>22.493055555554747</c:v>
                      </c:pt>
                      <c:pt idx="3240">
                        <c:v>22.5</c:v>
                      </c:pt>
                      <c:pt idx="3241">
                        <c:v>22.506944444445253</c:v>
                      </c:pt>
                      <c:pt idx="3242">
                        <c:v>22.513888888890506</c:v>
                      </c:pt>
                      <c:pt idx="3243">
                        <c:v>22.520833333335759</c:v>
                      </c:pt>
                      <c:pt idx="3244">
                        <c:v>22.527777777781012</c:v>
                      </c:pt>
                      <c:pt idx="3245">
                        <c:v>22.534722222218988</c:v>
                      </c:pt>
                      <c:pt idx="3246">
                        <c:v>22.541666666664241</c:v>
                      </c:pt>
                      <c:pt idx="3247">
                        <c:v>22.548611111109494</c:v>
                      </c:pt>
                      <c:pt idx="3248">
                        <c:v>22.555555555554747</c:v>
                      </c:pt>
                      <c:pt idx="3249">
                        <c:v>22.5625</c:v>
                      </c:pt>
                      <c:pt idx="3250">
                        <c:v>22.569444444445253</c:v>
                      </c:pt>
                      <c:pt idx="3251">
                        <c:v>22.576388888890506</c:v>
                      </c:pt>
                      <c:pt idx="3252">
                        <c:v>22.583333333335759</c:v>
                      </c:pt>
                      <c:pt idx="3253">
                        <c:v>22.590277777781012</c:v>
                      </c:pt>
                      <c:pt idx="3254">
                        <c:v>22.597222222218988</c:v>
                      </c:pt>
                      <c:pt idx="3255">
                        <c:v>22.604166666664241</c:v>
                      </c:pt>
                      <c:pt idx="3256">
                        <c:v>22.611111111109494</c:v>
                      </c:pt>
                      <c:pt idx="3257">
                        <c:v>22.618055555554747</c:v>
                      </c:pt>
                      <c:pt idx="3258">
                        <c:v>22.625</c:v>
                      </c:pt>
                      <c:pt idx="3259">
                        <c:v>22.631944444445253</c:v>
                      </c:pt>
                      <c:pt idx="3260">
                        <c:v>22.638888888890506</c:v>
                      </c:pt>
                      <c:pt idx="3261">
                        <c:v>22.645833333335759</c:v>
                      </c:pt>
                      <c:pt idx="3262">
                        <c:v>22.652777777781012</c:v>
                      </c:pt>
                      <c:pt idx="3263">
                        <c:v>22.659722222218988</c:v>
                      </c:pt>
                      <c:pt idx="3264">
                        <c:v>22.666666666664241</c:v>
                      </c:pt>
                      <c:pt idx="3265">
                        <c:v>22.673611111109494</c:v>
                      </c:pt>
                      <c:pt idx="3266">
                        <c:v>22.680555555554747</c:v>
                      </c:pt>
                      <c:pt idx="3267">
                        <c:v>22.6875</c:v>
                      </c:pt>
                      <c:pt idx="3268">
                        <c:v>22.694444444445253</c:v>
                      </c:pt>
                      <c:pt idx="3269">
                        <c:v>22.701388888890506</c:v>
                      </c:pt>
                      <c:pt idx="3270">
                        <c:v>22.708333333335759</c:v>
                      </c:pt>
                      <c:pt idx="3271">
                        <c:v>22.715277777781012</c:v>
                      </c:pt>
                      <c:pt idx="3272">
                        <c:v>22.722222222218988</c:v>
                      </c:pt>
                      <c:pt idx="3273">
                        <c:v>22.729166666664241</c:v>
                      </c:pt>
                      <c:pt idx="3274">
                        <c:v>22.736111111109494</c:v>
                      </c:pt>
                      <c:pt idx="3275">
                        <c:v>22.743055555554747</c:v>
                      </c:pt>
                      <c:pt idx="3276">
                        <c:v>22.75</c:v>
                      </c:pt>
                      <c:pt idx="3277">
                        <c:v>22.756944444445253</c:v>
                      </c:pt>
                      <c:pt idx="3278">
                        <c:v>22.763888888890506</c:v>
                      </c:pt>
                      <c:pt idx="3279">
                        <c:v>22.770833333335759</c:v>
                      </c:pt>
                      <c:pt idx="3280">
                        <c:v>22.777777777781012</c:v>
                      </c:pt>
                      <c:pt idx="3281">
                        <c:v>22.784722222218988</c:v>
                      </c:pt>
                      <c:pt idx="3282">
                        <c:v>22.791666666664241</c:v>
                      </c:pt>
                      <c:pt idx="3283">
                        <c:v>22.798611111109494</c:v>
                      </c:pt>
                      <c:pt idx="3284">
                        <c:v>22.805555555554747</c:v>
                      </c:pt>
                      <c:pt idx="3285">
                        <c:v>22.8125</c:v>
                      </c:pt>
                      <c:pt idx="3286">
                        <c:v>22.819444444445253</c:v>
                      </c:pt>
                      <c:pt idx="3287">
                        <c:v>22.826388888890506</c:v>
                      </c:pt>
                      <c:pt idx="3288">
                        <c:v>22.833333333335759</c:v>
                      </c:pt>
                      <c:pt idx="3289">
                        <c:v>22.840277777781012</c:v>
                      </c:pt>
                      <c:pt idx="3290">
                        <c:v>22.847222222218988</c:v>
                      </c:pt>
                      <c:pt idx="3291">
                        <c:v>22.854166666664241</c:v>
                      </c:pt>
                      <c:pt idx="3292">
                        <c:v>22.861111111109494</c:v>
                      </c:pt>
                      <c:pt idx="3293">
                        <c:v>22.868055555554747</c:v>
                      </c:pt>
                      <c:pt idx="3294">
                        <c:v>22.875</c:v>
                      </c:pt>
                      <c:pt idx="3295">
                        <c:v>22.881944444445253</c:v>
                      </c:pt>
                      <c:pt idx="3296">
                        <c:v>22.888888888890506</c:v>
                      </c:pt>
                      <c:pt idx="3297">
                        <c:v>22.895833333335759</c:v>
                      </c:pt>
                      <c:pt idx="3298">
                        <c:v>22.902777777781012</c:v>
                      </c:pt>
                      <c:pt idx="3299">
                        <c:v>22.909722222218988</c:v>
                      </c:pt>
                      <c:pt idx="3300">
                        <c:v>22.916666666664241</c:v>
                      </c:pt>
                      <c:pt idx="3301">
                        <c:v>22.923611111109494</c:v>
                      </c:pt>
                      <c:pt idx="3302">
                        <c:v>22.930555555554747</c:v>
                      </c:pt>
                      <c:pt idx="3303">
                        <c:v>22.9375</c:v>
                      </c:pt>
                      <c:pt idx="3304">
                        <c:v>22.944444444445253</c:v>
                      </c:pt>
                      <c:pt idx="3305">
                        <c:v>22.951388888890506</c:v>
                      </c:pt>
                      <c:pt idx="3306">
                        <c:v>22.958333333335759</c:v>
                      </c:pt>
                      <c:pt idx="3307">
                        <c:v>22.965277777781012</c:v>
                      </c:pt>
                      <c:pt idx="3308">
                        <c:v>22.972222222218988</c:v>
                      </c:pt>
                      <c:pt idx="3309">
                        <c:v>22.979166666664241</c:v>
                      </c:pt>
                      <c:pt idx="3310">
                        <c:v>22.986111111109494</c:v>
                      </c:pt>
                      <c:pt idx="3311">
                        <c:v>22.993055555554747</c:v>
                      </c:pt>
                      <c:pt idx="3312">
                        <c:v>23</c:v>
                      </c:pt>
                      <c:pt idx="3313">
                        <c:v>23.006944444445253</c:v>
                      </c:pt>
                      <c:pt idx="3314">
                        <c:v>23.013888888890506</c:v>
                      </c:pt>
                      <c:pt idx="3315">
                        <c:v>23.020833333335759</c:v>
                      </c:pt>
                      <c:pt idx="3316">
                        <c:v>23.027777777781012</c:v>
                      </c:pt>
                      <c:pt idx="3317">
                        <c:v>23.034722222218988</c:v>
                      </c:pt>
                      <c:pt idx="3318">
                        <c:v>23.041666666664241</c:v>
                      </c:pt>
                      <c:pt idx="3319">
                        <c:v>23.048611111109494</c:v>
                      </c:pt>
                      <c:pt idx="3320">
                        <c:v>23.055555555554747</c:v>
                      </c:pt>
                      <c:pt idx="3321">
                        <c:v>23.0625</c:v>
                      </c:pt>
                      <c:pt idx="3322">
                        <c:v>23.069444444445253</c:v>
                      </c:pt>
                      <c:pt idx="3323">
                        <c:v>23.076388888890506</c:v>
                      </c:pt>
                      <c:pt idx="3324">
                        <c:v>23.083333333335759</c:v>
                      </c:pt>
                      <c:pt idx="3325">
                        <c:v>23.090277777781012</c:v>
                      </c:pt>
                      <c:pt idx="3326">
                        <c:v>23.097222222218988</c:v>
                      </c:pt>
                      <c:pt idx="3327">
                        <c:v>23.104166666664241</c:v>
                      </c:pt>
                      <c:pt idx="3328">
                        <c:v>23.111111111109494</c:v>
                      </c:pt>
                      <c:pt idx="3329">
                        <c:v>23.118055555554747</c:v>
                      </c:pt>
                      <c:pt idx="3330">
                        <c:v>23.125</c:v>
                      </c:pt>
                      <c:pt idx="3331">
                        <c:v>23.131944444445253</c:v>
                      </c:pt>
                      <c:pt idx="3332">
                        <c:v>23.138888888890506</c:v>
                      </c:pt>
                      <c:pt idx="3333">
                        <c:v>23.145833333335759</c:v>
                      </c:pt>
                      <c:pt idx="3334">
                        <c:v>23.152777777781012</c:v>
                      </c:pt>
                      <c:pt idx="3335">
                        <c:v>23.159722222218988</c:v>
                      </c:pt>
                      <c:pt idx="3336">
                        <c:v>23.166666666664241</c:v>
                      </c:pt>
                      <c:pt idx="3337">
                        <c:v>23.173611111109494</c:v>
                      </c:pt>
                      <c:pt idx="3338">
                        <c:v>23.180555555554747</c:v>
                      </c:pt>
                      <c:pt idx="3339">
                        <c:v>23.1875</c:v>
                      </c:pt>
                      <c:pt idx="3340">
                        <c:v>23.194444444445253</c:v>
                      </c:pt>
                      <c:pt idx="3341">
                        <c:v>23.201388888890506</c:v>
                      </c:pt>
                      <c:pt idx="3342">
                        <c:v>23.208333333335759</c:v>
                      </c:pt>
                      <c:pt idx="3343">
                        <c:v>23.215277777781012</c:v>
                      </c:pt>
                      <c:pt idx="3344">
                        <c:v>23.222222222218988</c:v>
                      </c:pt>
                      <c:pt idx="3345">
                        <c:v>23.229166666664241</c:v>
                      </c:pt>
                      <c:pt idx="3346">
                        <c:v>23.236111111109494</c:v>
                      </c:pt>
                      <c:pt idx="3347">
                        <c:v>23.243055555554747</c:v>
                      </c:pt>
                      <c:pt idx="3348">
                        <c:v>23.25</c:v>
                      </c:pt>
                      <c:pt idx="3349">
                        <c:v>23.256944444445253</c:v>
                      </c:pt>
                      <c:pt idx="3350">
                        <c:v>23.263888888890506</c:v>
                      </c:pt>
                      <c:pt idx="3351">
                        <c:v>23.270833333335759</c:v>
                      </c:pt>
                      <c:pt idx="3352">
                        <c:v>23.277777777781012</c:v>
                      </c:pt>
                      <c:pt idx="3353">
                        <c:v>23.284722222218988</c:v>
                      </c:pt>
                      <c:pt idx="3354">
                        <c:v>23.291666666664241</c:v>
                      </c:pt>
                      <c:pt idx="3355">
                        <c:v>23.298611111109494</c:v>
                      </c:pt>
                      <c:pt idx="3356">
                        <c:v>23.305555555554747</c:v>
                      </c:pt>
                      <c:pt idx="3357">
                        <c:v>23.3125</c:v>
                      </c:pt>
                      <c:pt idx="3358">
                        <c:v>23.319444444445253</c:v>
                      </c:pt>
                      <c:pt idx="3359">
                        <c:v>23.326388888890506</c:v>
                      </c:pt>
                      <c:pt idx="3360">
                        <c:v>23.333333333335759</c:v>
                      </c:pt>
                      <c:pt idx="3361">
                        <c:v>23.340277777781012</c:v>
                      </c:pt>
                      <c:pt idx="3362">
                        <c:v>23.347222222218988</c:v>
                      </c:pt>
                      <c:pt idx="3363">
                        <c:v>23.354166666664241</c:v>
                      </c:pt>
                      <c:pt idx="3364">
                        <c:v>23.361111111109494</c:v>
                      </c:pt>
                      <c:pt idx="3365">
                        <c:v>23.368055555554747</c:v>
                      </c:pt>
                      <c:pt idx="3366">
                        <c:v>23.375</c:v>
                      </c:pt>
                      <c:pt idx="3367">
                        <c:v>23.381944444445253</c:v>
                      </c:pt>
                      <c:pt idx="3368">
                        <c:v>23.388888888890506</c:v>
                      </c:pt>
                      <c:pt idx="3369">
                        <c:v>23.395833333335759</c:v>
                      </c:pt>
                      <c:pt idx="3370">
                        <c:v>23.402777777781012</c:v>
                      </c:pt>
                      <c:pt idx="3371">
                        <c:v>23.409722222218988</c:v>
                      </c:pt>
                      <c:pt idx="3372">
                        <c:v>23.416666666664241</c:v>
                      </c:pt>
                      <c:pt idx="3373">
                        <c:v>23.423611111109494</c:v>
                      </c:pt>
                      <c:pt idx="3374">
                        <c:v>23.430555555554747</c:v>
                      </c:pt>
                      <c:pt idx="3375">
                        <c:v>23.4375</c:v>
                      </c:pt>
                      <c:pt idx="3376">
                        <c:v>23.444444444445253</c:v>
                      </c:pt>
                      <c:pt idx="3377">
                        <c:v>23.451388888890506</c:v>
                      </c:pt>
                      <c:pt idx="3378">
                        <c:v>23.458333333335759</c:v>
                      </c:pt>
                      <c:pt idx="3379">
                        <c:v>23.465277777781012</c:v>
                      </c:pt>
                      <c:pt idx="3380">
                        <c:v>23.472222222218988</c:v>
                      </c:pt>
                      <c:pt idx="3381">
                        <c:v>23.479166666664241</c:v>
                      </c:pt>
                      <c:pt idx="3382">
                        <c:v>23.486111111109494</c:v>
                      </c:pt>
                      <c:pt idx="3383">
                        <c:v>23.493055555554747</c:v>
                      </c:pt>
                      <c:pt idx="3384">
                        <c:v>23.5</c:v>
                      </c:pt>
                      <c:pt idx="3385">
                        <c:v>23.506944444445253</c:v>
                      </c:pt>
                      <c:pt idx="3386">
                        <c:v>23.513888888890506</c:v>
                      </c:pt>
                      <c:pt idx="3387">
                        <c:v>23.520833333335759</c:v>
                      </c:pt>
                      <c:pt idx="3388">
                        <c:v>23.527777777781012</c:v>
                      </c:pt>
                      <c:pt idx="3389">
                        <c:v>23.534722222218988</c:v>
                      </c:pt>
                      <c:pt idx="3390">
                        <c:v>23.541666666664241</c:v>
                      </c:pt>
                      <c:pt idx="3391">
                        <c:v>23.548611111109494</c:v>
                      </c:pt>
                      <c:pt idx="3392">
                        <c:v>23.555555555554747</c:v>
                      </c:pt>
                      <c:pt idx="3393">
                        <c:v>23.5625</c:v>
                      </c:pt>
                      <c:pt idx="3394">
                        <c:v>23.569444444445253</c:v>
                      </c:pt>
                      <c:pt idx="3395">
                        <c:v>23.576388888890506</c:v>
                      </c:pt>
                      <c:pt idx="3396">
                        <c:v>23.583333333335759</c:v>
                      </c:pt>
                      <c:pt idx="3397">
                        <c:v>23.590277777781012</c:v>
                      </c:pt>
                      <c:pt idx="3398">
                        <c:v>23.597222222218988</c:v>
                      </c:pt>
                      <c:pt idx="3399">
                        <c:v>23.604166666664241</c:v>
                      </c:pt>
                      <c:pt idx="3400">
                        <c:v>23.611111111109494</c:v>
                      </c:pt>
                      <c:pt idx="3401">
                        <c:v>23.618055555554747</c:v>
                      </c:pt>
                      <c:pt idx="3402">
                        <c:v>23.625</c:v>
                      </c:pt>
                      <c:pt idx="3403">
                        <c:v>23.631944444445253</c:v>
                      </c:pt>
                      <c:pt idx="3404">
                        <c:v>23.638888888890506</c:v>
                      </c:pt>
                      <c:pt idx="3405">
                        <c:v>23.645833333335759</c:v>
                      </c:pt>
                      <c:pt idx="3406">
                        <c:v>23.652777777781012</c:v>
                      </c:pt>
                      <c:pt idx="3407">
                        <c:v>23.659722222218988</c:v>
                      </c:pt>
                      <c:pt idx="3408">
                        <c:v>23.666666666664241</c:v>
                      </c:pt>
                      <c:pt idx="3409">
                        <c:v>23.673611111109494</c:v>
                      </c:pt>
                      <c:pt idx="3410">
                        <c:v>23.680555555554747</c:v>
                      </c:pt>
                      <c:pt idx="3411">
                        <c:v>23.6875</c:v>
                      </c:pt>
                      <c:pt idx="3412">
                        <c:v>23.694444444445253</c:v>
                      </c:pt>
                      <c:pt idx="3413">
                        <c:v>23.701388888890506</c:v>
                      </c:pt>
                      <c:pt idx="3414">
                        <c:v>23.708333333335759</c:v>
                      </c:pt>
                      <c:pt idx="3415">
                        <c:v>23.715277777781012</c:v>
                      </c:pt>
                      <c:pt idx="3416">
                        <c:v>23.722222222218988</c:v>
                      </c:pt>
                      <c:pt idx="3417">
                        <c:v>23.729166666664241</c:v>
                      </c:pt>
                      <c:pt idx="3418">
                        <c:v>23.736111111109494</c:v>
                      </c:pt>
                      <c:pt idx="3419">
                        <c:v>23.743055555554747</c:v>
                      </c:pt>
                      <c:pt idx="3420">
                        <c:v>23.75</c:v>
                      </c:pt>
                      <c:pt idx="3421">
                        <c:v>23.756944444445253</c:v>
                      </c:pt>
                      <c:pt idx="3422">
                        <c:v>23.763888888890506</c:v>
                      </c:pt>
                      <c:pt idx="3423">
                        <c:v>23.770833333335759</c:v>
                      </c:pt>
                      <c:pt idx="3424">
                        <c:v>23.777777777781012</c:v>
                      </c:pt>
                      <c:pt idx="3425">
                        <c:v>23.784722222218988</c:v>
                      </c:pt>
                      <c:pt idx="3426">
                        <c:v>23.791666666664241</c:v>
                      </c:pt>
                      <c:pt idx="3427">
                        <c:v>23.798611111109494</c:v>
                      </c:pt>
                      <c:pt idx="3428">
                        <c:v>23.805555555554747</c:v>
                      </c:pt>
                      <c:pt idx="3429">
                        <c:v>23.8125</c:v>
                      </c:pt>
                      <c:pt idx="3430">
                        <c:v>23.819444444445253</c:v>
                      </c:pt>
                      <c:pt idx="3431">
                        <c:v>23.826388888890506</c:v>
                      </c:pt>
                      <c:pt idx="3432">
                        <c:v>23.833333333335759</c:v>
                      </c:pt>
                      <c:pt idx="3433">
                        <c:v>23.840277777781012</c:v>
                      </c:pt>
                      <c:pt idx="3434">
                        <c:v>23.847222222218988</c:v>
                      </c:pt>
                      <c:pt idx="3435">
                        <c:v>23.854166666664241</c:v>
                      </c:pt>
                      <c:pt idx="3436">
                        <c:v>23.861111111109494</c:v>
                      </c:pt>
                      <c:pt idx="3437">
                        <c:v>23.868055555554747</c:v>
                      </c:pt>
                      <c:pt idx="3438">
                        <c:v>23.875</c:v>
                      </c:pt>
                      <c:pt idx="3439">
                        <c:v>23.881944444445253</c:v>
                      </c:pt>
                      <c:pt idx="3440">
                        <c:v>23.888888888890506</c:v>
                      </c:pt>
                      <c:pt idx="3441">
                        <c:v>23.895833333335759</c:v>
                      </c:pt>
                      <c:pt idx="3442">
                        <c:v>23.902777777781012</c:v>
                      </c:pt>
                      <c:pt idx="3443">
                        <c:v>23.909722222218988</c:v>
                      </c:pt>
                      <c:pt idx="3444">
                        <c:v>23.916666666664241</c:v>
                      </c:pt>
                      <c:pt idx="3445">
                        <c:v>23.923611111109494</c:v>
                      </c:pt>
                      <c:pt idx="3446">
                        <c:v>23.930555555554747</c:v>
                      </c:pt>
                      <c:pt idx="3447">
                        <c:v>23.9375</c:v>
                      </c:pt>
                      <c:pt idx="3448">
                        <c:v>23.944444444445253</c:v>
                      </c:pt>
                      <c:pt idx="3449">
                        <c:v>23.951388888890506</c:v>
                      </c:pt>
                      <c:pt idx="3450">
                        <c:v>23.958333333335759</c:v>
                      </c:pt>
                      <c:pt idx="3451">
                        <c:v>23.965277777781012</c:v>
                      </c:pt>
                      <c:pt idx="3452">
                        <c:v>23.972222222218988</c:v>
                      </c:pt>
                      <c:pt idx="3453">
                        <c:v>23.979166666664241</c:v>
                      </c:pt>
                      <c:pt idx="3454">
                        <c:v>23.986111111109494</c:v>
                      </c:pt>
                      <c:pt idx="3455">
                        <c:v>23.993055555554747</c:v>
                      </c:pt>
                      <c:pt idx="3456">
                        <c:v>24</c:v>
                      </c:pt>
                      <c:pt idx="3457">
                        <c:v>24.006944444445253</c:v>
                      </c:pt>
                      <c:pt idx="3458">
                        <c:v>24.013888888890506</c:v>
                      </c:pt>
                      <c:pt idx="3459">
                        <c:v>24.020833333335759</c:v>
                      </c:pt>
                      <c:pt idx="3460">
                        <c:v>24.027777777781012</c:v>
                      </c:pt>
                      <c:pt idx="3461">
                        <c:v>24.034722222218988</c:v>
                      </c:pt>
                      <c:pt idx="3462">
                        <c:v>24.041666666664241</c:v>
                      </c:pt>
                      <c:pt idx="3463">
                        <c:v>24.048611111109494</c:v>
                      </c:pt>
                      <c:pt idx="3464">
                        <c:v>24.055555555554747</c:v>
                      </c:pt>
                      <c:pt idx="3465">
                        <c:v>24.0625</c:v>
                      </c:pt>
                      <c:pt idx="3466">
                        <c:v>24.069444444445253</c:v>
                      </c:pt>
                      <c:pt idx="3467">
                        <c:v>24.076388888890506</c:v>
                      </c:pt>
                      <c:pt idx="3468">
                        <c:v>24.083333333335759</c:v>
                      </c:pt>
                      <c:pt idx="3469">
                        <c:v>24.090277777781012</c:v>
                      </c:pt>
                      <c:pt idx="3470">
                        <c:v>24.097222222218988</c:v>
                      </c:pt>
                      <c:pt idx="3471">
                        <c:v>24.104166666664241</c:v>
                      </c:pt>
                      <c:pt idx="3472">
                        <c:v>24.111111111109494</c:v>
                      </c:pt>
                      <c:pt idx="3473">
                        <c:v>24.118055555554747</c:v>
                      </c:pt>
                      <c:pt idx="3474">
                        <c:v>24.125</c:v>
                      </c:pt>
                      <c:pt idx="3475">
                        <c:v>24.131944444445253</c:v>
                      </c:pt>
                      <c:pt idx="3476">
                        <c:v>24.138888888890506</c:v>
                      </c:pt>
                      <c:pt idx="3477">
                        <c:v>24.145833333335759</c:v>
                      </c:pt>
                      <c:pt idx="3478">
                        <c:v>24.152777777781012</c:v>
                      </c:pt>
                      <c:pt idx="3479">
                        <c:v>24.159722222218988</c:v>
                      </c:pt>
                      <c:pt idx="3480">
                        <c:v>24.166666666664241</c:v>
                      </c:pt>
                      <c:pt idx="3481">
                        <c:v>24.173611111109494</c:v>
                      </c:pt>
                      <c:pt idx="3482">
                        <c:v>24.180555555554747</c:v>
                      </c:pt>
                      <c:pt idx="3483">
                        <c:v>24.1875</c:v>
                      </c:pt>
                      <c:pt idx="3484">
                        <c:v>24.194444444445253</c:v>
                      </c:pt>
                      <c:pt idx="3485">
                        <c:v>24.201388888890506</c:v>
                      </c:pt>
                      <c:pt idx="3486">
                        <c:v>24.208333333335759</c:v>
                      </c:pt>
                      <c:pt idx="3487">
                        <c:v>24.215277777781012</c:v>
                      </c:pt>
                      <c:pt idx="3488">
                        <c:v>24.222222222218988</c:v>
                      </c:pt>
                      <c:pt idx="3489">
                        <c:v>24.229166666664241</c:v>
                      </c:pt>
                      <c:pt idx="3490">
                        <c:v>24.236111111109494</c:v>
                      </c:pt>
                      <c:pt idx="3491">
                        <c:v>24.243055555554747</c:v>
                      </c:pt>
                      <c:pt idx="3492">
                        <c:v>24.25</c:v>
                      </c:pt>
                      <c:pt idx="3493">
                        <c:v>24.256944444445253</c:v>
                      </c:pt>
                      <c:pt idx="3494">
                        <c:v>24.263888888890506</c:v>
                      </c:pt>
                      <c:pt idx="3495">
                        <c:v>24.270833333335759</c:v>
                      </c:pt>
                      <c:pt idx="3496">
                        <c:v>24.277777777781012</c:v>
                      </c:pt>
                      <c:pt idx="3497">
                        <c:v>24.284722222218988</c:v>
                      </c:pt>
                      <c:pt idx="3498">
                        <c:v>24.291666666664241</c:v>
                      </c:pt>
                      <c:pt idx="3499">
                        <c:v>24.298611111109494</c:v>
                      </c:pt>
                      <c:pt idx="3500">
                        <c:v>24.305555555554747</c:v>
                      </c:pt>
                      <c:pt idx="3501">
                        <c:v>24.3125</c:v>
                      </c:pt>
                      <c:pt idx="3502">
                        <c:v>24.319444444445253</c:v>
                      </c:pt>
                      <c:pt idx="3503">
                        <c:v>24.326388888890506</c:v>
                      </c:pt>
                      <c:pt idx="3504">
                        <c:v>24.333333333335759</c:v>
                      </c:pt>
                      <c:pt idx="3505">
                        <c:v>24.340277777781012</c:v>
                      </c:pt>
                      <c:pt idx="3506">
                        <c:v>24.347222222218988</c:v>
                      </c:pt>
                      <c:pt idx="3507">
                        <c:v>24.354166666664241</c:v>
                      </c:pt>
                      <c:pt idx="3508">
                        <c:v>24.361111111109494</c:v>
                      </c:pt>
                      <c:pt idx="3509">
                        <c:v>24.368055555554747</c:v>
                      </c:pt>
                      <c:pt idx="3510">
                        <c:v>24.375</c:v>
                      </c:pt>
                      <c:pt idx="3511">
                        <c:v>24.381944444445253</c:v>
                      </c:pt>
                      <c:pt idx="3512">
                        <c:v>24.388888888890506</c:v>
                      </c:pt>
                      <c:pt idx="3513">
                        <c:v>24.395833333335759</c:v>
                      </c:pt>
                      <c:pt idx="3514">
                        <c:v>24.402777777781012</c:v>
                      </c:pt>
                      <c:pt idx="3515">
                        <c:v>24.409722222218988</c:v>
                      </c:pt>
                      <c:pt idx="3516">
                        <c:v>24.416666666664241</c:v>
                      </c:pt>
                      <c:pt idx="3517">
                        <c:v>24.423611111109494</c:v>
                      </c:pt>
                      <c:pt idx="3518">
                        <c:v>24.430555555554747</c:v>
                      </c:pt>
                      <c:pt idx="3519">
                        <c:v>24.4375</c:v>
                      </c:pt>
                      <c:pt idx="3520">
                        <c:v>24.444444444445253</c:v>
                      </c:pt>
                      <c:pt idx="3521">
                        <c:v>24.451388888890506</c:v>
                      </c:pt>
                      <c:pt idx="3522">
                        <c:v>24.458333333335759</c:v>
                      </c:pt>
                      <c:pt idx="3523">
                        <c:v>24.465277777781012</c:v>
                      </c:pt>
                      <c:pt idx="3524">
                        <c:v>24.472222222218988</c:v>
                      </c:pt>
                      <c:pt idx="3525">
                        <c:v>24.479166666664241</c:v>
                      </c:pt>
                      <c:pt idx="3526">
                        <c:v>24.486111111109494</c:v>
                      </c:pt>
                      <c:pt idx="3527">
                        <c:v>24.493055555554747</c:v>
                      </c:pt>
                      <c:pt idx="3528">
                        <c:v>24.5</c:v>
                      </c:pt>
                      <c:pt idx="3529">
                        <c:v>24.506944444445253</c:v>
                      </c:pt>
                      <c:pt idx="3530">
                        <c:v>24.513888888890506</c:v>
                      </c:pt>
                      <c:pt idx="3531">
                        <c:v>24.520833333335759</c:v>
                      </c:pt>
                      <c:pt idx="3532">
                        <c:v>24.527777777781012</c:v>
                      </c:pt>
                      <c:pt idx="3533">
                        <c:v>24.534722222218988</c:v>
                      </c:pt>
                      <c:pt idx="3534">
                        <c:v>24.541666666664241</c:v>
                      </c:pt>
                      <c:pt idx="3535">
                        <c:v>24.548611111109494</c:v>
                      </c:pt>
                      <c:pt idx="3536">
                        <c:v>24.555555555554747</c:v>
                      </c:pt>
                      <c:pt idx="3537">
                        <c:v>24.5625</c:v>
                      </c:pt>
                      <c:pt idx="3538">
                        <c:v>24.569444444445253</c:v>
                      </c:pt>
                      <c:pt idx="3539">
                        <c:v>24.576388888890506</c:v>
                      </c:pt>
                      <c:pt idx="3540">
                        <c:v>24.583333333335759</c:v>
                      </c:pt>
                      <c:pt idx="3541">
                        <c:v>24.590277777781012</c:v>
                      </c:pt>
                      <c:pt idx="3542">
                        <c:v>24.597222222218988</c:v>
                      </c:pt>
                      <c:pt idx="3543">
                        <c:v>24.604166666664241</c:v>
                      </c:pt>
                      <c:pt idx="3544">
                        <c:v>24.611111111109494</c:v>
                      </c:pt>
                      <c:pt idx="3545">
                        <c:v>24.618055555554747</c:v>
                      </c:pt>
                      <c:pt idx="3546">
                        <c:v>24.625</c:v>
                      </c:pt>
                      <c:pt idx="3547">
                        <c:v>24.631944444445253</c:v>
                      </c:pt>
                      <c:pt idx="3548">
                        <c:v>24.638888888890506</c:v>
                      </c:pt>
                      <c:pt idx="3549">
                        <c:v>24.645833333335759</c:v>
                      </c:pt>
                      <c:pt idx="3550">
                        <c:v>24.652777777781012</c:v>
                      </c:pt>
                      <c:pt idx="3551">
                        <c:v>24.659722222218988</c:v>
                      </c:pt>
                      <c:pt idx="3552">
                        <c:v>24.666666666664241</c:v>
                      </c:pt>
                      <c:pt idx="3553">
                        <c:v>24.673611111109494</c:v>
                      </c:pt>
                      <c:pt idx="3554">
                        <c:v>24.680555555554747</c:v>
                      </c:pt>
                      <c:pt idx="3555">
                        <c:v>24.6875</c:v>
                      </c:pt>
                      <c:pt idx="3556">
                        <c:v>24.694444444445253</c:v>
                      </c:pt>
                      <c:pt idx="3557">
                        <c:v>24.701388888890506</c:v>
                      </c:pt>
                      <c:pt idx="3558">
                        <c:v>24.708333333335759</c:v>
                      </c:pt>
                      <c:pt idx="3559">
                        <c:v>24.715277777781012</c:v>
                      </c:pt>
                      <c:pt idx="3560">
                        <c:v>24.722222222218988</c:v>
                      </c:pt>
                      <c:pt idx="3561">
                        <c:v>24.729166666664241</c:v>
                      </c:pt>
                      <c:pt idx="3562">
                        <c:v>24.736111111109494</c:v>
                      </c:pt>
                      <c:pt idx="3563">
                        <c:v>24.743055555554747</c:v>
                      </c:pt>
                      <c:pt idx="3564">
                        <c:v>24.75</c:v>
                      </c:pt>
                      <c:pt idx="3565">
                        <c:v>24.756944444445253</c:v>
                      </c:pt>
                      <c:pt idx="3566">
                        <c:v>24.763888888890506</c:v>
                      </c:pt>
                      <c:pt idx="3567">
                        <c:v>24.770833333335759</c:v>
                      </c:pt>
                      <c:pt idx="3568">
                        <c:v>24.777777777781012</c:v>
                      </c:pt>
                      <c:pt idx="3569">
                        <c:v>24.784722222218988</c:v>
                      </c:pt>
                      <c:pt idx="3570">
                        <c:v>24.791666666664241</c:v>
                      </c:pt>
                      <c:pt idx="3571">
                        <c:v>24.798611111109494</c:v>
                      </c:pt>
                      <c:pt idx="3572">
                        <c:v>24.805555555554747</c:v>
                      </c:pt>
                      <c:pt idx="3573">
                        <c:v>24.8125</c:v>
                      </c:pt>
                      <c:pt idx="3574">
                        <c:v>24.819444444445253</c:v>
                      </c:pt>
                      <c:pt idx="3575">
                        <c:v>24.826388888890506</c:v>
                      </c:pt>
                      <c:pt idx="3576">
                        <c:v>24.833333333335759</c:v>
                      </c:pt>
                      <c:pt idx="3577">
                        <c:v>24.840277777781012</c:v>
                      </c:pt>
                      <c:pt idx="3578">
                        <c:v>24.847222222218988</c:v>
                      </c:pt>
                      <c:pt idx="3579">
                        <c:v>24.854166666664241</c:v>
                      </c:pt>
                      <c:pt idx="3580">
                        <c:v>24.861111111109494</c:v>
                      </c:pt>
                      <c:pt idx="3581">
                        <c:v>24.868055555554747</c:v>
                      </c:pt>
                      <c:pt idx="3582">
                        <c:v>24.875</c:v>
                      </c:pt>
                      <c:pt idx="3583">
                        <c:v>24.881944444445253</c:v>
                      </c:pt>
                      <c:pt idx="3584">
                        <c:v>24.888888888890506</c:v>
                      </c:pt>
                      <c:pt idx="3585">
                        <c:v>24.895833333335759</c:v>
                      </c:pt>
                      <c:pt idx="3586">
                        <c:v>24.902777777781012</c:v>
                      </c:pt>
                      <c:pt idx="3587">
                        <c:v>24.909722222218988</c:v>
                      </c:pt>
                      <c:pt idx="3588">
                        <c:v>24.916666666664241</c:v>
                      </c:pt>
                      <c:pt idx="3589">
                        <c:v>24.923611111109494</c:v>
                      </c:pt>
                      <c:pt idx="3590">
                        <c:v>24.930555555554747</c:v>
                      </c:pt>
                      <c:pt idx="3591">
                        <c:v>24.9375</c:v>
                      </c:pt>
                      <c:pt idx="3592">
                        <c:v>24.944444444445253</c:v>
                      </c:pt>
                      <c:pt idx="3593">
                        <c:v>24.951388888890506</c:v>
                      </c:pt>
                      <c:pt idx="3594">
                        <c:v>24.958333333335759</c:v>
                      </c:pt>
                      <c:pt idx="3595">
                        <c:v>24.965277777781012</c:v>
                      </c:pt>
                      <c:pt idx="3596">
                        <c:v>24.972222222218988</c:v>
                      </c:pt>
                      <c:pt idx="3597">
                        <c:v>24.979166666664241</c:v>
                      </c:pt>
                      <c:pt idx="3598">
                        <c:v>24.986111111109494</c:v>
                      </c:pt>
                      <c:pt idx="3599">
                        <c:v>24.993055555554747</c:v>
                      </c:pt>
                      <c:pt idx="3600">
                        <c:v>25</c:v>
                      </c:pt>
                      <c:pt idx="3601">
                        <c:v>25.006944444445253</c:v>
                      </c:pt>
                      <c:pt idx="3602">
                        <c:v>25.013888888890506</c:v>
                      </c:pt>
                      <c:pt idx="3603">
                        <c:v>25.020833333335759</c:v>
                      </c:pt>
                      <c:pt idx="3604">
                        <c:v>25.027777777781012</c:v>
                      </c:pt>
                      <c:pt idx="3605">
                        <c:v>25.034722222218988</c:v>
                      </c:pt>
                      <c:pt idx="3606">
                        <c:v>25.041666666664241</c:v>
                      </c:pt>
                      <c:pt idx="3607">
                        <c:v>25.048611111109494</c:v>
                      </c:pt>
                      <c:pt idx="3608">
                        <c:v>25.055555555554747</c:v>
                      </c:pt>
                      <c:pt idx="3609">
                        <c:v>25.0625</c:v>
                      </c:pt>
                      <c:pt idx="3610">
                        <c:v>25.069444444445253</c:v>
                      </c:pt>
                      <c:pt idx="3611">
                        <c:v>25.076388888890506</c:v>
                      </c:pt>
                      <c:pt idx="3612">
                        <c:v>25.083333333335759</c:v>
                      </c:pt>
                      <c:pt idx="3613">
                        <c:v>25.090277777781012</c:v>
                      </c:pt>
                      <c:pt idx="3614">
                        <c:v>25.097222222218988</c:v>
                      </c:pt>
                      <c:pt idx="3615">
                        <c:v>25.104166666664241</c:v>
                      </c:pt>
                      <c:pt idx="3616">
                        <c:v>25.111111111109494</c:v>
                      </c:pt>
                      <c:pt idx="3617">
                        <c:v>25.118055555554747</c:v>
                      </c:pt>
                      <c:pt idx="3618">
                        <c:v>25.125</c:v>
                      </c:pt>
                      <c:pt idx="3619">
                        <c:v>25.131944444445253</c:v>
                      </c:pt>
                      <c:pt idx="3620">
                        <c:v>25.138888888890506</c:v>
                      </c:pt>
                      <c:pt idx="3621">
                        <c:v>25.145833333335759</c:v>
                      </c:pt>
                      <c:pt idx="3622">
                        <c:v>25.152777777781012</c:v>
                      </c:pt>
                      <c:pt idx="3623">
                        <c:v>25.159722222218988</c:v>
                      </c:pt>
                      <c:pt idx="3624">
                        <c:v>25.166666666664241</c:v>
                      </c:pt>
                      <c:pt idx="3625">
                        <c:v>25.173611111109494</c:v>
                      </c:pt>
                      <c:pt idx="3626">
                        <c:v>25.180555555554747</c:v>
                      </c:pt>
                      <c:pt idx="3627">
                        <c:v>25.1875</c:v>
                      </c:pt>
                      <c:pt idx="3628">
                        <c:v>25.194444444445253</c:v>
                      </c:pt>
                      <c:pt idx="3629">
                        <c:v>25.201388888890506</c:v>
                      </c:pt>
                      <c:pt idx="3630">
                        <c:v>25.208333333335759</c:v>
                      </c:pt>
                      <c:pt idx="3631">
                        <c:v>25.215277777781012</c:v>
                      </c:pt>
                      <c:pt idx="3632">
                        <c:v>25.222222222218988</c:v>
                      </c:pt>
                      <c:pt idx="3633">
                        <c:v>25.229166666664241</c:v>
                      </c:pt>
                      <c:pt idx="3634">
                        <c:v>25.236111111109494</c:v>
                      </c:pt>
                      <c:pt idx="3635">
                        <c:v>25.243055555554747</c:v>
                      </c:pt>
                      <c:pt idx="3636">
                        <c:v>25.25</c:v>
                      </c:pt>
                      <c:pt idx="3637">
                        <c:v>25.256944444445253</c:v>
                      </c:pt>
                      <c:pt idx="3638">
                        <c:v>25.263888888890506</c:v>
                      </c:pt>
                      <c:pt idx="3639">
                        <c:v>25.270833333335759</c:v>
                      </c:pt>
                      <c:pt idx="3640">
                        <c:v>25.277777777781012</c:v>
                      </c:pt>
                      <c:pt idx="3641">
                        <c:v>25.284722222218988</c:v>
                      </c:pt>
                      <c:pt idx="3642">
                        <c:v>25.291666666664241</c:v>
                      </c:pt>
                      <c:pt idx="3643">
                        <c:v>25.298611111109494</c:v>
                      </c:pt>
                      <c:pt idx="3644">
                        <c:v>25.305555555554747</c:v>
                      </c:pt>
                      <c:pt idx="3645">
                        <c:v>25.3125</c:v>
                      </c:pt>
                      <c:pt idx="3646">
                        <c:v>25.319444444445253</c:v>
                      </c:pt>
                      <c:pt idx="3647">
                        <c:v>25.326388888890506</c:v>
                      </c:pt>
                      <c:pt idx="3648">
                        <c:v>25.333333333335759</c:v>
                      </c:pt>
                      <c:pt idx="3649">
                        <c:v>25.340277777781012</c:v>
                      </c:pt>
                      <c:pt idx="3650">
                        <c:v>25.347222222218988</c:v>
                      </c:pt>
                      <c:pt idx="3651">
                        <c:v>25.354166666664241</c:v>
                      </c:pt>
                      <c:pt idx="3652">
                        <c:v>25.361111111109494</c:v>
                      </c:pt>
                      <c:pt idx="3653">
                        <c:v>25.368055555554747</c:v>
                      </c:pt>
                      <c:pt idx="3654">
                        <c:v>25.375</c:v>
                      </c:pt>
                      <c:pt idx="3655">
                        <c:v>25.381944444445253</c:v>
                      </c:pt>
                      <c:pt idx="3656">
                        <c:v>25.388888888890506</c:v>
                      </c:pt>
                      <c:pt idx="3657">
                        <c:v>25.395833333335759</c:v>
                      </c:pt>
                      <c:pt idx="3658">
                        <c:v>25.402777777781012</c:v>
                      </c:pt>
                      <c:pt idx="3659">
                        <c:v>25.409722222218988</c:v>
                      </c:pt>
                      <c:pt idx="3660">
                        <c:v>25.416666666664241</c:v>
                      </c:pt>
                      <c:pt idx="3661">
                        <c:v>25.423611111109494</c:v>
                      </c:pt>
                      <c:pt idx="3662">
                        <c:v>25.430555555554747</c:v>
                      </c:pt>
                      <c:pt idx="3663">
                        <c:v>25.4375</c:v>
                      </c:pt>
                      <c:pt idx="3664">
                        <c:v>25.444444444445253</c:v>
                      </c:pt>
                      <c:pt idx="3665">
                        <c:v>25.451388888890506</c:v>
                      </c:pt>
                      <c:pt idx="3666">
                        <c:v>25.458333333335759</c:v>
                      </c:pt>
                      <c:pt idx="3667">
                        <c:v>25.465277777781012</c:v>
                      </c:pt>
                      <c:pt idx="3668">
                        <c:v>25.472222222218988</c:v>
                      </c:pt>
                      <c:pt idx="3669">
                        <c:v>25.479166666664241</c:v>
                      </c:pt>
                      <c:pt idx="3670">
                        <c:v>25.486111111109494</c:v>
                      </c:pt>
                      <c:pt idx="3671">
                        <c:v>25.493055555554747</c:v>
                      </c:pt>
                      <c:pt idx="3672">
                        <c:v>25.5</c:v>
                      </c:pt>
                      <c:pt idx="3673">
                        <c:v>25.506944444445253</c:v>
                      </c:pt>
                      <c:pt idx="3674">
                        <c:v>25.513888888890506</c:v>
                      </c:pt>
                      <c:pt idx="3675">
                        <c:v>25.520833333335759</c:v>
                      </c:pt>
                      <c:pt idx="3676">
                        <c:v>25.527777777781012</c:v>
                      </c:pt>
                      <c:pt idx="3677">
                        <c:v>25.534722222218988</c:v>
                      </c:pt>
                      <c:pt idx="3678">
                        <c:v>25.541666666664241</c:v>
                      </c:pt>
                      <c:pt idx="3679">
                        <c:v>25.548611111109494</c:v>
                      </c:pt>
                      <c:pt idx="3680">
                        <c:v>25.555555555554747</c:v>
                      </c:pt>
                      <c:pt idx="3681">
                        <c:v>25.5625</c:v>
                      </c:pt>
                      <c:pt idx="3682">
                        <c:v>25.569444444445253</c:v>
                      </c:pt>
                      <c:pt idx="3683">
                        <c:v>25.576388888890506</c:v>
                      </c:pt>
                      <c:pt idx="3684">
                        <c:v>25.583333333335759</c:v>
                      </c:pt>
                      <c:pt idx="3685">
                        <c:v>25.590277777781012</c:v>
                      </c:pt>
                      <c:pt idx="3686">
                        <c:v>25.597222222218988</c:v>
                      </c:pt>
                      <c:pt idx="3687">
                        <c:v>25.604166666664241</c:v>
                      </c:pt>
                      <c:pt idx="3688">
                        <c:v>25.611111111109494</c:v>
                      </c:pt>
                      <c:pt idx="3689">
                        <c:v>25.618055555554747</c:v>
                      </c:pt>
                      <c:pt idx="3690">
                        <c:v>25.625</c:v>
                      </c:pt>
                      <c:pt idx="3691">
                        <c:v>25.631944444445253</c:v>
                      </c:pt>
                      <c:pt idx="3692">
                        <c:v>25.638888888890506</c:v>
                      </c:pt>
                      <c:pt idx="3693">
                        <c:v>25.645833333335759</c:v>
                      </c:pt>
                      <c:pt idx="3694">
                        <c:v>25.652777777781012</c:v>
                      </c:pt>
                      <c:pt idx="3695">
                        <c:v>25.659722222218988</c:v>
                      </c:pt>
                      <c:pt idx="3696">
                        <c:v>25.666666666664241</c:v>
                      </c:pt>
                      <c:pt idx="3697">
                        <c:v>25.673611111109494</c:v>
                      </c:pt>
                      <c:pt idx="3698">
                        <c:v>25.680555555554747</c:v>
                      </c:pt>
                      <c:pt idx="3699">
                        <c:v>25.6875</c:v>
                      </c:pt>
                      <c:pt idx="3700">
                        <c:v>25.694444444445253</c:v>
                      </c:pt>
                      <c:pt idx="3701">
                        <c:v>25.701388888890506</c:v>
                      </c:pt>
                      <c:pt idx="3702">
                        <c:v>25.708333333335759</c:v>
                      </c:pt>
                      <c:pt idx="3703">
                        <c:v>25.715277777781012</c:v>
                      </c:pt>
                      <c:pt idx="3704">
                        <c:v>25.722222222218988</c:v>
                      </c:pt>
                      <c:pt idx="3705">
                        <c:v>25.729166666664241</c:v>
                      </c:pt>
                      <c:pt idx="3706">
                        <c:v>25.736111111109494</c:v>
                      </c:pt>
                      <c:pt idx="3707">
                        <c:v>25.743055555554747</c:v>
                      </c:pt>
                      <c:pt idx="3708">
                        <c:v>25.75</c:v>
                      </c:pt>
                      <c:pt idx="3709">
                        <c:v>25.756944444445253</c:v>
                      </c:pt>
                      <c:pt idx="3710">
                        <c:v>25.763888888890506</c:v>
                      </c:pt>
                      <c:pt idx="3711">
                        <c:v>25.770833333335759</c:v>
                      </c:pt>
                      <c:pt idx="3712">
                        <c:v>25.777777777781012</c:v>
                      </c:pt>
                      <c:pt idx="3713">
                        <c:v>25.784722222218988</c:v>
                      </c:pt>
                      <c:pt idx="3714">
                        <c:v>25.791666666664241</c:v>
                      </c:pt>
                      <c:pt idx="3715">
                        <c:v>25.798611111109494</c:v>
                      </c:pt>
                      <c:pt idx="3716">
                        <c:v>25.805555555554747</c:v>
                      </c:pt>
                      <c:pt idx="3717">
                        <c:v>25.8125</c:v>
                      </c:pt>
                      <c:pt idx="3718">
                        <c:v>25.819444444445253</c:v>
                      </c:pt>
                      <c:pt idx="3719">
                        <c:v>25.826388888890506</c:v>
                      </c:pt>
                      <c:pt idx="3720">
                        <c:v>25.833333333335759</c:v>
                      </c:pt>
                      <c:pt idx="3721">
                        <c:v>25.840277777781012</c:v>
                      </c:pt>
                      <c:pt idx="3722">
                        <c:v>25.847222222218988</c:v>
                      </c:pt>
                      <c:pt idx="3723">
                        <c:v>25.854166666664241</c:v>
                      </c:pt>
                      <c:pt idx="3724">
                        <c:v>25.861111111109494</c:v>
                      </c:pt>
                      <c:pt idx="3725">
                        <c:v>25.868055555554747</c:v>
                      </c:pt>
                      <c:pt idx="3726">
                        <c:v>25.875</c:v>
                      </c:pt>
                      <c:pt idx="3727">
                        <c:v>25.881944444445253</c:v>
                      </c:pt>
                      <c:pt idx="3728">
                        <c:v>25.888888888890506</c:v>
                      </c:pt>
                      <c:pt idx="3729">
                        <c:v>25.895833333335759</c:v>
                      </c:pt>
                      <c:pt idx="3730">
                        <c:v>25.902777777781012</c:v>
                      </c:pt>
                      <c:pt idx="3731">
                        <c:v>25.909722222218988</c:v>
                      </c:pt>
                      <c:pt idx="3732">
                        <c:v>25.916666666664241</c:v>
                      </c:pt>
                      <c:pt idx="3733">
                        <c:v>25.923611111109494</c:v>
                      </c:pt>
                      <c:pt idx="3734">
                        <c:v>25.930555555554747</c:v>
                      </c:pt>
                      <c:pt idx="3735">
                        <c:v>25.9375</c:v>
                      </c:pt>
                      <c:pt idx="3736">
                        <c:v>25.944444444445253</c:v>
                      </c:pt>
                      <c:pt idx="3737">
                        <c:v>25.951388888890506</c:v>
                      </c:pt>
                      <c:pt idx="3738">
                        <c:v>25.958333333335759</c:v>
                      </c:pt>
                      <c:pt idx="3739">
                        <c:v>25.965277777781012</c:v>
                      </c:pt>
                      <c:pt idx="3740">
                        <c:v>25.972222222218988</c:v>
                      </c:pt>
                      <c:pt idx="3741">
                        <c:v>25.979166666664241</c:v>
                      </c:pt>
                      <c:pt idx="3742">
                        <c:v>25.986111111109494</c:v>
                      </c:pt>
                      <c:pt idx="3743">
                        <c:v>25.993055555554747</c:v>
                      </c:pt>
                      <c:pt idx="3744">
                        <c:v>26</c:v>
                      </c:pt>
                      <c:pt idx="3745">
                        <c:v>26.006944444445253</c:v>
                      </c:pt>
                      <c:pt idx="3746">
                        <c:v>26.013888888890506</c:v>
                      </c:pt>
                      <c:pt idx="3747">
                        <c:v>26.020833333335759</c:v>
                      </c:pt>
                      <c:pt idx="3748">
                        <c:v>26.027777777781012</c:v>
                      </c:pt>
                      <c:pt idx="3749">
                        <c:v>26.034722222218988</c:v>
                      </c:pt>
                      <c:pt idx="3750">
                        <c:v>26.041666666664241</c:v>
                      </c:pt>
                      <c:pt idx="3751">
                        <c:v>26.048611111109494</c:v>
                      </c:pt>
                      <c:pt idx="3752">
                        <c:v>26.055555555554747</c:v>
                      </c:pt>
                      <c:pt idx="3753">
                        <c:v>26.0625</c:v>
                      </c:pt>
                      <c:pt idx="3754">
                        <c:v>26.069444444445253</c:v>
                      </c:pt>
                      <c:pt idx="3755">
                        <c:v>26.076388888890506</c:v>
                      </c:pt>
                      <c:pt idx="3756">
                        <c:v>26.083333333335759</c:v>
                      </c:pt>
                      <c:pt idx="3757">
                        <c:v>26.090277777781012</c:v>
                      </c:pt>
                      <c:pt idx="3758">
                        <c:v>26.097222222218988</c:v>
                      </c:pt>
                      <c:pt idx="3759">
                        <c:v>26.104166666664241</c:v>
                      </c:pt>
                      <c:pt idx="3760">
                        <c:v>26.111111111109494</c:v>
                      </c:pt>
                      <c:pt idx="3761">
                        <c:v>26.118055555554747</c:v>
                      </c:pt>
                      <c:pt idx="3762">
                        <c:v>26.125</c:v>
                      </c:pt>
                      <c:pt idx="3763">
                        <c:v>26.131944444445253</c:v>
                      </c:pt>
                      <c:pt idx="3764">
                        <c:v>26.138888888890506</c:v>
                      </c:pt>
                      <c:pt idx="3765">
                        <c:v>26.145833333335759</c:v>
                      </c:pt>
                      <c:pt idx="3766">
                        <c:v>26.152777777781012</c:v>
                      </c:pt>
                      <c:pt idx="3767">
                        <c:v>26.159722222218988</c:v>
                      </c:pt>
                      <c:pt idx="3768">
                        <c:v>26.166666666664241</c:v>
                      </c:pt>
                      <c:pt idx="3769">
                        <c:v>26.173611111109494</c:v>
                      </c:pt>
                      <c:pt idx="3770">
                        <c:v>26.180555555554747</c:v>
                      </c:pt>
                      <c:pt idx="3771">
                        <c:v>26.1875</c:v>
                      </c:pt>
                      <c:pt idx="3772">
                        <c:v>26.194444444445253</c:v>
                      </c:pt>
                      <c:pt idx="3773">
                        <c:v>26.201388888890506</c:v>
                      </c:pt>
                      <c:pt idx="3774">
                        <c:v>26.208333333335759</c:v>
                      </c:pt>
                      <c:pt idx="3775">
                        <c:v>26.215277777781012</c:v>
                      </c:pt>
                      <c:pt idx="3776">
                        <c:v>26.222222222218988</c:v>
                      </c:pt>
                      <c:pt idx="3777">
                        <c:v>26.229166666664241</c:v>
                      </c:pt>
                      <c:pt idx="3778">
                        <c:v>26.236111111109494</c:v>
                      </c:pt>
                      <c:pt idx="3779">
                        <c:v>26.243055555554747</c:v>
                      </c:pt>
                      <c:pt idx="3780">
                        <c:v>26.25</c:v>
                      </c:pt>
                      <c:pt idx="3781">
                        <c:v>26.256944444445253</c:v>
                      </c:pt>
                      <c:pt idx="3782">
                        <c:v>26.263888888890506</c:v>
                      </c:pt>
                      <c:pt idx="3783">
                        <c:v>26.270833333335759</c:v>
                      </c:pt>
                      <c:pt idx="3784">
                        <c:v>26.277777777781012</c:v>
                      </c:pt>
                      <c:pt idx="3785">
                        <c:v>26.284722222218988</c:v>
                      </c:pt>
                      <c:pt idx="3786">
                        <c:v>26.291666666664241</c:v>
                      </c:pt>
                      <c:pt idx="3787">
                        <c:v>26.298611111109494</c:v>
                      </c:pt>
                      <c:pt idx="3788">
                        <c:v>26.305555555554747</c:v>
                      </c:pt>
                      <c:pt idx="3789">
                        <c:v>26.3125</c:v>
                      </c:pt>
                      <c:pt idx="3790">
                        <c:v>26.319444444445253</c:v>
                      </c:pt>
                      <c:pt idx="3791">
                        <c:v>26.326388888890506</c:v>
                      </c:pt>
                      <c:pt idx="3792">
                        <c:v>26.333333333335759</c:v>
                      </c:pt>
                      <c:pt idx="3793">
                        <c:v>26.340277777781012</c:v>
                      </c:pt>
                      <c:pt idx="3794">
                        <c:v>26.347222222218988</c:v>
                      </c:pt>
                      <c:pt idx="3795">
                        <c:v>26.354166666664241</c:v>
                      </c:pt>
                      <c:pt idx="3796">
                        <c:v>26.361111111109494</c:v>
                      </c:pt>
                      <c:pt idx="3797">
                        <c:v>26.368055555554747</c:v>
                      </c:pt>
                      <c:pt idx="3798">
                        <c:v>26.375</c:v>
                      </c:pt>
                      <c:pt idx="3799">
                        <c:v>26.381944444445253</c:v>
                      </c:pt>
                      <c:pt idx="3800">
                        <c:v>26.388888888890506</c:v>
                      </c:pt>
                      <c:pt idx="3801">
                        <c:v>26.395833333335759</c:v>
                      </c:pt>
                      <c:pt idx="3802">
                        <c:v>26.402777777781012</c:v>
                      </c:pt>
                      <c:pt idx="3803">
                        <c:v>26.409722222218988</c:v>
                      </c:pt>
                      <c:pt idx="3804">
                        <c:v>26.416666666664241</c:v>
                      </c:pt>
                      <c:pt idx="3805">
                        <c:v>26.423611111109494</c:v>
                      </c:pt>
                      <c:pt idx="3806">
                        <c:v>26.430555555554747</c:v>
                      </c:pt>
                      <c:pt idx="3807">
                        <c:v>26.4375</c:v>
                      </c:pt>
                      <c:pt idx="3808">
                        <c:v>26.444444444445253</c:v>
                      </c:pt>
                      <c:pt idx="3809">
                        <c:v>26.451388888890506</c:v>
                      </c:pt>
                      <c:pt idx="3810">
                        <c:v>26.458333333335759</c:v>
                      </c:pt>
                      <c:pt idx="3811">
                        <c:v>26.465277777781012</c:v>
                      </c:pt>
                      <c:pt idx="3812">
                        <c:v>26.472222222218988</c:v>
                      </c:pt>
                      <c:pt idx="3813">
                        <c:v>26.479166666664241</c:v>
                      </c:pt>
                      <c:pt idx="3814">
                        <c:v>26.486111111109494</c:v>
                      </c:pt>
                      <c:pt idx="3815">
                        <c:v>26.493055555554747</c:v>
                      </c:pt>
                      <c:pt idx="3816">
                        <c:v>26.5</c:v>
                      </c:pt>
                      <c:pt idx="3817">
                        <c:v>26.506944444445253</c:v>
                      </c:pt>
                      <c:pt idx="3818">
                        <c:v>26.513888888890506</c:v>
                      </c:pt>
                      <c:pt idx="3819">
                        <c:v>26.520833333335759</c:v>
                      </c:pt>
                      <c:pt idx="3820">
                        <c:v>26.527777777781012</c:v>
                      </c:pt>
                      <c:pt idx="3821">
                        <c:v>26.534722222218988</c:v>
                      </c:pt>
                      <c:pt idx="3822">
                        <c:v>26.541666666664241</c:v>
                      </c:pt>
                      <c:pt idx="3823">
                        <c:v>26.548611111109494</c:v>
                      </c:pt>
                      <c:pt idx="3824">
                        <c:v>26.555555555554747</c:v>
                      </c:pt>
                      <c:pt idx="3825">
                        <c:v>26.5625</c:v>
                      </c:pt>
                      <c:pt idx="3826">
                        <c:v>26.569444444445253</c:v>
                      </c:pt>
                      <c:pt idx="3827">
                        <c:v>26.576388888890506</c:v>
                      </c:pt>
                      <c:pt idx="3828">
                        <c:v>26.583333333335759</c:v>
                      </c:pt>
                      <c:pt idx="3829">
                        <c:v>26.590277777781012</c:v>
                      </c:pt>
                      <c:pt idx="3830">
                        <c:v>26.597222222218988</c:v>
                      </c:pt>
                      <c:pt idx="3831">
                        <c:v>26.604166666664241</c:v>
                      </c:pt>
                      <c:pt idx="3832">
                        <c:v>26.611111111109494</c:v>
                      </c:pt>
                      <c:pt idx="3833">
                        <c:v>26.618055555554747</c:v>
                      </c:pt>
                      <c:pt idx="3834">
                        <c:v>26.625</c:v>
                      </c:pt>
                      <c:pt idx="3835">
                        <c:v>26.631944444445253</c:v>
                      </c:pt>
                      <c:pt idx="3836">
                        <c:v>26.638888888890506</c:v>
                      </c:pt>
                      <c:pt idx="3837">
                        <c:v>26.645833333335759</c:v>
                      </c:pt>
                      <c:pt idx="3838">
                        <c:v>26.652777777781012</c:v>
                      </c:pt>
                      <c:pt idx="3839">
                        <c:v>26.659722222218988</c:v>
                      </c:pt>
                      <c:pt idx="3840">
                        <c:v>26.666666666664241</c:v>
                      </c:pt>
                      <c:pt idx="3841">
                        <c:v>26.673611111109494</c:v>
                      </c:pt>
                      <c:pt idx="3842">
                        <c:v>26.680555555554747</c:v>
                      </c:pt>
                      <c:pt idx="3843">
                        <c:v>26.6875</c:v>
                      </c:pt>
                      <c:pt idx="3844">
                        <c:v>26.694444444445253</c:v>
                      </c:pt>
                      <c:pt idx="3845">
                        <c:v>26.701388888890506</c:v>
                      </c:pt>
                      <c:pt idx="3846">
                        <c:v>26.708333333335759</c:v>
                      </c:pt>
                      <c:pt idx="3847">
                        <c:v>26.715277777781012</c:v>
                      </c:pt>
                      <c:pt idx="3848">
                        <c:v>26.722222222218988</c:v>
                      </c:pt>
                      <c:pt idx="3849">
                        <c:v>26.729166666664241</c:v>
                      </c:pt>
                      <c:pt idx="3850">
                        <c:v>26.736111111109494</c:v>
                      </c:pt>
                      <c:pt idx="3851">
                        <c:v>26.743055555554747</c:v>
                      </c:pt>
                      <c:pt idx="3852">
                        <c:v>26.75</c:v>
                      </c:pt>
                      <c:pt idx="3853">
                        <c:v>26.756944444445253</c:v>
                      </c:pt>
                      <c:pt idx="3854">
                        <c:v>26.763888888890506</c:v>
                      </c:pt>
                      <c:pt idx="3855">
                        <c:v>26.770833333335759</c:v>
                      </c:pt>
                      <c:pt idx="3856">
                        <c:v>26.777777777781012</c:v>
                      </c:pt>
                      <c:pt idx="3857">
                        <c:v>26.784722222218988</c:v>
                      </c:pt>
                      <c:pt idx="3858">
                        <c:v>26.791666666664241</c:v>
                      </c:pt>
                      <c:pt idx="3859">
                        <c:v>26.798611111109494</c:v>
                      </c:pt>
                      <c:pt idx="3860">
                        <c:v>26.805555555554747</c:v>
                      </c:pt>
                      <c:pt idx="3861">
                        <c:v>26.8125</c:v>
                      </c:pt>
                      <c:pt idx="3862">
                        <c:v>26.819444444445253</c:v>
                      </c:pt>
                      <c:pt idx="3863">
                        <c:v>26.826388888890506</c:v>
                      </c:pt>
                      <c:pt idx="3864">
                        <c:v>26.833333333335759</c:v>
                      </c:pt>
                      <c:pt idx="3865">
                        <c:v>26.840277777781012</c:v>
                      </c:pt>
                      <c:pt idx="3866">
                        <c:v>26.847222222218988</c:v>
                      </c:pt>
                      <c:pt idx="3867">
                        <c:v>26.854166666664241</c:v>
                      </c:pt>
                      <c:pt idx="3868">
                        <c:v>26.861111111109494</c:v>
                      </c:pt>
                      <c:pt idx="3869">
                        <c:v>26.868055555554747</c:v>
                      </c:pt>
                      <c:pt idx="3870">
                        <c:v>26.875</c:v>
                      </c:pt>
                      <c:pt idx="3871">
                        <c:v>26.881944444445253</c:v>
                      </c:pt>
                      <c:pt idx="3872">
                        <c:v>26.888888888890506</c:v>
                      </c:pt>
                      <c:pt idx="3873">
                        <c:v>26.895833333335759</c:v>
                      </c:pt>
                      <c:pt idx="3874">
                        <c:v>26.902777777781012</c:v>
                      </c:pt>
                      <c:pt idx="3875">
                        <c:v>26.909722222218988</c:v>
                      </c:pt>
                      <c:pt idx="3876">
                        <c:v>26.916666666664241</c:v>
                      </c:pt>
                      <c:pt idx="3877">
                        <c:v>26.923611111109494</c:v>
                      </c:pt>
                      <c:pt idx="3878">
                        <c:v>26.930555555554747</c:v>
                      </c:pt>
                      <c:pt idx="3879">
                        <c:v>26.9375</c:v>
                      </c:pt>
                      <c:pt idx="3880">
                        <c:v>26.944444444445253</c:v>
                      </c:pt>
                      <c:pt idx="3881">
                        <c:v>26.951388888890506</c:v>
                      </c:pt>
                      <c:pt idx="3882">
                        <c:v>26.958333333335759</c:v>
                      </c:pt>
                      <c:pt idx="3883">
                        <c:v>26.965277777781012</c:v>
                      </c:pt>
                      <c:pt idx="3884">
                        <c:v>26.972222222218988</c:v>
                      </c:pt>
                      <c:pt idx="3885">
                        <c:v>26.979166666664241</c:v>
                      </c:pt>
                      <c:pt idx="3886">
                        <c:v>26.986111111109494</c:v>
                      </c:pt>
                      <c:pt idx="3887">
                        <c:v>26.993055555554747</c:v>
                      </c:pt>
                      <c:pt idx="3888">
                        <c:v>27</c:v>
                      </c:pt>
                      <c:pt idx="3889">
                        <c:v>27.006944444445253</c:v>
                      </c:pt>
                      <c:pt idx="3890">
                        <c:v>27.013888888890506</c:v>
                      </c:pt>
                      <c:pt idx="3891">
                        <c:v>27.020833333335759</c:v>
                      </c:pt>
                      <c:pt idx="3892">
                        <c:v>27.027777777781012</c:v>
                      </c:pt>
                      <c:pt idx="3893">
                        <c:v>27.034722222218988</c:v>
                      </c:pt>
                      <c:pt idx="3894">
                        <c:v>27.041666666664241</c:v>
                      </c:pt>
                      <c:pt idx="3895">
                        <c:v>27.048611111109494</c:v>
                      </c:pt>
                      <c:pt idx="3896">
                        <c:v>27.055555555554747</c:v>
                      </c:pt>
                      <c:pt idx="3897">
                        <c:v>27.0625</c:v>
                      </c:pt>
                      <c:pt idx="3898">
                        <c:v>27.069444444445253</c:v>
                      </c:pt>
                      <c:pt idx="3899">
                        <c:v>27.076388888890506</c:v>
                      </c:pt>
                      <c:pt idx="3900">
                        <c:v>27.083333333335759</c:v>
                      </c:pt>
                      <c:pt idx="3901">
                        <c:v>27.090277777781012</c:v>
                      </c:pt>
                      <c:pt idx="3902">
                        <c:v>27.097222222218988</c:v>
                      </c:pt>
                      <c:pt idx="3903">
                        <c:v>27.104166666664241</c:v>
                      </c:pt>
                      <c:pt idx="3904">
                        <c:v>27.111111111109494</c:v>
                      </c:pt>
                      <c:pt idx="3905">
                        <c:v>27.118055555554747</c:v>
                      </c:pt>
                      <c:pt idx="3906">
                        <c:v>27.125</c:v>
                      </c:pt>
                      <c:pt idx="3907">
                        <c:v>27.131944444445253</c:v>
                      </c:pt>
                      <c:pt idx="3908">
                        <c:v>27.138888888890506</c:v>
                      </c:pt>
                      <c:pt idx="3909">
                        <c:v>27.145833333335759</c:v>
                      </c:pt>
                      <c:pt idx="3910">
                        <c:v>27.152777777781012</c:v>
                      </c:pt>
                      <c:pt idx="3911">
                        <c:v>27.159722222218988</c:v>
                      </c:pt>
                      <c:pt idx="3912">
                        <c:v>27.166666666664241</c:v>
                      </c:pt>
                      <c:pt idx="3913">
                        <c:v>27.173611111109494</c:v>
                      </c:pt>
                      <c:pt idx="3914">
                        <c:v>27.180555555554747</c:v>
                      </c:pt>
                      <c:pt idx="3915">
                        <c:v>27.1875</c:v>
                      </c:pt>
                      <c:pt idx="3916">
                        <c:v>27.194444444445253</c:v>
                      </c:pt>
                      <c:pt idx="3917">
                        <c:v>27.201388888890506</c:v>
                      </c:pt>
                      <c:pt idx="3918">
                        <c:v>27.208333333335759</c:v>
                      </c:pt>
                      <c:pt idx="3919">
                        <c:v>27.215277777781012</c:v>
                      </c:pt>
                      <c:pt idx="3920">
                        <c:v>27.222222222218988</c:v>
                      </c:pt>
                      <c:pt idx="3921">
                        <c:v>27.229166666664241</c:v>
                      </c:pt>
                      <c:pt idx="3922">
                        <c:v>27.236111111109494</c:v>
                      </c:pt>
                      <c:pt idx="3923">
                        <c:v>27.243055555554747</c:v>
                      </c:pt>
                      <c:pt idx="3924">
                        <c:v>27.25</c:v>
                      </c:pt>
                      <c:pt idx="3925">
                        <c:v>27.256944444445253</c:v>
                      </c:pt>
                      <c:pt idx="3926">
                        <c:v>27.263888888890506</c:v>
                      </c:pt>
                      <c:pt idx="3927">
                        <c:v>27.270833333335759</c:v>
                      </c:pt>
                      <c:pt idx="3928">
                        <c:v>27.277777777781012</c:v>
                      </c:pt>
                      <c:pt idx="3929">
                        <c:v>27.284722222218988</c:v>
                      </c:pt>
                      <c:pt idx="3930">
                        <c:v>27.291666666664241</c:v>
                      </c:pt>
                      <c:pt idx="3931">
                        <c:v>27.298611111109494</c:v>
                      </c:pt>
                      <c:pt idx="3932">
                        <c:v>27.305555555554747</c:v>
                      </c:pt>
                      <c:pt idx="3933">
                        <c:v>27.3125</c:v>
                      </c:pt>
                      <c:pt idx="3934">
                        <c:v>27.319444444445253</c:v>
                      </c:pt>
                      <c:pt idx="3935">
                        <c:v>27.326388888890506</c:v>
                      </c:pt>
                      <c:pt idx="3936">
                        <c:v>27.333333333335759</c:v>
                      </c:pt>
                      <c:pt idx="3937">
                        <c:v>27.340277777781012</c:v>
                      </c:pt>
                      <c:pt idx="3938">
                        <c:v>27.347222222218988</c:v>
                      </c:pt>
                      <c:pt idx="3939">
                        <c:v>27.354166666664241</c:v>
                      </c:pt>
                      <c:pt idx="3940">
                        <c:v>27.361111111109494</c:v>
                      </c:pt>
                      <c:pt idx="3941">
                        <c:v>27.368055555554747</c:v>
                      </c:pt>
                      <c:pt idx="3942">
                        <c:v>27.375</c:v>
                      </c:pt>
                      <c:pt idx="3943">
                        <c:v>27.381944444445253</c:v>
                      </c:pt>
                      <c:pt idx="3944">
                        <c:v>27.388888888890506</c:v>
                      </c:pt>
                      <c:pt idx="3945">
                        <c:v>27.395833333335759</c:v>
                      </c:pt>
                      <c:pt idx="3946">
                        <c:v>27.402777777781012</c:v>
                      </c:pt>
                      <c:pt idx="3947">
                        <c:v>27.409722222218988</c:v>
                      </c:pt>
                      <c:pt idx="3948">
                        <c:v>27.416666666664241</c:v>
                      </c:pt>
                      <c:pt idx="3949">
                        <c:v>27.423611111109494</c:v>
                      </c:pt>
                      <c:pt idx="3950">
                        <c:v>27.430555555554747</c:v>
                      </c:pt>
                      <c:pt idx="3951">
                        <c:v>27.4375</c:v>
                      </c:pt>
                      <c:pt idx="3952">
                        <c:v>27.444444444445253</c:v>
                      </c:pt>
                      <c:pt idx="3953">
                        <c:v>27.451388888890506</c:v>
                      </c:pt>
                      <c:pt idx="3954">
                        <c:v>27.458333333335759</c:v>
                      </c:pt>
                      <c:pt idx="3955">
                        <c:v>27.465277777781012</c:v>
                      </c:pt>
                      <c:pt idx="3956">
                        <c:v>27.472222222218988</c:v>
                      </c:pt>
                      <c:pt idx="3957">
                        <c:v>27.479166666664241</c:v>
                      </c:pt>
                      <c:pt idx="3958">
                        <c:v>27.486111111109494</c:v>
                      </c:pt>
                      <c:pt idx="3959">
                        <c:v>27.493055555554747</c:v>
                      </c:pt>
                      <c:pt idx="3960">
                        <c:v>27.5</c:v>
                      </c:pt>
                      <c:pt idx="3961">
                        <c:v>27.506944444445253</c:v>
                      </c:pt>
                      <c:pt idx="3962">
                        <c:v>27.513888888890506</c:v>
                      </c:pt>
                      <c:pt idx="3963">
                        <c:v>27.520833333335759</c:v>
                      </c:pt>
                      <c:pt idx="3964">
                        <c:v>27.527777777781012</c:v>
                      </c:pt>
                      <c:pt idx="3965">
                        <c:v>27.534722222218988</c:v>
                      </c:pt>
                      <c:pt idx="3966">
                        <c:v>27.541666666664241</c:v>
                      </c:pt>
                      <c:pt idx="3967">
                        <c:v>27.548611111109494</c:v>
                      </c:pt>
                      <c:pt idx="3968">
                        <c:v>27.555555555554747</c:v>
                      </c:pt>
                      <c:pt idx="3969">
                        <c:v>27.5625</c:v>
                      </c:pt>
                      <c:pt idx="3970">
                        <c:v>27.569444444445253</c:v>
                      </c:pt>
                      <c:pt idx="3971">
                        <c:v>27.576388888890506</c:v>
                      </c:pt>
                      <c:pt idx="3972">
                        <c:v>27.583333333335759</c:v>
                      </c:pt>
                      <c:pt idx="3973">
                        <c:v>27.590277777781012</c:v>
                      </c:pt>
                      <c:pt idx="3974">
                        <c:v>27.597222222218988</c:v>
                      </c:pt>
                      <c:pt idx="3975">
                        <c:v>27.604166666664241</c:v>
                      </c:pt>
                      <c:pt idx="3976">
                        <c:v>27.611111111109494</c:v>
                      </c:pt>
                      <c:pt idx="3977">
                        <c:v>27.618055555554747</c:v>
                      </c:pt>
                      <c:pt idx="3978">
                        <c:v>27.625</c:v>
                      </c:pt>
                      <c:pt idx="3979">
                        <c:v>27.631944444445253</c:v>
                      </c:pt>
                      <c:pt idx="3980">
                        <c:v>27.638888888890506</c:v>
                      </c:pt>
                      <c:pt idx="3981">
                        <c:v>27.645833333335759</c:v>
                      </c:pt>
                      <c:pt idx="3982">
                        <c:v>27.652777777781012</c:v>
                      </c:pt>
                      <c:pt idx="3983">
                        <c:v>27.659722222218988</c:v>
                      </c:pt>
                      <c:pt idx="3984">
                        <c:v>27.666666666664241</c:v>
                      </c:pt>
                      <c:pt idx="3985">
                        <c:v>27.673611111109494</c:v>
                      </c:pt>
                      <c:pt idx="3986">
                        <c:v>27.680555555554747</c:v>
                      </c:pt>
                      <c:pt idx="3987">
                        <c:v>27.6875</c:v>
                      </c:pt>
                      <c:pt idx="3988">
                        <c:v>27.694444444445253</c:v>
                      </c:pt>
                      <c:pt idx="3989">
                        <c:v>27.701388888890506</c:v>
                      </c:pt>
                      <c:pt idx="3990">
                        <c:v>27.708333333335759</c:v>
                      </c:pt>
                      <c:pt idx="3991">
                        <c:v>27.715277777781012</c:v>
                      </c:pt>
                      <c:pt idx="3992">
                        <c:v>27.722222222218988</c:v>
                      </c:pt>
                      <c:pt idx="3993">
                        <c:v>27.729166666664241</c:v>
                      </c:pt>
                      <c:pt idx="3994">
                        <c:v>27.736111111109494</c:v>
                      </c:pt>
                      <c:pt idx="3995">
                        <c:v>27.743055555554747</c:v>
                      </c:pt>
                      <c:pt idx="3996">
                        <c:v>27.75</c:v>
                      </c:pt>
                      <c:pt idx="3997">
                        <c:v>27.756944444445253</c:v>
                      </c:pt>
                      <c:pt idx="3998">
                        <c:v>27.763888888890506</c:v>
                      </c:pt>
                      <c:pt idx="3999">
                        <c:v>27.770833333335759</c:v>
                      </c:pt>
                      <c:pt idx="4000">
                        <c:v>27.777777777781012</c:v>
                      </c:pt>
                      <c:pt idx="4001">
                        <c:v>27.784722222218988</c:v>
                      </c:pt>
                      <c:pt idx="4002">
                        <c:v>27.791666666664241</c:v>
                      </c:pt>
                      <c:pt idx="4003">
                        <c:v>27.798611111109494</c:v>
                      </c:pt>
                      <c:pt idx="4004">
                        <c:v>27.805555555554747</c:v>
                      </c:pt>
                      <c:pt idx="4005">
                        <c:v>27.8125</c:v>
                      </c:pt>
                      <c:pt idx="4006">
                        <c:v>27.819444444445253</c:v>
                      </c:pt>
                      <c:pt idx="4007">
                        <c:v>27.826388888890506</c:v>
                      </c:pt>
                      <c:pt idx="4008">
                        <c:v>27.833333333335759</c:v>
                      </c:pt>
                      <c:pt idx="4009">
                        <c:v>27.840277777781012</c:v>
                      </c:pt>
                      <c:pt idx="4010">
                        <c:v>27.847222222218988</c:v>
                      </c:pt>
                      <c:pt idx="4011">
                        <c:v>27.854166666664241</c:v>
                      </c:pt>
                      <c:pt idx="4012">
                        <c:v>27.861111111109494</c:v>
                      </c:pt>
                      <c:pt idx="4013">
                        <c:v>27.868055555554747</c:v>
                      </c:pt>
                      <c:pt idx="4014">
                        <c:v>27.875</c:v>
                      </c:pt>
                      <c:pt idx="4015">
                        <c:v>27.881944444445253</c:v>
                      </c:pt>
                      <c:pt idx="4016">
                        <c:v>27.888888888890506</c:v>
                      </c:pt>
                      <c:pt idx="4017">
                        <c:v>27.895833333335759</c:v>
                      </c:pt>
                      <c:pt idx="4018">
                        <c:v>27.902777777781012</c:v>
                      </c:pt>
                      <c:pt idx="4019">
                        <c:v>27.909722222218988</c:v>
                      </c:pt>
                      <c:pt idx="4020">
                        <c:v>27.916666666664241</c:v>
                      </c:pt>
                      <c:pt idx="4021">
                        <c:v>27.923611111109494</c:v>
                      </c:pt>
                      <c:pt idx="4022">
                        <c:v>27.930555555554747</c:v>
                      </c:pt>
                      <c:pt idx="4023">
                        <c:v>27.9375</c:v>
                      </c:pt>
                      <c:pt idx="4024">
                        <c:v>27.944444444445253</c:v>
                      </c:pt>
                      <c:pt idx="4025">
                        <c:v>27.951388888890506</c:v>
                      </c:pt>
                      <c:pt idx="4026">
                        <c:v>27.958333333335759</c:v>
                      </c:pt>
                      <c:pt idx="4027">
                        <c:v>27.965277777781012</c:v>
                      </c:pt>
                      <c:pt idx="4028">
                        <c:v>27.972222222218988</c:v>
                      </c:pt>
                      <c:pt idx="4029">
                        <c:v>27.979166666664241</c:v>
                      </c:pt>
                      <c:pt idx="4030">
                        <c:v>27.986111111109494</c:v>
                      </c:pt>
                      <c:pt idx="4031">
                        <c:v>27.993055555554747</c:v>
                      </c:pt>
                      <c:pt idx="4032">
                        <c:v>28</c:v>
                      </c:pt>
                      <c:pt idx="4033">
                        <c:v>28.006944444445253</c:v>
                      </c:pt>
                      <c:pt idx="4034">
                        <c:v>28.013888888890506</c:v>
                      </c:pt>
                      <c:pt idx="4035">
                        <c:v>28.020833333335759</c:v>
                      </c:pt>
                      <c:pt idx="4036">
                        <c:v>28.027777777781012</c:v>
                      </c:pt>
                      <c:pt idx="4037">
                        <c:v>28.034722222218988</c:v>
                      </c:pt>
                      <c:pt idx="4038">
                        <c:v>28.041666666664241</c:v>
                      </c:pt>
                      <c:pt idx="4039">
                        <c:v>28.048611111109494</c:v>
                      </c:pt>
                      <c:pt idx="4040">
                        <c:v>28.055555555554747</c:v>
                      </c:pt>
                      <c:pt idx="4041">
                        <c:v>28.0625</c:v>
                      </c:pt>
                      <c:pt idx="4042">
                        <c:v>28.069444444445253</c:v>
                      </c:pt>
                      <c:pt idx="4043">
                        <c:v>28.076388888890506</c:v>
                      </c:pt>
                      <c:pt idx="4044">
                        <c:v>28.083333333335759</c:v>
                      </c:pt>
                      <c:pt idx="4045">
                        <c:v>28.090277777781012</c:v>
                      </c:pt>
                      <c:pt idx="4046">
                        <c:v>28.097222222218988</c:v>
                      </c:pt>
                      <c:pt idx="4047">
                        <c:v>28.104166666664241</c:v>
                      </c:pt>
                      <c:pt idx="4048">
                        <c:v>28.111111111109494</c:v>
                      </c:pt>
                      <c:pt idx="4049">
                        <c:v>28.118055555554747</c:v>
                      </c:pt>
                      <c:pt idx="4050">
                        <c:v>28.125</c:v>
                      </c:pt>
                      <c:pt idx="4051">
                        <c:v>28.131944444445253</c:v>
                      </c:pt>
                      <c:pt idx="4052">
                        <c:v>28.138888888890506</c:v>
                      </c:pt>
                      <c:pt idx="4053">
                        <c:v>28.145833333335759</c:v>
                      </c:pt>
                      <c:pt idx="4054">
                        <c:v>28.152777777781012</c:v>
                      </c:pt>
                      <c:pt idx="4055">
                        <c:v>28.159722222218988</c:v>
                      </c:pt>
                      <c:pt idx="4056">
                        <c:v>28.166666666664241</c:v>
                      </c:pt>
                      <c:pt idx="4057">
                        <c:v>28.173611111109494</c:v>
                      </c:pt>
                      <c:pt idx="4058">
                        <c:v>28.180555555554747</c:v>
                      </c:pt>
                      <c:pt idx="4059">
                        <c:v>28.1875</c:v>
                      </c:pt>
                      <c:pt idx="4060">
                        <c:v>28.194444444445253</c:v>
                      </c:pt>
                      <c:pt idx="4061">
                        <c:v>28.201388888890506</c:v>
                      </c:pt>
                      <c:pt idx="4062">
                        <c:v>28.208333333335759</c:v>
                      </c:pt>
                      <c:pt idx="4063">
                        <c:v>28.215277777781012</c:v>
                      </c:pt>
                      <c:pt idx="4064">
                        <c:v>28.222222222218988</c:v>
                      </c:pt>
                      <c:pt idx="4065">
                        <c:v>28.229166666664241</c:v>
                      </c:pt>
                      <c:pt idx="4066">
                        <c:v>28.236111111109494</c:v>
                      </c:pt>
                      <c:pt idx="4067">
                        <c:v>28.243055555554747</c:v>
                      </c:pt>
                      <c:pt idx="4068">
                        <c:v>28.25</c:v>
                      </c:pt>
                      <c:pt idx="4069">
                        <c:v>28.256944444445253</c:v>
                      </c:pt>
                      <c:pt idx="4070">
                        <c:v>28.263888888890506</c:v>
                      </c:pt>
                      <c:pt idx="4071">
                        <c:v>28.270833333335759</c:v>
                      </c:pt>
                      <c:pt idx="4072">
                        <c:v>28.277777777781012</c:v>
                      </c:pt>
                      <c:pt idx="4073">
                        <c:v>28.284722222218988</c:v>
                      </c:pt>
                      <c:pt idx="4074">
                        <c:v>28.291666666664241</c:v>
                      </c:pt>
                      <c:pt idx="4075">
                        <c:v>28.298611111109494</c:v>
                      </c:pt>
                      <c:pt idx="4076">
                        <c:v>28.305555555554747</c:v>
                      </c:pt>
                      <c:pt idx="4077">
                        <c:v>28.3125</c:v>
                      </c:pt>
                      <c:pt idx="4078">
                        <c:v>28.319444444445253</c:v>
                      </c:pt>
                      <c:pt idx="4079">
                        <c:v>28.326388888890506</c:v>
                      </c:pt>
                      <c:pt idx="4080">
                        <c:v>28.333333333335759</c:v>
                      </c:pt>
                      <c:pt idx="4081">
                        <c:v>28.340277777781012</c:v>
                      </c:pt>
                      <c:pt idx="4082">
                        <c:v>28.347222222218988</c:v>
                      </c:pt>
                      <c:pt idx="4083">
                        <c:v>28.354166666664241</c:v>
                      </c:pt>
                      <c:pt idx="4084">
                        <c:v>28.361111111109494</c:v>
                      </c:pt>
                      <c:pt idx="4085">
                        <c:v>28.368055555554747</c:v>
                      </c:pt>
                      <c:pt idx="4086">
                        <c:v>28.375</c:v>
                      </c:pt>
                      <c:pt idx="4087">
                        <c:v>28.381944444445253</c:v>
                      </c:pt>
                      <c:pt idx="4088">
                        <c:v>28.388888888890506</c:v>
                      </c:pt>
                      <c:pt idx="4089">
                        <c:v>28.395833333335759</c:v>
                      </c:pt>
                      <c:pt idx="4090">
                        <c:v>28.402777777781012</c:v>
                      </c:pt>
                      <c:pt idx="4091">
                        <c:v>28.409722222218988</c:v>
                      </c:pt>
                      <c:pt idx="4092">
                        <c:v>28.416666666664241</c:v>
                      </c:pt>
                      <c:pt idx="4093">
                        <c:v>28.423611111109494</c:v>
                      </c:pt>
                      <c:pt idx="4094">
                        <c:v>28.430555555554747</c:v>
                      </c:pt>
                      <c:pt idx="4095">
                        <c:v>28.4375</c:v>
                      </c:pt>
                      <c:pt idx="4096">
                        <c:v>28.444444444445253</c:v>
                      </c:pt>
                      <c:pt idx="4097">
                        <c:v>28.451388888890506</c:v>
                      </c:pt>
                      <c:pt idx="4098">
                        <c:v>28.458333333335759</c:v>
                      </c:pt>
                      <c:pt idx="4099">
                        <c:v>28.465277777781012</c:v>
                      </c:pt>
                      <c:pt idx="4100">
                        <c:v>28.472222222218988</c:v>
                      </c:pt>
                      <c:pt idx="4101">
                        <c:v>28.479166666664241</c:v>
                      </c:pt>
                      <c:pt idx="4102">
                        <c:v>28.486111111109494</c:v>
                      </c:pt>
                      <c:pt idx="4103">
                        <c:v>28.493055555554747</c:v>
                      </c:pt>
                      <c:pt idx="4104">
                        <c:v>28.5</c:v>
                      </c:pt>
                      <c:pt idx="4105">
                        <c:v>28.506944444445253</c:v>
                      </c:pt>
                      <c:pt idx="4106">
                        <c:v>28.513888888890506</c:v>
                      </c:pt>
                      <c:pt idx="4107">
                        <c:v>28.520833333335759</c:v>
                      </c:pt>
                      <c:pt idx="4108">
                        <c:v>28.527777777781012</c:v>
                      </c:pt>
                      <c:pt idx="4109">
                        <c:v>28.534722222218988</c:v>
                      </c:pt>
                      <c:pt idx="4110">
                        <c:v>28.541666666664241</c:v>
                      </c:pt>
                      <c:pt idx="4111">
                        <c:v>28.548611111109494</c:v>
                      </c:pt>
                      <c:pt idx="4112">
                        <c:v>28.555555555554747</c:v>
                      </c:pt>
                      <c:pt idx="4113">
                        <c:v>28.5625</c:v>
                      </c:pt>
                      <c:pt idx="4114">
                        <c:v>28.569444444445253</c:v>
                      </c:pt>
                      <c:pt idx="4115">
                        <c:v>28.576388888890506</c:v>
                      </c:pt>
                      <c:pt idx="4116">
                        <c:v>28.583333333335759</c:v>
                      </c:pt>
                      <c:pt idx="4117">
                        <c:v>28.590277777781012</c:v>
                      </c:pt>
                      <c:pt idx="4118">
                        <c:v>28.597222222218988</c:v>
                      </c:pt>
                      <c:pt idx="4119">
                        <c:v>28.604166666664241</c:v>
                      </c:pt>
                      <c:pt idx="4120">
                        <c:v>28.611111111109494</c:v>
                      </c:pt>
                      <c:pt idx="4121">
                        <c:v>28.618055555554747</c:v>
                      </c:pt>
                      <c:pt idx="4122">
                        <c:v>28.625</c:v>
                      </c:pt>
                      <c:pt idx="4123">
                        <c:v>28.631944444445253</c:v>
                      </c:pt>
                      <c:pt idx="4124">
                        <c:v>28.638888888890506</c:v>
                      </c:pt>
                      <c:pt idx="4125">
                        <c:v>28.645833333335759</c:v>
                      </c:pt>
                      <c:pt idx="4126">
                        <c:v>28.652777777781012</c:v>
                      </c:pt>
                      <c:pt idx="4127">
                        <c:v>28.659722222218988</c:v>
                      </c:pt>
                      <c:pt idx="4128">
                        <c:v>28.666666666664241</c:v>
                      </c:pt>
                      <c:pt idx="4129">
                        <c:v>28.673611111109494</c:v>
                      </c:pt>
                      <c:pt idx="4130">
                        <c:v>28.680555555554747</c:v>
                      </c:pt>
                      <c:pt idx="4131">
                        <c:v>28.6875</c:v>
                      </c:pt>
                      <c:pt idx="4132">
                        <c:v>28.694444444445253</c:v>
                      </c:pt>
                      <c:pt idx="4133">
                        <c:v>28.701388888890506</c:v>
                      </c:pt>
                      <c:pt idx="4134">
                        <c:v>28.708333333335759</c:v>
                      </c:pt>
                      <c:pt idx="4135">
                        <c:v>28.715277777781012</c:v>
                      </c:pt>
                      <c:pt idx="4136">
                        <c:v>28.722222222218988</c:v>
                      </c:pt>
                      <c:pt idx="4137">
                        <c:v>28.729166666664241</c:v>
                      </c:pt>
                      <c:pt idx="4138">
                        <c:v>28.736111111109494</c:v>
                      </c:pt>
                      <c:pt idx="4139">
                        <c:v>28.743055555554747</c:v>
                      </c:pt>
                      <c:pt idx="4140">
                        <c:v>28.75</c:v>
                      </c:pt>
                      <c:pt idx="4141">
                        <c:v>28.756944444445253</c:v>
                      </c:pt>
                      <c:pt idx="4142">
                        <c:v>28.763888888890506</c:v>
                      </c:pt>
                      <c:pt idx="4143">
                        <c:v>28.770833333335759</c:v>
                      </c:pt>
                      <c:pt idx="4144">
                        <c:v>28.777777777781012</c:v>
                      </c:pt>
                      <c:pt idx="4145">
                        <c:v>28.784722222218988</c:v>
                      </c:pt>
                      <c:pt idx="4146">
                        <c:v>28.791666666664241</c:v>
                      </c:pt>
                      <c:pt idx="4147">
                        <c:v>28.798611111109494</c:v>
                      </c:pt>
                      <c:pt idx="4148">
                        <c:v>28.805555555554747</c:v>
                      </c:pt>
                      <c:pt idx="4149">
                        <c:v>28.8125</c:v>
                      </c:pt>
                      <c:pt idx="4150">
                        <c:v>28.819444444445253</c:v>
                      </c:pt>
                      <c:pt idx="4151">
                        <c:v>28.826388888890506</c:v>
                      </c:pt>
                      <c:pt idx="4152">
                        <c:v>28.833333333335759</c:v>
                      </c:pt>
                      <c:pt idx="4153">
                        <c:v>28.840277777781012</c:v>
                      </c:pt>
                      <c:pt idx="4154">
                        <c:v>28.847222222218988</c:v>
                      </c:pt>
                      <c:pt idx="4155">
                        <c:v>28.854166666664241</c:v>
                      </c:pt>
                      <c:pt idx="4156">
                        <c:v>28.861111111109494</c:v>
                      </c:pt>
                      <c:pt idx="4157">
                        <c:v>28.868055555554747</c:v>
                      </c:pt>
                      <c:pt idx="4158">
                        <c:v>28.875</c:v>
                      </c:pt>
                      <c:pt idx="4159">
                        <c:v>28.881944444445253</c:v>
                      </c:pt>
                      <c:pt idx="4160">
                        <c:v>28.888888888890506</c:v>
                      </c:pt>
                      <c:pt idx="4161">
                        <c:v>28.895833333335759</c:v>
                      </c:pt>
                      <c:pt idx="4162">
                        <c:v>28.902777777781012</c:v>
                      </c:pt>
                      <c:pt idx="4163">
                        <c:v>28.909722222218988</c:v>
                      </c:pt>
                      <c:pt idx="4164">
                        <c:v>28.916666666664241</c:v>
                      </c:pt>
                      <c:pt idx="4165">
                        <c:v>28.923611111109494</c:v>
                      </c:pt>
                      <c:pt idx="4166">
                        <c:v>28.930555555554747</c:v>
                      </c:pt>
                      <c:pt idx="4167">
                        <c:v>28.9375</c:v>
                      </c:pt>
                      <c:pt idx="4168">
                        <c:v>28.944444444445253</c:v>
                      </c:pt>
                      <c:pt idx="4169">
                        <c:v>28.951388888890506</c:v>
                      </c:pt>
                      <c:pt idx="4170">
                        <c:v>28.958333333335759</c:v>
                      </c:pt>
                      <c:pt idx="4171">
                        <c:v>28.965277777781012</c:v>
                      </c:pt>
                      <c:pt idx="4172">
                        <c:v>28.972222222218988</c:v>
                      </c:pt>
                      <c:pt idx="4173">
                        <c:v>28.979166666664241</c:v>
                      </c:pt>
                      <c:pt idx="4174">
                        <c:v>28.986111111109494</c:v>
                      </c:pt>
                      <c:pt idx="4175">
                        <c:v>28.993055555554747</c:v>
                      </c:pt>
                      <c:pt idx="4176">
                        <c:v>29</c:v>
                      </c:pt>
                      <c:pt idx="4177">
                        <c:v>29.006944444445253</c:v>
                      </c:pt>
                      <c:pt idx="4178">
                        <c:v>29.013888888890506</c:v>
                      </c:pt>
                      <c:pt idx="4179">
                        <c:v>29.020833333335759</c:v>
                      </c:pt>
                      <c:pt idx="4180">
                        <c:v>29.027777777781012</c:v>
                      </c:pt>
                      <c:pt idx="4181">
                        <c:v>29.034722222218988</c:v>
                      </c:pt>
                      <c:pt idx="4182">
                        <c:v>29.041666666664241</c:v>
                      </c:pt>
                      <c:pt idx="4183">
                        <c:v>29.048611111109494</c:v>
                      </c:pt>
                      <c:pt idx="4184">
                        <c:v>29.055555555554747</c:v>
                      </c:pt>
                      <c:pt idx="4185">
                        <c:v>29.0625</c:v>
                      </c:pt>
                      <c:pt idx="4186">
                        <c:v>29.069444444445253</c:v>
                      </c:pt>
                      <c:pt idx="4187">
                        <c:v>29.076388888890506</c:v>
                      </c:pt>
                      <c:pt idx="4188">
                        <c:v>29.083333333335759</c:v>
                      </c:pt>
                      <c:pt idx="4189">
                        <c:v>29.090277777781012</c:v>
                      </c:pt>
                      <c:pt idx="4190">
                        <c:v>29.097222222218988</c:v>
                      </c:pt>
                      <c:pt idx="4191">
                        <c:v>29.104166666664241</c:v>
                      </c:pt>
                      <c:pt idx="4192">
                        <c:v>29.111111111109494</c:v>
                      </c:pt>
                      <c:pt idx="4193">
                        <c:v>29.118055555554747</c:v>
                      </c:pt>
                      <c:pt idx="4194">
                        <c:v>29.125</c:v>
                      </c:pt>
                      <c:pt idx="4195">
                        <c:v>29.131944444445253</c:v>
                      </c:pt>
                      <c:pt idx="4196">
                        <c:v>29.138888888890506</c:v>
                      </c:pt>
                      <c:pt idx="4197">
                        <c:v>29.145833333335759</c:v>
                      </c:pt>
                      <c:pt idx="4198">
                        <c:v>29.152777777781012</c:v>
                      </c:pt>
                      <c:pt idx="4199">
                        <c:v>29.159722222218988</c:v>
                      </c:pt>
                      <c:pt idx="4200">
                        <c:v>29.166666666664241</c:v>
                      </c:pt>
                      <c:pt idx="4201">
                        <c:v>29.173611111109494</c:v>
                      </c:pt>
                      <c:pt idx="4202">
                        <c:v>29.180555555554747</c:v>
                      </c:pt>
                      <c:pt idx="4203">
                        <c:v>29.1875</c:v>
                      </c:pt>
                      <c:pt idx="4204">
                        <c:v>29.194444444445253</c:v>
                      </c:pt>
                      <c:pt idx="4205">
                        <c:v>29.201388888890506</c:v>
                      </c:pt>
                      <c:pt idx="4206">
                        <c:v>29.208333333335759</c:v>
                      </c:pt>
                      <c:pt idx="4207">
                        <c:v>29.215277777781012</c:v>
                      </c:pt>
                      <c:pt idx="4208">
                        <c:v>29.222222222218988</c:v>
                      </c:pt>
                      <c:pt idx="4209">
                        <c:v>29.229166666664241</c:v>
                      </c:pt>
                      <c:pt idx="4210">
                        <c:v>29.236111111109494</c:v>
                      </c:pt>
                      <c:pt idx="4211">
                        <c:v>29.243055555554747</c:v>
                      </c:pt>
                      <c:pt idx="4212">
                        <c:v>29.25</c:v>
                      </c:pt>
                      <c:pt idx="4213">
                        <c:v>29.256944444445253</c:v>
                      </c:pt>
                      <c:pt idx="4214">
                        <c:v>29.263888888890506</c:v>
                      </c:pt>
                      <c:pt idx="4215">
                        <c:v>29.270833333335759</c:v>
                      </c:pt>
                      <c:pt idx="4216">
                        <c:v>29.277777777781012</c:v>
                      </c:pt>
                      <c:pt idx="4217">
                        <c:v>29.284722222218988</c:v>
                      </c:pt>
                      <c:pt idx="4218">
                        <c:v>29.291666666664241</c:v>
                      </c:pt>
                      <c:pt idx="4219">
                        <c:v>29.298611111109494</c:v>
                      </c:pt>
                      <c:pt idx="4220">
                        <c:v>29.305555555554747</c:v>
                      </c:pt>
                      <c:pt idx="4221">
                        <c:v>29.3125</c:v>
                      </c:pt>
                      <c:pt idx="4222">
                        <c:v>29.319444444445253</c:v>
                      </c:pt>
                      <c:pt idx="4223">
                        <c:v>29.326388888890506</c:v>
                      </c:pt>
                      <c:pt idx="4224">
                        <c:v>29.333333333335759</c:v>
                      </c:pt>
                      <c:pt idx="4225">
                        <c:v>29.340277777781012</c:v>
                      </c:pt>
                      <c:pt idx="4226">
                        <c:v>29.347222222218988</c:v>
                      </c:pt>
                      <c:pt idx="4227">
                        <c:v>29.354166666664241</c:v>
                      </c:pt>
                      <c:pt idx="4228">
                        <c:v>29.361111111109494</c:v>
                      </c:pt>
                      <c:pt idx="4229">
                        <c:v>29.368055555554747</c:v>
                      </c:pt>
                      <c:pt idx="4230">
                        <c:v>29.375</c:v>
                      </c:pt>
                      <c:pt idx="4231">
                        <c:v>29.381944444445253</c:v>
                      </c:pt>
                      <c:pt idx="4232">
                        <c:v>29.388888888890506</c:v>
                      </c:pt>
                      <c:pt idx="4233">
                        <c:v>29.395833333335759</c:v>
                      </c:pt>
                      <c:pt idx="4234">
                        <c:v>29.402777777781012</c:v>
                      </c:pt>
                      <c:pt idx="4235">
                        <c:v>29.409722222218988</c:v>
                      </c:pt>
                      <c:pt idx="4236">
                        <c:v>29.416666666664241</c:v>
                      </c:pt>
                      <c:pt idx="4237">
                        <c:v>29.423611111109494</c:v>
                      </c:pt>
                      <c:pt idx="4238">
                        <c:v>29.430555555554747</c:v>
                      </c:pt>
                      <c:pt idx="4239">
                        <c:v>29.4375</c:v>
                      </c:pt>
                      <c:pt idx="4240">
                        <c:v>29.444444444445253</c:v>
                      </c:pt>
                      <c:pt idx="4241">
                        <c:v>29.451388888890506</c:v>
                      </c:pt>
                      <c:pt idx="4242">
                        <c:v>29.458333333335759</c:v>
                      </c:pt>
                      <c:pt idx="4243">
                        <c:v>29.465277777781012</c:v>
                      </c:pt>
                      <c:pt idx="4244">
                        <c:v>29.472222222218988</c:v>
                      </c:pt>
                      <c:pt idx="4245">
                        <c:v>29.479166666664241</c:v>
                      </c:pt>
                      <c:pt idx="4246">
                        <c:v>29.486111111109494</c:v>
                      </c:pt>
                      <c:pt idx="4247">
                        <c:v>29.493055555554747</c:v>
                      </c:pt>
                      <c:pt idx="4248">
                        <c:v>29.5</c:v>
                      </c:pt>
                      <c:pt idx="4249">
                        <c:v>29.506944444445253</c:v>
                      </c:pt>
                      <c:pt idx="4250">
                        <c:v>29.513888888890506</c:v>
                      </c:pt>
                      <c:pt idx="4251">
                        <c:v>29.520833333335759</c:v>
                      </c:pt>
                      <c:pt idx="4252">
                        <c:v>29.527777777781012</c:v>
                      </c:pt>
                      <c:pt idx="4253">
                        <c:v>29.534722222218988</c:v>
                      </c:pt>
                      <c:pt idx="4254">
                        <c:v>29.541666666664241</c:v>
                      </c:pt>
                      <c:pt idx="4255">
                        <c:v>29.548611111109494</c:v>
                      </c:pt>
                      <c:pt idx="4256">
                        <c:v>29.555555555554747</c:v>
                      </c:pt>
                      <c:pt idx="4257">
                        <c:v>29.5625</c:v>
                      </c:pt>
                      <c:pt idx="4258">
                        <c:v>29.569444444445253</c:v>
                      </c:pt>
                      <c:pt idx="4259">
                        <c:v>29.576388888890506</c:v>
                      </c:pt>
                      <c:pt idx="4260">
                        <c:v>29.583333333335759</c:v>
                      </c:pt>
                      <c:pt idx="4261">
                        <c:v>29.590277777781012</c:v>
                      </c:pt>
                      <c:pt idx="4262">
                        <c:v>29.597222222218988</c:v>
                      </c:pt>
                      <c:pt idx="4263">
                        <c:v>29.604166666664241</c:v>
                      </c:pt>
                      <c:pt idx="4264">
                        <c:v>29.611111111109494</c:v>
                      </c:pt>
                      <c:pt idx="4265">
                        <c:v>29.618055555554747</c:v>
                      </c:pt>
                      <c:pt idx="4266">
                        <c:v>29.625</c:v>
                      </c:pt>
                      <c:pt idx="4267">
                        <c:v>29.631944444445253</c:v>
                      </c:pt>
                      <c:pt idx="4268">
                        <c:v>29.638888888890506</c:v>
                      </c:pt>
                      <c:pt idx="4269">
                        <c:v>29.645833333335759</c:v>
                      </c:pt>
                      <c:pt idx="4270">
                        <c:v>29.652777777781012</c:v>
                      </c:pt>
                      <c:pt idx="4271">
                        <c:v>29.659722222218988</c:v>
                      </c:pt>
                      <c:pt idx="4272">
                        <c:v>29.666666666664241</c:v>
                      </c:pt>
                      <c:pt idx="4273">
                        <c:v>29.673611111109494</c:v>
                      </c:pt>
                      <c:pt idx="4274">
                        <c:v>29.680555555554747</c:v>
                      </c:pt>
                      <c:pt idx="4275">
                        <c:v>29.6875</c:v>
                      </c:pt>
                      <c:pt idx="4276">
                        <c:v>29.694444444445253</c:v>
                      </c:pt>
                      <c:pt idx="4277">
                        <c:v>29.701388888890506</c:v>
                      </c:pt>
                      <c:pt idx="4278">
                        <c:v>29.708333333335759</c:v>
                      </c:pt>
                      <c:pt idx="4279">
                        <c:v>29.715277777781012</c:v>
                      </c:pt>
                      <c:pt idx="4280">
                        <c:v>29.722222222218988</c:v>
                      </c:pt>
                      <c:pt idx="4281">
                        <c:v>29.729166666664241</c:v>
                      </c:pt>
                      <c:pt idx="4282">
                        <c:v>29.736111111109494</c:v>
                      </c:pt>
                      <c:pt idx="4283">
                        <c:v>29.743055555554747</c:v>
                      </c:pt>
                      <c:pt idx="4284">
                        <c:v>29.75</c:v>
                      </c:pt>
                      <c:pt idx="4285">
                        <c:v>29.756944444445253</c:v>
                      </c:pt>
                      <c:pt idx="4286">
                        <c:v>29.763888888890506</c:v>
                      </c:pt>
                      <c:pt idx="4287">
                        <c:v>29.770833333335759</c:v>
                      </c:pt>
                      <c:pt idx="4288">
                        <c:v>29.777777777781012</c:v>
                      </c:pt>
                      <c:pt idx="4289">
                        <c:v>29.784722222218988</c:v>
                      </c:pt>
                      <c:pt idx="4290">
                        <c:v>29.791666666664241</c:v>
                      </c:pt>
                      <c:pt idx="4291">
                        <c:v>29.798611111109494</c:v>
                      </c:pt>
                      <c:pt idx="4292">
                        <c:v>29.805555555554747</c:v>
                      </c:pt>
                      <c:pt idx="4293">
                        <c:v>29.8125</c:v>
                      </c:pt>
                      <c:pt idx="4294">
                        <c:v>29.819444444445253</c:v>
                      </c:pt>
                      <c:pt idx="4295">
                        <c:v>29.826388888890506</c:v>
                      </c:pt>
                      <c:pt idx="4296">
                        <c:v>29.833333333335759</c:v>
                      </c:pt>
                      <c:pt idx="4297">
                        <c:v>29.840277777781012</c:v>
                      </c:pt>
                      <c:pt idx="4298">
                        <c:v>29.847222222218988</c:v>
                      </c:pt>
                      <c:pt idx="4299">
                        <c:v>29.854166666664241</c:v>
                      </c:pt>
                      <c:pt idx="4300">
                        <c:v>29.861111111109494</c:v>
                      </c:pt>
                      <c:pt idx="4301">
                        <c:v>29.868055555554747</c:v>
                      </c:pt>
                      <c:pt idx="4302">
                        <c:v>29.875</c:v>
                      </c:pt>
                      <c:pt idx="4303">
                        <c:v>29.881944444445253</c:v>
                      </c:pt>
                      <c:pt idx="4304">
                        <c:v>29.888888888890506</c:v>
                      </c:pt>
                      <c:pt idx="4305">
                        <c:v>29.895833333335759</c:v>
                      </c:pt>
                      <c:pt idx="4306">
                        <c:v>29.902777777781012</c:v>
                      </c:pt>
                      <c:pt idx="4307">
                        <c:v>29.909722222218988</c:v>
                      </c:pt>
                      <c:pt idx="4308">
                        <c:v>29.916666666664241</c:v>
                      </c:pt>
                      <c:pt idx="4309">
                        <c:v>29.923611111109494</c:v>
                      </c:pt>
                      <c:pt idx="4310">
                        <c:v>29.930555555554747</c:v>
                      </c:pt>
                      <c:pt idx="4311">
                        <c:v>29.9375</c:v>
                      </c:pt>
                      <c:pt idx="4312">
                        <c:v>29.944444444445253</c:v>
                      </c:pt>
                      <c:pt idx="4313">
                        <c:v>29.951388888890506</c:v>
                      </c:pt>
                      <c:pt idx="4314">
                        <c:v>29.958333333335759</c:v>
                      </c:pt>
                      <c:pt idx="4315">
                        <c:v>29.965277777781012</c:v>
                      </c:pt>
                      <c:pt idx="4316">
                        <c:v>29.972222222218988</c:v>
                      </c:pt>
                      <c:pt idx="4317">
                        <c:v>29.979166666664241</c:v>
                      </c:pt>
                      <c:pt idx="4318">
                        <c:v>29.986111111109494</c:v>
                      </c:pt>
                      <c:pt idx="4319">
                        <c:v>29.993055555554747</c:v>
                      </c:pt>
                      <c:pt idx="4320">
                        <c:v>30</c:v>
                      </c:pt>
                      <c:pt idx="4321">
                        <c:v>30.006944444445253</c:v>
                      </c:pt>
                      <c:pt idx="4322">
                        <c:v>30.013888888890506</c:v>
                      </c:pt>
                      <c:pt idx="4323">
                        <c:v>30.020833333335759</c:v>
                      </c:pt>
                      <c:pt idx="4324">
                        <c:v>30.027777777781012</c:v>
                      </c:pt>
                      <c:pt idx="4325">
                        <c:v>30.034722222218988</c:v>
                      </c:pt>
                      <c:pt idx="4326">
                        <c:v>30.041666666664241</c:v>
                      </c:pt>
                      <c:pt idx="4327">
                        <c:v>30.048611111109494</c:v>
                      </c:pt>
                      <c:pt idx="4328">
                        <c:v>30.055555555554747</c:v>
                      </c:pt>
                      <c:pt idx="4329">
                        <c:v>30.0625</c:v>
                      </c:pt>
                      <c:pt idx="4330">
                        <c:v>30.069444444445253</c:v>
                      </c:pt>
                      <c:pt idx="4331">
                        <c:v>30.076388888890506</c:v>
                      </c:pt>
                      <c:pt idx="4332">
                        <c:v>30.083333333335759</c:v>
                      </c:pt>
                      <c:pt idx="4333">
                        <c:v>30.090277777781012</c:v>
                      </c:pt>
                      <c:pt idx="4334">
                        <c:v>30.097222222218988</c:v>
                      </c:pt>
                      <c:pt idx="4335">
                        <c:v>30.104166666664241</c:v>
                      </c:pt>
                      <c:pt idx="4336">
                        <c:v>30.111111111109494</c:v>
                      </c:pt>
                      <c:pt idx="4337">
                        <c:v>30.118055555554747</c:v>
                      </c:pt>
                      <c:pt idx="4338">
                        <c:v>30.125</c:v>
                      </c:pt>
                      <c:pt idx="4339">
                        <c:v>30.131944444445253</c:v>
                      </c:pt>
                      <c:pt idx="4340">
                        <c:v>30.138888888890506</c:v>
                      </c:pt>
                      <c:pt idx="4341">
                        <c:v>30.145833333335759</c:v>
                      </c:pt>
                      <c:pt idx="4342">
                        <c:v>30.152777777781012</c:v>
                      </c:pt>
                      <c:pt idx="4343">
                        <c:v>30.159722222218988</c:v>
                      </c:pt>
                      <c:pt idx="4344">
                        <c:v>30.166666666664241</c:v>
                      </c:pt>
                      <c:pt idx="4345">
                        <c:v>30.173611111109494</c:v>
                      </c:pt>
                      <c:pt idx="4346">
                        <c:v>30.180555555554747</c:v>
                      </c:pt>
                      <c:pt idx="4347">
                        <c:v>30.1875</c:v>
                      </c:pt>
                      <c:pt idx="4348">
                        <c:v>30.194444444445253</c:v>
                      </c:pt>
                      <c:pt idx="4349">
                        <c:v>30.201388888890506</c:v>
                      </c:pt>
                      <c:pt idx="4350">
                        <c:v>30.208333333335759</c:v>
                      </c:pt>
                      <c:pt idx="4351">
                        <c:v>30.215277777781012</c:v>
                      </c:pt>
                      <c:pt idx="4352">
                        <c:v>30.222222222218988</c:v>
                      </c:pt>
                      <c:pt idx="4353">
                        <c:v>30.229166666664241</c:v>
                      </c:pt>
                      <c:pt idx="4354">
                        <c:v>30.236111111109494</c:v>
                      </c:pt>
                      <c:pt idx="4355">
                        <c:v>30.243055555554747</c:v>
                      </c:pt>
                      <c:pt idx="4356">
                        <c:v>30.25</c:v>
                      </c:pt>
                      <c:pt idx="4357">
                        <c:v>30.256944444445253</c:v>
                      </c:pt>
                      <c:pt idx="4358">
                        <c:v>30.263888888890506</c:v>
                      </c:pt>
                      <c:pt idx="4359">
                        <c:v>30.270833333335759</c:v>
                      </c:pt>
                      <c:pt idx="4360">
                        <c:v>30.277777777781012</c:v>
                      </c:pt>
                      <c:pt idx="4361">
                        <c:v>30.284722222218988</c:v>
                      </c:pt>
                      <c:pt idx="4362">
                        <c:v>30.291666666664241</c:v>
                      </c:pt>
                      <c:pt idx="4363">
                        <c:v>30.298611111109494</c:v>
                      </c:pt>
                      <c:pt idx="4364">
                        <c:v>30.305555555554747</c:v>
                      </c:pt>
                      <c:pt idx="4365">
                        <c:v>30.3125</c:v>
                      </c:pt>
                      <c:pt idx="4366">
                        <c:v>30.319444444445253</c:v>
                      </c:pt>
                      <c:pt idx="4367">
                        <c:v>30.326388888890506</c:v>
                      </c:pt>
                      <c:pt idx="4368">
                        <c:v>30.333333333335759</c:v>
                      </c:pt>
                      <c:pt idx="4369">
                        <c:v>30.340277777781012</c:v>
                      </c:pt>
                      <c:pt idx="4370">
                        <c:v>30.347222222218988</c:v>
                      </c:pt>
                      <c:pt idx="4371">
                        <c:v>30.354166666664241</c:v>
                      </c:pt>
                      <c:pt idx="4372">
                        <c:v>30.361111111109494</c:v>
                      </c:pt>
                      <c:pt idx="4373">
                        <c:v>30.368055555554747</c:v>
                      </c:pt>
                      <c:pt idx="4374">
                        <c:v>30.375</c:v>
                      </c:pt>
                      <c:pt idx="4375">
                        <c:v>30.381944444445253</c:v>
                      </c:pt>
                      <c:pt idx="4376">
                        <c:v>30.388888888890506</c:v>
                      </c:pt>
                      <c:pt idx="4377">
                        <c:v>30.395833333335759</c:v>
                      </c:pt>
                      <c:pt idx="4378">
                        <c:v>30.402777777781012</c:v>
                      </c:pt>
                      <c:pt idx="4379">
                        <c:v>30.409722222218988</c:v>
                      </c:pt>
                      <c:pt idx="4380">
                        <c:v>30.416666666664241</c:v>
                      </c:pt>
                      <c:pt idx="4381">
                        <c:v>30.423611111109494</c:v>
                      </c:pt>
                      <c:pt idx="4382">
                        <c:v>30.430555555554747</c:v>
                      </c:pt>
                      <c:pt idx="4383">
                        <c:v>30.4375</c:v>
                      </c:pt>
                      <c:pt idx="4384">
                        <c:v>30.444444444445253</c:v>
                      </c:pt>
                      <c:pt idx="4385">
                        <c:v>30.451388888890506</c:v>
                      </c:pt>
                      <c:pt idx="4386">
                        <c:v>30.458333333335759</c:v>
                      </c:pt>
                      <c:pt idx="4387">
                        <c:v>30.465277777781012</c:v>
                      </c:pt>
                      <c:pt idx="4388">
                        <c:v>30.472222222218988</c:v>
                      </c:pt>
                      <c:pt idx="4389">
                        <c:v>30.479166666664241</c:v>
                      </c:pt>
                      <c:pt idx="4390">
                        <c:v>30.486111111109494</c:v>
                      </c:pt>
                      <c:pt idx="4391">
                        <c:v>30.493055555554747</c:v>
                      </c:pt>
                      <c:pt idx="4392">
                        <c:v>30.5</c:v>
                      </c:pt>
                      <c:pt idx="4393">
                        <c:v>30.506944444445253</c:v>
                      </c:pt>
                      <c:pt idx="4394">
                        <c:v>30.513888888890506</c:v>
                      </c:pt>
                      <c:pt idx="4395">
                        <c:v>30.520833333335759</c:v>
                      </c:pt>
                      <c:pt idx="4396">
                        <c:v>30.527777777781012</c:v>
                      </c:pt>
                      <c:pt idx="4397">
                        <c:v>30.534722222218988</c:v>
                      </c:pt>
                      <c:pt idx="4398">
                        <c:v>30.541666666664241</c:v>
                      </c:pt>
                      <c:pt idx="4399">
                        <c:v>30.548611111109494</c:v>
                      </c:pt>
                      <c:pt idx="4400">
                        <c:v>30.555555555554747</c:v>
                      </c:pt>
                      <c:pt idx="4401">
                        <c:v>30.5625</c:v>
                      </c:pt>
                      <c:pt idx="4402">
                        <c:v>30.569444444445253</c:v>
                      </c:pt>
                      <c:pt idx="4403">
                        <c:v>30.576388888890506</c:v>
                      </c:pt>
                      <c:pt idx="4404">
                        <c:v>30.583333333335759</c:v>
                      </c:pt>
                      <c:pt idx="4405">
                        <c:v>30.590277777781012</c:v>
                      </c:pt>
                      <c:pt idx="4406">
                        <c:v>30.597222222218988</c:v>
                      </c:pt>
                      <c:pt idx="4407">
                        <c:v>30.604166666664241</c:v>
                      </c:pt>
                      <c:pt idx="4408">
                        <c:v>30.611111111109494</c:v>
                      </c:pt>
                      <c:pt idx="4409">
                        <c:v>30.618055555554747</c:v>
                      </c:pt>
                      <c:pt idx="4410">
                        <c:v>30.625</c:v>
                      </c:pt>
                      <c:pt idx="4411">
                        <c:v>30.631944444445253</c:v>
                      </c:pt>
                      <c:pt idx="4412">
                        <c:v>30.638888888890506</c:v>
                      </c:pt>
                      <c:pt idx="4413">
                        <c:v>30.645833333335759</c:v>
                      </c:pt>
                      <c:pt idx="4414">
                        <c:v>30.652777777781012</c:v>
                      </c:pt>
                      <c:pt idx="4415">
                        <c:v>30.659722222218988</c:v>
                      </c:pt>
                      <c:pt idx="4416">
                        <c:v>30.666666666664241</c:v>
                      </c:pt>
                      <c:pt idx="4417">
                        <c:v>30.673611111109494</c:v>
                      </c:pt>
                      <c:pt idx="4418">
                        <c:v>30.680555555554747</c:v>
                      </c:pt>
                      <c:pt idx="4419">
                        <c:v>30.6875</c:v>
                      </c:pt>
                      <c:pt idx="4420">
                        <c:v>30.694444444445253</c:v>
                      </c:pt>
                      <c:pt idx="4421">
                        <c:v>30.701388888890506</c:v>
                      </c:pt>
                      <c:pt idx="4422">
                        <c:v>30.708333333335759</c:v>
                      </c:pt>
                      <c:pt idx="4423">
                        <c:v>30.715277777781012</c:v>
                      </c:pt>
                      <c:pt idx="4424">
                        <c:v>30.722222222218988</c:v>
                      </c:pt>
                      <c:pt idx="4425">
                        <c:v>30.729166666664241</c:v>
                      </c:pt>
                      <c:pt idx="4426">
                        <c:v>30.736111111109494</c:v>
                      </c:pt>
                      <c:pt idx="4427">
                        <c:v>30.743055555554747</c:v>
                      </c:pt>
                      <c:pt idx="4428">
                        <c:v>30.75</c:v>
                      </c:pt>
                      <c:pt idx="4429">
                        <c:v>30.756944444445253</c:v>
                      </c:pt>
                      <c:pt idx="4430">
                        <c:v>30.763888888890506</c:v>
                      </c:pt>
                      <c:pt idx="4431">
                        <c:v>30.770833333335759</c:v>
                      </c:pt>
                      <c:pt idx="4432">
                        <c:v>30.777777777781012</c:v>
                      </c:pt>
                      <c:pt idx="4433">
                        <c:v>30.784722222218988</c:v>
                      </c:pt>
                      <c:pt idx="4434">
                        <c:v>30.791666666664241</c:v>
                      </c:pt>
                      <c:pt idx="4435">
                        <c:v>30.798611111109494</c:v>
                      </c:pt>
                      <c:pt idx="4436">
                        <c:v>30.805555555554747</c:v>
                      </c:pt>
                      <c:pt idx="4437">
                        <c:v>30.8125</c:v>
                      </c:pt>
                      <c:pt idx="4438">
                        <c:v>30.819444444445253</c:v>
                      </c:pt>
                      <c:pt idx="4439">
                        <c:v>30.826388888890506</c:v>
                      </c:pt>
                      <c:pt idx="4440">
                        <c:v>30.833333333335759</c:v>
                      </c:pt>
                      <c:pt idx="4441">
                        <c:v>30.840277777781012</c:v>
                      </c:pt>
                      <c:pt idx="4442">
                        <c:v>30.847222222218988</c:v>
                      </c:pt>
                      <c:pt idx="4443">
                        <c:v>30.854166666664241</c:v>
                      </c:pt>
                      <c:pt idx="4444">
                        <c:v>30.861111111109494</c:v>
                      </c:pt>
                      <c:pt idx="4445">
                        <c:v>30.868055555554747</c:v>
                      </c:pt>
                      <c:pt idx="4446">
                        <c:v>30.875</c:v>
                      </c:pt>
                      <c:pt idx="4447">
                        <c:v>30.881944444445253</c:v>
                      </c:pt>
                      <c:pt idx="4448">
                        <c:v>30.888888888890506</c:v>
                      </c:pt>
                      <c:pt idx="4449">
                        <c:v>30.895833333335759</c:v>
                      </c:pt>
                      <c:pt idx="4450">
                        <c:v>30.902777777781012</c:v>
                      </c:pt>
                      <c:pt idx="4451">
                        <c:v>30.909722222218988</c:v>
                      </c:pt>
                      <c:pt idx="4452">
                        <c:v>30.916666666664241</c:v>
                      </c:pt>
                      <c:pt idx="4453">
                        <c:v>30.923611111109494</c:v>
                      </c:pt>
                      <c:pt idx="4454">
                        <c:v>30.930555555554747</c:v>
                      </c:pt>
                      <c:pt idx="4455">
                        <c:v>30.9375</c:v>
                      </c:pt>
                      <c:pt idx="4456">
                        <c:v>30.944444444445253</c:v>
                      </c:pt>
                      <c:pt idx="4457">
                        <c:v>30.951388888890506</c:v>
                      </c:pt>
                      <c:pt idx="4458">
                        <c:v>30.958333333335759</c:v>
                      </c:pt>
                      <c:pt idx="4459">
                        <c:v>30.965277777781012</c:v>
                      </c:pt>
                      <c:pt idx="4460">
                        <c:v>30.972222222218988</c:v>
                      </c:pt>
                      <c:pt idx="4461">
                        <c:v>30.979166666664241</c:v>
                      </c:pt>
                      <c:pt idx="4462">
                        <c:v>30.986111111109494</c:v>
                      </c:pt>
                      <c:pt idx="4463">
                        <c:v>30.993055555554747</c:v>
                      </c:pt>
                      <c:pt idx="4464">
                        <c:v>31</c:v>
                      </c:pt>
                      <c:pt idx="4465">
                        <c:v>31.006944444445253</c:v>
                      </c:pt>
                      <c:pt idx="4466">
                        <c:v>31.013888888890506</c:v>
                      </c:pt>
                      <c:pt idx="4467">
                        <c:v>31.020833333335759</c:v>
                      </c:pt>
                      <c:pt idx="4468">
                        <c:v>31.027777777781012</c:v>
                      </c:pt>
                      <c:pt idx="4469">
                        <c:v>31.034722222218988</c:v>
                      </c:pt>
                      <c:pt idx="4470">
                        <c:v>31.041666666664241</c:v>
                      </c:pt>
                      <c:pt idx="4471">
                        <c:v>31.048611111109494</c:v>
                      </c:pt>
                      <c:pt idx="4472">
                        <c:v>31.055555555554747</c:v>
                      </c:pt>
                      <c:pt idx="4473">
                        <c:v>31.0625</c:v>
                      </c:pt>
                      <c:pt idx="4474">
                        <c:v>31.069444444445253</c:v>
                      </c:pt>
                      <c:pt idx="4475">
                        <c:v>31.076388888890506</c:v>
                      </c:pt>
                      <c:pt idx="4476">
                        <c:v>31.083333333335759</c:v>
                      </c:pt>
                      <c:pt idx="4477">
                        <c:v>31.090277777781012</c:v>
                      </c:pt>
                      <c:pt idx="4478">
                        <c:v>31.097222222218988</c:v>
                      </c:pt>
                      <c:pt idx="4479">
                        <c:v>31.104166666664241</c:v>
                      </c:pt>
                      <c:pt idx="4480">
                        <c:v>31.111111111109494</c:v>
                      </c:pt>
                      <c:pt idx="4481">
                        <c:v>31.118055555554747</c:v>
                      </c:pt>
                      <c:pt idx="4482">
                        <c:v>31.125</c:v>
                      </c:pt>
                      <c:pt idx="4483">
                        <c:v>31.131944444445253</c:v>
                      </c:pt>
                      <c:pt idx="4484">
                        <c:v>31.138888888890506</c:v>
                      </c:pt>
                      <c:pt idx="4485">
                        <c:v>31.145833333335759</c:v>
                      </c:pt>
                      <c:pt idx="4486">
                        <c:v>31.152777777781012</c:v>
                      </c:pt>
                      <c:pt idx="4487">
                        <c:v>31.159722222218988</c:v>
                      </c:pt>
                      <c:pt idx="4488">
                        <c:v>31.166666666664241</c:v>
                      </c:pt>
                      <c:pt idx="4489">
                        <c:v>31.173611111109494</c:v>
                      </c:pt>
                      <c:pt idx="4490">
                        <c:v>31.180555555554747</c:v>
                      </c:pt>
                      <c:pt idx="4491">
                        <c:v>31.1875</c:v>
                      </c:pt>
                      <c:pt idx="4492">
                        <c:v>31.194444444445253</c:v>
                      </c:pt>
                      <c:pt idx="4493">
                        <c:v>31.201388888890506</c:v>
                      </c:pt>
                      <c:pt idx="4494">
                        <c:v>31.208333333335759</c:v>
                      </c:pt>
                      <c:pt idx="4495">
                        <c:v>31.215277777781012</c:v>
                      </c:pt>
                      <c:pt idx="4496">
                        <c:v>31.222222222218988</c:v>
                      </c:pt>
                      <c:pt idx="4497">
                        <c:v>31.229166666664241</c:v>
                      </c:pt>
                      <c:pt idx="4498">
                        <c:v>31.236111111109494</c:v>
                      </c:pt>
                      <c:pt idx="4499">
                        <c:v>31.243055555554747</c:v>
                      </c:pt>
                      <c:pt idx="4500">
                        <c:v>31.25</c:v>
                      </c:pt>
                      <c:pt idx="4501">
                        <c:v>31.256944444445253</c:v>
                      </c:pt>
                      <c:pt idx="4502">
                        <c:v>31.263888888890506</c:v>
                      </c:pt>
                      <c:pt idx="4503">
                        <c:v>31.270833333335759</c:v>
                      </c:pt>
                      <c:pt idx="4504">
                        <c:v>31.277777777781012</c:v>
                      </c:pt>
                      <c:pt idx="4505">
                        <c:v>31.284722222218988</c:v>
                      </c:pt>
                      <c:pt idx="4506">
                        <c:v>31.291666666664241</c:v>
                      </c:pt>
                      <c:pt idx="4507">
                        <c:v>31.298611111109494</c:v>
                      </c:pt>
                      <c:pt idx="4508">
                        <c:v>31.305555555554747</c:v>
                      </c:pt>
                      <c:pt idx="4509">
                        <c:v>31.3125</c:v>
                      </c:pt>
                      <c:pt idx="4510">
                        <c:v>31.319444444445253</c:v>
                      </c:pt>
                      <c:pt idx="4511">
                        <c:v>31.326388888890506</c:v>
                      </c:pt>
                      <c:pt idx="4512">
                        <c:v>31.333333333335759</c:v>
                      </c:pt>
                      <c:pt idx="4513">
                        <c:v>31.340277777781012</c:v>
                      </c:pt>
                      <c:pt idx="4514">
                        <c:v>31.347222222218988</c:v>
                      </c:pt>
                      <c:pt idx="4515">
                        <c:v>31.354166666664241</c:v>
                      </c:pt>
                      <c:pt idx="4516">
                        <c:v>31.361111111109494</c:v>
                      </c:pt>
                      <c:pt idx="4517">
                        <c:v>31.368055555554747</c:v>
                      </c:pt>
                      <c:pt idx="4518">
                        <c:v>31.375</c:v>
                      </c:pt>
                      <c:pt idx="4519">
                        <c:v>31.381944444445253</c:v>
                      </c:pt>
                      <c:pt idx="4520">
                        <c:v>31.388888888890506</c:v>
                      </c:pt>
                      <c:pt idx="4521">
                        <c:v>31.395833333335759</c:v>
                      </c:pt>
                      <c:pt idx="4522">
                        <c:v>31.402777777781012</c:v>
                      </c:pt>
                      <c:pt idx="4523">
                        <c:v>31.409722222218988</c:v>
                      </c:pt>
                      <c:pt idx="4524">
                        <c:v>31.416666666664241</c:v>
                      </c:pt>
                      <c:pt idx="4525">
                        <c:v>31.423611111109494</c:v>
                      </c:pt>
                      <c:pt idx="4526">
                        <c:v>31.430555555554747</c:v>
                      </c:pt>
                      <c:pt idx="4527">
                        <c:v>31.4375</c:v>
                      </c:pt>
                      <c:pt idx="4528">
                        <c:v>31.444444444445253</c:v>
                      </c:pt>
                      <c:pt idx="4529">
                        <c:v>31.451388888890506</c:v>
                      </c:pt>
                      <c:pt idx="4530">
                        <c:v>31.458333333335759</c:v>
                      </c:pt>
                      <c:pt idx="4531">
                        <c:v>31.465277777781012</c:v>
                      </c:pt>
                      <c:pt idx="4532">
                        <c:v>31.472222222218988</c:v>
                      </c:pt>
                      <c:pt idx="4533">
                        <c:v>31.479166666664241</c:v>
                      </c:pt>
                      <c:pt idx="4534">
                        <c:v>31.486111111109494</c:v>
                      </c:pt>
                      <c:pt idx="4535">
                        <c:v>31.493055555554747</c:v>
                      </c:pt>
                      <c:pt idx="4536">
                        <c:v>31.5</c:v>
                      </c:pt>
                      <c:pt idx="4537">
                        <c:v>31.506944444445253</c:v>
                      </c:pt>
                      <c:pt idx="4538">
                        <c:v>31.513888888890506</c:v>
                      </c:pt>
                      <c:pt idx="4539">
                        <c:v>31.520833333335759</c:v>
                      </c:pt>
                      <c:pt idx="4540">
                        <c:v>31.527777777781012</c:v>
                      </c:pt>
                      <c:pt idx="4541">
                        <c:v>31.534722222218988</c:v>
                      </c:pt>
                      <c:pt idx="4542">
                        <c:v>31.541666666664241</c:v>
                      </c:pt>
                      <c:pt idx="4543">
                        <c:v>31.548611111109494</c:v>
                      </c:pt>
                      <c:pt idx="4544">
                        <c:v>31.555555555554747</c:v>
                      </c:pt>
                      <c:pt idx="4545">
                        <c:v>31.5625</c:v>
                      </c:pt>
                      <c:pt idx="4546">
                        <c:v>31.569444444445253</c:v>
                      </c:pt>
                      <c:pt idx="4547">
                        <c:v>31.576388888890506</c:v>
                      </c:pt>
                      <c:pt idx="4548">
                        <c:v>31.583333333335759</c:v>
                      </c:pt>
                      <c:pt idx="4549">
                        <c:v>31.590277777781012</c:v>
                      </c:pt>
                      <c:pt idx="4550">
                        <c:v>31.597222222218988</c:v>
                      </c:pt>
                      <c:pt idx="4551">
                        <c:v>31.604166666664241</c:v>
                      </c:pt>
                      <c:pt idx="4552">
                        <c:v>31.611111111109494</c:v>
                      </c:pt>
                      <c:pt idx="4553">
                        <c:v>31.618055555554747</c:v>
                      </c:pt>
                      <c:pt idx="4554">
                        <c:v>31.625</c:v>
                      </c:pt>
                      <c:pt idx="4555">
                        <c:v>31.631944444445253</c:v>
                      </c:pt>
                      <c:pt idx="4556">
                        <c:v>31.638888888890506</c:v>
                      </c:pt>
                      <c:pt idx="4557">
                        <c:v>31.645833333335759</c:v>
                      </c:pt>
                      <c:pt idx="4558">
                        <c:v>31.652777777781012</c:v>
                      </c:pt>
                      <c:pt idx="4559">
                        <c:v>31.659722222218988</c:v>
                      </c:pt>
                      <c:pt idx="4560">
                        <c:v>31.666666666664241</c:v>
                      </c:pt>
                      <c:pt idx="4561">
                        <c:v>31.673611111109494</c:v>
                      </c:pt>
                      <c:pt idx="4562">
                        <c:v>31.680555555554747</c:v>
                      </c:pt>
                      <c:pt idx="4563">
                        <c:v>31.6875</c:v>
                      </c:pt>
                      <c:pt idx="4564">
                        <c:v>31.694444444445253</c:v>
                      </c:pt>
                      <c:pt idx="4565">
                        <c:v>31.701388888890506</c:v>
                      </c:pt>
                      <c:pt idx="4566">
                        <c:v>31.708333333335759</c:v>
                      </c:pt>
                      <c:pt idx="4567">
                        <c:v>31.715277777781012</c:v>
                      </c:pt>
                      <c:pt idx="4568">
                        <c:v>31.722222222218988</c:v>
                      </c:pt>
                      <c:pt idx="4569">
                        <c:v>31.729166666664241</c:v>
                      </c:pt>
                      <c:pt idx="4570">
                        <c:v>31.736111111109494</c:v>
                      </c:pt>
                      <c:pt idx="4571">
                        <c:v>31.743055555554747</c:v>
                      </c:pt>
                      <c:pt idx="4572">
                        <c:v>31.75</c:v>
                      </c:pt>
                      <c:pt idx="4573">
                        <c:v>31.756944444445253</c:v>
                      </c:pt>
                      <c:pt idx="4574">
                        <c:v>31.763888888890506</c:v>
                      </c:pt>
                      <c:pt idx="4575">
                        <c:v>31.770833333335759</c:v>
                      </c:pt>
                      <c:pt idx="4576">
                        <c:v>31.777777777781012</c:v>
                      </c:pt>
                      <c:pt idx="4577">
                        <c:v>31.784722222218988</c:v>
                      </c:pt>
                      <c:pt idx="4578">
                        <c:v>31.791666666664241</c:v>
                      </c:pt>
                      <c:pt idx="4579">
                        <c:v>31.798611111109494</c:v>
                      </c:pt>
                      <c:pt idx="4580">
                        <c:v>31.805555555554747</c:v>
                      </c:pt>
                      <c:pt idx="4581">
                        <c:v>31.8125</c:v>
                      </c:pt>
                      <c:pt idx="4582">
                        <c:v>31.819444444445253</c:v>
                      </c:pt>
                      <c:pt idx="4583">
                        <c:v>31.826388888890506</c:v>
                      </c:pt>
                      <c:pt idx="4584">
                        <c:v>31.833333333335759</c:v>
                      </c:pt>
                      <c:pt idx="4585">
                        <c:v>31.840277777781012</c:v>
                      </c:pt>
                      <c:pt idx="4586">
                        <c:v>31.847222222218988</c:v>
                      </c:pt>
                      <c:pt idx="4587">
                        <c:v>31.854166666664241</c:v>
                      </c:pt>
                      <c:pt idx="4588">
                        <c:v>31.861111111109494</c:v>
                      </c:pt>
                      <c:pt idx="4589">
                        <c:v>31.868055555554747</c:v>
                      </c:pt>
                      <c:pt idx="4590">
                        <c:v>31.875</c:v>
                      </c:pt>
                      <c:pt idx="4591">
                        <c:v>31.881944444445253</c:v>
                      </c:pt>
                      <c:pt idx="4592">
                        <c:v>31.888888888890506</c:v>
                      </c:pt>
                      <c:pt idx="4593">
                        <c:v>31.895833333335759</c:v>
                      </c:pt>
                      <c:pt idx="4594">
                        <c:v>31.902777777781012</c:v>
                      </c:pt>
                      <c:pt idx="4595">
                        <c:v>31.909722222218988</c:v>
                      </c:pt>
                      <c:pt idx="4596">
                        <c:v>31.916666666664241</c:v>
                      </c:pt>
                      <c:pt idx="4597">
                        <c:v>31.923611111109494</c:v>
                      </c:pt>
                      <c:pt idx="4598">
                        <c:v>31.930555555554747</c:v>
                      </c:pt>
                      <c:pt idx="4599">
                        <c:v>31.9375</c:v>
                      </c:pt>
                      <c:pt idx="4600">
                        <c:v>31.944444444445253</c:v>
                      </c:pt>
                      <c:pt idx="4601">
                        <c:v>31.951388888890506</c:v>
                      </c:pt>
                      <c:pt idx="4602">
                        <c:v>31.958333333335759</c:v>
                      </c:pt>
                      <c:pt idx="4603">
                        <c:v>31.965277777781012</c:v>
                      </c:pt>
                      <c:pt idx="4604">
                        <c:v>31.972222222218988</c:v>
                      </c:pt>
                      <c:pt idx="4605">
                        <c:v>31.979166666664241</c:v>
                      </c:pt>
                      <c:pt idx="4606">
                        <c:v>31.986111111109494</c:v>
                      </c:pt>
                      <c:pt idx="4607">
                        <c:v>31.993055555554747</c:v>
                      </c:pt>
                      <c:pt idx="4608">
                        <c:v>32</c:v>
                      </c:pt>
                      <c:pt idx="4609">
                        <c:v>32.006944444445253</c:v>
                      </c:pt>
                      <c:pt idx="4610">
                        <c:v>32.013888888890506</c:v>
                      </c:pt>
                      <c:pt idx="4611">
                        <c:v>32.020833333335759</c:v>
                      </c:pt>
                      <c:pt idx="4612">
                        <c:v>32.027777777781012</c:v>
                      </c:pt>
                      <c:pt idx="4613">
                        <c:v>32.034722222218988</c:v>
                      </c:pt>
                      <c:pt idx="4614">
                        <c:v>32.041666666664241</c:v>
                      </c:pt>
                      <c:pt idx="4615">
                        <c:v>32.048611111109494</c:v>
                      </c:pt>
                      <c:pt idx="4616">
                        <c:v>32.055555555554747</c:v>
                      </c:pt>
                      <c:pt idx="4617">
                        <c:v>32.0625</c:v>
                      </c:pt>
                      <c:pt idx="4618">
                        <c:v>32.069444444445253</c:v>
                      </c:pt>
                      <c:pt idx="4619">
                        <c:v>32.076388888890506</c:v>
                      </c:pt>
                      <c:pt idx="4620">
                        <c:v>32.083333333335759</c:v>
                      </c:pt>
                      <c:pt idx="4621">
                        <c:v>32.090277777781012</c:v>
                      </c:pt>
                      <c:pt idx="4622">
                        <c:v>32.097222222218988</c:v>
                      </c:pt>
                      <c:pt idx="4623">
                        <c:v>32.104166666664241</c:v>
                      </c:pt>
                      <c:pt idx="4624">
                        <c:v>32.111111111109494</c:v>
                      </c:pt>
                      <c:pt idx="4625">
                        <c:v>32.118055555554747</c:v>
                      </c:pt>
                      <c:pt idx="4626">
                        <c:v>32.125</c:v>
                      </c:pt>
                      <c:pt idx="4627">
                        <c:v>32.131944444445253</c:v>
                      </c:pt>
                      <c:pt idx="4628">
                        <c:v>32.138888888890506</c:v>
                      </c:pt>
                      <c:pt idx="4629">
                        <c:v>32.145833333335759</c:v>
                      </c:pt>
                      <c:pt idx="4630">
                        <c:v>32.152777777781012</c:v>
                      </c:pt>
                      <c:pt idx="4631">
                        <c:v>32.159722222218988</c:v>
                      </c:pt>
                      <c:pt idx="4632">
                        <c:v>32.166666666664241</c:v>
                      </c:pt>
                      <c:pt idx="4633">
                        <c:v>32.173611111109494</c:v>
                      </c:pt>
                      <c:pt idx="4634">
                        <c:v>32.180555555554747</c:v>
                      </c:pt>
                      <c:pt idx="4635">
                        <c:v>32.1875</c:v>
                      </c:pt>
                      <c:pt idx="4636">
                        <c:v>32.194444444445253</c:v>
                      </c:pt>
                      <c:pt idx="4637">
                        <c:v>32.201388888890506</c:v>
                      </c:pt>
                      <c:pt idx="4638">
                        <c:v>32.208333333335759</c:v>
                      </c:pt>
                      <c:pt idx="4639">
                        <c:v>32.215277777781012</c:v>
                      </c:pt>
                      <c:pt idx="4640">
                        <c:v>32.222222222218988</c:v>
                      </c:pt>
                      <c:pt idx="4641">
                        <c:v>32.229166666664241</c:v>
                      </c:pt>
                      <c:pt idx="4642">
                        <c:v>32.236111111109494</c:v>
                      </c:pt>
                      <c:pt idx="4643">
                        <c:v>32.243055555554747</c:v>
                      </c:pt>
                      <c:pt idx="4644">
                        <c:v>32.25</c:v>
                      </c:pt>
                      <c:pt idx="4645">
                        <c:v>32.256944444445253</c:v>
                      </c:pt>
                      <c:pt idx="4646">
                        <c:v>32.263888888890506</c:v>
                      </c:pt>
                      <c:pt idx="4647">
                        <c:v>32.270833333335759</c:v>
                      </c:pt>
                      <c:pt idx="4648">
                        <c:v>32.277777777781012</c:v>
                      </c:pt>
                      <c:pt idx="4649">
                        <c:v>32.284722222218988</c:v>
                      </c:pt>
                      <c:pt idx="4650">
                        <c:v>32.291666666664241</c:v>
                      </c:pt>
                      <c:pt idx="4651">
                        <c:v>32.298611111109494</c:v>
                      </c:pt>
                      <c:pt idx="4652">
                        <c:v>32.305555555554747</c:v>
                      </c:pt>
                      <c:pt idx="4653">
                        <c:v>32.3125</c:v>
                      </c:pt>
                      <c:pt idx="4654">
                        <c:v>32.319444444445253</c:v>
                      </c:pt>
                      <c:pt idx="4655">
                        <c:v>32.326388888890506</c:v>
                      </c:pt>
                      <c:pt idx="4656">
                        <c:v>32.333333333335759</c:v>
                      </c:pt>
                      <c:pt idx="4657">
                        <c:v>32.340277777781012</c:v>
                      </c:pt>
                      <c:pt idx="4658">
                        <c:v>32.347222222218988</c:v>
                      </c:pt>
                      <c:pt idx="4659">
                        <c:v>32.354166666664241</c:v>
                      </c:pt>
                      <c:pt idx="4660">
                        <c:v>32.361111111109494</c:v>
                      </c:pt>
                      <c:pt idx="4661">
                        <c:v>32.368055555554747</c:v>
                      </c:pt>
                      <c:pt idx="4662">
                        <c:v>32.375</c:v>
                      </c:pt>
                      <c:pt idx="4663">
                        <c:v>32.381944444445253</c:v>
                      </c:pt>
                      <c:pt idx="4664">
                        <c:v>32.388888888890506</c:v>
                      </c:pt>
                      <c:pt idx="4665">
                        <c:v>32.395833333335759</c:v>
                      </c:pt>
                      <c:pt idx="4666">
                        <c:v>32.402777777781012</c:v>
                      </c:pt>
                      <c:pt idx="4667">
                        <c:v>32.409722222218988</c:v>
                      </c:pt>
                      <c:pt idx="4668">
                        <c:v>32.416666666664241</c:v>
                      </c:pt>
                      <c:pt idx="4669">
                        <c:v>32.423611111109494</c:v>
                      </c:pt>
                      <c:pt idx="4670">
                        <c:v>32.430555555554747</c:v>
                      </c:pt>
                      <c:pt idx="4671">
                        <c:v>32.4375</c:v>
                      </c:pt>
                      <c:pt idx="4672">
                        <c:v>32.444444444445253</c:v>
                      </c:pt>
                      <c:pt idx="4673">
                        <c:v>32.451388888890506</c:v>
                      </c:pt>
                      <c:pt idx="4674">
                        <c:v>32.458333333335759</c:v>
                      </c:pt>
                      <c:pt idx="4675">
                        <c:v>32.465277777781012</c:v>
                      </c:pt>
                      <c:pt idx="4676">
                        <c:v>32.472222222218988</c:v>
                      </c:pt>
                      <c:pt idx="4677">
                        <c:v>32.479166666664241</c:v>
                      </c:pt>
                      <c:pt idx="4678">
                        <c:v>32.486111111109494</c:v>
                      </c:pt>
                      <c:pt idx="4679">
                        <c:v>32.493055555554747</c:v>
                      </c:pt>
                      <c:pt idx="4680">
                        <c:v>32.5</c:v>
                      </c:pt>
                      <c:pt idx="4681">
                        <c:v>32.506944444445253</c:v>
                      </c:pt>
                      <c:pt idx="4682">
                        <c:v>32.513888888890506</c:v>
                      </c:pt>
                      <c:pt idx="4683">
                        <c:v>32.520833333335759</c:v>
                      </c:pt>
                      <c:pt idx="4684">
                        <c:v>32.527777777781012</c:v>
                      </c:pt>
                      <c:pt idx="4685">
                        <c:v>32.534722222218988</c:v>
                      </c:pt>
                      <c:pt idx="4686">
                        <c:v>32.541666666664241</c:v>
                      </c:pt>
                      <c:pt idx="4687">
                        <c:v>32.548611111109494</c:v>
                      </c:pt>
                      <c:pt idx="4688">
                        <c:v>32.555555555554747</c:v>
                      </c:pt>
                      <c:pt idx="4689">
                        <c:v>32.5625</c:v>
                      </c:pt>
                      <c:pt idx="4690">
                        <c:v>32.569444444445253</c:v>
                      </c:pt>
                      <c:pt idx="4691">
                        <c:v>32.576388888890506</c:v>
                      </c:pt>
                      <c:pt idx="4692">
                        <c:v>32.583333333335759</c:v>
                      </c:pt>
                      <c:pt idx="4693">
                        <c:v>32.590277777781012</c:v>
                      </c:pt>
                      <c:pt idx="4694">
                        <c:v>32.597222222218988</c:v>
                      </c:pt>
                      <c:pt idx="4695">
                        <c:v>32.604166666664241</c:v>
                      </c:pt>
                      <c:pt idx="4696">
                        <c:v>32.611111111109494</c:v>
                      </c:pt>
                      <c:pt idx="4697">
                        <c:v>32.618055555554747</c:v>
                      </c:pt>
                      <c:pt idx="4698">
                        <c:v>32.625</c:v>
                      </c:pt>
                      <c:pt idx="4699">
                        <c:v>32.631944444445253</c:v>
                      </c:pt>
                      <c:pt idx="4700">
                        <c:v>32.638888888890506</c:v>
                      </c:pt>
                      <c:pt idx="4701">
                        <c:v>32.645833333335759</c:v>
                      </c:pt>
                      <c:pt idx="4702">
                        <c:v>32.652777777781012</c:v>
                      </c:pt>
                      <c:pt idx="4703">
                        <c:v>32.659722222218988</c:v>
                      </c:pt>
                      <c:pt idx="4704">
                        <c:v>32.666666666664241</c:v>
                      </c:pt>
                      <c:pt idx="4705">
                        <c:v>32.673611111109494</c:v>
                      </c:pt>
                      <c:pt idx="4706">
                        <c:v>32.680555555554747</c:v>
                      </c:pt>
                      <c:pt idx="4707">
                        <c:v>32.6875</c:v>
                      </c:pt>
                      <c:pt idx="4708">
                        <c:v>32.694444444445253</c:v>
                      </c:pt>
                      <c:pt idx="4709">
                        <c:v>32.701388888890506</c:v>
                      </c:pt>
                      <c:pt idx="4710">
                        <c:v>32.708333333335759</c:v>
                      </c:pt>
                      <c:pt idx="4711">
                        <c:v>32.715277777781012</c:v>
                      </c:pt>
                      <c:pt idx="4712">
                        <c:v>32.722222222218988</c:v>
                      </c:pt>
                      <c:pt idx="4713">
                        <c:v>32.729166666664241</c:v>
                      </c:pt>
                      <c:pt idx="4714">
                        <c:v>32.736111111109494</c:v>
                      </c:pt>
                      <c:pt idx="4715">
                        <c:v>32.743055555554747</c:v>
                      </c:pt>
                      <c:pt idx="4716">
                        <c:v>32.75</c:v>
                      </c:pt>
                      <c:pt idx="4717">
                        <c:v>32.756944444445253</c:v>
                      </c:pt>
                      <c:pt idx="4718">
                        <c:v>32.763888888890506</c:v>
                      </c:pt>
                      <c:pt idx="4719">
                        <c:v>32.770833333335759</c:v>
                      </c:pt>
                      <c:pt idx="4720">
                        <c:v>32.777777777781012</c:v>
                      </c:pt>
                      <c:pt idx="4721">
                        <c:v>32.784722222218988</c:v>
                      </c:pt>
                      <c:pt idx="4722">
                        <c:v>32.791666666664241</c:v>
                      </c:pt>
                      <c:pt idx="4723">
                        <c:v>32.798611111109494</c:v>
                      </c:pt>
                      <c:pt idx="4724">
                        <c:v>32.805555555554747</c:v>
                      </c:pt>
                      <c:pt idx="4725">
                        <c:v>32.8125</c:v>
                      </c:pt>
                      <c:pt idx="4726">
                        <c:v>32.819444444445253</c:v>
                      </c:pt>
                      <c:pt idx="4727">
                        <c:v>32.826388888890506</c:v>
                      </c:pt>
                      <c:pt idx="4728">
                        <c:v>32.833333333335759</c:v>
                      </c:pt>
                      <c:pt idx="4729">
                        <c:v>32.840277777781012</c:v>
                      </c:pt>
                      <c:pt idx="4730">
                        <c:v>32.847222222218988</c:v>
                      </c:pt>
                      <c:pt idx="4731">
                        <c:v>32.854166666664241</c:v>
                      </c:pt>
                      <c:pt idx="4732">
                        <c:v>32.861111111109494</c:v>
                      </c:pt>
                      <c:pt idx="4733">
                        <c:v>32.868055555554747</c:v>
                      </c:pt>
                      <c:pt idx="4734">
                        <c:v>32.875</c:v>
                      </c:pt>
                      <c:pt idx="4735">
                        <c:v>32.881944444445253</c:v>
                      </c:pt>
                      <c:pt idx="4736">
                        <c:v>32.888888888890506</c:v>
                      </c:pt>
                      <c:pt idx="4737">
                        <c:v>32.895833333335759</c:v>
                      </c:pt>
                      <c:pt idx="4738">
                        <c:v>32.902777777781012</c:v>
                      </c:pt>
                      <c:pt idx="4739">
                        <c:v>32.909722222218988</c:v>
                      </c:pt>
                      <c:pt idx="4740">
                        <c:v>32.916666666664241</c:v>
                      </c:pt>
                      <c:pt idx="4741">
                        <c:v>32.923611111109494</c:v>
                      </c:pt>
                      <c:pt idx="4742">
                        <c:v>32.930555555554747</c:v>
                      </c:pt>
                      <c:pt idx="4743">
                        <c:v>32.9375</c:v>
                      </c:pt>
                      <c:pt idx="4744">
                        <c:v>32.944444444445253</c:v>
                      </c:pt>
                      <c:pt idx="4745">
                        <c:v>32.951388888890506</c:v>
                      </c:pt>
                      <c:pt idx="4746">
                        <c:v>32.958333333335759</c:v>
                      </c:pt>
                      <c:pt idx="4747">
                        <c:v>32.965277777781012</c:v>
                      </c:pt>
                      <c:pt idx="4748">
                        <c:v>32.972222222218988</c:v>
                      </c:pt>
                      <c:pt idx="4749">
                        <c:v>32.979166666664241</c:v>
                      </c:pt>
                      <c:pt idx="4750">
                        <c:v>32.986111111109494</c:v>
                      </c:pt>
                      <c:pt idx="4751">
                        <c:v>32.993055555554747</c:v>
                      </c:pt>
                      <c:pt idx="4752">
                        <c:v>33</c:v>
                      </c:pt>
                      <c:pt idx="4753">
                        <c:v>33.006944444445253</c:v>
                      </c:pt>
                      <c:pt idx="4754">
                        <c:v>33.013888888890506</c:v>
                      </c:pt>
                      <c:pt idx="4755">
                        <c:v>33.020833333335759</c:v>
                      </c:pt>
                      <c:pt idx="4756">
                        <c:v>33.027777777781012</c:v>
                      </c:pt>
                      <c:pt idx="4757">
                        <c:v>33.034722222218988</c:v>
                      </c:pt>
                      <c:pt idx="4758">
                        <c:v>33.041666666664241</c:v>
                      </c:pt>
                      <c:pt idx="4759">
                        <c:v>33.048611111109494</c:v>
                      </c:pt>
                      <c:pt idx="4760">
                        <c:v>33.055555555554747</c:v>
                      </c:pt>
                      <c:pt idx="4761">
                        <c:v>33.0625</c:v>
                      </c:pt>
                      <c:pt idx="4762">
                        <c:v>33.069444444445253</c:v>
                      </c:pt>
                      <c:pt idx="4763">
                        <c:v>33.076388888890506</c:v>
                      </c:pt>
                      <c:pt idx="4764">
                        <c:v>33.083333333335759</c:v>
                      </c:pt>
                      <c:pt idx="4765">
                        <c:v>33.090277777781012</c:v>
                      </c:pt>
                      <c:pt idx="4766">
                        <c:v>33.097222222218988</c:v>
                      </c:pt>
                      <c:pt idx="4767">
                        <c:v>33.104166666664241</c:v>
                      </c:pt>
                      <c:pt idx="4768">
                        <c:v>33.111111111109494</c:v>
                      </c:pt>
                      <c:pt idx="4769">
                        <c:v>33.118055555554747</c:v>
                      </c:pt>
                      <c:pt idx="4770">
                        <c:v>33.125</c:v>
                      </c:pt>
                      <c:pt idx="4771">
                        <c:v>33.131944444445253</c:v>
                      </c:pt>
                      <c:pt idx="4772">
                        <c:v>33.138888888890506</c:v>
                      </c:pt>
                      <c:pt idx="4773">
                        <c:v>33.145833333335759</c:v>
                      </c:pt>
                      <c:pt idx="4774">
                        <c:v>33.152777777781012</c:v>
                      </c:pt>
                      <c:pt idx="4775">
                        <c:v>33.159722222218988</c:v>
                      </c:pt>
                      <c:pt idx="4776">
                        <c:v>33.166666666664241</c:v>
                      </c:pt>
                      <c:pt idx="4777">
                        <c:v>33.173611111109494</c:v>
                      </c:pt>
                      <c:pt idx="4778">
                        <c:v>33.180555555554747</c:v>
                      </c:pt>
                      <c:pt idx="4779">
                        <c:v>33.1875</c:v>
                      </c:pt>
                      <c:pt idx="4780">
                        <c:v>33.194444444445253</c:v>
                      </c:pt>
                      <c:pt idx="4781">
                        <c:v>33.201388888890506</c:v>
                      </c:pt>
                      <c:pt idx="4782">
                        <c:v>33.208333333335759</c:v>
                      </c:pt>
                      <c:pt idx="4783">
                        <c:v>33.215277777781012</c:v>
                      </c:pt>
                      <c:pt idx="4784">
                        <c:v>33.222222222218988</c:v>
                      </c:pt>
                      <c:pt idx="4785">
                        <c:v>33.229166666664241</c:v>
                      </c:pt>
                      <c:pt idx="4786">
                        <c:v>33.236111111109494</c:v>
                      </c:pt>
                      <c:pt idx="4787">
                        <c:v>33.243055555554747</c:v>
                      </c:pt>
                      <c:pt idx="4788">
                        <c:v>33.25</c:v>
                      </c:pt>
                      <c:pt idx="4789">
                        <c:v>33.256944444445253</c:v>
                      </c:pt>
                      <c:pt idx="4790">
                        <c:v>33.263888888890506</c:v>
                      </c:pt>
                      <c:pt idx="4791">
                        <c:v>33.270833333335759</c:v>
                      </c:pt>
                      <c:pt idx="4792">
                        <c:v>33.277777777781012</c:v>
                      </c:pt>
                      <c:pt idx="4793">
                        <c:v>33.284722222218988</c:v>
                      </c:pt>
                      <c:pt idx="4794">
                        <c:v>33.291666666664241</c:v>
                      </c:pt>
                      <c:pt idx="4795">
                        <c:v>33.298611111109494</c:v>
                      </c:pt>
                      <c:pt idx="4796">
                        <c:v>33.305555555554747</c:v>
                      </c:pt>
                      <c:pt idx="4797">
                        <c:v>33.3125</c:v>
                      </c:pt>
                      <c:pt idx="4798">
                        <c:v>33.319444444445253</c:v>
                      </c:pt>
                      <c:pt idx="4799">
                        <c:v>33.326388888890506</c:v>
                      </c:pt>
                      <c:pt idx="4800">
                        <c:v>33.333333333335759</c:v>
                      </c:pt>
                      <c:pt idx="4801">
                        <c:v>33.340277777781012</c:v>
                      </c:pt>
                      <c:pt idx="4802">
                        <c:v>33.347222222218988</c:v>
                      </c:pt>
                      <c:pt idx="4803">
                        <c:v>33.354166666664241</c:v>
                      </c:pt>
                      <c:pt idx="4804">
                        <c:v>33.361111111109494</c:v>
                      </c:pt>
                      <c:pt idx="4805">
                        <c:v>33.368055555554747</c:v>
                      </c:pt>
                      <c:pt idx="4806">
                        <c:v>33.375</c:v>
                      </c:pt>
                      <c:pt idx="4807">
                        <c:v>33.381944444445253</c:v>
                      </c:pt>
                      <c:pt idx="4808">
                        <c:v>33.388888888890506</c:v>
                      </c:pt>
                      <c:pt idx="4809">
                        <c:v>33.395833333335759</c:v>
                      </c:pt>
                      <c:pt idx="4810">
                        <c:v>33.402777777781012</c:v>
                      </c:pt>
                      <c:pt idx="4811">
                        <c:v>33.409722222218988</c:v>
                      </c:pt>
                      <c:pt idx="4812">
                        <c:v>33.416666666664241</c:v>
                      </c:pt>
                      <c:pt idx="4813">
                        <c:v>33.423611111109494</c:v>
                      </c:pt>
                      <c:pt idx="4814">
                        <c:v>33.430555555554747</c:v>
                      </c:pt>
                      <c:pt idx="4815">
                        <c:v>33.4375</c:v>
                      </c:pt>
                      <c:pt idx="4816">
                        <c:v>33.444444444445253</c:v>
                      </c:pt>
                      <c:pt idx="4817">
                        <c:v>33.451388888890506</c:v>
                      </c:pt>
                      <c:pt idx="4818">
                        <c:v>33.458333333335759</c:v>
                      </c:pt>
                      <c:pt idx="4819">
                        <c:v>33.465277777781012</c:v>
                      </c:pt>
                      <c:pt idx="4820">
                        <c:v>33.472222222218988</c:v>
                      </c:pt>
                      <c:pt idx="4821">
                        <c:v>33.479166666664241</c:v>
                      </c:pt>
                      <c:pt idx="4822">
                        <c:v>33.486111111109494</c:v>
                      </c:pt>
                      <c:pt idx="4823">
                        <c:v>33.493055555554747</c:v>
                      </c:pt>
                      <c:pt idx="4824">
                        <c:v>33.5</c:v>
                      </c:pt>
                      <c:pt idx="4825">
                        <c:v>33.506944444445253</c:v>
                      </c:pt>
                      <c:pt idx="4826">
                        <c:v>33.513888888890506</c:v>
                      </c:pt>
                      <c:pt idx="4827">
                        <c:v>33.520833333335759</c:v>
                      </c:pt>
                      <c:pt idx="4828">
                        <c:v>33.527777777781012</c:v>
                      </c:pt>
                      <c:pt idx="4829">
                        <c:v>33.534722222218988</c:v>
                      </c:pt>
                      <c:pt idx="4830">
                        <c:v>33.541666666664241</c:v>
                      </c:pt>
                      <c:pt idx="4831">
                        <c:v>33.548611111109494</c:v>
                      </c:pt>
                      <c:pt idx="4832">
                        <c:v>33.555555555554747</c:v>
                      </c:pt>
                      <c:pt idx="4833">
                        <c:v>33.5625</c:v>
                      </c:pt>
                      <c:pt idx="4834">
                        <c:v>33.569444444445253</c:v>
                      </c:pt>
                      <c:pt idx="4835">
                        <c:v>33.576388888890506</c:v>
                      </c:pt>
                      <c:pt idx="4836">
                        <c:v>33.583333333335759</c:v>
                      </c:pt>
                      <c:pt idx="4837">
                        <c:v>33.590277777781012</c:v>
                      </c:pt>
                      <c:pt idx="4838">
                        <c:v>33.597222222218988</c:v>
                      </c:pt>
                      <c:pt idx="4839">
                        <c:v>33.604166666664241</c:v>
                      </c:pt>
                      <c:pt idx="4840">
                        <c:v>33.611111111109494</c:v>
                      </c:pt>
                      <c:pt idx="4841">
                        <c:v>33.618055555554747</c:v>
                      </c:pt>
                      <c:pt idx="4842">
                        <c:v>33.625</c:v>
                      </c:pt>
                      <c:pt idx="4843">
                        <c:v>33.631944444445253</c:v>
                      </c:pt>
                      <c:pt idx="4844">
                        <c:v>33.638888888890506</c:v>
                      </c:pt>
                      <c:pt idx="4845">
                        <c:v>33.645833333335759</c:v>
                      </c:pt>
                      <c:pt idx="4846">
                        <c:v>33.652777777781012</c:v>
                      </c:pt>
                      <c:pt idx="4847">
                        <c:v>33.659722222218988</c:v>
                      </c:pt>
                      <c:pt idx="4848">
                        <c:v>33.666666666664241</c:v>
                      </c:pt>
                      <c:pt idx="4849">
                        <c:v>33.673611111109494</c:v>
                      </c:pt>
                      <c:pt idx="4850">
                        <c:v>33.680555555554747</c:v>
                      </c:pt>
                      <c:pt idx="4851">
                        <c:v>33.6875</c:v>
                      </c:pt>
                      <c:pt idx="4852">
                        <c:v>33.694444444445253</c:v>
                      </c:pt>
                      <c:pt idx="4853">
                        <c:v>33.701388888890506</c:v>
                      </c:pt>
                      <c:pt idx="4854">
                        <c:v>33.708333333335759</c:v>
                      </c:pt>
                      <c:pt idx="4855">
                        <c:v>33.715277777781012</c:v>
                      </c:pt>
                      <c:pt idx="4856">
                        <c:v>33.722222222218988</c:v>
                      </c:pt>
                      <c:pt idx="4857">
                        <c:v>33.729166666664241</c:v>
                      </c:pt>
                      <c:pt idx="4858">
                        <c:v>33.736111111109494</c:v>
                      </c:pt>
                      <c:pt idx="4859">
                        <c:v>33.743055555554747</c:v>
                      </c:pt>
                      <c:pt idx="4860">
                        <c:v>33.75</c:v>
                      </c:pt>
                      <c:pt idx="4861">
                        <c:v>33.756944444445253</c:v>
                      </c:pt>
                      <c:pt idx="4862">
                        <c:v>33.763888888890506</c:v>
                      </c:pt>
                      <c:pt idx="4863">
                        <c:v>33.770833333335759</c:v>
                      </c:pt>
                      <c:pt idx="4864">
                        <c:v>33.777777777781012</c:v>
                      </c:pt>
                      <c:pt idx="4865">
                        <c:v>33.784722222218988</c:v>
                      </c:pt>
                      <c:pt idx="4866">
                        <c:v>33.791666666664241</c:v>
                      </c:pt>
                      <c:pt idx="4867">
                        <c:v>33.798611111109494</c:v>
                      </c:pt>
                      <c:pt idx="4868">
                        <c:v>33.805555555554747</c:v>
                      </c:pt>
                      <c:pt idx="4869">
                        <c:v>33.8125</c:v>
                      </c:pt>
                      <c:pt idx="4870">
                        <c:v>33.819444444445253</c:v>
                      </c:pt>
                      <c:pt idx="4871">
                        <c:v>33.826388888890506</c:v>
                      </c:pt>
                      <c:pt idx="4872">
                        <c:v>33.833333333335759</c:v>
                      </c:pt>
                      <c:pt idx="4873">
                        <c:v>33.840277777781012</c:v>
                      </c:pt>
                      <c:pt idx="4874">
                        <c:v>33.847222222218988</c:v>
                      </c:pt>
                      <c:pt idx="4875">
                        <c:v>33.854166666664241</c:v>
                      </c:pt>
                      <c:pt idx="4876">
                        <c:v>33.861111111109494</c:v>
                      </c:pt>
                      <c:pt idx="4877">
                        <c:v>33.868055555554747</c:v>
                      </c:pt>
                      <c:pt idx="4878">
                        <c:v>33.875</c:v>
                      </c:pt>
                      <c:pt idx="4879">
                        <c:v>33.881944444445253</c:v>
                      </c:pt>
                      <c:pt idx="4880">
                        <c:v>33.888888888890506</c:v>
                      </c:pt>
                      <c:pt idx="4881">
                        <c:v>33.895833333335759</c:v>
                      </c:pt>
                      <c:pt idx="4882">
                        <c:v>33.902777777781012</c:v>
                      </c:pt>
                      <c:pt idx="4883">
                        <c:v>33.909722222218988</c:v>
                      </c:pt>
                      <c:pt idx="4884">
                        <c:v>33.916666666664241</c:v>
                      </c:pt>
                      <c:pt idx="4885">
                        <c:v>33.923611111109494</c:v>
                      </c:pt>
                      <c:pt idx="4886">
                        <c:v>33.930555555554747</c:v>
                      </c:pt>
                      <c:pt idx="4887">
                        <c:v>33.9375</c:v>
                      </c:pt>
                      <c:pt idx="4888">
                        <c:v>33.944444444445253</c:v>
                      </c:pt>
                      <c:pt idx="4889">
                        <c:v>33.951388888890506</c:v>
                      </c:pt>
                      <c:pt idx="4890">
                        <c:v>33.958333333335759</c:v>
                      </c:pt>
                      <c:pt idx="4891">
                        <c:v>33.965277777781012</c:v>
                      </c:pt>
                      <c:pt idx="4892">
                        <c:v>33.972222222218988</c:v>
                      </c:pt>
                      <c:pt idx="4893">
                        <c:v>33.979166666664241</c:v>
                      </c:pt>
                      <c:pt idx="4894">
                        <c:v>33.986111111109494</c:v>
                      </c:pt>
                      <c:pt idx="4895">
                        <c:v>33.993055555554747</c:v>
                      </c:pt>
                      <c:pt idx="4896">
                        <c:v>34</c:v>
                      </c:pt>
                      <c:pt idx="4897">
                        <c:v>34.006944444445253</c:v>
                      </c:pt>
                      <c:pt idx="4898">
                        <c:v>34.013888888890506</c:v>
                      </c:pt>
                      <c:pt idx="4899">
                        <c:v>34.020833333335759</c:v>
                      </c:pt>
                      <c:pt idx="4900">
                        <c:v>34.027777777781012</c:v>
                      </c:pt>
                      <c:pt idx="4901">
                        <c:v>34.034722222218988</c:v>
                      </c:pt>
                      <c:pt idx="4902">
                        <c:v>34.041666666664241</c:v>
                      </c:pt>
                      <c:pt idx="4903">
                        <c:v>34.048611111109494</c:v>
                      </c:pt>
                      <c:pt idx="4904">
                        <c:v>34.055555555554747</c:v>
                      </c:pt>
                      <c:pt idx="4905">
                        <c:v>34.0625</c:v>
                      </c:pt>
                      <c:pt idx="4906">
                        <c:v>34.069444444445253</c:v>
                      </c:pt>
                      <c:pt idx="4907">
                        <c:v>34.076388888890506</c:v>
                      </c:pt>
                      <c:pt idx="4908">
                        <c:v>34.083333333335759</c:v>
                      </c:pt>
                      <c:pt idx="4909">
                        <c:v>34.090277777781012</c:v>
                      </c:pt>
                      <c:pt idx="4910">
                        <c:v>34.097222222218988</c:v>
                      </c:pt>
                      <c:pt idx="4911">
                        <c:v>34.104166666664241</c:v>
                      </c:pt>
                      <c:pt idx="4912">
                        <c:v>34.111111111109494</c:v>
                      </c:pt>
                      <c:pt idx="4913">
                        <c:v>34.118055555554747</c:v>
                      </c:pt>
                      <c:pt idx="4914">
                        <c:v>34.125</c:v>
                      </c:pt>
                      <c:pt idx="4915">
                        <c:v>34.131944444445253</c:v>
                      </c:pt>
                      <c:pt idx="4916">
                        <c:v>34.138888888890506</c:v>
                      </c:pt>
                      <c:pt idx="4917">
                        <c:v>34.145833333335759</c:v>
                      </c:pt>
                      <c:pt idx="4918">
                        <c:v>34.152777777781012</c:v>
                      </c:pt>
                      <c:pt idx="4919">
                        <c:v>34.159722222218988</c:v>
                      </c:pt>
                      <c:pt idx="4920">
                        <c:v>34.166666666664241</c:v>
                      </c:pt>
                      <c:pt idx="4921">
                        <c:v>34.173611111109494</c:v>
                      </c:pt>
                      <c:pt idx="4922">
                        <c:v>34.180555555554747</c:v>
                      </c:pt>
                      <c:pt idx="4923">
                        <c:v>34.1875</c:v>
                      </c:pt>
                      <c:pt idx="4924">
                        <c:v>34.194444444445253</c:v>
                      </c:pt>
                      <c:pt idx="4925">
                        <c:v>34.201388888890506</c:v>
                      </c:pt>
                      <c:pt idx="4926">
                        <c:v>34.208333333335759</c:v>
                      </c:pt>
                      <c:pt idx="4927">
                        <c:v>34.215277777781012</c:v>
                      </c:pt>
                      <c:pt idx="4928">
                        <c:v>34.222222222218988</c:v>
                      </c:pt>
                      <c:pt idx="4929">
                        <c:v>34.229166666664241</c:v>
                      </c:pt>
                      <c:pt idx="4930">
                        <c:v>34.236111111109494</c:v>
                      </c:pt>
                      <c:pt idx="4931">
                        <c:v>34.243055555554747</c:v>
                      </c:pt>
                      <c:pt idx="4932">
                        <c:v>34.25</c:v>
                      </c:pt>
                      <c:pt idx="4933">
                        <c:v>34.256944444445253</c:v>
                      </c:pt>
                      <c:pt idx="4934">
                        <c:v>34.263888888890506</c:v>
                      </c:pt>
                      <c:pt idx="4935">
                        <c:v>34.270833333335759</c:v>
                      </c:pt>
                      <c:pt idx="4936">
                        <c:v>34.277777777781012</c:v>
                      </c:pt>
                      <c:pt idx="4937">
                        <c:v>34.284722222218988</c:v>
                      </c:pt>
                      <c:pt idx="4938">
                        <c:v>34.291666666664241</c:v>
                      </c:pt>
                      <c:pt idx="4939">
                        <c:v>34.298611111109494</c:v>
                      </c:pt>
                      <c:pt idx="4940">
                        <c:v>34.305555555554747</c:v>
                      </c:pt>
                      <c:pt idx="4941">
                        <c:v>34.3125</c:v>
                      </c:pt>
                      <c:pt idx="4942">
                        <c:v>34.319444444445253</c:v>
                      </c:pt>
                      <c:pt idx="4943">
                        <c:v>34.326388888890506</c:v>
                      </c:pt>
                      <c:pt idx="4944">
                        <c:v>34.333333333335759</c:v>
                      </c:pt>
                      <c:pt idx="4945">
                        <c:v>34.340277777781012</c:v>
                      </c:pt>
                      <c:pt idx="4946">
                        <c:v>34.347222222218988</c:v>
                      </c:pt>
                      <c:pt idx="4947">
                        <c:v>34.354166666664241</c:v>
                      </c:pt>
                      <c:pt idx="4948">
                        <c:v>34.361111111109494</c:v>
                      </c:pt>
                      <c:pt idx="4949">
                        <c:v>34.368055555554747</c:v>
                      </c:pt>
                      <c:pt idx="4950">
                        <c:v>34.375</c:v>
                      </c:pt>
                      <c:pt idx="4951">
                        <c:v>34.381944444445253</c:v>
                      </c:pt>
                      <c:pt idx="4952">
                        <c:v>34.388888888890506</c:v>
                      </c:pt>
                      <c:pt idx="4953">
                        <c:v>34.395833333335759</c:v>
                      </c:pt>
                      <c:pt idx="4954">
                        <c:v>34.402777777781012</c:v>
                      </c:pt>
                      <c:pt idx="4955">
                        <c:v>34.409722222218988</c:v>
                      </c:pt>
                      <c:pt idx="4956">
                        <c:v>34.416666666664241</c:v>
                      </c:pt>
                      <c:pt idx="4957">
                        <c:v>34.423611111109494</c:v>
                      </c:pt>
                      <c:pt idx="4958">
                        <c:v>34.430555555554747</c:v>
                      </c:pt>
                      <c:pt idx="4959">
                        <c:v>34.4375</c:v>
                      </c:pt>
                      <c:pt idx="4960">
                        <c:v>34.444444444445253</c:v>
                      </c:pt>
                      <c:pt idx="4961">
                        <c:v>34.451388888890506</c:v>
                      </c:pt>
                      <c:pt idx="4962">
                        <c:v>34.458333333335759</c:v>
                      </c:pt>
                      <c:pt idx="4963">
                        <c:v>34.465277777781012</c:v>
                      </c:pt>
                      <c:pt idx="4964">
                        <c:v>34.472222222218988</c:v>
                      </c:pt>
                      <c:pt idx="4965">
                        <c:v>34.479166666664241</c:v>
                      </c:pt>
                      <c:pt idx="4966">
                        <c:v>34.486111111109494</c:v>
                      </c:pt>
                      <c:pt idx="4967">
                        <c:v>34.493055555554747</c:v>
                      </c:pt>
                      <c:pt idx="4968">
                        <c:v>34.5</c:v>
                      </c:pt>
                      <c:pt idx="4969">
                        <c:v>34.506944444445253</c:v>
                      </c:pt>
                      <c:pt idx="4970">
                        <c:v>34.513888888890506</c:v>
                      </c:pt>
                      <c:pt idx="4971">
                        <c:v>34.520833333335759</c:v>
                      </c:pt>
                      <c:pt idx="4972">
                        <c:v>34.527777777781012</c:v>
                      </c:pt>
                      <c:pt idx="4973">
                        <c:v>34.534722222218988</c:v>
                      </c:pt>
                      <c:pt idx="4974">
                        <c:v>34.541666666664241</c:v>
                      </c:pt>
                      <c:pt idx="4975">
                        <c:v>34.548611111109494</c:v>
                      </c:pt>
                      <c:pt idx="4976">
                        <c:v>34.555555555554747</c:v>
                      </c:pt>
                      <c:pt idx="4977">
                        <c:v>34.5625</c:v>
                      </c:pt>
                      <c:pt idx="4978">
                        <c:v>34.569444444445253</c:v>
                      </c:pt>
                      <c:pt idx="4979">
                        <c:v>34.576388888890506</c:v>
                      </c:pt>
                      <c:pt idx="4980">
                        <c:v>34.583333333335759</c:v>
                      </c:pt>
                      <c:pt idx="4981">
                        <c:v>34.590277777781012</c:v>
                      </c:pt>
                      <c:pt idx="4982">
                        <c:v>34.597222222218988</c:v>
                      </c:pt>
                      <c:pt idx="4983">
                        <c:v>34.604166666664241</c:v>
                      </c:pt>
                      <c:pt idx="4984">
                        <c:v>34.611111111109494</c:v>
                      </c:pt>
                      <c:pt idx="4985">
                        <c:v>34.618055555554747</c:v>
                      </c:pt>
                      <c:pt idx="4986">
                        <c:v>34.625</c:v>
                      </c:pt>
                      <c:pt idx="4987">
                        <c:v>34.631944444445253</c:v>
                      </c:pt>
                      <c:pt idx="4988">
                        <c:v>34.638888888890506</c:v>
                      </c:pt>
                      <c:pt idx="4989">
                        <c:v>34.645833333335759</c:v>
                      </c:pt>
                      <c:pt idx="4990">
                        <c:v>34.652777777781012</c:v>
                      </c:pt>
                      <c:pt idx="4991">
                        <c:v>34.659722222218988</c:v>
                      </c:pt>
                      <c:pt idx="4992">
                        <c:v>34.666666666664241</c:v>
                      </c:pt>
                      <c:pt idx="4993">
                        <c:v>34.673611111109494</c:v>
                      </c:pt>
                      <c:pt idx="4994">
                        <c:v>34.680555555554747</c:v>
                      </c:pt>
                      <c:pt idx="4995">
                        <c:v>34.6875</c:v>
                      </c:pt>
                      <c:pt idx="4996">
                        <c:v>34.694444444445253</c:v>
                      </c:pt>
                      <c:pt idx="4997">
                        <c:v>34.701388888890506</c:v>
                      </c:pt>
                      <c:pt idx="4998">
                        <c:v>34.708333333335759</c:v>
                      </c:pt>
                      <c:pt idx="4999">
                        <c:v>34.715277777781012</c:v>
                      </c:pt>
                      <c:pt idx="5000">
                        <c:v>34.722222222218988</c:v>
                      </c:pt>
                      <c:pt idx="5001">
                        <c:v>34.729166666664241</c:v>
                      </c:pt>
                      <c:pt idx="5002">
                        <c:v>34.736111111109494</c:v>
                      </c:pt>
                      <c:pt idx="5003">
                        <c:v>34.743055555554747</c:v>
                      </c:pt>
                      <c:pt idx="5004">
                        <c:v>34.75</c:v>
                      </c:pt>
                      <c:pt idx="5005">
                        <c:v>34.756944444445253</c:v>
                      </c:pt>
                      <c:pt idx="5006">
                        <c:v>34.763888888890506</c:v>
                      </c:pt>
                      <c:pt idx="5007">
                        <c:v>34.770833333335759</c:v>
                      </c:pt>
                      <c:pt idx="5008">
                        <c:v>34.777777777781012</c:v>
                      </c:pt>
                      <c:pt idx="5009">
                        <c:v>34.784722222218988</c:v>
                      </c:pt>
                      <c:pt idx="5010">
                        <c:v>34.791666666664241</c:v>
                      </c:pt>
                      <c:pt idx="5011">
                        <c:v>34.798611111109494</c:v>
                      </c:pt>
                      <c:pt idx="5012">
                        <c:v>34.805555555554747</c:v>
                      </c:pt>
                      <c:pt idx="5013">
                        <c:v>34.8125</c:v>
                      </c:pt>
                      <c:pt idx="5014">
                        <c:v>34.819444444445253</c:v>
                      </c:pt>
                      <c:pt idx="5015">
                        <c:v>34.826388888890506</c:v>
                      </c:pt>
                      <c:pt idx="5016">
                        <c:v>34.833333333335759</c:v>
                      </c:pt>
                      <c:pt idx="5017">
                        <c:v>34.840277777781012</c:v>
                      </c:pt>
                      <c:pt idx="5018">
                        <c:v>34.847222222218988</c:v>
                      </c:pt>
                      <c:pt idx="5019">
                        <c:v>34.854166666664241</c:v>
                      </c:pt>
                      <c:pt idx="5020">
                        <c:v>34.861111111109494</c:v>
                      </c:pt>
                      <c:pt idx="5021">
                        <c:v>34.868055555554747</c:v>
                      </c:pt>
                      <c:pt idx="5022">
                        <c:v>34.875</c:v>
                      </c:pt>
                      <c:pt idx="5023">
                        <c:v>34.881944444445253</c:v>
                      </c:pt>
                      <c:pt idx="5024">
                        <c:v>34.888888888890506</c:v>
                      </c:pt>
                      <c:pt idx="5025">
                        <c:v>34.895833333335759</c:v>
                      </c:pt>
                      <c:pt idx="5026">
                        <c:v>34.902777777781012</c:v>
                      </c:pt>
                      <c:pt idx="5027">
                        <c:v>34.909722222218988</c:v>
                      </c:pt>
                      <c:pt idx="5028">
                        <c:v>34.916666666664241</c:v>
                      </c:pt>
                      <c:pt idx="5029">
                        <c:v>34.923611111109494</c:v>
                      </c:pt>
                      <c:pt idx="5030">
                        <c:v>34.930555555554747</c:v>
                      </c:pt>
                      <c:pt idx="5031">
                        <c:v>34.9375</c:v>
                      </c:pt>
                      <c:pt idx="5032">
                        <c:v>34.944444444445253</c:v>
                      </c:pt>
                      <c:pt idx="5033">
                        <c:v>34.951388888890506</c:v>
                      </c:pt>
                      <c:pt idx="5034">
                        <c:v>34.958333333335759</c:v>
                      </c:pt>
                      <c:pt idx="5035">
                        <c:v>34.965277777781012</c:v>
                      </c:pt>
                      <c:pt idx="5036">
                        <c:v>34.972222222218988</c:v>
                      </c:pt>
                      <c:pt idx="5037">
                        <c:v>34.979166666664241</c:v>
                      </c:pt>
                      <c:pt idx="5038">
                        <c:v>34.986111111109494</c:v>
                      </c:pt>
                      <c:pt idx="5039">
                        <c:v>34.993055555554747</c:v>
                      </c:pt>
                      <c:pt idx="5040">
                        <c:v>35</c:v>
                      </c:pt>
                      <c:pt idx="5041">
                        <c:v>35.006944444445253</c:v>
                      </c:pt>
                      <c:pt idx="5042">
                        <c:v>35.013888888890506</c:v>
                      </c:pt>
                      <c:pt idx="5043">
                        <c:v>35.020833333335759</c:v>
                      </c:pt>
                      <c:pt idx="5044">
                        <c:v>35.027777777781012</c:v>
                      </c:pt>
                      <c:pt idx="5045">
                        <c:v>35.034722222218988</c:v>
                      </c:pt>
                      <c:pt idx="5046">
                        <c:v>35.041666666664241</c:v>
                      </c:pt>
                      <c:pt idx="5047">
                        <c:v>35.048611111109494</c:v>
                      </c:pt>
                      <c:pt idx="5048">
                        <c:v>35.055555555554747</c:v>
                      </c:pt>
                      <c:pt idx="5049">
                        <c:v>35.0625</c:v>
                      </c:pt>
                      <c:pt idx="5050">
                        <c:v>35.069444444445253</c:v>
                      </c:pt>
                      <c:pt idx="5051">
                        <c:v>35.076388888890506</c:v>
                      </c:pt>
                      <c:pt idx="5052">
                        <c:v>35.083333333335759</c:v>
                      </c:pt>
                      <c:pt idx="5053">
                        <c:v>35.090277777781012</c:v>
                      </c:pt>
                      <c:pt idx="5054">
                        <c:v>35.097222222218988</c:v>
                      </c:pt>
                      <c:pt idx="5055">
                        <c:v>35.104166666664241</c:v>
                      </c:pt>
                      <c:pt idx="5056">
                        <c:v>35.111111111109494</c:v>
                      </c:pt>
                      <c:pt idx="5057">
                        <c:v>35.118055555554747</c:v>
                      </c:pt>
                      <c:pt idx="5058">
                        <c:v>35.125</c:v>
                      </c:pt>
                      <c:pt idx="5059">
                        <c:v>35.131944444445253</c:v>
                      </c:pt>
                      <c:pt idx="5060">
                        <c:v>35.138888888890506</c:v>
                      </c:pt>
                      <c:pt idx="5061">
                        <c:v>35.145833333335759</c:v>
                      </c:pt>
                      <c:pt idx="5062">
                        <c:v>35.152777777781012</c:v>
                      </c:pt>
                      <c:pt idx="5063">
                        <c:v>35.159722222218988</c:v>
                      </c:pt>
                      <c:pt idx="5064">
                        <c:v>35.166666666664241</c:v>
                      </c:pt>
                      <c:pt idx="5065">
                        <c:v>35.173611111109494</c:v>
                      </c:pt>
                      <c:pt idx="5066">
                        <c:v>35.180555555554747</c:v>
                      </c:pt>
                      <c:pt idx="5067">
                        <c:v>35.1875</c:v>
                      </c:pt>
                      <c:pt idx="5068">
                        <c:v>35.194444444445253</c:v>
                      </c:pt>
                      <c:pt idx="5069">
                        <c:v>35.201388888890506</c:v>
                      </c:pt>
                      <c:pt idx="5070">
                        <c:v>35.208333333335759</c:v>
                      </c:pt>
                      <c:pt idx="5071">
                        <c:v>35.215277777781012</c:v>
                      </c:pt>
                      <c:pt idx="5072">
                        <c:v>35.222222222218988</c:v>
                      </c:pt>
                      <c:pt idx="5073">
                        <c:v>35.229166666664241</c:v>
                      </c:pt>
                      <c:pt idx="5074">
                        <c:v>35.236111111109494</c:v>
                      </c:pt>
                      <c:pt idx="5075">
                        <c:v>35.243055555554747</c:v>
                      </c:pt>
                      <c:pt idx="5076">
                        <c:v>35.25</c:v>
                      </c:pt>
                      <c:pt idx="5077">
                        <c:v>35.256944444445253</c:v>
                      </c:pt>
                      <c:pt idx="5078">
                        <c:v>35.263888888890506</c:v>
                      </c:pt>
                      <c:pt idx="5079">
                        <c:v>35.270833333335759</c:v>
                      </c:pt>
                      <c:pt idx="5080">
                        <c:v>35.277777777781012</c:v>
                      </c:pt>
                      <c:pt idx="5081">
                        <c:v>35.284722222218988</c:v>
                      </c:pt>
                      <c:pt idx="5082">
                        <c:v>35.291666666664241</c:v>
                      </c:pt>
                      <c:pt idx="5083">
                        <c:v>35.298611111109494</c:v>
                      </c:pt>
                      <c:pt idx="5084">
                        <c:v>35.305555555554747</c:v>
                      </c:pt>
                      <c:pt idx="5085">
                        <c:v>35.3125</c:v>
                      </c:pt>
                      <c:pt idx="5086">
                        <c:v>35.319444444445253</c:v>
                      </c:pt>
                      <c:pt idx="5087">
                        <c:v>35.326388888890506</c:v>
                      </c:pt>
                      <c:pt idx="5088">
                        <c:v>35.333333333335759</c:v>
                      </c:pt>
                      <c:pt idx="5089">
                        <c:v>35.340277777781012</c:v>
                      </c:pt>
                      <c:pt idx="5090">
                        <c:v>35.347222222218988</c:v>
                      </c:pt>
                      <c:pt idx="5091">
                        <c:v>35.354166666664241</c:v>
                      </c:pt>
                      <c:pt idx="5092">
                        <c:v>35.361111111109494</c:v>
                      </c:pt>
                      <c:pt idx="5093">
                        <c:v>35.368055555554747</c:v>
                      </c:pt>
                      <c:pt idx="5094">
                        <c:v>35.375</c:v>
                      </c:pt>
                      <c:pt idx="5095">
                        <c:v>35.381944444445253</c:v>
                      </c:pt>
                      <c:pt idx="5096">
                        <c:v>35.388888888890506</c:v>
                      </c:pt>
                      <c:pt idx="5097">
                        <c:v>35.395833333335759</c:v>
                      </c:pt>
                      <c:pt idx="5098">
                        <c:v>35.402777777781012</c:v>
                      </c:pt>
                      <c:pt idx="5099">
                        <c:v>35.409722222218988</c:v>
                      </c:pt>
                      <c:pt idx="5100">
                        <c:v>35.416666666664241</c:v>
                      </c:pt>
                      <c:pt idx="5101">
                        <c:v>35.423611111109494</c:v>
                      </c:pt>
                      <c:pt idx="5102">
                        <c:v>35.430555555554747</c:v>
                      </c:pt>
                      <c:pt idx="5103">
                        <c:v>35.4375</c:v>
                      </c:pt>
                      <c:pt idx="5104">
                        <c:v>35.444444444445253</c:v>
                      </c:pt>
                      <c:pt idx="5105">
                        <c:v>35.451388888890506</c:v>
                      </c:pt>
                      <c:pt idx="5106">
                        <c:v>35.458333333335759</c:v>
                      </c:pt>
                      <c:pt idx="5107">
                        <c:v>35.465277777781012</c:v>
                      </c:pt>
                      <c:pt idx="5108">
                        <c:v>35.472222222218988</c:v>
                      </c:pt>
                      <c:pt idx="5109">
                        <c:v>35.479166666664241</c:v>
                      </c:pt>
                      <c:pt idx="5110">
                        <c:v>35.486111111109494</c:v>
                      </c:pt>
                      <c:pt idx="5111">
                        <c:v>35.493055555554747</c:v>
                      </c:pt>
                      <c:pt idx="5112">
                        <c:v>35.5</c:v>
                      </c:pt>
                      <c:pt idx="5113">
                        <c:v>35.506944444445253</c:v>
                      </c:pt>
                      <c:pt idx="5114">
                        <c:v>35.513888888890506</c:v>
                      </c:pt>
                      <c:pt idx="5115">
                        <c:v>35.520833333335759</c:v>
                      </c:pt>
                      <c:pt idx="5116">
                        <c:v>35.527777777781012</c:v>
                      </c:pt>
                      <c:pt idx="5117">
                        <c:v>35.534722222218988</c:v>
                      </c:pt>
                      <c:pt idx="5118">
                        <c:v>35.541666666664241</c:v>
                      </c:pt>
                      <c:pt idx="5119">
                        <c:v>35.548611111109494</c:v>
                      </c:pt>
                      <c:pt idx="5120">
                        <c:v>35.555555555554747</c:v>
                      </c:pt>
                      <c:pt idx="5121">
                        <c:v>35.5625</c:v>
                      </c:pt>
                      <c:pt idx="5122">
                        <c:v>35.569444444445253</c:v>
                      </c:pt>
                      <c:pt idx="5123">
                        <c:v>35.576388888890506</c:v>
                      </c:pt>
                      <c:pt idx="5124">
                        <c:v>35.583333333335759</c:v>
                      </c:pt>
                      <c:pt idx="5125">
                        <c:v>35.590277777781012</c:v>
                      </c:pt>
                      <c:pt idx="5126">
                        <c:v>35.597222222218988</c:v>
                      </c:pt>
                      <c:pt idx="5127">
                        <c:v>35.604166666664241</c:v>
                      </c:pt>
                      <c:pt idx="5128">
                        <c:v>35.611111111109494</c:v>
                      </c:pt>
                      <c:pt idx="5129">
                        <c:v>35.618055555554747</c:v>
                      </c:pt>
                      <c:pt idx="5130">
                        <c:v>35.625</c:v>
                      </c:pt>
                      <c:pt idx="5131">
                        <c:v>35.631944444445253</c:v>
                      </c:pt>
                      <c:pt idx="5132">
                        <c:v>35.638888888890506</c:v>
                      </c:pt>
                      <c:pt idx="5133">
                        <c:v>35.645833333335759</c:v>
                      </c:pt>
                      <c:pt idx="5134">
                        <c:v>35.652777777781012</c:v>
                      </c:pt>
                      <c:pt idx="5135">
                        <c:v>35.659722222218988</c:v>
                      </c:pt>
                      <c:pt idx="5136">
                        <c:v>35.666666666664241</c:v>
                      </c:pt>
                      <c:pt idx="5137">
                        <c:v>35.673611111109494</c:v>
                      </c:pt>
                      <c:pt idx="5138">
                        <c:v>35.680555555554747</c:v>
                      </c:pt>
                      <c:pt idx="5139">
                        <c:v>35.6875</c:v>
                      </c:pt>
                      <c:pt idx="5140">
                        <c:v>35.694444444445253</c:v>
                      </c:pt>
                      <c:pt idx="5141">
                        <c:v>35.701388888890506</c:v>
                      </c:pt>
                      <c:pt idx="5142">
                        <c:v>35.708333333335759</c:v>
                      </c:pt>
                      <c:pt idx="5143">
                        <c:v>35.715277777781012</c:v>
                      </c:pt>
                      <c:pt idx="5144">
                        <c:v>35.722222222218988</c:v>
                      </c:pt>
                      <c:pt idx="5145">
                        <c:v>35.729166666664241</c:v>
                      </c:pt>
                      <c:pt idx="5146">
                        <c:v>35.736111111109494</c:v>
                      </c:pt>
                      <c:pt idx="5147">
                        <c:v>35.743055555554747</c:v>
                      </c:pt>
                      <c:pt idx="5148">
                        <c:v>35.75</c:v>
                      </c:pt>
                      <c:pt idx="5149">
                        <c:v>35.756944444445253</c:v>
                      </c:pt>
                      <c:pt idx="5150">
                        <c:v>35.763888888890506</c:v>
                      </c:pt>
                      <c:pt idx="5151">
                        <c:v>35.770833333335759</c:v>
                      </c:pt>
                      <c:pt idx="5152">
                        <c:v>35.777777777781012</c:v>
                      </c:pt>
                      <c:pt idx="5153">
                        <c:v>35.784722222218988</c:v>
                      </c:pt>
                      <c:pt idx="5154">
                        <c:v>35.791666666664241</c:v>
                      </c:pt>
                      <c:pt idx="5155">
                        <c:v>35.798611111109494</c:v>
                      </c:pt>
                      <c:pt idx="5156">
                        <c:v>35.805555555554747</c:v>
                      </c:pt>
                      <c:pt idx="5157">
                        <c:v>35.8125</c:v>
                      </c:pt>
                      <c:pt idx="5158">
                        <c:v>35.819444444445253</c:v>
                      </c:pt>
                      <c:pt idx="5159">
                        <c:v>35.826388888890506</c:v>
                      </c:pt>
                      <c:pt idx="5160">
                        <c:v>35.833333333335759</c:v>
                      </c:pt>
                      <c:pt idx="5161">
                        <c:v>35.840277777781012</c:v>
                      </c:pt>
                      <c:pt idx="5162">
                        <c:v>35.847222222218988</c:v>
                      </c:pt>
                      <c:pt idx="5163">
                        <c:v>35.854166666664241</c:v>
                      </c:pt>
                      <c:pt idx="5164">
                        <c:v>35.861111111109494</c:v>
                      </c:pt>
                      <c:pt idx="5165">
                        <c:v>35.868055555554747</c:v>
                      </c:pt>
                      <c:pt idx="5166">
                        <c:v>35.875</c:v>
                      </c:pt>
                      <c:pt idx="5167">
                        <c:v>35.881944444445253</c:v>
                      </c:pt>
                      <c:pt idx="5168">
                        <c:v>35.888888888890506</c:v>
                      </c:pt>
                      <c:pt idx="5169">
                        <c:v>35.895833333335759</c:v>
                      </c:pt>
                      <c:pt idx="5170">
                        <c:v>35.902777777781012</c:v>
                      </c:pt>
                      <c:pt idx="5171">
                        <c:v>35.909722222218988</c:v>
                      </c:pt>
                      <c:pt idx="5172">
                        <c:v>35.916666666664241</c:v>
                      </c:pt>
                      <c:pt idx="5173">
                        <c:v>35.923611111109494</c:v>
                      </c:pt>
                      <c:pt idx="5174">
                        <c:v>35.930555555554747</c:v>
                      </c:pt>
                      <c:pt idx="5175">
                        <c:v>35.9375</c:v>
                      </c:pt>
                      <c:pt idx="5176">
                        <c:v>35.944444444445253</c:v>
                      </c:pt>
                      <c:pt idx="5177">
                        <c:v>35.951388888890506</c:v>
                      </c:pt>
                      <c:pt idx="5178">
                        <c:v>35.958333333335759</c:v>
                      </c:pt>
                      <c:pt idx="5179">
                        <c:v>35.965277777781012</c:v>
                      </c:pt>
                      <c:pt idx="5180">
                        <c:v>35.972222222218988</c:v>
                      </c:pt>
                      <c:pt idx="5181">
                        <c:v>35.979166666664241</c:v>
                      </c:pt>
                      <c:pt idx="5182">
                        <c:v>35.986111111109494</c:v>
                      </c:pt>
                      <c:pt idx="5183">
                        <c:v>35.993055555554747</c:v>
                      </c:pt>
                      <c:pt idx="5184">
                        <c:v>36</c:v>
                      </c:pt>
                      <c:pt idx="5185">
                        <c:v>36.006944444445253</c:v>
                      </c:pt>
                      <c:pt idx="5186">
                        <c:v>36.013888888890506</c:v>
                      </c:pt>
                      <c:pt idx="5187">
                        <c:v>36.020833333335759</c:v>
                      </c:pt>
                      <c:pt idx="5188">
                        <c:v>36.027777777781012</c:v>
                      </c:pt>
                      <c:pt idx="5189">
                        <c:v>36.034722222218988</c:v>
                      </c:pt>
                      <c:pt idx="5190">
                        <c:v>36.041666666664241</c:v>
                      </c:pt>
                      <c:pt idx="5191">
                        <c:v>36.048611111109494</c:v>
                      </c:pt>
                      <c:pt idx="5192">
                        <c:v>36.055555555554747</c:v>
                      </c:pt>
                      <c:pt idx="5193">
                        <c:v>36.0625</c:v>
                      </c:pt>
                      <c:pt idx="5194">
                        <c:v>36.069444444445253</c:v>
                      </c:pt>
                      <c:pt idx="5195">
                        <c:v>36.076388888890506</c:v>
                      </c:pt>
                      <c:pt idx="5196">
                        <c:v>36.083333333335759</c:v>
                      </c:pt>
                      <c:pt idx="5197">
                        <c:v>36.090277777781012</c:v>
                      </c:pt>
                      <c:pt idx="5198">
                        <c:v>36.097222222218988</c:v>
                      </c:pt>
                      <c:pt idx="5199">
                        <c:v>36.104166666664241</c:v>
                      </c:pt>
                      <c:pt idx="5200">
                        <c:v>36.111111111109494</c:v>
                      </c:pt>
                      <c:pt idx="5201">
                        <c:v>36.118055555554747</c:v>
                      </c:pt>
                      <c:pt idx="5202">
                        <c:v>36.125</c:v>
                      </c:pt>
                      <c:pt idx="5203">
                        <c:v>36.131944444445253</c:v>
                      </c:pt>
                      <c:pt idx="5204">
                        <c:v>36.138888888890506</c:v>
                      </c:pt>
                      <c:pt idx="5205">
                        <c:v>36.145833333335759</c:v>
                      </c:pt>
                      <c:pt idx="5206">
                        <c:v>36.152777777781012</c:v>
                      </c:pt>
                      <c:pt idx="5207">
                        <c:v>36.159722222218988</c:v>
                      </c:pt>
                      <c:pt idx="5208">
                        <c:v>36.166666666664241</c:v>
                      </c:pt>
                      <c:pt idx="5209">
                        <c:v>36.173611111109494</c:v>
                      </c:pt>
                      <c:pt idx="5210">
                        <c:v>36.180555555554747</c:v>
                      </c:pt>
                      <c:pt idx="5211">
                        <c:v>36.1875</c:v>
                      </c:pt>
                      <c:pt idx="5212">
                        <c:v>36.194444444445253</c:v>
                      </c:pt>
                      <c:pt idx="5213">
                        <c:v>36.201388888890506</c:v>
                      </c:pt>
                      <c:pt idx="5214">
                        <c:v>36.208333333335759</c:v>
                      </c:pt>
                      <c:pt idx="5215">
                        <c:v>36.215277777781012</c:v>
                      </c:pt>
                      <c:pt idx="5216">
                        <c:v>36.222222222218988</c:v>
                      </c:pt>
                      <c:pt idx="5217">
                        <c:v>36.229166666664241</c:v>
                      </c:pt>
                      <c:pt idx="5218">
                        <c:v>36.236111111109494</c:v>
                      </c:pt>
                      <c:pt idx="5219">
                        <c:v>36.243055555554747</c:v>
                      </c:pt>
                      <c:pt idx="5220">
                        <c:v>36.25</c:v>
                      </c:pt>
                      <c:pt idx="5221">
                        <c:v>36.256944444445253</c:v>
                      </c:pt>
                      <c:pt idx="5222">
                        <c:v>36.263888888890506</c:v>
                      </c:pt>
                      <c:pt idx="5223">
                        <c:v>36.270833333335759</c:v>
                      </c:pt>
                      <c:pt idx="5224">
                        <c:v>36.277777777781012</c:v>
                      </c:pt>
                      <c:pt idx="5225">
                        <c:v>36.284722222218988</c:v>
                      </c:pt>
                      <c:pt idx="5226">
                        <c:v>36.291666666664241</c:v>
                      </c:pt>
                      <c:pt idx="5227">
                        <c:v>36.298611111109494</c:v>
                      </c:pt>
                      <c:pt idx="5228">
                        <c:v>36.305555555554747</c:v>
                      </c:pt>
                      <c:pt idx="5229">
                        <c:v>36.3125</c:v>
                      </c:pt>
                      <c:pt idx="5230">
                        <c:v>36.319444444445253</c:v>
                      </c:pt>
                      <c:pt idx="5231">
                        <c:v>36.326388888890506</c:v>
                      </c:pt>
                      <c:pt idx="5232">
                        <c:v>36.333333333335759</c:v>
                      </c:pt>
                      <c:pt idx="5233">
                        <c:v>36.340277777781012</c:v>
                      </c:pt>
                      <c:pt idx="5234">
                        <c:v>36.347222222218988</c:v>
                      </c:pt>
                      <c:pt idx="5235">
                        <c:v>36.354166666664241</c:v>
                      </c:pt>
                      <c:pt idx="5236">
                        <c:v>36.361111111109494</c:v>
                      </c:pt>
                      <c:pt idx="5237">
                        <c:v>36.368055555554747</c:v>
                      </c:pt>
                      <c:pt idx="5238">
                        <c:v>36.375</c:v>
                      </c:pt>
                      <c:pt idx="5239">
                        <c:v>36.381944444445253</c:v>
                      </c:pt>
                      <c:pt idx="5240">
                        <c:v>36.388888888890506</c:v>
                      </c:pt>
                      <c:pt idx="5241">
                        <c:v>36.395833333335759</c:v>
                      </c:pt>
                      <c:pt idx="5242">
                        <c:v>36.402777777781012</c:v>
                      </c:pt>
                      <c:pt idx="5243">
                        <c:v>36.409722222218988</c:v>
                      </c:pt>
                      <c:pt idx="5244">
                        <c:v>36.416666666664241</c:v>
                      </c:pt>
                      <c:pt idx="5245">
                        <c:v>36.423611111109494</c:v>
                      </c:pt>
                      <c:pt idx="5246">
                        <c:v>36.430555555554747</c:v>
                      </c:pt>
                      <c:pt idx="5247">
                        <c:v>36.4375</c:v>
                      </c:pt>
                      <c:pt idx="5248">
                        <c:v>36.444444444445253</c:v>
                      </c:pt>
                      <c:pt idx="5249">
                        <c:v>36.451388888890506</c:v>
                      </c:pt>
                      <c:pt idx="5250">
                        <c:v>36.458333333335759</c:v>
                      </c:pt>
                      <c:pt idx="5251">
                        <c:v>36.465277777781012</c:v>
                      </c:pt>
                      <c:pt idx="5252">
                        <c:v>36.472222222218988</c:v>
                      </c:pt>
                      <c:pt idx="5253">
                        <c:v>36.479166666664241</c:v>
                      </c:pt>
                      <c:pt idx="5254">
                        <c:v>36.486111111109494</c:v>
                      </c:pt>
                      <c:pt idx="5255">
                        <c:v>36.493055555554747</c:v>
                      </c:pt>
                      <c:pt idx="5256">
                        <c:v>36.5</c:v>
                      </c:pt>
                      <c:pt idx="5257">
                        <c:v>36.506944444445253</c:v>
                      </c:pt>
                      <c:pt idx="5258">
                        <c:v>36.513888888890506</c:v>
                      </c:pt>
                      <c:pt idx="5259">
                        <c:v>36.520833333335759</c:v>
                      </c:pt>
                      <c:pt idx="5260">
                        <c:v>36.527777777781012</c:v>
                      </c:pt>
                      <c:pt idx="5261">
                        <c:v>36.534722222218988</c:v>
                      </c:pt>
                      <c:pt idx="5262">
                        <c:v>36.541666666664241</c:v>
                      </c:pt>
                      <c:pt idx="5263">
                        <c:v>36.548611111109494</c:v>
                      </c:pt>
                      <c:pt idx="5264">
                        <c:v>36.555555555554747</c:v>
                      </c:pt>
                      <c:pt idx="5265">
                        <c:v>36.5625</c:v>
                      </c:pt>
                      <c:pt idx="5266">
                        <c:v>36.569444444445253</c:v>
                      </c:pt>
                      <c:pt idx="5267">
                        <c:v>36.576388888890506</c:v>
                      </c:pt>
                      <c:pt idx="5268">
                        <c:v>36.583333333335759</c:v>
                      </c:pt>
                      <c:pt idx="5269">
                        <c:v>36.590277777781012</c:v>
                      </c:pt>
                      <c:pt idx="5270">
                        <c:v>36.597222222218988</c:v>
                      </c:pt>
                      <c:pt idx="5271">
                        <c:v>36.604166666664241</c:v>
                      </c:pt>
                      <c:pt idx="5272">
                        <c:v>36.611111111109494</c:v>
                      </c:pt>
                      <c:pt idx="5273">
                        <c:v>36.618055555554747</c:v>
                      </c:pt>
                      <c:pt idx="5274">
                        <c:v>36.625</c:v>
                      </c:pt>
                      <c:pt idx="5275">
                        <c:v>36.631944444445253</c:v>
                      </c:pt>
                      <c:pt idx="5276">
                        <c:v>36.638888888890506</c:v>
                      </c:pt>
                      <c:pt idx="5277">
                        <c:v>36.645833333335759</c:v>
                      </c:pt>
                      <c:pt idx="5278">
                        <c:v>36.652777777781012</c:v>
                      </c:pt>
                      <c:pt idx="5279">
                        <c:v>36.659722222218988</c:v>
                      </c:pt>
                      <c:pt idx="5280">
                        <c:v>36.666666666664241</c:v>
                      </c:pt>
                      <c:pt idx="5281">
                        <c:v>36.673611111109494</c:v>
                      </c:pt>
                      <c:pt idx="5282">
                        <c:v>36.680555555554747</c:v>
                      </c:pt>
                      <c:pt idx="5283">
                        <c:v>36.6875</c:v>
                      </c:pt>
                      <c:pt idx="5284">
                        <c:v>36.694444444445253</c:v>
                      </c:pt>
                      <c:pt idx="5285">
                        <c:v>36.701388888890506</c:v>
                      </c:pt>
                      <c:pt idx="5286">
                        <c:v>36.708333333335759</c:v>
                      </c:pt>
                      <c:pt idx="5287">
                        <c:v>36.715277777781012</c:v>
                      </c:pt>
                      <c:pt idx="5288">
                        <c:v>36.722222222218988</c:v>
                      </c:pt>
                      <c:pt idx="5289">
                        <c:v>36.729166666664241</c:v>
                      </c:pt>
                      <c:pt idx="5290">
                        <c:v>36.736111111109494</c:v>
                      </c:pt>
                      <c:pt idx="5291">
                        <c:v>36.743055555554747</c:v>
                      </c:pt>
                      <c:pt idx="5292">
                        <c:v>36.75</c:v>
                      </c:pt>
                      <c:pt idx="5293">
                        <c:v>36.756944444445253</c:v>
                      </c:pt>
                      <c:pt idx="5294">
                        <c:v>36.763888888890506</c:v>
                      </c:pt>
                      <c:pt idx="5295">
                        <c:v>36.770833333335759</c:v>
                      </c:pt>
                      <c:pt idx="5296">
                        <c:v>36.777777777781012</c:v>
                      </c:pt>
                      <c:pt idx="5297">
                        <c:v>36.784722222218988</c:v>
                      </c:pt>
                      <c:pt idx="5298">
                        <c:v>36.791666666664241</c:v>
                      </c:pt>
                      <c:pt idx="5299">
                        <c:v>36.798611111109494</c:v>
                      </c:pt>
                      <c:pt idx="5300">
                        <c:v>36.805555555554747</c:v>
                      </c:pt>
                      <c:pt idx="5301">
                        <c:v>36.8125</c:v>
                      </c:pt>
                      <c:pt idx="5302">
                        <c:v>36.819444444445253</c:v>
                      </c:pt>
                      <c:pt idx="5303">
                        <c:v>36.826388888890506</c:v>
                      </c:pt>
                      <c:pt idx="5304">
                        <c:v>36.833333333335759</c:v>
                      </c:pt>
                      <c:pt idx="5305">
                        <c:v>36.840277777781012</c:v>
                      </c:pt>
                      <c:pt idx="5306">
                        <c:v>36.847222222218988</c:v>
                      </c:pt>
                      <c:pt idx="5307">
                        <c:v>36.854166666664241</c:v>
                      </c:pt>
                      <c:pt idx="5308">
                        <c:v>36.861111111109494</c:v>
                      </c:pt>
                      <c:pt idx="5309">
                        <c:v>36.868055555554747</c:v>
                      </c:pt>
                      <c:pt idx="5310">
                        <c:v>36.875</c:v>
                      </c:pt>
                      <c:pt idx="5311">
                        <c:v>36.881944444445253</c:v>
                      </c:pt>
                      <c:pt idx="5312">
                        <c:v>36.888888888890506</c:v>
                      </c:pt>
                      <c:pt idx="5313">
                        <c:v>36.895833333335759</c:v>
                      </c:pt>
                      <c:pt idx="5314">
                        <c:v>36.902777777781012</c:v>
                      </c:pt>
                      <c:pt idx="5315">
                        <c:v>36.909722222218988</c:v>
                      </c:pt>
                      <c:pt idx="5316">
                        <c:v>36.916666666664241</c:v>
                      </c:pt>
                      <c:pt idx="5317">
                        <c:v>36.923611111109494</c:v>
                      </c:pt>
                      <c:pt idx="5318">
                        <c:v>36.930555555554747</c:v>
                      </c:pt>
                      <c:pt idx="5319">
                        <c:v>36.9375</c:v>
                      </c:pt>
                      <c:pt idx="5320">
                        <c:v>36.944444444445253</c:v>
                      </c:pt>
                      <c:pt idx="5321">
                        <c:v>36.951388888890506</c:v>
                      </c:pt>
                      <c:pt idx="5322">
                        <c:v>36.958333333335759</c:v>
                      </c:pt>
                      <c:pt idx="5323">
                        <c:v>36.965277777781012</c:v>
                      </c:pt>
                      <c:pt idx="5324">
                        <c:v>36.972222222218988</c:v>
                      </c:pt>
                      <c:pt idx="5325">
                        <c:v>36.979166666664241</c:v>
                      </c:pt>
                      <c:pt idx="5326">
                        <c:v>36.986111111109494</c:v>
                      </c:pt>
                      <c:pt idx="5327">
                        <c:v>36.993055555554747</c:v>
                      </c:pt>
                      <c:pt idx="5328">
                        <c:v>37</c:v>
                      </c:pt>
                      <c:pt idx="5329">
                        <c:v>37.006944444445253</c:v>
                      </c:pt>
                      <c:pt idx="5330">
                        <c:v>37.013888888890506</c:v>
                      </c:pt>
                      <c:pt idx="5331">
                        <c:v>37.020833333335759</c:v>
                      </c:pt>
                      <c:pt idx="5332">
                        <c:v>37.027777777781012</c:v>
                      </c:pt>
                      <c:pt idx="5333">
                        <c:v>37.034722222218988</c:v>
                      </c:pt>
                      <c:pt idx="5334">
                        <c:v>37.041666666664241</c:v>
                      </c:pt>
                      <c:pt idx="5335">
                        <c:v>37.048611111109494</c:v>
                      </c:pt>
                      <c:pt idx="5336">
                        <c:v>37.055555555554747</c:v>
                      </c:pt>
                      <c:pt idx="5337">
                        <c:v>37.0625</c:v>
                      </c:pt>
                      <c:pt idx="5338">
                        <c:v>37.069444444445253</c:v>
                      </c:pt>
                      <c:pt idx="5339">
                        <c:v>37.076388888890506</c:v>
                      </c:pt>
                      <c:pt idx="5340">
                        <c:v>37.083333333335759</c:v>
                      </c:pt>
                      <c:pt idx="5341">
                        <c:v>37.090277777781012</c:v>
                      </c:pt>
                      <c:pt idx="5342">
                        <c:v>37.097222222218988</c:v>
                      </c:pt>
                      <c:pt idx="5343">
                        <c:v>37.104166666664241</c:v>
                      </c:pt>
                      <c:pt idx="5344">
                        <c:v>37.111111111109494</c:v>
                      </c:pt>
                      <c:pt idx="5345">
                        <c:v>37.118055555554747</c:v>
                      </c:pt>
                      <c:pt idx="5346">
                        <c:v>37.125</c:v>
                      </c:pt>
                      <c:pt idx="5347">
                        <c:v>37.131944444445253</c:v>
                      </c:pt>
                      <c:pt idx="5348">
                        <c:v>37.138888888890506</c:v>
                      </c:pt>
                      <c:pt idx="5349">
                        <c:v>37.145833333335759</c:v>
                      </c:pt>
                      <c:pt idx="5350">
                        <c:v>37.152777777781012</c:v>
                      </c:pt>
                      <c:pt idx="5351">
                        <c:v>37.159722222218988</c:v>
                      </c:pt>
                      <c:pt idx="5352">
                        <c:v>37.166666666664241</c:v>
                      </c:pt>
                      <c:pt idx="5353">
                        <c:v>37.173611111109494</c:v>
                      </c:pt>
                      <c:pt idx="5354">
                        <c:v>37.180555555554747</c:v>
                      </c:pt>
                      <c:pt idx="5355">
                        <c:v>37.1875</c:v>
                      </c:pt>
                      <c:pt idx="5356">
                        <c:v>37.194444444445253</c:v>
                      </c:pt>
                      <c:pt idx="5357">
                        <c:v>37.201388888890506</c:v>
                      </c:pt>
                      <c:pt idx="5358">
                        <c:v>37.208333333335759</c:v>
                      </c:pt>
                      <c:pt idx="5359">
                        <c:v>37.215277777781012</c:v>
                      </c:pt>
                      <c:pt idx="5360">
                        <c:v>37.222222222218988</c:v>
                      </c:pt>
                      <c:pt idx="5361">
                        <c:v>37.229166666664241</c:v>
                      </c:pt>
                      <c:pt idx="5362">
                        <c:v>37.236111111109494</c:v>
                      </c:pt>
                      <c:pt idx="5363">
                        <c:v>37.243055555554747</c:v>
                      </c:pt>
                      <c:pt idx="5364">
                        <c:v>37.25</c:v>
                      </c:pt>
                      <c:pt idx="5365">
                        <c:v>37.256944444445253</c:v>
                      </c:pt>
                      <c:pt idx="5366">
                        <c:v>37.263888888890506</c:v>
                      </c:pt>
                      <c:pt idx="5367">
                        <c:v>37.270833333335759</c:v>
                      </c:pt>
                      <c:pt idx="5368">
                        <c:v>37.277777777781012</c:v>
                      </c:pt>
                      <c:pt idx="5369">
                        <c:v>37.284722222218988</c:v>
                      </c:pt>
                      <c:pt idx="5370">
                        <c:v>37.291666666664241</c:v>
                      </c:pt>
                      <c:pt idx="5371">
                        <c:v>37.298611111109494</c:v>
                      </c:pt>
                      <c:pt idx="5372">
                        <c:v>37.305555555554747</c:v>
                      </c:pt>
                      <c:pt idx="5373">
                        <c:v>37.3125</c:v>
                      </c:pt>
                      <c:pt idx="5374">
                        <c:v>37.319444444445253</c:v>
                      </c:pt>
                      <c:pt idx="5375">
                        <c:v>37.326388888890506</c:v>
                      </c:pt>
                      <c:pt idx="5376">
                        <c:v>37.333333333335759</c:v>
                      </c:pt>
                      <c:pt idx="5377">
                        <c:v>37.340277777781012</c:v>
                      </c:pt>
                      <c:pt idx="5378">
                        <c:v>37.347222222218988</c:v>
                      </c:pt>
                      <c:pt idx="5379">
                        <c:v>37.354166666664241</c:v>
                      </c:pt>
                      <c:pt idx="5380">
                        <c:v>37.361111111109494</c:v>
                      </c:pt>
                      <c:pt idx="5381">
                        <c:v>37.368055555554747</c:v>
                      </c:pt>
                      <c:pt idx="5382">
                        <c:v>37.375</c:v>
                      </c:pt>
                      <c:pt idx="5383">
                        <c:v>37.381944444445253</c:v>
                      </c:pt>
                      <c:pt idx="5384">
                        <c:v>37.388888888890506</c:v>
                      </c:pt>
                      <c:pt idx="5385">
                        <c:v>37.395833333335759</c:v>
                      </c:pt>
                      <c:pt idx="5386">
                        <c:v>37.402777777781012</c:v>
                      </c:pt>
                      <c:pt idx="5387">
                        <c:v>37.409722222218988</c:v>
                      </c:pt>
                      <c:pt idx="5388">
                        <c:v>37.416666666664241</c:v>
                      </c:pt>
                      <c:pt idx="5389">
                        <c:v>37.423611111109494</c:v>
                      </c:pt>
                      <c:pt idx="5390">
                        <c:v>37.430555555554747</c:v>
                      </c:pt>
                      <c:pt idx="5391">
                        <c:v>37.4375</c:v>
                      </c:pt>
                      <c:pt idx="5392">
                        <c:v>37.444444444445253</c:v>
                      </c:pt>
                      <c:pt idx="5393">
                        <c:v>37.451388888890506</c:v>
                      </c:pt>
                      <c:pt idx="5394">
                        <c:v>37.458333333335759</c:v>
                      </c:pt>
                      <c:pt idx="5395">
                        <c:v>37.465277777781012</c:v>
                      </c:pt>
                      <c:pt idx="5396">
                        <c:v>37.472222222218988</c:v>
                      </c:pt>
                      <c:pt idx="5397">
                        <c:v>37.479166666664241</c:v>
                      </c:pt>
                      <c:pt idx="5398">
                        <c:v>37.486111111109494</c:v>
                      </c:pt>
                      <c:pt idx="5399">
                        <c:v>37.493055555554747</c:v>
                      </c:pt>
                      <c:pt idx="5400">
                        <c:v>37.5</c:v>
                      </c:pt>
                      <c:pt idx="5401">
                        <c:v>37.506944444445253</c:v>
                      </c:pt>
                      <c:pt idx="5402">
                        <c:v>37.513888888890506</c:v>
                      </c:pt>
                      <c:pt idx="5403">
                        <c:v>37.520833333335759</c:v>
                      </c:pt>
                      <c:pt idx="5404">
                        <c:v>37.527777777781012</c:v>
                      </c:pt>
                      <c:pt idx="5405">
                        <c:v>37.534722222218988</c:v>
                      </c:pt>
                      <c:pt idx="5406">
                        <c:v>37.541666666664241</c:v>
                      </c:pt>
                      <c:pt idx="5407">
                        <c:v>37.548611111109494</c:v>
                      </c:pt>
                      <c:pt idx="5408">
                        <c:v>37.555555555554747</c:v>
                      </c:pt>
                      <c:pt idx="5409">
                        <c:v>37.5625</c:v>
                      </c:pt>
                      <c:pt idx="5410">
                        <c:v>37.569444444445253</c:v>
                      </c:pt>
                      <c:pt idx="5411">
                        <c:v>37.576388888890506</c:v>
                      </c:pt>
                      <c:pt idx="5412">
                        <c:v>37.583333333335759</c:v>
                      </c:pt>
                      <c:pt idx="5413">
                        <c:v>37.590277777781012</c:v>
                      </c:pt>
                      <c:pt idx="5414">
                        <c:v>37.597222222218988</c:v>
                      </c:pt>
                      <c:pt idx="5415">
                        <c:v>37.604166666664241</c:v>
                      </c:pt>
                      <c:pt idx="5416">
                        <c:v>37.611111111109494</c:v>
                      </c:pt>
                      <c:pt idx="5417">
                        <c:v>37.618055555554747</c:v>
                      </c:pt>
                      <c:pt idx="5418">
                        <c:v>37.625</c:v>
                      </c:pt>
                      <c:pt idx="5419">
                        <c:v>37.631944444445253</c:v>
                      </c:pt>
                      <c:pt idx="5420">
                        <c:v>37.638888888890506</c:v>
                      </c:pt>
                      <c:pt idx="5421">
                        <c:v>37.645833333335759</c:v>
                      </c:pt>
                      <c:pt idx="5422">
                        <c:v>37.652777777781012</c:v>
                      </c:pt>
                      <c:pt idx="5423">
                        <c:v>37.659722222218988</c:v>
                      </c:pt>
                      <c:pt idx="5424">
                        <c:v>37.666666666664241</c:v>
                      </c:pt>
                      <c:pt idx="5425">
                        <c:v>37.673611111109494</c:v>
                      </c:pt>
                      <c:pt idx="5426">
                        <c:v>37.680555555554747</c:v>
                      </c:pt>
                      <c:pt idx="5427">
                        <c:v>37.6875</c:v>
                      </c:pt>
                      <c:pt idx="5428">
                        <c:v>37.694444444445253</c:v>
                      </c:pt>
                      <c:pt idx="5429">
                        <c:v>37.701388888890506</c:v>
                      </c:pt>
                      <c:pt idx="5430">
                        <c:v>37.708333333335759</c:v>
                      </c:pt>
                      <c:pt idx="5431">
                        <c:v>37.715277777781012</c:v>
                      </c:pt>
                      <c:pt idx="5432">
                        <c:v>37.722222222218988</c:v>
                      </c:pt>
                      <c:pt idx="5433">
                        <c:v>37.729166666664241</c:v>
                      </c:pt>
                      <c:pt idx="5434">
                        <c:v>37.736111111109494</c:v>
                      </c:pt>
                      <c:pt idx="5435">
                        <c:v>37.743055555554747</c:v>
                      </c:pt>
                      <c:pt idx="5436">
                        <c:v>37.75</c:v>
                      </c:pt>
                      <c:pt idx="5437">
                        <c:v>37.756944444445253</c:v>
                      </c:pt>
                      <c:pt idx="5438">
                        <c:v>37.763888888890506</c:v>
                      </c:pt>
                      <c:pt idx="5439">
                        <c:v>37.770833333335759</c:v>
                      </c:pt>
                      <c:pt idx="5440">
                        <c:v>37.777777777781012</c:v>
                      </c:pt>
                      <c:pt idx="5441">
                        <c:v>37.784722222218988</c:v>
                      </c:pt>
                      <c:pt idx="5442">
                        <c:v>37.791666666664241</c:v>
                      </c:pt>
                      <c:pt idx="5443">
                        <c:v>37.798611111109494</c:v>
                      </c:pt>
                      <c:pt idx="5444">
                        <c:v>37.805555555554747</c:v>
                      </c:pt>
                      <c:pt idx="5445">
                        <c:v>37.8125</c:v>
                      </c:pt>
                      <c:pt idx="5446">
                        <c:v>37.819444444445253</c:v>
                      </c:pt>
                      <c:pt idx="5447">
                        <c:v>37.826388888890506</c:v>
                      </c:pt>
                      <c:pt idx="5448">
                        <c:v>37.833333333335759</c:v>
                      </c:pt>
                      <c:pt idx="5449">
                        <c:v>37.840277777781012</c:v>
                      </c:pt>
                      <c:pt idx="5450">
                        <c:v>37.847222222218988</c:v>
                      </c:pt>
                      <c:pt idx="5451">
                        <c:v>37.854166666664241</c:v>
                      </c:pt>
                      <c:pt idx="5452">
                        <c:v>37.861111111109494</c:v>
                      </c:pt>
                      <c:pt idx="5453">
                        <c:v>37.868055555554747</c:v>
                      </c:pt>
                      <c:pt idx="5454">
                        <c:v>37.875</c:v>
                      </c:pt>
                      <c:pt idx="5455">
                        <c:v>37.881944444445253</c:v>
                      </c:pt>
                      <c:pt idx="5456">
                        <c:v>37.888888888890506</c:v>
                      </c:pt>
                      <c:pt idx="5457">
                        <c:v>37.895833333335759</c:v>
                      </c:pt>
                      <c:pt idx="5458">
                        <c:v>37.902777777781012</c:v>
                      </c:pt>
                      <c:pt idx="5459">
                        <c:v>37.909722222218988</c:v>
                      </c:pt>
                      <c:pt idx="5460">
                        <c:v>37.916666666664241</c:v>
                      </c:pt>
                      <c:pt idx="5461">
                        <c:v>37.923611111109494</c:v>
                      </c:pt>
                      <c:pt idx="5462">
                        <c:v>37.930555555554747</c:v>
                      </c:pt>
                      <c:pt idx="5463">
                        <c:v>37.9375</c:v>
                      </c:pt>
                      <c:pt idx="5464">
                        <c:v>37.944444444445253</c:v>
                      </c:pt>
                      <c:pt idx="5465">
                        <c:v>37.951388888890506</c:v>
                      </c:pt>
                      <c:pt idx="5466">
                        <c:v>37.958333333335759</c:v>
                      </c:pt>
                      <c:pt idx="5467">
                        <c:v>37.965277777781012</c:v>
                      </c:pt>
                      <c:pt idx="5468">
                        <c:v>37.972222222218988</c:v>
                      </c:pt>
                      <c:pt idx="5469">
                        <c:v>37.979166666664241</c:v>
                      </c:pt>
                      <c:pt idx="5470">
                        <c:v>37.986111111109494</c:v>
                      </c:pt>
                      <c:pt idx="5471">
                        <c:v>37.993055555554747</c:v>
                      </c:pt>
                      <c:pt idx="5472">
                        <c:v>38</c:v>
                      </c:pt>
                      <c:pt idx="5473">
                        <c:v>38.006944444445253</c:v>
                      </c:pt>
                      <c:pt idx="5474">
                        <c:v>38.013888888890506</c:v>
                      </c:pt>
                      <c:pt idx="5475">
                        <c:v>38.020833333335759</c:v>
                      </c:pt>
                      <c:pt idx="5476">
                        <c:v>38.027777777781012</c:v>
                      </c:pt>
                      <c:pt idx="5477">
                        <c:v>38.034722222218988</c:v>
                      </c:pt>
                      <c:pt idx="5478">
                        <c:v>38.041666666664241</c:v>
                      </c:pt>
                      <c:pt idx="5479">
                        <c:v>38.048611111109494</c:v>
                      </c:pt>
                      <c:pt idx="5480">
                        <c:v>38.055555555554747</c:v>
                      </c:pt>
                      <c:pt idx="5481">
                        <c:v>38.0625</c:v>
                      </c:pt>
                      <c:pt idx="5482">
                        <c:v>38.069444444445253</c:v>
                      </c:pt>
                      <c:pt idx="5483">
                        <c:v>38.076388888890506</c:v>
                      </c:pt>
                      <c:pt idx="5484">
                        <c:v>38.083333333335759</c:v>
                      </c:pt>
                      <c:pt idx="5485">
                        <c:v>38.090277777781012</c:v>
                      </c:pt>
                      <c:pt idx="5486">
                        <c:v>38.097222222218988</c:v>
                      </c:pt>
                      <c:pt idx="5487">
                        <c:v>38.104166666664241</c:v>
                      </c:pt>
                      <c:pt idx="5488">
                        <c:v>38.111111111109494</c:v>
                      </c:pt>
                      <c:pt idx="5489">
                        <c:v>38.118055555554747</c:v>
                      </c:pt>
                      <c:pt idx="5490">
                        <c:v>38.125</c:v>
                      </c:pt>
                      <c:pt idx="5491">
                        <c:v>38.131944444445253</c:v>
                      </c:pt>
                      <c:pt idx="5492">
                        <c:v>38.138888888890506</c:v>
                      </c:pt>
                      <c:pt idx="5493">
                        <c:v>38.145833333335759</c:v>
                      </c:pt>
                      <c:pt idx="5494">
                        <c:v>38.152777777781012</c:v>
                      </c:pt>
                      <c:pt idx="5495">
                        <c:v>38.159722222218988</c:v>
                      </c:pt>
                      <c:pt idx="5496">
                        <c:v>38.166666666664241</c:v>
                      </c:pt>
                      <c:pt idx="5497">
                        <c:v>38.173611111109494</c:v>
                      </c:pt>
                      <c:pt idx="5498">
                        <c:v>38.180555555554747</c:v>
                      </c:pt>
                      <c:pt idx="5499">
                        <c:v>38.1875</c:v>
                      </c:pt>
                      <c:pt idx="5500">
                        <c:v>38.194444444445253</c:v>
                      </c:pt>
                      <c:pt idx="5501">
                        <c:v>38.201388888890506</c:v>
                      </c:pt>
                      <c:pt idx="5502">
                        <c:v>38.208333333335759</c:v>
                      </c:pt>
                      <c:pt idx="5503">
                        <c:v>38.215277777781012</c:v>
                      </c:pt>
                      <c:pt idx="5504">
                        <c:v>38.222222222218988</c:v>
                      </c:pt>
                      <c:pt idx="5505">
                        <c:v>38.229166666664241</c:v>
                      </c:pt>
                      <c:pt idx="5506">
                        <c:v>38.236111111109494</c:v>
                      </c:pt>
                      <c:pt idx="5507">
                        <c:v>38.243055555554747</c:v>
                      </c:pt>
                      <c:pt idx="5508">
                        <c:v>38.25</c:v>
                      </c:pt>
                      <c:pt idx="5509">
                        <c:v>38.256944444445253</c:v>
                      </c:pt>
                      <c:pt idx="5510">
                        <c:v>38.263888888890506</c:v>
                      </c:pt>
                      <c:pt idx="5511">
                        <c:v>38.270833333335759</c:v>
                      </c:pt>
                      <c:pt idx="5512">
                        <c:v>38.277777777781012</c:v>
                      </c:pt>
                      <c:pt idx="5513">
                        <c:v>38.284722222218988</c:v>
                      </c:pt>
                      <c:pt idx="5514">
                        <c:v>38.291666666664241</c:v>
                      </c:pt>
                      <c:pt idx="5515">
                        <c:v>38.298611111109494</c:v>
                      </c:pt>
                      <c:pt idx="5516">
                        <c:v>38.305555555554747</c:v>
                      </c:pt>
                      <c:pt idx="5517">
                        <c:v>38.3125</c:v>
                      </c:pt>
                      <c:pt idx="5518">
                        <c:v>38.319444444445253</c:v>
                      </c:pt>
                      <c:pt idx="5519">
                        <c:v>38.326388888890506</c:v>
                      </c:pt>
                      <c:pt idx="5520">
                        <c:v>38.333333333335759</c:v>
                      </c:pt>
                      <c:pt idx="5521">
                        <c:v>38.340277777781012</c:v>
                      </c:pt>
                      <c:pt idx="5522">
                        <c:v>38.347222222218988</c:v>
                      </c:pt>
                      <c:pt idx="5523">
                        <c:v>38.354166666664241</c:v>
                      </c:pt>
                      <c:pt idx="5524">
                        <c:v>38.361111111109494</c:v>
                      </c:pt>
                      <c:pt idx="5525">
                        <c:v>38.368055555554747</c:v>
                      </c:pt>
                      <c:pt idx="5526">
                        <c:v>38.375</c:v>
                      </c:pt>
                      <c:pt idx="5527">
                        <c:v>38.381944444445253</c:v>
                      </c:pt>
                      <c:pt idx="5528">
                        <c:v>38.388888888890506</c:v>
                      </c:pt>
                      <c:pt idx="5529">
                        <c:v>38.395833333335759</c:v>
                      </c:pt>
                      <c:pt idx="5530">
                        <c:v>38.402777777781012</c:v>
                      </c:pt>
                      <c:pt idx="5531">
                        <c:v>38.409722222218988</c:v>
                      </c:pt>
                      <c:pt idx="5532">
                        <c:v>38.416666666664241</c:v>
                      </c:pt>
                      <c:pt idx="5533">
                        <c:v>38.423611111109494</c:v>
                      </c:pt>
                      <c:pt idx="5534">
                        <c:v>38.430555555554747</c:v>
                      </c:pt>
                      <c:pt idx="5535">
                        <c:v>38.4375</c:v>
                      </c:pt>
                      <c:pt idx="5536">
                        <c:v>38.444444444445253</c:v>
                      </c:pt>
                      <c:pt idx="5537">
                        <c:v>38.451388888890506</c:v>
                      </c:pt>
                      <c:pt idx="5538">
                        <c:v>38.458333333335759</c:v>
                      </c:pt>
                      <c:pt idx="5539">
                        <c:v>38.465277777781012</c:v>
                      </c:pt>
                      <c:pt idx="5540">
                        <c:v>38.472222222218988</c:v>
                      </c:pt>
                      <c:pt idx="5541">
                        <c:v>38.479166666664241</c:v>
                      </c:pt>
                      <c:pt idx="5542">
                        <c:v>38.486111111109494</c:v>
                      </c:pt>
                      <c:pt idx="5543">
                        <c:v>38.493055555554747</c:v>
                      </c:pt>
                      <c:pt idx="5544">
                        <c:v>38.5</c:v>
                      </c:pt>
                      <c:pt idx="5545">
                        <c:v>38.506944444445253</c:v>
                      </c:pt>
                      <c:pt idx="5546">
                        <c:v>38.513888888890506</c:v>
                      </c:pt>
                      <c:pt idx="5547">
                        <c:v>38.520833333335759</c:v>
                      </c:pt>
                      <c:pt idx="5548">
                        <c:v>38.527777777781012</c:v>
                      </c:pt>
                      <c:pt idx="5549">
                        <c:v>38.534722222218988</c:v>
                      </c:pt>
                      <c:pt idx="5550">
                        <c:v>38.541666666664241</c:v>
                      </c:pt>
                      <c:pt idx="5551">
                        <c:v>38.548611111109494</c:v>
                      </c:pt>
                      <c:pt idx="5552">
                        <c:v>38.555555555554747</c:v>
                      </c:pt>
                      <c:pt idx="5553">
                        <c:v>38.5625</c:v>
                      </c:pt>
                      <c:pt idx="5554">
                        <c:v>38.569444444445253</c:v>
                      </c:pt>
                      <c:pt idx="5555">
                        <c:v>38.576388888890506</c:v>
                      </c:pt>
                      <c:pt idx="5556">
                        <c:v>38.583333333335759</c:v>
                      </c:pt>
                      <c:pt idx="5557">
                        <c:v>38.590277777781012</c:v>
                      </c:pt>
                      <c:pt idx="5558">
                        <c:v>38.597222222218988</c:v>
                      </c:pt>
                      <c:pt idx="5559">
                        <c:v>38.604166666664241</c:v>
                      </c:pt>
                      <c:pt idx="5560">
                        <c:v>38.611111111109494</c:v>
                      </c:pt>
                      <c:pt idx="5561">
                        <c:v>38.618055555554747</c:v>
                      </c:pt>
                      <c:pt idx="5562">
                        <c:v>38.625</c:v>
                      </c:pt>
                      <c:pt idx="5563">
                        <c:v>38.631944444445253</c:v>
                      </c:pt>
                      <c:pt idx="5564">
                        <c:v>38.638888888890506</c:v>
                      </c:pt>
                      <c:pt idx="5565">
                        <c:v>38.645833333335759</c:v>
                      </c:pt>
                      <c:pt idx="5566">
                        <c:v>38.652777777781012</c:v>
                      </c:pt>
                      <c:pt idx="5567">
                        <c:v>38.659722222218988</c:v>
                      </c:pt>
                      <c:pt idx="5568">
                        <c:v>38.666666666664241</c:v>
                      </c:pt>
                      <c:pt idx="5569">
                        <c:v>38.673611111109494</c:v>
                      </c:pt>
                      <c:pt idx="5570">
                        <c:v>38.680555555554747</c:v>
                      </c:pt>
                      <c:pt idx="5571">
                        <c:v>38.6875</c:v>
                      </c:pt>
                      <c:pt idx="5572">
                        <c:v>38.694444444445253</c:v>
                      </c:pt>
                      <c:pt idx="5573">
                        <c:v>38.701388888890506</c:v>
                      </c:pt>
                      <c:pt idx="5574">
                        <c:v>38.708333333335759</c:v>
                      </c:pt>
                      <c:pt idx="5575">
                        <c:v>38.715277777781012</c:v>
                      </c:pt>
                      <c:pt idx="5576">
                        <c:v>38.722222222218988</c:v>
                      </c:pt>
                      <c:pt idx="5577">
                        <c:v>38.729166666664241</c:v>
                      </c:pt>
                      <c:pt idx="5578">
                        <c:v>38.736111111109494</c:v>
                      </c:pt>
                      <c:pt idx="5579">
                        <c:v>38.743055555554747</c:v>
                      </c:pt>
                      <c:pt idx="5580">
                        <c:v>38.75</c:v>
                      </c:pt>
                      <c:pt idx="5581">
                        <c:v>38.756944444445253</c:v>
                      </c:pt>
                      <c:pt idx="5582">
                        <c:v>38.763888888890506</c:v>
                      </c:pt>
                      <c:pt idx="5583">
                        <c:v>38.770833333335759</c:v>
                      </c:pt>
                      <c:pt idx="5584">
                        <c:v>38.777777777781012</c:v>
                      </c:pt>
                      <c:pt idx="5585">
                        <c:v>38.784722222218988</c:v>
                      </c:pt>
                      <c:pt idx="5586">
                        <c:v>38.791666666664241</c:v>
                      </c:pt>
                      <c:pt idx="5587">
                        <c:v>38.798611111109494</c:v>
                      </c:pt>
                      <c:pt idx="5588">
                        <c:v>38.805555555554747</c:v>
                      </c:pt>
                      <c:pt idx="5589">
                        <c:v>38.8125</c:v>
                      </c:pt>
                      <c:pt idx="5590">
                        <c:v>38.819444444445253</c:v>
                      </c:pt>
                      <c:pt idx="5591">
                        <c:v>38.826388888890506</c:v>
                      </c:pt>
                      <c:pt idx="5592">
                        <c:v>38.833333333335759</c:v>
                      </c:pt>
                      <c:pt idx="5593">
                        <c:v>38.840277777781012</c:v>
                      </c:pt>
                      <c:pt idx="5594">
                        <c:v>38.847222222218988</c:v>
                      </c:pt>
                      <c:pt idx="5595">
                        <c:v>38.854166666664241</c:v>
                      </c:pt>
                      <c:pt idx="5596">
                        <c:v>38.861111111109494</c:v>
                      </c:pt>
                      <c:pt idx="5597">
                        <c:v>38.868055555554747</c:v>
                      </c:pt>
                      <c:pt idx="5598">
                        <c:v>38.875</c:v>
                      </c:pt>
                      <c:pt idx="5599">
                        <c:v>38.881944444445253</c:v>
                      </c:pt>
                      <c:pt idx="5600">
                        <c:v>38.888888888890506</c:v>
                      </c:pt>
                      <c:pt idx="5601">
                        <c:v>38.895833333335759</c:v>
                      </c:pt>
                      <c:pt idx="5602">
                        <c:v>38.902777777781012</c:v>
                      </c:pt>
                      <c:pt idx="5603">
                        <c:v>38.909722222218988</c:v>
                      </c:pt>
                      <c:pt idx="5604">
                        <c:v>38.916666666664241</c:v>
                      </c:pt>
                      <c:pt idx="5605">
                        <c:v>38.923611111109494</c:v>
                      </c:pt>
                      <c:pt idx="5606">
                        <c:v>38.930555555554747</c:v>
                      </c:pt>
                      <c:pt idx="5607">
                        <c:v>38.9375</c:v>
                      </c:pt>
                      <c:pt idx="5608">
                        <c:v>38.944444444445253</c:v>
                      </c:pt>
                      <c:pt idx="5609">
                        <c:v>38.951388888890506</c:v>
                      </c:pt>
                      <c:pt idx="5610">
                        <c:v>38.958333333335759</c:v>
                      </c:pt>
                      <c:pt idx="5611">
                        <c:v>38.965277777781012</c:v>
                      </c:pt>
                      <c:pt idx="5612">
                        <c:v>38.972222222218988</c:v>
                      </c:pt>
                      <c:pt idx="5613">
                        <c:v>38.979166666664241</c:v>
                      </c:pt>
                      <c:pt idx="5614">
                        <c:v>38.986111111109494</c:v>
                      </c:pt>
                      <c:pt idx="5615">
                        <c:v>38.993055555554747</c:v>
                      </c:pt>
                      <c:pt idx="5616">
                        <c:v>39</c:v>
                      </c:pt>
                      <c:pt idx="5617">
                        <c:v>39.006944444445253</c:v>
                      </c:pt>
                      <c:pt idx="5618">
                        <c:v>39.013888888890506</c:v>
                      </c:pt>
                      <c:pt idx="5619">
                        <c:v>39.020833333335759</c:v>
                      </c:pt>
                      <c:pt idx="5620">
                        <c:v>39.027777777781012</c:v>
                      </c:pt>
                      <c:pt idx="5621">
                        <c:v>39.034722222218988</c:v>
                      </c:pt>
                      <c:pt idx="5622">
                        <c:v>39.041666666664241</c:v>
                      </c:pt>
                      <c:pt idx="5623">
                        <c:v>39.048611111109494</c:v>
                      </c:pt>
                      <c:pt idx="5624">
                        <c:v>39.055555555554747</c:v>
                      </c:pt>
                      <c:pt idx="5625">
                        <c:v>39.0625</c:v>
                      </c:pt>
                      <c:pt idx="5626">
                        <c:v>39.069444444445253</c:v>
                      </c:pt>
                      <c:pt idx="5627">
                        <c:v>39.076388888890506</c:v>
                      </c:pt>
                      <c:pt idx="5628">
                        <c:v>39.083333333335759</c:v>
                      </c:pt>
                      <c:pt idx="5629">
                        <c:v>39.090277777781012</c:v>
                      </c:pt>
                      <c:pt idx="5630">
                        <c:v>39.097222222218988</c:v>
                      </c:pt>
                      <c:pt idx="5631">
                        <c:v>39.104166666664241</c:v>
                      </c:pt>
                      <c:pt idx="5632">
                        <c:v>39.111111111109494</c:v>
                      </c:pt>
                      <c:pt idx="5633">
                        <c:v>39.118055555554747</c:v>
                      </c:pt>
                      <c:pt idx="5634">
                        <c:v>39.125</c:v>
                      </c:pt>
                      <c:pt idx="5635">
                        <c:v>39.131944444445253</c:v>
                      </c:pt>
                      <c:pt idx="5636">
                        <c:v>39.138888888890506</c:v>
                      </c:pt>
                      <c:pt idx="5637">
                        <c:v>39.145833333335759</c:v>
                      </c:pt>
                      <c:pt idx="5638">
                        <c:v>39.152777777781012</c:v>
                      </c:pt>
                      <c:pt idx="5639">
                        <c:v>39.159722222218988</c:v>
                      </c:pt>
                      <c:pt idx="5640">
                        <c:v>39.166666666664241</c:v>
                      </c:pt>
                      <c:pt idx="5641">
                        <c:v>39.173611111109494</c:v>
                      </c:pt>
                      <c:pt idx="5642">
                        <c:v>39.180555555554747</c:v>
                      </c:pt>
                      <c:pt idx="5643">
                        <c:v>39.1875</c:v>
                      </c:pt>
                      <c:pt idx="5644">
                        <c:v>39.194444444445253</c:v>
                      </c:pt>
                      <c:pt idx="5645">
                        <c:v>39.201388888890506</c:v>
                      </c:pt>
                      <c:pt idx="5646">
                        <c:v>39.208333333335759</c:v>
                      </c:pt>
                      <c:pt idx="5647">
                        <c:v>39.215277777781012</c:v>
                      </c:pt>
                      <c:pt idx="5648">
                        <c:v>39.222222222218988</c:v>
                      </c:pt>
                      <c:pt idx="5649">
                        <c:v>39.229166666664241</c:v>
                      </c:pt>
                      <c:pt idx="5650">
                        <c:v>39.236111111109494</c:v>
                      </c:pt>
                      <c:pt idx="5651">
                        <c:v>39.243055555554747</c:v>
                      </c:pt>
                      <c:pt idx="5652">
                        <c:v>39.25</c:v>
                      </c:pt>
                      <c:pt idx="5653">
                        <c:v>39.256944444445253</c:v>
                      </c:pt>
                      <c:pt idx="5654">
                        <c:v>39.263888888890506</c:v>
                      </c:pt>
                      <c:pt idx="5655">
                        <c:v>39.270833333335759</c:v>
                      </c:pt>
                      <c:pt idx="5656">
                        <c:v>39.277777777781012</c:v>
                      </c:pt>
                      <c:pt idx="5657">
                        <c:v>39.284722222218988</c:v>
                      </c:pt>
                      <c:pt idx="5658">
                        <c:v>39.291666666664241</c:v>
                      </c:pt>
                      <c:pt idx="5659">
                        <c:v>39.298611111109494</c:v>
                      </c:pt>
                      <c:pt idx="5660">
                        <c:v>39.305555555554747</c:v>
                      </c:pt>
                      <c:pt idx="5661">
                        <c:v>39.3125</c:v>
                      </c:pt>
                      <c:pt idx="5662">
                        <c:v>39.319444444445253</c:v>
                      </c:pt>
                      <c:pt idx="5663">
                        <c:v>39.326388888890506</c:v>
                      </c:pt>
                      <c:pt idx="5664">
                        <c:v>39.333333333335759</c:v>
                      </c:pt>
                      <c:pt idx="5665">
                        <c:v>39.340277777781012</c:v>
                      </c:pt>
                      <c:pt idx="5666">
                        <c:v>39.347222222218988</c:v>
                      </c:pt>
                      <c:pt idx="5667">
                        <c:v>39.354166666664241</c:v>
                      </c:pt>
                      <c:pt idx="5668">
                        <c:v>39.361111111109494</c:v>
                      </c:pt>
                      <c:pt idx="5669">
                        <c:v>39.368055555554747</c:v>
                      </c:pt>
                      <c:pt idx="5670">
                        <c:v>39.375</c:v>
                      </c:pt>
                      <c:pt idx="5671">
                        <c:v>39.381944444445253</c:v>
                      </c:pt>
                      <c:pt idx="5672">
                        <c:v>39.388888888890506</c:v>
                      </c:pt>
                      <c:pt idx="5673">
                        <c:v>39.395833333335759</c:v>
                      </c:pt>
                      <c:pt idx="5674">
                        <c:v>39.402777777781012</c:v>
                      </c:pt>
                      <c:pt idx="5675">
                        <c:v>39.409722222218988</c:v>
                      </c:pt>
                      <c:pt idx="5676">
                        <c:v>39.416666666664241</c:v>
                      </c:pt>
                      <c:pt idx="5677">
                        <c:v>39.423611111109494</c:v>
                      </c:pt>
                      <c:pt idx="5678">
                        <c:v>39.430555555554747</c:v>
                      </c:pt>
                      <c:pt idx="5679">
                        <c:v>39.4375</c:v>
                      </c:pt>
                      <c:pt idx="5680">
                        <c:v>39.444444444445253</c:v>
                      </c:pt>
                      <c:pt idx="5681">
                        <c:v>39.451388888890506</c:v>
                      </c:pt>
                      <c:pt idx="5682">
                        <c:v>39.458333333335759</c:v>
                      </c:pt>
                      <c:pt idx="5683">
                        <c:v>39.465277777781012</c:v>
                      </c:pt>
                      <c:pt idx="5684">
                        <c:v>39.472222222218988</c:v>
                      </c:pt>
                      <c:pt idx="5685">
                        <c:v>39.479166666664241</c:v>
                      </c:pt>
                      <c:pt idx="5686">
                        <c:v>39.486111111109494</c:v>
                      </c:pt>
                      <c:pt idx="5687">
                        <c:v>39.493055555554747</c:v>
                      </c:pt>
                      <c:pt idx="5688">
                        <c:v>39.5</c:v>
                      </c:pt>
                      <c:pt idx="5689">
                        <c:v>39.506944444445253</c:v>
                      </c:pt>
                      <c:pt idx="5690">
                        <c:v>39.513888888890506</c:v>
                      </c:pt>
                      <c:pt idx="5691">
                        <c:v>39.520833333335759</c:v>
                      </c:pt>
                      <c:pt idx="5692">
                        <c:v>39.527777777781012</c:v>
                      </c:pt>
                      <c:pt idx="5693">
                        <c:v>39.534722222218988</c:v>
                      </c:pt>
                      <c:pt idx="5694">
                        <c:v>39.541666666664241</c:v>
                      </c:pt>
                      <c:pt idx="5695">
                        <c:v>39.548611111109494</c:v>
                      </c:pt>
                      <c:pt idx="5696">
                        <c:v>39.555555555554747</c:v>
                      </c:pt>
                      <c:pt idx="5697">
                        <c:v>39.5625</c:v>
                      </c:pt>
                      <c:pt idx="5698">
                        <c:v>39.569444444445253</c:v>
                      </c:pt>
                      <c:pt idx="5699">
                        <c:v>39.576388888890506</c:v>
                      </c:pt>
                      <c:pt idx="5700">
                        <c:v>39.583333333335759</c:v>
                      </c:pt>
                      <c:pt idx="5701">
                        <c:v>39.590277777781012</c:v>
                      </c:pt>
                      <c:pt idx="5702">
                        <c:v>39.597222222218988</c:v>
                      </c:pt>
                      <c:pt idx="5703">
                        <c:v>39.604166666664241</c:v>
                      </c:pt>
                      <c:pt idx="5704">
                        <c:v>39.611111111109494</c:v>
                      </c:pt>
                      <c:pt idx="5705">
                        <c:v>39.618055555554747</c:v>
                      </c:pt>
                      <c:pt idx="5706">
                        <c:v>39.625</c:v>
                      </c:pt>
                      <c:pt idx="5707">
                        <c:v>39.631944444445253</c:v>
                      </c:pt>
                      <c:pt idx="5708">
                        <c:v>39.638888888890506</c:v>
                      </c:pt>
                      <c:pt idx="5709">
                        <c:v>39.645833333335759</c:v>
                      </c:pt>
                      <c:pt idx="5710">
                        <c:v>39.652777777781012</c:v>
                      </c:pt>
                      <c:pt idx="5711">
                        <c:v>39.659722222218988</c:v>
                      </c:pt>
                      <c:pt idx="5712">
                        <c:v>39.666666666664241</c:v>
                      </c:pt>
                      <c:pt idx="5713">
                        <c:v>39.673611111109494</c:v>
                      </c:pt>
                      <c:pt idx="5714">
                        <c:v>39.680555555554747</c:v>
                      </c:pt>
                      <c:pt idx="5715">
                        <c:v>39.6875</c:v>
                      </c:pt>
                      <c:pt idx="5716">
                        <c:v>39.694444444445253</c:v>
                      </c:pt>
                      <c:pt idx="5717">
                        <c:v>39.701388888890506</c:v>
                      </c:pt>
                      <c:pt idx="5718">
                        <c:v>39.708333333335759</c:v>
                      </c:pt>
                      <c:pt idx="5719">
                        <c:v>39.715277777781012</c:v>
                      </c:pt>
                      <c:pt idx="5720">
                        <c:v>39.722222222218988</c:v>
                      </c:pt>
                      <c:pt idx="5721">
                        <c:v>39.729166666664241</c:v>
                      </c:pt>
                      <c:pt idx="5722">
                        <c:v>39.736111111109494</c:v>
                      </c:pt>
                      <c:pt idx="5723">
                        <c:v>39.743055555554747</c:v>
                      </c:pt>
                      <c:pt idx="5724">
                        <c:v>39.75</c:v>
                      </c:pt>
                      <c:pt idx="5725">
                        <c:v>39.756944444445253</c:v>
                      </c:pt>
                      <c:pt idx="5726">
                        <c:v>39.763888888890506</c:v>
                      </c:pt>
                      <c:pt idx="5727">
                        <c:v>39.770833333335759</c:v>
                      </c:pt>
                      <c:pt idx="5728">
                        <c:v>39.777777777781012</c:v>
                      </c:pt>
                      <c:pt idx="5729">
                        <c:v>39.784722222218988</c:v>
                      </c:pt>
                      <c:pt idx="5730">
                        <c:v>39.791666666664241</c:v>
                      </c:pt>
                      <c:pt idx="5731">
                        <c:v>39.798611111109494</c:v>
                      </c:pt>
                      <c:pt idx="5732">
                        <c:v>39.805555555554747</c:v>
                      </c:pt>
                      <c:pt idx="5733">
                        <c:v>39.8125</c:v>
                      </c:pt>
                      <c:pt idx="5734">
                        <c:v>39.819444444445253</c:v>
                      </c:pt>
                      <c:pt idx="5735">
                        <c:v>39.826388888890506</c:v>
                      </c:pt>
                      <c:pt idx="5736">
                        <c:v>39.833333333335759</c:v>
                      </c:pt>
                      <c:pt idx="5737">
                        <c:v>39.840277777781012</c:v>
                      </c:pt>
                      <c:pt idx="5738">
                        <c:v>39.847222222218988</c:v>
                      </c:pt>
                      <c:pt idx="5739">
                        <c:v>39.854166666664241</c:v>
                      </c:pt>
                      <c:pt idx="5740">
                        <c:v>39.861111111109494</c:v>
                      </c:pt>
                      <c:pt idx="5741">
                        <c:v>39.868055555554747</c:v>
                      </c:pt>
                      <c:pt idx="5742">
                        <c:v>39.875</c:v>
                      </c:pt>
                      <c:pt idx="5743">
                        <c:v>39.881944444445253</c:v>
                      </c:pt>
                      <c:pt idx="5744">
                        <c:v>39.888888888890506</c:v>
                      </c:pt>
                      <c:pt idx="5745">
                        <c:v>39.895833333335759</c:v>
                      </c:pt>
                      <c:pt idx="5746">
                        <c:v>39.902777777781012</c:v>
                      </c:pt>
                      <c:pt idx="5747">
                        <c:v>39.909722222218988</c:v>
                      </c:pt>
                      <c:pt idx="5748">
                        <c:v>39.916666666664241</c:v>
                      </c:pt>
                      <c:pt idx="5749">
                        <c:v>39.923611111109494</c:v>
                      </c:pt>
                      <c:pt idx="5750">
                        <c:v>39.930555555554747</c:v>
                      </c:pt>
                      <c:pt idx="5751">
                        <c:v>39.9375</c:v>
                      </c:pt>
                      <c:pt idx="5752">
                        <c:v>39.944444444445253</c:v>
                      </c:pt>
                      <c:pt idx="5753">
                        <c:v>39.951388888890506</c:v>
                      </c:pt>
                      <c:pt idx="5754">
                        <c:v>39.958333333335759</c:v>
                      </c:pt>
                      <c:pt idx="5755">
                        <c:v>39.965277777781012</c:v>
                      </c:pt>
                      <c:pt idx="5756">
                        <c:v>39.972222222218988</c:v>
                      </c:pt>
                      <c:pt idx="5757">
                        <c:v>39.979166666664241</c:v>
                      </c:pt>
                      <c:pt idx="5758">
                        <c:v>39.986111111109494</c:v>
                      </c:pt>
                      <c:pt idx="5759">
                        <c:v>39.993055555554747</c:v>
                      </c:pt>
                      <c:pt idx="5760">
                        <c:v>40</c:v>
                      </c:pt>
                      <c:pt idx="5761">
                        <c:v>40.006944444445253</c:v>
                      </c:pt>
                      <c:pt idx="5762">
                        <c:v>40.013888888890506</c:v>
                      </c:pt>
                      <c:pt idx="5763">
                        <c:v>40.020833333335759</c:v>
                      </c:pt>
                      <c:pt idx="5764">
                        <c:v>40.027777777781012</c:v>
                      </c:pt>
                      <c:pt idx="5765">
                        <c:v>40.034722222218988</c:v>
                      </c:pt>
                      <c:pt idx="5766">
                        <c:v>40.041666666664241</c:v>
                      </c:pt>
                      <c:pt idx="5767">
                        <c:v>40.048611111109494</c:v>
                      </c:pt>
                      <c:pt idx="5768">
                        <c:v>40.055555555554747</c:v>
                      </c:pt>
                      <c:pt idx="5769">
                        <c:v>40.0625</c:v>
                      </c:pt>
                      <c:pt idx="5770">
                        <c:v>40.069444444445253</c:v>
                      </c:pt>
                      <c:pt idx="5771">
                        <c:v>40.076388888890506</c:v>
                      </c:pt>
                      <c:pt idx="5772">
                        <c:v>40.083333333335759</c:v>
                      </c:pt>
                      <c:pt idx="5773">
                        <c:v>40.090277777781012</c:v>
                      </c:pt>
                      <c:pt idx="5774">
                        <c:v>40.097222222218988</c:v>
                      </c:pt>
                      <c:pt idx="5775">
                        <c:v>40.104166666664241</c:v>
                      </c:pt>
                      <c:pt idx="5776">
                        <c:v>40.111111111109494</c:v>
                      </c:pt>
                      <c:pt idx="5777">
                        <c:v>40.118055555554747</c:v>
                      </c:pt>
                      <c:pt idx="5778">
                        <c:v>40.125</c:v>
                      </c:pt>
                      <c:pt idx="5779">
                        <c:v>40.131944444445253</c:v>
                      </c:pt>
                      <c:pt idx="5780">
                        <c:v>40.138888888890506</c:v>
                      </c:pt>
                      <c:pt idx="5781">
                        <c:v>40.145833333335759</c:v>
                      </c:pt>
                      <c:pt idx="5782">
                        <c:v>40.152777777781012</c:v>
                      </c:pt>
                      <c:pt idx="5783">
                        <c:v>40.159722222218988</c:v>
                      </c:pt>
                      <c:pt idx="5784">
                        <c:v>40.166666666664241</c:v>
                      </c:pt>
                      <c:pt idx="5785">
                        <c:v>40.173611111109494</c:v>
                      </c:pt>
                      <c:pt idx="5786">
                        <c:v>40.180555555554747</c:v>
                      </c:pt>
                      <c:pt idx="5787">
                        <c:v>40.1875</c:v>
                      </c:pt>
                      <c:pt idx="5788">
                        <c:v>40.194444444445253</c:v>
                      </c:pt>
                      <c:pt idx="5789">
                        <c:v>40.201388888890506</c:v>
                      </c:pt>
                      <c:pt idx="5790">
                        <c:v>40.208333333335759</c:v>
                      </c:pt>
                      <c:pt idx="5791">
                        <c:v>40.215277777781012</c:v>
                      </c:pt>
                      <c:pt idx="5792">
                        <c:v>40.222222222218988</c:v>
                      </c:pt>
                      <c:pt idx="5793">
                        <c:v>40.229166666664241</c:v>
                      </c:pt>
                      <c:pt idx="5794">
                        <c:v>40.236111111109494</c:v>
                      </c:pt>
                      <c:pt idx="5795">
                        <c:v>40.243055555554747</c:v>
                      </c:pt>
                      <c:pt idx="5796">
                        <c:v>40.25</c:v>
                      </c:pt>
                      <c:pt idx="5797">
                        <c:v>40.256944444445253</c:v>
                      </c:pt>
                      <c:pt idx="5798">
                        <c:v>40.263888888890506</c:v>
                      </c:pt>
                      <c:pt idx="5799">
                        <c:v>40.270833333335759</c:v>
                      </c:pt>
                      <c:pt idx="5800">
                        <c:v>40.277777777781012</c:v>
                      </c:pt>
                      <c:pt idx="5801">
                        <c:v>40.284722222218988</c:v>
                      </c:pt>
                      <c:pt idx="5802">
                        <c:v>40.291666666664241</c:v>
                      </c:pt>
                      <c:pt idx="5803">
                        <c:v>40.298611111109494</c:v>
                      </c:pt>
                      <c:pt idx="5804">
                        <c:v>40.305555555554747</c:v>
                      </c:pt>
                      <c:pt idx="5805">
                        <c:v>40.3125</c:v>
                      </c:pt>
                      <c:pt idx="5806">
                        <c:v>40.319444444445253</c:v>
                      </c:pt>
                      <c:pt idx="5807">
                        <c:v>40.326388888890506</c:v>
                      </c:pt>
                      <c:pt idx="5808">
                        <c:v>40.333333333335759</c:v>
                      </c:pt>
                      <c:pt idx="5809">
                        <c:v>40.340277777781012</c:v>
                      </c:pt>
                      <c:pt idx="5810">
                        <c:v>40.347222222218988</c:v>
                      </c:pt>
                      <c:pt idx="5811">
                        <c:v>40.354166666664241</c:v>
                      </c:pt>
                      <c:pt idx="5812">
                        <c:v>40.361111111109494</c:v>
                      </c:pt>
                      <c:pt idx="5813">
                        <c:v>40.368055555554747</c:v>
                      </c:pt>
                      <c:pt idx="5814">
                        <c:v>40.375</c:v>
                      </c:pt>
                      <c:pt idx="5815">
                        <c:v>40.381944444445253</c:v>
                      </c:pt>
                      <c:pt idx="5816">
                        <c:v>40.388888888890506</c:v>
                      </c:pt>
                      <c:pt idx="5817">
                        <c:v>40.395833333335759</c:v>
                      </c:pt>
                      <c:pt idx="5818">
                        <c:v>40.402777777781012</c:v>
                      </c:pt>
                      <c:pt idx="5819">
                        <c:v>40.409722222218988</c:v>
                      </c:pt>
                      <c:pt idx="5820">
                        <c:v>40.416666666664241</c:v>
                      </c:pt>
                      <c:pt idx="5821">
                        <c:v>40.423611111109494</c:v>
                      </c:pt>
                      <c:pt idx="5822">
                        <c:v>40.430555555554747</c:v>
                      </c:pt>
                      <c:pt idx="5823">
                        <c:v>40.4375</c:v>
                      </c:pt>
                      <c:pt idx="5824">
                        <c:v>40.444444444445253</c:v>
                      </c:pt>
                      <c:pt idx="5825">
                        <c:v>40.451388888890506</c:v>
                      </c:pt>
                      <c:pt idx="5826">
                        <c:v>40.458333333335759</c:v>
                      </c:pt>
                      <c:pt idx="5827">
                        <c:v>40.465277777781012</c:v>
                      </c:pt>
                      <c:pt idx="5828">
                        <c:v>40.472222222218988</c:v>
                      </c:pt>
                      <c:pt idx="5829">
                        <c:v>40.479166666664241</c:v>
                      </c:pt>
                      <c:pt idx="5830">
                        <c:v>40.486111111109494</c:v>
                      </c:pt>
                      <c:pt idx="5831">
                        <c:v>40.493055555554747</c:v>
                      </c:pt>
                      <c:pt idx="5832">
                        <c:v>40.5</c:v>
                      </c:pt>
                      <c:pt idx="5833">
                        <c:v>40.506944444445253</c:v>
                      </c:pt>
                      <c:pt idx="5834">
                        <c:v>40.513888888890506</c:v>
                      </c:pt>
                      <c:pt idx="5835">
                        <c:v>40.520833333335759</c:v>
                      </c:pt>
                      <c:pt idx="5836">
                        <c:v>40.527777777781012</c:v>
                      </c:pt>
                      <c:pt idx="5837">
                        <c:v>40.534722222218988</c:v>
                      </c:pt>
                      <c:pt idx="5838">
                        <c:v>40.541666666664241</c:v>
                      </c:pt>
                      <c:pt idx="5839">
                        <c:v>40.548611111109494</c:v>
                      </c:pt>
                      <c:pt idx="5840">
                        <c:v>40.555555555554747</c:v>
                      </c:pt>
                      <c:pt idx="5841">
                        <c:v>40.5625</c:v>
                      </c:pt>
                      <c:pt idx="5842">
                        <c:v>40.569444444445253</c:v>
                      </c:pt>
                      <c:pt idx="5843">
                        <c:v>40.576388888890506</c:v>
                      </c:pt>
                      <c:pt idx="5844">
                        <c:v>40.583333333335759</c:v>
                      </c:pt>
                      <c:pt idx="5845">
                        <c:v>40.590277777781012</c:v>
                      </c:pt>
                      <c:pt idx="5846">
                        <c:v>40.597222222218988</c:v>
                      </c:pt>
                      <c:pt idx="5847">
                        <c:v>40.604166666664241</c:v>
                      </c:pt>
                      <c:pt idx="5848">
                        <c:v>40.611111111109494</c:v>
                      </c:pt>
                      <c:pt idx="5849">
                        <c:v>40.618055555554747</c:v>
                      </c:pt>
                      <c:pt idx="5850">
                        <c:v>40.625</c:v>
                      </c:pt>
                      <c:pt idx="5851">
                        <c:v>40.631944444445253</c:v>
                      </c:pt>
                      <c:pt idx="5852">
                        <c:v>40.638888888890506</c:v>
                      </c:pt>
                      <c:pt idx="5853">
                        <c:v>40.645833333335759</c:v>
                      </c:pt>
                      <c:pt idx="5854">
                        <c:v>40.652777777781012</c:v>
                      </c:pt>
                      <c:pt idx="5855">
                        <c:v>40.659722222218988</c:v>
                      </c:pt>
                      <c:pt idx="5856">
                        <c:v>40.666666666664241</c:v>
                      </c:pt>
                      <c:pt idx="5857">
                        <c:v>40.673611111109494</c:v>
                      </c:pt>
                      <c:pt idx="5858">
                        <c:v>40.680555555554747</c:v>
                      </c:pt>
                      <c:pt idx="5859">
                        <c:v>40.6875</c:v>
                      </c:pt>
                      <c:pt idx="5860">
                        <c:v>40.694444444445253</c:v>
                      </c:pt>
                      <c:pt idx="5861">
                        <c:v>40.701388888890506</c:v>
                      </c:pt>
                      <c:pt idx="5862">
                        <c:v>40.708333333335759</c:v>
                      </c:pt>
                      <c:pt idx="5863">
                        <c:v>40.715277777781012</c:v>
                      </c:pt>
                      <c:pt idx="5864">
                        <c:v>40.722222222218988</c:v>
                      </c:pt>
                      <c:pt idx="5865">
                        <c:v>40.729166666664241</c:v>
                      </c:pt>
                      <c:pt idx="5866">
                        <c:v>40.736111111109494</c:v>
                      </c:pt>
                      <c:pt idx="5867">
                        <c:v>40.743055555554747</c:v>
                      </c:pt>
                      <c:pt idx="5868">
                        <c:v>40.75</c:v>
                      </c:pt>
                      <c:pt idx="5869">
                        <c:v>40.756944444445253</c:v>
                      </c:pt>
                      <c:pt idx="5870">
                        <c:v>40.763888888890506</c:v>
                      </c:pt>
                      <c:pt idx="5871">
                        <c:v>40.770833333335759</c:v>
                      </c:pt>
                      <c:pt idx="5872">
                        <c:v>40.777777777781012</c:v>
                      </c:pt>
                      <c:pt idx="5873">
                        <c:v>40.784722222218988</c:v>
                      </c:pt>
                      <c:pt idx="5874">
                        <c:v>40.791666666664241</c:v>
                      </c:pt>
                      <c:pt idx="5875">
                        <c:v>40.798611111109494</c:v>
                      </c:pt>
                      <c:pt idx="5876">
                        <c:v>40.805555555554747</c:v>
                      </c:pt>
                      <c:pt idx="5877">
                        <c:v>40.8125</c:v>
                      </c:pt>
                      <c:pt idx="5878">
                        <c:v>40.819444444445253</c:v>
                      </c:pt>
                      <c:pt idx="5879">
                        <c:v>40.826388888890506</c:v>
                      </c:pt>
                      <c:pt idx="5880">
                        <c:v>40.833333333335759</c:v>
                      </c:pt>
                      <c:pt idx="5881">
                        <c:v>40.840277777781012</c:v>
                      </c:pt>
                      <c:pt idx="5882">
                        <c:v>40.847222222218988</c:v>
                      </c:pt>
                      <c:pt idx="5883">
                        <c:v>40.854166666664241</c:v>
                      </c:pt>
                      <c:pt idx="5884">
                        <c:v>40.861111111109494</c:v>
                      </c:pt>
                      <c:pt idx="5885">
                        <c:v>40.868055555554747</c:v>
                      </c:pt>
                      <c:pt idx="5886">
                        <c:v>40.875</c:v>
                      </c:pt>
                      <c:pt idx="5887">
                        <c:v>40.881944444445253</c:v>
                      </c:pt>
                      <c:pt idx="5888">
                        <c:v>40.888888888890506</c:v>
                      </c:pt>
                      <c:pt idx="5889">
                        <c:v>40.895833333335759</c:v>
                      </c:pt>
                      <c:pt idx="5890">
                        <c:v>40.902777777781012</c:v>
                      </c:pt>
                      <c:pt idx="5891">
                        <c:v>40.909722222218988</c:v>
                      </c:pt>
                      <c:pt idx="5892">
                        <c:v>40.916666666664241</c:v>
                      </c:pt>
                      <c:pt idx="5893">
                        <c:v>40.923611111109494</c:v>
                      </c:pt>
                      <c:pt idx="5894">
                        <c:v>40.930555555554747</c:v>
                      </c:pt>
                      <c:pt idx="5895">
                        <c:v>40.9375</c:v>
                      </c:pt>
                      <c:pt idx="5896">
                        <c:v>40.944444444445253</c:v>
                      </c:pt>
                      <c:pt idx="5897">
                        <c:v>40.951388888890506</c:v>
                      </c:pt>
                      <c:pt idx="5898">
                        <c:v>40.958333333335759</c:v>
                      </c:pt>
                      <c:pt idx="5899">
                        <c:v>40.965277777781012</c:v>
                      </c:pt>
                      <c:pt idx="5900">
                        <c:v>40.972222222218988</c:v>
                      </c:pt>
                      <c:pt idx="5901">
                        <c:v>40.979166666664241</c:v>
                      </c:pt>
                      <c:pt idx="5902">
                        <c:v>40.986111111109494</c:v>
                      </c:pt>
                      <c:pt idx="5903">
                        <c:v>40.993055555554747</c:v>
                      </c:pt>
                      <c:pt idx="5904">
                        <c:v>41</c:v>
                      </c:pt>
                      <c:pt idx="5905">
                        <c:v>41.006944444445253</c:v>
                      </c:pt>
                      <c:pt idx="5906">
                        <c:v>41.013888888890506</c:v>
                      </c:pt>
                      <c:pt idx="5907">
                        <c:v>41.020833333335759</c:v>
                      </c:pt>
                      <c:pt idx="5908">
                        <c:v>41.027777777781012</c:v>
                      </c:pt>
                      <c:pt idx="5909">
                        <c:v>41.034722222218988</c:v>
                      </c:pt>
                      <c:pt idx="5910">
                        <c:v>41.041666666664241</c:v>
                      </c:pt>
                      <c:pt idx="5911">
                        <c:v>41.048611111109494</c:v>
                      </c:pt>
                      <c:pt idx="5912">
                        <c:v>41.055555555554747</c:v>
                      </c:pt>
                      <c:pt idx="5913">
                        <c:v>41.0625</c:v>
                      </c:pt>
                      <c:pt idx="5914">
                        <c:v>41.069444444445253</c:v>
                      </c:pt>
                      <c:pt idx="5915">
                        <c:v>41.076388888890506</c:v>
                      </c:pt>
                      <c:pt idx="5916">
                        <c:v>41.083333333335759</c:v>
                      </c:pt>
                      <c:pt idx="5917">
                        <c:v>41.090277777781012</c:v>
                      </c:pt>
                      <c:pt idx="5918">
                        <c:v>41.097222222218988</c:v>
                      </c:pt>
                      <c:pt idx="5919">
                        <c:v>41.104166666664241</c:v>
                      </c:pt>
                      <c:pt idx="5920">
                        <c:v>41.111111111109494</c:v>
                      </c:pt>
                      <c:pt idx="5921">
                        <c:v>41.118055555554747</c:v>
                      </c:pt>
                      <c:pt idx="5922">
                        <c:v>41.125</c:v>
                      </c:pt>
                      <c:pt idx="5923">
                        <c:v>41.131944444445253</c:v>
                      </c:pt>
                      <c:pt idx="5924">
                        <c:v>41.138888888890506</c:v>
                      </c:pt>
                      <c:pt idx="5925">
                        <c:v>41.145833333335759</c:v>
                      </c:pt>
                      <c:pt idx="5926">
                        <c:v>41.152777777781012</c:v>
                      </c:pt>
                      <c:pt idx="5927">
                        <c:v>41.159722222218988</c:v>
                      </c:pt>
                      <c:pt idx="5928">
                        <c:v>41.166666666664241</c:v>
                      </c:pt>
                      <c:pt idx="5929">
                        <c:v>41.173611111109494</c:v>
                      </c:pt>
                      <c:pt idx="5930">
                        <c:v>41.180555555554747</c:v>
                      </c:pt>
                      <c:pt idx="5931">
                        <c:v>41.1875</c:v>
                      </c:pt>
                      <c:pt idx="5932">
                        <c:v>41.194444444445253</c:v>
                      </c:pt>
                      <c:pt idx="5933">
                        <c:v>41.201388888890506</c:v>
                      </c:pt>
                      <c:pt idx="5934">
                        <c:v>41.208333333335759</c:v>
                      </c:pt>
                      <c:pt idx="5935">
                        <c:v>41.215277777781012</c:v>
                      </c:pt>
                      <c:pt idx="5936">
                        <c:v>41.222222222218988</c:v>
                      </c:pt>
                      <c:pt idx="5937">
                        <c:v>41.229166666664241</c:v>
                      </c:pt>
                      <c:pt idx="5938">
                        <c:v>41.236111111109494</c:v>
                      </c:pt>
                      <c:pt idx="5939">
                        <c:v>41.243055555554747</c:v>
                      </c:pt>
                      <c:pt idx="5940">
                        <c:v>41.25</c:v>
                      </c:pt>
                      <c:pt idx="5941">
                        <c:v>41.256944444445253</c:v>
                      </c:pt>
                      <c:pt idx="5942">
                        <c:v>41.263888888890506</c:v>
                      </c:pt>
                      <c:pt idx="5943">
                        <c:v>41.270833333335759</c:v>
                      </c:pt>
                      <c:pt idx="5944">
                        <c:v>41.277777777781012</c:v>
                      </c:pt>
                      <c:pt idx="5945">
                        <c:v>41.284722222218988</c:v>
                      </c:pt>
                      <c:pt idx="5946">
                        <c:v>41.291666666664241</c:v>
                      </c:pt>
                      <c:pt idx="5947">
                        <c:v>41.298611111109494</c:v>
                      </c:pt>
                      <c:pt idx="5948">
                        <c:v>41.305555555554747</c:v>
                      </c:pt>
                      <c:pt idx="5949">
                        <c:v>41.3125</c:v>
                      </c:pt>
                      <c:pt idx="5950">
                        <c:v>41.319444444445253</c:v>
                      </c:pt>
                      <c:pt idx="5951">
                        <c:v>41.326388888890506</c:v>
                      </c:pt>
                      <c:pt idx="5952">
                        <c:v>41.333333333335759</c:v>
                      </c:pt>
                      <c:pt idx="5953">
                        <c:v>41.340277777781012</c:v>
                      </c:pt>
                      <c:pt idx="5954">
                        <c:v>41.347222222218988</c:v>
                      </c:pt>
                      <c:pt idx="5955">
                        <c:v>41.354166666664241</c:v>
                      </c:pt>
                      <c:pt idx="5956">
                        <c:v>41.361111111109494</c:v>
                      </c:pt>
                      <c:pt idx="5957">
                        <c:v>41.368055555554747</c:v>
                      </c:pt>
                      <c:pt idx="5958">
                        <c:v>41.375</c:v>
                      </c:pt>
                      <c:pt idx="5959">
                        <c:v>41.381944444445253</c:v>
                      </c:pt>
                      <c:pt idx="5960">
                        <c:v>41.388888888890506</c:v>
                      </c:pt>
                      <c:pt idx="5961">
                        <c:v>41.395833333335759</c:v>
                      </c:pt>
                      <c:pt idx="5962">
                        <c:v>41.402777777781012</c:v>
                      </c:pt>
                      <c:pt idx="5963">
                        <c:v>41.409722222218988</c:v>
                      </c:pt>
                      <c:pt idx="5964">
                        <c:v>41.416666666664241</c:v>
                      </c:pt>
                      <c:pt idx="5965">
                        <c:v>41.423611111109494</c:v>
                      </c:pt>
                      <c:pt idx="5966">
                        <c:v>41.430555555554747</c:v>
                      </c:pt>
                      <c:pt idx="5967">
                        <c:v>41.4375</c:v>
                      </c:pt>
                      <c:pt idx="5968">
                        <c:v>41.444444444445253</c:v>
                      </c:pt>
                      <c:pt idx="5969">
                        <c:v>41.451388888890506</c:v>
                      </c:pt>
                      <c:pt idx="5970">
                        <c:v>41.458333333335759</c:v>
                      </c:pt>
                      <c:pt idx="5971">
                        <c:v>41.465277777781012</c:v>
                      </c:pt>
                      <c:pt idx="5972">
                        <c:v>41.472222222218988</c:v>
                      </c:pt>
                      <c:pt idx="5973">
                        <c:v>41.479166666664241</c:v>
                      </c:pt>
                      <c:pt idx="5974">
                        <c:v>41.486111111109494</c:v>
                      </c:pt>
                      <c:pt idx="5975">
                        <c:v>41.493055555554747</c:v>
                      </c:pt>
                      <c:pt idx="5976">
                        <c:v>41.5</c:v>
                      </c:pt>
                      <c:pt idx="5977">
                        <c:v>41.506944444445253</c:v>
                      </c:pt>
                      <c:pt idx="5978">
                        <c:v>41.513888888890506</c:v>
                      </c:pt>
                      <c:pt idx="5979">
                        <c:v>41.520833333335759</c:v>
                      </c:pt>
                      <c:pt idx="5980">
                        <c:v>41.527777777781012</c:v>
                      </c:pt>
                      <c:pt idx="5981">
                        <c:v>41.534722222218988</c:v>
                      </c:pt>
                      <c:pt idx="5982">
                        <c:v>41.541666666664241</c:v>
                      </c:pt>
                      <c:pt idx="5983">
                        <c:v>41.548611111109494</c:v>
                      </c:pt>
                      <c:pt idx="5984">
                        <c:v>41.555555555554747</c:v>
                      </c:pt>
                      <c:pt idx="5985">
                        <c:v>41.5625</c:v>
                      </c:pt>
                      <c:pt idx="5986">
                        <c:v>41.569444444445253</c:v>
                      </c:pt>
                      <c:pt idx="5987">
                        <c:v>41.576388888890506</c:v>
                      </c:pt>
                      <c:pt idx="5988">
                        <c:v>41.583333333335759</c:v>
                      </c:pt>
                      <c:pt idx="5989">
                        <c:v>41.590277777781012</c:v>
                      </c:pt>
                      <c:pt idx="5990">
                        <c:v>41.597222222218988</c:v>
                      </c:pt>
                      <c:pt idx="5991">
                        <c:v>41.604166666664241</c:v>
                      </c:pt>
                      <c:pt idx="5992">
                        <c:v>41.611111111109494</c:v>
                      </c:pt>
                      <c:pt idx="5993">
                        <c:v>41.618055555554747</c:v>
                      </c:pt>
                      <c:pt idx="5994">
                        <c:v>41.625</c:v>
                      </c:pt>
                      <c:pt idx="5995">
                        <c:v>41.631944444445253</c:v>
                      </c:pt>
                      <c:pt idx="5996">
                        <c:v>41.638888888890506</c:v>
                      </c:pt>
                      <c:pt idx="5997">
                        <c:v>41.645833333335759</c:v>
                      </c:pt>
                      <c:pt idx="5998">
                        <c:v>41.652777777781012</c:v>
                      </c:pt>
                      <c:pt idx="5999">
                        <c:v>41.659722222218988</c:v>
                      </c:pt>
                      <c:pt idx="6000">
                        <c:v>41.666666666664241</c:v>
                      </c:pt>
                      <c:pt idx="6001">
                        <c:v>41.673611111109494</c:v>
                      </c:pt>
                      <c:pt idx="6002">
                        <c:v>41.680555555554747</c:v>
                      </c:pt>
                      <c:pt idx="6003">
                        <c:v>41.6875</c:v>
                      </c:pt>
                      <c:pt idx="6004">
                        <c:v>41.694444444445253</c:v>
                      </c:pt>
                      <c:pt idx="6005">
                        <c:v>41.701388888890506</c:v>
                      </c:pt>
                      <c:pt idx="6006">
                        <c:v>41.708333333335759</c:v>
                      </c:pt>
                      <c:pt idx="6007">
                        <c:v>41.715277777781012</c:v>
                      </c:pt>
                      <c:pt idx="6008">
                        <c:v>41.722222222218988</c:v>
                      </c:pt>
                      <c:pt idx="6009">
                        <c:v>41.729166666664241</c:v>
                      </c:pt>
                      <c:pt idx="6010">
                        <c:v>41.736111111109494</c:v>
                      </c:pt>
                      <c:pt idx="6011">
                        <c:v>41.743055555554747</c:v>
                      </c:pt>
                      <c:pt idx="6012">
                        <c:v>41.75</c:v>
                      </c:pt>
                      <c:pt idx="6013">
                        <c:v>41.756944444445253</c:v>
                      </c:pt>
                      <c:pt idx="6014">
                        <c:v>41.763888888890506</c:v>
                      </c:pt>
                      <c:pt idx="6015">
                        <c:v>41.770833333335759</c:v>
                      </c:pt>
                      <c:pt idx="6016">
                        <c:v>41.777777777781012</c:v>
                      </c:pt>
                      <c:pt idx="6017">
                        <c:v>41.784722222218988</c:v>
                      </c:pt>
                      <c:pt idx="6018">
                        <c:v>41.791666666664241</c:v>
                      </c:pt>
                      <c:pt idx="6019">
                        <c:v>41.798611111109494</c:v>
                      </c:pt>
                      <c:pt idx="6020">
                        <c:v>41.805555555554747</c:v>
                      </c:pt>
                      <c:pt idx="6021">
                        <c:v>41.8125</c:v>
                      </c:pt>
                      <c:pt idx="6022">
                        <c:v>41.819444444445253</c:v>
                      </c:pt>
                      <c:pt idx="6023">
                        <c:v>41.826388888890506</c:v>
                      </c:pt>
                      <c:pt idx="6024">
                        <c:v>41.833333333335759</c:v>
                      </c:pt>
                      <c:pt idx="6025">
                        <c:v>41.840277777781012</c:v>
                      </c:pt>
                      <c:pt idx="6026">
                        <c:v>41.847222222218988</c:v>
                      </c:pt>
                      <c:pt idx="6027">
                        <c:v>41.854166666664241</c:v>
                      </c:pt>
                      <c:pt idx="6028">
                        <c:v>41.861111111109494</c:v>
                      </c:pt>
                      <c:pt idx="6029">
                        <c:v>41.868055555554747</c:v>
                      </c:pt>
                      <c:pt idx="6030">
                        <c:v>41.875</c:v>
                      </c:pt>
                      <c:pt idx="6031">
                        <c:v>41.881944444445253</c:v>
                      </c:pt>
                      <c:pt idx="6032">
                        <c:v>41.888888888890506</c:v>
                      </c:pt>
                      <c:pt idx="6033">
                        <c:v>41.895833333335759</c:v>
                      </c:pt>
                      <c:pt idx="6034">
                        <c:v>41.902777777781012</c:v>
                      </c:pt>
                      <c:pt idx="6035">
                        <c:v>41.909722222218988</c:v>
                      </c:pt>
                      <c:pt idx="6036">
                        <c:v>41.916666666664241</c:v>
                      </c:pt>
                      <c:pt idx="6037">
                        <c:v>41.923611111109494</c:v>
                      </c:pt>
                      <c:pt idx="6038">
                        <c:v>41.930555555554747</c:v>
                      </c:pt>
                      <c:pt idx="6039">
                        <c:v>41.9375</c:v>
                      </c:pt>
                      <c:pt idx="6040">
                        <c:v>41.944444444445253</c:v>
                      </c:pt>
                      <c:pt idx="6041">
                        <c:v>41.951388888890506</c:v>
                      </c:pt>
                      <c:pt idx="6042">
                        <c:v>41.958333333335759</c:v>
                      </c:pt>
                      <c:pt idx="6043">
                        <c:v>41.965277777781012</c:v>
                      </c:pt>
                      <c:pt idx="6044">
                        <c:v>41.972222222218988</c:v>
                      </c:pt>
                      <c:pt idx="6045">
                        <c:v>41.979166666664241</c:v>
                      </c:pt>
                      <c:pt idx="6046">
                        <c:v>41.986111111109494</c:v>
                      </c:pt>
                      <c:pt idx="6047">
                        <c:v>41.993055555554747</c:v>
                      </c:pt>
                      <c:pt idx="6048">
                        <c:v>42</c:v>
                      </c:pt>
                      <c:pt idx="6049">
                        <c:v>42.006944444445253</c:v>
                      </c:pt>
                      <c:pt idx="6050">
                        <c:v>42.013888888890506</c:v>
                      </c:pt>
                      <c:pt idx="6051">
                        <c:v>42.020833333335759</c:v>
                      </c:pt>
                      <c:pt idx="6052">
                        <c:v>42.027777777781012</c:v>
                      </c:pt>
                      <c:pt idx="6053">
                        <c:v>42.034722222218988</c:v>
                      </c:pt>
                      <c:pt idx="6054">
                        <c:v>42.041666666664241</c:v>
                      </c:pt>
                      <c:pt idx="6055">
                        <c:v>42.048611111109494</c:v>
                      </c:pt>
                      <c:pt idx="6056">
                        <c:v>42.055555555554747</c:v>
                      </c:pt>
                      <c:pt idx="6057">
                        <c:v>42.0625</c:v>
                      </c:pt>
                      <c:pt idx="6058">
                        <c:v>42.069444444445253</c:v>
                      </c:pt>
                      <c:pt idx="6059">
                        <c:v>42.076388888890506</c:v>
                      </c:pt>
                      <c:pt idx="6060">
                        <c:v>42.083333333335759</c:v>
                      </c:pt>
                      <c:pt idx="6061">
                        <c:v>42.090277777781012</c:v>
                      </c:pt>
                      <c:pt idx="6062">
                        <c:v>42.097222222218988</c:v>
                      </c:pt>
                      <c:pt idx="6063">
                        <c:v>42.104166666664241</c:v>
                      </c:pt>
                      <c:pt idx="6064">
                        <c:v>42.111111111109494</c:v>
                      </c:pt>
                      <c:pt idx="6065">
                        <c:v>42.118055555554747</c:v>
                      </c:pt>
                      <c:pt idx="6066">
                        <c:v>42.125</c:v>
                      </c:pt>
                      <c:pt idx="6067">
                        <c:v>42.131944444445253</c:v>
                      </c:pt>
                      <c:pt idx="6068">
                        <c:v>42.138888888890506</c:v>
                      </c:pt>
                      <c:pt idx="6069">
                        <c:v>42.145833333335759</c:v>
                      </c:pt>
                      <c:pt idx="6070">
                        <c:v>42.152777777781012</c:v>
                      </c:pt>
                      <c:pt idx="6071">
                        <c:v>42.159722222218988</c:v>
                      </c:pt>
                      <c:pt idx="6072">
                        <c:v>42.166666666664241</c:v>
                      </c:pt>
                      <c:pt idx="6073">
                        <c:v>42.173611111109494</c:v>
                      </c:pt>
                      <c:pt idx="6074">
                        <c:v>42.180555555554747</c:v>
                      </c:pt>
                      <c:pt idx="6075">
                        <c:v>42.1875</c:v>
                      </c:pt>
                      <c:pt idx="6076">
                        <c:v>42.194444444445253</c:v>
                      </c:pt>
                      <c:pt idx="6077">
                        <c:v>42.201388888890506</c:v>
                      </c:pt>
                      <c:pt idx="6078">
                        <c:v>42.208333333335759</c:v>
                      </c:pt>
                      <c:pt idx="6079">
                        <c:v>42.215277777781012</c:v>
                      </c:pt>
                      <c:pt idx="6080">
                        <c:v>42.222222222218988</c:v>
                      </c:pt>
                      <c:pt idx="6081">
                        <c:v>42.229166666664241</c:v>
                      </c:pt>
                      <c:pt idx="6082">
                        <c:v>42.236111111109494</c:v>
                      </c:pt>
                      <c:pt idx="6083">
                        <c:v>42.243055555554747</c:v>
                      </c:pt>
                      <c:pt idx="6084">
                        <c:v>42.25</c:v>
                      </c:pt>
                      <c:pt idx="6085">
                        <c:v>42.256944444445253</c:v>
                      </c:pt>
                      <c:pt idx="6086">
                        <c:v>42.263888888890506</c:v>
                      </c:pt>
                      <c:pt idx="6087">
                        <c:v>42.270833333335759</c:v>
                      </c:pt>
                      <c:pt idx="6088">
                        <c:v>42.277777777781012</c:v>
                      </c:pt>
                      <c:pt idx="6089">
                        <c:v>42.284722222218988</c:v>
                      </c:pt>
                      <c:pt idx="6090">
                        <c:v>42.291666666664241</c:v>
                      </c:pt>
                      <c:pt idx="6091">
                        <c:v>42.298611111109494</c:v>
                      </c:pt>
                      <c:pt idx="6092">
                        <c:v>42.305555555554747</c:v>
                      </c:pt>
                      <c:pt idx="6093">
                        <c:v>42.3125</c:v>
                      </c:pt>
                      <c:pt idx="6094">
                        <c:v>42.319444444445253</c:v>
                      </c:pt>
                      <c:pt idx="6095">
                        <c:v>42.326388888890506</c:v>
                      </c:pt>
                      <c:pt idx="6096">
                        <c:v>42.333333333335759</c:v>
                      </c:pt>
                      <c:pt idx="6097">
                        <c:v>42.340277777781012</c:v>
                      </c:pt>
                      <c:pt idx="6098">
                        <c:v>42.347222222218988</c:v>
                      </c:pt>
                      <c:pt idx="6099">
                        <c:v>42.354166666664241</c:v>
                      </c:pt>
                      <c:pt idx="6100">
                        <c:v>42.361111111109494</c:v>
                      </c:pt>
                      <c:pt idx="6101">
                        <c:v>42.368055555554747</c:v>
                      </c:pt>
                      <c:pt idx="6102">
                        <c:v>42.375</c:v>
                      </c:pt>
                      <c:pt idx="6103">
                        <c:v>42.381944444445253</c:v>
                      </c:pt>
                      <c:pt idx="6104">
                        <c:v>42.388888888890506</c:v>
                      </c:pt>
                      <c:pt idx="6105">
                        <c:v>42.395833333335759</c:v>
                      </c:pt>
                      <c:pt idx="6106">
                        <c:v>42.402777777781012</c:v>
                      </c:pt>
                      <c:pt idx="6107">
                        <c:v>42.409722222218988</c:v>
                      </c:pt>
                      <c:pt idx="6108">
                        <c:v>42.416666666664241</c:v>
                      </c:pt>
                      <c:pt idx="6109">
                        <c:v>42.423611111109494</c:v>
                      </c:pt>
                      <c:pt idx="6110">
                        <c:v>42.430555555554747</c:v>
                      </c:pt>
                      <c:pt idx="6111">
                        <c:v>42.4375</c:v>
                      </c:pt>
                      <c:pt idx="6112">
                        <c:v>42.444444444445253</c:v>
                      </c:pt>
                      <c:pt idx="6113">
                        <c:v>42.451388888890506</c:v>
                      </c:pt>
                      <c:pt idx="6114">
                        <c:v>42.458333333335759</c:v>
                      </c:pt>
                      <c:pt idx="6115">
                        <c:v>42.465277777781012</c:v>
                      </c:pt>
                      <c:pt idx="6116">
                        <c:v>42.472222222218988</c:v>
                      </c:pt>
                      <c:pt idx="6117">
                        <c:v>42.479166666664241</c:v>
                      </c:pt>
                      <c:pt idx="6118">
                        <c:v>42.486111111109494</c:v>
                      </c:pt>
                      <c:pt idx="6119">
                        <c:v>42.493055555554747</c:v>
                      </c:pt>
                      <c:pt idx="6120">
                        <c:v>42.5</c:v>
                      </c:pt>
                      <c:pt idx="6121">
                        <c:v>42.506944444445253</c:v>
                      </c:pt>
                      <c:pt idx="6122">
                        <c:v>42.513888888890506</c:v>
                      </c:pt>
                      <c:pt idx="6123">
                        <c:v>42.520833333335759</c:v>
                      </c:pt>
                      <c:pt idx="6124">
                        <c:v>42.527777777781012</c:v>
                      </c:pt>
                      <c:pt idx="6125">
                        <c:v>42.534722222218988</c:v>
                      </c:pt>
                      <c:pt idx="6126">
                        <c:v>42.541666666664241</c:v>
                      </c:pt>
                      <c:pt idx="6127">
                        <c:v>42.548611111109494</c:v>
                      </c:pt>
                      <c:pt idx="6128">
                        <c:v>42.555555555554747</c:v>
                      </c:pt>
                      <c:pt idx="6129">
                        <c:v>42.5625</c:v>
                      </c:pt>
                      <c:pt idx="6130">
                        <c:v>42.569444444445253</c:v>
                      </c:pt>
                      <c:pt idx="6131">
                        <c:v>42.576388888890506</c:v>
                      </c:pt>
                      <c:pt idx="6132">
                        <c:v>42.583333333335759</c:v>
                      </c:pt>
                      <c:pt idx="6133">
                        <c:v>42.590277777781012</c:v>
                      </c:pt>
                      <c:pt idx="6134">
                        <c:v>42.597222222218988</c:v>
                      </c:pt>
                      <c:pt idx="6135">
                        <c:v>42.604166666664241</c:v>
                      </c:pt>
                      <c:pt idx="6136">
                        <c:v>42.611111111109494</c:v>
                      </c:pt>
                      <c:pt idx="6137">
                        <c:v>42.618055555554747</c:v>
                      </c:pt>
                      <c:pt idx="6138">
                        <c:v>42.625</c:v>
                      </c:pt>
                      <c:pt idx="6139">
                        <c:v>42.631944444445253</c:v>
                      </c:pt>
                      <c:pt idx="6140">
                        <c:v>42.638888888890506</c:v>
                      </c:pt>
                      <c:pt idx="6141">
                        <c:v>42.645833333335759</c:v>
                      </c:pt>
                      <c:pt idx="6142">
                        <c:v>42.652777777781012</c:v>
                      </c:pt>
                      <c:pt idx="6143">
                        <c:v>42.659722222218988</c:v>
                      </c:pt>
                      <c:pt idx="6144">
                        <c:v>42.666666666664241</c:v>
                      </c:pt>
                      <c:pt idx="6145">
                        <c:v>42.673611111109494</c:v>
                      </c:pt>
                      <c:pt idx="6146">
                        <c:v>42.680555555554747</c:v>
                      </c:pt>
                      <c:pt idx="6147">
                        <c:v>42.6875</c:v>
                      </c:pt>
                      <c:pt idx="6148">
                        <c:v>42.694444444445253</c:v>
                      </c:pt>
                      <c:pt idx="6149">
                        <c:v>42.701388888890506</c:v>
                      </c:pt>
                      <c:pt idx="6150">
                        <c:v>42.708333333335759</c:v>
                      </c:pt>
                      <c:pt idx="6151">
                        <c:v>42.715277777781012</c:v>
                      </c:pt>
                      <c:pt idx="6152">
                        <c:v>42.722222222218988</c:v>
                      </c:pt>
                      <c:pt idx="6153">
                        <c:v>42.729166666664241</c:v>
                      </c:pt>
                      <c:pt idx="6154">
                        <c:v>42.736111111109494</c:v>
                      </c:pt>
                      <c:pt idx="6155">
                        <c:v>42.743055555554747</c:v>
                      </c:pt>
                      <c:pt idx="6156">
                        <c:v>42.75</c:v>
                      </c:pt>
                      <c:pt idx="6157">
                        <c:v>42.756944444445253</c:v>
                      </c:pt>
                      <c:pt idx="6158">
                        <c:v>42.763888888890506</c:v>
                      </c:pt>
                      <c:pt idx="6159">
                        <c:v>42.770833333335759</c:v>
                      </c:pt>
                      <c:pt idx="6160">
                        <c:v>42.777777777781012</c:v>
                      </c:pt>
                      <c:pt idx="6161">
                        <c:v>42.784722222218988</c:v>
                      </c:pt>
                      <c:pt idx="6162">
                        <c:v>42.791666666664241</c:v>
                      </c:pt>
                      <c:pt idx="6163">
                        <c:v>42.798611111109494</c:v>
                      </c:pt>
                      <c:pt idx="6164">
                        <c:v>42.805555555554747</c:v>
                      </c:pt>
                      <c:pt idx="6165">
                        <c:v>42.8125</c:v>
                      </c:pt>
                      <c:pt idx="6166">
                        <c:v>42.819444444445253</c:v>
                      </c:pt>
                      <c:pt idx="6167">
                        <c:v>42.826388888890506</c:v>
                      </c:pt>
                      <c:pt idx="6168">
                        <c:v>42.833333333335759</c:v>
                      </c:pt>
                      <c:pt idx="6169">
                        <c:v>42.840277777781012</c:v>
                      </c:pt>
                      <c:pt idx="6170">
                        <c:v>42.847222222218988</c:v>
                      </c:pt>
                      <c:pt idx="6171">
                        <c:v>42.854166666664241</c:v>
                      </c:pt>
                      <c:pt idx="6172">
                        <c:v>42.861111111109494</c:v>
                      </c:pt>
                      <c:pt idx="6173">
                        <c:v>42.868055555554747</c:v>
                      </c:pt>
                      <c:pt idx="6174">
                        <c:v>42.875</c:v>
                      </c:pt>
                      <c:pt idx="6175">
                        <c:v>42.881944444445253</c:v>
                      </c:pt>
                      <c:pt idx="6176">
                        <c:v>42.888888888890506</c:v>
                      </c:pt>
                      <c:pt idx="6177">
                        <c:v>42.895833333335759</c:v>
                      </c:pt>
                      <c:pt idx="6178">
                        <c:v>42.902777777781012</c:v>
                      </c:pt>
                      <c:pt idx="6179">
                        <c:v>42.909722222218988</c:v>
                      </c:pt>
                      <c:pt idx="6180">
                        <c:v>42.916666666664241</c:v>
                      </c:pt>
                      <c:pt idx="6181">
                        <c:v>42.923611111109494</c:v>
                      </c:pt>
                      <c:pt idx="6182">
                        <c:v>42.930555555554747</c:v>
                      </c:pt>
                      <c:pt idx="6183">
                        <c:v>42.9375</c:v>
                      </c:pt>
                      <c:pt idx="6184">
                        <c:v>42.944444444445253</c:v>
                      </c:pt>
                      <c:pt idx="6185">
                        <c:v>42.951388888890506</c:v>
                      </c:pt>
                      <c:pt idx="6186">
                        <c:v>42.958333333335759</c:v>
                      </c:pt>
                      <c:pt idx="6187">
                        <c:v>42.965277777781012</c:v>
                      </c:pt>
                      <c:pt idx="6188">
                        <c:v>42.972222222218988</c:v>
                      </c:pt>
                      <c:pt idx="6189">
                        <c:v>42.979166666664241</c:v>
                      </c:pt>
                      <c:pt idx="6190">
                        <c:v>42.986111111109494</c:v>
                      </c:pt>
                      <c:pt idx="6191">
                        <c:v>42.993055555554747</c:v>
                      </c:pt>
                      <c:pt idx="6192">
                        <c:v>43</c:v>
                      </c:pt>
                      <c:pt idx="6193">
                        <c:v>43.006944444445253</c:v>
                      </c:pt>
                      <c:pt idx="6194">
                        <c:v>43.013888888890506</c:v>
                      </c:pt>
                      <c:pt idx="6195">
                        <c:v>43.020833333335759</c:v>
                      </c:pt>
                      <c:pt idx="6196">
                        <c:v>43.027777777781012</c:v>
                      </c:pt>
                      <c:pt idx="6197">
                        <c:v>43.034722222218988</c:v>
                      </c:pt>
                      <c:pt idx="6198">
                        <c:v>43.041666666664241</c:v>
                      </c:pt>
                      <c:pt idx="6199">
                        <c:v>43.048611111109494</c:v>
                      </c:pt>
                      <c:pt idx="6200">
                        <c:v>43.055555555554747</c:v>
                      </c:pt>
                      <c:pt idx="6201">
                        <c:v>43.0625</c:v>
                      </c:pt>
                      <c:pt idx="6202">
                        <c:v>43.069444444445253</c:v>
                      </c:pt>
                      <c:pt idx="6203">
                        <c:v>43.076388888890506</c:v>
                      </c:pt>
                      <c:pt idx="6204">
                        <c:v>43.083333333335759</c:v>
                      </c:pt>
                      <c:pt idx="6205">
                        <c:v>43.090277777781012</c:v>
                      </c:pt>
                      <c:pt idx="6206">
                        <c:v>43.097222222218988</c:v>
                      </c:pt>
                      <c:pt idx="6207">
                        <c:v>43.104166666664241</c:v>
                      </c:pt>
                      <c:pt idx="6208">
                        <c:v>43.111111111109494</c:v>
                      </c:pt>
                      <c:pt idx="6209">
                        <c:v>43.118055555554747</c:v>
                      </c:pt>
                      <c:pt idx="6210">
                        <c:v>43.125</c:v>
                      </c:pt>
                      <c:pt idx="6211">
                        <c:v>43.131944444445253</c:v>
                      </c:pt>
                      <c:pt idx="6212">
                        <c:v>43.138888888890506</c:v>
                      </c:pt>
                      <c:pt idx="6213">
                        <c:v>43.145833333335759</c:v>
                      </c:pt>
                      <c:pt idx="6214">
                        <c:v>43.152777777781012</c:v>
                      </c:pt>
                      <c:pt idx="6215">
                        <c:v>43.159722222218988</c:v>
                      </c:pt>
                      <c:pt idx="6216">
                        <c:v>43.166666666664241</c:v>
                      </c:pt>
                      <c:pt idx="6217">
                        <c:v>43.173611111109494</c:v>
                      </c:pt>
                      <c:pt idx="6218">
                        <c:v>43.180555555554747</c:v>
                      </c:pt>
                      <c:pt idx="6219">
                        <c:v>43.1875</c:v>
                      </c:pt>
                      <c:pt idx="6220">
                        <c:v>43.194444444445253</c:v>
                      </c:pt>
                      <c:pt idx="6221">
                        <c:v>43.201388888890506</c:v>
                      </c:pt>
                      <c:pt idx="6222">
                        <c:v>43.208333333335759</c:v>
                      </c:pt>
                      <c:pt idx="6223">
                        <c:v>43.215277777781012</c:v>
                      </c:pt>
                      <c:pt idx="6224">
                        <c:v>43.222222222218988</c:v>
                      </c:pt>
                      <c:pt idx="6225">
                        <c:v>43.229166666664241</c:v>
                      </c:pt>
                      <c:pt idx="6226">
                        <c:v>43.236111111109494</c:v>
                      </c:pt>
                      <c:pt idx="6227">
                        <c:v>43.243055555554747</c:v>
                      </c:pt>
                      <c:pt idx="6228">
                        <c:v>43.25</c:v>
                      </c:pt>
                      <c:pt idx="6229">
                        <c:v>43.256944444445253</c:v>
                      </c:pt>
                      <c:pt idx="6230">
                        <c:v>43.263888888890506</c:v>
                      </c:pt>
                      <c:pt idx="6231">
                        <c:v>43.270833333335759</c:v>
                      </c:pt>
                      <c:pt idx="6232">
                        <c:v>43.277777777781012</c:v>
                      </c:pt>
                      <c:pt idx="6233">
                        <c:v>43.284722222218988</c:v>
                      </c:pt>
                      <c:pt idx="6234">
                        <c:v>43.291666666664241</c:v>
                      </c:pt>
                      <c:pt idx="6235">
                        <c:v>43.298611111109494</c:v>
                      </c:pt>
                      <c:pt idx="6236">
                        <c:v>43.305555555554747</c:v>
                      </c:pt>
                      <c:pt idx="6237">
                        <c:v>43.3125</c:v>
                      </c:pt>
                      <c:pt idx="6238">
                        <c:v>43.319444444445253</c:v>
                      </c:pt>
                      <c:pt idx="6239">
                        <c:v>43.326388888890506</c:v>
                      </c:pt>
                      <c:pt idx="6240">
                        <c:v>43.333333333335759</c:v>
                      </c:pt>
                      <c:pt idx="6241">
                        <c:v>43.340277777781012</c:v>
                      </c:pt>
                      <c:pt idx="6242">
                        <c:v>43.347222222218988</c:v>
                      </c:pt>
                      <c:pt idx="6243">
                        <c:v>43.354166666664241</c:v>
                      </c:pt>
                      <c:pt idx="6244">
                        <c:v>43.361111111109494</c:v>
                      </c:pt>
                      <c:pt idx="6245">
                        <c:v>43.368055555554747</c:v>
                      </c:pt>
                      <c:pt idx="6246">
                        <c:v>43.375</c:v>
                      </c:pt>
                      <c:pt idx="6247">
                        <c:v>43.381944444445253</c:v>
                      </c:pt>
                      <c:pt idx="6248">
                        <c:v>43.388888888890506</c:v>
                      </c:pt>
                      <c:pt idx="6249">
                        <c:v>43.395833333335759</c:v>
                      </c:pt>
                      <c:pt idx="6250">
                        <c:v>43.402777777781012</c:v>
                      </c:pt>
                      <c:pt idx="6251">
                        <c:v>43.409722222218988</c:v>
                      </c:pt>
                      <c:pt idx="6252">
                        <c:v>43.416666666664241</c:v>
                      </c:pt>
                      <c:pt idx="6253">
                        <c:v>43.423611111109494</c:v>
                      </c:pt>
                      <c:pt idx="6254">
                        <c:v>43.430555555554747</c:v>
                      </c:pt>
                      <c:pt idx="6255">
                        <c:v>43.4375</c:v>
                      </c:pt>
                      <c:pt idx="6256">
                        <c:v>43.444444444445253</c:v>
                      </c:pt>
                      <c:pt idx="6257">
                        <c:v>43.451388888890506</c:v>
                      </c:pt>
                      <c:pt idx="6258">
                        <c:v>43.458333333335759</c:v>
                      </c:pt>
                      <c:pt idx="6259">
                        <c:v>43.465277777781012</c:v>
                      </c:pt>
                      <c:pt idx="6260">
                        <c:v>43.472222222218988</c:v>
                      </c:pt>
                      <c:pt idx="6261">
                        <c:v>43.479166666664241</c:v>
                      </c:pt>
                      <c:pt idx="6262">
                        <c:v>43.486111111109494</c:v>
                      </c:pt>
                      <c:pt idx="6263">
                        <c:v>43.493055555554747</c:v>
                      </c:pt>
                      <c:pt idx="6264">
                        <c:v>43.5</c:v>
                      </c:pt>
                      <c:pt idx="6265">
                        <c:v>43.506944444445253</c:v>
                      </c:pt>
                      <c:pt idx="6266">
                        <c:v>43.513888888890506</c:v>
                      </c:pt>
                      <c:pt idx="6267">
                        <c:v>43.520833333335759</c:v>
                      </c:pt>
                      <c:pt idx="6268">
                        <c:v>43.527777777781012</c:v>
                      </c:pt>
                      <c:pt idx="6269">
                        <c:v>43.534722222218988</c:v>
                      </c:pt>
                      <c:pt idx="6270">
                        <c:v>43.541666666664241</c:v>
                      </c:pt>
                      <c:pt idx="6271">
                        <c:v>43.548611111109494</c:v>
                      </c:pt>
                      <c:pt idx="6272">
                        <c:v>43.555555555554747</c:v>
                      </c:pt>
                      <c:pt idx="6273">
                        <c:v>43.5625</c:v>
                      </c:pt>
                      <c:pt idx="6274">
                        <c:v>43.569444444445253</c:v>
                      </c:pt>
                      <c:pt idx="6275">
                        <c:v>43.576388888890506</c:v>
                      </c:pt>
                      <c:pt idx="6276">
                        <c:v>43.583333333335759</c:v>
                      </c:pt>
                      <c:pt idx="6277">
                        <c:v>43.590277777781012</c:v>
                      </c:pt>
                      <c:pt idx="6278">
                        <c:v>43.597222222218988</c:v>
                      </c:pt>
                      <c:pt idx="6279">
                        <c:v>43.604166666664241</c:v>
                      </c:pt>
                      <c:pt idx="6280">
                        <c:v>43.611111111109494</c:v>
                      </c:pt>
                      <c:pt idx="6281">
                        <c:v>43.618055555554747</c:v>
                      </c:pt>
                      <c:pt idx="6282">
                        <c:v>43.625</c:v>
                      </c:pt>
                      <c:pt idx="6283">
                        <c:v>43.631944444445253</c:v>
                      </c:pt>
                      <c:pt idx="6284">
                        <c:v>43.638888888890506</c:v>
                      </c:pt>
                      <c:pt idx="6285">
                        <c:v>43.645833333335759</c:v>
                      </c:pt>
                      <c:pt idx="6286">
                        <c:v>43.652777777781012</c:v>
                      </c:pt>
                      <c:pt idx="6287">
                        <c:v>43.659722222218988</c:v>
                      </c:pt>
                      <c:pt idx="6288">
                        <c:v>43.666666666664241</c:v>
                      </c:pt>
                      <c:pt idx="6289">
                        <c:v>43.673611111109494</c:v>
                      </c:pt>
                      <c:pt idx="6290">
                        <c:v>43.680555555554747</c:v>
                      </c:pt>
                      <c:pt idx="6291">
                        <c:v>43.6875</c:v>
                      </c:pt>
                      <c:pt idx="6292">
                        <c:v>43.694444444445253</c:v>
                      </c:pt>
                      <c:pt idx="6293">
                        <c:v>43.701388888890506</c:v>
                      </c:pt>
                      <c:pt idx="6294">
                        <c:v>43.708333333335759</c:v>
                      </c:pt>
                      <c:pt idx="6295">
                        <c:v>43.715277777781012</c:v>
                      </c:pt>
                      <c:pt idx="6296">
                        <c:v>43.722222222218988</c:v>
                      </c:pt>
                      <c:pt idx="6297">
                        <c:v>43.729166666664241</c:v>
                      </c:pt>
                      <c:pt idx="6298">
                        <c:v>43.736111111109494</c:v>
                      </c:pt>
                      <c:pt idx="6299">
                        <c:v>43.743055555554747</c:v>
                      </c:pt>
                      <c:pt idx="6300">
                        <c:v>43.75</c:v>
                      </c:pt>
                      <c:pt idx="6301">
                        <c:v>43.756944444445253</c:v>
                      </c:pt>
                      <c:pt idx="6302">
                        <c:v>43.763888888890506</c:v>
                      </c:pt>
                      <c:pt idx="6303">
                        <c:v>43.770833333335759</c:v>
                      </c:pt>
                      <c:pt idx="6304">
                        <c:v>43.777777777781012</c:v>
                      </c:pt>
                      <c:pt idx="6305">
                        <c:v>43.784722222218988</c:v>
                      </c:pt>
                      <c:pt idx="6306">
                        <c:v>43.791666666664241</c:v>
                      </c:pt>
                      <c:pt idx="6307">
                        <c:v>43.798611111109494</c:v>
                      </c:pt>
                      <c:pt idx="6308">
                        <c:v>43.805555555554747</c:v>
                      </c:pt>
                      <c:pt idx="6309">
                        <c:v>43.8125</c:v>
                      </c:pt>
                      <c:pt idx="6310">
                        <c:v>43.819444444445253</c:v>
                      </c:pt>
                      <c:pt idx="6311">
                        <c:v>43.826388888890506</c:v>
                      </c:pt>
                      <c:pt idx="6312">
                        <c:v>43.833333333335759</c:v>
                      </c:pt>
                      <c:pt idx="6313">
                        <c:v>43.840277777781012</c:v>
                      </c:pt>
                      <c:pt idx="6314">
                        <c:v>43.847222222218988</c:v>
                      </c:pt>
                      <c:pt idx="6315">
                        <c:v>43.854166666664241</c:v>
                      </c:pt>
                      <c:pt idx="6316">
                        <c:v>43.861111111109494</c:v>
                      </c:pt>
                      <c:pt idx="6317">
                        <c:v>43.868055555554747</c:v>
                      </c:pt>
                      <c:pt idx="6318">
                        <c:v>43.875</c:v>
                      </c:pt>
                      <c:pt idx="6319">
                        <c:v>43.881944444445253</c:v>
                      </c:pt>
                      <c:pt idx="6320">
                        <c:v>43.888888888890506</c:v>
                      </c:pt>
                      <c:pt idx="6321">
                        <c:v>43.895833333335759</c:v>
                      </c:pt>
                      <c:pt idx="6322">
                        <c:v>43.902777777781012</c:v>
                      </c:pt>
                      <c:pt idx="6323">
                        <c:v>43.909722222218988</c:v>
                      </c:pt>
                      <c:pt idx="6324">
                        <c:v>43.916666666664241</c:v>
                      </c:pt>
                      <c:pt idx="6325">
                        <c:v>43.923611111109494</c:v>
                      </c:pt>
                      <c:pt idx="6326">
                        <c:v>43.930555555554747</c:v>
                      </c:pt>
                      <c:pt idx="6327">
                        <c:v>43.9375</c:v>
                      </c:pt>
                      <c:pt idx="6328">
                        <c:v>43.944444444445253</c:v>
                      </c:pt>
                      <c:pt idx="6329">
                        <c:v>43.951388888890506</c:v>
                      </c:pt>
                      <c:pt idx="6330">
                        <c:v>43.958333333335759</c:v>
                      </c:pt>
                      <c:pt idx="6331">
                        <c:v>43.965277777781012</c:v>
                      </c:pt>
                      <c:pt idx="6332">
                        <c:v>43.972222222218988</c:v>
                      </c:pt>
                      <c:pt idx="6333">
                        <c:v>43.979166666664241</c:v>
                      </c:pt>
                      <c:pt idx="6334">
                        <c:v>43.986111111109494</c:v>
                      </c:pt>
                      <c:pt idx="6335">
                        <c:v>43.993055555554747</c:v>
                      </c:pt>
                      <c:pt idx="6336">
                        <c:v>44</c:v>
                      </c:pt>
                      <c:pt idx="6337">
                        <c:v>44.006944444445253</c:v>
                      </c:pt>
                      <c:pt idx="6338">
                        <c:v>44.013888888890506</c:v>
                      </c:pt>
                      <c:pt idx="6339">
                        <c:v>44.020833333335759</c:v>
                      </c:pt>
                      <c:pt idx="6340">
                        <c:v>44.027777777781012</c:v>
                      </c:pt>
                      <c:pt idx="6341">
                        <c:v>44.034722222218988</c:v>
                      </c:pt>
                      <c:pt idx="6342">
                        <c:v>44.041666666664241</c:v>
                      </c:pt>
                      <c:pt idx="6343">
                        <c:v>44.048611111109494</c:v>
                      </c:pt>
                      <c:pt idx="6344">
                        <c:v>44.055555555554747</c:v>
                      </c:pt>
                      <c:pt idx="6345">
                        <c:v>44.0625</c:v>
                      </c:pt>
                      <c:pt idx="6346">
                        <c:v>44.069444444445253</c:v>
                      </c:pt>
                      <c:pt idx="6347">
                        <c:v>44.076388888890506</c:v>
                      </c:pt>
                      <c:pt idx="6348">
                        <c:v>44.083333333335759</c:v>
                      </c:pt>
                      <c:pt idx="6349">
                        <c:v>44.090277777781012</c:v>
                      </c:pt>
                      <c:pt idx="6350">
                        <c:v>44.097222222218988</c:v>
                      </c:pt>
                      <c:pt idx="6351">
                        <c:v>44.104166666664241</c:v>
                      </c:pt>
                      <c:pt idx="6352">
                        <c:v>44.111111111109494</c:v>
                      </c:pt>
                      <c:pt idx="6353">
                        <c:v>44.118055555554747</c:v>
                      </c:pt>
                      <c:pt idx="6354">
                        <c:v>44.125</c:v>
                      </c:pt>
                      <c:pt idx="6355">
                        <c:v>44.131944444445253</c:v>
                      </c:pt>
                      <c:pt idx="6356">
                        <c:v>44.138888888890506</c:v>
                      </c:pt>
                      <c:pt idx="6357">
                        <c:v>44.145833333335759</c:v>
                      </c:pt>
                      <c:pt idx="6358">
                        <c:v>44.152777777781012</c:v>
                      </c:pt>
                      <c:pt idx="6359">
                        <c:v>44.159722222218988</c:v>
                      </c:pt>
                      <c:pt idx="6360">
                        <c:v>44.166666666664241</c:v>
                      </c:pt>
                      <c:pt idx="6361">
                        <c:v>44.173611111109494</c:v>
                      </c:pt>
                      <c:pt idx="6362">
                        <c:v>44.180555555554747</c:v>
                      </c:pt>
                      <c:pt idx="6363">
                        <c:v>44.1875</c:v>
                      </c:pt>
                      <c:pt idx="6364">
                        <c:v>44.194444444445253</c:v>
                      </c:pt>
                      <c:pt idx="6365">
                        <c:v>44.201388888890506</c:v>
                      </c:pt>
                      <c:pt idx="6366">
                        <c:v>44.208333333335759</c:v>
                      </c:pt>
                      <c:pt idx="6367">
                        <c:v>44.215277777781012</c:v>
                      </c:pt>
                      <c:pt idx="6368">
                        <c:v>44.222222222218988</c:v>
                      </c:pt>
                      <c:pt idx="6369">
                        <c:v>44.229166666664241</c:v>
                      </c:pt>
                      <c:pt idx="6370">
                        <c:v>44.236111111109494</c:v>
                      </c:pt>
                      <c:pt idx="6371">
                        <c:v>44.243055555554747</c:v>
                      </c:pt>
                      <c:pt idx="6372">
                        <c:v>44.25</c:v>
                      </c:pt>
                      <c:pt idx="6373">
                        <c:v>44.256944444445253</c:v>
                      </c:pt>
                      <c:pt idx="6374">
                        <c:v>44.263888888890506</c:v>
                      </c:pt>
                      <c:pt idx="6375">
                        <c:v>44.270833333335759</c:v>
                      </c:pt>
                      <c:pt idx="6376">
                        <c:v>44.277777777781012</c:v>
                      </c:pt>
                      <c:pt idx="6377">
                        <c:v>44.284722222218988</c:v>
                      </c:pt>
                      <c:pt idx="6378">
                        <c:v>44.291666666664241</c:v>
                      </c:pt>
                      <c:pt idx="6379">
                        <c:v>44.298611111109494</c:v>
                      </c:pt>
                      <c:pt idx="6380">
                        <c:v>44.305555555554747</c:v>
                      </c:pt>
                      <c:pt idx="6381">
                        <c:v>44.3125</c:v>
                      </c:pt>
                      <c:pt idx="6382">
                        <c:v>44.319444444445253</c:v>
                      </c:pt>
                      <c:pt idx="6383">
                        <c:v>44.326388888890506</c:v>
                      </c:pt>
                      <c:pt idx="6384">
                        <c:v>44.333333333335759</c:v>
                      </c:pt>
                      <c:pt idx="6385">
                        <c:v>44.340277777781012</c:v>
                      </c:pt>
                      <c:pt idx="6386">
                        <c:v>44.347222222218988</c:v>
                      </c:pt>
                      <c:pt idx="6387">
                        <c:v>44.354166666664241</c:v>
                      </c:pt>
                      <c:pt idx="6388">
                        <c:v>44.361111111109494</c:v>
                      </c:pt>
                      <c:pt idx="6389">
                        <c:v>44.368055555554747</c:v>
                      </c:pt>
                      <c:pt idx="6390">
                        <c:v>44.375</c:v>
                      </c:pt>
                      <c:pt idx="6391">
                        <c:v>44.381944444445253</c:v>
                      </c:pt>
                      <c:pt idx="6392">
                        <c:v>44.388888888890506</c:v>
                      </c:pt>
                      <c:pt idx="6393">
                        <c:v>44.395833333335759</c:v>
                      </c:pt>
                      <c:pt idx="6394">
                        <c:v>44.402777777781012</c:v>
                      </c:pt>
                      <c:pt idx="6395">
                        <c:v>44.409722222218988</c:v>
                      </c:pt>
                      <c:pt idx="6396">
                        <c:v>44.416666666664241</c:v>
                      </c:pt>
                      <c:pt idx="6397">
                        <c:v>44.423611111109494</c:v>
                      </c:pt>
                      <c:pt idx="6398">
                        <c:v>44.430555555554747</c:v>
                      </c:pt>
                      <c:pt idx="6399">
                        <c:v>44.4375</c:v>
                      </c:pt>
                      <c:pt idx="6400">
                        <c:v>44.444444444445253</c:v>
                      </c:pt>
                      <c:pt idx="6401">
                        <c:v>44.451388888890506</c:v>
                      </c:pt>
                      <c:pt idx="6402">
                        <c:v>44.458333333335759</c:v>
                      </c:pt>
                      <c:pt idx="6403">
                        <c:v>44.465277777781012</c:v>
                      </c:pt>
                      <c:pt idx="6404">
                        <c:v>44.472222222218988</c:v>
                      </c:pt>
                      <c:pt idx="6405">
                        <c:v>44.479166666664241</c:v>
                      </c:pt>
                      <c:pt idx="6406">
                        <c:v>44.486111111109494</c:v>
                      </c:pt>
                      <c:pt idx="6407">
                        <c:v>44.493055555554747</c:v>
                      </c:pt>
                      <c:pt idx="6408">
                        <c:v>44.5</c:v>
                      </c:pt>
                      <c:pt idx="6409">
                        <c:v>44.506944444445253</c:v>
                      </c:pt>
                      <c:pt idx="6410">
                        <c:v>44.513888888890506</c:v>
                      </c:pt>
                      <c:pt idx="6411">
                        <c:v>44.520833333335759</c:v>
                      </c:pt>
                      <c:pt idx="6412">
                        <c:v>44.527777777781012</c:v>
                      </c:pt>
                      <c:pt idx="6413">
                        <c:v>44.534722222218988</c:v>
                      </c:pt>
                      <c:pt idx="6414">
                        <c:v>44.541666666664241</c:v>
                      </c:pt>
                      <c:pt idx="6415">
                        <c:v>44.548611111109494</c:v>
                      </c:pt>
                      <c:pt idx="6416">
                        <c:v>44.555555555554747</c:v>
                      </c:pt>
                      <c:pt idx="6417">
                        <c:v>44.5625</c:v>
                      </c:pt>
                      <c:pt idx="6418">
                        <c:v>44.569444444445253</c:v>
                      </c:pt>
                      <c:pt idx="6419">
                        <c:v>44.576388888890506</c:v>
                      </c:pt>
                      <c:pt idx="6420">
                        <c:v>44.583333333335759</c:v>
                      </c:pt>
                      <c:pt idx="6421">
                        <c:v>44.590277777781012</c:v>
                      </c:pt>
                      <c:pt idx="6422">
                        <c:v>44.597222222218988</c:v>
                      </c:pt>
                      <c:pt idx="6423">
                        <c:v>44.604166666664241</c:v>
                      </c:pt>
                      <c:pt idx="6424">
                        <c:v>44.611111111109494</c:v>
                      </c:pt>
                      <c:pt idx="6425">
                        <c:v>44.618055555554747</c:v>
                      </c:pt>
                      <c:pt idx="6426">
                        <c:v>44.625</c:v>
                      </c:pt>
                      <c:pt idx="6427">
                        <c:v>44.631944444445253</c:v>
                      </c:pt>
                      <c:pt idx="6428">
                        <c:v>44.638888888890506</c:v>
                      </c:pt>
                      <c:pt idx="6429">
                        <c:v>44.645833333335759</c:v>
                      </c:pt>
                      <c:pt idx="6430">
                        <c:v>44.652777777781012</c:v>
                      </c:pt>
                      <c:pt idx="6431">
                        <c:v>44.659722222218988</c:v>
                      </c:pt>
                      <c:pt idx="6432">
                        <c:v>44.666666666664241</c:v>
                      </c:pt>
                      <c:pt idx="6433">
                        <c:v>44.673611111109494</c:v>
                      </c:pt>
                      <c:pt idx="6434">
                        <c:v>44.680555555554747</c:v>
                      </c:pt>
                      <c:pt idx="6435">
                        <c:v>44.6875</c:v>
                      </c:pt>
                      <c:pt idx="6436">
                        <c:v>44.694444444445253</c:v>
                      </c:pt>
                      <c:pt idx="6437">
                        <c:v>44.701388888890506</c:v>
                      </c:pt>
                      <c:pt idx="6438">
                        <c:v>44.708333333335759</c:v>
                      </c:pt>
                      <c:pt idx="6439">
                        <c:v>44.715277777781012</c:v>
                      </c:pt>
                      <c:pt idx="6440">
                        <c:v>44.722222222218988</c:v>
                      </c:pt>
                      <c:pt idx="6441">
                        <c:v>44.729166666664241</c:v>
                      </c:pt>
                      <c:pt idx="6442">
                        <c:v>44.736111111109494</c:v>
                      </c:pt>
                      <c:pt idx="6443">
                        <c:v>44.743055555554747</c:v>
                      </c:pt>
                      <c:pt idx="6444">
                        <c:v>44.75</c:v>
                      </c:pt>
                      <c:pt idx="6445">
                        <c:v>44.756944444445253</c:v>
                      </c:pt>
                      <c:pt idx="6446">
                        <c:v>44.763888888890506</c:v>
                      </c:pt>
                      <c:pt idx="6447">
                        <c:v>44.770833333335759</c:v>
                      </c:pt>
                      <c:pt idx="6448">
                        <c:v>44.777777777781012</c:v>
                      </c:pt>
                      <c:pt idx="6449">
                        <c:v>44.784722222218988</c:v>
                      </c:pt>
                      <c:pt idx="6450">
                        <c:v>44.791666666664241</c:v>
                      </c:pt>
                      <c:pt idx="6451">
                        <c:v>44.798611111109494</c:v>
                      </c:pt>
                      <c:pt idx="6452">
                        <c:v>44.805555555554747</c:v>
                      </c:pt>
                      <c:pt idx="6453">
                        <c:v>44.8125</c:v>
                      </c:pt>
                      <c:pt idx="6454">
                        <c:v>44.819444444445253</c:v>
                      </c:pt>
                      <c:pt idx="6455">
                        <c:v>44.826388888890506</c:v>
                      </c:pt>
                      <c:pt idx="6456">
                        <c:v>44.833333333335759</c:v>
                      </c:pt>
                      <c:pt idx="6457">
                        <c:v>44.840277777781012</c:v>
                      </c:pt>
                      <c:pt idx="6458">
                        <c:v>44.847222222218988</c:v>
                      </c:pt>
                      <c:pt idx="6459">
                        <c:v>44.854166666664241</c:v>
                      </c:pt>
                      <c:pt idx="6460">
                        <c:v>44.861111111109494</c:v>
                      </c:pt>
                      <c:pt idx="6461">
                        <c:v>44.868055555554747</c:v>
                      </c:pt>
                      <c:pt idx="6462">
                        <c:v>44.875</c:v>
                      </c:pt>
                      <c:pt idx="6463">
                        <c:v>44.881944444445253</c:v>
                      </c:pt>
                      <c:pt idx="6464">
                        <c:v>44.888888888890506</c:v>
                      </c:pt>
                      <c:pt idx="6465">
                        <c:v>44.895833333335759</c:v>
                      </c:pt>
                      <c:pt idx="6466">
                        <c:v>44.902777777781012</c:v>
                      </c:pt>
                      <c:pt idx="6467">
                        <c:v>44.909722222218988</c:v>
                      </c:pt>
                      <c:pt idx="6468">
                        <c:v>44.916666666664241</c:v>
                      </c:pt>
                      <c:pt idx="6469">
                        <c:v>44.923611111109494</c:v>
                      </c:pt>
                      <c:pt idx="6470">
                        <c:v>44.930555555554747</c:v>
                      </c:pt>
                      <c:pt idx="6471">
                        <c:v>44.9375</c:v>
                      </c:pt>
                      <c:pt idx="6472">
                        <c:v>44.944444444445253</c:v>
                      </c:pt>
                      <c:pt idx="6473">
                        <c:v>44.951388888890506</c:v>
                      </c:pt>
                      <c:pt idx="6474">
                        <c:v>44.958333333335759</c:v>
                      </c:pt>
                      <c:pt idx="6475">
                        <c:v>44.965277777781012</c:v>
                      </c:pt>
                      <c:pt idx="6476">
                        <c:v>44.972222222218988</c:v>
                      </c:pt>
                      <c:pt idx="6477">
                        <c:v>44.979166666664241</c:v>
                      </c:pt>
                      <c:pt idx="6478">
                        <c:v>44.986111111109494</c:v>
                      </c:pt>
                      <c:pt idx="6479">
                        <c:v>44.993055555554747</c:v>
                      </c:pt>
                      <c:pt idx="6480">
                        <c:v>45</c:v>
                      </c:pt>
                      <c:pt idx="6481">
                        <c:v>45.006944444445253</c:v>
                      </c:pt>
                      <c:pt idx="6482">
                        <c:v>45.013888888890506</c:v>
                      </c:pt>
                      <c:pt idx="6483">
                        <c:v>45.020833333335759</c:v>
                      </c:pt>
                      <c:pt idx="6484">
                        <c:v>45.027777777781012</c:v>
                      </c:pt>
                      <c:pt idx="6485">
                        <c:v>45.034722222218988</c:v>
                      </c:pt>
                      <c:pt idx="6486">
                        <c:v>45.041666666664241</c:v>
                      </c:pt>
                      <c:pt idx="6487">
                        <c:v>45.048611111109494</c:v>
                      </c:pt>
                      <c:pt idx="6488">
                        <c:v>45.055555555554747</c:v>
                      </c:pt>
                      <c:pt idx="6489">
                        <c:v>45.0625</c:v>
                      </c:pt>
                      <c:pt idx="6490">
                        <c:v>45.069444444445253</c:v>
                      </c:pt>
                      <c:pt idx="6491">
                        <c:v>45.076388888890506</c:v>
                      </c:pt>
                      <c:pt idx="6492">
                        <c:v>45.083333333335759</c:v>
                      </c:pt>
                      <c:pt idx="6493">
                        <c:v>45.090277777781012</c:v>
                      </c:pt>
                      <c:pt idx="6494">
                        <c:v>45.097222222218988</c:v>
                      </c:pt>
                      <c:pt idx="6495">
                        <c:v>45.104166666664241</c:v>
                      </c:pt>
                      <c:pt idx="6496">
                        <c:v>45.111111111109494</c:v>
                      </c:pt>
                      <c:pt idx="6497">
                        <c:v>45.118055555554747</c:v>
                      </c:pt>
                      <c:pt idx="6498">
                        <c:v>45.125</c:v>
                      </c:pt>
                      <c:pt idx="6499">
                        <c:v>45.131944444445253</c:v>
                      </c:pt>
                      <c:pt idx="6500">
                        <c:v>45.138888888890506</c:v>
                      </c:pt>
                      <c:pt idx="6501">
                        <c:v>45.145833333335759</c:v>
                      </c:pt>
                      <c:pt idx="6502">
                        <c:v>45.152777777781012</c:v>
                      </c:pt>
                      <c:pt idx="6503">
                        <c:v>45.159722222218988</c:v>
                      </c:pt>
                      <c:pt idx="6504">
                        <c:v>45.166666666664241</c:v>
                      </c:pt>
                      <c:pt idx="6505">
                        <c:v>45.173611111109494</c:v>
                      </c:pt>
                      <c:pt idx="6506">
                        <c:v>45.180555555554747</c:v>
                      </c:pt>
                      <c:pt idx="6507">
                        <c:v>45.1875</c:v>
                      </c:pt>
                      <c:pt idx="6508">
                        <c:v>45.194444444445253</c:v>
                      </c:pt>
                      <c:pt idx="6509">
                        <c:v>45.201388888890506</c:v>
                      </c:pt>
                      <c:pt idx="6510">
                        <c:v>45.208333333335759</c:v>
                      </c:pt>
                      <c:pt idx="6511">
                        <c:v>45.215277777781012</c:v>
                      </c:pt>
                      <c:pt idx="6512">
                        <c:v>45.222222222218988</c:v>
                      </c:pt>
                      <c:pt idx="6513">
                        <c:v>45.229166666664241</c:v>
                      </c:pt>
                      <c:pt idx="6514">
                        <c:v>45.236111111109494</c:v>
                      </c:pt>
                      <c:pt idx="6515">
                        <c:v>45.243055555554747</c:v>
                      </c:pt>
                      <c:pt idx="6516">
                        <c:v>45.25</c:v>
                      </c:pt>
                      <c:pt idx="6517">
                        <c:v>45.256944444445253</c:v>
                      </c:pt>
                      <c:pt idx="6518">
                        <c:v>45.263888888890506</c:v>
                      </c:pt>
                      <c:pt idx="6519">
                        <c:v>45.270833333335759</c:v>
                      </c:pt>
                      <c:pt idx="6520">
                        <c:v>45.277777777781012</c:v>
                      </c:pt>
                      <c:pt idx="6521">
                        <c:v>45.284722222218988</c:v>
                      </c:pt>
                      <c:pt idx="6522">
                        <c:v>45.291666666664241</c:v>
                      </c:pt>
                      <c:pt idx="6523">
                        <c:v>45.298611111109494</c:v>
                      </c:pt>
                      <c:pt idx="6524">
                        <c:v>45.305555555554747</c:v>
                      </c:pt>
                      <c:pt idx="6525">
                        <c:v>45.3125</c:v>
                      </c:pt>
                      <c:pt idx="6526">
                        <c:v>45.319444444445253</c:v>
                      </c:pt>
                      <c:pt idx="6527">
                        <c:v>45.326388888890506</c:v>
                      </c:pt>
                      <c:pt idx="6528">
                        <c:v>45.333333333335759</c:v>
                      </c:pt>
                      <c:pt idx="6529">
                        <c:v>45.340277777781012</c:v>
                      </c:pt>
                      <c:pt idx="6530">
                        <c:v>45.347222222218988</c:v>
                      </c:pt>
                      <c:pt idx="6531">
                        <c:v>45.354166666664241</c:v>
                      </c:pt>
                      <c:pt idx="6532">
                        <c:v>45.361111111109494</c:v>
                      </c:pt>
                      <c:pt idx="6533">
                        <c:v>45.368055555554747</c:v>
                      </c:pt>
                      <c:pt idx="6534">
                        <c:v>45.375</c:v>
                      </c:pt>
                      <c:pt idx="6535">
                        <c:v>45.381944444445253</c:v>
                      </c:pt>
                      <c:pt idx="6536">
                        <c:v>45.388888888890506</c:v>
                      </c:pt>
                      <c:pt idx="6537">
                        <c:v>45.395833333335759</c:v>
                      </c:pt>
                      <c:pt idx="6538">
                        <c:v>45.402777777781012</c:v>
                      </c:pt>
                      <c:pt idx="6539">
                        <c:v>45.409722222218988</c:v>
                      </c:pt>
                      <c:pt idx="6540">
                        <c:v>45.416666666664241</c:v>
                      </c:pt>
                      <c:pt idx="6541">
                        <c:v>45.423611111109494</c:v>
                      </c:pt>
                      <c:pt idx="6542">
                        <c:v>45.430555555554747</c:v>
                      </c:pt>
                      <c:pt idx="6543">
                        <c:v>45.4375</c:v>
                      </c:pt>
                      <c:pt idx="6544">
                        <c:v>45.444444444445253</c:v>
                      </c:pt>
                      <c:pt idx="6545">
                        <c:v>45.451388888890506</c:v>
                      </c:pt>
                      <c:pt idx="6546">
                        <c:v>45.458333333335759</c:v>
                      </c:pt>
                      <c:pt idx="6547">
                        <c:v>45.465277777781012</c:v>
                      </c:pt>
                      <c:pt idx="6548">
                        <c:v>45.472222222218988</c:v>
                      </c:pt>
                      <c:pt idx="6549">
                        <c:v>45.479166666664241</c:v>
                      </c:pt>
                      <c:pt idx="6550">
                        <c:v>45.486111111109494</c:v>
                      </c:pt>
                      <c:pt idx="6551">
                        <c:v>45.493055555554747</c:v>
                      </c:pt>
                      <c:pt idx="6552">
                        <c:v>45.5</c:v>
                      </c:pt>
                      <c:pt idx="6553">
                        <c:v>45.506944444445253</c:v>
                      </c:pt>
                      <c:pt idx="6554">
                        <c:v>45.513888888890506</c:v>
                      </c:pt>
                      <c:pt idx="6555">
                        <c:v>45.520833333335759</c:v>
                      </c:pt>
                      <c:pt idx="6556">
                        <c:v>45.527777777781012</c:v>
                      </c:pt>
                      <c:pt idx="6557">
                        <c:v>45.534722222218988</c:v>
                      </c:pt>
                      <c:pt idx="6558">
                        <c:v>45.541666666664241</c:v>
                      </c:pt>
                      <c:pt idx="6559">
                        <c:v>45.548611111109494</c:v>
                      </c:pt>
                      <c:pt idx="6560">
                        <c:v>45.555555555554747</c:v>
                      </c:pt>
                      <c:pt idx="6561">
                        <c:v>45.5625</c:v>
                      </c:pt>
                      <c:pt idx="6562">
                        <c:v>45.569444444445253</c:v>
                      </c:pt>
                      <c:pt idx="6563">
                        <c:v>45.576388888890506</c:v>
                      </c:pt>
                      <c:pt idx="6564">
                        <c:v>45.583333333335759</c:v>
                      </c:pt>
                      <c:pt idx="6565">
                        <c:v>45.590277777781012</c:v>
                      </c:pt>
                      <c:pt idx="6566">
                        <c:v>45.597222222218988</c:v>
                      </c:pt>
                      <c:pt idx="6567">
                        <c:v>45.604166666664241</c:v>
                      </c:pt>
                      <c:pt idx="6568">
                        <c:v>45.611111111109494</c:v>
                      </c:pt>
                      <c:pt idx="6569">
                        <c:v>45.618055555554747</c:v>
                      </c:pt>
                      <c:pt idx="6570">
                        <c:v>45.625</c:v>
                      </c:pt>
                      <c:pt idx="6571">
                        <c:v>45.631944444445253</c:v>
                      </c:pt>
                      <c:pt idx="6572">
                        <c:v>45.638888888890506</c:v>
                      </c:pt>
                      <c:pt idx="6573">
                        <c:v>45.645833333335759</c:v>
                      </c:pt>
                      <c:pt idx="6574">
                        <c:v>45.652777777781012</c:v>
                      </c:pt>
                      <c:pt idx="6575">
                        <c:v>45.659722222218988</c:v>
                      </c:pt>
                      <c:pt idx="6576">
                        <c:v>45.666666666664241</c:v>
                      </c:pt>
                      <c:pt idx="6577">
                        <c:v>45.673611111109494</c:v>
                      </c:pt>
                      <c:pt idx="6578">
                        <c:v>45.680555555554747</c:v>
                      </c:pt>
                      <c:pt idx="6579">
                        <c:v>45.6875</c:v>
                      </c:pt>
                      <c:pt idx="6580">
                        <c:v>45.694444444445253</c:v>
                      </c:pt>
                      <c:pt idx="6581">
                        <c:v>45.701388888890506</c:v>
                      </c:pt>
                      <c:pt idx="6582">
                        <c:v>45.708333333335759</c:v>
                      </c:pt>
                      <c:pt idx="6583">
                        <c:v>45.715277777781012</c:v>
                      </c:pt>
                      <c:pt idx="6584">
                        <c:v>45.722222222218988</c:v>
                      </c:pt>
                      <c:pt idx="6585">
                        <c:v>45.729166666664241</c:v>
                      </c:pt>
                      <c:pt idx="6586">
                        <c:v>45.736111111109494</c:v>
                      </c:pt>
                      <c:pt idx="6587">
                        <c:v>45.743055555554747</c:v>
                      </c:pt>
                      <c:pt idx="6588">
                        <c:v>45.75</c:v>
                      </c:pt>
                      <c:pt idx="6589">
                        <c:v>45.756944444445253</c:v>
                      </c:pt>
                      <c:pt idx="6590">
                        <c:v>45.763888888890506</c:v>
                      </c:pt>
                      <c:pt idx="6591">
                        <c:v>45.770833333335759</c:v>
                      </c:pt>
                      <c:pt idx="6592">
                        <c:v>45.777777777781012</c:v>
                      </c:pt>
                      <c:pt idx="6593">
                        <c:v>45.784722222218988</c:v>
                      </c:pt>
                      <c:pt idx="6594">
                        <c:v>45.791666666664241</c:v>
                      </c:pt>
                      <c:pt idx="6595">
                        <c:v>45.798611111109494</c:v>
                      </c:pt>
                      <c:pt idx="6596">
                        <c:v>45.805555555554747</c:v>
                      </c:pt>
                      <c:pt idx="6597">
                        <c:v>45.8125</c:v>
                      </c:pt>
                      <c:pt idx="6598">
                        <c:v>45.819444444445253</c:v>
                      </c:pt>
                      <c:pt idx="6599">
                        <c:v>45.826388888890506</c:v>
                      </c:pt>
                      <c:pt idx="6600">
                        <c:v>45.833333333335759</c:v>
                      </c:pt>
                      <c:pt idx="6601">
                        <c:v>45.840277777781012</c:v>
                      </c:pt>
                      <c:pt idx="6602">
                        <c:v>45.847222222218988</c:v>
                      </c:pt>
                      <c:pt idx="6603">
                        <c:v>45.854166666664241</c:v>
                      </c:pt>
                      <c:pt idx="6604">
                        <c:v>45.861111111109494</c:v>
                      </c:pt>
                      <c:pt idx="6605">
                        <c:v>45.868055555554747</c:v>
                      </c:pt>
                      <c:pt idx="6606">
                        <c:v>45.875</c:v>
                      </c:pt>
                      <c:pt idx="6607">
                        <c:v>45.881944444445253</c:v>
                      </c:pt>
                      <c:pt idx="6608">
                        <c:v>45.888888888890506</c:v>
                      </c:pt>
                      <c:pt idx="6609">
                        <c:v>45.895833333335759</c:v>
                      </c:pt>
                      <c:pt idx="6610">
                        <c:v>45.902777777781012</c:v>
                      </c:pt>
                      <c:pt idx="6611">
                        <c:v>45.909722222218988</c:v>
                      </c:pt>
                      <c:pt idx="6612">
                        <c:v>45.916666666664241</c:v>
                      </c:pt>
                      <c:pt idx="6613">
                        <c:v>45.923611111109494</c:v>
                      </c:pt>
                      <c:pt idx="6614">
                        <c:v>45.930555555554747</c:v>
                      </c:pt>
                      <c:pt idx="6615">
                        <c:v>45.9375</c:v>
                      </c:pt>
                      <c:pt idx="6616">
                        <c:v>45.944444444445253</c:v>
                      </c:pt>
                      <c:pt idx="6617">
                        <c:v>45.951388888890506</c:v>
                      </c:pt>
                      <c:pt idx="6618">
                        <c:v>45.958333333335759</c:v>
                      </c:pt>
                      <c:pt idx="6619">
                        <c:v>45.965277777781012</c:v>
                      </c:pt>
                      <c:pt idx="6620">
                        <c:v>45.972222222218988</c:v>
                      </c:pt>
                      <c:pt idx="6621">
                        <c:v>45.979166666664241</c:v>
                      </c:pt>
                      <c:pt idx="6622">
                        <c:v>45.986111111109494</c:v>
                      </c:pt>
                      <c:pt idx="6623">
                        <c:v>45.993055555554747</c:v>
                      </c:pt>
                      <c:pt idx="6624">
                        <c:v>46</c:v>
                      </c:pt>
                      <c:pt idx="6625">
                        <c:v>46.006944444445253</c:v>
                      </c:pt>
                      <c:pt idx="6626">
                        <c:v>46.013888888890506</c:v>
                      </c:pt>
                      <c:pt idx="6627">
                        <c:v>46.020833333335759</c:v>
                      </c:pt>
                      <c:pt idx="6628">
                        <c:v>46.027777777781012</c:v>
                      </c:pt>
                      <c:pt idx="6629">
                        <c:v>46.034722222218988</c:v>
                      </c:pt>
                      <c:pt idx="6630">
                        <c:v>46.041666666664241</c:v>
                      </c:pt>
                      <c:pt idx="6631">
                        <c:v>46.048611111109494</c:v>
                      </c:pt>
                      <c:pt idx="6632">
                        <c:v>46.055555555554747</c:v>
                      </c:pt>
                      <c:pt idx="6633">
                        <c:v>46.0625</c:v>
                      </c:pt>
                      <c:pt idx="6634">
                        <c:v>46.069444444445253</c:v>
                      </c:pt>
                      <c:pt idx="6635">
                        <c:v>46.076388888890506</c:v>
                      </c:pt>
                      <c:pt idx="6636">
                        <c:v>46.083333333335759</c:v>
                      </c:pt>
                      <c:pt idx="6637">
                        <c:v>46.090277777781012</c:v>
                      </c:pt>
                      <c:pt idx="6638">
                        <c:v>46.097222222218988</c:v>
                      </c:pt>
                      <c:pt idx="6639">
                        <c:v>46.104166666664241</c:v>
                      </c:pt>
                      <c:pt idx="6640">
                        <c:v>46.111111111109494</c:v>
                      </c:pt>
                      <c:pt idx="6641">
                        <c:v>46.118055555554747</c:v>
                      </c:pt>
                      <c:pt idx="6642">
                        <c:v>46.125</c:v>
                      </c:pt>
                      <c:pt idx="6643">
                        <c:v>46.131944444445253</c:v>
                      </c:pt>
                      <c:pt idx="6644">
                        <c:v>46.138888888890506</c:v>
                      </c:pt>
                      <c:pt idx="6645">
                        <c:v>46.145833333335759</c:v>
                      </c:pt>
                      <c:pt idx="6646">
                        <c:v>46.152777777781012</c:v>
                      </c:pt>
                      <c:pt idx="6647">
                        <c:v>46.159722222218988</c:v>
                      </c:pt>
                      <c:pt idx="6648">
                        <c:v>46.166666666664241</c:v>
                      </c:pt>
                      <c:pt idx="6649">
                        <c:v>46.173611111109494</c:v>
                      </c:pt>
                      <c:pt idx="6650">
                        <c:v>46.180555555554747</c:v>
                      </c:pt>
                      <c:pt idx="6651">
                        <c:v>46.1875</c:v>
                      </c:pt>
                      <c:pt idx="6652">
                        <c:v>46.194444444445253</c:v>
                      </c:pt>
                      <c:pt idx="6653">
                        <c:v>46.201388888890506</c:v>
                      </c:pt>
                      <c:pt idx="6654">
                        <c:v>46.208333333335759</c:v>
                      </c:pt>
                      <c:pt idx="6655">
                        <c:v>46.215277777781012</c:v>
                      </c:pt>
                      <c:pt idx="6656">
                        <c:v>46.222222222218988</c:v>
                      </c:pt>
                      <c:pt idx="6657">
                        <c:v>46.229166666664241</c:v>
                      </c:pt>
                      <c:pt idx="6658">
                        <c:v>46.236111111109494</c:v>
                      </c:pt>
                      <c:pt idx="6659">
                        <c:v>46.243055555554747</c:v>
                      </c:pt>
                      <c:pt idx="6660">
                        <c:v>46.25</c:v>
                      </c:pt>
                      <c:pt idx="6661">
                        <c:v>46.256944444445253</c:v>
                      </c:pt>
                      <c:pt idx="6662">
                        <c:v>46.263888888890506</c:v>
                      </c:pt>
                      <c:pt idx="6663">
                        <c:v>46.270833333335759</c:v>
                      </c:pt>
                      <c:pt idx="6664">
                        <c:v>46.277777777781012</c:v>
                      </c:pt>
                      <c:pt idx="6665">
                        <c:v>46.284722222218988</c:v>
                      </c:pt>
                      <c:pt idx="6666">
                        <c:v>46.291666666664241</c:v>
                      </c:pt>
                      <c:pt idx="6667">
                        <c:v>46.298611111109494</c:v>
                      </c:pt>
                      <c:pt idx="6668">
                        <c:v>46.305555555554747</c:v>
                      </c:pt>
                      <c:pt idx="6669">
                        <c:v>46.3125</c:v>
                      </c:pt>
                      <c:pt idx="6670">
                        <c:v>46.319444444445253</c:v>
                      </c:pt>
                      <c:pt idx="6671">
                        <c:v>46.326388888890506</c:v>
                      </c:pt>
                      <c:pt idx="6672">
                        <c:v>46.333333333335759</c:v>
                      </c:pt>
                      <c:pt idx="6673">
                        <c:v>46.340277777781012</c:v>
                      </c:pt>
                      <c:pt idx="6674">
                        <c:v>46.347222222218988</c:v>
                      </c:pt>
                      <c:pt idx="6675">
                        <c:v>46.354166666664241</c:v>
                      </c:pt>
                      <c:pt idx="6676">
                        <c:v>46.361111111109494</c:v>
                      </c:pt>
                      <c:pt idx="6677">
                        <c:v>46.368055555554747</c:v>
                      </c:pt>
                      <c:pt idx="6678">
                        <c:v>46.375</c:v>
                      </c:pt>
                      <c:pt idx="6679">
                        <c:v>46.381944444445253</c:v>
                      </c:pt>
                      <c:pt idx="6680">
                        <c:v>46.388888888890506</c:v>
                      </c:pt>
                      <c:pt idx="6681">
                        <c:v>46.395833333335759</c:v>
                      </c:pt>
                      <c:pt idx="6682">
                        <c:v>46.402777777781012</c:v>
                      </c:pt>
                      <c:pt idx="6683">
                        <c:v>46.409722222218988</c:v>
                      </c:pt>
                      <c:pt idx="6684">
                        <c:v>46.416666666664241</c:v>
                      </c:pt>
                      <c:pt idx="6685">
                        <c:v>46.423611111109494</c:v>
                      </c:pt>
                      <c:pt idx="6686">
                        <c:v>46.430555555554747</c:v>
                      </c:pt>
                      <c:pt idx="6687">
                        <c:v>46.4375</c:v>
                      </c:pt>
                      <c:pt idx="6688">
                        <c:v>46.444444444445253</c:v>
                      </c:pt>
                      <c:pt idx="6689">
                        <c:v>46.451388888890506</c:v>
                      </c:pt>
                      <c:pt idx="6690">
                        <c:v>46.458333333335759</c:v>
                      </c:pt>
                      <c:pt idx="6691">
                        <c:v>46.465277777781012</c:v>
                      </c:pt>
                      <c:pt idx="6692">
                        <c:v>46.472222222218988</c:v>
                      </c:pt>
                      <c:pt idx="6693">
                        <c:v>46.479166666664241</c:v>
                      </c:pt>
                      <c:pt idx="6694">
                        <c:v>46.486111111109494</c:v>
                      </c:pt>
                      <c:pt idx="6695">
                        <c:v>46.493055555554747</c:v>
                      </c:pt>
                      <c:pt idx="6696">
                        <c:v>46.5</c:v>
                      </c:pt>
                      <c:pt idx="6697">
                        <c:v>46.506944444445253</c:v>
                      </c:pt>
                      <c:pt idx="6698">
                        <c:v>46.513888888890506</c:v>
                      </c:pt>
                      <c:pt idx="6699">
                        <c:v>46.520833333335759</c:v>
                      </c:pt>
                      <c:pt idx="6700">
                        <c:v>46.527777777781012</c:v>
                      </c:pt>
                      <c:pt idx="6701">
                        <c:v>46.534722222218988</c:v>
                      </c:pt>
                      <c:pt idx="6702">
                        <c:v>46.541666666664241</c:v>
                      </c:pt>
                      <c:pt idx="6703">
                        <c:v>46.548611111109494</c:v>
                      </c:pt>
                      <c:pt idx="6704">
                        <c:v>46.555555555554747</c:v>
                      </c:pt>
                      <c:pt idx="6705">
                        <c:v>46.5625</c:v>
                      </c:pt>
                      <c:pt idx="6706">
                        <c:v>46.569444444445253</c:v>
                      </c:pt>
                      <c:pt idx="6707">
                        <c:v>46.576388888890506</c:v>
                      </c:pt>
                      <c:pt idx="6708">
                        <c:v>46.583333333335759</c:v>
                      </c:pt>
                      <c:pt idx="6709">
                        <c:v>46.590277777781012</c:v>
                      </c:pt>
                      <c:pt idx="6710">
                        <c:v>46.597222222218988</c:v>
                      </c:pt>
                      <c:pt idx="6711">
                        <c:v>46.604166666664241</c:v>
                      </c:pt>
                      <c:pt idx="6712">
                        <c:v>46.611111111109494</c:v>
                      </c:pt>
                      <c:pt idx="6713">
                        <c:v>46.618055555554747</c:v>
                      </c:pt>
                      <c:pt idx="6714">
                        <c:v>46.625</c:v>
                      </c:pt>
                      <c:pt idx="6715">
                        <c:v>46.631944444445253</c:v>
                      </c:pt>
                      <c:pt idx="6716">
                        <c:v>46.638888888890506</c:v>
                      </c:pt>
                      <c:pt idx="6717">
                        <c:v>46.645833333335759</c:v>
                      </c:pt>
                      <c:pt idx="6718">
                        <c:v>46.652777777781012</c:v>
                      </c:pt>
                      <c:pt idx="6719">
                        <c:v>46.659722222218988</c:v>
                      </c:pt>
                      <c:pt idx="6720">
                        <c:v>46.666666666664241</c:v>
                      </c:pt>
                      <c:pt idx="6721">
                        <c:v>46.673611111109494</c:v>
                      </c:pt>
                      <c:pt idx="6722">
                        <c:v>46.680555555554747</c:v>
                      </c:pt>
                      <c:pt idx="6723">
                        <c:v>46.6875</c:v>
                      </c:pt>
                      <c:pt idx="6724">
                        <c:v>46.694444444445253</c:v>
                      </c:pt>
                      <c:pt idx="6725">
                        <c:v>46.701388888890506</c:v>
                      </c:pt>
                      <c:pt idx="6726">
                        <c:v>46.708333333335759</c:v>
                      </c:pt>
                      <c:pt idx="6727">
                        <c:v>46.715277777781012</c:v>
                      </c:pt>
                      <c:pt idx="6728">
                        <c:v>46.722222222218988</c:v>
                      </c:pt>
                      <c:pt idx="6729">
                        <c:v>46.729166666664241</c:v>
                      </c:pt>
                      <c:pt idx="6730">
                        <c:v>46.736111111109494</c:v>
                      </c:pt>
                      <c:pt idx="6731">
                        <c:v>46.743055555554747</c:v>
                      </c:pt>
                      <c:pt idx="6732">
                        <c:v>46.75</c:v>
                      </c:pt>
                      <c:pt idx="6733">
                        <c:v>46.756944444445253</c:v>
                      </c:pt>
                      <c:pt idx="6734">
                        <c:v>46.763888888890506</c:v>
                      </c:pt>
                      <c:pt idx="6735">
                        <c:v>46.770833333335759</c:v>
                      </c:pt>
                      <c:pt idx="6736">
                        <c:v>46.777777777781012</c:v>
                      </c:pt>
                      <c:pt idx="6737">
                        <c:v>46.784722222218988</c:v>
                      </c:pt>
                      <c:pt idx="6738">
                        <c:v>46.791666666664241</c:v>
                      </c:pt>
                      <c:pt idx="6739">
                        <c:v>46.798611111109494</c:v>
                      </c:pt>
                      <c:pt idx="6740">
                        <c:v>46.805555555554747</c:v>
                      </c:pt>
                      <c:pt idx="6741">
                        <c:v>46.8125</c:v>
                      </c:pt>
                      <c:pt idx="6742">
                        <c:v>46.819444444445253</c:v>
                      </c:pt>
                      <c:pt idx="6743">
                        <c:v>46.826388888890506</c:v>
                      </c:pt>
                      <c:pt idx="6744">
                        <c:v>46.833333333335759</c:v>
                      </c:pt>
                      <c:pt idx="6745">
                        <c:v>46.840277777781012</c:v>
                      </c:pt>
                      <c:pt idx="6746">
                        <c:v>46.847222222218988</c:v>
                      </c:pt>
                      <c:pt idx="6747">
                        <c:v>46.854166666664241</c:v>
                      </c:pt>
                      <c:pt idx="6748">
                        <c:v>46.861111111109494</c:v>
                      </c:pt>
                      <c:pt idx="6749">
                        <c:v>46.868055555554747</c:v>
                      </c:pt>
                      <c:pt idx="6750">
                        <c:v>46.875</c:v>
                      </c:pt>
                      <c:pt idx="6751">
                        <c:v>46.881944444445253</c:v>
                      </c:pt>
                      <c:pt idx="6752">
                        <c:v>46.888888888890506</c:v>
                      </c:pt>
                      <c:pt idx="6753">
                        <c:v>46.895833333335759</c:v>
                      </c:pt>
                      <c:pt idx="6754">
                        <c:v>46.902777777781012</c:v>
                      </c:pt>
                      <c:pt idx="6755">
                        <c:v>46.909722222218988</c:v>
                      </c:pt>
                      <c:pt idx="6756">
                        <c:v>46.916666666664241</c:v>
                      </c:pt>
                      <c:pt idx="6757">
                        <c:v>46.923611111109494</c:v>
                      </c:pt>
                      <c:pt idx="6758">
                        <c:v>46.930555555554747</c:v>
                      </c:pt>
                      <c:pt idx="6759">
                        <c:v>46.9375</c:v>
                      </c:pt>
                      <c:pt idx="6760">
                        <c:v>46.944444444445253</c:v>
                      </c:pt>
                      <c:pt idx="6761">
                        <c:v>46.951388888890506</c:v>
                      </c:pt>
                      <c:pt idx="6762">
                        <c:v>46.958333333335759</c:v>
                      </c:pt>
                      <c:pt idx="6763">
                        <c:v>46.965277777781012</c:v>
                      </c:pt>
                      <c:pt idx="6764">
                        <c:v>46.972222222218988</c:v>
                      </c:pt>
                      <c:pt idx="6765">
                        <c:v>46.979166666664241</c:v>
                      </c:pt>
                      <c:pt idx="6766">
                        <c:v>46.986111111109494</c:v>
                      </c:pt>
                      <c:pt idx="6767">
                        <c:v>46.993055555554747</c:v>
                      </c:pt>
                      <c:pt idx="6768">
                        <c:v>47</c:v>
                      </c:pt>
                      <c:pt idx="6769">
                        <c:v>47.006944444445253</c:v>
                      </c:pt>
                      <c:pt idx="6770">
                        <c:v>47.013888888890506</c:v>
                      </c:pt>
                      <c:pt idx="6771">
                        <c:v>47.020833333335759</c:v>
                      </c:pt>
                      <c:pt idx="6772">
                        <c:v>47.027777777781012</c:v>
                      </c:pt>
                      <c:pt idx="6773">
                        <c:v>47.034722222218988</c:v>
                      </c:pt>
                      <c:pt idx="6774">
                        <c:v>47.041666666664241</c:v>
                      </c:pt>
                      <c:pt idx="6775">
                        <c:v>47.048611111109494</c:v>
                      </c:pt>
                      <c:pt idx="6776">
                        <c:v>47.055555555554747</c:v>
                      </c:pt>
                      <c:pt idx="6777">
                        <c:v>47.0625</c:v>
                      </c:pt>
                      <c:pt idx="6778">
                        <c:v>47.069444444445253</c:v>
                      </c:pt>
                      <c:pt idx="6779">
                        <c:v>47.076388888890506</c:v>
                      </c:pt>
                      <c:pt idx="6780">
                        <c:v>47.083333333335759</c:v>
                      </c:pt>
                      <c:pt idx="6781">
                        <c:v>47.090277777781012</c:v>
                      </c:pt>
                      <c:pt idx="6782">
                        <c:v>47.097222222218988</c:v>
                      </c:pt>
                      <c:pt idx="6783">
                        <c:v>47.104166666664241</c:v>
                      </c:pt>
                      <c:pt idx="6784">
                        <c:v>47.111111111109494</c:v>
                      </c:pt>
                      <c:pt idx="6785">
                        <c:v>47.118055555554747</c:v>
                      </c:pt>
                      <c:pt idx="6786">
                        <c:v>47.125</c:v>
                      </c:pt>
                      <c:pt idx="6787">
                        <c:v>47.131944444445253</c:v>
                      </c:pt>
                      <c:pt idx="6788">
                        <c:v>47.138888888890506</c:v>
                      </c:pt>
                      <c:pt idx="6789">
                        <c:v>47.145833333335759</c:v>
                      </c:pt>
                      <c:pt idx="6790">
                        <c:v>47.152777777781012</c:v>
                      </c:pt>
                      <c:pt idx="6791">
                        <c:v>47.159722222218988</c:v>
                      </c:pt>
                      <c:pt idx="6792">
                        <c:v>47.166666666664241</c:v>
                      </c:pt>
                      <c:pt idx="6793">
                        <c:v>47.173611111109494</c:v>
                      </c:pt>
                      <c:pt idx="6794">
                        <c:v>47.180555555554747</c:v>
                      </c:pt>
                      <c:pt idx="6795">
                        <c:v>47.1875</c:v>
                      </c:pt>
                      <c:pt idx="6796">
                        <c:v>47.194444444445253</c:v>
                      </c:pt>
                      <c:pt idx="6797">
                        <c:v>47.201388888890506</c:v>
                      </c:pt>
                      <c:pt idx="6798">
                        <c:v>47.208333333335759</c:v>
                      </c:pt>
                      <c:pt idx="6799">
                        <c:v>47.215277777781012</c:v>
                      </c:pt>
                      <c:pt idx="6800">
                        <c:v>47.222222222218988</c:v>
                      </c:pt>
                      <c:pt idx="6801">
                        <c:v>47.229166666664241</c:v>
                      </c:pt>
                      <c:pt idx="6802">
                        <c:v>47.236111111109494</c:v>
                      </c:pt>
                      <c:pt idx="6803">
                        <c:v>47.243055555554747</c:v>
                      </c:pt>
                      <c:pt idx="6804">
                        <c:v>47.25</c:v>
                      </c:pt>
                      <c:pt idx="6805">
                        <c:v>47.256944444445253</c:v>
                      </c:pt>
                      <c:pt idx="6806">
                        <c:v>47.263888888890506</c:v>
                      </c:pt>
                      <c:pt idx="6807">
                        <c:v>47.270833333335759</c:v>
                      </c:pt>
                      <c:pt idx="6808">
                        <c:v>47.277777777781012</c:v>
                      </c:pt>
                      <c:pt idx="6809">
                        <c:v>47.284722222218988</c:v>
                      </c:pt>
                      <c:pt idx="6810">
                        <c:v>47.291666666664241</c:v>
                      </c:pt>
                      <c:pt idx="6811">
                        <c:v>47.298611111109494</c:v>
                      </c:pt>
                      <c:pt idx="6812">
                        <c:v>47.305555555554747</c:v>
                      </c:pt>
                      <c:pt idx="6813">
                        <c:v>47.3125</c:v>
                      </c:pt>
                      <c:pt idx="6814">
                        <c:v>47.319444444445253</c:v>
                      </c:pt>
                      <c:pt idx="6815">
                        <c:v>47.326388888890506</c:v>
                      </c:pt>
                      <c:pt idx="6816">
                        <c:v>47.333333333335759</c:v>
                      </c:pt>
                      <c:pt idx="6817">
                        <c:v>47.340277777781012</c:v>
                      </c:pt>
                      <c:pt idx="6818">
                        <c:v>47.347222222218988</c:v>
                      </c:pt>
                      <c:pt idx="6819">
                        <c:v>47.354166666664241</c:v>
                      </c:pt>
                      <c:pt idx="6820">
                        <c:v>47.361111111109494</c:v>
                      </c:pt>
                      <c:pt idx="6821">
                        <c:v>47.368055555554747</c:v>
                      </c:pt>
                      <c:pt idx="6822">
                        <c:v>47.375</c:v>
                      </c:pt>
                      <c:pt idx="6823">
                        <c:v>47.381944444445253</c:v>
                      </c:pt>
                      <c:pt idx="6824">
                        <c:v>47.388888888890506</c:v>
                      </c:pt>
                      <c:pt idx="6825">
                        <c:v>47.395833333335759</c:v>
                      </c:pt>
                      <c:pt idx="6826">
                        <c:v>47.402777777781012</c:v>
                      </c:pt>
                      <c:pt idx="6827">
                        <c:v>47.409722222218988</c:v>
                      </c:pt>
                      <c:pt idx="6828">
                        <c:v>47.416666666664241</c:v>
                      </c:pt>
                      <c:pt idx="6829">
                        <c:v>47.423611111109494</c:v>
                      </c:pt>
                      <c:pt idx="6830">
                        <c:v>47.430555555554747</c:v>
                      </c:pt>
                      <c:pt idx="6831">
                        <c:v>47.4375</c:v>
                      </c:pt>
                      <c:pt idx="6832">
                        <c:v>47.444444444445253</c:v>
                      </c:pt>
                      <c:pt idx="6833">
                        <c:v>47.451388888890506</c:v>
                      </c:pt>
                      <c:pt idx="6834">
                        <c:v>47.458333333335759</c:v>
                      </c:pt>
                      <c:pt idx="6835">
                        <c:v>47.465277777781012</c:v>
                      </c:pt>
                      <c:pt idx="6836">
                        <c:v>47.472222222218988</c:v>
                      </c:pt>
                      <c:pt idx="6837">
                        <c:v>47.479166666664241</c:v>
                      </c:pt>
                      <c:pt idx="6838">
                        <c:v>47.486111111109494</c:v>
                      </c:pt>
                      <c:pt idx="6839">
                        <c:v>47.493055555554747</c:v>
                      </c:pt>
                      <c:pt idx="6840">
                        <c:v>47.5</c:v>
                      </c:pt>
                      <c:pt idx="6841">
                        <c:v>47.506944444445253</c:v>
                      </c:pt>
                      <c:pt idx="6842">
                        <c:v>47.513888888890506</c:v>
                      </c:pt>
                      <c:pt idx="6843">
                        <c:v>47.520833333335759</c:v>
                      </c:pt>
                      <c:pt idx="6844">
                        <c:v>47.527777777781012</c:v>
                      </c:pt>
                      <c:pt idx="6845">
                        <c:v>47.534722222218988</c:v>
                      </c:pt>
                      <c:pt idx="6846">
                        <c:v>47.541666666664241</c:v>
                      </c:pt>
                      <c:pt idx="6847">
                        <c:v>47.548611111109494</c:v>
                      </c:pt>
                      <c:pt idx="6848">
                        <c:v>47.555555555554747</c:v>
                      </c:pt>
                      <c:pt idx="6849">
                        <c:v>47.5625</c:v>
                      </c:pt>
                      <c:pt idx="6850">
                        <c:v>47.569444444445253</c:v>
                      </c:pt>
                      <c:pt idx="6851">
                        <c:v>47.576388888890506</c:v>
                      </c:pt>
                      <c:pt idx="6852">
                        <c:v>47.583333333335759</c:v>
                      </c:pt>
                      <c:pt idx="6853">
                        <c:v>47.590277777781012</c:v>
                      </c:pt>
                      <c:pt idx="6854">
                        <c:v>47.597222222218988</c:v>
                      </c:pt>
                      <c:pt idx="6855">
                        <c:v>47.604166666664241</c:v>
                      </c:pt>
                      <c:pt idx="6856">
                        <c:v>47.611111111109494</c:v>
                      </c:pt>
                      <c:pt idx="6857">
                        <c:v>47.618055555554747</c:v>
                      </c:pt>
                      <c:pt idx="6858">
                        <c:v>47.625</c:v>
                      </c:pt>
                      <c:pt idx="6859">
                        <c:v>47.631944444445253</c:v>
                      </c:pt>
                      <c:pt idx="6860">
                        <c:v>47.638888888890506</c:v>
                      </c:pt>
                      <c:pt idx="6861">
                        <c:v>47.645833333335759</c:v>
                      </c:pt>
                      <c:pt idx="6862">
                        <c:v>47.652777777781012</c:v>
                      </c:pt>
                      <c:pt idx="6863">
                        <c:v>47.659722222218988</c:v>
                      </c:pt>
                      <c:pt idx="6864">
                        <c:v>47.666666666664241</c:v>
                      </c:pt>
                      <c:pt idx="6865">
                        <c:v>47.673611111109494</c:v>
                      </c:pt>
                      <c:pt idx="6866">
                        <c:v>47.680555555554747</c:v>
                      </c:pt>
                      <c:pt idx="6867">
                        <c:v>47.6875</c:v>
                      </c:pt>
                      <c:pt idx="6868">
                        <c:v>47.694444444445253</c:v>
                      </c:pt>
                      <c:pt idx="6869">
                        <c:v>47.701388888890506</c:v>
                      </c:pt>
                      <c:pt idx="6870">
                        <c:v>47.708333333335759</c:v>
                      </c:pt>
                      <c:pt idx="6871">
                        <c:v>47.715277777781012</c:v>
                      </c:pt>
                      <c:pt idx="6872">
                        <c:v>47.722222222218988</c:v>
                      </c:pt>
                      <c:pt idx="6873">
                        <c:v>47.729166666664241</c:v>
                      </c:pt>
                      <c:pt idx="6874">
                        <c:v>47.736111111109494</c:v>
                      </c:pt>
                      <c:pt idx="6875">
                        <c:v>47.743055555554747</c:v>
                      </c:pt>
                      <c:pt idx="6876">
                        <c:v>47.75</c:v>
                      </c:pt>
                      <c:pt idx="6877">
                        <c:v>47.756944444445253</c:v>
                      </c:pt>
                      <c:pt idx="6878">
                        <c:v>47.763888888890506</c:v>
                      </c:pt>
                      <c:pt idx="6879">
                        <c:v>47.770833333335759</c:v>
                      </c:pt>
                      <c:pt idx="6880">
                        <c:v>47.777777777781012</c:v>
                      </c:pt>
                      <c:pt idx="6881">
                        <c:v>47.784722222218988</c:v>
                      </c:pt>
                      <c:pt idx="6882">
                        <c:v>47.791666666664241</c:v>
                      </c:pt>
                      <c:pt idx="6883">
                        <c:v>47.798611111109494</c:v>
                      </c:pt>
                      <c:pt idx="6884">
                        <c:v>47.805555555554747</c:v>
                      </c:pt>
                      <c:pt idx="6885">
                        <c:v>47.8125</c:v>
                      </c:pt>
                      <c:pt idx="6886">
                        <c:v>47.819444444445253</c:v>
                      </c:pt>
                      <c:pt idx="6887">
                        <c:v>47.826388888890506</c:v>
                      </c:pt>
                      <c:pt idx="6888">
                        <c:v>47.833333333335759</c:v>
                      </c:pt>
                      <c:pt idx="6889">
                        <c:v>47.840277777781012</c:v>
                      </c:pt>
                      <c:pt idx="6890">
                        <c:v>47.847222222218988</c:v>
                      </c:pt>
                      <c:pt idx="6891">
                        <c:v>47.854166666664241</c:v>
                      </c:pt>
                      <c:pt idx="6892">
                        <c:v>47.861111111109494</c:v>
                      </c:pt>
                      <c:pt idx="6893">
                        <c:v>47.868055555554747</c:v>
                      </c:pt>
                      <c:pt idx="6894">
                        <c:v>47.875</c:v>
                      </c:pt>
                      <c:pt idx="6895">
                        <c:v>47.881944444445253</c:v>
                      </c:pt>
                      <c:pt idx="6896">
                        <c:v>47.888888888890506</c:v>
                      </c:pt>
                      <c:pt idx="6897">
                        <c:v>47.895833333335759</c:v>
                      </c:pt>
                      <c:pt idx="6898">
                        <c:v>47.902777777781012</c:v>
                      </c:pt>
                      <c:pt idx="6899">
                        <c:v>47.909722222218988</c:v>
                      </c:pt>
                      <c:pt idx="6900">
                        <c:v>47.916666666664241</c:v>
                      </c:pt>
                      <c:pt idx="6901">
                        <c:v>47.923611111109494</c:v>
                      </c:pt>
                      <c:pt idx="6902">
                        <c:v>47.930555555554747</c:v>
                      </c:pt>
                      <c:pt idx="6903">
                        <c:v>47.9375</c:v>
                      </c:pt>
                      <c:pt idx="6904">
                        <c:v>47.944444444445253</c:v>
                      </c:pt>
                      <c:pt idx="6905">
                        <c:v>47.951388888890506</c:v>
                      </c:pt>
                      <c:pt idx="6906">
                        <c:v>47.958333333335759</c:v>
                      </c:pt>
                      <c:pt idx="6907">
                        <c:v>47.965277777781012</c:v>
                      </c:pt>
                      <c:pt idx="6908">
                        <c:v>47.972222222218988</c:v>
                      </c:pt>
                      <c:pt idx="6909">
                        <c:v>47.979166666664241</c:v>
                      </c:pt>
                      <c:pt idx="6910">
                        <c:v>47.986111111109494</c:v>
                      </c:pt>
                      <c:pt idx="6911">
                        <c:v>47.993055555554747</c:v>
                      </c:pt>
                      <c:pt idx="6912">
                        <c:v>48</c:v>
                      </c:pt>
                      <c:pt idx="6913">
                        <c:v>48.006944444445253</c:v>
                      </c:pt>
                      <c:pt idx="6914">
                        <c:v>48.013888888890506</c:v>
                      </c:pt>
                      <c:pt idx="6915">
                        <c:v>48.020833333335759</c:v>
                      </c:pt>
                      <c:pt idx="6916">
                        <c:v>48.027777777781012</c:v>
                      </c:pt>
                      <c:pt idx="6917">
                        <c:v>48.034722222218988</c:v>
                      </c:pt>
                      <c:pt idx="6918">
                        <c:v>48.041666666664241</c:v>
                      </c:pt>
                      <c:pt idx="6919">
                        <c:v>48.048611111109494</c:v>
                      </c:pt>
                      <c:pt idx="6920">
                        <c:v>48.055555555554747</c:v>
                      </c:pt>
                      <c:pt idx="6921">
                        <c:v>48.0625</c:v>
                      </c:pt>
                      <c:pt idx="6922">
                        <c:v>48.069444444445253</c:v>
                      </c:pt>
                      <c:pt idx="6923">
                        <c:v>48.076388888890506</c:v>
                      </c:pt>
                      <c:pt idx="6924">
                        <c:v>48.083333333335759</c:v>
                      </c:pt>
                      <c:pt idx="6925">
                        <c:v>48.090277777781012</c:v>
                      </c:pt>
                      <c:pt idx="6926">
                        <c:v>48.097222222218988</c:v>
                      </c:pt>
                      <c:pt idx="6927">
                        <c:v>48.104166666664241</c:v>
                      </c:pt>
                      <c:pt idx="6928">
                        <c:v>48.111111111109494</c:v>
                      </c:pt>
                      <c:pt idx="6929">
                        <c:v>48.118055555554747</c:v>
                      </c:pt>
                      <c:pt idx="6930">
                        <c:v>48.125</c:v>
                      </c:pt>
                      <c:pt idx="6931">
                        <c:v>48.131944444445253</c:v>
                      </c:pt>
                      <c:pt idx="6932">
                        <c:v>48.138888888890506</c:v>
                      </c:pt>
                      <c:pt idx="6933">
                        <c:v>48.145833333335759</c:v>
                      </c:pt>
                      <c:pt idx="6934">
                        <c:v>48.152777777781012</c:v>
                      </c:pt>
                      <c:pt idx="6935">
                        <c:v>48.159722222218988</c:v>
                      </c:pt>
                      <c:pt idx="6936">
                        <c:v>48.166666666664241</c:v>
                      </c:pt>
                      <c:pt idx="6937">
                        <c:v>48.173611111109494</c:v>
                      </c:pt>
                      <c:pt idx="6938">
                        <c:v>48.180555555554747</c:v>
                      </c:pt>
                      <c:pt idx="6939">
                        <c:v>48.1875</c:v>
                      </c:pt>
                      <c:pt idx="6940">
                        <c:v>48.194444444445253</c:v>
                      </c:pt>
                      <c:pt idx="6941">
                        <c:v>48.201388888890506</c:v>
                      </c:pt>
                      <c:pt idx="6942">
                        <c:v>48.208333333335759</c:v>
                      </c:pt>
                      <c:pt idx="6943">
                        <c:v>48.215277777781012</c:v>
                      </c:pt>
                      <c:pt idx="6944">
                        <c:v>48.222222222218988</c:v>
                      </c:pt>
                      <c:pt idx="6945">
                        <c:v>48.229166666664241</c:v>
                      </c:pt>
                      <c:pt idx="6946">
                        <c:v>48.236111111109494</c:v>
                      </c:pt>
                      <c:pt idx="6947">
                        <c:v>48.243055555554747</c:v>
                      </c:pt>
                      <c:pt idx="6948">
                        <c:v>48.25</c:v>
                      </c:pt>
                      <c:pt idx="6949">
                        <c:v>48.256944444445253</c:v>
                      </c:pt>
                      <c:pt idx="6950">
                        <c:v>48.263888888890506</c:v>
                      </c:pt>
                      <c:pt idx="6951">
                        <c:v>48.270833333335759</c:v>
                      </c:pt>
                      <c:pt idx="6952">
                        <c:v>48.277777777781012</c:v>
                      </c:pt>
                      <c:pt idx="6953">
                        <c:v>48.284722222218988</c:v>
                      </c:pt>
                      <c:pt idx="6954">
                        <c:v>48.291666666664241</c:v>
                      </c:pt>
                      <c:pt idx="6955">
                        <c:v>48.298611111109494</c:v>
                      </c:pt>
                      <c:pt idx="6956">
                        <c:v>48.305555555554747</c:v>
                      </c:pt>
                      <c:pt idx="6957">
                        <c:v>48.3125</c:v>
                      </c:pt>
                      <c:pt idx="6958">
                        <c:v>48.319444444445253</c:v>
                      </c:pt>
                      <c:pt idx="6959">
                        <c:v>48.326388888890506</c:v>
                      </c:pt>
                      <c:pt idx="6960">
                        <c:v>48.333333333335759</c:v>
                      </c:pt>
                      <c:pt idx="6961">
                        <c:v>48.340277777781012</c:v>
                      </c:pt>
                      <c:pt idx="6962">
                        <c:v>48.347222222218988</c:v>
                      </c:pt>
                      <c:pt idx="6963">
                        <c:v>48.354166666664241</c:v>
                      </c:pt>
                      <c:pt idx="6964">
                        <c:v>48.361111111109494</c:v>
                      </c:pt>
                      <c:pt idx="6965">
                        <c:v>48.368055555554747</c:v>
                      </c:pt>
                      <c:pt idx="6966">
                        <c:v>48.375</c:v>
                      </c:pt>
                      <c:pt idx="6967">
                        <c:v>48.381944444445253</c:v>
                      </c:pt>
                      <c:pt idx="6968">
                        <c:v>48.388888888890506</c:v>
                      </c:pt>
                      <c:pt idx="6969">
                        <c:v>48.395833333335759</c:v>
                      </c:pt>
                      <c:pt idx="6970">
                        <c:v>48.402777777781012</c:v>
                      </c:pt>
                      <c:pt idx="6971">
                        <c:v>48.409722222218988</c:v>
                      </c:pt>
                      <c:pt idx="6972">
                        <c:v>48.416666666664241</c:v>
                      </c:pt>
                      <c:pt idx="6973">
                        <c:v>48.423611111109494</c:v>
                      </c:pt>
                      <c:pt idx="6974">
                        <c:v>48.430555555554747</c:v>
                      </c:pt>
                      <c:pt idx="6975">
                        <c:v>48.4375</c:v>
                      </c:pt>
                      <c:pt idx="6976">
                        <c:v>48.444444444445253</c:v>
                      </c:pt>
                      <c:pt idx="6977">
                        <c:v>48.451388888890506</c:v>
                      </c:pt>
                      <c:pt idx="6978">
                        <c:v>48.458333333335759</c:v>
                      </c:pt>
                      <c:pt idx="6979">
                        <c:v>48.465277777781012</c:v>
                      </c:pt>
                      <c:pt idx="6980">
                        <c:v>48.472222222218988</c:v>
                      </c:pt>
                      <c:pt idx="6981">
                        <c:v>48.479166666664241</c:v>
                      </c:pt>
                      <c:pt idx="6982">
                        <c:v>48.486111111109494</c:v>
                      </c:pt>
                      <c:pt idx="6983">
                        <c:v>48.493055555554747</c:v>
                      </c:pt>
                      <c:pt idx="6984">
                        <c:v>48.5</c:v>
                      </c:pt>
                      <c:pt idx="6985">
                        <c:v>48.506944444445253</c:v>
                      </c:pt>
                      <c:pt idx="6986">
                        <c:v>48.513888888890506</c:v>
                      </c:pt>
                      <c:pt idx="6987">
                        <c:v>48.520833333335759</c:v>
                      </c:pt>
                      <c:pt idx="6988">
                        <c:v>48.527777777781012</c:v>
                      </c:pt>
                      <c:pt idx="6989">
                        <c:v>48.534722222218988</c:v>
                      </c:pt>
                      <c:pt idx="6990">
                        <c:v>48.541666666664241</c:v>
                      </c:pt>
                      <c:pt idx="6991">
                        <c:v>48.548611111109494</c:v>
                      </c:pt>
                      <c:pt idx="6992">
                        <c:v>48.555555555554747</c:v>
                      </c:pt>
                      <c:pt idx="6993">
                        <c:v>48.5625</c:v>
                      </c:pt>
                      <c:pt idx="6994">
                        <c:v>48.569444444445253</c:v>
                      </c:pt>
                      <c:pt idx="6995">
                        <c:v>48.576388888890506</c:v>
                      </c:pt>
                      <c:pt idx="6996">
                        <c:v>48.583333333335759</c:v>
                      </c:pt>
                      <c:pt idx="6997">
                        <c:v>48.590277777781012</c:v>
                      </c:pt>
                      <c:pt idx="6998">
                        <c:v>48.597222222218988</c:v>
                      </c:pt>
                      <c:pt idx="6999">
                        <c:v>48.604166666664241</c:v>
                      </c:pt>
                      <c:pt idx="7000">
                        <c:v>48.611111111109494</c:v>
                      </c:pt>
                      <c:pt idx="7001">
                        <c:v>48.618055555554747</c:v>
                      </c:pt>
                      <c:pt idx="7002">
                        <c:v>48.625</c:v>
                      </c:pt>
                      <c:pt idx="7003">
                        <c:v>48.631944444445253</c:v>
                      </c:pt>
                      <c:pt idx="7004">
                        <c:v>48.638888888890506</c:v>
                      </c:pt>
                      <c:pt idx="7005">
                        <c:v>48.645833333335759</c:v>
                      </c:pt>
                      <c:pt idx="7006">
                        <c:v>48.652777777781012</c:v>
                      </c:pt>
                      <c:pt idx="7007">
                        <c:v>48.659722222218988</c:v>
                      </c:pt>
                      <c:pt idx="7008">
                        <c:v>48.666666666664241</c:v>
                      </c:pt>
                      <c:pt idx="7009">
                        <c:v>48.673611111109494</c:v>
                      </c:pt>
                      <c:pt idx="7010">
                        <c:v>48.680555555554747</c:v>
                      </c:pt>
                      <c:pt idx="7011">
                        <c:v>48.6875</c:v>
                      </c:pt>
                      <c:pt idx="7012">
                        <c:v>48.694444444445253</c:v>
                      </c:pt>
                      <c:pt idx="7013">
                        <c:v>48.701388888890506</c:v>
                      </c:pt>
                      <c:pt idx="7014">
                        <c:v>48.708333333335759</c:v>
                      </c:pt>
                      <c:pt idx="7015">
                        <c:v>48.715277777781012</c:v>
                      </c:pt>
                      <c:pt idx="7016">
                        <c:v>48.722222222218988</c:v>
                      </c:pt>
                      <c:pt idx="7017">
                        <c:v>48.729166666664241</c:v>
                      </c:pt>
                      <c:pt idx="7018">
                        <c:v>48.736111111109494</c:v>
                      </c:pt>
                      <c:pt idx="7019">
                        <c:v>48.743055555554747</c:v>
                      </c:pt>
                      <c:pt idx="7020">
                        <c:v>48.75</c:v>
                      </c:pt>
                      <c:pt idx="7021">
                        <c:v>48.756944444445253</c:v>
                      </c:pt>
                      <c:pt idx="7022">
                        <c:v>48.763888888890506</c:v>
                      </c:pt>
                      <c:pt idx="7023">
                        <c:v>48.770833333335759</c:v>
                      </c:pt>
                      <c:pt idx="7024">
                        <c:v>48.777777777781012</c:v>
                      </c:pt>
                      <c:pt idx="7025">
                        <c:v>48.784722222218988</c:v>
                      </c:pt>
                      <c:pt idx="7026">
                        <c:v>48.791666666664241</c:v>
                      </c:pt>
                      <c:pt idx="7027">
                        <c:v>48.798611111109494</c:v>
                      </c:pt>
                      <c:pt idx="7028">
                        <c:v>48.805555555554747</c:v>
                      </c:pt>
                      <c:pt idx="7029">
                        <c:v>48.8125</c:v>
                      </c:pt>
                      <c:pt idx="7030">
                        <c:v>48.819444444445253</c:v>
                      </c:pt>
                      <c:pt idx="7031">
                        <c:v>48.826388888890506</c:v>
                      </c:pt>
                      <c:pt idx="7032">
                        <c:v>48.833333333335759</c:v>
                      </c:pt>
                      <c:pt idx="7033">
                        <c:v>48.840277777781012</c:v>
                      </c:pt>
                      <c:pt idx="7034">
                        <c:v>48.847222222218988</c:v>
                      </c:pt>
                      <c:pt idx="7035">
                        <c:v>48.854166666664241</c:v>
                      </c:pt>
                      <c:pt idx="7036">
                        <c:v>48.861111111109494</c:v>
                      </c:pt>
                      <c:pt idx="7037">
                        <c:v>48.868055555554747</c:v>
                      </c:pt>
                      <c:pt idx="7038">
                        <c:v>48.875</c:v>
                      </c:pt>
                      <c:pt idx="7039">
                        <c:v>48.881944444445253</c:v>
                      </c:pt>
                      <c:pt idx="7040">
                        <c:v>48.888888888890506</c:v>
                      </c:pt>
                      <c:pt idx="7041">
                        <c:v>48.895833333335759</c:v>
                      </c:pt>
                      <c:pt idx="7042">
                        <c:v>48.902777777781012</c:v>
                      </c:pt>
                      <c:pt idx="7043">
                        <c:v>48.909722222218988</c:v>
                      </c:pt>
                      <c:pt idx="7044">
                        <c:v>48.916666666664241</c:v>
                      </c:pt>
                      <c:pt idx="7045">
                        <c:v>48.923611111109494</c:v>
                      </c:pt>
                      <c:pt idx="7046">
                        <c:v>48.930555555554747</c:v>
                      </c:pt>
                      <c:pt idx="7047">
                        <c:v>48.9375</c:v>
                      </c:pt>
                      <c:pt idx="7048">
                        <c:v>48.944444444445253</c:v>
                      </c:pt>
                      <c:pt idx="7049">
                        <c:v>48.951388888890506</c:v>
                      </c:pt>
                      <c:pt idx="7050">
                        <c:v>48.958333333335759</c:v>
                      </c:pt>
                      <c:pt idx="7051">
                        <c:v>48.965277777781012</c:v>
                      </c:pt>
                      <c:pt idx="7052">
                        <c:v>48.972222222218988</c:v>
                      </c:pt>
                      <c:pt idx="7053">
                        <c:v>48.979166666664241</c:v>
                      </c:pt>
                      <c:pt idx="7054">
                        <c:v>48.986111111109494</c:v>
                      </c:pt>
                      <c:pt idx="7055">
                        <c:v>48.993055555554747</c:v>
                      </c:pt>
                      <c:pt idx="7056">
                        <c:v>49</c:v>
                      </c:pt>
                      <c:pt idx="7057">
                        <c:v>49.006944444445253</c:v>
                      </c:pt>
                      <c:pt idx="7058">
                        <c:v>49.013888888890506</c:v>
                      </c:pt>
                      <c:pt idx="7059">
                        <c:v>49.020833333335759</c:v>
                      </c:pt>
                      <c:pt idx="7060">
                        <c:v>49.027777777781012</c:v>
                      </c:pt>
                      <c:pt idx="7061">
                        <c:v>49.034722222218988</c:v>
                      </c:pt>
                      <c:pt idx="7062">
                        <c:v>49.041666666664241</c:v>
                      </c:pt>
                      <c:pt idx="7063">
                        <c:v>49.048611111109494</c:v>
                      </c:pt>
                      <c:pt idx="7064">
                        <c:v>49.055555555554747</c:v>
                      </c:pt>
                      <c:pt idx="7065">
                        <c:v>49.0625</c:v>
                      </c:pt>
                      <c:pt idx="7066">
                        <c:v>49.069444444445253</c:v>
                      </c:pt>
                      <c:pt idx="7067">
                        <c:v>49.076388888890506</c:v>
                      </c:pt>
                      <c:pt idx="7068">
                        <c:v>49.083333333335759</c:v>
                      </c:pt>
                      <c:pt idx="7069">
                        <c:v>49.090277777781012</c:v>
                      </c:pt>
                      <c:pt idx="7070">
                        <c:v>49.097222222218988</c:v>
                      </c:pt>
                      <c:pt idx="7071">
                        <c:v>49.104166666664241</c:v>
                      </c:pt>
                      <c:pt idx="7072">
                        <c:v>49.111111111109494</c:v>
                      </c:pt>
                      <c:pt idx="7073">
                        <c:v>49.118055555554747</c:v>
                      </c:pt>
                      <c:pt idx="7074">
                        <c:v>49.125</c:v>
                      </c:pt>
                      <c:pt idx="7075">
                        <c:v>49.131944444445253</c:v>
                      </c:pt>
                      <c:pt idx="7076">
                        <c:v>49.138888888890506</c:v>
                      </c:pt>
                      <c:pt idx="7077">
                        <c:v>49.145833333335759</c:v>
                      </c:pt>
                      <c:pt idx="7078">
                        <c:v>49.152777777781012</c:v>
                      </c:pt>
                      <c:pt idx="7079">
                        <c:v>49.159722222218988</c:v>
                      </c:pt>
                      <c:pt idx="7080">
                        <c:v>49.166666666664241</c:v>
                      </c:pt>
                      <c:pt idx="7081">
                        <c:v>49.173611111109494</c:v>
                      </c:pt>
                      <c:pt idx="7082">
                        <c:v>49.180555555554747</c:v>
                      </c:pt>
                      <c:pt idx="7083">
                        <c:v>49.1875</c:v>
                      </c:pt>
                      <c:pt idx="7084">
                        <c:v>49.194444444445253</c:v>
                      </c:pt>
                      <c:pt idx="7085">
                        <c:v>49.201388888890506</c:v>
                      </c:pt>
                      <c:pt idx="7086">
                        <c:v>49.208333333335759</c:v>
                      </c:pt>
                      <c:pt idx="7087">
                        <c:v>49.215277777781012</c:v>
                      </c:pt>
                      <c:pt idx="7088">
                        <c:v>49.222222222218988</c:v>
                      </c:pt>
                      <c:pt idx="7089">
                        <c:v>49.229166666664241</c:v>
                      </c:pt>
                      <c:pt idx="7090">
                        <c:v>49.236111111109494</c:v>
                      </c:pt>
                      <c:pt idx="7091">
                        <c:v>49.243055555554747</c:v>
                      </c:pt>
                      <c:pt idx="7092">
                        <c:v>49.25</c:v>
                      </c:pt>
                      <c:pt idx="7093">
                        <c:v>49.256944444445253</c:v>
                      </c:pt>
                      <c:pt idx="7094">
                        <c:v>49.263888888890506</c:v>
                      </c:pt>
                      <c:pt idx="7095">
                        <c:v>49.270833333335759</c:v>
                      </c:pt>
                      <c:pt idx="7096">
                        <c:v>49.277777777781012</c:v>
                      </c:pt>
                      <c:pt idx="7097">
                        <c:v>49.284722222218988</c:v>
                      </c:pt>
                      <c:pt idx="7098">
                        <c:v>49.291666666664241</c:v>
                      </c:pt>
                      <c:pt idx="7099">
                        <c:v>49.298611111109494</c:v>
                      </c:pt>
                      <c:pt idx="7100">
                        <c:v>49.305555555554747</c:v>
                      </c:pt>
                      <c:pt idx="7101">
                        <c:v>49.3125</c:v>
                      </c:pt>
                      <c:pt idx="7102">
                        <c:v>49.319444444445253</c:v>
                      </c:pt>
                      <c:pt idx="7103">
                        <c:v>49.326388888890506</c:v>
                      </c:pt>
                      <c:pt idx="7104">
                        <c:v>49.333333333335759</c:v>
                      </c:pt>
                      <c:pt idx="7105">
                        <c:v>49.340277777781012</c:v>
                      </c:pt>
                      <c:pt idx="7106">
                        <c:v>49.347222222218988</c:v>
                      </c:pt>
                      <c:pt idx="7107">
                        <c:v>49.354166666664241</c:v>
                      </c:pt>
                      <c:pt idx="7108">
                        <c:v>49.361111111109494</c:v>
                      </c:pt>
                      <c:pt idx="7109">
                        <c:v>49.368055555554747</c:v>
                      </c:pt>
                      <c:pt idx="7110">
                        <c:v>49.375</c:v>
                      </c:pt>
                      <c:pt idx="7111">
                        <c:v>49.381944444445253</c:v>
                      </c:pt>
                      <c:pt idx="7112">
                        <c:v>49.388888888890506</c:v>
                      </c:pt>
                      <c:pt idx="7113">
                        <c:v>49.395833333335759</c:v>
                      </c:pt>
                      <c:pt idx="7114">
                        <c:v>49.402777777781012</c:v>
                      </c:pt>
                      <c:pt idx="7115">
                        <c:v>49.409722222218988</c:v>
                      </c:pt>
                      <c:pt idx="7116">
                        <c:v>49.416666666664241</c:v>
                      </c:pt>
                      <c:pt idx="7117">
                        <c:v>49.423611111109494</c:v>
                      </c:pt>
                      <c:pt idx="7118">
                        <c:v>49.430555555554747</c:v>
                      </c:pt>
                      <c:pt idx="7119">
                        <c:v>49.4375</c:v>
                      </c:pt>
                      <c:pt idx="7120">
                        <c:v>49.444444444445253</c:v>
                      </c:pt>
                      <c:pt idx="7121">
                        <c:v>49.451388888890506</c:v>
                      </c:pt>
                      <c:pt idx="7122">
                        <c:v>49.458333333335759</c:v>
                      </c:pt>
                      <c:pt idx="7123">
                        <c:v>49.465277777781012</c:v>
                      </c:pt>
                      <c:pt idx="7124">
                        <c:v>49.472222222218988</c:v>
                      </c:pt>
                      <c:pt idx="7125">
                        <c:v>49.479166666664241</c:v>
                      </c:pt>
                      <c:pt idx="7126">
                        <c:v>49.486111111109494</c:v>
                      </c:pt>
                      <c:pt idx="7127">
                        <c:v>49.493055555554747</c:v>
                      </c:pt>
                      <c:pt idx="7128">
                        <c:v>49.5</c:v>
                      </c:pt>
                      <c:pt idx="7129">
                        <c:v>49.506944444445253</c:v>
                      </c:pt>
                      <c:pt idx="7130">
                        <c:v>49.513888888890506</c:v>
                      </c:pt>
                      <c:pt idx="7131">
                        <c:v>49.520833333335759</c:v>
                      </c:pt>
                      <c:pt idx="7132">
                        <c:v>49.527777777781012</c:v>
                      </c:pt>
                      <c:pt idx="7133">
                        <c:v>49.534722222218988</c:v>
                      </c:pt>
                      <c:pt idx="7134">
                        <c:v>49.541666666664241</c:v>
                      </c:pt>
                      <c:pt idx="7135">
                        <c:v>49.548611111109494</c:v>
                      </c:pt>
                      <c:pt idx="7136">
                        <c:v>49.555555555554747</c:v>
                      </c:pt>
                      <c:pt idx="7137">
                        <c:v>49.5625</c:v>
                      </c:pt>
                      <c:pt idx="7138">
                        <c:v>49.569444444445253</c:v>
                      </c:pt>
                      <c:pt idx="7139">
                        <c:v>49.576388888890506</c:v>
                      </c:pt>
                      <c:pt idx="7140">
                        <c:v>49.583333333335759</c:v>
                      </c:pt>
                      <c:pt idx="7141">
                        <c:v>49.590277777781012</c:v>
                      </c:pt>
                      <c:pt idx="7142">
                        <c:v>49.597222222218988</c:v>
                      </c:pt>
                      <c:pt idx="7143">
                        <c:v>49.604166666664241</c:v>
                      </c:pt>
                      <c:pt idx="7144">
                        <c:v>49.611111111109494</c:v>
                      </c:pt>
                      <c:pt idx="7145">
                        <c:v>49.618055555554747</c:v>
                      </c:pt>
                      <c:pt idx="7146">
                        <c:v>49.625</c:v>
                      </c:pt>
                      <c:pt idx="7147">
                        <c:v>49.631944444445253</c:v>
                      </c:pt>
                      <c:pt idx="7148">
                        <c:v>49.638888888890506</c:v>
                      </c:pt>
                      <c:pt idx="7149">
                        <c:v>49.645833333335759</c:v>
                      </c:pt>
                      <c:pt idx="7150">
                        <c:v>49.652777777781012</c:v>
                      </c:pt>
                      <c:pt idx="7151">
                        <c:v>49.659722222218988</c:v>
                      </c:pt>
                      <c:pt idx="7152">
                        <c:v>49.666666666664241</c:v>
                      </c:pt>
                      <c:pt idx="7153">
                        <c:v>49.673611111109494</c:v>
                      </c:pt>
                      <c:pt idx="7154">
                        <c:v>49.680555555554747</c:v>
                      </c:pt>
                      <c:pt idx="7155">
                        <c:v>49.6875</c:v>
                      </c:pt>
                      <c:pt idx="7156">
                        <c:v>49.694444444445253</c:v>
                      </c:pt>
                      <c:pt idx="7157">
                        <c:v>49.701388888890506</c:v>
                      </c:pt>
                      <c:pt idx="7158">
                        <c:v>49.708333333335759</c:v>
                      </c:pt>
                      <c:pt idx="7159">
                        <c:v>49.715277777781012</c:v>
                      </c:pt>
                      <c:pt idx="7160">
                        <c:v>49.722222222218988</c:v>
                      </c:pt>
                      <c:pt idx="7161">
                        <c:v>49.729166666664241</c:v>
                      </c:pt>
                      <c:pt idx="7162">
                        <c:v>49.736111111109494</c:v>
                      </c:pt>
                      <c:pt idx="7163">
                        <c:v>49.743055555554747</c:v>
                      </c:pt>
                      <c:pt idx="7164">
                        <c:v>49.75</c:v>
                      </c:pt>
                      <c:pt idx="7165">
                        <c:v>49.756944444445253</c:v>
                      </c:pt>
                      <c:pt idx="7166">
                        <c:v>49.763888888890506</c:v>
                      </c:pt>
                      <c:pt idx="7167">
                        <c:v>49.770833333335759</c:v>
                      </c:pt>
                      <c:pt idx="7168">
                        <c:v>49.777777777781012</c:v>
                      </c:pt>
                      <c:pt idx="7169">
                        <c:v>49.784722222218988</c:v>
                      </c:pt>
                      <c:pt idx="7170">
                        <c:v>49.791666666664241</c:v>
                      </c:pt>
                      <c:pt idx="7171">
                        <c:v>49.798611111109494</c:v>
                      </c:pt>
                      <c:pt idx="7172">
                        <c:v>49.805555555554747</c:v>
                      </c:pt>
                      <c:pt idx="7173">
                        <c:v>49.8125</c:v>
                      </c:pt>
                      <c:pt idx="7174">
                        <c:v>49.819444444445253</c:v>
                      </c:pt>
                      <c:pt idx="7175">
                        <c:v>49.826388888890506</c:v>
                      </c:pt>
                      <c:pt idx="7176">
                        <c:v>49.833333333335759</c:v>
                      </c:pt>
                      <c:pt idx="7177">
                        <c:v>49.840277777781012</c:v>
                      </c:pt>
                      <c:pt idx="7178">
                        <c:v>49.847222222218988</c:v>
                      </c:pt>
                      <c:pt idx="7179">
                        <c:v>49.854166666664241</c:v>
                      </c:pt>
                      <c:pt idx="7180">
                        <c:v>49.861111111109494</c:v>
                      </c:pt>
                      <c:pt idx="7181">
                        <c:v>49.868055555554747</c:v>
                      </c:pt>
                      <c:pt idx="7182">
                        <c:v>49.875</c:v>
                      </c:pt>
                      <c:pt idx="7183">
                        <c:v>49.881944444445253</c:v>
                      </c:pt>
                      <c:pt idx="7184">
                        <c:v>49.888888888890506</c:v>
                      </c:pt>
                      <c:pt idx="7185">
                        <c:v>49.895833333335759</c:v>
                      </c:pt>
                      <c:pt idx="7186">
                        <c:v>49.902777777781012</c:v>
                      </c:pt>
                      <c:pt idx="7187">
                        <c:v>49.909722222218988</c:v>
                      </c:pt>
                      <c:pt idx="7188">
                        <c:v>49.916666666664241</c:v>
                      </c:pt>
                      <c:pt idx="7189">
                        <c:v>49.923611111109494</c:v>
                      </c:pt>
                      <c:pt idx="7190">
                        <c:v>49.930555555554747</c:v>
                      </c:pt>
                      <c:pt idx="7191">
                        <c:v>49.9375</c:v>
                      </c:pt>
                      <c:pt idx="7192">
                        <c:v>49.944444444445253</c:v>
                      </c:pt>
                      <c:pt idx="7193">
                        <c:v>49.951388888890506</c:v>
                      </c:pt>
                      <c:pt idx="7194">
                        <c:v>49.958333333335759</c:v>
                      </c:pt>
                      <c:pt idx="7195">
                        <c:v>49.965277777781012</c:v>
                      </c:pt>
                      <c:pt idx="7196">
                        <c:v>49.972222222218988</c:v>
                      </c:pt>
                      <c:pt idx="7197">
                        <c:v>49.979166666664241</c:v>
                      </c:pt>
                      <c:pt idx="7198">
                        <c:v>49.986111111109494</c:v>
                      </c:pt>
                      <c:pt idx="7199">
                        <c:v>49.993055555554747</c:v>
                      </c:pt>
                      <c:pt idx="7200">
                        <c:v>50</c:v>
                      </c:pt>
                      <c:pt idx="7201">
                        <c:v>50.006944444445253</c:v>
                      </c:pt>
                      <c:pt idx="7202">
                        <c:v>50.013888888890506</c:v>
                      </c:pt>
                      <c:pt idx="7203">
                        <c:v>50.020833333335759</c:v>
                      </c:pt>
                      <c:pt idx="7204">
                        <c:v>50.027777777781012</c:v>
                      </c:pt>
                      <c:pt idx="7205">
                        <c:v>50.034722222218988</c:v>
                      </c:pt>
                      <c:pt idx="7206">
                        <c:v>50.041666666664241</c:v>
                      </c:pt>
                      <c:pt idx="7207">
                        <c:v>50.048611111109494</c:v>
                      </c:pt>
                      <c:pt idx="7208">
                        <c:v>50.055555555554747</c:v>
                      </c:pt>
                      <c:pt idx="7209">
                        <c:v>50.0625</c:v>
                      </c:pt>
                      <c:pt idx="7210">
                        <c:v>50.069444444445253</c:v>
                      </c:pt>
                      <c:pt idx="7211">
                        <c:v>50.076388888890506</c:v>
                      </c:pt>
                      <c:pt idx="7212">
                        <c:v>50.083333333335759</c:v>
                      </c:pt>
                      <c:pt idx="7213">
                        <c:v>50.090277777781012</c:v>
                      </c:pt>
                      <c:pt idx="7214">
                        <c:v>50.097222222218988</c:v>
                      </c:pt>
                      <c:pt idx="7215">
                        <c:v>50.104166666664241</c:v>
                      </c:pt>
                      <c:pt idx="7216">
                        <c:v>50.111111111109494</c:v>
                      </c:pt>
                      <c:pt idx="7217">
                        <c:v>50.118055555554747</c:v>
                      </c:pt>
                      <c:pt idx="7218">
                        <c:v>50.125</c:v>
                      </c:pt>
                      <c:pt idx="7219">
                        <c:v>50.131944444445253</c:v>
                      </c:pt>
                      <c:pt idx="7220">
                        <c:v>50.138888888890506</c:v>
                      </c:pt>
                      <c:pt idx="7221">
                        <c:v>50.145833333335759</c:v>
                      </c:pt>
                      <c:pt idx="7222">
                        <c:v>50.152777777781012</c:v>
                      </c:pt>
                      <c:pt idx="7223">
                        <c:v>50.159722222218988</c:v>
                      </c:pt>
                      <c:pt idx="7224">
                        <c:v>50.166666666664241</c:v>
                      </c:pt>
                      <c:pt idx="7225">
                        <c:v>50.173611111109494</c:v>
                      </c:pt>
                      <c:pt idx="7226">
                        <c:v>50.180555555554747</c:v>
                      </c:pt>
                      <c:pt idx="7227">
                        <c:v>50.1875</c:v>
                      </c:pt>
                      <c:pt idx="7228">
                        <c:v>50.194444444445253</c:v>
                      </c:pt>
                      <c:pt idx="7229">
                        <c:v>50.201388888890506</c:v>
                      </c:pt>
                      <c:pt idx="7230">
                        <c:v>50.208333333335759</c:v>
                      </c:pt>
                      <c:pt idx="7231">
                        <c:v>50.215277777781012</c:v>
                      </c:pt>
                      <c:pt idx="7232">
                        <c:v>50.222222222218988</c:v>
                      </c:pt>
                      <c:pt idx="7233">
                        <c:v>50.229166666664241</c:v>
                      </c:pt>
                      <c:pt idx="7234">
                        <c:v>50.236111111109494</c:v>
                      </c:pt>
                      <c:pt idx="7235">
                        <c:v>50.243055555554747</c:v>
                      </c:pt>
                      <c:pt idx="7236">
                        <c:v>50.25</c:v>
                      </c:pt>
                      <c:pt idx="7237">
                        <c:v>50.256944444445253</c:v>
                      </c:pt>
                      <c:pt idx="7238">
                        <c:v>50.263888888890506</c:v>
                      </c:pt>
                      <c:pt idx="7239">
                        <c:v>50.270833333335759</c:v>
                      </c:pt>
                      <c:pt idx="7240">
                        <c:v>50.277777777781012</c:v>
                      </c:pt>
                      <c:pt idx="7241">
                        <c:v>50.284722222218988</c:v>
                      </c:pt>
                      <c:pt idx="7242">
                        <c:v>50.291666666664241</c:v>
                      </c:pt>
                      <c:pt idx="7243">
                        <c:v>50.298611111109494</c:v>
                      </c:pt>
                      <c:pt idx="7244">
                        <c:v>50.305555555554747</c:v>
                      </c:pt>
                      <c:pt idx="7245">
                        <c:v>50.3125</c:v>
                      </c:pt>
                      <c:pt idx="7246">
                        <c:v>50.319444444445253</c:v>
                      </c:pt>
                      <c:pt idx="7247">
                        <c:v>50.326388888890506</c:v>
                      </c:pt>
                      <c:pt idx="7248">
                        <c:v>50.333333333335759</c:v>
                      </c:pt>
                      <c:pt idx="7249">
                        <c:v>50.340277777781012</c:v>
                      </c:pt>
                      <c:pt idx="7250">
                        <c:v>50.347222222218988</c:v>
                      </c:pt>
                      <c:pt idx="7251">
                        <c:v>50.354166666664241</c:v>
                      </c:pt>
                      <c:pt idx="7252">
                        <c:v>50.361111111109494</c:v>
                      </c:pt>
                      <c:pt idx="7253">
                        <c:v>50.368055555554747</c:v>
                      </c:pt>
                      <c:pt idx="7254">
                        <c:v>50.375</c:v>
                      </c:pt>
                      <c:pt idx="7255">
                        <c:v>50.381944444445253</c:v>
                      </c:pt>
                      <c:pt idx="7256">
                        <c:v>50.388888888890506</c:v>
                      </c:pt>
                      <c:pt idx="7257">
                        <c:v>50.395833333335759</c:v>
                      </c:pt>
                      <c:pt idx="7258">
                        <c:v>50.402777777781012</c:v>
                      </c:pt>
                      <c:pt idx="7259">
                        <c:v>50.409722222218988</c:v>
                      </c:pt>
                      <c:pt idx="7260">
                        <c:v>50.416666666664241</c:v>
                      </c:pt>
                      <c:pt idx="7261">
                        <c:v>50.423611111109494</c:v>
                      </c:pt>
                      <c:pt idx="7262">
                        <c:v>50.430555555554747</c:v>
                      </c:pt>
                      <c:pt idx="7263">
                        <c:v>50.4375</c:v>
                      </c:pt>
                      <c:pt idx="7264">
                        <c:v>50.444444444445253</c:v>
                      </c:pt>
                      <c:pt idx="7265">
                        <c:v>50.451388888890506</c:v>
                      </c:pt>
                      <c:pt idx="7266">
                        <c:v>50.458333333335759</c:v>
                      </c:pt>
                      <c:pt idx="7267">
                        <c:v>50.465277777781012</c:v>
                      </c:pt>
                      <c:pt idx="7268">
                        <c:v>50.472222222218988</c:v>
                      </c:pt>
                      <c:pt idx="7269">
                        <c:v>50.479166666664241</c:v>
                      </c:pt>
                      <c:pt idx="7270">
                        <c:v>50.486111111109494</c:v>
                      </c:pt>
                      <c:pt idx="7271">
                        <c:v>50.493055555554747</c:v>
                      </c:pt>
                      <c:pt idx="7272">
                        <c:v>50.5</c:v>
                      </c:pt>
                      <c:pt idx="7273">
                        <c:v>50.506944444445253</c:v>
                      </c:pt>
                      <c:pt idx="7274">
                        <c:v>50.513888888890506</c:v>
                      </c:pt>
                      <c:pt idx="7275">
                        <c:v>50.520833333335759</c:v>
                      </c:pt>
                      <c:pt idx="7276">
                        <c:v>50.527777777781012</c:v>
                      </c:pt>
                      <c:pt idx="7277">
                        <c:v>50.534722222218988</c:v>
                      </c:pt>
                      <c:pt idx="7278">
                        <c:v>50.541666666664241</c:v>
                      </c:pt>
                      <c:pt idx="7279">
                        <c:v>50.548611111109494</c:v>
                      </c:pt>
                      <c:pt idx="7280">
                        <c:v>50.555555555554747</c:v>
                      </c:pt>
                      <c:pt idx="7281">
                        <c:v>50.5625</c:v>
                      </c:pt>
                      <c:pt idx="7282">
                        <c:v>50.569444444445253</c:v>
                      </c:pt>
                      <c:pt idx="7283">
                        <c:v>50.576388888890506</c:v>
                      </c:pt>
                      <c:pt idx="7284">
                        <c:v>50.583333333335759</c:v>
                      </c:pt>
                      <c:pt idx="7285">
                        <c:v>50.590277777781012</c:v>
                      </c:pt>
                      <c:pt idx="7286">
                        <c:v>50.597222222218988</c:v>
                      </c:pt>
                      <c:pt idx="7287">
                        <c:v>50.604166666664241</c:v>
                      </c:pt>
                      <c:pt idx="7288">
                        <c:v>50.611111111109494</c:v>
                      </c:pt>
                      <c:pt idx="7289">
                        <c:v>50.618055555554747</c:v>
                      </c:pt>
                      <c:pt idx="7290">
                        <c:v>50.625</c:v>
                      </c:pt>
                      <c:pt idx="7291">
                        <c:v>50.631944444445253</c:v>
                      </c:pt>
                      <c:pt idx="7292">
                        <c:v>50.638888888890506</c:v>
                      </c:pt>
                      <c:pt idx="7293">
                        <c:v>50.645833333335759</c:v>
                      </c:pt>
                      <c:pt idx="7294">
                        <c:v>50.652777777781012</c:v>
                      </c:pt>
                      <c:pt idx="7295">
                        <c:v>50.659722222218988</c:v>
                      </c:pt>
                      <c:pt idx="7296">
                        <c:v>50.666666666664241</c:v>
                      </c:pt>
                      <c:pt idx="7297">
                        <c:v>50.673611111109494</c:v>
                      </c:pt>
                      <c:pt idx="7298">
                        <c:v>50.680555555554747</c:v>
                      </c:pt>
                      <c:pt idx="7299">
                        <c:v>50.6875</c:v>
                      </c:pt>
                      <c:pt idx="7300">
                        <c:v>50.694444444445253</c:v>
                      </c:pt>
                      <c:pt idx="7301">
                        <c:v>50.701388888890506</c:v>
                      </c:pt>
                      <c:pt idx="7302">
                        <c:v>50.708333333335759</c:v>
                      </c:pt>
                      <c:pt idx="7303">
                        <c:v>50.715277777781012</c:v>
                      </c:pt>
                      <c:pt idx="7304">
                        <c:v>50.722222222218988</c:v>
                      </c:pt>
                      <c:pt idx="7305">
                        <c:v>50.729166666664241</c:v>
                      </c:pt>
                      <c:pt idx="7306">
                        <c:v>50.736111111109494</c:v>
                      </c:pt>
                      <c:pt idx="7307">
                        <c:v>50.743055555554747</c:v>
                      </c:pt>
                      <c:pt idx="7308">
                        <c:v>50.75</c:v>
                      </c:pt>
                      <c:pt idx="7309">
                        <c:v>50.756944444445253</c:v>
                      </c:pt>
                      <c:pt idx="7310">
                        <c:v>50.763888888890506</c:v>
                      </c:pt>
                      <c:pt idx="7311">
                        <c:v>50.770833333335759</c:v>
                      </c:pt>
                      <c:pt idx="7312">
                        <c:v>50.777777777781012</c:v>
                      </c:pt>
                      <c:pt idx="7313">
                        <c:v>50.784722222218988</c:v>
                      </c:pt>
                      <c:pt idx="7314">
                        <c:v>50.791666666664241</c:v>
                      </c:pt>
                      <c:pt idx="7315">
                        <c:v>50.798611111109494</c:v>
                      </c:pt>
                      <c:pt idx="7316">
                        <c:v>50.805555555554747</c:v>
                      </c:pt>
                      <c:pt idx="7317">
                        <c:v>50.8125</c:v>
                      </c:pt>
                      <c:pt idx="7318">
                        <c:v>50.819444444445253</c:v>
                      </c:pt>
                      <c:pt idx="7319">
                        <c:v>50.826388888890506</c:v>
                      </c:pt>
                      <c:pt idx="7320">
                        <c:v>50.833333333335759</c:v>
                      </c:pt>
                      <c:pt idx="7321">
                        <c:v>50.840277777781012</c:v>
                      </c:pt>
                      <c:pt idx="7322">
                        <c:v>50.847222222218988</c:v>
                      </c:pt>
                      <c:pt idx="7323">
                        <c:v>50.854166666664241</c:v>
                      </c:pt>
                      <c:pt idx="7324">
                        <c:v>50.861111111109494</c:v>
                      </c:pt>
                      <c:pt idx="7325">
                        <c:v>50.868055555554747</c:v>
                      </c:pt>
                      <c:pt idx="7326">
                        <c:v>50.875</c:v>
                      </c:pt>
                      <c:pt idx="7327">
                        <c:v>50.881944444445253</c:v>
                      </c:pt>
                      <c:pt idx="7328">
                        <c:v>50.888888888890506</c:v>
                      </c:pt>
                      <c:pt idx="7329">
                        <c:v>50.895833333335759</c:v>
                      </c:pt>
                      <c:pt idx="7330">
                        <c:v>50.902777777781012</c:v>
                      </c:pt>
                      <c:pt idx="7331">
                        <c:v>50.909722222218988</c:v>
                      </c:pt>
                      <c:pt idx="7332">
                        <c:v>50.916666666664241</c:v>
                      </c:pt>
                      <c:pt idx="7333">
                        <c:v>50.923611111109494</c:v>
                      </c:pt>
                      <c:pt idx="7334">
                        <c:v>50.930555555554747</c:v>
                      </c:pt>
                      <c:pt idx="7335">
                        <c:v>50.9375</c:v>
                      </c:pt>
                      <c:pt idx="7336">
                        <c:v>50.944444444445253</c:v>
                      </c:pt>
                      <c:pt idx="7337">
                        <c:v>50.951388888890506</c:v>
                      </c:pt>
                      <c:pt idx="7338">
                        <c:v>50.958333333335759</c:v>
                      </c:pt>
                      <c:pt idx="7339">
                        <c:v>50.965277777781012</c:v>
                      </c:pt>
                      <c:pt idx="7340">
                        <c:v>50.972222222218988</c:v>
                      </c:pt>
                      <c:pt idx="7341">
                        <c:v>50.979166666664241</c:v>
                      </c:pt>
                      <c:pt idx="7342">
                        <c:v>50.986111111109494</c:v>
                      </c:pt>
                      <c:pt idx="7343">
                        <c:v>50.993055555554747</c:v>
                      </c:pt>
                      <c:pt idx="7344">
                        <c:v>51</c:v>
                      </c:pt>
                      <c:pt idx="7345">
                        <c:v>51.006944444445253</c:v>
                      </c:pt>
                      <c:pt idx="7346">
                        <c:v>51.013888888890506</c:v>
                      </c:pt>
                      <c:pt idx="7347">
                        <c:v>51.020833333335759</c:v>
                      </c:pt>
                      <c:pt idx="7348">
                        <c:v>51.027777777781012</c:v>
                      </c:pt>
                      <c:pt idx="7349">
                        <c:v>51.034722222218988</c:v>
                      </c:pt>
                      <c:pt idx="7350">
                        <c:v>51.041666666664241</c:v>
                      </c:pt>
                      <c:pt idx="7351">
                        <c:v>51.048611111109494</c:v>
                      </c:pt>
                      <c:pt idx="7352">
                        <c:v>51.055555555554747</c:v>
                      </c:pt>
                      <c:pt idx="7353">
                        <c:v>51.0625</c:v>
                      </c:pt>
                      <c:pt idx="7354">
                        <c:v>51.069444444445253</c:v>
                      </c:pt>
                      <c:pt idx="7355">
                        <c:v>51.076388888890506</c:v>
                      </c:pt>
                      <c:pt idx="7356">
                        <c:v>51.083333333335759</c:v>
                      </c:pt>
                      <c:pt idx="7357">
                        <c:v>51.090277777781012</c:v>
                      </c:pt>
                      <c:pt idx="7358">
                        <c:v>51.097222222218988</c:v>
                      </c:pt>
                      <c:pt idx="7359">
                        <c:v>51.104166666664241</c:v>
                      </c:pt>
                      <c:pt idx="7360">
                        <c:v>51.111111111109494</c:v>
                      </c:pt>
                      <c:pt idx="7361">
                        <c:v>51.118055555554747</c:v>
                      </c:pt>
                      <c:pt idx="7362">
                        <c:v>51.125</c:v>
                      </c:pt>
                      <c:pt idx="7363">
                        <c:v>51.131944444445253</c:v>
                      </c:pt>
                      <c:pt idx="7364">
                        <c:v>51.138888888890506</c:v>
                      </c:pt>
                      <c:pt idx="7365">
                        <c:v>51.145833333335759</c:v>
                      </c:pt>
                      <c:pt idx="7366">
                        <c:v>51.152777777781012</c:v>
                      </c:pt>
                      <c:pt idx="7367">
                        <c:v>51.159722222218988</c:v>
                      </c:pt>
                      <c:pt idx="7368">
                        <c:v>51.166666666664241</c:v>
                      </c:pt>
                      <c:pt idx="7369">
                        <c:v>51.173611111109494</c:v>
                      </c:pt>
                      <c:pt idx="7370">
                        <c:v>51.180555555554747</c:v>
                      </c:pt>
                      <c:pt idx="7371">
                        <c:v>51.1875</c:v>
                      </c:pt>
                      <c:pt idx="7372">
                        <c:v>51.194444444445253</c:v>
                      </c:pt>
                      <c:pt idx="7373">
                        <c:v>51.201388888890506</c:v>
                      </c:pt>
                      <c:pt idx="7374">
                        <c:v>51.208333333335759</c:v>
                      </c:pt>
                      <c:pt idx="7375">
                        <c:v>51.215277777781012</c:v>
                      </c:pt>
                      <c:pt idx="7376">
                        <c:v>51.222222222218988</c:v>
                      </c:pt>
                      <c:pt idx="7377">
                        <c:v>51.229166666664241</c:v>
                      </c:pt>
                      <c:pt idx="7378">
                        <c:v>51.236111111109494</c:v>
                      </c:pt>
                      <c:pt idx="7379">
                        <c:v>51.243055555554747</c:v>
                      </c:pt>
                      <c:pt idx="7380">
                        <c:v>51.25</c:v>
                      </c:pt>
                      <c:pt idx="7381">
                        <c:v>51.256944444445253</c:v>
                      </c:pt>
                      <c:pt idx="7382">
                        <c:v>51.263888888890506</c:v>
                      </c:pt>
                      <c:pt idx="7383">
                        <c:v>51.270833333335759</c:v>
                      </c:pt>
                      <c:pt idx="7384">
                        <c:v>51.277777777781012</c:v>
                      </c:pt>
                      <c:pt idx="7385">
                        <c:v>51.284722222218988</c:v>
                      </c:pt>
                      <c:pt idx="7386">
                        <c:v>51.291666666664241</c:v>
                      </c:pt>
                      <c:pt idx="7387">
                        <c:v>51.298611111109494</c:v>
                      </c:pt>
                      <c:pt idx="7388">
                        <c:v>51.305555555554747</c:v>
                      </c:pt>
                      <c:pt idx="7389">
                        <c:v>51.3125</c:v>
                      </c:pt>
                      <c:pt idx="7390">
                        <c:v>51.319444444445253</c:v>
                      </c:pt>
                      <c:pt idx="7391">
                        <c:v>51.326388888890506</c:v>
                      </c:pt>
                      <c:pt idx="7392">
                        <c:v>51.333333333335759</c:v>
                      </c:pt>
                      <c:pt idx="7393">
                        <c:v>51.340277777781012</c:v>
                      </c:pt>
                      <c:pt idx="7394">
                        <c:v>51.347222222218988</c:v>
                      </c:pt>
                      <c:pt idx="7395">
                        <c:v>51.354166666664241</c:v>
                      </c:pt>
                      <c:pt idx="7396">
                        <c:v>51.361111111109494</c:v>
                      </c:pt>
                      <c:pt idx="7397">
                        <c:v>51.368055555554747</c:v>
                      </c:pt>
                      <c:pt idx="7398">
                        <c:v>51.375</c:v>
                      </c:pt>
                      <c:pt idx="7399">
                        <c:v>51.381944444445253</c:v>
                      </c:pt>
                      <c:pt idx="7400">
                        <c:v>51.388888888890506</c:v>
                      </c:pt>
                      <c:pt idx="7401">
                        <c:v>51.395833333335759</c:v>
                      </c:pt>
                      <c:pt idx="7402">
                        <c:v>51.402777777781012</c:v>
                      </c:pt>
                      <c:pt idx="7403">
                        <c:v>51.409722222218988</c:v>
                      </c:pt>
                      <c:pt idx="7404">
                        <c:v>51.416666666664241</c:v>
                      </c:pt>
                      <c:pt idx="7405">
                        <c:v>51.423611111109494</c:v>
                      </c:pt>
                      <c:pt idx="7406">
                        <c:v>51.430555555554747</c:v>
                      </c:pt>
                      <c:pt idx="7407">
                        <c:v>51.4375</c:v>
                      </c:pt>
                      <c:pt idx="7408">
                        <c:v>51.444444444445253</c:v>
                      </c:pt>
                      <c:pt idx="7409">
                        <c:v>51.451388888890506</c:v>
                      </c:pt>
                      <c:pt idx="7410">
                        <c:v>51.458333333335759</c:v>
                      </c:pt>
                      <c:pt idx="7411">
                        <c:v>51.465277777781012</c:v>
                      </c:pt>
                      <c:pt idx="7412">
                        <c:v>51.472222222218988</c:v>
                      </c:pt>
                      <c:pt idx="7413">
                        <c:v>51.479166666664241</c:v>
                      </c:pt>
                      <c:pt idx="7414">
                        <c:v>51.486111111109494</c:v>
                      </c:pt>
                      <c:pt idx="7415">
                        <c:v>51.493055555554747</c:v>
                      </c:pt>
                      <c:pt idx="7416">
                        <c:v>51.5</c:v>
                      </c:pt>
                      <c:pt idx="7417">
                        <c:v>51.506944444445253</c:v>
                      </c:pt>
                      <c:pt idx="7418">
                        <c:v>51.513888888890506</c:v>
                      </c:pt>
                      <c:pt idx="7419">
                        <c:v>51.520833333335759</c:v>
                      </c:pt>
                      <c:pt idx="7420">
                        <c:v>51.527777777781012</c:v>
                      </c:pt>
                      <c:pt idx="7421">
                        <c:v>51.534722222218988</c:v>
                      </c:pt>
                      <c:pt idx="7422">
                        <c:v>51.541666666664241</c:v>
                      </c:pt>
                      <c:pt idx="7423">
                        <c:v>51.548611111109494</c:v>
                      </c:pt>
                      <c:pt idx="7424">
                        <c:v>51.555555555554747</c:v>
                      </c:pt>
                      <c:pt idx="7425">
                        <c:v>51.5625</c:v>
                      </c:pt>
                      <c:pt idx="7426">
                        <c:v>51.569444444445253</c:v>
                      </c:pt>
                      <c:pt idx="7427">
                        <c:v>51.576388888890506</c:v>
                      </c:pt>
                      <c:pt idx="7428">
                        <c:v>51.583333333335759</c:v>
                      </c:pt>
                      <c:pt idx="7429">
                        <c:v>51.590277777781012</c:v>
                      </c:pt>
                      <c:pt idx="7430">
                        <c:v>51.597222222218988</c:v>
                      </c:pt>
                      <c:pt idx="7431">
                        <c:v>51.604166666664241</c:v>
                      </c:pt>
                      <c:pt idx="7432">
                        <c:v>51.611111111109494</c:v>
                      </c:pt>
                      <c:pt idx="7433">
                        <c:v>51.618055555554747</c:v>
                      </c:pt>
                      <c:pt idx="7434">
                        <c:v>51.625</c:v>
                      </c:pt>
                      <c:pt idx="7435">
                        <c:v>51.631944444445253</c:v>
                      </c:pt>
                      <c:pt idx="7436">
                        <c:v>51.638888888890506</c:v>
                      </c:pt>
                      <c:pt idx="7437">
                        <c:v>51.645833333335759</c:v>
                      </c:pt>
                      <c:pt idx="7438">
                        <c:v>51.652777777781012</c:v>
                      </c:pt>
                      <c:pt idx="7439">
                        <c:v>51.659722222218988</c:v>
                      </c:pt>
                      <c:pt idx="7440">
                        <c:v>51.666666666664241</c:v>
                      </c:pt>
                      <c:pt idx="7441">
                        <c:v>51.673611111109494</c:v>
                      </c:pt>
                      <c:pt idx="7442">
                        <c:v>51.680555555554747</c:v>
                      </c:pt>
                      <c:pt idx="7443">
                        <c:v>51.6875</c:v>
                      </c:pt>
                      <c:pt idx="7444">
                        <c:v>51.694444444445253</c:v>
                      </c:pt>
                      <c:pt idx="7445">
                        <c:v>51.701388888890506</c:v>
                      </c:pt>
                      <c:pt idx="7446">
                        <c:v>51.708333333335759</c:v>
                      </c:pt>
                      <c:pt idx="7447">
                        <c:v>51.715277777781012</c:v>
                      </c:pt>
                      <c:pt idx="7448">
                        <c:v>51.722222222218988</c:v>
                      </c:pt>
                      <c:pt idx="7449">
                        <c:v>51.729166666664241</c:v>
                      </c:pt>
                      <c:pt idx="7450">
                        <c:v>51.736111111109494</c:v>
                      </c:pt>
                      <c:pt idx="7451">
                        <c:v>51.743055555554747</c:v>
                      </c:pt>
                      <c:pt idx="7452">
                        <c:v>51.75</c:v>
                      </c:pt>
                      <c:pt idx="7453">
                        <c:v>51.756944444445253</c:v>
                      </c:pt>
                      <c:pt idx="7454">
                        <c:v>51.763888888890506</c:v>
                      </c:pt>
                      <c:pt idx="7455">
                        <c:v>51.770833333335759</c:v>
                      </c:pt>
                      <c:pt idx="7456">
                        <c:v>51.777777777781012</c:v>
                      </c:pt>
                      <c:pt idx="7457">
                        <c:v>51.784722222218988</c:v>
                      </c:pt>
                      <c:pt idx="7458">
                        <c:v>51.791666666664241</c:v>
                      </c:pt>
                      <c:pt idx="7459">
                        <c:v>51.798611111109494</c:v>
                      </c:pt>
                      <c:pt idx="7460">
                        <c:v>51.805555555554747</c:v>
                      </c:pt>
                      <c:pt idx="7461">
                        <c:v>51.8125</c:v>
                      </c:pt>
                      <c:pt idx="7462">
                        <c:v>51.819444444445253</c:v>
                      </c:pt>
                      <c:pt idx="7463">
                        <c:v>51.826388888890506</c:v>
                      </c:pt>
                      <c:pt idx="7464">
                        <c:v>51.833333333335759</c:v>
                      </c:pt>
                      <c:pt idx="7465">
                        <c:v>51.840277777781012</c:v>
                      </c:pt>
                      <c:pt idx="7466">
                        <c:v>51.847222222218988</c:v>
                      </c:pt>
                      <c:pt idx="7467">
                        <c:v>51.854166666664241</c:v>
                      </c:pt>
                      <c:pt idx="7468">
                        <c:v>51.861111111109494</c:v>
                      </c:pt>
                      <c:pt idx="7469">
                        <c:v>51.868055555554747</c:v>
                      </c:pt>
                      <c:pt idx="7470">
                        <c:v>51.875</c:v>
                      </c:pt>
                      <c:pt idx="7471">
                        <c:v>51.881944444445253</c:v>
                      </c:pt>
                      <c:pt idx="7472">
                        <c:v>51.888888888890506</c:v>
                      </c:pt>
                      <c:pt idx="7473">
                        <c:v>51.895833333335759</c:v>
                      </c:pt>
                      <c:pt idx="7474">
                        <c:v>51.902777777781012</c:v>
                      </c:pt>
                      <c:pt idx="7475">
                        <c:v>51.909722222218988</c:v>
                      </c:pt>
                      <c:pt idx="7476">
                        <c:v>51.916666666664241</c:v>
                      </c:pt>
                      <c:pt idx="7477">
                        <c:v>51.923611111109494</c:v>
                      </c:pt>
                      <c:pt idx="7478">
                        <c:v>51.930555555554747</c:v>
                      </c:pt>
                      <c:pt idx="7479">
                        <c:v>51.9375</c:v>
                      </c:pt>
                      <c:pt idx="7480">
                        <c:v>51.944444444445253</c:v>
                      </c:pt>
                      <c:pt idx="7481">
                        <c:v>51.951388888890506</c:v>
                      </c:pt>
                      <c:pt idx="7482">
                        <c:v>51.958333333335759</c:v>
                      </c:pt>
                      <c:pt idx="7483">
                        <c:v>51.965277777781012</c:v>
                      </c:pt>
                      <c:pt idx="7484">
                        <c:v>51.972222222218988</c:v>
                      </c:pt>
                      <c:pt idx="7485">
                        <c:v>51.979166666664241</c:v>
                      </c:pt>
                      <c:pt idx="7486">
                        <c:v>51.986111111109494</c:v>
                      </c:pt>
                      <c:pt idx="7487">
                        <c:v>51.993055555554747</c:v>
                      </c:pt>
                      <c:pt idx="7488">
                        <c:v>52</c:v>
                      </c:pt>
                      <c:pt idx="7489">
                        <c:v>52.006944444445253</c:v>
                      </c:pt>
                      <c:pt idx="7490">
                        <c:v>52.013888888890506</c:v>
                      </c:pt>
                      <c:pt idx="7491">
                        <c:v>52.020833333335759</c:v>
                      </c:pt>
                      <c:pt idx="7492">
                        <c:v>52.027777777781012</c:v>
                      </c:pt>
                      <c:pt idx="7493">
                        <c:v>52.034722222218988</c:v>
                      </c:pt>
                      <c:pt idx="7494">
                        <c:v>52.041666666664241</c:v>
                      </c:pt>
                      <c:pt idx="7495">
                        <c:v>52.048611111109494</c:v>
                      </c:pt>
                      <c:pt idx="7496">
                        <c:v>52.055555555554747</c:v>
                      </c:pt>
                      <c:pt idx="7497">
                        <c:v>52.0625</c:v>
                      </c:pt>
                      <c:pt idx="7498">
                        <c:v>52.069444444445253</c:v>
                      </c:pt>
                      <c:pt idx="7499">
                        <c:v>52.076388888890506</c:v>
                      </c:pt>
                      <c:pt idx="7500">
                        <c:v>52.083333333335759</c:v>
                      </c:pt>
                      <c:pt idx="7501">
                        <c:v>52.090277777781012</c:v>
                      </c:pt>
                      <c:pt idx="7502">
                        <c:v>52.097222222218988</c:v>
                      </c:pt>
                      <c:pt idx="7503">
                        <c:v>52.104166666664241</c:v>
                      </c:pt>
                      <c:pt idx="7504">
                        <c:v>52.111111111109494</c:v>
                      </c:pt>
                      <c:pt idx="7505">
                        <c:v>52.118055555554747</c:v>
                      </c:pt>
                      <c:pt idx="7506">
                        <c:v>52.125</c:v>
                      </c:pt>
                      <c:pt idx="7507">
                        <c:v>52.131944444445253</c:v>
                      </c:pt>
                      <c:pt idx="7508">
                        <c:v>52.138888888890506</c:v>
                      </c:pt>
                      <c:pt idx="7509">
                        <c:v>52.145833333335759</c:v>
                      </c:pt>
                      <c:pt idx="7510">
                        <c:v>52.152777777781012</c:v>
                      </c:pt>
                      <c:pt idx="7511">
                        <c:v>52.159722222218988</c:v>
                      </c:pt>
                      <c:pt idx="7512">
                        <c:v>52.166666666664241</c:v>
                      </c:pt>
                      <c:pt idx="7513">
                        <c:v>52.173611111109494</c:v>
                      </c:pt>
                      <c:pt idx="7514">
                        <c:v>52.180555555554747</c:v>
                      </c:pt>
                      <c:pt idx="7515">
                        <c:v>52.1875</c:v>
                      </c:pt>
                      <c:pt idx="7516">
                        <c:v>52.194444444445253</c:v>
                      </c:pt>
                      <c:pt idx="7517">
                        <c:v>52.201388888890506</c:v>
                      </c:pt>
                      <c:pt idx="7518">
                        <c:v>52.208333333335759</c:v>
                      </c:pt>
                      <c:pt idx="7519">
                        <c:v>52.215277777781012</c:v>
                      </c:pt>
                      <c:pt idx="7520">
                        <c:v>52.222222222218988</c:v>
                      </c:pt>
                      <c:pt idx="7521">
                        <c:v>52.229166666664241</c:v>
                      </c:pt>
                      <c:pt idx="7522">
                        <c:v>52.236111111109494</c:v>
                      </c:pt>
                      <c:pt idx="7523">
                        <c:v>52.243055555554747</c:v>
                      </c:pt>
                      <c:pt idx="7524">
                        <c:v>52.25</c:v>
                      </c:pt>
                      <c:pt idx="7525">
                        <c:v>52.256944444445253</c:v>
                      </c:pt>
                      <c:pt idx="7526">
                        <c:v>52.263888888890506</c:v>
                      </c:pt>
                      <c:pt idx="7527">
                        <c:v>52.270833333335759</c:v>
                      </c:pt>
                      <c:pt idx="7528">
                        <c:v>52.277777777781012</c:v>
                      </c:pt>
                      <c:pt idx="7529">
                        <c:v>52.284722222218988</c:v>
                      </c:pt>
                      <c:pt idx="7530">
                        <c:v>52.291666666664241</c:v>
                      </c:pt>
                      <c:pt idx="7531">
                        <c:v>52.298611111109494</c:v>
                      </c:pt>
                      <c:pt idx="7532">
                        <c:v>52.305555555554747</c:v>
                      </c:pt>
                      <c:pt idx="7533">
                        <c:v>52.3125</c:v>
                      </c:pt>
                      <c:pt idx="7534">
                        <c:v>52.319444444445253</c:v>
                      </c:pt>
                      <c:pt idx="7535">
                        <c:v>52.326388888890506</c:v>
                      </c:pt>
                      <c:pt idx="7536">
                        <c:v>52.333333333335759</c:v>
                      </c:pt>
                      <c:pt idx="7537">
                        <c:v>52.340277777781012</c:v>
                      </c:pt>
                      <c:pt idx="7538">
                        <c:v>52.347222222218988</c:v>
                      </c:pt>
                      <c:pt idx="7539">
                        <c:v>52.354166666664241</c:v>
                      </c:pt>
                      <c:pt idx="7540">
                        <c:v>52.361111111109494</c:v>
                      </c:pt>
                      <c:pt idx="7541">
                        <c:v>52.368055555554747</c:v>
                      </c:pt>
                      <c:pt idx="7542">
                        <c:v>52.375</c:v>
                      </c:pt>
                      <c:pt idx="7543">
                        <c:v>52.381944444445253</c:v>
                      </c:pt>
                      <c:pt idx="7544">
                        <c:v>52.388888888890506</c:v>
                      </c:pt>
                      <c:pt idx="7545">
                        <c:v>52.395833333335759</c:v>
                      </c:pt>
                      <c:pt idx="7546">
                        <c:v>52.402777777781012</c:v>
                      </c:pt>
                      <c:pt idx="7547">
                        <c:v>52.409722222218988</c:v>
                      </c:pt>
                      <c:pt idx="7548">
                        <c:v>52.416666666664241</c:v>
                      </c:pt>
                      <c:pt idx="7549">
                        <c:v>52.423611111109494</c:v>
                      </c:pt>
                      <c:pt idx="7550">
                        <c:v>52.430555555554747</c:v>
                      </c:pt>
                      <c:pt idx="7551">
                        <c:v>52.4375</c:v>
                      </c:pt>
                      <c:pt idx="7552">
                        <c:v>52.444444444445253</c:v>
                      </c:pt>
                      <c:pt idx="7553">
                        <c:v>52.451388888890506</c:v>
                      </c:pt>
                      <c:pt idx="7554">
                        <c:v>52.458333333335759</c:v>
                      </c:pt>
                      <c:pt idx="7555">
                        <c:v>52.465277777781012</c:v>
                      </c:pt>
                      <c:pt idx="7556">
                        <c:v>52.472222222218988</c:v>
                      </c:pt>
                      <c:pt idx="7557">
                        <c:v>52.479166666664241</c:v>
                      </c:pt>
                      <c:pt idx="7558">
                        <c:v>52.486111111109494</c:v>
                      </c:pt>
                      <c:pt idx="7559">
                        <c:v>52.493055555554747</c:v>
                      </c:pt>
                      <c:pt idx="7560">
                        <c:v>52.5</c:v>
                      </c:pt>
                      <c:pt idx="7561">
                        <c:v>52.506944444445253</c:v>
                      </c:pt>
                      <c:pt idx="7562">
                        <c:v>52.513888888890506</c:v>
                      </c:pt>
                      <c:pt idx="7563">
                        <c:v>52.520833333335759</c:v>
                      </c:pt>
                      <c:pt idx="7564">
                        <c:v>52.527777777781012</c:v>
                      </c:pt>
                      <c:pt idx="7565">
                        <c:v>52.534722222218988</c:v>
                      </c:pt>
                      <c:pt idx="7566">
                        <c:v>52.541666666664241</c:v>
                      </c:pt>
                      <c:pt idx="7567">
                        <c:v>52.548611111109494</c:v>
                      </c:pt>
                      <c:pt idx="7568">
                        <c:v>52.555555555554747</c:v>
                      </c:pt>
                      <c:pt idx="7569">
                        <c:v>52.5625</c:v>
                      </c:pt>
                      <c:pt idx="7570">
                        <c:v>52.569444444445253</c:v>
                      </c:pt>
                      <c:pt idx="7571">
                        <c:v>52.576388888890506</c:v>
                      </c:pt>
                      <c:pt idx="7572">
                        <c:v>52.583333333335759</c:v>
                      </c:pt>
                      <c:pt idx="7573">
                        <c:v>52.590277777781012</c:v>
                      </c:pt>
                      <c:pt idx="7574">
                        <c:v>52.597222222218988</c:v>
                      </c:pt>
                      <c:pt idx="7575">
                        <c:v>52.604166666664241</c:v>
                      </c:pt>
                      <c:pt idx="7576">
                        <c:v>52.611111111109494</c:v>
                      </c:pt>
                      <c:pt idx="7577">
                        <c:v>52.618055555554747</c:v>
                      </c:pt>
                      <c:pt idx="7578">
                        <c:v>52.625</c:v>
                      </c:pt>
                      <c:pt idx="7579">
                        <c:v>52.631944444445253</c:v>
                      </c:pt>
                      <c:pt idx="7580">
                        <c:v>52.638888888890506</c:v>
                      </c:pt>
                      <c:pt idx="7581">
                        <c:v>52.645833333335759</c:v>
                      </c:pt>
                      <c:pt idx="7582">
                        <c:v>52.652777777781012</c:v>
                      </c:pt>
                      <c:pt idx="7583">
                        <c:v>52.659722222218988</c:v>
                      </c:pt>
                      <c:pt idx="7584">
                        <c:v>52.666666666664241</c:v>
                      </c:pt>
                      <c:pt idx="7585">
                        <c:v>52.673611111109494</c:v>
                      </c:pt>
                      <c:pt idx="7586">
                        <c:v>52.680555555554747</c:v>
                      </c:pt>
                      <c:pt idx="7587">
                        <c:v>52.6875</c:v>
                      </c:pt>
                      <c:pt idx="7588">
                        <c:v>52.694444444445253</c:v>
                      </c:pt>
                      <c:pt idx="7589">
                        <c:v>52.701388888890506</c:v>
                      </c:pt>
                      <c:pt idx="7590">
                        <c:v>52.708333333335759</c:v>
                      </c:pt>
                      <c:pt idx="7591">
                        <c:v>52.715277777781012</c:v>
                      </c:pt>
                      <c:pt idx="7592">
                        <c:v>52.722222222218988</c:v>
                      </c:pt>
                      <c:pt idx="7593">
                        <c:v>52.729166666664241</c:v>
                      </c:pt>
                      <c:pt idx="7594">
                        <c:v>52.736111111109494</c:v>
                      </c:pt>
                      <c:pt idx="7595">
                        <c:v>52.743055555554747</c:v>
                      </c:pt>
                      <c:pt idx="7596">
                        <c:v>52.75</c:v>
                      </c:pt>
                      <c:pt idx="7597">
                        <c:v>52.756944444445253</c:v>
                      </c:pt>
                      <c:pt idx="7598">
                        <c:v>52.763888888890506</c:v>
                      </c:pt>
                      <c:pt idx="7599">
                        <c:v>52.770833333335759</c:v>
                      </c:pt>
                      <c:pt idx="7600">
                        <c:v>52.777777777781012</c:v>
                      </c:pt>
                      <c:pt idx="7601">
                        <c:v>52.784722222218988</c:v>
                      </c:pt>
                      <c:pt idx="7602">
                        <c:v>52.791666666664241</c:v>
                      </c:pt>
                      <c:pt idx="7603">
                        <c:v>52.798611111109494</c:v>
                      </c:pt>
                      <c:pt idx="7604">
                        <c:v>52.805555555554747</c:v>
                      </c:pt>
                      <c:pt idx="7605">
                        <c:v>52.8125</c:v>
                      </c:pt>
                      <c:pt idx="7606">
                        <c:v>52.819444444445253</c:v>
                      </c:pt>
                      <c:pt idx="7607">
                        <c:v>52.826388888890506</c:v>
                      </c:pt>
                      <c:pt idx="7608">
                        <c:v>52.833333333335759</c:v>
                      </c:pt>
                      <c:pt idx="7609">
                        <c:v>52.840277777781012</c:v>
                      </c:pt>
                      <c:pt idx="7610">
                        <c:v>52.847222222218988</c:v>
                      </c:pt>
                      <c:pt idx="7611">
                        <c:v>52.854166666664241</c:v>
                      </c:pt>
                      <c:pt idx="7612">
                        <c:v>52.861111111109494</c:v>
                      </c:pt>
                      <c:pt idx="7613">
                        <c:v>52.868055555554747</c:v>
                      </c:pt>
                      <c:pt idx="7614">
                        <c:v>52.875</c:v>
                      </c:pt>
                      <c:pt idx="7615">
                        <c:v>52.881944444445253</c:v>
                      </c:pt>
                      <c:pt idx="7616">
                        <c:v>52.888888888890506</c:v>
                      </c:pt>
                      <c:pt idx="7617">
                        <c:v>52.895833333335759</c:v>
                      </c:pt>
                      <c:pt idx="7618">
                        <c:v>52.902777777781012</c:v>
                      </c:pt>
                      <c:pt idx="7619">
                        <c:v>52.909722222218988</c:v>
                      </c:pt>
                      <c:pt idx="7620">
                        <c:v>52.916666666664241</c:v>
                      </c:pt>
                      <c:pt idx="7621">
                        <c:v>52.923611111109494</c:v>
                      </c:pt>
                      <c:pt idx="7622">
                        <c:v>52.930555555554747</c:v>
                      </c:pt>
                      <c:pt idx="7623">
                        <c:v>52.9375</c:v>
                      </c:pt>
                      <c:pt idx="7624">
                        <c:v>52.944444444445253</c:v>
                      </c:pt>
                      <c:pt idx="7625">
                        <c:v>52.951388888890506</c:v>
                      </c:pt>
                      <c:pt idx="7626">
                        <c:v>52.958333333335759</c:v>
                      </c:pt>
                      <c:pt idx="7627">
                        <c:v>52.965277777781012</c:v>
                      </c:pt>
                      <c:pt idx="7628">
                        <c:v>52.972222222218988</c:v>
                      </c:pt>
                      <c:pt idx="7629">
                        <c:v>52.979166666664241</c:v>
                      </c:pt>
                      <c:pt idx="7630">
                        <c:v>52.986111111109494</c:v>
                      </c:pt>
                      <c:pt idx="7631">
                        <c:v>52.993055555554747</c:v>
                      </c:pt>
                      <c:pt idx="7632">
                        <c:v>53</c:v>
                      </c:pt>
                      <c:pt idx="7633">
                        <c:v>53.006944444445253</c:v>
                      </c:pt>
                      <c:pt idx="7634">
                        <c:v>53.013888888890506</c:v>
                      </c:pt>
                      <c:pt idx="7635">
                        <c:v>53.020833333335759</c:v>
                      </c:pt>
                      <c:pt idx="7636">
                        <c:v>53.027777777781012</c:v>
                      </c:pt>
                      <c:pt idx="7637">
                        <c:v>53.034722222218988</c:v>
                      </c:pt>
                      <c:pt idx="7638">
                        <c:v>53.041666666664241</c:v>
                      </c:pt>
                      <c:pt idx="7639">
                        <c:v>53.048611111109494</c:v>
                      </c:pt>
                      <c:pt idx="7640">
                        <c:v>53.055555555554747</c:v>
                      </c:pt>
                      <c:pt idx="7641">
                        <c:v>53.0625</c:v>
                      </c:pt>
                      <c:pt idx="7642">
                        <c:v>53.069444444445253</c:v>
                      </c:pt>
                      <c:pt idx="7643">
                        <c:v>53.076388888890506</c:v>
                      </c:pt>
                      <c:pt idx="7644">
                        <c:v>53.083333333335759</c:v>
                      </c:pt>
                      <c:pt idx="7645">
                        <c:v>53.090277777781012</c:v>
                      </c:pt>
                      <c:pt idx="7646">
                        <c:v>53.097222222218988</c:v>
                      </c:pt>
                      <c:pt idx="7647">
                        <c:v>53.104166666664241</c:v>
                      </c:pt>
                      <c:pt idx="7648">
                        <c:v>53.111111111109494</c:v>
                      </c:pt>
                      <c:pt idx="7649">
                        <c:v>53.118055555554747</c:v>
                      </c:pt>
                      <c:pt idx="7650">
                        <c:v>53.125</c:v>
                      </c:pt>
                      <c:pt idx="7651">
                        <c:v>53.131944444445253</c:v>
                      </c:pt>
                      <c:pt idx="7652">
                        <c:v>53.138888888890506</c:v>
                      </c:pt>
                      <c:pt idx="7653">
                        <c:v>53.145833333335759</c:v>
                      </c:pt>
                      <c:pt idx="7654">
                        <c:v>53.152777777781012</c:v>
                      </c:pt>
                      <c:pt idx="7655">
                        <c:v>53.159722222218988</c:v>
                      </c:pt>
                      <c:pt idx="7656">
                        <c:v>53.166666666664241</c:v>
                      </c:pt>
                      <c:pt idx="7657">
                        <c:v>53.173611111109494</c:v>
                      </c:pt>
                      <c:pt idx="7658">
                        <c:v>53.180555555554747</c:v>
                      </c:pt>
                      <c:pt idx="7659">
                        <c:v>53.1875</c:v>
                      </c:pt>
                      <c:pt idx="7660">
                        <c:v>53.194444444445253</c:v>
                      </c:pt>
                      <c:pt idx="7661">
                        <c:v>53.201388888890506</c:v>
                      </c:pt>
                      <c:pt idx="7662">
                        <c:v>53.208333333335759</c:v>
                      </c:pt>
                      <c:pt idx="7663">
                        <c:v>53.215277777781012</c:v>
                      </c:pt>
                      <c:pt idx="7664">
                        <c:v>53.222222222218988</c:v>
                      </c:pt>
                      <c:pt idx="7665">
                        <c:v>53.229166666664241</c:v>
                      </c:pt>
                      <c:pt idx="7666">
                        <c:v>53.236111111109494</c:v>
                      </c:pt>
                      <c:pt idx="7667">
                        <c:v>53.243055555554747</c:v>
                      </c:pt>
                      <c:pt idx="7668">
                        <c:v>53.25</c:v>
                      </c:pt>
                      <c:pt idx="7669">
                        <c:v>53.256944444445253</c:v>
                      </c:pt>
                      <c:pt idx="7670">
                        <c:v>53.263888888890506</c:v>
                      </c:pt>
                      <c:pt idx="7671">
                        <c:v>53.270833333335759</c:v>
                      </c:pt>
                      <c:pt idx="7672">
                        <c:v>53.277777777781012</c:v>
                      </c:pt>
                      <c:pt idx="7673">
                        <c:v>53.284722222218988</c:v>
                      </c:pt>
                      <c:pt idx="7674">
                        <c:v>53.291666666664241</c:v>
                      </c:pt>
                      <c:pt idx="7675">
                        <c:v>53.298611111109494</c:v>
                      </c:pt>
                      <c:pt idx="7676">
                        <c:v>53.305555555554747</c:v>
                      </c:pt>
                      <c:pt idx="7677">
                        <c:v>53.3125</c:v>
                      </c:pt>
                      <c:pt idx="7678">
                        <c:v>53.319444444445253</c:v>
                      </c:pt>
                      <c:pt idx="7679">
                        <c:v>53.326388888890506</c:v>
                      </c:pt>
                      <c:pt idx="7680">
                        <c:v>53.333333333335759</c:v>
                      </c:pt>
                      <c:pt idx="7681">
                        <c:v>53.340277777781012</c:v>
                      </c:pt>
                      <c:pt idx="7682">
                        <c:v>53.347222222218988</c:v>
                      </c:pt>
                      <c:pt idx="7683">
                        <c:v>53.354166666664241</c:v>
                      </c:pt>
                      <c:pt idx="7684">
                        <c:v>53.361111111109494</c:v>
                      </c:pt>
                      <c:pt idx="7685">
                        <c:v>53.368055555554747</c:v>
                      </c:pt>
                      <c:pt idx="7686">
                        <c:v>53.375</c:v>
                      </c:pt>
                      <c:pt idx="7687">
                        <c:v>53.381944444445253</c:v>
                      </c:pt>
                      <c:pt idx="7688">
                        <c:v>53.388888888890506</c:v>
                      </c:pt>
                      <c:pt idx="7689">
                        <c:v>53.395833333335759</c:v>
                      </c:pt>
                      <c:pt idx="7690">
                        <c:v>53.402777777781012</c:v>
                      </c:pt>
                      <c:pt idx="7691">
                        <c:v>53.409722222218988</c:v>
                      </c:pt>
                      <c:pt idx="7692">
                        <c:v>53.416666666664241</c:v>
                      </c:pt>
                      <c:pt idx="7693">
                        <c:v>53.423611111109494</c:v>
                      </c:pt>
                      <c:pt idx="7694">
                        <c:v>53.430555555554747</c:v>
                      </c:pt>
                      <c:pt idx="7695">
                        <c:v>53.4375</c:v>
                      </c:pt>
                      <c:pt idx="7696">
                        <c:v>53.444444444445253</c:v>
                      </c:pt>
                      <c:pt idx="7697">
                        <c:v>53.451388888890506</c:v>
                      </c:pt>
                      <c:pt idx="7698">
                        <c:v>53.458333333335759</c:v>
                      </c:pt>
                      <c:pt idx="7699">
                        <c:v>53.465277777781012</c:v>
                      </c:pt>
                      <c:pt idx="7700">
                        <c:v>53.472222222218988</c:v>
                      </c:pt>
                      <c:pt idx="7701">
                        <c:v>53.479166666664241</c:v>
                      </c:pt>
                      <c:pt idx="7702">
                        <c:v>53.486111111109494</c:v>
                      </c:pt>
                      <c:pt idx="7703">
                        <c:v>53.493055555554747</c:v>
                      </c:pt>
                      <c:pt idx="7704">
                        <c:v>53.5</c:v>
                      </c:pt>
                      <c:pt idx="7705">
                        <c:v>53.506944444445253</c:v>
                      </c:pt>
                      <c:pt idx="7706">
                        <c:v>53.513888888890506</c:v>
                      </c:pt>
                      <c:pt idx="7707">
                        <c:v>53.520833333335759</c:v>
                      </c:pt>
                      <c:pt idx="7708">
                        <c:v>53.527777777781012</c:v>
                      </c:pt>
                      <c:pt idx="7709">
                        <c:v>53.534722222218988</c:v>
                      </c:pt>
                      <c:pt idx="7710">
                        <c:v>53.541666666664241</c:v>
                      </c:pt>
                      <c:pt idx="7711">
                        <c:v>53.548611111109494</c:v>
                      </c:pt>
                      <c:pt idx="7712">
                        <c:v>53.555555555554747</c:v>
                      </c:pt>
                      <c:pt idx="7713">
                        <c:v>53.5625</c:v>
                      </c:pt>
                      <c:pt idx="7714">
                        <c:v>53.569444444445253</c:v>
                      </c:pt>
                      <c:pt idx="7715">
                        <c:v>53.576388888890506</c:v>
                      </c:pt>
                      <c:pt idx="7716">
                        <c:v>53.583333333335759</c:v>
                      </c:pt>
                      <c:pt idx="7717">
                        <c:v>53.590277777781012</c:v>
                      </c:pt>
                      <c:pt idx="7718">
                        <c:v>53.597222222218988</c:v>
                      </c:pt>
                      <c:pt idx="7719">
                        <c:v>53.604166666664241</c:v>
                      </c:pt>
                      <c:pt idx="7720">
                        <c:v>53.611111111109494</c:v>
                      </c:pt>
                      <c:pt idx="7721">
                        <c:v>53.618055555554747</c:v>
                      </c:pt>
                      <c:pt idx="7722">
                        <c:v>53.625</c:v>
                      </c:pt>
                      <c:pt idx="7723">
                        <c:v>53.631944444445253</c:v>
                      </c:pt>
                      <c:pt idx="7724">
                        <c:v>53.638888888890506</c:v>
                      </c:pt>
                      <c:pt idx="7725">
                        <c:v>53.645833333335759</c:v>
                      </c:pt>
                      <c:pt idx="7726">
                        <c:v>53.652777777781012</c:v>
                      </c:pt>
                      <c:pt idx="7727">
                        <c:v>53.659722222218988</c:v>
                      </c:pt>
                      <c:pt idx="7728">
                        <c:v>53.666666666664241</c:v>
                      </c:pt>
                      <c:pt idx="7729">
                        <c:v>53.673611111109494</c:v>
                      </c:pt>
                      <c:pt idx="7730">
                        <c:v>53.680555555554747</c:v>
                      </c:pt>
                      <c:pt idx="7731">
                        <c:v>53.6875</c:v>
                      </c:pt>
                      <c:pt idx="7732">
                        <c:v>53.694444444445253</c:v>
                      </c:pt>
                      <c:pt idx="7733">
                        <c:v>53.701388888890506</c:v>
                      </c:pt>
                      <c:pt idx="7734">
                        <c:v>53.708333333335759</c:v>
                      </c:pt>
                      <c:pt idx="7735">
                        <c:v>53.715277777781012</c:v>
                      </c:pt>
                      <c:pt idx="7736">
                        <c:v>53.722222222218988</c:v>
                      </c:pt>
                      <c:pt idx="7737">
                        <c:v>53.729166666664241</c:v>
                      </c:pt>
                      <c:pt idx="7738">
                        <c:v>53.736111111109494</c:v>
                      </c:pt>
                      <c:pt idx="7739">
                        <c:v>53.743055555554747</c:v>
                      </c:pt>
                      <c:pt idx="7740">
                        <c:v>53.75</c:v>
                      </c:pt>
                      <c:pt idx="7741">
                        <c:v>53.756944444445253</c:v>
                      </c:pt>
                      <c:pt idx="7742">
                        <c:v>53.763888888890506</c:v>
                      </c:pt>
                      <c:pt idx="7743">
                        <c:v>53.770833333335759</c:v>
                      </c:pt>
                      <c:pt idx="7744">
                        <c:v>53.777777777781012</c:v>
                      </c:pt>
                      <c:pt idx="7745">
                        <c:v>53.784722222218988</c:v>
                      </c:pt>
                      <c:pt idx="7746">
                        <c:v>53.791666666664241</c:v>
                      </c:pt>
                      <c:pt idx="7747">
                        <c:v>53.798611111109494</c:v>
                      </c:pt>
                      <c:pt idx="7748">
                        <c:v>53.805555555554747</c:v>
                      </c:pt>
                      <c:pt idx="7749">
                        <c:v>53.8125</c:v>
                      </c:pt>
                      <c:pt idx="7750">
                        <c:v>53.819444444445253</c:v>
                      </c:pt>
                      <c:pt idx="7751">
                        <c:v>53.826388888890506</c:v>
                      </c:pt>
                      <c:pt idx="7752">
                        <c:v>53.833333333335759</c:v>
                      </c:pt>
                      <c:pt idx="7753">
                        <c:v>53.840277777781012</c:v>
                      </c:pt>
                      <c:pt idx="7754">
                        <c:v>53.847222222218988</c:v>
                      </c:pt>
                      <c:pt idx="7755">
                        <c:v>53.854166666664241</c:v>
                      </c:pt>
                      <c:pt idx="7756">
                        <c:v>53.861111111109494</c:v>
                      </c:pt>
                      <c:pt idx="7757">
                        <c:v>53.868055555554747</c:v>
                      </c:pt>
                      <c:pt idx="7758">
                        <c:v>53.875</c:v>
                      </c:pt>
                      <c:pt idx="7759">
                        <c:v>53.881944444445253</c:v>
                      </c:pt>
                      <c:pt idx="7760">
                        <c:v>53.888888888890506</c:v>
                      </c:pt>
                      <c:pt idx="7761">
                        <c:v>53.895833333335759</c:v>
                      </c:pt>
                      <c:pt idx="7762">
                        <c:v>53.902777777781012</c:v>
                      </c:pt>
                      <c:pt idx="7763">
                        <c:v>53.909722222218988</c:v>
                      </c:pt>
                      <c:pt idx="7764">
                        <c:v>53.916666666664241</c:v>
                      </c:pt>
                      <c:pt idx="7765">
                        <c:v>53.923611111109494</c:v>
                      </c:pt>
                      <c:pt idx="7766">
                        <c:v>53.930555555554747</c:v>
                      </c:pt>
                      <c:pt idx="7767">
                        <c:v>53.9375</c:v>
                      </c:pt>
                      <c:pt idx="7768">
                        <c:v>53.944444444445253</c:v>
                      </c:pt>
                      <c:pt idx="7769">
                        <c:v>53.951388888890506</c:v>
                      </c:pt>
                      <c:pt idx="7770">
                        <c:v>53.958333333335759</c:v>
                      </c:pt>
                      <c:pt idx="7771">
                        <c:v>53.965277777781012</c:v>
                      </c:pt>
                      <c:pt idx="7772">
                        <c:v>53.972222222218988</c:v>
                      </c:pt>
                      <c:pt idx="7773">
                        <c:v>53.979166666664241</c:v>
                      </c:pt>
                      <c:pt idx="7774">
                        <c:v>53.986111111109494</c:v>
                      </c:pt>
                      <c:pt idx="7775">
                        <c:v>53.993055555554747</c:v>
                      </c:pt>
                      <c:pt idx="7776">
                        <c:v>54</c:v>
                      </c:pt>
                      <c:pt idx="7777">
                        <c:v>54.006944444445253</c:v>
                      </c:pt>
                      <c:pt idx="7778">
                        <c:v>54.013888888890506</c:v>
                      </c:pt>
                      <c:pt idx="7779">
                        <c:v>54.020833333335759</c:v>
                      </c:pt>
                      <c:pt idx="7780">
                        <c:v>54.027777777781012</c:v>
                      </c:pt>
                      <c:pt idx="7781">
                        <c:v>54.034722222218988</c:v>
                      </c:pt>
                      <c:pt idx="7782">
                        <c:v>54.041666666664241</c:v>
                      </c:pt>
                      <c:pt idx="7783">
                        <c:v>54.048611111109494</c:v>
                      </c:pt>
                      <c:pt idx="7784">
                        <c:v>54.055555555554747</c:v>
                      </c:pt>
                      <c:pt idx="7785">
                        <c:v>54.0625</c:v>
                      </c:pt>
                      <c:pt idx="7786">
                        <c:v>54.069444444445253</c:v>
                      </c:pt>
                      <c:pt idx="7787">
                        <c:v>54.076388888890506</c:v>
                      </c:pt>
                      <c:pt idx="7788">
                        <c:v>54.083333333335759</c:v>
                      </c:pt>
                      <c:pt idx="7789">
                        <c:v>54.090277777781012</c:v>
                      </c:pt>
                      <c:pt idx="7790">
                        <c:v>54.097222222218988</c:v>
                      </c:pt>
                      <c:pt idx="7791">
                        <c:v>54.104166666664241</c:v>
                      </c:pt>
                      <c:pt idx="7792">
                        <c:v>54.111111111109494</c:v>
                      </c:pt>
                      <c:pt idx="7793">
                        <c:v>54.118055555554747</c:v>
                      </c:pt>
                      <c:pt idx="7794">
                        <c:v>54.125</c:v>
                      </c:pt>
                      <c:pt idx="7795">
                        <c:v>54.131944444445253</c:v>
                      </c:pt>
                      <c:pt idx="7796">
                        <c:v>54.138888888890506</c:v>
                      </c:pt>
                      <c:pt idx="7797">
                        <c:v>54.145833333335759</c:v>
                      </c:pt>
                      <c:pt idx="7798">
                        <c:v>54.152777777781012</c:v>
                      </c:pt>
                      <c:pt idx="7799">
                        <c:v>54.159722222218988</c:v>
                      </c:pt>
                      <c:pt idx="7800">
                        <c:v>54.166666666664241</c:v>
                      </c:pt>
                      <c:pt idx="7801">
                        <c:v>54.173611111109494</c:v>
                      </c:pt>
                      <c:pt idx="7802">
                        <c:v>54.180555555554747</c:v>
                      </c:pt>
                      <c:pt idx="7803">
                        <c:v>54.1875</c:v>
                      </c:pt>
                      <c:pt idx="7804">
                        <c:v>54.194444444445253</c:v>
                      </c:pt>
                      <c:pt idx="7805">
                        <c:v>54.201388888890506</c:v>
                      </c:pt>
                      <c:pt idx="7806">
                        <c:v>54.208333333335759</c:v>
                      </c:pt>
                      <c:pt idx="7807">
                        <c:v>54.215277777781012</c:v>
                      </c:pt>
                      <c:pt idx="7808">
                        <c:v>54.222222222218988</c:v>
                      </c:pt>
                      <c:pt idx="7809">
                        <c:v>54.229166666664241</c:v>
                      </c:pt>
                      <c:pt idx="7810">
                        <c:v>54.236111111109494</c:v>
                      </c:pt>
                      <c:pt idx="7811">
                        <c:v>54.243055555554747</c:v>
                      </c:pt>
                      <c:pt idx="7812">
                        <c:v>54.25</c:v>
                      </c:pt>
                      <c:pt idx="7813">
                        <c:v>54.256944444445253</c:v>
                      </c:pt>
                      <c:pt idx="7814">
                        <c:v>54.263888888890506</c:v>
                      </c:pt>
                      <c:pt idx="7815">
                        <c:v>54.270833333335759</c:v>
                      </c:pt>
                      <c:pt idx="7816">
                        <c:v>54.277777777781012</c:v>
                      </c:pt>
                      <c:pt idx="7817">
                        <c:v>54.284722222218988</c:v>
                      </c:pt>
                      <c:pt idx="7818">
                        <c:v>54.291666666664241</c:v>
                      </c:pt>
                      <c:pt idx="7819">
                        <c:v>54.298611111109494</c:v>
                      </c:pt>
                      <c:pt idx="7820">
                        <c:v>54.305555555554747</c:v>
                      </c:pt>
                      <c:pt idx="7821">
                        <c:v>54.3125</c:v>
                      </c:pt>
                      <c:pt idx="7822">
                        <c:v>54.319444444445253</c:v>
                      </c:pt>
                      <c:pt idx="7823">
                        <c:v>54.326388888890506</c:v>
                      </c:pt>
                      <c:pt idx="7824">
                        <c:v>54.333333333335759</c:v>
                      </c:pt>
                      <c:pt idx="7825">
                        <c:v>54.340277777781012</c:v>
                      </c:pt>
                      <c:pt idx="7826">
                        <c:v>54.347222222218988</c:v>
                      </c:pt>
                      <c:pt idx="7827">
                        <c:v>54.354166666664241</c:v>
                      </c:pt>
                      <c:pt idx="7828">
                        <c:v>54.361111111109494</c:v>
                      </c:pt>
                      <c:pt idx="7829">
                        <c:v>54.368055555554747</c:v>
                      </c:pt>
                      <c:pt idx="7830">
                        <c:v>54.375</c:v>
                      </c:pt>
                      <c:pt idx="7831">
                        <c:v>54.381944444445253</c:v>
                      </c:pt>
                      <c:pt idx="7832">
                        <c:v>54.388888888890506</c:v>
                      </c:pt>
                      <c:pt idx="7833">
                        <c:v>54.395833333335759</c:v>
                      </c:pt>
                      <c:pt idx="7834">
                        <c:v>54.402777777781012</c:v>
                      </c:pt>
                      <c:pt idx="7835">
                        <c:v>54.409722222218988</c:v>
                      </c:pt>
                      <c:pt idx="7836">
                        <c:v>54.416666666664241</c:v>
                      </c:pt>
                      <c:pt idx="7837">
                        <c:v>54.423611111109494</c:v>
                      </c:pt>
                      <c:pt idx="7838">
                        <c:v>54.430555555554747</c:v>
                      </c:pt>
                      <c:pt idx="7839">
                        <c:v>54.4375</c:v>
                      </c:pt>
                      <c:pt idx="7840">
                        <c:v>54.444444444445253</c:v>
                      </c:pt>
                      <c:pt idx="7841">
                        <c:v>54.451388888890506</c:v>
                      </c:pt>
                      <c:pt idx="7842">
                        <c:v>54.458333333335759</c:v>
                      </c:pt>
                      <c:pt idx="7843">
                        <c:v>54.465277777781012</c:v>
                      </c:pt>
                      <c:pt idx="7844">
                        <c:v>54.472222222218988</c:v>
                      </c:pt>
                      <c:pt idx="7845">
                        <c:v>54.479166666664241</c:v>
                      </c:pt>
                      <c:pt idx="7846">
                        <c:v>54.486111111109494</c:v>
                      </c:pt>
                      <c:pt idx="7847">
                        <c:v>54.493055555554747</c:v>
                      </c:pt>
                      <c:pt idx="7848">
                        <c:v>54.5</c:v>
                      </c:pt>
                      <c:pt idx="7849">
                        <c:v>54.506944444445253</c:v>
                      </c:pt>
                      <c:pt idx="7850">
                        <c:v>54.513888888890506</c:v>
                      </c:pt>
                      <c:pt idx="7851">
                        <c:v>54.520833333335759</c:v>
                      </c:pt>
                      <c:pt idx="7852">
                        <c:v>54.527777777781012</c:v>
                      </c:pt>
                      <c:pt idx="7853">
                        <c:v>54.534722222218988</c:v>
                      </c:pt>
                      <c:pt idx="7854">
                        <c:v>54.541666666664241</c:v>
                      </c:pt>
                      <c:pt idx="7855">
                        <c:v>54.548611111109494</c:v>
                      </c:pt>
                      <c:pt idx="7856">
                        <c:v>54.555555555554747</c:v>
                      </c:pt>
                      <c:pt idx="7857">
                        <c:v>54.5625</c:v>
                      </c:pt>
                      <c:pt idx="7858">
                        <c:v>54.569444444445253</c:v>
                      </c:pt>
                      <c:pt idx="7859">
                        <c:v>54.576388888890506</c:v>
                      </c:pt>
                      <c:pt idx="7860">
                        <c:v>54.583333333335759</c:v>
                      </c:pt>
                      <c:pt idx="7861">
                        <c:v>54.590277777781012</c:v>
                      </c:pt>
                      <c:pt idx="7862">
                        <c:v>54.597222222218988</c:v>
                      </c:pt>
                      <c:pt idx="7863">
                        <c:v>54.604166666664241</c:v>
                      </c:pt>
                      <c:pt idx="7864">
                        <c:v>54.611111111109494</c:v>
                      </c:pt>
                      <c:pt idx="7865">
                        <c:v>54.618055555554747</c:v>
                      </c:pt>
                      <c:pt idx="7866">
                        <c:v>54.625</c:v>
                      </c:pt>
                      <c:pt idx="7867">
                        <c:v>54.631944444445253</c:v>
                      </c:pt>
                      <c:pt idx="7868">
                        <c:v>54.638888888890506</c:v>
                      </c:pt>
                      <c:pt idx="7869">
                        <c:v>54.645833333335759</c:v>
                      </c:pt>
                      <c:pt idx="7870">
                        <c:v>54.652777777781012</c:v>
                      </c:pt>
                      <c:pt idx="7871">
                        <c:v>54.659722222218988</c:v>
                      </c:pt>
                      <c:pt idx="7872">
                        <c:v>54.666666666664241</c:v>
                      </c:pt>
                      <c:pt idx="7873">
                        <c:v>54.673611111109494</c:v>
                      </c:pt>
                      <c:pt idx="7874">
                        <c:v>54.680555555554747</c:v>
                      </c:pt>
                      <c:pt idx="7875">
                        <c:v>54.6875</c:v>
                      </c:pt>
                      <c:pt idx="7876">
                        <c:v>54.694444444445253</c:v>
                      </c:pt>
                      <c:pt idx="7877">
                        <c:v>54.701388888890506</c:v>
                      </c:pt>
                      <c:pt idx="7878">
                        <c:v>54.708333333335759</c:v>
                      </c:pt>
                      <c:pt idx="7879">
                        <c:v>54.715277777781012</c:v>
                      </c:pt>
                      <c:pt idx="7880">
                        <c:v>54.722222222218988</c:v>
                      </c:pt>
                      <c:pt idx="7881">
                        <c:v>54.729166666664241</c:v>
                      </c:pt>
                      <c:pt idx="7882">
                        <c:v>54.736111111109494</c:v>
                      </c:pt>
                      <c:pt idx="7883">
                        <c:v>54.743055555554747</c:v>
                      </c:pt>
                      <c:pt idx="7884">
                        <c:v>54.75</c:v>
                      </c:pt>
                      <c:pt idx="7885">
                        <c:v>54.756944444445253</c:v>
                      </c:pt>
                      <c:pt idx="7886">
                        <c:v>54.763888888890506</c:v>
                      </c:pt>
                      <c:pt idx="7887">
                        <c:v>54.770833333335759</c:v>
                      </c:pt>
                      <c:pt idx="7888">
                        <c:v>54.777777777781012</c:v>
                      </c:pt>
                      <c:pt idx="7889">
                        <c:v>54.784722222218988</c:v>
                      </c:pt>
                      <c:pt idx="7890">
                        <c:v>54.791666666664241</c:v>
                      </c:pt>
                      <c:pt idx="7891">
                        <c:v>54.798611111109494</c:v>
                      </c:pt>
                      <c:pt idx="7892">
                        <c:v>54.805555555554747</c:v>
                      </c:pt>
                      <c:pt idx="7893">
                        <c:v>54.8125</c:v>
                      </c:pt>
                      <c:pt idx="7894">
                        <c:v>54.819444444445253</c:v>
                      </c:pt>
                      <c:pt idx="7895">
                        <c:v>54.826388888890506</c:v>
                      </c:pt>
                      <c:pt idx="7896">
                        <c:v>54.833333333335759</c:v>
                      </c:pt>
                      <c:pt idx="7897">
                        <c:v>54.840277777781012</c:v>
                      </c:pt>
                      <c:pt idx="7898">
                        <c:v>54.847222222218988</c:v>
                      </c:pt>
                      <c:pt idx="7899">
                        <c:v>54.854166666664241</c:v>
                      </c:pt>
                      <c:pt idx="7900">
                        <c:v>54.861111111109494</c:v>
                      </c:pt>
                      <c:pt idx="7901">
                        <c:v>54.868055555554747</c:v>
                      </c:pt>
                      <c:pt idx="7902">
                        <c:v>54.875</c:v>
                      </c:pt>
                      <c:pt idx="7903">
                        <c:v>54.881944444445253</c:v>
                      </c:pt>
                      <c:pt idx="7904">
                        <c:v>54.888888888890506</c:v>
                      </c:pt>
                      <c:pt idx="7905">
                        <c:v>54.895833333335759</c:v>
                      </c:pt>
                      <c:pt idx="7906">
                        <c:v>54.902777777781012</c:v>
                      </c:pt>
                      <c:pt idx="7907">
                        <c:v>54.909722222218988</c:v>
                      </c:pt>
                      <c:pt idx="7908">
                        <c:v>54.916666666664241</c:v>
                      </c:pt>
                      <c:pt idx="7909">
                        <c:v>54.923611111109494</c:v>
                      </c:pt>
                      <c:pt idx="7910">
                        <c:v>54.930555555554747</c:v>
                      </c:pt>
                      <c:pt idx="7911">
                        <c:v>54.9375</c:v>
                      </c:pt>
                      <c:pt idx="7912">
                        <c:v>54.944444444445253</c:v>
                      </c:pt>
                      <c:pt idx="7913">
                        <c:v>54.951388888890506</c:v>
                      </c:pt>
                      <c:pt idx="7914">
                        <c:v>54.958333333335759</c:v>
                      </c:pt>
                      <c:pt idx="7915">
                        <c:v>54.965277777781012</c:v>
                      </c:pt>
                      <c:pt idx="7916">
                        <c:v>54.972222222218988</c:v>
                      </c:pt>
                      <c:pt idx="7917">
                        <c:v>54.979166666664241</c:v>
                      </c:pt>
                      <c:pt idx="7918">
                        <c:v>54.986111111109494</c:v>
                      </c:pt>
                      <c:pt idx="7919">
                        <c:v>54.993055555554747</c:v>
                      </c:pt>
                      <c:pt idx="7920">
                        <c:v>55</c:v>
                      </c:pt>
                      <c:pt idx="7921">
                        <c:v>55.006944444445253</c:v>
                      </c:pt>
                      <c:pt idx="7922">
                        <c:v>55.013888888890506</c:v>
                      </c:pt>
                      <c:pt idx="7923">
                        <c:v>55.020833333335759</c:v>
                      </c:pt>
                      <c:pt idx="7924">
                        <c:v>55.027777777781012</c:v>
                      </c:pt>
                      <c:pt idx="7925">
                        <c:v>55.034722222218988</c:v>
                      </c:pt>
                      <c:pt idx="7926">
                        <c:v>55.041666666664241</c:v>
                      </c:pt>
                      <c:pt idx="7927">
                        <c:v>55.048611111109494</c:v>
                      </c:pt>
                      <c:pt idx="7928">
                        <c:v>55.055555555554747</c:v>
                      </c:pt>
                      <c:pt idx="7929">
                        <c:v>55.0625</c:v>
                      </c:pt>
                      <c:pt idx="7930">
                        <c:v>55.069444444445253</c:v>
                      </c:pt>
                      <c:pt idx="7931">
                        <c:v>55.076388888890506</c:v>
                      </c:pt>
                      <c:pt idx="7932">
                        <c:v>55.083333333335759</c:v>
                      </c:pt>
                      <c:pt idx="7933">
                        <c:v>55.090277777781012</c:v>
                      </c:pt>
                      <c:pt idx="7934">
                        <c:v>55.097222222218988</c:v>
                      </c:pt>
                      <c:pt idx="7935">
                        <c:v>55.104166666664241</c:v>
                      </c:pt>
                      <c:pt idx="7936">
                        <c:v>55.111111111109494</c:v>
                      </c:pt>
                      <c:pt idx="7937">
                        <c:v>55.118055555554747</c:v>
                      </c:pt>
                      <c:pt idx="7938">
                        <c:v>55.125</c:v>
                      </c:pt>
                      <c:pt idx="7939">
                        <c:v>55.131944444445253</c:v>
                      </c:pt>
                      <c:pt idx="7940">
                        <c:v>55.138888888890506</c:v>
                      </c:pt>
                      <c:pt idx="7941">
                        <c:v>55.145833333335759</c:v>
                      </c:pt>
                      <c:pt idx="7942">
                        <c:v>55.152777777781012</c:v>
                      </c:pt>
                      <c:pt idx="7943">
                        <c:v>55.159722222218988</c:v>
                      </c:pt>
                      <c:pt idx="7944">
                        <c:v>55.166666666664241</c:v>
                      </c:pt>
                      <c:pt idx="7945">
                        <c:v>55.173611111109494</c:v>
                      </c:pt>
                      <c:pt idx="7946">
                        <c:v>55.180555555554747</c:v>
                      </c:pt>
                      <c:pt idx="7947">
                        <c:v>55.1875</c:v>
                      </c:pt>
                      <c:pt idx="7948">
                        <c:v>55.194444444445253</c:v>
                      </c:pt>
                      <c:pt idx="7949">
                        <c:v>55.201388888890506</c:v>
                      </c:pt>
                      <c:pt idx="7950">
                        <c:v>55.208333333335759</c:v>
                      </c:pt>
                      <c:pt idx="7951">
                        <c:v>55.215277777781012</c:v>
                      </c:pt>
                      <c:pt idx="7952">
                        <c:v>55.222222222218988</c:v>
                      </c:pt>
                      <c:pt idx="7953">
                        <c:v>55.229166666664241</c:v>
                      </c:pt>
                      <c:pt idx="7954">
                        <c:v>55.236111111109494</c:v>
                      </c:pt>
                      <c:pt idx="7955">
                        <c:v>55.243055555554747</c:v>
                      </c:pt>
                      <c:pt idx="7956">
                        <c:v>55.25</c:v>
                      </c:pt>
                      <c:pt idx="7957">
                        <c:v>55.256944444445253</c:v>
                      </c:pt>
                      <c:pt idx="7958">
                        <c:v>55.263888888890506</c:v>
                      </c:pt>
                      <c:pt idx="7959">
                        <c:v>55.270833333335759</c:v>
                      </c:pt>
                      <c:pt idx="7960">
                        <c:v>55.277777777781012</c:v>
                      </c:pt>
                      <c:pt idx="7961">
                        <c:v>55.284722222218988</c:v>
                      </c:pt>
                      <c:pt idx="7962">
                        <c:v>55.291666666664241</c:v>
                      </c:pt>
                      <c:pt idx="7963">
                        <c:v>55.298611111109494</c:v>
                      </c:pt>
                      <c:pt idx="7964">
                        <c:v>55.305555555554747</c:v>
                      </c:pt>
                      <c:pt idx="7965">
                        <c:v>55.3125</c:v>
                      </c:pt>
                      <c:pt idx="7966">
                        <c:v>55.319444444445253</c:v>
                      </c:pt>
                      <c:pt idx="7967">
                        <c:v>55.326388888890506</c:v>
                      </c:pt>
                      <c:pt idx="7968">
                        <c:v>55.333333333335759</c:v>
                      </c:pt>
                      <c:pt idx="7969">
                        <c:v>55.340277777781012</c:v>
                      </c:pt>
                      <c:pt idx="7970">
                        <c:v>55.347222222218988</c:v>
                      </c:pt>
                      <c:pt idx="7971">
                        <c:v>55.354166666664241</c:v>
                      </c:pt>
                      <c:pt idx="7972">
                        <c:v>55.361111111109494</c:v>
                      </c:pt>
                      <c:pt idx="7973">
                        <c:v>55.368055555554747</c:v>
                      </c:pt>
                      <c:pt idx="7974">
                        <c:v>55.375</c:v>
                      </c:pt>
                      <c:pt idx="7975">
                        <c:v>55.381944444445253</c:v>
                      </c:pt>
                      <c:pt idx="7976">
                        <c:v>55.388888888890506</c:v>
                      </c:pt>
                      <c:pt idx="7977">
                        <c:v>55.395833333335759</c:v>
                      </c:pt>
                      <c:pt idx="7978">
                        <c:v>55.402777777781012</c:v>
                      </c:pt>
                      <c:pt idx="7979">
                        <c:v>55.409722222218988</c:v>
                      </c:pt>
                      <c:pt idx="7980">
                        <c:v>55.416666666664241</c:v>
                      </c:pt>
                      <c:pt idx="7981">
                        <c:v>55.423611111109494</c:v>
                      </c:pt>
                      <c:pt idx="7982">
                        <c:v>55.430555555554747</c:v>
                      </c:pt>
                      <c:pt idx="7983">
                        <c:v>55.4375</c:v>
                      </c:pt>
                      <c:pt idx="7984">
                        <c:v>55.444444444445253</c:v>
                      </c:pt>
                      <c:pt idx="7985">
                        <c:v>55.451388888890506</c:v>
                      </c:pt>
                      <c:pt idx="7986">
                        <c:v>55.458333333335759</c:v>
                      </c:pt>
                      <c:pt idx="7987">
                        <c:v>55.465277777781012</c:v>
                      </c:pt>
                      <c:pt idx="7988">
                        <c:v>55.472222222218988</c:v>
                      </c:pt>
                      <c:pt idx="7989">
                        <c:v>55.479166666664241</c:v>
                      </c:pt>
                      <c:pt idx="7990">
                        <c:v>55.486111111109494</c:v>
                      </c:pt>
                      <c:pt idx="7991">
                        <c:v>55.493055555554747</c:v>
                      </c:pt>
                      <c:pt idx="7992">
                        <c:v>55.5</c:v>
                      </c:pt>
                      <c:pt idx="7993">
                        <c:v>55.506944444445253</c:v>
                      </c:pt>
                      <c:pt idx="7994">
                        <c:v>55.513888888890506</c:v>
                      </c:pt>
                      <c:pt idx="7995">
                        <c:v>55.520833333335759</c:v>
                      </c:pt>
                      <c:pt idx="7996">
                        <c:v>55.527777777781012</c:v>
                      </c:pt>
                      <c:pt idx="7997">
                        <c:v>55.534722222218988</c:v>
                      </c:pt>
                      <c:pt idx="7998">
                        <c:v>55.541666666664241</c:v>
                      </c:pt>
                      <c:pt idx="7999">
                        <c:v>55.548611111109494</c:v>
                      </c:pt>
                      <c:pt idx="8000">
                        <c:v>55.555555555554747</c:v>
                      </c:pt>
                      <c:pt idx="8001">
                        <c:v>55.5625</c:v>
                      </c:pt>
                      <c:pt idx="8002">
                        <c:v>55.569444444445253</c:v>
                      </c:pt>
                      <c:pt idx="8003">
                        <c:v>55.576388888890506</c:v>
                      </c:pt>
                      <c:pt idx="8004">
                        <c:v>55.583333333335759</c:v>
                      </c:pt>
                      <c:pt idx="8005">
                        <c:v>55.590277777781012</c:v>
                      </c:pt>
                      <c:pt idx="8006">
                        <c:v>55.597222222218988</c:v>
                      </c:pt>
                      <c:pt idx="8007">
                        <c:v>55.604166666664241</c:v>
                      </c:pt>
                      <c:pt idx="8008">
                        <c:v>55.611111111109494</c:v>
                      </c:pt>
                      <c:pt idx="8009">
                        <c:v>55.618055555554747</c:v>
                      </c:pt>
                      <c:pt idx="8010">
                        <c:v>55.625</c:v>
                      </c:pt>
                      <c:pt idx="8011">
                        <c:v>55.631944444445253</c:v>
                      </c:pt>
                      <c:pt idx="8012">
                        <c:v>55.638888888890506</c:v>
                      </c:pt>
                      <c:pt idx="8013">
                        <c:v>55.645833333335759</c:v>
                      </c:pt>
                      <c:pt idx="8014">
                        <c:v>55.652777777781012</c:v>
                      </c:pt>
                      <c:pt idx="8015">
                        <c:v>55.659722222218988</c:v>
                      </c:pt>
                      <c:pt idx="8016">
                        <c:v>55.666666666664241</c:v>
                      </c:pt>
                      <c:pt idx="8017">
                        <c:v>55.673611111109494</c:v>
                      </c:pt>
                      <c:pt idx="8018">
                        <c:v>55.680555555554747</c:v>
                      </c:pt>
                      <c:pt idx="8019">
                        <c:v>55.6875</c:v>
                      </c:pt>
                      <c:pt idx="8020">
                        <c:v>55.694444444445253</c:v>
                      </c:pt>
                      <c:pt idx="8021">
                        <c:v>55.701388888890506</c:v>
                      </c:pt>
                      <c:pt idx="8022">
                        <c:v>55.708333333335759</c:v>
                      </c:pt>
                      <c:pt idx="8023">
                        <c:v>55.715277777781012</c:v>
                      </c:pt>
                      <c:pt idx="8024">
                        <c:v>55.722222222218988</c:v>
                      </c:pt>
                      <c:pt idx="8025">
                        <c:v>55.729166666664241</c:v>
                      </c:pt>
                      <c:pt idx="8026">
                        <c:v>55.736111111109494</c:v>
                      </c:pt>
                      <c:pt idx="8027">
                        <c:v>55.743055555554747</c:v>
                      </c:pt>
                      <c:pt idx="8028">
                        <c:v>55.75</c:v>
                      </c:pt>
                      <c:pt idx="8029">
                        <c:v>55.756944444445253</c:v>
                      </c:pt>
                      <c:pt idx="8030">
                        <c:v>55.763888888890506</c:v>
                      </c:pt>
                      <c:pt idx="8031">
                        <c:v>55.770833333335759</c:v>
                      </c:pt>
                      <c:pt idx="8032">
                        <c:v>55.777777777781012</c:v>
                      </c:pt>
                      <c:pt idx="8033">
                        <c:v>55.784722222218988</c:v>
                      </c:pt>
                      <c:pt idx="8034">
                        <c:v>55.791666666664241</c:v>
                      </c:pt>
                      <c:pt idx="8035">
                        <c:v>55.798611111109494</c:v>
                      </c:pt>
                      <c:pt idx="8036">
                        <c:v>55.805555555554747</c:v>
                      </c:pt>
                      <c:pt idx="8037">
                        <c:v>55.8125</c:v>
                      </c:pt>
                      <c:pt idx="8038">
                        <c:v>55.819444444445253</c:v>
                      </c:pt>
                      <c:pt idx="8039">
                        <c:v>55.826388888890506</c:v>
                      </c:pt>
                      <c:pt idx="8040">
                        <c:v>55.833333333335759</c:v>
                      </c:pt>
                      <c:pt idx="8041">
                        <c:v>55.840277777781012</c:v>
                      </c:pt>
                      <c:pt idx="8042">
                        <c:v>55.847222222218988</c:v>
                      </c:pt>
                      <c:pt idx="8043">
                        <c:v>55.854166666664241</c:v>
                      </c:pt>
                      <c:pt idx="8044">
                        <c:v>55.861111111109494</c:v>
                      </c:pt>
                      <c:pt idx="8045">
                        <c:v>55.868055555554747</c:v>
                      </c:pt>
                      <c:pt idx="8046">
                        <c:v>55.875</c:v>
                      </c:pt>
                      <c:pt idx="8047">
                        <c:v>55.881944444445253</c:v>
                      </c:pt>
                      <c:pt idx="8048">
                        <c:v>55.888888888890506</c:v>
                      </c:pt>
                      <c:pt idx="8049">
                        <c:v>55.895833333335759</c:v>
                      </c:pt>
                      <c:pt idx="8050">
                        <c:v>55.902777777781012</c:v>
                      </c:pt>
                      <c:pt idx="8051">
                        <c:v>55.909722222218988</c:v>
                      </c:pt>
                      <c:pt idx="8052">
                        <c:v>55.916666666664241</c:v>
                      </c:pt>
                      <c:pt idx="8053">
                        <c:v>55.923611111109494</c:v>
                      </c:pt>
                      <c:pt idx="8054">
                        <c:v>55.930555555554747</c:v>
                      </c:pt>
                      <c:pt idx="8055">
                        <c:v>55.9375</c:v>
                      </c:pt>
                      <c:pt idx="8056">
                        <c:v>55.944444444445253</c:v>
                      </c:pt>
                      <c:pt idx="8057">
                        <c:v>55.951388888890506</c:v>
                      </c:pt>
                      <c:pt idx="8058">
                        <c:v>55.958333333335759</c:v>
                      </c:pt>
                      <c:pt idx="8059">
                        <c:v>55.965277777781012</c:v>
                      </c:pt>
                      <c:pt idx="8060">
                        <c:v>55.972222222218988</c:v>
                      </c:pt>
                      <c:pt idx="8061">
                        <c:v>55.979166666664241</c:v>
                      </c:pt>
                      <c:pt idx="8062">
                        <c:v>55.986111111109494</c:v>
                      </c:pt>
                      <c:pt idx="8063">
                        <c:v>55.993055555554747</c:v>
                      </c:pt>
                      <c:pt idx="8064">
                        <c:v>56</c:v>
                      </c:pt>
                      <c:pt idx="8065">
                        <c:v>56.006944444445253</c:v>
                      </c:pt>
                      <c:pt idx="8066">
                        <c:v>56.013888888890506</c:v>
                      </c:pt>
                      <c:pt idx="8067">
                        <c:v>56.020833333335759</c:v>
                      </c:pt>
                      <c:pt idx="8068">
                        <c:v>56.027777777781012</c:v>
                      </c:pt>
                      <c:pt idx="8069">
                        <c:v>56.034722222218988</c:v>
                      </c:pt>
                      <c:pt idx="8070">
                        <c:v>56.041666666664241</c:v>
                      </c:pt>
                      <c:pt idx="8071">
                        <c:v>56.048611111109494</c:v>
                      </c:pt>
                      <c:pt idx="8072">
                        <c:v>56.055555555554747</c:v>
                      </c:pt>
                      <c:pt idx="8073">
                        <c:v>56.0625</c:v>
                      </c:pt>
                      <c:pt idx="8074">
                        <c:v>56.069444444445253</c:v>
                      </c:pt>
                      <c:pt idx="8075">
                        <c:v>56.076388888890506</c:v>
                      </c:pt>
                      <c:pt idx="8076">
                        <c:v>56.083333333335759</c:v>
                      </c:pt>
                      <c:pt idx="8077">
                        <c:v>56.090277777781012</c:v>
                      </c:pt>
                      <c:pt idx="8078">
                        <c:v>56.097222222218988</c:v>
                      </c:pt>
                      <c:pt idx="8079">
                        <c:v>56.104166666664241</c:v>
                      </c:pt>
                      <c:pt idx="8080">
                        <c:v>56.111111111109494</c:v>
                      </c:pt>
                      <c:pt idx="8081">
                        <c:v>56.118055555554747</c:v>
                      </c:pt>
                      <c:pt idx="8082">
                        <c:v>56.125</c:v>
                      </c:pt>
                      <c:pt idx="8083">
                        <c:v>56.131944444445253</c:v>
                      </c:pt>
                      <c:pt idx="8084">
                        <c:v>56.138888888890506</c:v>
                      </c:pt>
                      <c:pt idx="8085">
                        <c:v>56.145833333335759</c:v>
                      </c:pt>
                      <c:pt idx="8086">
                        <c:v>56.152777777781012</c:v>
                      </c:pt>
                      <c:pt idx="8087">
                        <c:v>56.159722222218988</c:v>
                      </c:pt>
                      <c:pt idx="8088">
                        <c:v>56.166666666664241</c:v>
                      </c:pt>
                      <c:pt idx="8089">
                        <c:v>56.173611111109494</c:v>
                      </c:pt>
                      <c:pt idx="8090">
                        <c:v>56.180555555554747</c:v>
                      </c:pt>
                      <c:pt idx="8091">
                        <c:v>56.1875</c:v>
                      </c:pt>
                      <c:pt idx="8092">
                        <c:v>56.194444444445253</c:v>
                      </c:pt>
                      <c:pt idx="8093">
                        <c:v>56.201388888890506</c:v>
                      </c:pt>
                      <c:pt idx="8094">
                        <c:v>56.208333333335759</c:v>
                      </c:pt>
                      <c:pt idx="8095">
                        <c:v>56.215277777781012</c:v>
                      </c:pt>
                      <c:pt idx="8096">
                        <c:v>56.222222222218988</c:v>
                      </c:pt>
                      <c:pt idx="8097">
                        <c:v>56.229166666664241</c:v>
                      </c:pt>
                      <c:pt idx="8098">
                        <c:v>56.236111111109494</c:v>
                      </c:pt>
                      <c:pt idx="8099">
                        <c:v>56.243055555554747</c:v>
                      </c:pt>
                      <c:pt idx="8100">
                        <c:v>56.25</c:v>
                      </c:pt>
                      <c:pt idx="8101">
                        <c:v>56.256944444445253</c:v>
                      </c:pt>
                      <c:pt idx="8102">
                        <c:v>56.263888888890506</c:v>
                      </c:pt>
                      <c:pt idx="8103">
                        <c:v>56.270833333335759</c:v>
                      </c:pt>
                      <c:pt idx="8104">
                        <c:v>56.277777777781012</c:v>
                      </c:pt>
                      <c:pt idx="8105">
                        <c:v>56.284722222218988</c:v>
                      </c:pt>
                      <c:pt idx="8106">
                        <c:v>56.291666666664241</c:v>
                      </c:pt>
                      <c:pt idx="8107">
                        <c:v>56.298611111109494</c:v>
                      </c:pt>
                      <c:pt idx="8108">
                        <c:v>56.305555555554747</c:v>
                      </c:pt>
                      <c:pt idx="8109">
                        <c:v>56.3125</c:v>
                      </c:pt>
                      <c:pt idx="8110">
                        <c:v>56.319444444445253</c:v>
                      </c:pt>
                      <c:pt idx="8111">
                        <c:v>56.326388888890506</c:v>
                      </c:pt>
                      <c:pt idx="8112">
                        <c:v>56.333333333335759</c:v>
                      </c:pt>
                      <c:pt idx="8113">
                        <c:v>56.340277777781012</c:v>
                      </c:pt>
                      <c:pt idx="8114">
                        <c:v>56.347222222218988</c:v>
                      </c:pt>
                      <c:pt idx="8115">
                        <c:v>56.354166666664241</c:v>
                      </c:pt>
                      <c:pt idx="8116">
                        <c:v>56.361111111109494</c:v>
                      </c:pt>
                      <c:pt idx="8117">
                        <c:v>56.368055555554747</c:v>
                      </c:pt>
                      <c:pt idx="8118">
                        <c:v>56.375</c:v>
                      </c:pt>
                      <c:pt idx="8119">
                        <c:v>56.381944444445253</c:v>
                      </c:pt>
                      <c:pt idx="8120">
                        <c:v>56.388888888890506</c:v>
                      </c:pt>
                      <c:pt idx="8121">
                        <c:v>56.395833333335759</c:v>
                      </c:pt>
                      <c:pt idx="8122">
                        <c:v>56.402777777781012</c:v>
                      </c:pt>
                      <c:pt idx="8123">
                        <c:v>56.409722222218988</c:v>
                      </c:pt>
                      <c:pt idx="8124">
                        <c:v>56.416666666664241</c:v>
                      </c:pt>
                      <c:pt idx="8125">
                        <c:v>56.423611111109494</c:v>
                      </c:pt>
                      <c:pt idx="8126">
                        <c:v>56.430555555554747</c:v>
                      </c:pt>
                      <c:pt idx="8127">
                        <c:v>56.4375</c:v>
                      </c:pt>
                      <c:pt idx="8128">
                        <c:v>56.444444444445253</c:v>
                      </c:pt>
                      <c:pt idx="8129">
                        <c:v>56.451388888890506</c:v>
                      </c:pt>
                      <c:pt idx="8130">
                        <c:v>56.458333333335759</c:v>
                      </c:pt>
                      <c:pt idx="8131">
                        <c:v>56.465277777781012</c:v>
                      </c:pt>
                      <c:pt idx="8132">
                        <c:v>56.472222222218988</c:v>
                      </c:pt>
                      <c:pt idx="8133">
                        <c:v>56.479166666664241</c:v>
                      </c:pt>
                      <c:pt idx="8134">
                        <c:v>56.486111111109494</c:v>
                      </c:pt>
                      <c:pt idx="8135">
                        <c:v>56.493055555554747</c:v>
                      </c:pt>
                      <c:pt idx="8136">
                        <c:v>56.5</c:v>
                      </c:pt>
                      <c:pt idx="8137">
                        <c:v>56.506944444445253</c:v>
                      </c:pt>
                      <c:pt idx="8138">
                        <c:v>56.513888888890506</c:v>
                      </c:pt>
                      <c:pt idx="8139">
                        <c:v>56.520833333335759</c:v>
                      </c:pt>
                      <c:pt idx="8140">
                        <c:v>56.527777777781012</c:v>
                      </c:pt>
                      <c:pt idx="8141">
                        <c:v>56.534722222218988</c:v>
                      </c:pt>
                      <c:pt idx="8142">
                        <c:v>56.541666666664241</c:v>
                      </c:pt>
                      <c:pt idx="8143">
                        <c:v>56.548611111109494</c:v>
                      </c:pt>
                      <c:pt idx="8144">
                        <c:v>56.555555555554747</c:v>
                      </c:pt>
                      <c:pt idx="8145">
                        <c:v>56.5625</c:v>
                      </c:pt>
                      <c:pt idx="8146">
                        <c:v>56.569444444445253</c:v>
                      </c:pt>
                      <c:pt idx="8147">
                        <c:v>56.576388888890506</c:v>
                      </c:pt>
                      <c:pt idx="8148">
                        <c:v>56.583333333335759</c:v>
                      </c:pt>
                      <c:pt idx="8149">
                        <c:v>56.590277777781012</c:v>
                      </c:pt>
                      <c:pt idx="8150">
                        <c:v>56.597222222218988</c:v>
                      </c:pt>
                      <c:pt idx="8151">
                        <c:v>56.604166666664241</c:v>
                      </c:pt>
                      <c:pt idx="8152">
                        <c:v>56.611111111109494</c:v>
                      </c:pt>
                      <c:pt idx="8153">
                        <c:v>56.618055555554747</c:v>
                      </c:pt>
                      <c:pt idx="8154">
                        <c:v>56.625</c:v>
                      </c:pt>
                      <c:pt idx="8155">
                        <c:v>56.631944444445253</c:v>
                      </c:pt>
                      <c:pt idx="8156">
                        <c:v>56.638888888890506</c:v>
                      </c:pt>
                      <c:pt idx="8157">
                        <c:v>56.645833333335759</c:v>
                      </c:pt>
                      <c:pt idx="8158">
                        <c:v>56.652777777781012</c:v>
                      </c:pt>
                      <c:pt idx="8159">
                        <c:v>56.659722222218988</c:v>
                      </c:pt>
                      <c:pt idx="8160">
                        <c:v>56.666666666664241</c:v>
                      </c:pt>
                      <c:pt idx="8161">
                        <c:v>56.673611111109494</c:v>
                      </c:pt>
                      <c:pt idx="8162">
                        <c:v>56.680555555554747</c:v>
                      </c:pt>
                      <c:pt idx="8163">
                        <c:v>56.6875</c:v>
                      </c:pt>
                      <c:pt idx="8164">
                        <c:v>56.694444444445253</c:v>
                      </c:pt>
                      <c:pt idx="8165">
                        <c:v>56.701388888890506</c:v>
                      </c:pt>
                      <c:pt idx="8166">
                        <c:v>56.708333333335759</c:v>
                      </c:pt>
                      <c:pt idx="8167">
                        <c:v>56.715277777781012</c:v>
                      </c:pt>
                      <c:pt idx="8168">
                        <c:v>56.722222222218988</c:v>
                      </c:pt>
                      <c:pt idx="8169">
                        <c:v>56.729166666664241</c:v>
                      </c:pt>
                      <c:pt idx="8170">
                        <c:v>56.736111111109494</c:v>
                      </c:pt>
                      <c:pt idx="8171">
                        <c:v>56.743055555554747</c:v>
                      </c:pt>
                      <c:pt idx="8172">
                        <c:v>56.75</c:v>
                      </c:pt>
                      <c:pt idx="8173">
                        <c:v>56.756944444445253</c:v>
                      </c:pt>
                      <c:pt idx="8174">
                        <c:v>56.763888888890506</c:v>
                      </c:pt>
                      <c:pt idx="8175">
                        <c:v>56.770833333335759</c:v>
                      </c:pt>
                      <c:pt idx="8176">
                        <c:v>56.777777777781012</c:v>
                      </c:pt>
                      <c:pt idx="8177">
                        <c:v>56.784722222218988</c:v>
                      </c:pt>
                      <c:pt idx="8178">
                        <c:v>56.791666666664241</c:v>
                      </c:pt>
                      <c:pt idx="8179">
                        <c:v>56.798611111109494</c:v>
                      </c:pt>
                      <c:pt idx="8180">
                        <c:v>56.805555555554747</c:v>
                      </c:pt>
                      <c:pt idx="8181">
                        <c:v>56.8125</c:v>
                      </c:pt>
                      <c:pt idx="8182">
                        <c:v>56.819444444445253</c:v>
                      </c:pt>
                      <c:pt idx="8183">
                        <c:v>56.826388888890506</c:v>
                      </c:pt>
                      <c:pt idx="8184">
                        <c:v>56.833333333335759</c:v>
                      </c:pt>
                      <c:pt idx="8185">
                        <c:v>56.840277777781012</c:v>
                      </c:pt>
                      <c:pt idx="8186">
                        <c:v>56.847222222218988</c:v>
                      </c:pt>
                      <c:pt idx="8187">
                        <c:v>56.854166666664241</c:v>
                      </c:pt>
                      <c:pt idx="8188">
                        <c:v>56.861111111109494</c:v>
                      </c:pt>
                      <c:pt idx="8189">
                        <c:v>56.868055555554747</c:v>
                      </c:pt>
                      <c:pt idx="8190">
                        <c:v>56.875</c:v>
                      </c:pt>
                      <c:pt idx="8191">
                        <c:v>56.881944444445253</c:v>
                      </c:pt>
                      <c:pt idx="8192">
                        <c:v>56.888888888890506</c:v>
                      </c:pt>
                      <c:pt idx="8193">
                        <c:v>56.895833333335759</c:v>
                      </c:pt>
                      <c:pt idx="8194">
                        <c:v>56.902777777781012</c:v>
                      </c:pt>
                      <c:pt idx="8195">
                        <c:v>56.909722222218988</c:v>
                      </c:pt>
                      <c:pt idx="8196">
                        <c:v>56.916666666664241</c:v>
                      </c:pt>
                      <c:pt idx="8197">
                        <c:v>56.923611111109494</c:v>
                      </c:pt>
                      <c:pt idx="8198">
                        <c:v>56.930555555554747</c:v>
                      </c:pt>
                      <c:pt idx="8199">
                        <c:v>56.9375</c:v>
                      </c:pt>
                      <c:pt idx="8200">
                        <c:v>56.944444444445253</c:v>
                      </c:pt>
                      <c:pt idx="8201">
                        <c:v>56.951388888890506</c:v>
                      </c:pt>
                      <c:pt idx="8202">
                        <c:v>56.958333333335759</c:v>
                      </c:pt>
                      <c:pt idx="8203">
                        <c:v>56.965277777781012</c:v>
                      </c:pt>
                      <c:pt idx="8204">
                        <c:v>56.972222222218988</c:v>
                      </c:pt>
                      <c:pt idx="8205">
                        <c:v>56.979166666664241</c:v>
                      </c:pt>
                      <c:pt idx="8206">
                        <c:v>56.986111111109494</c:v>
                      </c:pt>
                      <c:pt idx="8207">
                        <c:v>56.993055555554747</c:v>
                      </c:pt>
                      <c:pt idx="8208">
                        <c:v>57</c:v>
                      </c:pt>
                      <c:pt idx="8209">
                        <c:v>57.006944444445253</c:v>
                      </c:pt>
                      <c:pt idx="8210">
                        <c:v>57.013888888890506</c:v>
                      </c:pt>
                      <c:pt idx="8211">
                        <c:v>57.020833333335759</c:v>
                      </c:pt>
                      <c:pt idx="8212">
                        <c:v>57.027777777781012</c:v>
                      </c:pt>
                      <c:pt idx="8213">
                        <c:v>57.034722222218988</c:v>
                      </c:pt>
                      <c:pt idx="8214">
                        <c:v>57.041666666664241</c:v>
                      </c:pt>
                      <c:pt idx="8215">
                        <c:v>57.048611111109494</c:v>
                      </c:pt>
                      <c:pt idx="8216">
                        <c:v>57.055555555554747</c:v>
                      </c:pt>
                      <c:pt idx="8217">
                        <c:v>57.0625</c:v>
                      </c:pt>
                      <c:pt idx="8218">
                        <c:v>57.069444444445253</c:v>
                      </c:pt>
                      <c:pt idx="8219">
                        <c:v>57.076388888890506</c:v>
                      </c:pt>
                      <c:pt idx="8220">
                        <c:v>57.083333333335759</c:v>
                      </c:pt>
                      <c:pt idx="8221">
                        <c:v>57.090277777781012</c:v>
                      </c:pt>
                      <c:pt idx="8222">
                        <c:v>57.097222222218988</c:v>
                      </c:pt>
                      <c:pt idx="8223">
                        <c:v>57.104166666664241</c:v>
                      </c:pt>
                      <c:pt idx="8224">
                        <c:v>57.111111111109494</c:v>
                      </c:pt>
                      <c:pt idx="8225">
                        <c:v>57.118055555554747</c:v>
                      </c:pt>
                      <c:pt idx="8226">
                        <c:v>57.125</c:v>
                      </c:pt>
                      <c:pt idx="8227">
                        <c:v>57.131944444445253</c:v>
                      </c:pt>
                      <c:pt idx="8228">
                        <c:v>57.138888888890506</c:v>
                      </c:pt>
                      <c:pt idx="8229">
                        <c:v>57.145833333335759</c:v>
                      </c:pt>
                      <c:pt idx="8230">
                        <c:v>57.152777777781012</c:v>
                      </c:pt>
                      <c:pt idx="8231">
                        <c:v>57.159722222218988</c:v>
                      </c:pt>
                      <c:pt idx="8232">
                        <c:v>57.166666666664241</c:v>
                      </c:pt>
                      <c:pt idx="8233">
                        <c:v>57.173611111109494</c:v>
                      </c:pt>
                      <c:pt idx="8234">
                        <c:v>57.180555555554747</c:v>
                      </c:pt>
                      <c:pt idx="8235">
                        <c:v>57.1875</c:v>
                      </c:pt>
                      <c:pt idx="8236">
                        <c:v>57.194444444445253</c:v>
                      </c:pt>
                      <c:pt idx="8237">
                        <c:v>57.201388888890506</c:v>
                      </c:pt>
                      <c:pt idx="8238">
                        <c:v>57.208333333335759</c:v>
                      </c:pt>
                      <c:pt idx="8239">
                        <c:v>57.215277777781012</c:v>
                      </c:pt>
                      <c:pt idx="8240">
                        <c:v>57.222222222218988</c:v>
                      </c:pt>
                      <c:pt idx="8241">
                        <c:v>57.229166666664241</c:v>
                      </c:pt>
                      <c:pt idx="8242">
                        <c:v>57.236111111109494</c:v>
                      </c:pt>
                      <c:pt idx="8243">
                        <c:v>57.243055555554747</c:v>
                      </c:pt>
                      <c:pt idx="8244">
                        <c:v>57.25</c:v>
                      </c:pt>
                      <c:pt idx="8245">
                        <c:v>57.256944444445253</c:v>
                      </c:pt>
                      <c:pt idx="8246">
                        <c:v>57.263888888890506</c:v>
                      </c:pt>
                      <c:pt idx="8247">
                        <c:v>57.270833333335759</c:v>
                      </c:pt>
                      <c:pt idx="8248">
                        <c:v>57.277777777781012</c:v>
                      </c:pt>
                      <c:pt idx="8249">
                        <c:v>57.284722222218988</c:v>
                      </c:pt>
                      <c:pt idx="8250">
                        <c:v>57.291666666664241</c:v>
                      </c:pt>
                      <c:pt idx="8251">
                        <c:v>57.298611111109494</c:v>
                      </c:pt>
                      <c:pt idx="8252">
                        <c:v>57.305555555554747</c:v>
                      </c:pt>
                      <c:pt idx="8253">
                        <c:v>57.3125</c:v>
                      </c:pt>
                      <c:pt idx="8254">
                        <c:v>57.319444444445253</c:v>
                      </c:pt>
                      <c:pt idx="8255">
                        <c:v>57.326388888890506</c:v>
                      </c:pt>
                      <c:pt idx="8256">
                        <c:v>57.333333333335759</c:v>
                      </c:pt>
                      <c:pt idx="8257">
                        <c:v>57.340277777781012</c:v>
                      </c:pt>
                      <c:pt idx="8258">
                        <c:v>57.347222222218988</c:v>
                      </c:pt>
                      <c:pt idx="8259">
                        <c:v>57.354166666664241</c:v>
                      </c:pt>
                      <c:pt idx="8260">
                        <c:v>57.361111111109494</c:v>
                      </c:pt>
                      <c:pt idx="8261">
                        <c:v>57.368055555554747</c:v>
                      </c:pt>
                      <c:pt idx="8262">
                        <c:v>57.375</c:v>
                      </c:pt>
                      <c:pt idx="8263">
                        <c:v>57.381944444445253</c:v>
                      </c:pt>
                      <c:pt idx="8264">
                        <c:v>57.388888888890506</c:v>
                      </c:pt>
                      <c:pt idx="8265">
                        <c:v>57.395833333335759</c:v>
                      </c:pt>
                      <c:pt idx="8266">
                        <c:v>57.402777777781012</c:v>
                      </c:pt>
                      <c:pt idx="8267">
                        <c:v>57.409722222218988</c:v>
                      </c:pt>
                      <c:pt idx="8268">
                        <c:v>57.416666666664241</c:v>
                      </c:pt>
                      <c:pt idx="8269">
                        <c:v>57.423611111109494</c:v>
                      </c:pt>
                      <c:pt idx="8270">
                        <c:v>57.430555555554747</c:v>
                      </c:pt>
                      <c:pt idx="8271">
                        <c:v>57.4375</c:v>
                      </c:pt>
                      <c:pt idx="8272">
                        <c:v>57.444444444445253</c:v>
                      </c:pt>
                      <c:pt idx="8273">
                        <c:v>57.451388888890506</c:v>
                      </c:pt>
                      <c:pt idx="8274">
                        <c:v>57.458333333335759</c:v>
                      </c:pt>
                      <c:pt idx="8275">
                        <c:v>57.465277777781012</c:v>
                      </c:pt>
                      <c:pt idx="8276">
                        <c:v>57.472222222218988</c:v>
                      </c:pt>
                      <c:pt idx="8277">
                        <c:v>57.479166666664241</c:v>
                      </c:pt>
                      <c:pt idx="8278">
                        <c:v>57.486111111109494</c:v>
                      </c:pt>
                      <c:pt idx="8279">
                        <c:v>57.493055555554747</c:v>
                      </c:pt>
                      <c:pt idx="8280">
                        <c:v>57.5</c:v>
                      </c:pt>
                      <c:pt idx="8281">
                        <c:v>57.506944444445253</c:v>
                      </c:pt>
                      <c:pt idx="8282">
                        <c:v>57.513888888890506</c:v>
                      </c:pt>
                      <c:pt idx="8283">
                        <c:v>57.520833333335759</c:v>
                      </c:pt>
                      <c:pt idx="8284">
                        <c:v>57.527777777781012</c:v>
                      </c:pt>
                      <c:pt idx="8285">
                        <c:v>57.534722222218988</c:v>
                      </c:pt>
                      <c:pt idx="8286">
                        <c:v>57.541666666664241</c:v>
                      </c:pt>
                      <c:pt idx="8287">
                        <c:v>57.548611111109494</c:v>
                      </c:pt>
                      <c:pt idx="8288">
                        <c:v>57.555555555554747</c:v>
                      </c:pt>
                      <c:pt idx="8289">
                        <c:v>57.5625</c:v>
                      </c:pt>
                      <c:pt idx="8290">
                        <c:v>57.569444444445253</c:v>
                      </c:pt>
                      <c:pt idx="8291">
                        <c:v>57.576388888890506</c:v>
                      </c:pt>
                      <c:pt idx="8292">
                        <c:v>57.583333333335759</c:v>
                      </c:pt>
                      <c:pt idx="8293">
                        <c:v>57.590277777781012</c:v>
                      </c:pt>
                      <c:pt idx="8294">
                        <c:v>57.597222222218988</c:v>
                      </c:pt>
                      <c:pt idx="8295">
                        <c:v>57.604166666664241</c:v>
                      </c:pt>
                      <c:pt idx="8296">
                        <c:v>57.611111111109494</c:v>
                      </c:pt>
                      <c:pt idx="8297">
                        <c:v>57.618055555554747</c:v>
                      </c:pt>
                      <c:pt idx="8298">
                        <c:v>57.625</c:v>
                      </c:pt>
                      <c:pt idx="8299">
                        <c:v>57.631944444445253</c:v>
                      </c:pt>
                      <c:pt idx="8300">
                        <c:v>57.638888888890506</c:v>
                      </c:pt>
                      <c:pt idx="8301">
                        <c:v>57.645833333335759</c:v>
                      </c:pt>
                      <c:pt idx="8302">
                        <c:v>57.652777777781012</c:v>
                      </c:pt>
                      <c:pt idx="8303">
                        <c:v>57.659722222218988</c:v>
                      </c:pt>
                      <c:pt idx="8304">
                        <c:v>57.666666666664241</c:v>
                      </c:pt>
                      <c:pt idx="8305">
                        <c:v>57.673611111109494</c:v>
                      </c:pt>
                      <c:pt idx="8306">
                        <c:v>57.680555555554747</c:v>
                      </c:pt>
                      <c:pt idx="8307">
                        <c:v>57.6875</c:v>
                      </c:pt>
                      <c:pt idx="8308">
                        <c:v>57.694444444445253</c:v>
                      </c:pt>
                      <c:pt idx="8309">
                        <c:v>57.701388888890506</c:v>
                      </c:pt>
                      <c:pt idx="8310">
                        <c:v>57.708333333335759</c:v>
                      </c:pt>
                      <c:pt idx="8311">
                        <c:v>57.715277777781012</c:v>
                      </c:pt>
                      <c:pt idx="8312">
                        <c:v>57.722222222218988</c:v>
                      </c:pt>
                      <c:pt idx="8313">
                        <c:v>57.729166666664241</c:v>
                      </c:pt>
                      <c:pt idx="8314">
                        <c:v>57.736111111109494</c:v>
                      </c:pt>
                      <c:pt idx="8315">
                        <c:v>57.743055555554747</c:v>
                      </c:pt>
                      <c:pt idx="8316">
                        <c:v>57.75</c:v>
                      </c:pt>
                      <c:pt idx="8317">
                        <c:v>57.756944444445253</c:v>
                      </c:pt>
                      <c:pt idx="8318">
                        <c:v>57.763888888890506</c:v>
                      </c:pt>
                      <c:pt idx="8319">
                        <c:v>57.770833333335759</c:v>
                      </c:pt>
                      <c:pt idx="8320">
                        <c:v>57.777777777781012</c:v>
                      </c:pt>
                      <c:pt idx="8321">
                        <c:v>57.784722222218988</c:v>
                      </c:pt>
                      <c:pt idx="8322">
                        <c:v>57.791666666664241</c:v>
                      </c:pt>
                      <c:pt idx="8323">
                        <c:v>57.798611111109494</c:v>
                      </c:pt>
                      <c:pt idx="8324">
                        <c:v>57.805555555554747</c:v>
                      </c:pt>
                      <c:pt idx="8325">
                        <c:v>57.8125</c:v>
                      </c:pt>
                      <c:pt idx="8326">
                        <c:v>57.819444444445253</c:v>
                      </c:pt>
                      <c:pt idx="8327">
                        <c:v>57.826388888890506</c:v>
                      </c:pt>
                      <c:pt idx="8328">
                        <c:v>57.833333333335759</c:v>
                      </c:pt>
                      <c:pt idx="8329">
                        <c:v>57.840277777781012</c:v>
                      </c:pt>
                      <c:pt idx="8330">
                        <c:v>57.847222222218988</c:v>
                      </c:pt>
                      <c:pt idx="8331">
                        <c:v>57.854166666664241</c:v>
                      </c:pt>
                      <c:pt idx="8332">
                        <c:v>57.861111111109494</c:v>
                      </c:pt>
                      <c:pt idx="8333">
                        <c:v>57.868055555554747</c:v>
                      </c:pt>
                      <c:pt idx="8334">
                        <c:v>57.875</c:v>
                      </c:pt>
                      <c:pt idx="8335">
                        <c:v>57.881944444445253</c:v>
                      </c:pt>
                      <c:pt idx="8336">
                        <c:v>57.888888888890506</c:v>
                      </c:pt>
                      <c:pt idx="8337">
                        <c:v>57.895833333335759</c:v>
                      </c:pt>
                      <c:pt idx="8338">
                        <c:v>57.902777777781012</c:v>
                      </c:pt>
                      <c:pt idx="8339">
                        <c:v>57.909722222218988</c:v>
                      </c:pt>
                      <c:pt idx="8340">
                        <c:v>57.916666666664241</c:v>
                      </c:pt>
                      <c:pt idx="8341">
                        <c:v>57.923611111109494</c:v>
                      </c:pt>
                      <c:pt idx="8342">
                        <c:v>57.930555555554747</c:v>
                      </c:pt>
                      <c:pt idx="8343">
                        <c:v>57.9375</c:v>
                      </c:pt>
                      <c:pt idx="8344">
                        <c:v>57.944444444445253</c:v>
                      </c:pt>
                      <c:pt idx="8345">
                        <c:v>57.951388888890506</c:v>
                      </c:pt>
                      <c:pt idx="8346">
                        <c:v>57.958333333335759</c:v>
                      </c:pt>
                      <c:pt idx="8347">
                        <c:v>57.965277777781012</c:v>
                      </c:pt>
                      <c:pt idx="8348">
                        <c:v>57.972222222218988</c:v>
                      </c:pt>
                      <c:pt idx="8349">
                        <c:v>57.979166666664241</c:v>
                      </c:pt>
                      <c:pt idx="8350">
                        <c:v>57.986111111109494</c:v>
                      </c:pt>
                      <c:pt idx="8351">
                        <c:v>57.993055555554747</c:v>
                      </c:pt>
                      <c:pt idx="8352">
                        <c:v>58</c:v>
                      </c:pt>
                      <c:pt idx="8353">
                        <c:v>58.006944444445253</c:v>
                      </c:pt>
                      <c:pt idx="8354">
                        <c:v>58.013888888890506</c:v>
                      </c:pt>
                      <c:pt idx="8355">
                        <c:v>58.020833333335759</c:v>
                      </c:pt>
                      <c:pt idx="8356">
                        <c:v>58.027777777781012</c:v>
                      </c:pt>
                      <c:pt idx="8357">
                        <c:v>58.034722222218988</c:v>
                      </c:pt>
                      <c:pt idx="8358">
                        <c:v>58.041666666664241</c:v>
                      </c:pt>
                      <c:pt idx="8359">
                        <c:v>58.048611111109494</c:v>
                      </c:pt>
                      <c:pt idx="8360">
                        <c:v>58.055555555554747</c:v>
                      </c:pt>
                      <c:pt idx="8361">
                        <c:v>58.0625</c:v>
                      </c:pt>
                      <c:pt idx="8362">
                        <c:v>58.069444444445253</c:v>
                      </c:pt>
                      <c:pt idx="8363">
                        <c:v>58.076388888890506</c:v>
                      </c:pt>
                      <c:pt idx="8364">
                        <c:v>58.083333333335759</c:v>
                      </c:pt>
                      <c:pt idx="8365">
                        <c:v>58.090277777781012</c:v>
                      </c:pt>
                      <c:pt idx="8366">
                        <c:v>58.097222222218988</c:v>
                      </c:pt>
                      <c:pt idx="8367">
                        <c:v>58.104166666664241</c:v>
                      </c:pt>
                      <c:pt idx="8368">
                        <c:v>58.111111111109494</c:v>
                      </c:pt>
                      <c:pt idx="8369">
                        <c:v>58.118055555554747</c:v>
                      </c:pt>
                      <c:pt idx="8370">
                        <c:v>58.125</c:v>
                      </c:pt>
                      <c:pt idx="8371">
                        <c:v>58.131944444445253</c:v>
                      </c:pt>
                      <c:pt idx="8372">
                        <c:v>58.138888888890506</c:v>
                      </c:pt>
                      <c:pt idx="8373">
                        <c:v>58.145833333335759</c:v>
                      </c:pt>
                      <c:pt idx="8374">
                        <c:v>58.152777777781012</c:v>
                      </c:pt>
                      <c:pt idx="8375">
                        <c:v>58.159722222218988</c:v>
                      </c:pt>
                      <c:pt idx="8376">
                        <c:v>58.166666666664241</c:v>
                      </c:pt>
                      <c:pt idx="8377">
                        <c:v>58.173611111109494</c:v>
                      </c:pt>
                      <c:pt idx="8378">
                        <c:v>58.180555555554747</c:v>
                      </c:pt>
                      <c:pt idx="8379">
                        <c:v>58.1875</c:v>
                      </c:pt>
                      <c:pt idx="8380">
                        <c:v>58.194444444445253</c:v>
                      </c:pt>
                      <c:pt idx="8381">
                        <c:v>58.201388888890506</c:v>
                      </c:pt>
                      <c:pt idx="8382">
                        <c:v>58.208333333335759</c:v>
                      </c:pt>
                      <c:pt idx="8383">
                        <c:v>58.215277777781012</c:v>
                      </c:pt>
                      <c:pt idx="8384">
                        <c:v>58.222222222218988</c:v>
                      </c:pt>
                      <c:pt idx="8385">
                        <c:v>58.229166666664241</c:v>
                      </c:pt>
                      <c:pt idx="8386">
                        <c:v>58.236111111109494</c:v>
                      </c:pt>
                      <c:pt idx="8387">
                        <c:v>58.243055555554747</c:v>
                      </c:pt>
                      <c:pt idx="8388">
                        <c:v>58.25</c:v>
                      </c:pt>
                      <c:pt idx="8389">
                        <c:v>58.256944444445253</c:v>
                      </c:pt>
                      <c:pt idx="8390">
                        <c:v>58.263888888890506</c:v>
                      </c:pt>
                      <c:pt idx="8391">
                        <c:v>58.270833333335759</c:v>
                      </c:pt>
                      <c:pt idx="8392">
                        <c:v>58.277777777781012</c:v>
                      </c:pt>
                      <c:pt idx="8393">
                        <c:v>58.284722222218988</c:v>
                      </c:pt>
                      <c:pt idx="8394">
                        <c:v>58.291666666664241</c:v>
                      </c:pt>
                      <c:pt idx="8395">
                        <c:v>58.298611111109494</c:v>
                      </c:pt>
                      <c:pt idx="8396">
                        <c:v>58.305555555554747</c:v>
                      </c:pt>
                      <c:pt idx="8397">
                        <c:v>58.3125</c:v>
                      </c:pt>
                      <c:pt idx="8398">
                        <c:v>58.319444444445253</c:v>
                      </c:pt>
                      <c:pt idx="8399">
                        <c:v>58.326388888890506</c:v>
                      </c:pt>
                      <c:pt idx="8400">
                        <c:v>58.333333333335759</c:v>
                      </c:pt>
                      <c:pt idx="8401">
                        <c:v>58.340277777781012</c:v>
                      </c:pt>
                      <c:pt idx="8402">
                        <c:v>58.347222222218988</c:v>
                      </c:pt>
                      <c:pt idx="8403">
                        <c:v>58.354166666664241</c:v>
                      </c:pt>
                      <c:pt idx="8404">
                        <c:v>58.361111111109494</c:v>
                      </c:pt>
                      <c:pt idx="8405">
                        <c:v>58.368055555554747</c:v>
                      </c:pt>
                      <c:pt idx="8406">
                        <c:v>58.375</c:v>
                      </c:pt>
                      <c:pt idx="8407">
                        <c:v>58.381944444445253</c:v>
                      </c:pt>
                      <c:pt idx="8408">
                        <c:v>58.388888888890506</c:v>
                      </c:pt>
                      <c:pt idx="8409">
                        <c:v>58.395833333335759</c:v>
                      </c:pt>
                      <c:pt idx="8410">
                        <c:v>58.402777777781012</c:v>
                      </c:pt>
                      <c:pt idx="8411">
                        <c:v>58.409722222218988</c:v>
                      </c:pt>
                      <c:pt idx="8412">
                        <c:v>58.416666666664241</c:v>
                      </c:pt>
                      <c:pt idx="8413">
                        <c:v>58.423611111109494</c:v>
                      </c:pt>
                      <c:pt idx="8414">
                        <c:v>58.430555555554747</c:v>
                      </c:pt>
                      <c:pt idx="8415">
                        <c:v>58.4375</c:v>
                      </c:pt>
                      <c:pt idx="8416">
                        <c:v>58.444444444445253</c:v>
                      </c:pt>
                      <c:pt idx="8417">
                        <c:v>58.451388888890506</c:v>
                      </c:pt>
                      <c:pt idx="8418">
                        <c:v>58.458333333335759</c:v>
                      </c:pt>
                      <c:pt idx="8419">
                        <c:v>58.465277777781012</c:v>
                      </c:pt>
                      <c:pt idx="8420">
                        <c:v>58.472222222218988</c:v>
                      </c:pt>
                      <c:pt idx="8421">
                        <c:v>58.479166666664241</c:v>
                      </c:pt>
                      <c:pt idx="8422">
                        <c:v>58.486111111109494</c:v>
                      </c:pt>
                      <c:pt idx="8423">
                        <c:v>58.493055555554747</c:v>
                      </c:pt>
                      <c:pt idx="8424">
                        <c:v>58.5</c:v>
                      </c:pt>
                      <c:pt idx="8425">
                        <c:v>58.506944444445253</c:v>
                      </c:pt>
                      <c:pt idx="8426">
                        <c:v>58.513888888890506</c:v>
                      </c:pt>
                      <c:pt idx="8427">
                        <c:v>58.520833333335759</c:v>
                      </c:pt>
                      <c:pt idx="8428">
                        <c:v>58.527777777781012</c:v>
                      </c:pt>
                      <c:pt idx="8429">
                        <c:v>58.534722222218988</c:v>
                      </c:pt>
                      <c:pt idx="8430">
                        <c:v>58.541666666664241</c:v>
                      </c:pt>
                      <c:pt idx="8431">
                        <c:v>58.548611111109494</c:v>
                      </c:pt>
                      <c:pt idx="8432">
                        <c:v>58.555555555554747</c:v>
                      </c:pt>
                      <c:pt idx="8433">
                        <c:v>58.5625</c:v>
                      </c:pt>
                      <c:pt idx="8434">
                        <c:v>58.569444444445253</c:v>
                      </c:pt>
                      <c:pt idx="8435">
                        <c:v>58.576388888890506</c:v>
                      </c:pt>
                      <c:pt idx="8436">
                        <c:v>58.583333333335759</c:v>
                      </c:pt>
                      <c:pt idx="8437">
                        <c:v>58.590277777781012</c:v>
                      </c:pt>
                      <c:pt idx="8438">
                        <c:v>58.597222222218988</c:v>
                      </c:pt>
                      <c:pt idx="8439">
                        <c:v>58.604166666664241</c:v>
                      </c:pt>
                      <c:pt idx="8440">
                        <c:v>58.611111111109494</c:v>
                      </c:pt>
                      <c:pt idx="8441">
                        <c:v>58.618055555554747</c:v>
                      </c:pt>
                      <c:pt idx="8442">
                        <c:v>58.625</c:v>
                      </c:pt>
                      <c:pt idx="8443">
                        <c:v>58.631944444445253</c:v>
                      </c:pt>
                      <c:pt idx="8444">
                        <c:v>58.638888888890506</c:v>
                      </c:pt>
                      <c:pt idx="8445">
                        <c:v>58.645833333335759</c:v>
                      </c:pt>
                      <c:pt idx="8446">
                        <c:v>58.652777777781012</c:v>
                      </c:pt>
                      <c:pt idx="8447">
                        <c:v>58.659722222218988</c:v>
                      </c:pt>
                      <c:pt idx="8448">
                        <c:v>58.666666666664241</c:v>
                      </c:pt>
                      <c:pt idx="8449">
                        <c:v>58.673611111109494</c:v>
                      </c:pt>
                      <c:pt idx="8450">
                        <c:v>58.680555555554747</c:v>
                      </c:pt>
                      <c:pt idx="8451">
                        <c:v>58.6875</c:v>
                      </c:pt>
                      <c:pt idx="8452">
                        <c:v>58.694444444445253</c:v>
                      </c:pt>
                      <c:pt idx="8453">
                        <c:v>58.701388888890506</c:v>
                      </c:pt>
                      <c:pt idx="8454">
                        <c:v>58.708333333335759</c:v>
                      </c:pt>
                      <c:pt idx="8455">
                        <c:v>58.715277777781012</c:v>
                      </c:pt>
                      <c:pt idx="8456">
                        <c:v>58.722222222218988</c:v>
                      </c:pt>
                      <c:pt idx="8457">
                        <c:v>58.729166666664241</c:v>
                      </c:pt>
                      <c:pt idx="8458">
                        <c:v>58.736111111109494</c:v>
                      </c:pt>
                      <c:pt idx="8459">
                        <c:v>58.743055555554747</c:v>
                      </c:pt>
                      <c:pt idx="8460">
                        <c:v>58.75</c:v>
                      </c:pt>
                      <c:pt idx="8461">
                        <c:v>58.756944444445253</c:v>
                      </c:pt>
                      <c:pt idx="8462">
                        <c:v>58.763888888890506</c:v>
                      </c:pt>
                      <c:pt idx="8463">
                        <c:v>58.770833333335759</c:v>
                      </c:pt>
                      <c:pt idx="8464">
                        <c:v>58.777777777781012</c:v>
                      </c:pt>
                      <c:pt idx="8465">
                        <c:v>58.784722222218988</c:v>
                      </c:pt>
                      <c:pt idx="8466">
                        <c:v>58.791666666664241</c:v>
                      </c:pt>
                      <c:pt idx="8467">
                        <c:v>58.798611111109494</c:v>
                      </c:pt>
                      <c:pt idx="8468">
                        <c:v>58.805555555554747</c:v>
                      </c:pt>
                      <c:pt idx="8469">
                        <c:v>58.8125</c:v>
                      </c:pt>
                      <c:pt idx="8470">
                        <c:v>58.819444444445253</c:v>
                      </c:pt>
                      <c:pt idx="8471">
                        <c:v>58.826388888890506</c:v>
                      </c:pt>
                      <c:pt idx="8472">
                        <c:v>58.833333333335759</c:v>
                      </c:pt>
                      <c:pt idx="8473">
                        <c:v>58.840277777781012</c:v>
                      </c:pt>
                      <c:pt idx="8474">
                        <c:v>58.847222222218988</c:v>
                      </c:pt>
                      <c:pt idx="8475">
                        <c:v>58.854166666664241</c:v>
                      </c:pt>
                      <c:pt idx="8476">
                        <c:v>58.861111111109494</c:v>
                      </c:pt>
                      <c:pt idx="8477">
                        <c:v>58.868055555554747</c:v>
                      </c:pt>
                      <c:pt idx="8478">
                        <c:v>58.875</c:v>
                      </c:pt>
                      <c:pt idx="8479">
                        <c:v>58.881944444445253</c:v>
                      </c:pt>
                      <c:pt idx="8480">
                        <c:v>58.888888888890506</c:v>
                      </c:pt>
                      <c:pt idx="8481">
                        <c:v>58.895833333335759</c:v>
                      </c:pt>
                      <c:pt idx="8482">
                        <c:v>58.902777777781012</c:v>
                      </c:pt>
                      <c:pt idx="8483">
                        <c:v>58.909722222218988</c:v>
                      </c:pt>
                      <c:pt idx="8484">
                        <c:v>58.916666666664241</c:v>
                      </c:pt>
                      <c:pt idx="8485">
                        <c:v>58.923611111109494</c:v>
                      </c:pt>
                      <c:pt idx="8486">
                        <c:v>58.930555555554747</c:v>
                      </c:pt>
                      <c:pt idx="8487">
                        <c:v>58.9375</c:v>
                      </c:pt>
                      <c:pt idx="8488">
                        <c:v>58.944444444445253</c:v>
                      </c:pt>
                      <c:pt idx="8489">
                        <c:v>58.951388888890506</c:v>
                      </c:pt>
                      <c:pt idx="8490">
                        <c:v>58.958333333335759</c:v>
                      </c:pt>
                      <c:pt idx="8491">
                        <c:v>58.965277777781012</c:v>
                      </c:pt>
                      <c:pt idx="8492">
                        <c:v>58.972222222218988</c:v>
                      </c:pt>
                      <c:pt idx="8493">
                        <c:v>58.979166666664241</c:v>
                      </c:pt>
                      <c:pt idx="8494">
                        <c:v>58.986111111109494</c:v>
                      </c:pt>
                      <c:pt idx="8495">
                        <c:v>58.993055555554747</c:v>
                      </c:pt>
                      <c:pt idx="8496">
                        <c:v>59</c:v>
                      </c:pt>
                      <c:pt idx="8497">
                        <c:v>59.006944444445253</c:v>
                      </c:pt>
                      <c:pt idx="8498">
                        <c:v>59.013888888890506</c:v>
                      </c:pt>
                      <c:pt idx="8499">
                        <c:v>59.020833333335759</c:v>
                      </c:pt>
                      <c:pt idx="8500">
                        <c:v>59.027777777781012</c:v>
                      </c:pt>
                      <c:pt idx="8501">
                        <c:v>59.034722222218988</c:v>
                      </c:pt>
                      <c:pt idx="8502">
                        <c:v>59.041666666664241</c:v>
                      </c:pt>
                      <c:pt idx="8503">
                        <c:v>59.048611111109494</c:v>
                      </c:pt>
                      <c:pt idx="8504">
                        <c:v>59.055555555554747</c:v>
                      </c:pt>
                      <c:pt idx="8505">
                        <c:v>59.0625</c:v>
                      </c:pt>
                      <c:pt idx="8506">
                        <c:v>59.069444444445253</c:v>
                      </c:pt>
                      <c:pt idx="8507">
                        <c:v>59.076388888890506</c:v>
                      </c:pt>
                      <c:pt idx="8508">
                        <c:v>59.083333333335759</c:v>
                      </c:pt>
                      <c:pt idx="8509">
                        <c:v>59.090277777781012</c:v>
                      </c:pt>
                      <c:pt idx="8510">
                        <c:v>59.097222222218988</c:v>
                      </c:pt>
                      <c:pt idx="8511">
                        <c:v>59.104166666664241</c:v>
                      </c:pt>
                      <c:pt idx="8512">
                        <c:v>59.111111111109494</c:v>
                      </c:pt>
                      <c:pt idx="8513">
                        <c:v>59.118055555554747</c:v>
                      </c:pt>
                      <c:pt idx="8514">
                        <c:v>59.125</c:v>
                      </c:pt>
                      <c:pt idx="8515">
                        <c:v>59.131944444445253</c:v>
                      </c:pt>
                      <c:pt idx="8516">
                        <c:v>59.138888888890506</c:v>
                      </c:pt>
                      <c:pt idx="8517">
                        <c:v>59.145833333335759</c:v>
                      </c:pt>
                      <c:pt idx="8518">
                        <c:v>59.152777777781012</c:v>
                      </c:pt>
                      <c:pt idx="8519">
                        <c:v>59.159722222218988</c:v>
                      </c:pt>
                      <c:pt idx="8520">
                        <c:v>59.166666666664241</c:v>
                      </c:pt>
                      <c:pt idx="8521">
                        <c:v>59.173611111109494</c:v>
                      </c:pt>
                      <c:pt idx="8522">
                        <c:v>59.180555555554747</c:v>
                      </c:pt>
                      <c:pt idx="8523">
                        <c:v>59.1875</c:v>
                      </c:pt>
                      <c:pt idx="8524">
                        <c:v>59.194444444445253</c:v>
                      </c:pt>
                      <c:pt idx="8525">
                        <c:v>59.201388888890506</c:v>
                      </c:pt>
                      <c:pt idx="8526">
                        <c:v>59.208333333335759</c:v>
                      </c:pt>
                      <c:pt idx="8527">
                        <c:v>59.215277777781012</c:v>
                      </c:pt>
                      <c:pt idx="8528">
                        <c:v>59.222222222218988</c:v>
                      </c:pt>
                      <c:pt idx="8529">
                        <c:v>59.229166666664241</c:v>
                      </c:pt>
                      <c:pt idx="8530">
                        <c:v>59.236111111109494</c:v>
                      </c:pt>
                      <c:pt idx="8531">
                        <c:v>59.243055555554747</c:v>
                      </c:pt>
                      <c:pt idx="8532">
                        <c:v>59.25</c:v>
                      </c:pt>
                      <c:pt idx="8533">
                        <c:v>59.256944444445253</c:v>
                      </c:pt>
                      <c:pt idx="8534">
                        <c:v>59.263888888890506</c:v>
                      </c:pt>
                      <c:pt idx="8535">
                        <c:v>59.270833333335759</c:v>
                      </c:pt>
                      <c:pt idx="8536">
                        <c:v>59.277777777781012</c:v>
                      </c:pt>
                      <c:pt idx="8537">
                        <c:v>59.284722222218988</c:v>
                      </c:pt>
                      <c:pt idx="8538">
                        <c:v>59.291666666664241</c:v>
                      </c:pt>
                      <c:pt idx="8539">
                        <c:v>59.298611111109494</c:v>
                      </c:pt>
                      <c:pt idx="8540">
                        <c:v>59.305555555554747</c:v>
                      </c:pt>
                      <c:pt idx="8541">
                        <c:v>59.3125</c:v>
                      </c:pt>
                      <c:pt idx="8542">
                        <c:v>59.319444444445253</c:v>
                      </c:pt>
                      <c:pt idx="8543">
                        <c:v>59.326388888890506</c:v>
                      </c:pt>
                      <c:pt idx="8544">
                        <c:v>59.333333333335759</c:v>
                      </c:pt>
                      <c:pt idx="8545">
                        <c:v>59.340277777781012</c:v>
                      </c:pt>
                      <c:pt idx="8546">
                        <c:v>59.347222222218988</c:v>
                      </c:pt>
                      <c:pt idx="8547">
                        <c:v>59.354166666664241</c:v>
                      </c:pt>
                      <c:pt idx="8548">
                        <c:v>59.361111111109494</c:v>
                      </c:pt>
                      <c:pt idx="8549">
                        <c:v>59.368055555554747</c:v>
                      </c:pt>
                      <c:pt idx="8550">
                        <c:v>59.375</c:v>
                      </c:pt>
                      <c:pt idx="8551">
                        <c:v>59.381944444445253</c:v>
                      </c:pt>
                      <c:pt idx="8552">
                        <c:v>59.388888888890506</c:v>
                      </c:pt>
                      <c:pt idx="8553">
                        <c:v>59.395833333335759</c:v>
                      </c:pt>
                      <c:pt idx="8554">
                        <c:v>59.402777777781012</c:v>
                      </c:pt>
                      <c:pt idx="8555">
                        <c:v>59.409722222218988</c:v>
                      </c:pt>
                      <c:pt idx="8556">
                        <c:v>59.416666666664241</c:v>
                      </c:pt>
                      <c:pt idx="8557">
                        <c:v>59.423611111109494</c:v>
                      </c:pt>
                      <c:pt idx="8558">
                        <c:v>59.430555555554747</c:v>
                      </c:pt>
                      <c:pt idx="8559">
                        <c:v>59.4375</c:v>
                      </c:pt>
                      <c:pt idx="8560">
                        <c:v>59.444444444445253</c:v>
                      </c:pt>
                      <c:pt idx="8561">
                        <c:v>59.451388888890506</c:v>
                      </c:pt>
                      <c:pt idx="8562">
                        <c:v>59.458333333335759</c:v>
                      </c:pt>
                      <c:pt idx="8563">
                        <c:v>59.465277777781012</c:v>
                      </c:pt>
                      <c:pt idx="8564">
                        <c:v>59.472222222218988</c:v>
                      </c:pt>
                      <c:pt idx="8565">
                        <c:v>59.479166666664241</c:v>
                      </c:pt>
                      <c:pt idx="8566">
                        <c:v>59.486111111109494</c:v>
                      </c:pt>
                      <c:pt idx="8567">
                        <c:v>59.493055555554747</c:v>
                      </c:pt>
                      <c:pt idx="8568">
                        <c:v>59.5</c:v>
                      </c:pt>
                      <c:pt idx="8569">
                        <c:v>59.506944444445253</c:v>
                      </c:pt>
                      <c:pt idx="8570">
                        <c:v>59.513888888890506</c:v>
                      </c:pt>
                      <c:pt idx="8571">
                        <c:v>59.520833333335759</c:v>
                      </c:pt>
                      <c:pt idx="8572">
                        <c:v>59.527777777781012</c:v>
                      </c:pt>
                      <c:pt idx="8573">
                        <c:v>59.534722222218988</c:v>
                      </c:pt>
                      <c:pt idx="8574">
                        <c:v>59.541666666664241</c:v>
                      </c:pt>
                      <c:pt idx="8575">
                        <c:v>59.548611111109494</c:v>
                      </c:pt>
                      <c:pt idx="8576">
                        <c:v>59.555555555554747</c:v>
                      </c:pt>
                      <c:pt idx="8577">
                        <c:v>59.5625</c:v>
                      </c:pt>
                      <c:pt idx="8578">
                        <c:v>59.569444444445253</c:v>
                      </c:pt>
                      <c:pt idx="8579">
                        <c:v>59.576388888890506</c:v>
                      </c:pt>
                      <c:pt idx="8580">
                        <c:v>59.583333333335759</c:v>
                      </c:pt>
                      <c:pt idx="8581">
                        <c:v>59.590277777781012</c:v>
                      </c:pt>
                      <c:pt idx="8582">
                        <c:v>59.597222222218988</c:v>
                      </c:pt>
                      <c:pt idx="8583">
                        <c:v>59.604166666664241</c:v>
                      </c:pt>
                      <c:pt idx="8584">
                        <c:v>59.611111111109494</c:v>
                      </c:pt>
                      <c:pt idx="8585">
                        <c:v>59.618055555554747</c:v>
                      </c:pt>
                      <c:pt idx="8586">
                        <c:v>59.625</c:v>
                      </c:pt>
                      <c:pt idx="8587">
                        <c:v>59.631944444445253</c:v>
                      </c:pt>
                      <c:pt idx="8588">
                        <c:v>59.638888888890506</c:v>
                      </c:pt>
                      <c:pt idx="8589">
                        <c:v>59.645833333335759</c:v>
                      </c:pt>
                      <c:pt idx="8590">
                        <c:v>59.652777777781012</c:v>
                      </c:pt>
                      <c:pt idx="8591">
                        <c:v>59.659722222218988</c:v>
                      </c:pt>
                      <c:pt idx="8592">
                        <c:v>59.666666666664241</c:v>
                      </c:pt>
                      <c:pt idx="8593">
                        <c:v>59.673611111109494</c:v>
                      </c:pt>
                      <c:pt idx="8594">
                        <c:v>59.680555555554747</c:v>
                      </c:pt>
                      <c:pt idx="8595">
                        <c:v>59.6875</c:v>
                      </c:pt>
                      <c:pt idx="8596">
                        <c:v>59.694444444445253</c:v>
                      </c:pt>
                      <c:pt idx="8597">
                        <c:v>59.701388888890506</c:v>
                      </c:pt>
                      <c:pt idx="8598">
                        <c:v>59.708333333335759</c:v>
                      </c:pt>
                      <c:pt idx="8599">
                        <c:v>59.715277777781012</c:v>
                      </c:pt>
                      <c:pt idx="8600">
                        <c:v>59.722222222218988</c:v>
                      </c:pt>
                      <c:pt idx="8601">
                        <c:v>59.729166666664241</c:v>
                      </c:pt>
                      <c:pt idx="8602">
                        <c:v>59.736111111109494</c:v>
                      </c:pt>
                      <c:pt idx="8603">
                        <c:v>59.743055555554747</c:v>
                      </c:pt>
                      <c:pt idx="8604">
                        <c:v>59.75</c:v>
                      </c:pt>
                      <c:pt idx="8605">
                        <c:v>59.756944444445253</c:v>
                      </c:pt>
                      <c:pt idx="8606">
                        <c:v>59.763888888890506</c:v>
                      </c:pt>
                      <c:pt idx="8607">
                        <c:v>59.770833333335759</c:v>
                      </c:pt>
                      <c:pt idx="8608">
                        <c:v>59.777777777781012</c:v>
                      </c:pt>
                      <c:pt idx="8609">
                        <c:v>59.784722222218988</c:v>
                      </c:pt>
                      <c:pt idx="8610">
                        <c:v>59.791666666664241</c:v>
                      </c:pt>
                      <c:pt idx="8611">
                        <c:v>59.798611111109494</c:v>
                      </c:pt>
                      <c:pt idx="8612">
                        <c:v>59.805555555554747</c:v>
                      </c:pt>
                      <c:pt idx="8613">
                        <c:v>59.8125</c:v>
                      </c:pt>
                      <c:pt idx="8614">
                        <c:v>59.819444444445253</c:v>
                      </c:pt>
                      <c:pt idx="8615">
                        <c:v>59.826388888890506</c:v>
                      </c:pt>
                      <c:pt idx="8616">
                        <c:v>59.833333333335759</c:v>
                      </c:pt>
                      <c:pt idx="8617">
                        <c:v>59.840277777781012</c:v>
                      </c:pt>
                      <c:pt idx="8618">
                        <c:v>59.847222222218988</c:v>
                      </c:pt>
                      <c:pt idx="8619">
                        <c:v>59.854166666664241</c:v>
                      </c:pt>
                      <c:pt idx="8620">
                        <c:v>59.861111111109494</c:v>
                      </c:pt>
                      <c:pt idx="8621">
                        <c:v>59.868055555554747</c:v>
                      </c:pt>
                      <c:pt idx="8622">
                        <c:v>59.875</c:v>
                      </c:pt>
                      <c:pt idx="8623">
                        <c:v>59.881944444445253</c:v>
                      </c:pt>
                      <c:pt idx="8624">
                        <c:v>59.888888888890506</c:v>
                      </c:pt>
                      <c:pt idx="8625">
                        <c:v>59.895833333335759</c:v>
                      </c:pt>
                      <c:pt idx="8626">
                        <c:v>59.902777777781012</c:v>
                      </c:pt>
                      <c:pt idx="8627">
                        <c:v>59.909722222218988</c:v>
                      </c:pt>
                      <c:pt idx="8628">
                        <c:v>59.916666666664241</c:v>
                      </c:pt>
                      <c:pt idx="8629">
                        <c:v>59.923611111109494</c:v>
                      </c:pt>
                      <c:pt idx="8630">
                        <c:v>59.930555555554747</c:v>
                      </c:pt>
                      <c:pt idx="8631">
                        <c:v>59.9375</c:v>
                      </c:pt>
                      <c:pt idx="8632">
                        <c:v>59.944444444445253</c:v>
                      </c:pt>
                      <c:pt idx="8633">
                        <c:v>59.951388888890506</c:v>
                      </c:pt>
                      <c:pt idx="8634">
                        <c:v>59.958333333335759</c:v>
                      </c:pt>
                      <c:pt idx="8635">
                        <c:v>59.965277777781012</c:v>
                      </c:pt>
                      <c:pt idx="8636">
                        <c:v>59.972222222218988</c:v>
                      </c:pt>
                      <c:pt idx="8637">
                        <c:v>59.979166666664241</c:v>
                      </c:pt>
                      <c:pt idx="8638">
                        <c:v>59.986111111109494</c:v>
                      </c:pt>
                      <c:pt idx="8639">
                        <c:v>59.993055555554747</c:v>
                      </c:pt>
                      <c:pt idx="8640">
                        <c:v>60</c:v>
                      </c:pt>
                      <c:pt idx="8641">
                        <c:v>60.006944444445253</c:v>
                      </c:pt>
                      <c:pt idx="8642">
                        <c:v>60.013888888890506</c:v>
                      </c:pt>
                      <c:pt idx="8643">
                        <c:v>60.020833333335759</c:v>
                      </c:pt>
                      <c:pt idx="8644">
                        <c:v>60.027777777781012</c:v>
                      </c:pt>
                      <c:pt idx="8645">
                        <c:v>60.034722222218988</c:v>
                      </c:pt>
                      <c:pt idx="8646">
                        <c:v>60.041666666664241</c:v>
                      </c:pt>
                      <c:pt idx="8647">
                        <c:v>60.048611111109494</c:v>
                      </c:pt>
                      <c:pt idx="8648">
                        <c:v>60.055555555554747</c:v>
                      </c:pt>
                      <c:pt idx="8649">
                        <c:v>60.0625</c:v>
                      </c:pt>
                      <c:pt idx="8650">
                        <c:v>60.069444444445253</c:v>
                      </c:pt>
                      <c:pt idx="8651">
                        <c:v>60.076388888890506</c:v>
                      </c:pt>
                      <c:pt idx="8652">
                        <c:v>60.083333333335759</c:v>
                      </c:pt>
                      <c:pt idx="8653">
                        <c:v>60.090277777781012</c:v>
                      </c:pt>
                      <c:pt idx="8654">
                        <c:v>60.097222222218988</c:v>
                      </c:pt>
                      <c:pt idx="8655">
                        <c:v>60.104166666664241</c:v>
                      </c:pt>
                      <c:pt idx="8656">
                        <c:v>60.111111111109494</c:v>
                      </c:pt>
                      <c:pt idx="8657">
                        <c:v>60.118055555554747</c:v>
                      </c:pt>
                      <c:pt idx="8658">
                        <c:v>60.125</c:v>
                      </c:pt>
                      <c:pt idx="8659">
                        <c:v>60.131944444445253</c:v>
                      </c:pt>
                      <c:pt idx="8660">
                        <c:v>60.138888888890506</c:v>
                      </c:pt>
                      <c:pt idx="8661">
                        <c:v>60.145833333335759</c:v>
                      </c:pt>
                      <c:pt idx="8662">
                        <c:v>60.152777777781012</c:v>
                      </c:pt>
                      <c:pt idx="8663">
                        <c:v>60.159722222218988</c:v>
                      </c:pt>
                      <c:pt idx="8664">
                        <c:v>60.166666666664241</c:v>
                      </c:pt>
                      <c:pt idx="8665">
                        <c:v>60.173611111109494</c:v>
                      </c:pt>
                      <c:pt idx="8666">
                        <c:v>60.180555555554747</c:v>
                      </c:pt>
                      <c:pt idx="8667">
                        <c:v>60.1875</c:v>
                      </c:pt>
                      <c:pt idx="8668">
                        <c:v>60.194444444445253</c:v>
                      </c:pt>
                      <c:pt idx="8669">
                        <c:v>60.201388888890506</c:v>
                      </c:pt>
                      <c:pt idx="8670">
                        <c:v>60.208333333335759</c:v>
                      </c:pt>
                      <c:pt idx="8671">
                        <c:v>60.215277777781012</c:v>
                      </c:pt>
                      <c:pt idx="8672">
                        <c:v>60.222222222218988</c:v>
                      </c:pt>
                      <c:pt idx="8673">
                        <c:v>60.229166666664241</c:v>
                      </c:pt>
                      <c:pt idx="8674">
                        <c:v>60.236111111109494</c:v>
                      </c:pt>
                      <c:pt idx="8675">
                        <c:v>60.243055555554747</c:v>
                      </c:pt>
                      <c:pt idx="8676">
                        <c:v>60.25</c:v>
                      </c:pt>
                      <c:pt idx="8677">
                        <c:v>60.256944444445253</c:v>
                      </c:pt>
                      <c:pt idx="8678">
                        <c:v>60.263888888890506</c:v>
                      </c:pt>
                      <c:pt idx="8679">
                        <c:v>60.270833333335759</c:v>
                      </c:pt>
                      <c:pt idx="8680">
                        <c:v>60.277777777781012</c:v>
                      </c:pt>
                      <c:pt idx="8681">
                        <c:v>60.284722222218988</c:v>
                      </c:pt>
                      <c:pt idx="8682">
                        <c:v>60.291666666664241</c:v>
                      </c:pt>
                      <c:pt idx="8683">
                        <c:v>60.298611111109494</c:v>
                      </c:pt>
                      <c:pt idx="8684">
                        <c:v>60.305555555554747</c:v>
                      </c:pt>
                      <c:pt idx="8685">
                        <c:v>60.3125</c:v>
                      </c:pt>
                      <c:pt idx="8686">
                        <c:v>60.319444444445253</c:v>
                      </c:pt>
                      <c:pt idx="8687">
                        <c:v>60.326388888890506</c:v>
                      </c:pt>
                      <c:pt idx="8688">
                        <c:v>60.333333333335759</c:v>
                      </c:pt>
                      <c:pt idx="8689">
                        <c:v>60.340277777781012</c:v>
                      </c:pt>
                      <c:pt idx="8690">
                        <c:v>60.347222222218988</c:v>
                      </c:pt>
                      <c:pt idx="8691">
                        <c:v>60.354166666664241</c:v>
                      </c:pt>
                      <c:pt idx="8692">
                        <c:v>60.361111111109494</c:v>
                      </c:pt>
                      <c:pt idx="8693">
                        <c:v>60.368055555554747</c:v>
                      </c:pt>
                      <c:pt idx="8694">
                        <c:v>60.375</c:v>
                      </c:pt>
                      <c:pt idx="8695">
                        <c:v>60.381944444445253</c:v>
                      </c:pt>
                      <c:pt idx="8696">
                        <c:v>60.388888888890506</c:v>
                      </c:pt>
                      <c:pt idx="8697">
                        <c:v>60.395833333335759</c:v>
                      </c:pt>
                      <c:pt idx="8698">
                        <c:v>60.402777777781012</c:v>
                      </c:pt>
                      <c:pt idx="8699">
                        <c:v>60.409722222218988</c:v>
                      </c:pt>
                      <c:pt idx="8700">
                        <c:v>60.416666666664241</c:v>
                      </c:pt>
                      <c:pt idx="8701">
                        <c:v>60.423611111109494</c:v>
                      </c:pt>
                      <c:pt idx="8702">
                        <c:v>60.430555555554747</c:v>
                      </c:pt>
                      <c:pt idx="8703">
                        <c:v>60.4375</c:v>
                      </c:pt>
                      <c:pt idx="8704">
                        <c:v>60.444444444445253</c:v>
                      </c:pt>
                      <c:pt idx="8705">
                        <c:v>60.451388888890506</c:v>
                      </c:pt>
                      <c:pt idx="8706">
                        <c:v>60.458333333335759</c:v>
                      </c:pt>
                      <c:pt idx="8707">
                        <c:v>60.465277777781012</c:v>
                      </c:pt>
                      <c:pt idx="8708">
                        <c:v>60.472222222218988</c:v>
                      </c:pt>
                      <c:pt idx="8709">
                        <c:v>60.479166666664241</c:v>
                      </c:pt>
                      <c:pt idx="8710">
                        <c:v>60.486111111109494</c:v>
                      </c:pt>
                      <c:pt idx="8711">
                        <c:v>60.493055555554747</c:v>
                      </c:pt>
                      <c:pt idx="8712">
                        <c:v>60.5</c:v>
                      </c:pt>
                      <c:pt idx="8713">
                        <c:v>60.506944444445253</c:v>
                      </c:pt>
                      <c:pt idx="8714">
                        <c:v>60.513888888890506</c:v>
                      </c:pt>
                      <c:pt idx="8715">
                        <c:v>60.520833333335759</c:v>
                      </c:pt>
                      <c:pt idx="8716">
                        <c:v>60.527777777781012</c:v>
                      </c:pt>
                      <c:pt idx="8717">
                        <c:v>60.534722222218988</c:v>
                      </c:pt>
                      <c:pt idx="8718">
                        <c:v>60.541666666664241</c:v>
                      </c:pt>
                      <c:pt idx="8719">
                        <c:v>60.548611111109494</c:v>
                      </c:pt>
                      <c:pt idx="8720">
                        <c:v>60.555555555554747</c:v>
                      </c:pt>
                      <c:pt idx="8721">
                        <c:v>60.5625</c:v>
                      </c:pt>
                      <c:pt idx="8722">
                        <c:v>60.569444444445253</c:v>
                      </c:pt>
                      <c:pt idx="8723">
                        <c:v>60.576388888890506</c:v>
                      </c:pt>
                      <c:pt idx="8724">
                        <c:v>60.583333333335759</c:v>
                      </c:pt>
                      <c:pt idx="8725">
                        <c:v>60.590277777781012</c:v>
                      </c:pt>
                      <c:pt idx="8726">
                        <c:v>60.597222222218988</c:v>
                      </c:pt>
                      <c:pt idx="8727">
                        <c:v>60.604166666664241</c:v>
                      </c:pt>
                      <c:pt idx="8728">
                        <c:v>60.611111111109494</c:v>
                      </c:pt>
                      <c:pt idx="8729">
                        <c:v>60.618055555554747</c:v>
                      </c:pt>
                      <c:pt idx="8730">
                        <c:v>60.625</c:v>
                      </c:pt>
                      <c:pt idx="8731">
                        <c:v>60.631944444445253</c:v>
                      </c:pt>
                      <c:pt idx="8732">
                        <c:v>60.638888888890506</c:v>
                      </c:pt>
                      <c:pt idx="8733">
                        <c:v>60.645833333335759</c:v>
                      </c:pt>
                      <c:pt idx="8734">
                        <c:v>60.652777777781012</c:v>
                      </c:pt>
                      <c:pt idx="8735">
                        <c:v>60.659722222218988</c:v>
                      </c:pt>
                      <c:pt idx="8736">
                        <c:v>60.666666666664241</c:v>
                      </c:pt>
                      <c:pt idx="8737">
                        <c:v>60.673611111109494</c:v>
                      </c:pt>
                      <c:pt idx="8738">
                        <c:v>60.680555555554747</c:v>
                      </c:pt>
                      <c:pt idx="8739">
                        <c:v>60.6875</c:v>
                      </c:pt>
                      <c:pt idx="8740">
                        <c:v>60.694444444445253</c:v>
                      </c:pt>
                      <c:pt idx="8741">
                        <c:v>60.701388888890506</c:v>
                      </c:pt>
                      <c:pt idx="8742">
                        <c:v>60.708333333335759</c:v>
                      </c:pt>
                      <c:pt idx="8743">
                        <c:v>60.715277777781012</c:v>
                      </c:pt>
                      <c:pt idx="8744">
                        <c:v>60.722222222218988</c:v>
                      </c:pt>
                      <c:pt idx="8745">
                        <c:v>60.729166666664241</c:v>
                      </c:pt>
                      <c:pt idx="8746">
                        <c:v>60.736111111109494</c:v>
                      </c:pt>
                      <c:pt idx="8747">
                        <c:v>60.743055555554747</c:v>
                      </c:pt>
                      <c:pt idx="8748">
                        <c:v>60.75</c:v>
                      </c:pt>
                      <c:pt idx="8749">
                        <c:v>60.756944444445253</c:v>
                      </c:pt>
                      <c:pt idx="8750">
                        <c:v>60.763888888890506</c:v>
                      </c:pt>
                      <c:pt idx="8751">
                        <c:v>60.770833333335759</c:v>
                      </c:pt>
                      <c:pt idx="8752">
                        <c:v>60.777777777781012</c:v>
                      </c:pt>
                      <c:pt idx="8753">
                        <c:v>60.784722222218988</c:v>
                      </c:pt>
                      <c:pt idx="8754">
                        <c:v>60.791666666664241</c:v>
                      </c:pt>
                      <c:pt idx="8755">
                        <c:v>60.798611111109494</c:v>
                      </c:pt>
                      <c:pt idx="8756">
                        <c:v>60.805555555554747</c:v>
                      </c:pt>
                      <c:pt idx="8757">
                        <c:v>60.8125</c:v>
                      </c:pt>
                      <c:pt idx="8758">
                        <c:v>60.819444444445253</c:v>
                      </c:pt>
                      <c:pt idx="8759">
                        <c:v>60.826388888890506</c:v>
                      </c:pt>
                      <c:pt idx="8760">
                        <c:v>60.833333333335759</c:v>
                      </c:pt>
                      <c:pt idx="8761">
                        <c:v>60.840277777781012</c:v>
                      </c:pt>
                      <c:pt idx="8762">
                        <c:v>60.847222222218988</c:v>
                      </c:pt>
                      <c:pt idx="8763">
                        <c:v>60.854166666664241</c:v>
                      </c:pt>
                      <c:pt idx="8764">
                        <c:v>60.861111111109494</c:v>
                      </c:pt>
                      <c:pt idx="8765">
                        <c:v>60.868055555554747</c:v>
                      </c:pt>
                      <c:pt idx="8766">
                        <c:v>60.875</c:v>
                      </c:pt>
                      <c:pt idx="8767">
                        <c:v>60.881944444445253</c:v>
                      </c:pt>
                      <c:pt idx="8768">
                        <c:v>60.888888888890506</c:v>
                      </c:pt>
                      <c:pt idx="8769">
                        <c:v>60.895833333335759</c:v>
                      </c:pt>
                      <c:pt idx="8770">
                        <c:v>60.902777777781012</c:v>
                      </c:pt>
                      <c:pt idx="8771">
                        <c:v>60.909722222218988</c:v>
                      </c:pt>
                      <c:pt idx="8772">
                        <c:v>60.916666666664241</c:v>
                      </c:pt>
                      <c:pt idx="8773">
                        <c:v>60.923611111109494</c:v>
                      </c:pt>
                      <c:pt idx="8774">
                        <c:v>60.930555555554747</c:v>
                      </c:pt>
                      <c:pt idx="8775">
                        <c:v>60.9375</c:v>
                      </c:pt>
                      <c:pt idx="8776">
                        <c:v>60.944444444445253</c:v>
                      </c:pt>
                      <c:pt idx="8777">
                        <c:v>60.951388888890506</c:v>
                      </c:pt>
                      <c:pt idx="8778">
                        <c:v>60.958333333335759</c:v>
                      </c:pt>
                      <c:pt idx="8779">
                        <c:v>60.965277777781012</c:v>
                      </c:pt>
                      <c:pt idx="8780">
                        <c:v>60.972222222218988</c:v>
                      </c:pt>
                      <c:pt idx="8781">
                        <c:v>60.979166666664241</c:v>
                      </c:pt>
                      <c:pt idx="8782">
                        <c:v>60.986111111109494</c:v>
                      </c:pt>
                      <c:pt idx="8783">
                        <c:v>60.993055555554747</c:v>
                      </c:pt>
                      <c:pt idx="8784">
                        <c:v>61</c:v>
                      </c:pt>
                      <c:pt idx="8785">
                        <c:v>61.006944444445253</c:v>
                      </c:pt>
                      <c:pt idx="8786">
                        <c:v>61.013888888890506</c:v>
                      </c:pt>
                      <c:pt idx="8787">
                        <c:v>61.020833333335759</c:v>
                      </c:pt>
                      <c:pt idx="8788">
                        <c:v>61.027777777781012</c:v>
                      </c:pt>
                      <c:pt idx="8789">
                        <c:v>61.034722222218988</c:v>
                      </c:pt>
                      <c:pt idx="8790">
                        <c:v>61.041666666664241</c:v>
                      </c:pt>
                      <c:pt idx="8791">
                        <c:v>61.048611111109494</c:v>
                      </c:pt>
                      <c:pt idx="8792">
                        <c:v>61.055555555554747</c:v>
                      </c:pt>
                      <c:pt idx="8793">
                        <c:v>61.0625</c:v>
                      </c:pt>
                      <c:pt idx="8794">
                        <c:v>61.069444444445253</c:v>
                      </c:pt>
                      <c:pt idx="8795">
                        <c:v>61.076388888890506</c:v>
                      </c:pt>
                      <c:pt idx="8796">
                        <c:v>61.083333333335759</c:v>
                      </c:pt>
                      <c:pt idx="8797">
                        <c:v>61.090277777781012</c:v>
                      </c:pt>
                      <c:pt idx="8798">
                        <c:v>61.097222222218988</c:v>
                      </c:pt>
                      <c:pt idx="8799">
                        <c:v>61.104166666664241</c:v>
                      </c:pt>
                      <c:pt idx="8800">
                        <c:v>61.111111111109494</c:v>
                      </c:pt>
                      <c:pt idx="8801">
                        <c:v>61.118055555554747</c:v>
                      </c:pt>
                      <c:pt idx="8802">
                        <c:v>61.125</c:v>
                      </c:pt>
                      <c:pt idx="8803">
                        <c:v>61.131944444445253</c:v>
                      </c:pt>
                      <c:pt idx="8804">
                        <c:v>61.138888888890506</c:v>
                      </c:pt>
                      <c:pt idx="8805">
                        <c:v>61.145833333335759</c:v>
                      </c:pt>
                      <c:pt idx="8806">
                        <c:v>61.152777777781012</c:v>
                      </c:pt>
                      <c:pt idx="8807">
                        <c:v>61.159722222218988</c:v>
                      </c:pt>
                      <c:pt idx="8808">
                        <c:v>61.166666666664241</c:v>
                      </c:pt>
                      <c:pt idx="8809">
                        <c:v>61.173611111109494</c:v>
                      </c:pt>
                      <c:pt idx="8810">
                        <c:v>61.180555555554747</c:v>
                      </c:pt>
                      <c:pt idx="8811">
                        <c:v>61.1875</c:v>
                      </c:pt>
                      <c:pt idx="8812">
                        <c:v>61.194444444445253</c:v>
                      </c:pt>
                      <c:pt idx="8813">
                        <c:v>61.201388888890506</c:v>
                      </c:pt>
                      <c:pt idx="8814">
                        <c:v>61.208333333335759</c:v>
                      </c:pt>
                      <c:pt idx="8815">
                        <c:v>61.215277777781012</c:v>
                      </c:pt>
                      <c:pt idx="8816">
                        <c:v>61.222222222218988</c:v>
                      </c:pt>
                      <c:pt idx="8817">
                        <c:v>61.229166666664241</c:v>
                      </c:pt>
                      <c:pt idx="8818">
                        <c:v>61.236111111109494</c:v>
                      </c:pt>
                      <c:pt idx="8819">
                        <c:v>61.243055555554747</c:v>
                      </c:pt>
                      <c:pt idx="8820">
                        <c:v>61.25</c:v>
                      </c:pt>
                      <c:pt idx="8821">
                        <c:v>61.256944444445253</c:v>
                      </c:pt>
                      <c:pt idx="8822">
                        <c:v>61.263888888890506</c:v>
                      </c:pt>
                      <c:pt idx="8823">
                        <c:v>61.270833333335759</c:v>
                      </c:pt>
                      <c:pt idx="8824">
                        <c:v>61.277777777781012</c:v>
                      </c:pt>
                      <c:pt idx="8825">
                        <c:v>61.284722222218988</c:v>
                      </c:pt>
                      <c:pt idx="8826">
                        <c:v>61.291666666664241</c:v>
                      </c:pt>
                      <c:pt idx="8827">
                        <c:v>61.298611111109494</c:v>
                      </c:pt>
                      <c:pt idx="8828">
                        <c:v>61.305555555554747</c:v>
                      </c:pt>
                      <c:pt idx="8829">
                        <c:v>61.3125</c:v>
                      </c:pt>
                      <c:pt idx="8830">
                        <c:v>61.319444444445253</c:v>
                      </c:pt>
                      <c:pt idx="8831">
                        <c:v>61.326388888890506</c:v>
                      </c:pt>
                      <c:pt idx="8832">
                        <c:v>61.333333333335759</c:v>
                      </c:pt>
                      <c:pt idx="8833">
                        <c:v>61.340277777781012</c:v>
                      </c:pt>
                      <c:pt idx="8834">
                        <c:v>61.347222222218988</c:v>
                      </c:pt>
                      <c:pt idx="8835">
                        <c:v>61.354166666664241</c:v>
                      </c:pt>
                      <c:pt idx="8836">
                        <c:v>61.361111111109494</c:v>
                      </c:pt>
                      <c:pt idx="8837">
                        <c:v>61.368055555554747</c:v>
                      </c:pt>
                      <c:pt idx="8838">
                        <c:v>61.375</c:v>
                      </c:pt>
                      <c:pt idx="8839">
                        <c:v>61.381944444445253</c:v>
                      </c:pt>
                      <c:pt idx="8840">
                        <c:v>61.388888888890506</c:v>
                      </c:pt>
                      <c:pt idx="8841">
                        <c:v>61.395833333335759</c:v>
                      </c:pt>
                      <c:pt idx="8842">
                        <c:v>61.402777777781012</c:v>
                      </c:pt>
                      <c:pt idx="8843">
                        <c:v>61.409722222218988</c:v>
                      </c:pt>
                      <c:pt idx="8844">
                        <c:v>61.416666666664241</c:v>
                      </c:pt>
                      <c:pt idx="8845">
                        <c:v>61.423611111109494</c:v>
                      </c:pt>
                      <c:pt idx="8846">
                        <c:v>61.430555555554747</c:v>
                      </c:pt>
                      <c:pt idx="8847">
                        <c:v>61.4375</c:v>
                      </c:pt>
                      <c:pt idx="8848">
                        <c:v>61.444444444445253</c:v>
                      </c:pt>
                      <c:pt idx="8849">
                        <c:v>61.451388888890506</c:v>
                      </c:pt>
                      <c:pt idx="8850">
                        <c:v>61.458333333335759</c:v>
                      </c:pt>
                      <c:pt idx="8851">
                        <c:v>61.465277777781012</c:v>
                      </c:pt>
                      <c:pt idx="8852">
                        <c:v>61.472222222218988</c:v>
                      </c:pt>
                      <c:pt idx="8853">
                        <c:v>61.479166666664241</c:v>
                      </c:pt>
                      <c:pt idx="8854">
                        <c:v>61.486111111109494</c:v>
                      </c:pt>
                      <c:pt idx="8855">
                        <c:v>61.493055555554747</c:v>
                      </c:pt>
                      <c:pt idx="8856">
                        <c:v>61.5</c:v>
                      </c:pt>
                      <c:pt idx="8857">
                        <c:v>61.506944444445253</c:v>
                      </c:pt>
                      <c:pt idx="8858">
                        <c:v>61.513888888890506</c:v>
                      </c:pt>
                      <c:pt idx="8859">
                        <c:v>61.520833333335759</c:v>
                      </c:pt>
                      <c:pt idx="8860">
                        <c:v>61.527777777781012</c:v>
                      </c:pt>
                      <c:pt idx="8861">
                        <c:v>61.534722222218988</c:v>
                      </c:pt>
                      <c:pt idx="8862">
                        <c:v>61.541666666664241</c:v>
                      </c:pt>
                      <c:pt idx="8863">
                        <c:v>61.548611111109494</c:v>
                      </c:pt>
                      <c:pt idx="8864">
                        <c:v>61.555555555554747</c:v>
                      </c:pt>
                      <c:pt idx="8865">
                        <c:v>61.5625</c:v>
                      </c:pt>
                      <c:pt idx="8866">
                        <c:v>61.569444444445253</c:v>
                      </c:pt>
                      <c:pt idx="8867">
                        <c:v>61.576388888890506</c:v>
                      </c:pt>
                      <c:pt idx="8868">
                        <c:v>61.583333333335759</c:v>
                      </c:pt>
                      <c:pt idx="8869">
                        <c:v>61.590277777781012</c:v>
                      </c:pt>
                      <c:pt idx="8870">
                        <c:v>61.597222222218988</c:v>
                      </c:pt>
                      <c:pt idx="8871">
                        <c:v>61.604166666664241</c:v>
                      </c:pt>
                      <c:pt idx="8872">
                        <c:v>61.611111111109494</c:v>
                      </c:pt>
                      <c:pt idx="8873">
                        <c:v>61.618055555554747</c:v>
                      </c:pt>
                      <c:pt idx="8874">
                        <c:v>61.625</c:v>
                      </c:pt>
                      <c:pt idx="8875">
                        <c:v>61.631944444445253</c:v>
                      </c:pt>
                      <c:pt idx="8876">
                        <c:v>61.638888888890506</c:v>
                      </c:pt>
                      <c:pt idx="8877">
                        <c:v>61.645833333335759</c:v>
                      </c:pt>
                      <c:pt idx="8878">
                        <c:v>61.652777777781012</c:v>
                      </c:pt>
                      <c:pt idx="8879">
                        <c:v>61.659722222218988</c:v>
                      </c:pt>
                      <c:pt idx="8880">
                        <c:v>61.666666666664241</c:v>
                      </c:pt>
                      <c:pt idx="8881">
                        <c:v>61.673611111109494</c:v>
                      </c:pt>
                      <c:pt idx="8882">
                        <c:v>61.680555555554747</c:v>
                      </c:pt>
                      <c:pt idx="8883">
                        <c:v>61.6875</c:v>
                      </c:pt>
                      <c:pt idx="8884">
                        <c:v>61.694444444445253</c:v>
                      </c:pt>
                      <c:pt idx="8885">
                        <c:v>61.701388888890506</c:v>
                      </c:pt>
                      <c:pt idx="8886">
                        <c:v>61.708333333335759</c:v>
                      </c:pt>
                      <c:pt idx="8887">
                        <c:v>61.715277777781012</c:v>
                      </c:pt>
                      <c:pt idx="8888">
                        <c:v>61.722222222218988</c:v>
                      </c:pt>
                      <c:pt idx="8889">
                        <c:v>61.729166666664241</c:v>
                      </c:pt>
                      <c:pt idx="8890">
                        <c:v>61.736111111109494</c:v>
                      </c:pt>
                      <c:pt idx="8891">
                        <c:v>61.743055555554747</c:v>
                      </c:pt>
                      <c:pt idx="8892">
                        <c:v>61.75</c:v>
                      </c:pt>
                      <c:pt idx="8893">
                        <c:v>61.756944444445253</c:v>
                      </c:pt>
                      <c:pt idx="8894">
                        <c:v>61.763888888890506</c:v>
                      </c:pt>
                      <c:pt idx="8895">
                        <c:v>61.770833333335759</c:v>
                      </c:pt>
                      <c:pt idx="8896">
                        <c:v>61.777777777781012</c:v>
                      </c:pt>
                      <c:pt idx="8897">
                        <c:v>61.784722222218988</c:v>
                      </c:pt>
                      <c:pt idx="8898">
                        <c:v>61.791666666664241</c:v>
                      </c:pt>
                      <c:pt idx="8899">
                        <c:v>61.798611111109494</c:v>
                      </c:pt>
                      <c:pt idx="8900">
                        <c:v>61.805555555554747</c:v>
                      </c:pt>
                      <c:pt idx="8901">
                        <c:v>61.8125</c:v>
                      </c:pt>
                      <c:pt idx="8902">
                        <c:v>61.819444444445253</c:v>
                      </c:pt>
                      <c:pt idx="8903">
                        <c:v>61.826388888890506</c:v>
                      </c:pt>
                      <c:pt idx="8904">
                        <c:v>61.833333333335759</c:v>
                      </c:pt>
                      <c:pt idx="8905">
                        <c:v>61.840277777781012</c:v>
                      </c:pt>
                      <c:pt idx="8906">
                        <c:v>61.847222222218988</c:v>
                      </c:pt>
                      <c:pt idx="8907">
                        <c:v>61.854166666664241</c:v>
                      </c:pt>
                      <c:pt idx="8908">
                        <c:v>61.861111111109494</c:v>
                      </c:pt>
                      <c:pt idx="8909">
                        <c:v>61.868055555554747</c:v>
                      </c:pt>
                      <c:pt idx="8910">
                        <c:v>61.875</c:v>
                      </c:pt>
                      <c:pt idx="8911">
                        <c:v>61.881944444445253</c:v>
                      </c:pt>
                      <c:pt idx="8912">
                        <c:v>61.888888888890506</c:v>
                      </c:pt>
                      <c:pt idx="8913">
                        <c:v>61.895833333335759</c:v>
                      </c:pt>
                      <c:pt idx="8914">
                        <c:v>61.902777777781012</c:v>
                      </c:pt>
                      <c:pt idx="8915">
                        <c:v>61.909722222218988</c:v>
                      </c:pt>
                      <c:pt idx="8916">
                        <c:v>61.916666666664241</c:v>
                      </c:pt>
                      <c:pt idx="8917">
                        <c:v>61.923611111109494</c:v>
                      </c:pt>
                      <c:pt idx="8918">
                        <c:v>61.930555555554747</c:v>
                      </c:pt>
                      <c:pt idx="8919">
                        <c:v>61.9375</c:v>
                      </c:pt>
                      <c:pt idx="8920">
                        <c:v>61.944444444445253</c:v>
                      </c:pt>
                      <c:pt idx="8921">
                        <c:v>61.951388888890506</c:v>
                      </c:pt>
                      <c:pt idx="8922">
                        <c:v>61.958333333335759</c:v>
                      </c:pt>
                      <c:pt idx="8923">
                        <c:v>61.965277777781012</c:v>
                      </c:pt>
                      <c:pt idx="8924">
                        <c:v>61.972222222218988</c:v>
                      </c:pt>
                      <c:pt idx="8925">
                        <c:v>61.979166666664241</c:v>
                      </c:pt>
                      <c:pt idx="8926">
                        <c:v>61.986111111109494</c:v>
                      </c:pt>
                      <c:pt idx="8927">
                        <c:v>61.993055555554747</c:v>
                      </c:pt>
                      <c:pt idx="8928">
                        <c:v>62</c:v>
                      </c:pt>
                      <c:pt idx="8929">
                        <c:v>62.006944444445253</c:v>
                      </c:pt>
                      <c:pt idx="8930">
                        <c:v>62.013888888890506</c:v>
                      </c:pt>
                      <c:pt idx="8931">
                        <c:v>62.020833333335759</c:v>
                      </c:pt>
                      <c:pt idx="8932">
                        <c:v>62.027777777781012</c:v>
                      </c:pt>
                      <c:pt idx="8933">
                        <c:v>62.034722222218988</c:v>
                      </c:pt>
                      <c:pt idx="8934">
                        <c:v>62.041666666664241</c:v>
                      </c:pt>
                      <c:pt idx="8935">
                        <c:v>62.048611111109494</c:v>
                      </c:pt>
                      <c:pt idx="8936">
                        <c:v>62.055555555554747</c:v>
                      </c:pt>
                      <c:pt idx="8937">
                        <c:v>62.0625</c:v>
                      </c:pt>
                      <c:pt idx="8938">
                        <c:v>62.069444444445253</c:v>
                      </c:pt>
                      <c:pt idx="8939">
                        <c:v>62.076388888890506</c:v>
                      </c:pt>
                      <c:pt idx="8940">
                        <c:v>62.083333333335759</c:v>
                      </c:pt>
                      <c:pt idx="8941">
                        <c:v>62.090277777781012</c:v>
                      </c:pt>
                      <c:pt idx="8942">
                        <c:v>62.097222222218988</c:v>
                      </c:pt>
                      <c:pt idx="8943">
                        <c:v>62.104166666664241</c:v>
                      </c:pt>
                      <c:pt idx="8944">
                        <c:v>62.111111111109494</c:v>
                      </c:pt>
                      <c:pt idx="8945">
                        <c:v>62.118055555554747</c:v>
                      </c:pt>
                      <c:pt idx="8946">
                        <c:v>62.125</c:v>
                      </c:pt>
                      <c:pt idx="8947">
                        <c:v>62.131944444445253</c:v>
                      </c:pt>
                      <c:pt idx="8948">
                        <c:v>62.138888888890506</c:v>
                      </c:pt>
                      <c:pt idx="8949">
                        <c:v>62.145833333335759</c:v>
                      </c:pt>
                      <c:pt idx="8950">
                        <c:v>62.152777777781012</c:v>
                      </c:pt>
                      <c:pt idx="8951">
                        <c:v>62.159722222218988</c:v>
                      </c:pt>
                      <c:pt idx="8952">
                        <c:v>62.166666666664241</c:v>
                      </c:pt>
                      <c:pt idx="8953">
                        <c:v>62.173611111109494</c:v>
                      </c:pt>
                      <c:pt idx="8954">
                        <c:v>62.180555555554747</c:v>
                      </c:pt>
                      <c:pt idx="8955">
                        <c:v>62.1875</c:v>
                      </c:pt>
                      <c:pt idx="8956">
                        <c:v>62.194444444445253</c:v>
                      </c:pt>
                      <c:pt idx="8957">
                        <c:v>62.201388888890506</c:v>
                      </c:pt>
                      <c:pt idx="8958">
                        <c:v>62.208333333335759</c:v>
                      </c:pt>
                      <c:pt idx="8959">
                        <c:v>62.215277777781012</c:v>
                      </c:pt>
                      <c:pt idx="8960">
                        <c:v>62.222222222218988</c:v>
                      </c:pt>
                      <c:pt idx="8961">
                        <c:v>62.229166666664241</c:v>
                      </c:pt>
                      <c:pt idx="8962">
                        <c:v>62.236111111109494</c:v>
                      </c:pt>
                      <c:pt idx="8963">
                        <c:v>62.243055555554747</c:v>
                      </c:pt>
                      <c:pt idx="8964">
                        <c:v>62.25</c:v>
                      </c:pt>
                      <c:pt idx="8965">
                        <c:v>62.256944444445253</c:v>
                      </c:pt>
                      <c:pt idx="8966">
                        <c:v>62.263888888890506</c:v>
                      </c:pt>
                      <c:pt idx="8967">
                        <c:v>62.270833333335759</c:v>
                      </c:pt>
                      <c:pt idx="8968">
                        <c:v>62.277777777781012</c:v>
                      </c:pt>
                      <c:pt idx="8969">
                        <c:v>62.284722222218988</c:v>
                      </c:pt>
                      <c:pt idx="8970">
                        <c:v>62.291666666664241</c:v>
                      </c:pt>
                      <c:pt idx="8971">
                        <c:v>62.298611111109494</c:v>
                      </c:pt>
                      <c:pt idx="8972">
                        <c:v>62.305555555554747</c:v>
                      </c:pt>
                      <c:pt idx="8973">
                        <c:v>62.3125</c:v>
                      </c:pt>
                      <c:pt idx="8974">
                        <c:v>62.319444444445253</c:v>
                      </c:pt>
                      <c:pt idx="8975">
                        <c:v>62.326388888890506</c:v>
                      </c:pt>
                      <c:pt idx="8976">
                        <c:v>62.333333333335759</c:v>
                      </c:pt>
                      <c:pt idx="8977">
                        <c:v>62.340277777781012</c:v>
                      </c:pt>
                      <c:pt idx="8978">
                        <c:v>62.347222222218988</c:v>
                      </c:pt>
                      <c:pt idx="8979">
                        <c:v>62.354166666664241</c:v>
                      </c:pt>
                      <c:pt idx="8980">
                        <c:v>62.361111111109494</c:v>
                      </c:pt>
                      <c:pt idx="8981">
                        <c:v>62.368055555554747</c:v>
                      </c:pt>
                      <c:pt idx="8982">
                        <c:v>62.375</c:v>
                      </c:pt>
                      <c:pt idx="8983">
                        <c:v>62.381944444445253</c:v>
                      </c:pt>
                      <c:pt idx="8984">
                        <c:v>62.388888888890506</c:v>
                      </c:pt>
                      <c:pt idx="8985">
                        <c:v>62.395833333335759</c:v>
                      </c:pt>
                      <c:pt idx="8986">
                        <c:v>62.402777777781012</c:v>
                      </c:pt>
                      <c:pt idx="8987">
                        <c:v>62.409722222218988</c:v>
                      </c:pt>
                      <c:pt idx="8988">
                        <c:v>62.416666666664241</c:v>
                      </c:pt>
                      <c:pt idx="8989">
                        <c:v>62.423611111109494</c:v>
                      </c:pt>
                      <c:pt idx="8990">
                        <c:v>62.430555555554747</c:v>
                      </c:pt>
                      <c:pt idx="8991">
                        <c:v>62.4375</c:v>
                      </c:pt>
                      <c:pt idx="8992">
                        <c:v>62.444444444445253</c:v>
                      </c:pt>
                      <c:pt idx="8993">
                        <c:v>62.451388888890506</c:v>
                      </c:pt>
                      <c:pt idx="8994">
                        <c:v>62.458333333335759</c:v>
                      </c:pt>
                      <c:pt idx="8995">
                        <c:v>62.465277777781012</c:v>
                      </c:pt>
                      <c:pt idx="8996">
                        <c:v>62.472222222218988</c:v>
                      </c:pt>
                      <c:pt idx="8997">
                        <c:v>62.479166666664241</c:v>
                      </c:pt>
                      <c:pt idx="8998">
                        <c:v>62.486111111109494</c:v>
                      </c:pt>
                      <c:pt idx="8999">
                        <c:v>62.493055555554747</c:v>
                      </c:pt>
                      <c:pt idx="9000">
                        <c:v>62.5</c:v>
                      </c:pt>
                      <c:pt idx="9001">
                        <c:v>62.506944444445253</c:v>
                      </c:pt>
                      <c:pt idx="9002">
                        <c:v>62.513888888890506</c:v>
                      </c:pt>
                      <c:pt idx="9003">
                        <c:v>62.520833333335759</c:v>
                      </c:pt>
                      <c:pt idx="9004">
                        <c:v>62.527777777781012</c:v>
                      </c:pt>
                      <c:pt idx="9005">
                        <c:v>62.534722222218988</c:v>
                      </c:pt>
                      <c:pt idx="9006">
                        <c:v>62.541666666664241</c:v>
                      </c:pt>
                      <c:pt idx="9007">
                        <c:v>62.548611111109494</c:v>
                      </c:pt>
                      <c:pt idx="9008">
                        <c:v>62.555555555554747</c:v>
                      </c:pt>
                      <c:pt idx="9009">
                        <c:v>62.5625</c:v>
                      </c:pt>
                      <c:pt idx="9010">
                        <c:v>62.569444444445253</c:v>
                      </c:pt>
                      <c:pt idx="9011">
                        <c:v>62.576388888890506</c:v>
                      </c:pt>
                      <c:pt idx="9012">
                        <c:v>62.583333333335759</c:v>
                      </c:pt>
                      <c:pt idx="9013">
                        <c:v>62.590277777781012</c:v>
                      </c:pt>
                      <c:pt idx="9014">
                        <c:v>62.597222222218988</c:v>
                      </c:pt>
                      <c:pt idx="9015">
                        <c:v>62.604166666664241</c:v>
                      </c:pt>
                      <c:pt idx="9016">
                        <c:v>62.611111111109494</c:v>
                      </c:pt>
                      <c:pt idx="9017">
                        <c:v>62.618055555554747</c:v>
                      </c:pt>
                      <c:pt idx="9018">
                        <c:v>62.625</c:v>
                      </c:pt>
                      <c:pt idx="9019">
                        <c:v>62.631944444445253</c:v>
                      </c:pt>
                      <c:pt idx="9020">
                        <c:v>62.638888888890506</c:v>
                      </c:pt>
                      <c:pt idx="9021">
                        <c:v>62.645833333335759</c:v>
                      </c:pt>
                      <c:pt idx="9022">
                        <c:v>62.652777777781012</c:v>
                      </c:pt>
                      <c:pt idx="9023">
                        <c:v>62.659722222218988</c:v>
                      </c:pt>
                      <c:pt idx="9024">
                        <c:v>62.666666666664241</c:v>
                      </c:pt>
                      <c:pt idx="9025">
                        <c:v>62.673611111109494</c:v>
                      </c:pt>
                      <c:pt idx="9026">
                        <c:v>62.680555555554747</c:v>
                      </c:pt>
                      <c:pt idx="9027">
                        <c:v>62.6875</c:v>
                      </c:pt>
                      <c:pt idx="9028">
                        <c:v>62.694444444445253</c:v>
                      </c:pt>
                      <c:pt idx="9029">
                        <c:v>62.701388888890506</c:v>
                      </c:pt>
                      <c:pt idx="9030">
                        <c:v>62.708333333335759</c:v>
                      </c:pt>
                      <c:pt idx="9031">
                        <c:v>62.715277777781012</c:v>
                      </c:pt>
                      <c:pt idx="9032">
                        <c:v>62.722222222218988</c:v>
                      </c:pt>
                      <c:pt idx="9033">
                        <c:v>62.729166666664241</c:v>
                      </c:pt>
                      <c:pt idx="9034">
                        <c:v>62.736111111109494</c:v>
                      </c:pt>
                      <c:pt idx="9035">
                        <c:v>62.743055555554747</c:v>
                      </c:pt>
                      <c:pt idx="9036">
                        <c:v>62.75</c:v>
                      </c:pt>
                      <c:pt idx="9037">
                        <c:v>62.756944444445253</c:v>
                      </c:pt>
                      <c:pt idx="9038">
                        <c:v>62.763888888890506</c:v>
                      </c:pt>
                      <c:pt idx="9039">
                        <c:v>62.770833333335759</c:v>
                      </c:pt>
                      <c:pt idx="9040">
                        <c:v>62.777777777781012</c:v>
                      </c:pt>
                      <c:pt idx="9041">
                        <c:v>62.784722222218988</c:v>
                      </c:pt>
                      <c:pt idx="9042">
                        <c:v>62.791666666664241</c:v>
                      </c:pt>
                      <c:pt idx="9043">
                        <c:v>62.798611111109494</c:v>
                      </c:pt>
                      <c:pt idx="9044">
                        <c:v>62.805555555554747</c:v>
                      </c:pt>
                      <c:pt idx="9045">
                        <c:v>62.8125</c:v>
                      </c:pt>
                      <c:pt idx="9046">
                        <c:v>62.819444444445253</c:v>
                      </c:pt>
                      <c:pt idx="9047">
                        <c:v>62.826388888890506</c:v>
                      </c:pt>
                      <c:pt idx="9048">
                        <c:v>62.833333333335759</c:v>
                      </c:pt>
                      <c:pt idx="9049">
                        <c:v>62.840277777781012</c:v>
                      </c:pt>
                      <c:pt idx="9050">
                        <c:v>62.847222222218988</c:v>
                      </c:pt>
                      <c:pt idx="9051">
                        <c:v>62.854166666664241</c:v>
                      </c:pt>
                      <c:pt idx="9052">
                        <c:v>62.861111111109494</c:v>
                      </c:pt>
                      <c:pt idx="9053">
                        <c:v>62.868055555554747</c:v>
                      </c:pt>
                      <c:pt idx="9054">
                        <c:v>62.875</c:v>
                      </c:pt>
                      <c:pt idx="9055">
                        <c:v>62.881944444445253</c:v>
                      </c:pt>
                      <c:pt idx="9056">
                        <c:v>62.888888888890506</c:v>
                      </c:pt>
                      <c:pt idx="9057">
                        <c:v>62.895833333335759</c:v>
                      </c:pt>
                      <c:pt idx="9058">
                        <c:v>62.902777777781012</c:v>
                      </c:pt>
                      <c:pt idx="9059">
                        <c:v>62.909722222218988</c:v>
                      </c:pt>
                      <c:pt idx="9060">
                        <c:v>62.916666666664241</c:v>
                      </c:pt>
                      <c:pt idx="9061">
                        <c:v>62.923611111109494</c:v>
                      </c:pt>
                      <c:pt idx="9062">
                        <c:v>62.930555555554747</c:v>
                      </c:pt>
                      <c:pt idx="9063">
                        <c:v>62.9375</c:v>
                      </c:pt>
                      <c:pt idx="9064">
                        <c:v>62.944444444445253</c:v>
                      </c:pt>
                      <c:pt idx="9065">
                        <c:v>62.951388888890506</c:v>
                      </c:pt>
                      <c:pt idx="9066">
                        <c:v>62.958333333335759</c:v>
                      </c:pt>
                      <c:pt idx="9067">
                        <c:v>62.965277777781012</c:v>
                      </c:pt>
                      <c:pt idx="9068">
                        <c:v>62.972222222218988</c:v>
                      </c:pt>
                      <c:pt idx="9069">
                        <c:v>62.979166666664241</c:v>
                      </c:pt>
                      <c:pt idx="9070">
                        <c:v>62.986111111109494</c:v>
                      </c:pt>
                      <c:pt idx="9071">
                        <c:v>62.993055555554747</c:v>
                      </c:pt>
                      <c:pt idx="9072">
                        <c:v>63</c:v>
                      </c:pt>
                      <c:pt idx="9073">
                        <c:v>63.006944444445253</c:v>
                      </c:pt>
                      <c:pt idx="9074">
                        <c:v>63.013888888890506</c:v>
                      </c:pt>
                      <c:pt idx="9075">
                        <c:v>63.020833333335759</c:v>
                      </c:pt>
                      <c:pt idx="9076">
                        <c:v>63.027777777781012</c:v>
                      </c:pt>
                      <c:pt idx="9077">
                        <c:v>63.034722222218988</c:v>
                      </c:pt>
                      <c:pt idx="9078">
                        <c:v>63.041666666664241</c:v>
                      </c:pt>
                      <c:pt idx="9079">
                        <c:v>63.048611111109494</c:v>
                      </c:pt>
                      <c:pt idx="9080">
                        <c:v>63.055555555554747</c:v>
                      </c:pt>
                      <c:pt idx="9081">
                        <c:v>63.0625</c:v>
                      </c:pt>
                      <c:pt idx="9082">
                        <c:v>63.069444444445253</c:v>
                      </c:pt>
                      <c:pt idx="9083">
                        <c:v>63.076388888890506</c:v>
                      </c:pt>
                      <c:pt idx="9084">
                        <c:v>63.083333333335759</c:v>
                      </c:pt>
                      <c:pt idx="9085">
                        <c:v>63.090277777781012</c:v>
                      </c:pt>
                      <c:pt idx="9086">
                        <c:v>63.097222222218988</c:v>
                      </c:pt>
                      <c:pt idx="9087">
                        <c:v>63.104166666664241</c:v>
                      </c:pt>
                      <c:pt idx="9088">
                        <c:v>63.111111111109494</c:v>
                      </c:pt>
                      <c:pt idx="9089">
                        <c:v>63.118055555554747</c:v>
                      </c:pt>
                      <c:pt idx="9090">
                        <c:v>63.125</c:v>
                      </c:pt>
                      <c:pt idx="9091">
                        <c:v>63.131944444445253</c:v>
                      </c:pt>
                      <c:pt idx="9092">
                        <c:v>63.138888888890506</c:v>
                      </c:pt>
                      <c:pt idx="9093">
                        <c:v>63.145833333335759</c:v>
                      </c:pt>
                      <c:pt idx="9094">
                        <c:v>63.152777777781012</c:v>
                      </c:pt>
                      <c:pt idx="9095">
                        <c:v>63.159722222218988</c:v>
                      </c:pt>
                      <c:pt idx="9096">
                        <c:v>63.166666666664241</c:v>
                      </c:pt>
                      <c:pt idx="9097">
                        <c:v>63.173611111109494</c:v>
                      </c:pt>
                      <c:pt idx="9098">
                        <c:v>63.180555555554747</c:v>
                      </c:pt>
                      <c:pt idx="9099">
                        <c:v>63.1875</c:v>
                      </c:pt>
                      <c:pt idx="9100">
                        <c:v>63.194444444445253</c:v>
                      </c:pt>
                      <c:pt idx="9101">
                        <c:v>63.201388888890506</c:v>
                      </c:pt>
                      <c:pt idx="9102">
                        <c:v>63.208333333335759</c:v>
                      </c:pt>
                      <c:pt idx="9103">
                        <c:v>63.215277777781012</c:v>
                      </c:pt>
                      <c:pt idx="9104">
                        <c:v>63.222222222218988</c:v>
                      </c:pt>
                      <c:pt idx="9105">
                        <c:v>63.229166666664241</c:v>
                      </c:pt>
                      <c:pt idx="9106">
                        <c:v>63.236111111109494</c:v>
                      </c:pt>
                      <c:pt idx="9107">
                        <c:v>63.243055555554747</c:v>
                      </c:pt>
                      <c:pt idx="9108">
                        <c:v>63.25</c:v>
                      </c:pt>
                      <c:pt idx="9109">
                        <c:v>63.256944444445253</c:v>
                      </c:pt>
                      <c:pt idx="9110">
                        <c:v>63.263888888890506</c:v>
                      </c:pt>
                      <c:pt idx="9111">
                        <c:v>63.270833333335759</c:v>
                      </c:pt>
                      <c:pt idx="9112">
                        <c:v>63.277777777781012</c:v>
                      </c:pt>
                      <c:pt idx="9113">
                        <c:v>63.284722222218988</c:v>
                      </c:pt>
                      <c:pt idx="9114">
                        <c:v>63.291666666664241</c:v>
                      </c:pt>
                      <c:pt idx="9115">
                        <c:v>63.298611111109494</c:v>
                      </c:pt>
                      <c:pt idx="9116">
                        <c:v>63.305555555554747</c:v>
                      </c:pt>
                      <c:pt idx="9117">
                        <c:v>63.3125</c:v>
                      </c:pt>
                      <c:pt idx="9118">
                        <c:v>63.319444444445253</c:v>
                      </c:pt>
                      <c:pt idx="9119">
                        <c:v>63.326388888890506</c:v>
                      </c:pt>
                      <c:pt idx="9120">
                        <c:v>63.333333333335759</c:v>
                      </c:pt>
                      <c:pt idx="9121">
                        <c:v>63.340277777781012</c:v>
                      </c:pt>
                      <c:pt idx="9122">
                        <c:v>63.347222222218988</c:v>
                      </c:pt>
                      <c:pt idx="9123">
                        <c:v>63.354166666664241</c:v>
                      </c:pt>
                      <c:pt idx="9124">
                        <c:v>63.361111111109494</c:v>
                      </c:pt>
                      <c:pt idx="9125">
                        <c:v>63.368055555554747</c:v>
                      </c:pt>
                      <c:pt idx="9126">
                        <c:v>63.375</c:v>
                      </c:pt>
                      <c:pt idx="9127">
                        <c:v>63.381944444445253</c:v>
                      </c:pt>
                      <c:pt idx="9128">
                        <c:v>63.388888888890506</c:v>
                      </c:pt>
                      <c:pt idx="9129">
                        <c:v>63.395833333335759</c:v>
                      </c:pt>
                      <c:pt idx="9130">
                        <c:v>63.402777777781012</c:v>
                      </c:pt>
                      <c:pt idx="9131">
                        <c:v>63.409722222218988</c:v>
                      </c:pt>
                      <c:pt idx="9132">
                        <c:v>63.416666666664241</c:v>
                      </c:pt>
                      <c:pt idx="9133">
                        <c:v>63.423611111109494</c:v>
                      </c:pt>
                      <c:pt idx="9134">
                        <c:v>63.430555555554747</c:v>
                      </c:pt>
                      <c:pt idx="9135">
                        <c:v>63.4375</c:v>
                      </c:pt>
                      <c:pt idx="9136">
                        <c:v>63.444444444445253</c:v>
                      </c:pt>
                      <c:pt idx="9137">
                        <c:v>63.451388888890506</c:v>
                      </c:pt>
                      <c:pt idx="9138">
                        <c:v>63.458333333335759</c:v>
                      </c:pt>
                      <c:pt idx="9139">
                        <c:v>63.465277777781012</c:v>
                      </c:pt>
                      <c:pt idx="9140">
                        <c:v>63.472222222218988</c:v>
                      </c:pt>
                      <c:pt idx="9141">
                        <c:v>63.479166666664241</c:v>
                      </c:pt>
                      <c:pt idx="9142">
                        <c:v>63.486111111109494</c:v>
                      </c:pt>
                      <c:pt idx="9143">
                        <c:v>63.493055555554747</c:v>
                      </c:pt>
                      <c:pt idx="9144">
                        <c:v>63.5</c:v>
                      </c:pt>
                      <c:pt idx="9145">
                        <c:v>63.506944444445253</c:v>
                      </c:pt>
                      <c:pt idx="9146">
                        <c:v>63.513888888890506</c:v>
                      </c:pt>
                      <c:pt idx="9147">
                        <c:v>63.520833333335759</c:v>
                      </c:pt>
                      <c:pt idx="9148">
                        <c:v>63.527777777781012</c:v>
                      </c:pt>
                      <c:pt idx="9149">
                        <c:v>63.534722222218988</c:v>
                      </c:pt>
                      <c:pt idx="9150">
                        <c:v>63.541666666664241</c:v>
                      </c:pt>
                      <c:pt idx="9151">
                        <c:v>63.548611111109494</c:v>
                      </c:pt>
                      <c:pt idx="9152">
                        <c:v>63.555555555554747</c:v>
                      </c:pt>
                      <c:pt idx="9153">
                        <c:v>63.5625</c:v>
                      </c:pt>
                      <c:pt idx="9154">
                        <c:v>63.569444444445253</c:v>
                      </c:pt>
                      <c:pt idx="9155">
                        <c:v>63.576388888890506</c:v>
                      </c:pt>
                      <c:pt idx="9156">
                        <c:v>63.583333333335759</c:v>
                      </c:pt>
                      <c:pt idx="9157">
                        <c:v>63.590277777781012</c:v>
                      </c:pt>
                      <c:pt idx="9158">
                        <c:v>63.597222222218988</c:v>
                      </c:pt>
                      <c:pt idx="9159">
                        <c:v>63.604166666664241</c:v>
                      </c:pt>
                      <c:pt idx="9160">
                        <c:v>63.611111111109494</c:v>
                      </c:pt>
                      <c:pt idx="9161">
                        <c:v>63.618055555554747</c:v>
                      </c:pt>
                      <c:pt idx="9162">
                        <c:v>63.625</c:v>
                      </c:pt>
                      <c:pt idx="9163">
                        <c:v>63.631944444445253</c:v>
                      </c:pt>
                      <c:pt idx="9164">
                        <c:v>63.638888888890506</c:v>
                      </c:pt>
                      <c:pt idx="9165">
                        <c:v>63.645833333335759</c:v>
                      </c:pt>
                      <c:pt idx="9166">
                        <c:v>63.652777777781012</c:v>
                      </c:pt>
                      <c:pt idx="9167">
                        <c:v>63.659722222218988</c:v>
                      </c:pt>
                      <c:pt idx="9168">
                        <c:v>63.666666666664241</c:v>
                      </c:pt>
                      <c:pt idx="9169">
                        <c:v>63.673611111109494</c:v>
                      </c:pt>
                      <c:pt idx="9170">
                        <c:v>63.680555555554747</c:v>
                      </c:pt>
                      <c:pt idx="9171">
                        <c:v>63.6875</c:v>
                      </c:pt>
                      <c:pt idx="9172">
                        <c:v>63.694444444445253</c:v>
                      </c:pt>
                      <c:pt idx="9173">
                        <c:v>63.701388888890506</c:v>
                      </c:pt>
                      <c:pt idx="9174">
                        <c:v>63.708333333335759</c:v>
                      </c:pt>
                      <c:pt idx="9175">
                        <c:v>63.715277777781012</c:v>
                      </c:pt>
                      <c:pt idx="9176">
                        <c:v>63.722222222218988</c:v>
                      </c:pt>
                      <c:pt idx="9177">
                        <c:v>63.729166666664241</c:v>
                      </c:pt>
                      <c:pt idx="9178">
                        <c:v>63.736111111109494</c:v>
                      </c:pt>
                      <c:pt idx="9179">
                        <c:v>63.743055555554747</c:v>
                      </c:pt>
                      <c:pt idx="9180">
                        <c:v>63.75</c:v>
                      </c:pt>
                      <c:pt idx="9181">
                        <c:v>63.756944444445253</c:v>
                      </c:pt>
                      <c:pt idx="9182">
                        <c:v>63.763888888890506</c:v>
                      </c:pt>
                      <c:pt idx="9183">
                        <c:v>63.770833333335759</c:v>
                      </c:pt>
                      <c:pt idx="9184">
                        <c:v>63.777777777781012</c:v>
                      </c:pt>
                      <c:pt idx="9185">
                        <c:v>63.784722222218988</c:v>
                      </c:pt>
                      <c:pt idx="9186">
                        <c:v>63.791666666664241</c:v>
                      </c:pt>
                      <c:pt idx="9187">
                        <c:v>63.798611111109494</c:v>
                      </c:pt>
                      <c:pt idx="9188">
                        <c:v>63.805555555554747</c:v>
                      </c:pt>
                      <c:pt idx="9189">
                        <c:v>63.8125</c:v>
                      </c:pt>
                      <c:pt idx="9190">
                        <c:v>63.819444444445253</c:v>
                      </c:pt>
                      <c:pt idx="9191">
                        <c:v>63.826388888890506</c:v>
                      </c:pt>
                      <c:pt idx="9192">
                        <c:v>63.833333333335759</c:v>
                      </c:pt>
                      <c:pt idx="9193">
                        <c:v>63.840277777781012</c:v>
                      </c:pt>
                      <c:pt idx="9194">
                        <c:v>63.847222222218988</c:v>
                      </c:pt>
                      <c:pt idx="9195">
                        <c:v>63.854166666664241</c:v>
                      </c:pt>
                      <c:pt idx="9196">
                        <c:v>63.861111111109494</c:v>
                      </c:pt>
                      <c:pt idx="9197">
                        <c:v>63.868055555554747</c:v>
                      </c:pt>
                      <c:pt idx="9198">
                        <c:v>63.875</c:v>
                      </c:pt>
                      <c:pt idx="9199">
                        <c:v>63.881944444445253</c:v>
                      </c:pt>
                      <c:pt idx="9200">
                        <c:v>63.888888888890506</c:v>
                      </c:pt>
                      <c:pt idx="9201">
                        <c:v>63.895833333335759</c:v>
                      </c:pt>
                      <c:pt idx="9202">
                        <c:v>63.902777777781012</c:v>
                      </c:pt>
                      <c:pt idx="9203">
                        <c:v>63.909722222218988</c:v>
                      </c:pt>
                      <c:pt idx="9204">
                        <c:v>63.916666666664241</c:v>
                      </c:pt>
                      <c:pt idx="9205">
                        <c:v>63.923611111109494</c:v>
                      </c:pt>
                      <c:pt idx="9206">
                        <c:v>63.930555555554747</c:v>
                      </c:pt>
                      <c:pt idx="9207">
                        <c:v>63.9375</c:v>
                      </c:pt>
                      <c:pt idx="9208">
                        <c:v>63.944444444445253</c:v>
                      </c:pt>
                      <c:pt idx="9209">
                        <c:v>63.951388888890506</c:v>
                      </c:pt>
                      <c:pt idx="9210">
                        <c:v>63.958333333335759</c:v>
                      </c:pt>
                      <c:pt idx="9211">
                        <c:v>63.965277777781012</c:v>
                      </c:pt>
                      <c:pt idx="9212">
                        <c:v>63.972222222218988</c:v>
                      </c:pt>
                      <c:pt idx="9213">
                        <c:v>63.979166666664241</c:v>
                      </c:pt>
                      <c:pt idx="9214">
                        <c:v>63.986111111109494</c:v>
                      </c:pt>
                      <c:pt idx="9215">
                        <c:v>63.993055555554747</c:v>
                      </c:pt>
                      <c:pt idx="9216">
                        <c:v>64</c:v>
                      </c:pt>
                      <c:pt idx="9217">
                        <c:v>64.006944444445253</c:v>
                      </c:pt>
                      <c:pt idx="9218">
                        <c:v>64.013888888890506</c:v>
                      </c:pt>
                      <c:pt idx="9219">
                        <c:v>64.020833333335759</c:v>
                      </c:pt>
                      <c:pt idx="9220">
                        <c:v>64.027777777781012</c:v>
                      </c:pt>
                      <c:pt idx="9221">
                        <c:v>64.034722222218988</c:v>
                      </c:pt>
                      <c:pt idx="9222">
                        <c:v>64.041666666664241</c:v>
                      </c:pt>
                      <c:pt idx="9223">
                        <c:v>64.048611111109494</c:v>
                      </c:pt>
                      <c:pt idx="9224">
                        <c:v>64.055555555554747</c:v>
                      </c:pt>
                      <c:pt idx="9225">
                        <c:v>64.0625</c:v>
                      </c:pt>
                      <c:pt idx="9226">
                        <c:v>64.069444444445253</c:v>
                      </c:pt>
                      <c:pt idx="9227">
                        <c:v>64.076388888890506</c:v>
                      </c:pt>
                      <c:pt idx="9228">
                        <c:v>64.083333333335759</c:v>
                      </c:pt>
                      <c:pt idx="9229">
                        <c:v>64.090277777781012</c:v>
                      </c:pt>
                      <c:pt idx="9230">
                        <c:v>64.097222222218988</c:v>
                      </c:pt>
                      <c:pt idx="9231">
                        <c:v>64.104166666664241</c:v>
                      </c:pt>
                      <c:pt idx="9232">
                        <c:v>64.111111111109494</c:v>
                      </c:pt>
                      <c:pt idx="9233">
                        <c:v>64.118055555554747</c:v>
                      </c:pt>
                      <c:pt idx="9234">
                        <c:v>64.125</c:v>
                      </c:pt>
                      <c:pt idx="9235">
                        <c:v>64.131944444445253</c:v>
                      </c:pt>
                      <c:pt idx="9236">
                        <c:v>64.138888888890506</c:v>
                      </c:pt>
                      <c:pt idx="9237">
                        <c:v>64.145833333335759</c:v>
                      </c:pt>
                      <c:pt idx="9238">
                        <c:v>64.152777777781012</c:v>
                      </c:pt>
                      <c:pt idx="9239">
                        <c:v>64.159722222218988</c:v>
                      </c:pt>
                      <c:pt idx="9240">
                        <c:v>64.166666666664241</c:v>
                      </c:pt>
                      <c:pt idx="9241">
                        <c:v>64.173611111109494</c:v>
                      </c:pt>
                      <c:pt idx="9242">
                        <c:v>64.180555555554747</c:v>
                      </c:pt>
                      <c:pt idx="9243">
                        <c:v>64.1875</c:v>
                      </c:pt>
                      <c:pt idx="9244">
                        <c:v>64.194444444445253</c:v>
                      </c:pt>
                      <c:pt idx="9245">
                        <c:v>64.201388888890506</c:v>
                      </c:pt>
                      <c:pt idx="9246">
                        <c:v>64.208333333335759</c:v>
                      </c:pt>
                      <c:pt idx="9247">
                        <c:v>64.215277777781012</c:v>
                      </c:pt>
                      <c:pt idx="9248">
                        <c:v>64.222222222218988</c:v>
                      </c:pt>
                      <c:pt idx="9249">
                        <c:v>64.229166666664241</c:v>
                      </c:pt>
                      <c:pt idx="9250">
                        <c:v>64.236111111109494</c:v>
                      </c:pt>
                      <c:pt idx="9251">
                        <c:v>64.243055555554747</c:v>
                      </c:pt>
                      <c:pt idx="9252">
                        <c:v>64.25</c:v>
                      </c:pt>
                      <c:pt idx="9253">
                        <c:v>64.256944444445253</c:v>
                      </c:pt>
                      <c:pt idx="9254">
                        <c:v>64.263888888890506</c:v>
                      </c:pt>
                      <c:pt idx="9255">
                        <c:v>64.270833333335759</c:v>
                      </c:pt>
                      <c:pt idx="9256">
                        <c:v>64.277777777781012</c:v>
                      </c:pt>
                      <c:pt idx="9257">
                        <c:v>64.284722222218988</c:v>
                      </c:pt>
                      <c:pt idx="9258">
                        <c:v>64.291666666664241</c:v>
                      </c:pt>
                      <c:pt idx="9259">
                        <c:v>64.298611111109494</c:v>
                      </c:pt>
                      <c:pt idx="9260">
                        <c:v>64.305555555554747</c:v>
                      </c:pt>
                      <c:pt idx="9261">
                        <c:v>64.3125</c:v>
                      </c:pt>
                      <c:pt idx="9262">
                        <c:v>64.319444444445253</c:v>
                      </c:pt>
                      <c:pt idx="9263">
                        <c:v>64.326388888890506</c:v>
                      </c:pt>
                      <c:pt idx="9264">
                        <c:v>64.333333333335759</c:v>
                      </c:pt>
                      <c:pt idx="9265">
                        <c:v>64.340277777781012</c:v>
                      </c:pt>
                      <c:pt idx="9266">
                        <c:v>64.347222222218988</c:v>
                      </c:pt>
                      <c:pt idx="9267">
                        <c:v>64.354166666664241</c:v>
                      </c:pt>
                      <c:pt idx="9268">
                        <c:v>64.361111111109494</c:v>
                      </c:pt>
                      <c:pt idx="9269">
                        <c:v>64.368055555554747</c:v>
                      </c:pt>
                      <c:pt idx="9270">
                        <c:v>64.375</c:v>
                      </c:pt>
                      <c:pt idx="9271">
                        <c:v>64.381944444445253</c:v>
                      </c:pt>
                      <c:pt idx="9272">
                        <c:v>64.388888888890506</c:v>
                      </c:pt>
                      <c:pt idx="9273">
                        <c:v>64.395833333335759</c:v>
                      </c:pt>
                      <c:pt idx="9274">
                        <c:v>64.402777777781012</c:v>
                      </c:pt>
                      <c:pt idx="9275">
                        <c:v>64.409722222218988</c:v>
                      </c:pt>
                      <c:pt idx="9276">
                        <c:v>64.416666666664241</c:v>
                      </c:pt>
                      <c:pt idx="9277">
                        <c:v>64.423611111109494</c:v>
                      </c:pt>
                      <c:pt idx="9278">
                        <c:v>64.430555555554747</c:v>
                      </c:pt>
                      <c:pt idx="9279">
                        <c:v>64.4375</c:v>
                      </c:pt>
                      <c:pt idx="9280">
                        <c:v>64.444444444445253</c:v>
                      </c:pt>
                      <c:pt idx="9281">
                        <c:v>64.451388888890506</c:v>
                      </c:pt>
                      <c:pt idx="9282">
                        <c:v>64.458333333335759</c:v>
                      </c:pt>
                      <c:pt idx="9283">
                        <c:v>64.465277777781012</c:v>
                      </c:pt>
                      <c:pt idx="9284">
                        <c:v>64.472222222218988</c:v>
                      </c:pt>
                      <c:pt idx="9285">
                        <c:v>64.479166666664241</c:v>
                      </c:pt>
                      <c:pt idx="9286">
                        <c:v>64.486111111109494</c:v>
                      </c:pt>
                      <c:pt idx="9287">
                        <c:v>64.493055555554747</c:v>
                      </c:pt>
                      <c:pt idx="9288">
                        <c:v>64.5</c:v>
                      </c:pt>
                      <c:pt idx="9289">
                        <c:v>64.506944444445253</c:v>
                      </c:pt>
                      <c:pt idx="9290">
                        <c:v>64.513888888890506</c:v>
                      </c:pt>
                      <c:pt idx="9291">
                        <c:v>64.520833333335759</c:v>
                      </c:pt>
                      <c:pt idx="9292">
                        <c:v>64.527777777781012</c:v>
                      </c:pt>
                      <c:pt idx="9293">
                        <c:v>64.534722222218988</c:v>
                      </c:pt>
                      <c:pt idx="9294">
                        <c:v>64.541666666664241</c:v>
                      </c:pt>
                      <c:pt idx="9295">
                        <c:v>64.548611111109494</c:v>
                      </c:pt>
                      <c:pt idx="9296">
                        <c:v>64.555555555554747</c:v>
                      </c:pt>
                      <c:pt idx="9297">
                        <c:v>64.5625</c:v>
                      </c:pt>
                      <c:pt idx="9298">
                        <c:v>64.569444444445253</c:v>
                      </c:pt>
                      <c:pt idx="9299">
                        <c:v>64.576388888890506</c:v>
                      </c:pt>
                      <c:pt idx="9300">
                        <c:v>64.583333333335759</c:v>
                      </c:pt>
                      <c:pt idx="9301">
                        <c:v>64.590277777781012</c:v>
                      </c:pt>
                      <c:pt idx="9302">
                        <c:v>64.597222222218988</c:v>
                      </c:pt>
                      <c:pt idx="9303">
                        <c:v>64.604166666664241</c:v>
                      </c:pt>
                      <c:pt idx="9304">
                        <c:v>64.611111111109494</c:v>
                      </c:pt>
                      <c:pt idx="9305">
                        <c:v>64.618055555554747</c:v>
                      </c:pt>
                      <c:pt idx="9306">
                        <c:v>64.625</c:v>
                      </c:pt>
                      <c:pt idx="9307">
                        <c:v>64.631944444445253</c:v>
                      </c:pt>
                      <c:pt idx="9308">
                        <c:v>64.638888888890506</c:v>
                      </c:pt>
                      <c:pt idx="9309">
                        <c:v>64.645833333335759</c:v>
                      </c:pt>
                      <c:pt idx="9310">
                        <c:v>64.652777777781012</c:v>
                      </c:pt>
                      <c:pt idx="9311">
                        <c:v>64.659722222218988</c:v>
                      </c:pt>
                      <c:pt idx="9312">
                        <c:v>64.666666666664241</c:v>
                      </c:pt>
                      <c:pt idx="9313">
                        <c:v>64.673611111109494</c:v>
                      </c:pt>
                      <c:pt idx="9314">
                        <c:v>64.680555555554747</c:v>
                      </c:pt>
                      <c:pt idx="9315">
                        <c:v>64.6875</c:v>
                      </c:pt>
                      <c:pt idx="9316">
                        <c:v>64.694444444445253</c:v>
                      </c:pt>
                      <c:pt idx="9317">
                        <c:v>64.701388888890506</c:v>
                      </c:pt>
                      <c:pt idx="9318">
                        <c:v>64.708333333335759</c:v>
                      </c:pt>
                      <c:pt idx="9319">
                        <c:v>64.715277777781012</c:v>
                      </c:pt>
                      <c:pt idx="9320">
                        <c:v>64.722222222218988</c:v>
                      </c:pt>
                      <c:pt idx="9321">
                        <c:v>64.729166666664241</c:v>
                      </c:pt>
                      <c:pt idx="9322">
                        <c:v>64.736111111109494</c:v>
                      </c:pt>
                      <c:pt idx="9323">
                        <c:v>64.743055555554747</c:v>
                      </c:pt>
                      <c:pt idx="9324">
                        <c:v>64.75</c:v>
                      </c:pt>
                      <c:pt idx="9325">
                        <c:v>64.756944444445253</c:v>
                      </c:pt>
                      <c:pt idx="9326">
                        <c:v>64.763888888890506</c:v>
                      </c:pt>
                      <c:pt idx="9327">
                        <c:v>64.770833333335759</c:v>
                      </c:pt>
                      <c:pt idx="9328">
                        <c:v>64.777777777781012</c:v>
                      </c:pt>
                      <c:pt idx="9329">
                        <c:v>64.784722222218988</c:v>
                      </c:pt>
                      <c:pt idx="9330">
                        <c:v>64.791666666664241</c:v>
                      </c:pt>
                      <c:pt idx="9331">
                        <c:v>64.798611111109494</c:v>
                      </c:pt>
                      <c:pt idx="9332">
                        <c:v>64.805555555554747</c:v>
                      </c:pt>
                      <c:pt idx="9333">
                        <c:v>64.8125</c:v>
                      </c:pt>
                      <c:pt idx="9334">
                        <c:v>64.819444444445253</c:v>
                      </c:pt>
                      <c:pt idx="9335">
                        <c:v>64.826388888890506</c:v>
                      </c:pt>
                      <c:pt idx="9336">
                        <c:v>64.833333333335759</c:v>
                      </c:pt>
                      <c:pt idx="9337">
                        <c:v>64.840277777781012</c:v>
                      </c:pt>
                      <c:pt idx="9338">
                        <c:v>64.847222222218988</c:v>
                      </c:pt>
                      <c:pt idx="9339">
                        <c:v>64.854166666664241</c:v>
                      </c:pt>
                      <c:pt idx="9340">
                        <c:v>64.861111111109494</c:v>
                      </c:pt>
                      <c:pt idx="9341">
                        <c:v>64.868055555554747</c:v>
                      </c:pt>
                      <c:pt idx="9342">
                        <c:v>64.875</c:v>
                      </c:pt>
                      <c:pt idx="9343">
                        <c:v>64.881944444445253</c:v>
                      </c:pt>
                      <c:pt idx="9344">
                        <c:v>64.888888888890506</c:v>
                      </c:pt>
                      <c:pt idx="9345">
                        <c:v>64.895833333335759</c:v>
                      </c:pt>
                      <c:pt idx="9346">
                        <c:v>64.902777777781012</c:v>
                      </c:pt>
                      <c:pt idx="9347">
                        <c:v>64.909722222218988</c:v>
                      </c:pt>
                      <c:pt idx="9348">
                        <c:v>64.916666666664241</c:v>
                      </c:pt>
                      <c:pt idx="9349">
                        <c:v>64.923611111109494</c:v>
                      </c:pt>
                      <c:pt idx="9350">
                        <c:v>64.930555555554747</c:v>
                      </c:pt>
                      <c:pt idx="9351">
                        <c:v>64.9375</c:v>
                      </c:pt>
                      <c:pt idx="9352">
                        <c:v>64.944444444445253</c:v>
                      </c:pt>
                      <c:pt idx="9353">
                        <c:v>64.951388888890506</c:v>
                      </c:pt>
                      <c:pt idx="9354">
                        <c:v>64.958333333335759</c:v>
                      </c:pt>
                      <c:pt idx="9355">
                        <c:v>64.965277777781012</c:v>
                      </c:pt>
                      <c:pt idx="9356">
                        <c:v>64.972222222218988</c:v>
                      </c:pt>
                      <c:pt idx="9357">
                        <c:v>64.979166666664241</c:v>
                      </c:pt>
                      <c:pt idx="9358">
                        <c:v>64.986111111109494</c:v>
                      </c:pt>
                      <c:pt idx="9359">
                        <c:v>64.993055555554747</c:v>
                      </c:pt>
                      <c:pt idx="9360">
                        <c:v>65</c:v>
                      </c:pt>
                      <c:pt idx="9361">
                        <c:v>65.006944444445253</c:v>
                      </c:pt>
                      <c:pt idx="9362">
                        <c:v>65.013888888890506</c:v>
                      </c:pt>
                      <c:pt idx="9363">
                        <c:v>65.020833333335759</c:v>
                      </c:pt>
                      <c:pt idx="9364">
                        <c:v>65.027777777781012</c:v>
                      </c:pt>
                      <c:pt idx="9365">
                        <c:v>65.034722222218988</c:v>
                      </c:pt>
                      <c:pt idx="9366">
                        <c:v>65.041666666664241</c:v>
                      </c:pt>
                      <c:pt idx="9367">
                        <c:v>65.048611111109494</c:v>
                      </c:pt>
                      <c:pt idx="9368">
                        <c:v>65.055555555554747</c:v>
                      </c:pt>
                      <c:pt idx="9369">
                        <c:v>65.0625</c:v>
                      </c:pt>
                      <c:pt idx="9370">
                        <c:v>65.069444444445253</c:v>
                      </c:pt>
                      <c:pt idx="9371">
                        <c:v>65.076388888890506</c:v>
                      </c:pt>
                      <c:pt idx="9372">
                        <c:v>65.083333333335759</c:v>
                      </c:pt>
                      <c:pt idx="9373">
                        <c:v>65.090277777781012</c:v>
                      </c:pt>
                      <c:pt idx="9374">
                        <c:v>65.097222222218988</c:v>
                      </c:pt>
                      <c:pt idx="9375">
                        <c:v>65.104166666664241</c:v>
                      </c:pt>
                      <c:pt idx="9376">
                        <c:v>65.111111111109494</c:v>
                      </c:pt>
                      <c:pt idx="9377">
                        <c:v>65.118055555554747</c:v>
                      </c:pt>
                      <c:pt idx="9378">
                        <c:v>65.125</c:v>
                      </c:pt>
                      <c:pt idx="9379">
                        <c:v>65.131944444445253</c:v>
                      </c:pt>
                      <c:pt idx="9380">
                        <c:v>65.138888888890506</c:v>
                      </c:pt>
                      <c:pt idx="9381">
                        <c:v>65.145833333335759</c:v>
                      </c:pt>
                      <c:pt idx="9382">
                        <c:v>65.152777777781012</c:v>
                      </c:pt>
                      <c:pt idx="9383">
                        <c:v>65.159722222218988</c:v>
                      </c:pt>
                      <c:pt idx="9384">
                        <c:v>65.166666666664241</c:v>
                      </c:pt>
                      <c:pt idx="9385">
                        <c:v>65.173611111109494</c:v>
                      </c:pt>
                      <c:pt idx="9386">
                        <c:v>65.180555555554747</c:v>
                      </c:pt>
                      <c:pt idx="9387">
                        <c:v>65.1875</c:v>
                      </c:pt>
                      <c:pt idx="9388">
                        <c:v>65.194444444445253</c:v>
                      </c:pt>
                      <c:pt idx="9389">
                        <c:v>65.201388888890506</c:v>
                      </c:pt>
                      <c:pt idx="9390">
                        <c:v>65.208333333335759</c:v>
                      </c:pt>
                      <c:pt idx="9391">
                        <c:v>65.215277777781012</c:v>
                      </c:pt>
                      <c:pt idx="9392">
                        <c:v>65.222222222218988</c:v>
                      </c:pt>
                      <c:pt idx="9393">
                        <c:v>65.229166666664241</c:v>
                      </c:pt>
                      <c:pt idx="9394">
                        <c:v>65.236111111109494</c:v>
                      </c:pt>
                      <c:pt idx="9395">
                        <c:v>65.243055555554747</c:v>
                      </c:pt>
                      <c:pt idx="9396">
                        <c:v>65.25</c:v>
                      </c:pt>
                      <c:pt idx="9397">
                        <c:v>65.256944444445253</c:v>
                      </c:pt>
                      <c:pt idx="9398">
                        <c:v>65.263888888890506</c:v>
                      </c:pt>
                      <c:pt idx="9399">
                        <c:v>65.270833333335759</c:v>
                      </c:pt>
                      <c:pt idx="9400">
                        <c:v>65.277777777781012</c:v>
                      </c:pt>
                      <c:pt idx="9401">
                        <c:v>65.284722222218988</c:v>
                      </c:pt>
                      <c:pt idx="9402">
                        <c:v>65.291666666664241</c:v>
                      </c:pt>
                      <c:pt idx="9403">
                        <c:v>65.298611111109494</c:v>
                      </c:pt>
                      <c:pt idx="9404">
                        <c:v>65.305555555554747</c:v>
                      </c:pt>
                      <c:pt idx="9405">
                        <c:v>65.3125</c:v>
                      </c:pt>
                      <c:pt idx="9406">
                        <c:v>65.319444444445253</c:v>
                      </c:pt>
                      <c:pt idx="9407">
                        <c:v>65.326388888890506</c:v>
                      </c:pt>
                      <c:pt idx="9408">
                        <c:v>65.333333333335759</c:v>
                      </c:pt>
                      <c:pt idx="9409">
                        <c:v>65.340277777781012</c:v>
                      </c:pt>
                      <c:pt idx="9410">
                        <c:v>65.347222222218988</c:v>
                      </c:pt>
                      <c:pt idx="9411">
                        <c:v>65.354166666664241</c:v>
                      </c:pt>
                      <c:pt idx="9412">
                        <c:v>65.361111111109494</c:v>
                      </c:pt>
                      <c:pt idx="9413">
                        <c:v>65.368055555554747</c:v>
                      </c:pt>
                      <c:pt idx="9414">
                        <c:v>65.375</c:v>
                      </c:pt>
                      <c:pt idx="9415">
                        <c:v>65.381944444445253</c:v>
                      </c:pt>
                      <c:pt idx="9416">
                        <c:v>65.388888888890506</c:v>
                      </c:pt>
                      <c:pt idx="9417">
                        <c:v>65.395833333335759</c:v>
                      </c:pt>
                      <c:pt idx="9418">
                        <c:v>65.402777777781012</c:v>
                      </c:pt>
                      <c:pt idx="9419">
                        <c:v>65.409722222218988</c:v>
                      </c:pt>
                      <c:pt idx="9420">
                        <c:v>65.416666666664241</c:v>
                      </c:pt>
                      <c:pt idx="9421">
                        <c:v>65.423611111109494</c:v>
                      </c:pt>
                      <c:pt idx="9422">
                        <c:v>65.430555555554747</c:v>
                      </c:pt>
                      <c:pt idx="9423">
                        <c:v>65.4375</c:v>
                      </c:pt>
                      <c:pt idx="9424">
                        <c:v>65.444444444445253</c:v>
                      </c:pt>
                      <c:pt idx="9425">
                        <c:v>65.451388888890506</c:v>
                      </c:pt>
                      <c:pt idx="9426">
                        <c:v>65.458333333335759</c:v>
                      </c:pt>
                      <c:pt idx="9427">
                        <c:v>65.465277777781012</c:v>
                      </c:pt>
                      <c:pt idx="9428">
                        <c:v>65.472222222218988</c:v>
                      </c:pt>
                      <c:pt idx="9429">
                        <c:v>65.479166666664241</c:v>
                      </c:pt>
                      <c:pt idx="9430">
                        <c:v>65.486111111109494</c:v>
                      </c:pt>
                      <c:pt idx="9431">
                        <c:v>65.493055555554747</c:v>
                      </c:pt>
                      <c:pt idx="9432">
                        <c:v>65.5</c:v>
                      </c:pt>
                      <c:pt idx="9433">
                        <c:v>65.506944444445253</c:v>
                      </c:pt>
                      <c:pt idx="9434">
                        <c:v>65.513888888890506</c:v>
                      </c:pt>
                      <c:pt idx="9435">
                        <c:v>65.520833333335759</c:v>
                      </c:pt>
                      <c:pt idx="9436">
                        <c:v>65.527777777781012</c:v>
                      </c:pt>
                      <c:pt idx="9437">
                        <c:v>65.534722222218988</c:v>
                      </c:pt>
                      <c:pt idx="9438">
                        <c:v>65.541666666664241</c:v>
                      </c:pt>
                      <c:pt idx="9439">
                        <c:v>65.548611111109494</c:v>
                      </c:pt>
                      <c:pt idx="9440">
                        <c:v>65.555555555554747</c:v>
                      </c:pt>
                      <c:pt idx="9441">
                        <c:v>65.5625</c:v>
                      </c:pt>
                      <c:pt idx="9442">
                        <c:v>65.569444444445253</c:v>
                      </c:pt>
                      <c:pt idx="9443">
                        <c:v>65.576388888890506</c:v>
                      </c:pt>
                      <c:pt idx="9444">
                        <c:v>65.583333333335759</c:v>
                      </c:pt>
                      <c:pt idx="9445">
                        <c:v>65.590277777781012</c:v>
                      </c:pt>
                      <c:pt idx="9446">
                        <c:v>65.597222222218988</c:v>
                      </c:pt>
                      <c:pt idx="9447">
                        <c:v>65.604166666664241</c:v>
                      </c:pt>
                      <c:pt idx="9448">
                        <c:v>65.611111111109494</c:v>
                      </c:pt>
                      <c:pt idx="9449">
                        <c:v>65.618055555554747</c:v>
                      </c:pt>
                      <c:pt idx="9450">
                        <c:v>65.625</c:v>
                      </c:pt>
                      <c:pt idx="9451">
                        <c:v>65.631944444445253</c:v>
                      </c:pt>
                      <c:pt idx="9452">
                        <c:v>65.638888888890506</c:v>
                      </c:pt>
                      <c:pt idx="9453">
                        <c:v>65.645833333335759</c:v>
                      </c:pt>
                      <c:pt idx="9454">
                        <c:v>65.652777777781012</c:v>
                      </c:pt>
                      <c:pt idx="9455">
                        <c:v>65.659722222218988</c:v>
                      </c:pt>
                      <c:pt idx="9456">
                        <c:v>65.666666666664241</c:v>
                      </c:pt>
                      <c:pt idx="9457">
                        <c:v>65.673611111109494</c:v>
                      </c:pt>
                      <c:pt idx="9458">
                        <c:v>65.680555555554747</c:v>
                      </c:pt>
                      <c:pt idx="9459">
                        <c:v>65.6875</c:v>
                      </c:pt>
                      <c:pt idx="9460">
                        <c:v>65.694444444445253</c:v>
                      </c:pt>
                      <c:pt idx="9461">
                        <c:v>65.701388888890506</c:v>
                      </c:pt>
                      <c:pt idx="9462">
                        <c:v>65.708333333335759</c:v>
                      </c:pt>
                      <c:pt idx="9463">
                        <c:v>65.715277777781012</c:v>
                      </c:pt>
                      <c:pt idx="9464">
                        <c:v>65.722222222218988</c:v>
                      </c:pt>
                      <c:pt idx="9465">
                        <c:v>65.729166666664241</c:v>
                      </c:pt>
                      <c:pt idx="9466">
                        <c:v>65.736111111109494</c:v>
                      </c:pt>
                      <c:pt idx="9467">
                        <c:v>65.743055555554747</c:v>
                      </c:pt>
                      <c:pt idx="9468">
                        <c:v>65.75</c:v>
                      </c:pt>
                      <c:pt idx="9469">
                        <c:v>65.756944444445253</c:v>
                      </c:pt>
                      <c:pt idx="9470">
                        <c:v>65.763888888890506</c:v>
                      </c:pt>
                      <c:pt idx="9471">
                        <c:v>65.770833333335759</c:v>
                      </c:pt>
                      <c:pt idx="9472">
                        <c:v>65.777777777781012</c:v>
                      </c:pt>
                      <c:pt idx="9473">
                        <c:v>65.784722222218988</c:v>
                      </c:pt>
                      <c:pt idx="9474">
                        <c:v>65.791666666664241</c:v>
                      </c:pt>
                      <c:pt idx="9475">
                        <c:v>65.798611111109494</c:v>
                      </c:pt>
                      <c:pt idx="9476">
                        <c:v>65.805555555554747</c:v>
                      </c:pt>
                      <c:pt idx="9477">
                        <c:v>65.8125</c:v>
                      </c:pt>
                      <c:pt idx="9478">
                        <c:v>65.819444444445253</c:v>
                      </c:pt>
                      <c:pt idx="9479">
                        <c:v>65.826388888890506</c:v>
                      </c:pt>
                      <c:pt idx="9480">
                        <c:v>65.833333333335759</c:v>
                      </c:pt>
                      <c:pt idx="9481">
                        <c:v>65.840277777781012</c:v>
                      </c:pt>
                      <c:pt idx="9482">
                        <c:v>65.847222222218988</c:v>
                      </c:pt>
                      <c:pt idx="9483">
                        <c:v>65.854166666664241</c:v>
                      </c:pt>
                      <c:pt idx="9484">
                        <c:v>65.861111111109494</c:v>
                      </c:pt>
                      <c:pt idx="9485">
                        <c:v>65.868055555554747</c:v>
                      </c:pt>
                      <c:pt idx="9486">
                        <c:v>65.875</c:v>
                      </c:pt>
                      <c:pt idx="9487">
                        <c:v>65.881944444445253</c:v>
                      </c:pt>
                      <c:pt idx="9488">
                        <c:v>65.888888888890506</c:v>
                      </c:pt>
                      <c:pt idx="9489">
                        <c:v>65.895833333335759</c:v>
                      </c:pt>
                      <c:pt idx="9490">
                        <c:v>65.902777777781012</c:v>
                      </c:pt>
                      <c:pt idx="9491">
                        <c:v>65.909722222218988</c:v>
                      </c:pt>
                      <c:pt idx="9492">
                        <c:v>65.916666666664241</c:v>
                      </c:pt>
                      <c:pt idx="9493">
                        <c:v>65.923611111109494</c:v>
                      </c:pt>
                      <c:pt idx="9494">
                        <c:v>65.930555555554747</c:v>
                      </c:pt>
                      <c:pt idx="9495">
                        <c:v>65.9375</c:v>
                      </c:pt>
                      <c:pt idx="9496">
                        <c:v>65.944444444445253</c:v>
                      </c:pt>
                      <c:pt idx="9497">
                        <c:v>65.951388888890506</c:v>
                      </c:pt>
                      <c:pt idx="9498">
                        <c:v>65.958333333335759</c:v>
                      </c:pt>
                      <c:pt idx="9499">
                        <c:v>65.965277777781012</c:v>
                      </c:pt>
                      <c:pt idx="9500">
                        <c:v>65.972222222218988</c:v>
                      </c:pt>
                      <c:pt idx="9501">
                        <c:v>65.979166666664241</c:v>
                      </c:pt>
                      <c:pt idx="9502">
                        <c:v>65.986111111109494</c:v>
                      </c:pt>
                      <c:pt idx="9503">
                        <c:v>65.993055555554747</c:v>
                      </c:pt>
                      <c:pt idx="9504">
                        <c:v>66</c:v>
                      </c:pt>
                      <c:pt idx="9505">
                        <c:v>66.006944444445253</c:v>
                      </c:pt>
                      <c:pt idx="9506">
                        <c:v>66.013888888890506</c:v>
                      </c:pt>
                      <c:pt idx="9507">
                        <c:v>66.020833333335759</c:v>
                      </c:pt>
                      <c:pt idx="9508">
                        <c:v>66.027777777781012</c:v>
                      </c:pt>
                      <c:pt idx="9509">
                        <c:v>66.034722222218988</c:v>
                      </c:pt>
                      <c:pt idx="9510">
                        <c:v>66.041666666664241</c:v>
                      </c:pt>
                      <c:pt idx="9511">
                        <c:v>66.048611111109494</c:v>
                      </c:pt>
                      <c:pt idx="9512">
                        <c:v>66.055555555554747</c:v>
                      </c:pt>
                      <c:pt idx="9513">
                        <c:v>66.0625</c:v>
                      </c:pt>
                      <c:pt idx="9514">
                        <c:v>66.069444444445253</c:v>
                      </c:pt>
                      <c:pt idx="9515">
                        <c:v>66.076388888890506</c:v>
                      </c:pt>
                      <c:pt idx="9516">
                        <c:v>66.083333333335759</c:v>
                      </c:pt>
                      <c:pt idx="9517">
                        <c:v>66.090277777781012</c:v>
                      </c:pt>
                      <c:pt idx="9518">
                        <c:v>66.097222222218988</c:v>
                      </c:pt>
                      <c:pt idx="9519">
                        <c:v>66.104166666664241</c:v>
                      </c:pt>
                      <c:pt idx="9520">
                        <c:v>66.111111111109494</c:v>
                      </c:pt>
                      <c:pt idx="9521">
                        <c:v>66.118055555554747</c:v>
                      </c:pt>
                      <c:pt idx="9522">
                        <c:v>66.125</c:v>
                      </c:pt>
                      <c:pt idx="9523">
                        <c:v>66.131944444445253</c:v>
                      </c:pt>
                      <c:pt idx="9524">
                        <c:v>66.138888888890506</c:v>
                      </c:pt>
                      <c:pt idx="9525">
                        <c:v>66.145833333335759</c:v>
                      </c:pt>
                      <c:pt idx="9526">
                        <c:v>66.152777777781012</c:v>
                      </c:pt>
                      <c:pt idx="9527">
                        <c:v>66.159722222218988</c:v>
                      </c:pt>
                      <c:pt idx="9528">
                        <c:v>66.166666666664241</c:v>
                      </c:pt>
                      <c:pt idx="9529">
                        <c:v>66.173611111109494</c:v>
                      </c:pt>
                      <c:pt idx="9530">
                        <c:v>66.180555555554747</c:v>
                      </c:pt>
                      <c:pt idx="9531">
                        <c:v>66.1875</c:v>
                      </c:pt>
                      <c:pt idx="9532">
                        <c:v>66.194444444445253</c:v>
                      </c:pt>
                      <c:pt idx="9533">
                        <c:v>66.201388888890506</c:v>
                      </c:pt>
                      <c:pt idx="9534">
                        <c:v>66.208333333335759</c:v>
                      </c:pt>
                      <c:pt idx="9535">
                        <c:v>66.215277777781012</c:v>
                      </c:pt>
                      <c:pt idx="9536">
                        <c:v>66.222222222218988</c:v>
                      </c:pt>
                      <c:pt idx="9537">
                        <c:v>66.229166666664241</c:v>
                      </c:pt>
                      <c:pt idx="9538">
                        <c:v>66.236111111109494</c:v>
                      </c:pt>
                      <c:pt idx="9539">
                        <c:v>66.243055555554747</c:v>
                      </c:pt>
                      <c:pt idx="9540">
                        <c:v>66.25</c:v>
                      </c:pt>
                      <c:pt idx="9541">
                        <c:v>66.256944444445253</c:v>
                      </c:pt>
                      <c:pt idx="9542">
                        <c:v>66.263888888890506</c:v>
                      </c:pt>
                      <c:pt idx="9543">
                        <c:v>66.270833333335759</c:v>
                      </c:pt>
                      <c:pt idx="9544">
                        <c:v>66.277777777781012</c:v>
                      </c:pt>
                      <c:pt idx="9545">
                        <c:v>66.284722222218988</c:v>
                      </c:pt>
                      <c:pt idx="9546">
                        <c:v>66.291666666664241</c:v>
                      </c:pt>
                      <c:pt idx="9547">
                        <c:v>66.298611111109494</c:v>
                      </c:pt>
                      <c:pt idx="9548">
                        <c:v>66.305555555554747</c:v>
                      </c:pt>
                      <c:pt idx="9549">
                        <c:v>66.3125</c:v>
                      </c:pt>
                      <c:pt idx="9550">
                        <c:v>66.319444444445253</c:v>
                      </c:pt>
                      <c:pt idx="9551">
                        <c:v>66.326388888890506</c:v>
                      </c:pt>
                      <c:pt idx="9552">
                        <c:v>66.333333333335759</c:v>
                      </c:pt>
                      <c:pt idx="9553">
                        <c:v>66.340277777781012</c:v>
                      </c:pt>
                      <c:pt idx="9554">
                        <c:v>66.347222222218988</c:v>
                      </c:pt>
                      <c:pt idx="9555">
                        <c:v>66.354166666664241</c:v>
                      </c:pt>
                      <c:pt idx="9556">
                        <c:v>66.361111111109494</c:v>
                      </c:pt>
                      <c:pt idx="9557">
                        <c:v>66.368055555554747</c:v>
                      </c:pt>
                      <c:pt idx="9558">
                        <c:v>66.375</c:v>
                      </c:pt>
                      <c:pt idx="9559">
                        <c:v>66.381944444445253</c:v>
                      </c:pt>
                      <c:pt idx="9560">
                        <c:v>66.388888888890506</c:v>
                      </c:pt>
                      <c:pt idx="9561">
                        <c:v>66.395833333335759</c:v>
                      </c:pt>
                      <c:pt idx="9562">
                        <c:v>66.402777777781012</c:v>
                      </c:pt>
                      <c:pt idx="9563">
                        <c:v>66.409722222218988</c:v>
                      </c:pt>
                      <c:pt idx="9564">
                        <c:v>66.416666666664241</c:v>
                      </c:pt>
                      <c:pt idx="9565">
                        <c:v>66.423611111109494</c:v>
                      </c:pt>
                      <c:pt idx="9566">
                        <c:v>66.430555555554747</c:v>
                      </c:pt>
                      <c:pt idx="9567">
                        <c:v>66.4375</c:v>
                      </c:pt>
                      <c:pt idx="9568">
                        <c:v>66.444444444445253</c:v>
                      </c:pt>
                      <c:pt idx="9569">
                        <c:v>66.451388888890506</c:v>
                      </c:pt>
                      <c:pt idx="9570">
                        <c:v>66.458333333335759</c:v>
                      </c:pt>
                      <c:pt idx="9571">
                        <c:v>66.465277777781012</c:v>
                      </c:pt>
                      <c:pt idx="9572">
                        <c:v>66.472222222218988</c:v>
                      </c:pt>
                      <c:pt idx="9573">
                        <c:v>66.479166666664241</c:v>
                      </c:pt>
                      <c:pt idx="9574">
                        <c:v>66.486111111109494</c:v>
                      </c:pt>
                      <c:pt idx="9575">
                        <c:v>66.493055555554747</c:v>
                      </c:pt>
                      <c:pt idx="9576">
                        <c:v>66.5</c:v>
                      </c:pt>
                      <c:pt idx="9577">
                        <c:v>66.506944444445253</c:v>
                      </c:pt>
                      <c:pt idx="9578">
                        <c:v>66.513888888890506</c:v>
                      </c:pt>
                      <c:pt idx="9579">
                        <c:v>66.520833333335759</c:v>
                      </c:pt>
                      <c:pt idx="9580">
                        <c:v>66.527777777781012</c:v>
                      </c:pt>
                      <c:pt idx="9581">
                        <c:v>66.534722222218988</c:v>
                      </c:pt>
                      <c:pt idx="9582">
                        <c:v>66.541666666664241</c:v>
                      </c:pt>
                      <c:pt idx="9583">
                        <c:v>66.548611111109494</c:v>
                      </c:pt>
                      <c:pt idx="9584">
                        <c:v>66.555555555554747</c:v>
                      </c:pt>
                      <c:pt idx="9585">
                        <c:v>66.5625</c:v>
                      </c:pt>
                      <c:pt idx="9586">
                        <c:v>66.569444444445253</c:v>
                      </c:pt>
                      <c:pt idx="9587">
                        <c:v>66.576388888890506</c:v>
                      </c:pt>
                      <c:pt idx="9588">
                        <c:v>66.583333333335759</c:v>
                      </c:pt>
                      <c:pt idx="9589">
                        <c:v>66.590277777781012</c:v>
                      </c:pt>
                      <c:pt idx="9590">
                        <c:v>66.597222222218988</c:v>
                      </c:pt>
                      <c:pt idx="9591">
                        <c:v>66.604166666664241</c:v>
                      </c:pt>
                      <c:pt idx="9592">
                        <c:v>66.611111111109494</c:v>
                      </c:pt>
                      <c:pt idx="9593">
                        <c:v>66.618055555554747</c:v>
                      </c:pt>
                      <c:pt idx="9594">
                        <c:v>66.625</c:v>
                      </c:pt>
                      <c:pt idx="9595">
                        <c:v>66.631944444445253</c:v>
                      </c:pt>
                      <c:pt idx="9596">
                        <c:v>66.638888888890506</c:v>
                      </c:pt>
                      <c:pt idx="9597">
                        <c:v>66.645833333335759</c:v>
                      </c:pt>
                      <c:pt idx="9598">
                        <c:v>66.652777777781012</c:v>
                      </c:pt>
                      <c:pt idx="9599">
                        <c:v>66.659722222218988</c:v>
                      </c:pt>
                      <c:pt idx="9600">
                        <c:v>66.666666666664241</c:v>
                      </c:pt>
                      <c:pt idx="9601">
                        <c:v>66.673611111109494</c:v>
                      </c:pt>
                      <c:pt idx="9602">
                        <c:v>66.680555555554747</c:v>
                      </c:pt>
                      <c:pt idx="9603">
                        <c:v>66.6875</c:v>
                      </c:pt>
                      <c:pt idx="9604">
                        <c:v>66.694444444445253</c:v>
                      </c:pt>
                      <c:pt idx="9605">
                        <c:v>66.701388888890506</c:v>
                      </c:pt>
                      <c:pt idx="9606">
                        <c:v>66.708333333335759</c:v>
                      </c:pt>
                      <c:pt idx="9607">
                        <c:v>66.715277777781012</c:v>
                      </c:pt>
                      <c:pt idx="9608">
                        <c:v>66.722222222218988</c:v>
                      </c:pt>
                      <c:pt idx="9609">
                        <c:v>66.729166666664241</c:v>
                      </c:pt>
                      <c:pt idx="9610">
                        <c:v>66.736111111109494</c:v>
                      </c:pt>
                      <c:pt idx="9611">
                        <c:v>66.743055555554747</c:v>
                      </c:pt>
                      <c:pt idx="9612">
                        <c:v>66.75</c:v>
                      </c:pt>
                      <c:pt idx="9613">
                        <c:v>66.756944444445253</c:v>
                      </c:pt>
                      <c:pt idx="9614">
                        <c:v>66.763888888890506</c:v>
                      </c:pt>
                      <c:pt idx="9615">
                        <c:v>66.770833333335759</c:v>
                      </c:pt>
                      <c:pt idx="9616">
                        <c:v>66.777777777781012</c:v>
                      </c:pt>
                      <c:pt idx="9617">
                        <c:v>66.784722222218988</c:v>
                      </c:pt>
                      <c:pt idx="9618">
                        <c:v>66.791666666664241</c:v>
                      </c:pt>
                      <c:pt idx="9619">
                        <c:v>66.798611111109494</c:v>
                      </c:pt>
                      <c:pt idx="9620">
                        <c:v>66.805555555554747</c:v>
                      </c:pt>
                      <c:pt idx="9621">
                        <c:v>66.8125</c:v>
                      </c:pt>
                      <c:pt idx="9622">
                        <c:v>66.819444444445253</c:v>
                      </c:pt>
                      <c:pt idx="9623">
                        <c:v>66.826388888890506</c:v>
                      </c:pt>
                      <c:pt idx="9624">
                        <c:v>66.833333333335759</c:v>
                      </c:pt>
                      <c:pt idx="9625">
                        <c:v>66.840277777781012</c:v>
                      </c:pt>
                      <c:pt idx="9626">
                        <c:v>66.847222222218988</c:v>
                      </c:pt>
                      <c:pt idx="9627">
                        <c:v>66.854166666664241</c:v>
                      </c:pt>
                      <c:pt idx="9628">
                        <c:v>66.861111111109494</c:v>
                      </c:pt>
                      <c:pt idx="9629">
                        <c:v>66.868055555554747</c:v>
                      </c:pt>
                      <c:pt idx="9630">
                        <c:v>66.875</c:v>
                      </c:pt>
                      <c:pt idx="9631">
                        <c:v>66.881944444445253</c:v>
                      </c:pt>
                      <c:pt idx="9632">
                        <c:v>66.888888888890506</c:v>
                      </c:pt>
                      <c:pt idx="9633">
                        <c:v>66.895833333335759</c:v>
                      </c:pt>
                      <c:pt idx="9634">
                        <c:v>66.902777777781012</c:v>
                      </c:pt>
                      <c:pt idx="9635">
                        <c:v>66.909722222218988</c:v>
                      </c:pt>
                      <c:pt idx="9636">
                        <c:v>66.916666666664241</c:v>
                      </c:pt>
                      <c:pt idx="9637">
                        <c:v>66.923611111109494</c:v>
                      </c:pt>
                      <c:pt idx="9638">
                        <c:v>66.930555555554747</c:v>
                      </c:pt>
                      <c:pt idx="9639">
                        <c:v>66.9375</c:v>
                      </c:pt>
                      <c:pt idx="9640">
                        <c:v>66.944444444445253</c:v>
                      </c:pt>
                      <c:pt idx="9641">
                        <c:v>66.951388888890506</c:v>
                      </c:pt>
                      <c:pt idx="9642">
                        <c:v>66.958333333335759</c:v>
                      </c:pt>
                      <c:pt idx="9643">
                        <c:v>66.965277777781012</c:v>
                      </c:pt>
                      <c:pt idx="9644">
                        <c:v>66.972222222218988</c:v>
                      </c:pt>
                      <c:pt idx="9645">
                        <c:v>66.979166666664241</c:v>
                      </c:pt>
                      <c:pt idx="9646">
                        <c:v>66.986111111109494</c:v>
                      </c:pt>
                      <c:pt idx="9647">
                        <c:v>66.993055555554747</c:v>
                      </c:pt>
                      <c:pt idx="9648">
                        <c:v>67</c:v>
                      </c:pt>
                      <c:pt idx="9649">
                        <c:v>67.006944444445253</c:v>
                      </c:pt>
                      <c:pt idx="9650">
                        <c:v>67.013888888890506</c:v>
                      </c:pt>
                      <c:pt idx="9651">
                        <c:v>67.020833333335759</c:v>
                      </c:pt>
                      <c:pt idx="9652">
                        <c:v>67.027777777781012</c:v>
                      </c:pt>
                      <c:pt idx="9653">
                        <c:v>67.034722222218988</c:v>
                      </c:pt>
                      <c:pt idx="9654">
                        <c:v>67.041666666664241</c:v>
                      </c:pt>
                      <c:pt idx="9655">
                        <c:v>67.048611111109494</c:v>
                      </c:pt>
                      <c:pt idx="9656">
                        <c:v>67.055555555554747</c:v>
                      </c:pt>
                      <c:pt idx="9657">
                        <c:v>67.0625</c:v>
                      </c:pt>
                      <c:pt idx="9658">
                        <c:v>67.069444444445253</c:v>
                      </c:pt>
                      <c:pt idx="9659">
                        <c:v>67.076388888890506</c:v>
                      </c:pt>
                      <c:pt idx="9660">
                        <c:v>67.083333333335759</c:v>
                      </c:pt>
                      <c:pt idx="9661">
                        <c:v>67.090277777781012</c:v>
                      </c:pt>
                      <c:pt idx="9662">
                        <c:v>67.097222222218988</c:v>
                      </c:pt>
                      <c:pt idx="9663">
                        <c:v>67.104166666664241</c:v>
                      </c:pt>
                      <c:pt idx="9664">
                        <c:v>67.111111111109494</c:v>
                      </c:pt>
                      <c:pt idx="9665">
                        <c:v>67.118055555554747</c:v>
                      </c:pt>
                      <c:pt idx="9666">
                        <c:v>67.125</c:v>
                      </c:pt>
                      <c:pt idx="9667">
                        <c:v>67.131944444445253</c:v>
                      </c:pt>
                      <c:pt idx="9668">
                        <c:v>67.138888888890506</c:v>
                      </c:pt>
                      <c:pt idx="9669">
                        <c:v>67.145833333335759</c:v>
                      </c:pt>
                      <c:pt idx="9670">
                        <c:v>67.152777777781012</c:v>
                      </c:pt>
                      <c:pt idx="9671">
                        <c:v>67.159722222218988</c:v>
                      </c:pt>
                      <c:pt idx="9672">
                        <c:v>67.166666666664241</c:v>
                      </c:pt>
                      <c:pt idx="9673">
                        <c:v>67.173611111109494</c:v>
                      </c:pt>
                      <c:pt idx="9674">
                        <c:v>67.180555555554747</c:v>
                      </c:pt>
                      <c:pt idx="9675">
                        <c:v>67.1875</c:v>
                      </c:pt>
                      <c:pt idx="9676">
                        <c:v>67.194444444445253</c:v>
                      </c:pt>
                      <c:pt idx="9677">
                        <c:v>67.201388888890506</c:v>
                      </c:pt>
                      <c:pt idx="9678">
                        <c:v>67.208333333335759</c:v>
                      </c:pt>
                      <c:pt idx="9679">
                        <c:v>67.215277777781012</c:v>
                      </c:pt>
                      <c:pt idx="9680">
                        <c:v>67.222222222218988</c:v>
                      </c:pt>
                      <c:pt idx="9681">
                        <c:v>67.229166666664241</c:v>
                      </c:pt>
                      <c:pt idx="9682">
                        <c:v>67.236111111109494</c:v>
                      </c:pt>
                      <c:pt idx="9683">
                        <c:v>67.243055555554747</c:v>
                      </c:pt>
                      <c:pt idx="9684">
                        <c:v>67.25</c:v>
                      </c:pt>
                      <c:pt idx="9685">
                        <c:v>67.256944444445253</c:v>
                      </c:pt>
                      <c:pt idx="9686">
                        <c:v>67.263888888890506</c:v>
                      </c:pt>
                      <c:pt idx="9687">
                        <c:v>67.270833333335759</c:v>
                      </c:pt>
                      <c:pt idx="9688">
                        <c:v>67.277777777781012</c:v>
                      </c:pt>
                      <c:pt idx="9689">
                        <c:v>67.284722222218988</c:v>
                      </c:pt>
                      <c:pt idx="9690">
                        <c:v>67.291666666664241</c:v>
                      </c:pt>
                      <c:pt idx="9691">
                        <c:v>67.298611111109494</c:v>
                      </c:pt>
                      <c:pt idx="9692">
                        <c:v>67.305555555554747</c:v>
                      </c:pt>
                      <c:pt idx="9693">
                        <c:v>67.3125</c:v>
                      </c:pt>
                      <c:pt idx="9694">
                        <c:v>67.319444444445253</c:v>
                      </c:pt>
                      <c:pt idx="9695">
                        <c:v>67.326388888890506</c:v>
                      </c:pt>
                      <c:pt idx="9696">
                        <c:v>67.333333333335759</c:v>
                      </c:pt>
                      <c:pt idx="9697">
                        <c:v>67.340277777781012</c:v>
                      </c:pt>
                      <c:pt idx="9698">
                        <c:v>67.347222222218988</c:v>
                      </c:pt>
                      <c:pt idx="9699">
                        <c:v>67.354166666664241</c:v>
                      </c:pt>
                      <c:pt idx="9700">
                        <c:v>67.361111111109494</c:v>
                      </c:pt>
                      <c:pt idx="9701">
                        <c:v>67.368055555554747</c:v>
                      </c:pt>
                      <c:pt idx="9702">
                        <c:v>67.375</c:v>
                      </c:pt>
                      <c:pt idx="9703">
                        <c:v>67.381944444445253</c:v>
                      </c:pt>
                      <c:pt idx="9704">
                        <c:v>67.388888888890506</c:v>
                      </c:pt>
                      <c:pt idx="9705">
                        <c:v>67.395833333335759</c:v>
                      </c:pt>
                      <c:pt idx="9706">
                        <c:v>67.402777777781012</c:v>
                      </c:pt>
                      <c:pt idx="9707">
                        <c:v>67.409722222218988</c:v>
                      </c:pt>
                      <c:pt idx="9708">
                        <c:v>67.416666666664241</c:v>
                      </c:pt>
                      <c:pt idx="9709">
                        <c:v>67.423611111109494</c:v>
                      </c:pt>
                      <c:pt idx="9710">
                        <c:v>67.430555555554747</c:v>
                      </c:pt>
                      <c:pt idx="9711">
                        <c:v>67.4375</c:v>
                      </c:pt>
                      <c:pt idx="9712">
                        <c:v>67.444444444445253</c:v>
                      </c:pt>
                      <c:pt idx="9713">
                        <c:v>67.451388888890506</c:v>
                      </c:pt>
                      <c:pt idx="9714">
                        <c:v>67.458333333335759</c:v>
                      </c:pt>
                      <c:pt idx="9715">
                        <c:v>67.465277777781012</c:v>
                      </c:pt>
                      <c:pt idx="9716">
                        <c:v>67.472222222218988</c:v>
                      </c:pt>
                      <c:pt idx="9717">
                        <c:v>67.479166666664241</c:v>
                      </c:pt>
                      <c:pt idx="9718">
                        <c:v>67.486111111109494</c:v>
                      </c:pt>
                      <c:pt idx="9719">
                        <c:v>67.493055555554747</c:v>
                      </c:pt>
                      <c:pt idx="9720">
                        <c:v>67.5</c:v>
                      </c:pt>
                      <c:pt idx="9721">
                        <c:v>67.506944444445253</c:v>
                      </c:pt>
                      <c:pt idx="9722">
                        <c:v>67.513888888890506</c:v>
                      </c:pt>
                      <c:pt idx="9723">
                        <c:v>67.520833333335759</c:v>
                      </c:pt>
                      <c:pt idx="9724">
                        <c:v>67.527777777781012</c:v>
                      </c:pt>
                      <c:pt idx="9725">
                        <c:v>67.534722222218988</c:v>
                      </c:pt>
                      <c:pt idx="9726">
                        <c:v>67.541666666664241</c:v>
                      </c:pt>
                      <c:pt idx="9727">
                        <c:v>67.548611111109494</c:v>
                      </c:pt>
                      <c:pt idx="9728">
                        <c:v>67.555555555554747</c:v>
                      </c:pt>
                      <c:pt idx="9729">
                        <c:v>67.5625</c:v>
                      </c:pt>
                      <c:pt idx="9730">
                        <c:v>67.569444444445253</c:v>
                      </c:pt>
                      <c:pt idx="9731">
                        <c:v>67.576388888890506</c:v>
                      </c:pt>
                      <c:pt idx="9732">
                        <c:v>67.583333333335759</c:v>
                      </c:pt>
                      <c:pt idx="9733">
                        <c:v>67.590277777781012</c:v>
                      </c:pt>
                      <c:pt idx="9734">
                        <c:v>67.597222222218988</c:v>
                      </c:pt>
                      <c:pt idx="9735">
                        <c:v>67.604166666664241</c:v>
                      </c:pt>
                      <c:pt idx="9736">
                        <c:v>67.611111111109494</c:v>
                      </c:pt>
                      <c:pt idx="9737">
                        <c:v>67.618055555554747</c:v>
                      </c:pt>
                      <c:pt idx="9738">
                        <c:v>67.625</c:v>
                      </c:pt>
                      <c:pt idx="9739">
                        <c:v>67.631944444445253</c:v>
                      </c:pt>
                      <c:pt idx="9740">
                        <c:v>67.638888888890506</c:v>
                      </c:pt>
                      <c:pt idx="9741">
                        <c:v>67.645833333335759</c:v>
                      </c:pt>
                      <c:pt idx="9742">
                        <c:v>67.652777777781012</c:v>
                      </c:pt>
                      <c:pt idx="9743">
                        <c:v>67.659722222218988</c:v>
                      </c:pt>
                      <c:pt idx="9744">
                        <c:v>67.666666666664241</c:v>
                      </c:pt>
                      <c:pt idx="9745">
                        <c:v>67.673611111109494</c:v>
                      </c:pt>
                      <c:pt idx="9746">
                        <c:v>67.680555555554747</c:v>
                      </c:pt>
                      <c:pt idx="9747">
                        <c:v>67.6875</c:v>
                      </c:pt>
                      <c:pt idx="9748">
                        <c:v>67.694444444445253</c:v>
                      </c:pt>
                      <c:pt idx="9749">
                        <c:v>67.701388888890506</c:v>
                      </c:pt>
                      <c:pt idx="9750">
                        <c:v>67.708333333335759</c:v>
                      </c:pt>
                      <c:pt idx="9751">
                        <c:v>67.715277777781012</c:v>
                      </c:pt>
                      <c:pt idx="9752">
                        <c:v>67.722222222218988</c:v>
                      </c:pt>
                      <c:pt idx="9753">
                        <c:v>67.729166666664241</c:v>
                      </c:pt>
                      <c:pt idx="9754">
                        <c:v>67.736111111109494</c:v>
                      </c:pt>
                      <c:pt idx="9755">
                        <c:v>67.743055555554747</c:v>
                      </c:pt>
                      <c:pt idx="9756">
                        <c:v>67.75</c:v>
                      </c:pt>
                      <c:pt idx="9757">
                        <c:v>67.756944444445253</c:v>
                      </c:pt>
                      <c:pt idx="9758">
                        <c:v>67.763888888890506</c:v>
                      </c:pt>
                      <c:pt idx="9759">
                        <c:v>67.770833333335759</c:v>
                      </c:pt>
                      <c:pt idx="9760">
                        <c:v>67.777777777781012</c:v>
                      </c:pt>
                      <c:pt idx="9761">
                        <c:v>67.784722222218988</c:v>
                      </c:pt>
                      <c:pt idx="9762">
                        <c:v>67.791666666664241</c:v>
                      </c:pt>
                      <c:pt idx="9763">
                        <c:v>67.798611111109494</c:v>
                      </c:pt>
                      <c:pt idx="9764">
                        <c:v>67.805555555554747</c:v>
                      </c:pt>
                      <c:pt idx="9765">
                        <c:v>67.8125</c:v>
                      </c:pt>
                      <c:pt idx="9766">
                        <c:v>67.819444444445253</c:v>
                      </c:pt>
                      <c:pt idx="9767">
                        <c:v>67.826388888890506</c:v>
                      </c:pt>
                      <c:pt idx="9768">
                        <c:v>67.833333333335759</c:v>
                      </c:pt>
                      <c:pt idx="9769">
                        <c:v>67.840277777781012</c:v>
                      </c:pt>
                      <c:pt idx="9770">
                        <c:v>67.847222222218988</c:v>
                      </c:pt>
                      <c:pt idx="9771">
                        <c:v>67.854166666664241</c:v>
                      </c:pt>
                      <c:pt idx="9772">
                        <c:v>67.861111111109494</c:v>
                      </c:pt>
                      <c:pt idx="9773">
                        <c:v>67.868055555554747</c:v>
                      </c:pt>
                      <c:pt idx="9774">
                        <c:v>67.875</c:v>
                      </c:pt>
                      <c:pt idx="9775">
                        <c:v>67.881944444445253</c:v>
                      </c:pt>
                      <c:pt idx="9776">
                        <c:v>67.888888888890506</c:v>
                      </c:pt>
                      <c:pt idx="9777">
                        <c:v>67.895833333335759</c:v>
                      </c:pt>
                      <c:pt idx="9778">
                        <c:v>67.902777777781012</c:v>
                      </c:pt>
                      <c:pt idx="9779">
                        <c:v>67.909722222218988</c:v>
                      </c:pt>
                      <c:pt idx="9780">
                        <c:v>67.916666666664241</c:v>
                      </c:pt>
                      <c:pt idx="9781">
                        <c:v>67.923611111109494</c:v>
                      </c:pt>
                      <c:pt idx="9782">
                        <c:v>67.930555555554747</c:v>
                      </c:pt>
                      <c:pt idx="9783">
                        <c:v>67.9375</c:v>
                      </c:pt>
                      <c:pt idx="9784">
                        <c:v>67.944444444445253</c:v>
                      </c:pt>
                      <c:pt idx="9785">
                        <c:v>67.951388888890506</c:v>
                      </c:pt>
                      <c:pt idx="9786">
                        <c:v>67.958333333335759</c:v>
                      </c:pt>
                      <c:pt idx="9787">
                        <c:v>67.965277777781012</c:v>
                      </c:pt>
                      <c:pt idx="9788">
                        <c:v>67.972222222218988</c:v>
                      </c:pt>
                      <c:pt idx="9789">
                        <c:v>67.979166666664241</c:v>
                      </c:pt>
                      <c:pt idx="9790">
                        <c:v>67.986111111109494</c:v>
                      </c:pt>
                      <c:pt idx="9791">
                        <c:v>67.993055555554747</c:v>
                      </c:pt>
                    </c:numCache>
                  </c:numRef>
                </c:xVal>
                <c:yVal>
                  <c:numRef>
                    <c:extLst xmlns:c16r2="http://schemas.microsoft.com/office/drawing/2015/06/chart" xmlns:c15="http://schemas.microsoft.com/office/drawing/2012/chart">
                      <c:ext xmlns:c15="http://schemas.microsoft.com/office/drawing/2012/chart" uri="{02D57815-91ED-43cb-92C2-25804820EDAC}">
                        <c15:formulaRef>
                          <c15:sqref>Sheet1!$O$3:$O$9794</c15:sqref>
                        </c15:formulaRef>
                      </c:ext>
                    </c:extLst>
                    <c:numCache>
                      <c:formatCode>General</c:formatCode>
                      <c:ptCount val="9792"/>
                      <c:pt idx="0">
                        <c:v>20.71</c:v>
                      </c:pt>
                      <c:pt idx="1">
                        <c:v>20.71</c:v>
                      </c:pt>
                      <c:pt idx="2">
                        <c:v>20.71</c:v>
                      </c:pt>
                      <c:pt idx="3">
                        <c:v>20.71</c:v>
                      </c:pt>
                      <c:pt idx="4">
                        <c:v>20.71</c:v>
                      </c:pt>
                      <c:pt idx="5">
                        <c:v>20.71</c:v>
                      </c:pt>
                      <c:pt idx="6">
                        <c:v>20.71</c:v>
                      </c:pt>
                      <c:pt idx="7">
                        <c:v>20.71</c:v>
                      </c:pt>
                      <c:pt idx="8">
                        <c:v>20.71</c:v>
                      </c:pt>
                      <c:pt idx="9">
                        <c:v>20.71</c:v>
                      </c:pt>
                      <c:pt idx="10">
                        <c:v>20.71</c:v>
                      </c:pt>
                      <c:pt idx="11">
                        <c:v>20.71</c:v>
                      </c:pt>
                      <c:pt idx="12">
                        <c:v>20.71</c:v>
                      </c:pt>
                      <c:pt idx="13">
                        <c:v>20.71</c:v>
                      </c:pt>
                      <c:pt idx="14">
                        <c:v>20.71</c:v>
                      </c:pt>
                      <c:pt idx="15">
                        <c:v>20.71</c:v>
                      </c:pt>
                      <c:pt idx="16">
                        <c:v>20.71</c:v>
                      </c:pt>
                      <c:pt idx="17">
                        <c:v>20.71</c:v>
                      </c:pt>
                      <c:pt idx="18">
                        <c:v>20.71</c:v>
                      </c:pt>
                      <c:pt idx="19">
                        <c:v>20.71</c:v>
                      </c:pt>
                      <c:pt idx="20">
                        <c:v>20.71</c:v>
                      </c:pt>
                      <c:pt idx="21">
                        <c:v>20.71</c:v>
                      </c:pt>
                      <c:pt idx="22">
                        <c:v>20.71</c:v>
                      </c:pt>
                      <c:pt idx="23">
                        <c:v>20.71</c:v>
                      </c:pt>
                      <c:pt idx="24">
                        <c:v>20.71</c:v>
                      </c:pt>
                      <c:pt idx="25">
                        <c:v>20.71</c:v>
                      </c:pt>
                      <c:pt idx="26">
                        <c:v>20.71</c:v>
                      </c:pt>
                      <c:pt idx="27">
                        <c:v>20.71</c:v>
                      </c:pt>
                      <c:pt idx="28">
                        <c:v>20.71</c:v>
                      </c:pt>
                      <c:pt idx="29">
                        <c:v>20.71</c:v>
                      </c:pt>
                      <c:pt idx="30">
                        <c:v>20.71</c:v>
                      </c:pt>
                      <c:pt idx="31">
                        <c:v>20.71</c:v>
                      </c:pt>
                      <c:pt idx="32">
                        <c:v>20.71</c:v>
                      </c:pt>
                      <c:pt idx="33">
                        <c:v>20.71</c:v>
                      </c:pt>
                      <c:pt idx="34">
                        <c:v>20.71</c:v>
                      </c:pt>
                      <c:pt idx="35">
                        <c:v>20.71</c:v>
                      </c:pt>
                      <c:pt idx="36">
                        <c:v>20.71</c:v>
                      </c:pt>
                      <c:pt idx="37">
                        <c:v>20.71</c:v>
                      </c:pt>
                      <c:pt idx="38">
                        <c:v>20.71</c:v>
                      </c:pt>
                      <c:pt idx="39">
                        <c:v>20.71</c:v>
                      </c:pt>
                      <c:pt idx="40">
                        <c:v>20.71</c:v>
                      </c:pt>
                      <c:pt idx="41">
                        <c:v>20.71</c:v>
                      </c:pt>
                      <c:pt idx="42">
                        <c:v>20.71</c:v>
                      </c:pt>
                      <c:pt idx="43">
                        <c:v>20.71</c:v>
                      </c:pt>
                      <c:pt idx="44">
                        <c:v>20.71</c:v>
                      </c:pt>
                      <c:pt idx="45">
                        <c:v>20.71</c:v>
                      </c:pt>
                      <c:pt idx="46">
                        <c:v>20.71</c:v>
                      </c:pt>
                      <c:pt idx="47">
                        <c:v>20.71</c:v>
                      </c:pt>
                      <c:pt idx="48">
                        <c:v>20.71</c:v>
                      </c:pt>
                      <c:pt idx="49">
                        <c:v>20.71</c:v>
                      </c:pt>
                      <c:pt idx="50">
                        <c:v>20.71</c:v>
                      </c:pt>
                      <c:pt idx="51">
                        <c:v>20.71</c:v>
                      </c:pt>
                      <c:pt idx="52">
                        <c:v>20.71</c:v>
                      </c:pt>
                      <c:pt idx="53">
                        <c:v>20.71</c:v>
                      </c:pt>
                      <c:pt idx="54">
                        <c:v>20.71</c:v>
                      </c:pt>
                      <c:pt idx="55">
                        <c:v>20.71</c:v>
                      </c:pt>
                      <c:pt idx="56">
                        <c:v>20.71</c:v>
                      </c:pt>
                      <c:pt idx="57">
                        <c:v>20.71</c:v>
                      </c:pt>
                      <c:pt idx="58">
                        <c:v>20.71</c:v>
                      </c:pt>
                      <c:pt idx="59">
                        <c:v>20.71</c:v>
                      </c:pt>
                      <c:pt idx="60">
                        <c:v>20.71</c:v>
                      </c:pt>
                      <c:pt idx="61">
                        <c:v>20.71</c:v>
                      </c:pt>
                      <c:pt idx="62">
                        <c:v>20.71</c:v>
                      </c:pt>
                      <c:pt idx="63">
                        <c:v>20.71</c:v>
                      </c:pt>
                      <c:pt idx="64">
                        <c:v>20.71</c:v>
                      </c:pt>
                      <c:pt idx="65">
                        <c:v>20.71</c:v>
                      </c:pt>
                      <c:pt idx="66">
                        <c:v>20.71</c:v>
                      </c:pt>
                      <c:pt idx="67">
                        <c:v>20.71</c:v>
                      </c:pt>
                      <c:pt idx="68">
                        <c:v>20.71</c:v>
                      </c:pt>
                      <c:pt idx="69">
                        <c:v>20.71</c:v>
                      </c:pt>
                      <c:pt idx="70">
                        <c:v>20.71</c:v>
                      </c:pt>
                      <c:pt idx="71">
                        <c:v>20.71</c:v>
                      </c:pt>
                      <c:pt idx="72">
                        <c:v>20.71</c:v>
                      </c:pt>
                      <c:pt idx="73">
                        <c:v>20.71</c:v>
                      </c:pt>
                      <c:pt idx="74">
                        <c:v>20.71</c:v>
                      </c:pt>
                      <c:pt idx="75">
                        <c:v>20.71</c:v>
                      </c:pt>
                      <c:pt idx="76">
                        <c:v>20.71</c:v>
                      </c:pt>
                      <c:pt idx="77">
                        <c:v>20.71</c:v>
                      </c:pt>
                      <c:pt idx="78">
                        <c:v>20.71</c:v>
                      </c:pt>
                      <c:pt idx="79">
                        <c:v>20.71</c:v>
                      </c:pt>
                      <c:pt idx="80">
                        <c:v>20.71</c:v>
                      </c:pt>
                      <c:pt idx="81">
                        <c:v>20.71</c:v>
                      </c:pt>
                      <c:pt idx="82">
                        <c:v>20.71</c:v>
                      </c:pt>
                      <c:pt idx="83">
                        <c:v>20.71</c:v>
                      </c:pt>
                      <c:pt idx="84">
                        <c:v>20.71</c:v>
                      </c:pt>
                      <c:pt idx="85">
                        <c:v>20.71</c:v>
                      </c:pt>
                      <c:pt idx="86">
                        <c:v>20.71</c:v>
                      </c:pt>
                      <c:pt idx="87">
                        <c:v>20.71</c:v>
                      </c:pt>
                      <c:pt idx="88">
                        <c:v>20.71</c:v>
                      </c:pt>
                      <c:pt idx="89">
                        <c:v>20.71</c:v>
                      </c:pt>
                      <c:pt idx="90">
                        <c:v>20.71</c:v>
                      </c:pt>
                      <c:pt idx="91">
                        <c:v>20.71</c:v>
                      </c:pt>
                      <c:pt idx="92">
                        <c:v>20.71</c:v>
                      </c:pt>
                      <c:pt idx="93">
                        <c:v>20.71</c:v>
                      </c:pt>
                      <c:pt idx="94">
                        <c:v>20.71</c:v>
                      </c:pt>
                      <c:pt idx="95">
                        <c:v>20.71</c:v>
                      </c:pt>
                      <c:pt idx="96">
                        <c:v>20.71</c:v>
                      </c:pt>
                      <c:pt idx="97">
                        <c:v>20.71</c:v>
                      </c:pt>
                      <c:pt idx="98">
                        <c:v>20.71</c:v>
                      </c:pt>
                      <c:pt idx="99">
                        <c:v>20.71</c:v>
                      </c:pt>
                      <c:pt idx="100">
                        <c:v>20.71</c:v>
                      </c:pt>
                      <c:pt idx="101">
                        <c:v>20.71</c:v>
                      </c:pt>
                      <c:pt idx="102">
                        <c:v>20.71</c:v>
                      </c:pt>
                      <c:pt idx="103">
                        <c:v>20.71</c:v>
                      </c:pt>
                      <c:pt idx="104">
                        <c:v>20.71</c:v>
                      </c:pt>
                      <c:pt idx="105">
                        <c:v>20.71</c:v>
                      </c:pt>
                      <c:pt idx="106">
                        <c:v>20.71</c:v>
                      </c:pt>
                      <c:pt idx="107">
                        <c:v>20.71</c:v>
                      </c:pt>
                      <c:pt idx="108">
                        <c:v>20.71</c:v>
                      </c:pt>
                      <c:pt idx="109">
                        <c:v>20.71</c:v>
                      </c:pt>
                      <c:pt idx="110">
                        <c:v>20.71</c:v>
                      </c:pt>
                      <c:pt idx="111">
                        <c:v>20.71</c:v>
                      </c:pt>
                      <c:pt idx="112">
                        <c:v>20.71</c:v>
                      </c:pt>
                      <c:pt idx="113">
                        <c:v>20.71</c:v>
                      </c:pt>
                      <c:pt idx="114">
                        <c:v>20.71</c:v>
                      </c:pt>
                      <c:pt idx="115">
                        <c:v>20.71</c:v>
                      </c:pt>
                      <c:pt idx="116">
                        <c:v>20.71</c:v>
                      </c:pt>
                      <c:pt idx="117">
                        <c:v>20.71</c:v>
                      </c:pt>
                      <c:pt idx="118">
                        <c:v>20.71</c:v>
                      </c:pt>
                      <c:pt idx="119">
                        <c:v>20.71</c:v>
                      </c:pt>
                      <c:pt idx="120">
                        <c:v>20.71</c:v>
                      </c:pt>
                      <c:pt idx="121">
                        <c:v>20.71</c:v>
                      </c:pt>
                      <c:pt idx="122">
                        <c:v>20.71</c:v>
                      </c:pt>
                      <c:pt idx="123">
                        <c:v>20.71</c:v>
                      </c:pt>
                      <c:pt idx="124">
                        <c:v>20.71</c:v>
                      </c:pt>
                      <c:pt idx="125">
                        <c:v>20.71</c:v>
                      </c:pt>
                      <c:pt idx="126">
                        <c:v>20.71</c:v>
                      </c:pt>
                      <c:pt idx="127">
                        <c:v>20.71</c:v>
                      </c:pt>
                      <c:pt idx="128">
                        <c:v>20.71</c:v>
                      </c:pt>
                      <c:pt idx="129">
                        <c:v>20.71</c:v>
                      </c:pt>
                      <c:pt idx="130">
                        <c:v>20.71</c:v>
                      </c:pt>
                      <c:pt idx="131">
                        <c:v>20.71</c:v>
                      </c:pt>
                      <c:pt idx="132">
                        <c:v>20.71</c:v>
                      </c:pt>
                      <c:pt idx="133">
                        <c:v>20.71</c:v>
                      </c:pt>
                      <c:pt idx="134">
                        <c:v>20.71</c:v>
                      </c:pt>
                      <c:pt idx="135">
                        <c:v>20.71</c:v>
                      </c:pt>
                      <c:pt idx="136">
                        <c:v>20.71</c:v>
                      </c:pt>
                      <c:pt idx="137">
                        <c:v>20.71</c:v>
                      </c:pt>
                      <c:pt idx="138">
                        <c:v>20.71</c:v>
                      </c:pt>
                      <c:pt idx="139">
                        <c:v>20.71</c:v>
                      </c:pt>
                      <c:pt idx="140">
                        <c:v>20.71</c:v>
                      </c:pt>
                      <c:pt idx="141">
                        <c:v>20.71</c:v>
                      </c:pt>
                      <c:pt idx="142">
                        <c:v>20.71</c:v>
                      </c:pt>
                      <c:pt idx="143">
                        <c:v>20.71</c:v>
                      </c:pt>
                      <c:pt idx="144">
                        <c:v>20.71</c:v>
                      </c:pt>
                      <c:pt idx="145">
                        <c:v>20.71</c:v>
                      </c:pt>
                      <c:pt idx="146">
                        <c:v>20.71</c:v>
                      </c:pt>
                      <c:pt idx="147">
                        <c:v>20.71</c:v>
                      </c:pt>
                      <c:pt idx="148">
                        <c:v>20.71</c:v>
                      </c:pt>
                      <c:pt idx="149">
                        <c:v>20.71</c:v>
                      </c:pt>
                      <c:pt idx="150">
                        <c:v>20.71</c:v>
                      </c:pt>
                      <c:pt idx="151">
                        <c:v>20.71</c:v>
                      </c:pt>
                      <c:pt idx="152">
                        <c:v>20.71</c:v>
                      </c:pt>
                      <c:pt idx="153">
                        <c:v>20.71</c:v>
                      </c:pt>
                      <c:pt idx="154">
                        <c:v>20.71</c:v>
                      </c:pt>
                      <c:pt idx="155">
                        <c:v>20.71</c:v>
                      </c:pt>
                      <c:pt idx="156">
                        <c:v>20.71</c:v>
                      </c:pt>
                      <c:pt idx="157">
                        <c:v>20.71</c:v>
                      </c:pt>
                      <c:pt idx="158">
                        <c:v>20.71</c:v>
                      </c:pt>
                      <c:pt idx="159">
                        <c:v>20.71</c:v>
                      </c:pt>
                      <c:pt idx="160">
                        <c:v>20.71</c:v>
                      </c:pt>
                      <c:pt idx="161">
                        <c:v>20.71</c:v>
                      </c:pt>
                      <c:pt idx="162">
                        <c:v>20.71</c:v>
                      </c:pt>
                      <c:pt idx="163">
                        <c:v>20.71</c:v>
                      </c:pt>
                      <c:pt idx="164">
                        <c:v>20.71</c:v>
                      </c:pt>
                      <c:pt idx="165">
                        <c:v>20.71</c:v>
                      </c:pt>
                      <c:pt idx="166">
                        <c:v>20.71</c:v>
                      </c:pt>
                      <c:pt idx="167">
                        <c:v>20.614999999999998</c:v>
                      </c:pt>
                      <c:pt idx="168">
                        <c:v>20.71</c:v>
                      </c:pt>
                      <c:pt idx="169">
                        <c:v>20.71</c:v>
                      </c:pt>
                      <c:pt idx="170">
                        <c:v>20.614999999999998</c:v>
                      </c:pt>
                      <c:pt idx="171">
                        <c:v>20.71</c:v>
                      </c:pt>
                      <c:pt idx="172">
                        <c:v>20.71</c:v>
                      </c:pt>
                      <c:pt idx="173">
                        <c:v>20.71</c:v>
                      </c:pt>
                      <c:pt idx="174">
                        <c:v>20.71</c:v>
                      </c:pt>
                      <c:pt idx="175">
                        <c:v>20.71</c:v>
                      </c:pt>
                      <c:pt idx="176">
                        <c:v>20.614999999999998</c:v>
                      </c:pt>
                      <c:pt idx="177">
                        <c:v>20.71</c:v>
                      </c:pt>
                      <c:pt idx="178">
                        <c:v>20.71</c:v>
                      </c:pt>
                      <c:pt idx="179">
                        <c:v>20.614999999999998</c:v>
                      </c:pt>
                      <c:pt idx="180">
                        <c:v>20.614999999999998</c:v>
                      </c:pt>
                      <c:pt idx="181">
                        <c:v>20.71</c:v>
                      </c:pt>
                      <c:pt idx="182">
                        <c:v>20.614999999999998</c:v>
                      </c:pt>
                      <c:pt idx="183">
                        <c:v>20.614999999999998</c:v>
                      </c:pt>
                      <c:pt idx="184">
                        <c:v>20.614999999999998</c:v>
                      </c:pt>
                      <c:pt idx="185">
                        <c:v>20.614999999999998</c:v>
                      </c:pt>
                      <c:pt idx="186">
                        <c:v>20.614999999999998</c:v>
                      </c:pt>
                      <c:pt idx="187">
                        <c:v>20.614999999999998</c:v>
                      </c:pt>
                      <c:pt idx="188">
                        <c:v>20.614999999999998</c:v>
                      </c:pt>
                      <c:pt idx="189">
                        <c:v>20.614999999999998</c:v>
                      </c:pt>
                      <c:pt idx="190">
                        <c:v>20.614999999999998</c:v>
                      </c:pt>
                      <c:pt idx="191">
                        <c:v>20.614999999999998</c:v>
                      </c:pt>
                      <c:pt idx="192">
                        <c:v>20.614999999999998</c:v>
                      </c:pt>
                      <c:pt idx="193">
                        <c:v>20.614999999999998</c:v>
                      </c:pt>
                      <c:pt idx="194">
                        <c:v>20.614999999999998</c:v>
                      </c:pt>
                      <c:pt idx="195">
                        <c:v>20.614999999999998</c:v>
                      </c:pt>
                      <c:pt idx="196">
                        <c:v>20.614999999999998</c:v>
                      </c:pt>
                      <c:pt idx="197">
                        <c:v>20.614999999999998</c:v>
                      </c:pt>
                      <c:pt idx="198">
                        <c:v>20.614999999999998</c:v>
                      </c:pt>
                      <c:pt idx="199">
                        <c:v>20.614999999999998</c:v>
                      </c:pt>
                      <c:pt idx="200">
                        <c:v>20.614999999999998</c:v>
                      </c:pt>
                      <c:pt idx="201">
                        <c:v>20.614999999999998</c:v>
                      </c:pt>
                      <c:pt idx="202">
                        <c:v>20.614999999999998</c:v>
                      </c:pt>
                      <c:pt idx="203">
                        <c:v>20.614999999999998</c:v>
                      </c:pt>
                      <c:pt idx="204">
                        <c:v>20.614999999999998</c:v>
                      </c:pt>
                      <c:pt idx="205">
                        <c:v>20.614999999999998</c:v>
                      </c:pt>
                      <c:pt idx="206">
                        <c:v>20.614999999999998</c:v>
                      </c:pt>
                      <c:pt idx="207">
                        <c:v>20.614999999999998</c:v>
                      </c:pt>
                      <c:pt idx="208">
                        <c:v>20.614999999999998</c:v>
                      </c:pt>
                      <c:pt idx="209">
                        <c:v>20.614999999999998</c:v>
                      </c:pt>
                      <c:pt idx="210">
                        <c:v>20.614999999999998</c:v>
                      </c:pt>
                      <c:pt idx="211">
                        <c:v>20.614999999999998</c:v>
                      </c:pt>
                      <c:pt idx="212">
                        <c:v>20.614999999999998</c:v>
                      </c:pt>
                      <c:pt idx="213">
                        <c:v>20.614999999999998</c:v>
                      </c:pt>
                      <c:pt idx="214">
                        <c:v>20.614999999999998</c:v>
                      </c:pt>
                      <c:pt idx="215">
                        <c:v>20.614999999999998</c:v>
                      </c:pt>
                      <c:pt idx="216">
                        <c:v>20.614999999999998</c:v>
                      </c:pt>
                      <c:pt idx="217">
                        <c:v>20.614999999999998</c:v>
                      </c:pt>
                      <c:pt idx="218">
                        <c:v>20.614999999999998</c:v>
                      </c:pt>
                      <c:pt idx="219">
                        <c:v>20.614999999999998</c:v>
                      </c:pt>
                      <c:pt idx="220">
                        <c:v>20.614999999999998</c:v>
                      </c:pt>
                      <c:pt idx="221">
                        <c:v>20.614999999999998</c:v>
                      </c:pt>
                      <c:pt idx="222">
                        <c:v>20.614999999999998</c:v>
                      </c:pt>
                      <c:pt idx="223">
                        <c:v>20.614999999999998</c:v>
                      </c:pt>
                      <c:pt idx="224">
                        <c:v>20.614999999999998</c:v>
                      </c:pt>
                      <c:pt idx="225">
                        <c:v>20.614999999999998</c:v>
                      </c:pt>
                      <c:pt idx="226">
                        <c:v>20.614999999999998</c:v>
                      </c:pt>
                      <c:pt idx="227">
                        <c:v>20.614999999999998</c:v>
                      </c:pt>
                      <c:pt idx="228">
                        <c:v>20.614999999999998</c:v>
                      </c:pt>
                      <c:pt idx="229">
                        <c:v>20.614999999999998</c:v>
                      </c:pt>
                      <c:pt idx="230">
                        <c:v>20.614999999999998</c:v>
                      </c:pt>
                      <c:pt idx="231">
                        <c:v>20.614999999999998</c:v>
                      </c:pt>
                      <c:pt idx="232">
                        <c:v>20.614999999999998</c:v>
                      </c:pt>
                      <c:pt idx="233">
                        <c:v>20.614999999999998</c:v>
                      </c:pt>
                      <c:pt idx="234">
                        <c:v>20.614999999999998</c:v>
                      </c:pt>
                      <c:pt idx="235">
                        <c:v>20.614999999999998</c:v>
                      </c:pt>
                      <c:pt idx="236">
                        <c:v>20.614999999999998</c:v>
                      </c:pt>
                      <c:pt idx="237">
                        <c:v>20.614999999999998</c:v>
                      </c:pt>
                      <c:pt idx="238">
                        <c:v>20.614999999999998</c:v>
                      </c:pt>
                      <c:pt idx="239">
                        <c:v>20.614999999999998</c:v>
                      </c:pt>
                      <c:pt idx="240">
                        <c:v>20.614999999999998</c:v>
                      </c:pt>
                      <c:pt idx="241">
                        <c:v>20.614999999999998</c:v>
                      </c:pt>
                      <c:pt idx="242">
                        <c:v>20.614999999999998</c:v>
                      </c:pt>
                      <c:pt idx="243">
                        <c:v>20.614999999999998</c:v>
                      </c:pt>
                      <c:pt idx="244">
                        <c:v>20.614999999999998</c:v>
                      </c:pt>
                      <c:pt idx="245">
                        <c:v>20.614999999999998</c:v>
                      </c:pt>
                      <c:pt idx="246">
                        <c:v>20.614999999999998</c:v>
                      </c:pt>
                      <c:pt idx="247">
                        <c:v>20.614999999999998</c:v>
                      </c:pt>
                      <c:pt idx="248">
                        <c:v>20.614999999999998</c:v>
                      </c:pt>
                      <c:pt idx="249">
                        <c:v>20.614999999999998</c:v>
                      </c:pt>
                      <c:pt idx="250">
                        <c:v>20.614999999999998</c:v>
                      </c:pt>
                      <c:pt idx="251">
                        <c:v>20.614999999999998</c:v>
                      </c:pt>
                      <c:pt idx="252">
                        <c:v>20.614999999999998</c:v>
                      </c:pt>
                      <c:pt idx="253">
                        <c:v>20.614999999999998</c:v>
                      </c:pt>
                      <c:pt idx="254">
                        <c:v>20.614999999999998</c:v>
                      </c:pt>
                      <c:pt idx="255">
                        <c:v>20.614999999999998</c:v>
                      </c:pt>
                      <c:pt idx="256">
                        <c:v>20.614999999999998</c:v>
                      </c:pt>
                      <c:pt idx="257">
                        <c:v>20.614999999999998</c:v>
                      </c:pt>
                      <c:pt idx="258">
                        <c:v>20.614999999999998</c:v>
                      </c:pt>
                      <c:pt idx="259">
                        <c:v>20.614999999999998</c:v>
                      </c:pt>
                      <c:pt idx="260">
                        <c:v>20.614999999999998</c:v>
                      </c:pt>
                      <c:pt idx="261">
                        <c:v>20.614999999999998</c:v>
                      </c:pt>
                      <c:pt idx="262">
                        <c:v>20.614999999999998</c:v>
                      </c:pt>
                      <c:pt idx="263">
                        <c:v>20.614999999999998</c:v>
                      </c:pt>
                      <c:pt idx="264">
                        <c:v>20.614999999999998</c:v>
                      </c:pt>
                      <c:pt idx="265">
                        <c:v>20.614999999999998</c:v>
                      </c:pt>
                      <c:pt idx="266">
                        <c:v>20.614999999999998</c:v>
                      </c:pt>
                      <c:pt idx="267">
                        <c:v>20.614999999999998</c:v>
                      </c:pt>
                      <c:pt idx="268">
                        <c:v>20.614999999999998</c:v>
                      </c:pt>
                      <c:pt idx="269">
                        <c:v>20.614999999999998</c:v>
                      </c:pt>
                      <c:pt idx="270">
                        <c:v>20.614999999999998</c:v>
                      </c:pt>
                      <c:pt idx="271">
                        <c:v>20.614999999999998</c:v>
                      </c:pt>
                      <c:pt idx="272">
                        <c:v>20.614999999999998</c:v>
                      </c:pt>
                      <c:pt idx="273">
                        <c:v>20.614999999999998</c:v>
                      </c:pt>
                      <c:pt idx="274">
                        <c:v>20.614999999999998</c:v>
                      </c:pt>
                      <c:pt idx="275">
                        <c:v>20.614999999999998</c:v>
                      </c:pt>
                      <c:pt idx="276">
                        <c:v>20.614999999999998</c:v>
                      </c:pt>
                      <c:pt idx="277">
                        <c:v>20.614999999999998</c:v>
                      </c:pt>
                      <c:pt idx="278">
                        <c:v>20.614999999999998</c:v>
                      </c:pt>
                      <c:pt idx="279">
                        <c:v>20.614999999999998</c:v>
                      </c:pt>
                      <c:pt idx="280">
                        <c:v>20.614999999999998</c:v>
                      </c:pt>
                      <c:pt idx="281">
                        <c:v>20.614999999999998</c:v>
                      </c:pt>
                      <c:pt idx="282">
                        <c:v>20.614999999999998</c:v>
                      </c:pt>
                      <c:pt idx="283">
                        <c:v>20.614999999999998</c:v>
                      </c:pt>
                      <c:pt idx="284">
                        <c:v>20.614999999999998</c:v>
                      </c:pt>
                      <c:pt idx="285">
                        <c:v>20.614999999999998</c:v>
                      </c:pt>
                      <c:pt idx="286">
                        <c:v>20.614999999999998</c:v>
                      </c:pt>
                      <c:pt idx="287">
                        <c:v>20.614999999999998</c:v>
                      </c:pt>
                      <c:pt idx="288">
                        <c:v>20.614999999999998</c:v>
                      </c:pt>
                      <c:pt idx="289">
                        <c:v>20.614999999999998</c:v>
                      </c:pt>
                      <c:pt idx="290">
                        <c:v>20.614999999999998</c:v>
                      </c:pt>
                      <c:pt idx="291">
                        <c:v>20.614999999999998</c:v>
                      </c:pt>
                      <c:pt idx="292">
                        <c:v>20.614999999999998</c:v>
                      </c:pt>
                      <c:pt idx="293">
                        <c:v>20.614999999999998</c:v>
                      </c:pt>
                      <c:pt idx="294">
                        <c:v>20.614999999999998</c:v>
                      </c:pt>
                      <c:pt idx="295">
                        <c:v>20.614999999999998</c:v>
                      </c:pt>
                      <c:pt idx="296">
                        <c:v>20.614999999999998</c:v>
                      </c:pt>
                      <c:pt idx="297">
                        <c:v>20.614999999999998</c:v>
                      </c:pt>
                      <c:pt idx="298">
                        <c:v>20.614999999999998</c:v>
                      </c:pt>
                      <c:pt idx="299">
                        <c:v>20.614999999999998</c:v>
                      </c:pt>
                      <c:pt idx="300">
                        <c:v>20.614999999999998</c:v>
                      </c:pt>
                      <c:pt idx="301">
                        <c:v>20.614999999999998</c:v>
                      </c:pt>
                      <c:pt idx="302">
                        <c:v>20.614999999999998</c:v>
                      </c:pt>
                      <c:pt idx="303">
                        <c:v>20.614999999999998</c:v>
                      </c:pt>
                      <c:pt idx="304">
                        <c:v>20.614999999999998</c:v>
                      </c:pt>
                      <c:pt idx="305">
                        <c:v>20.614999999999998</c:v>
                      </c:pt>
                      <c:pt idx="306">
                        <c:v>20.614999999999998</c:v>
                      </c:pt>
                      <c:pt idx="307">
                        <c:v>20.614999999999998</c:v>
                      </c:pt>
                      <c:pt idx="308">
                        <c:v>20.614999999999998</c:v>
                      </c:pt>
                      <c:pt idx="309">
                        <c:v>20.614999999999998</c:v>
                      </c:pt>
                      <c:pt idx="310">
                        <c:v>20.614999999999998</c:v>
                      </c:pt>
                      <c:pt idx="311">
                        <c:v>20.614999999999998</c:v>
                      </c:pt>
                      <c:pt idx="312">
                        <c:v>20.614999999999998</c:v>
                      </c:pt>
                      <c:pt idx="313">
                        <c:v>20.614999999999998</c:v>
                      </c:pt>
                      <c:pt idx="314">
                        <c:v>20.614999999999998</c:v>
                      </c:pt>
                      <c:pt idx="315">
                        <c:v>20.614999999999998</c:v>
                      </c:pt>
                      <c:pt idx="316">
                        <c:v>20.614999999999998</c:v>
                      </c:pt>
                      <c:pt idx="317">
                        <c:v>20.614999999999998</c:v>
                      </c:pt>
                      <c:pt idx="318">
                        <c:v>20.614999999999998</c:v>
                      </c:pt>
                      <c:pt idx="319">
                        <c:v>20.614999999999998</c:v>
                      </c:pt>
                      <c:pt idx="320">
                        <c:v>20.614999999999998</c:v>
                      </c:pt>
                      <c:pt idx="321">
                        <c:v>20.614999999999998</c:v>
                      </c:pt>
                      <c:pt idx="322">
                        <c:v>20.614999999999998</c:v>
                      </c:pt>
                      <c:pt idx="323">
                        <c:v>20.614999999999998</c:v>
                      </c:pt>
                      <c:pt idx="324">
                        <c:v>20.614999999999998</c:v>
                      </c:pt>
                      <c:pt idx="325">
                        <c:v>20.614999999999998</c:v>
                      </c:pt>
                      <c:pt idx="326">
                        <c:v>20.614999999999998</c:v>
                      </c:pt>
                      <c:pt idx="327">
                        <c:v>20.614999999999998</c:v>
                      </c:pt>
                      <c:pt idx="328">
                        <c:v>20.614999999999998</c:v>
                      </c:pt>
                      <c:pt idx="329">
                        <c:v>20.614999999999998</c:v>
                      </c:pt>
                      <c:pt idx="330">
                        <c:v>20.614999999999998</c:v>
                      </c:pt>
                      <c:pt idx="331">
                        <c:v>20.614999999999998</c:v>
                      </c:pt>
                      <c:pt idx="332">
                        <c:v>20.614999999999998</c:v>
                      </c:pt>
                      <c:pt idx="333">
                        <c:v>20.614999999999998</c:v>
                      </c:pt>
                      <c:pt idx="334">
                        <c:v>20.614999999999998</c:v>
                      </c:pt>
                      <c:pt idx="335">
                        <c:v>20.614999999999998</c:v>
                      </c:pt>
                      <c:pt idx="336">
                        <c:v>20.614999999999998</c:v>
                      </c:pt>
                      <c:pt idx="337">
                        <c:v>20.614999999999998</c:v>
                      </c:pt>
                      <c:pt idx="338">
                        <c:v>20.614999999999998</c:v>
                      </c:pt>
                      <c:pt idx="339">
                        <c:v>20.614999999999998</c:v>
                      </c:pt>
                      <c:pt idx="340">
                        <c:v>20.614999999999998</c:v>
                      </c:pt>
                      <c:pt idx="341">
                        <c:v>20.614999999999998</c:v>
                      </c:pt>
                      <c:pt idx="342">
                        <c:v>20.614999999999998</c:v>
                      </c:pt>
                      <c:pt idx="343">
                        <c:v>20.614999999999998</c:v>
                      </c:pt>
                      <c:pt idx="344">
                        <c:v>20.614999999999998</c:v>
                      </c:pt>
                      <c:pt idx="345">
                        <c:v>20.614999999999998</c:v>
                      </c:pt>
                      <c:pt idx="346">
                        <c:v>20.614999999999998</c:v>
                      </c:pt>
                      <c:pt idx="347">
                        <c:v>20.614999999999998</c:v>
                      </c:pt>
                      <c:pt idx="348">
                        <c:v>20.614999999999998</c:v>
                      </c:pt>
                      <c:pt idx="349">
                        <c:v>20.614999999999998</c:v>
                      </c:pt>
                      <c:pt idx="350">
                        <c:v>20.614999999999998</c:v>
                      </c:pt>
                      <c:pt idx="351">
                        <c:v>20.614999999999998</c:v>
                      </c:pt>
                      <c:pt idx="352">
                        <c:v>20.614999999999998</c:v>
                      </c:pt>
                      <c:pt idx="353">
                        <c:v>20.614999999999998</c:v>
                      </c:pt>
                      <c:pt idx="354">
                        <c:v>20.614999999999998</c:v>
                      </c:pt>
                      <c:pt idx="355">
                        <c:v>20.614999999999998</c:v>
                      </c:pt>
                      <c:pt idx="356">
                        <c:v>20.614999999999998</c:v>
                      </c:pt>
                      <c:pt idx="357">
                        <c:v>20.614999999999998</c:v>
                      </c:pt>
                      <c:pt idx="358">
                        <c:v>20.614999999999998</c:v>
                      </c:pt>
                      <c:pt idx="359">
                        <c:v>20.614999999999998</c:v>
                      </c:pt>
                      <c:pt idx="360">
                        <c:v>20.614999999999998</c:v>
                      </c:pt>
                      <c:pt idx="361">
                        <c:v>20.614999999999998</c:v>
                      </c:pt>
                      <c:pt idx="362">
                        <c:v>20.614999999999998</c:v>
                      </c:pt>
                      <c:pt idx="363">
                        <c:v>20.614999999999998</c:v>
                      </c:pt>
                      <c:pt idx="364">
                        <c:v>20.614999999999998</c:v>
                      </c:pt>
                      <c:pt idx="365">
                        <c:v>20.614999999999998</c:v>
                      </c:pt>
                      <c:pt idx="366">
                        <c:v>20.614999999999998</c:v>
                      </c:pt>
                      <c:pt idx="367">
                        <c:v>20.614999999999998</c:v>
                      </c:pt>
                      <c:pt idx="368">
                        <c:v>20.614999999999998</c:v>
                      </c:pt>
                      <c:pt idx="369">
                        <c:v>20.614999999999998</c:v>
                      </c:pt>
                      <c:pt idx="370">
                        <c:v>20.614999999999998</c:v>
                      </c:pt>
                      <c:pt idx="371">
                        <c:v>20.614999999999998</c:v>
                      </c:pt>
                      <c:pt idx="372">
                        <c:v>20.614999999999998</c:v>
                      </c:pt>
                      <c:pt idx="373">
                        <c:v>20.614999999999998</c:v>
                      </c:pt>
                      <c:pt idx="374">
                        <c:v>20.614999999999998</c:v>
                      </c:pt>
                      <c:pt idx="375">
                        <c:v>20.614999999999998</c:v>
                      </c:pt>
                      <c:pt idx="376">
                        <c:v>20.614999999999998</c:v>
                      </c:pt>
                      <c:pt idx="377">
                        <c:v>20.614999999999998</c:v>
                      </c:pt>
                      <c:pt idx="378">
                        <c:v>20.614999999999998</c:v>
                      </c:pt>
                      <c:pt idx="379">
                        <c:v>20.614999999999998</c:v>
                      </c:pt>
                      <c:pt idx="380">
                        <c:v>20.614999999999998</c:v>
                      </c:pt>
                      <c:pt idx="381">
                        <c:v>20.614999999999998</c:v>
                      </c:pt>
                      <c:pt idx="382">
                        <c:v>20.614999999999998</c:v>
                      </c:pt>
                      <c:pt idx="383">
                        <c:v>20.614999999999998</c:v>
                      </c:pt>
                      <c:pt idx="384">
                        <c:v>20.614999999999998</c:v>
                      </c:pt>
                      <c:pt idx="385">
                        <c:v>20.614999999999998</c:v>
                      </c:pt>
                      <c:pt idx="386">
                        <c:v>20.614999999999998</c:v>
                      </c:pt>
                      <c:pt idx="387">
                        <c:v>20.614999999999998</c:v>
                      </c:pt>
                      <c:pt idx="388">
                        <c:v>20.614999999999998</c:v>
                      </c:pt>
                      <c:pt idx="389">
                        <c:v>20.614999999999998</c:v>
                      </c:pt>
                      <c:pt idx="390">
                        <c:v>20.614999999999998</c:v>
                      </c:pt>
                      <c:pt idx="391">
                        <c:v>20.614999999999998</c:v>
                      </c:pt>
                      <c:pt idx="392">
                        <c:v>20.614999999999998</c:v>
                      </c:pt>
                      <c:pt idx="393">
                        <c:v>20.614999999999998</c:v>
                      </c:pt>
                      <c:pt idx="394">
                        <c:v>20.614999999999998</c:v>
                      </c:pt>
                      <c:pt idx="395">
                        <c:v>20.614999999999998</c:v>
                      </c:pt>
                      <c:pt idx="396">
                        <c:v>20.614999999999998</c:v>
                      </c:pt>
                      <c:pt idx="397">
                        <c:v>20.614999999999998</c:v>
                      </c:pt>
                      <c:pt idx="398">
                        <c:v>20.614999999999998</c:v>
                      </c:pt>
                      <c:pt idx="399">
                        <c:v>20.614999999999998</c:v>
                      </c:pt>
                      <c:pt idx="400">
                        <c:v>20.614999999999998</c:v>
                      </c:pt>
                      <c:pt idx="401">
                        <c:v>20.614999999999998</c:v>
                      </c:pt>
                      <c:pt idx="402">
                        <c:v>20.614999999999998</c:v>
                      </c:pt>
                      <c:pt idx="403">
                        <c:v>20.614999999999998</c:v>
                      </c:pt>
                      <c:pt idx="404">
                        <c:v>20.614999999999998</c:v>
                      </c:pt>
                      <c:pt idx="405">
                        <c:v>20.614999999999998</c:v>
                      </c:pt>
                      <c:pt idx="406">
                        <c:v>20.614999999999998</c:v>
                      </c:pt>
                      <c:pt idx="407">
                        <c:v>20.614999999999998</c:v>
                      </c:pt>
                      <c:pt idx="408">
                        <c:v>20.614999999999998</c:v>
                      </c:pt>
                      <c:pt idx="409">
                        <c:v>20.614999999999998</c:v>
                      </c:pt>
                      <c:pt idx="410">
                        <c:v>20.614999999999998</c:v>
                      </c:pt>
                      <c:pt idx="411">
                        <c:v>20.614999999999998</c:v>
                      </c:pt>
                      <c:pt idx="412">
                        <c:v>20.614999999999998</c:v>
                      </c:pt>
                      <c:pt idx="413">
                        <c:v>20.614999999999998</c:v>
                      </c:pt>
                      <c:pt idx="414">
                        <c:v>20.614999999999998</c:v>
                      </c:pt>
                      <c:pt idx="415">
                        <c:v>20.614999999999998</c:v>
                      </c:pt>
                      <c:pt idx="416">
                        <c:v>20.614999999999998</c:v>
                      </c:pt>
                      <c:pt idx="417">
                        <c:v>20.614999999999998</c:v>
                      </c:pt>
                      <c:pt idx="418">
                        <c:v>20.614999999999998</c:v>
                      </c:pt>
                      <c:pt idx="419">
                        <c:v>20.614999999999998</c:v>
                      </c:pt>
                      <c:pt idx="420">
                        <c:v>20.614999999999998</c:v>
                      </c:pt>
                      <c:pt idx="421">
                        <c:v>20.614999999999998</c:v>
                      </c:pt>
                      <c:pt idx="422">
                        <c:v>20.614999999999998</c:v>
                      </c:pt>
                      <c:pt idx="423">
                        <c:v>20.614999999999998</c:v>
                      </c:pt>
                      <c:pt idx="424">
                        <c:v>20.614999999999998</c:v>
                      </c:pt>
                      <c:pt idx="425">
                        <c:v>20.614999999999998</c:v>
                      </c:pt>
                      <c:pt idx="426">
                        <c:v>20.614999999999998</c:v>
                      </c:pt>
                      <c:pt idx="427">
                        <c:v>20.614999999999998</c:v>
                      </c:pt>
                      <c:pt idx="428">
                        <c:v>20.614999999999998</c:v>
                      </c:pt>
                      <c:pt idx="429">
                        <c:v>20.614999999999998</c:v>
                      </c:pt>
                      <c:pt idx="430">
                        <c:v>20.614999999999998</c:v>
                      </c:pt>
                      <c:pt idx="431">
                        <c:v>20.614999999999998</c:v>
                      </c:pt>
                      <c:pt idx="432">
                        <c:v>20.614999999999998</c:v>
                      </c:pt>
                      <c:pt idx="433">
                        <c:v>20.614999999999998</c:v>
                      </c:pt>
                      <c:pt idx="434">
                        <c:v>20.614999999999998</c:v>
                      </c:pt>
                      <c:pt idx="435">
                        <c:v>20.614999999999998</c:v>
                      </c:pt>
                      <c:pt idx="436">
                        <c:v>20.614999999999998</c:v>
                      </c:pt>
                      <c:pt idx="437">
                        <c:v>20.614999999999998</c:v>
                      </c:pt>
                      <c:pt idx="438">
                        <c:v>20.614999999999998</c:v>
                      </c:pt>
                      <c:pt idx="439">
                        <c:v>20.614999999999998</c:v>
                      </c:pt>
                      <c:pt idx="440">
                        <c:v>20.614999999999998</c:v>
                      </c:pt>
                      <c:pt idx="441">
                        <c:v>20.614999999999998</c:v>
                      </c:pt>
                      <c:pt idx="442">
                        <c:v>20.614999999999998</c:v>
                      </c:pt>
                      <c:pt idx="443">
                        <c:v>20.614999999999998</c:v>
                      </c:pt>
                      <c:pt idx="444">
                        <c:v>20.614999999999998</c:v>
                      </c:pt>
                      <c:pt idx="445">
                        <c:v>20.614999999999998</c:v>
                      </c:pt>
                      <c:pt idx="446">
                        <c:v>20.614999999999998</c:v>
                      </c:pt>
                      <c:pt idx="447">
                        <c:v>20.614999999999998</c:v>
                      </c:pt>
                      <c:pt idx="448">
                        <c:v>20.614999999999998</c:v>
                      </c:pt>
                      <c:pt idx="449">
                        <c:v>20.614999999999998</c:v>
                      </c:pt>
                      <c:pt idx="450">
                        <c:v>20.614999999999998</c:v>
                      </c:pt>
                      <c:pt idx="451">
                        <c:v>20.614999999999998</c:v>
                      </c:pt>
                      <c:pt idx="452">
                        <c:v>20.614999999999998</c:v>
                      </c:pt>
                      <c:pt idx="453">
                        <c:v>20.614999999999998</c:v>
                      </c:pt>
                      <c:pt idx="454">
                        <c:v>20.614999999999998</c:v>
                      </c:pt>
                      <c:pt idx="455">
                        <c:v>20.614999999999998</c:v>
                      </c:pt>
                      <c:pt idx="456">
                        <c:v>20.614999999999998</c:v>
                      </c:pt>
                      <c:pt idx="457">
                        <c:v>20.614999999999998</c:v>
                      </c:pt>
                      <c:pt idx="458">
                        <c:v>20.614999999999998</c:v>
                      </c:pt>
                      <c:pt idx="459">
                        <c:v>20.614999999999998</c:v>
                      </c:pt>
                      <c:pt idx="460">
                        <c:v>20.614999999999998</c:v>
                      </c:pt>
                      <c:pt idx="461">
                        <c:v>20.614999999999998</c:v>
                      </c:pt>
                      <c:pt idx="462">
                        <c:v>20.614999999999998</c:v>
                      </c:pt>
                      <c:pt idx="463">
                        <c:v>20.614999999999998</c:v>
                      </c:pt>
                      <c:pt idx="464">
                        <c:v>20.614999999999998</c:v>
                      </c:pt>
                      <c:pt idx="465">
                        <c:v>20.614999999999998</c:v>
                      </c:pt>
                      <c:pt idx="466">
                        <c:v>20.614999999999998</c:v>
                      </c:pt>
                      <c:pt idx="467">
                        <c:v>20.614999999999998</c:v>
                      </c:pt>
                      <c:pt idx="468">
                        <c:v>20.614999999999998</c:v>
                      </c:pt>
                      <c:pt idx="469">
                        <c:v>20.614999999999998</c:v>
                      </c:pt>
                      <c:pt idx="470">
                        <c:v>20.614999999999998</c:v>
                      </c:pt>
                      <c:pt idx="471">
                        <c:v>20.518999999999998</c:v>
                      </c:pt>
                      <c:pt idx="472">
                        <c:v>20.518999999999998</c:v>
                      </c:pt>
                      <c:pt idx="473">
                        <c:v>20.614999999999998</c:v>
                      </c:pt>
                      <c:pt idx="474">
                        <c:v>20.614999999999998</c:v>
                      </c:pt>
                      <c:pt idx="475">
                        <c:v>20.614999999999998</c:v>
                      </c:pt>
                      <c:pt idx="476">
                        <c:v>20.614999999999998</c:v>
                      </c:pt>
                      <c:pt idx="477">
                        <c:v>20.614999999999998</c:v>
                      </c:pt>
                      <c:pt idx="478">
                        <c:v>20.518999999999998</c:v>
                      </c:pt>
                      <c:pt idx="479">
                        <c:v>20.614999999999998</c:v>
                      </c:pt>
                      <c:pt idx="480">
                        <c:v>20.614999999999998</c:v>
                      </c:pt>
                      <c:pt idx="481">
                        <c:v>20.614999999999998</c:v>
                      </c:pt>
                      <c:pt idx="482">
                        <c:v>20.614999999999998</c:v>
                      </c:pt>
                      <c:pt idx="483">
                        <c:v>20.518999999999998</c:v>
                      </c:pt>
                      <c:pt idx="484">
                        <c:v>20.518999999999998</c:v>
                      </c:pt>
                      <c:pt idx="485">
                        <c:v>20.518999999999998</c:v>
                      </c:pt>
                      <c:pt idx="486">
                        <c:v>20.614999999999998</c:v>
                      </c:pt>
                      <c:pt idx="487">
                        <c:v>20.518999999999998</c:v>
                      </c:pt>
                      <c:pt idx="488">
                        <c:v>20.518999999999998</c:v>
                      </c:pt>
                      <c:pt idx="489">
                        <c:v>20.518999999999998</c:v>
                      </c:pt>
                      <c:pt idx="490">
                        <c:v>20.518999999999998</c:v>
                      </c:pt>
                      <c:pt idx="491">
                        <c:v>20.518999999999998</c:v>
                      </c:pt>
                      <c:pt idx="492">
                        <c:v>20.518999999999998</c:v>
                      </c:pt>
                      <c:pt idx="493">
                        <c:v>20.518999999999998</c:v>
                      </c:pt>
                      <c:pt idx="494">
                        <c:v>20.518999999999998</c:v>
                      </c:pt>
                      <c:pt idx="495">
                        <c:v>20.518999999999998</c:v>
                      </c:pt>
                      <c:pt idx="496">
                        <c:v>20.518999999999998</c:v>
                      </c:pt>
                      <c:pt idx="497">
                        <c:v>20.518999999999998</c:v>
                      </c:pt>
                      <c:pt idx="498">
                        <c:v>20.518999999999998</c:v>
                      </c:pt>
                      <c:pt idx="499">
                        <c:v>20.518999999999998</c:v>
                      </c:pt>
                      <c:pt idx="500">
                        <c:v>20.518999999999998</c:v>
                      </c:pt>
                      <c:pt idx="501">
                        <c:v>20.518999999999998</c:v>
                      </c:pt>
                      <c:pt idx="502">
                        <c:v>20.518999999999998</c:v>
                      </c:pt>
                      <c:pt idx="503">
                        <c:v>20.518999999999998</c:v>
                      </c:pt>
                      <c:pt idx="504">
                        <c:v>20.518999999999998</c:v>
                      </c:pt>
                      <c:pt idx="505">
                        <c:v>20.518999999999998</c:v>
                      </c:pt>
                      <c:pt idx="506">
                        <c:v>20.518999999999998</c:v>
                      </c:pt>
                      <c:pt idx="507">
                        <c:v>20.518999999999998</c:v>
                      </c:pt>
                      <c:pt idx="508">
                        <c:v>20.518999999999998</c:v>
                      </c:pt>
                      <c:pt idx="509">
                        <c:v>20.518999999999998</c:v>
                      </c:pt>
                      <c:pt idx="510">
                        <c:v>20.518999999999998</c:v>
                      </c:pt>
                      <c:pt idx="511">
                        <c:v>20.518999999999998</c:v>
                      </c:pt>
                      <c:pt idx="512">
                        <c:v>20.518999999999998</c:v>
                      </c:pt>
                      <c:pt idx="513">
                        <c:v>20.518999999999998</c:v>
                      </c:pt>
                      <c:pt idx="514">
                        <c:v>20.518999999999998</c:v>
                      </c:pt>
                      <c:pt idx="515">
                        <c:v>20.518999999999998</c:v>
                      </c:pt>
                      <c:pt idx="516">
                        <c:v>20.518999999999998</c:v>
                      </c:pt>
                      <c:pt idx="517">
                        <c:v>20.518999999999998</c:v>
                      </c:pt>
                      <c:pt idx="518">
                        <c:v>20.518999999999998</c:v>
                      </c:pt>
                      <c:pt idx="519">
                        <c:v>20.518999999999998</c:v>
                      </c:pt>
                      <c:pt idx="520">
                        <c:v>20.518999999999998</c:v>
                      </c:pt>
                      <c:pt idx="521">
                        <c:v>20.518999999999998</c:v>
                      </c:pt>
                      <c:pt idx="522">
                        <c:v>20.518999999999998</c:v>
                      </c:pt>
                      <c:pt idx="523">
                        <c:v>20.518999999999998</c:v>
                      </c:pt>
                      <c:pt idx="524">
                        <c:v>20.518999999999998</c:v>
                      </c:pt>
                      <c:pt idx="525">
                        <c:v>20.518999999999998</c:v>
                      </c:pt>
                      <c:pt idx="526">
                        <c:v>20.518999999999998</c:v>
                      </c:pt>
                      <c:pt idx="527">
                        <c:v>20.518999999999998</c:v>
                      </c:pt>
                      <c:pt idx="528">
                        <c:v>20.518999999999998</c:v>
                      </c:pt>
                      <c:pt idx="529">
                        <c:v>20.518999999999998</c:v>
                      </c:pt>
                      <c:pt idx="530">
                        <c:v>20.518999999999998</c:v>
                      </c:pt>
                      <c:pt idx="531">
                        <c:v>20.518999999999998</c:v>
                      </c:pt>
                      <c:pt idx="532">
                        <c:v>20.518999999999998</c:v>
                      </c:pt>
                      <c:pt idx="533">
                        <c:v>20.518999999999998</c:v>
                      </c:pt>
                      <c:pt idx="534">
                        <c:v>20.518999999999998</c:v>
                      </c:pt>
                      <c:pt idx="535">
                        <c:v>20.518999999999998</c:v>
                      </c:pt>
                      <c:pt idx="536">
                        <c:v>20.518999999999998</c:v>
                      </c:pt>
                      <c:pt idx="537">
                        <c:v>20.518999999999998</c:v>
                      </c:pt>
                      <c:pt idx="538">
                        <c:v>20.518999999999998</c:v>
                      </c:pt>
                      <c:pt idx="539">
                        <c:v>20.518999999999998</c:v>
                      </c:pt>
                      <c:pt idx="540">
                        <c:v>20.518999999999998</c:v>
                      </c:pt>
                      <c:pt idx="541">
                        <c:v>20.518999999999998</c:v>
                      </c:pt>
                      <c:pt idx="542">
                        <c:v>20.518999999999998</c:v>
                      </c:pt>
                      <c:pt idx="543">
                        <c:v>20.518999999999998</c:v>
                      </c:pt>
                      <c:pt idx="544">
                        <c:v>20.518999999999998</c:v>
                      </c:pt>
                      <c:pt idx="545">
                        <c:v>20.518999999999998</c:v>
                      </c:pt>
                      <c:pt idx="546">
                        <c:v>20.518999999999998</c:v>
                      </c:pt>
                      <c:pt idx="547">
                        <c:v>20.518999999999998</c:v>
                      </c:pt>
                      <c:pt idx="548">
                        <c:v>20.518999999999998</c:v>
                      </c:pt>
                      <c:pt idx="549">
                        <c:v>20.518999999999998</c:v>
                      </c:pt>
                      <c:pt idx="550">
                        <c:v>20.518999999999998</c:v>
                      </c:pt>
                      <c:pt idx="551">
                        <c:v>20.518999999999998</c:v>
                      </c:pt>
                      <c:pt idx="552">
                        <c:v>20.518999999999998</c:v>
                      </c:pt>
                      <c:pt idx="553">
                        <c:v>20.518999999999998</c:v>
                      </c:pt>
                      <c:pt idx="554">
                        <c:v>20.518999999999998</c:v>
                      </c:pt>
                      <c:pt idx="555">
                        <c:v>20.518999999999998</c:v>
                      </c:pt>
                      <c:pt idx="556">
                        <c:v>20.518999999999998</c:v>
                      </c:pt>
                      <c:pt idx="557">
                        <c:v>20.518999999999998</c:v>
                      </c:pt>
                      <c:pt idx="558">
                        <c:v>20.518999999999998</c:v>
                      </c:pt>
                      <c:pt idx="559">
                        <c:v>20.518999999999998</c:v>
                      </c:pt>
                      <c:pt idx="560">
                        <c:v>20.518999999999998</c:v>
                      </c:pt>
                      <c:pt idx="561">
                        <c:v>20.518999999999998</c:v>
                      </c:pt>
                      <c:pt idx="562">
                        <c:v>20.518999999999998</c:v>
                      </c:pt>
                      <c:pt idx="563">
                        <c:v>20.518999999999998</c:v>
                      </c:pt>
                      <c:pt idx="564">
                        <c:v>20.518999999999998</c:v>
                      </c:pt>
                      <c:pt idx="565">
                        <c:v>20.518999999999998</c:v>
                      </c:pt>
                      <c:pt idx="566">
                        <c:v>20.518999999999998</c:v>
                      </c:pt>
                      <c:pt idx="567">
                        <c:v>20.518999999999998</c:v>
                      </c:pt>
                      <c:pt idx="568">
                        <c:v>20.518999999999998</c:v>
                      </c:pt>
                      <c:pt idx="569">
                        <c:v>20.518999999999998</c:v>
                      </c:pt>
                      <c:pt idx="570">
                        <c:v>20.518999999999998</c:v>
                      </c:pt>
                      <c:pt idx="571">
                        <c:v>20.518999999999998</c:v>
                      </c:pt>
                      <c:pt idx="572">
                        <c:v>20.518999999999998</c:v>
                      </c:pt>
                      <c:pt idx="573">
                        <c:v>20.518999999999998</c:v>
                      </c:pt>
                      <c:pt idx="574">
                        <c:v>20.518999999999998</c:v>
                      </c:pt>
                      <c:pt idx="575">
                        <c:v>20.518999999999998</c:v>
                      </c:pt>
                      <c:pt idx="576">
                        <c:v>20.518999999999998</c:v>
                      </c:pt>
                      <c:pt idx="577">
                        <c:v>20.518999999999998</c:v>
                      </c:pt>
                      <c:pt idx="578">
                        <c:v>20.518999999999998</c:v>
                      </c:pt>
                      <c:pt idx="579">
                        <c:v>20.518999999999998</c:v>
                      </c:pt>
                      <c:pt idx="580">
                        <c:v>20.518999999999998</c:v>
                      </c:pt>
                      <c:pt idx="581">
                        <c:v>20.518999999999998</c:v>
                      </c:pt>
                      <c:pt idx="582">
                        <c:v>20.518999999999998</c:v>
                      </c:pt>
                      <c:pt idx="583">
                        <c:v>20.518999999999998</c:v>
                      </c:pt>
                      <c:pt idx="584">
                        <c:v>20.518999999999998</c:v>
                      </c:pt>
                      <c:pt idx="585">
                        <c:v>20.518999999999998</c:v>
                      </c:pt>
                      <c:pt idx="586">
                        <c:v>20.518999999999998</c:v>
                      </c:pt>
                      <c:pt idx="587">
                        <c:v>20.518999999999998</c:v>
                      </c:pt>
                      <c:pt idx="588">
                        <c:v>20.518999999999998</c:v>
                      </c:pt>
                      <c:pt idx="589">
                        <c:v>20.518999999999998</c:v>
                      </c:pt>
                      <c:pt idx="590">
                        <c:v>20.518999999999998</c:v>
                      </c:pt>
                      <c:pt idx="591">
                        <c:v>20.518999999999998</c:v>
                      </c:pt>
                      <c:pt idx="592">
                        <c:v>20.518999999999998</c:v>
                      </c:pt>
                      <c:pt idx="593">
                        <c:v>20.518999999999998</c:v>
                      </c:pt>
                      <c:pt idx="594">
                        <c:v>20.518999999999998</c:v>
                      </c:pt>
                      <c:pt idx="595">
                        <c:v>20.518999999999998</c:v>
                      </c:pt>
                      <c:pt idx="596">
                        <c:v>20.518999999999998</c:v>
                      </c:pt>
                      <c:pt idx="597">
                        <c:v>20.518999999999998</c:v>
                      </c:pt>
                      <c:pt idx="598">
                        <c:v>20.518999999999998</c:v>
                      </c:pt>
                      <c:pt idx="599">
                        <c:v>20.518999999999998</c:v>
                      </c:pt>
                      <c:pt idx="600">
                        <c:v>20.518999999999998</c:v>
                      </c:pt>
                      <c:pt idx="601">
                        <c:v>20.518999999999998</c:v>
                      </c:pt>
                      <c:pt idx="602">
                        <c:v>20.518999999999998</c:v>
                      </c:pt>
                      <c:pt idx="603">
                        <c:v>20.518999999999998</c:v>
                      </c:pt>
                      <c:pt idx="604">
                        <c:v>20.518999999999998</c:v>
                      </c:pt>
                      <c:pt idx="605">
                        <c:v>20.518999999999998</c:v>
                      </c:pt>
                      <c:pt idx="606">
                        <c:v>20.518999999999998</c:v>
                      </c:pt>
                      <c:pt idx="607">
                        <c:v>20.518999999999998</c:v>
                      </c:pt>
                      <c:pt idx="608">
                        <c:v>20.518999999999998</c:v>
                      </c:pt>
                      <c:pt idx="609">
                        <c:v>20.518999999999998</c:v>
                      </c:pt>
                      <c:pt idx="610">
                        <c:v>20.518999999999998</c:v>
                      </c:pt>
                      <c:pt idx="611">
                        <c:v>20.518999999999998</c:v>
                      </c:pt>
                      <c:pt idx="612">
                        <c:v>20.518999999999998</c:v>
                      </c:pt>
                      <c:pt idx="613">
                        <c:v>20.518999999999998</c:v>
                      </c:pt>
                      <c:pt idx="614">
                        <c:v>20.518999999999998</c:v>
                      </c:pt>
                      <c:pt idx="615">
                        <c:v>20.518999999999998</c:v>
                      </c:pt>
                      <c:pt idx="616">
                        <c:v>20.518999999999998</c:v>
                      </c:pt>
                      <c:pt idx="617">
                        <c:v>20.518999999999998</c:v>
                      </c:pt>
                      <c:pt idx="618">
                        <c:v>20.518999999999998</c:v>
                      </c:pt>
                      <c:pt idx="619">
                        <c:v>20.518999999999998</c:v>
                      </c:pt>
                      <c:pt idx="620">
                        <c:v>20.518999999999998</c:v>
                      </c:pt>
                      <c:pt idx="621">
                        <c:v>20.518999999999998</c:v>
                      </c:pt>
                      <c:pt idx="622">
                        <c:v>20.518999999999998</c:v>
                      </c:pt>
                      <c:pt idx="623">
                        <c:v>20.518999999999998</c:v>
                      </c:pt>
                      <c:pt idx="624">
                        <c:v>20.518999999999998</c:v>
                      </c:pt>
                      <c:pt idx="625">
                        <c:v>20.518999999999998</c:v>
                      </c:pt>
                      <c:pt idx="626">
                        <c:v>20.518999999999998</c:v>
                      </c:pt>
                      <c:pt idx="627">
                        <c:v>20.518999999999998</c:v>
                      </c:pt>
                      <c:pt idx="628">
                        <c:v>20.518999999999998</c:v>
                      </c:pt>
                      <c:pt idx="629">
                        <c:v>20.518999999999998</c:v>
                      </c:pt>
                      <c:pt idx="630">
                        <c:v>20.518999999999998</c:v>
                      </c:pt>
                      <c:pt idx="631">
                        <c:v>20.518999999999998</c:v>
                      </c:pt>
                      <c:pt idx="632">
                        <c:v>20.518999999999998</c:v>
                      </c:pt>
                      <c:pt idx="633">
                        <c:v>20.518999999999998</c:v>
                      </c:pt>
                      <c:pt idx="634">
                        <c:v>20.518999999999998</c:v>
                      </c:pt>
                      <c:pt idx="635">
                        <c:v>20.518999999999998</c:v>
                      </c:pt>
                      <c:pt idx="636">
                        <c:v>20.518999999999998</c:v>
                      </c:pt>
                      <c:pt idx="637">
                        <c:v>20.518999999999998</c:v>
                      </c:pt>
                      <c:pt idx="638">
                        <c:v>20.518999999999998</c:v>
                      </c:pt>
                      <c:pt idx="639">
                        <c:v>20.518999999999998</c:v>
                      </c:pt>
                      <c:pt idx="640">
                        <c:v>20.518999999999998</c:v>
                      </c:pt>
                      <c:pt idx="641">
                        <c:v>20.518999999999998</c:v>
                      </c:pt>
                      <c:pt idx="642">
                        <c:v>20.518999999999998</c:v>
                      </c:pt>
                      <c:pt idx="643">
                        <c:v>20.518999999999998</c:v>
                      </c:pt>
                      <c:pt idx="644">
                        <c:v>20.518999999999998</c:v>
                      </c:pt>
                      <c:pt idx="645">
                        <c:v>20.518999999999998</c:v>
                      </c:pt>
                      <c:pt idx="646">
                        <c:v>20.518999999999998</c:v>
                      </c:pt>
                      <c:pt idx="647">
                        <c:v>20.518999999999998</c:v>
                      </c:pt>
                      <c:pt idx="648">
                        <c:v>20.518999999999998</c:v>
                      </c:pt>
                      <c:pt idx="649">
                        <c:v>20.518999999999998</c:v>
                      </c:pt>
                      <c:pt idx="650">
                        <c:v>20.518999999999998</c:v>
                      </c:pt>
                      <c:pt idx="651">
                        <c:v>20.518999999999998</c:v>
                      </c:pt>
                      <c:pt idx="652">
                        <c:v>20.518999999999998</c:v>
                      </c:pt>
                      <c:pt idx="653">
                        <c:v>20.518999999999998</c:v>
                      </c:pt>
                      <c:pt idx="654">
                        <c:v>20.518999999999998</c:v>
                      </c:pt>
                      <c:pt idx="655">
                        <c:v>20.518999999999998</c:v>
                      </c:pt>
                      <c:pt idx="656">
                        <c:v>20.518999999999998</c:v>
                      </c:pt>
                      <c:pt idx="657">
                        <c:v>20.518999999999998</c:v>
                      </c:pt>
                      <c:pt idx="658">
                        <c:v>20.518999999999998</c:v>
                      </c:pt>
                      <c:pt idx="659">
                        <c:v>20.518999999999998</c:v>
                      </c:pt>
                      <c:pt idx="660">
                        <c:v>20.518999999999998</c:v>
                      </c:pt>
                      <c:pt idx="661">
                        <c:v>20.518999999999998</c:v>
                      </c:pt>
                      <c:pt idx="662">
                        <c:v>20.518999999999998</c:v>
                      </c:pt>
                      <c:pt idx="663">
                        <c:v>20.518999999999998</c:v>
                      </c:pt>
                      <c:pt idx="664">
                        <c:v>20.518999999999998</c:v>
                      </c:pt>
                      <c:pt idx="665">
                        <c:v>20.518999999999998</c:v>
                      </c:pt>
                      <c:pt idx="666">
                        <c:v>20.518999999999998</c:v>
                      </c:pt>
                      <c:pt idx="667">
                        <c:v>20.518999999999998</c:v>
                      </c:pt>
                      <c:pt idx="668">
                        <c:v>20.518999999999998</c:v>
                      </c:pt>
                      <c:pt idx="669">
                        <c:v>20.518999999999998</c:v>
                      </c:pt>
                      <c:pt idx="670">
                        <c:v>20.518999999999998</c:v>
                      </c:pt>
                      <c:pt idx="671">
                        <c:v>20.518999999999998</c:v>
                      </c:pt>
                      <c:pt idx="672">
                        <c:v>20.518999999999998</c:v>
                      </c:pt>
                      <c:pt idx="673">
                        <c:v>20.518999999999998</c:v>
                      </c:pt>
                      <c:pt idx="674">
                        <c:v>20.518999999999998</c:v>
                      </c:pt>
                      <c:pt idx="675">
                        <c:v>20.518999999999998</c:v>
                      </c:pt>
                      <c:pt idx="676">
                        <c:v>20.518999999999998</c:v>
                      </c:pt>
                      <c:pt idx="677">
                        <c:v>20.518999999999998</c:v>
                      </c:pt>
                      <c:pt idx="678">
                        <c:v>20.518999999999998</c:v>
                      </c:pt>
                      <c:pt idx="679">
                        <c:v>20.518999999999998</c:v>
                      </c:pt>
                      <c:pt idx="680">
                        <c:v>20.518999999999998</c:v>
                      </c:pt>
                      <c:pt idx="681">
                        <c:v>20.518999999999998</c:v>
                      </c:pt>
                      <c:pt idx="682">
                        <c:v>20.518999999999998</c:v>
                      </c:pt>
                      <c:pt idx="683">
                        <c:v>20.518999999999998</c:v>
                      </c:pt>
                      <c:pt idx="684">
                        <c:v>20.518999999999998</c:v>
                      </c:pt>
                      <c:pt idx="685">
                        <c:v>20.518999999999998</c:v>
                      </c:pt>
                      <c:pt idx="686">
                        <c:v>20.518999999999998</c:v>
                      </c:pt>
                      <c:pt idx="687">
                        <c:v>20.518999999999998</c:v>
                      </c:pt>
                      <c:pt idx="688">
                        <c:v>20.518999999999998</c:v>
                      </c:pt>
                      <c:pt idx="689">
                        <c:v>20.518999999999998</c:v>
                      </c:pt>
                      <c:pt idx="690">
                        <c:v>20.518999999999998</c:v>
                      </c:pt>
                      <c:pt idx="691">
                        <c:v>20.518999999999998</c:v>
                      </c:pt>
                      <c:pt idx="692">
                        <c:v>20.518999999999998</c:v>
                      </c:pt>
                      <c:pt idx="693">
                        <c:v>20.518999999999998</c:v>
                      </c:pt>
                      <c:pt idx="694">
                        <c:v>20.518999999999998</c:v>
                      </c:pt>
                      <c:pt idx="695">
                        <c:v>20.518999999999998</c:v>
                      </c:pt>
                      <c:pt idx="696">
                        <c:v>20.518999999999998</c:v>
                      </c:pt>
                      <c:pt idx="697">
                        <c:v>20.518999999999998</c:v>
                      </c:pt>
                      <c:pt idx="698">
                        <c:v>20.518999999999998</c:v>
                      </c:pt>
                      <c:pt idx="699">
                        <c:v>20.518999999999998</c:v>
                      </c:pt>
                      <c:pt idx="700">
                        <c:v>20.518999999999998</c:v>
                      </c:pt>
                      <c:pt idx="701">
                        <c:v>20.518999999999998</c:v>
                      </c:pt>
                      <c:pt idx="702">
                        <c:v>20.518999999999998</c:v>
                      </c:pt>
                      <c:pt idx="703">
                        <c:v>20.518999999999998</c:v>
                      </c:pt>
                      <c:pt idx="704">
                        <c:v>20.518999999999998</c:v>
                      </c:pt>
                      <c:pt idx="705">
                        <c:v>20.518999999999998</c:v>
                      </c:pt>
                      <c:pt idx="706">
                        <c:v>20.518999999999998</c:v>
                      </c:pt>
                      <c:pt idx="707">
                        <c:v>20.518999999999998</c:v>
                      </c:pt>
                      <c:pt idx="708">
                        <c:v>20.518999999999998</c:v>
                      </c:pt>
                      <c:pt idx="709">
                        <c:v>20.518999999999998</c:v>
                      </c:pt>
                      <c:pt idx="710">
                        <c:v>20.518999999999998</c:v>
                      </c:pt>
                      <c:pt idx="711">
                        <c:v>20.518999999999998</c:v>
                      </c:pt>
                      <c:pt idx="712">
                        <c:v>20.518999999999998</c:v>
                      </c:pt>
                      <c:pt idx="713">
                        <c:v>20.518999999999998</c:v>
                      </c:pt>
                      <c:pt idx="714">
                        <c:v>20.518999999999998</c:v>
                      </c:pt>
                      <c:pt idx="715">
                        <c:v>20.518999999999998</c:v>
                      </c:pt>
                      <c:pt idx="716">
                        <c:v>20.518999999999998</c:v>
                      </c:pt>
                      <c:pt idx="717">
                        <c:v>20.518999999999998</c:v>
                      </c:pt>
                      <c:pt idx="718">
                        <c:v>20.518999999999998</c:v>
                      </c:pt>
                      <c:pt idx="719">
                        <c:v>20.518999999999998</c:v>
                      </c:pt>
                      <c:pt idx="720">
                        <c:v>20.518999999999998</c:v>
                      </c:pt>
                      <c:pt idx="721">
                        <c:v>20.518999999999998</c:v>
                      </c:pt>
                      <c:pt idx="722">
                        <c:v>20.518999999999998</c:v>
                      </c:pt>
                      <c:pt idx="723">
                        <c:v>20.518999999999998</c:v>
                      </c:pt>
                      <c:pt idx="724">
                        <c:v>20.518999999999998</c:v>
                      </c:pt>
                      <c:pt idx="725">
                        <c:v>20.518999999999998</c:v>
                      </c:pt>
                      <c:pt idx="726">
                        <c:v>20.518999999999998</c:v>
                      </c:pt>
                      <c:pt idx="727">
                        <c:v>20.518999999999998</c:v>
                      </c:pt>
                      <c:pt idx="728">
                        <c:v>20.518999999999998</c:v>
                      </c:pt>
                      <c:pt idx="729">
                        <c:v>20.518999999999998</c:v>
                      </c:pt>
                      <c:pt idx="730">
                        <c:v>20.518999999999998</c:v>
                      </c:pt>
                      <c:pt idx="731">
                        <c:v>20.518999999999998</c:v>
                      </c:pt>
                      <c:pt idx="732">
                        <c:v>20.518999999999998</c:v>
                      </c:pt>
                      <c:pt idx="733">
                        <c:v>20.518999999999998</c:v>
                      </c:pt>
                      <c:pt idx="734">
                        <c:v>20.518999999999998</c:v>
                      </c:pt>
                      <c:pt idx="735">
                        <c:v>20.518999999999998</c:v>
                      </c:pt>
                      <c:pt idx="736">
                        <c:v>20.518999999999998</c:v>
                      </c:pt>
                      <c:pt idx="737">
                        <c:v>20.518999999999998</c:v>
                      </c:pt>
                      <c:pt idx="738">
                        <c:v>20.518999999999998</c:v>
                      </c:pt>
                      <c:pt idx="739">
                        <c:v>20.518999999999998</c:v>
                      </c:pt>
                      <c:pt idx="740">
                        <c:v>20.518999999999998</c:v>
                      </c:pt>
                      <c:pt idx="741">
                        <c:v>20.518999999999998</c:v>
                      </c:pt>
                      <c:pt idx="742">
                        <c:v>20.518999999999998</c:v>
                      </c:pt>
                      <c:pt idx="743">
                        <c:v>20.518999999999998</c:v>
                      </c:pt>
                      <c:pt idx="744">
                        <c:v>20.518999999999998</c:v>
                      </c:pt>
                      <c:pt idx="745">
                        <c:v>20.518999999999998</c:v>
                      </c:pt>
                      <c:pt idx="746">
                        <c:v>20.518999999999998</c:v>
                      </c:pt>
                      <c:pt idx="747">
                        <c:v>20.518999999999998</c:v>
                      </c:pt>
                      <c:pt idx="748">
                        <c:v>20.518999999999998</c:v>
                      </c:pt>
                      <c:pt idx="749">
                        <c:v>20.518999999999998</c:v>
                      </c:pt>
                      <c:pt idx="750">
                        <c:v>20.518999999999998</c:v>
                      </c:pt>
                      <c:pt idx="751">
                        <c:v>20.518999999999998</c:v>
                      </c:pt>
                      <c:pt idx="752">
                        <c:v>20.518999999999998</c:v>
                      </c:pt>
                      <c:pt idx="753">
                        <c:v>20.518999999999998</c:v>
                      </c:pt>
                      <c:pt idx="754">
                        <c:v>20.518999999999998</c:v>
                      </c:pt>
                      <c:pt idx="755">
                        <c:v>20.518999999999998</c:v>
                      </c:pt>
                      <c:pt idx="756">
                        <c:v>20.518999999999998</c:v>
                      </c:pt>
                      <c:pt idx="757">
                        <c:v>20.518999999999998</c:v>
                      </c:pt>
                      <c:pt idx="758">
                        <c:v>20.518999999999998</c:v>
                      </c:pt>
                      <c:pt idx="759">
                        <c:v>20.518999999999998</c:v>
                      </c:pt>
                      <c:pt idx="760">
                        <c:v>20.518999999999998</c:v>
                      </c:pt>
                      <c:pt idx="761">
                        <c:v>20.518999999999998</c:v>
                      </c:pt>
                      <c:pt idx="762">
                        <c:v>20.518999999999998</c:v>
                      </c:pt>
                      <c:pt idx="763">
                        <c:v>20.518999999999998</c:v>
                      </c:pt>
                      <c:pt idx="764">
                        <c:v>20.518999999999998</c:v>
                      </c:pt>
                      <c:pt idx="765">
                        <c:v>20.518999999999998</c:v>
                      </c:pt>
                      <c:pt idx="766">
                        <c:v>20.518999999999998</c:v>
                      </c:pt>
                      <c:pt idx="767">
                        <c:v>20.518999999999998</c:v>
                      </c:pt>
                      <c:pt idx="768">
                        <c:v>20.518999999999998</c:v>
                      </c:pt>
                      <c:pt idx="769">
                        <c:v>20.518999999999998</c:v>
                      </c:pt>
                      <c:pt idx="770">
                        <c:v>20.518999999999998</c:v>
                      </c:pt>
                      <c:pt idx="771">
                        <c:v>20.518999999999998</c:v>
                      </c:pt>
                      <c:pt idx="772">
                        <c:v>20.518999999999998</c:v>
                      </c:pt>
                      <c:pt idx="773">
                        <c:v>20.518999999999998</c:v>
                      </c:pt>
                      <c:pt idx="774">
                        <c:v>20.518999999999998</c:v>
                      </c:pt>
                      <c:pt idx="775">
                        <c:v>20.518999999999998</c:v>
                      </c:pt>
                      <c:pt idx="776">
                        <c:v>20.518999999999998</c:v>
                      </c:pt>
                      <c:pt idx="777">
                        <c:v>20.518999999999998</c:v>
                      </c:pt>
                      <c:pt idx="778">
                        <c:v>20.518999999999998</c:v>
                      </c:pt>
                      <c:pt idx="779">
                        <c:v>20.518999999999998</c:v>
                      </c:pt>
                      <c:pt idx="780">
                        <c:v>20.518999999999998</c:v>
                      </c:pt>
                      <c:pt idx="781">
                        <c:v>20.518999999999998</c:v>
                      </c:pt>
                      <c:pt idx="782">
                        <c:v>20.518999999999998</c:v>
                      </c:pt>
                      <c:pt idx="783">
                        <c:v>20.518999999999998</c:v>
                      </c:pt>
                      <c:pt idx="784">
                        <c:v>20.518999999999998</c:v>
                      </c:pt>
                      <c:pt idx="785">
                        <c:v>20.518999999999998</c:v>
                      </c:pt>
                      <c:pt idx="786">
                        <c:v>20.518999999999998</c:v>
                      </c:pt>
                      <c:pt idx="787">
                        <c:v>20.518999999999998</c:v>
                      </c:pt>
                      <c:pt idx="788">
                        <c:v>20.518999999999998</c:v>
                      </c:pt>
                      <c:pt idx="789">
                        <c:v>20.518999999999998</c:v>
                      </c:pt>
                      <c:pt idx="790">
                        <c:v>20.518999999999998</c:v>
                      </c:pt>
                      <c:pt idx="791">
                        <c:v>20.518999999999998</c:v>
                      </c:pt>
                      <c:pt idx="792">
                        <c:v>20.518999999999998</c:v>
                      </c:pt>
                      <c:pt idx="793">
                        <c:v>20.518999999999998</c:v>
                      </c:pt>
                      <c:pt idx="794">
                        <c:v>20.518999999999998</c:v>
                      </c:pt>
                      <c:pt idx="795">
                        <c:v>20.518999999999998</c:v>
                      </c:pt>
                      <c:pt idx="796">
                        <c:v>20.518999999999998</c:v>
                      </c:pt>
                      <c:pt idx="797">
                        <c:v>20.518999999999998</c:v>
                      </c:pt>
                      <c:pt idx="798">
                        <c:v>20.518999999999998</c:v>
                      </c:pt>
                      <c:pt idx="799">
                        <c:v>20.518999999999998</c:v>
                      </c:pt>
                      <c:pt idx="800">
                        <c:v>20.518999999999998</c:v>
                      </c:pt>
                      <c:pt idx="801">
                        <c:v>20.518999999999998</c:v>
                      </c:pt>
                      <c:pt idx="802">
                        <c:v>20.423999999999999</c:v>
                      </c:pt>
                      <c:pt idx="803">
                        <c:v>20.518999999999998</c:v>
                      </c:pt>
                      <c:pt idx="804">
                        <c:v>20.518999999999998</c:v>
                      </c:pt>
                      <c:pt idx="805">
                        <c:v>20.518999999999998</c:v>
                      </c:pt>
                      <c:pt idx="806">
                        <c:v>20.518999999999998</c:v>
                      </c:pt>
                      <c:pt idx="807">
                        <c:v>20.518999999999998</c:v>
                      </c:pt>
                      <c:pt idx="808">
                        <c:v>20.518999999999998</c:v>
                      </c:pt>
                      <c:pt idx="809">
                        <c:v>20.518999999999998</c:v>
                      </c:pt>
                      <c:pt idx="810">
                        <c:v>20.518999999999998</c:v>
                      </c:pt>
                      <c:pt idx="811">
                        <c:v>20.518999999999998</c:v>
                      </c:pt>
                      <c:pt idx="812">
                        <c:v>20.518999999999998</c:v>
                      </c:pt>
                      <c:pt idx="813">
                        <c:v>20.518999999999998</c:v>
                      </c:pt>
                      <c:pt idx="814">
                        <c:v>20.518999999999998</c:v>
                      </c:pt>
                      <c:pt idx="815">
                        <c:v>20.518999999999998</c:v>
                      </c:pt>
                      <c:pt idx="816">
                        <c:v>20.518999999999998</c:v>
                      </c:pt>
                      <c:pt idx="817">
                        <c:v>20.518999999999998</c:v>
                      </c:pt>
                      <c:pt idx="818">
                        <c:v>20.518999999999998</c:v>
                      </c:pt>
                      <c:pt idx="819">
                        <c:v>20.518999999999998</c:v>
                      </c:pt>
                      <c:pt idx="820">
                        <c:v>20.423999999999999</c:v>
                      </c:pt>
                      <c:pt idx="821">
                        <c:v>20.518999999999998</c:v>
                      </c:pt>
                      <c:pt idx="822">
                        <c:v>20.518999999999998</c:v>
                      </c:pt>
                      <c:pt idx="823">
                        <c:v>20.518999999999998</c:v>
                      </c:pt>
                      <c:pt idx="824">
                        <c:v>20.518999999999998</c:v>
                      </c:pt>
                      <c:pt idx="825">
                        <c:v>20.518999999999998</c:v>
                      </c:pt>
                      <c:pt idx="826">
                        <c:v>20.423999999999999</c:v>
                      </c:pt>
                      <c:pt idx="827">
                        <c:v>20.518999999999998</c:v>
                      </c:pt>
                      <c:pt idx="828">
                        <c:v>20.518999999999998</c:v>
                      </c:pt>
                      <c:pt idx="829">
                        <c:v>20.518999999999998</c:v>
                      </c:pt>
                      <c:pt idx="830">
                        <c:v>20.518999999999998</c:v>
                      </c:pt>
                      <c:pt idx="831">
                        <c:v>20.518999999999998</c:v>
                      </c:pt>
                      <c:pt idx="832">
                        <c:v>20.518999999999998</c:v>
                      </c:pt>
                      <c:pt idx="833">
                        <c:v>20.518999999999998</c:v>
                      </c:pt>
                      <c:pt idx="834">
                        <c:v>20.518999999999998</c:v>
                      </c:pt>
                      <c:pt idx="835">
                        <c:v>20.518999999999998</c:v>
                      </c:pt>
                      <c:pt idx="836">
                        <c:v>20.518999999999998</c:v>
                      </c:pt>
                      <c:pt idx="837">
                        <c:v>20.518999999999998</c:v>
                      </c:pt>
                      <c:pt idx="838">
                        <c:v>20.518999999999998</c:v>
                      </c:pt>
                      <c:pt idx="839">
                        <c:v>20.518999999999998</c:v>
                      </c:pt>
                      <c:pt idx="840">
                        <c:v>20.518999999999998</c:v>
                      </c:pt>
                      <c:pt idx="841">
                        <c:v>20.518999999999998</c:v>
                      </c:pt>
                      <c:pt idx="842">
                        <c:v>20.518999999999998</c:v>
                      </c:pt>
                      <c:pt idx="843">
                        <c:v>20.518999999999998</c:v>
                      </c:pt>
                      <c:pt idx="844">
                        <c:v>20.518999999999998</c:v>
                      </c:pt>
                      <c:pt idx="845">
                        <c:v>20.518999999999998</c:v>
                      </c:pt>
                      <c:pt idx="846">
                        <c:v>20.518999999999998</c:v>
                      </c:pt>
                      <c:pt idx="847">
                        <c:v>20.518999999999998</c:v>
                      </c:pt>
                      <c:pt idx="848">
                        <c:v>20.518999999999998</c:v>
                      </c:pt>
                      <c:pt idx="849">
                        <c:v>20.518999999999998</c:v>
                      </c:pt>
                      <c:pt idx="850">
                        <c:v>20.518999999999998</c:v>
                      </c:pt>
                      <c:pt idx="851">
                        <c:v>20.518999999999998</c:v>
                      </c:pt>
                      <c:pt idx="852">
                        <c:v>20.518999999999998</c:v>
                      </c:pt>
                      <c:pt idx="853">
                        <c:v>20.518999999999998</c:v>
                      </c:pt>
                      <c:pt idx="854">
                        <c:v>20.518999999999998</c:v>
                      </c:pt>
                      <c:pt idx="855">
                        <c:v>20.518999999999998</c:v>
                      </c:pt>
                      <c:pt idx="856">
                        <c:v>20.518999999999998</c:v>
                      </c:pt>
                      <c:pt idx="857">
                        <c:v>20.518999999999998</c:v>
                      </c:pt>
                      <c:pt idx="858">
                        <c:v>20.518999999999998</c:v>
                      </c:pt>
                      <c:pt idx="859">
                        <c:v>20.518999999999998</c:v>
                      </c:pt>
                      <c:pt idx="860">
                        <c:v>20.518999999999998</c:v>
                      </c:pt>
                      <c:pt idx="861">
                        <c:v>20.518999999999998</c:v>
                      </c:pt>
                      <c:pt idx="862">
                        <c:v>20.518999999999998</c:v>
                      </c:pt>
                      <c:pt idx="863">
                        <c:v>20.518999999999998</c:v>
                      </c:pt>
                      <c:pt idx="864">
                        <c:v>20.518999999999998</c:v>
                      </c:pt>
                      <c:pt idx="865">
                        <c:v>20.518999999999998</c:v>
                      </c:pt>
                      <c:pt idx="866">
                        <c:v>20.518999999999998</c:v>
                      </c:pt>
                      <c:pt idx="867">
                        <c:v>20.518999999999998</c:v>
                      </c:pt>
                      <c:pt idx="868">
                        <c:v>20.518999999999998</c:v>
                      </c:pt>
                      <c:pt idx="869">
                        <c:v>20.518999999999998</c:v>
                      </c:pt>
                      <c:pt idx="870">
                        <c:v>20.518999999999998</c:v>
                      </c:pt>
                      <c:pt idx="871">
                        <c:v>20.518999999999998</c:v>
                      </c:pt>
                      <c:pt idx="872">
                        <c:v>20.518999999999998</c:v>
                      </c:pt>
                      <c:pt idx="873">
                        <c:v>20.518999999999998</c:v>
                      </c:pt>
                      <c:pt idx="874">
                        <c:v>20.518999999999998</c:v>
                      </c:pt>
                      <c:pt idx="875">
                        <c:v>20.518999999999998</c:v>
                      </c:pt>
                      <c:pt idx="876">
                        <c:v>20.518999999999998</c:v>
                      </c:pt>
                      <c:pt idx="877">
                        <c:v>20.518999999999998</c:v>
                      </c:pt>
                      <c:pt idx="878">
                        <c:v>20.518999999999998</c:v>
                      </c:pt>
                      <c:pt idx="879">
                        <c:v>20.518999999999998</c:v>
                      </c:pt>
                      <c:pt idx="880">
                        <c:v>20.518999999999998</c:v>
                      </c:pt>
                      <c:pt idx="881">
                        <c:v>20.518999999999998</c:v>
                      </c:pt>
                      <c:pt idx="882">
                        <c:v>20.518999999999998</c:v>
                      </c:pt>
                      <c:pt idx="883">
                        <c:v>20.518999999999998</c:v>
                      </c:pt>
                      <c:pt idx="884">
                        <c:v>20.518999999999998</c:v>
                      </c:pt>
                      <c:pt idx="885">
                        <c:v>20.518999999999998</c:v>
                      </c:pt>
                      <c:pt idx="886">
                        <c:v>20.518999999999998</c:v>
                      </c:pt>
                      <c:pt idx="887">
                        <c:v>20.518999999999998</c:v>
                      </c:pt>
                      <c:pt idx="888">
                        <c:v>20.518999999999998</c:v>
                      </c:pt>
                      <c:pt idx="889">
                        <c:v>20.518999999999998</c:v>
                      </c:pt>
                      <c:pt idx="890">
                        <c:v>20.518999999999998</c:v>
                      </c:pt>
                      <c:pt idx="891">
                        <c:v>20.518999999999998</c:v>
                      </c:pt>
                      <c:pt idx="892">
                        <c:v>20.518999999999998</c:v>
                      </c:pt>
                      <c:pt idx="893">
                        <c:v>20.518999999999998</c:v>
                      </c:pt>
                      <c:pt idx="894">
                        <c:v>20.518999999999998</c:v>
                      </c:pt>
                      <c:pt idx="895">
                        <c:v>20.518999999999998</c:v>
                      </c:pt>
                      <c:pt idx="896">
                        <c:v>20.518999999999998</c:v>
                      </c:pt>
                      <c:pt idx="897">
                        <c:v>20.518999999999998</c:v>
                      </c:pt>
                      <c:pt idx="898">
                        <c:v>20.518999999999998</c:v>
                      </c:pt>
                      <c:pt idx="899">
                        <c:v>20.518999999999998</c:v>
                      </c:pt>
                      <c:pt idx="900">
                        <c:v>20.518999999999998</c:v>
                      </c:pt>
                      <c:pt idx="901">
                        <c:v>20.518999999999998</c:v>
                      </c:pt>
                      <c:pt idx="902">
                        <c:v>20.518999999999998</c:v>
                      </c:pt>
                      <c:pt idx="903">
                        <c:v>20.518999999999998</c:v>
                      </c:pt>
                      <c:pt idx="904">
                        <c:v>20.518999999999998</c:v>
                      </c:pt>
                      <c:pt idx="905">
                        <c:v>20.518999999999998</c:v>
                      </c:pt>
                      <c:pt idx="906">
                        <c:v>20.518999999999998</c:v>
                      </c:pt>
                      <c:pt idx="907">
                        <c:v>20.518999999999998</c:v>
                      </c:pt>
                      <c:pt idx="908">
                        <c:v>20.518999999999998</c:v>
                      </c:pt>
                      <c:pt idx="909">
                        <c:v>20.518999999999998</c:v>
                      </c:pt>
                      <c:pt idx="910">
                        <c:v>20.518999999999998</c:v>
                      </c:pt>
                      <c:pt idx="911">
                        <c:v>20.518999999999998</c:v>
                      </c:pt>
                      <c:pt idx="912">
                        <c:v>20.518999999999998</c:v>
                      </c:pt>
                      <c:pt idx="913">
                        <c:v>20.518999999999998</c:v>
                      </c:pt>
                      <c:pt idx="914">
                        <c:v>20.518999999999998</c:v>
                      </c:pt>
                      <c:pt idx="915">
                        <c:v>20.518999999999998</c:v>
                      </c:pt>
                      <c:pt idx="916">
                        <c:v>20.518999999999998</c:v>
                      </c:pt>
                      <c:pt idx="917">
                        <c:v>20.518999999999998</c:v>
                      </c:pt>
                      <c:pt idx="918">
                        <c:v>20.518999999999998</c:v>
                      </c:pt>
                      <c:pt idx="919">
                        <c:v>20.518999999999998</c:v>
                      </c:pt>
                      <c:pt idx="920">
                        <c:v>20.518999999999998</c:v>
                      </c:pt>
                      <c:pt idx="921">
                        <c:v>20.518999999999998</c:v>
                      </c:pt>
                      <c:pt idx="922">
                        <c:v>20.518999999999998</c:v>
                      </c:pt>
                      <c:pt idx="923">
                        <c:v>20.518999999999998</c:v>
                      </c:pt>
                      <c:pt idx="924">
                        <c:v>20.518999999999998</c:v>
                      </c:pt>
                      <c:pt idx="925">
                        <c:v>20.518999999999998</c:v>
                      </c:pt>
                      <c:pt idx="926">
                        <c:v>20.518999999999998</c:v>
                      </c:pt>
                      <c:pt idx="927">
                        <c:v>20.518999999999998</c:v>
                      </c:pt>
                      <c:pt idx="928">
                        <c:v>20.518999999999998</c:v>
                      </c:pt>
                      <c:pt idx="929">
                        <c:v>20.518999999999998</c:v>
                      </c:pt>
                      <c:pt idx="930">
                        <c:v>20.518999999999998</c:v>
                      </c:pt>
                      <c:pt idx="931">
                        <c:v>20.518999999999998</c:v>
                      </c:pt>
                      <c:pt idx="932">
                        <c:v>20.518999999999998</c:v>
                      </c:pt>
                      <c:pt idx="933">
                        <c:v>20.518999999999998</c:v>
                      </c:pt>
                      <c:pt idx="934">
                        <c:v>20.518999999999998</c:v>
                      </c:pt>
                      <c:pt idx="935">
                        <c:v>20.518999999999998</c:v>
                      </c:pt>
                      <c:pt idx="936">
                        <c:v>20.518999999999998</c:v>
                      </c:pt>
                      <c:pt idx="937">
                        <c:v>20.518999999999998</c:v>
                      </c:pt>
                      <c:pt idx="938">
                        <c:v>20.518999999999998</c:v>
                      </c:pt>
                      <c:pt idx="939">
                        <c:v>20.518999999999998</c:v>
                      </c:pt>
                      <c:pt idx="940">
                        <c:v>20.518999999999998</c:v>
                      </c:pt>
                      <c:pt idx="941">
                        <c:v>20.518999999999998</c:v>
                      </c:pt>
                      <c:pt idx="942">
                        <c:v>20.518999999999998</c:v>
                      </c:pt>
                      <c:pt idx="943">
                        <c:v>20.518999999999998</c:v>
                      </c:pt>
                      <c:pt idx="944">
                        <c:v>20.518999999999998</c:v>
                      </c:pt>
                      <c:pt idx="945">
                        <c:v>20.518999999999998</c:v>
                      </c:pt>
                      <c:pt idx="946">
                        <c:v>20.518999999999998</c:v>
                      </c:pt>
                      <c:pt idx="947">
                        <c:v>20.518999999999998</c:v>
                      </c:pt>
                      <c:pt idx="948">
                        <c:v>20.518999999999998</c:v>
                      </c:pt>
                      <c:pt idx="949">
                        <c:v>20.518999999999998</c:v>
                      </c:pt>
                      <c:pt idx="950">
                        <c:v>20.518999999999998</c:v>
                      </c:pt>
                      <c:pt idx="951">
                        <c:v>20.518999999999998</c:v>
                      </c:pt>
                      <c:pt idx="952">
                        <c:v>20.518999999999998</c:v>
                      </c:pt>
                      <c:pt idx="953">
                        <c:v>20.518999999999998</c:v>
                      </c:pt>
                      <c:pt idx="954">
                        <c:v>20.518999999999998</c:v>
                      </c:pt>
                      <c:pt idx="955">
                        <c:v>20.518999999999998</c:v>
                      </c:pt>
                      <c:pt idx="956">
                        <c:v>20.518999999999998</c:v>
                      </c:pt>
                      <c:pt idx="957">
                        <c:v>20.518999999999998</c:v>
                      </c:pt>
                      <c:pt idx="958">
                        <c:v>20.518999999999998</c:v>
                      </c:pt>
                      <c:pt idx="959">
                        <c:v>20.518999999999998</c:v>
                      </c:pt>
                      <c:pt idx="960">
                        <c:v>20.518999999999998</c:v>
                      </c:pt>
                      <c:pt idx="961">
                        <c:v>20.518999999999998</c:v>
                      </c:pt>
                      <c:pt idx="962">
                        <c:v>20.518999999999998</c:v>
                      </c:pt>
                      <c:pt idx="963">
                        <c:v>20.518999999999998</c:v>
                      </c:pt>
                      <c:pt idx="964">
                        <c:v>20.518999999999998</c:v>
                      </c:pt>
                      <c:pt idx="965">
                        <c:v>20.518999999999998</c:v>
                      </c:pt>
                      <c:pt idx="966">
                        <c:v>20.518999999999998</c:v>
                      </c:pt>
                      <c:pt idx="967">
                        <c:v>20.518999999999998</c:v>
                      </c:pt>
                      <c:pt idx="968">
                        <c:v>20.518999999999998</c:v>
                      </c:pt>
                      <c:pt idx="969">
                        <c:v>20.518999999999998</c:v>
                      </c:pt>
                      <c:pt idx="970">
                        <c:v>20.518999999999998</c:v>
                      </c:pt>
                      <c:pt idx="971">
                        <c:v>20.518999999999998</c:v>
                      </c:pt>
                      <c:pt idx="972">
                        <c:v>20.518999999999998</c:v>
                      </c:pt>
                      <c:pt idx="973">
                        <c:v>20.518999999999998</c:v>
                      </c:pt>
                      <c:pt idx="974">
                        <c:v>20.518999999999998</c:v>
                      </c:pt>
                      <c:pt idx="975">
                        <c:v>20.518999999999998</c:v>
                      </c:pt>
                      <c:pt idx="976">
                        <c:v>20.518999999999998</c:v>
                      </c:pt>
                      <c:pt idx="977">
                        <c:v>20.518999999999998</c:v>
                      </c:pt>
                      <c:pt idx="978">
                        <c:v>20.518999999999998</c:v>
                      </c:pt>
                      <c:pt idx="979">
                        <c:v>20.518999999999998</c:v>
                      </c:pt>
                      <c:pt idx="980">
                        <c:v>20.518999999999998</c:v>
                      </c:pt>
                      <c:pt idx="981">
                        <c:v>20.518999999999998</c:v>
                      </c:pt>
                      <c:pt idx="982">
                        <c:v>20.518999999999998</c:v>
                      </c:pt>
                      <c:pt idx="983">
                        <c:v>20.518999999999998</c:v>
                      </c:pt>
                      <c:pt idx="984">
                        <c:v>20.518999999999998</c:v>
                      </c:pt>
                      <c:pt idx="985">
                        <c:v>20.518999999999998</c:v>
                      </c:pt>
                      <c:pt idx="986">
                        <c:v>20.518999999999998</c:v>
                      </c:pt>
                      <c:pt idx="987">
                        <c:v>20.518999999999998</c:v>
                      </c:pt>
                      <c:pt idx="988">
                        <c:v>20.518999999999998</c:v>
                      </c:pt>
                      <c:pt idx="989">
                        <c:v>20.518999999999998</c:v>
                      </c:pt>
                      <c:pt idx="990">
                        <c:v>20.518999999999998</c:v>
                      </c:pt>
                      <c:pt idx="991">
                        <c:v>20.518999999999998</c:v>
                      </c:pt>
                      <c:pt idx="992">
                        <c:v>20.518999999999998</c:v>
                      </c:pt>
                      <c:pt idx="993">
                        <c:v>20.518999999999998</c:v>
                      </c:pt>
                      <c:pt idx="994">
                        <c:v>20.518999999999998</c:v>
                      </c:pt>
                      <c:pt idx="995">
                        <c:v>20.518999999999998</c:v>
                      </c:pt>
                      <c:pt idx="996">
                        <c:v>20.518999999999998</c:v>
                      </c:pt>
                      <c:pt idx="997">
                        <c:v>20.518999999999998</c:v>
                      </c:pt>
                      <c:pt idx="998">
                        <c:v>20.518999999999998</c:v>
                      </c:pt>
                      <c:pt idx="999">
                        <c:v>20.518999999999998</c:v>
                      </c:pt>
                      <c:pt idx="1000">
                        <c:v>20.518999999999998</c:v>
                      </c:pt>
                      <c:pt idx="1001">
                        <c:v>20.518999999999998</c:v>
                      </c:pt>
                      <c:pt idx="1002">
                        <c:v>20.518999999999998</c:v>
                      </c:pt>
                      <c:pt idx="1003">
                        <c:v>20.518999999999998</c:v>
                      </c:pt>
                      <c:pt idx="1004">
                        <c:v>20.518999999999998</c:v>
                      </c:pt>
                      <c:pt idx="1005">
                        <c:v>20.518999999999998</c:v>
                      </c:pt>
                      <c:pt idx="1006">
                        <c:v>20.518999999999998</c:v>
                      </c:pt>
                      <c:pt idx="1007">
                        <c:v>20.518999999999998</c:v>
                      </c:pt>
                      <c:pt idx="1008">
                        <c:v>20.518999999999998</c:v>
                      </c:pt>
                      <c:pt idx="1009">
                        <c:v>20.518999999999998</c:v>
                      </c:pt>
                      <c:pt idx="1010">
                        <c:v>20.518999999999998</c:v>
                      </c:pt>
                      <c:pt idx="1011">
                        <c:v>20.518999999999998</c:v>
                      </c:pt>
                      <c:pt idx="1012">
                        <c:v>20.518999999999998</c:v>
                      </c:pt>
                      <c:pt idx="1013">
                        <c:v>20.518999999999998</c:v>
                      </c:pt>
                      <c:pt idx="1014">
                        <c:v>20.518999999999998</c:v>
                      </c:pt>
                      <c:pt idx="1015">
                        <c:v>20.518999999999998</c:v>
                      </c:pt>
                      <c:pt idx="1016">
                        <c:v>20.518999999999998</c:v>
                      </c:pt>
                      <c:pt idx="1017">
                        <c:v>20.518999999999998</c:v>
                      </c:pt>
                      <c:pt idx="1018">
                        <c:v>20.518999999999998</c:v>
                      </c:pt>
                      <c:pt idx="1019">
                        <c:v>20.518999999999998</c:v>
                      </c:pt>
                      <c:pt idx="1020">
                        <c:v>20.518999999999998</c:v>
                      </c:pt>
                      <c:pt idx="1021">
                        <c:v>20.518999999999998</c:v>
                      </c:pt>
                      <c:pt idx="1022">
                        <c:v>20.518999999999998</c:v>
                      </c:pt>
                      <c:pt idx="1023">
                        <c:v>20.518999999999998</c:v>
                      </c:pt>
                      <c:pt idx="1024">
                        <c:v>20.518999999999998</c:v>
                      </c:pt>
                      <c:pt idx="1025">
                        <c:v>20.518999999999998</c:v>
                      </c:pt>
                      <c:pt idx="1026">
                        <c:v>20.518999999999998</c:v>
                      </c:pt>
                      <c:pt idx="1027">
                        <c:v>20.518999999999998</c:v>
                      </c:pt>
                      <c:pt idx="1028">
                        <c:v>20.518999999999998</c:v>
                      </c:pt>
                      <c:pt idx="1029">
                        <c:v>20.518999999999998</c:v>
                      </c:pt>
                      <c:pt idx="1030">
                        <c:v>20.518999999999998</c:v>
                      </c:pt>
                      <c:pt idx="1031">
                        <c:v>20.518999999999998</c:v>
                      </c:pt>
                      <c:pt idx="1032">
                        <c:v>20.518999999999998</c:v>
                      </c:pt>
                      <c:pt idx="1033">
                        <c:v>20.518999999999998</c:v>
                      </c:pt>
                      <c:pt idx="1034">
                        <c:v>20.518999999999998</c:v>
                      </c:pt>
                      <c:pt idx="1035">
                        <c:v>20.518999999999998</c:v>
                      </c:pt>
                      <c:pt idx="1036">
                        <c:v>20.518999999999998</c:v>
                      </c:pt>
                      <c:pt idx="1037">
                        <c:v>20.518999999999998</c:v>
                      </c:pt>
                      <c:pt idx="1038">
                        <c:v>20.518999999999998</c:v>
                      </c:pt>
                      <c:pt idx="1039">
                        <c:v>20.518999999999998</c:v>
                      </c:pt>
                      <c:pt idx="1040">
                        <c:v>20.518999999999998</c:v>
                      </c:pt>
                      <c:pt idx="1041">
                        <c:v>20.518999999999998</c:v>
                      </c:pt>
                      <c:pt idx="1042">
                        <c:v>20.518999999999998</c:v>
                      </c:pt>
                      <c:pt idx="1043">
                        <c:v>20.518999999999998</c:v>
                      </c:pt>
                      <c:pt idx="1044">
                        <c:v>20.518999999999998</c:v>
                      </c:pt>
                      <c:pt idx="1045">
                        <c:v>20.518999999999998</c:v>
                      </c:pt>
                      <c:pt idx="1046">
                        <c:v>20.518999999999998</c:v>
                      </c:pt>
                      <c:pt idx="1047">
                        <c:v>20.518999999999998</c:v>
                      </c:pt>
                      <c:pt idx="1048">
                        <c:v>20.518999999999998</c:v>
                      </c:pt>
                      <c:pt idx="1049">
                        <c:v>20.518999999999998</c:v>
                      </c:pt>
                      <c:pt idx="1050">
                        <c:v>20.518999999999998</c:v>
                      </c:pt>
                      <c:pt idx="1051">
                        <c:v>20.518999999999998</c:v>
                      </c:pt>
                      <c:pt idx="1052">
                        <c:v>20.518999999999998</c:v>
                      </c:pt>
                      <c:pt idx="1053">
                        <c:v>20.518999999999998</c:v>
                      </c:pt>
                      <c:pt idx="1054">
                        <c:v>20.518999999999998</c:v>
                      </c:pt>
                      <c:pt idx="1055">
                        <c:v>20.518999999999998</c:v>
                      </c:pt>
                      <c:pt idx="1056">
                        <c:v>20.518999999999998</c:v>
                      </c:pt>
                      <c:pt idx="1057">
                        <c:v>20.518999999999998</c:v>
                      </c:pt>
                      <c:pt idx="1058">
                        <c:v>20.518999999999998</c:v>
                      </c:pt>
                      <c:pt idx="1059">
                        <c:v>20.518999999999998</c:v>
                      </c:pt>
                      <c:pt idx="1060">
                        <c:v>20.614999999999998</c:v>
                      </c:pt>
                      <c:pt idx="1061">
                        <c:v>20.518999999999998</c:v>
                      </c:pt>
                      <c:pt idx="1062">
                        <c:v>20.518999999999998</c:v>
                      </c:pt>
                      <c:pt idx="1063">
                        <c:v>20.518999999999998</c:v>
                      </c:pt>
                      <c:pt idx="1064">
                        <c:v>20.518999999999998</c:v>
                      </c:pt>
                      <c:pt idx="1065">
                        <c:v>20.518999999999998</c:v>
                      </c:pt>
                      <c:pt idx="1066">
                        <c:v>20.518999999999998</c:v>
                      </c:pt>
                      <c:pt idx="1067">
                        <c:v>20.518999999999998</c:v>
                      </c:pt>
                      <c:pt idx="1068">
                        <c:v>20.518999999999998</c:v>
                      </c:pt>
                      <c:pt idx="1069">
                        <c:v>20.518999999999998</c:v>
                      </c:pt>
                      <c:pt idx="1070">
                        <c:v>20.518999999999998</c:v>
                      </c:pt>
                      <c:pt idx="1071">
                        <c:v>20.518999999999998</c:v>
                      </c:pt>
                      <c:pt idx="1072">
                        <c:v>20.518999999999998</c:v>
                      </c:pt>
                      <c:pt idx="1073">
                        <c:v>20.518999999999998</c:v>
                      </c:pt>
                      <c:pt idx="1074">
                        <c:v>20.518999999999998</c:v>
                      </c:pt>
                      <c:pt idx="1075">
                        <c:v>20.518999999999998</c:v>
                      </c:pt>
                      <c:pt idx="1076">
                        <c:v>20.518999999999998</c:v>
                      </c:pt>
                      <c:pt idx="1077">
                        <c:v>20.614999999999998</c:v>
                      </c:pt>
                      <c:pt idx="1078">
                        <c:v>20.518999999999998</c:v>
                      </c:pt>
                      <c:pt idx="1079">
                        <c:v>20.518999999999998</c:v>
                      </c:pt>
                      <c:pt idx="1080">
                        <c:v>20.518999999999998</c:v>
                      </c:pt>
                      <c:pt idx="1081">
                        <c:v>20.518999999999998</c:v>
                      </c:pt>
                      <c:pt idx="1082">
                        <c:v>20.518999999999998</c:v>
                      </c:pt>
                      <c:pt idx="1083">
                        <c:v>20.518999999999998</c:v>
                      </c:pt>
                      <c:pt idx="1084">
                        <c:v>20.518999999999998</c:v>
                      </c:pt>
                      <c:pt idx="1085">
                        <c:v>20.518999999999998</c:v>
                      </c:pt>
                      <c:pt idx="1086">
                        <c:v>20.518999999999998</c:v>
                      </c:pt>
                      <c:pt idx="1087">
                        <c:v>20.518999999999998</c:v>
                      </c:pt>
                      <c:pt idx="1088">
                        <c:v>20.518999999999998</c:v>
                      </c:pt>
                      <c:pt idx="1089">
                        <c:v>20.518999999999998</c:v>
                      </c:pt>
                      <c:pt idx="1090">
                        <c:v>20.518999999999998</c:v>
                      </c:pt>
                      <c:pt idx="1091">
                        <c:v>20.518999999999998</c:v>
                      </c:pt>
                      <c:pt idx="1092">
                        <c:v>20.518999999999998</c:v>
                      </c:pt>
                      <c:pt idx="1093">
                        <c:v>20.518999999999998</c:v>
                      </c:pt>
                      <c:pt idx="1094">
                        <c:v>20.518999999999998</c:v>
                      </c:pt>
                      <c:pt idx="1095">
                        <c:v>20.518999999999998</c:v>
                      </c:pt>
                      <c:pt idx="1096">
                        <c:v>20.518999999999998</c:v>
                      </c:pt>
                      <c:pt idx="1097">
                        <c:v>20.518999999999998</c:v>
                      </c:pt>
                      <c:pt idx="1098">
                        <c:v>20.518999999999998</c:v>
                      </c:pt>
                      <c:pt idx="1099">
                        <c:v>20.518999999999998</c:v>
                      </c:pt>
                      <c:pt idx="1100">
                        <c:v>20.518999999999998</c:v>
                      </c:pt>
                      <c:pt idx="1101">
                        <c:v>20.518999999999998</c:v>
                      </c:pt>
                      <c:pt idx="1102">
                        <c:v>20.518999999999998</c:v>
                      </c:pt>
                      <c:pt idx="1103">
                        <c:v>20.518999999999998</c:v>
                      </c:pt>
                      <c:pt idx="1104">
                        <c:v>20.518999999999998</c:v>
                      </c:pt>
                      <c:pt idx="1105">
                        <c:v>20.518999999999998</c:v>
                      </c:pt>
                      <c:pt idx="1106">
                        <c:v>20.518999999999998</c:v>
                      </c:pt>
                      <c:pt idx="1107">
                        <c:v>20.518999999999998</c:v>
                      </c:pt>
                      <c:pt idx="1108">
                        <c:v>20.518999999999998</c:v>
                      </c:pt>
                      <c:pt idx="1109">
                        <c:v>20.518999999999998</c:v>
                      </c:pt>
                      <c:pt idx="1110">
                        <c:v>20.518999999999998</c:v>
                      </c:pt>
                      <c:pt idx="1111">
                        <c:v>20.518999999999998</c:v>
                      </c:pt>
                      <c:pt idx="1112">
                        <c:v>20.518999999999998</c:v>
                      </c:pt>
                      <c:pt idx="1113">
                        <c:v>20.518999999999998</c:v>
                      </c:pt>
                      <c:pt idx="1114">
                        <c:v>20.518999999999998</c:v>
                      </c:pt>
                      <c:pt idx="1115">
                        <c:v>20.518999999999998</c:v>
                      </c:pt>
                      <c:pt idx="1116">
                        <c:v>20.518999999999998</c:v>
                      </c:pt>
                      <c:pt idx="1117">
                        <c:v>20.518999999999998</c:v>
                      </c:pt>
                      <c:pt idx="1118">
                        <c:v>20.518999999999998</c:v>
                      </c:pt>
                      <c:pt idx="1119">
                        <c:v>20.518999999999998</c:v>
                      </c:pt>
                      <c:pt idx="1120">
                        <c:v>20.614999999999998</c:v>
                      </c:pt>
                      <c:pt idx="1121">
                        <c:v>20.518999999999998</c:v>
                      </c:pt>
                      <c:pt idx="1122">
                        <c:v>20.518999999999998</c:v>
                      </c:pt>
                      <c:pt idx="1123">
                        <c:v>20.518999999999998</c:v>
                      </c:pt>
                      <c:pt idx="1124">
                        <c:v>20.518999999999998</c:v>
                      </c:pt>
                      <c:pt idx="1125">
                        <c:v>20.518999999999998</c:v>
                      </c:pt>
                      <c:pt idx="1126">
                        <c:v>20.518999999999998</c:v>
                      </c:pt>
                      <c:pt idx="1127">
                        <c:v>20.614999999999998</c:v>
                      </c:pt>
                      <c:pt idx="1128">
                        <c:v>20.518999999999998</c:v>
                      </c:pt>
                      <c:pt idx="1129">
                        <c:v>20.518999999999998</c:v>
                      </c:pt>
                      <c:pt idx="1130">
                        <c:v>20.518999999999998</c:v>
                      </c:pt>
                      <c:pt idx="1131">
                        <c:v>20.614999999999998</c:v>
                      </c:pt>
                      <c:pt idx="1132">
                        <c:v>20.614999999999998</c:v>
                      </c:pt>
                      <c:pt idx="1133">
                        <c:v>20.614999999999998</c:v>
                      </c:pt>
                      <c:pt idx="1134">
                        <c:v>20.614999999999998</c:v>
                      </c:pt>
                      <c:pt idx="1135">
                        <c:v>20.614999999999998</c:v>
                      </c:pt>
                      <c:pt idx="1136">
                        <c:v>20.614999999999998</c:v>
                      </c:pt>
                      <c:pt idx="1137">
                        <c:v>20.518999999999998</c:v>
                      </c:pt>
                      <c:pt idx="1138">
                        <c:v>20.614999999999998</c:v>
                      </c:pt>
                      <c:pt idx="1139">
                        <c:v>20.614999999999998</c:v>
                      </c:pt>
                      <c:pt idx="1140">
                        <c:v>20.518999999999998</c:v>
                      </c:pt>
                      <c:pt idx="1141">
                        <c:v>20.614999999999998</c:v>
                      </c:pt>
                      <c:pt idx="1142">
                        <c:v>20.614999999999998</c:v>
                      </c:pt>
                      <c:pt idx="1143">
                        <c:v>20.614999999999998</c:v>
                      </c:pt>
                      <c:pt idx="1144">
                        <c:v>20.614999999999998</c:v>
                      </c:pt>
                      <c:pt idx="1145">
                        <c:v>20.614999999999998</c:v>
                      </c:pt>
                      <c:pt idx="1146">
                        <c:v>20.614999999999998</c:v>
                      </c:pt>
                      <c:pt idx="1147">
                        <c:v>20.614999999999998</c:v>
                      </c:pt>
                      <c:pt idx="1148">
                        <c:v>20.614999999999998</c:v>
                      </c:pt>
                      <c:pt idx="1149">
                        <c:v>20.614999999999998</c:v>
                      </c:pt>
                      <c:pt idx="1150">
                        <c:v>20.614999999999998</c:v>
                      </c:pt>
                      <c:pt idx="1151">
                        <c:v>20.614999999999998</c:v>
                      </c:pt>
                      <c:pt idx="1152">
                        <c:v>20.614999999999998</c:v>
                      </c:pt>
                      <c:pt idx="1153">
                        <c:v>20.614999999999998</c:v>
                      </c:pt>
                      <c:pt idx="1154">
                        <c:v>20.614999999999998</c:v>
                      </c:pt>
                      <c:pt idx="1155">
                        <c:v>20.614999999999998</c:v>
                      </c:pt>
                      <c:pt idx="1156">
                        <c:v>20.614999999999998</c:v>
                      </c:pt>
                      <c:pt idx="1157">
                        <c:v>20.614999999999998</c:v>
                      </c:pt>
                      <c:pt idx="1158">
                        <c:v>20.614999999999998</c:v>
                      </c:pt>
                      <c:pt idx="1159">
                        <c:v>20.614999999999998</c:v>
                      </c:pt>
                      <c:pt idx="1160">
                        <c:v>20.614999999999998</c:v>
                      </c:pt>
                      <c:pt idx="1161">
                        <c:v>20.614999999999998</c:v>
                      </c:pt>
                      <c:pt idx="1162">
                        <c:v>20.614999999999998</c:v>
                      </c:pt>
                      <c:pt idx="1163">
                        <c:v>20.614999999999998</c:v>
                      </c:pt>
                      <c:pt idx="1164">
                        <c:v>20.614999999999998</c:v>
                      </c:pt>
                      <c:pt idx="1165">
                        <c:v>20.614999999999998</c:v>
                      </c:pt>
                      <c:pt idx="1166">
                        <c:v>20.614999999999998</c:v>
                      </c:pt>
                      <c:pt idx="1167">
                        <c:v>20.614999999999998</c:v>
                      </c:pt>
                      <c:pt idx="1168">
                        <c:v>20.614999999999998</c:v>
                      </c:pt>
                      <c:pt idx="1169">
                        <c:v>20.614999999999998</c:v>
                      </c:pt>
                      <c:pt idx="1170">
                        <c:v>20.614999999999998</c:v>
                      </c:pt>
                      <c:pt idx="1171">
                        <c:v>20.614999999999998</c:v>
                      </c:pt>
                      <c:pt idx="1172">
                        <c:v>20.614999999999998</c:v>
                      </c:pt>
                      <c:pt idx="1173">
                        <c:v>20.614999999999998</c:v>
                      </c:pt>
                      <c:pt idx="1174">
                        <c:v>20.614999999999998</c:v>
                      </c:pt>
                      <c:pt idx="1175">
                        <c:v>20.614999999999998</c:v>
                      </c:pt>
                      <c:pt idx="1176">
                        <c:v>20.614999999999998</c:v>
                      </c:pt>
                      <c:pt idx="1177">
                        <c:v>20.614999999999998</c:v>
                      </c:pt>
                      <c:pt idx="1178">
                        <c:v>20.614999999999998</c:v>
                      </c:pt>
                      <c:pt idx="1179">
                        <c:v>20.614999999999998</c:v>
                      </c:pt>
                      <c:pt idx="1180">
                        <c:v>20.614999999999998</c:v>
                      </c:pt>
                      <c:pt idx="1181">
                        <c:v>20.614999999999998</c:v>
                      </c:pt>
                      <c:pt idx="1182">
                        <c:v>20.614999999999998</c:v>
                      </c:pt>
                      <c:pt idx="1183">
                        <c:v>20.614999999999998</c:v>
                      </c:pt>
                      <c:pt idx="1184">
                        <c:v>20.614999999999998</c:v>
                      </c:pt>
                      <c:pt idx="1185">
                        <c:v>20.614999999999998</c:v>
                      </c:pt>
                      <c:pt idx="1186">
                        <c:v>20.614999999999998</c:v>
                      </c:pt>
                      <c:pt idx="1187">
                        <c:v>20.614999999999998</c:v>
                      </c:pt>
                      <c:pt idx="1188">
                        <c:v>20.614999999999998</c:v>
                      </c:pt>
                      <c:pt idx="1189">
                        <c:v>20.614999999999998</c:v>
                      </c:pt>
                      <c:pt idx="1190">
                        <c:v>20.614999999999998</c:v>
                      </c:pt>
                      <c:pt idx="1191">
                        <c:v>20.614999999999998</c:v>
                      </c:pt>
                      <c:pt idx="1192">
                        <c:v>20.614999999999998</c:v>
                      </c:pt>
                      <c:pt idx="1193">
                        <c:v>20.614999999999998</c:v>
                      </c:pt>
                      <c:pt idx="1194">
                        <c:v>20.614999999999998</c:v>
                      </c:pt>
                      <c:pt idx="1195">
                        <c:v>20.614999999999998</c:v>
                      </c:pt>
                      <c:pt idx="1196">
                        <c:v>20.614999999999998</c:v>
                      </c:pt>
                      <c:pt idx="1197">
                        <c:v>20.614999999999998</c:v>
                      </c:pt>
                      <c:pt idx="1198">
                        <c:v>20.614999999999998</c:v>
                      </c:pt>
                      <c:pt idx="1199">
                        <c:v>20.614999999999998</c:v>
                      </c:pt>
                      <c:pt idx="1200">
                        <c:v>20.614999999999998</c:v>
                      </c:pt>
                      <c:pt idx="1201">
                        <c:v>20.614999999999998</c:v>
                      </c:pt>
                      <c:pt idx="1202">
                        <c:v>20.614999999999998</c:v>
                      </c:pt>
                      <c:pt idx="1203">
                        <c:v>20.614999999999998</c:v>
                      </c:pt>
                      <c:pt idx="1204">
                        <c:v>20.614999999999998</c:v>
                      </c:pt>
                      <c:pt idx="1205">
                        <c:v>20.614999999999998</c:v>
                      </c:pt>
                      <c:pt idx="1206">
                        <c:v>20.614999999999998</c:v>
                      </c:pt>
                      <c:pt idx="1207">
                        <c:v>20.614999999999998</c:v>
                      </c:pt>
                      <c:pt idx="1208">
                        <c:v>20.614999999999998</c:v>
                      </c:pt>
                      <c:pt idx="1209">
                        <c:v>20.614999999999998</c:v>
                      </c:pt>
                      <c:pt idx="1210">
                        <c:v>20.614999999999998</c:v>
                      </c:pt>
                      <c:pt idx="1211">
                        <c:v>20.614999999999998</c:v>
                      </c:pt>
                      <c:pt idx="1212">
                        <c:v>20.614999999999998</c:v>
                      </c:pt>
                      <c:pt idx="1213">
                        <c:v>20.614999999999998</c:v>
                      </c:pt>
                      <c:pt idx="1214">
                        <c:v>20.614999999999998</c:v>
                      </c:pt>
                      <c:pt idx="1215">
                        <c:v>20.614999999999998</c:v>
                      </c:pt>
                      <c:pt idx="1216">
                        <c:v>20.614999999999998</c:v>
                      </c:pt>
                      <c:pt idx="1217">
                        <c:v>20.614999999999998</c:v>
                      </c:pt>
                      <c:pt idx="1218">
                        <c:v>20.614999999999998</c:v>
                      </c:pt>
                      <c:pt idx="1219">
                        <c:v>20.614999999999998</c:v>
                      </c:pt>
                      <c:pt idx="1220">
                        <c:v>20.614999999999998</c:v>
                      </c:pt>
                      <c:pt idx="1221">
                        <c:v>20.614999999999998</c:v>
                      </c:pt>
                      <c:pt idx="1222">
                        <c:v>20.614999999999998</c:v>
                      </c:pt>
                      <c:pt idx="1223">
                        <c:v>20.614999999999998</c:v>
                      </c:pt>
                      <c:pt idx="1224">
                        <c:v>20.614999999999998</c:v>
                      </c:pt>
                      <c:pt idx="1225">
                        <c:v>20.614999999999998</c:v>
                      </c:pt>
                      <c:pt idx="1226">
                        <c:v>20.614999999999998</c:v>
                      </c:pt>
                      <c:pt idx="1227">
                        <c:v>20.614999999999998</c:v>
                      </c:pt>
                      <c:pt idx="1228">
                        <c:v>20.614999999999998</c:v>
                      </c:pt>
                      <c:pt idx="1229">
                        <c:v>20.614999999999998</c:v>
                      </c:pt>
                      <c:pt idx="1230">
                        <c:v>20.614999999999998</c:v>
                      </c:pt>
                      <c:pt idx="1231">
                        <c:v>20.614999999999998</c:v>
                      </c:pt>
                      <c:pt idx="1232">
                        <c:v>20.614999999999998</c:v>
                      </c:pt>
                      <c:pt idx="1233">
                        <c:v>20.614999999999998</c:v>
                      </c:pt>
                      <c:pt idx="1234">
                        <c:v>20.614999999999998</c:v>
                      </c:pt>
                      <c:pt idx="1235">
                        <c:v>20.614999999999998</c:v>
                      </c:pt>
                      <c:pt idx="1236">
                        <c:v>20.614999999999998</c:v>
                      </c:pt>
                      <c:pt idx="1237">
                        <c:v>20.614999999999998</c:v>
                      </c:pt>
                      <c:pt idx="1238">
                        <c:v>20.614999999999998</c:v>
                      </c:pt>
                      <c:pt idx="1239">
                        <c:v>20.614999999999998</c:v>
                      </c:pt>
                      <c:pt idx="1240">
                        <c:v>20.614999999999998</c:v>
                      </c:pt>
                      <c:pt idx="1241">
                        <c:v>20.614999999999998</c:v>
                      </c:pt>
                      <c:pt idx="1242">
                        <c:v>20.614999999999998</c:v>
                      </c:pt>
                      <c:pt idx="1243">
                        <c:v>20.614999999999998</c:v>
                      </c:pt>
                      <c:pt idx="1244">
                        <c:v>20.614999999999998</c:v>
                      </c:pt>
                      <c:pt idx="1245">
                        <c:v>20.614999999999998</c:v>
                      </c:pt>
                      <c:pt idx="1246">
                        <c:v>20.614999999999998</c:v>
                      </c:pt>
                      <c:pt idx="1247">
                        <c:v>20.614999999999998</c:v>
                      </c:pt>
                      <c:pt idx="1248">
                        <c:v>20.614999999999998</c:v>
                      </c:pt>
                      <c:pt idx="1249">
                        <c:v>20.614999999999998</c:v>
                      </c:pt>
                      <c:pt idx="1250">
                        <c:v>20.614999999999998</c:v>
                      </c:pt>
                      <c:pt idx="1251">
                        <c:v>20.614999999999998</c:v>
                      </c:pt>
                      <c:pt idx="1252">
                        <c:v>20.614999999999998</c:v>
                      </c:pt>
                      <c:pt idx="1253">
                        <c:v>20.614999999999998</c:v>
                      </c:pt>
                      <c:pt idx="1254">
                        <c:v>20.614999999999998</c:v>
                      </c:pt>
                      <c:pt idx="1255">
                        <c:v>20.614999999999998</c:v>
                      </c:pt>
                      <c:pt idx="1256">
                        <c:v>20.614999999999998</c:v>
                      </c:pt>
                      <c:pt idx="1257">
                        <c:v>20.614999999999998</c:v>
                      </c:pt>
                      <c:pt idx="1258">
                        <c:v>20.614999999999998</c:v>
                      </c:pt>
                      <c:pt idx="1259">
                        <c:v>20.614999999999998</c:v>
                      </c:pt>
                      <c:pt idx="1260">
                        <c:v>20.614999999999998</c:v>
                      </c:pt>
                      <c:pt idx="1261">
                        <c:v>20.614999999999998</c:v>
                      </c:pt>
                      <c:pt idx="1262">
                        <c:v>20.614999999999998</c:v>
                      </c:pt>
                      <c:pt idx="1263">
                        <c:v>20.614999999999998</c:v>
                      </c:pt>
                      <c:pt idx="1264">
                        <c:v>20.614999999999998</c:v>
                      </c:pt>
                      <c:pt idx="1265">
                        <c:v>20.614999999999998</c:v>
                      </c:pt>
                      <c:pt idx="1266">
                        <c:v>20.614999999999998</c:v>
                      </c:pt>
                      <c:pt idx="1267">
                        <c:v>20.614999999999998</c:v>
                      </c:pt>
                      <c:pt idx="1268">
                        <c:v>20.614999999999998</c:v>
                      </c:pt>
                      <c:pt idx="1269">
                        <c:v>20.614999999999998</c:v>
                      </c:pt>
                      <c:pt idx="1270">
                        <c:v>20.614999999999998</c:v>
                      </c:pt>
                      <c:pt idx="1271">
                        <c:v>20.614999999999998</c:v>
                      </c:pt>
                      <c:pt idx="1272">
                        <c:v>20.614999999999998</c:v>
                      </c:pt>
                      <c:pt idx="1273">
                        <c:v>20.614999999999998</c:v>
                      </c:pt>
                      <c:pt idx="1274">
                        <c:v>20.614999999999998</c:v>
                      </c:pt>
                      <c:pt idx="1275">
                        <c:v>20.614999999999998</c:v>
                      </c:pt>
                      <c:pt idx="1276">
                        <c:v>20.614999999999998</c:v>
                      </c:pt>
                      <c:pt idx="1277">
                        <c:v>20.614999999999998</c:v>
                      </c:pt>
                      <c:pt idx="1278">
                        <c:v>20.614999999999998</c:v>
                      </c:pt>
                      <c:pt idx="1279">
                        <c:v>20.614999999999998</c:v>
                      </c:pt>
                      <c:pt idx="1280">
                        <c:v>20.614999999999998</c:v>
                      </c:pt>
                      <c:pt idx="1281">
                        <c:v>20.614999999999998</c:v>
                      </c:pt>
                      <c:pt idx="1282">
                        <c:v>20.614999999999998</c:v>
                      </c:pt>
                      <c:pt idx="1283">
                        <c:v>20.614999999999998</c:v>
                      </c:pt>
                      <c:pt idx="1284">
                        <c:v>20.614999999999998</c:v>
                      </c:pt>
                      <c:pt idx="1285">
                        <c:v>20.614999999999998</c:v>
                      </c:pt>
                      <c:pt idx="1286">
                        <c:v>20.614999999999998</c:v>
                      </c:pt>
                      <c:pt idx="1287">
                        <c:v>20.614999999999998</c:v>
                      </c:pt>
                      <c:pt idx="1288">
                        <c:v>20.614999999999998</c:v>
                      </c:pt>
                      <c:pt idx="1289">
                        <c:v>20.614999999999998</c:v>
                      </c:pt>
                      <c:pt idx="1290">
                        <c:v>20.614999999999998</c:v>
                      </c:pt>
                      <c:pt idx="1291">
                        <c:v>20.614999999999998</c:v>
                      </c:pt>
                      <c:pt idx="1292">
                        <c:v>20.614999999999998</c:v>
                      </c:pt>
                      <c:pt idx="1293">
                        <c:v>20.614999999999998</c:v>
                      </c:pt>
                      <c:pt idx="1294">
                        <c:v>20.614999999999998</c:v>
                      </c:pt>
                      <c:pt idx="1295">
                        <c:v>20.614999999999998</c:v>
                      </c:pt>
                      <c:pt idx="1296">
                        <c:v>20.614999999999998</c:v>
                      </c:pt>
                      <c:pt idx="1297">
                        <c:v>20.614999999999998</c:v>
                      </c:pt>
                      <c:pt idx="1298">
                        <c:v>20.614999999999998</c:v>
                      </c:pt>
                      <c:pt idx="1299">
                        <c:v>20.614999999999998</c:v>
                      </c:pt>
                      <c:pt idx="1300">
                        <c:v>20.614999999999998</c:v>
                      </c:pt>
                      <c:pt idx="1301">
                        <c:v>20.614999999999998</c:v>
                      </c:pt>
                      <c:pt idx="1302">
                        <c:v>20.614999999999998</c:v>
                      </c:pt>
                      <c:pt idx="1303">
                        <c:v>20.614999999999998</c:v>
                      </c:pt>
                      <c:pt idx="1304">
                        <c:v>20.614999999999998</c:v>
                      </c:pt>
                      <c:pt idx="1305">
                        <c:v>20.614999999999998</c:v>
                      </c:pt>
                      <c:pt idx="1306">
                        <c:v>20.614999999999998</c:v>
                      </c:pt>
                      <c:pt idx="1307">
                        <c:v>20.614999999999998</c:v>
                      </c:pt>
                      <c:pt idx="1308">
                        <c:v>20.614999999999998</c:v>
                      </c:pt>
                      <c:pt idx="1309">
                        <c:v>20.614999999999998</c:v>
                      </c:pt>
                      <c:pt idx="1310">
                        <c:v>20.614999999999998</c:v>
                      </c:pt>
                      <c:pt idx="1311">
                        <c:v>20.614999999999998</c:v>
                      </c:pt>
                      <c:pt idx="1312">
                        <c:v>20.614999999999998</c:v>
                      </c:pt>
                      <c:pt idx="1313">
                        <c:v>20.614999999999998</c:v>
                      </c:pt>
                      <c:pt idx="1314">
                        <c:v>20.614999999999998</c:v>
                      </c:pt>
                      <c:pt idx="1315">
                        <c:v>20.614999999999998</c:v>
                      </c:pt>
                      <c:pt idx="1316">
                        <c:v>20.614999999999998</c:v>
                      </c:pt>
                      <c:pt idx="1317">
                        <c:v>20.614999999999998</c:v>
                      </c:pt>
                      <c:pt idx="1318">
                        <c:v>20.614999999999998</c:v>
                      </c:pt>
                      <c:pt idx="1319">
                        <c:v>20.614999999999998</c:v>
                      </c:pt>
                      <c:pt idx="1320">
                        <c:v>20.614999999999998</c:v>
                      </c:pt>
                      <c:pt idx="1321">
                        <c:v>20.614999999999998</c:v>
                      </c:pt>
                      <c:pt idx="1322">
                        <c:v>20.614999999999998</c:v>
                      </c:pt>
                      <c:pt idx="1323">
                        <c:v>20.614999999999998</c:v>
                      </c:pt>
                      <c:pt idx="1324">
                        <c:v>20.614999999999998</c:v>
                      </c:pt>
                      <c:pt idx="1325">
                        <c:v>20.614999999999998</c:v>
                      </c:pt>
                      <c:pt idx="1326">
                        <c:v>20.614999999999998</c:v>
                      </c:pt>
                      <c:pt idx="1327">
                        <c:v>20.614999999999998</c:v>
                      </c:pt>
                      <c:pt idx="1328">
                        <c:v>20.614999999999998</c:v>
                      </c:pt>
                      <c:pt idx="1329">
                        <c:v>20.614999999999998</c:v>
                      </c:pt>
                      <c:pt idx="1330">
                        <c:v>20.614999999999998</c:v>
                      </c:pt>
                      <c:pt idx="1331">
                        <c:v>20.614999999999998</c:v>
                      </c:pt>
                      <c:pt idx="1332">
                        <c:v>20.614999999999998</c:v>
                      </c:pt>
                      <c:pt idx="1333">
                        <c:v>20.614999999999998</c:v>
                      </c:pt>
                      <c:pt idx="1334">
                        <c:v>20.614999999999998</c:v>
                      </c:pt>
                      <c:pt idx="1335">
                        <c:v>20.614999999999998</c:v>
                      </c:pt>
                      <c:pt idx="1336">
                        <c:v>20.614999999999998</c:v>
                      </c:pt>
                      <c:pt idx="1337">
                        <c:v>20.614999999999998</c:v>
                      </c:pt>
                      <c:pt idx="1338">
                        <c:v>20.614999999999998</c:v>
                      </c:pt>
                      <c:pt idx="1339">
                        <c:v>20.614999999999998</c:v>
                      </c:pt>
                      <c:pt idx="1340">
                        <c:v>20.614999999999998</c:v>
                      </c:pt>
                      <c:pt idx="1341">
                        <c:v>20.614999999999998</c:v>
                      </c:pt>
                      <c:pt idx="1342">
                        <c:v>20.614999999999998</c:v>
                      </c:pt>
                      <c:pt idx="1343">
                        <c:v>20.614999999999998</c:v>
                      </c:pt>
                      <c:pt idx="1344">
                        <c:v>20.614999999999998</c:v>
                      </c:pt>
                      <c:pt idx="1345">
                        <c:v>20.614999999999998</c:v>
                      </c:pt>
                      <c:pt idx="1346">
                        <c:v>20.614999999999998</c:v>
                      </c:pt>
                      <c:pt idx="1347">
                        <c:v>20.614999999999998</c:v>
                      </c:pt>
                      <c:pt idx="1348">
                        <c:v>20.614999999999998</c:v>
                      </c:pt>
                      <c:pt idx="1349">
                        <c:v>20.614999999999998</c:v>
                      </c:pt>
                      <c:pt idx="1350">
                        <c:v>20.614999999999998</c:v>
                      </c:pt>
                      <c:pt idx="1351">
                        <c:v>20.614999999999998</c:v>
                      </c:pt>
                      <c:pt idx="1352">
                        <c:v>20.614999999999998</c:v>
                      </c:pt>
                      <c:pt idx="1353">
                        <c:v>20.614999999999998</c:v>
                      </c:pt>
                      <c:pt idx="1354">
                        <c:v>20.614999999999998</c:v>
                      </c:pt>
                      <c:pt idx="1355">
                        <c:v>20.614999999999998</c:v>
                      </c:pt>
                      <c:pt idx="1356">
                        <c:v>20.614999999999998</c:v>
                      </c:pt>
                      <c:pt idx="1357">
                        <c:v>20.614999999999998</c:v>
                      </c:pt>
                      <c:pt idx="1358">
                        <c:v>20.614999999999998</c:v>
                      </c:pt>
                      <c:pt idx="1359">
                        <c:v>20.614999999999998</c:v>
                      </c:pt>
                      <c:pt idx="1360">
                        <c:v>20.614999999999998</c:v>
                      </c:pt>
                      <c:pt idx="1361">
                        <c:v>20.614999999999998</c:v>
                      </c:pt>
                      <c:pt idx="1362">
                        <c:v>20.614999999999998</c:v>
                      </c:pt>
                      <c:pt idx="1363">
                        <c:v>20.614999999999998</c:v>
                      </c:pt>
                      <c:pt idx="1364">
                        <c:v>20.614999999999998</c:v>
                      </c:pt>
                      <c:pt idx="1365">
                        <c:v>20.614999999999998</c:v>
                      </c:pt>
                      <c:pt idx="1366">
                        <c:v>20.614999999999998</c:v>
                      </c:pt>
                      <c:pt idx="1367">
                        <c:v>20.614999999999998</c:v>
                      </c:pt>
                      <c:pt idx="1368">
                        <c:v>20.614999999999998</c:v>
                      </c:pt>
                      <c:pt idx="1369">
                        <c:v>20.614999999999998</c:v>
                      </c:pt>
                      <c:pt idx="1370">
                        <c:v>20.614999999999998</c:v>
                      </c:pt>
                      <c:pt idx="1371">
                        <c:v>20.614999999999998</c:v>
                      </c:pt>
                      <c:pt idx="1372">
                        <c:v>20.614999999999998</c:v>
                      </c:pt>
                      <c:pt idx="1373">
                        <c:v>20.614999999999998</c:v>
                      </c:pt>
                      <c:pt idx="1374">
                        <c:v>20.614999999999998</c:v>
                      </c:pt>
                      <c:pt idx="1375">
                        <c:v>20.614999999999998</c:v>
                      </c:pt>
                      <c:pt idx="1376">
                        <c:v>20.614999999999998</c:v>
                      </c:pt>
                      <c:pt idx="1377">
                        <c:v>20.614999999999998</c:v>
                      </c:pt>
                      <c:pt idx="1378">
                        <c:v>20.614999999999998</c:v>
                      </c:pt>
                      <c:pt idx="1379">
                        <c:v>20.614999999999998</c:v>
                      </c:pt>
                      <c:pt idx="1380">
                        <c:v>20.614999999999998</c:v>
                      </c:pt>
                      <c:pt idx="1381">
                        <c:v>20.614999999999998</c:v>
                      </c:pt>
                      <c:pt idx="1382">
                        <c:v>20.614999999999998</c:v>
                      </c:pt>
                      <c:pt idx="1383">
                        <c:v>20.614999999999998</c:v>
                      </c:pt>
                      <c:pt idx="1384">
                        <c:v>20.614999999999998</c:v>
                      </c:pt>
                      <c:pt idx="1385">
                        <c:v>20.614999999999998</c:v>
                      </c:pt>
                      <c:pt idx="1386">
                        <c:v>20.614999999999998</c:v>
                      </c:pt>
                      <c:pt idx="1387">
                        <c:v>20.614999999999998</c:v>
                      </c:pt>
                      <c:pt idx="1388">
                        <c:v>20.614999999999998</c:v>
                      </c:pt>
                      <c:pt idx="1389">
                        <c:v>20.614999999999998</c:v>
                      </c:pt>
                      <c:pt idx="1390">
                        <c:v>20.614999999999998</c:v>
                      </c:pt>
                      <c:pt idx="1391">
                        <c:v>20.614999999999998</c:v>
                      </c:pt>
                      <c:pt idx="1392">
                        <c:v>20.614999999999998</c:v>
                      </c:pt>
                      <c:pt idx="1393">
                        <c:v>20.614999999999998</c:v>
                      </c:pt>
                      <c:pt idx="1394">
                        <c:v>20.614999999999998</c:v>
                      </c:pt>
                      <c:pt idx="1395">
                        <c:v>20.614999999999998</c:v>
                      </c:pt>
                      <c:pt idx="1396">
                        <c:v>20.614999999999998</c:v>
                      </c:pt>
                      <c:pt idx="1397">
                        <c:v>20.614999999999998</c:v>
                      </c:pt>
                      <c:pt idx="1398">
                        <c:v>20.614999999999998</c:v>
                      </c:pt>
                      <c:pt idx="1399">
                        <c:v>20.614999999999998</c:v>
                      </c:pt>
                      <c:pt idx="1400">
                        <c:v>20.614999999999998</c:v>
                      </c:pt>
                      <c:pt idx="1401">
                        <c:v>20.614999999999998</c:v>
                      </c:pt>
                      <c:pt idx="1402">
                        <c:v>20.614999999999998</c:v>
                      </c:pt>
                      <c:pt idx="1403">
                        <c:v>20.614999999999998</c:v>
                      </c:pt>
                      <c:pt idx="1404">
                        <c:v>20.614999999999998</c:v>
                      </c:pt>
                      <c:pt idx="1405">
                        <c:v>20.614999999999998</c:v>
                      </c:pt>
                      <c:pt idx="1406">
                        <c:v>20.614999999999998</c:v>
                      </c:pt>
                      <c:pt idx="1407">
                        <c:v>20.614999999999998</c:v>
                      </c:pt>
                      <c:pt idx="1408">
                        <c:v>20.614999999999998</c:v>
                      </c:pt>
                      <c:pt idx="1409">
                        <c:v>20.614999999999998</c:v>
                      </c:pt>
                      <c:pt idx="1410">
                        <c:v>20.614999999999998</c:v>
                      </c:pt>
                      <c:pt idx="1411">
                        <c:v>20.614999999999998</c:v>
                      </c:pt>
                      <c:pt idx="1412">
                        <c:v>20.614999999999998</c:v>
                      </c:pt>
                      <c:pt idx="1413">
                        <c:v>20.614999999999998</c:v>
                      </c:pt>
                      <c:pt idx="1414">
                        <c:v>20.614999999999998</c:v>
                      </c:pt>
                      <c:pt idx="1415">
                        <c:v>20.614999999999998</c:v>
                      </c:pt>
                      <c:pt idx="1416">
                        <c:v>20.614999999999998</c:v>
                      </c:pt>
                      <c:pt idx="1417">
                        <c:v>20.614999999999998</c:v>
                      </c:pt>
                      <c:pt idx="1418">
                        <c:v>20.614999999999998</c:v>
                      </c:pt>
                      <c:pt idx="1419">
                        <c:v>20.614999999999998</c:v>
                      </c:pt>
                      <c:pt idx="1420">
                        <c:v>20.614999999999998</c:v>
                      </c:pt>
                      <c:pt idx="1421">
                        <c:v>20.614999999999998</c:v>
                      </c:pt>
                      <c:pt idx="1422">
                        <c:v>20.614999999999998</c:v>
                      </c:pt>
                      <c:pt idx="1423">
                        <c:v>20.614999999999998</c:v>
                      </c:pt>
                      <c:pt idx="1424">
                        <c:v>20.614999999999998</c:v>
                      </c:pt>
                      <c:pt idx="1425">
                        <c:v>20.614999999999998</c:v>
                      </c:pt>
                      <c:pt idx="1426">
                        <c:v>20.614999999999998</c:v>
                      </c:pt>
                      <c:pt idx="1427">
                        <c:v>20.614999999999998</c:v>
                      </c:pt>
                      <c:pt idx="1428">
                        <c:v>20.614999999999998</c:v>
                      </c:pt>
                      <c:pt idx="1429">
                        <c:v>20.614999999999998</c:v>
                      </c:pt>
                      <c:pt idx="1430">
                        <c:v>20.614999999999998</c:v>
                      </c:pt>
                      <c:pt idx="1431">
                        <c:v>20.614999999999998</c:v>
                      </c:pt>
                      <c:pt idx="1432">
                        <c:v>20.614999999999998</c:v>
                      </c:pt>
                      <c:pt idx="1433">
                        <c:v>20.614999999999998</c:v>
                      </c:pt>
                      <c:pt idx="1434">
                        <c:v>20.614999999999998</c:v>
                      </c:pt>
                      <c:pt idx="1435">
                        <c:v>20.614999999999998</c:v>
                      </c:pt>
                      <c:pt idx="1436">
                        <c:v>20.614999999999998</c:v>
                      </c:pt>
                      <c:pt idx="1437">
                        <c:v>20.614999999999998</c:v>
                      </c:pt>
                      <c:pt idx="1438">
                        <c:v>20.614999999999998</c:v>
                      </c:pt>
                      <c:pt idx="1439">
                        <c:v>20.614999999999998</c:v>
                      </c:pt>
                      <c:pt idx="1440">
                        <c:v>20.614999999999998</c:v>
                      </c:pt>
                      <c:pt idx="1441">
                        <c:v>20.614999999999998</c:v>
                      </c:pt>
                      <c:pt idx="1442">
                        <c:v>20.614999999999998</c:v>
                      </c:pt>
                      <c:pt idx="1443">
                        <c:v>20.614999999999998</c:v>
                      </c:pt>
                      <c:pt idx="1444">
                        <c:v>20.614999999999998</c:v>
                      </c:pt>
                      <c:pt idx="1445">
                        <c:v>20.614999999999998</c:v>
                      </c:pt>
                      <c:pt idx="1446">
                        <c:v>20.614999999999998</c:v>
                      </c:pt>
                      <c:pt idx="1447">
                        <c:v>20.614999999999998</c:v>
                      </c:pt>
                      <c:pt idx="1448">
                        <c:v>20.614999999999998</c:v>
                      </c:pt>
                      <c:pt idx="1449">
                        <c:v>20.614999999999998</c:v>
                      </c:pt>
                      <c:pt idx="1450">
                        <c:v>20.614999999999998</c:v>
                      </c:pt>
                      <c:pt idx="1451">
                        <c:v>20.614999999999998</c:v>
                      </c:pt>
                      <c:pt idx="1452">
                        <c:v>20.614999999999998</c:v>
                      </c:pt>
                      <c:pt idx="1453">
                        <c:v>20.614999999999998</c:v>
                      </c:pt>
                      <c:pt idx="1454">
                        <c:v>20.614999999999998</c:v>
                      </c:pt>
                      <c:pt idx="1455">
                        <c:v>20.614999999999998</c:v>
                      </c:pt>
                      <c:pt idx="1456">
                        <c:v>20.614999999999998</c:v>
                      </c:pt>
                      <c:pt idx="1457">
                        <c:v>20.614999999999998</c:v>
                      </c:pt>
                      <c:pt idx="1458">
                        <c:v>20.614999999999998</c:v>
                      </c:pt>
                      <c:pt idx="1459">
                        <c:v>20.614999999999998</c:v>
                      </c:pt>
                      <c:pt idx="1460">
                        <c:v>20.614999999999998</c:v>
                      </c:pt>
                      <c:pt idx="1461">
                        <c:v>20.614999999999998</c:v>
                      </c:pt>
                      <c:pt idx="1462">
                        <c:v>20.614999999999998</c:v>
                      </c:pt>
                      <c:pt idx="1463">
                        <c:v>20.614999999999998</c:v>
                      </c:pt>
                      <c:pt idx="1464">
                        <c:v>20.614999999999998</c:v>
                      </c:pt>
                      <c:pt idx="1465">
                        <c:v>20.614999999999998</c:v>
                      </c:pt>
                      <c:pt idx="1466">
                        <c:v>20.614999999999998</c:v>
                      </c:pt>
                      <c:pt idx="1467">
                        <c:v>20.614999999999998</c:v>
                      </c:pt>
                      <c:pt idx="1468">
                        <c:v>20.614999999999998</c:v>
                      </c:pt>
                      <c:pt idx="1469">
                        <c:v>20.614999999999998</c:v>
                      </c:pt>
                      <c:pt idx="1470">
                        <c:v>20.614999999999998</c:v>
                      </c:pt>
                      <c:pt idx="1471">
                        <c:v>20.614999999999998</c:v>
                      </c:pt>
                      <c:pt idx="1472">
                        <c:v>20.614999999999998</c:v>
                      </c:pt>
                      <c:pt idx="1473">
                        <c:v>20.614999999999998</c:v>
                      </c:pt>
                      <c:pt idx="1474">
                        <c:v>20.614999999999998</c:v>
                      </c:pt>
                      <c:pt idx="1475">
                        <c:v>20.614999999999998</c:v>
                      </c:pt>
                      <c:pt idx="1476">
                        <c:v>20.614999999999998</c:v>
                      </c:pt>
                      <c:pt idx="1477">
                        <c:v>20.614999999999998</c:v>
                      </c:pt>
                      <c:pt idx="1478">
                        <c:v>20.614999999999998</c:v>
                      </c:pt>
                      <c:pt idx="1479">
                        <c:v>20.614999999999998</c:v>
                      </c:pt>
                      <c:pt idx="1480">
                        <c:v>20.614999999999998</c:v>
                      </c:pt>
                      <c:pt idx="1481">
                        <c:v>20.614999999999998</c:v>
                      </c:pt>
                      <c:pt idx="1482">
                        <c:v>20.614999999999998</c:v>
                      </c:pt>
                      <c:pt idx="1483">
                        <c:v>20.614999999999998</c:v>
                      </c:pt>
                      <c:pt idx="1484">
                        <c:v>20.614999999999998</c:v>
                      </c:pt>
                      <c:pt idx="1485">
                        <c:v>20.614999999999998</c:v>
                      </c:pt>
                      <c:pt idx="1486">
                        <c:v>20.614999999999998</c:v>
                      </c:pt>
                      <c:pt idx="1487">
                        <c:v>20.614999999999998</c:v>
                      </c:pt>
                      <c:pt idx="1488">
                        <c:v>20.614999999999998</c:v>
                      </c:pt>
                      <c:pt idx="1489">
                        <c:v>20.614999999999998</c:v>
                      </c:pt>
                      <c:pt idx="1490">
                        <c:v>20.614999999999998</c:v>
                      </c:pt>
                      <c:pt idx="1491">
                        <c:v>20.614999999999998</c:v>
                      </c:pt>
                      <c:pt idx="1492">
                        <c:v>20.614999999999998</c:v>
                      </c:pt>
                      <c:pt idx="1493">
                        <c:v>20.614999999999998</c:v>
                      </c:pt>
                      <c:pt idx="1494">
                        <c:v>20.614999999999998</c:v>
                      </c:pt>
                      <c:pt idx="1495">
                        <c:v>20.614999999999998</c:v>
                      </c:pt>
                      <c:pt idx="1496">
                        <c:v>20.614999999999998</c:v>
                      </c:pt>
                      <c:pt idx="1497">
                        <c:v>20.614999999999998</c:v>
                      </c:pt>
                      <c:pt idx="1498">
                        <c:v>20.614999999999998</c:v>
                      </c:pt>
                      <c:pt idx="1499">
                        <c:v>20.614999999999998</c:v>
                      </c:pt>
                      <c:pt idx="1500">
                        <c:v>20.614999999999998</c:v>
                      </c:pt>
                      <c:pt idx="1501">
                        <c:v>20.614999999999998</c:v>
                      </c:pt>
                      <c:pt idx="1502">
                        <c:v>20.614999999999998</c:v>
                      </c:pt>
                      <c:pt idx="1503">
                        <c:v>20.614999999999998</c:v>
                      </c:pt>
                      <c:pt idx="1504">
                        <c:v>20.614999999999998</c:v>
                      </c:pt>
                      <c:pt idx="1505">
                        <c:v>20.614999999999998</c:v>
                      </c:pt>
                      <c:pt idx="1506">
                        <c:v>20.614999999999998</c:v>
                      </c:pt>
                      <c:pt idx="1507">
                        <c:v>20.614999999999998</c:v>
                      </c:pt>
                      <c:pt idx="1508">
                        <c:v>20.614999999999998</c:v>
                      </c:pt>
                      <c:pt idx="1509">
                        <c:v>20.614999999999998</c:v>
                      </c:pt>
                      <c:pt idx="1510">
                        <c:v>20.614999999999998</c:v>
                      </c:pt>
                      <c:pt idx="1511">
                        <c:v>20.614999999999998</c:v>
                      </c:pt>
                      <c:pt idx="1512">
                        <c:v>20.614999999999998</c:v>
                      </c:pt>
                      <c:pt idx="1513">
                        <c:v>20.614999999999998</c:v>
                      </c:pt>
                      <c:pt idx="1514">
                        <c:v>20.614999999999998</c:v>
                      </c:pt>
                      <c:pt idx="1515">
                        <c:v>20.614999999999998</c:v>
                      </c:pt>
                      <c:pt idx="1516">
                        <c:v>20.614999999999998</c:v>
                      </c:pt>
                      <c:pt idx="1517">
                        <c:v>20.614999999999998</c:v>
                      </c:pt>
                      <c:pt idx="1518">
                        <c:v>20.614999999999998</c:v>
                      </c:pt>
                      <c:pt idx="1519">
                        <c:v>20.614999999999998</c:v>
                      </c:pt>
                      <c:pt idx="1520">
                        <c:v>20.614999999999998</c:v>
                      </c:pt>
                      <c:pt idx="1521">
                        <c:v>20.614999999999998</c:v>
                      </c:pt>
                      <c:pt idx="1522">
                        <c:v>20.614999999999998</c:v>
                      </c:pt>
                      <c:pt idx="1523">
                        <c:v>20.614999999999998</c:v>
                      </c:pt>
                      <c:pt idx="1524">
                        <c:v>20.614999999999998</c:v>
                      </c:pt>
                      <c:pt idx="1525">
                        <c:v>20.614999999999998</c:v>
                      </c:pt>
                      <c:pt idx="1526">
                        <c:v>20.614999999999998</c:v>
                      </c:pt>
                      <c:pt idx="1527">
                        <c:v>20.614999999999998</c:v>
                      </c:pt>
                      <c:pt idx="1528">
                        <c:v>20.614999999999998</c:v>
                      </c:pt>
                      <c:pt idx="1529">
                        <c:v>20.614999999999998</c:v>
                      </c:pt>
                      <c:pt idx="1530">
                        <c:v>20.614999999999998</c:v>
                      </c:pt>
                      <c:pt idx="1531">
                        <c:v>20.614999999999998</c:v>
                      </c:pt>
                      <c:pt idx="1532">
                        <c:v>20.614999999999998</c:v>
                      </c:pt>
                      <c:pt idx="1533">
                        <c:v>20.614999999999998</c:v>
                      </c:pt>
                      <c:pt idx="1534">
                        <c:v>20.614999999999998</c:v>
                      </c:pt>
                      <c:pt idx="1535">
                        <c:v>20.614999999999998</c:v>
                      </c:pt>
                      <c:pt idx="1536">
                        <c:v>20.614999999999998</c:v>
                      </c:pt>
                      <c:pt idx="1537">
                        <c:v>20.614999999999998</c:v>
                      </c:pt>
                      <c:pt idx="1538">
                        <c:v>20.614999999999998</c:v>
                      </c:pt>
                      <c:pt idx="1539">
                        <c:v>20.614999999999998</c:v>
                      </c:pt>
                      <c:pt idx="1540">
                        <c:v>20.614999999999998</c:v>
                      </c:pt>
                      <c:pt idx="1541">
                        <c:v>20.614999999999998</c:v>
                      </c:pt>
                      <c:pt idx="1542">
                        <c:v>20.614999999999998</c:v>
                      </c:pt>
                      <c:pt idx="1543">
                        <c:v>20.614999999999998</c:v>
                      </c:pt>
                      <c:pt idx="1544">
                        <c:v>20.614999999999998</c:v>
                      </c:pt>
                      <c:pt idx="1545">
                        <c:v>20.614999999999998</c:v>
                      </c:pt>
                      <c:pt idx="1546">
                        <c:v>20.614999999999998</c:v>
                      </c:pt>
                      <c:pt idx="1547">
                        <c:v>20.614999999999998</c:v>
                      </c:pt>
                      <c:pt idx="1548">
                        <c:v>20.614999999999998</c:v>
                      </c:pt>
                      <c:pt idx="1549">
                        <c:v>20.614999999999998</c:v>
                      </c:pt>
                      <c:pt idx="1550">
                        <c:v>20.614999999999998</c:v>
                      </c:pt>
                      <c:pt idx="1551">
                        <c:v>20.71</c:v>
                      </c:pt>
                      <c:pt idx="1552">
                        <c:v>20.614999999999998</c:v>
                      </c:pt>
                      <c:pt idx="1553">
                        <c:v>20.614999999999998</c:v>
                      </c:pt>
                      <c:pt idx="1554">
                        <c:v>20.614999999999998</c:v>
                      </c:pt>
                      <c:pt idx="1555">
                        <c:v>20.614999999999998</c:v>
                      </c:pt>
                      <c:pt idx="1556">
                        <c:v>20.614999999999998</c:v>
                      </c:pt>
                      <c:pt idx="1557">
                        <c:v>20.614999999999998</c:v>
                      </c:pt>
                      <c:pt idx="1558">
                        <c:v>20.614999999999998</c:v>
                      </c:pt>
                      <c:pt idx="1559">
                        <c:v>20.614999999999998</c:v>
                      </c:pt>
                      <c:pt idx="1560">
                        <c:v>20.71</c:v>
                      </c:pt>
                      <c:pt idx="1561">
                        <c:v>20.71</c:v>
                      </c:pt>
                      <c:pt idx="1562">
                        <c:v>20.614999999999998</c:v>
                      </c:pt>
                      <c:pt idx="1563">
                        <c:v>20.614999999999998</c:v>
                      </c:pt>
                      <c:pt idx="1564">
                        <c:v>20.614999999999998</c:v>
                      </c:pt>
                      <c:pt idx="1565">
                        <c:v>20.614999999999998</c:v>
                      </c:pt>
                      <c:pt idx="1566">
                        <c:v>20.614999999999998</c:v>
                      </c:pt>
                      <c:pt idx="1567">
                        <c:v>20.71</c:v>
                      </c:pt>
                      <c:pt idx="1568">
                        <c:v>20.614999999999998</c:v>
                      </c:pt>
                      <c:pt idx="1569">
                        <c:v>20.614999999999998</c:v>
                      </c:pt>
                      <c:pt idx="1570">
                        <c:v>20.71</c:v>
                      </c:pt>
                      <c:pt idx="1571">
                        <c:v>20.614999999999998</c:v>
                      </c:pt>
                      <c:pt idx="1572">
                        <c:v>20.614999999999998</c:v>
                      </c:pt>
                      <c:pt idx="1573">
                        <c:v>20.71</c:v>
                      </c:pt>
                      <c:pt idx="1574">
                        <c:v>20.71</c:v>
                      </c:pt>
                      <c:pt idx="1575">
                        <c:v>20.71</c:v>
                      </c:pt>
                      <c:pt idx="1576">
                        <c:v>20.614999999999998</c:v>
                      </c:pt>
                      <c:pt idx="1577">
                        <c:v>20.614999999999998</c:v>
                      </c:pt>
                      <c:pt idx="1578">
                        <c:v>20.71</c:v>
                      </c:pt>
                      <c:pt idx="1579">
                        <c:v>20.614999999999998</c:v>
                      </c:pt>
                      <c:pt idx="1580">
                        <c:v>20.71</c:v>
                      </c:pt>
                      <c:pt idx="1581">
                        <c:v>20.614999999999998</c:v>
                      </c:pt>
                      <c:pt idx="1582">
                        <c:v>20.614999999999998</c:v>
                      </c:pt>
                      <c:pt idx="1583">
                        <c:v>20.71</c:v>
                      </c:pt>
                      <c:pt idx="1584">
                        <c:v>20.71</c:v>
                      </c:pt>
                      <c:pt idx="1585">
                        <c:v>20.71</c:v>
                      </c:pt>
                      <c:pt idx="1586">
                        <c:v>20.71</c:v>
                      </c:pt>
                      <c:pt idx="1587">
                        <c:v>20.71</c:v>
                      </c:pt>
                      <c:pt idx="1588">
                        <c:v>20.71</c:v>
                      </c:pt>
                      <c:pt idx="1589">
                        <c:v>20.71</c:v>
                      </c:pt>
                      <c:pt idx="1590">
                        <c:v>20.71</c:v>
                      </c:pt>
                      <c:pt idx="1591">
                        <c:v>20.71</c:v>
                      </c:pt>
                      <c:pt idx="1592">
                        <c:v>20.71</c:v>
                      </c:pt>
                      <c:pt idx="1593">
                        <c:v>20.71</c:v>
                      </c:pt>
                      <c:pt idx="1594">
                        <c:v>20.71</c:v>
                      </c:pt>
                      <c:pt idx="1595">
                        <c:v>20.71</c:v>
                      </c:pt>
                      <c:pt idx="1596">
                        <c:v>20.71</c:v>
                      </c:pt>
                      <c:pt idx="1597">
                        <c:v>20.71</c:v>
                      </c:pt>
                      <c:pt idx="1598">
                        <c:v>20.71</c:v>
                      </c:pt>
                      <c:pt idx="1599">
                        <c:v>20.71</c:v>
                      </c:pt>
                      <c:pt idx="1600">
                        <c:v>20.71</c:v>
                      </c:pt>
                      <c:pt idx="1601">
                        <c:v>20.71</c:v>
                      </c:pt>
                      <c:pt idx="1602">
                        <c:v>20.71</c:v>
                      </c:pt>
                      <c:pt idx="1603">
                        <c:v>20.71</c:v>
                      </c:pt>
                      <c:pt idx="1604">
                        <c:v>20.71</c:v>
                      </c:pt>
                      <c:pt idx="1605">
                        <c:v>20.71</c:v>
                      </c:pt>
                      <c:pt idx="1606">
                        <c:v>20.71</c:v>
                      </c:pt>
                      <c:pt idx="1607">
                        <c:v>20.71</c:v>
                      </c:pt>
                      <c:pt idx="1608">
                        <c:v>20.71</c:v>
                      </c:pt>
                      <c:pt idx="1609">
                        <c:v>20.71</c:v>
                      </c:pt>
                      <c:pt idx="1610">
                        <c:v>20.71</c:v>
                      </c:pt>
                      <c:pt idx="1611">
                        <c:v>20.71</c:v>
                      </c:pt>
                      <c:pt idx="1612">
                        <c:v>20.71</c:v>
                      </c:pt>
                      <c:pt idx="1613">
                        <c:v>20.71</c:v>
                      </c:pt>
                      <c:pt idx="1614">
                        <c:v>20.71</c:v>
                      </c:pt>
                      <c:pt idx="1615">
                        <c:v>20.71</c:v>
                      </c:pt>
                      <c:pt idx="1616">
                        <c:v>20.71</c:v>
                      </c:pt>
                      <c:pt idx="1617">
                        <c:v>20.71</c:v>
                      </c:pt>
                      <c:pt idx="1618">
                        <c:v>20.71</c:v>
                      </c:pt>
                      <c:pt idx="1619">
                        <c:v>20.71</c:v>
                      </c:pt>
                      <c:pt idx="1620">
                        <c:v>20.71</c:v>
                      </c:pt>
                      <c:pt idx="1621">
                        <c:v>20.71</c:v>
                      </c:pt>
                      <c:pt idx="1622">
                        <c:v>20.71</c:v>
                      </c:pt>
                      <c:pt idx="1623">
                        <c:v>20.71</c:v>
                      </c:pt>
                      <c:pt idx="1624">
                        <c:v>20.71</c:v>
                      </c:pt>
                      <c:pt idx="1625">
                        <c:v>20.71</c:v>
                      </c:pt>
                      <c:pt idx="1626">
                        <c:v>20.71</c:v>
                      </c:pt>
                      <c:pt idx="1627">
                        <c:v>20.71</c:v>
                      </c:pt>
                      <c:pt idx="1628">
                        <c:v>20.71</c:v>
                      </c:pt>
                      <c:pt idx="1629">
                        <c:v>20.71</c:v>
                      </c:pt>
                      <c:pt idx="1630">
                        <c:v>20.71</c:v>
                      </c:pt>
                      <c:pt idx="1631">
                        <c:v>20.71</c:v>
                      </c:pt>
                      <c:pt idx="1632">
                        <c:v>20.71</c:v>
                      </c:pt>
                      <c:pt idx="1633">
                        <c:v>20.71</c:v>
                      </c:pt>
                      <c:pt idx="1634">
                        <c:v>20.71</c:v>
                      </c:pt>
                      <c:pt idx="1635">
                        <c:v>20.71</c:v>
                      </c:pt>
                      <c:pt idx="1636">
                        <c:v>20.71</c:v>
                      </c:pt>
                      <c:pt idx="1637">
                        <c:v>20.71</c:v>
                      </c:pt>
                      <c:pt idx="1638">
                        <c:v>20.71</c:v>
                      </c:pt>
                      <c:pt idx="1639">
                        <c:v>20.71</c:v>
                      </c:pt>
                      <c:pt idx="1640">
                        <c:v>20.71</c:v>
                      </c:pt>
                      <c:pt idx="1641">
                        <c:v>20.71</c:v>
                      </c:pt>
                      <c:pt idx="1642">
                        <c:v>20.71</c:v>
                      </c:pt>
                      <c:pt idx="1643">
                        <c:v>20.71</c:v>
                      </c:pt>
                      <c:pt idx="1644">
                        <c:v>20.71</c:v>
                      </c:pt>
                      <c:pt idx="1645">
                        <c:v>20.71</c:v>
                      </c:pt>
                      <c:pt idx="1646">
                        <c:v>20.71</c:v>
                      </c:pt>
                      <c:pt idx="1647">
                        <c:v>20.71</c:v>
                      </c:pt>
                      <c:pt idx="1648">
                        <c:v>20.71</c:v>
                      </c:pt>
                      <c:pt idx="1649">
                        <c:v>20.71</c:v>
                      </c:pt>
                      <c:pt idx="1650">
                        <c:v>20.71</c:v>
                      </c:pt>
                      <c:pt idx="1651">
                        <c:v>20.71</c:v>
                      </c:pt>
                      <c:pt idx="1652">
                        <c:v>20.71</c:v>
                      </c:pt>
                      <c:pt idx="1653">
                        <c:v>20.71</c:v>
                      </c:pt>
                      <c:pt idx="1654">
                        <c:v>20.71</c:v>
                      </c:pt>
                      <c:pt idx="1655">
                        <c:v>20.71</c:v>
                      </c:pt>
                      <c:pt idx="1656">
                        <c:v>20.71</c:v>
                      </c:pt>
                      <c:pt idx="1657">
                        <c:v>20.71</c:v>
                      </c:pt>
                      <c:pt idx="1658">
                        <c:v>20.71</c:v>
                      </c:pt>
                      <c:pt idx="1659">
                        <c:v>20.71</c:v>
                      </c:pt>
                      <c:pt idx="1660">
                        <c:v>20.71</c:v>
                      </c:pt>
                      <c:pt idx="1661">
                        <c:v>20.71</c:v>
                      </c:pt>
                      <c:pt idx="1662">
                        <c:v>20.71</c:v>
                      </c:pt>
                      <c:pt idx="1663">
                        <c:v>20.71</c:v>
                      </c:pt>
                      <c:pt idx="1664">
                        <c:v>20.71</c:v>
                      </c:pt>
                      <c:pt idx="1665">
                        <c:v>20.71</c:v>
                      </c:pt>
                      <c:pt idx="1666">
                        <c:v>20.71</c:v>
                      </c:pt>
                      <c:pt idx="1667">
                        <c:v>20.71</c:v>
                      </c:pt>
                      <c:pt idx="1668">
                        <c:v>20.71</c:v>
                      </c:pt>
                      <c:pt idx="1669">
                        <c:v>20.71</c:v>
                      </c:pt>
                      <c:pt idx="1670">
                        <c:v>20.71</c:v>
                      </c:pt>
                      <c:pt idx="1671">
                        <c:v>20.71</c:v>
                      </c:pt>
                      <c:pt idx="1672">
                        <c:v>20.71</c:v>
                      </c:pt>
                      <c:pt idx="1673">
                        <c:v>20.71</c:v>
                      </c:pt>
                      <c:pt idx="1674">
                        <c:v>20.71</c:v>
                      </c:pt>
                      <c:pt idx="1675">
                        <c:v>20.71</c:v>
                      </c:pt>
                      <c:pt idx="1676">
                        <c:v>20.71</c:v>
                      </c:pt>
                      <c:pt idx="1677">
                        <c:v>20.71</c:v>
                      </c:pt>
                      <c:pt idx="1678">
                        <c:v>20.71</c:v>
                      </c:pt>
                      <c:pt idx="1679">
                        <c:v>20.71</c:v>
                      </c:pt>
                      <c:pt idx="1680">
                        <c:v>20.71</c:v>
                      </c:pt>
                      <c:pt idx="1681">
                        <c:v>20.71</c:v>
                      </c:pt>
                      <c:pt idx="1682">
                        <c:v>20.71</c:v>
                      </c:pt>
                      <c:pt idx="1683">
                        <c:v>20.71</c:v>
                      </c:pt>
                      <c:pt idx="1684">
                        <c:v>20.71</c:v>
                      </c:pt>
                      <c:pt idx="1685">
                        <c:v>20.71</c:v>
                      </c:pt>
                      <c:pt idx="1686">
                        <c:v>20.71</c:v>
                      </c:pt>
                      <c:pt idx="1687">
                        <c:v>20.71</c:v>
                      </c:pt>
                      <c:pt idx="1688">
                        <c:v>20.71</c:v>
                      </c:pt>
                      <c:pt idx="1689">
                        <c:v>20.71</c:v>
                      </c:pt>
                      <c:pt idx="1690">
                        <c:v>20.71</c:v>
                      </c:pt>
                      <c:pt idx="1691">
                        <c:v>20.71</c:v>
                      </c:pt>
                      <c:pt idx="1692">
                        <c:v>20.71</c:v>
                      </c:pt>
                      <c:pt idx="1693">
                        <c:v>20.614999999999998</c:v>
                      </c:pt>
                      <c:pt idx="1694">
                        <c:v>20.71</c:v>
                      </c:pt>
                      <c:pt idx="1695">
                        <c:v>20.614999999999998</c:v>
                      </c:pt>
                      <c:pt idx="1696">
                        <c:v>20.71</c:v>
                      </c:pt>
                      <c:pt idx="1697">
                        <c:v>20.71</c:v>
                      </c:pt>
                      <c:pt idx="1698">
                        <c:v>20.71</c:v>
                      </c:pt>
                      <c:pt idx="1699">
                        <c:v>20.71</c:v>
                      </c:pt>
                      <c:pt idx="1700">
                        <c:v>20.71</c:v>
                      </c:pt>
                      <c:pt idx="1701">
                        <c:v>20.71</c:v>
                      </c:pt>
                      <c:pt idx="1702">
                        <c:v>20.71</c:v>
                      </c:pt>
                      <c:pt idx="1703">
                        <c:v>20.614999999999998</c:v>
                      </c:pt>
                      <c:pt idx="1704">
                        <c:v>20.71</c:v>
                      </c:pt>
                      <c:pt idx="1705">
                        <c:v>20.614999999999998</c:v>
                      </c:pt>
                      <c:pt idx="1706">
                        <c:v>20.71</c:v>
                      </c:pt>
                      <c:pt idx="1707">
                        <c:v>20.71</c:v>
                      </c:pt>
                      <c:pt idx="1708">
                        <c:v>20.71</c:v>
                      </c:pt>
                      <c:pt idx="1709">
                        <c:v>20.614999999999998</c:v>
                      </c:pt>
                      <c:pt idx="1710">
                        <c:v>20.614999999999998</c:v>
                      </c:pt>
                      <c:pt idx="1711">
                        <c:v>20.614999999999998</c:v>
                      </c:pt>
                      <c:pt idx="1712">
                        <c:v>20.71</c:v>
                      </c:pt>
                      <c:pt idx="1713">
                        <c:v>20.71</c:v>
                      </c:pt>
                      <c:pt idx="1714">
                        <c:v>20.614999999999998</c:v>
                      </c:pt>
                      <c:pt idx="1715">
                        <c:v>20.71</c:v>
                      </c:pt>
                      <c:pt idx="1716">
                        <c:v>20.71</c:v>
                      </c:pt>
                      <c:pt idx="1717">
                        <c:v>20.71</c:v>
                      </c:pt>
                      <c:pt idx="1718">
                        <c:v>20.614999999999998</c:v>
                      </c:pt>
                      <c:pt idx="1719">
                        <c:v>20.614999999999998</c:v>
                      </c:pt>
                      <c:pt idx="1720">
                        <c:v>20.71</c:v>
                      </c:pt>
                      <c:pt idx="1721">
                        <c:v>20.614999999999998</c:v>
                      </c:pt>
                      <c:pt idx="1722">
                        <c:v>20.614999999999998</c:v>
                      </c:pt>
                      <c:pt idx="1723">
                        <c:v>20.614999999999998</c:v>
                      </c:pt>
                      <c:pt idx="1724">
                        <c:v>20.71</c:v>
                      </c:pt>
                      <c:pt idx="1725">
                        <c:v>20.614999999999998</c:v>
                      </c:pt>
                      <c:pt idx="1726">
                        <c:v>20.614999999999998</c:v>
                      </c:pt>
                      <c:pt idx="1727">
                        <c:v>20.614999999999998</c:v>
                      </c:pt>
                      <c:pt idx="1728">
                        <c:v>20.614999999999998</c:v>
                      </c:pt>
                      <c:pt idx="1729">
                        <c:v>20.614999999999998</c:v>
                      </c:pt>
                      <c:pt idx="1730">
                        <c:v>20.614999999999998</c:v>
                      </c:pt>
                      <c:pt idx="1731">
                        <c:v>20.614999999999998</c:v>
                      </c:pt>
                      <c:pt idx="1732">
                        <c:v>20.614999999999998</c:v>
                      </c:pt>
                      <c:pt idx="1733">
                        <c:v>20.71</c:v>
                      </c:pt>
                      <c:pt idx="1734">
                        <c:v>20.614999999999998</c:v>
                      </c:pt>
                      <c:pt idx="1735">
                        <c:v>20.614999999999998</c:v>
                      </c:pt>
                      <c:pt idx="1736">
                        <c:v>20.614999999999998</c:v>
                      </c:pt>
                      <c:pt idx="1737">
                        <c:v>20.614999999999998</c:v>
                      </c:pt>
                      <c:pt idx="1738">
                        <c:v>20.614999999999998</c:v>
                      </c:pt>
                      <c:pt idx="1739">
                        <c:v>20.614999999999998</c:v>
                      </c:pt>
                      <c:pt idx="1740">
                        <c:v>20.614999999999998</c:v>
                      </c:pt>
                      <c:pt idx="1741">
                        <c:v>20.614999999999998</c:v>
                      </c:pt>
                      <c:pt idx="1742">
                        <c:v>20.614999999999998</c:v>
                      </c:pt>
                      <c:pt idx="1743">
                        <c:v>20.614999999999998</c:v>
                      </c:pt>
                      <c:pt idx="1744">
                        <c:v>20.614999999999998</c:v>
                      </c:pt>
                      <c:pt idx="1745">
                        <c:v>20.614999999999998</c:v>
                      </c:pt>
                      <c:pt idx="1746">
                        <c:v>20.71</c:v>
                      </c:pt>
                      <c:pt idx="1747">
                        <c:v>20.614999999999998</c:v>
                      </c:pt>
                      <c:pt idx="1748">
                        <c:v>20.614999999999998</c:v>
                      </c:pt>
                      <c:pt idx="1749">
                        <c:v>20.614999999999998</c:v>
                      </c:pt>
                      <c:pt idx="1750">
                        <c:v>20.614999999999998</c:v>
                      </c:pt>
                      <c:pt idx="1751">
                        <c:v>20.614999999999998</c:v>
                      </c:pt>
                      <c:pt idx="1752">
                        <c:v>20.614999999999998</c:v>
                      </c:pt>
                      <c:pt idx="1753">
                        <c:v>20.614999999999998</c:v>
                      </c:pt>
                      <c:pt idx="1754">
                        <c:v>20.614999999999998</c:v>
                      </c:pt>
                      <c:pt idx="1755">
                        <c:v>20.614999999999998</c:v>
                      </c:pt>
                      <c:pt idx="1756">
                        <c:v>20.614999999999998</c:v>
                      </c:pt>
                      <c:pt idx="1757">
                        <c:v>20.614999999999998</c:v>
                      </c:pt>
                      <c:pt idx="1758">
                        <c:v>20.614999999999998</c:v>
                      </c:pt>
                      <c:pt idx="1759">
                        <c:v>20.614999999999998</c:v>
                      </c:pt>
                      <c:pt idx="1760">
                        <c:v>20.614999999999998</c:v>
                      </c:pt>
                      <c:pt idx="1761">
                        <c:v>20.614999999999998</c:v>
                      </c:pt>
                      <c:pt idx="1762">
                        <c:v>20.614999999999998</c:v>
                      </c:pt>
                      <c:pt idx="1763">
                        <c:v>20.614999999999998</c:v>
                      </c:pt>
                      <c:pt idx="1764">
                        <c:v>20.614999999999998</c:v>
                      </c:pt>
                      <c:pt idx="1765">
                        <c:v>20.614999999999998</c:v>
                      </c:pt>
                      <c:pt idx="1766">
                        <c:v>20.614999999999998</c:v>
                      </c:pt>
                      <c:pt idx="1767">
                        <c:v>20.614999999999998</c:v>
                      </c:pt>
                      <c:pt idx="1768">
                        <c:v>20.614999999999998</c:v>
                      </c:pt>
                      <c:pt idx="1769">
                        <c:v>20.614999999999998</c:v>
                      </c:pt>
                      <c:pt idx="1770">
                        <c:v>20.614999999999998</c:v>
                      </c:pt>
                      <c:pt idx="1771">
                        <c:v>20.614999999999998</c:v>
                      </c:pt>
                      <c:pt idx="1772">
                        <c:v>20.614999999999998</c:v>
                      </c:pt>
                      <c:pt idx="1773">
                        <c:v>20.614999999999998</c:v>
                      </c:pt>
                      <c:pt idx="1774">
                        <c:v>20.614999999999998</c:v>
                      </c:pt>
                      <c:pt idx="1775">
                        <c:v>20.614999999999998</c:v>
                      </c:pt>
                      <c:pt idx="1776">
                        <c:v>20.614999999999998</c:v>
                      </c:pt>
                      <c:pt idx="1777">
                        <c:v>20.614999999999998</c:v>
                      </c:pt>
                      <c:pt idx="1778">
                        <c:v>20.614999999999998</c:v>
                      </c:pt>
                      <c:pt idx="1779">
                        <c:v>20.614999999999998</c:v>
                      </c:pt>
                      <c:pt idx="1780">
                        <c:v>20.614999999999998</c:v>
                      </c:pt>
                      <c:pt idx="1781">
                        <c:v>20.614999999999998</c:v>
                      </c:pt>
                      <c:pt idx="1782">
                        <c:v>20.614999999999998</c:v>
                      </c:pt>
                      <c:pt idx="1783">
                        <c:v>20.614999999999998</c:v>
                      </c:pt>
                      <c:pt idx="1784">
                        <c:v>20.614999999999998</c:v>
                      </c:pt>
                      <c:pt idx="1785">
                        <c:v>20.614999999999998</c:v>
                      </c:pt>
                      <c:pt idx="1786">
                        <c:v>20.614999999999998</c:v>
                      </c:pt>
                      <c:pt idx="1787">
                        <c:v>20.614999999999998</c:v>
                      </c:pt>
                      <c:pt idx="1788">
                        <c:v>20.614999999999998</c:v>
                      </c:pt>
                      <c:pt idx="1789">
                        <c:v>20.614999999999998</c:v>
                      </c:pt>
                      <c:pt idx="1790">
                        <c:v>20.614999999999998</c:v>
                      </c:pt>
                      <c:pt idx="1791">
                        <c:v>20.614999999999998</c:v>
                      </c:pt>
                      <c:pt idx="1792">
                        <c:v>20.614999999999998</c:v>
                      </c:pt>
                      <c:pt idx="1793">
                        <c:v>20.614999999999998</c:v>
                      </c:pt>
                      <c:pt idx="1794">
                        <c:v>20.614999999999998</c:v>
                      </c:pt>
                      <c:pt idx="1795">
                        <c:v>20.614999999999998</c:v>
                      </c:pt>
                      <c:pt idx="1796">
                        <c:v>20.614999999999998</c:v>
                      </c:pt>
                      <c:pt idx="1797">
                        <c:v>20.614999999999998</c:v>
                      </c:pt>
                      <c:pt idx="1798">
                        <c:v>20.614999999999998</c:v>
                      </c:pt>
                      <c:pt idx="1799">
                        <c:v>20.614999999999998</c:v>
                      </c:pt>
                      <c:pt idx="1800">
                        <c:v>20.614999999999998</c:v>
                      </c:pt>
                      <c:pt idx="1801">
                        <c:v>20.614999999999998</c:v>
                      </c:pt>
                      <c:pt idx="1802">
                        <c:v>20.614999999999998</c:v>
                      </c:pt>
                      <c:pt idx="1803">
                        <c:v>20.614999999999998</c:v>
                      </c:pt>
                      <c:pt idx="1804">
                        <c:v>20.614999999999998</c:v>
                      </c:pt>
                      <c:pt idx="1805">
                        <c:v>20.614999999999998</c:v>
                      </c:pt>
                      <c:pt idx="1806">
                        <c:v>20.614999999999998</c:v>
                      </c:pt>
                      <c:pt idx="1807">
                        <c:v>20.614999999999998</c:v>
                      </c:pt>
                      <c:pt idx="1808">
                        <c:v>20.614999999999998</c:v>
                      </c:pt>
                      <c:pt idx="1809">
                        <c:v>20.614999999999998</c:v>
                      </c:pt>
                      <c:pt idx="1810">
                        <c:v>20.614999999999998</c:v>
                      </c:pt>
                      <c:pt idx="1811">
                        <c:v>20.614999999999998</c:v>
                      </c:pt>
                      <c:pt idx="1812">
                        <c:v>20.614999999999998</c:v>
                      </c:pt>
                      <c:pt idx="1813">
                        <c:v>20.614999999999998</c:v>
                      </c:pt>
                      <c:pt idx="1814">
                        <c:v>20.614999999999998</c:v>
                      </c:pt>
                      <c:pt idx="1815">
                        <c:v>20.614999999999998</c:v>
                      </c:pt>
                      <c:pt idx="1816">
                        <c:v>20.614999999999998</c:v>
                      </c:pt>
                      <c:pt idx="1817">
                        <c:v>20.614999999999998</c:v>
                      </c:pt>
                      <c:pt idx="1818">
                        <c:v>20.614999999999998</c:v>
                      </c:pt>
                      <c:pt idx="1819">
                        <c:v>20.614999999999998</c:v>
                      </c:pt>
                      <c:pt idx="1820">
                        <c:v>20.614999999999998</c:v>
                      </c:pt>
                      <c:pt idx="1821">
                        <c:v>20.614999999999998</c:v>
                      </c:pt>
                      <c:pt idx="1822">
                        <c:v>20.614999999999998</c:v>
                      </c:pt>
                      <c:pt idx="1823">
                        <c:v>20.614999999999998</c:v>
                      </c:pt>
                      <c:pt idx="1824">
                        <c:v>20.614999999999998</c:v>
                      </c:pt>
                      <c:pt idx="1825">
                        <c:v>20.614999999999998</c:v>
                      </c:pt>
                      <c:pt idx="1826">
                        <c:v>20.614999999999998</c:v>
                      </c:pt>
                      <c:pt idx="1827">
                        <c:v>20.614999999999998</c:v>
                      </c:pt>
                      <c:pt idx="1828">
                        <c:v>20.614999999999998</c:v>
                      </c:pt>
                      <c:pt idx="1829">
                        <c:v>20.614999999999998</c:v>
                      </c:pt>
                      <c:pt idx="1830">
                        <c:v>20.614999999999998</c:v>
                      </c:pt>
                      <c:pt idx="1831">
                        <c:v>20.614999999999998</c:v>
                      </c:pt>
                      <c:pt idx="1832">
                        <c:v>20.614999999999998</c:v>
                      </c:pt>
                      <c:pt idx="1833">
                        <c:v>20.614999999999998</c:v>
                      </c:pt>
                      <c:pt idx="1834">
                        <c:v>20.614999999999998</c:v>
                      </c:pt>
                      <c:pt idx="1835">
                        <c:v>20.614999999999998</c:v>
                      </c:pt>
                      <c:pt idx="1836">
                        <c:v>20.614999999999998</c:v>
                      </c:pt>
                      <c:pt idx="1837">
                        <c:v>20.614999999999998</c:v>
                      </c:pt>
                      <c:pt idx="1838">
                        <c:v>20.614999999999998</c:v>
                      </c:pt>
                      <c:pt idx="1839">
                        <c:v>20.614999999999998</c:v>
                      </c:pt>
                      <c:pt idx="1840">
                        <c:v>20.614999999999998</c:v>
                      </c:pt>
                      <c:pt idx="1841">
                        <c:v>20.614999999999998</c:v>
                      </c:pt>
                      <c:pt idx="1842">
                        <c:v>20.614999999999998</c:v>
                      </c:pt>
                      <c:pt idx="1843">
                        <c:v>20.614999999999998</c:v>
                      </c:pt>
                      <c:pt idx="1844">
                        <c:v>20.614999999999998</c:v>
                      </c:pt>
                      <c:pt idx="1845">
                        <c:v>20.614999999999998</c:v>
                      </c:pt>
                      <c:pt idx="1846">
                        <c:v>20.614999999999998</c:v>
                      </c:pt>
                      <c:pt idx="1847">
                        <c:v>20.614999999999998</c:v>
                      </c:pt>
                      <c:pt idx="1848">
                        <c:v>20.614999999999998</c:v>
                      </c:pt>
                      <c:pt idx="1849">
                        <c:v>20.614999999999998</c:v>
                      </c:pt>
                      <c:pt idx="1850">
                        <c:v>20.614999999999998</c:v>
                      </c:pt>
                      <c:pt idx="1851">
                        <c:v>20.614999999999998</c:v>
                      </c:pt>
                      <c:pt idx="1852">
                        <c:v>20.614999999999998</c:v>
                      </c:pt>
                      <c:pt idx="1853">
                        <c:v>20.614999999999998</c:v>
                      </c:pt>
                      <c:pt idx="1854">
                        <c:v>20.614999999999998</c:v>
                      </c:pt>
                      <c:pt idx="1855">
                        <c:v>20.614999999999998</c:v>
                      </c:pt>
                      <c:pt idx="1856">
                        <c:v>20.614999999999998</c:v>
                      </c:pt>
                      <c:pt idx="1857">
                        <c:v>20.614999999999998</c:v>
                      </c:pt>
                      <c:pt idx="1858">
                        <c:v>20.614999999999998</c:v>
                      </c:pt>
                      <c:pt idx="1859">
                        <c:v>20.614999999999998</c:v>
                      </c:pt>
                      <c:pt idx="1860">
                        <c:v>20.614999999999998</c:v>
                      </c:pt>
                      <c:pt idx="1861">
                        <c:v>20.614999999999998</c:v>
                      </c:pt>
                      <c:pt idx="1862">
                        <c:v>20.614999999999998</c:v>
                      </c:pt>
                      <c:pt idx="1863">
                        <c:v>20.614999999999998</c:v>
                      </c:pt>
                      <c:pt idx="1864">
                        <c:v>20.614999999999998</c:v>
                      </c:pt>
                      <c:pt idx="1865">
                        <c:v>20.614999999999998</c:v>
                      </c:pt>
                      <c:pt idx="1866">
                        <c:v>20.614999999999998</c:v>
                      </c:pt>
                      <c:pt idx="1867">
                        <c:v>20.614999999999998</c:v>
                      </c:pt>
                      <c:pt idx="1868">
                        <c:v>20.614999999999998</c:v>
                      </c:pt>
                      <c:pt idx="1869">
                        <c:v>20.614999999999998</c:v>
                      </c:pt>
                      <c:pt idx="1870">
                        <c:v>20.614999999999998</c:v>
                      </c:pt>
                      <c:pt idx="1871">
                        <c:v>20.614999999999998</c:v>
                      </c:pt>
                      <c:pt idx="1872">
                        <c:v>20.614999999999998</c:v>
                      </c:pt>
                      <c:pt idx="1873">
                        <c:v>20.614999999999998</c:v>
                      </c:pt>
                      <c:pt idx="1874">
                        <c:v>20.614999999999998</c:v>
                      </c:pt>
                      <c:pt idx="1875">
                        <c:v>20.614999999999998</c:v>
                      </c:pt>
                      <c:pt idx="1876">
                        <c:v>20.614999999999998</c:v>
                      </c:pt>
                      <c:pt idx="1877">
                        <c:v>20.614999999999998</c:v>
                      </c:pt>
                      <c:pt idx="1878">
                        <c:v>20.614999999999998</c:v>
                      </c:pt>
                      <c:pt idx="1879">
                        <c:v>20.614999999999998</c:v>
                      </c:pt>
                      <c:pt idx="1880">
                        <c:v>20.614999999999998</c:v>
                      </c:pt>
                      <c:pt idx="1881">
                        <c:v>20.614999999999998</c:v>
                      </c:pt>
                      <c:pt idx="1882">
                        <c:v>20.614999999999998</c:v>
                      </c:pt>
                      <c:pt idx="1883">
                        <c:v>20.614999999999998</c:v>
                      </c:pt>
                      <c:pt idx="1884">
                        <c:v>20.614999999999998</c:v>
                      </c:pt>
                      <c:pt idx="1885">
                        <c:v>20.614999999999998</c:v>
                      </c:pt>
                      <c:pt idx="1886">
                        <c:v>20.614999999999998</c:v>
                      </c:pt>
                      <c:pt idx="1887">
                        <c:v>20.614999999999998</c:v>
                      </c:pt>
                      <c:pt idx="1888">
                        <c:v>20.614999999999998</c:v>
                      </c:pt>
                      <c:pt idx="1889">
                        <c:v>20.614999999999998</c:v>
                      </c:pt>
                      <c:pt idx="1890">
                        <c:v>20.614999999999998</c:v>
                      </c:pt>
                      <c:pt idx="1891">
                        <c:v>20.614999999999998</c:v>
                      </c:pt>
                      <c:pt idx="1892">
                        <c:v>20.614999999999998</c:v>
                      </c:pt>
                      <c:pt idx="1893">
                        <c:v>20.614999999999998</c:v>
                      </c:pt>
                      <c:pt idx="1894">
                        <c:v>20.614999999999998</c:v>
                      </c:pt>
                      <c:pt idx="1895">
                        <c:v>20.518999999999998</c:v>
                      </c:pt>
                      <c:pt idx="1896">
                        <c:v>20.614999999999998</c:v>
                      </c:pt>
                      <c:pt idx="1897">
                        <c:v>20.614999999999998</c:v>
                      </c:pt>
                      <c:pt idx="1898">
                        <c:v>20.518999999999998</c:v>
                      </c:pt>
                      <c:pt idx="1899">
                        <c:v>20.614999999999998</c:v>
                      </c:pt>
                      <c:pt idx="1900">
                        <c:v>20.614999999999998</c:v>
                      </c:pt>
                      <c:pt idx="1901">
                        <c:v>20.614999999999998</c:v>
                      </c:pt>
                      <c:pt idx="1902">
                        <c:v>20.614999999999998</c:v>
                      </c:pt>
                      <c:pt idx="1903">
                        <c:v>20.614999999999998</c:v>
                      </c:pt>
                      <c:pt idx="1904">
                        <c:v>20.614999999999998</c:v>
                      </c:pt>
                      <c:pt idx="1905">
                        <c:v>20.518999999999998</c:v>
                      </c:pt>
                      <c:pt idx="1906">
                        <c:v>20.614999999999998</c:v>
                      </c:pt>
                      <c:pt idx="1907">
                        <c:v>20.614999999999998</c:v>
                      </c:pt>
                      <c:pt idx="1908">
                        <c:v>20.518999999999998</c:v>
                      </c:pt>
                      <c:pt idx="1909">
                        <c:v>20.518999999999998</c:v>
                      </c:pt>
                      <c:pt idx="1910">
                        <c:v>20.518999999999998</c:v>
                      </c:pt>
                      <c:pt idx="1911">
                        <c:v>20.614999999999998</c:v>
                      </c:pt>
                      <c:pt idx="1912">
                        <c:v>20.518999999999998</c:v>
                      </c:pt>
                      <c:pt idx="1913">
                        <c:v>20.614999999999998</c:v>
                      </c:pt>
                      <c:pt idx="1914">
                        <c:v>20.518999999999998</c:v>
                      </c:pt>
                      <c:pt idx="1915">
                        <c:v>20.518999999999998</c:v>
                      </c:pt>
                      <c:pt idx="1916">
                        <c:v>20.518999999999998</c:v>
                      </c:pt>
                      <c:pt idx="1917">
                        <c:v>20.518999999999998</c:v>
                      </c:pt>
                      <c:pt idx="1918">
                        <c:v>20.518999999999998</c:v>
                      </c:pt>
                      <c:pt idx="1919">
                        <c:v>20.518999999999998</c:v>
                      </c:pt>
                      <c:pt idx="1920">
                        <c:v>20.518999999999998</c:v>
                      </c:pt>
                      <c:pt idx="1921">
                        <c:v>20.518999999999998</c:v>
                      </c:pt>
                      <c:pt idx="1922">
                        <c:v>20.518999999999998</c:v>
                      </c:pt>
                      <c:pt idx="1923">
                        <c:v>20.518999999999998</c:v>
                      </c:pt>
                      <c:pt idx="1924">
                        <c:v>20.518999999999998</c:v>
                      </c:pt>
                      <c:pt idx="1925">
                        <c:v>20.518999999999998</c:v>
                      </c:pt>
                      <c:pt idx="1926">
                        <c:v>20.518999999999998</c:v>
                      </c:pt>
                      <c:pt idx="1927">
                        <c:v>20.518999999999998</c:v>
                      </c:pt>
                      <c:pt idx="1928">
                        <c:v>20.518999999999998</c:v>
                      </c:pt>
                      <c:pt idx="1929">
                        <c:v>20.518999999999998</c:v>
                      </c:pt>
                      <c:pt idx="1930">
                        <c:v>20.518999999999998</c:v>
                      </c:pt>
                      <c:pt idx="1931">
                        <c:v>20.518999999999998</c:v>
                      </c:pt>
                      <c:pt idx="1932">
                        <c:v>20.518999999999998</c:v>
                      </c:pt>
                      <c:pt idx="1933">
                        <c:v>20.518999999999998</c:v>
                      </c:pt>
                      <c:pt idx="1934">
                        <c:v>20.518999999999998</c:v>
                      </c:pt>
                      <c:pt idx="1935">
                        <c:v>20.518999999999998</c:v>
                      </c:pt>
                      <c:pt idx="1936">
                        <c:v>20.518999999999998</c:v>
                      </c:pt>
                      <c:pt idx="1937">
                        <c:v>20.518999999999998</c:v>
                      </c:pt>
                      <c:pt idx="1938">
                        <c:v>20.518999999999998</c:v>
                      </c:pt>
                      <c:pt idx="1939">
                        <c:v>20.518999999999998</c:v>
                      </c:pt>
                      <c:pt idx="1940">
                        <c:v>20.518999999999998</c:v>
                      </c:pt>
                      <c:pt idx="1941">
                        <c:v>20.518999999999998</c:v>
                      </c:pt>
                      <c:pt idx="1942">
                        <c:v>20.518999999999998</c:v>
                      </c:pt>
                      <c:pt idx="1943">
                        <c:v>20.518999999999998</c:v>
                      </c:pt>
                      <c:pt idx="1944">
                        <c:v>20.518999999999998</c:v>
                      </c:pt>
                      <c:pt idx="1945">
                        <c:v>20.518999999999998</c:v>
                      </c:pt>
                      <c:pt idx="1946">
                        <c:v>20.518999999999998</c:v>
                      </c:pt>
                      <c:pt idx="1947">
                        <c:v>20.518999999999998</c:v>
                      </c:pt>
                      <c:pt idx="1948">
                        <c:v>20.518999999999998</c:v>
                      </c:pt>
                      <c:pt idx="1949">
                        <c:v>20.518999999999998</c:v>
                      </c:pt>
                      <c:pt idx="1950">
                        <c:v>20.518999999999998</c:v>
                      </c:pt>
                      <c:pt idx="1951">
                        <c:v>20.518999999999998</c:v>
                      </c:pt>
                      <c:pt idx="1952">
                        <c:v>20.518999999999998</c:v>
                      </c:pt>
                      <c:pt idx="1953">
                        <c:v>20.518999999999998</c:v>
                      </c:pt>
                      <c:pt idx="1954">
                        <c:v>20.518999999999998</c:v>
                      </c:pt>
                      <c:pt idx="1955">
                        <c:v>20.518999999999998</c:v>
                      </c:pt>
                      <c:pt idx="1956">
                        <c:v>20.518999999999998</c:v>
                      </c:pt>
                      <c:pt idx="1957">
                        <c:v>20.518999999999998</c:v>
                      </c:pt>
                      <c:pt idx="1958">
                        <c:v>20.518999999999998</c:v>
                      </c:pt>
                      <c:pt idx="1959">
                        <c:v>20.518999999999998</c:v>
                      </c:pt>
                      <c:pt idx="1960">
                        <c:v>20.518999999999998</c:v>
                      </c:pt>
                      <c:pt idx="1961">
                        <c:v>20.518999999999998</c:v>
                      </c:pt>
                      <c:pt idx="1962">
                        <c:v>20.518999999999998</c:v>
                      </c:pt>
                      <c:pt idx="1963">
                        <c:v>20.518999999999998</c:v>
                      </c:pt>
                      <c:pt idx="1964">
                        <c:v>20.518999999999998</c:v>
                      </c:pt>
                      <c:pt idx="1965">
                        <c:v>20.518999999999998</c:v>
                      </c:pt>
                      <c:pt idx="1966">
                        <c:v>20.518999999999998</c:v>
                      </c:pt>
                      <c:pt idx="1967">
                        <c:v>20.518999999999998</c:v>
                      </c:pt>
                      <c:pt idx="1968">
                        <c:v>20.518999999999998</c:v>
                      </c:pt>
                      <c:pt idx="1969">
                        <c:v>20.518999999999998</c:v>
                      </c:pt>
                      <c:pt idx="1970">
                        <c:v>20.518999999999998</c:v>
                      </c:pt>
                      <c:pt idx="1971">
                        <c:v>20.518999999999998</c:v>
                      </c:pt>
                      <c:pt idx="1972">
                        <c:v>20.518999999999998</c:v>
                      </c:pt>
                      <c:pt idx="1973">
                        <c:v>20.518999999999998</c:v>
                      </c:pt>
                      <c:pt idx="1974">
                        <c:v>20.518999999999998</c:v>
                      </c:pt>
                      <c:pt idx="1975">
                        <c:v>20.518999999999998</c:v>
                      </c:pt>
                      <c:pt idx="1976">
                        <c:v>20.518999999999998</c:v>
                      </c:pt>
                      <c:pt idx="1977">
                        <c:v>20.518999999999998</c:v>
                      </c:pt>
                      <c:pt idx="1978">
                        <c:v>20.518999999999998</c:v>
                      </c:pt>
                      <c:pt idx="1979">
                        <c:v>20.518999999999998</c:v>
                      </c:pt>
                      <c:pt idx="1980">
                        <c:v>20.518999999999998</c:v>
                      </c:pt>
                      <c:pt idx="1981">
                        <c:v>20.518999999999998</c:v>
                      </c:pt>
                      <c:pt idx="1982">
                        <c:v>20.518999999999998</c:v>
                      </c:pt>
                      <c:pt idx="1983">
                        <c:v>20.518999999999998</c:v>
                      </c:pt>
                      <c:pt idx="1984">
                        <c:v>20.518999999999998</c:v>
                      </c:pt>
                      <c:pt idx="1985">
                        <c:v>20.518999999999998</c:v>
                      </c:pt>
                      <c:pt idx="1986">
                        <c:v>20.518999999999998</c:v>
                      </c:pt>
                      <c:pt idx="1987">
                        <c:v>20.518999999999998</c:v>
                      </c:pt>
                      <c:pt idx="1988">
                        <c:v>20.518999999999998</c:v>
                      </c:pt>
                      <c:pt idx="1989">
                        <c:v>20.518999999999998</c:v>
                      </c:pt>
                      <c:pt idx="1990">
                        <c:v>20.518999999999998</c:v>
                      </c:pt>
                      <c:pt idx="1991">
                        <c:v>20.518999999999998</c:v>
                      </c:pt>
                      <c:pt idx="1992">
                        <c:v>20.518999999999998</c:v>
                      </c:pt>
                      <c:pt idx="1993">
                        <c:v>20.518999999999998</c:v>
                      </c:pt>
                      <c:pt idx="1994">
                        <c:v>20.518999999999998</c:v>
                      </c:pt>
                      <c:pt idx="1995">
                        <c:v>20.518999999999998</c:v>
                      </c:pt>
                      <c:pt idx="1996">
                        <c:v>20.518999999999998</c:v>
                      </c:pt>
                      <c:pt idx="1997">
                        <c:v>20.518999999999998</c:v>
                      </c:pt>
                      <c:pt idx="1998">
                        <c:v>20.518999999999998</c:v>
                      </c:pt>
                      <c:pt idx="1999">
                        <c:v>20.518999999999998</c:v>
                      </c:pt>
                      <c:pt idx="2000">
                        <c:v>20.518999999999998</c:v>
                      </c:pt>
                      <c:pt idx="2001">
                        <c:v>20.518999999999998</c:v>
                      </c:pt>
                      <c:pt idx="2002">
                        <c:v>20.518999999999998</c:v>
                      </c:pt>
                      <c:pt idx="2003">
                        <c:v>20.518999999999998</c:v>
                      </c:pt>
                      <c:pt idx="2004">
                        <c:v>20.518999999999998</c:v>
                      </c:pt>
                      <c:pt idx="2005">
                        <c:v>20.518999999999998</c:v>
                      </c:pt>
                      <c:pt idx="2006">
                        <c:v>20.518999999999998</c:v>
                      </c:pt>
                      <c:pt idx="2007">
                        <c:v>20.518999999999998</c:v>
                      </c:pt>
                      <c:pt idx="2008">
                        <c:v>20.518999999999998</c:v>
                      </c:pt>
                      <c:pt idx="2009">
                        <c:v>20.518999999999998</c:v>
                      </c:pt>
                      <c:pt idx="2010">
                        <c:v>20.518999999999998</c:v>
                      </c:pt>
                      <c:pt idx="2011">
                        <c:v>20.518999999999998</c:v>
                      </c:pt>
                      <c:pt idx="2012">
                        <c:v>20.518999999999998</c:v>
                      </c:pt>
                      <c:pt idx="2013">
                        <c:v>20.518999999999998</c:v>
                      </c:pt>
                      <c:pt idx="2014">
                        <c:v>20.518999999999998</c:v>
                      </c:pt>
                      <c:pt idx="2015">
                        <c:v>20.518999999999998</c:v>
                      </c:pt>
                      <c:pt idx="2016">
                        <c:v>20.518999999999998</c:v>
                      </c:pt>
                      <c:pt idx="2017">
                        <c:v>20.518999999999998</c:v>
                      </c:pt>
                      <c:pt idx="2018">
                        <c:v>20.518999999999998</c:v>
                      </c:pt>
                      <c:pt idx="2019">
                        <c:v>20.518999999999998</c:v>
                      </c:pt>
                      <c:pt idx="2020">
                        <c:v>20.518999999999998</c:v>
                      </c:pt>
                      <c:pt idx="2021">
                        <c:v>20.518999999999998</c:v>
                      </c:pt>
                      <c:pt idx="2022">
                        <c:v>20.518999999999998</c:v>
                      </c:pt>
                      <c:pt idx="2023">
                        <c:v>20.518999999999998</c:v>
                      </c:pt>
                      <c:pt idx="2024">
                        <c:v>20.518999999999998</c:v>
                      </c:pt>
                      <c:pt idx="2025">
                        <c:v>20.518999999999998</c:v>
                      </c:pt>
                      <c:pt idx="2026">
                        <c:v>20.518999999999998</c:v>
                      </c:pt>
                      <c:pt idx="2027">
                        <c:v>20.518999999999998</c:v>
                      </c:pt>
                      <c:pt idx="2028">
                        <c:v>20.518999999999998</c:v>
                      </c:pt>
                      <c:pt idx="2029">
                        <c:v>20.518999999999998</c:v>
                      </c:pt>
                      <c:pt idx="2030">
                        <c:v>20.518999999999998</c:v>
                      </c:pt>
                      <c:pt idx="2031">
                        <c:v>20.518999999999998</c:v>
                      </c:pt>
                      <c:pt idx="2032">
                        <c:v>20.518999999999998</c:v>
                      </c:pt>
                      <c:pt idx="2033">
                        <c:v>20.518999999999998</c:v>
                      </c:pt>
                      <c:pt idx="2034">
                        <c:v>20.518999999999998</c:v>
                      </c:pt>
                      <c:pt idx="2035">
                        <c:v>20.518999999999998</c:v>
                      </c:pt>
                      <c:pt idx="2036">
                        <c:v>20.518999999999998</c:v>
                      </c:pt>
                      <c:pt idx="2037">
                        <c:v>20.518999999999998</c:v>
                      </c:pt>
                      <c:pt idx="2038">
                        <c:v>20.518999999999998</c:v>
                      </c:pt>
                      <c:pt idx="2039">
                        <c:v>20.518999999999998</c:v>
                      </c:pt>
                      <c:pt idx="2040">
                        <c:v>20.518999999999998</c:v>
                      </c:pt>
                      <c:pt idx="2041">
                        <c:v>20.518999999999998</c:v>
                      </c:pt>
                      <c:pt idx="2042">
                        <c:v>20.518999999999998</c:v>
                      </c:pt>
                      <c:pt idx="2043">
                        <c:v>20.518999999999998</c:v>
                      </c:pt>
                      <c:pt idx="2044">
                        <c:v>20.518999999999998</c:v>
                      </c:pt>
                      <c:pt idx="2045">
                        <c:v>20.518999999999998</c:v>
                      </c:pt>
                      <c:pt idx="2046">
                        <c:v>20.518999999999998</c:v>
                      </c:pt>
                      <c:pt idx="2047">
                        <c:v>20.518999999999998</c:v>
                      </c:pt>
                      <c:pt idx="2048">
                        <c:v>20.518999999999998</c:v>
                      </c:pt>
                      <c:pt idx="2049">
                        <c:v>20.518999999999998</c:v>
                      </c:pt>
                      <c:pt idx="2050">
                        <c:v>20.518999999999998</c:v>
                      </c:pt>
                      <c:pt idx="2051">
                        <c:v>20.518999999999998</c:v>
                      </c:pt>
                      <c:pt idx="2052">
                        <c:v>20.518999999999998</c:v>
                      </c:pt>
                      <c:pt idx="2053">
                        <c:v>20.518999999999998</c:v>
                      </c:pt>
                      <c:pt idx="2054">
                        <c:v>20.518999999999998</c:v>
                      </c:pt>
                      <c:pt idx="2055">
                        <c:v>20.518999999999998</c:v>
                      </c:pt>
                      <c:pt idx="2056">
                        <c:v>20.518999999999998</c:v>
                      </c:pt>
                      <c:pt idx="2057">
                        <c:v>20.518999999999998</c:v>
                      </c:pt>
                      <c:pt idx="2058">
                        <c:v>20.518999999999998</c:v>
                      </c:pt>
                      <c:pt idx="2059">
                        <c:v>20.518999999999998</c:v>
                      </c:pt>
                      <c:pt idx="2060">
                        <c:v>20.518999999999998</c:v>
                      </c:pt>
                      <c:pt idx="2061">
                        <c:v>20.518999999999998</c:v>
                      </c:pt>
                      <c:pt idx="2062">
                        <c:v>20.518999999999998</c:v>
                      </c:pt>
                      <c:pt idx="2063">
                        <c:v>20.518999999999998</c:v>
                      </c:pt>
                      <c:pt idx="2064">
                        <c:v>20.518999999999998</c:v>
                      </c:pt>
                      <c:pt idx="2065">
                        <c:v>20.518999999999998</c:v>
                      </c:pt>
                      <c:pt idx="2066">
                        <c:v>20.518999999999998</c:v>
                      </c:pt>
                      <c:pt idx="2067">
                        <c:v>20.518999999999998</c:v>
                      </c:pt>
                      <c:pt idx="2068">
                        <c:v>20.518999999999998</c:v>
                      </c:pt>
                      <c:pt idx="2069">
                        <c:v>20.518999999999998</c:v>
                      </c:pt>
                      <c:pt idx="2070">
                        <c:v>20.518999999999998</c:v>
                      </c:pt>
                      <c:pt idx="2071">
                        <c:v>20.518999999999998</c:v>
                      </c:pt>
                      <c:pt idx="2072">
                        <c:v>20.518999999999998</c:v>
                      </c:pt>
                      <c:pt idx="2073">
                        <c:v>20.518999999999998</c:v>
                      </c:pt>
                      <c:pt idx="2074">
                        <c:v>20.518999999999998</c:v>
                      </c:pt>
                      <c:pt idx="2075">
                        <c:v>20.518999999999998</c:v>
                      </c:pt>
                      <c:pt idx="2076">
                        <c:v>20.518999999999998</c:v>
                      </c:pt>
                      <c:pt idx="2077">
                        <c:v>20.518999999999998</c:v>
                      </c:pt>
                      <c:pt idx="2078">
                        <c:v>20.518999999999998</c:v>
                      </c:pt>
                      <c:pt idx="2079">
                        <c:v>20.518999999999998</c:v>
                      </c:pt>
                      <c:pt idx="2080">
                        <c:v>20.518999999999998</c:v>
                      </c:pt>
                      <c:pt idx="2081">
                        <c:v>20.518999999999998</c:v>
                      </c:pt>
                      <c:pt idx="2082">
                        <c:v>20.518999999999998</c:v>
                      </c:pt>
                      <c:pt idx="2083">
                        <c:v>20.518999999999998</c:v>
                      </c:pt>
                      <c:pt idx="2084">
                        <c:v>20.518999999999998</c:v>
                      </c:pt>
                      <c:pt idx="2085">
                        <c:v>20.518999999999998</c:v>
                      </c:pt>
                      <c:pt idx="2086">
                        <c:v>20.518999999999998</c:v>
                      </c:pt>
                      <c:pt idx="2087">
                        <c:v>20.518999999999998</c:v>
                      </c:pt>
                      <c:pt idx="2088">
                        <c:v>20.518999999999998</c:v>
                      </c:pt>
                      <c:pt idx="2089">
                        <c:v>20.518999999999998</c:v>
                      </c:pt>
                      <c:pt idx="2090">
                        <c:v>20.518999999999998</c:v>
                      </c:pt>
                      <c:pt idx="2091">
                        <c:v>20.518999999999998</c:v>
                      </c:pt>
                      <c:pt idx="2092">
                        <c:v>20.518999999999998</c:v>
                      </c:pt>
                      <c:pt idx="2093">
                        <c:v>20.518999999999998</c:v>
                      </c:pt>
                      <c:pt idx="2094">
                        <c:v>20.518999999999998</c:v>
                      </c:pt>
                      <c:pt idx="2095">
                        <c:v>20.518999999999998</c:v>
                      </c:pt>
                      <c:pt idx="2096">
                        <c:v>20.518999999999998</c:v>
                      </c:pt>
                      <c:pt idx="2097">
                        <c:v>20.518999999999998</c:v>
                      </c:pt>
                      <c:pt idx="2098">
                        <c:v>20.518999999999998</c:v>
                      </c:pt>
                      <c:pt idx="2099">
                        <c:v>20.518999999999998</c:v>
                      </c:pt>
                      <c:pt idx="2100">
                        <c:v>20.518999999999998</c:v>
                      </c:pt>
                      <c:pt idx="2101">
                        <c:v>20.518999999999998</c:v>
                      </c:pt>
                      <c:pt idx="2102">
                        <c:v>20.518999999999998</c:v>
                      </c:pt>
                      <c:pt idx="2103">
                        <c:v>20.518999999999998</c:v>
                      </c:pt>
                      <c:pt idx="2104">
                        <c:v>20.518999999999998</c:v>
                      </c:pt>
                      <c:pt idx="2105">
                        <c:v>20.518999999999998</c:v>
                      </c:pt>
                      <c:pt idx="2106">
                        <c:v>20.518999999999998</c:v>
                      </c:pt>
                      <c:pt idx="2107">
                        <c:v>20.518999999999998</c:v>
                      </c:pt>
                      <c:pt idx="2108">
                        <c:v>20.518999999999998</c:v>
                      </c:pt>
                      <c:pt idx="2109">
                        <c:v>20.518999999999998</c:v>
                      </c:pt>
                      <c:pt idx="2110">
                        <c:v>20.518999999999998</c:v>
                      </c:pt>
                      <c:pt idx="2111">
                        <c:v>20.518999999999998</c:v>
                      </c:pt>
                      <c:pt idx="2112">
                        <c:v>20.518999999999998</c:v>
                      </c:pt>
                      <c:pt idx="2113">
                        <c:v>20.518999999999998</c:v>
                      </c:pt>
                      <c:pt idx="2114">
                        <c:v>20.518999999999998</c:v>
                      </c:pt>
                      <c:pt idx="2115">
                        <c:v>20.518999999999998</c:v>
                      </c:pt>
                      <c:pt idx="2116">
                        <c:v>20.518999999999998</c:v>
                      </c:pt>
                      <c:pt idx="2117">
                        <c:v>20.518999999999998</c:v>
                      </c:pt>
                      <c:pt idx="2118">
                        <c:v>20.518999999999998</c:v>
                      </c:pt>
                      <c:pt idx="2119">
                        <c:v>20.518999999999998</c:v>
                      </c:pt>
                      <c:pt idx="2120">
                        <c:v>20.518999999999998</c:v>
                      </c:pt>
                      <c:pt idx="2121">
                        <c:v>20.518999999999998</c:v>
                      </c:pt>
                      <c:pt idx="2122">
                        <c:v>20.518999999999998</c:v>
                      </c:pt>
                      <c:pt idx="2123">
                        <c:v>20.518999999999998</c:v>
                      </c:pt>
                      <c:pt idx="2124">
                        <c:v>20.518999999999998</c:v>
                      </c:pt>
                      <c:pt idx="2125">
                        <c:v>20.518999999999998</c:v>
                      </c:pt>
                      <c:pt idx="2126">
                        <c:v>20.518999999999998</c:v>
                      </c:pt>
                      <c:pt idx="2127">
                        <c:v>20.518999999999998</c:v>
                      </c:pt>
                      <c:pt idx="2128">
                        <c:v>20.518999999999998</c:v>
                      </c:pt>
                      <c:pt idx="2129">
                        <c:v>20.518999999999998</c:v>
                      </c:pt>
                      <c:pt idx="2130">
                        <c:v>20.518999999999998</c:v>
                      </c:pt>
                      <c:pt idx="2131">
                        <c:v>20.518999999999998</c:v>
                      </c:pt>
                      <c:pt idx="2132">
                        <c:v>20.518999999999998</c:v>
                      </c:pt>
                      <c:pt idx="2133">
                        <c:v>20.518999999999998</c:v>
                      </c:pt>
                      <c:pt idx="2134">
                        <c:v>20.518999999999998</c:v>
                      </c:pt>
                      <c:pt idx="2135">
                        <c:v>20.518999999999998</c:v>
                      </c:pt>
                      <c:pt idx="2136">
                        <c:v>20.518999999999998</c:v>
                      </c:pt>
                      <c:pt idx="2137">
                        <c:v>20.518999999999998</c:v>
                      </c:pt>
                      <c:pt idx="2138">
                        <c:v>20.518999999999998</c:v>
                      </c:pt>
                      <c:pt idx="2139">
                        <c:v>20.518999999999998</c:v>
                      </c:pt>
                      <c:pt idx="2140">
                        <c:v>20.518999999999998</c:v>
                      </c:pt>
                      <c:pt idx="2141">
                        <c:v>20.518999999999998</c:v>
                      </c:pt>
                      <c:pt idx="2142">
                        <c:v>20.518999999999998</c:v>
                      </c:pt>
                      <c:pt idx="2143">
                        <c:v>20.518999999999998</c:v>
                      </c:pt>
                      <c:pt idx="2144">
                        <c:v>20.518999999999998</c:v>
                      </c:pt>
                      <c:pt idx="2145">
                        <c:v>20.518999999999998</c:v>
                      </c:pt>
                      <c:pt idx="2146">
                        <c:v>20.518999999999998</c:v>
                      </c:pt>
                      <c:pt idx="2147">
                        <c:v>20.518999999999998</c:v>
                      </c:pt>
                      <c:pt idx="2148">
                        <c:v>20.518999999999998</c:v>
                      </c:pt>
                      <c:pt idx="2149">
                        <c:v>20.518999999999998</c:v>
                      </c:pt>
                      <c:pt idx="2150">
                        <c:v>20.518999999999998</c:v>
                      </c:pt>
                      <c:pt idx="2151">
                        <c:v>20.518999999999998</c:v>
                      </c:pt>
                      <c:pt idx="2152">
                        <c:v>20.518999999999998</c:v>
                      </c:pt>
                      <c:pt idx="2153">
                        <c:v>20.518999999999998</c:v>
                      </c:pt>
                      <c:pt idx="2154">
                        <c:v>20.518999999999998</c:v>
                      </c:pt>
                      <c:pt idx="2155">
                        <c:v>20.518999999999998</c:v>
                      </c:pt>
                      <c:pt idx="2156">
                        <c:v>20.518999999999998</c:v>
                      </c:pt>
                      <c:pt idx="2157">
                        <c:v>20.518999999999998</c:v>
                      </c:pt>
                      <c:pt idx="2158">
                        <c:v>20.518999999999998</c:v>
                      </c:pt>
                      <c:pt idx="2159">
                        <c:v>20.518999999999998</c:v>
                      </c:pt>
                      <c:pt idx="2160">
                        <c:v>20.518999999999998</c:v>
                      </c:pt>
                      <c:pt idx="2161">
                        <c:v>20.518999999999998</c:v>
                      </c:pt>
                      <c:pt idx="2162">
                        <c:v>20.518999999999998</c:v>
                      </c:pt>
                      <c:pt idx="2163">
                        <c:v>20.518999999999998</c:v>
                      </c:pt>
                      <c:pt idx="2164">
                        <c:v>20.518999999999998</c:v>
                      </c:pt>
                      <c:pt idx="2165">
                        <c:v>20.518999999999998</c:v>
                      </c:pt>
                      <c:pt idx="2166">
                        <c:v>20.518999999999998</c:v>
                      </c:pt>
                      <c:pt idx="2167">
                        <c:v>20.518999999999998</c:v>
                      </c:pt>
                      <c:pt idx="2168">
                        <c:v>20.518999999999998</c:v>
                      </c:pt>
                      <c:pt idx="2169">
                        <c:v>20.518999999999998</c:v>
                      </c:pt>
                      <c:pt idx="2170">
                        <c:v>20.518999999999998</c:v>
                      </c:pt>
                      <c:pt idx="2171">
                        <c:v>20.518999999999998</c:v>
                      </c:pt>
                      <c:pt idx="2172">
                        <c:v>20.518999999999998</c:v>
                      </c:pt>
                      <c:pt idx="2173">
                        <c:v>20.518999999999998</c:v>
                      </c:pt>
                      <c:pt idx="2174">
                        <c:v>20.518999999999998</c:v>
                      </c:pt>
                      <c:pt idx="2175">
                        <c:v>20.518999999999998</c:v>
                      </c:pt>
                      <c:pt idx="2176">
                        <c:v>20.518999999999998</c:v>
                      </c:pt>
                      <c:pt idx="2177">
                        <c:v>20.518999999999998</c:v>
                      </c:pt>
                      <c:pt idx="2178">
                        <c:v>20.518999999999998</c:v>
                      </c:pt>
                      <c:pt idx="2179">
                        <c:v>20.518999999999998</c:v>
                      </c:pt>
                      <c:pt idx="2180">
                        <c:v>20.518999999999998</c:v>
                      </c:pt>
                      <c:pt idx="2181">
                        <c:v>20.518999999999998</c:v>
                      </c:pt>
                      <c:pt idx="2182">
                        <c:v>20.518999999999998</c:v>
                      </c:pt>
                      <c:pt idx="2183">
                        <c:v>20.518999999999998</c:v>
                      </c:pt>
                      <c:pt idx="2184">
                        <c:v>20.518999999999998</c:v>
                      </c:pt>
                      <c:pt idx="2185">
                        <c:v>20.518999999999998</c:v>
                      </c:pt>
                      <c:pt idx="2186">
                        <c:v>20.518999999999998</c:v>
                      </c:pt>
                      <c:pt idx="2187">
                        <c:v>20.518999999999998</c:v>
                      </c:pt>
                      <c:pt idx="2188">
                        <c:v>20.518999999999998</c:v>
                      </c:pt>
                      <c:pt idx="2189">
                        <c:v>20.518999999999998</c:v>
                      </c:pt>
                      <c:pt idx="2190">
                        <c:v>20.518999999999998</c:v>
                      </c:pt>
                      <c:pt idx="2191">
                        <c:v>20.518999999999998</c:v>
                      </c:pt>
                      <c:pt idx="2192">
                        <c:v>20.518999999999998</c:v>
                      </c:pt>
                      <c:pt idx="2193">
                        <c:v>20.518999999999998</c:v>
                      </c:pt>
                      <c:pt idx="2194">
                        <c:v>20.518999999999998</c:v>
                      </c:pt>
                      <c:pt idx="2195">
                        <c:v>20.518999999999998</c:v>
                      </c:pt>
                      <c:pt idx="2196">
                        <c:v>20.518999999999998</c:v>
                      </c:pt>
                      <c:pt idx="2197">
                        <c:v>20.518999999999998</c:v>
                      </c:pt>
                      <c:pt idx="2198">
                        <c:v>20.518999999999998</c:v>
                      </c:pt>
                      <c:pt idx="2199">
                        <c:v>20.518999999999998</c:v>
                      </c:pt>
                      <c:pt idx="2200">
                        <c:v>20.518999999999998</c:v>
                      </c:pt>
                      <c:pt idx="2201">
                        <c:v>20.518999999999998</c:v>
                      </c:pt>
                      <c:pt idx="2202">
                        <c:v>20.518999999999998</c:v>
                      </c:pt>
                      <c:pt idx="2203">
                        <c:v>20.518999999999998</c:v>
                      </c:pt>
                      <c:pt idx="2204">
                        <c:v>20.518999999999998</c:v>
                      </c:pt>
                      <c:pt idx="2205">
                        <c:v>20.518999999999998</c:v>
                      </c:pt>
                      <c:pt idx="2206">
                        <c:v>20.518999999999998</c:v>
                      </c:pt>
                      <c:pt idx="2207">
                        <c:v>20.518999999999998</c:v>
                      </c:pt>
                      <c:pt idx="2208">
                        <c:v>20.518999999999998</c:v>
                      </c:pt>
                      <c:pt idx="2209">
                        <c:v>20.518999999999998</c:v>
                      </c:pt>
                      <c:pt idx="2210">
                        <c:v>20.518999999999998</c:v>
                      </c:pt>
                      <c:pt idx="2211">
                        <c:v>20.518999999999998</c:v>
                      </c:pt>
                      <c:pt idx="2212">
                        <c:v>20.518999999999998</c:v>
                      </c:pt>
                      <c:pt idx="2213">
                        <c:v>20.518999999999998</c:v>
                      </c:pt>
                      <c:pt idx="2214">
                        <c:v>20.518999999999998</c:v>
                      </c:pt>
                      <c:pt idx="2215">
                        <c:v>20.518999999999998</c:v>
                      </c:pt>
                      <c:pt idx="2216">
                        <c:v>20.518999999999998</c:v>
                      </c:pt>
                      <c:pt idx="2217">
                        <c:v>20.518999999999998</c:v>
                      </c:pt>
                      <c:pt idx="2218">
                        <c:v>20.518999999999998</c:v>
                      </c:pt>
                      <c:pt idx="2219">
                        <c:v>20.518999999999998</c:v>
                      </c:pt>
                      <c:pt idx="2220">
                        <c:v>20.518999999999998</c:v>
                      </c:pt>
                      <c:pt idx="2221">
                        <c:v>20.518999999999998</c:v>
                      </c:pt>
                      <c:pt idx="2222">
                        <c:v>20.518999999999998</c:v>
                      </c:pt>
                      <c:pt idx="2223">
                        <c:v>20.518999999999998</c:v>
                      </c:pt>
                      <c:pt idx="2224">
                        <c:v>20.518999999999998</c:v>
                      </c:pt>
                      <c:pt idx="2225">
                        <c:v>20.518999999999998</c:v>
                      </c:pt>
                      <c:pt idx="2226">
                        <c:v>20.518999999999998</c:v>
                      </c:pt>
                      <c:pt idx="2227">
                        <c:v>20.518999999999998</c:v>
                      </c:pt>
                      <c:pt idx="2228">
                        <c:v>20.518999999999998</c:v>
                      </c:pt>
                      <c:pt idx="2229">
                        <c:v>20.518999999999998</c:v>
                      </c:pt>
                      <c:pt idx="2230">
                        <c:v>20.518999999999998</c:v>
                      </c:pt>
                      <c:pt idx="2231">
                        <c:v>20.518999999999998</c:v>
                      </c:pt>
                      <c:pt idx="2232">
                        <c:v>20.518999999999998</c:v>
                      </c:pt>
                      <c:pt idx="2233">
                        <c:v>20.518999999999998</c:v>
                      </c:pt>
                      <c:pt idx="2234">
                        <c:v>20.518999999999998</c:v>
                      </c:pt>
                      <c:pt idx="2235">
                        <c:v>20.518999999999998</c:v>
                      </c:pt>
                      <c:pt idx="2236">
                        <c:v>20.518999999999998</c:v>
                      </c:pt>
                      <c:pt idx="2237">
                        <c:v>20.518999999999998</c:v>
                      </c:pt>
                      <c:pt idx="2238">
                        <c:v>20.518999999999998</c:v>
                      </c:pt>
                      <c:pt idx="2239">
                        <c:v>20.518999999999998</c:v>
                      </c:pt>
                      <c:pt idx="2240">
                        <c:v>20.518999999999998</c:v>
                      </c:pt>
                      <c:pt idx="2241">
                        <c:v>20.518999999999998</c:v>
                      </c:pt>
                      <c:pt idx="2242">
                        <c:v>20.518999999999998</c:v>
                      </c:pt>
                      <c:pt idx="2243">
                        <c:v>20.518999999999998</c:v>
                      </c:pt>
                      <c:pt idx="2244">
                        <c:v>20.518999999999998</c:v>
                      </c:pt>
                      <c:pt idx="2245">
                        <c:v>20.518999999999998</c:v>
                      </c:pt>
                      <c:pt idx="2246">
                        <c:v>20.518999999999998</c:v>
                      </c:pt>
                      <c:pt idx="2247">
                        <c:v>20.518999999999998</c:v>
                      </c:pt>
                      <c:pt idx="2248">
                        <c:v>20.518999999999998</c:v>
                      </c:pt>
                      <c:pt idx="2249">
                        <c:v>20.518999999999998</c:v>
                      </c:pt>
                      <c:pt idx="2250">
                        <c:v>20.518999999999998</c:v>
                      </c:pt>
                      <c:pt idx="2251">
                        <c:v>20.518999999999998</c:v>
                      </c:pt>
                      <c:pt idx="2252">
                        <c:v>20.518999999999998</c:v>
                      </c:pt>
                      <c:pt idx="2253">
                        <c:v>20.518999999999998</c:v>
                      </c:pt>
                      <c:pt idx="2254">
                        <c:v>20.518999999999998</c:v>
                      </c:pt>
                      <c:pt idx="2255">
                        <c:v>20.518999999999998</c:v>
                      </c:pt>
                      <c:pt idx="2256">
                        <c:v>20.518999999999998</c:v>
                      </c:pt>
                      <c:pt idx="2257">
                        <c:v>20.518999999999998</c:v>
                      </c:pt>
                      <c:pt idx="2258">
                        <c:v>20.518999999999998</c:v>
                      </c:pt>
                      <c:pt idx="2259">
                        <c:v>20.518999999999998</c:v>
                      </c:pt>
                      <c:pt idx="2260">
                        <c:v>20.518999999999998</c:v>
                      </c:pt>
                      <c:pt idx="2261">
                        <c:v>20.518999999999998</c:v>
                      </c:pt>
                      <c:pt idx="2262">
                        <c:v>20.518999999999998</c:v>
                      </c:pt>
                      <c:pt idx="2263">
                        <c:v>20.518999999999998</c:v>
                      </c:pt>
                      <c:pt idx="2264">
                        <c:v>20.518999999999998</c:v>
                      </c:pt>
                      <c:pt idx="2265">
                        <c:v>20.518999999999998</c:v>
                      </c:pt>
                      <c:pt idx="2266">
                        <c:v>20.518999999999998</c:v>
                      </c:pt>
                      <c:pt idx="2267">
                        <c:v>20.518999999999998</c:v>
                      </c:pt>
                      <c:pt idx="2268">
                        <c:v>20.518999999999998</c:v>
                      </c:pt>
                      <c:pt idx="2269">
                        <c:v>20.518999999999998</c:v>
                      </c:pt>
                      <c:pt idx="2270">
                        <c:v>20.518999999999998</c:v>
                      </c:pt>
                      <c:pt idx="2271">
                        <c:v>20.518999999999998</c:v>
                      </c:pt>
                      <c:pt idx="2272">
                        <c:v>20.518999999999998</c:v>
                      </c:pt>
                      <c:pt idx="2273">
                        <c:v>20.518999999999998</c:v>
                      </c:pt>
                      <c:pt idx="2274">
                        <c:v>20.518999999999998</c:v>
                      </c:pt>
                      <c:pt idx="2275">
                        <c:v>20.518999999999998</c:v>
                      </c:pt>
                      <c:pt idx="2276">
                        <c:v>20.518999999999998</c:v>
                      </c:pt>
                      <c:pt idx="2277">
                        <c:v>20.518999999999998</c:v>
                      </c:pt>
                      <c:pt idx="2278">
                        <c:v>20.518999999999998</c:v>
                      </c:pt>
                      <c:pt idx="2279">
                        <c:v>20.518999999999998</c:v>
                      </c:pt>
                      <c:pt idx="2280">
                        <c:v>20.518999999999998</c:v>
                      </c:pt>
                      <c:pt idx="2281">
                        <c:v>20.518999999999998</c:v>
                      </c:pt>
                      <c:pt idx="2282">
                        <c:v>20.518999999999998</c:v>
                      </c:pt>
                      <c:pt idx="2283">
                        <c:v>20.518999999999998</c:v>
                      </c:pt>
                      <c:pt idx="2284">
                        <c:v>20.518999999999998</c:v>
                      </c:pt>
                      <c:pt idx="2285">
                        <c:v>20.518999999999998</c:v>
                      </c:pt>
                      <c:pt idx="2286">
                        <c:v>20.518999999999998</c:v>
                      </c:pt>
                      <c:pt idx="2287">
                        <c:v>20.518999999999998</c:v>
                      </c:pt>
                      <c:pt idx="2288">
                        <c:v>20.518999999999998</c:v>
                      </c:pt>
                      <c:pt idx="2289">
                        <c:v>20.518999999999998</c:v>
                      </c:pt>
                      <c:pt idx="2290">
                        <c:v>20.518999999999998</c:v>
                      </c:pt>
                      <c:pt idx="2291">
                        <c:v>20.518999999999998</c:v>
                      </c:pt>
                      <c:pt idx="2292">
                        <c:v>20.518999999999998</c:v>
                      </c:pt>
                      <c:pt idx="2293">
                        <c:v>20.518999999999998</c:v>
                      </c:pt>
                      <c:pt idx="2294">
                        <c:v>20.518999999999998</c:v>
                      </c:pt>
                      <c:pt idx="2295">
                        <c:v>20.518999999999998</c:v>
                      </c:pt>
                      <c:pt idx="2296">
                        <c:v>20.518999999999998</c:v>
                      </c:pt>
                      <c:pt idx="2297">
                        <c:v>20.518999999999998</c:v>
                      </c:pt>
                      <c:pt idx="2298">
                        <c:v>20.518999999999998</c:v>
                      </c:pt>
                      <c:pt idx="2299">
                        <c:v>20.518999999999998</c:v>
                      </c:pt>
                      <c:pt idx="2300">
                        <c:v>20.518999999999998</c:v>
                      </c:pt>
                      <c:pt idx="2301">
                        <c:v>20.518999999999998</c:v>
                      </c:pt>
                      <c:pt idx="2302">
                        <c:v>20.518999999999998</c:v>
                      </c:pt>
                      <c:pt idx="2303">
                        <c:v>20.518999999999998</c:v>
                      </c:pt>
                      <c:pt idx="2304">
                        <c:v>20.518999999999998</c:v>
                      </c:pt>
                      <c:pt idx="2305">
                        <c:v>20.518999999999998</c:v>
                      </c:pt>
                      <c:pt idx="2306">
                        <c:v>20.518999999999998</c:v>
                      </c:pt>
                      <c:pt idx="2307">
                        <c:v>20.518999999999998</c:v>
                      </c:pt>
                      <c:pt idx="2308">
                        <c:v>20.518999999999998</c:v>
                      </c:pt>
                      <c:pt idx="2309">
                        <c:v>20.518999999999998</c:v>
                      </c:pt>
                      <c:pt idx="2310">
                        <c:v>20.518999999999998</c:v>
                      </c:pt>
                      <c:pt idx="2311">
                        <c:v>20.518999999999998</c:v>
                      </c:pt>
                      <c:pt idx="2312">
                        <c:v>20.518999999999998</c:v>
                      </c:pt>
                      <c:pt idx="2313">
                        <c:v>20.518999999999998</c:v>
                      </c:pt>
                      <c:pt idx="2314">
                        <c:v>20.518999999999998</c:v>
                      </c:pt>
                      <c:pt idx="2315">
                        <c:v>20.518999999999998</c:v>
                      </c:pt>
                      <c:pt idx="2316">
                        <c:v>20.614999999999998</c:v>
                      </c:pt>
                      <c:pt idx="2317">
                        <c:v>20.614999999999998</c:v>
                      </c:pt>
                      <c:pt idx="2318">
                        <c:v>20.518999999999998</c:v>
                      </c:pt>
                      <c:pt idx="2319">
                        <c:v>20.614999999999998</c:v>
                      </c:pt>
                      <c:pt idx="2320">
                        <c:v>20.614999999999998</c:v>
                      </c:pt>
                      <c:pt idx="2321">
                        <c:v>20.518999999999998</c:v>
                      </c:pt>
                      <c:pt idx="2322">
                        <c:v>20.614999999999998</c:v>
                      </c:pt>
                      <c:pt idx="2323">
                        <c:v>20.518999999999998</c:v>
                      </c:pt>
                      <c:pt idx="2324">
                        <c:v>20.614999999999998</c:v>
                      </c:pt>
                      <c:pt idx="2325">
                        <c:v>20.614999999999998</c:v>
                      </c:pt>
                      <c:pt idx="2326">
                        <c:v>20.614999999999998</c:v>
                      </c:pt>
                      <c:pt idx="2327">
                        <c:v>20.614999999999998</c:v>
                      </c:pt>
                      <c:pt idx="2328">
                        <c:v>20.614999999999998</c:v>
                      </c:pt>
                      <c:pt idx="2329">
                        <c:v>20.614999999999998</c:v>
                      </c:pt>
                      <c:pt idx="2330">
                        <c:v>20.614999999999998</c:v>
                      </c:pt>
                      <c:pt idx="2331">
                        <c:v>20.614999999999998</c:v>
                      </c:pt>
                      <c:pt idx="2332">
                        <c:v>20.614999999999998</c:v>
                      </c:pt>
                      <c:pt idx="2333">
                        <c:v>20.614999999999998</c:v>
                      </c:pt>
                      <c:pt idx="2334">
                        <c:v>20.614999999999998</c:v>
                      </c:pt>
                      <c:pt idx="2335">
                        <c:v>20.614999999999998</c:v>
                      </c:pt>
                      <c:pt idx="2336">
                        <c:v>20.614999999999998</c:v>
                      </c:pt>
                      <c:pt idx="2337">
                        <c:v>20.614999999999998</c:v>
                      </c:pt>
                      <c:pt idx="2338">
                        <c:v>20.614999999999998</c:v>
                      </c:pt>
                      <c:pt idx="2339">
                        <c:v>20.614999999999998</c:v>
                      </c:pt>
                      <c:pt idx="2340">
                        <c:v>20.614999999999998</c:v>
                      </c:pt>
                      <c:pt idx="2341">
                        <c:v>20.614999999999998</c:v>
                      </c:pt>
                      <c:pt idx="2342">
                        <c:v>20.614999999999998</c:v>
                      </c:pt>
                      <c:pt idx="2343">
                        <c:v>20.614999999999998</c:v>
                      </c:pt>
                      <c:pt idx="2344">
                        <c:v>20.614999999999998</c:v>
                      </c:pt>
                      <c:pt idx="2345">
                        <c:v>20.614999999999998</c:v>
                      </c:pt>
                      <c:pt idx="2346">
                        <c:v>20.614999999999998</c:v>
                      </c:pt>
                      <c:pt idx="2347">
                        <c:v>20.614999999999998</c:v>
                      </c:pt>
                      <c:pt idx="2348">
                        <c:v>20.614999999999998</c:v>
                      </c:pt>
                      <c:pt idx="2349">
                        <c:v>20.614999999999998</c:v>
                      </c:pt>
                      <c:pt idx="2350">
                        <c:v>20.614999999999998</c:v>
                      </c:pt>
                      <c:pt idx="2351">
                        <c:v>20.614999999999998</c:v>
                      </c:pt>
                      <c:pt idx="2352">
                        <c:v>20.614999999999998</c:v>
                      </c:pt>
                      <c:pt idx="2353">
                        <c:v>20.614999999999998</c:v>
                      </c:pt>
                      <c:pt idx="2354">
                        <c:v>20.614999999999998</c:v>
                      </c:pt>
                      <c:pt idx="2355">
                        <c:v>20.614999999999998</c:v>
                      </c:pt>
                      <c:pt idx="2356">
                        <c:v>20.614999999999998</c:v>
                      </c:pt>
                      <c:pt idx="2357">
                        <c:v>20.614999999999998</c:v>
                      </c:pt>
                      <c:pt idx="2358">
                        <c:v>20.614999999999998</c:v>
                      </c:pt>
                      <c:pt idx="2359">
                        <c:v>20.614999999999998</c:v>
                      </c:pt>
                      <c:pt idx="2360">
                        <c:v>20.614999999999998</c:v>
                      </c:pt>
                      <c:pt idx="2361">
                        <c:v>20.614999999999998</c:v>
                      </c:pt>
                      <c:pt idx="2362">
                        <c:v>20.614999999999998</c:v>
                      </c:pt>
                      <c:pt idx="2363">
                        <c:v>20.614999999999998</c:v>
                      </c:pt>
                      <c:pt idx="2364">
                        <c:v>20.614999999999998</c:v>
                      </c:pt>
                      <c:pt idx="2365">
                        <c:v>20.614999999999998</c:v>
                      </c:pt>
                      <c:pt idx="2366">
                        <c:v>20.614999999999998</c:v>
                      </c:pt>
                      <c:pt idx="2367">
                        <c:v>20.614999999999998</c:v>
                      </c:pt>
                      <c:pt idx="2368">
                        <c:v>20.614999999999998</c:v>
                      </c:pt>
                      <c:pt idx="2369">
                        <c:v>20.614999999999998</c:v>
                      </c:pt>
                      <c:pt idx="2370">
                        <c:v>20.614999999999998</c:v>
                      </c:pt>
                      <c:pt idx="2371">
                        <c:v>20.614999999999998</c:v>
                      </c:pt>
                      <c:pt idx="2372">
                        <c:v>20.614999999999998</c:v>
                      </c:pt>
                      <c:pt idx="2373">
                        <c:v>20.614999999999998</c:v>
                      </c:pt>
                      <c:pt idx="2374">
                        <c:v>20.614999999999998</c:v>
                      </c:pt>
                      <c:pt idx="2375">
                        <c:v>20.614999999999998</c:v>
                      </c:pt>
                      <c:pt idx="2376">
                        <c:v>20.614999999999998</c:v>
                      </c:pt>
                      <c:pt idx="2377">
                        <c:v>20.614999999999998</c:v>
                      </c:pt>
                      <c:pt idx="2378">
                        <c:v>20.614999999999998</c:v>
                      </c:pt>
                      <c:pt idx="2379">
                        <c:v>20.614999999999998</c:v>
                      </c:pt>
                      <c:pt idx="2380">
                        <c:v>20.614999999999998</c:v>
                      </c:pt>
                      <c:pt idx="2381">
                        <c:v>20.614999999999998</c:v>
                      </c:pt>
                      <c:pt idx="2382">
                        <c:v>20.614999999999998</c:v>
                      </c:pt>
                      <c:pt idx="2383">
                        <c:v>20.614999999999998</c:v>
                      </c:pt>
                      <c:pt idx="2384">
                        <c:v>20.614999999999998</c:v>
                      </c:pt>
                      <c:pt idx="2385">
                        <c:v>20.614999999999998</c:v>
                      </c:pt>
                      <c:pt idx="2386">
                        <c:v>20.614999999999998</c:v>
                      </c:pt>
                      <c:pt idx="2387">
                        <c:v>20.614999999999998</c:v>
                      </c:pt>
                      <c:pt idx="2388">
                        <c:v>20.614999999999998</c:v>
                      </c:pt>
                      <c:pt idx="2389">
                        <c:v>20.614999999999998</c:v>
                      </c:pt>
                      <c:pt idx="2390">
                        <c:v>20.614999999999998</c:v>
                      </c:pt>
                      <c:pt idx="2391">
                        <c:v>20.614999999999998</c:v>
                      </c:pt>
                      <c:pt idx="2392">
                        <c:v>20.614999999999998</c:v>
                      </c:pt>
                      <c:pt idx="2393">
                        <c:v>20.614999999999998</c:v>
                      </c:pt>
                      <c:pt idx="2394">
                        <c:v>20.614999999999998</c:v>
                      </c:pt>
                      <c:pt idx="2395">
                        <c:v>20.614999999999998</c:v>
                      </c:pt>
                      <c:pt idx="2396">
                        <c:v>20.614999999999998</c:v>
                      </c:pt>
                      <c:pt idx="2397">
                        <c:v>20.614999999999998</c:v>
                      </c:pt>
                      <c:pt idx="2398">
                        <c:v>20.614999999999998</c:v>
                      </c:pt>
                      <c:pt idx="2399">
                        <c:v>20.614999999999998</c:v>
                      </c:pt>
                      <c:pt idx="2400">
                        <c:v>20.614999999999998</c:v>
                      </c:pt>
                      <c:pt idx="2401">
                        <c:v>20.614999999999998</c:v>
                      </c:pt>
                      <c:pt idx="2402">
                        <c:v>20.614999999999998</c:v>
                      </c:pt>
                      <c:pt idx="2403">
                        <c:v>20.614999999999998</c:v>
                      </c:pt>
                      <c:pt idx="2404">
                        <c:v>20.614999999999998</c:v>
                      </c:pt>
                      <c:pt idx="2405">
                        <c:v>20.614999999999998</c:v>
                      </c:pt>
                      <c:pt idx="2406">
                        <c:v>20.614999999999998</c:v>
                      </c:pt>
                      <c:pt idx="2407">
                        <c:v>20.614999999999998</c:v>
                      </c:pt>
                      <c:pt idx="2408">
                        <c:v>20.614999999999998</c:v>
                      </c:pt>
                      <c:pt idx="2409">
                        <c:v>20.614999999999998</c:v>
                      </c:pt>
                      <c:pt idx="2410">
                        <c:v>20.614999999999998</c:v>
                      </c:pt>
                      <c:pt idx="2411">
                        <c:v>20.614999999999998</c:v>
                      </c:pt>
                      <c:pt idx="2412">
                        <c:v>20.614999999999998</c:v>
                      </c:pt>
                      <c:pt idx="2413">
                        <c:v>20.614999999999998</c:v>
                      </c:pt>
                      <c:pt idx="2414">
                        <c:v>20.614999999999998</c:v>
                      </c:pt>
                      <c:pt idx="2415">
                        <c:v>20.614999999999998</c:v>
                      </c:pt>
                      <c:pt idx="2416">
                        <c:v>20.614999999999998</c:v>
                      </c:pt>
                      <c:pt idx="2417">
                        <c:v>20.614999999999998</c:v>
                      </c:pt>
                      <c:pt idx="2418">
                        <c:v>20.614999999999998</c:v>
                      </c:pt>
                      <c:pt idx="2419">
                        <c:v>20.614999999999998</c:v>
                      </c:pt>
                      <c:pt idx="2420">
                        <c:v>20.614999999999998</c:v>
                      </c:pt>
                      <c:pt idx="2421">
                        <c:v>20.614999999999998</c:v>
                      </c:pt>
                      <c:pt idx="2422">
                        <c:v>20.614999999999998</c:v>
                      </c:pt>
                      <c:pt idx="2423">
                        <c:v>20.614999999999998</c:v>
                      </c:pt>
                      <c:pt idx="2424">
                        <c:v>20.614999999999998</c:v>
                      </c:pt>
                      <c:pt idx="2425">
                        <c:v>20.614999999999998</c:v>
                      </c:pt>
                      <c:pt idx="2426">
                        <c:v>20.614999999999998</c:v>
                      </c:pt>
                      <c:pt idx="2427">
                        <c:v>20.614999999999998</c:v>
                      </c:pt>
                      <c:pt idx="2428">
                        <c:v>20.614999999999998</c:v>
                      </c:pt>
                      <c:pt idx="2429">
                        <c:v>20.614999999999998</c:v>
                      </c:pt>
                      <c:pt idx="2430">
                        <c:v>20.614999999999998</c:v>
                      </c:pt>
                      <c:pt idx="2431">
                        <c:v>20.614999999999998</c:v>
                      </c:pt>
                      <c:pt idx="2432">
                        <c:v>20.614999999999998</c:v>
                      </c:pt>
                      <c:pt idx="2433">
                        <c:v>20.614999999999998</c:v>
                      </c:pt>
                      <c:pt idx="2434">
                        <c:v>20.614999999999998</c:v>
                      </c:pt>
                      <c:pt idx="2435">
                        <c:v>20.614999999999998</c:v>
                      </c:pt>
                      <c:pt idx="2436">
                        <c:v>20.614999999999998</c:v>
                      </c:pt>
                      <c:pt idx="2437">
                        <c:v>20.614999999999998</c:v>
                      </c:pt>
                      <c:pt idx="2438">
                        <c:v>20.614999999999998</c:v>
                      </c:pt>
                      <c:pt idx="2439">
                        <c:v>20.614999999999998</c:v>
                      </c:pt>
                      <c:pt idx="2440">
                        <c:v>20.614999999999998</c:v>
                      </c:pt>
                      <c:pt idx="2441">
                        <c:v>20.614999999999998</c:v>
                      </c:pt>
                      <c:pt idx="2442">
                        <c:v>20.614999999999998</c:v>
                      </c:pt>
                      <c:pt idx="2443">
                        <c:v>20.614999999999998</c:v>
                      </c:pt>
                      <c:pt idx="2444">
                        <c:v>20.614999999999998</c:v>
                      </c:pt>
                      <c:pt idx="2445">
                        <c:v>20.614999999999998</c:v>
                      </c:pt>
                      <c:pt idx="2446">
                        <c:v>20.614999999999998</c:v>
                      </c:pt>
                      <c:pt idx="2447">
                        <c:v>20.614999999999998</c:v>
                      </c:pt>
                      <c:pt idx="2448">
                        <c:v>20.71</c:v>
                      </c:pt>
                      <c:pt idx="2449">
                        <c:v>20.71</c:v>
                      </c:pt>
                      <c:pt idx="2450">
                        <c:v>20.614999999999998</c:v>
                      </c:pt>
                      <c:pt idx="2451">
                        <c:v>20.614999999999998</c:v>
                      </c:pt>
                      <c:pt idx="2452">
                        <c:v>20.71</c:v>
                      </c:pt>
                      <c:pt idx="2453">
                        <c:v>20.614999999999998</c:v>
                      </c:pt>
                      <c:pt idx="2454">
                        <c:v>20.71</c:v>
                      </c:pt>
                      <c:pt idx="2455">
                        <c:v>20.614999999999998</c:v>
                      </c:pt>
                      <c:pt idx="2456">
                        <c:v>20.614999999999998</c:v>
                      </c:pt>
                      <c:pt idx="2457">
                        <c:v>20.71</c:v>
                      </c:pt>
                      <c:pt idx="2458">
                        <c:v>20.71</c:v>
                      </c:pt>
                      <c:pt idx="2459">
                        <c:v>20.71</c:v>
                      </c:pt>
                      <c:pt idx="2460">
                        <c:v>20.71</c:v>
                      </c:pt>
                      <c:pt idx="2461">
                        <c:v>20.71</c:v>
                      </c:pt>
                      <c:pt idx="2462">
                        <c:v>20.614999999999998</c:v>
                      </c:pt>
                      <c:pt idx="2463">
                        <c:v>20.71</c:v>
                      </c:pt>
                      <c:pt idx="2464">
                        <c:v>20.71</c:v>
                      </c:pt>
                      <c:pt idx="2465">
                        <c:v>20.71</c:v>
                      </c:pt>
                      <c:pt idx="2466">
                        <c:v>20.71</c:v>
                      </c:pt>
                      <c:pt idx="2467">
                        <c:v>20.71</c:v>
                      </c:pt>
                      <c:pt idx="2468">
                        <c:v>20.71</c:v>
                      </c:pt>
                      <c:pt idx="2469">
                        <c:v>20.71</c:v>
                      </c:pt>
                      <c:pt idx="2470">
                        <c:v>20.71</c:v>
                      </c:pt>
                      <c:pt idx="2471">
                        <c:v>20.71</c:v>
                      </c:pt>
                      <c:pt idx="2472">
                        <c:v>20.71</c:v>
                      </c:pt>
                      <c:pt idx="2473">
                        <c:v>20.71</c:v>
                      </c:pt>
                      <c:pt idx="2474">
                        <c:v>20.71</c:v>
                      </c:pt>
                      <c:pt idx="2475">
                        <c:v>20.71</c:v>
                      </c:pt>
                      <c:pt idx="2476">
                        <c:v>20.71</c:v>
                      </c:pt>
                      <c:pt idx="2477">
                        <c:v>20.71</c:v>
                      </c:pt>
                      <c:pt idx="2478">
                        <c:v>20.71</c:v>
                      </c:pt>
                      <c:pt idx="2479">
                        <c:v>20.71</c:v>
                      </c:pt>
                      <c:pt idx="2480">
                        <c:v>20.71</c:v>
                      </c:pt>
                      <c:pt idx="2481">
                        <c:v>20.71</c:v>
                      </c:pt>
                      <c:pt idx="2482">
                        <c:v>20.71</c:v>
                      </c:pt>
                      <c:pt idx="2483">
                        <c:v>20.71</c:v>
                      </c:pt>
                      <c:pt idx="2484">
                        <c:v>20.71</c:v>
                      </c:pt>
                      <c:pt idx="2485">
                        <c:v>20.71</c:v>
                      </c:pt>
                      <c:pt idx="2486">
                        <c:v>20.71</c:v>
                      </c:pt>
                      <c:pt idx="2487">
                        <c:v>20.71</c:v>
                      </c:pt>
                      <c:pt idx="2488">
                        <c:v>20.71</c:v>
                      </c:pt>
                      <c:pt idx="2489">
                        <c:v>20.71</c:v>
                      </c:pt>
                      <c:pt idx="2490">
                        <c:v>20.71</c:v>
                      </c:pt>
                      <c:pt idx="2491">
                        <c:v>20.71</c:v>
                      </c:pt>
                      <c:pt idx="2492">
                        <c:v>20.71</c:v>
                      </c:pt>
                      <c:pt idx="2493">
                        <c:v>20.71</c:v>
                      </c:pt>
                      <c:pt idx="2494">
                        <c:v>20.71</c:v>
                      </c:pt>
                      <c:pt idx="2495">
                        <c:v>20.71</c:v>
                      </c:pt>
                      <c:pt idx="2496">
                        <c:v>20.71</c:v>
                      </c:pt>
                      <c:pt idx="2497">
                        <c:v>20.71</c:v>
                      </c:pt>
                      <c:pt idx="2498">
                        <c:v>20.71</c:v>
                      </c:pt>
                      <c:pt idx="2499">
                        <c:v>20.71</c:v>
                      </c:pt>
                      <c:pt idx="2500">
                        <c:v>20.71</c:v>
                      </c:pt>
                      <c:pt idx="2501">
                        <c:v>20.71</c:v>
                      </c:pt>
                      <c:pt idx="2502">
                        <c:v>20.71</c:v>
                      </c:pt>
                      <c:pt idx="2503">
                        <c:v>20.71</c:v>
                      </c:pt>
                      <c:pt idx="2504">
                        <c:v>20.71</c:v>
                      </c:pt>
                      <c:pt idx="2505">
                        <c:v>20.71</c:v>
                      </c:pt>
                      <c:pt idx="2506">
                        <c:v>20.71</c:v>
                      </c:pt>
                      <c:pt idx="2507">
                        <c:v>20.71</c:v>
                      </c:pt>
                      <c:pt idx="2508">
                        <c:v>20.71</c:v>
                      </c:pt>
                      <c:pt idx="2509">
                        <c:v>20.71</c:v>
                      </c:pt>
                      <c:pt idx="2510">
                        <c:v>20.71</c:v>
                      </c:pt>
                      <c:pt idx="2511">
                        <c:v>20.71</c:v>
                      </c:pt>
                      <c:pt idx="2512">
                        <c:v>20.71</c:v>
                      </c:pt>
                      <c:pt idx="2513">
                        <c:v>20.71</c:v>
                      </c:pt>
                      <c:pt idx="2514">
                        <c:v>20.71</c:v>
                      </c:pt>
                      <c:pt idx="2515">
                        <c:v>20.71</c:v>
                      </c:pt>
                      <c:pt idx="2516">
                        <c:v>20.71</c:v>
                      </c:pt>
                      <c:pt idx="2517">
                        <c:v>20.71</c:v>
                      </c:pt>
                      <c:pt idx="2518">
                        <c:v>20.71</c:v>
                      </c:pt>
                      <c:pt idx="2519">
                        <c:v>20.71</c:v>
                      </c:pt>
                      <c:pt idx="2520">
                        <c:v>20.71</c:v>
                      </c:pt>
                      <c:pt idx="2521">
                        <c:v>20.71</c:v>
                      </c:pt>
                      <c:pt idx="2522">
                        <c:v>20.71</c:v>
                      </c:pt>
                      <c:pt idx="2523">
                        <c:v>20.71</c:v>
                      </c:pt>
                      <c:pt idx="2524">
                        <c:v>20.71</c:v>
                      </c:pt>
                      <c:pt idx="2525">
                        <c:v>20.71</c:v>
                      </c:pt>
                      <c:pt idx="2526">
                        <c:v>20.71</c:v>
                      </c:pt>
                      <c:pt idx="2527">
                        <c:v>20.71</c:v>
                      </c:pt>
                      <c:pt idx="2528">
                        <c:v>20.71</c:v>
                      </c:pt>
                      <c:pt idx="2529">
                        <c:v>20.71</c:v>
                      </c:pt>
                      <c:pt idx="2530">
                        <c:v>20.71</c:v>
                      </c:pt>
                      <c:pt idx="2531">
                        <c:v>20.71</c:v>
                      </c:pt>
                      <c:pt idx="2532">
                        <c:v>20.71</c:v>
                      </c:pt>
                      <c:pt idx="2533">
                        <c:v>20.71</c:v>
                      </c:pt>
                      <c:pt idx="2534">
                        <c:v>20.71</c:v>
                      </c:pt>
                      <c:pt idx="2535">
                        <c:v>20.71</c:v>
                      </c:pt>
                      <c:pt idx="2536">
                        <c:v>20.71</c:v>
                      </c:pt>
                      <c:pt idx="2537">
                        <c:v>20.71</c:v>
                      </c:pt>
                      <c:pt idx="2538">
                        <c:v>20.71</c:v>
                      </c:pt>
                      <c:pt idx="2539">
                        <c:v>20.71</c:v>
                      </c:pt>
                      <c:pt idx="2540">
                        <c:v>20.71</c:v>
                      </c:pt>
                      <c:pt idx="2541">
                        <c:v>20.71</c:v>
                      </c:pt>
                      <c:pt idx="2542">
                        <c:v>20.71</c:v>
                      </c:pt>
                      <c:pt idx="2543">
                        <c:v>20.71</c:v>
                      </c:pt>
                      <c:pt idx="2544">
                        <c:v>20.71</c:v>
                      </c:pt>
                      <c:pt idx="2545">
                        <c:v>20.71</c:v>
                      </c:pt>
                      <c:pt idx="2546">
                        <c:v>20.71</c:v>
                      </c:pt>
                      <c:pt idx="2547">
                        <c:v>20.71</c:v>
                      </c:pt>
                      <c:pt idx="2548">
                        <c:v>20.71</c:v>
                      </c:pt>
                      <c:pt idx="2549">
                        <c:v>20.71</c:v>
                      </c:pt>
                      <c:pt idx="2550">
                        <c:v>20.71</c:v>
                      </c:pt>
                      <c:pt idx="2551">
                        <c:v>20.71</c:v>
                      </c:pt>
                      <c:pt idx="2552">
                        <c:v>20.71</c:v>
                      </c:pt>
                      <c:pt idx="2553">
                        <c:v>20.71</c:v>
                      </c:pt>
                      <c:pt idx="2554">
                        <c:v>20.71</c:v>
                      </c:pt>
                      <c:pt idx="2555">
                        <c:v>20.71</c:v>
                      </c:pt>
                      <c:pt idx="2556">
                        <c:v>20.71</c:v>
                      </c:pt>
                      <c:pt idx="2557">
                        <c:v>20.71</c:v>
                      </c:pt>
                      <c:pt idx="2558">
                        <c:v>20.71</c:v>
                      </c:pt>
                      <c:pt idx="2559">
                        <c:v>20.71</c:v>
                      </c:pt>
                      <c:pt idx="2560">
                        <c:v>20.71</c:v>
                      </c:pt>
                      <c:pt idx="2561">
                        <c:v>20.71</c:v>
                      </c:pt>
                      <c:pt idx="2562">
                        <c:v>20.71</c:v>
                      </c:pt>
                      <c:pt idx="2563">
                        <c:v>20.71</c:v>
                      </c:pt>
                      <c:pt idx="2564">
                        <c:v>20.71</c:v>
                      </c:pt>
                      <c:pt idx="2565">
                        <c:v>20.71</c:v>
                      </c:pt>
                      <c:pt idx="2566">
                        <c:v>20.71</c:v>
                      </c:pt>
                      <c:pt idx="2567">
                        <c:v>20.71</c:v>
                      </c:pt>
                      <c:pt idx="2568">
                        <c:v>20.71</c:v>
                      </c:pt>
                      <c:pt idx="2569">
                        <c:v>20.71</c:v>
                      </c:pt>
                      <c:pt idx="2570">
                        <c:v>20.71</c:v>
                      </c:pt>
                      <c:pt idx="2571">
                        <c:v>20.71</c:v>
                      </c:pt>
                      <c:pt idx="2572">
                        <c:v>20.71</c:v>
                      </c:pt>
                      <c:pt idx="2573">
                        <c:v>20.71</c:v>
                      </c:pt>
                      <c:pt idx="2574">
                        <c:v>20.71</c:v>
                      </c:pt>
                      <c:pt idx="2575">
                        <c:v>20.71</c:v>
                      </c:pt>
                      <c:pt idx="2576">
                        <c:v>20.71</c:v>
                      </c:pt>
                      <c:pt idx="2577">
                        <c:v>20.71</c:v>
                      </c:pt>
                      <c:pt idx="2578">
                        <c:v>20.71</c:v>
                      </c:pt>
                      <c:pt idx="2579">
                        <c:v>20.71</c:v>
                      </c:pt>
                      <c:pt idx="2580">
                        <c:v>20.71</c:v>
                      </c:pt>
                      <c:pt idx="2581">
                        <c:v>20.71</c:v>
                      </c:pt>
                      <c:pt idx="2582">
                        <c:v>20.71</c:v>
                      </c:pt>
                      <c:pt idx="2583">
                        <c:v>20.71</c:v>
                      </c:pt>
                      <c:pt idx="2584">
                        <c:v>20.71</c:v>
                      </c:pt>
                      <c:pt idx="2585">
                        <c:v>20.71</c:v>
                      </c:pt>
                      <c:pt idx="2586">
                        <c:v>20.71</c:v>
                      </c:pt>
                      <c:pt idx="2587">
                        <c:v>20.71</c:v>
                      </c:pt>
                      <c:pt idx="2588">
                        <c:v>20.71</c:v>
                      </c:pt>
                      <c:pt idx="2589">
                        <c:v>20.71</c:v>
                      </c:pt>
                      <c:pt idx="2590">
                        <c:v>20.71</c:v>
                      </c:pt>
                      <c:pt idx="2591">
                        <c:v>20.71</c:v>
                      </c:pt>
                      <c:pt idx="2592">
                        <c:v>20.71</c:v>
                      </c:pt>
                      <c:pt idx="2593">
                        <c:v>20.71</c:v>
                      </c:pt>
                      <c:pt idx="2594">
                        <c:v>20.71</c:v>
                      </c:pt>
                      <c:pt idx="2595">
                        <c:v>20.71</c:v>
                      </c:pt>
                      <c:pt idx="2596">
                        <c:v>20.71</c:v>
                      </c:pt>
                      <c:pt idx="2597">
                        <c:v>20.71</c:v>
                      </c:pt>
                      <c:pt idx="2598">
                        <c:v>20.71</c:v>
                      </c:pt>
                      <c:pt idx="2599">
                        <c:v>20.71</c:v>
                      </c:pt>
                      <c:pt idx="2600">
                        <c:v>20.71</c:v>
                      </c:pt>
                      <c:pt idx="2601">
                        <c:v>20.71</c:v>
                      </c:pt>
                      <c:pt idx="2602">
                        <c:v>20.71</c:v>
                      </c:pt>
                      <c:pt idx="2603">
                        <c:v>20.71</c:v>
                      </c:pt>
                      <c:pt idx="2604">
                        <c:v>20.71</c:v>
                      </c:pt>
                      <c:pt idx="2605">
                        <c:v>20.71</c:v>
                      </c:pt>
                      <c:pt idx="2606">
                        <c:v>20.71</c:v>
                      </c:pt>
                      <c:pt idx="2607">
                        <c:v>20.71</c:v>
                      </c:pt>
                      <c:pt idx="2608">
                        <c:v>20.71</c:v>
                      </c:pt>
                      <c:pt idx="2609">
                        <c:v>20.71</c:v>
                      </c:pt>
                      <c:pt idx="2610">
                        <c:v>20.71</c:v>
                      </c:pt>
                      <c:pt idx="2611">
                        <c:v>20.71</c:v>
                      </c:pt>
                      <c:pt idx="2612">
                        <c:v>20.71</c:v>
                      </c:pt>
                      <c:pt idx="2613">
                        <c:v>20.71</c:v>
                      </c:pt>
                      <c:pt idx="2614">
                        <c:v>20.71</c:v>
                      </c:pt>
                      <c:pt idx="2615">
                        <c:v>20.71</c:v>
                      </c:pt>
                      <c:pt idx="2616">
                        <c:v>20.71</c:v>
                      </c:pt>
                      <c:pt idx="2617">
                        <c:v>20.71</c:v>
                      </c:pt>
                      <c:pt idx="2618">
                        <c:v>20.71</c:v>
                      </c:pt>
                      <c:pt idx="2619">
                        <c:v>20.71</c:v>
                      </c:pt>
                      <c:pt idx="2620">
                        <c:v>20.805</c:v>
                      </c:pt>
                      <c:pt idx="2621">
                        <c:v>20.71</c:v>
                      </c:pt>
                      <c:pt idx="2622">
                        <c:v>20.71</c:v>
                      </c:pt>
                      <c:pt idx="2623">
                        <c:v>20.71</c:v>
                      </c:pt>
                      <c:pt idx="2624">
                        <c:v>20.71</c:v>
                      </c:pt>
                      <c:pt idx="2625">
                        <c:v>20.71</c:v>
                      </c:pt>
                      <c:pt idx="2626">
                        <c:v>20.805</c:v>
                      </c:pt>
                      <c:pt idx="2627">
                        <c:v>20.805</c:v>
                      </c:pt>
                      <c:pt idx="2628">
                        <c:v>20.71</c:v>
                      </c:pt>
                      <c:pt idx="2629">
                        <c:v>20.71</c:v>
                      </c:pt>
                      <c:pt idx="2630">
                        <c:v>20.71</c:v>
                      </c:pt>
                      <c:pt idx="2631">
                        <c:v>20.71</c:v>
                      </c:pt>
                      <c:pt idx="2632">
                        <c:v>20.71</c:v>
                      </c:pt>
                      <c:pt idx="2633">
                        <c:v>20.71</c:v>
                      </c:pt>
                      <c:pt idx="2634">
                        <c:v>20.71</c:v>
                      </c:pt>
                      <c:pt idx="2635">
                        <c:v>20.71</c:v>
                      </c:pt>
                      <c:pt idx="2636">
                        <c:v>20.805</c:v>
                      </c:pt>
                      <c:pt idx="2637">
                        <c:v>20.805</c:v>
                      </c:pt>
                      <c:pt idx="2638">
                        <c:v>20.71</c:v>
                      </c:pt>
                      <c:pt idx="2639">
                        <c:v>20.71</c:v>
                      </c:pt>
                      <c:pt idx="2640">
                        <c:v>20.71</c:v>
                      </c:pt>
                      <c:pt idx="2641">
                        <c:v>20.71</c:v>
                      </c:pt>
                      <c:pt idx="2642">
                        <c:v>20.71</c:v>
                      </c:pt>
                      <c:pt idx="2643">
                        <c:v>20.71</c:v>
                      </c:pt>
                      <c:pt idx="2644">
                        <c:v>20.71</c:v>
                      </c:pt>
                      <c:pt idx="2645">
                        <c:v>20.71</c:v>
                      </c:pt>
                      <c:pt idx="2646">
                        <c:v>20.71</c:v>
                      </c:pt>
                      <c:pt idx="2647">
                        <c:v>20.71</c:v>
                      </c:pt>
                      <c:pt idx="2648">
                        <c:v>20.71</c:v>
                      </c:pt>
                      <c:pt idx="2649">
                        <c:v>20.71</c:v>
                      </c:pt>
                      <c:pt idx="2650">
                        <c:v>20.71</c:v>
                      </c:pt>
                      <c:pt idx="2651">
                        <c:v>20.71</c:v>
                      </c:pt>
                      <c:pt idx="2652">
                        <c:v>20.71</c:v>
                      </c:pt>
                      <c:pt idx="2653">
                        <c:v>20.71</c:v>
                      </c:pt>
                      <c:pt idx="2654">
                        <c:v>20.71</c:v>
                      </c:pt>
                      <c:pt idx="2655">
                        <c:v>20.71</c:v>
                      </c:pt>
                      <c:pt idx="2656">
                        <c:v>20.71</c:v>
                      </c:pt>
                      <c:pt idx="2657">
                        <c:v>20.71</c:v>
                      </c:pt>
                      <c:pt idx="2658">
                        <c:v>20.71</c:v>
                      </c:pt>
                      <c:pt idx="2659">
                        <c:v>20.71</c:v>
                      </c:pt>
                      <c:pt idx="2660">
                        <c:v>20.71</c:v>
                      </c:pt>
                      <c:pt idx="2661">
                        <c:v>20.71</c:v>
                      </c:pt>
                      <c:pt idx="2662">
                        <c:v>20.71</c:v>
                      </c:pt>
                      <c:pt idx="2663">
                        <c:v>20.71</c:v>
                      </c:pt>
                      <c:pt idx="2664">
                        <c:v>20.71</c:v>
                      </c:pt>
                      <c:pt idx="2665">
                        <c:v>20.71</c:v>
                      </c:pt>
                      <c:pt idx="2666">
                        <c:v>20.71</c:v>
                      </c:pt>
                      <c:pt idx="2667">
                        <c:v>20.71</c:v>
                      </c:pt>
                      <c:pt idx="2668">
                        <c:v>20.71</c:v>
                      </c:pt>
                      <c:pt idx="2669">
                        <c:v>20.71</c:v>
                      </c:pt>
                      <c:pt idx="2670">
                        <c:v>20.71</c:v>
                      </c:pt>
                      <c:pt idx="2671">
                        <c:v>20.71</c:v>
                      </c:pt>
                      <c:pt idx="2672">
                        <c:v>20.71</c:v>
                      </c:pt>
                      <c:pt idx="2673">
                        <c:v>20.71</c:v>
                      </c:pt>
                      <c:pt idx="2674">
                        <c:v>20.71</c:v>
                      </c:pt>
                      <c:pt idx="2675">
                        <c:v>20.71</c:v>
                      </c:pt>
                      <c:pt idx="2676">
                        <c:v>20.71</c:v>
                      </c:pt>
                      <c:pt idx="2677">
                        <c:v>20.71</c:v>
                      </c:pt>
                      <c:pt idx="2678">
                        <c:v>20.71</c:v>
                      </c:pt>
                      <c:pt idx="2679">
                        <c:v>20.71</c:v>
                      </c:pt>
                      <c:pt idx="2680">
                        <c:v>20.71</c:v>
                      </c:pt>
                      <c:pt idx="2681">
                        <c:v>20.71</c:v>
                      </c:pt>
                      <c:pt idx="2682">
                        <c:v>20.71</c:v>
                      </c:pt>
                      <c:pt idx="2683">
                        <c:v>20.71</c:v>
                      </c:pt>
                      <c:pt idx="2684">
                        <c:v>20.71</c:v>
                      </c:pt>
                      <c:pt idx="2685">
                        <c:v>20.71</c:v>
                      </c:pt>
                      <c:pt idx="2686">
                        <c:v>20.71</c:v>
                      </c:pt>
                      <c:pt idx="2687">
                        <c:v>20.71</c:v>
                      </c:pt>
                      <c:pt idx="2688">
                        <c:v>20.71</c:v>
                      </c:pt>
                      <c:pt idx="2689">
                        <c:v>20.71</c:v>
                      </c:pt>
                      <c:pt idx="2690">
                        <c:v>20.71</c:v>
                      </c:pt>
                      <c:pt idx="2691">
                        <c:v>20.71</c:v>
                      </c:pt>
                      <c:pt idx="2692">
                        <c:v>20.71</c:v>
                      </c:pt>
                      <c:pt idx="2693">
                        <c:v>20.71</c:v>
                      </c:pt>
                      <c:pt idx="2694">
                        <c:v>20.71</c:v>
                      </c:pt>
                      <c:pt idx="2695">
                        <c:v>20.71</c:v>
                      </c:pt>
                      <c:pt idx="2696">
                        <c:v>20.71</c:v>
                      </c:pt>
                      <c:pt idx="2697">
                        <c:v>20.71</c:v>
                      </c:pt>
                      <c:pt idx="2698">
                        <c:v>20.71</c:v>
                      </c:pt>
                      <c:pt idx="2699">
                        <c:v>20.71</c:v>
                      </c:pt>
                      <c:pt idx="2700">
                        <c:v>20.71</c:v>
                      </c:pt>
                      <c:pt idx="2701">
                        <c:v>20.71</c:v>
                      </c:pt>
                      <c:pt idx="2702">
                        <c:v>20.71</c:v>
                      </c:pt>
                      <c:pt idx="2703">
                        <c:v>20.71</c:v>
                      </c:pt>
                      <c:pt idx="2704">
                        <c:v>20.71</c:v>
                      </c:pt>
                      <c:pt idx="2705">
                        <c:v>20.71</c:v>
                      </c:pt>
                      <c:pt idx="2706">
                        <c:v>20.71</c:v>
                      </c:pt>
                      <c:pt idx="2707">
                        <c:v>20.71</c:v>
                      </c:pt>
                      <c:pt idx="2708">
                        <c:v>20.71</c:v>
                      </c:pt>
                      <c:pt idx="2709">
                        <c:v>20.71</c:v>
                      </c:pt>
                      <c:pt idx="2710">
                        <c:v>20.71</c:v>
                      </c:pt>
                      <c:pt idx="2711">
                        <c:v>20.71</c:v>
                      </c:pt>
                      <c:pt idx="2712">
                        <c:v>20.71</c:v>
                      </c:pt>
                      <c:pt idx="2713">
                        <c:v>20.71</c:v>
                      </c:pt>
                      <c:pt idx="2714">
                        <c:v>20.71</c:v>
                      </c:pt>
                      <c:pt idx="2715">
                        <c:v>20.71</c:v>
                      </c:pt>
                      <c:pt idx="2716">
                        <c:v>20.71</c:v>
                      </c:pt>
                      <c:pt idx="2717">
                        <c:v>20.71</c:v>
                      </c:pt>
                      <c:pt idx="2718">
                        <c:v>20.71</c:v>
                      </c:pt>
                      <c:pt idx="2719">
                        <c:v>20.71</c:v>
                      </c:pt>
                      <c:pt idx="2720">
                        <c:v>20.71</c:v>
                      </c:pt>
                      <c:pt idx="2721">
                        <c:v>20.71</c:v>
                      </c:pt>
                      <c:pt idx="2722">
                        <c:v>20.71</c:v>
                      </c:pt>
                      <c:pt idx="2723">
                        <c:v>20.71</c:v>
                      </c:pt>
                      <c:pt idx="2724">
                        <c:v>20.71</c:v>
                      </c:pt>
                      <c:pt idx="2725">
                        <c:v>20.71</c:v>
                      </c:pt>
                      <c:pt idx="2726">
                        <c:v>20.71</c:v>
                      </c:pt>
                      <c:pt idx="2727">
                        <c:v>20.71</c:v>
                      </c:pt>
                      <c:pt idx="2728">
                        <c:v>20.71</c:v>
                      </c:pt>
                      <c:pt idx="2729">
                        <c:v>20.71</c:v>
                      </c:pt>
                      <c:pt idx="2730">
                        <c:v>20.71</c:v>
                      </c:pt>
                      <c:pt idx="2731">
                        <c:v>20.71</c:v>
                      </c:pt>
                      <c:pt idx="2732">
                        <c:v>20.71</c:v>
                      </c:pt>
                      <c:pt idx="2733">
                        <c:v>20.71</c:v>
                      </c:pt>
                      <c:pt idx="2734">
                        <c:v>20.71</c:v>
                      </c:pt>
                      <c:pt idx="2735">
                        <c:v>20.71</c:v>
                      </c:pt>
                      <c:pt idx="2736">
                        <c:v>20.71</c:v>
                      </c:pt>
                      <c:pt idx="2737">
                        <c:v>20.71</c:v>
                      </c:pt>
                      <c:pt idx="2738">
                        <c:v>20.71</c:v>
                      </c:pt>
                      <c:pt idx="2739">
                        <c:v>20.71</c:v>
                      </c:pt>
                      <c:pt idx="2740">
                        <c:v>20.71</c:v>
                      </c:pt>
                      <c:pt idx="2741">
                        <c:v>20.71</c:v>
                      </c:pt>
                      <c:pt idx="2742">
                        <c:v>20.71</c:v>
                      </c:pt>
                      <c:pt idx="2743">
                        <c:v>20.71</c:v>
                      </c:pt>
                      <c:pt idx="2744">
                        <c:v>20.71</c:v>
                      </c:pt>
                      <c:pt idx="2745">
                        <c:v>20.71</c:v>
                      </c:pt>
                      <c:pt idx="2746">
                        <c:v>20.71</c:v>
                      </c:pt>
                      <c:pt idx="2747">
                        <c:v>20.71</c:v>
                      </c:pt>
                      <c:pt idx="2748">
                        <c:v>20.71</c:v>
                      </c:pt>
                      <c:pt idx="2749">
                        <c:v>20.71</c:v>
                      </c:pt>
                      <c:pt idx="2750">
                        <c:v>20.71</c:v>
                      </c:pt>
                      <c:pt idx="2751">
                        <c:v>20.71</c:v>
                      </c:pt>
                      <c:pt idx="2752">
                        <c:v>20.71</c:v>
                      </c:pt>
                      <c:pt idx="2753">
                        <c:v>20.71</c:v>
                      </c:pt>
                      <c:pt idx="2754">
                        <c:v>20.71</c:v>
                      </c:pt>
                      <c:pt idx="2755">
                        <c:v>20.71</c:v>
                      </c:pt>
                      <c:pt idx="2756">
                        <c:v>20.71</c:v>
                      </c:pt>
                      <c:pt idx="2757">
                        <c:v>20.71</c:v>
                      </c:pt>
                      <c:pt idx="2758">
                        <c:v>20.71</c:v>
                      </c:pt>
                      <c:pt idx="2759">
                        <c:v>20.71</c:v>
                      </c:pt>
                      <c:pt idx="2760">
                        <c:v>20.71</c:v>
                      </c:pt>
                      <c:pt idx="2761">
                        <c:v>20.71</c:v>
                      </c:pt>
                      <c:pt idx="2762">
                        <c:v>20.71</c:v>
                      </c:pt>
                      <c:pt idx="2763">
                        <c:v>20.71</c:v>
                      </c:pt>
                      <c:pt idx="2764">
                        <c:v>20.71</c:v>
                      </c:pt>
                      <c:pt idx="2765">
                        <c:v>20.71</c:v>
                      </c:pt>
                      <c:pt idx="2766">
                        <c:v>20.71</c:v>
                      </c:pt>
                      <c:pt idx="2767">
                        <c:v>20.71</c:v>
                      </c:pt>
                      <c:pt idx="2768">
                        <c:v>20.71</c:v>
                      </c:pt>
                      <c:pt idx="2769">
                        <c:v>20.71</c:v>
                      </c:pt>
                      <c:pt idx="2770">
                        <c:v>20.71</c:v>
                      </c:pt>
                      <c:pt idx="2771">
                        <c:v>20.805</c:v>
                      </c:pt>
                      <c:pt idx="2772">
                        <c:v>20.71</c:v>
                      </c:pt>
                      <c:pt idx="2773">
                        <c:v>20.71</c:v>
                      </c:pt>
                      <c:pt idx="2774">
                        <c:v>20.71</c:v>
                      </c:pt>
                      <c:pt idx="2775">
                        <c:v>20.71</c:v>
                      </c:pt>
                      <c:pt idx="2776">
                        <c:v>20.805</c:v>
                      </c:pt>
                      <c:pt idx="2777">
                        <c:v>20.71</c:v>
                      </c:pt>
                      <c:pt idx="2778">
                        <c:v>20.71</c:v>
                      </c:pt>
                      <c:pt idx="2779">
                        <c:v>20.71</c:v>
                      </c:pt>
                      <c:pt idx="2780">
                        <c:v>20.71</c:v>
                      </c:pt>
                      <c:pt idx="2781">
                        <c:v>20.71</c:v>
                      </c:pt>
                      <c:pt idx="2782">
                        <c:v>20.71</c:v>
                      </c:pt>
                      <c:pt idx="2783">
                        <c:v>20.71</c:v>
                      </c:pt>
                      <c:pt idx="2784">
                        <c:v>20.71</c:v>
                      </c:pt>
                      <c:pt idx="2785">
                        <c:v>20.71</c:v>
                      </c:pt>
                      <c:pt idx="2786">
                        <c:v>20.71</c:v>
                      </c:pt>
                      <c:pt idx="2787">
                        <c:v>20.71</c:v>
                      </c:pt>
                      <c:pt idx="2788">
                        <c:v>20.71</c:v>
                      </c:pt>
                      <c:pt idx="2789">
                        <c:v>20.71</c:v>
                      </c:pt>
                      <c:pt idx="2790">
                        <c:v>20.71</c:v>
                      </c:pt>
                      <c:pt idx="2791">
                        <c:v>20.71</c:v>
                      </c:pt>
                      <c:pt idx="2792">
                        <c:v>20.71</c:v>
                      </c:pt>
                      <c:pt idx="2793">
                        <c:v>20.71</c:v>
                      </c:pt>
                      <c:pt idx="2794">
                        <c:v>20.71</c:v>
                      </c:pt>
                      <c:pt idx="2795">
                        <c:v>20.71</c:v>
                      </c:pt>
                      <c:pt idx="2796">
                        <c:v>20.71</c:v>
                      </c:pt>
                      <c:pt idx="2797">
                        <c:v>20.71</c:v>
                      </c:pt>
                      <c:pt idx="2798">
                        <c:v>20.71</c:v>
                      </c:pt>
                      <c:pt idx="2799">
                        <c:v>20.71</c:v>
                      </c:pt>
                      <c:pt idx="2800">
                        <c:v>20.71</c:v>
                      </c:pt>
                      <c:pt idx="2801">
                        <c:v>20.71</c:v>
                      </c:pt>
                      <c:pt idx="2802">
                        <c:v>20.71</c:v>
                      </c:pt>
                      <c:pt idx="2803">
                        <c:v>20.71</c:v>
                      </c:pt>
                      <c:pt idx="2804">
                        <c:v>20.71</c:v>
                      </c:pt>
                      <c:pt idx="2805">
                        <c:v>20.71</c:v>
                      </c:pt>
                      <c:pt idx="2806">
                        <c:v>20.71</c:v>
                      </c:pt>
                      <c:pt idx="2807">
                        <c:v>20.71</c:v>
                      </c:pt>
                      <c:pt idx="2808">
                        <c:v>20.71</c:v>
                      </c:pt>
                      <c:pt idx="2809">
                        <c:v>20.71</c:v>
                      </c:pt>
                      <c:pt idx="2810">
                        <c:v>20.71</c:v>
                      </c:pt>
                      <c:pt idx="2811">
                        <c:v>20.71</c:v>
                      </c:pt>
                      <c:pt idx="2812">
                        <c:v>20.71</c:v>
                      </c:pt>
                      <c:pt idx="2813">
                        <c:v>20.71</c:v>
                      </c:pt>
                      <c:pt idx="2814">
                        <c:v>20.71</c:v>
                      </c:pt>
                      <c:pt idx="2815">
                        <c:v>20.71</c:v>
                      </c:pt>
                      <c:pt idx="2816">
                        <c:v>20.71</c:v>
                      </c:pt>
                      <c:pt idx="2817">
                        <c:v>20.71</c:v>
                      </c:pt>
                      <c:pt idx="2818">
                        <c:v>20.71</c:v>
                      </c:pt>
                      <c:pt idx="2819">
                        <c:v>20.71</c:v>
                      </c:pt>
                      <c:pt idx="2820">
                        <c:v>20.71</c:v>
                      </c:pt>
                      <c:pt idx="2821">
                        <c:v>20.71</c:v>
                      </c:pt>
                      <c:pt idx="2822">
                        <c:v>20.71</c:v>
                      </c:pt>
                      <c:pt idx="2823">
                        <c:v>20.71</c:v>
                      </c:pt>
                      <c:pt idx="2824">
                        <c:v>20.71</c:v>
                      </c:pt>
                      <c:pt idx="2825">
                        <c:v>20.71</c:v>
                      </c:pt>
                      <c:pt idx="2826">
                        <c:v>20.71</c:v>
                      </c:pt>
                      <c:pt idx="2827">
                        <c:v>20.71</c:v>
                      </c:pt>
                      <c:pt idx="2828">
                        <c:v>20.71</c:v>
                      </c:pt>
                      <c:pt idx="2829">
                        <c:v>20.71</c:v>
                      </c:pt>
                      <c:pt idx="2830">
                        <c:v>20.71</c:v>
                      </c:pt>
                      <c:pt idx="2831">
                        <c:v>20.71</c:v>
                      </c:pt>
                      <c:pt idx="2832">
                        <c:v>20.71</c:v>
                      </c:pt>
                      <c:pt idx="2833">
                        <c:v>20.71</c:v>
                      </c:pt>
                      <c:pt idx="2834">
                        <c:v>20.71</c:v>
                      </c:pt>
                      <c:pt idx="2835">
                        <c:v>20.71</c:v>
                      </c:pt>
                      <c:pt idx="2836">
                        <c:v>20.71</c:v>
                      </c:pt>
                      <c:pt idx="2837">
                        <c:v>20.71</c:v>
                      </c:pt>
                      <c:pt idx="2838">
                        <c:v>20.71</c:v>
                      </c:pt>
                      <c:pt idx="2839">
                        <c:v>20.71</c:v>
                      </c:pt>
                      <c:pt idx="2840">
                        <c:v>20.71</c:v>
                      </c:pt>
                      <c:pt idx="2841">
                        <c:v>20.71</c:v>
                      </c:pt>
                      <c:pt idx="2842">
                        <c:v>20.71</c:v>
                      </c:pt>
                      <c:pt idx="2843">
                        <c:v>20.71</c:v>
                      </c:pt>
                      <c:pt idx="2844">
                        <c:v>20.71</c:v>
                      </c:pt>
                      <c:pt idx="2845">
                        <c:v>20.71</c:v>
                      </c:pt>
                      <c:pt idx="2846">
                        <c:v>20.71</c:v>
                      </c:pt>
                      <c:pt idx="2847">
                        <c:v>20.71</c:v>
                      </c:pt>
                      <c:pt idx="2848">
                        <c:v>20.71</c:v>
                      </c:pt>
                      <c:pt idx="2849">
                        <c:v>20.71</c:v>
                      </c:pt>
                      <c:pt idx="2850">
                        <c:v>20.71</c:v>
                      </c:pt>
                      <c:pt idx="2851">
                        <c:v>20.71</c:v>
                      </c:pt>
                      <c:pt idx="2852">
                        <c:v>20.71</c:v>
                      </c:pt>
                      <c:pt idx="2853">
                        <c:v>20.71</c:v>
                      </c:pt>
                      <c:pt idx="2854">
                        <c:v>20.71</c:v>
                      </c:pt>
                      <c:pt idx="2855">
                        <c:v>20.71</c:v>
                      </c:pt>
                      <c:pt idx="2856">
                        <c:v>20.71</c:v>
                      </c:pt>
                      <c:pt idx="2857">
                        <c:v>20.71</c:v>
                      </c:pt>
                      <c:pt idx="2858">
                        <c:v>20.71</c:v>
                      </c:pt>
                      <c:pt idx="2859">
                        <c:v>20.71</c:v>
                      </c:pt>
                      <c:pt idx="2860">
                        <c:v>20.71</c:v>
                      </c:pt>
                      <c:pt idx="2861">
                        <c:v>20.71</c:v>
                      </c:pt>
                      <c:pt idx="2862">
                        <c:v>20.71</c:v>
                      </c:pt>
                      <c:pt idx="2863">
                        <c:v>20.71</c:v>
                      </c:pt>
                      <c:pt idx="2864">
                        <c:v>20.71</c:v>
                      </c:pt>
                      <c:pt idx="2865">
                        <c:v>20.71</c:v>
                      </c:pt>
                      <c:pt idx="2866">
                        <c:v>20.71</c:v>
                      </c:pt>
                      <c:pt idx="2867">
                        <c:v>20.71</c:v>
                      </c:pt>
                      <c:pt idx="2868">
                        <c:v>20.71</c:v>
                      </c:pt>
                      <c:pt idx="2869">
                        <c:v>20.71</c:v>
                      </c:pt>
                      <c:pt idx="2870">
                        <c:v>20.71</c:v>
                      </c:pt>
                      <c:pt idx="2871">
                        <c:v>20.805</c:v>
                      </c:pt>
                      <c:pt idx="2872">
                        <c:v>20.71</c:v>
                      </c:pt>
                      <c:pt idx="2873">
                        <c:v>20.71</c:v>
                      </c:pt>
                      <c:pt idx="2874">
                        <c:v>20.71</c:v>
                      </c:pt>
                      <c:pt idx="2875">
                        <c:v>20.71</c:v>
                      </c:pt>
                      <c:pt idx="2876">
                        <c:v>20.805</c:v>
                      </c:pt>
                      <c:pt idx="2877">
                        <c:v>20.71</c:v>
                      </c:pt>
                      <c:pt idx="2878">
                        <c:v>20.71</c:v>
                      </c:pt>
                      <c:pt idx="2879">
                        <c:v>20.805</c:v>
                      </c:pt>
                      <c:pt idx="2880">
                        <c:v>20.71</c:v>
                      </c:pt>
                      <c:pt idx="2881">
                        <c:v>20.805</c:v>
                      </c:pt>
                      <c:pt idx="2882">
                        <c:v>20.805</c:v>
                      </c:pt>
                      <c:pt idx="2883">
                        <c:v>20.71</c:v>
                      </c:pt>
                      <c:pt idx="2884">
                        <c:v>20.71</c:v>
                      </c:pt>
                      <c:pt idx="2885">
                        <c:v>20.71</c:v>
                      </c:pt>
                      <c:pt idx="2886">
                        <c:v>20.71</c:v>
                      </c:pt>
                      <c:pt idx="2887">
                        <c:v>20.805</c:v>
                      </c:pt>
                      <c:pt idx="2888">
                        <c:v>20.71</c:v>
                      </c:pt>
                      <c:pt idx="2889">
                        <c:v>20.71</c:v>
                      </c:pt>
                      <c:pt idx="2890">
                        <c:v>20.805</c:v>
                      </c:pt>
                      <c:pt idx="2891">
                        <c:v>20.805</c:v>
                      </c:pt>
                      <c:pt idx="2892">
                        <c:v>20.805</c:v>
                      </c:pt>
                      <c:pt idx="2893">
                        <c:v>20.71</c:v>
                      </c:pt>
                      <c:pt idx="2894">
                        <c:v>20.805</c:v>
                      </c:pt>
                      <c:pt idx="2895">
                        <c:v>20.805</c:v>
                      </c:pt>
                      <c:pt idx="2896">
                        <c:v>20.805</c:v>
                      </c:pt>
                      <c:pt idx="2897">
                        <c:v>20.805</c:v>
                      </c:pt>
                      <c:pt idx="2898">
                        <c:v>20.805</c:v>
                      </c:pt>
                      <c:pt idx="2899">
                        <c:v>20.805</c:v>
                      </c:pt>
                      <c:pt idx="2900">
                        <c:v>20.71</c:v>
                      </c:pt>
                      <c:pt idx="2901">
                        <c:v>20.805</c:v>
                      </c:pt>
                      <c:pt idx="2902">
                        <c:v>20.805</c:v>
                      </c:pt>
                      <c:pt idx="2903">
                        <c:v>20.805</c:v>
                      </c:pt>
                      <c:pt idx="2904">
                        <c:v>20.805</c:v>
                      </c:pt>
                      <c:pt idx="2905">
                        <c:v>20.805</c:v>
                      </c:pt>
                      <c:pt idx="2906">
                        <c:v>20.805</c:v>
                      </c:pt>
                      <c:pt idx="2907">
                        <c:v>20.805</c:v>
                      </c:pt>
                      <c:pt idx="2908">
                        <c:v>20.805</c:v>
                      </c:pt>
                      <c:pt idx="2909">
                        <c:v>20.805</c:v>
                      </c:pt>
                      <c:pt idx="2910">
                        <c:v>20.805</c:v>
                      </c:pt>
                      <c:pt idx="2911">
                        <c:v>20.805</c:v>
                      </c:pt>
                      <c:pt idx="2912">
                        <c:v>20.805</c:v>
                      </c:pt>
                      <c:pt idx="2913">
                        <c:v>20.805</c:v>
                      </c:pt>
                      <c:pt idx="2914">
                        <c:v>20.805</c:v>
                      </c:pt>
                      <c:pt idx="2915">
                        <c:v>20.805</c:v>
                      </c:pt>
                      <c:pt idx="2916">
                        <c:v>20.805</c:v>
                      </c:pt>
                      <c:pt idx="2917">
                        <c:v>20.805</c:v>
                      </c:pt>
                      <c:pt idx="2918">
                        <c:v>20.805</c:v>
                      </c:pt>
                      <c:pt idx="2919">
                        <c:v>20.805</c:v>
                      </c:pt>
                      <c:pt idx="2920">
                        <c:v>20.805</c:v>
                      </c:pt>
                      <c:pt idx="2921">
                        <c:v>20.805</c:v>
                      </c:pt>
                      <c:pt idx="2922">
                        <c:v>20.805</c:v>
                      </c:pt>
                      <c:pt idx="2923">
                        <c:v>20.805</c:v>
                      </c:pt>
                      <c:pt idx="2924">
                        <c:v>20.805</c:v>
                      </c:pt>
                      <c:pt idx="2925">
                        <c:v>20.805</c:v>
                      </c:pt>
                      <c:pt idx="2926">
                        <c:v>20.805</c:v>
                      </c:pt>
                      <c:pt idx="2927">
                        <c:v>20.805</c:v>
                      </c:pt>
                      <c:pt idx="2928">
                        <c:v>20.805</c:v>
                      </c:pt>
                      <c:pt idx="2929">
                        <c:v>20.805</c:v>
                      </c:pt>
                      <c:pt idx="2930">
                        <c:v>20.805</c:v>
                      </c:pt>
                      <c:pt idx="2931">
                        <c:v>20.805</c:v>
                      </c:pt>
                      <c:pt idx="2932">
                        <c:v>20.805</c:v>
                      </c:pt>
                      <c:pt idx="2933">
                        <c:v>20.805</c:v>
                      </c:pt>
                      <c:pt idx="2934">
                        <c:v>20.805</c:v>
                      </c:pt>
                      <c:pt idx="2935">
                        <c:v>20.805</c:v>
                      </c:pt>
                      <c:pt idx="2936">
                        <c:v>20.805</c:v>
                      </c:pt>
                      <c:pt idx="2937">
                        <c:v>20.805</c:v>
                      </c:pt>
                      <c:pt idx="2938">
                        <c:v>20.805</c:v>
                      </c:pt>
                      <c:pt idx="2939">
                        <c:v>20.805</c:v>
                      </c:pt>
                      <c:pt idx="2940">
                        <c:v>20.805</c:v>
                      </c:pt>
                      <c:pt idx="2941">
                        <c:v>20.805</c:v>
                      </c:pt>
                      <c:pt idx="2942">
                        <c:v>20.805</c:v>
                      </c:pt>
                      <c:pt idx="2943">
                        <c:v>20.805</c:v>
                      </c:pt>
                      <c:pt idx="2944">
                        <c:v>20.71</c:v>
                      </c:pt>
                      <c:pt idx="2945">
                        <c:v>20.805</c:v>
                      </c:pt>
                      <c:pt idx="2946">
                        <c:v>20.805</c:v>
                      </c:pt>
                      <c:pt idx="2947">
                        <c:v>20.71</c:v>
                      </c:pt>
                      <c:pt idx="2948">
                        <c:v>20.805</c:v>
                      </c:pt>
                      <c:pt idx="2949">
                        <c:v>20.805</c:v>
                      </c:pt>
                      <c:pt idx="2950">
                        <c:v>20.805</c:v>
                      </c:pt>
                      <c:pt idx="2951">
                        <c:v>20.805</c:v>
                      </c:pt>
                      <c:pt idx="2952">
                        <c:v>20.805</c:v>
                      </c:pt>
                      <c:pt idx="2953">
                        <c:v>20.71</c:v>
                      </c:pt>
                      <c:pt idx="2954">
                        <c:v>20.71</c:v>
                      </c:pt>
                      <c:pt idx="2955">
                        <c:v>20.71</c:v>
                      </c:pt>
                      <c:pt idx="2956">
                        <c:v>20.71</c:v>
                      </c:pt>
                      <c:pt idx="2957">
                        <c:v>20.71</c:v>
                      </c:pt>
                      <c:pt idx="2958">
                        <c:v>20.71</c:v>
                      </c:pt>
                      <c:pt idx="2959">
                        <c:v>20.71</c:v>
                      </c:pt>
                      <c:pt idx="2960">
                        <c:v>20.71</c:v>
                      </c:pt>
                      <c:pt idx="2961">
                        <c:v>20.71</c:v>
                      </c:pt>
                      <c:pt idx="2962">
                        <c:v>20.71</c:v>
                      </c:pt>
                      <c:pt idx="2963">
                        <c:v>20.71</c:v>
                      </c:pt>
                      <c:pt idx="2964">
                        <c:v>20.71</c:v>
                      </c:pt>
                      <c:pt idx="2965">
                        <c:v>20.71</c:v>
                      </c:pt>
                      <c:pt idx="2966">
                        <c:v>20.71</c:v>
                      </c:pt>
                      <c:pt idx="2967">
                        <c:v>20.71</c:v>
                      </c:pt>
                      <c:pt idx="2968">
                        <c:v>20.71</c:v>
                      </c:pt>
                      <c:pt idx="2969">
                        <c:v>20.71</c:v>
                      </c:pt>
                      <c:pt idx="2970">
                        <c:v>20.71</c:v>
                      </c:pt>
                      <c:pt idx="2971">
                        <c:v>20.71</c:v>
                      </c:pt>
                      <c:pt idx="2972">
                        <c:v>20.71</c:v>
                      </c:pt>
                      <c:pt idx="2973">
                        <c:v>20.71</c:v>
                      </c:pt>
                      <c:pt idx="2974">
                        <c:v>20.71</c:v>
                      </c:pt>
                      <c:pt idx="2975">
                        <c:v>20.71</c:v>
                      </c:pt>
                      <c:pt idx="2976">
                        <c:v>20.71</c:v>
                      </c:pt>
                      <c:pt idx="2977">
                        <c:v>20.71</c:v>
                      </c:pt>
                      <c:pt idx="2978">
                        <c:v>20.71</c:v>
                      </c:pt>
                      <c:pt idx="2979">
                        <c:v>20.71</c:v>
                      </c:pt>
                      <c:pt idx="2980">
                        <c:v>20.71</c:v>
                      </c:pt>
                      <c:pt idx="2981">
                        <c:v>20.71</c:v>
                      </c:pt>
                      <c:pt idx="2982">
                        <c:v>20.71</c:v>
                      </c:pt>
                      <c:pt idx="2983">
                        <c:v>20.71</c:v>
                      </c:pt>
                      <c:pt idx="2984">
                        <c:v>20.71</c:v>
                      </c:pt>
                      <c:pt idx="2985">
                        <c:v>20.71</c:v>
                      </c:pt>
                      <c:pt idx="2986">
                        <c:v>20.71</c:v>
                      </c:pt>
                      <c:pt idx="2987">
                        <c:v>20.71</c:v>
                      </c:pt>
                      <c:pt idx="2988">
                        <c:v>20.71</c:v>
                      </c:pt>
                      <c:pt idx="2989">
                        <c:v>20.71</c:v>
                      </c:pt>
                      <c:pt idx="2990">
                        <c:v>20.71</c:v>
                      </c:pt>
                      <c:pt idx="2991">
                        <c:v>20.71</c:v>
                      </c:pt>
                      <c:pt idx="2992">
                        <c:v>20.71</c:v>
                      </c:pt>
                      <c:pt idx="2993">
                        <c:v>20.71</c:v>
                      </c:pt>
                      <c:pt idx="2994">
                        <c:v>20.71</c:v>
                      </c:pt>
                      <c:pt idx="2995">
                        <c:v>20.71</c:v>
                      </c:pt>
                      <c:pt idx="2996">
                        <c:v>20.71</c:v>
                      </c:pt>
                      <c:pt idx="2997">
                        <c:v>20.71</c:v>
                      </c:pt>
                      <c:pt idx="2998">
                        <c:v>20.71</c:v>
                      </c:pt>
                      <c:pt idx="2999">
                        <c:v>20.71</c:v>
                      </c:pt>
                      <c:pt idx="3000">
                        <c:v>20.71</c:v>
                      </c:pt>
                      <c:pt idx="3001">
                        <c:v>20.71</c:v>
                      </c:pt>
                      <c:pt idx="3002">
                        <c:v>20.71</c:v>
                      </c:pt>
                      <c:pt idx="3003">
                        <c:v>20.71</c:v>
                      </c:pt>
                      <c:pt idx="3004">
                        <c:v>20.71</c:v>
                      </c:pt>
                      <c:pt idx="3005">
                        <c:v>20.71</c:v>
                      </c:pt>
                      <c:pt idx="3006">
                        <c:v>20.71</c:v>
                      </c:pt>
                      <c:pt idx="3007">
                        <c:v>20.71</c:v>
                      </c:pt>
                      <c:pt idx="3008">
                        <c:v>20.71</c:v>
                      </c:pt>
                      <c:pt idx="3009">
                        <c:v>20.71</c:v>
                      </c:pt>
                      <c:pt idx="3010">
                        <c:v>20.71</c:v>
                      </c:pt>
                      <c:pt idx="3011">
                        <c:v>20.71</c:v>
                      </c:pt>
                      <c:pt idx="3012">
                        <c:v>20.71</c:v>
                      </c:pt>
                      <c:pt idx="3013">
                        <c:v>20.71</c:v>
                      </c:pt>
                      <c:pt idx="3014">
                        <c:v>20.71</c:v>
                      </c:pt>
                      <c:pt idx="3015">
                        <c:v>20.71</c:v>
                      </c:pt>
                      <c:pt idx="3016">
                        <c:v>20.71</c:v>
                      </c:pt>
                      <c:pt idx="3017">
                        <c:v>20.71</c:v>
                      </c:pt>
                      <c:pt idx="3018">
                        <c:v>20.71</c:v>
                      </c:pt>
                      <c:pt idx="3019">
                        <c:v>20.71</c:v>
                      </c:pt>
                      <c:pt idx="3020">
                        <c:v>20.805</c:v>
                      </c:pt>
                      <c:pt idx="3021">
                        <c:v>20.71</c:v>
                      </c:pt>
                      <c:pt idx="3022">
                        <c:v>20.71</c:v>
                      </c:pt>
                      <c:pt idx="3023">
                        <c:v>20.71</c:v>
                      </c:pt>
                      <c:pt idx="3024">
                        <c:v>20.71</c:v>
                      </c:pt>
                      <c:pt idx="3025">
                        <c:v>20.805</c:v>
                      </c:pt>
                      <c:pt idx="3026">
                        <c:v>20.71</c:v>
                      </c:pt>
                      <c:pt idx="3027">
                        <c:v>20.71</c:v>
                      </c:pt>
                      <c:pt idx="3028">
                        <c:v>20.805</c:v>
                      </c:pt>
                      <c:pt idx="3029">
                        <c:v>20.805</c:v>
                      </c:pt>
                      <c:pt idx="3030">
                        <c:v>20.71</c:v>
                      </c:pt>
                      <c:pt idx="3031">
                        <c:v>20.71</c:v>
                      </c:pt>
                      <c:pt idx="3032">
                        <c:v>20.71</c:v>
                      </c:pt>
                      <c:pt idx="3033">
                        <c:v>20.805</c:v>
                      </c:pt>
                      <c:pt idx="3034">
                        <c:v>20.71</c:v>
                      </c:pt>
                      <c:pt idx="3035">
                        <c:v>20.805</c:v>
                      </c:pt>
                      <c:pt idx="3036">
                        <c:v>20.805</c:v>
                      </c:pt>
                      <c:pt idx="3037">
                        <c:v>20.71</c:v>
                      </c:pt>
                      <c:pt idx="3038">
                        <c:v>20.71</c:v>
                      </c:pt>
                      <c:pt idx="3039">
                        <c:v>20.805</c:v>
                      </c:pt>
                      <c:pt idx="3040">
                        <c:v>20.805</c:v>
                      </c:pt>
                      <c:pt idx="3041">
                        <c:v>20.805</c:v>
                      </c:pt>
                      <c:pt idx="3042">
                        <c:v>20.805</c:v>
                      </c:pt>
                      <c:pt idx="3043">
                        <c:v>20.805</c:v>
                      </c:pt>
                      <c:pt idx="3044">
                        <c:v>20.805</c:v>
                      </c:pt>
                      <c:pt idx="3045">
                        <c:v>20.805</c:v>
                      </c:pt>
                      <c:pt idx="3046">
                        <c:v>20.805</c:v>
                      </c:pt>
                      <c:pt idx="3047">
                        <c:v>20.805</c:v>
                      </c:pt>
                      <c:pt idx="3048">
                        <c:v>20.805</c:v>
                      </c:pt>
                      <c:pt idx="3049">
                        <c:v>20.805</c:v>
                      </c:pt>
                      <c:pt idx="3050">
                        <c:v>20.71</c:v>
                      </c:pt>
                      <c:pt idx="3051">
                        <c:v>20.805</c:v>
                      </c:pt>
                      <c:pt idx="3052">
                        <c:v>20.805</c:v>
                      </c:pt>
                      <c:pt idx="3053">
                        <c:v>20.71</c:v>
                      </c:pt>
                      <c:pt idx="3054">
                        <c:v>20.71</c:v>
                      </c:pt>
                      <c:pt idx="3055">
                        <c:v>20.805</c:v>
                      </c:pt>
                      <c:pt idx="3056">
                        <c:v>20.805</c:v>
                      </c:pt>
                      <c:pt idx="3057">
                        <c:v>20.805</c:v>
                      </c:pt>
                      <c:pt idx="3058">
                        <c:v>20.805</c:v>
                      </c:pt>
                      <c:pt idx="3059">
                        <c:v>20.805</c:v>
                      </c:pt>
                      <c:pt idx="3060">
                        <c:v>20.805</c:v>
                      </c:pt>
                      <c:pt idx="3061">
                        <c:v>20.805</c:v>
                      </c:pt>
                      <c:pt idx="3062">
                        <c:v>20.805</c:v>
                      </c:pt>
                      <c:pt idx="3063">
                        <c:v>20.805</c:v>
                      </c:pt>
                      <c:pt idx="3064">
                        <c:v>20.805</c:v>
                      </c:pt>
                      <c:pt idx="3065">
                        <c:v>20.805</c:v>
                      </c:pt>
                      <c:pt idx="3066">
                        <c:v>20.805</c:v>
                      </c:pt>
                      <c:pt idx="3067">
                        <c:v>20.805</c:v>
                      </c:pt>
                      <c:pt idx="3068">
                        <c:v>20.805</c:v>
                      </c:pt>
                      <c:pt idx="3069">
                        <c:v>20.805</c:v>
                      </c:pt>
                      <c:pt idx="3070">
                        <c:v>20.805</c:v>
                      </c:pt>
                      <c:pt idx="3071">
                        <c:v>20.805</c:v>
                      </c:pt>
                      <c:pt idx="3072">
                        <c:v>20.805</c:v>
                      </c:pt>
                      <c:pt idx="3073">
                        <c:v>20.805</c:v>
                      </c:pt>
                      <c:pt idx="3074">
                        <c:v>20.805</c:v>
                      </c:pt>
                      <c:pt idx="3075">
                        <c:v>20.71</c:v>
                      </c:pt>
                      <c:pt idx="3076">
                        <c:v>20.805</c:v>
                      </c:pt>
                      <c:pt idx="3077">
                        <c:v>20.805</c:v>
                      </c:pt>
                      <c:pt idx="3078">
                        <c:v>20.805</c:v>
                      </c:pt>
                      <c:pt idx="3079">
                        <c:v>20.805</c:v>
                      </c:pt>
                      <c:pt idx="3080">
                        <c:v>20.805</c:v>
                      </c:pt>
                      <c:pt idx="3081">
                        <c:v>20.805</c:v>
                      </c:pt>
                      <c:pt idx="3082">
                        <c:v>20.805</c:v>
                      </c:pt>
                      <c:pt idx="3083">
                        <c:v>20.805</c:v>
                      </c:pt>
                      <c:pt idx="3084">
                        <c:v>20.805</c:v>
                      </c:pt>
                      <c:pt idx="3085">
                        <c:v>20.71</c:v>
                      </c:pt>
                      <c:pt idx="3086">
                        <c:v>20.805</c:v>
                      </c:pt>
                      <c:pt idx="3087">
                        <c:v>20.71</c:v>
                      </c:pt>
                      <c:pt idx="3088">
                        <c:v>20.805</c:v>
                      </c:pt>
                      <c:pt idx="3089">
                        <c:v>20.805</c:v>
                      </c:pt>
                      <c:pt idx="3090">
                        <c:v>20.805</c:v>
                      </c:pt>
                      <c:pt idx="3091">
                        <c:v>20.805</c:v>
                      </c:pt>
                      <c:pt idx="3092">
                        <c:v>20.805</c:v>
                      </c:pt>
                      <c:pt idx="3093">
                        <c:v>20.805</c:v>
                      </c:pt>
                      <c:pt idx="3094">
                        <c:v>20.805</c:v>
                      </c:pt>
                      <c:pt idx="3095">
                        <c:v>20.805</c:v>
                      </c:pt>
                      <c:pt idx="3096">
                        <c:v>20.805</c:v>
                      </c:pt>
                      <c:pt idx="3097">
                        <c:v>20.805</c:v>
                      </c:pt>
                      <c:pt idx="3098">
                        <c:v>20.71</c:v>
                      </c:pt>
                      <c:pt idx="3099">
                        <c:v>20.805</c:v>
                      </c:pt>
                      <c:pt idx="3100">
                        <c:v>20.805</c:v>
                      </c:pt>
                      <c:pt idx="3101">
                        <c:v>20.805</c:v>
                      </c:pt>
                      <c:pt idx="3102">
                        <c:v>20.805</c:v>
                      </c:pt>
                      <c:pt idx="3103">
                        <c:v>20.805</c:v>
                      </c:pt>
                      <c:pt idx="3104">
                        <c:v>20.805</c:v>
                      </c:pt>
                      <c:pt idx="3105">
                        <c:v>20.805</c:v>
                      </c:pt>
                      <c:pt idx="3106">
                        <c:v>20.805</c:v>
                      </c:pt>
                      <c:pt idx="3107">
                        <c:v>20.805</c:v>
                      </c:pt>
                      <c:pt idx="3108">
                        <c:v>20.805</c:v>
                      </c:pt>
                      <c:pt idx="3109">
                        <c:v>20.805</c:v>
                      </c:pt>
                      <c:pt idx="3110">
                        <c:v>20.805</c:v>
                      </c:pt>
                      <c:pt idx="3111">
                        <c:v>20.805</c:v>
                      </c:pt>
                      <c:pt idx="3112">
                        <c:v>20.805</c:v>
                      </c:pt>
                      <c:pt idx="3113">
                        <c:v>20.71</c:v>
                      </c:pt>
                      <c:pt idx="3114">
                        <c:v>20.805</c:v>
                      </c:pt>
                      <c:pt idx="3115">
                        <c:v>20.805</c:v>
                      </c:pt>
                      <c:pt idx="3116">
                        <c:v>20.71</c:v>
                      </c:pt>
                      <c:pt idx="3117">
                        <c:v>20.805</c:v>
                      </c:pt>
                      <c:pt idx="3118">
                        <c:v>20.805</c:v>
                      </c:pt>
                      <c:pt idx="3119">
                        <c:v>20.805</c:v>
                      </c:pt>
                      <c:pt idx="3120">
                        <c:v>20.805</c:v>
                      </c:pt>
                      <c:pt idx="3121">
                        <c:v>20.805</c:v>
                      </c:pt>
                      <c:pt idx="3122">
                        <c:v>20.805</c:v>
                      </c:pt>
                      <c:pt idx="3123">
                        <c:v>20.805</c:v>
                      </c:pt>
                      <c:pt idx="3124">
                        <c:v>20.805</c:v>
                      </c:pt>
                      <c:pt idx="3125">
                        <c:v>20.805</c:v>
                      </c:pt>
                      <c:pt idx="3126">
                        <c:v>20.805</c:v>
                      </c:pt>
                      <c:pt idx="3127">
                        <c:v>20.805</c:v>
                      </c:pt>
                      <c:pt idx="3128">
                        <c:v>20.805</c:v>
                      </c:pt>
                      <c:pt idx="3129">
                        <c:v>20.805</c:v>
                      </c:pt>
                      <c:pt idx="3130">
                        <c:v>20.805</c:v>
                      </c:pt>
                      <c:pt idx="3131">
                        <c:v>20.805</c:v>
                      </c:pt>
                      <c:pt idx="3132">
                        <c:v>20.805</c:v>
                      </c:pt>
                      <c:pt idx="3133">
                        <c:v>20.805</c:v>
                      </c:pt>
                      <c:pt idx="3134">
                        <c:v>20.805</c:v>
                      </c:pt>
                      <c:pt idx="3135">
                        <c:v>20.805</c:v>
                      </c:pt>
                      <c:pt idx="3136">
                        <c:v>20.805</c:v>
                      </c:pt>
                      <c:pt idx="3137">
                        <c:v>20.805</c:v>
                      </c:pt>
                      <c:pt idx="3138">
                        <c:v>20.805</c:v>
                      </c:pt>
                      <c:pt idx="3139">
                        <c:v>20.805</c:v>
                      </c:pt>
                      <c:pt idx="3140">
                        <c:v>20.805</c:v>
                      </c:pt>
                      <c:pt idx="3141">
                        <c:v>20.805</c:v>
                      </c:pt>
                      <c:pt idx="3142">
                        <c:v>20.805</c:v>
                      </c:pt>
                      <c:pt idx="3143">
                        <c:v>20.805</c:v>
                      </c:pt>
                      <c:pt idx="3144">
                        <c:v>20.805</c:v>
                      </c:pt>
                      <c:pt idx="3145">
                        <c:v>20.805</c:v>
                      </c:pt>
                      <c:pt idx="3146">
                        <c:v>20.805</c:v>
                      </c:pt>
                      <c:pt idx="3147">
                        <c:v>20.805</c:v>
                      </c:pt>
                      <c:pt idx="3148">
                        <c:v>20.805</c:v>
                      </c:pt>
                      <c:pt idx="3149">
                        <c:v>20.805</c:v>
                      </c:pt>
                      <c:pt idx="3150">
                        <c:v>20.805</c:v>
                      </c:pt>
                      <c:pt idx="3151">
                        <c:v>20.805</c:v>
                      </c:pt>
                      <c:pt idx="3152">
                        <c:v>20.805</c:v>
                      </c:pt>
                      <c:pt idx="3153">
                        <c:v>20.805</c:v>
                      </c:pt>
                      <c:pt idx="3154">
                        <c:v>20.805</c:v>
                      </c:pt>
                      <c:pt idx="3155">
                        <c:v>20.805</c:v>
                      </c:pt>
                      <c:pt idx="3156">
                        <c:v>20.805</c:v>
                      </c:pt>
                      <c:pt idx="3157">
                        <c:v>20.805</c:v>
                      </c:pt>
                      <c:pt idx="3158">
                        <c:v>20.805</c:v>
                      </c:pt>
                      <c:pt idx="3159">
                        <c:v>20.805</c:v>
                      </c:pt>
                      <c:pt idx="3160">
                        <c:v>20.805</c:v>
                      </c:pt>
                      <c:pt idx="3161">
                        <c:v>20.805</c:v>
                      </c:pt>
                      <c:pt idx="3162">
                        <c:v>20.805</c:v>
                      </c:pt>
                      <c:pt idx="3163">
                        <c:v>20.805</c:v>
                      </c:pt>
                      <c:pt idx="3164">
                        <c:v>20.805</c:v>
                      </c:pt>
                      <c:pt idx="3165">
                        <c:v>20.805</c:v>
                      </c:pt>
                      <c:pt idx="3166">
                        <c:v>20.805</c:v>
                      </c:pt>
                      <c:pt idx="3167">
                        <c:v>20.805</c:v>
                      </c:pt>
                      <c:pt idx="3168">
                        <c:v>20.805</c:v>
                      </c:pt>
                      <c:pt idx="3169">
                        <c:v>20.805</c:v>
                      </c:pt>
                      <c:pt idx="3170">
                        <c:v>20.805</c:v>
                      </c:pt>
                      <c:pt idx="3171">
                        <c:v>20.805</c:v>
                      </c:pt>
                      <c:pt idx="3172">
                        <c:v>20.805</c:v>
                      </c:pt>
                      <c:pt idx="3173">
                        <c:v>20.805</c:v>
                      </c:pt>
                      <c:pt idx="3174">
                        <c:v>20.805</c:v>
                      </c:pt>
                      <c:pt idx="3175">
                        <c:v>20.805</c:v>
                      </c:pt>
                      <c:pt idx="3176">
                        <c:v>20.805</c:v>
                      </c:pt>
                      <c:pt idx="3177">
                        <c:v>20.805</c:v>
                      </c:pt>
                      <c:pt idx="3178">
                        <c:v>20.805</c:v>
                      </c:pt>
                      <c:pt idx="3179">
                        <c:v>20.805</c:v>
                      </c:pt>
                      <c:pt idx="3180">
                        <c:v>20.805</c:v>
                      </c:pt>
                      <c:pt idx="3181">
                        <c:v>20.805</c:v>
                      </c:pt>
                      <c:pt idx="3182">
                        <c:v>20.805</c:v>
                      </c:pt>
                      <c:pt idx="3183">
                        <c:v>20.805</c:v>
                      </c:pt>
                      <c:pt idx="3184">
                        <c:v>20.805</c:v>
                      </c:pt>
                      <c:pt idx="3185">
                        <c:v>20.805</c:v>
                      </c:pt>
                      <c:pt idx="3186">
                        <c:v>20.805</c:v>
                      </c:pt>
                      <c:pt idx="3187">
                        <c:v>20.805</c:v>
                      </c:pt>
                      <c:pt idx="3188">
                        <c:v>20.805</c:v>
                      </c:pt>
                      <c:pt idx="3189">
                        <c:v>20.805</c:v>
                      </c:pt>
                      <c:pt idx="3190">
                        <c:v>20.805</c:v>
                      </c:pt>
                      <c:pt idx="3191">
                        <c:v>20.805</c:v>
                      </c:pt>
                      <c:pt idx="3192">
                        <c:v>20.805</c:v>
                      </c:pt>
                      <c:pt idx="3193">
                        <c:v>20.805</c:v>
                      </c:pt>
                      <c:pt idx="3194">
                        <c:v>20.805</c:v>
                      </c:pt>
                      <c:pt idx="3195">
                        <c:v>20.805</c:v>
                      </c:pt>
                      <c:pt idx="3196">
                        <c:v>20.805</c:v>
                      </c:pt>
                      <c:pt idx="3197">
                        <c:v>20.805</c:v>
                      </c:pt>
                      <c:pt idx="3198">
                        <c:v>20.805</c:v>
                      </c:pt>
                      <c:pt idx="3199">
                        <c:v>20.805</c:v>
                      </c:pt>
                      <c:pt idx="3200">
                        <c:v>20.805</c:v>
                      </c:pt>
                      <c:pt idx="3201">
                        <c:v>20.805</c:v>
                      </c:pt>
                      <c:pt idx="3202">
                        <c:v>20.805</c:v>
                      </c:pt>
                      <c:pt idx="3203">
                        <c:v>20.805</c:v>
                      </c:pt>
                      <c:pt idx="3204">
                        <c:v>20.805</c:v>
                      </c:pt>
                      <c:pt idx="3205">
                        <c:v>20.805</c:v>
                      </c:pt>
                      <c:pt idx="3206">
                        <c:v>20.805</c:v>
                      </c:pt>
                      <c:pt idx="3207">
                        <c:v>20.805</c:v>
                      </c:pt>
                      <c:pt idx="3208">
                        <c:v>20.805</c:v>
                      </c:pt>
                      <c:pt idx="3209">
                        <c:v>20.805</c:v>
                      </c:pt>
                      <c:pt idx="3210">
                        <c:v>20.805</c:v>
                      </c:pt>
                      <c:pt idx="3211">
                        <c:v>20.805</c:v>
                      </c:pt>
                      <c:pt idx="3212">
                        <c:v>20.805</c:v>
                      </c:pt>
                      <c:pt idx="3213">
                        <c:v>20.805</c:v>
                      </c:pt>
                      <c:pt idx="3214">
                        <c:v>20.805</c:v>
                      </c:pt>
                      <c:pt idx="3215">
                        <c:v>20.805</c:v>
                      </c:pt>
                      <c:pt idx="3216">
                        <c:v>20.805</c:v>
                      </c:pt>
                      <c:pt idx="3217">
                        <c:v>20.805</c:v>
                      </c:pt>
                      <c:pt idx="3218">
                        <c:v>20.805</c:v>
                      </c:pt>
                      <c:pt idx="3219">
                        <c:v>20.805</c:v>
                      </c:pt>
                      <c:pt idx="3220">
                        <c:v>20.805</c:v>
                      </c:pt>
                      <c:pt idx="3221">
                        <c:v>20.805</c:v>
                      </c:pt>
                      <c:pt idx="3222">
                        <c:v>20.805</c:v>
                      </c:pt>
                      <c:pt idx="3223">
                        <c:v>20.805</c:v>
                      </c:pt>
                      <c:pt idx="3224">
                        <c:v>20.805</c:v>
                      </c:pt>
                      <c:pt idx="3225">
                        <c:v>20.805</c:v>
                      </c:pt>
                      <c:pt idx="3226">
                        <c:v>20.805</c:v>
                      </c:pt>
                      <c:pt idx="3227">
                        <c:v>20.805</c:v>
                      </c:pt>
                      <c:pt idx="3228">
                        <c:v>20.805</c:v>
                      </c:pt>
                      <c:pt idx="3229">
                        <c:v>20.805</c:v>
                      </c:pt>
                      <c:pt idx="3230">
                        <c:v>20.805</c:v>
                      </c:pt>
                      <c:pt idx="3231">
                        <c:v>20.805</c:v>
                      </c:pt>
                      <c:pt idx="3232">
                        <c:v>20.805</c:v>
                      </c:pt>
                      <c:pt idx="3233">
                        <c:v>20.805</c:v>
                      </c:pt>
                      <c:pt idx="3234">
                        <c:v>20.805</c:v>
                      </c:pt>
                      <c:pt idx="3235">
                        <c:v>20.805</c:v>
                      </c:pt>
                      <c:pt idx="3236">
                        <c:v>20.805</c:v>
                      </c:pt>
                      <c:pt idx="3237">
                        <c:v>20.805</c:v>
                      </c:pt>
                      <c:pt idx="3238">
                        <c:v>20.805</c:v>
                      </c:pt>
                      <c:pt idx="3239">
                        <c:v>20.805</c:v>
                      </c:pt>
                      <c:pt idx="3240">
                        <c:v>20.805</c:v>
                      </c:pt>
                      <c:pt idx="3241">
                        <c:v>20.805</c:v>
                      </c:pt>
                      <c:pt idx="3242">
                        <c:v>20.805</c:v>
                      </c:pt>
                      <c:pt idx="3243">
                        <c:v>20.805</c:v>
                      </c:pt>
                      <c:pt idx="3244">
                        <c:v>20.805</c:v>
                      </c:pt>
                      <c:pt idx="3245">
                        <c:v>20.805</c:v>
                      </c:pt>
                      <c:pt idx="3246">
                        <c:v>20.805</c:v>
                      </c:pt>
                      <c:pt idx="3247">
                        <c:v>20.71</c:v>
                      </c:pt>
                      <c:pt idx="3248">
                        <c:v>20.805</c:v>
                      </c:pt>
                      <c:pt idx="3249">
                        <c:v>20.805</c:v>
                      </c:pt>
                      <c:pt idx="3250">
                        <c:v>20.805</c:v>
                      </c:pt>
                      <c:pt idx="3251">
                        <c:v>20.805</c:v>
                      </c:pt>
                      <c:pt idx="3252">
                        <c:v>20.805</c:v>
                      </c:pt>
                      <c:pt idx="3253">
                        <c:v>20.71</c:v>
                      </c:pt>
                      <c:pt idx="3254">
                        <c:v>20.805</c:v>
                      </c:pt>
                      <c:pt idx="3255">
                        <c:v>20.805</c:v>
                      </c:pt>
                      <c:pt idx="3256">
                        <c:v>20.805</c:v>
                      </c:pt>
                      <c:pt idx="3257">
                        <c:v>20.805</c:v>
                      </c:pt>
                      <c:pt idx="3258">
                        <c:v>20.805</c:v>
                      </c:pt>
                      <c:pt idx="3259">
                        <c:v>20.71</c:v>
                      </c:pt>
                      <c:pt idx="3260">
                        <c:v>20.71</c:v>
                      </c:pt>
                      <c:pt idx="3261">
                        <c:v>20.805</c:v>
                      </c:pt>
                      <c:pt idx="3262">
                        <c:v>20.805</c:v>
                      </c:pt>
                      <c:pt idx="3263">
                        <c:v>20.805</c:v>
                      </c:pt>
                      <c:pt idx="3264">
                        <c:v>20.71</c:v>
                      </c:pt>
                      <c:pt idx="3265">
                        <c:v>20.805</c:v>
                      </c:pt>
                      <c:pt idx="3266">
                        <c:v>20.805</c:v>
                      </c:pt>
                      <c:pt idx="3267">
                        <c:v>20.805</c:v>
                      </c:pt>
                      <c:pt idx="3268">
                        <c:v>20.805</c:v>
                      </c:pt>
                      <c:pt idx="3269">
                        <c:v>20.805</c:v>
                      </c:pt>
                      <c:pt idx="3270">
                        <c:v>20.805</c:v>
                      </c:pt>
                      <c:pt idx="3271">
                        <c:v>20.805</c:v>
                      </c:pt>
                      <c:pt idx="3272">
                        <c:v>20.805</c:v>
                      </c:pt>
                      <c:pt idx="3273">
                        <c:v>20.805</c:v>
                      </c:pt>
                      <c:pt idx="3274">
                        <c:v>20.805</c:v>
                      </c:pt>
                      <c:pt idx="3275">
                        <c:v>20.805</c:v>
                      </c:pt>
                      <c:pt idx="3276">
                        <c:v>20.805</c:v>
                      </c:pt>
                      <c:pt idx="3277">
                        <c:v>20.805</c:v>
                      </c:pt>
                      <c:pt idx="3278">
                        <c:v>20.805</c:v>
                      </c:pt>
                      <c:pt idx="3279">
                        <c:v>20.805</c:v>
                      </c:pt>
                      <c:pt idx="3280">
                        <c:v>20.805</c:v>
                      </c:pt>
                      <c:pt idx="3281">
                        <c:v>20.805</c:v>
                      </c:pt>
                      <c:pt idx="3282">
                        <c:v>20.805</c:v>
                      </c:pt>
                      <c:pt idx="3283">
                        <c:v>20.805</c:v>
                      </c:pt>
                      <c:pt idx="3284">
                        <c:v>20.805</c:v>
                      </c:pt>
                      <c:pt idx="3285">
                        <c:v>20.805</c:v>
                      </c:pt>
                      <c:pt idx="3286">
                        <c:v>20.71</c:v>
                      </c:pt>
                      <c:pt idx="3287">
                        <c:v>20.805</c:v>
                      </c:pt>
                      <c:pt idx="3288">
                        <c:v>20.805</c:v>
                      </c:pt>
                      <c:pt idx="3289">
                        <c:v>20.805</c:v>
                      </c:pt>
                      <c:pt idx="3290">
                        <c:v>20.805</c:v>
                      </c:pt>
                      <c:pt idx="3291">
                        <c:v>20.805</c:v>
                      </c:pt>
                      <c:pt idx="3292">
                        <c:v>20.805</c:v>
                      </c:pt>
                      <c:pt idx="3293">
                        <c:v>20.805</c:v>
                      </c:pt>
                      <c:pt idx="3294">
                        <c:v>20.805</c:v>
                      </c:pt>
                      <c:pt idx="3295">
                        <c:v>20.805</c:v>
                      </c:pt>
                      <c:pt idx="3296">
                        <c:v>20.805</c:v>
                      </c:pt>
                      <c:pt idx="3297">
                        <c:v>20.805</c:v>
                      </c:pt>
                      <c:pt idx="3298">
                        <c:v>20.805</c:v>
                      </c:pt>
                      <c:pt idx="3299">
                        <c:v>20.805</c:v>
                      </c:pt>
                      <c:pt idx="3300">
                        <c:v>20.805</c:v>
                      </c:pt>
                      <c:pt idx="3301">
                        <c:v>20.805</c:v>
                      </c:pt>
                      <c:pt idx="3302">
                        <c:v>20.805</c:v>
                      </c:pt>
                      <c:pt idx="3303">
                        <c:v>20.805</c:v>
                      </c:pt>
                      <c:pt idx="3304">
                        <c:v>20.805</c:v>
                      </c:pt>
                      <c:pt idx="3305">
                        <c:v>20.805</c:v>
                      </c:pt>
                      <c:pt idx="3306">
                        <c:v>20.805</c:v>
                      </c:pt>
                      <c:pt idx="3307">
                        <c:v>20.805</c:v>
                      </c:pt>
                      <c:pt idx="3308">
                        <c:v>20.805</c:v>
                      </c:pt>
                      <c:pt idx="3309">
                        <c:v>20.805</c:v>
                      </c:pt>
                      <c:pt idx="3310">
                        <c:v>20.805</c:v>
                      </c:pt>
                      <c:pt idx="3311">
                        <c:v>20.805</c:v>
                      </c:pt>
                      <c:pt idx="3312">
                        <c:v>20.805</c:v>
                      </c:pt>
                      <c:pt idx="3313">
                        <c:v>20.805</c:v>
                      </c:pt>
                      <c:pt idx="3314">
                        <c:v>20.805</c:v>
                      </c:pt>
                      <c:pt idx="3315">
                        <c:v>20.805</c:v>
                      </c:pt>
                      <c:pt idx="3316">
                        <c:v>20.805</c:v>
                      </c:pt>
                      <c:pt idx="3317">
                        <c:v>20.805</c:v>
                      </c:pt>
                      <c:pt idx="3318">
                        <c:v>20.805</c:v>
                      </c:pt>
                      <c:pt idx="3319">
                        <c:v>20.805</c:v>
                      </c:pt>
                      <c:pt idx="3320">
                        <c:v>20.805</c:v>
                      </c:pt>
                      <c:pt idx="3321">
                        <c:v>20.805</c:v>
                      </c:pt>
                      <c:pt idx="3322">
                        <c:v>20.805</c:v>
                      </c:pt>
                      <c:pt idx="3323">
                        <c:v>20.805</c:v>
                      </c:pt>
                      <c:pt idx="3324">
                        <c:v>20.805</c:v>
                      </c:pt>
                      <c:pt idx="3325">
                        <c:v>20.805</c:v>
                      </c:pt>
                      <c:pt idx="3326">
                        <c:v>20.805</c:v>
                      </c:pt>
                      <c:pt idx="3327">
                        <c:v>20.805</c:v>
                      </c:pt>
                      <c:pt idx="3328">
                        <c:v>20.805</c:v>
                      </c:pt>
                      <c:pt idx="3329">
                        <c:v>20.805</c:v>
                      </c:pt>
                      <c:pt idx="3330">
                        <c:v>20.805</c:v>
                      </c:pt>
                      <c:pt idx="3331">
                        <c:v>20.805</c:v>
                      </c:pt>
                      <c:pt idx="3332">
                        <c:v>20.805</c:v>
                      </c:pt>
                      <c:pt idx="3333">
                        <c:v>20.805</c:v>
                      </c:pt>
                      <c:pt idx="3334">
                        <c:v>20.805</c:v>
                      </c:pt>
                      <c:pt idx="3335">
                        <c:v>20.805</c:v>
                      </c:pt>
                      <c:pt idx="3336">
                        <c:v>20.805</c:v>
                      </c:pt>
                      <c:pt idx="3337">
                        <c:v>20.805</c:v>
                      </c:pt>
                      <c:pt idx="3338">
                        <c:v>20.805</c:v>
                      </c:pt>
                      <c:pt idx="3339">
                        <c:v>20.805</c:v>
                      </c:pt>
                      <c:pt idx="3340">
                        <c:v>20.805</c:v>
                      </c:pt>
                      <c:pt idx="3341">
                        <c:v>20.805</c:v>
                      </c:pt>
                      <c:pt idx="3342">
                        <c:v>20.805</c:v>
                      </c:pt>
                      <c:pt idx="3343">
                        <c:v>20.805</c:v>
                      </c:pt>
                      <c:pt idx="3344">
                        <c:v>20.805</c:v>
                      </c:pt>
                      <c:pt idx="3345">
                        <c:v>20.805</c:v>
                      </c:pt>
                      <c:pt idx="3346">
                        <c:v>20.805</c:v>
                      </c:pt>
                      <c:pt idx="3347">
                        <c:v>20.805</c:v>
                      </c:pt>
                      <c:pt idx="3348">
                        <c:v>20.805</c:v>
                      </c:pt>
                      <c:pt idx="3349">
                        <c:v>20.805</c:v>
                      </c:pt>
                      <c:pt idx="3350">
                        <c:v>20.805</c:v>
                      </c:pt>
                      <c:pt idx="3351">
                        <c:v>20.805</c:v>
                      </c:pt>
                      <c:pt idx="3352">
                        <c:v>20.805</c:v>
                      </c:pt>
                      <c:pt idx="3353">
                        <c:v>20.805</c:v>
                      </c:pt>
                      <c:pt idx="3354">
                        <c:v>20.805</c:v>
                      </c:pt>
                      <c:pt idx="3355">
                        <c:v>20.805</c:v>
                      </c:pt>
                      <c:pt idx="3356">
                        <c:v>20.71</c:v>
                      </c:pt>
                      <c:pt idx="3357">
                        <c:v>20.71</c:v>
                      </c:pt>
                      <c:pt idx="3358">
                        <c:v>20.805</c:v>
                      </c:pt>
                      <c:pt idx="3359">
                        <c:v>20.71</c:v>
                      </c:pt>
                      <c:pt idx="3360">
                        <c:v>20.805</c:v>
                      </c:pt>
                      <c:pt idx="3361">
                        <c:v>20.71</c:v>
                      </c:pt>
                      <c:pt idx="3362">
                        <c:v>20.805</c:v>
                      </c:pt>
                      <c:pt idx="3363">
                        <c:v>20.805</c:v>
                      </c:pt>
                      <c:pt idx="3364">
                        <c:v>20.805</c:v>
                      </c:pt>
                      <c:pt idx="3365">
                        <c:v>20.805</c:v>
                      </c:pt>
                      <c:pt idx="3366">
                        <c:v>20.805</c:v>
                      </c:pt>
                      <c:pt idx="3367">
                        <c:v>20.805</c:v>
                      </c:pt>
                      <c:pt idx="3368">
                        <c:v>20.71</c:v>
                      </c:pt>
                      <c:pt idx="3369">
                        <c:v>20.71</c:v>
                      </c:pt>
                      <c:pt idx="3370">
                        <c:v>20.71</c:v>
                      </c:pt>
                      <c:pt idx="3371">
                        <c:v>20.71</c:v>
                      </c:pt>
                      <c:pt idx="3372">
                        <c:v>20.71</c:v>
                      </c:pt>
                      <c:pt idx="3373">
                        <c:v>20.71</c:v>
                      </c:pt>
                      <c:pt idx="3374">
                        <c:v>20.71</c:v>
                      </c:pt>
                      <c:pt idx="3375">
                        <c:v>20.805</c:v>
                      </c:pt>
                      <c:pt idx="3376">
                        <c:v>20.71</c:v>
                      </c:pt>
                      <c:pt idx="3377">
                        <c:v>20.71</c:v>
                      </c:pt>
                      <c:pt idx="3378">
                        <c:v>20.71</c:v>
                      </c:pt>
                      <c:pt idx="3379">
                        <c:v>20.71</c:v>
                      </c:pt>
                      <c:pt idx="3380">
                        <c:v>20.71</c:v>
                      </c:pt>
                      <c:pt idx="3381">
                        <c:v>20.71</c:v>
                      </c:pt>
                      <c:pt idx="3382">
                        <c:v>20.71</c:v>
                      </c:pt>
                      <c:pt idx="3383">
                        <c:v>20.71</c:v>
                      </c:pt>
                      <c:pt idx="3384">
                        <c:v>20.71</c:v>
                      </c:pt>
                      <c:pt idx="3385">
                        <c:v>20.71</c:v>
                      </c:pt>
                      <c:pt idx="3386">
                        <c:v>20.71</c:v>
                      </c:pt>
                      <c:pt idx="3387">
                        <c:v>20.71</c:v>
                      </c:pt>
                      <c:pt idx="3388">
                        <c:v>20.71</c:v>
                      </c:pt>
                      <c:pt idx="3389">
                        <c:v>20.71</c:v>
                      </c:pt>
                      <c:pt idx="3390">
                        <c:v>20.71</c:v>
                      </c:pt>
                      <c:pt idx="3391">
                        <c:v>20.71</c:v>
                      </c:pt>
                      <c:pt idx="3392">
                        <c:v>20.71</c:v>
                      </c:pt>
                      <c:pt idx="3393">
                        <c:v>20.71</c:v>
                      </c:pt>
                      <c:pt idx="3394">
                        <c:v>20.71</c:v>
                      </c:pt>
                      <c:pt idx="3395">
                        <c:v>20.71</c:v>
                      </c:pt>
                      <c:pt idx="3396">
                        <c:v>20.71</c:v>
                      </c:pt>
                      <c:pt idx="3397">
                        <c:v>20.71</c:v>
                      </c:pt>
                      <c:pt idx="3398">
                        <c:v>20.71</c:v>
                      </c:pt>
                      <c:pt idx="3399">
                        <c:v>20.71</c:v>
                      </c:pt>
                      <c:pt idx="3400">
                        <c:v>20.71</c:v>
                      </c:pt>
                      <c:pt idx="3401">
                        <c:v>20.71</c:v>
                      </c:pt>
                      <c:pt idx="3402">
                        <c:v>20.71</c:v>
                      </c:pt>
                      <c:pt idx="3403">
                        <c:v>20.71</c:v>
                      </c:pt>
                      <c:pt idx="3404">
                        <c:v>20.71</c:v>
                      </c:pt>
                      <c:pt idx="3405">
                        <c:v>20.71</c:v>
                      </c:pt>
                      <c:pt idx="3406">
                        <c:v>20.71</c:v>
                      </c:pt>
                      <c:pt idx="3407">
                        <c:v>20.71</c:v>
                      </c:pt>
                      <c:pt idx="3408">
                        <c:v>20.71</c:v>
                      </c:pt>
                      <c:pt idx="3409">
                        <c:v>20.71</c:v>
                      </c:pt>
                      <c:pt idx="3410">
                        <c:v>20.71</c:v>
                      </c:pt>
                      <c:pt idx="3411">
                        <c:v>20.71</c:v>
                      </c:pt>
                      <c:pt idx="3412">
                        <c:v>20.71</c:v>
                      </c:pt>
                      <c:pt idx="3413">
                        <c:v>20.71</c:v>
                      </c:pt>
                      <c:pt idx="3414">
                        <c:v>20.71</c:v>
                      </c:pt>
                      <c:pt idx="3415">
                        <c:v>20.71</c:v>
                      </c:pt>
                      <c:pt idx="3416">
                        <c:v>20.71</c:v>
                      </c:pt>
                      <c:pt idx="3417">
                        <c:v>20.71</c:v>
                      </c:pt>
                      <c:pt idx="3418">
                        <c:v>20.71</c:v>
                      </c:pt>
                      <c:pt idx="3419">
                        <c:v>20.71</c:v>
                      </c:pt>
                      <c:pt idx="3420">
                        <c:v>20.71</c:v>
                      </c:pt>
                      <c:pt idx="3421">
                        <c:v>20.71</c:v>
                      </c:pt>
                      <c:pt idx="3422">
                        <c:v>20.71</c:v>
                      </c:pt>
                      <c:pt idx="3423">
                        <c:v>20.71</c:v>
                      </c:pt>
                      <c:pt idx="3424">
                        <c:v>20.71</c:v>
                      </c:pt>
                      <c:pt idx="3425">
                        <c:v>20.71</c:v>
                      </c:pt>
                      <c:pt idx="3426">
                        <c:v>20.71</c:v>
                      </c:pt>
                      <c:pt idx="3427">
                        <c:v>20.71</c:v>
                      </c:pt>
                      <c:pt idx="3428">
                        <c:v>20.71</c:v>
                      </c:pt>
                      <c:pt idx="3429">
                        <c:v>20.71</c:v>
                      </c:pt>
                      <c:pt idx="3430">
                        <c:v>20.71</c:v>
                      </c:pt>
                      <c:pt idx="3431">
                        <c:v>20.71</c:v>
                      </c:pt>
                      <c:pt idx="3432">
                        <c:v>20.71</c:v>
                      </c:pt>
                      <c:pt idx="3433">
                        <c:v>20.71</c:v>
                      </c:pt>
                      <c:pt idx="3434">
                        <c:v>20.71</c:v>
                      </c:pt>
                      <c:pt idx="3435">
                        <c:v>20.71</c:v>
                      </c:pt>
                      <c:pt idx="3436">
                        <c:v>20.71</c:v>
                      </c:pt>
                      <c:pt idx="3437">
                        <c:v>20.71</c:v>
                      </c:pt>
                      <c:pt idx="3438">
                        <c:v>20.71</c:v>
                      </c:pt>
                      <c:pt idx="3439">
                        <c:v>20.71</c:v>
                      </c:pt>
                      <c:pt idx="3440">
                        <c:v>20.71</c:v>
                      </c:pt>
                      <c:pt idx="3441">
                        <c:v>20.71</c:v>
                      </c:pt>
                      <c:pt idx="3442">
                        <c:v>20.71</c:v>
                      </c:pt>
                      <c:pt idx="3443">
                        <c:v>20.71</c:v>
                      </c:pt>
                      <c:pt idx="3444">
                        <c:v>20.71</c:v>
                      </c:pt>
                      <c:pt idx="3445">
                        <c:v>20.71</c:v>
                      </c:pt>
                      <c:pt idx="3446">
                        <c:v>20.71</c:v>
                      </c:pt>
                      <c:pt idx="3447">
                        <c:v>20.71</c:v>
                      </c:pt>
                      <c:pt idx="3448">
                        <c:v>20.71</c:v>
                      </c:pt>
                      <c:pt idx="3449">
                        <c:v>20.71</c:v>
                      </c:pt>
                      <c:pt idx="3450">
                        <c:v>20.71</c:v>
                      </c:pt>
                      <c:pt idx="3451">
                        <c:v>20.71</c:v>
                      </c:pt>
                      <c:pt idx="3452">
                        <c:v>20.71</c:v>
                      </c:pt>
                      <c:pt idx="3453">
                        <c:v>20.71</c:v>
                      </c:pt>
                      <c:pt idx="3454">
                        <c:v>20.71</c:v>
                      </c:pt>
                      <c:pt idx="3455">
                        <c:v>20.71</c:v>
                      </c:pt>
                      <c:pt idx="3456">
                        <c:v>20.71</c:v>
                      </c:pt>
                      <c:pt idx="3457">
                        <c:v>20.71</c:v>
                      </c:pt>
                      <c:pt idx="3458">
                        <c:v>20.71</c:v>
                      </c:pt>
                      <c:pt idx="3459">
                        <c:v>20.71</c:v>
                      </c:pt>
                      <c:pt idx="3460">
                        <c:v>20.71</c:v>
                      </c:pt>
                      <c:pt idx="3461">
                        <c:v>20.71</c:v>
                      </c:pt>
                      <c:pt idx="3462">
                        <c:v>20.71</c:v>
                      </c:pt>
                      <c:pt idx="3463">
                        <c:v>20.71</c:v>
                      </c:pt>
                      <c:pt idx="3464">
                        <c:v>20.71</c:v>
                      </c:pt>
                      <c:pt idx="3465">
                        <c:v>20.71</c:v>
                      </c:pt>
                      <c:pt idx="3466">
                        <c:v>20.71</c:v>
                      </c:pt>
                      <c:pt idx="3467">
                        <c:v>20.71</c:v>
                      </c:pt>
                      <c:pt idx="3468">
                        <c:v>20.71</c:v>
                      </c:pt>
                      <c:pt idx="3469">
                        <c:v>20.71</c:v>
                      </c:pt>
                      <c:pt idx="3470">
                        <c:v>20.71</c:v>
                      </c:pt>
                      <c:pt idx="3471">
                        <c:v>20.71</c:v>
                      </c:pt>
                      <c:pt idx="3472">
                        <c:v>20.71</c:v>
                      </c:pt>
                      <c:pt idx="3473">
                        <c:v>20.71</c:v>
                      </c:pt>
                      <c:pt idx="3474">
                        <c:v>20.71</c:v>
                      </c:pt>
                      <c:pt idx="3475">
                        <c:v>20.71</c:v>
                      </c:pt>
                      <c:pt idx="3476">
                        <c:v>20.71</c:v>
                      </c:pt>
                      <c:pt idx="3477">
                        <c:v>20.71</c:v>
                      </c:pt>
                      <c:pt idx="3478">
                        <c:v>20.71</c:v>
                      </c:pt>
                      <c:pt idx="3479">
                        <c:v>20.71</c:v>
                      </c:pt>
                      <c:pt idx="3480">
                        <c:v>20.71</c:v>
                      </c:pt>
                      <c:pt idx="3481">
                        <c:v>20.71</c:v>
                      </c:pt>
                      <c:pt idx="3482">
                        <c:v>20.71</c:v>
                      </c:pt>
                      <c:pt idx="3483">
                        <c:v>20.71</c:v>
                      </c:pt>
                      <c:pt idx="3484">
                        <c:v>20.71</c:v>
                      </c:pt>
                      <c:pt idx="3485">
                        <c:v>20.71</c:v>
                      </c:pt>
                      <c:pt idx="3486">
                        <c:v>20.71</c:v>
                      </c:pt>
                      <c:pt idx="3487">
                        <c:v>20.71</c:v>
                      </c:pt>
                      <c:pt idx="3488">
                        <c:v>20.71</c:v>
                      </c:pt>
                      <c:pt idx="3489">
                        <c:v>20.71</c:v>
                      </c:pt>
                      <c:pt idx="3490">
                        <c:v>20.71</c:v>
                      </c:pt>
                      <c:pt idx="3491">
                        <c:v>20.71</c:v>
                      </c:pt>
                      <c:pt idx="3492">
                        <c:v>20.71</c:v>
                      </c:pt>
                      <c:pt idx="3493">
                        <c:v>20.71</c:v>
                      </c:pt>
                      <c:pt idx="3494">
                        <c:v>20.71</c:v>
                      </c:pt>
                      <c:pt idx="3495">
                        <c:v>20.71</c:v>
                      </c:pt>
                      <c:pt idx="3496">
                        <c:v>20.71</c:v>
                      </c:pt>
                      <c:pt idx="3497">
                        <c:v>20.71</c:v>
                      </c:pt>
                      <c:pt idx="3498">
                        <c:v>20.71</c:v>
                      </c:pt>
                      <c:pt idx="3499">
                        <c:v>20.71</c:v>
                      </c:pt>
                      <c:pt idx="3500">
                        <c:v>20.71</c:v>
                      </c:pt>
                      <c:pt idx="3501">
                        <c:v>20.71</c:v>
                      </c:pt>
                      <c:pt idx="3502">
                        <c:v>20.71</c:v>
                      </c:pt>
                      <c:pt idx="3503">
                        <c:v>20.71</c:v>
                      </c:pt>
                      <c:pt idx="3504">
                        <c:v>20.71</c:v>
                      </c:pt>
                      <c:pt idx="3505">
                        <c:v>20.71</c:v>
                      </c:pt>
                      <c:pt idx="3506">
                        <c:v>20.71</c:v>
                      </c:pt>
                      <c:pt idx="3507">
                        <c:v>20.71</c:v>
                      </c:pt>
                      <c:pt idx="3508">
                        <c:v>20.71</c:v>
                      </c:pt>
                      <c:pt idx="3509">
                        <c:v>20.71</c:v>
                      </c:pt>
                      <c:pt idx="3510">
                        <c:v>20.71</c:v>
                      </c:pt>
                      <c:pt idx="3511">
                        <c:v>20.71</c:v>
                      </c:pt>
                      <c:pt idx="3512">
                        <c:v>20.71</c:v>
                      </c:pt>
                      <c:pt idx="3513">
                        <c:v>20.71</c:v>
                      </c:pt>
                      <c:pt idx="3514">
                        <c:v>20.71</c:v>
                      </c:pt>
                      <c:pt idx="3515">
                        <c:v>20.71</c:v>
                      </c:pt>
                      <c:pt idx="3516">
                        <c:v>20.71</c:v>
                      </c:pt>
                      <c:pt idx="3517">
                        <c:v>20.71</c:v>
                      </c:pt>
                      <c:pt idx="3518">
                        <c:v>20.71</c:v>
                      </c:pt>
                      <c:pt idx="3519">
                        <c:v>20.71</c:v>
                      </c:pt>
                      <c:pt idx="3520">
                        <c:v>20.71</c:v>
                      </c:pt>
                      <c:pt idx="3521">
                        <c:v>20.71</c:v>
                      </c:pt>
                      <c:pt idx="3522">
                        <c:v>20.71</c:v>
                      </c:pt>
                      <c:pt idx="3523">
                        <c:v>20.71</c:v>
                      </c:pt>
                      <c:pt idx="3524">
                        <c:v>20.71</c:v>
                      </c:pt>
                      <c:pt idx="3525">
                        <c:v>20.71</c:v>
                      </c:pt>
                      <c:pt idx="3526">
                        <c:v>20.71</c:v>
                      </c:pt>
                      <c:pt idx="3527">
                        <c:v>20.71</c:v>
                      </c:pt>
                      <c:pt idx="3528">
                        <c:v>20.71</c:v>
                      </c:pt>
                      <c:pt idx="3529">
                        <c:v>20.71</c:v>
                      </c:pt>
                      <c:pt idx="3530">
                        <c:v>20.71</c:v>
                      </c:pt>
                      <c:pt idx="3531">
                        <c:v>20.71</c:v>
                      </c:pt>
                      <c:pt idx="3532">
                        <c:v>20.71</c:v>
                      </c:pt>
                      <c:pt idx="3533">
                        <c:v>20.71</c:v>
                      </c:pt>
                      <c:pt idx="3534">
                        <c:v>20.71</c:v>
                      </c:pt>
                      <c:pt idx="3535">
                        <c:v>20.71</c:v>
                      </c:pt>
                      <c:pt idx="3536">
                        <c:v>20.71</c:v>
                      </c:pt>
                      <c:pt idx="3537">
                        <c:v>20.71</c:v>
                      </c:pt>
                      <c:pt idx="3538">
                        <c:v>20.71</c:v>
                      </c:pt>
                      <c:pt idx="3539">
                        <c:v>20.71</c:v>
                      </c:pt>
                      <c:pt idx="3540">
                        <c:v>20.71</c:v>
                      </c:pt>
                      <c:pt idx="3541">
                        <c:v>20.71</c:v>
                      </c:pt>
                      <c:pt idx="3542">
                        <c:v>20.71</c:v>
                      </c:pt>
                      <c:pt idx="3543">
                        <c:v>20.71</c:v>
                      </c:pt>
                      <c:pt idx="3544">
                        <c:v>20.71</c:v>
                      </c:pt>
                      <c:pt idx="3545">
                        <c:v>20.71</c:v>
                      </c:pt>
                      <c:pt idx="3546">
                        <c:v>20.71</c:v>
                      </c:pt>
                      <c:pt idx="3547">
                        <c:v>20.71</c:v>
                      </c:pt>
                      <c:pt idx="3548">
                        <c:v>20.71</c:v>
                      </c:pt>
                      <c:pt idx="3549">
                        <c:v>20.71</c:v>
                      </c:pt>
                      <c:pt idx="3550">
                        <c:v>20.71</c:v>
                      </c:pt>
                      <c:pt idx="3551">
                        <c:v>20.71</c:v>
                      </c:pt>
                      <c:pt idx="3552">
                        <c:v>20.71</c:v>
                      </c:pt>
                      <c:pt idx="3553">
                        <c:v>20.71</c:v>
                      </c:pt>
                      <c:pt idx="3554">
                        <c:v>20.71</c:v>
                      </c:pt>
                      <c:pt idx="3555">
                        <c:v>20.614999999999998</c:v>
                      </c:pt>
                      <c:pt idx="3556">
                        <c:v>20.71</c:v>
                      </c:pt>
                      <c:pt idx="3557">
                        <c:v>20.71</c:v>
                      </c:pt>
                      <c:pt idx="3558">
                        <c:v>20.614999999999998</c:v>
                      </c:pt>
                      <c:pt idx="3559">
                        <c:v>20.71</c:v>
                      </c:pt>
                      <c:pt idx="3560">
                        <c:v>20.614999999999998</c:v>
                      </c:pt>
                      <c:pt idx="3561">
                        <c:v>20.614999999999998</c:v>
                      </c:pt>
                      <c:pt idx="3562">
                        <c:v>20.71</c:v>
                      </c:pt>
                      <c:pt idx="3563">
                        <c:v>20.614999999999998</c:v>
                      </c:pt>
                      <c:pt idx="3564">
                        <c:v>20.614999999999998</c:v>
                      </c:pt>
                      <c:pt idx="3565">
                        <c:v>20.614999999999998</c:v>
                      </c:pt>
                      <c:pt idx="3566">
                        <c:v>20.71</c:v>
                      </c:pt>
                      <c:pt idx="3567">
                        <c:v>20.71</c:v>
                      </c:pt>
                      <c:pt idx="3568">
                        <c:v>20.71</c:v>
                      </c:pt>
                      <c:pt idx="3569">
                        <c:v>20.614999999999998</c:v>
                      </c:pt>
                      <c:pt idx="3570">
                        <c:v>20.71</c:v>
                      </c:pt>
                      <c:pt idx="3571">
                        <c:v>20.614999999999998</c:v>
                      </c:pt>
                      <c:pt idx="3572">
                        <c:v>20.614999999999998</c:v>
                      </c:pt>
                      <c:pt idx="3573">
                        <c:v>20.614999999999998</c:v>
                      </c:pt>
                      <c:pt idx="3574">
                        <c:v>20.614999999999998</c:v>
                      </c:pt>
                      <c:pt idx="3575">
                        <c:v>20.614999999999998</c:v>
                      </c:pt>
                      <c:pt idx="3576">
                        <c:v>20.614999999999998</c:v>
                      </c:pt>
                      <c:pt idx="3577">
                        <c:v>20.614999999999998</c:v>
                      </c:pt>
                      <c:pt idx="3578">
                        <c:v>20.614999999999998</c:v>
                      </c:pt>
                      <c:pt idx="3579">
                        <c:v>20.614999999999998</c:v>
                      </c:pt>
                      <c:pt idx="3580">
                        <c:v>20.71</c:v>
                      </c:pt>
                      <c:pt idx="3581">
                        <c:v>20.614999999999998</c:v>
                      </c:pt>
                      <c:pt idx="3582">
                        <c:v>20.614999999999998</c:v>
                      </c:pt>
                      <c:pt idx="3583">
                        <c:v>20.71</c:v>
                      </c:pt>
                      <c:pt idx="3584">
                        <c:v>20.614999999999998</c:v>
                      </c:pt>
                      <c:pt idx="3585">
                        <c:v>20.614999999999998</c:v>
                      </c:pt>
                      <c:pt idx="3586">
                        <c:v>20.614999999999998</c:v>
                      </c:pt>
                      <c:pt idx="3587">
                        <c:v>20.614999999999998</c:v>
                      </c:pt>
                      <c:pt idx="3588">
                        <c:v>20.614999999999998</c:v>
                      </c:pt>
                      <c:pt idx="3589">
                        <c:v>20.614999999999998</c:v>
                      </c:pt>
                      <c:pt idx="3590">
                        <c:v>20.614999999999998</c:v>
                      </c:pt>
                      <c:pt idx="3591">
                        <c:v>20.614999999999998</c:v>
                      </c:pt>
                      <c:pt idx="3592">
                        <c:v>20.614999999999998</c:v>
                      </c:pt>
                      <c:pt idx="3593">
                        <c:v>20.614999999999998</c:v>
                      </c:pt>
                      <c:pt idx="3594">
                        <c:v>20.614999999999998</c:v>
                      </c:pt>
                      <c:pt idx="3595">
                        <c:v>20.614999999999998</c:v>
                      </c:pt>
                      <c:pt idx="3596">
                        <c:v>20.614999999999998</c:v>
                      </c:pt>
                      <c:pt idx="3597">
                        <c:v>20.614999999999998</c:v>
                      </c:pt>
                      <c:pt idx="3598">
                        <c:v>20.614999999999998</c:v>
                      </c:pt>
                      <c:pt idx="3599">
                        <c:v>20.614999999999998</c:v>
                      </c:pt>
                      <c:pt idx="3600">
                        <c:v>20.614999999999998</c:v>
                      </c:pt>
                      <c:pt idx="3601">
                        <c:v>20.614999999999998</c:v>
                      </c:pt>
                      <c:pt idx="3602">
                        <c:v>20.614999999999998</c:v>
                      </c:pt>
                      <c:pt idx="3603">
                        <c:v>20.614999999999998</c:v>
                      </c:pt>
                      <c:pt idx="3604">
                        <c:v>20.614999999999998</c:v>
                      </c:pt>
                      <c:pt idx="3605">
                        <c:v>20.614999999999998</c:v>
                      </c:pt>
                      <c:pt idx="3606">
                        <c:v>20.614999999999998</c:v>
                      </c:pt>
                      <c:pt idx="3607">
                        <c:v>20.614999999999998</c:v>
                      </c:pt>
                      <c:pt idx="3608">
                        <c:v>20.614999999999998</c:v>
                      </c:pt>
                      <c:pt idx="3609">
                        <c:v>20.71</c:v>
                      </c:pt>
                      <c:pt idx="3610">
                        <c:v>20.614999999999998</c:v>
                      </c:pt>
                      <c:pt idx="3611">
                        <c:v>20.614999999999998</c:v>
                      </c:pt>
                      <c:pt idx="3612">
                        <c:v>20.614999999999998</c:v>
                      </c:pt>
                      <c:pt idx="3613">
                        <c:v>20.614999999999998</c:v>
                      </c:pt>
                      <c:pt idx="3614">
                        <c:v>20.71</c:v>
                      </c:pt>
                      <c:pt idx="3615">
                        <c:v>20.614999999999998</c:v>
                      </c:pt>
                      <c:pt idx="3616">
                        <c:v>20.614999999999998</c:v>
                      </c:pt>
                      <c:pt idx="3617">
                        <c:v>20.614999999999998</c:v>
                      </c:pt>
                      <c:pt idx="3618">
                        <c:v>20.614999999999998</c:v>
                      </c:pt>
                      <c:pt idx="3619">
                        <c:v>20.614999999999998</c:v>
                      </c:pt>
                      <c:pt idx="3620">
                        <c:v>20.614999999999998</c:v>
                      </c:pt>
                      <c:pt idx="3621">
                        <c:v>20.614999999999998</c:v>
                      </c:pt>
                      <c:pt idx="3622">
                        <c:v>20.614999999999998</c:v>
                      </c:pt>
                      <c:pt idx="3623">
                        <c:v>20.614999999999998</c:v>
                      </c:pt>
                      <c:pt idx="3624">
                        <c:v>20.614999999999998</c:v>
                      </c:pt>
                      <c:pt idx="3625">
                        <c:v>20.614999999999998</c:v>
                      </c:pt>
                      <c:pt idx="3626">
                        <c:v>20.614999999999998</c:v>
                      </c:pt>
                      <c:pt idx="3627">
                        <c:v>20.614999999999998</c:v>
                      </c:pt>
                      <c:pt idx="3628">
                        <c:v>20.614999999999998</c:v>
                      </c:pt>
                      <c:pt idx="3629">
                        <c:v>20.614999999999998</c:v>
                      </c:pt>
                      <c:pt idx="3630">
                        <c:v>20.614999999999998</c:v>
                      </c:pt>
                      <c:pt idx="3631">
                        <c:v>20.614999999999998</c:v>
                      </c:pt>
                      <c:pt idx="3632">
                        <c:v>20.614999999999998</c:v>
                      </c:pt>
                      <c:pt idx="3633">
                        <c:v>20.614999999999998</c:v>
                      </c:pt>
                      <c:pt idx="3634">
                        <c:v>20.614999999999998</c:v>
                      </c:pt>
                      <c:pt idx="3635">
                        <c:v>20.614999999999998</c:v>
                      </c:pt>
                      <c:pt idx="3636">
                        <c:v>20.614999999999998</c:v>
                      </c:pt>
                      <c:pt idx="3637">
                        <c:v>20.71</c:v>
                      </c:pt>
                      <c:pt idx="3638">
                        <c:v>20.614999999999998</c:v>
                      </c:pt>
                      <c:pt idx="3639">
                        <c:v>20.614999999999998</c:v>
                      </c:pt>
                      <c:pt idx="3640">
                        <c:v>20.614999999999998</c:v>
                      </c:pt>
                      <c:pt idx="3641">
                        <c:v>20.614999999999998</c:v>
                      </c:pt>
                      <c:pt idx="3642">
                        <c:v>20.614999999999998</c:v>
                      </c:pt>
                      <c:pt idx="3643">
                        <c:v>20.614999999999998</c:v>
                      </c:pt>
                      <c:pt idx="3644">
                        <c:v>20.614999999999998</c:v>
                      </c:pt>
                      <c:pt idx="3645">
                        <c:v>20.614999999999998</c:v>
                      </c:pt>
                      <c:pt idx="3646">
                        <c:v>20.614999999999998</c:v>
                      </c:pt>
                      <c:pt idx="3647">
                        <c:v>20.614999999999998</c:v>
                      </c:pt>
                      <c:pt idx="3648">
                        <c:v>20.614999999999998</c:v>
                      </c:pt>
                      <c:pt idx="3649">
                        <c:v>20.614999999999998</c:v>
                      </c:pt>
                      <c:pt idx="3650">
                        <c:v>20.614999999999998</c:v>
                      </c:pt>
                      <c:pt idx="3651">
                        <c:v>20.614999999999998</c:v>
                      </c:pt>
                      <c:pt idx="3652">
                        <c:v>20.614999999999998</c:v>
                      </c:pt>
                      <c:pt idx="3653">
                        <c:v>20.614999999999998</c:v>
                      </c:pt>
                      <c:pt idx="3654">
                        <c:v>20.614999999999998</c:v>
                      </c:pt>
                      <c:pt idx="3655">
                        <c:v>20.614999999999998</c:v>
                      </c:pt>
                      <c:pt idx="3656">
                        <c:v>20.614999999999998</c:v>
                      </c:pt>
                      <c:pt idx="3657">
                        <c:v>20.614999999999998</c:v>
                      </c:pt>
                      <c:pt idx="3658">
                        <c:v>20.614999999999998</c:v>
                      </c:pt>
                      <c:pt idx="3659">
                        <c:v>20.614999999999998</c:v>
                      </c:pt>
                      <c:pt idx="3660">
                        <c:v>20.614999999999998</c:v>
                      </c:pt>
                      <c:pt idx="3661">
                        <c:v>20.614999999999998</c:v>
                      </c:pt>
                      <c:pt idx="3662">
                        <c:v>20.614999999999998</c:v>
                      </c:pt>
                      <c:pt idx="3663">
                        <c:v>20.614999999999998</c:v>
                      </c:pt>
                      <c:pt idx="3664">
                        <c:v>20.614999999999998</c:v>
                      </c:pt>
                      <c:pt idx="3665">
                        <c:v>20.614999999999998</c:v>
                      </c:pt>
                      <c:pt idx="3666">
                        <c:v>20.614999999999998</c:v>
                      </c:pt>
                      <c:pt idx="3667">
                        <c:v>20.614999999999998</c:v>
                      </c:pt>
                      <c:pt idx="3668">
                        <c:v>20.614999999999998</c:v>
                      </c:pt>
                      <c:pt idx="3669">
                        <c:v>20.614999999999998</c:v>
                      </c:pt>
                      <c:pt idx="3670">
                        <c:v>20.614999999999998</c:v>
                      </c:pt>
                      <c:pt idx="3671">
                        <c:v>20.614999999999998</c:v>
                      </c:pt>
                      <c:pt idx="3672">
                        <c:v>20.614999999999998</c:v>
                      </c:pt>
                      <c:pt idx="3673">
                        <c:v>20.614999999999998</c:v>
                      </c:pt>
                      <c:pt idx="3674">
                        <c:v>20.614999999999998</c:v>
                      </c:pt>
                      <c:pt idx="3675">
                        <c:v>20.614999999999998</c:v>
                      </c:pt>
                      <c:pt idx="3676">
                        <c:v>20.614999999999998</c:v>
                      </c:pt>
                      <c:pt idx="3677">
                        <c:v>20.614999999999998</c:v>
                      </c:pt>
                      <c:pt idx="3678">
                        <c:v>20.614999999999998</c:v>
                      </c:pt>
                      <c:pt idx="3679">
                        <c:v>20.614999999999998</c:v>
                      </c:pt>
                      <c:pt idx="3680">
                        <c:v>20.614999999999998</c:v>
                      </c:pt>
                      <c:pt idx="3681">
                        <c:v>20.614999999999998</c:v>
                      </c:pt>
                      <c:pt idx="3682">
                        <c:v>20.614999999999998</c:v>
                      </c:pt>
                      <c:pt idx="3683">
                        <c:v>20.614999999999998</c:v>
                      </c:pt>
                      <c:pt idx="3684">
                        <c:v>20.614999999999998</c:v>
                      </c:pt>
                      <c:pt idx="3685">
                        <c:v>20.614999999999998</c:v>
                      </c:pt>
                      <c:pt idx="3686">
                        <c:v>20.614999999999998</c:v>
                      </c:pt>
                      <c:pt idx="3687">
                        <c:v>20.614999999999998</c:v>
                      </c:pt>
                      <c:pt idx="3688">
                        <c:v>20.614999999999998</c:v>
                      </c:pt>
                      <c:pt idx="3689">
                        <c:v>20.614999999999998</c:v>
                      </c:pt>
                      <c:pt idx="3690">
                        <c:v>20.614999999999998</c:v>
                      </c:pt>
                      <c:pt idx="3691">
                        <c:v>20.614999999999998</c:v>
                      </c:pt>
                      <c:pt idx="3692">
                        <c:v>20.614999999999998</c:v>
                      </c:pt>
                      <c:pt idx="3693">
                        <c:v>20.614999999999998</c:v>
                      </c:pt>
                      <c:pt idx="3694">
                        <c:v>20.614999999999998</c:v>
                      </c:pt>
                      <c:pt idx="3695">
                        <c:v>20.614999999999998</c:v>
                      </c:pt>
                      <c:pt idx="3696">
                        <c:v>20.614999999999998</c:v>
                      </c:pt>
                      <c:pt idx="3697">
                        <c:v>20.614999999999998</c:v>
                      </c:pt>
                      <c:pt idx="3698">
                        <c:v>20.614999999999998</c:v>
                      </c:pt>
                      <c:pt idx="3699">
                        <c:v>20.614999999999998</c:v>
                      </c:pt>
                      <c:pt idx="3700">
                        <c:v>20.614999999999998</c:v>
                      </c:pt>
                      <c:pt idx="3701">
                        <c:v>20.614999999999998</c:v>
                      </c:pt>
                      <c:pt idx="3702">
                        <c:v>20.614999999999998</c:v>
                      </c:pt>
                      <c:pt idx="3703">
                        <c:v>20.614999999999998</c:v>
                      </c:pt>
                      <c:pt idx="3704">
                        <c:v>20.614999999999998</c:v>
                      </c:pt>
                      <c:pt idx="3705">
                        <c:v>20.614999999999998</c:v>
                      </c:pt>
                      <c:pt idx="3706">
                        <c:v>20.614999999999998</c:v>
                      </c:pt>
                      <c:pt idx="3707">
                        <c:v>20.614999999999998</c:v>
                      </c:pt>
                      <c:pt idx="3708">
                        <c:v>20.614999999999998</c:v>
                      </c:pt>
                      <c:pt idx="3709">
                        <c:v>20.614999999999998</c:v>
                      </c:pt>
                      <c:pt idx="3710">
                        <c:v>20.614999999999998</c:v>
                      </c:pt>
                      <c:pt idx="3711">
                        <c:v>20.614999999999998</c:v>
                      </c:pt>
                      <c:pt idx="3712">
                        <c:v>20.614999999999998</c:v>
                      </c:pt>
                      <c:pt idx="3713">
                        <c:v>20.614999999999998</c:v>
                      </c:pt>
                      <c:pt idx="3714">
                        <c:v>20.614999999999998</c:v>
                      </c:pt>
                      <c:pt idx="3715">
                        <c:v>20.614999999999998</c:v>
                      </c:pt>
                      <c:pt idx="3716">
                        <c:v>20.614999999999998</c:v>
                      </c:pt>
                      <c:pt idx="3717">
                        <c:v>20.614999999999998</c:v>
                      </c:pt>
                      <c:pt idx="3718">
                        <c:v>20.614999999999998</c:v>
                      </c:pt>
                      <c:pt idx="3719">
                        <c:v>20.614999999999998</c:v>
                      </c:pt>
                      <c:pt idx="3720">
                        <c:v>20.614999999999998</c:v>
                      </c:pt>
                      <c:pt idx="3721">
                        <c:v>20.614999999999998</c:v>
                      </c:pt>
                      <c:pt idx="3722">
                        <c:v>20.614999999999998</c:v>
                      </c:pt>
                      <c:pt idx="3723">
                        <c:v>20.614999999999998</c:v>
                      </c:pt>
                      <c:pt idx="3724">
                        <c:v>20.614999999999998</c:v>
                      </c:pt>
                      <c:pt idx="3725">
                        <c:v>20.614999999999998</c:v>
                      </c:pt>
                      <c:pt idx="3726">
                        <c:v>20.614999999999998</c:v>
                      </c:pt>
                      <c:pt idx="3727">
                        <c:v>20.614999999999998</c:v>
                      </c:pt>
                      <c:pt idx="3728">
                        <c:v>20.614999999999998</c:v>
                      </c:pt>
                      <c:pt idx="3729">
                        <c:v>20.614999999999998</c:v>
                      </c:pt>
                      <c:pt idx="3730">
                        <c:v>20.614999999999998</c:v>
                      </c:pt>
                      <c:pt idx="3731">
                        <c:v>20.614999999999998</c:v>
                      </c:pt>
                      <c:pt idx="3732">
                        <c:v>20.614999999999998</c:v>
                      </c:pt>
                      <c:pt idx="3733">
                        <c:v>20.614999999999998</c:v>
                      </c:pt>
                      <c:pt idx="3734">
                        <c:v>20.614999999999998</c:v>
                      </c:pt>
                      <c:pt idx="3735">
                        <c:v>20.614999999999998</c:v>
                      </c:pt>
                      <c:pt idx="3736">
                        <c:v>20.614999999999998</c:v>
                      </c:pt>
                      <c:pt idx="3737">
                        <c:v>20.614999999999998</c:v>
                      </c:pt>
                      <c:pt idx="3738">
                        <c:v>20.614999999999998</c:v>
                      </c:pt>
                      <c:pt idx="3739">
                        <c:v>20.614999999999998</c:v>
                      </c:pt>
                      <c:pt idx="3740">
                        <c:v>20.614999999999998</c:v>
                      </c:pt>
                      <c:pt idx="3741">
                        <c:v>20.614999999999998</c:v>
                      </c:pt>
                      <c:pt idx="3742">
                        <c:v>20.614999999999998</c:v>
                      </c:pt>
                      <c:pt idx="3743">
                        <c:v>20.614999999999998</c:v>
                      </c:pt>
                      <c:pt idx="3744">
                        <c:v>20.614999999999998</c:v>
                      </c:pt>
                      <c:pt idx="3745">
                        <c:v>20.614999999999998</c:v>
                      </c:pt>
                      <c:pt idx="3746">
                        <c:v>20.614999999999998</c:v>
                      </c:pt>
                      <c:pt idx="3747">
                        <c:v>20.614999999999998</c:v>
                      </c:pt>
                      <c:pt idx="3748">
                        <c:v>20.614999999999998</c:v>
                      </c:pt>
                      <c:pt idx="3749">
                        <c:v>20.614999999999998</c:v>
                      </c:pt>
                      <c:pt idx="3750">
                        <c:v>20.614999999999998</c:v>
                      </c:pt>
                      <c:pt idx="3751">
                        <c:v>20.614999999999998</c:v>
                      </c:pt>
                      <c:pt idx="3752">
                        <c:v>20.614999999999998</c:v>
                      </c:pt>
                      <c:pt idx="3753">
                        <c:v>20.614999999999998</c:v>
                      </c:pt>
                      <c:pt idx="3754">
                        <c:v>20.614999999999998</c:v>
                      </c:pt>
                      <c:pt idx="3755">
                        <c:v>20.614999999999998</c:v>
                      </c:pt>
                      <c:pt idx="3756">
                        <c:v>20.614999999999998</c:v>
                      </c:pt>
                      <c:pt idx="3757">
                        <c:v>20.614999999999998</c:v>
                      </c:pt>
                      <c:pt idx="3758">
                        <c:v>20.614999999999998</c:v>
                      </c:pt>
                      <c:pt idx="3759">
                        <c:v>20.614999999999998</c:v>
                      </c:pt>
                      <c:pt idx="3760">
                        <c:v>20.614999999999998</c:v>
                      </c:pt>
                      <c:pt idx="3761">
                        <c:v>20.614999999999998</c:v>
                      </c:pt>
                      <c:pt idx="3762">
                        <c:v>20.614999999999998</c:v>
                      </c:pt>
                      <c:pt idx="3763">
                        <c:v>20.614999999999998</c:v>
                      </c:pt>
                      <c:pt idx="3764">
                        <c:v>20.614999999999998</c:v>
                      </c:pt>
                      <c:pt idx="3765">
                        <c:v>20.614999999999998</c:v>
                      </c:pt>
                      <c:pt idx="3766">
                        <c:v>20.614999999999998</c:v>
                      </c:pt>
                      <c:pt idx="3767">
                        <c:v>20.614999999999998</c:v>
                      </c:pt>
                      <c:pt idx="3768">
                        <c:v>20.614999999999998</c:v>
                      </c:pt>
                      <c:pt idx="3769">
                        <c:v>20.614999999999998</c:v>
                      </c:pt>
                      <c:pt idx="3770">
                        <c:v>20.614999999999998</c:v>
                      </c:pt>
                      <c:pt idx="3771">
                        <c:v>20.614999999999998</c:v>
                      </c:pt>
                      <c:pt idx="3772">
                        <c:v>20.614999999999998</c:v>
                      </c:pt>
                      <c:pt idx="3773">
                        <c:v>20.614999999999998</c:v>
                      </c:pt>
                      <c:pt idx="3774">
                        <c:v>20.614999999999998</c:v>
                      </c:pt>
                      <c:pt idx="3775">
                        <c:v>20.614999999999998</c:v>
                      </c:pt>
                      <c:pt idx="3776">
                        <c:v>20.614999999999998</c:v>
                      </c:pt>
                      <c:pt idx="3777">
                        <c:v>20.614999999999998</c:v>
                      </c:pt>
                      <c:pt idx="3778">
                        <c:v>20.614999999999998</c:v>
                      </c:pt>
                      <c:pt idx="3779">
                        <c:v>20.614999999999998</c:v>
                      </c:pt>
                      <c:pt idx="3780">
                        <c:v>20.614999999999998</c:v>
                      </c:pt>
                      <c:pt idx="3781">
                        <c:v>20.614999999999998</c:v>
                      </c:pt>
                      <c:pt idx="3782">
                        <c:v>20.614999999999998</c:v>
                      </c:pt>
                      <c:pt idx="3783">
                        <c:v>20.614999999999998</c:v>
                      </c:pt>
                      <c:pt idx="3784">
                        <c:v>20.614999999999998</c:v>
                      </c:pt>
                      <c:pt idx="3785">
                        <c:v>20.614999999999998</c:v>
                      </c:pt>
                      <c:pt idx="3786">
                        <c:v>20.614999999999998</c:v>
                      </c:pt>
                      <c:pt idx="3787">
                        <c:v>20.614999999999998</c:v>
                      </c:pt>
                      <c:pt idx="3788">
                        <c:v>20.614999999999998</c:v>
                      </c:pt>
                      <c:pt idx="3789">
                        <c:v>20.614999999999998</c:v>
                      </c:pt>
                      <c:pt idx="3790">
                        <c:v>20.614999999999998</c:v>
                      </c:pt>
                      <c:pt idx="3791">
                        <c:v>20.614999999999998</c:v>
                      </c:pt>
                      <c:pt idx="3792">
                        <c:v>20.614999999999998</c:v>
                      </c:pt>
                      <c:pt idx="3793">
                        <c:v>20.71</c:v>
                      </c:pt>
                      <c:pt idx="3794">
                        <c:v>20.614999999999998</c:v>
                      </c:pt>
                      <c:pt idx="3795">
                        <c:v>20.614999999999998</c:v>
                      </c:pt>
                      <c:pt idx="3796">
                        <c:v>20.614999999999998</c:v>
                      </c:pt>
                      <c:pt idx="3797">
                        <c:v>20.614999999999998</c:v>
                      </c:pt>
                      <c:pt idx="3798">
                        <c:v>20.614999999999998</c:v>
                      </c:pt>
                      <c:pt idx="3799">
                        <c:v>20.614999999999998</c:v>
                      </c:pt>
                      <c:pt idx="3800">
                        <c:v>20.614999999999998</c:v>
                      </c:pt>
                      <c:pt idx="3801">
                        <c:v>20.614999999999998</c:v>
                      </c:pt>
                      <c:pt idx="3802">
                        <c:v>20.614999999999998</c:v>
                      </c:pt>
                      <c:pt idx="3803">
                        <c:v>20.614999999999998</c:v>
                      </c:pt>
                      <c:pt idx="3804">
                        <c:v>20.614999999999998</c:v>
                      </c:pt>
                      <c:pt idx="3805">
                        <c:v>20.614999999999998</c:v>
                      </c:pt>
                      <c:pt idx="3806">
                        <c:v>20.614999999999998</c:v>
                      </c:pt>
                      <c:pt idx="3807">
                        <c:v>20.614999999999998</c:v>
                      </c:pt>
                      <c:pt idx="3808">
                        <c:v>20.614999999999998</c:v>
                      </c:pt>
                      <c:pt idx="3809">
                        <c:v>20.614999999999998</c:v>
                      </c:pt>
                      <c:pt idx="3810">
                        <c:v>20.614999999999998</c:v>
                      </c:pt>
                      <c:pt idx="3811">
                        <c:v>20.614999999999998</c:v>
                      </c:pt>
                      <c:pt idx="3812">
                        <c:v>20.614999999999998</c:v>
                      </c:pt>
                      <c:pt idx="3813">
                        <c:v>20.614999999999998</c:v>
                      </c:pt>
                      <c:pt idx="3814">
                        <c:v>20.614999999999998</c:v>
                      </c:pt>
                      <c:pt idx="3815">
                        <c:v>20.614999999999998</c:v>
                      </c:pt>
                      <c:pt idx="3816">
                        <c:v>20.614999999999998</c:v>
                      </c:pt>
                      <c:pt idx="3817">
                        <c:v>20.614999999999998</c:v>
                      </c:pt>
                      <c:pt idx="3818">
                        <c:v>20.614999999999998</c:v>
                      </c:pt>
                      <c:pt idx="3819">
                        <c:v>20.614999999999998</c:v>
                      </c:pt>
                      <c:pt idx="3820">
                        <c:v>20.614999999999998</c:v>
                      </c:pt>
                      <c:pt idx="3821">
                        <c:v>20.614999999999998</c:v>
                      </c:pt>
                      <c:pt idx="3822">
                        <c:v>20.614999999999998</c:v>
                      </c:pt>
                      <c:pt idx="3823">
                        <c:v>20.614999999999998</c:v>
                      </c:pt>
                      <c:pt idx="3824">
                        <c:v>20.614999999999998</c:v>
                      </c:pt>
                      <c:pt idx="3825">
                        <c:v>20.614999999999998</c:v>
                      </c:pt>
                      <c:pt idx="3826">
                        <c:v>20.614999999999998</c:v>
                      </c:pt>
                      <c:pt idx="3827">
                        <c:v>20.614999999999998</c:v>
                      </c:pt>
                      <c:pt idx="3828">
                        <c:v>20.614999999999998</c:v>
                      </c:pt>
                      <c:pt idx="3829">
                        <c:v>20.614999999999998</c:v>
                      </c:pt>
                      <c:pt idx="3830">
                        <c:v>20.614999999999998</c:v>
                      </c:pt>
                      <c:pt idx="3831">
                        <c:v>20.614999999999998</c:v>
                      </c:pt>
                      <c:pt idx="3832">
                        <c:v>20.614999999999998</c:v>
                      </c:pt>
                      <c:pt idx="3833">
                        <c:v>20.614999999999998</c:v>
                      </c:pt>
                      <c:pt idx="3834">
                        <c:v>20.614999999999998</c:v>
                      </c:pt>
                      <c:pt idx="3835">
                        <c:v>20.614999999999998</c:v>
                      </c:pt>
                      <c:pt idx="3836">
                        <c:v>20.614999999999998</c:v>
                      </c:pt>
                      <c:pt idx="3837">
                        <c:v>20.614999999999998</c:v>
                      </c:pt>
                      <c:pt idx="3838">
                        <c:v>20.614999999999998</c:v>
                      </c:pt>
                      <c:pt idx="3839">
                        <c:v>20.614999999999998</c:v>
                      </c:pt>
                      <c:pt idx="3840">
                        <c:v>20.614999999999998</c:v>
                      </c:pt>
                      <c:pt idx="3841">
                        <c:v>20.614999999999998</c:v>
                      </c:pt>
                      <c:pt idx="3842">
                        <c:v>20.614999999999998</c:v>
                      </c:pt>
                      <c:pt idx="3843">
                        <c:v>20.614999999999998</c:v>
                      </c:pt>
                      <c:pt idx="3844">
                        <c:v>20.614999999999998</c:v>
                      </c:pt>
                      <c:pt idx="3845">
                        <c:v>20.614999999999998</c:v>
                      </c:pt>
                      <c:pt idx="3846">
                        <c:v>20.614999999999998</c:v>
                      </c:pt>
                      <c:pt idx="3847">
                        <c:v>20.614999999999998</c:v>
                      </c:pt>
                      <c:pt idx="3848">
                        <c:v>20.614999999999998</c:v>
                      </c:pt>
                      <c:pt idx="3849">
                        <c:v>20.614999999999998</c:v>
                      </c:pt>
                      <c:pt idx="3850">
                        <c:v>20.614999999999998</c:v>
                      </c:pt>
                      <c:pt idx="3851">
                        <c:v>20.614999999999998</c:v>
                      </c:pt>
                      <c:pt idx="3852">
                        <c:v>20.614999999999998</c:v>
                      </c:pt>
                      <c:pt idx="3853">
                        <c:v>20.614999999999998</c:v>
                      </c:pt>
                      <c:pt idx="3854">
                        <c:v>20.614999999999998</c:v>
                      </c:pt>
                      <c:pt idx="3855">
                        <c:v>20.614999999999998</c:v>
                      </c:pt>
                      <c:pt idx="3856">
                        <c:v>20.614999999999998</c:v>
                      </c:pt>
                      <c:pt idx="3857">
                        <c:v>20.614999999999998</c:v>
                      </c:pt>
                      <c:pt idx="3858">
                        <c:v>20.614999999999998</c:v>
                      </c:pt>
                      <c:pt idx="3859">
                        <c:v>20.614999999999998</c:v>
                      </c:pt>
                      <c:pt idx="3860">
                        <c:v>20.71</c:v>
                      </c:pt>
                      <c:pt idx="3861">
                        <c:v>20.614999999999998</c:v>
                      </c:pt>
                      <c:pt idx="3862">
                        <c:v>20.614999999999998</c:v>
                      </c:pt>
                      <c:pt idx="3863">
                        <c:v>20.614999999999998</c:v>
                      </c:pt>
                      <c:pt idx="3864">
                        <c:v>20.614999999999998</c:v>
                      </c:pt>
                      <c:pt idx="3865">
                        <c:v>20.71</c:v>
                      </c:pt>
                      <c:pt idx="3866">
                        <c:v>20.71</c:v>
                      </c:pt>
                      <c:pt idx="3867">
                        <c:v>20.614999999999998</c:v>
                      </c:pt>
                      <c:pt idx="3868">
                        <c:v>20.614999999999998</c:v>
                      </c:pt>
                      <c:pt idx="3869">
                        <c:v>20.71</c:v>
                      </c:pt>
                      <c:pt idx="3870">
                        <c:v>20.71</c:v>
                      </c:pt>
                      <c:pt idx="3871">
                        <c:v>20.71</c:v>
                      </c:pt>
                      <c:pt idx="3872">
                        <c:v>20.614999999999998</c:v>
                      </c:pt>
                      <c:pt idx="3873">
                        <c:v>20.614999999999998</c:v>
                      </c:pt>
                      <c:pt idx="3874">
                        <c:v>20.71</c:v>
                      </c:pt>
                      <c:pt idx="3875">
                        <c:v>20.71</c:v>
                      </c:pt>
                      <c:pt idx="3876">
                        <c:v>20.71</c:v>
                      </c:pt>
                      <c:pt idx="3877">
                        <c:v>20.71</c:v>
                      </c:pt>
                      <c:pt idx="3878">
                        <c:v>20.71</c:v>
                      </c:pt>
                      <c:pt idx="3879">
                        <c:v>20.71</c:v>
                      </c:pt>
                      <c:pt idx="3880">
                        <c:v>20.71</c:v>
                      </c:pt>
                      <c:pt idx="3881">
                        <c:v>20.614999999999998</c:v>
                      </c:pt>
                      <c:pt idx="3882">
                        <c:v>20.71</c:v>
                      </c:pt>
                      <c:pt idx="3883">
                        <c:v>20.71</c:v>
                      </c:pt>
                      <c:pt idx="3884">
                        <c:v>20.71</c:v>
                      </c:pt>
                      <c:pt idx="3885">
                        <c:v>20.71</c:v>
                      </c:pt>
                      <c:pt idx="3886">
                        <c:v>20.71</c:v>
                      </c:pt>
                      <c:pt idx="3887">
                        <c:v>20.71</c:v>
                      </c:pt>
                      <c:pt idx="3888">
                        <c:v>20.71</c:v>
                      </c:pt>
                      <c:pt idx="3889">
                        <c:v>20.71</c:v>
                      </c:pt>
                      <c:pt idx="3890">
                        <c:v>20.71</c:v>
                      </c:pt>
                      <c:pt idx="3891">
                        <c:v>20.71</c:v>
                      </c:pt>
                      <c:pt idx="3892">
                        <c:v>20.71</c:v>
                      </c:pt>
                      <c:pt idx="3893">
                        <c:v>20.71</c:v>
                      </c:pt>
                      <c:pt idx="3894">
                        <c:v>20.71</c:v>
                      </c:pt>
                      <c:pt idx="3895">
                        <c:v>20.71</c:v>
                      </c:pt>
                      <c:pt idx="3896">
                        <c:v>20.71</c:v>
                      </c:pt>
                      <c:pt idx="3897">
                        <c:v>20.71</c:v>
                      </c:pt>
                      <c:pt idx="3898">
                        <c:v>20.71</c:v>
                      </c:pt>
                      <c:pt idx="3899">
                        <c:v>20.71</c:v>
                      </c:pt>
                      <c:pt idx="3900">
                        <c:v>20.71</c:v>
                      </c:pt>
                      <c:pt idx="3901">
                        <c:v>20.71</c:v>
                      </c:pt>
                      <c:pt idx="3902">
                        <c:v>20.71</c:v>
                      </c:pt>
                      <c:pt idx="3903">
                        <c:v>20.71</c:v>
                      </c:pt>
                      <c:pt idx="3904">
                        <c:v>20.71</c:v>
                      </c:pt>
                      <c:pt idx="3905">
                        <c:v>20.71</c:v>
                      </c:pt>
                      <c:pt idx="3906">
                        <c:v>20.71</c:v>
                      </c:pt>
                      <c:pt idx="3907">
                        <c:v>20.71</c:v>
                      </c:pt>
                      <c:pt idx="3908">
                        <c:v>20.71</c:v>
                      </c:pt>
                      <c:pt idx="3909">
                        <c:v>20.71</c:v>
                      </c:pt>
                      <c:pt idx="3910">
                        <c:v>20.71</c:v>
                      </c:pt>
                      <c:pt idx="3911">
                        <c:v>20.71</c:v>
                      </c:pt>
                      <c:pt idx="3912">
                        <c:v>20.71</c:v>
                      </c:pt>
                      <c:pt idx="3913">
                        <c:v>20.71</c:v>
                      </c:pt>
                      <c:pt idx="3914">
                        <c:v>20.71</c:v>
                      </c:pt>
                      <c:pt idx="3915">
                        <c:v>20.71</c:v>
                      </c:pt>
                      <c:pt idx="3916">
                        <c:v>20.71</c:v>
                      </c:pt>
                      <c:pt idx="3917">
                        <c:v>20.71</c:v>
                      </c:pt>
                      <c:pt idx="3918">
                        <c:v>20.71</c:v>
                      </c:pt>
                      <c:pt idx="3919">
                        <c:v>20.71</c:v>
                      </c:pt>
                      <c:pt idx="3920">
                        <c:v>20.71</c:v>
                      </c:pt>
                      <c:pt idx="3921">
                        <c:v>20.71</c:v>
                      </c:pt>
                      <c:pt idx="3922">
                        <c:v>20.71</c:v>
                      </c:pt>
                      <c:pt idx="3923">
                        <c:v>20.71</c:v>
                      </c:pt>
                      <c:pt idx="3924">
                        <c:v>20.71</c:v>
                      </c:pt>
                      <c:pt idx="3925">
                        <c:v>20.71</c:v>
                      </c:pt>
                      <c:pt idx="3926">
                        <c:v>20.71</c:v>
                      </c:pt>
                      <c:pt idx="3927">
                        <c:v>20.71</c:v>
                      </c:pt>
                      <c:pt idx="3928">
                        <c:v>20.71</c:v>
                      </c:pt>
                      <c:pt idx="3929">
                        <c:v>20.71</c:v>
                      </c:pt>
                      <c:pt idx="3930">
                        <c:v>20.71</c:v>
                      </c:pt>
                      <c:pt idx="3931">
                        <c:v>20.71</c:v>
                      </c:pt>
                      <c:pt idx="3932">
                        <c:v>20.71</c:v>
                      </c:pt>
                      <c:pt idx="3933">
                        <c:v>20.71</c:v>
                      </c:pt>
                      <c:pt idx="3934">
                        <c:v>20.71</c:v>
                      </c:pt>
                      <c:pt idx="3935">
                        <c:v>20.71</c:v>
                      </c:pt>
                      <c:pt idx="3936">
                        <c:v>20.71</c:v>
                      </c:pt>
                      <c:pt idx="3937">
                        <c:v>20.71</c:v>
                      </c:pt>
                      <c:pt idx="3938">
                        <c:v>20.71</c:v>
                      </c:pt>
                      <c:pt idx="3939">
                        <c:v>20.71</c:v>
                      </c:pt>
                      <c:pt idx="3940">
                        <c:v>20.71</c:v>
                      </c:pt>
                      <c:pt idx="3941">
                        <c:v>20.71</c:v>
                      </c:pt>
                      <c:pt idx="3942">
                        <c:v>20.71</c:v>
                      </c:pt>
                      <c:pt idx="3943">
                        <c:v>20.71</c:v>
                      </c:pt>
                      <c:pt idx="3944">
                        <c:v>20.71</c:v>
                      </c:pt>
                      <c:pt idx="3945">
                        <c:v>20.71</c:v>
                      </c:pt>
                      <c:pt idx="3946">
                        <c:v>20.71</c:v>
                      </c:pt>
                      <c:pt idx="3947">
                        <c:v>20.71</c:v>
                      </c:pt>
                      <c:pt idx="3948">
                        <c:v>20.71</c:v>
                      </c:pt>
                      <c:pt idx="3949">
                        <c:v>20.71</c:v>
                      </c:pt>
                      <c:pt idx="3950">
                        <c:v>20.71</c:v>
                      </c:pt>
                      <c:pt idx="3951">
                        <c:v>20.71</c:v>
                      </c:pt>
                      <c:pt idx="3952">
                        <c:v>20.71</c:v>
                      </c:pt>
                      <c:pt idx="3953">
                        <c:v>20.71</c:v>
                      </c:pt>
                      <c:pt idx="3954">
                        <c:v>20.71</c:v>
                      </c:pt>
                      <c:pt idx="3955">
                        <c:v>20.71</c:v>
                      </c:pt>
                      <c:pt idx="3956">
                        <c:v>20.71</c:v>
                      </c:pt>
                      <c:pt idx="3957">
                        <c:v>20.71</c:v>
                      </c:pt>
                      <c:pt idx="3958">
                        <c:v>20.71</c:v>
                      </c:pt>
                      <c:pt idx="3959">
                        <c:v>20.71</c:v>
                      </c:pt>
                      <c:pt idx="3960">
                        <c:v>20.71</c:v>
                      </c:pt>
                      <c:pt idx="3961">
                        <c:v>20.71</c:v>
                      </c:pt>
                      <c:pt idx="3962">
                        <c:v>20.71</c:v>
                      </c:pt>
                      <c:pt idx="3963">
                        <c:v>20.71</c:v>
                      </c:pt>
                      <c:pt idx="3964">
                        <c:v>20.71</c:v>
                      </c:pt>
                      <c:pt idx="3965">
                        <c:v>20.71</c:v>
                      </c:pt>
                      <c:pt idx="3966">
                        <c:v>20.71</c:v>
                      </c:pt>
                      <c:pt idx="3967">
                        <c:v>20.71</c:v>
                      </c:pt>
                      <c:pt idx="3968">
                        <c:v>20.71</c:v>
                      </c:pt>
                      <c:pt idx="3969">
                        <c:v>20.71</c:v>
                      </c:pt>
                      <c:pt idx="3970">
                        <c:v>20.71</c:v>
                      </c:pt>
                      <c:pt idx="3971">
                        <c:v>20.71</c:v>
                      </c:pt>
                      <c:pt idx="3972">
                        <c:v>20.71</c:v>
                      </c:pt>
                      <c:pt idx="3973">
                        <c:v>20.71</c:v>
                      </c:pt>
                      <c:pt idx="3974">
                        <c:v>20.71</c:v>
                      </c:pt>
                      <c:pt idx="3975">
                        <c:v>20.71</c:v>
                      </c:pt>
                      <c:pt idx="3976">
                        <c:v>20.71</c:v>
                      </c:pt>
                      <c:pt idx="3977">
                        <c:v>20.71</c:v>
                      </c:pt>
                      <c:pt idx="3978">
                        <c:v>20.71</c:v>
                      </c:pt>
                      <c:pt idx="3979">
                        <c:v>20.71</c:v>
                      </c:pt>
                      <c:pt idx="3980">
                        <c:v>20.71</c:v>
                      </c:pt>
                      <c:pt idx="3981">
                        <c:v>20.71</c:v>
                      </c:pt>
                      <c:pt idx="3982">
                        <c:v>20.71</c:v>
                      </c:pt>
                      <c:pt idx="3983">
                        <c:v>20.71</c:v>
                      </c:pt>
                      <c:pt idx="3984">
                        <c:v>20.71</c:v>
                      </c:pt>
                      <c:pt idx="3985">
                        <c:v>20.71</c:v>
                      </c:pt>
                      <c:pt idx="3986">
                        <c:v>20.71</c:v>
                      </c:pt>
                      <c:pt idx="3987">
                        <c:v>20.71</c:v>
                      </c:pt>
                      <c:pt idx="3988">
                        <c:v>20.71</c:v>
                      </c:pt>
                      <c:pt idx="3989">
                        <c:v>20.71</c:v>
                      </c:pt>
                      <c:pt idx="3990">
                        <c:v>20.71</c:v>
                      </c:pt>
                      <c:pt idx="3991">
                        <c:v>20.71</c:v>
                      </c:pt>
                      <c:pt idx="3992">
                        <c:v>20.71</c:v>
                      </c:pt>
                      <c:pt idx="3993">
                        <c:v>20.71</c:v>
                      </c:pt>
                      <c:pt idx="3994">
                        <c:v>20.71</c:v>
                      </c:pt>
                      <c:pt idx="3995">
                        <c:v>20.71</c:v>
                      </c:pt>
                      <c:pt idx="3996">
                        <c:v>20.71</c:v>
                      </c:pt>
                      <c:pt idx="3997">
                        <c:v>20.71</c:v>
                      </c:pt>
                      <c:pt idx="3998">
                        <c:v>20.71</c:v>
                      </c:pt>
                      <c:pt idx="3999">
                        <c:v>20.71</c:v>
                      </c:pt>
                      <c:pt idx="4000">
                        <c:v>20.71</c:v>
                      </c:pt>
                      <c:pt idx="4001">
                        <c:v>20.71</c:v>
                      </c:pt>
                      <c:pt idx="4002">
                        <c:v>20.71</c:v>
                      </c:pt>
                      <c:pt idx="4003">
                        <c:v>20.71</c:v>
                      </c:pt>
                      <c:pt idx="4004">
                        <c:v>20.71</c:v>
                      </c:pt>
                      <c:pt idx="4005">
                        <c:v>20.71</c:v>
                      </c:pt>
                      <c:pt idx="4006">
                        <c:v>20.71</c:v>
                      </c:pt>
                      <c:pt idx="4007">
                        <c:v>20.71</c:v>
                      </c:pt>
                      <c:pt idx="4008">
                        <c:v>20.71</c:v>
                      </c:pt>
                      <c:pt idx="4009">
                        <c:v>20.71</c:v>
                      </c:pt>
                      <c:pt idx="4010">
                        <c:v>20.71</c:v>
                      </c:pt>
                      <c:pt idx="4011">
                        <c:v>20.71</c:v>
                      </c:pt>
                      <c:pt idx="4012">
                        <c:v>20.71</c:v>
                      </c:pt>
                      <c:pt idx="4013">
                        <c:v>20.71</c:v>
                      </c:pt>
                      <c:pt idx="4014">
                        <c:v>20.71</c:v>
                      </c:pt>
                      <c:pt idx="4015">
                        <c:v>20.71</c:v>
                      </c:pt>
                      <c:pt idx="4016">
                        <c:v>20.71</c:v>
                      </c:pt>
                      <c:pt idx="4017">
                        <c:v>20.71</c:v>
                      </c:pt>
                      <c:pt idx="4018">
                        <c:v>20.71</c:v>
                      </c:pt>
                      <c:pt idx="4019">
                        <c:v>20.71</c:v>
                      </c:pt>
                      <c:pt idx="4020">
                        <c:v>20.71</c:v>
                      </c:pt>
                      <c:pt idx="4021">
                        <c:v>20.71</c:v>
                      </c:pt>
                      <c:pt idx="4022">
                        <c:v>20.71</c:v>
                      </c:pt>
                      <c:pt idx="4023">
                        <c:v>20.71</c:v>
                      </c:pt>
                      <c:pt idx="4024">
                        <c:v>20.71</c:v>
                      </c:pt>
                      <c:pt idx="4025">
                        <c:v>20.71</c:v>
                      </c:pt>
                      <c:pt idx="4026">
                        <c:v>20.71</c:v>
                      </c:pt>
                      <c:pt idx="4027">
                        <c:v>20.71</c:v>
                      </c:pt>
                      <c:pt idx="4028">
                        <c:v>20.71</c:v>
                      </c:pt>
                      <c:pt idx="4029">
                        <c:v>20.71</c:v>
                      </c:pt>
                      <c:pt idx="4030">
                        <c:v>20.71</c:v>
                      </c:pt>
                      <c:pt idx="4031">
                        <c:v>20.71</c:v>
                      </c:pt>
                      <c:pt idx="4032">
                        <c:v>20.71</c:v>
                      </c:pt>
                      <c:pt idx="4033">
                        <c:v>20.71</c:v>
                      </c:pt>
                      <c:pt idx="4034">
                        <c:v>20.71</c:v>
                      </c:pt>
                      <c:pt idx="4035">
                        <c:v>20.71</c:v>
                      </c:pt>
                      <c:pt idx="4036">
                        <c:v>20.71</c:v>
                      </c:pt>
                      <c:pt idx="4037">
                        <c:v>20.71</c:v>
                      </c:pt>
                      <c:pt idx="4038">
                        <c:v>20.71</c:v>
                      </c:pt>
                      <c:pt idx="4039">
                        <c:v>20.71</c:v>
                      </c:pt>
                      <c:pt idx="4040">
                        <c:v>20.71</c:v>
                      </c:pt>
                      <c:pt idx="4041">
                        <c:v>20.71</c:v>
                      </c:pt>
                      <c:pt idx="4042">
                        <c:v>20.71</c:v>
                      </c:pt>
                      <c:pt idx="4043">
                        <c:v>20.71</c:v>
                      </c:pt>
                      <c:pt idx="4044">
                        <c:v>20.71</c:v>
                      </c:pt>
                      <c:pt idx="4045">
                        <c:v>20.71</c:v>
                      </c:pt>
                      <c:pt idx="4046">
                        <c:v>20.71</c:v>
                      </c:pt>
                      <c:pt idx="4047">
                        <c:v>20.71</c:v>
                      </c:pt>
                      <c:pt idx="4048">
                        <c:v>20.71</c:v>
                      </c:pt>
                      <c:pt idx="4049">
                        <c:v>20.71</c:v>
                      </c:pt>
                      <c:pt idx="4050">
                        <c:v>20.71</c:v>
                      </c:pt>
                      <c:pt idx="4051">
                        <c:v>20.71</c:v>
                      </c:pt>
                      <c:pt idx="4052">
                        <c:v>20.71</c:v>
                      </c:pt>
                      <c:pt idx="4053">
                        <c:v>20.71</c:v>
                      </c:pt>
                      <c:pt idx="4054">
                        <c:v>20.71</c:v>
                      </c:pt>
                      <c:pt idx="4055">
                        <c:v>20.71</c:v>
                      </c:pt>
                      <c:pt idx="4056">
                        <c:v>20.71</c:v>
                      </c:pt>
                      <c:pt idx="4057">
                        <c:v>20.71</c:v>
                      </c:pt>
                      <c:pt idx="4058">
                        <c:v>20.71</c:v>
                      </c:pt>
                      <c:pt idx="4059">
                        <c:v>20.71</c:v>
                      </c:pt>
                      <c:pt idx="4060">
                        <c:v>20.71</c:v>
                      </c:pt>
                      <c:pt idx="4061">
                        <c:v>20.71</c:v>
                      </c:pt>
                      <c:pt idx="4062">
                        <c:v>20.71</c:v>
                      </c:pt>
                      <c:pt idx="4063">
                        <c:v>20.71</c:v>
                      </c:pt>
                      <c:pt idx="4064">
                        <c:v>20.71</c:v>
                      </c:pt>
                      <c:pt idx="4065">
                        <c:v>20.71</c:v>
                      </c:pt>
                      <c:pt idx="4066">
                        <c:v>20.71</c:v>
                      </c:pt>
                      <c:pt idx="4067">
                        <c:v>20.71</c:v>
                      </c:pt>
                      <c:pt idx="4068">
                        <c:v>20.71</c:v>
                      </c:pt>
                      <c:pt idx="4069">
                        <c:v>20.71</c:v>
                      </c:pt>
                      <c:pt idx="4070">
                        <c:v>20.71</c:v>
                      </c:pt>
                      <c:pt idx="4071">
                        <c:v>20.71</c:v>
                      </c:pt>
                      <c:pt idx="4072">
                        <c:v>20.71</c:v>
                      </c:pt>
                      <c:pt idx="4073">
                        <c:v>20.71</c:v>
                      </c:pt>
                      <c:pt idx="4074">
                        <c:v>20.71</c:v>
                      </c:pt>
                      <c:pt idx="4075">
                        <c:v>20.71</c:v>
                      </c:pt>
                      <c:pt idx="4076">
                        <c:v>20.71</c:v>
                      </c:pt>
                      <c:pt idx="4077">
                        <c:v>20.71</c:v>
                      </c:pt>
                      <c:pt idx="4078">
                        <c:v>20.71</c:v>
                      </c:pt>
                      <c:pt idx="4079">
                        <c:v>20.71</c:v>
                      </c:pt>
                      <c:pt idx="4080">
                        <c:v>20.71</c:v>
                      </c:pt>
                      <c:pt idx="4081">
                        <c:v>20.71</c:v>
                      </c:pt>
                      <c:pt idx="4082">
                        <c:v>20.71</c:v>
                      </c:pt>
                      <c:pt idx="4083">
                        <c:v>20.71</c:v>
                      </c:pt>
                      <c:pt idx="4084">
                        <c:v>20.71</c:v>
                      </c:pt>
                      <c:pt idx="4085">
                        <c:v>20.71</c:v>
                      </c:pt>
                      <c:pt idx="4086">
                        <c:v>20.71</c:v>
                      </c:pt>
                      <c:pt idx="4087">
                        <c:v>20.71</c:v>
                      </c:pt>
                      <c:pt idx="4088">
                        <c:v>20.71</c:v>
                      </c:pt>
                      <c:pt idx="4089">
                        <c:v>20.71</c:v>
                      </c:pt>
                      <c:pt idx="4090">
                        <c:v>20.71</c:v>
                      </c:pt>
                      <c:pt idx="4091">
                        <c:v>20.71</c:v>
                      </c:pt>
                      <c:pt idx="4092">
                        <c:v>20.71</c:v>
                      </c:pt>
                      <c:pt idx="4093">
                        <c:v>20.71</c:v>
                      </c:pt>
                      <c:pt idx="4094">
                        <c:v>20.71</c:v>
                      </c:pt>
                      <c:pt idx="4095">
                        <c:v>20.71</c:v>
                      </c:pt>
                      <c:pt idx="4096">
                        <c:v>20.71</c:v>
                      </c:pt>
                      <c:pt idx="4097">
                        <c:v>20.71</c:v>
                      </c:pt>
                      <c:pt idx="4098">
                        <c:v>20.71</c:v>
                      </c:pt>
                      <c:pt idx="4099">
                        <c:v>20.71</c:v>
                      </c:pt>
                      <c:pt idx="4100">
                        <c:v>20.71</c:v>
                      </c:pt>
                      <c:pt idx="4101">
                        <c:v>20.71</c:v>
                      </c:pt>
                      <c:pt idx="4102">
                        <c:v>20.71</c:v>
                      </c:pt>
                      <c:pt idx="4103">
                        <c:v>20.71</c:v>
                      </c:pt>
                      <c:pt idx="4104">
                        <c:v>20.614999999999998</c:v>
                      </c:pt>
                      <c:pt idx="4105">
                        <c:v>20.71</c:v>
                      </c:pt>
                      <c:pt idx="4106">
                        <c:v>20.71</c:v>
                      </c:pt>
                      <c:pt idx="4107">
                        <c:v>20.614999999999998</c:v>
                      </c:pt>
                      <c:pt idx="4108">
                        <c:v>20.71</c:v>
                      </c:pt>
                      <c:pt idx="4109">
                        <c:v>20.71</c:v>
                      </c:pt>
                      <c:pt idx="4110">
                        <c:v>20.614999999999998</c:v>
                      </c:pt>
                      <c:pt idx="4111">
                        <c:v>20.614999999999998</c:v>
                      </c:pt>
                      <c:pt idx="4112">
                        <c:v>20.614999999999998</c:v>
                      </c:pt>
                      <c:pt idx="4113">
                        <c:v>20.614999999999998</c:v>
                      </c:pt>
                      <c:pt idx="4114">
                        <c:v>20.614999999999998</c:v>
                      </c:pt>
                      <c:pt idx="4115">
                        <c:v>20.614999999999998</c:v>
                      </c:pt>
                      <c:pt idx="4116">
                        <c:v>20.614999999999998</c:v>
                      </c:pt>
                      <c:pt idx="4117">
                        <c:v>20.614999999999998</c:v>
                      </c:pt>
                      <c:pt idx="4118">
                        <c:v>20.614999999999998</c:v>
                      </c:pt>
                      <c:pt idx="4119">
                        <c:v>20.614999999999998</c:v>
                      </c:pt>
                      <c:pt idx="4120">
                        <c:v>20.614999999999998</c:v>
                      </c:pt>
                      <c:pt idx="4121">
                        <c:v>20.614999999999998</c:v>
                      </c:pt>
                      <c:pt idx="4122">
                        <c:v>20.614999999999998</c:v>
                      </c:pt>
                      <c:pt idx="4123">
                        <c:v>20.614999999999998</c:v>
                      </c:pt>
                      <c:pt idx="4124">
                        <c:v>20.614999999999998</c:v>
                      </c:pt>
                      <c:pt idx="4125">
                        <c:v>20.614999999999998</c:v>
                      </c:pt>
                      <c:pt idx="4126">
                        <c:v>20.614999999999998</c:v>
                      </c:pt>
                      <c:pt idx="4127">
                        <c:v>20.614999999999998</c:v>
                      </c:pt>
                      <c:pt idx="4128">
                        <c:v>20.614999999999998</c:v>
                      </c:pt>
                      <c:pt idx="4129">
                        <c:v>20.614999999999998</c:v>
                      </c:pt>
                      <c:pt idx="4130">
                        <c:v>20.614999999999998</c:v>
                      </c:pt>
                      <c:pt idx="4131">
                        <c:v>20.614999999999998</c:v>
                      </c:pt>
                      <c:pt idx="4132">
                        <c:v>20.614999999999998</c:v>
                      </c:pt>
                      <c:pt idx="4133">
                        <c:v>20.614999999999998</c:v>
                      </c:pt>
                      <c:pt idx="4134">
                        <c:v>20.614999999999998</c:v>
                      </c:pt>
                      <c:pt idx="4135">
                        <c:v>20.614999999999998</c:v>
                      </c:pt>
                      <c:pt idx="4136">
                        <c:v>20.614999999999998</c:v>
                      </c:pt>
                      <c:pt idx="4137">
                        <c:v>20.614999999999998</c:v>
                      </c:pt>
                      <c:pt idx="4138">
                        <c:v>20.614999999999998</c:v>
                      </c:pt>
                      <c:pt idx="4139">
                        <c:v>20.614999999999998</c:v>
                      </c:pt>
                      <c:pt idx="4140">
                        <c:v>20.614999999999998</c:v>
                      </c:pt>
                      <c:pt idx="4141">
                        <c:v>20.614999999999998</c:v>
                      </c:pt>
                      <c:pt idx="4142">
                        <c:v>20.614999999999998</c:v>
                      </c:pt>
                      <c:pt idx="4143">
                        <c:v>20.614999999999998</c:v>
                      </c:pt>
                      <c:pt idx="4144">
                        <c:v>20.614999999999998</c:v>
                      </c:pt>
                      <c:pt idx="4145">
                        <c:v>20.614999999999998</c:v>
                      </c:pt>
                      <c:pt idx="4146">
                        <c:v>20.614999999999998</c:v>
                      </c:pt>
                      <c:pt idx="4147">
                        <c:v>20.614999999999998</c:v>
                      </c:pt>
                      <c:pt idx="4148">
                        <c:v>20.614999999999998</c:v>
                      </c:pt>
                      <c:pt idx="4149">
                        <c:v>20.614999999999998</c:v>
                      </c:pt>
                      <c:pt idx="4150">
                        <c:v>20.614999999999998</c:v>
                      </c:pt>
                      <c:pt idx="4151">
                        <c:v>20.614999999999998</c:v>
                      </c:pt>
                      <c:pt idx="4152">
                        <c:v>20.614999999999998</c:v>
                      </c:pt>
                      <c:pt idx="4153">
                        <c:v>20.614999999999998</c:v>
                      </c:pt>
                      <c:pt idx="4154">
                        <c:v>20.614999999999998</c:v>
                      </c:pt>
                      <c:pt idx="4155">
                        <c:v>20.614999999999998</c:v>
                      </c:pt>
                      <c:pt idx="4156">
                        <c:v>20.614999999999998</c:v>
                      </c:pt>
                      <c:pt idx="4157">
                        <c:v>20.614999999999998</c:v>
                      </c:pt>
                      <c:pt idx="4158">
                        <c:v>20.614999999999998</c:v>
                      </c:pt>
                      <c:pt idx="4159">
                        <c:v>20.614999999999998</c:v>
                      </c:pt>
                      <c:pt idx="4160">
                        <c:v>20.614999999999998</c:v>
                      </c:pt>
                      <c:pt idx="4161">
                        <c:v>20.614999999999998</c:v>
                      </c:pt>
                      <c:pt idx="4162">
                        <c:v>20.614999999999998</c:v>
                      </c:pt>
                      <c:pt idx="4163">
                        <c:v>20.614999999999998</c:v>
                      </c:pt>
                      <c:pt idx="4164">
                        <c:v>20.614999999999998</c:v>
                      </c:pt>
                      <c:pt idx="4165">
                        <c:v>20.614999999999998</c:v>
                      </c:pt>
                      <c:pt idx="4166">
                        <c:v>20.614999999999998</c:v>
                      </c:pt>
                      <c:pt idx="4167">
                        <c:v>20.614999999999998</c:v>
                      </c:pt>
                      <c:pt idx="4168">
                        <c:v>20.614999999999998</c:v>
                      </c:pt>
                      <c:pt idx="4169">
                        <c:v>20.614999999999998</c:v>
                      </c:pt>
                      <c:pt idx="4170">
                        <c:v>20.614999999999998</c:v>
                      </c:pt>
                      <c:pt idx="4171">
                        <c:v>20.614999999999998</c:v>
                      </c:pt>
                      <c:pt idx="4172">
                        <c:v>20.614999999999998</c:v>
                      </c:pt>
                      <c:pt idx="4173">
                        <c:v>20.614999999999998</c:v>
                      </c:pt>
                      <c:pt idx="4174">
                        <c:v>20.614999999999998</c:v>
                      </c:pt>
                      <c:pt idx="4175">
                        <c:v>20.614999999999998</c:v>
                      </c:pt>
                      <c:pt idx="4176">
                        <c:v>20.614999999999998</c:v>
                      </c:pt>
                      <c:pt idx="4177">
                        <c:v>20.614999999999998</c:v>
                      </c:pt>
                      <c:pt idx="4178">
                        <c:v>20.614999999999998</c:v>
                      </c:pt>
                      <c:pt idx="4179">
                        <c:v>20.614999999999998</c:v>
                      </c:pt>
                      <c:pt idx="4180">
                        <c:v>20.614999999999998</c:v>
                      </c:pt>
                      <c:pt idx="4181">
                        <c:v>20.614999999999998</c:v>
                      </c:pt>
                      <c:pt idx="4182">
                        <c:v>20.614999999999998</c:v>
                      </c:pt>
                      <c:pt idx="4183">
                        <c:v>20.614999999999998</c:v>
                      </c:pt>
                      <c:pt idx="4184">
                        <c:v>20.614999999999998</c:v>
                      </c:pt>
                      <c:pt idx="4185">
                        <c:v>20.614999999999998</c:v>
                      </c:pt>
                      <c:pt idx="4186">
                        <c:v>20.614999999999998</c:v>
                      </c:pt>
                      <c:pt idx="4187">
                        <c:v>20.614999999999998</c:v>
                      </c:pt>
                      <c:pt idx="4188">
                        <c:v>20.614999999999998</c:v>
                      </c:pt>
                      <c:pt idx="4189">
                        <c:v>20.614999999999998</c:v>
                      </c:pt>
                      <c:pt idx="4190">
                        <c:v>20.614999999999998</c:v>
                      </c:pt>
                      <c:pt idx="4191">
                        <c:v>20.614999999999998</c:v>
                      </c:pt>
                      <c:pt idx="4192">
                        <c:v>20.614999999999998</c:v>
                      </c:pt>
                      <c:pt idx="4193">
                        <c:v>20.614999999999998</c:v>
                      </c:pt>
                      <c:pt idx="4194">
                        <c:v>20.614999999999998</c:v>
                      </c:pt>
                      <c:pt idx="4195">
                        <c:v>20.614999999999998</c:v>
                      </c:pt>
                      <c:pt idx="4196">
                        <c:v>20.614999999999998</c:v>
                      </c:pt>
                      <c:pt idx="4197">
                        <c:v>20.614999999999998</c:v>
                      </c:pt>
                      <c:pt idx="4198">
                        <c:v>20.614999999999998</c:v>
                      </c:pt>
                      <c:pt idx="4199">
                        <c:v>20.614999999999998</c:v>
                      </c:pt>
                      <c:pt idx="4200">
                        <c:v>20.614999999999998</c:v>
                      </c:pt>
                      <c:pt idx="4201">
                        <c:v>20.614999999999998</c:v>
                      </c:pt>
                      <c:pt idx="4202">
                        <c:v>20.614999999999998</c:v>
                      </c:pt>
                      <c:pt idx="4203">
                        <c:v>20.614999999999998</c:v>
                      </c:pt>
                      <c:pt idx="4204">
                        <c:v>20.614999999999998</c:v>
                      </c:pt>
                      <c:pt idx="4205">
                        <c:v>20.614999999999998</c:v>
                      </c:pt>
                      <c:pt idx="4206">
                        <c:v>20.614999999999998</c:v>
                      </c:pt>
                      <c:pt idx="4207">
                        <c:v>20.614999999999998</c:v>
                      </c:pt>
                      <c:pt idx="4208">
                        <c:v>20.614999999999998</c:v>
                      </c:pt>
                      <c:pt idx="4209">
                        <c:v>20.614999999999998</c:v>
                      </c:pt>
                      <c:pt idx="4210">
                        <c:v>20.614999999999998</c:v>
                      </c:pt>
                      <c:pt idx="4211">
                        <c:v>20.614999999999998</c:v>
                      </c:pt>
                      <c:pt idx="4212">
                        <c:v>20.614999999999998</c:v>
                      </c:pt>
                      <c:pt idx="4213">
                        <c:v>20.614999999999998</c:v>
                      </c:pt>
                      <c:pt idx="4214">
                        <c:v>20.614999999999998</c:v>
                      </c:pt>
                      <c:pt idx="4215">
                        <c:v>20.614999999999998</c:v>
                      </c:pt>
                      <c:pt idx="4216">
                        <c:v>20.614999999999998</c:v>
                      </c:pt>
                      <c:pt idx="4217">
                        <c:v>20.614999999999998</c:v>
                      </c:pt>
                      <c:pt idx="4218">
                        <c:v>20.614999999999998</c:v>
                      </c:pt>
                      <c:pt idx="4219">
                        <c:v>20.614999999999998</c:v>
                      </c:pt>
                      <c:pt idx="4220">
                        <c:v>20.614999999999998</c:v>
                      </c:pt>
                      <c:pt idx="4221">
                        <c:v>20.614999999999998</c:v>
                      </c:pt>
                      <c:pt idx="4222">
                        <c:v>20.614999999999998</c:v>
                      </c:pt>
                      <c:pt idx="4223">
                        <c:v>20.614999999999998</c:v>
                      </c:pt>
                      <c:pt idx="4224">
                        <c:v>20.614999999999998</c:v>
                      </c:pt>
                      <c:pt idx="4225">
                        <c:v>20.614999999999998</c:v>
                      </c:pt>
                      <c:pt idx="4226">
                        <c:v>20.614999999999998</c:v>
                      </c:pt>
                      <c:pt idx="4227">
                        <c:v>20.614999999999998</c:v>
                      </c:pt>
                      <c:pt idx="4228">
                        <c:v>20.614999999999998</c:v>
                      </c:pt>
                      <c:pt idx="4229">
                        <c:v>20.614999999999998</c:v>
                      </c:pt>
                      <c:pt idx="4230">
                        <c:v>20.614999999999998</c:v>
                      </c:pt>
                      <c:pt idx="4231">
                        <c:v>20.614999999999998</c:v>
                      </c:pt>
                      <c:pt idx="4232">
                        <c:v>20.614999999999998</c:v>
                      </c:pt>
                      <c:pt idx="4233">
                        <c:v>20.614999999999998</c:v>
                      </c:pt>
                      <c:pt idx="4234">
                        <c:v>20.614999999999998</c:v>
                      </c:pt>
                      <c:pt idx="4235">
                        <c:v>20.614999999999998</c:v>
                      </c:pt>
                      <c:pt idx="4236">
                        <c:v>20.614999999999998</c:v>
                      </c:pt>
                      <c:pt idx="4237">
                        <c:v>20.614999999999998</c:v>
                      </c:pt>
                      <c:pt idx="4238">
                        <c:v>20.614999999999998</c:v>
                      </c:pt>
                      <c:pt idx="4239">
                        <c:v>20.614999999999998</c:v>
                      </c:pt>
                      <c:pt idx="4240">
                        <c:v>20.614999999999998</c:v>
                      </c:pt>
                      <c:pt idx="4241">
                        <c:v>20.614999999999998</c:v>
                      </c:pt>
                      <c:pt idx="4242">
                        <c:v>20.614999999999998</c:v>
                      </c:pt>
                      <c:pt idx="4243">
                        <c:v>20.614999999999998</c:v>
                      </c:pt>
                      <c:pt idx="4244">
                        <c:v>20.614999999999998</c:v>
                      </c:pt>
                      <c:pt idx="4245">
                        <c:v>20.614999999999998</c:v>
                      </c:pt>
                      <c:pt idx="4246">
                        <c:v>20.614999999999998</c:v>
                      </c:pt>
                      <c:pt idx="4247">
                        <c:v>20.614999999999998</c:v>
                      </c:pt>
                      <c:pt idx="4248">
                        <c:v>20.614999999999998</c:v>
                      </c:pt>
                      <c:pt idx="4249">
                        <c:v>20.614999999999998</c:v>
                      </c:pt>
                      <c:pt idx="4250">
                        <c:v>20.614999999999998</c:v>
                      </c:pt>
                      <c:pt idx="4251">
                        <c:v>20.614999999999998</c:v>
                      </c:pt>
                      <c:pt idx="4252">
                        <c:v>20.614999999999998</c:v>
                      </c:pt>
                      <c:pt idx="4253">
                        <c:v>20.614999999999998</c:v>
                      </c:pt>
                      <c:pt idx="4254">
                        <c:v>20.614999999999998</c:v>
                      </c:pt>
                      <c:pt idx="4255">
                        <c:v>20.614999999999998</c:v>
                      </c:pt>
                      <c:pt idx="4256">
                        <c:v>20.614999999999998</c:v>
                      </c:pt>
                      <c:pt idx="4257">
                        <c:v>20.614999999999998</c:v>
                      </c:pt>
                      <c:pt idx="4258">
                        <c:v>20.614999999999998</c:v>
                      </c:pt>
                      <c:pt idx="4259">
                        <c:v>20.614999999999998</c:v>
                      </c:pt>
                      <c:pt idx="4260">
                        <c:v>20.614999999999998</c:v>
                      </c:pt>
                      <c:pt idx="4261">
                        <c:v>20.614999999999998</c:v>
                      </c:pt>
                      <c:pt idx="4262">
                        <c:v>20.614999999999998</c:v>
                      </c:pt>
                      <c:pt idx="4263">
                        <c:v>20.614999999999998</c:v>
                      </c:pt>
                      <c:pt idx="4264">
                        <c:v>20.614999999999998</c:v>
                      </c:pt>
                      <c:pt idx="4265">
                        <c:v>20.614999999999998</c:v>
                      </c:pt>
                      <c:pt idx="4266">
                        <c:v>20.614999999999998</c:v>
                      </c:pt>
                      <c:pt idx="4267">
                        <c:v>20.614999999999998</c:v>
                      </c:pt>
                      <c:pt idx="4268">
                        <c:v>20.614999999999998</c:v>
                      </c:pt>
                      <c:pt idx="4269">
                        <c:v>20.614999999999998</c:v>
                      </c:pt>
                      <c:pt idx="4270">
                        <c:v>20.614999999999998</c:v>
                      </c:pt>
                      <c:pt idx="4271">
                        <c:v>20.614999999999998</c:v>
                      </c:pt>
                      <c:pt idx="4272">
                        <c:v>20.614999999999998</c:v>
                      </c:pt>
                      <c:pt idx="4273">
                        <c:v>20.614999999999998</c:v>
                      </c:pt>
                      <c:pt idx="4274">
                        <c:v>20.614999999999998</c:v>
                      </c:pt>
                      <c:pt idx="4275">
                        <c:v>20.614999999999998</c:v>
                      </c:pt>
                      <c:pt idx="4276">
                        <c:v>20.614999999999998</c:v>
                      </c:pt>
                      <c:pt idx="4277">
                        <c:v>20.614999999999998</c:v>
                      </c:pt>
                      <c:pt idx="4278">
                        <c:v>20.614999999999998</c:v>
                      </c:pt>
                      <c:pt idx="4279">
                        <c:v>20.614999999999998</c:v>
                      </c:pt>
                      <c:pt idx="4280">
                        <c:v>20.614999999999998</c:v>
                      </c:pt>
                      <c:pt idx="4281">
                        <c:v>20.614999999999998</c:v>
                      </c:pt>
                      <c:pt idx="4282">
                        <c:v>20.614999999999998</c:v>
                      </c:pt>
                      <c:pt idx="4283">
                        <c:v>20.614999999999998</c:v>
                      </c:pt>
                      <c:pt idx="4284">
                        <c:v>20.614999999999998</c:v>
                      </c:pt>
                      <c:pt idx="4285">
                        <c:v>20.614999999999998</c:v>
                      </c:pt>
                      <c:pt idx="4286">
                        <c:v>20.614999999999998</c:v>
                      </c:pt>
                      <c:pt idx="4287">
                        <c:v>20.614999999999998</c:v>
                      </c:pt>
                      <c:pt idx="4288">
                        <c:v>20.614999999999998</c:v>
                      </c:pt>
                      <c:pt idx="4289">
                        <c:v>20.614999999999998</c:v>
                      </c:pt>
                      <c:pt idx="4290">
                        <c:v>20.614999999999998</c:v>
                      </c:pt>
                      <c:pt idx="4291">
                        <c:v>20.614999999999998</c:v>
                      </c:pt>
                      <c:pt idx="4292">
                        <c:v>20.614999999999998</c:v>
                      </c:pt>
                      <c:pt idx="4293">
                        <c:v>20.614999999999998</c:v>
                      </c:pt>
                      <c:pt idx="4294">
                        <c:v>20.614999999999998</c:v>
                      </c:pt>
                      <c:pt idx="4295">
                        <c:v>20.614999999999998</c:v>
                      </c:pt>
                      <c:pt idx="4296">
                        <c:v>20.614999999999998</c:v>
                      </c:pt>
                      <c:pt idx="4297">
                        <c:v>20.614999999999998</c:v>
                      </c:pt>
                      <c:pt idx="4298">
                        <c:v>20.614999999999998</c:v>
                      </c:pt>
                      <c:pt idx="4299">
                        <c:v>20.614999999999998</c:v>
                      </c:pt>
                      <c:pt idx="4300">
                        <c:v>20.614999999999998</c:v>
                      </c:pt>
                      <c:pt idx="4301">
                        <c:v>20.614999999999998</c:v>
                      </c:pt>
                      <c:pt idx="4302">
                        <c:v>20.614999999999998</c:v>
                      </c:pt>
                      <c:pt idx="4303">
                        <c:v>20.614999999999998</c:v>
                      </c:pt>
                      <c:pt idx="4304">
                        <c:v>20.614999999999998</c:v>
                      </c:pt>
                      <c:pt idx="4305">
                        <c:v>20.614999999999998</c:v>
                      </c:pt>
                      <c:pt idx="4306">
                        <c:v>20.614999999999998</c:v>
                      </c:pt>
                      <c:pt idx="4307">
                        <c:v>20.614999999999998</c:v>
                      </c:pt>
                      <c:pt idx="4308">
                        <c:v>20.614999999999998</c:v>
                      </c:pt>
                      <c:pt idx="4309">
                        <c:v>20.614999999999998</c:v>
                      </c:pt>
                      <c:pt idx="4310">
                        <c:v>20.614999999999998</c:v>
                      </c:pt>
                      <c:pt idx="4311">
                        <c:v>20.614999999999998</c:v>
                      </c:pt>
                      <c:pt idx="4312">
                        <c:v>20.614999999999998</c:v>
                      </c:pt>
                      <c:pt idx="4313">
                        <c:v>20.614999999999998</c:v>
                      </c:pt>
                      <c:pt idx="4314">
                        <c:v>20.614999999999998</c:v>
                      </c:pt>
                      <c:pt idx="4315">
                        <c:v>20.614999999999998</c:v>
                      </c:pt>
                      <c:pt idx="4316">
                        <c:v>20.614999999999998</c:v>
                      </c:pt>
                      <c:pt idx="4317">
                        <c:v>20.614999999999998</c:v>
                      </c:pt>
                      <c:pt idx="4318">
                        <c:v>20.614999999999998</c:v>
                      </c:pt>
                      <c:pt idx="4319">
                        <c:v>20.614999999999998</c:v>
                      </c:pt>
                      <c:pt idx="4320">
                        <c:v>20.614999999999998</c:v>
                      </c:pt>
                      <c:pt idx="4321">
                        <c:v>20.614999999999998</c:v>
                      </c:pt>
                      <c:pt idx="4322">
                        <c:v>20.614999999999998</c:v>
                      </c:pt>
                      <c:pt idx="4323">
                        <c:v>20.614999999999998</c:v>
                      </c:pt>
                      <c:pt idx="4324">
                        <c:v>20.614999999999998</c:v>
                      </c:pt>
                      <c:pt idx="4325">
                        <c:v>20.614999999999998</c:v>
                      </c:pt>
                      <c:pt idx="4326">
                        <c:v>20.614999999999998</c:v>
                      </c:pt>
                      <c:pt idx="4327">
                        <c:v>20.614999999999998</c:v>
                      </c:pt>
                      <c:pt idx="4328">
                        <c:v>20.614999999999998</c:v>
                      </c:pt>
                      <c:pt idx="4329">
                        <c:v>20.614999999999998</c:v>
                      </c:pt>
                      <c:pt idx="4330">
                        <c:v>20.614999999999998</c:v>
                      </c:pt>
                      <c:pt idx="4331">
                        <c:v>20.614999999999998</c:v>
                      </c:pt>
                      <c:pt idx="4332">
                        <c:v>20.614999999999998</c:v>
                      </c:pt>
                      <c:pt idx="4333">
                        <c:v>20.614999999999998</c:v>
                      </c:pt>
                      <c:pt idx="4334">
                        <c:v>20.614999999999998</c:v>
                      </c:pt>
                      <c:pt idx="4335">
                        <c:v>20.614999999999998</c:v>
                      </c:pt>
                      <c:pt idx="4336">
                        <c:v>20.614999999999998</c:v>
                      </c:pt>
                      <c:pt idx="4337">
                        <c:v>20.614999999999998</c:v>
                      </c:pt>
                      <c:pt idx="4338">
                        <c:v>20.614999999999998</c:v>
                      </c:pt>
                      <c:pt idx="4339">
                        <c:v>20.614999999999998</c:v>
                      </c:pt>
                      <c:pt idx="4340">
                        <c:v>20.614999999999998</c:v>
                      </c:pt>
                      <c:pt idx="4341">
                        <c:v>20.614999999999998</c:v>
                      </c:pt>
                      <c:pt idx="4342">
                        <c:v>20.614999999999998</c:v>
                      </c:pt>
                      <c:pt idx="4343">
                        <c:v>20.614999999999998</c:v>
                      </c:pt>
                      <c:pt idx="4344">
                        <c:v>20.614999999999998</c:v>
                      </c:pt>
                      <c:pt idx="4345">
                        <c:v>20.614999999999998</c:v>
                      </c:pt>
                      <c:pt idx="4346">
                        <c:v>20.614999999999998</c:v>
                      </c:pt>
                      <c:pt idx="4347">
                        <c:v>20.71</c:v>
                      </c:pt>
                      <c:pt idx="4348">
                        <c:v>20.614999999999998</c:v>
                      </c:pt>
                      <c:pt idx="4349">
                        <c:v>20.614999999999998</c:v>
                      </c:pt>
                      <c:pt idx="4350">
                        <c:v>20.614999999999998</c:v>
                      </c:pt>
                      <c:pt idx="4351">
                        <c:v>20.614999999999998</c:v>
                      </c:pt>
                      <c:pt idx="4352">
                        <c:v>20.614999999999998</c:v>
                      </c:pt>
                      <c:pt idx="4353">
                        <c:v>20.614999999999998</c:v>
                      </c:pt>
                      <c:pt idx="4354">
                        <c:v>20.614999999999998</c:v>
                      </c:pt>
                      <c:pt idx="4355">
                        <c:v>20.614999999999998</c:v>
                      </c:pt>
                      <c:pt idx="4356">
                        <c:v>20.614999999999998</c:v>
                      </c:pt>
                      <c:pt idx="4357">
                        <c:v>20.614999999999998</c:v>
                      </c:pt>
                      <c:pt idx="4358">
                        <c:v>20.614999999999998</c:v>
                      </c:pt>
                      <c:pt idx="4359">
                        <c:v>20.71</c:v>
                      </c:pt>
                      <c:pt idx="4360">
                        <c:v>20.614999999999998</c:v>
                      </c:pt>
                      <c:pt idx="4361">
                        <c:v>20.614999999999998</c:v>
                      </c:pt>
                      <c:pt idx="4362">
                        <c:v>20.614999999999998</c:v>
                      </c:pt>
                      <c:pt idx="4363">
                        <c:v>20.614999999999998</c:v>
                      </c:pt>
                      <c:pt idx="4364">
                        <c:v>20.614999999999998</c:v>
                      </c:pt>
                      <c:pt idx="4365">
                        <c:v>20.614999999999998</c:v>
                      </c:pt>
                      <c:pt idx="4366">
                        <c:v>20.71</c:v>
                      </c:pt>
                      <c:pt idx="4367">
                        <c:v>20.614999999999998</c:v>
                      </c:pt>
                      <c:pt idx="4368">
                        <c:v>20.614999999999998</c:v>
                      </c:pt>
                      <c:pt idx="4369">
                        <c:v>20.614999999999998</c:v>
                      </c:pt>
                      <c:pt idx="4370">
                        <c:v>20.614999999999998</c:v>
                      </c:pt>
                      <c:pt idx="4371">
                        <c:v>20.614999999999998</c:v>
                      </c:pt>
                      <c:pt idx="4372">
                        <c:v>20.614999999999998</c:v>
                      </c:pt>
                      <c:pt idx="4373">
                        <c:v>20.614999999999998</c:v>
                      </c:pt>
                      <c:pt idx="4374">
                        <c:v>20.614999999999998</c:v>
                      </c:pt>
                      <c:pt idx="4375">
                        <c:v>20.614999999999998</c:v>
                      </c:pt>
                      <c:pt idx="4376">
                        <c:v>20.614999999999998</c:v>
                      </c:pt>
                      <c:pt idx="4377">
                        <c:v>20.614999999999998</c:v>
                      </c:pt>
                      <c:pt idx="4378">
                        <c:v>20.614999999999998</c:v>
                      </c:pt>
                      <c:pt idx="4379">
                        <c:v>20.614999999999998</c:v>
                      </c:pt>
                      <c:pt idx="4380">
                        <c:v>20.614999999999998</c:v>
                      </c:pt>
                      <c:pt idx="4381">
                        <c:v>20.614999999999998</c:v>
                      </c:pt>
                      <c:pt idx="4382">
                        <c:v>20.614999999999998</c:v>
                      </c:pt>
                      <c:pt idx="4383">
                        <c:v>20.614999999999998</c:v>
                      </c:pt>
                      <c:pt idx="4384">
                        <c:v>20.614999999999998</c:v>
                      </c:pt>
                      <c:pt idx="4385">
                        <c:v>20.614999999999998</c:v>
                      </c:pt>
                      <c:pt idx="4386">
                        <c:v>20.614999999999998</c:v>
                      </c:pt>
                      <c:pt idx="4387">
                        <c:v>20.614999999999998</c:v>
                      </c:pt>
                      <c:pt idx="4388">
                        <c:v>20.614999999999998</c:v>
                      </c:pt>
                      <c:pt idx="4389">
                        <c:v>20.614999999999998</c:v>
                      </c:pt>
                      <c:pt idx="4390">
                        <c:v>20.614999999999998</c:v>
                      </c:pt>
                      <c:pt idx="4391">
                        <c:v>20.614999999999998</c:v>
                      </c:pt>
                      <c:pt idx="4392">
                        <c:v>20.614999999999998</c:v>
                      </c:pt>
                      <c:pt idx="4393">
                        <c:v>20.614999999999998</c:v>
                      </c:pt>
                      <c:pt idx="4394">
                        <c:v>20.614999999999998</c:v>
                      </c:pt>
                      <c:pt idx="4395">
                        <c:v>20.614999999999998</c:v>
                      </c:pt>
                      <c:pt idx="4396">
                        <c:v>20.614999999999998</c:v>
                      </c:pt>
                      <c:pt idx="4397">
                        <c:v>20.614999999999998</c:v>
                      </c:pt>
                      <c:pt idx="4398">
                        <c:v>20.614999999999998</c:v>
                      </c:pt>
                      <c:pt idx="4399">
                        <c:v>20.614999999999998</c:v>
                      </c:pt>
                      <c:pt idx="4400">
                        <c:v>20.614999999999998</c:v>
                      </c:pt>
                      <c:pt idx="4401">
                        <c:v>20.614999999999998</c:v>
                      </c:pt>
                      <c:pt idx="4402">
                        <c:v>20.614999999999998</c:v>
                      </c:pt>
                      <c:pt idx="4403">
                        <c:v>20.614999999999998</c:v>
                      </c:pt>
                      <c:pt idx="4404">
                        <c:v>20.614999999999998</c:v>
                      </c:pt>
                      <c:pt idx="4405">
                        <c:v>20.614999999999998</c:v>
                      </c:pt>
                      <c:pt idx="4406">
                        <c:v>20.614999999999998</c:v>
                      </c:pt>
                      <c:pt idx="4407">
                        <c:v>20.614999999999998</c:v>
                      </c:pt>
                      <c:pt idx="4408">
                        <c:v>20.614999999999998</c:v>
                      </c:pt>
                      <c:pt idx="4409">
                        <c:v>20.614999999999998</c:v>
                      </c:pt>
                      <c:pt idx="4410">
                        <c:v>20.614999999999998</c:v>
                      </c:pt>
                      <c:pt idx="4411">
                        <c:v>20.614999999999998</c:v>
                      </c:pt>
                      <c:pt idx="4412">
                        <c:v>20.614999999999998</c:v>
                      </c:pt>
                      <c:pt idx="4413">
                        <c:v>20.614999999999998</c:v>
                      </c:pt>
                      <c:pt idx="4414">
                        <c:v>20.614999999999998</c:v>
                      </c:pt>
                      <c:pt idx="4415">
                        <c:v>20.614999999999998</c:v>
                      </c:pt>
                      <c:pt idx="4416">
                        <c:v>20.614999999999998</c:v>
                      </c:pt>
                      <c:pt idx="4417">
                        <c:v>20.614999999999998</c:v>
                      </c:pt>
                      <c:pt idx="4418">
                        <c:v>20.614999999999998</c:v>
                      </c:pt>
                      <c:pt idx="4419">
                        <c:v>20.614999999999998</c:v>
                      </c:pt>
                      <c:pt idx="4420">
                        <c:v>20.614999999999998</c:v>
                      </c:pt>
                      <c:pt idx="4421">
                        <c:v>20.614999999999998</c:v>
                      </c:pt>
                      <c:pt idx="4422">
                        <c:v>20.614999999999998</c:v>
                      </c:pt>
                      <c:pt idx="4423">
                        <c:v>20.614999999999998</c:v>
                      </c:pt>
                      <c:pt idx="4424">
                        <c:v>20.614999999999998</c:v>
                      </c:pt>
                      <c:pt idx="4425">
                        <c:v>20.614999999999998</c:v>
                      </c:pt>
                      <c:pt idx="4426">
                        <c:v>20.614999999999998</c:v>
                      </c:pt>
                      <c:pt idx="4427">
                        <c:v>20.614999999999998</c:v>
                      </c:pt>
                      <c:pt idx="4428">
                        <c:v>20.614999999999998</c:v>
                      </c:pt>
                      <c:pt idx="4429">
                        <c:v>20.614999999999998</c:v>
                      </c:pt>
                      <c:pt idx="4430">
                        <c:v>20.614999999999998</c:v>
                      </c:pt>
                      <c:pt idx="4431">
                        <c:v>20.614999999999998</c:v>
                      </c:pt>
                      <c:pt idx="4432">
                        <c:v>20.614999999999998</c:v>
                      </c:pt>
                      <c:pt idx="4433">
                        <c:v>20.614999999999998</c:v>
                      </c:pt>
                      <c:pt idx="4434">
                        <c:v>20.614999999999998</c:v>
                      </c:pt>
                      <c:pt idx="4435">
                        <c:v>20.614999999999998</c:v>
                      </c:pt>
                      <c:pt idx="4436">
                        <c:v>20.614999999999998</c:v>
                      </c:pt>
                      <c:pt idx="4437">
                        <c:v>20.614999999999998</c:v>
                      </c:pt>
                      <c:pt idx="4438">
                        <c:v>20.614999999999998</c:v>
                      </c:pt>
                      <c:pt idx="4439">
                        <c:v>20.614999999999998</c:v>
                      </c:pt>
                      <c:pt idx="4440">
                        <c:v>20.614999999999998</c:v>
                      </c:pt>
                      <c:pt idx="4441">
                        <c:v>20.614999999999998</c:v>
                      </c:pt>
                      <c:pt idx="4442">
                        <c:v>20.614999999999998</c:v>
                      </c:pt>
                      <c:pt idx="4443">
                        <c:v>20.614999999999998</c:v>
                      </c:pt>
                      <c:pt idx="4444">
                        <c:v>20.614999999999998</c:v>
                      </c:pt>
                      <c:pt idx="4445">
                        <c:v>20.614999999999998</c:v>
                      </c:pt>
                      <c:pt idx="4446">
                        <c:v>20.614999999999998</c:v>
                      </c:pt>
                      <c:pt idx="4447">
                        <c:v>20.614999999999998</c:v>
                      </c:pt>
                      <c:pt idx="4448">
                        <c:v>20.614999999999998</c:v>
                      </c:pt>
                      <c:pt idx="4449">
                        <c:v>20.614999999999998</c:v>
                      </c:pt>
                      <c:pt idx="4450">
                        <c:v>20.614999999999998</c:v>
                      </c:pt>
                      <c:pt idx="4451">
                        <c:v>20.614999999999998</c:v>
                      </c:pt>
                      <c:pt idx="4452">
                        <c:v>20.614999999999998</c:v>
                      </c:pt>
                      <c:pt idx="4453">
                        <c:v>20.614999999999998</c:v>
                      </c:pt>
                      <c:pt idx="4454">
                        <c:v>20.614999999999998</c:v>
                      </c:pt>
                      <c:pt idx="4455">
                        <c:v>20.614999999999998</c:v>
                      </c:pt>
                      <c:pt idx="4456">
                        <c:v>20.614999999999998</c:v>
                      </c:pt>
                      <c:pt idx="4457">
                        <c:v>20.614999999999998</c:v>
                      </c:pt>
                      <c:pt idx="4458">
                        <c:v>20.614999999999998</c:v>
                      </c:pt>
                      <c:pt idx="4459">
                        <c:v>20.614999999999998</c:v>
                      </c:pt>
                      <c:pt idx="4460">
                        <c:v>20.614999999999998</c:v>
                      </c:pt>
                      <c:pt idx="4461">
                        <c:v>20.614999999999998</c:v>
                      </c:pt>
                      <c:pt idx="4462">
                        <c:v>20.614999999999998</c:v>
                      </c:pt>
                      <c:pt idx="4463">
                        <c:v>20.614999999999998</c:v>
                      </c:pt>
                      <c:pt idx="4464">
                        <c:v>20.614999999999998</c:v>
                      </c:pt>
                      <c:pt idx="4465">
                        <c:v>20.614999999999998</c:v>
                      </c:pt>
                      <c:pt idx="4466">
                        <c:v>20.614999999999998</c:v>
                      </c:pt>
                      <c:pt idx="4467">
                        <c:v>20.614999999999998</c:v>
                      </c:pt>
                      <c:pt idx="4468">
                        <c:v>20.614999999999998</c:v>
                      </c:pt>
                      <c:pt idx="4469">
                        <c:v>20.614999999999998</c:v>
                      </c:pt>
                      <c:pt idx="4470">
                        <c:v>20.614999999999998</c:v>
                      </c:pt>
                      <c:pt idx="4471">
                        <c:v>20.614999999999998</c:v>
                      </c:pt>
                      <c:pt idx="4472">
                        <c:v>20.614999999999998</c:v>
                      </c:pt>
                      <c:pt idx="4473">
                        <c:v>20.614999999999998</c:v>
                      </c:pt>
                      <c:pt idx="4474">
                        <c:v>20.614999999999998</c:v>
                      </c:pt>
                      <c:pt idx="4475">
                        <c:v>20.614999999999998</c:v>
                      </c:pt>
                      <c:pt idx="4476">
                        <c:v>20.614999999999998</c:v>
                      </c:pt>
                      <c:pt idx="4477">
                        <c:v>20.614999999999998</c:v>
                      </c:pt>
                      <c:pt idx="4478">
                        <c:v>20.614999999999998</c:v>
                      </c:pt>
                      <c:pt idx="4479">
                        <c:v>20.614999999999998</c:v>
                      </c:pt>
                      <c:pt idx="4480">
                        <c:v>20.614999999999998</c:v>
                      </c:pt>
                      <c:pt idx="4481">
                        <c:v>20.614999999999998</c:v>
                      </c:pt>
                      <c:pt idx="4482">
                        <c:v>20.614999999999998</c:v>
                      </c:pt>
                      <c:pt idx="4483">
                        <c:v>20.614999999999998</c:v>
                      </c:pt>
                      <c:pt idx="4484">
                        <c:v>20.614999999999998</c:v>
                      </c:pt>
                      <c:pt idx="4485">
                        <c:v>20.614999999999998</c:v>
                      </c:pt>
                      <c:pt idx="4486">
                        <c:v>20.614999999999998</c:v>
                      </c:pt>
                      <c:pt idx="4487">
                        <c:v>20.614999999999998</c:v>
                      </c:pt>
                      <c:pt idx="4488">
                        <c:v>20.614999999999998</c:v>
                      </c:pt>
                      <c:pt idx="4489">
                        <c:v>20.614999999999998</c:v>
                      </c:pt>
                      <c:pt idx="4490">
                        <c:v>20.614999999999998</c:v>
                      </c:pt>
                      <c:pt idx="4491">
                        <c:v>20.614999999999998</c:v>
                      </c:pt>
                      <c:pt idx="4492">
                        <c:v>20.614999999999998</c:v>
                      </c:pt>
                      <c:pt idx="4493">
                        <c:v>20.614999999999998</c:v>
                      </c:pt>
                      <c:pt idx="4494">
                        <c:v>20.614999999999998</c:v>
                      </c:pt>
                      <c:pt idx="4495">
                        <c:v>20.614999999999998</c:v>
                      </c:pt>
                      <c:pt idx="4496">
                        <c:v>20.614999999999998</c:v>
                      </c:pt>
                      <c:pt idx="4497">
                        <c:v>20.614999999999998</c:v>
                      </c:pt>
                      <c:pt idx="4498">
                        <c:v>20.614999999999998</c:v>
                      </c:pt>
                      <c:pt idx="4499">
                        <c:v>20.614999999999998</c:v>
                      </c:pt>
                      <c:pt idx="4500">
                        <c:v>20.614999999999998</c:v>
                      </c:pt>
                      <c:pt idx="4501">
                        <c:v>20.614999999999998</c:v>
                      </c:pt>
                      <c:pt idx="4502">
                        <c:v>20.614999999999998</c:v>
                      </c:pt>
                      <c:pt idx="4503">
                        <c:v>20.614999999999998</c:v>
                      </c:pt>
                      <c:pt idx="4504">
                        <c:v>20.614999999999998</c:v>
                      </c:pt>
                      <c:pt idx="4505">
                        <c:v>20.614999999999998</c:v>
                      </c:pt>
                      <c:pt idx="4506">
                        <c:v>20.614999999999998</c:v>
                      </c:pt>
                      <c:pt idx="4507">
                        <c:v>20.614999999999998</c:v>
                      </c:pt>
                      <c:pt idx="4508">
                        <c:v>20.614999999999998</c:v>
                      </c:pt>
                      <c:pt idx="4509">
                        <c:v>20.614999999999998</c:v>
                      </c:pt>
                      <c:pt idx="4510">
                        <c:v>20.614999999999998</c:v>
                      </c:pt>
                      <c:pt idx="4511">
                        <c:v>20.614999999999998</c:v>
                      </c:pt>
                      <c:pt idx="4512">
                        <c:v>20.614999999999998</c:v>
                      </c:pt>
                      <c:pt idx="4513">
                        <c:v>20.518999999999998</c:v>
                      </c:pt>
                      <c:pt idx="4514">
                        <c:v>20.614999999999998</c:v>
                      </c:pt>
                      <c:pt idx="4515">
                        <c:v>20.518999999999998</c:v>
                      </c:pt>
                      <c:pt idx="4516">
                        <c:v>20.614999999999998</c:v>
                      </c:pt>
                      <c:pt idx="4517">
                        <c:v>20.518999999999998</c:v>
                      </c:pt>
                      <c:pt idx="4518">
                        <c:v>20.518999999999998</c:v>
                      </c:pt>
                      <c:pt idx="4519">
                        <c:v>20.518999999999998</c:v>
                      </c:pt>
                      <c:pt idx="4520">
                        <c:v>20.518999999999998</c:v>
                      </c:pt>
                      <c:pt idx="4521">
                        <c:v>20.518999999999998</c:v>
                      </c:pt>
                      <c:pt idx="4522">
                        <c:v>20.518999999999998</c:v>
                      </c:pt>
                      <c:pt idx="4523">
                        <c:v>20.518999999999998</c:v>
                      </c:pt>
                      <c:pt idx="4524">
                        <c:v>20.518999999999998</c:v>
                      </c:pt>
                      <c:pt idx="4525">
                        <c:v>20.518999999999998</c:v>
                      </c:pt>
                      <c:pt idx="4526">
                        <c:v>20.518999999999998</c:v>
                      </c:pt>
                      <c:pt idx="4527">
                        <c:v>20.518999999999998</c:v>
                      </c:pt>
                      <c:pt idx="4528">
                        <c:v>20.518999999999998</c:v>
                      </c:pt>
                      <c:pt idx="4529">
                        <c:v>20.518999999999998</c:v>
                      </c:pt>
                      <c:pt idx="4530">
                        <c:v>20.518999999999998</c:v>
                      </c:pt>
                      <c:pt idx="4531">
                        <c:v>20.518999999999998</c:v>
                      </c:pt>
                      <c:pt idx="4532">
                        <c:v>20.518999999999998</c:v>
                      </c:pt>
                      <c:pt idx="4533">
                        <c:v>20.518999999999998</c:v>
                      </c:pt>
                      <c:pt idx="4534">
                        <c:v>20.518999999999998</c:v>
                      </c:pt>
                      <c:pt idx="4535">
                        <c:v>20.518999999999998</c:v>
                      </c:pt>
                      <c:pt idx="4536">
                        <c:v>20.518999999999998</c:v>
                      </c:pt>
                      <c:pt idx="4537">
                        <c:v>20.518999999999998</c:v>
                      </c:pt>
                      <c:pt idx="4538">
                        <c:v>20.518999999999998</c:v>
                      </c:pt>
                      <c:pt idx="4539">
                        <c:v>20.518999999999998</c:v>
                      </c:pt>
                      <c:pt idx="4540">
                        <c:v>20.518999999999998</c:v>
                      </c:pt>
                      <c:pt idx="4541">
                        <c:v>20.518999999999998</c:v>
                      </c:pt>
                      <c:pt idx="4542">
                        <c:v>20.518999999999998</c:v>
                      </c:pt>
                      <c:pt idx="4543">
                        <c:v>20.518999999999998</c:v>
                      </c:pt>
                      <c:pt idx="4544">
                        <c:v>20.518999999999998</c:v>
                      </c:pt>
                      <c:pt idx="4545">
                        <c:v>20.518999999999998</c:v>
                      </c:pt>
                      <c:pt idx="4546">
                        <c:v>20.518999999999998</c:v>
                      </c:pt>
                      <c:pt idx="4547">
                        <c:v>20.518999999999998</c:v>
                      </c:pt>
                      <c:pt idx="4548">
                        <c:v>20.518999999999998</c:v>
                      </c:pt>
                      <c:pt idx="4549">
                        <c:v>20.518999999999998</c:v>
                      </c:pt>
                      <c:pt idx="4550">
                        <c:v>20.518999999999998</c:v>
                      </c:pt>
                      <c:pt idx="4551">
                        <c:v>20.518999999999998</c:v>
                      </c:pt>
                      <c:pt idx="4552">
                        <c:v>20.518999999999998</c:v>
                      </c:pt>
                      <c:pt idx="4553">
                        <c:v>20.518999999999998</c:v>
                      </c:pt>
                      <c:pt idx="4554">
                        <c:v>20.518999999999998</c:v>
                      </c:pt>
                      <c:pt idx="4555">
                        <c:v>20.518999999999998</c:v>
                      </c:pt>
                      <c:pt idx="4556">
                        <c:v>20.518999999999998</c:v>
                      </c:pt>
                      <c:pt idx="4557">
                        <c:v>20.518999999999998</c:v>
                      </c:pt>
                      <c:pt idx="4558">
                        <c:v>20.518999999999998</c:v>
                      </c:pt>
                      <c:pt idx="4559">
                        <c:v>20.518999999999998</c:v>
                      </c:pt>
                      <c:pt idx="4560">
                        <c:v>20.518999999999998</c:v>
                      </c:pt>
                      <c:pt idx="4561">
                        <c:v>20.518999999999998</c:v>
                      </c:pt>
                      <c:pt idx="4562">
                        <c:v>20.518999999999998</c:v>
                      </c:pt>
                      <c:pt idx="4563">
                        <c:v>20.518999999999998</c:v>
                      </c:pt>
                      <c:pt idx="4564">
                        <c:v>20.518999999999998</c:v>
                      </c:pt>
                      <c:pt idx="4565">
                        <c:v>20.518999999999998</c:v>
                      </c:pt>
                      <c:pt idx="4566">
                        <c:v>20.518999999999998</c:v>
                      </c:pt>
                      <c:pt idx="4567">
                        <c:v>20.518999999999998</c:v>
                      </c:pt>
                      <c:pt idx="4568">
                        <c:v>20.518999999999998</c:v>
                      </c:pt>
                      <c:pt idx="4569">
                        <c:v>20.518999999999998</c:v>
                      </c:pt>
                      <c:pt idx="4570">
                        <c:v>20.518999999999998</c:v>
                      </c:pt>
                      <c:pt idx="4571">
                        <c:v>20.518999999999998</c:v>
                      </c:pt>
                      <c:pt idx="4572">
                        <c:v>20.518999999999998</c:v>
                      </c:pt>
                      <c:pt idx="4573">
                        <c:v>20.518999999999998</c:v>
                      </c:pt>
                      <c:pt idx="4574">
                        <c:v>20.518999999999998</c:v>
                      </c:pt>
                      <c:pt idx="4575">
                        <c:v>20.518999999999998</c:v>
                      </c:pt>
                      <c:pt idx="4576">
                        <c:v>20.518999999999998</c:v>
                      </c:pt>
                      <c:pt idx="4577">
                        <c:v>20.518999999999998</c:v>
                      </c:pt>
                      <c:pt idx="4578">
                        <c:v>20.518999999999998</c:v>
                      </c:pt>
                      <c:pt idx="4579">
                        <c:v>20.518999999999998</c:v>
                      </c:pt>
                      <c:pt idx="4580">
                        <c:v>20.518999999999998</c:v>
                      </c:pt>
                      <c:pt idx="4581">
                        <c:v>20.518999999999998</c:v>
                      </c:pt>
                      <c:pt idx="4582">
                        <c:v>20.518999999999998</c:v>
                      </c:pt>
                      <c:pt idx="4583">
                        <c:v>20.518999999999998</c:v>
                      </c:pt>
                      <c:pt idx="4584">
                        <c:v>20.518999999999998</c:v>
                      </c:pt>
                      <c:pt idx="4585">
                        <c:v>20.518999999999998</c:v>
                      </c:pt>
                      <c:pt idx="4586">
                        <c:v>20.518999999999998</c:v>
                      </c:pt>
                      <c:pt idx="4587">
                        <c:v>20.518999999999998</c:v>
                      </c:pt>
                      <c:pt idx="4588">
                        <c:v>20.518999999999998</c:v>
                      </c:pt>
                      <c:pt idx="4589">
                        <c:v>20.518999999999998</c:v>
                      </c:pt>
                      <c:pt idx="4590">
                        <c:v>20.518999999999998</c:v>
                      </c:pt>
                      <c:pt idx="4591">
                        <c:v>20.518999999999998</c:v>
                      </c:pt>
                      <c:pt idx="4592">
                        <c:v>20.518999999999998</c:v>
                      </c:pt>
                      <c:pt idx="4593">
                        <c:v>20.518999999999998</c:v>
                      </c:pt>
                      <c:pt idx="4594">
                        <c:v>20.518999999999998</c:v>
                      </c:pt>
                      <c:pt idx="4595">
                        <c:v>20.518999999999998</c:v>
                      </c:pt>
                      <c:pt idx="4596">
                        <c:v>20.518999999999998</c:v>
                      </c:pt>
                      <c:pt idx="4597">
                        <c:v>20.518999999999998</c:v>
                      </c:pt>
                      <c:pt idx="4598">
                        <c:v>20.518999999999998</c:v>
                      </c:pt>
                      <c:pt idx="4599">
                        <c:v>20.518999999999998</c:v>
                      </c:pt>
                      <c:pt idx="4600">
                        <c:v>20.518999999999998</c:v>
                      </c:pt>
                      <c:pt idx="4601">
                        <c:v>20.518999999999998</c:v>
                      </c:pt>
                      <c:pt idx="4602">
                        <c:v>20.518999999999998</c:v>
                      </c:pt>
                      <c:pt idx="4603">
                        <c:v>20.518999999999998</c:v>
                      </c:pt>
                      <c:pt idx="4604">
                        <c:v>20.518999999999998</c:v>
                      </c:pt>
                      <c:pt idx="4605">
                        <c:v>20.518999999999998</c:v>
                      </c:pt>
                      <c:pt idx="4606">
                        <c:v>20.518999999999998</c:v>
                      </c:pt>
                      <c:pt idx="4607">
                        <c:v>20.518999999999998</c:v>
                      </c:pt>
                      <c:pt idx="4608">
                        <c:v>20.518999999999998</c:v>
                      </c:pt>
                      <c:pt idx="4609">
                        <c:v>20.518999999999998</c:v>
                      </c:pt>
                      <c:pt idx="4610">
                        <c:v>20.518999999999998</c:v>
                      </c:pt>
                      <c:pt idx="4611">
                        <c:v>20.518999999999998</c:v>
                      </c:pt>
                      <c:pt idx="4612">
                        <c:v>20.518999999999998</c:v>
                      </c:pt>
                      <c:pt idx="4613">
                        <c:v>20.518999999999998</c:v>
                      </c:pt>
                      <c:pt idx="4614">
                        <c:v>20.518999999999998</c:v>
                      </c:pt>
                      <c:pt idx="4615">
                        <c:v>20.518999999999998</c:v>
                      </c:pt>
                      <c:pt idx="4616">
                        <c:v>20.518999999999998</c:v>
                      </c:pt>
                      <c:pt idx="4617">
                        <c:v>20.518999999999998</c:v>
                      </c:pt>
                      <c:pt idx="4618">
                        <c:v>20.518999999999998</c:v>
                      </c:pt>
                      <c:pt idx="4619">
                        <c:v>20.518999999999998</c:v>
                      </c:pt>
                      <c:pt idx="4620">
                        <c:v>20.518999999999998</c:v>
                      </c:pt>
                      <c:pt idx="4621">
                        <c:v>20.518999999999998</c:v>
                      </c:pt>
                      <c:pt idx="4622">
                        <c:v>20.518999999999998</c:v>
                      </c:pt>
                      <c:pt idx="4623">
                        <c:v>20.518999999999998</c:v>
                      </c:pt>
                      <c:pt idx="4624">
                        <c:v>20.518999999999998</c:v>
                      </c:pt>
                      <c:pt idx="4625">
                        <c:v>20.518999999999998</c:v>
                      </c:pt>
                      <c:pt idx="4626">
                        <c:v>20.518999999999998</c:v>
                      </c:pt>
                      <c:pt idx="4627">
                        <c:v>20.518999999999998</c:v>
                      </c:pt>
                      <c:pt idx="4628">
                        <c:v>20.518999999999998</c:v>
                      </c:pt>
                      <c:pt idx="4629">
                        <c:v>20.518999999999998</c:v>
                      </c:pt>
                      <c:pt idx="4630">
                        <c:v>20.518999999999998</c:v>
                      </c:pt>
                      <c:pt idx="4631">
                        <c:v>20.518999999999998</c:v>
                      </c:pt>
                      <c:pt idx="4632">
                        <c:v>20.518999999999998</c:v>
                      </c:pt>
                      <c:pt idx="4633">
                        <c:v>20.518999999999998</c:v>
                      </c:pt>
                      <c:pt idx="4634">
                        <c:v>20.518999999999998</c:v>
                      </c:pt>
                      <c:pt idx="4635">
                        <c:v>20.518999999999998</c:v>
                      </c:pt>
                      <c:pt idx="4636">
                        <c:v>20.518999999999998</c:v>
                      </c:pt>
                      <c:pt idx="4637">
                        <c:v>20.518999999999998</c:v>
                      </c:pt>
                      <c:pt idx="4638">
                        <c:v>20.518999999999998</c:v>
                      </c:pt>
                      <c:pt idx="4639">
                        <c:v>20.518999999999998</c:v>
                      </c:pt>
                      <c:pt idx="4640">
                        <c:v>20.518999999999998</c:v>
                      </c:pt>
                      <c:pt idx="4641">
                        <c:v>20.518999999999998</c:v>
                      </c:pt>
                      <c:pt idx="4642">
                        <c:v>20.518999999999998</c:v>
                      </c:pt>
                      <c:pt idx="4643">
                        <c:v>20.518999999999998</c:v>
                      </c:pt>
                      <c:pt idx="4644">
                        <c:v>20.518999999999998</c:v>
                      </c:pt>
                      <c:pt idx="4645">
                        <c:v>20.518999999999998</c:v>
                      </c:pt>
                      <c:pt idx="4646">
                        <c:v>20.518999999999998</c:v>
                      </c:pt>
                      <c:pt idx="4647">
                        <c:v>20.518999999999998</c:v>
                      </c:pt>
                      <c:pt idx="4648">
                        <c:v>20.518999999999998</c:v>
                      </c:pt>
                      <c:pt idx="4649">
                        <c:v>20.518999999999998</c:v>
                      </c:pt>
                      <c:pt idx="4650">
                        <c:v>20.518999999999998</c:v>
                      </c:pt>
                      <c:pt idx="4651">
                        <c:v>20.518999999999998</c:v>
                      </c:pt>
                      <c:pt idx="4652">
                        <c:v>20.518999999999998</c:v>
                      </c:pt>
                      <c:pt idx="4653">
                        <c:v>20.518999999999998</c:v>
                      </c:pt>
                      <c:pt idx="4654">
                        <c:v>20.518999999999998</c:v>
                      </c:pt>
                      <c:pt idx="4655">
                        <c:v>20.518999999999998</c:v>
                      </c:pt>
                      <c:pt idx="4656">
                        <c:v>20.518999999999998</c:v>
                      </c:pt>
                      <c:pt idx="4657">
                        <c:v>20.518999999999998</c:v>
                      </c:pt>
                      <c:pt idx="4658">
                        <c:v>20.518999999999998</c:v>
                      </c:pt>
                      <c:pt idx="4659">
                        <c:v>20.518999999999998</c:v>
                      </c:pt>
                      <c:pt idx="4660">
                        <c:v>20.518999999999998</c:v>
                      </c:pt>
                      <c:pt idx="4661">
                        <c:v>20.518999999999998</c:v>
                      </c:pt>
                      <c:pt idx="4662">
                        <c:v>20.518999999999998</c:v>
                      </c:pt>
                      <c:pt idx="4663">
                        <c:v>20.518999999999998</c:v>
                      </c:pt>
                      <c:pt idx="4664">
                        <c:v>20.518999999999998</c:v>
                      </c:pt>
                      <c:pt idx="4665">
                        <c:v>20.518999999999998</c:v>
                      </c:pt>
                      <c:pt idx="4666">
                        <c:v>20.518999999999998</c:v>
                      </c:pt>
                      <c:pt idx="4667">
                        <c:v>20.518999999999998</c:v>
                      </c:pt>
                      <c:pt idx="4668">
                        <c:v>20.518999999999998</c:v>
                      </c:pt>
                      <c:pt idx="4669">
                        <c:v>20.518999999999998</c:v>
                      </c:pt>
                      <c:pt idx="4670">
                        <c:v>20.518999999999998</c:v>
                      </c:pt>
                      <c:pt idx="4671">
                        <c:v>20.518999999999998</c:v>
                      </c:pt>
                      <c:pt idx="4672">
                        <c:v>20.518999999999998</c:v>
                      </c:pt>
                      <c:pt idx="4673">
                        <c:v>20.518999999999998</c:v>
                      </c:pt>
                      <c:pt idx="4674">
                        <c:v>20.518999999999998</c:v>
                      </c:pt>
                      <c:pt idx="4675">
                        <c:v>20.518999999999998</c:v>
                      </c:pt>
                      <c:pt idx="4676">
                        <c:v>20.518999999999998</c:v>
                      </c:pt>
                      <c:pt idx="4677">
                        <c:v>20.518999999999998</c:v>
                      </c:pt>
                      <c:pt idx="4678">
                        <c:v>20.518999999999998</c:v>
                      </c:pt>
                      <c:pt idx="4679">
                        <c:v>20.518999999999998</c:v>
                      </c:pt>
                      <c:pt idx="4680">
                        <c:v>20.518999999999998</c:v>
                      </c:pt>
                      <c:pt idx="4681">
                        <c:v>20.518999999999998</c:v>
                      </c:pt>
                      <c:pt idx="4682">
                        <c:v>20.518999999999998</c:v>
                      </c:pt>
                      <c:pt idx="4683">
                        <c:v>20.518999999999998</c:v>
                      </c:pt>
                      <c:pt idx="4684">
                        <c:v>20.518999999999998</c:v>
                      </c:pt>
                      <c:pt idx="4685">
                        <c:v>20.518999999999998</c:v>
                      </c:pt>
                      <c:pt idx="4686">
                        <c:v>20.518999999999998</c:v>
                      </c:pt>
                      <c:pt idx="4687">
                        <c:v>20.518999999999998</c:v>
                      </c:pt>
                      <c:pt idx="4688">
                        <c:v>20.518999999999998</c:v>
                      </c:pt>
                      <c:pt idx="4689">
                        <c:v>20.518999999999998</c:v>
                      </c:pt>
                      <c:pt idx="4690">
                        <c:v>20.518999999999998</c:v>
                      </c:pt>
                      <c:pt idx="4691">
                        <c:v>20.518999999999998</c:v>
                      </c:pt>
                      <c:pt idx="4692">
                        <c:v>20.518999999999998</c:v>
                      </c:pt>
                      <c:pt idx="4693">
                        <c:v>20.518999999999998</c:v>
                      </c:pt>
                      <c:pt idx="4694">
                        <c:v>20.518999999999998</c:v>
                      </c:pt>
                      <c:pt idx="4695">
                        <c:v>20.518999999999998</c:v>
                      </c:pt>
                      <c:pt idx="4696">
                        <c:v>20.518999999999998</c:v>
                      </c:pt>
                      <c:pt idx="4697">
                        <c:v>20.518999999999998</c:v>
                      </c:pt>
                      <c:pt idx="4698">
                        <c:v>20.518999999999998</c:v>
                      </c:pt>
                      <c:pt idx="4699">
                        <c:v>20.518999999999998</c:v>
                      </c:pt>
                      <c:pt idx="4700">
                        <c:v>20.518999999999998</c:v>
                      </c:pt>
                      <c:pt idx="4701">
                        <c:v>20.518999999999998</c:v>
                      </c:pt>
                      <c:pt idx="4702">
                        <c:v>20.518999999999998</c:v>
                      </c:pt>
                      <c:pt idx="4703">
                        <c:v>20.518999999999998</c:v>
                      </c:pt>
                      <c:pt idx="4704">
                        <c:v>20.518999999999998</c:v>
                      </c:pt>
                      <c:pt idx="4705">
                        <c:v>20.518999999999998</c:v>
                      </c:pt>
                      <c:pt idx="4706">
                        <c:v>20.518999999999998</c:v>
                      </c:pt>
                      <c:pt idx="4707">
                        <c:v>20.518999999999998</c:v>
                      </c:pt>
                      <c:pt idx="4708">
                        <c:v>20.518999999999998</c:v>
                      </c:pt>
                      <c:pt idx="4709">
                        <c:v>20.518999999999998</c:v>
                      </c:pt>
                      <c:pt idx="4710">
                        <c:v>20.518999999999998</c:v>
                      </c:pt>
                      <c:pt idx="4711">
                        <c:v>20.518999999999998</c:v>
                      </c:pt>
                      <c:pt idx="4712">
                        <c:v>20.518999999999998</c:v>
                      </c:pt>
                      <c:pt idx="4713">
                        <c:v>20.518999999999998</c:v>
                      </c:pt>
                      <c:pt idx="4714">
                        <c:v>20.518999999999998</c:v>
                      </c:pt>
                      <c:pt idx="4715">
                        <c:v>20.518999999999998</c:v>
                      </c:pt>
                      <c:pt idx="4716">
                        <c:v>20.518999999999998</c:v>
                      </c:pt>
                      <c:pt idx="4717">
                        <c:v>20.518999999999998</c:v>
                      </c:pt>
                      <c:pt idx="4718">
                        <c:v>20.518999999999998</c:v>
                      </c:pt>
                      <c:pt idx="4719">
                        <c:v>20.518999999999998</c:v>
                      </c:pt>
                      <c:pt idx="4720">
                        <c:v>20.518999999999998</c:v>
                      </c:pt>
                      <c:pt idx="4721">
                        <c:v>20.518999999999998</c:v>
                      </c:pt>
                      <c:pt idx="4722">
                        <c:v>20.518999999999998</c:v>
                      </c:pt>
                      <c:pt idx="4723">
                        <c:v>20.518999999999998</c:v>
                      </c:pt>
                      <c:pt idx="4724">
                        <c:v>20.518999999999998</c:v>
                      </c:pt>
                      <c:pt idx="4725">
                        <c:v>20.518999999999998</c:v>
                      </c:pt>
                      <c:pt idx="4726">
                        <c:v>20.518999999999998</c:v>
                      </c:pt>
                      <c:pt idx="4727">
                        <c:v>20.518999999999998</c:v>
                      </c:pt>
                      <c:pt idx="4728">
                        <c:v>20.518999999999998</c:v>
                      </c:pt>
                      <c:pt idx="4729">
                        <c:v>20.518999999999998</c:v>
                      </c:pt>
                      <c:pt idx="4730">
                        <c:v>20.518999999999998</c:v>
                      </c:pt>
                      <c:pt idx="4731">
                        <c:v>20.518999999999998</c:v>
                      </c:pt>
                      <c:pt idx="4732">
                        <c:v>20.518999999999998</c:v>
                      </c:pt>
                      <c:pt idx="4733">
                        <c:v>20.518999999999998</c:v>
                      </c:pt>
                      <c:pt idx="4734">
                        <c:v>20.518999999999998</c:v>
                      </c:pt>
                      <c:pt idx="4735">
                        <c:v>20.518999999999998</c:v>
                      </c:pt>
                      <c:pt idx="4736">
                        <c:v>20.518999999999998</c:v>
                      </c:pt>
                      <c:pt idx="4737">
                        <c:v>20.518999999999998</c:v>
                      </c:pt>
                      <c:pt idx="4738">
                        <c:v>20.518999999999998</c:v>
                      </c:pt>
                      <c:pt idx="4739">
                        <c:v>20.518999999999998</c:v>
                      </c:pt>
                      <c:pt idx="4740">
                        <c:v>20.518999999999998</c:v>
                      </c:pt>
                      <c:pt idx="4741">
                        <c:v>20.518999999999998</c:v>
                      </c:pt>
                      <c:pt idx="4742">
                        <c:v>20.518999999999998</c:v>
                      </c:pt>
                      <c:pt idx="4743">
                        <c:v>20.518999999999998</c:v>
                      </c:pt>
                      <c:pt idx="4744">
                        <c:v>20.518999999999998</c:v>
                      </c:pt>
                      <c:pt idx="4745">
                        <c:v>20.518999999999998</c:v>
                      </c:pt>
                      <c:pt idx="4746">
                        <c:v>20.518999999999998</c:v>
                      </c:pt>
                      <c:pt idx="4747">
                        <c:v>20.518999999999998</c:v>
                      </c:pt>
                      <c:pt idx="4748">
                        <c:v>20.518999999999998</c:v>
                      </c:pt>
                      <c:pt idx="4749">
                        <c:v>20.518999999999998</c:v>
                      </c:pt>
                      <c:pt idx="4750">
                        <c:v>20.518999999999998</c:v>
                      </c:pt>
                      <c:pt idx="4751">
                        <c:v>20.518999999999998</c:v>
                      </c:pt>
                      <c:pt idx="4752">
                        <c:v>20.518999999999998</c:v>
                      </c:pt>
                      <c:pt idx="4753">
                        <c:v>20.518999999999998</c:v>
                      </c:pt>
                      <c:pt idx="4754">
                        <c:v>20.518999999999998</c:v>
                      </c:pt>
                      <c:pt idx="4755">
                        <c:v>20.518999999999998</c:v>
                      </c:pt>
                      <c:pt idx="4756">
                        <c:v>20.518999999999998</c:v>
                      </c:pt>
                      <c:pt idx="4757">
                        <c:v>20.518999999999998</c:v>
                      </c:pt>
                      <c:pt idx="4758">
                        <c:v>20.518999999999998</c:v>
                      </c:pt>
                      <c:pt idx="4759">
                        <c:v>20.518999999999998</c:v>
                      </c:pt>
                      <c:pt idx="4760">
                        <c:v>20.518999999999998</c:v>
                      </c:pt>
                      <c:pt idx="4761">
                        <c:v>20.614999999999998</c:v>
                      </c:pt>
                      <c:pt idx="4762">
                        <c:v>20.518999999999998</c:v>
                      </c:pt>
                      <c:pt idx="4763">
                        <c:v>20.614999999999998</c:v>
                      </c:pt>
                      <c:pt idx="4764">
                        <c:v>20.614999999999998</c:v>
                      </c:pt>
                      <c:pt idx="4765">
                        <c:v>20.518999999999998</c:v>
                      </c:pt>
                      <c:pt idx="4766">
                        <c:v>20.518999999999998</c:v>
                      </c:pt>
                      <c:pt idx="4767">
                        <c:v>20.614999999999998</c:v>
                      </c:pt>
                      <c:pt idx="4768">
                        <c:v>20.518999999999998</c:v>
                      </c:pt>
                      <c:pt idx="4769">
                        <c:v>20.614999999999998</c:v>
                      </c:pt>
                      <c:pt idx="4770">
                        <c:v>20.614999999999998</c:v>
                      </c:pt>
                      <c:pt idx="4771">
                        <c:v>20.614999999999998</c:v>
                      </c:pt>
                      <c:pt idx="4772">
                        <c:v>20.614999999999998</c:v>
                      </c:pt>
                      <c:pt idx="4773">
                        <c:v>20.614999999999998</c:v>
                      </c:pt>
                      <c:pt idx="4774">
                        <c:v>20.614999999999998</c:v>
                      </c:pt>
                      <c:pt idx="4775">
                        <c:v>20.614999999999998</c:v>
                      </c:pt>
                      <c:pt idx="4776">
                        <c:v>20.614999999999998</c:v>
                      </c:pt>
                      <c:pt idx="4777">
                        <c:v>20.614999999999998</c:v>
                      </c:pt>
                      <c:pt idx="4778">
                        <c:v>20.614999999999998</c:v>
                      </c:pt>
                      <c:pt idx="4779">
                        <c:v>20.614999999999998</c:v>
                      </c:pt>
                      <c:pt idx="4780">
                        <c:v>20.614999999999998</c:v>
                      </c:pt>
                      <c:pt idx="4781">
                        <c:v>20.614999999999998</c:v>
                      </c:pt>
                      <c:pt idx="4782">
                        <c:v>20.614999999999998</c:v>
                      </c:pt>
                      <c:pt idx="4783">
                        <c:v>20.614999999999998</c:v>
                      </c:pt>
                      <c:pt idx="4784">
                        <c:v>20.614999999999998</c:v>
                      </c:pt>
                      <c:pt idx="4785">
                        <c:v>20.614999999999998</c:v>
                      </c:pt>
                      <c:pt idx="4786">
                        <c:v>20.614999999999998</c:v>
                      </c:pt>
                      <c:pt idx="4787">
                        <c:v>20.614999999999998</c:v>
                      </c:pt>
                      <c:pt idx="4788">
                        <c:v>20.614999999999998</c:v>
                      </c:pt>
                      <c:pt idx="4789">
                        <c:v>20.614999999999998</c:v>
                      </c:pt>
                      <c:pt idx="4790">
                        <c:v>20.614999999999998</c:v>
                      </c:pt>
                      <c:pt idx="4791">
                        <c:v>20.614999999999998</c:v>
                      </c:pt>
                      <c:pt idx="4792">
                        <c:v>20.614999999999998</c:v>
                      </c:pt>
                      <c:pt idx="4793">
                        <c:v>20.614999999999998</c:v>
                      </c:pt>
                      <c:pt idx="4794">
                        <c:v>20.614999999999998</c:v>
                      </c:pt>
                      <c:pt idx="4795">
                        <c:v>20.614999999999998</c:v>
                      </c:pt>
                      <c:pt idx="4796">
                        <c:v>20.614999999999998</c:v>
                      </c:pt>
                      <c:pt idx="4797">
                        <c:v>20.614999999999998</c:v>
                      </c:pt>
                      <c:pt idx="4798">
                        <c:v>20.614999999999998</c:v>
                      </c:pt>
                      <c:pt idx="4799">
                        <c:v>20.614999999999998</c:v>
                      </c:pt>
                      <c:pt idx="4800">
                        <c:v>20.614999999999998</c:v>
                      </c:pt>
                      <c:pt idx="4801">
                        <c:v>20.614999999999998</c:v>
                      </c:pt>
                      <c:pt idx="4802">
                        <c:v>20.614999999999998</c:v>
                      </c:pt>
                      <c:pt idx="4803">
                        <c:v>20.614999999999998</c:v>
                      </c:pt>
                      <c:pt idx="4804">
                        <c:v>20.614999999999998</c:v>
                      </c:pt>
                      <c:pt idx="4805">
                        <c:v>20.614999999999998</c:v>
                      </c:pt>
                      <c:pt idx="4806">
                        <c:v>20.614999999999998</c:v>
                      </c:pt>
                      <c:pt idx="4807">
                        <c:v>20.614999999999998</c:v>
                      </c:pt>
                      <c:pt idx="4808">
                        <c:v>20.614999999999998</c:v>
                      </c:pt>
                      <c:pt idx="4809">
                        <c:v>20.614999999999998</c:v>
                      </c:pt>
                      <c:pt idx="4810">
                        <c:v>20.614999999999998</c:v>
                      </c:pt>
                      <c:pt idx="4811">
                        <c:v>20.614999999999998</c:v>
                      </c:pt>
                      <c:pt idx="4812">
                        <c:v>20.614999999999998</c:v>
                      </c:pt>
                      <c:pt idx="4813">
                        <c:v>20.614999999999998</c:v>
                      </c:pt>
                      <c:pt idx="4814">
                        <c:v>20.614999999999998</c:v>
                      </c:pt>
                      <c:pt idx="4815">
                        <c:v>20.614999999999998</c:v>
                      </c:pt>
                      <c:pt idx="4816">
                        <c:v>20.518999999999998</c:v>
                      </c:pt>
                      <c:pt idx="4817">
                        <c:v>20.614999999999998</c:v>
                      </c:pt>
                      <c:pt idx="4818">
                        <c:v>20.614999999999998</c:v>
                      </c:pt>
                      <c:pt idx="4819">
                        <c:v>20.614999999999998</c:v>
                      </c:pt>
                      <c:pt idx="4820">
                        <c:v>20.614999999999998</c:v>
                      </c:pt>
                      <c:pt idx="4821">
                        <c:v>20.614999999999998</c:v>
                      </c:pt>
                      <c:pt idx="4822">
                        <c:v>20.614999999999998</c:v>
                      </c:pt>
                      <c:pt idx="4823">
                        <c:v>20.518999999999998</c:v>
                      </c:pt>
                      <c:pt idx="4824">
                        <c:v>20.614999999999998</c:v>
                      </c:pt>
                      <c:pt idx="4825">
                        <c:v>20.614999999999998</c:v>
                      </c:pt>
                      <c:pt idx="4826">
                        <c:v>20.614999999999998</c:v>
                      </c:pt>
                      <c:pt idx="4827">
                        <c:v>20.518999999999998</c:v>
                      </c:pt>
                      <c:pt idx="4828">
                        <c:v>20.518999999999998</c:v>
                      </c:pt>
                      <c:pt idx="4829">
                        <c:v>20.614999999999998</c:v>
                      </c:pt>
                      <c:pt idx="4830">
                        <c:v>20.614999999999998</c:v>
                      </c:pt>
                      <c:pt idx="4831">
                        <c:v>20.518999999999998</c:v>
                      </c:pt>
                      <c:pt idx="4832">
                        <c:v>20.518999999999998</c:v>
                      </c:pt>
                      <c:pt idx="4833">
                        <c:v>20.518999999999998</c:v>
                      </c:pt>
                      <c:pt idx="4834">
                        <c:v>20.518999999999998</c:v>
                      </c:pt>
                      <c:pt idx="4835">
                        <c:v>20.518999999999998</c:v>
                      </c:pt>
                      <c:pt idx="4836">
                        <c:v>20.518999999999998</c:v>
                      </c:pt>
                      <c:pt idx="4837">
                        <c:v>20.518999999999998</c:v>
                      </c:pt>
                      <c:pt idx="4838">
                        <c:v>20.518999999999998</c:v>
                      </c:pt>
                      <c:pt idx="4839">
                        <c:v>20.518999999999998</c:v>
                      </c:pt>
                      <c:pt idx="4840">
                        <c:v>20.518999999999998</c:v>
                      </c:pt>
                      <c:pt idx="4841">
                        <c:v>20.518999999999998</c:v>
                      </c:pt>
                      <c:pt idx="4842">
                        <c:v>20.518999999999998</c:v>
                      </c:pt>
                      <c:pt idx="4843">
                        <c:v>20.614999999999998</c:v>
                      </c:pt>
                      <c:pt idx="4844">
                        <c:v>20.518999999999998</c:v>
                      </c:pt>
                      <c:pt idx="4845">
                        <c:v>20.518999999999998</c:v>
                      </c:pt>
                      <c:pt idx="4846">
                        <c:v>20.518999999999998</c:v>
                      </c:pt>
                      <c:pt idx="4847">
                        <c:v>20.518999999999998</c:v>
                      </c:pt>
                      <c:pt idx="4848">
                        <c:v>20.518999999999998</c:v>
                      </c:pt>
                      <c:pt idx="4849">
                        <c:v>20.518999999999998</c:v>
                      </c:pt>
                      <c:pt idx="4850">
                        <c:v>20.518999999999998</c:v>
                      </c:pt>
                      <c:pt idx="4851">
                        <c:v>20.518999999999998</c:v>
                      </c:pt>
                      <c:pt idx="4852">
                        <c:v>20.614999999999998</c:v>
                      </c:pt>
                      <c:pt idx="4853">
                        <c:v>20.518999999999998</c:v>
                      </c:pt>
                      <c:pt idx="4854">
                        <c:v>20.518999999999998</c:v>
                      </c:pt>
                      <c:pt idx="4855">
                        <c:v>20.614999999999998</c:v>
                      </c:pt>
                      <c:pt idx="4856">
                        <c:v>20.518999999999998</c:v>
                      </c:pt>
                      <c:pt idx="4857">
                        <c:v>20.518999999999998</c:v>
                      </c:pt>
                      <c:pt idx="4858">
                        <c:v>20.518999999999998</c:v>
                      </c:pt>
                      <c:pt idx="4859">
                        <c:v>20.518999999999998</c:v>
                      </c:pt>
                      <c:pt idx="4860">
                        <c:v>20.518999999999998</c:v>
                      </c:pt>
                      <c:pt idx="4861">
                        <c:v>20.518999999999998</c:v>
                      </c:pt>
                      <c:pt idx="4862">
                        <c:v>20.518999999999998</c:v>
                      </c:pt>
                      <c:pt idx="4863">
                        <c:v>20.518999999999998</c:v>
                      </c:pt>
                      <c:pt idx="4864">
                        <c:v>20.518999999999998</c:v>
                      </c:pt>
                      <c:pt idx="4865">
                        <c:v>20.518999999999998</c:v>
                      </c:pt>
                      <c:pt idx="4866">
                        <c:v>20.518999999999998</c:v>
                      </c:pt>
                      <c:pt idx="4867">
                        <c:v>20.518999999999998</c:v>
                      </c:pt>
                      <c:pt idx="4868">
                        <c:v>20.518999999999998</c:v>
                      </c:pt>
                      <c:pt idx="4869">
                        <c:v>20.518999999999998</c:v>
                      </c:pt>
                      <c:pt idx="4870">
                        <c:v>20.518999999999998</c:v>
                      </c:pt>
                      <c:pt idx="4871">
                        <c:v>20.614999999999998</c:v>
                      </c:pt>
                      <c:pt idx="4872">
                        <c:v>20.518999999999998</c:v>
                      </c:pt>
                      <c:pt idx="4873">
                        <c:v>20.614999999999998</c:v>
                      </c:pt>
                      <c:pt idx="4874">
                        <c:v>20.614999999999998</c:v>
                      </c:pt>
                      <c:pt idx="4875">
                        <c:v>20.614999999999998</c:v>
                      </c:pt>
                      <c:pt idx="4876">
                        <c:v>20.518999999999998</c:v>
                      </c:pt>
                      <c:pt idx="4877">
                        <c:v>20.518999999999998</c:v>
                      </c:pt>
                      <c:pt idx="4878">
                        <c:v>20.614999999999998</c:v>
                      </c:pt>
                      <c:pt idx="4879">
                        <c:v>20.614999999999998</c:v>
                      </c:pt>
                      <c:pt idx="4880">
                        <c:v>20.614999999999998</c:v>
                      </c:pt>
                      <c:pt idx="4881">
                        <c:v>20.518999999999998</c:v>
                      </c:pt>
                      <c:pt idx="4882">
                        <c:v>20.518999999999998</c:v>
                      </c:pt>
                      <c:pt idx="4883">
                        <c:v>20.614999999999998</c:v>
                      </c:pt>
                      <c:pt idx="4884">
                        <c:v>20.614999999999998</c:v>
                      </c:pt>
                      <c:pt idx="4885">
                        <c:v>20.614999999999998</c:v>
                      </c:pt>
                      <c:pt idx="4886">
                        <c:v>20.614999999999998</c:v>
                      </c:pt>
                      <c:pt idx="4887">
                        <c:v>20.614999999999998</c:v>
                      </c:pt>
                      <c:pt idx="4888">
                        <c:v>20.518999999999998</c:v>
                      </c:pt>
                      <c:pt idx="4889">
                        <c:v>20.614999999999998</c:v>
                      </c:pt>
                      <c:pt idx="4890">
                        <c:v>20.614999999999998</c:v>
                      </c:pt>
                      <c:pt idx="4891">
                        <c:v>20.614999999999998</c:v>
                      </c:pt>
                      <c:pt idx="4892">
                        <c:v>20.614999999999998</c:v>
                      </c:pt>
                      <c:pt idx="4893">
                        <c:v>20.614999999999998</c:v>
                      </c:pt>
                      <c:pt idx="4894">
                        <c:v>20.614999999999998</c:v>
                      </c:pt>
                      <c:pt idx="4895">
                        <c:v>20.614999999999998</c:v>
                      </c:pt>
                      <c:pt idx="4896">
                        <c:v>20.614999999999998</c:v>
                      </c:pt>
                      <c:pt idx="4897">
                        <c:v>20.614999999999998</c:v>
                      </c:pt>
                      <c:pt idx="4898">
                        <c:v>20.614999999999998</c:v>
                      </c:pt>
                      <c:pt idx="4899">
                        <c:v>20.614999999999998</c:v>
                      </c:pt>
                      <c:pt idx="4900">
                        <c:v>20.614999999999998</c:v>
                      </c:pt>
                      <c:pt idx="4901">
                        <c:v>20.614999999999998</c:v>
                      </c:pt>
                      <c:pt idx="4902">
                        <c:v>20.614999999999998</c:v>
                      </c:pt>
                      <c:pt idx="4903">
                        <c:v>20.614999999999998</c:v>
                      </c:pt>
                      <c:pt idx="4904">
                        <c:v>20.614999999999998</c:v>
                      </c:pt>
                      <c:pt idx="4905">
                        <c:v>20.614999999999998</c:v>
                      </c:pt>
                      <c:pt idx="4906">
                        <c:v>20.614999999999998</c:v>
                      </c:pt>
                      <c:pt idx="4907">
                        <c:v>20.614999999999998</c:v>
                      </c:pt>
                      <c:pt idx="4908">
                        <c:v>20.614999999999998</c:v>
                      </c:pt>
                      <c:pt idx="4909">
                        <c:v>20.614999999999998</c:v>
                      </c:pt>
                      <c:pt idx="4910">
                        <c:v>20.614999999999998</c:v>
                      </c:pt>
                      <c:pt idx="4911">
                        <c:v>20.614999999999998</c:v>
                      </c:pt>
                      <c:pt idx="4912">
                        <c:v>20.614999999999998</c:v>
                      </c:pt>
                      <c:pt idx="4913">
                        <c:v>20.614999999999998</c:v>
                      </c:pt>
                      <c:pt idx="4914">
                        <c:v>20.614999999999998</c:v>
                      </c:pt>
                      <c:pt idx="4915">
                        <c:v>20.614999999999998</c:v>
                      </c:pt>
                      <c:pt idx="4916">
                        <c:v>20.614999999999998</c:v>
                      </c:pt>
                      <c:pt idx="4917">
                        <c:v>20.614999999999998</c:v>
                      </c:pt>
                      <c:pt idx="4918">
                        <c:v>20.614999999999998</c:v>
                      </c:pt>
                      <c:pt idx="4919">
                        <c:v>20.614999999999998</c:v>
                      </c:pt>
                      <c:pt idx="4920">
                        <c:v>20.614999999999998</c:v>
                      </c:pt>
                      <c:pt idx="4921">
                        <c:v>20.614999999999998</c:v>
                      </c:pt>
                      <c:pt idx="4922">
                        <c:v>20.614999999999998</c:v>
                      </c:pt>
                      <c:pt idx="4923">
                        <c:v>20.614999999999998</c:v>
                      </c:pt>
                      <c:pt idx="4924">
                        <c:v>20.614999999999998</c:v>
                      </c:pt>
                      <c:pt idx="4925">
                        <c:v>20.614999999999998</c:v>
                      </c:pt>
                      <c:pt idx="4926">
                        <c:v>20.614999999999998</c:v>
                      </c:pt>
                      <c:pt idx="4927">
                        <c:v>20.614999999999998</c:v>
                      </c:pt>
                      <c:pt idx="4928">
                        <c:v>20.614999999999998</c:v>
                      </c:pt>
                      <c:pt idx="4929">
                        <c:v>20.614999999999998</c:v>
                      </c:pt>
                      <c:pt idx="4930">
                        <c:v>20.614999999999998</c:v>
                      </c:pt>
                      <c:pt idx="4931">
                        <c:v>20.614999999999998</c:v>
                      </c:pt>
                      <c:pt idx="4932">
                        <c:v>20.614999999999998</c:v>
                      </c:pt>
                      <c:pt idx="4933">
                        <c:v>20.614999999999998</c:v>
                      </c:pt>
                      <c:pt idx="4934">
                        <c:v>20.614999999999998</c:v>
                      </c:pt>
                      <c:pt idx="4935">
                        <c:v>20.614999999999998</c:v>
                      </c:pt>
                      <c:pt idx="4936">
                        <c:v>20.614999999999998</c:v>
                      </c:pt>
                      <c:pt idx="4937">
                        <c:v>20.614999999999998</c:v>
                      </c:pt>
                      <c:pt idx="4938">
                        <c:v>20.614999999999998</c:v>
                      </c:pt>
                      <c:pt idx="4939">
                        <c:v>20.614999999999998</c:v>
                      </c:pt>
                      <c:pt idx="4940">
                        <c:v>20.614999999999998</c:v>
                      </c:pt>
                      <c:pt idx="4941">
                        <c:v>20.614999999999998</c:v>
                      </c:pt>
                      <c:pt idx="4942">
                        <c:v>20.614999999999998</c:v>
                      </c:pt>
                      <c:pt idx="4943">
                        <c:v>20.614999999999998</c:v>
                      </c:pt>
                      <c:pt idx="4944">
                        <c:v>20.614999999999998</c:v>
                      </c:pt>
                      <c:pt idx="4945">
                        <c:v>20.614999999999998</c:v>
                      </c:pt>
                      <c:pt idx="4946">
                        <c:v>20.614999999999998</c:v>
                      </c:pt>
                      <c:pt idx="4947">
                        <c:v>20.614999999999998</c:v>
                      </c:pt>
                      <c:pt idx="4948">
                        <c:v>20.614999999999998</c:v>
                      </c:pt>
                      <c:pt idx="4949">
                        <c:v>20.614999999999998</c:v>
                      </c:pt>
                      <c:pt idx="4950">
                        <c:v>20.614999999999998</c:v>
                      </c:pt>
                      <c:pt idx="4951">
                        <c:v>20.614999999999998</c:v>
                      </c:pt>
                      <c:pt idx="4952">
                        <c:v>20.614999999999998</c:v>
                      </c:pt>
                      <c:pt idx="4953">
                        <c:v>20.614999999999998</c:v>
                      </c:pt>
                      <c:pt idx="4954">
                        <c:v>20.614999999999998</c:v>
                      </c:pt>
                      <c:pt idx="4955">
                        <c:v>20.614999999999998</c:v>
                      </c:pt>
                      <c:pt idx="4956">
                        <c:v>20.614999999999998</c:v>
                      </c:pt>
                      <c:pt idx="4957">
                        <c:v>20.614999999999998</c:v>
                      </c:pt>
                      <c:pt idx="4958">
                        <c:v>20.614999999999998</c:v>
                      </c:pt>
                      <c:pt idx="4959">
                        <c:v>20.614999999999998</c:v>
                      </c:pt>
                      <c:pt idx="4960">
                        <c:v>20.614999999999998</c:v>
                      </c:pt>
                      <c:pt idx="4961">
                        <c:v>20.614999999999998</c:v>
                      </c:pt>
                      <c:pt idx="4962">
                        <c:v>20.614999999999998</c:v>
                      </c:pt>
                      <c:pt idx="4963">
                        <c:v>20.614999999999998</c:v>
                      </c:pt>
                      <c:pt idx="4964">
                        <c:v>20.614999999999998</c:v>
                      </c:pt>
                      <c:pt idx="4965">
                        <c:v>20.614999999999998</c:v>
                      </c:pt>
                      <c:pt idx="4966">
                        <c:v>20.614999999999998</c:v>
                      </c:pt>
                      <c:pt idx="4967">
                        <c:v>20.614999999999998</c:v>
                      </c:pt>
                      <c:pt idx="4968">
                        <c:v>20.614999999999998</c:v>
                      </c:pt>
                      <c:pt idx="4969">
                        <c:v>20.614999999999998</c:v>
                      </c:pt>
                      <c:pt idx="4970">
                        <c:v>20.614999999999998</c:v>
                      </c:pt>
                      <c:pt idx="4971">
                        <c:v>20.614999999999998</c:v>
                      </c:pt>
                      <c:pt idx="4972">
                        <c:v>20.614999999999998</c:v>
                      </c:pt>
                      <c:pt idx="4973">
                        <c:v>20.518999999999998</c:v>
                      </c:pt>
                      <c:pt idx="4974">
                        <c:v>20.614999999999998</c:v>
                      </c:pt>
                      <c:pt idx="4975">
                        <c:v>20.614999999999998</c:v>
                      </c:pt>
                      <c:pt idx="4976">
                        <c:v>20.518999999999998</c:v>
                      </c:pt>
                      <c:pt idx="4977">
                        <c:v>20.614999999999998</c:v>
                      </c:pt>
                      <c:pt idx="4978">
                        <c:v>20.614999999999998</c:v>
                      </c:pt>
                      <c:pt idx="4979">
                        <c:v>20.518999999999998</c:v>
                      </c:pt>
                      <c:pt idx="4980">
                        <c:v>20.614999999999998</c:v>
                      </c:pt>
                      <c:pt idx="4981">
                        <c:v>20.614999999999998</c:v>
                      </c:pt>
                      <c:pt idx="4982">
                        <c:v>20.614999999999998</c:v>
                      </c:pt>
                      <c:pt idx="4983">
                        <c:v>20.614999999999998</c:v>
                      </c:pt>
                      <c:pt idx="4984">
                        <c:v>20.614999999999998</c:v>
                      </c:pt>
                      <c:pt idx="4985">
                        <c:v>20.614999999999998</c:v>
                      </c:pt>
                      <c:pt idx="4986">
                        <c:v>20.614999999999998</c:v>
                      </c:pt>
                      <c:pt idx="4987">
                        <c:v>20.518999999999998</c:v>
                      </c:pt>
                      <c:pt idx="4988">
                        <c:v>20.518999999999998</c:v>
                      </c:pt>
                      <c:pt idx="4989">
                        <c:v>20.518999999999998</c:v>
                      </c:pt>
                      <c:pt idx="4990">
                        <c:v>20.614999999999998</c:v>
                      </c:pt>
                      <c:pt idx="4991">
                        <c:v>20.614999999999998</c:v>
                      </c:pt>
                      <c:pt idx="4992">
                        <c:v>20.614999999999998</c:v>
                      </c:pt>
                      <c:pt idx="4993">
                        <c:v>20.614999999999998</c:v>
                      </c:pt>
                      <c:pt idx="4994">
                        <c:v>20.614999999999998</c:v>
                      </c:pt>
                      <c:pt idx="4995">
                        <c:v>20.614999999999998</c:v>
                      </c:pt>
                      <c:pt idx="4996">
                        <c:v>20.614999999999998</c:v>
                      </c:pt>
                      <c:pt idx="4997">
                        <c:v>20.614999999999998</c:v>
                      </c:pt>
                      <c:pt idx="4998">
                        <c:v>20.614999999999998</c:v>
                      </c:pt>
                      <c:pt idx="4999">
                        <c:v>20.518999999999998</c:v>
                      </c:pt>
                      <c:pt idx="5000">
                        <c:v>20.614999999999998</c:v>
                      </c:pt>
                      <c:pt idx="5001">
                        <c:v>20.614999999999998</c:v>
                      </c:pt>
                      <c:pt idx="5002">
                        <c:v>20.518999999999998</c:v>
                      </c:pt>
                      <c:pt idx="5003">
                        <c:v>20.614999999999998</c:v>
                      </c:pt>
                      <c:pt idx="5004">
                        <c:v>20.614999999999998</c:v>
                      </c:pt>
                      <c:pt idx="5005">
                        <c:v>20.518999999999998</c:v>
                      </c:pt>
                      <c:pt idx="5006">
                        <c:v>20.614999999999998</c:v>
                      </c:pt>
                      <c:pt idx="5007">
                        <c:v>20.614999999999998</c:v>
                      </c:pt>
                      <c:pt idx="5008">
                        <c:v>20.614999999999998</c:v>
                      </c:pt>
                      <c:pt idx="5009">
                        <c:v>20.614999999999998</c:v>
                      </c:pt>
                      <c:pt idx="5010">
                        <c:v>20.614999999999998</c:v>
                      </c:pt>
                      <c:pt idx="5011">
                        <c:v>20.614999999999998</c:v>
                      </c:pt>
                      <c:pt idx="5012">
                        <c:v>20.614999999999998</c:v>
                      </c:pt>
                      <c:pt idx="5013">
                        <c:v>20.614999999999998</c:v>
                      </c:pt>
                      <c:pt idx="5014">
                        <c:v>20.614999999999998</c:v>
                      </c:pt>
                      <c:pt idx="5015">
                        <c:v>20.614999999999998</c:v>
                      </c:pt>
                      <c:pt idx="5016">
                        <c:v>20.614999999999998</c:v>
                      </c:pt>
                      <c:pt idx="5017">
                        <c:v>20.614999999999998</c:v>
                      </c:pt>
                      <c:pt idx="5018">
                        <c:v>20.614999999999998</c:v>
                      </c:pt>
                      <c:pt idx="5019">
                        <c:v>20.614999999999998</c:v>
                      </c:pt>
                      <c:pt idx="5020">
                        <c:v>20.614999999999998</c:v>
                      </c:pt>
                      <c:pt idx="5021">
                        <c:v>20.614999999999998</c:v>
                      </c:pt>
                      <c:pt idx="5022">
                        <c:v>20.614999999999998</c:v>
                      </c:pt>
                      <c:pt idx="5023">
                        <c:v>20.614999999999998</c:v>
                      </c:pt>
                      <c:pt idx="5024">
                        <c:v>20.614999999999998</c:v>
                      </c:pt>
                      <c:pt idx="5025">
                        <c:v>20.614999999999998</c:v>
                      </c:pt>
                      <c:pt idx="5026">
                        <c:v>20.614999999999998</c:v>
                      </c:pt>
                      <c:pt idx="5027">
                        <c:v>20.614999999999998</c:v>
                      </c:pt>
                      <c:pt idx="5028">
                        <c:v>20.614999999999998</c:v>
                      </c:pt>
                      <c:pt idx="5029">
                        <c:v>20.614999999999998</c:v>
                      </c:pt>
                      <c:pt idx="5030">
                        <c:v>20.614999999999998</c:v>
                      </c:pt>
                      <c:pt idx="5031">
                        <c:v>20.614999999999998</c:v>
                      </c:pt>
                      <c:pt idx="5032">
                        <c:v>20.614999999999998</c:v>
                      </c:pt>
                      <c:pt idx="5033">
                        <c:v>20.614999999999998</c:v>
                      </c:pt>
                      <c:pt idx="5034">
                        <c:v>20.614999999999998</c:v>
                      </c:pt>
                      <c:pt idx="5035">
                        <c:v>20.614999999999998</c:v>
                      </c:pt>
                      <c:pt idx="5036">
                        <c:v>20.614999999999998</c:v>
                      </c:pt>
                      <c:pt idx="5037">
                        <c:v>20.614999999999998</c:v>
                      </c:pt>
                      <c:pt idx="5038">
                        <c:v>20.614999999999998</c:v>
                      </c:pt>
                      <c:pt idx="5039">
                        <c:v>20.614999999999998</c:v>
                      </c:pt>
                      <c:pt idx="5040">
                        <c:v>20.614999999999998</c:v>
                      </c:pt>
                      <c:pt idx="5041">
                        <c:v>20.614999999999998</c:v>
                      </c:pt>
                      <c:pt idx="5042">
                        <c:v>20.614999999999998</c:v>
                      </c:pt>
                      <c:pt idx="5043">
                        <c:v>20.614999999999998</c:v>
                      </c:pt>
                      <c:pt idx="5044">
                        <c:v>20.614999999999998</c:v>
                      </c:pt>
                      <c:pt idx="5045">
                        <c:v>20.614999999999998</c:v>
                      </c:pt>
                      <c:pt idx="5046">
                        <c:v>20.614999999999998</c:v>
                      </c:pt>
                      <c:pt idx="5047">
                        <c:v>20.614999999999998</c:v>
                      </c:pt>
                      <c:pt idx="5048">
                        <c:v>20.614999999999998</c:v>
                      </c:pt>
                      <c:pt idx="5049">
                        <c:v>20.614999999999998</c:v>
                      </c:pt>
                      <c:pt idx="5050">
                        <c:v>20.614999999999998</c:v>
                      </c:pt>
                      <c:pt idx="5051">
                        <c:v>20.614999999999998</c:v>
                      </c:pt>
                      <c:pt idx="5052">
                        <c:v>20.614999999999998</c:v>
                      </c:pt>
                      <c:pt idx="5053">
                        <c:v>20.614999999999998</c:v>
                      </c:pt>
                      <c:pt idx="5054">
                        <c:v>20.614999999999998</c:v>
                      </c:pt>
                      <c:pt idx="5055">
                        <c:v>20.614999999999998</c:v>
                      </c:pt>
                      <c:pt idx="5056">
                        <c:v>20.614999999999998</c:v>
                      </c:pt>
                      <c:pt idx="5057">
                        <c:v>20.614999999999998</c:v>
                      </c:pt>
                      <c:pt idx="5058">
                        <c:v>20.614999999999998</c:v>
                      </c:pt>
                      <c:pt idx="5059">
                        <c:v>20.614999999999998</c:v>
                      </c:pt>
                      <c:pt idx="5060">
                        <c:v>20.614999999999998</c:v>
                      </c:pt>
                      <c:pt idx="5061">
                        <c:v>20.614999999999998</c:v>
                      </c:pt>
                      <c:pt idx="5062">
                        <c:v>20.614999999999998</c:v>
                      </c:pt>
                      <c:pt idx="5063">
                        <c:v>20.614999999999998</c:v>
                      </c:pt>
                      <c:pt idx="5064">
                        <c:v>20.614999999999998</c:v>
                      </c:pt>
                      <c:pt idx="5065">
                        <c:v>20.614999999999998</c:v>
                      </c:pt>
                      <c:pt idx="5066">
                        <c:v>20.614999999999998</c:v>
                      </c:pt>
                      <c:pt idx="5067">
                        <c:v>20.614999999999998</c:v>
                      </c:pt>
                      <c:pt idx="5068">
                        <c:v>20.614999999999998</c:v>
                      </c:pt>
                      <c:pt idx="5069">
                        <c:v>20.614999999999998</c:v>
                      </c:pt>
                      <c:pt idx="5070">
                        <c:v>20.614999999999998</c:v>
                      </c:pt>
                      <c:pt idx="5071">
                        <c:v>20.614999999999998</c:v>
                      </c:pt>
                      <c:pt idx="5072">
                        <c:v>20.614999999999998</c:v>
                      </c:pt>
                      <c:pt idx="5073">
                        <c:v>20.614999999999998</c:v>
                      </c:pt>
                      <c:pt idx="5074">
                        <c:v>20.614999999999998</c:v>
                      </c:pt>
                      <c:pt idx="5075">
                        <c:v>20.614999999999998</c:v>
                      </c:pt>
                      <c:pt idx="5076">
                        <c:v>20.614999999999998</c:v>
                      </c:pt>
                      <c:pt idx="5077">
                        <c:v>20.614999999999998</c:v>
                      </c:pt>
                      <c:pt idx="5078">
                        <c:v>20.614999999999998</c:v>
                      </c:pt>
                      <c:pt idx="5079">
                        <c:v>20.614999999999998</c:v>
                      </c:pt>
                      <c:pt idx="5080">
                        <c:v>20.614999999999998</c:v>
                      </c:pt>
                      <c:pt idx="5081">
                        <c:v>20.614999999999998</c:v>
                      </c:pt>
                      <c:pt idx="5082">
                        <c:v>20.614999999999998</c:v>
                      </c:pt>
                      <c:pt idx="5083">
                        <c:v>20.614999999999998</c:v>
                      </c:pt>
                      <c:pt idx="5084">
                        <c:v>20.614999999999998</c:v>
                      </c:pt>
                      <c:pt idx="5085">
                        <c:v>20.614999999999998</c:v>
                      </c:pt>
                      <c:pt idx="5086">
                        <c:v>20.614999999999998</c:v>
                      </c:pt>
                      <c:pt idx="5087">
                        <c:v>20.614999999999998</c:v>
                      </c:pt>
                      <c:pt idx="5088">
                        <c:v>20.614999999999998</c:v>
                      </c:pt>
                      <c:pt idx="5089">
                        <c:v>20.614999999999998</c:v>
                      </c:pt>
                      <c:pt idx="5090">
                        <c:v>20.614999999999998</c:v>
                      </c:pt>
                      <c:pt idx="5091">
                        <c:v>20.614999999999998</c:v>
                      </c:pt>
                      <c:pt idx="5092">
                        <c:v>20.614999999999998</c:v>
                      </c:pt>
                      <c:pt idx="5093">
                        <c:v>20.614999999999998</c:v>
                      </c:pt>
                      <c:pt idx="5094">
                        <c:v>20.614999999999998</c:v>
                      </c:pt>
                      <c:pt idx="5095">
                        <c:v>20.614999999999998</c:v>
                      </c:pt>
                      <c:pt idx="5096">
                        <c:v>20.614999999999998</c:v>
                      </c:pt>
                      <c:pt idx="5097">
                        <c:v>20.614999999999998</c:v>
                      </c:pt>
                      <c:pt idx="5098">
                        <c:v>20.614999999999998</c:v>
                      </c:pt>
                      <c:pt idx="5099">
                        <c:v>20.614999999999998</c:v>
                      </c:pt>
                      <c:pt idx="5100">
                        <c:v>20.614999999999998</c:v>
                      </c:pt>
                      <c:pt idx="5101">
                        <c:v>20.614999999999998</c:v>
                      </c:pt>
                      <c:pt idx="5102">
                        <c:v>20.614999999999998</c:v>
                      </c:pt>
                      <c:pt idx="5103">
                        <c:v>20.614999999999998</c:v>
                      </c:pt>
                      <c:pt idx="5104">
                        <c:v>20.614999999999998</c:v>
                      </c:pt>
                      <c:pt idx="5105">
                        <c:v>20.614999999999998</c:v>
                      </c:pt>
                      <c:pt idx="5106">
                        <c:v>20.614999999999998</c:v>
                      </c:pt>
                      <c:pt idx="5107">
                        <c:v>20.614999999999998</c:v>
                      </c:pt>
                      <c:pt idx="5108">
                        <c:v>20.614999999999998</c:v>
                      </c:pt>
                      <c:pt idx="5109">
                        <c:v>20.614999999999998</c:v>
                      </c:pt>
                      <c:pt idx="5110">
                        <c:v>20.614999999999998</c:v>
                      </c:pt>
                      <c:pt idx="5111">
                        <c:v>20.614999999999998</c:v>
                      </c:pt>
                      <c:pt idx="5112">
                        <c:v>20.614999999999998</c:v>
                      </c:pt>
                      <c:pt idx="5113">
                        <c:v>20.614999999999998</c:v>
                      </c:pt>
                      <c:pt idx="5114">
                        <c:v>20.614999999999998</c:v>
                      </c:pt>
                      <c:pt idx="5115">
                        <c:v>20.614999999999998</c:v>
                      </c:pt>
                      <c:pt idx="5116">
                        <c:v>20.614999999999998</c:v>
                      </c:pt>
                      <c:pt idx="5117">
                        <c:v>20.614999999999998</c:v>
                      </c:pt>
                      <c:pt idx="5118">
                        <c:v>20.614999999999998</c:v>
                      </c:pt>
                      <c:pt idx="5119">
                        <c:v>20.614999999999998</c:v>
                      </c:pt>
                      <c:pt idx="5120">
                        <c:v>20.614999999999998</c:v>
                      </c:pt>
                      <c:pt idx="5121">
                        <c:v>20.614999999999998</c:v>
                      </c:pt>
                      <c:pt idx="5122">
                        <c:v>20.614999999999998</c:v>
                      </c:pt>
                      <c:pt idx="5123">
                        <c:v>20.614999999999998</c:v>
                      </c:pt>
                      <c:pt idx="5124">
                        <c:v>20.614999999999998</c:v>
                      </c:pt>
                      <c:pt idx="5125">
                        <c:v>20.614999999999998</c:v>
                      </c:pt>
                      <c:pt idx="5126">
                        <c:v>20.614999999999998</c:v>
                      </c:pt>
                      <c:pt idx="5127">
                        <c:v>20.614999999999998</c:v>
                      </c:pt>
                      <c:pt idx="5128">
                        <c:v>20.614999999999998</c:v>
                      </c:pt>
                      <c:pt idx="5129">
                        <c:v>20.614999999999998</c:v>
                      </c:pt>
                      <c:pt idx="5130">
                        <c:v>20.614999999999998</c:v>
                      </c:pt>
                      <c:pt idx="5131">
                        <c:v>20.614999999999998</c:v>
                      </c:pt>
                      <c:pt idx="5132">
                        <c:v>20.614999999999998</c:v>
                      </c:pt>
                      <c:pt idx="5133">
                        <c:v>20.614999999999998</c:v>
                      </c:pt>
                      <c:pt idx="5134">
                        <c:v>20.614999999999998</c:v>
                      </c:pt>
                      <c:pt idx="5135">
                        <c:v>20.614999999999998</c:v>
                      </c:pt>
                      <c:pt idx="5136">
                        <c:v>20.614999999999998</c:v>
                      </c:pt>
                      <c:pt idx="5137">
                        <c:v>20.614999999999998</c:v>
                      </c:pt>
                      <c:pt idx="5138">
                        <c:v>20.614999999999998</c:v>
                      </c:pt>
                      <c:pt idx="5139">
                        <c:v>20.614999999999998</c:v>
                      </c:pt>
                      <c:pt idx="5140">
                        <c:v>20.614999999999998</c:v>
                      </c:pt>
                      <c:pt idx="5141">
                        <c:v>20.614999999999998</c:v>
                      </c:pt>
                      <c:pt idx="5142">
                        <c:v>20.614999999999998</c:v>
                      </c:pt>
                      <c:pt idx="5143">
                        <c:v>20.614999999999998</c:v>
                      </c:pt>
                      <c:pt idx="5144">
                        <c:v>20.614999999999998</c:v>
                      </c:pt>
                      <c:pt idx="5145">
                        <c:v>20.614999999999998</c:v>
                      </c:pt>
                      <c:pt idx="5146">
                        <c:v>20.614999999999998</c:v>
                      </c:pt>
                      <c:pt idx="5147">
                        <c:v>20.614999999999998</c:v>
                      </c:pt>
                      <c:pt idx="5148">
                        <c:v>20.614999999999998</c:v>
                      </c:pt>
                      <c:pt idx="5149">
                        <c:v>20.614999999999998</c:v>
                      </c:pt>
                      <c:pt idx="5150">
                        <c:v>20.614999999999998</c:v>
                      </c:pt>
                      <c:pt idx="5151">
                        <c:v>20.614999999999998</c:v>
                      </c:pt>
                      <c:pt idx="5152">
                        <c:v>20.614999999999998</c:v>
                      </c:pt>
                      <c:pt idx="5153">
                        <c:v>20.614999999999998</c:v>
                      </c:pt>
                      <c:pt idx="5154">
                        <c:v>20.614999999999998</c:v>
                      </c:pt>
                      <c:pt idx="5155">
                        <c:v>20.614999999999998</c:v>
                      </c:pt>
                      <c:pt idx="5156">
                        <c:v>20.614999999999998</c:v>
                      </c:pt>
                      <c:pt idx="5157">
                        <c:v>20.614999999999998</c:v>
                      </c:pt>
                      <c:pt idx="5158">
                        <c:v>20.614999999999998</c:v>
                      </c:pt>
                      <c:pt idx="5159">
                        <c:v>20.614999999999998</c:v>
                      </c:pt>
                      <c:pt idx="5160">
                        <c:v>20.614999999999998</c:v>
                      </c:pt>
                      <c:pt idx="5161">
                        <c:v>20.614999999999998</c:v>
                      </c:pt>
                      <c:pt idx="5162">
                        <c:v>20.614999999999998</c:v>
                      </c:pt>
                      <c:pt idx="5163">
                        <c:v>20.614999999999998</c:v>
                      </c:pt>
                      <c:pt idx="5164">
                        <c:v>20.614999999999998</c:v>
                      </c:pt>
                      <c:pt idx="5165">
                        <c:v>20.614999999999998</c:v>
                      </c:pt>
                      <c:pt idx="5166">
                        <c:v>20.614999999999998</c:v>
                      </c:pt>
                      <c:pt idx="5167">
                        <c:v>20.614999999999998</c:v>
                      </c:pt>
                      <c:pt idx="5168">
                        <c:v>20.614999999999998</c:v>
                      </c:pt>
                      <c:pt idx="5169">
                        <c:v>20.614999999999998</c:v>
                      </c:pt>
                      <c:pt idx="5170">
                        <c:v>20.614999999999998</c:v>
                      </c:pt>
                      <c:pt idx="5171">
                        <c:v>20.614999999999998</c:v>
                      </c:pt>
                      <c:pt idx="5172">
                        <c:v>20.614999999999998</c:v>
                      </c:pt>
                      <c:pt idx="5173">
                        <c:v>20.614999999999998</c:v>
                      </c:pt>
                      <c:pt idx="5174">
                        <c:v>20.614999999999998</c:v>
                      </c:pt>
                      <c:pt idx="5175">
                        <c:v>20.614999999999998</c:v>
                      </c:pt>
                      <c:pt idx="5176">
                        <c:v>20.614999999999998</c:v>
                      </c:pt>
                      <c:pt idx="5177">
                        <c:v>20.614999999999998</c:v>
                      </c:pt>
                      <c:pt idx="5178">
                        <c:v>20.614999999999998</c:v>
                      </c:pt>
                      <c:pt idx="5179">
                        <c:v>20.614999999999998</c:v>
                      </c:pt>
                      <c:pt idx="5180">
                        <c:v>20.614999999999998</c:v>
                      </c:pt>
                      <c:pt idx="5181">
                        <c:v>20.614999999999998</c:v>
                      </c:pt>
                      <c:pt idx="5182">
                        <c:v>20.614999999999998</c:v>
                      </c:pt>
                      <c:pt idx="5183">
                        <c:v>20.614999999999998</c:v>
                      </c:pt>
                      <c:pt idx="5184">
                        <c:v>20.614999999999998</c:v>
                      </c:pt>
                      <c:pt idx="5185">
                        <c:v>20.614999999999998</c:v>
                      </c:pt>
                      <c:pt idx="5186">
                        <c:v>20.614999999999998</c:v>
                      </c:pt>
                      <c:pt idx="5187">
                        <c:v>20.614999999999998</c:v>
                      </c:pt>
                      <c:pt idx="5188">
                        <c:v>20.614999999999998</c:v>
                      </c:pt>
                      <c:pt idx="5189">
                        <c:v>20.614999999999998</c:v>
                      </c:pt>
                      <c:pt idx="5190">
                        <c:v>20.614999999999998</c:v>
                      </c:pt>
                      <c:pt idx="5191">
                        <c:v>20.614999999999998</c:v>
                      </c:pt>
                      <c:pt idx="5192">
                        <c:v>20.614999999999998</c:v>
                      </c:pt>
                      <c:pt idx="5193">
                        <c:v>20.614999999999998</c:v>
                      </c:pt>
                      <c:pt idx="5194">
                        <c:v>20.614999999999998</c:v>
                      </c:pt>
                      <c:pt idx="5195">
                        <c:v>20.614999999999998</c:v>
                      </c:pt>
                      <c:pt idx="5196">
                        <c:v>20.614999999999998</c:v>
                      </c:pt>
                      <c:pt idx="5197">
                        <c:v>20.614999999999998</c:v>
                      </c:pt>
                      <c:pt idx="5198">
                        <c:v>20.614999999999998</c:v>
                      </c:pt>
                      <c:pt idx="5199">
                        <c:v>20.614999999999998</c:v>
                      </c:pt>
                      <c:pt idx="5200">
                        <c:v>20.614999999999998</c:v>
                      </c:pt>
                      <c:pt idx="5201">
                        <c:v>20.614999999999998</c:v>
                      </c:pt>
                      <c:pt idx="5202">
                        <c:v>20.614999999999998</c:v>
                      </c:pt>
                      <c:pt idx="5203">
                        <c:v>20.614999999999998</c:v>
                      </c:pt>
                      <c:pt idx="5204">
                        <c:v>20.614999999999998</c:v>
                      </c:pt>
                      <c:pt idx="5205">
                        <c:v>20.614999999999998</c:v>
                      </c:pt>
                      <c:pt idx="5206">
                        <c:v>20.614999999999998</c:v>
                      </c:pt>
                      <c:pt idx="5207">
                        <c:v>20.614999999999998</c:v>
                      </c:pt>
                      <c:pt idx="5208">
                        <c:v>20.614999999999998</c:v>
                      </c:pt>
                      <c:pt idx="5209">
                        <c:v>20.614999999999998</c:v>
                      </c:pt>
                      <c:pt idx="5210">
                        <c:v>20.614999999999998</c:v>
                      </c:pt>
                      <c:pt idx="5211">
                        <c:v>20.614999999999998</c:v>
                      </c:pt>
                      <c:pt idx="5212">
                        <c:v>20.614999999999998</c:v>
                      </c:pt>
                      <c:pt idx="5213">
                        <c:v>20.614999999999998</c:v>
                      </c:pt>
                      <c:pt idx="5214">
                        <c:v>20.614999999999998</c:v>
                      </c:pt>
                      <c:pt idx="5215">
                        <c:v>20.614999999999998</c:v>
                      </c:pt>
                      <c:pt idx="5216">
                        <c:v>20.614999999999998</c:v>
                      </c:pt>
                      <c:pt idx="5217">
                        <c:v>20.614999999999998</c:v>
                      </c:pt>
                      <c:pt idx="5218">
                        <c:v>20.614999999999998</c:v>
                      </c:pt>
                      <c:pt idx="5219">
                        <c:v>20.614999999999998</c:v>
                      </c:pt>
                      <c:pt idx="5220">
                        <c:v>20.614999999999998</c:v>
                      </c:pt>
                      <c:pt idx="5221">
                        <c:v>20.614999999999998</c:v>
                      </c:pt>
                      <c:pt idx="5222">
                        <c:v>20.614999999999998</c:v>
                      </c:pt>
                      <c:pt idx="5223">
                        <c:v>20.614999999999998</c:v>
                      </c:pt>
                      <c:pt idx="5224">
                        <c:v>20.614999999999998</c:v>
                      </c:pt>
                      <c:pt idx="5225">
                        <c:v>20.614999999999998</c:v>
                      </c:pt>
                      <c:pt idx="5226">
                        <c:v>20.614999999999998</c:v>
                      </c:pt>
                      <c:pt idx="5227">
                        <c:v>20.614999999999998</c:v>
                      </c:pt>
                      <c:pt idx="5228">
                        <c:v>20.614999999999998</c:v>
                      </c:pt>
                      <c:pt idx="5229">
                        <c:v>20.614999999999998</c:v>
                      </c:pt>
                      <c:pt idx="5230">
                        <c:v>20.614999999999998</c:v>
                      </c:pt>
                      <c:pt idx="5231">
                        <c:v>20.614999999999998</c:v>
                      </c:pt>
                      <c:pt idx="5232">
                        <c:v>20.614999999999998</c:v>
                      </c:pt>
                      <c:pt idx="5233">
                        <c:v>20.614999999999998</c:v>
                      </c:pt>
                      <c:pt idx="5234">
                        <c:v>20.614999999999998</c:v>
                      </c:pt>
                      <c:pt idx="5235">
                        <c:v>20.614999999999998</c:v>
                      </c:pt>
                      <c:pt idx="5236">
                        <c:v>20.614999999999998</c:v>
                      </c:pt>
                      <c:pt idx="5237">
                        <c:v>20.614999999999998</c:v>
                      </c:pt>
                      <c:pt idx="5238">
                        <c:v>20.518999999999998</c:v>
                      </c:pt>
                      <c:pt idx="5239">
                        <c:v>20.614999999999998</c:v>
                      </c:pt>
                      <c:pt idx="5240">
                        <c:v>20.614999999999998</c:v>
                      </c:pt>
                      <c:pt idx="5241">
                        <c:v>20.614999999999998</c:v>
                      </c:pt>
                      <c:pt idx="5242">
                        <c:v>20.614999999999998</c:v>
                      </c:pt>
                      <c:pt idx="5243">
                        <c:v>20.614999999999998</c:v>
                      </c:pt>
                      <c:pt idx="5244">
                        <c:v>20.518999999999998</c:v>
                      </c:pt>
                      <c:pt idx="5245">
                        <c:v>20.614999999999998</c:v>
                      </c:pt>
                      <c:pt idx="5246">
                        <c:v>20.614999999999998</c:v>
                      </c:pt>
                      <c:pt idx="5247">
                        <c:v>20.518999999999998</c:v>
                      </c:pt>
                      <c:pt idx="5248">
                        <c:v>20.614999999999998</c:v>
                      </c:pt>
                      <c:pt idx="5249">
                        <c:v>20.518999999999998</c:v>
                      </c:pt>
                      <c:pt idx="5250">
                        <c:v>20.518999999999998</c:v>
                      </c:pt>
                      <c:pt idx="5251">
                        <c:v>20.518999999999998</c:v>
                      </c:pt>
                      <c:pt idx="5252">
                        <c:v>20.518999999999998</c:v>
                      </c:pt>
                      <c:pt idx="5253">
                        <c:v>20.518999999999998</c:v>
                      </c:pt>
                      <c:pt idx="5254">
                        <c:v>20.518999999999998</c:v>
                      </c:pt>
                      <c:pt idx="5255">
                        <c:v>20.518999999999998</c:v>
                      </c:pt>
                      <c:pt idx="5256">
                        <c:v>20.518999999999998</c:v>
                      </c:pt>
                      <c:pt idx="5257">
                        <c:v>20.518999999999998</c:v>
                      </c:pt>
                      <c:pt idx="5258">
                        <c:v>20.518999999999998</c:v>
                      </c:pt>
                      <c:pt idx="5259">
                        <c:v>20.518999999999998</c:v>
                      </c:pt>
                      <c:pt idx="5260">
                        <c:v>20.518999999999998</c:v>
                      </c:pt>
                      <c:pt idx="5261">
                        <c:v>20.518999999999998</c:v>
                      </c:pt>
                      <c:pt idx="5262">
                        <c:v>20.518999999999998</c:v>
                      </c:pt>
                      <c:pt idx="5263">
                        <c:v>20.518999999999998</c:v>
                      </c:pt>
                      <c:pt idx="5264">
                        <c:v>20.518999999999998</c:v>
                      </c:pt>
                      <c:pt idx="5265">
                        <c:v>20.518999999999998</c:v>
                      </c:pt>
                      <c:pt idx="5266">
                        <c:v>20.518999999999998</c:v>
                      </c:pt>
                      <c:pt idx="5267">
                        <c:v>20.518999999999998</c:v>
                      </c:pt>
                      <c:pt idx="5268">
                        <c:v>20.518999999999998</c:v>
                      </c:pt>
                      <c:pt idx="5269">
                        <c:v>20.518999999999998</c:v>
                      </c:pt>
                      <c:pt idx="5270">
                        <c:v>20.518999999999998</c:v>
                      </c:pt>
                      <c:pt idx="5271">
                        <c:v>20.518999999999998</c:v>
                      </c:pt>
                      <c:pt idx="5272">
                        <c:v>20.518999999999998</c:v>
                      </c:pt>
                      <c:pt idx="5273">
                        <c:v>20.518999999999998</c:v>
                      </c:pt>
                      <c:pt idx="5274">
                        <c:v>20.518999999999998</c:v>
                      </c:pt>
                      <c:pt idx="5275">
                        <c:v>20.518999999999998</c:v>
                      </c:pt>
                      <c:pt idx="5276">
                        <c:v>20.518999999999998</c:v>
                      </c:pt>
                      <c:pt idx="5277">
                        <c:v>20.518999999999998</c:v>
                      </c:pt>
                      <c:pt idx="5278">
                        <c:v>20.518999999999998</c:v>
                      </c:pt>
                      <c:pt idx="5279">
                        <c:v>20.518999999999998</c:v>
                      </c:pt>
                      <c:pt idx="5280">
                        <c:v>20.518999999999998</c:v>
                      </c:pt>
                      <c:pt idx="5281">
                        <c:v>20.518999999999998</c:v>
                      </c:pt>
                      <c:pt idx="5282">
                        <c:v>20.518999999999998</c:v>
                      </c:pt>
                      <c:pt idx="5283">
                        <c:v>20.518999999999998</c:v>
                      </c:pt>
                      <c:pt idx="5284">
                        <c:v>20.518999999999998</c:v>
                      </c:pt>
                      <c:pt idx="5285">
                        <c:v>20.518999999999998</c:v>
                      </c:pt>
                      <c:pt idx="5286">
                        <c:v>20.518999999999998</c:v>
                      </c:pt>
                      <c:pt idx="5287">
                        <c:v>20.518999999999998</c:v>
                      </c:pt>
                      <c:pt idx="5288">
                        <c:v>20.518999999999998</c:v>
                      </c:pt>
                      <c:pt idx="5289">
                        <c:v>20.518999999999998</c:v>
                      </c:pt>
                      <c:pt idx="5290">
                        <c:v>20.518999999999998</c:v>
                      </c:pt>
                      <c:pt idx="5291">
                        <c:v>20.518999999999998</c:v>
                      </c:pt>
                      <c:pt idx="5292">
                        <c:v>20.518999999999998</c:v>
                      </c:pt>
                      <c:pt idx="5293">
                        <c:v>20.518999999999998</c:v>
                      </c:pt>
                      <c:pt idx="5294">
                        <c:v>20.518999999999998</c:v>
                      </c:pt>
                      <c:pt idx="5295">
                        <c:v>20.518999999999998</c:v>
                      </c:pt>
                      <c:pt idx="5296">
                        <c:v>20.518999999999998</c:v>
                      </c:pt>
                      <c:pt idx="5297">
                        <c:v>20.518999999999998</c:v>
                      </c:pt>
                      <c:pt idx="5298">
                        <c:v>20.518999999999998</c:v>
                      </c:pt>
                      <c:pt idx="5299">
                        <c:v>20.518999999999998</c:v>
                      </c:pt>
                      <c:pt idx="5300">
                        <c:v>20.518999999999998</c:v>
                      </c:pt>
                      <c:pt idx="5301">
                        <c:v>20.518999999999998</c:v>
                      </c:pt>
                      <c:pt idx="5302">
                        <c:v>20.518999999999998</c:v>
                      </c:pt>
                      <c:pt idx="5303">
                        <c:v>20.518999999999998</c:v>
                      </c:pt>
                      <c:pt idx="5304">
                        <c:v>20.518999999999998</c:v>
                      </c:pt>
                      <c:pt idx="5305">
                        <c:v>20.518999999999998</c:v>
                      </c:pt>
                      <c:pt idx="5306">
                        <c:v>20.518999999999998</c:v>
                      </c:pt>
                      <c:pt idx="5307">
                        <c:v>20.518999999999998</c:v>
                      </c:pt>
                      <c:pt idx="5308">
                        <c:v>20.518999999999998</c:v>
                      </c:pt>
                      <c:pt idx="5309">
                        <c:v>20.518999999999998</c:v>
                      </c:pt>
                      <c:pt idx="5310">
                        <c:v>20.518999999999998</c:v>
                      </c:pt>
                      <c:pt idx="5311">
                        <c:v>20.518999999999998</c:v>
                      </c:pt>
                      <c:pt idx="5312">
                        <c:v>20.518999999999998</c:v>
                      </c:pt>
                      <c:pt idx="5313">
                        <c:v>20.518999999999998</c:v>
                      </c:pt>
                      <c:pt idx="5314">
                        <c:v>20.518999999999998</c:v>
                      </c:pt>
                      <c:pt idx="5315">
                        <c:v>20.518999999999998</c:v>
                      </c:pt>
                      <c:pt idx="5316">
                        <c:v>20.518999999999998</c:v>
                      </c:pt>
                      <c:pt idx="5317">
                        <c:v>20.518999999999998</c:v>
                      </c:pt>
                      <c:pt idx="5318">
                        <c:v>20.518999999999998</c:v>
                      </c:pt>
                      <c:pt idx="5319">
                        <c:v>20.518999999999998</c:v>
                      </c:pt>
                      <c:pt idx="5320">
                        <c:v>20.518999999999998</c:v>
                      </c:pt>
                      <c:pt idx="5321">
                        <c:v>20.518999999999998</c:v>
                      </c:pt>
                      <c:pt idx="5322">
                        <c:v>20.518999999999998</c:v>
                      </c:pt>
                      <c:pt idx="5323">
                        <c:v>20.518999999999998</c:v>
                      </c:pt>
                      <c:pt idx="5324">
                        <c:v>20.518999999999998</c:v>
                      </c:pt>
                      <c:pt idx="5325">
                        <c:v>20.518999999999998</c:v>
                      </c:pt>
                      <c:pt idx="5326">
                        <c:v>20.518999999999998</c:v>
                      </c:pt>
                      <c:pt idx="5327">
                        <c:v>20.518999999999998</c:v>
                      </c:pt>
                      <c:pt idx="5328">
                        <c:v>20.518999999999998</c:v>
                      </c:pt>
                      <c:pt idx="5329">
                        <c:v>20.518999999999998</c:v>
                      </c:pt>
                      <c:pt idx="5330">
                        <c:v>20.518999999999998</c:v>
                      </c:pt>
                      <c:pt idx="5331">
                        <c:v>20.518999999999998</c:v>
                      </c:pt>
                      <c:pt idx="5332">
                        <c:v>20.518999999999998</c:v>
                      </c:pt>
                      <c:pt idx="5333">
                        <c:v>20.518999999999998</c:v>
                      </c:pt>
                      <c:pt idx="5334">
                        <c:v>20.518999999999998</c:v>
                      </c:pt>
                      <c:pt idx="5335">
                        <c:v>20.518999999999998</c:v>
                      </c:pt>
                      <c:pt idx="5336">
                        <c:v>20.518999999999998</c:v>
                      </c:pt>
                      <c:pt idx="5337">
                        <c:v>20.518999999999998</c:v>
                      </c:pt>
                      <c:pt idx="5338">
                        <c:v>20.518999999999998</c:v>
                      </c:pt>
                      <c:pt idx="5339">
                        <c:v>20.518999999999998</c:v>
                      </c:pt>
                      <c:pt idx="5340">
                        <c:v>20.518999999999998</c:v>
                      </c:pt>
                      <c:pt idx="5341">
                        <c:v>20.518999999999998</c:v>
                      </c:pt>
                      <c:pt idx="5342">
                        <c:v>20.518999999999998</c:v>
                      </c:pt>
                      <c:pt idx="5343">
                        <c:v>20.518999999999998</c:v>
                      </c:pt>
                      <c:pt idx="5344">
                        <c:v>20.518999999999998</c:v>
                      </c:pt>
                      <c:pt idx="5345">
                        <c:v>20.518999999999998</c:v>
                      </c:pt>
                      <c:pt idx="5346">
                        <c:v>20.518999999999998</c:v>
                      </c:pt>
                      <c:pt idx="5347">
                        <c:v>20.518999999999998</c:v>
                      </c:pt>
                      <c:pt idx="5348">
                        <c:v>20.518999999999998</c:v>
                      </c:pt>
                      <c:pt idx="5349">
                        <c:v>20.518999999999998</c:v>
                      </c:pt>
                      <c:pt idx="5350">
                        <c:v>20.518999999999998</c:v>
                      </c:pt>
                      <c:pt idx="5351">
                        <c:v>20.518999999999998</c:v>
                      </c:pt>
                      <c:pt idx="5352">
                        <c:v>20.518999999999998</c:v>
                      </c:pt>
                      <c:pt idx="5353">
                        <c:v>20.518999999999998</c:v>
                      </c:pt>
                      <c:pt idx="5354">
                        <c:v>20.518999999999998</c:v>
                      </c:pt>
                      <c:pt idx="5355">
                        <c:v>20.518999999999998</c:v>
                      </c:pt>
                      <c:pt idx="5356">
                        <c:v>20.518999999999998</c:v>
                      </c:pt>
                      <c:pt idx="5357">
                        <c:v>20.518999999999998</c:v>
                      </c:pt>
                      <c:pt idx="5358">
                        <c:v>20.518999999999998</c:v>
                      </c:pt>
                      <c:pt idx="5359">
                        <c:v>20.518999999999998</c:v>
                      </c:pt>
                      <c:pt idx="5360">
                        <c:v>20.518999999999998</c:v>
                      </c:pt>
                      <c:pt idx="5361">
                        <c:v>20.518999999999998</c:v>
                      </c:pt>
                      <c:pt idx="5362">
                        <c:v>20.518999999999998</c:v>
                      </c:pt>
                      <c:pt idx="5363">
                        <c:v>20.518999999999998</c:v>
                      </c:pt>
                      <c:pt idx="5364">
                        <c:v>20.518999999999998</c:v>
                      </c:pt>
                      <c:pt idx="5365">
                        <c:v>20.518999999999998</c:v>
                      </c:pt>
                      <c:pt idx="5366">
                        <c:v>20.518999999999998</c:v>
                      </c:pt>
                      <c:pt idx="5367">
                        <c:v>20.518999999999998</c:v>
                      </c:pt>
                      <c:pt idx="5368">
                        <c:v>20.518999999999998</c:v>
                      </c:pt>
                      <c:pt idx="5369">
                        <c:v>20.518999999999998</c:v>
                      </c:pt>
                      <c:pt idx="5370">
                        <c:v>20.518999999999998</c:v>
                      </c:pt>
                      <c:pt idx="5371">
                        <c:v>20.518999999999998</c:v>
                      </c:pt>
                      <c:pt idx="5372">
                        <c:v>20.518999999999998</c:v>
                      </c:pt>
                      <c:pt idx="5373">
                        <c:v>20.518999999999998</c:v>
                      </c:pt>
                      <c:pt idx="5374">
                        <c:v>20.518999999999998</c:v>
                      </c:pt>
                      <c:pt idx="5375">
                        <c:v>20.518999999999998</c:v>
                      </c:pt>
                      <c:pt idx="5376">
                        <c:v>20.518999999999998</c:v>
                      </c:pt>
                      <c:pt idx="5377">
                        <c:v>20.518999999999998</c:v>
                      </c:pt>
                      <c:pt idx="5378">
                        <c:v>20.518999999999998</c:v>
                      </c:pt>
                      <c:pt idx="5379">
                        <c:v>20.518999999999998</c:v>
                      </c:pt>
                      <c:pt idx="5380">
                        <c:v>20.518999999999998</c:v>
                      </c:pt>
                      <c:pt idx="5381">
                        <c:v>20.518999999999998</c:v>
                      </c:pt>
                      <c:pt idx="5382">
                        <c:v>20.518999999999998</c:v>
                      </c:pt>
                      <c:pt idx="5383">
                        <c:v>20.518999999999998</c:v>
                      </c:pt>
                      <c:pt idx="5384">
                        <c:v>20.518999999999998</c:v>
                      </c:pt>
                      <c:pt idx="5385">
                        <c:v>20.518999999999998</c:v>
                      </c:pt>
                      <c:pt idx="5386">
                        <c:v>20.518999999999998</c:v>
                      </c:pt>
                      <c:pt idx="5387">
                        <c:v>20.518999999999998</c:v>
                      </c:pt>
                      <c:pt idx="5388">
                        <c:v>20.518999999999998</c:v>
                      </c:pt>
                      <c:pt idx="5389">
                        <c:v>20.518999999999998</c:v>
                      </c:pt>
                      <c:pt idx="5390">
                        <c:v>20.518999999999998</c:v>
                      </c:pt>
                      <c:pt idx="5391">
                        <c:v>20.518999999999998</c:v>
                      </c:pt>
                      <c:pt idx="5392">
                        <c:v>20.518999999999998</c:v>
                      </c:pt>
                      <c:pt idx="5393">
                        <c:v>20.518999999999998</c:v>
                      </c:pt>
                      <c:pt idx="5394">
                        <c:v>20.518999999999998</c:v>
                      </c:pt>
                      <c:pt idx="5395">
                        <c:v>20.518999999999998</c:v>
                      </c:pt>
                      <c:pt idx="5396">
                        <c:v>20.518999999999998</c:v>
                      </c:pt>
                      <c:pt idx="5397">
                        <c:v>20.518999999999998</c:v>
                      </c:pt>
                      <c:pt idx="5398">
                        <c:v>20.518999999999998</c:v>
                      </c:pt>
                      <c:pt idx="5399">
                        <c:v>20.518999999999998</c:v>
                      </c:pt>
                      <c:pt idx="5400">
                        <c:v>20.518999999999998</c:v>
                      </c:pt>
                      <c:pt idx="5401">
                        <c:v>20.518999999999998</c:v>
                      </c:pt>
                      <c:pt idx="5402">
                        <c:v>20.518999999999998</c:v>
                      </c:pt>
                      <c:pt idx="5403">
                        <c:v>20.518999999999998</c:v>
                      </c:pt>
                      <c:pt idx="5404">
                        <c:v>20.518999999999998</c:v>
                      </c:pt>
                      <c:pt idx="5405">
                        <c:v>20.518999999999998</c:v>
                      </c:pt>
                      <c:pt idx="5406">
                        <c:v>20.518999999999998</c:v>
                      </c:pt>
                      <c:pt idx="5407">
                        <c:v>20.518999999999998</c:v>
                      </c:pt>
                      <c:pt idx="5408">
                        <c:v>20.518999999999998</c:v>
                      </c:pt>
                      <c:pt idx="5409">
                        <c:v>20.518999999999998</c:v>
                      </c:pt>
                      <c:pt idx="5410">
                        <c:v>20.518999999999998</c:v>
                      </c:pt>
                      <c:pt idx="5411">
                        <c:v>20.518999999999998</c:v>
                      </c:pt>
                      <c:pt idx="5412">
                        <c:v>20.518999999999998</c:v>
                      </c:pt>
                      <c:pt idx="5413">
                        <c:v>20.518999999999998</c:v>
                      </c:pt>
                      <c:pt idx="5414">
                        <c:v>20.518999999999998</c:v>
                      </c:pt>
                      <c:pt idx="5415">
                        <c:v>20.518999999999998</c:v>
                      </c:pt>
                      <c:pt idx="5416">
                        <c:v>20.518999999999998</c:v>
                      </c:pt>
                      <c:pt idx="5417">
                        <c:v>20.518999999999998</c:v>
                      </c:pt>
                      <c:pt idx="5418">
                        <c:v>20.518999999999998</c:v>
                      </c:pt>
                      <c:pt idx="5419">
                        <c:v>20.518999999999998</c:v>
                      </c:pt>
                      <c:pt idx="5420">
                        <c:v>20.518999999999998</c:v>
                      </c:pt>
                      <c:pt idx="5421">
                        <c:v>20.518999999999998</c:v>
                      </c:pt>
                      <c:pt idx="5422">
                        <c:v>20.518999999999998</c:v>
                      </c:pt>
                      <c:pt idx="5423">
                        <c:v>20.518999999999998</c:v>
                      </c:pt>
                      <c:pt idx="5424">
                        <c:v>20.518999999999998</c:v>
                      </c:pt>
                      <c:pt idx="5425">
                        <c:v>20.518999999999998</c:v>
                      </c:pt>
                      <c:pt idx="5426">
                        <c:v>20.518999999999998</c:v>
                      </c:pt>
                      <c:pt idx="5427">
                        <c:v>20.518999999999998</c:v>
                      </c:pt>
                      <c:pt idx="5428">
                        <c:v>20.518999999999998</c:v>
                      </c:pt>
                      <c:pt idx="5429">
                        <c:v>20.518999999999998</c:v>
                      </c:pt>
                      <c:pt idx="5430">
                        <c:v>20.518999999999998</c:v>
                      </c:pt>
                      <c:pt idx="5431">
                        <c:v>20.518999999999998</c:v>
                      </c:pt>
                      <c:pt idx="5432">
                        <c:v>20.518999999999998</c:v>
                      </c:pt>
                      <c:pt idx="5433">
                        <c:v>20.518999999999998</c:v>
                      </c:pt>
                      <c:pt idx="5434">
                        <c:v>20.518999999999998</c:v>
                      </c:pt>
                      <c:pt idx="5435">
                        <c:v>20.518999999999998</c:v>
                      </c:pt>
                      <c:pt idx="5436">
                        <c:v>20.518999999999998</c:v>
                      </c:pt>
                      <c:pt idx="5437">
                        <c:v>20.518999999999998</c:v>
                      </c:pt>
                      <c:pt idx="5438">
                        <c:v>20.518999999999998</c:v>
                      </c:pt>
                      <c:pt idx="5439">
                        <c:v>20.518999999999998</c:v>
                      </c:pt>
                      <c:pt idx="5440">
                        <c:v>20.518999999999998</c:v>
                      </c:pt>
                      <c:pt idx="5441">
                        <c:v>20.518999999999998</c:v>
                      </c:pt>
                      <c:pt idx="5442">
                        <c:v>20.518999999999998</c:v>
                      </c:pt>
                      <c:pt idx="5443">
                        <c:v>20.518999999999998</c:v>
                      </c:pt>
                      <c:pt idx="5444">
                        <c:v>20.518999999999998</c:v>
                      </c:pt>
                      <c:pt idx="5445">
                        <c:v>20.423999999999999</c:v>
                      </c:pt>
                      <c:pt idx="5446">
                        <c:v>20.518999999999998</c:v>
                      </c:pt>
                      <c:pt idx="5447">
                        <c:v>20.518999999999998</c:v>
                      </c:pt>
                      <c:pt idx="5448">
                        <c:v>20.518999999999998</c:v>
                      </c:pt>
                      <c:pt idx="5449">
                        <c:v>20.518999999999998</c:v>
                      </c:pt>
                      <c:pt idx="5450">
                        <c:v>20.518999999999998</c:v>
                      </c:pt>
                      <c:pt idx="5451">
                        <c:v>20.518999999999998</c:v>
                      </c:pt>
                      <c:pt idx="5452">
                        <c:v>20.518999999999998</c:v>
                      </c:pt>
                      <c:pt idx="5453">
                        <c:v>20.518999999999998</c:v>
                      </c:pt>
                      <c:pt idx="5454">
                        <c:v>20.518999999999998</c:v>
                      </c:pt>
                      <c:pt idx="5455">
                        <c:v>20.518999999999998</c:v>
                      </c:pt>
                      <c:pt idx="5456">
                        <c:v>20.518999999999998</c:v>
                      </c:pt>
                      <c:pt idx="5457">
                        <c:v>20.518999999999998</c:v>
                      </c:pt>
                      <c:pt idx="5458">
                        <c:v>20.518999999999998</c:v>
                      </c:pt>
                      <c:pt idx="5459">
                        <c:v>20.518999999999998</c:v>
                      </c:pt>
                      <c:pt idx="5460">
                        <c:v>20.518999999999998</c:v>
                      </c:pt>
                      <c:pt idx="5461">
                        <c:v>20.518999999999998</c:v>
                      </c:pt>
                      <c:pt idx="5462">
                        <c:v>20.518999999999998</c:v>
                      </c:pt>
                      <c:pt idx="5463">
                        <c:v>20.518999999999998</c:v>
                      </c:pt>
                      <c:pt idx="5464">
                        <c:v>20.518999999999998</c:v>
                      </c:pt>
                      <c:pt idx="5465">
                        <c:v>20.518999999999998</c:v>
                      </c:pt>
                      <c:pt idx="5466">
                        <c:v>20.518999999999998</c:v>
                      </c:pt>
                      <c:pt idx="5467">
                        <c:v>20.518999999999998</c:v>
                      </c:pt>
                      <c:pt idx="5468">
                        <c:v>20.518999999999998</c:v>
                      </c:pt>
                      <c:pt idx="5469">
                        <c:v>20.518999999999998</c:v>
                      </c:pt>
                      <c:pt idx="5470">
                        <c:v>20.518999999999998</c:v>
                      </c:pt>
                      <c:pt idx="5471">
                        <c:v>20.518999999999998</c:v>
                      </c:pt>
                      <c:pt idx="5472">
                        <c:v>20.518999999999998</c:v>
                      </c:pt>
                      <c:pt idx="5473">
                        <c:v>20.518999999999998</c:v>
                      </c:pt>
                      <c:pt idx="5474">
                        <c:v>20.518999999999998</c:v>
                      </c:pt>
                      <c:pt idx="5475">
                        <c:v>20.518999999999998</c:v>
                      </c:pt>
                      <c:pt idx="5476">
                        <c:v>20.518999999999998</c:v>
                      </c:pt>
                      <c:pt idx="5477">
                        <c:v>20.518999999999998</c:v>
                      </c:pt>
                      <c:pt idx="5478">
                        <c:v>20.518999999999998</c:v>
                      </c:pt>
                      <c:pt idx="5479">
                        <c:v>20.518999999999998</c:v>
                      </c:pt>
                      <c:pt idx="5480">
                        <c:v>20.518999999999998</c:v>
                      </c:pt>
                      <c:pt idx="5481">
                        <c:v>20.518999999999998</c:v>
                      </c:pt>
                      <c:pt idx="5482">
                        <c:v>20.518999999999998</c:v>
                      </c:pt>
                      <c:pt idx="5483">
                        <c:v>20.518999999999998</c:v>
                      </c:pt>
                      <c:pt idx="5484">
                        <c:v>20.518999999999998</c:v>
                      </c:pt>
                      <c:pt idx="5485">
                        <c:v>20.518999999999998</c:v>
                      </c:pt>
                      <c:pt idx="5486">
                        <c:v>20.518999999999998</c:v>
                      </c:pt>
                      <c:pt idx="5487">
                        <c:v>20.518999999999998</c:v>
                      </c:pt>
                      <c:pt idx="5488">
                        <c:v>20.518999999999998</c:v>
                      </c:pt>
                      <c:pt idx="5489">
                        <c:v>20.518999999999998</c:v>
                      </c:pt>
                      <c:pt idx="5490">
                        <c:v>20.518999999999998</c:v>
                      </c:pt>
                      <c:pt idx="5491">
                        <c:v>20.518999999999998</c:v>
                      </c:pt>
                      <c:pt idx="5492">
                        <c:v>20.518999999999998</c:v>
                      </c:pt>
                      <c:pt idx="5493">
                        <c:v>20.518999999999998</c:v>
                      </c:pt>
                      <c:pt idx="5494">
                        <c:v>20.518999999999998</c:v>
                      </c:pt>
                      <c:pt idx="5495">
                        <c:v>20.518999999999998</c:v>
                      </c:pt>
                      <c:pt idx="5496">
                        <c:v>20.518999999999998</c:v>
                      </c:pt>
                      <c:pt idx="5497">
                        <c:v>20.518999999999998</c:v>
                      </c:pt>
                      <c:pt idx="5498">
                        <c:v>20.518999999999998</c:v>
                      </c:pt>
                      <c:pt idx="5499">
                        <c:v>20.518999999999998</c:v>
                      </c:pt>
                      <c:pt idx="5500">
                        <c:v>20.518999999999998</c:v>
                      </c:pt>
                      <c:pt idx="5501">
                        <c:v>20.518999999999998</c:v>
                      </c:pt>
                      <c:pt idx="5502">
                        <c:v>20.518999999999998</c:v>
                      </c:pt>
                      <c:pt idx="5503">
                        <c:v>20.518999999999998</c:v>
                      </c:pt>
                      <c:pt idx="5504">
                        <c:v>20.518999999999998</c:v>
                      </c:pt>
                      <c:pt idx="5505">
                        <c:v>20.518999999999998</c:v>
                      </c:pt>
                      <c:pt idx="5506">
                        <c:v>20.518999999999998</c:v>
                      </c:pt>
                      <c:pt idx="5507">
                        <c:v>20.518999999999998</c:v>
                      </c:pt>
                      <c:pt idx="5508">
                        <c:v>20.518999999999998</c:v>
                      </c:pt>
                      <c:pt idx="5509">
                        <c:v>20.518999999999998</c:v>
                      </c:pt>
                      <c:pt idx="5510">
                        <c:v>20.518999999999998</c:v>
                      </c:pt>
                      <c:pt idx="5511">
                        <c:v>20.518999999999998</c:v>
                      </c:pt>
                      <c:pt idx="5512">
                        <c:v>20.518999999999998</c:v>
                      </c:pt>
                      <c:pt idx="5513">
                        <c:v>20.518999999999998</c:v>
                      </c:pt>
                      <c:pt idx="5514">
                        <c:v>20.518999999999998</c:v>
                      </c:pt>
                      <c:pt idx="5515">
                        <c:v>20.518999999999998</c:v>
                      </c:pt>
                      <c:pt idx="5516">
                        <c:v>20.518999999999998</c:v>
                      </c:pt>
                      <c:pt idx="5517">
                        <c:v>20.518999999999998</c:v>
                      </c:pt>
                      <c:pt idx="5518">
                        <c:v>20.518999999999998</c:v>
                      </c:pt>
                      <c:pt idx="5519">
                        <c:v>20.518999999999998</c:v>
                      </c:pt>
                      <c:pt idx="5520">
                        <c:v>20.518999999999998</c:v>
                      </c:pt>
                      <c:pt idx="5521">
                        <c:v>20.518999999999998</c:v>
                      </c:pt>
                      <c:pt idx="5522">
                        <c:v>20.518999999999998</c:v>
                      </c:pt>
                      <c:pt idx="5523">
                        <c:v>20.518999999999998</c:v>
                      </c:pt>
                      <c:pt idx="5524">
                        <c:v>20.518999999999998</c:v>
                      </c:pt>
                      <c:pt idx="5525">
                        <c:v>20.518999999999998</c:v>
                      </c:pt>
                      <c:pt idx="5526">
                        <c:v>20.518999999999998</c:v>
                      </c:pt>
                      <c:pt idx="5527">
                        <c:v>20.518999999999998</c:v>
                      </c:pt>
                      <c:pt idx="5528">
                        <c:v>20.518999999999998</c:v>
                      </c:pt>
                      <c:pt idx="5529">
                        <c:v>20.518999999999998</c:v>
                      </c:pt>
                      <c:pt idx="5530">
                        <c:v>20.518999999999998</c:v>
                      </c:pt>
                      <c:pt idx="5531">
                        <c:v>20.518999999999998</c:v>
                      </c:pt>
                      <c:pt idx="5532">
                        <c:v>20.518999999999998</c:v>
                      </c:pt>
                      <c:pt idx="5533">
                        <c:v>20.518999999999998</c:v>
                      </c:pt>
                      <c:pt idx="5534">
                        <c:v>20.518999999999998</c:v>
                      </c:pt>
                      <c:pt idx="5535">
                        <c:v>20.518999999999998</c:v>
                      </c:pt>
                      <c:pt idx="5536">
                        <c:v>20.518999999999998</c:v>
                      </c:pt>
                      <c:pt idx="5537">
                        <c:v>20.518999999999998</c:v>
                      </c:pt>
                      <c:pt idx="5538">
                        <c:v>20.518999999999998</c:v>
                      </c:pt>
                      <c:pt idx="5539">
                        <c:v>20.518999999999998</c:v>
                      </c:pt>
                      <c:pt idx="5540">
                        <c:v>20.518999999999998</c:v>
                      </c:pt>
                      <c:pt idx="5541">
                        <c:v>20.518999999999998</c:v>
                      </c:pt>
                      <c:pt idx="5542">
                        <c:v>20.518999999999998</c:v>
                      </c:pt>
                      <c:pt idx="5543">
                        <c:v>20.518999999999998</c:v>
                      </c:pt>
                      <c:pt idx="5544">
                        <c:v>20.518999999999998</c:v>
                      </c:pt>
                      <c:pt idx="5545">
                        <c:v>20.518999999999998</c:v>
                      </c:pt>
                      <c:pt idx="5546">
                        <c:v>20.518999999999998</c:v>
                      </c:pt>
                      <c:pt idx="5547">
                        <c:v>20.518999999999998</c:v>
                      </c:pt>
                      <c:pt idx="5548">
                        <c:v>20.518999999999998</c:v>
                      </c:pt>
                      <c:pt idx="5549">
                        <c:v>20.518999999999998</c:v>
                      </c:pt>
                      <c:pt idx="5550">
                        <c:v>20.518999999999998</c:v>
                      </c:pt>
                      <c:pt idx="5551">
                        <c:v>20.518999999999998</c:v>
                      </c:pt>
                      <c:pt idx="5552">
                        <c:v>20.518999999999998</c:v>
                      </c:pt>
                      <c:pt idx="5553">
                        <c:v>20.518999999999998</c:v>
                      </c:pt>
                      <c:pt idx="5554">
                        <c:v>20.518999999999998</c:v>
                      </c:pt>
                      <c:pt idx="5555">
                        <c:v>20.518999999999998</c:v>
                      </c:pt>
                      <c:pt idx="5556">
                        <c:v>20.518999999999998</c:v>
                      </c:pt>
                      <c:pt idx="5557">
                        <c:v>20.518999999999998</c:v>
                      </c:pt>
                      <c:pt idx="5558">
                        <c:v>20.518999999999998</c:v>
                      </c:pt>
                      <c:pt idx="5559">
                        <c:v>20.518999999999998</c:v>
                      </c:pt>
                      <c:pt idx="5560">
                        <c:v>20.518999999999998</c:v>
                      </c:pt>
                      <c:pt idx="5561">
                        <c:v>20.518999999999998</c:v>
                      </c:pt>
                      <c:pt idx="5562">
                        <c:v>20.518999999999998</c:v>
                      </c:pt>
                      <c:pt idx="5563">
                        <c:v>20.518999999999998</c:v>
                      </c:pt>
                      <c:pt idx="5564">
                        <c:v>20.518999999999998</c:v>
                      </c:pt>
                      <c:pt idx="5565">
                        <c:v>20.518999999999998</c:v>
                      </c:pt>
                      <c:pt idx="5566">
                        <c:v>20.518999999999998</c:v>
                      </c:pt>
                      <c:pt idx="5567">
                        <c:v>20.518999999999998</c:v>
                      </c:pt>
                      <c:pt idx="5568">
                        <c:v>20.518999999999998</c:v>
                      </c:pt>
                      <c:pt idx="5569">
                        <c:v>20.518999999999998</c:v>
                      </c:pt>
                      <c:pt idx="5570">
                        <c:v>20.518999999999998</c:v>
                      </c:pt>
                      <c:pt idx="5571">
                        <c:v>20.518999999999998</c:v>
                      </c:pt>
                      <c:pt idx="5572">
                        <c:v>20.518999999999998</c:v>
                      </c:pt>
                      <c:pt idx="5573">
                        <c:v>20.518999999999998</c:v>
                      </c:pt>
                      <c:pt idx="5574">
                        <c:v>20.518999999999998</c:v>
                      </c:pt>
                      <c:pt idx="5575">
                        <c:v>20.518999999999998</c:v>
                      </c:pt>
                      <c:pt idx="5576">
                        <c:v>20.518999999999998</c:v>
                      </c:pt>
                      <c:pt idx="5577">
                        <c:v>20.518999999999998</c:v>
                      </c:pt>
                      <c:pt idx="5578">
                        <c:v>20.518999999999998</c:v>
                      </c:pt>
                      <c:pt idx="5579">
                        <c:v>20.518999999999998</c:v>
                      </c:pt>
                      <c:pt idx="5580">
                        <c:v>20.518999999999998</c:v>
                      </c:pt>
                      <c:pt idx="5581">
                        <c:v>20.518999999999998</c:v>
                      </c:pt>
                      <c:pt idx="5582">
                        <c:v>20.518999999999998</c:v>
                      </c:pt>
                      <c:pt idx="5583">
                        <c:v>20.518999999999998</c:v>
                      </c:pt>
                      <c:pt idx="5584">
                        <c:v>20.518999999999998</c:v>
                      </c:pt>
                      <c:pt idx="5585">
                        <c:v>20.518999999999998</c:v>
                      </c:pt>
                      <c:pt idx="5586">
                        <c:v>20.518999999999998</c:v>
                      </c:pt>
                      <c:pt idx="5587">
                        <c:v>20.518999999999998</c:v>
                      </c:pt>
                      <c:pt idx="5588">
                        <c:v>20.518999999999998</c:v>
                      </c:pt>
                      <c:pt idx="5589">
                        <c:v>20.518999999999998</c:v>
                      </c:pt>
                      <c:pt idx="5590">
                        <c:v>20.518999999999998</c:v>
                      </c:pt>
                      <c:pt idx="5591">
                        <c:v>20.518999999999998</c:v>
                      </c:pt>
                      <c:pt idx="5592">
                        <c:v>20.518999999999998</c:v>
                      </c:pt>
                      <c:pt idx="5593">
                        <c:v>20.518999999999998</c:v>
                      </c:pt>
                      <c:pt idx="5594">
                        <c:v>20.518999999999998</c:v>
                      </c:pt>
                      <c:pt idx="5595">
                        <c:v>20.518999999999998</c:v>
                      </c:pt>
                      <c:pt idx="5596">
                        <c:v>20.518999999999998</c:v>
                      </c:pt>
                      <c:pt idx="5597">
                        <c:v>20.518999999999998</c:v>
                      </c:pt>
                      <c:pt idx="5598">
                        <c:v>20.518999999999998</c:v>
                      </c:pt>
                      <c:pt idx="5599">
                        <c:v>20.518999999999998</c:v>
                      </c:pt>
                      <c:pt idx="5600">
                        <c:v>20.518999999999998</c:v>
                      </c:pt>
                      <c:pt idx="5601">
                        <c:v>20.518999999999998</c:v>
                      </c:pt>
                      <c:pt idx="5602">
                        <c:v>20.518999999999998</c:v>
                      </c:pt>
                      <c:pt idx="5603">
                        <c:v>20.518999999999998</c:v>
                      </c:pt>
                      <c:pt idx="5604">
                        <c:v>20.518999999999998</c:v>
                      </c:pt>
                      <c:pt idx="5605">
                        <c:v>20.518999999999998</c:v>
                      </c:pt>
                      <c:pt idx="5606">
                        <c:v>20.518999999999998</c:v>
                      </c:pt>
                      <c:pt idx="5607">
                        <c:v>20.518999999999998</c:v>
                      </c:pt>
                      <c:pt idx="5608">
                        <c:v>20.518999999999998</c:v>
                      </c:pt>
                      <c:pt idx="5609">
                        <c:v>20.518999999999998</c:v>
                      </c:pt>
                      <c:pt idx="5610">
                        <c:v>20.518999999999998</c:v>
                      </c:pt>
                      <c:pt idx="5611">
                        <c:v>20.518999999999998</c:v>
                      </c:pt>
                      <c:pt idx="5612">
                        <c:v>20.518999999999998</c:v>
                      </c:pt>
                      <c:pt idx="5613">
                        <c:v>20.518999999999998</c:v>
                      </c:pt>
                      <c:pt idx="5614">
                        <c:v>20.518999999999998</c:v>
                      </c:pt>
                      <c:pt idx="5615">
                        <c:v>20.518999999999998</c:v>
                      </c:pt>
                      <c:pt idx="5616">
                        <c:v>20.518999999999998</c:v>
                      </c:pt>
                      <c:pt idx="5617">
                        <c:v>20.518999999999998</c:v>
                      </c:pt>
                      <c:pt idx="5618">
                        <c:v>20.518999999999998</c:v>
                      </c:pt>
                      <c:pt idx="5619">
                        <c:v>20.518999999999998</c:v>
                      </c:pt>
                      <c:pt idx="5620">
                        <c:v>20.518999999999998</c:v>
                      </c:pt>
                      <c:pt idx="5621">
                        <c:v>20.518999999999998</c:v>
                      </c:pt>
                      <c:pt idx="5622">
                        <c:v>20.518999999999998</c:v>
                      </c:pt>
                      <c:pt idx="5623">
                        <c:v>20.518999999999998</c:v>
                      </c:pt>
                      <c:pt idx="5624">
                        <c:v>20.518999999999998</c:v>
                      </c:pt>
                      <c:pt idx="5625">
                        <c:v>20.518999999999998</c:v>
                      </c:pt>
                      <c:pt idx="5626">
                        <c:v>20.518999999999998</c:v>
                      </c:pt>
                      <c:pt idx="5627">
                        <c:v>20.518999999999998</c:v>
                      </c:pt>
                      <c:pt idx="5628">
                        <c:v>20.614999999999998</c:v>
                      </c:pt>
                      <c:pt idx="5629">
                        <c:v>20.518999999999998</c:v>
                      </c:pt>
                      <c:pt idx="5630">
                        <c:v>20.518999999999998</c:v>
                      </c:pt>
                      <c:pt idx="5631">
                        <c:v>20.614999999999998</c:v>
                      </c:pt>
                      <c:pt idx="5632">
                        <c:v>20.518999999999998</c:v>
                      </c:pt>
                      <c:pt idx="5633">
                        <c:v>20.518999999999998</c:v>
                      </c:pt>
                      <c:pt idx="5634">
                        <c:v>20.518999999999998</c:v>
                      </c:pt>
                      <c:pt idx="5635">
                        <c:v>20.614999999999998</c:v>
                      </c:pt>
                      <c:pt idx="5636">
                        <c:v>20.614999999999998</c:v>
                      </c:pt>
                      <c:pt idx="5637">
                        <c:v>20.614999999999998</c:v>
                      </c:pt>
                      <c:pt idx="5638">
                        <c:v>20.614999999999998</c:v>
                      </c:pt>
                      <c:pt idx="5639">
                        <c:v>20.614999999999998</c:v>
                      </c:pt>
                      <c:pt idx="5640">
                        <c:v>20.614999999999998</c:v>
                      </c:pt>
                      <c:pt idx="5641">
                        <c:v>20.614999999999998</c:v>
                      </c:pt>
                      <c:pt idx="5642">
                        <c:v>20.614999999999998</c:v>
                      </c:pt>
                      <c:pt idx="5643">
                        <c:v>20.614999999999998</c:v>
                      </c:pt>
                      <c:pt idx="5644">
                        <c:v>20.614999999999998</c:v>
                      </c:pt>
                      <c:pt idx="5645">
                        <c:v>20.614999999999998</c:v>
                      </c:pt>
                      <c:pt idx="5646">
                        <c:v>20.614999999999998</c:v>
                      </c:pt>
                      <c:pt idx="5647">
                        <c:v>20.614999999999998</c:v>
                      </c:pt>
                      <c:pt idx="5648">
                        <c:v>20.614999999999998</c:v>
                      </c:pt>
                      <c:pt idx="5649">
                        <c:v>20.614999999999998</c:v>
                      </c:pt>
                      <c:pt idx="5650">
                        <c:v>20.614999999999998</c:v>
                      </c:pt>
                      <c:pt idx="5651">
                        <c:v>20.614999999999998</c:v>
                      </c:pt>
                      <c:pt idx="5652">
                        <c:v>20.614999999999998</c:v>
                      </c:pt>
                      <c:pt idx="5653">
                        <c:v>20.614999999999998</c:v>
                      </c:pt>
                      <c:pt idx="5654">
                        <c:v>20.614999999999998</c:v>
                      </c:pt>
                      <c:pt idx="5655">
                        <c:v>20.614999999999998</c:v>
                      </c:pt>
                      <c:pt idx="5656">
                        <c:v>20.614999999999998</c:v>
                      </c:pt>
                      <c:pt idx="5657">
                        <c:v>20.614999999999998</c:v>
                      </c:pt>
                      <c:pt idx="5658">
                        <c:v>20.614999999999998</c:v>
                      </c:pt>
                      <c:pt idx="5659">
                        <c:v>20.614999999999998</c:v>
                      </c:pt>
                      <c:pt idx="5660">
                        <c:v>20.614999999999998</c:v>
                      </c:pt>
                      <c:pt idx="5661">
                        <c:v>20.614999999999998</c:v>
                      </c:pt>
                      <c:pt idx="5662">
                        <c:v>20.614999999999998</c:v>
                      </c:pt>
                      <c:pt idx="5663">
                        <c:v>20.614999999999998</c:v>
                      </c:pt>
                      <c:pt idx="5664">
                        <c:v>20.614999999999998</c:v>
                      </c:pt>
                      <c:pt idx="5665">
                        <c:v>20.614999999999998</c:v>
                      </c:pt>
                      <c:pt idx="5666">
                        <c:v>20.614999999999998</c:v>
                      </c:pt>
                      <c:pt idx="5667">
                        <c:v>20.614999999999998</c:v>
                      </c:pt>
                      <c:pt idx="5668">
                        <c:v>20.614999999999998</c:v>
                      </c:pt>
                      <c:pt idx="5669">
                        <c:v>20.614999999999998</c:v>
                      </c:pt>
                      <c:pt idx="5670">
                        <c:v>20.614999999999998</c:v>
                      </c:pt>
                      <c:pt idx="5671">
                        <c:v>20.614999999999998</c:v>
                      </c:pt>
                      <c:pt idx="5672">
                        <c:v>20.614999999999998</c:v>
                      </c:pt>
                      <c:pt idx="5673">
                        <c:v>20.614999999999998</c:v>
                      </c:pt>
                      <c:pt idx="5674">
                        <c:v>20.614999999999998</c:v>
                      </c:pt>
                      <c:pt idx="5675">
                        <c:v>20.614999999999998</c:v>
                      </c:pt>
                      <c:pt idx="5676">
                        <c:v>20.614999999999998</c:v>
                      </c:pt>
                      <c:pt idx="5677">
                        <c:v>20.614999999999998</c:v>
                      </c:pt>
                      <c:pt idx="5678">
                        <c:v>20.614999999999998</c:v>
                      </c:pt>
                      <c:pt idx="5679">
                        <c:v>20.614999999999998</c:v>
                      </c:pt>
                      <c:pt idx="5680">
                        <c:v>20.614999999999998</c:v>
                      </c:pt>
                      <c:pt idx="5681">
                        <c:v>20.614999999999998</c:v>
                      </c:pt>
                      <c:pt idx="5682">
                        <c:v>20.614999999999998</c:v>
                      </c:pt>
                      <c:pt idx="5683">
                        <c:v>20.614999999999998</c:v>
                      </c:pt>
                      <c:pt idx="5684">
                        <c:v>20.614999999999998</c:v>
                      </c:pt>
                      <c:pt idx="5685">
                        <c:v>20.614999999999998</c:v>
                      </c:pt>
                      <c:pt idx="5686">
                        <c:v>20.614999999999998</c:v>
                      </c:pt>
                      <c:pt idx="5687">
                        <c:v>20.614999999999998</c:v>
                      </c:pt>
                      <c:pt idx="5688">
                        <c:v>20.614999999999998</c:v>
                      </c:pt>
                      <c:pt idx="5689">
                        <c:v>20.614999999999998</c:v>
                      </c:pt>
                      <c:pt idx="5690">
                        <c:v>20.614999999999998</c:v>
                      </c:pt>
                      <c:pt idx="5691">
                        <c:v>20.614999999999998</c:v>
                      </c:pt>
                      <c:pt idx="5692">
                        <c:v>20.614999999999998</c:v>
                      </c:pt>
                      <c:pt idx="5693">
                        <c:v>20.614999999999998</c:v>
                      </c:pt>
                      <c:pt idx="5694">
                        <c:v>20.614999999999998</c:v>
                      </c:pt>
                      <c:pt idx="5695">
                        <c:v>20.614999999999998</c:v>
                      </c:pt>
                      <c:pt idx="5696">
                        <c:v>20.614999999999998</c:v>
                      </c:pt>
                      <c:pt idx="5697">
                        <c:v>20.614999999999998</c:v>
                      </c:pt>
                      <c:pt idx="5698">
                        <c:v>20.614999999999998</c:v>
                      </c:pt>
                      <c:pt idx="5699">
                        <c:v>20.614999999999998</c:v>
                      </c:pt>
                      <c:pt idx="5700">
                        <c:v>20.614999999999998</c:v>
                      </c:pt>
                      <c:pt idx="5701">
                        <c:v>20.614999999999998</c:v>
                      </c:pt>
                      <c:pt idx="5702">
                        <c:v>20.614999999999998</c:v>
                      </c:pt>
                      <c:pt idx="5703">
                        <c:v>20.614999999999998</c:v>
                      </c:pt>
                      <c:pt idx="5704">
                        <c:v>20.614999999999998</c:v>
                      </c:pt>
                      <c:pt idx="5705">
                        <c:v>20.614999999999998</c:v>
                      </c:pt>
                      <c:pt idx="5706">
                        <c:v>20.614999999999998</c:v>
                      </c:pt>
                      <c:pt idx="5707">
                        <c:v>20.614999999999998</c:v>
                      </c:pt>
                      <c:pt idx="5708">
                        <c:v>20.614999999999998</c:v>
                      </c:pt>
                      <c:pt idx="5709">
                        <c:v>20.614999999999998</c:v>
                      </c:pt>
                      <c:pt idx="5710">
                        <c:v>20.614999999999998</c:v>
                      </c:pt>
                      <c:pt idx="5711">
                        <c:v>20.614999999999998</c:v>
                      </c:pt>
                      <c:pt idx="5712">
                        <c:v>20.614999999999998</c:v>
                      </c:pt>
                      <c:pt idx="5713">
                        <c:v>20.614999999999998</c:v>
                      </c:pt>
                      <c:pt idx="5714">
                        <c:v>20.614999999999998</c:v>
                      </c:pt>
                      <c:pt idx="5715">
                        <c:v>20.614999999999998</c:v>
                      </c:pt>
                      <c:pt idx="5716">
                        <c:v>20.614999999999998</c:v>
                      </c:pt>
                      <c:pt idx="5717">
                        <c:v>20.614999999999998</c:v>
                      </c:pt>
                      <c:pt idx="5718">
                        <c:v>20.614999999999998</c:v>
                      </c:pt>
                      <c:pt idx="5719">
                        <c:v>20.614999999999998</c:v>
                      </c:pt>
                      <c:pt idx="5720">
                        <c:v>20.614999999999998</c:v>
                      </c:pt>
                      <c:pt idx="5721">
                        <c:v>20.614999999999998</c:v>
                      </c:pt>
                      <c:pt idx="5722">
                        <c:v>20.614999999999998</c:v>
                      </c:pt>
                      <c:pt idx="5723">
                        <c:v>20.614999999999998</c:v>
                      </c:pt>
                      <c:pt idx="5724">
                        <c:v>20.614999999999998</c:v>
                      </c:pt>
                      <c:pt idx="5725">
                        <c:v>20.614999999999998</c:v>
                      </c:pt>
                      <c:pt idx="5726">
                        <c:v>20.614999999999998</c:v>
                      </c:pt>
                      <c:pt idx="5727">
                        <c:v>20.614999999999998</c:v>
                      </c:pt>
                      <c:pt idx="5728">
                        <c:v>20.614999999999998</c:v>
                      </c:pt>
                      <c:pt idx="5729">
                        <c:v>20.614999999999998</c:v>
                      </c:pt>
                      <c:pt idx="5730">
                        <c:v>20.614999999999998</c:v>
                      </c:pt>
                      <c:pt idx="5731">
                        <c:v>20.614999999999998</c:v>
                      </c:pt>
                      <c:pt idx="5732">
                        <c:v>20.614999999999998</c:v>
                      </c:pt>
                      <c:pt idx="5733">
                        <c:v>20.614999999999998</c:v>
                      </c:pt>
                      <c:pt idx="5734">
                        <c:v>20.614999999999998</c:v>
                      </c:pt>
                      <c:pt idx="5735">
                        <c:v>20.614999999999998</c:v>
                      </c:pt>
                      <c:pt idx="5736">
                        <c:v>20.614999999999998</c:v>
                      </c:pt>
                      <c:pt idx="5737">
                        <c:v>20.614999999999998</c:v>
                      </c:pt>
                      <c:pt idx="5738">
                        <c:v>20.614999999999998</c:v>
                      </c:pt>
                      <c:pt idx="5739">
                        <c:v>20.614999999999998</c:v>
                      </c:pt>
                      <c:pt idx="5740">
                        <c:v>20.614999999999998</c:v>
                      </c:pt>
                      <c:pt idx="5741">
                        <c:v>20.614999999999998</c:v>
                      </c:pt>
                      <c:pt idx="5742">
                        <c:v>20.614999999999998</c:v>
                      </c:pt>
                      <c:pt idx="5743">
                        <c:v>20.614999999999998</c:v>
                      </c:pt>
                      <c:pt idx="5744">
                        <c:v>20.614999999999998</c:v>
                      </c:pt>
                      <c:pt idx="5745">
                        <c:v>20.614999999999998</c:v>
                      </c:pt>
                      <c:pt idx="5746">
                        <c:v>20.614999999999998</c:v>
                      </c:pt>
                      <c:pt idx="5747">
                        <c:v>20.614999999999998</c:v>
                      </c:pt>
                      <c:pt idx="5748">
                        <c:v>20.614999999999998</c:v>
                      </c:pt>
                      <c:pt idx="5749">
                        <c:v>20.614999999999998</c:v>
                      </c:pt>
                      <c:pt idx="5750">
                        <c:v>20.614999999999998</c:v>
                      </c:pt>
                      <c:pt idx="5751">
                        <c:v>20.614999999999998</c:v>
                      </c:pt>
                      <c:pt idx="5752">
                        <c:v>20.614999999999998</c:v>
                      </c:pt>
                      <c:pt idx="5753">
                        <c:v>20.614999999999998</c:v>
                      </c:pt>
                      <c:pt idx="5754">
                        <c:v>20.614999999999998</c:v>
                      </c:pt>
                      <c:pt idx="5755">
                        <c:v>20.614999999999998</c:v>
                      </c:pt>
                      <c:pt idx="5756">
                        <c:v>20.614999999999998</c:v>
                      </c:pt>
                      <c:pt idx="5757">
                        <c:v>20.614999999999998</c:v>
                      </c:pt>
                      <c:pt idx="5758">
                        <c:v>20.614999999999998</c:v>
                      </c:pt>
                      <c:pt idx="5759">
                        <c:v>20.614999999999998</c:v>
                      </c:pt>
                      <c:pt idx="5760">
                        <c:v>20.614999999999998</c:v>
                      </c:pt>
                      <c:pt idx="5761">
                        <c:v>20.614999999999998</c:v>
                      </c:pt>
                      <c:pt idx="5762">
                        <c:v>20.614999999999998</c:v>
                      </c:pt>
                      <c:pt idx="5763">
                        <c:v>20.614999999999998</c:v>
                      </c:pt>
                      <c:pt idx="5764">
                        <c:v>20.614999999999998</c:v>
                      </c:pt>
                      <c:pt idx="5765">
                        <c:v>20.614999999999998</c:v>
                      </c:pt>
                      <c:pt idx="5766">
                        <c:v>20.614999999999998</c:v>
                      </c:pt>
                      <c:pt idx="5767">
                        <c:v>20.614999999999998</c:v>
                      </c:pt>
                      <c:pt idx="5768">
                        <c:v>20.614999999999998</c:v>
                      </c:pt>
                      <c:pt idx="5769">
                        <c:v>20.614999999999998</c:v>
                      </c:pt>
                      <c:pt idx="5770">
                        <c:v>20.614999999999998</c:v>
                      </c:pt>
                      <c:pt idx="5771">
                        <c:v>20.614999999999998</c:v>
                      </c:pt>
                      <c:pt idx="5772">
                        <c:v>20.614999999999998</c:v>
                      </c:pt>
                      <c:pt idx="5773">
                        <c:v>20.614999999999998</c:v>
                      </c:pt>
                      <c:pt idx="5774">
                        <c:v>20.614999999999998</c:v>
                      </c:pt>
                      <c:pt idx="5775">
                        <c:v>20.614999999999998</c:v>
                      </c:pt>
                      <c:pt idx="5776">
                        <c:v>20.614999999999998</c:v>
                      </c:pt>
                      <c:pt idx="5777">
                        <c:v>20.614999999999998</c:v>
                      </c:pt>
                      <c:pt idx="5778">
                        <c:v>20.614999999999998</c:v>
                      </c:pt>
                      <c:pt idx="5779">
                        <c:v>20.614999999999998</c:v>
                      </c:pt>
                      <c:pt idx="5780">
                        <c:v>20.614999999999998</c:v>
                      </c:pt>
                      <c:pt idx="5781">
                        <c:v>20.614999999999998</c:v>
                      </c:pt>
                      <c:pt idx="5782">
                        <c:v>20.614999999999998</c:v>
                      </c:pt>
                      <c:pt idx="5783">
                        <c:v>20.614999999999998</c:v>
                      </c:pt>
                      <c:pt idx="5784">
                        <c:v>20.614999999999998</c:v>
                      </c:pt>
                      <c:pt idx="5785">
                        <c:v>20.614999999999998</c:v>
                      </c:pt>
                      <c:pt idx="5786">
                        <c:v>20.614999999999998</c:v>
                      </c:pt>
                      <c:pt idx="5787">
                        <c:v>20.614999999999998</c:v>
                      </c:pt>
                      <c:pt idx="5788">
                        <c:v>20.614999999999998</c:v>
                      </c:pt>
                      <c:pt idx="5789">
                        <c:v>20.614999999999998</c:v>
                      </c:pt>
                      <c:pt idx="5790">
                        <c:v>20.614999999999998</c:v>
                      </c:pt>
                      <c:pt idx="5791">
                        <c:v>20.614999999999998</c:v>
                      </c:pt>
                      <c:pt idx="5792">
                        <c:v>20.614999999999998</c:v>
                      </c:pt>
                      <c:pt idx="5793">
                        <c:v>20.614999999999998</c:v>
                      </c:pt>
                      <c:pt idx="5794">
                        <c:v>20.614999999999998</c:v>
                      </c:pt>
                      <c:pt idx="5795">
                        <c:v>20.614999999999998</c:v>
                      </c:pt>
                      <c:pt idx="5796">
                        <c:v>20.614999999999998</c:v>
                      </c:pt>
                      <c:pt idx="5797">
                        <c:v>20.614999999999998</c:v>
                      </c:pt>
                      <c:pt idx="5798">
                        <c:v>20.614999999999998</c:v>
                      </c:pt>
                      <c:pt idx="5799">
                        <c:v>20.614999999999998</c:v>
                      </c:pt>
                      <c:pt idx="5800">
                        <c:v>20.614999999999998</c:v>
                      </c:pt>
                      <c:pt idx="5801">
                        <c:v>20.614999999999998</c:v>
                      </c:pt>
                      <c:pt idx="5802">
                        <c:v>20.614999999999998</c:v>
                      </c:pt>
                      <c:pt idx="5803">
                        <c:v>20.614999999999998</c:v>
                      </c:pt>
                      <c:pt idx="5804">
                        <c:v>20.614999999999998</c:v>
                      </c:pt>
                      <c:pt idx="5805">
                        <c:v>20.614999999999998</c:v>
                      </c:pt>
                      <c:pt idx="5806">
                        <c:v>20.614999999999998</c:v>
                      </c:pt>
                      <c:pt idx="5807">
                        <c:v>20.614999999999998</c:v>
                      </c:pt>
                      <c:pt idx="5808">
                        <c:v>20.614999999999998</c:v>
                      </c:pt>
                      <c:pt idx="5809">
                        <c:v>20.614999999999998</c:v>
                      </c:pt>
                      <c:pt idx="5810">
                        <c:v>20.614999999999998</c:v>
                      </c:pt>
                      <c:pt idx="5811">
                        <c:v>20.614999999999998</c:v>
                      </c:pt>
                      <c:pt idx="5812">
                        <c:v>20.614999999999998</c:v>
                      </c:pt>
                      <c:pt idx="5813">
                        <c:v>20.614999999999998</c:v>
                      </c:pt>
                      <c:pt idx="5814">
                        <c:v>20.614999999999998</c:v>
                      </c:pt>
                      <c:pt idx="5815">
                        <c:v>20.614999999999998</c:v>
                      </c:pt>
                      <c:pt idx="5816">
                        <c:v>20.614999999999998</c:v>
                      </c:pt>
                      <c:pt idx="5817">
                        <c:v>20.614999999999998</c:v>
                      </c:pt>
                      <c:pt idx="5818">
                        <c:v>20.614999999999998</c:v>
                      </c:pt>
                      <c:pt idx="5819">
                        <c:v>20.614999999999998</c:v>
                      </c:pt>
                      <c:pt idx="5820">
                        <c:v>20.614999999999998</c:v>
                      </c:pt>
                      <c:pt idx="5821">
                        <c:v>20.614999999999998</c:v>
                      </c:pt>
                      <c:pt idx="5822">
                        <c:v>20.614999999999998</c:v>
                      </c:pt>
                      <c:pt idx="5823">
                        <c:v>20.614999999999998</c:v>
                      </c:pt>
                      <c:pt idx="5824">
                        <c:v>20.614999999999998</c:v>
                      </c:pt>
                      <c:pt idx="5825">
                        <c:v>20.614999999999998</c:v>
                      </c:pt>
                      <c:pt idx="5826">
                        <c:v>20.614999999999998</c:v>
                      </c:pt>
                      <c:pt idx="5827">
                        <c:v>20.614999999999998</c:v>
                      </c:pt>
                      <c:pt idx="5828">
                        <c:v>20.614999999999998</c:v>
                      </c:pt>
                      <c:pt idx="5829">
                        <c:v>20.614999999999998</c:v>
                      </c:pt>
                      <c:pt idx="5830">
                        <c:v>20.614999999999998</c:v>
                      </c:pt>
                      <c:pt idx="5831">
                        <c:v>20.614999999999998</c:v>
                      </c:pt>
                      <c:pt idx="5832">
                        <c:v>20.614999999999998</c:v>
                      </c:pt>
                      <c:pt idx="5833">
                        <c:v>20.614999999999998</c:v>
                      </c:pt>
                      <c:pt idx="5834">
                        <c:v>20.614999999999998</c:v>
                      </c:pt>
                      <c:pt idx="5835">
                        <c:v>20.614999999999998</c:v>
                      </c:pt>
                      <c:pt idx="5836">
                        <c:v>20.614999999999998</c:v>
                      </c:pt>
                      <c:pt idx="5837">
                        <c:v>20.614999999999998</c:v>
                      </c:pt>
                      <c:pt idx="5838">
                        <c:v>20.614999999999998</c:v>
                      </c:pt>
                      <c:pt idx="5839">
                        <c:v>20.614999999999998</c:v>
                      </c:pt>
                      <c:pt idx="5840">
                        <c:v>20.614999999999998</c:v>
                      </c:pt>
                      <c:pt idx="5841">
                        <c:v>20.614999999999998</c:v>
                      </c:pt>
                      <c:pt idx="5842">
                        <c:v>20.614999999999998</c:v>
                      </c:pt>
                      <c:pt idx="5843">
                        <c:v>20.614999999999998</c:v>
                      </c:pt>
                      <c:pt idx="5844">
                        <c:v>20.614999999999998</c:v>
                      </c:pt>
                      <c:pt idx="5845">
                        <c:v>20.614999999999998</c:v>
                      </c:pt>
                      <c:pt idx="5846">
                        <c:v>20.614999999999998</c:v>
                      </c:pt>
                      <c:pt idx="5847">
                        <c:v>20.614999999999998</c:v>
                      </c:pt>
                      <c:pt idx="5848">
                        <c:v>20.614999999999998</c:v>
                      </c:pt>
                      <c:pt idx="5849">
                        <c:v>20.614999999999998</c:v>
                      </c:pt>
                      <c:pt idx="5850">
                        <c:v>20.614999999999998</c:v>
                      </c:pt>
                      <c:pt idx="5851">
                        <c:v>20.614999999999998</c:v>
                      </c:pt>
                      <c:pt idx="5852">
                        <c:v>20.614999999999998</c:v>
                      </c:pt>
                      <c:pt idx="5853">
                        <c:v>20.614999999999998</c:v>
                      </c:pt>
                      <c:pt idx="5854">
                        <c:v>20.614999999999998</c:v>
                      </c:pt>
                      <c:pt idx="5855">
                        <c:v>20.614999999999998</c:v>
                      </c:pt>
                      <c:pt idx="5856">
                        <c:v>20.614999999999998</c:v>
                      </c:pt>
                      <c:pt idx="5857">
                        <c:v>20.614999999999998</c:v>
                      </c:pt>
                      <c:pt idx="5858">
                        <c:v>20.614999999999998</c:v>
                      </c:pt>
                      <c:pt idx="5859">
                        <c:v>20.614999999999998</c:v>
                      </c:pt>
                      <c:pt idx="5860">
                        <c:v>20.614999999999998</c:v>
                      </c:pt>
                      <c:pt idx="5861">
                        <c:v>20.614999999999998</c:v>
                      </c:pt>
                      <c:pt idx="5862">
                        <c:v>20.614999999999998</c:v>
                      </c:pt>
                      <c:pt idx="5863">
                        <c:v>20.614999999999998</c:v>
                      </c:pt>
                      <c:pt idx="5864">
                        <c:v>20.614999999999998</c:v>
                      </c:pt>
                      <c:pt idx="5865">
                        <c:v>20.614999999999998</c:v>
                      </c:pt>
                      <c:pt idx="5866">
                        <c:v>20.614999999999998</c:v>
                      </c:pt>
                      <c:pt idx="5867">
                        <c:v>20.614999999999998</c:v>
                      </c:pt>
                      <c:pt idx="5868">
                        <c:v>20.614999999999998</c:v>
                      </c:pt>
                      <c:pt idx="5869">
                        <c:v>20.614999999999998</c:v>
                      </c:pt>
                      <c:pt idx="5870">
                        <c:v>20.614999999999998</c:v>
                      </c:pt>
                      <c:pt idx="5871">
                        <c:v>20.614999999999998</c:v>
                      </c:pt>
                      <c:pt idx="5872">
                        <c:v>20.614999999999998</c:v>
                      </c:pt>
                      <c:pt idx="5873">
                        <c:v>20.614999999999998</c:v>
                      </c:pt>
                      <c:pt idx="5874">
                        <c:v>20.614999999999998</c:v>
                      </c:pt>
                      <c:pt idx="5875">
                        <c:v>20.614999999999998</c:v>
                      </c:pt>
                      <c:pt idx="5876">
                        <c:v>20.614999999999998</c:v>
                      </c:pt>
                      <c:pt idx="5877">
                        <c:v>20.614999999999998</c:v>
                      </c:pt>
                      <c:pt idx="5878">
                        <c:v>20.614999999999998</c:v>
                      </c:pt>
                      <c:pt idx="5879">
                        <c:v>20.614999999999998</c:v>
                      </c:pt>
                      <c:pt idx="5880">
                        <c:v>20.614999999999998</c:v>
                      </c:pt>
                      <c:pt idx="5881">
                        <c:v>20.614999999999998</c:v>
                      </c:pt>
                      <c:pt idx="5882">
                        <c:v>20.614999999999998</c:v>
                      </c:pt>
                      <c:pt idx="5883">
                        <c:v>20.614999999999998</c:v>
                      </c:pt>
                      <c:pt idx="5884">
                        <c:v>20.614999999999998</c:v>
                      </c:pt>
                      <c:pt idx="5885">
                        <c:v>20.614999999999998</c:v>
                      </c:pt>
                      <c:pt idx="5886">
                        <c:v>20.614999999999998</c:v>
                      </c:pt>
                      <c:pt idx="5887">
                        <c:v>20.614999999999998</c:v>
                      </c:pt>
                      <c:pt idx="5888">
                        <c:v>20.614999999999998</c:v>
                      </c:pt>
                      <c:pt idx="5889">
                        <c:v>20.614999999999998</c:v>
                      </c:pt>
                      <c:pt idx="5890">
                        <c:v>20.614999999999998</c:v>
                      </c:pt>
                      <c:pt idx="5891">
                        <c:v>20.614999999999998</c:v>
                      </c:pt>
                      <c:pt idx="5892">
                        <c:v>20.614999999999998</c:v>
                      </c:pt>
                      <c:pt idx="5893">
                        <c:v>20.614999999999998</c:v>
                      </c:pt>
                      <c:pt idx="5894">
                        <c:v>20.614999999999998</c:v>
                      </c:pt>
                      <c:pt idx="5895">
                        <c:v>20.614999999999998</c:v>
                      </c:pt>
                      <c:pt idx="5896">
                        <c:v>20.614999999999998</c:v>
                      </c:pt>
                      <c:pt idx="5897">
                        <c:v>20.614999999999998</c:v>
                      </c:pt>
                      <c:pt idx="5898">
                        <c:v>20.614999999999998</c:v>
                      </c:pt>
                      <c:pt idx="5899">
                        <c:v>20.614999999999998</c:v>
                      </c:pt>
                      <c:pt idx="5900">
                        <c:v>20.614999999999998</c:v>
                      </c:pt>
                      <c:pt idx="5901">
                        <c:v>20.614999999999998</c:v>
                      </c:pt>
                      <c:pt idx="5902">
                        <c:v>20.614999999999998</c:v>
                      </c:pt>
                      <c:pt idx="5903">
                        <c:v>20.614999999999998</c:v>
                      </c:pt>
                      <c:pt idx="5904">
                        <c:v>20.614999999999998</c:v>
                      </c:pt>
                      <c:pt idx="5905">
                        <c:v>20.614999999999998</c:v>
                      </c:pt>
                      <c:pt idx="5906">
                        <c:v>20.614999999999998</c:v>
                      </c:pt>
                      <c:pt idx="5907">
                        <c:v>20.614999999999998</c:v>
                      </c:pt>
                      <c:pt idx="5908">
                        <c:v>20.614999999999998</c:v>
                      </c:pt>
                      <c:pt idx="5909">
                        <c:v>20.614999999999998</c:v>
                      </c:pt>
                      <c:pt idx="5910">
                        <c:v>20.614999999999998</c:v>
                      </c:pt>
                      <c:pt idx="5911">
                        <c:v>20.614999999999998</c:v>
                      </c:pt>
                      <c:pt idx="5912">
                        <c:v>20.614999999999998</c:v>
                      </c:pt>
                      <c:pt idx="5913">
                        <c:v>20.614999999999998</c:v>
                      </c:pt>
                      <c:pt idx="5914">
                        <c:v>20.614999999999998</c:v>
                      </c:pt>
                      <c:pt idx="5915">
                        <c:v>20.614999999999998</c:v>
                      </c:pt>
                      <c:pt idx="5916">
                        <c:v>20.614999999999998</c:v>
                      </c:pt>
                      <c:pt idx="5917">
                        <c:v>20.614999999999998</c:v>
                      </c:pt>
                      <c:pt idx="5918">
                        <c:v>20.614999999999998</c:v>
                      </c:pt>
                      <c:pt idx="5919">
                        <c:v>20.614999999999998</c:v>
                      </c:pt>
                      <c:pt idx="5920">
                        <c:v>20.614999999999998</c:v>
                      </c:pt>
                      <c:pt idx="5921">
                        <c:v>20.614999999999998</c:v>
                      </c:pt>
                      <c:pt idx="5922">
                        <c:v>20.614999999999998</c:v>
                      </c:pt>
                      <c:pt idx="5923">
                        <c:v>20.614999999999998</c:v>
                      </c:pt>
                      <c:pt idx="5924">
                        <c:v>20.614999999999998</c:v>
                      </c:pt>
                      <c:pt idx="5925">
                        <c:v>20.614999999999998</c:v>
                      </c:pt>
                      <c:pt idx="5926">
                        <c:v>20.614999999999998</c:v>
                      </c:pt>
                      <c:pt idx="5927">
                        <c:v>20.614999999999998</c:v>
                      </c:pt>
                      <c:pt idx="5928">
                        <c:v>20.614999999999998</c:v>
                      </c:pt>
                      <c:pt idx="5929">
                        <c:v>20.614999999999998</c:v>
                      </c:pt>
                      <c:pt idx="5930">
                        <c:v>20.614999999999998</c:v>
                      </c:pt>
                      <c:pt idx="5931">
                        <c:v>20.614999999999998</c:v>
                      </c:pt>
                      <c:pt idx="5932">
                        <c:v>20.614999999999998</c:v>
                      </c:pt>
                      <c:pt idx="5933">
                        <c:v>20.614999999999998</c:v>
                      </c:pt>
                      <c:pt idx="5934">
                        <c:v>20.614999999999998</c:v>
                      </c:pt>
                      <c:pt idx="5935">
                        <c:v>20.614999999999998</c:v>
                      </c:pt>
                      <c:pt idx="5936">
                        <c:v>20.614999999999998</c:v>
                      </c:pt>
                      <c:pt idx="5937">
                        <c:v>20.614999999999998</c:v>
                      </c:pt>
                      <c:pt idx="5938">
                        <c:v>20.614999999999998</c:v>
                      </c:pt>
                      <c:pt idx="5939">
                        <c:v>20.614999999999998</c:v>
                      </c:pt>
                      <c:pt idx="5940">
                        <c:v>20.614999999999998</c:v>
                      </c:pt>
                      <c:pt idx="5941">
                        <c:v>20.614999999999998</c:v>
                      </c:pt>
                      <c:pt idx="5942">
                        <c:v>20.614999999999998</c:v>
                      </c:pt>
                      <c:pt idx="5943">
                        <c:v>20.614999999999998</c:v>
                      </c:pt>
                      <c:pt idx="5944">
                        <c:v>20.614999999999998</c:v>
                      </c:pt>
                      <c:pt idx="5945">
                        <c:v>20.614999999999998</c:v>
                      </c:pt>
                      <c:pt idx="5946">
                        <c:v>20.614999999999998</c:v>
                      </c:pt>
                      <c:pt idx="5947">
                        <c:v>20.614999999999998</c:v>
                      </c:pt>
                      <c:pt idx="5948">
                        <c:v>20.614999999999998</c:v>
                      </c:pt>
                      <c:pt idx="5949">
                        <c:v>20.614999999999998</c:v>
                      </c:pt>
                      <c:pt idx="5950">
                        <c:v>20.614999999999998</c:v>
                      </c:pt>
                      <c:pt idx="5951">
                        <c:v>20.614999999999998</c:v>
                      </c:pt>
                      <c:pt idx="5952">
                        <c:v>20.614999999999998</c:v>
                      </c:pt>
                      <c:pt idx="5953">
                        <c:v>20.614999999999998</c:v>
                      </c:pt>
                      <c:pt idx="5954">
                        <c:v>20.614999999999998</c:v>
                      </c:pt>
                      <c:pt idx="5955">
                        <c:v>20.614999999999998</c:v>
                      </c:pt>
                      <c:pt idx="5956">
                        <c:v>20.614999999999998</c:v>
                      </c:pt>
                      <c:pt idx="5957">
                        <c:v>20.614999999999998</c:v>
                      </c:pt>
                      <c:pt idx="5958">
                        <c:v>20.614999999999998</c:v>
                      </c:pt>
                      <c:pt idx="5959">
                        <c:v>20.614999999999998</c:v>
                      </c:pt>
                      <c:pt idx="5960">
                        <c:v>20.614999999999998</c:v>
                      </c:pt>
                      <c:pt idx="5961">
                        <c:v>20.614999999999998</c:v>
                      </c:pt>
                      <c:pt idx="5962">
                        <c:v>20.614999999999998</c:v>
                      </c:pt>
                      <c:pt idx="5963">
                        <c:v>20.614999999999998</c:v>
                      </c:pt>
                      <c:pt idx="5964">
                        <c:v>20.614999999999998</c:v>
                      </c:pt>
                      <c:pt idx="5965">
                        <c:v>20.614999999999998</c:v>
                      </c:pt>
                      <c:pt idx="5966">
                        <c:v>20.614999999999998</c:v>
                      </c:pt>
                      <c:pt idx="5967">
                        <c:v>20.614999999999998</c:v>
                      </c:pt>
                      <c:pt idx="5968">
                        <c:v>20.614999999999998</c:v>
                      </c:pt>
                      <c:pt idx="5969">
                        <c:v>20.614999999999998</c:v>
                      </c:pt>
                      <c:pt idx="5970">
                        <c:v>20.614999999999998</c:v>
                      </c:pt>
                      <c:pt idx="5971">
                        <c:v>20.614999999999998</c:v>
                      </c:pt>
                      <c:pt idx="5972">
                        <c:v>20.614999999999998</c:v>
                      </c:pt>
                      <c:pt idx="5973">
                        <c:v>20.614999999999998</c:v>
                      </c:pt>
                      <c:pt idx="5974">
                        <c:v>20.614999999999998</c:v>
                      </c:pt>
                      <c:pt idx="5975">
                        <c:v>20.614999999999998</c:v>
                      </c:pt>
                      <c:pt idx="5976">
                        <c:v>20.614999999999998</c:v>
                      </c:pt>
                      <c:pt idx="5977">
                        <c:v>20.614999999999998</c:v>
                      </c:pt>
                      <c:pt idx="5978">
                        <c:v>20.614999999999998</c:v>
                      </c:pt>
                      <c:pt idx="5979">
                        <c:v>20.614999999999998</c:v>
                      </c:pt>
                      <c:pt idx="5980">
                        <c:v>20.614999999999998</c:v>
                      </c:pt>
                      <c:pt idx="5981">
                        <c:v>20.614999999999998</c:v>
                      </c:pt>
                      <c:pt idx="5982">
                        <c:v>20.614999999999998</c:v>
                      </c:pt>
                      <c:pt idx="5983">
                        <c:v>20.614999999999998</c:v>
                      </c:pt>
                      <c:pt idx="5984">
                        <c:v>20.614999999999998</c:v>
                      </c:pt>
                      <c:pt idx="5985">
                        <c:v>20.614999999999998</c:v>
                      </c:pt>
                      <c:pt idx="5986">
                        <c:v>20.614999999999998</c:v>
                      </c:pt>
                      <c:pt idx="5987">
                        <c:v>20.614999999999998</c:v>
                      </c:pt>
                      <c:pt idx="5988">
                        <c:v>20.614999999999998</c:v>
                      </c:pt>
                      <c:pt idx="5989">
                        <c:v>20.614999999999998</c:v>
                      </c:pt>
                      <c:pt idx="5990">
                        <c:v>20.614999999999998</c:v>
                      </c:pt>
                      <c:pt idx="5991">
                        <c:v>20.614999999999998</c:v>
                      </c:pt>
                      <c:pt idx="5992">
                        <c:v>20.614999999999998</c:v>
                      </c:pt>
                      <c:pt idx="5993">
                        <c:v>20.614999999999998</c:v>
                      </c:pt>
                      <c:pt idx="5994">
                        <c:v>20.614999999999998</c:v>
                      </c:pt>
                      <c:pt idx="5995">
                        <c:v>20.614999999999998</c:v>
                      </c:pt>
                      <c:pt idx="5996">
                        <c:v>20.614999999999998</c:v>
                      </c:pt>
                      <c:pt idx="5997">
                        <c:v>20.614999999999998</c:v>
                      </c:pt>
                      <c:pt idx="5998">
                        <c:v>20.614999999999998</c:v>
                      </c:pt>
                      <c:pt idx="5999">
                        <c:v>20.614999999999998</c:v>
                      </c:pt>
                      <c:pt idx="6000">
                        <c:v>20.614999999999998</c:v>
                      </c:pt>
                      <c:pt idx="6001">
                        <c:v>20.614999999999998</c:v>
                      </c:pt>
                      <c:pt idx="6002">
                        <c:v>20.614999999999998</c:v>
                      </c:pt>
                      <c:pt idx="6003">
                        <c:v>20.614999999999998</c:v>
                      </c:pt>
                      <c:pt idx="6004">
                        <c:v>20.614999999999998</c:v>
                      </c:pt>
                      <c:pt idx="6005">
                        <c:v>20.614999999999998</c:v>
                      </c:pt>
                      <c:pt idx="6006">
                        <c:v>20.614999999999998</c:v>
                      </c:pt>
                      <c:pt idx="6007">
                        <c:v>20.614999999999998</c:v>
                      </c:pt>
                      <c:pt idx="6008">
                        <c:v>20.614999999999998</c:v>
                      </c:pt>
                      <c:pt idx="6009">
                        <c:v>20.614999999999998</c:v>
                      </c:pt>
                      <c:pt idx="6010">
                        <c:v>20.614999999999998</c:v>
                      </c:pt>
                      <c:pt idx="6011">
                        <c:v>20.614999999999998</c:v>
                      </c:pt>
                      <c:pt idx="6012">
                        <c:v>20.614999999999998</c:v>
                      </c:pt>
                      <c:pt idx="6013">
                        <c:v>20.614999999999998</c:v>
                      </c:pt>
                      <c:pt idx="6014">
                        <c:v>20.614999999999998</c:v>
                      </c:pt>
                      <c:pt idx="6015">
                        <c:v>20.614999999999998</c:v>
                      </c:pt>
                      <c:pt idx="6016">
                        <c:v>20.614999999999998</c:v>
                      </c:pt>
                      <c:pt idx="6017">
                        <c:v>20.614999999999998</c:v>
                      </c:pt>
                      <c:pt idx="6018">
                        <c:v>20.614999999999998</c:v>
                      </c:pt>
                      <c:pt idx="6019">
                        <c:v>20.614999999999998</c:v>
                      </c:pt>
                      <c:pt idx="6020">
                        <c:v>20.614999999999998</c:v>
                      </c:pt>
                      <c:pt idx="6021">
                        <c:v>20.614999999999998</c:v>
                      </c:pt>
                      <c:pt idx="6022">
                        <c:v>20.614999999999998</c:v>
                      </c:pt>
                      <c:pt idx="6023">
                        <c:v>20.614999999999998</c:v>
                      </c:pt>
                      <c:pt idx="6024">
                        <c:v>20.614999999999998</c:v>
                      </c:pt>
                      <c:pt idx="6025">
                        <c:v>20.614999999999998</c:v>
                      </c:pt>
                      <c:pt idx="6026">
                        <c:v>20.614999999999998</c:v>
                      </c:pt>
                      <c:pt idx="6027">
                        <c:v>20.614999999999998</c:v>
                      </c:pt>
                      <c:pt idx="6028">
                        <c:v>20.614999999999998</c:v>
                      </c:pt>
                      <c:pt idx="6029">
                        <c:v>20.614999999999998</c:v>
                      </c:pt>
                      <c:pt idx="6030">
                        <c:v>20.614999999999998</c:v>
                      </c:pt>
                      <c:pt idx="6031">
                        <c:v>20.614999999999998</c:v>
                      </c:pt>
                      <c:pt idx="6032">
                        <c:v>20.614999999999998</c:v>
                      </c:pt>
                      <c:pt idx="6033">
                        <c:v>20.614999999999998</c:v>
                      </c:pt>
                      <c:pt idx="6034">
                        <c:v>20.614999999999998</c:v>
                      </c:pt>
                      <c:pt idx="6035">
                        <c:v>20.614999999999998</c:v>
                      </c:pt>
                      <c:pt idx="6036">
                        <c:v>20.614999999999998</c:v>
                      </c:pt>
                      <c:pt idx="6037">
                        <c:v>20.614999999999998</c:v>
                      </c:pt>
                      <c:pt idx="6038">
                        <c:v>20.614999999999998</c:v>
                      </c:pt>
                      <c:pt idx="6039">
                        <c:v>20.614999999999998</c:v>
                      </c:pt>
                      <c:pt idx="6040">
                        <c:v>20.614999999999998</c:v>
                      </c:pt>
                      <c:pt idx="6041">
                        <c:v>20.614999999999998</c:v>
                      </c:pt>
                      <c:pt idx="6042">
                        <c:v>20.614999999999998</c:v>
                      </c:pt>
                      <c:pt idx="6043">
                        <c:v>20.614999999999998</c:v>
                      </c:pt>
                      <c:pt idx="6044">
                        <c:v>20.614999999999998</c:v>
                      </c:pt>
                      <c:pt idx="6045">
                        <c:v>20.614999999999998</c:v>
                      </c:pt>
                      <c:pt idx="6046">
                        <c:v>20.614999999999998</c:v>
                      </c:pt>
                      <c:pt idx="6047">
                        <c:v>20.614999999999998</c:v>
                      </c:pt>
                      <c:pt idx="6048">
                        <c:v>20.614999999999998</c:v>
                      </c:pt>
                      <c:pt idx="6049">
                        <c:v>20.614999999999998</c:v>
                      </c:pt>
                      <c:pt idx="6050">
                        <c:v>20.614999999999998</c:v>
                      </c:pt>
                      <c:pt idx="6051">
                        <c:v>20.614999999999998</c:v>
                      </c:pt>
                      <c:pt idx="6052">
                        <c:v>20.614999999999998</c:v>
                      </c:pt>
                      <c:pt idx="6053">
                        <c:v>20.614999999999998</c:v>
                      </c:pt>
                      <c:pt idx="6054">
                        <c:v>20.614999999999998</c:v>
                      </c:pt>
                      <c:pt idx="6055">
                        <c:v>20.614999999999998</c:v>
                      </c:pt>
                      <c:pt idx="6056">
                        <c:v>20.614999999999998</c:v>
                      </c:pt>
                      <c:pt idx="6057">
                        <c:v>20.614999999999998</c:v>
                      </c:pt>
                      <c:pt idx="6058">
                        <c:v>20.614999999999998</c:v>
                      </c:pt>
                      <c:pt idx="6059">
                        <c:v>20.614999999999998</c:v>
                      </c:pt>
                      <c:pt idx="6060">
                        <c:v>20.614999999999998</c:v>
                      </c:pt>
                      <c:pt idx="6061">
                        <c:v>20.614999999999998</c:v>
                      </c:pt>
                      <c:pt idx="6062">
                        <c:v>20.614999999999998</c:v>
                      </c:pt>
                      <c:pt idx="6063">
                        <c:v>20.614999999999998</c:v>
                      </c:pt>
                      <c:pt idx="6064">
                        <c:v>20.614999999999998</c:v>
                      </c:pt>
                      <c:pt idx="6065">
                        <c:v>20.614999999999998</c:v>
                      </c:pt>
                      <c:pt idx="6066">
                        <c:v>20.614999999999998</c:v>
                      </c:pt>
                      <c:pt idx="6067">
                        <c:v>20.614999999999998</c:v>
                      </c:pt>
                      <c:pt idx="6068">
                        <c:v>20.614999999999998</c:v>
                      </c:pt>
                      <c:pt idx="6069">
                        <c:v>20.614999999999998</c:v>
                      </c:pt>
                      <c:pt idx="6070">
                        <c:v>20.614999999999998</c:v>
                      </c:pt>
                      <c:pt idx="6071">
                        <c:v>20.614999999999998</c:v>
                      </c:pt>
                      <c:pt idx="6072">
                        <c:v>20.614999999999998</c:v>
                      </c:pt>
                      <c:pt idx="6073">
                        <c:v>20.614999999999998</c:v>
                      </c:pt>
                      <c:pt idx="6074">
                        <c:v>20.614999999999998</c:v>
                      </c:pt>
                      <c:pt idx="6075">
                        <c:v>20.614999999999998</c:v>
                      </c:pt>
                      <c:pt idx="6076">
                        <c:v>20.614999999999998</c:v>
                      </c:pt>
                      <c:pt idx="6077">
                        <c:v>20.614999999999998</c:v>
                      </c:pt>
                      <c:pt idx="6078">
                        <c:v>20.614999999999998</c:v>
                      </c:pt>
                      <c:pt idx="6079">
                        <c:v>20.614999999999998</c:v>
                      </c:pt>
                      <c:pt idx="6080">
                        <c:v>20.614999999999998</c:v>
                      </c:pt>
                      <c:pt idx="6081">
                        <c:v>20.614999999999998</c:v>
                      </c:pt>
                      <c:pt idx="6082">
                        <c:v>20.614999999999998</c:v>
                      </c:pt>
                      <c:pt idx="6083">
                        <c:v>20.614999999999998</c:v>
                      </c:pt>
                      <c:pt idx="6084">
                        <c:v>20.614999999999998</c:v>
                      </c:pt>
                      <c:pt idx="6085">
                        <c:v>20.614999999999998</c:v>
                      </c:pt>
                      <c:pt idx="6086">
                        <c:v>20.614999999999998</c:v>
                      </c:pt>
                      <c:pt idx="6087">
                        <c:v>20.614999999999998</c:v>
                      </c:pt>
                      <c:pt idx="6088">
                        <c:v>20.614999999999998</c:v>
                      </c:pt>
                      <c:pt idx="6089">
                        <c:v>20.614999999999998</c:v>
                      </c:pt>
                      <c:pt idx="6090">
                        <c:v>20.614999999999998</c:v>
                      </c:pt>
                      <c:pt idx="6091">
                        <c:v>20.614999999999998</c:v>
                      </c:pt>
                      <c:pt idx="6092">
                        <c:v>20.614999999999998</c:v>
                      </c:pt>
                      <c:pt idx="6093">
                        <c:v>20.614999999999998</c:v>
                      </c:pt>
                      <c:pt idx="6094">
                        <c:v>20.614999999999998</c:v>
                      </c:pt>
                      <c:pt idx="6095">
                        <c:v>20.614999999999998</c:v>
                      </c:pt>
                      <c:pt idx="6096">
                        <c:v>20.614999999999998</c:v>
                      </c:pt>
                      <c:pt idx="6097">
                        <c:v>20.614999999999998</c:v>
                      </c:pt>
                      <c:pt idx="6098">
                        <c:v>20.614999999999998</c:v>
                      </c:pt>
                      <c:pt idx="6099">
                        <c:v>20.614999999999998</c:v>
                      </c:pt>
                      <c:pt idx="6100">
                        <c:v>20.614999999999998</c:v>
                      </c:pt>
                      <c:pt idx="6101">
                        <c:v>20.614999999999998</c:v>
                      </c:pt>
                      <c:pt idx="6102">
                        <c:v>20.614999999999998</c:v>
                      </c:pt>
                      <c:pt idx="6103">
                        <c:v>20.614999999999998</c:v>
                      </c:pt>
                      <c:pt idx="6104">
                        <c:v>20.614999999999998</c:v>
                      </c:pt>
                      <c:pt idx="6105">
                        <c:v>20.614999999999998</c:v>
                      </c:pt>
                      <c:pt idx="6106">
                        <c:v>20.614999999999998</c:v>
                      </c:pt>
                      <c:pt idx="6107">
                        <c:v>20.614999999999998</c:v>
                      </c:pt>
                      <c:pt idx="6108">
                        <c:v>20.614999999999998</c:v>
                      </c:pt>
                      <c:pt idx="6109">
                        <c:v>20.614999999999998</c:v>
                      </c:pt>
                      <c:pt idx="6110">
                        <c:v>20.614999999999998</c:v>
                      </c:pt>
                      <c:pt idx="6111">
                        <c:v>20.614999999999998</c:v>
                      </c:pt>
                      <c:pt idx="6112">
                        <c:v>20.614999999999998</c:v>
                      </c:pt>
                      <c:pt idx="6113">
                        <c:v>20.614999999999998</c:v>
                      </c:pt>
                      <c:pt idx="6114">
                        <c:v>20.614999999999998</c:v>
                      </c:pt>
                      <c:pt idx="6115">
                        <c:v>20.614999999999998</c:v>
                      </c:pt>
                      <c:pt idx="6116">
                        <c:v>20.614999999999998</c:v>
                      </c:pt>
                      <c:pt idx="6117">
                        <c:v>20.614999999999998</c:v>
                      </c:pt>
                      <c:pt idx="6118">
                        <c:v>20.614999999999998</c:v>
                      </c:pt>
                      <c:pt idx="6119">
                        <c:v>20.614999999999998</c:v>
                      </c:pt>
                      <c:pt idx="6120">
                        <c:v>20.614999999999998</c:v>
                      </c:pt>
                      <c:pt idx="6121">
                        <c:v>20.614999999999998</c:v>
                      </c:pt>
                      <c:pt idx="6122">
                        <c:v>20.614999999999998</c:v>
                      </c:pt>
                      <c:pt idx="6123">
                        <c:v>20.614999999999998</c:v>
                      </c:pt>
                      <c:pt idx="6124">
                        <c:v>20.614999999999998</c:v>
                      </c:pt>
                      <c:pt idx="6125">
                        <c:v>20.614999999999998</c:v>
                      </c:pt>
                      <c:pt idx="6126">
                        <c:v>20.614999999999998</c:v>
                      </c:pt>
                      <c:pt idx="6127">
                        <c:v>20.614999999999998</c:v>
                      </c:pt>
                      <c:pt idx="6128">
                        <c:v>20.614999999999998</c:v>
                      </c:pt>
                      <c:pt idx="6129">
                        <c:v>20.614999999999998</c:v>
                      </c:pt>
                      <c:pt idx="6130">
                        <c:v>20.614999999999998</c:v>
                      </c:pt>
                      <c:pt idx="6131">
                        <c:v>20.614999999999998</c:v>
                      </c:pt>
                      <c:pt idx="6132">
                        <c:v>20.614999999999998</c:v>
                      </c:pt>
                      <c:pt idx="6133">
                        <c:v>20.614999999999998</c:v>
                      </c:pt>
                      <c:pt idx="6134">
                        <c:v>20.614999999999998</c:v>
                      </c:pt>
                      <c:pt idx="6135">
                        <c:v>20.614999999999998</c:v>
                      </c:pt>
                      <c:pt idx="6136">
                        <c:v>20.614999999999998</c:v>
                      </c:pt>
                      <c:pt idx="6137">
                        <c:v>20.614999999999998</c:v>
                      </c:pt>
                      <c:pt idx="6138">
                        <c:v>20.614999999999998</c:v>
                      </c:pt>
                      <c:pt idx="6139">
                        <c:v>20.614999999999998</c:v>
                      </c:pt>
                      <c:pt idx="6140">
                        <c:v>20.614999999999998</c:v>
                      </c:pt>
                      <c:pt idx="6141">
                        <c:v>20.614999999999998</c:v>
                      </c:pt>
                      <c:pt idx="6142">
                        <c:v>20.614999999999998</c:v>
                      </c:pt>
                      <c:pt idx="6143">
                        <c:v>20.614999999999998</c:v>
                      </c:pt>
                      <c:pt idx="6144">
                        <c:v>20.614999999999998</c:v>
                      </c:pt>
                      <c:pt idx="6145">
                        <c:v>20.614999999999998</c:v>
                      </c:pt>
                      <c:pt idx="6146">
                        <c:v>20.614999999999998</c:v>
                      </c:pt>
                      <c:pt idx="6147">
                        <c:v>20.614999999999998</c:v>
                      </c:pt>
                      <c:pt idx="6148">
                        <c:v>20.614999999999998</c:v>
                      </c:pt>
                      <c:pt idx="6149">
                        <c:v>20.614999999999998</c:v>
                      </c:pt>
                      <c:pt idx="6150">
                        <c:v>20.614999999999998</c:v>
                      </c:pt>
                      <c:pt idx="6151">
                        <c:v>20.614999999999998</c:v>
                      </c:pt>
                      <c:pt idx="6152">
                        <c:v>20.614999999999998</c:v>
                      </c:pt>
                      <c:pt idx="6153">
                        <c:v>20.614999999999998</c:v>
                      </c:pt>
                      <c:pt idx="6154">
                        <c:v>20.614999999999998</c:v>
                      </c:pt>
                      <c:pt idx="6155">
                        <c:v>20.614999999999998</c:v>
                      </c:pt>
                      <c:pt idx="6156">
                        <c:v>20.614999999999998</c:v>
                      </c:pt>
                      <c:pt idx="6157">
                        <c:v>20.614999999999998</c:v>
                      </c:pt>
                      <c:pt idx="6158">
                        <c:v>20.614999999999998</c:v>
                      </c:pt>
                      <c:pt idx="6159">
                        <c:v>20.614999999999998</c:v>
                      </c:pt>
                      <c:pt idx="6160">
                        <c:v>20.614999999999998</c:v>
                      </c:pt>
                      <c:pt idx="6161">
                        <c:v>20.614999999999998</c:v>
                      </c:pt>
                      <c:pt idx="6162">
                        <c:v>20.614999999999998</c:v>
                      </c:pt>
                      <c:pt idx="6163">
                        <c:v>20.614999999999998</c:v>
                      </c:pt>
                      <c:pt idx="6164">
                        <c:v>20.614999999999998</c:v>
                      </c:pt>
                      <c:pt idx="6165">
                        <c:v>20.614999999999998</c:v>
                      </c:pt>
                      <c:pt idx="6166">
                        <c:v>20.614999999999998</c:v>
                      </c:pt>
                      <c:pt idx="6167">
                        <c:v>20.614999999999998</c:v>
                      </c:pt>
                      <c:pt idx="6168">
                        <c:v>20.614999999999998</c:v>
                      </c:pt>
                      <c:pt idx="6169">
                        <c:v>20.614999999999998</c:v>
                      </c:pt>
                      <c:pt idx="6170">
                        <c:v>20.614999999999998</c:v>
                      </c:pt>
                      <c:pt idx="6171">
                        <c:v>20.614999999999998</c:v>
                      </c:pt>
                      <c:pt idx="6172">
                        <c:v>20.614999999999998</c:v>
                      </c:pt>
                      <c:pt idx="6173">
                        <c:v>20.614999999999998</c:v>
                      </c:pt>
                      <c:pt idx="6174">
                        <c:v>20.614999999999998</c:v>
                      </c:pt>
                      <c:pt idx="6175">
                        <c:v>20.614999999999998</c:v>
                      </c:pt>
                      <c:pt idx="6176">
                        <c:v>20.614999999999998</c:v>
                      </c:pt>
                      <c:pt idx="6177">
                        <c:v>20.614999999999998</c:v>
                      </c:pt>
                      <c:pt idx="6178">
                        <c:v>20.614999999999998</c:v>
                      </c:pt>
                      <c:pt idx="6179">
                        <c:v>20.614999999999998</c:v>
                      </c:pt>
                      <c:pt idx="6180">
                        <c:v>20.614999999999998</c:v>
                      </c:pt>
                      <c:pt idx="6181">
                        <c:v>20.614999999999998</c:v>
                      </c:pt>
                      <c:pt idx="6182">
                        <c:v>20.71</c:v>
                      </c:pt>
                      <c:pt idx="6183">
                        <c:v>20.71</c:v>
                      </c:pt>
                      <c:pt idx="6184">
                        <c:v>20.614999999999998</c:v>
                      </c:pt>
                      <c:pt idx="6185">
                        <c:v>20.614999999999998</c:v>
                      </c:pt>
                      <c:pt idx="6186">
                        <c:v>20.71</c:v>
                      </c:pt>
                      <c:pt idx="6187">
                        <c:v>20.71</c:v>
                      </c:pt>
                      <c:pt idx="6188">
                        <c:v>20.71</c:v>
                      </c:pt>
                      <c:pt idx="6189">
                        <c:v>20.71</c:v>
                      </c:pt>
                      <c:pt idx="6190">
                        <c:v>20.71</c:v>
                      </c:pt>
                      <c:pt idx="6191">
                        <c:v>20.614999999999998</c:v>
                      </c:pt>
                      <c:pt idx="6192">
                        <c:v>20.71</c:v>
                      </c:pt>
                      <c:pt idx="6193">
                        <c:v>20.71</c:v>
                      </c:pt>
                      <c:pt idx="6194">
                        <c:v>20.71</c:v>
                      </c:pt>
                      <c:pt idx="6195">
                        <c:v>20.71</c:v>
                      </c:pt>
                      <c:pt idx="6196">
                        <c:v>20.71</c:v>
                      </c:pt>
                      <c:pt idx="6197">
                        <c:v>20.71</c:v>
                      </c:pt>
                      <c:pt idx="6198">
                        <c:v>20.71</c:v>
                      </c:pt>
                      <c:pt idx="6199">
                        <c:v>20.71</c:v>
                      </c:pt>
                      <c:pt idx="6200">
                        <c:v>20.71</c:v>
                      </c:pt>
                      <c:pt idx="6201">
                        <c:v>20.71</c:v>
                      </c:pt>
                      <c:pt idx="6202">
                        <c:v>20.71</c:v>
                      </c:pt>
                      <c:pt idx="6203">
                        <c:v>20.71</c:v>
                      </c:pt>
                      <c:pt idx="6204">
                        <c:v>20.71</c:v>
                      </c:pt>
                      <c:pt idx="6205">
                        <c:v>20.71</c:v>
                      </c:pt>
                      <c:pt idx="6206">
                        <c:v>20.71</c:v>
                      </c:pt>
                      <c:pt idx="6207">
                        <c:v>20.71</c:v>
                      </c:pt>
                      <c:pt idx="6208">
                        <c:v>20.71</c:v>
                      </c:pt>
                      <c:pt idx="6209">
                        <c:v>20.71</c:v>
                      </c:pt>
                      <c:pt idx="6210">
                        <c:v>20.71</c:v>
                      </c:pt>
                      <c:pt idx="6211">
                        <c:v>20.71</c:v>
                      </c:pt>
                      <c:pt idx="6212">
                        <c:v>20.71</c:v>
                      </c:pt>
                      <c:pt idx="6213">
                        <c:v>20.71</c:v>
                      </c:pt>
                      <c:pt idx="6214">
                        <c:v>20.71</c:v>
                      </c:pt>
                      <c:pt idx="6215">
                        <c:v>20.71</c:v>
                      </c:pt>
                      <c:pt idx="6216">
                        <c:v>20.71</c:v>
                      </c:pt>
                      <c:pt idx="6217">
                        <c:v>20.71</c:v>
                      </c:pt>
                      <c:pt idx="6218">
                        <c:v>20.71</c:v>
                      </c:pt>
                      <c:pt idx="6219">
                        <c:v>20.71</c:v>
                      </c:pt>
                      <c:pt idx="6220">
                        <c:v>20.71</c:v>
                      </c:pt>
                      <c:pt idx="6221">
                        <c:v>20.71</c:v>
                      </c:pt>
                      <c:pt idx="6222">
                        <c:v>20.71</c:v>
                      </c:pt>
                      <c:pt idx="6223">
                        <c:v>20.71</c:v>
                      </c:pt>
                      <c:pt idx="6224">
                        <c:v>20.71</c:v>
                      </c:pt>
                      <c:pt idx="6225">
                        <c:v>20.71</c:v>
                      </c:pt>
                      <c:pt idx="6226">
                        <c:v>20.71</c:v>
                      </c:pt>
                      <c:pt idx="6227">
                        <c:v>20.71</c:v>
                      </c:pt>
                      <c:pt idx="6228">
                        <c:v>20.71</c:v>
                      </c:pt>
                      <c:pt idx="6229">
                        <c:v>20.71</c:v>
                      </c:pt>
                      <c:pt idx="6230">
                        <c:v>20.71</c:v>
                      </c:pt>
                      <c:pt idx="6231">
                        <c:v>20.71</c:v>
                      </c:pt>
                      <c:pt idx="6232">
                        <c:v>20.71</c:v>
                      </c:pt>
                      <c:pt idx="6233">
                        <c:v>20.71</c:v>
                      </c:pt>
                      <c:pt idx="6234">
                        <c:v>20.71</c:v>
                      </c:pt>
                      <c:pt idx="6235">
                        <c:v>20.71</c:v>
                      </c:pt>
                      <c:pt idx="6236">
                        <c:v>20.71</c:v>
                      </c:pt>
                      <c:pt idx="6237">
                        <c:v>20.71</c:v>
                      </c:pt>
                      <c:pt idx="6238">
                        <c:v>20.71</c:v>
                      </c:pt>
                      <c:pt idx="6239">
                        <c:v>20.71</c:v>
                      </c:pt>
                      <c:pt idx="6240">
                        <c:v>20.71</c:v>
                      </c:pt>
                      <c:pt idx="6241">
                        <c:v>20.71</c:v>
                      </c:pt>
                      <c:pt idx="6242">
                        <c:v>20.71</c:v>
                      </c:pt>
                      <c:pt idx="6243">
                        <c:v>20.71</c:v>
                      </c:pt>
                      <c:pt idx="6244">
                        <c:v>20.71</c:v>
                      </c:pt>
                      <c:pt idx="6245">
                        <c:v>20.71</c:v>
                      </c:pt>
                      <c:pt idx="6246">
                        <c:v>20.71</c:v>
                      </c:pt>
                      <c:pt idx="6247">
                        <c:v>20.71</c:v>
                      </c:pt>
                      <c:pt idx="6248">
                        <c:v>20.71</c:v>
                      </c:pt>
                      <c:pt idx="6249">
                        <c:v>20.71</c:v>
                      </c:pt>
                      <c:pt idx="6250">
                        <c:v>20.71</c:v>
                      </c:pt>
                      <c:pt idx="6251">
                        <c:v>20.71</c:v>
                      </c:pt>
                      <c:pt idx="6252">
                        <c:v>20.71</c:v>
                      </c:pt>
                      <c:pt idx="6253">
                        <c:v>20.71</c:v>
                      </c:pt>
                      <c:pt idx="6254">
                        <c:v>20.71</c:v>
                      </c:pt>
                      <c:pt idx="6255">
                        <c:v>20.71</c:v>
                      </c:pt>
                      <c:pt idx="6256">
                        <c:v>20.71</c:v>
                      </c:pt>
                      <c:pt idx="6257">
                        <c:v>20.71</c:v>
                      </c:pt>
                      <c:pt idx="6258">
                        <c:v>20.71</c:v>
                      </c:pt>
                      <c:pt idx="6259">
                        <c:v>20.71</c:v>
                      </c:pt>
                      <c:pt idx="6260">
                        <c:v>20.71</c:v>
                      </c:pt>
                      <c:pt idx="6261">
                        <c:v>20.71</c:v>
                      </c:pt>
                      <c:pt idx="6262">
                        <c:v>20.71</c:v>
                      </c:pt>
                      <c:pt idx="6263">
                        <c:v>20.71</c:v>
                      </c:pt>
                      <c:pt idx="6264">
                        <c:v>20.71</c:v>
                      </c:pt>
                      <c:pt idx="6265">
                        <c:v>20.71</c:v>
                      </c:pt>
                      <c:pt idx="6266">
                        <c:v>20.71</c:v>
                      </c:pt>
                      <c:pt idx="6267">
                        <c:v>20.71</c:v>
                      </c:pt>
                      <c:pt idx="6268">
                        <c:v>20.71</c:v>
                      </c:pt>
                      <c:pt idx="6269">
                        <c:v>20.71</c:v>
                      </c:pt>
                      <c:pt idx="6270">
                        <c:v>20.71</c:v>
                      </c:pt>
                      <c:pt idx="6271">
                        <c:v>20.71</c:v>
                      </c:pt>
                      <c:pt idx="6272">
                        <c:v>20.71</c:v>
                      </c:pt>
                      <c:pt idx="6273">
                        <c:v>20.71</c:v>
                      </c:pt>
                      <c:pt idx="6274">
                        <c:v>20.71</c:v>
                      </c:pt>
                      <c:pt idx="6275">
                        <c:v>20.71</c:v>
                      </c:pt>
                      <c:pt idx="6276">
                        <c:v>20.71</c:v>
                      </c:pt>
                      <c:pt idx="6277">
                        <c:v>20.71</c:v>
                      </c:pt>
                      <c:pt idx="6278">
                        <c:v>20.71</c:v>
                      </c:pt>
                      <c:pt idx="6279">
                        <c:v>20.71</c:v>
                      </c:pt>
                      <c:pt idx="6280">
                        <c:v>20.71</c:v>
                      </c:pt>
                      <c:pt idx="6281">
                        <c:v>20.71</c:v>
                      </c:pt>
                      <c:pt idx="6282">
                        <c:v>20.71</c:v>
                      </c:pt>
                      <c:pt idx="6283">
                        <c:v>20.71</c:v>
                      </c:pt>
                      <c:pt idx="6284">
                        <c:v>20.71</c:v>
                      </c:pt>
                      <c:pt idx="6285">
                        <c:v>20.71</c:v>
                      </c:pt>
                      <c:pt idx="6286">
                        <c:v>20.71</c:v>
                      </c:pt>
                      <c:pt idx="6287">
                        <c:v>20.71</c:v>
                      </c:pt>
                      <c:pt idx="6288">
                        <c:v>20.71</c:v>
                      </c:pt>
                      <c:pt idx="6289">
                        <c:v>20.71</c:v>
                      </c:pt>
                      <c:pt idx="6290">
                        <c:v>20.71</c:v>
                      </c:pt>
                      <c:pt idx="6291">
                        <c:v>20.71</c:v>
                      </c:pt>
                      <c:pt idx="6292">
                        <c:v>20.71</c:v>
                      </c:pt>
                      <c:pt idx="6293">
                        <c:v>20.71</c:v>
                      </c:pt>
                      <c:pt idx="6294">
                        <c:v>20.71</c:v>
                      </c:pt>
                      <c:pt idx="6295">
                        <c:v>20.71</c:v>
                      </c:pt>
                      <c:pt idx="6296">
                        <c:v>20.71</c:v>
                      </c:pt>
                      <c:pt idx="6297">
                        <c:v>20.71</c:v>
                      </c:pt>
                      <c:pt idx="6298">
                        <c:v>20.71</c:v>
                      </c:pt>
                      <c:pt idx="6299">
                        <c:v>20.71</c:v>
                      </c:pt>
                      <c:pt idx="6300">
                        <c:v>20.71</c:v>
                      </c:pt>
                      <c:pt idx="6301">
                        <c:v>20.71</c:v>
                      </c:pt>
                      <c:pt idx="6302">
                        <c:v>20.71</c:v>
                      </c:pt>
                      <c:pt idx="6303">
                        <c:v>20.71</c:v>
                      </c:pt>
                      <c:pt idx="6304">
                        <c:v>20.71</c:v>
                      </c:pt>
                      <c:pt idx="6305">
                        <c:v>20.71</c:v>
                      </c:pt>
                      <c:pt idx="6306">
                        <c:v>20.71</c:v>
                      </c:pt>
                      <c:pt idx="6307">
                        <c:v>20.71</c:v>
                      </c:pt>
                      <c:pt idx="6308">
                        <c:v>20.71</c:v>
                      </c:pt>
                      <c:pt idx="6309">
                        <c:v>20.71</c:v>
                      </c:pt>
                      <c:pt idx="6310">
                        <c:v>20.71</c:v>
                      </c:pt>
                      <c:pt idx="6311">
                        <c:v>20.71</c:v>
                      </c:pt>
                      <c:pt idx="6312">
                        <c:v>20.71</c:v>
                      </c:pt>
                      <c:pt idx="6313">
                        <c:v>20.71</c:v>
                      </c:pt>
                      <c:pt idx="6314">
                        <c:v>20.71</c:v>
                      </c:pt>
                      <c:pt idx="6315">
                        <c:v>20.71</c:v>
                      </c:pt>
                      <c:pt idx="6316">
                        <c:v>20.71</c:v>
                      </c:pt>
                      <c:pt idx="6317">
                        <c:v>20.71</c:v>
                      </c:pt>
                      <c:pt idx="6318">
                        <c:v>20.71</c:v>
                      </c:pt>
                      <c:pt idx="6319">
                        <c:v>20.71</c:v>
                      </c:pt>
                      <c:pt idx="6320">
                        <c:v>20.71</c:v>
                      </c:pt>
                      <c:pt idx="6321">
                        <c:v>20.71</c:v>
                      </c:pt>
                      <c:pt idx="6322">
                        <c:v>20.71</c:v>
                      </c:pt>
                      <c:pt idx="6323">
                        <c:v>20.71</c:v>
                      </c:pt>
                      <c:pt idx="6324">
                        <c:v>20.71</c:v>
                      </c:pt>
                      <c:pt idx="6325">
                        <c:v>20.71</c:v>
                      </c:pt>
                      <c:pt idx="6326">
                        <c:v>20.71</c:v>
                      </c:pt>
                      <c:pt idx="6327">
                        <c:v>20.71</c:v>
                      </c:pt>
                      <c:pt idx="6328">
                        <c:v>20.71</c:v>
                      </c:pt>
                      <c:pt idx="6329">
                        <c:v>20.71</c:v>
                      </c:pt>
                      <c:pt idx="6330">
                        <c:v>20.71</c:v>
                      </c:pt>
                      <c:pt idx="6331">
                        <c:v>20.71</c:v>
                      </c:pt>
                      <c:pt idx="6332">
                        <c:v>20.71</c:v>
                      </c:pt>
                      <c:pt idx="6333">
                        <c:v>20.71</c:v>
                      </c:pt>
                      <c:pt idx="6334">
                        <c:v>20.71</c:v>
                      </c:pt>
                      <c:pt idx="6335">
                        <c:v>20.71</c:v>
                      </c:pt>
                      <c:pt idx="6336">
                        <c:v>20.71</c:v>
                      </c:pt>
                      <c:pt idx="6337">
                        <c:v>20.71</c:v>
                      </c:pt>
                      <c:pt idx="6338">
                        <c:v>20.71</c:v>
                      </c:pt>
                      <c:pt idx="6339">
                        <c:v>20.71</c:v>
                      </c:pt>
                      <c:pt idx="6340">
                        <c:v>20.71</c:v>
                      </c:pt>
                      <c:pt idx="6341">
                        <c:v>20.71</c:v>
                      </c:pt>
                      <c:pt idx="6342">
                        <c:v>20.71</c:v>
                      </c:pt>
                      <c:pt idx="6343">
                        <c:v>20.71</c:v>
                      </c:pt>
                      <c:pt idx="6344">
                        <c:v>20.71</c:v>
                      </c:pt>
                      <c:pt idx="6345">
                        <c:v>20.71</c:v>
                      </c:pt>
                      <c:pt idx="6346">
                        <c:v>20.71</c:v>
                      </c:pt>
                      <c:pt idx="6347">
                        <c:v>20.71</c:v>
                      </c:pt>
                      <c:pt idx="6348">
                        <c:v>20.71</c:v>
                      </c:pt>
                      <c:pt idx="6349">
                        <c:v>20.71</c:v>
                      </c:pt>
                      <c:pt idx="6350">
                        <c:v>20.71</c:v>
                      </c:pt>
                      <c:pt idx="6351">
                        <c:v>20.71</c:v>
                      </c:pt>
                      <c:pt idx="6352">
                        <c:v>20.71</c:v>
                      </c:pt>
                      <c:pt idx="6353">
                        <c:v>20.71</c:v>
                      </c:pt>
                      <c:pt idx="6354">
                        <c:v>20.71</c:v>
                      </c:pt>
                      <c:pt idx="6355">
                        <c:v>20.71</c:v>
                      </c:pt>
                      <c:pt idx="6356">
                        <c:v>20.71</c:v>
                      </c:pt>
                      <c:pt idx="6357">
                        <c:v>20.71</c:v>
                      </c:pt>
                      <c:pt idx="6358">
                        <c:v>20.71</c:v>
                      </c:pt>
                      <c:pt idx="6359">
                        <c:v>20.71</c:v>
                      </c:pt>
                      <c:pt idx="6360">
                        <c:v>20.71</c:v>
                      </c:pt>
                      <c:pt idx="6361">
                        <c:v>20.71</c:v>
                      </c:pt>
                      <c:pt idx="6362">
                        <c:v>20.71</c:v>
                      </c:pt>
                      <c:pt idx="6363">
                        <c:v>20.71</c:v>
                      </c:pt>
                      <c:pt idx="6364">
                        <c:v>20.71</c:v>
                      </c:pt>
                      <c:pt idx="6365">
                        <c:v>20.71</c:v>
                      </c:pt>
                      <c:pt idx="6366">
                        <c:v>20.71</c:v>
                      </c:pt>
                      <c:pt idx="6367">
                        <c:v>20.71</c:v>
                      </c:pt>
                      <c:pt idx="6368">
                        <c:v>20.71</c:v>
                      </c:pt>
                      <c:pt idx="6369">
                        <c:v>20.71</c:v>
                      </c:pt>
                      <c:pt idx="6370">
                        <c:v>20.71</c:v>
                      </c:pt>
                      <c:pt idx="6371">
                        <c:v>20.71</c:v>
                      </c:pt>
                      <c:pt idx="6372">
                        <c:v>20.71</c:v>
                      </c:pt>
                      <c:pt idx="6373">
                        <c:v>20.71</c:v>
                      </c:pt>
                      <c:pt idx="6374">
                        <c:v>20.71</c:v>
                      </c:pt>
                      <c:pt idx="6375">
                        <c:v>20.71</c:v>
                      </c:pt>
                      <c:pt idx="6376">
                        <c:v>20.71</c:v>
                      </c:pt>
                      <c:pt idx="6377">
                        <c:v>20.71</c:v>
                      </c:pt>
                      <c:pt idx="6378">
                        <c:v>20.71</c:v>
                      </c:pt>
                      <c:pt idx="6379">
                        <c:v>20.71</c:v>
                      </c:pt>
                      <c:pt idx="6380">
                        <c:v>20.71</c:v>
                      </c:pt>
                      <c:pt idx="6381">
                        <c:v>20.71</c:v>
                      </c:pt>
                      <c:pt idx="6382">
                        <c:v>20.71</c:v>
                      </c:pt>
                      <c:pt idx="6383">
                        <c:v>20.71</c:v>
                      </c:pt>
                      <c:pt idx="6384">
                        <c:v>20.71</c:v>
                      </c:pt>
                      <c:pt idx="6385">
                        <c:v>20.71</c:v>
                      </c:pt>
                      <c:pt idx="6386">
                        <c:v>20.71</c:v>
                      </c:pt>
                      <c:pt idx="6387">
                        <c:v>20.71</c:v>
                      </c:pt>
                      <c:pt idx="6388">
                        <c:v>20.71</c:v>
                      </c:pt>
                      <c:pt idx="6389">
                        <c:v>20.71</c:v>
                      </c:pt>
                      <c:pt idx="6390">
                        <c:v>20.71</c:v>
                      </c:pt>
                      <c:pt idx="6391">
                        <c:v>20.71</c:v>
                      </c:pt>
                      <c:pt idx="6392">
                        <c:v>20.71</c:v>
                      </c:pt>
                      <c:pt idx="6393">
                        <c:v>20.71</c:v>
                      </c:pt>
                      <c:pt idx="6394">
                        <c:v>20.71</c:v>
                      </c:pt>
                      <c:pt idx="6395">
                        <c:v>20.71</c:v>
                      </c:pt>
                      <c:pt idx="6396">
                        <c:v>20.71</c:v>
                      </c:pt>
                      <c:pt idx="6397">
                        <c:v>20.71</c:v>
                      </c:pt>
                      <c:pt idx="6398">
                        <c:v>20.71</c:v>
                      </c:pt>
                      <c:pt idx="6399">
                        <c:v>20.71</c:v>
                      </c:pt>
                      <c:pt idx="6400">
                        <c:v>20.71</c:v>
                      </c:pt>
                      <c:pt idx="6401">
                        <c:v>20.71</c:v>
                      </c:pt>
                      <c:pt idx="6402">
                        <c:v>20.71</c:v>
                      </c:pt>
                      <c:pt idx="6403">
                        <c:v>20.71</c:v>
                      </c:pt>
                      <c:pt idx="6404">
                        <c:v>20.71</c:v>
                      </c:pt>
                      <c:pt idx="6405">
                        <c:v>20.71</c:v>
                      </c:pt>
                      <c:pt idx="6406">
                        <c:v>20.71</c:v>
                      </c:pt>
                      <c:pt idx="6407">
                        <c:v>20.71</c:v>
                      </c:pt>
                      <c:pt idx="6408">
                        <c:v>20.71</c:v>
                      </c:pt>
                      <c:pt idx="6409">
                        <c:v>20.71</c:v>
                      </c:pt>
                      <c:pt idx="6410">
                        <c:v>20.614999999999998</c:v>
                      </c:pt>
                      <c:pt idx="6411">
                        <c:v>20.71</c:v>
                      </c:pt>
                      <c:pt idx="6412">
                        <c:v>20.614999999999998</c:v>
                      </c:pt>
                      <c:pt idx="6413">
                        <c:v>20.614999999999998</c:v>
                      </c:pt>
                      <c:pt idx="6414">
                        <c:v>20.71</c:v>
                      </c:pt>
                      <c:pt idx="6415">
                        <c:v>20.614999999999998</c:v>
                      </c:pt>
                      <c:pt idx="6416">
                        <c:v>20.614999999999998</c:v>
                      </c:pt>
                      <c:pt idx="6417">
                        <c:v>20.614999999999998</c:v>
                      </c:pt>
                      <c:pt idx="6418">
                        <c:v>20.71</c:v>
                      </c:pt>
                      <c:pt idx="6419">
                        <c:v>20.71</c:v>
                      </c:pt>
                      <c:pt idx="6420">
                        <c:v>20.614999999999998</c:v>
                      </c:pt>
                      <c:pt idx="6421">
                        <c:v>20.614999999999998</c:v>
                      </c:pt>
                      <c:pt idx="6422">
                        <c:v>20.614999999999998</c:v>
                      </c:pt>
                      <c:pt idx="6423">
                        <c:v>20.614999999999998</c:v>
                      </c:pt>
                      <c:pt idx="6424">
                        <c:v>20.614999999999998</c:v>
                      </c:pt>
                      <c:pt idx="6425">
                        <c:v>20.614999999999998</c:v>
                      </c:pt>
                      <c:pt idx="6426">
                        <c:v>20.614999999999998</c:v>
                      </c:pt>
                      <c:pt idx="6427">
                        <c:v>20.614999999999998</c:v>
                      </c:pt>
                      <c:pt idx="6428">
                        <c:v>20.614999999999998</c:v>
                      </c:pt>
                      <c:pt idx="6429">
                        <c:v>20.614999999999998</c:v>
                      </c:pt>
                      <c:pt idx="6430">
                        <c:v>20.614999999999998</c:v>
                      </c:pt>
                      <c:pt idx="6431">
                        <c:v>20.614999999999998</c:v>
                      </c:pt>
                      <c:pt idx="6432">
                        <c:v>20.614999999999998</c:v>
                      </c:pt>
                      <c:pt idx="6433">
                        <c:v>20.614999999999998</c:v>
                      </c:pt>
                      <c:pt idx="6434">
                        <c:v>20.614999999999998</c:v>
                      </c:pt>
                      <c:pt idx="6435">
                        <c:v>20.614999999999998</c:v>
                      </c:pt>
                      <c:pt idx="6436">
                        <c:v>20.614999999999998</c:v>
                      </c:pt>
                      <c:pt idx="6437">
                        <c:v>20.614999999999998</c:v>
                      </c:pt>
                      <c:pt idx="6438">
                        <c:v>20.614999999999998</c:v>
                      </c:pt>
                      <c:pt idx="6439">
                        <c:v>20.614999999999998</c:v>
                      </c:pt>
                      <c:pt idx="6440">
                        <c:v>20.614999999999998</c:v>
                      </c:pt>
                      <c:pt idx="6441">
                        <c:v>20.614999999999998</c:v>
                      </c:pt>
                      <c:pt idx="6442">
                        <c:v>20.614999999999998</c:v>
                      </c:pt>
                      <c:pt idx="6443">
                        <c:v>20.614999999999998</c:v>
                      </c:pt>
                      <c:pt idx="6444">
                        <c:v>20.71</c:v>
                      </c:pt>
                      <c:pt idx="6445">
                        <c:v>20.614999999999998</c:v>
                      </c:pt>
                      <c:pt idx="6446">
                        <c:v>20.614999999999998</c:v>
                      </c:pt>
                      <c:pt idx="6447">
                        <c:v>20.614999999999998</c:v>
                      </c:pt>
                      <c:pt idx="6448">
                        <c:v>20.614999999999998</c:v>
                      </c:pt>
                      <c:pt idx="6449">
                        <c:v>20.614999999999998</c:v>
                      </c:pt>
                      <c:pt idx="6450">
                        <c:v>20.614999999999998</c:v>
                      </c:pt>
                      <c:pt idx="6451">
                        <c:v>20.614999999999998</c:v>
                      </c:pt>
                      <c:pt idx="6452">
                        <c:v>20.614999999999998</c:v>
                      </c:pt>
                      <c:pt idx="6453">
                        <c:v>20.614999999999998</c:v>
                      </c:pt>
                      <c:pt idx="6454">
                        <c:v>20.614999999999998</c:v>
                      </c:pt>
                      <c:pt idx="6455">
                        <c:v>20.614999999999998</c:v>
                      </c:pt>
                      <c:pt idx="6456">
                        <c:v>20.614999999999998</c:v>
                      </c:pt>
                      <c:pt idx="6457">
                        <c:v>20.614999999999998</c:v>
                      </c:pt>
                      <c:pt idx="6458">
                        <c:v>20.614999999999998</c:v>
                      </c:pt>
                      <c:pt idx="6459">
                        <c:v>20.614999999999998</c:v>
                      </c:pt>
                      <c:pt idx="6460">
                        <c:v>20.614999999999998</c:v>
                      </c:pt>
                      <c:pt idx="6461">
                        <c:v>20.614999999999998</c:v>
                      </c:pt>
                      <c:pt idx="6462">
                        <c:v>20.614999999999998</c:v>
                      </c:pt>
                      <c:pt idx="6463">
                        <c:v>20.614999999999998</c:v>
                      </c:pt>
                      <c:pt idx="6464">
                        <c:v>20.614999999999998</c:v>
                      </c:pt>
                      <c:pt idx="6465">
                        <c:v>20.614999999999998</c:v>
                      </c:pt>
                      <c:pt idx="6466">
                        <c:v>20.614999999999998</c:v>
                      </c:pt>
                      <c:pt idx="6467">
                        <c:v>20.614999999999998</c:v>
                      </c:pt>
                      <c:pt idx="6468">
                        <c:v>20.614999999999998</c:v>
                      </c:pt>
                      <c:pt idx="6469">
                        <c:v>20.614999999999998</c:v>
                      </c:pt>
                      <c:pt idx="6470">
                        <c:v>20.614999999999998</c:v>
                      </c:pt>
                      <c:pt idx="6471">
                        <c:v>20.614999999999998</c:v>
                      </c:pt>
                      <c:pt idx="6472">
                        <c:v>20.614999999999998</c:v>
                      </c:pt>
                      <c:pt idx="6473">
                        <c:v>20.614999999999998</c:v>
                      </c:pt>
                      <c:pt idx="6474">
                        <c:v>20.614999999999998</c:v>
                      </c:pt>
                      <c:pt idx="6475">
                        <c:v>20.614999999999998</c:v>
                      </c:pt>
                      <c:pt idx="6476">
                        <c:v>20.614999999999998</c:v>
                      </c:pt>
                      <c:pt idx="6477">
                        <c:v>20.614999999999998</c:v>
                      </c:pt>
                      <c:pt idx="6478">
                        <c:v>20.614999999999998</c:v>
                      </c:pt>
                      <c:pt idx="6479">
                        <c:v>20.614999999999998</c:v>
                      </c:pt>
                      <c:pt idx="6480">
                        <c:v>20.614999999999998</c:v>
                      </c:pt>
                      <c:pt idx="6481">
                        <c:v>20.614999999999998</c:v>
                      </c:pt>
                      <c:pt idx="6482">
                        <c:v>20.614999999999998</c:v>
                      </c:pt>
                      <c:pt idx="6483">
                        <c:v>20.614999999999998</c:v>
                      </c:pt>
                      <c:pt idx="6484">
                        <c:v>20.614999999999998</c:v>
                      </c:pt>
                      <c:pt idx="6485">
                        <c:v>20.614999999999998</c:v>
                      </c:pt>
                      <c:pt idx="6486">
                        <c:v>20.614999999999998</c:v>
                      </c:pt>
                      <c:pt idx="6487">
                        <c:v>20.614999999999998</c:v>
                      </c:pt>
                      <c:pt idx="6488">
                        <c:v>20.614999999999998</c:v>
                      </c:pt>
                      <c:pt idx="6489">
                        <c:v>20.614999999999998</c:v>
                      </c:pt>
                      <c:pt idx="6490">
                        <c:v>20.614999999999998</c:v>
                      </c:pt>
                      <c:pt idx="6491">
                        <c:v>20.614999999999998</c:v>
                      </c:pt>
                      <c:pt idx="6492">
                        <c:v>20.614999999999998</c:v>
                      </c:pt>
                      <c:pt idx="6493">
                        <c:v>20.614999999999998</c:v>
                      </c:pt>
                      <c:pt idx="6494">
                        <c:v>20.614999999999998</c:v>
                      </c:pt>
                      <c:pt idx="6495">
                        <c:v>20.71</c:v>
                      </c:pt>
                      <c:pt idx="6496">
                        <c:v>20.614999999999998</c:v>
                      </c:pt>
                      <c:pt idx="6497">
                        <c:v>20.614999999999998</c:v>
                      </c:pt>
                      <c:pt idx="6498">
                        <c:v>20.614999999999998</c:v>
                      </c:pt>
                      <c:pt idx="6499">
                        <c:v>20.614999999999998</c:v>
                      </c:pt>
                      <c:pt idx="6500">
                        <c:v>20.614999999999998</c:v>
                      </c:pt>
                      <c:pt idx="6501">
                        <c:v>20.614999999999998</c:v>
                      </c:pt>
                      <c:pt idx="6502">
                        <c:v>20.614999999999998</c:v>
                      </c:pt>
                      <c:pt idx="6503">
                        <c:v>20.614999999999998</c:v>
                      </c:pt>
                      <c:pt idx="6504">
                        <c:v>20.614999999999998</c:v>
                      </c:pt>
                      <c:pt idx="6505">
                        <c:v>20.614999999999998</c:v>
                      </c:pt>
                      <c:pt idx="6506">
                        <c:v>20.614999999999998</c:v>
                      </c:pt>
                      <c:pt idx="6507">
                        <c:v>20.614999999999998</c:v>
                      </c:pt>
                      <c:pt idx="6508">
                        <c:v>20.614999999999998</c:v>
                      </c:pt>
                      <c:pt idx="6509">
                        <c:v>20.614999999999998</c:v>
                      </c:pt>
                      <c:pt idx="6510">
                        <c:v>20.614999999999998</c:v>
                      </c:pt>
                      <c:pt idx="6511">
                        <c:v>20.614999999999998</c:v>
                      </c:pt>
                      <c:pt idx="6512">
                        <c:v>20.614999999999998</c:v>
                      </c:pt>
                      <c:pt idx="6513">
                        <c:v>20.614999999999998</c:v>
                      </c:pt>
                      <c:pt idx="6514">
                        <c:v>20.614999999999998</c:v>
                      </c:pt>
                      <c:pt idx="6515">
                        <c:v>20.614999999999998</c:v>
                      </c:pt>
                      <c:pt idx="6516">
                        <c:v>20.614999999999998</c:v>
                      </c:pt>
                      <c:pt idx="6517">
                        <c:v>20.614999999999998</c:v>
                      </c:pt>
                      <c:pt idx="6518">
                        <c:v>20.614999999999998</c:v>
                      </c:pt>
                      <c:pt idx="6519">
                        <c:v>20.71</c:v>
                      </c:pt>
                      <c:pt idx="6520">
                        <c:v>20.614999999999998</c:v>
                      </c:pt>
                      <c:pt idx="6521">
                        <c:v>20.614999999999998</c:v>
                      </c:pt>
                      <c:pt idx="6522">
                        <c:v>20.614999999999998</c:v>
                      </c:pt>
                      <c:pt idx="6523">
                        <c:v>20.614999999999998</c:v>
                      </c:pt>
                      <c:pt idx="6524">
                        <c:v>20.614999999999998</c:v>
                      </c:pt>
                      <c:pt idx="6525">
                        <c:v>20.614999999999998</c:v>
                      </c:pt>
                      <c:pt idx="6526">
                        <c:v>20.614999999999998</c:v>
                      </c:pt>
                      <c:pt idx="6527">
                        <c:v>20.614999999999998</c:v>
                      </c:pt>
                      <c:pt idx="6528">
                        <c:v>20.614999999999998</c:v>
                      </c:pt>
                      <c:pt idx="6529">
                        <c:v>20.614999999999998</c:v>
                      </c:pt>
                      <c:pt idx="6530">
                        <c:v>20.614999999999998</c:v>
                      </c:pt>
                      <c:pt idx="6531">
                        <c:v>20.614999999999998</c:v>
                      </c:pt>
                      <c:pt idx="6532">
                        <c:v>20.614999999999998</c:v>
                      </c:pt>
                      <c:pt idx="6533">
                        <c:v>20.614999999999998</c:v>
                      </c:pt>
                      <c:pt idx="6534">
                        <c:v>20.614999999999998</c:v>
                      </c:pt>
                      <c:pt idx="6535">
                        <c:v>20.614999999999998</c:v>
                      </c:pt>
                      <c:pt idx="6536">
                        <c:v>20.614999999999998</c:v>
                      </c:pt>
                      <c:pt idx="6537">
                        <c:v>20.71</c:v>
                      </c:pt>
                      <c:pt idx="6538">
                        <c:v>20.614999999999998</c:v>
                      </c:pt>
                      <c:pt idx="6539">
                        <c:v>20.614999999999998</c:v>
                      </c:pt>
                      <c:pt idx="6540">
                        <c:v>20.614999999999998</c:v>
                      </c:pt>
                      <c:pt idx="6541">
                        <c:v>20.614999999999998</c:v>
                      </c:pt>
                      <c:pt idx="6542">
                        <c:v>20.614999999999998</c:v>
                      </c:pt>
                      <c:pt idx="6543">
                        <c:v>20.614999999999998</c:v>
                      </c:pt>
                      <c:pt idx="6544">
                        <c:v>20.614999999999998</c:v>
                      </c:pt>
                      <c:pt idx="6545">
                        <c:v>20.614999999999998</c:v>
                      </c:pt>
                      <c:pt idx="6546">
                        <c:v>20.614999999999998</c:v>
                      </c:pt>
                      <c:pt idx="6547">
                        <c:v>20.614999999999998</c:v>
                      </c:pt>
                      <c:pt idx="6548">
                        <c:v>20.614999999999998</c:v>
                      </c:pt>
                      <c:pt idx="6549">
                        <c:v>20.614999999999998</c:v>
                      </c:pt>
                      <c:pt idx="6550">
                        <c:v>20.614999999999998</c:v>
                      </c:pt>
                      <c:pt idx="6551">
                        <c:v>20.614999999999998</c:v>
                      </c:pt>
                      <c:pt idx="6552">
                        <c:v>20.614999999999998</c:v>
                      </c:pt>
                      <c:pt idx="6553">
                        <c:v>20.614999999999998</c:v>
                      </c:pt>
                      <c:pt idx="6554">
                        <c:v>20.614999999999998</c:v>
                      </c:pt>
                      <c:pt idx="6555">
                        <c:v>20.614999999999998</c:v>
                      </c:pt>
                      <c:pt idx="6556">
                        <c:v>20.614999999999998</c:v>
                      </c:pt>
                      <c:pt idx="6557">
                        <c:v>20.614999999999998</c:v>
                      </c:pt>
                      <c:pt idx="6558">
                        <c:v>20.614999999999998</c:v>
                      </c:pt>
                      <c:pt idx="6559">
                        <c:v>20.614999999999998</c:v>
                      </c:pt>
                      <c:pt idx="6560">
                        <c:v>20.614999999999998</c:v>
                      </c:pt>
                      <c:pt idx="6561">
                        <c:v>20.614999999999998</c:v>
                      </c:pt>
                      <c:pt idx="6562">
                        <c:v>20.614999999999998</c:v>
                      </c:pt>
                      <c:pt idx="6563">
                        <c:v>20.614999999999998</c:v>
                      </c:pt>
                      <c:pt idx="6564">
                        <c:v>20.614999999999998</c:v>
                      </c:pt>
                      <c:pt idx="6565">
                        <c:v>20.614999999999998</c:v>
                      </c:pt>
                      <c:pt idx="6566">
                        <c:v>20.614999999999998</c:v>
                      </c:pt>
                      <c:pt idx="6567">
                        <c:v>20.614999999999998</c:v>
                      </c:pt>
                      <c:pt idx="6568">
                        <c:v>20.614999999999998</c:v>
                      </c:pt>
                      <c:pt idx="6569">
                        <c:v>20.614999999999998</c:v>
                      </c:pt>
                      <c:pt idx="6570">
                        <c:v>20.614999999999998</c:v>
                      </c:pt>
                      <c:pt idx="6571">
                        <c:v>20.614999999999998</c:v>
                      </c:pt>
                      <c:pt idx="6572">
                        <c:v>20.614999999999998</c:v>
                      </c:pt>
                      <c:pt idx="6573">
                        <c:v>20.614999999999998</c:v>
                      </c:pt>
                      <c:pt idx="6574">
                        <c:v>20.614999999999998</c:v>
                      </c:pt>
                      <c:pt idx="6575">
                        <c:v>20.614999999999998</c:v>
                      </c:pt>
                      <c:pt idx="6576">
                        <c:v>20.614999999999998</c:v>
                      </c:pt>
                      <c:pt idx="6577">
                        <c:v>20.614999999999998</c:v>
                      </c:pt>
                      <c:pt idx="6578">
                        <c:v>20.614999999999998</c:v>
                      </c:pt>
                      <c:pt idx="6579">
                        <c:v>20.614999999999998</c:v>
                      </c:pt>
                      <c:pt idx="6580">
                        <c:v>20.614999999999998</c:v>
                      </c:pt>
                      <c:pt idx="6581">
                        <c:v>20.614999999999998</c:v>
                      </c:pt>
                      <c:pt idx="6582">
                        <c:v>20.614999999999998</c:v>
                      </c:pt>
                      <c:pt idx="6583">
                        <c:v>20.614999999999998</c:v>
                      </c:pt>
                      <c:pt idx="6584">
                        <c:v>20.614999999999998</c:v>
                      </c:pt>
                      <c:pt idx="6585">
                        <c:v>20.614999999999998</c:v>
                      </c:pt>
                      <c:pt idx="6586">
                        <c:v>20.614999999999998</c:v>
                      </c:pt>
                      <c:pt idx="6587">
                        <c:v>20.614999999999998</c:v>
                      </c:pt>
                      <c:pt idx="6588">
                        <c:v>20.614999999999998</c:v>
                      </c:pt>
                      <c:pt idx="6589">
                        <c:v>20.614999999999998</c:v>
                      </c:pt>
                      <c:pt idx="6590">
                        <c:v>20.614999999999998</c:v>
                      </c:pt>
                      <c:pt idx="6591">
                        <c:v>20.614999999999998</c:v>
                      </c:pt>
                      <c:pt idx="6592">
                        <c:v>20.614999999999998</c:v>
                      </c:pt>
                      <c:pt idx="6593">
                        <c:v>20.614999999999998</c:v>
                      </c:pt>
                      <c:pt idx="6594">
                        <c:v>20.614999999999998</c:v>
                      </c:pt>
                      <c:pt idx="6595">
                        <c:v>20.614999999999998</c:v>
                      </c:pt>
                      <c:pt idx="6596">
                        <c:v>20.614999999999998</c:v>
                      </c:pt>
                      <c:pt idx="6597">
                        <c:v>20.614999999999998</c:v>
                      </c:pt>
                      <c:pt idx="6598">
                        <c:v>20.614999999999998</c:v>
                      </c:pt>
                      <c:pt idx="6599">
                        <c:v>20.614999999999998</c:v>
                      </c:pt>
                      <c:pt idx="6600">
                        <c:v>20.614999999999998</c:v>
                      </c:pt>
                      <c:pt idx="6601">
                        <c:v>20.614999999999998</c:v>
                      </c:pt>
                      <c:pt idx="6602">
                        <c:v>20.614999999999998</c:v>
                      </c:pt>
                      <c:pt idx="6603">
                        <c:v>20.614999999999998</c:v>
                      </c:pt>
                      <c:pt idx="6604">
                        <c:v>20.614999999999998</c:v>
                      </c:pt>
                      <c:pt idx="6605">
                        <c:v>20.614999999999998</c:v>
                      </c:pt>
                      <c:pt idx="6606">
                        <c:v>20.614999999999998</c:v>
                      </c:pt>
                      <c:pt idx="6607">
                        <c:v>20.614999999999998</c:v>
                      </c:pt>
                      <c:pt idx="6608">
                        <c:v>20.614999999999998</c:v>
                      </c:pt>
                      <c:pt idx="6609">
                        <c:v>20.614999999999998</c:v>
                      </c:pt>
                      <c:pt idx="6610">
                        <c:v>20.614999999999998</c:v>
                      </c:pt>
                      <c:pt idx="6611">
                        <c:v>20.614999999999998</c:v>
                      </c:pt>
                      <c:pt idx="6612">
                        <c:v>20.71</c:v>
                      </c:pt>
                      <c:pt idx="6613">
                        <c:v>20.614999999999998</c:v>
                      </c:pt>
                      <c:pt idx="6614">
                        <c:v>20.614999999999998</c:v>
                      </c:pt>
                      <c:pt idx="6615">
                        <c:v>20.614999999999998</c:v>
                      </c:pt>
                      <c:pt idx="6616">
                        <c:v>20.71</c:v>
                      </c:pt>
                      <c:pt idx="6617">
                        <c:v>20.614999999999998</c:v>
                      </c:pt>
                      <c:pt idx="6618">
                        <c:v>20.614999999999998</c:v>
                      </c:pt>
                      <c:pt idx="6619">
                        <c:v>20.614999999999998</c:v>
                      </c:pt>
                      <c:pt idx="6620">
                        <c:v>20.614999999999998</c:v>
                      </c:pt>
                      <c:pt idx="6621">
                        <c:v>20.614999999999998</c:v>
                      </c:pt>
                      <c:pt idx="6622">
                        <c:v>20.614999999999998</c:v>
                      </c:pt>
                      <c:pt idx="6623">
                        <c:v>20.614999999999998</c:v>
                      </c:pt>
                      <c:pt idx="6624">
                        <c:v>20.614999999999998</c:v>
                      </c:pt>
                      <c:pt idx="6625">
                        <c:v>20.614999999999998</c:v>
                      </c:pt>
                      <c:pt idx="6626">
                        <c:v>20.614999999999998</c:v>
                      </c:pt>
                      <c:pt idx="6627">
                        <c:v>20.614999999999998</c:v>
                      </c:pt>
                      <c:pt idx="6628">
                        <c:v>20.614999999999998</c:v>
                      </c:pt>
                      <c:pt idx="6629">
                        <c:v>20.614999999999998</c:v>
                      </c:pt>
                      <c:pt idx="6630">
                        <c:v>20.614999999999998</c:v>
                      </c:pt>
                      <c:pt idx="6631">
                        <c:v>20.614999999999998</c:v>
                      </c:pt>
                      <c:pt idx="6632">
                        <c:v>20.614999999999998</c:v>
                      </c:pt>
                      <c:pt idx="6633">
                        <c:v>20.614999999999998</c:v>
                      </c:pt>
                      <c:pt idx="6634">
                        <c:v>20.614999999999998</c:v>
                      </c:pt>
                      <c:pt idx="6635">
                        <c:v>20.614999999999998</c:v>
                      </c:pt>
                      <c:pt idx="6636">
                        <c:v>20.614999999999998</c:v>
                      </c:pt>
                      <c:pt idx="6637">
                        <c:v>20.614999999999998</c:v>
                      </c:pt>
                      <c:pt idx="6638">
                        <c:v>20.614999999999998</c:v>
                      </c:pt>
                      <c:pt idx="6639">
                        <c:v>20.614999999999998</c:v>
                      </c:pt>
                      <c:pt idx="6640">
                        <c:v>20.614999999999998</c:v>
                      </c:pt>
                      <c:pt idx="6641">
                        <c:v>20.614999999999998</c:v>
                      </c:pt>
                      <c:pt idx="6642">
                        <c:v>20.614999999999998</c:v>
                      </c:pt>
                      <c:pt idx="6643">
                        <c:v>20.614999999999998</c:v>
                      </c:pt>
                      <c:pt idx="6644">
                        <c:v>20.614999999999998</c:v>
                      </c:pt>
                      <c:pt idx="6645">
                        <c:v>20.614999999999998</c:v>
                      </c:pt>
                      <c:pt idx="6646">
                        <c:v>20.614999999999998</c:v>
                      </c:pt>
                      <c:pt idx="6647">
                        <c:v>20.614999999999998</c:v>
                      </c:pt>
                      <c:pt idx="6648">
                        <c:v>20.614999999999998</c:v>
                      </c:pt>
                      <c:pt idx="6649">
                        <c:v>20.614999999999998</c:v>
                      </c:pt>
                      <c:pt idx="6650">
                        <c:v>20.614999999999998</c:v>
                      </c:pt>
                      <c:pt idx="6651">
                        <c:v>20.614999999999998</c:v>
                      </c:pt>
                      <c:pt idx="6652">
                        <c:v>20.614999999999998</c:v>
                      </c:pt>
                      <c:pt idx="6653">
                        <c:v>20.614999999999998</c:v>
                      </c:pt>
                      <c:pt idx="6654">
                        <c:v>20.614999999999998</c:v>
                      </c:pt>
                      <c:pt idx="6655">
                        <c:v>20.614999999999998</c:v>
                      </c:pt>
                      <c:pt idx="6656">
                        <c:v>20.614999999999998</c:v>
                      </c:pt>
                      <c:pt idx="6657">
                        <c:v>20.614999999999998</c:v>
                      </c:pt>
                      <c:pt idx="6658">
                        <c:v>20.614999999999998</c:v>
                      </c:pt>
                      <c:pt idx="6659">
                        <c:v>20.614999999999998</c:v>
                      </c:pt>
                      <c:pt idx="6660">
                        <c:v>20.614999999999998</c:v>
                      </c:pt>
                      <c:pt idx="6661">
                        <c:v>20.614999999999998</c:v>
                      </c:pt>
                      <c:pt idx="6662">
                        <c:v>20.614999999999998</c:v>
                      </c:pt>
                      <c:pt idx="6663">
                        <c:v>20.614999999999998</c:v>
                      </c:pt>
                      <c:pt idx="6664">
                        <c:v>20.614999999999998</c:v>
                      </c:pt>
                      <c:pt idx="6665">
                        <c:v>20.614999999999998</c:v>
                      </c:pt>
                      <c:pt idx="6666">
                        <c:v>20.614999999999998</c:v>
                      </c:pt>
                      <c:pt idx="6667">
                        <c:v>20.614999999999998</c:v>
                      </c:pt>
                      <c:pt idx="6668">
                        <c:v>20.614999999999998</c:v>
                      </c:pt>
                      <c:pt idx="6669">
                        <c:v>20.614999999999998</c:v>
                      </c:pt>
                      <c:pt idx="6670">
                        <c:v>20.614999999999998</c:v>
                      </c:pt>
                      <c:pt idx="6671">
                        <c:v>20.614999999999998</c:v>
                      </c:pt>
                      <c:pt idx="6672">
                        <c:v>20.614999999999998</c:v>
                      </c:pt>
                      <c:pt idx="6673">
                        <c:v>20.614999999999998</c:v>
                      </c:pt>
                      <c:pt idx="6674">
                        <c:v>20.614999999999998</c:v>
                      </c:pt>
                      <c:pt idx="6675">
                        <c:v>20.614999999999998</c:v>
                      </c:pt>
                      <c:pt idx="6676">
                        <c:v>20.614999999999998</c:v>
                      </c:pt>
                      <c:pt idx="6677">
                        <c:v>20.614999999999998</c:v>
                      </c:pt>
                      <c:pt idx="6678">
                        <c:v>20.614999999999998</c:v>
                      </c:pt>
                      <c:pt idx="6679">
                        <c:v>20.614999999999998</c:v>
                      </c:pt>
                      <c:pt idx="6680">
                        <c:v>20.614999999999998</c:v>
                      </c:pt>
                      <c:pt idx="6681">
                        <c:v>20.614999999999998</c:v>
                      </c:pt>
                      <c:pt idx="6682">
                        <c:v>20.614999999999998</c:v>
                      </c:pt>
                      <c:pt idx="6683">
                        <c:v>20.614999999999998</c:v>
                      </c:pt>
                      <c:pt idx="6684">
                        <c:v>20.614999999999998</c:v>
                      </c:pt>
                      <c:pt idx="6685">
                        <c:v>20.614999999999998</c:v>
                      </c:pt>
                      <c:pt idx="6686">
                        <c:v>20.614999999999998</c:v>
                      </c:pt>
                      <c:pt idx="6687">
                        <c:v>20.614999999999998</c:v>
                      </c:pt>
                      <c:pt idx="6688">
                        <c:v>20.614999999999998</c:v>
                      </c:pt>
                      <c:pt idx="6689">
                        <c:v>20.614999999999998</c:v>
                      </c:pt>
                      <c:pt idx="6690">
                        <c:v>20.614999999999998</c:v>
                      </c:pt>
                      <c:pt idx="6691">
                        <c:v>20.614999999999998</c:v>
                      </c:pt>
                      <c:pt idx="6692">
                        <c:v>20.614999999999998</c:v>
                      </c:pt>
                      <c:pt idx="6693">
                        <c:v>20.614999999999998</c:v>
                      </c:pt>
                      <c:pt idx="6694">
                        <c:v>20.614999999999998</c:v>
                      </c:pt>
                      <c:pt idx="6695">
                        <c:v>20.614999999999998</c:v>
                      </c:pt>
                      <c:pt idx="6696">
                        <c:v>20.614999999999998</c:v>
                      </c:pt>
                      <c:pt idx="6697">
                        <c:v>20.614999999999998</c:v>
                      </c:pt>
                      <c:pt idx="6698">
                        <c:v>20.614999999999998</c:v>
                      </c:pt>
                      <c:pt idx="6699">
                        <c:v>20.614999999999998</c:v>
                      </c:pt>
                      <c:pt idx="6700">
                        <c:v>20.614999999999998</c:v>
                      </c:pt>
                      <c:pt idx="6701">
                        <c:v>20.614999999999998</c:v>
                      </c:pt>
                      <c:pt idx="6702">
                        <c:v>20.614999999999998</c:v>
                      </c:pt>
                      <c:pt idx="6703">
                        <c:v>20.614999999999998</c:v>
                      </c:pt>
                      <c:pt idx="6704">
                        <c:v>20.614999999999998</c:v>
                      </c:pt>
                      <c:pt idx="6705">
                        <c:v>20.614999999999998</c:v>
                      </c:pt>
                      <c:pt idx="6706">
                        <c:v>20.614999999999998</c:v>
                      </c:pt>
                      <c:pt idx="6707">
                        <c:v>20.614999999999998</c:v>
                      </c:pt>
                      <c:pt idx="6708">
                        <c:v>20.614999999999998</c:v>
                      </c:pt>
                      <c:pt idx="6709">
                        <c:v>20.614999999999998</c:v>
                      </c:pt>
                      <c:pt idx="6710">
                        <c:v>20.614999999999998</c:v>
                      </c:pt>
                      <c:pt idx="6711">
                        <c:v>20.614999999999998</c:v>
                      </c:pt>
                      <c:pt idx="6712">
                        <c:v>20.614999999999998</c:v>
                      </c:pt>
                      <c:pt idx="6713">
                        <c:v>20.614999999999998</c:v>
                      </c:pt>
                      <c:pt idx="6714">
                        <c:v>20.614999999999998</c:v>
                      </c:pt>
                      <c:pt idx="6715">
                        <c:v>20.614999999999998</c:v>
                      </c:pt>
                      <c:pt idx="6716">
                        <c:v>20.614999999999998</c:v>
                      </c:pt>
                      <c:pt idx="6717">
                        <c:v>20.614999999999998</c:v>
                      </c:pt>
                      <c:pt idx="6718">
                        <c:v>20.614999999999998</c:v>
                      </c:pt>
                      <c:pt idx="6719">
                        <c:v>20.614999999999998</c:v>
                      </c:pt>
                      <c:pt idx="6720">
                        <c:v>20.614999999999998</c:v>
                      </c:pt>
                      <c:pt idx="6721">
                        <c:v>20.614999999999998</c:v>
                      </c:pt>
                      <c:pt idx="6722">
                        <c:v>20.614999999999998</c:v>
                      </c:pt>
                      <c:pt idx="6723">
                        <c:v>20.614999999999998</c:v>
                      </c:pt>
                      <c:pt idx="6724">
                        <c:v>20.614999999999998</c:v>
                      </c:pt>
                      <c:pt idx="6725">
                        <c:v>20.614999999999998</c:v>
                      </c:pt>
                      <c:pt idx="6726">
                        <c:v>20.614999999999998</c:v>
                      </c:pt>
                      <c:pt idx="6727">
                        <c:v>20.614999999999998</c:v>
                      </c:pt>
                      <c:pt idx="6728">
                        <c:v>20.614999999999998</c:v>
                      </c:pt>
                      <c:pt idx="6729">
                        <c:v>20.614999999999998</c:v>
                      </c:pt>
                      <c:pt idx="6730">
                        <c:v>20.614999999999998</c:v>
                      </c:pt>
                      <c:pt idx="6731">
                        <c:v>20.614999999999998</c:v>
                      </c:pt>
                      <c:pt idx="6732">
                        <c:v>20.614999999999998</c:v>
                      </c:pt>
                      <c:pt idx="6733">
                        <c:v>20.614999999999998</c:v>
                      </c:pt>
                      <c:pt idx="6734">
                        <c:v>20.614999999999998</c:v>
                      </c:pt>
                      <c:pt idx="6735">
                        <c:v>20.614999999999998</c:v>
                      </c:pt>
                      <c:pt idx="6736">
                        <c:v>20.614999999999998</c:v>
                      </c:pt>
                      <c:pt idx="6737">
                        <c:v>20.614999999999998</c:v>
                      </c:pt>
                      <c:pt idx="6738">
                        <c:v>20.614999999999998</c:v>
                      </c:pt>
                      <c:pt idx="6739">
                        <c:v>20.614999999999998</c:v>
                      </c:pt>
                      <c:pt idx="6740">
                        <c:v>20.614999999999998</c:v>
                      </c:pt>
                      <c:pt idx="6741">
                        <c:v>20.614999999999998</c:v>
                      </c:pt>
                      <c:pt idx="6742">
                        <c:v>20.614999999999998</c:v>
                      </c:pt>
                      <c:pt idx="6743">
                        <c:v>20.614999999999998</c:v>
                      </c:pt>
                      <c:pt idx="6744">
                        <c:v>20.614999999999998</c:v>
                      </c:pt>
                      <c:pt idx="6745">
                        <c:v>20.614999999999998</c:v>
                      </c:pt>
                      <c:pt idx="6746">
                        <c:v>20.614999999999998</c:v>
                      </c:pt>
                      <c:pt idx="6747">
                        <c:v>20.614999999999998</c:v>
                      </c:pt>
                      <c:pt idx="6748">
                        <c:v>20.614999999999998</c:v>
                      </c:pt>
                      <c:pt idx="6749">
                        <c:v>20.614999999999998</c:v>
                      </c:pt>
                      <c:pt idx="6750">
                        <c:v>20.614999999999998</c:v>
                      </c:pt>
                      <c:pt idx="6751">
                        <c:v>20.614999999999998</c:v>
                      </c:pt>
                      <c:pt idx="6752">
                        <c:v>20.614999999999998</c:v>
                      </c:pt>
                      <c:pt idx="6753">
                        <c:v>20.614999999999998</c:v>
                      </c:pt>
                      <c:pt idx="6754">
                        <c:v>20.614999999999998</c:v>
                      </c:pt>
                      <c:pt idx="6755">
                        <c:v>20.614999999999998</c:v>
                      </c:pt>
                      <c:pt idx="6756">
                        <c:v>20.614999999999998</c:v>
                      </c:pt>
                      <c:pt idx="6757">
                        <c:v>20.614999999999998</c:v>
                      </c:pt>
                      <c:pt idx="6758">
                        <c:v>20.614999999999998</c:v>
                      </c:pt>
                      <c:pt idx="6759">
                        <c:v>20.614999999999998</c:v>
                      </c:pt>
                      <c:pt idx="6760">
                        <c:v>20.614999999999998</c:v>
                      </c:pt>
                      <c:pt idx="6761">
                        <c:v>20.614999999999998</c:v>
                      </c:pt>
                      <c:pt idx="6762">
                        <c:v>20.614999999999998</c:v>
                      </c:pt>
                      <c:pt idx="6763">
                        <c:v>20.614999999999998</c:v>
                      </c:pt>
                      <c:pt idx="6764">
                        <c:v>20.614999999999998</c:v>
                      </c:pt>
                      <c:pt idx="6765">
                        <c:v>20.614999999999998</c:v>
                      </c:pt>
                      <c:pt idx="6766">
                        <c:v>20.614999999999998</c:v>
                      </c:pt>
                      <c:pt idx="6767">
                        <c:v>20.614999999999998</c:v>
                      </c:pt>
                      <c:pt idx="6768">
                        <c:v>20.614999999999998</c:v>
                      </c:pt>
                      <c:pt idx="6769">
                        <c:v>20.614999999999998</c:v>
                      </c:pt>
                      <c:pt idx="6770">
                        <c:v>20.614999999999998</c:v>
                      </c:pt>
                      <c:pt idx="6771">
                        <c:v>20.614999999999998</c:v>
                      </c:pt>
                      <c:pt idx="6772">
                        <c:v>20.614999999999998</c:v>
                      </c:pt>
                      <c:pt idx="6773">
                        <c:v>20.614999999999998</c:v>
                      </c:pt>
                      <c:pt idx="6774">
                        <c:v>20.614999999999998</c:v>
                      </c:pt>
                      <c:pt idx="6775">
                        <c:v>20.614999999999998</c:v>
                      </c:pt>
                      <c:pt idx="6776">
                        <c:v>20.614999999999998</c:v>
                      </c:pt>
                      <c:pt idx="6777">
                        <c:v>20.614999999999998</c:v>
                      </c:pt>
                      <c:pt idx="6778">
                        <c:v>20.614999999999998</c:v>
                      </c:pt>
                      <c:pt idx="6779">
                        <c:v>20.614999999999998</c:v>
                      </c:pt>
                      <c:pt idx="6780">
                        <c:v>20.614999999999998</c:v>
                      </c:pt>
                      <c:pt idx="6781">
                        <c:v>20.614999999999998</c:v>
                      </c:pt>
                      <c:pt idx="6782">
                        <c:v>20.614999999999998</c:v>
                      </c:pt>
                      <c:pt idx="6783">
                        <c:v>20.614999999999998</c:v>
                      </c:pt>
                      <c:pt idx="6784">
                        <c:v>20.614999999999998</c:v>
                      </c:pt>
                      <c:pt idx="6785">
                        <c:v>20.614999999999998</c:v>
                      </c:pt>
                      <c:pt idx="6786">
                        <c:v>20.614999999999998</c:v>
                      </c:pt>
                      <c:pt idx="6787">
                        <c:v>20.614999999999998</c:v>
                      </c:pt>
                      <c:pt idx="6788">
                        <c:v>20.614999999999998</c:v>
                      </c:pt>
                      <c:pt idx="6789">
                        <c:v>20.614999999999998</c:v>
                      </c:pt>
                      <c:pt idx="6790">
                        <c:v>20.614999999999998</c:v>
                      </c:pt>
                      <c:pt idx="6791">
                        <c:v>20.614999999999998</c:v>
                      </c:pt>
                      <c:pt idx="6792">
                        <c:v>20.614999999999998</c:v>
                      </c:pt>
                      <c:pt idx="6793">
                        <c:v>20.614999999999998</c:v>
                      </c:pt>
                      <c:pt idx="6794">
                        <c:v>20.614999999999998</c:v>
                      </c:pt>
                      <c:pt idx="6795">
                        <c:v>20.614999999999998</c:v>
                      </c:pt>
                      <c:pt idx="6796">
                        <c:v>20.614999999999998</c:v>
                      </c:pt>
                      <c:pt idx="6797">
                        <c:v>20.614999999999998</c:v>
                      </c:pt>
                      <c:pt idx="6798">
                        <c:v>20.614999999999998</c:v>
                      </c:pt>
                      <c:pt idx="6799">
                        <c:v>20.614999999999998</c:v>
                      </c:pt>
                      <c:pt idx="6800">
                        <c:v>20.614999999999998</c:v>
                      </c:pt>
                      <c:pt idx="6801">
                        <c:v>20.614999999999998</c:v>
                      </c:pt>
                      <c:pt idx="6802">
                        <c:v>20.614999999999998</c:v>
                      </c:pt>
                      <c:pt idx="6803">
                        <c:v>20.614999999999998</c:v>
                      </c:pt>
                      <c:pt idx="6804">
                        <c:v>20.614999999999998</c:v>
                      </c:pt>
                      <c:pt idx="6805">
                        <c:v>20.614999999999998</c:v>
                      </c:pt>
                      <c:pt idx="6806">
                        <c:v>20.614999999999998</c:v>
                      </c:pt>
                      <c:pt idx="6807">
                        <c:v>20.614999999999998</c:v>
                      </c:pt>
                      <c:pt idx="6808">
                        <c:v>20.614999999999998</c:v>
                      </c:pt>
                      <c:pt idx="6809">
                        <c:v>20.614999999999998</c:v>
                      </c:pt>
                      <c:pt idx="6810">
                        <c:v>20.614999999999998</c:v>
                      </c:pt>
                      <c:pt idx="6811">
                        <c:v>20.614999999999998</c:v>
                      </c:pt>
                      <c:pt idx="6812">
                        <c:v>20.614999999999998</c:v>
                      </c:pt>
                      <c:pt idx="6813">
                        <c:v>20.614999999999998</c:v>
                      </c:pt>
                      <c:pt idx="6814">
                        <c:v>20.614999999999998</c:v>
                      </c:pt>
                      <c:pt idx="6815">
                        <c:v>20.614999999999998</c:v>
                      </c:pt>
                      <c:pt idx="6816">
                        <c:v>20.614999999999998</c:v>
                      </c:pt>
                      <c:pt idx="6817">
                        <c:v>20.614999999999998</c:v>
                      </c:pt>
                      <c:pt idx="6818">
                        <c:v>20.614999999999998</c:v>
                      </c:pt>
                      <c:pt idx="6819">
                        <c:v>20.614999999999998</c:v>
                      </c:pt>
                      <c:pt idx="6820">
                        <c:v>20.614999999999998</c:v>
                      </c:pt>
                      <c:pt idx="6821">
                        <c:v>20.614999999999998</c:v>
                      </c:pt>
                      <c:pt idx="6822">
                        <c:v>20.614999999999998</c:v>
                      </c:pt>
                      <c:pt idx="6823">
                        <c:v>20.614999999999998</c:v>
                      </c:pt>
                      <c:pt idx="6824">
                        <c:v>20.614999999999998</c:v>
                      </c:pt>
                      <c:pt idx="6825">
                        <c:v>20.614999999999998</c:v>
                      </c:pt>
                      <c:pt idx="6826">
                        <c:v>20.614999999999998</c:v>
                      </c:pt>
                      <c:pt idx="6827">
                        <c:v>20.614999999999998</c:v>
                      </c:pt>
                      <c:pt idx="6828">
                        <c:v>20.614999999999998</c:v>
                      </c:pt>
                      <c:pt idx="6829">
                        <c:v>20.614999999999998</c:v>
                      </c:pt>
                      <c:pt idx="6830">
                        <c:v>20.614999999999998</c:v>
                      </c:pt>
                      <c:pt idx="6831">
                        <c:v>20.614999999999998</c:v>
                      </c:pt>
                      <c:pt idx="6832">
                        <c:v>20.614999999999998</c:v>
                      </c:pt>
                      <c:pt idx="6833">
                        <c:v>20.614999999999998</c:v>
                      </c:pt>
                      <c:pt idx="6834">
                        <c:v>20.614999999999998</c:v>
                      </c:pt>
                      <c:pt idx="6835">
                        <c:v>20.614999999999998</c:v>
                      </c:pt>
                      <c:pt idx="6836">
                        <c:v>20.614999999999998</c:v>
                      </c:pt>
                      <c:pt idx="6837">
                        <c:v>20.614999999999998</c:v>
                      </c:pt>
                      <c:pt idx="6838">
                        <c:v>20.614999999999998</c:v>
                      </c:pt>
                      <c:pt idx="6839">
                        <c:v>20.614999999999998</c:v>
                      </c:pt>
                      <c:pt idx="6840">
                        <c:v>20.614999999999998</c:v>
                      </c:pt>
                      <c:pt idx="6841">
                        <c:v>20.614999999999998</c:v>
                      </c:pt>
                      <c:pt idx="6842">
                        <c:v>20.614999999999998</c:v>
                      </c:pt>
                      <c:pt idx="6843">
                        <c:v>20.614999999999998</c:v>
                      </c:pt>
                      <c:pt idx="6844">
                        <c:v>20.614999999999998</c:v>
                      </c:pt>
                      <c:pt idx="6845">
                        <c:v>20.614999999999998</c:v>
                      </c:pt>
                      <c:pt idx="6846">
                        <c:v>20.614999999999998</c:v>
                      </c:pt>
                      <c:pt idx="6847">
                        <c:v>20.614999999999998</c:v>
                      </c:pt>
                      <c:pt idx="6848">
                        <c:v>20.614999999999998</c:v>
                      </c:pt>
                      <c:pt idx="6849">
                        <c:v>20.614999999999998</c:v>
                      </c:pt>
                      <c:pt idx="6850">
                        <c:v>20.614999999999998</c:v>
                      </c:pt>
                      <c:pt idx="6851">
                        <c:v>20.614999999999998</c:v>
                      </c:pt>
                      <c:pt idx="6852">
                        <c:v>20.614999999999998</c:v>
                      </c:pt>
                      <c:pt idx="6853">
                        <c:v>20.614999999999998</c:v>
                      </c:pt>
                      <c:pt idx="6854">
                        <c:v>20.518999999999998</c:v>
                      </c:pt>
                      <c:pt idx="6855">
                        <c:v>20.614999999999998</c:v>
                      </c:pt>
                      <c:pt idx="6856">
                        <c:v>20.518999999999998</c:v>
                      </c:pt>
                      <c:pt idx="6857">
                        <c:v>20.614999999999998</c:v>
                      </c:pt>
                      <c:pt idx="6858">
                        <c:v>20.518999999999998</c:v>
                      </c:pt>
                      <c:pt idx="6859">
                        <c:v>20.614999999999998</c:v>
                      </c:pt>
                      <c:pt idx="6860">
                        <c:v>20.518999999999998</c:v>
                      </c:pt>
                      <c:pt idx="6861">
                        <c:v>20.518999999999998</c:v>
                      </c:pt>
                      <c:pt idx="6862">
                        <c:v>20.614999999999998</c:v>
                      </c:pt>
                      <c:pt idx="6863">
                        <c:v>20.518999999999998</c:v>
                      </c:pt>
                      <c:pt idx="6864">
                        <c:v>20.518999999999998</c:v>
                      </c:pt>
                      <c:pt idx="6865">
                        <c:v>20.614999999999998</c:v>
                      </c:pt>
                      <c:pt idx="6866">
                        <c:v>20.518999999999998</c:v>
                      </c:pt>
                      <c:pt idx="6867">
                        <c:v>20.518999999999998</c:v>
                      </c:pt>
                      <c:pt idx="6868">
                        <c:v>20.518999999999998</c:v>
                      </c:pt>
                      <c:pt idx="6869">
                        <c:v>20.518999999999998</c:v>
                      </c:pt>
                      <c:pt idx="6870">
                        <c:v>20.518999999999998</c:v>
                      </c:pt>
                      <c:pt idx="6871">
                        <c:v>20.518999999999998</c:v>
                      </c:pt>
                      <c:pt idx="6872">
                        <c:v>20.518999999999998</c:v>
                      </c:pt>
                      <c:pt idx="6873">
                        <c:v>20.518999999999998</c:v>
                      </c:pt>
                      <c:pt idx="6874">
                        <c:v>20.518999999999998</c:v>
                      </c:pt>
                      <c:pt idx="6875">
                        <c:v>20.518999999999998</c:v>
                      </c:pt>
                      <c:pt idx="6876">
                        <c:v>20.614999999999998</c:v>
                      </c:pt>
                      <c:pt idx="6877">
                        <c:v>20.518999999999998</c:v>
                      </c:pt>
                      <c:pt idx="6878">
                        <c:v>20.518999999999998</c:v>
                      </c:pt>
                      <c:pt idx="6879">
                        <c:v>20.518999999999998</c:v>
                      </c:pt>
                      <c:pt idx="6880">
                        <c:v>20.518999999999998</c:v>
                      </c:pt>
                      <c:pt idx="6881">
                        <c:v>20.518999999999998</c:v>
                      </c:pt>
                      <c:pt idx="6882">
                        <c:v>20.614999999999998</c:v>
                      </c:pt>
                      <c:pt idx="6883">
                        <c:v>20.518999999999998</c:v>
                      </c:pt>
                      <c:pt idx="6884">
                        <c:v>20.518999999999998</c:v>
                      </c:pt>
                      <c:pt idx="6885">
                        <c:v>20.518999999999998</c:v>
                      </c:pt>
                      <c:pt idx="6886">
                        <c:v>20.614999999999998</c:v>
                      </c:pt>
                      <c:pt idx="6887">
                        <c:v>20.518999999999998</c:v>
                      </c:pt>
                      <c:pt idx="6888">
                        <c:v>20.614999999999998</c:v>
                      </c:pt>
                      <c:pt idx="6889">
                        <c:v>20.518999999999998</c:v>
                      </c:pt>
                      <c:pt idx="6890">
                        <c:v>20.518999999999998</c:v>
                      </c:pt>
                      <c:pt idx="6891">
                        <c:v>20.518999999999998</c:v>
                      </c:pt>
                      <c:pt idx="6892">
                        <c:v>20.518999999999998</c:v>
                      </c:pt>
                      <c:pt idx="6893">
                        <c:v>20.518999999999998</c:v>
                      </c:pt>
                      <c:pt idx="6894">
                        <c:v>20.518999999999998</c:v>
                      </c:pt>
                      <c:pt idx="6895">
                        <c:v>20.518999999999998</c:v>
                      </c:pt>
                      <c:pt idx="6896">
                        <c:v>20.518999999999998</c:v>
                      </c:pt>
                      <c:pt idx="6897">
                        <c:v>20.518999999999998</c:v>
                      </c:pt>
                      <c:pt idx="6898">
                        <c:v>20.518999999999998</c:v>
                      </c:pt>
                      <c:pt idx="6899">
                        <c:v>20.518999999999998</c:v>
                      </c:pt>
                      <c:pt idx="6900">
                        <c:v>20.518999999999998</c:v>
                      </c:pt>
                      <c:pt idx="6901">
                        <c:v>20.518999999999998</c:v>
                      </c:pt>
                      <c:pt idx="6902">
                        <c:v>20.518999999999998</c:v>
                      </c:pt>
                      <c:pt idx="6903">
                        <c:v>20.518999999999998</c:v>
                      </c:pt>
                      <c:pt idx="6904">
                        <c:v>20.518999999999998</c:v>
                      </c:pt>
                      <c:pt idx="6905">
                        <c:v>20.518999999999998</c:v>
                      </c:pt>
                      <c:pt idx="6906">
                        <c:v>20.614999999999998</c:v>
                      </c:pt>
                      <c:pt idx="6907">
                        <c:v>20.518999999999998</c:v>
                      </c:pt>
                      <c:pt idx="6908">
                        <c:v>20.614999999999998</c:v>
                      </c:pt>
                      <c:pt idx="6909">
                        <c:v>20.518999999999998</c:v>
                      </c:pt>
                      <c:pt idx="6910">
                        <c:v>20.518999999999998</c:v>
                      </c:pt>
                      <c:pt idx="6911">
                        <c:v>20.518999999999998</c:v>
                      </c:pt>
                      <c:pt idx="6912">
                        <c:v>20.518999999999998</c:v>
                      </c:pt>
                      <c:pt idx="6913">
                        <c:v>20.518999999999998</c:v>
                      </c:pt>
                      <c:pt idx="6914">
                        <c:v>20.518999999999998</c:v>
                      </c:pt>
                      <c:pt idx="6915">
                        <c:v>20.518999999999998</c:v>
                      </c:pt>
                      <c:pt idx="6916">
                        <c:v>20.518999999999998</c:v>
                      </c:pt>
                      <c:pt idx="6917">
                        <c:v>20.518999999999998</c:v>
                      </c:pt>
                      <c:pt idx="6918">
                        <c:v>20.614999999999998</c:v>
                      </c:pt>
                      <c:pt idx="6919">
                        <c:v>20.518999999999998</c:v>
                      </c:pt>
                      <c:pt idx="6920">
                        <c:v>20.614999999999998</c:v>
                      </c:pt>
                      <c:pt idx="6921">
                        <c:v>20.518999999999998</c:v>
                      </c:pt>
                      <c:pt idx="6922">
                        <c:v>20.518999999999998</c:v>
                      </c:pt>
                      <c:pt idx="6923">
                        <c:v>20.518999999999998</c:v>
                      </c:pt>
                      <c:pt idx="6924">
                        <c:v>20.518999999999998</c:v>
                      </c:pt>
                      <c:pt idx="6925">
                        <c:v>20.518999999999998</c:v>
                      </c:pt>
                      <c:pt idx="6926">
                        <c:v>20.518999999999998</c:v>
                      </c:pt>
                      <c:pt idx="6927">
                        <c:v>20.518999999999998</c:v>
                      </c:pt>
                      <c:pt idx="6928">
                        <c:v>20.518999999999998</c:v>
                      </c:pt>
                      <c:pt idx="6929">
                        <c:v>20.518999999999998</c:v>
                      </c:pt>
                      <c:pt idx="6930">
                        <c:v>20.614999999999998</c:v>
                      </c:pt>
                      <c:pt idx="6931">
                        <c:v>20.518999999999998</c:v>
                      </c:pt>
                      <c:pt idx="6932">
                        <c:v>20.518999999999998</c:v>
                      </c:pt>
                      <c:pt idx="6933">
                        <c:v>20.518999999999998</c:v>
                      </c:pt>
                      <c:pt idx="6934">
                        <c:v>20.518999999999998</c:v>
                      </c:pt>
                      <c:pt idx="6935">
                        <c:v>20.518999999999998</c:v>
                      </c:pt>
                      <c:pt idx="6936">
                        <c:v>20.518999999999998</c:v>
                      </c:pt>
                      <c:pt idx="6937">
                        <c:v>20.614999999999998</c:v>
                      </c:pt>
                      <c:pt idx="6938">
                        <c:v>20.518999999999998</c:v>
                      </c:pt>
                      <c:pt idx="6939">
                        <c:v>20.518999999999998</c:v>
                      </c:pt>
                      <c:pt idx="6940">
                        <c:v>20.518999999999998</c:v>
                      </c:pt>
                      <c:pt idx="6941">
                        <c:v>20.518999999999998</c:v>
                      </c:pt>
                      <c:pt idx="6942">
                        <c:v>20.518999999999998</c:v>
                      </c:pt>
                      <c:pt idx="6943">
                        <c:v>20.614999999999998</c:v>
                      </c:pt>
                      <c:pt idx="6944">
                        <c:v>20.518999999999998</c:v>
                      </c:pt>
                      <c:pt idx="6945">
                        <c:v>20.518999999999998</c:v>
                      </c:pt>
                      <c:pt idx="6946">
                        <c:v>20.518999999999998</c:v>
                      </c:pt>
                      <c:pt idx="6947">
                        <c:v>20.518999999999998</c:v>
                      </c:pt>
                      <c:pt idx="6948">
                        <c:v>20.518999999999998</c:v>
                      </c:pt>
                      <c:pt idx="6949">
                        <c:v>20.518999999999998</c:v>
                      </c:pt>
                      <c:pt idx="6950">
                        <c:v>20.518999999999998</c:v>
                      </c:pt>
                      <c:pt idx="6951">
                        <c:v>20.518999999999998</c:v>
                      </c:pt>
                      <c:pt idx="6952">
                        <c:v>20.518999999999998</c:v>
                      </c:pt>
                      <c:pt idx="6953">
                        <c:v>20.614999999999998</c:v>
                      </c:pt>
                      <c:pt idx="6954">
                        <c:v>20.518999999999998</c:v>
                      </c:pt>
                      <c:pt idx="6955">
                        <c:v>20.518999999999998</c:v>
                      </c:pt>
                      <c:pt idx="6956">
                        <c:v>20.518999999999998</c:v>
                      </c:pt>
                      <c:pt idx="6957">
                        <c:v>20.518999999999998</c:v>
                      </c:pt>
                      <c:pt idx="6958">
                        <c:v>20.518999999999998</c:v>
                      </c:pt>
                      <c:pt idx="6959">
                        <c:v>20.518999999999998</c:v>
                      </c:pt>
                      <c:pt idx="6960">
                        <c:v>20.518999999999998</c:v>
                      </c:pt>
                      <c:pt idx="6961">
                        <c:v>20.518999999999998</c:v>
                      </c:pt>
                      <c:pt idx="6962">
                        <c:v>20.518999999999998</c:v>
                      </c:pt>
                      <c:pt idx="6963">
                        <c:v>20.518999999999998</c:v>
                      </c:pt>
                      <c:pt idx="6964">
                        <c:v>20.518999999999998</c:v>
                      </c:pt>
                      <c:pt idx="6965">
                        <c:v>20.518999999999998</c:v>
                      </c:pt>
                      <c:pt idx="6966">
                        <c:v>20.518999999999998</c:v>
                      </c:pt>
                      <c:pt idx="6967">
                        <c:v>20.518999999999998</c:v>
                      </c:pt>
                      <c:pt idx="6968">
                        <c:v>20.518999999999998</c:v>
                      </c:pt>
                      <c:pt idx="6969">
                        <c:v>20.518999999999998</c:v>
                      </c:pt>
                      <c:pt idx="6970">
                        <c:v>20.518999999999998</c:v>
                      </c:pt>
                      <c:pt idx="6971">
                        <c:v>20.518999999999998</c:v>
                      </c:pt>
                      <c:pt idx="6972">
                        <c:v>20.518999999999998</c:v>
                      </c:pt>
                      <c:pt idx="6973">
                        <c:v>20.518999999999998</c:v>
                      </c:pt>
                      <c:pt idx="6974">
                        <c:v>20.518999999999998</c:v>
                      </c:pt>
                      <c:pt idx="6975">
                        <c:v>20.518999999999998</c:v>
                      </c:pt>
                      <c:pt idx="6976">
                        <c:v>20.518999999999998</c:v>
                      </c:pt>
                      <c:pt idx="6977">
                        <c:v>20.518999999999998</c:v>
                      </c:pt>
                      <c:pt idx="6978">
                        <c:v>20.518999999999998</c:v>
                      </c:pt>
                      <c:pt idx="6979">
                        <c:v>20.518999999999998</c:v>
                      </c:pt>
                      <c:pt idx="6980">
                        <c:v>20.518999999999998</c:v>
                      </c:pt>
                      <c:pt idx="6981">
                        <c:v>20.518999999999998</c:v>
                      </c:pt>
                      <c:pt idx="6982">
                        <c:v>20.518999999999998</c:v>
                      </c:pt>
                      <c:pt idx="6983">
                        <c:v>20.518999999999998</c:v>
                      </c:pt>
                      <c:pt idx="6984">
                        <c:v>20.518999999999998</c:v>
                      </c:pt>
                      <c:pt idx="6985">
                        <c:v>20.518999999999998</c:v>
                      </c:pt>
                      <c:pt idx="6986">
                        <c:v>20.518999999999998</c:v>
                      </c:pt>
                      <c:pt idx="6987">
                        <c:v>20.518999999999998</c:v>
                      </c:pt>
                      <c:pt idx="6988">
                        <c:v>20.518999999999998</c:v>
                      </c:pt>
                      <c:pt idx="6989">
                        <c:v>20.518999999999998</c:v>
                      </c:pt>
                      <c:pt idx="6990">
                        <c:v>20.518999999999998</c:v>
                      </c:pt>
                      <c:pt idx="6991">
                        <c:v>20.518999999999998</c:v>
                      </c:pt>
                      <c:pt idx="6992">
                        <c:v>20.518999999999998</c:v>
                      </c:pt>
                      <c:pt idx="6993">
                        <c:v>20.518999999999998</c:v>
                      </c:pt>
                      <c:pt idx="6994">
                        <c:v>20.518999999999998</c:v>
                      </c:pt>
                      <c:pt idx="6995">
                        <c:v>20.518999999999998</c:v>
                      </c:pt>
                      <c:pt idx="6996">
                        <c:v>20.518999999999998</c:v>
                      </c:pt>
                      <c:pt idx="6997">
                        <c:v>20.518999999999998</c:v>
                      </c:pt>
                      <c:pt idx="6998">
                        <c:v>20.518999999999998</c:v>
                      </c:pt>
                      <c:pt idx="6999">
                        <c:v>20.518999999999998</c:v>
                      </c:pt>
                      <c:pt idx="7000">
                        <c:v>20.518999999999998</c:v>
                      </c:pt>
                      <c:pt idx="7001">
                        <c:v>20.518999999999998</c:v>
                      </c:pt>
                      <c:pt idx="7002">
                        <c:v>20.518999999999998</c:v>
                      </c:pt>
                      <c:pt idx="7003">
                        <c:v>20.518999999999998</c:v>
                      </c:pt>
                      <c:pt idx="7004">
                        <c:v>20.518999999999998</c:v>
                      </c:pt>
                      <c:pt idx="7005">
                        <c:v>20.518999999999998</c:v>
                      </c:pt>
                      <c:pt idx="7006">
                        <c:v>20.518999999999998</c:v>
                      </c:pt>
                      <c:pt idx="7007">
                        <c:v>20.518999999999998</c:v>
                      </c:pt>
                      <c:pt idx="7008">
                        <c:v>20.518999999999998</c:v>
                      </c:pt>
                      <c:pt idx="7009">
                        <c:v>20.518999999999998</c:v>
                      </c:pt>
                      <c:pt idx="7010">
                        <c:v>20.518999999999998</c:v>
                      </c:pt>
                      <c:pt idx="7011">
                        <c:v>20.518999999999998</c:v>
                      </c:pt>
                      <c:pt idx="7012">
                        <c:v>20.518999999999998</c:v>
                      </c:pt>
                      <c:pt idx="7013">
                        <c:v>20.518999999999998</c:v>
                      </c:pt>
                      <c:pt idx="7014">
                        <c:v>20.518999999999998</c:v>
                      </c:pt>
                      <c:pt idx="7015">
                        <c:v>20.518999999999998</c:v>
                      </c:pt>
                      <c:pt idx="7016">
                        <c:v>20.518999999999998</c:v>
                      </c:pt>
                      <c:pt idx="7017">
                        <c:v>20.518999999999998</c:v>
                      </c:pt>
                      <c:pt idx="7018">
                        <c:v>20.518999999999998</c:v>
                      </c:pt>
                      <c:pt idx="7019">
                        <c:v>20.518999999999998</c:v>
                      </c:pt>
                      <c:pt idx="7020">
                        <c:v>20.518999999999998</c:v>
                      </c:pt>
                      <c:pt idx="7021">
                        <c:v>20.518999999999998</c:v>
                      </c:pt>
                      <c:pt idx="7022">
                        <c:v>20.518999999999998</c:v>
                      </c:pt>
                      <c:pt idx="7023">
                        <c:v>20.518999999999998</c:v>
                      </c:pt>
                      <c:pt idx="7024">
                        <c:v>20.518999999999998</c:v>
                      </c:pt>
                      <c:pt idx="7025">
                        <c:v>20.518999999999998</c:v>
                      </c:pt>
                      <c:pt idx="7026">
                        <c:v>20.518999999999998</c:v>
                      </c:pt>
                      <c:pt idx="7027">
                        <c:v>20.518999999999998</c:v>
                      </c:pt>
                      <c:pt idx="7028">
                        <c:v>20.518999999999998</c:v>
                      </c:pt>
                      <c:pt idx="7029">
                        <c:v>20.518999999999998</c:v>
                      </c:pt>
                      <c:pt idx="7030">
                        <c:v>20.518999999999998</c:v>
                      </c:pt>
                      <c:pt idx="7031">
                        <c:v>20.518999999999998</c:v>
                      </c:pt>
                      <c:pt idx="7032">
                        <c:v>20.518999999999998</c:v>
                      </c:pt>
                      <c:pt idx="7033">
                        <c:v>20.518999999999998</c:v>
                      </c:pt>
                      <c:pt idx="7034">
                        <c:v>20.518999999999998</c:v>
                      </c:pt>
                      <c:pt idx="7035">
                        <c:v>20.518999999999998</c:v>
                      </c:pt>
                      <c:pt idx="7036">
                        <c:v>20.518999999999998</c:v>
                      </c:pt>
                      <c:pt idx="7037">
                        <c:v>20.518999999999998</c:v>
                      </c:pt>
                      <c:pt idx="7038">
                        <c:v>20.518999999999998</c:v>
                      </c:pt>
                      <c:pt idx="7039">
                        <c:v>20.518999999999998</c:v>
                      </c:pt>
                      <c:pt idx="7040">
                        <c:v>20.518999999999998</c:v>
                      </c:pt>
                      <c:pt idx="7041">
                        <c:v>20.518999999999998</c:v>
                      </c:pt>
                      <c:pt idx="7042">
                        <c:v>20.518999999999998</c:v>
                      </c:pt>
                      <c:pt idx="7043">
                        <c:v>20.518999999999998</c:v>
                      </c:pt>
                      <c:pt idx="7044">
                        <c:v>20.518999999999998</c:v>
                      </c:pt>
                      <c:pt idx="7045">
                        <c:v>20.518999999999998</c:v>
                      </c:pt>
                      <c:pt idx="7046">
                        <c:v>20.518999999999998</c:v>
                      </c:pt>
                      <c:pt idx="7047">
                        <c:v>20.518999999999998</c:v>
                      </c:pt>
                      <c:pt idx="7048">
                        <c:v>20.518999999999998</c:v>
                      </c:pt>
                      <c:pt idx="7049">
                        <c:v>20.518999999999998</c:v>
                      </c:pt>
                      <c:pt idx="7050">
                        <c:v>20.518999999999998</c:v>
                      </c:pt>
                      <c:pt idx="7051">
                        <c:v>20.518999999999998</c:v>
                      </c:pt>
                      <c:pt idx="7052">
                        <c:v>20.518999999999998</c:v>
                      </c:pt>
                      <c:pt idx="7053">
                        <c:v>20.518999999999998</c:v>
                      </c:pt>
                      <c:pt idx="7054">
                        <c:v>20.518999999999998</c:v>
                      </c:pt>
                      <c:pt idx="7055">
                        <c:v>20.518999999999998</c:v>
                      </c:pt>
                      <c:pt idx="7056">
                        <c:v>20.518999999999998</c:v>
                      </c:pt>
                      <c:pt idx="7057">
                        <c:v>20.518999999999998</c:v>
                      </c:pt>
                      <c:pt idx="7058">
                        <c:v>20.518999999999998</c:v>
                      </c:pt>
                      <c:pt idx="7059">
                        <c:v>20.518999999999998</c:v>
                      </c:pt>
                      <c:pt idx="7060">
                        <c:v>20.518999999999998</c:v>
                      </c:pt>
                      <c:pt idx="7061">
                        <c:v>20.518999999999998</c:v>
                      </c:pt>
                      <c:pt idx="7062">
                        <c:v>20.518999999999998</c:v>
                      </c:pt>
                      <c:pt idx="7063">
                        <c:v>20.518999999999998</c:v>
                      </c:pt>
                      <c:pt idx="7064">
                        <c:v>20.518999999999998</c:v>
                      </c:pt>
                      <c:pt idx="7065">
                        <c:v>20.518999999999998</c:v>
                      </c:pt>
                      <c:pt idx="7066">
                        <c:v>20.518999999999998</c:v>
                      </c:pt>
                      <c:pt idx="7067">
                        <c:v>20.518999999999998</c:v>
                      </c:pt>
                      <c:pt idx="7068">
                        <c:v>20.518999999999998</c:v>
                      </c:pt>
                      <c:pt idx="7069">
                        <c:v>20.518999999999998</c:v>
                      </c:pt>
                      <c:pt idx="7070">
                        <c:v>20.518999999999998</c:v>
                      </c:pt>
                      <c:pt idx="7071">
                        <c:v>20.518999999999998</c:v>
                      </c:pt>
                      <c:pt idx="7072">
                        <c:v>20.518999999999998</c:v>
                      </c:pt>
                      <c:pt idx="7073">
                        <c:v>20.518999999999998</c:v>
                      </c:pt>
                      <c:pt idx="7074">
                        <c:v>20.518999999999998</c:v>
                      </c:pt>
                      <c:pt idx="7075">
                        <c:v>20.518999999999998</c:v>
                      </c:pt>
                      <c:pt idx="7076">
                        <c:v>20.518999999999998</c:v>
                      </c:pt>
                      <c:pt idx="7077">
                        <c:v>20.518999999999998</c:v>
                      </c:pt>
                      <c:pt idx="7078">
                        <c:v>20.518999999999998</c:v>
                      </c:pt>
                      <c:pt idx="7079">
                        <c:v>20.518999999999998</c:v>
                      </c:pt>
                      <c:pt idx="7080">
                        <c:v>20.518999999999998</c:v>
                      </c:pt>
                      <c:pt idx="7081">
                        <c:v>20.518999999999998</c:v>
                      </c:pt>
                      <c:pt idx="7082">
                        <c:v>20.518999999999998</c:v>
                      </c:pt>
                      <c:pt idx="7083">
                        <c:v>20.518999999999998</c:v>
                      </c:pt>
                      <c:pt idx="7084">
                        <c:v>20.518999999999998</c:v>
                      </c:pt>
                      <c:pt idx="7085">
                        <c:v>20.518999999999998</c:v>
                      </c:pt>
                      <c:pt idx="7086">
                        <c:v>20.518999999999998</c:v>
                      </c:pt>
                      <c:pt idx="7087">
                        <c:v>20.518999999999998</c:v>
                      </c:pt>
                      <c:pt idx="7088">
                        <c:v>20.518999999999998</c:v>
                      </c:pt>
                      <c:pt idx="7089">
                        <c:v>20.518999999999998</c:v>
                      </c:pt>
                      <c:pt idx="7090">
                        <c:v>20.518999999999998</c:v>
                      </c:pt>
                      <c:pt idx="7091">
                        <c:v>20.518999999999998</c:v>
                      </c:pt>
                      <c:pt idx="7092">
                        <c:v>20.518999999999998</c:v>
                      </c:pt>
                      <c:pt idx="7093">
                        <c:v>20.518999999999998</c:v>
                      </c:pt>
                      <c:pt idx="7094">
                        <c:v>20.518999999999998</c:v>
                      </c:pt>
                      <c:pt idx="7095">
                        <c:v>20.518999999999998</c:v>
                      </c:pt>
                      <c:pt idx="7096">
                        <c:v>20.518999999999998</c:v>
                      </c:pt>
                      <c:pt idx="7097">
                        <c:v>20.518999999999998</c:v>
                      </c:pt>
                      <c:pt idx="7098">
                        <c:v>20.518999999999998</c:v>
                      </c:pt>
                      <c:pt idx="7099">
                        <c:v>20.518999999999998</c:v>
                      </c:pt>
                      <c:pt idx="7100">
                        <c:v>20.518999999999998</c:v>
                      </c:pt>
                      <c:pt idx="7101">
                        <c:v>20.518999999999998</c:v>
                      </c:pt>
                      <c:pt idx="7102">
                        <c:v>20.518999999999998</c:v>
                      </c:pt>
                      <c:pt idx="7103">
                        <c:v>20.518999999999998</c:v>
                      </c:pt>
                      <c:pt idx="7104">
                        <c:v>20.518999999999998</c:v>
                      </c:pt>
                      <c:pt idx="7105">
                        <c:v>20.518999999999998</c:v>
                      </c:pt>
                      <c:pt idx="7106">
                        <c:v>20.518999999999998</c:v>
                      </c:pt>
                      <c:pt idx="7107">
                        <c:v>20.518999999999998</c:v>
                      </c:pt>
                      <c:pt idx="7108">
                        <c:v>20.518999999999998</c:v>
                      </c:pt>
                      <c:pt idx="7109">
                        <c:v>20.518999999999998</c:v>
                      </c:pt>
                      <c:pt idx="7110">
                        <c:v>20.518999999999998</c:v>
                      </c:pt>
                      <c:pt idx="7111">
                        <c:v>20.518999999999998</c:v>
                      </c:pt>
                      <c:pt idx="7112">
                        <c:v>20.518999999999998</c:v>
                      </c:pt>
                      <c:pt idx="7113">
                        <c:v>20.518999999999998</c:v>
                      </c:pt>
                      <c:pt idx="7114">
                        <c:v>20.518999999999998</c:v>
                      </c:pt>
                      <c:pt idx="7115">
                        <c:v>20.518999999999998</c:v>
                      </c:pt>
                      <c:pt idx="7116">
                        <c:v>20.518999999999998</c:v>
                      </c:pt>
                      <c:pt idx="7117">
                        <c:v>20.518999999999998</c:v>
                      </c:pt>
                      <c:pt idx="7118">
                        <c:v>20.518999999999998</c:v>
                      </c:pt>
                      <c:pt idx="7119">
                        <c:v>20.518999999999998</c:v>
                      </c:pt>
                      <c:pt idx="7120">
                        <c:v>20.518999999999998</c:v>
                      </c:pt>
                      <c:pt idx="7121">
                        <c:v>20.518999999999998</c:v>
                      </c:pt>
                      <c:pt idx="7122">
                        <c:v>20.518999999999998</c:v>
                      </c:pt>
                      <c:pt idx="7123">
                        <c:v>20.518999999999998</c:v>
                      </c:pt>
                      <c:pt idx="7124">
                        <c:v>20.518999999999998</c:v>
                      </c:pt>
                      <c:pt idx="7125">
                        <c:v>20.518999999999998</c:v>
                      </c:pt>
                      <c:pt idx="7126">
                        <c:v>20.518999999999998</c:v>
                      </c:pt>
                      <c:pt idx="7127">
                        <c:v>20.518999999999998</c:v>
                      </c:pt>
                      <c:pt idx="7128">
                        <c:v>20.518999999999998</c:v>
                      </c:pt>
                      <c:pt idx="7129">
                        <c:v>20.518999999999998</c:v>
                      </c:pt>
                      <c:pt idx="7130">
                        <c:v>20.518999999999998</c:v>
                      </c:pt>
                      <c:pt idx="7131">
                        <c:v>20.518999999999998</c:v>
                      </c:pt>
                      <c:pt idx="7132">
                        <c:v>20.518999999999998</c:v>
                      </c:pt>
                      <c:pt idx="7133">
                        <c:v>20.518999999999998</c:v>
                      </c:pt>
                      <c:pt idx="7134">
                        <c:v>20.518999999999998</c:v>
                      </c:pt>
                      <c:pt idx="7135">
                        <c:v>20.518999999999998</c:v>
                      </c:pt>
                      <c:pt idx="7136">
                        <c:v>20.518999999999998</c:v>
                      </c:pt>
                      <c:pt idx="7137">
                        <c:v>20.518999999999998</c:v>
                      </c:pt>
                      <c:pt idx="7138">
                        <c:v>20.518999999999998</c:v>
                      </c:pt>
                      <c:pt idx="7139">
                        <c:v>20.518999999999998</c:v>
                      </c:pt>
                      <c:pt idx="7140">
                        <c:v>20.518999999999998</c:v>
                      </c:pt>
                      <c:pt idx="7141">
                        <c:v>20.518999999999998</c:v>
                      </c:pt>
                      <c:pt idx="7142">
                        <c:v>20.518999999999998</c:v>
                      </c:pt>
                      <c:pt idx="7143">
                        <c:v>20.518999999999998</c:v>
                      </c:pt>
                      <c:pt idx="7144">
                        <c:v>20.518999999999998</c:v>
                      </c:pt>
                      <c:pt idx="7145">
                        <c:v>20.518999999999998</c:v>
                      </c:pt>
                      <c:pt idx="7146">
                        <c:v>20.518999999999998</c:v>
                      </c:pt>
                      <c:pt idx="7147">
                        <c:v>20.518999999999998</c:v>
                      </c:pt>
                      <c:pt idx="7148">
                        <c:v>20.518999999999998</c:v>
                      </c:pt>
                      <c:pt idx="7149">
                        <c:v>20.518999999999998</c:v>
                      </c:pt>
                      <c:pt idx="7150">
                        <c:v>20.518999999999998</c:v>
                      </c:pt>
                      <c:pt idx="7151">
                        <c:v>20.518999999999998</c:v>
                      </c:pt>
                      <c:pt idx="7152">
                        <c:v>20.518999999999998</c:v>
                      </c:pt>
                      <c:pt idx="7153">
                        <c:v>20.518999999999998</c:v>
                      </c:pt>
                      <c:pt idx="7154">
                        <c:v>20.518999999999998</c:v>
                      </c:pt>
                      <c:pt idx="7155">
                        <c:v>20.518999999999998</c:v>
                      </c:pt>
                      <c:pt idx="7156">
                        <c:v>20.518999999999998</c:v>
                      </c:pt>
                      <c:pt idx="7157">
                        <c:v>20.518999999999998</c:v>
                      </c:pt>
                      <c:pt idx="7158">
                        <c:v>20.518999999999998</c:v>
                      </c:pt>
                      <c:pt idx="7159">
                        <c:v>20.518999999999998</c:v>
                      </c:pt>
                      <c:pt idx="7160">
                        <c:v>20.518999999999998</c:v>
                      </c:pt>
                      <c:pt idx="7161">
                        <c:v>20.518999999999998</c:v>
                      </c:pt>
                      <c:pt idx="7162">
                        <c:v>20.518999999999998</c:v>
                      </c:pt>
                      <c:pt idx="7163">
                        <c:v>20.518999999999998</c:v>
                      </c:pt>
                      <c:pt idx="7164">
                        <c:v>20.518999999999998</c:v>
                      </c:pt>
                      <c:pt idx="7165">
                        <c:v>20.518999999999998</c:v>
                      </c:pt>
                      <c:pt idx="7166">
                        <c:v>20.518999999999998</c:v>
                      </c:pt>
                      <c:pt idx="7167">
                        <c:v>20.518999999999998</c:v>
                      </c:pt>
                      <c:pt idx="7168">
                        <c:v>20.518999999999998</c:v>
                      </c:pt>
                      <c:pt idx="7169">
                        <c:v>20.518999999999998</c:v>
                      </c:pt>
                      <c:pt idx="7170">
                        <c:v>20.518999999999998</c:v>
                      </c:pt>
                      <c:pt idx="7171">
                        <c:v>20.518999999999998</c:v>
                      </c:pt>
                      <c:pt idx="7172">
                        <c:v>20.518999999999998</c:v>
                      </c:pt>
                      <c:pt idx="7173">
                        <c:v>20.518999999999998</c:v>
                      </c:pt>
                      <c:pt idx="7174">
                        <c:v>20.518999999999998</c:v>
                      </c:pt>
                      <c:pt idx="7175">
                        <c:v>20.518999999999998</c:v>
                      </c:pt>
                      <c:pt idx="7176">
                        <c:v>20.518999999999998</c:v>
                      </c:pt>
                      <c:pt idx="7177">
                        <c:v>20.518999999999998</c:v>
                      </c:pt>
                      <c:pt idx="7178">
                        <c:v>20.518999999999998</c:v>
                      </c:pt>
                      <c:pt idx="7179">
                        <c:v>20.518999999999998</c:v>
                      </c:pt>
                      <c:pt idx="7180">
                        <c:v>20.518999999999998</c:v>
                      </c:pt>
                      <c:pt idx="7181">
                        <c:v>20.518999999999998</c:v>
                      </c:pt>
                      <c:pt idx="7182">
                        <c:v>20.518999999999998</c:v>
                      </c:pt>
                      <c:pt idx="7183">
                        <c:v>20.518999999999998</c:v>
                      </c:pt>
                      <c:pt idx="7184">
                        <c:v>20.518999999999998</c:v>
                      </c:pt>
                      <c:pt idx="7185">
                        <c:v>20.518999999999998</c:v>
                      </c:pt>
                      <c:pt idx="7186">
                        <c:v>20.518999999999998</c:v>
                      </c:pt>
                      <c:pt idx="7187">
                        <c:v>20.518999999999998</c:v>
                      </c:pt>
                      <c:pt idx="7188">
                        <c:v>20.518999999999998</c:v>
                      </c:pt>
                      <c:pt idx="7189">
                        <c:v>20.518999999999998</c:v>
                      </c:pt>
                      <c:pt idx="7190">
                        <c:v>20.518999999999998</c:v>
                      </c:pt>
                      <c:pt idx="7191">
                        <c:v>20.518999999999998</c:v>
                      </c:pt>
                      <c:pt idx="7192">
                        <c:v>20.518999999999998</c:v>
                      </c:pt>
                      <c:pt idx="7193">
                        <c:v>20.518999999999998</c:v>
                      </c:pt>
                      <c:pt idx="7194">
                        <c:v>20.518999999999998</c:v>
                      </c:pt>
                      <c:pt idx="7195">
                        <c:v>20.518999999999998</c:v>
                      </c:pt>
                      <c:pt idx="7196">
                        <c:v>20.518999999999998</c:v>
                      </c:pt>
                      <c:pt idx="7197">
                        <c:v>20.518999999999998</c:v>
                      </c:pt>
                      <c:pt idx="7198">
                        <c:v>20.518999999999998</c:v>
                      </c:pt>
                      <c:pt idx="7199">
                        <c:v>20.518999999999998</c:v>
                      </c:pt>
                      <c:pt idx="7200">
                        <c:v>20.518999999999998</c:v>
                      </c:pt>
                      <c:pt idx="7201">
                        <c:v>20.518999999999998</c:v>
                      </c:pt>
                      <c:pt idx="7202">
                        <c:v>20.518999999999998</c:v>
                      </c:pt>
                      <c:pt idx="7203">
                        <c:v>20.518999999999998</c:v>
                      </c:pt>
                      <c:pt idx="7204">
                        <c:v>20.518999999999998</c:v>
                      </c:pt>
                      <c:pt idx="7205">
                        <c:v>20.518999999999998</c:v>
                      </c:pt>
                      <c:pt idx="7206">
                        <c:v>20.518999999999998</c:v>
                      </c:pt>
                      <c:pt idx="7207">
                        <c:v>20.518999999999998</c:v>
                      </c:pt>
                      <c:pt idx="7208">
                        <c:v>20.518999999999998</c:v>
                      </c:pt>
                      <c:pt idx="7209">
                        <c:v>20.518999999999998</c:v>
                      </c:pt>
                      <c:pt idx="7210">
                        <c:v>20.518999999999998</c:v>
                      </c:pt>
                      <c:pt idx="7211">
                        <c:v>20.518999999999998</c:v>
                      </c:pt>
                      <c:pt idx="7212">
                        <c:v>20.518999999999998</c:v>
                      </c:pt>
                      <c:pt idx="7213">
                        <c:v>20.518999999999998</c:v>
                      </c:pt>
                      <c:pt idx="7214">
                        <c:v>20.518999999999998</c:v>
                      </c:pt>
                      <c:pt idx="7215">
                        <c:v>20.518999999999998</c:v>
                      </c:pt>
                      <c:pt idx="7216">
                        <c:v>20.518999999999998</c:v>
                      </c:pt>
                      <c:pt idx="7217">
                        <c:v>20.518999999999998</c:v>
                      </c:pt>
                      <c:pt idx="7218">
                        <c:v>20.518999999999998</c:v>
                      </c:pt>
                      <c:pt idx="7219">
                        <c:v>20.518999999999998</c:v>
                      </c:pt>
                      <c:pt idx="7220">
                        <c:v>20.518999999999998</c:v>
                      </c:pt>
                      <c:pt idx="7221">
                        <c:v>20.518999999999998</c:v>
                      </c:pt>
                      <c:pt idx="7222">
                        <c:v>20.518999999999998</c:v>
                      </c:pt>
                      <c:pt idx="7223">
                        <c:v>20.518999999999998</c:v>
                      </c:pt>
                      <c:pt idx="7224">
                        <c:v>20.518999999999998</c:v>
                      </c:pt>
                      <c:pt idx="7225">
                        <c:v>20.518999999999998</c:v>
                      </c:pt>
                      <c:pt idx="7226">
                        <c:v>20.518999999999998</c:v>
                      </c:pt>
                      <c:pt idx="7227">
                        <c:v>20.518999999999998</c:v>
                      </c:pt>
                      <c:pt idx="7228">
                        <c:v>20.518999999999998</c:v>
                      </c:pt>
                      <c:pt idx="7229">
                        <c:v>20.518999999999998</c:v>
                      </c:pt>
                      <c:pt idx="7230">
                        <c:v>20.518999999999998</c:v>
                      </c:pt>
                      <c:pt idx="7231">
                        <c:v>20.518999999999998</c:v>
                      </c:pt>
                      <c:pt idx="7232">
                        <c:v>20.518999999999998</c:v>
                      </c:pt>
                      <c:pt idx="7233">
                        <c:v>20.518999999999998</c:v>
                      </c:pt>
                      <c:pt idx="7234">
                        <c:v>20.518999999999998</c:v>
                      </c:pt>
                      <c:pt idx="7235">
                        <c:v>20.518999999999998</c:v>
                      </c:pt>
                      <c:pt idx="7236">
                        <c:v>20.518999999999998</c:v>
                      </c:pt>
                      <c:pt idx="7237">
                        <c:v>20.518999999999998</c:v>
                      </c:pt>
                      <c:pt idx="7238">
                        <c:v>20.518999999999998</c:v>
                      </c:pt>
                      <c:pt idx="7239">
                        <c:v>20.518999999999998</c:v>
                      </c:pt>
                      <c:pt idx="7240">
                        <c:v>20.518999999999998</c:v>
                      </c:pt>
                      <c:pt idx="7241">
                        <c:v>20.518999999999998</c:v>
                      </c:pt>
                      <c:pt idx="7242">
                        <c:v>20.518999999999998</c:v>
                      </c:pt>
                      <c:pt idx="7243">
                        <c:v>20.518999999999998</c:v>
                      </c:pt>
                      <c:pt idx="7244">
                        <c:v>20.518999999999998</c:v>
                      </c:pt>
                      <c:pt idx="7245">
                        <c:v>20.518999999999998</c:v>
                      </c:pt>
                      <c:pt idx="7246">
                        <c:v>20.518999999999998</c:v>
                      </c:pt>
                      <c:pt idx="7247">
                        <c:v>20.518999999999998</c:v>
                      </c:pt>
                      <c:pt idx="7248">
                        <c:v>20.518999999999998</c:v>
                      </c:pt>
                      <c:pt idx="7249">
                        <c:v>20.518999999999998</c:v>
                      </c:pt>
                      <c:pt idx="7250">
                        <c:v>20.518999999999998</c:v>
                      </c:pt>
                      <c:pt idx="7251">
                        <c:v>20.518999999999998</c:v>
                      </c:pt>
                      <c:pt idx="7252">
                        <c:v>20.518999999999998</c:v>
                      </c:pt>
                      <c:pt idx="7253">
                        <c:v>20.518999999999998</c:v>
                      </c:pt>
                      <c:pt idx="7254">
                        <c:v>20.518999999999998</c:v>
                      </c:pt>
                      <c:pt idx="7255">
                        <c:v>20.614999999999998</c:v>
                      </c:pt>
                      <c:pt idx="7256">
                        <c:v>20.518999999999998</c:v>
                      </c:pt>
                      <c:pt idx="7257">
                        <c:v>20.518999999999998</c:v>
                      </c:pt>
                      <c:pt idx="7258">
                        <c:v>20.518999999999998</c:v>
                      </c:pt>
                      <c:pt idx="7259">
                        <c:v>20.518999999999998</c:v>
                      </c:pt>
                      <c:pt idx="7260">
                        <c:v>20.518999999999998</c:v>
                      </c:pt>
                      <c:pt idx="7261">
                        <c:v>20.518999999999998</c:v>
                      </c:pt>
                      <c:pt idx="7262">
                        <c:v>20.614999999999998</c:v>
                      </c:pt>
                      <c:pt idx="7263">
                        <c:v>20.518999999999998</c:v>
                      </c:pt>
                      <c:pt idx="7264">
                        <c:v>20.518999999999998</c:v>
                      </c:pt>
                      <c:pt idx="7265">
                        <c:v>20.518999999999998</c:v>
                      </c:pt>
                      <c:pt idx="7266">
                        <c:v>20.518999999999998</c:v>
                      </c:pt>
                      <c:pt idx="7267">
                        <c:v>20.518999999999998</c:v>
                      </c:pt>
                      <c:pt idx="7268">
                        <c:v>20.518999999999998</c:v>
                      </c:pt>
                      <c:pt idx="7269">
                        <c:v>20.518999999999998</c:v>
                      </c:pt>
                      <c:pt idx="7270">
                        <c:v>20.518999999999998</c:v>
                      </c:pt>
                      <c:pt idx="7271">
                        <c:v>20.518999999999998</c:v>
                      </c:pt>
                      <c:pt idx="7272">
                        <c:v>20.518999999999998</c:v>
                      </c:pt>
                      <c:pt idx="7273">
                        <c:v>20.518999999999998</c:v>
                      </c:pt>
                      <c:pt idx="7274">
                        <c:v>20.518999999999998</c:v>
                      </c:pt>
                      <c:pt idx="7275">
                        <c:v>20.518999999999998</c:v>
                      </c:pt>
                      <c:pt idx="7276">
                        <c:v>20.518999999999998</c:v>
                      </c:pt>
                      <c:pt idx="7277">
                        <c:v>20.518999999999998</c:v>
                      </c:pt>
                      <c:pt idx="7278">
                        <c:v>20.614999999999998</c:v>
                      </c:pt>
                      <c:pt idx="7279">
                        <c:v>20.614999999999998</c:v>
                      </c:pt>
                      <c:pt idx="7280">
                        <c:v>20.518999999999998</c:v>
                      </c:pt>
                      <c:pt idx="7281">
                        <c:v>20.518999999999998</c:v>
                      </c:pt>
                      <c:pt idx="7282">
                        <c:v>20.518999999999998</c:v>
                      </c:pt>
                      <c:pt idx="7283">
                        <c:v>20.518999999999998</c:v>
                      </c:pt>
                      <c:pt idx="7284">
                        <c:v>20.518999999999998</c:v>
                      </c:pt>
                      <c:pt idx="7285">
                        <c:v>20.518999999999998</c:v>
                      </c:pt>
                      <c:pt idx="7286">
                        <c:v>20.518999999999998</c:v>
                      </c:pt>
                      <c:pt idx="7287">
                        <c:v>20.518999999999998</c:v>
                      </c:pt>
                      <c:pt idx="7288">
                        <c:v>20.518999999999998</c:v>
                      </c:pt>
                      <c:pt idx="7289">
                        <c:v>20.518999999999998</c:v>
                      </c:pt>
                      <c:pt idx="7290">
                        <c:v>20.614999999999998</c:v>
                      </c:pt>
                      <c:pt idx="7291">
                        <c:v>20.614999999999998</c:v>
                      </c:pt>
                      <c:pt idx="7292">
                        <c:v>20.518999999999998</c:v>
                      </c:pt>
                      <c:pt idx="7293">
                        <c:v>20.614999999999998</c:v>
                      </c:pt>
                      <c:pt idx="7294">
                        <c:v>20.614999999999998</c:v>
                      </c:pt>
                      <c:pt idx="7295">
                        <c:v>20.614999999999998</c:v>
                      </c:pt>
                      <c:pt idx="7296">
                        <c:v>20.614999999999998</c:v>
                      </c:pt>
                      <c:pt idx="7297">
                        <c:v>20.518999999999998</c:v>
                      </c:pt>
                      <c:pt idx="7298">
                        <c:v>20.614999999999998</c:v>
                      </c:pt>
                      <c:pt idx="7299">
                        <c:v>20.614999999999998</c:v>
                      </c:pt>
                      <c:pt idx="7300">
                        <c:v>20.614999999999998</c:v>
                      </c:pt>
                      <c:pt idx="7301">
                        <c:v>20.614999999999998</c:v>
                      </c:pt>
                      <c:pt idx="7302">
                        <c:v>20.614999999999998</c:v>
                      </c:pt>
                      <c:pt idx="7303">
                        <c:v>20.614999999999998</c:v>
                      </c:pt>
                      <c:pt idx="7304">
                        <c:v>20.614999999999998</c:v>
                      </c:pt>
                      <c:pt idx="7305">
                        <c:v>20.614999999999998</c:v>
                      </c:pt>
                      <c:pt idx="7306">
                        <c:v>20.614999999999998</c:v>
                      </c:pt>
                      <c:pt idx="7307">
                        <c:v>20.614999999999998</c:v>
                      </c:pt>
                      <c:pt idx="7308">
                        <c:v>20.614999999999998</c:v>
                      </c:pt>
                      <c:pt idx="7309">
                        <c:v>20.614999999999998</c:v>
                      </c:pt>
                      <c:pt idx="7310">
                        <c:v>20.614999999999998</c:v>
                      </c:pt>
                      <c:pt idx="7311">
                        <c:v>20.614999999999998</c:v>
                      </c:pt>
                      <c:pt idx="7312">
                        <c:v>20.614999999999998</c:v>
                      </c:pt>
                      <c:pt idx="7313">
                        <c:v>20.614999999999998</c:v>
                      </c:pt>
                      <c:pt idx="7314">
                        <c:v>20.614999999999998</c:v>
                      </c:pt>
                      <c:pt idx="7315">
                        <c:v>20.614999999999998</c:v>
                      </c:pt>
                      <c:pt idx="7316">
                        <c:v>20.614999999999998</c:v>
                      </c:pt>
                      <c:pt idx="7317">
                        <c:v>20.614999999999998</c:v>
                      </c:pt>
                      <c:pt idx="7318">
                        <c:v>20.614999999999998</c:v>
                      </c:pt>
                      <c:pt idx="7319">
                        <c:v>20.614999999999998</c:v>
                      </c:pt>
                      <c:pt idx="7320">
                        <c:v>20.614999999999998</c:v>
                      </c:pt>
                      <c:pt idx="7321">
                        <c:v>20.614999999999998</c:v>
                      </c:pt>
                      <c:pt idx="7322">
                        <c:v>20.614999999999998</c:v>
                      </c:pt>
                      <c:pt idx="7323">
                        <c:v>20.614999999999998</c:v>
                      </c:pt>
                      <c:pt idx="7324">
                        <c:v>20.614999999999998</c:v>
                      </c:pt>
                      <c:pt idx="7325">
                        <c:v>20.614999999999998</c:v>
                      </c:pt>
                      <c:pt idx="7326">
                        <c:v>20.614999999999998</c:v>
                      </c:pt>
                      <c:pt idx="7327">
                        <c:v>20.614999999999998</c:v>
                      </c:pt>
                      <c:pt idx="7328">
                        <c:v>20.614999999999998</c:v>
                      </c:pt>
                      <c:pt idx="7329">
                        <c:v>20.614999999999998</c:v>
                      </c:pt>
                      <c:pt idx="7330">
                        <c:v>20.614999999999998</c:v>
                      </c:pt>
                      <c:pt idx="7331">
                        <c:v>20.614999999999998</c:v>
                      </c:pt>
                      <c:pt idx="7332">
                        <c:v>20.614999999999998</c:v>
                      </c:pt>
                      <c:pt idx="7333">
                        <c:v>20.614999999999998</c:v>
                      </c:pt>
                      <c:pt idx="7334">
                        <c:v>20.614999999999998</c:v>
                      </c:pt>
                      <c:pt idx="7335">
                        <c:v>20.614999999999998</c:v>
                      </c:pt>
                      <c:pt idx="7336">
                        <c:v>20.614999999999998</c:v>
                      </c:pt>
                      <c:pt idx="7337">
                        <c:v>20.614999999999998</c:v>
                      </c:pt>
                      <c:pt idx="7338">
                        <c:v>20.614999999999998</c:v>
                      </c:pt>
                      <c:pt idx="7339">
                        <c:v>20.614999999999998</c:v>
                      </c:pt>
                      <c:pt idx="7340">
                        <c:v>20.614999999999998</c:v>
                      </c:pt>
                      <c:pt idx="7341">
                        <c:v>20.614999999999998</c:v>
                      </c:pt>
                      <c:pt idx="7342">
                        <c:v>20.614999999999998</c:v>
                      </c:pt>
                      <c:pt idx="7343">
                        <c:v>20.614999999999998</c:v>
                      </c:pt>
                      <c:pt idx="7344">
                        <c:v>20.614999999999998</c:v>
                      </c:pt>
                      <c:pt idx="7345">
                        <c:v>20.614999999999998</c:v>
                      </c:pt>
                      <c:pt idx="7346">
                        <c:v>20.614999999999998</c:v>
                      </c:pt>
                      <c:pt idx="7347">
                        <c:v>20.614999999999998</c:v>
                      </c:pt>
                      <c:pt idx="7348">
                        <c:v>20.614999999999998</c:v>
                      </c:pt>
                      <c:pt idx="7349">
                        <c:v>20.614999999999998</c:v>
                      </c:pt>
                      <c:pt idx="7350">
                        <c:v>20.614999999999998</c:v>
                      </c:pt>
                      <c:pt idx="7351">
                        <c:v>20.614999999999998</c:v>
                      </c:pt>
                      <c:pt idx="7352">
                        <c:v>20.614999999999998</c:v>
                      </c:pt>
                      <c:pt idx="7353">
                        <c:v>20.614999999999998</c:v>
                      </c:pt>
                      <c:pt idx="7354">
                        <c:v>20.614999999999998</c:v>
                      </c:pt>
                      <c:pt idx="7355">
                        <c:v>20.614999999999998</c:v>
                      </c:pt>
                      <c:pt idx="7356">
                        <c:v>20.614999999999998</c:v>
                      </c:pt>
                      <c:pt idx="7357">
                        <c:v>20.614999999999998</c:v>
                      </c:pt>
                      <c:pt idx="7358">
                        <c:v>20.614999999999998</c:v>
                      </c:pt>
                      <c:pt idx="7359">
                        <c:v>20.614999999999998</c:v>
                      </c:pt>
                      <c:pt idx="7360">
                        <c:v>20.614999999999998</c:v>
                      </c:pt>
                      <c:pt idx="7361">
                        <c:v>20.614999999999998</c:v>
                      </c:pt>
                      <c:pt idx="7362">
                        <c:v>20.614999999999998</c:v>
                      </c:pt>
                      <c:pt idx="7363">
                        <c:v>20.614999999999998</c:v>
                      </c:pt>
                      <c:pt idx="7364">
                        <c:v>20.614999999999998</c:v>
                      </c:pt>
                      <c:pt idx="7365">
                        <c:v>20.614999999999998</c:v>
                      </c:pt>
                      <c:pt idx="7366">
                        <c:v>20.614999999999998</c:v>
                      </c:pt>
                      <c:pt idx="7367">
                        <c:v>20.614999999999998</c:v>
                      </c:pt>
                      <c:pt idx="7368">
                        <c:v>20.614999999999998</c:v>
                      </c:pt>
                      <c:pt idx="7369">
                        <c:v>20.614999999999998</c:v>
                      </c:pt>
                      <c:pt idx="7370">
                        <c:v>20.614999999999998</c:v>
                      </c:pt>
                      <c:pt idx="7371">
                        <c:v>20.614999999999998</c:v>
                      </c:pt>
                      <c:pt idx="7372">
                        <c:v>20.614999999999998</c:v>
                      </c:pt>
                      <c:pt idx="7373">
                        <c:v>20.614999999999998</c:v>
                      </c:pt>
                      <c:pt idx="7374">
                        <c:v>20.614999999999998</c:v>
                      </c:pt>
                      <c:pt idx="7375">
                        <c:v>20.614999999999998</c:v>
                      </c:pt>
                      <c:pt idx="7376">
                        <c:v>20.614999999999998</c:v>
                      </c:pt>
                      <c:pt idx="7377">
                        <c:v>20.614999999999998</c:v>
                      </c:pt>
                      <c:pt idx="7378">
                        <c:v>20.614999999999998</c:v>
                      </c:pt>
                      <c:pt idx="7379">
                        <c:v>20.614999999999998</c:v>
                      </c:pt>
                      <c:pt idx="7380">
                        <c:v>20.614999999999998</c:v>
                      </c:pt>
                      <c:pt idx="7381">
                        <c:v>20.614999999999998</c:v>
                      </c:pt>
                      <c:pt idx="7382">
                        <c:v>20.614999999999998</c:v>
                      </c:pt>
                      <c:pt idx="7383">
                        <c:v>20.614999999999998</c:v>
                      </c:pt>
                      <c:pt idx="7384">
                        <c:v>20.614999999999998</c:v>
                      </c:pt>
                      <c:pt idx="7385">
                        <c:v>20.614999999999998</c:v>
                      </c:pt>
                      <c:pt idx="7386">
                        <c:v>20.614999999999998</c:v>
                      </c:pt>
                      <c:pt idx="7387">
                        <c:v>20.614999999999998</c:v>
                      </c:pt>
                      <c:pt idx="7388">
                        <c:v>20.614999999999998</c:v>
                      </c:pt>
                      <c:pt idx="7389">
                        <c:v>20.614999999999998</c:v>
                      </c:pt>
                      <c:pt idx="7390">
                        <c:v>20.614999999999998</c:v>
                      </c:pt>
                      <c:pt idx="7391">
                        <c:v>20.614999999999998</c:v>
                      </c:pt>
                      <c:pt idx="7392">
                        <c:v>20.614999999999998</c:v>
                      </c:pt>
                      <c:pt idx="7393">
                        <c:v>20.614999999999998</c:v>
                      </c:pt>
                      <c:pt idx="7394">
                        <c:v>20.614999999999998</c:v>
                      </c:pt>
                      <c:pt idx="7395">
                        <c:v>20.614999999999998</c:v>
                      </c:pt>
                      <c:pt idx="7396">
                        <c:v>20.614999999999998</c:v>
                      </c:pt>
                      <c:pt idx="7397">
                        <c:v>20.614999999999998</c:v>
                      </c:pt>
                      <c:pt idx="7398">
                        <c:v>20.614999999999998</c:v>
                      </c:pt>
                      <c:pt idx="7399">
                        <c:v>20.614999999999998</c:v>
                      </c:pt>
                      <c:pt idx="7400">
                        <c:v>20.614999999999998</c:v>
                      </c:pt>
                      <c:pt idx="7401">
                        <c:v>20.614999999999998</c:v>
                      </c:pt>
                      <c:pt idx="7402">
                        <c:v>20.614999999999998</c:v>
                      </c:pt>
                      <c:pt idx="7403">
                        <c:v>20.614999999999998</c:v>
                      </c:pt>
                      <c:pt idx="7404">
                        <c:v>20.614999999999998</c:v>
                      </c:pt>
                      <c:pt idx="7405">
                        <c:v>20.614999999999998</c:v>
                      </c:pt>
                      <c:pt idx="7406">
                        <c:v>20.614999999999998</c:v>
                      </c:pt>
                      <c:pt idx="7407">
                        <c:v>20.614999999999998</c:v>
                      </c:pt>
                      <c:pt idx="7408">
                        <c:v>20.614999999999998</c:v>
                      </c:pt>
                      <c:pt idx="7409">
                        <c:v>20.614999999999998</c:v>
                      </c:pt>
                      <c:pt idx="7410">
                        <c:v>20.614999999999998</c:v>
                      </c:pt>
                      <c:pt idx="7411">
                        <c:v>20.614999999999998</c:v>
                      </c:pt>
                      <c:pt idx="7412">
                        <c:v>20.614999999999998</c:v>
                      </c:pt>
                      <c:pt idx="7413">
                        <c:v>20.614999999999998</c:v>
                      </c:pt>
                      <c:pt idx="7414">
                        <c:v>20.614999999999998</c:v>
                      </c:pt>
                      <c:pt idx="7415">
                        <c:v>20.614999999999998</c:v>
                      </c:pt>
                      <c:pt idx="7416">
                        <c:v>20.614999999999998</c:v>
                      </c:pt>
                      <c:pt idx="7417">
                        <c:v>20.614999999999998</c:v>
                      </c:pt>
                      <c:pt idx="7418">
                        <c:v>20.614999999999998</c:v>
                      </c:pt>
                      <c:pt idx="7419">
                        <c:v>20.614999999999998</c:v>
                      </c:pt>
                      <c:pt idx="7420">
                        <c:v>20.71</c:v>
                      </c:pt>
                      <c:pt idx="7421">
                        <c:v>20.71</c:v>
                      </c:pt>
                      <c:pt idx="7422">
                        <c:v>20.71</c:v>
                      </c:pt>
                      <c:pt idx="7423">
                        <c:v>20.71</c:v>
                      </c:pt>
                      <c:pt idx="7424">
                        <c:v>20.71</c:v>
                      </c:pt>
                      <c:pt idx="7425">
                        <c:v>20.71</c:v>
                      </c:pt>
                      <c:pt idx="7426">
                        <c:v>20.71</c:v>
                      </c:pt>
                      <c:pt idx="7427">
                        <c:v>20.71</c:v>
                      </c:pt>
                      <c:pt idx="7428">
                        <c:v>20.614999999999998</c:v>
                      </c:pt>
                      <c:pt idx="7429">
                        <c:v>20.614999999999998</c:v>
                      </c:pt>
                      <c:pt idx="7430">
                        <c:v>20.71</c:v>
                      </c:pt>
                      <c:pt idx="7431">
                        <c:v>20.71</c:v>
                      </c:pt>
                      <c:pt idx="7432">
                        <c:v>20.71</c:v>
                      </c:pt>
                      <c:pt idx="7433">
                        <c:v>20.71</c:v>
                      </c:pt>
                      <c:pt idx="7434">
                        <c:v>20.71</c:v>
                      </c:pt>
                      <c:pt idx="7435">
                        <c:v>20.71</c:v>
                      </c:pt>
                      <c:pt idx="7436">
                        <c:v>20.71</c:v>
                      </c:pt>
                      <c:pt idx="7437">
                        <c:v>20.71</c:v>
                      </c:pt>
                      <c:pt idx="7438">
                        <c:v>20.71</c:v>
                      </c:pt>
                      <c:pt idx="7439">
                        <c:v>20.71</c:v>
                      </c:pt>
                      <c:pt idx="7440">
                        <c:v>20.71</c:v>
                      </c:pt>
                      <c:pt idx="7441">
                        <c:v>20.71</c:v>
                      </c:pt>
                      <c:pt idx="7442">
                        <c:v>20.71</c:v>
                      </c:pt>
                      <c:pt idx="7443">
                        <c:v>20.71</c:v>
                      </c:pt>
                      <c:pt idx="7444">
                        <c:v>20.71</c:v>
                      </c:pt>
                      <c:pt idx="7445">
                        <c:v>20.71</c:v>
                      </c:pt>
                      <c:pt idx="7446">
                        <c:v>20.71</c:v>
                      </c:pt>
                      <c:pt idx="7447">
                        <c:v>20.71</c:v>
                      </c:pt>
                      <c:pt idx="7448">
                        <c:v>20.71</c:v>
                      </c:pt>
                      <c:pt idx="7449">
                        <c:v>20.71</c:v>
                      </c:pt>
                      <c:pt idx="7450">
                        <c:v>20.71</c:v>
                      </c:pt>
                      <c:pt idx="7451">
                        <c:v>20.71</c:v>
                      </c:pt>
                      <c:pt idx="7452">
                        <c:v>20.71</c:v>
                      </c:pt>
                      <c:pt idx="7453">
                        <c:v>20.71</c:v>
                      </c:pt>
                      <c:pt idx="7454">
                        <c:v>20.71</c:v>
                      </c:pt>
                      <c:pt idx="7455">
                        <c:v>20.71</c:v>
                      </c:pt>
                      <c:pt idx="7456">
                        <c:v>20.71</c:v>
                      </c:pt>
                      <c:pt idx="7457">
                        <c:v>20.71</c:v>
                      </c:pt>
                      <c:pt idx="7458">
                        <c:v>20.71</c:v>
                      </c:pt>
                      <c:pt idx="7459">
                        <c:v>20.71</c:v>
                      </c:pt>
                      <c:pt idx="7460">
                        <c:v>20.71</c:v>
                      </c:pt>
                      <c:pt idx="7461">
                        <c:v>20.71</c:v>
                      </c:pt>
                      <c:pt idx="7462">
                        <c:v>20.71</c:v>
                      </c:pt>
                      <c:pt idx="7463">
                        <c:v>20.71</c:v>
                      </c:pt>
                      <c:pt idx="7464">
                        <c:v>20.71</c:v>
                      </c:pt>
                      <c:pt idx="7465">
                        <c:v>20.71</c:v>
                      </c:pt>
                      <c:pt idx="7466">
                        <c:v>20.71</c:v>
                      </c:pt>
                      <c:pt idx="7467">
                        <c:v>20.71</c:v>
                      </c:pt>
                      <c:pt idx="7468">
                        <c:v>20.71</c:v>
                      </c:pt>
                      <c:pt idx="7469">
                        <c:v>20.71</c:v>
                      </c:pt>
                      <c:pt idx="7470">
                        <c:v>20.71</c:v>
                      </c:pt>
                      <c:pt idx="7471">
                        <c:v>20.71</c:v>
                      </c:pt>
                      <c:pt idx="7472">
                        <c:v>20.71</c:v>
                      </c:pt>
                      <c:pt idx="7473">
                        <c:v>20.71</c:v>
                      </c:pt>
                      <c:pt idx="7474">
                        <c:v>20.71</c:v>
                      </c:pt>
                      <c:pt idx="7475">
                        <c:v>20.71</c:v>
                      </c:pt>
                      <c:pt idx="7476">
                        <c:v>20.71</c:v>
                      </c:pt>
                      <c:pt idx="7477">
                        <c:v>20.71</c:v>
                      </c:pt>
                      <c:pt idx="7478">
                        <c:v>20.71</c:v>
                      </c:pt>
                      <c:pt idx="7479">
                        <c:v>20.71</c:v>
                      </c:pt>
                      <c:pt idx="7480">
                        <c:v>20.71</c:v>
                      </c:pt>
                      <c:pt idx="7481">
                        <c:v>20.71</c:v>
                      </c:pt>
                      <c:pt idx="7482">
                        <c:v>20.71</c:v>
                      </c:pt>
                      <c:pt idx="7483">
                        <c:v>20.71</c:v>
                      </c:pt>
                      <c:pt idx="7484">
                        <c:v>20.71</c:v>
                      </c:pt>
                      <c:pt idx="7485">
                        <c:v>20.71</c:v>
                      </c:pt>
                      <c:pt idx="7486">
                        <c:v>20.71</c:v>
                      </c:pt>
                      <c:pt idx="7487">
                        <c:v>20.71</c:v>
                      </c:pt>
                      <c:pt idx="7488">
                        <c:v>20.71</c:v>
                      </c:pt>
                      <c:pt idx="7489">
                        <c:v>20.71</c:v>
                      </c:pt>
                      <c:pt idx="7490">
                        <c:v>20.71</c:v>
                      </c:pt>
                      <c:pt idx="7491">
                        <c:v>20.71</c:v>
                      </c:pt>
                      <c:pt idx="7492">
                        <c:v>20.71</c:v>
                      </c:pt>
                      <c:pt idx="7493">
                        <c:v>20.71</c:v>
                      </c:pt>
                      <c:pt idx="7494">
                        <c:v>20.71</c:v>
                      </c:pt>
                      <c:pt idx="7495">
                        <c:v>20.71</c:v>
                      </c:pt>
                      <c:pt idx="7496">
                        <c:v>20.71</c:v>
                      </c:pt>
                      <c:pt idx="7497">
                        <c:v>20.71</c:v>
                      </c:pt>
                      <c:pt idx="7498">
                        <c:v>20.71</c:v>
                      </c:pt>
                      <c:pt idx="7499">
                        <c:v>20.71</c:v>
                      </c:pt>
                      <c:pt idx="7500">
                        <c:v>20.71</c:v>
                      </c:pt>
                      <c:pt idx="7501">
                        <c:v>20.71</c:v>
                      </c:pt>
                      <c:pt idx="7502">
                        <c:v>20.71</c:v>
                      </c:pt>
                      <c:pt idx="7503">
                        <c:v>20.71</c:v>
                      </c:pt>
                      <c:pt idx="7504">
                        <c:v>20.71</c:v>
                      </c:pt>
                      <c:pt idx="7505">
                        <c:v>20.71</c:v>
                      </c:pt>
                      <c:pt idx="7506">
                        <c:v>20.71</c:v>
                      </c:pt>
                      <c:pt idx="7507">
                        <c:v>20.71</c:v>
                      </c:pt>
                      <c:pt idx="7508">
                        <c:v>20.71</c:v>
                      </c:pt>
                      <c:pt idx="7509">
                        <c:v>20.71</c:v>
                      </c:pt>
                      <c:pt idx="7510">
                        <c:v>20.71</c:v>
                      </c:pt>
                      <c:pt idx="7511">
                        <c:v>20.71</c:v>
                      </c:pt>
                      <c:pt idx="7512">
                        <c:v>20.71</c:v>
                      </c:pt>
                      <c:pt idx="7513">
                        <c:v>20.71</c:v>
                      </c:pt>
                      <c:pt idx="7514">
                        <c:v>20.71</c:v>
                      </c:pt>
                      <c:pt idx="7515">
                        <c:v>20.71</c:v>
                      </c:pt>
                      <c:pt idx="7516">
                        <c:v>20.71</c:v>
                      </c:pt>
                      <c:pt idx="7517">
                        <c:v>20.71</c:v>
                      </c:pt>
                      <c:pt idx="7518">
                        <c:v>20.71</c:v>
                      </c:pt>
                      <c:pt idx="7519">
                        <c:v>20.71</c:v>
                      </c:pt>
                      <c:pt idx="7520">
                        <c:v>20.71</c:v>
                      </c:pt>
                      <c:pt idx="7521">
                        <c:v>20.71</c:v>
                      </c:pt>
                      <c:pt idx="7522">
                        <c:v>20.71</c:v>
                      </c:pt>
                      <c:pt idx="7523">
                        <c:v>20.71</c:v>
                      </c:pt>
                      <c:pt idx="7524">
                        <c:v>20.71</c:v>
                      </c:pt>
                      <c:pt idx="7525">
                        <c:v>20.71</c:v>
                      </c:pt>
                      <c:pt idx="7526">
                        <c:v>20.71</c:v>
                      </c:pt>
                      <c:pt idx="7527">
                        <c:v>20.71</c:v>
                      </c:pt>
                      <c:pt idx="7528">
                        <c:v>20.71</c:v>
                      </c:pt>
                      <c:pt idx="7529">
                        <c:v>20.71</c:v>
                      </c:pt>
                      <c:pt idx="7530">
                        <c:v>20.71</c:v>
                      </c:pt>
                      <c:pt idx="7531">
                        <c:v>20.71</c:v>
                      </c:pt>
                      <c:pt idx="7532">
                        <c:v>20.71</c:v>
                      </c:pt>
                      <c:pt idx="7533">
                        <c:v>20.71</c:v>
                      </c:pt>
                      <c:pt idx="7534">
                        <c:v>20.71</c:v>
                      </c:pt>
                      <c:pt idx="7535">
                        <c:v>20.71</c:v>
                      </c:pt>
                      <c:pt idx="7536">
                        <c:v>20.71</c:v>
                      </c:pt>
                      <c:pt idx="7537">
                        <c:v>20.71</c:v>
                      </c:pt>
                      <c:pt idx="7538">
                        <c:v>20.71</c:v>
                      </c:pt>
                      <c:pt idx="7539">
                        <c:v>20.71</c:v>
                      </c:pt>
                      <c:pt idx="7540">
                        <c:v>20.71</c:v>
                      </c:pt>
                      <c:pt idx="7541">
                        <c:v>20.71</c:v>
                      </c:pt>
                      <c:pt idx="7542">
                        <c:v>20.71</c:v>
                      </c:pt>
                      <c:pt idx="7543">
                        <c:v>20.71</c:v>
                      </c:pt>
                      <c:pt idx="7544">
                        <c:v>20.71</c:v>
                      </c:pt>
                      <c:pt idx="7545">
                        <c:v>20.71</c:v>
                      </c:pt>
                      <c:pt idx="7546">
                        <c:v>20.71</c:v>
                      </c:pt>
                      <c:pt idx="7547">
                        <c:v>20.71</c:v>
                      </c:pt>
                      <c:pt idx="7548">
                        <c:v>20.71</c:v>
                      </c:pt>
                      <c:pt idx="7549">
                        <c:v>20.71</c:v>
                      </c:pt>
                      <c:pt idx="7550">
                        <c:v>20.71</c:v>
                      </c:pt>
                      <c:pt idx="7551">
                        <c:v>20.71</c:v>
                      </c:pt>
                      <c:pt idx="7552">
                        <c:v>20.71</c:v>
                      </c:pt>
                      <c:pt idx="7553">
                        <c:v>20.71</c:v>
                      </c:pt>
                      <c:pt idx="7554">
                        <c:v>20.71</c:v>
                      </c:pt>
                      <c:pt idx="7555">
                        <c:v>20.71</c:v>
                      </c:pt>
                      <c:pt idx="7556">
                        <c:v>20.71</c:v>
                      </c:pt>
                      <c:pt idx="7557">
                        <c:v>20.71</c:v>
                      </c:pt>
                      <c:pt idx="7558">
                        <c:v>20.71</c:v>
                      </c:pt>
                      <c:pt idx="7559">
                        <c:v>20.71</c:v>
                      </c:pt>
                      <c:pt idx="7560">
                        <c:v>20.71</c:v>
                      </c:pt>
                      <c:pt idx="7561">
                        <c:v>20.71</c:v>
                      </c:pt>
                      <c:pt idx="7562">
                        <c:v>20.71</c:v>
                      </c:pt>
                      <c:pt idx="7563">
                        <c:v>20.71</c:v>
                      </c:pt>
                      <c:pt idx="7564">
                        <c:v>20.71</c:v>
                      </c:pt>
                      <c:pt idx="7565">
                        <c:v>20.71</c:v>
                      </c:pt>
                      <c:pt idx="7566">
                        <c:v>20.71</c:v>
                      </c:pt>
                      <c:pt idx="7567">
                        <c:v>20.71</c:v>
                      </c:pt>
                      <c:pt idx="7568">
                        <c:v>20.71</c:v>
                      </c:pt>
                      <c:pt idx="7569">
                        <c:v>20.71</c:v>
                      </c:pt>
                      <c:pt idx="7570">
                        <c:v>20.71</c:v>
                      </c:pt>
                      <c:pt idx="7571">
                        <c:v>20.71</c:v>
                      </c:pt>
                      <c:pt idx="7572">
                        <c:v>20.71</c:v>
                      </c:pt>
                      <c:pt idx="7573">
                        <c:v>20.71</c:v>
                      </c:pt>
                      <c:pt idx="7574">
                        <c:v>20.71</c:v>
                      </c:pt>
                      <c:pt idx="7575">
                        <c:v>20.71</c:v>
                      </c:pt>
                      <c:pt idx="7576">
                        <c:v>20.71</c:v>
                      </c:pt>
                      <c:pt idx="7577">
                        <c:v>20.71</c:v>
                      </c:pt>
                      <c:pt idx="7578">
                        <c:v>20.71</c:v>
                      </c:pt>
                      <c:pt idx="7579">
                        <c:v>20.71</c:v>
                      </c:pt>
                      <c:pt idx="7580">
                        <c:v>20.71</c:v>
                      </c:pt>
                      <c:pt idx="7581">
                        <c:v>20.71</c:v>
                      </c:pt>
                      <c:pt idx="7582">
                        <c:v>20.71</c:v>
                      </c:pt>
                      <c:pt idx="7583">
                        <c:v>20.71</c:v>
                      </c:pt>
                      <c:pt idx="7584">
                        <c:v>20.71</c:v>
                      </c:pt>
                      <c:pt idx="7585">
                        <c:v>20.71</c:v>
                      </c:pt>
                      <c:pt idx="7586">
                        <c:v>20.71</c:v>
                      </c:pt>
                      <c:pt idx="7587">
                        <c:v>20.71</c:v>
                      </c:pt>
                      <c:pt idx="7588">
                        <c:v>20.71</c:v>
                      </c:pt>
                      <c:pt idx="7589">
                        <c:v>20.71</c:v>
                      </c:pt>
                      <c:pt idx="7590">
                        <c:v>20.71</c:v>
                      </c:pt>
                      <c:pt idx="7591">
                        <c:v>20.71</c:v>
                      </c:pt>
                      <c:pt idx="7592">
                        <c:v>20.71</c:v>
                      </c:pt>
                      <c:pt idx="7593">
                        <c:v>20.71</c:v>
                      </c:pt>
                      <c:pt idx="7594">
                        <c:v>20.71</c:v>
                      </c:pt>
                      <c:pt idx="7595">
                        <c:v>20.71</c:v>
                      </c:pt>
                      <c:pt idx="7596">
                        <c:v>20.71</c:v>
                      </c:pt>
                      <c:pt idx="7597">
                        <c:v>20.71</c:v>
                      </c:pt>
                      <c:pt idx="7598">
                        <c:v>20.71</c:v>
                      </c:pt>
                      <c:pt idx="7599">
                        <c:v>20.71</c:v>
                      </c:pt>
                      <c:pt idx="7600">
                        <c:v>20.71</c:v>
                      </c:pt>
                      <c:pt idx="7601">
                        <c:v>20.71</c:v>
                      </c:pt>
                      <c:pt idx="7602">
                        <c:v>20.71</c:v>
                      </c:pt>
                      <c:pt idx="7603">
                        <c:v>20.71</c:v>
                      </c:pt>
                      <c:pt idx="7604">
                        <c:v>20.71</c:v>
                      </c:pt>
                      <c:pt idx="7605">
                        <c:v>20.71</c:v>
                      </c:pt>
                      <c:pt idx="7606">
                        <c:v>20.71</c:v>
                      </c:pt>
                      <c:pt idx="7607">
                        <c:v>20.71</c:v>
                      </c:pt>
                      <c:pt idx="7608">
                        <c:v>20.71</c:v>
                      </c:pt>
                      <c:pt idx="7609">
                        <c:v>20.71</c:v>
                      </c:pt>
                      <c:pt idx="7610">
                        <c:v>20.71</c:v>
                      </c:pt>
                      <c:pt idx="7611">
                        <c:v>20.71</c:v>
                      </c:pt>
                      <c:pt idx="7612">
                        <c:v>20.71</c:v>
                      </c:pt>
                      <c:pt idx="7613">
                        <c:v>20.71</c:v>
                      </c:pt>
                      <c:pt idx="7614">
                        <c:v>20.71</c:v>
                      </c:pt>
                      <c:pt idx="7615">
                        <c:v>20.71</c:v>
                      </c:pt>
                      <c:pt idx="7616">
                        <c:v>20.71</c:v>
                      </c:pt>
                      <c:pt idx="7617">
                        <c:v>20.71</c:v>
                      </c:pt>
                      <c:pt idx="7618">
                        <c:v>20.71</c:v>
                      </c:pt>
                      <c:pt idx="7619">
                        <c:v>20.71</c:v>
                      </c:pt>
                      <c:pt idx="7620">
                        <c:v>20.71</c:v>
                      </c:pt>
                      <c:pt idx="7621">
                        <c:v>20.71</c:v>
                      </c:pt>
                      <c:pt idx="7622">
                        <c:v>20.71</c:v>
                      </c:pt>
                      <c:pt idx="7623">
                        <c:v>20.71</c:v>
                      </c:pt>
                      <c:pt idx="7624">
                        <c:v>20.71</c:v>
                      </c:pt>
                      <c:pt idx="7625">
                        <c:v>20.71</c:v>
                      </c:pt>
                      <c:pt idx="7626">
                        <c:v>20.71</c:v>
                      </c:pt>
                      <c:pt idx="7627">
                        <c:v>20.71</c:v>
                      </c:pt>
                      <c:pt idx="7628">
                        <c:v>20.71</c:v>
                      </c:pt>
                      <c:pt idx="7629">
                        <c:v>20.71</c:v>
                      </c:pt>
                      <c:pt idx="7630">
                        <c:v>20.71</c:v>
                      </c:pt>
                      <c:pt idx="7631">
                        <c:v>20.71</c:v>
                      </c:pt>
                      <c:pt idx="7632">
                        <c:v>20.71</c:v>
                      </c:pt>
                      <c:pt idx="7633">
                        <c:v>20.71</c:v>
                      </c:pt>
                      <c:pt idx="7634">
                        <c:v>20.71</c:v>
                      </c:pt>
                      <c:pt idx="7635">
                        <c:v>20.71</c:v>
                      </c:pt>
                      <c:pt idx="7636">
                        <c:v>20.71</c:v>
                      </c:pt>
                      <c:pt idx="7637">
                        <c:v>20.71</c:v>
                      </c:pt>
                      <c:pt idx="7638">
                        <c:v>20.71</c:v>
                      </c:pt>
                      <c:pt idx="7639">
                        <c:v>20.71</c:v>
                      </c:pt>
                      <c:pt idx="7640">
                        <c:v>20.71</c:v>
                      </c:pt>
                      <c:pt idx="7641">
                        <c:v>20.71</c:v>
                      </c:pt>
                      <c:pt idx="7642">
                        <c:v>20.71</c:v>
                      </c:pt>
                      <c:pt idx="7643">
                        <c:v>20.71</c:v>
                      </c:pt>
                      <c:pt idx="7644">
                        <c:v>20.71</c:v>
                      </c:pt>
                      <c:pt idx="7645">
                        <c:v>20.71</c:v>
                      </c:pt>
                      <c:pt idx="7646">
                        <c:v>20.71</c:v>
                      </c:pt>
                      <c:pt idx="7647">
                        <c:v>20.71</c:v>
                      </c:pt>
                      <c:pt idx="7648">
                        <c:v>20.71</c:v>
                      </c:pt>
                      <c:pt idx="7649">
                        <c:v>20.71</c:v>
                      </c:pt>
                      <c:pt idx="7650">
                        <c:v>20.71</c:v>
                      </c:pt>
                      <c:pt idx="7651">
                        <c:v>20.71</c:v>
                      </c:pt>
                      <c:pt idx="7652">
                        <c:v>20.71</c:v>
                      </c:pt>
                      <c:pt idx="7653">
                        <c:v>20.71</c:v>
                      </c:pt>
                      <c:pt idx="7654">
                        <c:v>20.71</c:v>
                      </c:pt>
                      <c:pt idx="7655">
                        <c:v>20.71</c:v>
                      </c:pt>
                      <c:pt idx="7656">
                        <c:v>20.71</c:v>
                      </c:pt>
                      <c:pt idx="7657">
                        <c:v>20.71</c:v>
                      </c:pt>
                      <c:pt idx="7658">
                        <c:v>20.71</c:v>
                      </c:pt>
                      <c:pt idx="7659">
                        <c:v>20.71</c:v>
                      </c:pt>
                      <c:pt idx="7660">
                        <c:v>20.71</c:v>
                      </c:pt>
                      <c:pt idx="7661">
                        <c:v>20.71</c:v>
                      </c:pt>
                      <c:pt idx="7662">
                        <c:v>20.71</c:v>
                      </c:pt>
                      <c:pt idx="7663">
                        <c:v>20.71</c:v>
                      </c:pt>
                      <c:pt idx="7664">
                        <c:v>20.71</c:v>
                      </c:pt>
                      <c:pt idx="7665">
                        <c:v>20.71</c:v>
                      </c:pt>
                      <c:pt idx="7666">
                        <c:v>20.71</c:v>
                      </c:pt>
                      <c:pt idx="7667">
                        <c:v>20.71</c:v>
                      </c:pt>
                      <c:pt idx="7668">
                        <c:v>20.71</c:v>
                      </c:pt>
                      <c:pt idx="7669">
                        <c:v>20.71</c:v>
                      </c:pt>
                      <c:pt idx="7670">
                        <c:v>20.71</c:v>
                      </c:pt>
                      <c:pt idx="7671">
                        <c:v>20.71</c:v>
                      </c:pt>
                      <c:pt idx="7672">
                        <c:v>20.71</c:v>
                      </c:pt>
                      <c:pt idx="7673">
                        <c:v>20.71</c:v>
                      </c:pt>
                      <c:pt idx="7674">
                        <c:v>20.71</c:v>
                      </c:pt>
                      <c:pt idx="7675">
                        <c:v>20.71</c:v>
                      </c:pt>
                      <c:pt idx="7676">
                        <c:v>20.71</c:v>
                      </c:pt>
                      <c:pt idx="7677">
                        <c:v>20.71</c:v>
                      </c:pt>
                      <c:pt idx="7678">
                        <c:v>20.71</c:v>
                      </c:pt>
                      <c:pt idx="7679">
                        <c:v>20.71</c:v>
                      </c:pt>
                      <c:pt idx="7680">
                        <c:v>20.71</c:v>
                      </c:pt>
                      <c:pt idx="7681">
                        <c:v>20.614999999999998</c:v>
                      </c:pt>
                      <c:pt idx="7682">
                        <c:v>20.71</c:v>
                      </c:pt>
                      <c:pt idx="7683">
                        <c:v>20.71</c:v>
                      </c:pt>
                      <c:pt idx="7684">
                        <c:v>20.614999999999998</c:v>
                      </c:pt>
                      <c:pt idx="7685">
                        <c:v>20.614999999999998</c:v>
                      </c:pt>
                      <c:pt idx="7686">
                        <c:v>20.614999999999998</c:v>
                      </c:pt>
                      <c:pt idx="7687">
                        <c:v>20.614999999999998</c:v>
                      </c:pt>
                      <c:pt idx="7688">
                        <c:v>20.614999999999998</c:v>
                      </c:pt>
                      <c:pt idx="7689">
                        <c:v>20.614999999999998</c:v>
                      </c:pt>
                      <c:pt idx="7690">
                        <c:v>20.614999999999998</c:v>
                      </c:pt>
                      <c:pt idx="7691">
                        <c:v>20.614999999999998</c:v>
                      </c:pt>
                      <c:pt idx="7692">
                        <c:v>20.614999999999998</c:v>
                      </c:pt>
                      <c:pt idx="7693">
                        <c:v>20.614999999999998</c:v>
                      </c:pt>
                      <c:pt idx="7694">
                        <c:v>20.614999999999998</c:v>
                      </c:pt>
                      <c:pt idx="7695">
                        <c:v>20.614999999999998</c:v>
                      </c:pt>
                      <c:pt idx="7696">
                        <c:v>20.614999999999998</c:v>
                      </c:pt>
                      <c:pt idx="7697">
                        <c:v>20.614999999999998</c:v>
                      </c:pt>
                      <c:pt idx="7698">
                        <c:v>20.614999999999998</c:v>
                      </c:pt>
                      <c:pt idx="7699">
                        <c:v>20.614999999999998</c:v>
                      </c:pt>
                      <c:pt idx="7700">
                        <c:v>20.614999999999998</c:v>
                      </c:pt>
                      <c:pt idx="7701">
                        <c:v>20.614999999999998</c:v>
                      </c:pt>
                      <c:pt idx="7702">
                        <c:v>20.614999999999998</c:v>
                      </c:pt>
                      <c:pt idx="7703">
                        <c:v>20.614999999999998</c:v>
                      </c:pt>
                      <c:pt idx="7704">
                        <c:v>20.614999999999998</c:v>
                      </c:pt>
                      <c:pt idx="7705">
                        <c:v>20.614999999999998</c:v>
                      </c:pt>
                      <c:pt idx="7706">
                        <c:v>20.614999999999998</c:v>
                      </c:pt>
                      <c:pt idx="7707">
                        <c:v>20.614999999999998</c:v>
                      </c:pt>
                      <c:pt idx="7708">
                        <c:v>20.614999999999998</c:v>
                      </c:pt>
                      <c:pt idx="7709">
                        <c:v>20.614999999999998</c:v>
                      </c:pt>
                      <c:pt idx="7710">
                        <c:v>20.614999999999998</c:v>
                      </c:pt>
                      <c:pt idx="7711">
                        <c:v>20.614999999999998</c:v>
                      </c:pt>
                      <c:pt idx="7712">
                        <c:v>20.614999999999998</c:v>
                      </c:pt>
                      <c:pt idx="7713">
                        <c:v>20.614999999999998</c:v>
                      </c:pt>
                      <c:pt idx="7714">
                        <c:v>20.614999999999998</c:v>
                      </c:pt>
                      <c:pt idx="7715">
                        <c:v>20.614999999999998</c:v>
                      </c:pt>
                      <c:pt idx="7716">
                        <c:v>20.614999999999998</c:v>
                      </c:pt>
                      <c:pt idx="7717">
                        <c:v>20.614999999999998</c:v>
                      </c:pt>
                      <c:pt idx="7718">
                        <c:v>20.614999999999998</c:v>
                      </c:pt>
                      <c:pt idx="7719">
                        <c:v>20.614999999999998</c:v>
                      </c:pt>
                      <c:pt idx="7720">
                        <c:v>20.614999999999998</c:v>
                      </c:pt>
                      <c:pt idx="7721">
                        <c:v>20.614999999999998</c:v>
                      </c:pt>
                      <c:pt idx="7722">
                        <c:v>20.614999999999998</c:v>
                      </c:pt>
                      <c:pt idx="7723">
                        <c:v>20.614999999999998</c:v>
                      </c:pt>
                      <c:pt idx="7724">
                        <c:v>20.614999999999998</c:v>
                      </c:pt>
                      <c:pt idx="7725">
                        <c:v>20.614999999999998</c:v>
                      </c:pt>
                      <c:pt idx="7726">
                        <c:v>20.614999999999998</c:v>
                      </c:pt>
                      <c:pt idx="7727">
                        <c:v>20.614999999999998</c:v>
                      </c:pt>
                      <c:pt idx="7728">
                        <c:v>20.614999999999998</c:v>
                      </c:pt>
                      <c:pt idx="7729">
                        <c:v>20.614999999999998</c:v>
                      </c:pt>
                      <c:pt idx="7730">
                        <c:v>20.614999999999998</c:v>
                      </c:pt>
                      <c:pt idx="7731">
                        <c:v>20.614999999999998</c:v>
                      </c:pt>
                      <c:pt idx="7732">
                        <c:v>20.614999999999998</c:v>
                      </c:pt>
                      <c:pt idx="7733">
                        <c:v>20.614999999999998</c:v>
                      </c:pt>
                      <c:pt idx="7734">
                        <c:v>20.614999999999998</c:v>
                      </c:pt>
                      <c:pt idx="7735">
                        <c:v>20.614999999999998</c:v>
                      </c:pt>
                      <c:pt idx="7736">
                        <c:v>20.614999999999998</c:v>
                      </c:pt>
                      <c:pt idx="7737">
                        <c:v>20.614999999999998</c:v>
                      </c:pt>
                      <c:pt idx="7738">
                        <c:v>20.614999999999998</c:v>
                      </c:pt>
                      <c:pt idx="7739">
                        <c:v>20.614999999999998</c:v>
                      </c:pt>
                      <c:pt idx="7740">
                        <c:v>20.614999999999998</c:v>
                      </c:pt>
                      <c:pt idx="7741">
                        <c:v>20.614999999999998</c:v>
                      </c:pt>
                      <c:pt idx="7742">
                        <c:v>20.614999999999998</c:v>
                      </c:pt>
                      <c:pt idx="7743">
                        <c:v>20.614999999999998</c:v>
                      </c:pt>
                      <c:pt idx="7744">
                        <c:v>20.614999999999998</c:v>
                      </c:pt>
                      <c:pt idx="7745">
                        <c:v>20.614999999999998</c:v>
                      </c:pt>
                      <c:pt idx="7746">
                        <c:v>20.614999999999998</c:v>
                      </c:pt>
                      <c:pt idx="7747">
                        <c:v>20.614999999999998</c:v>
                      </c:pt>
                      <c:pt idx="7748">
                        <c:v>20.614999999999998</c:v>
                      </c:pt>
                      <c:pt idx="7749">
                        <c:v>20.614999999999998</c:v>
                      </c:pt>
                      <c:pt idx="7750">
                        <c:v>20.614999999999998</c:v>
                      </c:pt>
                      <c:pt idx="7751">
                        <c:v>20.614999999999998</c:v>
                      </c:pt>
                      <c:pt idx="7752">
                        <c:v>20.614999999999998</c:v>
                      </c:pt>
                      <c:pt idx="7753">
                        <c:v>20.614999999999998</c:v>
                      </c:pt>
                      <c:pt idx="7754">
                        <c:v>20.614999999999998</c:v>
                      </c:pt>
                      <c:pt idx="7755">
                        <c:v>20.614999999999998</c:v>
                      </c:pt>
                      <c:pt idx="7756">
                        <c:v>20.614999999999998</c:v>
                      </c:pt>
                      <c:pt idx="7757">
                        <c:v>20.614999999999998</c:v>
                      </c:pt>
                      <c:pt idx="7758">
                        <c:v>20.614999999999998</c:v>
                      </c:pt>
                      <c:pt idx="7759">
                        <c:v>20.614999999999998</c:v>
                      </c:pt>
                      <c:pt idx="7760">
                        <c:v>20.614999999999998</c:v>
                      </c:pt>
                      <c:pt idx="7761">
                        <c:v>20.614999999999998</c:v>
                      </c:pt>
                      <c:pt idx="7762">
                        <c:v>20.614999999999998</c:v>
                      </c:pt>
                      <c:pt idx="7763">
                        <c:v>20.614999999999998</c:v>
                      </c:pt>
                      <c:pt idx="7764">
                        <c:v>20.614999999999998</c:v>
                      </c:pt>
                      <c:pt idx="7765">
                        <c:v>20.614999999999998</c:v>
                      </c:pt>
                      <c:pt idx="7766">
                        <c:v>20.614999999999998</c:v>
                      </c:pt>
                      <c:pt idx="7767">
                        <c:v>20.614999999999998</c:v>
                      </c:pt>
                      <c:pt idx="7768">
                        <c:v>20.614999999999998</c:v>
                      </c:pt>
                      <c:pt idx="7769">
                        <c:v>20.614999999999998</c:v>
                      </c:pt>
                      <c:pt idx="7770">
                        <c:v>20.614999999999998</c:v>
                      </c:pt>
                      <c:pt idx="7771">
                        <c:v>20.518999999999998</c:v>
                      </c:pt>
                      <c:pt idx="7772">
                        <c:v>20.518999999999998</c:v>
                      </c:pt>
                      <c:pt idx="7773">
                        <c:v>20.614999999999998</c:v>
                      </c:pt>
                      <c:pt idx="7774">
                        <c:v>20.614999999999998</c:v>
                      </c:pt>
                      <c:pt idx="7775">
                        <c:v>20.518999999999998</c:v>
                      </c:pt>
                      <c:pt idx="7776">
                        <c:v>20.518999999999998</c:v>
                      </c:pt>
                      <c:pt idx="7777">
                        <c:v>20.518999999999998</c:v>
                      </c:pt>
                      <c:pt idx="7778">
                        <c:v>20.518999999999998</c:v>
                      </c:pt>
                      <c:pt idx="7779">
                        <c:v>20.614999999999998</c:v>
                      </c:pt>
                      <c:pt idx="7780">
                        <c:v>20.518999999999998</c:v>
                      </c:pt>
                      <c:pt idx="7781">
                        <c:v>20.518999999999998</c:v>
                      </c:pt>
                      <c:pt idx="7782">
                        <c:v>20.518999999999998</c:v>
                      </c:pt>
                      <c:pt idx="7783">
                        <c:v>20.518999999999998</c:v>
                      </c:pt>
                      <c:pt idx="7784">
                        <c:v>20.518999999999998</c:v>
                      </c:pt>
                      <c:pt idx="7785">
                        <c:v>20.518999999999998</c:v>
                      </c:pt>
                      <c:pt idx="7786">
                        <c:v>20.518999999999998</c:v>
                      </c:pt>
                      <c:pt idx="7787">
                        <c:v>20.518999999999998</c:v>
                      </c:pt>
                      <c:pt idx="7788">
                        <c:v>20.518999999999998</c:v>
                      </c:pt>
                      <c:pt idx="7789">
                        <c:v>20.518999999999998</c:v>
                      </c:pt>
                      <c:pt idx="7790">
                        <c:v>20.518999999999998</c:v>
                      </c:pt>
                      <c:pt idx="7791">
                        <c:v>20.518999999999998</c:v>
                      </c:pt>
                      <c:pt idx="7792">
                        <c:v>20.518999999999998</c:v>
                      </c:pt>
                      <c:pt idx="7793">
                        <c:v>20.518999999999998</c:v>
                      </c:pt>
                      <c:pt idx="7794">
                        <c:v>20.518999999999998</c:v>
                      </c:pt>
                      <c:pt idx="7795">
                        <c:v>20.518999999999998</c:v>
                      </c:pt>
                      <c:pt idx="7796">
                        <c:v>20.518999999999998</c:v>
                      </c:pt>
                      <c:pt idx="7797">
                        <c:v>20.518999999999998</c:v>
                      </c:pt>
                      <c:pt idx="7798">
                        <c:v>20.518999999999998</c:v>
                      </c:pt>
                      <c:pt idx="7799">
                        <c:v>20.518999999999998</c:v>
                      </c:pt>
                      <c:pt idx="7800">
                        <c:v>20.518999999999998</c:v>
                      </c:pt>
                      <c:pt idx="7801">
                        <c:v>20.518999999999998</c:v>
                      </c:pt>
                      <c:pt idx="7802">
                        <c:v>20.518999999999998</c:v>
                      </c:pt>
                      <c:pt idx="7803">
                        <c:v>20.518999999999998</c:v>
                      </c:pt>
                      <c:pt idx="7804">
                        <c:v>20.518999999999998</c:v>
                      </c:pt>
                      <c:pt idx="7805">
                        <c:v>20.518999999999998</c:v>
                      </c:pt>
                      <c:pt idx="7806">
                        <c:v>20.518999999999998</c:v>
                      </c:pt>
                      <c:pt idx="7807">
                        <c:v>20.518999999999998</c:v>
                      </c:pt>
                      <c:pt idx="7808">
                        <c:v>20.518999999999998</c:v>
                      </c:pt>
                      <c:pt idx="7809">
                        <c:v>20.518999999999998</c:v>
                      </c:pt>
                      <c:pt idx="7810">
                        <c:v>20.518999999999998</c:v>
                      </c:pt>
                      <c:pt idx="7811">
                        <c:v>20.518999999999998</c:v>
                      </c:pt>
                      <c:pt idx="7812">
                        <c:v>20.518999999999998</c:v>
                      </c:pt>
                      <c:pt idx="7813">
                        <c:v>20.518999999999998</c:v>
                      </c:pt>
                      <c:pt idx="7814">
                        <c:v>20.518999999999998</c:v>
                      </c:pt>
                      <c:pt idx="7815">
                        <c:v>20.518999999999998</c:v>
                      </c:pt>
                      <c:pt idx="7816">
                        <c:v>20.518999999999998</c:v>
                      </c:pt>
                      <c:pt idx="7817">
                        <c:v>20.518999999999998</c:v>
                      </c:pt>
                      <c:pt idx="7818">
                        <c:v>20.518999999999998</c:v>
                      </c:pt>
                      <c:pt idx="7819">
                        <c:v>20.518999999999998</c:v>
                      </c:pt>
                      <c:pt idx="7820">
                        <c:v>20.518999999999998</c:v>
                      </c:pt>
                      <c:pt idx="7821">
                        <c:v>20.518999999999998</c:v>
                      </c:pt>
                      <c:pt idx="7822">
                        <c:v>20.518999999999998</c:v>
                      </c:pt>
                      <c:pt idx="7823">
                        <c:v>20.518999999999998</c:v>
                      </c:pt>
                      <c:pt idx="7824">
                        <c:v>20.518999999999998</c:v>
                      </c:pt>
                      <c:pt idx="7825">
                        <c:v>20.518999999999998</c:v>
                      </c:pt>
                      <c:pt idx="7826">
                        <c:v>20.518999999999998</c:v>
                      </c:pt>
                      <c:pt idx="7827">
                        <c:v>20.518999999999998</c:v>
                      </c:pt>
                      <c:pt idx="7828">
                        <c:v>20.518999999999998</c:v>
                      </c:pt>
                      <c:pt idx="7829">
                        <c:v>20.518999999999998</c:v>
                      </c:pt>
                      <c:pt idx="7830">
                        <c:v>20.518999999999998</c:v>
                      </c:pt>
                      <c:pt idx="7831">
                        <c:v>20.518999999999998</c:v>
                      </c:pt>
                      <c:pt idx="7832">
                        <c:v>20.518999999999998</c:v>
                      </c:pt>
                      <c:pt idx="7833">
                        <c:v>20.518999999999998</c:v>
                      </c:pt>
                      <c:pt idx="7834">
                        <c:v>20.518999999999998</c:v>
                      </c:pt>
                      <c:pt idx="7835">
                        <c:v>20.518999999999998</c:v>
                      </c:pt>
                      <c:pt idx="7836">
                        <c:v>20.423999999999999</c:v>
                      </c:pt>
                      <c:pt idx="7837">
                        <c:v>20.423999999999999</c:v>
                      </c:pt>
                      <c:pt idx="7838">
                        <c:v>20.423999999999999</c:v>
                      </c:pt>
                      <c:pt idx="7839">
                        <c:v>20.518999999999998</c:v>
                      </c:pt>
                      <c:pt idx="7840">
                        <c:v>20.423999999999999</c:v>
                      </c:pt>
                      <c:pt idx="7841">
                        <c:v>20.423999999999999</c:v>
                      </c:pt>
                      <c:pt idx="7842">
                        <c:v>20.423999999999999</c:v>
                      </c:pt>
                      <c:pt idx="7843">
                        <c:v>20.423999999999999</c:v>
                      </c:pt>
                      <c:pt idx="7844">
                        <c:v>20.423999999999999</c:v>
                      </c:pt>
                      <c:pt idx="7845">
                        <c:v>20.423999999999999</c:v>
                      </c:pt>
                      <c:pt idx="7846">
                        <c:v>20.423999999999999</c:v>
                      </c:pt>
                      <c:pt idx="7847">
                        <c:v>20.423999999999999</c:v>
                      </c:pt>
                      <c:pt idx="7848">
                        <c:v>20.423999999999999</c:v>
                      </c:pt>
                      <c:pt idx="7849">
                        <c:v>20.423999999999999</c:v>
                      </c:pt>
                      <c:pt idx="7850">
                        <c:v>20.423999999999999</c:v>
                      </c:pt>
                      <c:pt idx="7851">
                        <c:v>20.423999999999999</c:v>
                      </c:pt>
                      <c:pt idx="7852">
                        <c:v>20.423999999999999</c:v>
                      </c:pt>
                      <c:pt idx="7853">
                        <c:v>20.423999999999999</c:v>
                      </c:pt>
                      <c:pt idx="7854">
                        <c:v>20.423999999999999</c:v>
                      </c:pt>
                      <c:pt idx="7855">
                        <c:v>20.423999999999999</c:v>
                      </c:pt>
                      <c:pt idx="7856">
                        <c:v>20.423999999999999</c:v>
                      </c:pt>
                      <c:pt idx="7857">
                        <c:v>20.423999999999999</c:v>
                      </c:pt>
                      <c:pt idx="7858">
                        <c:v>20.423999999999999</c:v>
                      </c:pt>
                      <c:pt idx="7859">
                        <c:v>20.423999999999999</c:v>
                      </c:pt>
                      <c:pt idx="7860">
                        <c:v>20.423999999999999</c:v>
                      </c:pt>
                      <c:pt idx="7861">
                        <c:v>20.423999999999999</c:v>
                      </c:pt>
                      <c:pt idx="7862">
                        <c:v>20.423999999999999</c:v>
                      </c:pt>
                      <c:pt idx="7863">
                        <c:v>20.423999999999999</c:v>
                      </c:pt>
                      <c:pt idx="7864">
                        <c:v>20.423999999999999</c:v>
                      </c:pt>
                      <c:pt idx="7865">
                        <c:v>20.423999999999999</c:v>
                      </c:pt>
                      <c:pt idx="7866">
                        <c:v>20.423999999999999</c:v>
                      </c:pt>
                      <c:pt idx="7867">
                        <c:v>20.423999999999999</c:v>
                      </c:pt>
                      <c:pt idx="7868">
                        <c:v>20.423999999999999</c:v>
                      </c:pt>
                      <c:pt idx="7869">
                        <c:v>20.423999999999999</c:v>
                      </c:pt>
                      <c:pt idx="7870">
                        <c:v>20.423999999999999</c:v>
                      </c:pt>
                      <c:pt idx="7871">
                        <c:v>20.423999999999999</c:v>
                      </c:pt>
                      <c:pt idx="7872">
                        <c:v>20.423999999999999</c:v>
                      </c:pt>
                      <c:pt idx="7873">
                        <c:v>20.423999999999999</c:v>
                      </c:pt>
                      <c:pt idx="7874">
                        <c:v>20.423999999999999</c:v>
                      </c:pt>
                      <c:pt idx="7875">
                        <c:v>20.423999999999999</c:v>
                      </c:pt>
                      <c:pt idx="7876">
                        <c:v>20.423999999999999</c:v>
                      </c:pt>
                      <c:pt idx="7877">
                        <c:v>20.423999999999999</c:v>
                      </c:pt>
                      <c:pt idx="7878">
                        <c:v>20.423999999999999</c:v>
                      </c:pt>
                      <c:pt idx="7879">
                        <c:v>20.423999999999999</c:v>
                      </c:pt>
                      <c:pt idx="7880">
                        <c:v>20.423999999999999</c:v>
                      </c:pt>
                      <c:pt idx="7881">
                        <c:v>20.423999999999999</c:v>
                      </c:pt>
                      <c:pt idx="7882">
                        <c:v>20.423999999999999</c:v>
                      </c:pt>
                      <c:pt idx="7883">
                        <c:v>20.423999999999999</c:v>
                      </c:pt>
                      <c:pt idx="7884">
                        <c:v>20.423999999999999</c:v>
                      </c:pt>
                      <c:pt idx="7885">
                        <c:v>20.423999999999999</c:v>
                      </c:pt>
                      <c:pt idx="7886">
                        <c:v>20.423999999999999</c:v>
                      </c:pt>
                      <c:pt idx="7887">
                        <c:v>20.423999999999999</c:v>
                      </c:pt>
                      <c:pt idx="7888">
                        <c:v>20.423999999999999</c:v>
                      </c:pt>
                      <c:pt idx="7889">
                        <c:v>20.423999999999999</c:v>
                      </c:pt>
                      <c:pt idx="7890">
                        <c:v>20.423999999999999</c:v>
                      </c:pt>
                      <c:pt idx="7891">
                        <c:v>20.423999999999999</c:v>
                      </c:pt>
                      <c:pt idx="7892">
                        <c:v>20.423999999999999</c:v>
                      </c:pt>
                      <c:pt idx="7893">
                        <c:v>20.423999999999999</c:v>
                      </c:pt>
                      <c:pt idx="7894">
                        <c:v>20.423999999999999</c:v>
                      </c:pt>
                      <c:pt idx="7895">
                        <c:v>20.423999999999999</c:v>
                      </c:pt>
                      <c:pt idx="7896">
                        <c:v>20.423999999999999</c:v>
                      </c:pt>
                      <c:pt idx="7897">
                        <c:v>20.423999999999999</c:v>
                      </c:pt>
                      <c:pt idx="7898">
                        <c:v>20.423999999999999</c:v>
                      </c:pt>
                      <c:pt idx="7899">
                        <c:v>20.423999999999999</c:v>
                      </c:pt>
                      <c:pt idx="7900">
                        <c:v>20.423999999999999</c:v>
                      </c:pt>
                      <c:pt idx="7901">
                        <c:v>20.423999999999999</c:v>
                      </c:pt>
                      <c:pt idx="7902">
                        <c:v>20.423999999999999</c:v>
                      </c:pt>
                      <c:pt idx="7903">
                        <c:v>20.423999999999999</c:v>
                      </c:pt>
                      <c:pt idx="7904">
                        <c:v>20.423999999999999</c:v>
                      </c:pt>
                      <c:pt idx="7905">
                        <c:v>20.423999999999999</c:v>
                      </c:pt>
                      <c:pt idx="7906">
                        <c:v>20.329000000000001</c:v>
                      </c:pt>
                      <c:pt idx="7907">
                        <c:v>20.423999999999999</c:v>
                      </c:pt>
                      <c:pt idx="7908">
                        <c:v>20.423999999999999</c:v>
                      </c:pt>
                      <c:pt idx="7909">
                        <c:v>20.329000000000001</c:v>
                      </c:pt>
                      <c:pt idx="7910">
                        <c:v>20.423999999999999</c:v>
                      </c:pt>
                      <c:pt idx="7911">
                        <c:v>20.423999999999999</c:v>
                      </c:pt>
                      <c:pt idx="7912">
                        <c:v>20.423999999999999</c:v>
                      </c:pt>
                      <c:pt idx="7913">
                        <c:v>20.423999999999999</c:v>
                      </c:pt>
                      <c:pt idx="7914">
                        <c:v>20.423999999999999</c:v>
                      </c:pt>
                      <c:pt idx="7915">
                        <c:v>20.329000000000001</c:v>
                      </c:pt>
                      <c:pt idx="7916">
                        <c:v>20.329000000000001</c:v>
                      </c:pt>
                      <c:pt idx="7917">
                        <c:v>20.423999999999999</c:v>
                      </c:pt>
                      <c:pt idx="7918">
                        <c:v>20.329000000000001</c:v>
                      </c:pt>
                      <c:pt idx="7919">
                        <c:v>20.423999999999999</c:v>
                      </c:pt>
                      <c:pt idx="7920">
                        <c:v>20.423999999999999</c:v>
                      </c:pt>
                      <c:pt idx="7921">
                        <c:v>20.423999999999999</c:v>
                      </c:pt>
                      <c:pt idx="7922">
                        <c:v>20.329000000000001</c:v>
                      </c:pt>
                      <c:pt idx="7923">
                        <c:v>20.329000000000001</c:v>
                      </c:pt>
                      <c:pt idx="7924">
                        <c:v>20.329000000000001</c:v>
                      </c:pt>
                      <c:pt idx="7925">
                        <c:v>20.329000000000001</c:v>
                      </c:pt>
                      <c:pt idx="7926">
                        <c:v>20.329000000000001</c:v>
                      </c:pt>
                      <c:pt idx="7927">
                        <c:v>20.329000000000001</c:v>
                      </c:pt>
                      <c:pt idx="7928">
                        <c:v>20.329000000000001</c:v>
                      </c:pt>
                      <c:pt idx="7929">
                        <c:v>20.423999999999999</c:v>
                      </c:pt>
                      <c:pt idx="7930">
                        <c:v>20.423999999999999</c:v>
                      </c:pt>
                      <c:pt idx="7931">
                        <c:v>20.423999999999999</c:v>
                      </c:pt>
                      <c:pt idx="7932">
                        <c:v>20.329000000000001</c:v>
                      </c:pt>
                      <c:pt idx="7933">
                        <c:v>20.329000000000001</c:v>
                      </c:pt>
                      <c:pt idx="7934">
                        <c:v>20.329000000000001</c:v>
                      </c:pt>
                      <c:pt idx="7935">
                        <c:v>20.329000000000001</c:v>
                      </c:pt>
                      <c:pt idx="7936">
                        <c:v>20.423999999999999</c:v>
                      </c:pt>
                      <c:pt idx="7937">
                        <c:v>20.329000000000001</c:v>
                      </c:pt>
                      <c:pt idx="7938">
                        <c:v>20.329000000000001</c:v>
                      </c:pt>
                      <c:pt idx="7939">
                        <c:v>20.329000000000001</c:v>
                      </c:pt>
                      <c:pt idx="7940">
                        <c:v>20.423999999999999</c:v>
                      </c:pt>
                      <c:pt idx="7941">
                        <c:v>20.423999999999999</c:v>
                      </c:pt>
                      <c:pt idx="7942">
                        <c:v>20.329000000000001</c:v>
                      </c:pt>
                      <c:pt idx="7943">
                        <c:v>20.329000000000001</c:v>
                      </c:pt>
                      <c:pt idx="7944">
                        <c:v>20.329000000000001</c:v>
                      </c:pt>
                      <c:pt idx="7945">
                        <c:v>20.423999999999999</c:v>
                      </c:pt>
                      <c:pt idx="7946">
                        <c:v>20.329000000000001</c:v>
                      </c:pt>
                      <c:pt idx="7947">
                        <c:v>20.329000000000001</c:v>
                      </c:pt>
                      <c:pt idx="7948">
                        <c:v>20.329000000000001</c:v>
                      </c:pt>
                      <c:pt idx="7949">
                        <c:v>20.329000000000001</c:v>
                      </c:pt>
                      <c:pt idx="7950">
                        <c:v>20.329000000000001</c:v>
                      </c:pt>
                      <c:pt idx="7951">
                        <c:v>20.423999999999999</c:v>
                      </c:pt>
                      <c:pt idx="7952">
                        <c:v>20.329000000000001</c:v>
                      </c:pt>
                      <c:pt idx="7953">
                        <c:v>20.329000000000001</c:v>
                      </c:pt>
                      <c:pt idx="7954">
                        <c:v>20.329000000000001</c:v>
                      </c:pt>
                      <c:pt idx="7955">
                        <c:v>20.329000000000001</c:v>
                      </c:pt>
                      <c:pt idx="7956">
                        <c:v>20.423999999999999</c:v>
                      </c:pt>
                      <c:pt idx="7957">
                        <c:v>20.329000000000001</c:v>
                      </c:pt>
                      <c:pt idx="7958">
                        <c:v>20.329000000000001</c:v>
                      </c:pt>
                      <c:pt idx="7959">
                        <c:v>20.329000000000001</c:v>
                      </c:pt>
                      <c:pt idx="7960">
                        <c:v>20.329000000000001</c:v>
                      </c:pt>
                      <c:pt idx="7961">
                        <c:v>20.329000000000001</c:v>
                      </c:pt>
                      <c:pt idx="7962">
                        <c:v>20.329000000000001</c:v>
                      </c:pt>
                      <c:pt idx="7963">
                        <c:v>20.423999999999999</c:v>
                      </c:pt>
                      <c:pt idx="7964">
                        <c:v>20.329000000000001</c:v>
                      </c:pt>
                      <c:pt idx="7965">
                        <c:v>20.329000000000001</c:v>
                      </c:pt>
                      <c:pt idx="7966">
                        <c:v>20.329000000000001</c:v>
                      </c:pt>
                      <c:pt idx="7967">
                        <c:v>20.329000000000001</c:v>
                      </c:pt>
                      <c:pt idx="7968">
                        <c:v>20.329000000000001</c:v>
                      </c:pt>
                      <c:pt idx="7969">
                        <c:v>20.329000000000001</c:v>
                      </c:pt>
                      <c:pt idx="7970">
                        <c:v>20.329000000000001</c:v>
                      </c:pt>
                      <c:pt idx="7971">
                        <c:v>20.329000000000001</c:v>
                      </c:pt>
                      <c:pt idx="7972">
                        <c:v>20.329000000000001</c:v>
                      </c:pt>
                      <c:pt idx="7973">
                        <c:v>20.329000000000001</c:v>
                      </c:pt>
                      <c:pt idx="7974">
                        <c:v>20.329000000000001</c:v>
                      </c:pt>
                      <c:pt idx="7975">
                        <c:v>20.329000000000001</c:v>
                      </c:pt>
                      <c:pt idx="7976">
                        <c:v>20.329000000000001</c:v>
                      </c:pt>
                      <c:pt idx="7977">
                        <c:v>20.329000000000001</c:v>
                      </c:pt>
                      <c:pt idx="7978">
                        <c:v>20.329000000000001</c:v>
                      </c:pt>
                      <c:pt idx="7979">
                        <c:v>20.329000000000001</c:v>
                      </c:pt>
                      <c:pt idx="7980">
                        <c:v>20.329000000000001</c:v>
                      </c:pt>
                      <c:pt idx="7981">
                        <c:v>20.329000000000001</c:v>
                      </c:pt>
                      <c:pt idx="7982">
                        <c:v>20.329000000000001</c:v>
                      </c:pt>
                      <c:pt idx="7983">
                        <c:v>20.329000000000001</c:v>
                      </c:pt>
                      <c:pt idx="7984">
                        <c:v>20.329000000000001</c:v>
                      </c:pt>
                      <c:pt idx="7985">
                        <c:v>20.329000000000001</c:v>
                      </c:pt>
                      <c:pt idx="7986">
                        <c:v>20.329000000000001</c:v>
                      </c:pt>
                      <c:pt idx="7987">
                        <c:v>20.329000000000001</c:v>
                      </c:pt>
                      <c:pt idx="7988">
                        <c:v>20.329000000000001</c:v>
                      </c:pt>
                      <c:pt idx="7989">
                        <c:v>20.329000000000001</c:v>
                      </c:pt>
                      <c:pt idx="7990">
                        <c:v>20.329000000000001</c:v>
                      </c:pt>
                      <c:pt idx="7991">
                        <c:v>20.329000000000001</c:v>
                      </c:pt>
                      <c:pt idx="7992">
                        <c:v>20.329000000000001</c:v>
                      </c:pt>
                      <c:pt idx="7993">
                        <c:v>20.329000000000001</c:v>
                      </c:pt>
                      <c:pt idx="7994">
                        <c:v>20.329000000000001</c:v>
                      </c:pt>
                      <c:pt idx="7995">
                        <c:v>20.329000000000001</c:v>
                      </c:pt>
                      <c:pt idx="7996">
                        <c:v>20.329000000000001</c:v>
                      </c:pt>
                      <c:pt idx="7997">
                        <c:v>20.329000000000001</c:v>
                      </c:pt>
                      <c:pt idx="7998">
                        <c:v>20.329000000000001</c:v>
                      </c:pt>
                      <c:pt idx="7999">
                        <c:v>20.329000000000001</c:v>
                      </c:pt>
                      <c:pt idx="8000">
                        <c:v>20.329000000000001</c:v>
                      </c:pt>
                      <c:pt idx="8001">
                        <c:v>20.329000000000001</c:v>
                      </c:pt>
                      <c:pt idx="8002">
                        <c:v>20.329000000000001</c:v>
                      </c:pt>
                      <c:pt idx="8003">
                        <c:v>20.329000000000001</c:v>
                      </c:pt>
                      <c:pt idx="8004">
                        <c:v>20.329000000000001</c:v>
                      </c:pt>
                      <c:pt idx="8005">
                        <c:v>20.329000000000001</c:v>
                      </c:pt>
                      <c:pt idx="8006">
                        <c:v>20.329000000000001</c:v>
                      </c:pt>
                      <c:pt idx="8007">
                        <c:v>20.329000000000001</c:v>
                      </c:pt>
                      <c:pt idx="8008">
                        <c:v>20.329000000000001</c:v>
                      </c:pt>
                      <c:pt idx="8009">
                        <c:v>20.329000000000001</c:v>
                      </c:pt>
                      <c:pt idx="8010">
                        <c:v>20.329000000000001</c:v>
                      </c:pt>
                      <c:pt idx="8011">
                        <c:v>20.329000000000001</c:v>
                      </c:pt>
                      <c:pt idx="8012">
                        <c:v>20.329000000000001</c:v>
                      </c:pt>
                      <c:pt idx="8013">
                        <c:v>20.329000000000001</c:v>
                      </c:pt>
                      <c:pt idx="8014">
                        <c:v>20.329000000000001</c:v>
                      </c:pt>
                      <c:pt idx="8015">
                        <c:v>20.329000000000001</c:v>
                      </c:pt>
                      <c:pt idx="8016">
                        <c:v>20.329000000000001</c:v>
                      </c:pt>
                      <c:pt idx="8017">
                        <c:v>20.329000000000001</c:v>
                      </c:pt>
                      <c:pt idx="8018">
                        <c:v>20.329000000000001</c:v>
                      </c:pt>
                      <c:pt idx="8019">
                        <c:v>20.329000000000001</c:v>
                      </c:pt>
                      <c:pt idx="8020">
                        <c:v>20.329000000000001</c:v>
                      </c:pt>
                      <c:pt idx="8021">
                        <c:v>20.329000000000001</c:v>
                      </c:pt>
                      <c:pt idx="8022">
                        <c:v>20.329000000000001</c:v>
                      </c:pt>
                      <c:pt idx="8023">
                        <c:v>20.329000000000001</c:v>
                      </c:pt>
                      <c:pt idx="8024">
                        <c:v>20.329000000000001</c:v>
                      </c:pt>
                      <c:pt idx="8025">
                        <c:v>20.329000000000001</c:v>
                      </c:pt>
                      <c:pt idx="8026">
                        <c:v>20.329000000000001</c:v>
                      </c:pt>
                      <c:pt idx="8027">
                        <c:v>20.329000000000001</c:v>
                      </c:pt>
                      <c:pt idx="8028">
                        <c:v>20.329000000000001</c:v>
                      </c:pt>
                      <c:pt idx="8029">
                        <c:v>20.329000000000001</c:v>
                      </c:pt>
                      <c:pt idx="8030">
                        <c:v>20.329000000000001</c:v>
                      </c:pt>
                      <c:pt idx="8031">
                        <c:v>20.329000000000001</c:v>
                      </c:pt>
                      <c:pt idx="8032">
                        <c:v>20.329000000000001</c:v>
                      </c:pt>
                      <c:pt idx="8033">
                        <c:v>20.329000000000001</c:v>
                      </c:pt>
                      <c:pt idx="8034">
                        <c:v>20.329000000000001</c:v>
                      </c:pt>
                      <c:pt idx="8035">
                        <c:v>20.329000000000001</c:v>
                      </c:pt>
                      <c:pt idx="8036">
                        <c:v>20.329000000000001</c:v>
                      </c:pt>
                      <c:pt idx="8037">
                        <c:v>20.329000000000001</c:v>
                      </c:pt>
                      <c:pt idx="8038">
                        <c:v>20.329000000000001</c:v>
                      </c:pt>
                      <c:pt idx="8039">
                        <c:v>20.329000000000001</c:v>
                      </c:pt>
                      <c:pt idx="8040">
                        <c:v>20.329000000000001</c:v>
                      </c:pt>
                      <c:pt idx="8041">
                        <c:v>20.329000000000001</c:v>
                      </c:pt>
                      <c:pt idx="8042">
                        <c:v>20.329000000000001</c:v>
                      </c:pt>
                      <c:pt idx="8043">
                        <c:v>20.329000000000001</c:v>
                      </c:pt>
                      <c:pt idx="8044">
                        <c:v>20.329000000000001</c:v>
                      </c:pt>
                      <c:pt idx="8045">
                        <c:v>20.329000000000001</c:v>
                      </c:pt>
                      <c:pt idx="8046">
                        <c:v>20.329000000000001</c:v>
                      </c:pt>
                      <c:pt idx="8047">
                        <c:v>20.329000000000001</c:v>
                      </c:pt>
                      <c:pt idx="8048">
                        <c:v>20.329000000000001</c:v>
                      </c:pt>
                      <c:pt idx="8049">
                        <c:v>20.329000000000001</c:v>
                      </c:pt>
                      <c:pt idx="8050">
                        <c:v>20.329000000000001</c:v>
                      </c:pt>
                      <c:pt idx="8051">
                        <c:v>20.329000000000001</c:v>
                      </c:pt>
                      <c:pt idx="8052">
                        <c:v>20.329000000000001</c:v>
                      </c:pt>
                      <c:pt idx="8053">
                        <c:v>20.329000000000001</c:v>
                      </c:pt>
                      <c:pt idx="8054">
                        <c:v>20.329000000000001</c:v>
                      </c:pt>
                      <c:pt idx="8055">
                        <c:v>20.329000000000001</c:v>
                      </c:pt>
                      <c:pt idx="8056">
                        <c:v>20.329000000000001</c:v>
                      </c:pt>
                      <c:pt idx="8057">
                        <c:v>20.329000000000001</c:v>
                      </c:pt>
                      <c:pt idx="8058">
                        <c:v>20.329000000000001</c:v>
                      </c:pt>
                      <c:pt idx="8059">
                        <c:v>20.329000000000001</c:v>
                      </c:pt>
                      <c:pt idx="8060">
                        <c:v>20.329000000000001</c:v>
                      </c:pt>
                      <c:pt idx="8061">
                        <c:v>20.329000000000001</c:v>
                      </c:pt>
                      <c:pt idx="8062">
                        <c:v>20.329000000000001</c:v>
                      </c:pt>
                      <c:pt idx="8063">
                        <c:v>20.329000000000001</c:v>
                      </c:pt>
                      <c:pt idx="8064">
                        <c:v>20.329000000000001</c:v>
                      </c:pt>
                      <c:pt idx="8065">
                        <c:v>20.329000000000001</c:v>
                      </c:pt>
                      <c:pt idx="8066">
                        <c:v>20.329000000000001</c:v>
                      </c:pt>
                      <c:pt idx="8067">
                        <c:v>20.329000000000001</c:v>
                      </c:pt>
                      <c:pt idx="8068">
                        <c:v>20.423999999999999</c:v>
                      </c:pt>
                      <c:pt idx="8069">
                        <c:v>20.329000000000001</c:v>
                      </c:pt>
                      <c:pt idx="8070">
                        <c:v>20.329000000000001</c:v>
                      </c:pt>
                      <c:pt idx="8071">
                        <c:v>20.329000000000001</c:v>
                      </c:pt>
                      <c:pt idx="8072">
                        <c:v>20.423999999999999</c:v>
                      </c:pt>
                      <c:pt idx="8073">
                        <c:v>20.329000000000001</c:v>
                      </c:pt>
                      <c:pt idx="8074">
                        <c:v>20.329000000000001</c:v>
                      </c:pt>
                      <c:pt idx="8075">
                        <c:v>20.423999999999999</c:v>
                      </c:pt>
                      <c:pt idx="8076">
                        <c:v>20.329000000000001</c:v>
                      </c:pt>
                      <c:pt idx="8077">
                        <c:v>20.423999999999999</c:v>
                      </c:pt>
                      <c:pt idx="8078">
                        <c:v>20.423999999999999</c:v>
                      </c:pt>
                      <c:pt idx="8079">
                        <c:v>20.329000000000001</c:v>
                      </c:pt>
                      <c:pt idx="8080">
                        <c:v>20.423999999999999</c:v>
                      </c:pt>
                      <c:pt idx="8081">
                        <c:v>20.423999999999999</c:v>
                      </c:pt>
                      <c:pt idx="8082">
                        <c:v>20.423999999999999</c:v>
                      </c:pt>
                      <c:pt idx="8083">
                        <c:v>20.423999999999999</c:v>
                      </c:pt>
                      <c:pt idx="8084">
                        <c:v>20.329000000000001</c:v>
                      </c:pt>
                      <c:pt idx="8085">
                        <c:v>20.423999999999999</c:v>
                      </c:pt>
                      <c:pt idx="8086">
                        <c:v>20.423999999999999</c:v>
                      </c:pt>
                      <c:pt idx="8087">
                        <c:v>20.423999999999999</c:v>
                      </c:pt>
                      <c:pt idx="8088">
                        <c:v>20.423999999999999</c:v>
                      </c:pt>
                      <c:pt idx="8089">
                        <c:v>20.329000000000001</c:v>
                      </c:pt>
                      <c:pt idx="8090">
                        <c:v>20.423999999999999</c:v>
                      </c:pt>
                      <c:pt idx="8091">
                        <c:v>20.423999999999999</c:v>
                      </c:pt>
                      <c:pt idx="8092">
                        <c:v>20.423999999999999</c:v>
                      </c:pt>
                      <c:pt idx="8093">
                        <c:v>20.329000000000001</c:v>
                      </c:pt>
                      <c:pt idx="8094">
                        <c:v>20.423999999999999</c:v>
                      </c:pt>
                      <c:pt idx="8095">
                        <c:v>20.423999999999999</c:v>
                      </c:pt>
                      <c:pt idx="8096">
                        <c:v>20.423999999999999</c:v>
                      </c:pt>
                      <c:pt idx="8097">
                        <c:v>20.423999999999999</c:v>
                      </c:pt>
                      <c:pt idx="8098">
                        <c:v>20.329000000000001</c:v>
                      </c:pt>
                      <c:pt idx="8099">
                        <c:v>20.423999999999999</c:v>
                      </c:pt>
                      <c:pt idx="8100">
                        <c:v>20.423999999999999</c:v>
                      </c:pt>
                      <c:pt idx="8101">
                        <c:v>20.423999999999999</c:v>
                      </c:pt>
                      <c:pt idx="8102">
                        <c:v>20.423999999999999</c:v>
                      </c:pt>
                      <c:pt idx="8103">
                        <c:v>20.423999999999999</c:v>
                      </c:pt>
                      <c:pt idx="8104">
                        <c:v>20.423999999999999</c:v>
                      </c:pt>
                      <c:pt idx="8105">
                        <c:v>20.423999999999999</c:v>
                      </c:pt>
                      <c:pt idx="8106">
                        <c:v>20.423999999999999</c:v>
                      </c:pt>
                      <c:pt idx="8107">
                        <c:v>20.423999999999999</c:v>
                      </c:pt>
                      <c:pt idx="8108">
                        <c:v>20.423999999999999</c:v>
                      </c:pt>
                      <c:pt idx="8109">
                        <c:v>20.423999999999999</c:v>
                      </c:pt>
                      <c:pt idx="8110">
                        <c:v>20.423999999999999</c:v>
                      </c:pt>
                      <c:pt idx="8111">
                        <c:v>20.423999999999999</c:v>
                      </c:pt>
                      <c:pt idx="8112">
                        <c:v>20.329000000000001</c:v>
                      </c:pt>
                      <c:pt idx="8113">
                        <c:v>20.423999999999999</c:v>
                      </c:pt>
                      <c:pt idx="8114">
                        <c:v>20.423999999999999</c:v>
                      </c:pt>
                      <c:pt idx="8115">
                        <c:v>20.423999999999999</c:v>
                      </c:pt>
                      <c:pt idx="8116">
                        <c:v>20.423999999999999</c:v>
                      </c:pt>
                      <c:pt idx="8117">
                        <c:v>20.423999999999999</c:v>
                      </c:pt>
                      <c:pt idx="8118">
                        <c:v>20.329000000000001</c:v>
                      </c:pt>
                      <c:pt idx="8119">
                        <c:v>20.329000000000001</c:v>
                      </c:pt>
                      <c:pt idx="8120">
                        <c:v>20.329000000000001</c:v>
                      </c:pt>
                      <c:pt idx="8121">
                        <c:v>20.423999999999999</c:v>
                      </c:pt>
                      <c:pt idx="8122">
                        <c:v>20.423999999999999</c:v>
                      </c:pt>
                      <c:pt idx="8123">
                        <c:v>20.423999999999999</c:v>
                      </c:pt>
                      <c:pt idx="8124">
                        <c:v>20.329000000000001</c:v>
                      </c:pt>
                      <c:pt idx="8125">
                        <c:v>20.329000000000001</c:v>
                      </c:pt>
                      <c:pt idx="8126">
                        <c:v>20.329000000000001</c:v>
                      </c:pt>
                      <c:pt idx="8127">
                        <c:v>20.329000000000001</c:v>
                      </c:pt>
                      <c:pt idx="8128">
                        <c:v>20.329000000000001</c:v>
                      </c:pt>
                      <c:pt idx="8129">
                        <c:v>20.329000000000001</c:v>
                      </c:pt>
                      <c:pt idx="8130">
                        <c:v>20.329000000000001</c:v>
                      </c:pt>
                      <c:pt idx="8131">
                        <c:v>20.329000000000001</c:v>
                      </c:pt>
                      <c:pt idx="8132">
                        <c:v>20.423999999999999</c:v>
                      </c:pt>
                      <c:pt idx="8133">
                        <c:v>20.329000000000001</c:v>
                      </c:pt>
                      <c:pt idx="8134">
                        <c:v>20.329000000000001</c:v>
                      </c:pt>
                      <c:pt idx="8135">
                        <c:v>20.329000000000001</c:v>
                      </c:pt>
                      <c:pt idx="8136">
                        <c:v>20.329000000000001</c:v>
                      </c:pt>
                      <c:pt idx="8137">
                        <c:v>20.329000000000001</c:v>
                      </c:pt>
                      <c:pt idx="8138">
                        <c:v>20.329000000000001</c:v>
                      </c:pt>
                      <c:pt idx="8139">
                        <c:v>20.329000000000001</c:v>
                      </c:pt>
                      <c:pt idx="8140">
                        <c:v>20.329000000000001</c:v>
                      </c:pt>
                      <c:pt idx="8141">
                        <c:v>20.329000000000001</c:v>
                      </c:pt>
                      <c:pt idx="8142">
                        <c:v>20.329000000000001</c:v>
                      </c:pt>
                      <c:pt idx="8143">
                        <c:v>20.329000000000001</c:v>
                      </c:pt>
                      <c:pt idx="8144">
                        <c:v>20.329000000000001</c:v>
                      </c:pt>
                      <c:pt idx="8145">
                        <c:v>20.329000000000001</c:v>
                      </c:pt>
                      <c:pt idx="8146">
                        <c:v>20.329000000000001</c:v>
                      </c:pt>
                      <c:pt idx="8147">
                        <c:v>20.329000000000001</c:v>
                      </c:pt>
                      <c:pt idx="8148">
                        <c:v>20.329000000000001</c:v>
                      </c:pt>
                      <c:pt idx="8149">
                        <c:v>20.329000000000001</c:v>
                      </c:pt>
                      <c:pt idx="8150">
                        <c:v>20.329000000000001</c:v>
                      </c:pt>
                      <c:pt idx="8151">
                        <c:v>20.329000000000001</c:v>
                      </c:pt>
                      <c:pt idx="8152">
                        <c:v>20.329000000000001</c:v>
                      </c:pt>
                      <c:pt idx="8153">
                        <c:v>20.329000000000001</c:v>
                      </c:pt>
                      <c:pt idx="8154">
                        <c:v>20.329000000000001</c:v>
                      </c:pt>
                      <c:pt idx="8155">
                        <c:v>20.329000000000001</c:v>
                      </c:pt>
                      <c:pt idx="8156">
                        <c:v>20.329000000000001</c:v>
                      </c:pt>
                      <c:pt idx="8157">
                        <c:v>20.329000000000001</c:v>
                      </c:pt>
                      <c:pt idx="8158">
                        <c:v>20.329000000000001</c:v>
                      </c:pt>
                      <c:pt idx="8159">
                        <c:v>20.329000000000001</c:v>
                      </c:pt>
                      <c:pt idx="8160">
                        <c:v>20.329000000000001</c:v>
                      </c:pt>
                      <c:pt idx="8161">
                        <c:v>20.329000000000001</c:v>
                      </c:pt>
                      <c:pt idx="8162">
                        <c:v>20.329000000000001</c:v>
                      </c:pt>
                      <c:pt idx="8163">
                        <c:v>20.329000000000001</c:v>
                      </c:pt>
                      <c:pt idx="8164">
                        <c:v>20.329000000000001</c:v>
                      </c:pt>
                      <c:pt idx="8165">
                        <c:v>20.329000000000001</c:v>
                      </c:pt>
                      <c:pt idx="8166">
                        <c:v>20.329000000000001</c:v>
                      </c:pt>
                      <c:pt idx="8167">
                        <c:v>20.329000000000001</c:v>
                      </c:pt>
                      <c:pt idx="8168">
                        <c:v>20.329000000000001</c:v>
                      </c:pt>
                      <c:pt idx="8169">
                        <c:v>20.329000000000001</c:v>
                      </c:pt>
                      <c:pt idx="8170">
                        <c:v>20.329000000000001</c:v>
                      </c:pt>
                      <c:pt idx="8171">
                        <c:v>20.329000000000001</c:v>
                      </c:pt>
                      <c:pt idx="8172">
                        <c:v>20.329000000000001</c:v>
                      </c:pt>
                      <c:pt idx="8173">
                        <c:v>20.329000000000001</c:v>
                      </c:pt>
                      <c:pt idx="8174">
                        <c:v>20.329000000000001</c:v>
                      </c:pt>
                      <c:pt idx="8175">
                        <c:v>20.329000000000001</c:v>
                      </c:pt>
                      <c:pt idx="8176">
                        <c:v>20.329000000000001</c:v>
                      </c:pt>
                      <c:pt idx="8177">
                        <c:v>20.329000000000001</c:v>
                      </c:pt>
                      <c:pt idx="8178">
                        <c:v>20.329000000000001</c:v>
                      </c:pt>
                      <c:pt idx="8179">
                        <c:v>20.329000000000001</c:v>
                      </c:pt>
                      <c:pt idx="8180">
                        <c:v>20.329000000000001</c:v>
                      </c:pt>
                      <c:pt idx="8181">
                        <c:v>20.329000000000001</c:v>
                      </c:pt>
                      <c:pt idx="8182">
                        <c:v>20.329000000000001</c:v>
                      </c:pt>
                      <c:pt idx="8183">
                        <c:v>20.329000000000001</c:v>
                      </c:pt>
                      <c:pt idx="8184">
                        <c:v>20.329000000000001</c:v>
                      </c:pt>
                      <c:pt idx="8185">
                        <c:v>20.329000000000001</c:v>
                      </c:pt>
                      <c:pt idx="8186">
                        <c:v>20.329000000000001</c:v>
                      </c:pt>
                      <c:pt idx="8187">
                        <c:v>20.329000000000001</c:v>
                      </c:pt>
                      <c:pt idx="8188">
                        <c:v>20.329000000000001</c:v>
                      </c:pt>
                      <c:pt idx="8189">
                        <c:v>20.329000000000001</c:v>
                      </c:pt>
                      <c:pt idx="8190">
                        <c:v>20.329000000000001</c:v>
                      </c:pt>
                      <c:pt idx="8191">
                        <c:v>20.329000000000001</c:v>
                      </c:pt>
                      <c:pt idx="8192">
                        <c:v>20.329000000000001</c:v>
                      </c:pt>
                      <c:pt idx="8193">
                        <c:v>20.329000000000001</c:v>
                      </c:pt>
                      <c:pt idx="8194">
                        <c:v>20.329000000000001</c:v>
                      </c:pt>
                      <c:pt idx="8195">
                        <c:v>20.329000000000001</c:v>
                      </c:pt>
                      <c:pt idx="8196">
                        <c:v>20.329000000000001</c:v>
                      </c:pt>
                      <c:pt idx="8197">
                        <c:v>20.329000000000001</c:v>
                      </c:pt>
                      <c:pt idx="8198">
                        <c:v>20.329000000000001</c:v>
                      </c:pt>
                      <c:pt idx="8199">
                        <c:v>20.329000000000001</c:v>
                      </c:pt>
                      <c:pt idx="8200">
                        <c:v>20.329000000000001</c:v>
                      </c:pt>
                      <c:pt idx="8201">
                        <c:v>20.329000000000001</c:v>
                      </c:pt>
                      <c:pt idx="8202">
                        <c:v>20.329000000000001</c:v>
                      </c:pt>
                      <c:pt idx="8203">
                        <c:v>20.329000000000001</c:v>
                      </c:pt>
                      <c:pt idx="8204">
                        <c:v>20.329000000000001</c:v>
                      </c:pt>
                      <c:pt idx="8205">
                        <c:v>20.329000000000001</c:v>
                      </c:pt>
                      <c:pt idx="8206">
                        <c:v>20.423999999999999</c:v>
                      </c:pt>
                      <c:pt idx="8207">
                        <c:v>20.329000000000001</c:v>
                      </c:pt>
                      <c:pt idx="8208">
                        <c:v>20.423999999999999</c:v>
                      </c:pt>
                      <c:pt idx="8209">
                        <c:v>20.329000000000001</c:v>
                      </c:pt>
                      <c:pt idx="8210">
                        <c:v>20.423999999999999</c:v>
                      </c:pt>
                      <c:pt idx="8211">
                        <c:v>20.329000000000001</c:v>
                      </c:pt>
                      <c:pt idx="8212">
                        <c:v>20.423999999999999</c:v>
                      </c:pt>
                      <c:pt idx="8213">
                        <c:v>20.423999999999999</c:v>
                      </c:pt>
                      <c:pt idx="8214">
                        <c:v>20.423999999999999</c:v>
                      </c:pt>
                      <c:pt idx="8215">
                        <c:v>20.423999999999999</c:v>
                      </c:pt>
                      <c:pt idx="8216">
                        <c:v>20.423999999999999</c:v>
                      </c:pt>
                      <c:pt idx="8217">
                        <c:v>20.329000000000001</c:v>
                      </c:pt>
                      <c:pt idx="8218">
                        <c:v>20.423999999999999</c:v>
                      </c:pt>
                      <c:pt idx="8219">
                        <c:v>20.423999999999999</c:v>
                      </c:pt>
                      <c:pt idx="8220">
                        <c:v>20.423999999999999</c:v>
                      </c:pt>
                      <c:pt idx="8221">
                        <c:v>20.423999999999999</c:v>
                      </c:pt>
                      <c:pt idx="8222">
                        <c:v>20.423999999999999</c:v>
                      </c:pt>
                      <c:pt idx="8223">
                        <c:v>20.423999999999999</c:v>
                      </c:pt>
                      <c:pt idx="8224">
                        <c:v>20.423999999999999</c:v>
                      </c:pt>
                      <c:pt idx="8225">
                        <c:v>20.423999999999999</c:v>
                      </c:pt>
                      <c:pt idx="8226">
                        <c:v>20.329000000000001</c:v>
                      </c:pt>
                      <c:pt idx="8227">
                        <c:v>20.423999999999999</c:v>
                      </c:pt>
                      <c:pt idx="8228">
                        <c:v>20.423999999999999</c:v>
                      </c:pt>
                      <c:pt idx="8229">
                        <c:v>20.423999999999999</c:v>
                      </c:pt>
                      <c:pt idx="8230">
                        <c:v>20.423999999999999</c:v>
                      </c:pt>
                      <c:pt idx="8231">
                        <c:v>20.423999999999999</c:v>
                      </c:pt>
                      <c:pt idx="8232">
                        <c:v>20.423999999999999</c:v>
                      </c:pt>
                      <c:pt idx="8233">
                        <c:v>20.423999999999999</c:v>
                      </c:pt>
                      <c:pt idx="8234">
                        <c:v>20.423999999999999</c:v>
                      </c:pt>
                      <c:pt idx="8235">
                        <c:v>20.423999999999999</c:v>
                      </c:pt>
                      <c:pt idx="8236">
                        <c:v>20.423999999999999</c:v>
                      </c:pt>
                      <c:pt idx="8237">
                        <c:v>20.329000000000001</c:v>
                      </c:pt>
                      <c:pt idx="8238">
                        <c:v>20.423999999999999</c:v>
                      </c:pt>
                      <c:pt idx="8239">
                        <c:v>20.423999999999999</c:v>
                      </c:pt>
                      <c:pt idx="8240">
                        <c:v>20.423999999999999</c:v>
                      </c:pt>
                      <c:pt idx="8241">
                        <c:v>20.423999999999999</c:v>
                      </c:pt>
                      <c:pt idx="8242">
                        <c:v>20.423999999999999</c:v>
                      </c:pt>
                      <c:pt idx="8243">
                        <c:v>20.423999999999999</c:v>
                      </c:pt>
                      <c:pt idx="8244">
                        <c:v>20.329000000000001</c:v>
                      </c:pt>
                      <c:pt idx="8245">
                        <c:v>20.423999999999999</c:v>
                      </c:pt>
                      <c:pt idx="8246">
                        <c:v>20.423999999999999</c:v>
                      </c:pt>
                      <c:pt idx="8247">
                        <c:v>20.329000000000001</c:v>
                      </c:pt>
                      <c:pt idx="8248">
                        <c:v>20.423999999999999</c:v>
                      </c:pt>
                      <c:pt idx="8249">
                        <c:v>20.423999999999999</c:v>
                      </c:pt>
                      <c:pt idx="8250">
                        <c:v>20.423999999999999</c:v>
                      </c:pt>
                      <c:pt idx="8251">
                        <c:v>20.423999999999999</c:v>
                      </c:pt>
                      <c:pt idx="8252">
                        <c:v>20.423999999999999</c:v>
                      </c:pt>
                      <c:pt idx="8253">
                        <c:v>20.329000000000001</c:v>
                      </c:pt>
                      <c:pt idx="8254">
                        <c:v>20.329000000000001</c:v>
                      </c:pt>
                      <c:pt idx="8255">
                        <c:v>20.423999999999999</c:v>
                      </c:pt>
                      <c:pt idx="8256">
                        <c:v>20.423999999999999</c:v>
                      </c:pt>
                      <c:pt idx="8257">
                        <c:v>20.329000000000001</c:v>
                      </c:pt>
                      <c:pt idx="8258">
                        <c:v>20.329000000000001</c:v>
                      </c:pt>
                      <c:pt idx="8259">
                        <c:v>20.423999999999999</c:v>
                      </c:pt>
                      <c:pt idx="8260">
                        <c:v>20.329000000000001</c:v>
                      </c:pt>
                      <c:pt idx="8261">
                        <c:v>20.329000000000001</c:v>
                      </c:pt>
                      <c:pt idx="8262">
                        <c:v>20.329000000000001</c:v>
                      </c:pt>
                      <c:pt idx="8263">
                        <c:v>20.329000000000001</c:v>
                      </c:pt>
                      <c:pt idx="8264">
                        <c:v>20.329000000000001</c:v>
                      </c:pt>
                      <c:pt idx="8265">
                        <c:v>20.329000000000001</c:v>
                      </c:pt>
                      <c:pt idx="8266">
                        <c:v>20.329000000000001</c:v>
                      </c:pt>
                      <c:pt idx="8267">
                        <c:v>20.329000000000001</c:v>
                      </c:pt>
                      <c:pt idx="8268">
                        <c:v>20.329000000000001</c:v>
                      </c:pt>
                      <c:pt idx="8269">
                        <c:v>20.329000000000001</c:v>
                      </c:pt>
                      <c:pt idx="8270">
                        <c:v>20.329000000000001</c:v>
                      </c:pt>
                      <c:pt idx="8271">
                        <c:v>20.329000000000001</c:v>
                      </c:pt>
                      <c:pt idx="8272">
                        <c:v>20.329000000000001</c:v>
                      </c:pt>
                      <c:pt idx="8273">
                        <c:v>20.329000000000001</c:v>
                      </c:pt>
                      <c:pt idx="8274">
                        <c:v>20.329000000000001</c:v>
                      </c:pt>
                      <c:pt idx="8275">
                        <c:v>20.329000000000001</c:v>
                      </c:pt>
                      <c:pt idx="8276">
                        <c:v>20.329000000000001</c:v>
                      </c:pt>
                      <c:pt idx="8277">
                        <c:v>20.329000000000001</c:v>
                      </c:pt>
                      <c:pt idx="8278">
                        <c:v>20.329000000000001</c:v>
                      </c:pt>
                      <c:pt idx="8279">
                        <c:v>20.329000000000001</c:v>
                      </c:pt>
                      <c:pt idx="8280">
                        <c:v>20.329000000000001</c:v>
                      </c:pt>
                      <c:pt idx="8281">
                        <c:v>20.329000000000001</c:v>
                      </c:pt>
                      <c:pt idx="8282">
                        <c:v>20.329000000000001</c:v>
                      </c:pt>
                      <c:pt idx="8283">
                        <c:v>20.329000000000001</c:v>
                      </c:pt>
                      <c:pt idx="8284">
                        <c:v>20.329000000000001</c:v>
                      </c:pt>
                      <c:pt idx="8285">
                        <c:v>20.329000000000001</c:v>
                      </c:pt>
                      <c:pt idx="8286">
                        <c:v>20.329000000000001</c:v>
                      </c:pt>
                      <c:pt idx="8287">
                        <c:v>20.329000000000001</c:v>
                      </c:pt>
                      <c:pt idx="8288">
                        <c:v>20.329000000000001</c:v>
                      </c:pt>
                      <c:pt idx="8289">
                        <c:v>20.329000000000001</c:v>
                      </c:pt>
                      <c:pt idx="8290">
                        <c:v>20.329000000000001</c:v>
                      </c:pt>
                      <c:pt idx="8291">
                        <c:v>20.329000000000001</c:v>
                      </c:pt>
                      <c:pt idx="8292">
                        <c:v>20.329000000000001</c:v>
                      </c:pt>
                      <c:pt idx="8293">
                        <c:v>20.329000000000001</c:v>
                      </c:pt>
                      <c:pt idx="8294">
                        <c:v>20.329000000000001</c:v>
                      </c:pt>
                      <c:pt idx="8295">
                        <c:v>20.329000000000001</c:v>
                      </c:pt>
                      <c:pt idx="8296">
                        <c:v>20.329000000000001</c:v>
                      </c:pt>
                      <c:pt idx="8297">
                        <c:v>20.329000000000001</c:v>
                      </c:pt>
                      <c:pt idx="8298">
                        <c:v>20.329000000000001</c:v>
                      </c:pt>
                      <c:pt idx="8299">
                        <c:v>20.329000000000001</c:v>
                      </c:pt>
                      <c:pt idx="8300">
                        <c:v>20.329000000000001</c:v>
                      </c:pt>
                      <c:pt idx="8301">
                        <c:v>20.329000000000001</c:v>
                      </c:pt>
                      <c:pt idx="8302">
                        <c:v>20.329000000000001</c:v>
                      </c:pt>
                      <c:pt idx="8303">
                        <c:v>20.329000000000001</c:v>
                      </c:pt>
                      <c:pt idx="8304">
                        <c:v>20.329000000000001</c:v>
                      </c:pt>
                      <c:pt idx="8305">
                        <c:v>20.329000000000001</c:v>
                      </c:pt>
                      <c:pt idx="8306">
                        <c:v>20.329000000000001</c:v>
                      </c:pt>
                      <c:pt idx="8307">
                        <c:v>20.329000000000001</c:v>
                      </c:pt>
                      <c:pt idx="8308">
                        <c:v>20.329000000000001</c:v>
                      </c:pt>
                      <c:pt idx="8309">
                        <c:v>20.329000000000001</c:v>
                      </c:pt>
                      <c:pt idx="8310">
                        <c:v>20.329000000000001</c:v>
                      </c:pt>
                      <c:pt idx="8311">
                        <c:v>20.329000000000001</c:v>
                      </c:pt>
                      <c:pt idx="8312">
                        <c:v>20.329000000000001</c:v>
                      </c:pt>
                      <c:pt idx="8313">
                        <c:v>20.329000000000001</c:v>
                      </c:pt>
                      <c:pt idx="8314">
                        <c:v>20.329000000000001</c:v>
                      </c:pt>
                      <c:pt idx="8315">
                        <c:v>20.329000000000001</c:v>
                      </c:pt>
                      <c:pt idx="8316">
                        <c:v>20.329000000000001</c:v>
                      </c:pt>
                      <c:pt idx="8317">
                        <c:v>20.329000000000001</c:v>
                      </c:pt>
                      <c:pt idx="8318">
                        <c:v>20.329000000000001</c:v>
                      </c:pt>
                      <c:pt idx="8319">
                        <c:v>20.329000000000001</c:v>
                      </c:pt>
                      <c:pt idx="8320">
                        <c:v>20.329000000000001</c:v>
                      </c:pt>
                      <c:pt idx="8321">
                        <c:v>20.329000000000001</c:v>
                      </c:pt>
                      <c:pt idx="8322">
                        <c:v>20.329000000000001</c:v>
                      </c:pt>
                      <c:pt idx="8323">
                        <c:v>20.329000000000001</c:v>
                      </c:pt>
                      <c:pt idx="8324">
                        <c:v>20.329000000000001</c:v>
                      </c:pt>
                      <c:pt idx="8325">
                        <c:v>20.329000000000001</c:v>
                      </c:pt>
                      <c:pt idx="8326">
                        <c:v>20.329000000000001</c:v>
                      </c:pt>
                      <c:pt idx="8327">
                        <c:v>20.329000000000001</c:v>
                      </c:pt>
                      <c:pt idx="8328">
                        <c:v>20.329000000000001</c:v>
                      </c:pt>
                      <c:pt idx="8329">
                        <c:v>20.329000000000001</c:v>
                      </c:pt>
                      <c:pt idx="8330">
                        <c:v>20.329000000000001</c:v>
                      </c:pt>
                      <c:pt idx="8331">
                        <c:v>20.329000000000001</c:v>
                      </c:pt>
                      <c:pt idx="8332">
                        <c:v>20.329000000000001</c:v>
                      </c:pt>
                      <c:pt idx="8333">
                        <c:v>20.329000000000001</c:v>
                      </c:pt>
                      <c:pt idx="8334">
                        <c:v>20.329000000000001</c:v>
                      </c:pt>
                      <c:pt idx="8335">
                        <c:v>20.329000000000001</c:v>
                      </c:pt>
                      <c:pt idx="8336">
                        <c:v>20.329000000000001</c:v>
                      </c:pt>
                      <c:pt idx="8337">
                        <c:v>20.329000000000001</c:v>
                      </c:pt>
                      <c:pt idx="8338">
                        <c:v>20.329000000000001</c:v>
                      </c:pt>
                      <c:pt idx="8339">
                        <c:v>20.329000000000001</c:v>
                      </c:pt>
                      <c:pt idx="8340">
                        <c:v>20.329000000000001</c:v>
                      </c:pt>
                      <c:pt idx="8341">
                        <c:v>20.329000000000001</c:v>
                      </c:pt>
                      <c:pt idx="8342">
                        <c:v>20.329000000000001</c:v>
                      </c:pt>
                      <c:pt idx="8343">
                        <c:v>20.329000000000001</c:v>
                      </c:pt>
                      <c:pt idx="8344">
                        <c:v>20.329000000000001</c:v>
                      </c:pt>
                      <c:pt idx="8345">
                        <c:v>20.329000000000001</c:v>
                      </c:pt>
                      <c:pt idx="8346">
                        <c:v>20.329000000000001</c:v>
                      </c:pt>
                      <c:pt idx="8347">
                        <c:v>20.329000000000001</c:v>
                      </c:pt>
                      <c:pt idx="8348">
                        <c:v>20.329000000000001</c:v>
                      </c:pt>
                      <c:pt idx="8349">
                        <c:v>20.329000000000001</c:v>
                      </c:pt>
                      <c:pt idx="8350">
                        <c:v>20.329000000000001</c:v>
                      </c:pt>
                      <c:pt idx="8351">
                        <c:v>20.329000000000001</c:v>
                      </c:pt>
                      <c:pt idx="8352">
                        <c:v>20.329000000000001</c:v>
                      </c:pt>
                      <c:pt idx="8353">
                        <c:v>20.329000000000001</c:v>
                      </c:pt>
                      <c:pt idx="8354">
                        <c:v>20.329000000000001</c:v>
                      </c:pt>
                      <c:pt idx="8355">
                        <c:v>20.329000000000001</c:v>
                      </c:pt>
                      <c:pt idx="8356">
                        <c:v>20.329000000000001</c:v>
                      </c:pt>
                      <c:pt idx="8357">
                        <c:v>20.329000000000001</c:v>
                      </c:pt>
                      <c:pt idx="8358">
                        <c:v>20.329000000000001</c:v>
                      </c:pt>
                      <c:pt idx="8359">
                        <c:v>20.329000000000001</c:v>
                      </c:pt>
                      <c:pt idx="8360">
                        <c:v>20.329000000000001</c:v>
                      </c:pt>
                      <c:pt idx="8361">
                        <c:v>20.329000000000001</c:v>
                      </c:pt>
                      <c:pt idx="8362">
                        <c:v>20.329000000000001</c:v>
                      </c:pt>
                      <c:pt idx="8363">
                        <c:v>20.329000000000001</c:v>
                      </c:pt>
                      <c:pt idx="8364">
                        <c:v>20.329000000000001</c:v>
                      </c:pt>
                      <c:pt idx="8365">
                        <c:v>20.329000000000001</c:v>
                      </c:pt>
                      <c:pt idx="8366">
                        <c:v>20.329000000000001</c:v>
                      </c:pt>
                      <c:pt idx="8367">
                        <c:v>20.329000000000001</c:v>
                      </c:pt>
                      <c:pt idx="8368">
                        <c:v>20.329000000000001</c:v>
                      </c:pt>
                      <c:pt idx="8369">
                        <c:v>20.329000000000001</c:v>
                      </c:pt>
                      <c:pt idx="8370">
                        <c:v>20.329000000000001</c:v>
                      </c:pt>
                      <c:pt idx="8371">
                        <c:v>20.329000000000001</c:v>
                      </c:pt>
                      <c:pt idx="8372">
                        <c:v>20.329000000000001</c:v>
                      </c:pt>
                      <c:pt idx="8373">
                        <c:v>20.329000000000001</c:v>
                      </c:pt>
                      <c:pt idx="8374">
                        <c:v>20.329000000000001</c:v>
                      </c:pt>
                      <c:pt idx="8375">
                        <c:v>20.329000000000001</c:v>
                      </c:pt>
                      <c:pt idx="8376">
                        <c:v>20.329000000000001</c:v>
                      </c:pt>
                      <c:pt idx="8377">
                        <c:v>20.329000000000001</c:v>
                      </c:pt>
                      <c:pt idx="8378">
                        <c:v>20.329000000000001</c:v>
                      </c:pt>
                      <c:pt idx="8379">
                        <c:v>20.329000000000001</c:v>
                      </c:pt>
                      <c:pt idx="8380">
                        <c:v>20.329000000000001</c:v>
                      </c:pt>
                      <c:pt idx="8381">
                        <c:v>20.329000000000001</c:v>
                      </c:pt>
                      <c:pt idx="8382">
                        <c:v>20.329000000000001</c:v>
                      </c:pt>
                      <c:pt idx="8383">
                        <c:v>20.329000000000001</c:v>
                      </c:pt>
                      <c:pt idx="8384">
                        <c:v>20.329000000000001</c:v>
                      </c:pt>
                      <c:pt idx="8385">
                        <c:v>20.329000000000001</c:v>
                      </c:pt>
                      <c:pt idx="8386">
                        <c:v>20.329000000000001</c:v>
                      </c:pt>
                      <c:pt idx="8387">
                        <c:v>20.329000000000001</c:v>
                      </c:pt>
                      <c:pt idx="8388">
                        <c:v>20.329000000000001</c:v>
                      </c:pt>
                      <c:pt idx="8389">
                        <c:v>20.329000000000001</c:v>
                      </c:pt>
                      <c:pt idx="8390">
                        <c:v>20.329000000000001</c:v>
                      </c:pt>
                      <c:pt idx="8391">
                        <c:v>20.329000000000001</c:v>
                      </c:pt>
                      <c:pt idx="8392">
                        <c:v>20.329000000000001</c:v>
                      </c:pt>
                      <c:pt idx="8393">
                        <c:v>20.329000000000001</c:v>
                      </c:pt>
                      <c:pt idx="8394">
                        <c:v>20.329000000000001</c:v>
                      </c:pt>
                      <c:pt idx="8395">
                        <c:v>20.329000000000001</c:v>
                      </c:pt>
                      <c:pt idx="8396">
                        <c:v>20.329000000000001</c:v>
                      </c:pt>
                      <c:pt idx="8397">
                        <c:v>20.329000000000001</c:v>
                      </c:pt>
                      <c:pt idx="8398">
                        <c:v>20.329000000000001</c:v>
                      </c:pt>
                      <c:pt idx="8399">
                        <c:v>20.329000000000001</c:v>
                      </c:pt>
                      <c:pt idx="8400">
                        <c:v>20.329000000000001</c:v>
                      </c:pt>
                      <c:pt idx="8401">
                        <c:v>20.329000000000001</c:v>
                      </c:pt>
                      <c:pt idx="8402">
                        <c:v>20.329000000000001</c:v>
                      </c:pt>
                      <c:pt idx="8403">
                        <c:v>20.329000000000001</c:v>
                      </c:pt>
                      <c:pt idx="8404">
                        <c:v>20.329000000000001</c:v>
                      </c:pt>
                      <c:pt idx="8405">
                        <c:v>20.329000000000001</c:v>
                      </c:pt>
                      <c:pt idx="8406">
                        <c:v>20.329000000000001</c:v>
                      </c:pt>
                      <c:pt idx="8407">
                        <c:v>20.329000000000001</c:v>
                      </c:pt>
                      <c:pt idx="8408">
                        <c:v>20.329000000000001</c:v>
                      </c:pt>
                      <c:pt idx="8409">
                        <c:v>20.329000000000001</c:v>
                      </c:pt>
                      <c:pt idx="8410">
                        <c:v>20.329000000000001</c:v>
                      </c:pt>
                      <c:pt idx="8411">
                        <c:v>20.329000000000001</c:v>
                      </c:pt>
                      <c:pt idx="8412">
                        <c:v>20.329000000000001</c:v>
                      </c:pt>
                      <c:pt idx="8413">
                        <c:v>20.329000000000001</c:v>
                      </c:pt>
                      <c:pt idx="8414">
                        <c:v>20.329000000000001</c:v>
                      </c:pt>
                      <c:pt idx="8415">
                        <c:v>20.329000000000001</c:v>
                      </c:pt>
                      <c:pt idx="8416">
                        <c:v>20.329000000000001</c:v>
                      </c:pt>
                      <c:pt idx="8417">
                        <c:v>20.329000000000001</c:v>
                      </c:pt>
                      <c:pt idx="8418">
                        <c:v>20.329000000000001</c:v>
                      </c:pt>
                      <c:pt idx="8419">
                        <c:v>20.329000000000001</c:v>
                      </c:pt>
                      <c:pt idx="8420">
                        <c:v>20.329000000000001</c:v>
                      </c:pt>
                      <c:pt idx="8421">
                        <c:v>20.329000000000001</c:v>
                      </c:pt>
                      <c:pt idx="8422">
                        <c:v>20.329000000000001</c:v>
                      </c:pt>
                      <c:pt idx="8423">
                        <c:v>20.329000000000001</c:v>
                      </c:pt>
                      <c:pt idx="8424">
                        <c:v>20.329000000000001</c:v>
                      </c:pt>
                      <c:pt idx="8425">
                        <c:v>20.329000000000001</c:v>
                      </c:pt>
                      <c:pt idx="8426">
                        <c:v>20.329000000000001</c:v>
                      </c:pt>
                      <c:pt idx="8427">
                        <c:v>20.329000000000001</c:v>
                      </c:pt>
                      <c:pt idx="8428">
                        <c:v>20.329000000000001</c:v>
                      </c:pt>
                      <c:pt idx="8429">
                        <c:v>20.329000000000001</c:v>
                      </c:pt>
                      <c:pt idx="8430">
                        <c:v>20.329000000000001</c:v>
                      </c:pt>
                      <c:pt idx="8431">
                        <c:v>20.329000000000001</c:v>
                      </c:pt>
                      <c:pt idx="8432">
                        <c:v>20.329000000000001</c:v>
                      </c:pt>
                      <c:pt idx="8433">
                        <c:v>20.329000000000001</c:v>
                      </c:pt>
                      <c:pt idx="8434">
                        <c:v>20.329000000000001</c:v>
                      </c:pt>
                      <c:pt idx="8435">
                        <c:v>20.329000000000001</c:v>
                      </c:pt>
                      <c:pt idx="8436">
                        <c:v>20.329000000000001</c:v>
                      </c:pt>
                      <c:pt idx="8437">
                        <c:v>20.329000000000001</c:v>
                      </c:pt>
                      <c:pt idx="8438">
                        <c:v>20.329000000000001</c:v>
                      </c:pt>
                      <c:pt idx="8439">
                        <c:v>20.329000000000001</c:v>
                      </c:pt>
                      <c:pt idx="8440">
                        <c:v>20.329000000000001</c:v>
                      </c:pt>
                      <c:pt idx="8441">
                        <c:v>20.329000000000001</c:v>
                      </c:pt>
                      <c:pt idx="8442">
                        <c:v>20.329000000000001</c:v>
                      </c:pt>
                      <c:pt idx="8443">
                        <c:v>20.329000000000001</c:v>
                      </c:pt>
                      <c:pt idx="8444">
                        <c:v>20.329000000000001</c:v>
                      </c:pt>
                      <c:pt idx="8445">
                        <c:v>20.329000000000001</c:v>
                      </c:pt>
                      <c:pt idx="8446">
                        <c:v>20.329000000000001</c:v>
                      </c:pt>
                      <c:pt idx="8447">
                        <c:v>20.329000000000001</c:v>
                      </c:pt>
                      <c:pt idx="8448">
                        <c:v>20.329000000000001</c:v>
                      </c:pt>
                      <c:pt idx="8449">
                        <c:v>20.329000000000001</c:v>
                      </c:pt>
                      <c:pt idx="8450">
                        <c:v>20.329000000000001</c:v>
                      </c:pt>
                      <c:pt idx="8451">
                        <c:v>20.329000000000001</c:v>
                      </c:pt>
                      <c:pt idx="8452">
                        <c:v>20.329000000000001</c:v>
                      </c:pt>
                      <c:pt idx="8453">
                        <c:v>20.329000000000001</c:v>
                      </c:pt>
                      <c:pt idx="8454">
                        <c:v>20.329000000000001</c:v>
                      </c:pt>
                      <c:pt idx="8455">
                        <c:v>20.329000000000001</c:v>
                      </c:pt>
                      <c:pt idx="8456">
                        <c:v>20.329000000000001</c:v>
                      </c:pt>
                      <c:pt idx="8457">
                        <c:v>20.329000000000001</c:v>
                      </c:pt>
                      <c:pt idx="8458">
                        <c:v>20.329000000000001</c:v>
                      </c:pt>
                      <c:pt idx="8459">
                        <c:v>20.329000000000001</c:v>
                      </c:pt>
                      <c:pt idx="8460">
                        <c:v>20.329000000000001</c:v>
                      </c:pt>
                      <c:pt idx="8461">
                        <c:v>20.329000000000001</c:v>
                      </c:pt>
                      <c:pt idx="8462">
                        <c:v>20.329000000000001</c:v>
                      </c:pt>
                      <c:pt idx="8463">
                        <c:v>20.329000000000001</c:v>
                      </c:pt>
                      <c:pt idx="8464">
                        <c:v>20.329000000000001</c:v>
                      </c:pt>
                      <c:pt idx="8465">
                        <c:v>20.329000000000001</c:v>
                      </c:pt>
                      <c:pt idx="8466">
                        <c:v>20.329000000000001</c:v>
                      </c:pt>
                      <c:pt idx="8467">
                        <c:v>20.329000000000001</c:v>
                      </c:pt>
                      <c:pt idx="8468">
                        <c:v>20.329000000000001</c:v>
                      </c:pt>
                      <c:pt idx="8469">
                        <c:v>20.329000000000001</c:v>
                      </c:pt>
                      <c:pt idx="8470">
                        <c:v>20.329000000000001</c:v>
                      </c:pt>
                      <c:pt idx="8471">
                        <c:v>20.329000000000001</c:v>
                      </c:pt>
                      <c:pt idx="8472">
                        <c:v>20.329000000000001</c:v>
                      </c:pt>
                      <c:pt idx="8473">
                        <c:v>20.329000000000001</c:v>
                      </c:pt>
                      <c:pt idx="8474">
                        <c:v>20.329000000000001</c:v>
                      </c:pt>
                      <c:pt idx="8475">
                        <c:v>20.329000000000001</c:v>
                      </c:pt>
                      <c:pt idx="8476">
                        <c:v>20.329000000000001</c:v>
                      </c:pt>
                      <c:pt idx="8477">
                        <c:v>20.329000000000001</c:v>
                      </c:pt>
                      <c:pt idx="8478">
                        <c:v>20.329000000000001</c:v>
                      </c:pt>
                      <c:pt idx="8479">
                        <c:v>20.329000000000001</c:v>
                      </c:pt>
                      <c:pt idx="8480">
                        <c:v>20.329000000000001</c:v>
                      </c:pt>
                      <c:pt idx="8481">
                        <c:v>20.329000000000001</c:v>
                      </c:pt>
                      <c:pt idx="8482">
                        <c:v>20.329000000000001</c:v>
                      </c:pt>
                      <c:pt idx="8483">
                        <c:v>20.329000000000001</c:v>
                      </c:pt>
                      <c:pt idx="8484">
                        <c:v>20.329000000000001</c:v>
                      </c:pt>
                      <c:pt idx="8485">
                        <c:v>20.423999999999999</c:v>
                      </c:pt>
                      <c:pt idx="8486">
                        <c:v>20.329000000000001</c:v>
                      </c:pt>
                      <c:pt idx="8487">
                        <c:v>20.329000000000001</c:v>
                      </c:pt>
                      <c:pt idx="8488">
                        <c:v>20.423999999999999</c:v>
                      </c:pt>
                      <c:pt idx="8489">
                        <c:v>20.423999999999999</c:v>
                      </c:pt>
                      <c:pt idx="8490">
                        <c:v>20.423999999999999</c:v>
                      </c:pt>
                      <c:pt idx="8491">
                        <c:v>20.329000000000001</c:v>
                      </c:pt>
                      <c:pt idx="8492">
                        <c:v>20.329000000000001</c:v>
                      </c:pt>
                      <c:pt idx="8493">
                        <c:v>20.423999999999999</c:v>
                      </c:pt>
                      <c:pt idx="8494">
                        <c:v>20.423999999999999</c:v>
                      </c:pt>
                      <c:pt idx="8495">
                        <c:v>20.423999999999999</c:v>
                      </c:pt>
                      <c:pt idx="8496">
                        <c:v>20.329000000000001</c:v>
                      </c:pt>
                      <c:pt idx="8497">
                        <c:v>20.423999999999999</c:v>
                      </c:pt>
                      <c:pt idx="8498">
                        <c:v>20.423999999999999</c:v>
                      </c:pt>
                      <c:pt idx="8499">
                        <c:v>20.423999999999999</c:v>
                      </c:pt>
                      <c:pt idx="8500">
                        <c:v>20.423999999999999</c:v>
                      </c:pt>
                      <c:pt idx="8501">
                        <c:v>20.423999999999999</c:v>
                      </c:pt>
                      <c:pt idx="8502">
                        <c:v>20.423999999999999</c:v>
                      </c:pt>
                      <c:pt idx="8503">
                        <c:v>20.423999999999999</c:v>
                      </c:pt>
                      <c:pt idx="8504">
                        <c:v>20.423999999999999</c:v>
                      </c:pt>
                      <c:pt idx="8505">
                        <c:v>20.423999999999999</c:v>
                      </c:pt>
                      <c:pt idx="8506">
                        <c:v>20.423999999999999</c:v>
                      </c:pt>
                      <c:pt idx="8507">
                        <c:v>20.423999999999999</c:v>
                      </c:pt>
                      <c:pt idx="8508">
                        <c:v>20.423999999999999</c:v>
                      </c:pt>
                      <c:pt idx="8509">
                        <c:v>20.423999999999999</c:v>
                      </c:pt>
                      <c:pt idx="8510">
                        <c:v>20.423999999999999</c:v>
                      </c:pt>
                      <c:pt idx="8511">
                        <c:v>20.423999999999999</c:v>
                      </c:pt>
                      <c:pt idx="8512">
                        <c:v>20.423999999999999</c:v>
                      </c:pt>
                      <c:pt idx="8513">
                        <c:v>20.423999999999999</c:v>
                      </c:pt>
                      <c:pt idx="8514">
                        <c:v>20.423999999999999</c:v>
                      </c:pt>
                      <c:pt idx="8515">
                        <c:v>20.423999999999999</c:v>
                      </c:pt>
                      <c:pt idx="8516">
                        <c:v>20.423999999999999</c:v>
                      </c:pt>
                      <c:pt idx="8517">
                        <c:v>20.423999999999999</c:v>
                      </c:pt>
                      <c:pt idx="8518">
                        <c:v>20.423999999999999</c:v>
                      </c:pt>
                      <c:pt idx="8519">
                        <c:v>20.423999999999999</c:v>
                      </c:pt>
                      <c:pt idx="8520">
                        <c:v>20.423999999999999</c:v>
                      </c:pt>
                      <c:pt idx="8521">
                        <c:v>20.423999999999999</c:v>
                      </c:pt>
                      <c:pt idx="8522">
                        <c:v>20.423999999999999</c:v>
                      </c:pt>
                      <c:pt idx="8523">
                        <c:v>20.423999999999999</c:v>
                      </c:pt>
                      <c:pt idx="8524">
                        <c:v>20.423999999999999</c:v>
                      </c:pt>
                      <c:pt idx="8525">
                        <c:v>20.423999999999999</c:v>
                      </c:pt>
                      <c:pt idx="8526">
                        <c:v>20.423999999999999</c:v>
                      </c:pt>
                      <c:pt idx="8527">
                        <c:v>20.423999999999999</c:v>
                      </c:pt>
                      <c:pt idx="8528">
                        <c:v>20.423999999999999</c:v>
                      </c:pt>
                      <c:pt idx="8529">
                        <c:v>20.423999999999999</c:v>
                      </c:pt>
                      <c:pt idx="8530">
                        <c:v>20.423999999999999</c:v>
                      </c:pt>
                      <c:pt idx="8531">
                        <c:v>20.423999999999999</c:v>
                      </c:pt>
                      <c:pt idx="8532">
                        <c:v>20.423999999999999</c:v>
                      </c:pt>
                      <c:pt idx="8533">
                        <c:v>20.423999999999999</c:v>
                      </c:pt>
                      <c:pt idx="8534">
                        <c:v>20.423999999999999</c:v>
                      </c:pt>
                      <c:pt idx="8535">
                        <c:v>20.423999999999999</c:v>
                      </c:pt>
                      <c:pt idx="8536">
                        <c:v>20.423999999999999</c:v>
                      </c:pt>
                      <c:pt idx="8537">
                        <c:v>20.423999999999999</c:v>
                      </c:pt>
                      <c:pt idx="8538">
                        <c:v>20.423999999999999</c:v>
                      </c:pt>
                      <c:pt idx="8539">
                        <c:v>20.423999999999999</c:v>
                      </c:pt>
                      <c:pt idx="8540">
                        <c:v>20.423999999999999</c:v>
                      </c:pt>
                      <c:pt idx="8541">
                        <c:v>20.423999999999999</c:v>
                      </c:pt>
                      <c:pt idx="8542">
                        <c:v>20.423999999999999</c:v>
                      </c:pt>
                      <c:pt idx="8543">
                        <c:v>20.423999999999999</c:v>
                      </c:pt>
                      <c:pt idx="8544">
                        <c:v>20.423999999999999</c:v>
                      </c:pt>
                      <c:pt idx="8545">
                        <c:v>20.423999999999999</c:v>
                      </c:pt>
                      <c:pt idx="8546">
                        <c:v>20.423999999999999</c:v>
                      </c:pt>
                      <c:pt idx="8547">
                        <c:v>20.423999999999999</c:v>
                      </c:pt>
                      <c:pt idx="8548">
                        <c:v>20.423999999999999</c:v>
                      </c:pt>
                      <c:pt idx="8549">
                        <c:v>20.423999999999999</c:v>
                      </c:pt>
                      <c:pt idx="8550">
                        <c:v>20.423999999999999</c:v>
                      </c:pt>
                      <c:pt idx="8551">
                        <c:v>20.423999999999999</c:v>
                      </c:pt>
                      <c:pt idx="8552">
                        <c:v>20.423999999999999</c:v>
                      </c:pt>
                      <c:pt idx="8553">
                        <c:v>20.423999999999999</c:v>
                      </c:pt>
                      <c:pt idx="8554">
                        <c:v>20.423999999999999</c:v>
                      </c:pt>
                      <c:pt idx="8555">
                        <c:v>20.423999999999999</c:v>
                      </c:pt>
                      <c:pt idx="8556">
                        <c:v>20.423999999999999</c:v>
                      </c:pt>
                      <c:pt idx="8557">
                        <c:v>20.423999999999999</c:v>
                      </c:pt>
                      <c:pt idx="8558">
                        <c:v>20.423999999999999</c:v>
                      </c:pt>
                      <c:pt idx="8559">
                        <c:v>20.423999999999999</c:v>
                      </c:pt>
                      <c:pt idx="8560">
                        <c:v>20.423999999999999</c:v>
                      </c:pt>
                      <c:pt idx="8561">
                        <c:v>20.423999999999999</c:v>
                      </c:pt>
                      <c:pt idx="8562">
                        <c:v>20.423999999999999</c:v>
                      </c:pt>
                      <c:pt idx="8563">
                        <c:v>20.423999999999999</c:v>
                      </c:pt>
                      <c:pt idx="8564">
                        <c:v>20.423999999999999</c:v>
                      </c:pt>
                      <c:pt idx="8565">
                        <c:v>20.423999999999999</c:v>
                      </c:pt>
                      <c:pt idx="8566">
                        <c:v>20.423999999999999</c:v>
                      </c:pt>
                      <c:pt idx="8567">
                        <c:v>20.423999999999999</c:v>
                      </c:pt>
                      <c:pt idx="8568">
                        <c:v>20.423999999999999</c:v>
                      </c:pt>
                      <c:pt idx="8569">
                        <c:v>20.423999999999999</c:v>
                      </c:pt>
                      <c:pt idx="8570">
                        <c:v>20.423999999999999</c:v>
                      </c:pt>
                      <c:pt idx="8571">
                        <c:v>20.423999999999999</c:v>
                      </c:pt>
                      <c:pt idx="8572">
                        <c:v>20.423999999999999</c:v>
                      </c:pt>
                      <c:pt idx="8573">
                        <c:v>20.423999999999999</c:v>
                      </c:pt>
                      <c:pt idx="8574">
                        <c:v>20.423999999999999</c:v>
                      </c:pt>
                      <c:pt idx="8575">
                        <c:v>20.423999999999999</c:v>
                      </c:pt>
                      <c:pt idx="8576">
                        <c:v>20.423999999999999</c:v>
                      </c:pt>
                      <c:pt idx="8577">
                        <c:v>20.423999999999999</c:v>
                      </c:pt>
                      <c:pt idx="8578">
                        <c:v>20.423999999999999</c:v>
                      </c:pt>
                      <c:pt idx="8579">
                        <c:v>20.423999999999999</c:v>
                      </c:pt>
                      <c:pt idx="8580">
                        <c:v>20.423999999999999</c:v>
                      </c:pt>
                      <c:pt idx="8581">
                        <c:v>20.423999999999999</c:v>
                      </c:pt>
                      <c:pt idx="8582">
                        <c:v>20.423999999999999</c:v>
                      </c:pt>
                      <c:pt idx="8583">
                        <c:v>20.423999999999999</c:v>
                      </c:pt>
                      <c:pt idx="8584">
                        <c:v>20.423999999999999</c:v>
                      </c:pt>
                      <c:pt idx="8585">
                        <c:v>20.423999999999999</c:v>
                      </c:pt>
                      <c:pt idx="8586">
                        <c:v>20.423999999999999</c:v>
                      </c:pt>
                      <c:pt idx="8587">
                        <c:v>20.423999999999999</c:v>
                      </c:pt>
                      <c:pt idx="8588">
                        <c:v>20.423999999999999</c:v>
                      </c:pt>
                      <c:pt idx="8589">
                        <c:v>20.423999999999999</c:v>
                      </c:pt>
                      <c:pt idx="8590">
                        <c:v>20.423999999999999</c:v>
                      </c:pt>
                      <c:pt idx="8591">
                        <c:v>20.423999999999999</c:v>
                      </c:pt>
                      <c:pt idx="8592">
                        <c:v>20.423999999999999</c:v>
                      </c:pt>
                      <c:pt idx="8593">
                        <c:v>20.423999999999999</c:v>
                      </c:pt>
                      <c:pt idx="8594">
                        <c:v>20.423999999999999</c:v>
                      </c:pt>
                      <c:pt idx="8595">
                        <c:v>20.423999999999999</c:v>
                      </c:pt>
                      <c:pt idx="8596">
                        <c:v>20.423999999999999</c:v>
                      </c:pt>
                      <c:pt idx="8597">
                        <c:v>20.423999999999999</c:v>
                      </c:pt>
                      <c:pt idx="8598">
                        <c:v>20.423999999999999</c:v>
                      </c:pt>
                      <c:pt idx="8599">
                        <c:v>20.423999999999999</c:v>
                      </c:pt>
                      <c:pt idx="8600">
                        <c:v>20.423999999999999</c:v>
                      </c:pt>
                      <c:pt idx="8601">
                        <c:v>20.423999999999999</c:v>
                      </c:pt>
                      <c:pt idx="8602">
                        <c:v>20.423999999999999</c:v>
                      </c:pt>
                      <c:pt idx="8603">
                        <c:v>20.423999999999999</c:v>
                      </c:pt>
                      <c:pt idx="8604">
                        <c:v>20.423999999999999</c:v>
                      </c:pt>
                      <c:pt idx="8605">
                        <c:v>20.423999999999999</c:v>
                      </c:pt>
                      <c:pt idx="8606">
                        <c:v>20.423999999999999</c:v>
                      </c:pt>
                      <c:pt idx="8607">
                        <c:v>20.423999999999999</c:v>
                      </c:pt>
                      <c:pt idx="8608">
                        <c:v>20.423999999999999</c:v>
                      </c:pt>
                      <c:pt idx="8609">
                        <c:v>20.423999999999999</c:v>
                      </c:pt>
                      <c:pt idx="8610">
                        <c:v>20.423999999999999</c:v>
                      </c:pt>
                      <c:pt idx="8611">
                        <c:v>20.423999999999999</c:v>
                      </c:pt>
                      <c:pt idx="8612">
                        <c:v>20.423999999999999</c:v>
                      </c:pt>
                      <c:pt idx="8613">
                        <c:v>20.423999999999999</c:v>
                      </c:pt>
                      <c:pt idx="8614">
                        <c:v>20.423999999999999</c:v>
                      </c:pt>
                      <c:pt idx="8615">
                        <c:v>20.423999999999999</c:v>
                      </c:pt>
                      <c:pt idx="8616">
                        <c:v>20.423999999999999</c:v>
                      </c:pt>
                      <c:pt idx="8617">
                        <c:v>20.423999999999999</c:v>
                      </c:pt>
                      <c:pt idx="8618">
                        <c:v>20.423999999999999</c:v>
                      </c:pt>
                      <c:pt idx="8619">
                        <c:v>20.423999999999999</c:v>
                      </c:pt>
                      <c:pt idx="8620">
                        <c:v>20.423999999999999</c:v>
                      </c:pt>
                      <c:pt idx="8621">
                        <c:v>20.423999999999999</c:v>
                      </c:pt>
                      <c:pt idx="8622">
                        <c:v>20.423999999999999</c:v>
                      </c:pt>
                      <c:pt idx="8623">
                        <c:v>20.423999999999999</c:v>
                      </c:pt>
                      <c:pt idx="8624">
                        <c:v>20.423999999999999</c:v>
                      </c:pt>
                      <c:pt idx="8625">
                        <c:v>20.423999999999999</c:v>
                      </c:pt>
                      <c:pt idx="8626">
                        <c:v>20.423999999999999</c:v>
                      </c:pt>
                      <c:pt idx="8627">
                        <c:v>20.423999999999999</c:v>
                      </c:pt>
                      <c:pt idx="8628">
                        <c:v>20.423999999999999</c:v>
                      </c:pt>
                      <c:pt idx="8629">
                        <c:v>20.423999999999999</c:v>
                      </c:pt>
                      <c:pt idx="8630">
                        <c:v>20.423999999999999</c:v>
                      </c:pt>
                      <c:pt idx="8631">
                        <c:v>20.423999999999999</c:v>
                      </c:pt>
                      <c:pt idx="8632">
                        <c:v>20.423999999999999</c:v>
                      </c:pt>
                      <c:pt idx="8633">
                        <c:v>20.423999999999999</c:v>
                      </c:pt>
                      <c:pt idx="8634">
                        <c:v>20.423999999999999</c:v>
                      </c:pt>
                      <c:pt idx="8635">
                        <c:v>20.423999999999999</c:v>
                      </c:pt>
                      <c:pt idx="8636">
                        <c:v>20.423999999999999</c:v>
                      </c:pt>
                      <c:pt idx="8637">
                        <c:v>20.423999999999999</c:v>
                      </c:pt>
                      <c:pt idx="8638">
                        <c:v>20.423999999999999</c:v>
                      </c:pt>
                      <c:pt idx="8639">
                        <c:v>20.423999999999999</c:v>
                      </c:pt>
                      <c:pt idx="8640">
                        <c:v>20.423999999999999</c:v>
                      </c:pt>
                      <c:pt idx="8641">
                        <c:v>20.423999999999999</c:v>
                      </c:pt>
                      <c:pt idx="8642">
                        <c:v>20.423999999999999</c:v>
                      </c:pt>
                      <c:pt idx="8643">
                        <c:v>20.423999999999999</c:v>
                      </c:pt>
                      <c:pt idx="8644">
                        <c:v>20.423999999999999</c:v>
                      </c:pt>
                      <c:pt idx="8645">
                        <c:v>20.423999999999999</c:v>
                      </c:pt>
                      <c:pt idx="8646">
                        <c:v>20.423999999999999</c:v>
                      </c:pt>
                      <c:pt idx="8647">
                        <c:v>20.423999999999999</c:v>
                      </c:pt>
                      <c:pt idx="8648">
                        <c:v>20.423999999999999</c:v>
                      </c:pt>
                      <c:pt idx="8649">
                        <c:v>20.423999999999999</c:v>
                      </c:pt>
                      <c:pt idx="8650">
                        <c:v>20.423999999999999</c:v>
                      </c:pt>
                      <c:pt idx="8651">
                        <c:v>20.423999999999999</c:v>
                      </c:pt>
                      <c:pt idx="8652">
                        <c:v>20.423999999999999</c:v>
                      </c:pt>
                      <c:pt idx="8653">
                        <c:v>20.423999999999999</c:v>
                      </c:pt>
                      <c:pt idx="8654">
                        <c:v>20.423999999999999</c:v>
                      </c:pt>
                      <c:pt idx="8655">
                        <c:v>20.423999999999999</c:v>
                      </c:pt>
                      <c:pt idx="8656">
                        <c:v>20.423999999999999</c:v>
                      </c:pt>
                      <c:pt idx="8657">
                        <c:v>20.423999999999999</c:v>
                      </c:pt>
                      <c:pt idx="8658">
                        <c:v>20.423999999999999</c:v>
                      </c:pt>
                      <c:pt idx="8659">
                        <c:v>20.423999999999999</c:v>
                      </c:pt>
                      <c:pt idx="8660">
                        <c:v>20.423999999999999</c:v>
                      </c:pt>
                      <c:pt idx="8661">
                        <c:v>20.423999999999999</c:v>
                      </c:pt>
                      <c:pt idx="8662">
                        <c:v>20.423999999999999</c:v>
                      </c:pt>
                      <c:pt idx="8663">
                        <c:v>20.423999999999999</c:v>
                      </c:pt>
                      <c:pt idx="8664">
                        <c:v>20.423999999999999</c:v>
                      </c:pt>
                      <c:pt idx="8665">
                        <c:v>20.423999999999999</c:v>
                      </c:pt>
                      <c:pt idx="8666">
                        <c:v>20.423999999999999</c:v>
                      </c:pt>
                      <c:pt idx="8667">
                        <c:v>20.423999999999999</c:v>
                      </c:pt>
                      <c:pt idx="8668">
                        <c:v>20.423999999999999</c:v>
                      </c:pt>
                      <c:pt idx="8669">
                        <c:v>20.423999999999999</c:v>
                      </c:pt>
                      <c:pt idx="8670">
                        <c:v>20.423999999999999</c:v>
                      </c:pt>
                      <c:pt idx="8671">
                        <c:v>20.423999999999999</c:v>
                      </c:pt>
                      <c:pt idx="8672">
                        <c:v>20.423999999999999</c:v>
                      </c:pt>
                      <c:pt idx="8673">
                        <c:v>20.423999999999999</c:v>
                      </c:pt>
                      <c:pt idx="8674">
                        <c:v>20.423999999999999</c:v>
                      </c:pt>
                      <c:pt idx="8675">
                        <c:v>20.423999999999999</c:v>
                      </c:pt>
                      <c:pt idx="8676">
                        <c:v>20.423999999999999</c:v>
                      </c:pt>
                      <c:pt idx="8677">
                        <c:v>20.423999999999999</c:v>
                      </c:pt>
                      <c:pt idx="8678">
                        <c:v>20.423999999999999</c:v>
                      </c:pt>
                      <c:pt idx="8679">
                        <c:v>20.423999999999999</c:v>
                      </c:pt>
                      <c:pt idx="8680">
                        <c:v>20.423999999999999</c:v>
                      </c:pt>
                      <c:pt idx="8681">
                        <c:v>20.423999999999999</c:v>
                      </c:pt>
                      <c:pt idx="8682">
                        <c:v>20.423999999999999</c:v>
                      </c:pt>
                      <c:pt idx="8683">
                        <c:v>20.423999999999999</c:v>
                      </c:pt>
                      <c:pt idx="8684">
                        <c:v>20.423999999999999</c:v>
                      </c:pt>
                      <c:pt idx="8685">
                        <c:v>20.423999999999999</c:v>
                      </c:pt>
                      <c:pt idx="8686">
                        <c:v>20.423999999999999</c:v>
                      </c:pt>
                      <c:pt idx="8687">
                        <c:v>20.423999999999999</c:v>
                      </c:pt>
                      <c:pt idx="8688">
                        <c:v>20.423999999999999</c:v>
                      </c:pt>
                      <c:pt idx="8689">
                        <c:v>20.423999999999999</c:v>
                      </c:pt>
                      <c:pt idx="8690">
                        <c:v>20.423999999999999</c:v>
                      </c:pt>
                      <c:pt idx="8691">
                        <c:v>20.423999999999999</c:v>
                      </c:pt>
                      <c:pt idx="8692">
                        <c:v>20.423999999999999</c:v>
                      </c:pt>
                      <c:pt idx="8693">
                        <c:v>20.423999999999999</c:v>
                      </c:pt>
                      <c:pt idx="8694">
                        <c:v>20.423999999999999</c:v>
                      </c:pt>
                      <c:pt idx="8695">
                        <c:v>20.423999999999999</c:v>
                      </c:pt>
                      <c:pt idx="8696">
                        <c:v>20.423999999999999</c:v>
                      </c:pt>
                      <c:pt idx="8697">
                        <c:v>20.423999999999999</c:v>
                      </c:pt>
                      <c:pt idx="8698">
                        <c:v>20.423999999999999</c:v>
                      </c:pt>
                      <c:pt idx="8699">
                        <c:v>20.423999999999999</c:v>
                      </c:pt>
                      <c:pt idx="8700">
                        <c:v>20.423999999999999</c:v>
                      </c:pt>
                      <c:pt idx="8701">
                        <c:v>20.423999999999999</c:v>
                      </c:pt>
                      <c:pt idx="8702">
                        <c:v>20.423999999999999</c:v>
                      </c:pt>
                      <c:pt idx="8703">
                        <c:v>20.423999999999999</c:v>
                      </c:pt>
                      <c:pt idx="8704">
                        <c:v>20.423999999999999</c:v>
                      </c:pt>
                      <c:pt idx="8705">
                        <c:v>20.423999999999999</c:v>
                      </c:pt>
                      <c:pt idx="8706">
                        <c:v>20.423999999999999</c:v>
                      </c:pt>
                      <c:pt idx="8707">
                        <c:v>20.423999999999999</c:v>
                      </c:pt>
                      <c:pt idx="8708">
                        <c:v>20.423999999999999</c:v>
                      </c:pt>
                      <c:pt idx="8709">
                        <c:v>20.423999999999999</c:v>
                      </c:pt>
                      <c:pt idx="8710">
                        <c:v>20.423999999999999</c:v>
                      </c:pt>
                      <c:pt idx="8711">
                        <c:v>20.423999999999999</c:v>
                      </c:pt>
                      <c:pt idx="8712">
                        <c:v>20.423999999999999</c:v>
                      </c:pt>
                      <c:pt idx="8713">
                        <c:v>20.423999999999999</c:v>
                      </c:pt>
                      <c:pt idx="8714">
                        <c:v>20.423999999999999</c:v>
                      </c:pt>
                      <c:pt idx="8715">
                        <c:v>20.423999999999999</c:v>
                      </c:pt>
                      <c:pt idx="8716">
                        <c:v>20.423999999999999</c:v>
                      </c:pt>
                      <c:pt idx="8717">
                        <c:v>20.423999999999999</c:v>
                      </c:pt>
                      <c:pt idx="8718">
                        <c:v>20.423999999999999</c:v>
                      </c:pt>
                      <c:pt idx="8719">
                        <c:v>20.423999999999999</c:v>
                      </c:pt>
                      <c:pt idx="8720">
                        <c:v>20.423999999999999</c:v>
                      </c:pt>
                      <c:pt idx="8721">
                        <c:v>20.423999999999999</c:v>
                      </c:pt>
                      <c:pt idx="8722">
                        <c:v>20.423999999999999</c:v>
                      </c:pt>
                      <c:pt idx="8723">
                        <c:v>20.423999999999999</c:v>
                      </c:pt>
                      <c:pt idx="8724">
                        <c:v>20.423999999999999</c:v>
                      </c:pt>
                      <c:pt idx="8725">
                        <c:v>20.423999999999999</c:v>
                      </c:pt>
                      <c:pt idx="8726">
                        <c:v>20.423999999999999</c:v>
                      </c:pt>
                      <c:pt idx="8727">
                        <c:v>20.423999999999999</c:v>
                      </c:pt>
                      <c:pt idx="8728">
                        <c:v>20.423999999999999</c:v>
                      </c:pt>
                      <c:pt idx="8729">
                        <c:v>20.423999999999999</c:v>
                      </c:pt>
                      <c:pt idx="8730">
                        <c:v>20.423999999999999</c:v>
                      </c:pt>
                      <c:pt idx="8731">
                        <c:v>20.423999999999999</c:v>
                      </c:pt>
                      <c:pt idx="8732">
                        <c:v>20.423999999999999</c:v>
                      </c:pt>
                      <c:pt idx="8733">
                        <c:v>20.423999999999999</c:v>
                      </c:pt>
                      <c:pt idx="8734">
                        <c:v>20.423999999999999</c:v>
                      </c:pt>
                      <c:pt idx="8735">
                        <c:v>20.423999999999999</c:v>
                      </c:pt>
                      <c:pt idx="8736">
                        <c:v>20.423999999999999</c:v>
                      </c:pt>
                      <c:pt idx="8737">
                        <c:v>20.423999999999999</c:v>
                      </c:pt>
                      <c:pt idx="8738">
                        <c:v>20.423999999999999</c:v>
                      </c:pt>
                      <c:pt idx="8739">
                        <c:v>20.423999999999999</c:v>
                      </c:pt>
                      <c:pt idx="8740">
                        <c:v>20.423999999999999</c:v>
                      </c:pt>
                      <c:pt idx="8741">
                        <c:v>20.423999999999999</c:v>
                      </c:pt>
                      <c:pt idx="8742">
                        <c:v>20.423999999999999</c:v>
                      </c:pt>
                      <c:pt idx="8743">
                        <c:v>20.423999999999999</c:v>
                      </c:pt>
                      <c:pt idx="8744">
                        <c:v>20.423999999999999</c:v>
                      </c:pt>
                      <c:pt idx="8745">
                        <c:v>20.423999999999999</c:v>
                      </c:pt>
                      <c:pt idx="8746">
                        <c:v>20.423999999999999</c:v>
                      </c:pt>
                      <c:pt idx="8747">
                        <c:v>20.423999999999999</c:v>
                      </c:pt>
                      <c:pt idx="8748">
                        <c:v>20.423999999999999</c:v>
                      </c:pt>
                      <c:pt idx="8749">
                        <c:v>20.423999999999999</c:v>
                      </c:pt>
                      <c:pt idx="8750">
                        <c:v>20.423999999999999</c:v>
                      </c:pt>
                      <c:pt idx="8751">
                        <c:v>20.423999999999999</c:v>
                      </c:pt>
                      <c:pt idx="8752">
                        <c:v>20.423999999999999</c:v>
                      </c:pt>
                      <c:pt idx="8753">
                        <c:v>20.423999999999999</c:v>
                      </c:pt>
                      <c:pt idx="8754">
                        <c:v>20.423999999999999</c:v>
                      </c:pt>
                      <c:pt idx="8755">
                        <c:v>20.423999999999999</c:v>
                      </c:pt>
                      <c:pt idx="8756">
                        <c:v>20.423999999999999</c:v>
                      </c:pt>
                      <c:pt idx="8757">
                        <c:v>20.423999999999999</c:v>
                      </c:pt>
                      <c:pt idx="8758">
                        <c:v>20.423999999999999</c:v>
                      </c:pt>
                      <c:pt idx="8759">
                        <c:v>20.423999999999999</c:v>
                      </c:pt>
                      <c:pt idx="8760">
                        <c:v>20.423999999999999</c:v>
                      </c:pt>
                      <c:pt idx="8761">
                        <c:v>20.423999999999999</c:v>
                      </c:pt>
                      <c:pt idx="8762">
                        <c:v>20.423999999999999</c:v>
                      </c:pt>
                      <c:pt idx="8763">
                        <c:v>20.423999999999999</c:v>
                      </c:pt>
                      <c:pt idx="8764">
                        <c:v>20.423999999999999</c:v>
                      </c:pt>
                      <c:pt idx="8765">
                        <c:v>20.423999999999999</c:v>
                      </c:pt>
                      <c:pt idx="8766">
                        <c:v>20.423999999999999</c:v>
                      </c:pt>
                      <c:pt idx="8767">
                        <c:v>20.423999999999999</c:v>
                      </c:pt>
                      <c:pt idx="8768">
                        <c:v>20.423999999999999</c:v>
                      </c:pt>
                      <c:pt idx="8769">
                        <c:v>20.423999999999999</c:v>
                      </c:pt>
                      <c:pt idx="8770">
                        <c:v>20.423999999999999</c:v>
                      </c:pt>
                      <c:pt idx="8771">
                        <c:v>20.423999999999999</c:v>
                      </c:pt>
                      <c:pt idx="8772">
                        <c:v>20.423999999999999</c:v>
                      </c:pt>
                      <c:pt idx="8773">
                        <c:v>20.423999999999999</c:v>
                      </c:pt>
                      <c:pt idx="8774">
                        <c:v>20.423999999999999</c:v>
                      </c:pt>
                      <c:pt idx="8775">
                        <c:v>20.423999999999999</c:v>
                      </c:pt>
                      <c:pt idx="8776">
                        <c:v>20.423999999999999</c:v>
                      </c:pt>
                      <c:pt idx="8777">
                        <c:v>20.423999999999999</c:v>
                      </c:pt>
                      <c:pt idx="8778">
                        <c:v>20.423999999999999</c:v>
                      </c:pt>
                      <c:pt idx="8779">
                        <c:v>20.423999999999999</c:v>
                      </c:pt>
                      <c:pt idx="8780">
                        <c:v>20.423999999999999</c:v>
                      </c:pt>
                      <c:pt idx="8781">
                        <c:v>20.423999999999999</c:v>
                      </c:pt>
                      <c:pt idx="8782">
                        <c:v>20.423999999999999</c:v>
                      </c:pt>
                      <c:pt idx="8783">
                        <c:v>20.423999999999999</c:v>
                      </c:pt>
                      <c:pt idx="8784">
                        <c:v>20.423999999999999</c:v>
                      </c:pt>
                      <c:pt idx="8785">
                        <c:v>20.423999999999999</c:v>
                      </c:pt>
                      <c:pt idx="8786">
                        <c:v>20.423999999999999</c:v>
                      </c:pt>
                      <c:pt idx="8787">
                        <c:v>20.423999999999999</c:v>
                      </c:pt>
                      <c:pt idx="8788">
                        <c:v>20.423999999999999</c:v>
                      </c:pt>
                      <c:pt idx="8789">
                        <c:v>20.423999999999999</c:v>
                      </c:pt>
                      <c:pt idx="8790">
                        <c:v>20.423999999999999</c:v>
                      </c:pt>
                      <c:pt idx="8791">
                        <c:v>20.423999999999999</c:v>
                      </c:pt>
                      <c:pt idx="8792">
                        <c:v>20.423999999999999</c:v>
                      </c:pt>
                      <c:pt idx="8793">
                        <c:v>20.423999999999999</c:v>
                      </c:pt>
                      <c:pt idx="8794">
                        <c:v>20.423999999999999</c:v>
                      </c:pt>
                      <c:pt idx="8795">
                        <c:v>20.423999999999999</c:v>
                      </c:pt>
                      <c:pt idx="8796">
                        <c:v>20.423999999999999</c:v>
                      </c:pt>
                      <c:pt idx="8797">
                        <c:v>20.423999999999999</c:v>
                      </c:pt>
                      <c:pt idx="8798">
                        <c:v>20.423999999999999</c:v>
                      </c:pt>
                      <c:pt idx="8799">
                        <c:v>20.423999999999999</c:v>
                      </c:pt>
                      <c:pt idx="8800">
                        <c:v>20.423999999999999</c:v>
                      </c:pt>
                      <c:pt idx="8801">
                        <c:v>20.423999999999999</c:v>
                      </c:pt>
                      <c:pt idx="8802">
                        <c:v>20.423999999999999</c:v>
                      </c:pt>
                      <c:pt idx="8803">
                        <c:v>20.423999999999999</c:v>
                      </c:pt>
                      <c:pt idx="8804">
                        <c:v>20.423999999999999</c:v>
                      </c:pt>
                      <c:pt idx="8805">
                        <c:v>20.423999999999999</c:v>
                      </c:pt>
                      <c:pt idx="8806">
                        <c:v>20.423999999999999</c:v>
                      </c:pt>
                      <c:pt idx="8807">
                        <c:v>20.423999999999999</c:v>
                      </c:pt>
                      <c:pt idx="8808">
                        <c:v>20.423999999999999</c:v>
                      </c:pt>
                      <c:pt idx="8809">
                        <c:v>20.423999999999999</c:v>
                      </c:pt>
                      <c:pt idx="8810">
                        <c:v>20.423999999999999</c:v>
                      </c:pt>
                      <c:pt idx="8811">
                        <c:v>20.423999999999999</c:v>
                      </c:pt>
                      <c:pt idx="8812">
                        <c:v>20.423999999999999</c:v>
                      </c:pt>
                      <c:pt idx="8813">
                        <c:v>20.423999999999999</c:v>
                      </c:pt>
                      <c:pt idx="8814">
                        <c:v>20.423999999999999</c:v>
                      </c:pt>
                      <c:pt idx="8815">
                        <c:v>20.423999999999999</c:v>
                      </c:pt>
                      <c:pt idx="8816">
                        <c:v>20.423999999999999</c:v>
                      </c:pt>
                      <c:pt idx="8817">
                        <c:v>20.423999999999999</c:v>
                      </c:pt>
                      <c:pt idx="8818">
                        <c:v>20.423999999999999</c:v>
                      </c:pt>
                      <c:pt idx="8819">
                        <c:v>20.423999999999999</c:v>
                      </c:pt>
                      <c:pt idx="8820">
                        <c:v>20.423999999999999</c:v>
                      </c:pt>
                      <c:pt idx="8821">
                        <c:v>20.423999999999999</c:v>
                      </c:pt>
                      <c:pt idx="8822">
                        <c:v>20.423999999999999</c:v>
                      </c:pt>
                      <c:pt idx="8823">
                        <c:v>20.423999999999999</c:v>
                      </c:pt>
                      <c:pt idx="8824">
                        <c:v>20.423999999999999</c:v>
                      </c:pt>
                      <c:pt idx="8825">
                        <c:v>20.423999999999999</c:v>
                      </c:pt>
                      <c:pt idx="8826">
                        <c:v>20.423999999999999</c:v>
                      </c:pt>
                      <c:pt idx="8827">
                        <c:v>20.423999999999999</c:v>
                      </c:pt>
                      <c:pt idx="8828">
                        <c:v>20.423999999999999</c:v>
                      </c:pt>
                      <c:pt idx="8829">
                        <c:v>20.423999999999999</c:v>
                      </c:pt>
                      <c:pt idx="8830">
                        <c:v>20.423999999999999</c:v>
                      </c:pt>
                      <c:pt idx="8831">
                        <c:v>20.423999999999999</c:v>
                      </c:pt>
                      <c:pt idx="8832">
                        <c:v>20.423999999999999</c:v>
                      </c:pt>
                      <c:pt idx="8833">
                        <c:v>20.423999999999999</c:v>
                      </c:pt>
                      <c:pt idx="8834">
                        <c:v>20.423999999999999</c:v>
                      </c:pt>
                      <c:pt idx="8835">
                        <c:v>20.423999999999999</c:v>
                      </c:pt>
                      <c:pt idx="8836">
                        <c:v>20.423999999999999</c:v>
                      </c:pt>
                      <c:pt idx="8837">
                        <c:v>20.423999999999999</c:v>
                      </c:pt>
                      <c:pt idx="8838">
                        <c:v>20.423999999999999</c:v>
                      </c:pt>
                      <c:pt idx="8839">
                        <c:v>20.423999999999999</c:v>
                      </c:pt>
                      <c:pt idx="8840">
                        <c:v>20.423999999999999</c:v>
                      </c:pt>
                      <c:pt idx="8841">
                        <c:v>20.423999999999999</c:v>
                      </c:pt>
                      <c:pt idx="8842">
                        <c:v>20.423999999999999</c:v>
                      </c:pt>
                      <c:pt idx="8843">
                        <c:v>20.423999999999999</c:v>
                      </c:pt>
                      <c:pt idx="8844">
                        <c:v>20.423999999999999</c:v>
                      </c:pt>
                      <c:pt idx="8845">
                        <c:v>20.423999999999999</c:v>
                      </c:pt>
                      <c:pt idx="8846">
                        <c:v>20.423999999999999</c:v>
                      </c:pt>
                      <c:pt idx="8847">
                        <c:v>20.423999999999999</c:v>
                      </c:pt>
                      <c:pt idx="8848">
                        <c:v>20.423999999999999</c:v>
                      </c:pt>
                      <c:pt idx="8849">
                        <c:v>20.423999999999999</c:v>
                      </c:pt>
                      <c:pt idx="8850">
                        <c:v>20.423999999999999</c:v>
                      </c:pt>
                      <c:pt idx="8851">
                        <c:v>20.423999999999999</c:v>
                      </c:pt>
                      <c:pt idx="8852">
                        <c:v>20.423999999999999</c:v>
                      </c:pt>
                      <c:pt idx="8853">
                        <c:v>20.423999999999999</c:v>
                      </c:pt>
                      <c:pt idx="8854">
                        <c:v>20.423999999999999</c:v>
                      </c:pt>
                      <c:pt idx="8855">
                        <c:v>20.423999999999999</c:v>
                      </c:pt>
                      <c:pt idx="8856">
                        <c:v>20.423999999999999</c:v>
                      </c:pt>
                      <c:pt idx="8857">
                        <c:v>20.423999999999999</c:v>
                      </c:pt>
                      <c:pt idx="8858">
                        <c:v>20.423999999999999</c:v>
                      </c:pt>
                      <c:pt idx="8859">
                        <c:v>20.423999999999999</c:v>
                      </c:pt>
                      <c:pt idx="8860">
                        <c:v>20.423999999999999</c:v>
                      </c:pt>
                      <c:pt idx="8861">
                        <c:v>20.423999999999999</c:v>
                      </c:pt>
                      <c:pt idx="8862">
                        <c:v>20.423999999999999</c:v>
                      </c:pt>
                      <c:pt idx="8863">
                        <c:v>20.423999999999999</c:v>
                      </c:pt>
                      <c:pt idx="8864">
                        <c:v>20.423999999999999</c:v>
                      </c:pt>
                      <c:pt idx="8865">
                        <c:v>20.423999999999999</c:v>
                      </c:pt>
                      <c:pt idx="8866">
                        <c:v>20.423999999999999</c:v>
                      </c:pt>
                      <c:pt idx="8867">
                        <c:v>20.423999999999999</c:v>
                      </c:pt>
                      <c:pt idx="8868">
                        <c:v>20.423999999999999</c:v>
                      </c:pt>
                      <c:pt idx="8869">
                        <c:v>20.423999999999999</c:v>
                      </c:pt>
                      <c:pt idx="8870">
                        <c:v>20.423999999999999</c:v>
                      </c:pt>
                      <c:pt idx="8871">
                        <c:v>20.423999999999999</c:v>
                      </c:pt>
                      <c:pt idx="8872">
                        <c:v>20.423999999999999</c:v>
                      </c:pt>
                      <c:pt idx="8873">
                        <c:v>20.423999999999999</c:v>
                      </c:pt>
                      <c:pt idx="8874">
                        <c:v>20.423999999999999</c:v>
                      </c:pt>
                      <c:pt idx="8875">
                        <c:v>20.423999999999999</c:v>
                      </c:pt>
                      <c:pt idx="8876">
                        <c:v>20.423999999999999</c:v>
                      </c:pt>
                      <c:pt idx="8877">
                        <c:v>20.423999999999999</c:v>
                      </c:pt>
                      <c:pt idx="8878">
                        <c:v>20.423999999999999</c:v>
                      </c:pt>
                      <c:pt idx="8879">
                        <c:v>20.423999999999999</c:v>
                      </c:pt>
                      <c:pt idx="8880">
                        <c:v>20.423999999999999</c:v>
                      </c:pt>
                      <c:pt idx="8881">
                        <c:v>20.423999999999999</c:v>
                      </c:pt>
                      <c:pt idx="8882">
                        <c:v>20.423999999999999</c:v>
                      </c:pt>
                      <c:pt idx="8883">
                        <c:v>20.423999999999999</c:v>
                      </c:pt>
                      <c:pt idx="8884">
                        <c:v>20.423999999999999</c:v>
                      </c:pt>
                      <c:pt idx="8885">
                        <c:v>20.423999999999999</c:v>
                      </c:pt>
                      <c:pt idx="8886">
                        <c:v>20.423999999999999</c:v>
                      </c:pt>
                      <c:pt idx="8887">
                        <c:v>20.423999999999999</c:v>
                      </c:pt>
                      <c:pt idx="8888">
                        <c:v>20.423999999999999</c:v>
                      </c:pt>
                      <c:pt idx="8889">
                        <c:v>20.423999999999999</c:v>
                      </c:pt>
                      <c:pt idx="8890">
                        <c:v>20.423999999999999</c:v>
                      </c:pt>
                      <c:pt idx="8891">
                        <c:v>20.423999999999999</c:v>
                      </c:pt>
                      <c:pt idx="8892">
                        <c:v>20.423999999999999</c:v>
                      </c:pt>
                      <c:pt idx="8893">
                        <c:v>20.423999999999999</c:v>
                      </c:pt>
                      <c:pt idx="8894">
                        <c:v>20.423999999999999</c:v>
                      </c:pt>
                      <c:pt idx="8895">
                        <c:v>20.423999999999999</c:v>
                      </c:pt>
                      <c:pt idx="8896">
                        <c:v>20.423999999999999</c:v>
                      </c:pt>
                      <c:pt idx="8897">
                        <c:v>20.423999999999999</c:v>
                      </c:pt>
                      <c:pt idx="8898">
                        <c:v>20.423999999999999</c:v>
                      </c:pt>
                      <c:pt idx="8899">
                        <c:v>20.423999999999999</c:v>
                      </c:pt>
                      <c:pt idx="8900">
                        <c:v>20.423999999999999</c:v>
                      </c:pt>
                      <c:pt idx="8901">
                        <c:v>20.423999999999999</c:v>
                      </c:pt>
                      <c:pt idx="8902">
                        <c:v>20.423999999999999</c:v>
                      </c:pt>
                      <c:pt idx="8903">
                        <c:v>20.423999999999999</c:v>
                      </c:pt>
                      <c:pt idx="8904">
                        <c:v>20.423999999999999</c:v>
                      </c:pt>
                      <c:pt idx="8905">
                        <c:v>20.423999999999999</c:v>
                      </c:pt>
                      <c:pt idx="8906">
                        <c:v>20.423999999999999</c:v>
                      </c:pt>
                      <c:pt idx="8907">
                        <c:v>20.423999999999999</c:v>
                      </c:pt>
                      <c:pt idx="8908">
                        <c:v>20.423999999999999</c:v>
                      </c:pt>
                      <c:pt idx="8909">
                        <c:v>20.423999999999999</c:v>
                      </c:pt>
                      <c:pt idx="8910">
                        <c:v>20.423999999999999</c:v>
                      </c:pt>
                      <c:pt idx="8911">
                        <c:v>20.423999999999999</c:v>
                      </c:pt>
                      <c:pt idx="8912">
                        <c:v>20.423999999999999</c:v>
                      </c:pt>
                      <c:pt idx="8913">
                        <c:v>20.423999999999999</c:v>
                      </c:pt>
                      <c:pt idx="8914">
                        <c:v>20.423999999999999</c:v>
                      </c:pt>
                      <c:pt idx="8915">
                        <c:v>20.423999999999999</c:v>
                      </c:pt>
                      <c:pt idx="8916">
                        <c:v>20.423999999999999</c:v>
                      </c:pt>
                      <c:pt idx="8917">
                        <c:v>20.423999999999999</c:v>
                      </c:pt>
                      <c:pt idx="8918">
                        <c:v>20.423999999999999</c:v>
                      </c:pt>
                      <c:pt idx="8919">
                        <c:v>20.423999999999999</c:v>
                      </c:pt>
                      <c:pt idx="8920">
                        <c:v>20.423999999999999</c:v>
                      </c:pt>
                      <c:pt idx="8921">
                        <c:v>20.423999999999999</c:v>
                      </c:pt>
                      <c:pt idx="8922">
                        <c:v>20.423999999999999</c:v>
                      </c:pt>
                      <c:pt idx="8923">
                        <c:v>20.423999999999999</c:v>
                      </c:pt>
                      <c:pt idx="8924">
                        <c:v>20.423999999999999</c:v>
                      </c:pt>
                      <c:pt idx="8925">
                        <c:v>20.423999999999999</c:v>
                      </c:pt>
                      <c:pt idx="8926">
                        <c:v>20.423999999999999</c:v>
                      </c:pt>
                      <c:pt idx="8927">
                        <c:v>20.423999999999999</c:v>
                      </c:pt>
                      <c:pt idx="8928">
                        <c:v>20.423999999999999</c:v>
                      </c:pt>
                      <c:pt idx="8929">
                        <c:v>20.423999999999999</c:v>
                      </c:pt>
                      <c:pt idx="8930">
                        <c:v>20.423999999999999</c:v>
                      </c:pt>
                      <c:pt idx="8931">
                        <c:v>20.423999999999999</c:v>
                      </c:pt>
                      <c:pt idx="8932">
                        <c:v>20.423999999999999</c:v>
                      </c:pt>
                      <c:pt idx="8933">
                        <c:v>20.423999999999999</c:v>
                      </c:pt>
                      <c:pt idx="8934">
                        <c:v>20.423999999999999</c:v>
                      </c:pt>
                      <c:pt idx="8935">
                        <c:v>20.423999999999999</c:v>
                      </c:pt>
                      <c:pt idx="8936">
                        <c:v>20.423999999999999</c:v>
                      </c:pt>
                      <c:pt idx="8937">
                        <c:v>20.423999999999999</c:v>
                      </c:pt>
                      <c:pt idx="8938">
                        <c:v>20.423999999999999</c:v>
                      </c:pt>
                      <c:pt idx="8939">
                        <c:v>20.423999999999999</c:v>
                      </c:pt>
                      <c:pt idx="8940">
                        <c:v>20.423999999999999</c:v>
                      </c:pt>
                      <c:pt idx="8941">
                        <c:v>20.423999999999999</c:v>
                      </c:pt>
                      <c:pt idx="8942">
                        <c:v>20.423999999999999</c:v>
                      </c:pt>
                      <c:pt idx="8943">
                        <c:v>20.423999999999999</c:v>
                      </c:pt>
                      <c:pt idx="8944">
                        <c:v>20.423999999999999</c:v>
                      </c:pt>
                      <c:pt idx="8945">
                        <c:v>20.423999999999999</c:v>
                      </c:pt>
                      <c:pt idx="8946">
                        <c:v>20.423999999999999</c:v>
                      </c:pt>
                      <c:pt idx="8947">
                        <c:v>20.423999999999999</c:v>
                      </c:pt>
                      <c:pt idx="8948">
                        <c:v>20.423999999999999</c:v>
                      </c:pt>
                      <c:pt idx="8949">
                        <c:v>20.423999999999999</c:v>
                      </c:pt>
                      <c:pt idx="8950">
                        <c:v>20.423999999999999</c:v>
                      </c:pt>
                      <c:pt idx="8951">
                        <c:v>20.423999999999999</c:v>
                      </c:pt>
                      <c:pt idx="8952">
                        <c:v>20.423999999999999</c:v>
                      </c:pt>
                      <c:pt idx="8953">
                        <c:v>20.423999999999999</c:v>
                      </c:pt>
                      <c:pt idx="8954">
                        <c:v>20.423999999999999</c:v>
                      </c:pt>
                      <c:pt idx="8955">
                        <c:v>20.423999999999999</c:v>
                      </c:pt>
                      <c:pt idx="8956">
                        <c:v>20.423999999999999</c:v>
                      </c:pt>
                      <c:pt idx="8957">
                        <c:v>20.423999999999999</c:v>
                      </c:pt>
                      <c:pt idx="8958">
                        <c:v>20.423999999999999</c:v>
                      </c:pt>
                      <c:pt idx="8959">
                        <c:v>20.423999999999999</c:v>
                      </c:pt>
                      <c:pt idx="8960">
                        <c:v>20.423999999999999</c:v>
                      </c:pt>
                      <c:pt idx="8961">
                        <c:v>20.423999999999999</c:v>
                      </c:pt>
                      <c:pt idx="8962">
                        <c:v>20.423999999999999</c:v>
                      </c:pt>
                      <c:pt idx="8963">
                        <c:v>20.423999999999999</c:v>
                      </c:pt>
                      <c:pt idx="8964">
                        <c:v>20.423999999999999</c:v>
                      </c:pt>
                      <c:pt idx="8965">
                        <c:v>20.423999999999999</c:v>
                      </c:pt>
                      <c:pt idx="8966">
                        <c:v>20.423999999999999</c:v>
                      </c:pt>
                      <c:pt idx="8967">
                        <c:v>20.423999999999999</c:v>
                      </c:pt>
                      <c:pt idx="8968">
                        <c:v>20.423999999999999</c:v>
                      </c:pt>
                      <c:pt idx="8969">
                        <c:v>20.423999999999999</c:v>
                      </c:pt>
                      <c:pt idx="8970">
                        <c:v>20.423999999999999</c:v>
                      </c:pt>
                      <c:pt idx="8971">
                        <c:v>20.423999999999999</c:v>
                      </c:pt>
                      <c:pt idx="8972">
                        <c:v>20.423999999999999</c:v>
                      </c:pt>
                      <c:pt idx="8973">
                        <c:v>20.423999999999999</c:v>
                      </c:pt>
                      <c:pt idx="8974">
                        <c:v>20.423999999999999</c:v>
                      </c:pt>
                      <c:pt idx="8975">
                        <c:v>20.423999999999999</c:v>
                      </c:pt>
                      <c:pt idx="8976">
                        <c:v>20.423999999999999</c:v>
                      </c:pt>
                      <c:pt idx="8977">
                        <c:v>20.423999999999999</c:v>
                      </c:pt>
                      <c:pt idx="8978">
                        <c:v>20.423999999999999</c:v>
                      </c:pt>
                      <c:pt idx="8979">
                        <c:v>20.423999999999999</c:v>
                      </c:pt>
                      <c:pt idx="8980">
                        <c:v>20.423999999999999</c:v>
                      </c:pt>
                      <c:pt idx="8981">
                        <c:v>20.423999999999999</c:v>
                      </c:pt>
                      <c:pt idx="8982">
                        <c:v>20.423999999999999</c:v>
                      </c:pt>
                      <c:pt idx="8983">
                        <c:v>20.423999999999999</c:v>
                      </c:pt>
                      <c:pt idx="8984">
                        <c:v>20.423999999999999</c:v>
                      </c:pt>
                      <c:pt idx="8985">
                        <c:v>20.423999999999999</c:v>
                      </c:pt>
                      <c:pt idx="8986">
                        <c:v>20.423999999999999</c:v>
                      </c:pt>
                      <c:pt idx="8987">
                        <c:v>20.329000000000001</c:v>
                      </c:pt>
                      <c:pt idx="8988">
                        <c:v>20.423999999999999</c:v>
                      </c:pt>
                      <c:pt idx="8989">
                        <c:v>20.423999999999999</c:v>
                      </c:pt>
                      <c:pt idx="8990">
                        <c:v>20.329000000000001</c:v>
                      </c:pt>
                      <c:pt idx="8991">
                        <c:v>20.423999999999999</c:v>
                      </c:pt>
                      <c:pt idx="8992">
                        <c:v>20.329000000000001</c:v>
                      </c:pt>
                      <c:pt idx="8993">
                        <c:v>20.329000000000001</c:v>
                      </c:pt>
                      <c:pt idx="8994">
                        <c:v>20.329000000000001</c:v>
                      </c:pt>
                      <c:pt idx="8995">
                        <c:v>20.329000000000001</c:v>
                      </c:pt>
                      <c:pt idx="8996">
                        <c:v>20.423999999999999</c:v>
                      </c:pt>
                      <c:pt idx="8997">
                        <c:v>20.329000000000001</c:v>
                      </c:pt>
                      <c:pt idx="8998">
                        <c:v>20.329000000000001</c:v>
                      </c:pt>
                      <c:pt idx="8999">
                        <c:v>20.329000000000001</c:v>
                      </c:pt>
                      <c:pt idx="9000">
                        <c:v>20.329000000000001</c:v>
                      </c:pt>
                      <c:pt idx="9001">
                        <c:v>20.329000000000001</c:v>
                      </c:pt>
                      <c:pt idx="9002">
                        <c:v>20.329000000000001</c:v>
                      </c:pt>
                      <c:pt idx="9003">
                        <c:v>20.329000000000001</c:v>
                      </c:pt>
                      <c:pt idx="9004">
                        <c:v>20.329000000000001</c:v>
                      </c:pt>
                      <c:pt idx="9005">
                        <c:v>20.329000000000001</c:v>
                      </c:pt>
                      <c:pt idx="9006">
                        <c:v>20.329000000000001</c:v>
                      </c:pt>
                      <c:pt idx="9007">
                        <c:v>20.329000000000001</c:v>
                      </c:pt>
                      <c:pt idx="9008">
                        <c:v>20.329000000000001</c:v>
                      </c:pt>
                      <c:pt idx="9009">
                        <c:v>20.329000000000001</c:v>
                      </c:pt>
                      <c:pt idx="9010">
                        <c:v>20.329000000000001</c:v>
                      </c:pt>
                      <c:pt idx="9011">
                        <c:v>20.329000000000001</c:v>
                      </c:pt>
                      <c:pt idx="9012">
                        <c:v>20.329000000000001</c:v>
                      </c:pt>
                      <c:pt idx="9013">
                        <c:v>20.329000000000001</c:v>
                      </c:pt>
                      <c:pt idx="9014">
                        <c:v>20.329000000000001</c:v>
                      </c:pt>
                      <c:pt idx="9015">
                        <c:v>20.329000000000001</c:v>
                      </c:pt>
                      <c:pt idx="9016">
                        <c:v>20.329000000000001</c:v>
                      </c:pt>
                      <c:pt idx="9017">
                        <c:v>20.329000000000001</c:v>
                      </c:pt>
                      <c:pt idx="9018">
                        <c:v>20.329000000000001</c:v>
                      </c:pt>
                      <c:pt idx="9019">
                        <c:v>20.329000000000001</c:v>
                      </c:pt>
                      <c:pt idx="9020">
                        <c:v>20.329000000000001</c:v>
                      </c:pt>
                      <c:pt idx="9021">
                        <c:v>20.329000000000001</c:v>
                      </c:pt>
                      <c:pt idx="9022">
                        <c:v>20.329000000000001</c:v>
                      </c:pt>
                      <c:pt idx="9023">
                        <c:v>20.329000000000001</c:v>
                      </c:pt>
                      <c:pt idx="9024">
                        <c:v>20.329000000000001</c:v>
                      </c:pt>
                      <c:pt idx="9025">
                        <c:v>20.329000000000001</c:v>
                      </c:pt>
                      <c:pt idx="9026">
                        <c:v>20.329000000000001</c:v>
                      </c:pt>
                      <c:pt idx="9027">
                        <c:v>20.329000000000001</c:v>
                      </c:pt>
                      <c:pt idx="9028">
                        <c:v>20.329000000000001</c:v>
                      </c:pt>
                      <c:pt idx="9029">
                        <c:v>20.329000000000001</c:v>
                      </c:pt>
                      <c:pt idx="9030">
                        <c:v>20.329000000000001</c:v>
                      </c:pt>
                      <c:pt idx="9031">
                        <c:v>20.329000000000001</c:v>
                      </c:pt>
                      <c:pt idx="9032">
                        <c:v>20.329000000000001</c:v>
                      </c:pt>
                      <c:pt idx="9033">
                        <c:v>20.329000000000001</c:v>
                      </c:pt>
                      <c:pt idx="9034">
                        <c:v>20.329000000000001</c:v>
                      </c:pt>
                      <c:pt idx="9035">
                        <c:v>20.329000000000001</c:v>
                      </c:pt>
                      <c:pt idx="9036">
                        <c:v>20.329000000000001</c:v>
                      </c:pt>
                      <c:pt idx="9037">
                        <c:v>20.329000000000001</c:v>
                      </c:pt>
                      <c:pt idx="9038">
                        <c:v>20.329000000000001</c:v>
                      </c:pt>
                      <c:pt idx="9039">
                        <c:v>20.329000000000001</c:v>
                      </c:pt>
                      <c:pt idx="9040">
                        <c:v>20.329000000000001</c:v>
                      </c:pt>
                      <c:pt idx="9041">
                        <c:v>20.329000000000001</c:v>
                      </c:pt>
                      <c:pt idx="9042">
                        <c:v>20.329000000000001</c:v>
                      </c:pt>
                      <c:pt idx="9043">
                        <c:v>20.329000000000001</c:v>
                      </c:pt>
                      <c:pt idx="9044">
                        <c:v>20.329000000000001</c:v>
                      </c:pt>
                      <c:pt idx="9045">
                        <c:v>20.329000000000001</c:v>
                      </c:pt>
                      <c:pt idx="9046">
                        <c:v>20.329000000000001</c:v>
                      </c:pt>
                      <c:pt idx="9047">
                        <c:v>20.329000000000001</c:v>
                      </c:pt>
                      <c:pt idx="9048">
                        <c:v>20.329000000000001</c:v>
                      </c:pt>
                      <c:pt idx="9049">
                        <c:v>20.329000000000001</c:v>
                      </c:pt>
                      <c:pt idx="9050">
                        <c:v>20.329000000000001</c:v>
                      </c:pt>
                      <c:pt idx="9051">
                        <c:v>20.329000000000001</c:v>
                      </c:pt>
                      <c:pt idx="9052">
                        <c:v>20.329000000000001</c:v>
                      </c:pt>
                      <c:pt idx="9053">
                        <c:v>20.329000000000001</c:v>
                      </c:pt>
                      <c:pt idx="9054">
                        <c:v>20.329000000000001</c:v>
                      </c:pt>
                      <c:pt idx="9055">
                        <c:v>20.329000000000001</c:v>
                      </c:pt>
                      <c:pt idx="9056">
                        <c:v>20.329000000000001</c:v>
                      </c:pt>
                      <c:pt idx="9057">
                        <c:v>20.329000000000001</c:v>
                      </c:pt>
                      <c:pt idx="9058">
                        <c:v>20.329000000000001</c:v>
                      </c:pt>
                      <c:pt idx="9059">
                        <c:v>20.329000000000001</c:v>
                      </c:pt>
                      <c:pt idx="9060">
                        <c:v>20.329000000000001</c:v>
                      </c:pt>
                      <c:pt idx="9061">
                        <c:v>20.329000000000001</c:v>
                      </c:pt>
                      <c:pt idx="9062">
                        <c:v>20.329000000000001</c:v>
                      </c:pt>
                      <c:pt idx="9063">
                        <c:v>20.329000000000001</c:v>
                      </c:pt>
                      <c:pt idx="9064">
                        <c:v>20.329000000000001</c:v>
                      </c:pt>
                      <c:pt idx="9065">
                        <c:v>20.329000000000001</c:v>
                      </c:pt>
                      <c:pt idx="9066">
                        <c:v>20.329000000000001</c:v>
                      </c:pt>
                      <c:pt idx="9067">
                        <c:v>20.329000000000001</c:v>
                      </c:pt>
                      <c:pt idx="9068">
                        <c:v>20.329000000000001</c:v>
                      </c:pt>
                      <c:pt idx="9069">
                        <c:v>20.329000000000001</c:v>
                      </c:pt>
                      <c:pt idx="9070">
                        <c:v>20.329000000000001</c:v>
                      </c:pt>
                      <c:pt idx="9071">
                        <c:v>20.329000000000001</c:v>
                      </c:pt>
                      <c:pt idx="9072">
                        <c:v>20.329000000000001</c:v>
                      </c:pt>
                      <c:pt idx="9073">
                        <c:v>20.329000000000001</c:v>
                      </c:pt>
                      <c:pt idx="9074">
                        <c:v>20.329000000000001</c:v>
                      </c:pt>
                      <c:pt idx="9075">
                        <c:v>20.329000000000001</c:v>
                      </c:pt>
                      <c:pt idx="9076">
                        <c:v>20.329000000000001</c:v>
                      </c:pt>
                      <c:pt idx="9077">
                        <c:v>20.329000000000001</c:v>
                      </c:pt>
                      <c:pt idx="9078">
                        <c:v>20.329000000000001</c:v>
                      </c:pt>
                      <c:pt idx="9079">
                        <c:v>20.329000000000001</c:v>
                      </c:pt>
                      <c:pt idx="9080">
                        <c:v>20.329000000000001</c:v>
                      </c:pt>
                      <c:pt idx="9081">
                        <c:v>20.329000000000001</c:v>
                      </c:pt>
                      <c:pt idx="9082">
                        <c:v>20.329000000000001</c:v>
                      </c:pt>
                      <c:pt idx="9083">
                        <c:v>20.329000000000001</c:v>
                      </c:pt>
                      <c:pt idx="9084">
                        <c:v>20.329000000000001</c:v>
                      </c:pt>
                      <c:pt idx="9085">
                        <c:v>20.329000000000001</c:v>
                      </c:pt>
                      <c:pt idx="9086">
                        <c:v>20.329000000000001</c:v>
                      </c:pt>
                      <c:pt idx="9087">
                        <c:v>20.329000000000001</c:v>
                      </c:pt>
                      <c:pt idx="9088">
                        <c:v>20.329000000000001</c:v>
                      </c:pt>
                      <c:pt idx="9089">
                        <c:v>20.329000000000001</c:v>
                      </c:pt>
                      <c:pt idx="9090">
                        <c:v>20.329000000000001</c:v>
                      </c:pt>
                      <c:pt idx="9091">
                        <c:v>20.329000000000001</c:v>
                      </c:pt>
                      <c:pt idx="9092">
                        <c:v>20.329000000000001</c:v>
                      </c:pt>
                      <c:pt idx="9093">
                        <c:v>20.329000000000001</c:v>
                      </c:pt>
                      <c:pt idx="9094">
                        <c:v>20.329000000000001</c:v>
                      </c:pt>
                      <c:pt idx="9095">
                        <c:v>20.329000000000001</c:v>
                      </c:pt>
                      <c:pt idx="9096">
                        <c:v>20.329000000000001</c:v>
                      </c:pt>
                      <c:pt idx="9097">
                        <c:v>20.329000000000001</c:v>
                      </c:pt>
                      <c:pt idx="9098">
                        <c:v>20.329000000000001</c:v>
                      </c:pt>
                      <c:pt idx="9099">
                        <c:v>20.329000000000001</c:v>
                      </c:pt>
                      <c:pt idx="9100">
                        <c:v>20.329000000000001</c:v>
                      </c:pt>
                      <c:pt idx="9101">
                        <c:v>20.329000000000001</c:v>
                      </c:pt>
                      <c:pt idx="9102">
                        <c:v>20.329000000000001</c:v>
                      </c:pt>
                      <c:pt idx="9103">
                        <c:v>20.329000000000001</c:v>
                      </c:pt>
                      <c:pt idx="9104">
                        <c:v>20.329000000000001</c:v>
                      </c:pt>
                      <c:pt idx="9105">
                        <c:v>20.329000000000001</c:v>
                      </c:pt>
                      <c:pt idx="9106">
                        <c:v>20.329000000000001</c:v>
                      </c:pt>
                      <c:pt idx="9107">
                        <c:v>20.329000000000001</c:v>
                      </c:pt>
                      <c:pt idx="9108">
                        <c:v>20.329000000000001</c:v>
                      </c:pt>
                      <c:pt idx="9109">
                        <c:v>20.329000000000001</c:v>
                      </c:pt>
                      <c:pt idx="9110">
                        <c:v>20.329000000000001</c:v>
                      </c:pt>
                      <c:pt idx="9111">
                        <c:v>20.329000000000001</c:v>
                      </c:pt>
                      <c:pt idx="9112">
                        <c:v>20.329000000000001</c:v>
                      </c:pt>
                      <c:pt idx="9113">
                        <c:v>20.329000000000001</c:v>
                      </c:pt>
                      <c:pt idx="9114">
                        <c:v>20.329000000000001</c:v>
                      </c:pt>
                      <c:pt idx="9115">
                        <c:v>20.329000000000001</c:v>
                      </c:pt>
                      <c:pt idx="9116">
                        <c:v>20.329000000000001</c:v>
                      </c:pt>
                      <c:pt idx="9117">
                        <c:v>20.329000000000001</c:v>
                      </c:pt>
                      <c:pt idx="9118">
                        <c:v>20.329000000000001</c:v>
                      </c:pt>
                      <c:pt idx="9119">
                        <c:v>20.329000000000001</c:v>
                      </c:pt>
                      <c:pt idx="9120">
                        <c:v>20.329000000000001</c:v>
                      </c:pt>
                      <c:pt idx="9121">
                        <c:v>20.329000000000001</c:v>
                      </c:pt>
                      <c:pt idx="9122">
                        <c:v>20.329000000000001</c:v>
                      </c:pt>
                      <c:pt idx="9123">
                        <c:v>20.329000000000001</c:v>
                      </c:pt>
                      <c:pt idx="9124">
                        <c:v>20.329000000000001</c:v>
                      </c:pt>
                      <c:pt idx="9125">
                        <c:v>20.329000000000001</c:v>
                      </c:pt>
                      <c:pt idx="9126">
                        <c:v>20.329000000000001</c:v>
                      </c:pt>
                      <c:pt idx="9127">
                        <c:v>20.329000000000001</c:v>
                      </c:pt>
                      <c:pt idx="9128">
                        <c:v>20.329000000000001</c:v>
                      </c:pt>
                      <c:pt idx="9129">
                        <c:v>20.329000000000001</c:v>
                      </c:pt>
                      <c:pt idx="9130">
                        <c:v>20.329000000000001</c:v>
                      </c:pt>
                      <c:pt idx="9131">
                        <c:v>20.329000000000001</c:v>
                      </c:pt>
                      <c:pt idx="9132">
                        <c:v>20.329000000000001</c:v>
                      </c:pt>
                      <c:pt idx="9133">
                        <c:v>20.329000000000001</c:v>
                      </c:pt>
                      <c:pt idx="9134">
                        <c:v>20.329000000000001</c:v>
                      </c:pt>
                      <c:pt idx="9135">
                        <c:v>20.329000000000001</c:v>
                      </c:pt>
                      <c:pt idx="9136">
                        <c:v>20.329000000000001</c:v>
                      </c:pt>
                      <c:pt idx="9137">
                        <c:v>20.329000000000001</c:v>
                      </c:pt>
                      <c:pt idx="9138">
                        <c:v>20.329000000000001</c:v>
                      </c:pt>
                      <c:pt idx="9139">
                        <c:v>20.329000000000001</c:v>
                      </c:pt>
                      <c:pt idx="9140">
                        <c:v>20.329000000000001</c:v>
                      </c:pt>
                      <c:pt idx="9141">
                        <c:v>20.329000000000001</c:v>
                      </c:pt>
                      <c:pt idx="9142">
                        <c:v>20.329000000000001</c:v>
                      </c:pt>
                      <c:pt idx="9143">
                        <c:v>20.329000000000001</c:v>
                      </c:pt>
                      <c:pt idx="9144">
                        <c:v>20.329000000000001</c:v>
                      </c:pt>
                      <c:pt idx="9145">
                        <c:v>20.329000000000001</c:v>
                      </c:pt>
                      <c:pt idx="9146">
                        <c:v>20.329000000000001</c:v>
                      </c:pt>
                      <c:pt idx="9147">
                        <c:v>20.329000000000001</c:v>
                      </c:pt>
                      <c:pt idx="9148">
                        <c:v>20.329000000000001</c:v>
                      </c:pt>
                      <c:pt idx="9149">
                        <c:v>20.329000000000001</c:v>
                      </c:pt>
                      <c:pt idx="9150">
                        <c:v>20.329000000000001</c:v>
                      </c:pt>
                      <c:pt idx="9151">
                        <c:v>20.329000000000001</c:v>
                      </c:pt>
                      <c:pt idx="9152">
                        <c:v>20.329000000000001</c:v>
                      </c:pt>
                      <c:pt idx="9153">
                        <c:v>20.329000000000001</c:v>
                      </c:pt>
                      <c:pt idx="9154">
                        <c:v>20.329000000000001</c:v>
                      </c:pt>
                      <c:pt idx="9155">
                        <c:v>20.329000000000001</c:v>
                      </c:pt>
                      <c:pt idx="9156">
                        <c:v>20.329000000000001</c:v>
                      </c:pt>
                      <c:pt idx="9157">
                        <c:v>20.329000000000001</c:v>
                      </c:pt>
                      <c:pt idx="9158">
                        <c:v>20.329000000000001</c:v>
                      </c:pt>
                      <c:pt idx="9159">
                        <c:v>20.329000000000001</c:v>
                      </c:pt>
                      <c:pt idx="9160">
                        <c:v>20.329000000000001</c:v>
                      </c:pt>
                      <c:pt idx="9161">
                        <c:v>20.329000000000001</c:v>
                      </c:pt>
                      <c:pt idx="9162">
                        <c:v>20.329000000000001</c:v>
                      </c:pt>
                      <c:pt idx="9163">
                        <c:v>20.329000000000001</c:v>
                      </c:pt>
                      <c:pt idx="9164">
                        <c:v>20.329000000000001</c:v>
                      </c:pt>
                      <c:pt idx="9165">
                        <c:v>20.329000000000001</c:v>
                      </c:pt>
                      <c:pt idx="9166">
                        <c:v>20.329000000000001</c:v>
                      </c:pt>
                      <c:pt idx="9167">
                        <c:v>20.329000000000001</c:v>
                      </c:pt>
                      <c:pt idx="9168">
                        <c:v>20.329000000000001</c:v>
                      </c:pt>
                      <c:pt idx="9169">
                        <c:v>20.329000000000001</c:v>
                      </c:pt>
                      <c:pt idx="9170">
                        <c:v>20.329000000000001</c:v>
                      </c:pt>
                      <c:pt idx="9171">
                        <c:v>20.329000000000001</c:v>
                      </c:pt>
                      <c:pt idx="9172">
                        <c:v>20.329000000000001</c:v>
                      </c:pt>
                      <c:pt idx="9173">
                        <c:v>20.329000000000001</c:v>
                      </c:pt>
                      <c:pt idx="9174">
                        <c:v>20.329000000000001</c:v>
                      </c:pt>
                      <c:pt idx="9175">
                        <c:v>20.329000000000001</c:v>
                      </c:pt>
                      <c:pt idx="9176">
                        <c:v>20.329000000000001</c:v>
                      </c:pt>
                      <c:pt idx="9177">
                        <c:v>20.329000000000001</c:v>
                      </c:pt>
                      <c:pt idx="9178">
                        <c:v>20.329000000000001</c:v>
                      </c:pt>
                      <c:pt idx="9179">
                        <c:v>20.329000000000001</c:v>
                      </c:pt>
                      <c:pt idx="9180">
                        <c:v>20.329000000000001</c:v>
                      </c:pt>
                      <c:pt idx="9181">
                        <c:v>20.329000000000001</c:v>
                      </c:pt>
                      <c:pt idx="9182">
                        <c:v>20.329000000000001</c:v>
                      </c:pt>
                      <c:pt idx="9183">
                        <c:v>20.329000000000001</c:v>
                      </c:pt>
                      <c:pt idx="9184">
                        <c:v>20.329000000000001</c:v>
                      </c:pt>
                      <c:pt idx="9185">
                        <c:v>20.329000000000001</c:v>
                      </c:pt>
                      <c:pt idx="9186">
                        <c:v>20.329000000000001</c:v>
                      </c:pt>
                      <c:pt idx="9187">
                        <c:v>20.329000000000001</c:v>
                      </c:pt>
                      <c:pt idx="9188">
                        <c:v>20.329000000000001</c:v>
                      </c:pt>
                      <c:pt idx="9189">
                        <c:v>20.329000000000001</c:v>
                      </c:pt>
                      <c:pt idx="9190">
                        <c:v>20.329000000000001</c:v>
                      </c:pt>
                      <c:pt idx="9191">
                        <c:v>20.329000000000001</c:v>
                      </c:pt>
                      <c:pt idx="9192">
                        <c:v>20.329000000000001</c:v>
                      </c:pt>
                      <c:pt idx="9193">
                        <c:v>20.329000000000001</c:v>
                      </c:pt>
                      <c:pt idx="9194">
                        <c:v>20.329000000000001</c:v>
                      </c:pt>
                      <c:pt idx="9195">
                        <c:v>20.329000000000001</c:v>
                      </c:pt>
                      <c:pt idx="9196">
                        <c:v>20.329000000000001</c:v>
                      </c:pt>
                      <c:pt idx="9197">
                        <c:v>20.329000000000001</c:v>
                      </c:pt>
                      <c:pt idx="9198">
                        <c:v>20.329000000000001</c:v>
                      </c:pt>
                      <c:pt idx="9199">
                        <c:v>20.329000000000001</c:v>
                      </c:pt>
                      <c:pt idx="9200">
                        <c:v>20.329000000000001</c:v>
                      </c:pt>
                      <c:pt idx="9201">
                        <c:v>20.329000000000001</c:v>
                      </c:pt>
                      <c:pt idx="9202">
                        <c:v>20.329000000000001</c:v>
                      </c:pt>
                      <c:pt idx="9203">
                        <c:v>20.329000000000001</c:v>
                      </c:pt>
                      <c:pt idx="9204">
                        <c:v>20.329000000000001</c:v>
                      </c:pt>
                      <c:pt idx="9205">
                        <c:v>20.329000000000001</c:v>
                      </c:pt>
                      <c:pt idx="9206">
                        <c:v>20.329000000000001</c:v>
                      </c:pt>
                      <c:pt idx="9207">
                        <c:v>20.329000000000001</c:v>
                      </c:pt>
                      <c:pt idx="9208">
                        <c:v>20.329000000000001</c:v>
                      </c:pt>
                      <c:pt idx="9209">
                        <c:v>20.329000000000001</c:v>
                      </c:pt>
                      <c:pt idx="9210">
                        <c:v>20.329000000000001</c:v>
                      </c:pt>
                      <c:pt idx="9211">
                        <c:v>20.329000000000001</c:v>
                      </c:pt>
                      <c:pt idx="9212">
                        <c:v>20.329000000000001</c:v>
                      </c:pt>
                      <c:pt idx="9213">
                        <c:v>20.329000000000001</c:v>
                      </c:pt>
                      <c:pt idx="9214">
                        <c:v>20.329000000000001</c:v>
                      </c:pt>
                      <c:pt idx="9215">
                        <c:v>20.329000000000001</c:v>
                      </c:pt>
                      <c:pt idx="9216">
                        <c:v>20.329000000000001</c:v>
                      </c:pt>
                      <c:pt idx="9217">
                        <c:v>20.329000000000001</c:v>
                      </c:pt>
                      <c:pt idx="9218">
                        <c:v>20.329000000000001</c:v>
                      </c:pt>
                      <c:pt idx="9219">
                        <c:v>20.329000000000001</c:v>
                      </c:pt>
                      <c:pt idx="9220">
                        <c:v>20.329000000000001</c:v>
                      </c:pt>
                      <c:pt idx="9221">
                        <c:v>20.329000000000001</c:v>
                      </c:pt>
                      <c:pt idx="9222">
                        <c:v>20.329000000000001</c:v>
                      </c:pt>
                      <c:pt idx="9223">
                        <c:v>20.329000000000001</c:v>
                      </c:pt>
                      <c:pt idx="9224">
                        <c:v>20.329000000000001</c:v>
                      </c:pt>
                      <c:pt idx="9225">
                        <c:v>20.329000000000001</c:v>
                      </c:pt>
                      <c:pt idx="9226">
                        <c:v>20.329000000000001</c:v>
                      </c:pt>
                      <c:pt idx="9227">
                        <c:v>20.329000000000001</c:v>
                      </c:pt>
                      <c:pt idx="9228">
                        <c:v>20.329000000000001</c:v>
                      </c:pt>
                      <c:pt idx="9229">
                        <c:v>20.329000000000001</c:v>
                      </c:pt>
                      <c:pt idx="9230">
                        <c:v>20.329000000000001</c:v>
                      </c:pt>
                      <c:pt idx="9231">
                        <c:v>20.329000000000001</c:v>
                      </c:pt>
                      <c:pt idx="9232">
                        <c:v>20.329000000000001</c:v>
                      </c:pt>
                      <c:pt idx="9233">
                        <c:v>20.329000000000001</c:v>
                      </c:pt>
                      <c:pt idx="9234">
                        <c:v>20.329000000000001</c:v>
                      </c:pt>
                      <c:pt idx="9235">
                        <c:v>20.329000000000001</c:v>
                      </c:pt>
                      <c:pt idx="9236">
                        <c:v>20.329000000000001</c:v>
                      </c:pt>
                      <c:pt idx="9237">
                        <c:v>20.329000000000001</c:v>
                      </c:pt>
                      <c:pt idx="9238">
                        <c:v>20.329000000000001</c:v>
                      </c:pt>
                      <c:pt idx="9239">
                        <c:v>20.329000000000001</c:v>
                      </c:pt>
                      <c:pt idx="9240">
                        <c:v>20.329000000000001</c:v>
                      </c:pt>
                      <c:pt idx="9241">
                        <c:v>20.329000000000001</c:v>
                      </c:pt>
                      <c:pt idx="9242">
                        <c:v>20.329000000000001</c:v>
                      </c:pt>
                      <c:pt idx="9243">
                        <c:v>20.329000000000001</c:v>
                      </c:pt>
                      <c:pt idx="9244">
                        <c:v>20.329000000000001</c:v>
                      </c:pt>
                      <c:pt idx="9245">
                        <c:v>20.329000000000001</c:v>
                      </c:pt>
                      <c:pt idx="9246">
                        <c:v>20.329000000000001</c:v>
                      </c:pt>
                      <c:pt idx="9247">
                        <c:v>20.329000000000001</c:v>
                      </c:pt>
                      <c:pt idx="9248">
                        <c:v>20.329000000000001</c:v>
                      </c:pt>
                      <c:pt idx="9249">
                        <c:v>20.329000000000001</c:v>
                      </c:pt>
                      <c:pt idx="9250">
                        <c:v>20.329000000000001</c:v>
                      </c:pt>
                      <c:pt idx="9251">
                        <c:v>20.329000000000001</c:v>
                      </c:pt>
                      <c:pt idx="9252">
                        <c:v>20.329000000000001</c:v>
                      </c:pt>
                      <c:pt idx="9253">
                        <c:v>20.329000000000001</c:v>
                      </c:pt>
                      <c:pt idx="9254">
                        <c:v>20.329000000000001</c:v>
                      </c:pt>
                      <c:pt idx="9255">
                        <c:v>20.329000000000001</c:v>
                      </c:pt>
                      <c:pt idx="9256">
                        <c:v>20.329000000000001</c:v>
                      </c:pt>
                      <c:pt idx="9257">
                        <c:v>20.329000000000001</c:v>
                      </c:pt>
                      <c:pt idx="9258">
                        <c:v>20.329000000000001</c:v>
                      </c:pt>
                      <c:pt idx="9259">
                        <c:v>20.329000000000001</c:v>
                      </c:pt>
                      <c:pt idx="9260">
                        <c:v>20.329000000000001</c:v>
                      </c:pt>
                      <c:pt idx="9261">
                        <c:v>20.329000000000001</c:v>
                      </c:pt>
                      <c:pt idx="9262">
                        <c:v>20.329000000000001</c:v>
                      </c:pt>
                      <c:pt idx="9263">
                        <c:v>20.329000000000001</c:v>
                      </c:pt>
                      <c:pt idx="9264">
                        <c:v>20.329000000000001</c:v>
                      </c:pt>
                      <c:pt idx="9265">
                        <c:v>20.329000000000001</c:v>
                      </c:pt>
                      <c:pt idx="9266">
                        <c:v>20.329000000000001</c:v>
                      </c:pt>
                      <c:pt idx="9267">
                        <c:v>20.329000000000001</c:v>
                      </c:pt>
                      <c:pt idx="9268">
                        <c:v>20.329000000000001</c:v>
                      </c:pt>
                      <c:pt idx="9269">
                        <c:v>20.329000000000001</c:v>
                      </c:pt>
                      <c:pt idx="9270">
                        <c:v>20.329000000000001</c:v>
                      </c:pt>
                      <c:pt idx="9271">
                        <c:v>20.329000000000001</c:v>
                      </c:pt>
                      <c:pt idx="9272">
                        <c:v>20.329000000000001</c:v>
                      </c:pt>
                      <c:pt idx="9273">
                        <c:v>20.329000000000001</c:v>
                      </c:pt>
                      <c:pt idx="9274">
                        <c:v>20.329000000000001</c:v>
                      </c:pt>
                      <c:pt idx="9275">
                        <c:v>20.329000000000001</c:v>
                      </c:pt>
                      <c:pt idx="9276">
                        <c:v>20.329000000000001</c:v>
                      </c:pt>
                      <c:pt idx="9277">
                        <c:v>20.329000000000001</c:v>
                      </c:pt>
                      <c:pt idx="9278">
                        <c:v>20.329000000000001</c:v>
                      </c:pt>
                      <c:pt idx="9279">
                        <c:v>20.329000000000001</c:v>
                      </c:pt>
                      <c:pt idx="9280">
                        <c:v>20.329000000000001</c:v>
                      </c:pt>
                      <c:pt idx="9281">
                        <c:v>20.329000000000001</c:v>
                      </c:pt>
                      <c:pt idx="9282">
                        <c:v>20.329000000000001</c:v>
                      </c:pt>
                      <c:pt idx="9283">
                        <c:v>20.329000000000001</c:v>
                      </c:pt>
                      <c:pt idx="9284">
                        <c:v>20.329000000000001</c:v>
                      </c:pt>
                      <c:pt idx="9285">
                        <c:v>20.329000000000001</c:v>
                      </c:pt>
                      <c:pt idx="9286">
                        <c:v>20.329000000000001</c:v>
                      </c:pt>
                      <c:pt idx="9287">
                        <c:v>20.329000000000001</c:v>
                      </c:pt>
                      <c:pt idx="9288">
                        <c:v>20.329000000000001</c:v>
                      </c:pt>
                      <c:pt idx="9289">
                        <c:v>20.329000000000001</c:v>
                      </c:pt>
                      <c:pt idx="9290">
                        <c:v>20.329000000000001</c:v>
                      </c:pt>
                      <c:pt idx="9291">
                        <c:v>20.329000000000001</c:v>
                      </c:pt>
                      <c:pt idx="9292">
                        <c:v>20.329000000000001</c:v>
                      </c:pt>
                      <c:pt idx="9293">
                        <c:v>20.329000000000001</c:v>
                      </c:pt>
                      <c:pt idx="9294">
                        <c:v>20.329000000000001</c:v>
                      </c:pt>
                      <c:pt idx="9295">
                        <c:v>20.329000000000001</c:v>
                      </c:pt>
                      <c:pt idx="9296">
                        <c:v>20.329000000000001</c:v>
                      </c:pt>
                      <c:pt idx="9297">
                        <c:v>20.329000000000001</c:v>
                      </c:pt>
                      <c:pt idx="9298">
                        <c:v>20.329000000000001</c:v>
                      </c:pt>
                      <c:pt idx="9299">
                        <c:v>20.329000000000001</c:v>
                      </c:pt>
                      <c:pt idx="9300">
                        <c:v>20.329000000000001</c:v>
                      </c:pt>
                      <c:pt idx="9301">
                        <c:v>20.329000000000001</c:v>
                      </c:pt>
                      <c:pt idx="9302">
                        <c:v>20.329000000000001</c:v>
                      </c:pt>
                      <c:pt idx="9303">
                        <c:v>20.329000000000001</c:v>
                      </c:pt>
                      <c:pt idx="9304">
                        <c:v>20.329000000000001</c:v>
                      </c:pt>
                      <c:pt idx="9305">
                        <c:v>20.329000000000001</c:v>
                      </c:pt>
                      <c:pt idx="9306">
                        <c:v>20.329000000000001</c:v>
                      </c:pt>
                      <c:pt idx="9307">
                        <c:v>20.329000000000001</c:v>
                      </c:pt>
                      <c:pt idx="9308">
                        <c:v>20.329000000000001</c:v>
                      </c:pt>
                      <c:pt idx="9309">
                        <c:v>20.329000000000001</c:v>
                      </c:pt>
                      <c:pt idx="9310">
                        <c:v>20.329000000000001</c:v>
                      </c:pt>
                      <c:pt idx="9311">
                        <c:v>20.329000000000001</c:v>
                      </c:pt>
                      <c:pt idx="9312">
                        <c:v>20.329000000000001</c:v>
                      </c:pt>
                      <c:pt idx="9313">
                        <c:v>20.329000000000001</c:v>
                      </c:pt>
                      <c:pt idx="9314">
                        <c:v>20.329000000000001</c:v>
                      </c:pt>
                      <c:pt idx="9315">
                        <c:v>20.329000000000001</c:v>
                      </c:pt>
                      <c:pt idx="9316">
                        <c:v>20.329000000000001</c:v>
                      </c:pt>
                      <c:pt idx="9317">
                        <c:v>20.329000000000001</c:v>
                      </c:pt>
                      <c:pt idx="9318">
                        <c:v>20.329000000000001</c:v>
                      </c:pt>
                      <c:pt idx="9319">
                        <c:v>20.329000000000001</c:v>
                      </c:pt>
                      <c:pt idx="9320">
                        <c:v>20.329000000000001</c:v>
                      </c:pt>
                      <c:pt idx="9321">
                        <c:v>20.329000000000001</c:v>
                      </c:pt>
                      <c:pt idx="9322">
                        <c:v>20.329000000000001</c:v>
                      </c:pt>
                      <c:pt idx="9323">
                        <c:v>20.329000000000001</c:v>
                      </c:pt>
                      <c:pt idx="9324">
                        <c:v>20.329000000000001</c:v>
                      </c:pt>
                      <c:pt idx="9325">
                        <c:v>20.329000000000001</c:v>
                      </c:pt>
                      <c:pt idx="9326">
                        <c:v>20.329000000000001</c:v>
                      </c:pt>
                      <c:pt idx="9327">
                        <c:v>20.329000000000001</c:v>
                      </c:pt>
                      <c:pt idx="9328">
                        <c:v>20.329000000000001</c:v>
                      </c:pt>
                      <c:pt idx="9329">
                        <c:v>20.329000000000001</c:v>
                      </c:pt>
                      <c:pt idx="9330">
                        <c:v>20.329000000000001</c:v>
                      </c:pt>
                      <c:pt idx="9331">
                        <c:v>20.329000000000001</c:v>
                      </c:pt>
                      <c:pt idx="9332">
                        <c:v>20.329000000000001</c:v>
                      </c:pt>
                      <c:pt idx="9333">
                        <c:v>20.329000000000001</c:v>
                      </c:pt>
                      <c:pt idx="9334">
                        <c:v>20.329000000000001</c:v>
                      </c:pt>
                      <c:pt idx="9335">
                        <c:v>20.329000000000001</c:v>
                      </c:pt>
                      <c:pt idx="9336">
                        <c:v>20.329000000000001</c:v>
                      </c:pt>
                      <c:pt idx="9337">
                        <c:v>20.329000000000001</c:v>
                      </c:pt>
                      <c:pt idx="9338">
                        <c:v>20.329000000000001</c:v>
                      </c:pt>
                      <c:pt idx="9339">
                        <c:v>20.329000000000001</c:v>
                      </c:pt>
                      <c:pt idx="9340">
                        <c:v>20.329000000000001</c:v>
                      </c:pt>
                      <c:pt idx="9341">
                        <c:v>20.329000000000001</c:v>
                      </c:pt>
                      <c:pt idx="9342">
                        <c:v>20.329000000000001</c:v>
                      </c:pt>
                      <c:pt idx="9343">
                        <c:v>20.329000000000001</c:v>
                      </c:pt>
                      <c:pt idx="9344">
                        <c:v>20.329000000000001</c:v>
                      </c:pt>
                      <c:pt idx="9345">
                        <c:v>20.329000000000001</c:v>
                      </c:pt>
                      <c:pt idx="9346">
                        <c:v>20.329000000000001</c:v>
                      </c:pt>
                      <c:pt idx="9347">
                        <c:v>20.329000000000001</c:v>
                      </c:pt>
                      <c:pt idx="9348">
                        <c:v>20.329000000000001</c:v>
                      </c:pt>
                      <c:pt idx="9349">
                        <c:v>20.329000000000001</c:v>
                      </c:pt>
                      <c:pt idx="9350">
                        <c:v>20.329000000000001</c:v>
                      </c:pt>
                      <c:pt idx="9351">
                        <c:v>20.329000000000001</c:v>
                      </c:pt>
                      <c:pt idx="9352">
                        <c:v>20.329000000000001</c:v>
                      </c:pt>
                      <c:pt idx="9353">
                        <c:v>20.329000000000001</c:v>
                      </c:pt>
                      <c:pt idx="9354">
                        <c:v>20.329000000000001</c:v>
                      </c:pt>
                      <c:pt idx="9355">
                        <c:v>20.329000000000001</c:v>
                      </c:pt>
                      <c:pt idx="9356">
                        <c:v>20.329000000000001</c:v>
                      </c:pt>
                      <c:pt idx="9357">
                        <c:v>20.423999999999999</c:v>
                      </c:pt>
                      <c:pt idx="9358">
                        <c:v>20.329000000000001</c:v>
                      </c:pt>
                      <c:pt idx="9359">
                        <c:v>20.423999999999999</c:v>
                      </c:pt>
                      <c:pt idx="9360">
                        <c:v>20.423999999999999</c:v>
                      </c:pt>
                      <c:pt idx="9361">
                        <c:v>20.329000000000001</c:v>
                      </c:pt>
                      <c:pt idx="9362">
                        <c:v>20.423999999999999</c:v>
                      </c:pt>
                      <c:pt idx="9363">
                        <c:v>20.423999999999999</c:v>
                      </c:pt>
                      <c:pt idx="9364">
                        <c:v>20.423999999999999</c:v>
                      </c:pt>
                      <c:pt idx="9365">
                        <c:v>20.329000000000001</c:v>
                      </c:pt>
                      <c:pt idx="9366">
                        <c:v>20.423999999999999</c:v>
                      </c:pt>
                      <c:pt idx="9367">
                        <c:v>20.423999999999999</c:v>
                      </c:pt>
                      <c:pt idx="9368">
                        <c:v>20.423999999999999</c:v>
                      </c:pt>
                      <c:pt idx="9369">
                        <c:v>20.423999999999999</c:v>
                      </c:pt>
                      <c:pt idx="9370">
                        <c:v>20.423999999999999</c:v>
                      </c:pt>
                      <c:pt idx="9371">
                        <c:v>20.423999999999999</c:v>
                      </c:pt>
                      <c:pt idx="9372">
                        <c:v>20.423999999999999</c:v>
                      </c:pt>
                      <c:pt idx="9373">
                        <c:v>20.423999999999999</c:v>
                      </c:pt>
                      <c:pt idx="9374">
                        <c:v>20.423999999999999</c:v>
                      </c:pt>
                      <c:pt idx="9375">
                        <c:v>20.423999999999999</c:v>
                      </c:pt>
                      <c:pt idx="9376">
                        <c:v>20.423999999999999</c:v>
                      </c:pt>
                      <c:pt idx="9377">
                        <c:v>20.423999999999999</c:v>
                      </c:pt>
                      <c:pt idx="9378">
                        <c:v>20.423999999999999</c:v>
                      </c:pt>
                      <c:pt idx="9379">
                        <c:v>20.423999999999999</c:v>
                      </c:pt>
                      <c:pt idx="9380">
                        <c:v>20.423999999999999</c:v>
                      </c:pt>
                      <c:pt idx="9381">
                        <c:v>20.423999999999999</c:v>
                      </c:pt>
                      <c:pt idx="9382">
                        <c:v>20.423999999999999</c:v>
                      </c:pt>
                      <c:pt idx="9383">
                        <c:v>20.423999999999999</c:v>
                      </c:pt>
                      <c:pt idx="9384">
                        <c:v>20.423999999999999</c:v>
                      </c:pt>
                      <c:pt idx="9385">
                        <c:v>20.423999999999999</c:v>
                      </c:pt>
                      <c:pt idx="9386">
                        <c:v>20.423999999999999</c:v>
                      </c:pt>
                      <c:pt idx="9387">
                        <c:v>20.423999999999999</c:v>
                      </c:pt>
                      <c:pt idx="9388">
                        <c:v>20.423999999999999</c:v>
                      </c:pt>
                      <c:pt idx="9389">
                        <c:v>20.423999999999999</c:v>
                      </c:pt>
                      <c:pt idx="9390">
                        <c:v>20.423999999999999</c:v>
                      </c:pt>
                      <c:pt idx="9391">
                        <c:v>20.423999999999999</c:v>
                      </c:pt>
                      <c:pt idx="9392">
                        <c:v>20.423999999999999</c:v>
                      </c:pt>
                      <c:pt idx="9393">
                        <c:v>20.423999999999999</c:v>
                      </c:pt>
                      <c:pt idx="9394">
                        <c:v>20.423999999999999</c:v>
                      </c:pt>
                      <c:pt idx="9395">
                        <c:v>20.423999999999999</c:v>
                      </c:pt>
                      <c:pt idx="9396">
                        <c:v>20.423999999999999</c:v>
                      </c:pt>
                      <c:pt idx="9397">
                        <c:v>20.423999999999999</c:v>
                      </c:pt>
                      <c:pt idx="9398">
                        <c:v>20.423999999999999</c:v>
                      </c:pt>
                      <c:pt idx="9399">
                        <c:v>20.423999999999999</c:v>
                      </c:pt>
                      <c:pt idx="9400">
                        <c:v>20.423999999999999</c:v>
                      </c:pt>
                      <c:pt idx="9401">
                        <c:v>20.423999999999999</c:v>
                      </c:pt>
                      <c:pt idx="9402">
                        <c:v>20.423999999999999</c:v>
                      </c:pt>
                      <c:pt idx="9403">
                        <c:v>20.423999999999999</c:v>
                      </c:pt>
                      <c:pt idx="9404">
                        <c:v>20.423999999999999</c:v>
                      </c:pt>
                      <c:pt idx="9405">
                        <c:v>20.423999999999999</c:v>
                      </c:pt>
                      <c:pt idx="9406">
                        <c:v>20.423999999999999</c:v>
                      </c:pt>
                      <c:pt idx="9407">
                        <c:v>20.423999999999999</c:v>
                      </c:pt>
                      <c:pt idx="9408">
                        <c:v>20.423999999999999</c:v>
                      </c:pt>
                      <c:pt idx="9409">
                        <c:v>20.423999999999999</c:v>
                      </c:pt>
                      <c:pt idx="9410">
                        <c:v>20.423999999999999</c:v>
                      </c:pt>
                      <c:pt idx="9411">
                        <c:v>20.423999999999999</c:v>
                      </c:pt>
                      <c:pt idx="9412">
                        <c:v>20.423999999999999</c:v>
                      </c:pt>
                      <c:pt idx="9413">
                        <c:v>20.423999999999999</c:v>
                      </c:pt>
                      <c:pt idx="9414">
                        <c:v>20.423999999999999</c:v>
                      </c:pt>
                      <c:pt idx="9415">
                        <c:v>20.423999999999999</c:v>
                      </c:pt>
                      <c:pt idx="9416">
                        <c:v>20.423999999999999</c:v>
                      </c:pt>
                      <c:pt idx="9417">
                        <c:v>20.423999999999999</c:v>
                      </c:pt>
                      <c:pt idx="9418">
                        <c:v>20.423999999999999</c:v>
                      </c:pt>
                      <c:pt idx="9419">
                        <c:v>20.423999999999999</c:v>
                      </c:pt>
                      <c:pt idx="9420">
                        <c:v>20.423999999999999</c:v>
                      </c:pt>
                      <c:pt idx="9421">
                        <c:v>20.423999999999999</c:v>
                      </c:pt>
                      <c:pt idx="9422">
                        <c:v>20.423999999999999</c:v>
                      </c:pt>
                      <c:pt idx="9423">
                        <c:v>20.423999999999999</c:v>
                      </c:pt>
                      <c:pt idx="9424">
                        <c:v>20.423999999999999</c:v>
                      </c:pt>
                      <c:pt idx="9425">
                        <c:v>20.423999999999999</c:v>
                      </c:pt>
                      <c:pt idx="9426">
                        <c:v>20.423999999999999</c:v>
                      </c:pt>
                      <c:pt idx="9427">
                        <c:v>20.423999999999999</c:v>
                      </c:pt>
                      <c:pt idx="9428">
                        <c:v>20.423999999999999</c:v>
                      </c:pt>
                      <c:pt idx="9429">
                        <c:v>20.423999999999999</c:v>
                      </c:pt>
                      <c:pt idx="9430">
                        <c:v>20.423999999999999</c:v>
                      </c:pt>
                      <c:pt idx="9431">
                        <c:v>20.423999999999999</c:v>
                      </c:pt>
                      <c:pt idx="9432">
                        <c:v>20.423999999999999</c:v>
                      </c:pt>
                      <c:pt idx="9433">
                        <c:v>20.423999999999999</c:v>
                      </c:pt>
                      <c:pt idx="9434">
                        <c:v>20.423999999999999</c:v>
                      </c:pt>
                      <c:pt idx="9435">
                        <c:v>20.423999999999999</c:v>
                      </c:pt>
                      <c:pt idx="9436">
                        <c:v>20.423999999999999</c:v>
                      </c:pt>
                      <c:pt idx="9437">
                        <c:v>20.423999999999999</c:v>
                      </c:pt>
                      <c:pt idx="9438">
                        <c:v>20.423999999999999</c:v>
                      </c:pt>
                      <c:pt idx="9439">
                        <c:v>20.423999999999999</c:v>
                      </c:pt>
                      <c:pt idx="9440">
                        <c:v>20.423999999999999</c:v>
                      </c:pt>
                      <c:pt idx="9441">
                        <c:v>20.423999999999999</c:v>
                      </c:pt>
                      <c:pt idx="9442">
                        <c:v>20.423999999999999</c:v>
                      </c:pt>
                      <c:pt idx="9443">
                        <c:v>20.423999999999999</c:v>
                      </c:pt>
                      <c:pt idx="9444">
                        <c:v>20.423999999999999</c:v>
                      </c:pt>
                      <c:pt idx="9445">
                        <c:v>20.423999999999999</c:v>
                      </c:pt>
                      <c:pt idx="9446">
                        <c:v>20.423999999999999</c:v>
                      </c:pt>
                      <c:pt idx="9447">
                        <c:v>20.423999999999999</c:v>
                      </c:pt>
                      <c:pt idx="9448">
                        <c:v>20.423999999999999</c:v>
                      </c:pt>
                      <c:pt idx="9449">
                        <c:v>20.423999999999999</c:v>
                      </c:pt>
                      <c:pt idx="9450">
                        <c:v>20.423999999999999</c:v>
                      </c:pt>
                      <c:pt idx="9451">
                        <c:v>20.423999999999999</c:v>
                      </c:pt>
                      <c:pt idx="9452">
                        <c:v>20.423999999999999</c:v>
                      </c:pt>
                      <c:pt idx="9453">
                        <c:v>20.423999999999999</c:v>
                      </c:pt>
                      <c:pt idx="9454">
                        <c:v>20.423999999999999</c:v>
                      </c:pt>
                      <c:pt idx="9455">
                        <c:v>20.423999999999999</c:v>
                      </c:pt>
                      <c:pt idx="9456">
                        <c:v>20.423999999999999</c:v>
                      </c:pt>
                      <c:pt idx="9457">
                        <c:v>20.423999999999999</c:v>
                      </c:pt>
                      <c:pt idx="9458">
                        <c:v>20.423999999999999</c:v>
                      </c:pt>
                      <c:pt idx="9459">
                        <c:v>20.423999999999999</c:v>
                      </c:pt>
                      <c:pt idx="9460">
                        <c:v>20.423999999999999</c:v>
                      </c:pt>
                      <c:pt idx="9461">
                        <c:v>20.423999999999999</c:v>
                      </c:pt>
                      <c:pt idx="9462">
                        <c:v>20.423999999999999</c:v>
                      </c:pt>
                      <c:pt idx="9463">
                        <c:v>20.423999999999999</c:v>
                      </c:pt>
                      <c:pt idx="9464">
                        <c:v>20.423999999999999</c:v>
                      </c:pt>
                      <c:pt idx="9465">
                        <c:v>20.423999999999999</c:v>
                      </c:pt>
                      <c:pt idx="9466">
                        <c:v>20.423999999999999</c:v>
                      </c:pt>
                      <c:pt idx="9467">
                        <c:v>20.423999999999999</c:v>
                      </c:pt>
                      <c:pt idx="9468">
                        <c:v>20.423999999999999</c:v>
                      </c:pt>
                      <c:pt idx="9469">
                        <c:v>20.423999999999999</c:v>
                      </c:pt>
                      <c:pt idx="9470">
                        <c:v>20.423999999999999</c:v>
                      </c:pt>
                      <c:pt idx="9471">
                        <c:v>20.423999999999999</c:v>
                      </c:pt>
                      <c:pt idx="9472">
                        <c:v>20.423999999999999</c:v>
                      </c:pt>
                      <c:pt idx="9473">
                        <c:v>20.423999999999999</c:v>
                      </c:pt>
                      <c:pt idx="9474">
                        <c:v>20.423999999999999</c:v>
                      </c:pt>
                      <c:pt idx="9475">
                        <c:v>20.423999999999999</c:v>
                      </c:pt>
                      <c:pt idx="9476">
                        <c:v>20.423999999999999</c:v>
                      </c:pt>
                      <c:pt idx="9477">
                        <c:v>20.423999999999999</c:v>
                      </c:pt>
                      <c:pt idx="9478">
                        <c:v>20.423999999999999</c:v>
                      </c:pt>
                      <c:pt idx="9479">
                        <c:v>20.423999999999999</c:v>
                      </c:pt>
                      <c:pt idx="9480">
                        <c:v>20.423999999999999</c:v>
                      </c:pt>
                      <c:pt idx="9481">
                        <c:v>20.423999999999999</c:v>
                      </c:pt>
                      <c:pt idx="9482">
                        <c:v>20.423999999999999</c:v>
                      </c:pt>
                      <c:pt idx="9483">
                        <c:v>20.423999999999999</c:v>
                      </c:pt>
                      <c:pt idx="9484">
                        <c:v>20.423999999999999</c:v>
                      </c:pt>
                      <c:pt idx="9485">
                        <c:v>20.423999999999999</c:v>
                      </c:pt>
                      <c:pt idx="9486">
                        <c:v>20.423999999999999</c:v>
                      </c:pt>
                      <c:pt idx="9487">
                        <c:v>20.423999999999999</c:v>
                      </c:pt>
                      <c:pt idx="9488">
                        <c:v>20.423999999999999</c:v>
                      </c:pt>
                      <c:pt idx="9489">
                        <c:v>20.423999999999999</c:v>
                      </c:pt>
                      <c:pt idx="9490">
                        <c:v>20.423999999999999</c:v>
                      </c:pt>
                      <c:pt idx="9491">
                        <c:v>20.423999999999999</c:v>
                      </c:pt>
                      <c:pt idx="9492">
                        <c:v>20.423999999999999</c:v>
                      </c:pt>
                      <c:pt idx="9493">
                        <c:v>20.423999999999999</c:v>
                      </c:pt>
                      <c:pt idx="9494">
                        <c:v>20.423999999999999</c:v>
                      </c:pt>
                      <c:pt idx="9495">
                        <c:v>20.423999999999999</c:v>
                      </c:pt>
                      <c:pt idx="9496">
                        <c:v>20.423999999999999</c:v>
                      </c:pt>
                      <c:pt idx="9497">
                        <c:v>20.423999999999999</c:v>
                      </c:pt>
                      <c:pt idx="9498">
                        <c:v>20.423999999999999</c:v>
                      </c:pt>
                      <c:pt idx="9499">
                        <c:v>20.423999999999999</c:v>
                      </c:pt>
                      <c:pt idx="9500">
                        <c:v>20.423999999999999</c:v>
                      </c:pt>
                      <c:pt idx="9501">
                        <c:v>20.423999999999999</c:v>
                      </c:pt>
                      <c:pt idx="9502">
                        <c:v>20.423999999999999</c:v>
                      </c:pt>
                      <c:pt idx="9503">
                        <c:v>20.423999999999999</c:v>
                      </c:pt>
                      <c:pt idx="9504">
                        <c:v>20.423999999999999</c:v>
                      </c:pt>
                      <c:pt idx="9505">
                        <c:v>20.423999999999999</c:v>
                      </c:pt>
                      <c:pt idx="9506">
                        <c:v>20.423999999999999</c:v>
                      </c:pt>
                      <c:pt idx="9507">
                        <c:v>20.423999999999999</c:v>
                      </c:pt>
                      <c:pt idx="9508">
                        <c:v>20.423999999999999</c:v>
                      </c:pt>
                      <c:pt idx="9509">
                        <c:v>20.423999999999999</c:v>
                      </c:pt>
                      <c:pt idx="9510">
                        <c:v>20.423999999999999</c:v>
                      </c:pt>
                      <c:pt idx="9511">
                        <c:v>20.423999999999999</c:v>
                      </c:pt>
                      <c:pt idx="9512">
                        <c:v>20.423999999999999</c:v>
                      </c:pt>
                      <c:pt idx="9513">
                        <c:v>20.423999999999999</c:v>
                      </c:pt>
                      <c:pt idx="9514">
                        <c:v>20.423999999999999</c:v>
                      </c:pt>
                      <c:pt idx="9515">
                        <c:v>20.423999999999999</c:v>
                      </c:pt>
                      <c:pt idx="9516">
                        <c:v>20.423999999999999</c:v>
                      </c:pt>
                      <c:pt idx="9517">
                        <c:v>20.423999999999999</c:v>
                      </c:pt>
                      <c:pt idx="9518">
                        <c:v>20.423999999999999</c:v>
                      </c:pt>
                      <c:pt idx="9519">
                        <c:v>20.423999999999999</c:v>
                      </c:pt>
                      <c:pt idx="9520">
                        <c:v>20.423999999999999</c:v>
                      </c:pt>
                      <c:pt idx="9521">
                        <c:v>20.423999999999999</c:v>
                      </c:pt>
                      <c:pt idx="9522">
                        <c:v>20.423999999999999</c:v>
                      </c:pt>
                      <c:pt idx="9523">
                        <c:v>20.423999999999999</c:v>
                      </c:pt>
                      <c:pt idx="9524">
                        <c:v>20.423999999999999</c:v>
                      </c:pt>
                      <c:pt idx="9525">
                        <c:v>20.423999999999999</c:v>
                      </c:pt>
                      <c:pt idx="9526">
                        <c:v>20.518999999999998</c:v>
                      </c:pt>
                      <c:pt idx="9527">
                        <c:v>20.423999999999999</c:v>
                      </c:pt>
                      <c:pt idx="9528">
                        <c:v>20.518999999999998</c:v>
                      </c:pt>
                      <c:pt idx="9529">
                        <c:v>20.423999999999999</c:v>
                      </c:pt>
                      <c:pt idx="9530">
                        <c:v>20.423999999999999</c:v>
                      </c:pt>
                      <c:pt idx="9531">
                        <c:v>20.423999999999999</c:v>
                      </c:pt>
                      <c:pt idx="9532">
                        <c:v>20.423999999999999</c:v>
                      </c:pt>
                      <c:pt idx="9533">
                        <c:v>20.423999999999999</c:v>
                      </c:pt>
                      <c:pt idx="9534">
                        <c:v>20.423999999999999</c:v>
                      </c:pt>
                      <c:pt idx="9535">
                        <c:v>20.423999999999999</c:v>
                      </c:pt>
                      <c:pt idx="9536">
                        <c:v>20.518999999999998</c:v>
                      </c:pt>
                      <c:pt idx="9537">
                        <c:v>20.423999999999999</c:v>
                      </c:pt>
                      <c:pt idx="9538">
                        <c:v>20.423999999999999</c:v>
                      </c:pt>
                      <c:pt idx="9539">
                        <c:v>20.423999999999999</c:v>
                      </c:pt>
                      <c:pt idx="9540">
                        <c:v>20.518999999999998</c:v>
                      </c:pt>
                      <c:pt idx="9541">
                        <c:v>20.423999999999999</c:v>
                      </c:pt>
                      <c:pt idx="9542">
                        <c:v>20.423999999999999</c:v>
                      </c:pt>
                      <c:pt idx="9543">
                        <c:v>20.423999999999999</c:v>
                      </c:pt>
                      <c:pt idx="9544">
                        <c:v>20.423999999999999</c:v>
                      </c:pt>
                      <c:pt idx="9545">
                        <c:v>20.423999999999999</c:v>
                      </c:pt>
                      <c:pt idx="9546">
                        <c:v>20.423999999999999</c:v>
                      </c:pt>
                      <c:pt idx="9547">
                        <c:v>20.423999999999999</c:v>
                      </c:pt>
                      <c:pt idx="9548">
                        <c:v>20.423999999999999</c:v>
                      </c:pt>
                      <c:pt idx="9549">
                        <c:v>20.423999999999999</c:v>
                      </c:pt>
                      <c:pt idx="9550">
                        <c:v>20.423999999999999</c:v>
                      </c:pt>
                      <c:pt idx="9551">
                        <c:v>20.423999999999999</c:v>
                      </c:pt>
                      <c:pt idx="9552">
                        <c:v>20.423999999999999</c:v>
                      </c:pt>
                      <c:pt idx="9553">
                        <c:v>20.423999999999999</c:v>
                      </c:pt>
                      <c:pt idx="9554">
                        <c:v>20.423999999999999</c:v>
                      </c:pt>
                      <c:pt idx="9555">
                        <c:v>20.423999999999999</c:v>
                      </c:pt>
                      <c:pt idx="9556">
                        <c:v>20.423999999999999</c:v>
                      </c:pt>
                      <c:pt idx="9557">
                        <c:v>20.423999999999999</c:v>
                      </c:pt>
                      <c:pt idx="9558">
                        <c:v>20.423999999999999</c:v>
                      </c:pt>
                      <c:pt idx="9559">
                        <c:v>20.423999999999999</c:v>
                      </c:pt>
                      <c:pt idx="9560">
                        <c:v>20.423999999999999</c:v>
                      </c:pt>
                      <c:pt idx="9561">
                        <c:v>20.423999999999999</c:v>
                      </c:pt>
                      <c:pt idx="9562">
                        <c:v>20.423999999999999</c:v>
                      </c:pt>
                      <c:pt idx="9563">
                        <c:v>20.423999999999999</c:v>
                      </c:pt>
                      <c:pt idx="9564">
                        <c:v>20.423999999999999</c:v>
                      </c:pt>
                      <c:pt idx="9565">
                        <c:v>20.423999999999999</c:v>
                      </c:pt>
                      <c:pt idx="9566">
                        <c:v>20.423999999999999</c:v>
                      </c:pt>
                      <c:pt idx="9567">
                        <c:v>20.423999999999999</c:v>
                      </c:pt>
                      <c:pt idx="9568">
                        <c:v>20.423999999999999</c:v>
                      </c:pt>
                      <c:pt idx="9569">
                        <c:v>20.423999999999999</c:v>
                      </c:pt>
                      <c:pt idx="9570">
                        <c:v>20.423999999999999</c:v>
                      </c:pt>
                      <c:pt idx="9571">
                        <c:v>20.423999999999999</c:v>
                      </c:pt>
                      <c:pt idx="9572">
                        <c:v>20.423999999999999</c:v>
                      </c:pt>
                      <c:pt idx="9573">
                        <c:v>20.423999999999999</c:v>
                      </c:pt>
                      <c:pt idx="9574">
                        <c:v>20.423999999999999</c:v>
                      </c:pt>
                      <c:pt idx="9575">
                        <c:v>20.423999999999999</c:v>
                      </c:pt>
                      <c:pt idx="9576">
                        <c:v>20.423999999999999</c:v>
                      </c:pt>
                      <c:pt idx="9577">
                        <c:v>20.423999999999999</c:v>
                      </c:pt>
                      <c:pt idx="9578">
                        <c:v>20.423999999999999</c:v>
                      </c:pt>
                      <c:pt idx="9579">
                        <c:v>20.423999999999999</c:v>
                      </c:pt>
                      <c:pt idx="9580">
                        <c:v>20.423999999999999</c:v>
                      </c:pt>
                      <c:pt idx="9581">
                        <c:v>20.423999999999999</c:v>
                      </c:pt>
                      <c:pt idx="9582">
                        <c:v>20.423999999999999</c:v>
                      </c:pt>
                      <c:pt idx="9583">
                        <c:v>20.423999999999999</c:v>
                      </c:pt>
                      <c:pt idx="9584">
                        <c:v>20.423999999999999</c:v>
                      </c:pt>
                      <c:pt idx="9585">
                        <c:v>20.423999999999999</c:v>
                      </c:pt>
                      <c:pt idx="9586">
                        <c:v>20.423999999999999</c:v>
                      </c:pt>
                      <c:pt idx="9587">
                        <c:v>20.423999999999999</c:v>
                      </c:pt>
                      <c:pt idx="9588">
                        <c:v>20.423999999999999</c:v>
                      </c:pt>
                      <c:pt idx="9589">
                        <c:v>20.423999999999999</c:v>
                      </c:pt>
                      <c:pt idx="9590">
                        <c:v>20.423999999999999</c:v>
                      </c:pt>
                      <c:pt idx="9591">
                        <c:v>20.423999999999999</c:v>
                      </c:pt>
                      <c:pt idx="9592">
                        <c:v>20.423999999999999</c:v>
                      </c:pt>
                      <c:pt idx="9593">
                        <c:v>20.423999999999999</c:v>
                      </c:pt>
                      <c:pt idx="9594">
                        <c:v>20.423999999999999</c:v>
                      </c:pt>
                      <c:pt idx="9595">
                        <c:v>20.423999999999999</c:v>
                      </c:pt>
                      <c:pt idx="9596">
                        <c:v>20.423999999999999</c:v>
                      </c:pt>
                      <c:pt idx="9597">
                        <c:v>20.423999999999999</c:v>
                      </c:pt>
                      <c:pt idx="9598">
                        <c:v>20.423999999999999</c:v>
                      </c:pt>
                      <c:pt idx="9599">
                        <c:v>20.423999999999999</c:v>
                      </c:pt>
                      <c:pt idx="9600">
                        <c:v>20.423999999999999</c:v>
                      </c:pt>
                      <c:pt idx="9601">
                        <c:v>20.423999999999999</c:v>
                      </c:pt>
                      <c:pt idx="9602">
                        <c:v>20.329000000000001</c:v>
                      </c:pt>
                      <c:pt idx="9603">
                        <c:v>20.329000000000001</c:v>
                      </c:pt>
                      <c:pt idx="9604">
                        <c:v>20.329000000000001</c:v>
                      </c:pt>
                      <c:pt idx="9605">
                        <c:v>20.329000000000001</c:v>
                      </c:pt>
                      <c:pt idx="9606">
                        <c:v>20.329000000000001</c:v>
                      </c:pt>
                      <c:pt idx="9607">
                        <c:v>20.423999999999999</c:v>
                      </c:pt>
                      <c:pt idx="9608">
                        <c:v>20.329000000000001</c:v>
                      </c:pt>
                      <c:pt idx="9609">
                        <c:v>20.329000000000001</c:v>
                      </c:pt>
                      <c:pt idx="9610">
                        <c:v>20.329000000000001</c:v>
                      </c:pt>
                      <c:pt idx="9611">
                        <c:v>20.329000000000001</c:v>
                      </c:pt>
                      <c:pt idx="9612">
                        <c:v>20.329000000000001</c:v>
                      </c:pt>
                      <c:pt idx="9613">
                        <c:v>20.329000000000001</c:v>
                      </c:pt>
                      <c:pt idx="9614">
                        <c:v>20.329000000000001</c:v>
                      </c:pt>
                      <c:pt idx="9615">
                        <c:v>20.329000000000001</c:v>
                      </c:pt>
                      <c:pt idx="9616">
                        <c:v>20.329000000000001</c:v>
                      </c:pt>
                      <c:pt idx="9617">
                        <c:v>20.329000000000001</c:v>
                      </c:pt>
                      <c:pt idx="9618">
                        <c:v>20.329000000000001</c:v>
                      </c:pt>
                      <c:pt idx="9619">
                        <c:v>20.329000000000001</c:v>
                      </c:pt>
                      <c:pt idx="9620">
                        <c:v>20.329000000000001</c:v>
                      </c:pt>
                      <c:pt idx="9621">
                        <c:v>20.329000000000001</c:v>
                      </c:pt>
                      <c:pt idx="9622">
                        <c:v>20.329000000000001</c:v>
                      </c:pt>
                      <c:pt idx="9623">
                        <c:v>20.329000000000001</c:v>
                      </c:pt>
                      <c:pt idx="9624">
                        <c:v>20.329000000000001</c:v>
                      </c:pt>
                      <c:pt idx="9625">
                        <c:v>20.329000000000001</c:v>
                      </c:pt>
                      <c:pt idx="9626">
                        <c:v>20.329000000000001</c:v>
                      </c:pt>
                      <c:pt idx="9627">
                        <c:v>20.329000000000001</c:v>
                      </c:pt>
                      <c:pt idx="9628">
                        <c:v>20.329000000000001</c:v>
                      </c:pt>
                      <c:pt idx="9629">
                        <c:v>20.329000000000001</c:v>
                      </c:pt>
                      <c:pt idx="9630">
                        <c:v>20.329000000000001</c:v>
                      </c:pt>
                      <c:pt idx="9631">
                        <c:v>20.329000000000001</c:v>
                      </c:pt>
                      <c:pt idx="9632">
                        <c:v>20.329000000000001</c:v>
                      </c:pt>
                      <c:pt idx="9633">
                        <c:v>20.329000000000001</c:v>
                      </c:pt>
                      <c:pt idx="9634">
                        <c:v>20.329000000000001</c:v>
                      </c:pt>
                      <c:pt idx="9635">
                        <c:v>20.329000000000001</c:v>
                      </c:pt>
                      <c:pt idx="9636">
                        <c:v>20.329000000000001</c:v>
                      </c:pt>
                      <c:pt idx="9637">
                        <c:v>20.329000000000001</c:v>
                      </c:pt>
                      <c:pt idx="9638">
                        <c:v>20.329000000000001</c:v>
                      </c:pt>
                      <c:pt idx="9639">
                        <c:v>20.329000000000001</c:v>
                      </c:pt>
                      <c:pt idx="9640">
                        <c:v>20.329000000000001</c:v>
                      </c:pt>
                      <c:pt idx="9641">
                        <c:v>20.329000000000001</c:v>
                      </c:pt>
                      <c:pt idx="9642">
                        <c:v>20.329000000000001</c:v>
                      </c:pt>
                      <c:pt idx="9643">
                        <c:v>20.329000000000001</c:v>
                      </c:pt>
                      <c:pt idx="9644">
                        <c:v>20.329000000000001</c:v>
                      </c:pt>
                      <c:pt idx="9645">
                        <c:v>20.329000000000001</c:v>
                      </c:pt>
                      <c:pt idx="9646">
                        <c:v>20.329000000000001</c:v>
                      </c:pt>
                      <c:pt idx="9647">
                        <c:v>20.329000000000001</c:v>
                      </c:pt>
                      <c:pt idx="9648">
                        <c:v>20.329000000000001</c:v>
                      </c:pt>
                      <c:pt idx="9649">
                        <c:v>20.329000000000001</c:v>
                      </c:pt>
                      <c:pt idx="9650">
                        <c:v>20.329000000000001</c:v>
                      </c:pt>
                      <c:pt idx="9651">
                        <c:v>20.329000000000001</c:v>
                      </c:pt>
                      <c:pt idx="9652">
                        <c:v>20.329000000000001</c:v>
                      </c:pt>
                      <c:pt idx="9653">
                        <c:v>20.329000000000001</c:v>
                      </c:pt>
                      <c:pt idx="9654">
                        <c:v>20.329000000000001</c:v>
                      </c:pt>
                      <c:pt idx="9655">
                        <c:v>20.329000000000001</c:v>
                      </c:pt>
                      <c:pt idx="9656">
                        <c:v>20.329000000000001</c:v>
                      </c:pt>
                      <c:pt idx="9657">
                        <c:v>20.329000000000001</c:v>
                      </c:pt>
                      <c:pt idx="9658">
                        <c:v>20.329000000000001</c:v>
                      </c:pt>
                      <c:pt idx="9659">
                        <c:v>20.329000000000001</c:v>
                      </c:pt>
                      <c:pt idx="9660">
                        <c:v>20.329000000000001</c:v>
                      </c:pt>
                      <c:pt idx="9661">
                        <c:v>20.329000000000001</c:v>
                      </c:pt>
                      <c:pt idx="9662">
                        <c:v>20.329000000000001</c:v>
                      </c:pt>
                      <c:pt idx="9663">
                        <c:v>20.329000000000001</c:v>
                      </c:pt>
                      <c:pt idx="9664">
                        <c:v>20.329000000000001</c:v>
                      </c:pt>
                      <c:pt idx="9665">
                        <c:v>20.329000000000001</c:v>
                      </c:pt>
                      <c:pt idx="9666">
                        <c:v>20.329000000000001</c:v>
                      </c:pt>
                      <c:pt idx="9667">
                        <c:v>20.329000000000001</c:v>
                      </c:pt>
                      <c:pt idx="9668">
                        <c:v>20.329000000000001</c:v>
                      </c:pt>
                      <c:pt idx="9669">
                        <c:v>20.329000000000001</c:v>
                      </c:pt>
                      <c:pt idx="9670">
                        <c:v>20.329000000000001</c:v>
                      </c:pt>
                      <c:pt idx="9671">
                        <c:v>20.329000000000001</c:v>
                      </c:pt>
                      <c:pt idx="9672">
                        <c:v>20.329000000000001</c:v>
                      </c:pt>
                      <c:pt idx="9673">
                        <c:v>20.329000000000001</c:v>
                      </c:pt>
                      <c:pt idx="9674">
                        <c:v>20.329000000000001</c:v>
                      </c:pt>
                      <c:pt idx="9675">
                        <c:v>20.329000000000001</c:v>
                      </c:pt>
                      <c:pt idx="9676">
                        <c:v>20.329000000000001</c:v>
                      </c:pt>
                      <c:pt idx="9677">
                        <c:v>20.329000000000001</c:v>
                      </c:pt>
                      <c:pt idx="9678">
                        <c:v>20.329000000000001</c:v>
                      </c:pt>
                      <c:pt idx="9679">
                        <c:v>20.329000000000001</c:v>
                      </c:pt>
                      <c:pt idx="9680">
                        <c:v>20.329000000000001</c:v>
                      </c:pt>
                      <c:pt idx="9681">
                        <c:v>20.329000000000001</c:v>
                      </c:pt>
                      <c:pt idx="9682">
                        <c:v>20.329000000000001</c:v>
                      </c:pt>
                      <c:pt idx="9683">
                        <c:v>20.329000000000001</c:v>
                      </c:pt>
                      <c:pt idx="9684">
                        <c:v>20.329000000000001</c:v>
                      </c:pt>
                      <c:pt idx="9685">
                        <c:v>20.329000000000001</c:v>
                      </c:pt>
                      <c:pt idx="9686">
                        <c:v>20.329000000000001</c:v>
                      </c:pt>
                      <c:pt idx="9687">
                        <c:v>20.329000000000001</c:v>
                      </c:pt>
                      <c:pt idx="9688">
                        <c:v>20.329000000000001</c:v>
                      </c:pt>
                      <c:pt idx="9689">
                        <c:v>20.329000000000001</c:v>
                      </c:pt>
                      <c:pt idx="9690">
                        <c:v>20.329000000000001</c:v>
                      </c:pt>
                      <c:pt idx="9691">
                        <c:v>20.329000000000001</c:v>
                      </c:pt>
                      <c:pt idx="9692">
                        <c:v>20.329000000000001</c:v>
                      </c:pt>
                      <c:pt idx="9693">
                        <c:v>20.329000000000001</c:v>
                      </c:pt>
                      <c:pt idx="9694">
                        <c:v>20.329000000000001</c:v>
                      </c:pt>
                      <c:pt idx="9695">
                        <c:v>20.234000000000002</c:v>
                      </c:pt>
                      <c:pt idx="9696">
                        <c:v>20.329000000000001</c:v>
                      </c:pt>
                      <c:pt idx="9697">
                        <c:v>20.329000000000001</c:v>
                      </c:pt>
                      <c:pt idx="9698">
                        <c:v>20.329000000000001</c:v>
                      </c:pt>
                      <c:pt idx="9699">
                        <c:v>20.329000000000001</c:v>
                      </c:pt>
                      <c:pt idx="9700">
                        <c:v>20.234000000000002</c:v>
                      </c:pt>
                      <c:pt idx="9701">
                        <c:v>20.234000000000002</c:v>
                      </c:pt>
                      <c:pt idx="9702">
                        <c:v>20.234000000000002</c:v>
                      </c:pt>
                      <c:pt idx="9703">
                        <c:v>20.234000000000002</c:v>
                      </c:pt>
                      <c:pt idx="9704">
                        <c:v>20.329000000000001</c:v>
                      </c:pt>
                      <c:pt idx="9705">
                        <c:v>20.234000000000002</c:v>
                      </c:pt>
                      <c:pt idx="9706">
                        <c:v>20.234000000000002</c:v>
                      </c:pt>
                      <c:pt idx="9707">
                        <c:v>20.234000000000002</c:v>
                      </c:pt>
                      <c:pt idx="9708">
                        <c:v>20.234000000000002</c:v>
                      </c:pt>
                      <c:pt idx="9709">
                        <c:v>20.234000000000002</c:v>
                      </c:pt>
                      <c:pt idx="9710">
                        <c:v>20.234000000000002</c:v>
                      </c:pt>
                      <c:pt idx="9711">
                        <c:v>20.234000000000002</c:v>
                      </c:pt>
                      <c:pt idx="9712">
                        <c:v>20.234000000000002</c:v>
                      </c:pt>
                      <c:pt idx="9713">
                        <c:v>20.234000000000002</c:v>
                      </c:pt>
                      <c:pt idx="9714">
                        <c:v>20.234000000000002</c:v>
                      </c:pt>
                      <c:pt idx="9715">
                        <c:v>20.234000000000002</c:v>
                      </c:pt>
                      <c:pt idx="9716">
                        <c:v>20.234000000000002</c:v>
                      </c:pt>
                      <c:pt idx="9717">
                        <c:v>20.234000000000002</c:v>
                      </c:pt>
                      <c:pt idx="9718">
                        <c:v>20.234000000000002</c:v>
                      </c:pt>
                      <c:pt idx="9719">
                        <c:v>20.234000000000002</c:v>
                      </c:pt>
                      <c:pt idx="9720">
                        <c:v>20.234000000000002</c:v>
                      </c:pt>
                      <c:pt idx="9721">
                        <c:v>20.234000000000002</c:v>
                      </c:pt>
                      <c:pt idx="9722">
                        <c:v>20.234000000000002</c:v>
                      </c:pt>
                      <c:pt idx="9723">
                        <c:v>20.234000000000002</c:v>
                      </c:pt>
                      <c:pt idx="9724">
                        <c:v>20.234000000000002</c:v>
                      </c:pt>
                      <c:pt idx="9725">
                        <c:v>20.234000000000002</c:v>
                      </c:pt>
                      <c:pt idx="9726">
                        <c:v>20.234000000000002</c:v>
                      </c:pt>
                      <c:pt idx="9727">
                        <c:v>20.234000000000002</c:v>
                      </c:pt>
                      <c:pt idx="9728">
                        <c:v>20.234000000000002</c:v>
                      </c:pt>
                      <c:pt idx="9729">
                        <c:v>20.234000000000002</c:v>
                      </c:pt>
                      <c:pt idx="9730">
                        <c:v>20.234000000000002</c:v>
                      </c:pt>
                      <c:pt idx="9731">
                        <c:v>20.234000000000002</c:v>
                      </c:pt>
                      <c:pt idx="9732">
                        <c:v>20.234000000000002</c:v>
                      </c:pt>
                      <c:pt idx="9733">
                        <c:v>20.234000000000002</c:v>
                      </c:pt>
                      <c:pt idx="9734">
                        <c:v>20.234000000000002</c:v>
                      </c:pt>
                      <c:pt idx="9735">
                        <c:v>20.234000000000002</c:v>
                      </c:pt>
                      <c:pt idx="9736">
                        <c:v>20.234000000000002</c:v>
                      </c:pt>
                      <c:pt idx="9737">
                        <c:v>20.234000000000002</c:v>
                      </c:pt>
                      <c:pt idx="9738">
                        <c:v>20.138000000000002</c:v>
                      </c:pt>
                      <c:pt idx="9739">
                        <c:v>20.138000000000002</c:v>
                      </c:pt>
                      <c:pt idx="9740">
                        <c:v>20.138000000000002</c:v>
                      </c:pt>
                      <c:pt idx="9741">
                        <c:v>20.234000000000002</c:v>
                      </c:pt>
                      <c:pt idx="9742">
                        <c:v>20.138000000000002</c:v>
                      </c:pt>
                      <c:pt idx="9743">
                        <c:v>20.234000000000002</c:v>
                      </c:pt>
                      <c:pt idx="9744">
                        <c:v>20.138000000000002</c:v>
                      </c:pt>
                      <c:pt idx="9745">
                        <c:v>20.138000000000002</c:v>
                      </c:pt>
                      <c:pt idx="9746">
                        <c:v>20.138000000000002</c:v>
                      </c:pt>
                      <c:pt idx="9747">
                        <c:v>20.138000000000002</c:v>
                      </c:pt>
                      <c:pt idx="9748">
                        <c:v>20.234000000000002</c:v>
                      </c:pt>
                      <c:pt idx="9749">
                        <c:v>20.138000000000002</c:v>
                      </c:pt>
                      <c:pt idx="9750">
                        <c:v>20.138000000000002</c:v>
                      </c:pt>
                      <c:pt idx="9751">
                        <c:v>20.138000000000002</c:v>
                      </c:pt>
                      <c:pt idx="9752">
                        <c:v>20.138000000000002</c:v>
                      </c:pt>
                      <c:pt idx="9753">
                        <c:v>20.138000000000002</c:v>
                      </c:pt>
                      <c:pt idx="9754">
                        <c:v>20.138000000000002</c:v>
                      </c:pt>
                      <c:pt idx="9755">
                        <c:v>20.138000000000002</c:v>
                      </c:pt>
                      <c:pt idx="9756">
                        <c:v>20.138000000000002</c:v>
                      </c:pt>
                      <c:pt idx="9757">
                        <c:v>20.138000000000002</c:v>
                      </c:pt>
                      <c:pt idx="9758">
                        <c:v>20.138000000000002</c:v>
                      </c:pt>
                      <c:pt idx="9759">
                        <c:v>20.138000000000002</c:v>
                      </c:pt>
                      <c:pt idx="9760">
                        <c:v>20.138000000000002</c:v>
                      </c:pt>
                      <c:pt idx="9761">
                        <c:v>20.138000000000002</c:v>
                      </c:pt>
                      <c:pt idx="9762">
                        <c:v>20.138000000000002</c:v>
                      </c:pt>
                      <c:pt idx="9763">
                        <c:v>20.138000000000002</c:v>
                      </c:pt>
                      <c:pt idx="9764">
                        <c:v>20.138000000000002</c:v>
                      </c:pt>
                      <c:pt idx="9765">
                        <c:v>20.138000000000002</c:v>
                      </c:pt>
                      <c:pt idx="9766">
                        <c:v>20.138000000000002</c:v>
                      </c:pt>
                      <c:pt idx="9767">
                        <c:v>20.138000000000002</c:v>
                      </c:pt>
                      <c:pt idx="9768">
                        <c:v>20.138000000000002</c:v>
                      </c:pt>
                      <c:pt idx="9769">
                        <c:v>20.138000000000002</c:v>
                      </c:pt>
                      <c:pt idx="9770">
                        <c:v>20.138000000000002</c:v>
                      </c:pt>
                      <c:pt idx="9771">
                        <c:v>20.138000000000002</c:v>
                      </c:pt>
                      <c:pt idx="9772">
                        <c:v>20.138000000000002</c:v>
                      </c:pt>
                      <c:pt idx="9773">
                        <c:v>20.138000000000002</c:v>
                      </c:pt>
                      <c:pt idx="9774">
                        <c:v>20.138000000000002</c:v>
                      </c:pt>
                      <c:pt idx="9775">
                        <c:v>20.138000000000002</c:v>
                      </c:pt>
                      <c:pt idx="9776">
                        <c:v>20.138000000000002</c:v>
                      </c:pt>
                      <c:pt idx="9777">
                        <c:v>20.138000000000002</c:v>
                      </c:pt>
                      <c:pt idx="9778">
                        <c:v>20.138000000000002</c:v>
                      </c:pt>
                      <c:pt idx="9779">
                        <c:v>20.138000000000002</c:v>
                      </c:pt>
                      <c:pt idx="9780">
                        <c:v>20.138000000000002</c:v>
                      </c:pt>
                      <c:pt idx="9781">
                        <c:v>20.138000000000002</c:v>
                      </c:pt>
                      <c:pt idx="9782">
                        <c:v>20.138000000000002</c:v>
                      </c:pt>
                      <c:pt idx="9783">
                        <c:v>20.138000000000002</c:v>
                      </c:pt>
                      <c:pt idx="9784">
                        <c:v>20.138000000000002</c:v>
                      </c:pt>
                      <c:pt idx="9785">
                        <c:v>20.138000000000002</c:v>
                      </c:pt>
                      <c:pt idx="9786">
                        <c:v>20.138000000000002</c:v>
                      </c:pt>
                      <c:pt idx="9787">
                        <c:v>20.138000000000002</c:v>
                      </c:pt>
                      <c:pt idx="9788">
                        <c:v>20.138000000000002</c:v>
                      </c:pt>
                      <c:pt idx="9789">
                        <c:v>20.138000000000002</c:v>
                      </c:pt>
                      <c:pt idx="9790">
                        <c:v>20.138000000000002</c:v>
                      </c:pt>
                      <c:pt idx="9791">
                        <c:v>20.138000000000002</c:v>
                      </c:pt>
                    </c:numCache>
                  </c:numRef>
                </c:yVal>
                <c:smooth val="0"/>
                <c:extLst xmlns:c16r2="http://schemas.microsoft.com/office/drawing/2015/06/chart" xmlns:c15="http://schemas.microsoft.com/office/drawing/2012/chart">
                  <c:ext xmlns:c16="http://schemas.microsoft.com/office/drawing/2014/chart" uri="{C3380CC4-5D6E-409C-BE32-E72D297353CC}">
                    <c16:uniqueId val="{00000003-ECB3-4E12-A1F3-7052C38CC8C1}"/>
                  </c:ext>
                </c:extLst>
              </c15:ser>
            </c15:filteredScatterSeries>
          </c:ext>
        </c:extLst>
      </c:scatterChart>
      <c:valAx>
        <c:axId val="496880688"/>
        <c:scaling>
          <c:orientation val="minMax"/>
          <c:max val="70"/>
          <c:min val="0"/>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sz="1200"/>
                  <a:t>Day</a:t>
                </a:r>
              </a:p>
            </c:rich>
          </c:tx>
          <c:overlay val="0"/>
          <c:spPr>
            <a:noFill/>
            <a:ln>
              <a:noFill/>
            </a:ln>
            <a:effectLst/>
          </c:spPr>
        </c:title>
        <c:numFmt formatCode="General"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96879904"/>
        <c:crosses val="autoZero"/>
        <c:crossBetween val="midCat"/>
      </c:valAx>
      <c:valAx>
        <c:axId val="496879904"/>
        <c:scaling>
          <c:orientation val="minMax"/>
          <c:min val="16"/>
        </c:scaling>
        <c:delete val="0"/>
        <c:axPos val="l"/>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sz="1200"/>
                  <a:t>Temp</a:t>
                </a:r>
                <a:r>
                  <a:rPr lang="en-AU" sz="1200" baseline="0"/>
                  <a:t> (°C)</a:t>
                </a:r>
                <a:endParaRPr lang="en-AU" sz="1200"/>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96880688"/>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Sheet1!$B$1</c:f>
              <c:strCache>
                <c:ptCount val="1"/>
                <c:pt idx="0">
                  <c:v>DO</c:v>
                </c:pt>
              </c:strCache>
            </c:strRef>
          </c:tx>
          <c:spPr>
            <a:ln w="19050" cap="rnd">
              <a:solidFill>
                <a:schemeClr val="accent1"/>
              </a:solidFill>
              <a:round/>
            </a:ln>
            <a:effectLst/>
          </c:spPr>
          <c:marker>
            <c:symbol val="none"/>
          </c:marker>
          <c:xVal>
            <c:numRef>
              <c:f>Sheet1!$A$2:$A$10</c:f>
              <c:numCache>
                <c:formatCode>General</c:formatCode>
                <c:ptCount val="9"/>
                <c:pt idx="0">
                  <c:v>1</c:v>
                </c:pt>
                <c:pt idx="1">
                  <c:v>2</c:v>
                </c:pt>
                <c:pt idx="2">
                  <c:v>3</c:v>
                </c:pt>
                <c:pt idx="3">
                  <c:v>4</c:v>
                </c:pt>
                <c:pt idx="4">
                  <c:v>5</c:v>
                </c:pt>
                <c:pt idx="5">
                  <c:v>6</c:v>
                </c:pt>
                <c:pt idx="6">
                  <c:v>7</c:v>
                </c:pt>
                <c:pt idx="7">
                  <c:v>8</c:v>
                </c:pt>
                <c:pt idx="8">
                  <c:v>9</c:v>
                </c:pt>
              </c:numCache>
            </c:numRef>
          </c:xVal>
          <c:yVal>
            <c:numRef>
              <c:f>Sheet1!$B$2:$B$10</c:f>
              <c:numCache>
                <c:formatCode>General</c:formatCode>
                <c:ptCount val="9"/>
                <c:pt idx="0">
                  <c:v>1</c:v>
                </c:pt>
                <c:pt idx="1">
                  <c:v>0.6</c:v>
                </c:pt>
                <c:pt idx="2">
                  <c:v>0</c:v>
                </c:pt>
              </c:numCache>
            </c:numRef>
          </c:yVal>
          <c:smooth val="1"/>
          <c:extLst xmlns:c16r2="http://schemas.microsoft.com/office/drawing/2015/06/chart">
            <c:ext xmlns:c16="http://schemas.microsoft.com/office/drawing/2014/chart" uri="{C3380CC4-5D6E-409C-BE32-E72D297353CC}">
              <c16:uniqueId val="{00000000-313B-456B-9D21-4629CDB3BF18}"/>
            </c:ext>
          </c:extLst>
        </c:ser>
        <c:ser>
          <c:idx val="1"/>
          <c:order val="1"/>
          <c:tx>
            <c:strRef>
              <c:f>Sheet1!$C$1</c:f>
              <c:strCache>
                <c:ptCount val="1"/>
                <c:pt idx="0">
                  <c:v>Nitrate</c:v>
                </c:pt>
              </c:strCache>
            </c:strRef>
          </c:tx>
          <c:spPr>
            <a:ln w="19050" cap="rnd">
              <a:solidFill>
                <a:srgbClr val="C00000"/>
              </a:solidFill>
              <a:round/>
            </a:ln>
            <a:effectLst/>
          </c:spPr>
          <c:marker>
            <c:symbol val="none"/>
          </c:marker>
          <c:xVal>
            <c:numRef>
              <c:f>Sheet1!$A$2:$A$10</c:f>
              <c:numCache>
                <c:formatCode>General</c:formatCode>
                <c:ptCount val="9"/>
                <c:pt idx="0">
                  <c:v>1</c:v>
                </c:pt>
                <c:pt idx="1">
                  <c:v>2</c:v>
                </c:pt>
                <c:pt idx="2">
                  <c:v>3</c:v>
                </c:pt>
                <c:pt idx="3">
                  <c:v>4</c:v>
                </c:pt>
                <c:pt idx="4">
                  <c:v>5</c:v>
                </c:pt>
                <c:pt idx="5">
                  <c:v>6</c:v>
                </c:pt>
                <c:pt idx="6">
                  <c:v>7</c:v>
                </c:pt>
                <c:pt idx="7">
                  <c:v>8</c:v>
                </c:pt>
                <c:pt idx="8">
                  <c:v>9</c:v>
                </c:pt>
              </c:numCache>
            </c:numRef>
          </c:xVal>
          <c:yVal>
            <c:numRef>
              <c:f>Sheet1!$C$2:$C$10</c:f>
              <c:numCache>
                <c:formatCode>General</c:formatCode>
                <c:ptCount val="9"/>
                <c:pt idx="0">
                  <c:v>0.2</c:v>
                </c:pt>
                <c:pt idx="1">
                  <c:v>0.7</c:v>
                </c:pt>
                <c:pt idx="2">
                  <c:v>1</c:v>
                </c:pt>
                <c:pt idx="3">
                  <c:v>0.6</c:v>
                </c:pt>
                <c:pt idx="4">
                  <c:v>0</c:v>
                </c:pt>
              </c:numCache>
            </c:numRef>
          </c:yVal>
          <c:smooth val="1"/>
          <c:extLst xmlns:c16r2="http://schemas.microsoft.com/office/drawing/2015/06/chart">
            <c:ext xmlns:c16="http://schemas.microsoft.com/office/drawing/2014/chart" uri="{C3380CC4-5D6E-409C-BE32-E72D297353CC}">
              <c16:uniqueId val="{00000001-313B-456B-9D21-4629CDB3BF18}"/>
            </c:ext>
          </c:extLst>
        </c:ser>
        <c:ser>
          <c:idx val="2"/>
          <c:order val="2"/>
          <c:tx>
            <c:strRef>
              <c:f>Sheet1!$D$1</c:f>
              <c:strCache>
                <c:ptCount val="1"/>
                <c:pt idx="0">
                  <c:v>Ammonium</c:v>
                </c:pt>
              </c:strCache>
            </c:strRef>
          </c:tx>
          <c:spPr>
            <a:ln w="19050" cap="rnd">
              <a:solidFill>
                <a:schemeClr val="accent6"/>
              </a:solidFill>
              <a:round/>
            </a:ln>
            <a:effectLst/>
          </c:spPr>
          <c:marker>
            <c:symbol val="none"/>
          </c:marker>
          <c:xVal>
            <c:numRef>
              <c:f>Sheet1!$A$2:$A$10</c:f>
              <c:numCache>
                <c:formatCode>General</c:formatCode>
                <c:ptCount val="9"/>
                <c:pt idx="0">
                  <c:v>1</c:v>
                </c:pt>
                <c:pt idx="1">
                  <c:v>2</c:v>
                </c:pt>
                <c:pt idx="2">
                  <c:v>3</c:v>
                </c:pt>
                <c:pt idx="3">
                  <c:v>4</c:v>
                </c:pt>
                <c:pt idx="4">
                  <c:v>5</c:v>
                </c:pt>
                <c:pt idx="5">
                  <c:v>6</c:v>
                </c:pt>
                <c:pt idx="6">
                  <c:v>7</c:v>
                </c:pt>
                <c:pt idx="7">
                  <c:v>8</c:v>
                </c:pt>
                <c:pt idx="8">
                  <c:v>9</c:v>
                </c:pt>
              </c:numCache>
            </c:numRef>
          </c:xVal>
          <c:yVal>
            <c:numRef>
              <c:f>Sheet1!$D$2:$D$10</c:f>
              <c:numCache>
                <c:formatCode>General</c:formatCode>
                <c:ptCount val="9"/>
                <c:pt idx="2">
                  <c:v>0</c:v>
                </c:pt>
                <c:pt idx="3">
                  <c:v>0.2</c:v>
                </c:pt>
                <c:pt idx="4">
                  <c:v>0.5</c:v>
                </c:pt>
                <c:pt idx="5">
                  <c:v>0.8</c:v>
                </c:pt>
                <c:pt idx="6">
                  <c:v>1</c:v>
                </c:pt>
              </c:numCache>
            </c:numRef>
          </c:yVal>
          <c:smooth val="1"/>
          <c:extLst xmlns:c16r2="http://schemas.microsoft.com/office/drawing/2015/06/chart">
            <c:ext xmlns:c16="http://schemas.microsoft.com/office/drawing/2014/chart" uri="{C3380CC4-5D6E-409C-BE32-E72D297353CC}">
              <c16:uniqueId val="{00000002-313B-456B-9D21-4629CDB3BF18}"/>
            </c:ext>
          </c:extLst>
        </c:ser>
        <c:ser>
          <c:idx val="3"/>
          <c:order val="3"/>
          <c:tx>
            <c:strRef>
              <c:f>Sheet1!$E$1</c:f>
              <c:strCache>
                <c:ptCount val="1"/>
                <c:pt idx="0">
                  <c:v>Fe (II)</c:v>
                </c:pt>
              </c:strCache>
            </c:strRef>
          </c:tx>
          <c:spPr>
            <a:ln w="19050" cap="rnd">
              <a:solidFill>
                <a:srgbClr val="7030A0"/>
              </a:solidFill>
              <a:round/>
            </a:ln>
            <a:effectLst/>
          </c:spPr>
          <c:marker>
            <c:symbol val="none"/>
          </c:marker>
          <c:xVal>
            <c:numRef>
              <c:f>Sheet1!$A$2:$A$10</c:f>
              <c:numCache>
                <c:formatCode>General</c:formatCode>
                <c:ptCount val="9"/>
                <c:pt idx="0">
                  <c:v>1</c:v>
                </c:pt>
                <c:pt idx="1">
                  <c:v>2</c:v>
                </c:pt>
                <c:pt idx="2">
                  <c:v>3</c:v>
                </c:pt>
                <c:pt idx="3">
                  <c:v>4</c:v>
                </c:pt>
                <c:pt idx="4">
                  <c:v>5</c:v>
                </c:pt>
                <c:pt idx="5">
                  <c:v>6</c:v>
                </c:pt>
                <c:pt idx="6">
                  <c:v>7</c:v>
                </c:pt>
                <c:pt idx="7">
                  <c:v>8</c:v>
                </c:pt>
                <c:pt idx="8">
                  <c:v>9</c:v>
                </c:pt>
              </c:numCache>
            </c:numRef>
          </c:xVal>
          <c:yVal>
            <c:numRef>
              <c:f>Sheet1!$E$2:$E$10</c:f>
              <c:numCache>
                <c:formatCode>General</c:formatCode>
                <c:ptCount val="9"/>
                <c:pt idx="4">
                  <c:v>0</c:v>
                </c:pt>
                <c:pt idx="5">
                  <c:v>0.2</c:v>
                </c:pt>
                <c:pt idx="6">
                  <c:v>0.5</c:v>
                </c:pt>
                <c:pt idx="7">
                  <c:v>0.8</c:v>
                </c:pt>
                <c:pt idx="8">
                  <c:v>1</c:v>
                </c:pt>
              </c:numCache>
            </c:numRef>
          </c:yVal>
          <c:smooth val="1"/>
          <c:extLst xmlns:c16r2="http://schemas.microsoft.com/office/drawing/2015/06/chart">
            <c:ext xmlns:c16="http://schemas.microsoft.com/office/drawing/2014/chart" uri="{C3380CC4-5D6E-409C-BE32-E72D297353CC}">
              <c16:uniqueId val="{00000003-313B-456B-9D21-4629CDB3BF18}"/>
            </c:ext>
          </c:extLst>
        </c:ser>
        <c:ser>
          <c:idx val="4"/>
          <c:order val="4"/>
          <c:tx>
            <c:strRef>
              <c:f>Sheet1!$F$1</c:f>
              <c:strCache>
                <c:ptCount val="1"/>
                <c:pt idx="0">
                  <c:v>SRP</c:v>
                </c:pt>
              </c:strCache>
            </c:strRef>
          </c:tx>
          <c:spPr>
            <a:ln w="19050" cap="rnd">
              <a:solidFill>
                <a:schemeClr val="accent5">
                  <a:lumMod val="75000"/>
                </a:schemeClr>
              </a:solidFill>
              <a:round/>
            </a:ln>
            <a:effectLst/>
          </c:spPr>
          <c:marker>
            <c:symbol val="none"/>
          </c:marker>
          <c:xVal>
            <c:numRef>
              <c:f>Sheet1!$A$2:$A$10</c:f>
              <c:numCache>
                <c:formatCode>General</c:formatCode>
                <c:ptCount val="9"/>
                <c:pt idx="0">
                  <c:v>1</c:v>
                </c:pt>
                <c:pt idx="1">
                  <c:v>2</c:v>
                </c:pt>
                <c:pt idx="2">
                  <c:v>3</c:v>
                </c:pt>
                <c:pt idx="3">
                  <c:v>4</c:v>
                </c:pt>
                <c:pt idx="4">
                  <c:v>5</c:v>
                </c:pt>
                <c:pt idx="5">
                  <c:v>6</c:v>
                </c:pt>
                <c:pt idx="6">
                  <c:v>7</c:v>
                </c:pt>
                <c:pt idx="7">
                  <c:v>8</c:v>
                </c:pt>
                <c:pt idx="8">
                  <c:v>9</c:v>
                </c:pt>
              </c:numCache>
            </c:numRef>
          </c:xVal>
          <c:yVal>
            <c:numRef>
              <c:f>Sheet1!$F$2:$F$10</c:f>
              <c:numCache>
                <c:formatCode>General</c:formatCode>
                <c:ptCount val="9"/>
                <c:pt idx="5">
                  <c:v>0</c:v>
                </c:pt>
                <c:pt idx="6">
                  <c:v>0.2</c:v>
                </c:pt>
                <c:pt idx="7">
                  <c:v>0.5</c:v>
                </c:pt>
                <c:pt idx="8">
                  <c:v>0.8</c:v>
                </c:pt>
              </c:numCache>
            </c:numRef>
          </c:yVal>
          <c:smooth val="1"/>
          <c:extLst xmlns:c16r2="http://schemas.microsoft.com/office/drawing/2015/06/chart">
            <c:ext xmlns:c16="http://schemas.microsoft.com/office/drawing/2014/chart" uri="{C3380CC4-5D6E-409C-BE32-E72D297353CC}">
              <c16:uniqueId val="{00000004-313B-456B-9D21-4629CDB3BF18}"/>
            </c:ext>
          </c:extLst>
        </c:ser>
        <c:dLbls>
          <c:showLegendKey val="0"/>
          <c:showVal val="0"/>
          <c:showCatName val="0"/>
          <c:showSerName val="0"/>
          <c:showPercent val="0"/>
          <c:showBubbleSize val="0"/>
        </c:dLbls>
        <c:axId val="496879512"/>
        <c:axId val="496877944"/>
      </c:scatterChart>
      <c:valAx>
        <c:axId val="496879512"/>
        <c:scaling>
          <c:orientation val="minMax"/>
          <c:max val="9"/>
          <c:min val="1"/>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AU" sz="1100" b="1"/>
                  <a:t>Hyporheic</a:t>
                </a:r>
                <a:r>
                  <a:rPr lang="en-AU" sz="1100" b="1" baseline="0"/>
                  <a:t> flow path</a:t>
                </a:r>
                <a:endParaRPr lang="en-AU" sz="1100" b="1"/>
              </a:p>
            </c:rich>
          </c:tx>
          <c:overlay val="0"/>
          <c:spPr>
            <a:noFill/>
            <a:ln>
              <a:noFill/>
            </a:ln>
            <a:effectLst/>
          </c:spPr>
        </c:title>
        <c:numFmt formatCode="General" sourceLinked="1"/>
        <c:majorTickMark val="none"/>
        <c:minorTickMark val="none"/>
        <c:tickLblPos val="none"/>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6877944"/>
        <c:crosses val="autoZero"/>
        <c:crossBetween val="midCat"/>
      </c:valAx>
      <c:valAx>
        <c:axId val="496877944"/>
        <c:scaling>
          <c:orientation val="minMax"/>
          <c:max val="1"/>
        </c:scaling>
        <c:delete val="0"/>
        <c:axPos val="l"/>
        <c:title>
          <c:tx>
            <c:rich>
              <a:bodyPr rot="-540000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r>
                  <a:rPr lang="en-AU" sz="1050" b="1"/>
                  <a:t>Normalised</a:t>
                </a:r>
                <a:r>
                  <a:rPr lang="en-AU" sz="1050" b="1" baseline="0"/>
                  <a:t> Concentration</a:t>
                </a:r>
                <a:endParaRPr lang="en-AU" sz="1050" b="1"/>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6879512"/>
        <c:crosses val="autoZero"/>
        <c:crossBetween val="midCat"/>
        <c:majorUnit val="0.2"/>
      </c:valAx>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4816122F.dotm</Template>
  <TotalTime>0</TotalTime>
  <Pages>338</Pages>
  <Words>150832</Words>
  <Characters>859749</Characters>
  <Application>Microsoft Office Word</Application>
  <DocSecurity>0</DocSecurity>
  <Lines>7164</Lines>
  <Paragraphs>2017</Paragraphs>
  <ScaleCrop>false</ScaleCrop>
  <Company/>
  <LinksUpToDate>false</LinksUpToDate>
  <CharactersWithSpaces>1008564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Research to inform the assessment of ecohydrological responses to coal seam gas extraction and coal mining</dc:title>
  <dc:creator/>
  <cp:lastModifiedBy/>
  <cp:revision>1</cp:revision>
  <dcterms:created xsi:type="dcterms:W3CDTF">2017-05-30T02:58:00Z</dcterms:created>
  <dcterms:modified xsi:type="dcterms:W3CDTF">2017-05-30T03:18:00Z</dcterms:modified>
</cp:coreProperties>
</file>